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1A6F23"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342683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7CAFC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июлю 1942 года в Билимбае на заводе № 290 было отремонтирова</w:t>
      </w:r>
      <w:r w:rsidRPr="00722885">
        <w:rPr>
          <w:rFonts w:ascii="Times New Roman" w:hAnsi="Times New Roman"/>
          <w:color w:val="000000" w:themeColor="text1"/>
          <w:sz w:val="16"/>
          <w:szCs w:val="16"/>
        </w:rPr>
        <w:softHyphen/>
        <w:t>но 3 автожира А-7, по</w:t>
      </w:r>
      <w:r w:rsidRPr="00722885">
        <w:rPr>
          <w:rFonts w:ascii="Times New Roman" w:hAnsi="Times New Roman"/>
          <w:color w:val="000000" w:themeColor="text1"/>
          <w:sz w:val="16"/>
          <w:szCs w:val="16"/>
        </w:rPr>
        <w:softHyphen/>
        <w:t>врежденных в боях под Ельней. Их погрузили на две железнодорожные платформы и вме сте с экипажами отправили в «Ухтомку». Сопровождал экспедицию веду</w:t>
      </w:r>
      <w:r w:rsidRPr="00722885">
        <w:rPr>
          <w:rFonts w:ascii="Times New Roman" w:hAnsi="Times New Roman"/>
          <w:color w:val="000000" w:themeColor="text1"/>
          <w:sz w:val="16"/>
          <w:szCs w:val="16"/>
        </w:rPr>
        <w:softHyphen/>
        <w:t>щий инженер В.С.Морозов (10224,56).</w:t>
      </w:r>
    </w:p>
    <w:p w14:paraId="7E704D2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4C54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июлю 1942 года количество советских самолётов на фронтах войны возросло против января более чем в 1,3 раза. Однако новых машин среди них было пока что меньше половины. Особенно не хватало новых бомбардировщиков, удельный вес которых в тогдашнем составе этого типового комплекса не превышал 10% (12018).</w:t>
      </w:r>
    </w:p>
    <w:p w14:paraId="4C5F923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87D0E" w14:textId="77777777" w:rsidR="00C40D73"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6E624359" w14:textId="77777777" w:rsidR="00C40D73" w:rsidRPr="00722885" w:rsidRDefault="00C40D73"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BE8F30" w14:textId="77777777" w:rsidR="00C40D73" w:rsidRPr="00722885" w:rsidRDefault="00C40D73"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К июлю 1942 на заводе № 37 была готова «машина 32», получившая обозначение СУ-32. Образец изготовили в варианте БГС-5. Как и в случае с СУ-31, использовалась неброневая сталь толщиной 15 мм по периметру. Обе САУ испытывались с 21 августа по 3 сентября, причем СУ-31 показала себя с лучшей стороны, в то время как у СУ-32 наблюдался перегрев двигателей. Впрочем, к тому моменту, когда машины вышли на испы</w:t>
      </w:r>
      <w:r w:rsidRPr="00722885">
        <w:rPr>
          <w:rFonts w:eastAsia="Calibri"/>
          <w:color w:val="000000" w:themeColor="text1"/>
          <w:sz w:val="16"/>
          <w:szCs w:val="16"/>
        </w:rPr>
        <w:softHyphen/>
        <w:t>тания, завод № 37 уже объединился с Уралмашем и о серийном произ</w:t>
      </w:r>
      <w:r w:rsidRPr="00722885">
        <w:rPr>
          <w:rFonts w:eastAsia="Calibri"/>
          <w:color w:val="000000" w:themeColor="text1"/>
          <w:sz w:val="16"/>
          <w:szCs w:val="16"/>
        </w:rPr>
        <w:softHyphen/>
        <w:t>водстве легких САУ в Свердловске речь не шла (17485).</w:t>
      </w:r>
    </w:p>
    <w:p w14:paraId="0B8806F9" w14:textId="77777777" w:rsidR="00C40D73" w:rsidRPr="00722885" w:rsidRDefault="00C40D73" w:rsidP="00722885">
      <w:pPr>
        <w:spacing w:after="0" w:line="240" w:lineRule="auto"/>
        <w:jc w:val="both"/>
        <w:rPr>
          <w:rFonts w:ascii="Times New Roman" w:hAnsi="Times New Roman"/>
          <w:color w:val="000000" w:themeColor="text1"/>
          <w:sz w:val="16"/>
          <w:szCs w:val="16"/>
        </w:rPr>
      </w:pPr>
    </w:p>
    <w:p w14:paraId="7C802C7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5C3698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9602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июлю 1942 доля новых машин в советских ВВС достигла 47% (237,199).</w:t>
      </w:r>
    </w:p>
    <w:p w14:paraId="56EDEE5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DD3BC7" w14:textId="77777777" w:rsidR="009C7E3C" w:rsidRPr="00722885" w:rsidRDefault="009C7E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июлю 1942 г. количество советских самолетов на фронтах войны возросло по сравнению с январем в 1,3 раза, новых машин среди них было пока что меньше половины (47%). Особенно не хватало новых бомбардировщиков, удельный вес которых в авиапарке ВВС не превышал 10% (18305).</w:t>
      </w:r>
    </w:p>
    <w:p w14:paraId="424AEF4D" w14:textId="77777777" w:rsidR="009C7E3C" w:rsidRPr="00722885" w:rsidRDefault="009C7E3C" w:rsidP="00722885">
      <w:pPr>
        <w:spacing w:after="0" w:line="240" w:lineRule="auto"/>
        <w:jc w:val="both"/>
        <w:rPr>
          <w:rFonts w:ascii="Times New Roman" w:hAnsi="Times New Roman"/>
          <w:color w:val="000000" w:themeColor="text1"/>
          <w:sz w:val="16"/>
          <w:szCs w:val="16"/>
        </w:rPr>
      </w:pPr>
    </w:p>
    <w:p w14:paraId="4FCB24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июлю 1942 на фронтах было 57 ГМП М-8 и М-13. В течение июня и начала июля сформировали 20 дивизионов М-30 из 3 батарей по 32 раме в батарее (3890).</w:t>
      </w:r>
    </w:p>
    <w:p w14:paraId="3F4B05F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1D8DC" w14:textId="77777777" w:rsidR="00B01B2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5F5945DD" w14:textId="77777777" w:rsidR="00B01B21" w:rsidRPr="00722885" w:rsidRDefault="00B01B2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DA163C"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июлю 1942 г из-за различных проблем были летными только два вертолета Fa.223. Успешные испытания Fa.223 и особенно его транспортный потенциал для снабжения сухопутных войск позволили заказать еще 100 машин, но из них были испытаны только восемь, а шесть было разбито во время налета союзников на Лаупгейм в июле 1944 г. Производство вновь пришлось восстанавливать, на этот раз в Берлине, с мощностью 400 вертолетов в месяц, но до конца года по этому плану удалось сдать только один вертолет. Несмотря на все усилия, одновременно летали только десять-одиннадцать Fa.223. Общий налет составил 400 часов, было покрыто до 10 000 км. Максимальный налет на одну машину составил 100 часов. Интересна судьба одного Fa.223 (#12): для спасения 17 человек, попавших под лавину на горе Блане, вертолет перелетел почти через всю Германию. К несчастью, из-за разрушения ротора машина провалилась вниз, и хотя приземлилась на колеса, вертолет перевернуло и экипаж погиб. Хотя Fa.223 был особенно эффективен при спасательных операциях, реально для таких задач он не использовался; иногда его применяли для транспортных перевозок. На апрель 1945 г в 40-й авиатранспортной эскадрилье были три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0F93EBAB"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272AFEF9" w14:textId="77777777" w:rsidR="00E74794" w:rsidRPr="00722885" w:rsidRDefault="00E74794"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37845B3E" w14:textId="77777777" w:rsidR="00E74794" w:rsidRPr="00722885" w:rsidRDefault="00E74794"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C1C7B7" w14:textId="77777777" w:rsidR="00E74794" w:rsidRPr="00722885" w:rsidRDefault="00E74794"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началу июля 1942 г. самолет Су-6 М-71 с небольшими доработками по схеме бронирования (общий вес брони был дове</w:t>
      </w:r>
      <w:r w:rsidRPr="00722885">
        <w:rPr>
          <w:rFonts w:ascii="Times New Roman" w:hAnsi="Times New Roman"/>
          <w:color w:val="000000" w:themeColor="text1"/>
          <w:sz w:val="16"/>
          <w:szCs w:val="16"/>
        </w:rPr>
        <w:softHyphen/>
        <w:t>ден до 660 кг), с улучшенным обзором впе</w:t>
      </w:r>
      <w:r w:rsidRPr="00722885">
        <w:rPr>
          <w:rFonts w:ascii="Times New Roman" w:hAnsi="Times New Roman"/>
          <w:color w:val="000000" w:themeColor="text1"/>
          <w:sz w:val="16"/>
          <w:szCs w:val="16"/>
        </w:rPr>
        <w:softHyphen/>
        <w:t>ред-вниз (сиденье летчика было поднято на 35 мм) снова проходил совместные испыта</w:t>
      </w:r>
      <w:r w:rsidRPr="00722885">
        <w:rPr>
          <w:rFonts w:ascii="Times New Roman" w:hAnsi="Times New Roman"/>
          <w:color w:val="000000" w:themeColor="text1"/>
          <w:sz w:val="16"/>
          <w:szCs w:val="16"/>
        </w:rPr>
        <w:softHyphen/>
        <w:t>ния. Их выполняли ведущий инженер А.В.Синельников и ведущий летчик А.К.Долгов. В акте государственных испы</w:t>
      </w:r>
      <w:r w:rsidRPr="00722885">
        <w:rPr>
          <w:rFonts w:ascii="Times New Roman" w:hAnsi="Times New Roman"/>
          <w:color w:val="000000" w:themeColor="text1"/>
          <w:sz w:val="16"/>
          <w:szCs w:val="16"/>
        </w:rPr>
        <w:softHyphen/>
        <w:t>таний отмечалось:</w:t>
      </w:r>
    </w:p>
    <w:p w14:paraId="00176976" w14:textId="77777777" w:rsidR="00E74794" w:rsidRPr="00722885" w:rsidRDefault="00E74794" w:rsidP="00722885">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color w:val="000000" w:themeColor="text1"/>
          <w:sz w:val="16"/>
          <w:szCs w:val="16"/>
        </w:rPr>
        <w:t>“...самолет Су-6 с мотором М-71 по мак</w:t>
      </w:r>
      <w:r w:rsidRPr="00722885">
        <w:rPr>
          <w:rFonts w:ascii="Times New Roman" w:hAnsi="Times New Roman"/>
          <w:color w:val="000000" w:themeColor="text1"/>
          <w:sz w:val="16"/>
          <w:szCs w:val="16"/>
        </w:rPr>
        <w:softHyphen/>
        <w:t>симальной скорости горизонтального поле</w:t>
      </w:r>
      <w:r w:rsidRPr="00722885">
        <w:rPr>
          <w:rFonts w:ascii="Times New Roman" w:hAnsi="Times New Roman"/>
          <w:color w:val="000000" w:themeColor="text1"/>
          <w:sz w:val="16"/>
          <w:szCs w:val="16"/>
        </w:rPr>
        <w:softHyphen/>
        <w:t>та стоит выше штурмовика Ил-2</w:t>
      </w:r>
      <w:r w:rsidRPr="00722885">
        <w:rPr>
          <w:rFonts w:ascii="Times New Roman" w:hAnsi="Times New Roman"/>
          <w:iCs/>
          <w:color w:val="000000" w:themeColor="text1"/>
          <w:sz w:val="16"/>
          <w:szCs w:val="16"/>
        </w:rPr>
        <w:t xml:space="preserve"> АМ-38;</w:t>
      </w:r>
    </w:p>
    <w:p w14:paraId="1D358D44" w14:textId="77777777" w:rsidR="00E74794" w:rsidRPr="00722885" w:rsidRDefault="00E74794"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 xml:space="preserve">- </w:t>
      </w:r>
      <w:r w:rsidRPr="00722885">
        <w:rPr>
          <w:rFonts w:ascii="Times New Roman" w:hAnsi="Times New Roman"/>
          <w:color w:val="000000" w:themeColor="text1"/>
          <w:sz w:val="16"/>
          <w:szCs w:val="16"/>
        </w:rPr>
        <w:t>после, выполнения задания (сбрасыва</w:t>
      </w:r>
      <w:r w:rsidRPr="00722885">
        <w:rPr>
          <w:rFonts w:ascii="Times New Roman" w:hAnsi="Times New Roman"/>
          <w:color w:val="000000" w:themeColor="text1"/>
          <w:sz w:val="16"/>
          <w:szCs w:val="16"/>
        </w:rPr>
        <w:softHyphen/>
        <w:t>ния бомб и PC-132) самолет Су-6 М-71 об</w:t>
      </w:r>
      <w:r w:rsidRPr="00722885">
        <w:rPr>
          <w:rFonts w:ascii="Times New Roman" w:hAnsi="Times New Roman"/>
          <w:color w:val="000000" w:themeColor="text1"/>
          <w:sz w:val="16"/>
          <w:szCs w:val="16"/>
        </w:rPr>
        <w:softHyphen/>
        <w:t>ладает максимальной скоростью 483 км/час на 10-ти минутном форсаже. Эта скорость делает самолет Су-6 труднодосягаемым для истребителей противника, имеющих незначительное преимущество в скорости;</w:t>
      </w:r>
    </w:p>
    <w:p w14:paraId="2A79226D" w14:textId="77777777" w:rsidR="00E74794" w:rsidRPr="00722885" w:rsidRDefault="00E74794" w:rsidP="00722885">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Cs/>
          <w:color w:val="000000" w:themeColor="text1"/>
          <w:sz w:val="16"/>
          <w:szCs w:val="16"/>
        </w:rPr>
        <w:t>- считать целесообразным постройку небольшой войсковой серии самолетов Су-6 М-71, как представляющих интерес по сравнительно большой максимальной го</w:t>
      </w:r>
      <w:r w:rsidRPr="00722885">
        <w:rPr>
          <w:rFonts w:ascii="Times New Roman" w:hAnsi="Times New Roman"/>
          <w:iCs/>
          <w:color w:val="000000" w:themeColor="text1"/>
          <w:sz w:val="16"/>
          <w:szCs w:val="16"/>
        </w:rPr>
        <w:softHyphen/>
        <w:t>ризонтальной скорости и имеющих мощ</w:t>
      </w:r>
      <w:r w:rsidRPr="00722885">
        <w:rPr>
          <w:rFonts w:ascii="Times New Roman" w:hAnsi="Times New Roman"/>
          <w:iCs/>
          <w:color w:val="000000" w:themeColor="text1"/>
          <w:sz w:val="16"/>
          <w:szCs w:val="16"/>
        </w:rPr>
        <w:softHyphen/>
        <w:t>ное стрелково -пушечное и реактивное во</w:t>
      </w:r>
      <w:r w:rsidRPr="00722885">
        <w:rPr>
          <w:rFonts w:ascii="Times New Roman" w:hAnsi="Times New Roman"/>
          <w:iCs/>
          <w:color w:val="000000" w:themeColor="text1"/>
          <w:sz w:val="16"/>
          <w:szCs w:val="16"/>
        </w:rPr>
        <w:softHyphen/>
        <w:t>оружение”.</w:t>
      </w:r>
    </w:p>
    <w:p w14:paraId="042A83F9" w14:textId="77777777" w:rsidR="00E74794" w:rsidRPr="00722885" w:rsidRDefault="00E74794"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технике пилотирования машина ока</w:t>
      </w:r>
      <w:r w:rsidRPr="00722885">
        <w:rPr>
          <w:rFonts w:ascii="Times New Roman" w:hAnsi="Times New Roman"/>
          <w:color w:val="000000" w:themeColor="text1"/>
          <w:sz w:val="16"/>
          <w:szCs w:val="16"/>
        </w:rPr>
        <w:softHyphen/>
        <w:t>залась вполне доступной для летчиков средней квалификации. Она имела хоро</w:t>
      </w:r>
      <w:r w:rsidRPr="00722885">
        <w:rPr>
          <w:rFonts w:ascii="Times New Roman" w:hAnsi="Times New Roman"/>
          <w:color w:val="000000" w:themeColor="text1"/>
          <w:sz w:val="16"/>
          <w:szCs w:val="16"/>
        </w:rPr>
        <w:softHyphen/>
        <w:t>шую устойчивость и управляемость. Вмес</w:t>
      </w:r>
      <w:r w:rsidRPr="00722885">
        <w:rPr>
          <w:rFonts w:ascii="Times New Roman" w:hAnsi="Times New Roman"/>
          <w:color w:val="000000" w:themeColor="text1"/>
          <w:sz w:val="16"/>
          <w:szCs w:val="16"/>
        </w:rPr>
        <w:softHyphen/>
        <w:t>те с тем, отмечалось, что обзор на рулежке недостаточен и поэтому приходится ру</w:t>
      </w:r>
      <w:r w:rsidRPr="00722885">
        <w:rPr>
          <w:rFonts w:ascii="Times New Roman" w:hAnsi="Times New Roman"/>
          <w:color w:val="000000" w:themeColor="text1"/>
          <w:sz w:val="16"/>
          <w:szCs w:val="16"/>
        </w:rPr>
        <w:softHyphen/>
        <w:t>лить змейкой. В воздухе обзор оценивался как удовлетворительный.</w:t>
      </w:r>
    </w:p>
    <w:p w14:paraId="6E1588CC" w14:textId="77777777" w:rsidR="00E74794" w:rsidRPr="00722885" w:rsidRDefault="00E74794"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совершенно недвусмыслен</w:t>
      </w:r>
      <w:r w:rsidRPr="00722885">
        <w:rPr>
          <w:rFonts w:ascii="Times New Roman" w:hAnsi="Times New Roman"/>
          <w:color w:val="000000" w:themeColor="text1"/>
          <w:sz w:val="16"/>
          <w:szCs w:val="16"/>
        </w:rPr>
        <w:softHyphen/>
        <w:t>ным образом выраженную заинтересован</w:t>
      </w:r>
      <w:r w:rsidRPr="00722885">
        <w:rPr>
          <w:rFonts w:ascii="Times New Roman" w:hAnsi="Times New Roman"/>
          <w:color w:val="000000" w:themeColor="text1"/>
          <w:sz w:val="16"/>
          <w:szCs w:val="16"/>
        </w:rPr>
        <w:softHyphen/>
        <w:t>ность руководства ВВС в Су-6, самолет по-прежнему в серии не строился. П.О.Сухой не смог (или не захотел) “пробить” запуск свое</w:t>
      </w:r>
      <w:r w:rsidRPr="00722885">
        <w:rPr>
          <w:rFonts w:ascii="Times New Roman" w:hAnsi="Times New Roman"/>
          <w:color w:val="000000" w:themeColor="text1"/>
          <w:sz w:val="16"/>
          <w:szCs w:val="16"/>
        </w:rPr>
        <w:softHyphen/>
        <w:t>го детища в производство. Вместо этого им было принято решение об установке на са</w:t>
      </w:r>
      <w:r w:rsidRPr="00722885">
        <w:rPr>
          <w:rFonts w:ascii="Times New Roman" w:hAnsi="Times New Roman"/>
          <w:color w:val="000000" w:themeColor="text1"/>
          <w:sz w:val="16"/>
          <w:szCs w:val="16"/>
        </w:rPr>
        <w:softHyphen/>
        <w:t>молете Су-6 М-71 двух крыльевых пушек калибра 37 мм вместо ВЯ. На первом экземп</w:t>
      </w:r>
      <w:r w:rsidRPr="00722885">
        <w:rPr>
          <w:rFonts w:ascii="Times New Roman" w:hAnsi="Times New Roman"/>
          <w:color w:val="000000" w:themeColor="text1"/>
          <w:sz w:val="16"/>
          <w:szCs w:val="16"/>
        </w:rPr>
        <w:softHyphen/>
        <w:t>ляре монтировались пушки конструкции А.Э.Нудельмана и А.С.Суранова НС-37 (тог</w:t>
      </w:r>
      <w:r w:rsidRPr="00722885">
        <w:rPr>
          <w:rFonts w:ascii="Times New Roman" w:hAnsi="Times New Roman"/>
          <w:color w:val="000000" w:themeColor="text1"/>
          <w:sz w:val="16"/>
          <w:szCs w:val="16"/>
        </w:rPr>
        <w:softHyphen/>
        <w:t>да они назывались “37-мм пушки ОКБ-16”). Срок готовности — ноябрь 1942 г. На втором экземпляре устанавливались орудия Б.Г.Шпитального Ш-37 (“37-мм пушки ОКБ-15”). Срок готовности — декабрь 1942 г.</w:t>
      </w:r>
    </w:p>
    <w:p w14:paraId="4B2DF3CB" w14:textId="77777777" w:rsidR="00E74794" w:rsidRPr="00722885" w:rsidRDefault="00E74794"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разрешением НКАП, ОКБ П.О.Сухого дополнительно строило два самолета Су-6 М-71 с бронекорпусом, включенным в конструкцию самолета и усиленным бронированием силовой уста</w:t>
      </w:r>
      <w:r w:rsidRPr="00722885">
        <w:rPr>
          <w:rFonts w:ascii="Times New Roman" w:hAnsi="Times New Roman"/>
          <w:color w:val="000000" w:themeColor="text1"/>
          <w:sz w:val="16"/>
          <w:szCs w:val="16"/>
        </w:rPr>
        <w:softHyphen/>
        <w:t>новки. Одновременно в интересах упроще</w:t>
      </w:r>
      <w:r w:rsidRPr="00722885">
        <w:rPr>
          <w:rFonts w:ascii="Times New Roman" w:hAnsi="Times New Roman"/>
          <w:color w:val="000000" w:themeColor="text1"/>
          <w:sz w:val="16"/>
          <w:szCs w:val="16"/>
        </w:rPr>
        <w:softHyphen/>
        <w:t>ния технологии производства предусмат</w:t>
      </w:r>
      <w:r w:rsidRPr="00722885">
        <w:rPr>
          <w:rFonts w:ascii="Times New Roman" w:hAnsi="Times New Roman"/>
          <w:color w:val="000000" w:themeColor="text1"/>
          <w:sz w:val="16"/>
          <w:szCs w:val="16"/>
        </w:rPr>
        <w:softHyphen/>
        <w:t>ривалась замена консолей на деревянные (5011).</w:t>
      </w:r>
    </w:p>
    <w:p w14:paraId="3CEE8BFC" w14:textId="77777777" w:rsidR="00E74794" w:rsidRPr="00722885"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Су-6 М-71 устойчиво планировал (как с газом, так и без газа) под углами до 40-45° - стремления к переходу в пикирование под большими углами штурмовик не проявлял. Скорость ввода в пикирование 270-380 км/ч.</w:t>
      </w:r>
    </w:p>
    <w:p w14:paraId="267D2933" w14:textId="77777777" w:rsidR="00E74794" w:rsidRPr="00722885"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 и посадка были простыми, но несколько сложнее, чем у Ил-2, самолет на пробеге вел себя устойчиво. Из-за большого лба мотора обзор из кабины на рулежке был недостаточен, вследствие этого, руление приходилось производить змейкой. В воздухе обзор оценивался удовлетворительно.</w:t>
      </w:r>
    </w:p>
    <w:p w14:paraId="2AA25D86" w14:textId="77777777" w:rsidR="00E74794" w:rsidRPr="00722885"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Броню рекомендовалось сделать по типу Ил-2.</w:t>
      </w:r>
    </w:p>
    <w:p w14:paraId="31EAA8E9" w14:textId="77777777" w:rsidR="00E74794" w:rsidRPr="00722885"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испытаний мотор М-71 заменялся.</w:t>
      </w:r>
    </w:p>
    <w:p w14:paraId="125EB436" w14:textId="77777777" w:rsidR="00E74794" w:rsidRPr="00722885"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акте государственных испытаний отмечалось:</w:t>
      </w:r>
    </w:p>
    <w:p w14:paraId="56342C9F" w14:textId="77777777" w:rsidR="00E74794" w:rsidRPr="00722885"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Су-б с мотором М-71 по максимальной скорости горизонтального полета стоит выше штурмовика Ил-2 АМ-38;</w:t>
      </w:r>
    </w:p>
    <w:p w14:paraId="2AA0A1A9" w14:textId="77777777" w:rsidR="00E74794" w:rsidRPr="00722885"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выполнения задания (сбрасывания бомби PC-132) самолет Су-б М-71 обладает максимальной скоростью 483 км/час на 10-ти минутном форсаже. Эта скорость делает самолет Су-б труднодосягае-мым для истребителей противника, имеющих незначительное преимущество в скорости.</w:t>
      </w:r>
    </w:p>
    <w:p w14:paraId="6F669853" w14:textId="77777777" w:rsidR="00E74794" w:rsidRPr="00722885"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Считать целесообразным постройку небольшой войсковой серии самолетов Су-б М-71, как представляющих интерес по сравнительно большой максимальной горизонтальной скорости и имеющих мощное стрелково-пушечное и реактивное вооружение” (9649).</w:t>
      </w:r>
    </w:p>
    <w:p w14:paraId="4DEE9061" w14:textId="77777777" w:rsidR="00E74794" w:rsidRPr="00722885"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25A630"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К началу июля 1942 г. самолет Су-6 М-71 с небольшими доработками, включающими улучшение бронирования (общий вес брони был доведен до 660 кг) и обзора вперед-вниз (сидение летчика было поднято на 35 мм), снова проходил совместные с заводом № 289 государственные испытания.</w:t>
      </w:r>
    </w:p>
    <w:p w14:paraId="43656E2E"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Испытания проводили ведущий инженер инженер-майор А. В. Синельников и ведущий летчик-испытатель майор А. К. Долгов. Летчики облета: майор М. А. Нюхтиков и капитан Коробов.</w:t>
      </w:r>
    </w:p>
    <w:p w14:paraId="2540C663"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Вес пустого самолета составил 3727 кг, вес нагрузки — 1523 кг. Винт трехлопастный типа АВ-5–4А диаметром 3,25 м.</w:t>
      </w:r>
    </w:p>
    <w:p w14:paraId="4107781D"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Стрелково-пушечное вооружение состояло из двух крыльевых пушек ВЯ-23 и двух крыльевых пулеметов ШКАС. Боекомплект к пушкам ВЯ-23 включал 230 снарядов, к пулеметам ШКАС — 3000 патронов.</w:t>
      </w:r>
    </w:p>
    <w:p w14:paraId="5697DA8F"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Бомбовое вооружение допускало подвеску: внутри на держателях КД-2 четырех бомб типа ФАБ-50 или ФАБ-100 (в перегрузку) и снаружи на двух держателях типа Д3–40 бомбы ФАБ-50 или ФАБ-100.</w:t>
      </w:r>
    </w:p>
    <w:p w14:paraId="1AA87A9D"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Реактивное вооружение состояло из 10 РС-132 или РС-82.</w:t>
      </w:r>
    </w:p>
    <w:p w14:paraId="4C74AAA2"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При нормальном полетном весе 5250 кг (10×РС-132, 200 кг бомб, две пушки ВЯ-23 и четыре пулемета ШКАС с полным боекомплектом) штурмовик имел максимальную скорость у земли 445 км/ч, а на высоте 2500 м — 491 км/ч.</w:t>
      </w:r>
    </w:p>
    <w:p w14:paraId="32C2DB46"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Время подъема на высоту 1000 м составляло 1,7 мин, а на высоту 3000 м — 5,1 мин. Максимальная дальность полета на высоте 670 м при скорости полета 360 км/ч достигала 576 км.</w:t>
      </w:r>
    </w:p>
    <w:p w14:paraId="7862DEC6"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 отчете по испытаниям отмечалось, что кабина летчика достаточно просторная, расположение приборов удобное. Козырек кабины целесообразно сделать по типу Ил-2.</w:t>
      </w:r>
    </w:p>
    <w:p w14:paraId="040943AD"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lastRenderedPageBreak/>
        <w:t>По технике пилотирования штурмовик был доступен летчикам средней квалификации.</w:t>
      </w:r>
    </w:p>
    <w:p w14:paraId="7275ED21"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Самолет во всем диапазоне скоростей от минимальной (скорость сваливания 270 км/ч) до максимальной устойчив по всем трем осям.</w:t>
      </w:r>
    </w:p>
    <w:p w14:paraId="31170E6A"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Вираж «сухой» выполнял устойчиво. Оптимальной скоростью при выполнении виража или восьмерки с креном до 60° являлась скорость в 310–320 км/ч по прибору.</w:t>
      </w:r>
    </w:p>
    <w:p w14:paraId="5C90C30F"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Управляемость и маневренность машины (как в горизонтальной, так и в вертикальной плоскостях) были замечательными.</w:t>
      </w:r>
    </w:p>
    <w:p w14:paraId="38980C63"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Вертикальная скорость с полной боевой нагрузкой у земли равнялась 9,8 м/с. За один боевой разворот штурмовик без бомб и PC набирал 600–700 м высоты (скорость ввода 390 км/ч, скорость выхода в горизонтальное положение 270 км/ч).</w:t>
      </w:r>
    </w:p>
    <w:p w14:paraId="3C20080F"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Су-6 М-71 устойчиво планировал (как с газом, так и без газа) под углами до 40–45° — стремления к переходу в пикирование под большими углами штурмовик не проявлял. Скорость ввода в пикирование 270–380 км/ч.</w:t>
      </w:r>
    </w:p>
    <w:p w14:paraId="33E1F5FA"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Взлет и посадка были простыми, но несколько сложнее, чем у Ил-2, самолет на пробеге вел себя устойчиво. Из-за большого лба мотора обзор из кабины на рулежке был недостаточен, вследствие этого, руление приходилось производить змейкой. В воздухе обзор оценивался удовлетворительно.</w:t>
      </w:r>
    </w:p>
    <w:p w14:paraId="7EA63914"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Броню рекомендовалось сделать по типу Ил-2.</w:t>
      </w:r>
    </w:p>
    <w:p w14:paraId="49E8BC7C"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 ходе испытаний мотор М-71 заменялся.</w:t>
      </w:r>
    </w:p>
    <w:p w14:paraId="0093C395"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 акте государственных испытаний отмечалось:</w:t>
      </w:r>
    </w:p>
    <w:p w14:paraId="3FC2D923"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rStyle w:val="af0"/>
          <w:i w:val="0"/>
          <w:color w:val="000000" w:themeColor="text1"/>
          <w:sz w:val="16"/>
          <w:szCs w:val="16"/>
          <w:bdr w:val="none" w:sz="0" w:space="0" w:color="auto" w:frame="1"/>
        </w:rPr>
        <w:t>«…Самолет Су-6 с мотором М-71 по максимальной скорости горизонтального полета стоит выше штурмовика Ил-2 АМ-38;</w:t>
      </w:r>
    </w:p>
    <w:p w14:paraId="3110DB6C"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r w:rsidRPr="00722885">
        <w:rPr>
          <w:rStyle w:val="af0"/>
          <w:i w:val="0"/>
          <w:color w:val="000000" w:themeColor="text1"/>
          <w:sz w:val="16"/>
          <w:szCs w:val="16"/>
          <w:bdr w:val="none" w:sz="0" w:space="0" w:color="auto" w:frame="1"/>
        </w:rPr>
        <w:t>…После выполнения задания (сбрасывания бомб и РС-132) самолет Су-6 М-71 обладает максимальной скоростью 483 км/час на 10-ти минутном форсаже. Эта скорость делает самолет Су-6 труднодосягаемым для истребителей противника, имеющих незначительное преимущество в скорости.</w:t>
      </w:r>
    </w:p>
    <w:p w14:paraId="6EBE9D04" w14:textId="77777777" w:rsidR="00E74794" w:rsidRPr="00722885" w:rsidRDefault="00E74794" w:rsidP="00722885">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722885">
        <w:rPr>
          <w:rStyle w:val="af0"/>
          <w:i w:val="0"/>
          <w:color w:val="000000" w:themeColor="text1"/>
          <w:sz w:val="16"/>
          <w:szCs w:val="16"/>
          <w:bdr w:val="none" w:sz="0" w:space="0" w:color="auto" w:frame="1"/>
        </w:rPr>
        <w:t>…Считать целесообразным постройку небольшой войсковой серии самолетов Су-6 М-71, как представляющих интерес по сравнительно большой максимальной горизонтальной скорости и имеющих мощное стрелково-пушечное и реактивное вооружение» (19188).</w:t>
      </w:r>
    </w:p>
    <w:p w14:paraId="219A9A0A" w14:textId="77777777" w:rsidR="00E74794" w:rsidRPr="00722885" w:rsidRDefault="00E74794" w:rsidP="00722885">
      <w:pPr>
        <w:pStyle w:val="ae"/>
        <w:shd w:val="clear" w:color="auto" w:fill="FFFFFF"/>
        <w:spacing w:before="0" w:after="0"/>
        <w:jc w:val="both"/>
        <w:textAlignment w:val="baseline"/>
        <w:rPr>
          <w:color w:val="000000" w:themeColor="text1"/>
          <w:sz w:val="16"/>
          <w:szCs w:val="16"/>
        </w:rPr>
      </w:pPr>
    </w:p>
    <w:p w14:paraId="09F8A2CF" w14:textId="77777777" w:rsidR="00E74794" w:rsidRPr="00722885" w:rsidRDefault="00E7479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К началу июля 1942 г. оба летных эк</w:t>
      </w:r>
      <w:r w:rsidRPr="00722885">
        <w:rPr>
          <w:rFonts w:ascii="Times New Roman" w:hAnsi="Times New Roman" w:cs="Times New Roman"/>
          <w:color w:val="0070C0"/>
          <w:sz w:val="16"/>
          <w:szCs w:val="16"/>
        </w:rPr>
        <w:softHyphen/>
        <w:t>земпляра самолета Су-6 («81» и «82») на</w:t>
      </w:r>
      <w:r w:rsidRPr="00722885">
        <w:rPr>
          <w:rFonts w:ascii="Times New Roman" w:hAnsi="Times New Roman" w:cs="Times New Roman"/>
          <w:color w:val="0070C0"/>
          <w:sz w:val="16"/>
          <w:szCs w:val="16"/>
        </w:rPr>
        <w:softHyphen/>
        <w:t>ходились в Молотове на заводе №289, где на них предполагалось установить новые форсированные моторы М-71ф (взлетная мощность 2200 л.с.). Все работы планировалось провести силами завода №19. Первый экземпляр («81») отличался от второго экземпляра («82») отсутствием предкрылков и установкой восьми РО-82 вместо 10. На нем не было пушек. В свое время на него планировалось установить 23-мм пушки ПТБ-23 Таубина-Бабурина, но они, как известно, были сняты с серий</w:t>
      </w:r>
      <w:r w:rsidRPr="00722885">
        <w:rPr>
          <w:rFonts w:ascii="Times New Roman" w:hAnsi="Times New Roman" w:cs="Times New Roman"/>
          <w:color w:val="0070C0"/>
          <w:sz w:val="16"/>
          <w:szCs w:val="16"/>
        </w:rPr>
        <w:softHyphen/>
        <w:t>ного производства.</w:t>
      </w:r>
    </w:p>
    <w:p w14:paraId="228A9AFE" w14:textId="77777777" w:rsidR="00E74794" w:rsidRPr="00722885" w:rsidRDefault="00E7479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Трезво оценивая складывающуюся обстановку вокруг Су-6 и мотора М-71, Сухой принимает решение усилить про</w:t>
      </w:r>
      <w:r w:rsidRPr="00722885">
        <w:rPr>
          <w:rFonts w:ascii="Times New Roman" w:hAnsi="Times New Roman" w:cs="Times New Roman"/>
          <w:color w:val="0070C0"/>
          <w:sz w:val="16"/>
          <w:szCs w:val="16"/>
        </w:rPr>
        <w:softHyphen/>
        <w:t>тивотанковую компоненту самолета, уста</w:t>
      </w:r>
      <w:r w:rsidRPr="00722885">
        <w:rPr>
          <w:rFonts w:ascii="Times New Roman" w:hAnsi="Times New Roman" w:cs="Times New Roman"/>
          <w:color w:val="0070C0"/>
          <w:sz w:val="16"/>
          <w:szCs w:val="16"/>
        </w:rPr>
        <w:softHyphen/>
        <w:t>новив на него две 37-мм пушки, устранить выявленные на государственных испыта</w:t>
      </w:r>
      <w:r w:rsidRPr="00722885">
        <w:rPr>
          <w:rFonts w:ascii="Times New Roman" w:hAnsi="Times New Roman" w:cs="Times New Roman"/>
          <w:color w:val="0070C0"/>
          <w:sz w:val="16"/>
          <w:szCs w:val="16"/>
        </w:rPr>
        <w:softHyphen/>
        <w:t>ниях недостатки и доработать его в соот</w:t>
      </w:r>
      <w:r w:rsidRPr="00722885">
        <w:rPr>
          <w:rFonts w:ascii="Times New Roman" w:hAnsi="Times New Roman" w:cs="Times New Roman"/>
          <w:color w:val="0070C0"/>
          <w:sz w:val="16"/>
          <w:szCs w:val="16"/>
        </w:rPr>
        <w:softHyphen/>
        <w:t>ветствии с ТТТ ВВС к самолету-штурмо</w:t>
      </w:r>
      <w:r w:rsidRPr="00722885">
        <w:rPr>
          <w:rFonts w:ascii="Times New Roman" w:hAnsi="Times New Roman" w:cs="Times New Roman"/>
          <w:color w:val="0070C0"/>
          <w:sz w:val="16"/>
          <w:szCs w:val="16"/>
        </w:rPr>
        <w:softHyphen/>
        <w:t>вику на 1943 г.</w:t>
      </w:r>
    </w:p>
    <w:p w14:paraId="3A68DA2A" w14:textId="77777777" w:rsidR="00E74794" w:rsidRPr="00722885" w:rsidRDefault="00E7479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На первом экземпляре Су-6 предпо</w:t>
      </w:r>
      <w:r w:rsidRPr="00722885">
        <w:rPr>
          <w:rFonts w:ascii="Times New Roman" w:hAnsi="Times New Roman" w:cs="Times New Roman"/>
          <w:color w:val="0070C0"/>
          <w:sz w:val="16"/>
          <w:szCs w:val="16"/>
        </w:rPr>
        <w:softHyphen/>
        <w:t>лагалось смонтировать 37-мм пушки 11П ОКБ-16, на втором - Ш-37 ОКБ-15. При этом количество пулеметов ШКАС со</w:t>
      </w:r>
      <w:r w:rsidRPr="00722885">
        <w:rPr>
          <w:rFonts w:ascii="Times New Roman" w:hAnsi="Times New Roman" w:cs="Times New Roman"/>
          <w:color w:val="0070C0"/>
          <w:sz w:val="16"/>
          <w:szCs w:val="16"/>
        </w:rPr>
        <w:softHyphen/>
        <w:t>кращалось до двух, а ракетных орудий - до шести. Боезапас к пушкам включал 80 снарядов, к пулеметам - 1500 патро</w:t>
      </w:r>
      <w:r w:rsidRPr="00722885">
        <w:rPr>
          <w:rFonts w:ascii="Times New Roman" w:hAnsi="Times New Roman" w:cs="Times New Roman"/>
          <w:color w:val="0070C0"/>
          <w:sz w:val="16"/>
          <w:szCs w:val="16"/>
        </w:rPr>
        <w:softHyphen/>
        <w:t>нов. Срок готовности первого экземпляра устанавливался - ноябрь, второго - де</w:t>
      </w:r>
      <w:r w:rsidRPr="00722885">
        <w:rPr>
          <w:rFonts w:ascii="Times New Roman" w:hAnsi="Times New Roman" w:cs="Times New Roman"/>
          <w:color w:val="0070C0"/>
          <w:sz w:val="16"/>
          <w:szCs w:val="16"/>
        </w:rPr>
        <w:softHyphen/>
        <w:t>кабрь 1942 г. (19846).</w:t>
      </w:r>
    </w:p>
    <w:p w14:paraId="63865991" w14:textId="77777777" w:rsidR="00E74794" w:rsidRPr="00722885" w:rsidRDefault="00E7479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4867C2A7" w14:textId="752D888E" w:rsidR="00AB33D6" w:rsidRPr="00722885" w:rsidRDefault="00AB33D6" w:rsidP="00722885">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22885">
        <w:rPr>
          <w:rFonts w:ascii="Times New Roman" w:hAnsi="Times New Roman"/>
          <w:i/>
          <w:iCs/>
          <w:color w:val="000000" w:themeColor="text1"/>
          <w:sz w:val="16"/>
          <w:szCs w:val="16"/>
        </w:rPr>
        <w:t>Армия:</w:t>
      </w:r>
    </w:p>
    <w:p w14:paraId="492D1AE4" w14:textId="77777777" w:rsidR="00AB33D6" w:rsidRPr="00722885" w:rsidRDefault="00AB33D6" w:rsidP="00722885">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EDC9DCE" w14:textId="77777777" w:rsidR="00AB33D6" w:rsidRPr="00722885" w:rsidRDefault="00AB33D6"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началу июля 1942 на фронтах и в запасных авиаполках на</w:t>
      </w:r>
      <w:r w:rsidRPr="00722885">
        <w:rPr>
          <w:rFonts w:ascii="Times New Roman" w:hAnsi="Times New Roman"/>
          <w:color w:val="000000" w:themeColor="text1"/>
          <w:sz w:val="16"/>
          <w:szCs w:val="16"/>
        </w:rPr>
        <w:softHyphen/>
        <w:t>считывалось 579 исправных современных самолетов без мото</w:t>
      </w:r>
      <w:r w:rsidRPr="00722885">
        <w:rPr>
          <w:rFonts w:ascii="Times New Roman" w:hAnsi="Times New Roman"/>
          <w:color w:val="000000" w:themeColor="text1"/>
          <w:sz w:val="16"/>
          <w:szCs w:val="16"/>
        </w:rPr>
        <w:softHyphen/>
        <w:t>ров и 122 самолета без винтов, а также 1364 мотора, требующих ремонта. Для приведения моторного парка ВВС КА в порядок гене</w:t>
      </w:r>
      <w:r w:rsidRPr="00722885">
        <w:rPr>
          <w:rFonts w:ascii="Times New Roman" w:hAnsi="Times New Roman"/>
          <w:color w:val="000000" w:themeColor="text1"/>
          <w:sz w:val="16"/>
          <w:szCs w:val="16"/>
        </w:rPr>
        <w:softHyphen/>
        <w:t>рал Шульговский считал необходимым форсировать выпуск остродефицитных запчастей для восстановления неисправных моторов: «То, что дает НКАП по запасным моторным частям, ничтожно мало и, безусловно, не позволит решить задачу вве</w:t>
      </w:r>
      <w:r w:rsidRPr="00722885">
        <w:rPr>
          <w:rFonts w:ascii="Times New Roman" w:hAnsi="Times New Roman"/>
          <w:color w:val="000000" w:themeColor="text1"/>
          <w:sz w:val="16"/>
          <w:szCs w:val="16"/>
        </w:rPr>
        <w:softHyphen/>
        <w:t>дения в строй самолетов. Для бесперебойной боевой работы нужно иметь хотя бы минимальный оборотный фонд исправ</w:t>
      </w:r>
      <w:r w:rsidRPr="00722885">
        <w:rPr>
          <w:rFonts w:ascii="Times New Roman" w:hAnsi="Times New Roman"/>
          <w:color w:val="000000" w:themeColor="text1"/>
          <w:sz w:val="16"/>
          <w:szCs w:val="16"/>
        </w:rPr>
        <w:softHyphen/>
        <w:t>ных моторов, которого ВВС КА не имеют» (11474,264).</w:t>
      </w:r>
    </w:p>
    <w:p w14:paraId="209EC92C" w14:textId="77777777" w:rsidR="00AB33D6" w:rsidRPr="00722885" w:rsidRDefault="00AB33D6"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4B9F1" w14:textId="4FA35CD4"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6E1E1C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3B45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А.С.Я. обратился к наркому с предложением о войсковой серии Як-1б. Не стали и решили сразу новый - Як-1м (198,50).</w:t>
      </w:r>
    </w:p>
    <w:p w14:paraId="40DDF4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AFE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в ОКБ А.С.Я. была закончена модернизация Як-1 (Як-1Б) М-105ПА N 35-60 292 завода и на нем улучшили обзор, планирование, вооружение. Машина была предъявлена в НИИ ВВС (65,65).</w:t>
      </w:r>
    </w:p>
    <w:p w14:paraId="4107AF5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А.С.Я. писал НАРОДНОМУ КОМИССАРУ АВИАЦИОННОЙ ПРОМЫШЛЕННОСТИ тов. ЩАХУРИНУ А.И.</w:t>
      </w:r>
    </w:p>
    <w:p w14:paraId="5EDFA88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дополнение к устному докладу сообщаю, что мною закон</w:t>
      </w:r>
      <w:r w:rsidRPr="00722885">
        <w:rPr>
          <w:rFonts w:ascii="Times New Roman" w:hAnsi="Times New Roman"/>
          <w:color w:val="000000" w:themeColor="text1"/>
          <w:sz w:val="16"/>
          <w:szCs w:val="16"/>
        </w:rPr>
        <w:softHyphen/>
        <w:t>чены работы по улучшению обзора самолета ЯК-1 за счет сниже</w:t>
      </w:r>
      <w:r w:rsidRPr="00722885">
        <w:rPr>
          <w:rFonts w:ascii="Times New Roman" w:hAnsi="Times New Roman"/>
          <w:color w:val="000000" w:themeColor="text1"/>
          <w:sz w:val="16"/>
          <w:szCs w:val="16"/>
        </w:rPr>
        <w:softHyphen/>
        <w:t>ния фюзеляжа за кабиной летчика удалось изменить конструкцию фонаря. Сзади летчика поставлена прозрачная броня. Впереди поставлено зеркало, позволяющее летчику видеть заднюю полусферу.</w:t>
      </w:r>
    </w:p>
    <w:p w14:paraId="455114C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Облет самолет.а показал значительное улучшение обзора, особенно задней полусферы, что дает большое преимущество в бою, по сравнению с обычным фонарем ибо .позволяет летчику видеть находящегося сзади противника, определить его намерения и предупредить соответствующим маневром.</w:t>
      </w:r>
    </w:p>
    <w:p w14:paraId="529769B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Вашего распоряжения о срочном изготовлении 20 самолето: ЯК-1 с улучшенным обзором для посылки на фронт в составе одного полка, в целях проверки их качеств в боевых условиях (1676,32).</w:t>
      </w:r>
    </w:p>
    <w:p w14:paraId="15C068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786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г. А.С.Я. обратился к наркому авиационной промышленности с просьбой о выпуске войсковой серии в 20 самолетов с изменениями, аналогичными изменениями, выполненным в июне, и отправки их на фронт для проверки в боевых условиях.</w:t>
      </w:r>
    </w:p>
    <w:p w14:paraId="4B90F5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июне месяце 1942 на заводе № 115 подвергся восстановительному ремонту и переделкам Як-1 № 3560. Как и на предыдущем образце, на нем был срезан гаргрот и установлен новый каплевидный фонарь с зеркалом обзора ЗПС. Но козырек фонаря был выполнен с прямыми стеклами. У самолета № 1047 он был беспереплетным. Даже на опытном заводе не удалось избежать волнистости плексигласа, которая искажала видимость. В условиях серийного производства бесперсплетный козырек был бы еще худшего качества, и от него пришлось временно отказаться (впоследствии такой козырек установили на Як-3). На машине № 3560 были установлены переднее и заднее бронестекла (на самолете № 1047 стоял только макет заднего). Кроме бронестекол и бронеспинки (со срезанным верхом) летчик был защищен броненадголовником, установленным на неподвижной части фонаря, и бронеподлокотником для левой руки.</w:t>
      </w:r>
    </w:p>
    <w:p w14:paraId="132170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тоже было изменено, но качественно. Вместо двух пулеметов (по отношению к серийным машинам, так как Як-1 № 3560 ранее подвергся мероприятиям по облегчению, и пулеметы ШКАС на нем не стояли) винтовочного калибра, которые уже не удовлетворяли современным требованиям, - противник тоже усиливал защиту и бронирование своих самолетов, - поставили один синхронный крупнокалиберный пулемет УБС. Боекомплект к пулемету УБС состоял из 200 патронов. Изменилось и управление огнем. Механический и пневмомеханический спуски пушки и пулеметов были заменены электрическим и пневмоэлектри- ческим соответственно, приводимые в действие от спусковой кнопки и спускового крючка на ручке управления. Новая ручка, сделанная по типу Bf. 109 позволяла вести огонь только правой рукой, оставляя левую свободной для управления режимами работы мотора при маневрировании. Все эти изменения были внесены в расчете на запущенный в серийное производство мотор М-105ПФ.</w:t>
      </w:r>
    </w:p>
    <w:p w14:paraId="04DF69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Преимущества были столь очевидны, что войсковую серию строить не стали. Постановлением ГКО от 11 августа 1942 г. было дано распоряжение директору завода № 292 о внедрении в серию изменений, опробованных на Як-1 № 3560. Кроме того, постановлением предусматривалась установка на модифицированных "яках" маслорадиатора по типу Як-?, винта ВИШ-105, всасывающего патрубка нагнетателя с пылефильтром конструкции ЦАГИ и убирающейся хвостовой опоры. Сроки устанавливались следующие: первые 10 машин изготовить в сентябре, 100 машин - в октябре, а с ноября выпускать только новые Як-1 (позже приказом наркома авиационной промышленности от 2 октября 1942 г. полный переход на выпуск "яков" с улучшенным обзором предписыва- &gt; лось начать с 10 октября).</w:t>
      </w:r>
    </w:p>
    <w:p w14:paraId="09E456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заданием завод справился. Оговоренное постановлением количество Як-16 в заданные сроки вышло из заводских цехов. Наименование новой модификации почему-то не прижилось, хотя и употреблялось повсеместно. Наименование Як-1 СБ, упомянутое в заголовке, появилось в результате ошибки военпреда УВВС ВМФ, который к секретному названию "Як-1" добавил открытое наименование машины "С-Б", употребляемое на заводе. Все нововведения внедрялись в производство постепенно, чтобы не снизить количества выпускаемых самолетов. Так, убирающуюся хвостовую опору начали ставить на Як-1 с 87-й серии, с 89-й серии появился маслоотражаюший щиток, уменьшавший забрызгивание фонаря кабины маслом, новые фонарь и вооружение впервые появились на машине № 1094 серии. Поскольку испытания мер, предложенных ЦАГИ для совершенствования аэродинамики, были закончены лишь к 11 сентября, то их внедрение в серию тоже задержалось. Оно началось с 15 ноября 1942 г. и проводилось тоже постепенно. Полностью процесс завершился примерно к 110-й серии.</w:t>
      </w:r>
    </w:p>
    <w:p w14:paraId="17CDAC6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Одновременно были проведены мероприятия по частичному облегчению конструкции серийных самолетов. По постановлению ГКО от 22 сентября 1942 г.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w:t>
      </w:r>
      <w:r w:rsidRPr="00722885">
        <w:rPr>
          <w:rFonts w:ascii="Times New Roman" w:hAnsi="Times New Roman"/>
          <w:color w:val="000000" w:themeColor="text1"/>
          <w:sz w:val="16"/>
          <w:szCs w:val="16"/>
        </w:rPr>
        <w:lastRenderedPageBreak/>
        <w:t>РСИ -3.</w:t>
      </w:r>
    </w:p>
    <w:p w14:paraId="485B5B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Як-1б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73D91C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9B487A" w:rsidRPr="00722885" w14:paraId="616C9BD2" w14:textId="77777777" w:rsidTr="00CC5360">
        <w:tc>
          <w:tcPr>
            <w:tcW w:w="2802" w:type="dxa"/>
            <w:tcBorders>
              <w:top w:val="single" w:sz="12" w:space="0" w:color="auto"/>
            </w:tcBorders>
          </w:tcPr>
          <w:p w14:paraId="6B3557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данные</w:t>
            </w:r>
          </w:p>
        </w:tc>
        <w:tc>
          <w:tcPr>
            <w:tcW w:w="2802" w:type="dxa"/>
            <w:tcBorders>
              <w:top w:val="single" w:sz="12" w:space="0" w:color="auto"/>
            </w:tcBorders>
          </w:tcPr>
          <w:p w14:paraId="787438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2898</w:t>
            </w:r>
          </w:p>
        </w:tc>
        <w:tc>
          <w:tcPr>
            <w:tcW w:w="2802" w:type="dxa"/>
            <w:tcBorders>
              <w:top w:val="single" w:sz="12" w:space="0" w:color="auto"/>
            </w:tcBorders>
          </w:tcPr>
          <w:p w14:paraId="1D9C88B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1936AB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1699</w:t>
            </w:r>
          </w:p>
        </w:tc>
      </w:tr>
      <w:tr w:rsidR="009B487A" w:rsidRPr="00722885" w14:paraId="2299B8F0" w14:textId="77777777" w:rsidTr="00CC5360">
        <w:tc>
          <w:tcPr>
            <w:tcW w:w="2802" w:type="dxa"/>
          </w:tcPr>
          <w:p w14:paraId="1EA2B3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кг</w:t>
            </w:r>
          </w:p>
        </w:tc>
        <w:tc>
          <w:tcPr>
            <w:tcW w:w="2802" w:type="dxa"/>
          </w:tcPr>
          <w:p w14:paraId="62C3E1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2940</w:t>
            </w:r>
          </w:p>
        </w:tc>
        <w:tc>
          <w:tcPr>
            <w:tcW w:w="2802" w:type="dxa"/>
          </w:tcPr>
          <w:p w14:paraId="0FA986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2780</w:t>
            </w:r>
          </w:p>
        </w:tc>
        <w:tc>
          <w:tcPr>
            <w:tcW w:w="2802" w:type="dxa"/>
          </w:tcPr>
          <w:p w14:paraId="7592FA5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2920</w:t>
            </w:r>
          </w:p>
        </w:tc>
      </w:tr>
      <w:tr w:rsidR="009B487A" w:rsidRPr="00722885" w14:paraId="3DC5BC35" w14:textId="77777777" w:rsidTr="00CC5360">
        <w:tc>
          <w:tcPr>
            <w:tcW w:w="2802" w:type="dxa"/>
          </w:tcPr>
          <w:p w14:paraId="7E589B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км/ч у земли</w:t>
            </w:r>
          </w:p>
        </w:tc>
        <w:tc>
          <w:tcPr>
            <w:tcW w:w="2802" w:type="dxa"/>
          </w:tcPr>
          <w:p w14:paraId="286519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516</w:t>
            </w:r>
          </w:p>
        </w:tc>
        <w:tc>
          <w:tcPr>
            <w:tcW w:w="2802" w:type="dxa"/>
          </w:tcPr>
          <w:p w14:paraId="4998756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526</w:t>
            </w:r>
          </w:p>
        </w:tc>
        <w:tc>
          <w:tcPr>
            <w:tcW w:w="2802" w:type="dxa"/>
          </w:tcPr>
          <w:p w14:paraId="78DC7D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524</w:t>
            </w:r>
          </w:p>
        </w:tc>
      </w:tr>
      <w:tr w:rsidR="009B487A" w:rsidRPr="00722885" w14:paraId="428DE1BE" w14:textId="77777777" w:rsidTr="00CC5360">
        <w:tc>
          <w:tcPr>
            <w:tcW w:w="2802" w:type="dxa"/>
          </w:tcPr>
          <w:p w14:paraId="65D21AD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485C7E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566</w:t>
            </w:r>
          </w:p>
        </w:tc>
        <w:tc>
          <w:tcPr>
            <w:tcW w:w="2802" w:type="dxa"/>
          </w:tcPr>
          <w:p w14:paraId="1F7E15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586</w:t>
            </w:r>
          </w:p>
        </w:tc>
        <w:tc>
          <w:tcPr>
            <w:tcW w:w="2802" w:type="dxa"/>
          </w:tcPr>
          <w:p w14:paraId="4302193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584</w:t>
            </w:r>
          </w:p>
        </w:tc>
      </w:tr>
      <w:tr w:rsidR="009B487A" w:rsidRPr="00722885" w14:paraId="4C658AE8" w14:textId="77777777" w:rsidTr="00CC5360">
        <w:tc>
          <w:tcPr>
            <w:tcW w:w="2802" w:type="dxa"/>
          </w:tcPr>
          <w:p w14:paraId="581A078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79A051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569</w:t>
            </w:r>
          </w:p>
        </w:tc>
        <w:tc>
          <w:tcPr>
            <w:tcW w:w="2802" w:type="dxa"/>
          </w:tcPr>
          <w:p w14:paraId="165C40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592</w:t>
            </w:r>
          </w:p>
        </w:tc>
        <w:tc>
          <w:tcPr>
            <w:tcW w:w="2802" w:type="dxa"/>
          </w:tcPr>
          <w:p w14:paraId="6C246C8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492F8584" w14:textId="77777777" w:rsidTr="00CC5360">
        <w:tc>
          <w:tcPr>
            <w:tcW w:w="2802" w:type="dxa"/>
            <w:tcBorders>
              <w:bottom w:val="single" w:sz="12" w:space="0" w:color="auto"/>
            </w:tcBorders>
          </w:tcPr>
          <w:p w14:paraId="6E8EC1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75B233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w:t>
            </w:r>
          </w:p>
        </w:tc>
        <w:tc>
          <w:tcPr>
            <w:tcW w:w="2802" w:type="dxa"/>
            <w:tcBorders>
              <w:bottom w:val="single" w:sz="12" w:space="0" w:color="auto"/>
            </w:tcBorders>
          </w:tcPr>
          <w:p w14:paraId="507B35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2802" w:type="dxa"/>
            <w:tcBorders>
              <w:bottom w:val="single" w:sz="12" w:space="0" w:color="auto"/>
            </w:tcBorders>
          </w:tcPr>
          <w:p w14:paraId="21C978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r>
    </w:tbl>
    <w:p w14:paraId="3F21E5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1277FD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205514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F80E4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Тараканов ознакомил Пышнова и Доброхотова с Техническим отчетом ЦАГИ N 10 по опыту борьбы с флаттером на серийных самолетах (СБ (АНТ-40), ЛаГГ-3 и ТБ-3 (АНТ-6)), подготовленный Е.П.Гроссманом и М.В.Келдышем</w:t>
      </w:r>
    </w:p>
    <w:p w14:paraId="1948D1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Исполнители Е.П.Гроссманом и М.В.Келдышем</w:t>
      </w:r>
    </w:p>
    <w:p w14:paraId="198F55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Общее заключение: цель настоящего отчета дать описание явления флаттера, наблюдающегося нап некоторых серийных с-тах и мер, применением которых достигается его устранение. На с-тах СБ, ЛаГГ-3 и ТБ-3 наблюдались случаи флаттера, связанные с органами управления: на с-те СБ - изгибно-элеронный флаттер, а на с-тах ЛаГГ-3 и ТБ-3 - флаттер руля направления.</w:t>
      </w:r>
    </w:p>
    <w:p w14:paraId="2AC7F31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Флаттер на СБ</w:t>
      </w:r>
    </w:p>
    <w:p w14:paraId="53C49E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испытаниях опытного с-та СБ в 1935 на скорости, близкой к максимальной, возник флаттер, сопровождающийся антисимметричным изгибом крыльев и отклонением элеронов - антисимметричный изгибно-элеронный флаттер. Флаттер возникал внезапно. Л-к резко убирал газ и выбирал штурвал на себя. Это привело к снижению скорости примерно на 20% и вибрация резко прекратилась.</w:t>
      </w:r>
    </w:p>
    <w:p w14:paraId="38FADD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частях ВВС наблюдался ряд аварий с-та СБ, вызванных вибрацией крыльев. В 1940 УВВС совместно с ЦАГИ было предпринято детальное обследование двух таких случаев. В обоих случаях причиной аварий было внезапное возникновение изгибно-элеронного флаттера крыла на скоростях порядка 250-270 км/час.</w:t>
      </w:r>
    </w:p>
    <w:p w14:paraId="0B0F46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Существенно отметить, что флаттер наступал на скорости ниже максимальной, неоднократно достигаемой в предыдущей эксплуатации с-та. Наступление флаттера характеризуется резкими колебаниями и баранки штурвала, которую обычно вырывало из рук л. Одновременно с колебаниями штурвала наблюдались известные колебания крыла с большой амплитудой и тряской всего с-та.</w:t>
      </w:r>
    </w:p>
    <w:p w14:paraId="640E54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Анализ аварий показал, что флаттер СБ может наступать только на с-тах первых 40 серий, на которых балансировка элеронов осуществлялась на 40-50%. На последующих сериях с-тов с балансировкой элеронов на 90-100% ни одного случая флаттера зафиксировано не было.</w:t>
      </w:r>
    </w:p>
    <w:p w14:paraId="14DD46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фигуре изображена зависимость критической скорости изгибно-элеронного флаттера крыла от степени балансировки элеронов.</w:t>
      </w:r>
    </w:p>
    <w:p w14:paraId="07EBD80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дальнейшем балансировка с-тов была доведена на всех с-тах до 95%, после чего случаи флаттера не повторялись.</w:t>
      </w:r>
    </w:p>
    <w:p w14:paraId="7DCC0F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с-те СБ флаттер наступал на скорости 250-270 км/час по приборам (как показало летные испытания все зависело от трения в органах управления.</w:t>
      </w:r>
    </w:p>
    <w:p w14:paraId="187635C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Наличие трения всегда приводит к повышению критической скорости флаттера</w:t>
      </w:r>
    </w:p>
    <w:p w14:paraId="09FB03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Флаттер с-та ЛаГГ-3</w:t>
      </w:r>
    </w:p>
    <w:p w14:paraId="7DC4A2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 ЛаГГ-3 имел уровновешенные элероны и РВ, сбалансированные согласно расчету, по которому требовалась его перебалансировка. Руль направления сбалансирован не был При заводских испытаниях серийных с-тов на ряде из них наблюдалась сильная тряска при скорости по прибору порядка 590-630 км/час. При снижении скорости тряска прекращалась и, как правило, ни к каким поломкам не приводила. У части же с-тов тряска вообще не наблюдалась Специальные исследования вибрации с-тов ЛаГГ-3 были предприняты в связи с происшедшей аварией одного из с-тов. При пикировании на этом с-те при скорости по приборам около 620 км/час возникли сильные вибрации с-та. Л-к снизил скорость и вибрации пракратились. После этого л, в соответствии с заданием на полет, совершил два захода на стрельбу и затем, обнаружив необычное ощущение управления, пошел на посадку. Посадка была совершена с небольшим плюхом, т.к. неожиданно не хватило рулей. После посадки было обраружено разрушение фюзеляжа возле люка, находящегося на боковой стенке вблизи оперения. В обшивке фюзеляжа были трещины, идущие от углов люка, почти поперек фюзеляжа вверх и вниз, заходящие на плоскость симметрии с-та. По всей длише трещин были разрушены стрингеры и лонжероны фюзеляжа Характер поломок показывал разрушение от кручения ф-жа.</w:t>
      </w:r>
    </w:p>
    <w:p w14:paraId="7B98E84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Увеличение балансира РВ не дало положительного рез-та. Произведенная затем проверка показала, что элероны с-та уравновешены не полностью. После этого балансировка элеронов была доведена до 105% и одновременно установкой балансиров был уравновешен РН на 100% на нижнем и верхнем концах руля. Эти мероприятия привели к уничтожению флаттера.</w:t>
      </w:r>
    </w:p>
    <w:p w14:paraId="34139E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тем, что перебалансировку РВ вредно отразилась на управляемости с-та, ЛИИ НКАП были предприняты полеты с целью ыфяснения возможности ее уменьшения и одновременно исследовались возможности уменьшения балансировки РН. В первом полете балансировка РВ была доведена до 100%. С-т пикировал со скоростью свыше 700 км/час и никаких признаков наступления флаттера было не обнаружено. Этот результат был подтвержден на вторичных полетах.</w:t>
      </w:r>
    </w:p>
    <w:p w14:paraId="6FC0AC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с-те, из соображений безопасности, вызываемых возможностью небольших колебаний весовых характеристик, был установлен балансир, дающий незначительную перебалансировку РВ. После этого приступили к полетам с уменьшенным балансиров РН. Сначала были произведены полеты без ниэнего балансира, показавшие отсутствие флаттера.Когда был снат и верхний балансир РН, то в первом же полете наступил флаттер на скорости 620-630 км/час., вызвавший разрушения, аналогичные тем, которые имели место в описанном выше случае. Это позволило ракомендовать сохранение (или оставление) на РН только верхнего балансира, доведя его вес до 2,5 кг (при плече 265 мм).</w:t>
      </w:r>
    </w:p>
    <w:p w14:paraId="4DA9EF9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Представлет интерес сравнение частоты флаттера с собственными частотами фюзеляжа. Частота флаттера, записанная в ЛИИ при помощи самописца отклонения рулей, равнялась 780 кол./минуту. Эта частота ближе к собственным частотам фюзеляжа. Для фюзеляжа собственная частота колебаний кручения равна 880 к/м, а собственная частота колебаний изгиба фюзедляжа в горизонтальной плоскости - 800 к/м.</w:t>
      </w:r>
    </w:p>
    <w:p w14:paraId="0B58C8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Критическая скорость флаттера ВО была расчитана по способу, разработанному в ЦАГИ Е.П.Гроссманом в самое последнее время (см. ТО ЦАГИ № 12, 1942). Расчет дал значение критической скорости без балансира РН, равное 554 км/час и частоту флаттера 744 к/м, а при наличии верхнего балансира - скорость 814 км/час, что удовлетворительно согласуется с результатами полетных испытаний. Следует опять отметить, что вследствие пренебрежения трением расчет дает максимальное значение критической скорости, которое на с-те в действительности значительно превосходилась вследствие наличия трения.</w:t>
      </w:r>
    </w:p>
    <w:p w14:paraId="68155D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Флаттер на ТБ-3</w:t>
      </w:r>
    </w:p>
    <w:p w14:paraId="169E59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того, как на с-те ТБ-3 роговая компенсация была заменена серворулем, на с-те были обнаружены весьма сильные колеьания РН и всенй хвостовой части фюзеляжа. Эти колебания возникали при значительном отклонении руля. Колебания имели тенденции к прогрессивному возрастанию, но путем своевременного внимания л их удавалось своевременно гасить.</w:t>
      </w:r>
    </w:p>
    <w:p w14:paraId="53E867F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Ы ЦАГИ проводились исследования этого явления в полете. Было обнаружено, что закрепление серворуля устраняет возможность появления колебаний. Тот же резулььтат дало уменьшение площади серворуля, разрезкой его и закреплением одной из частей, а также уменьшением его хорды. Эта последняя мера и была рекомендована для серийного строительства (см. А.В.Чесалов Опыт борьбы с вибрациями на с-тах - Труды ЦАГИ, вып. 494, ст. 32).</w:t>
      </w:r>
    </w:p>
    <w:p w14:paraId="15E93B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последние годы на с-те ТБ-3 было несколько аварий, на которые не было обращено должного внимания, т.к. они не носили массового характера. Изучение материалов по этим авариям, произведенное в 1941 г. совместно ЦАГИ и ВВС, показали, что аварии были вызваны флаттеромВО.</w:t>
      </w:r>
    </w:p>
    <w:p w14:paraId="2FA370F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Флаттер наступал на скоростях 165-190 км/час, колебания развивались сравнительно медленно, но в тех случаях, когда л не удавалось вовремя их погасить, они вызывали разрушение с-та.</w:t>
      </w:r>
    </w:p>
    <w:p w14:paraId="2C312C5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Приведем случаи, наглядно иллюстрирующие роль серворуля в явлении флаттера на с-те ТБ-3. Во время полета на одном из с-тов возникли сильные вибрации оперения и хвостовой части фюзеляжа. Бортмеханик прошел в хвостовую часть и обнаружил, что тяга серворуля оборвалась и происходят сильные вибрации РН, </w:t>
      </w:r>
      <w:r w:rsidRPr="00722885">
        <w:rPr>
          <w:rFonts w:ascii="Times New Roman" w:hAnsi="Times New Roman"/>
          <w:color w:val="000000" w:themeColor="text1"/>
          <w:sz w:val="16"/>
          <w:szCs w:val="16"/>
        </w:rPr>
        <w:lastRenderedPageBreak/>
        <w:t>сопровождающиеся колебаниями серворуля. Бортмеханик зажал оборванную тягу серворуля руками, после чего вибрации прекратились и с-т удалось посадить.</w:t>
      </w:r>
    </w:p>
    <w:p w14:paraId="757DD39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Проведенные в ЦАГИ в 1941 г. летные исследования показали, что устранение виюраций м.б. достигнуто зажатием серво-руля или постановкой на РН и серворуль балансиров.</w:t>
      </w:r>
    </w:p>
    <w:p w14:paraId="772A98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3826685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флаттере органов управления большую роль играет трение. Благодаря ему критическая скорость флаттера м.б. значительно превзойдена, а в некоторых случаях флаттер может вообще не возникнуть.</w:t>
      </w:r>
    </w:p>
    <w:p w14:paraId="347D83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Единственный полет недостаточен для установления безопасности машины в отношение флаттера. Безопасность машины от флаттера может быть обеспечена при минимально возможном трении. Значение критической скорости при отсутствии трения устанавливается расчетно.</w:t>
      </w:r>
    </w:p>
    <w:p w14:paraId="4E394A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всех известных случаях флаттера органов управления колебания конструкции нарастают сравнительно медленно и их можно погасить уменьшением скорости полета, для чего необходимо сбросить газ и взять ручку (штурвал) на себя (761).</w:t>
      </w:r>
    </w:p>
    <w:p w14:paraId="06E6ED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339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 июля 1942 группа Люльки в составе 15 чел. была переведена в КБ В.Ф.Б. на завод 293 в Свердловск (2168,4).</w:t>
      </w:r>
    </w:p>
    <w:p w14:paraId="366BF1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D66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июля 1942 Паспорт завода № 25:</w:t>
      </w:r>
    </w:p>
    <w:p w14:paraId="76D314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 Исаков</w:t>
      </w:r>
    </w:p>
    <w:p w14:paraId="1AD2C4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Адрес: Ульяновск, п/я 61</w:t>
      </w:r>
    </w:p>
    <w:p w14:paraId="22C3D1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25 эвакуирован из Москвы на строительную площадку в Ульяновске за рекой Свиягой, готовившуюся под завод № 283. Строительство завода № 283 не было закончено, а все находилось в процессе закладки.</w:t>
      </w:r>
    </w:p>
    <w:p w14:paraId="4D5700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25 по своему профилю является заводом станко-инструментального производства, а строительство завода № 283 предназначалось и ведется по проекту профиля агрегатного завода для авиационного моторостроения (9481).</w:t>
      </w:r>
    </w:p>
    <w:p w14:paraId="1DB43F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F395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вышло Постановление ГКО № 1943 О т.т. Диброва П.А., Лебедеве П.С. и Мельникове С.И. РГАНИР, Фонд ГКО, д. 40, лл. 90 (11012).</w:t>
      </w:r>
    </w:p>
    <w:p w14:paraId="42766E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6A0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вышло Постановление ГКО № 1944 Об изготовлении опытных партий фугасных авиабомб с литыми бумажными корпусами. РГАНИР, Фонд ГКО, д. 40, лл. 91 (11012).</w:t>
      </w:r>
    </w:p>
    <w:p w14:paraId="4BD272A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5E070" w14:textId="77777777" w:rsidR="00227D12" w:rsidRPr="00722885" w:rsidRDefault="00227D1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вышло Постановление ГКО № 1944 Об изготовлении опытных партий фугасных авиабомб с литыми бумажными корпусами</w:t>
      </w:r>
    </w:p>
    <w:p w14:paraId="22000C1F" w14:textId="77777777" w:rsidR="00227D12" w:rsidRPr="00722885" w:rsidRDefault="00227D12" w:rsidP="00722885">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 Обязать Наркомпищепром (т.Пронина):</w:t>
      </w:r>
    </w:p>
    <w:p w14:paraId="76DDB628" w14:textId="77777777" w:rsidR="00227D12" w:rsidRPr="00722885" w:rsidRDefault="00227D12" w:rsidP="00722885">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а) в срок до 12 июля </w:t>
      </w:r>
      <w:r w:rsidRPr="00722885">
        <w:rPr>
          <w:rStyle w:val="0pt"/>
          <w:rFonts w:ascii="Times New Roman" w:hAnsi="Times New Roman" w:cs="Times New Roman"/>
          <w:color w:val="000000" w:themeColor="text1"/>
          <w:spacing w:val="0"/>
          <w:sz w:val="16"/>
          <w:szCs w:val="16"/>
        </w:rPr>
        <w:t>1</w:t>
      </w:r>
      <w:r w:rsidRPr="00722885">
        <w:rPr>
          <w:rStyle w:val="0pt"/>
          <w:rFonts w:ascii="Times New Roman" w:hAnsi="Times New Roman" w:cs="Times New Roman"/>
          <w:color w:val="000000" w:themeColor="text1"/>
          <w:spacing w:val="0"/>
          <w:sz w:val="16"/>
          <w:szCs w:val="16"/>
          <w:lang w:val="en-US"/>
        </w:rPr>
        <w:t>S</w:t>
      </w:r>
      <w:r w:rsidRPr="00722885">
        <w:rPr>
          <w:rStyle w:val="0pt"/>
          <w:rFonts w:ascii="Times New Roman" w:hAnsi="Times New Roman" w:cs="Times New Roman"/>
          <w:color w:val="000000" w:themeColor="text1"/>
          <w:spacing w:val="0"/>
          <w:sz w:val="16"/>
          <w:szCs w:val="16"/>
        </w:rPr>
        <w:t>42</w:t>
      </w:r>
      <w:r w:rsidRPr="00722885">
        <w:rPr>
          <w:rFonts w:ascii="Times New Roman" w:hAnsi="Times New Roman" w:cs="Times New Roman"/>
          <w:color w:val="000000" w:themeColor="text1"/>
          <w:sz w:val="16"/>
          <w:szCs w:val="16"/>
        </w:rPr>
        <w:t xml:space="preserve"> </w:t>
      </w:r>
      <w:r w:rsidRPr="00722885">
        <w:rPr>
          <w:rStyle w:val="0pt"/>
          <w:rFonts w:ascii="Times New Roman" w:hAnsi="Times New Roman" w:cs="Times New Roman"/>
          <w:color w:val="000000" w:themeColor="text1"/>
          <w:spacing w:val="0"/>
          <w:sz w:val="16"/>
          <w:szCs w:val="16"/>
        </w:rPr>
        <w:t>г.</w:t>
      </w:r>
      <w:r w:rsidRPr="00722885">
        <w:rPr>
          <w:rFonts w:ascii="Times New Roman" w:hAnsi="Times New Roman" w:cs="Times New Roman"/>
          <w:color w:val="000000" w:themeColor="text1"/>
          <w:sz w:val="16"/>
          <w:szCs w:val="16"/>
        </w:rPr>
        <w:t xml:space="preserve"> закончить разработку кон</w:t>
      </w:r>
      <w:r w:rsidRPr="00722885">
        <w:rPr>
          <w:rFonts w:ascii="Times New Roman" w:hAnsi="Times New Roman" w:cs="Times New Roman"/>
          <w:color w:val="000000" w:themeColor="text1"/>
          <w:sz w:val="16"/>
          <w:szCs w:val="16"/>
        </w:rPr>
        <w:softHyphen/>
        <w:t xml:space="preserve">струкции и изготовить 40 штук корпусов фугасных авиабомб из бумажного литья, в том числе .20 штук корпусов для фугасных 100 кгр. бомб и 20 штук корпусов для фугасных </w:t>
      </w:r>
      <w:r w:rsidRPr="00722885">
        <w:rPr>
          <w:rStyle w:val="0pt"/>
          <w:rFonts w:ascii="Times New Roman" w:hAnsi="Times New Roman" w:cs="Times New Roman"/>
          <w:color w:val="000000" w:themeColor="text1"/>
          <w:spacing w:val="0"/>
          <w:sz w:val="16"/>
          <w:szCs w:val="16"/>
        </w:rPr>
        <w:t>250</w:t>
      </w:r>
      <w:r w:rsidRPr="00722885">
        <w:rPr>
          <w:rFonts w:ascii="Times New Roman" w:hAnsi="Times New Roman" w:cs="Times New Roman"/>
          <w:color w:val="000000" w:themeColor="text1"/>
          <w:sz w:val="16"/>
          <w:szCs w:val="16"/>
        </w:rPr>
        <w:t xml:space="preserve"> кгр. бомб;</w:t>
      </w:r>
    </w:p>
    <w:p w14:paraId="32A225E0" w14:textId="77777777" w:rsidR="00227D12" w:rsidRPr="00722885" w:rsidRDefault="00227D12"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б) в срок до 15 июля </w:t>
      </w:r>
      <w:r w:rsidRPr="00722885">
        <w:rPr>
          <w:rStyle w:val="0pt"/>
          <w:rFonts w:ascii="Times New Roman" w:hAnsi="Times New Roman" w:cs="Times New Roman"/>
          <w:color w:val="000000" w:themeColor="text1"/>
          <w:spacing w:val="0"/>
          <w:sz w:val="16"/>
          <w:szCs w:val="16"/>
        </w:rPr>
        <w:t>1942г.</w:t>
      </w:r>
      <w:r w:rsidRPr="00722885">
        <w:rPr>
          <w:rFonts w:ascii="Times New Roman" w:hAnsi="Times New Roman" w:cs="Times New Roman"/>
          <w:color w:val="000000" w:themeColor="text1"/>
          <w:sz w:val="16"/>
          <w:szCs w:val="16"/>
        </w:rPr>
        <w:t xml:space="preserve"> изготовить 10 штук корпусов из бумажного литья с двойной стенкой для снаряжения их окси</w:t>
      </w:r>
      <w:r w:rsidRPr="00722885">
        <w:rPr>
          <w:rStyle w:val="Gungsuh75pt0pt"/>
          <w:rFonts w:ascii="Times New Roman" w:hAnsi="Times New Roman" w:cs="Times New Roman"/>
          <w:color w:val="000000" w:themeColor="text1"/>
          <w:sz w:val="16"/>
          <w:szCs w:val="16"/>
        </w:rPr>
        <w:t>ликвитами.</w:t>
      </w:r>
    </w:p>
    <w:p w14:paraId="1193DA45" w14:textId="77777777" w:rsidR="00227D12" w:rsidRPr="00722885" w:rsidRDefault="00227D12" w:rsidP="00722885">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2. Обязать Наркомбоеприпасов (т.Ванникова) снарядить и сдать комплектно бумажные литые авиабомбы к 17 июля </w:t>
      </w:r>
      <w:r w:rsidRPr="00722885">
        <w:rPr>
          <w:rStyle w:val="0pt"/>
          <w:rFonts w:ascii="Times New Roman" w:hAnsi="Times New Roman" w:cs="Times New Roman"/>
          <w:color w:val="000000" w:themeColor="text1"/>
          <w:spacing w:val="0"/>
          <w:sz w:val="16"/>
          <w:szCs w:val="16"/>
        </w:rPr>
        <w:t xml:space="preserve">1942 г. </w:t>
      </w:r>
      <w:r w:rsidRPr="00722885">
        <w:rPr>
          <w:rFonts w:ascii="Times New Roman" w:hAnsi="Times New Roman" w:cs="Times New Roman"/>
          <w:color w:val="000000" w:themeColor="text1"/>
          <w:sz w:val="16"/>
          <w:szCs w:val="16"/>
        </w:rPr>
        <w:t>в количестве 50 штук, в том числе:</w:t>
      </w:r>
    </w:p>
    <w:p w14:paraId="70293F03" w14:textId="77777777" w:rsidR="00227D12" w:rsidRPr="00722885" w:rsidRDefault="00227D12"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а) снарядить амматолом с осевым детонатором:</w:t>
      </w:r>
    </w:p>
    <w:p w14:paraId="79634DE6" w14:textId="77777777" w:rsidR="00227D12" w:rsidRPr="00722885" w:rsidRDefault="00227D12" w:rsidP="00722885">
      <w:pPr>
        <w:pStyle w:val="47"/>
        <w:shd w:val="clear" w:color="auto" w:fill="auto"/>
        <w:tabs>
          <w:tab w:val="left" w:pos="3303"/>
          <w:tab w:val="left" w:pos="4105"/>
        </w:tabs>
        <w:spacing w:line="240" w:lineRule="auto"/>
        <w:ind w:firstLine="0"/>
        <w:jc w:val="both"/>
        <w:rPr>
          <w:rFonts w:ascii="Times New Roman" w:hAnsi="Times New Roman" w:cs="Times New Roman"/>
          <w:color w:val="000000" w:themeColor="text1"/>
          <w:sz w:val="16"/>
          <w:szCs w:val="16"/>
        </w:rPr>
      </w:pPr>
      <w:r w:rsidRPr="00722885">
        <w:rPr>
          <w:rStyle w:val="0pt"/>
          <w:rFonts w:ascii="Times New Roman" w:hAnsi="Times New Roman" w:cs="Times New Roman"/>
          <w:color w:val="000000" w:themeColor="text1"/>
          <w:spacing w:val="0"/>
          <w:sz w:val="16"/>
          <w:szCs w:val="16"/>
        </w:rPr>
        <w:t>250</w:t>
      </w:r>
      <w:r w:rsidRPr="00722885">
        <w:rPr>
          <w:rFonts w:ascii="Times New Roman" w:hAnsi="Times New Roman" w:cs="Times New Roman"/>
          <w:color w:val="000000" w:themeColor="text1"/>
          <w:sz w:val="16"/>
          <w:szCs w:val="16"/>
        </w:rPr>
        <w:t xml:space="preserve"> кгр. авиабомб - 15 штук </w:t>
      </w:r>
    </w:p>
    <w:p w14:paraId="71B05B7A" w14:textId="77777777" w:rsidR="00227D12" w:rsidRPr="00722885" w:rsidRDefault="00227D12" w:rsidP="00722885">
      <w:pPr>
        <w:pStyle w:val="47"/>
        <w:shd w:val="clear" w:color="auto" w:fill="auto"/>
        <w:tabs>
          <w:tab w:val="left" w:pos="3303"/>
          <w:tab w:val="left" w:pos="4105"/>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100 - 15 "</w:t>
      </w:r>
    </w:p>
    <w:p w14:paraId="15B238F4" w14:textId="77777777" w:rsidR="00227D12" w:rsidRPr="00722885" w:rsidRDefault="00227D12" w:rsidP="00722885">
      <w:pPr>
        <w:pStyle w:val="47"/>
        <w:shd w:val="clear" w:color="auto" w:fill="auto"/>
        <w:tabs>
          <w:tab w:val="left" w:pos="958"/>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 снарядить мощным взрывчатым веществом с большой скоростью детонации:</w:t>
      </w:r>
    </w:p>
    <w:p w14:paraId="713FB630" w14:textId="77777777" w:rsidR="00227D12" w:rsidRPr="00722885" w:rsidRDefault="00227D12" w:rsidP="00722885">
      <w:pPr>
        <w:pStyle w:val="47"/>
        <w:shd w:val="clear" w:color="auto" w:fill="auto"/>
        <w:tabs>
          <w:tab w:val="left" w:pos="3295"/>
        </w:tabs>
        <w:spacing w:line="240" w:lineRule="auto"/>
        <w:ind w:firstLine="0"/>
        <w:jc w:val="both"/>
        <w:rPr>
          <w:rFonts w:ascii="Times New Roman" w:hAnsi="Times New Roman" w:cs="Times New Roman"/>
          <w:color w:val="000000" w:themeColor="text1"/>
          <w:sz w:val="16"/>
          <w:szCs w:val="16"/>
        </w:rPr>
      </w:pPr>
      <w:r w:rsidRPr="00722885">
        <w:rPr>
          <w:rStyle w:val="0pt"/>
          <w:rFonts w:ascii="Times New Roman" w:hAnsi="Times New Roman" w:cs="Times New Roman"/>
          <w:color w:val="000000" w:themeColor="text1"/>
          <w:spacing w:val="0"/>
          <w:sz w:val="16"/>
          <w:szCs w:val="16"/>
        </w:rPr>
        <w:t>100</w:t>
      </w:r>
      <w:r w:rsidRPr="00722885">
        <w:rPr>
          <w:rFonts w:ascii="Times New Roman" w:hAnsi="Times New Roman" w:cs="Times New Roman"/>
          <w:color w:val="000000" w:themeColor="text1"/>
          <w:sz w:val="16"/>
          <w:szCs w:val="16"/>
        </w:rPr>
        <w:t xml:space="preserve"> кгр. авиабомб - 5 штук</w:t>
      </w:r>
    </w:p>
    <w:p w14:paraId="343D4F91" w14:textId="77777777" w:rsidR="00227D12" w:rsidRPr="00722885" w:rsidRDefault="00227D12" w:rsidP="00722885">
      <w:pPr>
        <w:pStyle w:val="47"/>
        <w:shd w:val="clear" w:color="auto" w:fill="auto"/>
        <w:tabs>
          <w:tab w:val="left" w:pos="3295"/>
        </w:tabs>
        <w:spacing w:line="240" w:lineRule="auto"/>
        <w:ind w:firstLine="0"/>
        <w:jc w:val="both"/>
        <w:rPr>
          <w:rFonts w:ascii="Times New Roman" w:hAnsi="Times New Roman" w:cs="Times New Roman"/>
          <w:color w:val="000000" w:themeColor="text1"/>
          <w:sz w:val="16"/>
          <w:szCs w:val="16"/>
        </w:rPr>
      </w:pPr>
      <w:r w:rsidRPr="00722885">
        <w:rPr>
          <w:rStyle w:val="0pt"/>
          <w:rFonts w:ascii="Times New Roman" w:hAnsi="Times New Roman" w:cs="Times New Roman"/>
          <w:color w:val="000000" w:themeColor="text1"/>
          <w:spacing w:val="0"/>
          <w:sz w:val="16"/>
          <w:szCs w:val="16"/>
        </w:rPr>
        <w:t>250 - 5 "</w:t>
      </w:r>
    </w:p>
    <w:p w14:paraId="2F223888" w14:textId="77777777" w:rsidR="00227D12" w:rsidRPr="00722885" w:rsidRDefault="00227D12" w:rsidP="00722885">
      <w:pPr>
        <w:pStyle w:val="47"/>
        <w:shd w:val="clear" w:color="auto" w:fill="auto"/>
        <w:tabs>
          <w:tab w:val="left" w:pos="953"/>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в) снарядить оксиликвитами </w:t>
      </w:r>
      <w:r w:rsidRPr="00722885">
        <w:rPr>
          <w:rStyle w:val="0pt"/>
          <w:rFonts w:ascii="Times New Roman" w:hAnsi="Times New Roman" w:cs="Times New Roman"/>
          <w:color w:val="000000" w:themeColor="text1"/>
          <w:spacing w:val="0"/>
          <w:sz w:val="16"/>
          <w:szCs w:val="16"/>
        </w:rPr>
        <w:t>100</w:t>
      </w:r>
      <w:r w:rsidRPr="00722885">
        <w:rPr>
          <w:rFonts w:ascii="Times New Roman" w:hAnsi="Times New Roman" w:cs="Times New Roman"/>
          <w:color w:val="000000" w:themeColor="text1"/>
          <w:sz w:val="16"/>
          <w:szCs w:val="16"/>
        </w:rPr>
        <w:t xml:space="preserve"> кгр. авиабомб 10 штук.</w:t>
      </w:r>
    </w:p>
    <w:p w14:paraId="4EDF7E7D" w14:textId="77777777" w:rsidR="00227D12" w:rsidRPr="00722885" w:rsidRDefault="00227D1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Обяэать ВВС (т.Новикова) провести испытания опытных партий фугасных авиабомб с литыми бумажными корпусами к 20 (10344).</w:t>
      </w:r>
    </w:p>
    <w:p w14:paraId="6F046D61" w14:textId="77777777" w:rsidR="00227D12" w:rsidRPr="00722885" w:rsidRDefault="00227D12"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518A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вышло Постановление ГКО № 1945 Об изготовлении фугасных авиабомб конструкции т.т. Шпитального и Солдатова. РГАНИР, Фонд ГКО, д. 40, лл. 92 (11012).</w:t>
      </w:r>
    </w:p>
    <w:p w14:paraId="4AEE8B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0D4EC" w14:textId="77777777" w:rsidR="00696E07" w:rsidRPr="00722885" w:rsidRDefault="00696E0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вышло Постановление ГКО № 1945 Об изготовлении фугасных авиабомб конструкции т.т. Шпитального и Солдатова</w:t>
      </w:r>
    </w:p>
    <w:p w14:paraId="4FA5253E" w14:textId="77777777" w:rsidR="00696E07" w:rsidRPr="00722885" w:rsidRDefault="00696E0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НКБ (т.Ванникова) снарядить 4 авиабомбы 1000 кг. конструкции т.т. Шпитального и Солдатова (1П.С.) и к 5 июля сдать НКО.</w:t>
      </w:r>
    </w:p>
    <w:p w14:paraId="0D92AE9E" w14:textId="77777777" w:rsidR="00696E07" w:rsidRPr="00722885" w:rsidRDefault="00696E07" w:rsidP="00722885">
      <w:pPr>
        <w:spacing w:after="0" w:line="240" w:lineRule="auto"/>
        <w:jc w:val="both"/>
        <w:rPr>
          <w:rFonts w:ascii="Times New Roman" w:hAnsi="Times New Roman"/>
          <w:color w:val="000000" w:themeColor="text1"/>
          <w:sz w:val="16"/>
          <w:szCs w:val="16"/>
        </w:rPr>
      </w:pPr>
      <w:r w:rsidRPr="00722885">
        <w:rPr>
          <w:rStyle w:val="9pt1pt"/>
          <w:rFonts w:ascii="Times New Roman" w:hAnsi="Times New Roman" w:cs="Times New Roman"/>
          <w:i w:val="0"/>
          <w:color w:val="000000" w:themeColor="text1"/>
          <w:spacing w:val="0"/>
          <w:sz w:val="16"/>
          <w:szCs w:val="16"/>
          <w:lang w:val="ru-RU"/>
        </w:rPr>
        <w:t>2</w:t>
      </w:r>
      <w:r w:rsidRPr="00722885">
        <w:rPr>
          <w:rStyle w:val="9pt1pt"/>
          <w:rFonts w:ascii="Times New Roman" w:hAnsi="Times New Roman" w:cs="Times New Roman"/>
          <w:color w:val="000000" w:themeColor="text1"/>
          <w:spacing w:val="0"/>
          <w:sz w:val="16"/>
          <w:szCs w:val="16"/>
          <w:lang w:val="ru-RU"/>
        </w:rPr>
        <w:t>.</w:t>
      </w:r>
      <w:r w:rsidRPr="00722885">
        <w:rPr>
          <w:rFonts w:ascii="Times New Roman" w:hAnsi="Times New Roman"/>
          <w:color w:val="000000" w:themeColor="text1"/>
          <w:sz w:val="16"/>
          <w:szCs w:val="16"/>
        </w:rPr>
        <w:t xml:space="preserve"> Разрешить ВВС КА т.Новикову использовать 1000 кг. авиабомбы (Ш.С.) в боевой обстановке.</w:t>
      </w:r>
    </w:p>
    <w:p w14:paraId="4F4196E0" w14:textId="77777777" w:rsidR="00696E07" w:rsidRPr="00722885" w:rsidRDefault="00696E07" w:rsidP="00722885">
      <w:pPr>
        <w:tabs>
          <w:tab w:val="left" w:pos="171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Обязать </w:t>
      </w:r>
      <w:r w:rsidRPr="00722885">
        <w:rPr>
          <w:rStyle w:val="-1pt"/>
          <w:rFonts w:ascii="Times New Roman" w:hAnsi="Times New Roman" w:cs="Times New Roman"/>
          <w:color w:val="000000" w:themeColor="text1"/>
          <w:spacing w:val="0"/>
          <w:sz w:val="16"/>
          <w:szCs w:val="16"/>
        </w:rPr>
        <w:t>НКБ</w:t>
      </w:r>
      <w:r w:rsidRPr="00722885">
        <w:rPr>
          <w:rFonts w:ascii="Times New Roman" w:hAnsi="Times New Roman"/>
          <w:color w:val="000000" w:themeColor="text1"/>
          <w:sz w:val="16"/>
          <w:szCs w:val="16"/>
        </w:rPr>
        <w:t xml:space="preserve"> т.Ванникова изготовить в </w:t>
      </w:r>
      <w:r w:rsidRPr="00722885">
        <w:rPr>
          <w:rStyle w:val="-1pt"/>
          <w:rFonts w:ascii="Times New Roman" w:hAnsi="Times New Roman" w:cs="Times New Roman"/>
          <w:color w:val="000000" w:themeColor="text1"/>
          <w:spacing w:val="0"/>
          <w:sz w:val="16"/>
          <w:szCs w:val="16"/>
        </w:rPr>
        <w:t>3-м</w:t>
      </w:r>
      <w:r w:rsidRPr="00722885">
        <w:rPr>
          <w:rFonts w:ascii="Times New Roman" w:hAnsi="Times New Roman"/>
          <w:color w:val="000000" w:themeColor="text1"/>
          <w:sz w:val="16"/>
          <w:szCs w:val="16"/>
        </w:rPr>
        <w:t xml:space="preserve"> квартале 30 штук 1000 кг. авиабомбе Ш.С., из них:</w:t>
      </w:r>
    </w:p>
    <w:p w14:paraId="2245E10D" w14:textId="77777777" w:rsidR="00696E07" w:rsidRPr="00722885" w:rsidRDefault="00696E07" w:rsidP="00722885">
      <w:pPr>
        <w:tabs>
          <w:tab w:val="left" w:pos="387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- 8 шт.</w:t>
      </w:r>
    </w:p>
    <w:p w14:paraId="6DD762BF" w14:textId="77777777" w:rsidR="00696E07" w:rsidRPr="00722885" w:rsidRDefault="00696E0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- 10</w:t>
      </w:r>
    </w:p>
    <w:p w14:paraId="7AF42DF9" w14:textId="77777777" w:rsidR="00696E07" w:rsidRPr="00722885" w:rsidRDefault="00696E0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- 12</w:t>
      </w:r>
    </w:p>
    <w:p w14:paraId="04949B94" w14:textId="77777777" w:rsidR="00696E07" w:rsidRPr="00722885" w:rsidRDefault="00696E07" w:rsidP="00722885">
      <w:pPr>
        <w:tabs>
          <w:tab w:val="left" w:pos="157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Обязать конструкторов т.т. Шпитального и Солдатова отработать чертежи для бомб калибра 500 кг. и 250 кг. к 10 июля 1942 года (19345).</w:t>
      </w:r>
    </w:p>
    <w:p w14:paraId="54212274" w14:textId="77777777" w:rsidR="00227D12" w:rsidRPr="00722885" w:rsidRDefault="00227D12"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3A3FE"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562717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C3F781"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1 июля 1942 г. из состава завода №74 был выделен завод №622, куда вошло и производство ПТ ружей, а с 1943 г. на нем выпускали только ПТРС. С октября этого года ПТРД стали выпускать на заводе №385 в Златоусте, прекратив с ноября его производство в Коврове. В Саратове выпускали ПТРС по июнь 1944 г., в Ижевске – по декабрь. В Златоусте прекратили делать ПТРД в марте, но затем выпустили мелкую партию в декабре. В 1945 г., согласно документам, ПТ ружья уже не выпускались.</w:t>
      </w:r>
    </w:p>
    <w:p w14:paraId="5CFAD76B"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ходе войны были созданы и испытывались многие опытные ПТР: два варианта 12,7-мм однозарядного ПТР Рукавишникова, однозарядное 14,5-мм ПТР Никитина-Романова под мощный патрон, 14,5-мм ПТР Блюма, Горова и другие. 20-мм ружье РЕС (Рашкова-Ермолаева-Слухоцкого) даже выпускалось малыми партиями для войсковых испытаний (17498).</w:t>
      </w:r>
    </w:p>
    <w:p w14:paraId="1E270F9F" w14:textId="77777777" w:rsidR="00B33D31" w:rsidRPr="00722885"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5B8F01E1" w14:textId="77777777" w:rsidR="009C7E3C" w:rsidRPr="00722885" w:rsidRDefault="009C7E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 июля 1942 г. из состава завода №74 был выделен завод №622, куда вошло и производство ПТ ружей, а с 1943 г. на нем выпускали только ПТРС. С октября этого года ПТРД стали выпускать на заводе №385 в Златоусте, прекратив с ноября его производство в Коврове. В Саратове выпускали ПТРС по июнь 1944 г., в Ижевске — по декабрь. В Златоусте прекратили делать ПТРД в марте, но затем выпустили мелкую партию в декабре. В 1945 г., согласно документам, ПТ ружья уже не выпускались.</w:t>
      </w:r>
    </w:p>
    <w:p w14:paraId="1847FAA5" w14:textId="77777777" w:rsidR="009C7E3C" w:rsidRPr="00722885" w:rsidRDefault="009C7E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войны были созданы и испытывались многие опытные ПТР: два варианта 12,7-мм однозарядного ПТР Рукавишникова, однозарядное 14,5-мм ПТР Никитина–Романова под мощный патрон (рис. 27), 14,5-мм ПТР Блюма, Горова и другие. 20-мм ружье РЕС (Рашкова–Ермолаева–Слухоцкого) даже выпускалось малыми партиями для войсковых испытаний (16838).</w:t>
      </w:r>
    </w:p>
    <w:p w14:paraId="1C67409E" w14:textId="77777777" w:rsidR="009C7E3C" w:rsidRPr="00722885" w:rsidRDefault="009C7E3C" w:rsidP="00722885">
      <w:pPr>
        <w:spacing w:after="0" w:line="240" w:lineRule="auto"/>
        <w:jc w:val="both"/>
        <w:rPr>
          <w:rFonts w:ascii="Times New Roman" w:hAnsi="Times New Roman"/>
          <w:color w:val="000000" w:themeColor="text1"/>
          <w:sz w:val="16"/>
          <w:szCs w:val="16"/>
        </w:rPr>
      </w:pPr>
    </w:p>
    <w:p w14:paraId="4026BB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г. Приказом НКМВ № 232с заводу  (Завод № 735 НКМВ, Завод «Красный Аксай» НКМВ /г. Ташкент/) поручено организовать выпуск электродов для производства химбоеприпасов.</w:t>
      </w:r>
    </w:p>
    <w:p w14:paraId="28F2F5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вероятно, завод реэвакуирован обратно в Ростов-на-Дону.</w:t>
      </w:r>
    </w:p>
    <w:p w14:paraId="0BB313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(03.1946 г.)- 2755 чел.</w:t>
      </w:r>
    </w:p>
    <w:p w14:paraId="701097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Гланцов.</w:t>
      </w:r>
    </w:p>
    <w:p w14:paraId="47A26D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химичесих авиабомб ХАБ-100, 50-мм мины (1942), морские мины МИРАБ (1942); Р- 1.РДП-3 (1942).</w:t>
      </w:r>
    </w:p>
    <w:p w14:paraId="3D522C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Механический медно-чугунолитейный завод, Завод «Красный Аксай» НКМВ, ЗАО «Красный Аксай» /344025  г. Ростов-на-Дону ул. 35-я Линия, 83/</w:t>
      </w:r>
    </w:p>
    <w:p w14:paraId="147AF4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Механический медно-чугунолитейный завод основан в 1891 г.</w:t>
      </w:r>
    </w:p>
    <w:p w14:paraId="4C0A1F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«Красный Аксай», вероятно, был реэвакурован в Ростов-на-Дону, в 07.1942 г. действовал в Ростове-на- Дону в ведении Главсельмаша НКМВ (в 02.1942 г. завод планировалось передать в 1ГУ НКМВ под № 713).</w:t>
      </w:r>
    </w:p>
    <w:p w14:paraId="3B5E3B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тракторных культиваторов (1967 г.).</w:t>
      </w:r>
    </w:p>
    <w:p w14:paraId="292E1D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(03.1946 г.)- 2300 чел. (11982)</w:t>
      </w:r>
    </w:p>
    <w:p w14:paraId="6930D9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1CB7A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 1 июля 1942г. 2-й Московский часовой завод (оборудование и 500 чел.), который действовал сначала как «2-й часовой завод в Чистополе», а затем стал 5-м часовым </w:t>
      </w:r>
      <w:r w:rsidRPr="00722885">
        <w:rPr>
          <w:rFonts w:ascii="Times New Roman" w:hAnsi="Times New Roman"/>
          <w:color w:val="000000" w:themeColor="text1"/>
          <w:sz w:val="16"/>
          <w:szCs w:val="16"/>
        </w:rPr>
        <w:lastRenderedPageBreak/>
        <w:t xml:space="preserve">заводом, полностью вступил в строй. В 06.1942г. 2-й часовой завод в Чистополе - в ведении Главприбора НКМВ. от </w:t>
      </w:r>
    </w:p>
    <w:p w14:paraId="72BED6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приказом НКМВ № 250с 5-й часовой завод НКМВ переименован в завод № 835 в ведении 5ГУ (Завод №835 НКМВ, 5 -й часовой завод НКМВ, Чистопольский часовой завод (ЧЧЗ) ММиП, МРП, ПО «Восток», АП, АООТ, ОАО «ЧЧЗ «Восток» /г. Чистополь ул. К. Маркса, 15 «Часзавод» (1948г.)/ /Татарстан 422981 г. Чистополь ул. Энгельса, 127/ /Московское представительство: г. Москва ул. Клары Цеткин, 2/3/).</w:t>
      </w:r>
    </w:p>
    <w:p w14:paraId="1E3667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 102 от 29.02.1944г. производство часов-ходиков и оборудование с завода было передано на ГЧЗ-5 (Сердобский часовой завод).</w:t>
      </w:r>
    </w:p>
    <w:p w14:paraId="283426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Чистопольский часовой завод - в ведении Главчаспрома ММиП.</w:t>
      </w:r>
    </w:p>
    <w:p w14:paraId="73B991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автоматный, прессовый, механический (К-43), механо</w:t>
      </w:r>
      <w:r w:rsidRPr="00722885">
        <w:rPr>
          <w:rFonts w:ascii="Times New Roman" w:hAnsi="Times New Roman"/>
          <w:color w:val="000000" w:themeColor="text1"/>
          <w:sz w:val="16"/>
          <w:szCs w:val="16"/>
        </w:rPr>
        <w:softHyphen/>
        <w:t>сборочный спецприборов, гальванический, сборочный электрочасов, механо-сборочный электрочасов, инструментальный, сборочный (К-43), ремонтно-механический, платино-мостовой, деревообделочный, корпусной; вспомогательные: ремонтно-строительный, энергетический, котельные.</w:t>
      </w:r>
    </w:p>
    <w:p w14:paraId="311948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Сразу после войны освоен выпуск механических наручных часов, которые стали основной продукцией завода. В начале 1950-х г. разработаны часы «Победа» в пылевлагонепроницаемом корпусе (В.П. Дудин). В 1965г. разработаны часы «Командирские», завод стал официальным поставщиком часов для МО.</w:t>
      </w:r>
    </w:p>
    <w:p w14:paraId="31F556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завод частично перепрофилирован для производства высокоточных компонентов антенных станций. 15.01.1970г. ЧЧЗ вошел в состав ЦНПО «Вымпел».</w:t>
      </w:r>
      <w:r w:rsidRPr="00722885">
        <w:rPr>
          <w:rFonts w:ascii="Times New Roman" w:hAnsi="Times New Roman"/>
          <w:color w:val="000000" w:themeColor="text1"/>
          <w:sz w:val="16"/>
          <w:szCs w:val="16"/>
          <w:vertAlign w:val="superscript"/>
        </w:rPr>
        <w:t>1</w:t>
      </w:r>
      <w:r w:rsidRPr="00722885">
        <w:rPr>
          <w:rFonts w:ascii="Times New Roman" w:hAnsi="Times New Roman"/>
          <w:color w:val="000000" w:themeColor="text1"/>
          <w:sz w:val="16"/>
          <w:szCs w:val="16"/>
        </w:rPr>
        <w:t>® С 1986г. ЧЧЗ - в ведении МРП.</w:t>
      </w:r>
    </w:p>
    <w:p w14:paraId="2BF50C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начале 2000-х г. завод выпускал около 1 млн часов в год. В 2007г. планировалось организовать совместное производство кварцевых часов с швейцарской фирмой </w:t>
      </w:r>
      <w:r w:rsidRPr="00722885">
        <w:rPr>
          <w:rFonts w:ascii="Times New Roman" w:hAnsi="Times New Roman"/>
          <w:color w:val="000000" w:themeColor="text1"/>
          <w:sz w:val="16"/>
          <w:szCs w:val="16"/>
          <w:lang w:val="en-US"/>
        </w:rPr>
        <w:t>TechnoTime</w:t>
      </w:r>
      <w:r w:rsidRPr="00722885">
        <w:rPr>
          <w:rFonts w:ascii="Times New Roman" w:hAnsi="Times New Roman"/>
          <w:color w:val="000000" w:themeColor="text1"/>
          <w:sz w:val="16"/>
          <w:szCs w:val="16"/>
        </w:rPr>
        <w:t xml:space="preserve"> мощностью 1,5 млн часов в год, но это не было реализовано. Являлся (2010г.) одним из двух часовых заводов полного цикла в России (наряду с заводом «Мак-Тайм»).</w:t>
      </w:r>
    </w:p>
    <w:p w14:paraId="72F2F0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04.2010г. начата процедура банкротства предприятия.</w:t>
      </w:r>
    </w:p>
    <w:p w14:paraId="6D081B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(1946г.)- 923 ед., (1947г.)- 1118 ед.</w:t>
      </w:r>
    </w:p>
    <w:p w14:paraId="6B1E6FB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(1947г.)- 5,34 га; застройки (1947г.)- 16702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(1946г.)-</w:t>
      </w:r>
    </w:p>
    <w:p w14:paraId="09B1AC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11558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(1947г.)- 12717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003D55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(1946г.)- 2124 чел., (1947г.)- 2112 чел.</w:t>
      </w:r>
    </w:p>
    <w:p w14:paraId="4BF7DE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(-06.1942-48Г.-)- Лукьянов, (1986г.-)- В.В. Цивилин. Гендиректор (04.2010г.)- Е. Пухов. Временный управляющий (04.2010г.-)- А. Волков.</w:t>
      </w:r>
    </w:p>
    <w:p w14:paraId="7F145D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Григорьев.</w:t>
      </w:r>
    </w:p>
    <w:p w14:paraId="4B5267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механик (1950-е)- В.П. Дудин.</w:t>
      </w:r>
    </w:p>
    <w:p w14:paraId="335F98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Московского представительства (2000г.)- Е.П. Сидоров.</w:t>
      </w:r>
    </w:p>
    <w:p w14:paraId="756B86F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часы:</w:t>
      </w:r>
      <w:r w:rsidRPr="00722885">
        <w:rPr>
          <w:rFonts w:ascii="Times New Roman" w:hAnsi="Times New Roman"/>
          <w:color w:val="000000" w:themeColor="text1"/>
          <w:sz w:val="16"/>
          <w:szCs w:val="16"/>
        </w:rPr>
        <w:t xml:space="preserve"> карманные КЧ (1947); наручные РЧД (1947), «Победа» (1950-е), «Командирские» (1965- ), «Генеральские», «Восток», «Амфибия», «Штурманские» (1990-е); морские МЧМ, МЧД (1947); автомобильные электрочасы 5ЧТ (1947); танковые ТЧ (1947); пульсомер К-43 к прибору ПАУ-22; часовые механизмы для специзделий 13А, РР-45, РР-19, 509 (ЯМД); механизм срочности МС (1947).</w:t>
      </w:r>
      <w:r w:rsidRPr="00722885">
        <w:rPr>
          <w:rFonts w:ascii="Times New Roman" w:hAnsi="Times New Roman"/>
          <w:color w:val="000000" w:themeColor="text1"/>
          <w:sz w:val="16"/>
          <w:szCs w:val="16"/>
          <w:vertAlign w:val="superscript"/>
        </w:rPr>
        <w:t>129</w:t>
      </w:r>
    </w:p>
    <w:p w14:paraId="3925078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Чистопольское конструкторско-технологическое бюро (КТБ)</w:t>
      </w:r>
    </w:p>
    <w:p w14:paraId="5C9F55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15.01.1970г. вошло в состав ЦНПО «Вымпел» (11982).</w:t>
      </w:r>
      <w:r w:rsidRPr="00722885">
        <w:rPr>
          <w:rFonts w:ascii="Times New Roman" w:hAnsi="Times New Roman"/>
          <w:color w:val="000000" w:themeColor="text1"/>
          <w:sz w:val="16"/>
          <w:szCs w:val="16"/>
          <w:vertAlign w:val="superscript"/>
        </w:rPr>
        <w:t>104</w:t>
      </w:r>
    </w:p>
    <w:p w14:paraId="67A5F9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4F6A1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г. вышло ПРЕДЛОЖЕНИЕ АТУ ГАБТУ В ГУНАРТ О ВЫДЕЛЕНИИ ПРЕДСТАВИТЕЛЯ НА ИСПЫТАНИЯ АРТТЯГАЧЕЙ</w:t>
      </w:r>
    </w:p>
    <w:p w14:paraId="32A4F6E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приказанию начальника АТУ ГАБТУ КА генерал-майора технических войск т. Тягунова НИ полигон ГАБТУ приступает к проведению срочных испытаний импортных автомобилей: Додж, Шев</w:t>
      </w:r>
      <w:r w:rsidRPr="00722885">
        <w:rPr>
          <w:rFonts w:ascii="Times New Roman" w:hAnsi="Times New Roman"/>
          <w:color w:val="000000" w:themeColor="text1"/>
          <w:sz w:val="16"/>
          <w:szCs w:val="16"/>
        </w:rPr>
        <w:softHyphen/>
        <w:t>роле и Форд (английский). Все эти машины имеют по два ведущих моста и при использовании в ка</w:t>
      </w:r>
      <w:r w:rsidRPr="00722885">
        <w:rPr>
          <w:rFonts w:ascii="Times New Roman" w:hAnsi="Times New Roman"/>
          <w:color w:val="000000" w:themeColor="text1"/>
          <w:sz w:val="16"/>
          <w:szCs w:val="16"/>
        </w:rPr>
        <w:softHyphen/>
        <w:t>честве транспортных — рассчитаны на номинальную грузоподъемность в 1,5 тонны. Испытания преследуют цель выяснить тяговые характеристики, динамические свойства машин, прочность бук-сирньщ приспособлений и прочее — при буксировке этими машинами соответствующих артсистем. В связи с изложенным прошу Вашего распоряжения о выделении ответственного представителя ГУ-НАРТа для разработки — программ, обеспечения материальной частью артсистем и участия в испы</w:t>
      </w:r>
      <w:r w:rsidRPr="00722885">
        <w:rPr>
          <w:rFonts w:ascii="Times New Roman" w:hAnsi="Times New Roman"/>
          <w:color w:val="000000" w:themeColor="text1"/>
          <w:sz w:val="16"/>
          <w:szCs w:val="16"/>
        </w:rPr>
        <w:softHyphen/>
        <w:t>таниях совместно с АТУ и НИ полигоном ГАБТУ КА.</w:t>
      </w:r>
    </w:p>
    <w:p w14:paraId="7DA1B96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5 отдела АТУ ГАБТУ КА инженер-подполковник Лебедев</w:t>
      </w:r>
    </w:p>
    <w:p w14:paraId="4051FC4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Ф.38. Оп. 11386. Д. 138. Л. 75. Копия (11211).</w:t>
      </w:r>
    </w:p>
    <w:p w14:paraId="24473C0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D6C0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г. Малышев в своем дневнике: "Позвонил по телефону т. Сталин и крепко ругался за то, что не выполняется план по танкам Т-34. Я ответил т. Сталину, что много трудностей у заводов с людьми и оборудованием и что, хотя план не выполняется, но выпуск танков Т-34 из месяца в месяц растет, но тов. Сталин опять крепко выругал меня и повесил трубку. Через полчаса позвонил Молотов и сказал: «Мы решили освободить Вас от работы наркома танковой промышленности за невыполнения плана по танкам Т-34 и назначили наркомом И.М. Зальцмана». Мне, конечно, после 2-х лет работы по танкам очень и очень тяжело переносить такое решение, но решение ЦК есть закон и направлено к улучшению дела. А это самое главное. Я же буду работать там, куда пошлет партия, и буду стараться работать лучше, чем работал в танкопроме" (Источник. 1997. № 5. С. 119.). Впоследствии Сталин более объективно оценил деятельность Малышева на посту наркома. Во многом этому способствовало то, что Зальцман тоже не смог добиться запланированного роста объемов производства. В 1943 г. Сталин вернул опальному бывшему наркому прежнюю должность. Позже Малышев получил звание генерал-полковника и был награжден многочисленными правительственными наградами, в том числе и за работу в 1941-1942 гг. После войны он был министром среднего машиностроения СССР и принял участие в работе над советским "атомным проектом". Несмотря на то, что общий промышленный потенциал СССР был в 1941-1942 гг. значительно ниже, чем у Германии, в распоряжении которой была промышленность всех завоеванных ею европейских стран, а СССР только начинал получать первые поставки из США и Великобритании по ленд-лизу, в 1942 г. выпуск вооружения и военной техники в СССР значительно превысил аналогичные показатели в Германии. В СССР в 1942 г. было произведено 24 504 танка и САУ, а в Германии - только 6 189, боевых самолетов - соответственно 21 681 и 11 408, артиллерийских орудий калибром от 75 мм и выше - 33 111 и 14 316. Между тем в Германии было выплавлено 28.7 млн т стали (31.1 млн т с учетом оккупированных стран), а в СССР - только 8.1 млн т. Электроэнергии было произведено в Германии 43.4 млрд кВч., а в СССР - 29.1 млрд кВч. Те мероприятия, которые были проведены в первый период войны, предопределили последующую успешную работу советской военной промышленности. В СССР было произведено танков и САУ: в 1943 г. 24 006 (в Германии 10.7 тыс.), в 1944 г. - 28 983 (в Германии 18.3 тыс.), в первом полугодии 1945 г. - 15 422 (в Германии только 4.4 тыс.) (РГАЭ, ф. 8752, оп. 4, д. 728, л. 158-164; История Второй мировой войны. Т. 12. М., 1978. С. 200.). Это тем более удивительно, что почти до самого конца войны общие объемы производства основных видов промышленной продукции в Германии были выше, чем в СССР. На примере работы советской танковой промышленности можно видеть, как этот успех достигался. Прежде всего он стал возможен благодаря максимальному сосредоточению всех ресурсов страны для достижения главной цели - разгрома врага. Успех обеспечила и возможность добиться рационального использования этих ресурсов в процессе производства. Немалое значение имела также работа наших конструкторов. Нельзя забывать и о том, что рабочие и служащие НКТП на всех уровнях самоотверженно выполняли свой долг в любых условиях, работая по 10 и более часов в сутки. Большое значение имело и то, что руководство страны рассматривало танковую промышленность как одну из приоритетных отраслей и оказывало ей всю возможную в тех условиях помощь. Несмотря на все трудности, НКТП в целом продемонстрировал способность оперативно, эффективно и грамотно решать стоявшие перед ним задачи (11786).</w:t>
      </w:r>
    </w:p>
    <w:p w14:paraId="589FB3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64F6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года, как записал В. А. Малышев в своём дневнике, «Позвонил по телефону т. Сталин и крепко ругался за то, что не выполняется план по танкам Т-34. Я ответил т. Сталину, что много трудностей у заводов с людьми и оборудованием и что, хотя план не выполняется, но выпуск танков Т-34 из месяца в месяц растёт, но тов. Сталин опять крепко выругал меня и повесил трубку. Через полчаса позвонил Молотов и сказал: «Мы решили освободить Вас от работы Наркома танковой промышленности за невыполнение плана по танкам Т-34 и назначили наркомом И. М. Зальцмана». Мне, конечно, после 2-х лет работы по танкам очень и очень тяжело переносить такое решение, но решение ЦК есть закон и направлено к улучшению дела. А это самое главное. Я же буду работать там, куда пошлёт партия, и буду стараться работать лучше, чем работал в танкопроме» («Пройдёт десяток лет, и этих встреч не восстановишь уже в памяти»// Источник. 1997. № 5. С. 119.)</w:t>
      </w:r>
    </w:p>
    <w:p w14:paraId="643FDD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новым наркомом танковой промышленности стал Исаак Моисеевич Зальцман, человек необычный и интересный. Он родился 26 ноября 1905 года в поселке Томашполь Ямпольского уезда Подольской губернии. Свой трудовой путь начал рабочим сахарного завода. В 1924 году Зальцман начинает делать карьеру как комсомольский работник. Побывав на разных должностях от управделами до районного детского организатора, он в 1926 году стал секретарем Брацлавского райкома комсомола. В 1928 году Зальцман вступает в ВКП(б). В 1929 он поступил в Одесский индустриальный институт. Закончив в 1933 году это учебное заведение, он переезжает в Ленинград и начинает работать на заводе «Красный Путиловец» (позже - Кировский завод). Начав работу мастером, он быстро становится начальником цеха. В 1937 году он уже главный инженер, а в 1938 году - директор Кировского завода. Молодой удачливый директор быстро нашел себе недоброжелателей. Одним из них был В. С. Емельянов, описавший, не называя имен, стиль работы И. М. Зальцмана в должности директора Кировского завода в своих воспоминаниях:</w:t>
      </w:r>
    </w:p>
    <w:p w14:paraId="011EB0B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«Это был очень ловкий человек, умевший выходить сухим из воды, даже при сложных обстоятельствах. Он был большим демагогом и умел искусно использовать свою демагогию. Приемы у него были просты, но он ими с успехом пользовался. Он называл большую программу, зная, что заводы, поставляющие ему узлы и детали машины, не смогут выполнить тех огромных цифр плана, которые он предлагал». .«Ну и циник, - подумал я. - Почему он держится? Неужели никто не видит, что это очковтиратель? Как он ловко вывернулся в прошлый раз. Он согласился принять большой заказ. А когда дело стало проваливаться, внес новое предложение об изготовлении новой конструкции с более высокими показателями. В объяснительной записке он давал развёрнутую критику всех недостатков старой конструкции и </w:t>
      </w:r>
      <w:r w:rsidRPr="00722885">
        <w:rPr>
          <w:rFonts w:ascii="Times New Roman" w:hAnsi="Times New Roman"/>
          <w:color w:val="000000" w:themeColor="text1"/>
          <w:sz w:val="16"/>
          <w:szCs w:val="16"/>
        </w:rPr>
        <w:lastRenderedPageBreak/>
        <w:t>приводил многочисленные и убедительные доводы в защиту новой. Его предложение было принято. А кто же после этого будет смотреть на то, что установленный план не выполнен - ведь речь шла уже о старой технике». ... «За обедом директор был хлебосольным хозяином и старался угодить всем и каждому. Он славился своим гостеприимством. Как он покрывал расходы, было не известно. Он был на виду, и ревизовать его боялись» (Без тайн и секретов / Н. С. Попов, В. И. Петров и др. Под ред. Н. С. Попова. Спб., 1997. С. 145.).</w:t>
      </w:r>
    </w:p>
    <w:p w14:paraId="116DFCB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DF2532B"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июля 1942 года</w:t>
      </w:r>
    </w:p>
    <w:p w14:paraId="646D6EDD"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91 лист 182 – 183</w:t>
      </w:r>
    </w:p>
    <w:p w14:paraId="5542F0BF"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041AAEC6"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495с</w:t>
      </w:r>
    </w:p>
    <w:p w14:paraId="0EAF9E2D"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0253D953"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июля 1942 года</w:t>
      </w:r>
    </w:p>
    <w:p w14:paraId="65C508BC"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результате безответственного отношения со стороны руководства Главснаба (начальник т. Розин, зам. начальника т. Ефремов) к обеспечению подшипниками важнейшего танкового завода № 183, 26 июня на этом заводе не оказалось подшипников № 7526.</w:t>
      </w:r>
    </w:p>
    <w:p w14:paraId="52ED0E5B"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Вместо того, чтобы всеми возможными способами доставить в кратчайший срок эти подшипники на завод № 183 и тем самым предотвратить срыв программы, т. Розин и т. Ефремов, непосредственно отвечающий за подшипники, не приняли должных мер к доставке подшипников несмотря на то, что эти подшипники были в Москве на складе и находились в излишке на заводе № 112, откуда могли быть переброшены и своевременно доставлены заводу № 183.</w:t>
      </w:r>
    </w:p>
    <w:p w14:paraId="6B4CA5C7"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результате проявленной безответственности со стороны т. Розина и т. Ефремова, лучший завод Наркомата, имеющий переходящее Красное Знамя Государственного Комитета Обороны, весь месяц выполнявший график выпуска танков, последние 4 дня месяца сорвал выполнение плана. ПРИКАЗЫВАЮ:</w:t>
      </w:r>
    </w:p>
    <w:p w14:paraId="7680B2A2"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За проявленную беспечность в обеспечении заводов подшипниками и за прямую вину в срыве плана важнейшего танкового завода, начальнику Главснаба т. РОЗИНУ объявить выговор. Зам. начальника Главснаба т. ЕФРЕМОВА, как непосредственно отвечающего за снабжение заводов подшипниками, снять с работы заместителя начальника Главснаба и назначить на три месяца исполняющим обязанности зам. начальника Главснаба, объявив ему строгий выговор с предупреждением.</w:t>
      </w:r>
    </w:p>
    <w:p w14:paraId="4251EE0F"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Предупредить т. Розина и т. Ефремова, что при повторении подобных безобразных случаев со снабжением танковых заводов, они будут строго наказаны вплоть до придания суду.</w:t>
      </w:r>
    </w:p>
    <w:p w14:paraId="5C267D01"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Начальника Отдела шарикоподшипников тов. ЗЕЛЬМАНЗОНА с работы снять и на 3 месяца назначить руководителем группы в Отделе шарикоподшипников и объявить ему строгий выговор с предупреждением.</w:t>
      </w:r>
    </w:p>
    <w:p w14:paraId="4B967B1C"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Предупредить всех руководящих работников Главснаба, что безобразный факт срыва программы на заводе № 183 является результатом благодушия и беспечности, появившихся в июне месяце среди руководящих работников Главснаба. В связи с ростом программы сейчас требуется от всех работников Главснаба все большее и большее напряжение, большая оперативность и умение, а не благодушие и беспечность, которые приводят к таким позорным результатам работы, как указанный факт с заводом № 183.</w:t>
      </w:r>
    </w:p>
    <w:p w14:paraId="66FDC2A7" w14:textId="77777777" w:rsidR="008B6729" w:rsidRPr="00722885" w:rsidRDefault="008B672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ТАНКОВОЙ ПРОМЫШЛЕННОСТИ СОЮЗА ССР подпись (В. МАЛЫШЕВ) (21210).</w:t>
      </w:r>
    </w:p>
    <w:p w14:paraId="30216692" w14:textId="77777777" w:rsidR="008B6729" w:rsidRPr="00722885" w:rsidRDefault="008B6729" w:rsidP="00722885">
      <w:pPr>
        <w:spacing w:after="0" w:line="240" w:lineRule="auto"/>
        <w:jc w:val="both"/>
        <w:rPr>
          <w:rFonts w:ascii="Times New Roman" w:hAnsi="Times New Roman"/>
          <w:color w:val="0070C0"/>
          <w:sz w:val="16"/>
          <w:szCs w:val="16"/>
        </w:rPr>
      </w:pPr>
    </w:p>
    <w:p w14:paraId="43843CE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июля 1942 года был подготовлен Паспорт завода № 76</w:t>
      </w:r>
    </w:p>
    <w:p w14:paraId="4321B2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 Кочетков</w:t>
      </w:r>
    </w:p>
    <w:p w14:paraId="7ED6AB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Производственный профиль – моторное производство</w:t>
      </w:r>
    </w:p>
    <w:p w14:paraId="0C79C1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Основное изделие – мотор В-2, ремонт мотора В-2, мотор М-17</w:t>
      </w:r>
    </w:p>
    <w:p w14:paraId="35F45E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Год начала строительства – 1937</w:t>
      </w:r>
    </w:p>
    <w:p w14:paraId="7ACB9A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Год пуска предприятия – 1941</w:t>
      </w:r>
    </w:p>
    <w:p w14:paraId="6FEE9A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Бывш. УТЗ (9670).</w:t>
      </w:r>
    </w:p>
    <w:p w14:paraId="2FAE3A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3D80F"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2AB48A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2408C"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 июля</w:t>
      </w:r>
      <w:r w:rsidRPr="00722885">
        <w:rPr>
          <w:rFonts w:ascii="Times New Roman" w:hAnsi="Times New Roman"/>
          <w:color w:val="000000" w:themeColor="text1"/>
          <w:sz w:val="16"/>
          <w:szCs w:val="16"/>
        </w:rPr>
        <w:t xml:space="preserve"> в 1942 году утреннее сообщение Совинформбюро:</w:t>
      </w:r>
    </w:p>
    <w:p w14:paraId="67B31944"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 июля на Курском и Севастопольском направлениях наши войска вели бои с противником.</w:t>
      </w:r>
    </w:p>
    <w:p w14:paraId="5CDD40CF"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2F0C2FC0"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Курском направлении продолжаются упорные бои, в ходе которых наши войска наносят противнику огромные потери. Танкисты под командованием тов. Аникушкина стремительно обрушились на танковую колонну гитлеровцев и уничтожили 9 немецких танков. На другом участке танки противника пытались переправиться через реку, но были встречены огнём бойцов части, где командиром тов. Савченко. Потеряв 12 танков, гитлеровцы были вынуждены отступить.</w:t>
      </w:r>
    </w:p>
    <w:p w14:paraId="01909778"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Артиллеристы и миномётчики, обороняющие Севастополь, метко бьют по технике и живой силе немецко-румынских войск. Артиллеристы под командованием тов. Моргунова в течение пяти дней подбили 7 немецких танков, уничтожили миномётную батарею, 4 орудия и до двух полков пехоты противника. Миномётчики командира Рыбакова в течение нескольких дней уничтожили до 4 батальонов немецкой пехоты, 5 автомашин, 3 наблюдательных пункта и подбили 15 немецких танков. Артиллеристы под командованием лейтенанта Юрасова были окружены противником. В течение трёх часов они отбивали атаки немцев и уничтожили до 200 гитлеровцев. С наступлением темноты бойцы другого подразделения прорвались на помощь артиллеристам и вывели их из окружения вместе с материальной частью. Орудия тт. Мезецкого и Кочергина уничтожили до батальона вражеской пехоты, подбили 3 танка и взорвали 5 автомашин с боеприпасами противника.</w:t>
      </w:r>
    </w:p>
    <w:p w14:paraId="230F8B58"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полтора месяца снайперы Н-ской части (Калининский фронт) уничтожили 360 гитлеровцев. Снайпер тов. Макаров истребил 26 немцев, тов. Прядеин — 28, лейтенант Вишняков — 34, тов. Ломбин уничтожил 23 гитлеровца.</w:t>
      </w:r>
    </w:p>
    <w:p w14:paraId="26618404"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Белорусские партизаны успешно истребляют немецко-фашистских захватчиков. Отряд под командованием тов. Р. за двенадцать дней боевых действий уничтожил 450 оккупантов. Партизаны под командованием тов. Л. подожгли торф, сложенный в штабелях. Огнём уничтожено 50.000 тонн торфа и 3 автомашины. Отряд, где командиром тов. М., в течение шести дней уничтожил 50 немецких солдат и офицеров, организовал крушение двух поездов с войсками противника. Партизаны из отряда тов. Д. за десять дней уничтожили 214 гитлеровцев и в нескольких местах взорвали полотно железной дороги.</w:t>
      </w:r>
    </w:p>
    <w:p w14:paraId="061252A7"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Взятый в плен под Севастополем ефрейтор 10 роты 266 полка 72 немецкой пехотной дивизии Вильгельм Клейн рассказал: «Нам говорили, что командование предусмотрело все детали и Севастополь будет взят в два-три дня. Теперь мы поняли, что нас бросили на верную гибель. Полк понёс огромные потери. Это наступление уже обошлось очень дорого, а что будет впереди, еще неизвестно».</w:t>
      </w:r>
    </w:p>
    <w:p w14:paraId="07F98D8D"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537 полка 385 немецкой пехотной дивизии Иозеф К. сообщил: «Я работал на заводе Круппа в г. Эссене. Уже в 1941 году рабочие жили впроголодь, а теперь многие буквально голодают. Жена и зять писали мне, что каждый месяц сокращают нормы выдачи продуктов. Наша дивизия укомплектована рабочими военных предприятий. В феврале и марте мы проходили военную подготовку недалеко от Ганновера. Учили нас наспех. Уезжая на фронт, многие не умели обращаться с гранатой, пулемётом. 80 процентов офицеров дивизии призваны из запаса. Они тоже имеют очень слабую военную подготовку. Среди солдат очень сильны антивоенные настроения. Пять солдат и четыре ефрейтора из моей роты, фамилии которых, по известным соображениям, нецелесообразно оглашать, доказывали мне, что Германия проигрывает войну и медленно, но верно идёт к своему поражению».</w:t>
      </w:r>
    </w:p>
    <w:p w14:paraId="0BB810E3"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новых чудовищных злодеяниях немецко-фашистских мерзавцев. Гитлеровцы ограбили Макарьевский дом инвалидок (Ленинградскаяобласть), отняли у беззащитных женщин всё продовольствие и тем самым обрекли их на голодную смерть. За короткий срок 60 человек умерли от голода. Вскоре гестаповцы выгнали 244 оставшиеся в живых женщины в поле и расстреляли их из пулемётов.»</w:t>
      </w:r>
    </w:p>
    <w:p w14:paraId="2F6C8834"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71B209C4"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 июля</w:t>
      </w:r>
      <w:r w:rsidRPr="00722885">
        <w:rPr>
          <w:rFonts w:ascii="Times New Roman" w:hAnsi="Times New Roman"/>
          <w:color w:val="000000" w:themeColor="text1"/>
          <w:sz w:val="16"/>
          <w:szCs w:val="16"/>
        </w:rPr>
        <w:t xml:space="preserve"> в 1942 году вечернее сообщение Совинформбюро:</w:t>
      </w:r>
    </w:p>
    <w:p w14:paraId="562DA8B6"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 июля на Курском направлении наши войска отбивали атаки немецко-фашистских войск. На некоторых участках происходили крупные танковые сражения. В ходе боёв противник понёс большие потери в людях и технике.</w:t>
      </w:r>
    </w:p>
    <w:p w14:paraId="30AE4421"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Севастопольском участке фронта противнику ценой огромных потерь удалось продвинуться вперёд. Шли ожесточённые рукопашные бои.</w:t>
      </w:r>
    </w:p>
    <w:p w14:paraId="2878830D"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32485421"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30 июня частями нашей авиации на различных участках фронта уничтожено или повреждено 136 немецких танков, 235 автомашин с войсками и грузами, подавлен огонь 7 артиллерийских батарей и 30 зенитно-пулемётных точек, разбит железнодорожный состав, взорван склад с боеприпасами, рассеяно и частью уничтожено до четырёх батальонов пехоты противника.</w:t>
      </w:r>
    </w:p>
    <w:p w14:paraId="1BD037A1"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Курском направлении в течение дня шли напряжённые танковые бои. Противник, в связи с большими потерями, ввёл в бой новые резервы. Наши танкисты, артиллеристы, лётчики и пехотинцы успешно громят танковые и пехотные части гитлеровцев. Танкисты под командованием тов. Павелкина уничтожили несколько десятков немецких танков. Наши штурмовики, поддерживая наземные части, в течение дня уничтожили много танков, 130 автомашин, 15 зенитных орудий и два батальона пехоты противника.</w:t>
      </w:r>
    </w:p>
    <w:p w14:paraId="1DF2D376"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Противник, не считаясь с огромными потерями, продолжает ожесточённый штурм Севастополя. Славные защитники города ведут самоотверженную борьбу с превосходящими силами гитлеровцев. В течение дня немцы произвели до 20 атак на позиции, которые обороняет подразделение части, где командиром тов. Гусаров. На поле боя остались сотни трупов солдат и офицеров противника. Бойцы роты подразделения командира тов. Запорощенко разгромили немцев, просочившихся в тыл. Противник потерял убитыми свыше 600 солдат и офицеров. На другом участке заместитель политрука роты тов. Кусрашвили вместе с пулемётным расчётом уничтожил до 200 гитлеровцев.</w:t>
      </w:r>
    </w:p>
    <w:p w14:paraId="07A723A6"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Гвардейцы-миномётчики (Калининский фронт) уничтожили 7 немецких пулемётных точек, 10 подвод с боеприпасами и до 200 гитлеровцев.</w:t>
      </w:r>
    </w:p>
    <w:p w14:paraId="320F3940"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бойцов-разведчиков под командованием старшего лейтенанта Василенко преодолела проволочные заграждения и ворвалась в траншеи белофиннов. Красноармейцы тт. Коваленко, Худоман, Крынский и другие уничтожили 15 белофиннов и захватили 3 пулемёта.</w:t>
      </w:r>
    </w:p>
    <w:p w14:paraId="0D140A98"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немецкого железнодорожного управления Антон М. рассказал: «...Недавно хорошо вооружённые партизаны напали на станцию Жолынец. Они перебили охрану и солдат, прикомандированных для обслуживания станции. Я сдался в плен.Меня отвели в штаб, а затем на самолёте перебросили через линию фронта. Русские лётчики на тяжёлых бомбардировщиках каждую ночь совершают налёты на железнодорожные узлы. Им удалось разрушить мост через реку Десну. Многие немецкие солдаты считают войну против России бессмысленной и безнадёжной».</w:t>
      </w:r>
    </w:p>
    <w:p w14:paraId="54E7217D"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немецкого унтер-офицера Леопольда Фогеля найдено неотправленное письмо к жене. В нём говорится: «...Поверь мне — за пять месяцев я претерпел все муки ада, какие только могут быть... Вчера наш батальон пережил самый чёрныйдень. Это была настоящая катастрофа. У одной маленькой деревушки мы потеряли 250 человек. Только чудом я уцелел. Русские становятся всё злее и яростнее. Ты знаешь, что я не из робких, но поверь, что один только вид русских в бою внушает страх. В их глазах столько ненависти и решимости! Такие не покоряются и не сдаются...»</w:t>
      </w:r>
    </w:p>
    <w:p w14:paraId="41FCA20F"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оккупированных советских районах немецко-фашистские захватчики отнимают у крестьян землю и передают её немецким «колонистам» и помещикам. В деревне Надбелье, Ленинградской области, гитлеровцы забрали у колхозников под огороды 40 гектаров лучшей земли и отдали её в собственность немцу. Обрабатывать землю заставили крестьян, без всякой оплаты за труд. В совхоз имени Володарского, Лужского района, приехал из Германии барон фон Бильдерлинг. Новоявленный помещик собрал крестьян из ближайших деревень и объявил о переходе земель и имущества совхоза в его собственность. Он приказал крестьянам безвозмездно работать у него в имении. Правда, барону не долго удалось хозяйничать на русской земле. Он был убит партизанами.</w:t>
      </w:r>
    </w:p>
    <w:p w14:paraId="13E1F7A3"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Инициатор Всесоюзного соревнования машиностроителей коллектив станкостроительного завода «Красный пролетарий» добился новых производственных успехов. Во втором квартале завод выпустил сверх плана 137 станков.» (14939).</w:t>
      </w:r>
    </w:p>
    <w:p w14:paraId="5EE5E80D"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350431A3"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 июля 1942 г. Приказом по НИП АВ всесторон</w:t>
      </w:r>
      <w:r w:rsidRPr="00722885">
        <w:rPr>
          <w:color w:val="000000" w:themeColor="text1"/>
          <w:sz w:val="16"/>
          <w:szCs w:val="16"/>
        </w:rPr>
        <w:softHyphen/>
        <w:t>ние исследования по оценке действенности состо</w:t>
      </w:r>
      <w:r w:rsidRPr="00722885">
        <w:rPr>
          <w:color w:val="000000" w:themeColor="text1"/>
          <w:sz w:val="16"/>
          <w:szCs w:val="16"/>
        </w:rPr>
        <w:softHyphen/>
        <w:t>ящих на вооружении авиации средств поражения танков и разработать рациональную тактику и спо</w:t>
      </w:r>
      <w:r w:rsidRPr="00722885">
        <w:rPr>
          <w:color w:val="000000" w:themeColor="text1"/>
          <w:sz w:val="16"/>
          <w:szCs w:val="16"/>
        </w:rPr>
        <w:softHyphen/>
        <w:t>собы боевого применения самолетов Ил-2, в том числе с пушками калибра 37 мм на НИПАВ, затребованные 27 мая 1942 г. Приказом командующего ВВС КА генерал-лейте</w:t>
      </w:r>
      <w:r w:rsidRPr="00722885">
        <w:rPr>
          <w:color w:val="000000" w:themeColor="text1"/>
          <w:sz w:val="16"/>
          <w:szCs w:val="16"/>
        </w:rPr>
        <w:softHyphen/>
        <w:t>нанта А. А. Новикова, требовалось «провести в период с 29 июня по 15 июля по программе, утвержденной зам. Ко</w:t>
      </w:r>
      <w:r w:rsidRPr="00722885">
        <w:rPr>
          <w:color w:val="000000" w:themeColor="text1"/>
          <w:sz w:val="16"/>
          <w:szCs w:val="16"/>
        </w:rPr>
        <w:softHyphen/>
        <w:t>мандующего ВВС КА». Основная сумма «денежного вознаграждения согласно приказу НКО за № 0341 от 04.12.40 г.» была установлена «в сумме 2500 рублей».</w:t>
      </w:r>
    </w:p>
    <w:p w14:paraId="7CF0F7CD"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Основную часть летных испытаний провел по</w:t>
      </w:r>
      <w:r w:rsidRPr="00722885">
        <w:rPr>
          <w:color w:val="000000" w:themeColor="text1"/>
          <w:sz w:val="16"/>
          <w:szCs w:val="16"/>
        </w:rPr>
        <w:softHyphen/>
        <w:t>мощник начальника НИП АВ по летной подготовке майор Н. И. Звонарев. Ему помогали летчики-испы</w:t>
      </w:r>
      <w:r w:rsidRPr="00722885">
        <w:rPr>
          <w:color w:val="000000" w:themeColor="text1"/>
          <w:sz w:val="16"/>
          <w:szCs w:val="16"/>
        </w:rPr>
        <w:softHyphen/>
        <w:t>татели военком филиала НИП АВ старший политрук С. И. Лябихов и капитан В. М. Кравченко. Помимо них, к испытаниям привлекались строевые летчи</w:t>
      </w:r>
      <w:r w:rsidRPr="00722885">
        <w:rPr>
          <w:color w:val="000000" w:themeColor="text1"/>
          <w:sz w:val="16"/>
          <w:szCs w:val="16"/>
        </w:rPr>
        <w:softHyphen/>
        <w:t>ки, имевшие боевой опыт: командир 2-й эскадри</w:t>
      </w:r>
      <w:r w:rsidRPr="00722885">
        <w:rPr>
          <w:color w:val="000000" w:themeColor="text1"/>
          <w:sz w:val="16"/>
          <w:szCs w:val="16"/>
        </w:rPr>
        <w:softHyphen/>
        <w:t>льи капитан И. А. Яшанов, командир звена старший лейтенант Н. С. Канюко и летчик младший лейте</w:t>
      </w:r>
      <w:r w:rsidRPr="00722885">
        <w:rPr>
          <w:color w:val="000000" w:themeColor="text1"/>
          <w:sz w:val="16"/>
          <w:szCs w:val="16"/>
        </w:rPr>
        <w:softHyphen/>
        <w:t>нант А. Л. Назаров — от 245-го шап, а также майор Н. А. Зуб — от 7-го гшап, который провел показа</w:t>
      </w:r>
      <w:r w:rsidRPr="00722885">
        <w:rPr>
          <w:color w:val="000000" w:themeColor="text1"/>
          <w:sz w:val="16"/>
          <w:szCs w:val="16"/>
        </w:rPr>
        <w:softHyphen/>
        <w:t>тельные стрельбы ракетными снарядами.</w:t>
      </w:r>
    </w:p>
    <w:p w14:paraId="435F7F84"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испытаниях были задействованы 3 самолета Ил-2 с пушками ВЯ и 8 РО-82, 1 Ил-2 с пушками ВЯ и 8 РО-132 и 1 Ил-2 с пушками ШВАК и 4 РО-203.</w:t>
      </w:r>
    </w:p>
    <w:p w14:paraId="41ABB129"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Ввиду неподачи в установленные сроки само</w:t>
      </w:r>
      <w:r w:rsidRPr="00722885">
        <w:rPr>
          <w:color w:val="000000" w:themeColor="text1"/>
          <w:sz w:val="16"/>
          <w:szCs w:val="16"/>
        </w:rPr>
        <w:softHyphen/>
        <w:t>летов Ил-2 войсковой серии с пушками Ш-37, для отработки программы испытаний привлекались 1 ЛаГГ-3 (зав. № 312197) с опытной пушкой 11П ка</w:t>
      </w:r>
      <w:r w:rsidRPr="00722885">
        <w:rPr>
          <w:color w:val="000000" w:themeColor="text1"/>
          <w:sz w:val="16"/>
          <w:szCs w:val="16"/>
        </w:rPr>
        <w:softHyphen/>
        <w:t>либра 37 мм ОКБ-16 и 2 серийных ЛаГГ-3 с пушкой Ш-37, которые были взяты из 42-го иап.</w:t>
      </w:r>
    </w:p>
    <w:p w14:paraId="72B8534C"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Противотанковый Ил-2 зав. № 1861704 с пушка</w:t>
      </w:r>
      <w:r w:rsidRPr="00722885">
        <w:rPr>
          <w:color w:val="000000" w:themeColor="text1"/>
          <w:sz w:val="16"/>
          <w:szCs w:val="16"/>
        </w:rPr>
        <w:softHyphen/>
        <w:t>ми Ш-37 поступил в НИП АВ только в конце августа и проходил полигонные испытания в период с 11 по 14 сентября.</w:t>
      </w:r>
    </w:p>
    <w:p w14:paraId="24608FE9"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общей сложности в ходе испытаний было вы</w:t>
      </w:r>
      <w:r w:rsidRPr="00722885">
        <w:rPr>
          <w:color w:val="000000" w:themeColor="text1"/>
          <w:sz w:val="16"/>
          <w:szCs w:val="16"/>
        </w:rPr>
        <w:softHyphen/>
        <w:t>полнено 136 полетов, из них 101 — на самолетах Ил-2 с пушками ВЯ и ШВАК, 16 — на Ил-2 с Ш-37 и 19 — на самолетах ЛаГГ-3. На самолетах ЛаГГ-3 летали майор Звонарев и капитан Кравченко, а на Ил-2 с Ш-37 — только Звонарев.</w:t>
      </w:r>
    </w:p>
    <w:p w14:paraId="277D9684"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ходе испытаний выполнялась стрельба в воз</w:t>
      </w:r>
      <w:r w:rsidRPr="00722885">
        <w:rPr>
          <w:color w:val="000000" w:themeColor="text1"/>
          <w:sz w:val="16"/>
          <w:szCs w:val="16"/>
        </w:rPr>
        <w:softHyphen/>
        <w:t>духе из пушек калибра 20, 23 и 37 мм, а также ракет</w:t>
      </w:r>
      <w:r w:rsidRPr="00722885">
        <w:rPr>
          <w:color w:val="000000" w:themeColor="text1"/>
          <w:sz w:val="16"/>
          <w:szCs w:val="16"/>
        </w:rPr>
        <w:softHyphen/>
        <w:t>ными снарядами типа РС-82 (осколочный), РБС-82 (бронебойный), РС-132 (осколочный), РОФС-132 (осколочно-фугасный) и РБТС-203 (бетонобойный), установленных на Ил-2, и бомбометание штатными фугасными и осколочными бомбами типа ФАБ-50, АО-25, АО-8 и АО-2,5.</w:t>
      </w:r>
    </w:p>
    <w:p w14:paraId="18041AA0"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того, при наземных испытаниях опреде</w:t>
      </w:r>
      <w:r w:rsidRPr="00722885">
        <w:rPr>
          <w:color w:val="000000" w:themeColor="text1"/>
          <w:sz w:val="16"/>
          <w:szCs w:val="16"/>
        </w:rPr>
        <w:softHyphen/>
        <w:t>лялась бронестойкость немецкой танковой брони путем обстрела из пулемета УБ калибра 12,7 мм, авиапушек ШВАК, ВЯ и Ш-37, а так</w:t>
      </w:r>
      <w:r w:rsidRPr="00722885">
        <w:rPr>
          <w:color w:val="000000" w:themeColor="text1"/>
          <w:sz w:val="16"/>
          <w:szCs w:val="16"/>
        </w:rPr>
        <w:softHyphen/>
        <w:t>же подрывом бомб типа АО-25, ФАБ-50, ФАБ-100 и ФАБ-250 и ра</w:t>
      </w:r>
      <w:r w:rsidRPr="00722885">
        <w:rPr>
          <w:color w:val="000000" w:themeColor="text1"/>
          <w:sz w:val="16"/>
          <w:szCs w:val="16"/>
        </w:rPr>
        <w:softHyphen/>
        <w:t>кетных снарядов всех типов не</w:t>
      </w:r>
      <w:r w:rsidRPr="00722885">
        <w:rPr>
          <w:color w:val="000000" w:themeColor="text1"/>
          <w:sz w:val="16"/>
          <w:szCs w:val="16"/>
        </w:rPr>
        <w:softHyphen/>
        <w:t>посредственно около трофейных танков.</w:t>
      </w:r>
    </w:p>
    <w:p w14:paraId="707E2957"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качестве мишеней использо</w:t>
      </w:r>
      <w:r w:rsidRPr="00722885">
        <w:rPr>
          <w:color w:val="000000" w:themeColor="text1"/>
          <w:sz w:val="16"/>
          <w:szCs w:val="16"/>
        </w:rPr>
        <w:softHyphen/>
        <w:t>вались трофейные легкие и сред</w:t>
      </w:r>
      <w:r w:rsidRPr="00722885">
        <w:rPr>
          <w:color w:val="000000" w:themeColor="text1"/>
          <w:sz w:val="16"/>
          <w:szCs w:val="16"/>
        </w:rPr>
        <w:softHyphen/>
        <w:t xml:space="preserve">ние танки типа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III</w:t>
      </w:r>
      <w:r w:rsidRPr="00722885">
        <w:rPr>
          <w:color w:val="000000" w:themeColor="text1"/>
          <w:sz w:val="16"/>
          <w:szCs w:val="16"/>
        </w:rPr>
        <w:t>/</w:t>
      </w:r>
      <w:r w:rsidRPr="00722885">
        <w:rPr>
          <w:color w:val="000000" w:themeColor="text1"/>
          <w:sz w:val="16"/>
          <w:szCs w:val="16"/>
          <w:lang w:val="en-US"/>
        </w:rPr>
        <w:t>G</w:t>
      </w:r>
      <w:r w:rsidRPr="00722885">
        <w:rPr>
          <w:color w:val="000000" w:themeColor="text1"/>
          <w:sz w:val="16"/>
          <w:szCs w:val="16"/>
        </w:rPr>
        <w:t xml:space="preserve">, </w:t>
      </w:r>
      <w:r w:rsidRPr="00722885">
        <w:rPr>
          <w:color w:val="000000" w:themeColor="text1"/>
          <w:sz w:val="16"/>
          <w:szCs w:val="16"/>
          <w:lang w:val="en-US"/>
        </w:rPr>
        <w:t>StuG</w:t>
      </w:r>
      <w:r w:rsidRPr="00722885">
        <w:rPr>
          <w:color w:val="000000" w:themeColor="text1"/>
          <w:sz w:val="16"/>
          <w:szCs w:val="16"/>
        </w:rPr>
        <w:t>.</w:t>
      </w:r>
      <w:r w:rsidRPr="00722885">
        <w:rPr>
          <w:color w:val="000000" w:themeColor="text1"/>
          <w:sz w:val="16"/>
          <w:szCs w:val="16"/>
          <w:lang w:val="en-US"/>
        </w:rPr>
        <w:t>III</w:t>
      </w:r>
      <w:r w:rsidRPr="00722885">
        <w:rPr>
          <w:color w:val="000000" w:themeColor="text1"/>
          <w:sz w:val="16"/>
          <w:szCs w:val="16"/>
        </w:rPr>
        <w:t>/</w:t>
      </w:r>
      <w:r w:rsidRPr="00722885">
        <w:rPr>
          <w:color w:val="000000" w:themeColor="text1"/>
          <w:sz w:val="16"/>
          <w:szCs w:val="16"/>
          <w:lang w:val="en-US"/>
        </w:rPr>
        <w:t>E</w:t>
      </w:r>
      <w:r w:rsidRPr="00722885">
        <w:rPr>
          <w:color w:val="000000" w:themeColor="text1"/>
          <w:sz w:val="16"/>
          <w:szCs w:val="16"/>
        </w:rPr>
        <w:t xml:space="preserve">,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w:t>
      </w:r>
      <w:r w:rsidRPr="00722885">
        <w:rPr>
          <w:color w:val="000000" w:themeColor="text1"/>
          <w:sz w:val="16"/>
          <w:szCs w:val="16"/>
        </w:rPr>
        <w:t>/</w:t>
      </w:r>
      <w:r w:rsidRPr="00722885">
        <w:rPr>
          <w:color w:val="000000" w:themeColor="text1"/>
          <w:sz w:val="16"/>
          <w:szCs w:val="16"/>
          <w:lang w:val="en-US"/>
        </w:rPr>
        <w:t>F</w:t>
      </w:r>
      <w:r w:rsidRPr="00722885">
        <w:rPr>
          <w:color w:val="000000" w:themeColor="text1"/>
          <w:sz w:val="16"/>
          <w:szCs w:val="16"/>
        </w:rPr>
        <w:t xml:space="preserve">, </w:t>
      </w:r>
      <w:r w:rsidRPr="00722885">
        <w:rPr>
          <w:color w:val="000000" w:themeColor="text1"/>
          <w:sz w:val="16"/>
          <w:szCs w:val="16"/>
          <w:lang w:val="en-US"/>
        </w:rPr>
        <w:t>Pz</w:t>
      </w:r>
      <w:r w:rsidRPr="00722885">
        <w:rPr>
          <w:color w:val="000000" w:themeColor="text1"/>
          <w:sz w:val="16"/>
          <w:szCs w:val="16"/>
        </w:rPr>
        <w:t>.38 (</w:t>
      </w:r>
      <w:r w:rsidRPr="00722885">
        <w:rPr>
          <w:color w:val="000000" w:themeColor="text1"/>
          <w:sz w:val="16"/>
          <w:szCs w:val="16"/>
          <w:lang w:val="en-US"/>
        </w:rPr>
        <w:t>t</w:t>
      </w:r>
      <w:r w:rsidRPr="00722885">
        <w:rPr>
          <w:color w:val="000000" w:themeColor="text1"/>
          <w:sz w:val="16"/>
          <w:szCs w:val="16"/>
        </w:rPr>
        <w:t>) /</w:t>
      </w:r>
      <w:r w:rsidRPr="00722885">
        <w:rPr>
          <w:color w:val="000000" w:themeColor="text1"/>
          <w:sz w:val="16"/>
          <w:szCs w:val="16"/>
          <w:lang w:val="en-US"/>
        </w:rPr>
        <w:t>C</w:t>
      </w:r>
      <w:r w:rsidRPr="00722885">
        <w:rPr>
          <w:color w:val="000000" w:themeColor="text1"/>
          <w:sz w:val="16"/>
          <w:szCs w:val="16"/>
        </w:rPr>
        <w:t xml:space="preserve"> и </w:t>
      </w:r>
      <w:r w:rsidRPr="00722885">
        <w:rPr>
          <w:color w:val="000000" w:themeColor="text1"/>
          <w:sz w:val="16"/>
          <w:szCs w:val="16"/>
          <w:lang w:val="en-US"/>
        </w:rPr>
        <w:t>E</w:t>
      </w:r>
      <w:r w:rsidRPr="00722885">
        <w:rPr>
          <w:color w:val="000000" w:themeColor="text1"/>
          <w:sz w:val="16"/>
          <w:szCs w:val="16"/>
        </w:rPr>
        <w:t>, а также бро</w:t>
      </w:r>
      <w:r w:rsidRPr="00722885">
        <w:rPr>
          <w:color w:val="000000" w:themeColor="text1"/>
          <w:sz w:val="16"/>
          <w:szCs w:val="16"/>
        </w:rPr>
        <w:softHyphen/>
        <w:t xml:space="preserve">немашины типа </w:t>
      </w:r>
      <w:r w:rsidRPr="00722885">
        <w:rPr>
          <w:color w:val="000000" w:themeColor="text1"/>
          <w:sz w:val="16"/>
          <w:szCs w:val="16"/>
          <w:lang w:val="en-US"/>
        </w:rPr>
        <w:t>Sd</w:t>
      </w:r>
      <w:r w:rsidRPr="00722885">
        <w:rPr>
          <w:color w:val="000000" w:themeColor="text1"/>
          <w:sz w:val="16"/>
          <w:szCs w:val="16"/>
        </w:rPr>
        <w:t xml:space="preserve"> </w:t>
      </w:r>
      <w:r w:rsidRPr="00722885">
        <w:rPr>
          <w:color w:val="000000" w:themeColor="text1"/>
          <w:sz w:val="16"/>
          <w:szCs w:val="16"/>
          <w:lang w:val="en-US"/>
        </w:rPr>
        <w:t>Kfz</w:t>
      </w:r>
      <w:r w:rsidRPr="00722885">
        <w:rPr>
          <w:color w:val="000000" w:themeColor="text1"/>
          <w:sz w:val="16"/>
          <w:szCs w:val="16"/>
        </w:rPr>
        <w:t xml:space="preserve"> 250. 8 еди</w:t>
      </w:r>
      <w:r w:rsidRPr="00722885">
        <w:rPr>
          <w:color w:val="000000" w:themeColor="text1"/>
          <w:sz w:val="16"/>
          <w:szCs w:val="16"/>
        </w:rPr>
        <w:softHyphen/>
        <w:t>ниц бронетехники составляли Т-образную колонну, что позволяло вести огонь и бомбометание под различными углами к броне танков.</w:t>
      </w:r>
    </w:p>
    <w:p w14:paraId="3304D7CE"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колонны танков, для испытания по отра</w:t>
      </w:r>
      <w:r w:rsidRPr="00722885">
        <w:rPr>
          <w:color w:val="000000" w:themeColor="text1"/>
          <w:sz w:val="16"/>
          <w:szCs w:val="16"/>
        </w:rPr>
        <w:softHyphen/>
        <w:t>ботке методики бомбометания и стрельб была соз</w:t>
      </w:r>
      <w:r w:rsidRPr="00722885">
        <w:rPr>
          <w:color w:val="000000" w:themeColor="text1"/>
          <w:sz w:val="16"/>
          <w:szCs w:val="16"/>
        </w:rPr>
        <w:softHyphen/>
        <w:t>дана специальная мишень, представляющая собой колонну из 9 танков и 200 макетов солдат.</w:t>
      </w:r>
    </w:p>
    <w:p w14:paraId="5BD7D493"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Атаки немецких танков самолетами Ил-2 выпол</w:t>
      </w:r>
      <w:r w:rsidRPr="00722885">
        <w:rPr>
          <w:color w:val="000000" w:themeColor="text1"/>
          <w:sz w:val="16"/>
          <w:szCs w:val="16"/>
        </w:rPr>
        <w:softHyphen/>
        <w:t>нялись как вдоль колонны, так и сбоку, а также спо</w:t>
      </w:r>
      <w:r w:rsidRPr="00722885">
        <w:rPr>
          <w:color w:val="000000" w:themeColor="text1"/>
          <w:sz w:val="16"/>
          <w:szCs w:val="16"/>
        </w:rPr>
        <w:softHyphen/>
        <w:t>собами, установившимися к этому времени в строе</w:t>
      </w:r>
      <w:r w:rsidRPr="00722885">
        <w:rPr>
          <w:color w:val="000000" w:themeColor="text1"/>
          <w:sz w:val="16"/>
          <w:szCs w:val="16"/>
        </w:rPr>
        <w:softHyphen/>
        <w:t>вых частях ВВС КА.</w:t>
      </w:r>
    </w:p>
    <w:p w14:paraId="0202E3F9"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этого, при атаке колонны танков и макетов солдат были проведены различные варианты комбинированной стрельбы из пу</w:t>
      </w:r>
      <w:r w:rsidRPr="00722885">
        <w:rPr>
          <w:color w:val="000000" w:themeColor="text1"/>
          <w:sz w:val="16"/>
          <w:szCs w:val="16"/>
        </w:rPr>
        <w:softHyphen/>
        <w:t>леметов, пушек и ракетных снарядов с одно</w:t>
      </w:r>
      <w:r w:rsidRPr="00722885">
        <w:rPr>
          <w:color w:val="000000" w:themeColor="text1"/>
          <w:sz w:val="16"/>
          <w:szCs w:val="16"/>
        </w:rPr>
        <w:softHyphen/>
        <w:t>временным бомбометанием на выходе из пикиро</w:t>
      </w:r>
      <w:r w:rsidRPr="00722885">
        <w:rPr>
          <w:color w:val="000000" w:themeColor="text1"/>
          <w:sz w:val="16"/>
          <w:szCs w:val="16"/>
        </w:rPr>
        <w:softHyphen/>
        <w:t>вания.</w:t>
      </w:r>
    </w:p>
    <w:p w14:paraId="43F06F65"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Стрельба и бомбометание производились с планирования под углами 5—10° (высота подхо</w:t>
      </w:r>
      <w:r w:rsidRPr="00722885">
        <w:rPr>
          <w:color w:val="000000" w:themeColor="text1"/>
          <w:sz w:val="16"/>
          <w:szCs w:val="16"/>
        </w:rPr>
        <w:softHyphen/>
        <w:t>да 100 м) и с пикирования под углами до 25—30° (высота подхода 400—700 м), а также и на брею</w:t>
      </w:r>
      <w:r w:rsidRPr="00722885">
        <w:rPr>
          <w:color w:val="000000" w:themeColor="text1"/>
          <w:sz w:val="16"/>
          <w:szCs w:val="16"/>
        </w:rPr>
        <w:softHyphen/>
        <w:t>щих полетах. Стрельба из пушек ШВАК и ВЯ велась очередями по 10—15 выстрелов с дистанции 400 м и ближе, а из пушек ОКБ-15 — очередями по 3—5 выстрелов с дистанции 600—400 м. Пуск ракетных снарядов производился одиночно и залпами по 2, 4 и 8 снарядов в залпе. Дистанция ведения огня для РС-82 и РБС-82 составляла 400—500 м, РС-132 и РОФС-132 — 500—600 м, а РБТС-203 — 700— 800 м.</w:t>
      </w:r>
    </w:p>
    <w:p w14:paraId="79EE4869"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и следовало ожидать, наиболее эффектив</w:t>
      </w:r>
      <w:r w:rsidRPr="00722885">
        <w:rPr>
          <w:color w:val="000000" w:themeColor="text1"/>
          <w:sz w:val="16"/>
          <w:szCs w:val="16"/>
        </w:rPr>
        <w:softHyphen/>
        <w:t>ным оружием оказались пушки калибра 37 мм: «...поражение легких танков с дистанции не бо</w:t>
      </w:r>
      <w:r w:rsidRPr="00722885">
        <w:rPr>
          <w:color w:val="000000" w:themeColor="text1"/>
          <w:sz w:val="16"/>
          <w:szCs w:val="16"/>
        </w:rPr>
        <w:softHyphen/>
        <w:t>лее 500 м возможно при стрельбе с любых на</w:t>
      </w:r>
      <w:r w:rsidRPr="00722885">
        <w:rPr>
          <w:color w:val="000000" w:themeColor="text1"/>
          <w:sz w:val="16"/>
          <w:szCs w:val="16"/>
        </w:rPr>
        <w:softHyphen/>
        <w:t>правлений, средние танки могут быть пораже ны стрельбой по борту или по кормовой части танка».</w:t>
      </w:r>
    </w:p>
    <w:p w14:paraId="455CE95E"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Действительно, танковая броня толщиной 30 мм пробивалась бронебойно-зажигательным снаря</w:t>
      </w:r>
      <w:r w:rsidRPr="00722885">
        <w:rPr>
          <w:color w:val="000000" w:themeColor="text1"/>
          <w:sz w:val="16"/>
          <w:szCs w:val="16"/>
        </w:rPr>
        <w:softHyphen/>
        <w:t>дом БЗТ-37 с дистанций до 500 м при углах встречи в пределах 45°. При этом снаряд выдавливал бро</w:t>
      </w:r>
      <w:r w:rsidRPr="00722885">
        <w:rPr>
          <w:color w:val="000000" w:themeColor="text1"/>
          <w:sz w:val="16"/>
          <w:szCs w:val="16"/>
        </w:rPr>
        <w:softHyphen/>
        <w:t>ню по своему калибру и делал глубокую вмятину на противоположной внутренней стенке корпуса танка. Выдавленная же броня и оставшиеся части снаряда производили сильные разрушения внутри танка. Броня толщиной 50 мм пробивалась с дис</w:t>
      </w:r>
      <w:r w:rsidRPr="00722885">
        <w:rPr>
          <w:color w:val="000000" w:themeColor="text1"/>
          <w:sz w:val="16"/>
          <w:szCs w:val="16"/>
        </w:rPr>
        <w:softHyphen/>
        <w:t>танций не более 200 м при углах встречи, не пре</w:t>
      </w:r>
      <w:r w:rsidRPr="00722885">
        <w:rPr>
          <w:color w:val="000000" w:themeColor="text1"/>
          <w:sz w:val="16"/>
          <w:szCs w:val="16"/>
        </w:rPr>
        <w:softHyphen/>
        <w:t>вышающих 5°. Попадания снарядов в элементы ходовой части танка производили существенные разрушения, выводящие танк из строя.</w:t>
      </w:r>
    </w:p>
    <w:p w14:paraId="1871937E"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Осколочно-зажигательный 37-мм снаряд ОЗТ-37 пробивал немецкую танковую броню толщиной не более 15 мм с дистанций, не превышающих 200 м, при углах встречи, близких к нормали.</w:t>
      </w:r>
    </w:p>
    <w:p w14:paraId="5834022B"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То есть противотанковые Ил-2 и ЛаГГ-3 мог</w:t>
      </w:r>
      <w:r w:rsidRPr="00722885">
        <w:rPr>
          <w:color w:val="000000" w:themeColor="text1"/>
          <w:sz w:val="16"/>
          <w:szCs w:val="16"/>
        </w:rPr>
        <w:softHyphen/>
        <w:t xml:space="preserve">ли поражать немецкие легкие танки типа </w:t>
      </w:r>
      <w:r w:rsidRPr="00722885">
        <w:rPr>
          <w:color w:val="000000" w:themeColor="text1"/>
          <w:sz w:val="16"/>
          <w:szCs w:val="16"/>
          <w:lang w:val="en-US"/>
        </w:rPr>
        <w:t>Pz</w:t>
      </w:r>
      <w:r w:rsidRPr="00722885">
        <w:rPr>
          <w:color w:val="000000" w:themeColor="text1"/>
          <w:sz w:val="16"/>
          <w:szCs w:val="16"/>
        </w:rPr>
        <w:t>.38 (</w:t>
      </w:r>
      <w:r w:rsidRPr="00722885">
        <w:rPr>
          <w:color w:val="000000" w:themeColor="text1"/>
          <w:sz w:val="16"/>
          <w:szCs w:val="16"/>
          <w:lang w:val="en-US"/>
        </w:rPr>
        <w:t>t</w:t>
      </w:r>
      <w:r w:rsidRPr="00722885">
        <w:rPr>
          <w:color w:val="000000" w:themeColor="text1"/>
          <w:sz w:val="16"/>
          <w:szCs w:val="16"/>
        </w:rPr>
        <w:t xml:space="preserve">) и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w:t>
      </w:r>
      <w:r w:rsidRPr="00722885">
        <w:rPr>
          <w:color w:val="000000" w:themeColor="text1"/>
          <w:sz w:val="16"/>
          <w:szCs w:val="16"/>
        </w:rPr>
        <w:t xml:space="preserve"> с дистанций до 500 м с любого направления и при любых углах планирования. Средние танки типа </w:t>
      </w:r>
      <w:r w:rsidRPr="00722885">
        <w:rPr>
          <w:color w:val="000000" w:themeColor="text1"/>
          <w:sz w:val="16"/>
          <w:szCs w:val="16"/>
          <w:lang w:val="en-US"/>
        </w:rPr>
        <w:t>StuG</w:t>
      </w:r>
      <w:r w:rsidRPr="00722885">
        <w:rPr>
          <w:color w:val="000000" w:themeColor="text1"/>
          <w:sz w:val="16"/>
          <w:szCs w:val="16"/>
        </w:rPr>
        <w:t>.</w:t>
      </w:r>
      <w:r w:rsidRPr="00722885">
        <w:rPr>
          <w:color w:val="000000" w:themeColor="text1"/>
          <w:sz w:val="16"/>
          <w:szCs w:val="16"/>
          <w:lang w:val="en-US"/>
        </w:rPr>
        <w:t>III</w:t>
      </w:r>
      <w:r w:rsidRPr="00722885">
        <w:rPr>
          <w:color w:val="000000" w:themeColor="text1"/>
          <w:sz w:val="16"/>
          <w:szCs w:val="16"/>
        </w:rPr>
        <w:t xml:space="preserve"> и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III</w:t>
      </w:r>
      <w:r w:rsidRPr="00722885">
        <w:rPr>
          <w:color w:val="000000" w:themeColor="text1"/>
          <w:sz w:val="16"/>
          <w:szCs w:val="16"/>
        </w:rPr>
        <w:t xml:space="preserve">, а также танки </w:t>
      </w:r>
      <w:r w:rsidRPr="00722885">
        <w:rPr>
          <w:color w:val="000000" w:themeColor="text1"/>
          <w:sz w:val="16"/>
          <w:szCs w:val="16"/>
          <w:lang w:val="en-US"/>
        </w:rPr>
        <w:t>Pz</w:t>
      </w:r>
      <w:r w:rsidRPr="00722885">
        <w:rPr>
          <w:color w:val="000000" w:themeColor="text1"/>
          <w:sz w:val="16"/>
          <w:szCs w:val="16"/>
        </w:rPr>
        <w:t>.38 (</w:t>
      </w:r>
      <w:r w:rsidRPr="00722885">
        <w:rPr>
          <w:color w:val="000000" w:themeColor="text1"/>
          <w:sz w:val="16"/>
          <w:szCs w:val="16"/>
          <w:lang w:val="en-US"/>
        </w:rPr>
        <w:t>t</w:t>
      </w:r>
      <w:r w:rsidRPr="00722885">
        <w:rPr>
          <w:color w:val="000000" w:themeColor="text1"/>
          <w:sz w:val="16"/>
          <w:szCs w:val="16"/>
        </w:rPr>
        <w:t>) с толщи</w:t>
      </w:r>
      <w:r w:rsidRPr="00722885">
        <w:rPr>
          <w:color w:val="000000" w:themeColor="text1"/>
          <w:sz w:val="16"/>
          <w:szCs w:val="16"/>
        </w:rPr>
        <w:softHyphen/>
        <w:t>ной брони на бортах до 30 мм уверенно поража</w:t>
      </w:r>
      <w:r w:rsidRPr="00722885">
        <w:rPr>
          <w:color w:val="000000" w:themeColor="text1"/>
          <w:sz w:val="16"/>
          <w:szCs w:val="16"/>
        </w:rPr>
        <w:softHyphen/>
        <w:t>лись снарядом БЗТ-37 с дистанций до 500 м при углах пикирования не более 30°. Стрельбу следо</w:t>
      </w:r>
      <w:r w:rsidRPr="00722885">
        <w:rPr>
          <w:color w:val="000000" w:themeColor="text1"/>
          <w:sz w:val="16"/>
          <w:szCs w:val="16"/>
        </w:rPr>
        <w:softHyphen/>
        <w:t>вало вести по борту или по задней части корпуса и башни танков.</w:t>
      </w:r>
    </w:p>
    <w:p w14:paraId="5E440AB4"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выводах отчета по испытаниям отмечалось, что самолеты Ил-2 и ЛаГГ-3, вооруженные пушками калибра 37 мм, являются эффективным средством борьбы с немецкими танками.</w:t>
      </w:r>
    </w:p>
    <w:p w14:paraId="735B887C"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возможности самолетов ЛаГГ-3 и Ил-2 с пушками калибра 37 мм по ряду причин были все же ограниченны.</w:t>
      </w:r>
    </w:p>
    <w:p w14:paraId="198FE8DF"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Действительно, не всякое попадание в танк со</w:t>
      </w:r>
      <w:r w:rsidRPr="00722885">
        <w:rPr>
          <w:color w:val="000000" w:themeColor="text1"/>
          <w:sz w:val="16"/>
          <w:szCs w:val="16"/>
        </w:rPr>
        <w:softHyphen/>
        <w:t>провождается пробитием брони. При этом проби</w:t>
      </w:r>
      <w:r w:rsidRPr="00722885">
        <w:rPr>
          <w:color w:val="000000" w:themeColor="text1"/>
          <w:sz w:val="16"/>
          <w:szCs w:val="16"/>
        </w:rPr>
        <w:softHyphen/>
        <w:t>тие снарядом брони далеко не всегда выводило танк из строя, не говоря уже об его уничтожении. К тому же вероятность попадания в танк была все же невелика. Даже в условиях полигона при от</w:t>
      </w:r>
      <w:r w:rsidRPr="00722885">
        <w:rPr>
          <w:color w:val="000000" w:themeColor="text1"/>
          <w:sz w:val="16"/>
          <w:szCs w:val="16"/>
        </w:rPr>
        <w:softHyphen/>
        <w:t>стреле всего боекомплекта пушки Ш-37 с самолета ЛаГГ-3 в среднем можно было рассчитывать только на 1—2 попадания в танк, а при рациональном рас</w:t>
      </w:r>
      <w:r w:rsidRPr="00722885">
        <w:rPr>
          <w:color w:val="000000" w:themeColor="text1"/>
          <w:sz w:val="16"/>
          <w:szCs w:val="16"/>
        </w:rPr>
        <w:softHyphen/>
        <w:t>ходе 2 боекомплектов к пушкам Ш-37 на самолете Ил-2 — примерно на 5—7 попаданий.</w:t>
      </w:r>
    </w:p>
    <w:p w14:paraId="40E5752C"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Результаты стрельбы в боевых условиях по движущимся танкам, очевидно, могли быть толь</w:t>
      </w:r>
      <w:r w:rsidRPr="00722885">
        <w:rPr>
          <w:color w:val="000000" w:themeColor="text1"/>
          <w:sz w:val="16"/>
          <w:szCs w:val="16"/>
        </w:rPr>
        <w:softHyphen/>
        <w:t>ко хуже, так как «подавляющая масса летчиков та</w:t>
      </w:r>
      <w:r w:rsidRPr="00722885">
        <w:rPr>
          <w:color w:val="000000" w:themeColor="text1"/>
          <w:sz w:val="16"/>
          <w:szCs w:val="16"/>
        </w:rPr>
        <w:softHyphen/>
        <w:t>ких целей поражать не в состоянии». Прицельная стрельба по малоразмерным целям доступна «толь</w:t>
      </w:r>
      <w:r w:rsidRPr="00722885">
        <w:rPr>
          <w:color w:val="000000" w:themeColor="text1"/>
          <w:sz w:val="16"/>
          <w:szCs w:val="16"/>
        </w:rPr>
        <w:softHyphen/>
        <w:t>ко отлично тренированным летчикам».</w:t>
      </w:r>
    </w:p>
    <w:p w14:paraId="3DCD01BC"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 все время полигонных испытаний истреби</w:t>
      </w:r>
      <w:r w:rsidRPr="00722885">
        <w:rPr>
          <w:color w:val="000000" w:themeColor="text1"/>
          <w:sz w:val="16"/>
          <w:szCs w:val="16"/>
        </w:rPr>
        <w:softHyphen/>
        <w:t>телей ЛаГГ-3 с крупнокалиберными пушками из 288 выстрелов, произведенных по немецким тан</w:t>
      </w:r>
      <w:r w:rsidRPr="00722885">
        <w:rPr>
          <w:color w:val="000000" w:themeColor="text1"/>
          <w:sz w:val="16"/>
          <w:szCs w:val="16"/>
        </w:rPr>
        <w:softHyphen/>
        <w:t>кам, было получено 31 попадание (углы планиро</w:t>
      </w:r>
      <w:r w:rsidRPr="00722885">
        <w:rPr>
          <w:color w:val="000000" w:themeColor="text1"/>
          <w:sz w:val="16"/>
          <w:szCs w:val="16"/>
        </w:rPr>
        <w:softHyphen/>
        <w:t xml:space="preserve">вания от 5—10° до 25—30°): 18 прямых попаданий в танк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III</w:t>
      </w:r>
      <w:r w:rsidRPr="00722885">
        <w:rPr>
          <w:color w:val="000000" w:themeColor="text1"/>
          <w:sz w:val="16"/>
          <w:szCs w:val="16"/>
        </w:rPr>
        <w:t xml:space="preserve"> и 13 попаданий — в танк </w:t>
      </w:r>
      <w:r w:rsidRPr="00722885">
        <w:rPr>
          <w:color w:val="000000" w:themeColor="text1"/>
          <w:sz w:val="16"/>
          <w:szCs w:val="16"/>
          <w:lang w:val="en-US"/>
        </w:rPr>
        <w:t>Pz</w:t>
      </w:r>
      <w:r w:rsidRPr="00722885">
        <w:rPr>
          <w:color w:val="000000" w:themeColor="text1"/>
          <w:sz w:val="16"/>
          <w:szCs w:val="16"/>
        </w:rPr>
        <w:t>.38 (</w:t>
      </w:r>
      <w:r w:rsidRPr="00722885">
        <w:rPr>
          <w:color w:val="000000" w:themeColor="text1"/>
          <w:sz w:val="16"/>
          <w:szCs w:val="16"/>
          <w:lang w:val="en-US"/>
        </w:rPr>
        <w:t>t</w:t>
      </w:r>
      <w:r w:rsidRPr="00722885">
        <w:rPr>
          <w:color w:val="000000" w:themeColor="text1"/>
          <w:sz w:val="16"/>
          <w:szCs w:val="16"/>
        </w:rPr>
        <w:t>). При этом средний процент попаданий в танк точки на</w:t>
      </w:r>
      <w:r w:rsidRPr="00722885">
        <w:rPr>
          <w:color w:val="000000" w:themeColor="text1"/>
          <w:sz w:val="16"/>
          <w:szCs w:val="16"/>
        </w:rPr>
        <w:softHyphen/>
        <w:t>водки ведущего летчика-испытателя НИП АВ май</w:t>
      </w:r>
      <w:r w:rsidRPr="00722885">
        <w:rPr>
          <w:color w:val="000000" w:themeColor="text1"/>
          <w:sz w:val="16"/>
          <w:szCs w:val="16"/>
        </w:rPr>
        <w:softHyphen/>
        <w:t>ора Н. И. Звонарева, имевшего отличную летную и стрелковую подготовку, составлял 12% (16 попа</w:t>
      </w:r>
      <w:r w:rsidRPr="00722885">
        <w:rPr>
          <w:color w:val="000000" w:themeColor="text1"/>
          <w:sz w:val="16"/>
          <w:szCs w:val="16"/>
        </w:rPr>
        <w:softHyphen/>
        <w:t>даний из 134 выстрелов в семи полетах) и 18% при стрельбе по колонне танков. Капитан В. М. Крав</w:t>
      </w:r>
      <w:r w:rsidRPr="00722885">
        <w:rPr>
          <w:color w:val="000000" w:themeColor="text1"/>
          <w:sz w:val="16"/>
          <w:szCs w:val="16"/>
        </w:rPr>
        <w:softHyphen/>
        <w:t>ченко в 12 полетах при 154 выстрелах смог обе</w:t>
      </w:r>
      <w:r w:rsidRPr="00722885">
        <w:rPr>
          <w:color w:val="000000" w:themeColor="text1"/>
          <w:sz w:val="16"/>
          <w:szCs w:val="16"/>
        </w:rPr>
        <w:softHyphen/>
        <w:t>спечить в этих же условиях лишь 2% попаданий в танк точки наводки и 6% попаданий в колонну танков.</w:t>
      </w:r>
    </w:p>
    <w:p w14:paraId="7CC86096"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Было зафиксировано всего 5 сквозных проби</w:t>
      </w:r>
      <w:r w:rsidRPr="00722885">
        <w:rPr>
          <w:color w:val="000000" w:themeColor="text1"/>
          <w:sz w:val="16"/>
          <w:szCs w:val="16"/>
        </w:rPr>
        <w:softHyphen/>
        <w:t xml:space="preserve">тий верхней брони немецких танков: 4 — в 10-мм броне над моторным отделением легкого танка </w:t>
      </w:r>
      <w:r w:rsidRPr="00722885">
        <w:rPr>
          <w:color w:val="000000" w:themeColor="text1"/>
          <w:sz w:val="16"/>
          <w:szCs w:val="16"/>
          <w:lang w:val="en-US"/>
        </w:rPr>
        <w:t>Pz</w:t>
      </w:r>
      <w:r w:rsidRPr="00722885">
        <w:rPr>
          <w:color w:val="000000" w:themeColor="text1"/>
          <w:sz w:val="16"/>
          <w:szCs w:val="16"/>
        </w:rPr>
        <w:t>.38 (</w:t>
      </w:r>
      <w:r w:rsidRPr="00722885">
        <w:rPr>
          <w:color w:val="000000" w:themeColor="text1"/>
          <w:sz w:val="16"/>
          <w:szCs w:val="16"/>
          <w:lang w:val="en-US"/>
        </w:rPr>
        <w:t>t</w:t>
      </w:r>
      <w:r w:rsidRPr="00722885">
        <w:rPr>
          <w:color w:val="000000" w:themeColor="text1"/>
          <w:sz w:val="16"/>
          <w:szCs w:val="16"/>
        </w:rPr>
        <w:t xml:space="preserve">) и 1 — в 16-мм броне танка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III</w:t>
      </w:r>
      <w:r w:rsidRPr="00722885">
        <w:rPr>
          <w:color w:val="000000" w:themeColor="text1"/>
          <w:sz w:val="16"/>
          <w:szCs w:val="16"/>
        </w:rPr>
        <w:t>. Во всех случаях атака производилась с пикирования под углом 30°.</w:t>
      </w:r>
    </w:p>
    <w:p w14:paraId="2E2E4BC9"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стрельбе из пушек Ш-37 с самолета Ил-2 летчик с высокой квалификацией, каковым являл</w:t>
      </w:r>
      <w:r w:rsidRPr="00722885">
        <w:rPr>
          <w:color w:val="000000" w:themeColor="text1"/>
          <w:sz w:val="16"/>
          <w:szCs w:val="16"/>
        </w:rPr>
        <w:softHyphen/>
        <w:t>ся майор Звонарев, при расходе в общей сложно</w:t>
      </w:r>
      <w:r w:rsidRPr="00722885">
        <w:rPr>
          <w:color w:val="000000" w:themeColor="text1"/>
          <w:sz w:val="16"/>
          <w:szCs w:val="16"/>
        </w:rPr>
        <w:softHyphen/>
        <w:t xml:space="preserve">сти 153 снарядов обеспечил 23 попадания в танк (стрельба очередями по 3—5 выстрелов, углы планирования от 5—10° до 25—30°). При этом из 16 попаданий в легкие танки типа </w:t>
      </w:r>
      <w:r w:rsidRPr="00722885">
        <w:rPr>
          <w:color w:val="000000" w:themeColor="text1"/>
          <w:sz w:val="16"/>
          <w:szCs w:val="16"/>
          <w:lang w:val="en-US"/>
        </w:rPr>
        <w:lastRenderedPageBreak/>
        <w:t>Pz</w:t>
      </w:r>
      <w:r w:rsidRPr="00722885">
        <w:rPr>
          <w:color w:val="000000" w:themeColor="text1"/>
          <w:sz w:val="16"/>
          <w:szCs w:val="16"/>
        </w:rPr>
        <w:t>.</w:t>
      </w:r>
      <w:r w:rsidRPr="00722885">
        <w:rPr>
          <w:color w:val="000000" w:themeColor="text1"/>
          <w:sz w:val="16"/>
          <w:szCs w:val="16"/>
          <w:lang w:val="en-US"/>
        </w:rPr>
        <w:t>II</w:t>
      </w:r>
      <w:r w:rsidRPr="00722885">
        <w:rPr>
          <w:color w:val="000000" w:themeColor="text1"/>
          <w:sz w:val="16"/>
          <w:szCs w:val="16"/>
        </w:rPr>
        <w:t xml:space="preserve"> и </w:t>
      </w:r>
      <w:r w:rsidRPr="00722885">
        <w:rPr>
          <w:color w:val="000000" w:themeColor="text1"/>
          <w:sz w:val="16"/>
          <w:szCs w:val="16"/>
          <w:lang w:val="en-US"/>
        </w:rPr>
        <w:t>Pz</w:t>
      </w:r>
      <w:r w:rsidRPr="00722885">
        <w:rPr>
          <w:color w:val="000000" w:themeColor="text1"/>
          <w:sz w:val="16"/>
          <w:szCs w:val="16"/>
        </w:rPr>
        <w:t>.38 (</w:t>
      </w:r>
      <w:r w:rsidRPr="00722885">
        <w:rPr>
          <w:color w:val="000000" w:themeColor="text1"/>
          <w:sz w:val="16"/>
          <w:szCs w:val="16"/>
          <w:lang w:val="en-US"/>
        </w:rPr>
        <w:t>t</w:t>
      </w:r>
      <w:r w:rsidRPr="00722885">
        <w:rPr>
          <w:color w:val="000000" w:themeColor="text1"/>
          <w:sz w:val="16"/>
          <w:szCs w:val="16"/>
        </w:rPr>
        <w:t>) было получено 10 зачетных пробитий брони (борт и башня — толщина брони 15—30 мм), а из 7 по</w:t>
      </w:r>
      <w:r w:rsidRPr="00722885">
        <w:rPr>
          <w:color w:val="000000" w:themeColor="text1"/>
          <w:sz w:val="16"/>
          <w:szCs w:val="16"/>
        </w:rPr>
        <w:softHyphen/>
        <w:t xml:space="preserve">паданий в средний танк типа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III</w:t>
      </w:r>
      <w:r w:rsidRPr="00722885">
        <w:rPr>
          <w:color w:val="000000" w:themeColor="text1"/>
          <w:sz w:val="16"/>
          <w:szCs w:val="16"/>
        </w:rPr>
        <w:t xml:space="preserve"> пробитий было всего два (оба в борт — броня 30 мм).</w:t>
      </w:r>
    </w:p>
    <w:p w14:paraId="411E2A12"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Для получения наилучших результатов при стрельбе из пушек Ш-37 с самолета Ил-2 длина очереди ограничивалась 3—7 выстрелами. Более двух очередей за один заход делать не рекомен</w:t>
      </w:r>
      <w:r w:rsidRPr="00722885">
        <w:rPr>
          <w:color w:val="000000" w:themeColor="text1"/>
          <w:sz w:val="16"/>
          <w:szCs w:val="16"/>
        </w:rPr>
        <w:softHyphen/>
        <w:t>довалось. Майор Звонарев указывал: «Дистанция прицеливания 800—600 м для летчика средней техники пилотирования на данном типе самолета дает вполне достаточное время для наведения са</w:t>
      </w:r>
      <w:r w:rsidRPr="00722885">
        <w:rPr>
          <w:color w:val="000000" w:themeColor="text1"/>
          <w:sz w:val="16"/>
          <w:szCs w:val="16"/>
        </w:rPr>
        <w:softHyphen/>
        <w:t>молета на цель, и при заданной дистанции откры</w:t>
      </w:r>
      <w:r w:rsidRPr="00722885">
        <w:rPr>
          <w:color w:val="000000" w:themeColor="text1"/>
          <w:sz w:val="16"/>
          <w:szCs w:val="16"/>
        </w:rPr>
        <w:softHyphen/>
        <w:t>тия огня 600—400 м возможно дать прицельную очередь от 5 до 7 выстрелов». Стрельба с самолета Ил-2 из одной пушки Ш-37 допускалась, но длина очереди при этом сокращалась до 2—3 выстрелов, так как «во время стрельбы точка наводки сбивает</w:t>
      </w:r>
      <w:r w:rsidRPr="00722885">
        <w:rPr>
          <w:color w:val="000000" w:themeColor="text1"/>
          <w:sz w:val="16"/>
          <w:szCs w:val="16"/>
        </w:rPr>
        <w:softHyphen/>
        <w:t>ся» и «не хватает возможности парировать рулями уход самолета с точки наводки». Из-за того что про</w:t>
      </w:r>
      <w:r w:rsidRPr="00722885">
        <w:rPr>
          <w:color w:val="000000" w:themeColor="text1"/>
          <w:sz w:val="16"/>
          <w:szCs w:val="16"/>
        </w:rPr>
        <w:softHyphen/>
        <w:t>садка Ил-2 с «большими пушками» на выводе из пи</w:t>
      </w:r>
      <w:r w:rsidRPr="00722885">
        <w:rPr>
          <w:color w:val="000000" w:themeColor="text1"/>
          <w:sz w:val="16"/>
          <w:szCs w:val="16"/>
        </w:rPr>
        <w:softHyphen/>
        <w:t>кирования была несколько больше, чем у обычно</w:t>
      </w:r>
      <w:r w:rsidRPr="00722885">
        <w:rPr>
          <w:color w:val="000000" w:themeColor="text1"/>
          <w:sz w:val="16"/>
          <w:szCs w:val="16"/>
        </w:rPr>
        <w:softHyphen/>
        <w:t>го серийного Ил-2, скорость ввода в пикирование ограничивалась 220 км/ч по прибору.</w:t>
      </w:r>
    </w:p>
    <w:p w14:paraId="3D40DC64"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Испытание пушки ШВАК стрельбой по трофей</w:t>
      </w:r>
      <w:r w:rsidRPr="00722885">
        <w:rPr>
          <w:color w:val="000000" w:themeColor="text1"/>
          <w:sz w:val="16"/>
          <w:szCs w:val="16"/>
        </w:rPr>
        <w:softHyphen/>
        <w:t xml:space="preserve">ным танкам показало, что бронебойно-зажигатель- ный снаряд БЗ-20 этой пушки может пробить броню толщиной до 15 мм (танки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w:t>
      </w:r>
      <w:r w:rsidRPr="00722885">
        <w:rPr>
          <w:color w:val="000000" w:themeColor="text1"/>
          <w:sz w:val="16"/>
          <w:szCs w:val="16"/>
        </w:rPr>
        <w:t xml:space="preserve">, </w:t>
      </w:r>
      <w:r w:rsidRPr="00722885">
        <w:rPr>
          <w:color w:val="000000" w:themeColor="text1"/>
          <w:sz w:val="16"/>
          <w:szCs w:val="16"/>
          <w:lang w:val="en-US"/>
        </w:rPr>
        <w:t>Pz</w:t>
      </w:r>
      <w:r w:rsidRPr="00722885">
        <w:rPr>
          <w:color w:val="000000" w:themeColor="text1"/>
          <w:sz w:val="16"/>
          <w:szCs w:val="16"/>
        </w:rPr>
        <w:t>.38 (</w:t>
      </w:r>
      <w:r w:rsidRPr="00722885">
        <w:rPr>
          <w:color w:val="000000" w:themeColor="text1"/>
          <w:sz w:val="16"/>
          <w:szCs w:val="16"/>
          <w:lang w:val="en-US"/>
        </w:rPr>
        <w:t>t</w:t>
      </w:r>
      <w:r w:rsidRPr="00722885">
        <w:rPr>
          <w:color w:val="000000" w:themeColor="text1"/>
          <w:sz w:val="16"/>
          <w:szCs w:val="16"/>
        </w:rPr>
        <w:t>), бронема</w:t>
      </w:r>
      <w:r w:rsidRPr="00722885">
        <w:rPr>
          <w:color w:val="000000" w:themeColor="text1"/>
          <w:sz w:val="16"/>
          <w:szCs w:val="16"/>
        </w:rPr>
        <w:softHyphen/>
        <w:t xml:space="preserve">шина </w:t>
      </w:r>
      <w:r w:rsidRPr="00722885">
        <w:rPr>
          <w:color w:val="000000" w:themeColor="text1"/>
          <w:sz w:val="16"/>
          <w:szCs w:val="16"/>
          <w:lang w:val="en-US"/>
        </w:rPr>
        <w:t>Sd</w:t>
      </w:r>
      <w:r w:rsidRPr="00722885">
        <w:rPr>
          <w:color w:val="000000" w:themeColor="text1"/>
          <w:sz w:val="16"/>
          <w:szCs w:val="16"/>
        </w:rPr>
        <w:t xml:space="preserve"> </w:t>
      </w:r>
      <w:r w:rsidRPr="00722885">
        <w:rPr>
          <w:color w:val="000000" w:themeColor="text1"/>
          <w:sz w:val="16"/>
          <w:szCs w:val="16"/>
          <w:lang w:val="en-US"/>
        </w:rPr>
        <w:t>Kfz</w:t>
      </w:r>
      <w:r w:rsidRPr="00722885">
        <w:rPr>
          <w:color w:val="000000" w:themeColor="text1"/>
          <w:sz w:val="16"/>
          <w:szCs w:val="16"/>
        </w:rPr>
        <w:t xml:space="preserve"> 250) с дистанции не более 250—300 м при углах встречи, близких к нормали. При откло</w:t>
      </w:r>
      <w:r w:rsidRPr="00722885">
        <w:rPr>
          <w:color w:val="000000" w:themeColor="text1"/>
          <w:sz w:val="16"/>
          <w:szCs w:val="16"/>
        </w:rPr>
        <w:softHyphen/>
        <w:t>нении от этих условий стрельба становилась не</w:t>
      </w:r>
      <w:r w:rsidRPr="00722885">
        <w:rPr>
          <w:color w:val="000000" w:themeColor="text1"/>
          <w:sz w:val="16"/>
          <w:szCs w:val="16"/>
        </w:rPr>
        <w:softHyphen/>
        <w:t>эффективной. При угле встречи снаряда с броней более 40° сплошные рикошеты получались даже на участках брони толщиной 6—8 мм.</w:t>
      </w:r>
    </w:p>
    <w:p w14:paraId="7C53B8B9"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При стрельбах с самолета Ил-2 из 19 попаданий по бронемашине </w:t>
      </w:r>
      <w:r w:rsidRPr="00722885">
        <w:rPr>
          <w:color w:val="000000" w:themeColor="text1"/>
          <w:sz w:val="16"/>
          <w:szCs w:val="16"/>
          <w:lang w:val="en-US"/>
        </w:rPr>
        <w:t>Sd</w:t>
      </w:r>
      <w:r w:rsidRPr="00722885">
        <w:rPr>
          <w:color w:val="000000" w:themeColor="text1"/>
          <w:sz w:val="16"/>
          <w:szCs w:val="16"/>
        </w:rPr>
        <w:t xml:space="preserve"> </w:t>
      </w:r>
      <w:r w:rsidRPr="00722885">
        <w:rPr>
          <w:color w:val="000000" w:themeColor="text1"/>
          <w:sz w:val="16"/>
          <w:szCs w:val="16"/>
          <w:lang w:val="en-US"/>
        </w:rPr>
        <w:t>Kfz</w:t>
      </w:r>
      <w:r w:rsidRPr="00722885">
        <w:rPr>
          <w:color w:val="000000" w:themeColor="text1"/>
          <w:sz w:val="16"/>
          <w:szCs w:val="16"/>
        </w:rPr>
        <w:t xml:space="preserve"> 250 (высота подхода 400 м, угол планирования 30°, дистанция открытия огня 400 м) было получено всего 6 сквозных пробоин в 8-мм броне и 4 — в броне крыши капота мото</w:t>
      </w:r>
      <w:r w:rsidRPr="00722885">
        <w:rPr>
          <w:color w:val="000000" w:themeColor="text1"/>
          <w:sz w:val="16"/>
          <w:szCs w:val="16"/>
        </w:rPr>
        <w:softHyphen/>
        <w:t>ра толщиной 6 мм. В трех случаях имели место ри</w:t>
      </w:r>
      <w:r w:rsidRPr="00722885">
        <w:rPr>
          <w:color w:val="000000" w:themeColor="text1"/>
          <w:sz w:val="16"/>
          <w:szCs w:val="16"/>
        </w:rPr>
        <w:softHyphen/>
        <w:t>кошеты и шесть попаданий пришлись на ходовую часть. Существенных повреждений бронемашине они не нанесли.</w:t>
      </w:r>
    </w:p>
    <w:p w14:paraId="32E28D97"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Из 15 попаданий, полученных при стрельбе по легким танкам (высота подхода 100 м, угол плани</w:t>
      </w:r>
      <w:r w:rsidRPr="00722885">
        <w:rPr>
          <w:color w:val="000000" w:themeColor="text1"/>
          <w:sz w:val="16"/>
          <w:szCs w:val="16"/>
        </w:rPr>
        <w:softHyphen/>
        <w:t>рования 5—10°, дистанция открытия огня 400 м), только одно попадание в бортовую часть (толщи</w:t>
      </w:r>
      <w:r w:rsidRPr="00722885">
        <w:rPr>
          <w:color w:val="000000" w:themeColor="text1"/>
          <w:sz w:val="16"/>
          <w:szCs w:val="16"/>
        </w:rPr>
        <w:softHyphen/>
        <w:t>на брони 15 мм) оказалось сквозным. Еще в од</w:t>
      </w:r>
      <w:r w:rsidRPr="00722885">
        <w:rPr>
          <w:color w:val="000000" w:themeColor="text1"/>
          <w:sz w:val="16"/>
          <w:szCs w:val="16"/>
        </w:rPr>
        <w:softHyphen/>
        <w:t>ном случае сердечник застрял в броне толщиной 15 мм, что характеризует предельные возможности снаряда БЗ-20. Во всех остальных случаях снаря</w:t>
      </w:r>
      <w:r w:rsidRPr="00722885">
        <w:rPr>
          <w:color w:val="000000" w:themeColor="text1"/>
          <w:sz w:val="16"/>
          <w:szCs w:val="16"/>
        </w:rPr>
        <w:softHyphen/>
        <w:t>ды либо рикошетировали, либо попали в ходовую часть.</w:t>
      </w:r>
    </w:p>
    <w:p w14:paraId="385EA16A"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стрельбе же по среднему немецкому тан</w:t>
      </w:r>
      <w:r w:rsidRPr="00722885">
        <w:rPr>
          <w:color w:val="000000" w:themeColor="text1"/>
          <w:sz w:val="16"/>
          <w:szCs w:val="16"/>
        </w:rPr>
        <w:softHyphen/>
        <w:t xml:space="preserve">ку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III</w:t>
      </w:r>
      <w:r w:rsidRPr="00722885">
        <w:rPr>
          <w:color w:val="000000" w:themeColor="text1"/>
          <w:sz w:val="16"/>
          <w:szCs w:val="16"/>
        </w:rPr>
        <w:t xml:space="preserve"> в этих же условиях во всех 24 попаданиях вообще не было получено ни одного пробития брони.</w:t>
      </w:r>
    </w:p>
    <w:p w14:paraId="216324E5"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выводах отчета по испытаниям указывалось, что стрельба с самолета Ил-2 из пушек ШВАК по немецким легким и средним танкам совершен</w:t>
      </w:r>
      <w:r w:rsidRPr="00722885">
        <w:rPr>
          <w:color w:val="000000" w:themeColor="text1"/>
          <w:sz w:val="16"/>
          <w:szCs w:val="16"/>
        </w:rPr>
        <w:softHyphen/>
        <w:t>но неэффективна: «Самолеты Ил-2, вооруженные пушками ШВАК, по танкам использовать неэффек тивно, а лучше использовать их на 5—10 км в тылу по пехоте и горю</w:t>
      </w:r>
      <w:r w:rsidRPr="00722885">
        <w:rPr>
          <w:color w:val="000000" w:themeColor="text1"/>
          <w:sz w:val="16"/>
          <w:szCs w:val="16"/>
        </w:rPr>
        <w:softHyphen/>
        <w:t>чему, обеспечивающему танки».</w:t>
      </w:r>
    </w:p>
    <w:p w14:paraId="738B204F"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Стрельба с самолета Ил-2 из пу</w:t>
      </w:r>
      <w:r w:rsidRPr="00722885">
        <w:rPr>
          <w:color w:val="000000" w:themeColor="text1"/>
          <w:sz w:val="16"/>
          <w:szCs w:val="16"/>
        </w:rPr>
        <w:softHyphen/>
        <w:t xml:space="preserve">шек ВЯ показала, что устойчивое поражение легких танков типа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w:t>
      </w:r>
      <w:r w:rsidRPr="00722885">
        <w:rPr>
          <w:color w:val="000000" w:themeColor="text1"/>
          <w:sz w:val="16"/>
          <w:szCs w:val="16"/>
        </w:rPr>
        <w:t xml:space="preserve"> и </w:t>
      </w:r>
      <w:r w:rsidRPr="00722885">
        <w:rPr>
          <w:color w:val="000000" w:themeColor="text1"/>
          <w:sz w:val="16"/>
          <w:szCs w:val="16"/>
          <w:lang w:val="en-US"/>
        </w:rPr>
        <w:t>Pz</w:t>
      </w:r>
      <w:r w:rsidRPr="00722885">
        <w:rPr>
          <w:color w:val="000000" w:themeColor="text1"/>
          <w:sz w:val="16"/>
          <w:szCs w:val="16"/>
        </w:rPr>
        <w:t>.38 (</w:t>
      </w:r>
      <w:r w:rsidRPr="00722885">
        <w:rPr>
          <w:color w:val="000000" w:themeColor="text1"/>
          <w:sz w:val="16"/>
          <w:szCs w:val="16"/>
          <w:lang w:val="en-US"/>
        </w:rPr>
        <w:t>t</w:t>
      </w:r>
      <w:r w:rsidRPr="00722885">
        <w:rPr>
          <w:color w:val="000000" w:themeColor="text1"/>
          <w:sz w:val="16"/>
          <w:szCs w:val="16"/>
        </w:rPr>
        <w:t>) обеспечивалось лишь при стрельбе бронебойно-зажигатель- ными снарядами БЗ-23. При этом атаку следовало производить сбоку или сзади с дистанции 300—400 м и при углах пикирования до 30°.</w:t>
      </w:r>
    </w:p>
    <w:p w14:paraId="3B635C9A"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Поражение танка </w:t>
      </w:r>
      <w:r w:rsidRPr="00722885">
        <w:rPr>
          <w:color w:val="000000" w:themeColor="text1"/>
          <w:sz w:val="16"/>
          <w:szCs w:val="16"/>
          <w:lang w:val="en-US"/>
        </w:rPr>
        <w:t>Pz</w:t>
      </w:r>
      <w:r w:rsidRPr="00722885">
        <w:rPr>
          <w:color w:val="000000" w:themeColor="text1"/>
          <w:sz w:val="16"/>
          <w:szCs w:val="16"/>
        </w:rPr>
        <w:t>.38 (</w:t>
      </w:r>
      <w:r w:rsidRPr="00722885">
        <w:rPr>
          <w:color w:val="000000" w:themeColor="text1"/>
          <w:sz w:val="16"/>
          <w:szCs w:val="16"/>
          <w:lang w:val="en-US"/>
        </w:rPr>
        <w:t>t</w:t>
      </w:r>
      <w:r w:rsidRPr="00722885">
        <w:rPr>
          <w:color w:val="000000" w:themeColor="text1"/>
          <w:sz w:val="16"/>
          <w:szCs w:val="16"/>
        </w:rPr>
        <w:t>) с уси</w:t>
      </w:r>
      <w:r w:rsidRPr="00722885">
        <w:rPr>
          <w:color w:val="000000" w:themeColor="text1"/>
          <w:sz w:val="16"/>
          <w:szCs w:val="16"/>
        </w:rPr>
        <w:softHyphen/>
        <w:t>ленным бронированием при тех же условиях атаки было возмож</w:t>
      </w:r>
      <w:r w:rsidRPr="00722885">
        <w:rPr>
          <w:color w:val="000000" w:themeColor="text1"/>
          <w:sz w:val="16"/>
          <w:szCs w:val="16"/>
        </w:rPr>
        <w:softHyphen/>
        <w:t>ным только в борт у ходовой части танка, где устанавливалась 15-мм броня. Но попадания в «чистую» броню были маловероятными, по</w:t>
      </w:r>
      <w:r w:rsidRPr="00722885">
        <w:rPr>
          <w:color w:val="000000" w:themeColor="text1"/>
          <w:sz w:val="16"/>
          <w:szCs w:val="16"/>
        </w:rPr>
        <w:softHyphen/>
        <w:t>скольку большая ее часть закрыва</w:t>
      </w:r>
      <w:r w:rsidRPr="00722885">
        <w:rPr>
          <w:color w:val="000000" w:themeColor="text1"/>
          <w:sz w:val="16"/>
          <w:szCs w:val="16"/>
        </w:rPr>
        <w:softHyphen/>
        <w:t>лась роликами, катками и гусеницами, а попадания в элементы ходовой части повреждений танку не на носили.</w:t>
      </w:r>
    </w:p>
    <w:p w14:paraId="6DE45AFB"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Броня средних танков типа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III</w:t>
      </w:r>
      <w:r w:rsidRPr="00722885">
        <w:rPr>
          <w:color w:val="000000" w:themeColor="text1"/>
          <w:sz w:val="16"/>
          <w:szCs w:val="16"/>
        </w:rPr>
        <w:t xml:space="preserve"> и </w:t>
      </w:r>
      <w:r w:rsidRPr="00722885">
        <w:rPr>
          <w:color w:val="000000" w:themeColor="text1"/>
          <w:sz w:val="16"/>
          <w:szCs w:val="16"/>
          <w:lang w:val="en-US"/>
        </w:rPr>
        <w:t>StuG</w:t>
      </w:r>
      <w:r w:rsidRPr="00722885">
        <w:rPr>
          <w:color w:val="000000" w:themeColor="text1"/>
          <w:sz w:val="16"/>
          <w:szCs w:val="16"/>
        </w:rPr>
        <w:t xml:space="preserve"> III с тол</w:t>
      </w:r>
      <w:r w:rsidRPr="00722885">
        <w:rPr>
          <w:color w:val="000000" w:themeColor="text1"/>
          <w:sz w:val="16"/>
          <w:szCs w:val="16"/>
        </w:rPr>
        <w:softHyphen/>
        <w:t>щиной бортовой брони 30 мм и лобовой 50 мм при стрельбе с самолета Ил-2 из пушки ВЯ не поража</w:t>
      </w:r>
      <w:r w:rsidRPr="00722885">
        <w:rPr>
          <w:color w:val="000000" w:themeColor="text1"/>
          <w:sz w:val="16"/>
          <w:szCs w:val="16"/>
        </w:rPr>
        <w:softHyphen/>
        <w:t>лась ни с одного направления атаки.</w:t>
      </w:r>
    </w:p>
    <w:p w14:paraId="6C83439F"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Поражение надмоторной брони и брони крыши башен немецких танков всех типов при стрельбе из пушек ВЯ и ШВАК получалось лишь при углах пи</w:t>
      </w:r>
      <w:r w:rsidRPr="00722885">
        <w:rPr>
          <w:color w:val="000000" w:themeColor="text1"/>
          <w:sz w:val="16"/>
          <w:szCs w:val="16"/>
        </w:rPr>
        <w:softHyphen/>
        <w:t>кирования более 40°. Однако пилотирование Ил-2 на этих режимах было сложным, а вероятность по</w:t>
      </w:r>
      <w:r w:rsidRPr="00722885">
        <w:rPr>
          <w:color w:val="000000" w:themeColor="text1"/>
          <w:sz w:val="16"/>
          <w:szCs w:val="16"/>
        </w:rPr>
        <w:softHyphen/>
        <w:t>падания в уязвимые части танков (из-за малой их площади) — небольшой.</w:t>
      </w:r>
    </w:p>
    <w:p w14:paraId="02C60F18"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Другими словами, штурмовик Ил-2, вооружен</w:t>
      </w:r>
      <w:r w:rsidRPr="00722885">
        <w:rPr>
          <w:color w:val="000000" w:themeColor="text1"/>
          <w:sz w:val="16"/>
          <w:szCs w:val="16"/>
        </w:rPr>
        <w:softHyphen/>
        <w:t>ный пушками ВЯ, мог наносить устойчивое пораже</w:t>
      </w:r>
      <w:r w:rsidRPr="00722885">
        <w:rPr>
          <w:color w:val="000000" w:themeColor="text1"/>
          <w:sz w:val="16"/>
          <w:szCs w:val="16"/>
        </w:rPr>
        <w:softHyphen/>
        <w:t>ние только легким танкам и бронемашинам с тол</w:t>
      </w:r>
      <w:r w:rsidRPr="00722885">
        <w:rPr>
          <w:color w:val="000000" w:themeColor="text1"/>
          <w:sz w:val="16"/>
          <w:szCs w:val="16"/>
        </w:rPr>
        <w:softHyphen/>
        <w:t>щиной брони до 20 мм. Причем в среднем только 30% попаданий бронебойно-зажигательных снаря</w:t>
      </w:r>
      <w:r w:rsidRPr="00722885">
        <w:rPr>
          <w:color w:val="000000" w:themeColor="text1"/>
          <w:sz w:val="16"/>
          <w:szCs w:val="16"/>
        </w:rPr>
        <w:softHyphen/>
        <w:t>дов БЗ-23 в броню давали сквозные пробоины.</w:t>
      </w:r>
    </w:p>
    <w:p w14:paraId="033DC797"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мнению летчиков-испытателей НИП АВ, са</w:t>
      </w:r>
      <w:r w:rsidRPr="00722885">
        <w:rPr>
          <w:color w:val="000000" w:themeColor="text1"/>
          <w:sz w:val="16"/>
          <w:szCs w:val="16"/>
        </w:rPr>
        <w:softHyphen/>
        <w:t>мой эффективной стрельбой из пушек по танкам с самолета Ил-2 с точки зрения лучших условий ориентировки, маневрирования, времени нахож</w:t>
      </w:r>
      <w:r w:rsidRPr="00722885">
        <w:rPr>
          <w:color w:val="000000" w:themeColor="text1"/>
          <w:sz w:val="16"/>
          <w:szCs w:val="16"/>
        </w:rPr>
        <w:softHyphen/>
        <w:t>дения на боевом курсе, точности прицеливания и т.д. являлась стрельба с пикирования под углом 25—30°.</w:t>
      </w:r>
    </w:p>
    <w:p w14:paraId="741EA45A"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этом высота ввода в пикирование составля</w:t>
      </w:r>
      <w:r w:rsidRPr="00722885">
        <w:rPr>
          <w:color w:val="000000" w:themeColor="text1"/>
          <w:sz w:val="16"/>
          <w:szCs w:val="16"/>
        </w:rPr>
        <w:softHyphen/>
        <w:t>ла 500—700 м, скорость на вводе — 240—220 км/ч по прибору, высота вывода — 200—150 м. Ско</w:t>
      </w:r>
      <w:r w:rsidRPr="00722885">
        <w:rPr>
          <w:color w:val="000000" w:themeColor="text1"/>
          <w:sz w:val="16"/>
          <w:szCs w:val="16"/>
        </w:rPr>
        <w:softHyphen/>
        <w:t>рость Ил-2 на планировании при этих углах увели</w:t>
      </w:r>
      <w:r w:rsidRPr="00722885">
        <w:rPr>
          <w:color w:val="000000" w:themeColor="text1"/>
          <w:sz w:val="16"/>
          <w:szCs w:val="16"/>
        </w:rPr>
        <w:softHyphen/>
        <w:t>чивалась незначительно — всего на 9—11 м/с, что допускало маневрирование для уточнения наводки по прицелу или трассе. Полное время атаки цели колебалось от 6 до 9 с. Это позволяло летчику сде</w:t>
      </w:r>
      <w:r w:rsidRPr="00722885">
        <w:rPr>
          <w:color w:val="000000" w:themeColor="text1"/>
          <w:sz w:val="16"/>
          <w:szCs w:val="16"/>
        </w:rPr>
        <w:softHyphen/>
        <w:t>лать 2—3 прицельные очереди из пушек ВЯ и 1—2 очереди из пушек Ш-37.</w:t>
      </w:r>
    </w:p>
    <w:p w14:paraId="5693FFE2"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Действительно, на устранение бокового сколь</w:t>
      </w:r>
      <w:r w:rsidRPr="00722885">
        <w:rPr>
          <w:color w:val="000000" w:themeColor="text1"/>
          <w:sz w:val="16"/>
          <w:szCs w:val="16"/>
        </w:rPr>
        <w:softHyphen/>
        <w:t>жения штурмовика при развороте на цель в сред</w:t>
      </w:r>
      <w:r w:rsidRPr="00722885">
        <w:rPr>
          <w:color w:val="000000" w:themeColor="text1"/>
          <w:sz w:val="16"/>
          <w:szCs w:val="16"/>
        </w:rPr>
        <w:softHyphen/>
        <w:t>нем необходимо затратить около 1,5—2 с, на при</w:t>
      </w:r>
      <w:r w:rsidRPr="00722885">
        <w:rPr>
          <w:color w:val="000000" w:themeColor="text1"/>
          <w:sz w:val="16"/>
          <w:szCs w:val="16"/>
        </w:rPr>
        <w:softHyphen/>
        <w:t>целивание и исправление наводки между очере</w:t>
      </w:r>
      <w:r w:rsidRPr="00722885">
        <w:rPr>
          <w:color w:val="000000" w:themeColor="text1"/>
          <w:sz w:val="16"/>
          <w:szCs w:val="16"/>
        </w:rPr>
        <w:softHyphen/>
        <w:t>дями требуется также 1,5—2 с, длина очереди не должна превышать одной секунды. Ведение огня из пушек ВЯ и Ш-37 более 1—2 с приводило к суще</w:t>
      </w:r>
      <w:r w:rsidRPr="00722885">
        <w:rPr>
          <w:color w:val="000000" w:themeColor="text1"/>
          <w:sz w:val="16"/>
          <w:szCs w:val="16"/>
        </w:rPr>
        <w:softHyphen/>
        <w:t>ственному нарушению наводки и к резкому увели</w:t>
      </w:r>
      <w:r w:rsidRPr="00722885">
        <w:rPr>
          <w:color w:val="000000" w:themeColor="text1"/>
          <w:sz w:val="16"/>
          <w:szCs w:val="16"/>
        </w:rPr>
        <w:softHyphen/>
        <w:t>чению рассеивания снарядов, то есть к снижению точности стрельбы. Дистанция начала прицелива</w:t>
      </w:r>
      <w:r w:rsidRPr="00722885">
        <w:rPr>
          <w:color w:val="000000" w:themeColor="text1"/>
          <w:sz w:val="16"/>
          <w:szCs w:val="16"/>
        </w:rPr>
        <w:softHyphen/>
        <w:t>ния — 600—800 м, минимальная дистанция откры</w:t>
      </w:r>
      <w:r w:rsidRPr="00722885">
        <w:rPr>
          <w:color w:val="000000" w:themeColor="text1"/>
          <w:sz w:val="16"/>
          <w:szCs w:val="16"/>
        </w:rPr>
        <w:softHyphen/>
        <w:t>тия огня — около 300—400 м.</w:t>
      </w:r>
    </w:p>
    <w:p w14:paraId="06CC68BB"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Результаты наземных подрывов ракетных оско</w:t>
      </w:r>
      <w:r w:rsidRPr="00722885">
        <w:rPr>
          <w:color w:val="000000" w:themeColor="text1"/>
          <w:sz w:val="16"/>
          <w:szCs w:val="16"/>
        </w:rPr>
        <w:softHyphen/>
        <w:t>лочных снарядов (РС-82, РС-132) подтвердили, что поражение танков боеприпасами этого типа возможно лишь при прямом попадании в танк. Во всех остальных случаях танк получал поврежде дения, серьезно не влиявшие на его боеспособ</w:t>
      </w:r>
      <w:r w:rsidRPr="00722885">
        <w:rPr>
          <w:color w:val="000000" w:themeColor="text1"/>
          <w:sz w:val="16"/>
          <w:szCs w:val="16"/>
        </w:rPr>
        <w:softHyphen/>
        <w:t>ность.</w:t>
      </w:r>
    </w:p>
    <w:p w14:paraId="6ADA896D"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Разрывы осколочно-фугасных ракетных снаря</w:t>
      </w:r>
      <w:r w:rsidRPr="00722885">
        <w:rPr>
          <w:color w:val="000000" w:themeColor="text1"/>
          <w:sz w:val="16"/>
          <w:szCs w:val="16"/>
        </w:rPr>
        <w:softHyphen/>
        <w:t>дов РОФС-132 на расстоянии 3 м от легких танков вполне обеспечивали пробитие осколками брони толщиной 16 мм. Осколки бетонобойных ракетных снарядов РБТС-203 в этих же условиях устойчиво пробивали 30-мм броню средних немецких танков. Размер пробоин достигал 4—12 см в поперечнике. Более того, от воздействия взрывной волны разру</w:t>
      </w:r>
      <w:r w:rsidRPr="00722885">
        <w:rPr>
          <w:color w:val="000000" w:themeColor="text1"/>
          <w:sz w:val="16"/>
          <w:szCs w:val="16"/>
        </w:rPr>
        <w:softHyphen/>
        <w:t>шались заклепочные и сварные швы и срывались с посадочных мест бронеплиты. Значительные по</w:t>
      </w:r>
      <w:r w:rsidRPr="00722885">
        <w:rPr>
          <w:color w:val="000000" w:themeColor="text1"/>
          <w:sz w:val="16"/>
          <w:szCs w:val="16"/>
        </w:rPr>
        <w:softHyphen/>
        <w:t>ражения наносились ходовой части танков (про</w:t>
      </w:r>
      <w:r w:rsidRPr="00722885">
        <w:rPr>
          <w:color w:val="000000" w:themeColor="text1"/>
          <w:sz w:val="16"/>
          <w:szCs w:val="16"/>
        </w:rPr>
        <w:softHyphen/>
        <w:t>битие гидравлических амортизаторов, разрушения зубьев ведущего колеса, пробитие и срыв роликов и ведущего колеса, срыв гусениц). Во всех случаях танк выходил из строя, но не уничтожался. Для по</w:t>
      </w:r>
      <w:r w:rsidRPr="00722885">
        <w:rPr>
          <w:color w:val="000000" w:themeColor="text1"/>
          <w:sz w:val="16"/>
          <w:szCs w:val="16"/>
        </w:rPr>
        <w:softHyphen/>
        <w:t>ражения танка необходимо было только прямое попадание в танк.</w:t>
      </w:r>
    </w:p>
    <w:p w14:paraId="5CD6FCFA"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Между тем точность стрельбы в воздухе ракет</w:t>
      </w:r>
      <w:r w:rsidRPr="00722885">
        <w:rPr>
          <w:color w:val="000000" w:themeColor="text1"/>
          <w:sz w:val="16"/>
          <w:szCs w:val="16"/>
        </w:rPr>
        <w:softHyphen/>
        <w:t>ными снарядами всех типов была невысокой. Веро</w:t>
      </w:r>
      <w:r w:rsidRPr="00722885">
        <w:rPr>
          <w:color w:val="000000" w:themeColor="text1"/>
          <w:sz w:val="16"/>
          <w:szCs w:val="16"/>
        </w:rPr>
        <w:softHyphen/>
        <w:t>ятность попадания при стрельбе с самолета Ил-2 летчиком с отличной стрелковой и летной подго</w:t>
      </w:r>
      <w:r w:rsidRPr="00722885">
        <w:rPr>
          <w:color w:val="000000" w:themeColor="text1"/>
          <w:sz w:val="16"/>
          <w:szCs w:val="16"/>
        </w:rPr>
        <w:softHyphen/>
        <w:t>товкой (майор Звонарев) по колонне из 4 танков общей длиной 58 м оказалась всего 6,4%. Из 3 бо</w:t>
      </w:r>
      <w:r w:rsidRPr="00722885">
        <w:rPr>
          <w:color w:val="000000" w:themeColor="text1"/>
          <w:sz w:val="16"/>
          <w:szCs w:val="16"/>
        </w:rPr>
        <w:softHyphen/>
        <w:t>евых летчиков 245-го шап в колонну танков попал только старший лейтенант Канюко. При стрельбе по отдельным танкам результаты были еще хуже. Усредненная по всем летчикам вероятность попа</w:t>
      </w:r>
      <w:r w:rsidRPr="00722885">
        <w:rPr>
          <w:color w:val="000000" w:themeColor="text1"/>
          <w:sz w:val="16"/>
          <w:szCs w:val="16"/>
        </w:rPr>
        <w:softHyphen/>
        <w:t>дания в колонну танков не превысила 3,7%, а по от</w:t>
      </w:r>
      <w:r w:rsidRPr="00722885">
        <w:rPr>
          <w:color w:val="000000" w:themeColor="text1"/>
          <w:sz w:val="16"/>
          <w:szCs w:val="16"/>
        </w:rPr>
        <w:softHyphen/>
        <w:t>дельному танку — 1,1%. Эти результаты позволили специалистам НИП АВ сделать вывод, что «ведение стрельбы по отдель</w:t>
      </w:r>
      <w:r w:rsidRPr="00722885">
        <w:rPr>
          <w:color w:val="000000" w:themeColor="text1"/>
          <w:sz w:val="16"/>
          <w:szCs w:val="16"/>
        </w:rPr>
        <w:softHyphen/>
        <w:t>ным танкам и целям малых размеров (или длины) с самолета Ил-2 ракетными снарядами всех калибров считать неэф</w:t>
      </w:r>
      <w:r w:rsidRPr="00722885">
        <w:rPr>
          <w:color w:val="000000" w:themeColor="text1"/>
          <w:sz w:val="16"/>
          <w:szCs w:val="16"/>
        </w:rPr>
        <w:softHyphen/>
        <w:t>фективным». Вместе с этим отмечалось, что по площадным и линейно вытянутым целям применение РС дает определен</w:t>
      </w:r>
      <w:r w:rsidRPr="00722885">
        <w:rPr>
          <w:color w:val="000000" w:themeColor="text1"/>
          <w:sz w:val="16"/>
          <w:szCs w:val="16"/>
        </w:rPr>
        <w:softHyphen/>
        <w:t>ный эффект.</w:t>
      </w:r>
    </w:p>
    <w:p w14:paraId="3EB3EFB1"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Подрывы штатных бомб показали, что для борьбы с немецкими легкими танками могут использоваться только АО-25М-13, АО-25сл и ФАБ-50, которые наносят поражение танку с пробитием боковой брони толщиной 15—20 мм осколками при прямом попадании или в непосредственной близости от него. По средним танкам целесообразно применять фугасные бомбы типа ФАБ-100цк и ФАБ-250. При разрыве на рассто</w:t>
      </w:r>
      <w:r w:rsidRPr="00722885">
        <w:rPr>
          <w:color w:val="000000" w:themeColor="text1"/>
          <w:sz w:val="16"/>
          <w:szCs w:val="16"/>
        </w:rPr>
        <w:softHyphen/>
        <w:t>янии 1—5 м осколки этих бомб пробивают броню толщиной 30 мм, а от взрывной волны разруша</w:t>
      </w:r>
      <w:r w:rsidRPr="00722885">
        <w:rPr>
          <w:color w:val="000000" w:themeColor="text1"/>
          <w:sz w:val="16"/>
          <w:szCs w:val="16"/>
        </w:rPr>
        <w:softHyphen/>
        <w:t>ются заклепочные и сварные швы танков. Во всех случаях действия авиабомб осколки наносят суще</w:t>
      </w:r>
      <w:r w:rsidRPr="00722885">
        <w:rPr>
          <w:color w:val="000000" w:themeColor="text1"/>
          <w:sz w:val="16"/>
          <w:szCs w:val="16"/>
        </w:rPr>
        <w:softHyphen/>
        <w:t>ственные поражения ходовой части танков. Однако поскольку «прямые попадания бомб в ограничен</w:t>
      </w:r>
      <w:r w:rsidRPr="00722885">
        <w:rPr>
          <w:color w:val="000000" w:themeColor="text1"/>
          <w:sz w:val="16"/>
          <w:szCs w:val="16"/>
        </w:rPr>
        <w:softHyphen/>
        <w:t>ные цели (отдельный танк и их колонны) маловеро</w:t>
      </w:r>
      <w:r w:rsidRPr="00722885">
        <w:rPr>
          <w:color w:val="000000" w:themeColor="text1"/>
          <w:sz w:val="16"/>
          <w:szCs w:val="16"/>
        </w:rPr>
        <w:softHyphen/>
        <w:t>ятно, то следует рассчитывать лишь на осколочное действие авиабомб и применять главным образом взрыватели мгновенного действия».</w:t>
      </w:r>
    </w:p>
    <w:p w14:paraId="17FF3038"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Действительно, при бомбометании с Ил-2 с го</w:t>
      </w:r>
      <w:r w:rsidRPr="00722885">
        <w:rPr>
          <w:color w:val="000000" w:themeColor="text1"/>
          <w:sz w:val="16"/>
          <w:szCs w:val="16"/>
        </w:rPr>
        <w:softHyphen/>
        <w:t>ризонтального полета с прицеливанием по суще</w:t>
      </w:r>
      <w:r w:rsidRPr="00722885">
        <w:rPr>
          <w:color w:val="000000" w:themeColor="text1"/>
          <w:sz w:val="16"/>
          <w:szCs w:val="16"/>
        </w:rPr>
        <w:softHyphen/>
        <w:t>ствующим меткам на бронекозырьке и бронека- поте вероятность попадания одной бомбы типа ФАБ-50 в полосу 20x100 м с высоты 50 м составила 3,5% при одиночном бомбометании и 8% — при бомбометании серией из 4 ФАБ-50. При увеличе</w:t>
      </w:r>
      <w:r w:rsidRPr="00722885">
        <w:rPr>
          <w:color w:val="000000" w:themeColor="text1"/>
          <w:sz w:val="16"/>
          <w:szCs w:val="16"/>
        </w:rPr>
        <w:softHyphen/>
        <w:t>нии высоты бомбометания до 200 м вероятность попадания уменьшалась примерно в 1,5—2 раза.</w:t>
      </w:r>
    </w:p>
    <w:p w14:paraId="33E9A2CB"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отчете по испытаниям особо указывалось, что эти результаты получены при бомбометании по мягкому грунту, «при котором рикошеты незна</w:t>
      </w:r>
      <w:r w:rsidRPr="00722885">
        <w:rPr>
          <w:color w:val="000000" w:themeColor="text1"/>
          <w:sz w:val="16"/>
          <w:szCs w:val="16"/>
        </w:rPr>
        <w:softHyphen/>
        <w:t>чительны». При бомбометании по более твердому грунту «результаты бомбометания из-за больших рикошетов, различных по величине, были бы хуже».</w:t>
      </w:r>
    </w:p>
    <w:p w14:paraId="25172668"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1,5—2 раза лучшие результаты получались, если бомбометание осуществлялось с помощью временного механизма штурмовика (ВМШ). Это устройство было разработано в апреле — мае 1942 г. преподавателем кафедры бомбомета</w:t>
      </w:r>
      <w:r w:rsidRPr="00722885">
        <w:rPr>
          <w:color w:val="000000" w:themeColor="text1"/>
          <w:sz w:val="16"/>
          <w:szCs w:val="16"/>
        </w:rPr>
        <w:softHyphen/>
        <w:t>ния ВВА им. Н. Е. Жуковского инженер-майором М. К. Цветковым.</w:t>
      </w:r>
    </w:p>
    <w:p w14:paraId="04292366"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Работа с ВМШ Цветкова была простой и до</w:t>
      </w:r>
      <w:r w:rsidRPr="00722885">
        <w:rPr>
          <w:color w:val="000000" w:themeColor="text1"/>
          <w:sz w:val="16"/>
          <w:szCs w:val="16"/>
        </w:rPr>
        <w:softHyphen/>
        <w:t>статочно удобной. Перед заходом на цель летчик заводил пружинный механизм и устанавливал вы</w:t>
      </w:r>
      <w:r w:rsidRPr="00722885">
        <w:rPr>
          <w:color w:val="000000" w:themeColor="text1"/>
          <w:sz w:val="16"/>
          <w:szCs w:val="16"/>
        </w:rPr>
        <w:softHyphen/>
        <w:t>соту полета и скорость полета (совмещал кривую высоты бомбометания на поворотном диске с ри</w:t>
      </w:r>
      <w:r w:rsidRPr="00722885">
        <w:rPr>
          <w:color w:val="000000" w:themeColor="text1"/>
          <w:sz w:val="16"/>
          <w:szCs w:val="16"/>
        </w:rPr>
        <w:softHyphen/>
        <w:t>ской путевой скорости на шкале прибора). Затем, соблюдая режим полета (скорость и высоту), в мо</w:t>
      </w:r>
      <w:r w:rsidRPr="00722885">
        <w:rPr>
          <w:color w:val="000000" w:themeColor="text1"/>
          <w:sz w:val="16"/>
          <w:szCs w:val="16"/>
        </w:rPr>
        <w:softHyphen/>
        <w:t>мент совмещения с целью линии на бронекозырь- ке с оцифровкой 50—100 и мушки на бронекапоте летчик нажатием пускового рычага запускал ВМШ и далее соблюдал режим полета до момента заго</w:t>
      </w:r>
      <w:r w:rsidRPr="00722885">
        <w:rPr>
          <w:color w:val="000000" w:themeColor="text1"/>
          <w:sz w:val="16"/>
          <w:szCs w:val="16"/>
        </w:rPr>
        <w:softHyphen/>
        <w:t>рания сигнальной лампочки, указывающей момент автоматического сбрасывания авиабомб. При этом за 5 с до сбрасывания бомб загоралась зеленая сигнальная лампочка, а в момент сбрасывания бомб — красная лампочка.</w:t>
      </w:r>
    </w:p>
    <w:p w14:paraId="393FBBB3"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разработке ВМШ в качестве основной рас</w:t>
      </w:r>
      <w:r w:rsidRPr="00722885">
        <w:rPr>
          <w:color w:val="000000" w:themeColor="text1"/>
          <w:sz w:val="16"/>
          <w:szCs w:val="16"/>
        </w:rPr>
        <w:softHyphen/>
        <w:t>четной высоты боевого применения на самолете Ил-2 была принята высота 200 м, но на полигоне были отработаны и варианты бомбометания с вы</w:t>
      </w:r>
      <w:r w:rsidRPr="00722885">
        <w:rPr>
          <w:color w:val="000000" w:themeColor="text1"/>
          <w:sz w:val="16"/>
          <w:szCs w:val="16"/>
        </w:rPr>
        <w:softHyphen/>
        <w:t>сот 70, 100, 300 и 400 м.</w:t>
      </w:r>
    </w:p>
    <w:p w14:paraId="5D108BFB"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Во всех случаях результаты бомбометания ока</w:t>
      </w:r>
      <w:r w:rsidRPr="00722885">
        <w:rPr>
          <w:color w:val="000000" w:themeColor="text1"/>
          <w:sz w:val="16"/>
          <w:szCs w:val="16"/>
        </w:rPr>
        <w:softHyphen/>
        <w:t>зались выше, чем при бомбометании по существу</w:t>
      </w:r>
      <w:r w:rsidRPr="00722885">
        <w:rPr>
          <w:color w:val="000000" w:themeColor="text1"/>
          <w:sz w:val="16"/>
          <w:szCs w:val="16"/>
        </w:rPr>
        <w:softHyphen/>
        <w:t>ющим меткам на бронекозырьке и бронекапоте самолета.</w:t>
      </w:r>
    </w:p>
    <w:p w14:paraId="5ED700BC"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Летчиками НИП АВ был сделан вывод о целесо</w:t>
      </w:r>
      <w:r w:rsidRPr="00722885">
        <w:rPr>
          <w:color w:val="000000" w:themeColor="text1"/>
          <w:sz w:val="16"/>
          <w:szCs w:val="16"/>
        </w:rPr>
        <w:softHyphen/>
        <w:t>образности применения ВМШ на Ил-2 при бомбо</w:t>
      </w:r>
      <w:r w:rsidRPr="00722885">
        <w:rPr>
          <w:color w:val="000000" w:themeColor="text1"/>
          <w:sz w:val="16"/>
          <w:szCs w:val="16"/>
        </w:rPr>
        <w:softHyphen/>
        <w:t>метании с горизонтального полета в строевых ча</w:t>
      </w:r>
      <w:r w:rsidRPr="00722885">
        <w:rPr>
          <w:color w:val="000000" w:themeColor="text1"/>
          <w:sz w:val="16"/>
          <w:szCs w:val="16"/>
        </w:rPr>
        <w:softHyphen/>
        <w:t>стях ВВС КА, поскольку работа летчика с ним в по</w:t>
      </w:r>
      <w:r w:rsidRPr="00722885">
        <w:rPr>
          <w:color w:val="000000" w:themeColor="text1"/>
          <w:sz w:val="16"/>
          <w:szCs w:val="16"/>
        </w:rPr>
        <w:softHyphen/>
        <w:t>лете проста и он дает лучшие результаты.</w:t>
      </w:r>
    </w:p>
    <w:p w14:paraId="7944235B"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положительных сторон применения ВМШ на штурмовике, был отмечен и ряд существенных недостатков конструкции устройства, снижающих его боевую ценность. К основным недостаткам от</w:t>
      </w:r>
      <w:r w:rsidRPr="00722885">
        <w:rPr>
          <w:color w:val="000000" w:themeColor="text1"/>
          <w:sz w:val="16"/>
          <w:szCs w:val="16"/>
        </w:rPr>
        <w:softHyphen/>
        <w:t>носились: дискретность выбора и ограниченность диапазона высот боевого применения, а также от</w:t>
      </w:r>
      <w:r w:rsidRPr="00722885">
        <w:rPr>
          <w:color w:val="000000" w:themeColor="text1"/>
          <w:sz w:val="16"/>
          <w:szCs w:val="16"/>
        </w:rPr>
        <w:softHyphen/>
        <w:t>сутствие режима бомбометания на выходе из пи</w:t>
      </w:r>
      <w:r w:rsidRPr="00722885">
        <w:rPr>
          <w:color w:val="000000" w:themeColor="text1"/>
          <w:sz w:val="16"/>
          <w:szCs w:val="16"/>
        </w:rPr>
        <w:softHyphen/>
        <w:t>кирования (планирования), который обеспечивал в 2—3 раза большую точность бомбометания.</w:t>
      </w:r>
    </w:p>
    <w:p w14:paraId="460D4BF3"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Действительно, в ходе отработки методов бом</w:t>
      </w:r>
      <w:r w:rsidRPr="00722885">
        <w:rPr>
          <w:color w:val="000000" w:themeColor="text1"/>
          <w:sz w:val="16"/>
          <w:szCs w:val="16"/>
        </w:rPr>
        <w:softHyphen/>
        <w:t>бометания с самолета Ил-2 усредненная вероят</w:t>
      </w:r>
      <w:r w:rsidRPr="00722885">
        <w:rPr>
          <w:color w:val="000000" w:themeColor="text1"/>
          <w:sz w:val="16"/>
          <w:szCs w:val="16"/>
        </w:rPr>
        <w:softHyphen/>
        <w:t>ность попадания бомбы ФАБ-50 в полосу 20x100 м на выходе из крутого планирования (25—30°) равнялась 7%, а при серийном сбросе бомб (4 ФАБ-50) — 12,8%.</w:t>
      </w:r>
    </w:p>
    <w:p w14:paraId="072786B7"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Сброс бомб производился в момент, когда верх</w:t>
      </w:r>
      <w:r w:rsidRPr="00722885">
        <w:rPr>
          <w:color w:val="000000" w:themeColor="text1"/>
          <w:sz w:val="16"/>
          <w:szCs w:val="16"/>
        </w:rPr>
        <w:softHyphen/>
        <w:t>ний обрез кольца сетки прицела совпадал с гори</w:t>
      </w:r>
      <w:r w:rsidRPr="00722885">
        <w:rPr>
          <w:color w:val="000000" w:themeColor="text1"/>
          <w:sz w:val="16"/>
          <w:szCs w:val="16"/>
        </w:rPr>
        <w:softHyphen/>
        <w:t>зонтом, при этом во время пикирования летчик должен был совместить перекрестие сетки прицела и мушку с целью.</w:t>
      </w:r>
    </w:p>
    <w:p w14:paraId="1267E15E"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Высота ввода в пикирование штурмовика со</w:t>
      </w:r>
      <w:r w:rsidRPr="00722885">
        <w:rPr>
          <w:color w:val="000000" w:themeColor="text1"/>
          <w:sz w:val="16"/>
          <w:szCs w:val="16"/>
        </w:rPr>
        <w:softHyphen/>
        <w:t>ставляла 450 м, а высота сброса бомб — 200 м. Вывод из пикирования следовало начинать на вы</w:t>
      </w:r>
      <w:r w:rsidRPr="00722885">
        <w:rPr>
          <w:color w:val="000000" w:themeColor="text1"/>
          <w:sz w:val="16"/>
          <w:szCs w:val="16"/>
        </w:rPr>
        <w:softHyphen/>
        <w:t>соте 300 м. Перед вводом самолета в пикирование требовалось «сбросить» скорость полета до 250— 270 км/ч по прибору. В противном случае штурмо</w:t>
      </w:r>
      <w:r w:rsidRPr="00722885">
        <w:rPr>
          <w:color w:val="000000" w:themeColor="text1"/>
          <w:sz w:val="16"/>
          <w:szCs w:val="16"/>
        </w:rPr>
        <w:softHyphen/>
        <w:t>вик на выходе из пикирования терял слишком мно</w:t>
      </w:r>
      <w:r w:rsidRPr="00722885">
        <w:rPr>
          <w:color w:val="000000" w:themeColor="text1"/>
          <w:sz w:val="16"/>
          <w:szCs w:val="16"/>
        </w:rPr>
        <w:softHyphen/>
        <w:t>го высоты, что было небезопасно.</w:t>
      </w:r>
    </w:p>
    <w:p w14:paraId="363D802E"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сказать, что бомбометание на выходе из пикирования требовало от летчиков повышен</w:t>
      </w:r>
      <w:r w:rsidRPr="00722885">
        <w:rPr>
          <w:color w:val="000000" w:themeColor="text1"/>
          <w:sz w:val="16"/>
          <w:szCs w:val="16"/>
        </w:rPr>
        <w:softHyphen/>
        <w:t>ной летной и стрелковой подготовки. Испыта</w:t>
      </w:r>
      <w:r w:rsidRPr="00722885">
        <w:rPr>
          <w:color w:val="000000" w:themeColor="text1"/>
          <w:sz w:val="16"/>
          <w:szCs w:val="16"/>
        </w:rPr>
        <w:softHyphen/>
        <w:t>ния показали, что летчик с отличной подготовкой и большим опытом в прицельном бомбометании (майор Н.И. Звонарев) обеспечивал вероятность попадания бомбы в полосу 20х100 м при оди</w:t>
      </w:r>
      <w:r w:rsidRPr="00722885">
        <w:rPr>
          <w:color w:val="000000" w:themeColor="text1"/>
          <w:sz w:val="16"/>
          <w:szCs w:val="16"/>
        </w:rPr>
        <w:softHyphen/>
        <w:t>ночном бомбометании 12,4%, тогда как строевые летчики из 245-го шап показали в 3 (!) раза худ</w:t>
      </w:r>
      <w:r w:rsidRPr="00722885">
        <w:rPr>
          <w:color w:val="000000" w:themeColor="text1"/>
          <w:sz w:val="16"/>
          <w:szCs w:val="16"/>
        </w:rPr>
        <w:softHyphen/>
        <w:t>ший результат — в тех же условиях они добились средней вероятности попадания одной авиабомбы только 4,6%.</w:t>
      </w:r>
    </w:p>
    <w:p w14:paraId="706B44EB"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соответствии с результатами испытания дей</w:t>
      </w:r>
      <w:r w:rsidRPr="00722885">
        <w:rPr>
          <w:color w:val="000000" w:themeColor="text1"/>
          <w:sz w:val="16"/>
          <w:szCs w:val="16"/>
        </w:rPr>
        <w:softHyphen/>
        <w:t>ственности вооружения самолета Ил-2 по немец</w:t>
      </w:r>
      <w:r w:rsidRPr="00722885">
        <w:rPr>
          <w:color w:val="000000" w:themeColor="text1"/>
          <w:sz w:val="16"/>
          <w:szCs w:val="16"/>
        </w:rPr>
        <w:softHyphen/>
        <w:t>ким танкам специалистами НИП АВ ВВС были опре</w:t>
      </w:r>
      <w:r w:rsidRPr="00722885">
        <w:rPr>
          <w:color w:val="000000" w:themeColor="text1"/>
          <w:sz w:val="16"/>
          <w:szCs w:val="16"/>
        </w:rPr>
        <w:softHyphen/>
        <w:t>делены наиболее эффективные способы атак танко</w:t>
      </w:r>
      <w:r w:rsidRPr="00722885">
        <w:rPr>
          <w:color w:val="000000" w:themeColor="text1"/>
          <w:sz w:val="16"/>
          <w:szCs w:val="16"/>
        </w:rPr>
        <w:softHyphen/>
        <w:t>вых и мотомеханизированных колонн. Наилучшие результаты получились при атаке колонны сзади вдоль или сбоку при угле планирования 30° с вы</w:t>
      </w:r>
      <w:r w:rsidRPr="00722885">
        <w:rPr>
          <w:color w:val="000000" w:themeColor="text1"/>
          <w:sz w:val="16"/>
          <w:szCs w:val="16"/>
        </w:rPr>
        <w:softHyphen/>
        <w:t>сот 500—700 м, дальность прицеливания порядка 800 м, а ведения огня — до 200—300 м. Прице</w:t>
      </w:r>
      <w:r w:rsidRPr="00722885">
        <w:rPr>
          <w:color w:val="000000" w:themeColor="text1"/>
          <w:sz w:val="16"/>
          <w:szCs w:val="16"/>
        </w:rPr>
        <w:softHyphen/>
        <w:t>ливание необходимо производить по отдельному танку или автомашине из состава колонны. Атака должна была выполняться в нескольких заходах. Причем в первом заходе удар наносится по голо</w:t>
      </w:r>
      <w:r w:rsidRPr="00722885">
        <w:rPr>
          <w:color w:val="000000" w:themeColor="text1"/>
          <w:sz w:val="16"/>
          <w:szCs w:val="16"/>
        </w:rPr>
        <w:softHyphen/>
        <w:t>ве колонны сначала стрельбой ракетными сна</w:t>
      </w:r>
      <w:r w:rsidRPr="00722885">
        <w:rPr>
          <w:color w:val="000000" w:themeColor="text1"/>
          <w:sz w:val="16"/>
          <w:szCs w:val="16"/>
        </w:rPr>
        <w:softHyphen/>
        <w:t>рядами (дистанции пуска — 600—700 м), а затем стрельбой из пушек. В последующих заходах сбра</w:t>
      </w:r>
      <w:r w:rsidRPr="00722885">
        <w:rPr>
          <w:color w:val="000000" w:themeColor="text1"/>
          <w:sz w:val="16"/>
          <w:szCs w:val="16"/>
        </w:rPr>
        <w:softHyphen/>
        <w:t>сываются бомбы и ведется огонь из пулеметов и пушек.</w:t>
      </w:r>
    </w:p>
    <w:p w14:paraId="5E3FCDE6"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Применительно к такому способу атаки в 12 самолето-вылетах средний процент попадания из пушек ВЯ в танк точки наводки составил 7%, а в колонну танков — 7,5% (общий расход — 426 снарядов). При этом летчик с лучшей стрелковой подготовкой (ведущий летчик-испытатель НИП АВ майор Н. И. Звонарев) обеспечил 7,4% попаданий в отдельный танк (или танк точки наводки) и 9,5% попаданий в колонну танков. Летчики с удовлет</w:t>
      </w:r>
      <w:r w:rsidRPr="00722885">
        <w:rPr>
          <w:color w:val="000000" w:themeColor="text1"/>
          <w:sz w:val="16"/>
          <w:szCs w:val="16"/>
        </w:rPr>
        <w:softHyphen/>
        <w:t>ворительной подготовкой (строевые летчики из 245-го шап) отстрелялись заметно хуже. Средний процент попадания в танк точки наводки у них не превысил 4,2% (разброс от 1,5 до 6%), хотя процент попадания в колонну танков был довольно высо</w:t>
      </w:r>
      <w:r w:rsidRPr="00722885">
        <w:rPr>
          <w:color w:val="000000" w:themeColor="text1"/>
          <w:sz w:val="16"/>
          <w:szCs w:val="16"/>
        </w:rPr>
        <w:softHyphen/>
        <w:t>ким — 12,6% (разброс от 6 до 20%).</w:t>
      </w:r>
    </w:p>
    <w:p w14:paraId="50CAEB5D"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Атаку длинной небронированной цели реко</w:t>
      </w:r>
      <w:r w:rsidRPr="00722885">
        <w:rPr>
          <w:color w:val="000000" w:themeColor="text1"/>
          <w:sz w:val="16"/>
          <w:szCs w:val="16"/>
        </w:rPr>
        <w:softHyphen/>
        <w:t>мендовалось производить с бреющего полета, об</w:t>
      </w:r>
      <w:r w:rsidRPr="00722885">
        <w:rPr>
          <w:color w:val="000000" w:themeColor="text1"/>
          <w:sz w:val="16"/>
          <w:szCs w:val="16"/>
        </w:rPr>
        <w:softHyphen/>
        <w:t>стреливая цель сначала из РС с дистанции 600— 700 м, а затем из пулеметов и пушек с дистанции 400—600 м. Бомбометание в этом случае необхо димо было осуществлять в последующих заходах, сбрасывая бомбы серией с высоты 100—200 м, применяя взрыватель мгновенного действия.</w:t>
      </w:r>
    </w:p>
    <w:p w14:paraId="13B41D77"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Причем для достижения наибольшего эффекта предлагалось действовать по цели двумя группа</w:t>
      </w:r>
      <w:r w:rsidRPr="00722885">
        <w:rPr>
          <w:color w:val="000000" w:themeColor="text1"/>
          <w:sz w:val="16"/>
          <w:szCs w:val="16"/>
        </w:rPr>
        <w:softHyphen/>
        <w:t>ми, которые выходили на нее почти одновременно. Первая группа работала с бреющего полета, об</w:t>
      </w:r>
      <w:r w:rsidRPr="00722885">
        <w:rPr>
          <w:color w:val="000000" w:themeColor="text1"/>
          <w:sz w:val="16"/>
          <w:szCs w:val="16"/>
        </w:rPr>
        <w:softHyphen/>
        <w:t>стреливая цель из РС и стрелково-пушечного во</w:t>
      </w:r>
      <w:r w:rsidRPr="00722885">
        <w:rPr>
          <w:color w:val="000000" w:themeColor="text1"/>
          <w:sz w:val="16"/>
          <w:szCs w:val="16"/>
        </w:rPr>
        <w:softHyphen/>
        <w:t>оружения и сбрасывая бомбы серией (взрыватель замедленного действия АВ-1), а вторая — с пики</w:t>
      </w:r>
      <w:r w:rsidRPr="00722885">
        <w:rPr>
          <w:color w:val="000000" w:themeColor="text1"/>
          <w:sz w:val="16"/>
          <w:szCs w:val="16"/>
        </w:rPr>
        <w:softHyphen/>
        <w:t>рования с высоты 500—700 м, ведя огонь сначала ракетными снарядами, затем из пушек и пулеме</w:t>
      </w:r>
      <w:r w:rsidRPr="00722885">
        <w:rPr>
          <w:color w:val="000000" w:themeColor="text1"/>
          <w:sz w:val="16"/>
          <w:szCs w:val="16"/>
        </w:rPr>
        <w:softHyphen/>
        <w:t>тов и сбрасывая бомбы на выводе из пикирования (взрыватель мгновенного действия).</w:t>
      </w:r>
    </w:p>
    <w:p w14:paraId="7FDB0710"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Атаку самолетами Ил-2 скоплений пехоты и ав</w:t>
      </w:r>
      <w:r w:rsidRPr="00722885">
        <w:rPr>
          <w:color w:val="000000" w:themeColor="text1"/>
          <w:sz w:val="16"/>
          <w:szCs w:val="16"/>
        </w:rPr>
        <w:softHyphen/>
        <w:t>тотранспорта лучше всего производить с бреющего полета и с планирования под углом 5—10° с высо</w:t>
      </w:r>
      <w:r w:rsidRPr="00722885">
        <w:rPr>
          <w:color w:val="000000" w:themeColor="text1"/>
          <w:sz w:val="16"/>
          <w:szCs w:val="16"/>
        </w:rPr>
        <w:softHyphen/>
        <w:t>ты 100—200 м с последующим заходом на бомбо</w:t>
      </w:r>
      <w:r w:rsidRPr="00722885">
        <w:rPr>
          <w:color w:val="000000" w:themeColor="text1"/>
          <w:sz w:val="16"/>
          <w:szCs w:val="16"/>
        </w:rPr>
        <w:softHyphen/>
        <w:t>метание на выводе из пикирования.</w:t>
      </w:r>
    </w:p>
    <w:p w14:paraId="10AAF0CB"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короткой цели, как бронированной, так и небронированной, а также по точечным целям (отдельный танк, автомашина и т.д.) атаку самоле</w:t>
      </w:r>
      <w:r w:rsidRPr="00722885">
        <w:rPr>
          <w:color w:val="000000" w:themeColor="text1"/>
          <w:sz w:val="16"/>
          <w:szCs w:val="16"/>
        </w:rPr>
        <w:softHyphen/>
        <w:t>тами Ил-2 необходимо было производить только с пикирования под углом 25—30° с высоты 500— 700 м.</w:t>
      </w:r>
    </w:p>
    <w:p w14:paraId="08E45884"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Во всех случаях бомбометания с горизонтально</w:t>
      </w:r>
      <w:r w:rsidRPr="00722885">
        <w:rPr>
          <w:color w:val="000000" w:themeColor="text1"/>
          <w:sz w:val="16"/>
          <w:szCs w:val="16"/>
        </w:rPr>
        <w:softHyphen/>
        <w:t>го полета считалось целесообразным применение временного механизма штурмовика ВМШ, посколь</w:t>
      </w:r>
      <w:r w:rsidRPr="00722885">
        <w:rPr>
          <w:color w:val="000000" w:themeColor="text1"/>
          <w:sz w:val="16"/>
          <w:szCs w:val="16"/>
        </w:rPr>
        <w:softHyphen/>
        <w:t>ку обеспечивается более высокая точность, «чем при бомбометании по существующим меткам на капоте мотора».</w:t>
      </w:r>
    </w:p>
    <w:p w14:paraId="3B247F58"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отчете по испытаниям особо указывалось, что бомбометание с горизонтального полета должно применяться лишь «в случае невозможности ис</w:t>
      </w:r>
      <w:r w:rsidRPr="00722885">
        <w:rPr>
          <w:color w:val="000000" w:themeColor="text1"/>
          <w:sz w:val="16"/>
          <w:szCs w:val="16"/>
        </w:rPr>
        <w:softHyphen/>
        <w:t>пользования способа бомбометания на выходе из пикирования из-за условий боевой обстановки или погоды, а также может применяться по целям круп</w:t>
      </w:r>
      <w:r w:rsidRPr="00722885">
        <w:rPr>
          <w:color w:val="000000" w:themeColor="text1"/>
          <w:sz w:val="16"/>
          <w:szCs w:val="16"/>
        </w:rPr>
        <w:softHyphen/>
        <w:t>ных размеров (ж.-д. станции, скопление войск, обо</w:t>
      </w:r>
      <w:r w:rsidRPr="00722885">
        <w:rPr>
          <w:color w:val="000000" w:themeColor="text1"/>
          <w:sz w:val="16"/>
          <w:szCs w:val="16"/>
        </w:rPr>
        <w:softHyphen/>
        <w:t>зов, склады и т.д.)».</w:t>
      </w:r>
    </w:p>
    <w:p w14:paraId="02362013"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Совмещение стрельбы и бомбометания в од</w:t>
      </w:r>
      <w:r w:rsidRPr="00722885">
        <w:rPr>
          <w:color w:val="000000" w:themeColor="text1"/>
          <w:sz w:val="16"/>
          <w:szCs w:val="16"/>
        </w:rPr>
        <w:softHyphen/>
        <w:t>ном заходе запрещалось категорически. Исключе</w:t>
      </w:r>
      <w:r w:rsidRPr="00722885">
        <w:rPr>
          <w:color w:val="000000" w:themeColor="text1"/>
          <w:sz w:val="16"/>
          <w:szCs w:val="16"/>
        </w:rPr>
        <w:softHyphen/>
        <w:t>ние делалось лишь в случае атаки «цели большой протяженности (например, колонны войск длиной свыше 500—700 м), когда перед выходом на го</w:t>
      </w:r>
      <w:r w:rsidRPr="00722885">
        <w:rPr>
          <w:color w:val="000000" w:themeColor="text1"/>
          <w:sz w:val="16"/>
          <w:szCs w:val="16"/>
        </w:rPr>
        <w:softHyphen/>
        <w:t>ризонтальный полет и сбрасыванием бомб может производиться стрельба с планирования из пушек, пулеметов и ракетных орудий». Если цель имела протяженность свыше 1 км, то допускалось бом</w:t>
      </w:r>
      <w:r w:rsidRPr="00722885">
        <w:rPr>
          <w:color w:val="000000" w:themeColor="text1"/>
          <w:sz w:val="16"/>
          <w:szCs w:val="16"/>
        </w:rPr>
        <w:softHyphen/>
        <w:t>бометание с планирования под углом 5—10°. При этом разрешалось «прицеливание по дальности не вести вовсе, а сохранять только направление поле</w:t>
      </w:r>
      <w:r w:rsidRPr="00722885">
        <w:rPr>
          <w:color w:val="000000" w:themeColor="text1"/>
          <w:sz w:val="16"/>
          <w:szCs w:val="16"/>
        </w:rPr>
        <w:softHyphen/>
        <w:t>та перед целью».</w:t>
      </w:r>
    </w:p>
    <w:p w14:paraId="717928DB"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заключении отчета по полигонным испытани</w:t>
      </w:r>
      <w:r w:rsidRPr="00722885">
        <w:rPr>
          <w:color w:val="000000" w:themeColor="text1"/>
          <w:sz w:val="16"/>
          <w:szCs w:val="16"/>
        </w:rPr>
        <w:softHyphen/>
        <w:t>ям вооружения самолетов Ил-2 от 24 июля 1942 г. специалисты НИП АВ отмечали, что «...для более рационального использования существующего во</w:t>
      </w:r>
      <w:r w:rsidRPr="00722885">
        <w:rPr>
          <w:color w:val="000000" w:themeColor="text1"/>
          <w:sz w:val="16"/>
          <w:szCs w:val="16"/>
        </w:rPr>
        <w:softHyphen/>
        <w:t>оружения самолета Ил-2 в борьбе с немецкими тан</w:t>
      </w:r>
      <w:r w:rsidRPr="00722885">
        <w:rPr>
          <w:color w:val="000000" w:themeColor="text1"/>
          <w:sz w:val="16"/>
          <w:szCs w:val="16"/>
        </w:rPr>
        <w:softHyphen/>
        <w:t>ками необходимо выделить штурмовые авиаполки, /.../ основной задачей которых должно быть дей</w:t>
      </w:r>
      <w:r w:rsidRPr="00722885">
        <w:rPr>
          <w:color w:val="000000" w:themeColor="text1"/>
          <w:sz w:val="16"/>
          <w:szCs w:val="16"/>
        </w:rPr>
        <w:softHyphen/>
        <w:t>ствие по танкам. Летный состав этих частей дол</w:t>
      </w:r>
      <w:r w:rsidRPr="00722885">
        <w:rPr>
          <w:color w:val="000000" w:themeColor="text1"/>
          <w:sz w:val="16"/>
          <w:szCs w:val="16"/>
        </w:rPr>
        <w:softHyphen/>
        <w:t>жен пройти спецподготовку. /.../ Наиболее эффек</w:t>
      </w:r>
      <w:r w:rsidRPr="00722885">
        <w:rPr>
          <w:color w:val="000000" w:themeColor="text1"/>
          <w:sz w:val="16"/>
          <w:szCs w:val="16"/>
        </w:rPr>
        <w:softHyphen/>
        <w:t>тивным средством борьбы с немецкими танками, имеющими броню до 40 мм, оказались авиапушки 37 мм. В этой связи необходимо создать специаль</w:t>
      </w:r>
      <w:r w:rsidRPr="00722885">
        <w:rPr>
          <w:color w:val="000000" w:themeColor="text1"/>
          <w:sz w:val="16"/>
          <w:szCs w:val="16"/>
        </w:rPr>
        <w:softHyphen/>
        <w:t>ные противотанковые части, вооруженные истре</w:t>
      </w:r>
      <w:r w:rsidRPr="00722885">
        <w:rPr>
          <w:color w:val="000000" w:themeColor="text1"/>
          <w:sz w:val="16"/>
          <w:szCs w:val="16"/>
        </w:rPr>
        <w:softHyphen/>
        <w:t>бителями ЛаГГ-3 и Як с 37-мм авиапушками и уси</w:t>
      </w:r>
      <w:r w:rsidRPr="00722885">
        <w:rPr>
          <w:color w:val="000000" w:themeColor="text1"/>
          <w:sz w:val="16"/>
          <w:szCs w:val="16"/>
        </w:rPr>
        <w:softHyphen/>
        <w:t>ленным бронированием. Летному составу этих частей дать специальную подготовку. /.../ Считать необходимым создание специального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w:t>
      </w:r>
      <w:r w:rsidRPr="00722885">
        <w:rPr>
          <w:color w:val="000000" w:themeColor="text1"/>
          <w:sz w:val="16"/>
          <w:szCs w:val="16"/>
        </w:rPr>
        <w:softHyphen/>
        <w:t>мание на повышение качества боевой подготовки летного состава штурмовых частей в ЗАП в при</w:t>
      </w:r>
      <w:r w:rsidRPr="00722885">
        <w:rPr>
          <w:color w:val="000000" w:themeColor="text1"/>
          <w:sz w:val="16"/>
          <w:szCs w:val="16"/>
        </w:rPr>
        <w:softHyphen/>
        <w:t>цельной стрельбе и бомбометании».</w:t>
      </w:r>
    </w:p>
    <w:p w14:paraId="50213CFD"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Требовалось «поручить НКАП в срочном по</w:t>
      </w:r>
      <w:r w:rsidRPr="00722885">
        <w:rPr>
          <w:color w:val="000000" w:themeColor="text1"/>
          <w:sz w:val="16"/>
          <w:szCs w:val="16"/>
        </w:rPr>
        <w:softHyphen/>
        <w:t>рядке создать штурмовик, вооруженный 37-мм пушкой, расположенной в плоскости оси само</w:t>
      </w:r>
      <w:r w:rsidRPr="00722885">
        <w:rPr>
          <w:color w:val="000000" w:themeColor="text1"/>
          <w:sz w:val="16"/>
          <w:szCs w:val="16"/>
        </w:rPr>
        <w:softHyphen/>
        <w:t>лета».</w:t>
      </w:r>
    </w:p>
    <w:p w14:paraId="262DA82D"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этого, считалось необходимым прове</w:t>
      </w:r>
      <w:r w:rsidRPr="00722885">
        <w:rPr>
          <w:color w:val="000000" w:themeColor="text1"/>
          <w:sz w:val="16"/>
          <w:szCs w:val="16"/>
        </w:rPr>
        <w:softHyphen/>
        <w:t>дение работ по увеличению бронепробиваемости снарядов калибра 23 и 37 мм, а также создание «специальных противотанковых и зажигательных средств борьбы против танков».</w:t>
      </w:r>
    </w:p>
    <w:p w14:paraId="4099A043"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Учитывая, что временной механизм штурмовика Цветкова во всех случаях позволяет получить луч</w:t>
      </w:r>
      <w:r w:rsidRPr="00722885">
        <w:rPr>
          <w:color w:val="000000" w:themeColor="text1"/>
          <w:sz w:val="16"/>
          <w:szCs w:val="16"/>
        </w:rPr>
        <w:softHyphen/>
        <w:t>шие результаты при бомбометании и в некоторой степени компенсировать недостаточную подготов</w:t>
      </w:r>
      <w:r w:rsidRPr="00722885">
        <w:rPr>
          <w:color w:val="000000" w:themeColor="text1"/>
          <w:sz w:val="16"/>
          <w:szCs w:val="16"/>
        </w:rPr>
        <w:softHyphen/>
        <w:t>ку летного состава боевых частей, рекомендова</w:t>
      </w:r>
      <w:r w:rsidRPr="00722885">
        <w:rPr>
          <w:color w:val="000000" w:themeColor="text1"/>
          <w:sz w:val="16"/>
          <w:szCs w:val="16"/>
        </w:rPr>
        <w:softHyphen/>
        <w:t>лось срочно доработать ВМШ, обеспечив возмож</w:t>
      </w:r>
      <w:r w:rsidRPr="00722885">
        <w:rPr>
          <w:color w:val="000000" w:themeColor="text1"/>
          <w:sz w:val="16"/>
          <w:szCs w:val="16"/>
        </w:rPr>
        <w:softHyphen/>
        <w:t>ность бомбометания с его помощью на выходе из пикирования.</w:t>
      </w:r>
    </w:p>
    <w:p w14:paraId="60A602FA"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Акте «По полигонному отстрелу самолета Ил-2, вооруженного 2 крыльевыми пушками ка</w:t>
      </w:r>
      <w:r w:rsidRPr="00722885">
        <w:rPr>
          <w:color w:val="000000" w:themeColor="text1"/>
          <w:sz w:val="16"/>
          <w:szCs w:val="16"/>
        </w:rPr>
        <w:softHyphen/>
        <w:t>либра 37 мм системы Шпитального (ОКБ-15)» от 2 октября 1942 г. отмечалось, что «для повышения эффективности стрельбы необходимо организо</w:t>
      </w:r>
      <w:r w:rsidRPr="00722885">
        <w:rPr>
          <w:color w:val="000000" w:themeColor="text1"/>
          <w:sz w:val="16"/>
          <w:szCs w:val="16"/>
        </w:rPr>
        <w:softHyphen/>
        <w:t>вать систематическую тренировку летного состава в стрельбе по танкам».</w:t>
      </w:r>
    </w:p>
    <w:p w14:paraId="5BCD2C73"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состоял в том, что штурмовик Ил-2 с пушками Ш-37 является мощным средством борьбы с немецкими легкими и средними танками. Для его эффективного боевого применения летный состав должен быть хорошо натренирован в веде</w:t>
      </w:r>
      <w:r w:rsidRPr="00722885">
        <w:rPr>
          <w:color w:val="000000" w:themeColor="text1"/>
          <w:sz w:val="16"/>
          <w:szCs w:val="16"/>
        </w:rPr>
        <w:softHyphen/>
        <w:t>нии прицельного огня короткими очередями (3—5 снарядов в очереди) по малоразмерным целям (от</w:t>
      </w:r>
      <w:r w:rsidRPr="00722885">
        <w:rPr>
          <w:color w:val="000000" w:themeColor="text1"/>
          <w:sz w:val="16"/>
          <w:szCs w:val="16"/>
        </w:rPr>
        <w:softHyphen/>
        <w:t>дельный танк, автомашина и т.д.) и иметь отличную летную подготовку.</w:t>
      </w:r>
    </w:p>
    <w:p w14:paraId="692F2CBD"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Рекомендовалось построить небольшую серию таких самолетов для проведения войсковых испы</w:t>
      </w:r>
      <w:r w:rsidRPr="00722885">
        <w:rPr>
          <w:color w:val="000000" w:themeColor="text1"/>
          <w:sz w:val="16"/>
          <w:szCs w:val="16"/>
        </w:rPr>
        <w:softHyphen/>
        <w:t>таний и сформировать в полках специальные груп</w:t>
      </w:r>
      <w:r w:rsidRPr="00722885">
        <w:rPr>
          <w:color w:val="000000" w:themeColor="text1"/>
          <w:sz w:val="16"/>
          <w:szCs w:val="16"/>
        </w:rPr>
        <w:softHyphen/>
        <w:t>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w:t>
      </w:r>
    </w:p>
    <w:p w14:paraId="51D43D41"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Попутно заметим, что последнее положение, например, нашло свое отражение в «Основных ука</w:t>
      </w:r>
      <w:r w:rsidRPr="00722885">
        <w:rPr>
          <w:color w:val="000000" w:themeColor="text1"/>
          <w:sz w:val="16"/>
          <w:szCs w:val="16"/>
        </w:rPr>
        <w:softHyphen/>
        <w:t>заниях по использованию германской штурмовой авиации для действий по танкам» от 3 июня 1942 г., где указывается: «Для действий по танкам исполь</w:t>
      </w:r>
      <w:r w:rsidRPr="00722885">
        <w:rPr>
          <w:color w:val="000000" w:themeColor="text1"/>
          <w:sz w:val="16"/>
          <w:szCs w:val="16"/>
        </w:rPr>
        <w:softHyphen/>
        <w:t>зуются специально подготовленные экипажи. Ис</w:t>
      </w:r>
      <w:r w:rsidRPr="00722885">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722885">
        <w:rPr>
          <w:color w:val="000000" w:themeColor="text1"/>
          <w:sz w:val="16"/>
          <w:szCs w:val="16"/>
        </w:rPr>
        <w:softHyphen/>
        <w:t>вую подготовку».</w:t>
      </w:r>
    </w:p>
    <w:p w14:paraId="563EC459"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утверждения результатов по полигон</w:t>
      </w:r>
      <w:r w:rsidRPr="00722885">
        <w:rPr>
          <w:color w:val="000000" w:themeColor="text1"/>
          <w:sz w:val="16"/>
          <w:szCs w:val="16"/>
        </w:rPr>
        <w:softHyphen/>
        <w:t>ным испытаниям вооружения самолета Ил-2 на эффективность действия по трофейным немец</w:t>
      </w:r>
      <w:r w:rsidRPr="00722885">
        <w:rPr>
          <w:color w:val="000000" w:themeColor="text1"/>
          <w:sz w:val="16"/>
          <w:szCs w:val="16"/>
        </w:rPr>
        <w:softHyphen/>
        <w:t>ким танкам и бронемашинам начальником НИП АВ ВВС полковником Л. П. Лобачевым материалы 21 июля были направлены главному инженеру ВВС генерал-лейтенанту А. К. Репину, который ут</w:t>
      </w:r>
      <w:r w:rsidRPr="00722885">
        <w:rPr>
          <w:color w:val="000000" w:themeColor="text1"/>
          <w:sz w:val="16"/>
          <w:szCs w:val="16"/>
        </w:rPr>
        <w:softHyphen/>
        <w:t>вердил отчет 24 июля. Уже через два дня, 26 июля, с отчетом ознакомился командующий ВВС гене</w:t>
      </w:r>
      <w:r w:rsidRPr="00722885">
        <w:rPr>
          <w:color w:val="000000" w:themeColor="text1"/>
          <w:sz w:val="16"/>
          <w:szCs w:val="16"/>
        </w:rPr>
        <w:softHyphen/>
        <w:t>рал-лейтенант А. А. Новиков и утвердил результа</w:t>
      </w:r>
      <w:r w:rsidRPr="00722885">
        <w:rPr>
          <w:color w:val="000000" w:themeColor="text1"/>
          <w:sz w:val="16"/>
          <w:szCs w:val="16"/>
        </w:rPr>
        <w:softHyphen/>
        <w:t>ты испытаний.</w:t>
      </w:r>
    </w:p>
    <w:p w14:paraId="40FF6D16"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распоряжению командующего ВВС один эк</w:t>
      </w:r>
      <w:r w:rsidRPr="00722885">
        <w:rPr>
          <w:color w:val="000000" w:themeColor="text1"/>
          <w:sz w:val="16"/>
          <w:szCs w:val="16"/>
        </w:rPr>
        <w:softHyphen/>
        <w:t>земпляр отчета 31 июля был направлен для озна</w:t>
      </w:r>
      <w:r w:rsidRPr="00722885">
        <w:rPr>
          <w:color w:val="000000" w:themeColor="text1"/>
          <w:sz w:val="16"/>
          <w:szCs w:val="16"/>
        </w:rPr>
        <w:softHyphen/>
        <w:t>комления начальнику Генерального штаба Красной Армии маршалу Б. М. Шапошникову. По одному экземпляру получили начальник НИИ ВВС гене</w:t>
      </w:r>
      <w:r w:rsidRPr="00722885">
        <w:rPr>
          <w:color w:val="000000" w:themeColor="text1"/>
          <w:sz w:val="16"/>
          <w:szCs w:val="16"/>
        </w:rPr>
        <w:softHyphen/>
        <w:t>рал-майор П. А. Лосюков и заместитель командую</w:t>
      </w:r>
      <w:r w:rsidRPr="00722885">
        <w:rPr>
          <w:color w:val="000000" w:themeColor="text1"/>
          <w:sz w:val="16"/>
          <w:szCs w:val="16"/>
        </w:rPr>
        <w:softHyphen/>
        <w:t>щего ВВС КА по воздушно-стрелковой службе гене</w:t>
      </w:r>
      <w:r w:rsidRPr="00722885">
        <w:rPr>
          <w:color w:val="000000" w:themeColor="text1"/>
          <w:sz w:val="16"/>
          <w:szCs w:val="16"/>
        </w:rPr>
        <w:softHyphen/>
        <w:t>рал-майор А. М. Рафалович.</w:t>
      </w:r>
    </w:p>
    <w:p w14:paraId="2208CE45"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подойти критически к оценке результатов полигонных испытаний, то можно сказать следую</w:t>
      </w:r>
      <w:r w:rsidRPr="00722885">
        <w:rPr>
          <w:color w:val="000000" w:themeColor="text1"/>
          <w:sz w:val="16"/>
          <w:szCs w:val="16"/>
        </w:rPr>
        <w:softHyphen/>
        <w:t>щее. Испытание пушечного вооружения было про</w:t>
      </w:r>
      <w:r w:rsidRPr="00722885">
        <w:rPr>
          <w:color w:val="000000" w:themeColor="text1"/>
          <w:sz w:val="16"/>
          <w:szCs w:val="16"/>
        </w:rPr>
        <w:softHyphen/>
        <w:t>ведено достаточно тщательно, а испытание бомб и ракетных снарядов — неполно.</w:t>
      </w:r>
    </w:p>
    <w:p w14:paraId="46DDE869"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например, с целью определения эффектив</w:t>
      </w:r>
      <w:r w:rsidRPr="00722885">
        <w:rPr>
          <w:color w:val="000000" w:themeColor="text1"/>
          <w:sz w:val="16"/>
          <w:szCs w:val="16"/>
        </w:rPr>
        <w:softHyphen/>
        <w:t>ности действия были испытаны подрывом бом</w:t>
      </w:r>
      <w:r w:rsidRPr="00722885">
        <w:rPr>
          <w:color w:val="000000" w:themeColor="text1"/>
          <w:sz w:val="16"/>
          <w:szCs w:val="16"/>
        </w:rPr>
        <w:softHyphen/>
        <w:t>бы типа АО-25сл, АО-25м13, ФАБ-50сч, ФАБ-100цк и ФАБ-250, тогда как наиболее успешно применя</w:t>
      </w:r>
      <w:r w:rsidRPr="00722885">
        <w:rPr>
          <w:color w:val="000000" w:themeColor="text1"/>
          <w:sz w:val="16"/>
          <w:szCs w:val="16"/>
        </w:rPr>
        <w:softHyphen/>
        <w:t>ются в условиях боя бомбы ФАБ-50м2 и ФАБ-50м9. Опытные бомбы типа ФАБ-50—100 вообще не ис- пытывались.</w:t>
      </w:r>
    </w:p>
    <w:p w14:paraId="4A29D897"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Методика испытаний подрывами бомб на по</w:t>
      </w:r>
      <w:r w:rsidRPr="00722885">
        <w:rPr>
          <w:color w:val="000000" w:themeColor="text1"/>
          <w:sz w:val="16"/>
          <w:szCs w:val="16"/>
        </w:rPr>
        <w:softHyphen/>
        <w:t>верхности грунта не отражает работу бомб при сбрасывании их с самолета в боевой обстановке. Действительно, бомба с взрывателем мгновенного действия, сброшенная с высоты, благодаря инерт</w:t>
      </w:r>
      <w:r w:rsidRPr="00722885">
        <w:rPr>
          <w:color w:val="000000" w:themeColor="text1"/>
          <w:sz w:val="16"/>
          <w:szCs w:val="16"/>
        </w:rPr>
        <w:softHyphen/>
        <w:t>ности последнего успевает углубиться в преграду. При взрыве образуется воронка глубиной до 0,6 м и часть наиболее крупных осколков от головной части бомбы перехватывается преградой или ча</w:t>
      </w:r>
      <w:r w:rsidRPr="00722885">
        <w:rPr>
          <w:color w:val="000000" w:themeColor="text1"/>
          <w:sz w:val="16"/>
          <w:szCs w:val="16"/>
        </w:rPr>
        <w:softHyphen/>
        <w:t>стично выбрасывается вместе с преградой со зна</w:t>
      </w:r>
      <w:r w:rsidRPr="00722885">
        <w:rPr>
          <w:color w:val="000000" w:themeColor="text1"/>
          <w:sz w:val="16"/>
          <w:szCs w:val="16"/>
        </w:rPr>
        <w:softHyphen/>
        <w:t>чительно меньшей начальной скоростью, чем при открытом взрыве. Кроме того, выбранные значения углов места, при которых проводились подрывы бомб, не соответствуют углам падения бомб при сбросе с типовых высот боевого применения штур</w:t>
      </w:r>
      <w:r w:rsidRPr="00722885">
        <w:rPr>
          <w:color w:val="000000" w:themeColor="text1"/>
          <w:sz w:val="16"/>
          <w:szCs w:val="16"/>
        </w:rPr>
        <w:softHyphen/>
        <w:t>мовика Ил-2.</w:t>
      </w:r>
    </w:p>
    <w:p w14:paraId="4266E788"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Таким образом, предложенный метод подрыва бомб не давал полной картины действительных ус</w:t>
      </w:r>
      <w:r w:rsidRPr="00722885">
        <w:rPr>
          <w:color w:val="000000" w:themeColor="text1"/>
          <w:sz w:val="16"/>
          <w:szCs w:val="16"/>
        </w:rPr>
        <w:softHyphen/>
        <w:t>ловий взрыва ни бомб, сброшенных с высоты, ни бомб, сброшенных на штурмовом полете, так как в последнем случае, как правило, бомбы рвутся в горизонтальном положении, после падения их на земле.</w:t>
      </w:r>
    </w:p>
    <w:p w14:paraId="00CD1B9C"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Выводы о действии бомб и РОФС по танкам были сделаны, судя по отчету, на основании еди</w:t>
      </w:r>
      <w:r w:rsidRPr="00722885">
        <w:rPr>
          <w:color w:val="000000" w:themeColor="text1"/>
          <w:sz w:val="16"/>
          <w:szCs w:val="16"/>
        </w:rPr>
        <w:softHyphen/>
        <w:t>ничных наблюдений, а потому не могут быть пол</w:t>
      </w:r>
      <w:r w:rsidRPr="00722885">
        <w:rPr>
          <w:color w:val="000000" w:themeColor="text1"/>
          <w:sz w:val="16"/>
          <w:szCs w:val="16"/>
        </w:rPr>
        <w:softHyphen/>
        <w:t>ными и безупречными. В частности, РОФС-132 был подорван на удалении 1 м от танка и дал меньшее поражение танка по сравнению с АО-25м13 (явля</w:t>
      </w:r>
      <w:r w:rsidRPr="00722885">
        <w:rPr>
          <w:color w:val="000000" w:themeColor="text1"/>
          <w:sz w:val="16"/>
          <w:szCs w:val="16"/>
        </w:rPr>
        <w:softHyphen/>
        <w:t>ющейся переделкой из головной части РОФС-132), подорванной на удалении 3 м от танка.</w:t>
      </w:r>
    </w:p>
    <w:p w14:paraId="57A8E2EC"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того, в рекомендациях строевым частям были значительно завышены дальности стрельбы ракетными снарядами и не совсем корректно обо</w:t>
      </w:r>
      <w:r w:rsidRPr="00722885">
        <w:rPr>
          <w:color w:val="000000" w:themeColor="text1"/>
          <w:sz w:val="16"/>
          <w:szCs w:val="16"/>
        </w:rPr>
        <w:softHyphen/>
        <w:t>сновано использование двух видов вооружения (например, РС и пушек или пушек и бомб) в одном заходе.</w:t>
      </w:r>
    </w:p>
    <w:p w14:paraId="05165ADF"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Действительно, как следует из расчетов по ре</w:t>
      </w:r>
      <w:r w:rsidRPr="00722885">
        <w:rPr>
          <w:color w:val="000000" w:themeColor="text1"/>
          <w:sz w:val="16"/>
          <w:szCs w:val="16"/>
        </w:rPr>
        <w:softHyphen/>
        <w:t>зультатам полигонных испытаний и анализа бое</w:t>
      </w:r>
      <w:r w:rsidRPr="00722885">
        <w:rPr>
          <w:color w:val="000000" w:themeColor="text1"/>
          <w:sz w:val="16"/>
          <w:szCs w:val="16"/>
        </w:rPr>
        <w:softHyphen/>
        <w:t>вого опыта, выполнение одиночных или парных пусков РС-82 с дальности 600 м, как это рекомен</w:t>
      </w:r>
      <w:r w:rsidRPr="00722885">
        <w:rPr>
          <w:color w:val="000000" w:themeColor="text1"/>
          <w:sz w:val="16"/>
          <w:szCs w:val="16"/>
        </w:rPr>
        <w:softHyphen/>
        <w:t>довалось НИП АВ, обеспечивало вероятность поражения танка в 6—7 раз меньше, чем стрельба залпом по 4—8 ракетных снарядов с дальности 400—300 м.</w:t>
      </w:r>
    </w:p>
    <w:p w14:paraId="45A8C180"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использование двух видов во</w:t>
      </w:r>
      <w:r w:rsidRPr="00722885">
        <w:rPr>
          <w:color w:val="000000" w:themeColor="text1"/>
          <w:sz w:val="16"/>
          <w:szCs w:val="16"/>
        </w:rPr>
        <w:softHyphen/>
        <w:t>оружения штурмовика в одном заходе не позволя</w:t>
      </w:r>
      <w:r w:rsidRPr="00722885">
        <w:rPr>
          <w:color w:val="000000" w:themeColor="text1"/>
          <w:sz w:val="16"/>
          <w:szCs w:val="16"/>
        </w:rPr>
        <w:softHyphen/>
        <w:t>ло с максимальной эффективностью использовать второй по счету вид оружия, поскольку точность прицеливания для этого вида оружия снижалась примерно на 20—25% по сравнению с ситуацией, когда в одном заходе используется только одно оружие.</w:t>
      </w:r>
    </w:p>
    <w:p w14:paraId="761436F2"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Анализ боевых возможностей Ил-2 показывает, что более правильным было бы атаковывать ко</w:t>
      </w:r>
      <w:r w:rsidRPr="00722885">
        <w:rPr>
          <w:color w:val="000000" w:themeColor="text1"/>
          <w:sz w:val="16"/>
          <w:szCs w:val="16"/>
        </w:rPr>
        <w:softHyphen/>
        <w:t>роткую цель (бронированную или небронирован ную) как минимум в трех заходах с планирования под углом 25—30° с высоты 500—800 м, применяя в каждом заходе только один вид оружия. Напри</w:t>
      </w:r>
      <w:r w:rsidRPr="00722885">
        <w:rPr>
          <w:color w:val="000000" w:themeColor="text1"/>
          <w:sz w:val="16"/>
          <w:szCs w:val="16"/>
        </w:rPr>
        <w:softHyphen/>
        <w:t>мер, в первом заходе осуществляется пуск реак</w:t>
      </w:r>
      <w:r w:rsidRPr="00722885">
        <w:rPr>
          <w:color w:val="000000" w:themeColor="text1"/>
          <w:sz w:val="16"/>
          <w:szCs w:val="16"/>
        </w:rPr>
        <w:softHyphen/>
        <w:t>тивных снарядов залпом из 4 снарядов с дально</w:t>
      </w:r>
      <w:r w:rsidRPr="00722885">
        <w:rPr>
          <w:color w:val="000000" w:themeColor="text1"/>
          <w:sz w:val="16"/>
          <w:szCs w:val="16"/>
        </w:rPr>
        <w:softHyphen/>
        <w:t>сти не более 400—300 м. Затем, во втором заходе, на выходе из планирования выполняется сброс бомб. Начиная с третьего захода, цель обстрели</w:t>
      </w:r>
      <w:r w:rsidRPr="00722885">
        <w:rPr>
          <w:color w:val="000000" w:themeColor="text1"/>
          <w:sz w:val="16"/>
          <w:szCs w:val="16"/>
        </w:rPr>
        <w:softHyphen/>
        <w:t>вается пушечно-пулеметным огнем с дистанции до 400—300 м. Атака длинной цели вполне могла производиться с бреющего полета, как это реко</w:t>
      </w:r>
      <w:r w:rsidRPr="00722885">
        <w:rPr>
          <w:color w:val="000000" w:themeColor="text1"/>
          <w:sz w:val="16"/>
          <w:szCs w:val="16"/>
        </w:rPr>
        <w:softHyphen/>
        <w:t>мендовали специалисты НИП АВ, но обязательно с раздельным использованием каждого вида во</w:t>
      </w:r>
      <w:r w:rsidRPr="00722885">
        <w:rPr>
          <w:color w:val="000000" w:themeColor="text1"/>
          <w:sz w:val="16"/>
          <w:szCs w:val="16"/>
        </w:rPr>
        <w:softHyphen/>
        <w:t>оружения Ил-2 при дальностях залпового пуска РС и начала пулеметно-пушечной стрельбы не более 400 м.</w:t>
      </w:r>
    </w:p>
    <w:p w14:paraId="008CCDE4"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заключении от 12 сентября 1942 г. к отчету НИП АВ ВВС, подготовленном помощником началь</w:t>
      </w:r>
      <w:r w:rsidRPr="00722885">
        <w:rPr>
          <w:color w:val="000000" w:themeColor="text1"/>
          <w:sz w:val="16"/>
          <w:szCs w:val="16"/>
        </w:rPr>
        <w:softHyphen/>
        <w:t>ника 2-го отдела Оперативного управления штаба ВВС КА военным инженером 2-го ранга И. В. Пиме- новым, отмечалась «необходимость самого срочно</w:t>
      </w:r>
      <w:r w:rsidRPr="00722885">
        <w:rPr>
          <w:color w:val="000000" w:themeColor="text1"/>
          <w:sz w:val="16"/>
          <w:szCs w:val="16"/>
        </w:rPr>
        <w:softHyphen/>
        <w:t>го введения на вооружение Ил-2 с 37-мм пушками ОКБ-15 или ОКБ-16, лучше одной для стрельбы че</w:t>
      </w:r>
      <w:r w:rsidRPr="00722885">
        <w:rPr>
          <w:color w:val="000000" w:themeColor="text1"/>
          <w:sz w:val="16"/>
          <w:szCs w:val="16"/>
        </w:rPr>
        <w:softHyphen/>
        <w:t>рез втулку редуктора». Предлагалось незамедли</w:t>
      </w:r>
      <w:r w:rsidRPr="00722885">
        <w:rPr>
          <w:color w:val="000000" w:themeColor="text1"/>
          <w:sz w:val="16"/>
          <w:szCs w:val="16"/>
        </w:rPr>
        <w:softHyphen/>
        <w:t>тельно отработать и принять «на вооружение спе</w:t>
      </w:r>
      <w:r w:rsidRPr="00722885">
        <w:rPr>
          <w:color w:val="000000" w:themeColor="text1"/>
          <w:sz w:val="16"/>
          <w:szCs w:val="16"/>
        </w:rPr>
        <w:softHyphen/>
        <w:t>циальных противотанковых авиапушек с началь</w:t>
      </w:r>
      <w:r w:rsidRPr="00722885">
        <w:rPr>
          <w:color w:val="000000" w:themeColor="text1"/>
          <w:sz w:val="16"/>
          <w:szCs w:val="16"/>
        </w:rPr>
        <w:softHyphen/>
        <w:t>ной скоростью снаряда порядка 1300—1400 м/с (подобные скорости имеют немецкие противотан</w:t>
      </w:r>
      <w:r w:rsidRPr="00722885">
        <w:rPr>
          <w:color w:val="000000" w:themeColor="text1"/>
          <w:sz w:val="16"/>
          <w:szCs w:val="16"/>
        </w:rPr>
        <w:softHyphen/>
        <w:t>ковые пушки с так называемыми термитными сна</w:t>
      </w:r>
      <w:r w:rsidRPr="00722885">
        <w:rPr>
          <w:color w:val="000000" w:themeColor="text1"/>
          <w:sz w:val="16"/>
          <w:szCs w:val="16"/>
        </w:rPr>
        <w:softHyphen/>
        <w:t>рядами)». Кроме того, требовалось изыскание «но</w:t>
      </w:r>
      <w:r w:rsidRPr="00722885">
        <w:rPr>
          <w:color w:val="000000" w:themeColor="text1"/>
          <w:sz w:val="16"/>
          <w:szCs w:val="16"/>
        </w:rPr>
        <w:softHyphen/>
        <w:t>вых методов применения зажигательных средств штурмовиками по танкам, так как зажиганием оди</w:t>
      </w:r>
      <w:r w:rsidRPr="00722885">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34C34D90"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Интересно отметить еще один результат иссле</w:t>
      </w:r>
      <w:r w:rsidRPr="00722885">
        <w:rPr>
          <w:color w:val="000000" w:themeColor="text1"/>
          <w:sz w:val="16"/>
          <w:szCs w:val="16"/>
        </w:rPr>
        <w:softHyphen/>
        <w:t>довательской работы по оценке эффективности вооружения Ил-2. В августе 1942 г. с формулиров</w:t>
      </w:r>
      <w:r w:rsidRPr="00722885">
        <w:rPr>
          <w:color w:val="000000" w:themeColor="text1"/>
          <w:sz w:val="16"/>
          <w:szCs w:val="16"/>
        </w:rPr>
        <w:softHyphen/>
        <w:t>кой «в связи с необходимостью проведения ин</w:t>
      </w:r>
      <w:r w:rsidRPr="00722885">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722885">
        <w:rPr>
          <w:color w:val="000000" w:themeColor="text1"/>
          <w:sz w:val="16"/>
          <w:szCs w:val="16"/>
        </w:rPr>
        <w:softHyphen/>
        <w:t>ший лейтенант Назаров из 245-го шап были отко</w:t>
      </w:r>
      <w:r w:rsidRPr="00722885">
        <w:rPr>
          <w:color w:val="000000" w:themeColor="text1"/>
          <w:sz w:val="16"/>
          <w:szCs w:val="16"/>
        </w:rPr>
        <w:softHyphen/>
        <w:t>мандированы в 4-й отдел НИИ ВВС. Утверждалось, что «указанные летчики прошли специальную тре</w:t>
      </w:r>
      <w:r w:rsidRPr="00722885">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43836DD2"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получения из НИП АВ отчета с материала</w:t>
      </w:r>
      <w:r w:rsidRPr="00722885">
        <w:rPr>
          <w:color w:val="000000" w:themeColor="text1"/>
          <w:sz w:val="16"/>
          <w:szCs w:val="16"/>
        </w:rPr>
        <w:softHyphen/>
        <w:t>ми испытаний вооружения самолетов Ил-2 и ЛаГГ-3 при действии по немецкой бронетехнике специ</w:t>
      </w:r>
      <w:r w:rsidRPr="00722885">
        <w:rPr>
          <w:color w:val="000000" w:themeColor="text1"/>
          <w:sz w:val="16"/>
          <w:szCs w:val="16"/>
        </w:rPr>
        <w:softHyphen/>
        <w:t>алисты 2-го отдела (отдел по использованию опыта войны) Оперативного управления штаба ВВС в кон</w:t>
      </w:r>
      <w:r w:rsidRPr="00722885">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722885">
        <w:rPr>
          <w:color w:val="000000" w:themeColor="text1"/>
          <w:sz w:val="16"/>
          <w:szCs w:val="16"/>
        </w:rPr>
        <w:softHyphen/>
        <w:t>ной Армии (17500).</w:t>
      </w:r>
    </w:p>
    <w:p w14:paraId="2418F4D5" w14:textId="77777777" w:rsidR="00B33D31" w:rsidRPr="00722885"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6C7561F3"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 июля</w:t>
      </w:r>
      <w:r w:rsidRPr="00722885">
        <w:rPr>
          <w:rFonts w:ascii="Times New Roman" w:hAnsi="Times New Roman"/>
          <w:color w:val="000000" w:themeColor="text1"/>
          <w:sz w:val="16"/>
          <w:szCs w:val="16"/>
        </w:rPr>
        <w:t xml:space="preserve"> в 1942 году ночью весь командный и руководящий партийный аппарат Севастополя (около 600 человек что в 2,5 раза больше разрешенного Ставкой) покинул осажденный город на 13 «Ли-2» и подлодках «Щ-209» и «Л-23». На аэродроме возле Херсонесского маяка разъяренные солдаты едва не расстреляли вице-адмирала Октябрьского, командующего войсками СОР. К исходу дня немцы захватили бухты Омега, Стрелецкая и подошли к 305-мм береговой батарее №35 (14939).</w:t>
      </w:r>
    </w:p>
    <w:p w14:paraId="6E3B878F"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7CCC6285"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 июля</w:t>
      </w:r>
      <w:r w:rsidRPr="00722885">
        <w:rPr>
          <w:rFonts w:ascii="Times New Roman" w:hAnsi="Times New Roman"/>
          <w:color w:val="000000" w:themeColor="text1"/>
          <w:sz w:val="16"/>
          <w:szCs w:val="16"/>
        </w:rPr>
        <w:t xml:space="preserve"> в 1942 году за взятие Севастополя немецкий генерал фон Манштейн провозглашается в фельдмаршалы (14939).</w:t>
      </w:r>
    </w:p>
    <w:p w14:paraId="47EC85F9"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57DC6C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июля 1942:</w:t>
      </w:r>
    </w:p>
    <w:p w14:paraId="3E39BD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Боевая живучесть Ил-2 ВВС КА в 1941-45 гг. (среднее количество боевых вылетов, приходящихся на одну боевую потерю)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559"/>
        <w:gridCol w:w="1559"/>
        <w:gridCol w:w="1559"/>
        <w:gridCol w:w="1559"/>
      </w:tblGrid>
      <w:tr w:rsidR="009B487A" w:rsidRPr="00722885" w14:paraId="4B3969C2" w14:textId="77777777" w:rsidTr="00CC5360">
        <w:tc>
          <w:tcPr>
            <w:tcW w:w="2660" w:type="dxa"/>
            <w:tcBorders>
              <w:top w:val="single" w:sz="12" w:space="0" w:color="auto"/>
            </w:tcBorders>
          </w:tcPr>
          <w:p w14:paraId="483691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Период</w:t>
            </w:r>
          </w:p>
        </w:tc>
        <w:tc>
          <w:tcPr>
            <w:tcW w:w="1559" w:type="dxa"/>
            <w:tcBorders>
              <w:top w:val="single" w:sz="12" w:space="0" w:color="auto"/>
            </w:tcBorders>
          </w:tcPr>
          <w:p w14:paraId="706CFB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26.06.41-01.07.42 </w:t>
            </w:r>
          </w:p>
        </w:tc>
        <w:tc>
          <w:tcPr>
            <w:tcW w:w="1559" w:type="dxa"/>
            <w:tcBorders>
              <w:top w:val="single" w:sz="12" w:space="0" w:color="auto"/>
            </w:tcBorders>
          </w:tcPr>
          <w:p w14:paraId="2009F8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01.08.42-01.06.43</w:t>
            </w:r>
          </w:p>
        </w:tc>
        <w:tc>
          <w:tcPr>
            <w:tcW w:w="1559" w:type="dxa"/>
            <w:tcBorders>
              <w:top w:val="single" w:sz="12" w:space="0" w:color="auto"/>
            </w:tcBorders>
          </w:tcPr>
          <w:p w14:paraId="39962A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01.11.44.</w:t>
            </w:r>
          </w:p>
        </w:tc>
        <w:tc>
          <w:tcPr>
            <w:tcW w:w="1559" w:type="dxa"/>
            <w:tcBorders>
              <w:top w:val="single" w:sz="12" w:space="0" w:color="auto"/>
            </w:tcBorders>
          </w:tcPr>
          <w:p w14:paraId="50FB13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01.01.45-09.05.45</w:t>
            </w:r>
          </w:p>
        </w:tc>
      </w:tr>
      <w:tr w:rsidR="009B487A" w:rsidRPr="00722885" w14:paraId="275CD966" w14:textId="77777777" w:rsidTr="00CC5360">
        <w:tc>
          <w:tcPr>
            <w:tcW w:w="2660" w:type="dxa"/>
          </w:tcPr>
          <w:p w14:paraId="749B03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Ил-2</w:t>
            </w:r>
          </w:p>
        </w:tc>
        <w:tc>
          <w:tcPr>
            <w:tcW w:w="1559" w:type="dxa"/>
          </w:tcPr>
          <w:p w14:paraId="79E05A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w:t>
            </w:r>
          </w:p>
        </w:tc>
        <w:tc>
          <w:tcPr>
            <w:tcW w:w="1559" w:type="dxa"/>
          </w:tcPr>
          <w:p w14:paraId="2EEA6C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w:t>
            </w:r>
          </w:p>
        </w:tc>
        <w:tc>
          <w:tcPr>
            <w:tcW w:w="1559" w:type="dxa"/>
          </w:tcPr>
          <w:p w14:paraId="725BC4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w:t>
            </w:r>
          </w:p>
        </w:tc>
        <w:tc>
          <w:tcPr>
            <w:tcW w:w="1559" w:type="dxa"/>
          </w:tcPr>
          <w:p w14:paraId="4592AF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w:t>
            </w:r>
          </w:p>
        </w:tc>
      </w:tr>
      <w:tr w:rsidR="009B487A" w:rsidRPr="00722885" w14:paraId="1B84F5A4" w14:textId="77777777" w:rsidTr="00CC5360">
        <w:tc>
          <w:tcPr>
            <w:tcW w:w="2660" w:type="dxa"/>
          </w:tcPr>
          <w:p w14:paraId="300CD42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Истребители</w:t>
            </w:r>
          </w:p>
        </w:tc>
        <w:tc>
          <w:tcPr>
            <w:tcW w:w="1559" w:type="dxa"/>
          </w:tcPr>
          <w:p w14:paraId="7733BB8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w:t>
            </w:r>
          </w:p>
        </w:tc>
        <w:tc>
          <w:tcPr>
            <w:tcW w:w="1559" w:type="dxa"/>
          </w:tcPr>
          <w:p w14:paraId="16AEF2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w:t>
            </w:r>
          </w:p>
        </w:tc>
        <w:tc>
          <w:tcPr>
            <w:tcW w:w="1559" w:type="dxa"/>
          </w:tcPr>
          <w:p w14:paraId="50A68A5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127</w:t>
            </w:r>
          </w:p>
        </w:tc>
        <w:tc>
          <w:tcPr>
            <w:tcW w:w="1559" w:type="dxa"/>
          </w:tcPr>
          <w:p w14:paraId="201688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w:t>
            </w:r>
          </w:p>
        </w:tc>
      </w:tr>
      <w:tr w:rsidR="009B487A" w:rsidRPr="00722885" w14:paraId="2AA4921D" w14:textId="77777777" w:rsidTr="00CC5360">
        <w:tc>
          <w:tcPr>
            <w:tcW w:w="2660" w:type="dxa"/>
            <w:tcBorders>
              <w:bottom w:val="single" w:sz="12" w:space="0" w:color="auto"/>
            </w:tcBorders>
          </w:tcPr>
          <w:p w14:paraId="56D043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Бомбардировщики</w:t>
            </w:r>
          </w:p>
        </w:tc>
        <w:tc>
          <w:tcPr>
            <w:tcW w:w="1559" w:type="dxa"/>
            <w:tcBorders>
              <w:bottom w:val="single" w:sz="12" w:space="0" w:color="auto"/>
            </w:tcBorders>
          </w:tcPr>
          <w:p w14:paraId="0ECAF9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w:t>
            </w:r>
          </w:p>
        </w:tc>
        <w:tc>
          <w:tcPr>
            <w:tcW w:w="1559" w:type="dxa"/>
            <w:tcBorders>
              <w:bottom w:val="single" w:sz="12" w:space="0" w:color="auto"/>
            </w:tcBorders>
          </w:tcPr>
          <w:p w14:paraId="1BE0B5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w:t>
            </w:r>
          </w:p>
        </w:tc>
        <w:tc>
          <w:tcPr>
            <w:tcW w:w="1559" w:type="dxa"/>
            <w:tcBorders>
              <w:bottom w:val="single" w:sz="12" w:space="0" w:color="auto"/>
            </w:tcBorders>
          </w:tcPr>
          <w:p w14:paraId="16AE58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w:t>
            </w:r>
          </w:p>
        </w:tc>
        <w:tc>
          <w:tcPr>
            <w:tcW w:w="1559" w:type="dxa"/>
            <w:tcBorders>
              <w:bottom w:val="single" w:sz="12" w:space="0" w:color="auto"/>
            </w:tcBorders>
          </w:tcPr>
          <w:p w14:paraId="398E7E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133</w:t>
            </w:r>
          </w:p>
        </w:tc>
      </w:tr>
    </w:tbl>
    <w:p w14:paraId="068629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E441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был подготовлен отчет о боевой работе 746-го авиаполка за июнь 1942 г.:</w:t>
      </w:r>
    </w:p>
    <w:p w14:paraId="46BC86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Дополним картину боевой обстановки отчетом о боевой работе 746-го авиаполка за июнь 1942 г.</w:t>
      </w:r>
    </w:p>
    <w:p w14:paraId="497AE5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1.07.1942 г.</w:t>
      </w:r>
    </w:p>
    <w:p w14:paraId="0ABE03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Отчет о боевой работе 746 апДД за июнь месяц 1942 г.</w:t>
      </w:r>
    </w:p>
    <w:p w14:paraId="368F2E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За отчетный период 746 апДД выполнял следующие боевые задачи:</w:t>
      </w:r>
    </w:p>
    <w:p w14:paraId="2E0805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Бомбардирование городов: Брянск, Щигры, Полтава, Орел с задачей уничтожения штабов и скопления войск противника.</w:t>
      </w:r>
    </w:p>
    <w:p w14:paraId="04D828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Бомбардирование ж.д. станции Брянск-2 с задачей уничтожения ж.д. эшелонов и ж.д. путей.</w:t>
      </w:r>
    </w:p>
    <w:p w14:paraId="73850A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Бомбардирование аэродромов противника: Брянск, Харьков, Белгород, Смоленск, Боровское, Сеша, Курск с задачей уничтожения самолетов противника и разрушения летного поля.</w:t>
      </w:r>
    </w:p>
    <w:p w14:paraId="51FA89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Бомбардирование скопления танков, артиллерии и пехоты противника в населенных пунктах 16 км восточнее г. Курск с задачей их уничтожения.</w:t>
      </w:r>
    </w:p>
    <w:p w14:paraId="1374D3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Всего за июнь месяц полк на самолетах ТБ-7 с моторами АМ-35А сделал 50 самолетовылетов ночью, из них 6 самолетов задание не выполнили по следующим причинам:</w:t>
      </w:r>
    </w:p>
    <w:p w14:paraId="03EAAA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4.06.1942 г. с-т № 42086 кк (командир корабля-М.М.) м-р Лисачев вылетел на бомбометание ст. Брянск-2 с задачей уничтожения ж.д. эшелонов и разрушения путей - задание не выполнили из-за расхождения показаний магнитного компаса кабины штурмана на 100 градусов. Виновник штурман м-р Томкевич. Через 30 мин. полета произвел посадку на своем аэродроме с бомбами благополучно.</w:t>
      </w:r>
    </w:p>
    <w:p w14:paraId="5C9E07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11.06.1942 г. с-т № 42106 - кк ст. л-т Видный вылетел на бомбометание аэродрома и г. Харьков с задачей уничтожения мат- части с-тов, разрушения летного поля и уничтожения штабов пр-ка в городе. Задание не выполнили из-за отказа 1-го мотора, оборвался поршень, пробит картер. Через 34 мин. полета произвел посадку на своем аэродроме с бомбами благополучно.</w:t>
      </w:r>
    </w:p>
    <w:p w14:paraId="3599DF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18.06.1942 г. с-т № 42057 - кк к-н До- донов вылетел на бомбардирование аэродрома Сеща с задачей уничтожения матчас- ти с-тов пр-ка и разрушения летного поля. Задание не выполнили из-за отказа 4-го мотора. Разрушена шестерня наклонного валика газораспределения. Через 1 час полета произвел посадку с бомбами на своем аэродроме благополучно.</w:t>
      </w:r>
    </w:p>
    <w:p w14:paraId="6B26C9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26.06.1942 г. с-т № 42067 - кк к-н Обухов вылетел на бомбардирование г. Полтава с задачей уничтожения штабов и войск пр-ка. Задание не выполнил, зависли 2 ФАБ-ЮОО и I РРАБ-2 из-за неисправности бомбардировочного вооружения - не полного соединения шипа карданного валика с механизмом сбрасывания балки П-2. Возвращаясь на свой аэродром с бомбами, из-за опасности, что не хватит горючего, произвел посадку на аэродроме Дягилево.</w:t>
      </w:r>
    </w:p>
    <w:p w14:paraId="4A0E76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26.06.1942 г. с-т № 42066 - кк м-р Пусэп вылетел на бомбардирование г. Полтава с задачей уничтожения штабов и войск противника. Задание не выполнил из-за отказа 1-го мотора. Через 38 мин. полета произвел посадку с бомбами на своем аэродроме благополучно.</w:t>
      </w:r>
    </w:p>
    <w:p w14:paraId="27F3044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 28.06.1942 г. с-т № 42086 - кк м-р Лисачев вылетел на бомбардирование г. Щигры с задачей уничтожения скопления войск пр- ка. Задание не выполнил из-за плохих метеоусловий в районе цели. Возвратился на свой аэродром с бомбами. Сел благополучно.</w:t>
      </w:r>
    </w:p>
    <w:p w14:paraId="30F80B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Из намеченных к вылету самолетов на задание не вылетело:</w:t>
      </w:r>
    </w:p>
    <w:p w14:paraId="36E318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2.06.1942 г. - с-т № 42106 - кк ст. л-т Видный на задание не вышел из-за неисправности матчасти с-та, лопнула клапанная пружина на третьем моторе.</w:t>
      </w:r>
    </w:p>
    <w:p w14:paraId="413567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12.06.1942 г. - с-т № 42037 кк ст. л-т Родных на задание не вышел из-за неисправности матчасти. Лопнула покрышка колеса.</w:t>
      </w:r>
    </w:p>
    <w:p w14:paraId="38C23A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13.06.1942 г. - с-т № 4225 кк к-н Перегудов на задание не вышел из-за неисправности матчасти, упало давление масла.</w:t>
      </w:r>
    </w:p>
    <w:p w14:paraId="0E3CAF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14.06.1942 г. - с-т № 4225 кк к-н Перегудов на задание не вышел из-за личной неподготовленности к полету.</w:t>
      </w:r>
    </w:p>
    <w:p w14:paraId="4912508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26.06.1942 г. - с-т № 42086 кк м-р Лисачев на задание не вышел, заболел борттех- ник. Вина борттехника инж. к-на Смагина заключается в том, что он своевременно не поставил в известность командира корабля о болезни.</w:t>
      </w:r>
    </w:p>
    <w:p w14:paraId="5EA7B6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26.06.1942 г. - с-т № 42057 кк к-н Додо- нов на задание не вышел из-за неисправности магнето в 3-м моторе. Виновник борттех- ник ст. тех. л-т Клейменов.</w:t>
      </w:r>
    </w:p>
    <w:p w14:paraId="631762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Общий боевой налет ночью - 216 ч 40 мин.</w:t>
      </w:r>
    </w:p>
    <w:p w14:paraId="1317E7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Достигнутые результаты в итоге БД: бомбометание производилось ночью с больших высот, в основном 4500 - 6000 м, фотографирование результатов бомбометания не производилось, т.к. высота бомбометания значительно превышала предел высоты ночного фотографирования.</w:t>
      </w:r>
    </w:p>
    <w:p w14:paraId="170BA9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Успешное бомбометание подтверждено разведданными, а также взаимным контролем экипажей, бомбардировавших цель. </w:t>
      </w:r>
    </w:p>
    <w:p w14:paraId="357BD1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успешно выполнили бомбометание: экипаж корабля №4218 кк ст. л-т Родных, штурман Прудкий - бомбы сброшены не по заданной точке города Брянск, а по северовосточной части города.</w:t>
      </w:r>
    </w:p>
    <w:p w14:paraId="6A1D9E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Экипаж корабля № 42057 кк к-н Додо- нов, штурман к-н Ушаков, бомбил г. Орел. Бомбы сброшены на город, но в какой части разорвались бомбы, штурман доложить </w:t>
      </w:r>
      <w:r w:rsidRPr="00722885">
        <w:rPr>
          <w:rFonts w:ascii="Times New Roman" w:hAnsi="Times New Roman"/>
          <w:color w:val="000000" w:themeColor="text1"/>
          <w:sz w:val="16"/>
          <w:szCs w:val="16"/>
        </w:rPr>
        <w:lastRenderedPageBreak/>
        <w:t>не мог, т.к. бомбы сброшены из-за облаков с высоты 5600 м.</w:t>
      </w:r>
    </w:p>
    <w:p w14:paraId="0D641F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корабля № 42086 кк м-р Лисачев, штурман м-р Томкевич, бомбил аэродром Смоленск, бомбы сброшены из-за облаков с высоты 5300 м по зареву пожара. Точно установить место падения бомб экипаж не смог из-за облаков.</w:t>
      </w:r>
    </w:p>
    <w:p w14:paraId="550A50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корабля № 42067 кк к-н Обухов, штурман ст. л-т Шараев, бомбил г. Щигры из-за облаков с высоты 4700 м. Бомбы сброшены по площади, ограниченной действующими прожекторами и ЗА. Точно указать, куда попали бомбы, экипаж не смог.</w:t>
      </w:r>
    </w:p>
    <w:p w14:paraId="07AE35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Наблюдениями экипажей, производившими бомбометание, установлено:</w:t>
      </w:r>
    </w:p>
    <w:p w14:paraId="415897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г. Брянск - отмечено прямое попадание 59 бомб, из них 1 - ФАБ-2000, 2 - ФАБ-1000, 6 - ФАБ-500, 2 - ЗАБ-500ТШ, 32 - ФАБ-250, 8 - ФАБ-100, 8 -ЗАБ-100ЦК. В результате бомбометания возникло 10 очагов пожара.</w:t>
      </w:r>
    </w:p>
    <w:p w14:paraId="7EC0817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г. Харьков - отмечено прямое попадание 32 бомбы, из них: 8 - ФАБ-500, 16 - ФАБ-250, 8 - РРАБ-2 с начинкой АО-10-300, АО-25-36, ЗАБ-2,5-320. В результате бомбометания возникло 2 очага пожара.</w:t>
      </w:r>
    </w:p>
    <w:p w14:paraId="3A34CC5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 Щигры - отмечено попадание 58 бомб, из них: 2 - ФАБ-500, 2 - ЗАБ-500тш, 24 - ФАБ-250, 20 - ФАБ-100, 10 - РРАБ-2 с начинкой АО-10-300,</w:t>
      </w:r>
    </w:p>
    <w:p w14:paraId="168EF78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АО-15-60, АО-25-36, ЗАБ-2,5-400.</w:t>
      </w:r>
    </w:p>
    <w:p w14:paraId="05BB919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д. Пахонок - отмечено попадание 30 бомб, из них: 4 - ФАБ-500, 22 - ФАБ-100, 4 - РРАБ-2 с начинкой АО-15-60, ЗАБ-2,5-80. В результате бомбометания пожаров не возникло.</w:t>
      </w:r>
    </w:p>
    <w:p w14:paraId="07CC74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г. Полтава - отмечено попадание 10 бомб, из них: 8 - ФАБ-250 и 2 - РРАБ-2 с начинкой АО-15-60, ЗАБ-2,5-80. В результате бомбометаний пожаров не возникло.</w:t>
      </w:r>
    </w:p>
    <w:p w14:paraId="499CDE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 г. Орел - отмечено прямое попадание 6 - ФАБ-500, в результате бомбометания пожаров не возникло. Наблюдение за результатами бомбометания было затруднено облачностью.</w:t>
      </w:r>
    </w:p>
    <w:p w14:paraId="2217B7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 г. Курск - отмечено прямое попадание 2 бомб ФАБ-1000 и 2 - РРАБ-2 с начинкой</w:t>
      </w:r>
    </w:p>
    <w:p w14:paraId="02DAAD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АО-10-100, ЗАБ-2,5-80. В результате бомбометания в городе наблюдали один большой взрыв.</w:t>
      </w:r>
    </w:p>
    <w:p w14:paraId="1A2DFA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 Ж.д. ст. Брянск-2 - отмечено попадание 69 бомб, из них: 1 - ФАБ-2000, 10 - ФАБ-1000, 8 - ФАБ-500, 2 - ЗАБ-500тш, 8 - ФАБ-250, 24 - ФАБ-100, 16 - ЗАБ-1цк. В результате бомбометания возникло 12 очагов пожара.</w:t>
      </w:r>
    </w:p>
    <w:p w14:paraId="70EB44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Аэродром Брянск - отмечено прямое попадание 46 бомб, из них: 2 - ФАБ-1000, 8 - ФАБ-500, 24 - ФАБ-250, 12 - РРАБ-2 с начинкой АО-10-600, ЗАБ-2,5-480. В результате бомбометания возникло 9 пожаров и 1 взрыв.</w:t>
      </w:r>
    </w:p>
    <w:p w14:paraId="0CB32E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 аэродром Смоленск - отмечено прямое попадание 52 бомбы, из них: 4 - ФАБ-500, 16 - ФАБ-250, 20 - ФАБ-100, 4 - ЗАБ-ЮОцк и 8 РРАБ-2 с начинкой АО-10-200, АО-25-72, ЗАБ-2,5-300. В результате бомбометания возникло 5 очагов пожара.</w:t>
      </w:r>
    </w:p>
    <w:p w14:paraId="50FF15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 Аэродром Боровское - отмечено прямое попадание 20 бомб: из них 16 - ФАБ-250 и 4 - РРАБ-2 с начинкой АО-25-72, ЗАБ-2,5-160. В результате бомбометания возникло 2 очага пожара и I взрыв.</w:t>
      </w:r>
    </w:p>
    <w:p w14:paraId="64DEBB6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 Аэродром Сеща - отмечено прямое попадание 10 бомб, из них: 8 - ФАБ-250 и 2 - РРАБ-2 с начинкой АО-10-100, ЗАБ-2,5-80. В результате бомбометания возникло 3 очага пожара.</w:t>
      </w:r>
    </w:p>
    <w:p w14:paraId="4FC803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Аэродром Курск - отмечено попадание 10 бомб, из них: 8 - ФАБ-250 и 2 - РРАБ-2 с начинкой АО-15-бО, ЗАБ-2,5-80. В результате бомбометания пожаров не возникло.</w:t>
      </w:r>
    </w:p>
    <w:p w14:paraId="474128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 Аэродром Харьков - отмечено попадание 14 бомб, из них: 2 - ФАБ-1000, 8 - ФАБ-250 и 4 - РРАБ-2 с начинкой АО-10-100, ЗАБ-2,5-160 и АО-25-36. В результате бомбометания возникло 6 очагов пожара.</w:t>
      </w:r>
    </w:p>
    <w:p w14:paraId="29B913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Результаты бомбометания первых экипажей, бомбивших цель, проверялись наблюдением экипажей, бомбивших цель последними. Так, например:</w:t>
      </w:r>
    </w:p>
    <w:p w14:paraId="3C2BF68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бомбометание штурмана Волкова по аэродрому Боровское подтверждается штурманом Томкевичем, бомбившим цель за Волковым. В результате чего возникло 2 очага пожара и один взрыв.</w:t>
      </w:r>
    </w:p>
    <w:p w14:paraId="7D9E358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Бомбометание по г. Щигры. Экипаж, бомбивший цель последним, после бомбометания наших самолетов, наблюдал до 12 очагов пожара.</w:t>
      </w:r>
    </w:p>
    <w:p w14:paraId="397909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ПВО противника:</w:t>
      </w:r>
    </w:p>
    <w:p w14:paraId="73793A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Объекты, по которым производилось бомбометание за отчетный период, прикрыты ЗА и ПА.</w:t>
      </w:r>
    </w:p>
    <w:p w14:paraId="0CBCF8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Города Брянск, Курск, Харьков и аэродромы Смоленск, Брянск, Сеша, ж.д. узел Брянск-2 - прикрыты интенсивным огнем ЗА всех калибров, во взаимодействии с прожекторами.</w:t>
      </w:r>
    </w:p>
    <w:p w14:paraId="48A1B0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Скопление танков, артиллерии и живой силы противника в р-не г. Щигры - прикрыто интенсивным огнем МЗА и ЗП до 30- ти огневых точек и небольшим количеством ЗА среднего калибра до 4-х орудий. Действовали до 8 прожекторов.</w:t>
      </w:r>
    </w:p>
    <w:p w14:paraId="7DEA06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Над г. Брянск и аэродромами Смоленск и Брянск отмечено патрулирование ночных истребителей противника, так 2.06.1942 г. один из наших самолетов при бомбардировании г. Брянск на высоте 5600 м был атакован истребителем пр-ка безуспешно, после ответного огня пулеметов нашего корабля, истребитель отвалил и ушел.</w:t>
      </w:r>
    </w:p>
    <w:p w14:paraId="1617C5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Слабо прикрыты ЗА г. Полтава, аэродром Белгород и Боровское.</w:t>
      </w:r>
    </w:p>
    <w:p w14:paraId="28FBDE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За отчетный период сброшено 6470 тыс листовок.</w:t>
      </w:r>
    </w:p>
    <w:p w14:paraId="619959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Боевых потерь за отчетный период нет, имеется одна авария:</w:t>
      </w:r>
    </w:p>
    <w:p w14:paraId="531BA7D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1.06.1942 г. кк № 42035 п/п-к Курбан стартовал с аэродрома Раменское для опробыва- ния матчасти в воздухе. На высоте 75 м отказали все моторы из-за недозаправки с-та горючим по вине борттехника инженера к-на Плетнева. В результате самолет разбит, экипаж невредим. Вывод.</w:t>
      </w:r>
    </w:p>
    <w:p w14:paraId="670305F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При возвращении наших самолетов на свой аэродром, вражеские самолеты подстерегают их и на посадке атакуют. В июне месяце было 2 случая.</w:t>
      </w:r>
    </w:p>
    <w:p w14:paraId="7A0A03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Патрулирование истребителей пр-ка над объектами бомбометания на больших высотах отмечается в редких случаях.</w:t>
      </w:r>
    </w:p>
    <w:p w14:paraId="6D34DC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Предложения</w:t>
      </w:r>
    </w:p>
    <w:p w14:paraId="1FF372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Необходимо изменить график работы с Раменского аэродрома, с тем, чтобы возвращение на свой аэродром не было изо дня в день в одно и то же время. С другой стороны, изредка делать посадки после выполнения задания на другом, мало известном противнику, аэродроме.</w:t>
      </w:r>
    </w:p>
    <w:p w14:paraId="596A2F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Основной удар по объекту наносить массированно, а после массированного удара необходимо выделять некоторое количество самолетов, которые бы воздействовали по объекту в течение всей ночи с целью изматывания живой силы врага и не давать возможности производить восстановительные работы.</w:t>
      </w:r>
    </w:p>
    <w:p w14:paraId="599E4A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Командир полка майор (ЕГОРОВ) Военком полка полковой комиссар (БРЮЗГИН) Начальник штаба подполковник (ИВАЩЕНКО)" (12025).</w:t>
      </w:r>
    </w:p>
    <w:p w14:paraId="28A45C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8437C" w14:textId="77777777" w:rsidR="009C7E3C" w:rsidRPr="00722885" w:rsidRDefault="009C7E3C" w:rsidP="00722885">
      <w:pPr>
        <w:pStyle w:val="ae"/>
        <w:spacing w:before="0" w:after="0"/>
        <w:jc w:val="both"/>
        <w:textAlignment w:val="baseline"/>
        <w:rPr>
          <w:color w:val="000000" w:themeColor="text1"/>
          <w:sz w:val="16"/>
          <w:szCs w:val="16"/>
        </w:rPr>
      </w:pPr>
      <w:r w:rsidRPr="00722885">
        <w:rPr>
          <w:color w:val="000000" w:themeColor="text1"/>
          <w:sz w:val="16"/>
          <w:szCs w:val="16"/>
        </w:rPr>
        <w:t>1 июля 1942 г. приказом наркома обороны были образованы 1-я и 2-я истребительные авиационные армии (ИАА), чьими командующими были назначены генерал-майоры Е. М. Белецкий и В. Г. Рязанов, а также 1-я бомбардировочная авиационная армия (БАА), которую возглавил генерал-майор В. А. Судец. После этого предполагалось ввести еще несколько бомбардировочных и штурмовых армий. Последние, по мысли Новикова, должны были состоять из четырех-пяти шад и насчитывать до 500 штурмовиков! Они могли использоваться для массированной поддержки наступления, либо, наоборот, для массированных атак прорвавшихся танков врага.</w:t>
      </w:r>
    </w:p>
    <w:p w14:paraId="54C1D4DF" w14:textId="77777777" w:rsidR="009C7E3C" w:rsidRPr="00722885" w:rsidRDefault="009C7E3C" w:rsidP="00722885">
      <w:pPr>
        <w:pStyle w:val="ae"/>
        <w:spacing w:before="0" w:after="0"/>
        <w:jc w:val="both"/>
        <w:textAlignment w:val="baseline"/>
        <w:rPr>
          <w:color w:val="000000" w:themeColor="text1"/>
          <w:sz w:val="16"/>
          <w:szCs w:val="16"/>
        </w:rPr>
      </w:pPr>
      <w:r w:rsidRPr="00722885">
        <w:rPr>
          <w:color w:val="000000" w:themeColor="text1"/>
          <w:sz w:val="16"/>
          <w:szCs w:val="16"/>
        </w:rPr>
        <w:t>Однако начавшееся немецкое летнее наступление и развернувшиеся кровопролитные сражения поглотили все созданные резервы самолетов. И в итоге в боях приняла участие лишь одна 1-я ИАА, имевшая 231 истребитель. 5 июля ее бросили в бой с люфтваффе на Воронежском направлении. За семь последующих дней армия понесла огромные потери. Были сбиты 93 машины, еще 23 получили сильные повреждения и совершили вынужденные посадки на своей территории. Кроме того, 49 истребителей отправились в ремонт. Таким образом, к исходу 12 июля в строю осталось всего 66 самолетов, и 1-я ИАА фактически перестала существовать. В конце июля ее остатки использовали для формирования 16-й воздушной армии.</w:t>
      </w:r>
    </w:p>
    <w:p w14:paraId="2B104D46" w14:textId="77777777" w:rsidR="009C7E3C" w:rsidRPr="00722885" w:rsidRDefault="009C7E3C" w:rsidP="00722885">
      <w:pPr>
        <w:pStyle w:val="ae"/>
        <w:spacing w:before="0" w:after="0"/>
        <w:jc w:val="both"/>
        <w:textAlignment w:val="baseline"/>
        <w:rPr>
          <w:color w:val="000000" w:themeColor="text1"/>
          <w:sz w:val="16"/>
          <w:szCs w:val="16"/>
        </w:rPr>
      </w:pPr>
      <w:r w:rsidRPr="00722885">
        <w:rPr>
          <w:color w:val="000000" w:themeColor="text1"/>
          <w:sz w:val="16"/>
          <w:szCs w:val="16"/>
        </w:rPr>
        <w:t>1-я БАА лишь частично задействовалась в боях, после чего подчиненные ей полки передали в 1-ю воздушную армию и в авиацию дальнего действия (АДД). Что же касается штурмовых армий, то успели приступить к формированию лишь одних их управлений, когда сама идея сошла на нет из-за огромных потерь на фронте.</w:t>
      </w:r>
    </w:p>
    <w:p w14:paraId="2B713D3D" w14:textId="77777777" w:rsidR="009C7E3C" w:rsidRPr="00722885" w:rsidRDefault="009C7E3C" w:rsidP="00722885">
      <w:pPr>
        <w:pStyle w:val="ae"/>
        <w:spacing w:before="0" w:after="0"/>
        <w:jc w:val="both"/>
        <w:textAlignment w:val="baseline"/>
        <w:rPr>
          <w:color w:val="000000" w:themeColor="text1"/>
          <w:sz w:val="16"/>
          <w:szCs w:val="16"/>
        </w:rPr>
      </w:pPr>
      <w:r w:rsidRPr="00722885">
        <w:rPr>
          <w:color w:val="000000" w:themeColor="text1"/>
          <w:sz w:val="16"/>
          <w:szCs w:val="16"/>
        </w:rPr>
        <w:t>Однако Новиков не отказался от планов создания крупных специализированных авиационных соединений. Только теперь вместо воздушной армии за основу был взят авиакорпус, которым в случае необходимости могла быть усилена та или иная воздушная армия. В числе прочих предлагалось сформировать штурмовые авиакорпуса (шак), которые бы состояли из двух штурмовых дивизий и по штату имели бы около 220 Ил-2 (19522).</w:t>
      </w:r>
    </w:p>
    <w:p w14:paraId="32471997" w14:textId="77777777" w:rsidR="009C7E3C" w:rsidRPr="00722885" w:rsidRDefault="009C7E3C" w:rsidP="00722885">
      <w:pPr>
        <w:pStyle w:val="ae"/>
        <w:spacing w:before="0" w:after="0"/>
        <w:jc w:val="both"/>
        <w:textAlignment w:val="baseline"/>
        <w:rPr>
          <w:color w:val="000000" w:themeColor="text1"/>
          <w:sz w:val="16"/>
          <w:szCs w:val="16"/>
        </w:rPr>
      </w:pPr>
    </w:p>
    <w:p w14:paraId="578F8404" w14:textId="77777777" w:rsidR="00B40455" w:rsidRPr="00722885" w:rsidRDefault="00B4045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июля 1942 г. приказом наркома обороны были образованы 1</w:t>
      </w:r>
      <w:r w:rsidRPr="00722885">
        <w:rPr>
          <w:rFonts w:ascii="Times New Roman" w:hAnsi="Times New Roman"/>
          <w:color w:val="0070C0"/>
          <w:sz w:val="16"/>
          <w:szCs w:val="16"/>
        </w:rPr>
        <w:noBreakHyphen/>
        <w:t>я и 2</w:t>
      </w:r>
      <w:r w:rsidRPr="00722885">
        <w:rPr>
          <w:rFonts w:ascii="Times New Roman" w:hAnsi="Times New Roman"/>
          <w:color w:val="0070C0"/>
          <w:sz w:val="16"/>
          <w:szCs w:val="16"/>
        </w:rPr>
        <w:noBreakHyphen/>
        <w:t>я истребительные авиационные армии (ИАА), чьими командующими были назначены генерал</w:t>
      </w:r>
      <w:r w:rsidRPr="00722885">
        <w:rPr>
          <w:rFonts w:ascii="Times New Roman" w:hAnsi="Times New Roman"/>
          <w:color w:val="0070C0"/>
          <w:sz w:val="16"/>
          <w:szCs w:val="16"/>
        </w:rPr>
        <w:noBreakHyphen/>
        <w:t>майоры Е.М. Белецкий и В.Г. Рязанов, а также 1</w:t>
      </w:r>
      <w:r w:rsidRPr="00722885">
        <w:rPr>
          <w:rFonts w:ascii="Times New Roman" w:hAnsi="Times New Roman"/>
          <w:color w:val="0070C0"/>
          <w:sz w:val="16"/>
          <w:szCs w:val="16"/>
        </w:rPr>
        <w:noBreakHyphen/>
        <w:t>я бомбардировочная авиационная армия (БАА), которую возглавил генерал</w:t>
      </w:r>
      <w:r w:rsidRPr="00722885">
        <w:rPr>
          <w:rFonts w:ascii="Times New Roman" w:hAnsi="Times New Roman"/>
          <w:color w:val="0070C0"/>
          <w:sz w:val="16"/>
          <w:szCs w:val="16"/>
        </w:rPr>
        <w:noBreakHyphen/>
        <w:t>майор В.А. Судец. После этого предполагалось ввести еще несколько бомбардировочных и штурмовых армий. Последние, по мысли Новикова, должны были состоять из четырех</w:t>
      </w:r>
      <w:r w:rsidRPr="00722885">
        <w:rPr>
          <w:rFonts w:ascii="Times New Roman" w:hAnsi="Times New Roman"/>
          <w:color w:val="0070C0"/>
          <w:sz w:val="16"/>
          <w:szCs w:val="16"/>
        </w:rPr>
        <w:noBreakHyphen/>
        <w:t>пяти шад и насчитывать до 500 штурмовиков! Они могли использоваться для массированной поддержки наступления, либо, наоборот, для массированных атак прорвавшихся танков врага.</w:t>
      </w:r>
    </w:p>
    <w:p w14:paraId="37C8808B" w14:textId="77777777" w:rsidR="00B40455" w:rsidRPr="00722885" w:rsidRDefault="00B4045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Однако начавшееся немецкое летнее наступление и развернувшиеся кровопролитные сражения поглотили все созданные резервы самолетов. И в итоге в боях приняла участие лишь одна 1</w:t>
      </w:r>
      <w:r w:rsidRPr="00722885">
        <w:rPr>
          <w:rFonts w:ascii="Times New Roman" w:hAnsi="Times New Roman"/>
          <w:color w:val="0070C0"/>
          <w:sz w:val="16"/>
          <w:szCs w:val="16"/>
        </w:rPr>
        <w:noBreakHyphen/>
        <w:t xml:space="preserve">я ИАА, имевшая 231 истребитель. 5 июля ее бросили в бой с люфтваффе на Воронежском направлении. За семь последующих дней армия понесла огромные потери. Были сбиты 93 машины, еще 23 получили сильные повреждения и совершили вынужденные посадки на своей территории. Кроме того, 49 </w:t>
      </w:r>
      <w:r w:rsidRPr="00722885">
        <w:rPr>
          <w:rFonts w:ascii="Times New Roman" w:hAnsi="Times New Roman"/>
          <w:color w:val="0070C0"/>
          <w:sz w:val="16"/>
          <w:szCs w:val="16"/>
        </w:rPr>
        <w:lastRenderedPageBreak/>
        <w:t>истребителей отправились в ремонт. Таким образом, к исходу 12 июля в строю осталось всего 66 самолетов, и 1</w:t>
      </w:r>
      <w:r w:rsidRPr="00722885">
        <w:rPr>
          <w:rFonts w:ascii="Times New Roman" w:hAnsi="Times New Roman"/>
          <w:color w:val="0070C0"/>
          <w:sz w:val="16"/>
          <w:szCs w:val="16"/>
        </w:rPr>
        <w:noBreakHyphen/>
        <w:t>я ИАА фактически перестала существовать. В конце июля ее остатки использовали для формирования 16</w:t>
      </w:r>
      <w:r w:rsidRPr="00722885">
        <w:rPr>
          <w:rFonts w:ascii="Times New Roman" w:hAnsi="Times New Roman"/>
          <w:color w:val="0070C0"/>
          <w:sz w:val="16"/>
          <w:szCs w:val="16"/>
        </w:rPr>
        <w:noBreakHyphen/>
        <w:t>й воздушной армии.</w:t>
      </w:r>
    </w:p>
    <w:p w14:paraId="21F82E56" w14:textId="77777777" w:rsidR="00B40455" w:rsidRPr="00722885" w:rsidRDefault="00B4045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w:t>
      </w:r>
      <w:r w:rsidRPr="00722885">
        <w:rPr>
          <w:rFonts w:ascii="Times New Roman" w:hAnsi="Times New Roman"/>
          <w:color w:val="0070C0"/>
          <w:sz w:val="16"/>
          <w:szCs w:val="16"/>
        </w:rPr>
        <w:noBreakHyphen/>
        <w:t>я БАА лишь частично задействовалась в боях, после чего подчиненные ей полки передали в 1</w:t>
      </w:r>
      <w:r w:rsidRPr="00722885">
        <w:rPr>
          <w:rFonts w:ascii="Times New Roman" w:hAnsi="Times New Roman"/>
          <w:color w:val="0070C0"/>
          <w:sz w:val="16"/>
          <w:szCs w:val="16"/>
        </w:rPr>
        <w:noBreakHyphen/>
        <w:t>ю воздушную армию и в авиацию дальнего действия (АДД). Что же касается штурмовых армий, то успели приступить к формированию лишь одних их управлений, когда сама идея сошла на нет из</w:t>
      </w:r>
      <w:r w:rsidRPr="00722885">
        <w:rPr>
          <w:rFonts w:ascii="Times New Roman" w:hAnsi="Times New Roman"/>
          <w:color w:val="0070C0"/>
          <w:sz w:val="16"/>
          <w:szCs w:val="16"/>
        </w:rPr>
        <w:noBreakHyphen/>
        <w:t>за огромных потерь на фронте. (23199).</w:t>
      </w:r>
    </w:p>
    <w:p w14:paraId="49166AEA" w14:textId="77777777" w:rsidR="00B40455" w:rsidRPr="00722885" w:rsidRDefault="00B40455" w:rsidP="00722885">
      <w:pPr>
        <w:spacing w:after="0" w:line="240" w:lineRule="auto"/>
        <w:jc w:val="both"/>
        <w:rPr>
          <w:rFonts w:ascii="Times New Roman" w:hAnsi="Times New Roman"/>
          <w:color w:val="0070C0"/>
          <w:sz w:val="16"/>
          <w:szCs w:val="16"/>
        </w:rPr>
      </w:pPr>
    </w:p>
    <w:p w14:paraId="6CAD73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г. на МТБ-2 из Севастополя вывезли 20 человек (из них 9 раненых) на кавказское побережье Черного моря. Очевидно, это был последний, или один из последних полетов Ивана Сухомлина на МТБ-2. Далее он был командирован в тыл для продолжения службы в качестве летчика-испытателя. Позднее смог попасть на фронт, совершил более 200 боевых вылетов, одержал 7 воздушных побед (11962).</w:t>
      </w:r>
    </w:p>
    <w:p w14:paraId="554121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CEA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1 1942 Germans complete capture of Sevastopol (1037).</w:t>
      </w:r>
    </w:p>
    <w:p w14:paraId="0AAB4E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EB1B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Немцы захватили Севастополь (1037) в сотрудничестве с Румынами (2245,6).</w:t>
      </w:r>
    </w:p>
    <w:p w14:paraId="1E8C1C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B25E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ночь с 1 на 2 июля 1942 году в Севастополе была взорвана батарея N35, которая вела огонь буквально до последнего снаряда (Батарея № 30 взорвана 16 июня) (3861).</w:t>
      </w:r>
    </w:p>
    <w:p w14:paraId="2C8A236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7DE6E3"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за взятие Севастополя немецкий генерал фон Манштейн провозглашен в фельдмаршалы (4962).</w:t>
      </w:r>
    </w:p>
    <w:p w14:paraId="5B0F75F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D8D52"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ночью весь командный и руководящий партийный аппарат Севастополя (около 600 чел, что в 2,5 раза больше разрешенного Ставкой) покинул осажденный город на 13 Ли-2 и подлодках Щ-209 и Л-23. На аэродроме возле Херсонесского маяка разъяренные солдаты едва не расстреляли вице-адмирала Октябрьского, командующего войсками СОР. К исходу дня немцы захватили бухты Омега, Стрелецкая и подошли к 305-мм береговой батарее №35 (4963 ).</w:t>
      </w:r>
    </w:p>
    <w:p w14:paraId="1D93880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5B36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вышел приказ НКО о формировании двух истребительных (гг Е.М.Белецкий, В.Г.Рязанов) и одной бомбардировочной авиаармий (В.А.Судец). Хотели, чтобы каждая была из 200-300 машин и 3-5 ад. Практически сформировали только 1-ю истребительную в районе Ельца, т.к. не успев сформировать ее ввели в бой под Воронежем, где она во взаимодействии с 5ТА вела тяжелые бои. Потом решили, что АА не нужны и достаточно ВА (340,81).</w:t>
      </w:r>
    </w:p>
    <w:p w14:paraId="045162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450BE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июля 1942-го в составе двух штурмовых авиадивизий 8-й ВА - 226-й (504-й и 505-й штурмовые авиаполки) и 228-й (211 -и, 285-й и 431 -и штурмовые авиаполки) имелось всего 14 исправных (из 29) штурмовиков Ил-2 при наличии 81 подготовленного лет</w:t>
      </w:r>
      <w:r w:rsidRPr="00722885">
        <w:rPr>
          <w:rFonts w:ascii="Times New Roman" w:hAnsi="Times New Roman"/>
          <w:color w:val="000000" w:themeColor="text1"/>
          <w:sz w:val="16"/>
          <w:szCs w:val="16"/>
        </w:rPr>
        <w:softHyphen/>
        <w:t>чика. В этой ситуации командующий 8-й ВА генерал-майор Т.Т.Хрюкин в своем приказе от 02.07.42 г. потребовал от командиров авиаполков обеспечивать не менее 5 боевых самолето-вылетов на каждый исправный самолет Ил-2. Фак</w:t>
      </w:r>
      <w:r w:rsidRPr="00722885">
        <w:rPr>
          <w:rFonts w:ascii="Times New Roman" w:hAnsi="Times New Roman"/>
          <w:color w:val="000000" w:themeColor="text1"/>
          <w:sz w:val="16"/>
          <w:szCs w:val="16"/>
        </w:rPr>
        <w:softHyphen/>
        <w:t>тически же штурмовые авиадивизии армии были небоеспособны и нуждались в срочном пополнении самолетами. По</w:t>
      </w:r>
      <w:r w:rsidRPr="00722885">
        <w:rPr>
          <w:rFonts w:ascii="Times New Roman" w:hAnsi="Times New Roman"/>
          <w:color w:val="000000" w:themeColor="text1"/>
          <w:sz w:val="16"/>
          <w:szCs w:val="16"/>
        </w:rPr>
        <w:softHyphen/>
        <w:t>добное положение дел было и в истре</w:t>
      </w:r>
      <w:r w:rsidRPr="00722885">
        <w:rPr>
          <w:rFonts w:ascii="Times New Roman" w:hAnsi="Times New Roman"/>
          <w:color w:val="000000" w:themeColor="text1"/>
          <w:sz w:val="16"/>
          <w:szCs w:val="16"/>
        </w:rPr>
        <w:softHyphen/>
        <w:t>бительной авиации фронта.. (6467).</w:t>
      </w:r>
    </w:p>
    <w:p w14:paraId="10E770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7F3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июля 1942 на флотах:</w:t>
      </w:r>
    </w:p>
    <w:p w14:paraId="26DA03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9B487A" w:rsidRPr="00722885" w14:paraId="2050F4BA" w14:textId="77777777" w:rsidTr="00CC5360">
        <w:tc>
          <w:tcPr>
            <w:tcW w:w="1401" w:type="dxa"/>
            <w:tcBorders>
              <w:top w:val="single" w:sz="12" w:space="0" w:color="auto"/>
            </w:tcBorders>
          </w:tcPr>
          <w:p w14:paraId="14BA106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4113F4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1.05.42</w:t>
            </w:r>
          </w:p>
        </w:tc>
        <w:tc>
          <w:tcPr>
            <w:tcW w:w="1401" w:type="dxa"/>
            <w:tcBorders>
              <w:top w:val="single" w:sz="12" w:space="0" w:color="auto"/>
            </w:tcBorders>
          </w:tcPr>
          <w:p w14:paraId="35966A2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1.07.42</w:t>
            </w:r>
          </w:p>
        </w:tc>
        <w:tc>
          <w:tcPr>
            <w:tcW w:w="1401" w:type="dxa"/>
            <w:tcBorders>
              <w:top w:val="single" w:sz="12" w:space="0" w:color="auto"/>
            </w:tcBorders>
          </w:tcPr>
          <w:p w14:paraId="6673036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18.11.42</w:t>
            </w:r>
          </w:p>
        </w:tc>
        <w:tc>
          <w:tcPr>
            <w:tcW w:w="1401" w:type="dxa"/>
            <w:tcBorders>
              <w:top w:val="single" w:sz="12" w:space="0" w:color="auto"/>
            </w:tcBorders>
          </w:tcPr>
          <w:p w14:paraId="655576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1.07.43</w:t>
            </w:r>
          </w:p>
        </w:tc>
        <w:tc>
          <w:tcPr>
            <w:tcW w:w="1401" w:type="dxa"/>
            <w:tcBorders>
              <w:top w:val="single" w:sz="12" w:space="0" w:color="auto"/>
            </w:tcBorders>
          </w:tcPr>
          <w:p w14:paraId="1AA969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1.01.44</w:t>
            </w:r>
          </w:p>
        </w:tc>
        <w:tc>
          <w:tcPr>
            <w:tcW w:w="1401" w:type="dxa"/>
            <w:tcBorders>
              <w:top w:val="single" w:sz="12" w:space="0" w:color="auto"/>
            </w:tcBorders>
          </w:tcPr>
          <w:p w14:paraId="703D7C0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1.06.44</w:t>
            </w:r>
          </w:p>
        </w:tc>
        <w:tc>
          <w:tcPr>
            <w:tcW w:w="1401" w:type="dxa"/>
            <w:tcBorders>
              <w:top w:val="single" w:sz="12" w:space="0" w:color="auto"/>
            </w:tcBorders>
          </w:tcPr>
          <w:p w14:paraId="01CC93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1.01.45</w:t>
            </w:r>
          </w:p>
        </w:tc>
      </w:tr>
      <w:tr w:rsidR="009B487A" w:rsidRPr="00722885" w14:paraId="714EF39C" w14:textId="77777777" w:rsidTr="00CC5360">
        <w:tc>
          <w:tcPr>
            <w:tcW w:w="1401" w:type="dxa"/>
          </w:tcPr>
          <w:p w14:paraId="5CC957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ВВС СФ</w:t>
            </w:r>
          </w:p>
        </w:tc>
        <w:tc>
          <w:tcPr>
            <w:tcW w:w="1401" w:type="dxa"/>
          </w:tcPr>
          <w:p w14:paraId="333F97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w:t>
            </w:r>
          </w:p>
        </w:tc>
        <w:tc>
          <w:tcPr>
            <w:tcW w:w="1401" w:type="dxa"/>
          </w:tcPr>
          <w:p w14:paraId="299AAF9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w:t>
            </w:r>
          </w:p>
        </w:tc>
        <w:tc>
          <w:tcPr>
            <w:tcW w:w="1401" w:type="dxa"/>
          </w:tcPr>
          <w:p w14:paraId="2E4F344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w:t>
            </w:r>
          </w:p>
        </w:tc>
        <w:tc>
          <w:tcPr>
            <w:tcW w:w="1401" w:type="dxa"/>
          </w:tcPr>
          <w:p w14:paraId="2F9594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c>
          <w:tcPr>
            <w:tcW w:w="1401" w:type="dxa"/>
          </w:tcPr>
          <w:p w14:paraId="1877BD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1401" w:type="dxa"/>
          </w:tcPr>
          <w:p w14:paraId="44A6E88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1401" w:type="dxa"/>
          </w:tcPr>
          <w:p w14:paraId="52325E0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r>
      <w:tr w:rsidR="009B487A" w:rsidRPr="00722885" w14:paraId="3AFA33F3" w14:textId="77777777" w:rsidTr="00CC5360">
        <w:tc>
          <w:tcPr>
            <w:tcW w:w="1401" w:type="dxa"/>
          </w:tcPr>
          <w:p w14:paraId="7CE48E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ВВС КБФ</w:t>
            </w:r>
          </w:p>
        </w:tc>
        <w:tc>
          <w:tcPr>
            <w:tcW w:w="1401" w:type="dxa"/>
          </w:tcPr>
          <w:p w14:paraId="672F1A6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52/17</w:t>
            </w:r>
          </w:p>
        </w:tc>
        <w:tc>
          <w:tcPr>
            <w:tcW w:w="1401" w:type="dxa"/>
          </w:tcPr>
          <w:p w14:paraId="1514DB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23/7</w:t>
            </w:r>
          </w:p>
        </w:tc>
        <w:tc>
          <w:tcPr>
            <w:tcW w:w="1401" w:type="dxa"/>
          </w:tcPr>
          <w:p w14:paraId="5C2EED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28/11</w:t>
            </w:r>
          </w:p>
        </w:tc>
        <w:tc>
          <w:tcPr>
            <w:tcW w:w="1401" w:type="dxa"/>
          </w:tcPr>
          <w:p w14:paraId="0F5256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21/3</w:t>
            </w:r>
          </w:p>
        </w:tc>
        <w:tc>
          <w:tcPr>
            <w:tcW w:w="1401" w:type="dxa"/>
          </w:tcPr>
          <w:p w14:paraId="64DC8A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w:t>
            </w:r>
          </w:p>
        </w:tc>
        <w:tc>
          <w:tcPr>
            <w:tcW w:w="1401" w:type="dxa"/>
          </w:tcPr>
          <w:p w14:paraId="7BC0CF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401" w:type="dxa"/>
          </w:tcPr>
          <w:p w14:paraId="2EE5A5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B003A81" w14:textId="77777777" w:rsidTr="00CC5360">
        <w:tc>
          <w:tcPr>
            <w:tcW w:w="1401" w:type="dxa"/>
          </w:tcPr>
          <w:p w14:paraId="2BA7C2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ВВС ЧФ</w:t>
            </w:r>
          </w:p>
        </w:tc>
        <w:tc>
          <w:tcPr>
            <w:tcW w:w="1401" w:type="dxa"/>
          </w:tcPr>
          <w:p w14:paraId="5DE33E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w:t>
            </w:r>
          </w:p>
        </w:tc>
        <w:tc>
          <w:tcPr>
            <w:tcW w:w="1401" w:type="dxa"/>
          </w:tcPr>
          <w:p w14:paraId="71D56F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14/8</w:t>
            </w:r>
          </w:p>
        </w:tc>
        <w:tc>
          <w:tcPr>
            <w:tcW w:w="1401" w:type="dxa"/>
          </w:tcPr>
          <w:p w14:paraId="242E3C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w:t>
            </w:r>
          </w:p>
        </w:tc>
        <w:tc>
          <w:tcPr>
            <w:tcW w:w="1401" w:type="dxa"/>
          </w:tcPr>
          <w:p w14:paraId="1CCB23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1401" w:type="dxa"/>
          </w:tcPr>
          <w:p w14:paraId="38205F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w:t>
            </w:r>
          </w:p>
        </w:tc>
        <w:tc>
          <w:tcPr>
            <w:tcW w:w="1401" w:type="dxa"/>
          </w:tcPr>
          <w:p w14:paraId="4CF1D6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1401" w:type="dxa"/>
          </w:tcPr>
          <w:p w14:paraId="74C314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2352379B" w14:textId="77777777" w:rsidTr="00CC5360">
        <w:tc>
          <w:tcPr>
            <w:tcW w:w="1401" w:type="dxa"/>
            <w:tcBorders>
              <w:bottom w:val="single" w:sz="12" w:space="0" w:color="auto"/>
            </w:tcBorders>
          </w:tcPr>
          <w:p w14:paraId="52D153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1401" w:type="dxa"/>
            <w:tcBorders>
              <w:bottom w:val="single" w:sz="12" w:space="0" w:color="auto"/>
            </w:tcBorders>
          </w:tcPr>
          <w:p w14:paraId="43806A8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91/27</w:t>
            </w:r>
          </w:p>
        </w:tc>
        <w:tc>
          <w:tcPr>
            <w:tcW w:w="1401" w:type="dxa"/>
            <w:tcBorders>
              <w:bottom w:val="single" w:sz="12" w:space="0" w:color="auto"/>
            </w:tcBorders>
          </w:tcPr>
          <w:p w14:paraId="30845A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45/18</w:t>
            </w:r>
          </w:p>
        </w:tc>
        <w:tc>
          <w:tcPr>
            <w:tcW w:w="1401" w:type="dxa"/>
            <w:tcBorders>
              <w:bottom w:val="single" w:sz="12" w:space="0" w:color="auto"/>
            </w:tcBorders>
          </w:tcPr>
          <w:p w14:paraId="60917C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46/19</w:t>
            </w:r>
          </w:p>
        </w:tc>
        <w:tc>
          <w:tcPr>
            <w:tcW w:w="1401" w:type="dxa"/>
            <w:tcBorders>
              <w:bottom w:val="single" w:sz="12" w:space="0" w:color="auto"/>
            </w:tcBorders>
          </w:tcPr>
          <w:p w14:paraId="4852DE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29/4 1</w:t>
            </w:r>
          </w:p>
        </w:tc>
        <w:tc>
          <w:tcPr>
            <w:tcW w:w="1401" w:type="dxa"/>
            <w:tcBorders>
              <w:bottom w:val="single" w:sz="12" w:space="0" w:color="auto"/>
            </w:tcBorders>
          </w:tcPr>
          <w:p w14:paraId="2E3BBF7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w:t>
            </w:r>
          </w:p>
        </w:tc>
        <w:tc>
          <w:tcPr>
            <w:tcW w:w="1401" w:type="dxa"/>
            <w:tcBorders>
              <w:bottom w:val="single" w:sz="12" w:space="0" w:color="auto"/>
            </w:tcBorders>
          </w:tcPr>
          <w:p w14:paraId="452C03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15/1</w:t>
            </w:r>
          </w:p>
        </w:tc>
        <w:tc>
          <w:tcPr>
            <w:tcW w:w="1401" w:type="dxa"/>
            <w:tcBorders>
              <w:bottom w:val="single" w:sz="12" w:space="0" w:color="auto"/>
            </w:tcBorders>
          </w:tcPr>
          <w:p w14:paraId="449500F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r>
    </w:tbl>
    <w:p w14:paraId="242BFA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46291A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1AE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 июля 1942 шесть полков, которые осваивали "Бостоны", достигли боеготовности: 57-и, 45-й, 861-й, 860-й, 201-й и 453-й. В том же месяце ушел па фронт 745-й полк (3457,100).</w:t>
      </w:r>
    </w:p>
    <w:p w14:paraId="1FB97E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9676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вышло Постановление ГКО № 1942 Об усилении огневых средств в стрелковых дивизиях резервных армий. (7039, 89).</w:t>
      </w:r>
    </w:p>
    <w:p w14:paraId="7740B56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7B37B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вышло Постановление ГКО № 1946 Об усилении выгрузки грузов на железных дорогах. (7039, 93).</w:t>
      </w:r>
    </w:p>
    <w:p w14:paraId="7A150320"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25E3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 по 17 июля 1942 в период подготовки к Сталинградской оборонительной операции воздушное фотографирование составило 10.2% (518,213).</w:t>
      </w:r>
    </w:p>
    <w:p w14:paraId="2FA10F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989E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г. вышел ПРИКАЗ О ПЕРЕИМЕНОВАНИИ ПРОТИВОТАНКОВЫХ АРТИЛЛЕРИЙСКИХ ЧАСТЕЙ И ПОДРАЗДЕЛЕНИЙ В ИСТРЕБИТЕЛЬНО-ПРОТИВОТАНКОВЫЕ АРТИЛЛЕРИЙСКИЕ ЧАСТИ И УСТАНОВЛЕНИИ ПРЕИМУЩЕСТВ НАЧАЛЬСТВУЮЩЕМУ И РЯДОВОМУ СОСТАВУ ЭТИХ ЧАСТЕЙ № 0528</w:t>
      </w:r>
    </w:p>
    <w:p w14:paraId="5EBC5C6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улучшения качества борьбы с танками противника, создания и накопления кадров артиллеристов-истребителей танков, повышения их квалификации и выделения противотанковых артиллерийских частей из других видов артиллерии приказываю:</w:t>
      </w:r>
    </w:p>
    <w:p w14:paraId="7B30B9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Легкие и противотанковые артиллерийские полки РГК, противотанковые дивизионы стрелковых дивизий и батареи 45-мм пушек стрелковых полков переименовать в истребительно-противотанковые артиллерийские полки, дивизионы и батареи.</w:t>
      </w:r>
    </w:p>
    <w:p w14:paraId="174C09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Установить начальствующему составу этих частей и подразделений полуторный, а младшему начальствующему и рядовому составу — двойной оклад содержания.</w:t>
      </w:r>
    </w:p>
    <w:p w14:paraId="5B04310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Весь начальствующий состав истребительно-противотанковых артиллерийских частей и подразделений, до командира дивизиона включительно, взять на особый учет и использовать только в указанных частях.</w:t>
      </w:r>
    </w:p>
    <w:p w14:paraId="4AD9DCA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Командирам орудий и заместителям командиров орудий (наводчикам) этих частей присвоить военное звание “старший сержант” — “сержант” соответственно и ввести должность заместителя наводчика с присвоением ему военного звания “младший сержант”.</w:t>
      </w:r>
    </w:p>
    <w:p w14:paraId="22F361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Начальствующий, младший начальствующий и рядовой состав истребительно-противотанковых артиллерийских частей и подразделений, находящийся на излечении в госпиталях, после излечения направлять только в указанные части.</w:t>
      </w:r>
    </w:p>
    <w:p w14:paraId="6DDDA8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Установить для всего личного состава истребительно-противотанковых артиллерийских частей и подразделений специальный нарукавный знак согласно прилагаемого описания, носимый на левом рукаве шинели и гимнастерки.</w:t>
      </w:r>
    </w:p>
    <w:p w14:paraId="6B98EC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Установить премию за каждый подбитый танк в сумме: командиру орудия и наводчику — по 500 рублей, остальному составу орудийного расчета — по 200 рублей.</w:t>
      </w:r>
    </w:p>
    <w:p w14:paraId="64ABBC1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Количество подбитых орудием танков отмечать цифрой на фигуре танка, нарисованной в правом верхнем углу внутренней стороны щита орудия. Фигуру танка рисовать черной, а цифру, показывающую число подбитых танков, — белой краской.</w:t>
      </w:r>
    </w:p>
    <w:p w14:paraId="2B5BE0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В целях использования истребительно-противотанковых артиллерийских частей для решения задач непосредственной поддержки пехоты личный состав этих частей обучать не только стрельбе по танкам прямой наводкой, но и стрельбе по другим целям с открытых и закрытых огневых позиций.</w:t>
      </w:r>
    </w:p>
    <w:p w14:paraId="7EB20B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Пункт 2 настоящего приказа не распространяется на противотанковые артиллерийские части Дальневосточного, Забайкальского и Закавказского фронтов.</w:t>
      </w:r>
    </w:p>
    <w:p w14:paraId="0F770D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 ввести в действие по телеграфу.</w:t>
      </w:r>
    </w:p>
    <w:p w14:paraId="654107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Народный комиссар обороны И. СТАЛИН (10691).</w:t>
      </w:r>
    </w:p>
    <w:p w14:paraId="0AC22FA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9E3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года 6-я и 114-я танковые бригады начали наступление, не имея данных о силах противника, без организации взаимодействия с пехотой, артиллерией и авиацией.</w:t>
      </w:r>
    </w:p>
    <w:p w14:paraId="4E84699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такой неорганизованности, танки были встречены из засад активным артиллерийским огнем противника во взаимодействии с авиацией, что сразу нарушило боевой порядок наступающих наших танков.</w:t>
      </w:r>
    </w:p>
    <w:p w14:paraId="48D465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непродуманного наступления, части корпуса потеряли только за два дня боя до 30 танков и с боем отошли на восточный берег реки Оскол.</w:t>
      </w:r>
    </w:p>
    <w:p w14:paraId="1735ACB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задача - приостановить противника 23-м танковым корпусом - выполнена не была по причине неправильного руководства частями со стороны командующего 28-й армией генерал-лейтенанта Рябышева и члена Военного совета бригадного комиссара Попеля, а противнику удалось форсировать реку Оскол и продвинуться на восток».</w:t>
      </w:r>
    </w:p>
    <w:p w14:paraId="012EDDA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 вечеру 2 июля 1942 года, оборона на стыке 21 -й и 28-й армий была прорвана на глубину до 80 км. В результате, на стыке двух фронтов образовалась брешь, и немецким войскам открылся путь к Воронежу.</w:t>
      </w:r>
    </w:p>
    <w:p w14:paraId="7DF9A0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усиления войск Брянского фронта 2 июля из резерва Ставки ВГК срочно выдвигались три общевойсковых армии, в район Ельца перебрасывалась только что сформированная 5-я танковая армия, а севернее и южнее Воронежа разворачивались 25 и 18-й танковые корпуса (12217).</w:t>
      </w:r>
    </w:p>
    <w:p w14:paraId="6C823EF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BB5F7F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начальник Генерального штаба генерал-полковник А.М. Василевский по поручению Сталина передал командующему Брянским фронтом генерал-лейтенанту Ф.И. Голикову, что Ставка недовольна тем, что «некоторые танковые корпуса перестали быть танковыми и перешли на методы боевых действий пехоты, примеры: Катуков вместо быстрого уничтожения пехоты противника в течение суток занимался окружением двух полков, и вы, по-видимому, это поощряете; второй пример с корпусом Павелкина - отход 119-й отдельной стрелковой бригады заставляет кричать командира танкового корпуса об окружении его фланга. А где же танки? Разве так должны действовать танковые соединения?» (12217).</w:t>
      </w:r>
    </w:p>
    <w:p w14:paraId="6EF6E37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0826963"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Жизнь и внутренняя политика:</w:t>
      </w:r>
    </w:p>
    <w:p w14:paraId="7611C4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A550F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июня 1942 года была подготовлена докладная записка секретаря Мурманского горкома ВКП(б) по кадрам Осолодкина секретарю Мурманского обкома и горкома партии М.И. Старостину:</w:t>
      </w:r>
    </w:p>
    <w:p w14:paraId="3B1FB8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«Сов.секретно.</w:t>
      </w:r>
    </w:p>
    <w:p w14:paraId="4B0226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трудности, вызванные войной, население города бесперебойно снабжается хлебом и продуктами питания по нормам, установленным Наркомторгом СССР.</w:t>
      </w:r>
    </w:p>
    <w:p w14:paraId="2C95AB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Рабочие и служащие предприятий и учреждений, члены семей мобилизованных в РККА и Военно-Морской Флот, пенсионеры, инвалиды и нетрудоспособное население получают общественное питание через закрытую сеть столовых.</w:t>
      </w:r>
    </w:p>
    <w:p w14:paraId="04E060B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Более 32 тысяч человек питаются в 42 столовых, принадлежащих 6 различным торгующим организациям...</w:t>
      </w:r>
    </w:p>
    <w:p w14:paraId="2EEABD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Общественное питание трудящихся производится дифференцированным порядком. Усиленное питание получают группы рабочих и служащих ведущих предприятий...Из 30918 рабочих и служащих города 15282 человека, занятых на тяжелых работах и военных заказах, получают ежедневно по 2 обеда, а на ведущих предприятиях преобладающее число рабочих получают двойные обеды...</w:t>
      </w:r>
    </w:p>
    <w:p w14:paraId="7E661F0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939 школьников, учащихся в 4-х школах города, получают обеды непосредственно в школах. Обеспечиваются питанием находящиеся в 3-х детских садах 208 детей и в 5-ти детских яслях 275 детей.</w:t>
      </w:r>
    </w:p>
    <w:p w14:paraId="2EC16E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Дети грудного возраста в количестве 438 человек ежедневно получают через детскую консультацию 270 литров молока.</w:t>
      </w:r>
    </w:p>
    <w:p w14:paraId="4DC32E9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Дети дошкольного возраста в количестве 3533 человек получают на детские продовольственные карточки продукты в сухом виде. Для желудочно-больных организовано диетпитание на 60 чел.</w:t>
      </w:r>
    </w:p>
    <w:p w14:paraId="53DF4B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общественного питания в закрытых столовых, в городе еще имеется и непрерывно работает одна открытая столовая, где помимо командировочных, каждый желающий может получить обед и 200 грамм хлеба без карточек. Эта открытая столовая ежедневно выпускает свыше 2-х тысяч обедов и расходует 400 килограмм хлеба по коммерческой цене...» (Там же, ф. П-1, оп. 2, д. 126, л. 5, 6.) (11911).</w:t>
      </w:r>
    </w:p>
    <w:p w14:paraId="385E20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4DD9A"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Внешняя политика:</w:t>
      </w:r>
    </w:p>
    <w:p w14:paraId="6BB617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AF04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года было отравлено:</w:t>
      </w:r>
    </w:p>
    <w:p w14:paraId="2C560F6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В. СТАЛИН Ф. РУЗВЕЛЬТУ*</w:t>
      </w:r>
    </w:p>
    <w:p w14:paraId="7C9960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Вашими последними посланиями я считаю необходимым сообщить, что полностью разделяю Ваше мнение о целесообразности маршрута для переброски самолетов из США через Аляску и Сибирь на западный фронт. Учитывая это, Советское Правительство уже дало необходимые указания об окончании в кратчайший срок проводящихся в Сибири работ по подготовке к приему самолетов, т. е. работ по приспособлению имеющихся аэродромов и соответствующему дооборудованию их. Что касается того, силами чьих летчиков доставлять самолеты из Аляски, то мне кажется, что это дело можно будет поручить, как это и предлагал в свое время Государственный Департамент, советским летчикам, которые прибудут в Ном или другое подходящее место к условленному времени. Соответствующей группе этих летчиков можно будет поручить произвести и предложенный Вами рекогносцировочный полет. В целях полного обеспечения приемки этих самолетов нам желательно было бы уже теперь знать количество самолетов, предоставляемых США для переброски на западный фронт этим путем.</w:t>
      </w:r>
    </w:p>
    <w:p w14:paraId="23223F8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Вашего предложения о встрече представителей армии и флота США и Советского Союза для обмена информацией, поскольку она будет необходима, то Советское Правительство согласно на устройство такой встречи и предпочитает, чтобы она состоялась в Москве (7430).</w:t>
      </w:r>
    </w:p>
    <w:p w14:paraId="73ED0A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FD1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И.В.С. отказал американцам в предложении перегонять американские машины используя американских летчиков до Байкала и 2 июля 1942 подтвердил это послу США Стендли (1261,32).</w:t>
      </w:r>
    </w:p>
    <w:p w14:paraId="5EF8C2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5AE98C"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22BE65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D21A94"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июля 1943 конструктор фирмы «Виккерс» Барнис Уоллис, занимающийся разработкой тяжелых и сверхтяжелых бомб с 1930-х, получил разрешение на создание 12 000-фунтовых бомб «Толлбой» («Верзила»). Осенью 1943 г. был проведен ряд экспериментов с моделями весом 4 000 фунтов (1,7 т). Сначала опыты на полигоне Кричел Даун шли нормально, но когда бомбы начали сбрасывать с высоты 20 000 футов (около 6 км), они стали показывать большую нестабильность полета. Однажды бомба даже разломилась в воздухе, и ее хвостовое оперение упало в 500 м от носовой части.</w:t>
      </w:r>
    </w:p>
    <w:p w14:paraId="0152946F"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Причина этой нестабильности была давно известна. При переходе звукового барьера турбулентность воздушных потоков сбивала бомбу с курса. Уоллис предложил развернуть плоскости хвостового оперения, чтобы они заставили бомбу вращаться вокруг своей оси. Потом пришлось решать проблему прочности корпуса, чтобы бомба не раскалывалась при ударе о землю. Чтобы добиться требуемой прочности, применили специальные методы литья и закатки корпусов. Краткие ТТХ бомбы Tallboy: масса — 5443 кг; длина — 6,35 м; диаметр — 0,95 м; тип взрывчатого вещества (ВВ) — Торпекс; масса ВВ — 2358 кг (22888).</w:t>
      </w:r>
    </w:p>
    <w:p w14:paraId="581512C1" w14:textId="77777777" w:rsidR="00AD4360" w:rsidRPr="00722885" w:rsidRDefault="00AD4360" w:rsidP="00722885">
      <w:pPr>
        <w:spacing w:after="0" w:line="240" w:lineRule="auto"/>
        <w:jc w:val="both"/>
        <w:rPr>
          <w:rFonts w:ascii="Times New Roman" w:hAnsi="Times New Roman"/>
          <w:color w:val="0070C0"/>
          <w:sz w:val="16"/>
          <w:szCs w:val="16"/>
        </w:rPr>
      </w:pPr>
    </w:p>
    <w:p w14:paraId="7D477C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первый Б-17 прилетел в Англию (223,60).</w:t>
      </w:r>
    </w:p>
    <w:p w14:paraId="3A8492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BD0E45"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июля 1942 Военно -воздушные силы Соединенных Штатов создают Управление воздушного транспорта, централизованную стратегическую службу воздушного транспорта, управляемую военным министерством США (20793).</w:t>
      </w:r>
    </w:p>
    <w:p w14:paraId="44D94AF4" w14:textId="77777777" w:rsidR="00AD4360" w:rsidRPr="00722885" w:rsidRDefault="00AD4360" w:rsidP="00722885">
      <w:pPr>
        <w:spacing w:after="0" w:line="240" w:lineRule="auto"/>
        <w:jc w:val="both"/>
        <w:rPr>
          <w:rFonts w:ascii="Times New Roman" w:hAnsi="Times New Roman"/>
          <w:color w:val="0070C0"/>
          <w:sz w:val="16"/>
          <w:szCs w:val="16"/>
        </w:rPr>
      </w:pPr>
    </w:p>
    <w:p w14:paraId="0B05DD6E"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 июля</w:t>
      </w:r>
      <w:r w:rsidRPr="00722885">
        <w:rPr>
          <w:rFonts w:ascii="Times New Roman" w:hAnsi="Times New Roman"/>
          <w:color w:val="000000" w:themeColor="text1"/>
          <w:sz w:val="16"/>
          <w:szCs w:val="16"/>
        </w:rPr>
        <w:t xml:space="preserve"> в 1942 году в Великобритании Комиссия по углю на основании закона 1938 года отбирает лицензии на разработку угольных месторождений (14939).</w:t>
      </w:r>
    </w:p>
    <w:p w14:paraId="7B0C6913"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2627ECE0" w14:textId="77777777" w:rsidR="00B01B21" w:rsidRPr="00722885" w:rsidRDefault="00B01B21" w:rsidP="00722885">
      <w:pPr>
        <w:spacing w:after="0" w:line="240" w:lineRule="auto"/>
        <w:jc w:val="both"/>
        <w:rPr>
          <w:rFonts w:ascii="Times New Roman" w:hAnsi="Times New Roman"/>
          <w:color w:val="000000" w:themeColor="text1"/>
          <w:sz w:val="16"/>
          <w:szCs w:val="16"/>
          <w:lang w:val="en-US"/>
        </w:rPr>
      </w:pPr>
      <w:r w:rsidRPr="00722885">
        <w:rPr>
          <w:rFonts w:ascii="Times New Roman" w:hAnsi="Times New Roman"/>
          <w:bCs/>
          <w:color w:val="000000" w:themeColor="text1"/>
          <w:sz w:val="16"/>
          <w:szCs w:val="16"/>
        </w:rPr>
        <w:t>1 июля</w:t>
      </w:r>
      <w:r w:rsidRPr="00722885">
        <w:rPr>
          <w:rFonts w:ascii="Times New Roman" w:hAnsi="Times New Roman"/>
          <w:color w:val="000000" w:themeColor="text1"/>
          <w:sz w:val="16"/>
          <w:szCs w:val="16"/>
        </w:rPr>
        <w:t xml:space="preserve"> в 1942 году в палате общин британского парламента обсуждается вопрос о вотуме недоверия правительству по "главному направлению ведения войны". Отвергается</w:t>
      </w:r>
      <w:r w:rsidRPr="00722885">
        <w:rPr>
          <w:rFonts w:ascii="Times New Roman" w:hAnsi="Times New Roman"/>
          <w:color w:val="000000" w:themeColor="text1"/>
          <w:sz w:val="16"/>
          <w:szCs w:val="16"/>
          <w:lang w:val="en-US"/>
        </w:rPr>
        <w:t xml:space="preserve"> 476 </w:t>
      </w:r>
      <w:r w:rsidRPr="00722885">
        <w:rPr>
          <w:rFonts w:ascii="Times New Roman" w:hAnsi="Times New Roman"/>
          <w:color w:val="000000" w:themeColor="text1"/>
          <w:sz w:val="16"/>
          <w:szCs w:val="16"/>
        </w:rPr>
        <w:t>голосамипротив</w:t>
      </w:r>
      <w:r w:rsidRPr="00722885">
        <w:rPr>
          <w:rFonts w:ascii="Times New Roman" w:hAnsi="Times New Roman"/>
          <w:color w:val="000000" w:themeColor="text1"/>
          <w:sz w:val="16"/>
          <w:szCs w:val="16"/>
          <w:lang w:val="en-US"/>
        </w:rPr>
        <w:t xml:space="preserve"> 25 (14939).</w:t>
      </w:r>
    </w:p>
    <w:p w14:paraId="64B7014C" w14:textId="77777777" w:rsidR="00B01B21" w:rsidRPr="00722885" w:rsidRDefault="00B01B21" w:rsidP="00722885">
      <w:pPr>
        <w:spacing w:after="0" w:line="240" w:lineRule="auto"/>
        <w:jc w:val="both"/>
        <w:rPr>
          <w:rFonts w:ascii="Times New Roman" w:hAnsi="Times New Roman"/>
          <w:color w:val="000000" w:themeColor="text1"/>
          <w:sz w:val="16"/>
          <w:szCs w:val="16"/>
          <w:lang w:val="en-US"/>
        </w:rPr>
      </w:pPr>
    </w:p>
    <w:p w14:paraId="5BB9BC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1st, 1942: Infantry and combat engineers trof 11.Armee (von Manstein) complete the capture of the fortress of Sevastopol in the Crimea. In Egypt, armored units of the Afrikakorps approach the defensive lines of the British Eighth Army at El Alamein on the road to Alexandria (3819).</w:t>
      </w:r>
    </w:p>
    <w:p w14:paraId="7F71A5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5E271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1-30 1942 First Battle of El Alamein (1050).</w:t>
      </w:r>
    </w:p>
    <w:p w14:paraId="1B18C3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FF28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 по 30 июля 1942 состоялась первая битва за Эль Аламейн (1050).</w:t>
      </w:r>
    </w:p>
    <w:p w14:paraId="1AAE92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2D33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Гейзенберг стал руководителем KWI и начал планировать серию экспериментов с большим реактором, в которых бы был задействован весь немецкий уран и тяжелая вода. Листы из металлического урана оказались трудными в производстве и изготовлении и он перешел к другим исследованиям (2221).</w:t>
      </w:r>
    </w:p>
    <w:p w14:paraId="7F134F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C7F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немецкие подлодки потопили 93 судна союзников общим тоннажем 454.5 т (2168,4).</w:t>
      </w:r>
    </w:p>
    <w:p w14:paraId="1A4F28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DB02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июля 1942 немецкая разведка обнаружила конвой PQ-17 из 36 транспортов (22 американских и 8 английских). Спаслось 11 и потеряли 400 танков, 3 тыс. грузовиков и 200 самолетов (2438,231).</w:t>
      </w:r>
    </w:p>
    <w:p w14:paraId="11F5FD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1689C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6CB044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B43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вышел приказ НКАП N 483сс:</w:t>
      </w:r>
    </w:p>
    <w:p w14:paraId="7F6C9B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своевременного обеспечения самолетов ПС-84, ДБ-3Ф и ТБ-7 надежными устройствами для защиты от обледенения:</w:t>
      </w:r>
    </w:p>
    <w:p w14:paraId="049448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Директору завода 84 обеспечить к 15 июля 1942 окончание монтажа противообледенителя на самолете ПС-84, разработанного заводом при участии ЛИИ. Испытание противообледенителя произвести непосредственно при участии представителей ЛИИ и НИИ ВВС и закончить их к 15 августа 1942</w:t>
      </w:r>
    </w:p>
    <w:p w14:paraId="47C022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Директору завода 23 к 1 августа обеспечить изготовление деталей и монтаж противообледенителей на самолете ДБ-3Ф, разработанного заводом 126 при участии ЛИИ. Испытание противообледенителя произвести непосредственно при участии представителей ЛИИ и НИИ ВВС и закончить их к 1 сентября 1942</w:t>
      </w:r>
    </w:p>
    <w:p w14:paraId="310951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Директору завода 22 к 1 августа обеспечить окончание изготовления деталей и монтаж противообледенителей на самолете ТБ-7, разработанного заводом при участии ЛИИ. Испытание противообледенителя произвести непосредственно при участии представителей ЛИИ и НИИ ВВС и закончить их к 1 сентября 1942 (1574,15).</w:t>
      </w:r>
    </w:p>
    <w:p w14:paraId="4D75DB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836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 2 июля 1942 г. во исполнение постановления ГКО и приказа НКАП ОКБ, заводом № 23 и Летно-исследовательским институтом велась напряженная работа по оснащению части Ил-4 противообледенительными системами, обеспечивающими защиту от льда передних кромок крыла и оперения.</w:t>
      </w:r>
    </w:p>
    <w:p w14:paraId="47E0618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AC8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вышел приказ НКАП N 482сс:</w:t>
      </w:r>
    </w:p>
    <w:p w14:paraId="66BA70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повышения противопожарных свойств боевых самолетов и проверки систем заполнения крыльевых отсеков нейтральными газами для серийных самолетов Як-1, Як-7, ЛаГГ-3 и ДБ-3Ф, предусмотрев в монтажных схемах возможность включения испытательных приборов.</w:t>
      </w:r>
    </w:p>
    <w:p w14:paraId="19697A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Директору завода 156 Ржищеву изготовить агрегаты систем по чертежам спец. КБ и провести монтаж системы на самолетах.</w:t>
      </w:r>
    </w:p>
    <w:p w14:paraId="7E8355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Сроки окончания монтажа: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B487A" w:rsidRPr="00722885" w14:paraId="5D1C9B90" w14:textId="77777777" w:rsidTr="00CC5360">
        <w:tc>
          <w:tcPr>
            <w:tcW w:w="3757" w:type="dxa"/>
            <w:tcBorders>
              <w:top w:val="single" w:sz="12" w:space="0" w:color="auto"/>
            </w:tcBorders>
          </w:tcPr>
          <w:p w14:paraId="0F86D7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Як-1</w:t>
            </w:r>
          </w:p>
        </w:tc>
        <w:tc>
          <w:tcPr>
            <w:tcW w:w="3757" w:type="dxa"/>
            <w:tcBorders>
              <w:top w:val="single" w:sz="12" w:space="0" w:color="auto"/>
            </w:tcBorders>
          </w:tcPr>
          <w:p w14:paraId="42FF74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w:t>
            </w:r>
          </w:p>
        </w:tc>
      </w:tr>
      <w:tr w:rsidR="009B487A" w:rsidRPr="00722885" w14:paraId="4B639357" w14:textId="77777777" w:rsidTr="00CC5360">
        <w:tc>
          <w:tcPr>
            <w:tcW w:w="3757" w:type="dxa"/>
          </w:tcPr>
          <w:p w14:paraId="2D88C0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Як-7</w:t>
            </w:r>
          </w:p>
        </w:tc>
        <w:tc>
          <w:tcPr>
            <w:tcW w:w="3757" w:type="dxa"/>
          </w:tcPr>
          <w:p w14:paraId="723A8D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w:t>
            </w:r>
          </w:p>
        </w:tc>
      </w:tr>
      <w:tr w:rsidR="009B487A" w:rsidRPr="00722885" w14:paraId="14D20E73" w14:textId="77777777" w:rsidTr="00CC5360">
        <w:tc>
          <w:tcPr>
            <w:tcW w:w="3757" w:type="dxa"/>
          </w:tcPr>
          <w:p w14:paraId="46184D2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ЛаГГ-3</w:t>
            </w:r>
          </w:p>
        </w:tc>
        <w:tc>
          <w:tcPr>
            <w:tcW w:w="3757" w:type="dxa"/>
          </w:tcPr>
          <w:p w14:paraId="2D54446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w:t>
            </w:r>
          </w:p>
        </w:tc>
      </w:tr>
      <w:tr w:rsidR="009B487A" w:rsidRPr="00722885" w14:paraId="5262012D" w14:textId="77777777" w:rsidTr="00CC5360">
        <w:tc>
          <w:tcPr>
            <w:tcW w:w="3757" w:type="dxa"/>
            <w:tcBorders>
              <w:bottom w:val="single" w:sz="12" w:space="0" w:color="auto"/>
            </w:tcBorders>
          </w:tcPr>
          <w:p w14:paraId="598107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ДБ-3Ф</w:t>
            </w:r>
          </w:p>
        </w:tc>
        <w:tc>
          <w:tcPr>
            <w:tcW w:w="3757" w:type="dxa"/>
            <w:tcBorders>
              <w:bottom w:val="single" w:sz="12" w:space="0" w:color="auto"/>
            </w:tcBorders>
          </w:tcPr>
          <w:p w14:paraId="45FB3D0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августа 1942</w:t>
            </w:r>
          </w:p>
        </w:tc>
      </w:tr>
    </w:tbl>
    <w:p w14:paraId="14D3F2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Монтаж систем на Як-1, Як-7 и ДБ-3Ф произвести на самолетах, переданных в ЛИИ (1574,8).</w:t>
      </w:r>
    </w:p>
    <w:p w14:paraId="221BC7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D416D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И.о. нач. ПГУ А.Шиц писал НКАП А.И.Ш. письмо N 659/357 о том, что приказом N 108сс от 9 февраля 1942 директор завода 153 обязан сдавать с 15 февраля Як-7 в двухместном варианте. Завод выполняет приказ, но тренировочный Як-7 отличается от серийного и прежде всего неубирающимся шасси и костылем. Просил разрешить делать 2-х местные с убирающимся шасси и делать без фиксаторов взлетного положения закрылков, как требовал А.С.Я. (2493,53).</w:t>
      </w:r>
    </w:p>
    <w:p w14:paraId="497D1F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C8D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г. нарком авиационной промышленности своим приказом обязал КБ завода № 156 разработать и изготовить усовершенствованную систему НГ для Як-1, Як-7 и других самолетов. К 15 июля ее следовало смонтировать на Як-1 и далее, в десятидневный срок, совместно с ЛИ И НКАП испытать. Этим же приказом КБ поручалось разработать мероприятия по устранению конструктивных дефектов существующих систем к I августа и в десятидневный срок провести и их испытания.</w:t>
      </w:r>
    </w:p>
    <w:p w14:paraId="28495B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Новая система НГ была спроектирована, успешно прошла испытания, была утверждена, и с сентября 1942 г. (со 102-й серии) ее начали устанавливать на самолетах. По указанию Главного инженера ВВС КА № 88 от 14 сентября 1942 г. истребители Як-1 более ранних серий выпуска должны были пройти доработку.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на нравом пульте кабины сообщал баки или с системой НГ, или, для заправки топливом на земле, с атмосферой.</w:t>
      </w:r>
    </w:p>
    <w:p w14:paraId="213E75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наступления холодов в эксплуатации не представилось возможным испытать эту схему. При понижении температуры наружного воздуха завод получил много 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 КАП, Н И И ВВС и завода № 156 во главе с Хайкешиевым и Погосским. В процессе жарких теоретических споров по схеме НГ был разработан ряд 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7426D6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0589AE"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1C7F96E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CDDD3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года на письме, направленном председателем арткома ГАУ Хохловым заместителю начальника ГАБТУ КА генерал-майору Лебедеву с просьбой о проведении ходовых испытаний СГ-122 на полигоне в Кубинке, последний написал следующую резолюцию:</w:t>
      </w:r>
    </w:p>
    <w:p w14:paraId="25AC35A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 совершенно несерьезная затея „игра в испытания“. „Артштурмов“ у нас нет. из ремонта их не выпускают. Если починили 2–3 штуки, то необходимо их, не мешкая, направлять на фронт, как мы это делаем с трофейными танками, которых отремонтировали гораздо больше, чем „артштурмов“» (12688).</w:t>
      </w:r>
    </w:p>
    <w:p w14:paraId="5A93747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5E75A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года в письме в главное артуправление заместитель начальника БТУ ГАБТУ КА Алымов сообщал:</w:t>
      </w:r>
    </w:p>
    <w:p w14:paraId="7790BAE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Вашего распоряжения об отпуске для 132 ОРВБ следующее артвооружение в счёт лимитов, выделенных ГАУ КА для ГАБТУ КА на ремонт:</w:t>
      </w:r>
    </w:p>
    <w:p w14:paraId="065F439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20 мм пушек ШВАК — 1 шт.;</w:t>
      </w:r>
    </w:p>
    <w:p w14:paraId="0FB1456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Пулемётов ДТ — 15 шт.;</w:t>
      </w:r>
    </w:p>
    <w:p w14:paraId="1EBFA3A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Коробов к 20 мм ШВАК — 32;</w:t>
      </w:r>
    </w:p>
    <w:p w14:paraId="38F642D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Дисков к ДТ — 308;</w:t>
      </w:r>
    </w:p>
    <w:p w14:paraId="5A6E1D2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ЗИП к пушке ШВАК — 4к-та;</w:t>
      </w:r>
    </w:p>
    <w:p w14:paraId="4D6110B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ЗИПкДТ — 26к-тов;</w:t>
      </w:r>
    </w:p>
    <w:p w14:paraId="1FCC56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Прицелов ТМФП-1 — 4;</w:t>
      </w:r>
    </w:p>
    <w:p w14:paraId="7D1911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Банников к 37-мм — 13;</w:t>
      </w:r>
    </w:p>
    <w:p w14:paraId="45B2404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Прицелов ТМФ — 13,</w:t>
      </w:r>
    </w:p>
    <w:p w14:paraId="6258CD3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ЗИП к 37 мм пушке — 1 к-т;</w:t>
      </w:r>
    </w:p>
    <w:p w14:paraId="03C5A6A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ЗИП к 76 мм пушке — 1 к-т;</w:t>
      </w:r>
    </w:p>
    <w:p w14:paraId="509614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Прицелов ТОД-6 — 2 шт. (12688)</w:t>
      </w:r>
    </w:p>
    <w:p w14:paraId="2896A9F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7024AB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г. ИЗ ДОКЛАДА ПЕРВОГО СЕКРЕТАРЯ НОВОСИБИРСКОГО ОБКОМА ВКП(б) М.В. КУЛАГИНА НА VII ПЛЕНУМЕ ОБКОМА ПАРТИИ О МАКСИМАЛЬНОМ ИСПОЛЬЗОВАНИИ ПРОИЗВОДСТВЕННЫХ МОЩНОСТЕЙ И О МЕРАХ ПОВЫШЕНИЯ ПРОИЗВОДИТЕЛЬНОСТИ ТРУДА НА ПРЕДПРИЯТИЯХ, ШАХТАХ, ТРАНСПОРТЕ</w:t>
      </w:r>
    </w:p>
    <w:p w14:paraId="6DF8D88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Итоги работы промышленности Новосибирской области за истекший год</w:t>
      </w:r>
    </w:p>
    <w:p w14:paraId="7E974D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 этот период в нашей области восстановлены и начали выдавать продукцию десятки эвакуированных предприятий, в числе их крупнейшие заводы №№ 556, 65, 635,... 325, 564, 617, 208, 644, 69, 350 ... и многие другие. Налаживаются производственные связи между заводами. В промышленность направлены десятки тысяч новых рабочих, которые проходят производственное обучение, и многие из них уже стали многосот-никами и тысячниками. Каковы итоги работы промышленности области за истекший период? В чем, собственно говоря, выразилась наша помощь фронту, ибо только с этой точки зрения и следует вообще рассматривать всю нашу работу? Основные итоги характеризуются следующими цифровыми данными: по промышленности боеприпасов из 19 заводов выполнили государственный план: в январе — 5 заводов, в феврале - 5 заводов, в марте — 10 заводов, в апреле — 12 заводов, в мае — 13 заводов, в июне — 11 заводов. Резко ухудшил свою работу в июне месяце инициатор предмайского социалистического соревнования - завод N? 1 комбината № 179, не выполнивший государственного плана по ряду изделий ... Не выполнил своих обязательств также и завод № 2 комбината № 179, достигший ранее неплохих показателей в своей работе. По промышленности вооружения из 10 заводов выполнили план: в январе - 4 завода, в феврале - 5 заводов, в марте - 8 заводов, в апреле — 6 заводов, в мае - 7 заводов. По авиационной промышленности из </w:t>
      </w:r>
      <w:r w:rsidRPr="00722885">
        <w:rPr>
          <w:rFonts w:ascii="Times New Roman" w:hAnsi="Times New Roman"/>
          <w:color w:val="000000" w:themeColor="text1"/>
          <w:sz w:val="16"/>
          <w:szCs w:val="16"/>
        </w:rPr>
        <w:lastRenderedPageBreak/>
        <w:t>4 заводов выполнили план: в январе - 1 завод, в феврале - 1 завод, в марте - 4 завода, в апреле -3 завода, в мае - 2 завода. Если взять все заводы боеприпасов, вооружения и авиации вместе, то в январе план выполнили 10 заводов, в феврале - 11 заводов, в марте - 19 заводов, в апреле - 21 завод, в мае - 22 завода, то есть количество заводов, выполняющих государственные задания, увеличилось больше чем вдвое и это при систематически возрастающих заданиях Государственного Комитета Обороны. По заводам электропромышленности из 10 заводов выполнили план: в марте - 1 завод, в апреле - 1 завод, в мае - 5 заводов, в июне -5 заводов. Заводы, производящие боеприпасы и вооружение, преодолели имевшееся к VI пленуму обкома ВКП(б) отставание, значительно увеличили производство всех видов боеприпасов и вооружения и в последние месяцы выполняют установленные им задания Государственного Комитета Обороны (завод № 5 комбината № 179, заводы № 69, 350 и другие). Производство снарядов за прошедший период увеличено в 3 с лишним раза, снарядов крупного калибра - в 3,6 раза, производство патронов - в 2 раза. За этот же период в области освоено производство ряда новых видов боеприпасов и вооружения - крупных мин, бронебойных и трассирующих снарядов, авиавыстрела, взрывателей и других. Ряд заводов, производящих вооружение, систематически перевыполняет свои производственные планы (заводы [№] 69, 350 и другие). Увеличение выпуска предметов вооружения только по одному заводу № 69 в мае месяце по сравнению с январем позволяет дополнительно вооружить 9 артиллерийских полков, полторы танковых дивизии, 9 противотанковых артиллерийских полков, 20 зенитных батарей. Производство самолетов на заводе им. Чкалова за 5 месяцев увеличилось в несколько раз. Только прирост продукции за апрель и май месяцы дает возможность скомплектовать несколько авиационных полков. Как вы знаете, одного выполнения планов сейчас уже недостаточно. Напряжение на фронтах Великой Отечественной войны непрерывно растет. И мы вправе требовать от заводов, чтобы и в их производственной деятельности изо дня в день росло напряжение, рос подъем и энтузиазм рабочих масс, росла отдача продукции фронту. Надо не забывать, что каждый процент перевыполнения плана, каждый процент повышения мощности завода - это оснащение для новых полков и дивизий, это новые воздушные эскадрильи и корабли, это новые сотни тысяч снарядов, несущих смерть и уничтожение фашистским оккупантам. Промышленность нашей области до сих пор пополнялась огромным количеством оборудования за счет эвакуированных предприятий. Теперь, когда эвакуация предприятий закончена, эта возможность получения дополнительного количества станков и другого оборудования таким путем отпала. Ожидать дополнительных ресурсов станочного оборудования извне за счет других источников также нельзя, и надеяться на это мы не имеем права. Поэтому для повышения мощностей завода их хозяйственные и партийные руководители должны сейчас рассчитывать только на мобилизацию внутренних ресурсов станочного и другого оборудования, на более высокопроизводительное использование имеющегося оборудования. Рабочей силой область до сих пор удовлетворяла нужды заводов за счет мобилизации неработающего населения в городах, за счет комплектования строительных батальонов, за счет мобилизации рабочей силы в городских и районных центрах, колхозах, а также и за счет других источников организованного получения рабочей силы. Эти возможности получения рабочей силы теперь почти исчерпаны и, лучше сказать, отпали. Хозяйственным и партийным руководителям заводов следует ориентироваться только на правильное, наиболее полное и высокопроизводительное использование имеющихся кадров, на тщательное их обучение. Однако наша промышленность располагает огромными, все еще слабо используемыми резервами производственных мощностей и рабочей силы. Вот вам примеры. В день проверки:</w:t>
      </w:r>
    </w:p>
    <w:p w14:paraId="0D7939C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 188 мощности имеющегося оборудования используются только на 60%. На оборудовании этого завода имеется полная возможность увеличить производство патронов в 2-2,5 раза против того, что он сейчас дает.</w:t>
      </w:r>
    </w:p>
    <w:p w14:paraId="7EAA4D3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заводу № 3 смонтированное оборудование в мае месяце было использовано по снарядам крупного калибра всего лишь на 60—85 %.</w:t>
      </w:r>
    </w:p>
    <w:p w14:paraId="6660896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 635 мощность смонтированного оборудования используется только на 56 %.</w:t>
      </w:r>
    </w:p>
    <w:p w14:paraId="2084E3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 564 из эвакуированного оборудования остались не пущенными в действие 240 станков и совершенно не установлены еще 40 станков.</w:t>
      </w:r>
    </w:p>
    <w:p w14:paraId="251E5B5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имени Воскова не введено до сих пор в действие 157 станков ...</w:t>
      </w:r>
    </w:p>
    <w:p w14:paraId="18A281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заводам химической промышленности картина использования мощностей еще более разительна. Например, на заводе № 759 мощность установленного оборудования в мае месяце использована только на 23 %.</w:t>
      </w:r>
    </w:p>
    <w:p w14:paraId="2D4754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 296 револьверные станки используются на 62 %, токарные - на 57 %, шлифовальные - на 38 %, фрезерные - на 66 % и прессы — на 63 %.</w:t>
      </w:r>
    </w:p>
    <w:p w14:paraId="247C7B7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эти цифры входят только учтенные, официально зарегистрированные потери. А сколько таких потерь не регистрируется, сколько станков ежедневно простаивают по разным причинам без регистрации этих простоев в сводках и графиках?!</w:t>
      </w:r>
    </w:p>
    <w:p w14:paraId="5699F5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 1 комбината № 179 в день проверки по различным уважительным и неуважительным причинам простояло 19 % оборудования. За одну только смену из-за этого простоя недодано фронту 1 400 штук снарядов.</w:t>
      </w:r>
    </w:p>
    <w:p w14:paraId="6B71C49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Мы по заслугам отмечали сегодня неплохую работу завода № 69, но и на этом заводе в день проверки только по одному механическому цеху оборудование имело 407 часов простоя по разным причинам. Поэтому один только этот цех в течение одного рабочего дня недодал вооружение для двух средних танков. В другом цехе этого завода (оптическом) в течение дня станки простояли 400 часов. При использовании хотя бы наполовину этих станков можно было бы выпустить дополнительно оптики для 15 средних и легких танков. На заводе № 350 по трем основным цехам простой оборудования по различным причинам в ночь на 1 июня составил 195 часов. При сокращении этих простоев наполовину можно было бы изготовить оснащение для целой артиллерийской батареи.</w:t>
      </w:r>
    </w:p>
    <w:p w14:paraId="068F7BD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 590 за май месяц простои рабочих составили 16 890 человеко-часов, а в день проверки - 29 мая, т.е. в конце месяца, когда по вредной традиции заводов напряжение достигает до предела, рабочие простояли 740 человеко-часов, т.е. каждый рабочий из основных цехов потерял в среднем 1 час 40 минут за смену. Потери от простоев оборудования в автоматно-револьверном цехе этого завода выражаются в 92 комплектах деталей для радиоприемника в сутки. Только ликвидация простоев оборудования на этом заводе даст возможность повысить выпуск продукции до 60 процентов.</w:t>
      </w:r>
    </w:p>
    <w:p w14:paraId="498DEC2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имени Чкалова 3 мая стояло 220 станков, из них 27 станков - из-за отсутствия работы. Очень низок на заводе коэффициент использования оборудования. Например, по металлодавящему оборудованию он составляет всего 35 процентов.</w:t>
      </w:r>
    </w:p>
    <w:p w14:paraId="64A944D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заводе № 65 при проверке 2 июня в первой смене 20 % оборудования бесцельно простаивало по причинам: неподачи инструмента на рабочие места, неподачи полуфабриката, из-за прогула рабочих, аварийного ремонта станков, то есть по причинам, полностью зависящим от нераспорядительности и бесхозяйственного отношения к использованию оборудования со стороны работников завода, со стороны его командиров. В результате за одну смену этим заводом недодано фронту 2 644 штуки различных снарядов. Директор этого завода т. Демидов, вместо устранения на самом заводе причин, мешающих нормальной работе по выполнению установленного плана, 28 мая направил в обком партии докладную, в которой сообщает, что на имеющемся оборудовании завод может ежесуточно выпускать всего только: детали №4 -600 штук, детали № 7 - 350 штук, детали № 10 - 650 штук, и то при условии бесперебойного снабжения качественным инструментом и тиражными деталями приспособлений. А для выполнения программы в 1 200 единиц в сутки по детали № 4 ему необходимо дополнительно дать 15 станков. Подписывая эту заявку на станки, т. Демидов допустил серьезную ошибку, не изучив предварительно мощности завода. Не успели, как говорят, еще высохнуть чернила, как оказывается, что в тот же самый день, т.е. 28 мая, рабочие изготовили на имеющемся оборудовании: детали № 4 - 675 штук, детали № 10 — 708 штук и на следующий день соответственно: детали № 4 — 850 штук, детали № 10 — 720 штук, а затем вскоре без всякого дополнительного оборудования выпуск детали № 4 был доведен до 1 100 штук в сутки. Если выпуск деталей на имеющемся оборудовании увеличен почти вдвое, то наверняка можно сказать, что при надлежащем руководстве со стороны директора и парторганизации отдача от станков на заводе W? 65 может быть значительно увеличена и на том же оборудовании можно намного увеличить выпуск снарядов. Это как раз и случилось. В июне месяце производство изделий на этом заводе увеличилось в 2-3 раза против мая. Эти успехи не пришли самотеком, тов. Демидов действительно поработал так, как подобает работать руководителю-большевику. О том, насколько неблагополучно обстоит дело с нарушениями трудовой дисциплины и прогулами на предприятиях, свидетельствует такой факт, когда за 5 месяцев 1942 года в суды области поступило 24 844 дела и за самовольный уход с предприятий 5 610 дел. Некоторые руководители тешат себя тем, что количество прогулов против довоенного времени сократилось, и все еще руководствуются средне-арифметическими довоенными цифрами, проявляя здесь ничем не прикрытое настроение тылового благодушия и забывая о том, что прогулы в военные время - явление совершенно нетерпимое и ни с одним фактом прогула руководители не имеют права мириться. Многие наши директора, да и руководители партийных организаций, свою роль в борьбе с прогульщиками часто сводят к одному -- отдать под суд. А суды, кстати сказать, до того мягкосердечны к прогульщикам и дезертирам производства, что часть из них месяцами, а то и полугодиями не привлекаются к ответственности. Немалые потери рабочего времени происходят у нас на многих предприятиях из-за неупорядоченности работы столовых, общежитий, трамвая, бань, парикмахерских и других социально-бытовых учреждений. Огромное количество рабочей силы, которое принял за последние 8 месяцев комбинат № 179, как вы знаете, мобилизовала вся область (наши города, районные центры, колхозы и даже предприятия). Руководителям комбината оставалось только проявить должную заботу по приему рабочей силы и бытовому ее устройству. Однако с этой работой руководители комбината не справились, в том числе и заместитель наркома боеприпасов т. Ивановский недооценил значения этого дела, передоверил его второстепенным лицам. Некоторой части мобилизованных для работы на комбинате, особенно девушкам, были созданы совершенно нетерпимые бытовые условия, в результате чего только за последние три месяца ушло с заводов комбината около 1 000 молодых рабочих. Почему это произошло? Да потому, что руководители комбината № 179 закрывают глаза на полную запущенность работы в жилищно-коммунальном управлении, на засоренность состава работников жилищных и бытовых учреждений сомнительными и чуждыми людьми, всевозможного рода ворами и расхитителями имущества. В общежитиях этого комбината в числе расхищенного более чем на один миллион рублей имущества было, например, такое, как одеяла, простыни, наволочки, подушки, кровати, т.е. как раз то имущество, недостаток которого особенно остро испытывал на себе мобилизованный на комбинат рабочий. О том, насколько бездушно и нечутко относились некоторые руководители предприятий к квалифицированным рабочим, свидетельствует известное областному активу дело о приеме и устройстве ленинградских рабочих, в результате которого бюро обкома ВКП(б) вынуждено было снять с постов и привлечь к ответственности большую группу руководителей областных и городских организаций, проявивших исключительно хамское отношение к рабочим города Ленина. Очень многие руководители предприятий сами жилья не строят. О подсобном хозяйстве не заботятся, транспорт не приобретают и не восстанавливают имеющийся, а продолжают писать в различных вариантах красноречивые записки о необходимости предоставления им готовых жилых домов, мобилизации транспорта для нужд предприятий, выделения им особых фондов питания и т.д. Подобного рода </w:t>
      </w:r>
      <w:r w:rsidRPr="00722885">
        <w:rPr>
          <w:rFonts w:ascii="Times New Roman" w:hAnsi="Times New Roman"/>
          <w:color w:val="000000" w:themeColor="text1"/>
          <w:sz w:val="16"/>
          <w:szCs w:val="16"/>
        </w:rPr>
        <w:lastRenderedPageBreak/>
        <w:t xml:space="preserve">руководители, как правило, заканчивают свои трактаты так: «Непредоставление того-то и ... того-то повлечет за собой невыполнение очень важных заданий Государственного Комитета Обороны». Экономия средств, сырья, материалов, инструмента, электроэнергии - это дополнительное количество боеприпасов для фронта. Борьба за строжайшую экономию во всем должна вестись непрерывно, неослабно, должна стать незыблемым законом военного времени для каждого советского человека. Огромный ущерб в использовании мощностей наносят аварии станков и оборудования. Анализ показывает, что в большинстве случаев аварии станков происходят из-за невнимательного ухода, несоблюдения технического режима станков, а также из-за отсутствия своевременного планово-предупредительного ремонта. Например, на заводе JM» 208 металлорежущие станки, как правило, работают без охлаждения; на заводе № 644 охлаждение у многих станков бездействует. На многих заводах не установлен порядок выдачи инструктивной технической карты и не задается режим станка. Ремонт станков, как общее явление для многих предприятий, производится лишь в экстренных случаях, в связи с аварией и нередко длится многие дни. Например, на заводе имени Чкалова ремонт станка продолжается 10—12 дней, в результате чего ежедневно простаивают до 80 станков. Руководители многих заводов мало утруждают себя тем, чтобы перенести, применительно к своему оборудованию, высокопроизводительную технологию других предприятий, а «мудрят», затрачивая на это непомерно много времени, сил и средств, и не дают по этой причине фронту продукции. Вот вам пример: решением ГКО заводу № 296 было поручено организовать у себя выпуск артиллерийских панорам. Эти панорамы уже много лет тому назад освоены заводом № 69, на них разработана подробная технология, тщательно проверенная многолетним опытом. Технологическая документация была полностью передана заводу № 296, оказывалась также необходимая техническая консультация специалистами 69[го] завода. И что же? Вместо того, чтобы внедрить у себя проверенную технологию, главный технолог завода Шнейгауз, с санкции директора завода т. Бермана, начал «мудрить», придумывать «новости». Несмотря на категорическое запрещение заказчика, заменил один материал другим, и в результате освоение панорамы на заводе № 296 тянется недопустимо долго. Неоднократно устанавливаемые ГКО сроки сдачи продукции систематически срываются. Из этих данных с очевидностью вытекают следующие выводы: о большой нетерпимой текучести рабочей силы, переливе ее из одних предприятий в другие; о неосновательности ссылок на недостаток рабочей силы в связи с мобилизацией в РККА; несмотря на существующие указы Президиума Верховного Совета, о чрезвычайно большом количестве лиц, уволенных по собственному желанию; о росте числа прогульщиков. Текучесть рабочей силы в мирное время была нетерпимым явлением, тем более она не должна иметь места в условиях военной обстановки. Борьба за закрепление рабочей силы, борьба за постоянный состав рабочих — боевая неотложная задача всех хозяйственных руководителей, всех партийных организаций области. Для того чтобы закрепить постоянный состав рабочих на предприятиях, необходимо создать условия, и в первую очередь обеспечить правильную систему зарплаты. Однако некоторые хозяйственные и партийные руководители этого до сих пор еще не понимают. Так, одной из причин ухода мобилизованных девушек с завода № 65 является несвоевременный перевод учеников в высшие разряды. Девушки прошли ученическую подготовку, научились работать, получили квалификацию, однако их искусственно держат в разряде учеников. В связи с этим их материальное положение не улучшается. Ненормальным явлением как комбината № 179, так и многих других предприятий является низкий процент сдельщины и применения прогрессивной системы в заработной плате. Например, было охвачено сдельщиной в мае месяце по заводу № 325 — 43 процента, по заводу № 590 - 54 процента, по заводу № 556 - 63 процента. На комбинате №179 количество сдельщиков в мае составляет 63 процента, на заводе №617-31,9 процента. Колоссальные резервы мощностей заводов кроются не только в простоях оборудования, установленного и не установленного, не только в невыполнении норм выработки. На предприятиях нашей области имеет место совершенно недопустимое в военных условиях ослабление борьбы с нарушениями трудовой дисциплины. При проверке 2 июня завода № 1 установлено, что в этот день не вышел на работу по разным уважительным и неуважительным причинам 351 человек. На заводе имени Воскова в этот же день не вышло на работу 209 человек. На заводе имени Чкалова только в одном 3-м цехе 30 мая не вышли на работу с разрешения администрации 83 рабочих, в цехе №90 -28 рабочих, в механическом цехе № 1 - 19 рабочих, а в целом по заводу 180 человек не вышли на работу с разрешения администрации. От таких отпусков «благодетелей» заводом имени Чкалова недодано фронту только за май месяц несколько самолетов. Другими словами, директор встал на путь нарушения закона, чего мы не можем разрешить никому. На заводе № 590 только так называемые административные отпуска за 5 месяцев составили 1 176 человеко-дней, на заводе № '617 — 1 236 человеко-дней. По заводам комбината №179-61 496 человеко-дней. Большие достижения в совершенствовании технологии и повышении производительности труда принадлежат тысячникам, многосот-никам, многостаночникам, рабочим, совмещающим несколько профессий,- всем гвардейцам трудового фронта, вскрывшим огромные резервы повышения производительности труда, резервы, которые используются нами пока еще неудовлетворительно. За последние месяцы на наших заводах резко возросло число многосотников и тысячников, новаторов производства, смело ломающих установленные каноны и обычаи. Так, завод имени Чкалова вырастил в своих рядах 277 тысячников и больше 4 000 двухсотников, почти половина всех рабочих завода № 69 является стахановцами. Число этих примеров можно было бы умножить, но и приведенные факты говорят сами за себя. Широко известны достижения инициатора движения тысячников в нашей области тов. Ширшова, токаря завода имени Чкалова Бориса Зенкова, дающего свыше 10 000 % нормы, шруповщика завода № 69 тов. Афанасьева, достигшего производительности почти в 7 000 % нормы, фрезеровщика Давыдова с завода № 350, Таллалова, Лисенкова и многих других передовиков. Недавно в нашей печати были опубликованы данные о подлинно стахановской работе слесаря-инструментальщика т. Таллалова (с комбината № 179). Тов. Таллалов 30 мая применил оригинальное приспособление на производстве клейм и выполнил 212 норм, заменив таким образом 212 рабочих. Вместо 8 минут, затрачиваемых раньше на изготовление одного клейма, тов. Таллалов затрачивает на эту операцию сейчас немного больше 2 секунд. Вслед за ним 31 мая другой слесарь-инструментальщик этого же завода т. Лисенков, используя приспособление т. Таллалова, за 1 ч. 22 мин. изготовил 44 тысячи клейм, т.е. затратил на изготовление одного клейма меньше 2 секунд. За несколько часов работы тт. Лисенков и Таллалов сделали такое количество клейм, которое обычно выполнялось за 1,5—2 месяца, а ведь клейма изготовляются в больших количествах на всех или почти на всех наших предприятиях. Методы работы тт. Ширшова, Марцинкевича, Гуцулюка и других на токарных, фрезеровочных и шлифовальных работах, позволяющие им выполнять по 30 норм в смену, дают возможность освободить огромное количество слесарей, фрезеровщиков и шлифовальщиков на предприятиях нашей промышленности для других работ. Так, например, только тт. Ширшов и Марцинкевич за май месяц сделали работы столько, сколько обычно на этом заводе выполняли раньше 367 токарей. Но мы не можем за деревьями не замечать леса, не можем не видеть того, что стахановцев на наших предприятиях по сравнению со всей массой рабочих, занятых на промышленных предприятиях, еще мало. Так, общее число стахановцев на всех промышленных предприятиях города Новосибирска в мае месяце было всего лишь 27 процентов к общему числу рабочих. Из них многосотников - 7,6 процента, многотысячников -пока первые сотни. Двадцатников, оканчивающих месячное задание к 20 числу месяца, насчитывается 4 056 человек, причем большинство их на предприятиях местной промышленности и промкооперации. При общем росте производительности труда на предприятиях области в течение I квартала почти на 25 процентов многие крупные предприятия еще далеко не достигли установленного для них уровня производительности труда. Так, выработка продукции на одного рабочего за I квартал 1942 года составила ... по заводу имени Чкалова - 86,3 процента к плану, по заводу № 65 — 41,4 процента к плану, по комбинату № 179 — 77,1 процента к плану. Причиной низкой производительности труда является в первую очередь невыполнение государственных норм рабочими. Не выполняющие нормы выработки по отношению только к общему числу сдельщиков по отдельным предприятиям за май месяц составляют: по комбинату № 179 - 16,4 процента, по заводу № 325 - 25,6 процента, по заводу № 635 — 18,3 процента, по заводу .№ 69 - 15,3 процента, по заводу имени Чкалова — 14,0 процента, по заводу № 208 — 17,0 процента, по заводу № 644 - 16,4 процента. На заводе № 296 до 40 процентов рабочих не выполняют норм, на заводе № 65 около 60 процентов рабочих, не выполняющих норм. В общей сложности во всей промышленности нашей области наберутся десятки тысяч рабочих, которые не выполняют установленных норм выработки. Только по предприятиям города Новосибирска насчитывается свыше 10 тыс. рабочих, не выполняющих норм. А это значит, что десятки тысяч рабочих недодают весьма значительную долю продукции, нужную для страны и для фронта. Одной из причин невыполнения норм и низкой производительности труда является недостаточная квалификация рабочих в связи с тем, что в большинстве они, пришедшие недавно на производство, еще не приобрели этой квалификации. Для повышения квалификации рабочих есть один путь - это настойчивое производственное обучение рабочих. Предприятия, вступившие на этот путь, добились отличных результатов. Тот же завод № 69, где производственное обучение рабочих во всех формах поставлено широко, имеет и производительность труда значительно выше многих предприятий. Например, в феврале по отношению к плану января 1942 года производительность труда на этом заводе составила 162,4 процента, в марте - 154,1 процента, в апреле - 182,7 процента. На предприятиях области развернулась большая работа по обучению рабочих в стахановских школах индивидуальным и групповым обучением, но сделано еще очень мало. За пять месяцев по городу Новосибирску обучено 12 000 человек. Получила же промышленность ... новых рабочих за это время много больше. Кроме того, анализ работы школ по городу Новосибирску показывает, что они работают еще недостаточно эффективно и к внутреннему содержанию их работы внимание руководящих работников цехов и заводов не приковано. Мало набрать рабочих. Для того, чтобы обеспечить наши предприятия рабочей силой и добиться выполнения норм выработки каждым рабочим, необходимо закрепить рабочих за производством и сделать состав рабочих на предприятиях постоянным. За период военного времени в составе рабочей силы Новосибирской области произошли известные изменения; часть рабочих мобилизована в Красную Армию, на смену им пришла молодежь, пришли женщины, девушки из деревень и городов. Со стороны партии и правительства для обеспечения промышленности и транспорта рабочей силой принят целый ряд мер, изданы указ о мобилизации городского неработающего населения, указ об ответственности рабочих за самовольный уход с оборонных предприятий, организована широкая сеть ремесленных училищ и ФЗО, отпускаются значительные средства предприятиям непосредственно для организации различных школ и проведения курсовых мероприятий по подготовке и переквалификации рабочей силы. Однако в результате очень слабой борьбы партийных, профсоюзных и хозяйственных руководителей за закрепление рабочей силы на отдельных предприятиях, за выполнение указов правительства, в нашей области происходит колоссальная текучесть рабочей силы. На значительном количестве предприятий области чрезмерно велики потери времени из-за неорганизованности общественного питания. Очереди и простои в столовой происходят из-за близорукости некоторых директоров, до сих пор не принимающих должных мер по обеспечению столовых посудой, мебелью, всем необходимым, чтобы устранить эти очереди и потери времени. На заводе № 65 рабочие затрачивают на обеды по 2 и больше часа, потому что в столовых несвоевременно приготовляют пищу. Огромной движущей силой в борьбе за дальнейший подъем производительности труда в нашей стране является социалистическое соревнование и стахановский труд. Руководство соцсоревнованием отнюдь не означает формальное принятие условий соревнования заводом, цехом, бригадой, рабочим. Само принятие обязательств не решает успеха дела. Соревнование даст свои результаты лишь тогда, когда </w:t>
      </w:r>
      <w:r w:rsidRPr="00722885">
        <w:rPr>
          <w:rFonts w:ascii="Times New Roman" w:hAnsi="Times New Roman"/>
          <w:color w:val="000000" w:themeColor="text1"/>
          <w:sz w:val="16"/>
          <w:szCs w:val="16"/>
        </w:rPr>
        <w:lastRenderedPageBreak/>
        <w:t>партийные организации поднимут активность рабочих, обеспечат их готовность, закалят их волю к полному выполнению обязательств. А этого можно добиться лишь при работе с каждой группой рабочих, с каждым рабочим в отдельности. В нашей области есть много предприятий, где правильно поняли задачи социалистического соревнования и правильно его организовали, используя различные новые формы соревнования. Например, на ряде заводов — № 1 и № 5 комбината № 179 и других - применяются ... фронтовые задания, сатирические листовки, остро бичующие недостатки работы, газеты-многотиражки, бюллетени с трудового фронта, цеховые радиопередачи примеров высокой производительности труда, показ на киноэкране методов работы многосотников и тысячников. Цехам ежедекадно передаются заводские переходящие Красные знамена, организуются бригады имени героев Отечественной войны, фронтовые бригады и смены, производится передача на хранение областных и городских переходящих Красных знамен лучшим цехам, 15-минутки на стыках смен, фотовитрины выдающихся стахановцев с показателями их работы и т.д. В цехе висят плакаты: «Большевистское спасибо т. Алексеевой, давшей 320 процентов своего дневного задания!», «Равняйтесь все по т. Иванову, выполнившему 1 020 процентов нормы!» и т.д. Плакаты эти вывешиваются сразу же после достижения рабочим рекордной выработки и имеют большое мобилизующее значение. В ряде цехов многих заводов широко распространены плакаты с технологическим описанием метода, пользуясь которым тысячники добивались рекордной выработки. В этих плакатах показана технологическая схема старого метода обработки, затем дано описание внесенного усовершенствования и нового метода обработки детали. Такие плакаты пользуются популярностью и способствуют выращиванию новых тысячников. В развертывании социалистического соревнования имеется довольно пестрая картина. Есть бригады, цеха, предприятия, где социалистическое соревнование стало действительно фактором, движущим рост производительности и выполнения планов выпуска продукции. Но есть бригады, цеха, даже на предприятиях инициаторах Всесоюзного социалистического соревнования, которые еще по-настоящему не включились в социалистическое соревнование. Вот, например, завод № 188. Коллектив этого завода взял обязательство во Всесоюзном соревновании программу II квартала выполнить 28 июля сего года. Этого обязательства коллектив не выполнил. На 1 июля программа выполнена на 99 процентов, а июньская программа -всего лишь на 80,2 процента. Коллектив цеха X? 22 этого завода взял обязательство июньский план выполнить к 28 июня на 105 процентов, а фактически к 1 июля выполнил его на 50,5 процента. Товарищи, наша область - крупнейшая индустриальная, военная и продовольственная база Советского Союза. Наша область в числе других областей обеспечивает победу Красной Армии на фронте и окончательный разгром германского фашизма. Это обстоятельство учтено гермайскими фашистами и их агентурой. Германское командование через разведывательные органы всячески изощряется и выискивает средства и пути для ослабления нашего тыла. Вражеские шпионы, диверсанты и лазутчики стремятся любыми способами проникнуть не только в прифронтовую полосу, но и в наш глубокий тыл с тем, чтобы какими угодно средствами поколебать единство советского народа и подорвать его экономическую силу. Поэтому сегодня на пленуме областного комитета партии вопрос о бдительности и беспощадной борьбе с благодушием, беспечностью, разгильдяйством и ротозейством в наших рядах должен быть поднят с еще большей силой, с еще большей остротой, с еще большей суровой критикой, с разоблачением конкретных носителей этого зла, равносильного в условиях военного времени, в условиях сложившейся обстановки прямому предательству и измене нашей Родине. В связи с этим я должен сообщить пленуму, что наша Новосибирская область является объектом самой активной агрессии фашистов и их союзников. Вот вам факты. Недавно поймали одного из диверсантов, заброшенного в октябре 1941 года в нашу область. Этот диверсант для выполнения задания гестапо устроился на заводе имени Чкалова и готовил большую по замыслам и размеру диверсию на заводе. Такой же диверсант, заброшенный немцами, был недавно задержан и разоблачен чекистами на комбинате № 179, куда он устроился на работу для того, чтобы собрать интересующие немцев сведения и подготовить взрыв. Нашими наркомвнудельцами пару месяцев тому назад была раскрыта шпионская подрывная организация, действовавшая по заданиям германской разведки. Эта организация была создана немцами в Новосибирской области за несколько месяцев до войны. В организацию гестаповцами были завербованы троцкисты, бывшие белые офицеры, кулаки, пробравшиеся на военные заводы нашей области. Эти предатели, продавшиеся гестапо, передавали врагу сведения о нашей промышленности и по указанию своих хозяев готовили взрывы на крупнейших предприятиях ... Эта организация не совершила этих диверсионных актов лишь потому, что наши чекисты не прозевали и своевременно эту организацию арестовали. На один из военных заводов нашей области пробрался под видом политэмигранта, члена французской компании германский шпион Ш. О том, как он попал в Советский Союз и с какими целями, при допросе показал: «В апреле 1941 года я получил визу на выезд в Советский Союз и явился к обер-лейтенанту Бернгард. Последний дал мне инструкции, указав, что гестапо прежде всего интересует состояние Красной Армии, ее вооружение, а также работа военных заводов. Бернгард дал мне указания, — рассказывает шпион Ш. — добиваться создания к себе соответствующего доверия и авторитета. В этом направлении я должен был использовать свою "принадлежность" к французской компартии и пребывание в рядах республиканской армии в Испании; рассказать, что я вынужден был бежать из Франции по причинам преследования меня, как еврея, и спасения от репрессий со стороны полиции за революционную деятельность». Этот шпион в начале войны вместе с эвакуированными прибыл в Новосибирскую область и успел из среды антисоветских элементов навербовать агентуру, готовясь к проведению диверсионных актов в военной промышленности. Этому шпиону не удалось привести свой план в действие только лишь потому, что наши чекисты не прозевали и своевременно его и созданную им агентуру арестовали. Не так давно наши чекисты вскрыли группу так называемых «вырвавшихся из окружения немцев», как они себя зарекомендовали. Последующая проверка показала, что эти уголовники бежали из лагерей и в районе Днепропетровска перешли к немцам. На следствии они показали, что немцами были приняты хорошо и им даже было разрешено в течение нескольких дней грабить и убивать советских граждан. Затем этих грабителей немцы поместили в специальную школу, где они прошли курс обучения по шпионажу и подрывной работе, а затем были переброшены с заданием - пробраться в тыл, устроиться на военных заводах, устраивать пожары, ломать станки, производить крушения железнодорожных поездов и так далее. Как видите, для германской разведки расстояние не имеет значения, что у нас, в так называемом глубоком тылу, не так уже все спокойно. Однако это еще не все. Есть еще другое государство, которое с нами не воюет, но готовится к войне, а в связи с этим готовится к подрывной, диверсионной и террористической борьбе опять же в нашем тылу и, в частности, в нашей Новосибирской области. Я не буду называть это государство, но приведу несколько фактов из деятельности разведки этого государства. В 1942 году в Новосибирске вскрыта шпионская организация разведки этого же государства, которая была создана по указанию консульства, находящегося в Новосибирске. Путем подкупа, шантажа и разложения молодежи, работающей на военных заводах, агенты разведки вербовали свою агентуру, покупали от них секретные сведения как о промышленности, так и о Красной Армии. Наряду со шпионажем, эта организация с началом войны на востоке против Советского Союза должна была проводить подрывную деятельность.</w:t>
      </w:r>
    </w:p>
    <w:p w14:paraId="4CC3FB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Новосибирского обкома ВКП(б) М. Кулагин</w:t>
      </w:r>
    </w:p>
    <w:p w14:paraId="1590507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Оп. 33. Д. 520. Л. 4-8, 10-11, 13, 16-17, 20. 21, 32-33. Копия. Типографский экземпляр (12159).</w:t>
      </w:r>
    </w:p>
    <w:p w14:paraId="5C6BF25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43C0EC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вышло Распоряжение ГКО № 1947 [О направлении на московские заводы, изготовляющие 82 мм мины и спецстанки для их обработки, 1200 слушателей Московского учебно-курсового института обкома Союза работников высшей школы.] (7039, 94).</w:t>
      </w:r>
    </w:p>
    <w:p w14:paraId="7F0EC93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4A51A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вышло Постановление ГКО № 1948 Об ответственности железнодорожных служащих за сохранность перевозимых по железным дорогам народнохозяйственных грузов в военное время. (7039, 95-96).</w:t>
      </w:r>
    </w:p>
    <w:p w14:paraId="3F2AFAC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3D4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вышло Постановление ГКО № 1949 Об организации ремонта 203 мм гаубиц образца 1931 г. Б-4 на заводах Наркомвооружения. РГАНИР, Фонд ГКО, д. 40, лл. 97-97об (11012).</w:t>
      </w:r>
    </w:p>
    <w:p w14:paraId="35659A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5D95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вышло Постановление ГКО № 1950 Об обеспечении Дальневосточной армии и Тихоокеанского флота аккумуляторными батареями для подводных лодок, танков и самолетов. (7039, 98-99,100-102).</w:t>
      </w:r>
    </w:p>
    <w:p w14:paraId="2DCF2C6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E750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вышло Постановление ГКО № 1951 О т.т. Колонине С.Е. и Иванченко З.Ф. РГАНИР, Фонд ГКО, д. 40, лл. 103 (11012).</w:t>
      </w:r>
    </w:p>
    <w:p w14:paraId="681372B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55ADB"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2D1B65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02F669"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июля</w:t>
      </w:r>
      <w:r w:rsidRPr="00722885">
        <w:rPr>
          <w:rFonts w:ascii="Times New Roman" w:hAnsi="Times New Roman"/>
          <w:color w:val="000000" w:themeColor="text1"/>
          <w:sz w:val="16"/>
          <w:szCs w:val="16"/>
        </w:rPr>
        <w:t xml:space="preserve"> в 1942 году утреннее сообщение Совинформбюро:</w:t>
      </w:r>
    </w:p>
    <w:p w14:paraId="7FB3CAB2"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 июля на Курском и Севастопольском направлениях наши войска вели бои с противником.</w:t>
      </w:r>
    </w:p>
    <w:p w14:paraId="2F74037B"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10B6400E"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Курском направлении наши войска отбивали атаки немецко-фашистских войск и нанесли противнику большие потери. За два дня части под командованием тов. Пухова уничтожили 39 немецких танков и бронемашин, 64 миномёта, 24 орудия, 6автомашин и 36 повозок с боеприпасами. На этом участке противник потерял убитыми до 7.000 солдат и офицеров. Красноармейцы и командиры проявляют величайшее мужество и отвагу в борьбе с гитлеровцами. Когда у миномётчиков младшего лейтенанта Сорокина был израсходован весь запас мин, бойцы начали бить немцев из винтовок. Младший лейтенант Сорокин уничтожил 25 гитлеровцев, красноармейцы тов. Реус — 35, тов. Гасанов — более 30 гитлеровцев. Младший лейтенант Паршин из пулемёта истребил 60 немцев. Артиллерийская батарея старшего лейтенанта Пантелеева подверглась ожесточённой бомбардировке 20 немецких самолётов. Вслед за этим пехота противника перешла в наступление. Наши артиллеристы смело встретили врага. Ведя огонь прямой наводкой, они уничтожили до 400 солдат и офицеров противника. Успешно действует на Курском направлении наша авиация. В течение дня сбито 28 немецких самолётов.</w:t>
      </w:r>
    </w:p>
    <w:p w14:paraId="3AC41FAB"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Неувядаемой славой покрыли себя защитники Севастополя. Они стойко и мужественно обороняют от немецко-фашистских захватчиков каждую пядь советскойземли. Противник крупными силами предпринял атаку на участок подразделения тов. Торбуна. Наши бойцы бросились в контратаку и уничтожили до роты гитлеровцев. </w:t>
      </w:r>
      <w:r w:rsidRPr="00722885">
        <w:rPr>
          <w:rFonts w:ascii="Times New Roman" w:hAnsi="Times New Roman"/>
          <w:color w:val="000000" w:themeColor="text1"/>
          <w:sz w:val="16"/>
          <w:szCs w:val="16"/>
        </w:rPr>
        <w:lastRenderedPageBreak/>
        <w:t>Миномётная батарея старшего лейтенанта Мельченко уничтожила свыше 150 солдат и офицеров противника. Краснофлотцы тт. Киселёв, Новицкий Я Корван подбили тяжёлый немецкий танк. Командир противотанковой пушки тов. Джаман сбил немецкий самолёт «Хеншель-126».</w:t>
      </w:r>
    </w:p>
    <w:p w14:paraId="10FFC102"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Бойцы мотострелкового подразделения тов. Пузыревского (Юго-Западный фронт) в течение двух дней отражали атаки численно превосходящих сил противника. Потеряв до 1.000 человек убитыми и ранеными, немцы отступили на исходные позиции.</w:t>
      </w:r>
    </w:p>
    <w:p w14:paraId="3E9C340E"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Разведывательная группа одной нашей части (Южный фронт) уничтожила 268 солдат и офицеров противника. Нашими бойцами захвачены 8 пулемётов и пленные.</w:t>
      </w:r>
    </w:p>
    <w:p w14:paraId="0985DE1F"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Шесть наших лётчиков-истребителей из части тов. Клещёва в воздушном бою сбили 6 немецких бомбардировщиков.</w:t>
      </w:r>
    </w:p>
    <w:p w14:paraId="6FA7075A"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Д., действующий в одном из оккупированных немцами районов Калининской области, на днях совершил налёт на посадочную площадку самолётов противника. Партизаны перебили охрану и сожгли два разведывательных немецких самолёта.</w:t>
      </w:r>
    </w:p>
    <w:p w14:paraId="75D1FB75"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отряда тов. О., действующие в одном из районов Орловской области, за два месяца истребили до 1.000 немецких оккупантов, уничтожили 16 повозок, 37 автомашин, взорвали склад с боеприпасами и пустили под откос 8 эшелонов противника. В боях с немецкими захватчиками партизаны захватили винтовки, пулемёты, миномёт и несколько тысяч патронов.</w:t>
      </w:r>
    </w:p>
    <w:p w14:paraId="13A8A9C6"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Немецкий обер-ефрейтор Пауль Кремд писал недавно из Могилёва унтер-офицеру Густаву Кнорру: «Каждый день в военную тюрьму прибывают новые группы арестованных. Все камеры переполнены. Сегодня в моё дежурство доставили фельдфебеля, дезертировавшего из части. В французскую кампанию мы с ним служили в одной роте. Он держался очень развязно и насмешливо сказал: «Приготовьте хорошие квартиры, к вам идёт пополнение. Отвоевавшиеся солдаты идут на отдых в тюрьму». В ночь на воскресенье из тюрьмы сбежали пять дезертиров, приговорённых к смертной казни... Здесь очень неспокойно. Каждый день исчезают автомобили, повозки, лошади. Вчера украли два «Мерседеса», а недавно кто-то увёл штабную машину... Жители ненавидят нас».</w:t>
      </w:r>
    </w:p>
    <w:p w14:paraId="4885C48E"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лесах у города Соданкюля (Финляндия) скрываются вооружённые группы финских солдат, дезертировавших с фронта. Эти солдаты называют себя «лесной гвардией». Они недавно напали на отряд шюцкоровцев и немецких солдат. В завязавшейся схватке убито 18 немцев и 5 шюцкоровцев. Недавно группа «лесной гвардии» совершила вылазку в город Соданкюль и увела с собой в лес двух немецких офицеров.</w:t>
      </w:r>
    </w:p>
    <w:p w14:paraId="4ED25B32"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где директором тов. Кисурин, был эвакуирован из прифронтовой полосы в глубокий тыл. На новом месте коллектив завода выпускает боеприпасов в два раза больше, чем раньше. Июньский план заводом выполнен за семь дней до срока.» (14940).</w:t>
      </w:r>
    </w:p>
    <w:p w14:paraId="77015E4F"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0A8BF20A"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июля</w:t>
      </w:r>
      <w:r w:rsidRPr="00722885">
        <w:rPr>
          <w:rFonts w:ascii="Times New Roman" w:hAnsi="Times New Roman"/>
          <w:color w:val="000000" w:themeColor="text1"/>
          <w:sz w:val="16"/>
          <w:szCs w:val="16"/>
        </w:rPr>
        <w:t xml:space="preserve"> в 1942 году вечернее сообщение Совинформбюро:</w:t>
      </w:r>
    </w:p>
    <w:p w14:paraId="35D12E7E"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 июля на Курском направлении наши войска весь день вели крупные танковые бои с противником.</w:t>
      </w:r>
    </w:p>
    <w:p w14:paraId="34F16ED7"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Белгородском и Волчанском направлениях завязались упорные бои наших войск с наступающими немецко-фашистскими войсками.</w:t>
      </w:r>
    </w:p>
    <w:p w14:paraId="2D360A7E"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Севастопольском участке фронта наши войска вели ожесточённые рукопашные бои с противником на окраине города.</w:t>
      </w:r>
    </w:p>
    <w:p w14:paraId="0D3D5C31"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0606842B"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 июля частями нашей авиации на различных участках фронта уничтожено или повреждено несколько десятков немецких танков, более 300 автомашин с войсками игрузами, около 40 подвод с боеприпасами, взорваны 3 склада с боеприпасами и один склад с горючим, рассеяно и частью уничтожено до четырёх батальонов пехоты противника.</w:t>
      </w:r>
    </w:p>
    <w:p w14:paraId="43091A39"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Упорные бои на одном из участков Юго-Западного фронта вела наша танковая часть. В течение дня танкисты уничтожили свыше 1.000 немецких солдат и офицеров, подбили и сожгли 16 танков противника. В этом бою командир тов. Кановин своим танком уничтожил четыре немецких машины. На другом участке пятьдесят немецких танков пытались прорваться в расположение наших войск. Девять отважных бронебойщиков из истребительного отряда старшего лейтенанта Шанцева открыли огонь и подожгли 7 немецких танков.</w:t>
      </w:r>
    </w:p>
    <w:p w14:paraId="4F3FC3D0"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отдельных участках Западного фронта артиллерийским огнём наших частей разрушено 10 немецких ДЗОТов и блиндажей, взорвано минное поле, подавлен огонь 5 миномётных и одной артиллерийской батарей, рассеяно и частично уничтожено несколько групп вражеской пехоты общей численностью до трёх батальонов.</w:t>
      </w:r>
    </w:p>
    <w:p w14:paraId="5C47EADC"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Пехота противника, поддержанная авиацией и 40 танками, перешла в наступление на одном из участков Калининского фронта. Ценой больших потерь гитлеровцам удалось потеснить наше боевое охранение и занять высоту. Бойцы части, где командиром тов. Тарасов, контрударом отбросили противника и снова овладели высотой. Подбито 6 немецких танков, сбит бомбардировщик противника. Гитлеровцы потеряли убитыми и ранеными свыше 200 солдат и офицеров.</w:t>
      </w:r>
    </w:p>
    <w:p w14:paraId="4E09F421"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Часть, действующая на одном из участков Ленинградского фронта, в трёхдневных боях с противником уничтожила до 300 немецких солдат и офицеров, 4 огневые пулемётные точки и обоз с боеприпасами и продовольствием. Наши артиллеристы подавили огонь миномётной и 5 артиллерийских батарей противника.</w:t>
      </w:r>
    </w:p>
    <w:p w14:paraId="6EE779A4"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Бойцы тт. Чуб и Бригневич огнём из винтовок сбили немецкий самолёт. На другом участке группа красноармейцев ружейно-пулемётным огнём уничтожила «Мессершмитт-109».</w:t>
      </w:r>
    </w:p>
    <w:p w14:paraId="413278BF"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Несколько партизанских отрядов, находящихся в Минской и Полесской областях Белоруссии, за время своей боевой деятельности уничтожили до 3.000 немецких оккупантов. Партизаны организовали крушение 13 железнодорожных эшелонов противника, уничтожили 140 автомашин и десятки складов с боеприпасами, горючим и продовольствием.</w:t>
      </w:r>
    </w:p>
    <w:p w14:paraId="484F0E14"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11 роты 61 полка 7 немецкой пехотной дивизии Иозеф Крексгаммер рассказал: «Зимой 7 дивизия понесла огромные потери. Полки были обескровлены. В ротах осталось очень мало людей. В 11 роте, например, насчитывалось всего лишь 30 солдат. В апреле прибыло пополнение, и наша рота получила 100 человек. 28 июня части дивизии атаковали позиции русских и пытались захватить важный оборонительный рубеж. Все атаки закончились неудачей. Нам нанесли тяжёлое поражение. Из 11 роты в живых осталось всего 10 раненых солдат».</w:t>
      </w:r>
    </w:p>
    <w:p w14:paraId="1BDBF52D"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истребляют мирное население в оккупированных советских районах. 11 июня гитлеровские бандиты загнали в болото 80 женщин, стариков и детей—жителей деревни Кузьмино, Смоленской области, и расстреляли их из автоматов. Немецкие захватчики дочиста ограбили крестьян деревни Шиловичи, а все дома и постройки сожгли. По приказу военных властей гитлеровцы скашивают на сено еще не созревшую рожь, обрекая население на голодную смерть.» (14940).</w:t>
      </w:r>
    </w:p>
    <w:p w14:paraId="60598601"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6576B937"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июля</w:t>
      </w:r>
      <w:r w:rsidRPr="00722885">
        <w:rPr>
          <w:rFonts w:ascii="Times New Roman" w:hAnsi="Times New Roman"/>
          <w:color w:val="000000" w:themeColor="text1"/>
          <w:sz w:val="16"/>
          <w:szCs w:val="16"/>
        </w:rPr>
        <w:t xml:space="preserve"> в 1942 году к концу дня противник продвинулся в полосе Брянского фронта на глубину 60 - 80 км и в полосе Юго-Западного фронта до 80 км, окружив западнее Старого Оскола часть сил 40-й и 21-й армий (14940).</w:t>
      </w:r>
    </w:p>
    <w:p w14:paraId="16AC5F8E"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6DDA85A1"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июля</w:t>
      </w:r>
      <w:r w:rsidRPr="00722885">
        <w:rPr>
          <w:rFonts w:ascii="Times New Roman" w:hAnsi="Times New Roman"/>
          <w:color w:val="000000" w:themeColor="text1"/>
          <w:sz w:val="16"/>
          <w:szCs w:val="16"/>
        </w:rPr>
        <w:t xml:space="preserve"> в 1942 году подводная лодка «С-7» под командованием С.П.Лисина вышла из Кронштадта в свой знаменитый поход. Спустя три дня она покинула Лавенсари. Лисину удалось быстро и скрытно форсировать Финский залив благодаря рискованному маневру — ночному переходу через минное поле «Юминда» в надводном положении. Уже вечером 7-го «эска» вышла из залива и направилась к Норчёпингской бухте. Необходимо отметить, что отведенная «С-7» позиция захватывала и территориальные воды Швеции, а в боевом приказе значилось: «Уничтожать все транспорты и неприятельские военные корабли, за Исключением военных кораблей шведского флота, атаки которых запрещаются». Такое указание объясняется использованием немцами шведских территориальных вод для перевозки стратегически важной железной руды. Кстати, первым нарушили нейтралитет шведы — утром 9 июля их патрульный самолет безуспешно атаковал заряжавшую аккумуляторы «С-7». В тот же день Лисин в отместку выпустил две торпеды в шведский пароход «Норег», но тот сумел уклониться. Вечером подлодка напала на оди</w:t>
      </w:r>
      <w:r w:rsidRPr="00722885">
        <w:rPr>
          <w:rFonts w:ascii="Times New Roman" w:hAnsi="Times New Roman"/>
          <w:color w:val="000000" w:themeColor="text1"/>
          <w:sz w:val="16"/>
          <w:szCs w:val="16"/>
        </w:rPr>
        <w:softHyphen/>
        <w:t>ночный транспорт. При выстреле торпеду зажало в аппарате, и второй залп пришлось делать уже из надводного положения. Погибший пароход «Маргарета» : 1272 брт) совершал рейс из Германии в Швецию с грузом угля. Утром 11 июля атаке подвергся очередной конвой. На этот раз торпеда поразила направлявшийся в рейх рудовоз «Лулео» (5611 брт) (Оба потопленных «С-7» шведских судна, вопреки утверждениям МИД Швеции, были торпедированы в 8 милях от суши, то есть за пределами 6-мильной зоны территориальных вод). Судно быстро затонуло, а шведские сторожевики «Снаппханен» и «Ягарен» сбросили на «С-7» 26 глубинных бомб, не причинивших ей никаких повреждений. К утру 5 августа, после четырехдневного поиска у западного побережья Моонзундских островов, «эска» вернулась к маяку Ужава. Спустя несколько часов Лисин обнаружил одиночный транспорт — финский пароход «Похьянлахти» (682 брт), шедший с грузом картофеля из Риги в Мянтилуото. Командир выпустил последнюю торпеду, но она изменила траекторию и прошла мимо. В распоряжении командира оставалось лишь 45-мм орудие. После первых же выстрелов судно остановилось и спустило шлюпки. Поскольку оно долго не хотело тонуть («С-7» пришлось израсходовать 380 45-мм снарядов!), обстрел продолжали в течение часа. 9 августа практически безоружная субмарина получила разрешение возвращаться в базу. Переход был совершен в рекордно короткие сроки. Уже вечером 11-го лодка всплыла в 2 милях от Лавенсари и на следующий день оказалась в Кронштадте. Это был самый успешный поход советской ПЛ. Швеция на месяц приостановила вывоз железной руды в Германию. Немцы были вынуждены разработать целый комплекс мер по недопущению проникновения советских лодок к берегам Швеции (14940).</w:t>
      </w:r>
    </w:p>
    <w:p w14:paraId="7345506B"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452B1E78"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июля</w:t>
      </w:r>
      <w:r w:rsidRPr="00722885">
        <w:rPr>
          <w:rFonts w:ascii="Times New Roman" w:hAnsi="Times New Roman"/>
          <w:color w:val="000000" w:themeColor="text1"/>
          <w:sz w:val="16"/>
          <w:szCs w:val="16"/>
        </w:rPr>
        <w:t xml:space="preserve"> в 1942 году под Севастополем уцелевшие командиры возродили Военный совет Приморской армии и попытались восстановить управление войсками СОР. Из всех тыловиков и ходячих раненых создали сводные роты и отправили на передовую. В течение дня возле 35-й батареи отбиты 10 немецких атак. Защищая Херсонесский аэродром погибли остатки 172-й стрелковой дивизии. С наступлением темноты сводный отряд моряков ЧФ и красноармейцев после рукопашного боя вернул Камышовую бухту, пытаясь обеспечить подход ночью транспортов для эвакуации Приморской армии (14940).</w:t>
      </w:r>
    </w:p>
    <w:p w14:paraId="223CB657"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0E2BEBCB"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июля</w:t>
      </w:r>
      <w:r w:rsidRPr="00722885">
        <w:rPr>
          <w:rFonts w:ascii="Times New Roman" w:hAnsi="Times New Roman"/>
          <w:color w:val="000000" w:themeColor="text1"/>
          <w:sz w:val="16"/>
          <w:szCs w:val="16"/>
        </w:rPr>
        <w:t xml:space="preserve"> в 1942 году немецкая авиация осуществила массированный налет на Новороссийск. В Цемесской бухте немецкой авиацией потоплен лидер эсминцев Черноморского флота </w:t>
      </w:r>
      <w:hyperlink r:id="rId5" w:anchor="102479" w:tgtFrame="_blank" w:history="1">
        <w:r w:rsidRPr="00722885">
          <w:rPr>
            <w:rFonts w:ascii="Times New Roman" w:hAnsi="Times New Roman"/>
            <w:color w:val="000000" w:themeColor="text1"/>
            <w:sz w:val="16"/>
            <w:szCs w:val="16"/>
          </w:rPr>
          <w:t xml:space="preserve">"Ташкент". </w:t>
        </w:r>
      </w:hyperlink>
    </w:p>
    <w:p w14:paraId="46018976"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44034E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с 22 июня 1941 по 1 июля 1942 г. средний налет, приходящий</w:t>
      </w:r>
      <w:r w:rsidRPr="00722885">
        <w:rPr>
          <w:rFonts w:ascii="Times New Roman" w:hAnsi="Times New Roman"/>
          <w:color w:val="000000" w:themeColor="text1"/>
          <w:sz w:val="16"/>
          <w:szCs w:val="16"/>
        </w:rPr>
        <w:softHyphen/>
        <w:t>ся на одну боевую потерю Ил-2 по всем фронтам по официальным данным ВВС, составил 13 самолето-вылетов, то в пе</w:t>
      </w:r>
      <w:r w:rsidRPr="00722885">
        <w:rPr>
          <w:rFonts w:ascii="Times New Roman" w:hAnsi="Times New Roman"/>
          <w:color w:val="000000" w:themeColor="text1"/>
          <w:sz w:val="16"/>
          <w:szCs w:val="16"/>
        </w:rPr>
        <w:softHyphen/>
        <w:t>риод с 01.08.42 г. по 01.06.43 г. - уже 26'самолето-вылетов на одну боевую потерю (6467).</w:t>
      </w:r>
    </w:p>
    <w:p w14:paraId="4DF9C8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833922"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по дороге из осажденного Севастополя погиб русский писатель, автор “12 стульев” Евгений Петров (4962).</w:t>
      </w:r>
    </w:p>
    <w:p w14:paraId="7F337B9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18DFB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под Севастополем уцелевшие командиры возродили Военный совет Приморской армии и попытались восстановить управление войсками СОР. Из всех тыловиков и ходячих раненых создали сводные роты и отправили на передовую. В течение дня возле 35-й батареи отбиты 10 немецких атак. Защищая Херсонесский аэродром погибли остатки 172-й сд. С наступлением темноты сводный отряд моряков ЧФ и красноармейцев после рукопашного боя вернул Камышовую бухту, пытаясь обеспечить подход ночью транспортов для эвакуации Приморской армии (4963 ).</w:t>
      </w:r>
    </w:p>
    <w:p w14:paraId="564C5A0F"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7C9C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после 8-месячной осады пал Севастополь (4962).</w:t>
      </w:r>
    </w:p>
    <w:p w14:paraId="73752A23"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DE862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при налете на Новороссийск и Анапу немцы потопили лидер Баку и транспорт Украину + 2 буксира (1085,161).</w:t>
      </w:r>
    </w:p>
    <w:p w14:paraId="23CDC01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E18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немецкая авиация выполнила массовой налет на Новороссийск (3186).</w:t>
      </w:r>
    </w:p>
    <w:p w14:paraId="7A15902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7B9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ЧФ понес большие потери в результате авианалета на Новороссийск. Досталось и ТКА - №33 и 112 погибли и, по крайней мере, один получил повреждения (6002).</w:t>
      </w:r>
    </w:p>
    <w:p w14:paraId="62A355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A142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 17 июля 1942 г. североморцы выполнили первые вылеты с торпедами, совершили, но успех пришел позже. 29 июля, на основании данных воздушной разведки, пара Ил-4, которую вел капитан Гарбуз, атаковала конвой противника, состоявший из двух транспортов и семи кораблей охране</w:t>
      </w:r>
      <w:r w:rsidRPr="00722885">
        <w:rPr>
          <w:rFonts w:ascii="Times New Roman" w:hAnsi="Times New Roman"/>
          <w:color w:val="000000" w:themeColor="text1"/>
          <w:sz w:val="16"/>
          <w:szCs w:val="16"/>
        </w:rPr>
        <w:softHyphen/>
        <w:t>ния. В результате попадания двух тор</w:t>
      </w:r>
      <w:r w:rsidRPr="00722885">
        <w:rPr>
          <w:rFonts w:ascii="Times New Roman" w:hAnsi="Times New Roman"/>
          <w:color w:val="000000" w:themeColor="text1"/>
          <w:sz w:val="16"/>
          <w:szCs w:val="16"/>
        </w:rPr>
        <w:softHyphen/>
        <w:t>пед большой транспорт (водоизмеще</w:t>
      </w:r>
      <w:r w:rsidRPr="00722885">
        <w:rPr>
          <w:rFonts w:ascii="Times New Roman" w:hAnsi="Times New Roman"/>
          <w:color w:val="000000" w:themeColor="text1"/>
          <w:sz w:val="16"/>
          <w:szCs w:val="16"/>
        </w:rPr>
        <w:softHyphen/>
        <w:t>нием около 15000 г) затонул (10734,85).</w:t>
      </w:r>
    </w:p>
    <w:p w14:paraId="1683FB4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AB3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по</w:t>
      </w:r>
      <w:r w:rsidRPr="00722885">
        <w:rPr>
          <w:rFonts w:ascii="Times New Roman" w:hAnsi="Times New Roman"/>
          <w:color w:val="000000" w:themeColor="text1"/>
          <w:sz w:val="16"/>
          <w:szCs w:val="16"/>
        </w:rPr>
        <w:softHyphen/>
        <w:t>вреждений лидер Ташкент затонул у портовой стенки, не выдержав двух пря</w:t>
      </w:r>
      <w:r w:rsidRPr="00722885">
        <w:rPr>
          <w:rFonts w:ascii="Times New Roman" w:hAnsi="Times New Roman"/>
          <w:color w:val="000000" w:themeColor="text1"/>
          <w:sz w:val="16"/>
          <w:szCs w:val="16"/>
        </w:rPr>
        <w:softHyphen/>
        <w:t>мых попаданий авиабомб (3898).</w:t>
      </w:r>
    </w:p>
    <w:p w14:paraId="2CCF22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687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года в районе Волово- Васильевка части 109 и 164-й танковых бригад встретились с основными силами 11-й танковой дивизии 4-й танковой армии (с немецкой стороны в бою участвовало до 80 боевых машин). Весь день здесь шли тяжелые танковые бои, стоившие больших потерь обеим сторонам. Так, по показанию пленного ефрейтора 11-й танковой дивизии, к концу дня в его роте из 17 танков оставалось боеспособными лишь 8 машин». Но и потери 16-го танкового корпуса были большими. Например, только 164-я танковая бригада безвозвратно потеряла 10 Т-34 и 10 Т-60, а 360-й танковый батальон 109-й танковой бригады, потеряв в ходе боя связь со своим штабом, стал отходить, попал в засаду и был полностью уничтожен (в батальоне к тому времени насчитывалось 8 танков).</w:t>
      </w:r>
    </w:p>
    <w:p w14:paraId="5B45D8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последующих дней части корпуса получили задачу атаковать противника совместно с 1-м танковым корпусом и овладеть Захаров- кой. Однако из-за больших потерь и отставания 1-го танкового корпуса атака не удалась. Более того, 5 июля под давлением превосходящих частей противника, части 16-го танкового корпуса отошли на восточный берег реки Олым. Попытки корпуса в течение пяти раз восстановить положение успеха не имели.</w:t>
      </w:r>
    </w:p>
    <w:p w14:paraId="218278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Причиной неудачных действий 16-го танкового корпуса являлось плохое взаимодействие подразделений внутри танковых бригад, взаимодействие между бригадами практически отсутствовало, разведка почти не велась. Кроме того, в воздухе полностью господствовала немецкая авиация.</w:t>
      </w:r>
    </w:p>
    <w:p w14:paraId="254E394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Бывшему командиру Х79-й танковой бригады 16-го танкового корпуса, впоследствии генерал-полковнику танковых войск В.С. Архипову бои на реке Кшень запомнились «особенно крепко из-за многочисленных неиспользованных нами возможностей... Вместо того, чтобы сбить противника с плацдарма ударом танкового кулака, мы пытались столкнуть его пальцем. В первый день бросили против двадцати немецких танков и двух батальонов автоматчиков, овладевших Новым Поселком, примерно столько же стрелков, но вдвое меньше танков. На второй день - 20 наших танков против 4050 фашистских и так далее. Противник, наращивая свои силы, опережал нас, и если первый день боя за плацдарм мы имели общее превосходство в танках, но не использовали его в атаках, то к четвертому дню это превосходство перешло к противнику. Вот что значит применение танков с оглядкой, с дроблением танковых бригад и батальонов для закрытия брешей» (12217).</w:t>
      </w:r>
    </w:p>
    <w:p w14:paraId="44F7423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CB3018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к концу дня противник продвинулся в полосе Брянского фронта на глубину 60 - 80 км и в полосе Юго-Западного фронта до 80 км, окружив западнее Старого Оскола часть сил 40-й и 21-й армий (4963 ).</w:t>
      </w:r>
    </w:p>
    <w:p w14:paraId="5A4E8CE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816E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года в оперативной сводке Советского Информбюро от сообщалось:</w:t>
      </w:r>
    </w:p>
    <w:p w14:paraId="0A6923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другом участке 50 немецких танков пытались прорваться в расположение наших войск. 9 отважных истребителей из Истребительного отряда старшего лейтенанта Шанцева подожгли 7 немецких танков” (10697).</w:t>
      </w:r>
    </w:p>
    <w:p w14:paraId="7E911E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0EA6A"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756DB4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B0BF1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июля 1942 конвой PQ-17 не встретился с PQ-13, а Тирпиц и Хиппер стали готовится к атаке. 4 июля 1942 последовал приказ рассосредоточиться (2100).</w:t>
      </w:r>
    </w:p>
    <w:p w14:paraId="739F1C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EE051"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июля</w:t>
      </w:r>
      <w:r w:rsidRPr="00722885">
        <w:rPr>
          <w:rFonts w:ascii="Times New Roman" w:hAnsi="Times New Roman"/>
          <w:color w:val="000000" w:themeColor="text1"/>
          <w:sz w:val="16"/>
          <w:szCs w:val="16"/>
        </w:rPr>
        <w:t xml:space="preserve"> в 1942 году неудачная попытка британского парламента вынести вотум недоверия правительству У.Черчилля (за – 25 голосов, против 476, воздержалось – 30) (14940).</w:t>
      </w:r>
    </w:p>
    <w:p w14:paraId="67C04B94"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572069E5"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118B5D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7E3E1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г. вышел ПРИКАЗ НКОП № 0534 С ОБЪЯВЛЕНИЕМ БЛАГОДАРНОСТИ ЛЕТНОМУ СОСТАВУ 49 ББАП ЗА ОТЛИЧНУЮ ПЕРЕГОНКУ САМОЛЕТОВ С ИРКУТСКОГО АВИАЗАВОДА</w:t>
      </w:r>
    </w:p>
    <w:p w14:paraId="482044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марте и июне месяцах 1942 г. командир 49 ББАП майор Сажин Н. И. с двадцатью экипажами своего полка перегнал с Иркутского авиазавода в район Москвы 21 самолет Пе-2 и 20 самолетов Пе-3.</w:t>
      </w:r>
    </w:p>
    <w:p w14:paraId="18E28F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Благодаря отличной подготовке полка, отличной организации и руководства перелетом, несмотря на сложность условий перелета и дальность маршрута, экипажи 49 ББАП в короткие сроки перегнали 41 самолет без единого летного происшествия.</w:t>
      </w:r>
    </w:p>
    <w:p w14:paraId="46963F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Приказываю:</w:t>
      </w:r>
    </w:p>
    <w:p w14:paraId="0D0C66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Командиру 49 ББАП майору Сажину Н. И. за образцовую организацию перегонки самолетов для фронта в короткие сроки без единого летного происшествия присвоить внеочередное военное звание подполковник.</w:t>
      </w:r>
    </w:p>
    <w:p w14:paraId="2FB6F3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Штурману 49 ББАП капитану Воробьеву А. Н. за хорошую подготовку к перелету личного состава в навигационном отношении присвоить внеочередное звание майор.</w:t>
      </w:r>
    </w:p>
    <w:p w14:paraId="18B7BE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Инженера 49 ББАП военинженера 2 ранга Михалева М. С., техника-лейтенанта Беспальцева Д. И., техника-лейтенанта Мерзлякова Я. П. и лейтенанта Шибаева В. П. за отличное руководство и подготовку материальной части к перелетам, обеспечивших ее безотказность на протяжении всего маршрута наградить ценными подарками.</w:t>
      </w:r>
    </w:p>
    <w:p w14:paraId="5C1B0A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Остальному личному составу 49 ББАП, участвовавшему в перегонке самолетов, объявить благодарность.</w:t>
      </w:r>
    </w:p>
    <w:p w14:paraId="146623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Приказ объявить всему составу частей ВВС Красной Армии.</w:t>
      </w:r>
    </w:p>
    <w:p w14:paraId="2D6535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 xml:space="preserve">Заместитель Народного комиссара обороны СССР генерал-лейтенант авиации НОВИКОВ </w:t>
      </w:r>
      <w:r w:rsidRPr="00722885">
        <w:rPr>
          <w:rFonts w:ascii="Times New Roman" w:hAnsi="Times New Roman"/>
          <w:color w:val="000000" w:themeColor="text1"/>
          <w:sz w:val="16"/>
          <w:szCs w:val="16"/>
        </w:rPr>
        <w:t>(9844).</w:t>
      </w:r>
    </w:p>
    <w:p w14:paraId="1EB641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03C3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июля 1942 г. в соответствии с постановлением ГОКО № 1868сс и приказом № 533с от 16.07.1942 г. заводу-дублеру № 145 присвоено наименование ГС завод № 455 в системе 2ГУ НКАП. </w:t>
      </w:r>
    </w:p>
    <w:p w14:paraId="187789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3CD104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1943-46 г. на заводе действовало ОКБ-455 НКАП гл. конструктора И.И. Картукова. </w:t>
      </w:r>
    </w:p>
    <w:p w14:paraId="39A286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2B13DCE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w:t>
      </w:r>
    </w:p>
    <w:p w14:paraId="340F556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283ссоп от 25.04.1955 г. завод № 455 с 1.04.1955 г. передан из 2ГУ в 6ГУ. Началось освоение производства УРВВ, а позднее- и УРВП. </w:t>
      </w:r>
    </w:p>
    <w:p w14:paraId="4B4C1A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Велись работы по ракете Р-6 (К-53) с ТГСН; планировалось (но не было осуществлено) производство К-33; работы по К-5В (1960 г.). </w:t>
      </w:r>
    </w:p>
    <w:p w14:paraId="419113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75A91C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 </w:t>
      </w:r>
    </w:p>
    <w:p w14:paraId="73AFF3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400DA4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(2002 г.)- 2500 чел.</w:t>
      </w:r>
    </w:p>
    <w:p w14:paraId="667B18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(1942 г.-)- Н.К. Сорокин, (-05.1943-03.1946 г.-)- Горбунов, (конец 1946 г.-)- М.П. Аржаков (одновременно был руководителем строительства завода), (-1995 г.)- С.П. Яковлев.</w:t>
      </w:r>
    </w:p>
    <w:p w14:paraId="1B6387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 (2002 г.)- Ю.Д. Новиков. </w:t>
      </w:r>
    </w:p>
    <w:p w14:paraId="544685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Научный директор (2002 г.)- Ю.Д. Новиков. Технический директор (2002 г.)- И.Д. Тесля.</w:t>
      </w:r>
    </w:p>
    <w:p w14:paraId="307573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(1946 г.-)- М.И. Муромцев.</w:t>
      </w:r>
    </w:p>
    <w:p w14:paraId="24E877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Работали: Горбунов, (начало 1950-х)- Кузьмин. </w:t>
      </w:r>
    </w:p>
    <w:p w14:paraId="05406F7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(1974 г.)- В.Г. Кореньков.</w:t>
      </w:r>
    </w:p>
    <w:p w14:paraId="1401D88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ВАП-6М, ВАП-500 (1942-), ВАП-100, ВАП-250 (ВОВ); УРВВ: изд. "М" (РС-1-У) (1956-57), "И" (РС-2У) (1957-59), "ИС" (РС-2-УС) (1959-), "24" (Р-8М) (1959-), К-13, Р-98, К-55, К-40 (-1991), К-80 (Р-4); УРВП: Х-66, Х-23, Х-27, Х-25, Х-25М, Х-31, Х-35; ЗУР: 3М9; гладильные машины «Калинка».</w:t>
      </w:r>
    </w:p>
    <w:p w14:paraId="25DC0C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ГС Завод № 455 НКАП, МАП, Костинский машиностроительный завод (КМЗ), Калининградский машиностроительный завод (КМЗ), НПО «Стрела», В-2704, КПКО «Стрела» </w:t>
      </w:r>
    </w:p>
    <w:p w14:paraId="05C84A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Костино Московской обл. ст. Болшево</w:t>
      </w:r>
    </w:p>
    <w:p w14:paraId="6FCEFA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141070 г. Королев Московской обл. ул. Ильича, 7</w:t>
      </w:r>
    </w:p>
    <w:p w14:paraId="7263FF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завода № 455, ОКБ-455 НКАП гл. конструктора И.И. Картукова</w:t>
      </w:r>
    </w:p>
    <w:p w14:paraId="014C15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Костино Московской обл.</w:t>
      </w:r>
    </w:p>
    <w:p w14:paraId="5EF3F6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w:t>
      </w:r>
    </w:p>
    <w:p w14:paraId="50316A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148с от 22.03.1946 г. ОКБ-455 МАП гл. конструктора И.И. Картукова в полном составе переведено на вновь образованный Завод № 81 МАП. </w:t>
      </w:r>
    </w:p>
    <w:p w14:paraId="12D218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завода № 455, ОКБ-455 МАП, ОКБ "Звезда", А-3497</w:t>
      </w:r>
    </w:p>
    <w:p w14:paraId="2109F3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141070 г. Королев Московской обл., ул. Ильича, 7 тел. 519-55-01</w:t>
      </w:r>
    </w:p>
    <w:p w14:paraId="15DDAD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образовано на заводе № 455 в 1956 г. для освоения производства РС-1-У (изд."М"). На базе К-5 и К-8 создана Х-66, на базе РС-2-УС – К-55.</w:t>
      </w:r>
    </w:p>
    <w:p w14:paraId="744FE2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1966 г.- ОКБ-455 МАП. Головное предприятие по разработке тактических УРВП.</w:t>
      </w:r>
    </w:p>
    <w:p w14:paraId="37A032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"Звезда-Стрела". </w:t>
      </w:r>
    </w:p>
    <w:p w14:paraId="17B151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(1956-59 г.-)- М.Е. Едидович, Н.Т. Пикот.</w:t>
      </w:r>
    </w:p>
    <w:p w14:paraId="08903F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(1966-73 г.)- Ю.Н. Королев, (1974-83 г.)- В.Н. Бугайский, (1983-86 г.)- В.Г. Голушко, (25.11.1986-94 г.)- Г.И. Хохлов (до этого- гл. конструктор УРВП в МКБ «Вымпел»), (1994-99 г.-)- Ю.Д. Новиков.</w:t>
      </w:r>
    </w:p>
    <w:p w14:paraId="20E559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(1970-е)- В.Г. Кореньков (далее работал в НИИАС), (-1994 г.)- Ю.Д. Новиков.</w:t>
      </w:r>
    </w:p>
    <w:p w14:paraId="199455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(1956 г.-)- М.Е. Едидович (изд. «М»), С.П. Яковлев (Х-35).</w:t>
      </w:r>
    </w:p>
    <w:p w14:paraId="6AA3DCE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УРВП: К-5 (РС-1У), Х-66 (пнв в 1968 г.), Х-23 (пнв в 1973 г.), -М, -Л, Х-27ПС (1974 г.), Х-25 (1976 г.), -Р, -МР, -Л, -МЛ, -МЛП, -П, -МП, -ПС, -МТ, -МТЛ, -МПУ, Х-31А (пнв в 1989 г.), -П (пнв в 1988 г.), Х-35 (пнв в 1987 г.), Х-35У (1983 г.), Х-36; ККР: «Уран» 3М24 (пнв в 1987 г.)58; высотная мишень ИЦ-59В (1960-е).</w:t>
      </w:r>
    </w:p>
    <w:p w14:paraId="2B5EE8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Научно-производственный центр (ГНПЦ) "Звезда-Стрела"</w:t>
      </w:r>
    </w:p>
    <w:p w14:paraId="72FD16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141070 г. Калининград, г. Королев Московской обл. ул. Ильича, 7 тел. 519-20-02</w:t>
      </w:r>
    </w:p>
    <w:p w14:paraId="7259FE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в начале 1995 г. обьединеним ОКБ "Звезда" и Калининградского машиностроительного завода "Стрела". В 02.1998 г. в ГНПЦ вошло ОКБ ДУ «Пламя».</w:t>
      </w:r>
    </w:p>
    <w:p w14:paraId="019854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(1995-2002 г.-)- С.П. Яковлев.</w:t>
      </w:r>
    </w:p>
    <w:p w14:paraId="4BF55B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 Конструктор (2002 г.)- С.П. Яковлев.</w:t>
      </w:r>
    </w:p>
    <w:p w14:paraId="1EB7772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ОАО «Корпорация «Тактическое ракетное вооружение» (ТРВ) РАКА</w:t>
      </w:r>
    </w:p>
    <w:p w14:paraId="7F632C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141070 г. Королев Московской обл. ул. Ильича, 7 тел. 542-57-09 www.ktrv.ru</w:t>
      </w:r>
    </w:p>
    <w:p w14:paraId="1AADE9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Создана 24.01.2002 г. на базе головного предприятия «Звезда-Стрела». Кроме него, в корпорацию вошли еше 5 предприятий, в т.ч. ГНПП «Регион». В соответствии с Указом Президента № 591 от 9.05.2004 г. и распоряжением правительства № 396 от 20.07.2004 г. определено дальнейшее развитие Корпорации, в составе которой стало 14 предприятий, в т.ч. ГосМКБ «Радуга», ГосМКБ «Вымпел», КБМ, завод «Красный гидропресс». По решению правительства № 22-р от 9.01.2004 г. и Указу Президента РФ № 1009 от 4.08.2004 г. вошло в число стратегических оборонных предприятий.</w:t>
      </w:r>
    </w:p>
    <w:p w14:paraId="1CF176E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производство, поставка и модернизация комплексов УР.</w:t>
      </w:r>
    </w:p>
    <w:p w14:paraId="766BA8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(2003-05 г.-)- Б.В. Обносов.</w:t>
      </w:r>
    </w:p>
    <w:p w14:paraId="1B2296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совета директоров (2005 г.)- С. Приходько (10776).</w:t>
      </w:r>
    </w:p>
    <w:p w14:paraId="18FE85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3478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вышел приказ НКАП № 487с:</w:t>
      </w:r>
    </w:p>
    <w:p w14:paraId="36BB0B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невозможностью разместить на бывших площадях з-да № 261 цеха разделки с-тов и моторов из аварийного имущества з-да № 453:</w:t>
      </w:r>
    </w:p>
    <w:p w14:paraId="40AAE1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Передать з-ду № 453 здания и сооружения бывшего з-да 291 (8 ГУ) со всем имуществом и материалами, оставшимися на площадке после эвакуации,</w:t>
      </w:r>
    </w:p>
    <w:p w14:paraId="76A8297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Организовать на площадях бывшего з-да 291 цех по разделке авиамоторов и с-тов.</w:t>
      </w:r>
    </w:p>
    <w:p w14:paraId="2C4C75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Дементьев (1574, 52).</w:t>
      </w:r>
    </w:p>
    <w:p w14:paraId="0C42C3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A2F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июля 1942 г. и по приказу № 487с для размещения завода № 453 были переданы здания и сооружения бывшего завода № 291 </w:t>
      </w:r>
      <w:r w:rsidRPr="00722885">
        <w:rPr>
          <w:rFonts w:ascii="Times New Roman" w:hAnsi="Times New Roman"/>
          <w:color w:val="000000" w:themeColor="text1"/>
          <w:sz w:val="16"/>
          <w:szCs w:val="16"/>
          <w:lang w:val="en-US"/>
        </w:rPr>
        <w:t>HKA</w:t>
      </w:r>
      <w:r w:rsidRPr="00722885">
        <w:rPr>
          <w:rFonts w:ascii="Times New Roman" w:hAnsi="Times New Roman"/>
          <w:color w:val="000000" w:themeColor="text1"/>
          <w:sz w:val="16"/>
          <w:szCs w:val="16"/>
        </w:rPr>
        <w:t>П (11982).</w:t>
      </w:r>
    </w:p>
    <w:p w14:paraId="511FFB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A55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г. по приказу № 487с здания и сооружения бывшего завода № 291 НКАП в Тушино были переданы заводу № 453 НКАП.</w:t>
      </w:r>
    </w:p>
    <w:p w14:paraId="4E831F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(-05.1940; 03.1942 г.)- Л.Б. Евангулов, (05.1940 г.- С.В. Михайлов.</w:t>
      </w:r>
    </w:p>
    <w:p w14:paraId="175B9B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ОКБ-291 НКАП /г. Москва/</w:t>
      </w:r>
    </w:p>
    <w:p w14:paraId="3065C9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Спецоборудование. Эвакуировано в 1941 г. в Уфу (11982).</w:t>
      </w:r>
    </w:p>
    <w:p w14:paraId="4C00B7E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9C10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г. по приказу № 487с заводу № 453, ко торый должен был быть переведен на территорию бывшего завода № 261 НКАП, были переданы здания и сооружения бывшего завода № 291 НКАП в Тушино. Проводились работы по разделке самолетов. По приказу № 158с от 19.03.1943 г. разделочная база завода № 453 НКАП со всем оборудованием и личным составом передана заводу № 500.</w:t>
      </w:r>
    </w:p>
    <w:p w14:paraId="48267B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3218с от 21.04.1943 г. и приказом № 276с от 7.05.1943 г. завод № 453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0755F0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DA915"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года, Постановлением Совета Народных Комиссаров №1413/РС создана Научно-экспериментальная база (НЭБ) по ремонту материальной части ВВС Красной Армии.</w:t>
      </w:r>
    </w:p>
    <w:p w14:paraId="667C2D18"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Хотя днем создания института принято считать 29 октября 1942 года, когда Начальником НЭБ ВВС был издан приказ №1 о формировании базы с дислокацией на станции Павшино Московской области, однако свою историю институт ведет от авиамастерских Качинской школы летчиков, созданной еще в 1910 году, на базе которых и была сформирована Научно-экспериментальная база. </w:t>
      </w:r>
    </w:p>
    <w:p w14:paraId="44DAE0D6"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Директивой Главного Штаба Красной Армии №10/314259 от 31 октября 1944 года НЭБ была переименована в Центральную НЭБ по ремонту материальной части ВВС Красной Армии.</w:t>
      </w:r>
    </w:p>
    <w:p w14:paraId="1BF059E5"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годы войны личный состав ЦНЭБ внес немалый вклад в повышение эффективности функционирования ремонтной сети ВВС и обеспечение боеготовности авиационных частей:</w:t>
      </w:r>
    </w:p>
    <w:p w14:paraId="6EB56C19"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выполнено 280 тематических работ, связанных с разработкой технологий ремонта самолетов, двигателей, вооружения и электрооборудования;</w:t>
      </w:r>
    </w:p>
    <w:p w14:paraId="4100E6FB"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издано 147 бюллетеней и указаний по технологии ремонта;</w:t>
      </w:r>
    </w:p>
    <w:p w14:paraId="5AA9F43D"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осуществлено около 200 выездов на ремонтные предприятия;</w:t>
      </w:r>
    </w:p>
    <w:p w14:paraId="450BA5D2"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выполнен капитально-восстановительный ремонт 116 самолетов и 484 двигателей различных типов.</w:t>
      </w:r>
    </w:p>
    <w:p w14:paraId="6AE54513"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февраля 1947 года согласно Директиве ГК ВВС КА №334585 ЦНЭБ перебазируется в город Люберцы.</w:t>
      </w:r>
    </w:p>
    <w:p w14:paraId="7897D74B"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послевоенные годы зародились новые направления в работе института, которые в дальнейшем развивались на протяжении всей истории института. Одно из таких направлений было связано с определением причин отказов авиационной техники.</w:t>
      </w:r>
    </w:p>
    <w:p w14:paraId="742B5FF0"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августа 1957 года Постановлением Совета Министров СССР №1050-478 Центральная научно-экспериментальная база была преобразована в Научно-исследовательский институт эксплуатации и ремонта авиационной техники ВВС, а 8 декабря 1962 года Постановлением Совета Министров СССР №1236-517 НИИ ЭРАТ получил статус Государственного.</w:t>
      </w:r>
    </w:p>
    <w:p w14:paraId="3F0C7898"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1964 году была создана и придана институту отдельная авиационная эскадрилья, состоящая из 11 самолетов Ан-12 и 7 самолетов Ил-14, на которых ежегодно выполнялись сотни вылетов во все концы страны (11560).</w:t>
      </w:r>
    </w:p>
    <w:p w14:paraId="5C7B232D"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7B016BE2"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0094A4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7A95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года, как описывает В. А. Малышев, «Вызвал т. Сталин. Обсуждали вопрос о плане по производству танков на III кв. Сперва я несколько недоумевал о моей роли на этом совещании и цели моего присутствия. Потом т. Сталин сказал: «Ну а что же т. Малышев будет делать? Я думаю, пусть он Молотову помогает по танкам, он знает танки, вот пусть и работает по танкам». Меня это очень обрадовало. Значит, т. Сталин доверяет мне работать по танкам, а я сделаю всё, что могу. Танки я люблю и буду работать не покладая рук» («Пройдёт десяток лет, и этих встреч не восстановишь уже в памяти»// Источник. 1997. № 5. С. 119)</w:t>
      </w:r>
    </w:p>
    <w:p w14:paraId="36D0251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Впоследствии И. В. Сталин более объективно оценил деятельность В. А. Малышева на посту наркома. Возможно, этому способствовало то, что новый нарком тоже не смог добиться роста производства до запланированных объёмов. Уже в 1943 году Сталин вернул опальному бывшему наркому прежнюю должность, отстранив И. М. Зальцмана. В. А. Малышев получит звание генерал-полковника и будет награждён многочисленными правительственными наградами, в том числе и за свою работу в 1941-1942 годах (12290).</w:t>
      </w:r>
    </w:p>
    <w:p w14:paraId="6A2AF09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C5BBA0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г. вышли УКАЗАНИЯ НАЧАЛЬНИКА ГАБТУ КА СТАРШЕМУ ВОЕНПРЕДУ НА КИРОВСКОМ ЗАВОДЕ О ПОДГОТОВКЕ К ОТПРАВКЕ 3 ТАНКОВ КВ-1 В АМЕРИКУ</w:t>
      </w:r>
    </w:p>
    <w:p w14:paraId="35FC5FB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Срочно подготовьте к отправке 3 танка КВ-1. Один из них должен быть отправлен в первых чис</w:t>
      </w:r>
      <w:r w:rsidRPr="00722885">
        <w:rPr>
          <w:rFonts w:ascii="Times New Roman" w:hAnsi="Times New Roman"/>
          <w:color w:val="000000" w:themeColor="text1"/>
          <w:sz w:val="16"/>
          <w:szCs w:val="16"/>
        </w:rPr>
        <w:softHyphen/>
        <w:t>лах июля 1942 г. в Америку.</w:t>
      </w:r>
    </w:p>
    <w:p w14:paraId="2DF163D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Указание об отгрузке остальных 2 танков получите дополнительно.</w:t>
      </w:r>
    </w:p>
    <w:p w14:paraId="208F55C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Танки должны быть последнего выпуска с пластинчатыми радиаторами, новым вентилятором и с рациями Р-9.</w:t>
      </w:r>
    </w:p>
    <w:p w14:paraId="35DB12C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Каждый танк должен быть полностью укомплектован положенным ему ЗИПом.</w:t>
      </w:r>
    </w:p>
    <w:p w14:paraId="306D3C4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Перечень запасных агрегатов, деталей и материалов, подлежащих отправке вместе с каждым танком, прилагаю.</w:t>
      </w:r>
    </w:p>
    <w:p w14:paraId="69AF638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Подготовку танков к транспортировке необходимо провести особо тщательно с таким расчетом, чтобы избежать во время транспортировки морем коррозии металла танка и поломок.</w:t>
      </w:r>
    </w:p>
    <w:p w14:paraId="0889770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этого следует:</w:t>
      </w:r>
    </w:p>
    <w:p w14:paraId="1CA70FB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Тщательно подготовить танк к окраске и выкрасить его как внутри, так и снаружи не менее 3 раз.</w:t>
      </w:r>
    </w:p>
    <w:p w14:paraId="5013D69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Сменить масло из двигателя, промыть баки и заправить свежим маслом.</w:t>
      </w:r>
    </w:p>
    <w:p w14:paraId="241B841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Заменить масло в коробке перемены передач и бортовых передачах.</w:t>
      </w:r>
    </w:p>
    <w:p w14:paraId="4EA84E0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Заправить полностью все топливные баки.</w:t>
      </w:r>
    </w:p>
    <w:p w14:paraId="29C59E2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Тщательно вычистить танк как внутри, так и снаружи.</w:t>
      </w:r>
    </w:p>
    <w:p w14:paraId="1D505E6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Полностью зарядить баллоны воздухопуска.</w:t>
      </w:r>
    </w:p>
    <w:p w14:paraId="2F42B6B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Снять заряженные аккумуляторы и установить аккумуляторы без электролита.</w:t>
      </w:r>
    </w:p>
    <w:p w14:paraId="2D694D4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Инструмент и возимое имущество с крыльев и из ящиков на крыльях снять и уложить в башне.</w:t>
      </w:r>
    </w:p>
    <w:p w14:paraId="3BC63D6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Снять пулеметы, смазать их и уложить внутри танка.</w:t>
      </w:r>
    </w:p>
    <w:p w14:paraId="3F2DD95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Наложить густой слой солидола на воротники балансиров, крышки и сальниковые кольца катков ведущего колеса и ленивца.</w:t>
      </w:r>
    </w:p>
    <w:p w14:paraId="5CF7479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Промазать солидолом люки днища.</w:t>
      </w:r>
    </w:p>
    <w:p w14:paraId="1582C1D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Подвесить внутри тапка несколько марлевых мешочков с хлористым кальцием.</w:t>
      </w:r>
    </w:p>
    <w:p w14:paraId="5453990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Заклеить снаружи клеенкой или полотняной калькой, покрытой лаком:</w:t>
      </w:r>
    </w:p>
    <w:p w14:paraId="2623147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Смотровой лючок водителя;</w:t>
      </w:r>
    </w:p>
    <w:p w14:paraId="2AD4C810"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Отверстия засоса и выхода воздуха;</w:t>
      </w:r>
    </w:p>
    <w:p w14:paraId="400BD57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Отверстия для зеркалов и смотровые щели и щели колпаков перископа;</w:t>
      </w:r>
    </w:p>
    <w:p w14:paraId="210842C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Щель между подбашенным кольцом и башней;</w:t>
      </w:r>
    </w:p>
    <w:p w14:paraId="54F6369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Шаровые установки пулеметов, бронировку маски и пушку; е) Люки лазы, люки трансмиссии и люк над мотором. 13. К каждому танку должно быть приложено:</w:t>
      </w:r>
    </w:p>
    <w:p w14:paraId="0498189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Наставление по танку.</w:t>
      </w:r>
    </w:p>
    <w:p w14:paraId="59F4305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Наставление по двигателю.</w:t>
      </w:r>
    </w:p>
    <w:p w14:paraId="07F08C5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Инструкция по эксплуатации.</w:t>
      </w:r>
    </w:p>
    <w:p w14:paraId="3244F20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Наставление по пушке и пулемету.</w:t>
      </w:r>
    </w:p>
    <w:p w14:paraId="1A0592C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Комплект чертежей, включающий только общие виды и сборочные чертежи.</w:t>
      </w:r>
    </w:p>
    <w:p w14:paraId="62DD3B9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Запасные части по прилагаемой ведомости. Приложение: ведомость запасных частей на 3 листах.</w:t>
      </w:r>
    </w:p>
    <w:p w14:paraId="5C4381B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ГАБТУ КА генерал-майор Лебедев</w:t>
      </w:r>
    </w:p>
    <w:p w14:paraId="24D356D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комиссар БТУ ГАБТУ КА полковой комиссар Воробьев</w:t>
      </w:r>
    </w:p>
    <w:p w14:paraId="5AB7536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11355. Д. 936. Л. 47-48. Копия (11211).</w:t>
      </w:r>
    </w:p>
    <w:p w14:paraId="460702A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FD02D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вышло Постановление ГКО № 1955 О распространении действия постановления ГОКО от 2 июля 1942 г. за № 1948сс "Об ответственности железнодорожных служащих за сохранность перевозимых по железным дорогам народнохозяйственных грузов в военное время" и на служащих морских и речных пароходств СССР. (7039, 108).</w:t>
      </w:r>
    </w:p>
    <w:p w14:paraId="266344A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4DA4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вышло Постановление ГКО № 1957 О расследовании Прокуратурой СССР фактов ухудшения качества части танков Т-34, выпущенных СТЗ, в результате применения новой неразрешенной конструкции бортовой передачи. РГАНИР, Фонд ГКО, д. 40, лл. 110 (11012).</w:t>
      </w:r>
    </w:p>
    <w:p w14:paraId="42A2B5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2FD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вышло Постановление ГКО № 1958 О производстве танков Т-34 и Т-70. РГАНИР, Фонд ГКО, д. 40, лл. 111 (11012).</w:t>
      </w:r>
    </w:p>
    <w:p w14:paraId="14767C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B8679" w14:textId="77777777" w:rsidR="00B01B21" w:rsidRPr="00722885" w:rsidRDefault="00B01B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3 июля 1942 года было подписано постановление ГКО № 1598сс, в котором среди прочего, был и пункт о развертывании в месячный срок производства танков Т-34 на Челябин</w:t>
      </w:r>
      <w:r w:rsidRPr="00722885">
        <w:rPr>
          <w:rFonts w:ascii="Times New Roman" w:cs="Times New Roman"/>
          <w:color w:val="000000" w:themeColor="text1"/>
          <w:spacing w:val="0"/>
        </w:rPr>
        <w:softHyphen/>
        <w:t>ском Кировском заводе. При этом произ</w:t>
      </w:r>
      <w:r w:rsidRPr="00722885">
        <w:rPr>
          <w:rFonts w:ascii="Times New Roman" w:cs="Times New Roman"/>
          <w:color w:val="000000" w:themeColor="text1"/>
          <w:spacing w:val="0"/>
        </w:rPr>
        <w:softHyphen/>
        <w:t xml:space="preserve">водство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существенно сокращалось. Ру</w:t>
      </w:r>
      <w:r w:rsidRPr="00722885">
        <w:rPr>
          <w:rFonts w:ascii="Times New Roman" w:cs="Times New Roman"/>
          <w:color w:val="000000" w:themeColor="text1"/>
          <w:spacing w:val="0"/>
        </w:rPr>
        <w:softHyphen/>
        <w:t>ководство ЧКЗ пыталось отстоять выпуск тяжелых танков, обещая увеличить их про</w:t>
      </w:r>
      <w:r w:rsidRPr="00722885">
        <w:rPr>
          <w:rFonts w:ascii="Times New Roman" w:cs="Times New Roman"/>
          <w:color w:val="000000" w:themeColor="text1"/>
          <w:spacing w:val="0"/>
        </w:rPr>
        <w:softHyphen/>
        <w:t>изводство и улучшить качество, но реше</w:t>
      </w:r>
      <w:r w:rsidRPr="00722885">
        <w:rPr>
          <w:rFonts w:ascii="Times New Roman" w:cs="Times New Roman"/>
          <w:color w:val="000000" w:themeColor="text1"/>
          <w:spacing w:val="0"/>
        </w:rPr>
        <w:softHyphen/>
        <w:t>ние руководства страны было непоколеби</w:t>
      </w:r>
      <w:r w:rsidRPr="00722885">
        <w:rPr>
          <w:rFonts w:ascii="Times New Roman" w:cs="Times New Roman"/>
          <w:color w:val="000000" w:themeColor="text1"/>
          <w:spacing w:val="0"/>
        </w:rPr>
        <w:softHyphen/>
        <w:t>мым - армии нужны танки и в большом ко</w:t>
      </w:r>
      <w:r w:rsidRPr="00722885">
        <w:rPr>
          <w:rFonts w:ascii="Times New Roman" w:cs="Times New Roman"/>
          <w:color w:val="000000" w:themeColor="text1"/>
          <w:spacing w:val="0"/>
        </w:rPr>
        <w:softHyphen/>
        <w:t>личестве. Естественно, такое решение потребова</w:t>
      </w:r>
      <w:r w:rsidRPr="00722885">
        <w:rPr>
          <w:rFonts w:ascii="Times New Roman" w:cs="Times New Roman"/>
          <w:color w:val="000000" w:themeColor="text1"/>
          <w:spacing w:val="0"/>
        </w:rPr>
        <w:softHyphen/>
        <w:t>ло существенной перестройки работы всего завода - тридцатьчетверка для челябинцев была машиной новой и незнакомой. При</w:t>
      </w:r>
      <w:r w:rsidRPr="00722885">
        <w:rPr>
          <w:rFonts w:ascii="Times New Roman" w:cs="Times New Roman"/>
          <w:color w:val="000000" w:themeColor="text1"/>
          <w:spacing w:val="0"/>
        </w:rPr>
        <w:softHyphen/>
        <w:t>шлось в спешном порядке разрабатывать техпроцессы, переставлять оборудование. На ЧКЗ сборку танков Т-34 решили ве</w:t>
      </w:r>
      <w:r w:rsidRPr="00722885">
        <w:rPr>
          <w:rFonts w:ascii="Times New Roman" w:cs="Times New Roman"/>
          <w:color w:val="000000" w:themeColor="text1"/>
          <w:spacing w:val="0"/>
        </w:rPr>
        <w:softHyphen/>
        <w:t>сти на месте бывшего главного конвейера гусеничных тракторов С-65. Этот цех лег</w:t>
      </w:r>
      <w:r w:rsidRPr="00722885">
        <w:rPr>
          <w:rFonts w:ascii="Times New Roman" w:cs="Times New Roman"/>
          <w:color w:val="000000" w:themeColor="text1"/>
          <w:spacing w:val="0"/>
        </w:rPr>
        <w:softHyphen/>
        <w:t>че, чем другие, можно было переоборудовать для изготовления нового типа танка. Для ор</w:t>
      </w:r>
      <w:r w:rsidRPr="00722885">
        <w:rPr>
          <w:rFonts w:ascii="Times New Roman" w:cs="Times New Roman"/>
          <w:color w:val="000000" w:themeColor="text1"/>
          <w:spacing w:val="0"/>
        </w:rPr>
        <w:softHyphen/>
        <w:t>ганизации производства Т-34 конструкто</w:t>
      </w:r>
      <w:r w:rsidRPr="00722885">
        <w:rPr>
          <w:rFonts w:ascii="Times New Roman" w:cs="Times New Roman"/>
          <w:color w:val="000000" w:themeColor="text1"/>
          <w:spacing w:val="0"/>
        </w:rPr>
        <w:softHyphen/>
        <w:t>рам и технологам ЧКЗ пришлось в предельно сжатые сроки заново разработать технологию более двух тысяч деталей, свыше 500 штам</w:t>
      </w:r>
      <w:r w:rsidRPr="00722885">
        <w:rPr>
          <w:rFonts w:ascii="Times New Roman" w:cs="Times New Roman"/>
          <w:color w:val="000000" w:themeColor="text1"/>
          <w:spacing w:val="0"/>
        </w:rPr>
        <w:softHyphen/>
        <w:t>пов, более пяти тысяч различных приспо</w:t>
      </w:r>
      <w:r w:rsidRPr="00722885">
        <w:rPr>
          <w:rFonts w:ascii="Times New Roman" w:cs="Times New Roman"/>
          <w:color w:val="000000" w:themeColor="text1"/>
          <w:spacing w:val="0"/>
        </w:rPr>
        <w:softHyphen/>
        <w:t>соблений. Все это требовало чрезвычайного напряжения всех ресурсов и сил работников завода. В результате, в августе из ворот ЧКЗ вышло 30 «тридцатьчетверок», а в сентябре Красная Армия получила уже 220 танков Т-34 челябинской сборки. В дальнейшем вы</w:t>
      </w:r>
      <w:r w:rsidRPr="00722885">
        <w:rPr>
          <w:rFonts w:ascii="Times New Roman" w:cs="Times New Roman"/>
          <w:color w:val="000000" w:themeColor="text1"/>
          <w:spacing w:val="0"/>
        </w:rPr>
        <w:softHyphen/>
        <w:t>пуск Т-34 на ЧКЗ продолжал расти. При этом около 75% оборудования Кировского завода было задействовано на производстве танков Т-34, на остальных мощностях производился тяжелый танк КВ (15226).</w:t>
      </w:r>
    </w:p>
    <w:p w14:paraId="09828B74" w14:textId="77777777" w:rsidR="00B01B21" w:rsidRPr="00722885" w:rsidRDefault="00B01B21" w:rsidP="00722885">
      <w:pPr>
        <w:pStyle w:val="27"/>
        <w:shd w:val="clear" w:color="auto" w:fill="auto"/>
        <w:spacing w:after="0" w:line="240" w:lineRule="auto"/>
        <w:ind w:firstLine="0"/>
        <w:rPr>
          <w:rFonts w:ascii="Times New Roman" w:cs="Times New Roman"/>
          <w:color w:val="000000" w:themeColor="text1"/>
          <w:spacing w:val="0"/>
        </w:rPr>
      </w:pPr>
    </w:p>
    <w:p w14:paraId="702C9D28" w14:textId="77777777" w:rsidR="00C40D73" w:rsidRPr="00722885" w:rsidRDefault="00C40D73"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3 июля 1942 вышло постановление ГКО № 1958сс «О производстве танков Т-34 и Т-70» (постановление написано Сталиным собствен</w:t>
      </w:r>
      <w:r w:rsidRPr="00722885">
        <w:rPr>
          <w:rFonts w:eastAsia="Calibri"/>
          <w:color w:val="000000" w:themeColor="text1"/>
          <w:sz w:val="16"/>
          <w:szCs w:val="16"/>
        </w:rPr>
        <w:softHyphen/>
        <w:t>норучно), продублированное на следующий день в приказе НКТП № 499сс:</w:t>
      </w:r>
    </w:p>
    <w:p w14:paraId="7A95F453"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Директорам заводов №37 (т. Фрезерову), №264 (т. Кордкнеру) с 5 июля прекратить изготовление танков Т-60. Сохранить оснастку и часть мощностей для изготовления запасных частей к танку Т-60.</w:t>
      </w:r>
    </w:p>
    <w:p w14:paraId="65CB0A76" w14:textId="77777777" w:rsidR="00C40D73" w:rsidRPr="00722885" w:rsidRDefault="00C40D73" w:rsidP="00722885">
      <w:pPr>
        <w:tabs>
          <w:tab w:val="left" w:pos="145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Директору завода № 37(т. Фрезерову) развернуть подготовку про</w:t>
      </w:r>
      <w:r w:rsidRPr="00722885">
        <w:rPr>
          <w:rFonts w:ascii="Times New Roman" w:hAnsi="Times New Roman"/>
          <w:color w:val="000000" w:themeColor="text1"/>
          <w:sz w:val="16"/>
          <w:szCs w:val="16"/>
        </w:rPr>
        <w:softHyphen/>
        <w:t>изводства к выпуску танков Т-70 и обеспечить выпуск в июле месяце 25 танков Т- 70 по следующему суточному графику:</w:t>
      </w:r>
    </w:p>
    <w:p w14:paraId="395D49E1" w14:textId="77777777" w:rsidR="00C40D73" w:rsidRPr="00722885" w:rsidRDefault="00C40D73" w:rsidP="00722885">
      <w:pPr>
        <w:tabs>
          <w:tab w:val="left" w:pos="173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lastRenderedPageBreak/>
        <w:t>II</w:t>
      </w:r>
      <w:r w:rsidRPr="00722885">
        <w:rPr>
          <w:rFonts w:ascii="Times New Roman" w:hAnsi="Times New Roman"/>
          <w:color w:val="000000" w:themeColor="text1"/>
          <w:sz w:val="16"/>
          <w:szCs w:val="16"/>
        </w:rPr>
        <w:t>. декада — 5 штук.</w:t>
      </w:r>
    </w:p>
    <w:p w14:paraId="4AE7FDA0" w14:textId="77777777" w:rsidR="00C40D73" w:rsidRPr="00722885" w:rsidRDefault="00C40D73" w:rsidP="00722885">
      <w:pPr>
        <w:tabs>
          <w:tab w:val="left" w:pos="1827"/>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III</w:t>
      </w:r>
      <w:r w:rsidRPr="00722885">
        <w:rPr>
          <w:rFonts w:ascii="Times New Roman" w:hAnsi="Times New Roman"/>
          <w:color w:val="000000" w:themeColor="text1"/>
          <w:sz w:val="16"/>
          <w:szCs w:val="16"/>
        </w:rPr>
        <w:t>. декада — по 2 штуки в день.</w:t>
      </w:r>
    </w:p>
    <w:p w14:paraId="40F9C881"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Имеющийся задел по танкам Т-60 сдать в запасные части ТАБТУ в счет плана, а имеющийся задел по корпусам танков Т-60, не могущий быть использован для танков Т- 70, законсервировать.</w:t>
      </w:r>
    </w:p>
    <w:p w14:paraId="498DCD7C" w14:textId="77777777" w:rsidR="00C40D73" w:rsidRPr="00722885" w:rsidRDefault="00C40D73" w:rsidP="00722885">
      <w:pPr>
        <w:tabs>
          <w:tab w:val="left" w:pos="143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Директору завода № 264освободившиеся от производства Т-бОмощ- ности использовать для производства узлов и деталей для завода СТЗ по производству танков Т-34 и дизелей.</w:t>
      </w:r>
    </w:p>
    <w:p w14:paraId="6010F8F8"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Учесть, что часть оборудования моим дополнительным распоряжени</w:t>
      </w:r>
      <w:r w:rsidRPr="00722885">
        <w:rPr>
          <w:rFonts w:ascii="Times New Roman" w:hAnsi="Times New Roman"/>
          <w:color w:val="000000" w:themeColor="text1"/>
          <w:sz w:val="16"/>
          <w:szCs w:val="16"/>
        </w:rPr>
        <w:softHyphen/>
        <w:t>ем будет изъята с завода и передана другим заводам, производящим танки Т-34 и дизеля.</w:t>
      </w:r>
    </w:p>
    <w:p w14:paraId="062C23A7"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Оставшийся задел по танкам Т-60 сдать в запасные части в счет пла</w:t>
      </w:r>
      <w:r w:rsidRPr="00722885">
        <w:rPr>
          <w:rFonts w:ascii="Times New Roman" w:hAnsi="Times New Roman"/>
          <w:color w:val="000000" w:themeColor="text1"/>
          <w:sz w:val="16"/>
          <w:szCs w:val="16"/>
        </w:rPr>
        <w:softHyphen/>
        <w:t>на, имеющийся задел готовых корпусов законсервировать.</w:t>
      </w:r>
    </w:p>
    <w:p w14:paraId="6660842C" w14:textId="77777777" w:rsidR="00C40D73" w:rsidRPr="00722885" w:rsidRDefault="00C40D73" w:rsidP="00722885">
      <w:pPr>
        <w:tabs>
          <w:tab w:val="left" w:pos="147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Моему заместителю т. Торегляд немедленно выехать в Сталинград и на месте установить объем кооперации и изготовления деталей танка Т-34 и дизелей между заводами СТЗ и № 264.</w:t>
      </w:r>
    </w:p>
    <w:p w14:paraId="1FBB8944"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Разрешить использование механического оборудования, освободивше</w:t>
      </w:r>
      <w:r w:rsidRPr="00722885">
        <w:rPr>
          <w:rFonts w:ascii="Times New Roman" w:hAnsi="Times New Roman"/>
          <w:color w:val="000000" w:themeColor="text1"/>
          <w:sz w:val="16"/>
          <w:szCs w:val="16"/>
        </w:rPr>
        <w:softHyphen/>
        <w:t>гося от производства танков Т-60, на увеличение производства корпусов танков Т-34» (17485).</w:t>
      </w:r>
    </w:p>
    <w:p w14:paraId="788DC426" w14:textId="77777777" w:rsidR="00C40D73" w:rsidRPr="00722885" w:rsidRDefault="00C40D73" w:rsidP="00722885">
      <w:pPr>
        <w:spacing w:after="0" w:line="240" w:lineRule="auto"/>
        <w:jc w:val="both"/>
        <w:rPr>
          <w:rFonts w:ascii="Times New Roman" w:hAnsi="Times New Roman"/>
          <w:color w:val="000000" w:themeColor="text1"/>
          <w:sz w:val="16"/>
          <w:szCs w:val="16"/>
        </w:rPr>
      </w:pPr>
    </w:p>
    <w:p w14:paraId="71AAECD3"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 июля 1942 года вышло постановление ГКО №1958 «О танках Т-34 и Т-70», согласно которому на ЧКЗ организовывалось производство Т-34. Все силы предприятия были брошены на новое задание, ради него пришлось сократить выпуск КВ-1. Организация производства Т-34 сильно повлияла на работы по КВ-1с, что же касается КВ-13, то активность по нему и вовсе на время затихла. Больше того, появилась угроза окончательного закрытия программы (17637).</w:t>
      </w:r>
    </w:p>
    <w:p w14:paraId="454C40C8" w14:textId="77777777" w:rsidR="00B33D31" w:rsidRPr="00722885"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195E0250"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 июля 1942 вышло постановление ГКО № 1958сс «О производстве танков Т-34 и Т-70». Согласно ему завод № 264 с 5 июля прекращал выпуск Т-60, сконцентрировавшись на выпуске корпусов и башен для Т-34. Решение было абсолютно верным: к тому моменту уже вовсю шел выпуск Т-70, а СТЗ корпуса «тридцатьчетвёрок» были нужны как воздух. Тем не менее заводу № 264 удалось в июле сдать ещё 51 танк Т-60. Из-за несвоевременного поступления двигателей с ГАЗ и траков с СТЗ доукомплектование последних Т-60 закончилась 26 июля.</w:t>
      </w:r>
    </w:p>
    <w:p w14:paraId="468B7FBE"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Большинство танков июльского выпуска было отправлено на комплектование частей Сталинградского и Воронежского фронтов. Часть башен Т-60 из задела была использована в качестве неподвижных огневых точек. Несмотря на все трудности, завод № 264 оказался на втором месте по числу выпущенных Т-60: всего в Красноармейске было построено 1174 таких танка (17677).</w:t>
      </w:r>
    </w:p>
    <w:p w14:paraId="70B07D34" w14:textId="77777777" w:rsidR="00B33D31" w:rsidRPr="00722885"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5E0C1919" w14:textId="77777777" w:rsidR="00AD4360" w:rsidRPr="00722885" w:rsidRDefault="00AD4360" w:rsidP="00722885">
      <w:pPr>
        <w:shd w:val="clear" w:color="auto" w:fill="FFFFFF"/>
        <w:spacing w:after="0" w:line="240" w:lineRule="auto"/>
        <w:jc w:val="both"/>
        <w:rPr>
          <w:rFonts w:ascii="Times New Roman" w:hAnsi="Times New Roman"/>
          <w:color w:val="0070C0"/>
          <w:sz w:val="16"/>
          <w:szCs w:val="16"/>
        </w:rPr>
      </w:pPr>
      <w:r w:rsidRPr="00722885">
        <w:rPr>
          <w:rStyle w:val="920"/>
          <w:rFonts w:ascii="Times New Roman" w:hAnsi="Times New Roman" w:cs="Times New Roman"/>
          <w:color w:val="0070C0"/>
          <w:sz w:val="16"/>
          <w:szCs w:val="16"/>
        </w:rPr>
        <w:t>3 июля 1942 года вышло постановление ГКО № 1958 «О танках Т-34 и Т-70», согласно которому на ЧКЗ организовы</w:t>
      </w:r>
      <w:r w:rsidRPr="00722885">
        <w:rPr>
          <w:rStyle w:val="920"/>
          <w:rFonts w:ascii="Times New Roman" w:hAnsi="Times New Roman" w:cs="Times New Roman"/>
          <w:color w:val="0070C0"/>
          <w:sz w:val="16"/>
          <w:szCs w:val="16"/>
        </w:rPr>
        <w:softHyphen/>
        <w:t>валось производство Т-34. Ради нового танка Зальцман, которого назначили вместо Малы</w:t>
      </w:r>
      <w:r w:rsidRPr="00722885">
        <w:rPr>
          <w:rStyle w:val="920"/>
          <w:rFonts w:ascii="Times New Roman" w:hAnsi="Times New Roman" w:cs="Times New Roman"/>
          <w:color w:val="0070C0"/>
          <w:sz w:val="16"/>
          <w:szCs w:val="16"/>
        </w:rPr>
        <w:softHyphen/>
        <w:t>шева наркомом танковой промышленности, был вынужден сильно сократить выпуск КВ-1, а затем и КВ-1с. КВ-13 и вовсе «поставили на паузу». Все эти изменения фатально сказа</w:t>
      </w:r>
      <w:r w:rsidRPr="00722885">
        <w:rPr>
          <w:rStyle w:val="920"/>
          <w:rFonts w:ascii="Times New Roman" w:hAnsi="Times New Roman" w:cs="Times New Roman"/>
          <w:color w:val="0070C0"/>
          <w:sz w:val="16"/>
          <w:szCs w:val="16"/>
        </w:rPr>
        <w:softHyphen/>
        <w:t>лись на здоровье Цейца, который очень пере</w:t>
      </w:r>
      <w:r w:rsidRPr="00722885">
        <w:rPr>
          <w:rStyle w:val="920"/>
          <w:rFonts w:ascii="Times New Roman" w:hAnsi="Times New Roman" w:cs="Times New Roman"/>
          <w:color w:val="0070C0"/>
          <w:sz w:val="16"/>
          <w:szCs w:val="16"/>
        </w:rPr>
        <w:softHyphen/>
        <w:t>живал за свою машину. 12 июля 1942 года он умер на рабочем месте.</w:t>
      </w:r>
    </w:p>
    <w:p w14:paraId="112BC082" w14:textId="77777777" w:rsidR="00AD4360" w:rsidRPr="00722885" w:rsidRDefault="00AD4360" w:rsidP="00722885">
      <w:pPr>
        <w:pStyle w:val="1162"/>
        <w:shd w:val="clear" w:color="auto" w:fill="auto"/>
        <w:spacing w:after="0" w:line="240" w:lineRule="auto"/>
        <w:ind w:firstLine="0"/>
        <w:jc w:val="both"/>
        <w:rPr>
          <w:rStyle w:val="930"/>
          <w:rFonts w:ascii="Times New Roman" w:hAnsi="Times New Roman" w:cs="Times New Roman"/>
          <w:color w:val="0070C0"/>
          <w:sz w:val="16"/>
          <w:szCs w:val="16"/>
        </w:rPr>
      </w:pPr>
      <w:r w:rsidRPr="00722885">
        <w:rPr>
          <w:rStyle w:val="930"/>
          <w:rFonts w:ascii="Times New Roman" w:hAnsi="Times New Roman" w:cs="Times New Roman"/>
          <w:color w:val="0070C0"/>
          <w:sz w:val="16"/>
          <w:szCs w:val="16"/>
        </w:rPr>
        <w:t>После смерти Цейца ведущим инженером по КВ-13 стал Н.Ф. Шашмурин. Данный про</w:t>
      </w:r>
      <w:r w:rsidRPr="00722885">
        <w:rPr>
          <w:rStyle w:val="930"/>
          <w:rFonts w:ascii="Times New Roman" w:hAnsi="Times New Roman" w:cs="Times New Roman"/>
          <w:color w:val="0070C0"/>
          <w:sz w:val="16"/>
          <w:szCs w:val="16"/>
        </w:rPr>
        <w:softHyphen/>
        <w:t>ект он очень не любил, поскольку считал, что машина не является полноценным тяжелым танком</w:t>
      </w:r>
      <w:r w:rsidRPr="00722885">
        <w:rPr>
          <w:rStyle w:val="930"/>
          <w:rFonts w:ascii="Times New Roman" w:hAnsi="Times New Roman" w:cs="Times New Roman"/>
          <w:color w:val="0070C0"/>
          <w:sz w:val="16"/>
          <w:szCs w:val="16"/>
          <w:lang w:val="ru-RU"/>
        </w:rPr>
        <w:t xml:space="preserve"> (19872)</w:t>
      </w:r>
      <w:r w:rsidRPr="00722885">
        <w:rPr>
          <w:rStyle w:val="930"/>
          <w:rFonts w:ascii="Times New Roman" w:hAnsi="Times New Roman" w:cs="Times New Roman"/>
          <w:color w:val="0070C0"/>
          <w:sz w:val="16"/>
          <w:szCs w:val="16"/>
        </w:rPr>
        <w:t>.</w:t>
      </w:r>
    </w:p>
    <w:p w14:paraId="5684F6B8" w14:textId="77777777" w:rsidR="00AD4360" w:rsidRPr="00722885" w:rsidRDefault="00AD4360" w:rsidP="00722885">
      <w:pPr>
        <w:pStyle w:val="1162"/>
        <w:shd w:val="clear" w:color="auto" w:fill="auto"/>
        <w:spacing w:after="0" w:line="240" w:lineRule="auto"/>
        <w:ind w:firstLine="0"/>
        <w:jc w:val="both"/>
        <w:rPr>
          <w:rStyle w:val="930"/>
          <w:rFonts w:ascii="Times New Roman" w:hAnsi="Times New Roman" w:cs="Times New Roman"/>
          <w:color w:val="0070C0"/>
          <w:sz w:val="16"/>
          <w:szCs w:val="16"/>
        </w:rPr>
      </w:pPr>
    </w:p>
    <w:p w14:paraId="45F9D339"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июля 1942 г.</w:t>
      </w:r>
    </w:p>
    <w:p w14:paraId="1C291E81"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91 лист 207</w:t>
      </w:r>
    </w:p>
    <w:p w14:paraId="70840ACF"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149FA023"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ПО НАРОДНОМУ КОМИССАРИАТУ ТАНКОВОЙ ПРОМЫШЛЕННОСТИ СОЮЗА ССР № 498с</w:t>
      </w:r>
    </w:p>
    <w:p w14:paraId="4ACF18C9"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05F6A819"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июля 1942 г.</w:t>
      </w:r>
    </w:p>
    <w:p w14:paraId="629B68B9"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отработки конструкции катковых минных тралов ПРИКАЗЫВАЮ:</w:t>
      </w:r>
    </w:p>
    <w:p w14:paraId="7F0D7066"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Главному инженеру Кировского завода т. Махонину и директору завода № 100 т. Ворошилову – изготовить к 1-му августа опытную партию катковых минных тралов, унифицированных для танков КВ-1 и Т-34, в количестве 3 шт.</w:t>
      </w:r>
    </w:p>
    <w:p w14:paraId="419DE82C"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Главному инженеру Кировского завода т. Махонину:</w:t>
      </w:r>
    </w:p>
    <w:p w14:paraId="61E0C835"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при проектировании использовать конструкции катковых минных тралов, ранее разработанных Кировским заводом, НАТИ и заводом № 174.</w:t>
      </w:r>
    </w:p>
    <w:p w14:paraId="076D8C7F"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испытания тралов провести с представителями ГАБТУ КА, закончить их к 10-му августа и отчет представить на утверждение не позднее 12-го августа с.г.</w:t>
      </w:r>
    </w:p>
    <w:p w14:paraId="10B3A58D"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2-му отделу НКТП разработать и согласовать с ГАБТУ КА программу испытания тралов.</w:t>
      </w:r>
    </w:p>
    <w:p w14:paraId="56E2DBA7"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Контроль за выполнением данного приказа возлагаю на т. Гинзбурга.</w:t>
      </w:r>
    </w:p>
    <w:p w14:paraId="58116FCE"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ЗАМЕСТИТЕЛЬ НАРОДНОГО КОМИССАР ТАНКОВОЙ ПРОМЫШЛЕННОСТИ СОЮЗА ССР:</w:t>
      </w:r>
    </w:p>
    <w:p w14:paraId="2FFB1F62"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подпись (СТЕПАНОВ) (21211).</w:t>
      </w:r>
    </w:p>
    <w:p w14:paraId="4FEFBB82" w14:textId="77777777" w:rsidR="00AD4360" w:rsidRPr="00722885" w:rsidRDefault="00AD4360" w:rsidP="00722885">
      <w:pPr>
        <w:spacing w:after="0" w:line="240" w:lineRule="auto"/>
        <w:jc w:val="both"/>
        <w:rPr>
          <w:rFonts w:ascii="Times New Roman" w:hAnsi="Times New Roman"/>
          <w:color w:val="0070C0"/>
          <w:sz w:val="16"/>
          <w:szCs w:val="16"/>
        </w:rPr>
      </w:pPr>
    </w:p>
    <w:p w14:paraId="3DC02449" w14:textId="77777777" w:rsidR="00C40D73" w:rsidRPr="00722885" w:rsidRDefault="00C40D73"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3 июля 1942 было готово заключение 4-го отдела ГВХУ КА (Главное военно-химическое управление Красной Армии) по разработанному на ЧТЗ в конце июня 1942 года проекту ГХП:</w:t>
      </w:r>
    </w:p>
    <w:p w14:paraId="0F3CC9AF"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«КБ завода 200 предлагает конструкцию гусеничного химического при</w:t>
      </w:r>
      <w:r w:rsidRPr="00722885">
        <w:rPr>
          <w:rFonts w:ascii="Times New Roman" w:hAnsi="Times New Roman"/>
          <w:color w:val="000000" w:themeColor="text1"/>
          <w:sz w:val="16"/>
          <w:szCs w:val="16"/>
        </w:rPr>
        <w:softHyphen/>
        <w:t>цепа к танкам «КБ» и «Т-34». ГХП предназначен для заражения мест</w:t>
      </w:r>
      <w:r w:rsidRPr="00722885">
        <w:rPr>
          <w:rFonts w:ascii="Times New Roman" w:hAnsi="Times New Roman"/>
          <w:color w:val="000000" w:themeColor="text1"/>
          <w:sz w:val="16"/>
          <w:szCs w:val="16"/>
        </w:rPr>
        <w:softHyphen/>
        <w:t>ности СОВ, газопуска ВОВ, туманопуска СОВ, нейтрального дымопуска и дегазации местности.</w:t>
      </w:r>
    </w:p>
    <w:p w14:paraId="2A11E4CA"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Химическая аппаратура монтируется на прицепах типа десантных, разработанных и изготовленных заводом № 200 в виде опытных образцов.</w:t>
      </w:r>
    </w:p>
    <w:p w14:paraId="0B82E54A"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консультации с БТУ ГАБТУ КА установлена дефицитность с тра</w:t>
      </w:r>
      <w:r w:rsidRPr="00722885">
        <w:rPr>
          <w:rFonts w:ascii="Times New Roman" w:hAnsi="Times New Roman"/>
          <w:color w:val="000000" w:themeColor="text1"/>
          <w:sz w:val="16"/>
          <w:szCs w:val="16"/>
        </w:rPr>
        <w:softHyphen/>
        <w:t>ками, качественными сталями для подвесок и подшипников для танко</w:t>
      </w:r>
      <w:r w:rsidRPr="00722885">
        <w:rPr>
          <w:rFonts w:ascii="Times New Roman" w:hAnsi="Times New Roman"/>
          <w:color w:val="000000" w:themeColor="text1"/>
          <w:sz w:val="16"/>
          <w:szCs w:val="16"/>
        </w:rPr>
        <w:softHyphen/>
        <w:t>строения Основным направлением к проектированию танковых прицепов решено идти по линии создания в массовом количестве танковых прицепов-воло- куш, с меньшей емкостью химической аппаратуры, чем можно получить на базе гусеничного прицепа, но с отсутствием дефицитных материалов, деталей и дешевизной в изготовлении.</w:t>
      </w:r>
    </w:p>
    <w:p w14:paraId="37A2FB6F"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Химический прицеп-волокуша предполагает более широкое тактиче</w:t>
      </w:r>
      <w:r w:rsidRPr="00722885">
        <w:rPr>
          <w:rFonts w:ascii="Times New Roman" w:hAnsi="Times New Roman"/>
          <w:color w:val="000000" w:themeColor="text1"/>
          <w:sz w:val="16"/>
          <w:szCs w:val="16"/>
        </w:rPr>
        <w:softHyphen/>
        <w:t>ское применение, чем ГХП.</w:t>
      </w:r>
    </w:p>
    <w:p w14:paraId="0294A9F8"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1C493E00" w14:textId="77777777" w:rsidR="00C40D73" w:rsidRPr="00722885" w:rsidRDefault="00C40D73" w:rsidP="00722885">
      <w:pPr>
        <w:tabs>
          <w:tab w:val="left" w:pos="547"/>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Предполагаемый гусеничный химический прицеп ввиду дефицитно</w:t>
      </w:r>
      <w:r w:rsidRPr="00722885">
        <w:rPr>
          <w:rFonts w:ascii="Times New Roman" w:hAnsi="Times New Roman"/>
          <w:color w:val="000000" w:themeColor="text1"/>
          <w:sz w:val="16"/>
          <w:szCs w:val="16"/>
        </w:rPr>
        <w:softHyphen/>
        <w:t>сти ряда материалов и деталей ходовой части прицепа — принятым для изготовления опытных образцов быть не может.</w:t>
      </w:r>
    </w:p>
    <w:p w14:paraId="40DC549A" w14:textId="77777777" w:rsidR="00C40D73" w:rsidRPr="00722885" w:rsidRDefault="00C40D73" w:rsidP="00722885">
      <w:pPr>
        <w:tabs>
          <w:tab w:val="left" w:pos="51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 утверждении ТТТ на прицепы-волокуши, заводу будет выслан 1 экземпляр для проектирования» (17485).</w:t>
      </w:r>
    </w:p>
    <w:p w14:paraId="5FA6772D" w14:textId="77777777" w:rsidR="00C40D73" w:rsidRPr="00722885" w:rsidRDefault="00C40D73" w:rsidP="00722885">
      <w:pPr>
        <w:pStyle w:val="ae"/>
        <w:spacing w:before="0" w:after="0"/>
        <w:jc w:val="both"/>
        <w:rPr>
          <w:color w:val="000000" w:themeColor="text1"/>
          <w:sz w:val="16"/>
          <w:szCs w:val="16"/>
        </w:rPr>
      </w:pPr>
    </w:p>
    <w:p w14:paraId="1036F4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вышло Постановление ГКО № 1959 О назначении Малышева и Зернова. РГАНИР, Фонд ГКО, д. 40, лл. 112 (11012).</w:t>
      </w:r>
    </w:p>
    <w:p w14:paraId="274A10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40B20"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01DBA5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63B959"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 июля</w:t>
      </w:r>
      <w:r w:rsidRPr="00722885">
        <w:rPr>
          <w:rFonts w:ascii="Times New Roman" w:hAnsi="Times New Roman"/>
          <w:color w:val="000000" w:themeColor="text1"/>
          <w:sz w:val="16"/>
          <w:szCs w:val="16"/>
        </w:rPr>
        <w:t xml:space="preserve"> в 1942 году утреннее сообщение Совинформбюро:</w:t>
      </w:r>
    </w:p>
    <w:p w14:paraId="26CA8000"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 июля на Курском, Белгородском и Волчанском направлениях наши войска вели бои с противником.</w:t>
      </w:r>
    </w:p>
    <w:p w14:paraId="419D435C"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Севастопольском участке фронта продолжались бои на улицах города.</w:t>
      </w:r>
    </w:p>
    <w:p w14:paraId="492E0593"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0598BA7D"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Курском направлении идут напряжённые бои, в ходе которых наши войска наносят противнику большие потери. По неполным данным, только за одни сутки немцы потеряли убитыми несколько тысяч солдат и офицеров. Гитлеровцам ценою больших потерь удалось ворваться на южную окраину деревни Б. Наши бойцы подкомандованием тов. Бурдакова перешли в контратаку и отбросили противника. Немцы потеряли в этом бою убитыми и ранеными более 100 человек. Батарея лейтенанта Пискарёва в течение дня рассеяла и в значительной части уничтожила до двух батальонов пехоты противника.</w:t>
      </w:r>
    </w:p>
    <w:p w14:paraId="4F36F7F8"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Наша авиация, действующая на Курском направлении, уничтожила несколько десятков немецких танков, до 200 автомашин, 15 зенитных орудий и взорвала склад с боеприпасами противника. В воздушных боях советские лётчики сбили 20 немецких самолётов и 5 самолётов уничтожили на аэродромах.</w:t>
      </w:r>
    </w:p>
    <w:p w14:paraId="0AD3C588"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Батальон немецкой пехоты атаковал позиции одной нашей части. Гвардейцы-артиллеристы огнём своих орудий прижали гитлеровцев к земле и уничтожили 2 станковых пулемёта, миномётную батарею и 150 солдат и офицеров противника. На другом участке 3 немецких танка зашли в тыл орудийного расчёта Козырева. Метким огнём гвардеец-наводчик подбил два немецких танка. Третий танк противника повернул назад, но уйти ему не удалось. Одним из снарядов была разбита башня танка. Немецкие автоматчики соскочили с подбитых танков и пытались скрыться. Артиллеристы открыли огонь шрапнелью и уничтожили свыше 40 гитлеровцев.</w:t>
      </w:r>
    </w:p>
    <w:p w14:paraId="794D9D1D"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Миномётная батарея части, где командиром тов. Митрофанов, за последние дни уничтожила зенитное орудие противника, разбила 3 блиндажа, взорвала склад с боеприпасами, рассеяла и частью уничтожила до двух рот пехоты противника.</w:t>
      </w:r>
    </w:p>
    <w:p w14:paraId="31914FE8"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Разведывательная группа бойцов под командованием лейтенанта Игнатенкова, внезапно атаковав немцев, уничтожила 2 пулемёта и до 30 гитлеровцев.</w:t>
      </w:r>
    </w:p>
    <w:p w14:paraId="2EB34030"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Партизанский отряд «Смерть немецким оккупантам», действующий в одном из районов Орловской области, пустил под откос воинский эшелон противника. Разбито 14 вагонов с живой силой и 3 платформы с бронемашинами. Погибло при крушении до 300 оккупантов.</w:t>
      </w:r>
    </w:p>
    <w:p w14:paraId="2DB2412A"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Украинский партизанский отряд под командованием тов. М. в конце июня месяца разгромил роту эсэсовцев. Партизаны захватили у немцев 10 пулемётов, 81 винтовку, 2 миномёта, 7 пистолетов, 12.000 винтовочных патронов, обмундирование и другое военное имущество.</w:t>
      </w:r>
    </w:p>
    <w:p w14:paraId="2A7AA5ED"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Взятый в плен на Курском направлении солдат 45 немецкой пехотной дивизии Тюхлер заявил: «Приказ о наступлении солдаты встретили ропотом. Нас напоили водкой и погнали вперёд. Позади наступающей пехоты были расположены пулемёты, готовые открыть огонь по тому, кто остановится или повернёт назад. Когда начались приготовления к наступлению, два солдата из моей роты дезертировали. 30 июня наша рота была разгромлена и фактически перестала существовать. В ней осталось только 18 человек.</w:t>
      </w:r>
    </w:p>
    <w:p w14:paraId="3E3C3B61"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поле боя подобрано письмо немецкого военного врача Вальтера Баума к хирургу, проживающему во Франкфурте-на-Майне. В письме говорится: «...Я смертельно устал. Никогда и нигде еще врачу не приходилось так трудно, как нам в России. За три месяца я обслужил около 9 тысяч раненых и больных. Тяжелораненные — это обречённые люди. Они заживо гниют, и все смотрят на них как на обузу... Некоторые умоляют сестёр и врачей дать им яду и помочь раз и навсегда избавиться от страданий... Госпитали и лазареты набиты до отказа. Медикаментов нет. Каждый день мы отправляем на кладбище длинный транспорт гробов... Люди проехали тысячу с лишним километров, чтобы найти свою смерть на чужбине...Сплошное безумие».</w:t>
      </w:r>
    </w:p>
    <w:p w14:paraId="27BEE09D"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завод в Герстале (Бельгия), выпускавший продукцию для германской армии, был вынужден прекратить работу из-за недостатка меди.» (14941).</w:t>
      </w:r>
    </w:p>
    <w:p w14:paraId="60BBC1D9"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1E08815E"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 июля</w:t>
      </w:r>
      <w:r w:rsidRPr="00722885">
        <w:rPr>
          <w:rFonts w:ascii="Times New Roman" w:hAnsi="Times New Roman"/>
          <w:color w:val="000000" w:themeColor="text1"/>
          <w:sz w:val="16"/>
          <w:szCs w:val="16"/>
        </w:rPr>
        <w:t xml:space="preserve"> в 1942 году вечернее сообщение Совинформбюро:</w:t>
      </w:r>
    </w:p>
    <w:p w14:paraId="4757BD54"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 июля на Курском направлении наши войска отражали крупные и ожесточённые танковые атаки немецко-фашистских войск. Противник несёт огромные потери. За день боёв уничтожено более 250 танков и свыше 15.000 немецких солдат и офицеров.</w:t>
      </w:r>
    </w:p>
    <w:p w14:paraId="0C07129D"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Белгородском и Волчанском направлениях наши войска отражали атаки противника.</w:t>
      </w:r>
    </w:p>
    <w:p w14:paraId="0661D560"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восьмимесячной героической обороны наши войска оставилиСевастополь.</w:t>
      </w:r>
    </w:p>
    <w:p w14:paraId="72436A29"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1F4CA021"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 июля частями нашей авиации на различных участках фронта уничтожено или повреждено до 50 немецких танков, свыше 200 автомашин с войсками и грузами, подавлен огонь 6 батарей полевой и зенитной артиллерии, взорвано 3 склада с боеприпасами, сожжено 13 автоцистерн и бензозаправщиков, рассеяно и частью уничтожено до двух батальонов пехоты противника.</w:t>
      </w:r>
    </w:p>
    <w:p w14:paraId="59A7E7EE"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Волчанского направления немцы бросили в атаку против наших войск до 100 танков. Наши танкисты и бронебойщики стойко встретили вражеские машины. В результате боевых действий на поле боя осталось несколько десятков подбитых и горящих немецких танков.</w:t>
      </w:r>
    </w:p>
    <w:p w14:paraId="19797C6A"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Белгородского направления крупные силы пехоты противника, поддержанные танками, пытались прорвать нашу оборону. Наши войска отбили атаку немцев и нанесли им большой урон. На другом участке артиллеристы и танкисты уничтожили 27 танков и свыше 500 солдат и офицеров противника.</w:t>
      </w:r>
    </w:p>
    <w:p w14:paraId="64A6B803"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отдельных участках Западного фронта нашей артиллерией разрушены ДЗОТ, 7 блиндажей, уничтожены орудие, миномёт и взорвано два склада с боеприпасами противника.</w:t>
      </w:r>
    </w:p>
    <w:p w14:paraId="6AEE2C32"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Девятнадцать наших разведчиков под командованием лейтенанта Жученко (Калининский фронт) пробрались в тыл противника и устроили засаду в одном населённом пункте. На следующий день в этот населённый пункт пришло до 250 немцев. Несмотря на численное превосходство противника, разведчики решили вступить в бой. Первыми же выстрелами они уничтожили 17 гитлеровцев. Опомнившисьот внезапного удара, немцы пошли в атаку. Им удалось окружить дом, в котором находился лейтенант Жученко с группой бойцов. Отважные разведчики гранатами и огнём из автоматов уничтожили 80 гитлеровцев, прорвали вражеское кольцо и вернулись в свою часть.</w:t>
      </w:r>
    </w:p>
    <w:p w14:paraId="4E226396"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партизан, действующий в одном из районов Киевской области, устроил ночью завал на линии железной дороги. Когда поезд с немецкими войсками был вынужден остановиться, партизаны забросали вагоны гранатами, открыли огонь из пулемётов и уничтожили свыше 150 оккупантов.</w:t>
      </w:r>
    </w:p>
    <w:p w14:paraId="18536137"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Немецкий ефрейтор Шмидт писал недавно семье Флершингер в Дуденгофен: «Насколько легко нам было во Франции, настолько тяжело здесь. Недавно русские очень сильно обстреляли наш транспорт. До самого вечера мы хоронили убитых. Русские стреляют очень точно — это мы уже почувствовали... Последняя атака стоила нам тяжёлых потерь, и через три дня мы вынуждены были отступить. Многим не удалось выскочить живыми из землянок. На бумаге всего этого не опишешь. Я никому не желал бы попасть сюда».</w:t>
      </w:r>
    </w:p>
    <w:p w14:paraId="51C527C9"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Немецкий унтер-офицер Адольф Мертинг пишет своему брату Августу Мертингу в Шверин (Мекленбург): «Скоро тебя, вероятно, отправят в действующую армию. Да спасёт тебя судьба от России! Здесь нас повсюду подстерегает смерть, причём сейчас даже более опасно, чем в самые трудные зимние дни».</w:t>
      </w:r>
    </w:p>
    <w:p w14:paraId="13943BB0"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Среди населения Румынии за последнее время усилились антивоенные настроения. В Бухаресте полиция раскрыла подпольную организацию, в которую входили представители различных политических течений. Участники этой организации ставили перед собой задачу добиться выхода Румынии из войны. Организация имела типографию и склады с оружием.»</w:t>
      </w:r>
    </w:p>
    <w:p w14:paraId="38C29778"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 дней героической обороны Севастополя.</w:t>
      </w:r>
    </w:p>
    <w:p w14:paraId="1C39A9D7"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оставили Севастополь.</w:t>
      </w:r>
    </w:p>
    <w:p w14:paraId="6B356F60"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Верховного Командования Красной Армии 3 июля советские войска оставили город Севастополь.</w:t>
      </w:r>
    </w:p>
    <w:p w14:paraId="7BFEA0A5"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250 дней героический советский город с беспримерным мужеством и стойкостью отбивал бесчисленные атаки немецких войск. Последние 25 дней противник ожесточённо и беспрерывно штурмовал город с суши и с воздуха. Отрезанные от сухопутных связей с тылом, испытывая трудности с подвозом боеприпасов и продовольствия, не имея в своём распоряжении аэродромов, а стало быть, и достаточного прикрытия с воздуха, советские пехотинцы, моряки, командирыи политработники совершали чудеса воинской доблести и геройства в деле обороны Севастополя. Немцы в июне бросили против отважных защитников Севастополя до 300.000 своих солдат, свыше 400 танков и до 900 самолётов. Основная задача защитников Севастополя сводилась к тому, чтобы приковать на севастопольском участке фронта как можно больше немецко-фашистских войск и уничтожить как можно больше живой силы и техники противника.</w:t>
      </w:r>
    </w:p>
    <w:p w14:paraId="7265D3FF"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Сколь успешно выполнил севастопольский гарнизон свою задачу, это лучше всеговидно из следующих фактических данных. Только за последние 25 дней штурма севастопольской обороны полностью разгромлены 22, 24, 28, 50, 132 и 170 немецкие пехотные дивизии и четыре отдельных полка, 22 танковая дивизия и отдельная мехбригада, 1, 4 и 18 румынские дивизии и большое количество частей из других соединений. За этот короткий период немцы потеряли под Севастополем до 150.000солдат и офицеров, из них не менее 60.000 убитыми, более 250 танков, до 250 орудий. В воздушных боях над городом сбито более 300 немецких самолётов. За все 8 месяцев обороны Севастополя враг потерял до 300.000 своих солдат убитыми и ранеными. В боях за Севастополь немецкие войска понесли огромные потери, приобрели же — руины. Немецкая авиация, в течение многих дней производившая массовые налёты на город, почти разрушила его.</w:t>
      </w:r>
    </w:p>
    <w:p w14:paraId="4782D9CB"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войска потеряли с 7 июня по 3 июля 11.385 человек убитыми, 21.099 ранеными, 8.300 пропавшими без вести, 30 танков, 300 орудий, 77 самолётов. Бойцы, командиры и раненые из Севастополя эвакуированы.</w:t>
      </w:r>
    </w:p>
    <w:p w14:paraId="01EA19D7"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Военное и политическое значение севастопольской обороны в Отечественной войне советского народа огромно. Сковывая большое количество немецко-румынских войск, защитники города спутали и расстроили планы немецкого командования. Железная стойкость севастопольцев явилась одной из важнейших причин, сорвавших пресловутое «весеннее наступление» немцев. Гитлеровцы проиграли во времени, в темпах, понесли огромные потери людьми.</w:t>
      </w:r>
    </w:p>
    <w:p w14:paraId="0CEDFF76"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Севастополь оставлен советскими войсками, но оборона Севастополя войдёт в историю Отечественной войны Советского Союза как одна из самых ярких её страниц. Севастопольцы обогатили славные боевые традиции народов СССР. Беззаветное мужество, ярость в борьбе с врагом и самоотверженность защитников Севастополя вдохновляют советских патриотов на дальнейшие героические подвиги в борьбе против ненавистных оккупантов.</w:t>
      </w:r>
    </w:p>
    <w:p w14:paraId="216E07BF" w14:textId="77777777" w:rsidR="00B01B21" w:rsidRPr="00722885" w:rsidRDefault="00B01B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Слава о главных организаторах героической обороны Севастополя— вице-адмирале Октябрьском, генерал-майоре Петрове, дивизионном комиссаре Кулакове, дивизионном комиссаре Чухнове, генерал-майоре Рыжи, генерал-майоре Моргунове, генерал-майоре авиации Ермаченкове, генерал-майоре авиации Острякове, генерал-майоре Новикове, генерал-майоре Коломийце, генерал-майоре Крылове, полковнике Капитохине — войдёт в историю Отечественной войны против немецко-фашистских мерзавцев как одна из самых блестящих страниц.» (14941).</w:t>
      </w:r>
    </w:p>
    <w:p w14:paraId="152BE580" w14:textId="77777777" w:rsidR="00B01B21" w:rsidRPr="00722885" w:rsidRDefault="00B01B21" w:rsidP="00722885">
      <w:pPr>
        <w:spacing w:after="0" w:line="240" w:lineRule="auto"/>
        <w:jc w:val="both"/>
        <w:rPr>
          <w:rFonts w:ascii="Times New Roman" w:hAnsi="Times New Roman"/>
          <w:color w:val="000000" w:themeColor="text1"/>
          <w:sz w:val="16"/>
          <w:szCs w:val="16"/>
        </w:rPr>
      </w:pPr>
    </w:p>
    <w:p w14:paraId="50100FC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г. были подготовлены СВЕДЕНИЯ О КОЛИЧЕСТВЕ ТРОФЕЙНОГО И ОТЕЧЕСТВЕННОГО ВООРУЖЕНИЯ И ИМУЩЕСТВА СОБРАННОГО ВОЙСКАМИ НКВД ЗА ПЕРИОД С 1.12.1941 ПО 1.07.1942 гг.</w:t>
      </w:r>
    </w:p>
    <w:tbl>
      <w:tblPr>
        <w:tblW w:w="0" w:type="auto"/>
        <w:tblInd w:w="40" w:type="dxa"/>
        <w:tblLayout w:type="fixed"/>
        <w:tblCellMar>
          <w:left w:w="40" w:type="dxa"/>
          <w:right w:w="40" w:type="dxa"/>
        </w:tblCellMar>
        <w:tblLook w:val="0000" w:firstRow="0" w:lastRow="0" w:firstColumn="0" w:lastColumn="0" w:noHBand="0" w:noVBand="0"/>
      </w:tblPr>
      <w:tblGrid>
        <w:gridCol w:w="1258"/>
        <w:gridCol w:w="9"/>
        <w:gridCol w:w="548"/>
        <w:gridCol w:w="9"/>
        <w:gridCol w:w="596"/>
        <w:gridCol w:w="9"/>
        <w:gridCol w:w="538"/>
        <w:gridCol w:w="9"/>
        <w:gridCol w:w="568"/>
        <w:gridCol w:w="533"/>
        <w:gridCol w:w="18"/>
        <w:gridCol w:w="583"/>
        <w:gridCol w:w="509"/>
        <w:gridCol w:w="18"/>
        <w:gridCol w:w="607"/>
        <w:gridCol w:w="654"/>
        <w:gridCol w:w="695"/>
        <w:gridCol w:w="13"/>
        <w:gridCol w:w="6"/>
        <w:gridCol w:w="568"/>
        <w:gridCol w:w="606"/>
        <w:gridCol w:w="14"/>
        <w:gridCol w:w="544"/>
        <w:gridCol w:w="28"/>
        <w:gridCol w:w="626"/>
        <w:gridCol w:w="24"/>
      </w:tblGrid>
      <w:tr w:rsidR="009B487A" w:rsidRPr="00722885" w14:paraId="6378DAD3" w14:textId="77777777" w:rsidTr="00CC5360">
        <w:trPr>
          <w:gridAfter w:val="1"/>
          <w:wAfter w:w="22" w:type="dxa"/>
          <w:trHeight w:val="154"/>
        </w:trPr>
        <w:tc>
          <w:tcPr>
            <w:tcW w:w="1258" w:type="dxa"/>
            <w:tcBorders>
              <w:top w:val="single" w:sz="6" w:space="0" w:color="auto"/>
              <w:left w:val="single" w:sz="6" w:space="0" w:color="auto"/>
              <w:bottom w:val="nil"/>
              <w:right w:val="single" w:sz="6" w:space="0" w:color="auto"/>
            </w:tcBorders>
          </w:tcPr>
          <w:p w14:paraId="133AA7F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 вооружения и имущества</w:t>
            </w:r>
          </w:p>
        </w:tc>
        <w:tc>
          <w:tcPr>
            <w:tcW w:w="1162" w:type="dxa"/>
            <w:gridSpan w:val="4"/>
            <w:tcBorders>
              <w:top w:val="single" w:sz="6" w:space="0" w:color="auto"/>
              <w:left w:val="single" w:sz="6" w:space="0" w:color="auto"/>
              <w:bottom w:val="nil"/>
              <w:right w:val="single" w:sz="6" w:space="0" w:color="auto"/>
            </w:tcBorders>
          </w:tcPr>
          <w:p w14:paraId="4C4B70C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учтено за период с 1.12.41 г. по 1.07.42г.</w:t>
            </w:r>
          </w:p>
        </w:tc>
        <w:tc>
          <w:tcPr>
            <w:tcW w:w="4741" w:type="dxa"/>
            <w:gridSpan w:val="12"/>
            <w:tcBorders>
              <w:top w:val="single" w:sz="6" w:space="0" w:color="auto"/>
              <w:left w:val="single" w:sz="6" w:space="0" w:color="auto"/>
              <w:bottom w:val="single" w:sz="6" w:space="0" w:color="auto"/>
              <w:right w:val="single" w:sz="6" w:space="0" w:color="auto"/>
            </w:tcBorders>
          </w:tcPr>
          <w:p w14:paraId="053229E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1" w:type="dxa"/>
            <w:gridSpan w:val="8"/>
            <w:tcBorders>
              <w:top w:val="single" w:sz="6" w:space="0" w:color="auto"/>
              <w:left w:val="single" w:sz="6" w:space="0" w:color="auto"/>
              <w:bottom w:val="single" w:sz="6" w:space="0" w:color="auto"/>
              <w:right w:val="single" w:sz="6" w:space="0" w:color="auto"/>
            </w:tcBorders>
          </w:tcPr>
          <w:p w14:paraId="707F6CA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Осталось по состоянию на 1 07.1942 г.</w:t>
            </w:r>
          </w:p>
        </w:tc>
      </w:tr>
      <w:tr w:rsidR="009B487A" w:rsidRPr="00722885" w14:paraId="02416DB3" w14:textId="77777777" w:rsidTr="00CC5360">
        <w:trPr>
          <w:gridAfter w:val="1"/>
          <w:wAfter w:w="24" w:type="dxa"/>
          <w:trHeight w:val="413"/>
        </w:trPr>
        <w:tc>
          <w:tcPr>
            <w:tcW w:w="1258" w:type="dxa"/>
            <w:tcBorders>
              <w:top w:val="nil"/>
              <w:left w:val="single" w:sz="6" w:space="0" w:color="auto"/>
              <w:bottom w:val="nil"/>
              <w:right w:val="single" w:sz="6" w:space="0" w:color="auto"/>
            </w:tcBorders>
          </w:tcPr>
          <w:p w14:paraId="2E6FB0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4"/>
            <w:tcBorders>
              <w:top w:val="nil"/>
              <w:left w:val="single" w:sz="6" w:space="0" w:color="auto"/>
              <w:bottom w:val="single" w:sz="6" w:space="0" w:color="auto"/>
              <w:right w:val="single" w:sz="6" w:space="0" w:color="auto"/>
            </w:tcBorders>
          </w:tcPr>
          <w:p w14:paraId="0DD26B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4" w:type="dxa"/>
            <w:gridSpan w:val="4"/>
            <w:tcBorders>
              <w:top w:val="single" w:sz="6" w:space="0" w:color="auto"/>
              <w:left w:val="single" w:sz="6" w:space="0" w:color="auto"/>
              <w:bottom w:val="single" w:sz="6" w:space="0" w:color="auto"/>
              <w:right w:val="single" w:sz="6" w:space="0" w:color="auto"/>
            </w:tcBorders>
          </w:tcPr>
          <w:p w14:paraId="5C63870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войсковым частям</w:t>
            </w:r>
          </w:p>
        </w:tc>
        <w:tc>
          <w:tcPr>
            <w:tcW w:w="1134" w:type="dxa"/>
            <w:gridSpan w:val="3"/>
            <w:tcBorders>
              <w:top w:val="single" w:sz="6" w:space="0" w:color="auto"/>
              <w:left w:val="single" w:sz="6" w:space="0" w:color="auto"/>
              <w:bottom w:val="single" w:sz="6" w:space="0" w:color="auto"/>
              <w:right w:val="single" w:sz="6" w:space="0" w:color="auto"/>
            </w:tcBorders>
          </w:tcPr>
          <w:p w14:paraId="7141104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сдано на арм , фронт., центр, скл. и базы НКО</w:t>
            </w:r>
          </w:p>
        </w:tc>
        <w:tc>
          <w:tcPr>
            <w:tcW w:w="1134" w:type="dxa"/>
            <w:gridSpan w:val="3"/>
            <w:tcBorders>
              <w:top w:val="single" w:sz="6" w:space="0" w:color="auto"/>
              <w:left w:val="single" w:sz="6" w:space="0" w:color="auto"/>
              <w:bottom w:val="single" w:sz="6" w:space="0" w:color="auto"/>
              <w:right w:val="single" w:sz="6" w:space="0" w:color="auto"/>
            </w:tcBorders>
          </w:tcPr>
          <w:p w14:paraId="681A7F1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сдано в рем. органы НКО и з-ды промыш</w:t>
            </w:r>
          </w:p>
        </w:tc>
        <w:tc>
          <w:tcPr>
            <w:tcW w:w="1367" w:type="dxa"/>
            <w:gridSpan w:val="4"/>
            <w:tcBorders>
              <w:top w:val="single" w:sz="6" w:space="0" w:color="auto"/>
              <w:left w:val="single" w:sz="6" w:space="0" w:color="auto"/>
              <w:bottom w:val="single" w:sz="6" w:space="0" w:color="auto"/>
              <w:right w:val="single" w:sz="6" w:space="0" w:color="auto"/>
            </w:tcBorders>
          </w:tcPr>
          <w:p w14:paraId="5B8A3C3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сдано на окр. и центр, скл. НКВД для рем. и восстановления</w:t>
            </w:r>
          </w:p>
        </w:tc>
        <w:tc>
          <w:tcPr>
            <w:tcW w:w="1172" w:type="dxa"/>
            <w:gridSpan w:val="2"/>
            <w:tcBorders>
              <w:top w:val="single" w:sz="6" w:space="0" w:color="auto"/>
              <w:left w:val="single" w:sz="6" w:space="0" w:color="auto"/>
              <w:bottom w:val="single" w:sz="6" w:space="0" w:color="auto"/>
              <w:right w:val="single" w:sz="6" w:space="0" w:color="auto"/>
            </w:tcBorders>
          </w:tcPr>
          <w:p w14:paraId="6135FAC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временно хранится на сборн пунктах и арм. скл.</w:t>
            </w:r>
          </w:p>
        </w:tc>
        <w:tc>
          <w:tcPr>
            <w:tcW w:w="1209" w:type="dxa"/>
            <w:gridSpan w:val="4"/>
            <w:tcBorders>
              <w:top w:val="single" w:sz="6" w:space="0" w:color="auto"/>
              <w:left w:val="single" w:sz="6" w:space="0" w:color="auto"/>
              <w:bottom w:val="single" w:sz="6" w:space="0" w:color="auto"/>
              <w:right w:val="single" w:sz="6" w:space="0" w:color="auto"/>
            </w:tcBorders>
          </w:tcPr>
          <w:p w14:paraId="6EE27F7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оставалось не вывезено с поля боя</w:t>
            </w:r>
          </w:p>
        </w:tc>
      </w:tr>
      <w:tr w:rsidR="009B487A" w:rsidRPr="00722885" w14:paraId="076F36DE" w14:textId="77777777" w:rsidTr="00CC5360">
        <w:trPr>
          <w:gridAfter w:val="1"/>
          <w:wAfter w:w="18" w:type="dxa"/>
          <w:trHeight w:val="144"/>
        </w:trPr>
        <w:tc>
          <w:tcPr>
            <w:tcW w:w="1258" w:type="dxa"/>
            <w:tcBorders>
              <w:top w:val="nil"/>
              <w:left w:val="single" w:sz="6" w:space="0" w:color="auto"/>
              <w:bottom w:val="single" w:sz="6" w:space="0" w:color="auto"/>
              <w:right w:val="single" w:sz="6" w:space="0" w:color="auto"/>
            </w:tcBorders>
          </w:tcPr>
          <w:p w14:paraId="231A219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7" w:type="dxa"/>
            <w:gridSpan w:val="2"/>
            <w:tcBorders>
              <w:top w:val="single" w:sz="6" w:space="0" w:color="auto"/>
              <w:left w:val="single" w:sz="6" w:space="0" w:color="auto"/>
              <w:bottom w:val="single" w:sz="6" w:space="0" w:color="auto"/>
              <w:right w:val="single" w:sz="6" w:space="0" w:color="auto"/>
            </w:tcBorders>
          </w:tcPr>
          <w:p w14:paraId="3C87E5E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отеч</w:t>
            </w:r>
          </w:p>
        </w:tc>
        <w:tc>
          <w:tcPr>
            <w:tcW w:w="605" w:type="dxa"/>
            <w:gridSpan w:val="2"/>
            <w:tcBorders>
              <w:top w:val="single" w:sz="6" w:space="0" w:color="auto"/>
              <w:left w:val="single" w:sz="6" w:space="0" w:color="auto"/>
              <w:bottom w:val="single" w:sz="6" w:space="0" w:color="auto"/>
              <w:right w:val="single" w:sz="6" w:space="0" w:color="auto"/>
            </w:tcBorders>
          </w:tcPr>
          <w:p w14:paraId="448C321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троф.</w:t>
            </w:r>
          </w:p>
        </w:tc>
        <w:tc>
          <w:tcPr>
            <w:tcW w:w="547" w:type="dxa"/>
            <w:gridSpan w:val="2"/>
            <w:tcBorders>
              <w:top w:val="single" w:sz="6" w:space="0" w:color="auto"/>
              <w:left w:val="single" w:sz="6" w:space="0" w:color="auto"/>
              <w:bottom w:val="single" w:sz="6" w:space="0" w:color="auto"/>
              <w:right w:val="single" w:sz="6" w:space="0" w:color="auto"/>
            </w:tcBorders>
          </w:tcPr>
          <w:p w14:paraId="516ADF1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отеч.</w:t>
            </w:r>
          </w:p>
        </w:tc>
        <w:tc>
          <w:tcPr>
            <w:tcW w:w="577" w:type="dxa"/>
            <w:gridSpan w:val="2"/>
            <w:tcBorders>
              <w:top w:val="single" w:sz="6" w:space="0" w:color="auto"/>
              <w:left w:val="single" w:sz="6" w:space="0" w:color="auto"/>
              <w:bottom w:val="single" w:sz="6" w:space="0" w:color="auto"/>
              <w:right w:val="single" w:sz="6" w:space="0" w:color="auto"/>
            </w:tcBorders>
          </w:tcPr>
          <w:p w14:paraId="0BFD78C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троф.</w:t>
            </w:r>
          </w:p>
        </w:tc>
        <w:tc>
          <w:tcPr>
            <w:tcW w:w="551" w:type="dxa"/>
            <w:gridSpan w:val="2"/>
            <w:tcBorders>
              <w:top w:val="single" w:sz="6" w:space="0" w:color="auto"/>
              <w:left w:val="single" w:sz="6" w:space="0" w:color="auto"/>
              <w:bottom w:val="single" w:sz="6" w:space="0" w:color="auto"/>
              <w:right w:val="single" w:sz="6" w:space="0" w:color="auto"/>
            </w:tcBorders>
          </w:tcPr>
          <w:p w14:paraId="160F5B1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отеч</w:t>
            </w:r>
          </w:p>
        </w:tc>
        <w:tc>
          <w:tcPr>
            <w:tcW w:w="583" w:type="dxa"/>
            <w:tcBorders>
              <w:top w:val="single" w:sz="6" w:space="0" w:color="auto"/>
              <w:left w:val="single" w:sz="6" w:space="0" w:color="auto"/>
              <w:bottom w:val="single" w:sz="6" w:space="0" w:color="auto"/>
              <w:right w:val="single" w:sz="6" w:space="0" w:color="auto"/>
            </w:tcBorders>
          </w:tcPr>
          <w:p w14:paraId="6625367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троф.</w:t>
            </w:r>
          </w:p>
        </w:tc>
        <w:tc>
          <w:tcPr>
            <w:tcW w:w="527" w:type="dxa"/>
            <w:gridSpan w:val="2"/>
            <w:tcBorders>
              <w:top w:val="single" w:sz="6" w:space="0" w:color="auto"/>
              <w:left w:val="single" w:sz="6" w:space="0" w:color="auto"/>
              <w:bottom w:val="single" w:sz="6" w:space="0" w:color="auto"/>
              <w:right w:val="single" w:sz="6" w:space="0" w:color="auto"/>
            </w:tcBorders>
          </w:tcPr>
          <w:p w14:paraId="3CA6B81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отеч.</w:t>
            </w:r>
          </w:p>
        </w:tc>
        <w:tc>
          <w:tcPr>
            <w:tcW w:w="607" w:type="dxa"/>
            <w:tcBorders>
              <w:top w:val="single" w:sz="6" w:space="0" w:color="auto"/>
              <w:left w:val="single" w:sz="6" w:space="0" w:color="auto"/>
              <w:bottom w:val="single" w:sz="6" w:space="0" w:color="auto"/>
              <w:right w:val="single" w:sz="6" w:space="0" w:color="auto"/>
            </w:tcBorders>
          </w:tcPr>
          <w:p w14:paraId="62F1FE4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троф</w:t>
            </w:r>
          </w:p>
        </w:tc>
        <w:tc>
          <w:tcPr>
            <w:tcW w:w="654" w:type="dxa"/>
            <w:tcBorders>
              <w:top w:val="single" w:sz="6" w:space="0" w:color="auto"/>
              <w:left w:val="single" w:sz="6" w:space="0" w:color="auto"/>
              <w:bottom w:val="single" w:sz="6" w:space="0" w:color="auto"/>
              <w:right w:val="single" w:sz="6" w:space="0" w:color="auto"/>
            </w:tcBorders>
          </w:tcPr>
          <w:p w14:paraId="78B60B5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отеч.</w:t>
            </w:r>
          </w:p>
        </w:tc>
        <w:tc>
          <w:tcPr>
            <w:tcW w:w="714" w:type="dxa"/>
            <w:gridSpan w:val="3"/>
            <w:tcBorders>
              <w:top w:val="single" w:sz="6" w:space="0" w:color="auto"/>
              <w:left w:val="single" w:sz="6" w:space="0" w:color="auto"/>
              <w:bottom w:val="single" w:sz="6" w:space="0" w:color="auto"/>
              <w:right w:val="single" w:sz="6" w:space="0" w:color="auto"/>
            </w:tcBorders>
          </w:tcPr>
          <w:p w14:paraId="7ADEF9D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троф.</w:t>
            </w:r>
          </w:p>
        </w:tc>
        <w:tc>
          <w:tcPr>
            <w:tcW w:w="568" w:type="dxa"/>
            <w:tcBorders>
              <w:top w:val="single" w:sz="6" w:space="0" w:color="auto"/>
              <w:left w:val="single" w:sz="6" w:space="0" w:color="auto"/>
              <w:bottom w:val="single" w:sz="6" w:space="0" w:color="auto"/>
              <w:right w:val="single" w:sz="6" w:space="0" w:color="auto"/>
            </w:tcBorders>
          </w:tcPr>
          <w:p w14:paraId="5723FED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отеч.</w:t>
            </w:r>
          </w:p>
        </w:tc>
        <w:tc>
          <w:tcPr>
            <w:tcW w:w="606" w:type="dxa"/>
            <w:tcBorders>
              <w:top w:val="single" w:sz="6" w:space="0" w:color="auto"/>
              <w:left w:val="single" w:sz="6" w:space="0" w:color="auto"/>
              <w:bottom w:val="single" w:sz="6" w:space="0" w:color="auto"/>
              <w:right w:val="single" w:sz="6" w:space="0" w:color="auto"/>
            </w:tcBorders>
          </w:tcPr>
          <w:p w14:paraId="1AF3F4B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троф.</w:t>
            </w:r>
          </w:p>
        </w:tc>
        <w:tc>
          <w:tcPr>
            <w:tcW w:w="558" w:type="dxa"/>
            <w:gridSpan w:val="2"/>
            <w:tcBorders>
              <w:top w:val="single" w:sz="6" w:space="0" w:color="auto"/>
              <w:left w:val="single" w:sz="6" w:space="0" w:color="auto"/>
              <w:bottom w:val="single" w:sz="6" w:space="0" w:color="auto"/>
              <w:right w:val="single" w:sz="6" w:space="0" w:color="auto"/>
            </w:tcBorders>
          </w:tcPr>
          <w:p w14:paraId="1C00DBD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отеч</w:t>
            </w:r>
          </w:p>
        </w:tc>
        <w:tc>
          <w:tcPr>
            <w:tcW w:w="654" w:type="dxa"/>
            <w:gridSpan w:val="2"/>
            <w:tcBorders>
              <w:top w:val="single" w:sz="6" w:space="0" w:color="auto"/>
              <w:left w:val="single" w:sz="6" w:space="0" w:color="auto"/>
              <w:bottom w:val="single" w:sz="6" w:space="0" w:color="auto"/>
              <w:right w:val="single" w:sz="6" w:space="0" w:color="auto"/>
            </w:tcBorders>
          </w:tcPr>
          <w:p w14:paraId="67FD9CA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троф.</w:t>
            </w:r>
          </w:p>
        </w:tc>
      </w:tr>
      <w:tr w:rsidR="009B487A" w:rsidRPr="00722885" w14:paraId="2336B5AC"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50989CB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Автомобили легковые</w:t>
            </w:r>
          </w:p>
        </w:tc>
        <w:tc>
          <w:tcPr>
            <w:tcW w:w="557" w:type="dxa"/>
            <w:gridSpan w:val="2"/>
            <w:tcBorders>
              <w:top w:val="single" w:sz="6" w:space="0" w:color="auto"/>
              <w:left w:val="single" w:sz="6" w:space="0" w:color="auto"/>
              <w:bottom w:val="single" w:sz="6" w:space="0" w:color="auto"/>
              <w:right w:val="single" w:sz="6" w:space="0" w:color="auto"/>
            </w:tcBorders>
          </w:tcPr>
          <w:p w14:paraId="09C10FE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E8C726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547" w:type="dxa"/>
            <w:gridSpan w:val="2"/>
            <w:tcBorders>
              <w:top w:val="single" w:sz="6" w:space="0" w:color="auto"/>
              <w:left w:val="single" w:sz="6" w:space="0" w:color="auto"/>
              <w:bottom w:val="single" w:sz="6" w:space="0" w:color="auto"/>
              <w:right w:val="single" w:sz="6" w:space="0" w:color="auto"/>
            </w:tcBorders>
          </w:tcPr>
          <w:p w14:paraId="7D0CBC1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C97C74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551" w:type="dxa"/>
            <w:gridSpan w:val="2"/>
            <w:tcBorders>
              <w:top w:val="single" w:sz="6" w:space="0" w:color="auto"/>
              <w:left w:val="single" w:sz="6" w:space="0" w:color="auto"/>
              <w:bottom w:val="single" w:sz="6" w:space="0" w:color="auto"/>
              <w:right w:val="single" w:sz="6" w:space="0" w:color="auto"/>
            </w:tcBorders>
          </w:tcPr>
          <w:p w14:paraId="15C5707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52789EE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7875190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3F4DE6D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2A9E13C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0D69D0A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2F7646D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6788C4C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04F2E1B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4CACD6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D9D3773"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04E4457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Автомобили «Пикап»</w:t>
            </w:r>
          </w:p>
        </w:tc>
        <w:tc>
          <w:tcPr>
            <w:tcW w:w="557" w:type="dxa"/>
            <w:gridSpan w:val="2"/>
            <w:tcBorders>
              <w:top w:val="single" w:sz="6" w:space="0" w:color="auto"/>
              <w:left w:val="single" w:sz="6" w:space="0" w:color="auto"/>
              <w:bottom w:val="single" w:sz="6" w:space="0" w:color="auto"/>
              <w:right w:val="single" w:sz="6" w:space="0" w:color="auto"/>
            </w:tcBorders>
          </w:tcPr>
          <w:p w14:paraId="44492EE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69A5EB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547" w:type="dxa"/>
            <w:gridSpan w:val="2"/>
            <w:tcBorders>
              <w:top w:val="single" w:sz="6" w:space="0" w:color="auto"/>
              <w:left w:val="single" w:sz="6" w:space="0" w:color="auto"/>
              <w:bottom w:val="single" w:sz="6" w:space="0" w:color="auto"/>
              <w:right w:val="single" w:sz="6" w:space="0" w:color="auto"/>
            </w:tcBorders>
          </w:tcPr>
          <w:p w14:paraId="2B306EC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7C17333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551" w:type="dxa"/>
            <w:gridSpan w:val="2"/>
            <w:tcBorders>
              <w:top w:val="single" w:sz="6" w:space="0" w:color="auto"/>
              <w:left w:val="single" w:sz="6" w:space="0" w:color="auto"/>
              <w:bottom w:val="single" w:sz="6" w:space="0" w:color="auto"/>
              <w:right w:val="single" w:sz="6" w:space="0" w:color="auto"/>
            </w:tcBorders>
          </w:tcPr>
          <w:p w14:paraId="2113C9A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0F2BC00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7" w:type="dxa"/>
            <w:gridSpan w:val="2"/>
            <w:tcBorders>
              <w:top w:val="single" w:sz="6" w:space="0" w:color="auto"/>
              <w:left w:val="single" w:sz="6" w:space="0" w:color="auto"/>
              <w:bottom w:val="single" w:sz="6" w:space="0" w:color="auto"/>
              <w:right w:val="single" w:sz="6" w:space="0" w:color="auto"/>
            </w:tcBorders>
          </w:tcPr>
          <w:p w14:paraId="1C733E9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C33E89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3E6FA1C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5B9D575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3E2C392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4198C4B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1CBF618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50CF84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3827A48B"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6364FC3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Автомобили грузовые</w:t>
            </w:r>
          </w:p>
        </w:tc>
        <w:tc>
          <w:tcPr>
            <w:tcW w:w="557" w:type="dxa"/>
            <w:gridSpan w:val="2"/>
            <w:tcBorders>
              <w:top w:val="single" w:sz="6" w:space="0" w:color="auto"/>
              <w:left w:val="single" w:sz="6" w:space="0" w:color="auto"/>
              <w:bottom w:val="single" w:sz="6" w:space="0" w:color="auto"/>
              <w:right w:val="single" w:sz="6" w:space="0" w:color="auto"/>
            </w:tcBorders>
          </w:tcPr>
          <w:p w14:paraId="342D723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E84BCA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264</w:t>
            </w:r>
          </w:p>
        </w:tc>
        <w:tc>
          <w:tcPr>
            <w:tcW w:w="547" w:type="dxa"/>
            <w:gridSpan w:val="2"/>
            <w:tcBorders>
              <w:top w:val="single" w:sz="6" w:space="0" w:color="auto"/>
              <w:left w:val="single" w:sz="6" w:space="0" w:color="auto"/>
              <w:bottom w:val="single" w:sz="6" w:space="0" w:color="auto"/>
              <w:right w:val="single" w:sz="6" w:space="0" w:color="auto"/>
            </w:tcBorders>
          </w:tcPr>
          <w:p w14:paraId="5546C78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17619D5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c>
          <w:tcPr>
            <w:tcW w:w="551" w:type="dxa"/>
            <w:gridSpan w:val="2"/>
            <w:tcBorders>
              <w:top w:val="single" w:sz="6" w:space="0" w:color="auto"/>
              <w:left w:val="single" w:sz="6" w:space="0" w:color="auto"/>
              <w:bottom w:val="single" w:sz="6" w:space="0" w:color="auto"/>
              <w:right w:val="single" w:sz="6" w:space="0" w:color="auto"/>
            </w:tcBorders>
          </w:tcPr>
          <w:p w14:paraId="16DD48B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423BDDA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212</w:t>
            </w:r>
          </w:p>
        </w:tc>
        <w:tc>
          <w:tcPr>
            <w:tcW w:w="527" w:type="dxa"/>
            <w:gridSpan w:val="2"/>
            <w:tcBorders>
              <w:top w:val="single" w:sz="6" w:space="0" w:color="auto"/>
              <w:left w:val="single" w:sz="6" w:space="0" w:color="auto"/>
              <w:bottom w:val="single" w:sz="6" w:space="0" w:color="auto"/>
              <w:right w:val="single" w:sz="6" w:space="0" w:color="auto"/>
            </w:tcBorders>
          </w:tcPr>
          <w:p w14:paraId="0DB3914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3CD95EC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7A16008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91E83F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62B9ADF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853B3A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0E1FB5C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18C8DC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1808648"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63E04A9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Танки</w:t>
            </w:r>
          </w:p>
        </w:tc>
        <w:tc>
          <w:tcPr>
            <w:tcW w:w="557" w:type="dxa"/>
            <w:gridSpan w:val="2"/>
            <w:tcBorders>
              <w:top w:val="single" w:sz="6" w:space="0" w:color="auto"/>
              <w:left w:val="single" w:sz="6" w:space="0" w:color="auto"/>
              <w:bottom w:val="single" w:sz="6" w:space="0" w:color="auto"/>
              <w:right w:val="single" w:sz="6" w:space="0" w:color="auto"/>
            </w:tcBorders>
          </w:tcPr>
          <w:p w14:paraId="2E99E0B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604DA05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tc>
        <w:tc>
          <w:tcPr>
            <w:tcW w:w="547" w:type="dxa"/>
            <w:gridSpan w:val="2"/>
            <w:tcBorders>
              <w:top w:val="single" w:sz="6" w:space="0" w:color="auto"/>
              <w:left w:val="single" w:sz="6" w:space="0" w:color="auto"/>
              <w:bottom w:val="single" w:sz="6" w:space="0" w:color="auto"/>
              <w:right w:val="single" w:sz="6" w:space="0" w:color="auto"/>
            </w:tcBorders>
          </w:tcPr>
          <w:p w14:paraId="1D0E2D9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43F79B8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51" w:type="dxa"/>
            <w:gridSpan w:val="2"/>
            <w:tcBorders>
              <w:top w:val="single" w:sz="6" w:space="0" w:color="auto"/>
              <w:left w:val="single" w:sz="6" w:space="0" w:color="auto"/>
              <w:bottom w:val="single" w:sz="6" w:space="0" w:color="auto"/>
              <w:right w:val="single" w:sz="6" w:space="0" w:color="auto"/>
            </w:tcBorders>
          </w:tcPr>
          <w:p w14:paraId="0D15465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0437F3A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tc>
        <w:tc>
          <w:tcPr>
            <w:tcW w:w="527" w:type="dxa"/>
            <w:gridSpan w:val="2"/>
            <w:tcBorders>
              <w:top w:val="single" w:sz="6" w:space="0" w:color="auto"/>
              <w:left w:val="single" w:sz="6" w:space="0" w:color="auto"/>
              <w:bottom w:val="single" w:sz="6" w:space="0" w:color="auto"/>
              <w:right w:val="single" w:sz="6" w:space="0" w:color="auto"/>
            </w:tcBorders>
          </w:tcPr>
          <w:p w14:paraId="718A760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67DDCA4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42A5A50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67B940A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48F2469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118A2B3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7CA82D6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5AE2952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791790CF"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7AAC49D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Тракторы и тягачи</w:t>
            </w:r>
          </w:p>
        </w:tc>
        <w:tc>
          <w:tcPr>
            <w:tcW w:w="557" w:type="dxa"/>
            <w:gridSpan w:val="2"/>
            <w:tcBorders>
              <w:top w:val="single" w:sz="6" w:space="0" w:color="auto"/>
              <w:left w:val="single" w:sz="6" w:space="0" w:color="auto"/>
              <w:bottom w:val="single" w:sz="6" w:space="0" w:color="auto"/>
              <w:right w:val="single" w:sz="6" w:space="0" w:color="auto"/>
            </w:tcBorders>
          </w:tcPr>
          <w:p w14:paraId="3E99236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13F01B1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547" w:type="dxa"/>
            <w:gridSpan w:val="2"/>
            <w:tcBorders>
              <w:top w:val="single" w:sz="6" w:space="0" w:color="auto"/>
              <w:left w:val="single" w:sz="6" w:space="0" w:color="auto"/>
              <w:bottom w:val="single" w:sz="6" w:space="0" w:color="auto"/>
              <w:right w:val="single" w:sz="6" w:space="0" w:color="auto"/>
            </w:tcBorders>
          </w:tcPr>
          <w:p w14:paraId="7D4BC75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5F2B8F8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551" w:type="dxa"/>
            <w:gridSpan w:val="2"/>
            <w:tcBorders>
              <w:top w:val="single" w:sz="6" w:space="0" w:color="auto"/>
              <w:left w:val="single" w:sz="6" w:space="0" w:color="auto"/>
              <w:bottom w:val="single" w:sz="6" w:space="0" w:color="auto"/>
              <w:right w:val="single" w:sz="6" w:space="0" w:color="auto"/>
            </w:tcBorders>
          </w:tcPr>
          <w:p w14:paraId="252EF58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158F208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7" w:type="dxa"/>
            <w:gridSpan w:val="2"/>
            <w:tcBorders>
              <w:top w:val="single" w:sz="6" w:space="0" w:color="auto"/>
              <w:left w:val="single" w:sz="6" w:space="0" w:color="auto"/>
              <w:bottom w:val="single" w:sz="6" w:space="0" w:color="auto"/>
              <w:right w:val="single" w:sz="6" w:space="0" w:color="auto"/>
            </w:tcBorders>
          </w:tcPr>
          <w:p w14:paraId="2EE0A48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7B13B63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3E413AA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67743C8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7143371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3AA69AE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2492108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1291A94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10F7258A"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181B3FC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Бронемашины</w:t>
            </w:r>
          </w:p>
        </w:tc>
        <w:tc>
          <w:tcPr>
            <w:tcW w:w="557" w:type="dxa"/>
            <w:gridSpan w:val="2"/>
            <w:tcBorders>
              <w:top w:val="single" w:sz="6" w:space="0" w:color="auto"/>
              <w:left w:val="single" w:sz="6" w:space="0" w:color="auto"/>
              <w:bottom w:val="single" w:sz="6" w:space="0" w:color="auto"/>
              <w:right w:val="single" w:sz="6" w:space="0" w:color="auto"/>
            </w:tcBorders>
          </w:tcPr>
          <w:p w14:paraId="6869679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2EB8DB1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547" w:type="dxa"/>
            <w:gridSpan w:val="2"/>
            <w:tcBorders>
              <w:top w:val="single" w:sz="6" w:space="0" w:color="auto"/>
              <w:left w:val="single" w:sz="6" w:space="0" w:color="auto"/>
              <w:bottom w:val="single" w:sz="6" w:space="0" w:color="auto"/>
              <w:right w:val="single" w:sz="6" w:space="0" w:color="auto"/>
            </w:tcBorders>
          </w:tcPr>
          <w:p w14:paraId="04B9A7C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166F78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551" w:type="dxa"/>
            <w:gridSpan w:val="2"/>
            <w:tcBorders>
              <w:top w:val="single" w:sz="6" w:space="0" w:color="auto"/>
              <w:left w:val="single" w:sz="6" w:space="0" w:color="auto"/>
              <w:bottom w:val="single" w:sz="6" w:space="0" w:color="auto"/>
              <w:right w:val="single" w:sz="6" w:space="0" w:color="auto"/>
            </w:tcBorders>
          </w:tcPr>
          <w:p w14:paraId="4633D02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4CC4A87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2F80416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6659507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0B71262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0ED2354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3152058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32AC1DF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1006262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56F1AFE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1E50C8D6"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7467DE1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Мотоциклы разных марок</w:t>
            </w:r>
          </w:p>
        </w:tc>
        <w:tc>
          <w:tcPr>
            <w:tcW w:w="557" w:type="dxa"/>
            <w:gridSpan w:val="2"/>
            <w:tcBorders>
              <w:top w:val="single" w:sz="6" w:space="0" w:color="auto"/>
              <w:left w:val="single" w:sz="6" w:space="0" w:color="auto"/>
              <w:bottom w:val="single" w:sz="6" w:space="0" w:color="auto"/>
              <w:right w:val="single" w:sz="6" w:space="0" w:color="auto"/>
            </w:tcBorders>
          </w:tcPr>
          <w:p w14:paraId="4FBF488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784F5EB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256</w:t>
            </w:r>
          </w:p>
        </w:tc>
        <w:tc>
          <w:tcPr>
            <w:tcW w:w="547" w:type="dxa"/>
            <w:gridSpan w:val="2"/>
            <w:tcBorders>
              <w:top w:val="single" w:sz="6" w:space="0" w:color="auto"/>
              <w:left w:val="single" w:sz="6" w:space="0" w:color="auto"/>
              <w:bottom w:val="single" w:sz="6" w:space="0" w:color="auto"/>
              <w:right w:val="single" w:sz="6" w:space="0" w:color="auto"/>
            </w:tcBorders>
          </w:tcPr>
          <w:p w14:paraId="17F1078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14BB258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w:t>
            </w:r>
          </w:p>
        </w:tc>
        <w:tc>
          <w:tcPr>
            <w:tcW w:w="551" w:type="dxa"/>
            <w:gridSpan w:val="2"/>
            <w:tcBorders>
              <w:top w:val="single" w:sz="6" w:space="0" w:color="auto"/>
              <w:left w:val="single" w:sz="6" w:space="0" w:color="auto"/>
              <w:bottom w:val="single" w:sz="6" w:space="0" w:color="auto"/>
              <w:right w:val="single" w:sz="6" w:space="0" w:color="auto"/>
            </w:tcBorders>
          </w:tcPr>
          <w:p w14:paraId="6A9C8C0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12B5DC4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w:t>
            </w:r>
          </w:p>
        </w:tc>
        <w:tc>
          <w:tcPr>
            <w:tcW w:w="527" w:type="dxa"/>
            <w:gridSpan w:val="2"/>
            <w:tcBorders>
              <w:top w:val="single" w:sz="6" w:space="0" w:color="auto"/>
              <w:left w:val="single" w:sz="6" w:space="0" w:color="auto"/>
              <w:bottom w:val="single" w:sz="6" w:space="0" w:color="auto"/>
              <w:right w:val="single" w:sz="6" w:space="0" w:color="auto"/>
            </w:tcBorders>
          </w:tcPr>
          <w:p w14:paraId="65CFD4B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71219E7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31CA325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4F9590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5CD8D78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5D03CA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20B4269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3A38563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2C512A76"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1C35847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Велосипеды</w:t>
            </w:r>
          </w:p>
        </w:tc>
        <w:tc>
          <w:tcPr>
            <w:tcW w:w="557" w:type="dxa"/>
            <w:gridSpan w:val="2"/>
            <w:tcBorders>
              <w:top w:val="single" w:sz="6" w:space="0" w:color="auto"/>
              <w:left w:val="single" w:sz="6" w:space="0" w:color="auto"/>
              <w:bottom w:val="single" w:sz="6" w:space="0" w:color="auto"/>
              <w:right w:val="single" w:sz="6" w:space="0" w:color="auto"/>
            </w:tcBorders>
          </w:tcPr>
          <w:p w14:paraId="4C26E6E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0B75DFF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928</w:t>
            </w:r>
          </w:p>
        </w:tc>
        <w:tc>
          <w:tcPr>
            <w:tcW w:w="547" w:type="dxa"/>
            <w:gridSpan w:val="2"/>
            <w:tcBorders>
              <w:top w:val="single" w:sz="6" w:space="0" w:color="auto"/>
              <w:left w:val="single" w:sz="6" w:space="0" w:color="auto"/>
              <w:bottom w:val="single" w:sz="6" w:space="0" w:color="auto"/>
              <w:right w:val="single" w:sz="6" w:space="0" w:color="auto"/>
            </w:tcBorders>
          </w:tcPr>
          <w:p w14:paraId="441D3C8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30A8CDC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668</w:t>
            </w:r>
          </w:p>
        </w:tc>
        <w:tc>
          <w:tcPr>
            <w:tcW w:w="551" w:type="dxa"/>
            <w:gridSpan w:val="2"/>
            <w:tcBorders>
              <w:top w:val="single" w:sz="6" w:space="0" w:color="auto"/>
              <w:left w:val="single" w:sz="6" w:space="0" w:color="auto"/>
              <w:bottom w:val="single" w:sz="6" w:space="0" w:color="auto"/>
              <w:right w:val="single" w:sz="6" w:space="0" w:color="auto"/>
            </w:tcBorders>
          </w:tcPr>
          <w:p w14:paraId="56EC36D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3F00E29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w:t>
            </w:r>
          </w:p>
        </w:tc>
        <w:tc>
          <w:tcPr>
            <w:tcW w:w="527" w:type="dxa"/>
            <w:gridSpan w:val="2"/>
            <w:tcBorders>
              <w:top w:val="single" w:sz="6" w:space="0" w:color="auto"/>
              <w:left w:val="single" w:sz="6" w:space="0" w:color="auto"/>
              <w:bottom w:val="single" w:sz="6" w:space="0" w:color="auto"/>
              <w:right w:val="single" w:sz="6" w:space="0" w:color="auto"/>
            </w:tcBorders>
          </w:tcPr>
          <w:p w14:paraId="2001D12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0C1F9F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2C9F846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7EA706B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68B9484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27177B7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4AE8D86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61C3B70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78813B79"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40D6BD1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Мотоколяски</w:t>
            </w:r>
          </w:p>
        </w:tc>
        <w:tc>
          <w:tcPr>
            <w:tcW w:w="557" w:type="dxa"/>
            <w:gridSpan w:val="2"/>
            <w:tcBorders>
              <w:top w:val="single" w:sz="6" w:space="0" w:color="auto"/>
              <w:left w:val="single" w:sz="6" w:space="0" w:color="auto"/>
              <w:bottom w:val="single" w:sz="6" w:space="0" w:color="auto"/>
              <w:right w:val="single" w:sz="6" w:space="0" w:color="auto"/>
            </w:tcBorders>
          </w:tcPr>
          <w:p w14:paraId="09202AF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321D0DE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547" w:type="dxa"/>
            <w:gridSpan w:val="2"/>
            <w:tcBorders>
              <w:top w:val="single" w:sz="6" w:space="0" w:color="auto"/>
              <w:left w:val="single" w:sz="6" w:space="0" w:color="auto"/>
              <w:bottom w:val="single" w:sz="6" w:space="0" w:color="auto"/>
              <w:right w:val="single" w:sz="6" w:space="0" w:color="auto"/>
            </w:tcBorders>
          </w:tcPr>
          <w:p w14:paraId="1FAA943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E05824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551" w:type="dxa"/>
            <w:gridSpan w:val="2"/>
            <w:tcBorders>
              <w:top w:val="single" w:sz="6" w:space="0" w:color="auto"/>
              <w:left w:val="single" w:sz="6" w:space="0" w:color="auto"/>
              <w:bottom w:val="single" w:sz="6" w:space="0" w:color="auto"/>
              <w:right w:val="single" w:sz="6" w:space="0" w:color="auto"/>
            </w:tcBorders>
          </w:tcPr>
          <w:p w14:paraId="6464F99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10C847D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6E77B93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20A990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6B9E689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71FD6D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5B816FB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FA86EA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4BA9604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3BDF16F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A821444"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10D39C2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Автодвигатели</w:t>
            </w:r>
          </w:p>
        </w:tc>
        <w:tc>
          <w:tcPr>
            <w:tcW w:w="557" w:type="dxa"/>
            <w:gridSpan w:val="2"/>
            <w:tcBorders>
              <w:top w:val="single" w:sz="6" w:space="0" w:color="auto"/>
              <w:left w:val="single" w:sz="6" w:space="0" w:color="auto"/>
              <w:bottom w:val="single" w:sz="6" w:space="0" w:color="auto"/>
              <w:right w:val="single" w:sz="6" w:space="0" w:color="auto"/>
            </w:tcBorders>
          </w:tcPr>
          <w:p w14:paraId="211B30B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2B2858B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547" w:type="dxa"/>
            <w:gridSpan w:val="2"/>
            <w:tcBorders>
              <w:top w:val="single" w:sz="6" w:space="0" w:color="auto"/>
              <w:left w:val="single" w:sz="6" w:space="0" w:color="auto"/>
              <w:bottom w:val="single" w:sz="6" w:space="0" w:color="auto"/>
              <w:right w:val="single" w:sz="6" w:space="0" w:color="auto"/>
            </w:tcBorders>
          </w:tcPr>
          <w:p w14:paraId="45E0FAF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3099BD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551" w:type="dxa"/>
            <w:gridSpan w:val="2"/>
            <w:tcBorders>
              <w:top w:val="single" w:sz="6" w:space="0" w:color="auto"/>
              <w:left w:val="single" w:sz="6" w:space="0" w:color="auto"/>
              <w:bottom w:val="single" w:sz="6" w:space="0" w:color="auto"/>
              <w:right w:val="single" w:sz="6" w:space="0" w:color="auto"/>
            </w:tcBorders>
          </w:tcPr>
          <w:p w14:paraId="02AB8DF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0A7161C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7" w:type="dxa"/>
            <w:gridSpan w:val="2"/>
            <w:tcBorders>
              <w:top w:val="single" w:sz="6" w:space="0" w:color="auto"/>
              <w:left w:val="single" w:sz="6" w:space="0" w:color="auto"/>
              <w:bottom w:val="single" w:sz="6" w:space="0" w:color="auto"/>
              <w:right w:val="single" w:sz="6" w:space="0" w:color="auto"/>
            </w:tcBorders>
          </w:tcPr>
          <w:p w14:paraId="3AC088C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74C0C5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0B81DF7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10668FC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49A5A97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7362351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199B491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54F9E8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4362F8B8"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3B50193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Автопокрышки</w:t>
            </w:r>
          </w:p>
        </w:tc>
        <w:tc>
          <w:tcPr>
            <w:tcW w:w="557" w:type="dxa"/>
            <w:gridSpan w:val="2"/>
            <w:tcBorders>
              <w:top w:val="single" w:sz="6" w:space="0" w:color="auto"/>
              <w:left w:val="single" w:sz="6" w:space="0" w:color="auto"/>
              <w:bottom w:val="single" w:sz="6" w:space="0" w:color="auto"/>
              <w:right w:val="single" w:sz="6" w:space="0" w:color="auto"/>
            </w:tcBorders>
          </w:tcPr>
          <w:p w14:paraId="0AE3584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EBD54D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265</w:t>
            </w:r>
          </w:p>
        </w:tc>
        <w:tc>
          <w:tcPr>
            <w:tcW w:w="547" w:type="dxa"/>
            <w:gridSpan w:val="2"/>
            <w:tcBorders>
              <w:top w:val="single" w:sz="6" w:space="0" w:color="auto"/>
              <w:left w:val="single" w:sz="6" w:space="0" w:color="auto"/>
              <w:bottom w:val="single" w:sz="6" w:space="0" w:color="auto"/>
              <w:right w:val="single" w:sz="6" w:space="0" w:color="auto"/>
            </w:tcBorders>
          </w:tcPr>
          <w:p w14:paraId="506D4BF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0C075C7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206</w:t>
            </w:r>
          </w:p>
        </w:tc>
        <w:tc>
          <w:tcPr>
            <w:tcW w:w="551" w:type="dxa"/>
            <w:gridSpan w:val="2"/>
            <w:tcBorders>
              <w:top w:val="single" w:sz="6" w:space="0" w:color="auto"/>
              <w:left w:val="single" w:sz="6" w:space="0" w:color="auto"/>
              <w:bottom w:val="single" w:sz="6" w:space="0" w:color="auto"/>
              <w:right w:val="single" w:sz="6" w:space="0" w:color="auto"/>
            </w:tcBorders>
          </w:tcPr>
          <w:p w14:paraId="1172AA4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76FC35D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w:t>
            </w:r>
          </w:p>
        </w:tc>
        <w:tc>
          <w:tcPr>
            <w:tcW w:w="527" w:type="dxa"/>
            <w:gridSpan w:val="2"/>
            <w:tcBorders>
              <w:top w:val="single" w:sz="6" w:space="0" w:color="auto"/>
              <w:left w:val="single" w:sz="6" w:space="0" w:color="auto"/>
              <w:bottom w:val="single" w:sz="6" w:space="0" w:color="auto"/>
              <w:right w:val="single" w:sz="6" w:space="0" w:color="auto"/>
            </w:tcBorders>
          </w:tcPr>
          <w:p w14:paraId="44AA928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5EC551C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52DF840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63D9E67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396BA48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71945A9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6365050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357E251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7DE504E7"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46EC783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Велопокрышки</w:t>
            </w:r>
          </w:p>
        </w:tc>
        <w:tc>
          <w:tcPr>
            <w:tcW w:w="557" w:type="dxa"/>
            <w:gridSpan w:val="2"/>
            <w:tcBorders>
              <w:top w:val="single" w:sz="6" w:space="0" w:color="auto"/>
              <w:left w:val="single" w:sz="6" w:space="0" w:color="auto"/>
              <w:bottom w:val="single" w:sz="6" w:space="0" w:color="auto"/>
              <w:right w:val="single" w:sz="6" w:space="0" w:color="auto"/>
            </w:tcBorders>
          </w:tcPr>
          <w:p w14:paraId="78CDD4B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0B66436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317</w:t>
            </w:r>
          </w:p>
        </w:tc>
        <w:tc>
          <w:tcPr>
            <w:tcW w:w="547" w:type="dxa"/>
            <w:gridSpan w:val="2"/>
            <w:tcBorders>
              <w:top w:val="single" w:sz="6" w:space="0" w:color="auto"/>
              <w:left w:val="single" w:sz="6" w:space="0" w:color="auto"/>
              <w:bottom w:val="single" w:sz="6" w:space="0" w:color="auto"/>
              <w:right w:val="single" w:sz="6" w:space="0" w:color="auto"/>
            </w:tcBorders>
          </w:tcPr>
          <w:p w14:paraId="6D35896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39E6433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317</w:t>
            </w:r>
          </w:p>
        </w:tc>
        <w:tc>
          <w:tcPr>
            <w:tcW w:w="551" w:type="dxa"/>
            <w:gridSpan w:val="2"/>
            <w:tcBorders>
              <w:top w:val="single" w:sz="6" w:space="0" w:color="auto"/>
              <w:left w:val="single" w:sz="6" w:space="0" w:color="auto"/>
              <w:bottom w:val="single" w:sz="6" w:space="0" w:color="auto"/>
              <w:right w:val="single" w:sz="6" w:space="0" w:color="auto"/>
            </w:tcBorders>
          </w:tcPr>
          <w:p w14:paraId="51AC569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5B82A3A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3DCC9AA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6D56BF5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33F7DE1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47104F6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57C318F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72A1301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2CBFC2D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53A1B68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559A2121" w14:textId="77777777" w:rsidTr="00CC5360">
        <w:trPr>
          <w:gridAfter w:val="1"/>
          <w:wAfter w:w="18" w:type="dxa"/>
          <w:trHeight w:val="346"/>
        </w:trPr>
        <w:tc>
          <w:tcPr>
            <w:tcW w:w="1258" w:type="dxa"/>
            <w:tcBorders>
              <w:top w:val="single" w:sz="6" w:space="0" w:color="auto"/>
              <w:left w:val="single" w:sz="6" w:space="0" w:color="auto"/>
              <w:bottom w:val="single" w:sz="6" w:space="0" w:color="auto"/>
              <w:right w:val="single" w:sz="6" w:space="0" w:color="auto"/>
            </w:tcBorders>
          </w:tcPr>
          <w:p w14:paraId="55FA0F4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Бочки (баки ГСМ)</w:t>
            </w:r>
          </w:p>
        </w:tc>
        <w:tc>
          <w:tcPr>
            <w:tcW w:w="557" w:type="dxa"/>
            <w:gridSpan w:val="2"/>
            <w:tcBorders>
              <w:top w:val="single" w:sz="6" w:space="0" w:color="auto"/>
              <w:left w:val="single" w:sz="6" w:space="0" w:color="auto"/>
              <w:bottom w:val="single" w:sz="6" w:space="0" w:color="auto"/>
              <w:right w:val="single" w:sz="6" w:space="0" w:color="auto"/>
            </w:tcBorders>
          </w:tcPr>
          <w:p w14:paraId="7528C5E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383DD23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495</w:t>
            </w:r>
          </w:p>
        </w:tc>
        <w:tc>
          <w:tcPr>
            <w:tcW w:w="547" w:type="dxa"/>
            <w:gridSpan w:val="2"/>
            <w:tcBorders>
              <w:top w:val="single" w:sz="6" w:space="0" w:color="auto"/>
              <w:left w:val="single" w:sz="6" w:space="0" w:color="auto"/>
              <w:bottom w:val="single" w:sz="6" w:space="0" w:color="auto"/>
              <w:right w:val="single" w:sz="6" w:space="0" w:color="auto"/>
            </w:tcBorders>
          </w:tcPr>
          <w:p w14:paraId="36B7506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3193EB3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373</w:t>
            </w:r>
          </w:p>
        </w:tc>
        <w:tc>
          <w:tcPr>
            <w:tcW w:w="551" w:type="dxa"/>
            <w:gridSpan w:val="2"/>
            <w:tcBorders>
              <w:top w:val="single" w:sz="6" w:space="0" w:color="auto"/>
              <w:left w:val="single" w:sz="6" w:space="0" w:color="auto"/>
              <w:bottom w:val="single" w:sz="6" w:space="0" w:color="auto"/>
              <w:right w:val="single" w:sz="6" w:space="0" w:color="auto"/>
            </w:tcBorders>
          </w:tcPr>
          <w:p w14:paraId="12B268A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6164BA4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w:t>
            </w:r>
          </w:p>
        </w:tc>
        <w:tc>
          <w:tcPr>
            <w:tcW w:w="527" w:type="dxa"/>
            <w:gridSpan w:val="2"/>
            <w:tcBorders>
              <w:top w:val="single" w:sz="6" w:space="0" w:color="auto"/>
              <w:left w:val="single" w:sz="6" w:space="0" w:color="auto"/>
              <w:bottom w:val="single" w:sz="6" w:space="0" w:color="auto"/>
              <w:right w:val="single" w:sz="6" w:space="0" w:color="auto"/>
            </w:tcBorders>
          </w:tcPr>
          <w:p w14:paraId="704C500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3AA6E28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2F4D21B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D127C8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0940699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71E925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3AE0724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4F8C54B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5E6A64A0" w14:textId="77777777" w:rsidTr="00CC5360">
        <w:trPr>
          <w:trHeight w:val="326"/>
        </w:trPr>
        <w:tc>
          <w:tcPr>
            <w:tcW w:w="1267" w:type="dxa"/>
            <w:gridSpan w:val="2"/>
            <w:tcBorders>
              <w:top w:val="single" w:sz="6" w:space="0" w:color="auto"/>
              <w:left w:val="single" w:sz="6" w:space="0" w:color="auto"/>
              <w:bottom w:val="single" w:sz="6" w:space="0" w:color="auto"/>
              <w:right w:val="single" w:sz="6" w:space="0" w:color="auto"/>
            </w:tcBorders>
          </w:tcPr>
          <w:p w14:paraId="14F5E17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Автоприцепы</w:t>
            </w:r>
          </w:p>
        </w:tc>
        <w:tc>
          <w:tcPr>
            <w:tcW w:w="557" w:type="dxa"/>
            <w:gridSpan w:val="2"/>
            <w:tcBorders>
              <w:top w:val="single" w:sz="6" w:space="0" w:color="auto"/>
              <w:left w:val="single" w:sz="6" w:space="0" w:color="auto"/>
              <w:bottom w:val="single" w:sz="6" w:space="0" w:color="auto"/>
              <w:right w:val="single" w:sz="6" w:space="0" w:color="auto"/>
            </w:tcBorders>
          </w:tcPr>
          <w:p w14:paraId="37D7F42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72BDD55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547" w:type="dxa"/>
            <w:gridSpan w:val="2"/>
            <w:tcBorders>
              <w:top w:val="single" w:sz="6" w:space="0" w:color="auto"/>
              <w:left w:val="single" w:sz="6" w:space="0" w:color="auto"/>
              <w:bottom w:val="single" w:sz="6" w:space="0" w:color="auto"/>
              <w:right w:val="single" w:sz="6" w:space="0" w:color="auto"/>
            </w:tcBorders>
          </w:tcPr>
          <w:p w14:paraId="77AEDA7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09FF584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533" w:type="dxa"/>
            <w:tcBorders>
              <w:top w:val="single" w:sz="6" w:space="0" w:color="auto"/>
              <w:left w:val="single" w:sz="6" w:space="0" w:color="auto"/>
              <w:bottom w:val="single" w:sz="6" w:space="0" w:color="auto"/>
              <w:right w:val="single" w:sz="6" w:space="0" w:color="auto"/>
            </w:tcBorders>
          </w:tcPr>
          <w:p w14:paraId="23E96D7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 w:type="dxa"/>
            <w:gridSpan w:val="2"/>
            <w:tcBorders>
              <w:top w:val="single" w:sz="6" w:space="0" w:color="auto"/>
              <w:left w:val="single" w:sz="6" w:space="0" w:color="auto"/>
              <w:bottom w:val="single" w:sz="6" w:space="0" w:color="auto"/>
              <w:right w:val="single" w:sz="6" w:space="0" w:color="auto"/>
            </w:tcBorders>
          </w:tcPr>
          <w:p w14:paraId="4D18218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31CB089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5" w:type="dxa"/>
            <w:gridSpan w:val="2"/>
            <w:tcBorders>
              <w:top w:val="single" w:sz="6" w:space="0" w:color="auto"/>
              <w:left w:val="single" w:sz="6" w:space="0" w:color="auto"/>
              <w:bottom w:val="single" w:sz="6" w:space="0" w:color="auto"/>
              <w:right w:val="single" w:sz="6" w:space="0" w:color="auto"/>
            </w:tcBorders>
          </w:tcPr>
          <w:p w14:paraId="55156CC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0" w:type="dxa"/>
            <w:tcBorders>
              <w:top w:val="single" w:sz="6" w:space="0" w:color="auto"/>
              <w:left w:val="single" w:sz="6" w:space="0" w:color="auto"/>
              <w:bottom w:val="single" w:sz="6" w:space="0" w:color="auto"/>
              <w:right w:val="single" w:sz="6" w:space="0" w:color="auto"/>
            </w:tcBorders>
          </w:tcPr>
          <w:p w14:paraId="31FC26E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316C4BD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72" w:type="dxa"/>
            <w:gridSpan w:val="2"/>
            <w:tcBorders>
              <w:top w:val="single" w:sz="6" w:space="0" w:color="auto"/>
              <w:left w:val="single" w:sz="6" w:space="0" w:color="auto"/>
              <w:bottom w:val="single" w:sz="6" w:space="0" w:color="auto"/>
              <w:right w:val="single" w:sz="6" w:space="0" w:color="auto"/>
            </w:tcBorders>
          </w:tcPr>
          <w:p w14:paraId="22A7847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0" w:type="dxa"/>
            <w:gridSpan w:val="2"/>
            <w:tcBorders>
              <w:top w:val="single" w:sz="6" w:space="0" w:color="auto"/>
              <w:left w:val="single" w:sz="6" w:space="0" w:color="auto"/>
              <w:bottom w:val="single" w:sz="6" w:space="0" w:color="auto"/>
              <w:right w:val="single" w:sz="6" w:space="0" w:color="auto"/>
            </w:tcBorders>
          </w:tcPr>
          <w:p w14:paraId="0F9112D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72" w:type="dxa"/>
            <w:gridSpan w:val="2"/>
            <w:tcBorders>
              <w:top w:val="single" w:sz="6" w:space="0" w:color="auto"/>
              <w:left w:val="single" w:sz="6" w:space="0" w:color="auto"/>
              <w:bottom w:val="single" w:sz="6" w:space="0" w:color="auto"/>
              <w:right w:val="single" w:sz="6" w:space="0" w:color="auto"/>
            </w:tcBorders>
          </w:tcPr>
          <w:p w14:paraId="4B8C542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gridSpan w:val="2"/>
            <w:tcBorders>
              <w:top w:val="single" w:sz="6" w:space="0" w:color="auto"/>
              <w:left w:val="single" w:sz="6" w:space="0" w:color="auto"/>
              <w:bottom w:val="single" w:sz="6" w:space="0" w:color="auto"/>
              <w:right w:val="single" w:sz="6" w:space="0" w:color="auto"/>
            </w:tcBorders>
          </w:tcPr>
          <w:p w14:paraId="6185A07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35DD2828" w14:textId="77777777" w:rsidTr="00CC5360">
        <w:trPr>
          <w:trHeight w:val="326"/>
        </w:trPr>
        <w:tc>
          <w:tcPr>
            <w:tcW w:w="1267" w:type="dxa"/>
            <w:gridSpan w:val="2"/>
            <w:tcBorders>
              <w:top w:val="single" w:sz="6" w:space="0" w:color="auto"/>
              <w:left w:val="single" w:sz="6" w:space="0" w:color="auto"/>
              <w:bottom w:val="single" w:sz="6" w:space="0" w:color="auto"/>
              <w:right w:val="single" w:sz="6" w:space="0" w:color="auto"/>
            </w:tcBorders>
          </w:tcPr>
          <w:p w14:paraId="32A3351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Автомашины легковые</w:t>
            </w:r>
          </w:p>
        </w:tc>
        <w:tc>
          <w:tcPr>
            <w:tcW w:w="557" w:type="dxa"/>
            <w:gridSpan w:val="2"/>
            <w:tcBorders>
              <w:top w:val="single" w:sz="6" w:space="0" w:color="auto"/>
              <w:left w:val="single" w:sz="6" w:space="0" w:color="auto"/>
              <w:bottom w:val="single" w:sz="6" w:space="0" w:color="auto"/>
              <w:right w:val="single" w:sz="6" w:space="0" w:color="auto"/>
            </w:tcBorders>
          </w:tcPr>
          <w:p w14:paraId="3A3809C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605" w:type="dxa"/>
            <w:gridSpan w:val="2"/>
            <w:tcBorders>
              <w:top w:val="single" w:sz="6" w:space="0" w:color="auto"/>
              <w:left w:val="single" w:sz="6" w:space="0" w:color="auto"/>
              <w:bottom w:val="single" w:sz="6" w:space="0" w:color="auto"/>
              <w:right w:val="single" w:sz="6" w:space="0" w:color="auto"/>
            </w:tcBorders>
          </w:tcPr>
          <w:p w14:paraId="12DBABA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2"/>
            <w:tcBorders>
              <w:top w:val="single" w:sz="6" w:space="0" w:color="auto"/>
              <w:left w:val="single" w:sz="6" w:space="0" w:color="auto"/>
              <w:bottom w:val="single" w:sz="6" w:space="0" w:color="auto"/>
              <w:right w:val="single" w:sz="6" w:space="0" w:color="auto"/>
            </w:tcBorders>
          </w:tcPr>
          <w:p w14:paraId="1055CEE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568" w:type="dxa"/>
            <w:tcBorders>
              <w:top w:val="single" w:sz="6" w:space="0" w:color="auto"/>
              <w:left w:val="single" w:sz="6" w:space="0" w:color="auto"/>
              <w:bottom w:val="single" w:sz="6" w:space="0" w:color="auto"/>
              <w:right w:val="single" w:sz="6" w:space="0" w:color="auto"/>
            </w:tcBorders>
          </w:tcPr>
          <w:p w14:paraId="46EF89E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6E8B154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01" w:type="dxa"/>
            <w:gridSpan w:val="2"/>
            <w:tcBorders>
              <w:top w:val="single" w:sz="6" w:space="0" w:color="auto"/>
              <w:left w:val="single" w:sz="6" w:space="0" w:color="auto"/>
              <w:bottom w:val="single" w:sz="6" w:space="0" w:color="auto"/>
              <w:right w:val="single" w:sz="6" w:space="0" w:color="auto"/>
            </w:tcBorders>
          </w:tcPr>
          <w:p w14:paraId="68BCFA6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4DEE33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25" w:type="dxa"/>
            <w:gridSpan w:val="2"/>
            <w:tcBorders>
              <w:top w:val="single" w:sz="6" w:space="0" w:color="auto"/>
              <w:left w:val="single" w:sz="6" w:space="0" w:color="auto"/>
              <w:bottom w:val="single" w:sz="6" w:space="0" w:color="auto"/>
              <w:right w:val="single" w:sz="6" w:space="0" w:color="auto"/>
            </w:tcBorders>
          </w:tcPr>
          <w:p w14:paraId="65BF656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Borders>
              <w:top w:val="single" w:sz="6" w:space="0" w:color="auto"/>
              <w:left w:val="single" w:sz="6" w:space="0" w:color="auto"/>
              <w:bottom w:val="single" w:sz="6" w:space="0" w:color="auto"/>
              <w:right w:val="single" w:sz="6" w:space="0" w:color="auto"/>
            </w:tcBorders>
          </w:tcPr>
          <w:p w14:paraId="7AA1477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183FFC3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69BBD59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20" w:type="dxa"/>
            <w:gridSpan w:val="2"/>
            <w:tcBorders>
              <w:top w:val="single" w:sz="6" w:space="0" w:color="auto"/>
              <w:left w:val="single" w:sz="6" w:space="0" w:color="auto"/>
              <w:bottom w:val="single" w:sz="6" w:space="0" w:color="auto"/>
              <w:right w:val="single" w:sz="6" w:space="0" w:color="auto"/>
            </w:tcBorders>
          </w:tcPr>
          <w:p w14:paraId="65FD2B1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3C6ADE2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gridSpan w:val="2"/>
            <w:tcBorders>
              <w:top w:val="single" w:sz="6" w:space="0" w:color="auto"/>
              <w:left w:val="single" w:sz="6" w:space="0" w:color="auto"/>
              <w:bottom w:val="single" w:sz="6" w:space="0" w:color="auto"/>
              <w:right w:val="single" w:sz="6" w:space="0" w:color="auto"/>
            </w:tcBorders>
          </w:tcPr>
          <w:p w14:paraId="6AD9855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2FB1FB23" w14:textId="77777777" w:rsidTr="00CC5360">
        <w:trPr>
          <w:trHeight w:val="317"/>
        </w:trPr>
        <w:tc>
          <w:tcPr>
            <w:tcW w:w="1267" w:type="dxa"/>
            <w:gridSpan w:val="2"/>
            <w:tcBorders>
              <w:top w:val="single" w:sz="6" w:space="0" w:color="auto"/>
              <w:left w:val="single" w:sz="6" w:space="0" w:color="auto"/>
              <w:bottom w:val="single" w:sz="6" w:space="0" w:color="auto"/>
              <w:right w:val="single" w:sz="6" w:space="0" w:color="auto"/>
            </w:tcBorders>
          </w:tcPr>
          <w:p w14:paraId="005A606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Автомашины грузовые</w:t>
            </w:r>
          </w:p>
        </w:tc>
        <w:tc>
          <w:tcPr>
            <w:tcW w:w="557" w:type="dxa"/>
            <w:gridSpan w:val="2"/>
            <w:tcBorders>
              <w:top w:val="single" w:sz="6" w:space="0" w:color="auto"/>
              <w:left w:val="single" w:sz="6" w:space="0" w:color="auto"/>
              <w:bottom w:val="single" w:sz="6" w:space="0" w:color="auto"/>
              <w:right w:val="single" w:sz="6" w:space="0" w:color="auto"/>
            </w:tcBorders>
          </w:tcPr>
          <w:p w14:paraId="262FEE2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w:t>
            </w:r>
          </w:p>
        </w:tc>
        <w:tc>
          <w:tcPr>
            <w:tcW w:w="605" w:type="dxa"/>
            <w:gridSpan w:val="2"/>
            <w:tcBorders>
              <w:top w:val="single" w:sz="6" w:space="0" w:color="auto"/>
              <w:left w:val="single" w:sz="6" w:space="0" w:color="auto"/>
              <w:bottom w:val="single" w:sz="6" w:space="0" w:color="auto"/>
              <w:right w:val="single" w:sz="6" w:space="0" w:color="auto"/>
            </w:tcBorders>
          </w:tcPr>
          <w:p w14:paraId="17D15A7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2"/>
            <w:tcBorders>
              <w:top w:val="single" w:sz="6" w:space="0" w:color="auto"/>
              <w:left w:val="single" w:sz="6" w:space="0" w:color="auto"/>
              <w:bottom w:val="single" w:sz="6" w:space="0" w:color="auto"/>
              <w:right w:val="single" w:sz="6" w:space="0" w:color="auto"/>
            </w:tcBorders>
          </w:tcPr>
          <w:p w14:paraId="558863D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w:t>
            </w:r>
          </w:p>
        </w:tc>
        <w:tc>
          <w:tcPr>
            <w:tcW w:w="568" w:type="dxa"/>
            <w:tcBorders>
              <w:top w:val="single" w:sz="6" w:space="0" w:color="auto"/>
              <w:left w:val="single" w:sz="6" w:space="0" w:color="auto"/>
              <w:bottom w:val="single" w:sz="6" w:space="0" w:color="auto"/>
              <w:right w:val="single" w:sz="6" w:space="0" w:color="auto"/>
            </w:tcBorders>
          </w:tcPr>
          <w:p w14:paraId="6C6B1C6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642E5BF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01" w:type="dxa"/>
            <w:gridSpan w:val="2"/>
            <w:tcBorders>
              <w:top w:val="single" w:sz="6" w:space="0" w:color="auto"/>
              <w:left w:val="single" w:sz="6" w:space="0" w:color="auto"/>
              <w:bottom w:val="single" w:sz="6" w:space="0" w:color="auto"/>
              <w:right w:val="single" w:sz="6" w:space="0" w:color="auto"/>
            </w:tcBorders>
          </w:tcPr>
          <w:p w14:paraId="618AC89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43EACC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25" w:type="dxa"/>
            <w:gridSpan w:val="2"/>
            <w:tcBorders>
              <w:top w:val="single" w:sz="6" w:space="0" w:color="auto"/>
              <w:left w:val="single" w:sz="6" w:space="0" w:color="auto"/>
              <w:bottom w:val="single" w:sz="6" w:space="0" w:color="auto"/>
              <w:right w:val="single" w:sz="6" w:space="0" w:color="auto"/>
            </w:tcBorders>
          </w:tcPr>
          <w:p w14:paraId="137789F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Borders>
              <w:top w:val="single" w:sz="6" w:space="0" w:color="auto"/>
              <w:left w:val="single" w:sz="6" w:space="0" w:color="auto"/>
              <w:bottom w:val="single" w:sz="6" w:space="0" w:color="auto"/>
              <w:right w:val="single" w:sz="6" w:space="0" w:color="auto"/>
            </w:tcBorders>
          </w:tcPr>
          <w:p w14:paraId="6BF5891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459A5EC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4E32BD2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0" w:type="dxa"/>
            <w:gridSpan w:val="2"/>
            <w:tcBorders>
              <w:top w:val="single" w:sz="6" w:space="0" w:color="auto"/>
              <w:left w:val="single" w:sz="6" w:space="0" w:color="auto"/>
              <w:bottom w:val="single" w:sz="6" w:space="0" w:color="auto"/>
              <w:right w:val="single" w:sz="6" w:space="0" w:color="auto"/>
            </w:tcBorders>
          </w:tcPr>
          <w:p w14:paraId="0B8F583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1538D23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gridSpan w:val="2"/>
            <w:tcBorders>
              <w:top w:val="single" w:sz="6" w:space="0" w:color="auto"/>
              <w:left w:val="single" w:sz="6" w:space="0" w:color="auto"/>
              <w:bottom w:val="single" w:sz="6" w:space="0" w:color="auto"/>
              <w:right w:val="single" w:sz="6" w:space="0" w:color="auto"/>
            </w:tcBorders>
          </w:tcPr>
          <w:p w14:paraId="3FE42D7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DFE7197" w14:textId="77777777" w:rsidTr="00CC5360">
        <w:trPr>
          <w:trHeight w:val="346"/>
        </w:trPr>
        <w:tc>
          <w:tcPr>
            <w:tcW w:w="1267" w:type="dxa"/>
            <w:gridSpan w:val="2"/>
            <w:tcBorders>
              <w:top w:val="single" w:sz="6" w:space="0" w:color="auto"/>
              <w:left w:val="single" w:sz="6" w:space="0" w:color="auto"/>
              <w:bottom w:val="single" w:sz="6" w:space="0" w:color="auto"/>
              <w:right w:val="single" w:sz="6" w:space="0" w:color="auto"/>
            </w:tcBorders>
          </w:tcPr>
          <w:p w14:paraId="59FC48A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Тракторы</w:t>
            </w:r>
          </w:p>
        </w:tc>
        <w:tc>
          <w:tcPr>
            <w:tcW w:w="557" w:type="dxa"/>
            <w:gridSpan w:val="2"/>
            <w:tcBorders>
              <w:top w:val="single" w:sz="6" w:space="0" w:color="auto"/>
              <w:left w:val="single" w:sz="6" w:space="0" w:color="auto"/>
              <w:bottom w:val="single" w:sz="6" w:space="0" w:color="auto"/>
              <w:right w:val="single" w:sz="6" w:space="0" w:color="auto"/>
            </w:tcBorders>
          </w:tcPr>
          <w:p w14:paraId="3E7D025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05" w:type="dxa"/>
            <w:gridSpan w:val="2"/>
            <w:tcBorders>
              <w:top w:val="single" w:sz="6" w:space="0" w:color="auto"/>
              <w:left w:val="single" w:sz="6" w:space="0" w:color="auto"/>
              <w:bottom w:val="single" w:sz="6" w:space="0" w:color="auto"/>
              <w:right w:val="single" w:sz="6" w:space="0" w:color="auto"/>
            </w:tcBorders>
          </w:tcPr>
          <w:p w14:paraId="5CCEC5B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2"/>
            <w:tcBorders>
              <w:top w:val="single" w:sz="6" w:space="0" w:color="auto"/>
              <w:left w:val="single" w:sz="6" w:space="0" w:color="auto"/>
              <w:bottom w:val="single" w:sz="6" w:space="0" w:color="auto"/>
              <w:right w:val="single" w:sz="6" w:space="0" w:color="auto"/>
            </w:tcBorders>
          </w:tcPr>
          <w:p w14:paraId="0384446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568" w:type="dxa"/>
            <w:tcBorders>
              <w:top w:val="single" w:sz="6" w:space="0" w:color="auto"/>
              <w:left w:val="single" w:sz="6" w:space="0" w:color="auto"/>
              <w:bottom w:val="single" w:sz="6" w:space="0" w:color="auto"/>
              <w:right w:val="single" w:sz="6" w:space="0" w:color="auto"/>
            </w:tcBorders>
          </w:tcPr>
          <w:p w14:paraId="04417A2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EF8671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 w:type="dxa"/>
            <w:gridSpan w:val="2"/>
            <w:tcBorders>
              <w:top w:val="single" w:sz="6" w:space="0" w:color="auto"/>
              <w:left w:val="single" w:sz="6" w:space="0" w:color="auto"/>
              <w:bottom w:val="single" w:sz="6" w:space="0" w:color="auto"/>
              <w:right w:val="single" w:sz="6" w:space="0" w:color="auto"/>
            </w:tcBorders>
          </w:tcPr>
          <w:p w14:paraId="7A96A76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0A1FFE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25" w:type="dxa"/>
            <w:gridSpan w:val="2"/>
            <w:tcBorders>
              <w:top w:val="single" w:sz="6" w:space="0" w:color="auto"/>
              <w:left w:val="single" w:sz="6" w:space="0" w:color="auto"/>
              <w:bottom w:val="single" w:sz="6" w:space="0" w:color="auto"/>
              <w:right w:val="single" w:sz="6" w:space="0" w:color="auto"/>
            </w:tcBorders>
          </w:tcPr>
          <w:p w14:paraId="61E30BC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Borders>
              <w:top w:val="single" w:sz="6" w:space="0" w:color="auto"/>
              <w:left w:val="single" w:sz="6" w:space="0" w:color="auto"/>
              <w:bottom w:val="single" w:sz="6" w:space="0" w:color="auto"/>
              <w:right w:val="single" w:sz="6" w:space="0" w:color="auto"/>
            </w:tcBorders>
          </w:tcPr>
          <w:p w14:paraId="5E47700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75A11A8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4083750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20" w:type="dxa"/>
            <w:gridSpan w:val="2"/>
            <w:tcBorders>
              <w:top w:val="single" w:sz="6" w:space="0" w:color="auto"/>
              <w:left w:val="single" w:sz="6" w:space="0" w:color="auto"/>
              <w:bottom w:val="single" w:sz="6" w:space="0" w:color="auto"/>
              <w:right w:val="single" w:sz="6" w:space="0" w:color="auto"/>
            </w:tcBorders>
          </w:tcPr>
          <w:p w14:paraId="0E2E3CA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1ED8BC3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0" w:type="dxa"/>
            <w:gridSpan w:val="2"/>
            <w:tcBorders>
              <w:top w:val="single" w:sz="6" w:space="0" w:color="auto"/>
              <w:left w:val="single" w:sz="6" w:space="0" w:color="auto"/>
              <w:bottom w:val="single" w:sz="6" w:space="0" w:color="auto"/>
              <w:right w:val="single" w:sz="6" w:space="0" w:color="auto"/>
            </w:tcBorders>
          </w:tcPr>
          <w:p w14:paraId="7BB947A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558700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Врид начальника 10 отдела управления трофейного вооружения и имущества ГУТ КА полковник Капралов</w:t>
      </w:r>
    </w:p>
    <w:p w14:paraId="5CCE323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11386. Д. 135. Л. 1-2. Подлинник (11211).</w:t>
      </w:r>
    </w:p>
    <w:p w14:paraId="6D68CC5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73B1B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ночью в Севастополь корабли за Приморской армией так и не пришли. Войска самостоятельно, без приказа, вернулись на позиции сражаться до новой ночи. Бой продолжался весь день вдоль линии побережья (4963 ).</w:t>
      </w:r>
    </w:p>
    <w:p w14:paraId="3976B05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581682"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вышло Постановление ГКО № 1954 О приведении 6, 5 и 3-й резервных армий в полную боевую готовность. (7039, 106-107).</w:t>
      </w:r>
    </w:p>
    <w:p w14:paraId="63643A5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1EEF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July 3 1942 Germans take Sevastopol (1050).</w:t>
      </w:r>
    </w:p>
    <w:p w14:paraId="18D7D2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BC0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немцы захватили Севастополь (438,848).</w:t>
      </w:r>
    </w:p>
    <w:p w14:paraId="19F256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F918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г. немецкие танки захватили плацдарм на восточном берегу Дона и вскоре вышли к Воронежу. Таким образом, за неделю стремительного наступления Вермахт преодолел 150 км. Узнав об этих событиях, пусть и в искаженной форме, из сводок Совинформбюро, жители Саратова испытали страх. Даже любой школьник мог без труда посчитать, что расстояние от волжского города до линии фронта сократилось ровно на четверть. Да тут еще пришло известие о падении Севастополя, означавшее, что весь Крым отныне в руках немцев. Саратовцы еще не оправились от недавних налетов авиации, и в силу всего этого в городе в эти жаркие июльские дни царила очень возбужденная обстановка. Тем более люди, приезжавшие на поездах, рассказывали, что немцы бомбят железные дороги где-то в районе Борисоглебска и Уварово (11774).</w:t>
      </w:r>
    </w:p>
    <w:p w14:paraId="6F3241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1854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вышло Постановление ГКО № 1952 О назначении т. Воронцова П.С. членом Калининского штаба партизанского движения. РГАНИР, Фонд ГКО, д. 40, лл. 104 (11012).</w:t>
      </w:r>
    </w:p>
    <w:p w14:paraId="1E622C6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D13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вышло Постановление ГКО № 1953 О т. Клокове В.Я. РГАНИР, Фонд ГКО, д. 40, лл. 105 (11012).</w:t>
      </w:r>
    </w:p>
    <w:p w14:paraId="22E856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75E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вышло Постановление ГКО № 1954 О приведении 6, 5 и 3-й резервных армий в полную боевую готовность. РГАНИР, Фонд ГКО, д. 40, лл. 106-107 (11012).</w:t>
      </w:r>
    </w:p>
    <w:p w14:paraId="20C6A9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6C98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вышло Постановление ГКО № 1956 О повышении окладов содержания руководящему начальствующему составу военно-учебных заведений Красной Армии. РГАНИР, Фонд ГКО, д. 40, лл. 109 (11012).</w:t>
      </w:r>
    </w:p>
    <w:p w14:paraId="61272D3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DF4E4"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47A89B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2811CE"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июля 1942 года состоялся первый полет прототип Martin XPB2M-1 Mars (20793).</w:t>
      </w:r>
    </w:p>
    <w:p w14:paraId="5F3FC501" w14:textId="77777777" w:rsidR="00AD4360" w:rsidRPr="00722885" w:rsidRDefault="00AD4360" w:rsidP="00722885">
      <w:pPr>
        <w:spacing w:after="0" w:line="240" w:lineRule="auto"/>
        <w:jc w:val="both"/>
        <w:rPr>
          <w:rFonts w:ascii="Times New Roman" w:hAnsi="Times New Roman"/>
          <w:color w:val="0070C0"/>
          <w:sz w:val="16"/>
          <w:szCs w:val="16"/>
        </w:rPr>
      </w:pPr>
    </w:p>
    <w:p w14:paraId="2C75A7E8" w14:textId="77777777" w:rsidR="00AD4360" w:rsidRPr="00722885" w:rsidRDefault="00AD43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июля 1942 - Первый полет опытного образца XPB2M-1 летающей лодки Martin 170, которую предполагалось использовать в качестве патрульного бомбардировщика. Затем было принято решение о превращении самолета в транспортный. Он был переименован в XPB2M-1R и в декабре 1943 года поступил в эксплуатацию. Этот самолет до сих пор остается самой крупной летающей лодкой ВМФ США (22441).</w:t>
      </w:r>
    </w:p>
    <w:p w14:paraId="38B74261" w14:textId="77777777" w:rsidR="00AD4360" w:rsidRPr="00722885" w:rsidRDefault="00AD4360" w:rsidP="00722885">
      <w:pPr>
        <w:spacing w:after="0" w:line="240" w:lineRule="auto"/>
        <w:jc w:val="both"/>
        <w:rPr>
          <w:rFonts w:ascii="Times New Roman" w:hAnsi="Times New Roman"/>
          <w:color w:val="0070C0"/>
          <w:sz w:val="16"/>
          <w:szCs w:val="16"/>
        </w:rPr>
      </w:pPr>
    </w:p>
    <w:p w14:paraId="2A5BD0D1"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 июля</w:t>
      </w:r>
      <w:r w:rsidRPr="00722885">
        <w:rPr>
          <w:rFonts w:ascii="Times New Roman" w:hAnsi="Times New Roman"/>
          <w:color w:val="000000" w:themeColor="text1"/>
          <w:sz w:val="16"/>
          <w:szCs w:val="16"/>
        </w:rPr>
        <w:t xml:space="preserve"> в 1942 году министерство авиации заключило с компанией "Де Хевилленд" контракт на постройку экспериментального "Москито", оснащенного двумя высотными моторами "Мерлин" 61 и герметичной кабиной. Для этого «W40502 вернули на завод в Хатфилд, где были выполнены соответствующие переделки. В частности, на самолете смонтировали четырехлопастные винты. Мощность "Мерлина" 61 у земли была практически той же, что и у 21-й модели, зато на высоте 7170 м за счет применения двухступенчатого двухскоростного компрессора она сохранялась на уровне 1390 л.с. Теоретически это позволяло получить очень высокую скорость. Однако уже в первых полетах обнаружилась сильная вибрация силовой установки на высотах более 4500 м. Аналогичные явления наблюдались и на "Спитфайрах" с "Мерлинами" 61. Машина требовала длительной доводки (14941).</w:t>
      </w:r>
    </w:p>
    <w:p w14:paraId="1F66999A" w14:textId="77777777" w:rsidR="00030668" w:rsidRPr="00722885" w:rsidRDefault="00030668" w:rsidP="00722885">
      <w:pPr>
        <w:spacing w:after="0" w:line="240" w:lineRule="auto"/>
        <w:jc w:val="both"/>
        <w:rPr>
          <w:rFonts w:ascii="Times New Roman" w:hAnsi="Times New Roman"/>
          <w:color w:val="000000" w:themeColor="text1"/>
          <w:sz w:val="16"/>
          <w:szCs w:val="16"/>
        </w:rPr>
      </w:pPr>
    </w:p>
    <w:p w14:paraId="3E1F5AD9"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 июля</w:t>
      </w:r>
      <w:r w:rsidRPr="00722885">
        <w:rPr>
          <w:rFonts w:ascii="Times New Roman" w:hAnsi="Times New Roman"/>
          <w:color w:val="000000" w:themeColor="text1"/>
          <w:sz w:val="16"/>
          <w:szCs w:val="16"/>
        </w:rPr>
        <w:t xml:space="preserve"> в 1942 году завершились (с 23 июня) тестовые полеты </w:t>
      </w:r>
      <w:hyperlink r:id="rId6" w:tgtFrame="_blank" w:history="1">
        <w:r w:rsidRPr="00722885">
          <w:rPr>
            <w:rFonts w:ascii="Times New Roman" w:hAnsi="Times New Roman"/>
            <w:color w:val="000000" w:themeColor="text1"/>
            <w:sz w:val="16"/>
            <w:szCs w:val="16"/>
          </w:rPr>
          <w:t xml:space="preserve">«Z.1015», </w:t>
        </w:r>
      </w:hyperlink>
      <w:r w:rsidRPr="00722885">
        <w:rPr>
          <w:rFonts w:ascii="Times New Roman" w:hAnsi="Times New Roman"/>
          <w:color w:val="000000" w:themeColor="text1"/>
          <w:sz w:val="16"/>
          <w:szCs w:val="16"/>
        </w:rPr>
        <w:t>полностью его реабилитировавшие. «Z.1015» показал скорость 563 км\ч при прежних характеристиках грузоподъёмности и дальности. Большие нарекания вызывала только большая масса самолёта и отсутствие бронирования, что могло сделать его лёгкой добычей вражеской ПВО и истребителей. От серийного производства «Z.1015» отказались, но с конца 1942 года самолёт передали в ограниченную эксплуатацию. К перемирию он находился в распоряжении фирмы и вероятнее всего был захвачен немецкими войсками, после чего следы единственного экземпляра «Z.1015» теряются (14941).</w:t>
      </w:r>
    </w:p>
    <w:p w14:paraId="53ED0F9F" w14:textId="77777777" w:rsidR="00030668" w:rsidRPr="00722885" w:rsidRDefault="00030668" w:rsidP="00722885">
      <w:pPr>
        <w:spacing w:after="0" w:line="240" w:lineRule="auto"/>
        <w:jc w:val="both"/>
        <w:rPr>
          <w:rFonts w:ascii="Times New Roman" w:hAnsi="Times New Roman"/>
          <w:color w:val="000000" w:themeColor="text1"/>
          <w:sz w:val="16"/>
          <w:szCs w:val="16"/>
        </w:rPr>
      </w:pPr>
    </w:p>
    <w:p w14:paraId="487D29F7"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lastRenderedPageBreak/>
        <w:t>3 июля</w:t>
      </w:r>
      <w:r w:rsidRPr="00722885">
        <w:rPr>
          <w:rFonts w:ascii="Times New Roman" w:hAnsi="Times New Roman"/>
          <w:color w:val="000000" w:themeColor="text1"/>
          <w:sz w:val="16"/>
          <w:szCs w:val="16"/>
        </w:rPr>
        <w:t xml:space="preserve"> в 1942 году первый полет опытного образца </w:t>
      </w:r>
      <w:hyperlink r:id="rId7" w:tgtFrame="_blank" w:history="1">
        <w:r w:rsidRPr="00722885">
          <w:rPr>
            <w:rFonts w:ascii="Times New Roman" w:hAnsi="Times New Roman"/>
            <w:color w:val="000000" w:themeColor="text1"/>
            <w:sz w:val="16"/>
            <w:szCs w:val="16"/>
          </w:rPr>
          <w:t xml:space="preserve">«XPB2M-1» </w:t>
        </w:r>
      </w:hyperlink>
      <w:r w:rsidRPr="00722885">
        <w:rPr>
          <w:rFonts w:ascii="Times New Roman" w:hAnsi="Times New Roman"/>
          <w:color w:val="000000" w:themeColor="text1"/>
          <w:sz w:val="16"/>
          <w:szCs w:val="16"/>
        </w:rPr>
        <w:t>летающей лодки «Martin 170», которую предполагалось использовать в качестве патрульного бомбардировщика. Затем было принято решение о превращении самолета в транспортный. Он был переименован в «XPB2M-1R» и в декабре 1943 года поступил в эксплуатацию. Этот самолет до сих пор остается самой крупной летающей лодкой ВМФ США (14941).</w:t>
      </w:r>
    </w:p>
    <w:p w14:paraId="04BFD575" w14:textId="77777777" w:rsidR="00030668" w:rsidRPr="00722885" w:rsidRDefault="00030668" w:rsidP="00722885">
      <w:pPr>
        <w:spacing w:after="0" w:line="240" w:lineRule="auto"/>
        <w:jc w:val="both"/>
        <w:rPr>
          <w:rFonts w:ascii="Times New Roman" w:hAnsi="Times New Roman"/>
          <w:color w:val="000000" w:themeColor="text1"/>
          <w:sz w:val="16"/>
          <w:szCs w:val="16"/>
        </w:rPr>
      </w:pPr>
    </w:p>
    <w:p w14:paraId="4E6C8C1F" w14:textId="77777777" w:rsidR="00030668" w:rsidRPr="00722885" w:rsidRDefault="00030668"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произошли успешные испытания противолодочной ракеты Калифорнийского технологического (Калтеха), выпущенной вертикально вниз в полете с самолета PBY-5A (1090).</w:t>
      </w:r>
    </w:p>
    <w:p w14:paraId="354857F4" w14:textId="77777777" w:rsidR="00030668" w:rsidRPr="00722885" w:rsidRDefault="00030668"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630B8D" w14:textId="77777777" w:rsidR="00030668" w:rsidRPr="00722885" w:rsidRDefault="00030668"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3 июля 1942 на аэродроме Голдстоун Лэйк, ш Калифорния, США, при старте PBY-5A использовали ракетные ускорители. Пилотировал</w:t>
      </w:r>
      <w:r w:rsidRPr="00722885">
        <w:rPr>
          <w:rFonts w:ascii="Times New Roman" w:hAnsi="Times New Roman"/>
          <w:color w:val="000000" w:themeColor="text1"/>
          <w:sz w:val="16"/>
          <w:szCs w:val="16"/>
          <w:lang w:val="en-US"/>
        </w:rPr>
        <w:t xml:space="preserve"> John Hean (2990).</w:t>
      </w:r>
    </w:p>
    <w:p w14:paraId="79BEE6E0" w14:textId="77777777" w:rsidR="00030668" w:rsidRPr="00722885" w:rsidRDefault="00030668"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AC2A9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 xml:space="preserve">3 </w:t>
      </w:r>
      <w:r w:rsidRPr="00722885">
        <w:rPr>
          <w:rFonts w:ascii="Times New Roman" w:hAnsi="Times New Roman"/>
          <w:color w:val="000000" w:themeColor="text1"/>
          <w:sz w:val="16"/>
          <w:szCs w:val="16"/>
        </w:rPr>
        <w:t>июля</w:t>
      </w:r>
      <w:r w:rsidRPr="00722885">
        <w:rPr>
          <w:rFonts w:ascii="Times New Roman" w:hAnsi="Times New Roman"/>
          <w:color w:val="000000" w:themeColor="text1"/>
          <w:sz w:val="16"/>
          <w:szCs w:val="16"/>
          <w:lang w:val="en-US"/>
        </w:rPr>
        <w:t xml:space="preserve"> 1942 </w:t>
      </w:r>
      <w:r w:rsidRPr="00722885">
        <w:rPr>
          <w:rFonts w:ascii="Times New Roman" w:hAnsi="Times New Roman"/>
          <w:color w:val="000000" w:themeColor="text1"/>
          <w:sz w:val="16"/>
          <w:szCs w:val="16"/>
        </w:rPr>
        <w:t>вКраковенацистамирасстреляны</w:t>
      </w:r>
      <w:r w:rsidRPr="00722885">
        <w:rPr>
          <w:rFonts w:ascii="Times New Roman" w:hAnsi="Times New Roman"/>
          <w:color w:val="000000" w:themeColor="text1"/>
          <w:sz w:val="16"/>
          <w:szCs w:val="16"/>
          <w:lang w:val="en-US"/>
        </w:rPr>
        <w:t xml:space="preserve"> 93 </w:t>
      </w:r>
      <w:r w:rsidRPr="00722885">
        <w:rPr>
          <w:rFonts w:ascii="Times New Roman" w:hAnsi="Times New Roman"/>
          <w:color w:val="000000" w:themeColor="text1"/>
          <w:sz w:val="16"/>
          <w:szCs w:val="16"/>
        </w:rPr>
        <w:t>цыгана</w:t>
      </w:r>
      <w:r w:rsidRPr="00722885">
        <w:rPr>
          <w:rFonts w:ascii="Times New Roman" w:hAnsi="Times New Roman"/>
          <w:color w:val="000000" w:themeColor="text1"/>
          <w:sz w:val="16"/>
          <w:szCs w:val="16"/>
          <w:lang w:val="en-US"/>
        </w:rPr>
        <w:t xml:space="preserve"> (4962).</w:t>
      </w:r>
    </w:p>
    <w:p w14:paraId="06EACF95"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792A29B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3rd, 1942: In Egypt, due to exhaustion and lack of supplies, especially fuel for the armored divisions, German and Italian forces of the Afrikakorps suspend all offensive operations before El Alamein and begin constructing defensive positions (3819).</w:t>
      </w:r>
    </w:p>
    <w:p w14:paraId="61905B1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02EE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из-за исчерпания горючего и боеприпасов немецкие и итальянские части Африканского корпуса приостановили наступление на Эль Аламейн и перешли к обороне (3819).</w:t>
      </w:r>
    </w:p>
    <w:p w14:paraId="5D7ADA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BA4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3 1942 In the first successful firing of an American rocket from a plane in flight, Lieutenant Commander J. H. Hean, Gunnery Officer of Transition Training Squadron, Pacific Fleet, fired a retro-rocket from a PBY-5A in flight at Goldstone Lake, Calif. The rocket, designed to be fired aft with a velocity equal to the forward velocity of the airplane, and thus to fall vertically, was designed at the California Institute of Technology. Following successful tests, the retro-rocket became a weapon complementary to the magnetic airborne detector with Patrol Squadron 63 receiving the first service installation in February 1943 (1090).</w:t>
      </w:r>
    </w:p>
    <w:p w14:paraId="1E438C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07BA6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1942 японцы высадились на Гвадалканале (2245,7).</w:t>
      </w:r>
    </w:p>
    <w:p w14:paraId="429C18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E2F8B"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2D52F0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DA20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4 по 14 июля 1942 проходили гос. испытания Як-1б М-105ПА с улучшенным обзором, вооружением, бронированием. А.Г.Прошаков и летчики облета П.М.Стефановский, А.Г.Кочетков, Л.М.Кувшинов, В.И.Хомяков выполнили 16 полетов и налетали 8:15. В инженером был М.А.Пронин, а т Л.В.Николаев (65,66). Самолет N 35-60 (796,4).</w:t>
      </w:r>
    </w:p>
    <w:p w14:paraId="082FF0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D75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вышел приказ № 488с:</w:t>
      </w:r>
    </w:p>
    <w:p w14:paraId="14F5DC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Ввиду того, что большая часть мощности опытного з-да № 294 используется не выполнение серийных заказов по изделиям из плпстмасс:</w:t>
      </w:r>
    </w:p>
    <w:p w14:paraId="371FA6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Передать з-д 294 совместно с ОКБ ГК Д.А.Михайлова из 7 ГУ в 10 ГУ и организовать з-д как филиал з-да 22</w:t>
      </w:r>
    </w:p>
    <w:p w14:paraId="544AF0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Д-ру з-да 294 И.П.Младенцеву передать, а д-ру з-да 22 Окулову В.А принять зд- 294.</w:t>
      </w:r>
    </w:p>
    <w:p w14:paraId="59F19A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Дементьев (1574, 59).</w:t>
      </w:r>
    </w:p>
    <w:p w14:paraId="24C318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365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вышел приказ НКАП N 489сс в изменение 2-го п. приказа 342сс от 3 мая 1942 о постройке деревянного дешевого самолета с 2М-11 конструкции А.С.Я.</w:t>
      </w:r>
    </w:p>
    <w:p w14:paraId="10A3D0E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И.о. нач. ПГУ Шиц и директору завода 47 Шаройко опытные образцы деревянного дешевого самолета с 2М-11 и войсковую серию в количестве 10 экз. построить на заводе 47, имея в виду дальнейшее серийное производство этого самолета на заводе 47 (1574,64).</w:t>
      </w:r>
    </w:p>
    <w:p w14:paraId="779262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7D1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г. по приказу НКАП № 488с в состав завода № 22 влит также опытный завод № 294 НКАП 7ГУ. По приказу № 755с от 16.12.1943 г. завод № 294 вновь выделен из состава завода № 22 в самостоятельный с 1.01.1944 г. (11982).</w:t>
      </w:r>
    </w:p>
    <w:p w14:paraId="696BD9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FA8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г. по приказу № 488с ОКБ по материалам гл. конструктора Д.А. Михайлова, образованное в Казани, было передано вместе с заводом в подчинение вновь образованному заводу № 22 НКАП в качестве филиала. Экспериментальные работы по крупноблочному прессованию пластмасс переданы в ВИАМ. По приказу № 789с от 19.10.1942 г. коллектив гл. конструктора Д.А. Михайлова со всем оборудованием и заделом переведен в состав вновь образованной группы ПМ (пластмасс) при заводе № 464 (11982).</w:t>
      </w:r>
    </w:p>
    <w:p w14:paraId="6177868F" w14:textId="77777777" w:rsidR="00030668" w:rsidRPr="00722885" w:rsidRDefault="00030668"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720A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1930 году на месте завода находились ремонтные мастерские 4-го Московского авиатехникума ГВФ, где производился мелкий ремонт агрегатов и аппаратуры моторов М-11. В январе 1932 года постановлением Правительства указанным мастерским был присвоен № 63 ГВФ, директором которого был назначен Емельянов. В конце 1933 года по решению Правительства заводу № 63 был присвоен № 82. Первое задание завод получил по изготовлению унифицированной семьи бензиновых звездообразных моторов воздушного охлаждения: МГ-11, МГ-21, МГ-31 и изготовление запасных частей к М-11. В 1936 году на завод был назначен новый директор Войтов. Завод как опытный был подчинен НИИ ГВФ. В 1937 году директором был назначен Черников и завод снова выделили в самостоятельную единицу, как малосерийный завод. В 1937 году на заводе были сконструированы и изготовлены образцы учебного пятицилиндрового с воздушным охлаждением авиадвигателя Д-11 конструкции Мелькумова. В 1938 году согласно постановлению Правительства от 31 июля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4EFFD4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кадры и имущество завода 3 82 были переданы заводу № 27.</w:t>
      </w:r>
    </w:p>
    <w:p w14:paraId="479196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374C5F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0807EA5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32B632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12BB132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2DDA14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2263D7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Адрес: Тушино. Производственный профиль – авиамоторный (9861).</w:t>
      </w:r>
    </w:p>
    <w:p w14:paraId="6B46561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1C3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3590AF5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0AA252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1041DD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Адрес: Тушино. Производственный профиль – авиамоторный (9861).</w:t>
      </w:r>
    </w:p>
    <w:p w14:paraId="49CAC6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CB5A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654162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AC20D" w14:textId="77777777" w:rsidR="00C64375" w:rsidRPr="00722885" w:rsidRDefault="00C64375"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4 июля 1942 года вышло постановление ГКО №1961сс "О плане производства и поставок артиллерийского и стрелкового вооружения и военных приборов на июль и 3 квартал 1942 года". Пунктом 3 в нем значилось "прекратить с 1 июля 1942 года на заводе №74 Наркомвооружения производство 37 мм автоматических пушек". Отчасти это было связано и с результатами войсковых испытаний, и с тем, что ОКБ-16 работала над более удачной системой, в тот момент имевшей обозначение 11-П. Но про тот факт, что Ш-37 с производства снята, в ГАБТУ КА узнали только к февралю 1943 года (20346).</w:t>
      </w:r>
    </w:p>
    <w:p w14:paraId="44835DCA" w14:textId="77777777" w:rsidR="00C64375" w:rsidRPr="00722885" w:rsidRDefault="00C64375" w:rsidP="00722885">
      <w:pPr>
        <w:pStyle w:val="article-renderblock"/>
        <w:shd w:val="clear" w:color="auto" w:fill="FFFFFF"/>
        <w:spacing w:before="0" w:beforeAutospacing="0" w:after="0" w:afterAutospacing="0"/>
        <w:jc w:val="both"/>
        <w:rPr>
          <w:color w:val="0070C0"/>
          <w:sz w:val="16"/>
          <w:szCs w:val="16"/>
        </w:rPr>
      </w:pPr>
    </w:p>
    <w:p w14:paraId="1877D62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 июля 1942 года были проведены испытания 320-мм мин ГМ-320, изготовленных заводом №371, на герметичность корпусов и сварных швов с гидравлическим давлением до 10 атмосфер. Две мины 851 и 828 течи не дали и были направлены для снаряжения в ГИПХ. Всего из 16 испытываемых мин семь оказались годными, девять дали течь (6403, 42).</w:t>
      </w:r>
    </w:p>
    <w:p w14:paraId="485F36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B931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1960 О плане производства боеприпасов на июль месяц и III квартал 1942 г. РГАНИР, Фонд ГКО, д. 40, лл. 113-129, 130-372 (11012).</w:t>
      </w:r>
    </w:p>
    <w:p w14:paraId="66B54C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15FE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года Решением ГОКО № 1961сс в Москву возвращен ГПКИ-40 (9267).</w:t>
      </w:r>
    </w:p>
    <w:p w14:paraId="6B0972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B66B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1961 О плане производства и поставок артиллерийского и стрелкового вооружения и военных приборов на июль и III квартал 1942 г. РГАНИР, Фонд ГКО, д. 41, лл. 1-11, 12-63 (11012).</w:t>
      </w:r>
    </w:p>
    <w:p w14:paraId="52F021F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3F6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1962 О плане производства минометов на июль и III квартал 1942 г. РГАНИР, Фонд ГКО, д. 41, лл. 64-69, 70-84 (11012).</w:t>
      </w:r>
    </w:p>
    <w:p w14:paraId="6D1F54B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268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1963 О плане производства и поставок пулеметов-пистолетов Шпагина в июле и III квартале 1942 г. РГАНИР, Фонд ГКО, д. 41, лл. 85-89, 90-93 (11012).</w:t>
      </w:r>
    </w:p>
    <w:p w14:paraId="0580CB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129B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1964 О плане производства патронов и звеньев в третьем квартале и июле 1942 г. РГАНИР, Фонд ГКО, д. 41, лл. 94-96, 97-129 (11012).</w:t>
      </w:r>
    </w:p>
    <w:p w14:paraId="19EF7C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441F9"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июля 1942 г.</w:t>
      </w:r>
    </w:p>
    <w:p w14:paraId="32B3CDE4"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91 лист 211 – 209</w:t>
      </w:r>
    </w:p>
    <w:p w14:paraId="36EE74E7"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Сов. секретно</w:t>
      </w:r>
    </w:p>
    <w:p w14:paraId="750789EC"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499сс</w:t>
      </w:r>
    </w:p>
    <w:p w14:paraId="3D4311EE"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5113A037"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июля 1942 г.</w:t>
      </w:r>
    </w:p>
    <w:p w14:paraId="78F64621"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 исполнение постановления ГОКО от 3-го июля за № 1958сс ПРИКАЗЫВАЮ:</w:t>
      </w:r>
    </w:p>
    <w:p w14:paraId="1AED4C43"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Директорам заводов № 37 (т. Фрезерову), № 264 (т. Кордунеру) с 5 июля прекратить изготовление танков Т-60. Сохранить оснастку и часть мощностей для изготовления запасных частей к танку Т-60.</w:t>
      </w:r>
    </w:p>
    <w:p w14:paraId="1C936BF3"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Директору завода № 37 (т. Фрезерову) развернуть подготовку производства к выпуску танков Т-70 и обеспечить выпуск в июле месяце 25 танков Т-70 по следующему суточному графику:</w:t>
      </w:r>
    </w:p>
    <w:p w14:paraId="5EA1194D"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 декада – всего 5 шт.</w:t>
      </w:r>
    </w:p>
    <w:p w14:paraId="65547883"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III декада – по 2 шт. в день.</w:t>
      </w:r>
    </w:p>
    <w:p w14:paraId="74A015C0"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Имеющийся задел по танкам Т-60 сдать в запасные части ГАБТУ в счет плана, а имеющийся задел по корпусам танков Т-60, не могущий быть использован для танков Т-70 законсервировать.</w:t>
      </w:r>
    </w:p>
    <w:p w14:paraId="3C6F50A0"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Директору завода № 264 освободившиеся от производства мощности использовать для производства узлов и деталей для завода СТЗ по производству танков Т-34 и дизелей.</w:t>
      </w:r>
    </w:p>
    <w:p w14:paraId="1574D6EE"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Учесть, что часть оборудования моим дополнительным распоряжением будет изъята с завода и передана другим заводам, производящим танки Т-34 и дизеля.</w:t>
      </w:r>
    </w:p>
    <w:p w14:paraId="3E6622E8"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Остающийся задел по танкам Т-60 сдать в запасные части ГАБТУ в счет плана. Имеющийся задел готовых корпусов законсервировать.</w:t>
      </w:r>
    </w:p>
    <w:p w14:paraId="6F55EBD4"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Моему заместителю т. ГОРЕГЛЯД немедленно выехать в Сталинград и на месте установить объем кооперации по изготовлению деталей танков Т-34 и дизелей между заводами СТЗ и № 264. Разрешить использовать часть механического оборудования, освободившегося от производства танков Т-60 на увеличение производства корпусов танков Т-34.</w:t>
      </w:r>
    </w:p>
    <w:p w14:paraId="4E452424"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И.О. директора Кировского завода (т. Махонину):</w:t>
      </w:r>
    </w:p>
    <w:p w14:paraId="4D886A4B"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с 5 июля производить не больше 5 – 6 танков КВ в день, а всего в июле произвести не больше 150 танков КВ;</w:t>
      </w:r>
    </w:p>
    <w:p w14:paraId="0562AAB2"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немедленно приступить к подготовке производства танков Т-34 с тем, чтобы в августе произвести не менее 100 танков, а в сентябре не менее 250 танков Т-34;</w:t>
      </w:r>
    </w:p>
    <w:p w14:paraId="353B3446"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учесть, что означенным постановлением ГОКО разрешено подготовку производства тракторов С-10 на заводе временно приостановить с тем, чтобы облегчить Кировскому заводу переход на производство танков Т-34.</w:t>
      </w:r>
    </w:p>
    <w:p w14:paraId="3B513174"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немедленно командировать на завод № 183 рабочих и инженерно-технических работников: сборщиков танков, сдатчиков, обкатчиков, а также часть станочников для обучения их сборке, сдаче, обкатке и изготовлению отдельных деталей танков Т-34.</w:t>
      </w:r>
    </w:p>
    <w:p w14:paraId="34E308AE"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Директору Уралмашзавода (т. Музрукову) изготовить в июле месяце 100 корпусов танков КВ (облегченных) и 200 корпусов с башнями танков Т-34, из них 50 корпусов для Кировского завода, 50 корпусов для СТЗ и 100 корпусов для завода № 183.</w:t>
      </w:r>
    </w:p>
    <w:p w14:paraId="04D0D760"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Установить следующую программу производства танков Т-34 в июле месяце по заводам:</w:t>
      </w:r>
    </w:p>
    <w:p w14:paraId="5AE34162"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по заводу № 183 – 600 танков по следующему суточному графику:</w:t>
      </w:r>
    </w:p>
    <w:p w14:paraId="5B503FB1"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 декада по 18 шт. в день;</w:t>
      </w:r>
    </w:p>
    <w:p w14:paraId="30A84324"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 декада по 20 шт. в день;</w:t>
      </w:r>
    </w:p>
    <w:p w14:paraId="42248DC0"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III декада по 23 – 24 шт. в день.</w:t>
      </w:r>
    </w:p>
    <w:p w14:paraId="0F5ED825"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По СТЗ – 420 танков по следующему суточному графику:</w:t>
      </w:r>
    </w:p>
    <w:p w14:paraId="4496AB4E"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 декада по 13 шт. в день;</w:t>
      </w:r>
    </w:p>
    <w:p w14:paraId="63369B16"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 декада по 14 шт. в день;</w:t>
      </w:r>
    </w:p>
    <w:p w14:paraId="40E88D55"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III декада по 16 шт. в день.</w:t>
      </w:r>
    </w:p>
    <w:p w14:paraId="3482D6C3"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По заводу № 112 – 250 шт. по следующему суточному графику:</w:t>
      </w:r>
    </w:p>
    <w:p w14:paraId="1A75CB5D"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 декада по 7 шт. в день;</w:t>
      </w:r>
    </w:p>
    <w:p w14:paraId="34075E11"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 декада по 8 – 9 шт. в день;</w:t>
      </w:r>
    </w:p>
    <w:p w14:paraId="19B07D42"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III декада по 9 – 10 шт. в день.</w:t>
      </w:r>
    </w:p>
    <w:p w14:paraId="22C2009B"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По заводу № 174 – 50 шт. по следующему суточному графику:</w:t>
      </w:r>
    </w:p>
    <w:p w14:paraId="079DF38F"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 декада по 1 шт. в день;</w:t>
      </w:r>
    </w:p>
    <w:p w14:paraId="51955FBC"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 декада по 2 шт. в день;</w:t>
      </w:r>
    </w:p>
    <w:p w14:paraId="6A867E45"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III декада по 2 шт. в день.</w:t>
      </w:r>
    </w:p>
    <w:p w14:paraId="44A70824"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Установить следующую программу производства танков Т-70 по заводу № 38 – 150 шт. по следующему суточному графику:</w:t>
      </w:r>
    </w:p>
    <w:p w14:paraId="56F01635"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 декада по 3 шт. в день;</w:t>
      </w:r>
    </w:p>
    <w:p w14:paraId="5390D3E2"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 декада по 6 шт. в день;</w:t>
      </w:r>
    </w:p>
    <w:p w14:paraId="761D5CC4"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III декада по 6 – 7 шт. в день.</w:t>
      </w:r>
    </w:p>
    <w:p w14:paraId="5F7CB8F9"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Обязать Начальника 3-го Главного Управления т. ХАБАХПАШЕВА и директора завода № 180 (т. Суворова) немедленно прекратить на заводе № 180 производство корпусов танков Т-60 и приступить к производству корпусов танков Т-70, обеспечив в июле месяце изготовление 50 корпусов танков Т-70 и в августе 120 корпусов.</w:t>
      </w:r>
    </w:p>
    <w:p w14:paraId="4ED10657"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В изменение ранее изданного приказа – начальнику 3-го Главного Управления т. ХАБАХПАШЕВУ и директорам заводов № 176 т. ФЕДОТОВУ и № 177 т. ВОЛКОВУ изготовить в июле месяце корпусов для Т-70 на заводе № 176 – 350 шт. и на заводе № 177 – 150 шт.</w:t>
      </w:r>
    </w:p>
    <w:p w14:paraId="43ED284C"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ТАНКОВОЙ ПРОМЫШЛЕННОСТИ СОЮЗА ССР подпись И. ЗАЛЬЦМАН (21212).</w:t>
      </w:r>
    </w:p>
    <w:p w14:paraId="7C2FCCA3" w14:textId="77777777" w:rsidR="00C64375" w:rsidRPr="00722885" w:rsidRDefault="00C64375" w:rsidP="00722885">
      <w:pPr>
        <w:spacing w:after="0" w:line="240" w:lineRule="auto"/>
        <w:jc w:val="both"/>
        <w:rPr>
          <w:rFonts w:ascii="Times New Roman" w:hAnsi="Times New Roman"/>
          <w:color w:val="0070C0"/>
          <w:sz w:val="16"/>
          <w:szCs w:val="16"/>
        </w:rPr>
      </w:pPr>
    </w:p>
    <w:p w14:paraId="138679C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1965 Об эвакуации завода СК-3 из г.Ефремова. РГАНИР, Фонд ГКО, д. 41, лл. 130 (11012).</w:t>
      </w:r>
    </w:p>
    <w:p w14:paraId="28FBC3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571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1966 Об эвакуации оборудования, готовой продукции, материалов и рабочих предприятий Hаркомчермета Воронежской области. РГАНИР, Фонд ГКО, д. 41, лл. 131-132, 133-136 (11012).</w:t>
      </w:r>
    </w:p>
    <w:p w14:paraId="492612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A83F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1967 Об эвакуации завода № 61 HКБ из г.Липецка. РГАНИР, Фонд ГКО, д. 41, лл. 137 (11012).</w:t>
      </w:r>
    </w:p>
    <w:p w14:paraId="46C6B92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BA26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1968 Об эвакуации оборудования и рабочих Липецкого чугунолитейного завода Наркомстройматериалов СССР. РГАНИР, Фонд ГКО, д. 41, лл. 138 (11012).</w:t>
      </w:r>
    </w:p>
    <w:p w14:paraId="1062BB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CDC0D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1969 Об эвакуации оборудования Подгорненского. цементного завода. . РГАНИР, Фонд ГКО, д. 41, лл. 139 (11012).</w:t>
      </w:r>
    </w:p>
    <w:p w14:paraId="0E6BAA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446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1970 Об эвакуации оборудования, материалов, рабочих, ИТР и членов их семей предприятий Наркомлегпрома СССР Воронежской области. РГАНИР, Фонд ГКО, д. 41, лл. 140, 141 (11012).</w:t>
      </w:r>
    </w:p>
    <w:p w14:paraId="2ECFA7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DFA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1971 Об эвакуации оборудования, рабочих, ИТР и членов их семей предприятий Наркомпищепрома СССР, расположенных в Воронежской области. РГАНИР, Фонд ГКО, д. 41, лл. 142, 143 (11012).</w:t>
      </w:r>
    </w:p>
    <w:p w14:paraId="0356E0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ED0B85"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1972 Об эвакуации оборудования стрелочного завода со ст. Грязи-Орловские. (7040, 144).</w:t>
      </w:r>
    </w:p>
    <w:p w14:paraId="3EDFB732"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83D6C0"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1973 Об эвакуации оборудования Отрожского вагоноремонтного завода НКПС [Воронежская обл.]. (7040, 145).</w:t>
      </w:r>
    </w:p>
    <w:p w14:paraId="07D25893"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CA4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1974 Об эвакуации Воронежского завода СК-2. РГАНИР, Фонд ГКО, д. 41, лл. 146 (11012).</w:t>
      </w:r>
    </w:p>
    <w:p w14:paraId="3353CC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309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1975 Об эвакуации оборудования и рабочих Воронежского завода прессов им. Калинина Наркомстанкостроения. РГАНИР, Фонд ГКО, д. 41, лл. 147 (11012).</w:t>
      </w:r>
    </w:p>
    <w:p w14:paraId="11021A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5FB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1976 Об эвакуации оборудования Воронежской ГРЭС. РГАНИР, Фонд ГКО, д. 41, лл. 148 (11012).</w:t>
      </w:r>
    </w:p>
    <w:p w14:paraId="186D91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7931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1977 Об эвакуации оборудования и рабочих Воронежской кордной фабрики Наркомтекстиля СССР. РГАНИР, Фонд ГКО, д. 41, лл. 149 (11012).</w:t>
      </w:r>
    </w:p>
    <w:p w14:paraId="4A7DE3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E2B8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1979 Об эвакуации учащихся ремесленных и железнодорожных училищ и школ ФЗО из г. Воронежа и Воронежской области. (7040, 151,152).</w:t>
      </w:r>
    </w:p>
    <w:p w14:paraId="00F9B75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FC16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1981 Об эвакуации оборудования Ворошиловградского завода им. 20-летия Октября. Наркомсредмаша. РГАНИР, Фонд ГКО, д. 41, лл. 154 (11012).</w:t>
      </w:r>
    </w:p>
    <w:p w14:paraId="10080E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848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1982 Об эвакуации оборудования, материалов, а также рабочих, ИТР и членов их семей с предприятий Наркомстройматериалов СССР. РГАНИР, Фонд ГКО, д. 41, лл. 155 (11012).</w:t>
      </w:r>
    </w:p>
    <w:p w14:paraId="4479B3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C04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1984 Об эвакуации и восстановлении производства Ворошиловградского завода им. Октябрьской Революции Наркомтяжмаша. РГАНИР, Фонд ГКО, д. 41, лл. 157-159, 160-161 (11012).</w:t>
      </w:r>
    </w:p>
    <w:p w14:paraId="12A3A7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5870B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1985 О т.т. Сенине Г.С., Слонь М.В. РГАНИР, Фонд ГКО, д. 41, лл. 162 (11012).</w:t>
      </w:r>
    </w:p>
    <w:p w14:paraId="7AE976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4BC2F"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3E6438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CF0602"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июля</w:t>
      </w:r>
      <w:r w:rsidRPr="00722885">
        <w:rPr>
          <w:rFonts w:ascii="Times New Roman" w:hAnsi="Times New Roman"/>
          <w:color w:val="000000" w:themeColor="text1"/>
          <w:sz w:val="16"/>
          <w:szCs w:val="16"/>
        </w:rPr>
        <w:t xml:space="preserve"> в 1942 году утреннее сообщение Совинформбюро:</w:t>
      </w:r>
    </w:p>
    <w:p w14:paraId="12263FE3"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4 июля на Курском, Белгородском и Волчанском направлениях наши войска вели бои с противником.</w:t>
      </w:r>
    </w:p>
    <w:p w14:paraId="606DB40A"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6BA0D5E5"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Курском направлении продолжаются ожесточённые бои. По неполным данным, частями под командованием тов. Парсегова за три дня боевых действий уничтожено несколько тысяч солдат и офицеров противника, принадлежащих преимущественно к третьему венгерскому корпусу. За это же время подбито и сожжено 63 немецких танка. На другом участке уничтожено ещё несколько десятков танков и большое количество живой силы немцев. Нашей авиацией в воздушных боях сбито 13 самолётов противника.</w:t>
      </w:r>
    </w:p>
    <w:p w14:paraId="143AB279"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Волчанском направлении наши бойцы проявляют величайшую стойкость, отражая многочисленные атаки противника. Танковый экипаж старшего сержанта Прохорова уничтожил 4 немецких танка. Снарядом противника были перебиты гусеницы танка. Не имея возможности двигаться, танкисты пулемётным огнём уничтожили более 200 немецких солдат и офицеров.</w:t>
      </w:r>
    </w:p>
    <w:p w14:paraId="2ADD7E3C"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артиллеристы на отдельных участках Западного фронта уничтожили 9 немецких ДЗОТов и блиндажей, 4 станковых пулемёта, подавили огонь артиллерийской и миномётной батарей, рассеяли и частью уничтожили до трёх рот пехоты противника. На одном из участков фронта красноармейцы ружейно-пулемётным огнём сбили немецкий транспортный самолёт.</w:t>
      </w:r>
    </w:p>
    <w:p w14:paraId="0E409912"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Семь бойцов под командованием младшего лейтенанта. Парфёнова произвели смелую вылазку в тыл противника. Разведчики пробрались к немецким блиндажам и забросали их гранатами. Перепуганные гитлеровцы выскочили из блиндажей, но попали под огонь наших автоматчиков. В короткой схватке наши бойцы уничтожили 14 немецких солдат и офицеров и без потерь вернулись в свою часть.</w:t>
      </w:r>
    </w:p>
    <w:p w14:paraId="5F3CEFC6"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Отряд белорусских партизан под командованием тов. Л. за девять дней боёв с противником истребил 200 немецко-фашистских оккупантов. Партизаны уничтожили 6 автомашин, сожгли 3 продовольственных склада гитлеровцев и взорвали несколько мостов. У противника захвачено 3 станковых пулемёта, 60 винтовок, 7 </w:t>
      </w:r>
      <w:r w:rsidRPr="00722885">
        <w:rPr>
          <w:rFonts w:ascii="Times New Roman" w:hAnsi="Times New Roman"/>
          <w:color w:val="000000" w:themeColor="text1"/>
          <w:sz w:val="16"/>
          <w:szCs w:val="16"/>
        </w:rPr>
        <w:lastRenderedPageBreak/>
        <w:t>автомашин, 35 автоматов, большое количество боеприпасов и продовольствия. Группа партизан этого же отряда организовала крушение двух железнодорожных эшелонов противника, следовавших на фронт.</w:t>
      </w:r>
    </w:p>
    <w:p w14:paraId="3FC76D86"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11 полка 14 немецкой мотодивизии Рейнгольд Яник рассказал: «Война разрушила мою семью. Брат Антон на Восточном фронте лишился ноги. Второй брат Конрад убит под Вязьмой. Мне повезло — я попал в плен, и, стало быть, нахожусь вне опасности. На фронте я служил несколько месяцев шофёром. Проезжая в лесу близ пункта Х., я видел изуродованные автомашины. Около одной из них находились шофёры и пытались её отремонтировать. Они рассказали мне, что на колонну напали партизаны, разбили три автомашины, захватили грузы и исчезли.Даже в глубоком тылу солдаты живут в постоянном страхе. В районах деятельности партизан они боятся поодиночке выходить из дому».</w:t>
      </w:r>
    </w:p>
    <w:p w14:paraId="60C18B6A"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Немецкому солдату Францу пишет зять из Штруллендорфа: «Я был вторично ранен в России... У нас остались одни женщины, а мужчины все призваны на фронт. Смотри, не лезь в огонь. От всего сердца желаю тебе небольшой раны, чтобы ты тоже мог вырваться из пекла. Помни, в России всё равно ничего не получишь, кроме смерти».</w:t>
      </w:r>
    </w:p>
    <w:p w14:paraId="7C0E4443"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мирных жителей посёлка Учкуевка, находящегося недалеко от Севастополя, укрылась в пещере от вражеских авиабомб и артиллерийских снарядов. 19 июня вечером в пещеру ворвались несколько немецких автоматчиков. Гитлеровские изверги подвергли мучениям, а потом расстреляли 27 стариков, женщин и детей.» (14942).</w:t>
      </w:r>
    </w:p>
    <w:p w14:paraId="4A5DA79D" w14:textId="77777777" w:rsidR="00030668" w:rsidRPr="00722885" w:rsidRDefault="00030668" w:rsidP="00722885">
      <w:pPr>
        <w:spacing w:after="0" w:line="240" w:lineRule="auto"/>
        <w:jc w:val="both"/>
        <w:rPr>
          <w:rFonts w:ascii="Times New Roman" w:hAnsi="Times New Roman"/>
          <w:color w:val="000000" w:themeColor="text1"/>
          <w:sz w:val="16"/>
          <w:szCs w:val="16"/>
        </w:rPr>
      </w:pPr>
    </w:p>
    <w:p w14:paraId="05F413D2"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июля</w:t>
      </w:r>
      <w:r w:rsidRPr="00722885">
        <w:rPr>
          <w:rFonts w:ascii="Times New Roman" w:hAnsi="Times New Roman"/>
          <w:color w:val="000000" w:themeColor="text1"/>
          <w:sz w:val="16"/>
          <w:szCs w:val="16"/>
        </w:rPr>
        <w:t xml:space="preserve"> в 1942 году вечернее сообщение Совинформбюро:</w:t>
      </w:r>
    </w:p>
    <w:p w14:paraId="7FA91456"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4 июля на Курском направлении наши войска вели тяжёлые бои против танков и пехоты противника. На одном из участков этого направления наши войска отошли и заняли новые позиции.</w:t>
      </w:r>
    </w:p>
    <w:p w14:paraId="147E182A"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Белгородском и Волчанском направлениях продолжались упорные бои с противником.</w:t>
      </w:r>
    </w:p>
    <w:p w14:paraId="4471AC8B"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57F52D8E"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 июля частями нашей авиации на различных участках фронта уничтожено или повреждено несколько десятков немецких танков, более 200 автомашин с войсками и грузами, взорвано 3 склада с боеприпасами, подавлен огонь 5 артиллерийских батарей, рассеяно и частью уничтожено до пяти рот пехоты и эскадрон конницы противника.</w:t>
      </w:r>
    </w:p>
    <w:p w14:paraId="73E1915A"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Курском направлении в бою за населённый пункт П. группа наших танков под командованием капитана Козлова уничтожила 3 средних немецких танка, 5 противотанковых орудий, штабную машину и свыше 200 немецких солдат и офицеров. После этого противник вновь бросил в атаку на пункт П. более 30 танков и потеснил нашу часть восточнее этого пункта. Пулемётчики роты, которой командует лейтенант Махначёв, за два дня уничтожили до 300 гитлеровцев. На позиции нашего стрелкового батальона наступало 8 немецких танков. Командир роты тов. Кисляков пополз навстречу противнику и бутылками с горючей смесью поджёг один немецкий танк. Воодушевлённые примером своего командира, бойцы отбили танковую атаку.</w:t>
      </w:r>
    </w:p>
    <w:p w14:paraId="2F9211B2"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Волчанского направления взвод противотанковых ружей, которым командует старшина Рева, в течение дня отразил несколько танковых атак противника. Бойцами взвода подбито и сожжено 11 немецких танков. Артиллерийская батарея старшего лейтенанта Санкеева прямой наводкой уничтожила 6 немецких танков. Следовавшую за танками пехоту противника наши бойцы встретили убийственным ружейно-пулемётным огнём. Немцы потеряли убитыми и ранеными несколько сот солдат и офицеров.</w:t>
      </w:r>
    </w:p>
    <w:p w14:paraId="11BDB800"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Утром пехота противника при поддержке 60—80 танков и авиации предприняла наступление на двух участках Калининского фронта. Потеряв до 2.000 солдат и офицеров и 27 танков, немцам удалось потеснить наше боевое охранение и передовые отряды. На следующий день противник пытался развить наступление, но потерпел неудачу. Все атаки немцев отбиты. Бои продолжаются.</w:t>
      </w:r>
    </w:p>
    <w:p w14:paraId="3648A5C7"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Шесть наших истребителей под командованием старшего политрука Ибатулина встретили 18 немецких «Мессершмиттов-109». Советские лётчики атаковали противника и сбили 6 немецких самолётов. Тов. Ибатулин сбил 2 самолёта противника. Лейтенанты Фёдоров, Скачков, Апухтин и сержант Латышев уничтожили по одному немецкому самолёту. Все наши самолёты вернулись на свой аэродром.</w:t>
      </w:r>
    </w:p>
    <w:p w14:paraId="1C0C8B9A"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Артиллерийская батарея тов. Баландина (Южный фронт) обстреляла большую колонну войск и обоз противника. Артиллеристы уничтожили не менее 300 немецких солдат и офицеров и много подвод с боеприпасами.</w:t>
      </w:r>
    </w:p>
    <w:p w14:paraId="2854514A"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партизан под командованием тов. Р., действующий в Черниговской области, на днях сжёг немецкий склад с бензином. Группа партизан этого отряда гранатами разрушила транспортный самолёт «Юнкерс-52», сделавший вынужденную посадку. В течение двух недель советские патриоты вели бои с немецкой карательной экспедицией. Немецкие оккупанты потеряли в этих боях только убитыми 56 солдат и офицеров.</w:t>
      </w:r>
    </w:p>
    <w:p w14:paraId="45BF3C27"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чудовищном злодеянии немецко-фашистских мерзавцев. Недавно многие жители города Осипенко получили из немецкой комендатуры приказ явиться с семьями на Мерликовую балку для отправки в тыл. Когда старики и женщины с детьми собрались в указанном месте, их окружили немецкие автоматчики и заставили рыть ров. Затем гитлеровские палачи открыли по своим жертвам огонь. Всего было расстреляно более 800 советских граждан.</w:t>
      </w:r>
    </w:p>
    <w:p w14:paraId="54738DD1"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Лейпциге немецкие власти расстреляли 12 поляков, которые бросили работу на военном заводе и пытались пробраться на родину.» (14942).</w:t>
      </w:r>
    </w:p>
    <w:p w14:paraId="7014691C" w14:textId="77777777" w:rsidR="00030668" w:rsidRPr="00722885" w:rsidRDefault="00030668" w:rsidP="00722885">
      <w:pPr>
        <w:spacing w:after="0" w:line="240" w:lineRule="auto"/>
        <w:jc w:val="both"/>
        <w:rPr>
          <w:rFonts w:ascii="Times New Roman" w:hAnsi="Times New Roman"/>
          <w:color w:val="000000" w:themeColor="text1"/>
          <w:sz w:val="16"/>
          <w:szCs w:val="16"/>
        </w:rPr>
      </w:pPr>
    </w:p>
    <w:p w14:paraId="5A113D5F"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июля</w:t>
      </w:r>
      <w:r w:rsidRPr="00722885">
        <w:rPr>
          <w:rFonts w:ascii="Times New Roman" w:hAnsi="Times New Roman"/>
          <w:color w:val="000000" w:themeColor="text1"/>
          <w:sz w:val="16"/>
          <w:szCs w:val="16"/>
        </w:rPr>
        <w:t xml:space="preserve"> в 1942 году завершилась героическая 250-дневная Севастопольская оборона в годы Великой Отечественной войны. С 30 октября 1941 по 4 июля 1942 года продолжалась героическая оборона Севастополя в годы Великой Отечественной войны. До войныСевастополь был подготовлен только для обороны с моря и воздуха. Севастопольский гарнизон насчитывал около 23 тысяч человек и имел около 150 полевых и береговых орудий, 82 самолета. Оборона с моря осуществлялась береговой артиллерией и кораблями Черноморского флота. Система сухопутной обороны города стала создаваться с июля 1941 года. Она состояла из трех рубежей: передового, главного и тылового, оборудование которых к моменту выхода противника на ближние подступы к городу (30 октября) не было закончено. Всего было сооружено 82 артиллерийских дота с морскими орудиями и 220 пулеметных дотов и дзотов, 33 километров противотанкового рва, 56 километров проволочных заграждений, установлено 9600 мин. Войска 11-й немецкой армии, прорвавшиеся в октябре 1941 года в Крым, 30-31 октября и в первых числах ноября предприняли попытку с ходу овладеть городом. Эти попытки были отражены севастопольским гарнизоном при поддержке корабельной артиллерии и авиации. В первых же боях защитники города проявили стойкость и героизм, сопротивляясь ударам превосходящих сил врага. В боях в районе Дуванкоя бессмертный подвиг совершили морские пехотинцы во главе с политруком Н.Д.Фильченковым, ценой жизни остановившие танки противника. Большую помощь в обороне оказывало население города. После провала попытки с ходу овладеть Севастополем, немецкое командование предприняло еще три крупных наступления на город - в ноябре и декабре 1941, а также в мае-июне 1942 года. Особенно мощной была третья атака. Противник имел двукратное превосходство в живой силе, более чем трехкратное в артиллерии, десятикратное в танках и самолетах. С 27 мая Севастополь непрерывно подвергался ударам немецкой авиации и артиллерии, а 7 июня началось наступление. К середине июня противнику удалось прорваться к побережью Северной бухты. Защитники города оказывали ожесточенное сопротивление, но силы их были на исходе, потери росли, кончались боеприпасы, продовольствие, питьевая вода. 30 июня остатки войск стали отходить из Севастополя к Бухтам Стрелецкая, Камышевая, Казачья и на мыс Херсонес, где продолжали борьбу до 4 июля. Часть защитников города была эвакуирована, часть прорвалась в горы к партизанам. С 4 июля 1942 по 9 мая 1944 года Севастополь был оккупирован немецко-фашистскими войсками; освобожден в ходе Крымской операции 1944 года. Оборона Севастополя продолжалась 250 дней. Она имела важное военно-политическое и стратегическое значение, сковав крупные силы противника на южном крыле советско-германского фронта и не позволив ему развернуть наступление на Кавказ. В ходе обороны было достигнуто четкое взаимодействие между армией, флотом и авиацией в результате создания единого командования и правильной организации управления. В борьбе за город противник потерял около 300 тысяч человек убитыми и ранеными. Севастопольская оборона вошла в историю как пример массового героизма и самопожертвования защитников города. Более 30 человек были удостоены звания Героя Советского Союза. 22 декабря 1942 года учреждена медаль «За оборону Севастополя», которой награждено свыше 30 тысяч человек. Севастополю присвоено звание город-герой. День памяти и скорби по погибшим в боях героическим защитникам Севастополя. Отмечается в первое воскресенье июля по решению сессии Севастопольского горсовета (июнь 1999 г.) (14942).</w:t>
      </w:r>
    </w:p>
    <w:p w14:paraId="626C5C6C" w14:textId="77777777" w:rsidR="00030668" w:rsidRPr="00722885" w:rsidRDefault="00030668" w:rsidP="00722885">
      <w:pPr>
        <w:spacing w:after="0" w:line="240" w:lineRule="auto"/>
        <w:jc w:val="both"/>
        <w:rPr>
          <w:rFonts w:ascii="Times New Roman" w:hAnsi="Times New Roman"/>
          <w:color w:val="000000" w:themeColor="text1"/>
          <w:sz w:val="16"/>
          <w:szCs w:val="16"/>
        </w:rPr>
      </w:pPr>
    </w:p>
    <w:p w14:paraId="72227F30"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июля</w:t>
      </w:r>
      <w:r w:rsidRPr="00722885">
        <w:rPr>
          <w:rFonts w:ascii="Times New Roman" w:hAnsi="Times New Roman"/>
          <w:color w:val="000000" w:themeColor="text1"/>
          <w:sz w:val="16"/>
          <w:szCs w:val="16"/>
        </w:rPr>
        <w:t xml:space="preserve"> в 1942 году на рассвете начался бой в районе Херсонеского маяка. Днем в него включились немецкие боевые катера. Среди защитников Севастополя начались самоубийственные попытки в штыки прорваться через пулеметы и уйти в горы, или уплыть на досках и бочках. К ночи сопротивление в районе Херсонеской, Казачьей, Камышовой и Пещаной бухт было подавлено. Вспоминает начальник артиллерии 95-й стралковой дивизии полковник Д.Пискунов об увиденном в Херсонеской бухте через ночь после боя: «Берег был завален трупами. Они лежали кучами и просто в ряд так, что не было где поставить ногу. Это был результат расправы озверевшего врага во время очистки этой бухты от остатков войск Приморской армии 4 июля 1942 г». (Перед боем на песке выкладывали в ряд тяжелораненых в надежде на приход кораблей для эвакуации, но немцы прорвались раньше и добивали всех на месте) (14942).</w:t>
      </w:r>
    </w:p>
    <w:p w14:paraId="30763A1E" w14:textId="77777777" w:rsidR="00030668" w:rsidRPr="00722885" w:rsidRDefault="00030668" w:rsidP="00722885">
      <w:pPr>
        <w:spacing w:after="0" w:line="240" w:lineRule="auto"/>
        <w:jc w:val="both"/>
        <w:rPr>
          <w:rFonts w:ascii="Times New Roman" w:hAnsi="Times New Roman"/>
          <w:color w:val="000000" w:themeColor="text1"/>
          <w:sz w:val="16"/>
          <w:szCs w:val="16"/>
        </w:rPr>
      </w:pPr>
    </w:p>
    <w:p w14:paraId="42A057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г. после падения Севастополя и отхода к Новороссийску советская авиация лишилась многих своих береговых баз и посадочных площадок. Немцы в этот период завладели аэродромами под Новороссийском и в Тамани. Используя свое преимущество, противник настойчиво пытался заблокировать два советских аэродрома в Геленджике (сухопутный и морской) и полностью уничтожить все базирующиеся здесь самолеты. Налеты, бомбардировки и блокирование этих аэродромов происходили постоянно. По свидетельству майора в отставке Федора Пантелеевича Мамай (в 1942 г. ст. техника по вооружению самолетов), в отношении МТБ-2 существовало предписание (или приказ) - каждый его взлет обеспечивать охраной истребителей. В противном случае эту заметную машину могли сбить на взлете немецкие истребители, которые неустанно барражировали вдоль прибрежных отрогов кавказского хребта (11962).</w:t>
      </w:r>
    </w:p>
    <w:p w14:paraId="1C3A88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884E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на рассвете начался бой в районе Херсонеского маяка. Днем в него включились немецкие боевые катера. Среди защитников Севастополя начались самоубийственные попытки в штыки прорваться через пулеметы и уйти в горы, или уплыть на досках и бочках. К ночи сопротивление в районе Херсонеской, Казачьей, Камышовой и Пещаной бухт было подавлено. Вспоминает начальник артиллерии 95-й сд полковник Д.Пискунов об увиденном в Херсонеской бухте через ночь после боя: “Берег был завален трупами. Они лежали кучами и просто в ряд так, что не было где поставить ногу. Это был результат расправы озверевшего врага во время очистки этой бухты от остатков войск Приморской армии 4 июля 1942 г”. (Перед боем на песке выкладывали в ряд тяжелораненых в надежде на приход кораблей для эвакуации, но немцы прорвались раньше и добивали всех на месте) (4963 ).</w:t>
      </w:r>
    </w:p>
    <w:p w14:paraId="6C5FE42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C11353"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бои еще продолжались на берегах Карантинной и Стрелецкой бухт Севастополя. К вечеру подавлены последние очаги сопротивления. Многие в отчаянии бросались в море вплавь, отвергая плен. При попытке вырваться из окружения в верховье Казачьей бухты на Юхарину балку погибли последние бойцы 25-й Чапаевской сд во главе с начальником связи дивизии. 80 бойцов 95-й сд погибли в развалинах 35-й батареи после немецкой атаки с огнеметами. Четверо неизвестных солдат и политрук приняли бой с тремя танками и взводом автоматчиков на мысе Фиолент, отбили атаку, а затем покончили с собой (4963).</w:t>
      </w:r>
    </w:p>
    <w:p w14:paraId="4B0F1890"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E3C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л Потапов сумел таранить Bf.109 (3295).</w:t>
      </w:r>
    </w:p>
    <w:p w14:paraId="11C4B1F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B7E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части 4-й танковой армии немцев вышли на подступы к Воронежу, форсировали Дон и ворвались на западную окраину города.</w:t>
      </w:r>
    </w:p>
    <w:p w14:paraId="025F3DC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тот же день начальник Генерального Штаба генерал-полковник А. Василевский, прибывший в район Ельца, лично поставил боевую задачу командующему 5-й танковой армией, при этом операцию было приказано начать не позднее 15-16 часов 5 июля, не ожидая полного сосредоточения всех сил армии.</w:t>
      </w:r>
    </w:p>
    <w:p w14:paraId="1AD1A4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Формирование 5-й танковой армии началось в последних числах мая 1942 года, и к концу июня в ее состав входили 2-й (26, 27, 148-я танковые, 2-я мотострелковая бригады) и 11-й (53, 59, 160-я танковые, 12-я мотострелковая бригады) танковые корпуса, 340-я стрелковая дивизия, 19-я отдельная танковая бригада, 66-й гвардейский минометный полк, 611-й легкий артиллерийский полк РГК, отдельный батальон связи, отдельный зенитный дивизион и рота охраны штаба армии. Командующим армией назначили гвардии генерал-майора Александра Ильича Лизюкова. Дополнительно, директивой Ставки ВГК, полученной в 2 часа ночи 5 июля, в состав армии включили 7-й танковый корпус (3-я гвардейская, 62, 87-я танковые, 7-я мотострелковая бригады). Всего с учетом 7-го корпуса, к 5 июля 1942 года в составе 5-й танковой армии имелся 641 танк, из них 228 Т-34 (35,5% общего количества).</w:t>
      </w:r>
    </w:p>
    <w:p w14:paraId="77A67EB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с этим, штаб 5-й танковой армии получил задачу «нанести удар в направлении Зем- лянск, Хохол, перехватить коммуникации танковой группы противника, прорывавшейся к реке Дон на Воронеж и, действуя по ее тылам, сорвать его переправу через Дон и помочь выходу частей 40-й армии, ведущих бой в районе Касторной». Причем Ставка ВГК требовала начать операцию не дожидаясь сосредоточения всех частей 5-й танковой армии, «вводя 2 и 11-й танковые корпуса в бой по-бригадно».</w:t>
      </w:r>
    </w:p>
    <w:p w14:paraId="4957765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Бывший начальник штаба Брянского фронта, генерал армии М.И. Казаков впоследствии, вспоминал: «Вместо того чтобы организовать одновременную массовую атаку танков силами, хотя бы четырех-пяти бригад на фронте 12-15 километров, командиры корпусов вводили их в бой прямо из колонн по методу ввода в готовый прорыв с выделением передовых батальонов, примерно по два батальона от корпуса. В итоге наступление танковых корпусов свелось, по существу, к боевым действиям только этих передовых батальонов, а остальные их силы стояли на месте и несли неоправданно большие потери от немецкой авиации. Но дажеэти весьма слабые удары вынудили противника повернуть на север обе тенковые дивизии 24-го танкового корпуса</w:t>
      </w:r>
    </w:p>
    <w:p w14:paraId="3B62BA7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Части армии выходили в районы сосреточения в течение 6-го и утра 7.07. 1942 года. Поэтому утром 6.07 нанести контрудар смог только 7-й танковый корпус, половина бригад которого находилась во втором эшелоне и резерве. В ходе атаки части корпуса встретились с танками наступавшей 11-й танковой дивизией вермахта, с которыми вели бой в теченее всего дня.</w:t>
      </w:r>
    </w:p>
    <w:p w14:paraId="55978A0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7 часов утра 7 июля части 7-го и подошедшего 11-го танкового корпуса вновь перешли в атаку и отбросили немецкие части на рубеж Пере- коповка. Озерки, Каменка. Утром 8 июля бригады 7 и 11-го корпусов вновь атаковали противника и вышли на реку Сухая Верейка.</w:t>
      </w:r>
    </w:p>
    <w:p w14:paraId="3196BD2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18.30 7 июля в штаб 5-й танковой армии получил следующую директиву: «Товарищ Сталин приказал во что бы то ни стало сегодня взять Землянск. 2-й танковый корпус ни в коем случае не выдвигать, а держать его во втором эшелоне. Отдельными машинами прорываться подальше и громить тылы и транспорты противника».</w:t>
      </w:r>
    </w:p>
    <w:p w14:paraId="7EE36B1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поставленную задачу корпуса 5-й танковой армии выполнить не смогли - наши танки были остановлены сильным огнем артиллерии и танков противника. Кроме того, заболоченный ручей Кобылья Снова и река Сухая Верейка оказались непроходимыми для танков, что сильно снизило темп наступления. Но особенно большой урон наносила немецкая авиация, которая непрерывно бомбила боевые порядки, тылы и коммуникации 5-й танковой армии. Наиболее активно самолеты люфтваффе действовали с 14.00 8 июля, когда бомбардировщики группами по 12-20 машин бомбили некоторые объекты по 7-9 раз.</w:t>
      </w:r>
    </w:p>
    <w:p w14:paraId="7591319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Командир 5-й танковой армии генерал-майор А.И. Лизюков требовал от командования Брянского фронта надежного авиационного прикрытия: «Прикройте нас с воздуха, и мы сделаем все. что необходимо. Вы не дали мне нанести удар железным кулаком, заставили вводить армию в бой по частям, так хоть теперь сделайте по-моему - дайте авиацию, иначе все погибнет». Однако надежной поддержки с воздуха армия так и не получила (12217).</w:t>
      </w:r>
    </w:p>
    <w:p w14:paraId="5E286A0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F77CE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немцы на широком фронте вышли к Дону (2261).</w:t>
      </w:r>
    </w:p>
    <w:p w14:paraId="422D936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D98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сталинградский городской комитет обороны принял постановление «О мерах усиления противопожарной обороны г. Сталинграда», в котором, в частности, говорилось:</w:t>
      </w:r>
    </w:p>
    <w:p w14:paraId="125D14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«Начальнику МПВО Д.М. Пигалеву (председателю горсовета депутатов трудящихся) в декадный срок: </w:t>
      </w:r>
    </w:p>
    <w:p w14:paraId="17DD97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привести в полную боевую готовность все имеющиеся противопожарные звенья групп самозащиты жилых домов, учреждений и предприятий и Комсомольске-молодежные взводы и участковые команды МПВО, полностью их укомплектовать и оснастить положенным по табелю имуществом…, </w:t>
      </w:r>
    </w:p>
    <w:p w14:paraId="2B02B2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установить непрерывное несение пожарной постовой службы в жилых, общественных и производственных зданиях…» </w:t>
      </w:r>
    </w:p>
    <w:p w14:paraId="217E1B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Принимались и другие меры по усилению средств местной противовоздушной обороны: совершенствовались линии телефонной и радиосвязи для зенитной артиллерии и прожекторных станций, повысилась требовательность к соблюдению светомаскировки. Все формирования МПВО отныне находились на казарменном положении. Жители города вновь принялись рыть пожарные водоемы, восстанавливать старые и строить новые убежища и щели. Многие делали это с неохотой, поскольку не верили в возможность массированной бомбежки города, находящегося далеко от линии фронта.</w:t>
      </w:r>
    </w:p>
    <w:p w14:paraId="7E02D7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 дни, пожалуй, только руководство «Волготанкера» пребывало в хорошем настроении. К этому времени из Астрахани были вывезены практически все запасы нефтепродуктов. Только за июнь по волжской артерии прошли более 1,3 млн т! Нефтебазы в Камышине, Саратове, Сызрани, Казани, Горьком и др. городах были заполнены до отказа. Что будет дальше, никто не знал, поэтому едва с Каспийского моря прибывал очередной танкер, нефть сразу же перекачивали на речные суда и как можно быстрее отправляли вверх по течению (11774).</w:t>
      </w:r>
    </w:p>
    <w:p w14:paraId="4E19BE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FB235"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Жизнь и внутренняя политика:</w:t>
      </w:r>
    </w:p>
    <w:p w14:paraId="25847A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53427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1978 Об эвакуации Россошанского. птицекомбината. РГАНИР, Фонд ГКО, д. 41, лл. 150 (11012).</w:t>
      </w:r>
    </w:p>
    <w:p w14:paraId="2329BF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7E3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1980 Об эвакуации населения из г.Воронежа. РГАНИР, Фонд ГКО, д. 41, лл. 153 (11012).</w:t>
      </w:r>
    </w:p>
    <w:p w14:paraId="44EE9B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A04C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вышло Постановление ГКО № 1983 Об эвакуации семей начсостава из прифронтовой полосы Брянского фронта. РГАНИР, Фонд ГКО, д. 41, лл. 156 (11012).</w:t>
      </w:r>
    </w:p>
    <w:p w14:paraId="16F5C2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9CC1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в Луцке фашистами расстреляны до 4 тысяч человек (4962).</w:t>
      </w:r>
    </w:p>
    <w:p w14:paraId="7786989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97DE34"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885">
        <w:rPr>
          <w:rFonts w:ascii="Times New Roman" w:hAnsi="Times New Roman"/>
          <w:i/>
          <w:iCs/>
          <w:color w:val="000000" w:themeColor="text1"/>
          <w:sz w:val="16"/>
          <w:szCs w:val="16"/>
        </w:rPr>
        <w:t>За</w:t>
      </w:r>
      <w:r w:rsidRPr="00722885">
        <w:rPr>
          <w:rFonts w:ascii="Times New Roman" w:hAnsi="Times New Roman"/>
          <w:i/>
          <w:iCs/>
          <w:color w:val="000000" w:themeColor="text1"/>
          <w:sz w:val="16"/>
          <w:szCs w:val="16"/>
          <w:lang w:val="en-US"/>
        </w:rPr>
        <w:t xml:space="preserve"> </w:t>
      </w:r>
      <w:r w:rsidRPr="00722885">
        <w:rPr>
          <w:rFonts w:ascii="Times New Roman" w:hAnsi="Times New Roman"/>
          <w:i/>
          <w:iCs/>
          <w:color w:val="000000" w:themeColor="text1"/>
          <w:sz w:val="16"/>
          <w:szCs w:val="16"/>
        </w:rPr>
        <w:t>рубежом</w:t>
      </w:r>
      <w:r w:rsidRPr="00722885">
        <w:rPr>
          <w:rFonts w:ascii="Times New Roman" w:hAnsi="Times New Roman"/>
          <w:i/>
          <w:iCs/>
          <w:color w:val="000000" w:themeColor="text1"/>
          <w:sz w:val="16"/>
          <w:szCs w:val="16"/>
          <w:lang w:val="en-US"/>
        </w:rPr>
        <w:t>:</w:t>
      </w:r>
    </w:p>
    <w:p w14:paraId="3A3417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B6A12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4 1942 American crews participate in Royal Air Force raid on airfields in the Netherlands, in the first United States air operation in Europe (1037).</w:t>
      </w:r>
    </w:p>
    <w:p w14:paraId="2F57BF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560A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 xml:space="preserve">4 июля 1942 американские экипажи первый раз приняли участие в рейде RAF на Европу (Голландию) </w:t>
      </w:r>
      <w:r w:rsidRPr="00722885">
        <w:rPr>
          <w:rFonts w:ascii="Times New Roman" w:hAnsi="Times New Roman"/>
          <w:color w:val="000000" w:themeColor="text1"/>
          <w:sz w:val="16"/>
          <w:szCs w:val="16"/>
          <w:lang w:val="en-US"/>
        </w:rPr>
        <w:t>(1037).</w:t>
      </w:r>
    </w:p>
    <w:p w14:paraId="03CEC98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F156B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4, 1942. The first Army Air Force bomber mission over western Europe in World War II is flown by B 17s of the 97th Bombardment Group against the Rouen-Sotteville Railyards in France (1089).</w:t>
      </w:r>
    </w:p>
    <w:p w14:paraId="63C232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08F4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4 июля 1942 В-17 ВВС США бомбили цели во Франции (1089).</w:t>
      </w:r>
    </w:p>
    <w:p w14:paraId="6E8854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212C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4th, 1942: Off the northern coast of Norway, German U-boats and Luftwaffe torpedo planes attack Convoy PQ-17 bound for Murmansk. Over a period of 6 days, they sink 24 ships out of a total of 37. In the East, the German 11.Armee (von Manstein) completes the occupation of the Crimea, taking 97,000 Soviet prisoners. For the first time, 6 B-17s of the US 8th Air Force join an RAF bomber formation in raids on German airfields in Holland (3819).</w:t>
      </w:r>
    </w:p>
    <w:p w14:paraId="36B2EF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1E77C58" w14:textId="77777777" w:rsidR="00C64375" w:rsidRPr="00722885" w:rsidRDefault="00C643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июля 1942 - B-17 ВВС США летят на первую бомбардировку в Европе, - на железнодорожный узел Руан-Соттевиль во Франции (22440).</w:t>
      </w:r>
    </w:p>
    <w:p w14:paraId="2899F2E5" w14:textId="77777777" w:rsidR="00C64375" w:rsidRPr="00722885" w:rsidRDefault="00C64375" w:rsidP="00722885">
      <w:pPr>
        <w:pStyle w:val="article-renderblock"/>
        <w:shd w:val="clear" w:color="auto" w:fill="FFFFFF"/>
        <w:spacing w:before="0" w:beforeAutospacing="0" w:after="0" w:afterAutospacing="0"/>
        <w:jc w:val="both"/>
        <w:rPr>
          <w:color w:val="0070C0"/>
          <w:sz w:val="16"/>
          <w:szCs w:val="16"/>
        </w:rPr>
      </w:pPr>
    </w:p>
    <w:p w14:paraId="09932761"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июля</w:t>
      </w:r>
      <w:r w:rsidRPr="00722885">
        <w:rPr>
          <w:rFonts w:ascii="Times New Roman" w:hAnsi="Times New Roman"/>
          <w:color w:val="000000" w:themeColor="text1"/>
          <w:sz w:val="16"/>
          <w:szCs w:val="16"/>
        </w:rPr>
        <w:t xml:space="preserve"> в 1942 году первая американская бомбардировка оккупированной территории Европы (14942).</w:t>
      </w:r>
    </w:p>
    <w:p w14:paraId="6D5A75DF" w14:textId="77777777" w:rsidR="00030668" w:rsidRPr="00722885" w:rsidRDefault="00030668" w:rsidP="00722885">
      <w:pPr>
        <w:spacing w:after="0" w:line="240" w:lineRule="auto"/>
        <w:jc w:val="both"/>
        <w:rPr>
          <w:rFonts w:ascii="Times New Roman" w:hAnsi="Times New Roman"/>
          <w:color w:val="000000" w:themeColor="text1"/>
          <w:sz w:val="16"/>
          <w:szCs w:val="16"/>
        </w:rPr>
      </w:pPr>
    </w:p>
    <w:p w14:paraId="4268F0B6" w14:textId="77777777" w:rsidR="00030668" w:rsidRPr="00722885" w:rsidRDefault="00030668"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июля</w:t>
      </w:r>
      <w:r w:rsidRPr="00722885">
        <w:rPr>
          <w:rFonts w:ascii="Times New Roman" w:hAnsi="Times New Roman"/>
          <w:color w:val="000000" w:themeColor="text1"/>
          <w:sz w:val="16"/>
          <w:szCs w:val="16"/>
        </w:rPr>
        <w:t xml:space="preserve"> в 1942 году около 22.00 контр-адмирал Л.К.Г.Гамильтон, находящийся на флагмане "Лондон" и осуществляющий ближнее прикрытие конвоя PQ-17, следующего в Мурманск, получает от Адмиралтейства приказ, имеющий гриф "Особо срочно": "Крейсерам на полной скорости отойти на запад". Через несколько минут он получает новый приказ, имеющий гриф "Срочно": "Ввиду угрозы надводных кораблей конвою рассредоточиться и следовать в русские порты". За ней следует еще одна радиограмма с грифом "Особо срочно", подтверждающая предыдущую: "Конвою рассеяться". В 22.15 крейсера покидают конвой. С этого момента начинается самая грандиозная катастрофа в истории полярных конвоев второй мировой. Она будет продолжаться до 28 июля, когда в Мурманск придет последний уцелевший корабль. В результате разгрома общее количество уцелевших транспортов составило 11. Из 35 транспортов и 1 танкера, начавших переход, 2 судна вернулись назад, 13 транспортов и 1 спасательное судно были потоплены самолетами, 10 были потоплены подводными лодками. Немцы потеряли всего 6 самолетов. Из 156492 тонн грузов до цели дошли только 57176 тонн. Погибли 430 танков, 210 самолетов и 3350 автомобилей, чего хватило бы для оснащения армии. Позднее стало известно, что немцы использовали для атаки конвоя 202 самолета, в том числе 130 бомбардировщиков, 43 торпедоносца и 29 разведчиков. Споры о причинах и виновных в катастрофе не утихли до сих пор (14942).</w:t>
      </w:r>
    </w:p>
    <w:p w14:paraId="4EE743F8" w14:textId="77777777" w:rsidR="00030668" w:rsidRPr="00722885" w:rsidRDefault="00030668" w:rsidP="00722885">
      <w:pPr>
        <w:spacing w:after="0" w:line="240" w:lineRule="auto"/>
        <w:jc w:val="both"/>
        <w:rPr>
          <w:rFonts w:ascii="Times New Roman" w:hAnsi="Times New Roman"/>
          <w:color w:val="000000" w:themeColor="text1"/>
          <w:sz w:val="16"/>
          <w:szCs w:val="16"/>
        </w:rPr>
      </w:pPr>
    </w:p>
    <w:p w14:paraId="192750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июля 1942 после воздушных атак на PQ-17 эскорт ушел и конвой распался (2261).</w:t>
      </w:r>
    </w:p>
    <w:p w14:paraId="144306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6612F1"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68F18D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D515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Нач. ГРУ Генштаба г-м танковых войск Панфилов и Военком Ильичев писали письмо N 138616 А.И.Ш.:</w:t>
      </w:r>
    </w:p>
    <w:p w14:paraId="2AB1CE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"Направляю переводы с немецких документов, изъятых с самолета, сбитого 25 июня 1942 на ЮЗФ. Из документов следует, что немцы создают штурмовую авиацию, одной из задач которой является борьба с танками. Для борьбы с танками применяется Хе-129, на котором наряду с другим вооружением, устанавливается автоматическая пушка ЛЕК-101 калибра 30 мм со скорострельностью 240 выстрелов в минуту. В перспективе на самолете предусмотрена установка пушки МК-103 со скорострельностью вдвое выше, чем у МК-101.</w:t>
      </w:r>
    </w:p>
    <w:p w14:paraId="024A43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Результаты проведенных полигонных стрельб по нашим танкам типа КВ, показывают, что из МК-101 пробивается броня толщиной до 120 мм." (1633,118).</w:t>
      </w:r>
    </w:p>
    <w:p w14:paraId="761825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10B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Зам. Гл. военного прокурора Гаврилов писал письмо Зам. НКО Новикову письмо N 1/6214:</w:t>
      </w:r>
    </w:p>
    <w:p w14:paraId="66C91B6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неоднократными случаями летных происшествий и катастроф в ЗАБ, базирующийся на ст. Белой, Иркутской обл.... было установлено, что из 12 самолетов, потерпевших аварию - 11 конструкции Пе-2 выпускаемые заводом 39 в Иркутске...</w:t>
      </w:r>
    </w:p>
    <w:p w14:paraId="4C2DC6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были проверены самолеты, уже выпущенные с завода и находящиеся в частях ВВС.</w:t>
      </w:r>
    </w:p>
    <w:p w14:paraId="1318217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31 самолете были обнаружены 41 деталь, оказавшаяся производственным браком... (1633,139).</w:t>
      </w:r>
    </w:p>
    <w:p w14:paraId="1FC95E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B6B8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г. в Новосибирске на аэродроме ГВФ закончились совместные заводские и государственные испытания И-185 М-82 «И», которые проходили с 13 апреля 1942. Всего было произведено 42 полета с налетом 31 час 58 минут. От завод №51 летал Логинов, от НИИ ВВС - Никашин. Максимальная скорость у земли на форса же составила 549 км/ч, на высоте 6470 м - 615 км/ч. Указывалось, что И-185 М-82А «по своим летным данным в основном соответствует со</w:t>
      </w:r>
      <w:r w:rsidRPr="00722885">
        <w:rPr>
          <w:rFonts w:ascii="Times New Roman" w:hAnsi="Times New Roman"/>
          <w:color w:val="000000" w:themeColor="text1"/>
          <w:sz w:val="16"/>
          <w:szCs w:val="16"/>
        </w:rPr>
        <w:softHyphen/>
        <w:t>временным требованиям ВВС Красной Армии» и может быть рекомендован для постройки вой</w:t>
      </w:r>
      <w:r w:rsidRPr="00722885">
        <w:rPr>
          <w:rFonts w:ascii="Times New Roman" w:hAnsi="Times New Roman"/>
          <w:color w:val="000000" w:themeColor="text1"/>
          <w:sz w:val="16"/>
          <w:szCs w:val="16"/>
        </w:rPr>
        <w:softHyphen/>
        <w:t>сковой серии. Предлагалось устранить недо</w:t>
      </w:r>
      <w:r w:rsidRPr="00722885">
        <w:rPr>
          <w:rFonts w:ascii="Times New Roman" w:hAnsi="Times New Roman"/>
          <w:color w:val="000000" w:themeColor="text1"/>
          <w:sz w:val="16"/>
          <w:szCs w:val="16"/>
        </w:rPr>
        <w:softHyphen/>
        <w:t>статки и довести самолет до боевого состоя</w:t>
      </w:r>
      <w:r w:rsidRPr="00722885">
        <w:rPr>
          <w:rFonts w:ascii="Times New Roman" w:hAnsi="Times New Roman"/>
          <w:color w:val="000000" w:themeColor="text1"/>
          <w:sz w:val="16"/>
          <w:szCs w:val="16"/>
        </w:rPr>
        <w:softHyphen/>
        <w:t>ния вместе с М-71 №6204 не позднее 15 авгус</w:t>
      </w:r>
      <w:r w:rsidRPr="00722885">
        <w:rPr>
          <w:rFonts w:ascii="Times New Roman" w:hAnsi="Times New Roman"/>
          <w:color w:val="000000" w:themeColor="text1"/>
          <w:sz w:val="16"/>
          <w:szCs w:val="16"/>
        </w:rPr>
        <w:softHyphen/>
        <w:t>та 1942 г. (9979).</w:t>
      </w:r>
    </w:p>
    <w:p w14:paraId="67684A0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EC7BF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г. И-185 М-82 летчик НИИ ВВС Никашин приземлился вне границ аэродрома и снес шасси (9979).</w:t>
      </w:r>
    </w:p>
    <w:p w14:paraId="595C2D2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E53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года И-185 М-82 на посадке потерпел аварию (10686).</w:t>
      </w:r>
    </w:p>
    <w:p w14:paraId="321026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938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г. И-185 с М-82А, оснащенный винтом изменяемого шага АВ-5-119, потерпел аварию. Летчик А.И.Никашин из-за ошибки в пилотировании разбил машину при заходе на посадку. Самолет отправили на завод для ремонта. В заключении по летным испытани</w:t>
      </w:r>
      <w:r w:rsidRPr="00722885">
        <w:rPr>
          <w:rFonts w:ascii="Times New Roman" w:hAnsi="Times New Roman"/>
          <w:color w:val="000000" w:themeColor="text1"/>
          <w:sz w:val="16"/>
          <w:szCs w:val="16"/>
        </w:rPr>
        <w:softHyphen/>
        <w:t>ям И-185 с М-82А указывалось, что самолет их выдержал и что его летные данные соответствуют тактико-техниче</w:t>
      </w:r>
      <w:r w:rsidRPr="00722885">
        <w:rPr>
          <w:rFonts w:ascii="Times New Roman" w:hAnsi="Times New Roman"/>
          <w:color w:val="000000" w:themeColor="text1"/>
          <w:sz w:val="16"/>
          <w:szCs w:val="16"/>
        </w:rPr>
        <w:softHyphen/>
        <w:t>ским требованиям ВВС КА. Рекомендовалось запустить И-185 с М-82А в серийное производство (10667).</w:t>
      </w:r>
    </w:p>
    <w:p w14:paraId="66E2DB2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E9C4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закончились гос. испытания второго варианта И-185 с М-82А, которые проходили с 13 апреля (228,165).</w:t>
      </w:r>
    </w:p>
    <w:p w14:paraId="6DBDDD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другим данным они проводились с 13 июня (662,63).</w:t>
      </w:r>
    </w:p>
    <w:p w14:paraId="27F5E0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9A7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был составлен аварийный акт по аварии СБ N 3741 в районе Стаханово-Раменки из-за поломки тормозов (2131).</w:t>
      </w:r>
    </w:p>
    <w:p w14:paraId="6D92BE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9B487A" w:rsidRPr="00722885" w14:paraId="7851CBC6" w14:textId="77777777" w:rsidTr="00CC5360">
        <w:tc>
          <w:tcPr>
            <w:tcW w:w="675" w:type="dxa"/>
            <w:tcBorders>
              <w:top w:val="single" w:sz="12" w:space="0" w:color="auto"/>
            </w:tcBorders>
          </w:tcPr>
          <w:p w14:paraId="31A859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п/п</w:t>
            </w:r>
          </w:p>
        </w:tc>
        <w:tc>
          <w:tcPr>
            <w:tcW w:w="993" w:type="dxa"/>
            <w:tcBorders>
              <w:top w:val="single" w:sz="12" w:space="0" w:color="auto"/>
            </w:tcBorders>
          </w:tcPr>
          <w:p w14:paraId="22898DD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Дата</w:t>
            </w:r>
          </w:p>
        </w:tc>
        <w:tc>
          <w:tcPr>
            <w:tcW w:w="708" w:type="dxa"/>
            <w:tcBorders>
              <w:top w:val="single" w:sz="12" w:space="0" w:color="auto"/>
            </w:tcBorders>
          </w:tcPr>
          <w:p w14:paraId="1213942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Заводов</w:t>
            </w:r>
          </w:p>
        </w:tc>
        <w:tc>
          <w:tcPr>
            <w:tcW w:w="1418" w:type="dxa"/>
            <w:tcBorders>
              <w:top w:val="single" w:sz="12" w:space="0" w:color="auto"/>
            </w:tcBorders>
          </w:tcPr>
          <w:p w14:paraId="142759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w:t>
            </w:r>
          </w:p>
        </w:tc>
        <w:tc>
          <w:tcPr>
            <w:tcW w:w="2364" w:type="dxa"/>
            <w:tcBorders>
              <w:top w:val="single" w:sz="12" w:space="0" w:color="auto"/>
            </w:tcBorders>
          </w:tcPr>
          <w:p w14:paraId="44972E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76CED86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Краткое описание и причины происшествия</w:t>
            </w:r>
          </w:p>
        </w:tc>
      </w:tr>
      <w:tr w:rsidR="009B487A" w:rsidRPr="00722885" w14:paraId="7395035A" w14:textId="77777777" w:rsidTr="00CC5360">
        <w:tc>
          <w:tcPr>
            <w:tcW w:w="675" w:type="dxa"/>
            <w:tcBorders>
              <w:bottom w:val="single" w:sz="12" w:space="0" w:color="auto"/>
            </w:tcBorders>
          </w:tcPr>
          <w:p w14:paraId="750366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w:t>
            </w:r>
          </w:p>
        </w:tc>
        <w:tc>
          <w:tcPr>
            <w:tcW w:w="993" w:type="dxa"/>
            <w:tcBorders>
              <w:bottom w:val="single" w:sz="12" w:space="0" w:color="auto"/>
            </w:tcBorders>
          </w:tcPr>
          <w:p w14:paraId="1E8550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w:t>
            </w:r>
          </w:p>
        </w:tc>
        <w:tc>
          <w:tcPr>
            <w:tcW w:w="708" w:type="dxa"/>
            <w:tcBorders>
              <w:bottom w:val="single" w:sz="12" w:space="0" w:color="auto"/>
            </w:tcBorders>
          </w:tcPr>
          <w:p w14:paraId="7B7BD3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Раменское</w:t>
            </w:r>
          </w:p>
        </w:tc>
        <w:tc>
          <w:tcPr>
            <w:tcW w:w="1418" w:type="dxa"/>
            <w:tcBorders>
              <w:bottom w:val="single" w:sz="12" w:space="0" w:color="auto"/>
            </w:tcBorders>
          </w:tcPr>
          <w:p w14:paraId="585D60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Д.С.Зосим</w:t>
            </w:r>
          </w:p>
        </w:tc>
        <w:tc>
          <w:tcPr>
            <w:tcW w:w="2364" w:type="dxa"/>
            <w:tcBorders>
              <w:bottom w:val="single" w:sz="12" w:space="0" w:color="auto"/>
            </w:tcBorders>
          </w:tcPr>
          <w:p w14:paraId="1159B3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СБ транспортного</w:t>
            </w:r>
          </w:p>
        </w:tc>
        <w:tc>
          <w:tcPr>
            <w:tcW w:w="4440" w:type="dxa"/>
            <w:tcBorders>
              <w:bottom w:val="single" w:sz="12" w:space="0" w:color="auto"/>
            </w:tcBorders>
          </w:tcPr>
          <w:p w14:paraId="394A54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с неработающим двигателем из-за недостаточности давления л допустил ошибку, выключив моторы, что привело к резкому развороту с-та и поломке левой ноги</w:t>
            </w:r>
          </w:p>
        </w:tc>
      </w:tr>
    </w:tbl>
    <w:p w14:paraId="36AE91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(2108,266)</w:t>
      </w:r>
    </w:p>
    <w:p w14:paraId="620814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11004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1944 г. по приказу № 424с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0644D8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1A1F25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37F383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13F87E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3F0DF5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(04.1941 г.-)- А.И. Меркулов.</w:t>
      </w:r>
    </w:p>
    <w:p w14:paraId="158344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(1941-06.1943 г.)- А.Я. Щербаков, (06.1943-46 г.)- В.М. Мясищев.</w:t>
      </w:r>
    </w:p>
    <w:p w14:paraId="67E86A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(1946 г.-)- Е.П. Шекунов.</w:t>
      </w:r>
    </w:p>
    <w:p w14:paraId="5A40DB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(04.1941 г.-)- А.И. Меркулов.</w:t>
      </w:r>
    </w:p>
    <w:p w14:paraId="0522B4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гл. конструктора А.Я. Щербакова при заводе № 482 НКАП</w:t>
      </w:r>
    </w:p>
    <w:p w14:paraId="1F7007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27ECB2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3E7BCF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1037с от 2.10.1941 г. практически все работы по высотно-скоростным самолетам были свернуты (оставлена только доводка опытного планера СП-1 и </w:t>
      </w:r>
      <w:r w:rsidRPr="00722885">
        <w:rPr>
          <w:rFonts w:ascii="Times New Roman" w:hAnsi="Times New Roman"/>
          <w:color w:val="000000" w:themeColor="text1"/>
          <w:sz w:val="16"/>
          <w:szCs w:val="16"/>
        </w:rPr>
        <w:lastRenderedPageBreak/>
        <w:t>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2ED043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06B044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722885">
        <w:rPr>
          <w:rFonts w:ascii="Times New Roman" w:hAnsi="Times New Roman"/>
          <w:color w:val="000000" w:themeColor="text1"/>
          <w:sz w:val="16"/>
          <w:szCs w:val="16"/>
          <w:lang w:val="en-US"/>
        </w:rPr>
        <w:t>JIa</w:t>
      </w:r>
      <w:r w:rsidRPr="00722885">
        <w:rPr>
          <w:rFonts w:ascii="Times New Roman" w:hAnsi="Times New Roman"/>
          <w:color w:val="000000" w:themeColor="text1"/>
          <w:sz w:val="16"/>
          <w:szCs w:val="16"/>
        </w:rPr>
        <w:t>-5 и Пе-2ВИ.</w:t>
      </w:r>
    </w:p>
    <w:p w14:paraId="33300F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55DECE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ОКБ завода № 22 гл. конструктора В.М. Мясищева, ОКБ-482 НКАП, МАП /г. Москва/</w:t>
      </w:r>
    </w:p>
    <w:p w14:paraId="5FA816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4E7E92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68BF952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18C9B2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0CCB7D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75A55B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63A552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(1944-46 г.)- В.М. Мясищев.</w:t>
      </w:r>
    </w:p>
    <w:p w14:paraId="585094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265BD2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AD0019"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26E9981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7CC8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г. Госкомитет Обороны распорядился модернизировать Т-34 - установить командирскую башенку кругового обзора, пятискоростную КПП, дополнительные топливные баки; требовалось также усовершенствовать воздушные фильтры и систему смазки. Эти доработки были в основном осуществлены. Кроме того, в апреле 1943 г. в боекомплект пушки Ф-34 ввели подкалиберные выстрелы, что заметно увеличило бронепробиваемость системы. В 1942-1943 гг. велись работы над танком Т-43 с торсионной подвеской, усиленным лобовым бронированием (корпус до 75 мм, башня - до 90 мм). Но по ряду причин эта разработка не получила развития. В октябре 1943 г. стали заниматься проблемой повышения огневой мощи Т-34. Для установки 85-мм пушки С-53 КБ Грабина (разработчик Ф-34) предложило увеличить башню и расширить ее погон. Также компоновалась 85-мм пушка КБ Ф.Ф. Петрова. Был создан совместный образец ЗИС-С-53, установленный в новой башне с усиленным бронированием (лоб - 90 мм, борт - 75 мм). Выпуск этой машины под обозначением Т-34-85 начался в марте 1944 г. Попытку радикального усовершенствования Т-34 предприняли в 1945 г., с началом выпуска Т-44, который при равной с Т-34-85 боевой массе (31,5 т) имел лобовое бронирование корпуса 120 мм. Бронирование башни не изменилось, но ее сместили наконец-то к центру корпуса, одновременно увеличив в размерах. Тем самым постарались улучшить условия деятельности экипажа, как в бою, так и на марше (стало просторнее и уменьшилась укачиваемость). Повысилась маневренность и проходимость машины с длинноствольной пушкой (длина ствола - 50,1 калибра). Этому же способствовало использование торсионной подвески и планетарного механизма поворота. Увеличение бронирования и боевого отделения стало возможным при установке двигателя поперек корпуса. Сравним теперь наш танк с германскими соперниками. Т-III разрабатывался фирмой "Даймлер-Бенц" и выпускался серийно с 1938 г. Оснащался карбюраторным "Майбахом" мощностью 230-300 л.с. и по удельной энерговооруженности не уступал Т-34. Бронирование поначалу было противопульным, но уже в 1939 г. оно возросло до 30 мм. С середины 1940 г. танки имели бронирование 50 мм (башня и лобовой лист корпуса) и пушку калибра 50 мм, которая по бронепробиваемости на дистанциях до 500 м не уступала пушке Л-11 (при стрельбе подкалиберным выстрелом). В боекомплекте Т-34, напомним, такие выстрелы появились только в 1943 г. С лета 1941 г. преимущество в вооружении постепенно перешло к нашему танку, когда на него стали устанавливать Ф-34 (с сентября этого года машины выпускались только с такой пушкой). Поэтому с декабря 1941 г. на германский танк установили 50-мм пушку с длиной ствола 60 калибров. В 1942 г. танк Т-III по бронепробиваемости на дистанциях до 700 м превосходил Т-34 с пушкой Ф-34. Бронирование их было примерно одинаковым. Дефицит вольфрама для сердечников подкалиберных выстрелов заставил выпускать в 1942 и 1943 гг. некоторое количество танков Т-III с короткоствольной 75-мм пушкой, стрелявшей по танкам кумулятивной гранатой. При неплохой бронепробиваемости (до 70 мм) эти системы могли эффективно применяться на малых дистанциях. В 1942 г. начался массовый выпуск штурмовых орудий на шасси Т-III с пушками калибра 75 мм и длиной ствола 43 и 48 калибров, которые по бронепробиваемости имели большое превосходство перед пушкой Ф-34. Эти самоходные установки стали весьма эффективным средством боевой поддержки наиболее массового германского танка Т-IV. Машина фирмы "Крупп" выпускалась с 1938 г. и оснащалась таким же двигателем, что и Т-III. Сварной корпус простой конфигурации разделялся внутренними перегородками на три отделения для повышения живучести. В переднем отделении находились механик-водитель и стрелок-радист. В боевом отделении с башней многогранной формы (размещавшейся по центру танка) находились командир, наводчик и заряжающий. На башне стояла командирская башенка с пятью смотровыми приборами с броневыми заслонками. В Т-IV по сравнению с Т-34 не было такой стесненности, намного лучше был обзор. Бронирование и вооружение выпускавшихся массовой серией в 1941 г. Т-IV примерно соответствовало показателям первых серий Т-34 с пушкой Л-11. Поэтому во второй половине 1941 и в начале 1942 гг. германский танк стал уступать в боевом единоборстве Т-34. Но уже с марта 1942 г. начался выпуск Т-IV с пушкой калибра 75 мм и длиной ствола 43 калибра. В 1943 и 1944 гг. крупными сериями выпускались танки Т-IV с еще более мощными 75-мм пушками (длина ствола 48 калибров) и бронированием лобовым корпуса до 85 мм. Вместе со штурмовыми орудиями на шасси Т-III и T-IV c таким же бронированием и вооружением они превосходили советские средние танки вплоть до середины 1944 г., когда в массовых количествах стал выпускаться Т-34-85. При отработке и принятии на вооружение танка Т-34 было проигнорировано мнение военных. Не проведены в полном объеме испытания. В итоге в конструкции машины были законсервированы очень существенные недостатки. Поэтому некоторое превосходство Т-34 над серийными германскими танками Т-III и Т-IV быстро было утеряно и восстановилось лишь к середине 1944г. (причем только по мощности пушки, а не по условиям обитания экипажа) (11224).</w:t>
      </w:r>
    </w:p>
    <w:p w14:paraId="50314D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225FC"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июля</w:t>
      </w:r>
      <w:r w:rsidRPr="00722885">
        <w:rPr>
          <w:rFonts w:ascii="Times New Roman" w:hAnsi="Times New Roman"/>
          <w:color w:val="000000" w:themeColor="text1"/>
          <w:sz w:val="16"/>
          <w:szCs w:val="16"/>
        </w:rPr>
        <w:t xml:space="preserve"> в 1942 году ГКО принял постановление о производстве танков «Т-34» на Кировском заводе (14943).</w:t>
      </w:r>
    </w:p>
    <w:p w14:paraId="4C27DA4F"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2FEEF785" w14:textId="77777777" w:rsidR="00265C4C" w:rsidRPr="00722885"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 июля 1942 года согласно постановлению ГКО № 1958сс “О производстве танков Т-34 и Т-70”, прекратилось производство малых танков Т-60. Они окончательно сошли со сцены, уступив место более совершенному Т-70. Одновременно завод №264 в Красноармейске полностью переключился с производства Т-60 на корпуса для Т-34, которые были нужны войскам как воздух (17530).</w:t>
      </w:r>
    </w:p>
    <w:p w14:paraId="7D9A7597" w14:textId="77777777" w:rsidR="00265C4C" w:rsidRPr="00722885"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9E1E9D"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xml:space="preserve">5 июля 1942 года было подписано постановление Государственного комитета обороны (ГКО) №1878 «Об улучшении танков КВ». Оно стало отправной точкой для перехода от КВ-1 к облегченной версии танка, получившей обозначение КВ-1с. К 27 июля </w:t>
      </w:r>
      <w:hyperlink r:id="rId8" w:history="1">
        <w:r w:rsidRPr="00722885">
          <w:rPr>
            <w:rFonts w:ascii="Times New Roman" w:eastAsia="Times New Roman" w:hAnsi="Times New Roman"/>
            <w:iCs/>
            <w:color w:val="000000" w:themeColor="text1"/>
            <w:sz w:val="16"/>
            <w:szCs w:val="16"/>
            <w:lang w:eastAsia="ru-RU"/>
          </w:rPr>
          <w:t>были изготовлены два опытных образца</w:t>
        </w:r>
      </w:hyperlink>
      <w:r w:rsidRPr="00722885">
        <w:rPr>
          <w:rFonts w:ascii="Times New Roman" w:eastAsia="Times New Roman" w:hAnsi="Times New Roman"/>
          <w:iCs/>
          <w:color w:val="000000" w:themeColor="text1"/>
          <w:sz w:val="16"/>
          <w:szCs w:val="16"/>
          <w:lang w:eastAsia="ru-RU"/>
        </w:rPr>
        <w:t>, а к 20-м числам августа в Челябинске приступили к серийному производству танка. Хотя КВ-1с не стал такой легендой, как КВ-1, именно эти машины участвовали в разгроме немцев в Сталинградской битве и сражались на Курской дуге. Их создание и производство являлись во многом вынужденной мерой, но КВ-1с продержался на конвейере ровно год, а на фронте задержался до конца 1944 года (17692).</w:t>
      </w:r>
    </w:p>
    <w:p w14:paraId="32093125" w14:textId="77777777" w:rsidR="00B33D31" w:rsidRPr="00722885"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542D18E2" w14:textId="77777777" w:rsidR="00C64375" w:rsidRPr="00722885" w:rsidRDefault="00C64375"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5 июля 1942 на Гороховецком АНИОП закончились испытания танка КВ-2 с пушкой ЗИС-6, которые начались 25 июня. При этом в отчете указывалось, что в танке стояло орудие №1 с трубой №8. Дополнительным фактором стало то, что испытания решили проводить на усиленном заряде, с начальной скоростью снаряда 840 м/с.</w:t>
      </w:r>
    </w:p>
    <w:p w14:paraId="61207E8D" w14:textId="77777777" w:rsidR="00C64375" w:rsidRPr="00722885" w:rsidRDefault="00C64375"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общей сложности из орудия произвели 618 выстрелов. Как правило, по поводу итогов испытаний пишутся фразы о том, что орудие показало недостаточную живучесть ствола, снаряд под конец испытаний прилетал плашмя, и так далее. Отчасти это правда, если не смотреть на некоторые вещи. Для начала, комиссия признала, что главной причиной быстрого износа ствола стало повышение начальной скорости снаряда. Проблемы начались после 486 выстрелов. Именно тогда и резко упала кучность. До того кучность была вполне удовлетворительной. Далее, бронепробиваемость орудия оказалась вполне достаточной. На дистанции 1600 метров бронебойный снаряд пробивал лист толщиной 120 мм, установленный под углом 30 градусов от вертикали. Это означало, что КВ-3 мог на этой дистанции пробить сам себя. Безусловно, имелись проблемы, например, после 315 выстрелов сломался досылатель. Вместе с тем, говорить о неготовности орудия не совсем корректно.</w:t>
      </w:r>
    </w:p>
    <w:p w14:paraId="36A3C901" w14:textId="77777777" w:rsidR="00C64375" w:rsidRPr="00722885" w:rsidRDefault="00C64375"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lastRenderedPageBreak/>
        <w:t>После окончания испытаний орудие срочно вернули на завод №92, после чего провели серию дополнительных испытаний. Всплыли дополнительные дефекты, которые требовалось устранить. Вместе с тем, уже в июне начался валовый выпуск орудий. По этому поводу сломано немало копий, но справка завода №92 от 10 июля 1941 года однозначно показывает - Грабин отнюдь не лукавил. В разной степени готовности находилось 213 труб, причем минимум 4 было уже окончательно закончено. Уже потом пришлось менять планы, поскольку стало ясно - КВ-3 в Ленинграде выпускать не будут. Выпуск данного танка переносили на ЧТЗ, куда отправили незаконченный танк. При этом объемы выпуска явно выглядели скромно. Теперь от завода №92 требовалось всего 35 орудий - 5 в октябре, 10 в ноябре и 20 в декабре 1941 года. В июле 1941 года Грабин выходил с идеей установки ЗИС-6 в КВ-2, но данную идею реализовывать не стали. Причина прозаична - данные танки прекратили выпускать (20349).</w:t>
      </w:r>
    </w:p>
    <w:p w14:paraId="446306C7" w14:textId="77777777" w:rsidR="00C64375" w:rsidRPr="00722885" w:rsidRDefault="00C64375"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25AF368E" w14:textId="77777777" w:rsidR="00C40D73" w:rsidRPr="00722885" w:rsidRDefault="00C40D73"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5 июля 1942 года на стол начальнику ГАБТУ КА ге</w:t>
      </w:r>
      <w:r w:rsidRPr="00722885">
        <w:rPr>
          <w:rFonts w:eastAsia="Calibri"/>
          <w:color w:val="000000" w:themeColor="text1"/>
          <w:sz w:val="16"/>
          <w:szCs w:val="16"/>
        </w:rPr>
        <w:softHyphen/>
        <w:t xml:space="preserve">нерал-лейтенанту Я. Н. Федоренко легло письмо от главного инженера завода № 200 </w:t>
      </w:r>
      <w:r w:rsidRPr="00722885">
        <w:rPr>
          <w:rFonts w:eastAsia="Calibri"/>
          <w:color w:val="000000" w:themeColor="text1"/>
          <w:sz w:val="16"/>
          <w:szCs w:val="16"/>
          <w:lang w:val="en-US"/>
        </w:rPr>
        <w:t>J</w:t>
      </w:r>
      <w:r w:rsidRPr="00722885">
        <w:rPr>
          <w:rFonts w:eastAsia="Calibri"/>
          <w:color w:val="000000" w:themeColor="text1"/>
          <w:sz w:val="16"/>
          <w:szCs w:val="16"/>
        </w:rPr>
        <w:t>1. И. Эйранова:</w:t>
      </w:r>
    </w:p>
    <w:p w14:paraId="4DCC9E75"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 заводом разработаны, кроме танкового прицепа ТД-200, еще два варианта танковых прицепов: ТД-2и ТД-3, отличающихся от ТД-200 габаритными размерами, весами и размещением количества команды.</w:t>
      </w:r>
    </w:p>
    <w:p w14:paraId="3DE7C32C"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ТД-2 разработаны на 15 человек команды при толщине листов: на</w:t>
      </w:r>
      <w:r w:rsidRPr="00722885">
        <w:rPr>
          <w:rFonts w:ascii="Times New Roman" w:hAnsi="Times New Roman"/>
          <w:color w:val="000000" w:themeColor="text1"/>
          <w:sz w:val="16"/>
          <w:szCs w:val="16"/>
        </w:rPr>
        <w:softHyphen/>
        <w:t>клонные бортовые — 40мм, лобовые — 30мм, крыша 15мм и днище 10мм, вес полный с полезной нагрузкой в 1125 кг равен 5750 кг, и при толщине листов: наклонные бортовые — 30 мм, лобовые — 20 мм, крыша — 15 мм и днище — 10мм, вес полный с полезной нагрузкой равен 5100 кг.</w:t>
      </w:r>
    </w:p>
    <w:p w14:paraId="7F37528F"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ТД-3 разработаны на 20 человек команды при толщине листов: наклон</w:t>
      </w:r>
      <w:r w:rsidRPr="00722885">
        <w:rPr>
          <w:rFonts w:ascii="Times New Roman" w:hAnsi="Times New Roman"/>
          <w:color w:val="000000" w:themeColor="text1"/>
          <w:sz w:val="16"/>
          <w:szCs w:val="16"/>
        </w:rPr>
        <w:softHyphen/>
        <w:t>ные бортовые — 40 мм, лобовые — 30 мм, крыша 15 мм, и днище 10 мм, вес полный с полезной нагрузкой в 1500 кг равен 7850 кг, и при толщине листов: наклонные бортовые — 30мм, лобовые — 20мм, крыша — 15мм, и днище — 10мм, вес полный с полезной нагрузкой равен 7000 кг.</w:t>
      </w:r>
    </w:p>
    <w:p w14:paraId="08674784" w14:textId="77777777" w:rsidR="00C40D73" w:rsidRPr="00722885" w:rsidRDefault="00C40D7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Представляем на Ваше рассмотрение разработанные проекты общих видов ТД-2 и ТД-3, просим Вас разрешить нам изготовить опытный об</w:t>
      </w:r>
      <w:r w:rsidRPr="00722885">
        <w:rPr>
          <w:rFonts w:ascii="Times New Roman" w:hAnsi="Times New Roman"/>
          <w:color w:val="000000" w:themeColor="text1"/>
          <w:sz w:val="16"/>
          <w:szCs w:val="16"/>
        </w:rPr>
        <w:softHyphen/>
        <w:t>разец машины ТД-2»'.</w:t>
      </w:r>
    </w:p>
    <w:p w14:paraId="7D2F4753" w14:textId="77777777" w:rsidR="00C40D73" w:rsidRPr="00722885" w:rsidRDefault="00C40D73"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В первоначальном тексте речь шла о постройке также и одного об</w:t>
      </w:r>
      <w:r w:rsidRPr="00722885">
        <w:rPr>
          <w:rFonts w:eastAsia="Calibri"/>
          <w:color w:val="000000" w:themeColor="text1"/>
          <w:sz w:val="16"/>
          <w:szCs w:val="16"/>
        </w:rPr>
        <w:softHyphen/>
        <w:t>разца ТД-3, но после рассмотрения письма Федоренко была сделана правка ручкой, и постройку ограничили прицепом ТД-2. По характе</w:t>
      </w:r>
      <w:r w:rsidRPr="00722885">
        <w:rPr>
          <w:rFonts w:eastAsia="Calibri"/>
          <w:color w:val="000000" w:themeColor="text1"/>
          <w:sz w:val="16"/>
          <w:szCs w:val="16"/>
        </w:rPr>
        <w:softHyphen/>
        <w:t>ристикам прицеп ТД-3, как и его предшественник ТД-200, не вписы</w:t>
      </w:r>
      <w:r w:rsidRPr="00722885">
        <w:rPr>
          <w:rFonts w:eastAsia="Calibri"/>
          <w:color w:val="000000" w:themeColor="text1"/>
          <w:sz w:val="16"/>
          <w:szCs w:val="16"/>
        </w:rPr>
        <w:softHyphen/>
        <w:t>вался в выдвинутые военными требования. Что же касается ТД-2, то он вполне подходил под необходимые нормативы и его постройке дали зеленый свет. В качестве ответственного за работы по ТД-2 выступал П. К. Ворошилов. Согласно его докладу, опытный образец был изго</w:t>
      </w:r>
      <w:r w:rsidRPr="00722885">
        <w:rPr>
          <w:rFonts w:eastAsia="Calibri"/>
          <w:color w:val="000000" w:themeColor="text1"/>
          <w:sz w:val="16"/>
          <w:szCs w:val="16"/>
        </w:rPr>
        <w:softHyphen/>
        <w:t>товлен к 10 октября и проходил заводские испытания. К тому моменту, впрочем, более актуальной стала идея постройки десантных прицепов на базе корпусов снятых с вооружения танков. Тем не менее, челябин</w:t>
      </w:r>
      <w:r w:rsidRPr="00722885">
        <w:rPr>
          <w:rFonts w:eastAsia="Calibri"/>
          <w:color w:val="000000" w:themeColor="text1"/>
          <w:sz w:val="16"/>
          <w:szCs w:val="16"/>
        </w:rPr>
        <w:softHyphen/>
        <w:t>ским бронированным прицепам все же довелось повоевать. Согласно переписке, три опытных прицепа ТД-200 в конце сентября 1942 года были направлены в 19 танковую бригаду. Помимо прицепов, в этой бригаде, действовавшей на Сталинградском фронте, также обкатыва</w:t>
      </w:r>
      <w:r w:rsidRPr="00722885">
        <w:rPr>
          <w:rFonts w:eastAsia="Calibri"/>
          <w:color w:val="000000" w:themeColor="text1"/>
          <w:sz w:val="16"/>
          <w:szCs w:val="16"/>
        </w:rPr>
        <w:softHyphen/>
        <w:t>лись приборы ночного вождения танков (17485).</w:t>
      </w:r>
    </w:p>
    <w:p w14:paraId="19D03A15" w14:textId="77777777" w:rsidR="00C40D73" w:rsidRPr="00722885" w:rsidRDefault="00C40D73" w:rsidP="00722885">
      <w:pPr>
        <w:spacing w:after="0" w:line="240" w:lineRule="auto"/>
        <w:jc w:val="both"/>
        <w:rPr>
          <w:rFonts w:ascii="Times New Roman" w:hAnsi="Times New Roman"/>
          <w:color w:val="000000" w:themeColor="text1"/>
          <w:sz w:val="16"/>
          <w:szCs w:val="16"/>
        </w:rPr>
      </w:pPr>
    </w:p>
    <w:p w14:paraId="64510614" w14:textId="77777777" w:rsidR="00265C4C" w:rsidRPr="00722885"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 июля 1942 года на адрес отдела изобретений Главного автобронетанкового управления Красной армии (ГАБТУ КА) пришло письмо, в котором находился проект боевой машины, по своим характеристикам вполне способной заменить Т-60. Автором проекта являлся лейтенант Константин Яковлевич Проворнов. Воевал Проворнов на Т-34, и это самым прямым образом отразилось на проекте лёгкого танка, который он предложил отделу изобретений ГАБТУ. На тот момент лейтенанту было всего 22 года, но предложенный им лёгкий танк отличается очень серьёзной проработкой. Этот факт напрямую связан с тем, что молодой танкист хорошо знал технику, состоявшую на вооружении Красной армии. Ему, как практику, были хорошо видны достоинства и недостатки танков, на которых он служил.</w:t>
      </w:r>
    </w:p>
    <w:p w14:paraId="13630DED" w14:textId="77777777" w:rsidR="00265C4C" w:rsidRPr="00722885"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Лёгкий танк Проворнова представлял собой трёхместную боевую машину массой 11 тонн. Длина корпуса составляла всего 4 метра — это меньше не только в сравнении с Т-70, но и с Т-60. Ширина корпуса также отличалась от аналогов в меньшую сторону – она составляла 2 метра. При таких габаритах компоновка корпуса представляла собой крайне сложную задачу, но, к чести автора, на бумаге он её решил. Как уже говорилось выше, из-за использования компоновки плавающего танка Т-40 внутреннее пространство Т-60 и Т-70 использовалось нерационально. Особенно это касается носовой части, где много места попросту пустовало. Благодаря использованию формы корпуса по типу Т-34 лёгкий танк Проворнова был лишён этого недостатка.</w:t>
      </w:r>
    </w:p>
    <w:p w14:paraId="5A19FCB6" w14:textId="77777777" w:rsidR="00265C4C" w:rsidRPr="00722885"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Место механика-водителя по сравнению с Т-60 и Т-70 оказалось сдвинуто вперёд, что позволило высвободить пространство сзади. Для попадания внутрь танка для механика-водителя изобретатель предусмотрел большой люк по типу Т-34, оснащённый двумя смотровыми приборами. Справа от люка предполагалось поставить шаровую установку с пулемётом ДТ, а также перископический прибор вроде того, что ставился на Т-34 выпуска Сталинградского Тракторного Завода (СТЗ). Для эвакуации экипажа в полу был предусмотрен аварийный люк.</w:t>
      </w:r>
    </w:p>
    <w:p w14:paraId="3200B420" w14:textId="77777777" w:rsidR="00265C4C" w:rsidRPr="00722885"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Много общего с Т-34 было у лёгкого танка Проворнова в компоновке кормовой части. В качестве силовой установки предполагалось использовать спарку двигателей ГАЗ-11. Такие же моторы ставились на Т-40, Т-60 и Т-70. Суммарной мощности 170 л.с. должно было хватить для расчётной скорости 45 км/ч. Весьма оригинально выглядела идея использования спарки двигателей: по задумке автора, моторы были соединены при помощи поперечной передачи. Оба мотора закреплялись на общей раме, общими у них были система питания топливом, выключатель зажигания и кнопка электростартёра.</w:t>
      </w:r>
    </w:p>
    <w:p w14:paraId="600AF994" w14:textId="77777777" w:rsidR="00265C4C" w:rsidRPr="00722885"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Оригинальным было и устройство системы охлаждения. Радиаторы Проворнов решил разместить над двигателями. Подобное решение применялось на лёгком танке Т-26. Получилась компактная силовая установка, вполне вписывающаяся в столь небольшой корпус. В кормовой части также находились бензобаки общей ёмкостью 500 литров. Согласно расчётам автора, запас хода по шоссе должен был составить 430 км, а по просёлку – 300 км. Вынос бензобаков из боевого отделения был несомненным плюсом конструкции Проворнова. В корме находилась и трансмиссия. Бортовые передачи без изменений брались от Т-60. Для доступа в МТО предполагалось использовать большие люки, аналогичные тем, что стояли на Т-34.</w:t>
      </w:r>
    </w:p>
    <w:p w14:paraId="20158752" w14:textId="77777777" w:rsidR="00265C4C" w:rsidRPr="00722885"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Весьма рационально выглядит и ходовая часть танка, представлявшая собой смесь решений, взятых от Т-34 и Т-60. На проекте Проворнова должна была использоваться торсионная подвеска. В отличие от Т-60 или Т-70, применение поддерживающих катков не предусматривалось. На каждый борт предполагалось установить по 4 катка диаметром 650 мм, что значительно больше, чем у Т-60. Ширина траков должна была составить 300 мм. Любопытно, что именно такую ширину имели траки модернизированного Т-70, который появился спустя несколько месяцев после проекта лейтенанта Проворнова.</w:t>
      </w:r>
    </w:p>
    <w:p w14:paraId="74F5257C" w14:textId="77777777" w:rsidR="00265C4C" w:rsidRPr="00722885"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Если с компоновкой корпуса всё выглядит разумно, то с башней возникают вполне закономерные вопросы. Как ни странно, но при таких небольших габаритах и плотной компоновке Проворнову удалось установить на свой танк двухместную башню. Продольная схема даёт лишь примерное представление о размерах, но в целом диаметр башенного погона примерно соответствует таковому у Т-26 и БТ-7, где спокойно размещались два человека.</w:t>
      </w:r>
    </w:p>
    <w:p w14:paraId="7BABF7EF" w14:textId="77777777" w:rsidR="00265C4C" w:rsidRPr="00722885"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конструкции башня лёгкого танка в уменьшенном виде повторяла башню Т-34. Согласно описанию, при изготовлении башни предполагалось использовать литьё. От Т-34 башня унаследовала не только форму, но и большой люк, а также смотровые приборы. В качестве вооружения предлагалось использовать 45-мм пушку и спаренный с ней пулемёт ДТ. Боекомплект включал в себя 150 снарядов и 75 магазинов для ДТ. С учётом размеров танка, реальный боекомплект явно получился бы меньшим (17540).</w:t>
      </w:r>
    </w:p>
    <w:p w14:paraId="0F538FA0" w14:textId="77777777" w:rsidR="00265C4C" w:rsidRPr="00722885" w:rsidRDefault="00265C4C" w:rsidP="00722885">
      <w:pPr>
        <w:spacing w:after="0" w:line="240" w:lineRule="auto"/>
        <w:jc w:val="both"/>
        <w:rPr>
          <w:rFonts w:ascii="Times New Roman" w:hAnsi="Times New Roman"/>
          <w:color w:val="000000" w:themeColor="text1"/>
          <w:sz w:val="16"/>
          <w:szCs w:val="16"/>
        </w:rPr>
      </w:pPr>
    </w:p>
    <w:p w14:paraId="13B9B416" w14:textId="77777777" w:rsidR="00B33D31" w:rsidRPr="00722885" w:rsidRDefault="00B33D31" w:rsidP="00722885">
      <w:pPr>
        <w:pStyle w:val="ae"/>
        <w:shd w:val="clear" w:color="auto" w:fill="FFFFFF"/>
        <w:spacing w:before="0" w:after="0"/>
        <w:jc w:val="both"/>
        <w:rPr>
          <w:color w:val="000000" w:themeColor="text1"/>
          <w:sz w:val="16"/>
          <w:szCs w:val="16"/>
        </w:rPr>
      </w:pPr>
      <w:r w:rsidRPr="00722885">
        <w:rPr>
          <w:color w:val="000000" w:themeColor="text1"/>
          <w:sz w:val="16"/>
          <w:szCs w:val="16"/>
        </w:rPr>
        <w:t>5 июля 1942 года, на стол начальнику ГАБТУ КА генерал-лейтенанту Я.Н. Федоренко легло письмо от главного инженера завода №200 Л.И. Эйранова. В нём он предлагал ещё два варианта бронированных прицепов, обозначавшихся как ТД-2 и ТД-3. Это была последняя попытка спасти положение. Ничего особо нового завод №200 не придумал: фактически это был тот же ТД-200, но в уменьшенном виде. ТД-2, имевший боевую массу 5750 килограмм, был расcчитан на перевозку 15 человек. Количество опорных катков сократилось до трёх. ТД-3, рассчитанный на 20 человек, оказался крупнее и весил 7850 кг. Как и ТД-200, этот прицеп имел по 4 опорных катка на борт.</w:t>
      </w:r>
    </w:p>
    <w:p w14:paraId="563E63FE" w14:textId="77777777" w:rsidR="00B33D31" w:rsidRPr="00722885" w:rsidRDefault="00B33D31"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первоначальном тексте речь шла о постройке и одного образца ТД-3, но после рассмотрения письма Федоренко была сделана правка ручкой и постройку ограничили прицепом ТД-2. По характеристикам прицеп ТД-3, как и его предшественник ТД-200, не вписывался в выдвинутые военными требования. Что же касается ТД-2, то он вполне подходил под необходимые нормативы и получил зелёный свет. Ответственным за работы по ТД-2 был П.К. Ворошилов. Как следует из его доклада, опытный образец был изготовлен к 10 октября и проходил заводские испытания. К тому моменту, впрочем, приоритет получила идея постройки десантных прицепов на базе корпусов снятых с вооружения танков. Тем не менее челябинские бронированные прицепы получили возможность повоевать. Согласно переписке, три опытных прицепа ТД-200 в конце сентября 1942 года были направлены в 19-ю танковую бригаду, в которой, к слову, испытывались и приборы ночного вождения танков. Увы, в документах бригады прицепы не упоминаются (17711).</w:t>
      </w:r>
    </w:p>
    <w:p w14:paraId="328EE35D" w14:textId="77777777" w:rsidR="00B33D31" w:rsidRPr="00722885"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2EB5235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г. был подготовлен ПЛАН ПОЛУЧЕНИЯ НКО АВТОМАШИН НА ИЮЛЬ МЕСЯЦ 1942 г.</w:t>
      </w:r>
    </w:p>
    <w:p w14:paraId="76191E5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дополнение к № 712461с от 23.6.1942 г. сообщаю план получения автомашин НКО на июль ме</w:t>
      </w:r>
      <w:r w:rsidRPr="00722885">
        <w:rPr>
          <w:rFonts w:ascii="Times New Roman" w:hAnsi="Times New Roman"/>
          <w:color w:val="000000" w:themeColor="text1"/>
          <w:sz w:val="16"/>
          <w:szCs w:val="16"/>
        </w:rPr>
        <w:softHyphen/>
        <w:t>сяц 1942г.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276"/>
      </w:tblGrid>
      <w:tr w:rsidR="009B487A" w:rsidRPr="00722885" w14:paraId="73AB3FC9" w14:textId="77777777" w:rsidTr="00CC5360">
        <w:tc>
          <w:tcPr>
            <w:tcW w:w="2660" w:type="dxa"/>
            <w:tcBorders>
              <w:top w:val="single" w:sz="12" w:space="0" w:color="auto"/>
            </w:tcBorders>
            <w:shd w:val="clear" w:color="auto" w:fill="FFFFFF"/>
          </w:tcPr>
          <w:p w14:paraId="3CAEAF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Импортные автомашины:</w:t>
            </w:r>
          </w:p>
        </w:tc>
        <w:tc>
          <w:tcPr>
            <w:tcW w:w="1276" w:type="dxa"/>
            <w:tcBorders>
              <w:top w:val="single" w:sz="12" w:space="0" w:color="auto"/>
            </w:tcBorders>
            <w:shd w:val="clear" w:color="auto" w:fill="FFFFFF"/>
          </w:tcPr>
          <w:p w14:paraId="1485FF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76134C34" w14:textId="77777777" w:rsidTr="00CC5360">
        <w:tc>
          <w:tcPr>
            <w:tcW w:w="2660" w:type="dxa"/>
            <w:shd w:val="clear" w:color="auto" w:fill="FFFFFF"/>
          </w:tcPr>
          <w:p w14:paraId="0BBAEC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Виллис</w:t>
            </w:r>
          </w:p>
        </w:tc>
        <w:tc>
          <w:tcPr>
            <w:tcW w:w="1276" w:type="dxa"/>
            <w:shd w:val="clear" w:color="auto" w:fill="FFFFFF"/>
          </w:tcPr>
          <w:p w14:paraId="1D0F7BF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- 1 000 штук</w:t>
            </w:r>
          </w:p>
        </w:tc>
      </w:tr>
      <w:tr w:rsidR="009B487A" w:rsidRPr="00722885" w14:paraId="0DA8CC26" w14:textId="77777777" w:rsidTr="00CC5360">
        <w:tc>
          <w:tcPr>
            <w:tcW w:w="2660" w:type="dxa"/>
            <w:shd w:val="clear" w:color="auto" w:fill="FFFFFF"/>
          </w:tcPr>
          <w:p w14:paraId="5D5F5D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Студебекер</w:t>
            </w:r>
          </w:p>
        </w:tc>
        <w:tc>
          <w:tcPr>
            <w:tcW w:w="1276" w:type="dxa"/>
            <w:shd w:val="clear" w:color="auto" w:fill="FFFFFF"/>
          </w:tcPr>
          <w:p w14:paraId="2E9E658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- 1 475 штук</w:t>
            </w:r>
          </w:p>
        </w:tc>
      </w:tr>
      <w:tr w:rsidR="009B487A" w:rsidRPr="00722885" w14:paraId="7DCC7531" w14:textId="77777777" w:rsidTr="00CC5360">
        <w:tc>
          <w:tcPr>
            <w:tcW w:w="2660" w:type="dxa"/>
            <w:shd w:val="clear" w:color="auto" w:fill="FFFFFF"/>
          </w:tcPr>
          <w:p w14:paraId="1FAC8F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Джиемси</w:t>
            </w:r>
          </w:p>
        </w:tc>
        <w:tc>
          <w:tcPr>
            <w:tcW w:w="1276" w:type="dxa"/>
            <w:shd w:val="clear" w:color="auto" w:fill="FFFFFF"/>
          </w:tcPr>
          <w:p w14:paraId="3A161F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- 467 штук</w:t>
            </w:r>
          </w:p>
        </w:tc>
      </w:tr>
      <w:tr w:rsidR="009B487A" w:rsidRPr="00722885" w14:paraId="6374F840" w14:textId="77777777" w:rsidTr="00CC5360">
        <w:tc>
          <w:tcPr>
            <w:tcW w:w="2660" w:type="dxa"/>
            <w:shd w:val="clear" w:color="auto" w:fill="FFFFFF"/>
          </w:tcPr>
          <w:p w14:paraId="27B8C9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Шевроле</w:t>
            </w:r>
          </w:p>
        </w:tc>
        <w:tc>
          <w:tcPr>
            <w:tcW w:w="1276" w:type="dxa"/>
            <w:shd w:val="clear" w:color="auto" w:fill="FFFFFF"/>
          </w:tcPr>
          <w:p w14:paraId="771108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- 1 800 штук</w:t>
            </w:r>
          </w:p>
        </w:tc>
      </w:tr>
      <w:tr w:rsidR="009B487A" w:rsidRPr="00722885" w14:paraId="70D97A00" w14:textId="77777777" w:rsidTr="00CC5360">
        <w:tc>
          <w:tcPr>
            <w:tcW w:w="2660" w:type="dxa"/>
            <w:shd w:val="clear" w:color="auto" w:fill="FFFFFF"/>
          </w:tcPr>
          <w:p w14:paraId="19649A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Форд</w:t>
            </w:r>
          </w:p>
        </w:tc>
        <w:tc>
          <w:tcPr>
            <w:tcW w:w="1276" w:type="dxa"/>
            <w:shd w:val="clear" w:color="auto" w:fill="FFFFFF"/>
          </w:tcPr>
          <w:p w14:paraId="437B6B8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- 516 штук</w:t>
            </w:r>
          </w:p>
        </w:tc>
      </w:tr>
      <w:tr w:rsidR="009B487A" w:rsidRPr="00722885" w14:paraId="33D159F8" w14:textId="77777777" w:rsidTr="00CC5360">
        <w:tc>
          <w:tcPr>
            <w:tcW w:w="2660" w:type="dxa"/>
            <w:shd w:val="clear" w:color="auto" w:fill="FFFFFF"/>
          </w:tcPr>
          <w:p w14:paraId="622A4F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Додж</w:t>
            </w:r>
          </w:p>
        </w:tc>
        <w:tc>
          <w:tcPr>
            <w:tcW w:w="1276" w:type="dxa"/>
            <w:shd w:val="clear" w:color="auto" w:fill="FFFFFF"/>
          </w:tcPr>
          <w:p w14:paraId="0C304B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- 1 245 штук</w:t>
            </w:r>
          </w:p>
        </w:tc>
      </w:tr>
      <w:tr w:rsidR="009B487A" w:rsidRPr="00722885" w14:paraId="5EAC0DCB" w14:textId="77777777" w:rsidTr="00CC5360">
        <w:tc>
          <w:tcPr>
            <w:tcW w:w="2660" w:type="dxa"/>
            <w:shd w:val="clear" w:color="auto" w:fill="FFFFFF"/>
          </w:tcPr>
          <w:p w14:paraId="01753E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Интернейшнл</w:t>
            </w:r>
          </w:p>
        </w:tc>
        <w:tc>
          <w:tcPr>
            <w:tcW w:w="1276" w:type="dxa"/>
            <w:shd w:val="clear" w:color="auto" w:fill="FFFFFF"/>
          </w:tcPr>
          <w:p w14:paraId="09F387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- 26 штук</w:t>
            </w:r>
          </w:p>
        </w:tc>
      </w:tr>
      <w:tr w:rsidR="009B487A" w:rsidRPr="00722885" w14:paraId="2928634C" w14:textId="77777777" w:rsidTr="00CC5360">
        <w:tc>
          <w:tcPr>
            <w:tcW w:w="2660" w:type="dxa"/>
            <w:shd w:val="clear" w:color="auto" w:fill="FFFFFF"/>
          </w:tcPr>
          <w:p w14:paraId="099A14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Бантам</w:t>
            </w:r>
          </w:p>
        </w:tc>
        <w:tc>
          <w:tcPr>
            <w:tcW w:w="1276" w:type="dxa"/>
            <w:shd w:val="clear" w:color="auto" w:fill="FFFFFF"/>
          </w:tcPr>
          <w:p w14:paraId="771CDB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- 5 штук</w:t>
            </w:r>
          </w:p>
        </w:tc>
      </w:tr>
      <w:tr w:rsidR="009B487A" w:rsidRPr="00722885" w14:paraId="3D3D49D7" w14:textId="77777777" w:rsidTr="00CC5360">
        <w:tc>
          <w:tcPr>
            <w:tcW w:w="2660" w:type="dxa"/>
            <w:shd w:val="clear" w:color="auto" w:fill="FFFFFF"/>
          </w:tcPr>
          <w:p w14:paraId="0D7613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Бедфорд</w:t>
            </w:r>
          </w:p>
        </w:tc>
        <w:tc>
          <w:tcPr>
            <w:tcW w:w="1276" w:type="dxa"/>
            <w:shd w:val="clear" w:color="auto" w:fill="FFFFFF"/>
          </w:tcPr>
          <w:p w14:paraId="05E1A9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- 84 штуки</w:t>
            </w:r>
          </w:p>
        </w:tc>
      </w:tr>
      <w:tr w:rsidR="009B487A" w:rsidRPr="00722885" w14:paraId="2D4F0456" w14:textId="77777777" w:rsidTr="00CC5360">
        <w:tc>
          <w:tcPr>
            <w:tcW w:w="2660" w:type="dxa"/>
            <w:shd w:val="clear" w:color="auto" w:fill="FFFFFF"/>
          </w:tcPr>
          <w:p w14:paraId="7346817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Форд</w:t>
            </w:r>
          </w:p>
        </w:tc>
        <w:tc>
          <w:tcPr>
            <w:tcW w:w="1276" w:type="dxa"/>
            <w:shd w:val="clear" w:color="auto" w:fill="FFFFFF"/>
          </w:tcPr>
          <w:p w14:paraId="72E098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- 63 штуки</w:t>
            </w:r>
          </w:p>
        </w:tc>
      </w:tr>
      <w:tr w:rsidR="009B487A" w:rsidRPr="00722885" w14:paraId="3DF922FD" w14:textId="77777777" w:rsidTr="00CC5360">
        <w:tc>
          <w:tcPr>
            <w:tcW w:w="2660" w:type="dxa"/>
            <w:shd w:val="clear" w:color="auto" w:fill="FFFFFF"/>
          </w:tcPr>
          <w:p w14:paraId="4B66341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w:t>
            </w:r>
          </w:p>
        </w:tc>
        <w:tc>
          <w:tcPr>
            <w:tcW w:w="1276" w:type="dxa"/>
            <w:shd w:val="clear" w:color="auto" w:fill="FFFFFF"/>
          </w:tcPr>
          <w:p w14:paraId="2AE8BF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- 5 678 штук</w:t>
            </w:r>
          </w:p>
        </w:tc>
      </w:tr>
      <w:tr w:rsidR="009B487A" w:rsidRPr="00722885" w14:paraId="384345B4" w14:textId="77777777" w:rsidTr="00CC5360">
        <w:tc>
          <w:tcPr>
            <w:tcW w:w="2660" w:type="dxa"/>
            <w:shd w:val="clear" w:color="auto" w:fill="FFFFFF"/>
          </w:tcPr>
          <w:p w14:paraId="19C021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Отечественные автомашины:</w:t>
            </w:r>
          </w:p>
        </w:tc>
        <w:tc>
          <w:tcPr>
            <w:tcW w:w="1276" w:type="dxa"/>
            <w:shd w:val="clear" w:color="auto" w:fill="FFFFFF"/>
          </w:tcPr>
          <w:p w14:paraId="7AC37A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59171653" w14:textId="77777777" w:rsidTr="00CC5360">
        <w:tc>
          <w:tcPr>
            <w:tcW w:w="2660" w:type="dxa"/>
            <w:shd w:val="clear" w:color="auto" w:fill="FFFFFF"/>
          </w:tcPr>
          <w:p w14:paraId="07D5E9A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ГАЗ</w:t>
            </w:r>
          </w:p>
        </w:tc>
        <w:tc>
          <w:tcPr>
            <w:tcW w:w="1276" w:type="dxa"/>
            <w:shd w:val="clear" w:color="auto" w:fill="FFFFFF"/>
          </w:tcPr>
          <w:p w14:paraId="347073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- 620 штук</w:t>
            </w:r>
          </w:p>
        </w:tc>
      </w:tr>
      <w:tr w:rsidR="009B487A" w:rsidRPr="00722885" w14:paraId="29D864E4" w14:textId="77777777" w:rsidTr="00CC5360">
        <w:tc>
          <w:tcPr>
            <w:tcW w:w="2660" w:type="dxa"/>
            <w:shd w:val="clear" w:color="auto" w:fill="FFFFFF"/>
          </w:tcPr>
          <w:p w14:paraId="65C0575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ЗИС</w:t>
            </w:r>
          </w:p>
        </w:tc>
        <w:tc>
          <w:tcPr>
            <w:tcW w:w="1276" w:type="dxa"/>
            <w:shd w:val="clear" w:color="auto" w:fill="FFFFFF"/>
          </w:tcPr>
          <w:p w14:paraId="1EE3F27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- 880 штук</w:t>
            </w:r>
          </w:p>
        </w:tc>
      </w:tr>
      <w:tr w:rsidR="009B487A" w:rsidRPr="00722885" w14:paraId="2BC4B6FA" w14:textId="77777777" w:rsidTr="00CC5360">
        <w:tc>
          <w:tcPr>
            <w:tcW w:w="2660" w:type="dxa"/>
            <w:shd w:val="clear" w:color="auto" w:fill="FFFFFF"/>
          </w:tcPr>
          <w:p w14:paraId="6DA34D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w:t>
            </w:r>
          </w:p>
        </w:tc>
        <w:tc>
          <w:tcPr>
            <w:tcW w:w="1276" w:type="dxa"/>
            <w:shd w:val="clear" w:color="auto" w:fill="FFFFFF"/>
          </w:tcPr>
          <w:p w14:paraId="2CD2BD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- 1 500 штук</w:t>
            </w:r>
          </w:p>
        </w:tc>
      </w:tr>
      <w:tr w:rsidR="009B487A" w:rsidRPr="00722885" w14:paraId="74685FB8" w14:textId="77777777" w:rsidTr="00CC5360">
        <w:tc>
          <w:tcPr>
            <w:tcW w:w="2660" w:type="dxa"/>
            <w:tcBorders>
              <w:bottom w:val="single" w:sz="12" w:space="0" w:color="auto"/>
            </w:tcBorders>
            <w:shd w:val="clear" w:color="auto" w:fill="FFFFFF"/>
          </w:tcPr>
          <w:p w14:paraId="34AC4F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- 7 178 штук.</w:t>
            </w:r>
          </w:p>
        </w:tc>
        <w:tc>
          <w:tcPr>
            <w:tcW w:w="1276" w:type="dxa"/>
            <w:tcBorders>
              <w:bottom w:val="single" w:sz="12" w:space="0" w:color="auto"/>
            </w:tcBorders>
            <w:shd w:val="clear" w:color="auto" w:fill="FFFFFF"/>
          </w:tcPr>
          <w:p w14:paraId="517AF0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32D092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обеспечить эти машины водительским составом.</w:t>
      </w:r>
    </w:p>
    <w:p w14:paraId="51C5325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АТУ ГАБТУ КА генерал-майор технических войск Тягунов</w:t>
      </w:r>
    </w:p>
    <w:p w14:paraId="152972F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комиссар АТУ ГАБТУ КА полковой комиссар Лозовский</w:t>
      </w:r>
    </w:p>
    <w:p w14:paraId="722C90D9"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11386. Д. 118. Л. 308. Копия (11211).</w:t>
      </w:r>
    </w:p>
    <w:p w14:paraId="32BDBF3B"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345E11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вышло Постановление ГКО № 1987 Об организации Всесоюзного социалистического соревнования предприятий Наркомата промышленности строительных материалов СССР. РГАНИР, Фонд ГКО, д. 41, лл. 168, 169-172 (11012).</w:t>
      </w:r>
    </w:p>
    <w:p w14:paraId="17D517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D41C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вышло Постановление ГКО № 1988 Об организации Всесоюзного социалистического соревнования предприятий Наркомлеса СССР, Главлессбыта, Главлесоспирта и Главлесохраны при Совнаркоме СССР. РГАНИР, Фонд ГКО, д. 41, лл. 173-174, 175-184 (11012).</w:t>
      </w:r>
    </w:p>
    <w:p w14:paraId="62D109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CBC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вышло Постановление ГКО № 1989 Об организации Всесоюзного социалистического соревнования работников связи. РГАНИР, Фонд ГКО, д. 41, лл. 185, 186-190 (11012).</w:t>
      </w:r>
    </w:p>
    <w:p w14:paraId="4E8AB9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EEDD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вышло Постановление ГКО № 1991 Об условиях Всесоюзного социалистического соревнования электростанций Наркомчермета. РГАНИР, Фонд ГКО, д. 41, лл. 199 (11012).</w:t>
      </w:r>
    </w:p>
    <w:p w14:paraId="78B51FE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643BA"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июля</w:t>
      </w:r>
      <w:r w:rsidRPr="00722885">
        <w:rPr>
          <w:rFonts w:ascii="Times New Roman" w:hAnsi="Times New Roman"/>
          <w:color w:val="000000" w:themeColor="text1"/>
          <w:sz w:val="16"/>
          <w:szCs w:val="16"/>
        </w:rPr>
        <w:t xml:space="preserve"> в 1942 году выдал первую плавку завод ферросплавов в городе Сталинске (Новокузнецке, Кемеровская область). Ныне — ОАО "Кузнецкие ферросплавы" — одно из ведущих металлургических предприятий России</w:t>
      </w:r>
    </w:p>
    <w:p w14:paraId="3AB109D1"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34D26933"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071A8D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C403CF"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июля</w:t>
      </w:r>
      <w:r w:rsidRPr="00722885">
        <w:rPr>
          <w:rFonts w:ascii="Times New Roman" w:hAnsi="Times New Roman"/>
          <w:color w:val="000000" w:themeColor="text1"/>
          <w:sz w:val="16"/>
          <w:szCs w:val="16"/>
        </w:rPr>
        <w:t xml:space="preserve"> в 1942 году утреннее сообщение Совинформбюро:</w:t>
      </w:r>
    </w:p>
    <w:p w14:paraId="1AD2EAF4"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5 июля на Курском, Белгородском и Волчанском направлениях наши войска вели ожесточённые бои с противником.</w:t>
      </w:r>
    </w:p>
    <w:p w14:paraId="288C4272"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27DDE4E9"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Наше танковое подразделение (Юго-Западный фронт) уничтожило свыше 200 немецких солдат и офицеров, 4 орудия, 4 миномёта и 20 автомашин. На другом участке экипаж танка политрука Абрамкова уничтожил 3 немецких танка и 7 автомашин.</w:t>
      </w:r>
    </w:p>
    <w:p w14:paraId="06A37BCA"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Курского направления артиллеристы батареи тов. Кошелева прямой наводкой расстреляли до 300 гитлеровцев. Кроме того, огнём батареи было рассеяно две роты пехоты противника. В боях за один населённый пункт отличился пулемётчик. Алексей Кравченко. Четыре немецких автоматчика засели на колокольне церкви и вели оттуда огонь. Тов. Кравченко пробрался к церкви и уничтожил автоматчиков. Захватив оружие убитых гитлеровцев, смелый пулемётчик присоединился к своему подразделению.</w:t>
      </w:r>
    </w:p>
    <w:p w14:paraId="48D0B040"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Вчера в течение дня на Юго-Западном фронте произошло несколько воздушных боёв. Наши лётчики сбили 17 немецких самолётов, в том числе 13 «Мессершмиттов-109», «Мессершмитт-110», «Юнкерс-88», «Хейнкель-111» и «Фокке-Вульф». Успешно действует подразделение Героя Советского Союза Клещёва. За десять дней лётчики подразделения сбили 19 немецких самолётов.</w:t>
      </w:r>
    </w:p>
    <w:p w14:paraId="0906661D"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два месяца снайперами соединения, действующего на Карельском фронте, уничтожено 1.653 солдата и офицера противника.</w:t>
      </w:r>
    </w:p>
    <w:p w14:paraId="5588185D"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Заместитель политрука тов. Старков незаметно проник к блиндажу противника, уничтожил находившихся там четырёх немецких солдат и, забрав два пулемёта, автомат и полевую сумку с документами, благополучно вернулся в свою часть.</w:t>
      </w:r>
    </w:p>
    <w:p w14:paraId="611B799B"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белорусских партизан под командованием тов. Б. за последние полтора месяца уничтожил 150 немецких солдат, 9 офицеров, в том числе подполковника и полковника. Партизаны сожгли железнодорожный состав с бензином и 14 автомашин. Группа партизан под руководством тов. Г. заминировала шоссейную дорогу. На минах подорвались две автомашины противника. Убиты несколько немецких оккупантов, среди которых «начальник Минской волости» капитан Шедер.</w:t>
      </w:r>
    </w:p>
    <w:p w14:paraId="761516A2"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солдат испанской «Голубой дивизии» Педро Сальседо П. рассказал: «Многие солдаты дивизии одержимы страхом перед русскими. Подавленное настроение усиливается в связи с тяжёлыми потерями, которые мы несём на фронте. Я сдался в плен не потому, что боюсь смерти, а потому, что считаю бессмысленным воевать против Красной Армии. Зачем мне, испанцу, проливать свою кровь и погибать на русской земле за интересы Гитлера? Сбежать из части и сдаться в плен было довольно трудно. Не один десяток испанских солдат уже поплатился жизнью за подобного рода попытки. Однако теперь солдаты сами расправляются с доносчиками. Недавно в первом батальоне полка «Вьерна» солдат Хозе Санчес убил сержанта Лопеса, отъявленного мерзавца и немецкого холуя».</w:t>
      </w:r>
    </w:p>
    <w:p w14:paraId="22123133"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немецкий ефрейтор Герман Беер рассказал: «Я ехал на фронт через Литву. По дороге и на станциях валяется много разбитых железнодорожных составов и вагонов. Солдаты, с которыми я беседовал, говорили мне, что крушения поездов стали частым явлением. Это делают партизаны, а население им помогает».</w:t>
      </w:r>
    </w:p>
    <w:p w14:paraId="2EF63E2E"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германских предприятиях катастрофически возросло количество несчастных случаев. На военных заводах Нюрнберга за 5 месяцев текущего года несчастных случаев было в два раза больше, чем за весь прошлый год.» (14943).</w:t>
      </w:r>
    </w:p>
    <w:p w14:paraId="37BC3D95"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4B9352EC"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июля</w:t>
      </w:r>
      <w:r w:rsidRPr="00722885">
        <w:rPr>
          <w:rFonts w:ascii="Times New Roman" w:hAnsi="Times New Roman"/>
          <w:color w:val="000000" w:themeColor="text1"/>
          <w:sz w:val="16"/>
          <w:szCs w:val="16"/>
        </w:rPr>
        <w:t xml:space="preserve"> в 1942 году вечернее сообщение Совинформбюро:</w:t>
      </w:r>
    </w:p>
    <w:p w14:paraId="6DE100BF"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5 июля на Курском направлении наши войска вели бои с танками и пехотой противника.</w:t>
      </w:r>
    </w:p>
    <w:p w14:paraId="6BE6977F"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Белгородском и Волчанском направлениях продолжались упорные бои спротивником.</w:t>
      </w:r>
    </w:p>
    <w:p w14:paraId="084EC393"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50B18930"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28 июня по 4 июля включительно, в воздушных боях, на аэродромах и огнём зенитной артиллерии уничтожено 380 немецких самолётов. Наши потери за это же время 187 самолётов.</w:t>
      </w:r>
    </w:p>
    <w:p w14:paraId="45E8C569"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4 июля частями нашей авиации на различных участках фронта уничтожено или повреждено несколько десятков немецких танков, 180 автомашин с войсками и грузами, 30 повозок с боеприпасами, 4 тяжёлых орудия на механической тяге, взорван склад с боеприпасами, подавлен огонь 7 артиллерийских батарей, рассеяно и частью уничтожено до четырёх рот пехоты противника.</w:t>
      </w:r>
    </w:p>
    <w:p w14:paraId="0DEA3838"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Курском направлении наши войска отражают непрерывные атаки немцев. Противник несёт огромные потери и вводит в бой резервы. На одном из участков наша танковая часть отбила несколько атак гитлеровцев и уничтожила 24 немецких танка. На другом участке пехота противника в течение двух дней ведёт атаки на один населённый пункт. В боях за этот населённый пункт наши бойцы уничтожили свыше 700 гитлеровцев, 3 танка, 5 орудий, 14 пулемётов и 2 миномётные батареи.</w:t>
      </w:r>
    </w:p>
    <w:p w14:paraId="6D7B8579"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Белгородского направления ценой больших потерь немцы вклинились в расположение нашей обороны. Ударом с фланга наши пехотинцы и танкисты нанесли гитлеровцам большой урон. На поле боя остались сотни трупов немецких солдат и офицеров. Подразделение противотанковых ружей сожгло и подбило 6 немецких танков.</w:t>
      </w:r>
    </w:p>
    <w:p w14:paraId="36BC5796"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немецкая пехота при поддержке 16 танков атаковала советские передовые подразделения и овладела двумя населёнными пунктами. Наши части, перейдя в контратаку, вернули свои позиции обратно и уничтожили при этом до трёх батальонов пехоты противника и подбили 2 немецких танка. На другом участке наша танковая группа разгромила батальон вражеской пехоты, уничтожила 5 орудий, 3 пулемёта, автобус и штабную машину.</w:t>
      </w:r>
    </w:p>
    <w:p w14:paraId="7278ED3B"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наших разведчиков под командованием младшего лейтенанта Сафонова пробралась в тыл врага и устроила засаду около деревни А. Разведчики прождали всю ночь. На рассвете по дороге шли 14 немецких солдат. Пропустив гитлеровцев на несколько метров от места засады, наши бойцы открыли по ним огонь. 11 оккупантов были убиты, а 3 взяты в плен. Разведчики захватили ручной пулемёт, автомат и 12 винтовок.</w:t>
      </w:r>
    </w:p>
    <w:p w14:paraId="2431E52D"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Зенитчики подразделения гвардии капитана Радионова подбили немецкий истребитель «Фокке-Вульф». Батареи старших лейтенантов Зверева и Попова сбили немецкий бомбардировщик «Юнкерс-88».</w:t>
      </w:r>
    </w:p>
    <w:p w14:paraId="2931A2D3"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Артиллеристы части, где командиром тов. Юдинцев, за три дня уничтожили немецкую батарею тяжёлых миномётов, несколько пулемётных точек, 4 автомашины и 5 повозок с грузом.</w:t>
      </w:r>
    </w:p>
    <w:p w14:paraId="70404A52"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Восемьдесят немецких солдат атаковали рубеж, который защищали 5 наших бойцов под командованием гвардии сержанта Инютина. Подпустив противника на близкое расстояние, гвардейцы огнём из ручных пулемётов, а затем гранатами уничтожили 60 гитлеровцев.</w:t>
      </w:r>
    </w:p>
    <w:p w14:paraId="6D702B8A"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В., действующий в одном из районов Ленинградской области, пустил под откос железнодорожный эшелон противника. В результате крушения разбито 3 классных вагона с войсками и 27 товарных вагонов со снаряжением. Погибло до 200 немецких оккупантов.» (14943).</w:t>
      </w:r>
    </w:p>
    <w:p w14:paraId="034341CD"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464001E8" w14:textId="77777777" w:rsidR="00B33D31" w:rsidRPr="00722885" w:rsidRDefault="00B33D31" w:rsidP="00722885">
      <w:pPr>
        <w:pStyle w:val="ae"/>
        <w:shd w:val="clear" w:color="auto" w:fill="FFFFFF"/>
        <w:spacing w:before="0" w:after="0"/>
        <w:jc w:val="both"/>
        <w:rPr>
          <w:color w:val="000000" w:themeColor="text1"/>
          <w:sz w:val="16"/>
          <w:szCs w:val="16"/>
        </w:rPr>
      </w:pPr>
      <w:r w:rsidRPr="00722885">
        <w:rPr>
          <w:color w:val="000000" w:themeColor="text1"/>
          <w:sz w:val="16"/>
          <w:szCs w:val="16"/>
        </w:rPr>
        <w:t>За 5 июля 1943 года танкисты 245-го тп на М3 отчитались об 1 уничтоженном Pz.Kpfw.Tiger Ausf.E, 13 Pz.Kpfw.III и 10 лёгких танках, а также 4 противотанковых пушках. О том, что против них действовали «Пантеры», советские танкисты не знали. В документах описан огонь по немецким танкам, которые с трудом преодолевали противотанковые рвы и минные поля. В бою 5 июля отличились М3л, которые метким огнём умудрились подбить 5 «Пантер», но и М3Ср не выглядели какими-то статистами.</w:t>
      </w:r>
    </w:p>
    <w:p w14:paraId="2095F01C" w14:textId="77777777" w:rsidR="00B33D31" w:rsidRPr="00722885" w:rsidRDefault="00B33D31" w:rsidP="00722885">
      <w:pPr>
        <w:pStyle w:val="ae"/>
        <w:shd w:val="clear" w:color="auto" w:fill="FFFFFF"/>
        <w:spacing w:before="0" w:after="0"/>
        <w:jc w:val="both"/>
        <w:rPr>
          <w:color w:val="000000" w:themeColor="text1"/>
          <w:sz w:val="16"/>
          <w:szCs w:val="16"/>
        </w:rPr>
      </w:pPr>
      <w:r w:rsidRPr="00722885">
        <w:rPr>
          <w:color w:val="000000" w:themeColor="text1"/>
          <w:sz w:val="16"/>
          <w:szCs w:val="16"/>
        </w:rPr>
        <w:t xml:space="preserve">На южном фасе Курской дуги сражался 245-й танковый полк (12 М3Ср и 27 М3л), подчинявшийся 67-й стрелковой дивизии. Именно сюда пришёлся удар немецкой группировки, в составе которой находилось 200 «Пантер». Обычно этот бой описывается как избиение американских танков. Действительно, в первый же день боёв полк понёс тяжелые потери, но отнюдь не с сухим счётом. В документах полка рассказывается об атаке Pz.Kpfw.Tiger Ausf.E, Pz.Kpfw.III и лёгких немецких танков. </w:t>
      </w:r>
    </w:p>
    <w:p w14:paraId="33292FF3" w14:textId="77777777" w:rsidR="00B33D31" w:rsidRPr="00722885" w:rsidRDefault="00B33D31" w:rsidP="00722885">
      <w:pPr>
        <w:pStyle w:val="ae"/>
        <w:shd w:val="clear" w:color="auto" w:fill="FFFFFF"/>
        <w:spacing w:before="0" w:after="0"/>
        <w:jc w:val="both"/>
        <w:rPr>
          <w:color w:val="000000" w:themeColor="text1"/>
          <w:sz w:val="16"/>
          <w:szCs w:val="16"/>
        </w:rPr>
      </w:pPr>
      <w:r w:rsidRPr="00722885">
        <w:rPr>
          <w:color w:val="000000" w:themeColor="text1"/>
          <w:sz w:val="16"/>
          <w:szCs w:val="16"/>
        </w:rPr>
        <w:t>Стоит отметить, что со второй половины 1942 года в СССР поступали танки, оснащённые 75-мм пушками M3. Эти орудия имели систему вертикальной стабилизации. Бронебойные снаряды такой пушки, в зависимости от типа, могли пробивать бортовую броню «Тигра» на дистанции от 400 до 600 метров. А Т-34, например, не мог пробить её и со 100 метров. Как раз такие американские танки имелись и в составе 245-го танкового полка. О том, сколько на самом деле немецких боевых машин подбили танкисты полка, можно спорить. А вот то, что именно о 67-ю стрелковую дивизию и 245-й танковый полк «сточилась» значительная часть немецких танков – бесспорный факт (17705).</w:t>
      </w:r>
    </w:p>
    <w:p w14:paraId="4E214595" w14:textId="77777777" w:rsidR="00B33D31" w:rsidRPr="00722885"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6D7749D5"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июля</w:t>
      </w:r>
      <w:r w:rsidRPr="00722885">
        <w:rPr>
          <w:rFonts w:ascii="Times New Roman" w:hAnsi="Times New Roman"/>
          <w:color w:val="000000" w:themeColor="text1"/>
          <w:sz w:val="16"/>
          <w:szCs w:val="16"/>
        </w:rPr>
        <w:t xml:space="preserve"> в 1942 году бои еще продолжались на берегах Карантинной и Стрелецкой бухт Севастополя. К вечеру подавлены последние очаги сопротивления. Многие в отчаянии бросались в море вплавь, отвергая плен. При попытке вырваться из окружения в верховье Казачьей бухты на Юхарину балку погибли последние бойцы 25-й Чапаевской сд во главе с начальником связи дивизии. 80 бойцов 95-й стрелковой дивизии погибли в развалинах 35-й батареи после немецкой атаки с огнеметами. Четверо неизвестных солдат и политрук приняли бой с тремя танками и взводом автоматчиков на мысе Фиолент, отбили атаку, а затем покончили с собой (14943).</w:t>
      </w:r>
    </w:p>
    <w:p w14:paraId="14584F04"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1ADC0FD1"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июля</w:t>
      </w:r>
      <w:r w:rsidRPr="00722885">
        <w:rPr>
          <w:rFonts w:ascii="Times New Roman" w:hAnsi="Times New Roman"/>
          <w:color w:val="000000" w:themeColor="text1"/>
          <w:sz w:val="16"/>
          <w:szCs w:val="16"/>
        </w:rPr>
        <w:t xml:space="preserve"> в 1942 году на Западном фронте в районе города Белёва впервые произвели залпы по укрепленным пунктам противника 68-й и 69-й гвардейские минометные полки четырехдивизионного состава, имевшие на вооружении новые пусковые установки для запуска тяжелых фугасных реактивных снарядов «М-30». Снаряд «М-30» предназначался для подавления и уничтожения укрытых огневых средств и живой силы, а также разрушения полевых оборонительных сооружений противника. Снаряд состоял из выполненной в виде эллипсоида калибром 300 мм головной части, к которой был присоединен ракетный двигатель от снаряда «М-13». Вес взрывчатого вещества в головной части снаряда составлял 28,9 кг. Такая конструкция снаряда позволила быстро освоить его в производстве, однако вследствие большого веса головной части и неудовлетворительной баллистической формы снаряда дальность его полета составляла всего 2800 м. Впрочем, этот недостаток компенсировался огромной разрушительной силой снаряда: взрываясь, такой снаряд оставлял после себя воронку семи-восьми метров в диаметре и до двух с половиной метров в глубину. Для запуска реактивных снарядов была разработана пусковая установка (станок) «М-30». Конструкция установки предусматривала запуск снарядов непосредственно из их транспортной укупорки (14943).</w:t>
      </w:r>
    </w:p>
    <w:p w14:paraId="075783B8"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4364E5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приказом генерала Хрюкина 226-я и 228-я шад в полном составе были выведены для переформирования на тыловой аэродром Бобров, откуда обе дивизии 15 июля перелетели на передовые аэродромы. 13 июля в состав 8-й ВА вошла 206-я шад, имевшая три полка: 811-й, 873-й и 621-й шап. Несмотря на предпринимаемые командованием 8 ВА меры, эффективность авиационной поддержки войск осталась на прежнем уровне. Немецкие моторизованные и танковые группы продолжали стремительное движение к Сталинграду (12020).</w:t>
      </w:r>
    </w:p>
    <w:p w14:paraId="10C796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DB5C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г. в районе аэродрома посадки, когда у истребителей ЛаГГ-3 практически не осталось топлива для ведения воздушного боя (да и пилотировали их неопытные новички) в ходе одного из полетов на лидирование эскадрильи истребителей ЛаГГ-3 самолет Пе-3 капитана К. Данилкина атаковали 14 немецких истребителей неподалеку от Воронежа. Немецкие летчики все внимание сосредоточили на самолете - лидере, по-видимому, решив, что на его борту находится какая-то важная персона. По нашим данным, штурман К. Мантуров из ту- рельного пулемета БТ сбил одного за другим два ВГ 109. Еще один упал, прошитый очередями носовой установки. Последний, четвертый Bf 109 Данилкин сбил уже на горящем самолете. Пулемет штурмана молчал, когда немецкие истребители заходили в очередную атаку. Самолет капитана Данилкина взорвался в воздухе. Он оказался единственным Пе-3, потерянным 9-м бап в воздушном бою за восемь месяцев боев. Еще два Пе-3 сбила зенитная артиллерия немцев, один не вернулся с боевого задания, а пятая машина была потеряна при налете вражеской авиации на аэродром Грабцево. В авариях и катастрофах полк потерял еще четыре Пе-3 (12042).</w:t>
      </w:r>
    </w:p>
    <w:p w14:paraId="216E14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15873C"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июля 1942 г. подлодка К-21 под командованием капитана 2 ранга Н.А. Лунина атаковала немецкий линкор "Тирпиц", направлявшийся к печально известному конвою </w:t>
      </w:r>
      <w:r w:rsidRPr="00722885">
        <w:rPr>
          <w:rFonts w:ascii="Times New Roman" w:hAnsi="Times New Roman"/>
          <w:color w:val="000000" w:themeColor="text1"/>
          <w:sz w:val="16"/>
          <w:szCs w:val="16"/>
          <w:lang w:val="en-US"/>
        </w:rPr>
        <w:t>PQ</w:t>
      </w:r>
      <w:r w:rsidRPr="00722885">
        <w:rPr>
          <w:rFonts w:ascii="Times New Roman" w:hAnsi="Times New Roman"/>
          <w:color w:val="000000" w:themeColor="text1"/>
          <w:sz w:val="16"/>
          <w:szCs w:val="16"/>
        </w:rPr>
        <w:t>-17 (9873).</w:t>
      </w:r>
    </w:p>
    <w:p w14:paraId="2FF1D1A1"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6B03D63E" w14:textId="77777777" w:rsidR="00B6596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J</w:t>
      </w:r>
      <w:r w:rsidR="00B65961" w:rsidRPr="00722885">
        <w:rPr>
          <w:rFonts w:ascii="Times New Roman" w:hAnsi="Times New Roman"/>
          <w:bCs/>
          <w:color w:val="000000" w:themeColor="text1"/>
          <w:sz w:val="16"/>
          <w:szCs w:val="16"/>
        </w:rPr>
        <w:t>5 июля</w:t>
      </w:r>
      <w:r w:rsidR="00B65961" w:rsidRPr="00722885">
        <w:rPr>
          <w:rFonts w:ascii="Times New Roman" w:hAnsi="Times New Roman"/>
          <w:color w:val="000000" w:themeColor="text1"/>
          <w:sz w:val="16"/>
          <w:szCs w:val="16"/>
        </w:rPr>
        <w:t xml:space="preserve"> в 1942 году подводная лодка Северного флота «К-21» под командованием капитана 2-го ранга Н.А.Лунина атаковала у побережья Северной Норвегии немецкий линейный корабль "Тирпиц" и нанесла ему повреждения (14943).</w:t>
      </w:r>
    </w:p>
    <w:p w14:paraId="0D3EF0AD"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42A3E2E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 xml:space="preserve">uly 5 1942 Soviet resistance in the Crimea ends (1050) - 4 </w:t>
      </w:r>
      <w:r w:rsidRPr="00722885">
        <w:rPr>
          <w:rFonts w:ascii="Times New Roman" w:hAnsi="Times New Roman"/>
          <w:color w:val="000000" w:themeColor="text1"/>
          <w:sz w:val="16"/>
          <w:szCs w:val="16"/>
        </w:rPr>
        <w:t>июля</w:t>
      </w:r>
      <w:r w:rsidRPr="00722885">
        <w:rPr>
          <w:rFonts w:ascii="Times New Roman" w:hAnsi="Times New Roman"/>
          <w:color w:val="000000" w:themeColor="text1"/>
          <w:sz w:val="16"/>
          <w:szCs w:val="16"/>
          <w:lang w:val="en-US"/>
        </w:rPr>
        <w:t xml:space="preserve"> 1942 </w:t>
      </w:r>
      <w:r w:rsidRPr="00722885">
        <w:rPr>
          <w:rFonts w:ascii="Times New Roman" w:hAnsi="Times New Roman"/>
          <w:color w:val="000000" w:themeColor="text1"/>
          <w:sz w:val="16"/>
          <w:szCs w:val="16"/>
        </w:rPr>
        <w:t>палСевастополь</w:t>
      </w:r>
      <w:r w:rsidRPr="00722885">
        <w:rPr>
          <w:rFonts w:ascii="Times New Roman" w:hAnsi="Times New Roman"/>
          <w:color w:val="000000" w:themeColor="text1"/>
          <w:sz w:val="16"/>
          <w:szCs w:val="16"/>
          <w:lang w:val="en-US"/>
        </w:rPr>
        <w:t xml:space="preserve"> (1348,224).</w:t>
      </w:r>
    </w:p>
    <w:p w14:paraId="2444B1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63F9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закончилось наше сопротивление в Крыму (1050) и 4 июля 1942 пал Севастополь (1348,224).</w:t>
      </w:r>
    </w:p>
    <w:p w14:paraId="6877D78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36AF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5th, 1942: Armored units of 4.Panzerarmee (Hoth) reach the Don at Voronesh (3819).</w:t>
      </w:r>
    </w:p>
    <w:p w14:paraId="2A7B96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4EF6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танковые части 4ТА (Хот) достигли Днепра у Воронежа (3819).</w:t>
      </w:r>
    </w:p>
    <w:p w14:paraId="0A59662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B06E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вышло Постановление ГКО № 1986 Об отпуске продовольственных пайков для Красной Армии, Военно-Морского Флота и войск НКВД в июле 1942 г. РГАНИР, Фонд ГКО, д. 41, лл. 163-165, 166-167 (11012).</w:t>
      </w:r>
    </w:p>
    <w:p w14:paraId="658B6B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8BF67"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г. в ходе полета на лидирование эскадрильи истребителей ЛаГГ-3 самолет Пе-3 капитана К. Данилкина 9 ббап был атакован 14 немецкими истребителями неподалеку от Воронежа. Бой разгорелся в районе аэродрома посадки, когда у истребителей ЛаГГ-3 практически не осталось топлива, да и пилотировали их неопытные новички, что поставило нашу группу в невыгодное положение. Немецкие пилоты все внимание сосредоточили на самолете-лидере, решив, что на борту его находится какая-то важная персона. Штурман К. Мантуров из турельного пулемета стрелял достаточно метко, поразив два “мессера”. Еще в одного попал очередями носовой установки Данилкин, когда их Пе-3 уже горел. Пулемет штурмана замолчал, после чего немецкие истребители в упор расстреляли машину; самолет капитана Данилкина взорвался в воздухе. Он оказался единственным Пе-3, потерянным 9-м ббап в воздушном бою за 8 месяцев пребывания на фронте. Еще две “пешки” сбила зенитная артиллерия, один не вернулся с боевого задания, а пятая машина была потеряна при налете вражеской авиации на аэродром Грабцево. В авариях и катастрофах полк потерял еще четыре Пе-3 (4476).</w:t>
      </w:r>
    </w:p>
    <w:p w14:paraId="6EF3AF07"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E8CDE"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Жизнь и внутренняя политика:</w:t>
      </w:r>
    </w:p>
    <w:p w14:paraId="18BED4B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F3A0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вышло Постановление ГКО № 1990 Об организации социалистического соревнования организаций и предприятий торговли и общественного питания, Наркомторга СССР, Центросоюза и промышленных наркоматов. РГАНИР, Фонд ГКО, д. 41, лл. 191, 192-198 (11012).</w:t>
      </w:r>
    </w:p>
    <w:p w14:paraId="7C5809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2E1EC" w14:textId="77777777" w:rsidR="009C7E3C" w:rsidRPr="00722885" w:rsidRDefault="009C7E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г. Военный совет Ленинградского фронта принимает постановление № 001048 «О необходимых мероприятиях по г. Ленинграду», предусматривавшее превращение Ленинграда в военный город. Для реализации этой задачи требовалось оставить в нем минимум самодеятельного населения, необходимый для решения самых неотложных вопрос по обеспечению жизнедеятельности и обороны города, прежде всего «…для обслуживания промышленности, выпускающей боеприпасы, вооружение, средства связи и снаряжение для нужд Ленинградского фронта и КБФ». Было признано целесообразным оставить в городе 172 действующих предприятия, обеспеченных электроэнергией и имевших лимит рабочих, инженерно-технического потенциала и служащих. «Все остальные промышленные предприятия, за исключением подлежащих эвакуации, временно законсервировать, обеспечив сохранность и поддержание в полном порядке остающегося оборудования и имущества всех предприятий, а рабочую силу частью перевести на работающие предприятия, а частью эвакуировать».</w:t>
      </w:r>
    </w:p>
    <w:p w14:paraId="6481F7B8" w14:textId="77777777" w:rsidR="009C7E3C" w:rsidRPr="00722885" w:rsidRDefault="009C7E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Из заводов, производивших средства связи, закрытию подлежали «Красная заря» и завод № 615 (18297).</w:t>
      </w:r>
    </w:p>
    <w:p w14:paraId="690937A4" w14:textId="77777777" w:rsidR="009C7E3C" w:rsidRPr="00722885" w:rsidRDefault="009C7E3C" w:rsidP="00722885">
      <w:pPr>
        <w:spacing w:after="0" w:line="240" w:lineRule="auto"/>
        <w:jc w:val="both"/>
        <w:rPr>
          <w:rFonts w:ascii="Times New Roman" w:hAnsi="Times New Roman"/>
          <w:color w:val="000000" w:themeColor="text1"/>
          <w:sz w:val="16"/>
          <w:szCs w:val="16"/>
        </w:rPr>
      </w:pPr>
    </w:p>
    <w:p w14:paraId="21A87A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зам. наркома Круглов подписал приказ № 0243:</w:t>
      </w:r>
    </w:p>
    <w:p w14:paraId="577802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января 1942 года из мест заключения УНКВД Вологодской области в Тавдинлаг НКВД на строительство оборонного завода № 8 было отправлено 843 осужденных.</w:t>
      </w:r>
    </w:p>
    <w:p w14:paraId="3217753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распоряжению ГУЛАГа отправке подлежали только здоровые, пригодные к физическому труду заключенные.</w:t>
      </w:r>
    </w:p>
    <w:p w14:paraId="48F84F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безответственного отношения работников Вологодского ОИТК (так в тексте) к отбору заключенных и ряда грубых нарушений приказов НКВД и указаний ГУЛАГа, допущенных при формировании, снабжении и организации отправки эшелона, а также преступного отношения конвоя к своим обязанностям в пути следования, эшелон в лагерь прибыл со значительными потерями в людях, резким истощением заключенных, наличием больных и обмороженных.</w:t>
      </w:r>
    </w:p>
    <w:p w14:paraId="7901E11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преступное отношение к своим обязанностям в пути следования начальник эшелона Проскурин Ф. Я. (работник УИТЛК) и оперативный работник Холмов Н. Ф. осуждены военным Трибуналом войск НКВД Уральского округа по ст. 193-17 к 10 годам лишения свободы каждый.</w:t>
      </w:r>
    </w:p>
    <w:p w14:paraId="5824F9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Учитывая, что и другими работниками УИТЛК УНКВД Вологодской области были допущены грубые нарушения приказов НКВД и безответственное отношение к выполнению указаний ГУЛАГа при отборе и организации отправки заключенных, приказываю:</w:t>
      </w:r>
    </w:p>
    <w:p w14:paraId="1D7A50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Начальника пересыльного пункта УИТЛК УНКВД Вологодской области Смирнова Николая Николаевича арестовать на 20 суток без исполнения служебных обязанностей и по отбытии ареста из органов НКВД уволить.</w:t>
      </w:r>
    </w:p>
    <w:p w14:paraId="7870542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Начальника Санчасти Вологодской ИТК Павлову Татьяну Васильевну арестовать на 10 суток с исполнением служебных обязанностей.</w:t>
      </w:r>
    </w:p>
    <w:p w14:paraId="085992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Начальнику УИТЛК Смирнову Сергею Васильевичу объявить строгий выговор.</w:t>
      </w:r>
    </w:p>
    <w:p w14:paraId="6F495D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Производившим отбор заключенных:</w:t>
      </w:r>
    </w:p>
    <w:p w14:paraId="6C9113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фельдшеру Вологодской ИТК Козловской Антонине Николаевне;</w:t>
      </w:r>
    </w:p>
    <w:p w14:paraId="14B29C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зубному врачу пересыльного пункта Лазаревой Кире Михайловне;</w:t>
      </w:r>
    </w:p>
    <w:p w14:paraId="233B4C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фельдшеру пересыльного пункта Черняевой Екатерине Александровне -</w:t>
      </w:r>
    </w:p>
    <w:p w14:paraId="34F19B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объявить строгий выговор с предупреждением.</w:t>
      </w:r>
    </w:p>
    <w:p w14:paraId="33D4D9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тем, что начальник 2 отделения УИТЛК Миронов, начальник Санчасти УИТЛК Хлебова и начальник Вологодской ИТК Слепухин в настоящее время находятся в действующей Красной Армии, материал о их действиях при отправке заключенных в Тавдинлаг производством прекратить.</w:t>
      </w:r>
    </w:p>
    <w:p w14:paraId="079E21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настоящим приказом ознакомить всех работников УИТЛК-ОИТК и лагерей НКВД, связанных с работой по этапированию заключенных” (7560).</w:t>
      </w:r>
    </w:p>
    <w:p w14:paraId="58720B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87D1D"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6E5489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38E1CF"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июля</w:t>
      </w:r>
      <w:r w:rsidRPr="00722885">
        <w:rPr>
          <w:rFonts w:ascii="Times New Roman" w:hAnsi="Times New Roman"/>
          <w:color w:val="000000" w:themeColor="text1"/>
          <w:sz w:val="16"/>
          <w:szCs w:val="16"/>
        </w:rPr>
        <w:t xml:space="preserve"> в 1942 году продемонстрирован представителям ВВС макет бомбардировщика </w:t>
      </w:r>
      <w:hyperlink r:id="rId9" w:tgtFrame="_blank" w:history="1">
        <w:r w:rsidRPr="00722885">
          <w:rPr>
            <w:rFonts w:ascii="Times New Roman" w:hAnsi="Times New Roman"/>
            <w:color w:val="000000" w:themeColor="text1"/>
            <w:sz w:val="16"/>
            <w:szCs w:val="16"/>
          </w:rPr>
          <w:t xml:space="preserve">«В-35» </w:t>
        </w:r>
      </w:hyperlink>
      <w:r w:rsidRPr="00722885">
        <w:rPr>
          <w:rFonts w:ascii="Times New Roman" w:hAnsi="Times New Roman"/>
          <w:color w:val="000000" w:themeColor="text1"/>
          <w:sz w:val="16"/>
          <w:szCs w:val="16"/>
        </w:rPr>
        <w:t>(внутрифирменное обозначение «NS-9A») выполненного по аэродинамической схеме "летающее крыло". Гигантское "летающее крыло" произвело на комиссию военных неизгладимое впечатление. Размах самолета-крыла составлял 52,98 м, стреловидность по передней кромке 27 градусов, хорда крыла в плоскости симметрии-11,4 м и 2,74 м на концах. Габаритная длина самолета-крыла превышала 16,2 м (14943).</w:t>
      </w:r>
    </w:p>
    <w:p w14:paraId="6D3BA0D5"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2395F508"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июля</w:t>
      </w:r>
      <w:r w:rsidRPr="00722885">
        <w:rPr>
          <w:rFonts w:ascii="Times New Roman" w:hAnsi="Times New Roman"/>
          <w:color w:val="000000" w:themeColor="text1"/>
          <w:sz w:val="16"/>
          <w:szCs w:val="16"/>
        </w:rPr>
        <w:t xml:space="preserve"> в 1942 году опытный образец английского транспортного самолета </w:t>
      </w:r>
      <w:hyperlink r:id="rId10" w:tgtFrame="_blank" w:history="1">
        <w:r w:rsidRPr="00722885">
          <w:rPr>
            <w:rFonts w:ascii="Times New Roman" w:hAnsi="Times New Roman"/>
            <w:color w:val="000000" w:themeColor="text1"/>
            <w:sz w:val="16"/>
            <w:szCs w:val="16"/>
          </w:rPr>
          <w:t xml:space="preserve">«Avro» «York» </w:t>
        </w:r>
      </w:hyperlink>
      <w:r w:rsidRPr="00722885">
        <w:rPr>
          <w:rFonts w:ascii="Times New Roman" w:hAnsi="Times New Roman"/>
          <w:color w:val="000000" w:themeColor="text1"/>
          <w:sz w:val="16"/>
          <w:szCs w:val="16"/>
        </w:rPr>
        <w:t>совершил первый полет в Рингуэе (Манчестер). Буквально накануне полета был сделан официальный заказ на 4 самолета (первые два - с двигателями Rolls-Royce Merlin ХХ, остальные - с «Bristol» «Hercules VI») на завод «Avro» в Чаддертоне, где в феврале 1942 года конструктор Рой Чедвик и его бюро завершили проектирование «Avro 685» «York» - четырехмоторного транспортного самолета большой дальности. В нем объединили крылья, хвостовое оперение, двигатели и шасси Ланкастера и новый фюзеляж квадратного поперечного сечения. Фактически в итоге все четыре самолета были выпущены с первыми типами двигателей. Единственный оснащенный двигателем Геркулес самолет был опытным образцом (14943).</w:t>
      </w:r>
    </w:p>
    <w:p w14:paraId="4AE5EBE1"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4854B3B2" w14:textId="77777777" w:rsidR="00E74794" w:rsidRPr="00722885" w:rsidRDefault="00E7479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июля 1942 года состоялся первый полет Авро Йорк (20793).</w:t>
      </w:r>
    </w:p>
    <w:p w14:paraId="747E98AA" w14:textId="77777777" w:rsidR="00E74794" w:rsidRPr="00722885" w:rsidRDefault="00E74794" w:rsidP="00722885">
      <w:pPr>
        <w:spacing w:after="0" w:line="240" w:lineRule="auto"/>
        <w:jc w:val="both"/>
        <w:rPr>
          <w:rFonts w:ascii="Times New Roman" w:hAnsi="Times New Roman"/>
          <w:color w:val="0070C0"/>
          <w:sz w:val="16"/>
          <w:szCs w:val="16"/>
        </w:rPr>
      </w:pPr>
    </w:p>
    <w:p w14:paraId="37B3AC44" w14:textId="77777777" w:rsidR="00E74794" w:rsidRPr="00722885" w:rsidRDefault="00E7479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июля 1942 - Опытный образец английского транспортного самолёта Avro York совершил первый полёт в Рингуэе (Манчестер). Буквально накануне полёта был сделан официальный заказ на 4 самолёта (первые два - с двигателями Rolls-Royce Merlin ХХ, остальные - с Bristol Hercules VI) на завод Avro в Чаддертоне, где в феврале 1942года конструктор Рой Чедвик и его бюро завершили проектирование Avro 685 York - четырёхмоторного транспортного самолёта большой дальности. В нём объединили крылья, хвостовое оперение, двигатели и шасси Ланкастера и новый фюзеляж квадратного поперечного сечения.</w:t>
      </w:r>
    </w:p>
    <w:p w14:paraId="02E485F2" w14:textId="77777777" w:rsidR="00E74794" w:rsidRPr="00722885" w:rsidRDefault="00E7479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Фактически в итоге все четыре самолёта были выпущены с первыми типами двигателей. Единственный оснащенный двигателем Геркулес самолет был опытным образцом (22439).</w:t>
      </w:r>
    </w:p>
    <w:p w14:paraId="13F35535" w14:textId="77777777" w:rsidR="00E74794" w:rsidRPr="00722885" w:rsidRDefault="00E74794" w:rsidP="00722885">
      <w:pPr>
        <w:spacing w:after="0" w:line="240" w:lineRule="auto"/>
        <w:jc w:val="both"/>
        <w:rPr>
          <w:rFonts w:ascii="Times New Roman" w:hAnsi="Times New Roman"/>
          <w:color w:val="0070C0"/>
          <w:sz w:val="16"/>
          <w:szCs w:val="16"/>
        </w:rPr>
      </w:pPr>
    </w:p>
    <w:p w14:paraId="7196E483"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июля</w:t>
      </w:r>
      <w:r w:rsidRPr="00722885">
        <w:rPr>
          <w:rFonts w:ascii="Times New Roman" w:hAnsi="Times New Roman"/>
          <w:color w:val="000000" w:themeColor="text1"/>
          <w:sz w:val="16"/>
          <w:szCs w:val="16"/>
        </w:rPr>
        <w:t xml:space="preserve"> в 1942 году впервые взлетел прототип </w:t>
      </w:r>
      <w:hyperlink r:id="rId11" w:tgtFrame="_blank" w:history="1">
        <w:r w:rsidRPr="00722885">
          <w:rPr>
            <w:rFonts w:ascii="Times New Roman" w:hAnsi="Times New Roman"/>
            <w:color w:val="000000" w:themeColor="text1"/>
            <w:sz w:val="16"/>
            <w:szCs w:val="16"/>
          </w:rPr>
          <w:t xml:space="preserve">«XPBB-1» </w:t>
        </w:r>
      </w:hyperlink>
      <w:r w:rsidRPr="00722885">
        <w:rPr>
          <w:rFonts w:ascii="Times New Roman" w:hAnsi="Times New Roman"/>
          <w:color w:val="000000" w:themeColor="text1"/>
          <w:sz w:val="16"/>
          <w:szCs w:val="16"/>
        </w:rPr>
        <w:t>(бортовой номер 3144). 29 июня 1940 года ВМС США подписали предварительный контракт с компанией Boeing на строительство прототипа самолета, получившего обозначение «XPBB-1» «Sea Ranger», с последующей поставкой еще 57 экземпляров самолета. Но к этому времени произошло событие, коренным образом повлиявшее на судьбу самолета - за месяц до первого полета произошла битва при атолле Мидуэй. В ее ходе американские бомбардировщики уничтожили четыре японских авианосца. В связи с этим Командование ВМС пересмотрело свои взгляды на дальние патрульные лодки, сделав ставку на наземные бомбардировщики, и контракт на поставку «Sea Ranger» был аннулирован. Единственный построенный «XPBB-1» (которого шутники окрестили «Lone Ranger» - одинокий рэйнджер) в 1943 году был переведен на военно-морскую базу в Сан-Диего, где еще в течении нескольких лет использовался для различных испытаний. После чего его передали в «Norfolk Naval Air Station» в штате Виржиния (14943).</w:t>
      </w:r>
    </w:p>
    <w:p w14:paraId="44C96442"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55D0B2B9" w14:textId="77777777" w:rsidR="00E74794" w:rsidRPr="00722885" w:rsidRDefault="00E7479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июля 1942 американский самолет-разведчик обнаруживает, что японцы строят аэродром на Гуадалканале (20793).</w:t>
      </w:r>
    </w:p>
    <w:p w14:paraId="42654AE8" w14:textId="77777777" w:rsidR="00E74794" w:rsidRPr="00722885" w:rsidRDefault="00E74794" w:rsidP="00722885">
      <w:pPr>
        <w:spacing w:after="0" w:line="240" w:lineRule="auto"/>
        <w:jc w:val="both"/>
        <w:rPr>
          <w:rFonts w:ascii="Times New Roman" w:hAnsi="Times New Roman"/>
          <w:color w:val="0070C0"/>
          <w:sz w:val="16"/>
          <w:szCs w:val="16"/>
        </w:rPr>
      </w:pPr>
    </w:p>
    <w:p w14:paraId="7D181C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5 - PQ17 to Murmansk loses 23 of 36 ships to subs and Kondors - worst single loss of war (1052).</w:t>
      </w:r>
    </w:p>
    <w:p w14:paraId="2113FD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F93B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конвой Пи-Ку-17 потерял 23 из 36 судов из-за подводных лодок и Кондоров, самая большая единичная потеря в ходе войны (1052).</w:t>
      </w:r>
    </w:p>
    <w:p w14:paraId="72599A4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80C533"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 будущий писатель Ян Флеминг с отличием окончил школу для шпионов в Канаде (4962).</w:t>
      </w:r>
    </w:p>
    <w:p w14:paraId="511A17E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140C2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29230B1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6D19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закончились гос. испытания двухместного Ил-2 с АМ-38Ф (3846,17).</w:t>
      </w:r>
    </w:p>
    <w:p w14:paraId="3475E4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3D9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А.А.Новиков докладывал Председателю ГКО И.В.Сталину:</w:t>
      </w:r>
    </w:p>
    <w:p w14:paraId="3F54BC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"Докладываю, что по донесениям из строевых частей боевые потери Ил-2 с деревянными плоскостями увеличились по сравнению с Ил-2, имеющими металлические плоскости. Кроме того удлинились сроки восстановления поврежден самолетов. Это происходит потому, что в металлических плоскостях пробоины от снарядов и даже мин не превышают в выходной части 25-35 см в диаметре и легко заделываются металлическими листами. В деревянных плоскостях пробоины получаются размером более квадратного метра и ремонт их затруднен." (483).</w:t>
      </w:r>
    </w:p>
    <w:p w14:paraId="30E133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1C06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6 июля 1942 завод № 289 изготовил три фюзеляжа и два центроплана, а также ряд других агрегатов для пяти самолетов малой войсковой серии Су-6, которую завод № 289 все же начал. Однако в конце месяца Шахурин распорядился приостановить работы, а имеющийся задел за</w:t>
      </w:r>
      <w:r w:rsidRPr="00722885">
        <w:rPr>
          <w:rFonts w:ascii="Times New Roman" w:hAnsi="Times New Roman"/>
          <w:color w:val="000000" w:themeColor="text1"/>
          <w:sz w:val="16"/>
          <w:szCs w:val="16"/>
        </w:rPr>
        <w:softHyphen/>
        <w:t>консервировать.</w:t>
      </w:r>
    </w:p>
    <w:p w14:paraId="6EBF999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этому времени оба летных экземпляра самолета Су-6 на</w:t>
      </w:r>
      <w:r w:rsidRPr="00722885">
        <w:rPr>
          <w:rFonts w:ascii="Times New Roman" w:hAnsi="Times New Roman"/>
          <w:color w:val="000000" w:themeColor="text1"/>
          <w:sz w:val="16"/>
          <w:szCs w:val="16"/>
        </w:rPr>
        <w:softHyphen/>
        <w:t>ходились в Молотове на заводе № 289 (территория моторо</w:t>
      </w:r>
      <w:r w:rsidRPr="00722885">
        <w:rPr>
          <w:rFonts w:ascii="Times New Roman" w:hAnsi="Times New Roman"/>
          <w:color w:val="000000" w:themeColor="text1"/>
          <w:sz w:val="16"/>
          <w:szCs w:val="16"/>
        </w:rPr>
        <w:softHyphen/>
        <w:t>строительного завода № 19), где на них предполагалось уста</w:t>
      </w:r>
      <w:r w:rsidRPr="00722885">
        <w:rPr>
          <w:rFonts w:ascii="Times New Roman" w:hAnsi="Times New Roman"/>
          <w:color w:val="000000" w:themeColor="text1"/>
          <w:sz w:val="16"/>
          <w:szCs w:val="16"/>
        </w:rPr>
        <w:softHyphen/>
        <w:t>новить новые моторы М-71ф и отработать винтомоторную группу. Все работы планировалось провести силами завода № 19. Первый экземпляр («81») отличался от второго экземп</w:t>
      </w:r>
      <w:r w:rsidRPr="00722885">
        <w:rPr>
          <w:rFonts w:ascii="Times New Roman" w:hAnsi="Times New Roman"/>
          <w:color w:val="000000" w:themeColor="text1"/>
          <w:sz w:val="16"/>
          <w:szCs w:val="16"/>
        </w:rPr>
        <w:softHyphen/>
        <w:t>ляра («82») отсутствием предкрылков и установкой восьми РО-82 вместо десяти. На нем не было пушек. В свое время на него планировалось установить пушки МП-6 калибра 23 мм, но они, как известно, были сняты с серийного производства.</w:t>
      </w:r>
    </w:p>
    <w:p w14:paraId="4773419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Трезво оценивая складывающуюся обстановку вокруг Су-6, П.О. Сухой принимает решение установить на самолет две пушки калибра 37 мм, устранить выявленные на государствен</w:t>
      </w:r>
      <w:r w:rsidRPr="00722885">
        <w:rPr>
          <w:rFonts w:ascii="Times New Roman" w:hAnsi="Times New Roman"/>
          <w:color w:val="000000" w:themeColor="text1"/>
          <w:sz w:val="16"/>
          <w:szCs w:val="16"/>
        </w:rPr>
        <w:softHyphen/>
        <w:t>ных испытаниях недостатки и доработать в соответствии с так</w:t>
      </w:r>
      <w:r w:rsidRPr="00722885">
        <w:rPr>
          <w:rFonts w:ascii="Times New Roman" w:hAnsi="Times New Roman"/>
          <w:color w:val="000000" w:themeColor="text1"/>
          <w:sz w:val="16"/>
          <w:szCs w:val="16"/>
        </w:rPr>
        <w:softHyphen/>
        <w:t>тико-техническими требованиями ВВС к самолету-штурмови</w:t>
      </w:r>
      <w:r w:rsidRPr="00722885">
        <w:rPr>
          <w:rFonts w:ascii="Times New Roman" w:hAnsi="Times New Roman"/>
          <w:color w:val="000000" w:themeColor="text1"/>
          <w:sz w:val="16"/>
          <w:szCs w:val="16"/>
        </w:rPr>
        <w:softHyphen/>
        <w:t>ку на 1943 г. На первом экземпляре модифицированной «шестерки» должны были монтироваться пушки 11П ОКБ-16 (в серии НС-37). На втором экземпляре — пушки Ш-37 ОКБ-15. При этом количество пулеметов ШКАС сокращалось до двух, а ра</w:t>
      </w:r>
      <w:r w:rsidRPr="00722885">
        <w:rPr>
          <w:rFonts w:ascii="Times New Roman" w:hAnsi="Times New Roman"/>
          <w:color w:val="000000" w:themeColor="text1"/>
          <w:sz w:val="16"/>
          <w:szCs w:val="16"/>
        </w:rPr>
        <w:softHyphen/>
        <w:t>кетных орудий — до шести. Боезапас к пушкам включал 80 снарядов, а к пулеметам — 1500 патронов. Срок готовности первого экземпляра устанавливался — ноябрь, а второго — де</w:t>
      </w:r>
      <w:r w:rsidRPr="00722885">
        <w:rPr>
          <w:rFonts w:ascii="Times New Roman" w:hAnsi="Times New Roman"/>
          <w:color w:val="000000" w:themeColor="text1"/>
          <w:sz w:val="16"/>
          <w:szCs w:val="16"/>
        </w:rPr>
        <w:softHyphen/>
        <w:t>кабрь 1942 г. (11474,412).</w:t>
      </w:r>
    </w:p>
    <w:p w14:paraId="2BA7351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AD606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6 июля 1942 состоялся первый полет Як-7ДИ - прототипа Як-9 (237,199).</w:t>
      </w:r>
    </w:p>
    <w:p w14:paraId="3E58BC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B5CE9"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июля</w:t>
      </w:r>
      <w:r w:rsidRPr="00722885">
        <w:rPr>
          <w:rFonts w:ascii="Times New Roman" w:hAnsi="Times New Roman"/>
          <w:color w:val="000000" w:themeColor="text1"/>
          <w:sz w:val="16"/>
          <w:szCs w:val="16"/>
        </w:rPr>
        <w:t xml:space="preserve"> в 1942 году состоялся первый полет самолета «Як-7ДИ» (прототипа серийного истребителя «Як-9»), П.Я.Федрови (14944).</w:t>
      </w:r>
    </w:p>
    <w:p w14:paraId="1968392E"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4E6647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вышло Постановление ГКО № 1993 О графике выпуска самолетов и моторов в июле месяце 1942 г. РГАНИР, Фонд ГКО, д. 42, лл. 7, 8-9 (11012).</w:t>
      </w:r>
    </w:p>
    <w:p w14:paraId="44DD05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5CF6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вышло Постановление ГКО № 1994 О плане капитальных работ и материально-техническом обеспечении строительства заводов Наркомавиапрома в III квартале 1942 г. РГАНИР, Фонд ГКО, д. 42, лл. 10-11, 12-29 (11012).</w:t>
      </w:r>
    </w:p>
    <w:p w14:paraId="3B93AE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AB10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вышло Постановление ГКО № 1995 О материально-техническом обеспечении авиационной промышленности в III квартале 1942 г. РГАНИР, Фонд ГКО, д. 42, лл. 30-49, 50-117 (11012).</w:t>
      </w:r>
    </w:p>
    <w:p w14:paraId="5C9DD9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A186D0"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05BDAF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112E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вышло Постановление ГКО № 1992 Об эвакуации предприятий Наркомчермета Ворошиловградской обл. РГАНИР, Фонд ГКО, д. 42, лл. 1, 2-6 (11012).</w:t>
      </w:r>
    </w:p>
    <w:p w14:paraId="032502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C7B15"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г. вышло постановление Государственного Комитета Обороны от "О строительстве на Дорогомиловском химическом заводе им. Фрунзе Наркомхимпрома цеха производства резерцина"</w:t>
      </w:r>
    </w:p>
    <w:p w14:paraId="343AAC73"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НКХимпром (т. Первухина):</w:t>
      </w:r>
    </w:p>
    <w:p w14:paraId="49F67DC3"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организовать производство резерцина на Дорогомиловском заводе им. Фрунзе (г. Москва) мощностью 25 тонн в год;</w:t>
      </w:r>
    </w:p>
    <w:p w14:paraId="10436E58"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закончить строительство и монтаж оборудования цеха производства резерцина к 1 сентября 42 г…."</w:t>
      </w:r>
    </w:p>
    <w:p w14:paraId="05ECEAE8"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ГКО И. Сталин (11493).</w:t>
      </w:r>
    </w:p>
    <w:p w14:paraId="6CFC7DF3"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2D78D1E8"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0F198A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D8777C"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июля</w:t>
      </w:r>
      <w:r w:rsidRPr="00722885">
        <w:rPr>
          <w:rFonts w:ascii="Times New Roman" w:hAnsi="Times New Roman"/>
          <w:color w:val="000000" w:themeColor="text1"/>
          <w:sz w:val="16"/>
          <w:szCs w:val="16"/>
        </w:rPr>
        <w:t xml:space="preserve"> в 1942 году утреннее сообщение Совинформбюро:</w:t>
      </w:r>
    </w:p>
    <w:p w14:paraId="486CB487"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6 июля на Курском, Белгородском и Волчанском направлениях наши войска вели бои с противником.</w:t>
      </w:r>
    </w:p>
    <w:p w14:paraId="0D5668C7"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46FE4394"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Курском направлении идут кровопролитные бои, в ходе которых противник несёт огромные потери. В последних боях на одном из участков танкисты уничтожили полк немецкой пехоты и артиллерийский дивизион противника. На другом участке наша танковая часть уничтожила до 600 немецких солдат и офицеров, сожгла несколько танков и уничтожила 16 станковых пулемётов, 11 орудий и 17 автомашин. Активно действуют наши лётчики. За сутки они уничтожили несколько десятков немецких танков, свыше 70 автомашин с пехотой, 6 орудий и сбили в воздушных боях 14 немецких самолётов.</w:t>
      </w:r>
    </w:p>
    <w:p w14:paraId="237361D4"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пехота противника, поддержанная танками, вклинилась в нашу оборону. Массированным огнём нашей артиллерии ипехоты гитлеровцы были отброшены на исходные позиции, оставив на поле боя свыше 200 трупов. В этом бою подбито 3 немецких танка.</w:t>
      </w:r>
    </w:p>
    <w:p w14:paraId="1C7CCC6C"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части, действующие на отдельных участках Ленинградского фронта, за два дня уничтожили свыше 300 солдат и офицеров противника. Огнём артиллерии рассеяно три группы пехоты противника, разрушено 9 ДЗОТов, 6 блиндажей и 3 наблюдательных пункта, подавлен огонь 2-х полевых артиллерийских батарей, уничтожено несколько орудий и станковых пулемётов.</w:t>
      </w:r>
    </w:p>
    <w:p w14:paraId="7ABB0CDE"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наших бойцов под командованием лейтенанта Савельева, действующий в тылу врага, совершил налёт на немецкий гарнизон, находившийся в деревне Р. Красноармейцы уничтожили 80 гитлеровцев и захватили 2 пулемёта, 2 автомата, 21 винтовку и 2 тысячи патронов.</w:t>
      </w:r>
    </w:p>
    <w:p w14:paraId="74E9A558"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Немцы атаковали нашу артиллерийскую батарею. Артиллеристы почти в упор расстреливали гитлеровцев из орудий и нанесли им большой урон. Когда все снаряды были израсходованы, наши бойцы под руководством старшего политрука Степаненко бросились в штыки и отбили атаку противника.</w:t>
      </w:r>
    </w:p>
    <w:p w14:paraId="4279152F"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одного из отрядов, действующих в Могилёвской области, за пять дней уничтожила 12 немецких солдат и 8 офицеров, подорвала 2 штабные и 3 грузовые автомашины и сожгла 8 тонн бензина. Другая группа партизан этого же отряда организовала крушение железнодорожного эшелона противника.</w:t>
      </w:r>
    </w:p>
    <w:p w14:paraId="3A2E7B6D"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102 пехотной немецкой дивизии, поляк по национальности, Валентин Б. рассказал: «В конце марта 1942 года меня призвали в германскую армию и направили в запасный батальон в город Мец. В батальоне было около 80 процентов поляков. После двухмесячного обучения нас послали на фронт. По дороге 6 человек сбежали, но большинство решило не дезертировать. Еще в Меце мы сговорились между собой, что воевать против России не будем, перебьём немецких офицеров и с оружием в руках перейдём на сторону русских. Но на фронте поляков распихали по разным частям и подразделениям. Я шёл сдаваться в плен не один, со мной вместе перешёл и мой товарищ Георг А. Население Польши всей душой ненавидит немцев. Многие польские патриоты ушли в партизанские отряды. Особенно активно действуют партизаны в районах Варшавы, Лодзи и Кракова».</w:t>
      </w:r>
    </w:p>
    <w:p w14:paraId="2441C5CA"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Карельского фронта на территории, отбитой у противника, найден труп советского бойца. Медицинским освидетельствованием установлено, что гитлеровцы подвергли этого красноармейца жестоким пыткам. Живот, половые органыи бедро имеют следы ожогов. Голова разбита тупым предметом. Всё тело исколото штыками.» (14944).</w:t>
      </w:r>
    </w:p>
    <w:p w14:paraId="0A4D8AE9"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5BD6CCC8"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июля</w:t>
      </w:r>
      <w:r w:rsidRPr="00722885">
        <w:rPr>
          <w:rFonts w:ascii="Times New Roman" w:hAnsi="Times New Roman"/>
          <w:color w:val="000000" w:themeColor="text1"/>
          <w:sz w:val="16"/>
          <w:szCs w:val="16"/>
        </w:rPr>
        <w:t xml:space="preserve"> в 1942 году вечернее сообщение Совинформбюро:</w:t>
      </w:r>
    </w:p>
    <w:p w14:paraId="5A7B0114"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6 июля наши войска вели жестокие бои западнее Воронежа и юго-западнее Старый Оскол. Наши войска оставили ряд населённых пунктов.</w:t>
      </w:r>
    </w:p>
    <w:p w14:paraId="3BE52FBC"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62652679"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5 июля частями нашей авиации на различных участках фронта уничтожено или повреждено до 70 немецких танков, более 80 автомашин с войсками и грузами, 45 повозок с боеприпасами, взорвано 3 склада с боеприпасами, подавлен огонь 11 батарей полевой и зенитной артиллерии, разбито два железнодорожных состава, рассеяно и частью уничтожено до полка пехоты и два эскадрона конницы противника.</w:t>
      </w:r>
    </w:p>
    <w:p w14:paraId="5D81CE5D"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ожесточённых боях западнее Воронежа наши танкисты нанесли противнику огромные потери. Только за один ночной бой они уничтожили более 1.000 немецких солдат и офицеров. На другом участке наша часть под командованием тов. Батюка в бою за селение К. гранатами, бутылками с зажигательной смесью, огнём артиллерии, противотанковых ружей и миномётов за четыре дня боёв вывела из строя свыше ста немецких танков и уничтожила до 800 гитлеровцев. Помогая частям Красной Армий, партизаны Курской области организовали крушение немецкого воинского эшелона. Разбиты 30 вагонов и паровоз. Под обломками погибло много солдат и офицеров противника.</w:t>
      </w:r>
    </w:p>
    <w:p w14:paraId="57D6C0E4"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Пехотная дивизия противника при поддержке танков и бронемашин атаковала на одном из участков Калининского фронта передний край нашей обороны. Ожесточённый бой продолжался весь день. Противник потерял только убитыми свыше 500 солдат и офицеров, а также 7 танков и 5 бронемашин. На другом участке немецкой пехоте при поддержке танков удалось потеснить наши части. Наше танковое подразделение контратаковало наступающего противника и уничтожило 11 немецких танков, 2 противотанковые пушки и большое количество вражеской пехоты. Не дав возможности немцам закрепиться, наши бойцы успешной контратакой выбили противника из занятых им позиций. В этом бою гитлеровцы потеряли убитыми и ранеными до 400 солдат и офицеров, 13 танков и 5 орудий.</w:t>
      </w:r>
    </w:p>
    <w:p w14:paraId="64B2D560"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Миномётчики и артиллеристы под командованием тт. Турьева и Квашника уничтожила 2 немецких танка, 5 орудий, 19 повозок с боеприпасами, автомашину и около 200 гитлеровцев.</w:t>
      </w:r>
    </w:p>
    <w:p w14:paraId="3BB0A8F4"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Бойцы части, где командиром тов. Лыскин, ружейно-пулемётным огнём сбили над полем боя немецкий бомбардировщик. Экипаж самолёта противника взят в плен.</w:t>
      </w:r>
    </w:p>
    <w:p w14:paraId="034E73C2"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Сдавшиеся в плен капитан, унтер-офицер и 18 солдат 88 немецкой пехотной дивизии заявили: «Немецкие войска несут колоссальные потери. На полях сражения навалены горы трупов наших товарищей. Убитых так много, что их не успевают убирать. Германское командование не считается ни с какими жертвами и бросает всё новые массы солдат. Они буквально шагают по трупам. Мы поняли, что всех нас ждёт гибель, и поэтому решили сложить оружие».</w:t>
      </w:r>
    </w:p>
    <w:p w14:paraId="73BB8827"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истребляют население оккупированных ими советских районов. В городе Чернигове гитлеровцы в июне расстреляли свыше 300 жителей только за то, что они отказались поехать на принудительные работы в Германию. Среди расстрелянных много женщин и подростков. Немецкие власти ежедневно устраивают массовые обыски, сопровождающиеся грабежами и убийствами.</w:t>
      </w:r>
    </w:p>
    <w:p w14:paraId="7C634697"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жесточайший террор гитлеровцев, освободительное движение в Югославии принимает всё больший размах. Много тысяч хорватских партизан ведут успешную борьбу против немецко-итальянских оккупантов. Партизанские отряды совершают внезапные налёты на города и уничтожают там гарнизоны итальянских захватчиков. В двадцатых числах июня партизаны разгромили колонну итальянской пехоты, направлявшуюся в город Брод. Уничтожено свыше ста оккупантов.» (14944).</w:t>
      </w:r>
    </w:p>
    <w:p w14:paraId="0797FA88"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6C72E7A1"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lastRenderedPageBreak/>
        <w:t>6 июля</w:t>
      </w:r>
      <w:r w:rsidRPr="00722885">
        <w:rPr>
          <w:rFonts w:ascii="Times New Roman" w:hAnsi="Times New Roman"/>
          <w:color w:val="000000" w:themeColor="text1"/>
          <w:sz w:val="16"/>
          <w:szCs w:val="16"/>
        </w:rPr>
        <w:t xml:space="preserve"> в 1942 году немeцко-фашиcтcкиe войска форсировали реку Дон и овладели большей частью Воронежа. В этот же день 5-я танковая армия нанесла контрудар южнее Ельца по войскам левого фланга армейской группы "Вейхс", для отражения которого противник был вынужден привлечь 24-й танковый корпус, 3 пехотные дивизии и 4-ю танковую армию и ослабить этим свою группировку, наступавшую вдоль Дона (14944).</w:t>
      </w:r>
    </w:p>
    <w:p w14:paraId="0F2CFC7C"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4BDED13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в Севастополе продолжались отдельные столкновения вдоль побережья и попытки защитников города пробраться в Крымские горы поодиночке и мелкими группами. В районе Сухарной балки развернут стотысячный лагерь для военнопленных (4963 ).</w:t>
      </w:r>
    </w:p>
    <w:p w14:paraId="3E0D700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9024E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нем.-фаш. войска форсировали р. Дон и овладели большей частью Воронежа. В этот же день 5-я танковая армия нанесла контрудар южнее Ельца по войскам левого фланга армейской группы "Вейхс", для отражения которого противник был вынужден привлечь 24-й танковый корпус, 3 пехотные дивизии и 4-ю танковую армию и ослабить этим свою группировку, наступавшую вдоль Дона (4963 ).</w:t>
      </w:r>
    </w:p>
    <w:p w14:paraId="48E4494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DCB5D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немецкие войска начали операцию по уничтожению советских партизан под Дрогобычем (4962).</w:t>
      </w:r>
    </w:p>
    <w:p w14:paraId="46399D2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4FA2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6 (7 - 2261) 1942 Germans capture Voronezh, near Don River (1037).</w:t>
      </w:r>
    </w:p>
    <w:p w14:paraId="2920FD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AAD1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(7 - 2261) июля 1942 немцы захватили Воронеж у реки Дон (1037).</w:t>
      </w:r>
    </w:p>
    <w:p w14:paraId="412F259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20A44"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5710A8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1FC906"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июля</w:t>
      </w:r>
      <w:r w:rsidRPr="00722885">
        <w:rPr>
          <w:rFonts w:ascii="Times New Roman" w:hAnsi="Times New Roman"/>
          <w:color w:val="000000" w:themeColor="text1"/>
          <w:sz w:val="16"/>
          <w:szCs w:val="16"/>
        </w:rPr>
        <w:t xml:space="preserve"> в 1942 году принят на вооружение "палубный самолет-разведчик морской тип 2 модель 11", или же </w:t>
      </w:r>
      <w:hyperlink r:id="rId12" w:tgtFrame="_blank" w:history="1">
        <w:r w:rsidRPr="00722885">
          <w:rPr>
            <w:rFonts w:ascii="Times New Roman" w:hAnsi="Times New Roman"/>
            <w:color w:val="000000" w:themeColor="text1"/>
            <w:sz w:val="16"/>
            <w:szCs w:val="16"/>
          </w:rPr>
          <w:t xml:space="preserve">«D4Y1-C». </w:t>
        </w:r>
      </w:hyperlink>
      <w:r w:rsidRPr="00722885">
        <w:rPr>
          <w:rFonts w:ascii="Times New Roman" w:hAnsi="Times New Roman"/>
          <w:color w:val="000000" w:themeColor="text1"/>
          <w:sz w:val="16"/>
          <w:szCs w:val="16"/>
        </w:rPr>
        <w:t>Его радиус действия существенно превышал аналогичный показатель самолета "Накадзима" «B5N2», ранее применявшегося в качестве палубного разведчика (14944).</w:t>
      </w:r>
    </w:p>
    <w:p w14:paraId="1F6FB8CF"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1C119792" w14:textId="77777777" w:rsidR="00B33D31" w:rsidRPr="00722885" w:rsidRDefault="00B33D31"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6 июля 1942 года в Германии был принятие на снабжение «стальной шлем модели 1942 года» (также М1942 или М42).</w:t>
      </w:r>
    </w:p>
    <w:p w14:paraId="69F0829F" w14:textId="77777777" w:rsidR="00B33D31" w:rsidRPr="00722885" w:rsidRDefault="00B33D31"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Требовалось максимальное удешевление и технологичность производства, и по обе стороны фронта велись работы в этом направлении. Параллельно для соответствия требованиям массового производства военного времени искали замену дорогим и дефицитным легирующим добавкам в составе стали, по возможности не в ущерб защитным свойствам готовых изделий</w:t>
      </w:r>
    </w:p>
    <w:p w14:paraId="4ACFEBA6" w14:textId="77777777" w:rsidR="00B33D31" w:rsidRPr="00722885" w:rsidRDefault="00B33D31" w:rsidP="00722885">
      <w:pPr>
        <w:spacing w:after="0" w:line="240" w:lineRule="auto"/>
        <w:jc w:val="both"/>
        <w:rPr>
          <w:rFonts w:ascii="Times New Roman" w:hAnsi="Times New Roman"/>
          <w:color w:val="000000" w:themeColor="text1"/>
          <w:sz w:val="16"/>
          <w:szCs w:val="16"/>
        </w:rPr>
      </w:pPr>
      <w:r w:rsidRPr="00722885">
        <w:rPr>
          <w:rFonts w:ascii="Times New Roman" w:eastAsia="Times New Roman" w:hAnsi="Times New Roman"/>
          <w:color w:val="000000" w:themeColor="text1"/>
          <w:sz w:val="16"/>
          <w:szCs w:val="16"/>
          <w:lang w:eastAsia="ru-RU"/>
        </w:rPr>
        <w:t>Серийно первые шлемы M42 были произведены 1 августа 1942 года – они были технологичнее в производстве, имели упрощённый состав стали. М42 использовался в немецкой армии наряду с М35 и М40 до конца войны, постепенно заменяя их (17495).</w:t>
      </w:r>
    </w:p>
    <w:p w14:paraId="259009A3" w14:textId="77777777" w:rsidR="00B33D31" w:rsidRPr="00722885" w:rsidRDefault="00B33D31" w:rsidP="00722885">
      <w:pPr>
        <w:spacing w:after="0" w:line="240" w:lineRule="auto"/>
        <w:jc w:val="both"/>
        <w:rPr>
          <w:rFonts w:ascii="Times New Roman" w:hAnsi="Times New Roman"/>
          <w:color w:val="000000" w:themeColor="text1"/>
          <w:sz w:val="16"/>
          <w:szCs w:val="16"/>
        </w:rPr>
      </w:pPr>
    </w:p>
    <w:p w14:paraId="21CE6C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6th, 1942: In Egypt, the Afrikakorps is holding on to its positions before El Alamein against continuous attacks by the British Eighth Army. U-132 (Kptlt. Vogelsang) enters the Gulf of St. Lawrence on the Canadian east coast and sinks 3 merchant ships (3819).</w:t>
      </w:r>
    </w:p>
    <w:p w14:paraId="0733FC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06CC7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У-132 (Фогельсанг) вошла в залив Святого Лаврентия в Канаде и потопила 3 торговых судна. В Африке Африканский корпус отбивал британские атаки под Эль Аламейном (3819).</w:t>
      </w:r>
    </w:p>
    <w:p w14:paraId="182893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04EA0"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Аргентина заявила о своем нейтралитете во второй мировой войне (4962).</w:t>
      </w:r>
    </w:p>
    <w:p w14:paraId="71C52CE2"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57D55C"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Внешняя политика:</w:t>
      </w:r>
    </w:p>
    <w:p w14:paraId="28A0FC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081D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июля 1942 года было получено:</w:t>
      </w:r>
    </w:p>
    <w:p w14:paraId="29552B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 РУЗВЕЛЬТ И. В. СТАЛИНУ *</w:t>
      </w:r>
    </w:p>
    <w:p w14:paraId="4377B4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Египетский кризис, угрожающий путям снабжения Союза Советских Социалистических Республик, побудил Премьер-министра Черчилля обратиться ко мне со срочным запросом о возможности передачи на египетский фронт 40 бомбардировщиков А-20, находящихся в настоящее время в Ираке по пути в Союз Советских Социалистических Республик. Ввиду того, что информация, которой мы располагаем здесь, недостаточна, я не имею возможности вынести суждение по этому делу. По этой причине я полагал, что лучше обратиться к Вам с просьбой принять решение, учитывая интересы военных усилий Объединенных Наций в целом (7430).</w:t>
      </w:r>
    </w:p>
    <w:p w14:paraId="6249EE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597293"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078D53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B74D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июля 1942-го ОКБ С.В.Илью</w:t>
      </w:r>
      <w:r w:rsidRPr="00722885">
        <w:rPr>
          <w:rFonts w:ascii="Times New Roman" w:hAnsi="Times New Roman"/>
          <w:color w:val="000000" w:themeColor="text1"/>
          <w:sz w:val="16"/>
          <w:szCs w:val="16"/>
        </w:rPr>
        <w:softHyphen/>
        <w:t>шина передало в НИП АВ ВВС для про</w:t>
      </w:r>
      <w:r w:rsidRPr="00722885">
        <w:rPr>
          <w:rFonts w:ascii="Times New Roman" w:hAnsi="Times New Roman"/>
          <w:color w:val="000000" w:themeColor="text1"/>
          <w:sz w:val="16"/>
          <w:szCs w:val="16"/>
        </w:rPr>
        <w:softHyphen/>
        <w:t>ведения испытаний свой вариант при</w:t>
      </w:r>
      <w:r w:rsidRPr="00722885">
        <w:rPr>
          <w:rFonts w:ascii="Times New Roman" w:hAnsi="Times New Roman"/>
          <w:color w:val="000000" w:themeColor="text1"/>
          <w:sz w:val="16"/>
          <w:szCs w:val="16"/>
        </w:rPr>
        <w:softHyphen/>
        <w:t>цела для Ил-2 - кабинный прицел КП-11. Принцип действия КП-11 был тот же, что и у ВВ-1, но мушка крепилась внут</w:t>
      </w:r>
      <w:r w:rsidRPr="00722885">
        <w:rPr>
          <w:rFonts w:ascii="Times New Roman" w:hAnsi="Times New Roman"/>
          <w:color w:val="000000" w:themeColor="text1"/>
          <w:sz w:val="16"/>
          <w:szCs w:val="16"/>
        </w:rPr>
        <w:softHyphen/>
        <w:t>ри кабины пилота на сдвижной части фо</w:t>
      </w:r>
      <w:r w:rsidRPr="00722885">
        <w:rPr>
          <w:rFonts w:ascii="Times New Roman" w:hAnsi="Times New Roman"/>
          <w:color w:val="000000" w:themeColor="text1"/>
          <w:sz w:val="16"/>
          <w:szCs w:val="16"/>
        </w:rPr>
        <w:softHyphen/>
        <w:t>наря на складывающемся шарнире.</w:t>
      </w:r>
    </w:p>
    <w:p w14:paraId="3A2E6B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началу июля 1942 г. самолет Су-6 М-71 с небольшими доработками, включающими улучшение бронирования (общий вес брони был доведен до 660 кг) и обзора вперед-вниз (сидение летчика было поднято на 35 мм), снова проходил совместные с заводом № 289 государственные испытания.</w:t>
      </w:r>
    </w:p>
    <w:p w14:paraId="21D2B8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проводили ведущий инженер инженер-майор А.В.Синельников и ведущий летчик-испытатель майор А. К. Долгов. Летчики облета: майор М.А.Нюхтиков и капитан Коробов.</w:t>
      </w:r>
    </w:p>
    <w:p w14:paraId="2C0C2C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пустого самолета составил 3727 кг, вес нагрузки - 1523 кг. Винт трехлопастный типа АВ-5-4А диаметром 3,25 м.</w:t>
      </w:r>
    </w:p>
    <w:p w14:paraId="6A1B53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Стрелково-пушечное вооружение состояло из двух крыльевых пушек ВЯ-23 и двух крыльевых пулеметов ШКАС. Боекомплект к пушкам ВЯ-23 включал 230 снарядов, к пулеметам ШКАС -3000 патронов.</w:t>
      </w:r>
    </w:p>
    <w:p w14:paraId="3565D1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Бомбовое вооружение допускало подвеску: внутри на держателях КД-2 четырех бомб типа ФАБ-50 или ФАБ-100 (в перегрузку) и снаружи на двух держателях типа ДЗ-40 бомбы ФАБ-50 или ФАБ-100.</w:t>
      </w:r>
    </w:p>
    <w:p w14:paraId="1E1DBB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Реактивное вооружение состояло из 10 PC-132 или PC-82.</w:t>
      </w:r>
    </w:p>
    <w:p w14:paraId="75AEC1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нормальном полетном весе 5250 кг (10хРС-132, 200 кг бомб, две пушки ВЯ-23 и четыре пулемета ШКАС с полным боекомплектом) штурмовик имел максимальную скоростьу земли 445 км/ч, а на высоте 2500 м - 491 км/ч.</w:t>
      </w:r>
    </w:p>
    <w:p w14:paraId="4C3DF3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подъема на высоту 1000 м составляло 1,7 мин, а на высоту 3000 м - 5,1 мин. Максимальная дальность полета на высоте 670 м при скорости полета 360 км/ч достигала 576 км.</w:t>
      </w:r>
    </w:p>
    <w:p w14:paraId="7FAF2A0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отчете по испытаниям отмечалось, что кабина летчика достаточно просторная, расположение приборов удобное. Козырек кабины целесообразно сделать по типу Ил-2.</w:t>
      </w:r>
    </w:p>
    <w:p w14:paraId="7DED36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технике пилотирования штурмовик был доступен летчикам средней квалификации.</w:t>
      </w:r>
    </w:p>
    <w:p w14:paraId="103F57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во всем диапазоне скоростей от минимальной (скорость сваливания 270 км/ч) до максимальной устойчив по всем трем осям.</w:t>
      </w:r>
    </w:p>
    <w:p w14:paraId="691F08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Вираж “сухой” выполнял устойчиво. Оптимальной скоростью при выполнении виража или восьмерки с креном до 60° являлась скорость в 310-320 км/ч по прибору.</w:t>
      </w:r>
    </w:p>
    <w:p w14:paraId="6687D2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Управляемость и маневренность машины (как в горизонтальной, так и в вертикальной плоскостях) были замечательными.</w:t>
      </w:r>
    </w:p>
    <w:p w14:paraId="03B388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Вертикальная скорость с полной боевой нагрузкой у земли равнялась 9,8 м/с. За один боевой разворот штурмовик без бомб и PC набирал 600-700 м высоты (скорость ввода 390 км/ч, скорость выхода в горизонтальное положение 270 км/ч).</w:t>
      </w:r>
    </w:p>
    <w:p w14:paraId="1975EA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B2A87" w14:textId="77777777" w:rsidR="00E74794" w:rsidRPr="00722885" w:rsidRDefault="00E7479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В начале июля 1942 г. самолеты МиГ-3 М-82 №№ 6503, 6504 и 6205 были направлены на прохождение войсковых испытаний в 34-й истребительный авиаполк 6-го ИАК ПВО, которым командовал майор Н.А. Александров. Он базировался в то время во Внуково, защищая столицу с юго-западного направления.</w:t>
      </w:r>
    </w:p>
    <w:p w14:paraId="6EFB3E27" w14:textId="77777777" w:rsidR="00E74794" w:rsidRPr="00722885" w:rsidRDefault="00E7479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Новые самолеты Микояна и Гуревича с моторами Швецова получили в ПВО ожидаемо неудовлетворительную оценку и были возвращены на завод, когда решение об отказе от серийного производства МиГ-3 М-82 уже приняли.</w:t>
      </w:r>
    </w:p>
    <w:p w14:paraId="378C5874" w14:textId="77777777" w:rsidR="00E74794" w:rsidRPr="00722885" w:rsidRDefault="00E7479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 xml:space="preserve">Но есть сведения о нахождении по меньшей мере одного самолета И-210 в 260-й смешанной авиадивизии полковника Г.А. Калугина на Карельском фронте в первой половине 1943 г. Согласно «Перечню № 6 кавалерийских, танковых, воздушно-десантных дивизий и управлений артиллерийских, зенитно-артиллерийских, минометных, авиационных и истребительных дивизий, входивших в состав действующей армии в годы Великой Отечественной войны 1941–1945 гг.» (Приложение к директиве Генштаба Летчики час от 1956 г.), это соединение было создано на базе упраздненной чисто бомбардировочной 260-й дивизии. Оно находилось на Карельском фронте с 1 марта 1943 г. по 14 ноября 1944 г., когда было переформировано в дивизию чисто штурмовую. Таким образом, известные снимки МиГ-3 М-82 в строевой части, на которых видны военнослужащие во введенной в начале 1943 г. новой форме с погонами, сделаны, скорее всего, именно в этом соединении, но подробностей использования там самолета не нашлось. В то время в 260-й САД было два истребительных авиаполка, 197-й на Як-9 и 609-й на самолетах ЛаГГ-3 </w:t>
      </w:r>
      <w:r w:rsidRPr="00722885">
        <w:rPr>
          <w:rFonts w:ascii="Times New Roman" w:hAnsi="Times New Roman" w:cs="Times New Roman"/>
          <w:color w:val="0070C0"/>
          <w:sz w:val="16"/>
          <w:szCs w:val="16"/>
        </w:rPr>
        <w:lastRenderedPageBreak/>
        <w:t>и «Харрикейн», но скорее всего, И-210 был приписан к звену управления дивизии. Так вот на этих снимках МиГ-3 М-92 уже с полным вооружением – тремя пулеметами БС и двумя ШКАС (23187).</w:t>
      </w:r>
    </w:p>
    <w:p w14:paraId="1E2A1E67" w14:textId="77777777" w:rsidR="00E74794" w:rsidRPr="00722885" w:rsidRDefault="00E7479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14FB360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июля 1942 года группа А.М.Люльки была переведена на за</w:t>
      </w:r>
      <w:r w:rsidRPr="00722885">
        <w:rPr>
          <w:rFonts w:ascii="Times New Roman" w:hAnsi="Times New Roman"/>
          <w:color w:val="000000" w:themeColor="text1"/>
          <w:sz w:val="16"/>
          <w:szCs w:val="16"/>
        </w:rPr>
        <w:softHyphen/>
        <w:t>вод № 293 в ОКБ В.Ф.Болховитино-ва. Но производственная база завода, ориентированная на создание опыт</w:t>
      </w:r>
      <w:r w:rsidRPr="00722885">
        <w:rPr>
          <w:rFonts w:ascii="Times New Roman" w:hAnsi="Times New Roman"/>
          <w:color w:val="000000" w:themeColor="text1"/>
          <w:sz w:val="16"/>
          <w:szCs w:val="16"/>
        </w:rPr>
        <w:softHyphen/>
        <w:t>ных самолетов, не могла обеспечить изготовление ряда специфических уз</w:t>
      </w:r>
      <w:r w:rsidRPr="00722885">
        <w:rPr>
          <w:rFonts w:ascii="Times New Roman" w:hAnsi="Times New Roman"/>
          <w:color w:val="000000" w:themeColor="text1"/>
          <w:sz w:val="16"/>
          <w:szCs w:val="16"/>
        </w:rPr>
        <w:softHyphen/>
        <w:t>лов и агрегатов ТРД, в результате чего работа по созданию двигателя А.М.</w:t>
      </w:r>
      <w:r w:rsidRPr="00722885">
        <w:rPr>
          <w:rFonts w:ascii="Times New Roman" w:hAnsi="Times New Roman"/>
          <w:color w:val="000000" w:themeColor="text1"/>
          <w:sz w:val="16"/>
          <w:szCs w:val="16"/>
        </w:rPr>
        <w:softHyphen/>
        <w:t>Люльки практически остановилась. Последовавший в 1943 году перевод группы в ЦИАМ также не ускорил тем</w:t>
      </w:r>
      <w:r w:rsidRPr="00722885">
        <w:rPr>
          <w:rFonts w:ascii="Times New Roman" w:hAnsi="Times New Roman"/>
          <w:color w:val="000000" w:themeColor="text1"/>
          <w:sz w:val="16"/>
          <w:szCs w:val="16"/>
        </w:rPr>
        <w:softHyphen/>
        <w:t>пов работ по ТРД (10706).</w:t>
      </w:r>
    </w:p>
    <w:p w14:paraId="0454F3B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16F51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июля 1942 г. группа А.М. Люльки была переведена на завод № 293 в ОКБ В.Ф. Болховитинова. Но производственная база завода, ориентированная на создание опытных самолетов, не могла обеспечить изготовление ряда специфических узлов и агрегатов ГТД, в результате чего создание двигателя А.М. Люльки снова практически остановилось. Последовавший в 1943 г. перевод группы в ЦИАМ также не ускорил темпов работ. Лишь информация о том, что в Германии производятся испытания нескольких типов реактивных самолетов, а в Англии в серию передан двухдвигательный "Метеор" фирмы "Глостер" заставило высшее руководство отрасли изменить отношение к проблеме создания отечественного ГТД. Впрочем, и это внимание оказалось по большому счету формально-бюрократическим, не соответствующим реальной важности поставленной задачи (11147).</w:t>
      </w:r>
    </w:p>
    <w:p w14:paraId="6DC581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FFEED3" w14:textId="77777777" w:rsidR="00B33D31" w:rsidRPr="00722885" w:rsidRDefault="00B33D3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1179F730" w14:textId="77777777" w:rsidR="00B33D31" w:rsidRPr="00722885" w:rsidRDefault="00B33D3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6ECE6F" w14:textId="77777777" w:rsidR="00AB33D6" w:rsidRPr="00722885" w:rsidRDefault="00AB33D6"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начале июля 1942 года последовала команда окончательно прекратить выпуск Т-60. При этом завод №264 полностью перевел свои мощности на корпусное производство Т-34, а завод №37, в конце июля 1942 года, обязали начать подготовку у выпуску Т-34. Будьте уверены, если бы в Горьком и Кирове имелась возможность выпускать Т-34, производили их и там (21457).</w:t>
      </w:r>
    </w:p>
    <w:p w14:paraId="7EF2581E" w14:textId="77777777" w:rsidR="00AB33D6" w:rsidRPr="00722885" w:rsidRDefault="00AB33D6"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0F0C9A72" w14:textId="77777777" w:rsidR="00B33D31" w:rsidRPr="00722885" w:rsidRDefault="00B33D31"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начале июля 1942 появились отчёты с Брянского и Центрального фронтов, изучение которых спровоцировало начало работ по модернизации танка Т-70. Что же касается башни, катализатором начала работ по её двухместной версии стало письмо командира 1-й гвардейской танковой бригады гвардии полковника Н.Д. Чухина:</w:t>
      </w:r>
    </w:p>
    <w:p w14:paraId="718DCF1E" w14:textId="77777777" w:rsidR="00B33D31" w:rsidRPr="00722885" w:rsidRDefault="00B33D31"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«1. Командиру танка Т-70 трудно одновременно наблюдать за полем боя, заряжать пушку, пулемёт и вести прицельный огонь. Работа командира роты ещё больше усложняется, так как кроме этой работы он должен руководить ротой.</w:t>
      </w:r>
    </w:p>
    <w:p w14:paraId="684FAB94" w14:textId="77777777" w:rsidR="00B33D31" w:rsidRPr="00722885" w:rsidRDefault="00B33D31"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Необходимо расширить башню танка до 2-х человек» (17712).</w:t>
      </w:r>
    </w:p>
    <w:p w14:paraId="53764C5E" w14:textId="77777777" w:rsidR="00B33D31" w:rsidRPr="00722885" w:rsidRDefault="00B33D31" w:rsidP="00722885">
      <w:pPr>
        <w:spacing w:after="0" w:line="240" w:lineRule="auto"/>
        <w:jc w:val="both"/>
        <w:rPr>
          <w:rFonts w:ascii="Times New Roman" w:hAnsi="Times New Roman"/>
          <w:color w:val="000000" w:themeColor="text1"/>
          <w:sz w:val="16"/>
          <w:szCs w:val="16"/>
        </w:rPr>
      </w:pPr>
    </w:p>
    <w:p w14:paraId="3DC569DD" w14:textId="77777777" w:rsidR="00AB33D6" w:rsidRPr="00722885" w:rsidRDefault="00AB33D6"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В начале июля 1942 было ясно, что одобрения гаубичный Т-34 не получит. Во-первых, данный проект страдал теми же недостатками, что и КВ-9, причем они только усугубились. Это теснота боевого отделения и низкая скорострельность. Во-вторых, у ГАУ КА и НКВ уже имелся проект средней гаубичной САУ. Речь идет об СГ-122. Больше того, уже в июне 1942 года КБ завода №592 подготовило предварительный проект САУ СГ-122У, с той же У-11. Параллельно разрабатывался и другой проект - СГ-122М, с более традиционной гаубицей М-30. Так что КБ завода №8 было вынуждено выступать в роли догоняющих. В связи с работами по У-22 разработка свердловской штурмовой САУ с рубочным расположением вооружения началась только в июле 1942 года. Ну а гаубичный Т-34 убрали глубоко в недры заводских и ведомственных архивов, от греха подальше (20881).</w:t>
      </w:r>
    </w:p>
    <w:p w14:paraId="597B2690" w14:textId="77777777" w:rsidR="00AB33D6" w:rsidRPr="00722885" w:rsidRDefault="00AB33D6" w:rsidP="00722885">
      <w:pPr>
        <w:pStyle w:val="article-renderblock"/>
        <w:shd w:val="clear" w:color="auto" w:fill="FFFFFF"/>
        <w:spacing w:before="0" w:beforeAutospacing="0" w:after="0" w:afterAutospacing="0"/>
        <w:jc w:val="both"/>
        <w:rPr>
          <w:color w:val="0070C0"/>
          <w:sz w:val="16"/>
          <w:szCs w:val="16"/>
        </w:rPr>
      </w:pPr>
    </w:p>
    <w:p w14:paraId="7C5C98CC"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075EC4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A3FAE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июля 1942 немецкие самолеты нанесли серию ударов по периферийным городам и железнодорожным станциям, Так, 8 и 9 июля бомбардировке дважды подвергся важный железнодорожный узел Ртищево, расположенный на железной дороге Тамбов – Саратов. 8 июля на аэродром Кутейниково, в 50 км юго-восточнее Донецка, прибыла I./KG55 «Грайф», и уже на следующую ночь ее «Хейнкели» совершили налет на Сталинград, сбросив фугасные бомбы на промышленные объекты Кировского района города и железнодорожную станцию Бекетовка. К этому моменту город на Волге, на который было нацелено острие германского наступления, являлся одним из важнейших промышленных центров Советского Союза, уступая в значении разве что Горькому. Достаточно сказать, что Сталинградский тракторный завод им. Дзержинского производил половину всех средних танков Т-34, а металлургический завод «Красный Октябрь» был основным производителем высококачественных сталей для танковой, авиационной и подшипниковой промышленности. Поэтому противовоздушная и сухопутная оборона Сталинграда имела огромное значение для поддержания боеспособности Красной Армии (11774).</w:t>
      </w:r>
    </w:p>
    <w:p w14:paraId="02DD12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0BA9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июля 1942 г. к операционной зоне советского Северного флота приближался печально известный конвой PQ-17. Оставшиеся в результате ошибки британского адмиралтейства почти без прикрытия суда конвоя были еще далеко, когда немецкие подлодки и авиация начали наносить по ним удар за ударом. Только с 4 по 10 июля конвой атаковали 130 бомбардировщиков Ju 88, 43 Пушка ШВАК самолета Не 111 и 26 торпедоносцев Не 115. на истребителе Пе-3 Самолеты 95-го иап приступили к прикры- в боевом положении тию уцелевших судов из состава конвоя PQ-I7, действуя на предельном радиусе. На самом берегу Кольского полуострова нашли полевую площадку, позволившую еше немного выдвинуть на северо-запад зону авиационного прикрытия. Четверки Пе-3 попеременно вылетали на барражирование, делая 2-3 полета в сутки, каждый продолжительностью по 4-5 часов. Немцы признают, что 10 июля огнем истребителей Пе-3 был сбит и упал в Баренцево море Ju 88А № 882130, который пилотировал командир 1/KG30 капитан Э. Шродер (12042).</w:t>
      </w:r>
    </w:p>
    <w:p w14:paraId="38685B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888CD1"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июля 1942 года у моста через Дон в Воронеже были разгромлены немецкими танками и пикирующими бомбардировщиками два бронепоезда 62-го дивизиона – №14 «Борис Петрович» и №15 «Бесстрашный» (15218).</w:t>
      </w:r>
    </w:p>
    <w:p w14:paraId="0F8ED916"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762AEC71"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67BDA7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DE54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вышел приказ НКАП N 598 по проектированию удлиненной части фюзеляжа Ил-2 (2212,64).</w:t>
      </w:r>
    </w:p>
    <w:p w14:paraId="795322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216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 16 июля 1942 потерпели аварии новенькие бомбардировщики Ту-2. Экипажи (летчиков Котякова и Бакина) не пострадали. Недостатки тормозной системь неоднократно приводили к неуправляемому развороту на посадке. Например, у майора В.Д. Бакина машину № 100303 вывернуло вправо, что привело к поломке стойки шасси. Бывали случаи, когда бомбардировщик делал на поле до двух кругов и оставался цел. Но чаще ломали шасси, винты, законцовки крыла, мяли мотогондолы. Самолет летчика Полевого после посадки с разворотом вспыхнул; экипаж успел выбраться и убежать.</w:t>
      </w:r>
    </w:p>
    <w:p w14:paraId="1F0CCA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Дефекты серийных Ту-2 вызвали распоряжение командования ВВС прекратить приемку бомбардировщиков. НКАП направил на завод авторитетную комиссию во главе с известным авиаконструктором Н.Н. Поликарповым. Члены комиссии согласились с заводскими испытателями в том, что причиной разворотов на посадке является несинхронная работа тормозов правого и левого колес. Предложено было заменить тормозную гидросистему, скопированную туполевцами по настоянию ВВС с немецкого бомбардиров- . щика Ju 88, на более надежную, применявшуюся на самолетах фирмы "Дуглас". В качестве же временного решения попробовали на пробеге стопорить хвостовое колесо. На Ту-2 имелся автоматический стопор, который должен был фиксировать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колеса. Управляемость машины на пробеге значительно улучшилась.</w:t>
      </w:r>
    </w:p>
    <w:p w14:paraId="48BCDB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Еще одной серьезной проблемой являлись двигатели. Моторы М-82, хотя и выпускались серийно, еще оставались достаточно "сырыми". На высоте более 6000 м они недодавали мощность, страдали значительными вибрациями и расходовали много масла. Хотя за это отвечал их конструктор А.Д. Швецов и завод № 19, дефекты мотоустановки сильно сказывались на летных и эксплуатационных характеристиках Ту-2.</w:t>
      </w:r>
    </w:p>
    <w:p w14:paraId="10485A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комиссия подвергла критике чрезмерный вес серийных машин. Весовая отдача у них при нормальной бомбовой нагрузке не превышала 27,5%, в то время как у других самолетов такого же класса она составляла около 30%. Это была плата за возможность бомбить с крутого пикирования.</w:t>
      </w:r>
    </w:p>
    <w:p w14:paraId="42CE62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в целом Поликарпов и его коллеги поддержали Туполева. В Москву отправили документ, в котором, в частности, говорилось: "... самолет Ту-2 по своим летно-тактическим данным превосходит современные советские и заграничные бомбардировщики". Комиссия сочла, что при устранении основных дефектов самолет сможет успешно выполнять боевые задачи.</w:t>
      </w:r>
    </w:p>
    <w:p w14:paraId="02A3A2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Приемка бомбардировщиков возобновилась. Реагируя на требования военных, завод вносил изменения в строящиеся бомбардировщики. С 5-й серии (июль - август 1942 г.) внедрили тормоза типа "Дуглас", окончательно снявшие проблемы с неуправляемым разворотом на посадке. Одновременно изменили управление пуском реактивных снарядов. Ранее стрельба РС-82 велась с помощью бомбосбрасывателя ЭСБР-6, переключавшегося на другой режим. Бомбы при этом сбрасывать было нельзя. С 5-й серии пуск ракет осуществлялся независимым устройством.</w:t>
      </w:r>
    </w:p>
    <w:p w14:paraId="5A9B28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Часть бомбардировщиков перевооружили. Во всяком случае, на фронт попали омские самолеты либо с двумя, либо с тремя 12,7-мм пулеметами УБТ. Поскольку на установке ТСС-1 этот пулемет не мог быть смонтирован, то, по-видимому, вариант с двумя УБТ предусматривал один пулемет на несколько доработанной установке БУШ у штурмана и второй - на люковой ЛУ-УБТ. При этом на ТСС-1 оставался ШКАС. Вообще Туполев рассматривал несколько возможных вариантов </w:t>
      </w:r>
      <w:r w:rsidRPr="00722885">
        <w:rPr>
          <w:rFonts w:ascii="Times New Roman" w:hAnsi="Times New Roman"/>
          <w:color w:val="000000" w:themeColor="text1"/>
          <w:sz w:val="16"/>
          <w:szCs w:val="16"/>
        </w:rPr>
        <w:lastRenderedPageBreak/>
        <w:t>перевооружения Ту-2, в том числе один - с установкой четырех пусковых балок для РС-82 на фюзеляже для стрельбы назад.</w:t>
      </w:r>
    </w:p>
    <w:p w14:paraId="0D7A49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Занятие немцами значительной части территории СССР привело к сокращению производства алюминия в стране. Потребности же в нем резко возросли. Алюминий в листах и чушках везли из США и Канады, но его все равно не хватало. Всем самолетостроительным конструкторским бюро было предложено поискать возможности применения узлов из дерева. Это сократило бы расход дефицитного алюминия и дало возможность привлечь к постройке самолетов деревообрабатывающие предприятия. 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27560D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DA8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вышел приказ НКАП N 492а/с о мероприятиях по внедрению в серийное производство самолета ЛаГГ-5 на заводе 21 (1573,19).</w:t>
      </w:r>
    </w:p>
    <w:p w14:paraId="77648F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5A1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1942-го вышел приказ НКАП, в котором говорилось, что "внедрение самолета ЛаГГ-5 на заводе №21 идет совершенно неудовлетворительно и выпуск этих машин по графику в июне месяце и 1-й пятидневке июля сорван". После подробного перечисления недостатков организационного и технологического плана, замнар-кома Воронин потребовал разработки почасового графика псдачи деталей и агрегатов в цех 40. Начальников производства и цехов предупредили, что выполнение “суточного задания является железным законом производства и за срыв суточных заданий они будут привлекаться к ответственности ”. С завода не снимали выпуск ЛаГТ-3: к августу 1942-го приказано изготовить их 20, а затем к сентябрю еще 20 модифицированных ЛаГТов с пушкой калибра 37 мм и боекомплектом 20 снарядов: перевести на завод №82 в Москве для обеспечения производства Як-7 100 рабочих.</w:t>
      </w:r>
    </w:p>
    <w:p w14:paraId="09AABB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Новый самолет получил заводское обозначение: тип "37" (4573).</w:t>
      </w:r>
    </w:p>
    <w:p w14:paraId="75DBC6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60C093"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19C87B0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249B27"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Приказом наркома вооружения № 354 КБ «Большевика» и ЛМЗ, эвакуированные в Сталинград, были объединены в КБ морского вооружения (КБМВ) (15132).</w:t>
      </w:r>
    </w:p>
    <w:p w14:paraId="0660F852"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51230A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237сс в соответствии с Пост. ГКО № 1962сс от 4.07.1942 г. заводу № 808 (Завод № 808 НКМВ, АО «Феникс», «Полиграфзавод» НКМВ, ГС Ордена Ленина и Ордена Трудового Красного Знамени Щербаковский завод полиграфического машириборостроения («Полнграфмаш») ММиП, Рыбинский завод полиграфических машин, ОАО «КПЦ «Полиграфмаш», ООО «ЛИТЭКС» /г. Рига; г. Рыбинск Ярославской обл.; г. Щербаков ул. Луговая, 7 «Станок» (1948г.)/ /152900 г. Рыбинск Ярославской обл. ул. Луговая, 7/) установлен план выпуска на 3-й квартал 1942г. 82-мм минометов - 4500 шт. Пост. ГКО № 1962сс от 4.07.1942г. и приказом НКМВ № 237сс от 7.07.1942г. заводу установлен план выпуска на 3-й квартал 1942г. угломеров-квадрантов к 82-мм минометам - 4500 шт. Наряду с этим с 1943г. освоен выпуск малых печатных машин. Завод № 808 был в 1945г.</w:t>
      </w:r>
    </w:p>
    <w:p w14:paraId="4852D6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Щербаковский завод - в ведении Главполиграфмаша ММиП, в 1960-е г. - Рыбинский завод полиграфических машин.</w:t>
      </w:r>
    </w:p>
    <w:p w14:paraId="2CED79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механические № 1, 3, 5, 6, сборочный № 2, деревообделочный № 9, литейный № 10, кузнечно-прессовый № 12, заготовительный № 16, ширпотреба № 20; вспомогательные: инструментальный № 4, ремонтно-механический № 7, паровое хозяйство, электро-ремонтный № 14, ремонтно- строительный № 15, центральная лаборатория № 17.</w:t>
      </w:r>
    </w:p>
    <w:p w14:paraId="2D4C58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2006г. предприятие преобразовано в ООО «ЛИТЭКС».</w:t>
      </w:r>
    </w:p>
    <w:p w14:paraId="64ED0AB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(1939г.)- 702 ед., (1946г.)- 774 ед., (1947г.)- 985 ед.</w:t>
      </w:r>
    </w:p>
    <w:p w14:paraId="74C0AF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(1947г.)- 34,75 га; застройки (1947г.)- 58850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(1939г.)- 20841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(1946-47Г.)- 22342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1F1A857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(1939г.)- 2430 чел., (1946г.)- 3204 чел., (1947г.)- 3001 чел. Директор (06.1942г.)- Манин, (1948г.)- Федосов. Гл. инженер (1948г.)- Елисеев.</w:t>
      </w:r>
    </w:p>
    <w:p w14:paraId="577FF62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полиграфические машины: плоскопечатная «Пионер-1» (1931); машины ротационные: газетная 20Р, книжная 2РК; станки: стереотипные: отливочный ОГ, ростовой НГ, НК, отделочный ОК, фрезерный отделочный ЕГ, ЕК; гидравлический матричный пресс МП (1947); 82-мм минометы, угломеры-квадранты к 82-мм минометам; 120-мм мины (1942) (11982).</w:t>
      </w:r>
      <w:r w:rsidRPr="00722885">
        <w:rPr>
          <w:rFonts w:ascii="Times New Roman" w:hAnsi="Times New Roman"/>
          <w:color w:val="000000" w:themeColor="text1"/>
          <w:sz w:val="16"/>
          <w:szCs w:val="16"/>
          <w:vertAlign w:val="superscript"/>
        </w:rPr>
        <w:t>129</w:t>
      </w:r>
    </w:p>
    <w:p w14:paraId="63125B8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D45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ГКО № 1962сс от 4.07.1942г. приказом НКМВ № 237сс заводу установлен план выпуска на 3-й квартал 1942г.: прицелов к 50-мм минометам- 2700 шт.; угломеров-квадрантов к 82-мм минометам- 2800 шт. В соответствии с пост. ГКО № 2679 от 31.12.1942г. на заводе организовано дублирующее производство танковых радиоприемников. В годы войны выпускал взрыватели, прицелы, радиостанции для танков, бойки для гранат.</w:t>
      </w:r>
    </w:p>
    <w:p w14:paraId="798125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освоил выпуск радиоприемников, конденсаторов, запчастей для сельхозтехники.</w:t>
      </w:r>
    </w:p>
    <w:p w14:paraId="6A9563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Имел наименование «п/я А-1892». 16.07.1994г. завод «Кузбассрадио» акционирован и преобразован в ОАО «Сибэлком». В 2009г. ОАО «Сибэлком» являлось банкротом. Затем преобразовано в ОАО «Кузбассрадио». В 2008г. ОАО «Кузбассрадио» являлось банкротом.</w:t>
      </w:r>
    </w:p>
    <w:p w14:paraId="000A868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(2000-е): коммутационные изделия (тумблеры, микропереключатели, переключатели: кнопочные, движковые; держатели плавких вставок); установочные изделия РЭ аппаратуры для МО, космической техники и нардного хозяйства.</w:t>
      </w:r>
    </w:p>
    <w:p w14:paraId="2ED685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(1980-е г.)- более 10 тыс. чел.</w:t>
      </w:r>
    </w:p>
    <w:p w14:paraId="76BD6E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Жуков, (06.1942г.)- Шифрин. Гендиректор (2000-е)- В.А. Красноперов.</w:t>
      </w:r>
    </w:p>
    <w:p w14:paraId="5C3B3D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взрыватели АМБ, КТМ-1; прицелы к 50-мм минометам, угломеры-квадранты к 82-мм минометам (1942-); радиоприемники: танковый «Малютка» (1943-); бытовой «Рекорд-46».</w:t>
      </w:r>
    </w:p>
    <w:p w14:paraId="67B916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«КинАп» /г. Одесса/</w:t>
      </w:r>
    </w:p>
    <w:p w14:paraId="42A87B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киноаппаратуры «КинАп» после начала войны был эвакуирован в Белово, где на его базе был создан завод № 842 НКЭП.</w:t>
      </w:r>
    </w:p>
    <w:p w14:paraId="5488CA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освобождения Одессы завод «КинАп» восстановлен, был в 1975г.</w:t>
      </w:r>
    </w:p>
    <w:p w14:paraId="1ED51E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разъем 16СТК-1 (1973).</w:t>
      </w:r>
    </w:p>
    <w:p w14:paraId="710C70C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Фабрика граммпластинок «Метрополь-Рекорд», Фабрика им. 1905 года, Апрелевский завод граммпластинок (АЗГ) Памяти 1905 года НКТП, НКМ, НКМВ, Апрелевский патефонный завод, Фирма «Мелодия» /г. Апрелевка Наро-Фоминского р-на Московской обл./</w:t>
      </w:r>
    </w:p>
    <w:p w14:paraId="054F39E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1910г.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4B6CB1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23D9B54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720C3F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1919г. фабрика граммпластинок - в ведении отдела «Советская пластинка» агентства Центропечать. В 1925г. получила название «Фабрика им. 1905 года». В 1933г. фабрика переименована в АЗГ Памяти 1905г. в ведении Грампластреста НКТП, в 1938г. - в ведении Главширпотреба НКМ.</w:t>
      </w:r>
    </w:p>
    <w:p w14:paraId="5AE85D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10.1941г. Апрелевский патефонный завод эвакуирован в Белово, где на его базе создан завод № 842 НКЭП.</w:t>
      </w:r>
    </w:p>
    <w:p w14:paraId="1F4D76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79DA26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410F08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1964г. на базе АЗГ создана фирма «Мелодия».</w:t>
      </w:r>
    </w:p>
    <w:p w14:paraId="78CB86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кроме пластинок, выпускал матрицы, пресс-формы, пластмассу для других предприятий отрасли.</w:t>
      </w:r>
    </w:p>
    <w:p w14:paraId="32E527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1C2879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(1912г.)- 100 чел., (1916г.)- 50 чел., (1930г.)- 215 чел., (1933г.)- 541 чел.</w:t>
      </w:r>
    </w:p>
    <w:p w14:paraId="57D622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(1910г.)- Б.В. Молль.</w:t>
      </w:r>
    </w:p>
    <w:p w14:paraId="4CF5EDE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химической лаборатории (1960-е)- В.М. Хазанджи (11982).</w:t>
      </w:r>
    </w:p>
    <w:p w14:paraId="11B47E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5C34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237сс и Пост. ГКО № 1962сс от 4.07.1942г. заводу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был установлен план выпуска на 3-й квартал 1942г. 50-мм минометов- 1200 шт. В 1943г. освоен выпуск 6 новых изделий. В 1945г. начат переход на выпуск гражданской продукции.</w:t>
      </w:r>
    </w:p>
    <w:p w14:paraId="7047443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1946г. завод № 815 преобразован в завод «Полиграфмаш», в 1947-48г. завод - в ведении Главполиграфмаша ММиП.</w:t>
      </w:r>
    </w:p>
    <w:p w14:paraId="79103D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машиностроительный, станкостроительный, литейный; вспомогательные: кузнечно-прессовый, инструментальный, ремонтно-механический, электроцех.</w:t>
      </w:r>
    </w:p>
    <w:p w14:paraId="7F0CBF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1996г. завод «Полиграфмаш» обанкрочен и ликвидирован.</w:t>
      </w:r>
    </w:p>
    <w:p w14:paraId="2708C2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(1946г.)- 285 ед., (1947г.)- 281 ед.</w:t>
      </w:r>
    </w:p>
    <w:p w14:paraId="1620AE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(1947г.)- 2,0 га; застройки (1947г.)- 8170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(1946-47г.)- 5570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EE1AD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(1946г.)- 1053 чел., (1947г.)- 956 чел.</w:t>
      </w:r>
    </w:p>
    <w:p w14:paraId="32C157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Стругацкий, (1948г.)- Седелев.</w:t>
      </w:r>
    </w:p>
    <w:p w14:paraId="3E5354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Росаткевич.</w:t>
      </w:r>
    </w:p>
    <w:p w14:paraId="1DDEAA3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50-мм минометы; мины: 50-мм, 82-мм, АМБ, детали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722885">
        <w:rPr>
          <w:rFonts w:ascii="Times New Roman" w:hAnsi="Times New Roman"/>
          <w:color w:val="000000" w:themeColor="text1"/>
          <w:sz w:val="16"/>
          <w:szCs w:val="16"/>
          <w:vertAlign w:val="superscript"/>
        </w:rPr>
        <w:t>124</w:t>
      </w:r>
    </w:p>
    <w:p w14:paraId="0233E9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1CA0FD1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1941г. действовал цех № 1 по производству авиационных взрывателей.</w:t>
      </w:r>
    </w:p>
    <w:p w14:paraId="671926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4AF47A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200A4D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465BF66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(1939г.)- 110 ед., (1946г.)- 128 ед, (1947г.)- 246 ед.</w:t>
      </w:r>
    </w:p>
    <w:p w14:paraId="5109AD6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(1947г.)- 21,65 га; застройки (1947г.)- 20474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w:t>
      </w:r>
    </w:p>
    <w:p w14:paraId="7B4F3C2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(1946г.)- 9113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(1947г.)- 9767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29C2E9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(1939г.)- 1651 чел, (1946г.)- 520 чел, (1947г.)- 594 чел.</w:t>
      </w:r>
    </w:p>
    <w:p w14:paraId="357645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(1948г.)- Реутов.</w:t>
      </w:r>
    </w:p>
    <w:p w14:paraId="155011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Бурко.</w:t>
      </w:r>
    </w:p>
    <w:p w14:paraId="3BC3BEB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722885">
        <w:rPr>
          <w:rFonts w:ascii="Times New Roman" w:hAnsi="Times New Roman"/>
          <w:color w:val="000000" w:themeColor="text1"/>
          <w:sz w:val="16"/>
          <w:szCs w:val="16"/>
          <w:vertAlign w:val="superscript"/>
        </w:rPr>
        <w:t>129</w:t>
      </w:r>
    </w:p>
    <w:p w14:paraId="5F795A2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3C5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3.06.1942г. приказом НКМВ № 250с Патефонный завод НКМВ переименован в завод № 819 в ведении ЗГУ (Завод № 819 НКМВ, Патефонный завод НКМВ, Коломенский граммофонный завод НКМВ, Коломенский завод текстильного машиностроения («Текмаш», «Текстльмаш»), ММиП, ММ, ОАО «Коломнатекстильмаш» /г. Коломна Московской обл. ул. Левшша, 19 «Тестильмаш» (1947-54г.)).</w:t>
      </w:r>
    </w:p>
    <w:p w14:paraId="534683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Патефонный завод НКМВ (употреблялось также название Коломенский граммофонный завод) был восстановлен в Коломне (либо часть завода осталась в Коломне при эвакуации, см. завод № 482).</w:t>
      </w:r>
    </w:p>
    <w:p w14:paraId="5330F3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(1947г.) цехи: основные: станкостроительный № 1, шпинделей № 2, мелких серий № 3, блочков и втулок № 4, термический № 6, заготовительный № 9, роликовых втулок № 10, сборочный № 11, ширпотреба № 12; вспомогательные: деревообрабатывающий цех № 5, инструментальный № 7, ремонтный № 8. (1954г.): основные: машиностроительный № 1, веретено-сборочный № 2, шпинделей № 3, массовых деталей № 4, роликовых втулок № 5, термический № 7, заготовительный № 9, деревообрабатывающий № 11, штамповочный № 12, механический № 16; вспомогательные: инструментальный № 8, ремонтно-механический № 10, электроцех № 13, паро-цех № 14, транспортный № 15.</w:t>
      </w:r>
    </w:p>
    <w:p w14:paraId="17F513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1947г. Коломенский завод текстильного машиностроения - в ведении Главтекстильлегмаша ММиП, в 01.1954г. - в ведении Главлегмаша ММ; был в 1960-е г.</w:t>
      </w:r>
    </w:p>
    <w:p w14:paraId="2FF5F7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(1946г.)- 920 ед., (1947г.)- 1386 ед., (1953г.)- 1753 ед.</w:t>
      </w:r>
    </w:p>
    <w:p w14:paraId="0A1208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(1947-53г.)- 3,99 га; застройки (1947г.)- 13563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(1953г.)- 14807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(1947г.)- 18759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(1953г.)- 29604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0DB26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(1946г.)- 2356 чел., (1947г.)- 2222 чел.</w:t>
      </w:r>
    </w:p>
    <w:p w14:paraId="225661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(06.1948г.)- Корощенко.</w:t>
      </w:r>
    </w:p>
    <w:p w14:paraId="66F984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(06.1948г.)- Захаров.</w:t>
      </w:r>
    </w:p>
    <w:p w14:paraId="0D636D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веретена ОГ-25, -28, ВЛ, СВ (1947), В-25, -28, ВН-25, -28, ВТ-25, -28, ВК-2, -28, -32, ВНТ-2, - 32, - 45, КФ-45 (1954); машины: тростильные Т-150, ТК-190; узловязательная УС-175 (1954) (11982).</w:t>
      </w:r>
      <w:r w:rsidRPr="00722885">
        <w:rPr>
          <w:rFonts w:ascii="Times New Roman" w:hAnsi="Times New Roman"/>
          <w:color w:val="000000" w:themeColor="text1"/>
          <w:sz w:val="16"/>
          <w:szCs w:val="16"/>
          <w:vertAlign w:val="superscript"/>
        </w:rPr>
        <w:t>129</w:t>
      </w:r>
    </w:p>
    <w:p w14:paraId="3A6FE8B0"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E6F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завод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был передан в ведение ЗГУ.</w:t>
      </w:r>
      <w:r w:rsidRPr="00722885">
        <w:rPr>
          <w:rFonts w:ascii="Times New Roman" w:hAnsi="Times New Roman"/>
          <w:color w:val="000000" w:themeColor="text1"/>
          <w:sz w:val="16"/>
          <w:szCs w:val="16"/>
          <w:vertAlign w:val="superscript"/>
        </w:rPr>
        <w:t>129</w:t>
      </w:r>
    </w:p>
    <w:p w14:paraId="604B00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24.12.1941г. был введен в строй минометный цех № 2, к 1.01.1942г. выпущены первые минометы, в 03.1942г.- первая партия 50-мм мин. Приказом НКМВ № 236сс от 6.07.1942г. заводу поручено организовать производство 82-мм агитационных мин с выпуском в 08.1942г. 10 тыс. штук. Пост. ГКО № 1962сс от 4.07.1942г. и приказом НКМВ № 237сс от 7.07.1942г. заводу установлен план выпуска на 3-й квартал 1942г. 50-мм минометов- 1200 шт. В 1943г. освоен выпуск 6 новых изделий. В 1945г. начат переход на выпуск гражданской продукции.</w:t>
      </w:r>
    </w:p>
    <w:p w14:paraId="385AD9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1946г. завод № 815 преобразован в завод «Полиграфмаш», в 1947-48г. завод - в ведении Главполиграфмаша ММиП.</w:t>
      </w:r>
    </w:p>
    <w:p w14:paraId="1060FB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машиностроительный, станкостроительный, литейный; вспомогательные: кузнечно-прессовый, инструментальный, ремонтно-механический, электроцех.</w:t>
      </w:r>
    </w:p>
    <w:p w14:paraId="738D4E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1996г. завод «Полиграфмаш» обанкрочен и ликвидирован.</w:t>
      </w:r>
    </w:p>
    <w:p w14:paraId="0F050C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(1946г.)- 285 ед., (1947г.)- 281 ед.</w:t>
      </w:r>
    </w:p>
    <w:p w14:paraId="4FB0D68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(1947г.)- 2,0 га; застройки (1947г.)- 8170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(1946-47г.)- 5570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E225A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(1946г.)- 1053 чел., (1947г.)- 956 чел.</w:t>
      </w:r>
    </w:p>
    <w:p w14:paraId="16EFE9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Стругацкий, (1948г.)- Седелев.</w:t>
      </w:r>
    </w:p>
    <w:p w14:paraId="0CEB70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Росаткевич.</w:t>
      </w:r>
    </w:p>
    <w:p w14:paraId="3F3DD3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50-мм минометы; мины: 50-мм, 82-мм, АМБ, детали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722885">
        <w:rPr>
          <w:rFonts w:ascii="Times New Roman" w:hAnsi="Times New Roman"/>
          <w:color w:val="000000" w:themeColor="text1"/>
          <w:sz w:val="16"/>
          <w:szCs w:val="16"/>
          <w:vertAlign w:val="superscript"/>
        </w:rPr>
        <w:t>124</w:t>
      </w:r>
    </w:p>
    <w:p w14:paraId="41F1C67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7358A3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1941г. действовал цех № 1 по производству авиационных взрывателей.</w:t>
      </w:r>
    </w:p>
    <w:p w14:paraId="2A8F87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5F595E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0291C3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2D13541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(1939г.)- 110 ед., (1946г.)- 128 ед, (1947г.)- 246 ед.</w:t>
      </w:r>
    </w:p>
    <w:p w14:paraId="598DE4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(1947г.)- 21,65 га; застройки (1947г.)- 20474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w:t>
      </w:r>
    </w:p>
    <w:p w14:paraId="3389B3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(1946г.)- 9113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(1947г.)- 9767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4B952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(1939г.)- 1651 чел, (1946г.)- 520 чел, (1947г.)- 594 чел.</w:t>
      </w:r>
    </w:p>
    <w:p w14:paraId="14A1E0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(1948г.)- Реутов.</w:t>
      </w:r>
    </w:p>
    <w:p w14:paraId="21293F8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Бурко.</w:t>
      </w:r>
    </w:p>
    <w:p w14:paraId="46760B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722885">
        <w:rPr>
          <w:rFonts w:ascii="Times New Roman" w:hAnsi="Times New Roman"/>
          <w:color w:val="000000" w:themeColor="text1"/>
          <w:sz w:val="16"/>
          <w:szCs w:val="16"/>
          <w:vertAlign w:val="superscript"/>
        </w:rPr>
        <w:t>129</w:t>
      </w:r>
    </w:p>
    <w:p w14:paraId="3992239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B86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и приказом НКМВ № 250с в соответствии с пост, правительства № 837-430сс от 3.06.1942 г. Люберецкий завод сельхозмашин НКМВ переименован в завод № 711 им. Ухтомского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в ведении 1ГУ. В соответствии с распоряжением ГКО № 6181 от 13.07.1944 г. заводу передано 500 чел. из лагеря НКВД. В соответствии с пост, правительства № 23 от 7.01.1946 г. и приказом НКМВ/НКСХМ № 14/1 от 11.01.1946 г. завод передан из ГСМ НКМВ в НКСХМ.</w:t>
      </w:r>
    </w:p>
    <w:p w14:paraId="562452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Приказом № 206сс от 9.06.1942 г. заводу к 1.07.1942 г. задано изготовить 500 корпусов 160-мм мин.</w:t>
      </w:r>
      <w:r w:rsidRPr="00722885">
        <w:rPr>
          <w:rFonts w:ascii="Times New Roman" w:hAnsi="Times New Roman"/>
          <w:color w:val="000000" w:themeColor="text1"/>
          <w:sz w:val="16"/>
          <w:szCs w:val="16"/>
          <w:vertAlign w:val="superscript"/>
        </w:rPr>
        <w:t xml:space="preserve">129 </w:t>
      </w:r>
      <w:r w:rsidRPr="00722885">
        <w:rPr>
          <w:rFonts w:ascii="Times New Roman" w:hAnsi="Times New Roman"/>
          <w:color w:val="000000" w:themeColor="text1"/>
          <w:sz w:val="16"/>
          <w:szCs w:val="16"/>
        </w:rPr>
        <w:t>31.01.1944 г. вышло распоряжение ГКО № 5070 о срочном обеспечении завода сырьем, материалами и топливом.</w:t>
      </w:r>
    </w:p>
    <w:p w14:paraId="4A6D4EC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(11.1945 г.)- 348 чел., (03.1946 г.)- 8360 чел.</w:t>
      </w:r>
    </w:p>
    <w:p w14:paraId="5E7545F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Волков.</w:t>
      </w:r>
    </w:p>
    <w:p w14:paraId="540A35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Технический директор (1927-30 г.)- Б.Л. Ванников.</w:t>
      </w:r>
    </w:p>
    <w:p w14:paraId="26A30F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120-мм мины (-1942-44-) (11982).</w:t>
      </w:r>
    </w:p>
    <w:p w14:paraId="5883E2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9C3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3.06.1942г. приказом НКМВ № 250с завод «Готовальня» НКМВ переименован в завод № 843 в ведении 5ГУ (Завод № 843 НКМВ , Лакокрасочная фабрика, Завод чертежных принадлежностей «Готовальня» НКМВ, ММиП, ЗАО «Готовальня» /г. Москва, 23 ул. Электрозаводская, 52 «Ось» (1948г.)/ /105023 г. Москва ул. Электрозаводская, 52/).</w:t>
      </w:r>
    </w:p>
    <w:p w14:paraId="63E478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Производил литье под давлением заготовок для боеприпасов, выпускал детали для ППШ (1942г.). Пост. ГКО № 1962сс от 4.07.1942г. и приказом НКМВ № 237сс от 7.07.1942г. заводу установлен план выпуска на 3-й квартал 1942г. квадрантов- 19500 шт.</w:t>
      </w:r>
    </w:p>
    <w:p w14:paraId="4EE0F9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завод «Готовальня» - в ведении Главмервеспрома ММиП.</w:t>
      </w:r>
    </w:p>
    <w:p w14:paraId="27C245D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автоматно-револьверный, фрезерный, литейный, сборочный, футлярный, отделочный, механо-сборочный; вспомогательные: инструментальный, ремонтный, котельная.</w:t>
      </w:r>
    </w:p>
    <w:p w14:paraId="62FE6E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выпускал канцелярские товары (линейки, угольники, скрепки, тубусы), чертежные принадлежности (циркули, готовальни).</w:t>
      </w:r>
    </w:p>
    <w:p w14:paraId="55CFAE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1990-х г. завод ликвидирован, на его месте образован офисный центр.</w:t>
      </w:r>
    </w:p>
    <w:p w14:paraId="1B531D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(1939г.)- 198 ед., (1946г.)- 350 ед., (1947г.)- 419 ед.</w:t>
      </w:r>
    </w:p>
    <w:p w14:paraId="5E98E5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(1947г.)- 0,4 га; застройки (1947г.)- 2665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(1939г.)- 2600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(1946- 47г.)- 3930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2AA92C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(1939г.)- 724 чел., (1946г.)- 678 чел., (1947г.)- 663 чел.</w:t>
      </w:r>
    </w:p>
    <w:p w14:paraId="3709E7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(-06.1942-48г.-)- Абрамовский.</w:t>
      </w:r>
    </w:p>
    <w:p w14:paraId="11FB2C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Кац.</w:t>
      </w:r>
    </w:p>
    <w:p w14:paraId="6BEC8E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 (1941г.)- Н.П. Трындин.</w:t>
      </w:r>
    </w:p>
    <w:p w14:paraId="6D18600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детали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М-13, квадранты (1942); готовальни Г-7, -10, -13, -14, № 117, 119, 112; весы «Пурка» ПХ, замок ЗЧП типа </w:t>
      </w:r>
      <w:r w:rsidRPr="00722885">
        <w:rPr>
          <w:rFonts w:ascii="Times New Roman" w:hAnsi="Times New Roman"/>
          <w:color w:val="000000" w:themeColor="text1"/>
          <w:sz w:val="16"/>
          <w:szCs w:val="16"/>
          <w:lang w:val="en-US"/>
        </w:rPr>
        <w:t>Link</w:t>
      </w:r>
      <w:r w:rsidRPr="00722885">
        <w:rPr>
          <w:rFonts w:ascii="Times New Roman" w:hAnsi="Times New Roman"/>
          <w:color w:val="000000" w:themeColor="text1"/>
          <w:sz w:val="16"/>
          <w:szCs w:val="16"/>
        </w:rPr>
        <w:t xml:space="preserve"> (1947) (11982).</w:t>
      </w:r>
      <w:r w:rsidRPr="00722885">
        <w:rPr>
          <w:rFonts w:ascii="Times New Roman" w:hAnsi="Times New Roman"/>
          <w:color w:val="000000" w:themeColor="text1"/>
          <w:sz w:val="16"/>
          <w:szCs w:val="16"/>
          <w:vertAlign w:val="superscript"/>
        </w:rPr>
        <w:t>129</w:t>
      </w:r>
    </w:p>
    <w:p w14:paraId="5B2969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8963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3.06.1942г. приказом НКМВ № 250с завод «Металлометр» НКМВ переименован в завод № 844 в ведении 5ГУ (Завод № 844 НКМВ, Завод «Металлометр» НКМВ /г. Ленинград/) (11982).</w:t>
      </w:r>
      <w:r w:rsidRPr="00722885">
        <w:rPr>
          <w:rFonts w:ascii="Times New Roman" w:hAnsi="Times New Roman"/>
          <w:color w:val="000000" w:themeColor="text1"/>
          <w:sz w:val="16"/>
          <w:szCs w:val="16"/>
          <w:vertAlign w:val="superscript"/>
        </w:rPr>
        <w:t>129</w:t>
      </w:r>
    </w:p>
    <w:p w14:paraId="6A66C7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32E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3.06.1942г. приказом НКМВ № 250с 1-й часовой завод в Москве НКМВ переименован в завод № 845 в ведении 5ГУ (Завод № 845 ИМ. С.М. Кирова НКМВ, 1-й Государственный часовой завод им. С.М. Кирова, 1-й часовой завод НКМВ, 1-й Московский часовой завод им. С.М. Кирова ММиП, ОАО «1-й часовой завод» /г. Москва, 4 ул. Воронцовская, 35А «Минута» (1948г.)/ /109147 г. Москва ул. Марксистская, 34 тел. 276-47-07/).</w:t>
      </w:r>
      <w:r w:rsidRPr="00722885">
        <w:rPr>
          <w:rFonts w:ascii="Times New Roman" w:hAnsi="Times New Roman"/>
          <w:color w:val="000000" w:themeColor="text1"/>
          <w:sz w:val="16"/>
          <w:szCs w:val="16"/>
          <w:vertAlign w:val="superscript"/>
        </w:rPr>
        <w:t>129</w:t>
      </w:r>
    </w:p>
    <w:p w14:paraId="6EE0F7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1-й московский часовой завод им. Кирова - в ведении Главчаспрома ММиП.</w:t>
      </w:r>
    </w:p>
    <w:p w14:paraId="47749B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цехи (1947г.): основные: 1-й и 2-й сборочный, 1-й и 2-й механический, мелких серий, автоматный, гальванический, прессовый, платино-корпусной, ходовой, станкостроения, ширпотреба; вспомогательные: строительный, заготовительный, инструментальный, ремонтный.</w:t>
      </w:r>
    </w:p>
    <w:p w14:paraId="5F861A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ОАО было в 2005г. К 2010г. завод прекратил существование.</w:t>
      </w:r>
    </w:p>
    <w:p w14:paraId="36B6D0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(2002г.): хронометры и запчасти к ним.</w:t>
      </w:r>
    </w:p>
    <w:p w14:paraId="1E61CB5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(1939г.)- 1416 ед., (1946г.)- 1270 ед., (1947г.)- 1640 ед.</w:t>
      </w:r>
    </w:p>
    <w:p w14:paraId="28C30A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(1947г.)- 17,5 га; застройки (1947г.)- 5905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(1939-47г.)- 14072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5D662E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(1939г.)- 3515 чел., (1946г.)- 1906 чел., (1947г.)- 2199 чел., (2002г.)- 1800 чел.</w:t>
      </w:r>
    </w:p>
    <w:p w14:paraId="340851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Кочнев, (1948г.)- Матвеев. Гендиректор (-2000-05г.-)- С.Б. Ксенофонтов.</w:t>
      </w:r>
    </w:p>
    <w:p w14:paraId="3E1EC0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Калганов, (2002г.)- М.В. Бакланов.</w:t>
      </w:r>
      <w:r w:rsidRPr="00722885">
        <w:rPr>
          <w:rFonts w:ascii="Times New Roman" w:hAnsi="Times New Roman"/>
          <w:color w:val="000000" w:themeColor="text1"/>
          <w:sz w:val="16"/>
          <w:szCs w:val="16"/>
          <w:vertAlign w:val="superscript"/>
        </w:rPr>
        <w:t>69</w:t>
      </w:r>
    </w:p>
    <w:p w14:paraId="3CC24B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часы:</w:t>
      </w:r>
      <w:r w:rsidRPr="00722885">
        <w:rPr>
          <w:rFonts w:ascii="Times New Roman" w:hAnsi="Times New Roman"/>
          <w:color w:val="000000" w:themeColor="text1"/>
          <w:sz w:val="16"/>
          <w:szCs w:val="16"/>
        </w:rPr>
        <w:t xml:space="preserve"> авиационные: АЧХ (1934-41; 1943-), АВР (-1935-42-), АЧ, АЧО, АЧХО (-1936-47-), АЧБ (1936), АВРМ (1943-47-), АЧХОП (1947); ЧСМ (1939), ручные АНЧС, «Победа» (1947-), карманные, каминные, автомобильные 1ЧТ, Ч2Т, морской хронометр </w:t>
      </w:r>
      <w:r w:rsidRPr="00722885">
        <w:rPr>
          <w:rFonts w:ascii="Times New Roman" w:hAnsi="Times New Roman"/>
          <w:color w:val="000000" w:themeColor="text1"/>
          <w:sz w:val="16"/>
          <w:szCs w:val="16"/>
          <w:lang w:val="en-US"/>
        </w:rPr>
        <w:t>MX</w:t>
      </w:r>
      <w:r w:rsidRPr="00722885">
        <w:rPr>
          <w:rFonts w:ascii="Times New Roman" w:hAnsi="Times New Roman"/>
          <w:color w:val="000000" w:themeColor="text1"/>
          <w:sz w:val="16"/>
          <w:szCs w:val="16"/>
        </w:rPr>
        <w:t xml:space="preserve"> (1947); секундомеры (1942); тахометр «Хаслер» (1938); взрыватели «МП», детали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М-13 (1942); газовый счетчик (1947) (11982).</w:t>
      </w:r>
      <w:r w:rsidRPr="00722885">
        <w:rPr>
          <w:rFonts w:ascii="Times New Roman" w:hAnsi="Times New Roman"/>
          <w:color w:val="000000" w:themeColor="text1"/>
          <w:sz w:val="16"/>
          <w:szCs w:val="16"/>
          <w:vertAlign w:val="superscript"/>
        </w:rPr>
        <w:t>129</w:t>
      </w:r>
    </w:p>
    <w:p w14:paraId="04C784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259A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3.06.1942г. и приказом НКМВ № 250с 2-й часовой завод в Москве НКМВ переименован в завод № 853 в ведении 5ГУ (Завод № 853 НКМВ, 2-й Московский часовой завод ММиП, Второй Государственный часовой завод (ВЧЗ), завод «Слава», Московское ОАО (МОАО) «Слава» /г. Москва, 40 Ленинградское ш., 10 «Мосчасдва» (1948г.)/ /125040 г. Москва Ленинградский пр., 8 тел. 251-29-37/ /производство № 1: г. Москва Научный пр-д, 20 стр. 1-9 тел. 332-83-11 (2002г.)/).</w:t>
      </w:r>
      <w:r w:rsidRPr="00722885">
        <w:rPr>
          <w:rFonts w:ascii="Times New Roman" w:hAnsi="Times New Roman"/>
          <w:color w:val="000000" w:themeColor="text1"/>
          <w:sz w:val="16"/>
          <w:szCs w:val="16"/>
          <w:vertAlign w:val="superscript"/>
        </w:rPr>
        <w:t>129</w:t>
      </w:r>
    </w:p>
    <w:p w14:paraId="3EB7DF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НКМВ № 203сс от 7.06.1942г. с Златоустовского часового завода в Москву на 1-й и 2-й часовые заводы возвращено 30 станков. Пост. ГКО № 1962сс от 4.07.1942г. и приказом НКМВ № 237сс от 7.07.1942г. заводу установлен план выпуска на 3-й квартал 1942г.: прицелов к 50-мм минометам- 12 тыс. шт.; угломеров- квадрантов к 82-мм минометам- 7800 шт. В годы войны в Москве налажен выпуск часов К-43, выпускалось по 3000-3500 шт. в год. Решением ГКО в 1945г. заводу поручено освоение карманных часов «Салют», выпуск К-43 прекращен.</w:t>
      </w:r>
    </w:p>
    <w:p w14:paraId="2F02909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2-й московский часовой завод - в ведении Главчаспрома ММиП.</w:t>
      </w:r>
    </w:p>
    <w:p w14:paraId="1071DBB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будильников, прессовый, станкостроительный, гальванический, маятников часов, автоматный, 1-й, 2-й, 3-й, 4-й, 5-й механический, 2-й и 14-й сборочный, опытный; вспомогательные: ширпотреба, ремонтный, электроремонтный, инструментальный.</w:t>
      </w:r>
    </w:p>
    <w:p w14:paraId="7B0662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вновь налажен выпуск часов: карманных, женских наручных, настольных. Во второй половине 1950-х г. освоено производство женских наручных часов «Слава», малогабаритных будильников, секундомеров, электронно-механических часов и наручных камертонных. Затем освоен выпуск мужских наручных часов с одинарным и двойным календарем, автоподзаводом. В начале 1970-х г. созданы первые советские кварцевые часы.</w:t>
      </w:r>
    </w:p>
    <w:p w14:paraId="3F1001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часов (2005г.): механических и кварцевых будильников, мужских механических наручных «Слава»; настенных, настольных и сувенирных.</w:t>
      </w:r>
    </w:p>
    <w:p w14:paraId="64225F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ОАО «Слава» было в 2004г. Завод имел производственный корпус площадью 80 тыс.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на Ленинградском пр. и площадку в 2,8 га на Научном пр. (производство № 1; площадь- 8500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 2005г. планировалось все производственные мощности с Ленинградского пр. перевести на Научный пр., производство часов прекратить. 13.02.2008г. вышло распоряжение правительства Москвы № 276-РП «О мероприятиях по освобождению от производственного использования и градостроительной реабилитации территории МО АО «Слава».</w:t>
      </w:r>
    </w:p>
    <w:p w14:paraId="15A760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(1946г.)- 1048 ед., (1947г.)- 1546 ед.</w:t>
      </w:r>
    </w:p>
    <w:p w14:paraId="5138A7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(1948г.)- 2,089 га; застройки (1948г.)- 11528 (в т.ч. жилые здания 1734м)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(1946-47г.)- 19150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0580D6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(1939г.)- 3534 чел., (1946г.)- 2015 чел., (1947г.)- 2401 чел.</w:t>
      </w:r>
    </w:p>
    <w:p w14:paraId="3AB9118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Виноградов, (1948г.)- Буторин. Гендиректор (-2000-02г.-)- В.М. Королев.</w:t>
      </w:r>
    </w:p>
    <w:p w14:paraId="68E332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С.Б. Ривкин.</w:t>
      </w:r>
    </w:p>
    <w:p w14:paraId="6F144D8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Галлай.</w:t>
      </w:r>
    </w:p>
    <w:p w14:paraId="78EE50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часы:</w:t>
      </w:r>
      <w:r w:rsidRPr="00722885">
        <w:rPr>
          <w:rFonts w:ascii="Times New Roman" w:hAnsi="Times New Roman"/>
          <w:color w:val="000000" w:themeColor="text1"/>
          <w:sz w:val="16"/>
          <w:szCs w:val="16"/>
        </w:rPr>
        <w:t xml:space="preserve"> карманные К-46 (1935-), К-43 (1936-41; 1942-45), «Салют» (1945-47-); «Победа» (1940- е); женские наручные «Эра» (1940-е), «Слава» (1950-е); будильники Б-6, Б-8; стенные М; настольные НЧ-5, -8, 6; шахматные ШЧ (1947);</w:t>
      </w:r>
      <w:r w:rsidRPr="00722885">
        <w:rPr>
          <w:rFonts w:ascii="Times New Roman" w:hAnsi="Times New Roman"/>
          <w:color w:val="000000" w:themeColor="text1"/>
          <w:sz w:val="16"/>
          <w:szCs w:val="16"/>
          <w:vertAlign w:val="superscript"/>
        </w:rPr>
        <w:t>129</w:t>
      </w:r>
      <w:r w:rsidRPr="00722885">
        <w:rPr>
          <w:rFonts w:ascii="Times New Roman" w:hAnsi="Times New Roman"/>
          <w:color w:val="000000" w:themeColor="text1"/>
          <w:sz w:val="16"/>
          <w:szCs w:val="16"/>
        </w:rPr>
        <w:t xml:space="preserve"> часовые механизмы для мин и глубинных бомб (1939); детали для ППШ,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М-13, взрыватели «МП», прицелы к 50-мм минометам, угломеры-квадранты к 82-мм минометам (1942).</w:t>
      </w:r>
    </w:p>
    <w:p w14:paraId="6989101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часового станкостроения</w:t>
      </w:r>
    </w:p>
    <w:p w14:paraId="4A3B64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Москва Научный пр-д, 20 тел. 332-88-66/</w:t>
      </w:r>
    </w:p>
    <w:p w14:paraId="637CFF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станков и технологических линий для часовой промышленности. В 1990-х г. - разработка автоматизированных линий по розливу напитков.</w:t>
      </w:r>
    </w:p>
    <w:p w14:paraId="4D69B1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(2000г.)- А.А. Струков. Гендиректор (-30.09.2005г.)- Е. Вайсман (убит) (11982).</w:t>
      </w:r>
    </w:p>
    <w:p w14:paraId="6ABE9B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613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приказом НКМВ № 250с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722885">
        <w:rPr>
          <w:rFonts w:ascii="Times New Roman" w:hAnsi="Times New Roman"/>
          <w:color w:val="000000" w:themeColor="text1"/>
          <w:sz w:val="16"/>
          <w:szCs w:val="16"/>
          <w:vertAlign w:val="superscript"/>
        </w:rPr>
        <w:t>129</w:t>
      </w:r>
    </w:p>
    <w:p w14:paraId="5A40AD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1946г. завод перепрофилирован на выпуск электрических часов и переименован в ЭЧЛ в ведении Главчаспрома ММиП (и на 01.1948г.). Упоминается также название </w:t>
      </w:r>
      <w:r w:rsidRPr="00722885">
        <w:rPr>
          <w:rFonts w:ascii="Times New Roman" w:hAnsi="Times New Roman"/>
          <w:color w:val="000000" w:themeColor="text1"/>
          <w:sz w:val="16"/>
          <w:szCs w:val="16"/>
        </w:rPr>
        <w:lastRenderedPageBreak/>
        <w:t>-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7E4BFD6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444561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722885">
        <w:rPr>
          <w:rFonts w:ascii="Times New Roman" w:hAnsi="Times New Roman"/>
          <w:color w:val="000000" w:themeColor="text1"/>
          <w:sz w:val="16"/>
          <w:szCs w:val="16"/>
          <w:vertAlign w:val="superscript"/>
        </w:rPr>
        <w:t>ь 1</w:t>
      </w:r>
    </w:p>
    <w:p w14:paraId="34C16D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(1946г.)- 149 ед., (1947г.)- 307 ед. Площадь: территории (1947г.)- 0,56 га; застройки (1947г.)- 2868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B9D91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производственная (1946-47г.)- 5291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Численность персонала: (1946г.)- 436 чел., (1947г.)- 499 чел. Директор (1948г.)- Саранчук. Гл. инженер (1948г.)- Былимов.</w:t>
      </w:r>
    </w:p>
    <w:p w14:paraId="66E317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электрические часы:</w:t>
      </w:r>
      <w:r w:rsidRPr="00722885">
        <w:rPr>
          <w:rFonts w:ascii="Times New Roman" w:hAnsi="Times New Roman"/>
          <w:color w:val="000000" w:themeColor="text1"/>
          <w:sz w:val="16"/>
          <w:szCs w:val="16"/>
        </w:rPr>
        <w:t xml:space="preserve"> первичные ЭПЧ, вторичные </w:t>
      </w:r>
      <w:r w:rsidRPr="00722885">
        <w:rPr>
          <w:rFonts w:ascii="Times New Roman" w:hAnsi="Times New Roman"/>
          <w:color w:val="000000" w:themeColor="text1"/>
          <w:sz w:val="16"/>
          <w:szCs w:val="16"/>
          <w:lang w:val="en-US"/>
        </w:rPr>
        <w:t>IK</w:t>
      </w:r>
      <w:r w:rsidRPr="00722885">
        <w:rPr>
          <w:rFonts w:ascii="Times New Roman" w:hAnsi="Times New Roman"/>
          <w:color w:val="000000" w:themeColor="text1"/>
          <w:sz w:val="16"/>
          <w:szCs w:val="16"/>
        </w:rPr>
        <w:t xml:space="preserve">, 1КХ, 2КХ, 8К, 8КД, 9К, 9КД, 4КГ, 5КГ, 6К, ЗК; АТО, сигнальные; реле РПУ, реле мощное РМ, кенотронный выпрямитель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 водомер ВКУ (1947) (11982).</w:t>
      </w:r>
      <w:r w:rsidRPr="00722885">
        <w:rPr>
          <w:rFonts w:ascii="Times New Roman" w:hAnsi="Times New Roman"/>
          <w:color w:val="000000" w:themeColor="text1"/>
          <w:sz w:val="16"/>
          <w:szCs w:val="16"/>
          <w:vertAlign w:val="superscript"/>
        </w:rPr>
        <w:t>129</w:t>
      </w:r>
    </w:p>
    <w:p w14:paraId="30FF6D3B"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E43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приказом НКМВ № 250с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722885">
        <w:rPr>
          <w:rFonts w:ascii="Times New Roman" w:hAnsi="Times New Roman"/>
          <w:color w:val="000000" w:themeColor="text1"/>
          <w:sz w:val="16"/>
          <w:szCs w:val="16"/>
          <w:vertAlign w:val="superscript"/>
        </w:rPr>
        <w:t>129</w:t>
      </w:r>
    </w:p>
    <w:p w14:paraId="084A1C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1E2E8F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7B3E1D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722885">
        <w:rPr>
          <w:rFonts w:ascii="Times New Roman" w:hAnsi="Times New Roman"/>
          <w:color w:val="000000" w:themeColor="text1"/>
          <w:sz w:val="16"/>
          <w:szCs w:val="16"/>
          <w:vertAlign w:val="superscript"/>
        </w:rPr>
        <w:t>ь 1</w:t>
      </w:r>
    </w:p>
    <w:p w14:paraId="18F7EA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(1946г.)- 149 ед., (1947г.)- 307 ед. Площадь: территории (1947г.)- 0,56 га; застройки (1947г.)- 2868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9F562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производственная (1946-47г.)- 5291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Численность персонала: (1946г.)- 436 чел., (1947г.)- 499 чел. Директор (1948г.)- Саранчук. Гл. инженер (1948г.)- Былимов.</w:t>
      </w:r>
    </w:p>
    <w:p w14:paraId="55E1DB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электрические часы:</w:t>
      </w:r>
      <w:r w:rsidRPr="00722885">
        <w:rPr>
          <w:rFonts w:ascii="Times New Roman" w:hAnsi="Times New Roman"/>
          <w:color w:val="000000" w:themeColor="text1"/>
          <w:sz w:val="16"/>
          <w:szCs w:val="16"/>
        </w:rPr>
        <w:t xml:space="preserve"> первичные ЭПЧ, вторичные </w:t>
      </w:r>
      <w:r w:rsidRPr="00722885">
        <w:rPr>
          <w:rFonts w:ascii="Times New Roman" w:hAnsi="Times New Roman"/>
          <w:color w:val="000000" w:themeColor="text1"/>
          <w:sz w:val="16"/>
          <w:szCs w:val="16"/>
          <w:lang w:val="en-US"/>
        </w:rPr>
        <w:t>IK</w:t>
      </w:r>
      <w:r w:rsidRPr="00722885">
        <w:rPr>
          <w:rFonts w:ascii="Times New Roman" w:hAnsi="Times New Roman"/>
          <w:color w:val="000000" w:themeColor="text1"/>
          <w:sz w:val="16"/>
          <w:szCs w:val="16"/>
        </w:rPr>
        <w:t xml:space="preserve">, 1КХ, 2КХ, 8К, 8КД, 9К, 9КД, 4КГ, 5КГ, 6К, ЗК; АТО, сигнальные; реле РПУ, реле мощное РМ, кенотронный выпрямитель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 водомер ВКУ (1947) (11982).</w:t>
      </w:r>
      <w:r w:rsidRPr="00722885">
        <w:rPr>
          <w:rFonts w:ascii="Times New Roman" w:hAnsi="Times New Roman"/>
          <w:color w:val="000000" w:themeColor="text1"/>
          <w:sz w:val="16"/>
          <w:szCs w:val="16"/>
          <w:vertAlign w:val="superscript"/>
        </w:rPr>
        <w:t>129</w:t>
      </w:r>
    </w:p>
    <w:p w14:paraId="54B41AFD"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7C31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3.06.1942г. приказом НКМВ № 250с ДОЗ НКМВ был переименован в завод № 847 в ведении ЗГУ (Завод № 847 НКМВ, 1-я Государственная фабрика образцов, Деревообделочный завод (ДОЗ) НКТП, НКОП, НКМВ, Московский деревообделочный завод (ДОЗ) ММиП, Московский завод художественных часов /г. Москва ул. Б. Семеновская, 11 «ДОЗ Главчаспрома» (1948г.)/ /г. Москва ул. Б. Семеновская, 11 тел. 268-63-36/).</w:t>
      </w:r>
    </w:p>
    <w:p w14:paraId="638E7F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1941г. основное оборудование было эвакуировано в Чистополь, где продолжало оставаться на 1948г., хотя сам завод в это время действовал в Москве.</w:t>
      </w:r>
    </w:p>
    <w:p w14:paraId="6CB5946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ДОЗ - в ведении Главчаспрома ММиП.</w:t>
      </w:r>
    </w:p>
    <w:p w14:paraId="0D0BAD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цехи (1947г.): основные: лесосушилка № 1, машинно-заготовительный № 2, столярно- сборочный № 3, лакировочный № 5; вспомогательные: ремонтно-механический № 6, электроцех № 7.</w:t>
      </w:r>
    </w:p>
    <w:p w14:paraId="140FD9F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2000г. - Московский завод художественных часов.</w:t>
      </w:r>
    </w:p>
    <w:p w14:paraId="3F29BD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(1946г.)- 104 ед., (1947г.)-147 ед.</w:t>
      </w:r>
    </w:p>
    <w:p w14:paraId="3F5AE9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(1947г.)- 1,075 га; застройки (1947г.)- 5120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(1939г.)- 5647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(1946-47г.)-4215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1DC4597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(1939г.)-693 чел., (1946-47г.)- 402 чел.</w:t>
      </w:r>
    </w:p>
    <w:p w14:paraId="10A7D6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(1948г.)- А. Павлов. Гендиректор (2000г.)- Е.И. Спиридонов.</w:t>
      </w:r>
    </w:p>
    <w:p w14:paraId="11D381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Володаев.</w:t>
      </w:r>
      <w:r w:rsidRPr="00722885">
        <w:rPr>
          <w:rFonts w:ascii="Times New Roman" w:hAnsi="Times New Roman"/>
          <w:color w:val="000000" w:themeColor="text1"/>
          <w:sz w:val="16"/>
          <w:szCs w:val="16"/>
          <w:vertAlign w:val="superscript"/>
        </w:rPr>
        <w:t>129</w:t>
      </w:r>
    </w:p>
    <w:p w14:paraId="7A0DE9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детали для ППШ (1942); футляры для часов: электрических, маятниковых, настольных, шахматных, морских хронометров (1947).</w:t>
      </w:r>
    </w:p>
    <w:p w14:paraId="02C06F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72D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правительства № 837-430сс от 3.06.1942г. приказом НКМВ № 250с Завод фильтрующих приборов НКМВ переименован в завод № 849 в ведении 1ГУ (Завод № 849 НКМВ, завод «Красный ореховец», Завод № 4, Завод фильтрующих приборов НКМВ, Орехово-Зуевский весовой завод ММиП, Орехово-Зуевский специализированный завод «Прибордеталь», ОАО «Прибордеталь» /142602 г. Орехово-Зуево Московской обл. Ликинское ш., 4 «Шатун»/).</w:t>
      </w:r>
    </w:p>
    <w:p w14:paraId="160936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1946г. завод перепрофилирован на выпуск весоизмерительных приборов и переименован в Весовой завод, в 1947-48г. - в ведении Главмервеспрома ММиП. С 1957г. - Орехово-Зуевский специализированный завод «Прибордеталь».</w:t>
      </w:r>
    </w:p>
    <w:p w14:paraId="7A7DB6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литейный, механический, сборочный, заготовительный; вспомогательные: инструментальный, ремонтный, лаборатория, котельная, строительный.</w:t>
      </w:r>
    </w:p>
    <w:p w14:paraId="43DCB2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1992г. завод преобразован в АО.</w:t>
      </w:r>
    </w:p>
    <w:p w14:paraId="04C8C69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(1990-е)- более 300 единиц, в т.ч. 18 автоматов и полуавтоматических станков.</w:t>
      </w:r>
    </w:p>
    <w:p w14:paraId="2577C4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(1990-е): весы: медицинские, почтовые, счетные, бытовые; ограничители грузоподъемности, автоматические дозаторы дистанционного управления; щитки для защиты картера двигателя легковых автомобилей; пилы-ножовки; лыжные крепления.</w:t>
      </w:r>
    </w:p>
    <w:p w14:paraId="7EBF47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(1939г.)- 117 ед., (1946г.)- 143 ед., (1947г.)-190 ед.</w:t>
      </w:r>
    </w:p>
    <w:p w14:paraId="0B2CB2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(1947г.)- 4,8 га; застройки (1947г.)- 6394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(1939г.)- 2763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(1946г.)- 3060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(1947г.)- 4037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CC7BF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(1913г.)- около 200 чел., (1917г.)- около 130 чел., (1939г.)- 390 чел., (1946г.)- 495 чел., (1947г.)- 463 чел., (1990-е)- около 350 чел. Директор (1948г.)- Огурцов. Гл. инженер (1948г.)- Гордон.</w:t>
      </w:r>
    </w:p>
    <w:p w14:paraId="2618A7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весы:</w:t>
      </w:r>
      <w:r w:rsidRPr="00722885">
        <w:rPr>
          <w:rFonts w:ascii="Times New Roman" w:hAnsi="Times New Roman"/>
          <w:color w:val="000000" w:themeColor="text1"/>
          <w:sz w:val="16"/>
          <w:szCs w:val="16"/>
        </w:rPr>
        <w:t xml:space="preserve"> посылочные ТП-50, медицинские М150, детские ВО-20, для масла МЖ-50, счетные, гири (1947) (11982).</w:t>
      </w:r>
      <w:r w:rsidRPr="00722885">
        <w:rPr>
          <w:rFonts w:ascii="Times New Roman" w:hAnsi="Times New Roman"/>
          <w:color w:val="000000" w:themeColor="text1"/>
          <w:sz w:val="16"/>
          <w:szCs w:val="16"/>
          <w:vertAlign w:val="superscript"/>
        </w:rPr>
        <w:t>129</w:t>
      </w:r>
    </w:p>
    <w:p w14:paraId="1AE948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BDF2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завод № 846 в соответствии с пост. СНК № 837-430сс от 3.06.1942г. приказом НКМВ № 250с передан в ведение 5ГУ (Завод № 846 НКМВ, Завод «Арматура» НКОМ, НКМВ, Московский экспериментальный завод химического машиностроения (МЭЗХМ) ММиП, Экспериментальный завод химического машиностроения ММиП, ОАО «МЭЗХМ» /г. Москва ул. Панская, 14 «Вентиль» (1948г.)/ /127015 г. Москва ул. Б. Новодмитровская, 14А тел. 285-67-05/).</w:t>
      </w:r>
      <w:r w:rsidRPr="00722885">
        <w:rPr>
          <w:rFonts w:ascii="Times New Roman" w:hAnsi="Times New Roman"/>
          <w:color w:val="000000" w:themeColor="text1"/>
          <w:sz w:val="16"/>
          <w:szCs w:val="16"/>
          <w:vertAlign w:val="superscript"/>
        </w:rPr>
        <w:t>129</w:t>
      </w:r>
    </w:p>
    <w:p w14:paraId="652C82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«Арматура» НКОМ располагался возле ст. Товарная-Бутырская рядом с Заводом им. КПГ НКОМ.</w:t>
      </w:r>
    </w:p>
    <w:p w14:paraId="779D36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1940г. при передаче Завода им. КПГ в НКАП его литейный цех был передан заводу «Арматура».</w:t>
      </w:r>
    </w:p>
    <w:p w14:paraId="653945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1941г. завод эвакуирован в Барнаул (прибыл в 12.1941г.), где на его базе создан завод № 839 НКМВ; часть оборудования эвакуирована в г. Ирбит.</w:t>
      </w:r>
    </w:p>
    <w:p w14:paraId="613C44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1942г. в Москве вновь организован завод «Арматура» НКМВ, в 05.1942г. завод № 846 - в ведении Главприбора НКМВ.</w:t>
      </w:r>
    </w:p>
    <w:p w14:paraId="602387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1909сс от 16.06.1942г. и приказом НКМВ № 225сс от 23.06.1942г. на заводе организовано производство редукторов для корабельной дымаппаратуры.</w:t>
      </w:r>
    </w:p>
    <w:p w14:paraId="4E1D8C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1947г. завод - в ведении Главхиммаша ММиП.</w:t>
      </w:r>
    </w:p>
    <w:p w14:paraId="5EB633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(1947г.) цехи: основные: литейный, механический, слесарно-механический, слесарно- сборочный, гальванический; вспомогательные: ремонтный, строительный, электроцех, котельная.</w:t>
      </w:r>
    </w:p>
    <w:p w14:paraId="0EF2F4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(1946г.)- 347 ед., (1947г.)- 308 ед.</w:t>
      </w:r>
    </w:p>
    <w:p w14:paraId="199B81F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(1947г.)- 2,3 га; застройки (1947г.)- 11160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(1946г.)- 7255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(1947г.)- 7255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DD586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(1946г.)- 1140 чел., (1947г.)- 1084 чел.</w:t>
      </w:r>
    </w:p>
    <w:p w14:paraId="03985E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Чувашов, (1942г.)- Н.А. Доллежаль, (1948г.)- В. Манин. Гендиректор (2000г.)- А.И. Лепеха.</w:t>
      </w:r>
    </w:p>
    <w:p w14:paraId="076CC3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(1943г.-)- М.П. Сергеев.</w:t>
      </w:r>
    </w:p>
    <w:p w14:paraId="729083B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ранцевый огнемет РОКС (1942); редуктор для дымаппаратуры РВ-12 (1942-); детали для ППИ1 (1942), детали для мин, корпуса снарядов, взрыватели к ним, огнеметы, металлические бочки. </w:t>
      </w:r>
    </w:p>
    <w:p w14:paraId="2D1A83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НИИ Химического машиностроения (НИИХиммаш) НКМВ, ММиП, ОАО «Свердловский НИИ Химического машиностроения» («СвердНИИхиммаш») Минатома /620010 г. Свердловск, г. Екатеринбург ул. Грибоедова, 32 тел. 27-43-03/</w:t>
      </w:r>
    </w:p>
    <w:p w14:paraId="6D3F85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НИИХиммаш создан на базе ЭКИХиммаша и Гипробумхиммаша. В 07.1942г. НИИХиммаш - в ведении Главхиммаша НКМВ (сначала, в 12.1941г., планировалось </w:t>
      </w:r>
      <w:r w:rsidRPr="00722885">
        <w:rPr>
          <w:rFonts w:ascii="Times New Roman" w:hAnsi="Times New Roman"/>
          <w:color w:val="000000" w:themeColor="text1"/>
          <w:sz w:val="16"/>
          <w:szCs w:val="16"/>
        </w:rPr>
        <w:lastRenderedPageBreak/>
        <w:t>передать его в 2ГУ НКМВ как НИИ-2).</w:t>
      </w:r>
    </w:p>
    <w:p w14:paraId="38E4D5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НКМВ № 41 от 21.02.1943г. был организован Московский филиал НИИХиммаша, размещен в главном корпусе завода № 846 НКМВ.</w:t>
      </w:r>
    </w:p>
    <w:p w14:paraId="3DD32AA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1947г. НИИХИММАШ - в ведении Главхиммаша ММиП.</w:t>
      </w:r>
    </w:p>
    <w:p w14:paraId="6917A2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~1946г. институту поручено проектирование первого промышленного уран-графитового реактора «А» для комбината № 817.</w:t>
      </w:r>
    </w:p>
    <w:p w14:paraId="4ACBA3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начале 1950-х г. разработана конструкция ТВЭЛов </w:t>
      </w:r>
      <w:r w:rsidRPr="00722885">
        <w:rPr>
          <w:rFonts w:ascii="Times New Roman" w:hAnsi="Times New Roman"/>
          <w:color w:val="000000" w:themeColor="text1"/>
          <w:sz w:val="16"/>
          <w:szCs w:val="16"/>
          <w:lang w:val="en-US"/>
        </w:rPr>
        <w:t>AM</w:t>
      </w:r>
      <w:r w:rsidRPr="00722885">
        <w:rPr>
          <w:rFonts w:ascii="Times New Roman" w:hAnsi="Times New Roman"/>
          <w:color w:val="000000" w:themeColor="text1"/>
          <w:sz w:val="16"/>
          <w:szCs w:val="16"/>
        </w:rPr>
        <w:t xml:space="preserve"> для Обнинской АЭС, в 1950-е г. разработано и изготовлено оборудование для разделения изотопов лития на заводе № 12.</w:t>
      </w:r>
    </w:p>
    <w:p w14:paraId="01485F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1954г. при институте имелся опытный завод.</w:t>
      </w:r>
    </w:p>
    <w:p w14:paraId="507F4E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w:t>
      </w:r>
    </w:p>
    <w:p w14:paraId="3EF064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(1946г.)- Н.А. Доллежаль.</w:t>
      </w:r>
    </w:p>
    <w:p w14:paraId="2753CF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И.Я. Емельянов.</w:t>
      </w:r>
    </w:p>
    <w:p w14:paraId="55460B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(1946г.)- Н.А. Доллежаль (реактор «А»).</w:t>
      </w:r>
    </w:p>
    <w:p w14:paraId="7B3FB7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w:t>
      </w:r>
      <w:r w:rsidRPr="00722885">
        <w:rPr>
          <w:rFonts w:ascii="Times New Roman" w:hAnsi="Times New Roman"/>
          <w:color w:val="000000" w:themeColor="text1"/>
          <w:sz w:val="16"/>
          <w:szCs w:val="16"/>
        </w:rPr>
        <w:t xml:space="preserve"> опреснительная установка для Прикаспийского ГМЗ, автоклавные установки для переработки урановых руд;</w:t>
      </w:r>
      <w:r w:rsidRPr="00722885">
        <w:rPr>
          <w:rFonts w:ascii="Times New Roman" w:hAnsi="Times New Roman"/>
          <w:color w:val="000000" w:themeColor="text1"/>
          <w:sz w:val="16"/>
          <w:szCs w:val="16"/>
          <w:vertAlign w:val="superscript"/>
        </w:rPr>
        <w:t>70</w:t>
      </w:r>
      <w:r w:rsidRPr="00722885">
        <w:rPr>
          <w:rFonts w:ascii="Times New Roman" w:hAnsi="Times New Roman"/>
          <w:color w:val="000000" w:themeColor="text1"/>
          <w:sz w:val="16"/>
          <w:szCs w:val="16"/>
        </w:rPr>
        <w:t xml:space="preserve"> опреснительная установка «Каскад» (2005, совместно с ММ1111 «Салют»).</w:t>
      </w:r>
    </w:p>
    <w:p w14:paraId="566D99E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Экспериментальный институт химического машиностроения (ЭКИХиммаш)</w:t>
      </w:r>
    </w:p>
    <w:p w14:paraId="45B63F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Вошел в состав НИИХиммаша.</w:t>
      </w:r>
    </w:p>
    <w:p w14:paraId="7B9FE9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институт по проектированию предприятий бумажного и химического</w:t>
      </w:r>
    </w:p>
    <w:p w14:paraId="40C3C1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машиностроения («Гипробумхиммаш»)</w:t>
      </w:r>
    </w:p>
    <w:p w14:paraId="30EB93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Вошел в состав НИИХиммаша. Московский филиал НИИ Химического машиностроения, ОАО «Научно-исследовательский и конструкторский институт химического машиностроения» (НИИХИММАШ) /127015 г. Москва ул. Б. Новодмитровская, 14 685-56-74/</w:t>
      </w:r>
    </w:p>
    <w:p w14:paraId="588EFEE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Московский филиал НИИХиммаша создан по приказу НКМВ № 41 от 21.02.1943г. и размещен в главном корпусе завода № 846 НКМВ. Велась разработка ранцевого огнемета РОКС-2 конструкции Сергеева-Клюева (1943г.).</w:t>
      </w:r>
    </w:p>
    <w:p w14:paraId="00D647A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1952г. на базе КБ филиала создан самостоятельный НИИ-8.</w:t>
      </w:r>
    </w:p>
    <w:p w14:paraId="37869F3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(1943г.)- 71 чел.</w:t>
      </w:r>
    </w:p>
    <w:p w14:paraId="4295DB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(2000г.)- Н.М. Самсонов.</w:t>
      </w:r>
    </w:p>
    <w:p w14:paraId="0A0000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НИИ-8 ГКИАЭ, ФГУП «Научно-исследовательский и конструкторский институт энерготехники (НИКИЭТ) им. Н.А. Доллежаля» Росатома /107140 г. Москва ул. М. Красносельская, 2/8 а/я 788 тел. 263-73-13/</w:t>
      </w:r>
    </w:p>
    <w:p w14:paraId="3D310B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1952г. на базе КБ Московского филиала НИИХиммаш создан самостоятельный НИИ-8 для разработки ЯЭУ для первой советской атомной ПЛ К-3. В 1957г. НИИ-8- в ведении ГКИАЭ.</w:t>
      </w:r>
    </w:p>
    <w:p w14:paraId="1D8946B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 проект атомной паропроизводящей установки, рабочее проектирование передано в ОКБМ завода № 92.</w:t>
      </w:r>
    </w:p>
    <w:p w14:paraId="366B3B6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Здесь в 1952-53г. работала группа В.Н. Перегудова по эскизному проектированию АПЛ, затем переведена в СКБ-143. В 1957г. институту поручено разработать эскизный проект атомной паропроизводящей установки для крейсера пр. 63.</w:t>
      </w:r>
    </w:p>
    <w:p w14:paraId="4AD3364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Созданы ядерные реакторы для многих АЭС; 27 исследовательских реакторов в СССР и за рубежом. Производство оборудования для АЭС (1999г.). Разработаны системы глубокой очистки инертных газов для спецпроизводств. Создано оборудование для анестезиологии с использованием ксенона.</w:t>
      </w:r>
    </w:p>
    <w:p w14:paraId="23D674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правительства № 22-р от 9.01.2004г. вошло в перечень стратегических предприятий. В 12.2004г. - в ведении Управления атомной энергетики Росатома.</w:t>
      </w:r>
    </w:p>
    <w:p w14:paraId="7531AE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Институт являся головным (2000-е) по ядерной и радиационной безопасности при утилизации судов с ЯЭУ и экологической реабилитации радиационно-опасных объектов.</w:t>
      </w:r>
    </w:p>
    <w:p w14:paraId="0E0B59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Работы (2005г.): разработка и исследования: быстрый реактор естественной безопасности с жидкометаллическим теплоносителем (БРЕСТ); корпусной кипящий реактор с естественной циркуляцией теплоносителя ВК-300; усовершенствованный канальный реактор МКЭР; судовые и космические ЯЭУ; транспортабельные автономные АЭС для удаленных районов; исследовательские ректоры; комплексные АСУ ЯЭУ. Ведутся исследования в рамках международного проекта экспериментального термоядерного реактора (ИТЭР). Разрабатывается ядерная энергодвигательная установка для КА. Институту поручена разработка и монтаж торцевых адронных калориметров детектора </w:t>
      </w:r>
      <w:r w:rsidRPr="00722885">
        <w:rPr>
          <w:rFonts w:ascii="Times New Roman" w:hAnsi="Times New Roman"/>
          <w:color w:val="000000" w:themeColor="text1"/>
          <w:sz w:val="16"/>
          <w:szCs w:val="16"/>
          <w:lang w:val="en-US"/>
        </w:rPr>
        <w:t>CMS</w:t>
      </w:r>
      <w:r w:rsidRPr="00722885">
        <w:rPr>
          <w:rFonts w:ascii="Times New Roman" w:hAnsi="Times New Roman"/>
          <w:color w:val="000000" w:themeColor="text1"/>
          <w:sz w:val="16"/>
          <w:szCs w:val="16"/>
        </w:rPr>
        <w:t xml:space="preserve"> для лаборатории ЦЕРН (Швейцария).</w:t>
      </w:r>
    </w:p>
    <w:p w14:paraId="648655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Имеется экспериментальная база с теплофизическими стендами, стендами для испытания систем управления и защиты реактора.</w:t>
      </w:r>
    </w:p>
    <w:p w14:paraId="10865A7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(2005г.)- около 2000 чел.</w:t>
      </w:r>
    </w:p>
    <w:p w14:paraId="0D49FE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(1952-86г.)- академик НА. Доллежаль (уволен после Чернобыльской аварии), (1986-03.1998г.)- Е.О. Адамов (затем- министр Минатома), (1998-2005г.-)- Б.А. Габараев.</w:t>
      </w:r>
    </w:p>
    <w:p w14:paraId="6AAC71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(1955г.)- Н.А. Доллежаль (ВМ-А). Ген. конструктор (1986-03.1998г.)- Е.О. Адамов.</w:t>
      </w:r>
    </w:p>
    <w:p w14:paraId="7499DC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Научный руководитель (1952г.-)- Н.А. Доллежаль, (03.2001-05г.-)- Е.О. Адамов. Директор по НИОКР (2005г.)- В. Аден.</w:t>
      </w:r>
      <w:r w:rsidRPr="00722885">
        <w:rPr>
          <w:rFonts w:ascii="Times New Roman" w:hAnsi="Times New Roman"/>
          <w:color w:val="000000" w:themeColor="text1"/>
          <w:sz w:val="16"/>
          <w:szCs w:val="16"/>
          <w:vertAlign w:val="superscript"/>
        </w:rPr>
        <w:t>101</w:t>
      </w:r>
    </w:p>
    <w:p w14:paraId="4DB17A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 ядерные реакторы:</w:t>
      </w:r>
      <w:r w:rsidRPr="00722885">
        <w:rPr>
          <w:rFonts w:ascii="Times New Roman" w:hAnsi="Times New Roman"/>
          <w:color w:val="000000" w:themeColor="text1"/>
          <w:sz w:val="16"/>
          <w:szCs w:val="16"/>
        </w:rPr>
        <w:t xml:space="preserve"> ВМ-А для первой АПЛ К-3, для Обнинской АЭС, энергетический для Сибирской АЭС, для Белоярской АЭС, РБМК для Ленинградской, Курской, Чернобыльской, Смоленской, Ингалинской АЭС (11982).</w:t>
      </w:r>
    </w:p>
    <w:p w14:paraId="2CAFD0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61C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правительства № 837-430сс от 3.06.1942 г. Каменский завод сельхозмашин НКМВ переименован в завод № 704 в ведении 1 ГУ (Завод № 704 НКМВ , Каменский завод сельскохозяйственных машин НКМВ, ГС завод сельскохозяйственного машиностроения «Белинсксельмаш», ЗАО «Белинсксельмаш» /ст. Белинская/ /442246  г. Каменка Пензенской обл. ул. Чернышевского, 1 тел. (84156) 2-22-01/).</w:t>
      </w:r>
    </w:p>
    <w:p w14:paraId="69D1BA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специализировался на производстве сеялок. В 1950-53 г. выпущено более 60 тыс. сеялок. С 1953 г. начато производство картофелесажалок. Единственный в РСФСР завод по выпуску' картофелепосадочных машин (1960-е  г.).</w:t>
      </w:r>
    </w:p>
    <w:p w14:paraId="2DF97B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разработки новых образцов техники при заводе создано собственное КБ.</w:t>
      </w:r>
    </w:p>
    <w:p w14:paraId="56F1D3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2001 г. до 11.2004 г. входил в группу МАИР, затем продан АО «Красная звезда».</w:t>
      </w:r>
    </w:p>
    <w:p w14:paraId="164017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(08.1941 г.)- менее 200 чел., (03.1946 г.)- 1655 чел.</w:t>
      </w:r>
    </w:p>
    <w:p w14:paraId="33D5709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Шинкаревич. Гендиректор (2005 г.)- В.Б. Мельников.</w:t>
      </w:r>
    </w:p>
    <w:p w14:paraId="1E4E2D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коммерческий (2005 г.)- В.И. Балицкий; по качеству (2005 г.)- С.В. Жиляев.</w:t>
      </w:r>
    </w:p>
    <w:p w14:paraId="383FC1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сбыта (2005 г.)- И.Ю. Улитина; снабжения (2005 г.)- Д.В. Анчуткин.</w:t>
      </w:r>
    </w:p>
    <w:p w14:paraId="00E0D68D" w14:textId="77777777" w:rsidR="00B6596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45-мм снаряды, 50-мм мины (1942);</w:t>
      </w:r>
      <w:r w:rsidRPr="00722885">
        <w:rPr>
          <w:rFonts w:ascii="Times New Roman" w:hAnsi="Times New Roman"/>
          <w:iCs/>
          <w:color w:val="000000" w:themeColor="text1"/>
          <w:sz w:val="16"/>
          <w:szCs w:val="16"/>
        </w:rPr>
        <w:t xml:space="preserve"> сеялки:</w:t>
      </w:r>
      <w:r w:rsidRPr="00722885">
        <w:rPr>
          <w:rFonts w:ascii="Times New Roman" w:hAnsi="Times New Roman"/>
          <w:color w:val="000000" w:themeColor="text1"/>
          <w:sz w:val="16"/>
          <w:szCs w:val="16"/>
        </w:rPr>
        <w:t xml:space="preserve"> зерновые СД-12 (1943-), СД-24 (1949-), СЗГ-9, -2,1 (1969-72), СЗУ-3,6 (1972-80-), С3-3,6А (2000-е); льна СЛ-44 (1949-), узкорядные СЗУ-3,6 (1972-), СУБ-48 (1956- 69), стерневые зернотуковые СКП-2,1 (2000-е), СЗК-4,5, свекловичная ССТ-12В (2000-е); картофелесажалки: СКГ-4 (1953-), СН-4Б (1959-), КСН-90, СКМ-6, САЯ-4, КСМ-6, КСМ-4 (1982-), КСНД-2, «Крот» (2000-е); картофелекопатель КТН-2В (2000-е); культиваторы: КНК-4,0, -6,0, КПЭ-3,8, КПС-4 (2000-е), УКРМР-5,4, окучник ОК-1,4 (2000-е); плуги: ПЛН-3-35, безотвальные ПБ-5, ПБ-9 (2000-е); борона БЗС-1,0, пресс-подборщик ПФ-350, грабли-ворошилка ГВР-4,5М, корнеподъемник УКН-1,3 (2000-</w:t>
      </w:r>
      <w:r w:rsidRPr="00722885">
        <w:rPr>
          <w:rFonts w:ascii="Times New Roman" w:hAnsi="Times New Roman"/>
          <w:color w:val="000000" w:themeColor="text1"/>
          <w:sz w:val="16"/>
          <w:szCs w:val="16"/>
          <w:lang w:val="en-US"/>
        </w:rPr>
        <w:t>e</w:t>
      </w:r>
      <w:r w:rsidRPr="00722885">
        <w:rPr>
          <w:rFonts w:ascii="Times New Roman" w:hAnsi="Times New Roman"/>
          <w:color w:val="000000" w:themeColor="text1"/>
          <w:sz w:val="16"/>
          <w:szCs w:val="16"/>
        </w:rPr>
        <w:t>).</w:t>
      </w:r>
    </w:p>
    <w:p w14:paraId="4C937E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«Красная звезда» НКМВ /г. Кировоград/</w:t>
      </w:r>
    </w:p>
    <w:p w14:paraId="515EF2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08.1941 г. завод эвакуирован в  г. Каменка.</w:t>
      </w:r>
    </w:p>
    <w:p w14:paraId="427701B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4.05.1944 г. вышло постановление ГКО № 5816 о неотложных мерах по восстановлению завода сельскохозяйственного машиностроения «Красная звезда» в Кировограде.</w:t>
      </w:r>
    </w:p>
    <w:p w14:paraId="6A8A35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(03.1946 г.)- 2910 чел. (11982).</w:t>
      </w:r>
    </w:p>
    <w:p w14:paraId="5344B55F"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ECE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«Продмашин» НКМВ, размещенный в корпусах бывшей красильной фабрики постройки 1875 г., был переименован в завод № 715 ()Завод № 715 НКМВ, Завод «Продмашин» НКМВ, Болшевский машиностроительный завод ММиП /г. Болшево Московской обл.; ст. Болшево Ярославской ж/д ул. Советская, 16 «Метизы» (1948 г.)/ в ведении 1ГУ (в 02.1942 г. завод планировалось передать в ведение 6ГУ НКМВ как завод № 811).</w:t>
      </w:r>
    </w:p>
    <w:p w14:paraId="1D6C99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 г. приказом НКМВ № 250с Болшевский машиностроительный завод - в ведении Главпродмаша ММиП.</w:t>
      </w:r>
    </w:p>
    <w:p w14:paraId="6A3707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 г.) цехи: основные: механические № 1, 2, котельно-жестяной № 3, прессовый № 4, литейный № 5; вспомогательные: инструментальный № 6, ремонтно-механический № 7, электроцех № 8, строительный.</w:t>
      </w:r>
    </w:p>
    <w:p w14:paraId="5C31D7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г.)- 138 ед., (1946 г.)- 187 ед., (1947 г.)- 346 ед.</w:t>
      </w:r>
    </w:p>
    <w:p w14:paraId="7F3189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г.)- 8,5 га; застройки (1947 г.)- 8330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г.)- 4196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г.)- 4945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г.)- 5249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2A75CB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г.)- 692 чел., (1946 г.)- 783 чел., (1947 г.)- 779 чел.</w:t>
      </w:r>
    </w:p>
    <w:p w14:paraId="04125D6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Лопатин, (1948 г.)- Губанов.</w:t>
      </w:r>
    </w:p>
    <w:p w14:paraId="4F96C1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Архипов.</w:t>
      </w:r>
    </w:p>
    <w:p w14:paraId="659BF0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82-мм мин, детали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М-13 (1942); фризеры ОФН, ОФА, ОФЕ; гомогенизатор ОГБ; сепаратор молочный ОСК; транспортер цепной ТТА-</w:t>
      </w:r>
      <w:r w:rsidRPr="00722885">
        <w:rPr>
          <w:rFonts w:ascii="Times New Roman" w:hAnsi="Times New Roman"/>
          <w:color w:val="000000" w:themeColor="text1"/>
          <w:sz w:val="16"/>
          <w:szCs w:val="16"/>
        </w:rPr>
        <w:lastRenderedPageBreak/>
        <w:t>50, ковши для зерна ТКЗ; станок вертикально- сверлильный 211-Р, тиски машинные (1947) (11982).</w:t>
      </w:r>
    </w:p>
    <w:p w14:paraId="2A6196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FD26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237сс Пост. ГКО № 1962сс от 4.07.1942 г. заводу (Завод № 707 НКМВ, НКСХМ, МСХМ, Завод «Уралсельмаш», Завод, ПО, ОАО «Кургансельмаш» /640006  г. Курган ул. Куйбышева, 144/) установлен план выпуска на 3-й квартал 1942 г. 82-мм минометов - 250 шт. 30.03.1944 г. вышло распоряжение ГКО № 5512 о срочной вывозке с завода готовых корпусов 82-мм мин из-за угрозы затопления.</w:t>
      </w:r>
    </w:p>
    <w:p w14:paraId="4BC694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начат выпуск сельскохозяйственных машин: моторных и конных сенных прессов, конных молотилок, силосорезок. С 1953 г. начата реконструкция завода; освоен выпуск безбашенной электрической водоподъемной установки. В 1959 г. начато освоение нового направления: сдана в эксплуатацию 1-я очередь блока цехов экскаваторного производства, в 1961 г. - 2-я очередь, в 1970 г. - 3-я очередь. В середине 1960-х  г. завод стал специализироваться на выпуске машин для животноводства. В 1974 г. вступил в строй цех цветного литья под давлением № 2, новая котельная. В 1980-е  г. закуплено кузнечно-прессовое оборудование в ГДР, чехословацкая линия для сварки ванн охладителей молока. В 1984 г. введен в строй новый корпус цеха № 24 по выпуску резервуаров-охладителей молока и вакуумных насосов. В 1987 г. сдан в эксплуатацию цех кокильного литья № 3.</w:t>
      </w:r>
    </w:p>
    <w:p w14:paraId="1C4A33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01.1946 г. завод передан в ведение НКСХМ, затем- МСХМ. 1.04.1950 г. из состава завода «Уралсельмаш» выделилось самостоятельное предприятие (далее - КЗКТ); оставшийся на прежней площадке завод переименован в «Кургансельмаш». В 1974 г. завод объединен с Сидоровским механическим заводом и образовано ПО «Кургансельмаш». В 1992 г. ПО «Кургансельмаш» преобразовано в ОАО.</w:t>
      </w:r>
    </w:p>
    <w:p w14:paraId="65AE9A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(2000-е): разработка и производство: машины для животноводства и молочной промышленности; резервуары-охладители для молока.</w:t>
      </w:r>
    </w:p>
    <w:p w14:paraId="76790B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(1938 г.)- 817 чел., (ВОВ)- около 1000 чел., (03.1946 г.)- 3695 чел.</w:t>
      </w:r>
    </w:p>
    <w:p w14:paraId="1CBAEBD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(1918 г.-)- Ф.Р. Вотяков, (1921 г.-)- А.Ф. Ледус, (1932 г.-)- Гаврюшин, (1941-06.1942 г.-&gt; А.К. Генкин, (1953 г.-)- А.П. Леонов, (1957 г.-)-  Г.М. Кетов, (1961 г.-)- Н.П. Строганов, (1966 г.-)- А.А. Минаков. Гендиректор (1978 г.-)- В.В. Пискунов, (1987 г.-)- Н.Д. Багрецов, (1994 г.-)- П.К. Гринюк.</w:t>
      </w:r>
    </w:p>
    <w:p w14:paraId="49F675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(1957-66 г.)- А.А. Минаков, (1966 г.-)- В.В. Пискунов, (1978 г.-)- Л.А. Сентяков, (1987 г.-)- С.П. Аносов.</w:t>
      </w:r>
    </w:p>
    <w:p w14:paraId="0F0FBD5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82-мм минометы; корпуса 82-мм мин, детали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М-13 (-1942-44-); силосорезка РКС-12 (1940-е), сепаратор кукурузных семян ОКС-4 (1957-), свеклоуборочный комбайн СКН-2А (1961-), подборщик- копнитель сена ПКС-2М (1966-), универсальная доильная станция УДС-3 (1966-), УДС-ЗА, установки УДА-8. УДА-16; вакуумный насос для доильных установок УВА12000 (1960-е); охладители молока РПО-2,5, МКА-2000Л (1983-), минимолокозавод КВМ-2000 (1994-), маслобойка МБЦ-020 (1994-); экскаватор Э-155 (1959-); тракторный прицеп ЗПТС-12 (1965-), навесной снегоотвал для автомобилей «КамАЗ», «Урал» (1997-).</w:t>
      </w:r>
    </w:p>
    <w:p w14:paraId="69DE5D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«Гомсельмаш» НКМВ /Белоруссия  г. Гомель/</w:t>
      </w:r>
    </w:p>
    <w:p w14:paraId="12C48D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«Гомсельмаш» в 07.1941 г. эвакуирован в  г. Курган на площадку завода сельхозмашин.</w:t>
      </w:r>
    </w:p>
    <w:p w14:paraId="196DB9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25.03.1944 г. вышло постановление ГКО № 5464 о неотложных мерах по восстановлению завода сельхозмашиностроения «Гомсельмаш» НКМВ.</w:t>
      </w:r>
    </w:p>
    <w:p w14:paraId="2180F7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1980-е  г. изготовлены металлоконструкции для ЗГРЛС в Чернобыле.</w:t>
      </w:r>
    </w:p>
    <w:p w14:paraId="6B92B9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(03.1946 г.)- 1010 чел.</w:t>
      </w:r>
    </w:p>
    <w:p w14:paraId="76ED5A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Курганский завод колесных тягачей (КЗКТ) им. Д.М. Карбышева, ОАО «Русич-КЗКТ» /640003  г. Курган ул. Невежина, 3 тел. (3522) 44-00-71/</w:t>
      </w:r>
    </w:p>
    <w:p w14:paraId="0AAF6F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создан 1.04.1950 г. в результате разделения завода «Уралсельмаш». В конце 1950-х  г. завод реконструирован и перепрофилирован на выпуск колесных тягачей-танковозов. В 1960-е  г. освоено производство бронетранспортеров. В 1980-е  г. выпускал 1000 тягачей в год, более 1600 БТР.</w:t>
      </w:r>
    </w:p>
    <w:p w14:paraId="075C49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1975 г. заводу присвоено имя Д.М. Карбышева.</w:t>
      </w:r>
    </w:p>
    <w:p w14:paraId="7A7674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1990 г. прекращен выпуск БТР, резко сокращено производство тягачей, освоен выпуск полуприцепов большой грузоподъемности. В 10.2005 г. завод обанкрочен, на заводе введено конкурсное производство.</w:t>
      </w:r>
    </w:p>
    <w:p w14:paraId="2D5ABA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(2002 г.)- 7000 чел.</w:t>
      </w:r>
    </w:p>
    <w:p w14:paraId="0CB27D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(-2000-02 г.-)- Б.М. Черва, (10.2005 г.)- В. Бобин.</w:t>
      </w:r>
    </w:p>
    <w:p w14:paraId="367505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(2000 г.)- М. Бухман.</w:t>
      </w:r>
    </w:p>
    <w:p w14:paraId="42719F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БТР-60ЛБ (1960-е); аэродромные тягачи (2002), тягач КЗКТ-7428 с полуприцепом КЗКТ-9101 (2000), машина технической помощи МТП-А4 на шасси КЗКТ-74281 (2000), тягач КЗКТ-8014 (2000) (11982).</w:t>
      </w:r>
    </w:p>
    <w:p w14:paraId="1BFA3C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E0B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правительства № 837-430сс от 3.06.1942 г. Ташкентский завод сельхозмашин НКМВ переименован в завод № 708 в ведении 1ГУ (Завод № 708 ИМ. Сталина НКМВ, Ташкентский завод сельскохозяйственных машин («Ташсельмаш») им. Сталина НКМВ, Завод «Таштекстильмаш» ММиП /г. Ташкент ул. Текстильная, 7 «Сталинец»/).</w:t>
      </w:r>
    </w:p>
    <w:p w14:paraId="5204967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НКМВ № 223с от 20.06.1942 г. с завода передано 80 единиц оборудования на Рубцовский завод сельхозмашин. Пост. ГКО № 1962сс от 4.07.1942 г. и приказом НКМВ № 237сс от 7.07.1942 г. заводу установлен план выпуска на 3-й квартал 1942 г. 50-мм минометов- 2250 шт.</w:t>
      </w:r>
    </w:p>
    <w:p w14:paraId="150C1E2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 завод «Таштекстильмаш», в 1947 г. завод - в ведении Главтекстильлегмаша ММиП.</w:t>
      </w:r>
    </w:p>
    <w:p w14:paraId="0CECB0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заводов (1947 г.) цехи: основные: РВК № 1, механический № 5, метизный № 7, механический крепежных деталей № 8, механический массовых деталей № 9, рогулек № 10, литейный № 2, кузнечно-прессовый № 3, сборочный № 6; вспомогательные: ДОК № 15, экспериментальный № 20, модельный № 23, ремонтно- механический № 29, инструментальный № 32, энергоцех № 33, центральная лаборатория (цех № 35).</w:t>
      </w:r>
    </w:p>
    <w:p w14:paraId="6F4985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 г.)- 1398 ед., (1947 г.)- 1448 ед.</w:t>
      </w:r>
    </w:p>
    <w:p w14:paraId="728E4F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г.)- 25 га; застройки (1947 г.)- 60981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(1947 г.)- 39788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589642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 г.)- 3642 чел., (1947 г.)- 3558 чел.</w:t>
      </w:r>
    </w:p>
    <w:p w14:paraId="1772D9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Титаренко, (1948 г.)- Виноградов.</w:t>
      </w:r>
    </w:p>
    <w:p w14:paraId="2BFDC0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Котов.</w:t>
      </w:r>
    </w:p>
    <w:p w14:paraId="40C94D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50-мм минометы; корпуса мин 82-мм, 120-мм, химической «ОТ», бомб ФАБ-100, АО-25 (1942); ватеры: ВВ-66, В-66; тазово-перегонный банкаброш БТП2 (1947) (11982).</w:t>
      </w:r>
    </w:p>
    <w:p w14:paraId="05BBB8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EA6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СНК № 837-430сс от 3.06.1942 г. завод «Продмаш» НКМВ переименован в Завод им. Ленина в ведении Главсельмаша НКМВ. Затем, вероятно, переименован в завод № 727 НКМВ (Завод № 727 НКМВ, Воронежский машиностроительный завод им. Ленина, Завод «Продмаш» НКМВ, Завод им. Ленина НКТП, НКМВ, Машиностроительный завод им. Ленива ММиП, ОАО «Упмаш» /г. Воронеж;  г. Пенза;  г. Воронеж ул. Карла Маркса, 81 «Завод Ленина» (1948 г.)/ /394030  г. Воронеж ул. К. Маркса, 67Б/).</w:t>
      </w:r>
    </w:p>
    <w:p w14:paraId="349FE9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Воронежский машиностроительный завод им. Ленина эвакуирован в Пензу, где был создан завод № 744 НКМВ. Приказом НКМВ № 209сс от 10.06.1942 г. заводу поручено изготовление задвижек Лудлои.</w:t>
      </w:r>
    </w:p>
    <w:p w14:paraId="75DDB1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временной оккупации Воронежа завод был разрушен. Восстановление начато в 1944 г. одновременно с производственной деятельностью. В 10.1945 г. под монтаж сдан первый корпус ремонтно-тструментальный, где временно размещены цеха механосборочный, инструментальный и ремонтно-механический. В 1948 г. введен в строй основной корпус - механический.</w:t>
      </w:r>
    </w:p>
    <w:p w14:paraId="54FD4E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 г. Воронежский машиностроительный завод им. Ленина - в ведении Главпродмаша ММиП.</w:t>
      </w:r>
    </w:p>
    <w:p w14:paraId="14C47D9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 г.) цехи: основные: механосборочный, кузнечный, термический; вспомогательные: ремонтно-механический, инструментальный, электроцех.</w:t>
      </w:r>
    </w:p>
    <w:p w14:paraId="5113CEE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г.)- 493 ед., (1946 г.)- 82 ед., (1947 г.)- 185 ед.</w:t>
      </w:r>
    </w:p>
    <w:p w14:paraId="7FF4FF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г.)- 4,45 га; застройки (1947 г.)- 9760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г.)- 11631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г.)- 2710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4F624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г.)- 1896 чел., (1946 г.)- 275 чел., (1947 г.)- 279 чел.</w:t>
      </w:r>
    </w:p>
    <w:p w14:paraId="21E02A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Плешко, (1948 г.)- Проскурин.</w:t>
      </w:r>
    </w:p>
    <w:p w14:paraId="2FCD9C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Сильченко.</w:t>
      </w:r>
    </w:p>
    <w:p w14:paraId="7DF4BB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станки: вальцевый ЗВН, ЗМН, заточной ЮЗА, шлифовально-рифельный ШРС; шлюзовый затвор ШЗ-200; россева (для просева муки) ЗРА (1947) (11982).</w:t>
      </w:r>
    </w:p>
    <w:p w14:paraId="30DC73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26EE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СНК № 837-430сс от 3.06.1942 г. Завод игольно-платиновых изделий НКМВ переименован в завод № 728 (Завод № 728 НКМВ, Завод игольно-платиновых изделий НКМВ /г. Орск Оренбургской обл./) в ведении 5ГУ (сначала, в 12.1941 г., планировалось передать его в 2ГУ НКМВ).</w:t>
      </w:r>
      <w:r w:rsidRPr="00722885">
        <w:rPr>
          <w:rFonts w:ascii="Times New Roman" w:hAnsi="Times New Roman"/>
          <w:color w:val="000000" w:themeColor="text1"/>
          <w:sz w:val="16"/>
          <w:szCs w:val="16"/>
          <w:vertAlign w:val="superscript"/>
        </w:rPr>
        <w:t>129</w:t>
      </w:r>
    </w:p>
    <w:p w14:paraId="53A595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игольно-платиновых изделий создан на базе эвакуированного сюда в 1941 г. оборудования Кунцевского завода им. КИМ.</w:t>
      </w:r>
    </w:p>
    <w:p w14:paraId="127817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06.1942 г. завод - в ведении Главлегмаша НКМВ.</w:t>
      </w:r>
    </w:p>
    <w:p w14:paraId="243213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Чистов.</w:t>
      </w:r>
    </w:p>
    <w:p w14:paraId="30222D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взрыватели «МП» (1942) (11982).</w:t>
      </w:r>
    </w:p>
    <w:p w14:paraId="2A2FBD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B62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7 июля 1942г. в соответствии с пост. СНК № 837-430сс от 3.06.1942г. приказом НКМВ № 250с 5-й часовой завод НКМВ переименован в завод № 835 в ведении 5ГУ (Завод №835 НКМВ, 5 -й часовой завод НКМВ, Чистопольский часовой завод (ЧЧЗ) ММиП, МРП, ПО «Восток», АП, АООТ, ОАО «ЧЧЗ «Восток» /г. Чистополь ул. К. Маркса, 15 «Часзавод» (1948г.)/ /Татарстан 422981 г. Чистополь ул. Энгельса, 127/ /Московское представительство: г. Москва ул. Клары Цеткин, 2/3/).</w:t>
      </w:r>
    </w:p>
    <w:p w14:paraId="0C7973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 102 от 29.02.1944г. производство часов-ходиков и оборудование с завода было передано на ГЧЗ-5 (Сердобский часовой завод).</w:t>
      </w:r>
    </w:p>
    <w:p w14:paraId="2A42C8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Чистопольский часовой завод - в ведении Главчаспрома ММиП.</w:t>
      </w:r>
    </w:p>
    <w:p w14:paraId="5F0084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автоматный, прессовый, механический (К-43), механо</w:t>
      </w:r>
      <w:r w:rsidRPr="00722885">
        <w:rPr>
          <w:rFonts w:ascii="Times New Roman" w:hAnsi="Times New Roman"/>
          <w:color w:val="000000" w:themeColor="text1"/>
          <w:sz w:val="16"/>
          <w:szCs w:val="16"/>
        </w:rPr>
        <w:softHyphen/>
        <w:t>сборочный спецприборов, гальванический, сборочный электрочасов, механо-сборочный электрочасов, инструментальный, сборочный (К-43), ремонтно-механический, платино-мостовой, деревообделочный, корпусной; вспомогательные: ремонтно-строительный, энергетический, котельные.</w:t>
      </w:r>
    </w:p>
    <w:p w14:paraId="31F607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Сразу после войны освоен выпуск механических наручных часов, которые стали основной продукцией завода. В начале 1950-х г. разработаны часы «Победа» в пылевлагонепроницаемом корпусе (В.П. Дудин). В 1965г. разработаны часы «Командирские», завод стал официальным поставщиком часов для МО.</w:t>
      </w:r>
    </w:p>
    <w:p w14:paraId="469229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завод частично перепрофилирован для производства высокоточных компонентов антенных станций. 15.01.1970г. ЧЧЗ вошел в состав ЦНПО «Вымпел».</w:t>
      </w:r>
      <w:r w:rsidRPr="00722885">
        <w:rPr>
          <w:rFonts w:ascii="Times New Roman" w:hAnsi="Times New Roman"/>
          <w:color w:val="000000" w:themeColor="text1"/>
          <w:sz w:val="16"/>
          <w:szCs w:val="16"/>
          <w:vertAlign w:val="superscript"/>
        </w:rPr>
        <w:t>1</w:t>
      </w:r>
      <w:r w:rsidRPr="00722885">
        <w:rPr>
          <w:rFonts w:ascii="Times New Roman" w:hAnsi="Times New Roman"/>
          <w:color w:val="000000" w:themeColor="text1"/>
          <w:sz w:val="16"/>
          <w:szCs w:val="16"/>
        </w:rPr>
        <w:t>® С 1986г. ЧЧЗ - в ведении МРП.</w:t>
      </w:r>
    </w:p>
    <w:p w14:paraId="7056C9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начале 2000-х г. завод выпускал около 1 млн часов в год. В 2007г. планировалось организовать совместное производство кварцевых часов с швейцарской фирмой </w:t>
      </w:r>
      <w:r w:rsidRPr="00722885">
        <w:rPr>
          <w:rFonts w:ascii="Times New Roman" w:hAnsi="Times New Roman"/>
          <w:color w:val="000000" w:themeColor="text1"/>
          <w:sz w:val="16"/>
          <w:szCs w:val="16"/>
          <w:lang w:val="en-US"/>
        </w:rPr>
        <w:t>TechnoTime</w:t>
      </w:r>
      <w:r w:rsidRPr="00722885">
        <w:rPr>
          <w:rFonts w:ascii="Times New Roman" w:hAnsi="Times New Roman"/>
          <w:color w:val="000000" w:themeColor="text1"/>
          <w:sz w:val="16"/>
          <w:szCs w:val="16"/>
        </w:rPr>
        <w:t xml:space="preserve"> мощностью 1,5 млн часов в год, но это не было реализовано. Являлся (2010г.) одним из двух часовых заводов полного цикла в России (наряду с заводом «Мак-Тайм»).</w:t>
      </w:r>
    </w:p>
    <w:p w14:paraId="4C8722D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04.2010г. начата процедура банкротства предприятия.</w:t>
      </w:r>
    </w:p>
    <w:p w14:paraId="77508C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(1946г.)- 923 ед., (1947г.)- 1118 ед.</w:t>
      </w:r>
    </w:p>
    <w:p w14:paraId="682F3C3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(1947г.)- 5,34 га; застройки (1947г.)- 16702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(1946г.)-</w:t>
      </w:r>
    </w:p>
    <w:p w14:paraId="772550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11558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(1947г.)- 12717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6D88BF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(1946г.)- 2124 чел., (1947г.)- 2112 чел.</w:t>
      </w:r>
    </w:p>
    <w:p w14:paraId="32266E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(-06.1942-48Г.-)- Лукьянов, (1986г.-)- В.В. Цивилин. Гендиректор (04.2010г.)- Е. Пухов. Временный управляющий (04.2010г.-)- А. Волков.</w:t>
      </w:r>
    </w:p>
    <w:p w14:paraId="0759EF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Григорьев.</w:t>
      </w:r>
    </w:p>
    <w:p w14:paraId="2044D8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механик (1950-е)- В.П. Дудин.</w:t>
      </w:r>
    </w:p>
    <w:p w14:paraId="0C36C8D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Московского представительства (2000г.)- Е.П. Сидоров.</w:t>
      </w:r>
    </w:p>
    <w:p w14:paraId="2CC3B6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часы:</w:t>
      </w:r>
      <w:r w:rsidRPr="00722885">
        <w:rPr>
          <w:rFonts w:ascii="Times New Roman" w:hAnsi="Times New Roman"/>
          <w:color w:val="000000" w:themeColor="text1"/>
          <w:sz w:val="16"/>
          <w:szCs w:val="16"/>
        </w:rPr>
        <w:t xml:space="preserve"> карманные КЧ (1947); наручные РЧД (1947), «Победа» (1950-е), «Командирские» (1965- ), «Генеральские», «Восток», «Амфибия», «Штурманские» (1990-е); морские МЧМ, МЧД (1947); автомобильные электрочасы 5ЧТ (1947); танковые ТЧ (1947); пульсомер К-43 к прибору ПАУ-22; часовые механизмы для специзделий 13А, РР-45, РР-19, 509 (ЯМД); механизм срочности МС (1947).</w:t>
      </w:r>
      <w:r w:rsidRPr="00722885">
        <w:rPr>
          <w:rFonts w:ascii="Times New Roman" w:hAnsi="Times New Roman"/>
          <w:color w:val="000000" w:themeColor="text1"/>
          <w:sz w:val="16"/>
          <w:szCs w:val="16"/>
          <w:vertAlign w:val="superscript"/>
        </w:rPr>
        <w:t>129</w:t>
      </w:r>
    </w:p>
    <w:p w14:paraId="6B45B02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Чистопольское конструкторско-технологическое бюро (КТБ)</w:t>
      </w:r>
    </w:p>
    <w:p w14:paraId="6B836C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15.01.1970г. вошло в состав ЦНПО «Вымпел» (11982).</w:t>
      </w:r>
      <w:r w:rsidRPr="00722885">
        <w:rPr>
          <w:rFonts w:ascii="Times New Roman" w:hAnsi="Times New Roman"/>
          <w:color w:val="000000" w:themeColor="text1"/>
          <w:sz w:val="16"/>
          <w:szCs w:val="16"/>
          <w:vertAlign w:val="superscript"/>
        </w:rPr>
        <w:t>104</w:t>
      </w:r>
    </w:p>
    <w:p w14:paraId="2BE974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10E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и приказом НКМВ № 250с ГЗИП НКМВ переименован в завод № 840 в ведении 5ГУ (Завод № 840 НКМВ, Государственный завод испытательных приборов (ГЗИП) НКТП, НКОП, НКМВ, ММиП /г. Москва, 69 Кудринский пер., 10 «Индикатор» (1948г.)/).</w:t>
      </w:r>
    </w:p>
    <w:p w14:paraId="12FB48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ГЗИП - в ведении Главмервеспрома ММиП.</w:t>
      </w:r>
    </w:p>
    <w:p w14:paraId="4D2194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механический, сборочный, термический, гальванический; вспомогательные: инструментальный, ремонтный.</w:t>
      </w:r>
    </w:p>
    <w:p w14:paraId="1C4C0F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(1939г.)- 323 ед., (1946г.)- 288 ед., (1947г.)- 292 ед.</w:t>
      </w:r>
    </w:p>
    <w:p w14:paraId="2CFBA9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(1947г.)- 0,39 га; застройки (1947г.)- 2434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(1939г.)- 2701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(1946г.)- 2928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(1947г.)- 2969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DA23A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(1939г.)- 573 чел., (1946г.)- 345 чел., (1947г.)- 324 чел.</w:t>
      </w:r>
    </w:p>
    <w:p w14:paraId="63AF6B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(-06.1942-48г.-)- Лашук.</w:t>
      </w:r>
    </w:p>
    <w:p w14:paraId="5BC899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Гальперин.</w:t>
      </w:r>
    </w:p>
    <w:p w14:paraId="39AA3D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детали для ППШ,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М-13 (1942); прессы: лабораторный Бринелля ЛБ, ЛБР, ЛБМ; прибор Роквелл-Вильсона РВ; разрывная машина Р-5; маятниковый копер МК; приборы Виккерса В, НВ; прибор Эриксен Э; динамометр ДК; индикатор мерительный ИМ; машина для испытания проводов НГ (1947) (11982).</w:t>
      </w:r>
      <w:r w:rsidRPr="00722885">
        <w:rPr>
          <w:rFonts w:ascii="Times New Roman" w:hAnsi="Times New Roman"/>
          <w:color w:val="000000" w:themeColor="text1"/>
          <w:sz w:val="16"/>
          <w:szCs w:val="16"/>
          <w:vertAlign w:val="superscript"/>
        </w:rPr>
        <w:t>129</w:t>
      </w:r>
    </w:p>
    <w:p w14:paraId="52F406EA"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A22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837- 430сс от 3.06.1942г. и приказом НКМВ № 250с завод «Госметр» НКМВ, эвакуированный в Горький и Верхнюю Салду, был переименован в завод № 841 в ведении 5ГУ (Завод № 841 НКМВ, Весовой и механический завод «Госметр» ВСНХ, Завод весов «Госметр» НКТП, НКМВ, Ленинградский государственный весовой завод «Госметр» ММиП, МПиСА, ФГУП «Санкт-Петербургский завод «Госметр» /г. Ленинград-7 ул. Тамбовская, 22 «Госметр» (1948г.)/ /192007 г. Санкт-Петербург ул. Курская, 28/32/).</w:t>
      </w:r>
    </w:p>
    <w:p w14:paraId="5DD93D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1943г. наряду с военной продукцией возобновлен выпуск лабораторных весов. После войны завод выпускал прецизионные аналитические и микроаналитические весы для высокоточных анализов, взвешивания драгоценных камней, проверки образцовых мер массы.</w:t>
      </w:r>
    </w:p>
    <w:p w14:paraId="720CB1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Ленинградский государственный весовой завод «Госметр» - в ведении Главмервеспрома ММиП, с 1957г. - в ведении Управления приборостроительной промышленности ЛенСНХ, с 1958г. - Управления агрегатостроения и приборостроения ЛенСНХ, с 11.1965г. - МПиСА.</w:t>
      </w:r>
      <w:r w:rsidRPr="00722885">
        <w:rPr>
          <w:rFonts w:ascii="Times New Roman" w:hAnsi="Times New Roman"/>
          <w:color w:val="000000" w:themeColor="text1"/>
          <w:sz w:val="16"/>
          <w:szCs w:val="16"/>
          <w:vertAlign w:val="superscript"/>
        </w:rPr>
        <w:t>131</w:t>
      </w:r>
    </w:p>
    <w:p w14:paraId="6C063B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механический № 1, сборочный № 2, станкостроительный № 3, деревообделочный № 4, экспериментальный; вспомогательные: инструментальный № 5, ремонтно-механический №7.</w:t>
      </w:r>
    </w:p>
    <w:p w14:paraId="4612A2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2002г. завод перешел на производство электронных весов специального класса точности.</w:t>
      </w:r>
    </w:p>
    <w:p w14:paraId="53EF17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(1946г.)- 288 ед., (1947г.)- 322 ед.</w:t>
      </w:r>
    </w:p>
    <w:p w14:paraId="16590D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(1947г.)- 1,873 га; застройки (1947г.)- 3915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(1939г.)- 3045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(1946г.)- 4315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(1947г.)- 5472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172BC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(1939г.)- 849 чел., (1946г.)- 900 чел., (1947г.)- 880 чел.</w:t>
      </w:r>
    </w:p>
    <w:p w14:paraId="59AAC4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(1925г.-)- П.И. Паршин, (1948г.)- Спиридонов, (-2008г.)- В.М. Мануйлов.</w:t>
      </w:r>
    </w:p>
    <w:p w14:paraId="074AB3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Самойленко.</w:t>
      </w:r>
    </w:p>
    <w:p w14:paraId="57D5D0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весы:</w:t>
      </w:r>
      <w:r w:rsidRPr="00722885">
        <w:rPr>
          <w:rFonts w:ascii="Times New Roman" w:hAnsi="Times New Roman"/>
          <w:color w:val="000000" w:themeColor="text1"/>
          <w:sz w:val="16"/>
          <w:szCs w:val="16"/>
        </w:rPr>
        <w:t xml:space="preserve"> аналитические С-200; технические Т-200, -1000, -5000; контрольные К-5, -20, -50; конвейерные КВ-1; разновесы (1947) (11982).</w:t>
      </w:r>
      <w:r w:rsidRPr="00722885">
        <w:rPr>
          <w:rFonts w:ascii="Times New Roman" w:hAnsi="Times New Roman"/>
          <w:color w:val="000000" w:themeColor="text1"/>
          <w:sz w:val="16"/>
          <w:szCs w:val="16"/>
          <w:vertAlign w:val="superscript"/>
        </w:rPr>
        <w:t>129</w:t>
      </w:r>
    </w:p>
    <w:p w14:paraId="40BB20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03E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приказом НКМВ № 250с Завод «Манометр» НКМВ переименован в завод № 836 в ведении 5ГУ (Завод № 836 НКМВ, Бронзомеднолитейный, чугунолитейный и арматурный завод и фабрика манометров «Ф.Ф. Гакенталь и К</w:t>
      </w:r>
      <w:r w:rsidRPr="00722885">
        <w:rPr>
          <w:rFonts w:ascii="Times New Roman" w:hAnsi="Times New Roman"/>
          <w:color w:val="000000" w:themeColor="text1"/>
          <w:sz w:val="16"/>
          <w:szCs w:val="16"/>
          <w:vertAlign w:val="superscript"/>
        </w:rPr>
        <w:t>0</w:t>
      </w:r>
      <w:r w:rsidRPr="00722885">
        <w:rPr>
          <w:rFonts w:ascii="Times New Roman" w:hAnsi="Times New Roman"/>
          <w:color w:val="000000" w:themeColor="text1"/>
          <w:sz w:val="16"/>
          <w:szCs w:val="16"/>
        </w:rPr>
        <w:t>», 1-й Арматурный завод, Завод «Манометр» НКТП, НКМС, НКОМ, НКМВ, Московский манометровый завод «Манометр» ММиП, МПиСА, Московский приборостроительный завод «Манометр» МПиСА, Московское ПО «Манометр» МПиСА, ЗАО «Манометр» /г. Москва ул. Нижние Сыромятники, 2 «Давление» (1948г.)/ /107120 (105120) г. Москва ул. Н. Сыромятническая, 5/7 тел. 916-15-20/).</w:t>
      </w:r>
      <w:r w:rsidRPr="00722885">
        <w:rPr>
          <w:rFonts w:ascii="Times New Roman" w:hAnsi="Times New Roman"/>
          <w:color w:val="000000" w:themeColor="text1"/>
          <w:sz w:val="16"/>
          <w:szCs w:val="16"/>
          <w:vertAlign w:val="superscript"/>
        </w:rPr>
        <w:t>129</w:t>
      </w:r>
    </w:p>
    <w:p w14:paraId="0104BC0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1946г. завод был вновь переименован в «Манометр» в ведении Главприбора ММиП (1946-53; 1954-56г.), МПиСА (1956-57г.), Управления радиотехнической промышленности МосгорСНХ (1957-61г.), Управления приборостроения МосгорСНХ (1961-65г.), Главпромприбора МПиСА (1965-66г.), Главаналитприбора МПиСА (1966-68г.). В 1968г. переименован в Московский приборостроительный завод «Манометр» Главаналитприбора МПиСА (1968-70г.), Союзаналитприбора МПиСА (1971-77г.). В 1977г. на базе завода создано МПО «Манометр» в ведении Союзаналитприбора МПиСА.</w:t>
      </w:r>
    </w:p>
    <w:p w14:paraId="2DAEDFD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8 основных: № 1 приборный, № 3 лубрикаторов, № 4 манометров механический, № 5 манометров сборочный, № 6 экспериментальный, № 7 инструментальный, № 8 кузнечно- штамповочный, № 10 литейный; вспомогательные: № 9 ремонтно-механический, № 11 гальванический, № 12 электродах, № 13 ремонтно-строительный, № 14 транспортный, № 15 паросиловой. В 1948г. проведена реконструкция завода. В начале 1980-х г. вновь проведена модернизация производства, введено в строй 9 механизированных поточных и автоматических линий.</w:t>
      </w:r>
    </w:p>
    <w:p w14:paraId="28CE1F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в КБ завода разработано и освоено в производстве более 30 типов и 100 мо.</w:t>
      </w:r>
    </w:p>
    <w:p w14:paraId="06AA12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(2000-е): разработка и производство приборов для контроля параметров процессов.</w:t>
      </w:r>
    </w:p>
    <w:p w14:paraId="45894911" w14:textId="77777777" w:rsidR="00AE7191" w:rsidRPr="00722885" w:rsidRDefault="00AE7191" w:rsidP="00722885">
      <w:pPr>
        <w:widowControl w:val="0"/>
        <w:tabs>
          <w:tab w:val="left" w:pos="967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(1939г.)- 614 ед., (1946г.)- 490 ед., (1947г.)- 543 ед.</w:t>
      </w:r>
      <w:r w:rsidRPr="00722885">
        <w:rPr>
          <w:rFonts w:ascii="Times New Roman" w:hAnsi="Times New Roman"/>
          <w:color w:val="000000" w:themeColor="text1"/>
          <w:sz w:val="16"/>
          <w:szCs w:val="16"/>
        </w:rPr>
        <w:tab/>
        <w:t>,</w:t>
      </w:r>
    </w:p>
    <w:p w14:paraId="3EC4F02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(1947г.)- 1,384 га; застройки (1947г.)- 7970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(1946-47г.)- 11015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243DB1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(1895г.)- более 500 чел., (1939г.)- 2675 чел., (1946г.)- 1114 чел., (1947г.)- 1126чеж, (1980-е)- около 2500 чел.</w:t>
      </w:r>
    </w:p>
    <w:p w14:paraId="6DC4EC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(06-07.1942г.)- Долженко, (1948г.)- Горин. Гендиректор (2000г.)- Ю.Ф. Мягков.</w:t>
      </w:r>
    </w:p>
    <w:p w14:paraId="36B533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Укладов.</w:t>
      </w:r>
    </w:p>
    <w:p w14:paraId="608A41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манометры:</w:t>
      </w:r>
      <w:r w:rsidRPr="00722885">
        <w:rPr>
          <w:rFonts w:ascii="Times New Roman" w:hAnsi="Times New Roman"/>
          <w:color w:val="000000" w:themeColor="text1"/>
          <w:sz w:val="16"/>
          <w:szCs w:val="16"/>
        </w:rPr>
        <w:t xml:space="preserve"> воздушные (1936), 60-02 (1947), типа Вьет (1936), для кислородных приборов (1936), 60-00 (1947), технический 150-00 (1947), МКШ (2000-); перепускные краны (1936); взрыватель КВ-4 (1942); преобразователи давления: «Сапфир-22» (1984-), ИПД, ИПДЦ (1980-е), «Сапфир-22МП» (2000-); лубрикаторы; прессы: Бринеля ПБМ, Роквелла РВ (1947) (11982).</w:t>
      </w:r>
      <w:r w:rsidRPr="00722885">
        <w:rPr>
          <w:rFonts w:ascii="Times New Roman" w:hAnsi="Times New Roman"/>
          <w:color w:val="000000" w:themeColor="text1"/>
          <w:sz w:val="16"/>
          <w:szCs w:val="16"/>
          <w:vertAlign w:val="superscript"/>
        </w:rPr>
        <w:t>129</w:t>
      </w:r>
    </w:p>
    <w:p w14:paraId="330AB2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C588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7 июля 1942г. в соответствии с пост. СНК № 837-430сс от 3.06.1942г. и приказом НКМВ № 250с завод «Манометр» НКМВ переименован в завод № 838 в ведении 5ГУ (Завод № 838 НКМВ, Завод «Манометр» НКМВ, Томский манометровый завод ММиП, ОАО «Манотомь» /г. Томск Новосибирской обл. (1942г.) пр. Тимирязева, 68 «Манометр» (1948г.)/ /634061 г. Томск пр. Комсомольский, 62/).</w:t>
      </w:r>
    </w:p>
    <w:p w14:paraId="095DB6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Томский манометровый завод - в ведении Главлаборприбора ММиП.</w:t>
      </w:r>
    </w:p>
    <w:p w14:paraId="6B2747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приборостроения № 3, механической обработки манометров № 4, манометровый № 5, покрытий № 6, штамповочный № 8, литейный № 10; вспомогательные: паросиловой № 1, экспериментальный № 2, инструментальный № 7, ремонтно-механический № 9, электроцех № 11, столярно- тарный№ 12.</w:t>
      </w:r>
    </w:p>
    <w:p w14:paraId="5CE9BF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объем производства увеличен в 2,5 раза. Завод выпускал манометры, манометрические краны, лаги, регуляторы давления, шахтные скоростемеры, тахометры.</w:t>
      </w:r>
    </w:p>
    <w:p w14:paraId="0E5566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1952г. решением правительства было начато строительство нового завода, которому был поручен выпуск аммиачных и электроконтактных манометров, термометров. В 1958-61г. на новой площадке по Тимирязевскому (затем- Комсомольскому) пр. были построены новые корпуса № 1, 2, 3 и 4. В 1968г. построен корпус № 5. Были созданы ЦЗЛ, лаборатория измерительной техники, контрольно-испытательная станция. В 1970-е-80-е г. номенклатура выпускаемых приборов расширена до 60 наименований. В 1980-е г. был проведено техническое перевооружение предприятия. Действовало 12 производственных цехов.</w:t>
      </w:r>
    </w:p>
    <w:p w14:paraId="7D4EA6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1993г. предприятие акционировано и преобразовано в ОАО «Манотомь».</w:t>
      </w:r>
    </w:p>
    <w:p w14:paraId="4D4C99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2000-х г. выпускалось более 30 типов приборов.</w:t>
      </w:r>
    </w:p>
    <w:p w14:paraId="0EA8A8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(1946г.)- 329 ед., (1947г.)- 416 ед.</w:t>
      </w:r>
    </w:p>
    <w:p w14:paraId="7742CB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(1947г.)- 2,74 га; застройки (1947г.)- 6321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(1946г.)- 3650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(1947г.)- 4289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588D132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(1946г.)- 934 чел., (1947г.)- 959 чел., (1980-е)- 4500 чел., (2000-е)-1100 чел.</w:t>
      </w:r>
    </w:p>
    <w:p w14:paraId="37248E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(1941г.)- Б. Пиль, (06.1942г.)- Жуков, (1948г.)- Баранов.</w:t>
      </w:r>
    </w:p>
    <w:p w14:paraId="107C45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(1942-46г.)- Ю.Я. Базилевский, (1948г.)- Спивак.</w:t>
      </w:r>
    </w:p>
    <w:p w14:paraId="0A8340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взрыватель КВ-2 (ВОВ);</w:t>
      </w:r>
      <w:r w:rsidRPr="00722885">
        <w:rPr>
          <w:rFonts w:ascii="Times New Roman" w:hAnsi="Times New Roman"/>
          <w:iCs/>
          <w:color w:val="000000" w:themeColor="text1"/>
          <w:sz w:val="16"/>
          <w:szCs w:val="16"/>
        </w:rPr>
        <w:t xml:space="preserve"> манометры:</w:t>
      </w:r>
      <w:r w:rsidRPr="00722885">
        <w:rPr>
          <w:rFonts w:ascii="Times New Roman" w:hAnsi="Times New Roman"/>
          <w:color w:val="000000" w:themeColor="text1"/>
          <w:sz w:val="16"/>
          <w:szCs w:val="16"/>
        </w:rPr>
        <w:t xml:space="preserve"> гидравлические МГ-Н, паровозные МП-А, ФД, пульсирующие, тормозные ИТ-150, финиметры, кислородные М-60, аммиачные М-</w:t>
      </w:r>
      <w:r w:rsidRPr="00722885">
        <w:rPr>
          <w:rFonts w:ascii="Times New Roman" w:hAnsi="Times New Roman"/>
          <w:color w:val="000000" w:themeColor="text1"/>
          <w:sz w:val="16"/>
          <w:szCs w:val="16"/>
          <w:lang w:val="en-US"/>
        </w:rPr>
        <w:t>AM</w:t>
      </w:r>
      <w:r w:rsidRPr="00722885">
        <w:rPr>
          <w:rFonts w:ascii="Times New Roman" w:hAnsi="Times New Roman"/>
          <w:color w:val="000000" w:themeColor="text1"/>
          <w:sz w:val="16"/>
          <w:szCs w:val="16"/>
        </w:rPr>
        <w:t>, артиллерийские, дифференциальные, котловые; тахометры ТС-120, краны: манометрические КТК, контрольные, ПК; предохранительные клапаны ППК (1947).</w:t>
      </w:r>
      <w:r w:rsidRPr="00722885">
        <w:rPr>
          <w:rFonts w:ascii="Times New Roman" w:hAnsi="Times New Roman"/>
          <w:color w:val="000000" w:themeColor="text1"/>
          <w:sz w:val="16"/>
          <w:szCs w:val="16"/>
          <w:vertAlign w:val="superscript"/>
        </w:rPr>
        <w:t>129</w:t>
      </w:r>
    </w:p>
    <w:p w14:paraId="6857EC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F3F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 г. приказом НКМВ № 250с ТЭЗ НКМВ переименован в завод № 770 в ведении 2ГУ (Завод № 770 НКМВ, Ташкентский завод «Электростанок», Ташкентский электротехнический завод (ТЭЗ) НКМВ, МЭТП, НПО «Средазэлектроаппарат» /Узбекистан 100105  г. Ташкент ул. Таллимаржон (Фетисова), 1/).</w:t>
      </w:r>
      <w:r w:rsidRPr="00722885">
        <w:rPr>
          <w:rFonts w:ascii="Times New Roman" w:hAnsi="Times New Roman"/>
          <w:color w:val="000000" w:themeColor="text1"/>
          <w:sz w:val="16"/>
          <w:szCs w:val="16"/>
          <w:vertAlign w:val="superscript"/>
        </w:rPr>
        <w:t>129</w:t>
      </w:r>
    </w:p>
    <w:p w14:paraId="340A7CF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Распоряжением правительства в 1946 г. заводы «Электростанок» и «Токов высокой частоты» объединены в единый ТЭЗ МЭТП.</w:t>
      </w:r>
    </w:p>
    <w:p w14:paraId="116883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1949 г. ТЭЗ стал головным в СССР по выпуску пакетных выключателей и переключателей для токов</w:t>
      </w:r>
    </w:p>
    <w:p w14:paraId="7195C7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10-400 А.</w:t>
      </w:r>
    </w:p>
    <w:p w14:paraId="1A0D02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1965 г. при ТЭЗ организован филиал ГКТБ «Электропривод».</w:t>
      </w:r>
    </w:p>
    <w:p w14:paraId="003868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1988 г. на базе ТЭЗ как головного предприятия создано НПО «Средазэлектроаппарат». В 2000 г. на базе ТЭЗ организовано два СП с иностранными фирмами: СП «Ташэлектроаппарат» и ОАО «Узэлектроаппарат». В 2006 г. оба СП вошли в состав ЗАО «ГК «Электрощит»-ТМ Самара как СП «ОАО «Узэлектроаппарат-Электрощит» (11982).</w:t>
      </w:r>
    </w:p>
    <w:p w14:paraId="0F0125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EE8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 г. приказом НКМВ № 250с завод «Пролетарская свобода» НКМВ переименован в завод № 771 в ведении 2ГУ (Завод № 771 НКМВ, Завод «Пролетарская свобода» НКМВ, ММиП, ОАО «Завод «Пролетарская свобода» /150002  г. Ярославль ул. Б. Федоровская, 103/).</w:t>
      </w:r>
      <w:r w:rsidRPr="00722885">
        <w:rPr>
          <w:rFonts w:ascii="Times New Roman" w:hAnsi="Times New Roman"/>
          <w:color w:val="000000" w:themeColor="text1"/>
          <w:sz w:val="16"/>
          <w:szCs w:val="16"/>
          <w:vertAlign w:val="superscript"/>
        </w:rPr>
        <w:t>129</w:t>
      </w:r>
    </w:p>
    <w:p w14:paraId="68EB84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завод «Пролетарская свобода» - в ведении Главбумдревмаша ММиП (есть упоминание, что в 1947 г. завод № 771 действовал в Кургане).</w:t>
      </w:r>
    </w:p>
    <w:p w14:paraId="2E401D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Захаркин.</w:t>
      </w:r>
    </w:p>
    <w:p w14:paraId="6CB4A33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82-мм мин (1942) (11982).</w:t>
      </w:r>
    </w:p>
    <w:p w14:paraId="68E5D0DD"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A99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 г. приказом НКМВ № 250с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  г. Вологда ул. Машиностроительная, 19/).</w:t>
      </w:r>
      <w:r w:rsidRPr="00722885">
        <w:rPr>
          <w:rFonts w:ascii="Times New Roman" w:hAnsi="Times New Roman"/>
          <w:color w:val="000000" w:themeColor="text1"/>
          <w:sz w:val="16"/>
          <w:szCs w:val="16"/>
          <w:vertAlign w:val="superscript"/>
        </w:rPr>
        <w:t>129</w:t>
      </w:r>
    </w:p>
    <w:p w14:paraId="072FE7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53C904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61C393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1961 г. на заводе создано Вологодское головное КБ по проектированию деревообрабатывающего оборудования.</w:t>
      </w:r>
    </w:p>
    <w:p w14:paraId="26F57E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33001C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  г. Вологды № 2062 от 29.12.1992 г. Решением акционеров от 5.05.1996 г. АООТ преобразовано в ОАО.</w:t>
      </w:r>
    </w:p>
    <w:p w14:paraId="2662773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(1992 г.)-1170 чел.</w:t>
      </w:r>
    </w:p>
    <w:p w14:paraId="2A83EE3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лесопильные рамы Р65-1, Р65-2, ГГС-2 (1930-е) (11982).</w:t>
      </w:r>
    </w:p>
    <w:p w14:paraId="2255A1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271A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 г. приказом НКМВ № 250с завод «Рабочий металлист» НКМВ переименован в завод № 773 в ведении 2ГУ (Завод № 773 НКМВ, Завод наследниц Л.Ф. Пло, Завод «Рабочий металлист» НКМВ, Костромской экскаваторный завод, ОАО, ООО «ЭКСКО» /г. Рига;  г. Кострома/ /156604  г. Кострома Инженерный пер., 3/).</w:t>
      </w:r>
      <w:r w:rsidRPr="00722885">
        <w:rPr>
          <w:rFonts w:ascii="Times New Roman" w:hAnsi="Times New Roman"/>
          <w:color w:val="000000" w:themeColor="text1"/>
          <w:sz w:val="16"/>
          <w:szCs w:val="16"/>
          <w:vertAlign w:val="superscript"/>
        </w:rPr>
        <w:t>Ш</w:t>
      </w:r>
    </w:p>
    <w:p w14:paraId="593429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годы войны завод выпускал оборонную продукцию, в 1944 г. возобновлен выпуск экскаваторов. С 1948 г. завод специализируется на выпуске механических канатных экскаваторов. В 1960-е  г. - завод «Рабочий металлист». Директор (06.1942 г.)-Киселев.</w:t>
      </w:r>
    </w:p>
    <w:p w14:paraId="412491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122-мм снаряды, авиабомбы ФОТАБ (1942); экскаваторы: тросовой универсальный ЭО-5119 (1990-е); машина бурильная БМ-2501 (1990-е); запчасти для экскаваторов (11982).</w:t>
      </w:r>
    </w:p>
    <w:p w14:paraId="32F1DA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47AF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 г. приказом НКМВ № 250с завод «Армалит» НКМВ переименован в завод № 774 в ведении 2ГУ (Завод № 774 НКМВ, Завод «Армалит» НКМВ, Армавирский государственный весовой завод «Армалит» ММиП, Армавирский приборостроительный завод, ОАО «Армалит» /г. Армавир ул. Карла Маркса, 72 «Армалит» (1948 г.)/ /350000  г. Армавир Краснодарского кр. ул. К. Маркса, 86/).</w:t>
      </w:r>
    </w:p>
    <w:p w14:paraId="701D9A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НКМВ № 241сс от 7.07.1942 г. на заводе прекращен выпуск ХАБ-100. В 1947-48 г. завод «Армалит» - в ведении Главмервеспрома ММиП.</w:t>
      </w:r>
    </w:p>
    <w:p w14:paraId="3ACC80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 г.) цехи: основные: литейный, кузнечный, крупных весов, товарных весов, дизельная; вспомогательные: инструментальный, ремонтно-механический, ремонтно-строительный, парокотельная.</w:t>
      </w:r>
    </w:p>
    <w:p w14:paraId="5257D9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г.)- 190 ед., (1946 г.)- 412 ед., (1947 г.)- 436 ед.</w:t>
      </w:r>
    </w:p>
    <w:p w14:paraId="0F4C01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г.)- 7,5 га; застройки (1947 г.)- 19849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г.)- 13697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г.)- 8335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г.)- 10085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1F14E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г.)- 1104 чел., (1946 г.)- 678 чел., (1947 г.)- 900 чел. Директор (06.1942 г.)- Видгорчик, (1948 г.)- Никитин. Гл. инженер (1948 г.)- Петухов.</w:t>
      </w:r>
    </w:p>
    <w:p w14:paraId="516E0F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авиабомб: АО-2,5, АО-Ю, химических ХАБ-100; 122-мм снаряды, 120-мм мины, ТМ- 35, АМБ (1942);</w:t>
      </w:r>
      <w:r w:rsidRPr="00722885">
        <w:rPr>
          <w:rFonts w:ascii="Times New Roman" w:hAnsi="Times New Roman"/>
          <w:iCs/>
          <w:color w:val="000000" w:themeColor="text1"/>
          <w:sz w:val="16"/>
          <w:szCs w:val="16"/>
        </w:rPr>
        <w:t xml:space="preserve"> весы:</w:t>
      </w:r>
      <w:r w:rsidRPr="00722885">
        <w:rPr>
          <w:rFonts w:ascii="Times New Roman" w:hAnsi="Times New Roman"/>
          <w:color w:val="000000" w:themeColor="text1"/>
          <w:sz w:val="16"/>
          <w:szCs w:val="16"/>
        </w:rPr>
        <w:t xml:space="preserve"> товарные ТПМ-1, ТПМ-2, типа «Фербенкс»; вагонные В-100; для коксовых башен У-75; мех. авт. А-10; ЗА-50 «Хронос № 6»; пресс эксцентриковый ЭР-35 (1947) (11982).</w:t>
      </w:r>
    </w:p>
    <w:p w14:paraId="064712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C69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июля 1942 г. в соответствии с пост. СНК № 837-430сс от 3.06.1942 г. приказом НКМВ № 250с завод «Краснолит» НКМВ переименован в завод № 776 в ведении 2ГУ (Завод № 776 НКМВ, Металлообрабатывающий завод К. Гусника, Екатеринодарский чугунолитейный завод, Завод «Касный литейщик», Завод «Краснолит» </w:t>
      </w:r>
      <w:r w:rsidRPr="00722885">
        <w:rPr>
          <w:rFonts w:ascii="Times New Roman" w:hAnsi="Times New Roman"/>
          <w:color w:val="000000" w:themeColor="text1"/>
          <w:sz w:val="16"/>
          <w:szCs w:val="16"/>
        </w:rPr>
        <w:lastRenderedPageBreak/>
        <w:t>НКМВ, Краснодарский литейно-механический завод «Краснолит» ММиП, Государственный Краснодарский весовой завод «Краснолит» ММиП, Краснодарский завод тензометрических приборов «Тензоприбор», ОАО «Тензоприбор» / г. Екатеринодар,  г. Краснодар ул. Кузнечная, 79 «Краснолит» (1948 г.)/ /350721  г. Краснодар ул. Калинина, 327/). 9.08.1942 г., при вступлении немцев в город, завод в числе других 40 предприятий города был взорван.</w:t>
      </w:r>
    </w:p>
    <w:p w14:paraId="5E7E86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 г. завод «Краснолит» - в ведении Главмервеспрома ММиП. С 1963 г. - Краснодарский завод тензометрических приборов «Тензоприбор».</w:t>
      </w:r>
    </w:p>
    <w:p w14:paraId="36E99D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 г.) цехи: основные: литейный № 1 и 2, механо-сборочный; вспомогательные: ремонтно-механический, инструментальный.</w:t>
      </w:r>
    </w:p>
    <w:p w14:paraId="3B56BB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г.)- 199 ед., (1946 г.)- 81 ед., (1947 г.)- 155 ед.</w:t>
      </w:r>
    </w:p>
    <w:p w14:paraId="0958808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г.)- 4,2 га; застройки (1947 г.)- 9915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г.)- 7521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г.)- 5240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г.)- 7627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23485F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г.)- 717 чел., (1946 г.)- 525</w:t>
      </w:r>
      <w:r w:rsidRPr="00722885">
        <w:rPr>
          <w:rFonts w:ascii="Times New Roman" w:hAnsi="Times New Roman"/>
          <w:iCs/>
          <w:color w:val="000000" w:themeColor="text1"/>
          <w:sz w:val="16"/>
          <w:szCs w:val="16"/>
        </w:rPr>
        <w:t xml:space="preserve"> чел.,</w:t>
      </w:r>
      <w:r w:rsidRPr="00722885">
        <w:rPr>
          <w:rFonts w:ascii="Times New Roman" w:hAnsi="Times New Roman"/>
          <w:color w:val="000000" w:themeColor="text1"/>
          <w:sz w:val="16"/>
          <w:szCs w:val="16"/>
        </w:rPr>
        <w:t xml:space="preserve"> (1947 г.)- 587 чел. Директор (06.1942 г.)- Топоров, (1948 г.)- Зенин. Гл. инженер (1948 г.)- Честников.</w:t>
      </w:r>
    </w:p>
    <w:p w14:paraId="2A8CB5B1" w14:textId="77777777" w:rsidR="00AE7191" w:rsidRPr="00722885" w:rsidRDefault="00AE7191" w:rsidP="00722885">
      <w:pPr>
        <w:widowControl w:val="0"/>
        <w:tabs>
          <w:tab w:val="left" w:pos="8780"/>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82-мм мин, гранат Ф-1 (1942); весы: товарные ВТ-500, ВТ-1000, специальные (1947) (11982).</w:t>
      </w:r>
    </w:p>
    <w:p w14:paraId="73230257" w14:textId="77777777" w:rsidR="00AE7191" w:rsidRPr="00722885" w:rsidRDefault="00AE7191" w:rsidP="00722885">
      <w:pPr>
        <w:widowControl w:val="0"/>
        <w:tabs>
          <w:tab w:val="left" w:pos="8780"/>
        </w:tabs>
        <w:autoSpaceDE w:val="0"/>
        <w:autoSpaceDN w:val="0"/>
        <w:adjustRightInd w:val="0"/>
        <w:spacing w:after="0" w:line="240" w:lineRule="auto"/>
        <w:jc w:val="both"/>
        <w:rPr>
          <w:rFonts w:ascii="Times New Roman" w:hAnsi="Times New Roman"/>
          <w:color w:val="000000" w:themeColor="text1"/>
          <w:sz w:val="16"/>
          <w:szCs w:val="16"/>
        </w:rPr>
      </w:pPr>
    </w:p>
    <w:p w14:paraId="211DC8E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 г. приказом НКМВ № 250с завод «Красный маяк» НКМВ переименован в завод № 777 в ведении 2ГУ (Завод № 777 НКМВ, Завод «Красный маяк» НКМВ, ОАО «Ярославский завод «Красный маяк» /150008  г. Ярославль пр. Машиностроителей, 83/).</w:t>
      </w:r>
      <w:r w:rsidRPr="00722885">
        <w:rPr>
          <w:rFonts w:ascii="Times New Roman" w:hAnsi="Times New Roman"/>
          <w:color w:val="000000" w:themeColor="text1"/>
          <w:sz w:val="16"/>
          <w:szCs w:val="16"/>
          <w:vertAlign w:val="superscript"/>
        </w:rPr>
        <w:t>129</w:t>
      </w:r>
    </w:p>
    <w:p w14:paraId="0EB125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электромеханических и электромагнитных вибраторов для уплотнения бетона (1960-е), выпускал также электродвигатели, трансформаторы.</w:t>
      </w:r>
    </w:p>
    <w:p w14:paraId="3CEB1DD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1960-е  г. назывался «Красный маяк», в 1992 г. преобразован в АООТ, затем - ОАО «Ярославский завод «Красный маяк».</w:t>
      </w:r>
    </w:p>
    <w:p w14:paraId="22E47E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2004-05 г. завод перебазирован из центра города на новую площадку в Заволжский район.</w:t>
      </w:r>
    </w:p>
    <w:p w14:paraId="32CEF8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(2000-е): электрические вибраторы (в 2004 г. выпущено 37 тыс. шт., в 2007 г. - 70 тыс.).</w:t>
      </w:r>
    </w:p>
    <w:p w14:paraId="4932DC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Основной владелец завода (2008 г.)- ЗАО «Вибропромтех».</w:t>
      </w:r>
    </w:p>
    <w:p w14:paraId="3F47A4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(07.2000-08 г.-&gt; К. Сонин.</w:t>
      </w:r>
    </w:p>
    <w:p w14:paraId="3A8CCD5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Исполнительный директор- О. Басовец.</w:t>
      </w:r>
    </w:p>
    <w:p w14:paraId="46AD48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ранцевый огнемет РОКС (1942) (11982).</w:t>
      </w:r>
    </w:p>
    <w:p w14:paraId="00CE0E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D88A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 г. приказом НКМВ № 250с Экскаваторный завод НКМВ переименован в завод № 769 в ведении 2ГУ (Завод № 769 НКМВ, Экскаваторный завод НКМВ, Тюменский завод строительных машин, ООО «Завод «Строймаш» /625630  г. Тюмень ул. Индустриальная, 47/).</w:t>
      </w:r>
      <w:r w:rsidRPr="00722885">
        <w:rPr>
          <w:rFonts w:ascii="Times New Roman" w:hAnsi="Times New Roman"/>
          <w:color w:val="000000" w:themeColor="text1"/>
          <w:sz w:val="16"/>
          <w:szCs w:val="16"/>
          <w:vertAlign w:val="superscript"/>
        </w:rPr>
        <w:t>129</w:t>
      </w:r>
    </w:p>
    <w:p w14:paraId="140F7F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годы войны завод выпускал военную продукцию, а также было построено 10 экскаваторов МК-1. После войны начат выпуск растворо- и бетоносмесителей.</w:t>
      </w:r>
    </w:p>
    <w:p w14:paraId="31A89AD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1992 г. предприятие преобразовано в АО.</w:t>
      </w:r>
    </w:p>
    <w:p w14:paraId="2C4949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(2000-е): бетоносмесители; сельскохозяйственная техника (сенокосилки, сеноворошилки, стогометатели); ТНП (печи, микромельницы, лебедки).</w:t>
      </w:r>
    </w:p>
    <w:p w14:paraId="129D54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(2000-е): пенобетоно-смеситель ПБС-600; растворосмесительная установка СБ-176 (11982).</w:t>
      </w:r>
    </w:p>
    <w:p w14:paraId="38B368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D0C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«Текмаш» Главтекстильмаша НКМВ переименован в завод № 743 (Завод № 743 НКМВ , Завод «Текмаш» НКМВ, Ивановский завод текстильного машиностроения «Ивтекмаш» ММиП / г. Иваново ул. Загородная, 28 «Ивтекмаш» (1948 г.)/) в ведении 1ГУ. В 1947-48 г. «Ивтекмаш» - в ведении Главтекстильлегмаша ММиП.</w:t>
      </w:r>
    </w:p>
    <w:p w14:paraId="6AB621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цехи (1948 г.): основные: механические № 1, № 5, литейный, металлоконструкций, сборочный, заготовительный; вспомогательные: инструментальный, ремонтный, модельный, термический, транспортный.</w:t>
      </w:r>
    </w:p>
    <w:p w14:paraId="683BA5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1960-е  г. - единственный в СССР завод по производству красильно-отделочных агрегатов для текстильной промышленности.</w:t>
      </w:r>
    </w:p>
    <w:p w14:paraId="5359DA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г.)- 506 ед., (1946 г.)- 621 ед., (1947 г.)- 615 ед.</w:t>
      </w:r>
    </w:p>
    <w:p w14:paraId="39270DA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производственная (1947 г.)- 15790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общая (1947 г.)- 25308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2A4425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г.)- 2923 чел., (1946 г.)- 2261 чел., (1947 г.)- 2251 чел.</w:t>
      </w:r>
    </w:p>
    <w:p w14:paraId="135B90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Димов, (1948 г.)- Линьков.</w:t>
      </w:r>
    </w:p>
    <w:p w14:paraId="3AC14F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Егоров.</w:t>
      </w:r>
    </w:p>
    <w:p w14:paraId="251FB5B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головки СБ-4 от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М-30, 76-мм дистанционная граната, бомба ЗАБ-100 (1942); сушильно- барабанный агрегат, центрифуга Д-1200, финиш-декатир; машин: жгутомойная, сушильно-ширильная, шлихтовально-барабанная; каландры, красильный аппарат (1947) (11982).</w:t>
      </w:r>
    </w:p>
    <w:p w14:paraId="4C8A9D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27C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«Пензтекстильмаш» НКМВ переименован в завод № 744 в ведении 1ГУ.</w:t>
      </w:r>
      <w:r w:rsidRPr="00722885">
        <w:rPr>
          <w:rFonts w:ascii="Times New Roman" w:hAnsi="Times New Roman"/>
          <w:color w:val="000000" w:themeColor="text1"/>
          <w:sz w:val="16"/>
          <w:szCs w:val="16"/>
          <w:vertAlign w:val="superscript"/>
        </w:rPr>
        <w:t>129</w:t>
      </w:r>
      <w:r w:rsidRPr="00722885">
        <w:rPr>
          <w:rFonts w:ascii="Times New Roman" w:hAnsi="Times New Roman"/>
          <w:color w:val="000000" w:themeColor="text1"/>
          <w:sz w:val="16"/>
          <w:szCs w:val="16"/>
        </w:rPr>
        <w:t xml:space="preserve"> По 1945 г. имел наименование завод № 744 (Завод № 744 НКМВ, Пензенский завод текстильного машиностроения («Пензтекстильмаш», «Пензтекмаш») НКМВ, ММиП, АООТ, ОАО «Пензтекстильмаш» /г. Пенза ул. Каракозовская, 33 «Пензтекстильмаш» (1948 г.)/ /440061  г. Пенза ул. Каракозова, 33/).</w:t>
      </w:r>
    </w:p>
    <w:p w14:paraId="3206065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завод «Пензтекстильмаш» - в ведении Главтекстильлегмаша ММиП.</w:t>
      </w:r>
    </w:p>
    <w:p w14:paraId="2C2D028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(1947 г.) цехи: основные: заготовительный, литейный, рифленых цилиндров, механосборочный, механический, малярно-упаковочный; вспомогательные: инструментальный, ремонтно- механический, электроцех, ремонтно-строительный, теплосиловой, транспортный.</w:t>
      </w:r>
    </w:p>
    <w:p w14:paraId="55C5E7B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1945 г. завод перешел на выпуск токарно-универсальных станков, в этом же году начато освоение текстильного машиностроения. В 1959 г. завод первым в стране наладил выпуск ленточных машин для хлопка, штапельного и искусственного волокна. В 1980-е  г. разрабатывались машины собственной конструкции. Кроме того, в 1980-е  г. освоено производство оборудования для цветной металлургии и кабельной промышленности. В 1982 г. начата разработка гладильных прессов.</w:t>
      </w:r>
    </w:p>
    <w:p w14:paraId="2457B4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1992 г. завод преобразован в АООТ «Пензтекстильмаш».</w:t>
      </w:r>
    </w:p>
    <w:p w14:paraId="53BDC5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 г.)- 219 ед., (1947 г.)- 248 ед.</w:t>
      </w:r>
    </w:p>
    <w:p w14:paraId="325354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г.)- 4,8 га; застройки (1947 г.)- 8090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 г.)- 4027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г.)- 4290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1DCC5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 г.)- 821 чел., (1947 г.)- 795 чел.</w:t>
      </w:r>
    </w:p>
    <w:p w14:paraId="4D9F2D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(1941 г.-)- Н.А. Смелов, (06.1942 г.)- Н.Д. Павлов, (ВОВ)- П.Т. Стрельцов, Д.Д. Гридин, (1948 г.)- В.Н. Лавров, Ф.П. Борисов, Н.А. Ивашин, А.С. Сафронов, И.Ф. Болотин. Гендиректор (1995 г.)- И.П. Купцов.</w:t>
      </w:r>
    </w:p>
    <w:p w14:paraId="6EAF3F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Альтшулер.</w:t>
      </w:r>
    </w:p>
    <w:p w14:paraId="543008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37-мм снарядов, 50-мм мин (1942); станки: токарно-универсальный ТУ-4 (1945-47-); </w:t>
      </w:r>
      <w:r w:rsidRPr="00722885">
        <w:rPr>
          <w:rFonts w:ascii="Times New Roman" w:hAnsi="Times New Roman"/>
          <w:iCs/>
          <w:color w:val="000000" w:themeColor="text1"/>
          <w:sz w:val="16"/>
          <w:szCs w:val="16"/>
        </w:rPr>
        <w:t>машины:</w:t>
      </w:r>
      <w:r w:rsidRPr="00722885">
        <w:rPr>
          <w:rFonts w:ascii="Times New Roman" w:hAnsi="Times New Roman"/>
          <w:color w:val="000000" w:themeColor="text1"/>
          <w:sz w:val="16"/>
          <w:szCs w:val="16"/>
        </w:rPr>
        <w:t xml:space="preserve"> ленточные: ЛН-4-4 (1946-47-), ЛВС (1947), по переработке химволокон РС-220-ИС, ЛР-230-ИС (1964-), скоростные Л2-50 (1978), ЛАТ-50, ЛАВ-50, ЛВА-1 (1980-е); гребнечесальная ГД-12 (1950-), для чесания короткого льняного волокна ГК-185-Л, лентосоединительные СЛС (1947), РС-2-260П, холстовытяжные ХВ (1947), ХОМ-80 (1972); гладильные прессы ПСП, НПП (1980-е); изолировочные машины ОГ-8, ОГ-12 (1980-е); тестоокруглительная машина </w:t>
      </w:r>
      <w:r w:rsidRPr="00722885">
        <w:rPr>
          <w:rFonts w:ascii="Times New Roman" w:hAnsi="Times New Roman"/>
          <w:color w:val="000000" w:themeColor="text1"/>
          <w:sz w:val="16"/>
          <w:szCs w:val="16"/>
          <w:lang w:val="en-US"/>
        </w:rPr>
        <w:t>Tl</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XTH</w:t>
      </w:r>
      <w:r w:rsidRPr="00722885">
        <w:rPr>
          <w:rFonts w:ascii="Times New Roman" w:hAnsi="Times New Roman"/>
          <w:color w:val="000000" w:themeColor="text1"/>
          <w:sz w:val="16"/>
          <w:szCs w:val="16"/>
        </w:rPr>
        <w:t xml:space="preserve"> (1984-); вальцовые мельницы «Фермер-1», «Фермер-2» (1994-).</w:t>
      </w:r>
    </w:p>
    <w:p w14:paraId="51B652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Орловский завод текстильного машиностроения, Орловский машиностроительный завод «Текмаш» ММиП, ОАО «Орелтекмаш» /г. Орел ул. Московская, 155 «Текмаш» (1948 г.)/</w:t>
      </w:r>
    </w:p>
    <w:p w14:paraId="5A8152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текстильных машин (пеньковые: ленточные, гильспининги; льняные: ленточные, банкаброши; рифленые цилиндры; хлопчатобумажные банкаброши).</w:t>
      </w:r>
    </w:p>
    <w:p w14:paraId="2E3D7D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 г. после начала войны Орловский завод текстильного машиностроения эвакуирован: основная часть - в Пензу, где 27.12.1941 г. создан завод № 744 НКМВ; другая часть - на площадку Кузнецкого завода текстильного машиностроения, где был создан завод № 748 НКМВ.</w:t>
      </w:r>
    </w:p>
    <w:p w14:paraId="080380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5.08.1944 г. вышло распоряжение ГКО № 6316 об установке на заводе «Текмаш» в Орле дизельагрегатов и их пуске в 1944 г. В 1947 г. завод «Текмаш» - в ведении Главтекстильлегмаша ММиП. В 1960-е  г. - производство автоматических линий и машин для легкой и пищевой промышленности.</w:t>
      </w:r>
    </w:p>
    <w:p w14:paraId="096368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(1947 г.) цехи: основные: литейный, заготовительный, механический, сборочный, массовых деталей; вспомогательные: инструментальный, термический, модельный, котельно-компрессорная, ремонтно- механический, кислородная станция, электроцех, экспериментальный, ремонтно-строительный.</w:t>
      </w:r>
    </w:p>
    <w:p w14:paraId="459BEE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A212E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г.)- 825 ед., (1946 г.)- 407 ед., (1947 г.)- 524 ед.</w:t>
      </w:r>
    </w:p>
    <w:p w14:paraId="35FE1C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г.)- 18 га; застройки (1947 г.)- 35413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г.)- 39963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г.)- 8127 м , (1947 г.)- 11782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09486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г.)- 4039 чел., (1946 г.)-1187 чел., (1947 г.)- 1341 чел.</w:t>
      </w:r>
    </w:p>
    <w:p w14:paraId="0CF299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(1948 г.)- Иванов.</w:t>
      </w:r>
    </w:p>
    <w:p w14:paraId="51EAA6E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Усиков.</w:t>
      </w:r>
    </w:p>
    <w:p w14:paraId="321243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машины: банкаброш оческов ОБ, ленточная оческов ЛОС, ленточная пеньковая ЛПС, куделеприг КММ, трясилка ТГ, трепальная ОТ; пресс для волокна РП, веретена УБВ, рогульки УБР, полотна гребенок ПГ, финишер пеньковый ФП-1 (1947).</w:t>
      </w:r>
      <w:r w:rsidRPr="00722885">
        <w:rPr>
          <w:rFonts w:ascii="Times New Roman" w:hAnsi="Times New Roman"/>
          <w:color w:val="000000" w:themeColor="text1"/>
          <w:sz w:val="16"/>
          <w:szCs w:val="16"/>
          <w:vertAlign w:val="superscript"/>
        </w:rPr>
        <w:t>129</w:t>
      </w:r>
    </w:p>
    <w:p w14:paraId="01C23B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Орловский машиностроительный завод им. М. Г. Медведева ММиП /г. Орел ул. Московская, 69 «Завод Медведева» (1948 г.)/</w:t>
      </w:r>
    </w:p>
    <w:p w14:paraId="137132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Основан в 1867 г. Вначале велось производство аппаратов для розлива минеральной воды. Затем - плугов и гирь.</w:t>
      </w:r>
    </w:p>
    <w:p w14:paraId="789EED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1919 г. присвоено имя М. Г. Медведева.</w:t>
      </w:r>
    </w:p>
    <w:p w14:paraId="040FC9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соответствии с пост. ЭКОСО при СНК № 684-142сс от 23.09.1938 г. по пр. НКОП № 395сс от 8.10.1938 г. на завод с завода № 7 ЗГУ с 01.1939 г. передано </w:t>
      </w:r>
      <w:r w:rsidRPr="00722885">
        <w:rPr>
          <w:rFonts w:ascii="Times New Roman" w:hAnsi="Times New Roman"/>
          <w:color w:val="000000" w:themeColor="text1"/>
          <w:sz w:val="16"/>
          <w:szCs w:val="16"/>
        </w:rPr>
        <w:lastRenderedPageBreak/>
        <w:t>производство банкаброшных рогулек (для текстильной промышленности).</w:t>
      </w:r>
    </w:p>
    <w:p w14:paraId="6CA2D58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завод - в ведении Главтекстильлегмаша ММиП.</w:t>
      </w:r>
    </w:p>
    <w:p w14:paraId="3DE618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цехи (1947 г.) цехи: основные: механический, ламельный; вспомогательные: дизельный, котельная.</w:t>
      </w:r>
    </w:p>
    <w:p w14:paraId="3F44B20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г.)- 827 ед., (1946 г.)- 28 ед., (1947 г.)- 93 ед.</w:t>
      </w:r>
    </w:p>
    <w:p w14:paraId="496F27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г.)- 18,2 га; производственная (1939 г.)- 18626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г.)- 1009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г.)- 1073 м2.</w:t>
      </w:r>
    </w:p>
    <w:p w14:paraId="48516C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г.)- 2296 чел., (1946 г.)- 72 чел., (1947 г.)- 225 чел.</w:t>
      </w:r>
    </w:p>
    <w:p w14:paraId="76AF651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(1948 г.)- Тимохин.</w:t>
      </w:r>
    </w:p>
    <w:p w14:paraId="41C526E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Бич.</w:t>
      </w:r>
    </w:p>
    <w:p w14:paraId="43722A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прибор ламельный ПМД-46; станки: ткацкие </w:t>
      </w:r>
      <w:r w:rsidRPr="00722885">
        <w:rPr>
          <w:rFonts w:ascii="Times New Roman" w:hAnsi="Times New Roman"/>
          <w:color w:val="000000" w:themeColor="text1"/>
          <w:sz w:val="16"/>
          <w:szCs w:val="16"/>
          <w:lang w:val="en-US"/>
        </w:rPr>
        <w:t>ATK</w:t>
      </w:r>
      <w:r w:rsidRPr="00722885">
        <w:rPr>
          <w:rFonts w:ascii="Times New Roman" w:hAnsi="Times New Roman"/>
          <w:color w:val="000000" w:themeColor="text1"/>
          <w:sz w:val="16"/>
          <w:szCs w:val="16"/>
        </w:rPr>
        <w:t xml:space="preserve">, </w:t>
      </w:r>
      <w:r w:rsidRPr="00722885">
        <w:rPr>
          <w:rFonts w:ascii="Times New Roman" w:hAnsi="Times New Roman"/>
          <w:color w:val="000000" w:themeColor="text1"/>
          <w:sz w:val="16"/>
          <w:szCs w:val="16"/>
          <w:lang w:val="en-US"/>
        </w:rPr>
        <w:t>JTA</w:t>
      </w:r>
      <w:r w:rsidRPr="00722885">
        <w:rPr>
          <w:rFonts w:ascii="Times New Roman" w:hAnsi="Times New Roman"/>
          <w:color w:val="000000" w:themeColor="text1"/>
          <w:sz w:val="16"/>
          <w:szCs w:val="16"/>
        </w:rPr>
        <w:t>, АМХ-5, 1ТСА, 2ТСА, ЗТСА, ЛШ; уточно-перемоточный (1947) (11982).</w:t>
      </w:r>
    </w:p>
    <w:p w14:paraId="0DE023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C6A3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СНК № 837-430сс от 3.06.1942 г. завод «Текмаш» Главтекстильмаша НКМВ переименован в завод № 745 в ведении ЗГУ (Завод № 745 им. М.В. Фрунзе НКМВ, Завод «Текмаш» НКМВ, Машиностроительный завод им. М.В. Фрунзе ММиП, Шуйский машиностроительный завод им. М.В. Фрунзе, ОАО «Шуйский машиностроительный завод им. М.В. Фрунзе», Шуйская машиностроительная компания /155600  г. Шуя Ивановской обл. ул. 1-я Нагорная, 16 «Завод Фрунзе»/).</w:t>
      </w:r>
    </w:p>
    <w:p w14:paraId="617D5F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 ГКО № 1962сс от 4.07.1942 г. и приказом НКМВ № 237сс от 7.07.1942 г. заводу установлен план выпуска на 3-й квартал 1942 г. 120-мм минометов - 340 шт.</w:t>
      </w:r>
    </w:p>
    <w:p w14:paraId="21C173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Шуйский завод им. Фрунзе - в ведении Главтекстильлегмаша ММиП. В 1960-е  г. - Шуйский машиностроительный завод им. Фрунзе.</w:t>
      </w:r>
    </w:p>
    <w:p w14:paraId="156EEB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(1947 г.) цехи: основные: литейный, механический, сборочный, модельный, кузнечный, нормалей; вспомогательные: инструментальный, ремонтно механический, ремонтно-строительный.</w:t>
      </w:r>
    </w:p>
    <w:p w14:paraId="5B4540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ткацких станков (1960-е  г.).</w:t>
      </w:r>
    </w:p>
    <w:p w14:paraId="0ACB98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г.)- 181 ед., (1946 г.)- 268 ед., (1947 г.)- 310 ед.</w:t>
      </w:r>
    </w:p>
    <w:p w14:paraId="3F932C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г.)- 8,94 га; застройки (1947 г.)- 11532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г.)- 6795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г.)- 4138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г.)- 4302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0C1409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г.)- 1303 чел., (1946 г.)-1108 чел., (1947 г.)- 1071 чел.</w:t>
      </w:r>
    </w:p>
    <w:p w14:paraId="77B3E33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Линьков, (1948 г.)- Леонов.</w:t>
      </w:r>
    </w:p>
    <w:p w14:paraId="4B1FD4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Гарин.</w:t>
      </w:r>
    </w:p>
    <w:p w14:paraId="1F1B82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120-мм минометы; корпуса 45-мм снарядов (1942); станки: ткацкие ЭТП-66, СЛ-1; многоручный Р; машины: сновальная С, браковочно-мерильная БМК; тростильная Т; токарный станок СТ (1947) (11982).</w:t>
      </w:r>
    </w:p>
    <w:p w14:paraId="7D5B5C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9AC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СНК № 837-430сс от 3.06.1942 г. завод «Леншвеймаш» НКМВ переименован в завод № 754 в ведении ЗГУ (Завод № 754 НКМВ, Ленинградский завод швейных машин «Леншвеймаш» НКМВ /г. Ленинград/) (11982).</w:t>
      </w:r>
    </w:p>
    <w:p w14:paraId="038FC2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43D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правительства № 837-430сс от 3.06.1942 г. Пресненский механический завод НКМВ переименован в завод № 755 в ведении 1ГУ (Завод № 755 НКМВ, Пресненский механический завод НКМВ, Пресненский машиностроительный завод НКМВ, ММиП, ОАО «Пресненский машиностроительный завод» /г. Москва 2-я Звенигородская ул., 7 «Самовес» (1947 г.)/ / г. Москва 2-я Звенигородская ул., 13 тел. 256-31-65/).</w:t>
      </w:r>
    </w:p>
    <w:p w14:paraId="4C8243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Пресненский машиностроительный завод - в ведении Главтекстильлегмаша ММиП.</w:t>
      </w:r>
    </w:p>
    <w:p w14:paraId="3C7363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(1947 г.) цехи: основные: 1-й и 2-й механические, станкостроительный, литейный, сборочный, штамповочный, кузнечно-заготовительный, нормалей; вспомогательные: цеха ОГМ, строительный, модельный, инструментальный, центральная котельная.</w:t>
      </w:r>
    </w:p>
    <w:p w14:paraId="31B893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Был в 1975 г. Производство оборудования для текстильной промышленности (2000 г.).</w:t>
      </w:r>
    </w:p>
    <w:p w14:paraId="10FE5F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г.)- 362 ед., (1946 г.)- 490 ед., (1947 г.)- 630 ед.</w:t>
      </w:r>
    </w:p>
    <w:p w14:paraId="09B0E2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г.)- 4,4 га; застройки (1947 г.)- 13737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г.)- 14255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г.)- 10455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г.)- 11567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61FA99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г.)- 1582 чел., (1946 г.)- 1398 чел., (1947 г.)- 1416 чел. Директор (06.1942 г.)- Демин, (1948 г.)- Гусев. Гендиректор (-2000-03 г.-)- А.А. Громадчук. Гл. инженер (1948 г.)- Володенко.</w:t>
      </w:r>
    </w:p>
    <w:p w14:paraId="65D851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82-мм мин (1942); машины текстильные: однопрочесная Ш-110, двухпрочесная РШ- 221, трехпрочесная РШ-311, кардокамвольная КФ-211, щипальная ЩЗ-4; станок шлифовальный ПКШ (1947) (11982).</w:t>
      </w:r>
    </w:p>
    <w:p w14:paraId="36C23B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F0A8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СНК № 837-430сс от 3.06.1942 г. завод «Вперед» НКМВ переименован в завод № 756 в ведении ЗГУ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  г. Петроград,  г. Ленинград наб. р. Смоленки, 19-21 «Вперед» (1948 г.)/).</w:t>
      </w:r>
      <w:r w:rsidRPr="00722885">
        <w:rPr>
          <w:rFonts w:ascii="Times New Roman" w:hAnsi="Times New Roman"/>
          <w:color w:val="000000" w:themeColor="text1"/>
          <w:sz w:val="16"/>
          <w:szCs w:val="16"/>
          <w:vertAlign w:val="superscript"/>
        </w:rPr>
        <w:t>129</w:t>
      </w:r>
      <w:r w:rsidRPr="00722885">
        <w:rPr>
          <w:rFonts w:ascii="Times New Roman" w:hAnsi="Times New Roman"/>
          <w:color w:val="000000" w:themeColor="text1"/>
          <w:sz w:val="16"/>
          <w:szCs w:val="16"/>
        </w:rPr>
        <w:t xml:space="preserve"> Производство боеприпасов.</w:t>
      </w:r>
      <w:r w:rsidRPr="00722885">
        <w:rPr>
          <w:rFonts w:ascii="Times New Roman" w:hAnsi="Times New Roman"/>
          <w:color w:val="000000" w:themeColor="text1"/>
          <w:sz w:val="16"/>
          <w:szCs w:val="16"/>
          <w:vertAlign w:val="superscript"/>
        </w:rPr>
        <w:t>65</w:t>
      </w:r>
    </w:p>
    <w:p w14:paraId="28C3282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61E7E4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182804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г.)- 2,97 га; застройки (1947 г.)- 7957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г.)- 5189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г.)- 5509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г.)- 5878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52458BB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510EE54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722885">
        <w:rPr>
          <w:rFonts w:ascii="Times New Roman" w:hAnsi="Times New Roman"/>
          <w:color w:val="000000" w:themeColor="text1"/>
          <w:sz w:val="16"/>
          <w:szCs w:val="16"/>
          <w:vertAlign w:val="superscript"/>
        </w:rPr>
        <w:t>Ш,П4</w:t>
      </w:r>
      <w:r w:rsidRPr="00722885">
        <w:rPr>
          <w:rFonts w:ascii="Times New Roman" w:hAnsi="Times New Roman"/>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437E5B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79E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22885">
        <w:rPr>
          <w:rFonts w:ascii="Times New Roman" w:hAnsi="Times New Roman"/>
          <w:color w:val="000000" w:themeColor="text1"/>
          <w:sz w:val="16"/>
          <w:szCs w:val="16"/>
        </w:rPr>
        <w:t>7 июля 1942 г. приказом НКМВ № 250с завод № 760 передан в ведение ЗГУ (Завод № 760 НКМВ, Областной завод дорожного машиностроения («Облдормаш», «Дормашзавод»), Минометный завод НКМВ, Уральский компрессорный завод (УКЗ) ММиП, ОАО «УКЗ» /г. Свердловск, 7 «Уралкомпрессор» (1948 г.)/ /620007  г. Екатеринбург ул. Эстонская, 6/).</w:t>
      </w:r>
      <w:r w:rsidRPr="00722885">
        <w:rPr>
          <w:rFonts w:ascii="Times New Roman" w:hAnsi="Times New Roman"/>
          <w:color w:val="000000" w:themeColor="text1"/>
          <w:sz w:val="16"/>
          <w:szCs w:val="16"/>
          <w:vertAlign w:val="superscript"/>
        </w:rPr>
        <w:t>129</w:t>
      </w:r>
    </w:p>
    <w:p w14:paraId="2AC821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 г. после начала войны на площадку завода эвакуированы Смоленский завод «Дормаш» и Воронежский завод им. Коминтерна (затем восстановлен в Воронеже как завод № 723). На базе трех заводов в начале 1942 г. образован единый Минометный завод НКМВ. В 06.1942 г. завод № 760 - в ведении Главстройдревмаша НКМВ.</w:t>
      </w:r>
    </w:p>
    <w:p w14:paraId="5AB773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Налажен выпуск реактивных минометов «Катюша». Приказом НКМВ № 201сс от 7.06.1942 г. заводу поручено организовать производство ХАБ-100 с выпуском в 06.1942 г. 1000 шт; приказом НКМВ № 232с от 1.07.1942 г. заводу поручено организовать выпуск электродов для производства химбоеприпасов. Пост. ГКО № 1962сс от 4.07.1942 г. и приказом НКМВ № 237сс от 7.07.1942 г. заводу установлен план выпуска на 3-й квартал 1942 г. 82- мм минометов- 2900 шт.</w:t>
      </w:r>
    </w:p>
    <w:p w14:paraId="4ADE3B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1944 г. наряду с выпуском минометов начато освоение производства аэродромных компрессорных станций для заправки боевых самолетов сжатым воздухом. В 1945 г. начат их серийный выпуск, и завод стал специализироваться на данной продукции.</w:t>
      </w:r>
    </w:p>
    <w:p w14:paraId="4A987E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02.1946 г. пост. СНК завод переименован в Уральский компрессорный, в 1947-53 г. завод - в ведении Главхиммаша ММиП.</w:t>
      </w:r>
    </w:p>
    <w:p w14:paraId="57468A9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(1947 г.) цехи: основные: механо-сборочный № 1, механический № 2, котельно-прессовый № 3, литейный № 5; вспомогательные: инструментальный № 4, ремонтно-механический № 6, электроцех № 8, ремонтно-строительный № 9, транспортный № 10. Кроме того, (1953 г.): основные: сборочный № 7, механический №13, деревообрабатывающий № 9, термический № 22.</w:t>
      </w:r>
    </w:p>
    <w:p w14:paraId="4840B60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1956 г. выпускались передвижные авиационные компрессорные станции сжатого воздуха, кислорода, углекислого газа. Затем проведено техническое перевооружение производства, построены новые цехи. Освоен выпуск компрессоров для энергетики, химической и нефтегазовой промышленности. В 1956 г. выпущены первые компрессоры для воздушных высоковольтных выключателей в составе распределительных устройств электростанций. К 1970-м  г. их построено около 3000.</w:t>
      </w:r>
    </w:p>
    <w:p w14:paraId="7594E4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начала 1990-х  г. освоено производство компрессорных станций и азотных компрессорных комплексов для нефтяных скважин, газонаполнительных станций.</w:t>
      </w:r>
    </w:p>
    <w:p w14:paraId="6C1732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предприятие было акционировано и преобразовано в АО. Продолжен выпуск компрессоров для авиационной и РКТ. С 2004 г. на базе УКЗ налажен выпуск криогенного оборудования под маркой «Уралкриотехника».</w:t>
      </w:r>
    </w:p>
    <w:p w14:paraId="50E8C47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г.)- 81 ед., (1946 г.)- 460 ед., (1947 г.)- 464 ед., (1953 г.)- 449 ед.</w:t>
      </w:r>
    </w:p>
    <w:p w14:paraId="0CC5E0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г.)- 7,9 га, (1953 г.)- 15,29 га; застройки (1947 г.)- 11436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(1953 г.)- 41888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г.)- 2692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г.)- 10639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г.)- 11206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(1953 г.)- 14646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1E48FF5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г.)- 423 чел., (1946 г.)- 969 чел., (1947 г.)- 937 чел., (1953 г.)- 1495 чел.</w:t>
      </w:r>
    </w:p>
    <w:p w14:paraId="7178E38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Директор (06.1942 г.)- Салтанов, (1948 г.)- Суворов.</w:t>
      </w:r>
    </w:p>
    <w:p w14:paraId="45BCB47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Ахмечет.</w:t>
      </w:r>
    </w:p>
    <w:p w14:paraId="736402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82-мм минометы; стабилизаторы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М-30, авиабомбы ЗАБ-50 (1942); аэродромно- компрессорная станция АКС-2 (-1947-53-), -80 (1953), автомобильная кислородно-зарядная станция АКЗС-40, компрессорная станция СМ-14 (1953); вакуум-фильтр ФДШ; шахтный регулятор давления ШРД (1947) (11982).</w:t>
      </w:r>
    </w:p>
    <w:p w14:paraId="5EC407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2166D0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СНК № 837-430сс от 3.06.1942 г. Механический завод НКМВ переименован в завод № 716 в ведении 2ГУ (Завод № 716 НКМВ, Дмитровский чугунолитейный завод, Дмитровский экскаваторный завод, Механический завод НКМВ, ФГУП «Дмитровский экскаваторный завод» /141800  г. Дмитров Московской обл. ул. Пушкинская, 1/).</w:t>
      </w:r>
    </w:p>
    <w:p w14:paraId="004E7E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Дмитровский завод был единственным действующим заводом по выпуску траншейных экскаваторов, им в этот год было выпущено два экскаватора. В 1956 г. изготовлено 439 экскаваторов. *</w:t>
      </w:r>
    </w:p>
    <w:p w14:paraId="5E47DC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экскаваторы</w:t>
      </w:r>
      <w:r w:rsidRPr="00722885">
        <w:rPr>
          <w:rFonts w:ascii="Times New Roman" w:hAnsi="Times New Roman"/>
          <w:color w:val="000000" w:themeColor="text1"/>
          <w:sz w:val="16"/>
          <w:szCs w:val="16"/>
        </w:rPr>
        <w:t>: многоковшовый МК-1 (1934-), канавокопатели МК-1М (1947-), ЭТ-351 (-1951), ЭТН-352 (1951-55); роторные КГ-65 (1940-е-54), ЭТР-152 (1954-56), БТМ на базе артиллерийского тягача «409У» (1957-70-е); цепной ЭТ-251 (1940-е-55); универсальный траншейный ЭТУ-353 (1956-) 911982).</w:t>
      </w:r>
    </w:p>
    <w:p w14:paraId="05F5F5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E202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СНК № 837-430сс от 3.06.1942 г. завод «Дормашин» НКМВ переименован в завод № 761 в ведении 2ГУ (Завод № 761 НКМВ, Завод «Дормашин» НКМВ, Курганский завод дорожных машин, ОАО «Курганский завод дорожных машин» /640000  г. Курган ул. Урицкого, 36/).</w:t>
      </w:r>
    </w:p>
    <w:p w14:paraId="2F841D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 г. после начала войны в Курган был эвакуирован Кременчугский завод дорожных машин, и образован завод «Дормашин».</w:t>
      </w:r>
    </w:p>
    <w:p w14:paraId="7A7762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годы войны выпускал военную технику, минометы, детали орудий, снаряды, мины.</w:t>
      </w:r>
    </w:p>
    <w:p w14:paraId="510C1C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окончания войны начат выпуск топливозаправщиков, сначала для армии, а затем и для народного хозяйства. Позднее освоен выпуск битумовозов, гудронаторов, машин для содержания автомобильных дорог, коммунальной техники.</w:t>
      </w:r>
    </w:p>
    <w:p w14:paraId="58B408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Курганский завод дорожных машин был в 1960-е  г. (11982).</w:t>
      </w:r>
    </w:p>
    <w:p w14:paraId="0DAFB02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52F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Завод № 762 НКМВ, Завод «Механик» НКМВ, ММиП, Тюменский станкостроительный завод (ТСЗ), ОАО «ТСЗ» /г. Тюмень ул. Механическая/ /625631  г. Тюмень ул. Станкостроителей, 1/ был передан в ведение 2ГУ, в 01.1946 г. - в ведении 7ГУ.</w:t>
      </w:r>
      <w:r w:rsidRPr="00722885">
        <w:rPr>
          <w:rFonts w:ascii="Times New Roman" w:hAnsi="Times New Roman"/>
          <w:color w:val="000000" w:themeColor="text1"/>
          <w:sz w:val="16"/>
          <w:szCs w:val="16"/>
          <w:vertAlign w:val="superscript"/>
        </w:rPr>
        <w:t>129</w:t>
      </w:r>
      <w:r w:rsidRPr="00722885">
        <w:rPr>
          <w:rFonts w:ascii="Times New Roman" w:hAnsi="Times New Roman"/>
          <w:color w:val="000000" w:themeColor="text1"/>
          <w:sz w:val="16"/>
          <w:szCs w:val="16"/>
        </w:rPr>
        <w:t xml:space="preserve"> В годы войны завод выпускал минометы, мины, корпуса артиллерийских снарядов. По приказу НКМВ № 203сс от 7.06.1942 г. на завод мобилизовано 100 рабочих.</w:t>
      </w:r>
    </w:p>
    <w:p w14:paraId="69EB7E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XIX в. А. Заколяпиным была основана литейная мастерская, в 1899 г. она была куплена Н. Машаровым и преобразована в чугуно-литейный завод. В то же году начато строительство кирпичного здания, в котором разместились литейный и слесарно-механический цехи, гвоздильное отделение. Завод выпускал художественное, посудное и печное литье, гвозди. Затем освоен выпуск молотилок, веялок, маслобоек.</w:t>
      </w:r>
    </w:p>
    <w:p w14:paraId="0A6BB6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1925 г. на заводе изготовлена лесопильная рама «Болиндер». С 1929 г. налажен выпуск шпалорезных станков.</w:t>
      </w:r>
    </w:p>
    <w:p w14:paraId="61385E9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 завод «Механик» НКМВ. В 06.1942 г. завод № 762 - в ведении Главстройдревмаша НКМВ.</w:t>
      </w:r>
    </w:p>
    <w:p w14:paraId="4A91D8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завод - в ведении Главбумдревмаша ММиП (есть упоминание, что завод № 762 в 1947 г. действовал в Ташкенте).</w:t>
      </w:r>
    </w:p>
    <w:p w14:paraId="58237E6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(1946 г.): боеприпасы, шпалорезы, фуговки, лесорамы, токарные станки.</w:t>
      </w:r>
    </w:p>
    <w:p w14:paraId="64B40D8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1966 г. завод переименован в ТСЗ, а ул. Механическая переименована в ул. Станкостроителей.</w:t>
      </w:r>
    </w:p>
    <w:p w14:paraId="6A76E5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2005 г. завод перебазирован на новую площадку в районе дер. Будино.</w:t>
      </w:r>
    </w:p>
    <w:p w14:paraId="6E5059C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(1944 г.)- 1379 чел., (1945 г.)-1210 чел.</w:t>
      </w:r>
    </w:p>
    <w:p w14:paraId="1B925E6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Родионов; и.о. (26.01.1946 г.)- В.В. Раковский; (1946 г.-)- А.Н. Ахлюстин (пр. № 600-к от 27.12.1945 г.).</w:t>
      </w:r>
    </w:p>
    <w:p w14:paraId="593B4C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механик (1946 г.)- Коробейников.</w:t>
      </w:r>
    </w:p>
    <w:p w14:paraId="52E87EF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снабжения (1946 г.)- Архипов; сбыта (1946 г.)- Алипов, Ямпольский; ОКС (1946 г.)- Юркин; ППО (1946 г.)- Сюзев; технического (1946 г.)- Святненко; ОТиЗ (1946 г.)- Козковский; ОТК (1946 г.)- Прижепюрко; Спецотдела (1946 г.)- Курмильцев; АХО (1946 г.)- Шульга; ОК (1946 г.)- Калабина.</w:t>
      </w:r>
    </w:p>
    <w:p w14:paraId="3C5B12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мин 82-мм, 120-мм, 122-мм снаряды (1942) (11982).</w:t>
      </w:r>
    </w:p>
    <w:p w14:paraId="0CDC24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B24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завод № 763 (Завод № 763 НКМВ, Вятские мастерские пожарных машин, Государственный чугунолитейный и механический завод № 1, Завод «Вятский металлист», Завод «Кировский металлист» НКМВ, ММиП, Кировский станкостроительный завод, АООТ, ОАО «Кировский станкостроительный завод» /610000  г. Киров ул. Московская, 32/) передан в ведение ЗГУ.</w:t>
      </w:r>
      <w:r w:rsidRPr="00722885">
        <w:rPr>
          <w:rFonts w:ascii="Times New Roman" w:hAnsi="Times New Roman"/>
          <w:color w:val="000000" w:themeColor="text1"/>
          <w:sz w:val="16"/>
          <w:szCs w:val="16"/>
          <w:vertAlign w:val="superscript"/>
        </w:rPr>
        <w:t>129</w:t>
      </w:r>
    </w:p>
    <w:p w14:paraId="4D6054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годы войны завод выпускал минометы и боеприпасы к ним. Пост. ГКО № 1962сс от 4.07.1942 г. и приказом НКМВ № 237сс от 7.07.1942 г. заводу установлен план выпуска на 3-й квартал 1942 г. 50-мм минометов- 1050 шт.</w:t>
      </w:r>
    </w:p>
    <w:p w14:paraId="03962D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1918 г. были национализированы и преобразованы в Государственный чугунолитейный и механический завод № 1 мастерские Вятского технического училища, в которых с 1874 было организовано изготовление пожарных машин и с 1880 г. в связи с реорганизацией училища они были преобразованы в самостоятельные Вятские мастерские пожарных машин. Кроме пожарных машин, был налажен выпуск молотилок и конных приводов.Выпускал небольшие бомбы, снаряды, гранаты, армейские повозки, другое обозное имущество. В 1920-е  г., наряду с довоенной продукцией, освоено производство лесопильного оборудования. В 03.1927 г. в состав завода была влита фабрика «Метиз», и завод переименован в «Вятский металлист», с 1934 г. - «Кировский металлист».</w:t>
      </w:r>
    </w:p>
    <w:p w14:paraId="336CDA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99сс от 11.07.1941 г. на площадку завода «Кировский металлист» подлежал эвакуации Завод им. Матвеева НКОМ из Ленинграда. В 06.1942 г. завод № 763 - в ведении Главстройдревмаша НКМВ</w:t>
      </w:r>
    </w:p>
    <w:p w14:paraId="71FCC9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завод «Кировский металлист» - в ведении Главбумдревмаша ММиП. В 1959 г. завод переименован в Кировский станкостроительный. Его специализацией стало заточное оборудование и оборудование по уходу за деревообрабатывающими станками. Являлся единственным в стране (1990-е) предприятием данного профиля.</w:t>
      </w:r>
    </w:p>
    <w:p w14:paraId="09DC31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1992 г. завод преобразован в АООТ.</w:t>
      </w:r>
    </w:p>
    <w:p w14:paraId="5F6FDD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И.О. директора (06.1942 г.)- Раховский. Гендиректор (2003 г.)- П. Торонченко.</w:t>
      </w:r>
    </w:p>
    <w:p w14:paraId="619C776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50-мм минометы; 50-мм мины (1942) (11982).</w:t>
      </w:r>
    </w:p>
    <w:p w14:paraId="4A9EAA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16E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завод в соответствии с пост. СНК № 837-430сс от 3.06.1942 г. «Красный металлист» НКМВ переименован в завод № 764 в ведении 2ГУ (Завод № 764 НКМВ, Чугуно-меднолитейный завод А. Руднева и А. Шмидта, Завод «Красный металлист» НКМВ, ММиП, ЗАО «Красный металлист» /г. Ворошиловск,  г. Ставрополь/ /355000  г. Ставрополь пр. К. Маркса, 2/). В 1943 г. реэвакуировано оборудование завода из Тюмени.</w:t>
      </w:r>
    </w:p>
    <w:p w14:paraId="202665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1922 г. Чугунно-меднолитейный завод А. Руднева и А. Шмидта, основанный в 1902 г., был переименован в «Красный металлист».</w:t>
      </w:r>
    </w:p>
    <w:p w14:paraId="7C1F1C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1932 г. налажен выпуск деревообрабатывающих станков. С 1941 г. перешел на выпуск военной продукции.</w:t>
      </w:r>
    </w:p>
    <w:p w14:paraId="50875B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1942 г. завод эвакуирован в Тюмень, затем восстановлен в Ворошиловскеи от </w:t>
      </w:r>
    </w:p>
    <w:p w14:paraId="73D8E5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1945 г. возобновлен выпуск деревообрабатывающих станков.</w:t>
      </w:r>
    </w:p>
    <w:p w14:paraId="62DF50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 завод «Красный металлист» - в ведении Главбумдревмаша ММиП, был в 1967 г.</w:t>
      </w:r>
    </w:p>
    <w:p w14:paraId="2C1A0B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деревообрабатывающих станков (1967 г.).</w:t>
      </w:r>
    </w:p>
    <w:p w14:paraId="7E2985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2009 г. на предприятии действовало внешнее управление.</w:t>
      </w:r>
    </w:p>
    <w:p w14:paraId="19E890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Клюев. Внешний управляющий (6.04.2009 г.-)- Ю.Ф. Калакутин.</w:t>
      </w:r>
    </w:p>
    <w:p w14:paraId="0A090C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82-мм мин (1942) (11982).</w:t>
      </w:r>
    </w:p>
    <w:p w14:paraId="1843A5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70D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приказом НКМВ № 250с 4-й часовой завод НКМВ переименован в завод № 834 в ведении 5ГУ (Завод № 834 НКМВ, Златоустовский часовой завод НКМВ, ММиП, 4-й часовой завод НКМВ, ОАО «Златоустовский часовой завод» /456200 г. Златоуст Челябинской обл. ул. Ленина, 2 п/я 62 «Баланс» (1948г.)/).</w:t>
      </w:r>
      <w:r w:rsidRPr="00722885">
        <w:rPr>
          <w:rFonts w:ascii="Times New Roman" w:hAnsi="Times New Roman"/>
          <w:color w:val="000000" w:themeColor="text1"/>
          <w:sz w:val="16"/>
          <w:szCs w:val="16"/>
          <w:vertAlign w:val="superscript"/>
        </w:rPr>
        <w:t>129</w:t>
      </w:r>
    </w:p>
    <w:p w14:paraId="534BEF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годы войны выпущено более 300 тыс. приборов времени (92% танковых и 98% авиационных часов) и более 14 млн. деталей боеприпасов.</w:t>
      </w:r>
    </w:p>
    <w:p w14:paraId="232B9E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Златоустовский часовой завод - в ведении Главчаспрома ММиП.</w:t>
      </w:r>
    </w:p>
    <w:p w14:paraId="5B7EB9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цехи (1947г.): основные: механический № 1,2, гшатино-мостовой № 4, сборочный № 8, 9-й, корпусной № 5, термическое отделение; вспомогательные: ремонтно-механический № 7, инструментальный № 6, котельная, компрессорная.</w:t>
      </w:r>
    </w:p>
    <w:p w14:paraId="27ADDD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переведен на выпуск гражданской продукции. В 1950-е г. освоен выпуск часов для слепых, курвиметров, карманных часов, автомобильных, реле времени для стиральных машин. В 1960-е г. налажен выпуск секундомеров суммирующего действия. В 1970-е г. начат выпуск таймера, был разработан и внедрен в производство один из первых в СССР электронный секундомер с цифровой индексацией; на его базе создан счетчик частоты дыхания и пульса. В 1980-е г. был разработан новый противоударный секундомер, 30-минутное реле времени. Затем освоен выпуск переключателя к электроплитам.</w:t>
      </w:r>
    </w:p>
    <w:p w14:paraId="541785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Производство (2000-е): секундомеры механические (единственный завод в России), часы, курвиметры, реле времени, переключатели мощности.</w:t>
      </w:r>
    </w:p>
    <w:p w14:paraId="25774D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(1946г.)- 717 ед., (1947г.)- 517 ед.</w:t>
      </w:r>
    </w:p>
    <w:p w14:paraId="6CE99A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(1947г.)-1,44 га; застройки (1947г.)- 4262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(1946-47г.)-</w:t>
      </w:r>
    </w:p>
    <w:p w14:paraId="58DA687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3238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DE5757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(1946г.)- 1147 чел., (1947г.)- 1123 чел.</w:t>
      </w:r>
    </w:p>
    <w:p w14:paraId="76D83B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(06-07.1942г.)- Бочаров, (1948г.)- Печенов.</w:t>
      </w:r>
    </w:p>
    <w:p w14:paraId="607C3FE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Пушкин.</w:t>
      </w:r>
    </w:p>
    <w:p w14:paraId="19AC85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часы:</w:t>
      </w:r>
      <w:r w:rsidRPr="00722885">
        <w:rPr>
          <w:rFonts w:ascii="Times New Roman" w:hAnsi="Times New Roman"/>
          <w:color w:val="000000" w:themeColor="text1"/>
          <w:sz w:val="16"/>
          <w:szCs w:val="16"/>
        </w:rPr>
        <w:t xml:space="preserve"> авиационные АЧХО (ВОВ), АЧХ (1947); карманные К-43, молн. К-36, каминные, ТЧ (1947), настольные ЧБН-160 (] 980-е); секундомер </w:t>
      </w:r>
      <w:r w:rsidRPr="00722885">
        <w:rPr>
          <w:rFonts w:ascii="Times New Roman" w:hAnsi="Times New Roman"/>
          <w:color w:val="000000" w:themeColor="text1"/>
          <w:sz w:val="16"/>
          <w:szCs w:val="16"/>
          <w:lang w:val="en-US"/>
        </w:rPr>
        <w:t>CM</w:t>
      </w:r>
      <w:r w:rsidRPr="00722885">
        <w:rPr>
          <w:rFonts w:ascii="Times New Roman" w:hAnsi="Times New Roman"/>
          <w:color w:val="000000" w:themeColor="text1"/>
          <w:sz w:val="16"/>
          <w:szCs w:val="16"/>
        </w:rPr>
        <w:t xml:space="preserve"> (1947);</w:t>
      </w:r>
      <w:r w:rsidRPr="00722885">
        <w:rPr>
          <w:rFonts w:ascii="Times New Roman" w:hAnsi="Times New Roman"/>
          <w:color w:val="000000" w:themeColor="text1"/>
          <w:sz w:val="16"/>
          <w:szCs w:val="16"/>
          <w:vertAlign w:val="superscript"/>
        </w:rPr>
        <w:t>129</w:t>
      </w:r>
      <w:r w:rsidRPr="00722885">
        <w:rPr>
          <w:rFonts w:ascii="Times New Roman" w:hAnsi="Times New Roman"/>
          <w:color w:val="000000" w:themeColor="text1"/>
          <w:sz w:val="16"/>
          <w:szCs w:val="16"/>
        </w:rPr>
        <w:t xml:space="preserve"> счетчик частоты дыхания и пульса СДП-70 (1970- е); реле времени циклическое РВЦ (1980-е) (11982).</w:t>
      </w:r>
    </w:p>
    <w:p w14:paraId="0A9A4B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54A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приказом НКМВ № 250с завод «Кислородных приборов» НКМВ переименован в завод № 856 в ведении 5ГУ (Завод № 856 НКМВ, Завод № 3 Треста техники безопасности, Завод «Кислородных приборов» НКМВ, Завод кислородных приборов «Респиратор» ММиП, АООТ «Респиратор», ОАО «Производственно-конструкторское предприятие (ПКП) «Респиратор», А-3439 /г. Орехово-Зуево «Респиратор» (1948г.)/ /142602 г. Орехово-Зуево Московской обл., ул. Гагарина, 1 тел. 2-70-54/).</w:t>
      </w:r>
    </w:p>
    <w:p w14:paraId="4F0D06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Выпускал стабилизаторы для мин. Затем был освоен выпуск подрывных машинок, авиационных кислородных приборов, аэродромных кислородно-заправочных станций.</w:t>
      </w:r>
    </w:p>
    <w:p w14:paraId="41B309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Завод кислородных приборов «Респиратор» - в ведении Главлаборприбора ММиП. Имел наименование А-3439 (1983г.).</w:t>
      </w:r>
    </w:p>
    <w:p w14:paraId="0C84FC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гальванический, медницкий, автоматный, механический, станкостроительный, № 1, № 2, термостатный; вспомогательные: ремонтно-механический, экспериментальный, инструментальный, электроцех.</w:t>
      </w:r>
    </w:p>
    <w:p w14:paraId="64DFDE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w:t>
      </w:r>
    </w:p>
    <w:p w14:paraId="7B5A910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Производство авиационного бортового кислородного оборудования. Поставщик агрегатов кислородной системы для создаваемого регионального самолета </w:t>
      </w:r>
      <w:r w:rsidRPr="00722885">
        <w:rPr>
          <w:rFonts w:ascii="Times New Roman" w:hAnsi="Times New Roman"/>
          <w:color w:val="000000" w:themeColor="text1"/>
          <w:sz w:val="16"/>
          <w:szCs w:val="16"/>
          <w:lang w:val="en-US"/>
        </w:rPr>
        <w:t>RRJ</w:t>
      </w:r>
      <w:r w:rsidRPr="00722885">
        <w:rPr>
          <w:rFonts w:ascii="Times New Roman" w:hAnsi="Times New Roman"/>
          <w:color w:val="000000" w:themeColor="text1"/>
          <w:sz w:val="16"/>
          <w:szCs w:val="16"/>
        </w:rPr>
        <w:t xml:space="preserve"> (2003г.).</w:t>
      </w:r>
    </w:p>
    <w:p w14:paraId="5C7A93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(1939г.)- 321 ед., (1946г.)- 498 ед., (1947г.)- 514 ед.</w:t>
      </w:r>
    </w:p>
    <w:p w14:paraId="658BE75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(1947г.)- 3,14 га; застройки (1947г.)- 11632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(1939г.)- 6432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(1946г.)- 11630 м, (1947г.)- 11696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335CD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(1932г.)- 65 чел., (1937г.)- 585 чел., (1939г.)- 1437 чел., (1946г.)- 1503 чел., (1947г.)- 1525 чел.</w:t>
      </w:r>
    </w:p>
    <w:p w14:paraId="0225980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(07.1942г.)- Попов, (1948г.)- Жуков.</w:t>
      </w:r>
    </w:p>
    <w:p w14:paraId="77461A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Адамов.</w:t>
      </w:r>
    </w:p>
    <w:p w14:paraId="57814D5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кислородные приборы:</w:t>
      </w:r>
      <w:r w:rsidRPr="00722885">
        <w:rPr>
          <w:rFonts w:ascii="Times New Roman" w:hAnsi="Times New Roman"/>
          <w:color w:val="000000" w:themeColor="text1"/>
          <w:sz w:val="16"/>
          <w:szCs w:val="16"/>
        </w:rPr>
        <w:t xml:space="preserve"> авиационный КПА-Збис (ВОВ), ИПА-3, КП-14, -16, -17, парашютный КП-15 (1947); индивидуальный спасательный аппарат ИСАМ-48 (1947); маска КМ-35; кислородно-изолирующий противогаз КИП-5 (-1942-47-); кислородные насосы КН-2, КН-3 (1942), антифризное оборудование А-45, кислородный вентиль КВБ-46 (1947); машинка подрывная ПМ-1, ПМ-2 (ВОВ); лабораторная мельница ШМ, установка для взбалтывания УВВ, лабораторная мешалка М-1, ручная центрифуга ЦР-2, КИП-5, термостат ТР-1 (1947).</w:t>
      </w:r>
      <w:r w:rsidRPr="00722885">
        <w:rPr>
          <w:rFonts w:ascii="Times New Roman" w:hAnsi="Times New Roman"/>
          <w:color w:val="000000" w:themeColor="text1"/>
          <w:sz w:val="16"/>
          <w:szCs w:val="16"/>
          <w:vertAlign w:val="superscript"/>
        </w:rPr>
        <w:t>129</w:t>
      </w:r>
    </w:p>
    <w:p w14:paraId="168167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Орехово-Зуевское КБ кислородного оборудования, ОАО «КАМПО» /142602 г. Орехово-Зуево Московской обл. ул. Гагарина, 1 тел. 12-60-37/</w:t>
      </w:r>
    </w:p>
    <w:p w14:paraId="7D7E22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в 1953г. для проведения НИОКР в области систем жизнеобеспечения.</w:t>
      </w:r>
    </w:p>
    <w:p w14:paraId="6AF5FC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Разработаны: первый советский акваланг АВМ-1; образцы кислородно-дыхательной аппаратуры для всех типов самолетов, для индивидуальных систем жизнеобеспечения (в т.ч. для выхода в открытый космос); профессиональная водолазная дыхательная аппаратура, снаряжение для ВМФ; аварийно-спасательная и пожарная дыхательная аппаратура.</w:t>
      </w:r>
    </w:p>
    <w:p w14:paraId="79EFF3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1993г. Орехово-Зуевское КБ кислородного оборудования преобразовано в ОАО «КАМПО». По решению правительства № 22-р от 9.01.2004г. вошло в перечень стратегических предприятий. В 2005г. входило в состав НПЦ «Технокомплекс».</w:t>
      </w:r>
    </w:p>
    <w:p w14:paraId="055B7E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(2005г.)- А.Ю. Кулик.</w:t>
      </w:r>
    </w:p>
    <w:p w14:paraId="221BB0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w:t>
      </w:r>
      <w:r w:rsidRPr="00722885">
        <w:rPr>
          <w:rFonts w:ascii="Times New Roman" w:hAnsi="Times New Roman"/>
          <w:color w:val="000000" w:themeColor="text1"/>
          <w:sz w:val="16"/>
          <w:szCs w:val="16"/>
        </w:rPr>
        <w:t xml:space="preserve"> акваланг АВМ-1; изолирующий противогаз для пожарных КИП-8, аппараты пожарного АП-93К, АП-96М; воздушно-дыхательные аппараты: АП «Север» для ВМФ, АП-2000 (2000-е); снаряжение: глубоководное водолазное СВГ-200, СЖВ-1; спасательное для экипажей ПЛ ССП; кислородная станция КИС-2; авиационная дыхательная аппаратура КП-52М, КП-98, КДА-15, АПД-1; контрольная установка КУ-9В, комплекс испытательного оборудования КИО-1 (2000-е); медицинский кислородный ингалятор КИ-5 (11982).</w:t>
      </w:r>
      <w:r w:rsidRPr="00722885">
        <w:rPr>
          <w:rFonts w:ascii="Times New Roman" w:hAnsi="Times New Roman"/>
          <w:color w:val="000000" w:themeColor="text1"/>
          <w:sz w:val="16"/>
          <w:szCs w:val="16"/>
          <w:vertAlign w:val="superscript"/>
        </w:rPr>
        <w:t>101</w:t>
      </w:r>
    </w:p>
    <w:p w14:paraId="1B4268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0C1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приказом НКМВ № 250с завод «Геологоразведка» НКМВ переименован в завод № 854 в ведении 5ГУ (Завод № 854 НКМВ, Завод «Геологоразведка» НКОМ, НКМВ, Мингео, НПО «Рудгеофизика» /г. Ленинград ул. Гоголя, 11 (1947г.)/ /193019 г. Санкт-Петербург ул. Книпович, 11/).</w:t>
      </w:r>
      <w:r w:rsidRPr="00722885">
        <w:rPr>
          <w:rFonts w:ascii="Times New Roman" w:hAnsi="Times New Roman"/>
          <w:color w:val="000000" w:themeColor="text1"/>
          <w:sz w:val="16"/>
          <w:szCs w:val="16"/>
          <w:vertAlign w:val="superscript"/>
        </w:rPr>
        <w:t>129</w:t>
      </w:r>
    </w:p>
    <w:p w14:paraId="46BA6E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1947г. завод «Мингео» - в ведении Мингео.</w:t>
      </w:r>
    </w:p>
    <w:p w14:paraId="7920BF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НПО «Рудгеофизика» принимало участие в разработке аэромагнитометров для поиска АПЛ (11982).</w:t>
      </w:r>
    </w:p>
    <w:p w14:paraId="7871FD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44D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 г. приказом НКМВ № 250с завод «Дормашин» НКМВ переименован в завод № 765 в ведении 2ГУ (Завод № 765 НКМВ, Рыбинский ремонтный завод № 2, Завод «Дормашин» НКМВ, Рыбинский завод дорожных машин, ЗАО «Раскат» /152900  г. Рыбинск Ярославской обл. ул. Труда, 2/).</w:t>
      </w:r>
    </w:p>
    <w:p w14:paraId="682214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годы войны - производство корпусов мин и авиабомб, в т.ч. химических. Приказом НКМВ № 232с от 1.07.1942 г. заводу поручено организовать выпуск электродов для производства химбоеприпасов.</w:t>
      </w:r>
    </w:p>
    <w:p w14:paraId="7E7330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Рыбинский завод дорожных машин был в 1960-е  г. В 1992 г. завод преобразован в ЗАО «Раскат».</w:t>
      </w:r>
    </w:p>
    <w:p w14:paraId="2407A3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Дворядкин.</w:t>
      </w:r>
    </w:p>
    <w:p w14:paraId="540D40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дорожные катки:</w:t>
      </w:r>
      <w:r w:rsidRPr="00722885">
        <w:rPr>
          <w:rFonts w:ascii="Times New Roman" w:hAnsi="Times New Roman"/>
          <w:color w:val="000000" w:themeColor="text1"/>
          <w:sz w:val="16"/>
          <w:szCs w:val="16"/>
        </w:rPr>
        <w:t xml:space="preserve"> МКК (1931-), МК-3, МК-5 (1930-е), Д-83 (1945-), Д-211, ДУ-48Б (1980-), ДУ-52, ДУ-58, ДУ-63; виброкатки: ДМ-85 (1957-), Д-480 (1967); снегоочиститель Д-45 (1945-); химическая авиабомба ХАБ-200, мина 120-мм (1942) (11982).</w:t>
      </w:r>
    </w:p>
    <w:p w14:paraId="1B7EF8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D8A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 г. приказом НКМВ № 250с завод «Строймеханизмов» НКМВ переименован в завод № 766 в ведении 2ГУ (Завод № 766 НКМВ, Завод «Строймеханизмов» НКМВ, ООО «Сибстроймаш» /г. Тюмень Омской обл./ /625059  г. Тюмень ул. Тимофея Чаркова, 6/).</w:t>
      </w:r>
    </w:p>
    <w:p w14:paraId="49A78F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Лейзерович.</w:t>
      </w:r>
    </w:p>
    <w:p w14:paraId="3C4BAB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мина 50-мм (11982).</w:t>
      </w:r>
    </w:p>
    <w:p w14:paraId="3E0548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D91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завод № 768 (Завод № 768 НКМВ, Завод деревообделочных станков (ЗДС) НКМВ, ММиП /г. Москва/) передан в ведение ЗГУ.</w:t>
      </w:r>
    </w:p>
    <w:p w14:paraId="628F6F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соответствие с Пост. ГКО № 1962сс от 4.07.1942 г. приказом НКМВ № 237сс заводу установлен план выпуска на 3-й квартал 1942 г. 50-мм минометов- 300 шт.</w:t>
      </w:r>
      <w:r w:rsidRPr="00722885">
        <w:rPr>
          <w:rFonts w:ascii="Times New Roman" w:hAnsi="Times New Roman"/>
          <w:color w:val="000000" w:themeColor="text1"/>
          <w:sz w:val="16"/>
          <w:szCs w:val="16"/>
          <w:vertAlign w:val="superscript"/>
        </w:rPr>
        <w:t>129</w:t>
      </w:r>
    </w:p>
    <w:p w14:paraId="33AF3ED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ЗДС - в ведении Главбумдревмаша ММиП.</w:t>
      </w:r>
    </w:p>
    <w:p w14:paraId="650A76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Дудин.</w:t>
      </w:r>
    </w:p>
    <w:p w14:paraId="5D74CA2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50-мм минометы; 122-мм снаряды (1942) (11982).</w:t>
      </w:r>
    </w:p>
    <w:p w14:paraId="647B72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5D91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СНК № 837-430сс от 3.06.1942 г. завод «Трикотажных машин» НКМВ переименован в завод № 738 в ведении ЗГУ (Завод № 738 НКБ, НКМВ, Завод «Трикотажных машин» («Трикмаш») НКМВ /г. Москваи/).</w:t>
      </w:r>
    </w:p>
    <w:p w14:paraId="02C65A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время ВОВ создано ОТБ по внедрению термообработки ТВЧ на заводах НКБ.</w:t>
      </w:r>
    </w:p>
    <w:p w14:paraId="0E7A0A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НКМВ от 25.11.1942 г. при заводе № 738 создано СКБ.</w:t>
      </w:r>
    </w:p>
    <w:p w14:paraId="7AFE39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Дружинин.</w:t>
      </w:r>
    </w:p>
    <w:p w14:paraId="05FFA6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ОТБ (ВОВ)- Б.Н. Орлов.</w:t>
      </w:r>
    </w:p>
    <w:p w14:paraId="3B9A28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детали для ППШ,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М-13 (1942).</w:t>
      </w:r>
    </w:p>
    <w:p w14:paraId="240871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завода № 738 НКМВ, СКБ-3 НКМВ, НИИ-3 НКМВ, НИИ полиграфического машиностроения (НИИПолиграфмаш) ММиП, ММ, Мннлегпищемаша, Всесоюзный НИИ оборудования для печатных изданий, картонной и бумажной тары (ВНИИОПИТ) Минлегпищемаша, ВНИИПолиграфмаш, ЗАО «НИИ полиграфического машиностроения» («НИИПолиграфмаш») /117420  г. Москва ул. Профсоюзная, 57 тел. 334-20-88/</w:t>
      </w:r>
    </w:p>
    <w:p w14:paraId="72F54F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СКБ завода № 738 создано по приказу НКМВ от 25.11.1942 г. Решением СНК от 2.08.1943 г. оно выделено из состава завода и преобразовано в самостоятельное СКБ-3 НКМВ. По приказу НКМВ от 26.05.1945 г. СКБ-3 реорганизовано в НИИ-3 НКМВ. В 1946 г. НИИ-3 переименован в НИИполиграфмаш ММиП, в ведении которого находился в 1946-53 г. и в 1954-56г (в 1947 г. - в ведении Главполиграфмаша ММиП). В 1953-54 г. и в 1956-57 г. - в ведении ММ. В 1957 г. передан в ведение Госплана </w:t>
      </w:r>
      <w:r w:rsidRPr="00722885">
        <w:rPr>
          <w:rFonts w:ascii="Times New Roman" w:hAnsi="Times New Roman"/>
          <w:color w:val="000000" w:themeColor="text1"/>
          <w:sz w:val="16"/>
          <w:szCs w:val="16"/>
        </w:rPr>
        <w:lastRenderedPageBreak/>
        <w:t>РСФСР, а в 1958 г. - в ведение МосгорСНХ. В 1959-63 г. - в ведении ГК по автоматизации и машиностроению, в 1963-65 г. - ГК по печати. С 1965 г. передан в подчинение Минлегпищемаша. По приказу Минлегпищемаша от 15.07.1968 г. институт реорганизован во ВНИИОПИТ, а по приказу от 22.09.1977 г. переименован во ВНИИполиграфмаш.</w:t>
      </w:r>
    </w:p>
    <w:p w14:paraId="47F4CB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Имел филиалы: Ленинградский, Рыбинский (Щербаковский).</w:t>
      </w:r>
    </w:p>
    <w:p w14:paraId="1538BB8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проектирование нового и модернизация действующего оборудования для полиграфической промышленности и предприятий по производству картонной и бумажной тары.</w:t>
      </w:r>
    </w:p>
    <w:p w14:paraId="3C7FB1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Гендиректор (1999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Присяжный (11982).</w:t>
      </w:r>
    </w:p>
    <w:p w14:paraId="09DA3A5A"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D53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СНК № 837-430сс от 3.06.1942 г. экскаваторный завод НКМВ переименован в завод № 717 в ведении 2ГУ (Завод № 717 НКМВ, Экскаваторный завод НКМВ /г. Ростов-на-Дону/).</w:t>
      </w:r>
    </w:p>
    <w:p w14:paraId="7872A6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 Ворошилова /г. Ростов-на-Дону/</w:t>
      </w:r>
    </w:p>
    <w:p w14:paraId="6158B6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начала войны оборудование завода эвакуировано в Баку, где на его базе создан Экскаваторный завод (11982).</w:t>
      </w:r>
    </w:p>
    <w:p w14:paraId="2359A5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D6F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завод САМ НКМВ в соответствии с пост. СНК № 837-430сс от 3.06.1942г. приказом НКМВ № 250с 1-й Государственный завод счетно-аналитических машин (САМ) переименован в завод № 828 в ведении ЗГУ (Завод № 828 НКМВ, Завод «Бюро точной механики», 1-й Государственный завод счетно-аналитических машин (САМ) НКМВ, Ордена Отечественной Войны 1-й степени Московский завод счетных и пишущих машин (СПМ, «Счетпишмаш») ММиП, Московский завод САМ им. В.Д. Калмыкова ММиП, ОАО «Московский завод САМ им. В.Д. Калмыкова» /г. Москва, 5 ул. Н. Красносельская, 33-35 «Табулятор» (1948г.)/ /105066 (107066) г. Москва ул. Н. Красносельская, 35 тел. 264-38-83/).</w:t>
      </w:r>
      <w:r w:rsidRPr="00722885">
        <w:rPr>
          <w:rFonts w:ascii="Times New Roman" w:hAnsi="Times New Roman"/>
          <w:color w:val="000000" w:themeColor="text1"/>
          <w:sz w:val="16"/>
          <w:szCs w:val="16"/>
          <w:vertAlign w:val="superscript"/>
        </w:rPr>
        <w:t>129</w:t>
      </w:r>
    </w:p>
    <w:p w14:paraId="2159351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1963сс от 4.07.1942г. и приказом НКМВ № 238сс от 7.07.1942г. заводу определен план на 3-й квартал по выпуску ППЩ- 50 тыс. шт., магазинов к ППШ- 60 тыс. шт.</w:t>
      </w:r>
    </w:p>
    <w:p w14:paraId="7656C2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завод «Счетпишмаш» - в ведении Главполиграфмаша ММиП. В начале 1950-х г. - в ведении ММиП. В 1963г. получило название Московский завод САМ, в 1974г. присвоено имя В.Д. Калмыкова.</w:t>
      </w:r>
    </w:p>
    <w:p w14:paraId="79698D2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арифмометров № 2, пишущих машин № 3, гальванический № 4, прессовый № 5, автоматно-револьверный № 6, табуляторный № 7, термический № 8, лакопокрытий № 15, заготовительный № 16; вспомогательные: инструментальный №11, ремонтно-механический № 12, строительный № 13, электроцех № 14, котельная № 20.</w:t>
      </w:r>
    </w:p>
    <w:p w14:paraId="615897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СМ СССР № 4663-1829 от 17.12.1948г. при 1-м Государственном заводе САМ создано СКБ-245.</w:t>
      </w:r>
    </w:p>
    <w:p w14:paraId="1EC00D4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возобновлен выпуск счетно-перфорационной техники. В 1952г. начата организация производства ЭВМ. Принимал участие в создании ЭВМ «Стрела» (вместе с НИИ «Счетмаш» и СКБ-245). В 1972г. выпущен головной экземпляр ЭВМ ЕС-1050. С 1975г. начат выпуск многопроцессорных вычислительных комплексов (МВК) серии «Эльбрус».</w:t>
      </w:r>
    </w:p>
    <w:p w14:paraId="48CA74E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1994г. проведено техническое переоснащение завода при участии немецкой фирмы "</w:t>
      </w:r>
      <w:r w:rsidRPr="00722885">
        <w:rPr>
          <w:rFonts w:ascii="Times New Roman" w:hAnsi="Times New Roman"/>
          <w:color w:val="000000" w:themeColor="text1"/>
          <w:sz w:val="16"/>
          <w:szCs w:val="16"/>
          <w:lang w:val="en-US"/>
        </w:rPr>
        <w:t>SiemensNixdorf</w:t>
      </w:r>
      <w:r w:rsidRPr="00722885">
        <w:rPr>
          <w:rFonts w:ascii="Times New Roman" w:hAnsi="Times New Roman"/>
          <w:color w:val="000000" w:themeColor="text1"/>
          <w:sz w:val="16"/>
          <w:szCs w:val="16"/>
        </w:rPr>
        <w:t>". Созданы новые участки входного контроля, монтажа печатных плат, изготовления сетчатых рам и шаблонов для трафаретной печати, производства шкафов, кабелей, покрытия порошковыми полимерными материалами.</w:t>
      </w:r>
      <w:r w:rsidRPr="00722885">
        <w:rPr>
          <w:rFonts w:ascii="Times New Roman" w:hAnsi="Times New Roman"/>
          <w:color w:val="000000" w:themeColor="text1"/>
          <w:sz w:val="16"/>
          <w:szCs w:val="16"/>
          <w:vertAlign w:val="superscript"/>
        </w:rPr>
        <w:t>101</w:t>
      </w:r>
    </w:p>
    <w:p w14:paraId="19F36B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1994г. завод преобразован в ОАО. По решению правительства № 22-р от 9.01.2004г. вошло в число стратегических предприятий. В 2007г. планировалось вхождение предприятия в холдинг «Электронные системы» ОПК «Оборонпром».</w:t>
      </w:r>
    </w:p>
    <w:p w14:paraId="2A5EC7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(1939г.)- 772 ед., (1946г.)- 1205 ед., (1947г.)- 1364 ед.</w:t>
      </w:r>
    </w:p>
    <w:p w14:paraId="110D35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(1947г.)- 3,61 га; застройки (1947г.)- 36134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(1939г.)- 5654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(1946-47г.)-9614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2C132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(1939г.)- 1341 чел., (1946г.)- 1922 чел., (1947г.)- 1939 чел.</w:t>
      </w:r>
    </w:p>
    <w:p w14:paraId="08BEB0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(1923г.-)- В.А. Томский. Директор (06-07.1942г.)- Незимов, (1948г.)- М.А. Лесечко. Гендиректор (2000г.)- В.Н. Воронов, (2004г.)- М. Шурыгин.</w:t>
      </w:r>
    </w:p>
    <w:p w14:paraId="167BBE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Карелин.</w:t>
      </w:r>
      <w:r w:rsidRPr="00722885">
        <w:rPr>
          <w:rFonts w:ascii="Times New Roman" w:hAnsi="Times New Roman"/>
          <w:color w:val="000000" w:themeColor="text1"/>
          <w:sz w:val="16"/>
          <w:szCs w:val="16"/>
          <w:vertAlign w:val="superscript"/>
        </w:rPr>
        <w:t>129</w:t>
      </w:r>
    </w:p>
    <w:p w14:paraId="2444F9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арифмометры «Союз» (1926-), «Феликс» (1939-); десятиклавишная счетная машина ДСМ (1933-), табуляторы Т-1 (1933-47-), -2, -4 (1947), Т-5М; арифмометр «Феликс», счетно-печатающая машина ДСМ (1947); часовые станки С-38, -49, -51, -62, -67, -79, -97, -99 (1947); перфораторы, контрольники, сортировки; пистолет-пулеметы ППП1-41 (1941-42-), ППС (1943-)- всего более 1 млн.; детали для тракторов и с/х машин (ВОВ); полуавтоматическое устройство ввода данных (ПУВД) для ЭВМ (1950-е);</w:t>
      </w:r>
      <w:r w:rsidRPr="00722885">
        <w:rPr>
          <w:rFonts w:ascii="Times New Roman" w:hAnsi="Times New Roman"/>
          <w:color w:val="000000" w:themeColor="text1"/>
          <w:sz w:val="16"/>
          <w:szCs w:val="16"/>
          <w:vertAlign w:val="superscript"/>
        </w:rPr>
        <w:t>77</w:t>
      </w:r>
      <w:r w:rsidRPr="00722885">
        <w:rPr>
          <w:rFonts w:ascii="Times New Roman" w:hAnsi="Times New Roman"/>
          <w:iCs/>
          <w:color w:val="000000" w:themeColor="text1"/>
          <w:sz w:val="16"/>
          <w:szCs w:val="16"/>
        </w:rPr>
        <w:t xml:space="preserve"> ЭВМ:</w:t>
      </w:r>
      <w:r w:rsidRPr="00722885">
        <w:rPr>
          <w:rFonts w:ascii="Times New Roman" w:hAnsi="Times New Roman"/>
          <w:color w:val="000000" w:themeColor="text1"/>
          <w:sz w:val="16"/>
          <w:szCs w:val="16"/>
        </w:rPr>
        <w:t xml:space="preserve"> аналоговые «Стрела» (1950-е)- 7, М-20 (1957-61), «Урал-14» (1964-), БЭСМ-6 (1967-83); ВК АС-6, МВК «Эльбрус-1» (1975-), суперЭВМ «Эльбрус-3-1» (1990-е)- 4, «Эльбрус-90микро» для МО (2000-е, совместно с ЗАО МЦСТ); накопители на сменных магнитных дисках (НСМД), пакеты магнитных дисков (ПМД) (1972-85-); специальная вычислительная система СВС-1 (1980-); модульный конвейрный процессор МКГ1 (1989-); пишущие машинки «Москва» (1947); «Лель РЦ» (11982).</w:t>
      </w:r>
    </w:p>
    <w:p w14:paraId="052FC2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DF0D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и приказом НКМВ № 250с Завод кассовых аппаратов НКМВ переименован в завод № 829 в ведении ЗГУ (Завод № 829 НКМВ, 1-й Государственный завод кассовых аппаратов НКОМ, Завод кассовых аппаратов НКМВ, Завод «Электроаппарат» ММиП, Московский Государственный опытный завод по ремонту вычислительной техники, ОАО «Московский Государственный опытный завод» («МГОС») /г. Москва, 5 ул. Ольховская, 27 Уровень» (1948г.)/ /115088 г. Москва 2-й Южнопортовый пр., 12В тел. 354-41-74/). После 1943г. завод переименован в «Электроаппарат».</w:t>
      </w:r>
    </w:p>
    <w:p w14:paraId="274D65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Пост. ГКО № 1962сс от 4.07.1942г. и приказом НКМВ № 237сс от 7.07.1942г. заводу установлен план выпуска на 3-й квартал 1942г. угломеры-квадранты к 82-мм минометам - 800 шт. С 1943г. начато освоение выпуска электропусковой аппаратуры. </w:t>
      </w:r>
      <w:r w:rsidRPr="00722885">
        <w:rPr>
          <w:rFonts w:ascii="Times New Roman" w:hAnsi="Times New Roman"/>
          <w:color w:val="000000" w:themeColor="text1"/>
          <w:sz w:val="16"/>
          <w:szCs w:val="16"/>
          <w:vertAlign w:val="superscript"/>
        </w:rPr>
        <w:t>29</w:t>
      </w:r>
    </w:p>
    <w:p w14:paraId="5F3755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завод «Электроаппарат» - в ведении Главлаборприбора ММиП. Устав завода утвержден приказом ММиП № 161у от 3.06.1948г.</w:t>
      </w:r>
    </w:p>
    <w:p w14:paraId="68D4A4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прессовый № 1, гальваническое и малярное отделения, механический № 2, сборочный № 3; вспомогательные: ремонтный № 6 со столярным отделением, № 5 с термическим отделением. Имелся (1948г.) 3-этажный главный корпус (надстройка на два этажа проведена в1936- 38г.). В 10.1948г. завод реконструирован, на его площадке размещен НИИлаборприбор с небольшим опытным производством.</w:t>
      </w:r>
    </w:p>
    <w:p w14:paraId="40AAC5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1989г. МГОЗ по ремонту ВТ входил в Московское ПО вычислительной техники и информатики.</w:t>
      </w:r>
    </w:p>
    <w:p w14:paraId="725D70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ОАО «МГОС» было в 2004г.</w:t>
      </w:r>
    </w:p>
    <w:p w14:paraId="05BD58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(1939г.)- 124 ед., (1946г.)- 160 ед., (1947г.)- 172 ед.</w:t>
      </w:r>
    </w:p>
    <w:p w14:paraId="4C0422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(1947г.)- 0,23 га; застройки (1947г.)- 1202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(1939г.)- 1294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(1946- 47г.)- 1882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5599A4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(1939г.)- 430 чел., (1946г.)- 443 чел., (1947г.)- 421 чел.</w:t>
      </w:r>
    </w:p>
    <w:p w14:paraId="02526D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(1948г.)- Березин, (1989г.)- С.Г. Гасанов.</w:t>
      </w:r>
    </w:p>
    <w:p w14:paraId="2F4E54E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Видгоф.</w:t>
      </w:r>
    </w:p>
    <w:p w14:paraId="6B1C58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кассовые аппараты (1939-08.1941); детали для ППШ, угломеры-квадранты к 82-мм минометам (1942); электропусковая аппаратура: магнитный пускатель КУ-22, реле: тепловое РТ, промежуточное РП-1, РД-1 (1947), датчик времени ТЛ-1 (1943-10.1948) (11982).</w:t>
      </w:r>
      <w:r w:rsidRPr="00722885">
        <w:rPr>
          <w:rFonts w:ascii="Times New Roman" w:hAnsi="Times New Roman"/>
          <w:color w:val="000000" w:themeColor="text1"/>
          <w:sz w:val="16"/>
          <w:szCs w:val="16"/>
          <w:vertAlign w:val="superscript"/>
        </w:rPr>
        <w:t>129</w:t>
      </w:r>
    </w:p>
    <w:p w14:paraId="39770A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32B6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3.06.1942г. приказом НКМВ № 250с Экспериментальный завод НКМВ переименован в завод № 830 в ведении ЗГУ (Завод № 830 НКМВ, Экспериментальный завод НКМВ, Московский экспериментальный завод полиграфического машиностроения ММиП /г. Москва Калужский пер., 4 «Матрица» (1948г.)/).</w:t>
      </w:r>
    </w:p>
    <w:p w14:paraId="0E35CD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завод - в ведении Главполиграфмаша ММиП.</w:t>
      </w:r>
    </w:p>
    <w:p w14:paraId="411252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матричный, экспериментальный, заготовительный; вспомогательные: ремонтный, котельная, кузница.</w:t>
      </w:r>
    </w:p>
    <w:p w14:paraId="76EC1E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(1939г.)- 145 ед., (1946г.)-195 ед., (1947г.)- 184 ед.</w:t>
      </w:r>
    </w:p>
    <w:p w14:paraId="5B5910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(1947г.)- 0,66 га; застройки (1947г.)- 3462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(1939г.)- 2754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(1946г.)- 2682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(1947г.)- 2592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02E449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(1939г.)- 744 чел., (1946г.)- 352 чел, (1947г.)- 347 чел.</w:t>
      </w:r>
    </w:p>
    <w:p w14:paraId="0AEB46F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Дубровин, (1948г.)- Дутиков.</w:t>
      </w:r>
    </w:p>
    <w:p w14:paraId="7F0E58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Селезнев.</w:t>
      </w:r>
    </w:p>
    <w:p w14:paraId="646FF1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запал УЗРГ (1942); мотально-оплеточная машина; матрицы линотипные, монотипные; спецстанки; литье чугунное (1947) (11982).</w:t>
      </w:r>
      <w:r w:rsidRPr="00722885">
        <w:rPr>
          <w:rFonts w:ascii="Times New Roman" w:hAnsi="Times New Roman"/>
          <w:color w:val="000000" w:themeColor="text1"/>
          <w:sz w:val="16"/>
          <w:szCs w:val="16"/>
          <w:vertAlign w:val="superscript"/>
        </w:rPr>
        <w:t>129</w:t>
      </w:r>
    </w:p>
    <w:p w14:paraId="35A195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5E4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 г. и приказом НКМВ № 250с завод «Красная Пресня» НКМВ переименован в завод № 798 в ведении ЗГУ.</w:t>
      </w:r>
      <w:r w:rsidRPr="00722885">
        <w:rPr>
          <w:rFonts w:ascii="Times New Roman" w:hAnsi="Times New Roman"/>
          <w:color w:val="000000" w:themeColor="text1"/>
          <w:sz w:val="16"/>
          <w:szCs w:val="16"/>
          <w:vertAlign w:val="superscript"/>
        </w:rPr>
        <w:t>129</w:t>
      </w:r>
    </w:p>
    <w:p w14:paraId="7E4276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годы войны завод не эвакуировался, на нем организован ремонт гвардейских минометов «Катюша». Пост. ГКО № 1962сс от 4.07.1942 г. и приказом НКМВ № 237сс от 7.07.1942 г. заводу установлен план выпуска на 3-й квартал 1942 г. 50-мм минометов- 300 шт.</w:t>
      </w:r>
    </w:p>
    <w:p w14:paraId="56BF00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был реконструирован и вошел в состав НПО «ВНИИЛИТМАШ». В 1975 г. - завод «Красная Пресня».</w:t>
      </w:r>
    </w:p>
    <w:p w14:paraId="78771F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1970-х  г. завод разрабатывал и выпускал вибропрессовое оборудование.</w:t>
      </w:r>
    </w:p>
    <w:p w14:paraId="0CFAD1C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завод акционирован и преобразован в ОАО.</w:t>
      </w:r>
    </w:p>
    <w:p w14:paraId="0D4FAD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Директор (06.1942 г.)- Гусев. Гендиректор (2000 г.)- Д.К. Семенов.</w:t>
      </w:r>
    </w:p>
    <w:p w14:paraId="44BEA2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50-мм минометы; ПУ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М-30 (1942), детали для ПГШ1 (1942); литейные машины (1975) (11982).</w:t>
      </w:r>
    </w:p>
    <w:p w14:paraId="605C5F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2351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приказом НКМВ № 250с завод «Граммпластинок» НКМВ переименован в завод № 842 в ведении 5ГУ (Завод № 842 НКМВ, НКЭП, Завод «Граммнластинок» НКМВ, Беловскнй граммофонный завод НКМВ, Беловский завод «Кузбассрадио», А-1892, ОАО «Сибирская электрическая комплектация» («Сибэлком»), ОАО «Кузбассрадио» /652600 г. Белово Кемеровской обл. ул. Чкалова, 14/).</w:t>
      </w:r>
      <w:r w:rsidRPr="00722885">
        <w:rPr>
          <w:rFonts w:ascii="Times New Roman" w:hAnsi="Times New Roman"/>
          <w:color w:val="000000" w:themeColor="text1"/>
          <w:sz w:val="16"/>
          <w:szCs w:val="16"/>
          <w:vertAlign w:val="superscript"/>
        </w:rPr>
        <w:t>129</w:t>
      </w:r>
    </w:p>
    <w:p w14:paraId="7F7AAA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июня 1942г. Приказом НКМВ № 210сс Беловскому граммофонному заводу предписано организовать производство взрывателей КТМ-1 мощностью 100 тыс. шт. в месяц.</w:t>
      </w:r>
    </w:p>
    <w:p w14:paraId="1FE4907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ГКО № 1962сс от 4.07.1942г. приказом НКМВ № 237сс заводу установлен план выпуска на 3-й квартал 1942г.: прицелов к 50-мм минометам- 2700 шт.; угломеров-квадрантов к 82-мм минометам- 2800 шт. В соответствии с пост. ГКО № 2679 от 31.12.1942г. на заводе организовано дублирующее производство танковых радиоприемников. В годы войны выпускал взрыватели, прицелы, радиостанции для танков, бойки для гранат.</w:t>
      </w:r>
    </w:p>
    <w:p w14:paraId="1E85D6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освоил выпуск радиоприемников, конденсаторов, запчастей для сельхозтехники.</w:t>
      </w:r>
    </w:p>
    <w:p w14:paraId="0F7D27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Имел наименование «п/я А-1892». 16.07.1994г. завод «Кузбассрадио» акционирован и преобразован в ОАО «Сибэлком». В 2009г. ОАО «Сибэлком» являлось банкротом. Затем преобразовано в ОАО «Кузбассрадио». В 2008г. ОАО «Кузбассрадио» являлось банкротом.</w:t>
      </w:r>
    </w:p>
    <w:p w14:paraId="4F5B1C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(2000-е): коммутационные изделия (тумблеры, микропереключатели, переключатели: кнопочные, движковые; держатели плавких вставок); установочные изделия РЭ аппаратуры для МО, космической техники и нардного хозяйства.</w:t>
      </w:r>
    </w:p>
    <w:p w14:paraId="7573A3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(1980-е г.)- более 10 тыс. чел.</w:t>
      </w:r>
    </w:p>
    <w:p w14:paraId="70674D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Жуков, (06.1942г.)- Шифрин. Гендиректор (2000-е)- В.А. Красноперов.</w:t>
      </w:r>
    </w:p>
    <w:p w14:paraId="46085B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взрыватели АМБ, КТМ-1; прицелы к 50-мм минометам, угломеры-квадранты к 82-мм минометам (1942-); радиоприемники: танковый «Малютка» (1943-); бытовой «Рекорд-46».</w:t>
      </w:r>
    </w:p>
    <w:p w14:paraId="49A10D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«КинАп» /г. Одесса/</w:t>
      </w:r>
    </w:p>
    <w:p w14:paraId="42880A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киноаппаратуры «КинАп» после начала войны был эвакуирован в Белово, где на его базе был создан завод № 842 НКЭП.</w:t>
      </w:r>
    </w:p>
    <w:p w14:paraId="77FA69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освобождения Одессы завод «КинАп» восстановлен, был в 1975г.</w:t>
      </w:r>
    </w:p>
    <w:p w14:paraId="5CABBD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разъем 16СТК-1 (1973).</w:t>
      </w:r>
    </w:p>
    <w:p w14:paraId="438E49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Фабрика граммпластинок «Метрополь-Рекорд», Фабрика им. 1905 года, Апрелевский завод граммпластинок (АЗГ) Памяти 1905 года НКТП, НКМ, НКМВ, Апрелевский патефонный завод, Фирма «Мелодия» /г. Апрелевка Наро-Фоминского р-на Московской обл./</w:t>
      </w:r>
    </w:p>
    <w:p w14:paraId="449A09A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1910г.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64704D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4367F21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05BF88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1919г. фабрика граммпластинок - в ведении отдела «Советская пластинка» агентства Центропечать. В 1925г. получила название «Фабрика им. 1905 года». В 1933г. фабрика переименована в АЗГ Памяти 1905г. в ведении Грампластреста НКТП, в 1938г. - в ведении Главширпотреба НКМ.</w:t>
      </w:r>
    </w:p>
    <w:p w14:paraId="1FE8DF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10.1941г. Апрелевский патефонный завод эвакуирован в Белово, где на его базе создан завод № 842 НКЭП.</w:t>
      </w:r>
    </w:p>
    <w:p w14:paraId="43D603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045EF9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4A9B15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1964г. на базе АЗГ создана фирма «Мелодия».</w:t>
      </w:r>
    </w:p>
    <w:p w14:paraId="3A9156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кроме пластинок, выпускал матрицы, пресс-формы, пластмассу для других предприятий отрасли.</w:t>
      </w:r>
    </w:p>
    <w:p w14:paraId="74AB9D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76B414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(1912г.)- 100 чел., (1916г.)- 50 чел., (1930г.)- 215 чел., (1933г.)- 541 чел.</w:t>
      </w:r>
    </w:p>
    <w:p w14:paraId="759373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(1910г.)- Б.В. Молль.</w:t>
      </w:r>
    </w:p>
    <w:p w14:paraId="34C216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химической лаборатории (1960-е)- В.М. Хазанджи (11982).</w:t>
      </w:r>
    </w:p>
    <w:p w14:paraId="14D74E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D9F15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завод № 748 (Завод № 748 НКМВ, Завод «Текмаш» НКМВ, Кузнецкий завод текстильного машиностроения (КЗТМ, «Кузтекстильмаш») ММиП, ОАО «КЗТМ» /г. Кузнецк Пензенской обл. ул. Белинская, 117 «Кузтекстильмаш» (1948 г.)/ /442530  г. Кузнецк Пензенской обл. ул. Московская, 70А/) - в ведении Главтекстильмаша НКМВ был передан в ведение ЗГУ.</w:t>
      </w:r>
    </w:p>
    <w:p w14:paraId="1E0C34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 ГКО № 1962сс от 4.07.1942 г. и приказом НКМВ № 237сс от 7.07.1942 г. заводу установлен план выпуска на 3-Й квартал 1942 г. 50-мм минометов- 3600 шт.</w:t>
      </w:r>
    </w:p>
    <w:p w14:paraId="55583DC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завод «Кузтекстильмаш» - в ведении Главтекстильлегмаша ММиП.</w:t>
      </w:r>
    </w:p>
    <w:p w14:paraId="354693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(1947 г.) цехи: основные: литейный, механический № 1, заготовительный, сборочный; вспомогательные: транспортный, строительный, инструментальный, ремонтно-механический, котельная, дизельная.</w:t>
      </w:r>
    </w:p>
    <w:p w14:paraId="6F89BC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перепрофилирован на выпуск машин для текстильной промышленности (для разрыхлительно-трепальных агрегатов), для кабельной промышленности (крутильных сигарного и фонарного типов, бронировочных, обмоточных, изолировочных). Выпускал также гладильные прессы, стиральные машины, детали прядильных головок для пневмопрядильных машин, замочные изделия, алюминиевое литье. Производство оборудования дня текстильных и обувных фабрик (1960-е  г.).</w:t>
      </w:r>
    </w:p>
    <w:p w14:paraId="121DFE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 г.)- 225 ед., (1947 г.)- 369 ед.</w:t>
      </w:r>
    </w:p>
    <w:p w14:paraId="23C442E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г.)- 2,5 га; застройки (1947 г.)- 8390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 г.)- 5598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г.)-6127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3B4788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 г.)- 1223 чел., (1947 г.)-1184 чел.</w:t>
      </w:r>
    </w:p>
    <w:p w14:paraId="4250A9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Спиридонов, (1948 г.)- Курпяков. Гендиректор (2007 г.)- С.А. Сущев.</w:t>
      </w:r>
    </w:p>
    <w:p w14:paraId="2B8B40D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Дворников.</w:t>
      </w:r>
    </w:p>
    <w:p w14:paraId="184392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50-мм миномет; 50-мм мина (1942); станок трепальный ОТ-3, -6, АМ-2, дистрибютор грабельный РХСГ, головной питатель ПС-3, конденсер КХ-2, питатель-смеситель ПС-1, поркупайн «Оппенер» ПО-2, -4, пыльный барабан ПБ-1, крейтон ПХ-4, фильтрующий барабан ФР-1 (1947).</w:t>
      </w:r>
      <w:r w:rsidRPr="00722885">
        <w:rPr>
          <w:rFonts w:ascii="Times New Roman" w:hAnsi="Times New Roman"/>
          <w:color w:val="000000" w:themeColor="text1"/>
          <w:sz w:val="16"/>
          <w:szCs w:val="16"/>
          <w:vertAlign w:val="superscript"/>
        </w:rPr>
        <w:t>129</w:t>
      </w:r>
    </w:p>
    <w:p w14:paraId="734DD3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Клинцовский завод текстильного машиностроения им. Калинина /г. Клинцы Брянской обл./</w:t>
      </w:r>
    </w:p>
    <w:p w14:paraId="0BBC74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начала войны эвакуирован в Кузнецк, где был организован завод № 748 НКМВ.</w:t>
      </w:r>
    </w:p>
    <w:p w14:paraId="57BDB36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восстановлен на прежнем месте. Производство текстильных машин (1960-е  г.) (11982).</w:t>
      </w:r>
    </w:p>
    <w:p w14:paraId="239745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B31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правительства № 837 от 3.06.1942 г. Климовский завод НКМВ переименован в завод № 750 (Завод № 750 НКМВ , Завод ткацких станков «Московского товарищества механических изделий», Государственный Климовский машиностроительный завод, Климовский Ордена Трудового Красного Знамени машиностроительный завод им. В.М. Доенина ММиП, ММ, ЗАО «Климовский машиностроительный завод» / г. Климовск; ст. Гривно Московско-Курской ж/д «Молот» (1942-48 г.)/ /142180  г. Климовск Подольского р-на Московской обл. ул. Ленина, 1/) в  ведении 1ГУ. В годы войны выпускал продукцию для фронта.</w:t>
      </w:r>
    </w:p>
    <w:p w14:paraId="2E8CFD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Климовский ОТКЗ машзавод - в ведении Главтекстильлегмаша ММиП, в 01.1954 г. - в вед Главлегмаша ММ.</w:t>
      </w:r>
    </w:p>
    <w:p w14:paraId="71E9FB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составе завода (1947-54 г.) цехи: основные: литейный и обрубной № 1, механические: № 7 (станкострое1 № 10 (мотальные и сновальные машины), № 12 (ткацкие станки); модельный № 8, кузнечный № 4. сбороч ткацких станков № 9; вспомогательные: ремонтно-механический, инструментальный № 6, метал, мод. </w:t>
      </w:r>
      <w:r w:rsidRPr="00722885">
        <w:rPr>
          <w:rFonts w:ascii="Times New Roman" w:hAnsi="Times New Roman"/>
          <w:color w:val="000000" w:themeColor="text1"/>
          <w:sz w:val="16"/>
          <w:szCs w:val="16"/>
          <w:lang w:val="en-US"/>
        </w:rPr>
        <w:t>J</w:t>
      </w:r>
      <w:r w:rsidRPr="00722885">
        <w:rPr>
          <w:rFonts w:ascii="Times New Roman" w:hAnsi="Times New Roman"/>
          <w:color w:val="000000" w:themeColor="text1"/>
          <w:sz w:val="16"/>
          <w:szCs w:val="16"/>
        </w:rPr>
        <w:t xml:space="preserve"> котельные № 1 и № 2, насосная. Кроме того, (1954 г.): заготовительный № 14, механический № гальванопоктрытий № 16, сборочный № 17, производственная лаборатория, компрессорная.</w:t>
      </w:r>
    </w:p>
    <w:p w14:paraId="3867EF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перешел на производство ткацких станков. В 1967 г. освоен выпуск новых бесчелноч пневморапирных станков АТПР. В 07.1972 г. был выпущен 10-тысячный станок.</w:t>
      </w:r>
    </w:p>
    <w:p w14:paraId="064B180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Имелся филиал в  г. Калуга, в 1995 г. он преобразован в самостоятельный завод «Техмашдеталь».</w:t>
      </w:r>
    </w:p>
    <w:p w14:paraId="09E6590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07.2002 г. предприятие было признано банкротом и ликвидировано. На территории завода разместил торговые фирмы и мелкие предприятия.</w:t>
      </w:r>
    </w:p>
    <w:p w14:paraId="64F245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г.)- 1569 ед., (1946 г.)- 1039 ед., (1947 г.)- 1249 ед., (1954 г.)- 1212 ед.</w:t>
      </w:r>
    </w:p>
    <w:p w14:paraId="3D529F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Площадь: территории (1947-54 г.)- 23,5 га; застройки (1947-54 г.)- 28252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г.}- 181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г.)- 18654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г.)- 23647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(1954 г.)- 46935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25BC4C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(1900 г.)- около 1000 чел., (1939 г.)- 3067 чел., (1946 г.)- 3251 чел., (1947 г.)- 3252 -к (1954 г.)- 4447 чел.</w:t>
      </w:r>
    </w:p>
    <w:p w14:paraId="43D3AE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Чикиш, (1948 г.)- В.А. Шалашов; и.о. (01.1954 г.)- Нехотящий.</w:t>
      </w:r>
    </w:p>
    <w:p w14:paraId="2AE895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по строительству (01.1954 г.)- Потапов.</w:t>
      </w:r>
    </w:p>
    <w:p w14:paraId="37C2E0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И.И. Воронин.</w:t>
      </w:r>
    </w:p>
    <w:p w14:paraId="4A2E08E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инженера (01.1954 г.)- Похил.</w:t>
      </w:r>
    </w:p>
    <w:p w14:paraId="63181A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механик (1948 г.)- Минецкий.</w:t>
      </w:r>
    </w:p>
    <w:p w14:paraId="2EBB7E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82-мм мин (1942); машины: мотальная МБ (1947), М-150, МТ-150, ММ-150 (1954 сновальная С-2 (1947), С-140, С-177 (1954); жаккардовая Ж-13 (1954); ткацкие станки: автоматический </w:t>
      </w:r>
      <w:r w:rsidRPr="00722885">
        <w:rPr>
          <w:rFonts w:ascii="Times New Roman" w:hAnsi="Times New Roman"/>
          <w:color w:val="000000" w:themeColor="text1"/>
          <w:sz w:val="16"/>
          <w:szCs w:val="16"/>
          <w:lang w:val="en-US"/>
        </w:rPr>
        <w:t>AT</w:t>
      </w:r>
      <w:r w:rsidRPr="00722885">
        <w:rPr>
          <w:rFonts w:ascii="Times New Roman" w:hAnsi="Times New Roman"/>
          <w:color w:val="000000" w:themeColor="text1"/>
          <w:sz w:val="16"/>
          <w:szCs w:val="16"/>
        </w:rPr>
        <w:t xml:space="preserve"> (1947), </w:t>
      </w:r>
      <w:r w:rsidRPr="00722885">
        <w:rPr>
          <w:rFonts w:ascii="Times New Roman" w:hAnsi="Times New Roman"/>
          <w:color w:val="000000" w:themeColor="text1"/>
          <w:sz w:val="16"/>
          <w:szCs w:val="16"/>
          <w:lang w:val="en-US"/>
        </w:rPr>
        <w:t>AT</w:t>
      </w:r>
      <w:r w:rsidRPr="00722885">
        <w:rPr>
          <w:rFonts w:ascii="Times New Roman" w:hAnsi="Times New Roman"/>
          <w:color w:val="000000" w:themeColor="text1"/>
          <w:sz w:val="16"/>
          <w:szCs w:val="16"/>
        </w:rPr>
        <w:t>-100, АТ-175, АТТ-120, АТМ-175 (1954), АТ-120-5, АТ-100-5М, АТ-2-120ШЛ5, АТПР (1967-): станс токарно-винторезный ТОК-200 (1954).</w:t>
      </w:r>
      <w:r w:rsidRPr="00722885">
        <w:rPr>
          <w:rFonts w:ascii="Times New Roman" w:hAnsi="Times New Roman"/>
          <w:color w:val="000000" w:themeColor="text1"/>
          <w:sz w:val="16"/>
          <w:szCs w:val="16"/>
          <w:vertAlign w:val="superscript"/>
        </w:rPr>
        <w:t>129</w:t>
      </w:r>
    </w:p>
    <w:p w14:paraId="69FB59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«Техмашдеталь» /248600  г. Калуга ул. Плеханова, 96/</w:t>
      </w:r>
    </w:p>
    <w:p w14:paraId="6A9EDE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«Техмашдеталь» создан в 1995 г. на базе филиала Кяимовского машиностроительного завода. Выпуска узлы и запчасти (валы, шестерни, втулки, корпуса) к ткацким станкам АТПР, технологическую оснастку дд обработки деталей. С 2002 г. освоен выпуск продукции для гостиниц (тележки для горничных).</w:t>
      </w:r>
    </w:p>
    <w:p w14:paraId="6BD759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имелось металлообрабатывающее производство, сварочное; ремонтная и инструментальная службы</w:t>
      </w:r>
    </w:p>
    <w:p w14:paraId="3F9B532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2004 г. введен в строй 3-й производственный корпус металлоконструкций (11982).</w:t>
      </w:r>
    </w:p>
    <w:p w14:paraId="44D1B36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BF4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СНК № 837-430сс от 3.06.1942 г. завод «Лентрикмаш» НКМВ переименован в завод № 752 в ведении ЗГУ (Завод № 752 НКМВ, Ленинградский завод трикотажных машин («Лентрикмаш») НКМВ /г. Ленинград/) (11982).</w:t>
      </w:r>
    </w:p>
    <w:p w14:paraId="0038C45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D0C2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в соответствии с пост. СНК № 837-430сс от 3.06.1942 г. приказом НКМВ № 250с завод «Продмашин» НКМВ переименован в завод № 753 им. Калинина (Завод № 753 НКМВ, Чугунолитейный завод, 1-й триерный и механический завод им. Калинина, Экспериментальный завод сложного автоматостроения для пищевой промышленности НКПП, Завод «Продмашин» НКМВ, Московский завод строительных инструментов им. Калинина МСиДМ, Московский машиностроительный завод им. Калинина, АП, ТОО, ОАО «ММЗ им. Калинина» /127287  г. Москва 2-я Хуторская ул., 38А/). в ведении 5ГУ,</w:t>
      </w:r>
      <w:r w:rsidRPr="00722885">
        <w:rPr>
          <w:rFonts w:ascii="Times New Roman" w:hAnsi="Times New Roman"/>
          <w:color w:val="000000" w:themeColor="text1"/>
          <w:sz w:val="16"/>
          <w:szCs w:val="16"/>
          <w:vertAlign w:val="superscript"/>
        </w:rPr>
        <w:t>129</w:t>
      </w:r>
      <w:r w:rsidRPr="00722885">
        <w:rPr>
          <w:rFonts w:ascii="Times New Roman" w:hAnsi="Times New Roman"/>
          <w:color w:val="000000" w:themeColor="text1"/>
          <w:sz w:val="16"/>
          <w:szCs w:val="16"/>
        </w:rPr>
        <w:t xml:space="preserve"> в ведении НКМВ по 1945 г.</w:t>
      </w:r>
    </w:p>
    <w:p w14:paraId="0FCFF41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1900сс от 8.06.1942 г. и приказом НКМВ № 219с от 18.06.1942 г. заводу поручено организовать производство прицелов к станку «30» с выпуском в июне- 600 шт., в июле 1942 г. - 2500 шт. Пост. ГКО № 1962сс от 4.07.1942 г. и приказом НКМВ № 237сс от 7.07.1942 г. заводу установлен план выпуска на 3-й квартал 1942 г. прицелов к 50-мм минометам - 12 тыс. шт.</w:t>
      </w:r>
    </w:p>
    <w:p w14:paraId="37D42F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6223F3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Волков.</w:t>
      </w:r>
    </w:p>
    <w:p w14:paraId="1830EC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прицелы: к станку «30», к 50-мм минометам (1942-) (11982).</w:t>
      </w:r>
    </w:p>
    <w:p w14:paraId="27E177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30AD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«Курганпродмаш» НКМВ переименован в завод № 709 в ведении 1 ГУ (Завод № 709 НКМВ, Завод «Курганпродмаш» НКМВ, Курганский завод деревообрабатывающих станков (ЗДС) ММиП / г. Курган/).</w:t>
      </w:r>
      <w:r w:rsidRPr="00722885">
        <w:rPr>
          <w:rFonts w:ascii="Times New Roman" w:hAnsi="Times New Roman"/>
          <w:color w:val="000000" w:themeColor="text1"/>
          <w:sz w:val="16"/>
          <w:szCs w:val="16"/>
          <w:vertAlign w:val="superscript"/>
        </w:rPr>
        <w:t>129</w:t>
      </w:r>
    </w:p>
    <w:p w14:paraId="7CE3D7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Курганский завод деревообрабатывающих станков в 1947 г. - в ведении Главбумдревмаша ММиП, был в 1960-е  г.</w:t>
      </w:r>
    </w:p>
    <w:p w14:paraId="4BD35F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Якубов, (1945 г.)- Ильин.</w:t>
      </w:r>
    </w:p>
    <w:p w14:paraId="06F163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82-мм мин (1942).</w:t>
      </w:r>
    </w:p>
    <w:p w14:paraId="7595AF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DDC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СНК № 837-430сс от 3.06.1942 г. завод «Челябкомпрессор» НКМВ переименован в завод № 721 (Завод № 721 НКМВ, Завод «Челябкомпрессор» НКМВ /г. Челябинск /) в ведении 4ГУ.</w:t>
      </w:r>
    </w:p>
    <w:p w14:paraId="19884B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Боганов.</w:t>
      </w:r>
    </w:p>
    <w:p w14:paraId="1CD813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(06.1042 г.)- Корчагин.</w:t>
      </w:r>
    </w:p>
    <w:p w14:paraId="285E15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автокомпрессорная станция АКС-2; детали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М-13 (1942) (11982).</w:t>
      </w:r>
    </w:p>
    <w:p w14:paraId="3C6637E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7B455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 г. приказом НКМВ № 250с завод «Агроприбор» НКМВ переименован в завод № 857 в ведении 5ГУ (Завод № 857 НКМВ, Завод «Агроприбор» НКМВ, НПО «Агроприбор» /125040 г. Москва ул. Скаковая, 36/).</w:t>
      </w:r>
    </w:p>
    <w:p w14:paraId="6C205C8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Нестерович.</w:t>
      </w:r>
    </w:p>
    <w:p w14:paraId="308A37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детали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М-13 (1942) (11982).</w:t>
      </w:r>
      <w:r w:rsidRPr="00722885">
        <w:rPr>
          <w:rFonts w:ascii="Times New Roman" w:hAnsi="Times New Roman"/>
          <w:color w:val="000000" w:themeColor="text1"/>
          <w:sz w:val="16"/>
          <w:szCs w:val="16"/>
          <w:vertAlign w:val="superscript"/>
        </w:rPr>
        <w:t>129</w:t>
      </w:r>
    </w:p>
    <w:p w14:paraId="417E2E97"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CE1B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приказом НКМВ/НКВД № 240сс/001431 в соответствии с пост. ГКО № 1960сс от 4 июля 1942г. Кунгурский механический завод № 806 Главпродмаша НКМВ передан со всем оборудованием в ведение НКВД к 15.07.1942г.</w:t>
      </w:r>
    </w:p>
    <w:p w14:paraId="1DFBB3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июня 1942 г. по приказу НКМВ № 224с на заводе (Кунгурский механический завод № 806 НКМВ, Минометный завод НКМВ /г. Кунгур Пермской обл./) начата реконструкция для организации с 1.10.1942г. производства минометов образца 1937г. мощностью 1000 шт. в месяц. Для этого был расширен механический цех, выделено 200 ед. оборудования.</w:t>
      </w:r>
    </w:p>
    <w:p w14:paraId="5C164F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Приказом НКВД № 001191 от 10.06.1942г. решено на базе завода организовать ИТЛ по производству 82-мм мин и оставить производство редукторов для пороховых заводов НКБ. По приказу НКМВ № 250с от 7.07.1942г. завод № 806 передан в ведение ЗГУ. </w:t>
      </w:r>
      <w:r w:rsidRPr="00722885">
        <w:rPr>
          <w:rFonts w:ascii="Times New Roman" w:hAnsi="Times New Roman"/>
          <w:color w:val="000000" w:themeColor="text1"/>
          <w:sz w:val="16"/>
          <w:szCs w:val="16"/>
          <w:vertAlign w:val="superscript"/>
        </w:rPr>
        <w:t>129</w:t>
      </w:r>
    </w:p>
    <w:p w14:paraId="5EFFF54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Проскурин.</w:t>
      </w:r>
    </w:p>
    <w:p w14:paraId="1C71E9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детали для минометов (1942) (11982).</w:t>
      </w:r>
    </w:p>
    <w:p w14:paraId="59254575"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E67D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Холодилного оборудования НКМВ переименован в завод № 725 в ведении 1ГУ (Завод № 725 НКМВ, Завод «Химаппаратура», Щелковский Государственный завод холодильного оборудования НКМВ, Щелковский завод малых гидротурбин ММиП, Щелковский насосный завод, ОАО «ЭНА» /г. Щелково Московской обл. «Турбина»/ /141101  г. Щелково Московской обл. ул. Заводская, 14/).</w:t>
      </w:r>
    </w:p>
    <w:p w14:paraId="766D96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заводу поручено освоение производства гидротурбин малой мощности. В 07.1946 г. завод № 725 переименован в Щелковский завод малых гидротурбин, в 1947-48 г. - в ведении Главхиммаша ММиП.</w:t>
      </w:r>
    </w:p>
    <w:p w14:paraId="6543BF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цехи: основные: гидротурбинный, электромоторный, ширпотреба, литейный, кузнечно- прессовый; вспомогательные: инструментальный.</w:t>
      </w:r>
    </w:p>
    <w:p w14:paraId="732928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1950 г. начато производство насосов. В 06.1956 г. завод переименован в Щелковский насосный завод. Специализировался на выпуске центробежных насосов. В 1960-е  г. завод реконструирован, расширены производственные площади.</w:t>
      </w:r>
    </w:p>
    <w:p w14:paraId="0CF9E2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9.10.1992 г. завод преобразован в ОАО «ЭНА».</w:t>
      </w:r>
    </w:p>
    <w:p w14:paraId="697FFF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г.)- 89 ед., (1946 г.)- 230 ед., (1947 г.)- 313 ед.</w:t>
      </w:r>
    </w:p>
    <w:p w14:paraId="6E7D012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г.)- 7,1 га; застройки (1947 г.)- 9471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г.)- 3390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г.)- 5975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г.)- 6308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CA1D8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г.)- 527 чел., (1946 г.)- 651 чел., (1947 г.)- 644 чел.</w:t>
      </w:r>
    </w:p>
    <w:p w14:paraId="77FFAF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Быков, (1948 г.)-  Г.А. Седов, (16.03.1987 г.-)- Ю.В. Гусев. Гендиректор (1992 г.-)- Ю.В. Гусев.</w:t>
      </w:r>
    </w:p>
    <w:p w14:paraId="26F762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А.А. Демин.</w:t>
      </w:r>
    </w:p>
    <w:p w14:paraId="7B920D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поршневые насосы «ДН» (193 7-); полуавтоматы ФОРА (1937-); корпуса 82-мм мин (1942); турбины: В059, ГТ2, ВТЗ, ВТ2; электродвигатели, печь «Чудо» (1947) (11982).</w:t>
      </w:r>
    </w:p>
    <w:p w14:paraId="2D15E7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46B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приказом НКМВ № 250с завод «Красный Профинтерн» НКМВ переименован в завод № 802 в ведении 2ГУ (Завод № 802 НКМВ, Завод «Красный Профинтерн» НКМВ, Арматурный завод «Красный Профинтерн» ММиП, ОАО «Армагус» /г. Гусь-Хрустальный ул. Ткацкая «Арматурный завод» (1948 г.)/ /601501 г. Гусь-Хрустальный Владимирской обл. ул. Рудницкой, 4/).</w:t>
      </w:r>
    </w:p>
    <w:p w14:paraId="737531F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завод «Красный профинтерн» - в ведении Главармалита ММиП.</w:t>
      </w:r>
    </w:p>
    <w:p w14:paraId="720A34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литейный, кузнечный, арматурно-механический, сборочный; вспомогательные: ремонтный, инструментальный, модельный.</w:t>
      </w:r>
    </w:p>
    <w:p w14:paraId="0C8680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Количество оборудования: (1939г.)- 115 ед., (1946г.)-129 ед., (1947г.)-168 ед.</w:t>
      </w:r>
    </w:p>
    <w:p w14:paraId="1F0A6B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(1947г.)- 3,6 га; застройки (1947г.)- 5987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(1939-46г.)-4080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(1947г.)- 4406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6DDD8A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(1939г.)- 444 чел., (1946г.)- 511 чел., (1947г.)- 449 чел.</w:t>
      </w:r>
    </w:p>
    <w:p w14:paraId="670D7B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Кафторов, (1948г.)- Горожанкин.</w:t>
      </w:r>
    </w:p>
    <w:p w14:paraId="0B4FD3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Солнцев.</w:t>
      </w:r>
    </w:p>
    <w:p w14:paraId="106FD6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82-мм мин, гранаты Ф-1 (1942); задвижки Луддо, клапаны предохранительные, вентили (1947) (11982).</w:t>
      </w:r>
      <w:r w:rsidRPr="00722885">
        <w:rPr>
          <w:rFonts w:ascii="Times New Roman" w:hAnsi="Times New Roman"/>
          <w:color w:val="000000" w:themeColor="text1"/>
          <w:sz w:val="16"/>
          <w:szCs w:val="16"/>
          <w:vertAlign w:val="superscript"/>
        </w:rPr>
        <w:t>129</w:t>
      </w:r>
    </w:p>
    <w:p w14:paraId="2D94BD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D7A8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приказом НКМВ № 250с Литейно- механический завод НКМВ переименован в завод № 821 в ведении ЗГУ (Завод № 821 НКМВ , Литейно -механический завод НКМВ, Пензенский литейно-механический завод ММиП /г. Пенза ул. Каракозовская, 44 «Силумин» (1948г.)/).</w:t>
      </w:r>
    </w:p>
    <w:p w14:paraId="579351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1947-48г. завод - в ведении Главполиграфмаша ММиП.</w:t>
      </w:r>
    </w:p>
    <w:p w14:paraId="49B8283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литейный, механо-сборочный; вспомогательные: модельно- столярный, ремонтный.</w:t>
      </w:r>
    </w:p>
    <w:p w14:paraId="38EB57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(1939г.)- 27 ед., (1946г.)- 70 ед., (1947г.)- 87 ед.</w:t>
      </w:r>
    </w:p>
    <w:p w14:paraId="378649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(1947г.)- 1,69 га; застройки (1947г.)- 2538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(1946-47г.)- 1472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35CD80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(1939г.)- 90 чел., (1946г.)- 210 чел., (1947г.)- 223 чел.</w:t>
      </w:r>
    </w:p>
    <w:p w14:paraId="27C2C6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Клюквин.</w:t>
      </w:r>
    </w:p>
    <w:p w14:paraId="765298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Денисович.</w:t>
      </w:r>
    </w:p>
    <w:p w14:paraId="59B8AACC" w14:textId="77777777" w:rsidR="00B6596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50-мм мины (1942);</w:t>
      </w:r>
      <w:r w:rsidRPr="00722885">
        <w:rPr>
          <w:rFonts w:ascii="Times New Roman" w:hAnsi="Times New Roman"/>
          <w:iCs/>
          <w:color w:val="000000" w:themeColor="text1"/>
          <w:sz w:val="16"/>
          <w:szCs w:val="16"/>
        </w:rPr>
        <w:t xml:space="preserve"> станки:</w:t>
      </w:r>
      <w:r w:rsidRPr="00722885">
        <w:rPr>
          <w:rFonts w:ascii="Times New Roman" w:hAnsi="Times New Roman"/>
          <w:color w:val="000000" w:themeColor="text1"/>
          <w:sz w:val="16"/>
          <w:szCs w:val="16"/>
        </w:rPr>
        <w:t xml:space="preserve"> отливные СУ, СО; фрезерно-отделочный ФР, фацетно-торцевой ФТ, ТА, дисковая пила ДП, лобофрезерный ЛФ, лобзиковый, для шлифовки цинка, торцевой для обработки клише; цинкорубилка ЦР; гартоплавильная печь СГ; гальваническая установка, центрифуга для цинкографии МЦ1; малая копировальная рама МК1 (1947) (11982).</w:t>
      </w:r>
      <w:r w:rsidRPr="00722885">
        <w:rPr>
          <w:rFonts w:ascii="Times New Roman" w:hAnsi="Times New Roman"/>
          <w:color w:val="000000" w:themeColor="text1"/>
          <w:sz w:val="16"/>
          <w:szCs w:val="16"/>
          <w:vertAlign w:val="superscript"/>
        </w:rPr>
        <w:t>129</w:t>
      </w:r>
    </w:p>
    <w:p w14:paraId="1C7D2E8D" w14:textId="77777777" w:rsidR="00B65961" w:rsidRPr="00722885"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096F93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1942г. в соответствии с пост. СНК № 837-430сс от 3.06.1942г. приказом НКМВ № 250с завод «Полиграфмашин» НКМВ переименован в завод № 822 в ведении 2ГУ (Завод № 822 НКМВ, Сысертский механический завод, Завод «Полиграфмашин» НКМВ, Уральский завод гидромашин («Гидромаш») ММиП, Сысертский электротехнический завод, ОАО «Уралгидромаш» /г. Сысерть Свердловской обл. «Турбина» (1948г.)/ /г. Сысерть Свердловской обл./).</w:t>
      </w:r>
      <w:r w:rsidRPr="00722885">
        <w:rPr>
          <w:rFonts w:ascii="Times New Roman" w:hAnsi="Times New Roman"/>
          <w:color w:val="000000" w:themeColor="text1"/>
          <w:sz w:val="16"/>
          <w:szCs w:val="16"/>
          <w:vertAlign w:val="superscript"/>
        </w:rPr>
        <w:t>129</w:t>
      </w:r>
    </w:p>
    <w:p w14:paraId="188A56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1947г. Уральский завод гидромашин - в ведении Главхиммаша ММиП.</w:t>
      </w:r>
    </w:p>
    <w:p w14:paraId="0E307A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(1947г.) цехи: основные: литейный, механосборочный, кузнечный, ширпотреба; вспомогательные: модельный, ремонтно-механический, энергетический, инструментальный.</w:t>
      </w:r>
    </w:p>
    <w:p w14:paraId="74EA52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турбин для ГЭС и водяных насосов.</w:t>
      </w:r>
    </w:p>
    <w:p w14:paraId="5C5A0A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(1939г.)- 105 ед., (1946г.)- 212 ед., (1947г.)- 416 ед.</w:t>
      </w:r>
    </w:p>
    <w:p w14:paraId="0546F6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(1947г.)- 30 га; застройки (1947г.)- 22112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(1939г.)- 4997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(1946- 47г.)- 14931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0E6616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(1939г.)- 626 чел., (1946г.)-1241 чел., (1947г.)-1218 чел.</w:t>
      </w:r>
    </w:p>
    <w:p w14:paraId="7D78B4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(06.1942г.)- Куракин, (1948г.)- Волынский.</w:t>
      </w:r>
    </w:p>
    <w:p w14:paraId="1AAE108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Галкин.</w:t>
      </w:r>
    </w:p>
    <w:p w14:paraId="22BD434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реактивный миномет М-13 (1941-42-); 82-мм минометы; корпуса 82-мм мин (1942), авиабомб, гранаты Ф-1, гильзы 45-мм, 152-мм снарядов (1942);</w:t>
      </w:r>
      <w:r w:rsidRPr="00722885">
        <w:rPr>
          <w:rFonts w:ascii="Times New Roman" w:hAnsi="Times New Roman"/>
          <w:iCs/>
          <w:color w:val="000000" w:themeColor="text1"/>
          <w:sz w:val="16"/>
          <w:szCs w:val="16"/>
        </w:rPr>
        <w:t xml:space="preserve"> гидротурбины:</w:t>
      </w:r>
      <w:r w:rsidRPr="00722885">
        <w:rPr>
          <w:rFonts w:ascii="Times New Roman" w:hAnsi="Times New Roman"/>
          <w:color w:val="000000" w:themeColor="text1"/>
          <w:sz w:val="16"/>
          <w:szCs w:val="16"/>
        </w:rPr>
        <w:t xml:space="preserve"> средние: Ф-40, -60, -123, -130, -140, -300, ВМ-123, -275, ПРК-70, -245, ВБ-140, -185, -220, ДГО-80, Г0-80, ГФ-80, ВО-120, -128; малые: Ф-300, ГОМ-бО, ГФ- 60, Г0-60, В0-60; насосы: центробежный 18НДС, пропеллерный ВП-60, фекальные 6НФ, 8НФ; шаровая мельница (1947) (11982).</w:t>
      </w:r>
    </w:p>
    <w:p w14:paraId="51CB60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E4A8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«Красный Аксай» НКМВ переименован в завод № 735 в ведении 1ГУ (Завод № 735 НКМВ, Завод «Красный Аксай» НКМВ /г. Ташкент/).</w:t>
      </w:r>
    </w:p>
    <w:p w14:paraId="108F038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Вероятно, после начала войны завод «Красный Аксай» эвакуирован в Ташкент. В 06.1942 г. завод - в ведении Главсельмаша НКМВ.</w:t>
      </w:r>
    </w:p>
    <w:p w14:paraId="59861E2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Приказом НКМВ № 232с от 1.07.1942 г. заводу поручено организовать выпуск электродов для производства химбоеприпасов.</w:t>
      </w:r>
    </w:p>
    <w:p w14:paraId="093F375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вероятно, завод реэвакуирован обратно в Ростов-на-Дону.</w:t>
      </w:r>
    </w:p>
    <w:p w14:paraId="593B3D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(03.1946 г.)- 2755 чел.</w:t>
      </w:r>
    </w:p>
    <w:p w14:paraId="50A8C9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(06.1942 г.)- Гланцов.</w:t>
      </w:r>
    </w:p>
    <w:p w14:paraId="76469E1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корпуса химичесих авиабомб ХАБ-100, 50-мм мины (1942), морские мины МИРАБ (1942); Р- 1.РДП-3 (1942).</w:t>
      </w:r>
    </w:p>
    <w:p w14:paraId="0E2AF4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Механический медно-чугунолитейный завод, Завод «Красный Аксай» НКМВ, ЗАО «Красный Аксай» /344025  г. Ростов-на-Дону ул. 35-я Линия, 83/</w:t>
      </w:r>
    </w:p>
    <w:p w14:paraId="20EC01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Механический медно-чугунолитейный завод основан в 1891 г.</w:t>
      </w:r>
    </w:p>
    <w:p w14:paraId="1907191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«Красный Аксай», вероятно, был реэвакурован в Ростов-на-Дону, в 07.1942 г. действовал в Ростове-на- Дону в ведении Главсельмаша НКМВ (в 02.1942 г. завод планировалось передать в 1ГУ НКМВ под № 713).</w:t>
      </w:r>
    </w:p>
    <w:p w14:paraId="40594E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тракторных культиваторов (1967 г.).</w:t>
      </w:r>
    </w:p>
    <w:p w14:paraId="3D2B66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(03.1946 г.)- 2300 чел. (11982)</w:t>
      </w:r>
    </w:p>
    <w:p w14:paraId="450F37B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DA4A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7 по 17 июля 1942 на АНИОПе испытывались 320-мм зажигательные и химические мины ГМ-320. На них было представлено пять мин, изготовленных Государственным союзным заводом №371 им. И.В.Сталина и снаряженных на заводе №522 и в ГИПХе. Вес корпусов мин составлял от 30,5 до 30,9 кг. Вес снаряжения головных частей был различным: 31,0кг, 41,0кг, 45,4 кг и 58 кг. Пороховые заряды мин находились в пределах от 6,46 кг до 6,833 кг. Из-за разброса веса снаряжения все мины имели различный вес: 79,596 кг, 89,18 кг, 88,28 кг, 70,1 кг и 94,8 кг. На минах был применен взрыватель МКТМЗ. По результатам испытаний корпуса по прочности и герметичности были признаны неудовлетворительными. В тоже время зажигательные смеси завода №522 и ГИПХа испытаний не выдержали (6403, 42).</w:t>
      </w:r>
    </w:p>
    <w:p w14:paraId="186E4E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дальнейшем на “Ржевском полигоне” проводились испытания двух зажигательных мин ГМ-320, снаряженных заводом №522 различными зажигательными составами. На одной была применена смесь (вариант 1), весом 36,3 кг с ВВ - 0,04 кг: 80% дизельного топлива, 10% нитроклетчатки, 10% бензина. Другая смесь (вариант 2), весом 36,4 кг с ВВ в 0,04 кг, имела следующие компоненты: 50% дизельного топлива, 10% нитроклетчатки, 10% бензина и 30% битума. Стрельба снарядами была произведена 22 июля 1942 года с деревянной рамы при угле возвышения пускового станка 42 градусов. На минах устанавливался взрыватель МКТМЗ.</w:t>
      </w:r>
    </w:p>
    <w:p w14:paraId="5AC70F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Результаты испытаний были признаны неудовлетворительными, в основном, из-за зажигательного состава, но было предложено продолжить испытания (6403, 42).</w:t>
      </w:r>
    </w:p>
    <w:p w14:paraId="219DD0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4082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года на АНИОП проводилось дальнейшие испытания мин ГМ-320 обкаткой в течении трех часов на автомобиле ГАЗ-АА. Мины размещались в упаковке ГМ-320-1Д. При этом маршрут пролегал по булыжному шоссе, асфальтовой и проселочной дорогам. Скорость автомобиля составила 25-30 км/ч, было пройдено 80 км пути. По результатам осмотра мин у нескольких мин была обнаружена течь (6403, 42).</w:t>
      </w:r>
    </w:p>
    <w:p w14:paraId="52F969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DC3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 по распоряжению СНК № 12506-р заводы «Томкабель» и «Сибкабель», созданные в Томске на площади Дома науки им. Макушина и электромеханического техникума, куда были эвакуированы московские заводы «Москабель» и «Электропровод», были объединены в ГС кабельный завод «Сибкабель» в ведении ГУ электрокабельной промышленности НКЭП. По приказу НКЭП № МК-325 от 15.08.1942 г. завод «Сибкабель» переименован в ГС завод № 631 (ГС завод № 631 НКЭП, ГС кабельный завод «Сибкабель» НКЭП, Томский кабельный завод («Томкабель») МЭТП /634059  г. Томск ул. Смирнова, 3/). 12.06.1954 г. завод № 631 переименован в Томский кабельный завод «Томкабель» МЭТП.</w:t>
      </w:r>
    </w:p>
    <w:p w14:paraId="3923FA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04.1952 г. на базе завода создан НИИ кабельной промышленности.</w:t>
      </w:r>
    </w:p>
    <w:p w14:paraId="34575B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1955 г. в состав завода влит завод № 673. С 07.1957 г. «Томкабель»- в ведении Томского СНХ, с 03.1963 г. - в ведении Управления электротехнической промышленности Западно-Сибирского совнархоза.</w:t>
      </w:r>
      <w:r w:rsidRPr="00722885">
        <w:rPr>
          <w:rFonts w:ascii="Times New Roman" w:hAnsi="Times New Roman"/>
          <w:color w:val="000000" w:themeColor="text1"/>
          <w:sz w:val="16"/>
          <w:szCs w:val="16"/>
          <w:vertAlign w:val="superscript"/>
        </w:rPr>
        <w:t>80</w:t>
      </w:r>
      <w:r w:rsidRPr="00722885">
        <w:rPr>
          <w:rFonts w:ascii="Times New Roman" w:hAnsi="Times New Roman"/>
          <w:color w:val="000000" w:themeColor="text1"/>
          <w:sz w:val="16"/>
          <w:szCs w:val="16"/>
        </w:rPr>
        <w:t xml:space="preserve"> С 1966 г.- вновь в ведении МЭТП.</w:t>
      </w:r>
    </w:p>
    <w:p w14:paraId="1654E6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1971 г. на базе заводов «Томкабель», «Эмальпровод», «Металлист» ( г. Колпашево Томской обл.) и НИИ кабельной промышленности с опытным производством создано ПО «Сибкабель» МЭТП.</w:t>
      </w:r>
    </w:p>
    <w:p w14:paraId="520AF4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кабели: силовые, шахтные, морские; электропровод.</w:t>
      </w:r>
    </w:p>
    <w:p w14:paraId="09400F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НИИ Кабельной промышленности МЭТП</w:t>
      </w:r>
    </w:p>
    <w:p w14:paraId="799118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 в 04.1952 г. на базе завода «Томкабель». В 1971 г. НИИ с опытным производством вошел в состав ПО «Сибкабель». Был в 2002 г.</w:t>
      </w:r>
    </w:p>
    <w:p w14:paraId="4E531F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«Сибкабель» МЭТП, НПО, АППО, АОЗТ, ЗАО «Сибкабель» /643003  г. Томск ул. Пушкина, 46/ /Московское представительство:  г. Москва ш. Энтузиастов, 5/</w:t>
      </w:r>
    </w:p>
    <w:p w14:paraId="65F321F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«Сибкабель» МЭТП создано в 1971 г. на базе заводов «Томкабель», «Эмальпровод», «Металлист» ( г. Колпашево Томской обл.) и НИИ кабельной промышленности с опытным производством. В 1992 г. предприятие преобразовано в АОЗТ «Сибкабель» (11982).</w:t>
      </w:r>
    </w:p>
    <w:p w14:paraId="3B6ACCB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C1CA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года вышел приказ № 440 НКБ</w:t>
      </w:r>
    </w:p>
    <w:p w14:paraId="1C236DB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Завод № 571 – Москва</w:t>
      </w:r>
    </w:p>
    <w:p w14:paraId="16359AF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562 – Москва</w:t>
      </w:r>
    </w:p>
    <w:p w14:paraId="2185DAA2"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568 – Москва</w:t>
      </w:r>
    </w:p>
    <w:p w14:paraId="27212C7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557 – Москва</w:t>
      </w:r>
    </w:p>
    <w:p w14:paraId="3EB423E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358 – Москва</w:t>
      </w:r>
    </w:p>
    <w:p w14:paraId="1FD3329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561 – Лианозово Моск. обл.</w:t>
      </w:r>
    </w:p>
    <w:p w14:paraId="044959A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520 – Биссерть Свердловской обл.</w:t>
      </w:r>
    </w:p>
    <w:p w14:paraId="0D00FA0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176 – Тула</w:t>
      </w:r>
    </w:p>
    <w:p w14:paraId="7984349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187 – Тула</w:t>
      </w:r>
    </w:p>
    <w:p w14:paraId="5FE21CC2"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599 – Ярославль</w:t>
      </w:r>
    </w:p>
    <w:p w14:paraId="0076163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577 – Боровск Молотовской обл.</w:t>
      </w:r>
    </w:p>
    <w:p w14:paraId="4D3F30B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558 – Горький</w:t>
      </w:r>
    </w:p>
    <w:p w14:paraId="0C3CDC8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325 – Новосибирск</w:t>
      </w:r>
    </w:p>
    <w:p w14:paraId="15E542F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(5907, 156).</w:t>
      </w:r>
    </w:p>
    <w:p w14:paraId="1746FDB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7FEB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года была подготовлена справка:</w:t>
      </w:r>
    </w:p>
    <w:p w14:paraId="5B8922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Заводы №№ 66 и 385 – Златоуст (9211)</w:t>
      </w:r>
    </w:p>
    <w:p w14:paraId="370AF8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F241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вышло Постановление ГКО № 1996 Об эвакуации оборудования и материалов предприятий Орловской области. РГАНИР, Фонд ГКО, д. 42, лл. 118 (11012).</w:t>
      </w:r>
    </w:p>
    <w:p w14:paraId="7ACFC68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0C4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вышло Постановление ГКО № 1997 Об эвакуации оборудования и рабочих предприятий Наркомпищепрома Орловской области. РГАНИР, Фонд ГКО, д. 42, лл. 119, 120-121 (11012).</w:t>
      </w:r>
    </w:p>
    <w:p w14:paraId="0870BC6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F82E1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вышло Постановление ГКО № 1998 Об эвакуации оставшегося оборудования Елецкого. станкостроительного завода. . РГАНИР, Фонд ГКО, д. 42, лл. 122 (11012).</w:t>
      </w:r>
    </w:p>
    <w:p w14:paraId="370CA8B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1E4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вышло Постановление ГКО № 1999 Об эвакуации II очереди предприятий комбинатов "Ворошиловградуголь" и "Ростовуголь". РГАНИР, Фонд ГКО, д. 42, лл. 123-124, 125 (11012).</w:t>
      </w:r>
    </w:p>
    <w:p w14:paraId="728E4E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D448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вышло Постановление ГКО № 2000 Об обеспечении выпуска танков на заводе № 183. Наркомтанкопрома. РГАНИР, Фонд ГКО, д. 42, лл. 126-128, 129-130 (11012).</w:t>
      </w:r>
    </w:p>
    <w:p w14:paraId="72EB98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4F0C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вышло Постановление ГКО № 2001 Об оборудовании ледовой защиты кораблей Военно-Морского Флота. (7041, 131-132,133-135).</w:t>
      </w:r>
    </w:p>
    <w:p w14:paraId="7CA560F2"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90F15F"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июля 1942 года</w:t>
      </w:r>
    </w:p>
    <w:p w14:paraId="0E88BDA7"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8 – 7</w:t>
      </w:r>
    </w:p>
    <w:p w14:paraId="2EE07820"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746D2FE6"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503с</w:t>
      </w:r>
    </w:p>
    <w:p w14:paraId="1BD38750"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1CFACC2D"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июля 1942 года.</w:t>
      </w:r>
    </w:p>
    <w:p w14:paraId="5C779218"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Работа танковых заводов за первую пятидневку июля идет крайне неудовлетворительно. Установленный суточный график сдачи танков не выполняется.</w:t>
      </w:r>
    </w:p>
    <w:p w14:paraId="722C81F3"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Так, завод № 112 (директор т. Рубинчик) вместо установленного ему плана по суточному графику 28 машин, сдал всего восемь машин; завод № 183 (директор т. Максарев) вместо установленного ему плана по суточному графику 60 машин, сдал всего 36 машин. Аналогичное положение на заводе № 174 (директор т. Кацнельсон), № 38 (директор т. Яковлев). Такая работа заводов по выпуску танков в наиболее ответственный период войны терпима быть не может.</w:t>
      </w:r>
    </w:p>
    <w:p w14:paraId="30824250"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целях обеспечения безусловного выполнения плана июля месяца и ритмичной работы заводов по суточному графику – ПРИКАЗЫВАЮ:</w:t>
      </w:r>
    </w:p>
    <w:p w14:paraId="1036B46F"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Директорам и главным инженерам заводов:</w:t>
      </w:r>
    </w:p>
    <w:p w14:paraId="1DB4B0BC"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с 7.VII-с.г. обеспечить безоговорочное выполнение суточного графика сдачи танков и моторов при всех условиях;</w:t>
      </w:r>
    </w:p>
    <w:p w14:paraId="37ECEECB"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в случае срыва выполнения графика по сдаче танков директорам заводов давать по ВЧ не позже 12 часов для объяснения: о причинах срыва суточного графика, о виновниках срыва и о принятых мерах директором завода по восполнению недоданной части программы.</w:t>
      </w:r>
    </w:p>
    <w:p w14:paraId="1791BB10"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Зам. начальника 1-го отдела т. ДАВТЯН ежедневно вместе с отчетными данными по выпуску машин докладывать мне донесения директоров заводов о случаях срыва выполнения суточного графика, виновных срыва и мерах, принятых директором по ликвидации отставания.</w:t>
      </w:r>
    </w:p>
    <w:p w14:paraId="4CC21C12"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Зам. начальника 1-го отдела т. ДАВТЯН, зам. начальника металлургического отдела т. ЧЕРНУШЕВИЧУ и начальнику Главснаба т. РОЗИНУ представлять мне и моим заместителям: т. ЗЕРНОВУ и т. ГОРЕГЛЯД рапорта об обеспечении выполнения суточного графика каждым танковым и моторным заводом вперед на десять дней, с проектом проработанных предложений о необходимых мерах помощи заводам.</w:t>
      </w:r>
    </w:p>
    <w:p w14:paraId="4DBBAE6A"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Предупредить директоров заводов, начальников отделов и управлений Наркомата, что невыполнение суточных графиков по выпуску танков, танковых дизелей и корпусов заводами по причине непринятия своевременных мер будет рассматриваться как преступление перед Родиной со всеми вытекающими отсюда последствиями.</w:t>
      </w:r>
    </w:p>
    <w:p w14:paraId="341EE41D"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ТАНКОВОЙ ПРОМЫШЛЕННОСТИ СОЮЗА ССР подпись (И. ЗАЛЬЦМАН) (21213).</w:t>
      </w:r>
    </w:p>
    <w:p w14:paraId="2021EA94" w14:textId="77777777" w:rsidR="00442DB8" w:rsidRPr="00722885" w:rsidRDefault="00442DB8" w:rsidP="00722885">
      <w:pPr>
        <w:spacing w:after="0" w:line="240" w:lineRule="auto"/>
        <w:jc w:val="both"/>
        <w:rPr>
          <w:rFonts w:ascii="Times New Roman" w:hAnsi="Times New Roman"/>
          <w:color w:val="0070C0"/>
          <w:sz w:val="16"/>
          <w:szCs w:val="16"/>
        </w:rPr>
      </w:pPr>
    </w:p>
    <w:p w14:paraId="6F852AA2"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62C179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5DCABC"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7 июля</w:t>
      </w:r>
      <w:r w:rsidRPr="00722885">
        <w:rPr>
          <w:rFonts w:ascii="Times New Roman" w:hAnsi="Times New Roman"/>
          <w:color w:val="000000" w:themeColor="text1"/>
          <w:sz w:val="16"/>
          <w:szCs w:val="16"/>
        </w:rPr>
        <w:t xml:space="preserve"> в 1942 году утреннее сообщение Совинформбюро:</w:t>
      </w:r>
    </w:p>
    <w:p w14:paraId="3037557B"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7 июля наши войска вели бои с противником западнее Воронежа и юго-западнее Старый Оскол.</w:t>
      </w:r>
    </w:p>
    <w:p w14:paraId="55D71896"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37D72894"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западнее Воронежа ведут ожесточённые бои с танками и пехотой противника и наносят им большой урон. На одном из участков наша часть отбила три атаки гитлеровцев. На поле боя немцы оставили 450 трупов солдат и офицеров и 8 подбитых танков. На другом участке советские танкисты разгромили немецкий батальон, уничтожили 8 орудий, 6 пулемётов и батарею тяжёлых миномётов. На подступах к одному населённому пункту немцы потеряли только убитыми свыше 600 солдат и офицеров.</w:t>
      </w:r>
    </w:p>
    <w:p w14:paraId="543C99CB"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узком участке фронта юго-западнее Старого Оскола за один день боёв гитлеровцы потеряли до 500 солдат и офицеров и 4 танка. Наши части огнём всех видов оружия непрерывно выматывают немцев и уничтожают их технику. Свыше 40 немецких танков и автоматчики атаковали один населённый пункт. Наши артиллеристы огнём с открытых позиций уничтожили 11 немецких танков и около 200 немцев.</w:t>
      </w:r>
    </w:p>
    <w:p w14:paraId="33E4ED65"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части, действующие на одном из участков Калининского фронта, за два дня боёв уничтожили 25 немецких танков и свыше 2.000 солдат и офицеров противника. Бойцы части под командованием тов. Гавилевского ружейно-пулемётным огнём уничтожили более 200 гитлеровцев. На другом участке бойцы и командиры части тов. Лесового разгромили до батальона пехоты противника, уничтожили 2 немецких танка и 4 орудия.</w:t>
      </w:r>
    </w:p>
    <w:p w14:paraId="7073FDB3"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 капитан Бунин, старший лейтенант Игнатьев, младшие лейтенантыБорововых и Шкиров, прикрывая наземные войска, встретили два немецкихистребителя и 12 «Юнкерсов-88». Отважная четвёрка бросилась в атаку. Немецкиеистребители, как только заметили наши самолёты, дали полный газ и удрали. Нашилётчики атаковали оставшиеся самолёты противника и сбили два «Юнкерса-88».</w:t>
      </w:r>
    </w:p>
    <w:p w14:paraId="2CD8BD35"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наших бойцов, выполняя боевое задание, встретилась с немецкой разведкой. Завязался бой. Один гитлеровец пытался выстрелить в командира группы тов. Игнатьева, но вовремя подоспевший красноармеец Шавелев прикладом размозжил немцу голову. Красноармеец тов. Ершов метким выстрелом убил немецкого офицера, тов. Риткин уничтожил трёх гитлеровцев. Наши бойцы, уничтожив 10 немцев и взяв 2 немецких солдат в плен, без потерь вернулись в часть.</w:t>
      </w:r>
    </w:p>
    <w:p w14:paraId="11DF536D"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 противника прошёл через окоп, в котором находился сержант Отов. Смелый боец поднялся и метнул в него зажигательную бутылку. Немецкий танк сгорел.</w:t>
      </w:r>
    </w:p>
    <w:p w14:paraId="3F9046C7"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Партизанский отряд действующий в одном из районов Витебской области, организовал крушение двух воинских эшелонов противника. Во время крушения сгорело 20 вагонов, 4 цистерны с горючим и убито свыше 200 немецко-фашистских оккупантов. В другом районе партизанские отряды под командованием тт. К. и К. </w:t>
      </w:r>
      <w:r w:rsidRPr="00722885">
        <w:rPr>
          <w:rFonts w:ascii="Times New Roman" w:hAnsi="Times New Roman"/>
          <w:color w:val="000000" w:themeColor="text1"/>
          <w:sz w:val="16"/>
          <w:szCs w:val="16"/>
        </w:rPr>
        <w:lastRenderedPageBreak/>
        <w:t>совершили налёт на немецкий гарнизон, расположённый в одном селе. Партизаны забросали гранатами помещения, где находились гитлеровцы. Истреблено 40 немецкихс олдат, выбежавших из домов на улицу.</w:t>
      </w:r>
    </w:p>
    <w:p w14:paraId="1CF81364"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Украинские партизаны в одном из районов Сумской области напали на немецкий гарнизон в селе Я. Оккупанты вначале открыли сильный огонь из пулемётов и винтовок, но, заметив, что партизаны окружают село, бежали на автомашинах. Во время этой операции убито 50 и ранено 12 гитлеровцев. Партизаны захватили оружие и боеприпасы.</w:t>
      </w:r>
    </w:p>
    <w:p w14:paraId="740CA7A9"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письмах из Германии, найденных у убитых немецких солдат, родные сообщают о гибели посевов и о плохих видах на урожай. Немецкому унтер-офицеру Отто Юнгу пишут: «...Пшеница и клевер пропали, рожь гибнет». Ефрейтору Эрвину Дамме сообщают: «...Озимые почти все вымерзли... кормов нет...» Эмиль Вернер пишет обер-ефрейтору Эдлинду Вернеру: «Урожай в этом году будет скудный. Многие съели уже последний картофель. Сено тоже кончилось. Многим пришлось пересеять клевер. Всходы ржи и пшеницы очень редкие и ничего хорошего не обещают. Отец говорит, что если будет неурожай, то война скорее кончится».</w:t>
      </w:r>
    </w:p>
    <w:p w14:paraId="2488F169"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заводах Круппа (Германия) после каждой воздушной тревоги тысячи рабочих демонстративно опаздывают или вовсе не выходят на работу. На одном из заводов в июне месяце было в три раза больше прогулов, чем в мае. После налётов английской авиации на Эссен многие рабочие покинули предприятия и бежали в сельские местности.» (14945).</w:t>
      </w:r>
    </w:p>
    <w:p w14:paraId="34A21C17"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4A1C7B1E"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7 июля</w:t>
      </w:r>
      <w:r w:rsidRPr="00722885">
        <w:rPr>
          <w:rFonts w:ascii="Times New Roman" w:hAnsi="Times New Roman"/>
          <w:color w:val="000000" w:themeColor="text1"/>
          <w:sz w:val="16"/>
          <w:szCs w:val="16"/>
        </w:rPr>
        <w:t xml:space="preserve"> в 1942 году вечернее сообщение Совинформбюро:</w:t>
      </w:r>
    </w:p>
    <w:p w14:paraId="41AC02CB"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7 июля продолжались ожесточённые бои западнее Воронежа и юго-западнее Старый Оскол.</w:t>
      </w:r>
    </w:p>
    <w:p w14:paraId="7EF3F7DD"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7078DC7B"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6 июля частями нашей авиации на различных участках фронта уничтожено или повреждено несколько десятков немецких танков, 75 автомашин с войсками и грузами, 46 повозок с боеприпасами, подавлен огонь 4 дивизионов полевой и зенитной артиллерии и двух отдельных батарей, разбито три железнодорожных состава, взорван склад с боеприпасами, рассеяно и частью уничтожено до полка пехоты и два эскадрона конницы противника.</w:t>
      </w:r>
    </w:p>
    <w:p w14:paraId="67AF5CFB"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Старого Оскола идут напряжённые бои с пехотой и танковыми войсками противника. На одном из участков немцы бросили в атаку около 200 танков и значительное количество пехоты. Артиллеристы, миномётчики, бронебойщики и танкисты стойко встретили гитлеровцев и подбили 80 немецких танков. Огромный урон понесла также и пехота противника. Наши бойцы в упор расстреливали гитлеровцев из пулемётов, автоматов и винтовок. Уничтожив несколько сот солдат и офицеров противника, наши части отошли на новый, заранее подготовленный оборонительный рубеж.</w:t>
      </w:r>
    </w:p>
    <w:p w14:paraId="4D8F0497"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западнее Воронежа наша танковая часть сдерживает напор крупных сил противника. В результате боя в течение дня уничтожено 700 гитлеровцев, 14 немецких танков, 6 противотанковых орудий, 7 автомашин и 2 миномётные батареи. На другом участке наши артиллеристы и пехотинцы в течениедвух дней отстаивали населённый пункт от превосходящих сил противника. На подступах к селу гитлеровцы потеряли только убитыми свыше 1.000 солдат и офицеров.</w:t>
      </w:r>
    </w:p>
    <w:p w14:paraId="02AFF4EB"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Большой урон противнику наносят артиллеристы, действующие на одном из участков Калининского фронта. Немцы пытались окружить и уничтожить батарею лейтенанта Шишкина. Семь раз гитлеровцы переходили в атаку на батарею, и каждый раз, неся большие потери, откатывались назад. В этом бою противник потерял свыше батальона пехоты, 2 орудия, пулемёты, автоматы, винтовки и другое вооружение.</w:t>
      </w:r>
    </w:p>
    <w:p w14:paraId="3353899A"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Наша часть (Ленинградский фронт) за два дня боёв уничтожила 8 вражеских ДЗОТов и блиндажей, 2 наблюдательных пункта, противотанковое орудие и 2 станковых пулемёта. Взорвано 2 склада с боеприпасами. Взяты пленные. Противник потерял убитыми до 200 солдат и офицеров.</w:t>
      </w:r>
    </w:p>
    <w:p w14:paraId="26D2B590"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Две роты пехоты противника пытались выбить наше подразделение, занявшее высоту на одном из участков Южного фронта. Встреченные сильным огнём, гитлеровцы отступили, потеряв при этом убитыми свыше 100 солдат и офицеров.</w:t>
      </w:r>
    </w:p>
    <w:p w14:paraId="7C8C0CE8"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Артиллеристы части, где командиром тов. Епифанов, подавили огонь вражеской батареи 75-мм орудий, разбили 2 блиндажа, уничтожили несколько автомашин и 70 гитлеровцев.</w:t>
      </w:r>
    </w:p>
    <w:p w14:paraId="23D817F2"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Подразделение зенитчиков лейтенанта Ковзела сбило тяжёлый транспортный самолёт противника.</w:t>
      </w:r>
    </w:p>
    <w:p w14:paraId="341B558A"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Несколько партизанских отрядов под командованием товарищей В. и Г., действующих в одном из районов Ленинградской области, за 25 дней июня истребили 150 оккупантов, уничтожили 2 автомашины с военным грузом, 7 повозок с боеприпасами и захватили у немцев трофеи.</w:t>
      </w:r>
    </w:p>
    <w:p w14:paraId="17AD5292"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Взятый в плен на одном из участков Западного фронта унтер-офицер немецкой танковой дивизии Ганс Зигерт рассказал: «Я нахожусь на Восточном фронте с первого дня войны. Когда мы начали поход, в роте было 220 человек. В течение года она девять раз получала пополнение, и тем не менее сейчас в роте насчитывается около 100 солдат. В моём взводе из 48 солдат уцелело только трое: фельдфебель Отто и два ефрейтора. Один из них недавно в тесном кругу товарищей заявил: «Если война будет ещё долго продолжаться, я брошу винтовку и перебегу к русским». На днях вернулся из командировки мой сослуживец обер-ефрейтор Кюнрих. Он был в Германии и заезжал к себе на родину. Кюнрих приехал очень расстроенный. Он сообщил, что в тылу происходят отвратительные дела, эсэсовцы безобразничают с жёнами солдат и воруют всюду. Мы на фронте страдаем, а они наживаются на войне».</w:t>
      </w:r>
    </w:p>
    <w:p w14:paraId="6F4570CB"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Среди рабочих германской горно-рудной промышленности резко увеличилось число случаев саботажа и диверсий. Шахтёры рудника, расположенного близ Аахена, организовали на подземной железной дороге крушение поезда с углём. Работа была приостановлена в течение суток.» (14945).</w:t>
      </w:r>
    </w:p>
    <w:p w14:paraId="56052012"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1DAC23FD"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7 июля</w:t>
      </w:r>
      <w:r w:rsidRPr="00722885">
        <w:rPr>
          <w:rFonts w:ascii="Times New Roman" w:hAnsi="Times New Roman"/>
          <w:color w:val="000000" w:themeColor="text1"/>
          <w:sz w:val="16"/>
          <w:szCs w:val="16"/>
        </w:rPr>
        <w:t xml:space="preserve"> в 1942 году Ставка ВГК разделила Брянский фронт на Брянский и Воронежский (20 октября 1943 переименован в 1-й Украинский. фронт) фронты. Командующий Воронежским фронтом - генерал-лейтенант (с января 1943 генерал-полковник) Ф.И.Голиков (июль 1942, октябрь 1942 - март 1943), генерал-лейтенант (с декабря 1942 генерал-полковник, с февраля 1943 генерал армии) Н.Ф.Ватутин (июль-октябрь1942, март-октябрь 1943), члены Военного совета - корпусной комиссар И.3.Сусайков (июль-сентябрь 1942), корпусной комиссар Л.3.Мехлис (сентябрь-октябрь 1942), армейский комиссар 2-го ранга (с декабря 1942 генерал-лейтенант) Ф.Ф.Кузнецов (октябрь 1942 - март 1943), генерал-лейтенант Ф.Ф.Кузнецов (октябрь 1942 - март 1943), генерал-лейтенант Н.С.Хрущев (март-октябрь 1943), генерал-майор К.В.Крайнюков (октябрь 1943), начальник. штаба - генерал-майор Ф.И.Шевченко (июль 1942), генерал-лейтенант М.И.Казаков (июль 1942 - февраль 1943), генерал-майор А.П.Пилипенко (февраль-март 1943), генерал-майор Ф.К.Корженевич (март-май 1943), генерал-лейтенант С.П.Иванов (май-октябрь 1943) (14945).</w:t>
      </w:r>
    </w:p>
    <w:p w14:paraId="6FED6564"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0157AE49"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7 июля 1942 в корму танка КВ-1 комиссара бригады старшего батальонного комиссара Седякина попа</w:t>
      </w:r>
      <w:r w:rsidRPr="00722885">
        <w:rPr>
          <w:color w:val="000000" w:themeColor="text1"/>
          <w:sz w:val="16"/>
          <w:szCs w:val="16"/>
        </w:rPr>
        <w:softHyphen/>
        <w:t>ла бомба калибра 50 кг. В результате взрыва было сорвано крыло, разбиты триплекс и телескопиче</w:t>
      </w:r>
      <w:r w:rsidRPr="00722885">
        <w:rPr>
          <w:color w:val="000000" w:themeColor="text1"/>
          <w:sz w:val="16"/>
          <w:szCs w:val="16"/>
        </w:rPr>
        <w:softHyphen/>
        <w:t>ский прицел. Экипаж остался цел, а сам танк остал</w:t>
      </w:r>
      <w:r w:rsidRPr="00722885">
        <w:rPr>
          <w:color w:val="000000" w:themeColor="text1"/>
          <w:sz w:val="16"/>
          <w:szCs w:val="16"/>
        </w:rPr>
        <w:softHyphen/>
        <w:t>ся на ходу и боеспособности не потерял.</w:t>
      </w:r>
    </w:p>
    <w:p w14:paraId="1BC5CADD" w14:textId="77777777" w:rsidR="00B33D31" w:rsidRPr="00722885" w:rsidRDefault="00B33D3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же день бомба калибром 500—1000 кг упала на расстоянии 0,5—0,8 м от танка командира бригады полковника Вовченко. От взрыва образо</w:t>
      </w:r>
      <w:r w:rsidRPr="00722885">
        <w:rPr>
          <w:color w:val="000000" w:themeColor="text1"/>
          <w:sz w:val="16"/>
          <w:szCs w:val="16"/>
        </w:rPr>
        <w:softHyphen/>
        <w:t>валась воронка диаметром 18 м и глубиной до 5 м. Танк основательно встряхнуло, затем он опустил</w:t>
      </w:r>
      <w:r w:rsidRPr="00722885">
        <w:rPr>
          <w:color w:val="000000" w:themeColor="text1"/>
          <w:sz w:val="16"/>
          <w:szCs w:val="16"/>
        </w:rPr>
        <w:softHyphen/>
        <w:t>ся в образовавшуюся воронку. У танка оказались разбитыми триплекс и телескопический прицел, сорвана гусеница. Экипаж был легко контужен. Че</w:t>
      </w:r>
      <w:r w:rsidRPr="00722885">
        <w:rPr>
          <w:color w:val="000000" w:themeColor="text1"/>
          <w:sz w:val="16"/>
          <w:szCs w:val="16"/>
        </w:rPr>
        <w:softHyphen/>
        <w:t>рез 5 часов исправленный танк и экипаж пошли в бой (17500).</w:t>
      </w:r>
    </w:p>
    <w:p w14:paraId="0E043770" w14:textId="77777777" w:rsidR="00B33D31" w:rsidRPr="00722885" w:rsidRDefault="00B33D31" w:rsidP="00722885">
      <w:pPr>
        <w:spacing w:after="0" w:line="240" w:lineRule="auto"/>
        <w:jc w:val="both"/>
        <w:rPr>
          <w:rFonts w:ascii="Times New Roman" w:hAnsi="Times New Roman"/>
          <w:color w:val="000000" w:themeColor="text1"/>
          <w:sz w:val="16"/>
          <w:szCs w:val="16"/>
        </w:rPr>
      </w:pPr>
    </w:p>
    <w:p w14:paraId="52CF76AD"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7 июля</w:t>
      </w:r>
      <w:r w:rsidRPr="00722885">
        <w:rPr>
          <w:rFonts w:ascii="Times New Roman" w:hAnsi="Times New Roman"/>
          <w:color w:val="000000" w:themeColor="text1"/>
          <w:sz w:val="16"/>
          <w:szCs w:val="16"/>
        </w:rPr>
        <w:t xml:space="preserve"> в 1942 году в Севастополе немецко-румынские войска установили полный контроль над побережьем и начали прочесывание штолен, береговых батарей и подвалов в городе. «Зачистка» территории СОР закончена к 12 июля. В Берлине под председательством Геббельса состоялось первое секретное совещание, как охарактеризовать события в Крыму и пояснить факт тотального сопротивления войск и местного населения в Севастополе? Следующее совещание состоится 9 июля, когда Геббельс лично запретит всякое упоминание в немецких СМИ о сопротивлении противника в районе Севастополя (14945).</w:t>
      </w:r>
    </w:p>
    <w:p w14:paraId="7C08A8C4"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733F6E85" w14:textId="77777777" w:rsidR="00AE7191" w:rsidRPr="00722885" w:rsidRDefault="00AE7191" w:rsidP="00722885">
      <w:pPr>
        <w:pStyle w:val="a3"/>
        <w:rPr>
          <w:color w:val="000000" w:themeColor="text1"/>
          <w:lang w:val="ru-RU"/>
        </w:rPr>
      </w:pPr>
      <w:r w:rsidRPr="00722885">
        <w:rPr>
          <w:color w:val="000000" w:themeColor="text1"/>
          <w:lang w:val="ru-RU"/>
        </w:rPr>
        <w:t>7 июля 1942 в корму танка КВ-1 комиссара бригады старшего батальонного комиссара Седякина попала бомба калибра 50 кг. В результате взрыва было сорвано крыло, разбиты триплекс и телескопический при</w:t>
      </w:r>
      <w:r w:rsidRPr="00722885">
        <w:rPr>
          <w:color w:val="000000" w:themeColor="text1"/>
          <w:lang w:val="ru-RU"/>
        </w:rPr>
        <w:softHyphen/>
        <w:t>цел . Экипаж остался цел, а сам танк остался на ходу и боеспособности не потерял.</w:t>
      </w:r>
    </w:p>
    <w:p w14:paraId="637FE651" w14:textId="77777777" w:rsidR="00AE7191" w:rsidRPr="00722885" w:rsidRDefault="00AE7191" w:rsidP="00722885">
      <w:pPr>
        <w:pStyle w:val="a3"/>
        <w:rPr>
          <w:color w:val="000000" w:themeColor="text1"/>
          <w:lang w:val="ru-RU"/>
        </w:rPr>
      </w:pPr>
      <w:r w:rsidRPr="00722885">
        <w:rPr>
          <w:color w:val="000000" w:themeColor="text1"/>
          <w:lang w:val="ru-RU"/>
        </w:rPr>
        <w:t>В этот же день бомба калибром 500- 1000 кг упала на расстоянии 0,5-0,8 м от танка командира бригады полковника Вовченко. От взрыва образовалась воронка диаметром 18 м и глубиной до 5 м. Танк основательно встряхнуло, затем он сполз в образовавшуюся воронку. У танка оказались разбитыми триплекс и телескопический прицел, сорвана гусеница. Экипаж был легко контужен. Через 5 ч исправленный танк и экипаж пошли в бой.</w:t>
      </w:r>
    </w:p>
    <w:p w14:paraId="3CB390F6" w14:textId="77777777" w:rsidR="00AE7191" w:rsidRPr="00722885" w:rsidRDefault="00AE7191" w:rsidP="00722885">
      <w:pPr>
        <w:pStyle w:val="a3"/>
        <w:rPr>
          <w:color w:val="000000" w:themeColor="text1"/>
          <w:lang w:val="ru-RU"/>
        </w:rPr>
      </w:pPr>
      <w:r w:rsidRPr="00722885">
        <w:rPr>
          <w:color w:val="000000" w:themeColor="text1"/>
          <w:lang w:val="ru-RU"/>
        </w:rPr>
        <w:t>По заявлению командира 1 -го батальона 71 -й танковой бригады майора Я.И. Плисова в марте 1942 г. в районе г. Холм в поле остался один тяжелый танк КВ-1, который авиация противника пыталась уничтожить в течение двух дней. В общей сложности по танку «работало» около 60 самолетов 87, ^ 88 и Не111. Пилоты люфтваффе бомбили танк и с пикирования и с горизонтального полета, но безрезультатно. Вся земля вокруг танка и в непосредственной близости от него была изрыта воронками, но прямых попаданий не было. Осколки поражения танку не причинили (12733).</w:t>
      </w:r>
    </w:p>
    <w:p w14:paraId="4FCCF78C" w14:textId="77777777" w:rsidR="00AE7191" w:rsidRPr="00722885" w:rsidRDefault="00AE7191" w:rsidP="00722885">
      <w:pPr>
        <w:pStyle w:val="a3"/>
        <w:rPr>
          <w:color w:val="000000" w:themeColor="text1"/>
          <w:lang w:val="ru-RU"/>
        </w:rPr>
      </w:pPr>
    </w:p>
    <w:p w14:paraId="054188F5"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в Севастополе немецко-румынские войска установили полный контроль над побережьем и начали прочесывание штолен, береговых батарей и подвалов в городе. “Зачистка” территории СОР закончена к 12 июля. В Берлине под председательством Геббельса состоялось первое секретное совещание, как охарактеризовать события в Крыму и пояснить факт тотального сопротивления войск и местного населения в Севастополе? Следующее совещание состоится 9 июля, когда Геббельс лично запретит всякое упоминание в немецких СМИ о сопротивлении противника в районе Севастополя (4963 ).</w:t>
      </w:r>
    </w:p>
    <w:p w14:paraId="3E2FE35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314D4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ночь на 7 июля 1942 перешедшие в наступление 4-я танковая и 6-я армии немцев к вечеру, двигаясь вдоль правого берега Дона, заняли Россошь.</w:t>
      </w:r>
    </w:p>
    <w:p w14:paraId="546DAFD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Командование 28-й армии приказало командиру 23-го танкового корпуса, не считаясь ни с какими потерями, к утру 8 июля взять Рос- сошь обратно. Получив этот приказ, командование корпуса назвало его авантюрой, так как к указанному сроку вывести бригады из боя и сконцентрировать их на выполнение поставленной задачи было невозможно.</w:t>
      </w:r>
    </w:p>
    <w:p w14:paraId="0EFFEDA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Использовав все возможности для быстрейшего выполнения приказа, командование корпуса лишь в 10.30 утра 8 июля собрало остатки бригад, передав все оставшиеся к этому времени в строю танки (40 машин, из них до половины Т-34) 6-й гвардейской танковой бригаде.</w:t>
      </w:r>
    </w:p>
    <w:p w14:paraId="0B4BEC2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Утром 8 мая командование 6-й гвардейской танковой бригады бросило танки в бой в направлении на Россошь без разведки. В результате наши танки неожиданно столкнулись с немецкими танками и артиллерией и, потеряв несколько машин, отошли. Прибыв около 9.00 в расположение бригады, командир корпуса выяснил, что часть танков из-за отсутствия масла и топлива отстали и стоят в пути, а прибывшие также не имеют горючего. Вскоре на одной из авиабаз удалось достать около тонны топлива и немного масла, минимально заправить танки и выступить на Россошь, до которой предстояло пройти около 40 километров. Имея минимум горючего и крайне мало боеприпасов, 6-я гвардейская танковая бригада не могли вести длительного боя и фактически были обречены на гибель.</w:t>
      </w:r>
    </w:p>
    <w:p w14:paraId="7AAEF2D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10 июля, вследствие неправильного использования 23-го танкового корпуса, его бригады остались без материальной части, потеряв при этом значительную часть своего личного состава (12217).</w:t>
      </w:r>
    </w:p>
    <w:p w14:paraId="24A6690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F1762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1 млн. немецких солдат начали наступление на Кавказ (2245,7).</w:t>
      </w:r>
    </w:p>
    <w:p w14:paraId="5F24A40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5AD7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7th, 1942: In the East, units of 4.Panzerarmee (Hoth) capture Voronesh on the Don (3819).</w:t>
      </w:r>
    </w:p>
    <w:p w14:paraId="23CD3B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36017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части 4ТА (Хот) захватили Воронеж (3819).</w:t>
      </w:r>
    </w:p>
    <w:p w14:paraId="6868D9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8685D"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Внешняя политика:</w:t>
      </w:r>
    </w:p>
    <w:p w14:paraId="3B4877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2D852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года было отправлено:</w:t>
      </w:r>
    </w:p>
    <w:p w14:paraId="7B5A23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В. СТАЛИН Ф. РУЗВЕЛЬТУ*</w:t>
      </w:r>
    </w:p>
    <w:p w14:paraId="4BFD9E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Ввиду создавшегося для союзных войск положения в Египте не возражаю против передачи 40 бомбардировщиков А-20 из числа находящихся в Ираке для СССР на египетский фронт (7430).</w:t>
      </w:r>
    </w:p>
    <w:p w14:paraId="5BAA02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B8118"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19D435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201F1B" w14:textId="77777777" w:rsidR="00B65961" w:rsidRPr="00722885" w:rsidRDefault="00B6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7 июля</w:t>
      </w:r>
      <w:r w:rsidRPr="00722885">
        <w:rPr>
          <w:rFonts w:ascii="Times New Roman" w:hAnsi="Times New Roman"/>
          <w:color w:val="000000" w:themeColor="text1"/>
          <w:sz w:val="16"/>
          <w:szCs w:val="16"/>
        </w:rPr>
        <w:t xml:space="preserve"> в 1942 году поступил на вооружение прототип «V5» немецкого дальнего морского разведчика - патрульного самолета </w:t>
      </w:r>
      <w:hyperlink r:id="rId13" w:tgtFrame="_blank" w:history="1">
        <w:r w:rsidRPr="00722885">
          <w:rPr>
            <w:rFonts w:ascii="Times New Roman" w:hAnsi="Times New Roman"/>
            <w:color w:val="000000" w:themeColor="text1"/>
            <w:sz w:val="16"/>
            <w:szCs w:val="16"/>
          </w:rPr>
          <w:t xml:space="preserve">«Blohm und Voss» «BV.222C» «Wiking», </w:t>
        </w:r>
      </w:hyperlink>
      <w:r w:rsidRPr="00722885">
        <w:rPr>
          <w:rFonts w:ascii="Times New Roman" w:hAnsi="Times New Roman"/>
          <w:color w:val="000000" w:themeColor="text1"/>
          <w:sz w:val="16"/>
          <w:szCs w:val="16"/>
        </w:rPr>
        <w:t xml:space="preserve">который действовал в составе эскадрильи воздушного сообщения "Ц". Пока не присоединились к «ВV.222-V1», вернувшемуся в строй 10 мая 1942года в составе воздушно-транспортной эскадрильи «See-222». «ВV.222-V3» в мае был отправлен в Бискайский залив в качестве дальнего разведчика в состав командования "Атлантик". В течении лета LTS «Sее-222» была дополнена </w:t>
      </w:r>
      <w:hyperlink r:id="rId14" w:tgtFrame="_blank" w:history="1">
        <w:r w:rsidRPr="00722885">
          <w:rPr>
            <w:rFonts w:ascii="Times New Roman" w:hAnsi="Times New Roman"/>
            <w:color w:val="000000" w:themeColor="text1"/>
            <w:sz w:val="16"/>
            <w:szCs w:val="16"/>
          </w:rPr>
          <w:t xml:space="preserve">«BV.222-V2», </w:t>
        </w:r>
      </w:hyperlink>
      <w:r w:rsidRPr="00722885">
        <w:rPr>
          <w:rFonts w:ascii="Times New Roman" w:hAnsi="Times New Roman"/>
          <w:color w:val="000000" w:themeColor="text1"/>
          <w:sz w:val="16"/>
          <w:szCs w:val="16"/>
        </w:rPr>
        <w:t>который задержался с испытаниями в Травемюнде, и «V6», поступившими 10 и 21 августа. Всего с возвращением 26 октября «VЗ» штат подразделения составили шесть "Викингов" (14945).</w:t>
      </w:r>
    </w:p>
    <w:p w14:paraId="54564CC3" w14:textId="77777777" w:rsidR="00B65961" w:rsidRPr="00722885" w:rsidRDefault="00B65961" w:rsidP="00722885">
      <w:pPr>
        <w:spacing w:after="0" w:line="240" w:lineRule="auto"/>
        <w:jc w:val="both"/>
        <w:rPr>
          <w:rFonts w:ascii="Times New Roman" w:hAnsi="Times New Roman"/>
          <w:color w:val="000000" w:themeColor="text1"/>
          <w:sz w:val="16"/>
          <w:szCs w:val="16"/>
        </w:rPr>
      </w:pPr>
    </w:p>
    <w:p w14:paraId="0DCBBBB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немецким флотом южнее Шпицбергена уничтожены две трети американского конвоя (23 корабля) с 430 танками, шедшими в СССР (самые большие потери в истории морских конвоев) (4962).</w:t>
      </w:r>
    </w:p>
    <w:p w14:paraId="5BED446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65227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на встрече с нацистскими докторами Гиммлер распорядился начать медицинские эксперименты в концлагерях (4962).</w:t>
      </w:r>
    </w:p>
    <w:p w14:paraId="1AE8184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84EF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Гимлер разрешил эксперименты по стерилизации в Освенциме (1798).</w:t>
      </w:r>
    </w:p>
    <w:p w14:paraId="54F9EDC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2512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В-18 американской авиации впервые уверенно потопила немецкую подлодку у Атлантического побережья (2255).</w:t>
      </w:r>
    </w:p>
    <w:p w14:paraId="1034BC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28A0A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японские войска захватили остров Гвадалканал (Соломоновы острова) (4962).</w:t>
      </w:r>
    </w:p>
    <w:p w14:paraId="7BA8EA5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3399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1942 японские войска вели наступление на Соломоновых островах и овладели Гуадалканалом (3907,236).</w:t>
      </w:r>
    </w:p>
    <w:p w14:paraId="488BE1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5A2041"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июля 1942 ВВС армии США активизируют Целевое воздушное соединение Китая (20793).</w:t>
      </w:r>
    </w:p>
    <w:p w14:paraId="6D94052D" w14:textId="77777777" w:rsidR="00442DB8" w:rsidRPr="00722885" w:rsidRDefault="00442DB8" w:rsidP="00722885">
      <w:pPr>
        <w:spacing w:after="0" w:line="240" w:lineRule="auto"/>
        <w:jc w:val="both"/>
        <w:rPr>
          <w:rFonts w:ascii="Times New Roman" w:hAnsi="Times New Roman"/>
          <w:color w:val="0070C0"/>
          <w:sz w:val="16"/>
          <w:szCs w:val="16"/>
        </w:rPr>
      </w:pPr>
    </w:p>
    <w:p w14:paraId="396176D8"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6B1917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A1E4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8 по 19 июля 1942 прошли испытания УИЛ-2 и Як-7в с М-105 с целью возможностей приспособления одного из них для обслуживания задач артиллерии на современном поле боя (1633,182).</w:t>
      </w:r>
    </w:p>
    <w:p w14:paraId="29CA2E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61C5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июля 1942 М.К.Янгель, находившийся в Москве, писал жене И.В.Стражевой в Новосибирск, о том, что А.И.Ш. предлагал ему выделить московский завод Н.Н.П., дать ему новый номер и стать во главе (2495,41).</w:t>
      </w:r>
    </w:p>
    <w:p w14:paraId="5DF515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148D5"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4993E8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00105E"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июля 1942 г.</w:t>
      </w:r>
    </w:p>
    <w:p w14:paraId="1A80B546"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14 – 13</w:t>
      </w:r>
    </w:p>
    <w:p w14:paraId="56B71113"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4816ED27"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505с</w:t>
      </w:r>
    </w:p>
    <w:p w14:paraId="3294D68C"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12F7897C"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июля 1942 г.</w:t>
      </w:r>
    </w:p>
    <w:p w14:paraId="3D621E9B"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План производства запасных частей к танкам и моторам, установленный на июнь месяц с.г. постановлением Государственного Комитета Обороны и приказом НКТП № 332с от 12.IV-42 г., выполнен заводами совершенно неудовлетворительно, всего на 60,1%. Отдельные заводы Наркомтанкопрома дали следующие результаты по выполнению плана запасных частей июня месяца:</w:t>
      </w:r>
    </w:p>
    <w:p w14:paraId="783D01DD"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Завод № 37 (директор т. Фрезеров) – 122%</w:t>
      </w:r>
    </w:p>
    <w:p w14:paraId="577D6828"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Завод № 264 (директор т. Кордунер) – 112,5%</w:t>
      </w:r>
    </w:p>
    <w:p w14:paraId="01119D87"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Завод № 38 (директор т. Яковлев) – 105,0%</w:t>
      </w:r>
    </w:p>
    <w:p w14:paraId="1BD4F31A"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Завод № 76 (директор т. Кочетков) – 104,0%</w:t>
      </w:r>
    </w:p>
    <w:p w14:paraId="537EE29E"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Кировский завод (и.о. директора т. Махонин) – 63,3%</w:t>
      </w:r>
    </w:p>
    <w:p w14:paraId="45C8B940"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Завод № 183 (директор т. Максарев) – 58,2%</w:t>
      </w:r>
    </w:p>
    <w:p w14:paraId="4077B959"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СТЗ (директор т. Задорожный) – 54,5%</w:t>
      </w:r>
    </w:p>
    <w:p w14:paraId="4C0E50CA"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ЗЭМ (директор т. Мороз) – 44,4%</w:t>
      </w:r>
    </w:p>
    <w:p w14:paraId="5C3E3DD5"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Завод № 112 (директор т. Рубинчик) – 30,2%</w:t>
      </w:r>
    </w:p>
    <w:p w14:paraId="5AD6F629"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Завод № 174 (директор т. Кацнельсон) – 28,7%.</w:t>
      </w:r>
    </w:p>
    <w:p w14:paraId="03AE5E50"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Неудовлетворительно выполнили план июня по запасным частям заводы: Кировский, № 183, СТЗ, ЗЭМ, № 112 и № 174. Исключительно плохо работали на протяжении всего II кв. заводы: СТЗ, № 174 и ЗЭМ. Командный состав заводов: Кировского и № 183 в июне месяце не сумел закрепить успехи социалистического соревнования танковых заводов и высокий уровень работы мая месяца.</w:t>
      </w:r>
    </w:p>
    <w:p w14:paraId="5364C741"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Несмотря на неоднократные указания заводам о равномерном выпуске танковых запасных частей, сдача таковых по большинству заводов относится на конец месяца. Суточный график, установленный приказом НКТП № 415с от 22.V-42 г. заводами не выполнялся.</w:t>
      </w:r>
    </w:p>
    <w:p w14:paraId="5C3CD830"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Директора указанных заводов не сделали практических выводов из постановления ГОКО № 1416сс и приказов НКТП № 267с от 12.III-42 г. и № 397с от 11.V-42 г. о том, что для обеспечения боеспособности Красной Армии снабжение запасными частями является делом особой важности.</w:t>
      </w:r>
    </w:p>
    <w:p w14:paraId="253E7F88"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ПРИКАЗЫВАЮ:</w:t>
      </w:r>
    </w:p>
    <w:p w14:paraId="69AF52EE"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Отметить, что заводы: № 37, №264, № 38 и № 76 перевыполнили план июня по производству запчастей и систематически выполняли план в течение II кв. с.г.</w:t>
      </w:r>
    </w:p>
    <w:p w14:paraId="060D5C17"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За срыв выполнения плана производства запасных частей для танков Т-34 директору СТЗ т. ЗАДОРОЖНОМУ поставить на вид.</w:t>
      </w:r>
    </w:p>
    <w:p w14:paraId="499299D9"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Директору завода № 174 т. КАЦНЕЛЬСОН за срыв выпуска запасных частей к танкам Т-34 и Т-26 объявить выговор.</w:t>
      </w:r>
    </w:p>
    <w:p w14:paraId="1824FC37"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Директору ЗЭМ т. МОРОЗ за невыполнение плана по выпуску в запчасти танкового электрооборудования поставить на вид.</w:t>
      </w:r>
    </w:p>
    <w:p w14:paraId="5DEC9069"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Отметить, что директор завода № 183 т. МАКСАРЕВ систематически не выполняет плана по выпуску запчастей к танку БТ.</w:t>
      </w:r>
    </w:p>
    <w:p w14:paraId="576D0275"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Директорам заводов: Кировского (т. Махонину), № 183 (т. Максареву), СТЗ (т. Задорожному), № 112 (т. Рубинчик), № 174 (т. Кацнельсон) и ЗЭМ (т. Мороз) обеспечить в III кв. с.г. равномерный и комплектный выпуск и сдачу запасных частей по пятидневкам, наравне с выполнением плана по танкам и моторам.</w:t>
      </w:r>
    </w:p>
    <w:p w14:paraId="0C041514"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Категорически запретить передачу в сборочные цеха деталей и узлов, сданных отделами сбыта заводов в запасные части.</w:t>
      </w:r>
    </w:p>
    <w:p w14:paraId="13A95A30"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В цеховых суточных планах-графиках по изготовлению деталей и узлов для танков и моторов устанавливать отдельно план изготовления деталей и узлов для сдачи в запчасти в объеме не менее 1/28 месячного задания на каждые сутки.</w:t>
      </w:r>
    </w:p>
    <w:p w14:paraId="62F5A692"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Обращаю внимание директоров и главных инженеров, особенно заводов, выпускающих Т-34, на их ответственность перед страной за выполнение плана и снабжение Красной Армии запасными частями к танкам и моторам для обеспечения всего боевого танкового парка.</w:t>
      </w:r>
    </w:p>
    <w:p w14:paraId="050425A8" w14:textId="77777777" w:rsidR="00442DB8" w:rsidRPr="00722885" w:rsidRDefault="00442D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ТАНКОВОЙ ПРОМЫШЛЕННОСТИ СОЮЗА ССР подпись (И. ЗАЛЬЦМАН) (21215).</w:t>
      </w:r>
    </w:p>
    <w:p w14:paraId="0B253FC1" w14:textId="77777777" w:rsidR="00442DB8" w:rsidRPr="00722885" w:rsidRDefault="00442DB8" w:rsidP="00722885">
      <w:pPr>
        <w:spacing w:after="0" w:line="240" w:lineRule="auto"/>
        <w:jc w:val="both"/>
        <w:rPr>
          <w:rFonts w:ascii="Times New Roman" w:hAnsi="Times New Roman"/>
          <w:color w:val="0070C0"/>
          <w:sz w:val="16"/>
          <w:szCs w:val="16"/>
        </w:rPr>
      </w:pPr>
    </w:p>
    <w:p w14:paraId="4A3CD7C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июля 1942 года проводились испытания с заполнением головных частей керосином в объеме до 40 литров. Из пяти мин годными были признаны только две (6403, 42).</w:t>
      </w:r>
    </w:p>
    <w:p w14:paraId="1B30054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474FE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июля 1942 г. совместным приказом наркматов ВМФ и судостроительной про</w:t>
      </w:r>
      <w:r w:rsidRPr="00722885">
        <w:rPr>
          <w:rFonts w:ascii="Times New Roman" w:hAnsi="Times New Roman"/>
          <w:color w:val="000000" w:themeColor="text1"/>
          <w:sz w:val="16"/>
          <w:szCs w:val="16"/>
        </w:rPr>
        <w:softHyphen/>
        <w:t>мышленности предписывалось "с целью круп</w:t>
      </w:r>
      <w:r w:rsidRPr="00722885">
        <w:rPr>
          <w:rFonts w:ascii="Times New Roman" w:hAnsi="Times New Roman"/>
          <w:color w:val="000000" w:themeColor="text1"/>
          <w:sz w:val="16"/>
          <w:szCs w:val="16"/>
        </w:rPr>
        <w:softHyphen/>
        <w:t>носерийного производства боевых катеров, вместо 4 типов катеров (торпедных проекта Д-3 и пр. 158 и противолодочных проекта МО-4 и пр. 164) перейти на единый унифицированный тип боево</w:t>
      </w:r>
      <w:r w:rsidRPr="00722885">
        <w:rPr>
          <w:rFonts w:ascii="Times New Roman" w:hAnsi="Times New Roman"/>
          <w:color w:val="000000" w:themeColor="text1"/>
          <w:sz w:val="16"/>
          <w:szCs w:val="16"/>
        </w:rPr>
        <w:softHyphen/>
        <w:t>го катера по аналогии с проектом П-26, но как в деревянном, так и металлическом исполнении". Новому проекту присваивался но</w:t>
      </w:r>
      <w:r w:rsidRPr="00722885">
        <w:rPr>
          <w:rFonts w:ascii="Times New Roman" w:hAnsi="Times New Roman"/>
          <w:color w:val="000000" w:themeColor="text1"/>
          <w:sz w:val="16"/>
          <w:szCs w:val="16"/>
        </w:rPr>
        <w:softHyphen/>
        <w:t>мер 200, а главным конструктором оставался Л. Л. Ермаш (3898).</w:t>
      </w:r>
    </w:p>
    <w:p w14:paraId="76D14C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69EC3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3897A8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22BBF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июля</w:t>
      </w:r>
      <w:r w:rsidRPr="00722885">
        <w:rPr>
          <w:rFonts w:ascii="Times New Roman" w:hAnsi="Times New Roman"/>
          <w:color w:val="000000" w:themeColor="text1"/>
          <w:sz w:val="16"/>
          <w:szCs w:val="16"/>
        </w:rPr>
        <w:t xml:space="preserve"> в 1942 году утреннее сообщение Совинформбюро:</w:t>
      </w:r>
    </w:p>
    <w:p w14:paraId="2891FE2C"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8 июля наши войска вели бои с противником западнее Воронежа и юго-западнее Старый Оскол.</w:t>
      </w:r>
    </w:p>
    <w:p w14:paraId="03D0B91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7959C91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Воронежа продолжаются ожесточённые бои. На одном из участков крупные силы немцев пытались овладеть высотой, которую обороняло наше танковое подразделение. Танкисты стойко встретили удар. Экипаж старшего лейтенанта Салюкова несколькими выстрелами подбил немецкий танк и уничтожил два тяжёлых орудия. Экипаж танка в составе лейтенанта Баклогова, башенного стрелка Трущака, механика-водителя старшего сержанта Медведева уничтожил 4 орудия и 50гитлеровцев. В бою за высоту противник потерял убитыми сотни солдат и офицеров.</w:t>
      </w:r>
    </w:p>
    <w:p w14:paraId="0485B0B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участке фронта юго-западнее Старого Оскола противник, не считаясь с огромными потерями, рвётся вперёд и бросает в бой новые резервы. В одном пункте 30 немецких танков и свыше полка пехоты при поддержке авиации перешли в атаку. Наши артиллеристы встретили гитлеровцев массированным огнём и уничтожили 12 немецких танков. Под прикрытием артиллерийского огня вступили в бой наши тяжёлые танки и пехотинцы. Контрударом противник был отброшен на исходные позиции. На поле боя осталось свыше 700 вражеских трупов. Захвачены пленные. На другом участке наша часть под давлением численно превосходящих сил противника отошла на новые рубежи. В ходе боя подбито 9 немецких танков и уничтожено до 400 гитлеровцев.</w:t>
      </w:r>
    </w:p>
    <w:p w14:paraId="17D7FE5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Две роты противника окружили взвод младшего лейтенанта Трапезникова. Наши бойцы встретили атакующих гитлеровцев дружным огнём из пулемётов и винтовок. Потеряв свыше 100 человек убитыми, немцы вынуждены были отойти.</w:t>
      </w:r>
    </w:p>
    <w:p w14:paraId="544453F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Командир орудия тов. Шехтер подпустил на близкое расстояние наступающую немецкую пехоту и, стреляя прямой наводкой, уничтожил 50 солдат и офицеров противника. Будучи дважды ранен, тов. Шехтер продолжал вести огонь до тех пор, пока не была отбита атака противника.</w:t>
      </w:r>
    </w:p>
    <w:p w14:paraId="5C565C8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Красноармеец тов. Сухов меткими выстрелами из винтовки уничтожил расчёт немецкого пулемёта. Захватив пулемёт, тов. Сухов открыл из него огонь и уничтожил ещё 15 немецких солдат и офицеров.</w:t>
      </w:r>
    </w:p>
    <w:p w14:paraId="7828CEE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смоленских партизан под командованием тов. А. за время своей боевой деятельности уничтожил 560 немецко-фашистских оккупантов. Кроме того, партизаны, взаимодействуя с частями Красной Армии, истребили 450 гитлеровцев. Советские патриоты организовали крушение 5 воинских эшелонов противника, взорвали железнодорожный мост, уничтожили 80 километров линии телефонной связи.</w:t>
      </w:r>
    </w:p>
    <w:p w14:paraId="50958925"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дневника убитого немецкого обер-лейтенанта Гольца:</w:t>
      </w:r>
    </w:p>
    <w:p w14:paraId="13BB309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января 1942 г. Выехали из Дании на Восточный фронт.</w:t>
      </w:r>
    </w:p>
    <w:p w14:paraId="0F4352F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января. Наш 323 пехотный полк выгрузился в Великих Луках и вступил в бой.</w:t>
      </w:r>
    </w:p>
    <w:p w14:paraId="24D2A63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февраля. Наши потери только убитыми 750 человек.</w:t>
      </w:r>
    </w:p>
    <w:p w14:paraId="403FA00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февраля. Второй батальон отрезан. 10 рота потеряла 50 процентов личного состава.</w:t>
      </w:r>
    </w:p>
    <w:p w14:paraId="63EB767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февраля. Батальон разгромлен. Много товарищей погибло. Пробились только полковник Мотц, лейтенант Лютце и 85 рядовых. У каждого из нас слёзы на глазах. Командир 2 батальона 323 пехотного полка граф Кейзерлин убит. Командир 14 роты Мюллер — убит. Убитых — 396 человек, а с пропавшими без вести —свыше 600.</w:t>
      </w:r>
    </w:p>
    <w:p w14:paraId="5B2CEDCD"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марта. Наступление сорвалось. Русские дрались мужественно и одержали успех.</w:t>
      </w:r>
    </w:p>
    <w:p w14:paraId="65ABB64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мая. Русские взорвали железнодорожный мост. Бронепоезд полетел под откос.</w:t>
      </w:r>
    </w:p>
    <w:p w14:paraId="077B9AD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июня. Партизаны атаковали опорный пункт. У нас убито 60 человек».</w:t>
      </w:r>
    </w:p>
    <w:p w14:paraId="2BF082B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чинят чудовищную расправу над мирными жителями города Витебска. В городе ежедневно десятки людей умирают голодной смертью. 23 июня оккупационные власти повесили 17 человек, в том числе 4 женщин, за то, что они пытались, без пропуска пробраться из города в деревню за картофелем. Недавно в Витебске был убит немецкий офицер. Гитлеровцы устроили массовые облавы и расстреляли 100 жителей города.</w:t>
      </w:r>
    </w:p>
    <w:p w14:paraId="44D3D1C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Восточной Боснии (Югославия) партизаны продолжают успешные операции против немецко-итальянских захватчиков. Партизаны разгромили крупные отряды жандармерии. Две итальянские альпийские дивизии, посланные для борьбы с партизанским движением, также потерпели серьёзные неудачи. За июнь месяц эти дивизии оккупантов потеряли 1.800 человек убитыми и ранеными.» (14946).</w:t>
      </w:r>
    </w:p>
    <w:p w14:paraId="0D232EE3"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19CA766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июля</w:t>
      </w:r>
      <w:r w:rsidRPr="00722885">
        <w:rPr>
          <w:rFonts w:ascii="Times New Roman" w:hAnsi="Times New Roman"/>
          <w:color w:val="000000" w:themeColor="text1"/>
          <w:sz w:val="16"/>
          <w:szCs w:val="16"/>
        </w:rPr>
        <w:t xml:space="preserve"> в 1942 году вечернее сообщение Совинформбюро:</w:t>
      </w:r>
    </w:p>
    <w:p w14:paraId="072D599D"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8 июля наши войска вели жестокие бои западнее Воронежа. После упорных боёв наши войска оставили город Старый Оскол.</w:t>
      </w:r>
    </w:p>
    <w:p w14:paraId="71D389BD"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5B58103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Баренцевом море одна из наших подводных лодок атаковала новейший немецкий линкор «Тирпиц», попала в него двумя торпедами и нанесла линкору серьёзные повреждения.</w:t>
      </w:r>
    </w:p>
    <w:p w14:paraId="5C73183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7 июля частями нашей авиации на различных участках фронта уничтожено или повреждено свыше 50 немецких танков, 90 автомашин с войсками и грузами, 125 повозок с боеприпасами, 28 автоцистерн с горючим, подавлен огонь 2 дивизионов полевой артиллерии, 6 батарей зенитной артиллерии, взорван склад с горючим и два склада с боеприпасами, рассеяно и частью уничтожено до четырёх рот пехоты противника. В Баренцевом море потоплен немецкий транспорт, и в Финском заливе повреждён транспорт противника.</w:t>
      </w:r>
    </w:p>
    <w:p w14:paraId="4675216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западнее Воронежа немцы бросили в атаку свыше 100 танков. Завязался танковый бой, в результате которого уничтожено 40 немецких танков.</w:t>
      </w:r>
    </w:p>
    <w:p w14:paraId="168FD02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бойцы и командиры показывают замечательные образцы стойкости и героизма в борьбе с превосходящими силами врага. Красноармеец тов. Вегаев ворвался в окоп противника и ручной гранатой уничтожил четырёх солдат. Немецкий офицер пытался застрелить бойца, но Вегаев быстрым ударом штыка заколол гитлеровца. Красноармеец тов. Большаков гранатой уничтожил станковый пулемёт, пулемётчика и офицера. В штыковом бою тов. Большаков вывел из строя 17 гитлеровцев. К одномуиз наших орудий приближалось несколько немецких танков. Наводчик тов. Фаустов близко подпустил противника и подбил 2 немецких танка.</w:t>
      </w:r>
    </w:p>
    <w:p w14:paraId="263035B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Шесть раз пытались немцы выбить из окопов взвод, которым командует тов. Воробьёв. Отважные бойцы не отступили ни на один шаг. На подступах к окопам немцы оставили до 200 трупов солдат и офицеров.</w:t>
      </w:r>
    </w:p>
    <w:p w14:paraId="2288878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Наше танковое подразделение, где командиром тов. Котырло (Калининский фронт), в трёхдневных боях с противником уничтожило 15 немецких танков, 20 противотанковых орудий и несколько сот солдат и офицеров противника.</w:t>
      </w:r>
    </w:p>
    <w:p w14:paraId="6AC39FF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воздушных боях с противником истребительная авиачасть, которой командует майор Осмаков (Калининский фронт), за четыре дня сбила 16 «Юнкерсов». 4 «Мессершмитта-109» и 5 «Мессершмиттов-109-Ф».</w:t>
      </w:r>
    </w:p>
    <w:p w14:paraId="6DDD2F8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Снайпер Фёдор Чегодаев за время Отечественной войны истребил 240 гитлеровцев. Он обучил искусству меткой стрельбы 24 красноармейца, которые под руководством тов. Чегодаева уничтожили 180 немецких оккупантов.</w:t>
      </w:r>
    </w:p>
    <w:p w14:paraId="59755BF5"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действующие в тылу противника на Северо-Западном фронте, пустили под откос поезд с немецкой пехотой и эшелон с автомашинами. Советские патриоты разрушили телефонно-телеграфную сеть на протяжении двух километров и уничтожили 40 оккупантов.</w:t>
      </w:r>
    </w:p>
    <w:p w14:paraId="0655A10C"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Партизанские отряды, действующие в одном из районов Ленинградской области, организовали крушение воинского эшелона противника. Разбито 38 вагонов. Партизаны этих же отрядов уничтожили три штабные автомашины противника. Убиты 9 немецких офицеров и один генерал, награждённый двумя нагрудными знаками и железным крестом.</w:t>
      </w:r>
    </w:p>
    <w:p w14:paraId="1E0FF113"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7 роты 33 полка 10 румынской пехотной дивизии Ион Самойла рассказал: «С тех пор, как немцы пришли в Румынию, она перестала быть самостоятельной страной. Немцы обобрали города, разорили деревни. Всё ценное вывозится в Германию. Румынским крестьянам предстоит тяжёлая зима. По дороге на фронт я видел огромные площади незасеянной пахотной земли. Посевы кукурузы заросли бурьяном. Дезертирство из армии не прекращается несмотря на то, что военно-судебные власти применяют самые суровые меры. Из моей роты в течение месяца дезертировало более 30 солдат.</w:t>
      </w:r>
    </w:p>
    <w:p w14:paraId="64A023B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 составила акт о чудовищном преступлении гитлеровских мерзавцев. В акте говорится: «У блиндажей, отбитых у немцев, найдены 18 трупов замученных командиров и красноармейцев. У бойцов переломаны руки и вывихнуты ноги. На одном трупе обнаружены многочисленные следы ожогов». Акт подписали: младший политрук Галелей, военфельдшер Акчурина, красноармейцы Денисов, Миронов и Пластинин.</w:t>
      </w:r>
    </w:p>
    <w:p w14:paraId="6E871E1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Предатели французского народа выслуживаются перед своими хозяевами из Берлина. В городе Безье (Франция) полиция раскрыла подпольную типографию, печатавшую антигерманские листовки. 12 молодых французов, организаторов этой типографии, были казнены. Тем не менее, листовки снова продолжают широко распространяться не только в Безье, но и в других городах.</w:t>
      </w:r>
    </w:p>
    <w:p w14:paraId="50992BF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польских патриотов в годовщину вероломного нападения Германии на Советский Союз пустил под откос поезд оккупантов на линии Краков - Львов. В результате крушения и взрыва было на сутки прервано движение поездов.» (14946).</w:t>
      </w:r>
    </w:p>
    <w:p w14:paraId="1F37BE8E"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389606AF" w14:textId="77777777" w:rsidR="00A47188" w:rsidRPr="00722885" w:rsidRDefault="00A47188" w:rsidP="00722885">
      <w:pPr>
        <w:pStyle w:val="ae"/>
        <w:spacing w:before="0" w:after="0"/>
        <w:jc w:val="both"/>
        <w:textAlignment w:val="baseline"/>
        <w:rPr>
          <w:color w:val="000000" w:themeColor="text1"/>
          <w:sz w:val="16"/>
          <w:szCs w:val="16"/>
        </w:rPr>
      </w:pPr>
      <w:r w:rsidRPr="00722885">
        <w:rPr>
          <w:color w:val="000000" w:themeColor="text1"/>
          <w:sz w:val="16"/>
          <w:szCs w:val="16"/>
        </w:rPr>
        <w:t>Вечером 8 июля 1942 первыми аэродром Миллерово в намеченное время атаковали пешки. Затем над Миллеровом на бреющем полете появились Илы, которые обстреляли взлетную полосу и стоянки «эрэсами» и сбросили на них бомбы. Но вот обида, никакого скопища транспортников там не оказалось. По-иному и быть не могло, самолеты садились и взлетали, длительные простои при немецкой педантичности были большой редкостью, а тем более сразу 150 машин. Здесь сказалась вечная проблема организации советских штурмовых ударов по авиабазам — слишком большой промежуток между обнаружением цели и ударом по ней.</w:t>
      </w:r>
    </w:p>
    <w:p w14:paraId="6E8B2AC8" w14:textId="77777777" w:rsidR="00A47188" w:rsidRPr="00722885" w:rsidRDefault="00A47188" w:rsidP="00722885">
      <w:pPr>
        <w:pStyle w:val="ae"/>
        <w:spacing w:before="0" w:after="0"/>
        <w:jc w:val="both"/>
        <w:textAlignment w:val="baseline"/>
        <w:rPr>
          <w:color w:val="000000" w:themeColor="text1"/>
          <w:sz w:val="16"/>
          <w:szCs w:val="16"/>
        </w:rPr>
      </w:pPr>
      <w:r w:rsidRPr="00722885">
        <w:rPr>
          <w:color w:val="000000" w:themeColor="text1"/>
          <w:sz w:val="16"/>
          <w:szCs w:val="16"/>
        </w:rPr>
        <w:t>Ко всему прочему, когда самолеты уже повернули обратно, в небе появились Bf-109F из штабного звена II./JG3. Они атаковали группу Пе-2 и в течение десяти минут сбили сразу шесть бомбардировщиков. По три победы были на счету командира группы гауптмана Вернера Курта Брэндле, только неделю назад награжденного Рыцарским крестом, и лейтенанта Ханса Фусса. При этом две сбитые пешки принадлежали командирам звеньев 150-го сбап, имевшим звания Героев Советского Союза, — старшему лейтенанту Федору Демченкову и старшему лейтенанту Андрею Хвостунову. К счастью, оба летчика остались невредимыми и затем благополучно дожили до конца войны (19522).</w:t>
      </w:r>
    </w:p>
    <w:p w14:paraId="6BF5383C" w14:textId="77777777" w:rsidR="00A47188" w:rsidRPr="00722885" w:rsidRDefault="00A47188" w:rsidP="00722885">
      <w:pPr>
        <w:pStyle w:val="ae"/>
        <w:spacing w:before="0" w:after="0"/>
        <w:jc w:val="both"/>
        <w:textAlignment w:val="baseline"/>
        <w:rPr>
          <w:color w:val="000000" w:themeColor="text1"/>
          <w:sz w:val="16"/>
          <w:szCs w:val="16"/>
        </w:rPr>
      </w:pPr>
    </w:p>
    <w:p w14:paraId="397B401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июля</w:t>
      </w:r>
      <w:r w:rsidRPr="00722885">
        <w:rPr>
          <w:rFonts w:ascii="Times New Roman" w:hAnsi="Times New Roman"/>
          <w:color w:val="000000" w:themeColor="text1"/>
          <w:sz w:val="16"/>
          <w:szCs w:val="16"/>
        </w:rPr>
        <w:t xml:space="preserve"> в 1942 году части 6-й полевой и 1-й танковой армий противника начали преследование отходивших войск Южного и левого крыла Юго-Западного фронта (14946).</w:t>
      </w:r>
    </w:p>
    <w:p w14:paraId="4857B582"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67DB2AA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 xml:space="preserve">8 июля 1942 г. экипажем 507-го бап. Когда самолет мл. лейтенанта А.О. Оганджаняна был поврежден зенитной артиллерией около города Семилуки, то летчик направил самолет со всем экипажем на танковую колонну врага. Летевший рядом лейтенант Н. Д. Гулаев из 487-го иап ПВО, впоследствии дважды удостоенный "Золотой Звезды" Героя, слышал последние возгласы своих друзей и засвидетельствовал, что Пе-2 управлялся вплоть до взрыва... </w:t>
      </w:r>
      <w:r w:rsidRPr="00722885">
        <w:rPr>
          <w:rFonts w:ascii="Times New Roman" w:hAnsi="Times New Roman"/>
          <w:color w:val="000000" w:themeColor="text1"/>
          <w:sz w:val="16"/>
          <w:szCs w:val="16"/>
          <w:lang w:val="en-US"/>
        </w:rPr>
        <w:t>(12042).</w:t>
      </w:r>
    </w:p>
    <w:p w14:paraId="5E00D84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762D2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8th, 1942: In the East, 4.Panzerarmee (Hoth) at Voronesh begins an offensive SE along the west bank of the Don to meet up with 6.Armee (Paulus) advancing E toward the Don from Charkov with the objective of establishing bridgeheads across the river in the Kalach area and continue on to capture Stalingrad on the Volga. Axis bombers carry out raids on harbor facilities at Malta in the Mediterranean (3819).</w:t>
      </w:r>
    </w:p>
    <w:p w14:paraId="0DAF19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17984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июля 1942 4ТА (Гот) начал наступление от Воронежа вдоль Дона для соединения с 6А (Паулюса), направлявшейся к дону от Харькова и навели переправы у Калача. Авиация оси выполнила налет на Мальту (3819).</w:t>
      </w:r>
    </w:p>
    <w:p w14:paraId="7DCBBE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56A6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июля 1942 на большой высоте показался само</w:t>
      </w:r>
      <w:r w:rsidRPr="00722885">
        <w:rPr>
          <w:rFonts w:ascii="Times New Roman" w:hAnsi="Times New Roman"/>
          <w:color w:val="000000" w:themeColor="text1"/>
          <w:sz w:val="16"/>
          <w:szCs w:val="16"/>
        </w:rPr>
        <w:softHyphen/>
        <w:t>лет, определенный постами ВНОС как Ю 88, кото</w:t>
      </w:r>
      <w:r w:rsidRPr="00722885">
        <w:rPr>
          <w:rFonts w:ascii="Times New Roman" w:hAnsi="Times New Roman"/>
          <w:color w:val="000000" w:themeColor="text1"/>
          <w:sz w:val="16"/>
          <w:szCs w:val="16"/>
        </w:rPr>
        <w:softHyphen/>
        <w:t>рый два—три раза прошел над центром столицы. По приказу командира 6-го иак ПВО полковника А.И.Митенкова на перехват устремилось 11 пар раз</w:t>
      </w:r>
      <w:r w:rsidRPr="00722885">
        <w:rPr>
          <w:rFonts w:ascii="Times New Roman" w:hAnsi="Times New Roman"/>
          <w:color w:val="000000" w:themeColor="text1"/>
          <w:sz w:val="16"/>
          <w:szCs w:val="16"/>
        </w:rPr>
        <w:softHyphen/>
        <w:t>личных отечественных и импортных истребителей, среди которых имелись и МиГ—3. Наиболее высоко «забралась» (9500 м) одна из «Аэрокобр», но против</w:t>
      </w:r>
      <w:r w:rsidRPr="00722885">
        <w:rPr>
          <w:rFonts w:ascii="Times New Roman" w:hAnsi="Times New Roman"/>
          <w:color w:val="000000" w:themeColor="text1"/>
          <w:sz w:val="16"/>
          <w:szCs w:val="16"/>
        </w:rPr>
        <w:softHyphen/>
        <w:t>ник находился примерно на 1600 м выше и, естест</w:t>
      </w:r>
      <w:r w:rsidRPr="00722885">
        <w:rPr>
          <w:rFonts w:ascii="Times New Roman" w:hAnsi="Times New Roman"/>
          <w:color w:val="000000" w:themeColor="text1"/>
          <w:sz w:val="16"/>
          <w:szCs w:val="16"/>
        </w:rPr>
        <w:softHyphen/>
        <w:t>венно, чувствовал себя в безопасности. Это был не первый случай, когда противник ока</w:t>
      </w:r>
      <w:r w:rsidRPr="00722885">
        <w:rPr>
          <w:rFonts w:ascii="Times New Roman" w:hAnsi="Times New Roman"/>
          <w:color w:val="000000" w:themeColor="text1"/>
          <w:sz w:val="16"/>
          <w:szCs w:val="16"/>
        </w:rPr>
        <w:softHyphen/>
        <w:t>зался недосягаем для наших истребителей. Ставка ВГК и Генеральный штаб потребовали объяснений от руководства истребительной авиации ПВО Терри</w:t>
      </w:r>
      <w:r w:rsidRPr="00722885">
        <w:rPr>
          <w:rFonts w:ascii="Times New Roman" w:hAnsi="Times New Roman"/>
          <w:color w:val="000000" w:themeColor="text1"/>
          <w:sz w:val="16"/>
          <w:szCs w:val="16"/>
        </w:rPr>
        <w:softHyphen/>
        <w:t>тории Страны. По инициативе командования 6-го иак ПВО 19 августа 1942 г. были проведены импрови</w:t>
      </w:r>
      <w:r w:rsidRPr="00722885">
        <w:rPr>
          <w:rFonts w:ascii="Times New Roman" w:hAnsi="Times New Roman"/>
          <w:color w:val="000000" w:themeColor="text1"/>
          <w:sz w:val="16"/>
          <w:szCs w:val="16"/>
        </w:rPr>
        <w:softHyphen/>
        <w:t>зированные испытания по определению скороподъ</w:t>
      </w:r>
      <w:r w:rsidRPr="00722885">
        <w:rPr>
          <w:rFonts w:ascii="Times New Roman" w:hAnsi="Times New Roman"/>
          <w:color w:val="000000" w:themeColor="text1"/>
          <w:sz w:val="16"/>
          <w:szCs w:val="16"/>
        </w:rPr>
        <w:softHyphen/>
        <w:t>емности и практического потолка нескольких ма</w:t>
      </w:r>
      <w:r w:rsidRPr="00722885">
        <w:rPr>
          <w:rFonts w:ascii="Times New Roman" w:hAnsi="Times New Roman"/>
          <w:color w:val="000000" w:themeColor="text1"/>
          <w:sz w:val="16"/>
          <w:szCs w:val="16"/>
        </w:rPr>
        <w:softHyphen/>
        <w:t>шин, находившихся на вооружении корпуса. Результаты откровенно разочаровывали: прибли</w:t>
      </w:r>
      <w:r w:rsidRPr="00722885">
        <w:rPr>
          <w:rFonts w:ascii="Times New Roman" w:hAnsi="Times New Roman"/>
          <w:color w:val="000000" w:themeColor="text1"/>
          <w:sz w:val="16"/>
          <w:szCs w:val="16"/>
        </w:rPr>
        <w:softHyphen/>
        <w:t>зиться к 10000 м смогли только импортные машины, а отечественные заметно уступали. Лишь один МиГ—3 (взлетной массой 3248 кг) смог набрать высоту 9000 м, остальные заканчивали набор на 500—1000 м ниже, а для подъема на практический потолок уходило почти по 40 минут. При этом МиГ—3 обладали наихудшими данными по сравнению с другими истребителями; их практический потолок определили всего в 8600 м (в среднем) (9984).</w:t>
      </w:r>
    </w:p>
    <w:p w14:paraId="5E0EFDA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25D7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июля 1942 над Москвой средь бела дня на высоте 12500 м прошел разведчик Ju-86R. Потом появлялся и в другие дни как по расписанию (3417,23).</w:t>
      </w:r>
    </w:p>
    <w:p w14:paraId="46C9D9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2178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июля 1942 в 400 км юго-западнее Сталинграда произошло важное, но почти никем не замеченное событие в истории воздушной войны на Восточном фронте. В этот день в ходе массированной бомбардировки Ростова-на-Дону одновременно с фугасными и мелкими зажигательными бомбами германская авиация впервые применила зажигательные бомбы крупного калибра. Падая на крыши зданий, они разбрызгивали вязкую горючую жидкость, напоминавшую расплавленную резину, которая растекалась по стенам и перекрытиям, поджигая все на своем пути. Потушить ее водой или песком было нельзя, а если огонь и сбивался, то вскоре вспыхивал вновь. В результате в городе одновременно возникли десятки крупных очагов пожара, и целые кварталы были объяты пламенем. Кроме новых бомб, самолеты сбрасывали куски рельсов и пустые бочки, которые, падая, создавали оглушительный вой, усиливая панику. Производство и поставки в Люфтваффе этих бомб начались незадолго до начала операции «Блау». Опыт бомбардировок городов в 1939—1941 гг. показал, что зажигательные бомбы наносят гораздо больший ущерб кварталам и промышленным объектам, чем самые крупные фугасные боеприпасы. Возникновение одновременно десятков и сотен очагов пожаров затрудняло тушение, чаще всего приводило к неконтролируемому распространению огня и как результат к уничтожению целых кварталов и заводских корпусов. Мелкие одно– и двухкилограммовые зажигалки типа Bl, B2EZ и B2.2EZ доказали свою надежность и эффективность, однако для достижения большего разрушительного эффекта требовались новые типы бомб. В 1942 г. на вооружение были приняты семь типов тяжелых зажигательных бомб: Brand C50A массой 40 кг, Brand C50B и Spreng Brand 50Амассой по 35 кг; FLAM KC250 массой 110 кг; Brand C250A массой 250 кг, FLAM C250 массой 250 кг и FLAM500 весом 500 кг. В бомбах типа Brand в качестве начинки использовалась смесь нефти, бензина, чистого каучука (или полистирена) и фосфора, за исключением Brand 50B, которая снаряжалась только белым фосфором. В бомбах типа FLAM, помимо смеси нефти с бензином, использовался небольшой заряд тротила. Взрываясь, он воспламенял и разбрызгивал горючую жидкость вокруг места падения на 15—20 м, существенно увеличивая площадь одновременного возгорания. Наиболее сложная по конструкции бомба Spreng Brand 50A оснащалась 76 термитными зарядами, которые при подрыве небольшого заряда тротила разлетались в радиусе 30 м и затем воспламенялись. Примечательно, что, хотя тяжелые зажигательные бомбы Люфтваффе имели разную массу, 8 июля в Ростове и в последующие годы войны советская служба МПВО фиксировала применение лишь  «ЗАВ весом 50 и 250 кг». Бомбы, имевшие подрывной заряд тринитротолуола, обычно обзывали  «фугасно-зажигательными» или  «комбинированными», что совершенно не соответствовало действительности. И это при том, что несработавшие зажигалки нередко доставались русским (11774).</w:t>
      </w:r>
    </w:p>
    <w:p w14:paraId="733C5F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659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8 по 11 июля 1942 Краснознаменный Балтийский флот предпринял попытку овладеть находившимся близ Лавансаари финским островом Соммерс. В соответствии с крайне неудачно составленным планом 12 Ил-4 нанесли бомбовый удар по островному гарнизону за час до высадки, предопределив тем самым утрату внезапности и тяжелые потери штурмовых групп. С рассветом вражеское командование подтянуло в район сравнительно крупную корабельную группировку, не только поддержавшую гарнизон огнем, но и пополнившую его людьми и боеприпасами. В дальнейшем противнику удалось полностью блокировать наш десант, что в конечном итоге привело к его полной гибели. В полдень 9 июля наземные бои окончились. Не имея связи с берегом, наши катера в течение 9-10 июля несколько раз пытались высадить на остров подкрепления, но либо не могли прорвать блокады, либо гибли в бою. Все это время ВВС Балтфлота, имевшие неоспоримое господство в воздухе, непрестанно атаковали вражеские корабли. Только торпедоносцы 1-го гмтап совершили 15 вылетов (экипажи Дроздова, Бунимовича, Преснякова и замкомандира эскадрильи капитана В.А. Балебина) и сбросили 12 торпед, доложив об уничтожении 2 канонерских лодок и трех сторожевых кораблей. Однако из принимавших участие в операции финских и немецких кораблей (финские минные заградители "Руотсинсалми", "Риилахти", канонерские лодки "Уусима", </w:t>
      </w:r>
      <w:r w:rsidRPr="00722885">
        <w:rPr>
          <w:rFonts w:ascii="Times New Roman" w:hAnsi="Times New Roman"/>
          <w:color w:val="000000" w:themeColor="text1"/>
          <w:sz w:val="16"/>
          <w:szCs w:val="16"/>
        </w:rPr>
        <w:lastRenderedPageBreak/>
        <w:t>"Хяменмаа", "Турунмаа", немецкие тральщики "М 17", "М 19", тяжелая плавбатарея "Ост" и плавбаза "Неттельбек") ни один потоплен не был. В большинстве случаев торпедные атаки воспринимались как сброс мин, но утренняя атака 9 июля, направленная против финских минных заградителей, впервые прошла во вражеских документах как торпедная. Немцы восприняли это финское донесение с определенной долей скептицизма - сами они все еще не были убеждены, что противник имеет в своем арсенале торпедоносцы. С определенной натяжкой к результатам действий самолетов 1-го гмтап можно отнести лишь повреждение 11 июля канлодки "Турунмаа", на которой во время отражения очередного налета взорвалось 20-мм орудие, убив двух и ранив 8 человек. Ответными действиями вызванных в район боя финских истребителей был поврежден Ил-4 Преснякова. Самолет чудом не загорелся и с изрешеченными бенза- баками сел на острове Лавансаари.</w:t>
      </w:r>
    </w:p>
    <w:p w14:paraId="503145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Командование бригады и полка осталось явно недовольно результатами первых ударов. В отчете 1-го гмтап за 13-й месяц войны (22.6-22.7.1942), в частности, говорилось следующее:</w:t>
      </w:r>
    </w:p>
    <w:p w14:paraId="0D31999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самолето-вылетов, произведенных на торпедные удары кораблей противника, были малоэффективны по причине:</w:t>
      </w:r>
    </w:p>
    <w:p w14:paraId="42DD5E3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Недостаточная степень подготовки летного состава и отсутствие опыта боевых торпедных атак. В результате чего выход в атаку производился неграмотно, всеми самолетами с одной стороны, что давало возможность кораблям противника на скорости путем маневра легко уклоняться от атаки.</w:t>
      </w:r>
    </w:p>
    <w:p w14:paraId="417343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Прицел для торпедометания не использовался всеми экипажами при выходе в атаку, сбрасывание торпед происходило на глаз, что значительно понижало эффективность удара (экипажи, пренебрегавшие прицелом ПТН-5: майора Кузнецова, лейтенанта Кудряшова, капитана Литовчук).</w:t>
      </w:r>
    </w:p>
    <w:p w14:paraId="7DF962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Выход на цель и атаку происходил на высоте 50-30 метров. в результате экипажи недостаточно определяли расположение и строй кораблей противника, не могли достаточно точно определить элементы движения их и выбрать наивыгоднейший заход для атаки.</w:t>
      </w:r>
    </w:p>
    <w:p w14:paraId="634A69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Задачи на торпедный удар ставились дежурным экипажам перед вылетом за 20-30 минут, что не позволяло производить подготовку экипажей, и экипажи уходили на выполнение заданий с общей предполетной подготовкой".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9B487A" w:rsidRPr="00722885" w14:paraId="063DDA23" w14:textId="77777777" w:rsidTr="00CC5360">
        <w:tc>
          <w:tcPr>
            <w:tcW w:w="1601" w:type="dxa"/>
            <w:tcBorders>
              <w:top w:val="single" w:sz="12" w:space="0" w:color="auto"/>
            </w:tcBorders>
          </w:tcPr>
          <w:p w14:paraId="38C6BB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Задача</w:t>
            </w:r>
          </w:p>
        </w:tc>
        <w:tc>
          <w:tcPr>
            <w:tcW w:w="1601" w:type="dxa"/>
            <w:tcBorders>
              <w:top w:val="single" w:sz="12" w:space="0" w:color="auto"/>
            </w:tcBorders>
          </w:tcPr>
          <w:p w14:paraId="3B24EF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22.6-22.7</w:t>
            </w:r>
          </w:p>
        </w:tc>
        <w:tc>
          <w:tcPr>
            <w:tcW w:w="1601" w:type="dxa"/>
            <w:tcBorders>
              <w:top w:val="single" w:sz="12" w:space="0" w:color="auto"/>
            </w:tcBorders>
          </w:tcPr>
          <w:p w14:paraId="12FD6C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22.7-22.8</w:t>
            </w:r>
          </w:p>
        </w:tc>
        <w:tc>
          <w:tcPr>
            <w:tcW w:w="1601" w:type="dxa"/>
            <w:tcBorders>
              <w:top w:val="single" w:sz="12" w:space="0" w:color="auto"/>
            </w:tcBorders>
          </w:tcPr>
          <w:p w14:paraId="1F3C7E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22.8-22.9</w:t>
            </w:r>
          </w:p>
        </w:tc>
        <w:tc>
          <w:tcPr>
            <w:tcW w:w="1601" w:type="dxa"/>
            <w:tcBorders>
              <w:top w:val="single" w:sz="12" w:space="0" w:color="auto"/>
            </w:tcBorders>
          </w:tcPr>
          <w:p w14:paraId="6EC923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22.9-22.10</w:t>
            </w:r>
          </w:p>
        </w:tc>
        <w:tc>
          <w:tcPr>
            <w:tcW w:w="1601" w:type="dxa"/>
            <w:tcBorders>
              <w:top w:val="single" w:sz="12" w:space="0" w:color="auto"/>
            </w:tcBorders>
          </w:tcPr>
          <w:p w14:paraId="356ABF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22.10-22.12</w:t>
            </w:r>
          </w:p>
        </w:tc>
        <w:tc>
          <w:tcPr>
            <w:tcW w:w="1601" w:type="dxa"/>
            <w:tcBorders>
              <w:top w:val="single" w:sz="12" w:space="0" w:color="auto"/>
            </w:tcBorders>
          </w:tcPr>
          <w:p w14:paraId="5B37C9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r>
      <w:tr w:rsidR="009B487A" w:rsidRPr="00722885" w14:paraId="0F57B95A" w14:textId="77777777" w:rsidTr="00CC5360">
        <w:tc>
          <w:tcPr>
            <w:tcW w:w="1601" w:type="dxa"/>
          </w:tcPr>
          <w:p w14:paraId="0DE625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BP</w:t>
            </w:r>
          </w:p>
        </w:tc>
        <w:tc>
          <w:tcPr>
            <w:tcW w:w="1601" w:type="dxa"/>
          </w:tcPr>
          <w:p w14:paraId="512F7B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601" w:type="dxa"/>
          </w:tcPr>
          <w:p w14:paraId="25A7EE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_</w:t>
            </w:r>
          </w:p>
        </w:tc>
        <w:tc>
          <w:tcPr>
            <w:tcW w:w="1601" w:type="dxa"/>
          </w:tcPr>
          <w:p w14:paraId="36819B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53358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3DE51B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194BE3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r>
      <w:tr w:rsidR="009B487A" w:rsidRPr="00722885" w14:paraId="2EACCA5F" w14:textId="77777777" w:rsidTr="00CC5360">
        <w:tc>
          <w:tcPr>
            <w:tcW w:w="1601" w:type="dxa"/>
          </w:tcPr>
          <w:p w14:paraId="336E70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 по войскам</w:t>
            </w:r>
          </w:p>
        </w:tc>
        <w:tc>
          <w:tcPr>
            <w:tcW w:w="1601" w:type="dxa"/>
          </w:tcPr>
          <w:p w14:paraId="2EDB47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1601" w:type="dxa"/>
          </w:tcPr>
          <w:p w14:paraId="2D49840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1601" w:type="dxa"/>
          </w:tcPr>
          <w:p w14:paraId="785A93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45E7CCF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68AF22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21D620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r>
      <w:tr w:rsidR="009B487A" w:rsidRPr="00722885" w14:paraId="04DB4AE2" w14:textId="77777777" w:rsidTr="00CC5360">
        <w:tc>
          <w:tcPr>
            <w:tcW w:w="1601" w:type="dxa"/>
          </w:tcPr>
          <w:p w14:paraId="35DC7A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БУпо ж/д узлам</w:t>
            </w:r>
          </w:p>
        </w:tc>
        <w:tc>
          <w:tcPr>
            <w:tcW w:w="1601" w:type="dxa"/>
          </w:tcPr>
          <w:p w14:paraId="666681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601" w:type="dxa"/>
          </w:tcPr>
          <w:p w14:paraId="058FF7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w:t>
            </w:r>
          </w:p>
        </w:tc>
        <w:tc>
          <w:tcPr>
            <w:tcW w:w="1601" w:type="dxa"/>
          </w:tcPr>
          <w:p w14:paraId="7F1EDC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w:t>
            </w:r>
          </w:p>
        </w:tc>
        <w:tc>
          <w:tcPr>
            <w:tcW w:w="1601" w:type="dxa"/>
          </w:tcPr>
          <w:p w14:paraId="5DFC381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1601" w:type="dxa"/>
          </w:tcPr>
          <w:p w14:paraId="30009E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1601" w:type="dxa"/>
          </w:tcPr>
          <w:p w14:paraId="22C1EE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171</w:t>
            </w:r>
          </w:p>
        </w:tc>
      </w:tr>
      <w:tr w:rsidR="009B487A" w:rsidRPr="00722885" w14:paraId="73652C2A" w14:textId="77777777" w:rsidTr="00CC5360">
        <w:tc>
          <w:tcPr>
            <w:tcW w:w="1601" w:type="dxa"/>
          </w:tcPr>
          <w:p w14:paraId="6BD4705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 по аэродромам</w:t>
            </w:r>
          </w:p>
        </w:tc>
        <w:tc>
          <w:tcPr>
            <w:tcW w:w="1601" w:type="dxa"/>
          </w:tcPr>
          <w:p w14:paraId="4FE72BF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728FC6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10CC84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1601" w:type="dxa"/>
          </w:tcPr>
          <w:p w14:paraId="110973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w:t>
            </w:r>
          </w:p>
        </w:tc>
        <w:tc>
          <w:tcPr>
            <w:tcW w:w="1601" w:type="dxa"/>
          </w:tcPr>
          <w:p w14:paraId="32A877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040FF6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w:t>
            </w:r>
          </w:p>
        </w:tc>
      </w:tr>
      <w:tr w:rsidR="009B487A" w:rsidRPr="00722885" w14:paraId="6EA36A62" w14:textId="77777777" w:rsidTr="00CC5360">
        <w:tc>
          <w:tcPr>
            <w:tcW w:w="1601" w:type="dxa"/>
          </w:tcPr>
          <w:p w14:paraId="0B5C2A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 по портам</w:t>
            </w:r>
          </w:p>
        </w:tc>
        <w:tc>
          <w:tcPr>
            <w:tcW w:w="1601" w:type="dxa"/>
          </w:tcPr>
          <w:p w14:paraId="69C77E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w:t>
            </w:r>
          </w:p>
        </w:tc>
        <w:tc>
          <w:tcPr>
            <w:tcW w:w="1601" w:type="dxa"/>
          </w:tcPr>
          <w:p w14:paraId="254581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w:t>
            </w:r>
          </w:p>
        </w:tc>
        <w:tc>
          <w:tcPr>
            <w:tcW w:w="1601" w:type="dxa"/>
          </w:tcPr>
          <w:p w14:paraId="767C6B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w:t>
            </w:r>
          </w:p>
        </w:tc>
        <w:tc>
          <w:tcPr>
            <w:tcW w:w="1601" w:type="dxa"/>
          </w:tcPr>
          <w:p w14:paraId="1E2DA79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1601" w:type="dxa"/>
          </w:tcPr>
          <w:p w14:paraId="588329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1601" w:type="dxa"/>
          </w:tcPr>
          <w:p w14:paraId="3AD3E9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181</w:t>
            </w:r>
          </w:p>
        </w:tc>
      </w:tr>
      <w:tr w:rsidR="009B487A" w:rsidRPr="00722885" w14:paraId="5EF77A93" w14:textId="77777777" w:rsidTr="00CC5360">
        <w:tc>
          <w:tcPr>
            <w:tcW w:w="1601" w:type="dxa"/>
          </w:tcPr>
          <w:p w14:paraId="0E3511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 по кораблям в море</w:t>
            </w:r>
          </w:p>
        </w:tc>
        <w:tc>
          <w:tcPr>
            <w:tcW w:w="1601" w:type="dxa"/>
          </w:tcPr>
          <w:p w14:paraId="24F914B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tc>
        <w:tc>
          <w:tcPr>
            <w:tcW w:w="1601" w:type="dxa"/>
          </w:tcPr>
          <w:p w14:paraId="029D1E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60A05E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03449F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7AA0D6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07583B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tc>
      </w:tr>
      <w:tr w:rsidR="009B487A" w:rsidRPr="00722885" w14:paraId="03D33B80" w14:textId="77777777" w:rsidTr="00CC5360">
        <w:tc>
          <w:tcPr>
            <w:tcW w:w="1601" w:type="dxa"/>
          </w:tcPr>
          <w:p w14:paraId="572641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торпедные удары</w:t>
            </w:r>
          </w:p>
        </w:tc>
        <w:tc>
          <w:tcPr>
            <w:tcW w:w="1601" w:type="dxa"/>
          </w:tcPr>
          <w:p w14:paraId="71B929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601" w:type="dxa"/>
          </w:tcPr>
          <w:p w14:paraId="678C37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601" w:type="dxa"/>
          </w:tcPr>
          <w:p w14:paraId="092FC3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1601" w:type="dxa"/>
          </w:tcPr>
          <w:p w14:paraId="086623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601" w:type="dxa"/>
          </w:tcPr>
          <w:p w14:paraId="5163E42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1601" w:type="dxa"/>
          </w:tcPr>
          <w:p w14:paraId="0034C7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w:t>
            </w:r>
          </w:p>
        </w:tc>
      </w:tr>
      <w:tr w:rsidR="009B487A" w:rsidRPr="00722885" w14:paraId="2438D5FE" w14:textId="77777777" w:rsidTr="00CC5360">
        <w:tc>
          <w:tcPr>
            <w:tcW w:w="1601" w:type="dxa"/>
          </w:tcPr>
          <w:p w14:paraId="599E58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минные постановки**</w:t>
            </w:r>
          </w:p>
        </w:tc>
        <w:tc>
          <w:tcPr>
            <w:tcW w:w="1601" w:type="dxa"/>
          </w:tcPr>
          <w:p w14:paraId="2AC8F9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w:t>
            </w:r>
          </w:p>
        </w:tc>
        <w:tc>
          <w:tcPr>
            <w:tcW w:w="1601" w:type="dxa"/>
          </w:tcPr>
          <w:p w14:paraId="7B0652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w:t>
            </w:r>
          </w:p>
        </w:tc>
        <w:tc>
          <w:tcPr>
            <w:tcW w:w="1601" w:type="dxa"/>
          </w:tcPr>
          <w:p w14:paraId="3C9F1F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601" w:type="dxa"/>
          </w:tcPr>
          <w:p w14:paraId="3F7FAB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1FE8FC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483494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72</w:t>
            </w:r>
          </w:p>
        </w:tc>
      </w:tr>
      <w:tr w:rsidR="009B487A" w:rsidRPr="00722885" w14:paraId="16809FEF" w14:textId="77777777" w:rsidTr="00CC5360">
        <w:tc>
          <w:tcPr>
            <w:tcW w:w="1601" w:type="dxa"/>
          </w:tcPr>
          <w:p w14:paraId="337631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прочие</w:t>
            </w:r>
          </w:p>
        </w:tc>
        <w:tc>
          <w:tcPr>
            <w:tcW w:w="1601" w:type="dxa"/>
          </w:tcPr>
          <w:p w14:paraId="585B15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39484C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1601" w:type="dxa"/>
          </w:tcPr>
          <w:p w14:paraId="25B7D6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601" w:type="dxa"/>
          </w:tcPr>
          <w:p w14:paraId="18A242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601" w:type="dxa"/>
          </w:tcPr>
          <w:p w14:paraId="23EDEE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79E9B98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r>
      <w:tr w:rsidR="009B487A" w:rsidRPr="00722885" w14:paraId="7F2F8629" w14:textId="77777777" w:rsidTr="00CC5360">
        <w:tc>
          <w:tcPr>
            <w:tcW w:w="1601" w:type="dxa"/>
            <w:tcBorders>
              <w:bottom w:val="single" w:sz="12" w:space="0" w:color="auto"/>
            </w:tcBorders>
          </w:tcPr>
          <w:p w14:paraId="5F8446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w:t>
            </w:r>
          </w:p>
        </w:tc>
        <w:tc>
          <w:tcPr>
            <w:tcW w:w="1601" w:type="dxa"/>
            <w:tcBorders>
              <w:bottom w:val="single" w:sz="12" w:space="0" w:color="auto"/>
            </w:tcBorders>
          </w:tcPr>
          <w:p w14:paraId="708DA8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132</w:t>
            </w:r>
          </w:p>
        </w:tc>
        <w:tc>
          <w:tcPr>
            <w:tcW w:w="1601" w:type="dxa"/>
            <w:tcBorders>
              <w:bottom w:val="single" w:sz="12" w:space="0" w:color="auto"/>
            </w:tcBorders>
          </w:tcPr>
          <w:p w14:paraId="057A6A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112</w:t>
            </w:r>
          </w:p>
        </w:tc>
        <w:tc>
          <w:tcPr>
            <w:tcW w:w="1601" w:type="dxa"/>
            <w:tcBorders>
              <w:bottom w:val="single" w:sz="12" w:space="0" w:color="auto"/>
            </w:tcBorders>
          </w:tcPr>
          <w:p w14:paraId="445A05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208</w:t>
            </w:r>
          </w:p>
        </w:tc>
        <w:tc>
          <w:tcPr>
            <w:tcW w:w="1601" w:type="dxa"/>
            <w:tcBorders>
              <w:bottom w:val="single" w:sz="12" w:space="0" w:color="auto"/>
            </w:tcBorders>
          </w:tcPr>
          <w:p w14:paraId="4C9B47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w:t>
            </w:r>
          </w:p>
        </w:tc>
        <w:tc>
          <w:tcPr>
            <w:tcW w:w="1601" w:type="dxa"/>
            <w:tcBorders>
              <w:bottom w:val="single" w:sz="12" w:space="0" w:color="auto"/>
            </w:tcBorders>
          </w:tcPr>
          <w:p w14:paraId="7BFFCA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w:t>
            </w:r>
          </w:p>
        </w:tc>
        <w:tc>
          <w:tcPr>
            <w:tcW w:w="1601" w:type="dxa"/>
            <w:tcBorders>
              <w:bottom w:val="single" w:sz="12" w:space="0" w:color="auto"/>
            </w:tcBorders>
          </w:tcPr>
          <w:p w14:paraId="1F00DD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606</w:t>
            </w:r>
          </w:p>
        </w:tc>
      </w:tr>
    </w:tbl>
    <w:p w14:paraId="5D3AD0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Примечания. * Удар по опорным пунктам противника на о. Соммерс; " С учетом вылетов на обеспечение минных постановок (отвлекающие бомбоудары, фотоконтроль) (12002).</w:t>
      </w:r>
    </w:p>
    <w:p w14:paraId="346DDB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081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июля 1942 ТКА №155 и 175, севшие в Керченском проливе на мель, были уничтожены немецкими минометчиками (6002).</w:t>
      </w:r>
    </w:p>
    <w:p w14:paraId="43C1A0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9EF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июля 1942 десантные группы на Г-5 развернулись и пошли к местам высадки, финны встретили их огнем. На ТКА №121 при подходе к берегу заглохли моторы с муфтами, включенными на передний ход и при заводке моторов он сразу сел на камни. После того, как десантники покинули катер, его попытались снять с камней, но неудачно. Хорошо еще, что удалось спасти экипаж. Также на подходе к месту высадки получил повреждения ТКА №71. Несмотря на это, ему удалось высадить находившихся на борту бойцов, но не в предусмотренном планом месте, а “куда придется”. Отходивший после этого от острова 71-й вновь попал под артиллерийский огонь, загорелся и погиб. Личный состав с него под непрекращающимся обстрелом сумел забрать катер №152 (типа Д-3), сам имевший повреждения. Досталось и “пятерке” с бортовым номером 171 - погиб командир, из числа десантников трое были убиты и четверо ранены. Реакция финского командования на действия Балтфлота оказалась быстрой и энергичной - в бой были брошены канонерские лодки “Уусимаа” и “Хямеенмаа”, а также пять сторожевых катеров. Подходившая к Соммерсу первой “Уусимаа” подверглась нападению двух “Гэ-пятых” (№73 и 113) из состава дозорной группы и сумела успешно отразить атаку, потопив 113-й. Советские катерники доложили о потоплении неприятельской канлодки - первой из заявленных в ходе боев побед. Ожесточенные бои за Соммерс шли до 10 июля, причем основными противниками наших катерников были финские канонерки и сторожевые катера типа VMV. И надо сказать, что они балтийцам оказались не по зубам - несмотря на целый ряд докладов об уничтожении вражеских кораблей ни одна торпедная атака не завершилась успехом, а ответный огонь часто достигал цели. В перестрелках из бортового оружия перевес был полностью на стороне финнов, катера которых имели на вооружении скорострельные малокалиберные пушки. По огневой мощи им уступали даже малые охотники, а о “Гэ-пятых” и говорить нечего. Из “пятерок”, кроме уже упомянутых, погибли еще и №31 и 123. Кроме того, жертвами провалившейся операции стали два представителя других типов ТК (Д-3 №22 и Ш-4 №83), а также малый охотник №306 (6002).</w:t>
      </w:r>
    </w:p>
    <w:p w14:paraId="0D84B9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CC20E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8 по 11 июля 1942 Краснознаменный Балтийский флот предпринял попытку овладеть находившимся близ Лавенсаари финским островом Соммерс. В соответствии с крайне неудачно составленным планом, 12 Ил-4 нанесли бомбовой удар по финскому гарнизону за час до высадки, предопределив тем самым утрату внезапности и тяжелые потери среди штурмовых групп. С рассветом вражеское командование подтянуло в район сравнительно крупную корабельную группировку, не только поддержавшую гарнизон огнем, но и пополнившую его людьми и боеприпасами. В дальнейшем противнику удалось полностью блокировать наш десант, что в конечном итоге привело к его полной гибели. В полдень 9 июля бои окончились. Не имея связи с берегом, наши катера в течение 9-10 июля несколько раз пытались высадить на остров подкрепления, но либо не могли прорвать блокады, либо гибли в бою. Все это время ВВС Балтфлота, имевшие неоспоримое господство в воздухе, непрестанно атаковали вражеские корабли. Только торпедоносцы 1-го ГМТАП совершили 15 вылетов (экипажи Дроздова, Бунимовича, Преснякова и замкомандира эскадрильи капитана В.А. Балебина) и сбросили 12 торпед, доложив об уничтожении двух канонерских лодок и трех сторожевых кораблей. Однако, из принимавших участие в операции финских и немецких кораблей (финские минные заградители «Ру-отсинсалми», «Риилахти», канонерские лодки «Уусима», «Хяменмаа», «Турунмаа», немецкие тральщики «М 17» и «М 19», тяжелая плавбата-рея «Ост» и плавбаза «Неттельбек») ни один потоплен не был. С определенной натяжкой к результатам действий торпедоносцев можно притянуть лишь повреждение 11 июля канлодки «Турунмаа», на которой во время отражения очередного налета взорвалось 20-мм орудие, убив двух и ранив восемь человек. Ответными действиями вызванных в район боя финских истребителей был поврежден Ил-4 Преснякова. Самолет чудом не загорелся и с изрешеченными бензабаками сел на острове Лавенсаари. С этого момента финское командование, обеспокоенное действиями наших торпедоносцев в Финском заливе, начало регулярно посылать группы своих истребителей к Лавенсаари для охоты на наших «охотников» (9965).</w:t>
      </w:r>
    </w:p>
    <w:p w14:paraId="2D176F3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1C8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8-11 июля 1942 г. в сражении за остров Соммерс нашей авиации пришлось иметь дело такими с малоуязвимыми для торпедоносцев целями как финская канонерская лодка «Турунмаа» и минзаг «Руотсинсалми», которые сыграли определяющую роль в разгроме советского десанта. Несмотря на победные реляции, в ходе воздушно-морского сражения у Соммерса немцы и финны не потеряли ни одного боевого корабля, чего не скажешь о нашем КБФ (9965).</w:t>
      </w:r>
    </w:p>
    <w:p w14:paraId="003B249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7DF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июля 1942 Введение для обслуживания ВПУ фронта (армии) отдельных батальонов связи резерва фронта и армии (11072).</w:t>
      </w:r>
    </w:p>
    <w:p w14:paraId="7B3389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679D0" w14:textId="77777777" w:rsidR="0091110F"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5BEBD5AF" w14:textId="77777777" w:rsidR="0091110F" w:rsidRPr="00722885" w:rsidRDefault="0091110F"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71927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июля</w:t>
      </w:r>
      <w:r w:rsidRPr="00722885">
        <w:rPr>
          <w:rFonts w:ascii="Times New Roman" w:hAnsi="Times New Roman"/>
          <w:color w:val="000000" w:themeColor="text1"/>
          <w:sz w:val="16"/>
          <w:szCs w:val="16"/>
        </w:rPr>
        <w:t xml:space="preserve"> в 1942 году впервые полетел на реактивной тяге знаменитый «Мессершмитт» «Me 262» «V3» . Первый турбореактивный истребитель «Хейнкель» «Не 280» «V3» был облетан 2 апреля 1941 года (14946).</w:t>
      </w:r>
    </w:p>
    <w:p w14:paraId="7D0C9B52"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67AF8C8D"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54AFFB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3E1468" w14:textId="77777777" w:rsidR="00A47188" w:rsidRPr="00722885" w:rsidRDefault="00A47188" w:rsidP="00722885">
      <w:pPr>
        <w:pStyle w:val="ae"/>
        <w:shd w:val="clear" w:color="auto" w:fill="FFFFFF"/>
        <w:spacing w:before="0" w:after="0"/>
        <w:jc w:val="both"/>
        <w:rPr>
          <w:color w:val="000000" w:themeColor="text1"/>
          <w:sz w:val="16"/>
          <w:szCs w:val="16"/>
        </w:rPr>
      </w:pPr>
      <w:r w:rsidRPr="00722885">
        <w:rPr>
          <w:color w:val="000000" w:themeColor="text1"/>
          <w:sz w:val="16"/>
          <w:szCs w:val="16"/>
        </w:rPr>
        <w:t>9 июля 1942 года на заводе № 1 постановлением завкома были заведены уголовные дела на заведующего базой т. Урецкова и зав. отделом коммерческого хлеба т. Давыдчика, которые занимались незаконной продажей коммерческого хлеба, отпуская знакомым спекулянтам по 6-7 буханок в одни руки. Народный суд приговаривал спекулянтов к лишению свободы на срок от 5 до 8 лет с последующим поражением в правах до 3-х лет.</w:t>
      </w:r>
    </w:p>
    <w:p w14:paraId="2EA1C3F5" w14:textId="77777777" w:rsidR="00A47188" w:rsidRPr="00722885" w:rsidRDefault="00A47188" w:rsidP="00722885">
      <w:pPr>
        <w:pStyle w:val="ae"/>
        <w:shd w:val="clear" w:color="auto" w:fill="FFFFFF"/>
        <w:spacing w:before="0" w:after="0"/>
        <w:jc w:val="both"/>
        <w:rPr>
          <w:color w:val="000000" w:themeColor="text1"/>
          <w:sz w:val="16"/>
          <w:szCs w:val="16"/>
        </w:rPr>
      </w:pPr>
      <w:r w:rsidRPr="00722885">
        <w:rPr>
          <w:color w:val="000000" w:themeColor="text1"/>
          <w:sz w:val="16"/>
          <w:szCs w:val="16"/>
        </w:rPr>
        <w:t xml:space="preserve">За воровство продуктов очень часто судили также продавцов магазинов и работников предприятий общественного питания. Так директор и бухгалтер столовой карбюраторного завода осенью 1941 года были осуждены за то, что тайком урезали рацион питания рабочих и за счет недовложения продуктов «сэкономили» себе 1332 рубля. Строжайшим образом пресекалось воровство картошки на колхозных полях и частных огородах. За это тоже наказывали длительными сроками тюремного </w:t>
      </w:r>
      <w:r w:rsidRPr="00722885">
        <w:rPr>
          <w:color w:val="000000" w:themeColor="text1"/>
          <w:sz w:val="16"/>
          <w:szCs w:val="16"/>
        </w:rPr>
        <w:lastRenderedPageBreak/>
        <w:t>заключения. Продукты были стратегическим товаром и за них спрашивали по законам военного времени.</w:t>
      </w:r>
    </w:p>
    <w:p w14:paraId="0EE75052" w14:textId="77777777" w:rsidR="00A47188" w:rsidRPr="00722885" w:rsidRDefault="00A47188" w:rsidP="00722885">
      <w:pPr>
        <w:pStyle w:val="ae"/>
        <w:shd w:val="clear" w:color="auto" w:fill="FFFFFF"/>
        <w:spacing w:before="0" w:after="0"/>
        <w:jc w:val="both"/>
        <w:rPr>
          <w:color w:val="000000" w:themeColor="text1"/>
          <w:sz w:val="16"/>
          <w:szCs w:val="16"/>
        </w:rPr>
      </w:pPr>
    </w:p>
    <w:p w14:paraId="5B0103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 л 166 завода Н.Д.Бакин совершил аварию на Ту-2, допустив посадку на большой скорости и не справившегося с разворотом (2109).</w:t>
      </w:r>
    </w:p>
    <w:p w14:paraId="50F9AB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0A32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 г. полпред Панюшкин ознакомил Чан Кайши с позицией, занятой дубанем Синьцзяна и текстом ответного письма В.М. Молотова Шэн Шицаю. В примечании к за</w:t>
      </w:r>
      <w:r w:rsidRPr="00722885">
        <w:rPr>
          <w:rFonts w:ascii="Times New Roman" w:hAnsi="Times New Roman"/>
          <w:color w:val="000000" w:themeColor="text1"/>
          <w:sz w:val="16"/>
          <w:szCs w:val="16"/>
        </w:rPr>
        <w:softHyphen/>
        <w:t>писи беседы посол отметил: «Трудно было прочесть что-либо на его лице... Единствен</w:t>
      </w:r>
      <w:r w:rsidRPr="00722885">
        <w:rPr>
          <w:rFonts w:ascii="Times New Roman" w:hAnsi="Times New Roman"/>
          <w:color w:val="000000" w:themeColor="text1"/>
          <w:sz w:val="16"/>
          <w:szCs w:val="16"/>
        </w:rPr>
        <w:softHyphen/>
        <w:t>ное его замечание о том, что Советскому Правительству следует обращаться по делам Синьцзяна к Центральному Правительству Китая, было сделано не в достаточно лояль</w:t>
      </w:r>
      <w:r w:rsidRPr="00722885">
        <w:rPr>
          <w:rFonts w:ascii="Times New Roman" w:hAnsi="Times New Roman"/>
          <w:color w:val="000000" w:themeColor="text1"/>
          <w:sz w:val="16"/>
          <w:szCs w:val="16"/>
        </w:rPr>
        <w:softHyphen/>
        <w:t>ном тоне, обычном для наших бесед» (15811).</w:t>
      </w:r>
    </w:p>
    <w:p w14:paraId="6BBFD42D"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393BA75A"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408FFB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BD404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 вышло Постановление ГКО № 2003 О мерах помощи заводу № 112. Наркомтанкопрома. РГАНИР, Фонд ГКО, д. 42, лл. 137-140, 141-148 (11012).</w:t>
      </w:r>
    </w:p>
    <w:p w14:paraId="6D5776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3814E8"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июля 1942 г.</w:t>
      </w:r>
    </w:p>
    <w:p w14:paraId="2F86BD8E"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84 – 82</w:t>
      </w:r>
    </w:p>
    <w:p w14:paraId="5F22D00B"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55941F92"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514с</w:t>
      </w:r>
    </w:p>
    <w:p w14:paraId="2E8BFB42"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4B32D6F0"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июля 1942 г.</w:t>
      </w:r>
    </w:p>
    <w:p w14:paraId="786C855C"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обеспечения выполнения программы заводом № 174 ПРИКАЗЫВАЮ:</w:t>
      </w:r>
    </w:p>
    <w:p w14:paraId="764501E5"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1.</w:t>
      </w:r>
    </w:p>
    <w:p w14:paraId="5066A88C"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Директору завода № 183 т. МАКСАРЕВУ отгрузить заводу № 174 в июле месяце:</w:t>
      </w:r>
    </w:p>
    <w:p w14:paraId="0D5CF487"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65 комплектов радиаторов по следующему графику:</w:t>
      </w:r>
    </w:p>
    <w:p w14:paraId="421DA793"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 по 10 июля – 15 комплектов</w:t>
      </w:r>
    </w:p>
    <w:p w14:paraId="06B285A7"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10 по 15 июля – 15 комплектов</w:t>
      </w:r>
    </w:p>
    <w:p w14:paraId="09BE0394"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15 по 20 июля – 20 комплектов</w:t>
      </w:r>
    </w:p>
    <w:p w14:paraId="599C092D"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20 по 25 июля – 15 комплектов</w:t>
      </w:r>
    </w:p>
    <w:p w14:paraId="5218D6F8"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Двадцать пар конических шестерен в готовом виде:</w:t>
      </w:r>
    </w:p>
    <w:p w14:paraId="1DFBB6D9"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12 июля – 10 пар</w:t>
      </w:r>
    </w:p>
    <w:p w14:paraId="5CA252A3"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15 июля – 10 пар</w:t>
      </w:r>
    </w:p>
    <w:p w14:paraId="5A490CB5"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Отгрузить до 12 июля остродефицитные позиции стального литья:</w:t>
      </w:r>
    </w:p>
    <w:p w14:paraId="3F795F42"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15-070 – диск ленивца – 100 штук</w:t>
      </w:r>
    </w:p>
    <w:p w14:paraId="2E484935"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11-029 – ведущее колесо – 100 штук</w:t>
      </w:r>
    </w:p>
    <w:p w14:paraId="262D551D"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16-003 – крышка бортовой передачи – 50 штук</w:t>
      </w:r>
    </w:p>
    <w:p w14:paraId="342711BA"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29-1646 – кронштейн правый – 100 штук</w:t>
      </w:r>
    </w:p>
    <w:p w14:paraId="59DFDE64"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29-1647 – кронштейн левый – 100 штук</w:t>
      </w:r>
    </w:p>
    <w:p w14:paraId="7C6389A7"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29-1649 – кронштейн балансира – 200 штук</w:t>
      </w:r>
    </w:p>
    <w:p w14:paraId="11A4B804"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Остальные количества и позиции стального литья, согласно приложения № 1 отгружать равномерно в течении июля месяца.</w:t>
      </w:r>
    </w:p>
    <w:p w14:paraId="77343E1A"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Отгрузить до 15 июля остродефицитные позиции горящей штамповки:</w:t>
      </w:r>
    </w:p>
    <w:p w14:paraId="2A3F64AE"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15-027 Кривошип ленивца – 50 штук</w:t>
      </w:r>
    </w:p>
    <w:p w14:paraId="5D063D27"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18-037 Шток – 110 штук</w:t>
      </w:r>
    </w:p>
    <w:p w14:paraId="5364E81E"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Остальные позиции горячей штамповки, согласно приложения № 1 отгружать равномерно в течении июля месяца.</w:t>
      </w:r>
    </w:p>
    <w:p w14:paraId="6129B6C4"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Ответственность за изготовление и отгрузку деталей, перечисленных в пункте в) и г) возлагаю на Зам. Начальника Металлургического отдела т. Середина.</w:t>
      </w:r>
    </w:p>
    <w:p w14:paraId="18555E50"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Радиаторы и конические шестерни отгружать до Челябинска самолетом и от Челябинска до Омска багажом пассажирским поездом. Ответственность за перегрузку радиаторов и шестерен с самолета и отправку багажом возлагаю на Управляющего Челябинской конторой Главснаба т. МОГАРИЛЛО.</w:t>
      </w:r>
    </w:p>
    <w:p w14:paraId="1E0FE620"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Ответственность по Наркомату за своевременную доставку радиаторов и шестерен самолетами и пассажирским поездом возложить на заместителя начальника Главснаба т. Тарасова.</w:t>
      </w:r>
    </w:p>
    <w:p w14:paraId="62FC22E7"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Ответственность за сдачу для отправки радиаторов в указанные сроки возлагаю на ведущего инженера 1-го отдела т. Богданова.</w:t>
      </w:r>
    </w:p>
    <w:p w14:paraId="7DD3EA7B"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2.</w:t>
      </w:r>
    </w:p>
    <w:p w14:paraId="45D76679"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Директору завода № 200 т. Сочивко:</w:t>
      </w:r>
    </w:p>
    <w:p w14:paraId="7382F81C"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Отгрузить до 15-го июля остродефицитные позиции стального литья:</w:t>
      </w:r>
    </w:p>
    <w:p w14:paraId="0275474E"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30-474 – башня – 50 шт.</w:t>
      </w:r>
    </w:p>
    <w:p w14:paraId="683D3BFF"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30-475 – лобовой щит – 50 шт.</w:t>
      </w:r>
    </w:p>
    <w:p w14:paraId="10339C7B"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11-029 – ведущее колесо – 50 шт.</w:t>
      </w:r>
    </w:p>
    <w:p w14:paraId="2706C1F3"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29-1649 – кронштейн балансира – 100 шт.</w:t>
      </w:r>
    </w:p>
    <w:p w14:paraId="494B41A5"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Остальные позиции стального литья согласно приложения № 2 отгружать равномерно в течение июля месяца.</w:t>
      </w:r>
    </w:p>
    <w:p w14:paraId="672243E3"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Предупредить т. Сочивко, что он несет персональную ответственность за выполнение программы по стальному литью для завода № 174.</w:t>
      </w:r>
    </w:p>
    <w:p w14:paraId="2893395A"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 Наркомату ответственность за выполнение настоящего пункта возлагаю на тов. ХАБАХПАШЕВА.</w:t>
      </w:r>
    </w:p>
    <w:p w14:paraId="330BFC06"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3.</w:t>
      </w:r>
    </w:p>
    <w:p w14:paraId="6DD05336"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Директору Кировского завода т. МАХОНИНУ:</w:t>
      </w:r>
    </w:p>
    <w:p w14:paraId="6C152112"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Отгрузить заводу № 174 шестерни чертеж 16-006 (горячая штамповка):</w:t>
      </w:r>
    </w:p>
    <w:p w14:paraId="01A2A375"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11-го июля – 20 штук</w:t>
      </w:r>
    </w:p>
    <w:p w14:paraId="576572FB"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11 по 15 июля – 20 штук</w:t>
      </w:r>
    </w:p>
    <w:p w14:paraId="69F8D8DB"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15 по 20 июля – 20 штук</w:t>
      </w:r>
    </w:p>
    <w:p w14:paraId="0AA42E6A"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20 по 30 июля – 40 штук</w:t>
      </w:r>
    </w:p>
    <w:p w14:paraId="57955EB7"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 100 штук.</w:t>
      </w:r>
    </w:p>
    <w:p w14:paraId="185F73E4"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Отгрузку производить багажом пассажирским поездом или прицепкой к пассажирскому поезду. Ответственный в Челябинске за отправку пассажирской скоростью управляющий Челябинской конторой Главснаба т. МАГАРИЛЛО, а по Наркомату на ведущего инженера т. Быстрицкого.</w:t>
      </w:r>
    </w:p>
    <w:p w14:paraId="20EDAA67"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4.</w:t>
      </w:r>
    </w:p>
    <w:p w14:paraId="58AEEA36"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Директору завода № 76 т. Кочеткову отгрузить заводу № 174 в июле месяце 85 моторов в следующие сроки:</w:t>
      </w:r>
    </w:p>
    <w:p w14:paraId="495C0DAE"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10.VII – 15 шт.</w:t>
      </w:r>
    </w:p>
    <w:p w14:paraId="6B85B3E9"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10 по 15.VII – 17 штук</w:t>
      </w:r>
    </w:p>
    <w:p w14:paraId="0353DA79"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16 по 20.VII – 17 штук</w:t>
      </w:r>
    </w:p>
    <w:p w14:paraId="42F10BEE"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20 по 25.VII – 17 штук</w:t>
      </w:r>
    </w:p>
    <w:p w14:paraId="3463773D"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25 по 31.VII – 19 штук</w:t>
      </w:r>
    </w:p>
    <w:p w14:paraId="66E23E78"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Ответственный за своевременную отгрузку – старший ведущий инженер 1-го отдела т. Магидсон.</w:t>
      </w:r>
    </w:p>
    <w:p w14:paraId="10835D3C"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5.</w:t>
      </w:r>
    </w:p>
    <w:p w14:paraId="1A9C7FE5"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Директору СТЗ т. Задорожному отгрузить заводу № 174 не позднее 12 июля 80 комплектов траков. Отгрузку производить через Владимирскую пристань – станция Ахтуба.</w:t>
      </w:r>
    </w:p>
    <w:p w14:paraId="00E33768"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Отгрузить в июле 50 пар обработанных конических шестерен. Отгрузку произвести самолетами до Куйбышева в следующие сроки:</w:t>
      </w:r>
    </w:p>
    <w:p w14:paraId="27D141A3"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11-го июля – 20 пар</w:t>
      </w:r>
    </w:p>
    <w:p w14:paraId="21CFCE2E"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11 по 15 июля – 15 пар</w:t>
      </w:r>
    </w:p>
    <w:p w14:paraId="3C257006"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15 по 20 июля – 15 пар</w:t>
      </w:r>
    </w:p>
    <w:p w14:paraId="034765F2"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Заместителю Начальника Главснаба т. Тарасову, управляющему Куйбышевской конторой Главснаба т. Дедову обеспечить отправку шестерен самолетом до Челябинска. Управляющему Челябинской конторой Главснаба т. Магарилло обеспечить отправку шестерен из Челябинска в Омск багажом пассажирским поездом. Контроль за выполнением настоящего пункта приказа возложить на ведущего инженера 1-го отдела т. Фрадкина.</w:t>
      </w:r>
    </w:p>
    <w:p w14:paraId="651EA2EB"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Контроль за выполнением настоящего приказа возложить на заместителя начальника 1-го Отдела т. Давтян.</w:t>
      </w:r>
    </w:p>
    <w:p w14:paraId="635CFF71" w14:textId="77777777" w:rsidR="00143BEF" w:rsidRPr="00722885" w:rsidRDefault="00143BE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ТАНКОВОЙ ПРОМЫШЛЕННОСТИ СОЮЗА ССР подпись И. ЗАЛЬЦМАН (21214).</w:t>
      </w:r>
    </w:p>
    <w:p w14:paraId="01C07C61" w14:textId="77777777" w:rsidR="00143BEF" w:rsidRPr="00722885" w:rsidRDefault="00143BEF" w:rsidP="00722885">
      <w:pPr>
        <w:spacing w:after="0" w:line="240" w:lineRule="auto"/>
        <w:jc w:val="both"/>
        <w:rPr>
          <w:rFonts w:ascii="Times New Roman" w:hAnsi="Times New Roman"/>
          <w:color w:val="0070C0"/>
          <w:sz w:val="16"/>
          <w:szCs w:val="16"/>
        </w:rPr>
      </w:pPr>
    </w:p>
    <w:p w14:paraId="4F737B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 вышло Постановление ГКО № 2004 О мобилизации 500 человек служащих городских учреждений г.Сталинграда для Сталинградского тракторного завода НКТП. РГАНИР, Фонд ГКО, д. 42, лл. 149 (11012).</w:t>
      </w:r>
    </w:p>
    <w:p w14:paraId="1C669E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D969B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5AB92C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FF661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в 1942 году утреннее сообщение Совинформбюро:</w:t>
      </w:r>
    </w:p>
    <w:p w14:paraId="3CFB353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9 июля наши войска вели бои с противником западнее Воронежа.</w:t>
      </w:r>
    </w:p>
    <w:p w14:paraId="0C35BB8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0466F7A5"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Воронежа наши бойцы мужественно ведут борьбу с превосходящими силами противника. На подступах к двум населённым пунктам немцы в течение дня восемь раз переходили в атаку, но неизменно отбрасывались назад. Вечером две роты гитлеровцев девятый раз пытались атаковать наши позиции. Наши бойцы, подпустив противника на близкое расстояние, полностью уничтожили наступавших немцев. На другом участке миномётчики части, где командиром тов. Сазонов, уничтожили до 200 немецких солдат и офицеров. Бойцу пулемётчику Умарову было приказано залечь на фланге роты и отражать атаки противника. Вскоре немцы бросили на фланг, где находился Умаров, до двух рот пехоты. Отважный пулемётчик меткими очередями уничтожил более 50 гитлеровцев и держался до тех пор, пока ему на помощь не подоспели бойцы, находившиеся в резерве.</w:t>
      </w:r>
    </w:p>
    <w:p w14:paraId="7D3715C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Юго-Западного направления немцы четыре раза атаковалипозиции, которые оборонял наш стрелковый батальон. Оставив на поле боя 13 подбитых танков и свыше 500 трупов, противник отказался от лобовых атак. Только тогда, когда создалась опасность окружения, наши бойцы по приказу командования отошли на новые рубежи. На другом участке в ожесточённом танковом бою уничтожено19 немецких танков и свыше 200 автоматчиков противника.</w:t>
      </w:r>
    </w:p>
    <w:p w14:paraId="454AA2B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Части, действующие на одном из участков Калининского фронта, за пять дней боевых действий уничтожили до 2 тысяч немецких солдат и офицеров. На другом участке бойцы части, где командиром тов. Тарасов, за четыре дня подбили и сожгли 67 немецких танков, уничтожили 21 орудие и огнём пехотного оружия сбили два самолёта противника. Немецкие войска на этом участке потеряли свыше тысячи солдат и офицеров.</w:t>
      </w:r>
    </w:p>
    <w:p w14:paraId="5B52492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Истребители авиачасти под командованием тов. Немцевича за три дня в воздушных боях сбили 24 и подбили 18 самолётов противника. Штурмовики подразделения тов. Чертова и лётчики подразделения тов. Петровец за два дня боёв уничтожили 15 немецких самолётов. Майор Караченцев 7 июля сбил два бомбардировщика «Юнкерс-88».</w:t>
      </w:r>
    </w:p>
    <w:p w14:paraId="7ECE7B1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Танковый экипаж в составе лейтенанта И.И.Королькова, механика-водителястаршего сержанта С.И.Краснопёрова, командира орудия младшего сержанта П.М.Бондаренко и радиста-стрелка сержанта Я.Ф.Симонова за время войны противнемецко-фашистских захватчиков уничтожил 17 немецких танков, 10 орудий, 22 миномёта и несколько сот гитлеровцев.</w:t>
      </w:r>
    </w:p>
    <w:p w14:paraId="52544A1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Красноармеец Степан Турков из противотанкового ружья сбил немецкий самолёт.</w:t>
      </w:r>
    </w:p>
    <w:p w14:paraId="06AA30A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под командованием тов. М. в одном из районов Белоруссии организовала крушение воинского эшелона противника. Из 53 вагонов 47 вагонов разбиты полностью. Отряд витебских партизан под командованием тов. К. пустил под откос немецкий поезд. Сгорело 20 вагонов и 4 цистерны с бензином. Погибло свыше 300 немецко-фашистских оккупантов.</w:t>
      </w:r>
    </w:p>
    <w:p w14:paraId="4A18BB7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Два партизанских отряда, действующих в одном из районов Орловской области, разгромили карательный отряд немецких оккупантов. Во время боя уничтожено 39 солдат противника. Партизаны захватили у немцев 2 орудия, 100 снарядов, 6 станковых пулемётов и несколько тысяч винтовочных патронов.</w:t>
      </w:r>
    </w:p>
    <w:p w14:paraId="31DCFE2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в плен унтер-офицер 2 батальона 524 немецкого пехотного полка Генрих П. рассказал: «В последних боях батальон понёс большие потери. Шестая рота была разгромлена. В ней осталось 3 кадровых солдата и несколько резервистов. За короткий срок в полку сменилось три командира полка, а во втором батальоне — пять командиров. Три командира батальона — майор Бауэр, капитан Шлин и капитан Кауфман были убиты в боях, двух командование сместило за нерешительность».</w:t>
      </w:r>
    </w:p>
    <w:p w14:paraId="060E046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Патриоты Югославии на днях выбили гарнизоны немецко-итальянских оккупантов с целого ряда станций очень важной железной дороги. На протяжении 80 километров дорога находится в руках партизан. Отрядами партизан захвачены большие трофеи.» (14947).</w:t>
      </w:r>
    </w:p>
    <w:p w14:paraId="62CC3AD6"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4FFA05E6"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в 1942 году вечернее сообщение Совинформбюро:</w:t>
      </w:r>
    </w:p>
    <w:p w14:paraId="45C1207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9 июля наши войска вели упорные бои с противником западнее Воронежа и в районе города Россошь.</w:t>
      </w:r>
    </w:p>
    <w:p w14:paraId="1D0691B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20115E05"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потоплены два транспорта и танкер противника общим водоизмещением в 22.000 тонн.</w:t>
      </w:r>
    </w:p>
    <w:p w14:paraId="5550AA4D"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8 июля частями нашей авиации на различных участках фронта уничтожено или повреждено свыше 30 немецких танков, 215 автомашин с войсками и грузами, 4 автоцистерны с горючим, подавлен огонь 6 батарей полевой и зенитной артиллерии, взорван склад с боеприпасами, потоплены канонерская лодка и сторожевой катер,повреждено несколько транспортов, рассеяно и частью уничтожено до полка пехоты противника.</w:t>
      </w:r>
    </w:p>
    <w:p w14:paraId="12A2269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западнее Воронежа продолжаются ожесточённые бои. Танковое подразделение, которым командует тов. Слобода, атаковало позиции противника. Командир подразделения первым врезался в боевые порядки немецкой пехоты и нанёс ей большой урон. На выручку своей пехоты гитлеровцы бросилибольшое количество танков. В завязавшемся танковом бою наши танкисты уничтожили 4 средних немецких танка, 19 противотанковых орудий и 2 миномёта с расчётами. Бои за Воронеж полны примеров мужества и отваги советских воинов. На позиции противотанкового взвода, которым командует младший лейтенант Сиротин, наступал батальон вражеской пехоты. Огнём из двух пушек смелые бойцы отбили пять атак противника и уничтожили 200 гитлеровцев. Миномётная рота, которой командует тов. Вестник, в течение дня уничтожила 400 немецких солдат и офицеров.</w:t>
      </w:r>
    </w:p>
    <w:p w14:paraId="71AE2CF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Части, действующие на отдельных участках Ленинградского фронта, за два дня уничтожили 7 немецких пулемётов, разрушили ДЗОТ, 10 блиндажей и взорвали склад с боеприпасами противника. Гитлеровцы потеряли убитыми и ранеными до 300 солдат иофицеров.</w:t>
      </w:r>
    </w:p>
    <w:p w14:paraId="41FEF01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Четыре пикирующих бомбардировщика подразделения тов. Скока (Северо-Западныйфронт) совершили налёт на аэродром противника. Несмотря на сильный огонь зенитной артиллерии, наши лётчики уничтожили 7 и повредили 2 немецких самолёта.</w:t>
      </w:r>
    </w:p>
    <w:p w14:paraId="6C4D9AC3"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Восемь бронебойщиков под руководством сержанта Баталова открыли огонь из противотанковых ружей по немецким самолётам и сбили «Юнкерс-88». Три немецких лётчика взяты в плен.</w:t>
      </w:r>
    </w:p>
    <w:p w14:paraId="7837271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разведчиков под командованием сержанта Соколова проникла в глубь вражеской обороны. Нарушив телефонную связь, наши бойцы забросали гранатами дом, в котором находились немецкие солдаты, и уничтожили более 30 гитлеровцев. В завязавшейся затем рукопашной схватке разведчики уничтожили ещё 20 немцев и без потерь вернулись в свою часть.</w:t>
      </w:r>
    </w:p>
    <w:p w14:paraId="76E2BDA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Немецкий самолёт несколькими очередями из пулемёта зажёг ящики со снарядамина автомашине, которую вёл шофёр тов. Абрамов. Отважный водитель, рискуя жизнью, стащил горящие ящики и затушил огонь. Боеприпасы были вовремя доставлены на позиции.</w:t>
      </w:r>
    </w:p>
    <w:p w14:paraId="73934B1E"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Несколько партизанских отрядов Ленинградской области, объединённых подкомандованием товарищей Б. и К., в бою с немецкой карательной экспедицией уничтожили 120 оккупантов и захватили пулемёт, 12 винтовок, автоматы, пистолеты и различное военное снаряжение.</w:t>
      </w:r>
    </w:p>
    <w:p w14:paraId="74B5C3C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Бежавший из фашистского плена сержант Иван Иванович Юдин рассказал следующее: «Лагерь, в котором я находился, перевели из села Николаевка (12 километров от Таганрога) в Сталино. По дороге из села Николаевка до села Степановка (45 километров) гитлеровцы расстреляли 150 пленных. Фашистские мерзавцы безжалостно убивали всех, кто, обессилев, отставал от колонны. В лагере для военнопленных в Сталино от голода, болезней и побоев ежедневно умирает по 15—20 человек. Немцы кормят пленных гнилой капустой — один котелок на 5 человек. Изнурённых непосильной работой и больных гитлеровские бандиты расстреливают на месте».</w:t>
      </w:r>
    </w:p>
    <w:p w14:paraId="7C25335C"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Огромные потери немецко-фашистской армии на советско-германском фронте вынудили гитлеровскую клику снять значительное количество войск из Франции и направить их на Восток. Ослабленные немецкие гарнизоны не в состоянии обеспечить охрану укреплений. В связи с этим диверсионные акты приняли массовый характер. В июне в районе Лилля (Франция) французские патриоты подорвали 16 бетонированных ДОТ'ов. Многие ДОТ'ы засыпаны землёй и залиты водой.» (14947).</w:t>
      </w:r>
    </w:p>
    <w:p w14:paraId="3A3050ED"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6A9D5B5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в 1942 году германское командование разделило группу армий "Юг" на две группы армий: "Б" (действовала на Воронежско-сталинградском направлении, в феврале 1943 расформирована; командующий генерал-фельдмаршал Федор Бок, с 13 июля генерал-полковник М.Вейхс) и "А" (действовала на южном крыле советско-германского фронта, в апреле 1944 переименована в группу армий "Южная Украина"; командующий генерал-фельдмаршал В.Лист) (14947).</w:t>
      </w:r>
    </w:p>
    <w:p w14:paraId="31C681EF"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2773796E"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в 1942 году Адольф Гитлер приказывает разделить группу армий «Юг» на две части для атаки на Кавказ и Сталинград (14947).</w:t>
      </w:r>
    </w:p>
    <w:p w14:paraId="14062F01"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4C45FC2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 в 4 часа утра 7-й танковый корпус вновь возобновил атаки, и через некоторое время часть танков 19-й танковой бригады удалось переправить через Сухую Верейку. Однако под воздействием немецкой авиации, бомбившей боевые порядки корпуса в течение всего дня, навести переправы через реку не удалось. 2-й танковый корпус, согласно полученному приказу, в бой не вводился и находился во втором эшелоне.</w:t>
      </w:r>
    </w:p>
    <w:p w14:paraId="33E62B6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следующий день бои разгорелись с новой силой. Командование 5-й танковой армии наконец-то получило разрешение ввести в бой 2-й танковый корпус. Однако и немцы не теряли времени даром — они подтянули дополнительные силы артиллерии и танков. Весь день шли ожесточенные танковые бои, но нашим частям продвинуться не удалось.</w:t>
      </w:r>
    </w:p>
    <w:p w14:paraId="201B9E6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танковые корпуса, под непрерывной бомбежкой немецкой авиации медленно продвигались вперед, неся большие потери. Немецкие части тоже несли большие потери - только 2-й танковый корпус за день подбил и уничтожил 25 танков противника, а один был захвачен исправным. Свои потери составили 16 машин, из них 6 Т-34.</w:t>
      </w:r>
    </w:p>
    <w:p w14:paraId="5E97BD2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подтянув силы, немцы нанесли контрудар, атаковав 7 и 2-й танковые корпуса крупными силами пехоты и танков. Понесшие в предыдущих боях большие потери, ослабленные бригады 5-й танковой армии стали отходить, но на следующий день немецкое наступление на север удалось остановить частями 7 и 11-го танковых корпусов.</w:t>
      </w:r>
    </w:p>
    <w:p w14:paraId="7E40CA7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14.00 12 июля в тыл противника была брошена находившаяся в резерве 26-я танковая бригада 2-го танкового корпуса. Против бригады действовало 38 немецких танков и до полка пехоты, но благодаря внезапной и стремительной атаке в результате трехчасового боя бригада не только задержала, но и отбросила немцев назад. Было уничтожено 8 и подбито 7 танков, разбито 36 автомашин, 40 мотоциклов, 5 бронетранспортеров и 1 тягач. Потери 26-й танковой бригады составили 3 человека ранеными и 5 танков Т-34 получили легкие повреждения (все остались на ходу). Танкисты израсходовали 766 снарядов (из них 52 бронебойных) и 5000 патронов.</w:t>
      </w:r>
    </w:p>
    <w:p w14:paraId="16A56C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два последующих дня части армии вели бои на занимаемых рубежах, а вечером 15 июля перешли в наступление, потеснив противника..</w:t>
      </w:r>
    </w:p>
    <w:p w14:paraId="6351F8E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ночь на 18 июля части 5-й танковой армии отведены в тыл, и в тот же день, на основании директивы Ставки 5-ю танковую армию расформировали.</w:t>
      </w:r>
    </w:p>
    <w:p w14:paraId="5AC680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данным штаба армии, в боях 6-16 июля 1942 года соединения 5-й танковой армии уничтожили 18920 солдат и офицеров противника, 317 танков, 358 орудий, 166 минометов, 119 пулеметов, 310 автомашин и 30 самолетов. Свои потери составили 7929 человек (убитыми, ранеными и пропавшими без вести). а аткже безвозвратно 341 танк, из них 130 Т-34.</w:t>
      </w:r>
    </w:p>
    <w:p w14:paraId="0C2D12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Контрудар 5-й танковой армии в отечественной литературе освещен довольно слабо и зачастую необъективно. Да, армия вводилась в бой по частям, без разведки и авиационного прикрытия, да она понесла огромные потери. Но главной заслугой танкистов генерал-майора Лизюкова было то. что они оттянули на себя и задержали на несколько дней основные силы 4-й танковой армии немцев, предназначенные для охвата всего Юго-Западного фронта. Контрудар 5-й танковой армии генерал-майора Лизюкова в значительной степени способствовал срыву первоначальных планов немецкого командования по проведению операции «Блау».</w:t>
      </w:r>
    </w:p>
    <w:p w14:paraId="381F33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срочном порядке перебрасываемый в район Воронежа 18-й танковый корпус (ПО, 18.0, 181-я танковые, 18-я мотострелковая бригады) насчитывал к 4 июля 1942 года 181 танк, из них 88 Т-34. Однако следует отметить, что части корпуса формировались наспех, танковые бригады не имели зенитных орудий и радиостанций, а мотострелковая бригада была просто небоеспособной: в ней не хватало не только 628 человек младшего комсостава, вообще не было боеприпасов и шоферов для автомашин. Штаб корпуса не был полностью укомплектован, многие офицеры не соответствовали своим должностям.</w:t>
      </w:r>
    </w:p>
    <w:p w14:paraId="1FF6200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таком виде корпус сразу после разгрузки вводился в бой отдельными частями, действуя на фронте 78 километров. Так, 5 июля танковые бригады корпуса в одиночку сдерживали части противника в юго-западной части города. За этот день только 110-я танковая бригада подбила и уничтожила 38 немецких танков и 22 орудия.</w:t>
      </w:r>
    </w:p>
    <w:p w14:paraId="4036E5F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июля 3-я моторизованная дивизия немцев к вечеру заняла всю северную часть Воронежа, в результате чего ПО и 181-я танковые бригады оказались отрезанными, так как мосты через Воронеж взорвали по распоряжению начальника гарнизона. Потеряв все танки, 9 июля бригады вырвались из окружения. На следующий день части 18-го танкового корпуса вывели в тыл для доукомплектования.</w:t>
      </w:r>
    </w:p>
    <w:p w14:paraId="1520E42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отметить, что в ходе боев за Воронеж корпус действовал отдельными бригадами, которые получали приказы не только от штаба корпуса, но и других вышестоящих штабов. Например, за 4-8 июля 180-я танковая бригада получила 11 различных приказаний на изменение дислокации (помимо тех, которые отдавал штаб корпуса), из-за чего прошла 300 километров не сделав ни одного выстрела.</w:t>
      </w:r>
    </w:p>
    <w:p w14:paraId="29DDD1E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танковые бригады не имели пехоты (их мотострелковые батальоны действовали отдельно), артиллерийского и авиационного прикрытия. Но, несмотря на это, с 4 по 9 июля танкисты отбивали 58 немецких атак в день (12217).</w:t>
      </w:r>
    </w:p>
    <w:p w14:paraId="3DCAA96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2D141B0"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 Гитлер приказал разделить группу армий “Юг” на две части для атаки на Кавказ и Сталинград (4962).</w:t>
      </w:r>
    </w:p>
    <w:p w14:paraId="50D1C70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CDBD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9 1942 German offensive in the USSR divides, one army group advancing through Rostov into the Caucasus oilfields and the other toward Stalingrad (1037).</w:t>
      </w:r>
    </w:p>
    <w:p w14:paraId="61DD3D1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F7D1A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 немецкое наступление разделилось. Одна армейская группировка пошла через Ростов на Кавказ, а другая - на Сталинград (1037).</w:t>
      </w:r>
    </w:p>
    <w:p w14:paraId="7D7E0C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90CF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 по рассказам партизан л-ш л В.Л.Дегтярев, возвращаясь с боевого задания, был подбит и тяжело ранен. Приземлился и увидев подходящего врага приготовился к бою. Снял пулемет и уложил 175. Фашисты расстреляли самолет из минометов. Отстреливаясь из пистолета Дегтярев убил еще 5. Немцы похоронили с почестью (438,849).</w:t>
      </w:r>
    </w:p>
    <w:p w14:paraId="4132F1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BA4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 вышло Вопросы № 2002 Центрального штаба партизанского движения. РГАНИР, Фонд ГКО, д. 42, лл. 136 (11012).</w:t>
      </w:r>
    </w:p>
    <w:p w14:paraId="08C7F8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86C793"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Внешняя политика:</w:t>
      </w:r>
    </w:p>
    <w:p w14:paraId="1FA35E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6B01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 года</w:t>
      </w:r>
    </w:p>
    <w:p w14:paraId="792A12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 РУЗВЕЛЬТ И. В. СТАЛИНУ *</w:t>
      </w:r>
    </w:p>
    <w:p w14:paraId="5E07DA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 глубоко признателен за Вашу телеграмму, содержащую разрешение на передачу сорока бомбардировщиков в Египет. Я отдал распоряжение о немедленной отправке Вам ста пятнадцати средних танков с боеприпасами и запасными частями помимо всех танков, отгружаемых в соответствии с условиями июльского протокола (7430).</w:t>
      </w:r>
    </w:p>
    <w:p w14:paraId="6E5858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444F5"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885">
        <w:rPr>
          <w:rFonts w:ascii="Times New Roman" w:hAnsi="Times New Roman"/>
          <w:i/>
          <w:iCs/>
          <w:color w:val="000000" w:themeColor="text1"/>
          <w:sz w:val="16"/>
          <w:szCs w:val="16"/>
        </w:rPr>
        <w:t>За</w:t>
      </w:r>
      <w:r w:rsidRPr="00722885">
        <w:rPr>
          <w:rFonts w:ascii="Times New Roman" w:hAnsi="Times New Roman"/>
          <w:i/>
          <w:iCs/>
          <w:color w:val="000000" w:themeColor="text1"/>
          <w:sz w:val="16"/>
          <w:szCs w:val="16"/>
          <w:lang w:val="en-US"/>
        </w:rPr>
        <w:t xml:space="preserve"> </w:t>
      </w:r>
      <w:r w:rsidRPr="00722885">
        <w:rPr>
          <w:rFonts w:ascii="Times New Roman" w:hAnsi="Times New Roman"/>
          <w:i/>
          <w:iCs/>
          <w:color w:val="000000" w:themeColor="text1"/>
          <w:sz w:val="16"/>
          <w:szCs w:val="16"/>
        </w:rPr>
        <w:t>рубежом</w:t>
      </w:r>
      <w:r w:rsidRPr="00722885">
        <w:rPr>
          <w:rFonts w:ascii="Times New Roman" w:hAnsi="Times New Roman"/>
          <w:i/>
          <w:iCs/>
          <w:color w:val="000000" w:themeColor="text1"/>
          <w:sz w:val="16"/>
          <w:szCs w:val="16"/>
          <w:lang w:val="en-US"/>
        </w:rPr>
        <w:t>:</w:t>
      </w:r>
    </w:p>
    <w:p w14:paraId="11E64E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4B6753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9th, 1942: In Egypt, renewed attacks by the Afrikakorps against British defenses at El Alamein bog down in the face of stubborn British resistance (3819).</w:t>
      </w:r>
    </w:p>
    <w:p w14:paraId="55EAAC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D6AE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 возобновилось наступление Африканского корпуса против британцев, оборонявших Эль Адамейн (3819).</w:t>
      </w:r>
    </w:p>
    <w:p w14:paraId="14F477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2D0A1"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5E2A55B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27A4F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г. в письме секретаря Воронежского обкома ВКП(б) В. Никитина за № 747 на имя наркома Шахурина впервые встал вопрос о защите хвоста Ил-2. Никитин писал: «Командиры, летчики авиаполка Ил-2, возвратившиеся на днях в Воронеж, со</w:t>
      </w:r>
      <w:r w:rsidRPr="00722885">
        <w:rPr>
          <w:rFonts w:ascii="Times New Roman" w:hAnsi="Times New Roman"/>
          <w:color w:val="000000" w:themeColor="text1"/>
          <w:sz w:val="16"/>
          <w:szCs w:val="16"/>
        </w:rPr>
        <w:softHyphen/>
        <w:t>общают, что враг применяет технику боя с самолетами Ил-2 путем поражения их сзади в хвостовое оперение, сверху по мотору, а так</w:t>
      </w:r>
      <w:r w:rsidRPr="00722885">
        <w:rPr>
          <w:rFonts w:ascii="Times New Roman" w:hAnsi="Times New Roman"/>
          <w:color w:val="000000" w:themeColor="text1"/>
          <w:sz w:val="16"/>
          <w:szCs w:val="16"/>
        </w:rPr>
        <w:softHyphen/>
        <w:t>же в голову летчика. Командный состав в связи с этим считает не</w:t>
      </w:r>
      <w:r w:rsidRPr="00722885">
        <w:rPr>
          <w:rFonts w:ascii="Times New Roman" w:hAnsi="Times New Roman"/>
          <w:color w:val="000000" w:themeColor="text1"/>
          <w:sz w:val="16"/>
          <w:szCs w:val="16"/>
        </w:rPr>
        <w:softHyphen/>
        <w:t>обходимым: 1) в конце фюзеляжа под хвостовым оперением уста</w:t>
      </w:r>
      <w:r w:rsidRPr="00722885">
        <w:rPr>
          <w:rFonts w:ascii="Times New Roman" w:hAnsi="Times New Roman"/>
          <w:color w:val="000000" w:themeColor="text1"/>
          <w:sz w:val="16"/>
          <w:szCs w:val="16"/>
        </w:rPr>
        <w:softHyphen/>
        <w:t>новить огневую точку; 2) установить хотя бы 4-мм броню над голо</w:t>
      </w:r>
      <w:r w:rsidRPr="00722885">
        <w:rPr>
          <w:rFonts w:ascii="Times New Roman" w:hAnsi="Times New Roman"/>
          <w:color w:val="000000" w:themeColor="text1"/>
          <w:sz w:val="16"/>
          <w:szCs w:val="16"/>
        </w:rPr>
        <w:softHyphen/>
        <w:t>вой летчика; 3) установить броню над мотором сверху» (10695).</w:t>
      </w:r>
    </w:p>
    <w:p w14:paraId="20F0D90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C36D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вышел приказ НКАП N 499с:</w:t>
      </w:r>
    </w:p>
    <w:p w14:paraId="2E3DBD8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массовой эксплуатации серийных истребителей наблюдается много случаев забрызгивания маслом козырьков, что понижает боеспособность самолетов.</w:t>
      </w:r>
    </w:p>
    <w:p w14:paraId="119C2B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устранения указанного дефекта:</w:t>
      </w:r>
    </w:p>
    <w:p w14:paraId="2F3C95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И.о. нач. ЛИИ Чесалову и Нач. ЦИАМ Поликовскому провести необходимые работы по выяснению причин забрызгивания маслом и совместно с ЦАГИ дать рекомендации по устранению этого дефекта без снижения скорости самолетов.</w:t>
      </w:r>
    </w:p>
    <w:p w14:paraId="423F3E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работу провести на самолетах ЛаГГ-3 и Як-1 в 2 недельный срок (1573,97).</w:t>
      </w:r>
    </w:p>
    <w:p w14:paraId="0F5F54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4563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состоялся первый полет И-185-М-71 эталона (130,35).</w:t>
      </w:r>
    </w:p>
    <w:p w14:paraId="1BFB08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70858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вышел приказ НКАП 3 505с</w:t>
      </w:r>
    </w:p>
    <w:p w14:paraId="5FBE9B3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дополнение к приказу № 464с от 24 июня 1942 по организации радиаторного з-да на площадях бывшего з-да 469 в Солнечногорске:</w:t>
      </w:r>
    </w:p>
    <w:p w14:paraId="2E54DE9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Организовать на площади бывшего з-да № 469 самостоятельный з-д по пр-ву авиарадиаторов, присвоив ему № 459. З—д № 459 подчинить 2 ГУ. Др- Данилов.</w:t>
      </w:r>
    </w:p>
    <w:p w14:paraId="08EC831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Шахурин (1572, 60).</w:t>
      </w:r>
    </w:p>
    <w:p w14:paraId="746D54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0BD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июля 1942 г. приказу № 505с самостоятельный радиаторный завод, созданный 24 июня 1942 по приказу № 464с на базе филиал завода № 469, получил наименование ГС завод № 459 при 2ГУ НКАП (ГС Завод № 459 НКАП, Завод № 10 НКЛП, Солнечногорский механический завод (СМЗ) Минлегпрома, МАП, ОАО «СМЗ» /141500  </w:t>
      </w:r>
      <w:r w:rsidRPr="00722885">
        <w:rPr>
          <w:rFonts w:ascii="Times New Roman" w:hAnsi="Times New Roman"/>
          <w:color w:val="000000" w:themeColor="text1"/>
          <w:sz w:val="16"/>
          <w:szCs w:val="16"/>
        </w:rPr>
        <w:lastRenderedPageBreak/>
        <w:t>г. Солнечногорск Московской обл. ул. Набережная, 2 тел. 539-33-95/). На завод возвращена часть оборудования и кадров с заводов № 469 и № 472 НКАП. Производство и ремонт радиаторов масла и воды, а с конца 1943 г.- и масло-, бензобаков.</w:t>
      </w:r>
    </w:p>
    <w:p w14:paraId="317249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134с/20с от 25.02.1944 г. завод со всеми сооружениями и личным составом передан в систему НКЛП и переименован в завод № 10 НКЛП. Производство парашютной техники для систем катапультирования самолетов МиГ, Ил-28, Ту-4. Затем- в ведении МособлСНХ. В 1963 г. переименован в СМЗ в ведении Минлегпрома. В 1965 г. СМЗ передан в МАП.</w:t>
      </w:r>
    </w:p>
    <w:p w14:paraId="0878F9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1968 г. налажен выпуск туристического снаряжения- палаток и рюкзаков.</w:t>
      </w:r>
    </w:p>
    <w:p w14:paraId="23FEED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11.1992 г. завод преобразован в АО. По решению правительства № 22-р от 9.01.2004 г. вошло в перечень стратегических предприятий.</w:t>
      </w:r>
    </w:p>
    <w:p w14:paraId="05F304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(2002 г.) тормозных парашютных систем, грузовых, спасательных и спортивных парашютов разработки НИИП, парапланов, воздушных шаров.</w:t>
      </w:r>
    </w:p>
    <w:p w14:paraId="570D60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(2004 г.)- 646 чел.</w:t>
      </w:r>
    </w:p>
    <w:p w14:paraId="3746A6B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(1942 г.-)- Денисов(Данилов). Начальник- Ткачев. Гендиректор (2002 г.)- Ю.В. Торбахов, (2007 г.)- А.А. Королев.</w:t>
      </w:r>
    </w:p>
    <w:p w14:paraId="2C7738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Коммерческий директор (2002 г.)- М.М. Пахомов (11982).</w:t>
      </w:r>
    </w:p>
    <w:p w14:paraId="74B084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AFB5A6"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С 10 июля 1942 г. В.Н.Челомей переведен на должность научного сотрудника по группе прочности. </w:t>
      </w:r>
      <w:r w:rsidRPr="00722885">
        <w:rPr>
          <w:rFonts w:ascii="Times New Roman" w:hAnsi="Times New Roman"/>
          <w:color w:val="0070C0"/>
          <w:sz w:val="16"/>
          <w:szCs w:val="16"/>
          <w:shd w:val="clear" w:color="auto" w:fill="FFFFFF"/>
        </w:rPr>
        <w:t xml:space="preserve">он переведен на должность научного сотрудника по группе прочности. Здесь он занимается вопросами нестационарной газовой динамики. В ЦИАМ им. П. И. Баранова он приступает к реализации давно задуманного — созданию пульсирующего воздушно-реактивного двигателя (ПуВРД) </w:t>
      </w:r>
      <w:r w:rsidRPr="00722885">
        <w:rPr>
          <w:rFonts w:ascii="Times New Roman" w:hAnsi="Times New Roman"/>
          <w:color w:val="0070C0"/>
          <w:sz w:val="16"/>
          <w:szCs w:val="16"/>
        </w:rPr>
        <w:t>(19823).</w:t>
      </w:r>
    </w:p>
    <w:p w14:paraId="4BD849EA" w14:textId="77777777" w:rsidR="00093471" w:rsidRPr="00722885" w:rsidRDefault="00093471" w:rsidP="00722885">
      <w:pPr>
        <w:spacing w:after="0" w:line="240" w:lineRule="auto"/>
        <w:jc w:val="both"/>
        <w:rPr>
          <w:rFonts w:ascii="Times New Roman" w:hAnsi="Times New Roman"/>
          <w:color w:val="0070C0"/>
          <w:sz w:val="16"/>
          <w:szCs w:val="16"/>
        </w:rPr>
      </w:pPr>
    </w:p>
    <w:p w14:paraId="32E1C0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во исполнение постановления ГОКО вышел приказ НКБ о переводе группы двигетелистов на завод 293 НКАП (2928,12).</w:t>
      </w:r>
    </w:p>
    <w:p w14:paraId="19990C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825024"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6549384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014619" w14:textId="77777777" w:rsidR="00B33D31" w:rsidRPr="00722885" w:rsidRDefault="00B33D31"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10 июля 1942 начальник артиллерии гене- рал-майор Одинцов утвердил акт комиссии по испытаниям забронированной поворотной минометной установки, которые прошли С 26 июня по 3 июля 1942 г. в Ленинграде. Машины рекомендовались к принятию на вооружение Красной Армии.</w:t>
      </w:r>
    </w:p>
    <w:p w14:paraId="5CEB1767" w14:textId="77777777" w:rsidR="00B33D31" w:rsidRPr="00722885" w:rsidRDefault="00B33D31"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Учитывая недостаточную проходимость базового шасси, можно предположить, что боевое применение минометных установок на пересеченной местности было бы затруд</w:t>
      </w:r>
      <w:r w:rsidRPr="00722885">
        <w:rPr>
          <w:rFonts w:ascii="Times New Roman" w:hAnsi="Times New Roman" w:cs="Times New Roman"/>
          <w:color w:val="000000" w:themeColor="text1"/>
          <w:sz w:val="16"/>
          <w:szCs w:val="16"/>
        </w:rPr>
        <w:softHyphen/>
        <w:t>нено. Кроме того, возможность организации серийного производства подобной техники в условиях блокадного Ленинграда напрямую зависела от количества пригодных автомо</w:t>
      </w:r>
      <w:r w:rsidRPr="00722885">
        <w:rPr>
          <w:rFonts w:ascii="Times New Roman" w:hAnsi="Times New Roman" w:cs="Times New Roman"/>
          <w:color w:val="000000" w:themeColor="text1"/>
          <w:sz w:val="16"/>
          <w:szCs w:val="16"/>
        </w:rPr>
        <w:softHyphen/>
        <w:t>билей (17747).</w:t>
      </w:r>
    </w:p>
    <w:p w14:paraId="41EDC0F4"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910381E" w14:textId="77777777" w:rsidR="001F6A06" w:rsidRPr="00722885" w:rsidRDefault="001F6A06"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10 июля 1942 начальник артиллерии генерал-майор Одинцов утвердил акт комиссии испытания установки миномета в кузове грузовика, которые прошли с 26 июня по 3 июля 1942 года в Ленинграде. По акту данные машины рекомендовались к принятию на вооружение Красной Армии.</w:t>
      </w:r>
    </w:p>
    <w:p w14:paraId="5E45AAD1" w14:textId="77777777" w:rsidR="001F6A06" w:rsidRPr="00722885" w:rsidRDefault="001F6A06"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Учитывая недостаточную проходимость базового шасси, можно предположить, что боевое применение минометных установок на пересеченной местности было бы затруднено. Кроме того, возможность организации серийного производства подобной техники в условиях блокадного Ленинграда напрямую зависела от количества пригодных автомобилей.</w:t>
      </w:r>
    </w:p>
    <w:p w14:paraId="31B6FE8D" w14:textId="77777777" w:rsidR="001F6A06" w:rsidRPr="00722885" w:rsidRDefault="001F6A06"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Тем не менее, приведенный эпизод ярко характеризует стремление всех организаций внести посильный вклад в общую победу над врагом. Помимо описанных работ, в период блокады ЛОНИТОМАШ успешно выполнял самые различные задания Военного совета Ленинградского фронта. Перечислим лишь основные из них:</w:t>
      </w:r>
    </w:p>
    <w:p w14:paraId="54502CE8" w14:textId="77777777" w:rsidR="001F6A06" w:rsidRPr="00722885" w:rsidRDefault="001F6A0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 формирование авторемонтного дивизиона («завод на колесах» в составе 33 машин) для нужд ВВС. Все автомашины и оборудование, собрали, восстановили и смонтировали силами общественных организаций;</w:t>
      </w:r>
    </w:p>
    <w:p w14:paraId="22D79746" w14:textId="77777777" w:rsidR="001F6A06" w:rsidRPr="00722885" w:rsidRDefault="001F6A0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 изготовление десяти подвижных ремонтных мастерских для частей Ленинградского фронта;</w:t>
      </w:r>
    </w:p>
    <w:p w14:paraId="43D32DD9" w14:textId="77777777" w:rsidR="001F6A06" w:rsidRPr="00722885" w:rsidRDefault="001F6A0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 выпуск более 500 000 специальных пакетов для химических грелок;</w:t>
      </w:r>
    </w:p>
    <w:p w14:paraId="1792BA5F" w14:textId="77777777" w:rsidR="001F6A06" w:rsidRPr="00722885" w:rsidRDefault="001F6A0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 восстановление 90 автомобилей и около 25 т различных дефицитных запасных частей к ним.</w:t>
      </w:r>
    </w:p>
    <w:p w14:paraId="73048E7F" w14:textId="77777777" w:rsidR="001F6A06" w:rsidRPr="00722885" w:rsidRDefault="001F6A06"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Стоит отметить, что все работы ЛОНИТОМАШа в период блокады выполнялись в авторемонтных мастерских, организованных с большим трудом в неприспособленных помещениях на площадке законсервированного строительства Выборгской ТЭЦ, а также в небольших электроремонтных мастерских в здании эвакуированного НИИ-46 (19768).</w:t>
      </w:r>
    </w:p>
    <w:p w14:paraId="10DBA2FD" w14:textId="77777777" w:rsidR="001F6A06" w:rsidRPr="00722885" w:rsidRDefault="001F6A06" w:rsidP="00722885">
      <w:pPr>
        <w:spacing w:after="0" w:line="240" w:lineRule="auto"/>
        <w:jc w:val="both"/>
        <w:rPr>
          <w:rFonts w:ascii="Times New Roman" w:hAnsi="Times New Roman"/>
          <w:color w:val="000000" w:themeColor="text1"/>
          <w:sz w:val="16"/>
          <w:szCs w:val="16"/>
        </w:rPr>
      </w:pPr>
    </w:p>
    <w:p w14:paraId="550879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вышло Постановление ГКО № 2007 Об эвакуации из г.Мичуринска оборудования завода им.Ленина. РГАНИР, Фонд ГКО, д. 42, лл. 152 (11012).</w:t>
      </w:r>
    </w:p>
    <w:p w14:paraId="41239F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221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вышло Постановление ГКО № 2008 О строительстве завода № 576 по производству нитроглицериновых порохов и нитрогликолевых ВВ в пос. Реж, Свердловской области. РГАНИР, Фонд ГКО, д. 42, лл. 153-154, 155 (11012).</w:t>
      </w:r>
    </w:p>
    <w:p w14:paraId="7CF60D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C7B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вышло Постановление ГКО № 2009 О мероприятиях по обеспечению в III квартале 1942 г. поставок химического сырья для производства боеприпасов. РГАНИР, Фонд ГКО, д. 42, лл. 156-157 (11012).</w:t>
      </w:r>
    </w:p>
    <w:p w14:paraId="708BFB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484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вышло Постановление ГКО № 2010 О надкалиберной кумулятивной мине к 45 мм противотанковой пушке. РГАНИР, Фонд ГКО, д. 42, лл. 158 (11012).</w:t>
      </w:r>
    </w:p>
    <w:p w14:paraId="0AD77F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4008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вышло Постановление ГКО № 2011 Об обеспечении углем электростанций в III квартале 1942 г. РГАНИР, Фонд ГКО, д. 42, лл. 159, 160 (11012).</w:t>
      </w:r>
    </w:p>
    <w:p w14:paraId="1B9803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5A73F"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июля 1942 г.</w:t>
      </w:r>
    </w:p>
    <w:p w14:paraId="62BDDCC6"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58 – 57</w:t>
      </w:r>
    </w:p>
    <w:p w14:paraId="28CB7D4F"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21931053"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512с</w:t>
      </w:r>
    </w:p>
    <w:p w14:paraId="21E604B7"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104F9BAD"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июля 1942 г.</w:t>
      </w:r>
    </w:p>
    <w:p w14:paraId="5914025B"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целях ускорения подготовки к пуску первой очереди Барнаульского завода танковых дизелей ПРИКАЗЫВАЮ:</w:t>
      </w:r>
    </w:p>
    <w:p w14:paraId="6FAB33F9"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Утвердить представленную схему организации управления Барнаульского завода танковых дизельмоторов.</w:t>
      </w:r>
    </w:p>
    <w:p w14:paraId="15F5CC46"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Назначить главным инженером и первым заместителем директора завода тов. ТОЛМАЧЕВА Д.И., с освобождением его от работы на заводе № 264.</w:t>
      </w:r>
    </w:p>
    <w:p w14:paraId="11AA53CD"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Назначить начальником производства и заместителем главного инженера завода тов. ХАИТОВА А.Л., освободив его от работы на Кировском заводе.</w:t>
      </w:r>
    </w:p>
    <w:p w14:paraId="4E5DA60E"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Назначить главным конструктором завода тов. ВИХМАН, с освобождением его от работы на Кировском заводе.</w:t>
      </w:r>
    </w:p>
    <w:p w14:paraId="79B844F8"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Назначить начальником инструментального отдела и инструментального цеха завода тов. ЦЕПКОВСКОГО, с освобождением его от работы на заводе № 264.</w:t>
      </w:r>
    </w:p>
    <w:p w14:paraId="2D3ACECA"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Назначить начальником отдела снабжения завода тов. ГОЛОВИНЧИС, с освобождением его от работы на Кировском заводе.</w:t>
      </w:r>
    </w:p>
    <w:p w14:paraId="441BD60D"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Назначить начальниками цехов:</w:t>
      </w:r>
    </w:p>
    <w:p w14:paraId="7AEF932D"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цеха № 120 – тов. КРИВУЦ (завод № 76)</w:t>
      </w:r>
    </w:p>
    <w:p w14:paraId="53EE191C"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цеха № 130 – тов. ГУСЬКОВА (Кировский завод)</w:t>
      </w:r>
    </w:p>
    <w:p w14:paraId="7046396F"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цеха № 140 – тов. МАЛЯРОВА Ф.М. (СТЗ)</w:t>
      </w:r>
    </w:p>
    <w:p w14:paraId="5116579A"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цеха № 160 – тов. СУХОВА А.И. (завод № 76)</w:t>
      </w:r>
    </w:p>
    <w:p w14:paraId="612B8795"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цеха № 161 – тов. ЯЛЫНЫЧЕВА Д.А. (СТЗ)</w:t>
      </w:r>
    </w:p>
    <w:p w14:paraId="5DFD5AC2"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цеха № 170 – тов. БОРОВЕНКО Е.Е. (завод № 264)</w:t>
      </w:r>
    </w:p>
    <w:p w14:paraId="5B8FB970"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цеха № 310 – тов. ГРУЗДЕВА (завод № 174)</w:t>
      </w:r>
    </w:p>
    <w:p w14:paraId="33C9EC48"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цеха № 340 – тов. АРЕФЬЕВА В.М. (Кировский завод)</w:t>
      </w:r>
    </w:p>
    <w:p w14:paraId="647A63E4"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Перевести на постоянную работу в г. Барнаул следующих работников:</w:t>
      </w:r>
    </w:p>
    <w:p w14:paraId="46570495"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УСТИМЕНКО Ю.Г. – (СТЗ)</w:t>
      </w:r>
    </w:p>
    <w:p w14:paraId="1357B168"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ЛИПКИНА Х.С. – (завод № 264)</w:t>
      </w:r>
    </w:p>
    <w:p w14:paraId="263D9E20"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НЕСТЕРЕНКО М.Н. – (СТЗ)</w:t>
      </w:r>
    </w:p>
    <w:p w14:paraId="24E80612"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МОРОХОВСКОГО М.М. – (СТЗ)</w:t>
      </w:r>
    </w:p>
    <w:p w14:paraId="743DAF36"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КУЧМАС И.П. – (Кировский завод)</w:t>
      </w:r>
    </w:p>
    <w:p w14:paraId="7D77A02D"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ОСАДЧЕГО Д.Л. – (завод № 264)</w:t>
      </w:r>
    </w:p>
    <w:p w14:paraId="7148DE66"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ЗЫСИНА В.А. – (СТЗ)</w:t>
      </w:r>
    </w:p>
    <w:p w14:paraId="1388D93B"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РОЗЕНБЕРГА Д.С. – (Кировский завод)</w:t>
      </w:r>
    </w:p>
    <w:p w14:paraId="04026EC0"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тов. БАРАНОВА Р.Т. – (СТЗ)</w:t>
      </w:r>
    </w:p>
    <w:p w14:paraId="6C5F65B5"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САВЕНКОВА Я.А. – (Кировский завод)</w:t>
      </w:r>
    </w:p>
    <w:p w14:paraId="22CDC62B"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Обязать директоров заводов: СТЗ – т. Задорожного, Кировского – т. Махонина, завода № 174 – т. Кацнельсон, завод № 76 – т. Кочеткова в 10-дневный срок откомандировать указанных в настоящем приказе работников на Барнаульский завод № С-10.</w:t>
      </w:r>
    </w:p>
    <w:p w14:paraId="4B382B60"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В соответствии с приказом НКТП № 447с от 10 июня с.г. установить, что поставка топливных насосов в 1942 г. для Барнаульского завода производится Кировским заводом, в соответствии с установленной программой.</w:t>
      </w:r>
    </w:p>
    <w:p w14:paraId="44E4CDDA"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Зам. начальника технического отдела НКТП т. Зубкову и начальнику Главснаба т. Розину пересмотреть распределение специальных станков отечественного производства, выделенных моторным заводам НКТП с таким расчетом, чтобы в III квартале покрыть минимальную комплектную потребность Барнаульского завода и в пятидневный срок представить на утверждение Зам. Наркома т. Зернову П.М.</w:t>
      </w:r>
    </w:p>
    <w:p w14:paraId="18BA0515"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Начальнику Главснаба т. Розину выдать из резерва НКТП Барнаульскому заводу 10 грузовых машин и 1 легковую машину.</w:t>
      </w:r>
    </w:p>
    <w:p w14:paraId="3361A4C9"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Разрешить директору Барнаульского завода т. Поливановскому организовать временно до конца 1942 г. представительство при Главснабе НКТП в количестве 4-х человек.</w:t>
      </w:r>
    </w:p>
    <w:p w14:paraId="43FB88AA" w14:textId="77777777" w:rsidR="00093471" w:rsidRPr="00722885" w:rsidRDefault="000934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ТАНКОВОЙ ПРОМЫШЛЕННОСТИ СОЮЗА ССР подпись (И. ЗАЛЬЦМАН) (21216).</w:t>
      </w:r>
    </w:p>
    <w:p w14:paraId="23B6ACD7" w14:textId="77777777" w:rsidR="00093471" w:rsidRPr="00722885" w:rsidRDefault="00093471" w:rsidP="00722885">
      <w:pPr>
        <w:spacing w:after="0" w:line="240" w:lineRule="auto"/>
        <w:jc w:val="both"/>
        <w:rPr>
          <w:rFonts w:ascii="Times New Roman" w:hAnsi="Times New Roman"/>
          <w:color w:val="0070C0"/>
          <w:sz w:val="16"/>
          <w:szCs w:val="16"/>
        </w:rPr>
      </w:pPr>
    </w:p>
    <w:p w14:paraId="31D48882"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4185C0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2601AD"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в 1942 году утреннее сообщение Совинформбюро:</w:t>
      </w:r>
    </w:p>
    <w:p w14:paraId="241B17D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10 июля наши войска вели бои с противником западнее Воронежа и в районе города Россошь.</w:t>
      </w:r>
    </w:p>
    <w:p w14:paraId="3E6EBD0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39572756"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части, действующие западнее Воронежа, наносят противнику большие потери. На одном из участков наши бойцы отбили три атаки немецкого пехотного полка и уничтожили 7 танков и свыше 500 гитлеровцев. На другом участке советские танкисты разгромили колонну вражеской мотопехоты и уничтожили 26 автомашин и 300 немецких солдат и офицеров.</w:t>
      </w:r>
    </w:p>
    <w:p w14:paraId="5F8CEE0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части, действующие на отдельных участках Калининского фронта, за три дня боевых действий уничтожили до четырёх тысяч немецких солдат и офицеров, 27 танков и 5 бронемашин.</w:t>
      </w:r>
    </w:p>
    <w:p w14:paraId="3C935516"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Артиллеристы части, которой командует тов. Морозов, за последние дни уничтожили 2 немецких орудия, 2 станковых пулемёта, склад боеприпасов, автомашину и 4 повозки с грузом, подавили огонь 7 артиллерийских и 2 миномётных батарей.</w:t>
      </w:r>
    </w:p>
    <w:p w14:paraId="7B33F3B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Прикрывая наземные войска, группа истребителей под командованием капитана Бунделеева сбила три немецких самолёта «Юнкерс-88».</w:t>
      </w:r>
    </w:p>
    <w:p w14:paraId="1319EC0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Десять разведчиков во главе с лейтенантом Захаровым и младшим политрукомБарановым пробрались к переднему краю немецкой обороны. Обнаружив наших бойцов, гитлеровцы направили в помощь своему боевому охранению до 100 солдат. Наши разведчики вступили в бой с противником, уничтожили до 50 немцев и без потерь вернулись в свою часть.</w:t>
      </w:r>
    </w:p>
    <w:p w14:paraId="6480B11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Несколько партизанских отрядов, действующих в оккупированных районах Калининской области, за июнь пустили под откос 9 немецких воинских эшелонов с живой силой и военным грузом, 2 бронепоезда, взорвали 12 железнодорожных и шоссейных мостов и уничтожили свыше 600 оккупантов.</w:t>
      </w:r>
    </w:p>
    <w:p w14:paraId="3815C1ED"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22 отдельного батальона финской армии Лаури P. рассказал: «Наш батальон сформирован из дезертиров, досрочно освобождённых из тюрем. Когда мы приехали на фронт, 9 солдат категорически заявили, что они не будут воевать, и их немедленно арестовали. Командир батальона подполковник Лахденсуо невысокого мнения о своих солдатах. Он заявил на днях: «Я сплю всё время в сапогах, потому что больше надеюсь на свои ноги, чем на свой батальон».</w:t>
      </w:r>
    </w:p>
    <w:p w14:paraId="35BD786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капрал 8 венгерской пехотной бригады Шандор К. рассказал: «Последние бои убедили многих венгерских солдат, что немцы хотят чужими руками жар загребать. Немецкое командование бросает венгерские части на самые опасные участки под смертоносный огонь русских. Как только мы раскусили эту подлость, многочисленные группы солдат отказались идти в бой и потребовали отправки на родину. Немцы пытались запугать нас расстрелами, но солдаты, поддержанные группой офицеров, заявили, что они с оружием в руках будут отстаивать свои права и защищать свою жизнь. По приказу германского командования некоторые венгерские подразделения были отведены в ближний тыл. Там всех солдат и офицеров разоружили и арестовали. Их посадили в санитарные вагоны и под видом раненых отправили в Венгрию. Мне и ещё небольшой группе солдат удалось бежать. Мы решили поодиночке перейти линию фронта и сдаться в плен».</w:t>
      </w:r>
    </w:p>
    <w:p w14:paraId="40C05F4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патриоты подожгли в Марселе склады с военными материалами, предназначавшимися для итало-германской армии в Африке. Возник огромный пожар. В течение нескольких дней порт и все прилегающие районы были окутаны клубами дыма.</w:t>
      </w:r>
    </w:p>
    <w:p w14:paraId="2F13330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Успешно выполнил июньский план коллектив завода Наркомата боеприпасов, где директором тов. Невструев. Завод продолжает работать строго по графику, с нарастающим подъёмом. За семь дней июля месяца коллектив завода перевыполнил задание по всем видам продукции на 33,3 процента.» (14948).</w:t>
      </w:r>
    </w:p>
    <w:p w14:paraId="0E997B66"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311FA21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в 1942 году вечернее сообщение Совинформбюро:</w:t>
      </w:r>
    </w:p>
    <w:p w14:paraId="259A226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10 июля западнее Воронежа продолжались ожесточённые бои.</w:t>
      </w:r>
    </w:p>
    <w:p w14:paraId="2525846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оставили город Россошь, бои происходили в районе Кантемировка.</w:t>
      </w:r>
    </w:p>
    <w:p w14:paraId="2B565BB6"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Лисичанском направлении завязались бои с перешедшими в наступление войсками противника.</w:t>
      </w:r>
    </w:p>
    <w:p w14:paraId="2B09103D"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15C0B3B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9 июля частями нашей авиации на различных участках фронта уничтожено или повреждено 55 немецких танков, 230 автомашин с войсками и грузами, подавлен огонь 2 дивизионов полевой и зенитной артиллерии, взорвано два склада сбоеприпасами, разбит железнодорожный состав, потоплена канонерская лодка и повреждены миноносец, две канонерских лодки и два катера, рассеяно и частью уничтожено до полка пехоты противника.</w:t>
      </w:r>
    </w:p>
    <w:p w14:paraId="1CBAB51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западнее Воронежа продолжались напряжённые бои. Бойцы части под командованием тов. Мазнеченко стойко обороняли один населённый пункт, который несколько раз был атакован противником. В этом бою, часто переходившем в рукопашную схватку, уничтожено свыше 300 немецких солдат и офицеров, захвачены 7 автомашин, противотанковая пушка, пулемёты и несколько десятков тысяч патронов. В напряжённый момент боя пулемёт противника задержал продвижение нашей пехоты. Лейтенант Синельников, вооружившись гранатами, подполз к вражескому пулемётному гнезду и уничтожил пулемётчика. Повернув пулемёт в сторону противника, он расстрелял несколько десятков гитлеровцев. На другом участке в течение трёх дней продолжались ожесточённые бои за крупный населённый пункт и железнодорожную станцию, которые неоднократно переходили из рук в руки. Только за день противник потерял на этом участке более 600 солдат и офицеров. Населённый пункт и станция к исходу дня удерживались нашими войсками.</w:t>
      </w:r>
    </w:p>
    <w:p w14:paraId="41C11B4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двух суток наши войска вели непрерывные и напряжённые бои в районе города Россошь. Противник на этом направлении бросил крупные силы танков и мотопехоты. После упорных боёв наши части под давлением противника отошли на новый оборонительный рубеж.</w:t>
      </w:r>
    </w:p>
    <w:p w14:paraId="283F4A6E"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Артиллеристы-гвардейцы под командованием тов. Гришина (Калининский фронт) за последние дни уничтожили до тысячи немецких солдат и офицеров, 3 танка, 14 автомашин с грузом, 6 станковых пулемётов, орудийную батарею и подавили огонь 3 орудийных и 3 миномётных батарей. На этом же участке артиллеристы части, гдекомандиром тов. Пушкарёв, уничтожили 400 гитлеровцев и подбили 16 немецких танков.</w:t>
      </w:r>
    </w:p>
    <w:p w14:paraId="1F17322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Разведчики тт. Шаповалов и Шатов во время боя проникли в деревню, занятую немцами. Старик-колхозник указал бойцам, где расположен штаб немецкой части. Наши бойцы ворвались в помещение штаба, гранатами уничтожили группу офицеров и захватили важные документы.</w:t>
      </w:r>
    </w:p>
    <w:p w14:paraId="57ECEED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течение дня снайперы Н-ской части уничтожили 101 гитлеровца. Снайперы тт. Григорьев и Осадчий истребили 14 немецких оккупантов. Снайперы тт. Самодуров, Петрусев, Павленко и Гулин уничтожили по четыре гитлеровца каждый.</w:t>
      </w:r>
    </w:p>
    <w:p w14:paraId="3793B00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Брянские партизаны в последних боях с оккупантами уничтожили 770 солдат и офицеров противника. Партизаны пустили под откос 2 железнодорожных эшелона и сожгли немецкий танк.</w:t>
      </w:r>
    </w:p>
    <w:p w14:paraId="37D4FB66"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 Н-ской части, действующей на Ленинградском фронте, составила акт о чудовищном злодеянии немецко-фашистских извергов. В акте указывается, чтона одном из участков в захваченном у немцев блиндаже обнаружено пять трупов красноармейцев и командиров Красной Армии. Личность погибших установить не удалось. Все трупы носят следы страшных пыток. У одного красноармейца отрублены обе руки. У второго красноармейца шея туго перетянута портянками. У трёхостальных бойцов выколоты глаза, сожжены волосы и имеются следы удушения. Акт подписали: старший политрук Смолин, военврач третьего ранга Варваркин, старший лейтенант Вохминов, красноармейцы Смахтин, Игнатьев, Урастемиров и Овченков.</w:t>
      </w:r>
    </w:p>
    <w:p w14:paraId="00BD3F6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Польские партизаны в окрестностях одного города разгромили отряд гестапо. Убито 50 оккупантов. В стычке с партизанами в лесу убито свыше десяти гитлеровцев, в том числе руководитель гестапо Петроковского округа.</w:t>
      </w:r>
    </w:p>
    <w:p w14:paraId="77358FCE"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Ферраре (Италия) сгорели большие склады вооружения. Попытки фашистских властей обнаружить виновных оказались безуспешными.</w:t>
      </w:r>
    </w:p>
    <w:p w14:paraId="5CDABFAE"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где директором Герой Социалистического Труда тов. Быховский, перевыполнил июньский план выпуска вооружения и продолжает работать по установленному графику. Цехи, где начальниками тт. Струнников и Палкин, дали фронту значительное количество боевой техники сверх плана. За последние несколько месяцев коллектив завода обучил 1.000 женщин вторым, более сложным специальностям.» (14948).</w:t>
      </w:r>
    </w:p>
    <w:p w14:paraId="4EF86687"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2A822D9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10 июля в 1942 году подводя итог штурму Севастополя, разведотдел штаба 30-го армейского корпуса в донесении командованию 11-й немецкой армии сообщил о 119 тысяч взятых в плен советских военнослужащих. В число пленных включено все мужское население Севастополя от подростков до 60-летних (14948).</w:t>
      </w:r>
    </w:p>
    <w:p w14:paraId="5F1C1747"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53B5F0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огнем истребителей Пе-3 был сбит и упал в Баренцево море Ju 88А № 882130, который пилотировал командир 1/KG30 капитан Э. Шродер (12042).</w:t>
      </w:r>
    </w:p>
    <w:p w14:paraId="05DF47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1B61B" w14:textId="77777777" w:rsidR="00093471" w:rsidRPr="00722885" w:rsidRDefault="00093471" w:rsidP="00722885">
      <w:pPr>
        <w:pStyle w:val="36"/>
        <w:shd w:val="clear" w:color="auto" w:fill="auto"/>
        <w:spacing w:after="0" w:line="240" w:lineRule="auto"/>
        <w:jc w:val="both"/>
        <w:rPr>
          <w:rFonts w:ascii="Times New Roman" w:cs="Times New Roman"/>
          <w:color w:val="0070C0"/>
          <w:spacing w:val="0"/>
          <w:sz w:val="16"/>
          <w:szCs w:val="16"/>
        </w:rPr>
      </w:pPr>
      <w:r w:rsidRPr="00722885">
        <w:rPr>
          <w:rFonts w:ascii="Times New Roman" w:cs="Times New Roman"/>
          <w:color w:val="0070C0"/>
          <w:spacing w:val="0"/>
          <w:sz w:val="16"/>
          <w:szCs w:val="16"/>
        </w:rPr>
        <w:t>10-го июля 1942 шестерка, ведомая буду</w:t>
      </w:r>
      <w:r w:rsidRPr="00722885">
        <w:rPr>
          <w:rFonts w:ascii="Times New Roman" w:cs="Times New Roman"/>
          <w:color w:val="0070C0"/>
          <w:spacing w:val="0"/>
          <w:sz w:val="16"/>
          <w:szCs w:val="16"/>
        </w:rPr>
        <w:softHyphen/>
        <w:t>щим дважды Героем Н.Г. Степаняном, вылетела для нанесения удара по двум финским канонерским лодкам и четырем кате</w:t>
      </w:r>
      <w:r w:rsidRPr="00722885">
        <w:rPr>
          <w:rFonts w:ascii="Times New Roman" w:cs="Times New Roman"/>
          <w:color w:val="0070C0"/>
          <w:spacing w:val="0"/>
          <w:sz w:val="16"/>
          <w:szCs w:val="16"/>
        </w:rPr>
        <w:softHyphen/>
        <w:t>рам, которые обстреливали советские позиции на острове Соммерс. По пути отстал ст. л-т Карбуков, поэтому на цель вышли пять машин, отработавших бомбами и «эрэсами». По возвращении ведущий доложил о повреждении одной канонерки и о сильном ответном огне. На самом деле они атаковали свои дозорные катера МО-Ю1 и МО-ЮЗ. Их экипажи, поняв, что к чему, ответного огня не открывали и выложили на палубах опознавательные знаки «Я свой!». Но ... Опытный ведущий, представленный к званию Героя, почему-то их проигнорировал. Пять раз «Илы» атаковали катера, но, к счастью, не добились ни одного попадания. При повторном вылете штурмовики действительно вышли на про</w:t>
      </w:r>
      <w:r w:rsidRPr="00722885">
        <w:rPr>
          <w:rFonts w:ascii="Times New Roman" w:cs="Times New Roman"/>
          <w:color w:val="0070C0"/>
          <w:spacing w:val="0"/>
          <w:sz w:val="16"/>
          <w:szCs w:val="16"/>
        </w:rPr>
        <w:softHyphen/>
        <w:t xml:space="preserve">тивника и один из выпущенных </w:t>
      </w:r>
      <w:r w:rsidRPr="00722885">
        <w:rPr>
          <w:rFonts w:ascii="Times New Roman" w:cs="Times New Roman"/>
          <w:color w:val="0070C0"/>
          <w:spacing w:val="0"/>
          <w:sz w:val="16"/>
          <w:szCs w:val="16"/>
          <w:lang w:val="en-US"/>
        </w:rPr>
        <w:t>PC</w:t>
      </w:r>
      <w:r w:rsidRPr="00722885">
        <w:rPr>
          <w:rFonts w:ascii="Times New Roman" w:cs="Times New Roman"/>
          <w:color w:val="0070C0"/>
          <w:spacing w:val="0"/>
          <w:sz w:val="16"/>
          <w:szCs w:val="16"/>
        </w:rPr>
        <w:t>-132 даже повредил немецкий тральщик М-17, прибывший на поддержку финнов (19854).</w:t>
      </w:r>
    </w:p>
    <w:p w14:paraId="11F4017A" w14:textId="77777777" w:rsidR="00093471" w:rsidRPr="00722885" w:rsidRDefault="00093471" w:rsidP="00722885">
      <w:pPr>
        <w:pStyle w:val="36"/>
        <w:shd w:val="clear" w:color="auto" w:fill="auto"/>
        <w:spacing w:after="0" w:line="240" w:lineRule="auto"/>
        <w:jc w:val="both"/>
        <w:rPr>
          <w:rFonts w:ascii="Times New Roman" w:cs="Times New Roman"/>
          <w:color w:val="0070C0"/>
          <w:spacing w:val="0"/>
          <w:sz w:val="16"/>
          <w:szCs w:val="16"/>
        </w:rPr>
      </w:pPr>
    </w:p>
    <w:p w14:paraId="61B404F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подводя итог штурму Севастополя, разведотдел штаба 30-го армейского корпуса в донесении командованию 11-й немецкой армии сообщил о 119 тыс. взятых в плен советских военнослужащих. В число пленных включено все мужское население Севастополя от подростков до 60-летних (4963 ).</w:t>
      </w:r>
    </w:p>
    <w:p w14:paraId="522F97D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E1666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немецкие войска форсировали Дон (4962).</w:t>
      </w:r>
    </w:p>
    <w:p w14:paraId="10225FF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7C1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10th, 1942: In the East, armored units of 4.Panzerarmee (Hoth) and 6.Armee (Paulus) of Heeresgruppe B (von Weichs) join up N of Kalach on the Don, while 17.Armee (Ruoff) and 1.Panzerarmee (von Kleist) of Heeresgruppe A (List) continue their advance toward Rostov (3819).</w:t>
      </w:r>
    </w:p>
    <w:p w14:paraId="375CC5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FED7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бронечасти 4ТА (Гот) и 6А (Паулюс) группы Б (Вайс) соединились у Калача на Дону, а 17А (Руоф) и 1ТА (фон Клейст) группы А (лист) продолжили наступление на Ростов (3819).</w:t>
      </w:r>
    </w:p>
    <w:p w14:paraId="579AB0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6D86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появилось письмо Командующего Мурманского дивизионного района ПВО п Иванова командиру 122 иад:</w:t>
      </w:r>
    </w:p>
    <w:p w14:paraId="58C71F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правильного учета сбитых самолетов противника и правильной информации ГК КА приказало самолеты противника считать сбитыми после подтверждения:</w:t>
      </w:r>
    </w:p>
    <w:p w14:paraId="6A0F78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Постами ВНОС или НП ЗА;</w:t>
      </w:r>
    </w:p>
    <w:p w14:paraId="6E99C5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Группы л, видевших падение самолета противника разведкой после боя.</w:t>
      </w:r>
    </w:p>
    <w:p w14:paraId="1C419E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окончательного утверждения о сбитии самолета противника представлять материал на сбитого самолета в штаб МДР ПВО (3796).</w:t>
      </w:r>
    </w:p>
    <w:p w14:paraId="1C67529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8AE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вышло Постановление ГКО № 2006 О дивизионах М-30. РГАНИР, Фонд ГКО, д. 42, лл. 151 (11012).</w:t>
      </w:r>
    </w:p>
    <w:p w14:paraId="0DB39B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B31EC"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в 1942 году (10 - 15 июля) Гитлер прибыл в Винницу, где была оборудована его военная ставка на Восточном Фронте – «Верфольф» (14948).</w:t>
      </w:r>
    </w:p>
    <w:p w14:paraId="4B96F1FE"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78CE6D25"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Жизнь и внутренняя политика:</w:t>
      </w:r>
    </w:p>
    <w:p w14:paraId="223E16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EE7843"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вышло Постановление ГКО № 2005 О мобилизации молодежи в прифронтовых районах Воронежской, Ворошиловградской, Орловской, Курской, Калининской, Тульской, Ростовской и Смоленской областей для производственного обучения в ремесленных, железнодорожных училищах и школах ФЗО. (7041, 150).</w:t>
      </w:r>
    </w:p>
    <w:p w14:paraId="51886C12"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6BE2F"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Внешняя политика:</w:t>
      </w:r>
    </w:p>
    <w:p w14:paraId="0CDB148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AE3D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года было получено:</w:t>
      </w:r>
    </w:p>
    <w:p w14:paraId="766911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ЧЕРЧИЛЛЬ И. В. СТАЛИНУ *</w:t>
      </w:r>
    </w:p>
    <w:p w14:paraId="37D756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 только что узнал от Президента Рузвельта о том, что Вы дали согласие на отправку нашим вооруженным силам в Египте 40 бомбардировщиков “Бостон”, прибывших в Басру по пути к Вам.</w:t>
      </w:r>
    </w:p>
    <w:p w14:paraId="5B1DC8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нынешнее время было трудно обращаться к Вам с такой просьбой, и я весьма обязан Вам за Ваш быстрый и великодушный ответ. Они направляются прямо в бой, где наши самолеты наносят тяжелый урон противнику (7430).</w:t>
      </w:r>
    </w:p>
    <w:p w14:paraId="208EE3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39E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были установлены дипотношения между СССР и Нидерландами (3186).</w:t>
      </w:r>
    </w:p>
    <w:p w14:paraId="19D55D7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E549A"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08B0534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781253"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июля в 1942 году совершил первый вылет пассажирский вариант самолета – </w:t>
      </w:r>
      <w:hyperlink r:id="rId15" w:tgtFrame="_blank" w:history="1">
        <w:r w:rsidRPr="00722885">
          <w:rPr>
            <w:rFonts w:ascii="Times New Roman" w:hAnsi="Times New Roman"/>
            <w:color w:val="000000" w:themeColor="text1"/>
            <w:sz w:val="16"/>
            <w:szCs w:val="16"/>
          </w:rPr>
          <w:t xml:space="preserve">«Р.108С». </w:t>
        </w:r>
      </w:hyperlink>
      <w:r w:rsidRPr="00722885">
        <w:rPr>
          <w:rFonts w:ascii="Times New Roman" w:hAnsi="Times New Roman"/>
          <w:color w:val="000000" w:themeColor="text1"/>
          <w:sz w:val="16"/>
          <w:szCs w:val="16"/>
        </w:rPr>
        <w:t>Хотя Италия в первую очередь нуждалась в бомбардировщиках, собрали пять таких машин. Но шла война, и итальянской авиации было явно не до авиалайнеров, поэтому все «Р.108С» попали в 248-ю отдельную транспортную эскадрилью. Герметизация салона была уже не нужна, а вместо мягких кресел установили скамейки для 56 десантников. На борту появилась грузовая дверь. Пол был усилен для перевозки тяжелого оборудования. Специально для грузовых полетов разработали транспортный вариант «Р.108Т», аналогичный доработанному «Р.108С». Четырнадцать таких самолетов появились в ВВС Италии (14948).</w:t>
      </w:r>
    </w:p>
    <w:p w14:paraId="6C63EF30"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50DBFA26"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июля в 1942 году военные выдали фирме «Curtiss-Wright» контракт на постройку трех прототипов «Cw 24В» истребителя-перехватчика </w:t>
      </w:r>
      <w:hyperlink r:id="rId16" w:tgtFrame="_blank" w:history="1">
        <w:r w:rsidRPr="00722885">
          <w:rPr>
            <w:rFonts w:ascii="Times New Roman" w:hAnsi="Times New Roman"/>
            <w:color w:val="000000" w:themeColor="text1"/>
            <w:sz w:val="16"/>
            <w:szCs w:val="16"/>
          </w:rPr>
          <w:t xml:space="preserve">«P-55» «Ascender». </w:t>
        </w:r>
      </w:hyperlink>
      <w:r w:rsidRPr="00722885">
        <w:rPr>
          <w:rFonts w:ascii="Times New Roman" w:hAnsi="Times New Roman"/>
          <w:color w:val="000000" w:themeColor="text1"/>
          <w:sz w:val="16"/>
          <w:szCs w:val="16"/>
        </w:rPr>
        <w:t>Новый истребитель получил обозначение «ХР-55» и имя "Асендер" (набирающий высоту). Он представлял свободнонесущий цельнометаллический низкоплан с передним горизонтальным оперением довольно небольшой площади и крылом стреловидностью 35 град, по передней кромке. Примерно на 3/4 размаха каждого крыла располагались треугольные вертикальные кили с рулями направления. На внешней части крыла (за килями) были установлены элероны, а на внутренней - закрылки. В хвостовой части фюзеляжа, за кабиной пилота, находился двигатель «Аллисон» «V-1710-95» взлетной мощностью 1275 л. с, который выбрали после отказа от разработки мотора «Х-1800». Первоначально предполагалось установить два соосных винта, но потом выбрали один, трехлопастный, который мог сбрасываться при аварийном покидании кабины. Воздухозаборник над двигателем и радиатор под ним образовывали вертикальное оперение. В ходе создания «ХР-55» построили полноразмерный макет, а в конструкцию самолета не раз вносились изменения. С целью улучшения обзора неоднократно менялось остекление кабины, было установлено бронестекло и уменьшен запас топлива. Первый "Асендер", еще без вооружения, доставили из сборочного цеха на аэродром СкотФилд штат Иллинойс 10 июля 1943 года. На следующий день начались наземные испытания, а 13 июля пилот Харви Грей поднял этот необычный истребитель в воздух (14948).</w:t>
      </w:r>
    </w:p>
    <w:p w14:paraId="22186B6F"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1DDE3CD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июля в 1942 году подписан контракт под номером АС-28120 относительно развития нового проекта, получившего название «Vega» «Model V-134-1». Поскольку самолет нового проекта значительно отличался от стандартного «B-17E», то он получил новое обозначение с другим числом ряда – «XB-38». Для изучения конструкции «Flying Fortress» в процессе освоения производства в составе объединения B.V.D., фирме «Vega» был передан девятый серийный самолет «B-17E» (серийный номер 41-2401). Впоследствии этот самолет и использовали для переоборудования в «XB-38». </w:t>
      </w:r>
      <w:hyperlink r:id="rId17" w:tgtFrame="_blank" w:history="1">
        <w:r w:rsidRPr="00722885">
          <w:rPr>
            <w:rFonts w:ascii="Times New Roman" w:hAnsi="Times New Roman"/>
            <w:color w:val="000000" w:themeColor="text1"/>
            <w:sz w:val="16"/>
            <w:szCs w:val="16"/>
          </w:rPr>
          <w:t xml:space="preserve">«B-38» </w:t>
        </w:r>
      </w:hyperlink>
      <w:r w:rsidRPr="00722885">
        <w:rPr>
          <w:rFonts w:ascii="Times New Roman" w:hAnsi="Times New Roman"/>
          <w:color w:val="000000" w:themeColor="text1"/>
          <w:sz w:val="16"/>
          <w:szCs w:val="16"/>
        </w:rPr>
        <w:t>- дальний бомбардировщик, разработанный американской фирмой «Lockheed Vega» на базе дальнего бомбардировщика «Boeing» «B-17». С одним из участников объединения B.V.D. - отделением «Vega» компании «Lockheed», USAAF заключили контракт на переоборудование одного планера «B-17E» 12-цилиндровыми V-образными двигателями жидкостного охлаждения «Allison» «V-1710-89 «мощностью 1425 л.с., применявшимися на истребителе «Lockheed» «P-38» (14948).</w:t>
      </w:r>
    </w:p>
    <w:p w14:paraId="71D0004E"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6BFFF514" w14:textId="77777777" w:rsidR="006375A9" w:rsidRPr="00722885" w:rsidRDefault="006375A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июля 1942 года состоялся первый полет Douglas A-26 Invader (20793).</w:t>
      </w:r>
    </w:p>
    <w:p w14:paraId="5569E498" w14:textId="77777777" w:rsidR="006375A9" w:rsidRPr="00722885" w:rsidRDefault="006375A9" w:rsidP="00722885">
      <w:pPr>
        <w:spacing w:after="0" w:line="240" w:lineRule="auto"/>
        <w:jc w:val="both"/>
        <w:rPr>
          <w:rFonts w:ascii="Times New Roman" w:hAnsi="Times New Roman"/>
          <w:color w:val="0070C0"/>
          <w:sz w:val="16"/>
          <w:szCs w:val="16"/>
        </w:rPr>
      </w:pPr>
    </w:p>
    <w:p w14:paraId="53A89D2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июля в 1942 году первый полет прототип </w:t>
      </w:r>
      <w:hyperlink r:id="rId18" w:tgtFrame="_blank" w:history="1">
        <w:r w:rsidRPr="00722885">
          <w:rPr>
            <w:rFonts w:ascii="Times New Roman" w:hAnsi="Times New Roman"/>
            <w:color w:val="000000" w:themeColor="text1"/>
            <w:sz w:val="16"/>
            <w:szCs w:val="16"/>
          </w:rPr>
          <w:t xml:space="preserve">«XA-26-DE» </w:t>
        </w:r>
      </w:hyperlink>
      <w:r w:rsidRPr="00722885">
        <w:rPr>
          <w:rFonts w:ascii="Times New Roman" w:hAnsi="Times New Roman"/>
          <w:color w:val="000000" w:themeColor="text1"/>
          <w:sz w:val="16"/>
          <w:szCs w:val="16"/>
        </w:rPr>
        <w:t>(серийный номер № 41-19504), американского ударного самолета «Douglas» «XA-26» «Invader», оснащенного двумя двигателями «Pratt&amp;Whitney» «R-2800-27» взлетной мощностью 2000 л.с., расположенными в больших подкрыльных гондолах, под управлением летчика-испытателя Бена Ховарда (Ben O.Howard). Двигатели приводили во вращение трехлопастные воздушные винты изменяемого шага с большими обтекателями. Первый полет прошел без проблем, что побудило Ховарда сообщить представителям Авиакорпуса армии СШA, что самолет готов к выполнении своих обязанностей. К сожалению его восторженная оценка была нереалистична, и до поступления «A-26» на вооружение прошло еще около двух лет (14948).</w:t>
      </w:r>
    </w:p>
    <w:p w14:paraId="06A0F14E"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2BBFC8E2" w14:textId="77777777" w:rsidR="006375A9" w:rsidRPr="00722885" w:rsidRDefault="006375A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июля 1942 главнокомандующий ВМС США, адмирал Эрнест Дж Кинг, упорядочивает работу морских пограничных командиров ВМС США, чтобы создать систему, при которой коммерческие авиаторы могут сообщать о результатах наблюдений за п/л. К ноябрю в работе принимают участие пять крупнейших американских авиакомпаний, Naval Air Transport Service, Air Command Transport Армии США и британские летающие лодки на трансатлантических маршрутах.</w:t>
      </w:r>
    </w:p>
    <w:p w14:paraId="778A3E25" w14:textId="77777777" w:rsidR="006375A9" w:rsidRPr="00722885" w:rsidRDefault="006375A9" w:rsidP="00722885">
      <w:pPr>
        <w:spacing w:after="0" w:line="240" w:lineRule="auto"/>
        <w:jc w:val="both"/>
        <w:rPr>
          <w:rFonts w:ascii="Times New Roman" w:hAnsi="Times New Roman"/>
          <w:color w:val="0070C0"/>
          <w:sz w:val="16"/>
          <w:szCs w:val="16"/>
        </w:rPr>
      </w:pPr>
    </w:p>
    <w:p w14:paraId="6755E98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1942 нацистские доктора в Освенциме выбрали около 100 узниц для медицинских экспериментов (4962).</w:t>
      </w:r>
    </w:p>
    <w:p w14:paraId="65ED59C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9A10CA"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7A830B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6FFD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Бендерский подготовил Справку по Основным производственным дефектам по самолетам Ил-2 (1649,288).</w:t>
      </w:r>
    </w:p>
    <w:p w14:paraId="33654B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производственные дефекты по самолетам Ил-2</w:t>
      </w:r>
    </w:p>
    <w:p w14:paraId="50197D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Течь труб водосистемы, идущих к радиатору в местах сварных швов, вследствие некачественной сварки. Дефект массовый, приводит к вытеканию воды из системы, к перегреву мотора и невыполнения боевого задания.</w:t>
      </w:r>
    </w:p>
    <w:p w14:paraId="7CE96CB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Течь горючего из бензопроводки вследствие плохого качества монтажа. Дефект массовый, не исключена возможность пожара в воздухе.</w:t>
      </w:r>
    </w:p>
    <w:p w14:paraId="21FC45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Травление воздушной системы вследствие ее негерметичности, особенно при низких температурах. Дефект массовый, приводящий к отказам пневмосистемы и тормозов.</w:t>
      </w:r>
    </w:p>
    <w:p w14:paraId="65F99E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Трещины среднего узла ломающегося подкоса шасси. Дефект в основном на продукции завода 18.</w:t>
      </w:r>
    </w:p>
    <w:p w14:paraId="34504C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Разрыв маслопетрофлексов, идущих к радиатору, вследствие плохого качества и плохой заделки наконечников (только на Брянском фронте в январе зафиксировано 12 случаев). Дефект массовый, приводит к срыву выполнения боевых заданий, авариям моторов и самолетов.</w:t>
      </w:r>
    </w:p>
    <w:p w14:paraId="078E81F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Выбрасывание масла из РС-7 и замасливание козырька пилота - дефект массовый, приводящий к ухудшению обзора вперед, что снижает боевые качества самолета.</w:t>
      </w:r>
    </w:p>
    <w:p w14:paraId="011C0BE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Срез крепления бронированных капотов и люков из-за плохой подгонки</w:t>
      </w:r>
    </w:p>
    <w:p w14:paraId="2C01D2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Трещины передних кронштейнов крепления пулеметов ШКАС в местах сварки</w:t>
      </w:r>
    </w:p>
    <w:p w14:paraId="5CE8A4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Лопаются бронированные шланги тормозов (на самолетах завода 18). Только в 606 шап зарегистрировано 9 случаев</w:t>
      </w:r>
    </w:p>
    <w:p w14:paraId="63F6B3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Проколы тормозной камеры вследствие небрежного монтажа пружины, скрепляющей тормозные секции (на самолетах завода 19). В 606 шап обнаружено 8 случаев.</w:t>
      </w:r>
    </w:p>
    <w:p w14:paraId="0A4990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Заплывают лобовые стекла фонаря л (появление режущих цветов), вследствие накачественного материала склейки. дефект выявлен на последних самолетах выпуска завода 16. искажает обзор вперед и снижает боевые качества самолетов.</w:t>
      </w:r>
    </w:p>
    <w:p w14:paraId="434A9D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Дефекты в п. 4, 7, 8, 9, 10 приводят к преждевременному выходу матчасти из строя и срыву боевых заданий.</w:t>
      </w:r>
    </w:p>
    <w:p w14:paraId="208584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Составлено по материалам инспекции ВВС КА - о конструктивно-производственных дефектах самолета Ил-2, выявленных в процессе эксплуатации за 1 кв. 1942.</w:t>
      </w:r>
    </w:p>
    <w:p w14:paraId="3D3A48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Верно: Бендерский (1649,288).</w:t>
      </w:r>
    </w:p>
    <w:p w14:paraId="000A69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779E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А.С.Я. писал письмо N Н-36/2655 ГИ ВВС Репину:</w:t>
      </w:r>
    </w:p>
    <w:p w14:paraId="4A1985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обеспечения самолетов устройствами для защиты от обледенения, приказом НКАП от 2 июля с.г. заводы 84, 23 и 22 обязаны оборудовать по одному самолету противообледенителями и провести их испытания при непосредственном участии ЛИИ и НИИ ВВС в следующие сроки:</w:t>
      </w:r>
    </w:p>
    <w:p w14:paraId="5016FF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84 по ПС-84 - окончание монтажа - 15 июля, испытания - к 15 августа</w:t>
      </w:r>
    </w:p>
    <w:p w14:paraId="1D6680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23 по Ил-4 - 1 августа, 1 сентября</w:t>
      </w:r>
    </w:p>
    <w:p w14:paraId="0067D2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22 по Пе-2 - 1 августа, 1 сентября (1633,143).</w:t>
      </w:r>
    </w:p>
    <w:p w14:paraId="29FC87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DABF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г. А.И.Репин утвердил Заключение на проект истребителя на базе Су-6 М-71Ф. Самолет не получил одобрения из-за низких летных данных. Схема бронирования почему-то тоже оценили как неудовлетворительную. Тем не менее истребитель начали строить, однако дальнейшего развития не последовало. Он мог бы успешно использоваться для борьбы с более скоростными модификациями самолета Ju-88, имевшими и более мощное оборонительное вооружение. Но ко времени реальной постройки истребителя эти немецкие самолеты стали исчезать с Восточного фронта. К решению бомбардировочных задач все чаще привлекались Не 111 и истребители-бомбардировщики FW 190, успешными противниками которых являлись Ла-7 и Як-9 с мотор-пушками 37-мм калибра (6406).</w:t>
      </w:r>
    </w:p>
    <w:p w14:paraId="7DE098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2E40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года Главный инженер ВВС КА генерал-лейтенант А.И. Репин утвердил «Заключение по эскизному проекту одномоторного одноместного пушечного истребителя с М-71 П.О.С.».</w:t>
      </w:r>
    </w:p>
    <w:p w14:paraId="1D33E20D"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Согласно эскизному проекту самолет предназначался для ведения активного воздушного боя с самолетами противника, а в перегрузочном варианте мог использоваться для борьбы с </w:t>
      </w:r>
      <w:hyperlink r:id="rId19"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ами противника.</w:t>
      </w:r>
    </w:p>
    <w:p w14:paraId="6A73D4F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являясь уменьшенным (по размерам и массе) аналогом одноместного штурмовика Су-6, представлял собой свободнонесущий моноплан смешанной конструкции, с низко расположенным крылом, нормальным оперением и убирающимся в полете шасси.</w:t>
      </w:r>
    </w:p>
    <w:p w14:paraId="78BD725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Фюзеляж - типа монокок, выклеен из шпона. Внутри фюзеляжа, под полом кабины пилота располагался бензобак на 400 кг топлива. Крышка фонаря кабины откидывалась вправо. В обтекателе фонаря были предусмотрены окна для обзора задней полусферы. В хвостовой части фюзеляжа размещалось радиооборудование, кислородный баллон, аккумулятор и т.д.</w:t>
      </w:r>
    </w:p>
    <w:p w14:paraId="16D9AFA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Крыло двухлонжеронной конструкции состояло из центроплана и двух отъемных консолей. Центроплан имел цельнометаллическую конструкцию, а консоли - смешанную (лонжерон - металл, нервюры, стрингеры и обшивка - дерево). Элероны - каркас металлический, обтянутый полотном, на левом элероне - триммер. Для обеспечения боковой устойчивостью на закритических углах атаки крыло имело автоматические предкрылки.</w:t>
      </w:r>
    </w:p>
    <w:p w14:paraId="38339CE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Стабилизатор и киль были выполнены из дерева, причем киль — заодно с фюзеляжем. Стабилизатор вставлялся в специальный вырез в хвостовой части и крепился по контуру болтами. Рули металлические с полотняной обшивкой, имели весовую компенсацию и были снабжены триммерами.</w:t>
      </w:r>
    </w:p>
    <w:p w14:paraId="2F17864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Шасси - трехопорное с хвостовым колесом. Основные опоры убирались в центроплан назад, с поворотом колес на 90°. Уборка и выпуск шасси при помощи гидросистемы.</w:t>
      </w:r>
    </w:p>
    <w:p w14:paraId="34879116"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Двигатель М-71 (Nвзл=2000 л.с.) крепился к стальной сварной мотораме. Патрубки выхлопного коллектора - реактивного типа. Регулировка охлаждения цилиндров двигателя осуществлялась при помощи подвижных «юбок». Всасывающий патрубок приводного центробежного нагнетателя располагался над мотором и вписывался в контур капота. Масляные радиаторы размещались в центроплане, температура масла регулировалась створками.</w:t>
      </w:r>
    </w:p>
    <w:p w14:paraId="4FD5C86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самолета в нормальном варианте состояло из двух крыльевых пушек ВЯ-23 с суммарным боезапасом 160 патронов и синхронного пулемета БС-12,7 с боезапасом 300 патронов.</w:t>
      </w:r>
    </w:p>
    <w:p w14:paraId="5776790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Пилот был защищен от обстрела сзади бронеспинкой толщиной 12 мм и заголовником — 8 мм. Защита спереди — прозрачная броня, двигатель и стальной щиток толщиной 8 мм.</w:t>
      </w:r>
    </w:p>
    <w:p w14:paraId="770DD84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расчетные данные истребителя с М-71</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9B487A" w:rsidRPr="00722885" w14:paraId="5F671C12" w14:textId="77777777" w:rsidTr="00627011">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9303593"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самолета, мм</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7984316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8830</w:t>
            </w:r>
          </w:p>
        </w:tc>
      </w:tr>
      <w:tr w:rsidR="009B487A" w:rsidRPr="00722885" w14:paraId="70A525D9"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1ACC37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BD39FC5"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12100</w:t>
            </w:r>
          </w:p>
        </w:tc>
      </w:tr>
      <w:tr w:rsidR="009B487A" w:rsidRPr="00722885" w14:paraId="5FB690F5"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AA9FB8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м2</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6225F8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22,5</w:t>
            </w:r>
          </w:p>
        </w:tc>
      </w:tr>
      <w:tr w:rsidR="009B487A" w:rsidRPr="00722885" w14:paraId="389134FC" w14:textId="77777777" w:rsidTr="00627011">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9E3F093"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Масса самолета, кг</w:t>
            </w:r>
          </w:p>
        </w:tc>
      </w:tr>
      <w:tr w:rsidR="009B487A" w:rsidRPr="00722885" w14:paraId="09C67289"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5AA6B8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пустого</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5EB2A66"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2967</w:t>
            </w:r>
          </w:p>
        </w:tc>
      </w:tr>
      <w:tr w:rsidR="009B487A" w:rsidRPr="00722885" w14:paraId="42E020FA"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D249F5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нормальная полетная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1011DC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3775</w:t>
            </w:r>
          </w:p>
        </w:tc>
      </w:tr>
      <w:tr w:rsidR="009B487A" w:rsidRPr="00722885" w14:paraId="4D7919FB" w14:textId="77777777" w:rsidTr="00627011">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B5DEDD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км/ч</w:t>
            </w:r>
          </w:p>
        </w:tc>
      </w:tr>
      <w:tr w:rsidR="009B487A" w:rsidRPr="00722885" w14:paraId="1999CFA7"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E68EB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CFE0F3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502</w:t>
            </w:r>
          </w:p>
        </w:tc>
      </w:tr>
      <w:tr w:rsidR="009B487A" w:rsidRPr="00722885" w14:paraId="27156731"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CBFEF0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Н=6000м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A4152E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602</w:t>
            </w:r>
          </w:p>
        </w:tc>
      </w:tr>
      <w:tr w:rsidR="009B487A" w:rsidRPr="00722885" w14:paraId="335434EC"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B249A63"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Н=5000 м, мин</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643D52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w:t>
            </w:r>
          </w:p>
        </w:tc>
      </w:tr>
      <w:tr w:rsidR="009B487A" w:rsidRPr="00722885" w14:paraId="60C591A3"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07F04B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виража на Н=0 м, 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3E4EF8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20,6</w:t>
            </w:r>
          </w:p>
        </w:tc>
      </w:tr>
      <w:tr w:rsidR="009B487A" w:rsidRPr="00722885" w14:paraId="3A5CB9A1"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6710FA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A715F2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10500</w:t>
            </w:r>
          </w:p>
        </w:tc>
      </w:tr>
      <w:tr w:rsidR="009B487A" w:rsidRPr="00722885" w14:paraId="19AC5B8A"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24A3A7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Дальность полета на V=0.9Vmax.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4B2C7E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700</w:t>
            </w:r>
          </w:p>
        </w:tc>
      </w:tr>
      <w:tr w:rsidR="009B487A" w:rsidRPr="00722885" w14:paraId="696866D4"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4407675"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разбега,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80D184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223</w:t>
            </w:r>
          </w:p>
        </w:tc>
      </w:tr>
    </w:tbl>
    <w:p w14:paraId="653DBE76"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(15578).</w:t>
      </w:r>
    </w:p>
    <w:p w14:paraId="0CC0A0D8"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54E7282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года Главный ин</w:t>
      </w:r>
      <w:r w:rsidRPr="00722885">
        <w:rPr>
          <w:rFonts w:ascii="Times New Roman" w:hAnsi="Times New Roman"/>
          <w:color w:val="000000" w:themeColor="text1"/>
          <w:sz w:val="16"/>
          <w:szCs w:val="16"/>
        </w:rPr>
        <w:softHyphen/>
        <w:t>женер ВВС КА генерал-лейтенант А.И.Репин утвердил «Заключение по эскизному проекту одномоторного одноместного пушечного истреби</w:t>
      </w:r>
      <w:r w:rsidRPr="00722885">
        <w:rPr>
          <w:rFonts w:ascii="Times New Roman" w:hAnsi="Times New Roman"/>
          <w:color w:val="000000" w:themeColor="text1"/>
          <w:sz w:val="16"/>
          <w:szCs w:val="16"/>
        </w:rPr>
        <w:softHyphen/>
        <w:t>теля с М-71».</w:t>
      </w:r>
    </w:p>
    <w:p w14:paraId="42FB538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эскизному проекту самолет предназначался для веде</w:t>
      </w:r>
      <w:r w:rsidRPr="00722885">
        <w:rPr>
          <w:rFonts w:ascii="Times New Roman" w:hAnsi="Times New Roman"/>
          <w:color w:val="000000" w:themeColor="text1"/>
          <w:sz w:val="16"/>
          <w:szCs w:val="16"/>
        </w:rPr>
        <w:softHyphen/>
        <w:t>ния активного воздушного боя с самолетами противника, а в пере</w:t>
      </w:r>
      <w:r w:rsidRPr="00722885">
        <w:rPr>
          <w:rFonts w:ascii="Times New Roman" w:hAnsi="Times New Roman"/>
          <w:color w:val="000000" w:themeColor="text1"/>
          <w:sz w:val="16"/>
          <w:szCs w:val="16"/>
        </w:rPr>
        <w:softHyphen/>
        <w:t>грузочном варианте мог использо</w:t>
      </w:r>
      <w:r w:rsidRPr="00722885">
        <w:rPr>
          <w:rFonts w:ascii="Times New Roman" w:hAnsi="Times New Roman"/>
          <w:color w:val="000000" w:themeColor="text1"/>
          <w:sz w:val="16"/>
          <w:szCs w:val="16"/>
        </w:rPr>
        <w:softHyphen/>
        <w:t>ваться для борьбы с танками про</w:t>
      </w:r>
      <w:r w:rsidRPr="00722885">
        <w:rPr>
          <w:rFonts w:ascii="Times New Roman" w:hAnsi="Times New Roman"/>
          <w:color w:val="000000" w:themeColor="text1"/>
          <w:sz w:val="16"/>
          <w:szCs w:val="16"/>
        </w:rPr>
        <w:softHyphen/>
        <w:t>тивника.</w:t>
      </w:r>
    </w:p>
    <w:p w14:paraId="3EC03E3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являясь уменьшенным (по размерам и массе) аналогом одноместного штурмовика Су-6, представлял собой свободнонесу-щий моноплан смешанной конструк</w:t>
      </w:r>
      <w:r w:rsidRPr="00722885">
        <w:rPr>
          <w:rFonts w:ascii="Times New Roman" w:hAnsi="Times New Roman"/>
          <w:color w:val="000000" w:themeColor="text1"/>
          <w:sz w:val="16"/>
          <w:szCs w:val="16"/>
        </w:rPr>
        <w:softHyphen/>
        <w:t>ции, с низко расположенным кры</w:t>
      </w:r>
      <w:r w:rsidRPr="00722885">
        <w:rPr>
          <w:rFonts w:ascii="Times New Roman" w:hAnsi="Times New Roman"/>
          <w:color w:val="000000" w:themeColor="text1"/>
          <w:sz w:val="16"/>
          <w:szCs w:val="16"/>
        </w:rPr>
        <w:softHyphen/>
        <w:t>лом, нормальным оперением и уби</w:t>
      </w:r>
      <w:r w:rsidRPr="00722885">
        <w:rPr>
          <w:rFonts w:ascii="Times New Roman" w:hAnsi="Times New Roman"/>
          <w:color w:val="000000" w:themeColor="text1"/>
          <w:sz w:val="16"/>
          <w:szCs w:val="16"/>
        </w:rPr>
        <w:softHyphen/>
        <w:t>рающимся в полете шасси.</w:t>
      </w:r>
    </w:p>
    <w:p w14:paraId="701F3AC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Фюзеляж - типа монокок, вык</w:t>
      </w:r>
      <w:r w:rsidRPr="00722885">
        <w:rPr>
          <w:rFonts w:ascii="Times New Roman" w:hAnsi="Times New Roman"/>
          <w:color w:val="000000" w:themeColor="text1"/>
          <w:sz w:val="16"/>
          <w:szCs w:val="16"/>
        </w:rPr>
        <w:softHyphen/>
        <w:t>леен из шпона. Внутри фюзеляжа, под полом кабины пилота распола</w:t>
      </w:r>
      <w:r w:rsidRPr="00722885">
        <w:rPr>
          <w:rFonts w:ascii="Times New Roman" w:hAnsi="Times New Roman"/>
          <w:color w:val="000000" w:themeColor="text1"/>
          <w:sz w:val="16"/>
          <w:szCs w:val="16"/>
        </w:rPr>
        <w:softHyphen/>
        <w:t>гался бензобак на 400 кг топлива. Крышка фонаря кабины откидыва</w:t>
      </w:r>
      <w:r w:rsidRPr="00722885">
        <w:rPr>
          <w:rFonts w:ascii="Times New Roman" w:hAnsi="Times New Roman"/>
          <w:color w:val="000000" w:themeColor="text1"/>
          <w:sz w:val="16"/>
          <w:szCs w:val="16"/>
        </w:rPr>
        <w:softHyphen/>
        <w:t>лась вправо. В обтекателе фонаря были предусмотрены окна для об</w:t>
      </w:r>
      <w:r w:rsidRPr="00722885">
        <w:rPr>
          <w:rFonts w:ascii="Times New Roman" w:hAnsi="Times New Roman"/>
          <w:color w:val="000000" w:themeColor="text1"/>
          <w:sz w:val="16"/>
          <w:szCs w:val="16"/>
        </w:rPr>
        <w:softHyphen/>
        <w:t>зора задней полусферы. В хвосто</w:t>
      </w:r>
      <w:r w:rsidRPr="00722885">
        <w:rPr>
          <w:rFonts w:ascii="Times New Roman" w:hAnsi="Times New Roman"/>
          <w:color w:val="000000" w:themeColor="text1"/>
          <w:sz w:val="16"/>
          <w:szCs w:val="16"/>
        </w:rPr>
        <w:softHyphen/>
        <w:t>вой части фюзеляжа размещалось радиооборудование, кислородный баллон, аккумулятор и т.д.</w:t>
      </w:r>
    </w:p>
    <w:p w14:paraId="791E3DED"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Крыло двухлонжеронной конст</w:t>
      </w:r>
      <w:r w:rsidRPr="00722885">
        <w:rPr>
          <w:rFonts w:ascii="Times New Roman" w:hAnsi="Times New Roman"/>
          <w:color w:val="000000" w:themeColor="text1"/>
          <w:sz w:val="16"/>
          <w:szCs w:val="16"/>
        </w:rPr>
        <w:softHyphen/>
        <w:t>рукции состояло из центроплана и двух отъемных консолей. Центроп</w:t>
      </w:r>
      <w:r w:rsidRPr="00722885">
        <w:rPr>
          <w:rFonts w:ascii="Times New Roman" w:hAnsi="Times New Roman"/>
          <w:color w:val="000000" w:themeColor="text1"/>
          <w:sz w:val="16"/>
          <w:szCs w:val="16"/>
        </w:rPr>
        <w:softHyphen/>
        <w:t>лан имел цельнометаллическую кон</w:t>
      </w:r>
      <w:r w:rsidRPr="00722885">
        <w:rPr>
          <w:rFonts w:ascii="Times New Roman" w:hAnsi="Times New Roman"/>
          <w:color w:val="000000" w:themeColor="text1"/>
          <w:sz w:val="16"/>
          <w:szCs w:val="16"/>
        </w:rPr>
        <w:softHyphen/>
        <w:t>струкцию, а консоли - смешанную (лонжерон - металл, нервюры, стрингеры и обшивка - дерево). Элероны - каркас металлический, обтянутый полотном, на левом эле-</w:t>
      </w:r>
    </w:p>
    <w:p w14:paraId="183AAD4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роне - триммер. Для обеспечения боковой устойчивостью на закри-тических углах атаки крыло имело автоматические предкрылки.</w:t>
      </w:r>
    </w:p>
    <w:p w14:paraId="1E1734B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Стабилизатор и киль были вы</w:t>
      </w:r>
      <w:r w:rsidRPr="00722885">
        <w:rPr>
          <w:rFonts w:ascii="Times New Roman" w:hAnsi="Times New Roman"/>
          <w:color w:val="000000" w:themeColor="text1"/>
          <w:sz w:val="16"/>
          <w:szCs w:val="16"/>
        </w:rPr>
        <w:softHyphen/>
        <w:t>полнены из дерева, причем киль -заодно с фюзеляжем. Стабилизатор вставлялся в специальный вырез в хвостовой части и крепился по кон</w:t>
      </w:r>
      <w:r w:rsidRPr="00722885">
        <w:rPr>
          <w:rFonts w:ascii="Times New Roman" w:hAnsi="Times New Roman"/>
          <w:color w:val="000000" w:themeColor="text1"/>
          <w:sz w:val="16"/>
          <w:szCs w:val="16"/>
        </w:rPr>
        <w:softHyphen/>
        <w:t>туру болтами. Рули металлические с полотняной обшивкой, имели ве</w:t>
      </w:r>
      <w:r w:rsidRPr="00722885">
        <w:rPr>
          <w:rFonts w:ascii="Times New Roman" w:hAnsi="Times New Roman"/>
          <w:color w:val="000000" w:themeColor="text1"/>
          <w:sz w:val="16"/>
          <w:szCs w:val="16"/>
        </w:rPr>
        <w:softHyphen/>
        <w:t>совую компенсацию и были снаб</w:t>
      </w:r>
      <w:r w:rsidRPr="00722885">
        <w:rPr>
          <w:rFonts w:ascii="Times New Roman" w:hAnsi="Times New Roman"/>
          <w:color w:val="000000" w:themeColor="text1"/>
          <w:sz w:val="16"/>
          <w:szCs w:val="16"/>
        </w:rPr>
        <w:softHyphen/>
        <w:t>жены триммерами.</w:t>
      </w:r>
    </w:p>
    <w:p w14:paraId="7B4E573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Шасси - трехопорное с хвосто</w:t>
      </w:r>
      <w:r w:rsidRPr="00722885">
        <w:rPr>
          <w:rFonts w:ascii="Times New Roman" w:hAnsi="Times New Roman"/>
          <w:color w:val="000000" w:themeColor="text1"/>
          <w:sz w:val="16"/>
          <w:szCs w:val="16"/>
        </w:rPr>
        <w:softHyphen/>
        <w:t>вым колесом. Основные опоры уби</w:t>
      </w:r>
      <w:r w:rsidRPr="00722885">
        <w:rPr>
          <w:rFonts w:ascii="Times New Roman" w:hAnsi="Times New Roman"/>
          <w:color w:val="000000" w:themeColor="text1"/>
          <w:sz w:val="16"/>
          <w:szCs w:val="16"/>
        </w:rPr>
        <w:softHyphen/>
        <w:t>рались в центроплан назад, с по</w:t>
      </w:r>
      <w:r w:rsidRPr="00722885">
        <w:rPr>
          <w:rFonts w:ascii="Times New Roman" w:hAnsi="Times New Roman"/>
          <w:color w:val="000000" w:themeColor="text1"/>
          <w:sz w:val="16"/>
          <w:szCs w:val="16"/>
        </w:rPr>
        <w:softHyphen/>
        <w:t>воротом колес на 90°. Уборка и выпуск шасси при помощи гидроси</w:t>
      </w:r>
      <w:r w:rsidRPr="00722885">
        <w:rPr>
          <w:rFonts w:ascii="Times New Roman" w:hAnsi="Times New Roman"/>
          <w:color w:val="000000" w:themeColor="text1"/>
          <w:sz w:val="16"/>
          <w:szCs w:val="16"/>
        </w:rPr>
        <w:softHyphen/>
        <w:t>стемы.</w:t>
      </w:r>
    </w:p>
    <w:p w14:paraId="0774300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Двигатель М-71 (Мвзл=2000л.с.) крепился к стальной сварной мото</w:t>
      </w:r>
      <w:r w:rsidRPr="00722885">
        <w:rPr>
          <w:rFonts w:ascii="Times New Roman" w:hAnsi="Times New Roman"/>
          <w:color w:val="000000" w:themeColor="text1"/>
          <w:sz w:val="16"/>
          <w:szCs w:val="16"/>
        </w:rPr>
        <w:softHyphen/>
        <w:t>раме. Патрубки выхлопного коллек</w:t>
      </w:r>
      <w:r w:rsidRPr="00722885">
        <w:rPr>
          <w:rFonts w:ascii="Times New Roman" w:hAnsi="Times New Roman"/>
          <w:color w:val="000000" w:themeColor="text1"/>
          <w:sz w:val="16"/>
          <w:szCs w:val="16"/>
        </w:rPr>
        <w:softHyphen/>
        <w:t>тора — реактивного типа. Регули</w:t>
      </w:r>
      <w:r w:rsidRPr="00722885">
        <w:rPr>
          <w:rFonts w:ascii="Times New Roman" w:hAnsi="Times New Roman"/>
          <w:color w:val="000000" w:themeColor="text1"/>
          <w:sz w:val="16"/>
          <w:szCs w:val="16"/>
        </w:rPr>
        <w:softHyphen/>
        <w:t>ровка охлаждения цилиндров дви</w:t>
      </w:r>
      <w:r w:rsidRPr="00722885">
        <w:rPr>
          <w:rFonts w:ascii="Times New Roman" w:hAnsi="Times New Roman"/>
          <w:color w:val="000000" w:themeColor="text1"/>
          <w:sz w:val="16"/>
          <w:szCs w:val="16"/>
        </w:rPr>
        <w:softHyphen/>
        <w:t>гателя осуществлялась при помощи подвижных «юбок». Всасывающий патрубок приводного центробежно</w:t>
      </w:r>
      <w:r w:rsidRPr="00722885">
        <w:rPr>
          <w:rFonts w:ascii="Times New Roman" w:hAnsi="Times New Roman"/>
          <w:color w:val="000000" w:themeColor="text1"/>
          <w:sz w:val="16"/>
          <w:szCs w:val="16"/>
        </w:rPr>
        <w:softHyphen/>
        <w:t>го нагнетателя располагался над мотором и вписывался в контур капота. Масляные радиаторы раз</w:t>
      </w:r>
      <w:r w:rsidRPr="00722885">
        <w:rPr>
          <w:rFonts w:ascii="Times New Roman" w:hAnsi="Times New Roman"/>
          <w:color w:val="000000" w:themeColor="text1"/>
          <w:sz w:val="16"/>
          <w:szCs w:val="16"/>
        </w:rPr>
        <w:softHyphen/>
        <w:t>мещались в центроплане, темпера</w:t>
      </w:r>
      <w:r w:rsidRPr="00722885">
        <w:rPr>
          <w:rFonts w:ascii="Times New Roman" w:hAnsi="Times New Roman"/>
          <w:color w:val="000000" w:themeColor="text1"/>
          <w:sz w:val="16"/>
          <w:szCs w:val="16"/>
        </w:rPr>
        <w:softHyphen/>
        <w:t>тура масла регулировалась створ</w:t>
      </w:r>
      <w:r w:rsidRPr="00722885">
        <w:rPr>
          <w:rFonts w:ascii="Times New Roman" w:hAnsi="Times New Roman"/>
          <w:color w:val="000000" w:themeColor="text1"/>
          <w:sz w:val="16"/>
          <w:szCs w:val="16"/>
        </w:rPr>
        <w:softHyphen/>
        <w:t>ками.</w:t>
      </w:r>
    </w:p>
    <w:p w14:paraId="0F6215D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самолета в нор</w:t>
      </w:r>
      <w:r w:rsidRPr="00722885">
        <w:rPr>
          <w:rFonts w:ascii="Times New Roman" w:hAnsi="Times New Roman"/>
          <w:color w:val="000000" w:themeColor="text1"/>
          <w:sz w:val="16"/>
          <w:szCs w:val="16"/>
        </w:rPr>
        <w:softHyphen/>
        <w:t>мальном варианте состояло из двух крыльевых пушек ВЯ-23 с суммар</w:t>
      </w:r>
      <w:r w:rsidRPr="00722885">
        <w:rPr>
          <w:rFonts w:ascii="Times New Roman" w:hAnsi="Times New Roman"/>
          <w:color w:val="000000" w:themeColor="text1"/>
          <w:sz w:val="16"/>
          <w:szCs w:val="16"/>
        </w:rPr>
        <w:softHyphen/>
        <w:t>ным боезапасом 160 патронов и синхронного пулемета БС-12,7 с боезапасом 300 патронов.</w:t>
      </w:r>
    </w:p>
    <w:p w14:paraId="40ECA88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Пилот был защищен от обстре</w:t>
      </w:r>
      <w:r w:rsidRPr="00722885">
        <w:rPr>
          <w:rFonts w:ascii="Times New Roman" w:hAnsi="Times New Roman"/>
          <w:color w:val="000000" w:themeColor="text1"/>
          <w:sz w:val="16"/>
          <w:szCs w:val="16"/>
        </w:rPr>
        <w:softHyphen/>
        <w:t>ла сзади бронеспинкой толщиной 12 мм и заголовником - 8 мм. За</w:t>
      </w:r>
      <w:r w:rsidRPr="00722885">
        <w:rPr>
          <w:rFonts w:ascii="Times New Roman" w:hAnsi="Times New Roman"/>
          <w:color w:val="000000" w:themeColor="text1"/>
          <w:sz w:val="16"/>
          <w:szCs w:val="16"/>
        </w:rPr>
        <w:softHyphen/>
        <w:t>щита спереди - прозрачная бро</w:t>
      </w:r>
      <w:r w:rsidRPr="00722885">
        <w:rPr>
          <w:rFonts w:ascii="Times New Roman" w:hAnsi="Times New Roman"/>
          <w:color w:val="000000" w:themeColor="text1"/>
          <w:sz w:val="16"/>
          <w:szCs w:val="16"/>
        </w:rPr>
        <w:softHyphen/>
        <w:t>ня, двигатель и стальной щиток тол</w:t>
      </w:r>
      <w:r w:rsidRPr="00722885">
        <w:rPr>
          <w:rFonts w:ascii="Times New Roman" w:hAnsi="Times New Roman"/>
          <w:color w:val="000000" w:themeColor="text1"/>
          <w:sz w:val="16"/>
          <w:szCs w:val="16"/>
        </w:rPr>
        <w:softHyphen/>
        <w:t>щиной 8 мм.</w:t>
      </w:r>
    </w:p>
    <w:p w14:paraId="520A319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расчетные данные истребителя с М-71</w:t>
      </w:r>
    </w:p>
    <w:p w14:paraId="6C1C381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самолета, мм................. 8830</w:t>
      </w:r>
    </w:p>
    <w:p w14:paraId="11A03E2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мм .................... 12100</w:t>
      </w:r>
    </w:p>
    <w:p w14:paraId="4B7CD40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 22,5</w:t>
      </w:r>
    </w:p>
    <w:p w14:paraId="0EDFE2E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Масса самолета, кг: пустого......................................... 2967</w:t>
      </w:r>
    </w:p>
    <w:p w14:paraId="3E11364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нормальная полетная............. 3775</w:t>
      </w:r>
    </w:p>
    <w:p w14:paraId="355CF52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км/ч: у земли........................................... 502</w:t>
      </w:r>
    </w:p>
    <w:p w14:paraId="4A35901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Н=6000м ................................. 602</w:t>
      </w:r>
    </w:p>
    <w:p w14:paraId="03E5A1A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Н=5000 м, мин ...5,1 Время виража на Н=0 м, с .... 20,6</w:t>
      </w:r>
    </w:p>
    <w:p w14:paraId="1B77D26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м..... 10500</w:t>
      </w:r>
    </w:p>
    <w:p w14:paraId="5ECF4C2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полета</w:t>
      </w:r>
    </w:p>
    <w:p w14:paraId="51A9376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У=0.9Утах. км ........................ 700</w:t>
      </w:r>
    </w:p>
    <w:p w14:paraId="63BE5B7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разбега, м........................ 223 (11754)</w:t>
      </w:r>
    </w:p>
    <w:p w14:paraId="18C75B7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0CB4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вышел приказ НКАП N 512с "О мероприятиях по повышению огнестойкости самолетов" в исполнение постановления ГКО M 1995с от 6 июля 1942:</w:t>
      </w:r>
    </w:p>
    <w:p w14:paraId="0971BAE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Директору завода 292 обеспечить к 1 августа выпуск 10 самолетов Як-1 с трудновоспламенимым покрытием деревянных и обтянутых полотном частей самолетов.</w:t>
      </w:r>
    </w:p>
    <w:p w14:paraId="6B1BB7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Этим же постановлением ГКО обязал</w:t>
      </w:r>
    </w:p>
    <w:p w14:paraId="214C97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ВВС Новикова к 10 августа провести испытания самолетов с трудновоспламенимым покрытием в боевых условиях и в НИИ ВВС (1571,15).</w:t>
      </w:r>
    </w:p>
    <w:p w14:paraId="126832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44C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вышел приказ НКАП № 510с:</w:t>
      </w:r>
    </w:p>
    <w:p w14:paraId="02ABCD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З-ду Точизмеритель им. Молотова НКАП присвоить № 384,</w:t>
      </w:r>
    </w:p>
    <w:p w14:paraId="140980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з-ду ОЗПО НКАП присвоить № 452.</w:t>
      </w:r>
    </w:p>
    <w:p w14:paraId="4B8089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Дементьев (1571, 3).</w:t>
      </w:r>
    </w:p>
    <w:p w14:paraId="1D1C24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FB4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г. по приказу № 510с заводу «Точизмеритель» (ГС Завод № 384 ИМ. Молотова НКАП, НКМ, ГС завод «Точизмеритель» им. Молотова НКТП, НКОП, Натальинский стекольный завод, АООТ, ОАО «Натальинский стекольный завод» /г. Москва ул. Н. Сыромятники, 11; н/п Мончаж Свердловской обл./ /623320 пгт. Натальинск Красноуфимского р-на Свердловской обл. ул. Советская, 4 тел. 23-100,40-740/) присвоено наименование ГС завод № 384 НКАП в системе 5ГУ.</w:t>
      </w:r>
    </w:p>
    <w:p w14:paraId="18EAF1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Москве на старой площадке образован филиал завода, который в 04.1942 г. преобразован в самостоятельный завод № 382.</w:t>
      </w:r>
    </w:p>
    <w:p w14:paraId="083B07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572с/1206 от 24.10.1944 г. завод передан с 1.11.1944 г. в НКМ. Далее это- Натальинский стекольный завод.</w:t>
      </w:r>
    </w:p>
    <w:p w14:paraId="5BA2783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1957-58 г. завод выпускал ламповое и фонарное стекло, детали авиационных приборов (ампулы ПК и креноскопы), осваивал новые изделия. В 1962 г. начат выпуск рассеивателей и молочно-накладного стекла. В 1971 г. начата реконструкция завода, построены новые корпуса.</w:t>
      </w:r>
    </w:p>
    <w:p w14:paraId="02EA1C2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Натальинский стекольный завод акционирован и преобразован в АООТ, а затем- в ОАО. В 1995-97 г. завод на лето прекращал работу, работники распускались в отпуска без содержания.</w:t>
      </w:r>
    </w:p>
    <w:p w14:paraId="6A463B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(2000-е): стеклянные светотехнические изделия.</w:t>
      </w:r>
    </w:p>
    <w:p w14:paraId="23735C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(1943 г.)- 1070 чел., (2001 г.)- 570 чел., (2005 г.)- 540 чел.</w:t>
      </w:r>
    </w:p>
    <w:p w14:paraId="1BA752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(-02.1938-43 Г.)- Л.И. Гольдберг, (1943 г.-)- П.П. Волков, (1944 г.-&gt; М.А. Томашевский, (1957 г.-&gt; К.Д. Крупенников, (1969 г.)- Р.Н. Демчук, (1971 г.)- П.П. Ивахненко. Гендиректор (2002 г.)- Н.П. Бушуев, (2004-06 г.-)-B.Н.Саликов.</w:t>
      </w:r>
    </w:p>
    <w:p w14:paraId="7D03A32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(2.02.1938 г.-)- В.А. Абрамович.</w:t>
      </w:r>
      <w:r w:rsidRPr="00722885">
        <w:rPr>
          <w:rFonts w:ascii="Times New Roman" w:hAnsi="Times New Roman"/>
          <w:color w:val="000000" w:themeColor="text1"/>
          <w:sz w:val="16"/>
          <w:szCs w:val="16"/>
          <w:vertAlign w:val="superscript"/>
        </w:rPr>
        <w:t>139</w:t>
      </w:r>
    </w:p>
    <w:p w14:paraId="0F96CE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механик (1930-е)- Н.Б. Валаев.</w:t>
      </w:r>
    </w:p>
    <w:p w14:paraId="277391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термометры авиационные воздушные (1936).</w:t>
      </w:r>
    </w:p>
    <w:p w14:paraId="17AA0E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Артель «Возрождение», Артель им. С.М. Кирова, Натальинский стекольный завод</w:t>
      </w:r>
    </w:p>
    <w:p w14:paraId="71F0540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1871 г. И.А. Шевелиным недалеко от Красноуфимска основан стекольный завод. Выпускал оконное стекло, посуду, вино-водочную тару, парфюмерную и аптечную посуду. Перед революцией хозяином завода был сын А.И. Шевелин.</w:t>
      </w:r>
    </w:p>
    <w:p w14:paraId="2BD4A1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революции завод национализирован. В 1926 г. завод закрыт, деревянные здания заводоуправления и клуба разобраны и отправлены на Зиновьевский стекольный завод.</w:t>
      </w:r>
    </w:p>
    <w:p w14:paraId="173184F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завод восстановлен в форме артели «Возрождение». В 1929 г. начата реконструкция завода: расширены площади, строится ванная печь непрерывного действия, установлен локомобиль. В 1935 г. артели присвоено имя C.М.Кирова.</w:t>
      </w:r>
    </w:p>
    <w:p w14:paraId="61C7F8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начала войны был освоен выпуск новой продукции- фляжек для армии. Затем сюда был эвакуирован из Москвы завод «Точизмеритель» и по приказу № 5 10с от 11.07.1942 г. объединенный завод получил наименование ГС завод №384 НКАП (11982).</w:t>
      </w:r>
    </w:p>
    <w:p w14:paraId="4F864355" w14:textId="77777777" w:rsidR="0091110F" w:rsidRPr="00722885" w:rsidRDefault="0091110F"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D1E2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г. ОЗПО по приказу № 5 10с присвоено наименование ГС завод № 452 НКАП в 5ГУ. По приказу № 605сс от 23.10.1944 г. завод с 1.10.1944 г. передан в 17ГУ. Станкостроение. В 1947 г. - в ведении МАП.</w:t>
      </w:r>
    </w:p>
    <w:p w14:paraId="4AF2F0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Позднее передан из НКАП в другое ведомство (к 1951 г.).</w:t>
      </w:r>
    </w:p>
    <w:p w14:paraId="65023C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(10.1937; 8.03.1938-09.1943 г.-)- И.И. Цагшин.</w:t>
      </w:r>
    </w:p>
    <w:p w14:paraId="21D772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(06.1938 г.)- А.С. Дроздов (11982).</w:t>
      </w:r>
    </w:p>
    <w:p w14:paraId="614728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EC0D4F"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57C73F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A6C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года с целью одобрения проводимых работ и помощи в развертывании серийного производства реактивного вооружения, созданного специалистами АНИОПа, на “Ржевском полигоне” были проведены показательные боевые стрельбы 280-мм фугасных мин миномета тяжелого вооружения “МТВ” для командования Ленинградского фронта, областного и городского комитетов ВКП (б). Для стрельб были представлены мины ГМ-280 со следующими характеристиками: общий вес окончательно снаряженной мины - 82 кг; вес ВВ - 48 кг; вес порохового заряда - 6,5 кг; вес металлического корпуса со взрывателем - 27,5 кг. Батарея МТВ состояла из восьми штатных 280-мм фугасных мин. Стрельбы выполнялись с одной металлической рамы ГМ-320-2М с четырьмя снаряженными ящиками на ней и двух деревянных рам ГМ-320-2, на каждой из которых было установлено по два снаряженных ящика. Мины ГМ-280 были изготовлены заводом им. Ленина и заводом №232 (“Большевик”), деревянную укупорку ГМ-280-1Д и деревянные рамы ГМ-320-2 изготовила Третья мебельная фабрика, пороховые шашки - завод №522, пульт управления огнем (переключатель) был произведен заводом №218. Стрельба со всех установок производилась при одинаковом угле возвышения в 42 градуса (6403, 42).</w:t>
      </w:r>
    </w:p>
    <w:p w14:paraId="695968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A68B9"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июля 1942 г.</w:t>
      </w:r>
    </w:p>
    <w:p w14:paraId="264073C6"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ГАЭ Фонд 8752 Опись 4 Дело 92 лист 76 – 73</w:t>
      </w:r>
    </w:p>
    <w:p w14:paraId="11A6426F"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324F4516"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513с</w:t>
      </w:r>
    </w:p>
    <w:p w14:paraId="261A2FA4"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55A26777"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июля 1942 г.</w:t>
      </w:r>
    </w:p>
    <w:p w14:paraId="5268259C"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 материально-техническом обеспечении программы производства танков Т-34 в июле месяце.</w:t>
      </w:r>
    </w:p>
    <w:p w14:paraId="0077A24D"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выполнения плана выпуска танков Т-34 по суточному графику ПРИКАЗЫВАЮ:</w:t>
      </w:r>
    </w:p>
    <w:p w14:paraId="089A022C"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Начальнику Главснаба т. РОЗИНУ обеспечить бесперебойное снабжение заводов в соответствии с утвержденным мною ежесуточным графиком и номенклатурой материалов и изделий и создать на заводах до 20 июля с.г. не менее 10-ти переходящего запаса по этим материалам и изделиям.</w:t>
      </w:r>
    </w:p>
    <w:p w14:paraId="17520D2F"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Зам. начальника 1-го отдела т. ДАВТЯН и заместителю начальника Металлургического отдела т. СЕРЕДИНУ обеспечить поставку заводам траков, дизельмоторов, форсунок, насосов и вооружения по утвержденному мною графику, для обеспечения полностью программы июля месяца и создания необходимого переходящего запаса на август месяц.</w:t>
      </w:r>
    </w:p>
    <w:p w14:paraId="41D06FB8"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Назначить ответственным за снабжение отдельными материалами и изделиями по НКТП следующих работников:</w:t>
      </w:r>
    </w:p>
    <w:p w14:paraId="745ACB68"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по клапанной и дисковой стали – т. ЮДИНА;</w:t>
      </w:r>
    </w:p>
    <w:p w14:paraId="5A3A49F8"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по радиаторной ленте, трубке, дюралюминиевым пруткам, алюминию, алюминиевой сетке – т. ТРОИЦКОГО;</w:t>
      </w:r>
    </w:p>
    <w:p w14:paraId="09348C3C"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по обрезинке катков и ленте феррадо – т. ПЫХТИНУ;</w:t>
      </w:r>
    </w:p>
    <w:p w14:paraId="3FF484CE"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по электрооборудованию и радиаторам – т. ФАРБМАНА;</w:t>
      </w:r>
    </w:p>
    <w:p w14:paraId="2297B6B8"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по топливу – т. БРАВЕРМАН;</w:t>
      </w:r>
    </w:p>
    <w:p w14:paraId="31496931"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е) по аммиаку – т. ФРАНЦМАН;</w:t>
      </w:r>
    </w:p>
    <w:p w14:paraId="6855470D"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ж) по тракам – т. СЕРЕДИНА;</w:t>
      </w:r>
    </w:p>
    <w:p w14:paraId="2A93BE27"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 по дизелям, форсункам и насосам – т. МАГИДСОН;</w:t>
      </w:r>
    </w:p>
    <w:p w14:paraId="00F29E63"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 по вооружению – т. ВОРОБЕЙЧИК;</w:t>
      </w:r>
    </w:p>
    <w:p w14:paraId="76B2E2A0"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по шарикоподшипникам – т. ЗЕЛЬМАНСОН.</w:t>
      </w:r>
    </w:p>
    <w:p w14:paraId="47AD09D7"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Предупредить указанных товарищей, что они несут персональную ответственность за бесперебойное, в соответствии с утвержденным суточным графиком, снабжение танковых заводов и за создание на заводах установленного минимума переходящего запаса.</w:t>
      </w:r>
    </w:p>
    <w:p w14:paraId="545F49E8"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 заводу № 183</w:t>
      </w:r>
    </w:p>
    <w:p w14:paraId="66A32A16"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Начальнику Главснаба т. РОЗИНУ, директору завода т. МАКСАРЕВУ и начальникам контор Главснаба: Челябинской – т. МАГАРИЛЛ; Новосибирской – т. ВЯЗЕМСКОМУ, Свердловской – т. НАГОРНОМУ, Саратовской – т. ДРОНОВУ, Куйбышевской – т. ДЕДОВУ, Московской – т. БЕЙЗЕР, Ярославской – т. ГОРБАЧЕВУ, Чкаловской – т. ОСИПОВУ обеспечить отгрузку и доставку недостающих на июльскую программу дефицитных материалов и изделий в количествах и сроки отправки и поступления на завод, согласно приложению № 1.</w:t>
      </w:r>
    </w:p>
    <w:p w14:paraId="1C9281E9"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Зам. начальника 1-го отдела т. ДАВТЯН, директору Кировского завода т. МАХОНИНУ и ст. ведущему инженеру 1-го отдела т. МАГИДСОН обеспечить отгрузку с Кировского завода дизельмоторов В-2 и доставку их на завод № 183 в следующие сроки:</w:t>
      </w:r>
    </w:p>
    <w:p w14:paraId="3B8E7B0C"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11.VII.42 г. – 110 шт.</w:t>
      </w:r>
    </w:p>
    <w:p w14:paraId="64134610"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11 по 15.VII.42 г. по 24 шт. в сутки, всего 120 шт.</w:t>
      </w:r>
    </w:p>
    <w:p w14:paraId="5273B152"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16 по 20.VII.42 г. по 25 шт. в сутки, всего 125 шт.</w:t>
      </w:r>
    </w:p>
    <w:p w14:paraId="3B668B01"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21 по 25.VII.42 г. по 27 шт. в сутки, всего 135 шт.</w:t>
      </w:r>
    </w:p>
    <w:p w14:paraId="67EF74A3"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26 по 31.VII.42 г. по 30 шт. в сутки, всего 170 шт.</w:t>
      </w:r>
    </w:p>
    <w:p w14:paraId="685A71CC"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Начальнику диспетчерской службы Наркомата т. ВОРОБЕЙЧИК обеспечить дополнительную, к ранее уже отправленным маршрутам, не позднее 20.VII отгрузку 2-х маршрутов с пушками по 120 шт. в каждом с завода № 92 и отгрузку дополнительно 500 шт. пулеметов, а Главснабу (Отдел перевозок) обеспечить быстрое продвижение маршрутов с артсистемами, отправленных из Горького в Нижний Тагил № 91/3850 от 31.VI, № 91/3747 от 3.VII и № 91/3852 от 7.VII. 42 г.</w:t>
      </w:r>
    </w:p>
    <w:p w14:paraId="70CC7E1E"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 Сталинградскому Тракторному заводу</w:t>
      </w:r>
    </w:p>
    <w:p w14:paraId="700F2B06"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Начальнику Главснаба т. РОЗИНУ, директору Сталинградского тракторного завода т. ЗАДОРОЖНОМУ и начальникам контор Главснаба: Московской – т. БЕЗЕР, Новосибирской – т. ВЯЗЕМСКОМУ, Челябинской – т. МАГАРИЛЛ, Свердловской – т. НАГОРНОМУ, Куйбышевской – т. ДЕДОВУ, Саратовской – т. ДРОНОВУ, Ярославской – т. ГОРБАЧЕВУ обеспечить доставку недостающих на июльскую программу дефицитных материалов и изделий в количествах и в сроки отправки и поступления на завод, согласно приложению № 2.</w:t>
      </w:r>
    </w:p>
    <w:p w14:paraId="10F27533"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Зам. начальника 1-го отдела т. ДАВТЯН, директору завода № 76 т. КОЧЕТКОВУ, директору Кировского завода т. МАХОНИНУ и ст. ведущему инженеру 1-го отдела т. МАГИДСОН:</w:t>
      </w:r>
    </w:p>
    <w:p w14:paraId="4086EE48"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обеспечить отгрузку до 15.VII.с.г. с завода № 76 моторов В-2 в количестве 24 штук, а отделу перевозок Главснаба обеспечить доставку указанных моторов на СТЗ не позднее 25.VII.42 г.;</w:t>
      </w:r>
    </w:p>
    <w:p w14:paraId="1370284F"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обеспечить отгрузку насосов и форсунок СТЗ с Кировского завода в количестве 140 комплектов в следующие сроки:</w:t>
      </w:r>
    </w:p>
    <w:p w14:paraId="50C7249B"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11.VII.42 г. – 20 компл.</w:t>
      </w:r>
    </w:p>
    <w:p w14:paraId="02D43A36"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12 по 15.VII.42 г. – 35 компл.</w:t>
      </w:r>
    </w:p>
    <w:p w14:paraId="22C9CC50"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16 по 20.VII.42 г. – 35 компл.</w:t>
      </w:r>
    </w:p>
    <w:p w14:paraId="32AFD05D"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21 по 24.VII.42 г. – 25 компл.</w:t>
      </w:r>
    </w:p>
    <w:p w14:paraId="1DD94C37"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25 по 28.VII.42 г. – 25 компл.</w:t>
      </w:r>
    </w:p>
    <w:p w14:paraId="344D97F2"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Начальнику Главснаба т. РОЗИНУ обеспечить переброску насосов и форсунок в указанных количествах самолетами;</w:t>
      </w:r>
    </w:p>
    <w:p w14:paraId="1FCB0113"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обеспечить отгрузку СТЗ с Кировского завода штамповок коленчатых валов в количестве 250 шт. в следующие сроки:</w:t>
      </w:r>
    </w:p>
    <w:p w14:paraId="49F4E76E"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17.VII.1942 г. – 150 шт.</w:t>
      </w:r>
    </w:p>
    <w:p w14:paraId="535F4346"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22.VII.1942 г. – 100 шт.</w:t>
      </w:r>
    </w:p>
    <w:p w14:paraId="08A4A5E1"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Ответственность за своевременную отгрузку коленчатых валов возлагаю на директора Кировского завода т. МАХОНИНА, а ответственность за доставку первой парти коленчатых валов в количестве 150 шт. в срок до 27.VII.42 г. и второй партии к 1.VIII.42 г. возлагаю на начальника Отдела перевозок Главснаба.</w:t>
      </w:r>
    </w:p>
    <w:p w14:paraId="2F7C6D39"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Начальнику Диспетчерской службы НКТП т. ВОРОБЕЙЧИК обеспечить отгрузку для СТЗ вооружения в следующие сроки:</w:t>
      </w:r>
    </w:p>
    <w:p w14:paraId="5376FE4B"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20.VII.42 г. – 120 пушек, 400 пулеметов, 30 огнеметов,</w:t>
      </w:r>
    </w:p>
    <w:p w14:paraId="1706743E"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20.VII по 25.VII.42 г. – 120 пушек и 10 огнеметов</w:t>
      </w:r>
    </w:p>
    <w:p w14:paraId="6DA61EB3"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 доставку их на завод не позднее 29.VII.1942 года.</w:t>
      </w:r>
    </w:p>
    <w:p w14:paraId="18F4B15D"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 заводу № 112</w:t>
      </w:r>
    </w:p>
    <w:p w14:paraId="7E450BD5"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Начальнику Главснаба т. РОЗИНУ, директору завода № 112 т. РУБИНЧИК и начальникам контор Главснаба: Московской – т. БЕЗЕР, Новосибирской – т. ВЯЗЕМСКОМУ, Челябинской – т. МАГАРИЛЛ, Свердловской – т. НАГОРНОМУ, Куйбышевской – т. ДЕДОВУ, Саратовской – т. ДРОНОВУ, Ярославской – т. ГОРБАЧЕВУ обеспечить доставку недостающих на июльскую программу дефицитных материалов и изделий в количествах и в сроки отправки и поступления на завод, согласно приложению № 3.</w:t>
      </w:r>
    </w:p>
    <w:p w14:paraId="39E3DC6C"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Заместителю начальника 1-го отдела т. ДАВТЯН, заместителю начальника Металлургического отдела т. СЕРЕДИНУ, директору СТЗ т. ЗАДОРОЖНОМУ, директору завода № 76 т. КОЧЕТКОВУ, начальнику 3-го Главного Управления т. ХАБАХПАШЕВУ обеспечить:</w:t>
      </w:r>
    </w:p>
    <w:p w14:paraId="758BE064"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изготовление траков на СТЗ и отправку их заводу № 112 в количестве 200 комплектов по следующему графику:</w:t>
      </w:r>
    </w:p>
    <w:p w14:paraId="122C4F45"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до 15.VII.1942 г. – 140 компл.</w:t>
      </w:r>
    </w:p>
    <w:p w14:paraId="48E9D61E"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16 по 20.VII.42 г. – 60 компл.</w:t>
      </w:r>
    </w:p>
    <w:p w14:paraId="4DC824C0"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Директору завода № 112 т. РУБИНЧИК и начальнику отдела перевозок Главснаба обеспечить доставку каждой отгруженной партии траков в течение 5 суток с момента отправки.</w:t>
      </w:r>
    </w:p>
    <w:p w14:paraId="1236AA27"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Обеспечить отгрузку моторов В-2 с завода № 76 заводу № 112 по следующему графику:</w:t>
      </w:r>
    </w:p>
    <w:p w14:paraId="562A49D2"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11.VII.42 г. – 20 шт.</w:t>
      </w:r>
    </w:p>
    <w:p w14:paraId="2F5EEB36"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11 до 15.VII – 65 шт.</w:t>
      </w:r>
    </w:p>
    <w:p w14:paraId="67723C00"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16 до 20.VII – 65 шт.</w:t>
      </w:r>
    </w:p>
    <w:p w14:paraId="2474AD7C"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21 до 25.VII – 65 шт.</w:t>
      </w:r>
    </w:p>
    <w:p w14:paraId="2B302D96"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26 до 31.VII – 85 шт.</w:t>
      </w:r>
    </w:p>
    <w:p w14:paraId="7251AE87"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300 шт. моторов.</w:t>
      </w:r>
    </w:p>
    <w:p w14:paraId="42A1657B"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Ответственность за своевременную и полную отгрузку моторов возлагаю на директора завода № 76 т. КОЧЕТКОВА и на ст. ведущего инженера 1-го отдела т. МАГИДСОН. Ответственность за доставку моторов на завод № 112 в течение 6 суток с момента отправки возлагаю на начальника Отдела перевозок Главснаба.</w:t>
      </w:r>
    </w:p>
    <w:p w14:paraId="44BF0403"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Обеспечить изготовление на заводе № 177 для завода № 112 окончательно обработанных погонов в количестве 250 комплектов (кроме отгруженных в первой декаде июля), подачу и доставку их на завод № 112 по следующему графику:</w:t>
      </w:r>
    </w:p>
    <w:p w14:paraId="6F09C93E"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10 до 15.VII.42 г. – 70 компл.</w:t>
      </w:r>
    </w:p>
    <w:p w14:paraId="657A4DC7"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16 до 20.VII.42 г. – 60 компл.</w:t>
      </w:r>
    </w:p>
    <w:p w14:paraId="2006A7AF"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21 до 25.VII.42 г. – 60 компл.</w:t>
      </w:r>
    </w:p>
    <w:p w14:paraId="3A5B96A1"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26 до 31.VII.42 г. – 60 компл.</w:t>
      </w:r>
    </w:p>
    <w:p w14:paraId="66AE5EDA"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Ответственность за изготовление по установленному графику погонов возлагаю на нач. 3-го Главного Управления т. ХАБАХПАШЕВА и директора завода № 177 т. ВОЛКОВА, а ответственность за доставку погонов на завод № 112 в установленные сроки возлагаю на начальника сектора кооперирования 1-го отдела НКТП т. МАТВЕЕВА и ст. ведущего инженера по заводу № 112 т. ФРАДКИНА.</w:t>
      </w:r>
    </w:p>
    <w:p w14:paraId="4A79AC28"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Начальнику сектора кооперирования 1-го отдела т. МАТВЕЕВУ и ст. ведущему инженеру т. ФРАДКИНУ обеспечить поставку заводу № 112:</w:t>
      </w:r>
    </w:p>
    <w:p w14:paraId="38CE6801"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с завода № 113 коробок перемены передач, главных и бортовых фрикционов и поворотных механизмов в количестве 320 комплектов (по 11 компл. в сутки);</w:t>
      </w:r>
    </w:p>
    <w:p w14:paraId="6178B04C"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с ГАЗа радиаторов водяных и масляных 300 компл. (по 10 – 11 компл. в сутки) и поковок балансиров и кривошипов 350 компл. (по 12 компл. в сутки).</w:t>
      </w:r>
    </w:p>
    <w:p w14:paraId="6E104DD1"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 заводу № 174</w:t>
      </w:r>
    </w:p>
    <w:p w14:paraId="02862E96"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Начальнику Главснаба т. РОЗИНУ директору завода № 174 т. КАЦНЕЛЬСОН и начальникам контор Главснаба: Куйбышевской – т. ДЕДОВУ, Свердловской – т. НАГОРНОМУ, Новосибирской – т. ВЯЗЕМСКОМУ, Челябинской – т. МАГАРИЛЛ обеспечить доставку недостающих на июльскую программу дефицитных материалов и изделий в количествах и сроки отправки и поступления на завод, согласно приложению № 4.</w:t>
      </w:r>
    </w:p>
    <w:p w14:paraId="70B5D415"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Директорам заводов № 255 т. МОРОЗ, № 254 т. КОЗЛОВУ обеспечить выпуск электрооборудования в количествах и в сроки, обеспечивающие выполнение графика поставок согласно приложениям к настоящему приказу.</w:t>
      </w:r>
    </w:p>
    <w:p w14:paraId="0A960E30"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Директору Кировского завода т. МАХОНИНУ и директору завода № 112 т. РУБИНЧИК обеспечить поставку полуфабрикатов и деталей для заводов № 255 и № 254 по согласованному с заводами графику, с расчетом полного обеспечения потребности для выполнения задания по настоящему приказу.</w:t>
      </w:r>
    </w:p>
    <w:p w14:paraId="39AB08DA"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Контроль за выполнением настоящего приказа возлагаю:</w:t>
      </w:r>
    </w:p>
    <w:p w14:paraId="717F5C9F"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по Главснабу на Заместителя Наркома т. ЗЕРНОВА;</w:t>
      </w:r>
    </w:p>
    <w:p w14:paraId="3E114044"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по 1-му отделу на Заместителя Наркома т. СТЕПАНОВА;</w:t>
      </w:r>
    </w:p>
    <w:p w14:paraId="36DB37F6"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по Металлургическому отделу на Заместителя Наркома т. ПОПОВА.</w:t>
      </w:r>
    </w:p>
    <w:p w14:paraId="12FEA83E" w14:textId="77777777" w:rsidR="00B7071E" w:rsidRPr="00722885" w:rsidRDefault="00B7071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ТАНКОВОЙ ПРОМЫШЛЕННОСТИ СОЮЗА ССР подпись И. ЗАЛЬЦМАН (21217).</w:t>
      </w:r>
    </w:p>
    <w:p w14:paraId="4E891E20" w14:textId="77777777" w:rsidR="00B7071E" w:rsidRPr="00722885" w:rsidRDefault="00B7071E" w:rsidP="00722885">
      <w:pPr>
        <w:spacing w:after="0" w:line="240" w:lineRule="auto"/>
        <w:jc w:val="both"/>
        <w:rPr>
          <w:rFonts w:ascii="Times New Roman" w:hAnsi="Times New Roman"/>
          <w:color w:val="0070C0"/>
          <w:sz w:val="16"/>
          <w:szCs w:val="16"/>
        </w:rPr>
      </w:pPr>
    </w:p>
    <w:p w14:paraId="25F862DB"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11 июля 1942 английский Ocean Freedom из отправленного 27 июня 1942 года конвоя PQ-17, который вёз в СССР, в том числе, 25 английских тяжелых танков и был разгромлен, прибыл в Архангельск. На его борту находилось 5 Churchill II и 5 Churchill III.</w:t>
      </w:r>
    </w:p>
    <w:p w14:paraId="44F539A2"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После разгрома конвоя PQ-17 в поставках последовала долгая пауза. Следующая партия пришла с конвоем PQ-18, прибывшем в Архангельск 21 сентября 1942 года. На этот раз до портов добралось 74 Churchill. Этот конвой стал последним, в котором прибыли Churchill II. Английские источники утверждают, что всего в СССР было отправлено 45 Churchill II, из которых прибыли на место 26 штук. Цифра эта несколько отличается от реальности: из 74 танков, прибывших с конвоем PQ-18, к Churchill II относилось 15 машин. В общей же сложности поступило 20 таких танков, из них 19 отправили в 50-й </w:t>
      </w:r>
      <w:hyperlink r:id="rId20" w:history="1">
        <w:r w:rsidRPr="00722885">
          <w:rPr>
            <w:rFonts w:ascii="Times New Roman" w:eastAsia="Times New Roman" w:hAnsi="Times New Roman"/>
            <w:color w:val="000000" w:themeColor="text1"/>
            <w:sz w:val="16"/>
            <w:szCs w:val="16"/>
            <w:lang w:eastAsia="ru-RU"/>
          </w:rPr>
          <w:t>гвардейский тяжелый танковый полк</w:t>
        </w:r>
      </w:hyperlink>
      <w:r w:rsidRPr="00722885">
        <w:rPr>
          <w:rFonts w:ascii="Times New Roman" w:eastAsia="Times New Roman" w:hAnsi="Times New Roman"/>
          <w:color w:val="000000" w:themeColor="text1"/>
          <w:sz w:val="16"/>
          <w:szCs w:val="16"/>
          <w:lang w:eastAsia="ru-RU"/>
        </w:rPr>
        <w:t>. Еще один танк оказался в составе 194-й учебной танковой бригады.</w:t>
      </w:r>
    </w:p>
    <w:p w14:paraId="0EB0E009"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Разгром конвоя PQ-17 была лишь началом серии неудач, которые преследовали Churchill в СССР. К моменту, когда танки только разгружались в порту Архангельска, стали поступать весьма тревожные новости из Англии. Для начала, инженер-полковник Ковалёв сообщил, что у танков с 6-фунтовыми пушками есть проблемы, связанные с механизмом вертикальной наводки орудия. У одной машины такая проблема обнаружилась при разгрузке. Во время движения машины в порту Бакарица от тряски картер механизма поворота треснул. Хотя виновником был назначен воентехник 2-го ранга И.Ф. Лоленко, по факту виноватыми стоит считать англичан, которые об имевшемся дефекте не предупредили. Еще одной извечной проблемой танков «Черчилль» были крылья. У половины танков они при разгрузке оказались помятыми.</w:t>
      </w:r>
    </w:p>
    <w:p w14:paraId="328F6720"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Более существенной проблемой стало то, что двигатели танков нередко ломались. Об этой проблеме англичане знали, и связана она была отчасти с модернизацией танков. Из-за разгрома конвоя PQ-17 нужного количества запчастей не прибыло, в результате уже к концу августа 1942 года на один боеспособный танк стало меньше. Еще одной проблемой оказалось то, что эксперт по Churchill также не прибыл. Им, несмотря на возражения Главного автобронетанкового управления Красной армии (ГАБТУ), англичане назначили капитана Римингтона, но тот попал в немецкий плен. Вместо него был назначен капитан Кокс, который прибыл в СССР вместе с конвоем PQ-18 (17691).</w:t>
      </w:r>
    </w:p>
    <w:p w14:paraId="427416C2" w14:textId="77777777" w:rsidR="00B33D31" w:rsidRPr="00722885" w:rsidRDefault="00B33D31" w:rsidP="00722885">
      <w:pPr>
        <w:spacing w:after="0" w:line="240" w:lineRule="auto"/>
        <w:jc w:val="both"/>
        <w:rPr>
          <w:rFonts w:ascii="Times New Roman" w:hAnsi="Times New Roman"/>
          <w:color w:val="000000" w:themeColor="text1"/>
          <w:sz w:val="16"/>
          <w:szCs w:val="16"/>
        </w:rPr>
      </w:pPr>
    </w:p>
    <w:p w14:paraId="7A99EC0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генерал-майор Лебедев направил председателю арткома ГАУ Хохлову письмо, в котором писал:</w:t>
      </w:r>
    </w:p>
    <w:p w14:paraId="7E01141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тем, что количество имеющихся трофейных немецких машин „Артштурм“, пригодных для дальнейшей эксплуатации (после ремонта) исчисляется единицами, считаю установку на них 122-мм гаубицы обр. 1938 г. и испытание опытного образца такой установки, нецелесообразным» (12688).</w:t>
      </w:r>
    </w:p>
    <w:p w14:paraId="0A6DD70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2DF2B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вышло Постановление ГКО № 2012 О производстве танков, танковых дизелей, моторов, корпусов и о материально-техническом обеспечении танковой промышленности в III квартале 1942 г. РГАНИР, Фонд ГКО, д. 43, лл. 1-21, 22-132 (11012).</w:t>
      </w:r>
    </w:p>
    <w:p w14:paraId="369FD5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E1A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года была подготовлена справка:</w:t>
      </w:r>
    </w:p>
    <w:p w14:paraId="141C254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Прокатное оборудование завода № 38 НКВ эвакуировано на Нытвенский металлопрокатный завод (ныне завод № 54 НКВ) (9211).</w:t>
      </w:r>
    </w:p>
    <w:p w14:paraId="16CF088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8821C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года вышел приказ № 457с НКБ</w:t>
      </w:r>
    </w:p>
    <w:p w14:paraId="4484A23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Бывшему Ремонтно-механическому заводу Комбинату № 392, выделенному в самостоятельный уставной завод НКБ присвоить № 573 (5906, 25).</w:t>
      </w:r>
    </w:p>
    <w:p w14:paraId="2F50DAE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EB64A1"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208046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21AB8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в 1942 году утреннее сообщение Совинформбюро:</w:t>
      </w:r>
    </w:p>
    <w:p w14:paraId="4ABD761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11 июля наши войска вели бои с противником западнее Воронежа, в районе Кантемировка и на Лисичанском направлении.</w:t>
      </w:r>
    </w:p>
    <w:p w14:paraId="61681E8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7267260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части, действующие западнее Воронежа, наносят противнику огромные потери. Гвардейцы части, которой командует тов. Чухин, уничтожили 2.500 немецких солдат и офицеров, 10 танков, 3 броневика, 47 орудий разных калибров, 10 миномётов, 25 пулемётов, 17 автомашин и 4 тягача. Танкисты части, которой командует тов. Черниенко, за несколько дней уничтожили 72 орудия и до 4.000 солдат и офицеров противника. Экипаж танка в составе тт. Богомолова, Пшенина и Берта уничтожил 2 немецких танка и свыше 100 гитлеровцев. Командир танка лейтенант Рожикин за последние несколько дней участвовал в трёх боях и уничтожил 2 немецких танка и 3 противотанковых пушки.</w:t>
      </w:r>
    </w:p>
    <w:p w14:paraId="7A2A112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наши части выбили немцев из населённого пункта П. На поле боя остались сотни вражеских трупов. Уничтожено 5 немецких танков, 2 орудия, 3 тягача, 15 повозок с боеприпасами и 13 машин с пехотой противника. На другом участке наши танкисты во взаимодействии с пехотой уничтожили 2 немецких танка, 4 противотанковых орудия и 8 пулемётов. Немцы потеряли убитыми свыше 150 солдат и офицеров. Другая группа наших танкистов, действовавшая на том же участке, уничтожила 3 тяжёлых немецких танка, 2 противотанковых орудия и до 200 гитлеровцев.</w:t>
      </w:r>
    </w:p>
    <w:p w14:paraId="3AE23F05"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Артиллерийская батарея младшего лейтенанта Лысенко уничтожила 7 немецких ДЗОТов, миномётную батарею и 8 пулемётов.</w:t>
      </w:r>
    </w:p>
    <w:p w14:paraId="149881E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наших разведчиков под командованием капитана Короткова совершила внезапный налёт на немецкий гарнизон в деревне Т. В ожесточённой схватке гарнизон был разгромлен. Противник потерял убитыми 40 солдат и двух офицеров. Нашими бойцами захвачены 3 пулемёта, винтовки, автоматы и другое вооружение.</w:t>
      </w:r>
    </w:p>
    <w:p w14:paraId="39BC41A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витебских партизан под командованием тов. Ш. истребил 150 оккупантов, поджёг 3 немецких танка и 10 автомашин.</w:t>
      </w:r>
    </w:p>
    <w:p w14:paraId="062F692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110 полка 112 немецкой пехотной дивизии Адольф Шульц рассказал: «Дорога Гомель — Брянск подвергается постоянным нападениям партизан. Они совершают налёты не только на мелкие транспорты и группы солдат, но и на крупные подразделения и колонны. В целях предосторожности военные власти ограничили железнодорожное движение. Поезда ходят только днём, но, не смотря на это, аварии и крушения не прекращаются. На всём протяжении пути по обеим сторонам дороги валяются разбитые паровозы и вагоны.</w:t>
      </w:r>
    </w:p>
    <w:p w14:paraId="63E0D913"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Бельгийские патриоты ведут борьбу против немецких оккупантов. В конце июня на станции Ледеберг взорвалось несколько бомб. Движение поездов было прекращено на несколько дней. В Граммоне произошёл взрыв в казарме эсэсовцев. В Брюсселе при отправке на Восточный фронт эшелона так называемых бельгийских «добровольцев» на вокзале взорвалась бомба. Имеются убитые и раненые.</w:t>
      </w:r>
    </w:p>
    <w:p w14:paraId="43F48FA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Предприятия Наркомата миномётного вооружения с каждым днём увеличивают выпуск продукции. Завод, где директором тов. Полянцев, дал в июне месяце боеприпасов в два раза больше, чем в мае. На заводе, где директором тов. Раховский, 40 процентов рабочих-сдельщиков выполняют свыше двух норм в смену.» (14949).</w:t>
      </w:r>
    </w:p>
    <w:p w14:paraId="183907FD"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5EF43F76"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в 1942 году вечернее сообщение Совинформбюро:</w:t>
      </w:r>
    </w:p>
    <w:p w14:paraId="5B3387CE"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11 июля наши войска вели ожесточённые бои с противником на подступах к Воронежу, в районе Кантемировка и на Лисичанском направлении.</w:t>
      </w:r>
    </w:p>
    <w:p w14:paraId="62EDBFED"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55E8DBFC"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потоплено 5 немецких транспортов общим водоизмещением в 46 тысяч тонн.</w:t>
      </w:r>
    </w:p>
    <w:p w14:paraId="614C3A2C"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10 июля частями нашей авиации на различных участках фронта уничтожено или повреждено 89 немецких танков, 400 автомашин с войсками и грузами, подавлен огонь 3 батарей полевой артиллерии, взорвано три склада с боеприпасами, потоплены транспорт и сторожевой корабль, рассеяно и частью уничтожено до трёх батальонов пехоты противника.</w:t>
      </w:r>
    </w:p>
    <w:p w14:paraId="44608BD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участке северо-западнее Воронежа наши войска вели упорные бои против немецко-фашистских войск. Танкисты, которыми командует тов. Задорожный, нанесли немцам ряд тяжёлых ударов. Они уничтожили 3 немецких танка, 32 орудия, 34 пулемёта, 31 миномёт и разгромили пехотный полк противника. В этом бою особенно умело действовал экипаж танка старшего политрука тов. Ракова, который уничтожил 4 тяжёлых орудия и до 200 гитлеровцев.</w:t>
      </w:r>
    </w:p>
    <w:p w14:paraId="46E1997C"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Танкисты части, где командиром майор Бойко, за два дня боевых действий уничтожили 3 немецких танка, 12 орудий, 34 повозки с боеприпасами и 860 солдат и офицеров противника.</w:t>
      </w:r>
    </w:p>
    <w:p w14:paraId="57CA16D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ряде участков Калининского фронта наши войска отражали атаки противника.Часть под командованием тов. Волынского стремительным ударом сломила сопротивление немцев и выбила их из одного населённого пункта. На поле боя остались сотни вражеских трупов. На другом участке миномётчики гвардейской части мощным залпом по наступающему противнику уничтожили до 150 гитлеровцев и 3 противотанковых орудия. Сменив позиции, бойцы-миномётчики снова открыли огонь и истребили до 200 солдат и офицеров противника и подбили 2 лёгких немецких танка.</w:t>
      </w:r>
    </w:p>
    <w:p w14:paraId="7EDB2C6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 Борис Ковзан встретил в воздухе два немецких истребителя «Мессершмитт-109» и вступил с ними в бой. Плоскостью своей машины Ковзан таранил один немецкий самолёт. Другой истребитель противника не принял боя и скрылся.Это был третий успешный таран отважного, сталинского сокола.</w:t>
      </w:r>
    </w:p>
    <w:p w14:paraId="3943D77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Снайперы подразделения тов. Васильева в течение дня истребили 86 немцев. Особенно отличился снайпер тов. Солдаткин, уничтоживший в этот день 10 гитлеровцев.</w:t>
      </w:r>
    </w:p>
    <w:p w14:paraId="7AACEA7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Зенитная батарея лейтенанта Шашкова (западнее Воронежа) в один день сбила 2 немецких самолёта.</w:t>
      </w:r>
    </w:p>
    <w:p w14:paraId="56AC681E"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неотправленном письме, найденном у убитого немецкого фельдфебеля Вольфганга Брауна, говорится: «Два месяца мы находились в селе Вознесенском. Не подумай, что это был отдых. В России для нас нигде нет спокойного тыла. Здесь для немецкого солдата всюду фронт. В казарме — фронт, в частном доме — фронт, на вокзале и в поезде — тоже фронт... Всевозможные неприятные неожиданности отравляют нам жизнь. Представь — человек уходит на несколько часов из казармы и пропадает навеки. Так исчезли Герберт Никель, Роберт Мюллер, Гельмут Лангмайер. Взрослые и дети, мужчины и женщины ненавидят нас так, как только люди способны ненавидеть... Теперь я опять на фронте. Перед каждым завоёванным селом и на центральной его площади можно видеть наспех сооружённое кладбище со свежими могилами наших солдат. К сожалению, их очень много».</w:t>
      </w:r>
    </w:p>
    <w:p w14:paraId="2F23356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акта о зверствах немецко-фашистских мерзавцев над пленными бойцами Красной Армии: «На опушке леса у высоты Н. найдено 20 трупов зверски замученных гитлеровцами красноармейцев и командиров КраснойАрмии. Тела бойцов Вахромеева Б. А., Борисова В.Ф., Каинова Ахмеда, Батемова А.В. и Лицова М.А. изуродованы, половые органы и голени выжжены. Тело лейтенанта, личность которого установить невозможно, изрезано ножами. Фамилии остальных замученных также установить не удалось». Акт подписали: техник-интендант второго ранга Иванов, бойцы тт. Монов, Кулев, Болтачев, Петухов и Митюков.</w:t>
      </w:r>
    </w:p>
    <w:p w14:paraId="74C520A3"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Франкфурт-на-Майне (Германия) суд приговорил к смертной казни немецкого инженера Генриха Масса и пять рабочих. Осуждённые обвинялись в организации диверсий на химических заводах «Адлерверке» и «Грисгейм-электрон» (14949).</w:t>
      </w:r>
    </w:p>
    <w:p w14:paraId="4981F417"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0462E3E4" w14:textId="3919AFB0" w:rsidR="008775ED" w:rsidRPr="00722885" w:rsidRDefault="008775ED" w:rsidP="00722885">
      <w:pPr>
        <w:spacing w:after="0" w:line="240" w:lineRule="auto"/>
        <w:jc w:val="both"/>
        <w:rPr>
          <w:rStyle w:val="1pt1"/>
          <w:rFonts w:ascii="Times New Roman" w:hAnsi="Times New Roman" w:cs="Times New Roman"/>
          <w:i w:val="0"/>
          <w:iCs w:val="0"/>
          <w:color w:val="0070C0"/>
          <w:spacing w:val="0"/>
          <w:sz w:val="16"/>
          <w:szCs w:val="16"/>
        </w:rPr>
      </w:pPr>
      <w:r w:rsidRPr="00722885">
        <w:rPr>
          <w:rFonts w:ascii="Times New Roman" w:hAnsi="Times New Roman"/>
          <w:color w:val="0070C0"/>
          <w:sz w:val="16"/>
          <w:szCs w:val="16"/>
        </w:rPr>
        <w:t>11 июля 1942 в 21.15 четверка Ил-2 в сопровождении истребите</w:t>
      </w:r>
      <w:r w:rsidRPr="00722885">
        <w:rPr>
          <w:rFonts w:ascii="Times New Roman" w:hAnsi="Times New Roman"/>
          <w:color w:val="0070C0"/>
          <w:sz w:val="16"/>
          <w:szCs w:val="16"/>
        </w:rPr>
        <w:softHyphen/>
        <w:t xml:space="preserve">лей атаковала группу германо-финских кораблей и катеров. Несмотря на бодрые заявления, противник почти не пострадал, а катер </w:t>
      </w:r>
      <w:r w:rsidRPr="00722885">
        <w:rPr>
          <w:rFonts w:ascii="Times New Roman" w:hAnsi="Times New Roman"/>
          <w:color w:val="0070C0"/>
          <w:sz w:val="16"/>
          <w:szCs w:val="16"/>
          <w:lang w:val="en-US"/>
        </w:rPr>
        <w:t>VMV</w:t>
      </w:r>
      <w:r w:rsidRPr="00722885">
        <w:rPr>
          <w:rFonts w:ascii="Times New Roman" w:hAnsi="Times New Roman"/>
          <w:color w:val="0070C0"/>
          <w:sz w:val="16"/>
          <w:szCs w:val="16"/>
        </w:rPr>
        <w:t>-11 огнем 40-мм «Бофорса» (шведский зенитный полуавтомат) сбил машину сержанта А. И. Кирова. Летчик погиб. Зато на следующий день 57-й ШАП взял реванш. В 12.15 пя</w:t>
      </w:r>
      <w:r w:rsidRPr="00722885">
        <w:rPr>
          <w:rFonts w:ascii="Times New Roman" w:hAnsi="Times New Roman"/>
          <w:color w:val="0070C0"/>
          <w:sz w:val="16"/>
          <w:szCs w:val="16"/>
        </w:rPr>
        <w:softHyphen/>
        <w:t>терка «Илов», ведомая подп-ком Морозовым, нанесла удар 100-кг бомбами по финской канлодке «Хямеенмаа» и герман</w:t>
      </w:r>
      <w:r w:rsidRPr="00722885">
        <w:rPr>
          <w:rFonts w:ascii="Times New Roman" w:hAnsi="Times New Roman"/>
          <w:color w:val="0070C0"/>
          <w:sz w:val="16"/>
          <w:szCs w:val="16"/>
        </w:rPr>
        <w:softHyphen/>
        <w:t>ской плавбатарее «Ост». Не повезло финнам: в их корабль уго</w:t>
      </w:r>
      <w:r w:rsidRPr="00722885">
        <w:rPr>
          <w:rFonts w:ascii="Times New Roman" w:hAnsi="Times New Roman"/>
          <w:color w:val="0070C0"/>
          <w:sz w:val="16"/>
          <w:szCs w:val="16"/>
        </w:rPr>
        <w:softHyphen/>
        <w:t>дила одна бомба и</w:t>
      </w:r>
      <w:r w:rsidRPr="00722885">
        <w:rPr>
          <w:rStyle w:val="1pt1"/>
          <w:rFonts w:ascii="Times New Roman" w:hAnsi="Times New Roman" w:cs="Times New Roman"/>
          <w:i w:val="0"/>
          <w:iCs w:val="0"/>
          <w:color w:val="0070C0"/>
          <w:spacing w:val="0"/>
          <w:sz w:val="16"/>
          <w:szCs w:val="16"/>
        </w:rPr>
        <w:t xml:space="preserve"> «попала,</w:t>
      </w:r>
      <w:r w:rsidRPr="00722885">
        <w:rPr>
          <w:rFonts w:ascii="Times New Roman" w:hAnsi="Times New Roman"/>
          <w:color w:val="0070C0"/>
          <w:sz w:val="16"/>
          <w:szCs w:val="16"/>
        </w:rPr>
        <w:t xml:space="preserve"> — как указывается в Боевом журна</w:t>
      </w:r>
      <w:r w:rsidRPr="00722885">
        <w:rPr>
          <w:rFonts w:ascii="Times New Roman" w:hAnsi="Times New Roman"/>
          <w:color w:val="0070C0"/>
          <w:sz w:val="16"/>
          <w:szCs w:val="16"/>
        </w:rPr>
        <w:softHyphen/>
        <w:t>ле Штаба ВМС Финляндии, —</w:t>
      </w:r>
      <w:r w:rsidRPr="00722885">
        <w:rPr>
          <w:rStyle w:val="1pt1"/>
          <w:rFonts w:ascii="Times New Roman" w:hAnsi="Times New Roman" w:cs="Times New Roman"/>
          <w:i w:val="0"/>
          <w:iCs w:val="0"/>
          <w:color w:val="0070C0"/>
          <w:spacing w:val="0"/>
          <w:sz w:val="16"/>
          <w:szCs w:val="16"/>
        </w:rPr>
        <w:t xml:space="preserve"> в носовую часть с левой стороны, разорвав борт вплоть до ватерлинии. Взрыв произошел во внутренних помещениях носовой части. Орудие «Мадсен»</w:t>
      </w:r>
      <w:r w:rsidRPr="00722885">
        <w:rPr>
          <w:rFonts w:ascii="Times New Roman" w:hAnsi="Times New Roman"/>
          <w:color w:val="0070C0"/>
          <w:sz w:val="16"/>
          <w:szCs w:val="16"/>
        </w:rPr>
        <w:t xml:space="preserve"> (дат</w:t>
      </w:r>
      <w:r w:rsidRPr="00722885">
        <w:rPr>
          <w:rFonts w:ascii="Times New Roman" w:hAnsi="Times New Roman"/>
          <w:color w:val="0070C0"/>
          <w:sz w:val="16"/>
          <w:szCs w:val="16"/>
        </w:rPr>
        <w:softHyphen/>
        <w:t>ский 20-мм зенитный автомат</w:t>
      </w:r>
      <w:r w:rsidRPr="00722885">
        <w:rPr>
          <w:rStyle w:val="aff8"/>
          <w:rFonts w:ascii="Times New Roman" w:hAnsi="Times New Roman" w:cs="Times New Roman"/>
          <w:color w:val="0070C0"/>
          <w:spacing w:val="0"/>
          <w:sz w:val="16"/>
          <w:szCs w:val="16"/>
        </w:rPr>
        <w:t>)</w:t>
      </w:r>
      <w:r w:rsidRPr="00722885">
        <w:rPr>
          <w:rStyle w:val="1pt1"/>
          <w:rFonts w:ascii="Times New Roman" w:hAnsi="Times New Roman" w:cs="Times New Roman"/>
          <w:i w:val="0"/>
          <w:iCs w:val="0"/>
          <w:color w:val="0070C0"/>
          <w:spacing w:val="0"/>
          <w:sz w:val="16"/>
          <w:szCs w:val="16"/>
        </w:rPr>
        <w:t xml:space="preserve"> полностью выведено из строя. Носовое орудие</w:t>
      </w:r>
      <w:r w:rsidRPr="00722885">
        <w:rPr>
          <w:rFonts w:ascii="Times New Roman" w:hAnsi="Times New Roman"/>
          <w:color w:val="0070C0"/>
          <w:sz w:val="16"/>
          <w:szCs w:val="16"/>
        </w:rPr>
        <w:t xml:space="preserve"> (100-мм</w:t>
      </w:r>
      <w:r w:rsidRPr="00722885">
        <w:rPr>
          <w:rStyle w:val="aff8"/>
          <w:rFonts w:ascii="Times New Roman" w:hAnsi="Times New Roman" w:cs="Times New Roman"/>
          <w:color w:val="0070C0"/>
          <w:spacing w:val="0"/>
          <w:sz w:val="16"/>
          <w:szCs w:val="16"/>
        </w:rPr>
        <w:t>)</w:t>
      </w:r>
      <w:r w:rsidRPr="00722885">
        <w:rPr>
          <w:rStyle w:val="1pt1"/>
          <w:rFonts w:ascii="Times New Roman" w:hAnsi="Times New Roman" w:cs="Times New Roman"/>
          <w:i w:val="0"/>
          <w:iCs w:val="0"/>
          <w:color w:val="0070C0"/>
          <w:spacing w:val="0"/>
          <w:sz w:val="16"/>
          <w:szCs w:val="16"/>
        </w:rPr>
        <w:t xml:space="preserve"> выглядит целым, но не проворачивается. Потери в личном составе: 4 погибших и 9 ра</w:t>
      </w:r>
      <w:r w:rsidRPr="00722885">
        <w:rPr>
          <w:rStyle w:val="1pt1"/>
          <w:rFonts w:ascii="Times New Roman" w:hAnsi="Times New Roman" w:cs="Times New Roman"/>
          <w:i w:val="0"/>
          <w:iCs w:val="0"/>
          <w:color w:val="0070C0"/>
          <w:spacing w:val="0"/>
          <w:sz w:val="16"/>
          <w:szCs w:val="16"/>
        </w:rPr>
        <w:softHyphen/>
        <w:t>неных» (19854).</w:t>
      </w:r>
    </w:p>
    <w:p w14:paraId="60CD421F" w14:textId="77777777" w:rsidR="008775ED" w:rsidRPr="00722885" w:rsidRDefault="008775ED" w:rsidP="00722885">
      <w:pPr>
        <w:spacing w:after="0" w:line="240" w:lineRule="auto"/>
        <w:jc w:val="both"/>
        <w:rPr>
          <w:rFonts w:ascii="Times New Roman" w:hAnsi="Times New Roman"/>
          <w:color w:val="0070C0"/>
          <w:sz w:val="16"/>
          <w:szCs w:val="16"/>
        </w:rPr>
      </w:pPr>
    </w:p>
    <w:p w14:paraId="197DFF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л АДД С.М.Алешин бомбардировал в районе ст. Чудово огневые позиции. Снизился до 600 м. Один мотор - загорелся. Заметив склад боеприпасов направил туда самолет. Погиб и ш В.А.Гончарук и с-р Н.А.Бобров. Посмертно - ГСС (438,850).</w:t>
      </w:r>
    </w:p>
    <w:p w14:paraId="11B925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89C0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в боях под Сталинградом экипаж б во главе с сер. Н.И.Дивиченко был атакован в 8 км от цели и. Подбитый с загорелся. Направил на стоянку, бомбя и расстреливая. Стрелок Ежов был убит, радист - отстреливался. Увидев колонну заправщиков Дивиченко направил машину туда и сбросил последние бомбы. Взрыв подбросил самолет на кустарник, тот самортизировал и машина скатилась в овраг. экипаж остался див и перешел через линию фронта (438,850).</w:t>
      </w:r>
    </w:p>
    <w:p w14:paraId="24B7458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3760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из-за больших потерь в танках, на восточный берег Дона переправилась 4-я гвардейская бригада, передав оставшиеся 3 КВ и 13 Т-60 24-й мотострелковой бригаде. 14 июля переправилась 54-я танковая бригада, передав оставшиеся 5 Т-34 и 5 Т-60 130-й танковой бригаде. Кроме танков, в распоряжение 130-й бригады были переданы мотострелковые батальоны 4-й гвардейской и 54-й танковых бригад.</w:t>
      </w:r>
    </w:p>
    <w:p w14:paraId="0804D6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Части 24-го танкового корпуса вели бои в районе Урыв вплоть до конца июля, а затем были отведены в тыл. По состоянию на вечер 25 июля части корпуса еще имели на ходу 13 танков, из них 7 Т-34 (12217).</w:t>
      </w:r>
    </w:p>
    <w:p w14:paraId="3CA1BC5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3C2C1F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фашисты захватили Лисичанск (Донбасс) (4962).</w:t>
      </w:r>
    </w:p>
    <w:p w14:paraId="0198570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4FA51F"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Внешняя политика:</w:t>
      </w:r>
    </w:p>
    <w:p w14:paraId="267E80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17D621"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в 1942 году в Вашингтоне подписывается американо-советское соглашение о распространении на СССР американской военной помощи (ленд-лиз) (14949).</w:t>
      </w:r>
    </w:p>
    <w:p w14:paraId="537E8F72"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3951F1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года вышло Постановлением Секретариата ИККИ в целях улучшения организации оперативной работы ИККИ на заграницу в условиях войны решено выделить их Хозяйственно-Оперативного Управления ИККИ всю оперативную работу, связанную с заграницей, в самостоятельный Первый отдел, подчиненный непосредственно Генеральному Секретарю ИККИ Г.Димитрову (8983).</w:t>
      </w:r>
    </w:p>
    <w:p w14:paraId="17BD4E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B0BF3"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29B639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C6D8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1750 Ланкастеров атаковали Данциг (2100).</w:t>
      </w:r>
    </w:p>
    <w:p w14:paraId="3D6309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1910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июля 1942 агентами ФБР одновременно арестованы 158 человек, обвиненных в сотрудничестве с Германией (4962).</w:t>
      </w:r>
    </w:p>
    <w:p w14:paraId="6ED5A59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E68DA"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164922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B6AD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вышел приказ НКАП N 517а/с:</w:t>
      </w:r>
    </w:p>
    <w:p w14:paraId="1130E8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обеспечения выполнения правительственных заданий, возложенных на ГК Ермолаева:</w:t>
      </w:r>
    </w:p>
    <w:p w14:paraId="1C4B31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Опытный самолетный завод ГК Ермолаева переведенное с территории завода 240, впредь именовать завод 134 с подчинение 7 ГУ" (1571,131).</w:t>
      </w:r>
    </w:p>
    <w:p w14:paraId="0BAB49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7E9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г. по приказу НКАП № 517с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 (10776).</w:t>
      </w:r>
    </w:p>
    <w:p w14:paraId="0D0C061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23F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г. по приказу № 517с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w:t>
      </w:r>
    </w:p>
    <w:p w14:paraId="6B6D26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модернизации Ер-2: модификации с дизелями М-30, М-31, пассажирский Ер-20Н.</w:t>
      </w:r>
    </w:p>
    <w:p w14:paraId="5564031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НКАП № 424с от 5.07.1944 г. большая часть оборудования, корпус «Г» и часть личного состава завода № 89 переданы заводу № 134 НКАП для укрепления его производственной базы.</w:t>
      </w:r>
    </w:p>
    <w:p w14:paraId="78D7410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смерти Ермолаева в 03.1945 г. завод № 134 НКАП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722885">
        <w:rPr>
          <w:rFonts w:ascii="Times New Roman" w:hAnsi="Times New Roman"/>
          <w:color w:val="000000" w:themeColor="text1"/>
          <w:sz w:val="16"/>
          <w:szCs w:val="16"/>
          <w:vertAlign w:val="superscript"/>
        </w:rPr>
        <w:t>34</w:t>
      </w:r>
      <w:r w:rsidRPr="00722885">
        <w:rPr>
          <w:rFonts w:ascii="Times New Roman" w:hAnsi="Times New Roman"/>
          <w:color w:val="000000" w:themeColor="text1"/>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74E681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4A0EBB2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322E1E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393сс от 24.05.1949 г. все помещения на территориях «а» и «б» переданы НИИ-2.</w:t>
      </w:r>
    </w:p>
    <w:p w14:paraId="2E657BE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722885">
        <w:rPr>
          <w:rFonts w:ascii="Times New Roman" w:hAnsi="Times New Roman"/>
          <w:color w:val="000000" w:themeColor="text1"/>
          <w:sz w:val="16"/>
          <w:szCs w:val="16"/>
          <w:lang w:val="en-US"/>
        </w:rPr>
        <w:t>MB</w:t>
      </w:r>
      <w:r w:rsidRPr="00722885">
        <w:rPr>
          <w:rFonts w:ascii="Times New Roman" w:hAnsi="Times New Roman"/>
          <w:color w:val="000000" w:themeColor="text1"/>
          <w:sz w:val="16"/>
          <w:szCs w:val="16"/>
        </w:rPr>
        <w:t>.</w:t>
      </w:r>
    </w:p>
    <w:p w14:paraId="064F5F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на завод передано 386 единиц оборудования с завода Юнкерса в  г. Хальберштадт (Германия).</w:t>
      </w:r>
    </w:p>
    <w:p w14:paraId="2E0610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39B916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комплексным системам огневой защиты Ту-16 и Ту-95.</w:t>
      </w:r>
    </w:p>
    <w:p w14:paraId="0CAAC6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0E8555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2C265E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  Г.И. Хохловым.</w:t>
      </w:r>
    </w:p>
    <w:p w14:paraId="56F365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1985 г. НИР «Клеенка» по разработке Р-27П. В начале 1990-х  г. - НИР «Ельник» по ракете РВВ-АЕ.</w:t>
      </w:r>
    </w:p>
    <w:p w14:paraId="528F89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6794A7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Ильин. Руководитель (1981-2004 г.)-  Г.А. Соколовский. Гендиректор (2005 г.)- В.А. Рац.</w:t>
      </w:r>
    </w:p>
    <w:p w14:paraId="4CFDAF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Зам. гендиректора: по производству (1999 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Ильин; по ВЭД (2002 г.)- В.Н. Сычев.</w:t>
      </w:r>
    </w:p>
    <w:p w14:paraId="3B507D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  Г.А. Соколовский {10.08.1934-}.</w:t>
      </w:r>
    </w:p>
    <w:p w14:paraId="19D9B4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(1980-е)- В.А. Пустовойтов.</w:t>
      </w:r>
    </w:p>
    <w:p w14:paraId="4FF2A5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А. Кегелес (Р-73), (1982-11.1986 г.)-  Г.И. Хохлов (УРВП; затем- гл. конструктор ОКБ «Звезда»), (2005 г.)- В. Г. Богацкий, (2005 г.)- В.К. Елецкий.</w:t>
      </w:r>
    </w:p>
    <w:p w14:paraId="2AC60D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производства (-1961 г.)- А.Л. Ляпин.</w:t>
      </w:r>
    </w:p>
    <w:p w14:paraId="0AF19A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Ведущие конструкторы: (1949 г.)- Б.С. Абрамович (ПВ-23).</w:t>
      </w:r>
    </w:p>
    <w:p w14:paraId="71BF1F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4C1D81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Летчики-испытатели: (1946 г.)- Фиксон, (1946 г.)- Шиянов.</w:t>
      </w:r>
    </w:p>
    <w:p w14:paraId="22F779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0AFF61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983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г. по приказу № 517с В 04-07.1942 г. территория «Б» завода № 240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была преобразована в самостоятельный опытный завод № 134 НКАП (11982).</w:t>
      </w:r>
    </w:p>
    <w:p w14:paraId="5952AE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A6E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г. по приказу № 517с за ОКБ Ермолаева окончательно закреплена в качестве опытной базы вся территория «б» завода № 240, которая была выделена в самостоятельный завод № 134 НКАП.</w:t>
      </w:r>
    </w:p>
    <w:p w14:paraId="63A5B00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(1930-02.1938 г.)- Р.Л. Бартини (арестован), (02.1938 г.-)- З.Б. Ценципер. Гл. конструктор (1939- 07.1942 г.)- В. Г. Ермолаев {22.08.1909-31.12.1944}.</w:t>
      </w:r>
    </w:p>
    <w:p w14:paraId="665FD98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руководителя (1938 г.)- М.В. Орлов.</w:t>
      </w:r>
    </w:p>
    <w:p w14:paraId="062A1F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бригад: Н.В. Синелыциков, В.В. Смирнов (11982).</w:t>
      </w:r>
    </w:p>
    <w:p w14:paraId="1917FD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69A8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л завода 301 Н.А.Балышев совершил поломку Як-7, т.к. по халатности при работе на малом газу убрал шасси (2108).</w:t>
      </w:r>
    </w:p>
    <w:p w14:paraId="1880C4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EE6B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произошла катастрофа и был разбит опытный Ла-5 N 372100 с М-82 N 6501355 под управлением л А.А.Третьякова (2130).</w:t>
      </w:r>
    </w:p>
    <w:p w14:paraId="3B8FEE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D7E7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г. из-за пожара двигателя опытный ЛаГГ-3 М-82 разбился. Летчик Третьяков погиб. При содействии КБ №№19 и № 289, ЛИИ и ЦИАМ удалось довести винтомоторную группу. Наряду с повышением надежности, важнейшим направлением совершенствования Ла-5 стало снижение веса. Замена электрозапуска мотора на воздушный дала экономию в 20 кг, улучшение качества склейки — еще 20, удаление груза в хвосте —15 кг, затем «подчистили» трубопроводы и проводку управления. В итоге взлетную массу удалось снизить с 3370 кг у опытной машины до 3200 кг в серии (11123).</w:t>
      </w:r>
    </w:p>
    <w:p w14:paraId="69D93EB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Внедрялись прогрессивные техпроцессы, позволявшие увеличить темп выпуска Ла-5. Например, сначала капоты Ла-5 приходилось «выколачивать» вруч</w:t>
      </w:r>
      <w:r w:rsidRPr="00722885">
        <w:rPr>
          <w:rFonts w:ascii="Times New Roman" w:hAnsi="Times New Roman"/>
          <w:color w:val="000000" w:themeColor="text1"/>
          <w:sz w:val="16"/>
          <w:szCs w:val="16"/>
        </w:rPr>
        <w:softHyphen/>
        <w:t>ную, но 1 июля 1942 г. были сданы первые штампы, обеспечившие ежесуточный выпуск деталей для 2 са</w:t>
      </w:r>
      <w:r w:rsidRPr="00722885">
        <w:rPr>
          <w:rFonts w:ascii="Times New Roman" w:hAnsi="Times New Roman"/>
          <w:color w:val="000000" w:themeColor="text1"/>
          <w:sz w:val="16"/>
          <w:szCs w:val="16"/>
        </w:rPr>
        <w:softHyphen/>
        <w:t>молетов, а к концу месяца организовали новый участок с суточной производительностью 6 комплектов. То же происходило с литьем и горячей штамповкой. По всему планеру шла работа по замене дельта-древесины на обычную. В конечном итоге из «дельты» делали только силовые шпангоуты, лонжероны оперения и обшивку в особо нагруженных зонах. Без потери прочности удалось уменьшить вес самолета и его сто</w:t>
      </w:r>
      <w:r w:rsidRPr="00722885">
        <w:rPr>
          <w:rFonts w:ascii="Times New Roman" w:hAnsi="Times New Roman"/>
          <w:color w:val="000000" w:themeColor="text1"/>
          <w:sz w:val="16"/>
          <w:szCs w:val="16"/>
        </w:rPr>
        <w:softHyphen/>
        <w:t>имость (11123).</w:t>
      </w:r>
    </w:p>
    <w:p w14:paraId="4E4902F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гарантировал наработку М-82А до ремонта 100 ч, но реально ресурс был меньше. Из-за ухудше</w:t>
      </w:r>
      <w:r w:rsidRPr="00722885">
        <w:rPr>
          <w:rFonts w:ascii="Times New Roman" w:hAnsi="Times New Roman"/>
          <w:color w:val="000000" w:themeColor="text1"/>
          <w:sz w:val="16"/>
          <w:szCs w:val="16"/>
        </w:rPr>
        <w:softHyphen/>
        <w:t>ния подгонки поршневых пар и колец в камерах сгора</w:t>
      </w:r>
      <w:r w:rsidRPr="00722885">
        <w:rPr>
          <w:rFonts w:ascii="Times New Roman" w:hAnsi="Times New Roman"/>
          <w:color w:val="000000" w:themeColor="text1"/>
          <w:sz w:val="16"/>
          <w:szCs w:val="16"/>
        </w:rPr>
        <w:softHyphen/>
        <w:t xml:space="preserve">ния нижних цилиндров скапливалось масло, мотор дымил и закапчивал весь фюзеляж. Но если не все скопившееся масло выбрасывалось через выхлопные патрубки, возникал </w:t>
      </w:r>
      <w:r w:rsidRPr="00722885">
        <w:rPr>
          <w:rFonts w:ascii="Times New Roman" w:hAnsi="Times New Roman"/>
          <w:color w:val="000000" w:themeColor="text1"/>
          <w:sz w:val="16"/>
          <w:szCs w:val="16"/>
        </w:rPr>
        <w:lastRenderedPageBreak/>
        <w:t>жесткий удар на такте сжатия и, как следствие, обрыв шатуна или разрушение головки цилиндра. Применяемые на М-82 свечи ВГ-12 выдер</w:t>
      </w:r>
      <w:r w:rsidRPr="00722885">
        <w:rPr>
          <w:rFonts w:ascii="Times New Roman" w:hAnsi="Times New Roman"/>
          <w:color w:val="000000" w:themeColor="text1"/>
          <w:sz w:val="16"/>
          <w:szCs w:val="16"/>
        </w:rPr>
        <w:softHyphen/>
        <w:t>живали по 5 ч, и в период интенсивных боев на один Ла-5 требовалось по 14 свечей в день. Проблема кры</w:t>
      </w:r>
      <w:r w:rsidRPr="00722885">
        <w:rPr>
          <w:rFonts w:ascii="Times New Roman" w:hAnsi="Times New Roman"/>
          <w:color w:val="000000" w:themeColor="text1"/>
          <w:sz w:val="16"/>
          <w:szCs w:val="16"/>
        </w:rPr>
        <w:softHyphen/>
        <w:t>лась в неудачной форме головок цилиндров: свечи постоянно находились в масле, от которого закапчи</w:t>
      </w:r>
      <w:r w:rsidRPr="00722885">
        <w:rPr>
          <w:rFonts w:ascii="Times New Roman" w:hAnsi="Times New Roman"/>
          <w:color w:val="000000" w:themeColor="text1"/>
          <w:sz w:val="16"/>
          <w:szCs w:val="16"/>
        </w:rPr>
        <w:softHyphen/>
        <w:t>вались, а на копоть оседал свинец из этилированного бензина (11123).</w:t>
      </w:r>
    </w:p>
    <w:p w14:paraId="6203DF4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Первоначально Руководство по летной эксплуата</w:t>
      </w:r>
      <w:r w:rsidRPr="00722885">
        <w:rPr>
          <w:rFonts w:ascii="Times New Roman" w:hAnsi="Times New Roman"/>
          <w:color w:val="000000" w:themeColor="text1"/>
          <w:sz w:val="16"/>
          <w:szCs w:val="16"/>
        </w:rPr>
        <w:softHyphen/>
        <w:t>ции самолета Ла-5 М-82А разрешало держать взлет</w:t>
      </w:r>
      <w:r w:rsidRPr="00722885">
        <w:rPr>
          <w:rFonts w:ascii="Times New Roman" w:hAnsi="Times New Roman"/>
          <w:color w:val="000000" w:themeColor="text1"/>
          <w:sz w:val="16"/>
          <w:szCs w:val="16"/>
        </w:rPr>
        <w:softHyphen/>
        <w:t>ный режим (1700 л.с.) у земли в течение 5 минут. Опытный самолет на таком режиме разгонялся до 600 км/ч, а на номинале (1400 л.с.) только до 515 км/ч. Но если летчик увлекался и не выключал форсаж вов</w:t>
      </w:r>
      <w:r w:rsidRPr="00722885">
        <w:rPr>
          <w:rFonts w:ascii="Times New Roman" w:hAnsi="Times New Roman"/>
          <w:color w:val="000000" w:themeColor="text1"/>
          <w:sz w:val="16"/>
          <w:szCs w:val="16"/>
        </w:rPr>
        <w:softHyphen/>
        <w:t>ремя, новый мотор через 10 минут клинило, а срабо</w:t>
      </w:r>
      <w:r w:rsidRPr="00722885">
        <w:rPr>
          <w:rFonts w:ascii="Times New Roman" w:hAnsi="Times New Roman"/>
          <w:color w:val="000000" w:themeColor="text1"/>
          <w:sz w:val="16"/>
          <w:szCs w:val="16"/>
        </w:rPr>
        <w:softHyphen/>
        <w:t>танный не вытягивал и разрешенных 5 минут. Строе</w:t>
      </w:r>
      <w:r w:rsidRPr="00722885">
        <w:rPr>
          <w:rFonts w:ascii="Times New Roman" w:hAnsi="Times New Roman"/>
          <w:color w:val="000000" w:themeColor="text1"/>
          <w:sz w:val="16"/>
          <w:szCs w:val="16"/>
        </w:rPr>
        <w:softHyphen/>
        <w:t>вые летчики постоянно докладывали, что какой-либо Ла-5 их группы не вернулся из вылета по причине от</w:t>
      </w:r>
      <w:r w:rsidRPr="00722885">
        <w:rPr>
          <w:rFonts w:ascii="Times New Roman" w:hAnsi="Times New Roman"/>
          <w:color w:val="000000" w:themeColor="text1"/>
          <w:sz w:val="16"/>
          <w:szCs w:val="16"/>
        </w:rPr>
        <w:softHyphen/>
        <w:t>каза мотора в бою. Проведенные в ЛИИ испытания подтвердили объективность претензий, и использо</w:t>
      </w:r>
      <w:r w:rsidRPr="00722885">
        <w:rPr>
          <w:rFonts w:ascii="Times New Roman" w:hAnsi="Times New Roman"/>
          <w:color w:val="000000" w:themeColor="text1"/>
          <w:sz w:val="16"/>
          <w:szCs w:val="16"/>
        </w:rPr>
        <w:softHyphen/>
        <w:t>вать форсаж в бою запретили. Без него скорость у земли упала до 505-510 км/ч, с 600 до 580 км/ч снизи</w:t>
      </w:r>
      <w:r w:rsidRPr="00722885">
        <w:rPr>
          <w:rFonts w:ascii="Times New Roman" w:hAnsi="Times New Roman"/>
          <w:color w:val="000000" w:themeColor="text1"/>
          <w:sz w:val="16"/>
          <w:szCs w:val="16"/>
        </w:rPr>
        <w:softHyphen/>
        <w:t>лась скорость на 2-й границе высотности, а время на</w:t>
      </w:r>
      <w:r w:rsidRPr="00722885">
        <w:rPr>
          <w:rFonts w:ascii="Times New Roman" w:hAnsi="Times New Roman"/>
          <w:color w:val="000000" w:themeColor="text1"/>
          <w:sz w:val="16"/>
          <w:szCs w:val="16"/>
        </w:rPr>
        <w:softHyphen/>
        <w:t>бора высоты 5000 м выросло с 5,2 мин у опытного са</w:t>
      </w:r>
      <w:r w:rsidRPr="00722885">
        <w:rPr>
          <w:rFonts w:ascii="Times New Roman" w:hAnsi="Times New Roman"/>
          <w:color w:val="000000" w:themeColor="text1"/>
          <w:sz w:val="16"/>
          <w:szCs w:val="16"/>
        </w:rPr>
        <w:softHyphen/>
        <w:t>молета до 6,0 (11123).</w:t>
      </w:r>
    </w:p>
    <w:p w14:paraId="499971F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B531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июля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2847138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3E70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года вышел приказ № 461с НКБ</w:t>
      </w:r>
    </w:p>
    <w:p w14:paraId="7B829CA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выполнения срочных спецзаказов НКБ по спецавиабомбам:</w:t>
      </w:r>
    </w:p>
    <w:p w14:paraId="5CBFC95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Организовать в Москве филиал КБ-35. Филиал временно разместить в ЦИТМе НКБ (5906, 41).</w:t>
      </w:r>
    </w:p>
    <w:p w14:paraId="449B19F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3F1383"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47DC3D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EFFBAF"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июля 1942 г.</w:t>
      </w:r>
    </w:p>
    <w:p w14:paraId="2C97560C"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97 – 94</w:t>
      </w:r>
    </w:p>
    <w:p w14:paraId="44CCCC4C"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Сов.секретно.</w:t>
      </w:r>
    </w:p>
    <w:p w14:paraId="7FC65373"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515сс</w:t>
      </w:r>
    </w:p>
    <w:p w14:paraId="767C6CCB"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1E669811"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июля 1942 г.</w:t>
      </w:r>
    </w:p>
    <w:p w14:paraId="60E48271"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 мерах помощи заводу № 112 Наркомтанкопрома.</w:t>
      </w:r>
    </w:p>
    <w:p w14:paraId="396D00B8"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 исполнение постановления ГОКО за № 2003сс от 9.VII-с.г. по обеспечению выпуска танков Т-34 в III квартале с.г. на заводе № 112 ПРИКАЗЫВАЮ:</w:t>
      </w:r>
    </w:p>
    <w:p w14:paraId="25C15A41"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Директору завода № 112 тов. Рубинчику обеспечить поставку необходимого количества металла Горьковскому Автозаводу и заводу фрезерных станков для изготовления штамповок, деталей и узлов в соответствии с постановлением ГОКО, которым обязываются: Наркомсредмаш (тов. Акопов), директор Горьковского Автозавода (тов. Лоскутов), а также Наркомстанкостроения (тов. Ефремов), директор завода фрезерных станов (тов. Рябов) обеспечить безусловное выполнение графика поставки штамповок, деталей и узлов танка Т-34 заводу № 112, согласно постановлению ГОКО от 5 июня с.г. за № 1880сс и создание в течение июля с.г. 10-дневого переходящего задела по штамповкам, деталям и узлам.</w:t>
      </w:r>
    </w:p>
    <w:p w14:paraId="05B02710"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Наркомсредмашу (тов. Акопову) и Наркомстанкостроения (тов. Ефремову) ГОКО предложено лично утвердить до 10 июля с.г. график поставки штамповки, деталей и узлов заводу № 112 Наркомтанкопрома для обеспечения создания 10-дневого переходящего задела.</w:t>
      </w:r>
    </w:p>
    <w:p w14:paraId="51D7542C"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Обязать директора Сталинградского тракторного завода тов. Задорожного отгрузить заводу № 112 траки: в июле 200 комплектов и в августе 100 комплектов, обязав директора завода № 112 тов. Рубинчика обеспечить в июле и августе частичную, а в сентябре полную комплектацию танков траками собственного производства.</w:t>
      </w:r>
    </w:p>
    <w:p w14:paraId="4CC50123"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Начальнику Главснаба тов. Розину и директору завода № 112 тов. Рубинчику безусловно обеспечить реализацию постановления ГОКО, которым обязываются Наркомчермет тов. Тевосян и директора заводов:</w:t>
      </w:r>
    </w:p>
    <w:p w14:paraId="3CC97DCC"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"Красный Октябрь" – тов. Матвеев – выполнить заказы по углеродистому, сортовому, легированному, горячекатаному металлу в полном соответствии с выделенными заводом № 112 нарядами;</w:t>
      </w:r>
    </w:p>
    <w:p w14:paraId="18EBCC09"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Магнитогорского – тов. Носов, Кузнецкого – тов. Белан, Саткинского – тов. Минаев июльские фонды завода № 112 по листовому железу, листовой углеродистой конструкционной стали, чугунам и ферросплавам закончить отгрузкой к 25 июля с.г., отгружая чугуны и ферросплавы маршрутам;</w:t>
      </w:r>
    </w:p>
    <w:p w14:paraId="28FF2F57"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Начальник Главогнеупора тов. Новиков и директора заводов: Боровического – тов. Трофимов, Первоуральского – тов. Кравцов, Саткинского – тов. Коноров, Латникского рудоуправления – тов. Петровский отгружать заводу № 112 огнеупоры в соответствии с его фондами наравне с отгрузкой заводам Наркомчермета.</w:t>
      </w:r>
    </w:p>
    <w:p w14:paraId="60C7EDAD"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Начальнику Главснаба тов. Розину и директору завода № 112 тов. Рубинчику учесть, что вышеуказанным постановлением ГОКО Наркомчермет (тов. Тевосян), Наркомцветмет (тов. Ломако), Наркомлегпром СССР (тов. Лукин), Наркомэлектропром (тов. Кабанов), Наркомсредмаш (тов. Акопов), Наркомуголь (тов. Вахрушев), Главнефтесбыт при СНК СССР (тов. Широков), Главлесосбыт при СНК СССР (тов. Лопухов), Наркомстройматериалов СССР (тов. Соснин) и Наркомстанкостроения (тов. Ефремов) обязаны обеспечить в июле 1942 г. отгрузку заводу № 112 за счет фондов НКТП металлов и изделий по 25 июля в количествах и номенклатуре, согласно приложениям №№ 1, 2, 3, 4, 5, 6, 7 и 8.</w:t>
      </w:r>
    </w:p>
    <w:p w14:paraId="70F5F437"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Директору завода № 112 тов. Рубинчику, начальнику Главснаба тов. Розину безусловно обеспечить реализацию металлов и изделий, поставляемых вышеуказанными наркоматами.</w:t>
      </w:r>
    </w:p>
    <w:p w14:paraId="26A6D12D"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Директору Уралмашзавода тов. Музрукову отгружать заводу № 112 по его спецификации, начиная с июля, ежемесячно по 300 тонн изложниц.</w:t>
      </w:r>
    </w:p>
    <w:p w14:paraId="68B3741A"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Директору завода № 112 тов. Рубинчику учесть, что вышеозначенным постановлением ГОКО Наркомминвооружения (тов. Паршин) обязан обеспечить при всех условиях выполнение постановления ГОКО от 18 января с.г. за № 1174сс в части ежемесячной поставки заводу № 112 НКТП с завода "Двигатель революции" не менее 300 тонн изложниц.</w:t>
      </w:r>
    </w:p>
    <w:p w14:paraId="4779F198"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Вышеозначенным постановлением ГОКО:</w:t>
      </w:r>
    </w:p>
    <w:p w14:paraId="2C36407E"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Наркомэлектростанций (тов. Жимерин) обязан обеспечить подачу электроэнергии заводу № 112 НКТП в соответствии с установленными лимитами, не допуская каких-либо ограничений или отключений этого завода;</w:t>
      </w:r>
    </w:p>
    <w:p w14:paraId="3854E74F"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Наркомхимпром (тов. Первухин) и директор Чернореченского химкомбината (тов. Климахин) обязаны впредь до пуска в эксплоатацию новой кислородной установки, эвакуированной из г. Ленинграда на завод № 112, обеспечить ежесуточную поставку заводу № 112 по 4 танка кислорода жидкого и 200 баллонов кислорода газообразного;</w:t>
      </w:r>
    </w:p>
    <w:p w14:paraId="2C3A8AC1"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Наркомхимпром (тов. Первухин) обязан поставить в III квартале с.г. заводу № 112 карбида кальция 180 тонн и каустика 9 тонн за счет фонда НКТП;</w:t>
      </w:r>
    </w:p>
    <w:p w14:paraId="5CE9EBC6"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Ивановский Облисполком и Ковровская артель стройматериалов обязаны поставить заводу № 112 до конца 1942 года известкового камня в количестве 12 тыс. тонн с карьеров станции Храповекцкая Ковровского района;</w:t>
      </w:r>
    </w:p>
    <w:p w14:paraId="1506E6B8"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Наркомсредмаш (тов. Акопов) обязан поставить в III кв. 1942 г. заводу № 112 пять грузовых автомобилей ГАЗ-АА за счет резервов СНК СССР и запасных частей к автомобилям ГАЗ и ЗИС на сумму 25 тыс. рублей;</w:t>
      </w:r>
    </w:p>
    <w:p w14:paraId="44CDE7E0"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е) НКО (тов. Федоренко) обязан выделить НКТП для завода № 112 15 автомашин из числа трофейных;</w:t>
      </w:r>
    </w:p>
    <w:p w14:paraId="2A455DB5"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ж) Главлесосбыт при СНК СССР обязан выделить в июле 1942 г. заводу № 112 НКТП 25 тыс. кубометров дров и 20 тыс. кубометров круглого леса со станции Сухобезводной в счет фонда НКТП на III квартал с.г.;</w:t>
      </w:r>
    </w:p>
    <w:p w14:paraId="4228C0B8"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 Наркомпищепром СССР (тов. Пронин) обязан выделить заводу № 112 НКТП в июле – августе с.г. дополнительно к его нормам табака 3 тонны и мыла 3 тонны за счет остатков в промышленности.</w:t>
      </w:r>
    </w:p>
    <w:p w14:paraId="30763620"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Начальнику Отдела главного механика и энергетика тов. Белик и начальнику Главснаба тов. Розину обеспечить реализацию постановления ГОКО, возложенного на наркоматы, перечисленные в § 7.</w:t>
      </w:r>
    </w:p>
    <w:p w14:paraId="420736F4"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Директору Московского филиала завода № 37 (тов. Зеликсону) отремонтировать 15 трофейных автомашин для завода № 112, выделенных Наркоматом Обороны.</w:t>
      </w:r>
    </w:p>
    <w:p w14:paraId="29D3F380"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Начальнику Транспортного отдела Наркомата тов. Косолапову, начальнику Главснаба тов. Розину и директору завода № 112 тов. Рубинчику учесть. что означенным постановлением ГОКО НКПС (тов. Хрулев) обязан:</w:t>
      </w:r>
    </w:p>
    <w:p w14:paraId="43314C91"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доставку дизелей заводу № 112 с завода № 76 производить в вагонах с прицепкой к пассажирским поездам от Свердловска до Кирова и от Кирова до Горького количеством 20 – 25 вагонов в месяц;</w:t>
      </w:r>
    </w:p>
    <w:p w14:paraId="55533310"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обеспечить бесперебойную перевозку грузов для завода № 112 до Горьковского Автозавода и до станции Выкса и Муром, а также с этих пунктов в адрес завода № 112.</w:t>
      </w:r>
    </w:p>
    <w:p w14:paraId="73DAC53A"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11. Начальнику Отдела труда и зарплаты (тов. Промыслову) учесть. что означенным постановлением ГОКО Начальник Главного Управления трудовых резервов при СНК СССР тов. Москатов:</w:t>
      </w:r>
    </w:p>
    <w:p w14:paraId="2ACD28CC"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обязан организовать на заводе № 112 школу ФЗО металлургического производства на 500 человек;</w:t>
      </w:r>
    </w:p>
    <w:p w14:paraId="1BA2F526"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направить на завод № 112 НКТП до 15-го августа с.г. из окончивших ремесленные училища и школы ФЗО 500 человек, из них 150 чел. литейщиков.</w:t>
      </w:r>
    </w:p>
    <w:p w14:paraId="55A380E1"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Директору завода № 112 тов. Рубинчику учесть, что:</w:t>
      </w:r>
    </w:p>
    <w:p w14:paraId="7C941BEA"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ГОКО обязал Наркомсудпром (тов. Носенко) закрепить за заводом № 112 рабочих Морэлектромонтажтреста в количестве 100 чел. для работы в сборочно-сдаточном цехе;</w:t>
      </w:r>
    </w:p>
    <w:p w14:paraId="58FFDA97"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Уполномоченным ГОКО по производству танков Т-34 на заводе № 112 утвержден первый секретарь Горьковского обкома ВКП(б) тов. Родионов.</w:t>
      </w:r>
    </w:p>
    <w:p w14:paraId="6A71B2FC"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Начальникам отделов Наркомата и директору завода № 112 тов. Рубинчику учесть, что контроль за выполнением настоящего постановления ГОКО возложен на Наркомгосконтроля (тов. Попова).</w:t>
      </w:r>
    </w:p>
    <w:p w14:paraId="26EC6F79"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Директору завода № 112 тов. Рубинчику при всех условиях безусловно обеспечить выполнение программы по выпуску машин в III квартале с.г., а также под личную ответственность обеспечить полную реализацию вышеуказанного постановления ГОКО.</w:t>
      </w:r>
    </w:p>
    <w:p w14:paraId="577D4D72"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Контроль за выполнением настоящего приказа возложить на моего заместителя тов. Горегляд А.А.</w:t>
      </w:r>
    </w:p>
    <w:p w14:paraId="7D10FC1B"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Танковой промышленности Союза ССР подпись И. ЗАЛЬЦМАН (21218).</w:t>
      </w:r>
    </w:p>
    <w:p w14:paraId="0FA49504" w14:textId="77777777" w:rsidR="00F47790" w:rsidRPr="00722885" w:rsidRDefault="00F47790" w:rsidP="00722885">
      <w:pPr>
        <w:spacing w:after="0" w:line="240" w:lineRule="auto"/>
        <w:jc w:val="both"/>
        <w:rPr>
          <w:rFonts w:ascii="Times New Roman" w:hAnsi="Times New Roman"/>
          <w:color w:val="0070C0"/>
          <w:sz w:val="16"/>
          <w:szCs w:val="16"/>
        </w:rPr>
      </w:pPr>
    </w:p>
    <w:p w14:paraId="37F58203"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июля 1942 года</w:t>
      </w:r>
    </w:p>
    <w:p w14:paraId="60897279"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105 – 101</w:t>
      </w:r>
    </w:p>
    <w:p w14:paraId="13F96D71"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Сов.секретно.</w:t>
      </w:r>
    </w:p>
    <w:p w14:paraId="62E84797"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516сс</w:t>
      </w:r>
    </w:p>
    <w:p w14:paraId="040F46E6"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591F8D44"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июля 1942 года.</w:t>
      </w:r>
    </w:p>
    <w:p w14:paraId="2A7B4DE2"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 исполнение постановления ГОКО № 2000сс от 7.VII-1942 г. "Об обеспечении ежесуточного выпуска 25 – 27 танков Т-34 с соответствующим количеством запасных частей (ротные ЗИПы и запасные части россыпью) на заводе № 183 начиная с 1.X-1942 года", ПРИКАЗЫВАЮ:</w:t>
      </w:r>
    </w:p>
    <w:p w14:paraId="5767AB52"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 Директору завода № 183 т. Максареву и начальнику ОКСа т. Корневу обеспечить выдачу Уралмашстрою Наркомстроя необходимой технической документации на строительство новых производственных и вспомогательных помещений на заводе № 183, согласно приложению № 1.</w:t>
      </w:r>
    </w:p>
    <w:p w14:paraId="3F2448EC"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 Директору завода № 183 т. Максареву:</w:t>
      </w:r>
    </w:p>
    <w:p w14:paraId="6E0E614B"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проработать внутризаводские организационно-технические мероприятия по доведению ежесуточного выпуска 25 – 27 танков и выслать в Наркомат для утверждения не позднее 20.VII-42 г.;</w:t>
      </w:r>
    </w:p>
    <w:p w14:paraId="38B7791A"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обеспечить немедленную реализацию получения с Кировского и Ижорского заводов выделенного оборудования, для чего в двухдневный срок передать по "ВЧ" Зам. Народного комиссара т. Петросьянц в г. Ленинград спецификацию на 250 единиц металлорежущего оборудования;</w:t>
      </w:r>
    </w:p>
    <w:p w14:paraId="71ADA1D9"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а) командировать не позднее 15.VII своих представителей на Куломзинский завод Наркомрезинпрома (г. Омск) и завод им. Красина Наркомрезинпрома (г. Кострома) для заключения договоров и отгрузки недостающего оборудования для организации мастерской по обрезинке катков на заводе № 183;</w:t>
      </w:r>
    </w:p>
    <w:p w14:paraId="2D270602"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впредь до организации мастерской по обрезинке катков на заводе № 183 обеспечить подачу Ярославскому шинному заводу ежесуточно по 200 металлических бандажей на оборудовании, полученном с Московского кордо-регенераторного завода. Начальнику Главснаба тов. Розину обеспечить для изготовления металлических бандажей отгрузку заводу № 183 соответствующего количества металла;</w:t>
      </w:r>
    </w:p>
    <w:p w14:paraId="4D1E3E16"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обеспечить изготовление в июле и в августе по 15 штук прессформ и отгрузить таковые во временное пользование Ярославскому шинному заводу с возвратом прессформ заводу № 183 к началу производства обрезинки на заводе № 183.</w:t>
      </w:r>
    </w:p>
    <w:p w14:paraId="1C40B726"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Немедленно командировать на заводы Наркомстанкостроения трех технологов с чертежами и техническими требованиями для заключения договоров на изготовление для завода № 183 станков для обработки балансиров, труб балансиров, бандажей для колес 830×150 и заднего моста корпуса.</w:t>
      </w:r>
    </w:p>
    <w:p w14:paraId="79BEE885"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Заключить с заводом № 95 НКАП договор на поставку заводу № 183 штамповок шестерен бортовой передачи (деталь 16-006) и штамповок кривошипов (деталь 15-027) в количестве по 2200 шт. в месяц.</w:t>
      </w:r>
    </w:p>
    <w:p w14:paraId="2BEB2D9B"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III. Директору филиала завода № 37 тов. Зеликсон получить до 15.VII-с.г. в ГАБТУ КА 40 шт. трофейных машин для ремонта. Отремонтированные машины передать заводу № 183 и УЗТМ по моему указанию.</w:t>
      </w:r>
    </w:p>
    <w:p w14:paraId="78414D60"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IV. Директору Уралмашзавода т. Музрукову изготовить для завода № 183 – 6 штук вальцев для правки брони сроком до 15 августа с.г. по чертежам и техническим условиям завода № 183.</w:t>
      </w:r>
    </w:p>
    <w:p w14:paraId="7C42534F"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V. Директору завода № 183 т. Максареву и начальнику ОКСа НКТП т. Корневу учесть, что вышеуказанное постановление ГОКО обязало:</w:t>
      </w:r>
    </w:p>
    <w:p w14:paraId="1782EC39"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Наркомстрой (т. Гинзбурга) закончить начатое строительство и обеспечить строительство новых производственных и вспомогательных помещений на заводе № 183 в сроки согласно приложению № 1;</w:t>
      </w:r>
    </w:p>
    <w:p w14:paraId="14ACF730"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Промбанк финансировать строительство завода № 183 до конца 1942 года без проектов и смет по единичным расценкам, утвержденным директором завода.</w:t>
      </w:r>
    </w:p>
    <w:p w14:paraId="4A93B3EB"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VI. Директору завода т. Максареву, начальнику Главснаба т. Розину, зам. нач. 1 отдела т. Давтян, зам. нач. 2 отдела тов. Гинзбург и нач. транспортного отдела т. Косолапову учесть и принять к исполнению, что указанным постановлением ГОКО:</w:t>
      </w:r>
    </w:p>
    <w:p w14:paraId="1F6A2327"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Наркомат Станкостроения (т. Ефремов) обязан за счет отодвижки с III квартала на IV квартал изготовления соответствующего количества станков для Барнаульского дизельного завода, по согласованию с Наркомтанкопромом:</w:t>
      </w:r>
    </w:p>
    <w:p w14:paraId="45D34E68"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закончить к 1.IX-с.г. изготовление для завода № 183 на заводах "Станкоконструкция" и им. Ленина специального станка для обработки балансиров, специального станка для обработки труб балансиров, комплекта станков для обработки 600 шт. в сутки металлических бандажей для колес размером 830×150 мм;</w:t>
      </w:r>
    </w:p>
    <w:p w14:paraId="5673D14F"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спроектировать и изготовить к 1.X-с.г. комплект станков для обработки заднего моста корпуса Т-34 после сварки.</w:t>
      </w:r>
    </w:p>
    <w:p w14:paraId="3431A243"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Наркомрезинпром (т. Митрохин) обязан закончить к 20.VII-42 г. на заводе № 183 организацию цеха для обрезинки бандажей катков танка, для чего передать этому цеху следующее недостающее оборудование:</w:t>
      </w:r>
    </w:p>
    <w:p w14:paraId="6F2AA0A8"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агрегат смесительных вальцев из 4 шт.;</w:t>
      </w:r>
    </w:p>
    <w:p w14:paraId="51622F56"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агрегат прессавтоклавов 800 – 1000 тн. – 4 шт.</w:t>
      </w:r>
    </w:p>
    <w:p w14:paraId="3EBEDC12"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каландр 3 – 4 валковый и</w:t>
      </w:r>
    </w:p>
    <w:p w14:paraId="3B0D729C"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прикаточных и обрезных станков – 2 шт.</w:t>
      </w:r>
    </w:p>
    <w:p w14:paraId="0DF29CDF"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пуска в эксплоатацию цеха обрезинки бандажей на заводе № 183, производить для него ежесуточно обрезинку 300 бандажей, для чего Наркомтанкопрому изготовить для Ярославского шинного завода 30 прессформ.</w:t>
      </w:r>
    </w:p>
    <w:p w14:paraId="2F78D474"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Разрешило Наркомтанкопрому вывезти из г. Ленинграда для завода № 183:</w:t>
      </w:r>
    </w:p>
    <w:p w14:paraId="497B3DE2"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с Кировского и Ижорского заводов 3 разливочных крана грузоподъемностью по 30 – 75 тн., завалочную машину, мульдомагнитный кран, 3 разливочных ковша и 250 единиц металлорежущего оборудования по спецификации завода № 183;</w:t>
      </w:r>
    </w:p>
    <w:p w14:paraId="1801D57B"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с автогенного завода Наркомтяжмаша одну 250 кубовую кислородную установку.</w:t>
      </w:r>
    </w:p>
    <w:p w14:paraId="19678303"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Ленинградский Горком ВКП(б) и Военный Совет Ленинградского фронта обязаны оказать Наркомтанкопрому необходимую помощь в вывозе оборудования из г. Ленинграда на линию ж.д. в первоочередном порядке.</w:t>
      </w:r>
    </w:p>
    <w:p w14:paraId="3319CDD3"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Наркомречфлот (т. Шашков) обязан обеспечить перевозку оборудования по Ладожскому озеру, а НКПС т. Хрулев – передать необходимое количество вагонов для перевозки указанного оборудования на завод № 183 Наркомтанкопрома.</w:t>
      </w:r>
    </w:p>
    <w:p w14:paraId="7FF9F948"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Косыгин обязан проверить выполнение настоящего решения ГОКО.</w:t>
      </w:r>
    </w:p>
    <w:p w14:paraId="33DD32FF"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Наркомат электростанций (т. Жимерин) обязан довести, начиная с августа с.г. на заводе Ивторфмаш производство металлических бандажей для опорных катков для завода № 183 до 500 шт. в сутки.</w:t>
      </w:r>
    </w:p>
    <w:p w14:paraId="47FA3395"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Наркомавиапром (т. Шахурин) обязан производить на заводе № 95 штамповку шестерен для бортовой передачи (дет. 16-006) и кривошипов (дет. 15-027) в количестве по 2200 шт. в месяц.</w:t>
      </w:r>
    </w:p>
    <w:p w14:paraId="6499B7E3"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ГАБТУ КА (т. Федоренко) обязан передать Наркомтанкопрому до 15 июля с.г. 40 трофейных машин.</w:t>
      </w:r>
    </w:p>
    <w:p w14:paraId="78307AB8"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Наркомчермет (т. Тевосян) обязан поставить в III кв. 1942 г. заводу № 183 – 1,8 тыс. тн. шамотного нормального кирпича и 2 тыс. тн. динасового кирпича, засчитав в это количество кирпич, поставленный заводу № 183 для строительства печей, перечисленных в приложении.</w:t>
      </w:r>
    </w:p>
    <w:p w14:paraId="76E0DD53"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НКПС т. Хрулев обязан:</w:t>
      </w:r>
    </w:p>
    <w:p w14:paraId="2B97BC5A"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обеспечить для завода № 183 перевозку литейных песков в III кв. 1942 г. 50 тыс. тн. и в IV кв. 1942 г. 50 тыс. тн. со ст. Формачево Южно-Уральской ж.д. до ст. Вагонзавод ж.д. им. Кагановича;</w:t>
      </w:r>
    </w:p>
    <w:p w14:paraId="7721A4A1"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организовать для завода № 183 – 3 вертушки со ст. Басьяновка, 3 вертушки со ст. Аятки и 3 вертушки со ст. Адуй до ст. Вагонзавод для перевозки торфа;</w:t>
      </w:r>
    </w:p>
    <w:p w14:paraId="60B5AFD2"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в) организовать для завода № 183 – 7 кольцевых маршрутов для перевозки богословского угля, 7 кольцевых маршрутов для перевозки челябинских углей и одну кольцевую вертушку для перевозки дров со ст. Верхотурье и Карелино до ст. Вагонзавод.</w:t>
      </w:r>
    </w:p>
    <w:p w14:paraId="3526E488"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Разрешить НКПС для организации вертушек для завода № 183 соответственно уменьшить количество вертушек, обслуживающих другие отрасли промышленности.</w:t>
      </w:r>
    </w:p>
    <w:p w14:paraId="3019F5B2"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Главлесосбыт (т. Лопухов) обязан выделить заводу № 183 ежемесячно до конца 1942 г. по 300 вагонов дров до ст. Верхотурье и Карелино ж.д. им. Кагановича.</w:t>
      </w:r>
    </w:p>
    <w:p w14:paraId="6EF381A8"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Наркомчермет (т. Тевосян), Наркомстройматериалов (т. Соснин), Наркомуголь (т. Вахрушева), Главлесосбыт (т. Лопухов), Главнефтесбыт (т. Широков), Наркомцветмет (т. Ломако), Наркомстанкостроения (т. Ефремов), Наркомэлектропром (т. Кабанов), Наркомхимпром (т. Первухин) и НКПС (т. Хрулев) обязаны обеспечивать при всех условиях погрузку и перевозку материалов и изделий заводу № 183 НКТП и Тресту Уралмашстрой Наркомстроя по их фондам.</w:t>
      </w:r>
    </w:p>
    <w:p w14:paraId="0EC1FBA0"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Разрешено Наркомвнешторгу выдать из наличия заводу № 183 Наркомтанкопрома технических алмазов и алмазной крошки на сумму 50.000 руб.</w:t>
      </w:r>
    </w:p>
    <w:p w14:paraId="42DEEAB0" w14:textId="77777777" w:rsidR="00F47790" w:rsidRPr="00722885" w:rsidRDefault="00F477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ТАНКОВОЙ ПРОМЫШЛЕННОСТИ СОЮЗА ССР подпись И. ЗАЛЬЦМАН (21219).</w:t>
      </w:r>
    </w:p>
    <w:p w14:paraId="7CDE394D" w14:textId="77777777" w:rsidR="00F47790" w:rsidRPr="00722885" w:rsidRDefault="00F47790" w:rsidP="00722885">
      <w:pPr>
        <w:spacing w:after="0" w:line="240" w:lineRule="auto"/>
        <w:jc w:val="both"/>
        <w:rPr>
          <w:rFonts w:ascii="Times New Roman" w:hAnsi="Times New Roman"/>
          <w:color w:val="0070C0"/>
          <w:sz w:val="16"/>
          <w:szCs w:val="16"/>
        </w:rPr>
      </w:pPr>
    </w:p>
    <w:p w14:paraId="6738670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г. была подготовлена ДОКЛАДНАЯ ЗАПИСКА А.И. МИКОЯНА И.В. СТАЛИНУ О НОВОМ АМЕРИКАНСКОМ ТАНКЕ</w:t>
      </w:r>
    </w:p>
    <w:p w14:paraId="79D45CD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Считаю нужным довести до Вашего сведения, что председатель закупочной комиссии в Вашинг</w:t>
      </w:r>
      <w:r w:rsidRPr="00722885">
        <w:rPr>
          <w:rFonts w:ascii="Times New Roman" w:hAnsi="Times New Roman"/>
          <w:color w:val="000000" w:themeColor="text1"/>
          <w:sz w:val="16"/>
          <w:szCs w:val="16"/>
        </w:rPr>
        <w:softHyphen/>
        <w:t>тоне т. Беляев получил возможность у американцев бегло осмотреть новый мощный танк.</w:t>
      </w:r>
    </w:p>
    <w:p w14:paraId="62F9946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осмотру этого танка не были допущены другие работники закупочной комиссии, кроме пред</w:t>
      </w:r>
      <w:r w:rsidRPr="00722885">
        <w:rPr>
          <w:rFonts w:ascii="Times New Roman" w:hAnsi="Times New Roman"/>
          <w:color w:val="000000" w:themeColor="text1"/>
          <w:sz w:val="16"/>
          <w:szCs w:val="16"/>
        </w:rPr>
        <w:softHyphen/>
        <w:t>седателя т. Беляева, ввиду того, что, по заявлению американцев, этот танк является совершенно се</w:t>
      </w:r>
      <w:r w:rsidRPr="00722885">
        <w:rPr>
          <w:rFonts w:ascii="Times New Roman" w:hAnsi="Times New Roman"/>
          <w:color w:val="000000" w:themeColor="text1"/>
          <w:sz w:val="16"/>
          <w:szCs w:val="16"/>
        </w:rPr>
        <w:softHyphen/>
        <w:t>кретным.</w:t>
      </w:r>
    </w:p>
    <w:p w14:paraId="1BBEB1D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Тов. Беляеву удалось узнать следующие данные о танке:</w:t>
      </w:r>
    </w:p>
    <w:p w14:paraId="7DB98C6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 62 тонны.</w:t>
      </w:r>
    </w:p>
    <w:p w14:paraId="524D0D1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двойной — 1200 сил.</w:t>
      </w:r>
    </w:p>
    <w:p w14:paraId="70FBD69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Боковая броня — 75 мм.</w:t>
      </w:r>
    </w:p>
    <w:p w14:paraId="0864314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Лобовая броня — 115 мм.</w:t>
      </w:r>
    </w:p>
    <w:p w14:paraId="06C3432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 4 пушки, из них:</w:t>
      </w:r>
    </w:p>
    <w:p w14:paraId="0BF3877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 — 85мм.</w:t>
      </w:r>
    </w:p>
    <w:p w14:paraId="18A0630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Вторая — 75 мм.</w:t>
      </w:r>
    </w:p>
    <w:p w14:paraId="5C02EC7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Две по 37 мм.</w:t>
      </w:r>
    </w:p>
    <w:p w14:paraId="77374A0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указания, нужно ли сейчас потребовать у американцев поставки нам этих танков или по</w:t>
      </w:r>
      <w:r w:rsidRPr="00722885">
        <w:rPr>
          <w:rFonts w:ascii="Times New Roman" w:hAnsi="Times New Roman"/>
          <w:color w:val="000000" w:themeColor="text1"/>
          <w:sz w:val="16"/>
          <w:szCs w:val="16"/>
        </w:rPr>
        <w:softHyphen/>
        <w:t>дождать некоторое время, пока начнется их массовый выпуск.</w:t>
      </w:r>
    </w:p>
    <w:p w14:paraId="1F20E25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А.И. Микоян</w:t>
      </w:r>
    </w:p>
    <w:p w14:paraId="4B97E2C5"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11355. Д. 647. Л. 250. Копия (11211).</w:t>
      </w:r>
    </w:p>
    <w:p w14:paraId="1CE37E21"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5E6A744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года вышел приказ № 462с НКБ</w:t>
      </w:r>
    </w:p>
    <w:p w14:paraId="34FCB6A5"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постановлением ГОКО № 1883сс от 6 июня 1942 года и на основании приказа НКВ и НКБ № 304/356сс от 8 июня 1942 года о передаче завода № 367 НКВ в систему НКБ:</w:t>
      </w:r>
    </w:p>
    <w:p w14:paraId="5DF7976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367 НКВ включить в состав завода № 569 (5906, 43).</w:t>
      </w:r>
    </w:p>
    <w:p w14:paraId="7E7844D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F631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2013 О прекращении восстановительных работ на участке керосинопровода Екатериновка-Батайск. РГАНИР, Фонд ГКО, д. 43, лл. 133 (11012).</w:t>
      </w:r>
    </w:p>
    <w:p w14:paraId="0DD1AD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EEA8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2014 Об эвакуации оборудования, материалов, а также рабочих, ИТР и служащих завода им. Гаврилова Наркомтяжмаша (Ростовской области). РГАНИР, Фонд ГКО, д. 43, лл. 134 (11012).</w:t>
      </w:r>
    </w:p>
    <w:p w14:paraId="41D4D5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1FE9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2015 Об эвакуации оборудования, материалов, а также рабочих, ИТР и служащих Мичуринского паровозоремонтного з-да НКПС. (7042, 135).</w:t>
      </w:r>
    </w:p>
    <w:p w14:paraId="3C318D40"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049D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2016 Об эвакуации оборудования завода "Красный двигатель" Наркомсредмаша. РГАНИР, Фонд ГКО, д. 43, лл. 136 (11012).</w:t>
      </w:r>
    </w:p>
    <w:p w14:paraId="50127C2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158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2017 Об эвакуации оборудования, рабочих и ИТР Липецкого мотороремонтного завода Наркомзема СССР. РГАНИР, Фонд ГКО, д. 43, лл. 137 (11012).</w:t>
      </w:r>
    </w:p>
    <w:p w14:paraId="3021F3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290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2018 Об эвакуации оборудования, а также рабочих, ИТР и служащих Новороссийских предприятий Наркомстройматериалов СССР. РГАНИР, Фонд ГКО, д. 43, лл. 138, 139 (11012).</w:t>
      </w:r>
    </w:p>
    <w:p w14:paraId="28EC7F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763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2019 Об эвакуации напиловочной стали с Ворошиловградского напиловочного завода Наркомстанкостроения. РГАНИР, Фонд ГКО, д. 43, лл. 140 (11012).</w:t>
      </w:r>
    </w:p>
    <w:p w14:paraId="492308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0F7C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2020 Об эвакуации оборудования предприятий Наркомсвязи из г.Ворошиловграда. РГАНИР, Фонд ГКО, д. 43, лл. 141 (11012).</w:t>
      </w:r>
    </w:p>
    <w:p w14:paraId="4D34B78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12F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2022 Об эвакуации и восстановлении производства военной продукции Ворошиловградского завода им. Октябрьской революции Наркомтяжмаша. РГАНИР, Фонд ГКО, д. 43, лл. 143 (11012).</w:t>
      </w:r>
    </w:p>
    <w:p w14:paraId="633349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19C4C"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0A25D5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7FF4B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в 1942 году утреннее сообщение Совинформбюро:</w:t>
      </w:r>
    </w:p>
    <w:p w14:paraId="0FDC2225"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12 июля наши войска вели бои с противником на подступах к Воронежу, в районе Кантемировка и на Лисичанском направлении.</w:t>
      </w:r>
    </w:p>
    <w:p w14:paraId="0B169D1E"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7D9639CC"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подступах к Воронежу наши части ведут упорную борьбу с немецкими войсками. Противник, не считаясь с огромными потерями, подбрасывает всё новые и новые части. На одном участке подразделение противотанковых орудий подбило 11 немецких танков. Наши танкисты на атаки врага отвечают смелыми контрударами. Вчера в течение дня было уничтожено 8 немецких танков, 6 орудий и свыше 300 немецких автоматчиков. На другом участке наша часть отбила три атаки гитлеровцев. В результате этих атак немцы потеряли только убитыми 600 солдат и офицеров.</w:t>
      </w:r>
    </w:p>
    <w:p w14:paraId="0734464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Кавалерийский эскадрон под командованием старшего лейтенанта тов. Татаринова (Брянский фронт) из противотанковых ружей в течение дня сжёг 6 танков, рассеял и частью уничтожил роту немецкой пехоты. На другом участке танковый взвод лейтенанта Косенко уничтожил 18 противотанковых пушек, 4 средних танка, 6миномётов и 5 автомашин противника. В этом бою немцы потеряли убитыми до 350 солдат и офицеров.</w:t>
      </w:r>
    </w:p>
    <w:p w14:paraId="7B785B9E"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бою за деревню Н. (Западный фронт) гитлеровцы бросили в атаку против нашей пехоты группу танков. Артиллеристы подразделения лейтенанта Матвеенко подпустили противника на близкую дистанцию, а затем открыли огонь и подбили 3 немецких танка. Кроме того, 2 немецких танка были подбиты расчётами противотанковых ружей. Атака противника была сорвана.</w:t>
      </w:r>
    </w:p>
    <w:p w14:paraId="535FB016"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Лётчики-штурмовики тт. Глуховцев и Иванов совершили успешный налёт на скопление танков противника и уничтожили 8 вражеских машин.</w:t>
      </w:r>
    </w:p>
    <w:p w14:paraId="18F3273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 тов. Короганцев в течение дня сбил 2 немецких бомбардировщика.</w:t>
      </w:r>
    </w:p>
    <w:p w14:paraId="4334400C"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Расчёт зенитного орудия, которым командует младший сержант Петухов подвергся нападению 7 немецких пикирующих бомбардировщиков. Зенитчики быстро открыли огонь и сбили один самолёт противника.</w:t>
      </w:r>
    </w:p>
    <w:p w14:paraId="4689E8B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смоленских партизан под командованием тов. С. совершил налёт на штаб немецкой части. Партизаны ночью незаметно пробрались в село и забросали гранатами дома, где находились гитлеровцы. Не ожидавшие нападения немцы не оказали серьёзного сопротивления. Воспользовавшись паникой, советские патриоты уничтожили свыше 100 оккупантов, в том числе много офицеров. Партизаны этого же отряда разгромили немецкое подразделение, остановившееся на отдых в одной деревне. Окружив деревню, партизаны по сигналу со всех сторон ударили по врагу и уничтожили 80 немецких солдат и офицеров. Партизаны захватили 3 грузовых и одну легковую автомашины, винтовки, несколько пулемётов и боеприпасы.</w:t>
      </w:r>
    </w:p>
    <w:p w14:paraId="33B2BFCE"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Немецкому солдату Максу Летшу пишут из Германии: «В последнем письме мы тебе сообщили, что Вилли, сын Миттага, погиб. В пятницу Миттаг получил извещение о том, что его второй сын умер от ран. Оба они были в Крыму, под Севастополем. Очень многие получили такие же печальные извещения».</w:t>
      </w:r>
    </w:p>
    <w:p w14:paraId="6B75023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Пробравшаяся в расположение наших войск работница Краматорского завода Александра Петровна Тарасова рассказала: «Гитлеровцы истребляют советских людей. Они расстреляли мастера мартеновского цеха Кудрявцева, работницу Краматорского завода Крамовицкую и многих других. Немецко-фашистские изверги схватили больше 100 женщин, детей и стариков, вывели на окраину города и всех их расстреляли. Купить ничего нельзя, всё продовольствие отбирают, и жители Краматорска умирают от голода».</w:t>
      </w:r>
    </w:p>
    <w:p w14:paraId="02E2397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Близ города Тур (Франция) французские патриоты организовали крушение немецкого воинского поезда. Полностью разбиты 30 вагонов с боеприпасами и паровоз. Виновники крушения не обнаружены.</w:t>
      </w:r>
    </w:p>
    <w:p w14:paraId="3BC45E08"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Партизанские отряды в Югославии захватили у немецко-итальянских оккупантов ряд железнодорожных станций. Патриотами уничтожено 39 паровозов и много вагонов. На одной из станций захвачено несколько вагонов с хлебом, отобранным оккупантами у крестьян. Партизаны вернули весь хлеб крестьянам.» (14950).</w:t>
      </w:r>
    </w:p>
    <w:p w14:paraId="775828C7"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0C21634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в 1942 году вечернее сообщение Совинформбюро:</w:t>
      </w:r>
    </w:p>
    <w:p w14:paraId="77E9DCAD"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12 июля наши войска на подступах к Воронежу вели с противником ожесточённые бои.</w:t>
      </w:r>
    </w:p>
    <w:p w14:paraId="61C3C2C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оставили Кантемировку и вели бои в районе Богучар.</w:t>
      </w:r>
    </w:p>
    <w:p w14:paraId="2E14DFF5"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командования наши войска отошли от Лисичанска для занятия нового рубежа.</w:t>
      </w:r>
    </w:p>
    <w:p w14:paraId="71E0774B"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4B4D686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5 по 11 июля включительно, в воздушных боях, на аэродромах и огнём зенитной артиллерии уничтожено 583 немецких самолёта. Наши потери за это же время — 225 самолётов.</w:t>
      </w:r>
    </w:p>
    <w:p w14:paraId="73AB813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3а 11 июля частями нашей авиации на различных участках фронта уничтожено или повреждено 42 немецких танка и 3 бронемашины, 290 автомашин с войсками игрузами, 8 орудий полевой артиллерии, подавлен огонь 3 зенитных батарей, взорвано два склада с боеприпасами и четыре склада с горючим, рассеяно и частью уничтожено до трёх батальонов пехоты противника.</w:t>
      </w:r>
    </w:p>
    <w:p w14:paraId="15886170"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подступах к Воронежу идут ожесточённые бои. Отдельные рубежи по нескольку раз переходят из рук в руки. На одном из участков противник пытался прорвать нашу оборону у деревни С. Перешедшие в атаку немецкие танки попали на минное поле. На минах подорвались 3 танка противника. Наша артиллерия воспользовалась замешательством и, открыв, огонь, уничтожила ещё 10 немецких танков. В бою под деревней В. разгромлен штаб танкового полка 9 немецкой танковой дивизии. Захвачены важные секретные документы. Наши лётчики в воздушных боях сбили 9 немецких самолётов и уничтожили на земле 55 автомашин, 6 бензоцистерн и 14 танков противника.</w:t>
      </w:r>
    </w:p>
    <w:p w14:paraId="2C0ECC59"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ожесточённых боёв в районе Кантемировки, во время которых противнику нанесены большие потери, наши части отошли на новые рубежи. Бои разгорелись с новой силой. Немцы предприняли несколько атак, в ходе которых было сожжено 15 танков противника. Одна наша часть, непрерывно отбивая атаки гитлеровцев, уничтожила 4 орудия, 12 пулемётов, 7 автомашин и 900 солдат и офицеров противника.</w:t>
      </w:r>
    </w:p>
    <w:p w14:paraId="4EC230D2"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Лисичанском направлении наши войска по приказу командования отошли для занятия нового оборонительного рубежа. В течение дня совместными действиями наших наземных войск и авиации уничтожено несколько десятков немецких танков. В воздушных боях советские лётчики сбили 12 самолётов противника. Кроме того, ими уничтожено более 100 автомашин с военными грузами, 4 орудия и до 700 гитлеровцев.</w:t>
      </w:r>
    </w:p>
    <w:p w14:paraId="0AD7D4DD"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продолжаются бои с противником, пытавшимся окружить нашу часть. Особенного напряжения они достигли в районе одного населённого пункта, который дважды переходил из рук в руки. Вчера на рассвете наши бойцы под командованием тов. Сазонова овладели этим пунктом. Немцы потеряли только убитыми несколько сот солдат и офицеров.</w:t>
      </w:r>
    </w:p>
    <w:p w14:paraId="150DDD55"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Снайперы части, которой командует тов. Васильев (Северо-Западный фронт), за последние 10 дней вывели из строя свыше 500 гитлеровцев.</w:t>
      </w:r>
    </w:p>
    <w:p w14:paraId="4FF0BE73"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Старший сержант Лагутин в тылу противника встретил группу немецких солдат и перестрелял 10 гитлеровцев. Одного немецкого солдата тов. Лагутин взял в плен и привёл в свою часть.</w:t>
      </w:r>
    </w:p>
    <w:p w14:paraId="61C720EF"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Пять наших бомбардировщиков из подразделения тов. Серебрякова произвели налёт на аэродром противника и уничтожили 8 и повредили 7 немецких истребителей.</w:t>
      </w:r>
    </w:p>
    <w:p w14:paraId="2F4764E4"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Отряды белорусских партизан, действующие в Минской области, пустили под откос 6 железнодорожных эшелонов с войсками и техникой противника. В боях с немецкими захватчиками советские патриоты за прошедший месяц истребили 330 немецких солдат и 77 офицеров.</w:t>
      </w:r>
    </w:p>
    <w:p w14:paraId="60F6402A"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Недавно в городе Харькове гитлеровские мерзавцы вывели 30 тяжело раненных красноармейцев и командиров на Лысую гору и привязали их к столбам. В течение часа немецкие офицеры обучали своих солдат приёмам штыкового боя. Фашистские изверги по очереди кололи привязанных к столбам пленных красноармейцев.» (14950).</w:t>
      </w:r>
    </w:p>
    <w:p w14:paraId="62087415"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795A27E3"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в 1942 году Ставка ВГК образовала Сталинградский фронт (5 августа разделен на Сталинградский и Юго-Восточный фронты, 28 сентября Сталинградский фронт переименован в Донской, а Юго-Восточный фронт - в Сталинградский, 1 января 1943 Сталинградский фронт преобразован в Южный). Командующий - Маршал Советского Союза С.К.Тимошенко (июль 1942), генерал-лейтенант В.Н.Гордов (июль-август 1942), генерал-полковник А.И.Еременко (август-декабрь 1942), член Военного Совета - Н.С.Хрущев, начальник штаба - генерал-лейтенант П.И.Бодин (июль 1942), генерал-майор Д.Н.Никишев (июль-сентябрь 1942), генерал-майор Г.Ф.Захаров (сентябрь-октябрь 1942), генерал-майор И.С.Варенников (октябрь-декабрь 1942) (14950).</w:t>
      </w:r>
    </w:p>
    <w:p w14:paraId="12B91CA3"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628C65B7" w14:textId="77777777" w:rsidR="0091110F" w:rsidRPr="00722885" w:rsidRDefault="0091110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в 1942 году западнее Ворошиловграда фронтовой корреспондент М.В.Альперт выполнил один из самых известных фотоснимков Великой Отечественной: командир с пистолетом в поднятой руке поднимает бойцов в атаку. На снимке – младший политрук Алексей Гордеевич Еременко (до войны – председатель колхоза), погибший через несколько минут после выполнения фотографии (14950).</w:t>
      </w:r>
    </w:p>
    <w:p w14:paraId="3F2708C7" w14:textId="77777777" w:rsidR="0091110F" w:rsidRPr="00722885" w:rsidRDefault="0091110F" w:rsidP="00722885">
      <w:pPr>
        <w:spacing w:after="0" w:line="240" w:lineRule="auto"/>
        <w:jc w:val="both"/>
        <w:rPr>
          <w:rFonts w:ascii="Times New Roman" w:hAnsi="Times New Roman"/>
          <w:color w:val="000000" w:themeColor="text1"/>
          <w:sz w:val="16"/>
          <w:szCs w:val="16"/>
        </w:rPr>
      </w:pPr>
    </w:p>
    <w:p w14:paraId="578898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 состав 270-й бад под Сталинград перелетели 275-й и 779-й бап, 15 августа - 140-й бап, через день - 86-й бап, 18 августа - 797-й бап, 30 августа - 284-й бап... Прибывшие части с хода вступали в бой. Так, 284-й бап 2 сентября поднял в воздух шестерку Пе-2 во главе с капитаном П.П. Самсоновым для удара по скоплениям танков и мотопехоты на юго-западной окраине Сталинграда. На следующий день состоялось три групповых и три одиночных вылета. Самолеты подразделений выдержали строй, "яки" их надежно прикрывали, штурманы и стрелки отбили все атаки "мессершмиттов". Задание выполнено, казалось, день завершится успешно, но при заходе на посадку германские "охотники" подожгли три машины.</w:t>
      </w:r>
    </w:p>
    <w:p w14:paraId="2E48A6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Находившийся в одной из горяших "пешек" комэск капитан Самсонов приказал покинуть бомбардировщик и выпрыгнул сам. Однако у штурмана капитана Г.М. Прасса не раскрылся купол парашюта и он разбился, а начальник связи подразделения мл. лейтенант И.И. Бондаренко погиб в кабине от пулеметных очередей. Беспримерный подвиг совершил Самсонов 9 сентября. Отбивая атаки "мессершмиттов", он был ранен в глаз. С помощью штурмана лейтенанта А.Л. Дюндика летчик энергичными маневрами ушел от преследователей и благополучно приземлился на своем аэродроме, в то время как стрелок старшина Р.С. Хабаров меткими очередями отбивал атаки (12042).</w:t>
      </w:r>
    </w:p>
    <w:p w14:paraId="34331F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A3B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12 июля по 18 ноября 1942 в оборонительный период Сталинградской битвы Ил-2 совершили только 8,6% всех самолето-вылетов (что соста</w:t>
      </w:r>
      <w:r w:rsidRPr="00722885">
        <w:rPr>
          <w:rFonts w:ascii="Times New Roman" w:hAnsi="Times New Roman"/>
          <w:color w:val="000000" w:themeColor="text1"/>
          <w:sz w:val="16"/>
          <w:szCs w:val="16"/>
        </w:rPr>
        <w:softHyphen/>
        <w:t>вило 6673 боевых вылетов) (6467).</w:t>
      </w:r>
    </w:p>
    <w:p w14:paraId="42DE09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0B3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немцы в ходе наступления 6-й армии, начавшегося 30 июня, перешли границу Сталинградской области. Создали Сталинградский фронт (340,88) и 15 июля прорвали нашу оборону.</w:t>
      </w:r>
    </w:p>
    <w:p w14:paraId="2AB928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4ТА начала наступление на Кавказ, но потом ее перенацелили на помощь 6А на Сталинград (340,90).</w:t>
      </w:r>
    </w:p>
    <w:p w14:paraId="1C48A5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0E2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12th, 1942: The Soviet Stavka (Red Army High Command) establishes a Stalingrad Front under Marshal Timoshenko. On the Leningrad front, troops of Heeresgruppe Nord complete the reduction of the Volchov pocket, taking 30,000 Soviet prisoners, including General Vlasov, CO of the Second Guards Army and later to become C-in-C of the anti-Bolshevik Russian Liberation Army (3819).</w:t>
      </w:r>
    </w:p>
    <w:p w14:paraId="64CD93E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AFCB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Ставка организовала Сталинградский Фронт под командованием Тимошенко. На ленинградском фронте части Группы Север завершили уничтожение Волховского котла и взяли в плен 30 тыс. чел., включая г Власова, К 2ГА (3819).</w:t>
      </w:r>
    </w:p>
    <w:p w14:paraId="1C106C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D4DD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маршал С. Тимошенко назначен командующим обороны Севастополя (4962).</w:t>
      </w:r>
    </w:p>
    <w:p w14:paraId="4270104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2CCE67"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Жизнь и внутренняя политика:</w:t>
      </w:r>
    </w:p>
    <w:p w14:paraId="31F72D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8AC0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 июля 1942 вышло Постановление ГКО № 2021 Об эвакуации оборудования Грибановского экстрактового завода. Наркомлегпрома СССР. РГАНИР, Фонд ГКО, д. </w:t>
      </w:r>
      <w:r w:rsidRPr="00722885">
        <w:rPr>
          <w:rFonts w:ascii="Times New Roman" w:hAnsi="Times New Roman"/>
          <w:color w:val="000000" w:themeColor="text1"/>
          <w:sz w:val="16"/>
          <w:szCs w:val="16"/>
        </w:rPr>
        <w:lastRenderedPageBreak/>
        <w:t>43, лл. 142 (11012).</w:t>
      </w:r>
    </w:p>
    <w:p w14:paraId="5010577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85D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2023 Об эвакуации оборудования, а также рабочих Урюпинского консервного завода. Наркоммясомолпрома СССР. РГАНИР, Фонд ГКО, д. 43, лл. 144 (11012).</w:t>
      </w:r>
    </w:p>
    <w:p w14:paraId="5C29C4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678A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2024 Об эвакуации оборудования, а также рабочих и инженерно-технических работников Борисоглебского мясоконсервного комбината. РГАНИР, Фонд ГКО, д. 43, лл. 145 (11012).</w:t>
      </w:r>
    </w:p>
    <w:p w14:paraId="243C32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70C1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2025 О вывозе на хранение турбогенератора № 5-100 мтвт Сталиногорской ГРЭС и трех гидрогенераторов Волховской ГЭС. РГАНИР, Фонд ГКО, д. 43, лл. 146 (11012).</w:t>
      </w:r>
    </w:p>
    <w:p w14:paraId="64B5B3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AE0C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2026 О частичной эвакуации оборудования, сырья, материалов, а также рабочих, ИТР и служащих Невинномысской фабрики первичной обработки шерсти. РГАНИР, Фонд ГКО, д. 43, лл. 147, 148 (11012).</w:t>
      </w:r>
    </w:p>
    <w:p w14:paraId="15156E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BED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2027 Об эвакуации населения, имущества и инвентаря совхозов и колхозов из Ворошиловградской обл. РГАНИР, Фонд ГКО, д. 43, лл. 149 (11012).</w:t>
      </w:r>
    </w:p>
    <w:p w14:paraId="65D6DB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F27F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2028 Об эвакуации оборудования Ефремовского, Лобановского и Плавского спиртозаводов. Hаркомпищепрома СССР. . РГАНИР, Фонд ГКО, д. 43, лл. 150 (11012).</w:t>
      </w:r>
    </w:p>
    <w:p w14:paraId="3ACD14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C26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2029 Об эвакуации излишнего оборудования Елань-Коленовского сахарного завода Воронежской области. РГАНИР, Фонд ГКО, д. 43, лл. 151 (11012).</w:t>
      </w:r>
    </w:p>
    <w:p w14:paraId="63B9EE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7D9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2030 Об эвакуации племенного скота совхозов Воронежского сахсвеклотреста Наркомпищепрома СССР. РГАНИР, Фонд ГКО, д. 43, лл. 152, 153 (11012).</w:t>
      </w:r>
    </w:p>
    <w:p w14:paraId="3566127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04D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2031 Об эвакуации оборудования, сырья, а также рабочих, ИТР и служащих кожевенного завода и кожсырьевой базы г.Ельца. РГАНИР, Фонд ГКО, д. 43, лл. 154, 155 (11012).</w:t>
      </w:r>
    </w:p>
    <w:p w14:paraId="63065C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E22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2032 Об эвакуации оборудования, а также рабочих, ИТР и служащих предприятий Наркомстройматериалов Воронежской области. РГАНИР, Фонд ГКО, д. 43, лл. 156, 157 (11012).</w:t>
      </w:r>
    </w:p>
    <w:p w14:paraId="6758D4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6CD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2033 Об эвакуации предприятий мукомольно-крупяной промышленности Наркомзага Ворошиловградской, Ростовской и Орловской областей. РГАНИР, Фонд ГКО, д. 43, лл. 158, 159 (11012).</w:t>
      </w:r>
    </w:p>
    <w:p w14:paraId="125CE1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874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вышло Постановление ГКО № 2034 Об эвакуации оборудования предприятий Наркомпищепрома и кориандровых семян контор Главпищеароматмасло Воронежской области. РГАНИР, Фонд ГКО, д. 43, лл. 160, 161-162 (11012).</w:t>
      </w:r>
    </w:p>
    <w:p w14:paraId="46AF96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55F23"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09BF9B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C807DF"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 в целях экономии металлов для военных нужд правительство США постановило запретить изготовление металлической мебели (4962).</w:t>
      </w:r>
    </w:p>
    <w:p w14:paraId="12E2C30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6125FC"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49FAF5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B208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приказом НКАП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37F0D9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D7C8D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в соответствии с приказом НКАП директору завода № 293 Болховитинову и главному конструктору М.И. Гудкову поручили установку на ЛаГГ-3 новой 20-мм пушки Березина, но из этого ничего не вышло (11983).</w:t>
      </w:r>
    </w:p>
    <w:p w14:paraId="4A401A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6FE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г. по приказу НКАП № 444с на базе завода № 500 в Тушино было образовано ОКБ завода № 500.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10CBED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7A53ACD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771A053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Работы по дизелям АЧ-31, М-51 (М.М. Масленников), М-501 (В.М. Яковлев). В 1946-53г,- работы по воспроизводству немецкого дизеля </w:t>
      </w:r>
      <w:r w:rsidRPr="00722885">
        <w:rPr>
          <w:rFonts w:ascii="Times New Roman" w:hAnsi="Times New Roman"/>
          <w:color w:val="000000" w:themeColor="text1"/>
          <w:sz w:val="16"/>
          <w:szCs w:val="16"/>
          <w:lang w:val="en-US"/>
        </w:rPr>
        <w:t>Jumo</w:t>
      </w:r>
      <w:r w:rsidRPr="00722885">
        <w:rPr>
          <w:rFonts w:ascii="Times New Roman" w:hAnsi="Times New Roman"/>
          <w:color w:val="000000" w:themeColor="text1"/>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3C465A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721487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189502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279E41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7D3BDC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  г. Жуковский и в  г. Ахтубинске Астраханской обл.</w:t>
      </w:r>
    </w:p>
    <w:p w14:paraId="7C85DB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2006 г. ТМКБ «Союз» являлось дочерним предприятием РСК «МиГ».</w:t>
      </w:r>
    </w:p>
    <w:p w14:paraId="365423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54DAAD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722885">
        <w:rPr>
          <w:rFonts w:ascii="Times New Roman" w:hAnsi="Times New Roman"/>
          <w:color w:val="000000" w:themeColor="text1"/>
          <w:sz w:val="16"/>
          <w:szCs w:val="16"/>
          <w:vertAlign w:val="superscript"/>
        </w:rPr>
        <w:t>49</w:t>
      </w:r>
      <w:r w:rsidRPr="00722885">
        <w:rPr>
          <w:rFonts w:ascii="Times New Roman" w:hAnsi="Times New Roman"/>
          <w:color w:val="000000" w:themeColor="text1"/>
          <w:sz w:val="16"/>
          <w:szCs w:val="16"/>
        </w:rPr>
        <w:t xml:space="preserve"> (2005 г.-)- Л.С. Бардычев.</w:t>
      </w:r>
    </w:p>
    <w:p w14:paraId="6435EC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03B76E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2F0539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7670ED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 ТРД:</w:t>
      </w:r>
      <w:r w:rsidRPr="00722885">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 (11982).</w:t>
      </w:r>
    </w:p>
    <w:p w14:paraId="65426E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044BE"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13 июля в 1942 году создано Тушинское МКБ Союз (Россия) - дочернее предприятие ФГУП РСК МиГ. Занимается разработками в области авиационного двигателестроения (14951).</w:t>
      </w:r>
    </w:p>
    <w:p w14:paraId="79AA02E3" w14:textId="77777777" w:rsidR="00C7637D" w:rsidRPr="00722885" w:rsidRDefault="00C7637D" w:rsidP="00722885">
      <w:pPr>
        <w:spacing w:after="0" w:line="240" w:lineRule="auto"/>
        <w:jc w:val="both"/>
        <w:rPr>
          <w:rFonts w:ascii="Times New Roman" w:hAnsi="Times New Roman"/>
          <w:color w:val="000000" w:themeColor="text1"/>
          <w:sz w:val="16"/>
          <w:szCs w:val="16"/>
        </w:rPr>
      </w:pPr>
    </w:p>
    <w:p w14:paraId="0A3DC4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вышел приказ НКАП N 518сс:</w:t>
      </w:r>
    </w:p>
    <w:p w14:paraId="7EB42D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обеспечения войсковой серии перехватчиков конструкции Болховитинова:</w:t>
      </w:r>
    </w:p>
    <w:p w14:paraId="61394B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Директору завода 381 В.И.Журавлеву В.И. изготовить 30 самолетов-перехватчиков, комплекно с двигателями, со следующими сроками выпуска: 20 машин до 1 октября, 10 - до 1 ноября, всемерно форсируя выпуск первых 10 машин (1571,139).</w:t>
      </w:r>
    </w:p>
    <w:p w14:paraId="6E00A7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511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так же как и 21 апреля и 5 августа 1942 А.С.Я. направил Зам. Командующему ВВС гл иас А.К.Репину материалы к составлению плана-заказа УВВС по опытному самолетостроени. (1633,211)</w:t>
      </w:r>
    </w:p>
    <w:p w14:paraId="6B2753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E26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г. Куйбышевским обкомом ВКП(б) и Куйбышевским облисполкомом было принято постановление о закреплении за авиазаводами ремесленных училищ и школ ФЗО с общим числом учеников 10520 человек. Эта мера должна была обеспечить авиазаводы подготовленными рабочими кадрами. Директоров заводов обязали обеспечить учебные заведения необходимым оборудованием, инструментом, материалами, транспортом и общежитиями.</w:t>
      </w:r>
    </w:p>
    <w:p w14:paraId="59FE8E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ремесленные училища и школы ФЗО загружались заказами по изготовлению продукции для авиазаводов. Учебные заведения укомплектовывались прибывающими по эвакуации из прифронтовых областей и г. Ленинграда. В случае, если прибывающих по эвакуации было недостаточно, проводилась мобилизация на недостающее число людей из области (ГАСО. Ф. Р-2558. Оп. 6. Д. 87. Л. 86-87.). Мобилизация рабочих проводилась в течение всей войны. Например, летом и осенью 1943 г. из сельских районов Куйбышевской области для обучения в ремесленных училищах при авиазаводах и работы на заводах НКАП было мобилизовано 750 человек (ГАСО. Ф. Р-2558. Оп. 6. Д. 117. Л. 362; Д. 116. Л. 188-188об.) (11714).</w:t>
      </w:r>
    </w:p>
    <w:p w14:paraId="15A29E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A5DD7A"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682E45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2CF6D7"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июля 1942 г.</w:t>
      </w:r>
    </w:p>
    <w:p w14:paraId="68067D0E"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204 – 195</w:t>
      </w:r>
    </w:p>
    <w:p w14:paraId="5BF871F4"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Сов.секретно.</w:t>
      </w:r>
    </w:p>
    <w:p w14:paraId="65387EBF"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520сс</w:t>
      </w:r>
    </w:p>
    <w:p w14:paraId="43634ED0"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53D34AD7"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июля 1942 г.</w:t>
      </w:r>
    </w:p>
    <w:p w14:paraId="6BEB0CAB"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 плане производства танков, танковых дизелей, бронекорпусов и запасных частей к танкам и дизелям на III кв. 1942 г.</w:t>
      </w:r>
    </w:p>
    <w:p w14:paraId="3351F1E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Государственный Комитет Обороны постановлением № 2012сс от 11 июля 1942 г. утвердил на III кв. 1942 г. следующий план производства танков, танковых дизелей и запасных частей к ним:</w:t>
      </w:r>
    </w:p>
    <w:p w14:paraId="69BA3FCC"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 исполнение постановления Государственного Комитета Обороны Союза ССР № 2012сс от 11 июля 1942 г. – ПРИКАЗЫВАЮ:</w:t>
      </w:r>
    </w:p>
    <w:p w14:paraId="292E723E"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Директорам танковых, моторных и корпусных заводов обеспечить выпуск в III квартале 1942 года:</w:t>
      </w:r>
    </w:p>
    <w:p w14:paraId="75E1750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по Кировскому заводу – директор т. Махонин.</w:t>
      </w:r>
    </w:p>
    <w:p w14:paraId="6553C32B"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по заводу № 183 – директор т. Максарев.</w:t>
      </w:r>
    </w:p>
    <w:p w14:paraId="59732DD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по Сталинградскому тракторному заводу – директор т. Задорожный.</w:t>
      </w:r>
    </w:p>
    <w:p w14:paraId="32B2C6E2"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по заводу № 112 – директор т. Рубинчик.</w:t>
      </w:r>
    </w:p>
    <w:p w14:paraId="0F8498E8"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по заводу № 174 – директор т. Кацнельсон.</w:t>
      </w:r>
    </w:p>
    <w:p w14:paraId="6CEAB6B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е) по заводу № 37 – директор т. Фрезеров.</w:t>
      </w:r>
    </w:p>
    <w:p w14:paraId="0370CB20"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ж) по заводу № 38 – директор т. Яковлев.</w:t>
      </w:r>
    </w:p>
    <w:p w14:paraId="192D3E1A"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 по заводу № 264 – директор т. Кордунер.</w:t>
      </w:r>
    </w:p>
    <w:p w14:paraId="77B43D1D"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 по Уралмашзаводу – директор т. Музруков.</w:t>
      </w:r>
    </w:p>
    <w:p w14:paraId="5899814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по заводу № 200 – директор т. Сочивко.</w:t>
      </w:r>
    </w:p>
    <w:p w14:paraId="1401C230"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л) по заводу № 76 – директор т. Кочетков.</w:t>
      </w:r>
    </w:p>
    <w:p w14:paraId="228357CC"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 по заводу № 176 – директор т. Федотов.</w:t>
      </w:r>
    </w:p>
    <w:p w14:paraId="23CBF4F8"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 по заводу № 177 – директор т. Волков.</w:t>
      </w:r>
    </w:p>
    <w:p w14:paraId="628188FC"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 по заводу № 180 – директор т. Суворов.</w:t>
      </w:r>
    </w:p>
    <w:p w14:paraId="1E7122E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 Обязать директоров заводов: № 255 – т. Мороз, Кировского – т. Махонина, № 183 – т. Максарева изготовить в III квартале и поставить ГАБТУ КА танковое электрооборудование на сумму 1,5 млн. руб. в том числе: заводу № 255 – 1370 тыс. руб., № 183 – 60 тыс. руб. и Кировскому – 70 тыс. руб. по номенклатуре согласно приложений №№ 15, 16 и 17.</w:t>
      </w:r>
    </w:p>
    <w:p w14:paraId="755505AE"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Директорам заводов № 37 т. Фрезерову и № 38 т. Яковлеву и заместителю начальника 1 отдела т. Давтян учесть и принять к исполнению, что указанным постановлением ГОКО Наркомсредмаш (т. Акопов) и Горьковский автозавод (т. Лоскутов) обязаны изготовить и поставить заводам НКТП в III кв. 1942 г. комплектно с электрооборудованием и коробками перемены передач ЗИС-5 в сборе моторы "203" для танков Т-70 в следующих количествах, с поставкой равномерно по пятидневкам:</w:t>
      </w:r>
    </w:p>
    <w:p w14:paraId="59C7D786"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Распределить указанное количество моторов по заводам:</w:t>
      </w:r>
    </w:p>
    <w:p w14:paraId="62A41E7F"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Зам. начальника 1 отдела т. Давтян и директорам заводов: Кировского т. Махонину, № 183 т. Максареву, СТЗ т. Задорожному, № 112 т. Рубинчик, № 174 т. Кацнельсон, № 37 т. Фрезерову и № 38 т. Яковлеву учесть, что указанным постановлением ГОКО ГАУ КА (т. Яковлев) и ГАБТУ КА (т. Федоренко) обязаны поставить равномерно по декадам в III кв. 1942 г. Наркомтанкопрому для комплектации танков следующее количество вооружения и оптики:</w:t>
      </w:r>
    </w:p>
    <w:p w14:paraId="4D32E0C7"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Нарком Вооружения т. Устинов обязан обеспечить изготовление в III кв. 1942 г. указанного количества пушек, пулеметов и оптики.</w:t>
      </w:r>
    </w:p>
    <w:p w14:paraId="33E608B0"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Зам. начальника 1 отдал т. Давтян, Зам. начальника Металлургического отдела т. Середину, Зам. начальника 2 отдела т. Гинзбург, Начальнику ОКСа т. Корневу, Нач. Механико-энергетического отдела тов. Белик, И.о. начальника 3-го Главного Управления т. Хабахпашеву, Начальнику отдела Кадров т. Логинову и директорам заводов: Кировского т. Махонину, № 183 т. Максареву, СТЗ т. Задорожному, № 112 т. Рубинчик, № 174 т. Кацнельсон, № 37 т. Фрезерову, № 38 т. Яковлеву, № 76 т. Кочеткову, № 264 т. Кордунер, УЗТМ т. Музрукову, № 200 т. Сочивко, № 176 т. Федорову, № 177 т. Волкову, № 178 т. Скиба, № 180 т. Суворову, № 255 т. Мороз, № 254 т. Козлову, № 238 т. Галунину, им. КИМ т. Туманян, филиал № 37 т. Зеликсон, № 222 т. Пышкину учесть и принять к исполнению, что указанным Постановлением ГОКО:</w:t>
      </w:r>
    </w:p>
    <w:p w14:paraId="1AE80BFA"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Наркомрезинпром (т. Митрохин) обязан производить обрезинку бандажей катков Т-26 и БТ по заявкам и в сроки, согласованные с заводами НКЭП и НКТП, изготовляющими эти катки. Тов. Давтян в пятидневный срок представить заявку в НКРезинпром;</w:t>
      </w:r>
    </w:p>
    <w:p w14:paraId="5320269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установлено, что запасные части для ремонтных заводов промышленности поставляются заводом-изготовителем в счет плана производства запчастей в количествах и в сроки, согласно заключенных договоров по фондам выделяемым ГАБТУ КА;</w:t>
      </w:r>
    </w:p>
    <w:p w14:paraId="13759EF1"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сохранена установившаяся в 1942 г. кооперация по поставке Наркомтанкопромом поковок и литья для изготовления танковых запчастей Наркомрыбпрому, НКТяжмашу, НКСтанкостроения и Наркомэлектропрому. Тов. Середину совместно с указанными наркоматами согласовать график поставки заготовок и представить на утверждение не позднее 20 июля с.г. моему заместителю т. Попову;</w:t>
      </w:r>
    </w:p>
    <w:p w14:paraId="225F317C"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установлено, что все танки укомплектовываются заводами-изготовителями ротными комплектами запасных частей, которые отгружаются одновременно с танками из расчета: один ротный комплект на каждые 5 танков КВ и на каждые 10 танков Т034 и Т-70 по номенклатуре, согласованной с ГАБТУ КА. Стоимость ротных комплектов входит в общую сумму по запасным частям;</w:t>
      </w:r>
    </w:p>
    <w:p w14:paraId="38FA22C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завод "Красный Октябрь" освобожден с 12.VII с.г. от производства корпусов Т-60. НКЧермет (т. Тевосян) и завод "Красный Октябрь" (т. Матвеев) в 5-ти дневный срок обязаны передать Наркомтанкопрому оборудование, ранее переданное заводу "Красный Октябрь" для производства корпусов танков Т-60. Директору завода № 264 т. Кордунер принять указанное оборудование от завода "Красный Октябрь";</w:t>
      </w:r>
    </w:p>
    <w:p w14:paraId="6F155075"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е) Наркомтяжмаш (т. Казаков) обязан:</w:t>
      </w:r>
    </w:p>
    <w:p w14:paraId="1FBC97BC"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Изготовить на Ворошиловградском и Коломенском заводах 750 литых башен корпуса танка Т-34 для завода № 264 с поставкой равными партиями ежемесячно.</w:t>
      </w:r>
    </w:p>
    <w:p w14:paraId="2115CB42"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Поставить с Коломенского завода (ст. Голутвино) и завода им. Ленина – заводам № 38 и 183 стальное литье катков, кронштейнов, ленивцев для танка Т-70 и кулисы в сборе для танка Т-34 в количествах и в сроки согласно приложения № 18. Директору завода № 183 т. Максареву обеспечить поставку заготовок кулис для танка Т-34 Ижевскому заводу НКТМ в количествах и сроки, обеспечивающие выполнение указанного задания;</w:t>
      </w:r>
    </w:p>
    <w:p w14:paraId="5C237326"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Передать заводу Ивторфмаш Наркомэлектростанций одну стыковую сварочную машину с Сызранского завода (бывший Людиновский завод), ранее использовавшуюся для изготовления грузолент для танков Т-34 (размер 830×150);</w:t>
      </w:r>
    </w:p>
    <w:p w14:paraId="57056048"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ж) НКСС (т. Ефремов) обязан поставить в 3 квартале с.г. равномерно по декадам для завода № 76 с завода "Гидропривод" (т. Луньевка) масляные насосы для дизелей В-2 в количестве 1600 шт., из них: в июле – 500 шт., в августе и сентябре по 550 шт., а также с завода им. Горького в г. Кизеле готовые узлы танка Т-34 для завода № 183 согласно приложения № 19;</w:t>
      </w:r>
    </w:p>
    <w:p w14:paraId="044B7E14"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 Наркомсредмаш (т. Акопов) и Горьковский автозавод (т. Лоскутов) обязаны поставить равномерно по декадам в III квартале 1942 г. для заводов № 37 и № 38 штамповку, литье, детали холодной штамповки и готовые изделия для танков Т-70 в количествах и в сроки согласно приложению № 20;</w:t>
      </w:r>
    </w:p>
    <w:p w14:paraId="5F308986"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 разрешено заводам №№ 37, 38 и ГАЗу выпускать в 3 квартале 1942 г. не радийные танки Т-70 с установкой на них 6 вольтового электрооборудования, предусмотрев соответствующие изменения в ЗИПе;</w:t>
      </w:r>
    </w:p>
    <w:p w14:paraId="6418C5B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Наркомэлектростанций (т. Жимерин) обязан поставить в 3 квартале 1942 г. заводу № 183 обработанные грузоленты размером 830×150 для танка Т-34 в количестве 10000 штук, из них: в июле и в августе по 3000 шт. и в сентябре 4000 шт.;</w:t>
      </w:r>
    </w:p>
    <w:p w14:paraId="25664790"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л) Наркомвооружения (т. Устинов) обязан поставить Кировскому заводу в 3 квартале 1942 г. с завода № 8 подъемные механизмы пушек ЗИС-5 в количестве 75 шт. (по 25 шт. в месяц);</w:t>
      </w:r>
    </w:p>
    <w:p w14:paraId="5FD434BB"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 поручено Госплану СССР т.т. Кузнецову и Кирпичникову в декадный срок представить в СНК СССР предложения о разгрузке агрегата бандажного стана завода № 178 от заказов, могущих быть изготовленными на заводах соответствующих наркоматов без прокатки на бандажном стане. т. Хабахпашеву обеспечить контроль за выполнением настоящего пункта;</w:t>
      </w:r>
    </w:p>
    <w:p w14:paraId="6AF7C678"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 директорам заводов: СТЗ (т. Задорожный), Кировского (т. Махонин), Уралмаш (т. Музруков), № 183 (т. Максарев), № 112 (т. Рубинчик), № 178 (т. Скиба), № 177 (т. Волков), № 176 (т. Федотов) и № 200 (т. Сочивко) обязаны при всех условиях обеспечить поставку полуфабрикатов и готовых узлов для танков, танковых дизелей и бронекорпусов заводам № 174, 183, 37, 222, 200, 76, 255, 254, Кировскому, 264 и 38 в количествах и сроки согласно приложению № 21. Т.т. Давтян, Середину и Хабахпашеву взять под особый контроль выполнение заводами поставок по внутринаркоматской кооперации;</w:t>
      </w:r>
    </w:p>
    <w:p w14:paraId="3E85CFF2"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 на Главвоенстрой при СНК СССР (т. Шапиро) возложено ведение строительно-монтажных работ на заводе № 38 в сроки, согласованные с НКТП, с передачей ГУВПС рабочей силы, материалов и транспорта занятых на строительстве завода № 38. Поручено т. Сабурову и т. Малышеву представить на утверждение СНК СССР предложение по обеспечению строительства завода № 38 необходимыми материалами и транспортом. Т.т. Яковлеву и Корневу немедленно согласовать с Главвоенстроем сроки строительно-монтажных работ и обеспечить повседневный контроль за выполнением их строительной организацией, а также подготовить в 5-ти дневный срок предложения по обеспечению завода № 38 строительными материалами и транспортом для представления в СНК СССР т. Сабурову и т. Малышеву;</w:t>
      </w:r>
    </w:p>
    <w:p w14:paraId="2E87558D"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 Наркомтяжмаш (т. Казаков) обязан принять на себя проектирование и монтаж подъемно-транспортных приспособлений внутрицехового транспорта и механизации на заводе № 174 в сроки, согласованные с НКТП. Тов. Кацнельсон, т. Гинзбург и т. Корневу в 10-ти дневный срок согласовать с НКТМ спецификацию оборудования, подлежащего проектированию и монтажу на заводе № 174 и обеспечить повседневный контроль за ходом выполнения настоящего пункта.</w:t>
      </w:r>
    </w:p>
    <w:p w14:paraId="18E9C583"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 установлен лимит электроэнергии в III квартале 1942 г. для заводов НКТП, питающихся в системе Уралэнерго в количестве: в июле – 95000 квт., в августе – 100000 квт. и в сентябре – 103000 квт. Запрещено Наркомэлектростанций (т. Жимерину) производить какие-либо ограничения или частичные отключения заводов НКТП. Тов. Белик в суточный срок представить мне на утверждение распределение выделенной электроэнергии по заводам, питающихся от системы Уралэнерго;</w:t>
      </w:r>
    </w:p>
    <w:p w14:paraId="5B4AEA6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постановлением ГОКО отмечено совершенно неудовлетворительное электроснабжение завода № 174 и недопустимая медлительность с расширением ТЭЦ № 2 в г. Омске, ставящая под угрозу нормальную работу завода № 174 и обязал Наркомэлектростанций (т. Жимерина) обеспечить бесперебойную подачу электроэнергии заводу № 174 в III кв. с.г. в соответствии с развертыванием работы завода и форсировать работы по расширению ТЭЦ № 2 с установкой одного туброгенератора 25000 квт. и двух котлов со сроками окончания 25 октября 1942 г. Т. Кацнельсон, т. Белик и т. Корневу обеспечить реализацию указанного пункта постановления ГОКО;</w:t>
      </w:r>
    </w:p>
    <w:p w14:paraId="640FA458"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 запрещена мобилизация автотранспорта, шоферов и технического персонала автобаз и контор Главснаба НКТП;</w:t>
      </w:r>
    </w:p>
    <w:p w14:paraId="4720BAE1"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у) сохранено на III кв. 1942 г. для заводов НКТП количество вторых горячих обедов 53000 в день, разрешенных на май и июнь месяцы. Моему заместителю т. Мосину распределить указанное количество вторых обедов по заводам;</w:t>
      </w:r>
    </w:p>
    <w:p w14:paraId="4DAE2DB1"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ф) установлено для ОРСов заводов НКТП на III кв. 42 г. сумма капитальных затрат на ремонт столовых, магазинов, строительство овощехранилищ и др. 5 миллионов рублей. Промбанк обязан предусмотреть указанную сумму в плане финансирования по III кв. 1942 г. Моему заместителю тов. Мосину распределить отпущенные средства по ОРСам заводов;</w:t>
      </w:r>
    </w:p>
    <w:p w14:paraId="2E1BC4FB"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х) разрешено Наркомтанкопрому распределить кредиты сельхозбанка, отпущенные по постановлению СНК СССР за № 623 от 4 мая 1942 г. на организацию подсобных хозяйств по отдельным предприятиям в пределах выделенного фонда. Моему заместителю тов. Мосину распределить отпущенные кредиты по заводам;</w:t>
      </w:r>
    </w:p>
    <w:p w14:paraId="7A609750"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 Наркомчермет, Наркомцветмет, Наркомуголь, Наркомэлектропром, НКСтройматериалов, Наркомсредмаш, Наркомрезинпром, НКХимпром, НКВооружения, НКСтанкостроения, НКМинвооружения, НКТяжмаш, НКПищепром, НКЛегпром, Нарккомместпром РСФСР, Наркомлес, Главлесосбыт, Главнефтесбыт, НКЭлектростанций, Наркомсудпром, Наркомавиапром, НКБоеприпасов обязаны ежемесячно к 20-му числу каждого месяца представлять в НКПС планы отгрузок и перевозок материалов и изделий танковым, дизельным и корпусным заводам. Начальнику транспортного отдела т. Косолапову и Начальнику Главснаба т. Розину обеспечить контроль за выполнением настоящего пункта;</w:t>
      </w:r>
    </w:p>
    <w:p w14:paraId="6699D8DD"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ш) председатели Обл(край)исполкомов: Челябинского т. Белобородов, Горьковского т. Третьяков, Свердловского т. Недосекин, Сталинградского т. Зименков, Кировского т. Иволгин, Омского т. Евстигнеев, Алтайского т. Смердов, Кустанайского т. Керимбаев и председатель СНК Казахской ССР т. Ундысынов обязаны оказывать директорам танковых заводов и начальникам строительств танковых заводов всемерную помощь и обеспечивать заводы и строительства танковых заводов местными строительными материалами в первоочередном порядке;</w:t>
      </w:r>
    </w:p>
    <w:p w14:paraId="3721796B"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щ) секретари Обкомов и Горкомов ВКП(б) обязаны взять под личный контроль выполнение заказов для танковых заводов на заводах их области и города и обеспечить первоочередное, наряду с заказами для авиации, выполнение поставок Наркомтанкопрому;</w:t>
      </w:r>
    </w:p>
    <w:p w14:paraId="1A3BBD43"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э) предложено Обкомам и Горкомам ВКП(б): Челябинского, Свердловского, Сталинградского, Горьковского, Омского и Кировского считать важнейшей работы в III квартале 1942 г. обеспечение выполнения плана выпуска танков Т-34, Т-70, КВ, дизелей к ним, запасных частей и первые секретари обкомов ВКП(б): Челябинского т. Патоличев, Свердловского т. Андриянов, Сталинградского т. Чуянов, Горьковского т. Родионов, Омского т. Кудинов, Кировского т. Лукьянов и Алтайского Крайкома ВКП(б) т. Лобков обязаны оказывать директорам танковых, дизельных и корпусных заводов всемерную помощь по выполнению плана;</w:t>
      </w:r>
    </w:p>
    <w:p w14:paraId="00D88072"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 прокурор Союза ССР т. Бочков обязан привлекать к судебной ответственности лиц, срывающих поставки материалов и изделий танковым, дизельным и корпусным заводам Наркомтанкопрома.</w:t>
      </w:r>
    </w:p>
    <w:p w14:paraId="0CC4455F"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ТАНКОВОЙ ПРОМЫШЛЕННОСТИ СОЮЗА ССР подпись (И. ЗАЛЬЦМАН) (21220).</w:t>
      </w:r>
    </w:p>
    <w:p w14:paraId="60A60A94" w14:textId="77777777" w:rsidR="006913BD" w:rsidRPr="00722885" w:rsidRDefault="006913BD" w:rsidP="00722885">
      <w:pPr>
        <w:spacing w:after="0" w:line="240" w:lineRule="auto"/>
        <w:jc w:val="both"/>
        <w:rPr>
          <w:rFonts w:ascii="Times New Roman" w:hAnsi="Times New Roman"/>
          <w:color w:val="0070C0"/>
          <w:sz w:val="16"/>
          <w:szCs w:val="16"/>
        </w:rPr>
      </w:pPr>
    </w:p>
    <w:p w14:paraId="5CF0B687"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июля 1942 г.</w:t>
      </w:r>
    </w:p>
    <w:p w14:paraId="19974AA3"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1 Дело 12 лист 240 с об.</w:t>
      </w:r>
    </w:p>
    <w:p w14:paraId="5C1710C7"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служебного пользования.</w:t>
      </w:r>
    </w:p>
    <w:p w14:paraId="7BEB79A8"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КОМИССАРИАТА ТАНКОВОЙ ПРОМЫШЛЕННОСТИ СОЮЗА ССР № ААГ/357</w:t>
      </w:r>
    </w:p>
    <w:p w14:paraId="13A71A4B"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гор. Сталинград</w:t>
      </w:r>
    </w:p>
    <w:p w14:paraId="0CA87741"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июля 1942 г.</w:t>
      </w:r>
    </w:p>
    <w:p w14:paraId="35F3C172"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Задание Правительства и Наркомата Танковой Промышленности по освоению производства топливной аппаратуры для танковых дизелей Сталинградским тракторным заводом выполнено. В июне с.г. цех № 600 освоил производство сложной аппаратуры, набрал темпы, обеспечивающие полное выполнение июльской программы.</w:t>
      </w:r>
    </w:p>
    <w:p w14:paraId="6350FB2B"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ПРИКАЗЫВАЮ:</w:t>
      </w:r>
    </w:p>
    <w:p w14:paraId="34C088C6"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За успешное освоение производства топливной аппаратуры ОБЪЯВЛЯЮ БЛАГОДАРНОСТЬ всему коллективу рабочих, ИТР и служащих цеха № 600 Сталинградского тракторного завода.</w:t>
      </w:r>
    </w:p>
    <w:p w14:paraId="594BD9D6"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Награждаю значком "ОТЛИЧНИК СОЦСОРЕВНОВАНИЯ НАРКОМТАНКОПРОМА" следующих товарищей, отличившихся по организации производства и освоению выпуска топливной аппаратуры:</w:t>
      </w:r>
    </w:p>
    <w:p w14:paraId="4DF0D2A3"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ВИНОГРАДОВА С.А. – ст. мастера цеха № 600</w:t>
      </w:r>
    </w:p>
    <w:p w14:paraId="2ACDA6A3"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ЖАНКОВА М.Д. – ст. мастера цеха № 600</w:t>
      </w:r>
    </w:p>
    <w:p w14:paraId="2E7E7283"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ВАРЕНОВА П.Н. – ст. мастера цеха № 600</w:t>
      </w:r>
    </w:p>
    <w:p w14:paraId="43FBE761"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СИВЯКОВА И.А. – ст. мастера цеха № 600</w:t>
      </w:r>
    </w:p>
    <w:p w14:paraId="31E83B46"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СУПЕРФИНА М.З. – ст. нач. производства цеха № 600</w:t>
      </w:r>
    </w:p>
    <w:p w14:paraId="3536A766"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КРУГЛЯК И.Н. – ст. контрольного мастера цеха № 600</w:t>
      </w:r>
    </w:p>
    <w:p w14:paraId="0CC0CC06"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КОЛОТОВСКОГО – шлифовальщика цеха № 600</w:t>
      </w:r>
    </w:p>
    <w:p w14:paraId="5B5FBF18"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БУРХОНОВА З.Ф. – сверловщика цеха № 600</w:t>
      </w:r>
    </w:p>
    <w:p w14:paraId="0332EF6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ЕРХОВА Н.И. – ст. мастера цеха № 600</w:t>
      </w:r>
    </w:p>
    <w:p w14:paraId="54175401"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КИРПИЧЕВА Н.И. – слесаря цеха № 600</w:t>
      </w:r>
    </w:p>
    <w:p w14:paraId="1DFE816F"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[нечитаемо]</w:t>
      </w:r>
    </w:p>
    <w:p w14:paraId="47B84C5A"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12. МАГУТИНА Е.И. – токаря цеха № 600</w:t>
      </w:r>
    </w:p>
    <w:p w14:paraId="0455E80C"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ПОЛТАВЕЦ И.И. – слесаря сборщика цеха № 600</w:t>
      </w:r>
    </w:p>
    <w:p w14:paraId="6EB3D58B"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РАШУПКИНА И.К. – регулировщика цеха № 600</w:t>
      </w:r>
    </w:p>
    <w:p w14:paraId="041436C0"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ЗУЙКОВУ С.П. – доводчицу цеха № 600</w:t>
      </w:r>
    </w:p>
    <w:p w14:paraId="168523F7"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16. МАРТЕНИНУ В.Ф. – доводчицу цеха № 600</w:t>
      </w:r>
    </w:p>
    <w:p w14:paraId="0CC187C3"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МИРМОВИЧА Г.М. – гл. технолога завода</w:t>
      </w:r>
    </w:p>
    <w:p w14:paraId="7781ECD3"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ВОЛЬДЕМАР М.Ф. – рук. конструкторской группы ОГТ</w:t>
      </w:r>
    </w:p>
    <w:p w14:paraId="4E674234"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19. ВЕРХОГЛЯДОВА М.П. – конструктора ОГТ</w:t>
      </w:r>
    </w:p>
    <w:p w14:paraId="6A639FED"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 АЛЕКСЕЕВА И.В. – рук. конструкторской группы ОГТ</w:t>
      </w:r>
    </w:p>
    <w:p w14:paraId="0AFB3B8A"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21. КАСАТКИНА П.Н. – зав. производства инструментального цеха</w:t>
      </w:r>
    </w:p>
    <w:p w14:paraId="6327DAF2"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22. КУЛЫГАНОВА М. – слесаря сборщика инструментального цеха</w:t>
      </w:r>
    </w:p>
    <w:p w14:paraId="0B077080"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23. КУЛЬКОВА – мастера инструментального цеха</w:t>
      </w:r>
    </w:p>
    <w:p w14:paraId="37739845"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ШИЯНОВА В.В. – ст. мастера цеха № 100</w:t>
      </w:r>
    </w:p>
    <w:p w14:paraId="68A56AA0"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25. ПАХОМОВА А.Н. – ст. мастера цеха № 100</w:t>
      </w:r>
    </w:p>
    <w:p w14:paraId="2CF87AFB"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За обеспечение организации и технического руководства по выпуску топливной аппаратуры премирую начальника отдела № 2 т. ПОДДУБНОГО – 1600 руб., начальника цеха № 600 тов. ОКУНЬ А.М. – 1500 руб., зам. начальника цеха № 600 тов. ЯГУДИНА М.Л. и пом. начальника цеха № 600 то. ПОПОВА П. – 1200 руб. каждого.</w:t>
      </w:r>
    </w:p>
    <w:p w14:paraId="5392B684"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За оказание технической помощи в деле освоения цехом № 600 изготовления топливной аппаратуры премирую тов. ВИНОГРАДОВА С. – ст. мастера цеха № 600, прибывшего с Кировского завода НКТП – 2000 руб. и костюмом.</w:t>
      </w:r>
    </w:p>
    <w:p w14:paraId="3E70BCCC"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Для премирования рабочих, ИТР и служащих цехов и отделов СТЗ, успешно выполнивших задание по организации производства и освоению выпуска топливной аппаратуры:</w:t>
      </w:r>
    </w:p>
    <w:p w14:paraId="0607A598"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Начальнику Финансового отдела НКТП тов. ШАГАЛОВУ выделить в распоряжение директора СТЗ тов. ЗАДОРОЖНОГО 50.000 рублей.</w:t>
      </w:r>
    </w:p>
    <w:p w14:paraId="6E6876A2"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Начальнику Главснаба НКТП тов. РОЗИНУ выдать директору СТЗ тов. ЗАДОРОЖНОМУ:</w:t>
      </w:r>
    </w:p>
    <w:p w14:paraId="389C0A75"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мужских костюмов – 5 шт.</w:t>
      </w:r>
    </w:p>
    <w:p w14:paraId="5549E9AB"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ботинок хромовых – 5 пар</w:t>
      </w:r>
    </w:p>
    <w:p w14:paraId="0F9623AF"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отрезов на мужские костюмы – 5 шт.</w:t>
      </w:r>
    </w:p>
    <w:p w14:paraId="0DE3ACE5"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отрезов на дамские платья – 5 шт.</w:t>
      </w:r>
    </w:p>
    <w:p w14:paraId="726C8922"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часов карманных – 5 шт.</w:t>
      </w:r>
    </w:p>
    <w:p w14:paraId="48D5C32E"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Для обеспечения выполнения графика по выпуску топливной аппаратуры на СТЗ, директору завода тов. ЗАДОРОЖНОМУ и главному инженеру тов. ДЕМЬЯНОВИЧУ обеспечить первоочередную поставку цеху № 600 заготовок, а также всех деталей по внутризаводской межцеховой кооперации, инструмента, приспособлений и недостающей оснастки.</w:t>
      </w:r>
    </w:p>
    <w:p w14:paraId="4BAD8FDB"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Начальнику Главснаба тов. РОЗИНУ и зам. директора тов. ТКАЧЕВУ обеспечить преимущественную перед другими заводами поставку СТЗ для топливной аппаратуры необходимых материалов, инструмента, абразивов и вспомогательных материалов.</w:t>
      </w:r>
    </w:p>
    <w:p w14:paraId="5C749DB9" w14:textId="77777777" w:rsidR="006913BD" w:rsidRPr="00722885" w:rsidRDefault="006913B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ЗАМЕСТИТЕЛЬ НАРОДНОГО КОМИССАРА ТАНКОВОЙ ПРОМЫШЛЕННОСТИ СССР подпись (А. ГОРЕГЛЯД) (21221).</w:t>
      </w:r>
    </w:p>
    <w:p w14:paraId="00D3A1E5" w14:textId="77777777" w:rsidR="006913BD" w:rsidRPr="00722885" w:rsidRDefault="006913BD" w:rsidP="00722885">
      <w:pPr>
        <w:spacing w:after="0" w:line="240" w:lineRule="auto"/>
        <w:jc w:val="both"/>
        <w:rPr>
          <w:rFonts w:ascii="Times New Roman" w:hAnsi="Times New Roman"/>
          <w:color w:val="0070C0"/>
          <w:sz w:val="16"/>
          <w:szCs w:val="16"/>
        </w:rPr>
      </w:pPr>
    </w:p>
    <w:p w14:paraId="5220772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г. был подготовлен ДОКЛАД НАЧАЛЬНИКА АТУ ГАБТУ КА ДЛЯ СЕКРЕТАРИАТА СНК СССР О СОСТОЯНИИ ТРАКТОРНОГО ПАРКА КРАСНОЙ АРМИИ</w:t>
      </w:r>
    </w:p>
    <w:p w14:paraId="42873E8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войны состав тракторного парка Красной Армии значительно сократился.</w:t>
      </w:r>
    </w:p>
    <w:p w14:paraId="5975849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Условия осеннего, зимнего и весеннего бездорожья вызвали необходимость усиленной эксплу</w:t>
      </w:r>
      <w:r w:rsidRPr="00722885">
        <w:rPr>
          <w:rFonts w:ascii="Times New Roman" w:hAnsi="Times New Roman"/>
          <w:color w:val="000000" w:themeColor="text1"/>
          <w:sz w:val="16"/>
          <w:szCs w:val="16"/>
        </w:rPr>
        <w:softHyphen/>
        <w:t>атации тракторов, как основного средства, для транспортировки грузов на фронте.</w:t>
      </w:r>
    </w:p>
    <w:p w14:paraId="0C6CC21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это привело к тому, что наряду с сокращением количественного состава тракторного парка, наличный его состав по техническому состоянию в значительной степени стал изношенным.</w:t>
      </w:r>
    </w:p>
    <w:p w14:paraId="435EC46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июня 1942 года тракторный парк Красной Армии должен был иметь в своем составе 86536 тракторов.</w:t>
      </w:r>
    </w:p>
    <w:p w14:paraId="25A140F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Фактически на 1.6.1942 г. он составляет 40028 тракторов.</w:t>
      </w:r>
    </w:p>
    <w:p w14:paraId="364526C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потери и естественная убыль тракторов с 1.1.1941 г. по 1.6.1942 г. составляет 46508 тракторов (таблица № 1).</w:t>
      </w:r>
    </w:p>
    <w:p w14:paraId="15ECA5B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40028 тракторов наличного состава тракторного парка на 1.6.1942 года — 12405 требуют сре</w:t>
      </w:r>
      <w:r w:rsidRPr="00722885">
        <w:rPr>
          <w:rFonts w:ascii="Times New Roman" w:hAnsi="Times New Roman"/>
          <w:color w:val="000000" w:themeColor="text1"/>
          <w:sz w:val="16"/>
          <w:szCs w:val="16"/>
        </w:rPr>
        <w:softHyphen/>
        <w:t>днего и капитального ремонта (таблица № 2).</w:t>
      </w:r>
    </w:p>
    <w:p w14:paraId="329E0AA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пополнение убыли тракторного парка и для обеспечения новых формирований Красной Ар</w:t>
      </w:r>
      <w:r w:rsidRPr="00722885">
        <w:rPr>
          <w:rFonts w:ascii="Times New Roman" w:hAnsi="Times New Roman"/>
          <w:color w:val="000000" w:themeColor="text1"/>
          <w:sz w:val="16"/>
          <w:szCs w:val="16"/>
        </w:rPr>
        <w:softHyphen/>
        <w:t>мии в первом полугодии 1942 года от заводов промышленности поступали только тракторы СТЗ-5.</w:t>
      </w:r>
    </w:p>
    <w:p w14:paraId="740BE38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поступило этих тракторов 2278 шт. (из них 1628 до 1.6.1942 г. и 650 тракторов за июнь ме</w:t>
      </w:r>
      <w:r w:rsidRPr="00722885">
        <w:rPr>
          <w:rFonts w:ascii="Times New Roman" w:hAnsi="Times New Roman"/>
          <w:color w:val="000000" w:themeColor="text1"/>
          <w:sz w:val="16"/>
          <w:szCs w:val="16"/>
        </w:rPr>
        <w:softHyphen/>
        <w:t>сяц).</w:t>
      </w:r>
    </w:p>
    <w:p w14:paraId="0724FF6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Эти тракторы почти полностью обращены на укомплектование вновь формируемых артполков стрелковых дивизий.</w:t>
      </w:r>
    </w:p>
    <w:p w14:paraId="3167A76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Трактор «Ворошиловец», служащий целям эвакуации тяжелых и средних танков с поля боя и как средство механической тяги артиллерии большой мощности, не производится с августа месяца 1941 года.</w:t>
      </w:r>
    </w:p>
    <w:p w14:paraId="708EEE9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это время ни одного трактора «Ворошиловец» Красная Армия не получила.</w:t>
      </w:r>
    </w:p>
    <w:p w14:paraId="3664099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Вопрос об изготовлении опытных образцов и подготовки производства трактора АТ-45 (взамен «Ворошиловец») на базе танка Т-34 еще не разрешен.</w:t>
      </w:r>
    </w:p>
    <w:p w14:paraId="36D0037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Технический проект этого трактора, разработанный заводом № 183, утвержден ГАБТУ и ГАУ Красной Армии 4 июня 1942 года.</w:t>
      </w:r>
    </w:p>
    <w:p w14:paraId="6522263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тракторов ЧТЗ прекратился в декабре 1941 г. и производство их не начато до настояще</w:t>
      </w:r>
      <w:r w:rsidRPr="00722885">
        <w:rPr>
          <w:rFonts w:ascii="Times New Roman" w:hAnsi="Times New Roman"/>
          <w:color w:val="000000" w:themeColor="text1"/>
          <w:sz w:val="16"/>
          <w:szCs w:val="16"/>
        </w:rPr>
        <w:softHyphen/>
        <w:t>го времени.</w:t>
      </w:r>
    </w:p>
    <w:p w14:paraId="6A206C49"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Дело с завозом 3000 тракторов из-за границы во 2 и 3 квартале (по Постановлению ГОКО № 1693сс от 3.5.1942 г.) затянулось и первая партия тракторов — около 400 шт. — ожидается только в августе месяце.</w:t>
      </w:r>
    </w:p>
    <w:p w14:paraId="78E70CB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полного прекращения выпуска тракторов «Ворошиловец» и ЧТЗ создалось чрезвы</w:t>
      </w:r>
      <w:r w:rsidRPr="00722885">
        <w:rPr>
          <w:rFonts w:ascii="Times New Roman" w:hAnsi="Times New Roman"/>
          <w:color w:val="000000" w:themeColor="text1"/>
          <w:sz w:val="16"/>
          <w:szCs w:val="16"/>
        </w:rPr>
        <w:softHyphen/>
        <w:t>чайно тяжелое положение в артиллерийских и танковых частях.</w:t>
      </w:r>
    </w:p>
    <w:p w14:paraId="52E01E1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Новые формирования пушечных и тяжелых гаубичных артполков РГК совершенно не обеспе</w:t>
      </w:r>
      <w:r w:rsidRPr="00722885">
        <w:rPr>
          <w:rFonts w:ascii="Times New Roman" w:hAnsi="Times New Roman"/>
          <w:color w:val="000000" w:themeColor="text1"/>
          <w:sz w:val="16"/>
          <w:szCs w:val="16"/>
        </w:rPr>
        <w:softHyphen/>
        <w:t>чиваются механической тягой (трактор ЧТЗ).</w:t>
      </w:r>
    </w:p>
    <w:p w14:paraId="7AEF9FE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Потребность на пополнение убыли тракторов действующих частей не удовлетворяется.</w:t>
      </w:r>
    </w:p>
    <w:p w14:paraId="55D5BC8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многих артполках 1 трактор приходится на 2-3 орудия.</w:t>
      </w:r>
    </w:p>
    <w:p w14:paraId="03AD703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Танковые части совершенно не обеспечиваются мощными тракторами «Ворошиловец», в ре</w:t>
      </w:r>
      <w:r w:rsidRPr="00722885">
        <w:rPr>
          <w:rFonts w:ascii="Times New Roman" w:hAnsi="Times New Roman"/>
          <w:color w:val="000000" w:themeColor="text1"/>
          <w:sz w:val="16"/>
          <w:szCs w:val="16"/>
        </w:rPr>
        <w:softHyphen/>
        <w:t>зультате чего тяжелые и средние танки даже из-за небольших неисправностей или повреждений своевременно не эвакуируются с поля боя и попадают к противнику.</w:t>
      </w:r>
    </w:p>
    <w:p w14:paraId="2FB6AF2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Потребность в тракторах «ЧТЗ» и «СТЗ» частей аэродромного обслуживания и строительства аэродромов также не удовлетворяется.</w:t>
      </w:r>
    </w:p>
    <w:p w14:paraId="0E6ADF8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Эта потребность в условиях зимнего самолетовождения еще более возрастет.</w:t>
      </w:r>
    </w:p>
    <w:p w14:paraId="350D64B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своевременного восстановления тракторов, требующих среднего и капитального ремонта и поддержания эксплуатируемого парка в технически исправном состоянии, требуется непрерывное поступление запчастей на фронты и ремонтные базы ГАБТУ КА.</w:t>
      </w:r>
    </w:p>
    <w:p w14:paraId="5DDE1FF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 и 2 кварталы 1942 года от заводов промышленности поступило запасных частей всего лишь на 1890786 рублей, в то время как Постановлением ГОКО № 169бсс от 4.5.1942 г. объем производст</w:t>
      </w:r>
      <w:r w:rsidRPr="00722885">
        <w:rPr>
          <w:rFonts w:ascii="Times New Roman" w:hAnsi="Times New Roman"/>
          <w:color w:val="000000" w:themeColor="text1"/>
          <w:sz w:val="16"/>
          <w:szCs w:val="16"/>
        </w:rPr>
        <w:softHyphen/>
        <w:t>ва запасных частей для НКО на 2 квартал был определен в сумме 21,5 млн. рублей (таблица № 3).</w:t>
      </w:r>
    </w:p>
    <w:p w14:paraId="2D7E26B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специальных марок тракторов «Ворошиловец», «Коминтерн» и «Комсомолец» запчасти не производятся совершенно. Дальнейшее неполучение запчастей поставит эти тракторы в ближайшее время вне строя.</w:t>
      </w:r>
    </w:p>
    <w:p w14:paraId="5BA12E3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Наличие запчастей на складах ГАБТУ на 1.7.1942 г. составляет около 2660 тыс. рублей, причем эти запчасти крайне ограничены и некомплектны по своей номенклатуре.</w:t>
      </w:r>
    </w:p>
    <w:p w14:paraId="517638F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вопрос об обеспечении тракторного парка Красной Армии запасными частями принял исключительно острое положение и требует своего немедленного разрешения.</w:t>
      </w:r>
    </w:p>
    <w:p w14:paraId="3F7323E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вопросу выпуска тракторов ЧТЗ и СТЗ и запасных частей к ним имеется несколько Постано</w:t>
      </w:r>
      <w:r w:rsidRPr="00722885">
        <w:rPr>
          <w:rFonts w:ascii="Times New Roman" w:hAnsi="Times New Roman"/>
          <w:color w:val="000000" w:themeColor="text1"/>
          <w:sz w:val="16"/>
          <w:szCs w:val="16"/>
        </w:rPr>
        <w:softHyphen/>
        <w:t>влений ГОКО:</w:t>
      </w:r>
    </w:p>
    <w:p w14:paraId="3F364C0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1693сс от 3.5.1942 г., 1696сс от 4.5.1942 г., 1923сс от 22.6.1942 г. - которые остаются невы</w:t>
      </w:r>
      <w:r w:rsidRPr="00722885">
        <w:rPr>
          <w:rFonts w:ascii="Times New Roman" w:hAnsi="Times New Roman"/>
          <w:color w:val="000000" w:themeColor="text1"/>
          <w:sz w:val="16"/>
          <w:szCs w:val="16"/>
        </w:rPr>
        <w:softHyphen/>
        <w:t>полненными: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B487A" w:rsidRPr="00722885" w14:paraId="1BB24EDA" w14:textId="77777777" w:rsidTr="00CC5360">
        <w:tc>
          <w:tcPr>
            <w:tcW w:w="3736" w:type="dxa"/>
            <w:tcBorders>
              <w:top w:val="single" w:sz="12" w:space="0" w:color="auto"/>
            </w:tcBorders>
            <w:shd w:val="clear" w:color="auto" w:fill="FFFFFF"/>
          </w:tcPr>
          <w:p w14:paraId="210ECDC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shd w:val="clear" w:color="auto" w:fill="FFFFFF"/>
          </w:tcPr>
          <w:p w14:paraId="4FFA32F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ЧТЗ</w:t>
            </w:r>
          </w:p>
        </w:tc>
        <w:tc>
          <w:tcPr>
            <w:tcW w:w="3736" w:type="dxa"/>
            <w:tcBorders>
              <w:top w:val="single" w:sz="12" w:space="0" w:color="auto"/>
            </w:tcBorders>
            <w:shd w:val="clear" w:color="auto" w:fill="FFFFFF"/>
          </w:tcPr>
          <w:p w14:paraId="4C8169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СТЗ</w:t>
            </w:r>
          </w:p>
        </w:tc>
      </w:tr>
      <w:tr w:rsidR="009B487A" w:rsidRPr="00722885" w14:paraId="1AE034C5" w14:textId="77777777" w:rsidTr="00CC5360">
        <w:tc>
          <w:tcPr>
            <w:tcW w:w="3736" w:type="dxa"/>
            <w:shd w:val="clear" w:color="auto" w:fill="FFFFFF"/>
          </w:tcPr>
          <w:p w14:paraId="2287AF6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 полугодие подлежало поставить тракторов</w:t>
            </w:r>
          </w:p>
        </w:tc>
        <w:tc>
          <w:tcPr>
            <w:tcW w:w="3736" w:type="dxa"/>
            <w:shd w:val="clear" w:color="auto" w:fill="FFFFFF"/>
          </w:tcPr>
          <w:p w14:paraId="4A61C53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- 125</w:t>
            </w:r>
          </w:p>
        </w:tc>
        <w:tc>
          <w:tcPr>
            <w:tcW w:w="3736" w:type="dxa"/>
            <w:shd w:val="clear" w:color="auto" w:fill="FFFFFF"/>
          </w:tcPr>
          <w:p w14:paraId="23D76F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3484</w:t>
            </w:r>
          </w:p>
        </w:tc>
      </w:tr>
      <w:tr w:rsidR="009B487A" w:rsidRPr="00722885" w14:paraId="6B89CAE5" w14:textId="77777777" w:rsidTr="00CC5360">
        <w:tc>
          <w:tcPr>
            <w:tcW w:w="3736" w:type="dxa"/>
            <w:tcBorders>
              <w:bottom w:val="single" w:sz="12" w:space="0" w:color="auto"/>
            </w:tcBorders>
            <w:shd w:val="clear" w:color="auto" w:fill="FFFFFF"/>
          </w:tcPr>
          <w:p w14:paraId="26551F4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Поставлено</w:t>
            </w:r>
          </w:p>
        </w:tc>
        <w:tc>
          <w:tcPr>
            <w:tcW w:w="3736" w:type="dxa"/>
            <w:tcBorders>
              <w:bottom w:val="single" w:sz="12" w:space="0" w:color="auto"/>
            </w:tcBorders>
            <w:shd w:val="clear" w:color="auto" w:fill="FFFFFF"/>
          </w:tcPr>
          <w:p w14:paraId="2A9E3C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- 0</w:t>
            </w:r>
          </w:p>
        </w:tc>
        <w:tc>
          <w:tcPr>
            <w:tcW w:w="3736" w:type="dxa"/>
            <w:tcBorders>
              <w:bottom w:val="single" w:sz="12" w:space="0" w:color="auto"/>
            </w:tcBorders>
            <w:shd w:val="clear" w:color="auto" w:fill="FFFFFF"/>
          </w:tcPr>
          <w:p w14:paraId="138EE2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2278</w:t>
            </w:r>
          </w:p>
        </w:tc>
      </w:tr>
    </w:tbl>
    <w:p w14:paraId="2039AEC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Постановлением ГОКО № 1958сс от 3.7.1942 г. производство тракторов С-10 (взамен ЧТЗ-65) временно приостановлено.</w:t>
      </w:r>
    </w:p>
    <w:p w14:paraId="5FF1C37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Выводы:</w:t>
      </w:r>
    </w:p>
    <w:p w14:paraId="58E432D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 связи с прекращением выпуска тракторов ЧТЗ в артиллерийских частях создалось катаст</w:t>
      </w:r>
      <w:r w:rsidRPr="00722885">
        <w:rPr>
          <w:rFonts w:ascii="Times New Roman" w:hAnsi="Times New Roman"/>
          <w:color w:val="000000" w:themeColor="text1"/>
          <w:sz w:val="16"/>
          <w:szCs w:val="16"/>
        </w:rPr>
        <w:softHyphen/>
        <w:t>рофическое положение с механической тягой.</w:t>
      </w:r>
    </w:p>
    <w:p w14:paraId="457EA1E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Потребность частей аэродромного обслуживания и строительства аэродромов в этих тракторах не удовлетворяется.</w:t>
      </w:r>
    </w:p>
    <w:p w14:paraId="26158E7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За отсутствием мощного тягача «Ворошиловец» танковые части совершенно не обеспечива</w:t>
      </w:r>
      <w:r w:rsidRPr="00722885">
        <w:rPr>
          <w:rFonts w:ascii="Times New Roman" w:hAnsi="Times New Roman"/>
          <w:color w:val="000000" w:themeColor="text1"/>
          <w:sz w:val="16"/>
          <w:szCs w:val="16"/>
        </w:rPr>
        <w:softHyphen/>
        <w:t>ются необходимыми эвакосредствами, в результате чего много тяжелых и средних танков гибнет или попадает к противнику.</w:t>
      </w:r>
    </w:p>
    <w:p w14:paraId="2407D8A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Тракторный парк Красной Армии при усиленной эксплуатации и полном прекращении по</w:t>
      </w:r>
      <w:r w:rsidRPr="00722885">
        <w:rPr>
          <w:rFonts w:ascii="Times New Roman" w:hAnsi="Times New Roman"/>
          <w:color w:val="000000" w:themeColor="text1"/>
          <w:sz w:val="16"/>
          <w:szCs w:val="16"/>
        </w:rPr>
        <w:softHyphen/>
        <w:t>полнения его убыли по всем маркам тракторов — резко сократился в своем составе и в значитель</w:t>
      </w:r>
      <w:r w:rsidRPr="00722885">
        <w:rPr>
          <w:rFonts w:ascii="Times New Roman" w:hAnsi="Times New Roman"/>
          <w:color w:val="000000" w:themeColor="text1"/>
          <w:sz w:val="16"/>
          <w:szCs w:val="16"/>
        </w:rPr>
        <w:softHyphen/>
        <w:t>ной степени стал изношенным.</w:t>
      </w:r>
    </w:p>
    <w:p w14:paraId="5C10567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его своевременного восстановления требуется непрерывная подача фронтам и рембазам ГАБТУ тракторных запасных частей.</w:t>
      </w:r>
    </w:p>
    <w:p w14:paraId="79D0EE9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Необходимо:</w:t>
      </w:r>
    </w:p>
    <w:p w14:paraId="5F5ED46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теперь же начать выпуск тракторов С-10 (взамен ЧТЗ-65) на Кировском заводе;</w:t>
      </w:r>
    </w:p>
    <w:p w14:paraId="54074577"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немедленно приступить к изготовлению опытных образцов тягача АТ-45 на базе танка Т-34 и подготовке производства к серийному выпуску его на заводе № 174 (Омск);</w:t>
      </w:r>
    </w:p>
    <w:p w14:paraId="3600BC1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ускорить доставку тракторов из-за границы;</w:t>
      </w:r>
    </w:p>
    <w:p w14:paraId="553CEB1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начать немедленно поставку тракторных запасных частей НКО (ГАБТУ) в необходимых коли</w:t>
      </w:r>
      <w:r w:rsidRPr="00722885">
        <w:rPr>
          <w:rFonts w:ascii="Times New Roman" w:hAnsi="Times New Roman"/>
          <w:color w:val="000000" w:themeColor="text1"/>
          <w:sz w:val="16"/>
          <w:szCs w:val="16"/>
        </w:rPr>
        <w:softHyphen/>
        <w:t>чествах.</w:t>
      </w:r>
    </w:p>
    <w:p w14:paraId="1D12B8C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Для обеспечения ремонта тракторов необходимо организовать 6 ремонтных баз:</w:t>
      </w:r>
    </w:p>
    <w:p w14:paraId="7248713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по тракторам ЧТЗ-60/65 - 4 рембазы с производственной мощностью 100 шт. в месяц каждая;</w:t>
      </w:r>
    </w:p>
    <w:p w14:paraId="602BC4D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 тракторам СТЗ-3/5 — 2 рембазы с производственной мощностью 80 шт. в месяц каждая.</w:t>
      </w:r>
    </w:p>
    <w:p w14:paraId="0A2B23C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w:t>
      </w:r>
    </w:p>
    <w:p w14:paraId="3408618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Таблица № 1 - « Изменение в составе тракторного парка» — на 1 листе.</w:t>
      </w:r>
    </w:p>
    <w:p w14:paraId="409383B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Таблица № 2 - «Техническое состояние тракторного парка» — на 1 листе.</w:t>
      </w:r>
    </w:p>
    <w:p w14:paraId="7631CCD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Таблица № 3 - «Поступление тракторных запчастей» - на 1 листе.</w:t>
      </w:r>
    </w:p>
    <w:p w14:paraId="6F8D270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Таблица № 4 - «Наличие запчастей» - на 1 листе.</w:t>
      </w:r>
    </w:p>
    <w:p w14:paraId="151E40C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Таблица № 5 - «Ведомость ориентировочной потребности в среднем и капитальном ремонте тракторов КА» - на 1 листе.</w:t>
      </w:r>
    </w:p>
    <w:p w14:paraId="44A8166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Таблица № 6 - «Справка по тракторному парку КА» (о ремонтах) — на 1 листе.</w:t>
      </w:r>
    </w:p>
    <w:p w14:paraId="7F6FDD1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Таблица № 7 - «Справка о возможности ремонта во 2 полугодии» - на 1 листе.</w:t>
      </w:r>
    </w:p>
    <w:p w14:paraId="018157E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Таблица № 8 - « Расчет необходимого количества запчастей до конца 1942 г.» - на 1 листе.</w:t>
      </w:r>
    </w:p>
    <w:p w14:paraId="5A161AB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АТУ ГАБТУ КА генерал-майор технических войск Тягунов</w:t>
      </w:r>
    </w:p>
    <w:p w14:paraId="1D0B207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комиссар АТУ ГАБТУ КА полковой комиссар Лозовский</w:t>
      </w:r>
    </w:p>
    <w:p w14:paraId="4EE86511"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11386. Д. 128. Л. 43-48. Копия (11211).</w:t>
      </w:r>
    </w:p>
    <w:p w14:paraId="447A2B18"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1DD42378" w14:textId="77777777" w:rsidR="00C7637D" w:rsidRPr="00722885" w:rsidRDefault="00C7637D"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13 июля 1942 года в своем распоряжении директор ЧКЗ писал, что «в августе месяце из обшего количества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- 150 штук - 30 штук долж</w:t>
      </w:r>
      <w:r w:rsidRPr="00722885">
        <w:rPr>
          <w:rFonts w:ascii="Times New Roman" w:cs="Times New Roman"/>
          <w:color w:val="000000" w:themeColor="text1"/>
          <w:spacing w:val="0"/>
        </w:rPr>
        <w:softHyphen/>
        <w:t>ны выпускаться со старой коробкой скоро</w:t>
      </w:r>
      <w:r w:rsidRPr="00722885">
        <w:rPr>
          <w:rFonts w:ascii="Times New Roman" w:cs="Times New Roman"/>
          <w:color w:val="000000" w:themeColor="text1"/>
          <w:spacing w:val="0"/>
        </w:rPr>
        <w:softHyphen/>
        <w:t>стей, а остальные 120 штук с новой КПП». Общее количество КВ-1М, изготовленных на ЧКЗ неизвестно, однако едва ли их было более 20 машин. Не исключено, что впо</w:t>
      </w:r>
      <w:r w:rsidRPr="00722885">
        <w:rPr>
          <w:rFonts w:ascii="Times New Roman" w:cs="Times New Roman"/>
          <w:color w:val="000000" w:themeColor="text1"/>
          <w:spacing w:val="0"/>
        </w:rPr>
        <w:softHyphen/>
        <w:t>следствии они получили восьмискорострую КПП КВ-1С. Кстати, индекс КВ-1М встре</w:t>
      </w:r>
      <w:r w:rsidRPr="00722885">
        <w:rPr>
          <w:rFonts w:ascii="Times New Roman" w:cs="Times New Roman"/>
          <w:color w:val="000000" w:themeColor="text1"/>
          <w:spacing w:val="0"/>
        </w:rPr>
        <w:softHyphen/>
        <w:t>чается только в документах завода, в пере</w:t>
      </w:r>
      <w:r w:rsidRPr="00722885">
        <w:rPr>
          <w:rFonts w:ascii="Times New Roman" w:cs="Times New Roman"/>
          <w:color w:val="000000" w:themeColor="text1"/>
          <w:spacing w:val="0"/>
        </w:rPr>
        <w:softHyphen/>
        <w:t>писке и отчетности военпредов этот индекс не попадается (15226).</w:t>
      </w:r>
    </w:p>
    <w:p w14:paraId="6E616DB6" w14:textId="77777777" w:rsidR="00C7637D" w:rsidRPr="00722885" w:rsidRDefault="00C7637D" w:rsidP="00722885">
      <w:pPr>
        <w:pStyle w:val="27"/>
        <w:shd w:val="clear" w:color="auto" w:fill="auto"/>
        <w:spacing w:after="0" w:line="240" w:lineRule="auto"/>
        <w:ind w:firstLine="0"/>
        <w:rPr>
          <w:rFonts w:ascii="Times New Roman" w:cs="Times New Roman"/>
          <w:color w:val="000000" w:themeColor="text1"/>
          <w:spacing w:val="0"/>
        </w:rPr>
      </w:pPr>
    </w:p>
    <w:p w14:paraId="2ABAC505"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вышло Постановление ГКО № 2035 О плане распределения автомобилей и автомобильных прицепов отечественного производства на III квартал 1942 года. (7042, 163,164-169).</w:t>
      </w:r>
    </w:p>
    <w:p w14:paraId="5A252BD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03EA2"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0D3FB1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775420"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в 1942 году утреннее сообщение Совинформбюро:</w:t>
      </w:r>
    </w:p>
    <w:p w14:paraId="7FE32FC1"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13 июля наши войска вели бои с противником на подступах к Воронежу и в районе Богучар.</w:t>
      </w:r>
    </w:p>
    <w:p w14:paraId="49AC010A"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66B0B545"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подступах к Воронежу продолжаются напряжённые бои, в ходе которых немцы несут большие потери. В бою за населённый пункт танкисты части, которой командует тов. Аникушкин, уничтожили 17 противотанковых орудий с расчётами, 15пулемётов, 3 миномёта и до 300 немецких солдат и офицеров. На артиллерийскую позицию батареи, где командиром лейтенант Лукичев, наступала немецкая пехота. Подпустив её на близкое расстояние, артиллеристы открыли огонь и рассеяли гитлеровцев. На поле боя остались сотни вражеских трупов.</w:t>
      </w:r>
    </w:p>
    <w:p w14:paraId="242713B3"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Богучара наши войска вели тяжёлые оборонительные бои с наступающими частями противника. На одном из участков наши части уничтожили крупный отряд гитлеровцев, прорвавшийся в глубину нашей обороны. На другом участке уничтожено 5 танков и 350 солдат и офицеров противника.</w:t>
      </w:r>
    </w:p>
    <w:p w14:paraId="0A2B88A1"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Отойдя от Лисичанска для занятия нового рубежа, наши части продолжали вести бои с танками и пехотой противника. На одном из участков немцы предприняли несколько атак на наши позиции. Обороняя занятый рубеж, наши бойцы наносят вражеским войскам большой урон. Только в одном бою немцы потеряли 9 танков и свыше 250 солдат и офицеров. На другом участке в крупном танковом бою уничтожено 35 немецких танков.</w:t>
      </w:r>
    </w:p>
    <w:p w14:paraId="432550B8"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Танкисты части, где командиром тов. Кузнецов (Калининский фронт), в течение нескольких часов вели напряжённый бой с пехотой и танками противника. Несмотря на численный перевес, немцы не смогли сломить упорного сопротивления наших бойцов. Противник потерял, убитыми и ранеными до 600 солдат и офицеров. Уничтожено 3 немецких танка, 2 орудия и несколько автомашин.</w:t>
      </w:r>
    </w:p>
    <w:p w14:paraId="09968095"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Разведчики под командованием младшего лейтенанта Романенко и политрука Демчука ворвались в траншеи противника. Штыками и гранатами смелые бойцы уничтожили 35 гитлеровцев и захватили винтовки и 2 пулемёта.</w:t>
      </w:r>
    </w:p>
    <w:p w14:paraId="6DCF9085"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ленинградских партизан из отряда товарища Т. организовала крушение двух воинских эшелонов противника. Несколько партизанских отрядов, объединённых под командованием товарищей Б. и К., в течение трёх дней налётами на вражеские гарнизоны и действиями из засад, уничтожили 80 немецко-фашистских оккупантов.</w:t>
      </w:r>
    </w:p>
    <w:p w14:paraId="4EE82797"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5 роты 458 полка 258 немецкой пехотной дивизии Гюнтер Клюгер рассказал: «Я жил в Америке, в Нью-Йорке. Летом l939 года приехал в Германию.Как только началась война, меня заключили в лагерь, а в апреле 1942 года послали на Восточный фронт. Семья моя находится в Америке, и мне нечего опасаться за её судьбу. Я могу открыто высказать всё, что я думаю. Гитлеровский режим и фашистская пропаганда запугали, одурачили и развратили немцев. По моим наблюдениям, значительная часть немецких солдат — это настоящие грабители и разбойники. Они потеряли всякий человеческий облик; грабежи и убийства для них привычное дело. Значительная прослойка солдат состоит из карьеристов. Они готовы совершить любую подлость, лишь бы получить железный крест или унтер-офицерский чин. Солдатам внушили, что после войны Германия будет господствовать над всем миром и каждый проявивший себя на войне солдат займёт ответственный и, разумеется, доходный пост в оккупированных странах. Известные группы солдат ненавидят гитлеровский режим и не хотят воевать, но они пока бессильны что-либо сделать».</w:t>
      </w:r>
    </w:p>
    <w:p w14:paraId="3B43ADA3"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Кровавый гитлеровский террор в Норвегии принимает всё большие размеры. Недавно немцы стёрли с лица земли деревню Телемарк, а всех её жителей, в том числе женщин и детей, расстреляли. За последнее время арестованы и брошены в тюрьмы тысячи норвежцев. Однако, несмотря на террор, норвежские патриоты продолжают неослабную борьбу против оккупантов. В результате вооружённых столкновений в гг. Ставангер, Берген, Тронхейм и других убито несколько сот немецко-фашистских захватчиков.» (14951).</w:t>
      </w:r>
    </w:p>
    <w:p w14:paraId="2E6921A1" w14:textId="77777777" w:rsidR="00C7637D" w:rsidRPr="00722885" w:rsidRDefault="00C7637D" w:rsidP="00722885">
      <w:pPr>
        <w:spacing w:after="0" w:line="240" w:lineRule="auto"/>
        <w:jc w:val="both"/>
        <w:rPr>
          <w:rFonts w:ascii="Times New Roman" w:hAnsi="Times New Roman"/>
          <w:color w:val="000000" w:themeColor="text1"/>
          <w:sz w:val="16"/>
          <w:szCs w:val="16"/>
        </w:rPr>
      </w:pPr>
    </w:p>
    <w:p w14:paraId="123BE80C"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в 1942 году вечернее сообщение Совинформбюро:</w:t>
      </w:r>
    </w:p>
    <w:p w14:paraId="1F41BD92"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13 июля наши войска вели ожесточённые бои против группировки немецко-фашистских войск, прорвавшейся в район Воронежа.</w:t>
      </w:r>
    </w:p>
    <w:p w14:paraId="38126022"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Богучар продолжались напряжённые бои с танками и мотопехотой противника.</w:t>
      </w:r>
    </w:p>
    <w:p w14:paraId="33FEC6E1"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Восточнее Лисичанска наши войска планомерно отходили на новый оборонительный рубеж.</w:t>
      </w:r>
    </w:p>
    <w:p w14:paraId="50206700"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061C4CDC"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3а 12 июля частями нашей авиации на различных участках фронта уничтожено или повреждено 26 немецких танков, 115 автомашин с войсками и грузами, подавлен огонь 2 батарей полевой артиллерии, взорвано в порту 5 крупных складов, потоплены транспорт и нефтеналивное судно, рассеяно и частью уничтожено до двух батальонов пехоты противника.</w:t>
      </w:r>
    </w:p>
    <w:p w14:paraId="06BD4FF1"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идут ожесточённые бои с противником. Положение продолжает оставаться напряжённым. Наши танковые и пехотные части и артиллерия отбивают атаки противника. Экипаж танка тов. Бобровника в одном бою истребил более 100 немецких солдат и офицеров, уничтожил танк противника, 3 орудия, 8 миномётов и 10 пулемётов. В напряжённый момент боя тов. Бобровник заметил, что подбит наш тяжёлый танк. Он бросился на выручку товарищам и отбуксировал подбитый танк с поля боя. Экипаж танка старшего лейтенанта Калганова ударил во фланг наступавшего противника и уничтожил 3 противотанковых орудия, 3 тяжёлых орудия и до 200 гитлеровцев. Экипаж танка лейтенанта Новикова подбил в бою 8 немецких танков. В боях за село А. противотанковая батарея лейтенанта Сергеева подбила 6 и сожгла 2 немецких танка.</w:t>
      </w:r>
    </w:p>
    <w:p w14:paraId="27B096FC"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южнее Богучара идут тяжёлые бои с численно превосходящими силами противника. На одном из участков наша часть отразила несколько атак противника. На поле боя немцы оставили около 500 трупов. Противник подбросил новые силы. После упорных оборонительных боёв наша часть отошла на новые позиции.</w:t>
      </w:r>
    </w:p>
    <w:p w14:paraId="3C9D117F"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Лисичанском направлении наши войска по приказу командования продолжали планомерный отход на новые оборонительные рубежи. Подвижные группы и авиация, прикрывающие отход, сковывают противника и наносят ему урон. По неполным данным, уничтожено 17 немецких танков, 130 автомашин с пехотой и военным грузом, несколько орудий и много пулемётов.</w:t>
      </w:r>
    </w:p>
    <w:p w14:paraId="70B507B4"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немецкая пехота при поддержке танков атаковала передний край нашей обороны. Гвардейцы-миномётчики, подпустив гитлеровцев на близкое расстояние, открыли массированный огонь. Немцы потеряли только убитыми 600 солдат и офицеров. Уничтожено 2 немецких танка, 2 миномётные батареи, много пулемётов и 10 повозок с боеприпасами.</w:t>
      </w:r>
    </w:p>
    <w:p w14:paraId="6BF58B09"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под командованием тов. Богородецкого под прикрытием истребителей совершили налёт на аэродром противника и уничтожили до 60 немецких самолётов.</w:t>
      </w:r>
    </w:p>
    <w:p w14:paraId="45E3C1D8"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Снайперы подразделения, которым командует тов. Саевич, за два дня истребили 25 гитлеровцев.</w:t>
      </w:r>
    </w:p>
    <w:p w14:paraId="4D9052C2"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деревни Чумазовского сельсовета, Смоленской области, составили акт о чудовищных зверствах и грабежах гитлеровских бандитов. В акте говорится, что гитлеровцы опустошили и разорили деревни Рига, Чумазово, Каськово, Приволье и посёлок Первое Мая. Из 298 жилых домов немецкие бандиты сожгли 292 дома. Разрушены и сожжены 2 клуба, 2 школы, мельница, столовая, кузница и другие постройки. Немцы отняли у мирного населения всё продовольствие, весь скот, птицу и имущество. Немецко-фашистские изверги замучили и расстреляли многих крестьян, а 160 мужчин и женщин угнали на каторжные работы в Германию.</w:t>
      </w:r>
    </w:p>
    <w:p w14:paraId="34C3CDC5"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патриоты добились новых успехов в борьбе против немецко-итальянских захватчиков. Партизанские отряды контролируют большую часть территории Боснии и Сербии. Итальянская пропаганда уже не в состоянии скрыть огромных потерь, которые несёт итальянская армия в Югославии. Даже по явно преуменьшенным данным итальянского командования, в июне месяце итальянцы потеряли на Балканах убитыми 466 и ранеными 496 солдат и офицеров.»</w:t>
      </w:r>
    </w:p>
    <w:p w14:paraId="56B9CA9E"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Жульническое сообщение гитлеровского командования:</w:t>
      </w:r>
    </w:p>
    <w:p w14:paraId="309EF740"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«Верховное командование немецко-фашистской армии 13 июля разразилось ещё одним жульническим лживым «специальным сообщением» об очередном «окружении» и «уничтожении» советских войск. Германское информационное бюро передаёт, будто бы «юго-западнее Ржева наступление германских войск привело к окружению и уничтожению нескольких стрелковых и кавалерийских дивизий и одной танковой бригады противника. В ходе этой битвы, длившейся 11 дней, взято 30.000 пленных, 218 танков, 591 орудие, 1.301 пулемёт и миномёт».</w:t>
      </w:r>
    </w:p>
    <w:p w14:paraId="5D8022A6"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Хотя после года войны между Советским Союзом и гитлеровской Германией весь мир убедился, что Гитлер в своих «специальных сообщениях» неустанно и систематически лжёт, однако в данном случае гитлеровцы поставили прямо-таки рекорд в своём беспардонном вранье.</w:t>
      </w:r>
    </w:p>
    <w:p w14:paraId="17BE1053"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2 и 13 июля в районе юго-западнее Ржева действительно происходили бои. Гитлеровские войска перешли в наступление, пытаясь охватить с флангов одно наше соединение и перерезать его связь с тылом. В результате боёв с превосходящими по численности и количеству танков войсками противника наши части, нанеся немцам большой урон в живой силе и технике и понеся сами значительные потери, были вынуждены отступить и оставить занимаемый ими район обороны. В ходе боёв наши войска потеряли до 7.000 убитыми и ранеными и 5.000 пропавшими без вести, значительная часть которых образовала партизанские отряды, действующие в тылу противника, 80 танков, 85 орудий, 200 пулемётов.</w:t>
      </w:r>
    </w:p>
    <w:p w14:paraId="718507B5"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этот же период боёв юго-западнее Ржева немцы потеряли более 10.000 солдат и офицеров только убитыми, свыше 200 танков, более 70 орудий, не менее 250 пулемётов и миномётов, 30 бронемашин и 50 самолётов.</w:t>
      </w:r>
    </w:p>
    <w:p w14:paraId="17859681"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Таковы факты.</w:t>
      </w:r>
    </w:p>
    <w:p w14:paraId="7AEB8E21"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как бы ни упорствовали Гитлер и его прихвостни в публикации разных небылицо ходе и результатах военных действий, — постоянным обманом нельзя скрыть того факта, что немцы ежедневно теряют на советско-германском фронте тысячи и тысячи людей. А это, независимо от временных успехов немецких войск, постепенно подтачивает гитлеровскую военную машину и подготавливает почву для поражения Германии в этой войне.» (14951).</w:t>
      </w:r>
    </w:p>
    <w:p w14:paraId="39B87BD4" w14:textId="77777777" w:rsidR="00C7637D" w:rsidRPr="00722885" w:rsidRDefault="00C7637D" w:rsidP="00722885">
      <w:pPr>
        <w:spacing w:after="0" w:line="240" w:lineRule="auto"/>
        <w:jc w:val="both"/>
        <w:rPr>
          <w:rFonts w:ascii="Times New Roman" w:hAnsi="Times New Roman"/>
          <w:color w:val="000000" w:themeColor="text1"/>
          <w:sz w:val="16"/>
          <w:szCs w:val="16"/>
        </w:rPr>
      </w:pPr>
    </w:p>
    <w:p w14:paraId="757346F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по сообщению Совинформбюро ш и и нанесли массированный удар одновременно по 4 аэродромам и уничтожили на двух - до 25 и ангар, на 3-м - около 70, а на 4-м - 18 (438,850).</w:t>
      </w:r>
    </w:p>
    <w:p w14:paraId="627628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E4F0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прибыв в составе "Особой авиагруппы № 1" под Сталинград, он уже 31-го был вынужден убыть на переформирование. Основная причина - одиночные Пе-2 оказались очень уязвимыми при пикировании. Поэтому необходимо было обеспечить их защиту при заходе на цель в среднем ярусе и при выходе в горизонтальный полет в условиях нехватки истребителей и господства в воздухе Люфтваффе. Это была чрезвычайно сложная задача.</w:t>
      </w:r>
    </w:p>
    <w:p w14:paraId="765AC5F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69695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4-ая танковая армия Гота получила приказ двигаться на Ростов (4963 ).</w:t>
      </w:r>
    </w:p>
    <w:p w14:paraId="4DFA71D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EE13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ведущий четверки капитан К. Володин заметил группу вражеских самолетов, направлявшихся к прикрываемым кораблям. Разделившись, пары Володина и лейтенанта А. Сучкова атаковали немецкие бомбардировщики. По нашим данным, реактивными снарядами и пушечно-пулеметным огнем они сбили несколько "юнкерсов". Ответной очередью был тяжело ранен ведущий второй пары Сучков. Его штурман взял управление на себя и через полтора часа полета над морем привел поврежденный самолет на аэродром, удачно посадив машину (12042).</w:t>
      </w:r>
    </w:p>
    <w:p w14:paraId="175CF02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5BE4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года Директивой НКО № 726444сс бригады некоторых корпусов переводились на штат № 010/270-010/277 (по 53 танка). При такой организации количество танков в корпусе составляло 159, из которых 96 (60%) Т-34.</w:t>
      </w:r>
    </w:p>
    <w:p w14:paraId="371116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сказать, что к концу 1942 года структура танковых корпусов была различной, так как каждый из 18 созданных корпусов как правило формировался по отдельной директиве. Танковые бригады корпусов комплектовались по различным штатам (№ 010/345 различных вариантов, 010/280 и 010/270), в результате чего количество танков в корпусах было различным (от 183 до 120). При этом количество Т-34 составляло от 48 до 60% штатной численности. Кроме того, до четверти корпусов при формировании получали на вооружение бригад ленд-лизовские танки.</w:t>
      </w:r>
    </w:p>
    <w:p w14:paraId="25892C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повышения ударной силы танковых корпусов в течение 1943 года входящие в их состав бригады переводятся на штаты № 010/270 по 53 танка, а директивой Генерального Штаба Красной Армии № орг/3/2232 от 30 ноября 1943 года - на штат № 010/500 (по 65 Т-34). В результате, к марту 1944 года танковый корпус насчитывал 207 танков Т-34, из них 195 в составе бригад, 10 в мотоциклетном батальоне и 2 в управлении корпуса. До конца войны количество танков в корпусах не менялось. Таким образом, с конца 1943 года тридцатьчетверки стали основной ударной силой танковых корпусов Красной Армии. С этого же времени ленд-лизовские танки на вооружение корпусов не поступали. При поступлении на вооружение Т-34-85 эти машины в первую очередь шли на укомплектование бригад танковых корпусов. Всего в годы войны в Красной Армии сформировали 24 танковых корпуса (12217).</w:t>
      </w:r>
    </w:p>
    <w:p w14:paraId="1A80C4E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90F5552"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в 1942 году ранним утром, в 4 часа 30 минут в Южную бухту Севастополя вошел санитарный транспорт «Грузия». На борту «Грузии» официально находилось 708 человек маршевого пополнения и 526 тонн боеприпасов, включая химическое оружие. Когда до Минной пристани оставались считанные метры, на транспорт с хорошо видимыми на борту красными крестами спикировали пять немецких «Ю-87». Две авиабомбы попали в машинное отделение и кормовой трюм № 4 с боеприпасами. Самолет, сбросивший бомбы, был сбит, но в 4 часа55 минут произошла детонация боезапаса в кормовых трюмах. Силой огромного взрыва корпус «Грузии» был разорван пополам. Кормовая часть корпуса длиной около 40 метров быстро затонула с креном на правый борт, а через восемь минут скрылась под водой и носовая часть многострадального транспорта. На воде осталось только облако дыма, горящего топлива и каких-то кусков. Погибли почти все, только несколько тяжело контуженых моряков удалось подобрать с воды портовым катерам. Еще четыре бомбы, разорвавшиеся в воде, сбросил второй самолет. В 1948–1949 годах в ходе очистки севастопольских бухт от затонувших судов были подняты обе части «Грузии». Обе части «Грузии» отбуксировали в Казачью бухту и там затопили. Причем несколько водолазов и рабочих, участвовавших в подъеме «Грузии», были госпитализированы. У них появились на коже язвы, характерные для поражения ипритом. Рядом с останками «Грузии», затопленными в Казачьей бухте, находился военный аэродром на мысе Херсонес. Этот аэродром стал регулярно использоваться для прибытия в Крым различных делегаций из «братских» и дружественных стран, собственных правителей и руководителей страны. Опасное соседство с затопленным транспортом не устраивала охрану правительства и аэродрома. Поступило категоричное распоряжение о переносе остатков корабля. В 1956–1959 годах был проведен новый подъем обеих частей «Грузии», и на сей раз их отбуксировали и затопили подальше от берега на больших глубинах. «Грузия» поставила оригинальный рекорд: три раза судно тонуло, и два раза было поднято на поверхность (14951).</w:t>
      </w:r>
    </w:p>
    <w:p w14:paraId="3C48FE7C" w14:textId="77777777" w:rsidR="00C7637D" w:rsidRPr="00722885" w:rsidRDefault="00C7637D" w:rsidP="00722885">
      <w:pPr>
        <w:spacing w:after="0" w:line="240" w:lineRule="auto"/>
        <w:jc w:val="both"/>
        <w:rPr>
          <w:rFonts w:ascii="Times New Roman" w:hAnsi="Times New Roman"/>
          <w:color w:val="000000" w:themeColor="text1"/>
          <w:sz w:val="16"/>
          <w:szCs w:val="16"/>
        </w:rPr>
      </w:pPr>
    </w:p>
    <w:p w14:paraId="5757B0C4"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22885">
        <w:rPr>
          <w:rFonts w:ascii="Times New Roman" w:hAnsi="Times New Roman"/>
          <w:i/>
          <w:iCs/>
          <w:color w:val="000000" w:themeColor="text1"/>
          <w:sz w:val="16"/>
          <w:szCs w:val="16"/>
        </w:rPr>
        <w:t>За</w:t>
      </w:r>
      <w:r w:rsidRPr="00722885">
        <w:rPr>
          <w:rFonts w:ascii="Times New Roman" w:hAnsi="Times New Roman"/>
          <w:i/>
          <w:iCs/>
          <w:color w:val="000000" w:themeColor="text1"/>
          <w:sz w:val="16"/>
          <w:szCs w:val="16"/>
          <w:lang w:val="en-US"/>
        </w:rPr>
        <w:t xml:space="preserve"> </w:t>
      </w:r>
      <w:r w:rsidRPr="00722885">
        <w:rPr>
          <w:rFonts w:ascii="Times New Roman" w:hAnsi="Times New Roman"/>
          <w:i/>
          <w:iCs/>
          <w:color w:val="000000" w:themeColor="text1"/>
          <w:sz w:val="16"/>
          <w:szCs w:val="16"/>
        </w:rPr>
        <w:t>рубежом</w:t>
      </w:r>
      <w:r w:rsidRPr="00722885">
        <w:rPr>
          <w:rFonts w:ascii="Times New Roman" w:hAnsi="Times New Roman"/>
          <w:i/>
          <w:iCs/>
          <w:color w:val="000000" w:themeColor="text1"/>
          <w:sz w:val="16"/>
          <w:szCs w:val="16"/>
          <w:lang w:val="en-US"/>
        </w:rPr>
        <w:t>:</w:t>
      </w:r>
    </w:p>
    <w:p w14:paraId="5A2521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D796A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13th, 1942: President Roosevelt orders the establishment of the OSS (Office of Strategic Services), with Colonel Donovan as director (3819).</w:t>
      </w:r>
    </w:p>
    <w:p w14:paraId="15E8E0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080BB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июля 1942 Президент Ф.Д.Р. подписал приказ о создании ОСС (Отдел стратегических Служб) во главе с п Доннованом (3819).</w:t>
      </w:r>
    </w:p>
    <w:p w14:paraId="29B6BF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5D9EB"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lastRenderedPageBreak/>
        <w:t>Авиапромышленность:</w:t>
      </w:r>
    </w:p>
    <w:p w14:paraId="4115EA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C8B0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вышел приказ НКАП и ГУ ВВС N 524с/030:</w:t>
      </w:r>
    </w:p>
    <w:p w14:paraId="2E2081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Для разработки схем стандартной кабины самолетов, назначаем комиссию под председательством зам. нач. 7 ГУ Н.И.Петрова и чл....</w:t>
      </w:r>
    </w:p>
    <w:p w14:paraId="300FD5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Комиссии к работе приступить немедленно и схемы стандартных кабин представить на утверждение:</w:t>
      </w:r>
    </w:p>
    <w:p w14:paraId="6A82743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по истребителям к 20 июля 1942</w:t>
      </w:r>
    </w:p>
    <w:p w14:paraId="29B1161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 штурмовикам к 25 июля 1942</w:t>
      </w:r>
    </w:p>
    <w:p w14:paraId="09A96A0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 бомбардировщикам к 30 июля 1942</w:t>
      </w:r>
    </w:p>
    <w:p w14:paraId="4355DA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Место работы комиссии - БНТ ЦАГИ (1570,43).</w:t>
      </w:r>
    </w:p>
    <w:p w14:paraId="4FBA83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9E4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закончились гос. испытания Як-1б, проводимые с 4 июля 1942 (65,66).</w:t>
      </w:r>
    </w:p>
    <w:p w14:paraId="30A98B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370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ГУ ВВС писал письмо N 375822 Г.М.М.:</w:t>
      </w:r>
    </w:p>
    <w:p w14:paraId="6310E8C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постановлению ГОКО N 1895сс от 7 июня 1942 завод 21 с 1 июля 1942 был обязан выпускать в серии ЛаГГ-3 с предкрылками.</w:t>
      </w:r>
    </w:p>
    <w:p w14:paraId="1ABEC5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постановление в срок не выполнил и продолжает предъявлять самолеты без предкрылков. На 12 июля 1942 с предкрылками было сдано заводом 7 ЛаГГ-3 и 8 ЛаГГ-5." (1633,180).</w:t>
      </w:r>
    </w:p>
    <w:p w14:paraId="23BDDD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E88EC" w14:textId="77777777" w:rsidR="008A74A4" w:rsidRPr="00722885" w:rsidRDefault="008A74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вышел приказ НКАП и ГУ ВВС № 524/030: «...Для разработки схем стандартной кабины самолетов, назначаем комиссию под пред - седательством зам. нач. 7 ГУ Н. И. Петрова... Комис - сии к работе приступить немедленно и схемы стандартных кабин представить на утверждение: по истребителям к 20 июля 1942 г., по штурмовикам к 25 июля 1942 г., по бомбардировщикам к 30 июля 1942 г... Место работы комиссии — БНТ ЦАГИ» (19727).</w:t>
      </w:r>
    </w:p>
    <w:p w14:paraId="6B07935C" w14:textId="77777777" w:rsidR="008A74A4" w:rsidRPr="00722885" w:rsidRDefault="008A74A4" w:rsidP="00722885">
      <w:pPr>
        <w:spacing w:after="0" w:line="240" w:lineRule="auto"/>
        <w:jc w:val="both"/>
        <w:rPr>
          <w:rFonts w:ascii="Times New Roman" w:hAnsi="Times New Roman"/>
          <w:color w:val="000000" w:themeColor="text1"/>
          <w:sz w:val="16"/>
          <w:szCs w:val="16"/>
        </w:rPr>
      </w:pPr>
    </w:p>
    <w:p w14:paraId="02A7660E" w14:textId="77777777" w:rsidR="005C1F18" w:rsidRPr="00722885" w:rsidRDefault="005C1F1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shd w:val="clear" w:color="auto" w:fill="FFFFFF"/>
        </w:rPr>
        <w:t>14 июля 1942 г. начальник ГУ ГВФ B.C. Молоков направил Сталину письмо с просьбой разрешить использовать в тылу трофейные немецкие самолеты. В октябре того же года к парку "Аэрофлота" добавился первый "юнкерс", через месяц - еще один. Но из-за нехватки запчастей из четырех Ю-52 летать могли только два. Все четыре машины в это время числились за Западно-Сибирским управлением ГВФ (управление магистрали было расформировано) (21550).</w:t>
      </w:r>
    </w:p>
    <w:p w14:paraId="6B02E041" w14:textId="77777777" w:rsidR="005C1F18" w:rsidRPr="00722885" w:rsidRDefault="005C1F18" w:rsidP="00722885">
      <w:pPr>
        <w:spacing w:after="0" w:line="240" w:lineRule="auto"/>
        <w:jc w:val="both"/>
        <w:rPr>
          <w:rFonts w:ascii="Times New Roman" w:hAnsi="Times New Roman"/>
          <w:color w:val="0070C0"/>
          <w:sz w:val="16"/>
          <w:szCs w:val="16"/>
        </w:rPr>
      </w:pPr>
    </w:p>
    <w:p w14:paraId="1CAD1128"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3677F23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3004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 И. Сталин дал И. Зальцману, который высказал соображение, что выпуск тан</w:t>
      </w:r>
      <w:r w:rsidRPr="00722885">
        <w:rPr>
          <w:rFonts w:ascii="Times New Roman" w:hAnsi="Times New Roman"/>
          <w:color w:val="000000" w:themeColor="text1"/>
          <w:sz w:val="16"/>
          <w:szCs w:val="16"/>
        </w:rPr>
        <w:softHyphen/>
        <w:t>ков на существующих площадях еще не достиг своего апогея и может быть еще увеличен, проверить расчеты практикой и в кресле нар</w:t>
      </w:r>
      <w:r w:rsidRPr="00722885">
        <w:rPr>
          <w:rFonts w:ascii="Times New Roman" w:hAnsi="Times New Roman"/>
          <w:color w:val="000000" w:themeColor="text1"/>
          <w:sz w:val="16"/>
          <w:szCs w:val="16"/>
        </w:rPr>
        <w:softHyphen/>
        <w:t>кома танковой промышленности оказался И. Зальцман. Новый нарком старался изо всех сил, чтобы дела шли лучше. «Суточный план выпуска танков вырос на треть... Иса</w:t>
      </w:r>
      <w:r w:rsidRPr="00722885">
        <w:rPr>
          <w:rFonts w:ascii="Times New Roman" w:hAnsi="Times New Roman"/>
          <w:color w:val="000000" w:themeColor="text1"/>
          <w:sz w:val="16"/>
          <w:szCs w:val="16"/>
        </w:rPr>
        <w:softHyphen/>
        <w:t>ак Моисеевич старался, чтобы всякое дело шло скорее. Он каж</w:t>
      </w:r>
      <w:r w:rsidRPr="00722885">
        <w:rPr>
          <w:rFonts w:ascii="Times New Roman" w:hAnsi="Times New Roman"/>
          <w:color w:val="000000" w:themeColor="text1"/>
          <w:sz w:val="16"/>
          <w:szCs w:val="16"/>
        </w:rPr>
        <w:softHyphen/>
        <w:t>дый день справлялся, как наши дела и каковы причины невыпол</w:t>
      </w:r>
      <w:r w:rsidRPr="00722885">
        <w:rPr>
          <w:rFonts w:ascii="Times New Roman" w:hAnsi="Times New Roman"/>
          <w:color w:val="000000" w:themeColor="text1"/>
          <w:sz w:val="16"/>
          <w:szCs w:val="16"/>
        </w:rPr>
        <w:softHyphen/>
        <w:t>нения программ... Может, он просто не доверял нам и потому все время торопил и опекал всех?» — Вспоминал П. Левин. Однако «танковое поголовье» расти по-прежнему не спешило. Правда, к осени предъявление танков несколько увеличилось, но приемка не разделяла радость наркома. Почти все машины, изготовленные сверх плана к новому 1943 г., были забракованы...(11135).</w:t>
      </w:r>
    </w:p>
    <w:p w14:paraId="4C7F037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B45A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года танк профессора Военно-морской академии Н. Петровского, изготовленный на бронерембазе № 7 испытали на реке Прямая Болда в районе Астраханской ГЭС. Машина прошла по дну реки шириной 250 метров и максимальной глубиной 7,7 метра. Дальнейшего развития эта работа не получила (12217).</w:t>
      </w:r>
    </w:p>
    <w:p w14:paraId="05028BC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DB9C9E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 был подготовлен АКТ ИСПЫТАНИЯ ТАНКА Т-34, ОБОРУДОВАННОГО ПРИСПОСОБЛЕНИЯМИ СИСТЕМЫ ПРОФЕССОРА ПЕТРОВСКОГО Н.В. ДЛЯ ДВИЖЕНИЯ ЕГО ПО ГРУНТУ РЕКИ</w:t>
      </w:r>
    </w:p>
    <w:p w14:paraId="6B8396F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Мы, нижеподписавшиеся, составили настоящий акт в том, что 14 июля танк Т-34 №30 — 01, обо</w:t>
      </w:r>
      <w:r w:rsidRPr="00722885">
        <w:rPr>
          <w:rFonts w:ascii="Times New Roman" w:hAnsi="Times New Roman"/>
          <w:color w:val="000000" w:themeColor="text1"/>
          <w:sz w:val="16"/>
          <w:szCs w:val="16"/>
        </w:rPr>
        <w:softHyphen/>
        <w:t>рудованный приспособлениями системы профессора Н.В. Петровского, по первому варианту (с ори</w:t>
      </w:r>
      <w:r w:rsidRPr="00722885">
        <w:rPr>
          <w:rFonts w:ascii="Times New Roman" w:hAnsi="Times New Roman"/>
          <w:color w:val="000000" w:themeColor="text1"/>
          <w:sz w:val="16"/>
          <w:szCs w:val="16"/>
        </w:rPr>
        <w:softHyphen/>
        <w:t>ентиром) подвергался испытанию по хождению его по грунту реки Прямая Болда в районе Астра</w:t>
      </w:r>
      <w:r w:rsidRPr="00722885">
        <w:rPr>
          <w:rFonts w:ascii="Times New Roman" w:hAnsi="Times New Roman"/>
          <w:color w:val="000000" w:themeColor="text1"/>
          <w:sz w:val="16"/>
          <w:szCs w:val="16"/>
        </w:rPr>
        <w:softHyphen/>
        <w:t>ханской ГЭС.</w:t>
      </w:r>
    </w:p>
    <w:p w14:paraId="324402E3"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Машина успешно перешла четыре раза участок этой реки шириной 250 метров и максимальной глубиной 7,7 метров.</w:t>
      </w:r>
    </w:p>
    <w:p w14:paraId="762F80E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Движение ее с правого берега на левый происходило под углом около 45° к попутному потоку во</w:t>
      </w:r>
      <w:r w:rsidRPr="00722885">
        <w:rPr>
          <w:rFonts w:ascii="Times New Roman" w:hAnsi="Times New Roman"/>
          <w:color w:val="000000" w:themeColor="text1"/>
          <w:sz w:val="16"/>
          <w:szCs w:val="16"/>
        </w:rPr>
        <w:softHyphen/>
        <w:t>ды и с левого берега на правый под тем же углом к встречному потоку.</w:t>
      </w:r>
    </w:p>
    <w:p w14:paraId="1771E25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Переход с берега на берег в первом случае протекал 2,5 минуты (скорость движения 6 км в час) и во втором 4,5 минуты (скорость движения 4,3 км в час).</w:t>
      </w:r>
    </w:p>
    <w:p w14:paraId="0705AA6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входе в воду мотор работал как обычно, двумя группами. После погружения кормы тапка происходило выключение одной группы цилиндров и цикл замыкался через холодильник.</w:t>
      </w:r>
    </w:p>
    <w:p w14:paraId="7F66259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движении на большой глубине отмечались на поверхности воды дым и пузырьки газа, пос</w:t>
      </w:r>
      <w:r w:rsidRPr="00722885">
        <w:rPr>
          <w:rFonts w:ascii="Times New Roman" w:hAnsi="Times New Roman"/>
          <w:color w:val="000000" w:themeColor="text1"/>
          <w:sz w:val="16"/>
          <w:szCs w:val="16"/>
        </w:rPr>
        <w:softHyphen/>
        <w:t>ледние отставали от машины приблизительно на 15 метров.</w:t>
      </w:r>
    </w:p>
    <w:p w14:paraId="0CBD610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достижении противоположного берега переключение мотора на две группы происходило по</w:t>
      </w:r>
      <w:r w:rsidRPr="00722885">
        <w:rPr>
          <w:rFonts w:ascii="Times New Roman" w:hAnsi="Times New Roman"/>
          <w:color w:val="000000" w:themeColor="text1"/>
          <w:sz w:val="16"/>
          <w:szCs w:val="16"/>
        </w:rPr>
        <w:softHyphen/>
        <w:t>сле открытия бокового перископа башни.</w:t>
      </w:r>
    </w:p>
    <w:p w14:paraId="584052E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Участок реки в направлении движения имел песчаный грунт, покрытый толстым слоем жидкого ила.</w:t>
      </w:r>
    </w:p>
    <w:p w14:paraId="36B8A64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Углы подъема русла реки на правом берегу составляли около 18° и на левом около 20°.</w:t>
      </w:r>
    </w:p>
    <w:p w14:paraId="64CFED7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Машина имела гибкий шланг для питания мотора воздухом, шланг поддерживался на свободном конце двумя нормальными пробковыми кругами.</w:t>
      </w:r>
    </w:p>
    <w:p w14:paraId="17D71D1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движении курс поддерживался курсоуказателем.</w:t>
      </w:r>
    </w:p>
    <w:p w14:paraId="3282FFA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Герметизация осуществлялась чехлом. После двух переходов количество воды, поступившей че</w:t>
      </w:r>
      <w:r w:rsidRPr="00722885">
        <w:rPr>
          <w:rFonts w:ascii="Times New Roman" w:hAnsi="Times New Roman"/>
          <w:color w:val="000000" w:themeColor="text1"/>
          <w:sz w:val="16"/>
          <w:szCs w:val="16"/>
        </w:rPr>
        <w:softHyphen/>
        <w:t>рез неплотности корпуса, составляло около 5-6 ведер.</w:t>
      </w:r>
    </w:p>
    <w:p w14:paraId="6696616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Температура в отсеке была повышенной, но допустимой для нормальной работы команды. Двое из команды (водители Михайленко и Донец) работали в кислородных масках, а обеспечивающий их водолаз Шмидт при переходах аппаратом не пользовался. Каких-либо особых претензий, за исклю</w:t>
      </w:r>
      <w:r w:rsidRPr="00722885">
        <w:rPr>
          <w:rFonts w:ascii="Times New Roman" w:hAnsi="Times New Roman"/>
          <w:color w:val="000000" w:themeColor="text1"/>
          <w:sz w:val="16"/>
          <w:szCs w:val="16"/>
        </w:rPr>
        <w:softHyphen/>
        <w:t>чением жалобы на повышенный шум и температуру, команда танка не заявляла.</w:t>
      </w:r>
    </w:p>
    <w:p w14:paraId="3223FEB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Наоборот, отмечалось стремление команды повторить испытание в более тяжелых условиях.</w:t>
      </w:r>
    </w:p>
    <w:p w14:paraId="29F093B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всех испытаний никаких неполадок в моторе не произошло.</w:t>
      </w:r>
    </w:p>
    <w:p w14:paraId="0D5ED0E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двух последних испытаниях присутствовали:</w:t>
      </w:r>
    </w:p>
    <w:p w14:paraId="098030F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Астраханского комитета обороны т. Голышев,</w:t>
      </w:r>
    </w:p>
    <w:p w14:paraId="15E241E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Окр. НКВД - т. Лукьянов,</w:t>
      </w:r>
    </w:p>
    <w:p w14:paraId="2407F9A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ВМА им. Ворошилова - инженер-капитан 1 ранга т. Штейнберг,</w:t>
      </w:r>
    </w:p>
    <w:p w14:paraId="6101BD0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Военком ВМА - полковой комиссар т. Меерсон,</w:t>
      </w:r>
    </w:p>
    <w:p w14:paraId="1ABEBB2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кафедры Б.О. - генерал-майор т. Павлов,</w:t>
      </w:r>
    </w:p>
    <w:p w14:paraId="221F4ED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учебного отряда Эпрон — капитан 2 ранга т. Настусевич.</w:t>
      </w:r>
    </w:p>
    <w:p w14:paraId="26206F5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Комиссия, производившая испытания:</w:t>
      </w:r>
    </w:p>
    <w:p w14:paraId="455D13C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Военинженер 1 ранга</w:t>
      </w:r>
    </w:p>
    <w:p w14:paraId="1ECCC70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доктор технических наук профессор Н.В. Петровский</w:t>
      </w:r>
    </w:p>
    <w:p w14:paraId="30FD576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рембазы № 7 военинженер 1 ранга В.В. Простяков</w:t>
      </w:r>
    </w:p>
    <w:p w14:paraId="020ED2C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Военком рембазы № 7 батальонный комиссар В.И. Ружанский</w:t>
      </w:r>
    </w:p>
    <w:p w14:paraId="0DB9C7C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цеха № 15 Василии</w:t>
      </w:r>
    </w:p>
    <w:p w14:paraId="2B321E2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ОТК капитан Н.С. Шлыков</w:t>
      </w:r>
    </w:p>
    <w:p w14:paraId="3CBC58A6"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Водитель Г.Т. Михайленко Контрольный мастер И.В. Донец ЦАМО. Ф. 38. Он. 11355. Д. 936. Л. 111-113. Подлинник (11211).</w:t>
      </w:r>
    </w:p>
    <w:p w14:paraId="20A1A9E7"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594043C9"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июля 1942 г.</w:t>
      </w:r>
    </w:p>
    <w:p w14:paraId="117564B1"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221 – 220</w:t>
      </w:r>
    </w:p>
    <w:p w14:paraId="5FA498A4"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4880AA36"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522с</w:t>
      </w:r>
    </w:p>
    <w:p w14:paraId="0B0EC345"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5065E5E3"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июля 1942 г.</w:t>
      </w:r>
    </w:p>
    <w:p w14:paraId="70311BAA"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обеспечения выпуска машин Т-34 на заводе № 174 в III кв. ПРИКАЗЫВАЮ:</w:t>
      </w:r>
    </w:p>
    <w:p w14:paraId="26FF3FAC"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Директору завода № 174 (т. КАЦНЕЛЬСОН):</w:t>
      </w:r>
    </w:p>
    <w:p w14:paraId="293A6727"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к 10 августа с.г. установить и смонтировать 5-тонную электропечь и приступить к отливке литья для машины Т-34;</w:t>
      </w:r>
    </w:p>
    <w:p w14:paraId="40940973"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б) немедленно приступить к отливке траков, обеспечив полностью потребным количеством с установленной полуторатонной электропечи, взяв за основу технологию отливки траков завода № 183;</w:t>
      </w:r>
    </w:p>
    <w:p w14:paraId="0A3B6928"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помимо литых башен приступить немедленно к изготовлению сварных башен. Начальнику 3-го Главного Управления т. ХАБАХПАШЕВУ обеспечить завод № 174 необходимым количеством брони с учетом изготовления сварных башен;</w:t>
      </w:r>
    </w:p>
    <w:p w14:paraId="243DD7FC"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передать заводу № 200 две крановые тележки;</w:t>
      </w:r>
    </w:p>
    <w:p w14:paraId="739397B7"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откомандировать в распоряжение директора завода № 200 т. Сочивко временно 50 чел. рабочих.</w:t>
      </w:r>
    </w:p>
    <w:p w14:paraId="00303807"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Директору завода № 200 т. СОЧИВКО:</w:t>
      </w:r>
    </w:p>
    <w:p w14:paraId="54E2116D"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полностью перевести 10-тонную электропечь только на отливку деталей для завода № 174 по спецификации последнего;</w:t>
      </w:r>
    </w:p>
    <w:p w14:paraId="7FC354DE"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обеспечить завод № 174 литьем без башен 300 тн. ежемесячно;</w:t>
      </w:r>
    </w:p>
    <w:p w14:paraId="039BC1D0"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закончить все строительно-монтажные работы по участку фасонно-литейного цеха № 10 к 25 июля (пуск крана, установка формовочных машин и т.д.). Разрешить производить работы аккордно;</w:t>
      </w:r>
    </w:p>
    <w:p w14:paraId="0966F11A"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немедленно приступить к организации участков фасонного литья неиспользуемого 4-го пролета мартеновского цеха;</w:t>
      </w:r>
    </w:p>
    <w:p w14:paraId="4D3C3030"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к 15 августа изготовить и смонтировать 2 крана для 4-го пролета мартеновского цеха.</w:t>
      </w:r>
    </w:p>
    <w:p w14:paraId="19116EB1"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Директору завода № 183 т. МАКСАРЕВУ обеспечить изготовление литья для завода № 174 в количестве:</w:t>
      </w:r>
    </w:p>
    <w:p w14:paraId="4CD03A31"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июле месяце – 100 комплектов по спецификации согласно приказа НКТП № 514с от 9/VII-42 г.</w:t>
      </w:r>
    </w:p>
    <w:p w14:paraId="6B5544FC"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августе месяце – 100 комплектов</w:t>
      </w:r>
    </w:p>
    <w:p w14:paraId="414479EC"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сентябре месяце – 100 комплектов по спецификации согласно приказа НКТП № 520сс от 13/VII-42 г.</w:t>
      </w:r>
    </w:p>
    <w:p w14:paraId="7B062EAB"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Разрешить отправку литья заводу № 174 производить без обрубки.</w:t>
      </w:r>
    </w:p>
    <w:p w14:paraId="37395174"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Директору Уралмашзавода т. МУЗРУКОВУ обеспечить поставку стального литья для корпусов Т-34 заводу № 174 по спецификации последнего в количестве:</w:t>
      </w:r>
    </w:p>
    <w:p w14:paraId="2CF6A862"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июле месяце – 50 комплектов</w:t>
      </w:r>
    </w:p>
    <w:p w14:paraId="0DA677E5"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августе месяце – 70 комплектов</w:t>
      </w:r>
    </w:p>
    <w:p w14:paraId="465239D3"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сентябре месяце – 100 комплектов</w:t>
      </w:r>
    </w:p>
    <w:p w14:paraId="5B811EE1"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Контроль за выполнением этого приказа возложить на т. ЩЕРБАКОВА.</w:t>
      </w:r>
    </w:p>
    <w:p w14:paraId="038A85AB"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ТАНКОВОЙ ПРОМЫШЛЕННОСТИ СОЮЗА ССР подпись И. ЗАЛЬЦМАН (21222).</w:t>
      </w:r>
    </w:p>
    <w:p w14:paraId="7436A21F" w14:textId="77777777" w:rsidR="00C9620F" w:rsidRPr="00722885" w:rsidRDefault="00C9620F" w:rsidP="00722885">
      <w:pPr>
        <w:spacing w:after="0" w:line="240" w:lineRule="auto"/>
        <w:jc w:val="both"/>
        <w:rPr>
          <w:rFonts w:ascii="Times New Roman" w:hAnsi="Times New Roman"/>
          <w:color w:val="0070C0"/>
          <w:sz w:val="16"/>
          <w:szCs w:val="16"/>
        </w:rPr>
      </w:pPr>
    </w:p>
    <w:p w14:paraId="6EF67785" w14:textId="77777777" w:rsidR="00C9620F" w:rsidRPr="00722885" w:rsidRDefault="00C9620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14 июля 1941 нарком среднего машиностроения В.А. Малышев оказался на заводе № 37, изучил вопрос на месте, после чего дал идее зеленый свет. Так родился малый танк Т-30 (изначально он именовался Т-60) (21348).</w:t>
      </w:r>
    </w:p>
    <w:p w14:paraId="005417B1" w14:textId="77777777" w:rsidR="00C9620F" w:rsidRPr="00722885" w:rsidRDefault="00C9620F"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74FFD55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вышло Постановление ГКО № 2036 [О передаче грузовых автомашин ЛФ в автопарк РГК.] (7042, 170).</w:t>
      </w:r>
    </w:p>
    <w:p w14:paraId="15A83CF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728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вышло Постановление ГКО № 2037 Об обеспечении вывоза из Кузбасса угля текущей добычи и запаса. РГАНИР, Фонд ГКО, д. 43, лл. 171-177 (11012).</w:t>
      </w:r>
    </w:p>
    <w:p w14:paraId="4909F7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CB79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вышло Постановление ГКО № 2038 О т. Гурове К.А. (назначение) РГАНИР, Фонд ГКО, д. 43, лл. 178 (11012).</w:t>
      </w:r>
    </w:p>
    <w:p w14:paraId="65FBFC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1E93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 вышло Постановление ГКО № 2040 «О производстве и поставках химического вооружения и химикатов для выпуска боеприпасов в III квартале 1942 года» (Д. 78. Л. 20–75, 78–80).</w:t>
      </w:r>
    </w:p>
    <w:p w14:paraId="22FC2B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13DB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вышло Постановление ГКО № 2041 О вывозе неиспользуемого оборудования с завода "Красный Октябрь". РГАНИР, Фонд ГКО, д. 44, лл. 1 (11012).</w:t>
      </w:r>
    </w:p>
    <w:p w14:paraId="77D26F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BF6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вышло Постановление ГКО № 2042 О формировании 20 гвардейских минометных полков М-8 и М-13. РГАНИР, Фонд ГКО, д. 44, лл. 2, 3-16 (11012).</w:t>
      </w:r>
    </w:p>
    <w:p w14:paraId="033BF5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14E9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вышло Постановление ГКО № 2043 Об изготовлении аэродромных компрессорных станций для НКО и НКВМФ во II квартале 1942 г. РГАНИР, Фонд ГКО, д. 44, лл. 17-18, 19-27 (11012).</w:t>
      </w:r>
    </w:p>
    <w:p w14:paraId="1A702A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A44F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вышло Постановление ГКО № 2044 О ремонтно-монтажном инструменте и приспособлениях для ВВС КА и ВМФ. РГАНИР, Фонд ГКО, д. 44, лл. 28-29, 30-105 (11012).</w:t>
      </w:r>
    </w:p>
    <w:p w14:paraId="11045E1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A988E"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 Приказом И.К. Седина в Наркомнефти для координации деятельности предприятий и организаций отрасли по увеличению объемов производства высокооктановых бензинов была создана специальная группа во главе с Ф.И. Волынцевым. В нее также вошли инженеры А.С. Эйгенсон, В. Иванников, М.Е. Черныш и другие. Вскоре напряженная и самоотверженная работа сотрудников наркомата принесла свои плоды. Впоследствии работа советских инженеров М. Горелика, В. Гутыри, А. Маркина, Л. Самойлова, Б. Рыбака «Разработка и внедрение комбинированной жидкофазной очистки со вторичной перегонкой широких бензиновых фракций низкооктановых нефтей с целью увеличения выработки авиационных бензинов» была удостоена Сталинской премии. Молодой бакинский ученый Юсуф Мамедалиев наряду с новаторским технологическим процессом «синтеза толуола алкилированием и деалкилированием ароматических углеводородов» сумел разработать и внедрить в производство оригинальную технологию получения высокооктановых компонентов на установке по очистке бензина бакинского завода № 10 (11523).</w:t>
      </w:r>
    </w:p>
    <w:p w14:paraId="18DB77A0"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3688E84D"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3D44AE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D9383B"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в 1942 году утреннее сообщение Совинформбюро:</w:t>
      </w:r>
    </w:p>
    <w:p w14:paraId="3E4ED5CC"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течение ночи на 14 июля наши войска вели ожесточённые бои с противником в районе Воронежа и южнее города Богучар.</w:t>
      </w:r>
    </w:p>
    <w:p w14:paraId="716CCCF2"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75FF57F2"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Противник, сосредоточив на узком участке крупные силы, прорвался в район Воронежа. Наши войска ведут героическую борьбу с врагом. На ряде участков продолжаются большие танковые бои. Экипаж танка гвардии капитана Амелина поджёг немецкий танк, уничтожил 2 миномётные батареи и противотанковое орудие. Экипаж тяжёлого танка, который вёл тов. Марченко, огнём и гусеницами истребил до 60 немецких солдат и уничтожил миномётную батарею. Экипаж танка лейтенанта Неписова уничтожил 10 орудий, 4 автомашины, 6 мотоциклов и до 100 гитлеровцев. 3а последние три дня лётчики части, которой командует тов. Белицкий, в воздушных боях сбили 40 немецких самолётов.</w:t>
      </w:r>
    </w:p>
    <w:p w14:paraId="5FDDDED1"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Богучара наши войска ведут ожесточённые бои с наступающими войсками противника. На отдельных участках наши танковые подразделения совершили налёты на боевые порядки гитлеровцев и уничтожили около 40 автомашин с пехотой, 13 противотанковых орудий и 14 немецких танков.</w:t>
      </w:r>
    </w:p>
    <w:p w14:paraId="5DB9D429"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Наша часть под командованием тов. Лопова (Калининский фронт) в течение шести дней боевых действий уничтожила свыше 2 тысяч немецких солдат и офицеров и 54 танка противника. На другом участке фронта противник бросил в атаку 3 батальона пехоты и 42 танка. Наши бойцы отбили атаку немцев и уничтожили 12 танков и до 700 гитлеровцев. Возле населённого пункта Е. немцы выбросили воздушный десант. Многие парашютисты были расстреляны раньше, чем они успели приземлиться. Остальные уничтожены на земле.</w:t>
      </w:r>
    </w:p>
    <w:p w14:paraId="3D0D19BD"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штурмовые и истребительные авиачасти нанесли одновременный массированный удар по четырём аэродромам противника. Налёт советской авиации застал противника врасплох. Наши лётчики на двух аэродромах уничтожили до 25 самолётов и ангар, на третьем аэродроме — около 70 самолётов и на четвёртом аэродроме — 18 немецких самолётов.</w:t>
      </w:r>
    </w:p>
    <w:p w14:paraId="3AA13044"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Девять лётчиков-истребителей под командованием Героя Советского Союза подполковника Шинкаренко, прикрывая наземные части с воздуха, заметили 17 немецких бомбардировщиков, которые шли в сопровождении большого числа истребителей. Несмотря на численное превосходство противника, советские лётчики атаковали вражеские самолёты и навязали им бой. Подполковник Шинкаренко и старший лейтенант Зайцев сбили по 2 немецких самолёта каждый. Подполковник Черепанов и капитан Вараксин сбили по одному «Мессершмитту».</w:t>
      </w:r>
    </w:p>
    <w:p w14:paraId="54C57AEA"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позиции орудийного расчёта гвардии сержанта Хлынцева приближалась танковая колонна противника. Выдвинув орудие на открытую позицию, артиллеристы открыли огонь и подбили 3 немецких танка.</w:t>
      </w:r>
    </w:p>
    <w:p w14:paraId="37095786"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совершил успешный налёт на немецкий склад с горючим. Советские патриоты истребили охрану, сожгли большое количество бензина и 6 автоцистерн.</w:t>
      </w:r>
    </w:p>
    <w:p w14:paraId="7C6F7476"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Ниже публикуются выдержки из записной книжки убитого немецкого фельдфебеля Альберта Лихтенберга: «Продвигаемся с большим трудом. Потери ужасные. Во многих ротах выбыло 40—50 процентов боевого состава. Во время массированного налёта русских лётчиков убито и ранено около 600 человек. Убитых не убирают </w:t>
      </w:r>
      <w:r w:rsidRPr="00722885">
        <w:rPr>
          <w:rFonts w:ascii="Times New Roman" w:hAnsi="Times New Roman"/>
          <w:color w:val="000000" w:themeColor="text1"/>
          <w:sz w:val="16"/>
          <w:szCs w:val="16"/>
        </w:rPr>
        <w:lastRenderedPageBreak/>
        <w:t>— некому.Трупный запах угнетает... Солдаты покрылись грязью, оборвались. Растеряли снаряжение и разные принадлежности. В новых местах стараемся организовать что-нибудь. 3десь есть куры, яйца, масло. Мы всё съедаем. Труднее найти ценные вещи. Жители их спрятали. Вчера вместе с унтер-офицером Шульцем очистили несколько домов...».</w:t>
      </w:r>
    </w:p>
    <w:p w14:paraId="5AD3C954"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Близ порта Эсбьерг (Дания) датские патриоты разрушили в нескольких местах электромагистраль высокого напряжения.</w:t>
      </w:r>
    </w:p>
    <w:p w14:paraId="09DF7C1A"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руднике в районе Алтенэссена (Эссен, Германия) произошёл крупный взрыв. Ствол шахты разрушен. Работы полностью приостановлены.» (14952).</w:t>
      </w:r>
    </w:p>
    <w:p w14:paraId="5DA8AA17" w14:textId="77777777" w:rsidR="00C7637D" w:rsidRPr="00722885" w:rsidRDefault="00C7637D" w:rsidP="00722885">
      <w:pPr>
        <w:spacing w:after="0" w:line="240" w:lineRule="auto"/>
        <w:jc w:val="both"/>
        <w:rPr>
          <w:rFonts w:ascii="Times New Roman" w:hAnsi="Times New Roman"/>
          <w:color w:val="000000" w:themeColor="text1"/>
          <w:sz w:val="16"/>
          <w:szCs w:val="16"/>
        </w:rPr>
      </w:pPr>
    </w:p>
    <w:p w14:paraId="2A921A7C"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в 1942 году вечернее сообщение Совинформбюро:</w:t>
      </w:r>
    </w:p>
    <w:p w14:paraId="420ED0A0"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14 июля наши войска вели ожесточённые бои против группировки противника, прорвавшейся в район Воронежа.</w:t>
      </w:r>
    </w:p>
    <w:p w14:paraId="4D667233"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Богучар наши войска продолжали вести тяжёлые бои с наступающими танками и мотопехотой противника.</w:t>
      </w:r>
    </w:p>
    <w:p w14:paraId="6E37F3D4"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7391FC08"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13 июля частями нашей авиации на различных участках фронта уничтожено или повреждено 64 немецких танка, 165 автомашин с войсками и грузами, 5 орудий, взорваны склад с боеприпасами и склад с горючим, сожжено 2 железнодорожныхэ шелона, рассеяно и частью уничтожено до трёх батальонов пехоты противника.</w:t>
      </w:r>
    </w:p>
    <w:p w14:paraId="427EAE06"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Бои в районе Воронежа продолжаются с большим ожесточением. О потерях немцев на этом участке фронта можно судить по результатам действий одного нашего соединения. За 10 дней боёв на участке, занимаемом этим соединением, немцы потеряли убитыми и ранеными более 35.000 солдат и офицеров. Кроме того, войска нашего соединения уничтожили 135 полевых и 106 противотанковых орудий, 157 танков, 100 станковых пулемётов, 11 бронемашин, 115 автомашин с грузами и 220 повозок.</w:t>
      </w:r>
    </w:p>
    <w:p w14:paraId="10E70468"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бойцы проявляют стойкость и мужество в борьбе с врагом. Наводчик противотанкового ружья тов. Сметанко поджёг один танк противника. Вскоре немцы бросили в атаку ещё 4 танка. Сметанко открыл по ним огонь и прямым попаданием зажёг головной немецкий танк. Остальные танки повернули обратно. Пулемётчик тов. Сидиков, прикрывая отход своей роты, был тяжело ранен. Гитлеровцы окружили пулемётчика и хотели взять его в плен. Собрав последние силы, тов. Сидиков бросил две противотанковые гранаты и уничтожил свыше 20 немецких солдат. Третьей гранатой он взорвал себя и пулемёт. Взвод автоматчиков, которым командует старший сержант Фильгинский, на танках ворвался в село Е., занятое немцами. Завязался уличный бой. Подержанные танками, наши автоматчики выбили немцев из села.</w:t>
      </w:r>
    </w:p>
    <w:p w14:paraId="09A0D6A9"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Богучара наши части ведут тяжёлую борьбу против численно превосходящих сил танков и мотопехоты противника. На одном из участков создалась опасность окружения группы советских войск. Ударом во фланг наши танкисты отрезали и ликвидировали выдвинувшиеся вперёд войска противника. Гитлеровцы потеряли 17 танков и свыше 900 солдат и офицеров. Только после того, как они ввели в бой резервы, наши бойцы отошли на новый оборонительный рубеж.</w:t>
      </w:r>
    </w:p>
    <w:p w14:paraId="7A57D2CE"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пехота немцев при поддержке танков атаковала одну нашу часть. Советские артиллеристы и бронебойщики уничтожили 12 немецких танков. Пехота противника понесла большие потери и отступила. Наши бойцы, преследуя гитлеровцев, ворвались на окраину населённого пункта.</w:t>
      </w:r>
    </w:p>
    <w:p w14:paraId="163F18A2"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танка старшего лейтенанта Кикоть, старшины Панова и старшего сержанта Баранова в одном бою разрушил 5 ДЗОТов и уничтожил 2 противотанковых орудия и 25 гитлеровцев.</w:t>
      </w:r>
    </w:p>
    <w:p w14:paraId="0DA0B2A1"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Сержант тов. Подокин в течение дня истребил 10 немецких солдат и уничтожил 4 пулемётные точки противника.</w:t>
      </w:r>
    </w:p>
    <w:p w14:paraId="68F191AB"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Сержант Владимир Григоров рано утром пробрался через вражеское минное поле к переднему краю обороны противника и занял удобную позицию. Вскоре он пристрелил трёх немцев, вышедших из землянки. Пролежав несколько часов, тов. Григоров уничтожил ещё 5 гитлеровцев.</w:t>
      </w:r>
    </w:p>
    <w:p w14:paraId="166E3C64"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изверги ограбили всех жителей деревни Устарь, Орловской области, а затем подожгли дома колхозников. Сгорело 170 дворов. 20 женщин, стариков и детей гитлеровские палачи загнали в дома и сожгли живьём, 53 человека выгнали за село и расстреляли.</w:t>
      </w:r>
    </w:p>
    <w:p w14:paraId="1E0F980E"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оккупационные власти во Франции реквизируют у крестьян хлеб нового урожая. Французские патриоты, не желая отдавать зерно захватчикам, прячут хлеб как только могут, а если не удаётся хлеб спрятать, уничтожают его. Недалеко от Эвре неизвестными убиты немецкий чиновник и несколько солдат, производивших учёт нового урожая.</w:t>
      </w:r>
    </w:p>
    <w:p w14:paraId="57490EC0"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в Варшаве при Восточном вокзале сгорел большой склад бензина немецких оккупантов. Пожар длился 5 часов. На одной из станций польские патриоты организовали крушение поезда гитлеровцев.» (14952).</w:t>
      </w:r>
    </w:p>
    <w:p w14:paraId="28C7C866" w14:textId="77777777" w:rsidR="00C7637D" w:rsidRPr="00722885" w:rsidRDefault="00C7637D" w:rsidP="00722885">
      <w:pPr>
        <w:spacing w:after="0" w:line="240" w:lineRule="auto"/>
        <w:jc w:val="both"/>
        <w:rPr>
          <w:rFonts w:ascii="Times New Roman" w:hAnsi="Times New Roman"/>
          <w:color w:val="000000" w:themeColor="text1"/>
          <w:sz w:val="16"/>
          <w:szCs w:val="16"/>
        </w:rPr>
      </w:pPr>
    </w:p>
    <w:p w14:paraId="135FB312" w14:textId="77777777" w:rsidR="00C7637D" w:rsidRPr="00722885" w:rsidRDefault="00C7637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в 1942 году постановлением ГКО введены нагрудные знаки военнослужащих Вооруженных сил СССР, получивших ранения на фронтах Великой Отечественной войны. Носились на всех формах одежды на правой стороне груди выше орденов и медалей. В Российской Федерации с 1997 г. предусмотрено ношение специального знака «За ранение» (14952).</w:t>
      </w:r>
    </w:p>
    <w:p w14:paraId="59656DFD" w14:textId="77777777" w:rsidR="00C7637D" w:rsidRPr="00722885" w:rsidRDefault="00C7637D" w:rsidP="00722885">
      <w:pPr>
        <w:spacing w:after="0" w:line="240" w:lineRule="auto"/>
        <w:jc w:val="both"/>
        <w:rPr>
          <w:rFonts w:ascii="Times New Roman" w:hAnsi="Times New Roman"/>
          <w:color w:val="000000" w:themeColor="text1"/>
          <w:sz w:val="16"/>
          <w:szCs w:val="16"/>
        </w:rPr>
      </w:pPr>
    </w:p>
    <w:p w14:paraId="233962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14th, 1942: In the East, the advances by Heeresgruppe A (List) and Heeresgruppe B (von Weichs) toward the Don bend at Kalach and Rostov continue against minimal Soviet resistance. In Egypt, an attack by the British Eighth Army against the positions of the Afrikakorps S of El Alamein is unsuccessful (3819).</w:t>
      </w:r>
    </w:p>
    <w:p w14:paraId="6B8279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7F8F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Группа А (Лист) и Группа Б (фон Вайс) соединившиеся у Калача, продвигались вперед. В Египте поражением закончилось наступление британской 8А у Эль Аламейна (3819).</w:t>
      </w:r>
    </w:p>
    <w:p w14:paraId="43A9DAD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D17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указом Президиума ВС Сталинградская область была переведена на военное положение (340,89).</w:t>
      </w:r>
    </w:p>
    <w:p w14:paraId="50B619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FE72E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года утвердили штат танковой бригады № 010/270— 010/277 из 53 танков (32 Т-34), а 31 июля - штат № 010/280-010/287 в составе 40 боевых машин (из них 24 Т-34). Кроме того, в сентябре 1942 года разработан и штат № 010/240 танковой бригады из 49 танков(5 КВ, 24 Т-34 и 20 Т-70), который не получил широкого распространения, так как в октябре того же года началось формирование отдельных танковых полков прорыва, укомплектованных тяжелыми танками КВ и «Черчилль». Но наиболее совершенной признали штат танковой бригады № 010/270, по которому провели наибольшее число формирований во второй половине 1942 года.</w:t>
      </w:r>
    </w:p>
    <w:p w14:paraId="608C36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Кстати, введение новых штатов не означало отмены старых или перевода на них существующих танковых бригад. По новым штатам проводили новые формирования, а созданные ранее части оставались на старых, а на новые могли переводиться только при их выводе в тыл на переформирование. Таким образом, к концу 1942 года существовало семьразных штатов отдельных танковых бригад (не считая различных вариантов штатов танковых батальонов), насчитывающих 27, 40, 44, 46, 49, 48 или 53 танка. При этом число тридцатьчетверок в них колебалось и составляло 16, 20, 22, 24, 32, 38 или 42 машины. Наибольшее количество Т-34 было в бригадах штата № 010/345 с танковыми батальонами штатов № 010/392 и 010/394 - по 38 или 42 штуки соответственно. Таким образом, в течение 1942 года прослеживается тенденция процентного увеличения тридцатьчетверок в бригадах от 35% до 87%. В среднем же Т-34 составляли 60% штатной численности отдельных танковых бригад.</w:t>
      </w:r>
    </w:p>
    <w:p w14:paraId="7E1A94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Структура отдельной танковой бригады кардинально не перерабатывалась с сентября 1942-го по ноябрь 1943 года. Однако она претерпела много изменений: исключались или включались различные должности либо целые подразделения, но число танков не менялось. В ноябре 1943 года появился новый штат № 010/500 отдельной танковой бригады, состоявшей из управления, трех танковых, мотострелкового батальонов и имевшей на вооружении 65 танков Т-34 (по 21 машине в батальоне и две в управлении бригады). Но-еще до введения новой организации ряд танковых бригад штата № 010/270 стали комплектовать тремя танковыми батальонами по штату № 010/271 (в каждом 21 Т-34), а еще две тридцатьчетверки вводили в роту управления. Таким образом, общее количество танков составляло 65 Т-34.</w:t>
      </w:r>
    </w:p>
    <w:p w14:paraId="5CCAF29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Танковые бригады переводились на штат № 010/500 постепенно, отдельными директивами НКО. Кроме того, учитывая разросшееся число танковых частей, приказом НКО № 00106 от 21 июня 1943 устанавливался лимит численности танковых и механизированных войск. По этому приказу провели сокращение численности за счет расформирования некоторых частей (бригад и отдельных батальонов) и переформирования ряда бригад в отдельные танковые полки.</w:t>
      </w:r>
    </w:p>
    <w:p w14:paraId="70C918D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по новым штатам с четвертого квартала 1943 года отдельные танковые бригады переводились на единые штаты, при этом в качестве основной боевой машины должны были использоваться танки Т-34. Бригады, имевшие на вооружении полученные по ленд-лизу английские и американские танки также перевооружались на тридцатьчетверки. Штат № 010/500 оставался неизменным вплоть до конца Второй Мировой войны, в него внесли всего две корректировки. Так, в связи с поступлением на вооружение танков Т-34-85 с экипажем из пяти человек директивой Генерального Штаба Красной Армии № 0рг/3/308369 от 10 апреля 1944 года рота противотанковых ружей мотострелкового батальона обращалась на укомплектование экипажей, поэтому штатная численность бригады оставалась без изменений. Приказом НКО № 0245 от 6 августа 1944 года в состав бригады вводилось стрелковое отделение из 8 человек для обеспечения охраны и оперативной работы отделов контрразведки «СМЕРШ». Таким образом, с конца 1943 года танки Т-34 должны были составлять 100% парка отдельных танковых бригад Красной Армии.</w:t>
      </w:r>
    </w:p>
    <w:p w14:paraId="6DCBD53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Число танковых бригад в первой половине росло довольно значительно, но с введением лимита штатной численности бронетанковых войск эта тенденция прекратилась. Так, если на 1 января 1942 года в Красной Армии имелось 57 отдельных танковых бригад, а на 1 января 1943 года 122, то на 1 января 1944-го - 144 (62 отдельных, остальные в составе танковых и механизированных корпусов), на 1 января 1945 года - 148 (64 отдельных), на 1 мая 1945 года - 147 (63 отдельных). Таким </w:t>
      </w:r>
      <w:r w:rsidRPr="00722885">
        <w:rPr>
          <w:rFonts w:ascii="Times New Roman" w:hAnsi="Times New Roman"/>
          <w:color w:val="000000" w:themeColor="text1"/>
          <w:sz w:val="16"/>
          <w:szCs w:val="16"/>
        </w:rPr>
        <w:lastRenderedPageBreak/>
        <w:t>образом, начиная со второй половины 1943 года тридцатьчетверки становятся основным вооружением танковых бригад Красной Армии, вытесняя при этом другие типы боевых машин (12217).</w:t>
      </w:r>
    </w:p>
    <w:p w14:paraId="3FBF6D6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DD5F5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 15 июля 1942 решениями транспортного комитета при ГКО и последующими указаниями И.В.С. на волжский речной транспорт возлагались все возраставшие перевозки грузов для заводов, выпускавших броневую сталь, танки, артиллерийские орудия и другую важнейшую военную продукцию, а также перевозки боеприпасов. В Вольске, Саратове, Камышине и Сталинграде были созданы фронтовые базы снабжения, в Казани, Сызрани и Ульяновске срочно усиливались пункты перевалки воинских грузов с железных дорог на водный транспорт и обратно. Всего по решению Госкомитета обороны было необходимо принять с железных дорог на волжскую магистраль 6000 вагонов воинских и 3550 – хозяйственных грузов. Волжские порты не были подготовлены к переработке столь огромного грузопотока, поэтому в Куйбышеве, Батраках и Саратове в спешном порядке сооружали дополнительные причалы для тяжеловесных грузов. Затем при помощи воинских частей началась реконструкция пристаней в Камышине и Вольске. Тем не менее перегрузка с вагонов в пароходы и баржи происходила с огромными трудностями. Зачастую портовые краны не выдерживали нагрузки и опрокидывались, происходили многочисленные аварии и несчастные случаи. А эшелоны все прибывали и прибывали (11774).</w:t>
      </w:r>
    </w:p>
    <w:p w14:paraId="043F74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5B72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в состав авиации СФ вошла Особая морская авиагруппа (ОМАГ) - бывшая Ударная авиагруппа Ставки Верховного Главнокомандования. ВВС СФ были усилены сразу семью авиаполками, в том числе и одним минно-торпедным (32-й МТАП), который имел на вооружении 11 Ил-4. На бомбардировочном варианте этого самолета и открыли свой боевой счет морские летчики Заполярья. 14 июля 1942 г. в 20.40 одиночный Ил-4 попал бомбой в немецкую быстроходную зенитную баржу F243A, которая везла более 150 т боеприпасов. Баржа загорелась, самоходный морской паром типа "Зибель" FS246 попытался снять ее экипаж, но тут сдетонировали боеприпасы, и оба корабля затонули (2867,31).</w:t>
      </w:r>
    </w:p>
    <w:p w14:paraId="7C4EE0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E25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ввели нашивки за ранение - золотистые за тяжелые и красные за прочие (2813,20).</w:t>
      </w:r>
    </w:p>
    <w:p w14:paraId="48DEA0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81FC6"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июля 1942 года приказом НКО СССР № 213 и Постановлением Государственного Комитета Обороны СССР № ГОКО-2039 были введены отличительные знаки для раненых военнослужащих Красной Армии на фронтах Отечественной войны.</w:t>
      </w:r>
    </w:p>
    <w:p w14:paraId="7837EB4F"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Знак представлял собой нашивку прямоугольной формы длиной 43 мм, шириной 5—6 мм, изготовленную из шелкового галуна тёмно-красного цвета (при лёгком ранении) или золотистого (жёлтого) (при тяжёлом ранении).</w:t>
      </w:r>
    </w:p>
    <w:p w14:paraId="144B239F"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Знаки нашивались на правой стороне гимнастёрки (кителя) на уровне средней пуговицы, а при наличии кармана — над правым грудным карманом. После войны носился на всех формах одежды на правой стороне груди на 8—10 мм выше орденов и медалей, а при отсутствии последних — на их месте (21192).</w:t>
      </w:r>
    </w:p>
    <w:p w14:paraId="21A25039" w14:textId="77777777" w:rsidR="00C9620F" w:rsidRPr="00722885" w:rsidRDefault="00C9620F" w:rsidP="00722885">
      <w:pPr>
        <w:spacing w:after="0" w:line="240" w:lineRule="auto"/>
        <w:jc w:val="both"/>
        <w:rPr>
          <w:rFonts w:ascii="Times New Roman" w:hAnsi="Times New Roman"/>
          <w:color w:val="0070C0"/>
          <w:sz w:val="16"/>
          <w:szCs w:val="16"/>
        </w:rPr>
      </w:pPr>
    </w:p>
    <w:p w14:paraId="1FB6D86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вышло Постановление ГКО № 2039 О введении отличительных знаков для раненых военнослужащих Красной Армии на фронтах Отечественной войны. (7042, 179-181).</w:t>
      </w:r>
    </w:p>
    <w:p w14:paraId="449975E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4D3AD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 вышло ПОСТАНОВЛЕНИЕ ГОСУДАРСТВЕННОГО КОМИТЕТА ОБОРОНЫ № ГОКО-2039 О ВВЕДЕНИИ ОТЛИЧИТЕЛЬНЫХ ЗНАКОВ ДЛЯ РАНЕНЫХ ВОЕННОСЛУЖАЩИХ КРАСНОЙ АРМИИ НА ФРОНТАХ ОТЕЧЕСТВЕННОЙ ВОЙНЫ</w:t>
      </w:r>
    </w:p>
    <w:p w14:paraId="03D74A1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Ввести для красноармейцев, командного и политического состава Красной Армии, получивших ранения в боя за нашу Советскую Родину против немецких захватчиков, отличительный знак о числе ранений для постоянного ношения на обмундировании.</w:t>
      </w:r>
    </w:p>
    <w:p w14:paraId="7541EA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Утвердить Положение об отличительных знаках для раненых военнослужащих Красной Армии на фронтах Отечественной войны и прилагаемые к нему образцы знаков.</w:t>
      </w:r>
    </w:p>
    <w:p w14:paraId="7CD7FA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Отличительный знак о ранении носить на правой стороне груди.</w:t>
      </w:r>
    </w:p>
    <w:p w14:paraId="04A776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Право ношения военнослужащим отличительного знака о ранении отмечать:</w:t>
      </w:r>
    </w:p>
    <w:p w14:paraId="2780FBE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красноармейцев и младшего начальствующего состава — в красноармейской книжке;</w:t>
      </w:r>
    </w:p>
    <w:p w14:paraId="1A4CAF1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среднего, старшего и высшего командного и политического состава — в удостоверении личности и послужном списке.</w:t>
      </w:r>
    </w:p>
    <w:p w14:paraId="0AE543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За незаконное ношение знака о ранении виновных привлекать к уголовной ответственности.</w:t>
      </w:r>
    </w:p>
    <w:p w14:paraId="18669F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Установленный Положением отличительный знак о ранении для военнослужащих Красной Армии применять со дня начала Отечественной войны.</w:t>
      </w:r>
    </w:p>
    <w:p w14:paraId="33F0D3E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Председатель Государственного Комитета Обороны И. СТАЛИН</w:t>
      </w:r>
      <w:r w:rsidRPr="00722885">
        <w:rPr>
          <w:rFonts w:ascii="Times New Roman" w:hAnsi="Times New Roman"/>
          <w:color w:val="000000" w:themeColor="text1"/>
          <w:sz w:val="16"/>
          <w:szCs w:val="16"/>
        </w:rPr>
        <w:t xml:space="preserve"> (9844).</w:t>
      </w:r>
    </w:p>
    <w:p w14:paraId="38FDE3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BD1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 вышел ПРИКАЗ НКО № 214 О ПОРЯДКЕ ВЫСЫЛКИ ВОЙСКОВЫМИ ЧАСТЯМИ И УЧРЕЖДЕНИЯМИ ИЗВЕЩЕНИЙ О ПОГИБШИХ И ПРОПАВШИХ БЕЗ ВЕСТИ В БОЯХ ЛИЦАХ НАЧАЛЬСТВУЮЩЕГО СОСТАВА И СВЕРХСРОЧНОСЛУЖАЩИХ И О НАЗНАЧЕНИИ ПЕНСИЙ СЕМЬЯМ ЭТИХ ЛИЦ</w:t>
      </w:r>
    </w:p>
    <w:p w14:paraId="1D9642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указания приказа НКО 1941 г. № 138 о высылке извещений семьям погибших лиц начальствующего состава войсковыми частями и учреждениями действующей армии немедленно по установлении факта смерти военнослужащего, эти извещения высылаются с большим опозданием:</w:t>
      </w:r>
    </w:p>
    <w:p w14:paraId="287BB3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Поарм 55 о смерти батальонного комиссара Шелутко А. А., погибшего 3.11.1941 г., выслал извещение семье только 5.4.1942 г.;</w:t>
      </w:r>
    </w:p>
    <w:p w14:paraId="2CACF7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420-й артполк АРГК о погибшем 14.9.1941 г. лейтенанте Жавниро-вич П. 3. выслал извещение семье 23.3.1942 г., т. е. через 6 месяцев;</w:t>
      </w:r>
    </w:p>
    <w:p w14:paraId="02B29A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150-я танковая бригада о погибшем 24.7.1941 г. майоре Исакович И. Я. выслала извещение семье 19.4.1942 г. — спустя почти 9 месяцев.</w:t>
      </w:r>
    </w:p>
    <w:p w14:paraId="18D16E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Имеются случаи, когда в высылаемых извещениях нет даты подписания извещения и даже даты гибели военнослужащего.</w:t>
      </w:r>
    </w:p>
    <w:p w14:paraId="357935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это задерживает назначение пенсий семьям командиров, погибших, защищая социалистическую Родину.</w:t>
      </w:r>
    </w:p>
    <w:p w14:paraId="060A76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Приказываю:</w:t>
      </w:r>
    </w:p>
    <w:p w14:paraId="5A736A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Командирам и комиссарам войсковых частей и соединений в двухдневный срок по установлении смерти военнослужащего обеспечивать высылку извещения семье, включая в него все требуемые формой сведения (дата гибели, место погребения и т. д.).</w:t>
      </w:r>
    </w:p>
    <w:p w14:paraId="18D4F0F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Извещения о пропавших без вести впредь высылать в двухдневный срок после исключения этих лиц из списков части.</w:t>
      </w:r>
    </w:p>
    <w:p w14:paraId="3C2C4F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 извещениях (форма № 4, приказ НКО 1941 г. № 138), помимо военного звания погибшего или пропавшего без вести военнослужащего, указывать последнюю занимаемую им штатную должность, а также почтовый адрес части.</w:t>
      </w:r>
    </w:p>
    <w:p w14:paraId="0AFD53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Одновременно с высылкой извещения семье копию извещения высылать в облвоенкомат по месту жительства семьи с приложением расчетной книжки погибшего или справки (взамен расчетной книжки) об окладе и сроке удовлетворения денежным содержанием пропавшего без вести военнослужащего для разрешения вопроса о назначении пенсии семье.</w:t>
      </w:r>
    </w:p>
    <w:p w14:paraId="337141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адрес семьи неизвестен, — извещение вместе с расчетной книжкой (или справкой) высылать непосредственно в Финансовое управление при НКО.</w:t>
      </w:r>
    </w:p>
    <w:p w14:paraId="1AE8FDD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Военным советам фронтов и отдельных армий установить контроль за выполнением п. п. 1 — 3 настоящего приказа.</w:t>
      </w:r>
    </w:p>
    <w:p w14:paraId="775F27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Областным военным комиссарам немедленно по получении копий извещений (п. 3 настоящего приказа) уведомлять соответствующие райвоенкоматы для расчетов с семьями и представления ими необходимых документов для назначения пенсии.</w:t>
      </w:r>
    </w:p>
    <w:p w14:paraId="1870BB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Пенсии семьям умерших лиц начальствующего состава и сверхсрочнослужащих назначать с 1 числа месяца, следующего за тем месяцем, в котором умер военнослужащий.</w:t>
      </w:r>
    </w:p>
    <w:p w14:paraId="37C8B4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Суммы, выплаченные семье по денежному аттестату, если они меньше пенсии, а также суммы, выплаченные в порядке приказов НКО 1941 г. № 242* и 1942 г. № 140,** засчитывать в счет пенсии.</w:t>
      </w:r>
    </w:p>
    <w:p w14:paraId="29BB3A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тех случаях, когда семье военнослужащего до получения ею или облво-енкоматом извещения о смерти выплачена по аттестату большая сумма, чем полагается за то же время пенсии, — удержаний переполученных по аттестату сумм не производить.</w:t>
      </w:r>
    </w:p>
    <w:p w14:paraId="0EAE29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Пенсии семьям пропавших без вести назначать тем же порядком, но только после получения выписки из приказа по личному составу об исключении пропавшего без вести военнослужащего из списков Красной Армии.</w:t>
      </w:r>
    </w:p>
    <w:p w14:paraId="4A70C4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Ст. 14 “Положения о персональном учете потерь и погребении погибшего личного состава Красной Армии в военное время (приказ НКО 1941 г. № 138) в части высылки извещений о пропавших без вести и приказ НКО 1942 г. № 10*** отменить.</w:t>
      </w:r>
    </w:p>
    <w:p w14:paraId="63409C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Cs/>
          <w:color w:val="000000" w:themeColor="text1"/>
          <w:sz w:val="16"/>
          <w:szCs w:val="16"/>
        </w:rPr>
        <w:t>Заместитель Народного комиссара обороны СССР генерал-лейтенант интендантской службы ХРУЛЕВ (9844).</w:t>
      </w:r>
    </w:p>
    <w:p w14:paraId="40C1E9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3009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года вышло Распоряжение Начальника ЦШПД начальнику Украинского ШПД об организации и постановке агентурной разведки, в частности приказано ввести в партизанских отрядах должность заместителя командира по агентурной и войсковой разведке (8983).</w:t>
      </w:r>
    </w:p>
    <w:p w14:paraId="4FE146B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34E8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4CC835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B1EE3E"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14 июля в 1942 году начались испытания австралийского легкого десантного планера «EG-1». Первоначально для запуска планера использовался автомобиль. В дальнейшем планер буксировал самолет «Wapiti». В 1942 году ВВС Австралии представили тактико-технические требования на прототип транспортно-десантного планера. Требования были направлены двум авиационным фирмам - канадской «Commonweaith Aircraft Corporation» и «de Havilland Australia» (DHA), но только «DHA» согласилась разработать прототип. На должность главного конструктора был назначен M.Warnera - конструктор планеров. В результате были построены два прототипа планера с незначительными отличиями друг от друга. Они представляли собой цельнодеревянные свободнонесущие высокопланы. Рули высоты и направления обтянуты тканью. Для остекления кабины использовались стекла серийно выпускаемого по лицензии самолета </w:t>
      </w:r>
      <w:hyperlink r:id="rId21" w:tgtFrame="_blank" w:history="1">
        <w:r w:rsidRPr="00722885">
          <w:rPr>
            <w:rFonts w:ascii="Times New Roman" w:hAnsi="Times New Roman"/>
            <w:color w:val="000000" w:themeColor="text1"/>
            <w:sz w:val="16"/>
            <w:szCs w:val="16"/>
          </w:rPr>
          <w:t xml:space="preserve">«De Havilland» «DH-842 «Dragon» «Mk.I». </w:t>
        </w:r>
      </w:hyperlink>
      <w:r w:rsidRPr="00722885">
        <w:rPr>
          <w:rFonts w:ascii="Times New Roman" w:hAnsi="Times New Roman"/>
          <w:color w:val="000000" w:themeColor="text1"/>
          <w:sz w:val="16"/>
          <w:szCs w:val="16"/>
        </w:rPr>
        <w:t>За пилотом находились шесть мест для десантников, расположенных парами. Первый прототип получил обозначение «EG-1», второй – «EG-2» (14952).</w:t>
      </w:r>
    </w:p>
    <w:p w14:paraId="400D927F"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63B9E10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в Лондоне генерал Шарль де Голль объявил о переименовании своей организации “Свободная Франция” в “Сражающуюся Францию” (4962).</w:t>
      </w:r>
    </w:p>
    <w:p w14:paraId="6CFAFA5F"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640220"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за убийство партизанами шефа местного гестапо нацистами расстреляны 700 югославов в Загребе (4962).</w:t>
      </w:r>
    </w:p>
    <w:p w14:paraId="5EB269F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9797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ночью с 13 12 подводных пловцов, погрузившихся с виллы Кармала в Гибралтаре, атаковали суда английского конвоя и повредили 4 судна (3961, 55).</w:t>
      </w:r>
    </w:p>
    <w:p w14:paraId="3BAA24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557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императорская Япония создала 8-й флот для действий в районе Новой Гвинеи и Соломоновых островов (3186).</w:t>
      </w:r>
    </w:p>
    <w:p w14:paraId="2A04F7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5FC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Индийский национальный конгресс выступил с требованием о незамедлительном предоставлении Индии независимости (3186).</w:t>
      </w:r>
    </w:p>
    <w:p w14:paraId="63FA03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0BB4C"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44CE14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FCD2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в ЦАГИ в трубе Т-104 закончились исследования лобового сопротивления спецподвески (РО-82 и РС-82) и изыскивались способы его снижения для Як-1, Як-7, ЛаГГ-3 и МиГ-3 и Ил-2, которые начались 7 июня 1942 (762).</w:t>
      </w:r>
    </w:p>
    <w:p w14:paraId="6E223AD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37A19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г. в аэродинамической трубе Т-104 ЦАГИ закончились ис</w:t>
      </w:r>
      <w:r w:rsidRPr="00722885">
        <w:rPr>
          <w:rFonts w:ascii="Times New Roman" w:hAnsi="Times New Roman"/>
          <w:color w:val="000000" w:themeColor="text1"/>
          <w:sz w:val="16"/>
          <w:szCs w:val="16"/>
        </w:rPr>
        <w:softHyphen/>
        <w:t>следования по уменьшению лобового сопротивления штатного РО-82 и РС-82 (отчет утвердил начальник ЦАГИ доктор технических наук С.Шишкин), которые начались 7 июня. В ходе экспериментов натурные образцы РО и РС устанав</w:t>
      </w:r>
      <w:r w:rsidRPr="00722885">
        <w:rPr>
          <w:rFonts w:ascii="Times New Roman" w:hAnsi="Times New Roman"/>
          <w:color w:val="000000" w:themeColor="text1"/>
          <w:sz w:val="16"/>
          <w:szCs w:val="16"/>
        </w:rPr>
        <w:softHyphen/>
        <w:t>ливали под углом 3° к хорде, каждое РО подвешивали индивидуально.</w:t>
      </w:r>
    </w:p>
    <w:p w14:paraId="1B3E2DB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РО спроектировали два обтекателя. Первый представлял собой об</w:t>
      </w:r>
      <w:r w:rsidRPr="00722885">
        <w:rPr>
          <w:rFonts w:ascii="Times New Roman" w:hAnsi="Times New Roman"/>
          <w:color w:val="000000" w:themeColor="text1"/>
          <w:sz w:val="16"/>
          <w:szCs w:val="16"/>
        </w:rPr>
        <w:softHyphen/>
        <w:t>щий кожух, закрывающий РО и два болта его крепления к крылу. Второй состоял из двух половин, закрывающих установочные болты РО и план</w:t>
      </w:r>
      <w:r w:rsidRPr="00722885">
        <w:rPr>
          <w:rFonts w:ascii="Times New Roman" w:hAnsi="Times New Roman"/>
          <w:color w:val="000000" w:themeColor="text1"/>
          <w:sz w:val="16"/>
          <w:szCs w:val="16"/>
        </w:rPr>
        <w:softHyphen/>
        <w:t>ки, а также все выступающие детали направляющей. Передней и конце</w:t>
      </w:r>
      <w:r w:rsidRPr="00722885">
        <w:rPr>
          <w:rFonts w:ascii="Times New Roman" w:hAnsi="Times New Roman"/>
          <w:color w:val="000000" w:themeColor="text1"/>
          <w:sz w:val="16"/>
          <w:szCs w:val="16"/>
        </w:rPr>
        <w:softHyphen/>
        <w:t>вой частям направляющей придали обтекаемую форму.</w:t>
      </w:r>
    </w:p>
    <w:p w14:paraId="3B6B960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Обтекатель №1 снизил лобовое сопротивление РО на 70%. Обтека</w:t>
      </w:r>
      <w:r w:rsidRPr="00722885">
        <w:rPr>
          <w:rFonts w:ascii="Times New Roman" w:hAnsi="Times New Roman"/>
          <w:color w:val="000000" w:themeColor="text1"/>
          <w:sz w:val="16"/>
          <w:szCs w:val="16"/>
        </w:rPr>
        <w:softHyphen/>
        <w:t>тель №2 практически не уменьшил его. Установка же с обтекателями №1 по измененной схеме подвески (с РО, смещенными на 100 мм вперед и на 20 мм вверх) снизили лобовое сопротивление РО на 82%. Величина сопротивления РС на РО при этом (даже после уменьшения зазора меж</w:t>
      </w:r>
      <w:r w:rsidRPr="00722885">
        <w:rPr>
          <w:rFonts w:ascii="Times New Roman" w:hAnsi="Times New Roman"/>
          <w:color w:val="000000" w:themeColor="text1"/>
          <w:sz w:val="16"/>
          <w:szCs w:val="16"/>
        </w:rPr>
        <w:softHyphen/>
        <w:t>ду боеприпасом и крылом носителя на 20 мм) практически не измени</w:t>
      </w:r>
      <w:r w:rsidRPr="00722885">
        <w:rPr>
          <w:rFonts w:ascii="Times New Roman" w:hAnsi="Times New Roman"/>
          <w:color w:val="000000" w:themeColor="text1"/>
          <w:sz w:val="16"/>
          <w:szCs w:val="16"/>
        </w:rPr>
        <w:softHyphen/>
        <w:t>лась.</w:t>
      </w:r>
    </w:p>
    <w:p w14:paraId="2966486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Благодаря обтекателям, расчетное падение максимальной скорости самолетов-ракетоносцев Як-1, Як-7, ЛаГТ-3 и МиГ-3 при наличии шести РО-82 новой конструкции должно было составить 5-6 км/ч, а с доработанными обтекателями - всего 3-4 км/ч (вместо 16-20 км/ч у РО прежних моделей без обтекателей). При наличии РС на пусковых, эти показатели возрастали до 13,5-16 км/ч и 11,5-13,5 км/ч (вместо прежних 25-30 км/ч) соответственно. На штурмовиках Ил-2 падение ма</w:t>
      </w:r>
      <w:r w:rsidRPr="00722885">
        <w:rPr>
          <w:rFonts w:ascii="Times New Roman" w:hAnsi="Times New Roman"/>
          <w:color w:val="000000" w:themeColor="text1"/>
          <w:sz w:val="16"/>
          <w:szCs w:val="16"/>
        </w:rPr>
        <w:softHyphen/>
        <w:t>ксимальной скорости составляло 20-26 км/ч при наличии четырех РО прежней конструкции без обтекателей, заряженных РС-132.</w:t>
      </w:r>
    </w:p>
    <w:p w14:paraId="53F47F6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Обтекатели к РО были просты в изготовлении и не требовали изме</w:t>
      </w:r>
      <w:r w:rsidRPr="00722885">
        <w:rPr>
          <w:rFonts w:ascii="Times New Roman" w:hAnsi="Times New Roman"/>
          <w:color w:val="000000" w:themeColor="text1"/>
          <w:sz w:val="16"/>
          <w:szCs w:val="16"/>
        </w:rPr>
        <w:softHyphen/>
        <w:t>нять конструкцию орудия или крыла, поэтому их признали пригодными для установки на существующих машинах, рекомендуя изготавливать пустотелыми металлическими или деревянными (фанерными) с метал</w:t>
      </w:r>
      <w:r w:rsidRPr="00722885">
        <w:rPr>
          <w:rFonts w:ascii="Times New Roman" w:hAnsi="Times New Roman"/>
          <w:color w:val="000000" w:themeColor="text1"/>
          <w:sz w:val="16"/>
          <w:szCs w:val="16"/>
        </w:rPr>
        <w:softHyphen/>
        <w:t>лическим носком. При этом крепления обтекателей должны были поз</w:t>
      </w:r>
      <w:r w:rsidRPr="00722885">
        <w:rPr>
          <w:rFonts w:ascii="Times New Roman" w:hAnsi="Times New Roman"/>
          <w:color w:val="000000" w:themeColor="text1"/>
          <w:sz w:val="16"/>
          <w:szCs w:val="16"/>
        </w:rPr>
        <w:softHyphen/>
        <w:t>волять быстро их демонтировать для заряжания пиропистолетов и ста</w:t>
      </w:r>
      <w:r w:rsidRPr="00722885">
        <w:rPr>
          <w:rFonts w:ascii="Times New Roman" w:hAnsi="Times New Roman"/>
          <w:color w:val="000000" w:themeColor="text1"/>
          <w:sz w:val="16"/>
          <w:szCs w:val="16"/>
        </w:rPr>
        <w:softHyphen/>
        <w:t>вить на место. Очевидно, именно это последнее и сдерживало возвраще</w:t>
      </w:r>
      <w:r w:rsidRPr="00722885">
        <w:rPr>
          <w:rFonts w:ascii="Times New Roman" w:hAnsi="Times New Roman"/>
          <w:color w:val="000000" w:themeColor="text1"/>
          <w:sz w:val="16"/>
          <w:szCs w:val="16"/>
        </w:rPr>
        <w:softHyphen/>
        <w:t>ние ракетного оружия в истребительную авиацию.</w:t>
      </w:r>
    </w:p>
    <w:p w14:paraId="65C90A3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тем, наработки ученых не прошли даром и очень пригодились в штурмовой авиации. Если там орудия без пиропистолетов для стрель</w:t>
      </w:r>
      <w:r w:rsidRPr="00722885">
        <w:rPr>
          <w:rFonts w:ascii="Times New Roman" w:hAnsi="Times New Roman"/>
          <w:color w:val="000000" w:themeColor="text1"/>
          <w:sz w:val="16"/>
          <w:szCs w:val="16"/>
        </w:rPr>
        <w:softHyphen/>
        <w:t>бы 132-мм снарядами РОФС-132 и М-13 и без того не доставляли боль</w:t>
      </w:r>
      <w:r w:rsidRPr="00722885">
        <w:rPr>
          <w:rFonts w:ascii="Times New Roman" w:hAnsi="Times New Roman"/>
          <w:color w:val="000000" w:themeColor="text1"/>
          <w:sz w:val="16"/>
          <w:szCs w:val="16"/>
        </w:rPr>
        <w:softHyphen/>
        <w:t>ших хлопот, то, будучи «одетыми» в компактные обтекатели, вообще не требовали демонтажа при заряжании. Подобным образом в штурмовой авиации решили проблему и с РО для стрельбы 82-мм РС-82 и М-8. Про</w:t>
      </w:r>
      <w:r w:rsidRPr="00722885">
        <w:rPr>
          <w:rFonts w:ascii="Times New Roman" w:hAnsi="Times New Roman"/>
          <w:color w:val="000000" w:themeColor="text1"/>
          <w:sz w:val="16"/>
          <w:szCs w:val="16"/>
        </w:rPr>
        <w:softHyphen/>
        <w:t>сто, тонкостенный штампованный из жести обтекатель стал более гро</w:t>
      </w:r>
      <w:r w:rsidRPr="00722885">
        <w:rPr>
          <w:rFonts w:ascii="Times New Roman" w:hAnsi="Times New Roman"/>
          <w:color w:val="000000" w:themeColor="text1"/>
          <w:sz w:val="16"/>
          <w:szCs w:val="16"/>
        </w:rPr>
        <w:softHyphen/>
        <w:t>моздким, но аэродинамичной формы. А для доступа к пиропистолету орудия в стенке выполнили небольшой откидной запираемый лючок.</w:t>
      </w:r>
    </w:p>
    <w:p w14:paraId="6C9961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Г.А.Речкалов «Дымное небо войны»: «...Во второй атаке я обнаружил исчезновение РС. Глянул на указатель сброса и не поверил своим глазам - он показывал сброс всей серии - восьми снарядов, что категорически запрещалось инструкцией. Быстро перевел взгляд на крылья: обшивка вздулась!». На пульте ЭСБР-3 управления огнем РС не было индикации числа отстрелянных снарядов и наличия остатка. За это пилоты неодно</w:t>
      </w:r>
      <w:r w:rsidRPr="00722885">
        <w:rPr>
          <w:rFonts w:ascii="Times New Roman" w:hAnsi="Times New Roman"/>
          <w:color w:val="000000" w:themeColor="text1"/>
          <w:sz w:val="16"/>
          <w:szCs w:val="16"/>
        </w:rPr>
        <w:softHyphen/>
        <w:t>кратно пеняли конструкторам еще в предвоенный период. Между тем в первой атаке при залповом отстреле всех восьми РС самолет должно было очень сильно тряхнуть. Этот толчок отличался от подобных при разрыве зенитных снарядов, поскольку вектор его воздействия был на</w:t>
      </w:r>
      <w:r w:rsidRPr="00722885">
        <w:rPr>
          <w:rFonts w:ascii="Times New Roman" w:hAnsi="Times New Roman"/>
          <w:color w:val="000000" w:themeColor="text1"/>
          <w:sz w:val="16"/>
          <w:szCs w:val="16"/>
        </w:rPr>
        <w:softHyphen/>
        <w:t>правлен не снизу вверх, а спереди назад. Так что пилот несколько слука</w:t>
      </w:r>
      <w:r w:rsidRPr="00722885">
        <w:rPr>
          <w:rFonts w:ascii="Times New Roman" w:hAnsi="Times New Roman"/>
          <w:color w:val="000000" w:themeColor="text1"/>
          <w:sz w:val="16"/>
          <w:szCs w:val="16"/>
        </w:rPr>
        <w:softHyphen/>
        <w:t>вил. В то же время, пример Речкалова иллюстрирует, что при старте все</w:t>
      </w:r>
      <w:r w:rsidRPr="00722885">
        <w:rPr>
          <w:rFonts w:ascii="Times New Roman" w:hAnsi="Times New Roman"/>
          <w:color w:val="000000" w:themeColor="text1"/>
          <w:sz w:val="16"/>
          <w:szCs w:val="16"/>
        </w:rPr>
        <w:softHyphen/>
        <w:t>го боезапаса даже деревянные крылья истребителя, как видим, не «скла</w:t>
      </w:r>
      <w:r w:rsidRPr="00722885">
        <w:rPr>
          <w:rFonts w:ascii="Times New Roman" w:hAnsi="Times New Roman"/>
          <w:color w:val="000000" w:themeColor="text1"/>
          <w:sz w:val="16"/>
          <w:szCs w:val="16"/>
        </w:rPr>
        <w:softHyphen/>
        <w:t>дывались» силой отдачи. Подобные случаи происходили и с другими летчиками (11402).</w:t>
      </w:r>
    </w:p>
    <w:p w14:paraId="532C38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5546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в 13:00 л завода 166 Н.П.Костяков при испытаниях Ту-2 N 100307 (2131) совершил аварию, так как при посадке резко вывернул машину и сломалась нога шасси (2108).</w:t>
      </w:r>
    </w:p>
    <w:p w14:paraId="4A338C4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9FEC6" w14:textId="77777777" w:rsidR="00056917" w:rsidRPr="00722885" w:rsidRDefault="00056917"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 15 июля 1942 49-й Краснознаменный иап (командир майор Л.И. Сорокин, военком батальонный ко</w:t>
      </w:r>
      <w:r w:rsidRPr="00722885">
        <w:rPr>
          <w:rFonts w:ascii="Times New Roman" w:cs="Times New Roman"/>
          <w:color w:val="000000" w:themeColor="text1"/>
          <w:spacing w:val="0"/>
        </w:rPr>
        <w:softHyphen/>
        <w:t>миссар В.Е. Лукьянов) начал полу</w:t>
      </w:r>
      <w:r w:rsidRPr="00722885">
        <w:rPr>
          <w:rFonts w:ascii="Times New Roman" w:cs="Times New Roman"/>
          <w:color w:val="000000" w:themeColor="text1"/>
          <w:spacing w:val="0"/>
        </w:rPr>
        <w:softHyphen/>
        <w:t>чать ЛаГГ-5 на аэродроме города Богородск и проводить тренировки в воздухе, но поскольку дефектов в первых самолётах оказалось много, лётной практики пилотам не</w:t>
      </w:r>
      <w:r w:rsidRPr="00722885">
        <w:rPr>
          <w:rFonts w:ascii="Times New Roman" w:cs="Times New Roman"/>
          <w:color w:val="000000" w:themeColor="text1"/>
          <w:spacing w:val="0"/>
        </w:rPr>
        <w:softHyphen/>
        <w:t>доставало. Налёт на одного лётчика составил 10-12 часов (15813).</w:t>
      </w:r>
    </w:p>
    <w:p w14:paraId="4CCFD07D" w14:textId="77777777" w:rsidR="00056917" w:rsidRPr="00722885" w:rsidRDefault="00056917" w:rsidP="00722885">
      <w:pPr>
        <w:pStyle w:val="27"/>
        <w:shd w:val="clear" w:color="auto" w:fill="auto"/>
        <w:spacing w:after="0" w:line="240" w:lineRule="auto"/>
        <w:ind w:firstLine="0"/>
        <w:rPr>
          <w:rFonts w:ascii="Times New Roman" w:cs="Times New Roman"/>
          <w:color w:val="000000" w:themeColor="text1"/>
          <w:spacing w:val="0"/>
        </w:rPr>
      </w:pPr>
    </w:p>
    <w:p w14:paraId="5B7E2E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вышло постановление ГКО N 2046, которым НИИ-3 преобразовали в ГИРТ (2393,22).</w:t>
      </w:r>
    </w:p>
    <w:p w14:paraId="12BB0A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4DB3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вышло Постановление ГКО № 2046 Об организации Государственного института реактивной техники. (7043, 107-108).</w:t>
      </w:r>
    </w:p>
    <w:p w14:paraId="65AAEDC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70BD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15 июля 1942 года на территории НИИ-3 (б. ВИСХОМ), в корпусе № 15 был также расположен Опытный самолетостроительный завод № 55, слившийся в 1943 году с НИИ-3 (9420).</w:t>
      </w:r>
    </w:p>
    <w:p w14:paraId="252248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393DB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года вышло Постановление Государственного комитета обороны № ГОКО-2046сс от «Об организации Государственного института реактивной техники»</w:t>
      </w:r>
    </w:p>
    <w:p w14:paraId="4201B09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Учитывая важность развития работ по реактивной технике для обороны страны, Государственный комитет обороны постановляет:</w:t>
      </w:r>
    </w:p>
    <w:p w14:paraId="55E01DD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Преобразовать научно-исследовательский институт № 3 Наркомата боеприпасов в Государственный институт реактивной техники, подчинив его непосредственно Совету Народных Комиссаров Союза ССР.</w:t>
      </w:r>
    </w:p>
    <w:p w14:paraId="11E4C50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Возложить на Государственный институт реактивной техники разработку научно-технических вопросов и создание опытных образцов:</w:t>
      </w:r>
    </w:p>
    <w:p w14:paraId="106758D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реактивных снарядов и пусковых систем к ним;</w:t>
      </w:r>
    </w:p>
    <w:p w14:paraId="67C6F10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реактивных двигателей;</w:t>
      </w:r>
    </w:p>
    <w:p w14:paraId="5619DF6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реактивных летательных аппаратов и торпед.</w:t>
      </w:r>
    </w:p>
    <w:p w14:paraId="399D4DC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Директором и главным конструктором института назначить военного инженера 1 ранга т. Костикова А.Г.</w:t>
      </w:r>
    </w:p>
    <w:p w14:paraId="62BDF52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Установить, что задание и программа работы института утверждаются Государственным комитетом обороны по представлению директора института т. Костикова.</w:t>
      </w:r>
    </w:p>
    <w:p w14:paraId="2C72D0E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 дополнение к существующему помещению передать Государ-ственному институту реактивной техники территорию и все производственные и подсобные помещения Всесоюзного института сельскохозяйственного машиностроения Наркомата минометного во-1»ружения, находящиеся в г. Москве.</w:t>
      </w:r>
    </w:p>
    <w:p w14:paraId="4BC511C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Моссовет (т. Пронина) выделить Наркомату минометного вооружения взамен Для размещения лабораторий и оборудования ВИСХОМа равноценное помещение.</w:t>
      </w:r>
    </w:p>
    <w:p w14:paraId="62489DD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Обязать НКАП (т. Шахурина) и т. Костикова в 5-дневный срок представить ГОКО свои предложения о строительстве реактивного самолета по проекту т. Костикова.</w:t>
      </w:r>
    </w:p>
    <w:p w14:paraId="16DB4B8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Наркому судостроительной промышленности т. Носенко откомандировать в распоря-рмиие Государственного института реактивной техники 10 специалистов по торпедостроению для участия в разработке реактивных подводных торпед.</w:t>
      </w:r>
    </w:p>
    <w:p w14:paraId="75EDED8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НКО и НКВМФ прикомандировать к Государственному институту реактивной техники для координации работ по применению реактивных аппаратов и вооружения </w:t>
      </w:r>
      <w:r w:rsidRPr="00722885">
        <w:rPr>
          <w:rFonts w:ascii="Times New Roman" w:hAnsi="Times New Roman"/>
          <w:color w:val="000000" w:themeColor="text1"/>
          <w:sz w:val="16"/>
          <w:szCs w:val="16"/>
        </w:rPr>
        <w:lastRenderedPageBreak/>
        <w:t>15 специалистов по заявке института.</w:t>
      </w:r>
    </w:p>
    <w:p w14:paraId="43BF6D8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Обязать Госплан СССР выделить Государственному институту реактивной техники самостоятельные фонды по материально-техническому обеспечению.</w:t>
      </w:r>
    </w:p>
    <w:p w14:paraId="21D9A12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Возложить ответственность за своевременное решение вопросов по материальному обеспечению института на зам. председателя СНК СССР т. Сабурова.</w:t>
      </w:r>
    </w:p>
    <w:p w14:paraId="3507DEC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Поручить т. Сабурову решить вопрос об обеспечении института заводским и лаборатор</w:t>
      </w:r>
      <w:r w:rsidRPr="00722885">
        <w:rPr>
          <w:rFonts w:ascii="Times New Roman" w:hAnsi="Times New Roman"/>
          <w:color w:val="000000" w:themeColor="text1"/>
          <w:sz w:val="16"/>
          <w:szCs w:val="16"/>
        </w:rPr>
        <w:softHyphen/>
        <w:t>ным оборудованием. О принятых мерах доложить ГОКО к 1 августа 1942 года.</w:t>
      </w:r>
    </w:p>
    <w:p w14:paraId="09F99BE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Моссовету (т. Пронин) выделить в распоряжение Государственного института реак</w:t>
      </w:r>
      <w:r w:rsidRPr="00722885">
        <w:rPr>
          <w:rFonts w:ascii="Times New Roman" w:hAnsi="Times New Roman"/>
          <w:color w:val="000000" w:themeColor="text1"/>
          <w:sz w:val="16"/>
          <w:szCs w:val="16"/>
        </w:rPr>
        <w:softHyphen/>
        <w:t>тивной техники жилфонд в г. Москве на 100 семей сотрудников института.</w:t>
      </w:r>
    </w:p>
    <w:p w14:paraId="47DEEE8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Обязать т. Костикова к 1 августа представить на утверждение ГОКО программу рабо</w:t>
      </w:r>
      <w:r w:rsidRPr="00722885">
        <w:rPr>
          <w:rFonts w:ascii="Times New Roman" w:hAnsi="Times New Roman"/>
          <w:color w:val="000000" w:themeColor="text1"/>
          <w:sz w:val="16"/>
          <w:szCs w:val="16"/>
        </w:rPr>
        <w:softHyphen/>
        <w:t>ты института на 3 и 4 кварталы 1942 года.</w:t>
      </w:r>
    </w:p>
    <w:p w14:paraId="4E722D7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 АП РФ. Ф. 3. Оп. 47. Д. 179. Лл. 15-16.</w:t>
      </w:r>
    </w:p>
    <w:p w14:paraId="0D47792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Сталин (11751).</w:t>
      </w:r>
    </w:p>
    <w:p w14:paraId="09FF091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0B5A05" w14:textId="77777777" w:rsidR="005D0E4F" w:rsidRPr="00722885" w:rsidRDefault="005D0E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г. в напряженный момент немецкого наступления на юге в направлении на Кавказ и Сталинград Сталин подписал Постановление № 2046 об организации Государственного института реактивной техники /ГИРТ/. В постановлении ГКО были затронуты все основные организационные вопросы, по которым были разногласия между НИИ-3 и НКБ и НКАП.</w:t>
      </w:r>
    </w:p>
    <w:p w14:paraId="068935EE" w14:textId="77777777" w:rsidR="005D0E4F" w:rsidRPr="00722885" w:rsidRDefault="005D0E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«1. НИИ-3 подчинить непосредственно СНК, /выведя его из подчинения НКБ/.</w:t>
      </w:r>
    </w:p>
    <w:p w14:paraId="58E6A335" w14:textId="77777777" w:rsidR="005D0E4F" w:rsidRPr="00722885" w:rsidRDefault="005D0E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Возложить на ГИРТ разработку: а). РС и пусковых систем к ним. б). Реактивных двигателей. в). Реактивных летательных аппаратов и торпед. </w:t>
      </w:r>
    </w:p>
    <w:p w14:paraId="2310077D" w14:textId="77777777" w:rsidR="005D0E4F" w:rsidRPr="00722885" w:rsidRDefault="005D0E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Директором и ГК назначить Костикова. </w:t>
      </w:r>
    </w:p>
    <w:p w14:paraId="38FC1B14" w14:textId="77777777" w:rsidR="005D0E4F" w:rsidRPr="00722885" w:rsidRDefault="005D0E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Установить, что задания и программы работ института утверждаются ГКО по представлению Костикова. 5. </w:t>
      </w:r>
    </w:p>
    <w:p w14:paraId="3AA7B1D9" w14:textId="77777777" w:rsidR="005D0E4F" w:rsidRPr="00722885" w:rsidRDefault="005D0E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Передать ГИРТ все помещения ВИСХОМа. </w:t>
      </w:r>
    </w:p>
    <w:p w14:paraId="4E5E94AB" w14:textId="77777777" w:rsidR="005D0E4F" w:rsidRPr="00722885" w:rsidRDefault="005D0E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Обязать НКАП /Шахурина/ и т. Костикова в пятидневный срок представить свои соображения по строительству самолета по проекту Костикова…..</w:t>
      </w:r>
    </w:p>
    <w:p w14:paraId="1D7A3EDD" w14:textId="77777777" w:rsidR="005D0E4F" w:rsidRPr="00722885" w:rsidRDefault="005D0E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Госплану выделить фонды по материально- техническому обеспечению института. </w:t>
      </w:r>
    </w:p>
    <w:p w14:paraId="75CA567C" w14:textId="77777777" w:rsidR="005D0E4F" w:rsidRPr="00722885" w:rsidRDefault="005D0E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Возложить ответственность за своевременное решение вопросов по материальному обеспечению института на зам. пред. СНК СССР Сабурова. </w:t>
      </w:r>
    </w:p>
    <w:p w14:paraId="6E64C7B5" w14:textId="77777777" w:rsidR="005D0E4F" w:rsidRPr="00722885" w:rsidRDefault="005D0E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 Моссовету /т. Пронину/ выделить институту жилфонд на 100 семей. 12. Костикову к 01.08.42. представить в ГКО программу работы института на 3 и 4 квартал </w:t>
      </w:r>
      <w:smartTag w:uri="urn:schemas-microsoft-com:office:smarttags" w:element="metricconverter">
        <w:smartTagPr>
          <w:attr w:name="ProductID" w:val="1942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xml:space="preserve">.» (19590). </w:t>
      </w:r>
    </w:p>
    <w:p w14:paraId="2B4E63EA" w14:textId="77777777" w:rsidR="005D0E4F" w:rsidRPr="00722885" w:rsidRDefault="005D0E4F" w:rsidP="00722885">
      <w:pPr>
        <w:spacing w:after="0" w:line="240" w:lineRule="auto"/>
        <w:jc w:val="both"/>
        <w:rPr>
          <w:rFonts w:ascii="Times New Roman" w:hAnsi="Times New Roman"/>
          <w:color w:val="000000" w:themeColor="text1"/>
          <w:sz w:val="16"/>
          <w:szCs w:val="16"/>
        </w:rPr>
      </w:pPr>
    </w:p>
    <w:p w14:paraId="795BD6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г. в соответствии с пост. ГКО № 2046 в Москве на базе НИИ-3 НКБ создан ГИРТ при СНК СССР. По распоряжению ГКО № 4306с от 11.10.1943г. и приказу НКАП № 666с от 5.11.1943г. в подчинение ГИРТ с 7.11.1943г. передан завод № 55 НКАП в качестве производственной базы. В ГИРТ переведены все сотрудники бывшего ОКБ А.А. Архангельского, а также М.Р. Бисноват.</w:t>
      </w:r>
    </w:p>
    <w:p w14:paraId="535066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Спроектирован самолет «302П» (Ко-3) с ЖРД Душкина, 26.07.1942г. вышло постановление ГКО № 2105 о его постройке (первый полет в 10.1943г.).</w:t>
      </w:r>
    </w:p>
    <w:p w14:paraId="4E74B1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 ГКО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18.02.1944г.) и стали основой для образования Научно-исследовательского института реактивной авиации (НИРА) НКАП. Приказом № 115с от 18.02.1944г. начальником временно назначен В.И. Поликовский. По приказу № 149сс от 28.02.1944г. НИРА объединен с заводом № 293 (вместе с ОКБ-293) и преобразован в НИИ-1, в ведении 7ГУ НКАП.</w:t>
      </w:r>
    </w:p>
    <w:p w14:paraId="6DBF6F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Началось сосредоточение в институте основных кадров по реактивной технике. Сюда переведены: из ОКБ-293 - ЭКБ-3 М.М. Бондарюка (создан отдел ПВРД, далее - КБ-2 НИИ-1, с 10.1950 г. - самостоятельное ОКБ-670); из ЦИАМ -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xml:space="preserve">. Люлька (выдано задание на создание ТРД тягой 1250 кг); группа В.П. Глушко; группа Л .С. Душкина; группа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Исаева (ОКО при НИИ-1).</w:t>
      </w:r>
    </w:p>
    <w:p w14:paraId="641B2B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И.Ф. Флоров, работавший в ОКБ-293, в 07.1944г. назначен начальником самолетного сектора № 43 НИИ-1 по приказу № 370сс от 30.05.1944г. (с 1948г.- в ЦИАМ). Здесь же с конца 1944г. по 02.1945г. работал А.А. Боровков. Создан самолет «4302» (1946г.).</w:t>
      </w:r>
    </w:p>
    <w:p w14:paraId="01733E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Приказом № 364с от 29.05.1944г. начальником НИИ-1 назначен П.И. Федоров, 1-м замом по научно- исследовательской работе - В.Ф. Болховитинов. Приказом № 656с от 2.11.1944г. НИИ-1 передан в 18ГУ, основное направление - реактивное двигателестроение. По приказу № 122с от 19.03.1946г. в связи с ликвидацией 18ГУ передан в 8ГУ, с 1.10.1951 г. - в 6ГУ.</w:t>
      </w:r>
    </w:p>
    <w:p w14:paraId="3D36AF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Велась разработка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В соответствии с пост. ГКО № 6029 от 9.06.1944г. боевая установка М-31 пнв. С 1944г. проектировались авиационные турбореактивные снаряды ТРС-82 и ТРС-132 (Е.А. Печерский), затем работы переданы в КБ-2 МСХМ.</w:t>
      </w:r>
    </w:p>
    <w:p w14:paraId="760176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1946г. на базе отдела вооружения № 52 создан НИИ-2 МАП.</w:t>
      </w:r>
    </w:p>
    <w:p w14:paraId="312533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03.1946г. из НИИ-1 МАП на завод № 81 МАП переведена группа конструкторов (9 чел.), занимавшаяся установками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По приказу № 182сс от 30.03.1946г. СКБ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Люльки переведено на самостоятельную опытную базу- завод № 165 МАП, в состав его ОКБ передан личный состав отдела №21 НИИ-1.</w:t>
      </w:r>
    </w:p>
    <w:p w14:paraId="7B2579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1947г. Келдышем разработан проект ракетного самолета с 2-мя ПВРД и ЖРД.</w:t>
      </w:r>
    </w:p>
    <w:p w14:paraId="67C190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440с от 21.06.1948г. с 1.07.1948г. НИИ-1 стал филиалом ЦИАМ. В соответствии с пост. СМ СССР от 10.03.1952г. НИИ-1 МАП вновь стал самостоятельным и получил также название НИИ РД.</w:t>
      </w:r>
      <w:r w:rsidRPr="00722885">
        <w:rPr>
          <w:rFonts w:ascii="Times New Roman" w:hAnsi="Times New Roman"/>
          <w:color w:val="000000" w:themeColor="text1"/>
          <w:sz w:val="16"/>
          <w:szCs w:val="16"/>
          <w:vertAlign w:val="superscript"/>
        </w:rPr>
        <w:t>59</w:t>
      </w:r>
    </w:p>
    <w:p w14:paraId="07E43B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1950-х г., после выделения всех конструкторских организаций в самостоятельные, институт занимался НИР в ракетно-космической области и двигателестроении. В 1954г. создана лаборатория № 6 по динамике КР. В 1950- е г. построена стендовая испытательная база в Тураево. В 1956-57г. построен газодинамический тепловой стенд Ц-12Т для испытаний ракет.</w:t>
      </w:r>
      <w:r w:rsidRPr="00722885">
        <w:rPr>
          <w:rFonts w:ascii="Times New Roman" w:hAnsi="Times New Roman"/>
          <w:color w:val="000000" w:themeColor="text1"/>
          <w:sz w:val="16"/>
          <w:szCs w:val="16"/>
          <w:vertAlign w:val="superscript"/>
        </w:rPr>
        <w:t>59</w:t>
      </w:r>
      <w:r w:rsidRPr="00722885">
        <w:rPr>
          <w:rFonts w:ascii="Times New Roman" w:hAnsi="Times New Roman"/>
          <w:color w:val="000000" w:themeColor="text1"/>
          <w:sz w:val="16"/>
          <w:szCs w:val="16"/>
        </w:rPr>
        <w:t xml:space="preserve"> В 1954-57г. институт принимал активное участие в работах по МБР Р-7, МКР «Буран» и «Буря» (научное обеспечение разработок ЖРД и теплозащиты головных частей).</w:t>
      </w:r>
    </w:p>
    <w:p w14:paraId="59CFB9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Распоряжением СМ № 4652 от 9.06.1955г. завод № 914 МАП преобразован в филиал НИИ-1 по системам управления КР.</w:t>
      </w:r>
    </w:p>
    <w:p w14:paraId="1110DC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1950-е г. существовала лаборатория систем управления. Разработаны системы ориентации КА на основе солнечных и лунных датчиков (Башкин, Князев). Затем группа Б.В. Раушенбаха переведена в ОКБ-1 ГКОТ.</w:t>
      </w:r>
    </w:p>
    <w:p w14:paraId="4EE64A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08.1957г.- в ведении 2ГУ МАП. В 1965г. НИИ-1 ГКАТ передан в подчинение 2ГУ </w:t>
      </w:r>
      <w:r w:rsidRPr="00722885">
        <w:rPr>
          <w:rFonts w:ascii="Times New Roman" w:hAnsi="Times New Roman"/>
          <w:color w:val="000000" w:themeColor="text1"/>
          <w:sz w:val="16"/>
          <w:szCs w:val="16"/>
          <w:lang w:val="en-US"/>
        </w:rPr>
        <w:t>MOM</w:t>
      </w:r>
      <w:r w:rsidRPr="00722885">
        <w:rPr>
          <w:rFonts w:ascii="Times New Roman" w:hAnsi="Times New Roman"/>
          <w:color w:val="000000" w:themeColor="text1"/>
          <w:sz w:val="16"/>
          <w:szCs w:val="16"/>
        </w:rPr>
        <w:t xml:space="preserve"> и по приказу от 6.03.1966г. преобразован в НИИТП.</w:t>
      </w:r>
    </w:p>
    <w:p w14:paraId="73BA3E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(1960-е г.): решение задач по выводу в космос КА, обеспечение надежности ЖРД и продольной устойчивости ракет, создание аппаратуры для космических исследований. Проведены первые фундаментальные исследования ядерных ракетных двигателей (с 1957г.). Обоснована и экспериментально подтверждена эффективность схемы ЖРД с дожиганием генераторного газа. Разработаны схемы электрических плазменных двигателей торцевого типа (А.А. Поротников) и успешно испытаны на КА.</w:t>
      </w:r>
    </w:p>
    <w:p w14:paraId="4B0647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1965г. НИИТП - головная научно-исследовательская организация ракетного двигателестроения.</w:t>
      </w:r>
    </w:p>
    <w:p w14:paraId="4B0448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1970-80-е г.- научное обеспечение создания РДТТ для БРК. Разработан комплекс программ для расчета параметров РДТТ.</w:t>
      </w:r>
    </w:p>
    <w:p w14:paraId="7E5726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1970-75г. создано семейство мощных электродуговых плазмотронов постоянного тока. В начале 1980-х г. создан плазмогенератор «Марабу», создающих вокруг движущегося объекта плазменную оболочку, снижающую радиолокационную заметность объекта.</w:t>
      </w:r>
      <w:r w:rsidRPr="00722885">
        <w:rPr>
          <w:rFonts w:ascii="Times New Roman" w:hAnsi="Times New Roman"/>
          <w:color w:val="000000" w:themeColor="text1"/>
          <w:sz w:val="16"/>
          <w:szCs w:val="16"/>
          <w:vertAlign w:val="superscript"/>
        </w:rPr>
        <w:t>63</w:t>
      </w:r>
    </w:p>
    <w:p w14:paraId="707F90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1977-91 г. принимал участие в программе создания системы «Энергия-Буран».</w:t>
      </w:r>
    </w:p>
    <w:p w14:paraId="68D386D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(Ю.А. Уткин). Создана электронно-пучковая установка «Онега» с выводом в атмосферу электронного пучка мегаваттной мощности. На космической станции «Мир» испытана установка «Мажор» </w:t>
      </w:r>
      <w:r w:rsidRPr="00722885">
        <w:rPr>
          <w:rFonts w:ascii="Times New Roman" w:hAnsi="Times New Roman"/>
          <w:color w:val="000000" w:themeColor="text1"/>
          <w:sz w:val="16"/>
          <w:szCs w:val="16"/>
          <w:vertAlign w:val="superscript"/>
        </w:rPr>
        <w:t>63</w:t>
      </w:r>
    </w:p>
    <w:p w14:paraId="15E82A8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Разработан первый в мире мощный газодинамический лазер с мощностью излучения до 100 кВт.</w:t>
      </w:r>
    </w:p>
    <w:p w14:paraId="06B4BA7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Принимал участие в программах: «Восток», «Восход», «Союз», «Салют», «Алмаз», «Мир», «Луна», «Марс», «Венера», «Союз-Аполлон», «Вега», «Фобос», МКС.</w:t>
      </w:r>
    </w:p>
    <w:p w14:paraId="5E6221E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(2000 г.): по ракетно-космическим энергоустановкам, исследования в области термодинамики. Разработаны и внедрены на двигателе 11Д58М (РН «Зенит-</w:t>
      </w:r>
      <w:r w:rsidRPr="00722885">
        <w:rPr>
          <w:rFonts w:ascii="Times New Roman" w:hAnsi="Times New Roman"/>
          <w:color w:val="000000" w:themeColor="text1"/>
          <w:sz w:val="16"/>
          <w:szCs w:val="16"/>
          <w:lang w:val="en-US"/>
        </w:rPr>
        <w:t>SL</w:t>
      </w:r>
      <w:r w:rsidRPr="00722885">
        <w:rPr>
          <w:rFonts w:ascii="Times New Roman" w:hAnsi="Times New Roman"/>
          <w:color w:val="000000" w:themeColor="text1"/>
          <w:sz w:val="16"/>
          <w:szCs w:val="16"/>
        </w:rPr>
        <w:t>») радиационно-охлаждаемые сопловые насадки.</w:t>
      </w:r>
    </w:p>
    <w:p w14:paraId="75BB57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1990-х г. НИИТП передан в ведение РКА. В 1995г. переименован в Исследовательский центр им М.В. Келдыша. По Указу Президента РФ № 1009 от 4.08.2004г. вошел в число стратегических оборонных предприятий.</w:t>
      </w:r>
    </w:p>
    <w:p w14:paraId="2F05DB7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Направления деятельности (2005г.):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(водоочистное и опреснительное оборудование, установки термической ликвидации экологически вредных отходов); разработка энергосберегающих технологий (метод передачи тепловой энергии на основе термохимических реакций).</w:t>
      </w:r>
    </w:p>
    <w:p w14:paraId="0EC23C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 отдел «Водородной энергетики». Работы по водородным топливным элементам.</w:t>
      </w:r>
    </w:p>
    <w:p w14:paraId="4C9E92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экспериментальной базы: гиперзвуковая (М=12) аэродинамическая труба, стенды: для исследования плазмы, криовакуумный для испытания мощных ЭРД, для исследования устойчивости ЖРД, для исследований трехкомпонентных ЖРД, для прецизионных измерений тяги и расходов сопел, для генерации и выводов в атмосферу интенсивных пучков электронов.</w:t>
      </w:r>
      <w:r w:rsidRPr="00722885">
        <w:rPr>
          <w:rFonts w:ascii="Times New Roman" w:hAnsi="Times New Roman"/>
          <w:color w:val="000000" w:themeColor="text1"/>
          <w:sz w:val="16"/>
          <w:szCs w:val="16"/>
          <w:vertAlign w:val="superscript"/>
        </w:rPr>
        <w:t>101</w:t>
      </w:r>
    </w:p>
    <w:p w14:paraId="7A711B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(1939г.)- 7,38 га; производственная (1939г.)- 20 тыс.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603812F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(4.04.1939г.)- 727 чел.</w:t>
      </w:r>
    </w:p>
    <w:p w14:paraId="623BE9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Председатель (1931 г.)- Ф.А. Цандер. Начальник (1931-33г.)- С.П. Королев, (09.1933-8.10.1937г.)- И.Т. Клейменов (репрессирован), (8.10.1937-40 г.)- Б.М. Слонимер, (1941 г.)- Н.А. Монаков, (1941 г.)- А.Н. Фоменко, (1942-02.1944г.)- г-м А.Г. Костиков (отстранен, затем репрессирован), (02.1944г.-)- В.И. Поликовский, (05.1944- 45г.)- г-м П.И. Федоров (погиб в авиакатастрофе), (1945-46г.)- г-м Я.Л. Бибиков, (11.1946г.-)- М.В. Келдыш, (1948-49Г.)- В.В. Владимиров, (1949-51 г.)- В.А. Окулов, </w:t>
      </w:r>
      <w:r w:rsidRPr="00722885">
        <w:rPr>
          <w:rFonts w:ascii="Times New Roman" w:hAnsi="Times New Roman"/>
          <w:color w:val="000000" w:themeColor="text1"/>
          <w:sz w:val="16"/>
          <w:szCs w:val="16"/>
        </w:rPr>
        <w:lastRenderedPageBreak/>
        <w:t>(1951-55г.)- А.Т. Туманов, (1955-88г.)- В.Я. Лихушин. Директор (1988-2005г.-)- академик А.С. Коротеев {22.07.1936-}.</w:t>
      </w:r>
    </w:p>
    <w:p w14:paraId="2F7577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Зам. начальника (1933г.-)- С.П. Королев (РП-218, -318), (11.11.1937г.-)- Б.М. Гурович, (1945г.)- Абрамович; по научной части (-01-22.11.1937г.)- Г.Э. Лангемак (репрессирован), (15.06.1938г.-&gt; А.Г. Костиков, (05.1944-46г.)- В.Ф. Болховитинов. Зам. директора (2003г.)-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Губертов; по ВЭС (2005г.)- А.А. Кленчев.</w:t>
      </w:r>
    </w:p>
    <w:p w14:paraId="487618A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Научный руководитель (1948-61 г.)- академик М.В. Келдыш.</w:t>
      </w:r>
      <w:r w:rsidRPr="00722885">
        <w:rPr>
          <w:rFonts w:ascii="Times New Roman" w:hAnsi="Times New Roman"/>
          <w:color w:val="000000" w:themeColor="text1"/>
          <w:sz w:val="16"/>
          <w:szCs w:val="16"/>
          <w:vertAlign w:val="superscript"/>
        </w:rPr>
        <w:t>59</w:t>
      </w:r>
    </w:p>
    <w:p w14:paraId="759BBB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(-1937г.)- Г.Э. Лангемак (репрессирован), (-1940-41 г.)- А.Г. Костиков.</w:t>
      </w:r>
    </w:p>
    <w:p w14:paraId="7287E18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Начальники отделов: КР- А.И. Стеняев, С.П. Королев, В.И. Дудаков; № 22 (1945г.)- Бондарюк; авиационных ТРД (1944г.-)-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Люлька; (1938г.-)- Л.С. Душкин.</w:t>
      </w:r>
    </w:p>
    <w:p w14:paraId="61E2F0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отдела: Водородной энергетики (2005г.)- В. Смоляров.</w:t>
      </w:r>
    </w:p>
    <w:p w14:paraId="5A3CA1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бригад: № 1 (1932-28.03.1933г.)- Ф.А. Цандер (ОР-2), (1933г.-)- Л.К. Корнеев; № 2 (1932г.-)- М.К. Тихонравов; № 3 (1932г.-)- Ю.А. Победоносцев; № 4 (1932г.-)- С.П. Королев, Н.А. Железняков, А.В. Чесалов, (1930-е)- Е.С. Щетинков («216»), Начальник КБ (1943г.-)- А.Я. Березняк.</w:t>
      </w:r>
    </w:p>
    <w:p w14:paraId="630681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Опытного завода (1932г.-)- С.П. Королев.</w:t>
      </w:r>
    </w:p>
    <w:p w14:paraId="0BA82D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(1943г.)- А.Г. Костиков («302П»),</w:t>
      </w:r>
    </w:p>
    <w:p w14:paraId="4DF1AD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 6 (1954г.-)- К.П. Осминин; систем управления (1950-е)- Б.В. Раушенбах.</w:t>
      </w:r>
    </w:p>
    <w:p w14:paraId="4BAAF7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Ведущие конструкторы: (1938г.)- А.В. Палло (РП-318-1).</w:t>
      </w:r>
    </w:p>
    <w:p w14:paraId="78EB9A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Ведущие инженеры: (1936-45г.)- А.В. Палло (ЖРД), (1944г.)- П.А. Кузнецов (ТРС-82), (1944г.)- А.Д. Луковцев (ТРС-132).</w:t>
      </w:r>
    </w:p>
    <w:p w14:paraId="0188BE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Создано: ракеты: «05» с ОРМ-50 (1933), «07», Р-1 («09», 17.08.1933г.), ГИРД-Х (25.11.1933г.), «Авиавнито» (пуск 6.04.1936г.), Р-3 с ПВРД И.А. Меркулова (пуск 19.05.1939г.); КР: «06Я» (5.05.1934г.), «06/Ш» («216», 9.05.1936г.), «212» (1939), с РДТТ «48» (1935), экспериментальная зенитная «217» (1936); самолеты с ЖРД: ракетопланы РП-1 (планер БИЧ-11 с ОР-2, 1933), РП-218 (1936), РП-318-1 с ОРМ-65 (1937); «302» (1943), «4302» (1946), «4303» (1947); ЖРД: РДА-1, ОР-2 (1933), 12К (1936), ОРМ-50 (1933), ОРМ-65 (11.1936);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xml:space="preserve">: РС-82 (пнв в 1937г.),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-132 (пнв в 1938г.); М-13 (РСФС-132, пнв 21.06.1941 г.), М-13УК (пнв в 1943г.), М-13ДЦ (пнв в 1944г.), М-20 (1941 г.) для БМ-13 «Катюша»; М-8 (пнв в 1941 г.) для БМ-8 «Катюша»; М-30 (пнв в 1942г.), М-31 (пнв 9.06.1944г.), М-31УК для БМ-31 (пнв 9.06.1944г.);</w:t>
      </w:r>
      <w:r w:rsidRPr="00722885">
        <w:rPr>
          <w:rFonts w:ascii="Times New Roman" w:hAnsi="Times New Roman"/>
          <w:color w:val="000000" w:themeColor="text1"/>
          <w:sz w:val="16"/>
          <w:szCs w:val="16"/>
          <w:vertAlign w:val="superscript"/>
        </w:rPr>
        <w:t>58</w:t>
      </w:r>
      <w:r w:rsidRPr="00722885">
        <w:rPr>
          <w:rFonts w:ascii="Times New Roman" w:hAnsi="Times New Roman"/>
          <w:color w:val="000000" w:themeColor="text1"/>
          <w:sz w:val="16"/>
          <w:szCs w:val="16"/>
        </w:rPr>
        <w:t xml:space="preserve"> ТРС-82, ТРС-132 (1944); 6-орудийная установка для РС-82</w:t>
      </w:r>
    </w:p>
    <w:p w14:paraId="75F197E0" w14:textId="77777777" w:rsidR="00AE7191" w:rsidRPr="00722885" w:rsidRDefault="00AE7191" w:rsidP="00722885">
      <w:pPr>
        <w:widowControl w:val="0"/>
        <w:tabs>
          <w:tab w:val="left" w:pos="663"/>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(1936), ПУ БМ-13 «Катюша»; установка ИУ-1, экспериментальная камера сгорания ЭК-3 для испытаний ПВРД (1933); авиабомбы: 160-кг бетонобойная (1936), реактивные (ракетные) бетонобойная 350 кг, бронебойная 650 кг</w:t>
      </w:r>
    </w:p>
    <w:p w14:paraId="505C6190" w14:textId="77777777" w:rsidR="00AE7191" w:rsidRPr="00722885" w:rsidRDefault="00AE7191" w:rsidP="00722885">
      <w:pPr>
        <w:widowControl w:val="0"/>
        <w:tabs>
          <w:tab w:val="left" w:pos="663"/>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(1937); гироскопический автомат ГПС-2 для КР «216»; СЭДУ- солнечная энергодвигательная установка с СТРД- солнечным тепловым ракетным двигателем (11982).</w:t>
      </w:r>
    </w:p>
    <w:p w14:paraId="0317B9FE" w14:textId="77777777" w:rsidR="00056917" w:rsidRPr="00722885" w:rsidRDefault="00056917"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46EF3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15 июля 1942 из сборочного цеха завода № 166 удалось выкатить первые семь серийных машин Ту-2, но затем дело встало: изза многочисленных аварий (в основном связанных с винтомоторной группой и недостатками конструкции шасси) военные отказались принимать самолеты. Для выяснения положения дел НКАП направил на завод № 166 специальную комиссию. Ее председателем назна</w:t>
      </w:r>
      <w:r w:rsidRPr="00722885">
        <w:rPr>
          <w:rFonts w:ascii="Times New Roman" w:hAnsi="Times New Roman"/>
          <w:color w:val="000000" w:themeColor="text1"/>
          <w:sz w:val="16"/>
          <w:szCs w:val="16"/>
        </w:rPr>
        <w:softHyphen/>
        <w:t>чили Н.Н.Поликарпова. Николай Николаевич оказался в сложном положе</w:t>
      </w:r>
      <w:r w:rsidRPr="00722885">
        <w:rPr>
          <w:rFonts w:ascii="Times New Roman" w:hAnsi="Times New Roman"/>
          <w:color w:val="000000" w:themeColor="text1"/>
          <w:sz w:val="16"/>
          <w:szCs w:val="16"/>
        </w:rPr>
        <w:softHyphen/>
        <w:t>нии. Он видел тонкую дипломатическую игру наркома</w:t>
      </w:r>
      <w:r w:rsidRPr="00722885">
        <w:rPr>
          <w:rFonts w:ascii="Times New Roman" w:hAnsi="Times New Roman"/>
          <w:color w:val="000000" w:themeColor="text1"/>
          <w:sz w:val="16"/>
          <w:szCs w:val="16"/>
        </w:rPr>
        <w:softHyphen/>
        <w:t>та, понимал, что развертывание серийного производства Ту-2, во-первых, делает невозможным возвращение станков на завод № 51, во-вторых, фактически означает свертывание работ по НБ с близкими характеристиками. Но Поликарпов также понимал и то, что Ту-2 уже пост</w:t>
      </w:r>
      <w:r w:rsidRPr="00722885">
        <w:rPr>
          <w:rFonts w:ascii="Times New Roman" w:hAnsi="Times New Roman"/>
          <w:color w:val="000000" w:themeColor="text1"/>
          <w:sz w:val="16"/>
          <w:szCs w:val="16"/>
        </w:rPr>
        <w:softHyphen/>
        <w:t>роен и испытан, что машина подобного класса очень нужна фронту, что для недавно выпущенного' на свобо</w:t>
      </w:r>
      <w:r w:rsidRPr="00722885">
        <w:rPr>
          <w:rFonts w:ascii="Times New Roman" w:hAnsi="Times New Roman"/>
          <w:color w:val="000000" w:themeColor="text1"/>
          <w:sz w:val="16"/>
          <w:szCs w:val="16"/>
        </w:rPr>
        <w:softHyphen/>
        <w:t>ду А.Н.Туполева прекращение серийной постройки Ту-2 может послужить поводом для отстранения от активной творческой деятельности или даже для нового ареста, а для еще находящихся в заключении сотрудников его ОКБ - отдалением срока выхода на свободу. Поэтому Николай Николаевич постарался помочь Туполеву и дать наркомату объективную картину о положении дел с Ту-2 (10667).</w:t>
      </w:r>
    </w:p>
    <w:p w14:paraId="7C549FD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852A8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вышло Постановление ГКО № 2045 О производстве и испытании противотанковых авиабомб горизонтального действия (ПАБ) калибров 100 и 250 кг системы Шпитального-Солдатова. РГАНИР, Фонд ГКО, д. 44, лл. 106 (11012).</w:t>
      </w:r>
    </w:p>
    <w:p w14:paraId="70BCC5F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3A7E4"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вышло Постановление ГКО № 2045 О производстве и испытании противотанковых авиабомб горизонтального действия (ПАБ) калибров 100 и 250 кг системы Шпитального-Солдатова</w:t>
      </w:r>
    </w:p>
    <w:p w14:paraId="484CA5C7"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Изготовить и испытать противотанковые авиабомбы го</w:t>
      </w:r>
      <w:r w:rsidRPr="00722885">
        <w:rPr>
          <w:rFonts w:ascii="Times New Roman" w:hAnsi="Times New Roman"/>
          <w:color w:val="000000" w:themeColor="text1"/>
          <w:sz w:val="16"/>
          <w:szCs w:val="16"/>
        </w:rPr>
        <w:softHyphen/>
        <w:t>ризонтального действия калибров 100 и 250 кг. конструкции т.т.Шпитального и Солдатова, под существующие типы самолетных подвесок (держателей)и габаритов.</w:t>
      </w:r>
    </w:p>
    <w:p w14:paraId="3F8095DD"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Наркомат Боеприпасов т.Банникова и директора завода 67 т.Шибаева организовать производство и сдачу ВВС КА указанных выше авиабомб в следующих количествах и сроки:</w:t>
      </w:r>
    </w:p>
    <w:p w14:paraId="43021F91"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ab/>
      </w:r>
      <w:r w:rsidRPr="00722885">
        <w:rPr>
          <w:rFonts w:ascii="Times New Roman" w:hAnsi="Times New Roman"/>
          <w:color w:val="000000" w:themeColor="text1"/>
          <w:sz w:val="16"/>
          <w:szCs w:val="16"/>
        </w:rPr>
        <w:tab/>
        <w:t>июль</w:t>
      </w:r>
      <w:r w:rsidRPr="00722885">
        <w:rPr>
          <w:rFonts w:ascii="Times New Roman" w:hAnsi="Times New Roman"/>
          <w:color w:val="000000" w:themeColor="text1"/>
          <w:sz w:val="16"/>
          <w:szCs w:val="16"/>
        </w:rPr>
        <w:tab/>
        <w:t>август</w:t>
      </w:r>
    </w:p>
    <w:p w14:paraId="4381E72D"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ПАВ - 100</w:t>
      </w:r>
      <w:r w:rsidRPr="00722885">
        <w:rPr>
          <w:rFonts w:ascii="Times New Roman" w:hAnsi="Times New Roman"/>
          <w:color w:val="000000" w:themeColor="text1"/>
          <w:sz w:val="16"/>
          <w:szCs w:val="16"/>
        </w:rPr>
        <w:tab/>
        <w:t>5</w:t>
      </w:r>
      <w:r w:rsidRPr="00722885">
        <w:rPr>
          <w:rFonts w:ascii="Times New Roman" w:hAnsi="Times New Roman"/>
          <w:color w:val="000000" w:themeColor="text1"/>
          <w:sz w:val="16"/>
          <w:szCs w:val="16"/>
        </w:rPr>
        <w:tab/>
        <w:t>20</w:t>
      </w:r>
    </w:p>
    <w:p w14:paraId="698E7998"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ПАБ - 250</w:t>
      </w:r>
      <w:r w:rsidRPr="00722885">
        <w:rPr>
          <w:rFonts w:ascii="Times New Roman" w:hAnsi="Times New Roman"/>
          <w:color w:val="000000" w:themeColor="text1"/>
          <w:sz w:val="16"/>
          <w:szCs w:val="16"/>
        </w:rPr>
        <w:tab/>
        <w:t>5</w:t>
      </w:r>
      <w:r w:rsidRPr="00722885">
        <w:rPr>
          <w:rFonts w:ascii="Times New Roman" w:hAnsi="Times New Roman"/>
          <w:color w:val="000000" w:themeColor="text1"/>
          <w:sz w:val="16"/>
          <w:szCs w:val="16"/>
        </w:rPr>
        <w:tab/>
        <w:t>20</w:t>
      </w:r>
    </w:p>
    <w:p w14:paraId="19DBAAAA"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Наркомлегпром Союза ССР т.Лукина обеспечить поставку НКБ (по графику согласованному с КБ) парашютов для указанных бомб в количествах и сроки, указанные в пункте № 2.</w:t>
      </w:r>
    </w:p>
    <w:p w14:paraId="1B2F0B8F"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Обяэать Наркомчермет т.Тевосяна обеспечить поставку заводу № 67 НКБ комплект стальных литых колец для указан</w:t>
      </w:r>
      <w:r w:rsidRPr="00722885">
        <w:rPr>
          <w:rFonts w:ascii="Times New Roman" w:hAnsi="Times New Roman"/>
          <w:color w:val="000000" w:themeColor="text1"/>
          <w:sz w:val="16"/>
          <w:szCs w:val="16"/>
        </w:rPr>
        <w:softHyphen/>
        <w:t>ных бомб в следующих количествах и сооки:</w:t>
      </w:r>
    </w:p>
    <w:p w14:paraId="76DB3195"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100 кг. - 25 шт. из них: 10 шт. до 25 июля и 15 шт. до 10 августа</w:t>
      </w:r>
    </w:p>
    <w:p w14:paraId="520A09A7"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250 кг. - 25 шт. из них: 10 шт. до</w:t>
      </w:r>
      <w:r w:rsidRPr="00722885">
        <w:rPr>
          <w:rStyle w:val="TimesNewRoman85pt"/>
          <w:rFonts w:eastAsia="Calibri"/>
          <w:color w:val="000000" w:themeColor="text1"/>
          <w:sz w:val="16"/>
          <w:szCs w:val="16"/>
        </w:rPr>
        <w:t xml:space="preserve"> 25 </w:t>
      </w:r>
      <w:r w:rsidRPr="00722885">
        <w:rPr>
          <w:rStyle w:val="TimesNewRoman85pt"/>
          <w:rFonts w:eastAsiaTheme="minorHAnsi"/>
          <w:color w:val="000000" w:themeColor="text1"/>
          <w:sz w:val="16"/>
          <w:szCs w:val="16"/>
        </w:rPr>
        <w:t xml:space="preserve">до 10 </w:t>
      </w:r>
      <w:r w:rsidRPr="00722885">
        <w:rPr>
          <w:rFonts w:ascii="Times New Roman" w:hAnsi="Times New Roman"/>
          <w:color w:val="000000" w:themeColor="text1"/>
          <w:sz w:val="16"/>
          <w:szCs w:val="16"/>
        </w:rPr>
        <w:t>августа.</w:t>
      </w:r>
    </w:p>
    <w:p w14:paraId="6621347E"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Обязать 0КБ-15 т.Шпитального подать чертежи и Т.У. на изготовление авиабомб указанных калибров заводу № 67 НКБ к 20 июля и обеспечить техническую помощь и консультацию при их освоении.</w:t>
      </w:r>
    </w:p>
    <w:p w14:paraId="22E7A409"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Обязать ВВС КА т.Новикова по получении первое, партии авиабомб, испытать их на фронте по указанным выше целям про</w:t>
      </w:r>
      <w:r w:rsidRPr="00722885">
        <w:rPr>
          <w:rFonts w:ascii="Times New Roman" w:hAnsi="Times New Roman"/>
          <w:color w:val="000000" w:themeColor="text1"/>
          <w:sz w:val="16"/>
          <w:szCs w:val="16"/>
        </w:rPr>
        <w:softHyphen/>
        <w:t>тивникам предварительно испытав авиабомбы методом подрыва по трофейным танкам и представить свои соображения о валовом производстве авиабомб (19346).</w:t>
      </w:r>
    </w:p>
    <w:p w14:paraId="2B8CB414" w14:textId="77777777" w:rsidR="00D113EC" w:rsidRPr="00722885" w:rsidRDefault="00D113EC"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52FB1"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26637D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26D850"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июля 1942 г.</w:t>
      </w:r>
    </w:p>
    <w:p w14:paraId="604527CA"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114 – 112</w:t>
      </w:r>
    </w:p>
    <w:p w14:paraId="58144919"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1D452052"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КОМИССАРИАТА ТАНКОВОЙ ПРОМЫШЛЕННОСТИ СОЮЗА ССР № 519с</w:t>
      </w:r>
    </w:p>
    <w:p w14:paraId="7FF5B444"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гор. Москва</w:t>
      </w:r>
    </w:p>
    <w:p w14:paraId="101183AD"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 "15" июля 1942 г.</w:t>
      </w:r>
    </w:p>
    <w:p w14:paraId="0AF537C7"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Несмотря на неоднократные указания, заводы №№ 183, 174, 112 и СТЗ не выполняют приказ Наркомтанкопрома № 420с от 22 мая 1942 года, по изготовлению металлических бандажей 830×150 для обрезинки на Ярославском шинном заводе. В результате указанного, в настоящее время положение с поставкой бандажей находится в совершенно неудовлетворительном состоянии, что привело к остановке цеха по обрезинке на Ярославском шинном заводе и приостановило подачу обрезиненных бандажей указанным заводам, этим самым поставив под угрозу срыва выпуск машин в июле.</w:t>
      </w:r>
    </w:p>
    <w:p w14:paraId="7C697C0B"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Завод № 183 еще не приступил к изготовлению бандажей на установленном оборудовании. Кроме того руководство завода № 183 под всяким предлогом затягивает пуск мастерской по обрезинке бандажей у себя на заводе, считая нормальным получать бандажи с Ярославского шинного завода.</w:t>
      </w:r>
    </w:p>
    <w:p w14:paraId="75C8BF62"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Завод № 112, обязанный до 15 июня с.г. изготовить для ЯШЗ 30 штук прессформ 830×150, в июне изготовил только 4 прессформы. Отсутствие должного внимания со стороны руководства завода к этому участку работы приводит к срыву выпуска танков.</w:t>
      </w:r>
    </w:p>
    <w:p w14:paraId="31630984"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 основании изложенного ПРИКАЗЫВАЮ:</w:t>
      </w:r>
    </w:p>
    <w:p w14:paraId="3F70CA9F"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Директору завода № 183 т. МАКСАРЕВУ:</w:t>
      </w:r>
    </w:p>
    <w:p w14:paraId="6519FC0B"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начать с 15 августа обрезинку бандажей в своей резиновой мастерской по 100 – 120 штук в сутки.</w:t>
      </w:r>
    </w:p>
    <w:p w14:paraId="30E71A5F"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с 1 по 15 сентября обрезинивать по 150 штук бандажей в сутки.</w:t>
      </w:r>
    </w:p>
    <w:p w14:paraId="2CEB8954"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 15 по 1-е октября до 200 штук в сутки и в октябре месяце обеспечивать обрезинку бандажей в своей мастерской на всю программу выпуска машин.</w:t>
      </w:r>
    </w:p>
    <w:p w14:paraId="630014AF"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изготовить прессформ 830×150 в количестве 30 шт., из них 15 штук в июле и 15 штук в августе. Первые 15 прессформ отправить во временное пользование Ярославскому шинному заводу на период до полного пуска мастерской по обрезинке на заводе № 183.</w:t>
      </w:r>
    </w:p>
    <w:p w14:paraId="15266E1F"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немедленно приступить к обработке бандажей 830×150 и поставить их на обрезинку в июле месяце ЯШЗ не менее 2000 штук.</w:t>
      </w:r>
    </w:p>
    <w:p w14:paraId="7E5B47FE"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Директору завода № 112 тов. Рубинчик при всех условиях закончить изготовление и поставку 26 штук прессформ 830×150 для Ярославского шинного завода в следующие сроки:</w:t>
      </w:r>
    </w:p>
    <w:p w14:paraId="0EE5C5FA"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к 20 июля – 10 штук</w:t>
      </w:r>
    </w:p>
    <w:p w14:paraId="1FE8AE1C"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к 1 августа – 10 штук</w:t>
      </w:r>
    </w:p>
    <w:p w14:paraId="3C6C3B0B"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 5 августа – 6 штук</w:t>
      </w:r>
    </w:p>
    <w:p w14:paraId="1F21EACB"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изготовить в июле месяце 6500 шт. металлических бандажей и равномерно поставить их для обрезинки Ярославскому шинному заводу.</w:t>
      </w:r>
    </w:p>
    <w:p w14:paraId="73392065"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3. Директору СТЗ т. Задорожному обработать 1500 шт. металлических бандажей 830×150 и поставить их для обрезинки в июле ЯШЗ.</w:t>
      </w:r>
    </w:p>
    <w:p w14:paraId="719CBACC"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Директору завода № 174 т. Кацнельсон:</w:t>
      </w:r>
    </w:p>
    <w:p w14:paraId="24B72AE8"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обеспечить безусловное выполнение по изготовлению недостающих металлических бандажей на программу июля месяца в количестве 500 штук и поставить их Омскому шинному заводу.</w:t>
      </w:r>
    </w:p>
    <w:p w14:paraId="21F5D76E"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Кроме того, в течение июля и августа месяцев изготовить 10 штук прессформ 830×150, из них в июле 5 штук.</w:t>
      </w:r>
    </w:p>
    <w:p w14:paraId="6F5665EF"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Директору Кировского завода т. Махонину:</w:t>
      </w:r>
    </w:p>
    <w:p w14:paraId="60916CE5"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с 20-го июля приступить к изготовлению и поставке металлических бандажей 830×150для обрезинки их на Омском шинном заводе, с обеспечением поставки в июле не менее 200 штук.</w:t>
      </w:r>
    </w:p>
    <w:p w14:paraId="460B7CC2"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Изготовить и поставить Омскому шинному заводу 20 штук прессформ 830×150, в том числе к 5/VIII – 5 штук, к 15/VIII – 10 штук и к 20/VIII – 5 штук – для обеспечения обрезинки бандажей программы Кировского завода.</w:t>
      </w:r>
    </w:p>
    <w:p w14:paraId="41BE0A13"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Начальнику Главснаба НКТП т. Розину обеспечить заводы, изготавливающие металлические бандажи 830×150 металлом на всю заданную программу.</w:t>
      </w:r>
    </w:p>
    <w:p w14:paraId="32954E73"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Предупреждаю директоров заводов Кировского тов. МАХОНИНА, № 183 т. МАКСАРЕВА, № 112 т. РУБИНЧИК, СТЗ т. ЗАДОРОЖНОГО и № 174 т. КАЦНЕЛЬСОНА, что за срыв поставки металлических бандажей и прессформ шинным заводам в установленные сроки, буду привлекать к ответственности.</w:t>
      </w:r>
    </w:p>
    <w:p w14:paraId="24EF5990" w14:textId="77777777" w:rsidR="00C9620F" w:rsidRPr="00722885" w:rsidRDefault="00C962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 НАРОДНОГО КОМИССАРА ТАНКОВОЙ ПРОМЫШЛЕННОСТИ СОЮЗА ССР подпись (ЗЕРНОВ) (21223).</w:t>
      </w:r>
    </w:p>
    <w:p w14:paraId="0D4B9D3E" w14:textId="77777777" w:rsidR="00C9620F" w:rsidRPr="00722885" w:rsidRDefault="00C9620F" w:rsidP="00722885">
      <w:pPr>
        <w:spacing w:after="0" w:line="240" w:lineRule="auto"/>
        <w:jc w:val="both"/>
        <w:rPr>
          <w:rFonts w:ascii="Times New Roman" w:hAnsi="Times New Roman"/>
          <w:color w:val="0070C0"/>
          <w:sz w:val="16"/>
          <w:szCs w:val="16"/>
        </w:rPr>
      </w:pPr>
    </w:p>
    <w:p w14:paraId="51D76BA5" w14:textId="77777777" w:rsidR="00B33D31" w:rsidRPr="00722885" w:rsidRDefault="00B33D31" w:rsidP="00722885">
      <w:pPr>
        <w:pStyle w:val="ae"/>
        <w:shd w:val="clear" w:color="auto" w:fill="FFFFFF"/>
        <w:spacing w:before="0" w:after="0"/>
        <w:jc w:val="both"/>
        <w:rPr>
          <w:color w:val="000000" w:themeColor="text1"/>
          <w:sz w:val="16"/>
          <w:szCs w:val="16"/>
        </w:rPr>
      </w:pPr>
      <w:r w:rsidRPr="00722885">
        <w:rPr>
          <w:color w:val="000000" w:themeColor="text1"/>
          <w:sz w:val="16"/>
          <w:szCs w:val="16"/>
        </w:rPr>
        <w:t xml:space="preserve">15 июля 1942 года состоялось совещание по улучшению конструкции танка </w:t>
      </w:r>
      <w:r w:rsidRPr="00722885">
        <w:rPr>
          <w:color w:val="000000" w:themeColor="text1"/>
          <w:sz w:val="16"/>
          <w:szCs w:val="16"/>
          <w:lang w:val="en-US"/>
        </w:rPr>
        <w:t>N</w:t>
      </w:r>
      <w:r w:rsidRPr="00722885">
        <w:rPr>
          <w:color w:val="000000" w:themeColor="text1"/>
          <w:sz w:val="16"/>
          <w:szCs w:val="16"/>
        </w:rPr>
        <w:t>-70, на котором присутствовало руководство наркомата среднего машиностроения, представители ГАЗ и Главного автобронетанкового управления Красной армии (ГАБТУ КА). Двухместная башня значилась четвёртым, последним, пунктом улучшений. Согласно протоколу совещания, к 1 августа было решено подготовить макет башни, а к 5 августа — испытать артиллерийскую систему, чтобы определить возможность размещения 45-мм пушки в такой башне (17712).</w:t>
      </w:r>
    </w:p>
    <w:p w14:paraId="504970D5" w14:textId="77777777" w:rsidR="00B33D31" w:rsidRPr="00722885" w:rsidRDefault="00B33D31" w:rsidP="00722885">
      <w:pPr>
        <w:spacing w:after="0" w:line="240" w:lineRule="auto"/>
        <w:jc w:val="both"/>
        <w:rPr>
          <w:rFonts w:ascii="Times New Roman" w:hAnsi="Times New Roman"/>
          <w:color w:val="000000" w:themeColor="text1"/>
          <w:sz w:val="16"/>
          <w:szCs w:val="16"/>
        </w:rPr>
      </w:pPr>
    </w:p>
    <w:p w14:paraId="2C7A77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вышло Постановление ГКО № 2047 О плане добычи нефти, производства нефтепродуктов и материально-техническом обеспечении нефтяной промышленности в III квартале 1942 г. РГАНИР, Фонд ГКО, д. 44, лл. 109-118, 119-129 (11012).</w:t>
      </w:r>
    </w:p>
    <w:p w14:paraId="714E92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60943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вышло Постановление ГКО № 2048 О производстве металла в III квартале 1942 г. РГАНИР, Фонд ГКО, д. 44, лл. 130-152, 153-155 (11012).</w:t>
      </w:r>
    </w:p>
    <w:p w14:paraId="0A239C8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90C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Балтийцы приступили к ремонту эсминца "Сторожевой" (10671).</w:t>
      </w:r>
    </w:p>
    <w:p w14:paraId="0E9DED6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9CA1B"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1BBB5C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4B926"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в 1942 году утреннее сообщение Совинформбюро:</w:t>
      </w:r>
    </w:p>
    <w:p w14:paraId="64CFEFEC"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15 июля наши войска вели ожесточённые бои с противником в районе Воронежа и южнее города Богучар.</w:t>
      </w:r>
    </w:p>
    <w:p w14:paraId="18341A2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21DC602D"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с переменным успехом идут непрерывные бои. Наступающие части врага несут огромные потери. На смену обескровленным дивизиям немцы вынуждены срочно перебрасывать резервы из глубокого тыла. Отмечено несколько дивизий, на днях прибывших из Франции и Бельгии. На одном из участков наши части, отбив атаку врага, сами перешли в контратаку. Ожесточённое сражение длилось несколько часов. Потеряв 11 танков, сотни солдат и офицеров, гитлеровцы были вынуждены отойти. На другом участке отбит ряд атак противника. Артиллерия и бронебойщики сожгли 6 немецких танков.</w:t>
      </w:r>
    </w:p>
    <w:p w14:paraId="1E626A8D"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Богучара наши части продолжали вести напряжённые бои с наступающими немецкими войсками. На одном из участков наше подразделение в течение дня сдерживало полк вражеской пехоты и истребило свыше 700 немцев. Три наших танка уничтожили 5 немецких танков, 2 противотанковых орудия, свыше 30 гитлеровцев и без потерь вышли из боя.</w:t>
      </w:r>
    </w:p>
    <w:p w14:paraId="409E72A6"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отдельных участках Ленинградского фронта за три дня боёв нашими бойцами уничтожено два орудия, 14 пулемётов, 15 огневых пулемётных точек, 3 миномёта, взорван склад с боеприпасами, разрушено 30 ДЗОТов и землянок вместе с находившимися в них гитлеровцами. Противник потерял убитыми свыше 400 солдат и офицеров.</w:t>
      </w:r>
    </w:p>
    <w:p w14:paraId="19A11277"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Противник силой до батальона предпринял наступление на одном из участков Калининского фронта. Наши подразделения дали немецкой пехоте возможность переправиться через речку, а затем окружили и уничтожили 200 гитлеровцев. Взяты пленные. На другом участке наши артиллеристы подбили 3 немецких танка, уничтожили до 300 солдат и офицеров противника, подбили 2 орудия и взорвали склад с боеприпасами.</w:t>
      </w:r>
    </w:p>
    <w:p w14:paraId="534E0FA2"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Командир роты лейтенант Демешев истребил свыше 100 гитлеровцев. B своей роте он подготовил 33 снайпера, которые уже вывели из строя 396 немецких оккупантов.</w:t>
      </w:r>
    </w:p>
    <w:p w14:paraId="74BAA0BA"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Красноармеец тов. Николаев огнём из ручного пулемёта сбил немецкий пикирующий бомбардировщик «Юнкерс-88».</w:t>
      </w:r>
    </w:p>
    <w:p w14:paraId="36B4E87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Успешно действует отряд курских партизан под командованием товарища Л. Партизаны взорвали мост в то время, когда по нему проходили немецкие танки. Два танка были подорваны и свалились в воду. Группа партизан этого отряда совершила ночной налёт на деревню, в которой расположилась на отдых немецкая автоколонна.Советские патриоты сожгли 8 автомашин с боеприпасами и истребили 30 немецко-фашистских оккупантов.</w:t>
      </w:r>
    </w:p>
    <w:p w14:paraId="554728D2"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письмах, адресованных немецким солдатам, находящимся на советско-германском фронте, родные пишут о том, что в Германии почти повсеместно ожидается большей недород. Немецкому унтер-офицеру Бетцеру пишет его отец из Фалькендорфа: «Уже сейчас ясно, что урожай нынешнего года будет очень скудным. Многие еще не хотят этому верить, но скоро время покажет, что на нас надвигается голод». Немецкому ефрейтору Августину Фишеру сообщают из Маркт Люстенау: «Рожь и ячмень пропали. Надо было сеять заново, но нигде нельзя было достать семян. Многие так и не могли ничего пересеять».</w:t>
      </w:r>
    </w:p>
    <w:p w14:paraId="25F5E957"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людоеды истребляют мирное население оккупированных советских районов. В селе Лугань, Орловской области, гитлеровцы замучили 20 местных жителей. Палачи расстреляли учительницу Анну Федосеевну Коротченко 23 лет, её сына Вячеслава двух с половиной лет и мать Прасковью Ивановну 53 лет. Фашистские мерзавцы изнасиловали учительницу Анну Константиновну Кожанову, а потом расстреляли её вместе с 5 -летним сыном Виктором и 7-летней дочерью Людмилой.» (14953).</w:t>
      </w:r>
    </w:p>
    <w:p w14:paraId="66057B68"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7B5C2596"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в 1942 году вечернее сообщение Совинформбюро:</w:t>
      </w:r>
    </w:p>
    <w:p w14:paraId="191ADF6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течение 15 июля наши войска продолжали вести ожесточённые бои с противником в районе Воронежа.</w:t>
      </w:r>
    </w:p>
    <w:p w14:paraId="36F9729F"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ожесточённых боёв наши войска оставили Богучар и Миллерово.</w:t>
      </w:r>
    </w:p>
    <w:p w14:paraId="1AAF0F70"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48EFEEB7"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3a 14 июля частями нашей авиации на различных участках фронта уничтожено или повреждено свыше 90 немецких танков, l60 автомашин с войсками и грузами, подавлен огонь 7 батарей зенитной артиллерии, взорваны 4 склада с боеприпасами и 3 склада с горючим, рассеяно и частью уничтожено до двух батальонов пехоты противника.</w:t>
      </w:r>
    </w:p>
    <w:p w14:paraId="37A5B0B5"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сражения развёртываются со всё большим ожесточением. Ряд укреплённых рубежей и населённых пунктов по нескольку раз переходит из рук вруки. На некоторых участках наши войска контрударами отбрасывают наступающегопротивника и наносят ему большой урон. Совместными действиями лётчиков-штурмовиков и одного танкового соединения за день боёв уничтожено более 1.000 немецких солдат и офицеров, 12 танков, 23 орудия, 36 автомашин, 41 мотоцикл, 71 станковый пулемёт и несколько бронированных повозок с пехотой. За последние несколько дней лётчики части полковника Данилова сбили в воздушных боях 51 немецкий самолёт. Лётчики младший лейтенант Тильченко и старший сержант Лавриненко встретились в воздухе и вступили в бой с 5 немецкими истребителями. В первой же атаке тов. Тильченко сбил один «Mecсершмитт». Самолёт Лавриненко получил повреждение и вышел из боя. Оставшись один, тов. Тильченко снова вступил в бой и сбил ещё два немецких истребителя.</w:t>
      </w:r>
    </w:p>
    <w:p w14:paraId="6A78DB81"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были отбиты атаки противника на передний край нашей обороны. Бойцы подразделения под командованием тов. Казакова, перейдя в контратаку, оседлали важную дорогу и заняли высоту, контролирующую подходы к ней. Старший лейтенант Волков, красноармейцы Чиркунов, Головин и Щербинов уничтожили 4 немецких танка. Старший лейтенант Котов огнём из противотанкового ружья сбил немецкий самолёт-корректировщик.</w:t>
      </w:r>
    </w:p>
    <w:p w14:paraId="3989D634"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Две роты пехоты противника при поддержке 5 танков атаковали стрелковые подразделения, которыми командуют лейтенанты Садиков, Савкин и старший лейтенант Кульбит (Западный фронт). Огнём пехоты и артиллерии обе роты гитлеровцев целиком уничтожены. Подбито 3 немецких танка.</w:t>
      </w:r>
    </w:p>
    <w:p w14:paraId="77EB69C5"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Танковый экипаж в составе капитана Кошелева и механика-водителя Скибина водном бою уничтожил 3 немецких танка, 7 противотанковых орудий и до 60 немецких солдат и офицеров.</w:t>
      </w:r>
    </w:p>
    <w:p w14:paraId="1D45A574"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действующие в одном из районов Белоруссии, в течение двух месяцев взорвали 38 мостов, уничтожили 17 автомашин и истребили свыше 100 немецких оккупантов. Отрядом партизан захвачены у противника трофеи, в том числе много продовольствия, которое роздано колхозникам.</w:t>
      </w:r>
    </w:p>
    <w:p w14:paraId="13E9026C"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С., действующий в одном из районов Ленинградской области, оккупированном немцами, разгромил карательную экспедицию гитлеровцев. На днях группа партизан организовала крушение железнодорожного состава противника.</w:t>
      </w:r>
    </w:p>
    <w:p w14:paraId="6D0EB44F"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Пленный солдат 10 роты 769 полка 377 немецкой пехотной дивизии Артур Келлер рассказал: «Офицеры и унтер-офицеры открыто призывают солдат грабить и истреблять советских людей. Недавно фельдфебель Герц провёл беседу с вновь прибывшими на фронт солдатами 3-го взвода. Он говорил, что Гитлер требует беспощадно истреблять славян, невзирая на пол и возраст. Он далее заявил, что немецким солдатам позволено отбирать у населения всё, что им необходимо».</w:t>
      </w:r>
    </w:p>
    <w:p w14:paraId="68283B0D"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Зверскую расправу учинили немецко-фашистские мерзавцы в селе Боярке под Киевом. Гитлеровцы загнали в помещение школы 15 девочек-подростков, надругалисьнад своими жертвами, а потом повесили их на телеграфных столбах.</w:t>
      </w:r>
    </w:p>
    <w:p w14:paraId="6A6E4167"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Казахстане началась уборка хлебов. С каждым днём расширяется фронт уборочных работ. Только в пяти областях республики скошено 60.000 гектаров зерновых. Первые обмолоты в ряде колхозов Джамбулской области показывают, что колхозники собирают богатый урожай зерновых.» (14953).</w:t>
      </w:r>
    </w:p>
    <w:p w14:paraId="22D00AE6"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223EE4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п И.С.Полбин с пикирования уничтожил на Пе-2 склад горючего в районе ст. Морозовская и тем самым задержал продвижение танков на Сталинград (438,851).</w:t>
      </w:r>
    </w:p>
    <w:p w14:paraId="61CD55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4B7E0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г. была подготовлена ЗАЯВКА НАЧАЛЬНИКА ОПЕРОТДЕЛА ШТАБА ГАБТУ В РАЗВЕДУПРАВЛЕНИЕ ОБ ИНТЕРЕСУЮЩЕЙ ИНФОРМАЦИИ О ПРОТИВНИКЕ</w:t>
      </w:r>
    </w:p>
    <w:p w14:paraId="742F3C0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Необходима информация Красной Армии о противнике по следующим вопросам: 1. Необходимы указания Разведуправления КА о том, чтобы разведотделы штабов дивизий, кор</w:t>
      </w:r>
      <w:r w:rsidRPr="00722885">
        <w:rPr>
          <w:rFonts w:ascii="Times New Roman" w:hAnsi="Times New Roman"/>
          <w:color w:val="000000" w:themeColor="text1"/>
          <w:sz w:val="16"/>
          <w:szCs w:val="16"/>
        </w:rPr>
        <w:softHyphen/>
        <w:t>пусов, армий и фронтов постоянно информировали штабы отдельных танковых батальонов, танко</w:t>
      </w:r>
      <w:r w:rsidRPr="00722885">
        <w:rPr>
          <w:rFonts w:ascii="Times New Roman" w:hAnsi="Times New Roman"/>
          <w:color w:val="000000" w:themeColor="text1"/>
          <w:sz w:val="16"/>
          <w:szCs w:val="16"/>
        </w:rPr>
        <w:softHyphen/>
        <w:t>вых бригад, корпусов и танковых армий о противнике на направлениях их действий по вопросам:</w:t>
      </w:r>
    </w:p>
    <w:p w14:paraId="531E655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особенности системы обороны противника, нумерация частей, особенности в упорстве борь</w:t>
      </w:r>
      <w:r w:rsidRPr="00722885">
        <w:rPr>
          <w:rFonts w:ascii="Times New Roman" w:hAnsi="Times New Roman"/>
          <w:color w:val="000000" w:themeColor="text1"/>
          <w:sz w:val="16"/>
          <w:szCs w:val="16"/>
        </w:rPr>
        <w:softHyphen/>
        <w:t>бы, особенно танковые части. Новые виды вооружения - танки, орудия - особенно противотанковые, самолеты. Специфика противотанковой борьбы - танки, противотанковые пушки, инженерные со</w:t>
      </w:r>
      <w:r w:rsidRPr="00722885">
        <w:rPr>
          <w:rFonts w:ascii="Times New Roman" w:hAnsi="Times New Roman"/>
          <w:color w:val="000000" w:themeColor="text1"/>
          <w:sz w:val="16"/>
          <w:szCs w:val="16"/>
        </w:rPr>
        <w:softHyphen/>
        <w:t>оружения, их применение;</w:t>
      </w:r>
    </w:p>
    <w:p w14:paraId="5023304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особенности наступательного боя - направления главной группировки противника, его тан</w:t>
      </w:r>
      <w:r w:rsidRPr="00722885">
        <w:rPr>
          <w:rFonts w:ascii="Times New Roman" w:hAnsi="Times New Roman"/>
          <w:color w:val="000000" w:themeColor="text1"/>
          <w:sz w:val="16"/>
          <w:szCs w:val="16"/>
        </w:rPr>
        <w:softHyphen/>
        <w:t>ков, использование артиллерии, взаимодействие войск в бою, вопросы материального и техническо</w:t>
      </w:r>
      <w:r w:rsidRPr="00722885">
        <w:rPr>
          <w:rFonts w:ascii="Times New Roman" w:hAnsi="Times New Roman"/>
          <w:color w:val="000000" w:themeColor="text1"/>
          <w:sz w:val="16"/>
          <w:szCs w:val="16"/>
        </w:rPr>
        <w:softHyphen/>
        <w:t>го обеспечения, особенно - питание и восстановление танковых частей.</w:t>
      </w:r>
    </w:p>
    <w:p w14:paraId="71009E1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 порядке систематической информации войск Разведуправлением КА необходимо освещать следующие вопросы:</w:t>
      </w:r>
    </w:p>
    <w:p w14:paraId="3FBDA0F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организация танковых войск Германии - танковой дивизии, корпуса, армии. Уставные поло</w:t>
      </w:r>
      <w:r w:rsidRPr="00722885">
        <w:rPr>
          <w:rFonts w:ascii="Times New Roman" w:hAnsi="Times New Roman"/>
          <w:color w:val="000000" w:themeColor="text1"/>
          <w:sz w:val="16"/>
          <w:szCs w:val="16"/>
        </w:rPr>
        <w:softHyphen/>
        <w:t>жения по применению, использованию танковых соединений в бою.</w:t>
      </w:r>
    </w:p>
    <w:p w14:paraId="68D4D7A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Новые танковые формирования, их отличие от старых. Подготовка кадров танкистов.</w:t>
      </w:r>
    </w:p>
    <w:p w14:paraId="48621D2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Танковая промышленность Германии - с каким количеством танков Германия вступила в вой</w:t>
      </w:r>
      <w:r w:rsidRPr="00722885">
        <w:rPr>
          <w:rFonts w:ascii="Times New Roman" w:hAnsi="Times New Roman"/>
          <w:color w:val="000000" w:themeColor="text1"/>
          <w:sz w:val="16"/>
          <w:szCs w:val="16"/>
        </w:rPr>
        <w:softHyphen/>
        <w:t>ну, по маркам машин. Сколько производила танков помесячно в 1941 году и сколько производит в 1942 году. Какие имеются перспективы на выпуск танков. Какие имела потери в танках в 1941 году, и какие имеет в 1942 году. Как разрешается вопрос восстановления подбитой материальной части -ремонтные и эвакосредства. Используются ли наши отечественные танки, захваченные противни</w:t>
      </w:r>
      <w:r w:rsidRPr="00722885">
        <w:rPr>
          <w:rFonts w:ascii="Times New Roman" w:hAnsi="Times New Roman"/>
          <w:color w:val="000000" w:themeColor="text1"/>
          <w:sz w:val="16"/>
          <w:szCs w:val="16"/>
        </w:rPr>
        <w:softHyphen/>
        <w:t>ком. Какие новые типы танков введены в строй, их краткая тактико-техническая характеристика и какие типы танков готовятся для производства. Модернизируются ли старые образцы танков и в чем именно. В какой степени используются танки союзников Германии, оккупированных стран и произ</w:t>
      </w:r>
      <w:r w:rsidRPr="00722885">
        <w:rPr>
          <w:rFonts w:ascii="Times New Roman" w:hAnsi="Times New Roman"/>
          <w:color w:val="000000" w:themeColor="text1"/>
          <w:sz w:val="16"/>
          <w:szCs w:val="16"/>
        </w:rPr>
        <w:softHyphen/>
        <w:t>водственные возможности их. Источники получения горючего, примерные запасы, сорта горючего, используемого танками.</w:t>
      </w:r>
    </w:p>
    <w:p w14:paraId="770521D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Вооружение - какие изменения вводятся в вооружение старых типов танков и новое в воору</w:t>
      </w:r>
      <w:r w:rsidRPr="00722885">
        <w:rPr>
          <w:rFonts w:ascii="Times New Roman" w:hAnsi="Times New Roman"/>
          <w:color w:val="000000" w:themeColor="text1"/>
          <w:sz w:val="16"/>
          <w:szCs w:val="16"/>
        </w:rPr>
        <w:softHyphen/>
        <w:t>жении выпускаемых танков. Имеются ли новые образцы противотанковых пушек, ружей, снарядов. Новые образцы оптики в танках. Новые образцы - мощность радиостанций вообще и танковых в особенности.</w:t>
      </w:r>
    </w:p>
    <w:p w14:paraId="1AEFB8D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Управление войсками - методы управления танковыми войсками на марше, в наступлении, обороне. Методы управления танками по радио - открытым текстом, кодом и специфика построе</w:t>
      </w:r>
      <w:r w:rsidRPr="00722885">
        <w:rPr>
          <w:rFonts w:ascii="Times New Roman" w:hAnsi="Times New Roman"/>
          <w:color w:val="000000" w:themeColor="text1"/>
          <w:sz w:val="16"/>
          <w:szCs w:val="16"/>
        </w:rPr>
        <w:softHyphen/>
        <w:t>ния кода.</w:t>
      </w:r>
    </w:p>
    <w:p w14:paraId="7993605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Взаимодействие танков с авиацией - способы управления и связи.</w:t>
      </w:r>
    </w:p>
    <w:p w14:paraId="25E36E4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Особенности организации и практической работы агентурной и войсковой разведки.</w:t>
      </w:r>
    </w:p>
    <w:p w14:paraId="2109714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оперотдела штаба ГАБТУ КА полковник Кульвинский</w:t>
      </w:r>
    </w:p>
    <w:p w14:paraId="024B9D71"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11353. Д. 14. Л. 102-103. Подлинник (11211).</w:t>
      </w:r>
    </w:p>
    <w:p w14:paraId="29E3BA10"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2065D2A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немцы смогли прорвать оборону между Доном и Северским Донцом в полосе 170 км и выйти в большую излучину Дона (340,88).</w:t>
      </w:r>
    </w:p>
    <w:p w14:paraId="7D4E3A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D4CDF"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в 1942 году немецкие войска заняли Миллерово (14953).</w:t>
      </w:r>
    </w:p>
    <w:p w14:paraId="0DEADB02"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05E0A6F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 части 6-й армии Вермахта захватили г. Миллерово и находились уже в 300 км от Сталинграда. В этот день Сталину стало окончательно ясно, что остановить немцев западнее Дона не удастся. Вечером он лично позвонил в обком Чуянову и приказал готовить город к обороне. Тут же начиналось спешное строительство четвертого городского оборонительного рубежа, на которое ежедневно стали выгонять многие тысячи сталинградцев. Так, в Ерманском, Дзержинском и Ворошиловском районах на возведение укреплений были направлены по 10 тыс. человек. Жители Краснооктябрьского, Тракторозаводского и других районов Сталинграда также активно участвовали в строительстве «окопов». Многие учреждения, работа которых могла быть без ущерба для интересов фронта приостановлена, временно закрывались с оставлением в них лишь дежурных, а весь коллектив мобилизовывался «на окопы». В конце июля на строительстве городского обвода работали свыше 57 тыс. человек. Все необходимое для строительства добывалось на месте (11774).</w:t>
      </w:r>
    </w:p>
    <w:p w14:paraId="1671C6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B800B" w14:textId="77777777" w:rsidR="00056917"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70CBF7E4" w14:textId="77777777" w:rsidR="00056917" w:rsidRPr="00722885" w:rsidRDefault="00056917"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F1D41F"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15 июля в 1942 году начались поставки морских вариантов английского истребителя </w:t>
      </w:r>
      <w:hyperlink r:id="rId22" w:tgtFrame="_blank" w:history="1">
        <w:r w:rsidRPr="00722885">
          <w:rPr>
            <w:rFonts w:ascii="Times New Roman" w:hAnsi="Times New Roman"/>
            <w:color w:val="000000" w:themeColor="text1"/>
            <w:sz w:val="16"/>
            <w:szCs w:val="16"/>
          </w:rPr>
          <w:t xml:space="preserve">«Спитфайр» </w:t>
        </w:r>
      </w:hyperlink>
      <w:r w:rsidRPr="00722885">
        <w:rPr>
          <w:rFonts w:ascii="Times New Roman" w:hAnsi="Times New Roman"/>
          <w:color w:val="000000" w:themeColor="text1"/>
          <w:sz w:val="16"/>
          <w:szCs w:val="16"/>
        </w:rPr>
        <w:t>модификации «VB» - "Сифайр" «Mk.IB», a «VC» - соответственно «Mk.IIC». Первоначально новый самолет должен был по традиции называться "Си Спитфайр", но затем название сократили до "Сифайр" ("морской огонь"). Переделку производили на заводах фирм «Эйр Сервис Трэйдинг» и «Канлиф-Оуэн». Конструктивно они отличались от своих сухопутных собратьев лишь наличием крюка, внешней накладкой - усилением в районе центроплана, шпигатами для удаления воды, а также катапультными крючками, рассчитанными на использование тросового поводка. «Mk.IIC» имел усиленное крыло типа С, но с двумя пушками вместо четырех - ограничения по весу не позволяли усилить вооружение (14953).</w:t>
      </w:r>
    </w:p>
    <w:p w14:paraId="6763917C"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71D1354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15 июля в 1942 году поднялся в воздух второй прототип («DD810»), английского палубного истребителя-торпедоносца </w:t>
      </w:r>
      <w:hyperlink r:id="rId23" w:tgtFrame="_blank" w:history="1">
        <w:r w:rsidRPr="00722885">
          <w:rPr>
            <w:rFonts w:ascii="Times New Roman" w:hAnsi="Times New Roman"/>
            <w:color w:val="000000" w:themeColor="text1"/>
            <w:sz w:val="16"/>
            <w:szCs w:val="16"/>
          </w:rPr>
          <w:t xml:space="preserve">«Blackburn Firebrand», </w:t>
        </w:r>
      </w:hyperlink>
      <w:r w:rsidRPr="00722885">
        <w:rPr>
          <w:rFonts w:ascii="Times New Roman" w:hAnsi="Times New Roman"/>
          <w:color w:val="000000" w:themeColor="text1"/>
          <w:sz w:val="16"/>
          <w:szCs w:val="16"/>
        </w:rPr>
        <w:t>отличавшийся от первого наличием вооружения в лице четырех пушек «Hispano» и двух подкрыльевых узлов для подвески пятисотфунтовых бомб (14953).</w:t>
      </w:r>
    </w:p>
    <w:p w14:paraId="01F6194D"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0FB06A53" w14:textId="77777777" w:rsidR="00072048" w:rsidRPr="00722885" w:rsidRDefault="0007204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июля 1942 American Volunteer Group - „Летающие тигры“ - передается из Air Force Республика Китай в состав Военно - воздушных сил Соединенных и становится 23 - й истребительной группой. За шесть месяцев службы в Китае подразделение сбило 286 японских самолетов в обмен на 12 собственных, потерянных в боях воздух-воздух (20793).</w:t>
      </w:r>
    </w:p>
    <w:p w14:paraId="7DEBACF8" w14:textId="77777777" w:rsidR="00072048" w:rsidRPr="00722885" w:rsidRDefault="00072048" w:rsidP="00722885">
      <w:pPr>
        <w:spacing w:after="0" w:line="240" w:lineRule="auto"/>
        <w:jc w:val="both"/>
        <w:rPr>
          <w:rFonts w:ascii="Times New Roman" w:hAnsi="Times New Roman"/>
          <w:color w:val="0070C0"/>
          <w:sz w:val="16"/>
          <w:szCs w:val="16"/>
        </w:rPr>
      </w:pPr>
    </w:p>
    <w:p w14:paraId="5935421D"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6B3633A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81B02" w14:textId="77777777" w:rsidR="00056917" w:rsidRPr="00722885" w:rsidRDefault="00056917"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середине июля 1942 года началась сбор</w:t>
      </w:r>
      <w:r w:rsidRPr="00722885">
        <w:rPr>
          <w:rFonts w:ascii="Times New Roman" w:cs="Times New Roman"/>
          <w:color w:val="000000" w:themeColor="text1"/>
          <w:spacing w:val="0"/>
        </w:rPr>
        <w:softHyphen/>
        <w:t xml:space="preserve">ка двух первых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-1С. По сравнению с танком КВ-1 на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была уменьшена до 60 мм толщина броне</w:t>
      </w:r>
      <w:r w:rsidRPr="00722885">
        <w:rPr>
          <w:rFonts w:ascii="Times New Roman" w:cs="Times New Roman"/>
          <w:color w:val="000000" w:themeColor="text1"/>
          <w:spacing w:val="0"/>
        </w:rPr>
        <w:softHyphen/>
        <w:t>вых листов, изменена форма кормы корпу</w:t>
      </w:r>
      <w:r w:rsidRPr="00722885">
        <w:rPr>
          <w:rFonts w:ascii="Times New Roman" w:cs="Times New Roman"/>
          <w:color w:val="000000" w:themeColor="text1"/>
          <w:spacing w:val="0"/>
        </w:rPr>
        <w:softHyphen/>
        <w:t>са, установлена башня новой конструкции с командирской башенкой кругового обзора, новые смотровые приборы. Существенные изменения внесли конструкторы и в сило</w:t>
      </w:r>
      <w:r w:rsidRPr="00722885">
        <w:rPr>
          <w:rFonts w:ascii="Times New Roman" w:cs="Times New Roman"/>
          <w:color w:val="000000" w:themeColor="text1"/>
          <w:spacing w:val="0"/>
        </w:rPr>
        <w:softHyphen/>
        <w:t>вую передачу танка КВ-1С, установив новый главный фрикцион, восьмискоростную ко</w:t>
      </w:r>
      <w:r w:rsidRPr="00722885">
        <w:rPr>
          <w:rFonts w:ascii="Times New Roman" w:cs="Times New Roman"/>
          <w:color w:val="000000" w:themeColor="text1"/>
          <w:spacing w:val="0"/>
        </w:rPr>
        <w:softHyphen/>
        <w:t>робку перемены передач с силуминовым кар</w:t>
      </w:r>
      <w:r w:rsidRPr="00722885">
        <w:rPr>
          <w:rFonts w:ascii="Times New Roman" w:cs="Times New Roman"/>
          <w:color w:val="000000" w:themeColor="text1"/>
          <w:spacing w:val="0"/>
        </w:rPr>
        <w:softHyphen/>
        <w:t>тером (восемь скоростей вперед и две назад). Кроме того, на танке смонтировали радиа</w:t>
      </w:r>
      <w:r w:rsidRPr="00722885">
        <w:rPr>
          <w:rFonts w:ascii="Times New Roman" w:cs="Times New Roman"/>
          <w:color w:val="000000" w:themeColor="text1"/>
          <w:spacing w:val="0"/>
        </w:rPr>
        <w:softHyphen/>
        <w:t>торы и вентилятор другой конструкции, из</w:t>
      </w:r>
      <w:r w:rsidRPr="00722885">
        <w:rPr>
          <w:rFonts w:ascii="Times New Roman" w:cs="Times New Roman"/>
          <w:color w:val="000000" w:themeColor="text1"/>
          <w:spacing w:val="0"/>
        </w:rPr>
        <w:softHyphen/>
        <w:t>менили расположение аккумуляторов. В хо</w:t>
      </w:r>
      <w:r w:rsidRPr="00722885">
        <w:rPr>
          <w:rFonts w:ascii="Times New Roman" w:cs="Times New Roman"/>
          <w:color w:val="000000" w:themeColor="text1"/>
          <w:spacing w:val="0"/>
        </w:rPr>
        <w:softHyphen/>
        <w:t>довой части применили облегченные опор</w:t>
      </w:r>
      <w:r w:rsidRPr="00722885">
        <w:rPr>
          <w:rFonts w:ascii="Times New Roman" w:cs="Times New Roman"/>
          <w:color w:val="000000" w:themeColor="text1"/>
          <w:spacing w:val="0"/>
        </w:rPr>
        <w:softHyphen/>
        <w:t>ные катки, ленивец и облегченные гусеницы уменьшенной ширины. В результате всех этих изменений мас</w:t>
      </w:r>
      <w:r w:rsidRPr="00722885">
        <w:rPr>
          <w:rFonts w:ascii="Times New Roman" w:cs="Times New Roman"/>
          <w:color w:val="000000" w:themeColor="text1"/>
          <w:spacing w:val="0"/>
        </w:rPr>
        <w:softHyphen/>
        <w:t>са КВ-1С снизилась до 42,3 т, возросла ско</w:t>
      </w:r>
      <w:r w:rsidRPr="00722885">
        <w:rPr>
          <w:rFonts w:ascii="Times New Roman" w:cs="Times New Roman"/>
          <w:color w:val="000000" w:themeColor="text1"/>
          <w:spacing w:val="0"/>
        </w:rPr>
        <w:softHyphen/>
        <w:t>рость (до 43,3 км/ч по шоссе), улучшилась маневренность и надежность танка (15226).</w:t>
      </w:r>
    </w:p>
    <w:p w14:paraId="49E0DC17" w14:textId="77777777" w:rsidR="00056917" w:rsidRPr="00722885" w:rsidRDefault="00056917" w:rsidP="00722885">
      <w:pPr>
        <w:pStyle w:val="27"/>
        <w:shd w:val="clear" w:color="auto" w:fill="auto"/>
        <w:spacing w:after="0" w:line="240" w:lineRule="auto"/>
        <w:ind w:firstLine="0"/>
        <w:rPr>
          <w:rFonts w:ascii="Times New Roman" w:cs="Times New Roman"/>
          <w:color w:val="000000" w:themeColor="text1"/>
          <w:spacing w:val="0"/>
        </w:rPr>
      </w:pPr>
    </w:p>
    <w:p w14:paraId="5268395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июля месяца 1942 на совещании конструкторско-технологических служб завода группа конструкторов под ру</w:t>
      </w:r>
      <w:r w:rsidRPr="00722885">
        <w:rPr>
          <w:rFonts w:ascii="Times New Roman" w:hAnsi="Times New Roman"/>
          <w:color w:val="000000" w:themeColor="text1"/>
          <w:sz w:val="16"/>
          <w:szCs w:val="16"/>
        </w:rPr>
        <w:softHyphen/>
        <w:t>ководством Л. Горлицкого предложила использовать для производства деталей башен Т-34 и КВ 10000-тонный пресс, прежде применявшийся для штампования ло</w:t>
      </w:r>
      <w:r w:rsidRPr="00722885">
        <w:rPr>
          <w:rFonts w:ascii="Times New Roman" w:hAnsi="Times New Roman"/>
          <w:color w:val="000000" w:themeColor="text1"/>
          <w:sz w:val="16"/>
          <w:szCs w:val="16"/>
        </w:rPr>
        <w:softHyphen/>
        <w:t>пастей турбин. Директор Н. Музуруков поддержал пред</w:t>
      </w:r>
      <w:r w:rsidRPr="00722885">
        <w:rPr>
          <w:rFonts w:ascii="Times New Roman" w:hAnsi="Times New Roman"/>
          <w:color w:val="000000" w:themeColor="text1"/>
          <w:sz w:val="16"/>
          <w:szCs w:val="16"/>
        </w:rPr>
        <w:softHyphen/>
        <w:t>ложение и до одобрения НКТП приказал группе разрабо</w:t>
      </w:r>
      <w:r w:rsidRPr="00722885">
        <w:rPr>
          <w:rFonts w:ascii="Times New Roman" w:hAnsi="Times New Roman"/>
          <w:color w:val="000000" w:themeColor="text1"/>
          <w:sz w:val="16"/>
          <w:szCs w:val="16"/>
        </w:rPr>
        <w:softHyphen/>
        <w:t>тать конструкцию частично штампованной и полностью штампованной башен. После рассмотрения проектов к исполнению приняли полностью штампованный вариант, разработанный И. Вахрушевым и В. Ананьевым. В конце месяца проект предста</w:t>
      </w:r>
      <w:r w:rsidRPr="00722885">
        <w:rPr>
          <w:rFonts w:ascii="Times New Roman" w:hAnsi="Times New Roman"/>
          <w:color w:val="000000" w:themeColor="text1"/>
          <w:sz w:val="16"/>
          <w:szCs w:val="16"/>
        </w:rPr>
        <w:softHyphen/>
        <w:t>вили на рассмотрение ОГК НКТП. Руководство Наркомата первоначально прохладно отнеслось к проекту, так как еще весной положение с броневым прокатом средней и боль</w:t>
      </w:r>
      <w:r w:rsidRPr="00722885">
        <w:rPr>
          <w:rFonts w:ascii="Times New Roman" w:hAnsi="Times New Roman"/>
          <w:color w:val="000000" w:themeColor="text1"/>
          <w:sz w:val="16"/>
          <w:szCs w:val="16"/>
        </w:rPr>
        <w:softHyphen/>
        <w:t>шой толщины было катастрофическим. Однако к августу путем жесткой стандартизации, уменьшения номенклатуры проката и стопроцентного контроля выпускаемой продук</w:t>
      </w:r>
      <w:r w:rsidRPr="00722885">
        <w:rPr>
          <w:rFonts w:ascii="Times New Roman" w:hAnsi="Times New Roman"/>
          <w:color w:val="000000" w:themeColor="text1"/>
          <w:sz w:val="16"/>
          <w:szCs w:val="16"/>
        </w:rPr>
        <w:softHyphen/>
        <w:t>ции положение с 45-мм бронелистом выправилось. Но 60-мм листа, из которого планировалось штамповать башен</w:t>
      </w:r>
      <w:r w:rsidRPr="00722885">
        <w:rPr>
          <w:rFonts w:ascii="Times New Roman" w:hAnsi="Times New Roman"/>
          <w:color w:val="000000" w:themeColor="text1"/>
          <w:sz w:val="16"/>
          <w:szCs w:val="16"/>
        </w:rPr>
        <w:softHyphen/>
        <w:t>ные купола, все еще было недостаточно. Поэтому по согла</w:t>
      </w:r>
      <w:r w:rsidRPr="00722885">
        <w:rPr>
          <w:rFonts w:ascii="Times New Roman" w:hAnsi="Times New Roman"/>
          <w:color w:val="000000" w:themeColor="text1"/>
          <w:sz w:val="16"/>
          <w:szCs w:val="16"/>
        </w:rPr>
        <w:softHyphen/>
        <w:t>сованию с ОГК НКТП в сентябре проект был переработан на использование 45-мм листа, и в середине месяца матри</w:t>
      </w:r>
      <w:r w:rsidRPr="00722885">
        <w:rPr>
          <w:rFonts w:ascii="Times New Roman" w:hAnsi="Times New Roman"/>
          <w:color w:val="000000" w:themeColor="text1"/>
          <w:sz w:val="16"/>
          <w:szCs w:val="16"/>
        </w:rPr>
        <w:softHyphen/>
        <w:t>ца и пуансон для выпуска первой башни бьши готовы. 19 сентября из бронелиста средней твердости были отштампо</w:t>
      </w:r>
      <w:r w:rsidRPr="00722885">
        <w:rPr>
          <w:rFonts w:ascii="Times New Roman" w:hAnsi="Times New Roman"/>
          <w:color w:val="000000" w:themeColor="text1"/>
          <w:sz w:val="16"/>
          <w:szCs w:val="16"/>
        </w:rPr>
        <w:softHyphen/>
        <w:t>ваны первые три башенных купола, прозванные заводчана-ми «формочками». Эксперимент показал, что, вопреки вы</w:t>
      </w:r>
      <w:r w:rsidRPr="00722885">
        <w:rPr>
          <w:rFonts w:ascii="Times New Roman" w:hAnsi="Times New Roman"/>
          <w:color w:val="000000" w:themeColor="text1"/>
          <w:sz w:val="16"/>
          <w:szCs w:val="16"/>
        </w:rPr>
        <w:softHyphen/>
        <w:t>сказываниям скептиков, купола получились целыми, без разрывов и трещин. Термообработка не привела к значи</w:t>
      </w:r>
      <w:r w:rsidRPr="00722885">
        <w:rPr>
          <w:rFonts w:ascii="Times New Roman" w:hAnsi="Times New Roman"/>
          <w:color w:val="000000" w:themeColor="text1"/>
          <w:sz w:val="16"/>
          <w:szCs w:val="16"/>
        </w:rPr>
        <w:softHyphen/>
        <w:t xml:space="preserve">тельным деформациям, а главное — снарядостойкость штампованного купола оказалась куда лучшей, чем таковая у самой лучшей литой башни, несмотря на </w:t>
      </w:r>
      <w:r w:rsidRPr="00722885">
        <w:rPr>
          <w:rFonts w:ascii="Times New Roman" w:hAnsi="Times New Roman"/>
          <w:color w:val="000000" w:themeColor="text1"/>
          <w:sz w:val="16"/>
          <w:szCs w:val="16"/>
        </w:rPr>
        <w:lastRenderedPageBreak/>
        <w:t>меньшую тол</w:t>
      </w:r>
      <w:r w:rsidRPr="00722885">
        <w:rPr>
          <w:rFonts w:ascii="Times New Roman" w:hAnsi="Times New Roman"/>
          <w:color w:val="000000" w:themeColor="text1"/>
          <w:sz w:val="16"/>
          <w:szCs w:val="16"/>
        </w:rPr>
        <w:softHyphen/>
        <w:t>щину стенок. Стоимость новой башни оказалась на 5000 рублей выше, чем У литой, но производительность труда при штамповке была высочайшей. Механизмы для танка УЗТМ получал первоначально от УТЗ им. Сталина, позднее — от ЧКЗ. Первые 5 танков Т-34 УЗТМ сдал заказчику в сентябре 1942 г., до конца 1942 г. это количество составило 266 машин, из них со штампованной башней — 106. ЧКЗ, производивший прежде тяжелые танки КВ, на</w:t>
      </w:r>
      <w:r w:rsidRPr="00722885">
        <w:rPr>
          <w:rFonts w:ascii="Times New Roman" w:hAnsi="Times New Roman"/>
          <w:color w:val="000000" w:themeColor="text1"/>
          <w:sz w:val="16"/>
          <w:szCs w:val="16"/>
        </w:rPr>
        <w:softHyphen/>
        <w:t>ходился в более выгодном положении в плане выпуска Т-34 перед другими, ведь распоряжением наркома НКТП В. Малышева завод прорабатывал вопрос об освоении вы</w:t>
      </w:r>
      <w:r w:rsidRPr="00722885">
        <w:rPr>
          <w:rFonts w:ascii="Times New Roman" w:hAnsi="Times New Roman"/>
          <w:color w:val="000000" w:themeColor="text1"/>
          <w:sz w:val="16"/>
          <w:szCs w:val="16"/>
        </w:rPr>
        <w:softHyphen/>
        <w:t>пуска Т-34 еще осенью 1941 г. Но тогда время челябинских «тридцатьчетверок» еще не настало (10782).</w:t>
      </w:r>
    </w:p>
    <w:p w14:paraId="036BC5E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C21F7A" w14:textId="77777777" w:rsidR="0016638B" w:rsidRPr="00722885" w:rsidRDefault="0016638B"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Ближе к середине июля 1941 года Н.А. Астров, автор Т-40, и военный представитель завода №37 В.П. Окунев направили своё предложение лично Сталину. Тот инициативу рассмотрел, после чего дал команду изучить предложение наркому среднего машиностроения В.А. Малышеву (21348).</w:t>
      </w:r>
    </w:p>
    <w:p w14:paraId="523E47C9" w14:textId="77777777" w:rsidR="0016638B" w:rsidRPr="00722885" w:rsidRDefault="0016638B"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3A54DA43" w14:textId="77777777" w:rsidR="0016638B" w:rsidRPr="00722885" w:rsidRDefault="0016638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середине июля 1942 оба проекта САУ оказались на рассмотрении Артиллерийского Комитета ГАУ КА. В случае с ЗИК-10 финал истории был очевиден: решением №541500 Арткома ГАУ от 20 июля 1942 года, проект ЗИК-10 отклонили как не представляющий интереса. С завидным упрямством артиллеристы торпедировали У-11, именно это орудие являлось истинной причиной, почему ЗИС-10 забраковали. По поводу проекта ЗИК-11 прозвучала фраза о том, что он не доработан, но на самом деле всё прозаичнее. Дело в том, что еще раньше завода №8 свои проекты представило КБ завода №592. Речь идет о СГ-122М и СГ-122У. И если СГ-122У проучилась явно "топорной" (а что можно ожидать, если ГАУ требует не трогать У-11, в итоге ее воткнули прямо в танковой установке), то СГ-122М выглядела крайне перспективно. По большому счету СГ-122М и победила бы в необъявленном конкурсе, вот только имелась маленькая проблема. Завод №592 шасси Т-34 не был обеспечен, так что проект так и завис в виде бумаги. То же самое случилось и с парой ЗИК-10/ЗИК-11. В августе оба проекта доработали, но они так и зависли.</w:t>
      </w:r>
    </w:p>
    <w:p w14:paraId="644619EC" w14:textId="77777777" w:rsidR="0016638B" w:rsidRPr="00722885" w:rsidRDefault="0016638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недавнего времени ЗИК-10 и ЗИК-11 так и пылились в архивах, ибо УЗТМ за "свои" их не считал. Но вот ведь в чем загвоздка: ЗИК-11 стала важным звеном в истории создания СУ-122. 28 июля 1942 года вышло постановление ГКО №2120 "Об организации производства танков Т-34 на Уралмашзаводе и заводе №37 Наркомтанкопрома", в результате чего к концу сентября того же года УЗТМ стал производителем шасси для средних САУ. Спустя несколько недель, 19 октября 1942 года, вышло постановление ГКО №2429сс "О производстве опытных образцов артиллерийских самоходных установок". Так вот, на УЗТМ, по настоянию Котина, была создана специальная конструкторская группа во главе с Л.И. Горлицким. На следующий день в Свердловске прошло совещание с участием Котина, и там рассмотрели проект ЗИК-11, предоставленный заводом №8. Он и послужил базой для создания У-35. Правда, про это отчет УЗТМ за годы войны молчит, но факт остается фактом. По поводу того, что КБ завода №8 передало УЗТМ проект ЗИК-11, очень сильно расстроились в НКВ. Вот только без проекта Петрова и Безусова, а также направляющего пинка сверху со стороны Котина, не случилось бы СУ-122. А артиллеристы еще долго бы мусолили тему самоходов. Кирпич за торпедирование У-11 они, кстати говоря, таки получили. Когда в январе 1943 года выяснилось, что внутри серийной СУ-35 тесно, причем во многом из-за гаубицы М-30, тема У-11 вновь появилась. А позже У-11 превратилась в 85-мм орудие Д-5, родоначальницы большого семейства танковых и самоходных артиллерийских систем (20931).</w:t>
      </w:r>
    </w:p>
    <w:p w14:paraId="705D6DEA" w14:textId="77777777" w:rsidR="0016638B" w:rsidRPr="00722885" w:rsidRDefault="0016638B" w:rsidP="00722885">
      <w:pPr>
        <w:spacing w:after="0" w:line="240" w:lineRule="auto"/>
        <w:jc w:val="both"/>
        <w:rPr>
          <w:rFonts w:ascii="Times New Roman" w:hAnsi="Times New Roman"/>
          <w:color w:val="0070C0"/>
          <w:sz w:val="16"/>
          <w:szCs w:val="16"/>
        </w:rPr>
      </w:pPr>
    </w:p>
    <w:p w14:paraId="5893CA7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июля 1942 Г.Н.Флеров был вызван в Москву (384,106).</w:t>
      </w:r>
    </w:p>
    <w:p w14:paraId="38CC179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2EC0F"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53169E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DA67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июля 1942 вышел приказ наркома обороны, предписывающий шире использовать Ил-2 для бомбардировки и запретил боевые вылеты без полной бомбовой нагрузки (5,129). Потом вышел приказ по ВВС об использовании Ил-2 для борьбы с ДОТами (5,129).</w:t>
      </w:r>
    </w:p>
    <w:p w14:paraId="46BF59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D3C2D7" w14:textId="77777777" w:rsidR="00526171" w:rsidRPr="00722885" w:rsidRDefault="00526171" w:rsidP="00722885">
      <w:pPr>
        <w:pStyle w:val="ae"/>
        <w:spacing w:before="0" w:after="0"/>
        <w:jc w:val="both"/>
        <w:textAlignment w:val="baseline"/>
        <w:rPr>
          <w:color w:val="000000" w:themeColor="text1"/>
          <w:sz w:val="16"/>
          <w:szCs w:val="16"/>
        </w:rPr>
      </w:pPr>
      <w:r w:rsidRPr="00722885">
        <w:rPr>
          <w:color w:val="000000" w:themeColor="text1"/>
          <w:sz w:val="16"/>
          <w:szCs w:val="16"/>
        </w:rPr>
        <w:t>В середине июля 1942 командование сформированной в прошлом месяце 8-й воздушной армии спланировало первый серьезный удар по немецкому аэродрому. Самолеты-разведчики установили, что в недавно захваченном немцами Миллерово «скопилось» до 150 транспортных самолетов Ju-52. В штабе армии долго ломали голову над тем, для чего противнику столько транспортников на передовом аэродроме. В итоге решили, что они доставляют наступающим войскам оружие и боеприпасы.</w:t>
      </w:r>
    </w:p>
    <w:p w14:paraId="17E67039" w14:textId="77777777" w:rsidR="00526171" w:rsidRPr="00722885" w:rsidRDefault="00526171" w:rsidP="00722885">
      <w:pPr>
        <w:pStyle w:val="ae"/>
        <w:spacing w:before="0" w:after="0"/>
        <w:jc w:val="both"/>
        <w:textAlignment w:val="baseline"/>
        <w:rPr>
          <w:color w:val="000000" w:themeColor="text1"/>
          <w:sz w:val="16"/>
          <w:szCs w:val="16"/>
        </w:rPr>
      </w:pPr>
      <w:r w:rsidRPr="00722885">
        <w:rPr>
          <w:color w:val="000000" w:themeColor="text1"/>
          <w:sz w:val="16"/>
          <w:szCs w:val="16"/>
        </w:rPr>
        <w:t>Для удара решено было использовать Ил-2 из 206-й шад полковника В. А. Срывкина и 228-й шад полковника В. В. Степичева. Поддержать их должны были бомбардировщики Пе-2 из 150-го сбап подполковника И. С. Полбина, а прикрыть — истребители Як-1 из 434-го отдельного истребительного полка майора И. И. Клещева. Последние два полка входили в так называемую «1-ю особую авиагруппу при командовании ВВС», которой командовал лично сын вождя — 21-летний полковник Василий Сталин. Эта группа была попыткой создать элитное соединение, способное на равных сражаться с люфтваффе. Полки комплектовались только пилотами и экипажами, имевшими боевой опыт и уже отличившимися в боях (19522).</w:t>
      </w:r>
    </w:p>
    <w:p w14:paraId="7E6C046F" w14:textId="77777777" w:rsidR="00526171" w:rsidRPr="00722885" w:rsidRDefault="00526171" w:rsidP="00722885">
      <w:pPr>
        <w:pStyle w:val="ae"/>
        <w:spacing w:before="0" w:after="0"/>
        <w:jc w:val="both"/>
        <w:textAlignment w:val="baseline"/>
        <w:rPr>
          <w:color w:val="000000" w:themeColor="text1"/>
          <w:sz w:val="16"/>
          <w:szCs w:val="16"/>
        </w:rPr>
      </w:pPr>
    </w:p>
    <w:p w14:paraId="10F30C57"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572D1C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A686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 7 июля 1942 потерпели аварии новенькие бомбардировщики Ту-2. Недостатки тормозной системь неоднократно приводили к неуправляемому развороту на посадке. Экипажи (летчиков Котякова и Бакина) не пострадали. Например, у майора В.Д. Бакина машину № 100303 вывернуло вправо, что привело к поломке стойки шасси. Бывали случаи, когда бомбардировщик делал на поле до двух кругов и оставался цел. Но чаще ломали шасси, винты, законцовки крыла, мяли мотогондолы. Самолет летчика Полевого после посадки с разворотом вспыхнул; экипаж успел выбраться и убежать.</w:t>
      </w:r>
    </w:p>
    <w:p w14:paraId="2786F2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Дефекты серийных Ту-2 вызвали распоряжение командования ВВС прекратить приемку бомбардировщиков. НКАП направил на завод авторитетную комиссию во главе с известным авиаконструктором Н.Н. Поликарповым. Члены комиссии согласились с заводскими испытателями в том, что причиной разворотов на посадке является несинхронная работа тормозов правого и левого колес. Предложено было заменить тормозную гидросистему, скопированную туполевцами по настоянию ВВС с немецкого бомбардиров- . щика Ju 88, на более надежную, применявшуюся на самолетах фирмы "Дуглас". В качестве же временного решения попробовали на пробеге стопорить хвостовое колесо. На Ту-2 имелся автоматический стопор, который должен был фиксировать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колеса. Управляемость машины на пробеге значительно улучшилась.</w:t>
      </w:r>
    </w:p>
    <w:p w14:paraId="7F13EA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Еще одной серьезной проблемой являлись двигатели. Моторы М-82, хотя и выпускались серийно, еще оставались достаточно "сырыми". На высоте более 6000 м они недодавали мощность, страдали значительными вибрациями и расходовали много масла. Хотя за это отвечал их конструктор А.Д. Швецов и завод № 19, дефекты мотоустановки сильно сказывались на летных и эксплуатационных характеристиках Ту-2.</w:t>
      </w:r>
    </w:p>
    <w:p w14:paraId="3A051FF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комиссия подвергла критике чрезмерный вес серийных машин. Весовая отдача у них при нормальной бомбовой нагрузке не превышала 27,5%, в то время как у других самолетов такого же класса она составляла около 30%. Это была плата за возможность бомбить с крутого пикирования.</w:t>
      </w:r>
    </w:p>
    <w:p w14:paraId="71A783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в целом Поликарпов и его коллеги поддержали Туполева. В Москву отправили документ, в котором, в частности, говорилось: "... самолет Ту-2 по своим летно-тактическим данным превосходит современные советские и заграничные бомбардировщики". Комиссия сочла, что при устранении основных дефектов самолет сможет успешно выполнять боевые задачи.</w:t>
      </w:r>
    </w:p>
    <w:p w14:paraId="4261E2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Приемка бомбардировщиков возобновилась. Реагируя на требования военных, завод вносил изменения в строящиеся бомбардировщики. С 5-й серии (июль - август 1942 г.) внедрили тормоза типа "Дуглас", окончательно снявшие проблемы с неуправляемым разворотом на посадке. Одновременно изменили управление пуском реактивных снарядов. Ранее стрельба РС-82 велась с помощью бомбосбрасывателя ЭСБР-6, переключавшегося на другой режим. Бомбы при этом сбрасывать было нельзя. С 5-й серии пуск ракет осуществлялся независимым устройством.</w:t>
      </w:r>
    </w:p>
    <w:p w14:paraId="403347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Часть бомбардировщиков перевооружили. Во всяком случае, на фронт попали омские самолеты либо с двумя, либо с тремя 12,7-мм пулеметами УБТ. Поскольку на установке ТСС-1 этот пулемет не мог быть смонтирован, то, по-видимому, вариант с двумя УБТ предусматривал один пулемет на несколько доработанной установке БУШ у штурмана и второй - на люковой ЛУ-УБТ. При этом на ТСС-1 оставался ШКАС. Вообще Туполев рассматривал несколько возможных вариантов перевооружения Ту-2, в том числе один - с установкой четырех пусковых балок для РС-82 на фюзеляже для стрельбы назад.</w:t>
      </w:r>
    </w:p>
    <w:p w14:paraId="0A41C4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Занятие немцами значительной части территории СССР привело к сокращению производства алюминия в стране. Потребности же в нем резко возросли. Алюминий в листах и чушках везли из США и Канады, но его все равно не хватало. Всем самолетостроительным конструкторским бюро было предложено поискать возможности применения узлов из дерева. Это сократило бы расход дефицитного алюминия и дало возможность привлечь к постройке самолетов деревообрабатывающие предприятия. 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1817C4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51D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закончились заводские испытания Як-7ДИ, которые проходили с 26 июня 1942 и летал П.Я.Федрови сделав 13 полетов продолжительностью 10:20. Ви был Н.К.Скржинский, т - Ф.З.Сбитнев. Выполнили 15 полетов продолжительностью 13:15. На гос. испытания не передавали и работы прекратили и по указанию А.С.Я. он был переведен в цех для модификации в Як-7ДИ (65,105).</w:t>
      </w:r>
    </w:p>
    <w:p w14:paraId="0A9840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DEAAF"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16 июля в 1942 году завершились (с 26 июня) заводские испытания истребителя </w:t>
      </w:r>
      <w:hyperlink r:id="rId24" w:tgtFrame="_blank" w:history="1">
        <w:r w:rsidRPr="00722885">
          <w:rPr>
            <w:rFonts w:ascii="Times New Roman" w:hAnsi="Times New Roman"/>
            <w:color w:val="000000" w:themeColor="text1"/>
            <w:sz w:val="16"/>
            <w:szCs w:val="16"/>
          </w:rPr>
          <w:t xml:space="preserve">«Як-7ДИ». </w:t>
        </w:r>
      </w:hyperlink>
      <w:r w:rsidRPr="00722885">
        <w:rPr>
          <w:rFonts w:ascii="Times New Roman" w:hAnsi="Times New Roman"/>
          <w:color w:val="000000" w:themeColor="text1"/>
          <w:sz w:val="16"/>
          <w:szCs w:val="16"/>
        </w:rPr>
        <w:t>Было выполнено 13 полетов общей продолжительностью 10 ч 20 мин. 18 июля (по 5 августа) 1942 года начались государственные испытания (60 полетов, 40 ч 15 мин) (14954).</w:t>
      </w:r>
    </w:p>
    <w:p w14:paraId="6120E11D"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4568EF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вышел приказ N 448сс НКАП во исполнение Постановления ГОКО N 1903сс от 9 июня 1942 о выпуске малой серии БИ. Сначала приказ проименовал несколько заводов, а более поздний - сосредоточил почти все работы на 381 в Нижнем Тагиле (1632,265).</w:t>
      </w:r>
    </w:p>
    <w:p w14:paraId="65B6E7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8C92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Нач. 11 ГУ И.В.Куликов подготовил для Зам. НКАП П.В.Дементьева Справку № 389 в сопровождении на подпись проекта приказа по вопросу изготовления учебных планеров (N 543с от 20 июля) для парашютной подготовки А-7 (7 местный) и Г-11 (11 местный). Планеры были заказаны ВС ВДВ КА 23 июня 1942... (2503,10).</w:t>
      </w:r>
    </w:p>
    <w:p w14:paraId="7BA938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033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вышел приказ НКАП № 531с:</w:t>
      </w:r>
    </w:p>
    <w:p w14:paraId="0AF253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исполнение распоряжения СНК от 5 июля 1942 № 12441-рс:</w:t>
      </w:r>
    </w:p>
    <w:p w14:paraId="0D8528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Объединить в г. Саратове з-ды 167 и 449, изготавливающие деревянные винты и деревянные лопасти к металлическим винтам в один з-д, присвоив ему номер № 167</w:t>
      </w:r>
    </w:p>
    <w:p w14:paraId="487A1D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З-д № 167 подчинить 14 ГУ</w:t>
      </w:r>
    </w:p>
    <w:p w14:paraId="0FBF359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Шахурин (1569, 3).</w:t>
      </w:r>
    </w:p>
    <w:p w14:paraId="357803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8F2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вышел приказ НКАП № 533с:</w:t>
      </w:r>
    </w:p>
    <w:p w14:paraId="50111D8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постановлением ГОКО № 1868сс от 3 июня 1942:</w:t>
      </w:r>
    </w:p>
    <w:p w14:paraId="3BA737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Организованному на базе ф-ла з-да 145 з-ду присвоить № 455 и впредь именовать ГСЗ № 455.</w:t>
      </w:r>
    </w:p>
    <w:p w14:paraId="18FA10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Подчинить з-д 455 2 ГУ</w:t>
      </w:r>
    </w:p>
    <w:p w14:paraId="4C503FB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Шахурин (1569, 26-27).</w:t>
      </w:r>
    </w:p>
    <w:p w14:paraId="3DA98F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98F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16 июля 1942 г. приказом НКАП № 533с в соответствии с постановлением ГОКО № 1868сс от 03.07.1942 г. заводу-дублеру № 145 присвоено наименование ГС завод № 455 в системе 2ГУ НКАП. </w:t>
      </w:r>
    </w:p>
    <w:p w14:paraId="7D0E8EE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328D0F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1943-46 г. на заводе действовало ОКБ-455 НКАП гл. конструктора И.И. Картукова. </w:t>
      </w:r>
    </w:p>
    <w:p w14:paraId="688C3A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66BA2F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w:t>
      </w:r>
    </w:p>
    <w:p w14:paraId="0FCAD8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283ссоп от 25.04.1955 г. завод № 455 с 1.04.1955 г. передан из 2ГУ в 6ГУ. Началось освоение производства УРВВ, а позднее- и УРВП. </w:t>
      </w:r>
    </w:p>
    <w:p w14:paraId="73CE34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Велись работы по ракете Р-6 (К-53) с ТГСН; планировалось (но не было осуществлено) производство К-33; работы по К-5В (1960 г.). </w:t>
      </w:r>
    </w:p>
    <w:p w14:paraId="48C0CF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27E7C9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 </w:t>
      </w:r>
    </w:p>
    <w:p w14:paraId="0217620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5618ED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(2002 г.)- 2500 чел.</w:t>
      </w:r>
    </w:p>
    <w:p w14:paraId="155585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(1942 г.-)- Н.К. Сорокин, (-05.1943-03.1946 г.-)- Горбунов, (конец 1946 г.-)- М.П. Аржаков (одновременно был руководителем строительства завода), (-1995 г.)- С.П. Яковлев.</w:t>
      </w:r>
    </w:p>
    <w:p w14:paraId="0CE537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 (2002 г.)- Ю.Д. Новиков. </w:t>
      </w:r>
    </w:p>
    <w:p w14:paraId="509C4C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Научный директор (2002 г.)- Ю.Д. Новиков. Технический директор (2002 г.)- И.Д. Тесля.</w:t>
      </w:r>
    </w:p>
    <w:p w14:paraId="1734C3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(1946 г.-)- М.И. Муромцев.</w:t>
      </w:r>
    </w:p>
    <w:p w14:paraId="5E42F7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Работали: Горбунов, (начало 1950-х)- Кузьмин. </w:t>
      </w:r>
    </w:p>
    <w:p w14:paraId="4A2ED8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(1974 г.)- В.Г. Кореньков.</w:t>
      </w:r>
    </w:p>
    <w:p w14:paraId="023B55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ВАП-6М, ВАП-500 (1942-), ВАП-100, ВАП-250 (ВОВ); УРВВ: изд. "М" (РС-1-У) (1956-57), "И" (РС-2У) (1957-59), "ИС" (РС-2-УС) (1959-), "24" (Р-8М) (1959-), К-13, Р-98, К-55, К-40 (-1991), К-80 (Р-4); УРВП: Х-66, Х-23, Х-27, Х-25, Х-25М, Х-31, Х-35; ЗУР: 3М9; гладильные машины «Калинка».</w:t>
      </w:r>
    </w:p>
    <w:p w14:paraId="395BCF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ГС Завод № 455 НКАП, МАП, Костинский машиностроительный завод (КМЗ), Калининградский машиностроительный завод (КМЗ), НПО «Стрела», В-2704, КПКО «Стрела» </w:t>
      </w:r>
    </w:p>
    <w:p w14:paraId="1234EF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Костино Московской обл. ст. Болшево</w:t>
      </w:r>
    </w:p>
    <w:p w14:paraId="13C82A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141070 г. Королев Московской обл. ул. Ильича, 7</w:t>
      </w:r>
    </w:p>
    <w:p w14:paraId="012291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завода № 455, ОКБ-455 НКАП гл. конструктора И.И. Картукова</w:t>
      </w:r>
    </w:p>
    <w:p w14:paraId="26243F6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Костино Московской обл.</w:t>
      </w:r>
    </w:p>
    <w:p w14:paraId="57A005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w:t>
      </w:r>
    </w:p>
    <w:p w14:paraId="310259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148с от 22.03.1946 г. ОКБ-455 МАП гл. конструктора И.И. Картукова в полном составе переведено на вновь образованный Завод № 81 МАП. </w:t>
      </w:r>
    </w:p>
    <w:p w14:paraId="423B6E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завода № 455, ОКБ-455 МАП, ОКБ "Звезда", А-3497</w:t>
      </w:r>
    </w:p>
    <w:p w14:paraId="7D1A698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141070 г. Королев Московской обл., ул. Ильича, 7 тел. 519-55-01</w:t>
      </w:r>
    </w:p>
    <w:p w14:paraId="795084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образовано на заводе № 455 в 1956 г. для освоения производства РС-1-У (изд."М"). На базе К-5 и К-8 создана Х-66, на базе РС-2-УС – К-55.</w:t>
      </w:r>
    </w:p>
    <w:p w14:paraId="20F3CA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1966 г.- ОКБ-455 МАП. Головное предприятие по разработке тактических УРВП.</w:t>
      </w:r>
    </w:p>
    <w:p w14:paraId="43AB24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"Звезда-Стрела". </w:t>
      </w:r>
    </w:p>
    <w:p w14:paraId="17B18F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(1956-59 г.-)- М.Е. Едидович, Н.Т. Пикот.</w:t>
      </w:r>
    </w:p>
    <w:p w14:paraId="11CA712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(1966-73 г.)- Ю.Н. Королев, (1974-83 г.)- В.Н. Бугайский, (1983-86 г.)- В.Г. Голушко, (25.11.1986-94 г.)- Г.И. Хохлов (до этого- гл. конструктор УРВП в МКБ «Вымпел»), (1994-99 г.-)- Ю.Д. Новиков.</w:t>
      </w:r>
    </w:p>
    <w:p w14:paraId="1E63567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(1970-е)- В.Г. Кореньков (далее работал в НИИАС), (-1994 г.)- Ю.Д. Новиков.</w:t>
      </w:r>
    </w:p>
    <w:p w14:paraId="63F995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(1956 г.-)- М.Е. Едидович (изд. «М»), С.П. Яковлев (Х-35).</w:t>
      </w:r>
    </w:p>
    <w:p w14:paraId="78F4F9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УРВП: К-5 (РС-1У), Х-66 (пнв в 1968 г.), Х-23 (пнв в 1973 г.), -М, -Л, Х-27ПС (1974 г.), Х-25 (1976 г.), -Р, -МР, -Л, -МЛ, -МЛП, -П, -МП, -ПС, -МТ, -МТЛ, -МПУ, Х-31А (пнв в 1989 г.), -П (пнв в 1988 г.), Х-35 (пнв в 1987 г.), Х-35У (1983 г.), Х-36; ККР: «Уран» 3М24 (пнв в 1987 г.)58; высотная мишень ИЦ-59В (1960-е).</w:t>
      </w:r>
    </w:p>
    <w:p w14:paraId="69267B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Научно-производственный центр (ГНПЦ) "Звезда-Стрела"</w:t>
      </w:r>
    </w:p>
    <w:p w14:paraId="046775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141070 г. Калининград, г. Королев Московской обл. ул. Ильича, 7 тел. 519-20-02</w:t>
      </w:r>
    </w:p>
    <w:p w14:paraId="10198B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в начале 1995 г. обьединеним ОКБ "Звезда" и Калининградского машиностроительного завода "Стрела". В 02.1998 г. в ГНПЦ вошло ОКБ ДУ «Пламя».</w:t>
      </w:r>
    </w:p>
    <w:p w14:paraId="3EFFA1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(1995-2002 г.-)- С.П. Яковлев.</w:t>
      </w:r>
    </w:p>
    <w:p w14:paraId="6FF17B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 Конструктор (2002 г.)- С.П. Яковлев.</w:t>
      </w:r>
    </w:p>
    <w:p w14:paraId="1E0A34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ОАО «Корпорация «Тактическое ракетное вооружение» (ТРВ) РАКА</w:t>
      </w:r>
    </w:p>
    <w:p w14:paraId="087CD0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141070 г. Королев Московской обл. ул. Ильича, 7 тел. 542-57-09 www.ktrv.ru</w:t>
      </w:r>
    </w:p>
    <w:p w14:paraId="375525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Создана 24.01.2002 г. на базе головного предприятия «Звезда-Стрела». Кроме него, в корпорацию вошли еше 5 предприятий, в т.ч. ГНПП «Регион». В соответствии с Указом Президента № 591 от 9.05.2004 г. и распоряжением правительства № 396 от 20.07.2004 г. определено дальнейшее развитие Корпорации, в составе которой стало 14 предприятий, в т.ч. ГосМКБ «Радуга», ГосМКБ «Вымпел», КБМ, завод «Красный гидропресс». По решению правительства № 22-р от 9.01.2004 г. и Указу Президента РФ № 1009 от 4.08.2004 г. вошло в число стратегических оборонных предприятий.</w:t>
      </w:r>
    </w:p>
    <w:p w14:paraId="587DAD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производство, поставка и модернизация комплексов УР.</w:t>
      </w:r>
    </w:p>
    <w:p w14:paraId="6883D97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(2003-05 г.-)- Б.В. Обносов.</w:t>
      </w:r>
    </w:p>
    <w:p w14:paraId="25399B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совета директоров (2005 г.)- С. Приходько (10776).</w:t>
      </w:r>
    </w:p>
    <w:p w14:paraId="2E2048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817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 во исполнение приказа №533 вновь организованному заводу-дублеру № 145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w:t>
      </w:r>
    </w:p>
    <w:p w14:paraId="10D34B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Разработка выливных приборов типа ВАП шла на заводском ОКБ гл.к. И.И.Картукова. Коллектив работал здесь с 1943 г., когда ОКБ-145 И.И.Картукова переведено </w:t>
      </w:r>
      <w:r w:rsidRPr="00722885">
        <w:rPr>
          <w:rFonts w:ascii="Times New Roman" w:hAnsi="Times New Roman"/>
          <w:color w:val="000000" w:themeColor="text1"/>
          <w:sz w:val="16"/>
          <w:szCs w:val="16"/>
        </w:rPr>
        <w:lastRenderedPageBreak/>
        <w:t xml:space="preserve">из эвакуации в г.Костино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г.Москве, куда было переведено ОКБ гл.к. И.И.Картукова. </w:t>
      </w:r>
    </w:p>
    <w:p w14:paraId="150F123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к. 1946 г. директором и руководителем строительства завода №455 назначен М.П.Аржаков. Началось расширение работ по установкам авиавооружения. </w:t>
      </w:r>
    </w:p>
    <w:p w14:paraId="7E3BC58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1.4.55 г. завод №455 передан из 2ГУ в 6ГУ (приказ №283 от 25.4.55 г.). В связи с этим в 1956 г. при заводе образовано СКБ для освоения производства ракет РС-1-У (изд."М"). На базе ракет типа К-5 и К-8 разработана ракета Х-66, а на базе РС-2УС - ракета К-55. Далее созданы Х-23, Х-27, Х-25, Х-25М, Х-31А и Х-31П, Х-35. С образованием конструкторского бюро руководителем с правами гл.к. по серии (изд."М") стал М.Е.Едидович, далее его сменил Н.Т.Пикот (начальник и гл.к.). Далее эти должности занимал Ю.Н.Королев, В.Н.Бугайский (с 1974 г. по 1983 г.). Зам. гл.к. был В.Г.Кореньков, он ввел модульность в Х-25М. С 1983 г. гл.к. стал В.Г.Голушко (по 1986 г.), далее в 1986-94 гг. гл.к. ОКБ являлся Г.И.Хохлов, а с к. 1994 г. гл.к. стал Ю.Д.Новиков (ранее зам. гл.к.). Завод проводил работы по установкам вооружения конструкции ОКБ-134 и ОКБ-476. Осуществлял с 1956 г. производство ракет - изд."М" (РС-1-У, в 1956-57гг.), изд."И" (РС-2-У, в 1957-59гг.), изд."ИС"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56152F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объединением ”Стрела”.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КПО ”Стрела” в качестве самостоятельного юридического лица было выделено ОКБ ”Звезда”. Далее из объединения вышли и др. предприятия. </w:t>
      </w:r>
    </w:p>
    <w:p w14:paraId="05CBED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С.П.Яковлев, а гл.к. остался Ю.Д.Новиков. </w:t>
      </w:r>
    </w:p>
    <w:p w14:paraId="7B56F9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ГНПЦ ”Звезда-Стрела” и преобразование его в ОАО ”Корпорация ”Тактическое ракетное вооружение”. В состав Корпорации также вошли следующие предприятия: ОАО ТМКБ ”Союз”, ОАО ”Омский завод ”Автоматика”, ОАО ”УПКБ ”Деталь”, ОАО ”МКБ ”Искра” им. И.И. Картукова”, ОАО ”Завод ”Красный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ГосМКБ "Вымпел", ГосМКБ "Радуга", ГНПП "Регион", КБ машиностроения (Коломна). </w:t>
      </w:r>
    </w:p>
    <w:p w14:paraId="52BF72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Выпускаемая продукция в текущее время: Х-35Э, Х-31А, Х-31П, Х-25МПУ, Х-25МЛ. </w:t>
      </w:r>
    </w:p>
    <w:p w14:paraId="1599BF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Генеральный директор корпорации - Б.В.Обносов. </w:t>
      </w:r>
    </w:p>
    <w:p w14:paraId="4653464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Корпорация ”Тактическое ракетное вооружение”, ОАО (ОАО "КТРВ") </w:t>
      </w:r>
    </w:p>
    <w:p w14:paraId="03BC94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748954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538703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7D95AD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3F1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 приказом № 533с в соответствии с пост. ГКО № 1868сс от 4.06.1942 г. заводу-дублеру завода № 145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  г. Королев Московской обл. ул. Ильича, 7 тел. 519-20-02/) присвоено наименование ГС завод № 455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  г. Королев Московской обл. ул. Ильича, 7 тел. 519-20-02/) в системе 2ГУ НКАП.</w:t>
      </w:r>
    </w:p>
    <w:p w14:paraId="4DBE018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0D4E56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1943-46 г. на заводе действовало ОКБ-455 НКАП гл. конструктора И.И. Картукова.</w:t>
      </w:r>
    </w:p>
    <w:p w14:paraId="115BB2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05CB3B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 В 1946 г. заводу поставлено 324 трофейных металлорежущих станка.</w:t>
      </w:r>
    </w:p>
    <w:p w14:paraId="60BB2F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Выпускал бомбодержатели, авиационные турели для самолетов Ту-4, Ил-28, М-4, ЗМ, вертолетов Ми-4.</w:t>
      </w:r>
    </w:p>
    <w:p w14:paraId="0827D0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283сс/оп от 25.04.1955 г. завод № 455 с 1.04.1955 г. передан из 2ГУ в 6ГУ. Началось освоение производства УРВВ, а позднее- и УРВП.</w:t>
      </w:r>
    </w:p>
    <w:p w14:paraId="7A7201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1956 г. начато освоение производства первых отечественных УРВВ РС-1-У.</w:t>
      </w:r>
    </w:p>
    <w:p w14:paraId="02B79E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Велись работы по ракете Р-6 (К-53) с ТГСН; планировалось (но не было осуществлено) производство К-33; работы по К-5В (1960 г.).</w:t>
      </w:r>
    </w:p>
    <w:p w14:paraId="5950D4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08.1957 г. завод № 455- в ведении 2ГУ МАП. По приказу МАП № 100 от 12.03.1966 г. и приказу по заводу № 455 от 26.07.1966 г. на базе СКБ завода создано самостоятельное ОКБ-455 МАП.</w:t>
      </w:r>
    </w:p>
    <w:p w14:paraId="0CEE92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1972 г. на КМЗ выпущена первая партия (-150 шт.) мини-ЭВМ «Электроника-ЮО».</w:t>
      </w:r>
      <w:r w:rsidRPr="00722885">
        <w:rPr>
          <w:rFonts w:ascii="Times New Roman" w:hAnsi="Times New Roman"/>
          <w:color w:val="000000" w:themeColor="text1"/>
          <w:sz w:val="16"/>
          <w:szCs w:val="16"/>
          <w:vertAlign w:val="superscript"/>
        </w:rPr>
        <w:t>40</w:t>
      </w:r>
    </w:p>
    <w:p w14:paraId="37735B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5F986D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w:t>
      </w:r>
    </w:p>
    <w:p w14:paraId="75B837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3727733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(2002 г.)- 2500 чел.</w:t>
      </w:r>
    </w:p>
    <w:p w14:paraId="7F7B951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(1942 г.-)- Н.К. Сорокин, (-05.1943-03.1946 г.-)- Горбунов, (1946-74 г.)- М.П. Аржаков, (1974-87 г.)- В.А. Беляков,</w:t>
      </w:r>
      <w:r w:rsidRPr="00722885">
        <w:rPr>
          <w:rFonts w:ascii="Times New Roman" w:hAnsi="Times New Roman"/>
          <w:color w:val="000000" w:themeColor="text1"/>
          <w:sz w:val="16"/>
          <w:szCs w:val="16"/>
          <w:vertAlign w:val="superscript"/>
        </w:rPr>
        <w:t>143</w:t>
      </w:r>
      <w:r w:rsidRPr="00722885">
        <w:rPr>
          <w:rFonts w:ascii="Times New Roman" w:hAnsi="Times New Roman"/>
          <w:color w:val="000000" w:themeColor="text1"/>
          <w:sz w:val="16"/>
          <w:szCs w:val="16"/>
        </w:rPr>
        <w:t xml:space="preserve"> (1987-90 г.)- В.А. Шаповалов. Гендиректор (1990-94 г.)- Н.С. Жучков, (-1995 г.)- С.П. Яковлев.</w:t>
      </w:r>
    </w:p>
    <w:p w14:paraId="43136F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строительства (конец 1946 г.-)- М.П. Аржаков. Научный директор (2002 г.)- Ю.Д. Новиков. Технический директор (2002 г.)- И.Д. Тесля. Гл. инженер (1946 г.-)- М.И. Муромцев. Гл. конструктор (2002 г.)- Ю.Д. Новиков. Зам. гл. конструктора (1974 г.)- В. Г. Кореньков.</w:t>
      </w:r>
    </w:p>
    <w:p w14:paraId="5B9E857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химвооружение: ВАП-6М, ВАП-500 (1942-), ВАП-100, ВАГ1-250 (ВОВ);</w:t>
      </w:r>
      <w:r w:rsidRPr="00722885">
        <w:rPr>
          <w:rFonts w:ascii="Times New Roman" w:hAnsi="Times New Roman"/>
          <w:iCs/>
          <w:color w:val="000000" w:themeColor="text1"/>
          <w:sz w:val="16"/>
          <w:szCs w:val="16"/>
        </w:rPr>
        <w:t xml:space="preserve"> УРВБ:</w:t>
      </w:r>
      <w:r w:rsidRPr="00722885">
        <w:rPr>
          <w:rFonts w:ascii="Times New Roman" w:hAnsi="Times New Roman"/>
          <w:color w:val="000000" w:themeColor="text1"/>
          <w:sz w:val="16"/>
          <w:szCs w:val="16"/>
        </w:rPr>
        <w:t xml:space="preserve"> изд. «М» (РС- 1-У) (1956-57), «И» (РС-2У) (1957-59), «ИС» (РС-2-УС) (1959-), «24» (Р-8М) (1959-), К-13, Р-98, К-55, К-40 (- 1991), К-80 (Р-4);</w:t>
      </w:r>
      <w:r w:rsidRPr="00722885">
        <w:rPr>
          <w:rFonts w:ascii="Times New Roman" w:hAnsi="Times New Roman"/>
          <w:iCs/>
          <w:color w:val="000000" w:themeColor="text1"/>
          <w:sz w:val="16"/>
          <w:szCs w:val="16"/>
        </w:rPr>
        <w:t xml:space="preserve"> УРВП:</w:t>
      </w:r>
      <w:r w:rsidRPr="00722885">
        <w:rPr>
          <w:rFonts w:ascii="Times New Roman" w:hAnsi="Times New Roman"/>
          <w:color w:val="000000" w:themeColor="text1"/>
          <w:sz w:val="16"/>
          <w:szCs w:val="16"/>
        </w:rPr>
        <w:t xml:space="preserve"> Х-66 (1968-), Х-23, Х-27ПС, Х-25, Х-25М, -25МЛ, -25МП, -25МПУ, Х-31А, -31П, Х-35; </w:t>
      </w:r>
      <w:r w:rsidRPr="00722885">
        <w:rPr>
          <w:rFonts w:ascii="Times New Roman" w:hAnsi="Times New Roman"/>
          <w:iCs/>
          <w:color w:val="000000" w:themeColor="text1"/>
          <w:sz w:val="16"/>
          <w:szCs w:val="16"/>
        </w:rPr>
        <w:t>ЗУР:</w:t>
      </w:r>
      <w:r w:rsidRPr="00722885">
        <w:rPr>
          <w:rFonts w:ascii="Times New Roman" w:hAnsi="Times New Roman"/>
          <w:color w:val="000000" w:themeColor="text1"/>
          <w:sz w:val="16"/>
          <w:szCs w:val="16"/>
        </w:rPr>
        <w:t xml:space="preserve"> ЗМ9; мишень МА-31;</w:t>
      </w:r>
    </w:p>
    <w:p w14:paraId="6B741D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мини-ЭВМ «Электроника-100» (1972)- около150 шт.; гладильные машины «Калинка».</w:t>
      </w:r>
      <w:r w:rsidRPr="00722885">
        <w:rPr>
          <w:rFonts w:ascii="Times New Roman" w:hAnsi="Times New Roman"/>
          <w:color w:val="000000" w:themeColor="text1"/>
          <w:sz w:val="16"/>
          <w:szCs w:val="16"/>
          <w:vertAlign w:val="superscript"/>
        </w:rPr>
        <w:t>69</w:t>
      </w:r>
    </w:p>
    <w:p w14:paraId="60ACB6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завода № 455, ОКБ-455 НКАП гл. конструктора И.И. Картукова / г. Костино Московской обл./</w:t>
      </w:r>
    </w:p>
    <w:p w14:paraId="5CEEE9F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В 01.1945 г. - в 7ГУ. Здесь продолжены работы по химическим боеприпасам. Создан химический разовый прибор ХАРП-500- 300А для ВМФ. С 1946 г.- работы по пиропатронам для катапультных кресел летчиков по типу Не-162 и Не-219.</w:t>
      </w:r>
    </w:p>
    <w:p w14:paraId="5492616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148с от 22.03.1946 г. ОКБ-455 МАП гл. конструктора И.И. Картукова в полном составе переведено на вновь образованный Завод № 81 МАП.</w:t>
      </w:r>
    </w:p>
    <w:p w14:paraId="0EAE86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завода № 455, ОКБ-455 МАП, ОКБ «Звезда», А-3497 /141070  г. Королев Московской обл. ул. Ильича, 7 тел. 519-55-01/</w:t>
      </w:r>
    </w:p>
    <w:p w14:paraId="58579D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образовано на заводе № 455 в 1956 г. для освоения производства первой отечественной УРВВ РС-1У (изд. «М»), В результате модернизации создана РС-2УС. На базе К-5 и К-8 создана Х-66, пост. № 325-129 от 13.05.1968 г. она пнв. На базе РС-2-УС создана К-55.</w:t>
      </w:r>
    </w:p>
    <w:p w14:paraId="34530EA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МАП № 100 от 12.03.1966 г. и приказу по заводу № 455 от 26.07.1966 г. на базе СКБ завода создано самостоятельное ОКБ-455 МАП. По приказу МАП № 459 от 2.11.1976 г. ОКБ-455 переименовано в ОКБ «Звезда». Головное предприятие по разработке тактических УРВП.</w:t>
      </w:r>
    </w:p>
    <w:p w14:paraId="7164F56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ВПК № 79 от 7.04.1975 г. началась разработка УР Х-31П. В 02.1978 г. начата разработка ПКР X- 31А.</w:t>
      </w:r>
    </w:p>
    <w:p w14:paraId="492846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СМ СССР от 16.03.1983 г. задана разработка ПКР Х-35Э.</w:t>
      </w:r>
    </w:p>
    <w:p w14:paraId="2929E4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«Звезда-Стрела».</w:t>
      </w:r>
    </w:p>
    <w:p w14:paraId="472294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(2006 г.): модификации УР Х-25МАЭ с активной ГСН, Х-25МСЭ с бортовым комплексом космической навигации.</w:t>
      </w:r>
    </w:p>
    <w:p w14:paraId="14A0D3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(1956-59 г.-)- М.Е. Едидович, Н.Т. Пикот, (-1978 г.)- В.А. Шаповалов.</w:t>
      </w:r>
    </w:p>
    <w:p w14:paraId="78E63F8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(1966-73(1) г.)- Ю.Н. Королев, (1974(1)-83 г.)- В.Н. Бугайский, (1983-86 г.)- В. Г. Галушко, (25.11.1986-94 г.)-  Г.И. Хохлов {22.10.1926-}, (1994-99 г.)- Ю.Д. Новиков, (1999 г.-)- А.И. Вельский. Зам. гл. конструктора (1970-е)- В. Г. Кореньков (далее работал в НИИАС), (-1994 г.)- Ю.Д. Новиков. Гл. конструкторы (1956 г.-)- М.Е. Едидович (изд. «М»), С.П. Яковлев (Х-35).</w:t>
      </w:r>
    </w:p>
    <w:p w14:paraId="342140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w:t>
      </w:r>
      <w:r w:rsidRPr="00722885">
        <w:rPr>
          <w:rFonts w:ascii="Times New Roman" w:hAnsi="Times New Roman"/>
          <w:color w:val="000000" w:themeColor="text1"/>
          <w:sz w:val="16"/>
          <w:szCs w:val="16"/>
        </w:rPr>
        <w:t xml:space="preserve"> УРВВ: К-5 (РС-1У, пнв 17.05.1956 г.);</w:t>
      </w:r>
      <w:r w:rsidRPr="00722885">
        <w:rPr>
          <w:rFonts w:ascii="Times New Roman" w:hAnsi="Times New Roman"/>
          <w:iCs/>
          <w:color w:val="000000" w:themeColor="text1"/>
          <w:sz w:val="16"/>
          <w:szCs w:val="16"/>
        </w:rPr>
        <w:t xml:space="preserve"> УРВП:</w:t>
      </w:r>
      <w:r w:rsidRPr="00722885">
        <w:rPr>
          <w:rFonts w:ascii="Times New Roman" w:hAnsi="Times New Roman"/>
          <w:color w:val="000000" w:themeColor="text1"/>
          <w:sz w:val="16"/>
          <w:szCs w:val="16"/>
        </w:rPr>
        <w:t xml:space="preserve"> РС-2УС (пнв в 1960 г.), Х-66 (пнв 13.05.1968 г.), Х-23 (1972, пнв в 1973 г.), -М, -Л, Х-27ПС (1974), Х-25 (1976), -Р, -</w:t>
      </w:r>
      <w:r w:rsidRPr="00722885">
        <w:rPr>
          <w:rFonts w:ascii="Times New Roman" w:hAnsi="Times New Roman"/>
          <w:color w:val="000000" w:themeColor="text1"/>
          <w:sz w:val="16"/>
          <w:szCs w:val="16"/>
          <w:lang w:val="en-US"/>
        </w:rPr>
        <w:t>MP</w:t>
      </w:r>
      <w:r w:rsidRPr="00722885">
        <w:rPr>
          <w:rFonts w:ascii="Times New Roman" w:hAnsi="Times New Roman"/>
          <w:color w:val="000000" w:themeColor="text1"/>
          <w:sz w:val="16"/>
          <w:szCs w:val="16"/>
        </w:rPr>
        <w:t>, -Л, -МЛ, -МЛП, -П, -МП, -ПС, -МТ, -МТЛ, - МПУ, Х-31П (пнв в 1988 г.), Х-31А (пнв в 1989 г.), Х-35 (пнв в 1987 г.), Х-35У (1983), Х-36; ККР: «Уран» ЗМ24 (пнв в 1987 г.)</w:t>
      </w:r>
      <w:r w:rsidRPr="00722885">
        <w:rPr>
          <w:rFonts w:ascii="Times New Roman" w:hAnsi="Times New Roman"/>
          <w:color w:val="000000" w:themeColor="text1"/>
          <w:sz w:val="16"/>
          <w:szCs w:val="16"/>
          <w:vertAlign w:val="superscript"/>
        </w:rPr>
        <w:t>58</w:t>
      </w:r>
      <w:r w:rsidRPr="00722885">
        <w:rPr>
          <w:rFonts w:ascii="Times New Roman" w:hAnsi="Times New Roman"/>
          <w:color w:val="000000" w:themeColor="text1"/>
          <w:sz w:val="16"/>
          <w:szCs w:val="16"/>
        </w:rPr>
        <w:t>; ракеты-мишени: высотная ИЦ-59В (1960-е), ИЦ-60 «Заяц».</w:t>
      </w:r>
    </w:p>
    <w:p w14:paraId="7AAF33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ГП «Бендерский машиностроительный завод» (БМЗ) /Молдавия </w:t>
      </w:r>
      <w:r w:rsidRPr="00722885">
        <w:rPr>
          <w:rFonts w:ascii="Times New Roman" w:hAnsi="Times New Roman"/>
          <w:color w:val="000000" w:themeColor="text1"/>
          <w:sz w:val="16"/>
          <w:szCs w:val="16"/>
          <w:lang w:val="en-US"/>
        </w:rPr>
        <w:t>MD</w:t>
      </w:r>
      <w:r w:rsidRPr="00722885">
        <w:rPr>
          <w:rFonts w:ascii="Times New Roman" w:hAnsi="Times New Roman"/>
          <w:color w:val="000000" w:themeColor="text1"/>
          <w:sz w:val="16"/>
          <w:szCs w:val="16"/>
        </w:rPr>
        <w:t>-3200  г. Бендеры ул. Бендерского восстания, 5 тел. 26-843/ Завод основан в 1970 г. В 10.2006 г. куплен компанией ЗАО «АвиаМЗкомплект».</w:t>
      </w:r>
    </w:p>
    <w:p w14:paraId="2E6647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Производство (2002 г.): устройства связи и согласования усилительно-преобразующих устройств; блоки автоматического и полуавтоматического управления; средства наземного обслуживания </w:t>
      </w:r>
      <w:r w:rsidRPr="00722885">
        <w:rPr>
          <w:rFonts w:ascii="Times New Roman" w:hAnsi="Times New Roman"/>
          <w:color w:val="000000" w:themeColor="text1"/>
          <w:sz w:val="16"/>
          <w:szCs w:val="16"/>
          <w:lang w:val="en-US"/>
        </w:rPr>
        <w:t>AT</w:t>
      </w:r>
      <w:r w:rsidRPr="00722885">
        <w:rPr>
          <w:rFonts w:ascii="Times New Roman" w:hAnsi="Times New Roman"/>
          <w:color w:val="000000" w:themeColor="text1"/>
          <w:sz w:val="16"/>
          <w:szCs w:val="16"/>
        </w:rPr>
        <w:t>. Численность персонала (2002 г.)- более 1000 чел. Директор (1982-86 г.)- В.А. Шаповалов, (2002 г.)- В.А. Григорьев.</w:t>
      </w:r>
      <w:r w:rsidRPr="00722885">
        <w:rPr>
          <w:rFonts w:ascii="Times New Roman" w:hAnsi="Times New Roman"/>
          <w:color w:val="000000" w:themeColor="text1"/>
          <w:sz w:val="16"/>
          <w:szCs w:val="16"/>
          <w:vertAlign w:val="superscript"/>
        </w:rPr>
        <w:t>69</w:t>
      </w:r>
    </w:p>
    <w:p w14:paraId="24DF85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Научно-производственный центр (ГНПЦ) «Звезда-Стрела», ОАО «Корпорация «Тактическое ракетное вооружение» (ТРВ) РАКА /141075  г. Королев Московской обл. ул. Ильича, 7 тел. 519-22-03/</w:t>
      </w:r>
    </w:p>
    <w:p w14:paraId="2E23DD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ГНТЩ создан в начале 1995 г. объединении ОКБ «Звезда» и Калининградского машиностроительного завода «Стрела». В 02.1998 г. в ГНПЦ вошло ОКБ ДУ «Пламя».</w:t>
      </w:r>
    </w:p>
    <w:p w14:paraId="3101DA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84 от 24.01.2002 г. и постановлению правительства № 149 от 13.03.2002 г. ГНПЦ «Звезда-Стрела» преобразован в «Корпорацию ТРВ». Кроме ГНПЦ, в корпорацию в качестве дочерних вошли еше 5 предприятий: ГНПП «Регион», УПКБ «Деталь», МКБ «Искра», Омский завод «Автоматика», «Красный гидропресс». Юридическое оформление Корпорации завершено в 2003 г., тогда же в нее вошло ТМКБ «Союз». В соответствии с Указом Президента № 591 от 9.05.2004 г. и распоряжением правительства № 396 от 20.07.2004 г. определено дальнейшее развитие Корпорации, в состав которой вошли ОАО «Горизонт», ОАО «Салют» (Самара), СмАЗ, ГосМКБ «Радуга», ГосМКБ «Вымпел», КБ машиностроения (Москва), Азовский ОМЗ. Таким образом, в составе Корпорации (2005 г.) стало 14 предприятий, на 2008 г.- 19 предприятий.</w:t>
      </w:r>
    </w:p>
    <w:p w14:paraId="2F1D65C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5D5FEB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(2005 г.): разработка, производство, поставка и модернизация комплексов УР; разработка и реализация целевых научно-технических программ, формирование научно-технической и технологической политики корпорации и ее дочерних предприятий.</w:t>
      </w:r>
    </w:p>
    <w:p w14:paraId="4D99D5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(1995-2002 г.-&gt; С.П. Яковлев, (2003-08 г.-)- Б.В. Обносов.</w:t>
      </w:r>
    </w:p>
    <w:p w14:paraId="21B2985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 Конструктор (-1997-2002 г.-)- С.П. Яковлев.</w:t>
      </w:r>
    </w:p>
    <w:p w14:paraId="5B8ADD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гендиректора по НИОКР (2006 г.)- В.Н. Ярмолюк.</w:t>
      </w:r>
    </w:p>
    <w:p w14:paraId="796B00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ген. конструктора (2006 г.)- А.И. Глазков.</w:t>
      </w:r>
    </w:p>
    <w:p w14:paraId="18FFD7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(1997 г.)- Ю. Новиков.</w:t>
      </w:r>
    </w:p>
    <w:p w14:paraId="29F5FE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конструкторов: (1997 г.)- Д. Иванов.</w:t>
      </w:r>
    </w:p>
    <w:p w14:paraId="5D21F3D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центра информационных технологий (-2005-07 г.-)- Н. Васильев (11982).</w:t>
      </w:r>
    </w:p>
    <w:p w14:paraId="7A93D1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237A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вышел приказ НКАП № 533с:</w:t>
      </w:r>
    </w:p>
    <w:p w14:paraId="02AE5E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Д-ру з-да 450 Сердюк со всем личным составом и транспортом направиться в Пензу и поступить в распоряжение д-ра з-да 163 Иваненко.</w:t>
      </w:r>
    </w:p>
    <w:p w14:paraId="7676F9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Дементьев (1570, 99).</w:t>
      </w:r>
    </w:p>
    <w:p w14:paraId="4D4790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B0F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 по приказу № 529с в Пензу со всем личным составом и оборудованием переведена основная часть завода № 450 НКАП и влита в состав завода № 163 НКАП (Завод № 163 НКТП, НКАП, Москва, Пензенский приборостроительный завод МАП, завод «Электроавтомат», Пензенский завод «Эра», НПО «Эра», АООТ, ОАО «Пензенское НПП «Эра» /г. Тушино Московской обл.;  г. Пенза наб. Мойки, 50 (1947 г.)/ /440052  г. Пенза ул. Свердлова, 2 тел. 33-81-02/). (Есть упоминание, что завод № 163 в 1942 г., 04.1943 г. находился в Иркутске, разработано цельнодеревянное крыло и оперение для И-16). В годы войны - ремонт отечественных и американских самолетов, полученных по ленд-лизу.</w:t>
      </w:r>
    </w:p>
    <w:p w14:paraId="050A38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старом месте в Тушино затем образован завод № 500.</w:t>
      </w:r>
    </w:p>
    <w:p w14:paraId="742A84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1.03.1946 г. завод передан из 6ГУ в 11ГУ. По приказу № 219сс от 18.04.1946 г. завод с 1.01.1947 г. передан из 11ГУ в 5ГУ, и началось освоение производства контрольно-испытательных установок. Затем завод специализировался на изготовлении тренажеров, в т.ч. авиационных.</w:t>
      </w:r>
    </w:p>
    <w:p w14:paraId="1E3854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СМ СССР № 713-342 от 26.06.1957 г. передан в ведение СНХ РСФСР.</w:t>
      </w:r>
    </w:p>
    <w:p w14:paraId="721A04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тренажеру обучения личного состава наведению ракеты Х-59.</w:t>
      </w:r>
    </w:p>
    <w:p w14:paraId="6B306B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(1990-е-2002 г.): разработка и производство комплексных специализированных авиационных тренажеров для всех типов ЛА.</w:t>
      </w:r>
    </w:p>
    <w:p w14:paraId="3B8F83A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Назывался завод «Электроавтомат». В 1976 г. называлось ПКО «Эра», в 1993 г.- Пензенское ПО «Эра». По решению правительства № 22-р от 9.01.2004 г. и Указу Президента РФ № 1009 от 4.08.2004 г. вошло в число стратегических оборонных предприятий.</w:t>
      </w:r>
    </w:p>
    <w:p w14:paraId="0BB9FB2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(01.1940 г.-)- Н. Г. Драчев, (-01.1943-02.1945 г.-)- А.П. Иваненко. Гендиректор (1990-е)- Б.В. Клюев, (2002 г.)- А.Н. Анисимов, (2003 г.)- А.Н. Бростилов.</w:t>
      </w:r>
    </w:p>
    <w:p w14:paraId="78E3DE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по производству (2002 г.)- К.В. Чичикин; по коммерции (2002 г.)- В.П. Сироткин.</w:t>
      </w:r>
      <w:r w:rsidRPr="00722885">
        <w:rPr>
          <w:rFonts w:ascii="Times New Roman" w:hAnsi="Times New Roman"/>
          <w:color w:val="000000" w:themeColor="text1"/>
          <w:sz w:val="16"/>
          <w:szCs w:val="16"/>
          <w:vertAlign w:val="superscript"/>
        </w:rPr>
        <w:t>69</w:t>
      </w:r>
    </w:p>
    <w:p w14:paraId="58DEB9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Технический директор (1990-е)-  Г.И. Балашов.</w:t>
      </w:r>
    </w:p>
    <w:p w14:paraId="737D109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(1990-е)- В.Н. Климкин (11982).</w:t>
      </w:r>
    </w:p>
    <w:p w14:paraId="1FF3852C" w14:textId="77777777" w:rsidR="00056917" w:rsidRPr="00722885" w:rsidRDefault="00056917"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8A1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 приказом № 531с в соответствии с решением СНК № 12441-рс от 5.07.1942 г. в состав завода № 167 (Завод № 167 НКАП, МАП /г. Химки;  г. Кунцево Московской обл.;  г. Саратов/) влит завод № 449 6ГУ НКАП, завод № 167 передан в 14ГУ НКАП.</w:t>
      </w:r>
    </w:p>
    <w:p w14:paraId="696AA3B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Юс от 3.01.1942 г. на площадке эвакуированного завода № 167 НКАП в Кунцево образован завод № 164 НКАП для разработки и производства авиационных лыж.</w:t>
      </w:r>
    </w:p>
    <w:p w14:paraId="3B18A4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522с от 31.08.1943 г. разработка и производство деревянных винтов с завода снято. В 02.1944 г. поручена организация производства стабилизаторов, килей и нервюр для Як-3. С 04.1944 г. завод передан из ИГУ в 1ГУНКАП.</w:t>
      </w:r>
    </w:p>
    <w:p w14:paraId="3B5BC7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НКАП № 21с от 28.01.1946 г. на площадку завода № 167 переведен завод № 213 НКАП и с 1.01.1946 г. образован единый завод № 213 НКАП. Завод № 167 выбыл из числа действующих.</w:t>
      </w:r>
    </w:p>
    <w:p w14:paraId="4B08BA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(08.1941 г.)- Н.Д. Андреев, Лепилин, (01.1946 г.)- Белов.</w:t>
      </w:r>
    </w:p>
    <w:p w14:paraId="28D93B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в/винты: ВИШ-22, АВ-1; лыжи; лонжероны для И-200 (1939), оперение, нервюры для Як-3 (1943); дельтадревесина (11982).</w:t>
      </w:r>
    </w:p>
    <w:p w14:paraId="30DB3A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75B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 приказом № 531с в соответствии с решением СНК № 12441-рс от 5.07.1942 г. завод № 449 6ГУ НКАП (ГС Завод № 449 НКАП /г. Саратов/) влит в состав завода № 167 НКАП.</w:t>
      </w:r>
    </w:p>
    <w:p w14:paraId="636BC4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(1941 г.)- Костецкий.</w:t>
      </w:r>
    </w:p>
    <w:p w14:paraId="386D1A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в/винт для М-11 (1941), ВИШ-21 (1942) (11982).</w:t>
      </w:r>
    </w:p>
    <w:p w14:paraId="4CA31D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B56B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 по приказу № 529с основная часть завода № 450 (ГС Завод № 450 НКАП, Государственный авторемонтный завод № 1 (ГАРЗ-1) НКАТ /Украина  г. Харьков;  г. Молотов/) со всем личным составом и оборудованием была переведена в Пензу и влита в состав завода № 163 НКАП, а часть завода (и завод № 135) вошла в состав завода № 30 НКАП ( г. Москва). По приказу № 679сс от 6.09.1942 г. завод исключен из числа действующих.</w:t>
      </w:r>
    </w:p>
    <w:p w14:paraId="52FC4DA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1945 г. территории эвакуированного завода в Харькове действовал филиал завода № 135 НКАП. По приказу № 414с/0192 от 17/26.10.1945 г. площадка и аэродром переданы в ведение 181-й Центральной ремонтной базы ВВС.</w:t>
      </w:r>
    </w:p>
    <w:p w14:paraId="343B045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(10.1940 г.-&gt; И.А. Иванов, (07.1942 г.)- Сердюк (11982).</w:t>
      </w:r>
    </w:p>
    <w:p w14:paraId="572231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E83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 по приказу № 529с завод № 450 со всем личным составом и оборудованием переведен в Пензу и влит в состав завода № 163 НКАП.</w:t>
      </w:r>
    </w:p>
    <w:p w14:paraId="5454BA4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 на этом месте сформирован новый завод № 64 НКАП (11982).</w:t>
      </w:r>
    </w:p>
    <w:p w14:paraId="517ABB0A" w14:textId="77777777" w:rsidR="00056917" w:rsidRPr="00722885" w:rsidRDefault="00056917"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663D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16 июля 1942 г. по рекомендации Берия (с.с. исх.№ 1051/6) были освобождены из заключения Сталиным 8 сотрудников Чаромского, внесших наиболее существенный вклад в доработку дизеля до серийного производства: </w:t>
      </w:r>
    </w:p>
    <w:p w14:paraId="29536E8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Чаромский Алексей Дмитриевич </w:t>
      </w:r>
    </w:p>
    <w:p w14:paraId="00C364D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Шумилин Афанасий Антипович </w:t>
      </w:r>
    </w:p>
    <w:p w14:paraId="630070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Грачев Андрей Дмитриевич </w:t>
      </w:r>
    </w:p>
    <w:p w14:paraId="22E354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Стецкий Степан Герасимович </w:t>
      </w:r>
    </w:p>
    <w:p w14:paraId="0631CC2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Татко Леонид Семенович </w:t>
      </w:r>
    </w:p>
    <w:p w14:paraId="3F71A1B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Веревкин Федор Матвеевич </w:t>
      </w:r>
    </w:p>
    <w:p w14:paraId="055620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Корсаков Степан Максимович </w:t>
      </w:r>
    </w:p>
    <w:p w14:paraId="543651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Сидорин Иван Иванович </w:t>
      </w:r>
    </w:p>
    <w:p w14:paraId="42D0A9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Молчанов Михаил Арсентьевич (12107). </w:t>
      </w:r>
    </w:p>
    <w:p w14:paraId="5A0F19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8AF27"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 Панюшкин вновь встретился с Чан Кайши. Оставим в стороне «дипломатические изыски» и «уверения в совершеннейшем к Вам почтении...». Чан Кайши заявил, что получил доклад Шэн Шицая и намерен послать своего предста</w:t>
      </w:r>
      <w:r w:rsidRPr="00722885">
        <w:rPr>
          <w:rFonts w:ascii="Times New Roman" w:hAnsi="Times New Roman"/>
          <w:color w:val="000000" w:themeColor="text1"/>
          <w:sz w:val="16"/>
          <w:szCs w:val="16"/>
        </w:rPr>
        <w:softHyphen/>
        <w:t>вителя для расследования дела на месте, для принятия соответствующих мер и для ус</w:t>
      </w:r>
      <w:r w:rsidRPr="00722885">
        <w:rPr>
          <w:rFonts w:ascii="Times New Roman" w:hAnsi="Times New Roman"/>
          <w:color w:val="000000" w:themeColor="text1"/>
          <w:sz w:val="16"/>
          <w:szCs w:val="16"/>
        </w:rPr>
        <w:softHyphen/>
        <w:t xml:space="preserve">тановления контроля над дубанем. Чан Кайши также просил заверить Молотова в том, что не может быть никаких опасений в отношении якобы использования </w:t>
      </w:r>
      <w:r w:rsidRPr="00722885">
        <w:rPr>
          <w:rFonts w:ascii="Times New Roman" w:hAnsi="Times New Roman"/>
          <w:color w:val="000000" w:themeColor="text1"/>
          <w:sz w:val="16"/>
          <w:szCs w:val="16"/>
        </w:rPr>
        <w:lastRenderedPageBreak/>
        <w:t>Шэн Шицая «неко</w:t>
      </w:r>
      <w:r w:rsidRPr="00722885">
        <w:rPr>
          <w:rFonts w:ascii="Times New Roman" w:hAnsi="Times New Roman"/>
          <w:color w:val="000000" w:themeColor="text1"/>
          <w:sz w:val="16"/>
          <w:szCs w:val="16"/>
        </w:rPr>
        <w:softHyphen/>
        <w:t>ей империалистической державой», так как он, Чан Кайши, совершенно убежден в том, что Шэн Шицай не связан и не причастен к врагу Китая (имеется в виду Япония).</w:t>
      </w:r>
    </w:p>
    <w:p w14:paraId="4F742B28"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Он заявил, что «Шэн Шицаю будут даны указания о том, чтобы он беспрекословно вы</w:t>
      </w:r>
      <w:r w:rsidRPr="00722885">
        <w:rPr>
          <w:rFonts w:ascii="Times New Roman" w:hAnsi="Times New Roman"/>
          <w:color w:val="000000" w:themeColor="text1"/>
          <w:sz w:val="16"/>
          <w:szCs w:val="16"/>
        </w:rPr>
        <w:softHyphen/>
        <w:t>полнял волю Центрального правительства, поддерживал сотрудничество с СССР и от</w:t>
      </w:r>
      <w:r w:rsidRPr="00722885">
        <w:rPr>
          <w:rFonts w:ascii="Times New Roman" w:hAnsi="Times New Roman"/>
          <w:color w:val="000000" w:themeColor="text1"/>
          <w:sz w:val="16"/>
          <w:szCs w:val="16"/>
        </w:rPr>
        <w:softHyphen/>
        <w:t>носился с уважением к советским представителям. Шэн Шицаю будет сделано также указание о том, чтобы он не повторял допущенных ошибок в отношении СССР и его представителей...». Тем не менее, бесчинства и полицейский произвол в отношении со</w:t>
      </w:r>
      <w:r w:rsidRPr="00722885">
        <w:rPr>
          <w:rFonts w:ascii="Times New Roman" w:hAnsi="Times New Roman"/>
          <w:color w:val="000000" w:themeColor="text1"/>
          <w:sz w:val="16"/>
          <w:szCs w:val="16"/>
        </w:rPr>
        <w:softHyphen/>
        <w:t>ветских граждан в Синьцзяне только «раскручивались»...(15811).</w:t>
      </w:r>
    </w:p>
    <w:p w14:paraId="36A87C04"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78AA812A"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402A0E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8235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вышло Постановление ГКО№ 2049 О строительстве деревянных и железобетонных судов для Каспийского бассейна. РГАНИР, Фонд ГКО, д. 44, лл. 156-163, 164-171 (11012).</w:t>
      </w:r>
    </w:p>
    <w:p w14:paraId="263C05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8DA0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вышло Постановление ГКО № 2050 О плане судостроения речного флота в 1942 г. и мерах его обеспечения. РГАНИР, Фонд ГКО, д. 44, лл. 172-180, 181-192 (11012).</w:t>
      </w:r>
    </w:p>
    <w:p w14:paraId="6DF1BA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501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вышло Постановление ГКО № 2051 Об оборудовании и квалифицированных рабочих кадрах для судостроительных заводов НКСП. РГАНИР, Фонд ГКО, д. 44, лл. 193 (11012).</w:t>
      </w:r>
    </w:p>
    <w:p w14:paraId="22A2E9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92B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вышло Постановление ГКО № 2056 Об эвакуации оборудования и работников Шахтинской ГРЭС им. Артема (Ростовская обл.). РГАНИР, Фонд ГКО, д. 44, лл. 199 (11012).</w:t>
      </w:r>
    </w:p>
    <w:p w14:paraId="323BF2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102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вышло Распоряжение ГКО № 2058 О запуске в производство улучшенных агрегатов танка Т-34 на Кировском заводе. РГАНИР, Фонд ГКО, д. 44, лл. 201 (11012).</w:t>
      </w:r>
    </w:p>
    <w:p w14:paraId="132F3F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73C8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вышло Постановление ГКО № 2059 Об оборудовании и кадрах завода № 264 Наркомтанкопрома. РГАНИР, Фонд ГКО, д. 44, лл. 202-203 (11012).</w:t>
      </w:r>
    </w:p>
    <w:p w14:paraId="42FA9E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94E8F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 в соответствии с пост. ГКО № 2059 завод (Завод № 264 НКСП, НКТП, Сарептская верфь, Сталинградская судоверфь МРФ, ОАО «Волгоградский судостроительный завод» (ВгСЗ) /г. Сарепта,  г. Красноармейск Сталинградской обл./ /400024 (400112)  г. Волгоград ул. Арсеньева, 2/) эвакуирован в Барнаул (возможно, на завод № 77); задел по корпусам и агрегатам танков Т-60 и Т-70 эвакуирован на ГАЗ. 18.08.1942 г. вышло постановление ГКО № 2182 о неотложных мерах помощи заводу № 264 НКТП.</w:t>
      </w:r>
    </w:p>
    <w:p w14:paraId="22BA3A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3230 от 22.04.1943 г. начато восстановление завода № 264 НКТП на прежнем месте; ЗОЛ 1.1943 г. вышло распоряжение ГКО № 4706 о мерах по восстановлению завода, строился в 1949 г.</w:t>
      </w:r>
    </w:p>
    <w:p w14:paraId="5D50E06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2777 от 20.01.1943 г. на заводе организован ремонт танков. В соответствии с пост. ГКО № 6209 от 18.07.1944 г. на заводе организовано производство танка Т-44.</w:t>
      </w:r>
    </w:p>
    <w:p w14:paraId="02BDC2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Сталинградская судоверфь передана в МРФ. С 1946 г. начато строительство сухогрузных барж, буксиров, земснарядов.</w:t>
      </w:r>
    </w:p>
    <w:p w14:paraId="44E18EC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это ОАО «Волгоградский судостроительный завод».</w:t>
      </w:r>
    </w:p>
    <w:p w14:paraId="1C3064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05.2003 г. завод вошел в корпорацию ОМЗ, в 2004 г.- в ГК МНП (и на 2008 г.). По решению правительства № 22-р от 9.01.2004 г. вошло в перечень стратегических предприятий.</w:t>
      </w:r>
    </w:p>
    <w:p w14:paraId="079165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площадке завода располагались (2007 г.) спецпроизводства по выпуску БМД-3.</w:t>
      </w:r>
    </w:p>
    <w:p w14:paraId="6FF4B5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(ВОВ)-  Г. Суворов, (ВОВ)- В. Фомин. Гендиректор (-2003-05 г.)- А. Литра, (2005-07 г.)- В. Прудыус, (2007 г.-)- И. Глушаков.</w:t>
      </w:r>
    </w:p>
    <w:p w14:paraId="19F5B4D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(1970-е)- М.Н. Чемоданов.</w:t>
      </w:r>
    </w:p>
    <w:p w14:paraId="0226D2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баржи:</w:t>
      </w:r>
      <w:r w:rsidRPr="00722885">
        <w:rPr>
          <w:rFonts w:ascii="Times New Roman" w:hAnsi="Times New Roman"/>
          <w:color w:val="000000" w:themeColor="text1"/>
          <w:sz w:val="16"/>
          <w:szCs w:val="16"/>
        </w:rPr>
        <w:t xml:space="preserve"> наливная «Нева» (-1935), сварные (1939), палубная пр. 425 (1950-е); сухогрузные пр. 617 (1952), на 2860 т (1960-е); буксиры: 400 л.с. пр. СБ-25 (1936), разборные 200 л.с. (1930-е); катера «речные трамваи» (1930-е); бронекатера пр. 1124, пр. 1125 (1930-е-41-); сетевые заградители пр. С-149 «Вятка», «Онега» (1938-40), «Искатель», «Тура» (1941, не достроены), «Молога», «Сухона», «Мезень», «Вычегда» (1941, достройка на заводе 368); пассажирские морские дизель-электроходы «Баку», «Волгоград» (1963); земснаряды (1951-60-е), самоходные краны (1960-е);</w:t>
      </w:r>
      <w:r w:rsidRPr="00722885">
        <w:rPr>
          <w:rFonts w:ascii="Times New Roman" w:hAnsi="Times New Roman"/>
          <w:iCs/>
          <w:color w:val="000000" w:themeColor="text1"/>
          <w:sz w:val="16"/>
          <w:szCs w:val="16"/>
        </w:rPr>
        <w:t xml:space="preserve"> танкеры:</w:t>
      </w:r>
      <w:r w:rsidRPr="00722885">
        <w:rPr>
          <w:rFonts w:ascii="Times New Roman" w:hAnsi="Times New Roman"/>
          <w:color w:val="000000" w:themeColor="text1"/>
          <w:sz w:val="16"/>
          <w:szCs w:val="16"/>
        </w:rPr>
        <w:t xml:space="preserve"> речные пр. 587 «Лось» (1958), река-море пр. 558 «Великий», пр. 1577 «Волгонефть» (1963-2002)-140; пр. 1677М «Олег Кошевой» (1979-89)- 16; СРТ пр. 502 типа «Маяк» (1960-е-73); траулер-сейнер пр. 503 типа «Альпинист» (1979-80-е)- 180;</w:t>
      </w:r>
      <w:r w:rsidRPr="00722885">
        <w:rPr>
          <w:rFonts w:ascii="Times New Roman" w:hAnsi="Times New Roman"/>
          <w:iCs/>
          <w:color w:val="000000" w:themeColor="text1"/>
          <w:sz w:val="16"/>
          <w:szCs w:val="16"/>
        </w:rPr>
        <w:t xml:space="preserve"> сухогрузы:</w:t>
      </w:r>
      <w:r w:rsidRPr="00722885">
        <w:rPr>
          <w:rFonts w:ascii="Times New Roman" w:hAnsi="Times New Roman"/>
          <w:color w:val="000000" w:themeColor="text1"/>
          <w:sz w:val="16"/>
          <w:szCs w:val="16"/>
        </w:rPr>
        <w:t xml:space="preserve"> типа «Шестая пятилетка» (1950-е), пр. 1557 «50 лет Советской власти» (1967-)- более 80 (вместе с заводами «Красное Сормово» и им. Володарского); «река-море» пр. 16290/291 (1994-98)- 10, пр. 006</w:t>
      </w:r>
      <w:r w:rsidRPr="00722885">
        <w:rPr>
          <w:rFonts w:ascii="Times New Roman" w:hAnsi="Times New Roman"/>
          <w:color w:val="000000" w:themeColor="text1"/>
          <w:sz w:val="16"/>
          <w:szCs w:val="16"/>
          <w:lang w:val="en-US"/>
        </w:rPr>
        <w:t>RSD</w:t>
      </w:r>
      <w:r w:rsidRPr="00722885">
        <w:rPr>
          <w:rFonts w:ascii="Times New Roman" w:hAnsi="Times New Roman"/>
          <w:color w:val="000000" w:themeColor="text1"/>
          <w:sz w:val="16"/>
          <w:szCs w:val="16"/>
        </w:rPr>
        <w:t>05 для Азербайджана "</w:t>
      </w:r>
      <w:r w:rsidRPr="00722885">
        <w:rPr>
          <w:rFonts w:ascii="Times New Roman" w:hAnsi="Times New Roman"/>
          <w:color w:val="000000" w:themeColor="text1"/>
          <w:sz w:val="16"/>
          <w:szCs w:val="16"/>
          <w:lang w:val="en-US"/>
        </w:rPr>
        <w:t>HeidarAliyev</w:t>
      </w:r>
      <w:r w:rsidRPr="00722885">
        <w:rPr>
          <w:rFonts w:ascii="Times New Roman" w:hAnsi="Times New Roman"/>
          <w:color w:val="000000" w:themeColor="text1"/>
          <w:sz w:val="16"/>
          <w:szCs w:val="16"/>
        </w:rPr>
        <w:t>" (2003-04), "</w:t>
      </w:r>
      <w:r w:rsidRPr="00722885">
        <w:rPr>
          <w:rFonts w:ascii="Times New Roman" w:hAnsi="Times New Roman"/>
          <w:color w:val="000000" w:themeColor="text1"/>
          <w:sz w:val="16"/>
          <w:szCs w:val="16"/>
          <w:lang w:val="en-US"/>
        </w:rPr>
        <w:t>PalmaliVoyager</w:t>
      </w:r>
      <w:r w:rsidRPr="00722885">
        <w:rPr>
          <w:rFonts w:ascii="Times New Roman" w:hAnsi="Times New Roman"/>
          <w:color w:val="000000" w:themeColor="text1"/>
          <w:sz w:val="16"/>
          <w:szCs w:val="16"/>
        </w:rPr>
        <w:t>" (2003-04), "</w:t>
      </w:r>
      <w:r w:rsidRPr="00722885">
        <w:rPr>
          <w:rFonts w:ascii="Times New Roman" w:hAnsi="Times New Roman"/>
          <w:color w:val="000000" w:themeColor="text1"/>
          <w:sz w:val="16"/>
          <w:szCs w:val="16"/>
          <w:lang w:val="en-US"/>
        </w:rPr>
        <w:t>IlyasEfendiev</w:t>
      </w:r>
      <w:r w:rsidRPr="00722885">
        <w:rPr>
          <w:rFonts w:ascii="Times New Roman" w:hAnsi="Times New Roman"/>
          <w:color w:val="000000" w:themeColor="text1"/>
          <w:sz w:val="16"/>
          <w:szCs w:val="16"/>
        </w:rPr>
        <w:t>" (-08.2005), "</w:t>
      </w:r>
      <w:r w:rsidRPr="00722885">
        <w:rPr>
          <w:rFonts w:ascii="Times New Roman" w:hAnsi="Times New Roman"/>
          <w:color w:val="000000" w:themeColor="text1"/>
          <w:sz w:val="16"/>
          <w:szCs w:val="16"/>
          <w:lang w:val="en-US"/>
        </w:rPr>
        <w:t>Nakhichevan</w:t>
      </w:r>
      <w:r w:rsidRPr="00722885">
        <w:rPr>
          <w:rFonts w:ascii="Times New Roman" w:hAnsi="Times New Roman"/>
          <w:color w:val="000000" w:themeColor="text1"/>
          <w:sz w:val="16"/>
          <w:szCs w:val="16"/>
        </w:rPr>
        <w:t>" (-10.2005), "</w:t>
      </w:r>
      <w:r w:rsidRPr="00722885">
        <w:rPr>
          <w:rFonts w:ascii="Times New Roman" w:hAnsi="Times New Roman"/>
          <w:color w:val="000000" w:themeColor="text1"/>
          <w:sz w:val="16"/>
          <w:szCs w:val="16"/>
          <w:lang w:val="en-US"/>
        </w:rPr>
        <w:t>ZeynalabdinTagiev</w:t>
      </w:r>
      <w:r w:rsidRPr="00722885">
        <w:rPr>
          <w:rFonts w:ascii="Times New Roman" w:hAnsi="Times New Roman"/>
          <w:color w:val="000000" w:themeColor="text1"/>
          <w:sz w:val="16"/>
          <w:szCs w:val="16"/>
        </w:rPr>
        <w:t>" (-05.2006), "</w:t>
      </w:r>
      <w:r w:rsidRPr="00722885">
        <w:rPr>
          <w:rFonts w:ascii="Times New Roman" w:hAnsi="Times New Roman"/>
          <w:color w:val="000000" w:themeColor="text1"/>
          <w:sz w:val="16"/>
          <w:szCs w:val="16"/>
          <w:lang w:val="en-US"/>
        </w:rPr>
        <w:t>MirJalalPashajev</w:t>
      </w:r>
      <w:r w:rsidRPr="00722885">
        <w:rPr>
          <w:rFonts w:ascii="Times New Roman" w:hAnsi="Times New Roman"/>
          <w:color w:val="000000" w:themeColor="text1"/>
          <w:sz w:val="16"/>
          <w:szCs w:val="16"/>
        </w:rPr>
        <w:t>" (10.2005-07.2006); большегрузный секционный толкаемый состав (1958); овощевоз пр. 19620 (1983-92)- более 55 (вместе с заводом им. Володарского);</w:t>
      </w:r>
      <w:r w:rsidRPr="00722885">
        <w:rPr>
          <w:rFonts w:ascii="Times New Roman" w:hAnsi="Times New Roman"/>
          <w:iCs/>
          <w:color w:val="000000" w:themeColor="text1"/>
          <w:sz w:val="16"/>
          <w:szCs w:val="16"/>
        </w:rPr>
        <w:t xml:space="preserve"> танки:</w:t>
      </w:r>
      <w:r w:rsidRPr="00722885">
        <w:rPr>
          <w:rFonts w:ascii="Times New Roman" w:hAnsi="Times New Roman"/>
          <w:color w:val="000000" w:themeColor="text1"/>
          <w:sz w:val="16"/>
          <w:szCs w:val="16"/>
        </w:rPr>
        <w:t xml:space="preserve"> Т-60 (12.1941-42-)- 830 (по 06.1942), Т-44 (1944- ); корпуса и башни танка Т-34 (1941-).</w:t>
      </w:r>
    </w:p>
    <w:p w14:paraId="265EB1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КБ завода № 264</w:t>
      </w:r>
    </w:p>
    <w:p w14:paraId="19BA70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1959 г. спроктирован крупнейший в мире речной танкер грузоподъемностью 5000 т пр. 558.</w:t>
      </w:r>
    </w:p>
    <w:p w14:paraId="208175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(-1968-70-е)- М.Н. Чемоданов (пр. 1577, 1677М).</w:t>
      </w:r>
    </w:p>
    <w:p w14:paraId="218511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(1959 г.)- П.М. Кожевников (пр. 558, 587).</w:t>
      </w:r>
    </w:p>
    <w:p w14:paraId="09040E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 танкеры:</w:t>
      </w:r>
      <w:r w:rsidRPr="00722885">
        <w:rPr>
          <w:rFonts w:ascii="Times New Roman" w:hAnsi="Times New Roman"/>
          <w:color w:val="000000" w:themeColor="text1"/>
          <w:sz w:val="16"/>
          <w:szCs w:val="16"/>
        </w:rPr>
        <w:t xml:space="preserve"> речные пр. 558 типа «Великий» (1959), пр. 587 (1950-е), пр. 1577 (1968); морской пр. 1677М типа «Олег Кошевой» (1979) (11982).</w:t>
      </w:r>
    </w:p>
    <w:p w14:paraId="7BB909CA"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04B98E7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года заместитель наркомата танковой промышленности обратился к начальнику бронетанкового управления генерал-майору танковых войск Коробкову с письмом, в котором просил о введении некоторых упрощений в конструкцию танков Т-34 СТЗ:</w:t>
      </w:r>
    </w:p>
    <w:p w14:paraId="5D9BE78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имеющимися затруднениями в обеспечении Сталинградского Тракторного завода, считаем необходимым разрешить последнему, до особого нашего указания, устанавливать на танк Т-34 все пять опорных катков конструкции с внутренней амортизацией.</w:t>
      </w:r>
    </w:p>
    <w:p w14:paraId="410D7C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Напоминаем, что по данным эксплуатации не зарегистрировано предъявление рекламаций на траки СТЗ, несмотря на уже почти год эксплуатации на катках с внутренней амортизацией.</w:t>
      </w:r>
    </w:p>
    <w:p w14:paraId="3D7AD4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о Вашем согласии подписать при сем приложенную совместную телеграмму».</w:t>
      </w:r>
    </w:p>
    <w:p w14:paraId="2C48DC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Естественно, что при увеличении выпуска тридцатьчетверок в июле почти в полтора раза, качество их, и без того невысокое, еще больше ухудшилось - выходили из строя коробки перемены передач и бортовые передачи, ухудшился температурный режим работа двигателя из-за уменьшения примерно на одну пятую поверхности радиатора (для экономии материала шаг между охлаждающими пластинами изменили с 3 до 4 мм), было много нареканий на качество дизелей В-2.</w:t>
      </w:r>
    </w:p>
    <w:p w14:paraId="0241D86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Например, в 6-й танковой бригаде, получившей в первых числах августа 44 новеньких тридцатьчетверки СТЗ, во время марша в исходный район машины стали массово выходить из строя. Так. при движении у танков происходил выброс масла из выхлопных патрубков, в результате чего одной заправки хватаю не более, чем на 35 километров. Кроме того, наблюдалось срезание шпонок масляного насоса. В результате за короткое время из 44 вышло из строя 33 тридцатьчетверки, для восстановления которых их пришлось вновь отправлять на завод. Ничего удивительного в этом не было - фронт приближался к городу, возникали проблемы с подвозом комплектующих и материалов, и естественно при этом заметно снижалось качество танков. Но самое главное - завод давал армии столь нужные танки. А ситуация на фронте осложнялась с каждым днем, немецкие войска рвались к Сталинграду, части Красной Армии с тяжелыми боями отходили к Волге (12217).</w:t>
      </w:r>
    </w:p>
    <w:p w14:paraId="3316BBD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A30B5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1942г. по пр. НКМВ создан НИИ минометного вооружения (НИИ № 1) (НИИ минометного вооружения № 1 (НИИ-1) НКМВ, НИИ текстильного и легкого машиностроения (НИИЛтекмаш), ВНИИ легкого и текстильного машиностроения (ВНИИЛтекмаш) /г. Москва Варшавское ш., 33 тел. 111-00-30/) на базе «Проектобщемаша» и НИПТИмаша. Пост. СНК от 17.02.1946г. переименован в НИИЛтекмаш. По пр. от 4.06.1959г. переименован во ВНИИЛтекмаш. Находился в ведении: НКМВ (1942-46г.), НКМашПрибора (1946г.), Минмашприбора (1946-53; 1954-56г.), ММ (1953-54; 1956-57г.), ГлавНИИпроекта при Госплане (1957-59г.), ГК по автоматизации и машиностроению (1959-63г.), ГК по машиностроению при Госплане (1963-65г.), Минлегпищемаша (с 1965г.). Был в 2000-е г.</w:t>
      </w:r>
    </w:p>
    <w:p w14:paraId="09BDEE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институте действовал опытный завод. Распоряжением ГКО № 3985 от 28.08.1943г. к заводу прикреплена школа ФЗО № 3 для производства деталей корпусов авиабомб. Институт имел филиалы: Ереванский, Орловский.</w:t>
      </w:r>
    </w:p>
    <w:p w14:paraId="5666F6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Занимался созданием новых видов машин для обслуживания отраслей промышленности; определением перспектив развития текстильных и трикотажных машин, экономическим обоснованием целесообразности их разработки.</w:t>
      </w:r>
      <w:r w:rsidRPr="00722885">
        <w:rPr>
          <w:rFonts w:ascii="Times New Roman" w:hAnsi="Times New Roman"/>
          <w:color w:val="000000" w:themeColor="text1"/>
          <w:sz w:val="16"/>
          <w:szCs w:val="16"/>
          <w:vertAlign w:val="superscript"/>
        </w:rPr>
        <w:t>137</w:t>
      </w:r>
    </w:p>
    <w:p w14:paraId="471461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Руководитель (2000 г.)- </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Малафеев.</w:t>
      </w:r>
    </w:p>
    <w:p w14:paraId="73F0A8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Всесоюзная контора по проектированию заводов общего машиностроения «Проектобщемаш» По пр. НКМВ от 16.07.1942г. на базе «Проектобщемаша» и </w:t>
      </w:r>
      <w:r w:rsidRPr="00722885">
        <w:rPr>
          <w:rFonts w:ascii="Times New Roman" w:hAnsi="Times New Roman"/>
          <w:color w:val="000000" w:themeColor="text1"/>
          <w:sz w:val="16"/>
          <w:szCs w:val="16"/>
        </w:rPr>
        <w:lastRenderedPageBreak/>
        <w:t>НИШГГмаша организован НИИ минометного вооружения (НИИ № 1) (11982).</w:t>
      </w:r>
    </w:p>
    <w:p w14:paraId="7287F3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4E17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 по пр. НКМВ НИИП (НИИ-5 НКМВ, НИИ приборостроения (НИИП) НКОМ, НКМВ, НИИ часовой промышленности (НИИчаспром) ММиП, ММ, МПиСА, МосгорСНХ, МПСАиСУ, ОАО «НИИ часовой промышленности («Часпром»)» /г. Москва ул. Часовая, 24/1 тел. 151-15-01/), созданный в рамках НКОМ 7 сентября 1940, был переименован в НИИ-5 5ГУ.</w:t>
      </w:r>
    </w:p>
    <w:p w14:paraId="58CA69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 г. НИИП эвакуирован в Томск. В 12.1941 г. при образовании НКМВ планировалось на базе НИИП в Томске создать НИИ-7 НКМВ.</w:t>
      </w:r>
    </w:p>
    <w:p w14:paraId="6844C4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институт передан из НКМВ в ведение ММиП. По пр. ММиП от 17.05.1946г. НИИ-5 переименован в НИИчаспром. В 1947г. институт - в ведении Главчаспрома ММиП. Далее действовал в ведении: ММиП (1946-53; 1954-56г.), ММ (1953-54г.), МПиСА (1956-57г.), МосгорСНХ (1957-59г.), ГК по автоматизации и машиностроению (1959-63г.), ГК по приборостроению, средствам автоматизации и систем управления Госплана (1963-65г.), МПСАиСУ (с 1965г.).</w:t>
      </w:r>
    </w:p>
    <w:p w14:paraId="312D74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01.1945г. при институте организован опытный инструментальный завод, в 05.1945г. он выделен в самостоятельное предприятие.</w:t>
      </w:r>
    </w:p>
    <w:p w14:paraId="37DB617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Институт имел Угличский филиал.</w:t>
      </w:r>
    </w:p>
    <w:p w14:paraId="7636DB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разработка: теоретических основ хронометрии; инженерных методов расчета часов и часовых механизмов; новых конструкций бытовых и технических часов; создание: технических приборов времени для промышленности, сельского хозяйства, транспорта и связи, специализированных выявителей текущего времени, измерителей интервалов времени; специальных масел и смазок, технологии смазки; новых спецматериалов и конструкций инструментов для часовой промышленности; повышение надежности приборов времени.</w:t>
      </w:r>
    </w:p>
    <w:p w14:paraId="3192DC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ОАО было в 2004г.</w:t>
      </w:r>
    </w:p>
    <w:p w14:paraId="6A28313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система единого врмени массового применения «СЕВЭНА»; конструкции часов: балансовых стенных, карманных, карманных прецизионных, морских, наручных электрических, будильника с недельным заводом, хронометров контактных морских (11982).</w:t>
      </w:r>
    </w:p>
    <w:p w14:paraId="22F4BB1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BA05FF"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7884DA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C542C3"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в 1942 году утреннее сообщение Совинформбюро:</w:t>
      </w:r>
    </w:p>
    <w:p w14:paraId="799F03AF"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16 июля наши войска вели бои с противником в района Воронежа и юго-восточнее Миллерово.</w:t>
      </w:r>
    </w:p>
    <w:p w14:paraId="645D5066"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6AE254C2"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на ряде участков контратакуют противника и наносят ему большой урон. Наша часть, поддержанная танками, за сутки уничтожила 1.200 немецких солдат и офицеров, 8 танков, 12 пулемётов, 7 миномётов и 9 автомашин. На другом участке наши бойцы несколько потеснили противника и уничтожили 5 немецких танков и 350 гитлеровцев. Наше танковое подразделение разгромило штаб крупного немецкого соединения. Захвачены штабные документы, два танка и пленные.</w:t>
      </w:r>
    </w:p>
    <w:p w14:paraId="07DA926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наша часть отбила три атаки противника. Перейдя в контратаку, наши бойцы после упорного боя заняли укреплённый пункт. Уничтожено до 1.000 немецких солдат и офицеров, подбито 2 немецких танка.</w:t>
      </w:r>
    </w:p>
    <w:p w14:paraId="672F8A67"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отдельных участках Калининского фронта гитлеровцы предприняли несколько безуспешных атак. В этих боях высокое мастерство проявили наши бронебойщики. Бойцы тт. Павлов, Полянцев, Бусынов сожгли каждый по танку противника. Кроме того, групповым огнём они уничтожили 4 немецких танка. Зенитчики под командованием тов. Шукайло за последние дни сбили 7 немецких бомбардировщиков. Успешно действуют наши снайперы. Командир отделения старший сержант тов. Кушнерза 14 дней июля истребил 118 гитлеровцев, а его отделение в целом — свыше 300 немецких солдат и офицеров.</w:t>
      </w:r>
    </w:p>
    <w:p w14:paraId="25DD7D77"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отражении одной атаки противника выбыл из строя расчёт нашего орудия. Командир артиллерийской батареи тов. Кузьмин вместе с военкомом тов. Ибрагимовым стали к орудию, открыли огонь и подбили 4 немецких танка.</w:t>
      </w:r>
    </w:p>
    <w:p w14:paraId="3D23153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Лётчики-истребители капитан Небытов, старший лейтенант Рубцов, младший лейтенант Хохлов, младший лейтенант Волков встретились в воздухе с десятью немецкими самолётами. Наши лётчики атаковали противника и сбили два самолёта противника.</w:t>
      </w:r>
    </w:p>
    <w:p w14:paraId="05F20121"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Солдат 9 роты 61 полка 7 немецкой пехотной дивизии Ганс Рейдер, взятый в пленна Западном фронте, рассказал: «После часовой артиллерийской подготовки мы пошли в наступление. Русские открыли ураганный пулемётный и миномётный огонь и прижали нас к земле. Это была ужасная картина. В нашей роте в живых осталось всего лишь несколько человек. Рота потеряла почти всю материальную часть. Такая же судьба постигла и другие подразделения полка».</w:t>
      </w:r>
    </w:p>
    <w:p w14:paraId="3022052A"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оккупанты ограбили жителей села Голышино, Орловской области, разрушили и дотла сожгли 279 домов. Гитлеровские бандиты уничтожили все хозяйственные постройки колхоза и замучили насмерть 26 местных жителей. Семью колхозника Дегтярева Гордея Васильевича, его жену Марию Ивановну 64 лет, невестку Пелагею Павловну 25 лет и дочь Анну 20 лет немцы закололи штыками. Старуху Христину Лаврентьевну Митичкину и её двухлетнего внука фашистские людоеды заперли в подвал, а затем подожгли дом со всех сторон.</w:t>
      </w:r>
    </w:p>
    <w:p w14:paraId="242CDC40"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патриоты ведут самоотверженную борьбу против немецких захватчиков. Недавно в Париже на Елисейских полях был убит немецкий майор.Стрелявший скрылся на велосипеде. В городе Булонь-сюр-Сен (близ Парижа) обнаруженытрупы двух немецких солдат.» (14954).</w:t>
      </w:r>
    </w:p>
    <w:p w14:paraId="680A3B5F"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6B94873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в 1942 году вечернее сообщение Совинформбюро:</w:t>
      </w:r>
    </w:p>
    <w:p w14:paraId="3C147C22"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16 июля наши войска вели бои с противником в районе Воронежа.</w:t>
      </w:r>
    </w:p>
    <w:p w14:paraId="78EB09E0"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6BE6DB4C"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15 июля частями нашей авиации на различных участках фронта уничтожено или повреждено около 40 немецких танков, 150 автомашин с войсками и грузами, 8 автоцистерн с горючим, взорван склад с боеприпасами, разбит железнодорожныйсостав, потоплен танкер и повреждён сторожевой корабль, рассеяно и частьюуничтожено до батальона пехоты и эскадрон конницы противника.</w:t>
      </w:r>
    </w:p>
    <w:p w14:paraId="1277D571"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ведут самоотверженную борьбу снемецко-фашистскими войсками. На отдельных участках инициатива перешла в руки советских частей, и гитлеровцы были вынуждены перейти к обороне. Продвигаясь вперёд, одна наша часть встретила мощную противотанковую оборону противника. Стремительным ударом наши бойцы прорвали первую линию обороны и уничтожили при этом свыше 100 противотанковых пушек. Затем был также прорван второй оборонительный рубеж немцев. Другая наша часть в бою за населённый пункт уничтожила 7 немецких танков, 22 орудия, бронемашину, 14 автомашин с грузом, 10 пулемётных точек и свыше батальона пехоты противника. На одном из участков гитлеровцы силою до батальона повели наступление на наши укреплённые рубежи. Артиллерийским, миномётным и ружейно-пулемётным огнём наши гвардейцы разгромили немецкий батальон. Лишь нескольким десяткам гитлеровцев удалось спастись бегством.</w:t>
      </w:r>
    </w:p>
    <w:p w14:paraId="1A441A02"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Миллерова наши войска с боями отходили на новые позиции. В непрерывных тяжёлых боях с превосходящими силами немецко-фашистских войск наши части наносят немцам большие потери. Бойцы одной нашей части за три дня напряжённых боев истребили до 4.000 гитлеровцев и уничтожили 35 немецких танков. Наша авиация смелыми налётами опустошает ряды наступающих гитлеровских войск.</w:t>
      </w:r>
    </w:p>
    <w:p w14:paraId="41A67CEB"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дня на отдельных участках Западного фронта огнём нашей артиллерии, миномётов и разведывательными группами уничтожено 1.200 немецких солдат и офицеров. Захвачены пленные.</w:t>
      </w:r>
    </w:p>
    <w:p w14:paraId="2B131412"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наши бойцы выбили немцев из населённого пункта. Противник потерял 3 танка и 250 солдат и офицеров.</w:t>
      </w:r>
    </w:p>
    <w:p w14:paraId="15F5C212"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Бригада воентехника тов. Иванко в полевых условиях, работая без отдыха 50 часов, досрочно выпустила из ремонта 4 танка. В первом же бою экипаж младшего лейтенанта Фролова на одной из отремонтированных машин уничтожил 3 немецких танка и одно противотанковое орудие.</w:t>
      </w:r>
    </w:p>
    <w:p w14:paraId="1022E39D"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Снайпер Семён Номоконов отлично владеет трёхлинейной винтовкой. С ноября 1941 года он истребил 222 гитлеровца. Его ученик красноармеец Курылов истребил 98 немцев.</w:t>
      </w:r>
    </w:p>
    <w:p w14:paraId="2582C4EB"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ленинградских партизан из отряда, где командиром тов. С., организовала на шоссе засаду и забросала гранатами автоколонну противника. Воспользовавшись замешательством гитлеровцев, партизаны уничтожили 5 грузовых автомашин с горючим и боеприпасами и перебили 35 немецко-фашистских оккупантов.</w:t>
      </w:r>
    </w:p>
    <w:p w14:paraId="24C93EC5"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166 полка 82 немецкой пехотной дивизии Вильгельм М. рассказал: «За два дня третий батальон потерял убитыми более 250 человек, в том числе убит командир батальона майор Бозе. Вследствие огромных потерь командование бросает в бой солдат из обозов и прочих нестроевых команд. Я был всё время ездовым. В первых числах июля меня назначили стрелком и послали на передовые позиции».</w:t>
      </w:r>
    </w:p>
    <w:p w14:paraId="5779C56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разграбили и сожгли деревню Алешок, Орловской области. Огнём уничтожены 97 жилых домов и все общественные постройки колхоза. Гитлеровцы замучили и расстреляли многих крестьян. Ворвавшись в дом колхозника Казакова Антона Ивановича, палачи сначала убили пятерых его детей, а потом застрелили жену Казакова и его самого. Гитлеровские звери надругались над1 7-летней девушкой Марией Потанчиковой, а потом расстреляли её.</w:t>
      </w:r>
    </w:p>
    <w:p w14:paraId="75972FAC"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Германии широко применяется новый заменитель муки, приготовляемый из отходов химической промышленности. При выпечке хлеба в муку примешивается не менее 30 процентов заменителя. Подобный «эрзац-хлеб» вызывает массовые желудочные заболевания.»</w:t>
      </w:r>
    </w:p>
    <w:p w14:paraId="440CD438"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Итоги двухмесячных боёв на советско-германском фронте (с 15 мая по 15 июля 1942 года):</w:t>
      </w:r>
    </w:p>
    <w:p w14:paraId="3B363033"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«Ожесточённые бои на советско-германском фронте, происходившие с 15 мая по 15июля, ясно выявили то новое, что отличает борьбу в 1942 году от борьбы в 1941 году. Это отличие состоит в том, что возросшая организованность и стойкость Красной Армии в борьбе с врагом принудили немцев сразу вводить в бой основные </w:t>
      </w:r>
      <w:r w:rsidRPr="00722885">
        <w:rPr>
          <w:rFonts w:ascii="Times New Roman" w:hAnsi="Times New Roman"/>
          <w:color w:val="000000" w:themeColor="text1"/>
          <w:sz w:val="16"/>
          <w:szCs w:val="16"/>
        </w:rPr>
        <w:lastRenderedPageBreak/>
        <w:t>силы и резервы своих армий, продвигаться вперёд гораздо более медленно, чем прежде, и нести в ходе боёв огромные, невосполнимые потери людьми и техникой. Вот данные о наших и немецких потерях за период с 15 мая по 15 июля 1942 года.</w:t>
      </w:r>
    </w:p>
    <w:p w14:paraId="28E3F5C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войска потеряли убитыми, ранеными и пленными не менее 900.000 солдат и офицеров, из них убитыми не менее 350.000. Они потеряли кроме того до 2.000 орудий всех калибров, до 2.900 танков, не менее 3.000 самолётов.</w:t>
      </w:r>
    </w:p>
    <w:p w14:paraId="4C58F104"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Красная Армия потеряла за этот же период 399.000 человек убитыми, ранеными и пропавшими без вести, 1.905 орудий всех калибров, 940 танков, 1.354 самолёта.</w:t>
      </w:r>
    </w:p>
    <w:p w14:paraId="0B230DDC"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этих данных видно, что только за последние два месяца немцы потеряли убитыми, ранеными и пленными около миллиона солдат и офицеров. В этом и состоит решающий итог двухмесячных боёв. Правда, в ходе этих боёв советские войска оставили ряд районов и городов, но нанесли гитлеровцам огромный урон в людях и технике.</w:t>
      </w:r>
    </w:p>
    <w:p w14:paraId="5AD75782"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 показывает, что чем больше потерь несёт германская армия, тем наглее лжёт германское информационное бюро, тем громче лай и визг несётся из берлинской подворотни. За последние дни гитлеровцы в жульничестве и вранье превзошли даже самих себя.</w:t>
      </w:r>
    </w:p>
    <w:p w14:paraId="124504F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Еще не просохли чернила на лживом сообщении германского командования от 13 июля, как германское информационное бюро опубликовало новое сообщение о потерях Красной Армии за два месяца. При этом называются умопомрачительные цифры якобы захваченных пленных, уничтоженных танков и орудий. Немцы сообщают, будто бы они с 14 мая по 13 июля захватили в плен 706.000 советских солдат, захватили и уничтожили 3.940 танков и 7.100 орудий. Это бредовое сообщение гитлеровцев, рассчитанное на дурачков, оставляет позади все известные до сих пор неуклюжие берлинские фальшивки. Если подсчитать по сообщениям германского информационного бюро якобы захваченные немецкими войсками за время войны трофеи, то окажется, что у Красной Армии уже давно не осталось не только ни одного танка и ни одного орудия, но не осталось также и солдат.</w:t>
      </w:r>
    </w:p>
    <w:p w14:paraId="7CDC89C3"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Гитлеровские жулики, опубликовывая фантастические данные, в прошлом уже не раз ставили себя в смешное положение. Потом им пришлось всячески выкручиваться. Однако эти уроки им впрок не пошли. Они снова стараются одурачить население Германии и тем самым скрыть от немецкого народа правду об огромных потерях немецко-фашистской армии на советско-германском фронте. Но теперь мировое общественное мнение и даже население Германии, испытавшее на своей шкуре подлинные потери гитлеровских войск на советско-германском фронте, уже, как правило, встречают каждое «специальное сообщение» Гитлера народной поговоркой: «Ври, да знай меру!» (14954).</w:t>
      </w:r>
    </w:p>
    <w:p w14:paraId="339DFEB8"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4F419C81"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в 1942 году войска 62-й армии Сталинградского фронта заняли оборону на рубеже Клетская, Ерастовский, Суровикино, а войска 64-й армии — на рубеже Суровикино, Верхнекурмоярская (14954).</w:t>
      </w:r>
    </w:p>
    <w:p w14:paraId="231DDB87"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4B7B9BA4"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в 1942 году введены отличительные знаки для военнослужащих, раненных на фронтах Великой Отечественной войны (14954).</w:t>
      </w:r>
    </w:p>
    <w:p w14:paraId="600EB4FF"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2F4293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с аэро</w:t>
      </w:r>
      <w:r w:rsidRPr="00722885">
        <w:rPr>
          <w:rFonts w:ascii="Times New Roman" w:hAnsi="Times New Roman"/>
          <w:color w:val="000000" w:themeColor="text1"/>
          <w:sz w:val="16"/>
          <w:szCs w:val="16"/>
        </w:rPr>
        <w:softHyphen/>
        <w:t>дрома Анапское вступил в бой второй полк, вооруженный УТ-1б. К 22 августа он совер</w:t>
      </w:r>
      <w:r w:rsidRPr="00722885">
        <w:rPr>
          <w:rFonts w:ascii="Times New Roman" w:hAnsi="Times New Roman"/>
          <w:color w:val="000000" w:themeColor="text1"/>
          <w:sz w:val="16"/>
          <w:szCs w:val="16"/>
        </w:rPr>
        <w:softHyphen/>
        <w:t>шил 260 вылетов на штурмовку, причем около сотни из них - днем. Этого требо</w:t>
      </w:r>
      <w:r w:rsidRPr="00722885">
        <w:rPr>
          <w:rFonts w:ascii="Times New Roman" w:hAnsi="Times New Roman"/>
          <w:color w:val="000000" w:themeColor="text1"/>
          <w:sz w:val="16"/>
          <w:szCs w:val="16"/>
        </w:rPr>
        <w:softHyphen/>
        <w:t>вала тяжелая обстановка на фронте, а также - примитивное оборудование са</w:t>
      </w:r>
      <w:r w:rsidRPr="00722885">
        <w:rPr>
          <w:rFonts w:ascii="Times New Roman" w:hAnsi="Times New Roman"/>
          <w:color w:val="000000" w:themeColor="text1"/>
          <w:sz w:val="16"/>
          <w:szCs w:val="16"/>
        </w:rPr>
        <w:softHyphen/>
        <w:t>молетов. УТ-16 не имел ни фар, ни факелодержателей для ночной посадки, а приборное оборудование было рассчи</w:t>
      </w:r>
      <w:r w:rsidRPr="00722885">
        <w:rPr>
          <w:rFonts w:ascii="Times New Roman" w:hAnsi="Times New Roman"/>
          <w:color w:val="000000" w:themeColor="text1"/>
          <w:sz w:val="16"/>
          <w:szCs w:val="16"/>
        </w:rPr>
        <w:softHyphen/>
        <w:t>тано лишь на полеты в самых простых погодных условиях (3955).</w:t>
      </w:r>
    </w:p>
    <w:p w14:paraId="281B88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587D9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НКВМФ Н.Г.Кузнецов выпустил директиву N 338/Ш о недостатках боевой деятельности авиации (2120).</w:t>
      </w:r>
    </w:p>
    <w:p w14:paraId="34D7E5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D18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ввели нашивки за ранения в КА, а 20 июля - в ВМФ (3398,247).</w:t>
      </w:r>
    </w:p>
    <w:p w14:paraId="14EB0F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AC7C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Гитлер впервые прибыл в свою ставку “Верфольф” под Винницей (4962).</w:t>
      </w:r>
    </w:p>
    <w:p w14:paraId="508FADB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08C9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вышло Постановление ГКО № 2053 О сформировании шести армейских полков ПВО для 6,60,62,63,64 и 4-й резервных армий. РГАНИР, Фонд ГКО, д. 44, лл. 196 (11012).</w:t>
      </w:r>
    </w:p>
    <w:p w14:paraId="7334B8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81D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вышло Постановление ГКО № 2054 О сформировании четырех армейских полков ПВО для Северо-Кавказского фронта. РГАНИР, Фонд ГКО, д. 44, лл. 197 (11012).</w:t>
      </w:r>
    </w:p>
    <w:p w14:paraId="28DCF5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D82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вышло Постановление ГКО № 2055 О сформировании легких артиллерийских полков РГК и артиллерийских полков гвардейских стрелковых корпусов. РГАНИР, Фонд ГКО, д. 44, лл. 198 (11012).</w:t>
      </w:r>
    </w:p>
    <w:p w14:paraId="4A0E6C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736701"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в 1942 году Адольф Гитлер впервые прибывает в свою ставку "Верфольф" под Винницей (14954).</w:t>
      </w:r>
    </w:p>
    <w:p w14:paraId="3443497C"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1466F5C3"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Жизнь и внутренняя политика:</w:t>
      </w:r>
    </w:p>
    <w:p w14:paraId="4CEEF9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F5F860"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вышло Постановление ГКО № 2052 О мобилизации автомашин и тракторов из народного хозяйства Краснодарского и Орджоникидзевского краев, Кабардино-Балкарской, Чечено-Ингушской, Северо-Осетинской АССР и части Ростовской области для доукомплектования войсковых частей Северо-Кавказского фронта. (7043, 194,195).</w:t>
      </w:r>
    </w:p>
    <w:p w14:paraId="25462C1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16C840"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550CFA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A5DC93" w14:textId="77777777" w:rsidR="0016638B" w:rsidRPr="00722885" w:rsidRDefault="0016638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16 июля 1942 года состоялся первый полет Junkers Ju 290 (20793).</w:t>
      </w:r>
    </w:p>
    <w:p w14:paraId="7E0BC0CD" w14:textId="77777777" w:rsidR="0016638B" w:rsidRPr="00722885" w:rsidRDefault="0016638B" w:rsidP="00722885">
      <w:pPr>
        <w:spacing w:after="0" w:line="240" w:lineRule="auto"/>
        <w:jc w:val="both"/>
        <w:rPr>
          <w:rFonts w:ascii="Times New Roman" w:hAnsi="Times New Roman"/>
          <w:color w:val="0070C0"/>
          <w:sz w:val="16"/>
          <w:szCs w:val="16"/>
        </w:rPr>
      </w:pPr>
    </w:p>
    <w:p w14:paraId="6DFF0D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июля 1942 США разорвали консульские отношения с Финляндией (3186).</w:t>
      </w:r>
    </w:p>
    <w:p w14:paraId="6CAD1F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F1F35"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35AD0A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5A6E26" w14:textId="77777777" w:rsidR="005D11FF" w:rsidRPr="00722885" w:rsidRDefault="005D11F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Начиная с 17 июля 1943 г., в строевые ча</w:t>
      </w:r>
      <w:r w:rsidRPr="00722885">
        <w:rPr>
          <w:rFonts w:ascii="Times New Roman" w:hAnsi="Times New Roman"/>
          <w:color w:val="0070C0"/>
          <w:sz w:val="16"/>
          <w:szCs w:val="16"/>
        </w:rPr>
        <w:softHyphen/>
        <w:t>сти ВВС КА стали поступать Ил-2 с увеличен</w:t>
      </w:r>
      <w:r w:rsidRPr="00722885">
        <w:rPr>
          <w:rFonts w:ascii="Times New Roman" w:hAnsi="Times New Roman"/>
          <w:color w:val="0070C0"/>
          <w:sz w:val="16"/>
          <w:szCs w:val="16"/>
        </w:rPr>
        <w:softHyphen/>
        <w:t>ным вырезом в фонаре кабины воздушно</w:t>
      </w:r>
      <w:r w:rsidRPr="00722885">
        <w:rPr>
          <w:rFonts w:ascii="Times New Roman" w:hAnsi="Times New Roman"/>
          <w:color w:val="0070C0"/>
          <w:sz w:val="16"/>
          <w:szCs w:val="16"/>
        </w:rPr>
        <w:softHyphen/>
        <w:t>го стрелка для расширения области обстре</w:t>
      </w:r>
      <w:r w:rsidRPr="00722885">
        <w:rPr>
          <w:rFonts w:ascii="Times New Roman" w:hAnsi="Times New Roman"/>
          <w:color w:val="0070C0"/>
          <w:sz w:val="16"/>
          <w:szCs w:val="16"/>
        </w:rPr>
        <w:softHyphen/>
        <w:t>ла из пулемета УБТ и улучшенным замком фонаря. Эти доработки были внедрены с са</w:t>
      </w:r>
      <w:r w:rsidRPr="00722885">
        <w:rPr>
          <w:rFonts w:ascii="Times New Roman" w:hAnsi="Times New Roman"/>
          <w:color w:val="0070C0"/>
          <w:sz w:val="16"/>
          <w:szCs w:val="16"/>
        </w:rPr>
        <w:softHyphen/>
        <w:t>молета зав. №1870165. С 15 апреля в армию стали передавать самолеты Ил-2 (начиная зав. №1870153), оборудованные привязными ремнями воздушного стрелка )19879).</w:t>
      </w:r>
    </w:p>
    <w:p w14:paraId="3C40762E" w14:textId="77777777" w:rsidR="005D11FF" w:rsidRPr="00722885" w:rsidRDefault="005D11FF" w:rsidP="00722885">
      <w:pPr>
        <w:spacing w:after="0" w:line="240" w:lineRule="auto"/>
        <w:jc w:val="both"/>
        <w:rPr>
          <w:rFonts w:ascii="Times New Roman" w:hAnsi="Times New Roman"/>
          <w:color w:val="0070C0"/>
          <w:sz w:val="16"/>
          <w:szCs w:val="16"/>
        </w:rPr>
      </w:pPr>
    </w:p>
    <w:p w14:paraId="4A72C6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Зам. НКАП Дементьев писал письмо N Н-36/2757 Репину:</w:t>
      </w:r>
    </w:p>
    <w:p w14:paraId="3043A7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Вашего разрешения на выпуск заводом 30 самолетов Ил-2 с лонжеронами рулей из клепаных труб...</w:t>
      </w:r>
    </w:p>
    <w:p w14:paraId="2E7197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Проведенными статиспытаниями и эксплуатацией самолетов завода 30 установлено, что клепаные трубы лонжеронов имеют значительный запас прочности и допускают нормальную эксплуатацию рулей." (1633,168).</w:t>
      </w:r>
    </w:p>
    <w:p w14:paraId="56DE67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28F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года начальник 10-го гл. управления НКАП Тарасевич за N 507 направил.</w:t>
      </w:r>
    </w:p>
    <w:p w14:paraId="6D9760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 запуска бронеизделий по заводам 10 гл. управления НКАП на III квартал 1942 г.</w:t>
      </w:r>
    </w:p>
    <w:p w14:paraId="636BF7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расчета материального снабжения)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791"/>
        <w:gridCol w:w="1052"/>
        <w:gridCol w:w="1404"/>
        <w:gridCol w:w="1045"/>
        <w:gridCol w:w="1372"/>
        <w:gridCol w:w="1151"/>
        <w:gridCol w:w="1264"/>
      </w:tblGrid>
      <w:tr w:rsidR="009B487A" w:rsidRPr="00722885" w14:paraId="08FA3277" w14:textId="77777777" w:rsidTr="00CC5360">
        <w:tc>
          <w:tcPr>
            <w:tcW w:w="1668" w:type="dxa"/>
            <w:tcBorders>
              <w:top w:val="single" w:sz="12" w:space="0" w:color="auto"/>
            </w:tcBorders>
          </w:tcPr>
          <w:p w14:paraId="3FF7FF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 изделий</w:t>
            </w:r>
          </w:p>
        </w:tc>
        <w:tc>
          <w:tcPr>
            <w:tcW w:w="850" w:type="dxa"/>
            <w:tcBorders>
              <w:top w:val="single" w:sz="12" w:space="0" w:color="auto"/>
            </w:tcBorders>
          </w:tcPr>
          <w:p w14:paraId="281C46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Един.</w:t>
            </w:r>
          </w:p>
        </w:tc>
        <w:tc>
          <w:tcPr>
            <w:tcW w:w="791" w:type="dxa"/>
            <w:tcBorders>
              <w:top w:val="single" w:sz="12" w:space="0" w:color="auto"/>
            </w:tcBorders>
          </w:tcPr>
          <w:p w14:paraId="5FC44C2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Borders>
              <w:top w:val="single" w:sz="12" w:space="0" w:color="auto"/>
            </w:tcBorders>
          </w:tcPr>
          <w:p w14:paraId="08AA63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N 125</w:t>
            </w:r>
          </w:p>
        </w:tc>
        <w:tc>
          <w:tcPr>
            <w:tcW w:w="1404" w:type="dxa"/>
            <w:tcBorders>
              <w:top w:val="single" w:sz="12" w:space="0" w:color="auto"/>
            </w:tcBorders>
          </w:tcPr>
          <w:p w14:paraId="0BB2AF8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12" w:space="0" w:color="auto"/>
            </w:tcBorders>
          </w:tcPr>
          <w:p w14:paraId="6105294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N 207</w:t>
            </w:r>
          </w:p>
        </w:tc>
        <w:tc>
          <w:tcPr>
            <w:tcW w:w="1372" w:type="dxa"/>
            <w:tcBorders>
              <w:top w:val="single" w:sz="12" w:space="0" w:color="auto"/>
            </w:tcBorders>
          </w:tcPr>
          <w:p w14:paraId="1E0D9B6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1" w:type="dxa"/>
            <w:tcBorders>
              <w:top w:val="single" w:sz="12" w:space="0" w:color="auto"/>
            </w:tcBorders>
          </w:tcPr>
          <w:p w14:paraId="0B1090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1264" w:type="dxa"/>
            <w:tcBorders>
              <w:top w:val="single" w:sz="12" w:space="0" w:color="auto"/>
            </w:tcBorders>
          </w:tcPr>
          <w:p w14:paraId="158421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6ADEE9AB" w14:textId="77777777" w:rsidTr="00CC5360">
        <w:tc>
          <w:tcPr>
            <w:tcW w:w="1668" w:type="dxa"/>
          </w:tcPr>
          <w:p w14:paraId="016EB4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F15581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измерен.</w:t>
            </w:r>
          </w:p>
        </w:tc>
        <w:tc>
          <w:tcPr>
            <w:tcW w:w="791" w:type="dxa"/>
          </w:tcPr>
          <w:p w14:paraId="40E03F2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75E351E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плану</w:t>
            </w:r>
          </w:p>
        </w:tc>
        <w:tc>
          <w:tcPr>
            <w:tcW w:w="1404" w:type="dxa"/>
          </w:tcPr>
          <w:p w14:paraId="2CCA23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предлагаем.</w:t>
            </w:r>
          </w:p>
        </w:tc>
        <w:tc>
          <w:tcPr>
            <w:tcW w:w="1045" w:type="dxa"/>
          </w:tcPr>
          <w:p w14:paraId="61B42C6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плану</w:t>
            </w:r>
          </w:p>
        </w:tc>
        <w:tc>
          <w:tcPr>
            <w:tcW w:w="1372" w:type="dxa"/>
          </w:tcPr>
          <w:p w14:paraId="5818F2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предлагаем.</w:t>
            </w:r>
          </w:p>
        </w:tc>
        <w:tc>
          <w:tcPr>
            <w:tcW w:w="1151" w:type="dxa"/>
          </w:tcPr>
          <w:p w14:paraId="500D3C4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плану</w:t>
            </w:r>
          </w:p>
        </w:tc>
        <w:tc>
          <w:tcPr>
            <w:tcW w:w="1264" w:type="dxa"/>
          </w:tcPr>
          <w:p w14:paraId="26CEE9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предлагаем.</w:t>
            </w:r>
          </w:p>
        </w:tc>
      </w:tr>
      <w:tr w:rsidR="009B487A" w:rsidRPr="00722885" w14:paraId="2934AD30" w14:textId="77777777" w:rsidTr="00CC5360">
        <w:tc>
          <w:tcPr>
            <w:tcW w:w="1668" w:type="dxa"/>
          </w:tcPr>
          <w:p w14:paraId="04B73F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5197C6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1" w:type="dxa"/>
          </w:tcPr>
          <w:p w14:paraId="3DC6CF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0F1D63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ГОКО</w:t>
            </w:r>
          </w:p>
        </w:tc>
        <w:tc>
          <w:tcPr>
            <w:tcW w:w="1404" w:type="dxa"/>
          </w:tcPr>
          <w:p w14:paraId="757382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плану</w:t>
            </w:r>
          </w:p>
        </w:tc>
        <w:tc>
          <w:tcPr>
            <w:tcW w:w="1045" w:type="dxa"/>
          </w:tcPr>
          <w:p w14:paraId="6B72B1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ГОКО</w:t>
            </w:r>
          </w:p>
        </w:tc>
        <w:tc>
          <w:tcPr>
            <w:tcW w:w="1372" w:type="dxa"/>
          </w:tcPr>
          <w:p w14:paraId="2A0CF7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плану</w:t>
            </w:r>
          </w:p>
        </w:tc>
        <w:tc>
          <w:tcPr>
            <w:tcW w:w="1151" w:type="dxa"/>
          </w:tcPr>
          <w:p w14:paraId="4E918B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ГОКО</w:t>
            </w:r>
          </w:p>
        </w:tc>
        <w:tc>
          <w:tcPr>
            <w:tcW w:w="1264" w:type="dxa"/>
          </w:tcPr>
          <w:p w14:paraId="409181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плану</w:t>
            </w:r>
          </w:p>
        </w:tc>
      </w:tr>
      <w:tr w:rsidR="009B487A" w:rsidRPr="00722885" w14:paraId="551B309B" w14:textId="77777777" w:rsidTr="00CC5360">
        <w:tc>
          <w:tcPr>
            <w:tcW w:w="1668" w:type="dxa"/>
          </w:tcPr>
          <w:p w14:paraId="64E4E1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Бронекорпуса Ил-2</w:t>
            </w:r>
          </w:p>
        </w:tc>
        <w:tc>
          <w:tcPr>
            <w:tcW w:w="850" w:type="dxa"/>
          </w:tcPr>
          <w:p w14:paraId="3BBD2D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кмп.</w:t>
            </w:r>
          </w:p>
        </w:tc>
        <w:tc>
          <w:tcPr>
            <w:tcW w:w="791" w:type="dxa"/>
          </w:tcPr>
          <w:p w14:paraId="638661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354472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w:t>
            </w:r>
          </w:p>
        </w:tc>
        <w:tc>
          <w:tcPr>
            <w:tcW w:w="1404" w:type="dxa"/>
          </w:tcPr>
          <w:p w14:paraId="1DF129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w:t>
            </w:r>
          </w:p>
        </w:tc>
        <w:tc>
          <w:tcPr>
            <w:tcW w:w="1045" w:type="dxa"/>
          </w:tcPr>
          <w:p w14:paraId="47C754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1372" w:type="dxa"/>
          </w:tcPr>
          <w:p w14:paraId="4506BE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1151" w:type="dxa"/>
          </w:tcPr>
          <w:p w14:paraId="2EC2DF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2700</w:t>
            </w:r>
          </w:p>
        </w:tc>
        <w:tc>
          <w:tcPr>
            <w:tcW w:w="1264" w:type="dxa"/>
          </w:tcPr>
          <w:p w14:paraId="050969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2750</w:t>
            </w:r>
          </w:p>
        </w:tc>
      </w:tr>
      <w:tr w:rsidR="009B487A" w:rsidRPr="00722885" w14:paraId="02F052E5" w14:textId="77777777" w:rsidTr="00CC5360">
        <w:tc>
          <w:tcPr>
            <w:tcW w:w="1668" w:type="dxa"/>
          </w:tcPr>
          <w:p w14:paraId="0F2489C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Бронедетали Пе-2</w:t>
            </w:r>
          </w:p>
        </w:tc>
        <w:tc>
          <w:tcPr>
            <w:tcW w:w="850" w:type="dxa"/>
          </w:tcPr>
          <w:p w14:paraId="07C60D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91" w:type="dxa"/>
          </w:tcPr>
          <w:p w14:paraId="540B62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53CEFF8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c>
          <w:tcPr>
            <w:tcW w:w="1404" w:type="dxa"/>
          </w:tcPr>
          <w:p w14:paraId="472E946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1045" w:type="dxa"/>
          </w:tcPr>
          <w:p w14:paraId="60FFCE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466</w:t>
            </w:r>
          </w:p>
        </w:tc>
        <w:tc>
          <w:tcPr>
            <w:tcW w:w="1372" w:type="dxa"/>
          </w:tcPr>
          <w:p w14:paraId="50951B8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620</w:t>
            </w:r>
          </w:p>
        </w:tc>
        <w:tc>
          <w:tcPr>
            <w:tcW w:w="1151" w:type="dxa"/>
          </w:tcPr>
          <w:p w14:paraId="034E67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515</w:t>
            </w:r>
          </w:p>
        </w:tc>
        <w:tc>
          <w:tcPr>
            <w:tcW w:w="1264" w:type="dxa"/>
          </w:tcPr>
          <w:p w14:paraId="71EF43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720</w:t>
            </w:r>
          </w:p>
        </w:tc>
      </w:tr>
      <w:tr w:rsidR="009B487A" w:rsidRPr="00722885" w14:paraId="30FB480F" w14:textId="77777777" w:rsidTr="00CC5360">
        <w:tc>
          <w:tcPr>
            <w:tcW w:w="1668" w:type="dxa"/>
          </w:tcPr>
          <w:p w14:paraId="58A8BA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5C1669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ИЛ-4</w:t>
            </w:r>
          </w:p>
        </w:tc>
        <w:tc>
          <w:tcPr>
            <w:tcW w:w="791" w:type="dxa"/>
          </w:tcPr>
          <w:p w14:paraId="62EAF4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52" w:type="dxa"/>
          </w:tcPr>
          <w:p w14:paraId="6A9F9F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175</w:t>
            </w:r>
          </w:p>
        </w:tc>
        <w:tc>
          <w:tcPr>
            <w:tcW w:w="1404" w:type="dxa"/>
          </w:tcPr>
          <w:p w14:paraId="08BEB8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265</w:t>
            </w:r>
          </w:p>
        </w:tc>
        <w:tc>
          <w:tcPr>
            <w:tcW w:w="1045" w:type="dxa"/>
          </w:tcPr>
          <w:p w14:paraId="17B20C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205</w:t>
            </w:r>
          </w:p>
        </w:tc>
        <w:tc>
          <w:tcPr>
            <w:tcW w:w="1372" w:type="dxa"/>
          </w:tcPr>
          <w:p w14:paraId="248D44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280</w:t>
            </w:r>
          </w:p>
        </w:tc>
        <w:tc>
          <w:tcPr>
            <w:tcW w:w="1151" w:type="dxa"/>
          </w:tcPr>
          <w:p w14:paraId="5A87CF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380</w:t>
            </w:r>
          </w:p>
        </w:tc>
        <w:tc>
          <w:tcPr>
            <w:tcW w:w="1264" w:type="dxa"/>
          </w:tcPr>
          <w:p w14:paraId="271D7A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545</w:t>
            </w:r>
          </w:p>
        </w:tc>
      </w:tr>
      <w:tr w:rsidR="009B487A" w:rsidRPr="00722885" w14:paraId="3F01EFDC" w14:textId="77777777" w:rsidTr="00CC5360">
        <w:tc>
          <w:tcPr>
            <w:tcW w:w="1668" w:type="dxa"/>
          </w:tcPr>
          <w:p w14:paraId="33082A4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5B4B0D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ПС-84</w:t>
            </w:r>
          </w:p>
        </w:tc>
        <w:tc>
          <w:tcPr>
            <w:tcW w:w="791" w:type="dxa"/>
          </w:tcPr>
          <w:p w14:paraId="6948758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tc>
        <w:tc>
          <w:tcPr>
            <w:tcW w:w="1052" w:type="dxa"/>
          </w:tcPr>
          <w:p w14:paraId="1BD223C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404" w:type="dxa"/>
          </w:tcPr>
          <w:p w14:paraId="67B41B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w:t>
            </w:r>
          </w:p>
        </w:tc>
        <w:tc>
          <w:tcPr>
            <w:tcW w:w="1045" w:type="dxa"/>
          </w:tcPr>
          <w:p w14:paraId="039C82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340</w:t>
            </w:r>
          </w:p>
        </w:tc>
        <w:tc>
          <w:tcPr>
            <w:tcW w:w="1372" w:type="dxa"/>
          </w:tcPr>
          <w:p w14:paraId="263D19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365</w:t>
            </w:r>
          </w:p>
        </w:tc>
        <w:tc>
          <w:tcPr>
            <w:tcW w:w="1151" w:type="dxa"/>
          </w:tcPr>
          <w:p w14:paraId="10F6FF1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340</w:t>
            </w:r>
          </w:p>
        </w:tc>
        <w:tc>
          <w:tcPr>
            <w:tcW w:w="1264" w:type="dxa"/>
          </w:tcPr>
          <w:p w14:paraId="6EA4B0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625</w:t>
            </w:r>
          </w:p>
        </w:tc>
      </w:tr>
      <w:tr w:rsidR="009B487A" w:rsidRPr="00722885" w14:paraId="56C2D588" w14:textId="77777777" w:rsidTr="00CC5360">
        <w:tc>
          <w:tcPr>
            <w:tcW w:w="1668" w:type="dxa"/>
          </w:tcPr>
          <w:p w14:paraId="485B93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7C31BC8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А-34</w:t>
            </w:r>
          </w:p>
        </w:tc>
        <w:tc>
          <w:tcPr>
            <w:tcW w:w="791" w:type="dxa"/>
          </w:tcPr>
          <w:p w14:paraId="1B19EA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кмп.</w:t>
            </w:r>
          </w:p>
        </w:tc>
        <w:tc>
          <w:tcPr>
            <w:tcW w:w="1052" w:type="dxa"/>
          </w:tcPr>
          <w:p w14:paraId="4C401C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225</w:t>
            </w:r>
          </w:p>
        </w:tc>
        <w:tc>
          <w:tcPr>
            <w:tcW w:w="1404" w:type="dxa"/>
          </w:tcPr>
          <w:p w14:paraId="528FF92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w:t>
            </w:r>
          </w:p>
        </w:tc>
        <w:tc>
          <w:tcPr>
            <w:tcW w:w="1045" w:type="dxa"/>
          </w:tcPr>
          <w:p w14:paraId="785679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540</w:t>
            </w:r>
          </w:p>
        </w:tc>
        <w:tc>
          <w:tcPr>
            <w:tcW w:w="1372" w:type="dxa"/>
          </w:tcPr>
          <w:p w14:paraId="2871BBA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750</w:t>
            </w:r>
          </w:p>
        </w:tc>
        <w:tc>
          <w:tcPr>
            <w:tcW w:w="1151" w:type="dxa"/>
          </w:tcPr>
          <w:p w14:paraId="2E38FF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765</w:t>
            </w:r>
          </w:p>
        </w:tc>
        <w:tc>
          <w:tcPr>
            <w:tcW w:w="1264" w:type="dxa"/>
          </w:tcPr>
          <w:p w14:paraId="5BB8AC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1075</w:t>
            </w:r>
          </w:p>
        </w:tc>
      </w:tr>
      <w:tr w:rsidR="009B487A" w:rsidRPr="00722885" w14:paraId="2D90701C" w14:textId="77777777" w:rsidTr="00CC5360">
        <w:tc>
          <w:tcPr>
            <w:tcW w:w="1668" w:type="dxa"/>
          </w:tcPr>
          <w:p w14:paraId="0B869B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4610CF7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ЛАГГ-3</w:t>
            </w:r>
          </w:p>
        </w:tc>
        <w:tc>
          <w:tcPr>
            <w:tcW w:w="791" w:type="dxa"/>
          </w:tcPr>
          <w:p w14:paraId="0DF3D8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52" w:type="dxa"/>
          </w:tcPr>
          <w:p w14:paraId="5EB64F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404" w:type="dxa"/>
          </w:tcPr>
          <w:p w14:paraId="1311538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w:t>
            </w:r>
          </w:p>
        </w:tc>
        <w:tc>
          <w:tcPr>
            <w:tcW w:w="1045" w:type="dxa"/>
          </w:tcPr>
          <w:p w14:paraId="1ABF0A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330</w:t>
            </w:r>
          </w:p>
        </w:tc>
        <w:tc>
          <w:tcPr>
            <w:tcW w:w="1372" w:type="dxa"/>
          </w:tcPr>
          <w:p w14:paraId="2E1539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275</w:t>
            </w:r>
          </w:p>
        </w:tc>
        <w:tc>
          <w:tcPr>
            <w:tcW w:w="1151" w:type="dxa"/>
          </w:tcPr>
          <w:p w14:paraId="7F44B5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330</w:t>
            </w:r>
          </w:p>
        </w:tc>
        <w:tc>
          <w:tcPr>
            <w:tcW w:w="1264" w:type="dxa"/>
          </w:tcPr>
          <w:p w14:paraId="09E4E77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w:t>
            </w:r>
          </w:p>
        </w:tc>
      </w:tr>
      <w:tr w:rsidR="009B487A" w:rsidRPr="00722885" w14:paraId="74D36D63" w14:textId="77777777" w:rsidTr="00CC5360">
        <w:tc>
          <w:tcPr>
            <w:tcW w:w="1668" w:type="dxa"/>
            <w:tcBorders>
              <w:bottom w:val="single" w:sz="12" w:space="0" w:color="auto"/>
            </w:tcBorders>
          </w:tcPr>
          <w:p w14:paraId="1929BE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w:t>
            </w:r>
          </w:p>
        </w:tc>
        <w:tc>
          <w:tcPr>
            <w:tcW w:w="850" w:type="dxa"/>
            <w:tcBorders>
              <w:bottom w:val="single" w:sz="12" w:space="0" w:color="auto"/>
            </w:tcBorders>
          </w:tcPr>
          <w:p w14:paraId="71832C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ТБ-7</w:t>
            </w:r>
          </w:p>
        </w:tc>
        <w:tc>
          <w:tcPr>
            <w:tcW w:w="791" w:type="dxa"/>
            <w:tcBorders>
              <w:bottom w:val="single" w:sz="12" w:space="0" w:color="auto"/>
            </w:tcBorders>
          </w:tcPr>
          <w:p w14:paraId="5044DC6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52" w:type="dxa"/>
            <w:tcBorders>
              <w:bottom w:val="single" w:sz="12" w:space="0" w:color="auto"/>
            </w:tcBorders>
          </w:tcPr>
          <w:p w14:paraId="7CC836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404" w:type="dxa"/>
            <w:tcBorders>
              <w:bottom w:val="single" w:sz="12" w:space="0" w:color="auto"/>
            </w:tcBorders>
          </w:tcPr>
          <w:p w14:paraId="27E974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45" w:type="dxa"/>
            <w:tcBorders>
              <w:bottom w:val="single" w:sz="12" w:space="0" w:color="auto"/>
            </w:tcBorders>
          </w:tcPr>
          <w:p w14:paraId="42165D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372" w:type="dxa"/>
            <w:tcBorders>
              <w:bottom w:val="single" w:sz="12" w:space="0" w:color="auto"/>
            </w:tcBorders>
          </w:tcPr>
          <w:p w14:paraId="6F13D9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w:t>
            </w:r>
          </w:p>
        </w:tc>
        <w:tc>
          <w:tcPr>
            <w:tcW w:w="1151" w:type="dxa"/>
            <w:tcBorders>
              <w:bottom w:val="single" w:sz="12" w:space="0" w:color="auto"/>
            </w:tcBorders>
          </w:tcPr>
          <w:p w14:paraId="6792FE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264" w:type="dxa"/>
            <w:tcBorders>
              <w:bottom w:val="single" w:sz="12" w:space="0" w:color="auto"/>
            </w:tcBorders>
          </w:tcPr>
          <w:p w14:paraId="0D4395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(1685)</w:t>
            </w:r>
          </w:p>
        </w:tc>
      </w:tr>
    </w:tbl>
    <w:p w14:paraId="6E185B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DB7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вышел приказ НКАП N 541c в целях обеспечения боеспособности самолетов на больших высотах:</w:t>
      </w:r>
    </w:p>
    <w:p w14:paraId="52C490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Директору и ГК завода 482 Щербакову немедленно развернуть работы по проектированию и изготовлению войсковой серии гермокабин на самолеты Як-7 и ЛаГГ-3 (1568,3).</w:t>
      </w:r>
    </w:p>
    <w:p w14:paraId="59EB154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CB9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л завода 292 С.С.Чеголя совершил аварию при испытаниях Як-1 N 1881 (2131), т.к. при посадке промазал и при резком развороте сломал обе стойки (2108).</w:t>
      </w:r>
    </w:p>
    <w:p w14:paraId="5982B35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26C6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г. "Родину" (именно под таким названием, а не как АНТ-37) зарегистрировали с гражданским номером СССР-</w:t>
      </w:r>
      <w:r w:rsidRPr="00722885">
        <w:rPr>
          <w:rFonts w:ascii="Times New Roman" w:hAnsi="Times New Roman"/>
          <w:color w:val="000000" w:themeColor="text1"/>
          <w:sz w:val="16"/>
          <w:szCs w:val="16"/>
          <w:lang w:val="en-US"/>
        </w:rPr>
        <w:t>N</w:t>
      </w:r>
      <w:r w:rsidRPr="00722885">
        <w:rPr>
          <w:rFonts w:ascii="Times New Roman" w:hAnsi="Times New Roman"/>
          <w:color w:val="000000" w:themeColor="text1"/>
          <w:sz w:val="16"/>
          <w:szCs w:val="16"/>
        </w:rPr>
        <w:t xml:space="preserve">443. Самолет принадлежал авиазаводу № 30 НКАП, в интересах которого выполнял транспортные полеты. 16 сентября 1943 г. по причине изношенности </w:t>
      </w:r>
      <w:r w:rsidRPr="00722885">
        <w:rPr>
          <w:rFonts w:ascii="Times New Roman" w:hAnsi="Times New Roman"/>
          <w:color w:val="000000" w:themeColor="text1"/>
          <w:sz w:val="16"/>
          <w:szCs w:val="16"/>
          <w:lang w:val="en-US"/>
        </w:rPr>
        <w:t>N</w:t>
      </w:r>
      <w:r w:rsidRPr="00722885">
        <w:rPr>
          <w:rFonts w:ascii="Times New Roman" w:hAnsi="Times New Roman"/>
          <w:color w:val="000000" w:themeColor="text1"/>
          <w:sz w:val="16"/>
          <w:szCs w:val="16"/>
        </w:rPr>
        <w:t>443 списали, после чего следы его затерялись навсегда (11946).</w:t>
      </w:r>
    </w:p>
    <w:p w14:paraId="188DA7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6697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17-18 июля 1942 комиссией НКАП был утвержден проект 302П А.Г.Костикова - ГИ РНИИ, до этого весной утвержденный техсоветом РНИИ. Проект был доложен К.Е.В. и на приеме у И.В.С. Костиков был назначен ГК ОКБ-55 и директором опытного завода, а М.Р.Бисноват стал начальником ОКБ (4,288).</w:t>
      </w:r>
    </w:p>
    <w:p w14:paraId="33C73D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6652C"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года акт испытаний опытного образца установки М-13-МI надпалубного типа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(15982).</w:t>
      </w:r>
    </w:p>
    <w:p w14:paraId="0DB439D4"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268CA7BD" w14:textId="77777777" w:rsidR="00087D2F" w:rsidRPr="00722885" w:rsidRDefault="00087D2F"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г. был утвержден акт испытаний установки М-13-М-1, смонтированной в Зеленодольске на бронекатере пр. 1124 надпалубная установка М-13-М 1. Испытания, проведен</w:t>
      </w:r>
      <w:r w:rsidRPr="00722885">
        <w:rPr>
          <w:rFonts w:ascii="Times New Roman" w:hAnsi="Times New Roman"/>
          <w:color w:val="000000" w:themeColor="text1"/>
          <w:sz w:val="16"/>
          <w:szCs w:val="16"/>
        </w:rPr>
        <w:softHyphen/>
        <w:t>ные отстрелом реактивных снарядов, были признаны успешными (3898).</w:t>
      </w:r>
    </w:p>
    <w:p w14:paraId="7D0BCB22" w14:textId="77777777" w:rsidR="00087D2F" w:rsidRPr="00722885" w:rsidRDefault="00087D2F"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CD083" w14:textId="77777777" w:rsidR="00087D2F" w:rsidRPr="00722885" w:rsidRDefault="00087D2F"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(11772).</w:t>
      </w:r>
    </w:p>
    <w:p w14:paraId="7758007C" w14:textId="77777777" w:rsidR="00087D2F" w:rsidRPr="00722885" w:rsidRDefault="00087D2F"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B42C5"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6EDD67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14E84D"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июля 1942 г.</w:t>
      </w:r>
    </w:p>
    <w:p w14:paraId="5820AB70"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235 – 234</w:t>
      </w:r>
    </w:p>
    <w:p w14:paraId="785DBCE1"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3F23F1BC"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Экстренно.</w:t>
      </w:r>
    </w:p>
    <w:p w14:paraId="60FD85A6"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526с</w:t>
      </w:r>
    </w:p>
    <w:p w14:paraId="78FD0EAA"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1F28760A"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июля 1942 г.</w:t>
      </w:r>
    </w:p>
    <w:p w14:paraId="6E450EDC"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соответствии с постановлением Государственного Комитета Обороны № ГОКО-2059с от 16 июля 1942 года "Об оборудовании и кадрах завода № 264 Наркомтанкопрома" – ПРИКАЗЫВАЮ:</w:t>
      </w:r>
    </w:p>
    <w:p w14:paraId="6A57F4B9"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1. В связи с прекращением производства танков Т-60 на заводе № 264 перевезти с завода № 264 на дизельный завод в г. Барнаул оборудование в количестве 1100 единиц, рабочих, ИТР и служащих в количестве 5000 человек, в том числе 100 – 150 монтажников из УКСа завода по монтажу металлорежущего и электрооборудования.</w:t>
      </w:r>
    </w:p>
    <w:p w14:paraId="4B543F23"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2. Перевезти часть незагруженного оборудования и материалов на СТЗ.</w:t>
      </w:r>
    </w:p>
    <w:p w14:paraId="7A070B10"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 Горегляд – на месте определить номенклатуру отгружаемого оборудования и материалов и сообщить в Наркомат.</w:t>
      </w:r>
    </w:p>
    <w:p w14:paraId="7B404D7C"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3. Начальнику Транспортного отдела Наркомата т. Косолапову, директору завода № 264 т. Кордунер и директору СТЗ т. Задорожному учесть и принять к исполнению, что ГОКО обязал НКПС тов. Хрулева:</w:t>
      </w:r>
    </w:p>
    <w:p w14:paraId="6CE984CE"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обеспечить подачу вагонов заводу № 264 (ст. Сарепта) в количестве 560 единиц под оборудование м материалы, 410 крытых вагонов для перевозки рабочих, ИТР и служащих, а также их семей;</w:t>
      </w:r>
    </w:p>
    <w:p w14:paraId="5598CF4A"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обеспечить подачу вагонов СТЗ в количестве 400 единиц для перевозки оборудования и материалов. Подача вагонов должна начаться немедленно в количестве 80 – 100 единиц в сутки. Отправку эшелонов производить через ст. Владимировку;</w:t>
      </w:r>
    </w:p>
    <w:p w14:paraId="62553ED8"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обеспечить СТЗ и завод № 264 45-тонным ж.д. кранами для погрузки оборудования, а также обеспечить подачу пяти большегрузных 60-тонных платформ.</w:t>
      </w:r>
    </w:p>
    <w:p w14:paraId="7B58D30F"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Т.т. Косолапову, Кордунер и Задорожному взять под личный контроль исполнение изложенных в § 3 пунктов.</w:t>
      </w:r>
    </w:p>
    <w:p w14:paraId="19A5EA8D"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4. Заместителю Народного комиссара т. Мосину и директорам заводов № 264 т. Кордунер и СТЗ т. Задорожному учесть и принять к исполнению, что ГОКО обязал Наркомторг т. Любимова выдать за счет фондов Наркомтанкопрома продукты питания на 20 дней для рабочих, ИТР, служащих и членов их семей, перевозимых из г. Сталинграда в г. Барнаул в количестве по представлению директоров заводов № 264 и СТЗ.</w:t>
      </w:r>
    </w:p>
    <w:p w14:paraId="0D23DFB1"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5. Начальнику ОКСа т. Корневу и директору Барнаульского завода т. Полиновскому реализовать решения ГОКО в части:</w:t>
      </w:r>
    </w:p>
    <w:p w14:paraId="3449532E"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обязывающей Наркомстрой т. Гинзбург построить для завода танковых дизелей в г. Барнауле и сдать в эксплоатацию жилые дома упрощенного типа общей площадью 35000 кв. метров, в том числе в августе 5000 кв. метров, в сентябре 7500 кв. метров, в октябре 7500 кв. метров, в ноябре 7500 кв. метров и в декабре 7500 кв. метров;</w:t>
      </w:r>
    </w:p>
    <w:p w14:paraId="7C08E94B"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обязывающей Госплан т. Сабурова, НКТП т. Зальцман и Наркомстрой т. Гинзбург в 10-дневный срок представить на утверждение СНК предложения по обеспечению строительства Барнаульского дизельного завода Наркомтанкопрома. т. Корневу представить мне не позже 25.VII-с.г. предложения, согласованные с Госпланом и Наркомстроем, для представления в СНК СССР.</w:t>
      </w:r>
    </w:p>
    <w:p w14:paraId="7CEADD6D"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6. Начальнику Отдела главного механика и энергетика т. Белик, начальнику ОКСа т. Корневу и директору Барнаульского завода т. Полиновскому реализовать решения ГОКО в части:</w:t>
      </w:r>
    </w:p>
    <w:p w14:paraId="593D901D"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обязывающей Наркома электростанций (т. Жимерина) выполнить постановление ГОКО от 5.VI-с.г. по монтажу тепловой электрической части расширения ТЭЦ меланжевого комбината (г. Барнаул) с 12000 квт до 36000 квт;</w:t>
      </w:r>
    </w:p>
    <w:p w14:paraId="29CE8992"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обязывающей Наркома электростанций (т. Жимерина) укомплектовать в июле т.г. недостающим оборудованием с эвакобаз, выделенные Наркомтанкопрому для установки на ТЭЦ меланжевого комбината в г. Барнауле, турбогенератор – 12000 квт и котел – 40 тн/час;</w:t>
      </w:r>
    </w:p>
    <w:p w14:paraId="73806221"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обязывающей Наркомтяжмаш (т. Казакова) отдельные недостающие детали и узлы, не могущие быть укомплектованными Наркомэлекторстанций, изготовить для Наркомтанкопрома на своих заводах;</w:t>
      </w:r>
    </w:p>
    <w:p w14:paraId="1F417FC1"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обязывающей Госплан Союза ССР (т. Сабурова) передать в июле заводу танковых дизелей в г. Барнауле из числа эвакуированных 3 газогенератора (Ø 3 мт.) со всем вспомогательным оборудованием.</w:t>
      </w:r>
    </w:p>
    <w:p w14:paraId="2ECEDB04"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7. Учесть, что Государственный Комитет Обороны:</w:t>
      </w:r>
    </w:p>
    <w:p w14:paraId="50B5025E"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обязал Алтайский Крайком ВКП(б) и Крайисполком обеспечить размещение прибывающих рабочих, ИТР, служащих и членов их семей в жилые дома г. Барнаула за счет уплотнения;</w:t>
      </w:r>
    </w:p>
    <w:p w14:paraId="4B28A8CA"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разрешил Наркомтанкопрому в случае необходимости использовать суда, находящиеся на заводе № 264 для перевозки оборудования.</w:t>
      </w:r>
    </w:p>
    <w:p w14:paraId="71E022A6"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8. Обязываю директора завода № 264 т. Кордунер, директора СТЗ т. Задорожного – ежесуточно передавать в Наркомат по "ВЧ" сведения о ходе отгрузки оборудования и людей.</w:t>
      </w:r>
    </w:p>
    <w:p w14:paraId="3E9E2F45"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9. Уполномоченным Наркомтанкопрома в Сталинграде по выполнению постановления ГОКО о вывозе оборудования и кадров с завода № 264 назначается Заместитель Народного комиссара танковой промышленности т. ГОРЕГЛЯД А.А.</w:t>
      </w:r>
    </w:p>
    <w:p w14:paraId="5588325F"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ЗАМЕСТИТЕЛЬ НАРОДНОГО КОМИССАРА ТАНКОВОЙ ПРОМЫШЛЕННОСТИ СОЮЗА ССР подпись (П. ЗЕРНОВ) (21224).</w:t>
      </w:r>
    </w:p>
    <w:p w14:paraId="65014B37" w14:textId="77777777" w:rsidR="00087D2F" w:rsidRPr="00722885" w:rsidRDefault="00087D2F" w:rsidP="00722885">
      <w:pPr>
        <w:spacing w:after="0" w:line="240" w:lineRule="auto"/>
        <w:jc w:val="both"/>
        <w:rPr>
          <w:rFonts w:ascii="Times New Roman" w:hAnsi="Times New Roman"/>
          <w:color w:val="0070C0"/>
          <w:sz w:val="16"/>
          <w:szCs w:val="16"/>
        </w:rPr>
      </w:pPr>
    </w:p>
    <w:p w14:paraId="7DAF5B9D" w14:textId="77777777" w:rsidR="00087D2F" w:rsidRPr="00722885" w:rsidRDefault="00087D2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17 июля 1941 года вышло постановление ГКО №179сс "О Производстве лёгких танков Т-60 на заводе №37 Наркомсредмаша". Самое время поговорить об этом танке, который приняли на вооружение авансом, то есть без разработки и испытаний опытного образца.</w:t>
      </w:r>
    </w:p>
    <w:p w14:paraId="4B5A7FAF" w14:textId="77777777" w:rsidR="00087D2F" w:rsidRPr="00722885" w:rsidRDefault="00087D2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Случай с Т-30, который приняли еще до создания опытного образца, не был уникальным для советского танкостроения. Можно вспомнить Т-34, который также приняли на вооружение еще до постройки опытных образцов. В обоих случаях уже имелись образцы-предшественники, с более-менее отработанной базой. То есть сомнений в том, что танк поедет, не было. Естественно, все понимали, что сухопутный вариант Т-40 является вынужденным решением, но других альтернатив не имелось. Производство Т-50 буксовало, а ситуация на фронте срочно требовала новых танков (21348).</w:t>
      </w:r>
    </w:p>
    <w:p w14:paraId="69E13AE8" w14:textId="77777777" w:rsidR="00087D2F" w:rsidRPr="00722885" w:rsidRDefault="00087D2F"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423855B2"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063C582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0E4C0C"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в 1942 году утреннее сообщение Совинформбюро:</w:t>
      </w:r>
    </w:p>
    <w:p w14:paraId="43884293"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17 июля наши войска вели бои с противником в районе Воронежа.</w:t>
      </w:r>
    </w:p>
    <w:p w14:paraId="5D6ECF8D"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7F1D3F5E"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бои продолжаются с прежней силой. Многочисленные попытки противника продвинуться вперёд успеха не имели. На поле боя остались груды трупов гитлеровцев и десятки сожжённых немецких танков. На одном из участков полк вражеской пехоты атаковал нашу часть. Наши бойцы подпустили гитлеровцев на близкое расстояние, а затем открыли огонь из миномётов, пулемётов и винтовок. Потеряв свыше 800 человек, противник отступил. Преследуя немцев, наши танки ворвались в населённый пункт, уничтожили 2 артиллерийские батареи, 7 станковых пулемётов, 3 бронемашины и истребили свыше 200 гитлеровцев. На другом участке отряду советских автоматчиков удалось прорваться в район укреплённых рубежей противника и посеять там панику. Подоспевшие к этому времени наши танкисты и пехотинцы заняли выгодные позиции. В этом бою противник потерял 5 танков и до 600 солдат и офицеров.</w:t>
      </w:r>
    </w:p>
    <w:p w14:paraId="2014EF9D"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Миллерова идут напряжённые бои. Наши войска, отходя под напором численно превосходящих сил противника, изматывают немцев на промежуточных рубежах и наносят им большой урон. На одном из участков наши танкисты и пехотинцы разгромили прорвавшуюся вперёд часть противника. Уничтожено 11 немецких танков и 1.800 гитлеровцев. Наши артиллеристы и миномётчики обстреляли пехоту и танки противника, скопившиеся у переправы через реку. Сожжено и подбито14 танков, истреблено до 600 немецких солдат и офицеров.</w:t>
      </w:r>
    </w:p>
    <w:p w14:paraId="5E391441"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Части, действующие на отдельных участках Ленинградского фронта, за два дня уничтожили свыше 200 гитлеровцев. Огнём артиллерии разрушено 3 вражеских ДЗОТа инаблюдательный пункт, сбит аэростат и подавлен огонь нескольких артиллерийских и миномётных батарей противника. Бомбёжкой с воздуха причинены разрушения и вызваны пожары в одном финском порту. В ходе боевых действий взяты пленные и захвачены трофеи.</w:t>
      </w:r>
    </w:p>
    <w:p w14:paraId="4ECAE09F"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курских партизан под командованием тов. С. совершил ночной налёт на занятый немцами населённый пункт. Партизаны бесшумно сняли часовых и забросали гранатами дома, в которых спали гитлеровцы. Уничтожив свыше 60 оккупантов, советские патриоты сожгли два танка, 8 автомашин и склад с продовольствием.</w:t>
      </w:r>
    </w:p>
    <w:p w14:paraId="581819E3"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Отделение немецких солдат из 245 полка 88 немецкой пехотной дивизии во главе с командиром унтер-офицером Куртом Г. добровольно сдалось в плен. Командир отделения заявил: «В первых числах июля русские разгромили 246 полк. Седьмого июля командование ввело в бой 245 полк. Только пять дней мы воевали с русскими. За это время наш полк потерял до половины личного состава. Здесь на фронте мы поняли, что Гитлер погнал нас в Россию на верную смерть. Как только представился удобный случай, я приказал моему отделению сдаться в плен. Солдаты обнаружили полное единодушие и охотно сложили оружие».</w:t>
      </w:r>
    </w:p>
    <w:p w14:paraId="2FA6096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селе Матузовка (Украина) гитлеровские палачи учинили неслыханное преступление. Немецкие военные власти приказали крестьянам в двухдневный срок сдать 2 тысячи пудов хлеба и 100 пудов мяса. Крестьяне заявили, что они сами голодают, так как немецкие солдаты их обобрали дочиста. На третий день немецкий комендант приказал всем беременным женщинам села явиться в комендатуру. На вызов явились 27 беременных женщин. Гитлеровские изверги загнали их всех в погреб и забросали гранатами.</w:t>
      </w:r>
    </w:p>
    <w:p w14:paraId="0FC3C2DC"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Радио Виши (Франция) вчера передало сообщение о положении в Москве, в котором утверждает, что «московское население получает по 80 граммов хлеба на человека». Не подлежит сомнению, что, распространяя подобного рода ложь, гитлеровскиеподручные из Виши стараются угодить Берлину. Однако и на сей раз они попали впросак. Известно, что один житель Москвы получает хлеба больше, чем один житель Берлина, один житель Рима и один житель Виши, вместе взятые. Известно также, что французский народ голодает, потому что предатели отдали Францию на разграбление немецким оккупантам.» (14955).</w:t>
      </w:r>
    </w:p>
    <w:p w14:paraId="641730DC"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68BA57F0"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в 1942 году вечернее сообщение Совинформбюро:</w:t>
      </w:r>
    </w:p>
    <w:p w14:paraId="4FCC813B"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17 июля наши войска продолжали бои с противником в районе Воронежа и южнее Миллерово.</w:t>
      </w:r>
    </w:p>
    <w:p w14:paraId="7386959D"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0D26986E"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16 июля частями нашей авиации на различных участках фронта уничтожено или повреждено 90 немецких танков, 265 автомашин с войсками и грузами, несколько автоцистерн с горючим. Подавлен огонь 2 дивизионов зенитной артиллерии, взорвано5 складов с боеприпасами, рассеяно и частью уничтожено до четырёх батальонов пехоты противника.</w:t>
      </w:r>
    </w:p>
    <w:p w14:paraId="1CB2791F"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предприняли на некоторых участках ряд контратак и нанесли немцам большой урон. В ожесточённом сражении бойцы гвардейской части истребили 680 солдат и офицеров противника. Кроме того, подбито 3 танка, уничтожено 4 орудия и 13 машин с боеприпасами. Другая наша часть на том же участке уничтожила более 400 гитлеровцев и 2 миномётные батареи. Успешно громят врага советские танкисты и артиллеристы. Крупный отряд немцев сделал попыткуокружить наш пехотный батальон у села Д. Бойцы артиллерийской батареи, где командиром тов. Демидов, выкатили орудия на открытые позиции и прямой наводкой стали расстреливать противника. Артиллеристы уничтожили до 1.000 гитлеровцев. На другом участке нашими бойцами подбито 15 немецких танков, уничтожено 14 орудий, разгромлены штабы трёх полков противника и захвачены документы, трофеи и пленные.</w:t>
      </w:r>
    </w:p>
    <w:p w14:paraId="05DD66D8"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Миллерова продолжаются бои. Наши войска отбивают ожесточённые атаки противника. На одном из участков 12 немецких танков и 60 автомашин с пехотой зашли в тыл нашей части. Завязался упорный бой, во время которого уничтожено 8 немецких танков и свыше 400 гитлеровцев. Недалеко от пункта К. наши танки, прикрывавшие отход пехотных частей, в течение дня четыре раза ходили вконтратаку и уничтожили 1.200 гитлеровцев, 5 танков, 18 автомашин и 7 пулемётов противника.</w:t>
      </w:r>
    </w:p>
    <w:p w14:paraId="19BF1203"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отдельных участках Калининского фронта происходили бои местного значения. Пехота противника при поддержке группы танков пыталась прорвать передний край нашей обороны. Групповым огнём наши бронебойщики уничтожили 8 немецких танков. Лишённая поддержки танков, немецкая пехота отступила, понеся большие потери.</w:t>
      </w:r>
    </w:p>
    <w:p w14:paraId="5222B0A4"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Сапёры под командованием лейтенанта Фадеева незаметно пробрались к огневым точкам противника. Несколько бойцов во главе с красноармейцем Васильевым забросали противотанковыми гранатами ДЗОТ, в котором находились гитлеровцы. Другая группа бойцов, руководимая сержантом Киселёвым, взорвала две огневые точки. Во время этой операции сапёры истребили 25 немецких солдат и офицеров.</w:t>
      </w:r>
    </w:p>
    <w:p w14:paraId="17DF5C3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Разведчики Аноршин и Денисьев встретились в тылу противника с группой немецких солдат. В перестрелке разведчики убили пять гитлеровцев, а двух взяли в плен и привели их в свою часть.</w:t>
      </w:r>
    </w:p>
    <w:p w14:paraId="6EE1A59C"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Немцы окружили бойца тов. Щеглова и пытались взять его в плен. Красноармеец-казах тов. Исхалиев бросился на выручку своего товарища. Действуя совместно, они истребили 10 гитлеровцев и присоединились к своему взводу.</w:t>
      </w:r>
    </w:p>
    <w:p w14:paraId="619B46A2"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Партизанские отряды под командованием товарищей В. и Т., действующие в одном из районов Ленинградской области, оккупированных немцами, пустили под откос воинский эшелон противника. Разрушено 10 вагонов с войсками и 2 вагона с боеприпасами.</w:t>
      </w:r>
    </w:p>
    <w:p w14:paraId="1CF1A386"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добровольно в плен солдат 533 полка 383 немецкой пехотной дивизии Рихард М. рассказал: «За десять дней боёв под Воронежем 533 полк потерял свыше половины своего личного состава. Роты и батальоны обескровлены. Мы потеряли много техники и вооружения. Для примера — в моей роте осталось только три автомата и один пулемёт».</w:t>
      </w:r>
    </w:p>
    <w:p w14:paraId="7D1B0A04"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Югославии выбили итальянских оккупантов из ряда захваченных ими городов. Измученное население восторженно встретило партизанские отряды. Патриотами захвачены у оккупантов многочисленные трофеи. Только в одном изгородов партизаны захватили 16 пулемётов, 250 винтовок, несколько автомашин, боеприпасы и военное имущество. Немецко-итальянские захватчики вынуждены теперь применять против партизан свою авиацию. Однако партизаны умело скрывают свои базы и из пехотного оружия обстреливают самолёты противника.» (14955).</w:t>
      </w:r>
    </w:p>
    <w:p w14:paraId="115C4074"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1B216581"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в 1942 году оборонительным сражением советских войск в большой излучине Дона (на рубеже рек Чир и Цимла) началась Сталинградская битва: 1942 - 1943 - оборонительная (17 июля - 18 ноября 1942) и наступательная (19 ноября 1942 - 2 февраля 1943) операции. В разное время в ней участвовали войска Сталинградского, Юго-Восточного, Юго-Западного, Донского, левого Крыла Воронежского фронтов, Волжская военная флотилия, Сталинградский корпусной район ПВО.</w:t>
      </w:r>
    </w:p>
    <w:p w14:paraId="6B3FC4A7"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17 июля в полосе фронта шириной 520 км советские войска имели 12 дивизий, самолеты 8-й воздушной армии авиации дальнего действия и 102-й авиадивизии ПВО. В наступавшую на Сталинград 6-ю немецкую армию (командующий генерал-полковник Ф.Паулюс) входило 13 дивизий, которые поддерживала авиация 4-го воздушного флота (14955).</w:t>
      </w:r>
    </w:p>
    <w:p w14:paraId="08681CC1"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1D23C2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вышел приказ НКО об использовании Ил-2 как бомбардировщика: "Мы располагаем ш Ил-2, которые являются лучшими дневными б против танков и живой силы противника. таких бдб нет ни в одной другой армии... Надо немедля покончить с вредной практикой недооценки самолетов Ил-2 как дневных б..." (3846,17).</w:t>
      </w:r>
    </w:p>
    <w:p w14:paraId="7FF300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2125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г. появилось СООБЩЕНИЕ ГЛАВРАЗВЕДУПРАВЛЕНИЯ В ГАБТУ О НОВОЙ МАТЕРИАЛЬНОЙ ЧАСТИ НЕМЕЦКИХ ТАНКОВЫХ ДИВИЗИЙ</w:t>
      </w:r>
    </w:p>
    <w:p w14:paraId="3B3635B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Доношу, что нами получены следующие агентурные данные, касающиеся новой материальной части немецких танковых дивизий:</w:t>
      </w:r>
    </w:p>
    <w:p w14:paraId="29B6E04E"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 танковых полках танковых дивизий предполагается увеличение количества танков Т-IV за счет уменьшения количества танков Т-П.</w:t>
      </w:r>
    </w:p>
    <w:p w14:paraId="67C7E6B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Танки Т-IV вооружаются новой танковой пушкой образца «40». Длина ствола этой пушки рав</w:t>
      </w:r>
      <w:r w:rsidRPr="00722885">
        <w:rPr>
          <w:rFonts w:ascii="Times New Roman" w:hAnsi="Times New Roman"/>
          <w:color w:val="000000" w:themeColor="text1"/>
          <w:sz w:val="16"/>
          <w:szCs w:val="16"/>
        </w:rPr>
        <w:softHyphen/>
        <w:t>на 40 калибрам (у старых пушек длина ствола равна 23 калибрам).</w:t>
      </w:r>
    </w:p>
    <w:p w14:paraId="7AEB57F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3. При осмотре танков Т-Ш, захваченных англичанами в Африке было установлено, что эти тан</w:t>
      </w:r>
      <w:r w:rsidRPr="00722885">
        <w:rPr>
          <w:rFonts w:ascii="Times New Roman" w:hAnsi="Times New Roman"/>
          <w:color w:val="000000" w:themeColor="text1"/>
          <w:sz w:val="16"/>
          <w:szCs w:val="16"/>
        </w:rPr>
        <w:softHyphen/>
        <w:t>ки имеют в передней части башни и на верхней части корпуса двухслойное броневое покрытие. Ме</w:t>
      </w:r>
      <w:r w:rsidRPr="00722885">
        <w:rPr>
          <w:rFonts w:ascii="Times New Roman" w:hAnsi="Times New Roman"/>
          <w:color w:val="000000" w:themeColor="text1"/>
          <w:sz w:val="16"/>
          <w:szCs w:val="16"/>
        </w:rPr>
        <w:softHyphen/>
        <w:t>жду основной и дополнительной броней в последних моделях Т-Ш имеется, якобы, промежуток в 200-250 мм. Толщина основной брони — 50 мм, дополнительной — 20 мм.</w:t>
      </w:r>
    </w:p>
    <w:p w14:paraId="319A9C3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Приведенные данные заслуживают внимания, так как показания пленных вновь сформирован</w:t>
      </w:r>
      <w:r w:rsidRPr="00722885">
        <w:rPr>
          <w:rFonts w:ascii="Times New Roman" w:hAnsi="Times New Roman"/>
          <w:color w:val="000000" w:themeColor="text1"/>
          <w:sz w:val="16"/>
          <w:szCs w:val="16"/>
        </w:rPr>
        <w:softHyphen/>
        <w:t>ной 23 тд подтверждают наличие в этой танковой дивизии преимущественно танков Т-Ш и Т-ГУ.</w:t>
      </w:r>
    </w:p>
    <w:p w14:paraId="13688D3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Сообщение о наличии между основной броней и экраном в танках Т-Ш промежутка в 200-250 мм требует проверки.</w:t>
      </w:r>
    </w:p>
    <w:p w14:paraId="2CFEC55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2 управления Главразведуправления Генштаба КА полковник Ратов</w:t>
      </w:r>
    </w:p>
    <w:p w14:paraId="44E530D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комиссар 2 управления Главразведуправления Генштаба КА бригадный комиссар Киселев</w:t>
      </w:r>
    </w:p>
    <w:p w14:paraId="27903FB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11355. Д. 936. Л. 94. Подлинник (11211).</w:t>
      </w:r>
    </w:p>
    <w:p w14:paraId="63EA0B0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B4FAEF"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началась Сталинградская битва (4962).</w:t>
      </w:r>
    </w:p>
    <w:p w14:paraId="4E0B66EF"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78BC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началось немецкое летнее наступление (518,35).</w:t>
      </w:r>
    </w:p>
    <w:p w14:paraId="00F4FC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6A0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началась Сталинградская битва (2070,74).</w:t>
      </w:r>
    </w:p>
    <w:p w14:paraId="4EE982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F76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началась Сталинградская оборонительная операция СталФ (С.К.Тимошенко), ДонФ (К.К.Рокосовский), ЮВФ (А.И.Еременко) и ВолВФ, которая шла до 18 ноября (3398,248).</w:t>
      </w:r>
    </w:p>
    <w:p w14:paraId="70C474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началу оборонительной операции под Сталинградом 8ВА насчитывала немногим более 300 самолетов (518,201).</w:t>
      </w:r>
    </w:p>
    <w:p w14:paraId="3BAD42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D39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 17 июля по 12 сентября 1942 была оборонительная операция КА на подступах к Сталинграду (3186).</w:t>
      </w:r>
    </w:p>
    <w:p w14:paraId="27B3192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D85D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ст. сержант Н.Сиротин один за 2.5 час. выпустил по наступающим немцам 60 снарядов и сжег 10 танков и бронемашин. Немцы похоронили его с почестями (355,10).</w:t>
      </w:r>
    </w:p>
    <w:p w14:paraId="33826B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949C2" w14:textId="77777777" w:rsidR="00056917"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Жизнь и внутренняя политика:</w:t>
      </w:r>
    </w:p>
    <w:p w14:paraId="556F6EF4" w14:textId="77777777" w:rsidR="00056917" w:rsidRPr="00722885" w:rsidRDefault="00056917"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00762C"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в 1942 году СНК СССР обязал Наркомат торговли СССР организовать с июля 1942 в городах, где введены прод. карточки, продажу продуктов питания сверх установленных норм для беременных женщин — ежемесячно 400 г масла, 300 г сахара, 600 г крупы, 6 л молока (14955).</w:t>
      </w:r>
    </w:p>
    <w:p w14:paraId="3FC24AF4"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1BC24BBC"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Внешняя политика:</w:t>
      </w:r>
    </w:p>
    <w:p w14:paraId="07E01D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DE458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У.Черчиль обратился к И.В.С. с предложением взять шесть английских эскадрилий для защиты конвоя PQ-18 после разгрома PQ-17 в мае 1942. За два месяца до выхода конвоя сформировали авиагруппу Хоп пса и в нее вошли две эскадрильи торпедоносцев Хэмпден (32), отряд Каталин (10), фоторазведчики Спитфайр (3) и Москито (1) (1119,17).</w:t>
      </w:r>
    </w:p>
    <w:p w14:paraId="591EAF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1D26E"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230279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07EE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произошел первый полет Ме-262 V-1, но серия началась с февраля 1944 (88,177).</w:t>
      </w:r>
    </w:p>
    <w:p w14:paraId="185DA7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6AB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 Гимлер посетил Освенцим и наблюдал работу газовых камер (2245,7).</w:t>
      </w:r>
    </w:p>
    <w:p w14:paraId="3B59B7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3F039"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5853A4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C14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18 июля 1942 прицел КП-11 успешно прошел полигонные испытания, однако ввиду того, что новый прицел особых преиму</w:t>
      </w:r>
      <w:r w:rsidRPr="00722885">
        <w:rPr>
          <w:rFonts w:ascii="Times New Roman" w:hAnsi="Times New Roman"/>
          <w:color w:val="000000" w:themeColor="text1"/>
          <w:sz w:val="16"/>
          <w:szCs w:val="16"/>
        </w:rPr>
        <w:softHyphen/>
        <w:t>ществ по точности прицеливания перед ВВ-1 не имел, а последний уже был за</w:t>
      </w:r>
      <w:r w:rsidRPr="00722885">
        <w:rPr>
          <w:rFonts w:ascii="Times New Roman" w:hAnsi="Times New Roman"/>
          <w:color w:val="000000" w:themeColor="text1"/>
          <w:sz w:val="16"/>
          <w:szCs w:val="16"/>
        </w:rPr>
        <w:softHyphen/>
        <w:t>пущен в серийное производство, реше</w:t>
      </w:r>
      <w:r w:rsidRPr="00722885">
        <w:rPr>
          <w:rFonts w:ascii="Times New Roman" w:hAnsi="Times New Roman"/>
          <w:color w:val="000000" w:themeColor="text1"/>
          <w:sz w:val="16"/>
          <w:szCs w:val="16"/>
        </w:rPr>
        <w:softHyphen/>
        <w:t>ние о принятии КП-11 на вооружение штурмовой авиации было отложено до лучших времен (6467).</w:t>
      </w:r>
    </w:p>
    <w:p w14:paraId="4AD5E09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5F2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года нарком ВМФ адмирал Кузнецов писал письмо N 1103с Сталину.</w:t>
      </w:r>
    </w:p>
    <w:p w14:paraId="0705C7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Дальнебомбардировочная авиация ВВС Тихоокеанского флота предназначена для боевых действий, по удаленным от наших баз промышленным центрам и военно-морским базам вероятного противника.</w:t>
      </w:r>
    </w:p>
    <w:p w14:paraId="03B835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Использование торпедоносной авиации в условиях Тихоокеанского театра будет иметь особо важное значение для противодействия морским силам вероятных противников, что связано с дальними перелетами, на низких высотах, в открытое море и требует обеспечения самолетов надежными моторами.</w:t>
      </w:r>
    </w:p>
    <w:p w14:paraId="4CF731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своем боевом составе ВВС ТОФ имеют 131 самолет ДБ-3, из коих 122 самолета вооружены сильно изношенными моторами М-87 старых серий (60% моторного парка прошли по 3-4 ремонта, а остальные 40% по 1-2 ремонта).</w:t>
      </w:r>
    </w:p>
    <w:p w14:paraId="4234FF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интенсивном ходе боевой подготовки, выработка ресурса моторов приближает к последним возможностям в дальнейшем использовании этих моторов. Это положение осложняется прекращением производства авиапромышленностью запасных частей к моторам М-87.</w:t>
      </w:r>
    </w:p>
    <w:p w14:paraId="063540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создавшемся положении я докладывал Вам 9 июня с.г. N 875сс и 28 июня с.г. N 1002сс.</w:t>
      </w:r>
    </w:p>
    <w:p w14:paraId="43E6B4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Единственным выходом из положения считаю необходимым произвести замену моторов М-87 на М-88Б, на всех самолетах ДБ-3т ВВС ТОФ.</w:t>
      </w:r>
    </w:p>
    <w:p w14:paraId="04B0D98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Бомбардировочная авиация ВВС Тихоокеанского Флота имеет в своем составе 94 самолета первых серий СБ-2М100-М103. Моторный парк М-100 и М-103 также силы изношен, 70% моторов по 3-4 ремонта и 30% по 1-2 ремонта. Запасные части к этим моторам прекращены производством, а запасы исчерпаны, особенно: блоки, цилиндры, клапана, подшипники, поршневые кольца, вкладыши главных шатунов. Отсутствие запчастей не позволяет производить восстановительный ремонт этим моторам.</w:t>
      </w:r>
    </w:p>
    <w:p w14:paraId="0F96F2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повышения боеспособности самолетного парка СБ ВВС ТОФ, является необходимость, в самые кратчайшие сроки перевооружить на моторы М-105.</w:t>
      </w:r>
    </w:p>
    <w:p w14:paraId="2CD1CC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Докладывая изложенное, прошу издать прилагаемый проект постановления ГКО.</w:t>
      </w:r>
    </w:p>
    <w:p w14:paraId="07A983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 Проект постановления ГОКО на 1-м листе (2728,292).</w:t>
      </w:r>
    </w:p>
    <w:p w14:paraId="0D3207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88D4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18 июля по 5 августа 1942 проходили гос. испытания Як-7ДИ с М-105ПФ и летал К.А.Груздев. Ви были Г.А.Седов по самолету, и по вооружению А.Г.Аронов, и по ВМГ А.И.Хвостовский, и по спецоборудованию А.И.Красовский, т В.Ф.Сбитнев. Оценка - испытания прошел удовлетворительно и он то и стал Як-9 (65,107).</w:t>
      </w:r>
    </w:p>
    <w:p w14:paraId="6D00FB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B71FEE" w14:textId="77777777" w:rsidR="003B3C69" w:rsidRPr="00722885" w:rsidRDefault="003B3C6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18 июля в 1942 году начались (по 5 августа) государственные испытания </w:t>
      </w:r>
      <w:hyperlink r:id="rId25" w:tgtFrame="_blank" w:history="1">
        <w:r w:rsidRPr="00722885">
          <w:rPr>
            <w:rFonts w:ascii="Times New Roman" w:hAnsi="Times New Roman"/>
            <w:color w:val="000000" w:themeColor="text1"/>
            <w:sz w:val="16"/>
            <w:szCs w:val="16"/>
          </w:rPr>
          <w:t xml:space="preserve">«Як-7ДИ». </w:t>
        </w:r>
      </w:hyperlink>
      <w:r w:rsidRPr="00722885">
        <w:rPr>
          <w:rFonts w:ascii="Times New Roman" w:hAnsi="Times New Roman"/>
          <w:color w:val="000000" w:themeColor="text1"/>
          <w:sz w:val="16"/>
          <w:szCs w:val="16"/>
        </w:rPr>
        <w:t>(60 полетов, 40 ч 15 мин) (14956).</w:t>
      </w:r>
    </w:p>
    <w:p w14:paraId="6150D9E1" w14:textId="77777777" w:rsidR="003B3C69" w:rsidRPr="00722885" w:rsidRDefault="003B3C69" w:rsidP="00722885">
      <w:pPr>
        <w:spacing w:after="0" w:line="240" w:lineRule="auto"/>
        <w:jc w:val="both"/>
        <w:rPr>
          <w:rFonts w:ascii="Times New Roman" w:hAnsi="Times New Roman"/>
          <w:color w:val="000000" w:themeColor="text1"/>
          <w:sz w:val="16"/>
          <w:szCs w:val="16"/>
        </w:rPr>
      </w:pPr>
    </w:p>
    <w:p w14:paraId="75C386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во время сдаточных испытаний потерпел катастрофу Пе-2 N 12/103. Л и ш погибли (2131).</w:t>
      </w:r>
    </w:p>
    <w:p w14:paraId="690E76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9FA76" w14:textId="77777777" w:rsidR="003B3C69" w:rsidRPr="00722885" w:rsidRDefault="003B3C6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в 1942 году погиб штурман-испытатель С.М.Трубачев на «Пе-2», командир экипажа С.С.Стрельников (14956).</w:t>
      </w:r>
    </w:p>
    <w:p w14:paraId="476A82F1" w14:textId="77777777" w:rsidR="003B3C69" w:rsidRPr="00722885" w:rsidRDefault="003B3C69" w:rsidP="00722885">
      <w:pPr>
        <w:spacing w:after="0" w:line="240" w:lineRule="auto"/>
        <w:jc w:val="both"/>
        <w:rPr>
          <w:rFonts w:ascii="Times New Roman" w:hAnsi="Times New Roman"/>
          <w:color w:val="000000" w:themeColor="text1"/>
          <w:sz w:val="16"/>
          <w:szCs w:val="16"/>
        </w:rPr>
      </w:pPr>
    </w:p>
    <w:p w14:paraId="5C2E3D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г при испытании Пе-2 (зав. №12/103) погибли лётчик-испытатель завода С.С. Стрельников и старший техник лейтенант С.М. Трубачев (6394).</w:t>
      </w:r>
    </w:p>
    <w:p w14:paraId="750C854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1A6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состоялось заседание постоянной комиссии по рассмотрению эскизных проектов опытных самолетов (протокол 37) и рассматривали Реактивный самолет 302 НИИ-3. Протокол утвердил А.С.Я. (1684,179).</w:t>
      </w:r>
    </w:p>
    <w:p w14:paraId="492AF4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A1347" w14:textId="77777777" w:rsidR="003B3C69" w:rsidRPr="00722885" w:rsidRDefault="003B3C6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18 июля в 1942 году рассмотрен и утвержден на комиссии (С.А.Христианович, А.В.Чесалов, С.Н.Шишкин, В.И.Поликовский и др.) проект конструктора А.Г.Костикова- в то время главного инженера РНИИ. </w:t>
      </w:r>
      <w:hyperlink r:id="rId26" w:tgtFrame="_blank" w:history="1">
        <w:r w:rsidRPr="00722885">
          <w:rPr>
            <w:rFonts w:ascii="Times New Roman" w:hAnsi="Times New Roman"/>
            <w:color w:val="000000" w:themeColor="text1"/>
            <w:sz w:val="16"/>
            <w:szCs w:val="16"/>
          </w:rPr>
          <w:t xml:space="preserve">Самолет «302П» </w:t>
        </w:r>
      </w:hyperlink>
      <w:r w:rsidRPr="00722885">
        <w:rPr>
          <w:rFonts w:ascii="Times New Roman" w:hAnsi="Times New Roman"/>
          <w:color w:val="000000" w:themeColor="text1"/>
          <w:sz w:val="16"/>
          <w:szCs w:val="16"/>
        </w:rPr>
        <w:t xml:space="preserve">- истребитель с необычной силовой установкой, состоявшей из одного разгонного ЖРД и двух ПВРД, нормальный свободнонесущий низкоплан по схеме. Под хвостовым оперением - ЖРД Л.С.Душкина «РД-1400» тягой до 1400 кг; под крылом - два ПВРД </w:t>
      </w:r>
      <w:r w:rsidRPr="00722885">
        <w:rPr>
          <w:rFonts w:ascii="Times New Roman" w:hAnsi="Times New Roman"/>
          <w:color w:val="000000" w:themeColor="text1"/>
          <w:sz w:val="16"/>
          <w:szCs w:val="16"/>
        </w:rPr>
        <w:lastRenderedPageBreak/>
        <w:t>конструкции В.С.Зуева. В носу фюзеляжа - две пушки ШВАК и две таких же - под кабиной летчика, а под крылом - выдвижная подвеска для двух PC («РС-82» или «РС-132») или двух «ФАБ-125». Таким был самолет по проекту 1940 года, задуманный как первый в мире истребитель с составной реактивной группой (14956).</w:t>
      </w:r>
    </w:p>
    <w:p w14:paraId="07C250A1" w14:textId="77777777" w:rsidR="003B3C69" w:rsidRPr="00722885" w:rsidRDefault="003B3C69" w:rsidP="00722885">
      <w:pPr>
        <w:spacing w:after="0" w:line="240" w:lineRule="auto"/>
        <w:jc w:val="both"/>
        <w:rPr>
          <w:rFonts w:ascii="Times New Roman" w:hAnsi="Times New Roman"/>
          <w:color w:val="000000" w:themeColor="text1"/>
          <w:sz w:val="16"/>
          <w:szCs w:val="16"/>
        </w:rPr>
      </w:pPr>
    </w:p>
    <w:p w14:paraId="449BEF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г. по приказу № 542с для опытных работ по авиаколесам было создано ОКБ при заводе № 219 с опытным цехом.</w:t>
      </w:r>
    </w:p>
    <w:p w14:paraId="2D2EB9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скорейшего восстановления опытной базы и полноценной опытной работы по приказу № 92с от 12.02.1943 г. в ОКБ переведена большая группа ИТР и рабочих, ранее работавших здесь, и оборудование с заводов № 120 и №286 НКАП.</w:t>
      </w:r>
    </w:p>
    <w:p w14:paraId="74861C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586с от 23.09.1943 г. в состав ОКБ влито лыжное ОКБ-164 НКАП (ст. Кунцево) для концентрации работ по взлетно-посадочным устройствам самолетов. Гл. конструктором объединенного ОКБ остался П.В. Флеров. Организована опытная база по авиалыжам. Далее по приказу № 735с от 8.12.1943 г. для усиления ОКБ сюда переведены специалисты с заводов № 84, № 286, № 120, № 34, № 145 и № 472. При заводе создан серийный КО и налажено опытное производство.</w:t>
      </w:r>
    </w:p>
    <w:p w14:paraId="580505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435с от 12.11.1945 г. часть специалистов (300 чел.) завода № 120 НКАП переданы ОКБ завода № 219 для его укрепления.</w:t>
      </w:r>
    </w:p>
    <w:p w14:paraId="53AE4EF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01.1945 г. ОКБ-219 - в 7ГУ. На базе ОКБ-219 МАП с 1.03.1946 г. в соответствии с приказами МАП№ 113с от 15.03.1946 г. и № 251с от 26.04.1946 г. для обеспечения работ по колесам скоростных самолетов создан самостоятельный опытный Завод № 279 МАП ( г. Реутов).</w:t>
      </w:r>
    </w:p>
    <w:p w14:paraId="611812D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гл. конструктор (1942-46 г.)- П.В. Флеров.</w:t>
      </w:r>
    </w:p>
    <w:p w14:paraId="739712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(09.1943 г.-)- Н.И. Жохов (11982).</w:t>
      </w:r>
    </w:p>
    <w:p w14:paraId="05A312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164D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года вышел приказ № 497с НКБ</w:t>
      </w:r>
    </w:p>
    <w:p w14:paraId="3C8682A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Принять к исполнению и руководству Постановление ГКО № ГОКО-2046 от 15 июля 1942 года о переоборудовании НИИ № 3 НКБ в Госинститут реактивной техники с непосредственным подчинением СНК (5906, 242).</w:t>
      </w:r>
    </w:p>
    <w:p w14:paraId="0F4EB50F"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84AE01"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521446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F41D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г. Завод № 676 НКБ, ФГУП «Самарский завод «Коммунар» Росбоеприпаса /пос. Петра Дубрава Куйбышевской обл./ /443546 пос. Петра Дубрава Самарской обл. ул. Коммунаров, 3/ выдал первую партию дымного ружейного пороха (этот день считается днем рождения завода). До конца года выпущено 150 т дымных порохов и 100 тыс. м огнепроводного шнура.</w:t>
      </w:r>
    </w:p>
    <w:p w14:paraId="262027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продолжал развиваться, расширен ассортимент продукции. С 1961 г. освоено производство эмульсионных красок, с 1962 г.- раскладных кроватей.</w:t>
      </w:r>
    </w:p>
    <w:p w14:paraId="3A8D18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(2000-е  г.): дымные пороха: охотничий, шнуровой для взрывных работ; охотничьи патроны 12 и 16 калибра, сигнальные патроны; лакокрасочная продукция, раскладные кровати, тенты для автомобилей, рукавицы нефтестойкие.</w:t>
      </w:r>
    </w:p>
    <w:p w14:paraId="51E2CD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ФГУП вошло в число стратегических оборонных предприятий.</w:t>
      </w:r>
    </w:p>
    <w:p w14:paraId="04F948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(12.1942 г.)- 864 чел. (11982).</w:t>
      </w:r>
    </w:p>
    <w:p w14:paraId="6A4F06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AD1D0" w14:textId="77777777" w:rsidR="003B3C69" w:rsidRPr="00722885" w:rsidRDefault="003B3C6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в 1942 году образовано ФКП "Самарский завод "Коммунар". Завод "Коммунар" был эвакуирован из Ленинградской области в 1941 году и построен на открытой площадке в районе станции Смышляевка - поселка Петра Дубрава Самарской области. В соответствии с приказом Наркомата по боеприпасам от 25 мая 1942 года и актом приемной комиссии завод был пущен в эксплуатацию, а день 18 июля 1942 года, когда была изготовлена первая партия дымного ружейного пороха, стал днем рождения завода. До конца 1942 года было выпущено 150 тонн различных марок дымного пороха и 100000 метров огнепроводного шнура. За самоотверженный труд в тылу 18 тружеников завода были награждены орденами и медалями. Номенклатура и ассортимент продукции завода диктовались и определялись потребностями армии и фронта (ружейные и охотничьи пороха, фитили, быстросгорающие шнуры, пороховые заряды и т. д.). В 1961 году коллектив завода приступил к выпуску товарной продукции гражданского назначения: масляной краски, охотничьих патронов, водоэмульсионной краски, раскладных кроватей. В 1970-85 годах произведена реконструкция производства дымных ружейных порохов с механизацией и автоматизацией процессов в сотрудничестве с головными институтами области. В начале девяностых годов начался экономический склад производства в стране, были потеряны производственные связи, сократился и основной заказ основной продукции. Руководство завода приняло решение развивать выпуск гражданской продукции - традиционные лакокрасочные материалы: краска масляная МА-15С светлых тонов, фасадная краска КЧ-141, эмаль ПФ-115, олифа "Синтол", сиккатив. Это позволило сохранить высококвалифицированные кадры, а в итоге производство в целом. Кроме этого, было налажено производство древесного угля для приготовления шашлыков, дымного охотничьего пороха. В 1995-1998 годах освоено производство чистящих средств, нефтестойких рукавиц, серы чешуированной и молотой, в 2000 году - краски дорожноразметочной ХС-539. Распоряжение Правительства от 8 декабря 2005 года Федеральное государственное унитарное предприятие "Самарский завод "Коммунар" (город Самара) становится Федеральным казенным предприятие "Самарский завод "Коммунар". Сегодня завод "Коммунар" - это большие производительные мощности, на которых имеется возможность производить разнообразные виды спецпродукции и широкий ассортимент товаров народного потребления (14956).</w:t>
      </w:r>
    </w:p>
    <w:p w14:paraId="584010BF" w14:textId="77777777" w:rsidR="003B3C69" w:rsidRPr="00722885" w:rsidRDefault="003B3C69" w:rsidP="00722885">
      <w:pPr>
        <w:spacing w:after="0" w:line="240" w:lineRule="auto"/>
        <w:jc w:val="both"/>
        <w:rPr>
          <w:rFonts w:ascii="Times New Roman" w:hAnsi="Times New Roman"/>
          <w:color w:val="000000" w:themeColor="text1"/>
          <w:sz w:val="16"/>
          <w:szCs w:val="16"/>
        </w:rPr>
      </w:pPr>
    </w:p>
    <w:p w14:paraId="2CCF56B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г. появилось СООБЩЕНИЕ ПРЕДСЕДАТЕЛЯ В/О «ТЕХНОЭКСПОРТ» НАЧАЛЬНИКУ АТУ ГАБТУ КА О ТЕХНИЧЕСКОЙ ХАРАКТЕРИСТИКЕ АВТОСАНЕЙ</w:t>
      </w:r>
    </w:p>
    <w:p w14:paraId="293E707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сообщению нашего представителя в США, американцы нам предлагают автосани со следую</w:t>
      </w:r>
      <w:r w:rsidRPr="00722885">
        <w:rPr>
          <w:rFonts w:ascii="Times New Roman" w:hAnsi="Times New Roman"/>
          <w:color w:val="000000" w:themeColor="text1"/>
          <w:sz w:val="16"/>
          <w:szCs w:val="16"/>
        </w:rPr>
        <w:softHyphen/>
        <w:t>щей технической характеристикой:</w:t>
      </w:r>
    </w:p>
    <w:p w14:paraId="5B6D51B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Мотор мотоциклетный 25 НР.</w:t>
      </w:r>
    </w:p>
    <w:p w14:paraId="0BE55E3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Гусеница — парусиновая лента с металлическими шипами на цепком приводе.</w:t>
      </w:r>
    </w:p>
    <w:p w14:paraId="795CDB7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Передача — 3 скорости до 45 км/час.</w:t>
      </w:r>
    </w:p>
    <w:p w14:paraId="7A5C62D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Габариты — 3,65x0,77x0,65 метра.</w:t>
      </w:r>
    </w:p>
    <w:p w14:paraId="45496AD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Вес около 250 кг.</w:t>
      </w:r>
    </w:p>
    <w:p w14:paraId="2C956B2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Радиус действия 150 км.</w:t>
      </w:r>
    </w:p>
    <w:p w14:paraId="7B3C092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Количество мест для водителя и одного пассажира.</w:t>
      </w:r>
    </w:p>
    <w:p w14:paraId="493855D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Прочие данные — сани могут быть с успехом использованы на невысокой и не слишком пере</w:t>
      </w:r>
      <w:r w:rsidRPr="00722885">
        <w:rPr>
          <w:rFonts w:ascii="Times New Roman" w:hAnsi="Times New Roman"/>
          <w:color w:val="000000" w:themeColor="text1"/>
          <w:sz w:val="16"/>
          <w:szCs w:val="16"/>
        </w:rPr>
        <w:softHyphen/>
        <w:t>сеченной местности как средство разведки, связи, снабжения и эвакуации раненых, а также для бук</w:t>
      </w:r>
      <w:r w:rsidRPr="00722885">
        <w:rPr>
          <w:rFonts w:ascii="Times New Roman" w:hAnsi="Times New Roman"/>
          <w:color w:val="000000" w:themeColor="text1"/>
          <w:sz w:val="16"/>
          <w:szCs w:val="16"/>
        </w:rPr>
        <w:softHyphen/>
        <w:t>сировки станковых пулеметов и легких противотанковых пушек или буксировки 3-4 бойцов на лыжах.</w:t>
      </w:r>
    </w:p>
    <w:p w14:paraId="1142F5C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Автосани могут буксировать сани с грузом до 170 кг. Поворот осуществляется рулевыми лыжа</w:t>
      </w:r>
      <w:r w:rsidRPr="00722885">
        <w:rPr>
          <w:rFonts w:ascii="Times New Roman" w:hAnsi="Times New Roman"/>
          <w:color w:val="000000" w:themeColor="text1"/>
          <w:sz w:val="16"/>
          <w:szCs w:val="16"/>
        </w:rPr>
        <w:softHyphen/>
        <w:t>ми. На плотном снегу сани могут брать подъем от 15 до 30°.</w:t>
      </w:r>
    </w:p>
    <w:p w14:paraId="50DA80E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сообщить, представляют ли для Вас интерес автосани с такой характеристикой, и сколь</w:t>
      </w:r>
      <w:r w:rsidRPr="00722885">
        <w:rPr>
          <w:rFonts w:ascii="Times New Roman" w:hAnsi="Times New Roman"/>
          <w:color w:val="000000" w:themeColor="text1"/>
          <w:sz w:val="16"/>
          <w:szCs w:val="16"/>
        </w:rPr>
        <w:softHyphen/>
        <w:t>ко было бы желательно таких автосаней заказать.</w:t>
      </w:r>
    </w:p>
    <w:p w14:paraId="698FA93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И.о. председателя в/о «Техноэкспорт» Арутюнов</w:t>
      </w:r>
    </w:p>
    <w:p w14:paraId="475C26A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11386. Д. 123. Л. 120. Подлинник (11211).</w:t>
      </w:r>
    </w:p>
    <w:p w14:paraId="3544D0C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A4D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вышло Постановление ГКО № 2062 О материально-техническом обеспечении подшипниковых заводов Наркомсредмаша в III квартале 1942 г. РГАНИР, Фонд ГКО, д. 45, лл. 6-8, 9-16 (11012).</w:t>
      </w:r>
    </w:p>
    <w:p w14:paraId="225AF76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0E5A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по дну Ладожского озера проложен трубопровод для подачи топлива в осажденный Ленинград (4962).</w:t>
      </w:r>
    </w:p>
    <w:p w14:paraId="6707385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0876E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вступил в строй трубопровод, проложенный по дну Ладожского озера для доставки горючего в Ленинград (3186).</w:t>
      </w:r>
    </w:p>
    <w:p w14:paraId="2EC689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8E6C2D"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1FD8B0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0A03E4"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в 1942 году утреннее сообщение Совинформбюро:</w:t>
      </w:r>
    </w:p>
    <w:p w14:paraId="36442DF3"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18 июля наши войска вели бои с противником в районе Воронежа и южнее Миллерово.</w:t>
      </w:r>
    </w:p>
    <w:p w14:paraId="70A3A13C"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506D7275"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продолжались бои, в ходе которых наши части несколько потеснили противника. Немцы оказывают упорное сопротивление, стремясь всеми силами удержать занятые позиции. На одном из участков после артиллерийской и миномётной подготовки наши танкисты ворвались в расположение противника и разгромили 3 артиллерийские и 2 миномётные батареи. Вслед за танками в бой вступили пехотинцы. В завязавшейся рукопашной схватке гитлеровцы потеряли 350 человек убитыми и поспешно отошли, оставив 3 танка, врытых в землю, 7 орудий, 4пулемёта, 9 миномётов и склад с боеприпасами. На другом участке пехота противника при поддержке танков атаковала наши позиции. При отражении этой атаки артиллеристы под командованием тов. Душина уничтожили 3 немецких танка и истребили до 300 гитлеровцев.</w:t>
      </w:r>
    </w:p>
    <w:p w14:paraId="11CCCF7E"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Южнее Миллерова наши войска отбивают многочисленные атаки крупных сил танков и мотопехоты противника. В течение дня на одном из участков наши артиллеристы и бронебойщики сожгли и подбили 17 немецких танков. Советская пехота также громит технику противника. Бойцы только одного подразделения подорвали гранатами и сожгли бутылками с горючей смесью 5 танков и 2 бронемашины. В этом бою гитлеровцы потеряли убитыми и ранеными свыше 1.200 солдат </w:t>
      </w:r>
      <w:r w:rsidRPr="00722885">
        <w:rPr>
          <w:rFonts w:ascii="Times New Roman" w:hAnsi="Times New Roman"/>
          <w:color w:val="000000" w:themeColor="text1"/>
          <w:sz w:val="16"/>
          <w:szCs w:val="16"/>
        </w:rPr>
        <w:lastRenderedPageBreak/>
        <w:t>и офицеров. Смелый рейд по тылам наступающего противника провели кавалеристы. Они рассеяли и частью уничтожили немецкую колонну, сожгли 4 автоцистерны с горючим и 9 автомашин с боеприпасами и продовольствием.</w:t>
      </w:r>
    </w:p>
    <w:p w14:paraId="7940D835"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Гвардейцы-миномётчики подразделения, где командиром тов. Шаренков (Калининский фронт), открыли огонь по скоплению противника и уничтожили 2 миномётные батареи, 2 орудия и до 250 гитлеровцев. Миномётчики под командованием тов. Воблого массированным огнём по колонне противника уничтожили 13 автомашин с пехотой и 20 повозок с боеприпасами.</w:t>
      </w:r>
    </w:p>
    <w:p w14:paraId="47B35560"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 части, где командиром майор Зимин (Северо-Западный фронт), за три месяца сбили 87 самолётов противника. Майор Кондратьев сбил 12 немецких самолётов, майор Лазарев — 10 немецких самолётов и лейтенант Волков — 11 немецких самолётов.</w:t>
      </w:r>
    </w:p>
    <w:p w14:paraId="45DF21E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Танковый экипаж в составе лейтенанта Черкаса, механика-водителя Патрушева и старшего политрука Троекурова в одном бою уничтожил 2 немецких танка, 8 орудий, разрушил 12 ДЗОТов и раздавил до 50 немецких солдат и офицеров.</w:t>
      </w:r>
    </w:p>
    <w:p w14:paraId="1C24BFEA"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Отражая атаку противника, группа бойцов части, где командиром тов. Сазонов, уничтожила 6 немецких танков.</w:t>
      </w:r>
    </w:p>
    <w:p w14:paraId="48E3266F"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Красноармеец тов. Кужлев несколькими выстрелами из противотанкового ружья сбил немецкий самолёт «Хеншель-126», корректировавший стрельбу артиллерии противника.</w:t>
      </w:r>
    </w:p>
    <w:p w14:paraId="4D465387"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обер-фельдфебель 5 роты 52 мотополка 18 немецкой танковой дивизии Ганс Кухенбеккер рассказал: «Шестого июля утром русские начали сильный артиллерийский обстрел наших позиций. Снаряды накрыли почти все наши блиндажи и огневые точки. В моём взводе было 30 человек. Из них в живых остались только двое: я и унтер-офицер Отто Рейер. Остальные взводы тоже понесли тяжёлые потери. 5 рота уже была однажды разгромлена. У пункта Б. она потеряла убитыми и ранеными 160 человек. В конце мая рота получила пополнение в количестве 110 человек, главным образом юнцов, состоящих в союзе гитлеровской молодёжи. Им вдолбили в головы, что война, захват чужих земель и богатств — всё это призвание истинного немца. Я полагаю, что они скоро поумнеют, испытав все прелести войны на Востоке».</w:t>
      </w:r>
    </w:p>
    <w:p w14:paraId="1DFF4EC4"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захватчики продолжают грабить Норвегию. Сейчас оккупанты проводят конфискацию у населения всех велосипедов. Недавно оккупационные власти реквизировали более 100 авторемонтных мастерских.</w:t>
      </w:r>
    </w:p>
    <w:p w14:paraId="667D7E2E"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Бакинские нефтяники широко практикуют скоростной метод бурения нефтескважин. Скважина № 1212 была пробурена в 16 дней вместо 23 по графику. Бригада знатного мастера орденоносца Баба Кафар Мурадова за 12 дней пробурила 106 метров вместо 60 по заданию.» (14956).</w:t>
      </w:r>
    </w:p>
    <w:p w14:paraId="775EA7C3"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0556EA1E"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в 1942 году вечернее сообщение Совинформбюро:</w:t>
      </w:r>
    </w:p>
    <w:p w14:paraId="72602131"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18 июля наши войска продолжали бои с противником в районе Воронежа и южнее Миллерово.</w:t>
      </w:r>
    </w:p>
    <w:p w14:paraId="6CE639A7"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573EA863"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 кораблём в Балтийском море потоплен транспорт противника водоизмещением в 8.000 тонн.</w:t>
      </w:r>
    </w:p>
    <w:p w14:paraId="19CECD63"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17 июля частями нашей авиации на различных участках фронта уничтожено или повреждено около 80 немецких танков, 4 бронемашины, 23 орудия, 310 автомашин с войсками и грузами, 5 автоцистерн с горючим, 3 склада с боеприпасами и 2 склада с горючим, рассеяно и частью уничтожено до трёх батальонов пехоты противника.</w:t>
      </w:r>
    </w:p>
    <w:p w14:paraId="2DAA0643"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преодолевая упорное сопротивление противника, на отдельных участках продвинулись вперёд и заняли несколько населённых пунктов. На одном из участков крупные силы немцев предприняли атаку, стремясь захватить выгодный рубеж. Контрударом наших частей атака противника была отбита. Немцы потеряли убитыми свыше 1.000 солдат и офицеров. Уничтожено 24 орудия противника, 6 танков, 75 пулемётов, около 40 автомашин и 3 цистерны с горючим. Кроме того,подбито ещё 7 немецких танков. На другом участке наша часть выбила противника из населённого пункта и уничтожила 350 гитлеровцев, 2 танка и 3 орудия. Захвачен склад с боеприпасами.</w:t>
      </w:r>
    </w:p>
    <w:p w14:paraId="6EBF1420"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Миллерова наши войска вели ожесточённые оборонительные бои. Наша бомбардировочная и штурмовая авиация наносила удары по танкам, аэродромам, мотомехчастям и пехоте противника. За два дня уничтожено 46 немецких танков, 180 автомашин с войсками и военным грузом, 7 противотанковых орудий, 5 зенитных орудий, разрушен железнодорожный мост, взорвано два склада с боеприпасами и 4 цистерны с горючим. В воздушных боях наши лётчики сбили 7 и уничтожили на аэродроме 5 немецких самолётов.</w:t>
      </w:r>
    </w:p>
    <w:p w14:paraId="3373FD05"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происходили бои местного значения и активные действия разведывательных групп. На одном из участков немцы предприняли атаку, которая была отражена миномётным и ружейно-пулемётным огнём. На поле боя противник оставил свыше 100 трупов. Попытки немецких танков боем разведать систему нашей обороны также потерпели неудачу. Группа бойцов под командованием капитана Жидкова подбила 3 немецких танка. Красноармейцы тт. Иванов и Ташлыков из засады уничтожили два танка и бронемашину противника.</w:t>
      </w:r>
    </w:p>
    <w:p w14:paraId="03BE8A27"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продолжались артиллерийская перестрелка и активные действия авиации. На одном из участков фронта две роты пехоты противника при поддержке танков пытались атаковать наши позиции. Огнём артиллерии и пехоты атака была отбита. В воздушных боях наши лётчики сбили в немецких бомбардировщиков. Меткими выстрелами из противотанкового ружья старшина Василий Жарков сбил немецкий самолёт.</w:t>
      </w:r>
    </w:p>
    <w:p w14:paraId="3FC6ABC5"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Партизанским отрядом под командованием тов. М., действующим в одном из районов Полесской области, пущен под откос воинский эшелон противника. По предварительным данным, при крушении убито и ранено до 500 немецко-фашистских оккупантов.</w:t>
      </w:r>
    </w:p>
    <w:p w14:paraId="43B887D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записной книжки солдата 46 немецкого батальона В. фон Гризгейма: «Польская земля пустынна. Повсюду заметен немецкий веник, который основательно вымел всё... Мы, наконец, в России. Из окна вагона видны кладбища павших в битвах прошлого года...</w:t>
      </w:r>
    </w:p>
    <w:p w14:paraId="19405D29"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участке железной дороги Смоленск — Вязьма я видел десятки поездов, пущенных партизанами под откос, сотни вагонов, разбитых в щепы. Страшно смотреть. По обеим сторонам пути чернели остовы вагонов, разбитых паровозов,обломки грузовиков, валялись кучи тряпья и бесформенного металла...»</w:t>
      </w:r>
    </w:p>
    <w:p w14:paraId="5542B2C1"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Непрерывным потоком идут взносы трудящихся Советского Союза в фонд Обороны Родины. С 1 января по 1 июля 1942 г. в фонд Обороны поступило 1.221,5 миллиона рублей. Кроме того, трудящиеся внесли около 12 килограммов платины, 97 килограммов золота, 8,6 тысяч килограммов серебра, на 1.192 тысячи рублей драгоценных вещей, на 7.986 тысяч рублей иностранной валюты, на 2.267 миллионов рублей облигаций государственных займов. От колхозников поступило в фонд Обороны много зерна, сена, скота, кож, шерсти и других сельскохозяйственныхпродуктов.» (14956).</w:t>
      </w:r>
    </w:p>
    <w:p w14:paraId="7AD06D2D"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28F95A1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НКВМФ Н.Г.Кузнецов выпустил директиву N 9/198 о мерах по снижению эффективности действия авиации противника (2120).</w:t>
      </w:r>
    </w:p>
    <w:p w14:paraId="010249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7A726"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21, 24 и 26 июля 1942 г. считаются датами налетов на столицу Восточной Пруссии считаются, когда было выполнено 335 самолето-вылетов. Так, только 17-я ад дд отчиталась о 30 экипажах, бомбивших основную цель. В то же время 17 машин по разным причинам до Кенигсберга не дошли, а сбросили бомбы на объекты в Прибалтике, Восточной Пруссии и на Северо-Западе РСФСР. Вообще, эта серия налетов характерна большим числом экипажей, не дошедших до цели по метеоусловиям. Так, в ночь на 21 июля только один из 18 самолетов, вылетевших на Кенигсберг, бомбил основную цель. В ночь на 24 июля из 15 – два (22728).</w:t>
      </w:r>
    </w:p>
    <w:p w14:paraId="28D411A2" w14:textId="77777777" w:rsidR="00087D2F" w:rsidRPr="00722885" w:rsidRDefault="00087D2F" w:rsidP="00722885">
      <w:pPr>
        <w:spacing w:after="0" w:line="240" w:lineRule="auto"/>
        <w:jc w:val="both"/>
        <w:rPr>
          <w:rFonts w:ascii="Times New Roman" w:hAnsi="Times New Roman"/>
          <w:color w:val="0070C0"/>
          <w:sz w:val="16"/>
          <w:szCs w:val="16"/>
        </w:rPr>
      </w:pPr>
    </w:p>
    <w:p w14:paraId="4FCD53B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г. была подготовлена ДОКЛАДНАЯ ЗАПИСКА НАЧАЛЬНИКУ 5 ОТДЕЛА АТУ ГАБТУ КА О ЧАСТЫХ ПОЛОМКАХ МАШИНЫ МАРКИ СТУДЕБЕКЕР ПО РЕЗУЛЬТАТАМ КОМАНДИРОВКИ НА СЕВЕРО-ЗАПАДНЫЙ ФРОНТ</w:t>
      </w:r>
    </w:p>
    <w:p w14:paraId="13122A2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Автомобильный парк Северо-Западного фронта имеет 152 автомашины Студебекер. Для исследования вопроса о причинах частых поломок отдельных деталей машин мною было взято для исследования два вида эксплуатации машин Студебекер.</w:t>
      </w:r>
    </w:p>
    <w:p w14:paraId="3AE77A0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Машина, несущая на себе постоянную нагрузку (минометные части).</w:t>
      </w:r>
    </w:p>
    <w:p w14:paraId="5D4114F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Машина, как тягач с прицепным орудием и одновременно служащая для транспортировки бойцов и боепитания (воинская часть № 231).</w:t>
      </w:r>
    </w:p>
    <w:p w14:paraId="24CD367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эксплуатации Студебекера с постоянной нагрузкой, общий вес которой не превышает ус</w:t>
      </w:r>
      <w:r w:rsidRPr="00722885">
        <w:rPr>
          <w:rFonts w:ascii="Times New Roman" w:hAnsi="Times New Roman"/>
          <w:color w:val="000000" w:themeColor="text1"/>
          <w:sz w:val="16"/>
          <w:szCs w:val="16"/>
        </w:rPr>
        <w:softHyphen/>
        <w:t>тановленного тоннажа, и сама установка пропорционально распределена своим весом по всей плат</w:t>
      </w:r>
      <w:r w:rsidRPr="00722885">
        <w:rPr>
          <w:rFonts w:ascii="Times New Roman" w:hAnsi="Times New Roman"/>
          <w:color w:val="000000" w:themeColor="text1"/>
          <w:sz w:val="16"/>
          <w:szCs w:val="16"/>
        </w:rPr>
        <w:softHyphen/>
        <w:t>форме машины и осям, что даже при наезде передних колес на неровности не может вызвать жест</w:t>
      </w:r>
      <w:r w:rsidRPr="00722885">
        <w:rPr>
          <w:rFonts w:ascii="Times New Roman" w:hAnsi="Times New Roman"/>
          <w:color w:val="000000" w:themeColor="text1"/>
          <w:sz w:val="16"/>
          <w:szCs w:val="16"/>
        </w:rPr>
        <w:softHyphen/>
        <w:t>ких ударов и поломку самих рессор.</w:t>
      </w:r>
    </w:p>
    <w:p w14:paraId="6FAE858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Поломки отдельных деталей, в данном случае имелись исключительно только в трансмиссион</w:t>
      </w:r>
      <w:r w:rsidRPr="00722885">
        <w:rPr>
          <w:rFonts w:ascii="Times New Roman" w:hAnsi="Times New Roman"/>
          <w:color w:val="000000" w:themeColor="text1"/>
          <w:sz w:val="16"/>
          <w:szCs w:val="16"/>
        </w:rPr>
        <w:softHyphen/>
        <w:t>ной части автомобиля как-то: сцепление, т.е. поломка ведущего нажимного диска деталь № 644656, у дифференциала поломка сателлитов деталь № 668688 и в отдельных случаях полуосевых шестерней дифференциала деталь № 668688.</w:t>
      </w:r>
    </w:p>
    <w:p w14:paraId="1545B59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ведущего нажимного диска происходит от неумения правильно отрегулировать сво</w:t>
      </w:r>
      <w:r w:rsidRPr="00722885">
        <w:rPr>
          <w:rFonts w:ascii="Times New Roman" w:hAnsi="Times New Roman"/>
          <w:color w:val="000000" w:themeColor="text1"/>
          <w:sz w:val="16"/>
          <w:szCs w:val="16"/>
        </w:rPr>
        <w:softHyphen/>
        <w:t>бодный ход педалей сцепления, который меньше установленного предела на 25-35 мм.</w:t>
      </w:r>
    </w:p>
    <w:p w14:paraId="2E54D73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Диск пробуксовывается, тем самым сильно нагревается, коробится и ломается.</w:t>
      </w:r>
    </w:p>
    <w:p w14:paraId="07D260D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буксовании машины некоторые водители резко отпускают педаль сцепления, отчего проис</w:t>
      </w:r>
      <w:r w:rsidRPr="00722885">
        <w:rPr>
          <w:rFonts w:ascii="Times New Roman" w:hAnsi="Times New Roman"/>
          <w:color w:val="000000" w:themeColor="text1"/>
          <w:sz w:val="16"/>
          <w:szCs w:val="16"/>
        </w:rPr>
        <w:softHyphen/>
        <w:t>ходят жесткие удары. Часто машину выводят при буксовании на полувыжатом сцеплении.</w:t>
      </w:r>
    </w:p>
    <w:p w14:paraId="2CDA8AA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Точно также поломку сателлитов и полуосевых шестерен нужно объяснить неумелым вождени</w:t>
      </w:r>
      <w:r w:rsidRPr="00722885">
        <w:rPr>
          <w:rFonts w:ascii="Times New Roman" w:hAnsi="Times New Roman"/>
          <w:color w:val="000000" w:themeColor="text1"/>
          <w:sz w:val="16"/>
          <w:szCs w:val="16"/>
        </w:rPr>
        <w:softHyphen/>
        <w:t>ем машин по пересеченным местностям, в условии болот, озер и леса с преодолением разных пре</w:t>
      </w:r>
      <w:r w:rsidRPr="00722885">
        <w:rPr>
          <w:rFonts w:ascii="Times New Roman" w:hAnsi="Times New Roman"/>
          <w:color w:val="000000" w:themeColor="text1"/>
          <w:sz w:val="16"/>
          <w:szCs w:val="16"/>
        </w:rPr>
        <w:softHyphen/>
        <w:t>пятствий. В этих случаях следовало бы переходить на использование всех трех осей автомобиля для равномерного распределения крутящего момента по осям, с одновременным включением демультипликатора. Однако водительский состав это забывает или недостаточно хорошо знает. В этом случае на заднюю тележку приходится повышенная нагрузка, переходящая за пределы запаса.прочности зубьев сателлитов и полуосевых шестерен, почему последние и ломаются.</w:t>
      </w:r>
    </w:p>
    <w:p w14:paraId="5705DB0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Причины поломок деталей, когда машина Студебекер эксплуатируется как тягач с одновремен</w:t>
      </w:r>
      <w:r w:rsidRPr="00722885">
        <w:rPr>
          <w:rFonts w:ascii="Times New Roman" w:hAnsi="Times New Roman"/>
          <w:color w:val="000000" w:themeColor="text1"/>
          <w:sz w:val="16"/>
          <w:szCs w:val="16"/>
        </w:rPr>
        <w:softHyphen/>
        <w:t xml:space="preserve">ной перевозкой боепитания и бойцов (воинская часть 231), происходят </w:t>
      </w:r>
      <w:r w:rsidRPr="00722885">
        <w:rPr>
          <w:rFonts w:ascii="Times New Roman" w:hAnsi="Times New Roman"/>
          <w:color w:val="000000" w:themeColor="text1"/>
          <w:sz w:val="16"/>
          <w:szCs w:val="16"/>
        </w:rPr>
        <w:lastRenderedPageBreak/>
        <w:t>исключительно из-за боль</w:t>
      </w:r>
      <w:r w:rsidRPr="00722885">
        <w:rPr>
          <w:rFonts w:ascii="Times New Roman" w:hAnsi="Times New Roman"/>
          <w:color w:val="000000" w:themeColor="text1"/>
          <w:sz w:val="16"/>
          <w:szCs w:val="16"/>
        </w:rPr>
        <w:softHyphen/>
        <w:t>шой перегрузки машины. Последняя иногда доходит до 4,5 тонн в кузове + 6 тонн на крюке с уче</w:t>
      </w:r>
      <w:r w:rsidRPr="00722885">
        <w:rPr>
          <w:rFonts w:ascii="Times New Roman" w:hAnsi="Times New Roman"/>
          <w:color w:val="000000" w:themeColor="text1"/>
          <w:sz w:val="16"/>
          <w:szCs w:val="16"/>
        </w:rPr>
        <w:softHyphen/>
        <w:t>том тяжелых условий дорог Северо-Западного фронта (бездорожье, болота, озера и лес).</w:t>
      </w:r>
    </w:p>
    <w:p w14:paraId="16B02B0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Недостаточное знакомство технического и обслуживающего персонала с материальной частью иномашин приводит к частым поломкам отдельных деталей и агрегатов. Как правило, и здесь не пользуются при наличии перегруженности высокими тяговыми усилиями машины Студебекер пу</w:t>
      </w:r>
      <w:r w:rsidRPr="00722885">
        <w:rPr>
          <w:rFonts w:ascii="Times New Roman" w:hAnsi="Times New Roman"/>
          <w:color w:val="000000" w:themeColor="text1"/>
          <w:sz w:val="16"/>
          <w:szCs w:val="16"/>
        </w:rPr>
        <w:softHyphen/>
        <w:t>тем включения переднего моста и демультипликатора в раздаточной коробке.</w:t>
      </w:r>
    </w:p>
    <w:p w14:paraId="7F70829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Имеются случаи в в/ч № 231, где при поломках отдельных деталей задних мостов (сателлиты, по</w:t>
      </w:r>
      <w:r w:rsidRPr="00722885">
        <w:rPr>
          <w:rFonts w:ascii="Times New Roman" w:hAnsi="Times New Roman"/>
          <w:color w:val="000000" w:themeColor="text1"/>
          <w:sz w:val="16"/>
          <w:szCs w:val="16"/>
        </w:rPr>
        <w:softHyphen/>
        <w:t>луосевые шестерни и шарниры гука) из-за отсутствия запчастей снимают детали с передних мостов и устанавливают их вместо сломанных деталей задних мостов. Вследствие этого в дальнейшем ис</w:t>
      </w:r>
      <w:r w:rsidRPr="00722885">
        <w:rPr>
          <w:rFonts w:ascii="Times New Roman" w:hAnsi="Times New Roman"/>
          <w:color w:val="000000" w:themeColor="text1"/>
          <w:sz w:val="16"/>
          <w:szCs w:val="16"/>
        </w:rPr>
        <w:softHyphen/>
        <w:t>пользовать передний мост в нужный момент, как ведущий, становится невозможным.</w:t>
      </w:r>
    </w:p>
    <w:p w14:paraId="1A4DBD4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 водительский состав недостаточно технически грамотно подготовлен к управлению маши</w:t>
      </w:r>
      <w:r w:rsidRPr="00722885">
        <w:rPr>
          <w:rFonts w:ascii="Times New Roman" w:hAnsi="Times New Roman"/>
          <w:color w:val="000000" w:themeColor="text1"/>
          <w:sz w:val="16"/>
          <w:szCs w:val="16"/>
        </w:rPr>
        <w:softHyphen/>
        <w:t>нами Студебекер в в/ч 231 часто выходят из строя машины по вине самих водителей. Так, например: 29.03.1942 г. в/ч 231 шасси машины № 1131. Авария машины произошла при выезде на огневую ли</w:t>
      </w:r>
      <w:r w:rsidRPr="00722885">
        <w:rPr>
          <w:rFonts w:ascii="Times New Roman" w:hAnsi="Times New Roman"/>
          <w:color w:val="000000" w:themeColor="text1"/>
          <w:sz w:val="16"/>
          <w:szCs w:val="16"/>
        </w:rPr>
        <w:softHyphen/>
        <w:t>нию, машина шла с большой скоростью, но водитель внезапно включил задний ход — произошла по</w:t>
      </w:r>
      <w:r w:rsidRPr="00722885">
        <w:rPr>
          <w:rFonts w:ascii="Times New Roman" w:hAnsi="Times New Roman"/>
          <w:color w:val="000000" w:themeColor="text1"/>
          <w:sz w:val="16"/>
          <w:szCs w:val="16"/>
        </w:rPr>
        <w:softHyphen/>
        <w:t>ломка отдельных агрегатов и деталей машины; вышли из строя раздаточная коробка, шестерни глав</w:t>
      </w:r>
      <w:r w:rsidRPr="00722885">
        <w:rPr>
          <w:rFonts w:ascii="Times New Roman" w:hAnsi="Times New Roman"/>
          <w:color w:val="000000" w:themeColor="text1"/>
          <w:sz w:val="16"/>
          <w:szCs w:val="16"/>
        </w:rPr>
        <w:softHyphen/>
        <w:t>ной передачи переднего и заднего мостов и два подшипника раздаточной коробки.</w:t>
      </w:r>
    </w:p>
    <w:p w14:paraId="33634D7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17.03.1942 г. шасси № 1080 в/ч 231. При сильном буксовании машины произошла поломка двух крестовин и двух подшипников шарнира гука.</w:t>
      </w:r>
    </w:p>
    <w:p w14:paraId="039EE38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23.03.1942 г. шасси № 1034 в/ч 231. Произошла поломка деталей в коробке перемены передач по вине водителя, не было масла в коробке, произошло заедание внутреннего упорного и двух наруж</w:t>
      </w:r>
      <w:r w:rsidRPr="00722885">
        <w:rPr>
          <w:rFonts w:ascii="Times New Roman" w:hAnsi="Times New Roman"/>
          <w:color w:val="000000" w:themeColor="text1"/>
          <w:sz w:val="16"/>
          <w:szCs w:val="16"/>
        </w:rPr>
        <w:softHyphen/>
        <w:t>ных подшипников вторичного вала. Вышла из строя скользящая шестерня раздаточной коробки (по</w:t>
      </w:r>
      <w:r w:rsidRPr="00722885">
        <w:rPr>
          <w:rFonts w:ascii="Times New Roman" w:hAnsi="Times New Roman"/>
          <w:color w:val="000000" w:themeColor="text1"/>
          <w:sz w:val="16"/>
          <w:szCs w:val="16"/>
        </w:rPr>
        <w:softHyphen/>
        <w:t>ломка 5 зубьев).</w:t>
      </w:r>
    </w:p>
    <w:p w14:paraId="018BBF7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19.03.1942 г. шасси № 1080. Авария произошла по вине лица, производившего контрольный ос</w:t>
      </w:r>
      <w:r w:rsidRPr="00722885">
        <w:rPr>
          <w:rFonts w:ascii="Times New Roman" w:hAnsi="Times New Roman"/>
          <w:color w:val="000000" w:themeColor="text1"/>
          <w:sz w:val="16"/>
          <w:szCs w:val="16"/>
        </w:rPr>
        <w:softHyphen/>
        <w:t>мотр; у машины вышел из строя кожух дифференциала и ослабло крепление редуктора из-за неудо</w:t>
      </w:r>
      <w:r w:rsidRPr="00722885">
        <w:rPr>
          <w:rFonts w:ascii="Times New Roman" w:hAnsi="Times New Roman"/>
          <w:color w:val="000000" w:themeColor="text1"/>
          <w:sz w:val="16"/>
          <w:szCs w:val="16"/>
        </w:rPr>
        <w:softHyphen/>
        <w:t>влетворительной подтяжки.</w:t>
      </w:r>
    </w:p>
    <w:p w14:paraId="693BD5C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16.03.1942 г. шасси № 1034. Произошла поломка ведущего диска сцепления. Причина поломки, как считает комиссия, по вине водителя, который при буксовании машины стремился выехать на по</w:t>
      </w:r>
      <w:r w:rsidRPr="00722885">
        <w:rPr>
          <w:rFonts w:ascii="Times New Roman" w:hAnsi="Times New Roman"/>
          <w:color w:val="000000" w:themeColor="text1"/>
          <w:sz w:val="16"/>
          <w:szCs w:val="16"/>
        </w:rPr>
        <w:softHyphen/>
        <w:t>лувыжатом сцеплении.</w:t>
      </w:r>
    </w:p>
    <w:p w14:paraId="3785D01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19.04.1942 г. в/ч 231 шасси № 127. Поломка передних рессор произошла по вине водителя, кото</w:t>
      </w:r>
      <w:r w:rsidRPr="00722885">
        <w:rPr>
          <w:rFonts w:ascii="Times New Roman" w:hAnsi="Times New Roman"/>
          <w:color w:val="000000" w:themeColor="text1"/>
          <w:sz w:val="16"/>
          <w:szCs w:val="16"/>
        </w:rPr>
        <w:softHyphen/>
        <w:t>рый не предусмотрел при управлении машиной состояние дороги (въехал в яму).</w:t>
      </w:r>
    </w:p>
    <w:p w14:paraId="238D1DF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ВЫВОДЫ:</w:t>
      </w:r>
    </w:p>
    <w:p w14:paraId="77C40A4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основе изложенного материала можно сделать следующие выводы:</w:t>
      </w:r>
    </w:p>
    <w:p w14:paraId="36CB862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Срочно обеспечить запчастями все походные ремонтные мастерские в/частей, где имеются машины Студебекер.</w:t>
      </w:r>
    </w:p>
    <w:p w14:paraId="38E5AAA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Восстановить машины, с которых были временно сняты детали с передних ведущих мостов для установки их на задние мосты.</w:t>
      </w:r>
    </w:p>
    <w:p w14:paraId="5DD1B75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Обеспечить автопарки краткими руководствами по управлению и эксплуатации машин Сту</w:t>
      </w:r>
      <w:r w:rsidRPr="00722885">
        <w:rPr>
          <w:rFonts w:ascii="Times New Roman" w:hAnsi="Times New Roman"/>
          <w:color w:val="000000" w:themeColor="text1"/>
          <w:sz w:val="16"/>
          <w:szCs w:val="16"/>
        </w:rPr>
        <w:softHyphen/>
        <w:t>дебекер.</w:t>
      </w:r>
    </w:p>
    <w:p w14:paraId="5174690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Срочно договориться с заводами изготовителями, которые по заказу войсковых частей изго</w:t>
      </w:r>
      <w:r w:rsidRPr="00722885">
        <w:rPr>
          <w:rFonts w:ascii="Times New Roman" w:hAnsi="Times New Roman"/>
          <w:color w:val="000000" w:themeColor="text1"/>
          <w:sz w:val="16"/>
          <w:szCs w:val="16"/>
        </w:rPr>
        <w:softHyphen/>
        <w:t>товляли детали для автомобиля Студебекер об увеличении производства необходимых деталей.</w:t>
      </w:r>
    </w:p>
    <w:p w14:paraId="79EE80F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Воентехник 1 ранга Чекменев</w:t>
      </w:r>
    </w:p>
    <w:p w14:paraId="4DD5955C"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11386. Д. 138. Л. 105-106. Подлинник (11211).</w:t>
      </w:r>
    </w:p>
    <w:p w14:paraId="15CFD559"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6138728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фашистами захвачен Ворошиловград (4962).</w:t>
      </w:r>
    </w:p>
    <w:p w14:paraId="4D8E6B8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C0D7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вышло Постановление ГКО № 2061 О выводе с фронта 30 стрелковых дивизий и бригад для доукомплектования и развертывания бригад в дивизии. РГАНИР, Фонд ГКО, д. 45, лл. 2-5 (11012).</w:t>
      </w:r>
    </w:p>
    <w:p w14:paraId="600A4E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371C7"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Жизнь и внутренняя политика:</w:t>
      </w:r>
    </w:p>
    <w:p w14:paraId="15E0A5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4860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вышло Постановление ГКО № 2060 Об эвакуации населения из г. Ростова и области. РГАНИР, Фонд ГКО, д. 45, лл. 1 (11012).</w:t>
      </w:r>
    </w:p>
    <w:p w14:paraId="01A1B4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CE528" w14:textId="77777777" w:rsidR="00056917" w:rsidRPr="00722885" w:rsidRDefault="000569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в 1942 году по дну Ладожского озера прокладывается трубопровод для подачи топлива в осажденный Ленинград (14956).</w:t>
      </w:r>
    </w:p>
    <w:p w14:paraId="250FEBA0" w14:textId="77777777" w:rsidR="00056917" w:rsidRPr="00722885" w:rsidRDefault="00056917" w:rsidP="00722885">
      <w:pPr>
        <w:spacing w:after="0" w:line="240" w:lineRule="auto"/>
        <w:jc w:val="both"/>
        <w:rPr>
          <w:rFonts w:ascii="Times New Roman" w:hAnsi="Times New Roman"/>
          <w:color w:val="000000" w:themeColor="text1"/>
          <w:sz w:val="16"/>
          <w:szCs w:val="16"/>
        </w:rPr>
      </w:pPr>
    </w:p>
    <w:p w14:paraId="6ECF320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Внешняя политика:</w:t>
      </w:r>
    </w:p>
    <w:p w14:paraId="1DBF11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FCC0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года было отправлено:</w:t>
      </w:r>
    </w:p>
    <w:p w14:paraId="0C66B7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В. СТАЛИН Ф. РУЗВЕЛЬТУ *</w:t>
      </w:r>
    </w:p>
    <w:p w14:paraId="5BA6FC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Ваше сообщение о назначении американскими представителями на совещание в Москве генерал-майора Ф. Брэдли, капитана Данкена и полковника Микела мною получено. Американским представителям будет оказано все необходимое содействие в выполнении возложенных на них задач.</w:t>
      </w:r>
    </w:p>
    <w:p w14:paraId="30256B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 стороны СССР в совещании примут участие генерал-майор Стерлигов, полковник Кабанов и полковник Левандович.</w:t>
      </w:r>
    </w:p>
    <w:p w14:paraId="2697BC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рекогносцировочного полета, то в ближайшие дни из Красноярска в Ном можно было бы отправить один самолет (имеется в виду американский двухмоторный самолет), который на обратном пути из Нома мог бы взять с собой и американских офицеров.</w:t>
      </w:r>
    </w:p>
    <w:p w14:paraId="2618C4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Пользуюсь случаем, чтобы выразить Вам признательность за сообщение о дополнительной отправке в СССР ста пятнадцати танков.</w:t>
      </w:r>
    </w:p>
    <w:p w14:paraId="1F3A61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Считаю долгом предупредить, что, как утверждают наши специалисты на фронте, американские танки очень легко горят от патронов противотанковых ружей, попадающих сзади или сбоку. Происходит это оттого, что высокосортный бензин, употребляемый американскими танками, образует в танке большой слой бензиновых паров, создающих благоприятные условия для загорания. Немецкие танки работают тоже на бензине, но бензин у них низкосортный, не дающий большого количества паров, ввиду чего они гораздо меньше подвержены загоранию. Наиболее подходящим мотором для танков наши специалисты считают дизель (7430).</w:t>
      </w:r>
    </w:p>
    <w:p w14:paraId="1DB639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D4417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года было получено:</w:t>
      </w:r>
    </w:p>
    <w:p w14:paraId="53E063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ЧЕРЧИЛЛЬ И. В. СТАЛИНУ *</w:t>
      </w:r>
    </w:p>
    <w:p w14:paraId="626257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Мы начали отправлять в Северную Россию небольшие конвои судов в августе 1941 года, и до декабря немцы не предпринимали каких-либо шагов для того, чтобы помешать им. С февраля 1942 года размер конвоев был увеличен, и тогда немцы перебросили в Северную Норвегию значительные силы подводных лодок и большое количество самолетов и начали предпринимать решительные нападения на конвои. В результате предоставления конвоям возможно более сильного охранения в виде эсминцев и специальных судов для борьбы с подводными лодками конвои проходили с различными, но допустимыми потерями. Ясно, что немцы были недовольны результатами, достигнутыми при помощи одних только самолетов и подводных лодок, так как они начали использовать свои надводные силы против конвоев. Однако, к нашему счастью, вначале они использовали свои тяжелые надводные корабли к западу от острова Медвежий, а свои подводные лодки к востоку от него.</w:t>
      </w:r>
    </w:p>
    <w:p w14:paraId="71B8B0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Благодаря этому флот метрополии был в состоянии предотвращать нападения со стороны надводных сил противника. Перед отправкой майского конвоя Адмиралтейство предостерегало нас, что потери будут очень тяжелыми в случае, если, как это ожидалось, немцы используют свои надводные корабли к востоку от острова Медвежий. Мы решили отправить конвой. Нападения надводных кораблей не произошло, и конвой прошел, потеряв одну шестую часть своего состава, главным образом в результате нападений с воздуха. Однако в случае с последним конвоем под номером P.Q.17 немцы, наконец, использовали свои силы таким способом, которого мы всегда опасались. Они сконцентрировали свои подводные лодки к западу от острова Медвежий, а свои надводные корабли держали в резерве для нападения к востоку от острова Медвежий. Окончательная судьба конвоя P. Q. 17 еще не ясна. В настоящий момент в Архангельск прибыли только четыре парохода, а шесть других находятся в гаванях Новой Земли. Последние, однако, могут по отдельности подвергнуться нападению с воздуха. Поэтому в лучшем случае уцелеет только одна треть.</w:t>
      </w:r>
    </w:p>
    <w:p w14:paraId="555218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 должен объяснить опасности и трудности этих операций с конвоями, когда эскадра противника базируется на Крайнем Севере. Мы не считаем правильным рисковать нашим флотом метрополии к востоку от острова Медвежий или там, где он может подвергнуться нападению немецких самолетов, базирующихся на побережье. Если один или два из наших весьма немногочисленных мощных судов погибли бы или хотя бы были серьезно повреждены, в то время как “Тирпиц” и сопровождающие его корабли, к которым скоро должен присоединиться “Шарнгорст”, остались бы в действии, то все господство в Атлантике было бы потеряно. Помимо того, что это отразилось бы на поставках нам продовольствия, за счет которых мы существуем, это подорвало бы наши военные усилия и прежде всего помешало бы отправке через океан больших конвоев судов с американскими войсками, ежемесячно доставляемые контингенты которых скоро достигнут приблизительно 80 000 человек, и. сделало бы невозможным создание действительно сильного второго фронта в 1943 году.</w:t>
      </w:r>
    </w:p>
    <w:p w14:paraId="4978577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Мои военно-морские советники сообщают мне, что если бы они располагали германскими надводными, подводными и воздушными силами при данных обстоятельствах, то они гарантировали бы полное уничтожение любого конвоя, направляющегося в Северную Россию. До сих пор у них нет никакой надежды на то, что конвоям, которые попытались бы пройти при постоянном дневном свете, повезло бы больше, чем P. Q. 17. Поэтому с очень большим сожалением мы пришли к заключению, что попытка направить следующий конвой P. Q. 18 не принесла бы Вам пользы и нанесла бы только невозместимый ущерб общему делу. В то же самое время я заверяю Вас в том, что если мы сможем изыскать меры, которые позволят не без оснований надеяться на то, что по крайней мере значительная часть судов </w:t>
      </w:r>
      <w:r w:rsidRPr="00722885">
        <w:rPr>
          <w:rFonts w:ascii="Times New Roman" w:hAnsi="Times New Roman"/>
          <w:color w:val="000000" w:themeColor="text1"/>
          <w:sz w:val="16"/>
          <w:szCs w:val="16"/>
        </w:rPr>
        <w:lastRenderedPageBreak/>
        <w:t>конвоев достигнет Вашей страны, то мы немедленно возобновим их отправку. Задача заключается в том, чтобы сделать Баренцево море таким же опасным для немецких военных судов, каким они его делают для нас. Это то, к чему мы должны стремиться при помощи наших совместных ресурсов. Я хотел бы направить в скором времени офицера старшего ранга в Северную Россию для совещания с Вашими офицерами и выработки плана.</w:t>
      </w:r>
    </w:p>
    <w:p w14:paraId="28BF52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временем мы готовы направить немедленно в Персидский залив некоторые из тех судов, которые должны были отплыть с конвоем P. Q. Отбор судов был бы произведен совместно с советскими представителями в Лондоне с тем, чтобы согласовать с ними очередность грузов. Если предпочтение будет отдано истребителям (типов “Харрикейн” и “Аэрокобра”), можете ли Вы использовать и обслуживать их на Южном фронте? Мы могли бы производить сборку их в Басре. Мы надеемся увеличить пропускную способность трансиранских магистралей с тем, чтобы достичь 75 000 тонн в месяц к октябрю, и принимаем меры к дальнейшему ее увеличению. Мы просим Правительство Соединенных Штатов помочь нам путем ускорения поставок подвижного состава и грузовиков. С увеличившимся объемом перевозок можно было бы немедленно справиться, если бы Вы согласились на использование американских грузовиков, предназначенных для СССР, сборка которых в настоящее время производится на побережье Персидского залива, для перевозки грузов по шоссейной дороге между заливом и Каспием. Для того чтобы обеспечить полное использование пропускной способности, мы согласны увеличить количество грузов, которые должны прибыть в сентябре, до 95 000 тонн и до 100 000 тонн — в октябре, исключая грузовики и самолеты.</w:t>
      </w:r>
    </w:p>
    <w:p w14:paraId="4EDB70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Телеграмма от 20 июня, направленная Вами мне, касалась совместных операций на Севере. Препятствия, существующие в настоящее время на пути посылки дальнейших конвоев, в равной мере делают невозможной отправку сухопутных и воздушных сил для операций в Северной Норвегии. Однако наши офицеры должны немедленно совместно рассмотреть, какие совместные операции могут оказаться возможными в октябре или после октября, когда будет достаточно темно. Было бы хорошо, если бы Вы могли направить сюда Ваших офицеров. Но если это невозможно, то наши офицеры приедут к Вам.</w:t>
      </w:r>
    </w:p>
    <w:p w14:paraId="538569B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дополнение к совместным операциям на Севере мы рассматриваем вопрос о том, как помочь Вам на Вашем южном фланге. Если мы сможем отбросить Роммеля, то мы могли бы осенью послать мощные воздушные силы для операций на левом фланге Вашего фронта. Трудности снабжения этих сил по трансиранскому маршруту без сокращения поставок Вам, разумеется, будут значительными, но я надеюсь в ближайшем будущем представить Вам детальные предложения. Мы должны сначала разбить Роммеля. Бои идут сейчас напряженные.</w:t>
      </w:r>
    </w:p>
    <w:p w14:paraId="403531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Разрешите мне еще раз выразить благодарность за 40 “Бостонов”. Немцы непрестанно направляют в Африку все больше людей и самолетов, однако к генералу Окинлеку подходят большие подкрепления, и предстоящее прибытие мощных английских и американских соединений тяжелых бомбардировщиков должно обеспечить безопасность в восточной части Средиземного моря и блокировать порты снабжения Роммеля — Тобрук и Бенгази.</w:t>
      </w:r>
    </w:p>
    <w:p w14:paraId="53A69F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Я уверен, что было бы в наших общих интересах, Премьер Сталин, если бы три польские дивизии </w:t>
      </w:r>
      <w:r w:rsidRPr="00722885">
        <w:rPr>
          <w:rFonts w:ascii="Times New Roman" w:hAnsi="Times New Roman"/>
          <w:color w:val="000000" w:themeColor="text1"/>
          <w:sz w:val="16"/>
          <w:szCs w:val="16"/>
          <w:vertAlign w:val="superscript"/>
        </w:rPr>
        <w:t>21</w:t>
      </w:r>
      <w:r w:rsidRPr="00722885">
        <w:rPr>
          <w:rFonts w:ascii="Times New Roman" w:hAnsi="Times New Roman"/>
          <w:color w:val="000000" w:themeColor="text1"/>
          <w:sz w:val="16"/>
          <w:szCs w:val="16"/>
        </w:rPr>
        <w:t>, которые Вы так любезно предложили, объединились со своими соотечественниками в Палестине, где мы можем их полностью вооружить. Они будут играть очень важную роль в будущей борьбе, так же как и в сохранении у турок бодрого духа в результате ощущения ими растущей численности сил на Юге. Я надеюсь, что предложенный Вами проект, который мы высоко ценим, не будет не претворен в жизнь из-за того, что поляки захотят отправить вместе с войсками значительное число своих женщин и детей, которые в основном существуют на пайки польских солдат. Питание этих иждивенцев будет значительным бременем для нас. Мы думаем, что стоит принять это бремя в целях создания упомянутой польской армии, которая будет добросовестно использована к нашей общей выгоде. Мы сами испытываем острый недостаток продовольствия в районе Леванта, но продовольствия достаточно в Индии, лишь бы мы смогли доставить его в Левант.</w:t>
      </w:r>
    </w:p>
    <w:p w14:paraId="3A318B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мы не получим поляков, то мы должны будем заменить их за счет сил, подготавливаемых ныне в большом масштабе для англо-американского массового вторжения на континент. Эти приготовления уже заставили немцев перебросить две группы тяжелых бомбардировщиков из Южной России во Францию. Поверьте мне, нет ничего полезного и разумного, чего бы мы и американцы не сделали для того, чтобы помочь Вам в Вашей великолепной борьбе. Президент и я непрестанно ищем средства для преодоления чрезвычайных трудностей, которые ставят нам географические условия, моря и воздушные силы противника.</w:t>
      </w:r>
    </w:p>
    <w:p w14:paraId="19BAA6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 показал эту телеграмму Президенту (7430).</w:t>
      </w:r>
    </w:p>
    <w:p w14:paraId="289065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532B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Черчиль проинформировал И.В.С., что второго фронта в 1942 не будет (512,304).</w:t>
      </w:r>
    </w:p>
    <w:p w14:paraId="64C72B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CC2F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18-25 июля 1942 в Лондоне на переговорах между представителями США и Великобритании было оформлено соглашение о переносе срока открытия второго фронта в Европе и принято решение о вторжении в Северную Африку (операция Торч) (3186).</w:t>
      </w:r>
    </w:p>
    <w:p w14:paraId="1560144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F701D9" w14:textId="77777777" w:rsidR="003B3C69" w:rsidRPr="00722885" w:rsidRDefault="003B3C6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в 1942 году правительство Великобритании заявило Советскому правительству о временном прекращении поставок военных материалов Советскому Союзу по Северному пути (14956).</w:t>
      </w:r>
    </w:p>
    <w:p w14:paraId="1C0EA6B2" w14:textId="77777777" w:rsidR="003B3C69" w:rsidRPr="00722885" w:rsidRDefault="003B3C69" w:rsidP="00722885">
      <w:pPr>
        <w:spacing w:after="0" w:line="240" w:lineRule="auto"/>
        <w:jc w:val="both"/>
        <w:rPr>
          <w:rFonts w:ascii="Times New Roman" w:hAnsi="Times New Roman"/>
          <w:color w:val="000000" w:themeColor="text1"/>
          <w:sz w:val="16"/>
          <w:szCs w:val="16"/>
        </w:rPr>
      </w:pPr>
    </w:p>
    <w:p w14:paraId="791DAB5D"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0244118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618D43"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состоялся первый полет немецкого истребителя "Мессершмидт-262" (4962).</w:t>
      </w:r>
    </w:p>
    <w:p w14:paraId="21750AA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2756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1942 состоялся первый полет Ме-262 (237,199) уже на реактивной тяге (1128,8).</w:t>
      </w:r>
    </w:p>
    <w:p w14:paraId="5A275D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33E699" w14:textId="77777777" w:rsidR="003B3C69" w:rsidRPr="00722885" w:rsidRDefault="003B3C6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в 1942 году первый полет реактивного истребителя «Мессершмитт Ме-262» (пилот флюг-капитан Фриц Вендель) с двигателями 004А фирмы «Юнкерс». Самолет «Ме-262» "Штюрмфогель" был первым боевым реактивным самолетом, поступившим на вооружение авиационных частей. Первый образец самолета Me-262V-l летом 1941 г. испытывался с поршневым двигателем «Юмо 211». Второй образец самолета «Me-262V-2», на котором были установлены два турбореактивных двигателя «Юнкерс-Юмо 004А» с тягой 840 кг каждый, совершил первый полет 18 июля 1942 г. Первый поступивший в производство истребитель-перехватчик Ме-262А-1, на котором были установлены два турбореактивных двигателя Юмо 004В с тягой 900 кг каждый, был выпущен только небольшой серией. Было построено три образца самолета «Ме-262В-2». На четырех модифицированных самолетах «Ме-262А» были установлены в носовой части фюзеляжа 50-мм пушки ВК5. Эти самолеты являлись опытными образцами для проектируемого самолета Ме-262Е. Всего было построено 1294 самолета типа «Ме-262». Самолет «Ме-262А-1» имел максимальную скорость 845 км/час и дальность полета 940 км. Взлетный вес самолета составлял 7000 кг, а вес пустого самолета - 4500 кг. Размеры самолета: размах крыла 12,5 м, длина 10,9 м, площадь крыла 16,6 м2 (14956).</w:t>
      </w:r>
    </w:p>
    <w:p w14:paraId="6922489B" w14:textId="77777777" w:rsidR="003B3C69" w:rsidRPr="00722885" w:rsidRDefault="003B3C69" w:rsidP="00722885">
      <w:pPr>
        <w:spacing w:after="0" w:line="240" w:lineRule="auto"/>
        <w:jc w:val="both"/>
        <w:rPr>
          <w:rFonts w:ascii="Times New Roman" w:hAnsi="Times New Roman"/>
          <w:color w:val="000000" w:themeColor="text1"/>
          <w:sz w:val="16"/>
          <w:szCs w:val="16"/>
        </w:rPr>
      </w:pPr>
    </w:p>
    <w:p w14:paraId="63485805" w14:textId="77777777" w:rsidR="00715152" w:rsidRPr="00722885" w:rsidRDefault="0071515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18 июля 1942 г. Ме-262 с двумя </w:t>
      </w:r>
      <w:r w:rsidRPr="00722885">
        <w:rPr>
          <w:rFonts w:ascii="Times New Roman" w:cs="Times New Roman"/>
          <w:color w:val="000000" w:themeColor="text1"/>
          <w:spacing w:val="0"/>
          <w:sz w:val="16"/>
          <w:szCs w:val="16"/>
          <w:lang w:val="en-US"/>
        </w:rPr>
        <w:t>Jumo</w:t>
      </w:r>
      <w:r w:rsidRPr="00722885">
        <w:rPr>
          <w:rFonts w:ascii="Times New Roman" w:cs="Times New Roman"/>
          <w:color w:val="000000" w:themeColor="text1"/>
          <w:spacing w:val="0"/>
          <w:sz w:val="16"/>
          <w:szCs w:val="16"/>
        </w:rPr>
        <w:t xml:space="preserve">-004 совершил первый полёт. Серийный образец этого двигателя </w:t>
      </w:r>
      <w:r w:rsidRPr="00722885">
        <w:rPr>
          <w:rFonts w:ascii="Times New Roman" w:cs="Times New Roman"/>
          <w:color w:val="000000" w:themeColor="text1"/>
          <w:spacing w:val="0"/>
          <w:sz w:val="16"/>
          <w:szCs w:val="16"/>
          <w:lang w:val="en-US"/>
        </w:rPr>
        <w:t>Jumo</w:t>
      </w:r>
      <w:r w:rsidRPr="00722885">
        <w:rPr>
          <w:rFonts w:ascii="Times New Roman" w:cs="Times New Roman"/>
          <w:color w:val="000000" w:themeColor="text1"/>
          <w:spacing w:val="0"/>
          <w:sz w:val="16"/>
          <w:szCs w:val="16"/>
        </w:rPr>
        <w:t>-004</w:t>
      </w:r>
      <w:r w:rsidRPr="00722885">
        <w:rPr>
          <w:rFonts w:ascii="Times New Roman" w:cs="Times New Roman"/>
          <w:color w:val="000000" w:themeColor="text1"/>
          <w:spacing w:val="0"/>
          <w:sz w:val="16"/>
          <w:szCs w:val="16"/>
          <w:lang w:val="en-US"/>
        </w:rPr>
        <w:t>B</w:t>
      </w:r>
      <w:r w:rsidRPr="00722885">
        <w:rPr>
          <w:rFonts w:ascii="Times New Roman" w:cs="Times New Roman"/>
          <w:color w:val="000000" w:themeColor="text1"/>
          <w:spacing w:val="0"/>
          <w:sz w:val="16"/>
          <w:szCs w:val="16"/>
        </w:rPr>
        <w:t>-1, развивающий тягу 900 кгс, запустили в серийное производство, и его поставки начались в марте 1944 г. (15791)</w:t>
      </w:r>
    </w:p>
    <w:p w14:paraId="69659F5D" w14:textId="77777777" w:rsidR="00715152" w:rsidRPr="00722885" w:rsidRDefault="00715152" w:rsidP="00722885">
      <w:pPr>
        <w:pStyle w:val="36"/>
        <w:shd w:val="clear" w:color="auto" w:fill="auto"/>
        <w:spacing w:after="0" w:line="240" w:lineRule="auto"/>
        <w:jc w:val="both"/>
        <w:rPr>
          <w:rFonts w:ascii="Times New Roman" w:cs="Times New Roman"/>
          <w:color w:val="000000" w:themeColor="text1"/>
          <w:spacing w:val="0"/>
          <w:sz w:val="16"/>
          <w:szCs w:val="16"/>
        </w:rPr>
      </w:pPr>
    </w:p>
    <w:p w14:paraId="728EDDF2"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июля 1942 третий прототип Me 262 совершает первый полет на реактивной тяге. Пилотирует его Фриц Вендель. Предыдущие попытки полета, начавшиеся в апреле 1941 года на первом прототипе, приводились в движение поршневым двигателем Junkers Jumo 210, который вращал пропеллер в носовой части фюзеляжа еще до того, как любой из предполагаемых реактивных двигателей был готов к полету (20793).</w:t>
      </w:r>
    </w:p>
    <w:p w14:paraId="6DE5834C" w14:textId="77777777" w:rsidR="00087D2F" w:rsidRPr="00722885" w:rsidRDefault="00087D2F" w:rsidP="00722885">
      <w:pPr>
        <w:spacing w:after="0" w:line="240" w:lineRule="auto"/>
        <w:jc w:val="both"/>
        <w:rPr>
          <w:rFonts w:ascii="Times New Roman" w:hAnsi="Times New Roman"/>
          <w:color w:val="0070C0"/>
          <w:sz w:val="16"/>
          <w:szCs w:val="16"/>
        </w:rPr>
      </w:pPr>
    </w:p>
    <w:p w14:paraId="18EAFA84"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июля 1942 года состоялся первый полет Messerschmitt Me 262 (первый полет на реактивном двигателе) (20793).</w:t>
      </w:r>
    </w:p>
    <w:p w14:paraId="09994FD5" w14:textId="77777777" w:rsidR="00087D2F" w:rsidRPr="00722885" w:rsidRDefault="00087D2F" w:rsidP="00722885">
      <w:pPr>
        <w:spacing w:after="0" w:line="240" w:lineRule="auto"/>
        <w:jc w:val="both"/>
        <w:rPr>
          <w:rFonts w:ascii="Times New Roman" w:hAnsi="Times New Roman"/>
          <w:color w:val="0070C0"/>
          <w:sz w:val="16"/>
          <w:szCs w:val="16"/>
        </w:rPr>
      </w:pPr>
    </w:p>
    <w:p w14:paraId="5998427E"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июля 1942 - Поднялся в воздух прототип первого серийного реактивного истребителя Мессершмитт Me.262V3.</w:t>
      </w:r>
    </w:p>
    <w:p w14:paraId="413BCABE"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Дат, связанных с испытаниями этого самолёта, столько, что в можно запутаться, так как сама машина была сконструирована раньше, чем были готовы двигатели для неё. Первые полёты совершались с обычными поршневым двигателем, затем в комбинации с реактивными, а в тот день впервые был совершен полёт с реактивным двигателем. Окончательно же как боевой самолёт он был испытан в мае следующего года, а решение о производстве было принято в конце 1943-го.</w:t>
      </w:r>
    </w:p>
    <w:p w14:paraId="2DDDB53D"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было построено 1294 самолёта типа Ме-262. Ме-262А-1 имел максимальную скорость 845 км/час и дальность полёта 940 км. Взлётный вес составлял 7000 кг, а вес пустого самолёта - 4500 кг. Размеры - размах крыла 12,5 м, длина 10,9 м, площадь крыла 16,6 м2 (22426).</w:t>
      </w:r>
    </w:p>
    <w:p w14:paraId="2D7EB350" w14:textId="77777777" w:rsidR="00087D2F" w:rsidRPr="00722885" w:rsidRDefault="00087D2F" w:rsidP="00722885">
      <w:pPr>
        <w:spacing w:after="0" w:line="240" w:lineRule="auto"/>
        <w:jc w:val="both"/>
        <w:rPr>
          <w:rFonts w:ascii="Times New Roman" w:hAnsi="Times New Roman"/>
          <w:color w:val="0070C0"/>
          <w:sz w:val="16"/>
          <w:szCs w:val="16"/>
        </w:rPr>
      </w:pPr>
    </w:p>
    <w:p w14:paraId="70B1C8D8"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июля 1942 г. Вендель поднял прототип Me 262V-3 с двумя опытными ТРД компании Junkersmotoren, несколько уступавшие по удельным параметрам BMW, в воздух. Полет продолжался 12 мин. и был признан успешным. Испытатель отметил: «В моей практике очень редко случалось, когда первый полет на новом самолете вызывал такое восхищение». В ходе испытаний было принято решение об увеличении длины корневой хорды крыла, после чего передняя кромка центроплан стала стреловидной, предотвращая преждевременный срыв потока. Однако тяги существующих двигателей хронически не хватало. Так, при взлете в условиях высокой температуры 11 августа 1942 г. летчику Генриху Бове из испытательного центра в Рехлине не хватило длины ВПП, что привело к повреждению самолета. Только 20 марта 1943 г. Me 262V-3 был вновь готов к полетам и был облетан в Лекфельде Вольфганом Шпате, уже имевшим достаточный опыт пилотирования ракетных Ме 163. Об успешных испытаниях Шпате доложил командующему истребительной авиацией генерал-лейтенанту Адольфу Галланду, который 22 апреля 1943 г. совершил полет на Me 262V-4 и остался очень доволен (22776).</w:t>
      </w:r>
    </w:p>
    <w:p w14:paraId="6F72FCEE" w14:textId="77777777" w:rsidR="00087D2F" w:rsidRPr="00722885" w:rsidRDefault="00087D2F" w:rsidP="00722885">
      <w:pPr>
        <w:spacing w:after="0" w:line="240" w:lineRule="auto"/>
        <w:jc w:val="both"/>
        <w:rPr>
          <w:rFonts w:ascii="Times New Roman" w:hAnsi="Times New Roman"/>
          <w:color w:val="0070C0"/>
          <w:sz w:val="16"/>
          <w:szCs w:val="16"/>
        </w:rPr>
      </w:pPr>
    </w:p>
    <w:p w14:paraId="7A9FB409"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18 июля в 1942 году полковник Дж.Маршалл получил указание для выполнения специальной работы образовать новый округ инженерных войск, для чего предстояло провести огромный комплекс организационных мероприятий, исследовательских и промышленных работ. Всему этому придаются кадры ученых, лаборатории, промышленные установки, разведывательные органы. Фактически это означало начало организационной подготовки к работам по созданию атомной бомбы (14956).</w:t>
      </w:r>
    </w:p>
    <w:p w14:paraId="5BCAA3C5"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07F9A8FE"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в 1942 году (18-25 июля) в Лондоне на переговорах между представителями правительств Великобритании и США было оформлено соглашение о переносе срока открытия второго фронта в Европе и принято решение о вторжении в 1942 г. в Северную Африку (операция «Торч»). Участники переговоров - Черчилль, Гопкинс, начальники штабов (14956).</w:t>
      </w:r>
    </w:p>
    <w:p w14:paraId="0FD4C562"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70A50169"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05341D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6C95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1942 закончились испытания УИЛ-2 и Як-7в с М-105 с целью возможностей приспособления одного из них для обслуживания задач артиллерии на современном поле боя, которые проходили с 8 июля 1942 (1633,182):</w:t>
      </w:r>
    </w:p>
    <w:p w14:paraId="4FA164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1942 А.И.Ш. писал И.В.С. письмо N 4870:</w:t>
      </w:r>
    </w:p>
    <w:p w14:paraId="7D895E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порядке информации докладываю: по плану опытного строительства 1941 конструктором П.О.С. выпущен одноместный бронированный штурмовик Су-6 с М-71 (взлетная мощность 2000 л.с. и мощность на высоте 2250 м - 1800 л.с.), который согласно акта гос. испытаний НИИ ВВС показал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B487A" w:rsidRPr="00722885" w14:paraId="6DB09B5B" w14:textId="77777777" w:rsidTr="00CC5360">
        <w:tc>
          <w:tcPr>
            <w:tcW w:w="5636" w:type="dxa"/>
            <w:tcBorders>
              <w:top w:val="single" w:sz="12" w:space="0" w:color="auto"/>
            </w:tcBorders>
          </w:tcPr>
          <w:p w14:paraId="1A0320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 скорость у земли</w:t>
            </w:r>
          </w:p>
        </w:tc>
        <w:tc>
          <w:tcPr>
            <w:tcW w:w="5636" w:type="dxa"/>
            <w:tcBorders>
              <w:top w:val="single" w:sz="12" w:space="0" w:color="auto"/>
            </w:tcBorders>
          </w:tcPr>
          <w:p w14:paraId="0510B9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445 км/час</w:t>
            </w:r>
          </w:p>
        </w:tc>
      </w:tr>
      <w:tr w:rsidR="009B487A" w:rsidRPr="00722885" w14:paraId="1D912602" w14:textId="77777777" w:rsidTr="00CC5360">
        <w:tc>
          <w:tcPr>
            <w:tcW w:w="5636" w:type="dxa"/>
          </w:tcPr>
          <w:p w14:paraId="2B44ED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 скорость на форсаже</w:t>
            </w:r>
          </w:p>
        </w:tc>
        <w:tc>
          <w:tcPr>
            <w:tcW w:w="5636" w:type="dxa"/>
          </w:tcPr>
          <w:p w14:paraId="0E458F2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496 км/час</w:t>
            </w:r>
          </w:p>
        </w:tc>
      </w:tr>
      <w:tr w:rsidR="009B487A" w:rsidRPr="00722885" w14:paraId="754DFCF2" w14:textId="77777777" w:rsidTr="00CC5360">
        <w:tc>
          <w:tcPr>
            <w:tcW w:w="5636" w:type="dxa"/>
          </w:tcPr>
          <w:p w14:paraId="646BCA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 скорость на 2500 м</w:t>
            </w:r>
          </w:p>
        </w:tc>
        <w:tc>
          <w:tcPr>
            <w:tcW w:w="5636" w:type="dxa"/>
          </w:tcPr>
          <w:p w14:paraId="164878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491 км/час</w:t>
            </w:r>
          </w:p>
        </w:tc>
      </w:tr>
      <w:tr w:rsidR="009B487A" w:rsidRPr="00722885" w14:paraId="48C37FA3" w14:textId="77777777" w:rsidTr="00CC5360">
        <w:tc>
          <w:tcPr>
            <w:tcW w:w="5636" w:type="dxa"/>
            <w:tcBorders>
              <w:bottom w:val="single" w:sz="12" w:space="0" w:color="auto"/>
            </w:tcBorders>
          </w:tcPr>
          <w:p w14:paraId="4BEDD8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на 0.9 макс</w:t>
            </w:r>
          </w:p>
        </w:tc>
        <w:tc>
          <w:tcPr>
            <w:tcW w:w="5636" w:type="dxa"/>
            <w:tcBorders>
              <w:bottom w:val="single" w:sz="12" w:space="0" w:color="auto"/>
            </w:tcBorders>
          </w:tcPr>
          <w:p w14:paraId="7EA6317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 км</w:t>
            </w:r>
          </w:p>
        </w:tc>
      </w:tr>
    </w:tbl>
    <w:p w14:paraId="0F0464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w:t>
      </w:r>
    </w:p>
    <w:p w14:paraId="367F77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2х23 мм, 230 снарядов</w:t>
      </w:r>
    </w:p>
    <w:p w14:paraId="530910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4х7.62 мм, 300 патронов</w:t>
      </w:r>
    </w:p>
    <w:p w14:paraId="1DCF2D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РС-132/82</w:t>
      </w:r>
    </w:p>
    <w:p w14:paraId="301738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Нормальная бомбовая нагрузка - 200 кг при емкости отсека 400 кг</w:t>
      </w:r>
    </w:p>
    <w:p w14:paraId="05E383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 крыльями могут подвешиваться 2х100 кг или 2хВАП-200</w:t>
      </w:r>
    </w:p>
    <w:p w14:paraId="0436B7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технике пилотирования самолет прост и доступен л средней квалификации, имеет хорошую устойчивость и допускает полет с брошенной ручкой на всех режимах. Нагрузки на рули и элероны - велики.</w:t>
      </w:r>
    </w:p>
    <w:p w14:paraId="422128B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Бронирование кабины л и фонаря осуществляется аналогично самолету Ил-2. Задняя крышка мотора с агрегатами забронирована, цилиндры мотора не забронированы (1650,311).</w:t>
      </w:r>
    </w:p>
    <w:p w14:paraId="0D2377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8877B" w14:textId="77777777" w:rsidR="00715152" w:rsidRPr="00722885" w:rsidRDefault="00715152" w:rsidP="00722885">
      <w:pPr>
        <w:pStyle w:val="a3"/>
        <w:rPr>
          <w:color w:val="000000" w:themeColor="text1"/>
          <w:lang w:val="ru-RU"/>
        </w:rPr>
      </w:pPr>
      <w:r w:rsidRPr="00722885">
        <w:rPr>
          <w:color w:val="000000" w:themeColor="text1"/>
          <w:lang w:val="ru-RU"/>
        </w:rPr>
        <w:t>19 июля 1942 для прохождения испытаний на самолёте Ил-2 на полигон поступил и бомбардировочно-стрелковый прицел А-1 завода № 589 НКВ. Ведущим инженером по испытаниям вместо инженер-подполковника Прендовского, занятого на других работах, был назначен техник-лей- тенант Винокуров.</w:t>
      </w:r>
    </w:p>
    <w:p w14:paraId="70624416" w14:textId="77777777" w:rsidR="00715152" w:rsidRPr="00722885" w:rsidRDefault="00715152" w:rsidP="00722885">
      <w:pPr>
        <w:pStyle w:val="a3"/>
        <w:rPr>
          <w:color w:val="000000" w:themeColor="text1"/>
          <w:lang w:val="ru-RU"/>
        </w:rPr>
      </w:pPr>
      <w:r w:rsidRPr="00722885">
        <w:rPr>
          <w:color w:val="000000" w:themeColor="text1"/>
          <w:lang w:val="ru-RU"/>
        </w:rPr>
        <w:t>Испытания заняли всего девять дней. Был сделан вывод, что прицел А-1 заметно уступает ВМШ Цветкова по надёжности действия и удобству работы с ним. Поэтому ВМШ Цветкова передали на завод № 589 НКВ, где с учётом результатов полигонных испытаний была создана его улучшенная модификация, названная ВМШ-2 (15978).</w:t>
      </w:r>
    </w:p>
    <w:p w14:paraId="04DAE7FF" w14:textId="77777777" w:rsidR="00715152" w:rsidRPr="00722885" w:rsidRDefault="00715152" w:rsidP="00722885">
      <w:pPr>
        <w:pStyle w:val="a3"/>
        <w:rPr>
          <w:color w:val="000000" w:themeColor="text1"/>
          <w:lang w:val="ru-RU"/>
        </w:rPr>
      </w:pPr>
    </w:p>
    <w:p w14:paraId="5D02D9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1942 года Шахурин писал письмо N Н-20/2779 Маленкову.</w:t>
      </w:r>
    </w:p>
    <w:p w14:paraId="516303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письму конструкторов Волкова и Ярцева и заключению Репина, докладываю:</w:t>
      </w:r>
    </w:p>
    <w:p w14:paraId="5E881B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 заводе N 21 в период с 30 сентября по 7 октября 1941 г. были проведены испытания самолета Лагг-3, вооруженного пушкой ВЯ-23 мм с боекомплектом 90 патронов и двумя пулеметами УБС-12,7 мм с боекомплектом 350 патронов. Испытания дали положительные результаты, но ввиду того, что решение о выпуске самолетов Лагг-3 с пушками ВЯ-23 не состоялось, в производстве сохранена установка пушки Швак-20.</w:t>
      </w:r>
    </w:p>
    <w:p w14:paraId="2683D95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С.В.И. разработал конструкцию гильзособирателя для пушек ВЯ-23, устанавливаемый под плоскостями самолета Ил-2 и подает на испытания в ЛИИ НКАП для проверки аэродинамической характеристики самолета с установленными гильзосборниками (2147,1).</w:t>
      </w:r>
    </w:p>
    <w:p w14:paraId="2B35708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A3B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1942 закончились эксплуатационно-технические испытания трех серийных Ту-2 как первый этап войсковых испытаний, которые шли с 17 мая 1942. В НИИ ВВС командировали бригады поддержки во главе с Д.С.Марковым и в составе А.В.Надашкевича, Б.С.Иванова, А.И.Цветкова, Ю.В.Любимова и бригаду во главе с П.М.Шуваловым. Д.С.Марков по ВЧ фактически ежедневно информировал А.Н.Т. об их ходе (1835,20).</w:t>
      </w:r>
    </w:p>
    <w:p w14:paraId="3B2F71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1C232C" w14:textId="77777777" w:rsidR="00526171" w:rsidRPr="00722885" w:rsidRDefault="0052617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1941 г. решением Президиума Верховного Совета СССР А.Н. Туполев, А.В. Надашкевич, И.Г. Неман, В.А. Чижевский и другие видные специалисты были освобождены из заключения, а 23 сентября даже амнистированы решением Политбюро, но психологически они еще долго ощущали на себе клеймо «враг народа» (18305).</w:t>
      </w:r>
    </w:p>
    <w:p w14:paraId="207E1F89" w14:textId="77777777" w:rsidR="00526171" w:rsidRPr="00722885" w:rsidRDefault="00526171" w:rsidP="00722885">
      <w:pPr>
        <w:spacing w:after="0" w:line="240" w:lineRule="auto"/>
        <w:jc w:val="both"/>
        <w:rPr>
          <w:rFonts w:ascii="Times New Roman" w:hAnsi="Times New Roman"/>
          <w:color w:val="000000" w:themeColor="text1"/>
          <w:sz w:val="16"/>
          <w:szCs w:val="16"/>
        </w:rPr>
      </w:pPr>
    </w:p>
    <w:p w14:paraId="218C885D"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275817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7B069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1942 вышло Постановление ГКО № 2063 Об увеличении производства корпусов и других элементов 82 мм и 120 мм мин в августе и сентябре месяцах 1942 г. РГАНИР, Фонд ГКО, д. 45, лл. 17-20, 21-116 (11012).</w:t>
      </w:r>
    </w:p>
    <w:p w14:paraId="7FB8363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44C05" w14:textId="77777777" w:rsidR="00AE7191" w:rsidRPr="00722885" w:rsidRDefault="00AE7191" w:rsidP="00722885">
      <w:pPr>
        <w:pStyle w:val="a3"/>
        <w:rPr>
          <w:color w:val="000000" w:themeColor="text1"/>
          <w:lang w:val="ru-RU"/>
        </w:rPr>
      </w:pPr>
      <w:r w:rsidRPr="00722885">
        <w:rPr>
          <w:color w:val="000000" w:themeColor="text1"/>
          <w:lang w:val="ru-RU"/>
        </w:rPr>
        <w:t>19 июля 1942 г. в связи с внезапной кончиной Н.В. Цейца работы по КВ-13 приостано</w:t>
      </w:r>
      <w:r w:rsidRPr="00722885">
        <w:rPr>
          <w:color w:val="000000" w:themeColor="text1"/>
          <w:lang w:val="ru-RU"/>
        </w:rPr>
        <w:softHyphen/>
        <w:t>вили. В сентябре построили опытный образец машины. В октябре 1942 г. он прошел завод</w:t>
      </w:r>
      <w:r w:rsidRPr="00722885">
        <w:rPr>
          <w:color w:val="000000" w:themeColor="text1"/>
          <w:lang w:val="ru-RU"/>
        </w:rPr>
        <w:softHyphen/>
        <w:t>ские испытания, в ходе которых выявилась недоработанность ряда узлов и агрегатов. Отмечалась также недостаточная численность экипажа — 3 чел.</w:t>
      </w:r>
    </w:p>
    <w:p w14:paraId="14E541A6" w14:textId="77777777" w:rsidR="00AE7191" w:rsidRPr="00722885" w:rsidRDefault="00AE7191" w:rsidP="00722885">
      <w:pPr>
        <w:pStyle w:val="a3"/>
        <w:rPr>
          <w:color w:val="000000" w:themeColor="text1"/>
          <w:lang w:val="ru-RU"/>
        </w:rPr>
      </w:pPr>
      <w:r w:rsidRPr="00722885">
        <w:rPr>
          <w:color w:val="000000" w:themeColor="text1"/>
          <w:lang w:val="ru-RU"/>
        </w:rPr>
        <w:t>С учетом недостатков первого образца КВ-13 конструкторы Опытного завода №100 при ЧКЗ доработали его конструкцию. Боевая масса машины при этом возросла до 38 т. Теперь танк обозначался как «Объект 233». Первый опытный образец был изготовлен в конце 1942 г.</w:t>
      </w:r>
    </w:p>
    <w:p w14:paraId="3A142B03" w14:textId="77777777" w:rsidR="00AE7191" w:rsidRPr="00722885" w:rsidRDefault="00AE7191" w:rsidP="00722885">
      <w:pPr>
        <w:pStyle w:val="a3"/>
        <w:rPr>
          <w:color w:val="000000" w:themeColor="text1"/>
          <w:lang w:val="ru-RU"/>
        </w:rPr>
      </w:pPr>
      <w:r w:rsidRPr="00722885">
        <w:rPr>
          <w:color w:val="000000" w:themeColor="text1"/>
          <w:lang w:val="ru-RU"/>
        </w:rPr>
        <w:t>Опыт боевого применения и эксплуатации тяжелого танка КВ выявил ряд его существен</w:t>
      </w:r>
      <w:r w:rsidRPr="00722885">
        <w:rPr>
          <w:color w:val="000000" w:themeColor="text1"/>
          <w:lang w:val="ru-RU"/>
        </w:rPr>
        <w:softHyphen/>
        <w:t>ных недостатков. Другой советский танк, средний Т-34, имел практически одинаковое с ним вооружение, незначительно уступал ему в броневой защите, но был более маневренным и имел значительно меньшую боевую массу. Машину хорошо освоили в войсках, а выпуск ее параллельно бсуществлялся на нескольких заводах. Вследствие этого в танковом парке Красной Армии средних танков Т-34 было при</w:t>
      </w:r>
      <w:r w:rsidRPr="00722885">
        <w:rPr>
          <w:color w:val="000000" w:themeColor="text1"/>
          <w:lang w:val="ru-RU"/>
        </w:rPr>
        <w:softHyphen/>
        <w:t>мерно в 6 раз больше, чем КВ (12617).</w:t>
      </w:r>
    </w:p>
    <w:p w14:paraId="32C2E44A" w14:textId="77777777" w:rsidR="00AE7191" w:rsidRPr="00722885" w:rsidRDefault="00AE7191" w:rsidP="00722885">
      <w:pPr>
        <w:pStyle w:val="a3"/>
        <w:rPr>
          <w:color w:val="000000" w:themeColor="text1"/>
          <w:lang w:val="ru-RU"/>
        </w:rPr>
      </w:pPr>
    </w:p>
    <w:p w14:paraId="79BCA852"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55924F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0FD2A4"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в 1942 году утреннее сообщение Совинформбюро:</w:t>
      </w:r>
    </w:p>
    <w:p w14:paraId="1F10BE3D"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19 июля наши войска вели бои с противником в районе Воронежа и южнее Миллерово.</w:t>
      </w:r>
    </w:p>
    <w:p w14:paraId="605EE9C6"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343B32F0"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продолжаются бои. Наши войска на ряде участков теснили противника. Группа наших танков прорвала первую линию обороны немцев, уничтожив при этом 35 противотанковых орудий и до 250 гитлеровцев. Бой продолжается на улицах одного населённого пункта. На другом участке немцы предприняли несколько контратак, но, потеряв свыше 20 танков, 450 солдат и офицеров, отошли на исходные позиции.</w:t>
      </w:r>
    </w:p>
    <w:p w14:paraId="5E1DEB24"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Советская авиация, взаимодействуя с наземными войсками, наносит противнику большой урон. Лётчики одной части за пять дней уничтожили свыше сотни немецких танков, 380 автомашин, 8 бензоцистерн, 12 складов с боеприпасами, 6 складов с горючим, 45 орудий, разрушили 5 водных переправ и разгромили до трёх батальонов пехоты и эскадрон кавалерии противника. В воздушных боях и на аэродромах наши лётчики уничтожили 37 немецких самолётов.</w:t>
      </w:r>
    </w:p>
    <w:p w14:paraId="3CD2A8A2"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Миллерова наши войска вели напряжённые бои с наступающими частями противника. Отбивая многократные атаки немцев, наши бойцы уничтожили 19 немецких танков, 68 автомашин и свыше 500 солдат и офицеров. На другом участке советские войска, по неполным данным, уничтожили 23 тяжёлых и средних танка противника, 35 орудий и свыше двух полков пехоты.</w:t>
      </w:r>
    </w:p>
    <w:p w14:paraId="789C1F8C"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продолжались бои местного значения. На одном изучастков немцы бросили в атаку 27 танков и значительную группу автоматчиков. Гвардейская батарея тов. Гольцина встретила гитлеровцев мощным огнём. В результате двухчасового боя противник отошёл на исходные позиции, потеряв 12 танков и большое количество автоматчиков.</w:t>
      </w:r>
    </w:p>
    <w:p w14:paraId="18732FC1"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Ленинградском фронте наши артиллеристы и миномётчики вели огонь по укреплениям противника. На отдельных участках истреблено свыше 300 немецких и финских солдат и офицеров. Взяты пленные и захвачены трофеи.</w:t>
      </w:r>
    </w:p>
    <w:p w14:paraId="15FBB630"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Снайпер тов. Королёв (Ленинградский фронт) истребил 120 гитлеровцев.</w:t>
      </w:r>
    </w:p>
    <w:p w14:paraId="74891651"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из отряда тов. С, действующего в одном из оккупированных немцами районов Ленинградской области, уничтожила немецкого полковника, его адъютанта и 8 солдат. Отряд под командованием тов. Т. пустил под откос воинский эшелон противника. В результате крушения погибло много немецко-фашистских оккупантов.</w:t>
      </w:r>
    </w:p>
    <w:p w14:paraId="4A2A1B2F"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61 полка 7 немецкой дивизии Эрнст К. рассказал: «Ночью нам был дан приказ перейти в наступление. На рассвете после артиллерийской подготовки мы поползли к переднему краю обороны русских. Они открыли сильный артиллерийский, пулемётный и миномётный огонь. В нашем батальоне очень немногие остались в живых. Я прыгнул в воронку и притаился. Ко мне присоединились ещё два солдата. Вскоре мы все трое были взяты в плен. Я прибыл из Германии недавно в составе пополнения. В маршевом батальоне было много солдат, уже побывавших в России, которые ехали на фронт с крайней неохотой».</w:t>
      </w:r>
    </w:p>
    <w:p w14:paraId="4C61BA5B"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шахтах Рурской области (Германия) работают десятки тысяч поляков, насильно вывезенных из Польши. Поляки живут в бараках, огороженных колючей проволокой, спят вповалку на полу. Их кормят отбросами и различными «эрзац» продуктами. Горячую пищу рабочие получают только один раз в неделю. Среди поляков и других иностранных рабочих свирепствует сыпной тиф.</w:t>
      </w:r>
    </w:p>
    <w:p w14:paraId="5C371E8E"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Колхозники Узбекистана добиваются получения двух урожаев в год. После сбора урожая озимого ячменя и пшеницы крупные поливные массивы засеваются вторично. В колхозе «Социализм», Ханкинского района, засеяно просом и кукурузой 40 гектаров. Многие колхозы Ферганской и Самаркандской областей проводят летние посевы сахарной свёклы.» (14957).</w:t>
      </w:r>
    </w:p>
    <w:p w14:paraId="499C2432"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0625809D"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в 1942 году вечернее сообщение Совинформбюро:</w:t>
      </w:r>
    </w:p>
    <w:p w14:paraId="67C3B078"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19 июля наши войска вели бои с противником в районе Воронежа и южнее Миллерово. По приказу командования наши войска оставили город Ворошиловград.</w:t>
      </w:r>
    </w:p>
    <w:p w14:paraId="5955D697"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4D164761"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12 по 18 июля включительно, в воздушных боях, на аэродромах и огнём зенитной артиллерии уничтожено 211 немецких самолётов. Наши потери за это же время — 137 самолётов.</w:t>
      </w:r>
    </w:p>
    <w:p w14:paraId="6ABD3CFC"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18 июля частями нашей авиации на различных участках фронта уничтожено или повреждено 80 немецких танков и 9 бронемашин, 245 автомашин с войсками и грузами, 7 автоцистерн с горючим, взорвано 3 склада с боеприпасами и 2 склада с горючим, подавлен огонь 7 полевых и повреждено 11 дальнобойных орудий, рассеяно и частью уничтожено до трёх батальонов пехоты противника.</w:t>
      </w:r>
    </w:p>
    <w:p w14:paraId="78D98D33"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продолжались упорные бои. Наши части нанесли контрудары гитлеровским войскам. В течение дня шла упорная борьба за один населённый пункт. К вечеру наши бойцы при поддержке танков ворвались на северо-восточную окраину пункта и ведут уличные бои. По предварительным данным, немцы потеряли в борьбе за этот населённый пункт свыше тысячи солдат и офицеров. Захвачены 14 противотанковых орудий, 4 тяжёлых полевых орудия, склад с боеприпасами противника и другие трофеи. На другом участке наши части прижали к Дону значительную группировку немецких войск. Враг был скован артиллерийским и миномётным огнём и активными действиями нашей авиации. Затем в наступление перешла наша пехота, которая и завершила разгром этой группы противника. В этом бою уничтожено до двух полков немецкой пехоты, 18 танков, много орудий и пулемётов.</w:t>
      </w:r>
    </w:p>
    <w:p w14:paraId="4D0ACED2"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Миллерова наши войска продолжали вести напряжённые оборонительные бои. Самоотверженно и стойко наши бойцы перемалывают живую силу и технику противника. В течение двух дней один наш батальон, поддержанный ротой тяжёлых танков, отбивал атаки двух полков немецкой пехоты. Противник потерял в этом бою сотни солдат и офицеров. Сожжено и подбито 16 немецких танков. Только после того, как немцы подтянули новые силы пехоты и танков, бойцы батальона отошли на новые позиции. На другом участке полностью истреблён десант немецких парашютистов, сброшенный в тылу наших войск.</w:t>
      </w:r>
    </w:p>
    <w:p w14:paraId="32AD1A58"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продолжались активные действия разведывательных групп. Несколько наших бойцов пробрались в тыл противника, произвели налёт на одно село и уничтожили 35 немцев и сожгли склад с боеприпасами. Группа разведчиков под руководством тов. Петрочука истребила свыше 30 гитлеровцев, выяснила расположение огневых точек противника и вернулась в свою часть.</w:t>
      </w:r>
    </w:p>
    <w:p w14:paraId="35D86375"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Бойцы и командиры подразделения, которым командует тов. Зобин, огнём орудийных и миномётных расчётов за пять дней истребили 345 гитлеровцев.</w:t>
      </w:r>
    </w:p>
    <w:p w14:paraId="496C4FE7"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под командованием тов. Ж. совершил нападение на полевой аэродром противника. Советские патриоты уничтожили охрану, сожгли 3 истребителя и склад с горючим. Этот же отряд обстрелял и забросал гранатами немецкую транспортную колонну. Уничтожено 3 автомашины с военными грузами и свыше 40 немецких оккупантов.</w:t>
      </w:r>
    </w:p>
    <w:p w14:paraId="5B4226EF"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солдата 166 полка 82 немецкой пехотной дивизии Вальтера Хорнсенера, убитого под Воронежем, найдено неотправленное письмо к жене Эльзе в Оснабрюк. Вот что онписал 9 июля: «Сегодня русские, поддержанные танками, атаковали нас. Это стоило нам много крови. Мы еще только два дня участвуем в боях, но число людей в роте уже намного сократилось. Если так пойдёт дальше, то мы все будем уничтожены... Вчера я весь день стаскивал в яму мёртвых солдат нашего батальона. Это просто ужасно».</w:t>
      </w:r>
    </w:p>
    <w:p w14:paraId="13DC8CBF"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бандиты разграбили село Воина, Орловской области. Они сожгли 255 жилых домов, 6 построек для скота, 4 колхозных склада и всё имущество колхозников. Гитлеровские мерзавцы расстреляли 75-летнего старика Уткина Петра Яковлевича, 67-летнего Добренкова Ивана Финогеевича, 63-летнюю Бычкову Александру Тимофеевну и других жителей села.</w:t>
      </w:r>
    </w:p>
    <w:p w14:paraId="0F1040C6"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Коллектив Красноуральского медеплавильного завода выполнил программу первой половины июля месяца на 123 процента. Металлургический цех сэкономил тысячи киловатт-часов электроэнергии и много топлива. Обогатительная фабрика извлекла из руды десятки тонн меди сверх плановой нормы.» (14957).</w:t>
      </w:r>
    </w:p>
    <w:p w14:paraId="7D91A70B"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57C25D4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ночь с 19 на 20 июля 1942 состоялся первый налет на Германию. Бомбили Кениг</w:t>
      </w:r>
      <w:r w:rsidRPr="00722885">
        <w:rPr>
          <w:rFonts w:ascii="Times New Roman" w:hAnsi="Times New Roman"/>
          <w:color w:val="000000" w:themeColor="text1"/>
          <w:sz w:val="16"/>
          <w:szCs w:val="16"/>
        </w:rPr>
        <w:softHyphen/>
        <w:t>сберг. Самолеты взлетели вечером, фронт пересекли на максимальной вы</w:t>
      </w:r>
      <w:r w:rsidRPr="00722885">
        <w:rPr>
          <w:rFonts w:ascii="Times New Roman" w:hAnsi="Times New Roman"/>
          <w:color w:val="000000" w:themeColor="text1"/>
          <w:sz w:val="16"/>
          <w:szCs w:val="16"/>
        </w:rPr>
        <w:softHyphen/>
        <w:t>соте, а затем кружным путем, чтобы до</w:t>
      </w:r>
      <w:r w:rsidRPr="00722885">
        <w:rPr>
          <w:rFonts w:ascii="Times New Roman" w:hAnsi="Times New Roman"/>
          <w:color w:val="000000" w:themeColor="text1"/>
          <w:sz w:val="16"/>
          <w:szCs w:val="16"/>
        </w:rPr>
        <w:softHyphen/>
        <w:t>стичь внезапности, подошли к цели со стороны моря. Немцы явно не ожидали «гостей». В городе горел свет, зенитки молчали, истребители в воздухе отсут</w:t>
      </w:r>
      <w:r w:rsidRPr="00722885">
        <w:rPr>
          <w:rFonts w:ascii="Times New Roman" w:hAnsi="Times New Roman"/>
          <w:color w:val="000000" w:themeColor="text1"/>
          <w:sz w:val="16"/>
          <w:szCs w:val="16"/>
        </w:rPr>
        <w:softHyphen/>
        <w:t>ствовали. 17-я ад потеряла только один Ил-4, старшего лейтенанта Михалева, сбитого зенитчиками (10734,71).</w:t>
      </w:r>
    </w:p>
    <w:p w14:paraId="5680AE6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AE8D5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ночь с 19 на 20 июля 1942 состоялся первый в 1942 налет на Германию. Бомбили Кенигсберг. Самолеты взлетели вечером, фронт пересекли на максимальной высоте, а затем кружным путем, чтобы достичь внезапности, подошли к цели со стороны моря. Немцы явно не ожидали "гостей". В городе горел свет, зенитки молчали, истребители в воздухе отсутствовали. 17-я ад потеряла только один Ил-4, старшего лейтенанта Михалева, сбитого зенитчиками.</w:t>
      </w:r>
    </w:p>
    <w:p w14:paraId="40701A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Повторные удары по Кенигсбергу нанесли 24 и 26 июля. В последнем участвовали 88 самолетов. В Данциге подожгли верфи и достигли нескольких попаданий в линкор "Гнейзе- нау". Над Берлином советские бомбардировщики появились 26 августа. На город полетели бомбы с надписями: "Срочно. Берлин, Гитлеру!", "Кровопийце Адольфу от гвардейцев" и другими. 14 сентября организовали налеты на объекты в Румынии, в которых участвовали полки 3-й, 17-й и 45-й дивизий. Бомбили Бухарест, Плоешти с его нефтеперегонными заводами и порт Галац на Дунае.</w:t>
      </w:r>
    </w:p>
    <w:p w14:paraId="27AB90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таких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ДБ-ЗФ и продолжавшая ухудшаться после перехода к экипажу из четырех человек и установки дополнительного оборудования, не давали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(гидравлика pea- Штурман гировала слишком медленно). Иногда на по- в кабине Ил-4 мощь пилоту подключался штурман, вставлявший в гнездо съемную ручку управления и дававший командиру немного отдохнуть.</w:t>
      </w:r>
    </w:p>
    <w:p w14:paraId="7BDCA92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Можно привести мнение дважды Героя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А вот что писал летавший в ту пору на Ил-4 В. В. Решетников: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Группа Ил-4 многочасовых полетах выматывала пилотов на полевом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бомбардировщиков (12021).</w:t>
      </w:r>
    </w:p>
    <w:p w14:paraId="5B523F1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4B545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19-20 июля 1942 танковые бригады совместно пехотой пытались выбить немцев с северной окраины Воронежа, однако атаки успеха не имели. В дальнейшем, пополнившись танками (получено 83 машины, из них 40 Т-34), части корпуса вели бои в районе Воронежа вплоть до конца августа 1942 года (12217).</w:t>
      </w:r>
    </w:p>
    <w:p w14:paraId="4DF022B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06FAF0E"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Жизнь и внутренняя политика:</w:t>
      </w:r>
    </w:p>
    <w:p w14:paraId="279B5B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10F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1942 вышло Постановление ГКО № 2064 О вывозе хлеба из районов Кубани и Сальской группы районов Ростовской области. РГАНИР, Фонд ГКО, д. 45, лл. 117-119 (11012).</w:t>
      </w:r>
    </w:p>
    <w:p w14:paraId="2555A0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33F7A"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lastRenderedPageBreak/>
        <w:t>За рубежом:</w:t>
      </w:r>
    </w:p>
    <w:p w14:paraId="6ED70A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AE5E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1942 немецкие подлодки были отведены от атлантического побережья США из-за эффективной противолодочной обороны (2100) и их действия перенеслись в центральную Атлантику (3186).</w:t>
      </w:r>
    </w:p>
    <w:p w14:paraId="1E7B95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2F3ADC"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в 1942 году германское командование приняло решение о переносе района действий основной группировки немецких подводных лодок из прибрежных вод Америки в центральную часть Атлантики (14957).</w:t>
      </w:r>
    </w:p>
    <w:p w14:paraId="5CF1CBC8"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4323AAE5"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4A5FFA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2BC5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года был утвержден отчет по заводским испытаниям головного серийного Ту-2 завода № 166. Его вооружение включало две неподвижных пушки ШВАК для стрельбы вперед, четыре пулемета ШКАС (два для стрельбы вперед и два - назад), а также один пулемет Березина. Кроме этого для стрельбы вперед под крылом могли подвешиваться десять реактивных снарядов PC-132 калибра 132 мм, на фюзеляже - четыре PC-82 калибра 82 мм для стрельбы назад. В ходе испытаний была достигнута скорость 518 км/ч на высоте 2760 метров, правда, при открытом фонаре стрелка-радиста. Но эта машина на государственные испытания в НИИ ВВС так и не поступила (12035).</w:t>
      </w:r>
    </w:p>
    <w:p w14:paraId="2D457F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562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20 июля 1942 заводские испытатели стали садиться на Ту-2 с включенным механическим стопором хвостового колеса. Управляемость машины на пробеге значительно улучшилась.</w:t>
      </w:r>
    </w:p>
    <w:p w14:paraId="26DF84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Еще одной серьезной проблемой являлись двигатели. Моторы М-82, хотя и выпускались серийно, еще оставались достаточно "сырыми". На высоте более 6000 м они недодавали мощность, страдали значительными вибрациями и расходовали много масла. Хотя за это отвечал их конструктор А.Д. Швецов и завод № 19, дефекты мотоустановки сильно сказывались на летных и эксплуатационных характеристиках Ту-2.</w:t>
      </w:r>
    </w:p>
    <w:p w14:paraId="67F8E2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комиссия подвергла критике чрезмерный вес серийных машин. Весовая отдача у них при нормальной бомбовой нагрузке не превышала 27,5%, в то время как у других самолетов такого же класса она составляла около 30%. Это была плата за возможность бомбить с крутого пикирования.</w:t>
      </w:r>
    </w:p>
    <w:p w14:paraId="52034A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в целом Поликарпов и его коллеги поддержали Туполева. В Москву отправили документ, в котором, в частности, говорилось: "... самолет Ту-2 по своим летно-тактическим данным превосходит современные советские и заграничные бомбардировщики". Комиссия сочла, что при устранении основных дефектов самолет сможет успешно выполнять боевые задачи.</w:t>
      </w:r>
    </w:p>
    <w:p w14:paraId="6357BA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Приемка бомбардировщиков возобновилась. Реагируя на требования военных, завод вносил изменения в строящиеся бомбардировщики. С 5-й серии (июль - август 1942 г.) внедрили тормоза типа "Дуглас", окончательно снявшие проблемы с неуправляемым разворотом на посадке. Одновременно изменили управление пуском реактивных снарядов. Ранее стрельба РС-82 велась с помощью бомбосбрасывателя ЭСБР-6, переключавшегося на другой режим. Бомбы при этом сбрасывать было нельзя. С 5-й серии пуск ракет осуществлялся независимым устройством.</w:t>
      </w:r>
    </w:p>
    <w:p w14:paraId="37A48C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Часть бомбардировщиков перевооружили. Во всяком случае, на фронт попали омские самолеты либо с двумя, либо с тремя 12,7-мм пулеметами УБТ. Поскольку на установке ТСС-1 этот пулемет не мог быть смонтирован, то, по-видимому, вариант с двумя УБТ предусматривал один пулемет на несколько доработанной установке БУШ у штурмана и второй - на люковой ЛУ-УБТ. При этом на ТСС-1 оставался ШКАС. Вообще Туполев рассматривал несколько возможных вариантов перевооружения Ту-2, в том числе один - с установкой четырех пусковых балок для РС-82 на фюзеляже для стрельбы назад.</w:t>
      </w:r>
    </w:p>
    <w:p w14:paraId="3EBC62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Занятие немцами значительной части территории СССР привело к сокращению производства алюминия в стране. Потребности же в нем резко возросли. Алюминий в листах и чушках везли из США и Канады, но его все равно не хватало. Всем самолетостроительным конструкторским бюро было предложено поискать возможности применения узлов из дерева. Это сократило бы расход дефицитного алюминия и дало возможность привлечь к постройке самолетов деревообрабатывающие предприятия. 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5C08C6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AAC2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был составлен Акт специальных испытаний самолетов УИЛ-2 и Як-7 в целях оборудования одного из них для артразведки и корректирования артиллерийского огня</w:t>
      </w:r>
    </w:p>
    <w:p w14:paraId="4CF53B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основании приказания зам. наркома Обороны генерал-полк. артиллерии Воронова и распоряжения нач. управления обучения, формирований и комплектований ГУВВС генерал-майора авиации - Никитина, комиссия в составе старшего помощника начальника 2 отдела УБП ГУКАРТ майора Короткевича, помощника начальника 2 отдела Арткома ГАУ инж.-майора Обухова и нач. корректировочного отделения 2-го Чкаловского авиаучилища капитана Ковалева, в период с 8 по 19.07.42 провела испытания самолетов УИЛ-2 с мотором М-105 и самолета ЯК-7В с мотором М-105, с целью выявления возможностей приспособления одного из них для обслуживания задач артиллерии на современном поле боя.</w:t>
      </w:r>
    </w:p>
    <w:p w14:paraId="76F515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УИЛ-2 испытывался на аэродроме Чапаевск в 12 ЗАП, а самолет ЯК-7В на аэродроме Сейма во 2 ЗАП.</w:t>
      </w:r>
    </w:p>
    <w:p w14:paraId="3353CC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ознакомлении с тактико-техническими данными и заключению специалистов, эксплуатирующих данную материальную часть самолеты обладают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559"/>
        <w:gridCol w:w="1560"/>
        <w:gridCol w:w="3686"/>
      </w:tblGrid>
      <w:tr w:rsidR="009B487A" w:rsidRPr="00722885" w14:paraId="7896FEF9" w14:textId="77777777" w:rsidTr="00CC5360">
        <w:tc>
          <w:tcPr>
            <w:tcW w:w="3652" w:type="dxa"/>
          </w:tcPr>
          <w:p w14:paraId="30CA943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самолета/</w:t>
            </w:r>
          </w:p>
        </w:tc>
        <w:tc>
          <w:tcPr>
            <w:tcW w:w="1559" w:type="dxa"/>
          </w:tcPr>
          <w:p w14:paraId="66A492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УИЛ-2</w:t>
            </w:r>
          </w:p>
        </w:tc>
        <w:tc>
          <w:tcPr>
            <w:tcW w:w="1560" w:type="dxa"/>
          </w:tcPr>
          <w:p w14:paraId="528278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ЯК-7В</w:t>
            </w:r>
          </w:p>
        </w:tc>
        <w:tc>
          <w:tcPr>
            <w:tcW w:w="3686" w:type="dxa"/>
          </w:tcPr>
          <w:p w14:paraId="724FC0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Примечание</w:t>
            </w:r>
          </w:p>
        </w:tc>
      </w:tr>
      <w:tr w:rsidR="009B487A" w:rsidRPr="00722885" w14:paraId="3BB12C35" w14:textId="77777777" w:rsidTr="00CC5360">
        <w:tc>
          <w:tcPr>
            <w:tcW w:w="3652" w:type="dxa"/>
          </w:tcPr>
          <w:p w14:paraId="53C098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w:t>
            </w:r>
          </w:p>
        </w:tc>
        <w:tc>
          <w:tcPr>
            <w:tcW w:w="1559" w:type="dxa"/>
          </w:tcPr>
          <w:p w14:paraId="1EB11F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C1311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28E64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A06804F" w14:textId="77777777" w:rsidTr="00CC5360">
        <w:tc>
          <w:tcPr>
            <w:tcW w:w="3652" w:type="dxa"/>
          </w:tcPr>
          <w:p w14:paraId="16F9B4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данных</w:t>
            </w:r>
          </w:p>
        </w:tc>
        <w:tc>
          <w:tcPr>
            <w:tcW w:w="1559" w:type="dxa"/>
          </w:tcPr>
          <w:p w14:paraId="048355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D865A4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641EBF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1FF58398" w14:textId="77777777" w:rsidTr="00CC5360">
        <w:tc>
          <w:tcPr>
            <w:tcW w:w="3652" w:type="dxa"/>
          </w:tcPr>
          <w:p w14:paraId="367509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w:t>
            </w:r>
          </w:p>
        </w:tc>
        <w:tc>
          <w:tcPr>
            <w:tcW w:w="1559" w:type="dxa"/>
          </w:tcPr>
          <w:p w14:paraId="4305D2A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420 км/час</w:t>
            </w:r>
          </w:p>
        </w:tc>
        <w:tc>
          <w:tcPr>
            <w:tcW w:w="1560" w:type="dxa"/>
          </w:tcPr>
          <w:p w14:paraId="516FB1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 км/час</w:t>
            </w:r>
          </w:p>
        </w:tc>
        <w:tc>
          <w:tcPr>
            <w:tcW w:w="3686" w:type="dxa"/>
          </w:tcPr>
          <w:p w14:paraId="4503057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26B30646" w14:textId="77777777" w:rsidTr="00CC5360">
        <w:tc>
          <w:tcPr>
            <w:tcW w:w="3652" w:type="dxa"/>
          </w:tcPr>
          <w:p w14:paraId="28C61E2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Минимальная скорость</w:t>
            </w:r>
          </w:p>
        </w:tc>
        <w:tc>
          <w:tcPr>
            <w:tcW w:w="1559" w:type="dxa"/>
          </w:tcPr>
          <w:p w14:paraId="537ED5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 км/час</w:t>
            </w:r>
          </w:p>
        </w:tc>
        <w:tc>
          <w:tcPr>
            <w:tcW w:w="1560" w:type="dxa"/>
          </w:tcPr>
          <w:p w14:paraId="43DF85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 км/час</w:t>
            </w:r>
          </w:p>
        </w:tc>
        <w:tc>
          <w:tcPr>
            <w:tcW w:w="3686" w:type="dxa"/>
          </w:tcPr>
          <w:p w14:paraId="7110A5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22A6F6C0" w14:textId="77777777" w:rsidTr="00CC5360">
        <w:tc>
          <w:tcPr>
            <w:tcW w:w="3652" w:type="dxa"/>
          </w:tcPr>
          <w:p w14:paraId="3D0471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Крейсерская скорость</w:t>
            </w:r>
          </w:p>
        </w:tc>
        <w:tc>
          <w:tcPr>
            <w:tcW w:w="1559" w:type="dxa"/>
          </w:tcPr>
          <w:p w14:paraId="6E7CDC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 км/час</w:t>
            </w:r>
          </w:p>
        </w:tc>
        <w:tc>
          <w:tcPr>
            <w:tcW w:w="1560" w:type="dxa"/>
          </w:tcPr>
          <w:p w14:paraId="47161A2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340 км/час</w:t>
            </w:r>
          </w:p>
        </w:tc>
        <w:tc>
          <w:tcPr>
            <w:tcW w:w="3686" w:type="dxa"/>
          </w:tcPr>
          <w:p w14:paraId="35F5681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6BDDA936" w14:textId="77777777" w:rsidTr="00CC5360">
        <w:tc>
          <w:tcPr>
            <w:tcW w:w="3652" w:type="dxa"/>
          </w:tcPr>
          <w:p w14:paraId="7A54E6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Разбег с полной </w:t>
            </w:r>
          </w:p>
        </w:tc>
        <w:tc>
          <w:tcPr>
            <w:tcW w:w="1559" w:type="dxa"/>
          </w:tcPr>
          <w:p w14:paraId="2621C3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800-900 м</w:t>
            </w:r>
          </w:p>
        </w:tc>
        <w:tc>
          <w:tcPr>
            <w:tcW w:w="1560" w:type="dxa"/>
          </w:tcPr>
          <w:p w14:paraId="784690E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700-750 м</w:t>
            </w:r>
          </w:p>
        </w:tc>
        <w:tc>
          <w:tcPr>
            <w:tcW w:w="3686" w:type="dxa"/>
          </w:tcPr>
          <w:p w14:paraId="4631498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существующих вариантах</w:t>
            </w:r>
          </w:p>
        </w:tc>
      </w:tr>
      <w:tr w:rsidR="009B487A" w:rsidRPr="00722885" w14:paraId="509D4BE4" w14:textId="77777777" w:rsidTr="00CC5360">
        <w:tc>
          <w:tcPr>
            <w:tcW w:w="3652" w:type="dxa"/>
          </w:tcPr>
          <w:p w14:paraId="31B164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нагрузкой</w:t>
            </w:r>
          </w:p>
        </w:tc>
        <w:tc>
          <w:tcPr>
            <w:tcW w:w="1559" w:type="dxa"/>
          </w:tcPr>
          <w:p w14:paraId="7D5CA0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58C417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0B87C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учебные</w:t>
            </w:r>
          </w:p>
        </w:tc>
      </w:tr>
      <w:tr w:rsidR="009B487A" w:rsidRPr="00722885" w14:paraId="21D47AB6" w14:textId="77777777" w:rsidTr="00CC5360">
        <w:tc>
          <w:tcPr>
            <w:tcW w:w="3652" w:type="dxa"/>
          </w:tcPr>
          <w:p w14:paraId="3D7541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Пробег без тормозов</w:t>
            </w:r>
          </w:p>
        </w:tc>
        <w:tc>
          <w:tcPr>
            <w:tcW w:w="1559" w:type="dxa"/>
          </w:tcPr>
          <w:p w14:paraId="56670C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 м</w:t>
            </w:r>
          </w:p>
        </w:tc>
        <w:tc>
          <w:tcPr>
            <w:tcW w:w="1560" w:type="dxa"/>
          </w:tcPr>
          <w:p w14:paraId="4A4A2B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500-600 м</w:t>
            </w:r>
          </w:p>
        </w:tc>
        <w:tc>
          <w:tcPr>
            <w:tcW w:w="3686" w:type="dxa"/>
          </w:tcPr>
          <w:p w14:paraId="1A8600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561A8CB3" w14:textId="77777777" w:rsidTr="00CC5360">
        <w:tc>
          <w:tcPr>
            <w:tcW w:w="3652" w:type="dxa"/>
          </w:tcPr>
          <w:p w14:paraId="6F7462B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Пробег с пользованием</w:t>
            </w:r>
          </w:p>
        </w:tc>
        <w:tc>
          <w:tcPr>
            <w:tcW w:w="1559" w:type="dxa"/>
          </w:tcPr>
          <w:p w14:paraId="5EFD0F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450-500 м</w:t>
            </w:r>
          </w:p>
        </w:tc>
        <w:tc>
          <w:tcPr>
            <w:tcW w:w="1560" w:type="dxa"/>
          </w:tcPr>
          <w:p w14:paraId="2D58EF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450-500 м</w:t>
            </w:r>
          </w:p>
        </w:tc>
        <w:tc>
          <w:tcPr>
            <w:tcW w:w="3686" w:type="dxa"/>
          </w:tcPr>
          <w:p w14:paraId="47E9241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3AEF9B9" w14:textId="77777777" w:rsidTr="00CC5360">
        <w:tc>
          <w:tcPr>
            <w:tcW w:w="3652" w:type="dxa"/>
          </w:tcPr>
          <w:p w14:paraId="5394A3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тормозами и закрылками</w:t>
            </w:r>
          </w:p>
        </w:tc>
        <w:tc>
          <w:tcPr>
            <w:tcW w:w="1559" w:type="dxa"/>
          </w:tcPr>
          <w:p w14:paraId="083EB1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82045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3904AE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798BAFF" w14:textId="77777777" w:rsidTr="00CC5360">
        <w:tc>
          <w:tcPr>
            <w:tcW w:w="3652" w:type="dxa"/>
          </w:tcPr>
          <w:p w14:paraId="6AAEE8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 горючего на</w:t>
            </w:r>
          </w:p>
        </w:tc>
        <w:tc>
          <w:tcPr>
            <w:tcW w:w="1559" w:type="dxa"/>
          </w:tcPr>
          <w:p w14:paraId="5328BB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ч. 00 м.</w:t>
            </w:r>
          </w:p>
        </w:tc>
        <w:tc>
          <w:tcPr>
            <w:tcW w:w="1560" w:type="dxa"/>
          </w:tcPr>
          <w:p w14:paraId="5CBAA7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ч. 30 м.</w:t>
            </w:r>
          </w:p>
        </w:tc>
        <w:tc>
          <w:tcPr>
            <w:tcW w:w="3686" w:type="dxa"/>
          </w:tcPr>
          <w:p w14:paraId="7FC36F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154F423" w14:textId="77777777" w:rsidTr="00CC5360">
        <w:tc>
          <w:tcPr>
            <w:tcW w:w="3652" w:type="dxa"/>
          </w:tcPr>
          <w:p w14:paraId="094A7F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средних режимах работы</w:t>
            </w:r>
          </w:p>
        </w:tc>
        <w:tc>
          <w:tcPr>
            <w:tcW w:w="1559" w:type="dxa"/>
          </w:tcPr>
          <w:p w14:paraId="09FB31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494F44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16BD8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ABF0802" w14:textId="77777777" w:rsidTr="00CC5360">
        <w:tc>
          <w:tcPr>
            <w:tcW w:w="3652" w:type="dxa"/>
          </w:tcPr>
          <w:p w14:paraId="33269C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мотора</w:t>
            </w:r>
          </w:p>
        </w:tc>
        <w:tc>
          <w:tcPr>
            <w:tcW w:w="1559" w:type="dxa"/>
          </w:tcPr>
          <w:p w14:paraId="6B3FBD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74C5F3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7ED6E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23426C16" w14:textId="77777777" w:rsidTr="00CC5360">
        <w:tc>
          <w:tcPr>
            <w:tcW w:w="3652" w:type="dxa"/>
          </w:tcPr>
          <w:p w14:paraId="5DA2EE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w:t>
            </w:r>
          </w:p>
        </w:tc>
        <w:tc>
          <w:tcPr>
            <w:tcW w:w="1559" w:type="dxa"/>
          </w:tcPr>
          <w:p w14:paraId="4E931A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чел.</w:t>
            </w:r>
          </w:p>
        </w:tc>
        <w:tc>
          <w:tcPr>
            <w:tcW w:w="1560" w:type="dxa"/>
          </w:tcPr>
          <w:p w14:paraId="7C6B85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чел.</w:t>
            </w:r>
          </w:p>
        </w:tc>
        <w:tc>
          <w:tcPr>
            <w:tcW w:w="3686" w:type="dxa"/>
          </w:tcPr>
          <w:p w14:paraId="43E0D4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538968F6" w14:textId="77777777" w:rsidTr="00CC5360">
        <w:tc>
          <w:tcPr>
            <w:tcW w:w="3652" w:type="dxa"/>
          </w:tcPr>
          <w:p w14:paraId="46393F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w:t>
            </w:r>
          </w:p>
        </w:tc>
        <w:tc>
          <w:tcPr>
            <w:tcW w:w="1559" w:type="dxa"/>
          </w:tcPr>
          <w:p w14:paraId="1D4955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пушки Швак</w:t>
            </w:r>
          </w:p>
        </w:tc>
        <w:tc>
          <w:tcPr>
            <w:tcW w:w="1560" w:type="dxa"/>
          </w:tcPr>
          <w:p w14:paraId="215496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пушка ШВАК</w:t>
            </w:r>
          </w:p>
        </w:tc>
        <w:tc>
          <w:tcPr>
            <w:tcW w:w="3686" w:type="dxa"/>
          </w:tcPr>
          <w:p w14:paraId="450E601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Задние полусферы в обоих</w:t>
            </w:r>
          </w:p>
        </w:tc>
      </w:tr>
      <w:tr w:rsidR="009B487A" w:rsidRPr="00722885" w14:paraId="07C36C4B" w14:textId="77777777" w:rsidTr="00CC5360">
        <w:tc>
          <w:tcPr>
            <w:tcW w:w="3652" w:type="dxa"/>
          </w:tcPr>
          <w:p w14:paraId="598C82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E889F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БС (вперед)</w:t>
            </w:r>
          </w:p>
        </w:tc>
        <w:tc>
          <w:tcPr>
            <w:tcW w:w="1560" w:type="dxa"/>
          </w:tcPr>
          <w:p w14:paraId="5A5A3D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ШКАС вперед</w:t>
            </w:r>
          </w:p>
        </w:tc>
        <w:tc>
          <w:tcPr>
            <w:tcW w:w="3686" w:type="dxa"/>
          </w:tcPr>
          <w:p w14:paraId="52E3C9D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самолетах не защищены</w:t>
            </w:r>
          </w:p>
        </w:tc>
      </w:tr>
      <w:tr w:rsidR="009B487A" w:rsidRPr="00722885" w14:paraId="7B4C7959" w14:textId="77777777" w:rsidTr="00CC5360">
        <w:tc>
          <w:tcPr>
            <w:tcW w:w="3652" w:type="dxa"/>
          </w:tcPr>
          <w:p w14:paraId="6F1E204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1C95C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балок РС</w:t>
            </w:r>
          </w:p>
        </w:tc>
        <w:tc>
          <w:tcPr>
            <w:tcW w:w="1560" w:type="dxa"/>
          </w:tcPr>
          <w:p w14:paraId="54E895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9B3A1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4D372B42" w14:textId="77777777" w:rsidTr="00CC5360">
        <w:tc>
          <w:tcPr>
            <w:tcW w:w="3652" w:type="dxa"/>
          </w:tcPr>
          <w:p w14:paraId="3FD83FD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6162C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пул. ШКАС</w:t>
            </w:r>
          </w:p>
        </w:tc>
        <w:tc>
          <w:tcPr>
            <w:tcW w:w="1560" w:type="dxa"/>
          </w:tcPr>
          <w:p w14:paraId="7BBD59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A1A47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350A1D1D" w14:textId="77777777" w:rsidTr="00CC5360">
        <w:tc>
          <w:tcPr>
            <w:tcW w:w="3652" w:type="dxa"/>
          </w:tcPr>
          <w:p w14:paraId="588370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5864D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(вперед)</w:t>
            </w:r>
          </w:p>
        </w:tc>
        <w:tc>
          <w:tcPr>
            <w:tcW w:w="1560" w:type="dxa"/>
          </w:tcPr>
          <w:p w14:paraId="4C5156F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78359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26A068B6" w14:textId="77777777" w:rsidTr="00CC5360">
        <w:tc>
          <w:tcPr>
            <w:tcW w:w="3652" w:type="dxa"/>
          </w:tcPr>
          <w:p w14:paraId="600BA0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Оборудование кабины</w:t>
            </w:r>
          </w:p>
        </w:tc>
        <w:tc>
          <w:tcPr>
            <w:tcW w:w="1559" w:type="dxa"/>
          </w:tcPr>
          <w:p w14:paraId="3920D1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Рация РСИ-3</w:t>
            </w:r>
          </w:p>
        </w:tc>
        <w:tc>
          <w:tcPr>
            <w:tcW w:w="1560" w:type="dxa"/>
          </w:tcPr>
          <w:p w14:paraId="3B154A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Нет</w:t>
            </w:r>
          </w:p>
        </w:tc>
        <w:tc>
          <w:tcPr>
            <w:tcW w:w="3686" w:type="dxa"/>
          </w:tcPr>
          <w:p w14:paraId="3ACB5C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10D7E333" w14:textId="77777777" w:rsidTr="00CC5360">
        <w:tc>
          <w:tcPr>
            <w:tcW w:w="3652" w:type="dxa"/>
          </w:tcPr>
          <w:p w14:paraId="72DDE2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летчика</w:t>
            </w:r>
          </w:p>
        </w:tc>
        <w:tc>
          <w:tcPr>
            <w:tcW w:w="1559" w:type="dxa"/>
          </w:tcPr>
          <w:p w14:paraId="453B1D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7ECB3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EB7EB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46C3BA0" w14:textId="77777777" w:rsidTr="00CC5360">
        <w:tc>
          <w:tcPr>
            <w:tcW w:w="3652" w:type="dxa"/>
          </w:tcPr>
          <w:p w14:paraId="4533CF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Фотоаппаратура</w:t>
            </w:r>
          </w:p>
        </w:tc>
        <w:tc>
          <w:tcPr>
            <w:tcW w:w="1559" w:type="dxa"/>
          </w:tcPr>
          <w:p w14:paraId="6FA1CA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Нет</w:t>
            </w:r>
          </w:p>
        </w:tc>
        <w:tc>
          <w:tcPr>
            <w:tcW w:w="1560" w:type="dxa"/>
          </w:tcPr>
          <w:p w14:paraId="2CE80F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Нет</w:t>
            </w:r>
          </w:p>
        </w:tc>
        <w:tc>
          <w:tcPr>
            <w:tcW w:w="3686" w:type="dxa"/>
          </w:tcPr>
          <w:p w14:paraId="5DA0FF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5B16598" w14:textId="77777777" w:rsidTr="00CC5360">
        <w:tc>
          <w:tcPr>
            <w:tcW w:w="3652" w:type="dxa"/>
          </w:tcPr>
          <w:p w14:paraId="47381DA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Конструкция самолета</w:t>
            </w:r>
          </w:p>
        </w:tc>
        <w:tc>
          <w:tcPr>
            <w:tcW w:w="1559" w:type="dxa"/>
          </w:tcPr>
          <w:p w14:paraId="4ED64FC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Цельнометаллич.</w:t>
            </w:r>
          </w:p>
        </w:tc>
        <w:tc>
          <w:tcPr>
            <w:tcW w:w="1560" w:type="dxa"/>
          </w:tcPr>
          <w:p w14:paraId="0EC07E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Смешанная </w:t>
            </w:r>
          </w:p>
        </w:tc>
        <w:tc>
          <w:tcPr>
            <w:tcW w:w="3686" w:type="dxa"/>
          </w:tcPr>
          <w:p w14:paraId="09B87D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355C26AD" w14:textId="77777777" w:rsidTr="00CC5360">
        <w:tc>
          <w:tcPr>
            <w:tcW w:w="3652" w:type="dxa"/>
          </w:tcPr>
          <w:p w14:paraId="0193304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6AF75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бронирован.</w:t>
            </w:r>
          </w:p>
        </w:tc>
        <w:tc>
          <w:tcPr>
            <w:tcW w:w="1560" w:type="dxa"/>
          </w:tcPr>
          <w:p w14:paraId="143980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(дюраль-дерево)</w:t>
            </w:r>
          </w:p>
        </w:tc>
        <w:tc>
          <w:tcPr>
            <w:tcW w:w="3686" w:type="dxa"/>
          </w:tcPr>
          <w:p w14:paraId="7D154D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78B3C55E" w14:textId="77777777" w:rsidTr="00CC5360">
        <w:tc>
          <w:tcPr>
            <w:tcW w:w="3652" w:type="dxa"/>
          </w:tcPr>
          <w:p w14:paraId="2B4490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0623D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3CF3D6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бронирован.</w:t>
            </w:r>
          </w:p>
        </w:tc>
        <w:tc>
          <w:tcPr>
            <w:tcW w:w="3686" w:type="dxa"/>
          </w:tcPr>
          <w:p w14:paraId="507377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4B5F08D1" w14:textId="77777777" w:rsidTr="00CC5360">
        <w:tc>
          <w:tcPr>
            <w:tcW w:w="3652" w:type="dxa"/>
          </w:tcPr>
          <w:p w14:paraId="23A79A8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Требуемая квалификация</w:t>
            </w:r>
          </w:p>
        </w:tc>
        <w:tc>
          <w:tcPr>
            <w:tcW w:w="1559" w:type="dxa"/>
          </w:tcPr>
          <w:p w14:paraId="6FE06F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Средняя</w:t>
            </w:r>
          </w:p>
        </w:tc>
        <w:tc>
          <w:tcPr>
            <w:tcW w:w="1560" w:type="dxa"/>
          </w:tcPr>
          <w:p w14:paraId="1021A93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Средняя</w:t>
            </w:r>
          </w:p>
        </w:tc>
        <w:tc>
          <w:tcPr>
            <w:tcW w:w="3686" w:type="dxa"/>
          </w:tcPr>
          <w:p w14:paraId="76663DD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7050155F" w14:textId="77777777" w:rsidTr="00CC5360">
        <w:tc>
          <w:tcPr>
            <w:tcW w:w="3652" w:type="dxa"/>
          </w:tcPr>
          <w:p w14:paraId="17E21E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летчика</w:t>
            </w:r>
          </w:p>
        </w:tc>
        <w:tc>
          <w:tcPr>
            <w:tcW w:w="1559" w:type="dxa"/>
          </w:tcPr>
          <w:p w14:paraId="58AF85C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0ABAE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35509A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67C8E16" w14:textId="77777777" w:rsidTr="00CC5360">
        <w:tc>
          <w:tcPr>
            <w:tcW w:w="3652" w:type="dxa"/>
          </w:tcPr>
          <w:p w14:paraId="4B50C8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Внутренняя связь между</w:t>
            </w:r>
          </w:p>
        </w:tc>
        <w:tc>
          <w:tcPr>
            <w:tcW w:w="1559" w:type="dxa"/>
          </w:tcPr>
          <w:p w14:paraId="75234C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Переговорный</w:t>
            </w:r>
          </w:p>
        </w:tc>
        <w:tc>
          <w:tcPr>
            <w:tcW w:w="1560" w:type="dxa"/>
          </w:tcPr>
          <w:p w14:paraId="662D99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аппарат</w:t>
            </w:r>
          </w:p>
        </w:tc>
        <w:tc>
          <w:tcPr>
            <w:tcW w:w="3686" w:type="dxa"/>
          </w:tcPr>
          <w:p w14:paraId="7E65125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2C5B6A1D" w14:textId="77777777" w:rsidTr="00CC5360">
        <w:tc>
          <w:tcPr>
            <w:tcW w:w="3652" w:type="dxa"/>
          </w:tcPr>
          <w:p w14:paraId="7363A1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экипажем</w:t>
            </w:r>
          </w:p>
        </w:tc>
        <w:tc>
          <w:tcPr>
            <w:tcW w:w="1559" w:type="dxa"/>
          </w:tcPr>
          <w:p w14:paraId="504159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60256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2B607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4606DE6" w14:textId="77777777" w:rsidTr="00CC5360">
        <w:tc>
          <w:tcPr>
            <w:tcW w:w="3652" w:type="dxa"/>
          </w:tcPr>
          <w:p w14:paraId="4A02B1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Устойчивость</w:t>
            </w:r>
          </w:p>
        </w:tc>
        <w:tc>
          <w:tcPr>
            <w:tcW w:w="1559" w:type="dxa"/>
          </w:tcPr>
          <w:p w14:paraId="646FBC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Устойчив</w:t>
            </w:r>
          </w:p>
        </w:tc>
        <w:tc>
          <w:tcPr>
            <w:tcW w:w="1560" w:type="dxa"/>
          </w:tcPr>
          <w:p w14:paraId="2DAB65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Устойчив</w:t>
            </w:r>
          </w:p>
        </w:tc>
        <w:tc>
          <w:tcPr>
            <w:tcW w:w="3686" w:type="dxa"/>
          </w:tcPr>
          <w:p w14:paraId="236F6A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УИЛ-2 благодаря наличию</w:t>
            </w:r>
          </w:p>
        </w:tc>
      </w:tr>
      <w:tr w:rsidR="009B487A" w:rsidRPr="00722885" w14:paraId="38C68429" w14:textId="77777777" w:rsidTr="00CC5360">
        <w:tc>
          <w:tcPr>
            <w:tcW w:w="3652" w:type="dxa"/>
          </w:tcPr>
          <w:p w14:paraId="0264D1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0D7E0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4CD4ED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355AC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флетнеров и триммеров </w:t>
            </w:r>
          </w:p>
        </w:tc>
      </w:tr>
      <w:tr w:rsidR="009B487A" w:rsidRPr="00722885" w14:paraId="0FA3CC6E" w14:textId="77777777" w:rsidTr="00CC5360">
        <w:tc>
          <w:tcPr>
            <w:tcW w:w="3652" w:type="dxa"/>
          </w:tcPr>
          <w:p w14:paraId="32C8E9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0B078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CF8A4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9BA002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исключительно устойчив</w:t>
            </w:r>
          </w:p>
        </w:tc>
      </w:tr>
    </w:tbl>
    <w:p w14:paraId="19E654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определении возможности установки рации и аэрофотоаппаратуры на самолете УИЛ-2 установлено:</w:t>
      </w:r>
    </w:p>
    <w:p w14:paraId="344A69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Аэрофотоаппаратура АЩАФА-2, АФА-3с и АФА-2бн. Каждый в отдельности могут быть установлены на универсальной фотоустановке впереди летчика-наблюдателя.</w:t>
      </w:r>
    </w:p>
    <w:p w14:paraId="25BC58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Рация РСИ-3 также может быть размещена впереди летнаба, выше фотоаппарата.</w:t>
      </w:r>
    </w:p>
    <w:p w14:paraId="4596BDB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На самолете ЯК-7В без конструктивных переделок можно установить радиостанцию РСИ-3.</w:t>
      </w:r>
    </w:p>
    <w:p w14:paraId="42F96F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установки фотоаппаратуры необходимы изменения каркаса фюзеляжа, так как размещению фотоустановки мешают рама фюзеляжа, тяга руля глубины и троса управления рулями поворота и триммеров.</w:t>
      </w:r>
    </w:p>
    <w:p w14:paraId="763831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Обзор с самолета УИЛ-2 был проверен в воздухе, при чем оказались, что обзор сильно ограничен вперед плоскостями, назад - конструкцией задней части фюзеляжа, верхняя передняя полусфера открыта. Наблюдение можно вести за счет маневра по горизонтали.</w:t>
      </w:r>
    </w:p>
    <w:p w14:paraId="64C3B9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ЯК-7_В по своему конструктивному построению имеет такой же обзор, не лучше чем УИЛ-2.</w:t>
      </w:r>
    </w:p>
    <w:p w14:paraId="43A403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Выводы.</w:t>
      </w:r>
    </w:p>
    <w:p w14:paraId="06191F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основе проведения испытаний комиссия считает, что наиболее просто и быстро может быть приспособлен для обслуживания артиллерии самолет УИЛ-2, для чего необходимо произвести следующие работы:</w:t>
      </w:r>
    </w:p>
    <w:p w14:paraId="0CC6E8D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Снять 2-е управление.</w:t>
      </w:r>
    </w:p>
    <w:p w14:paraId="45DF4F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Поставить установку под пулемет БС в заднюю кабину.</w:t>
      </w:r>
    </w:p>
    <w:p w14:paraId="22FADC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Установить рацию РСИ-4.</w:t>
      </w:r>
    </w:p>
    <w:p w14:paraId="0CEC57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Поставить надежное бронирование летчика-наблюдателя7</w:t>
      </w:r>
    </w:p>
    <w:p w14:paraId="61D5812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Фотоустановка должна позволять пользование любым из трех вышеуказанных фотоаппаратов.</w:t>
      </w:r>
    </w:p>
    <w:p w14:paraId="56C82A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Качество плексигласа по прозрачности должно быть повышенное.</w:t>
      </w:r>
    </w:p>
    <w:p w14:paraId="58259E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Для облегчения планового фотографирования и определения навигационных элементов необходимо установить пяту для прицела ОПБ-1М, при чем необходимо предусмотреть возможность одновременной работы на прицеле при фотографировании.</w:t>
      </w:r>
    </w:p>
    <w:p w14:paraId="362D1B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Увеличить запас горючего до трех часов за счет бомбовой нагрузки при помощи размещения дополнительных баков в бомбовых отсеках.</w:t>
      </w:r>
    </w:p>
    <w:p w14:paraId="7B8157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Существующее вооружение летчиков оставить неизменным, но предусмотреть поворот двух балок РС для стрельбы назад.</w:t>
      </w:r>
    </w:p>
    <w:p w14:paraId="2C17BFB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2622E9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Войти в ходатайство перед Гос. комитетом Обороны об ускорении выпуска приспособленного самолета УИЛ-2, с учетом замечаний комиссии, в двухместном варианте, крайне необходимого для обслуживания задач артиллерии.</w:t>
      </w:r>
    </w:p>
    <w:p w14:paraId="246E91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Необходимо срочно дать заказ гл. конструктору завода НКАП N 18 Ильюшину о разработке двухместного варианта самолета ИЛ-2.</w:t>
      </w:r>
    </w:p>
    <w:p w14:paraId="40C6C2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 1941 году был изготовлен опытный образец самолета ЯК-7Р (вариант разведчика). Просить ГУВВС провести испытания этого самолета для окончательного решения о возможности применения его для обслуживания задач артиллерии (1633,182).</w:t>
      </w:r>
    </w:p>
    <w:p w14:paraId="241608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409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20 по 26 июля 1942 г. в ЦАГИ велись исследования с целью изыскания путей увеличения скорости Як-1. Ведущий инженер исследований - А.И. Сильман (ведущий инженер по Як-1 1-й лаборатории ЦАГИ). Эти работы показали, что достаточно простыми и доступными для серийного производства средствами (герметизацией и изменением форм туннелей водо- и масло- 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w:t>
      </w:r>
    </w:p>
    <w:p w14:paraId="3F0FB1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5817B6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 водорадиатору:</w:t>
      </w:r>
    </w:p>
    <w:p w14:paraId="20B708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изменен профиль верхней передней стенки входной части туннеля;</w:t>
      </w:r>
    </w:p>
    <w:p w14:paraId="28D73EE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увеличен ход регулирующей заслонки на 50 мм (до 350 мм);</w:t>
      </w:r>
    </w:p>
    <w:p w14:paraId="64953A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произведена герметизация туннеля.</w:t>
      </w:r>
    </w:p>
    <w:p w14:paraId="4C0443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 маслорадиатору:</w:t>
      </w:r>
    </w:p>
    <w:p w14:paraId="5A9DF4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78C7B6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209FDC8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увеличен ход регулирующей заслонки на 80 мм (до 340 мм);</w:t>
      </w:r>
    </w:p>
    <w:p w14:paraId="2FDCE02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произведена герметизация туннеля.</w:t>
      </w:r>
    </w:p>
    <w:p w14:paraId="4790AE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147EBA8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5CC56C4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Установлен обтекатель-козырек на сдвижную часть фонаря кабины.</w:t>
      </w:r>
    </w:p>
    <w:p w14:paraId="1CD6FC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7EAD93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63FD8A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Як-I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10BAEC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DDF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вышло Постановление ГКО № 2066 О вооружении самолетов ЛаГГ-3 и Як-7 пушками калибра 37 мм. РГАНИР, Фонд ГКО, д. 45, лл. 121 (11012).</w:t>
      </w:r>
    </w:p>
    <w:p w14:paraId="0B2595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A941D"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вышло Постановление ГКО № 2066 О вооружении самолетов ЛаГГ-3 и Як-7 пушками калибра 37 мм</w:t>
      </w:r>
    </w:p>
    <w:p w14:paraId="3140E6B7" w14:textId="77777777" w:rsidR="00D113EC" w:rsidRPr="00722885" w:rsidRDefault="00D113EC" w:rsidP="00722885">
      <w:pPr>
        <w:tabs>
          <w:tab w:val="left" w:pos="134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Наркомавиапром т.Шахурина, директора заво</w:t>
      </w:r>
      <w:r w:rsidRPr="00722885">
        <w:rPr>
          <w:rFonts w:ascii="Times New Roman" w:hAnsi="Times New Roman"/>
          <w:color w:val="000000" w:themeColor="text1"/>
          <w:sz w:val="16"/>
          <w:szCs w:val="16"/>
        </w:rPr>
        <w:softHyphen/>
        <w:t>да № 21 т.Гостинцева и директора завода 153 т.Романова и главных конструкторов т.т.Яковлева и Лавочкина:</w:t>
      </w:r>
    </w:p>
    <w:p w14:paraId="21DFCD94"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выпустить с завода № 21 к 15 августа 20 самолетов и к 1 сентября 1942 г. следующие 20 самолетов Лагг-3 с вооружением - одна пушка калиьра 37 мм с боезапасом в 20 снарядов и один пулемет БС:</w:t>
      </w:r>
    </w:p>
    <w:p w14:paraId="21DE6B1A" w14:textId="77777777" w:rsidR="00D113EC" w:rsidRPr="00722885" w:rsidRDefault="00D113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выпустить с завода 153 к 5 сентября 1942 года 20 самолетов Як-7 с вооружением - одна пушка калибра 37 мм с боезапасом в 20 снарядов и один пулемет БС.</w:t>
      </w:r>
    </w:p>
    <w:p w14:paraId="6CBF9118" w14:textId="77777777" w:rsidR="00D113EC" w:rsidRPr="00722885" w:rsidRDefault="00D113EC" w:rsidP="00722885">
      <w:pPr>
        <w:tabs>
          <w:tab w:val="left" w:pos="136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Поручить т.т.Яковлеву и Лавочкину совместно с т.Шпитальным проверить возможность размещения на самолетах Як-7 и Лагг-3 боекомплекта для пушки 37 мм в 30 снарядов вместо 20 и результаты этой работы доложить ГОКО не позд</w:t>
      </w:r>
      <w:r w:rsidRPr="00722885">
        <w:rPr>
          <w:rFonts w:ascii="Times New Roman" w:hAnsi="Times New Roman"/>
          <w:color w:val="000000" w:themeColor="text1"/>
          <w:sz w:val="16"/>
          <w:szCs w:val="16"/>
        </w:rPr>
        <w:softHyphen/>
        <w:t>нее 5 августа 1942 г.</w:t>
      </w:r>
    </w:p>
    <w:p w14:paraId="0C2E3EF5" w14:textId="77777777" w:rsidR="00D113EC" w:rsidRPr="00722885" w:rsidRDefault="00D113EC" w:rsidP="00722885">
      <w:pPr>
        <w:tabs>
          <w:tab w:val="left" w:pos="134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командующего ВВС Красно» Армии т.Новикова сформировать три истребительных полка на самолетах Лагг-3 и Як-7, вооруженных 37 мм пушкой и пулеметом БС, в следую</w:t>
      </w:r>
      <w:r w:rsidRPr="00722885">
        <w:rPr>
          <w:rFonts w:ascii="Times New Roman" w:hAnsi="Times New Roman"/>
          <w:color w:val="000000" w:themeColor="text1"/>
          <w:sz w:val="16"/>
          <w:szCs w:val="16"/>
        </w:rPr>
        <w:softHyphen/>
        <w:t>щие сроки:</w:t>
      </w:r>
    </w:p>
    <w:p w14:paraId="6531EC95" w14:textId="77777777" w:rsidR="00D113EC" w:rsidRPr="00722885" w:rsidRDefault="00D113EC" w:rsidP="00722885">
      <w:pPr>
        <w:tabs>
          <w:tab w:val="left" w:pos="360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один полк Лагг-3 - к 20 августа 1942 г.</w:t>
      </w:r>
    </w:p>
    <w:p w14:paraId="474DF715" w14:textId="77777777" w:rsidR="00D113EC" w:rsidRPr="00722885" w:rsidRDefault="00D113EC" w:rsidP="00722885">
      <w:pPr>
        <w:tabs>
          <w:tab w:val="left" w:pos="360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один полк Лагг-3 - к 5 сентября 1942г.</w:t>
      </w:r>
    </w:p>
    <w:p w14:paraId="150CAA23" w14:textId="77777777" w:rsidR="00D113EC" w:rsidRPr="00722885" w:rsidRDefault="00D113EC" w:rsidP="00722885">
      <w:pPr>
        <w:tabs>
          <w:tab w:val="left" w:pos="360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один полк Як-7 - к 10 сентября 1942 г. (19347).</w:t>
      </w:r>
    </w:p>
    <w:p w14:paraId="21E7BB76" w14:textId="77777777" w:rsidR="00D113EC" w:rsidRPr="00722885" w:rsidRDefault="00D113EC"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F60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вышло постановления ГКО N ГОКО 2066сс "О вооружении самолетов ЛаГГ-3 и Як-7 пушками калибра 37 мм" (1567,63).</w:t>
      </w:r>
    </w:p>
    <w:p w14:paraId="330653B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C76C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вышел приказ НКАП N 548с в целях обеспечения отработки гусеничного шасси к самолету ПС-84 и проверки его эксплуатационных качеств:</w:t>
      </w:r>
    </w:p>
    <w:p w14:paraId="418FBC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Директору завода 84 А.М.Ярунину и нач. КО И.П.Мосолову изготовить и передать на летные испытания к 15 октября с.г. три комплекта гусеничного шасси для самолета ПС-84 с введением всех улучшений, вытекающих из результатов предварительных испытаний гусениц, проведенных в 1941 (1568,78).</w:t>
      </w:r>
    </w:p>
    <w:p w14:paraId="423F1C4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2D40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вышел приказ НКАП N 543с в соответствии с постановлением Военного Совета ВДВ от 23 апреля 1942:</w:t>
      </w:r>
    </w:p>
    <w:p w14:paraId="04FD99F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 планеру Г-11 конструкции Грибовского:</w:t>
      </w:r>
    </w:p>
    <w:p w14:paraId="100881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Производство учебных планеров и планеров парашютной подготовки Г-11 сосредоточить на завода 471</w:t>
      </w:r>
    </w:p>
    <w:p w14:paraId="3161E2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обеспечить изготовление и сдачу в счет программы 3 кв.:</w:t>
      </w:r>
    </w:p>
    <w:p w14:paraId="13436F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августе учебных планеров - 10 и планеров парашютной подготовки - 12, в сентябре - 10 и 13</w:t>
      </w:r>
    </w:p>
    <w:p w14:paraId="1D1A81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 планеру А-7 О.К.А.</w:t>
      </w:r>
    </w:p>
    <w:p w14:paraId="1CDBAF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Производство учебных планеров сосредоточить на заводе 445</w:t>
      </w:r>
    </w:p>
    <w:p w14:paraId="32D7C6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Директору завода 445 Петровскому обеспечить выпуск в июле 10, в августе - 16, в сентябре - 7 (1568,15).</w:t>
      </w:r>
    </w:p>
    <w:p w14:paraId="1AE1B78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4B66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вышел приказ НКАП N 550с согласно решения Военсовета ВВС от 4 мая 1942 по изготовлению учебно-штурманских планеров:</w:t>
      </w:r>
    </w:p>
    <w:p w14:paraId="47B86F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ГК и директору завода 471 Грибовскому оборудовать для обучения летного состава ВВС два серийных планера Г-11 под учебно-штурманский вариант, согласно ТТТ ВВС</w:t>
      </w:r>
    </w:p>
    <w:p w14:paraId="099E81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Срок изготовления и сдачи на летные испытания 2-х УТП установить 15 августа 1942</w:t>
      </w:r>
    </w:p>
    <w:p w14:paraId="20DBC0F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Директору завода 241 Рафаэлянц оборудовать по чертежам О.К.А. для обучения летного состава ВВС два серийных А-7 под учебно-штурманский вариант, согласно ТТТ ВВС</w:t>
      </w:r>
    </w:p>
    <w:p w14:paraId="298631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Срок изготовления и сдачи на летные испытания 2-х УТП установить 15 августа 1942 (1568,97).</w:t>
      </w:r>
    </w:p>
    <w:p w14:paraId="1C1B36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EF09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г. вышла директива ВВС № 340097, которая потребовала подготовить звено автожиров из двух машин для формирования 36-й отдельной корректировочной эскадрильи на Кали</w:t>
      </w:r>
      <w:r w:rsidRPr="00722885">
        <w:rPr>
          <w:rFonts w:ascii="Times New Roman" w:hAnsi="Times New Roman"/>
          <w:color w:val="000000" w:themeColor="text1"/>
          <w:sz w:val="16"/>
          <w:szCs w:val="16"/>
        </w:rPr>
        <w:softHyphen/>
        <w:t>нинском фронте. Но в тот же день одна из них потерпела аварию, так как при взлете обороты ротора не нарастали и она не набирала высоту. Воен</w:t>
      </w:r>
      <w:r w:rsidRPr="00722885">
        <w:rPr>
          <w:rFonts w:ascii="Times New Roman" w:hAnsi="Times New Roman"/>
          <w:color w:val="000000" w:themeColor="text1"/>
          <w:sz w:val="16"/>
          <w:szCs w:val="16"/>
        </w:rPr>
        <w:softHyphen/>
        <w:t>ные связывали аварии с увеличением веса и аэродинамического сопротив</w:t>
      </w:r>
      <w:r w:rsidRPr="00722885">
        <w:rPr>
          <w:rFonts w:ascii="Times New Roman" w:hAnsi="Times New Roman"/>
          <w:color w:val="000000" w:themeColor="text1"/>
          <w:sz w:val="16"/>
          <w:szCs w:val="16"/>
        </w:rPr>
        <w:softHyphen/>
        <w:t>ления отремонтированных автожиров (10224,56).</w:t>
      </w:r>
    </w:p>
    <w:p w14:paraId="67315A4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A69FF8"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 июля 1942 г. один автожир потерпел аварию на станции Ухтомская, на ликвидацию которой по</w:t>
      </w:r>
      <w:r w:rsidRPr="00722885">
        <w:rPr>
          <w:rFonts w:ascii="Times New Roman" w:hAnsi="Times New Roman"/>
          <w:color w:val="0070C0"/>
          <w:sz w:val="16"/>
          <w:szCs w:val="16"/>
        </w:rPr>
        <w:softHyphen/>
        <w:t>надобилось 6 дней. 26 июля подполковник Кошиц провел дополнительные контрольные испытания имеющихся двух машин. По его мнению, к полноценным полетам годился только один экземпляр. В результате, 30 июля последова</w:t>
      </w:r>
      <w:r w:rsidRPr="00722885">
        <w:rPr>
          <w:rFonts w:ascii="Times New Roman" w:hAnsi="Times New Roman"/>
          <w:color w:val="0070C0"/>
          <w:sz w:val="16"/>
          <w:szCs w:val="16"/>
        </w:rPr>
        <w:softHyphen/>
        <w:t>ло решение ВВС о прекращении формирования автожир- ного соединения по причине отсутствия исправных лета</w:t>
      </w:r>
      <w:r w:rsidRPr="00722885">
        <w:rPr>
          <w:rFonts w:ascii="Times New Roman" w:hAnsi="Times New Roman"/>
          <w:color w:val="0070C0"/>
          <w:sz w:val="16"/>
          <w:szCs w:val="16"/>
        </w:rPr>
        <w:softHyphen/>
        <w:t>тельных аппаратов. Все это свидетельствовало, что карь</w:t>
      </w:r>
      <w:r w:rsidRPr="00722885">
        <w:rPr>
          <w:rFonts w:ascii="Times New Roman" w:hAnsi="Times New Roman"/>
          <w:color w:val="0070C0"/>
          <w:sz w:val="16"/>
          <w:szCs w:val="16"/>
        </w:rPr>
        <w:softHyphen/>
        <w:t>ера автожира А-7 закончилась.</w:t>
      </w:r>
    </w:p>
    <w:p w14:paraId="5953F53D"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722885">
        <w:rPr>
          <w:rFonts w:ascii="Times New Roman" w:hAnsi="Times New Roman"/>
          <w:color w:val="0070C0"/>
          <w:sz w:val="16"/>
          <w:szCs w:val="16"/>
        </w:rPr>
        <w:softHyphen/>
        <w:t>вал предать его суду. В прилагавшейся справке указыва</w:t>
      </w:r>
      <w:r w:rsidRPr="00722885">
        <w:rPr>
          <w:rFonts w:ascii="Times New Roman" w:hAnsi="Times New Roman"/>
          <w:color w:val="0070C0"/>
          <w:sz w:val="16"/>
          <w:szCs w:val="16"/>
        </w:rPr>
        <w:softHyphen/>
        <w:t>лось, что автожир А-7 доводился в течение восьми лет, од</w:t>
      </w:r>
      <w:r w:rsidRPr="00722885">
        <w:rPr>
          <w:rFonts w:ascii="Times New Roman" w:hAnsi="Times New Roman"/>
          <w:color w:val="0070C0"/>
          <w:sz w:val="16"/>
          <w:szCs w:val="16"/>
        </w:rPr>
        <w:softHyphen/>
        <w:t>нако так и не достиг уровня запланированных характери</w:t>
      </w:r>
      <w:r w:rsidRPr="00722885">
        <w:rPr>
          <w:rFonts w:ascii="Times New Roman" w:hAnsi="Times New Roman"/>
          <w:color w:val="0070C0"/>
          <w:sz w:val="16"/>
          <w:szCs w:val="16"/>
        </w:rPr>
        <w:softHyphen/>
        <w:t>стик. Далее утверждалось, что за время пребывания на фронте эскадрилья автожиров не выполнила ни одного бо</w:t>
      </w:r>
      <w:r w:rsidRPr="00722885">
        <w:rPr>
          <w:rFonts w:ascii="Times New Roman" w:hAnsi="Times New Roman"/>
          <w:color w:val="0070C0"/>
          <w:sz w:val="16"/>
          <w:szCs w:val="16"/>
        </w:rPr>
        <w:softHyphen/>
        <w:t>евого вылета.</w:t>
      </w:r>
    </w:p>
    <w:p w14:paraId="04F400A7" w14:textId="77777777" w:rsidR="00087D2F" w:rsidRPr="00722885" w:rsidRDefault="00087D2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722885">
        <w:rPr>
          <w:rFonts w:ascii="Times New Roman" w:hAnsi="Times New Roman"/>
          <w:color w:val="0070C0"/>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722885">
        <w:rPr>
          <w:rFonts w:ascii="Times New Roman" w:hAnsi="Times New Roman"/>
          <w:color w:val="0070C0"/>
          <w:sz w:val="16"/>
          <w:szCs w:val="16"/>
        </w:rPr>
        <w:softHyphen/>
        <w:t>стей. Однако работы по автожирам с этого момента в Со</w:t>
      </w:r>
      <w:r w:rsidRPr="00722885">
        <w:rPr>
          <w:rFonts w:ascii="Times New Roman" w:hAnsi="Times New Roman"/>
          <w:color w:val="0070C0"/>
          <w:sz w:val="16"/>
          <w:szCs w:val="16"/>
        </w:rPr>
        <w:softHyphen/>
        <w:t>ветском Союзе окончательно прекратили. Завод в Би</w:t>
      </w:r>
      <w:r w:rsidRPr="00722885">
        <w:rPr>
          <w:rFonts w:ascii="Times New Roman" w:hAnsi="Times New Roman"/>
          <w:color w:val="0070C0"/>
          <w:sz w:val="16"/>
          <w:szCs w:val="16"/>
        </w:rPr>
        <w:softHyphen/>
        <w:t>лимбае перепрофилировали для ремонта поврежденной техники и выпуска необходимой для фронта продукции (20361).</w:t>
      </w:r>
    </w:p>
    <w:p w14:paraId="1FC9B1D4" w14:textId="77777777" w:rsidR="00087D2F" w:rsidRPr="00722885" w:rsidRDefault="00087D2F" w:rsidP="00722885">
      <w:pPr>
        <w:shd w:val="clear" w:color="auto" w:fill="FFFFFF"/>
        <w:spacing w:after="0" w:line="240" w:lineRule="auto"/>
        <w:jc w:val="both"/>
        <w:rPr>
          <w:rFonts w:ascii="Times New Roman" w:hAnsi="Times New Roman"/>
          <w:color w:val="0070C0"/>
          <w:sz w:val="16"/>
          <w:szCs w:val="16"/>
        </w:rPr>
      </w:pPr>
    </w:p>
    <w:p w14:paraId="6B60315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года на основании приказа НКАП № 546с и 24 июня 1942 года на основании приказа НКАП № 464с во исполнение Постановления Правительства от 14 июня 1942 года из фронтовых мастерских по ремонту авиационных радиаторов был организовани завод № 124. Фронтовые мастерские были созданы на базе промплощадей бывш. завода № 34, эвакуированного на основании приказа НКАП № 1057сс от 10 октября 1941 года в Троицк (9433).</w:t>
      </w:r>
    </w:p>
    <w:p w14:paraId="645122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A3AC2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вышел приказ НКАП N 546с в дополнение к приказу N 464с от 24 июня 1942 в целях быстрейшего восстановления завода по производству радиаторов на площадях бывшего завода 34 (1568,48).</w:t>
      </w:r>
    </w:p>
    <w:p w14:paraId="7D1069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Вновь организованному з-ду на площадях бывшего з-да 34 присвоить № 124 и впредь именовать ГСЗ № 124”, подчинив 2 ГУ.</w:t>
      </w:r>
    </w:p>
    <w:p w14:paraId="79AF0D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Шахурин (1568, 48).</w:t>
      </w:r>
    </w:p>
    <w:p w14:paraId="4BA8FD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15A2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года Приказом № 546с вновь организованному заводу на площадях бывш. завода № 34 был присвоен № 124 и впредь именовался заводом № 124 НКАП (9434).</w:t>
      </w:r>
    </w:p>
    <w:p w14:paraId="3212C8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0859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20 июля 1942 г. Отчет по испыт. винта Винт Ротол.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404"/>
        <w:gridCol w:w="1699"/>
        <w:gridCol w:w="1787"/>
        <w:gridCol w:w="3985"/>
      </w:tblGrid>
      <w:tr w:rsidR="009B487A" w:rsidRPr="00722885" w14:paraId="562BADB6"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4A3108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Винт Ротол.    Производства фирмы Ротол.</w:t>
            </w:r>
          </w:p>
        </w:tc>
      </w:tr>
      <w:tr w:rsidR="009B487A" w:rsidRPr="00722885" w14:paraId="069DE40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4B4080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9A466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3040A4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Предназначен для</w:t>
            </w:r>
          </w:p>
          <w:p w14:paraId="2D0A792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5D63AE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Харрикейн-II с мот. "Мерлин" ХХ</w:t>
            </w:r>
          </w:p>
        </w:tc>
      </w:tr>
      <w:tr w:rsidR="009B487A" w:rsidRPr="00722885" w14:paraId="29D4427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41473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4D55FA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двухсторонняя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667BF1"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ADC7BB"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E0ABCF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F0616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37A305C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0421C18C"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C12631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CFF8CB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2C7466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1E43D5A"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20FD8C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86F2D9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C34BC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E432C8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2595E2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FB80A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2F82D83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9AD8F2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FCBF84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7CC9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235448E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37CA4D2"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35A5E2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EFFF27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5C0493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Clark-Y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68FBD3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ACC3F2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CDA54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5EE039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B1474A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2AE3D1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8A07BA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Минимальный установочный угол</w:t>
            </w:r>
          </w:p>
          <w:p w14:paraId="4FB3F15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53E30E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DE704C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C12709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16AD1F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A0570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DC28FC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AA4774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A769D5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37EBA7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FC4595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37E185B"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281F29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E4412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48C3FF2"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BA234E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77935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FFAACB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EC08B0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386EAE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8D465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757E18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175135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Состояние</w:t>
            </w:r>
          </w:p>
          <w:p w14:paraId="637331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550B0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Находится в эксплоатации на самолетах Харрикейн-II.</w:t>
            </w:r>
          </w:p>
        </w:tc>
      </w:tr>
      <w:tr w:rsidR="009B487A" w:rsidRPr="00722885" w14:paraId="0B503C3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9EDB33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6F006F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Ротол</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ED03DE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E4F323"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60E957A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021D94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D9A2CF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SAE-50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BC29AB"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975D7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3724C9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D3743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51E025A"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5B4CFC2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Источник сведений: Отчет по испыт. винта от 20.7.42 г.</w:t>
            </w:r>
          </w:p>
        </w:tc>
      </w:tr>
    </w:tbl>
    <w:p w14:paraId="42F22B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(12227).</w:t>
      </w:r>
    </w:p>
    <w:p w14:paraId="5F6F5F1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EA119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20 июля 1942 г. Отчет по испыт. винта Винт ВИШ-61ИФ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365"/>
        <w:gridCol w:w="1679"/>
        <w:gridCol w:w="1766"/>
        <w:gridCol w:w="4065"/>
      </w:tblGrid>
      <w:tr w:rsidR="009B487A" w:rsidRPr="00722885" w14:paraId="30E9CB9D"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154FC9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Винт ВИШ-61ИФ.    Производство завода № 28.    Конструктор Кузьмин.</w:t>
            </w:r>
          </w:p>
        </w:tc>
      </w:tr>
      <w:tr w:rsidR="009B487A" w:rsidRPr="00722885" w14:paraId="6BE1808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435149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362999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8AA7E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Предназначен для</w:t>
            </w:r>
          </w:p>
          <w:p w14:paraId="0FBA8C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2A76B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Ил-4 с 2М-88Б</w:t>
            </w:r>
          </w:p>
        </w:tc>
      </w:tr>
      <w:tr w:rsidR="009B487A" w:rsidRPr="00722885" w14:paraId="7935FC3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50BCDC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70E3027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обратная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E29CF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ADAF9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A1A7FE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71A757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3D19572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103270B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08DFE69"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AAC5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372F22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BC0DA92"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22615B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265E72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A6170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736F371"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54DA29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A1CA56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28029E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7821AD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3F5270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E647DC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603A618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BD871D"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C02561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EE7C4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5C5A59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135120E"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14BDE3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0AE64C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D5C589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ABF8B32"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4931D39"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698069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Минимальный установочный угол</w:t>
            </w:r>
          </w:p>
          <w:p w14:paraId="2142CF2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B1255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968CD2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06D6D7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AD4D53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203AF9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272FD5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840525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10C27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A43D6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7768103"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D99200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6A2BB9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C02E1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2375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593AE7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0A0483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66EEF9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8E9F9B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31D285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6F56738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FFE9CC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5D146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885A0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Состояние</w:t>
            </w:r>
          </w:p>
          <w:p w14:paraId="7971D17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E7E443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 испытания прошел удовлетворительно в 1942 году</w:t>
            </w:r>
          </w:p>
          <w:p w14:paraId="6D0B8E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Находится в эксплоатации и в серийном производстве.</w:t>
            </w:r>
          </w:p>
        </w:tc>
      </w:tr>
      <w:tr w:rsidR="009B487A" w:rsidRPr="00722885" w14:paraId="09720F6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29AC9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671DDF7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011AEB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698DC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6D89D2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7C685D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60865C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SAF</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34C494"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2663A5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95965F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12C06E"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D6D2A2E"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1FF808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Источник сведений: Отчет по испыт. винта от 20.7.42 г.</w:t>
            </w:r>
          </w:p>
        </w:tc>
      </w:tr>
    </w:tbl>
    <w:p w14:paraId="45A971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(12227).</w:t>
      </w:r>
    </w:p>
    <w:p w14:paraId="1079BAA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8F99DB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г. Отчет по испыт. винта Винт ВИШ-61В.</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3365"/>
        <w:gridCol w:w="1679"/>
        <w:gridCol w:w="1766"/>
        <w:gridCol w:w="4065"/>
      </w:tblGrid>
      <w:tr w:rsidR="009B487A" w:rsidRPr="00722885" w14:paraId="04D9B577" w14:textId="77777777" w:rsidTr="00CC5360">
        <w:trPr>
          <w:tblCellSpacing w:w="7" w:type="dxa"/>
          <w:jc w:val="center"/>
        </w:trPr>
        <w:tc>
          <w:tcPr>
            <w:tcW w:w="0" w:type="auto"/>
            <w:gridSpan w:val="4"/>
            <w:vAlign w:val="center"/>
            <w:hideMark/>
          </w:tcPr>
          <w:p w14:paraId="0B2426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Винт ВИШ-61В.    Производство завода № 28.    Конструктор Кузьмин.</w:t>
            </w:r>
          </w:p>
        </w:tc>
      </w:tr>
      <w:tr w:rsidR="009B487A" w:rsidRPr="00722885" w14:paraId="4AC72659" w14:textId="77777777" w:rsidTr="00CC5360">
        <w:trPr>
          <w:tblCellSpacing w:w="7" w:type="dxa"/>
          <w:jc w:val="center"/>
        </w:trPr>
        <w:tc>
          <w:tcPr>
            <w:tcW w:w="0" w:type="auto"/>
            <w:vAlign w:val="center"/>
            <w:hideMark/>
          </w:tcPr>
          <w:p w14:paraId="2F13484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винта</w:t>
            </w:r>
          </w:p>
        </w:tc>
        <w:tc>
          <w:tcPr>
            <w:tcW w:w="0" w:type="auto"/>
            <w:vAlign w:val="center"/>
            <w:hideMark/>
          </w:tcPr>
          <w:p w14:paraId="11C8D8E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гидравлическ. автомат</w:t>
            </w:r>
          </w:p>
        </w:tc>
        <w:tc>
          <w:tcPr>
            <w:tcW w:w="0" w:type="auto"/>
            <w:vMerge w:val="restart"/>
            <w:vAlign w:val="center"/>
            <w:hideMark/>
          </w:tcPr>
          <w:p w14:paraId="6135311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Предназначен для</w:t>
            </w:r>
          </w:p>
          <w:p w14:paraId="50A820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установки на самолетах</w:t>
            </w:r>
          </w:p>
        </w:tc>
        <w:tc>
          <w:tcPr>
            <w:tcW w:w="0" w:type="auto"/>
            <w:vMerge w:val="restart"/>
            <w:vAlign w:val="center"/>
            <w:hideMark/>
          </w:tcPr>
          <w:p w14:paraId="5CEB527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Пе-8 с 4АМ-35А</w:t>
            </w:r>
          </w:p>
        </w:tc>
      </w:tr>
      <w:tr w:rsidR="009B487A" w:rsidRPr="00722885" w14:paraId="382BB9F5" w14:textId="77777777" w:rsidTr="00CC5360">
        <w:trPr>
          <w:tblCellSpacing w:w="7" w:type="dxa"/>
          <w:jc w:val="center"/>
        </w:trPr>
        <w:tc>
          <w:tcPr>
            <w:tcW w:w="0" w:type="auto"/>
            <w:vAlign w:val="center"/>
            <w:hideMark/>
          </w:tcPr>
          <w:p w14:paraId="551707F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Схема действия</w:t>
            </w:r>
          </w:p>
        </w:tc>
        <w:tc>
          <w:tcPr>
            <w:tcW w:w="0" w:type="auto"/>
            <w:vAlign w:val="center"/>
            <w:hideMark/>
          </w:tcPr>
          <w:p w14:paraId="6F9A3EB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обратная</w:t>
            </w:r>
          </w:p>
        </w:tc>
        <w:tc>
          <w:tcPr>
            <w:tcW w:w="0" w:type="auto"/>
            <w:vMerge/>
            <w:vAlign w:val="center"/>
            <w:hideMark/>
          </w:tcPr>
          <w:p w14:paraId="0B64C91A"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vAlign w:val="center"/>
            <w:hideMark/>
          </w:tcPr>
          <w:p w14:paraId="34839D0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0CB6114" w14:textId="77777777" w:rsidTr="00CC5360">
        <w:trPr>
          <w:tblCellSpacing w:w="7" w:type="dxa"/>
          <w:jc w:val="center"/>
        </w:trPr>
        <w:tc>
          <w:tcPr>
            <w:tcW w:w="0" w:type="auto"/>
            <w:vAlign w:val="center"/>
            <w:hideMark/>
          </w:tcPr>
          <w:p w14:paraId="0089D07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Число лопастей</w:t>
            </w:r>
          </w:p>
        </w:tc>
        <w:tc>
          <w:tcPr>
            <w:tcW w:w="0" w:type="auto"/>
            <w:vAlign w:val="center"/>
            <w:hideMark/>
          </w:tcPr>
          <w:p w14:paraId="420FEEC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vMerge w:val="restart"/>
            <w:vAlign w:val="center"/>
            <w:hideMark/>
          </w:tcPr>
          <w:p w14:paraId="784817F1"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B233F21" w14:textId="77777777" w:rsidTr="00CC5360">
        <w:trPr>
          <w:tblCellSpacing w:w="7" w:type="dxa"/>
          <w:jc w:val="center"/>
        </w:trPr>
        <w:tc>
          <w:tcPr>
            <w:tcW w:w="0" w:type="auto"/>
            <w:vAlign w:val="center"/>
            <w:hideMark/>
          </w:tcPr>
          <w:p w14:paraId="1557FE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 лопастей</w:t>
            </w:r>
          </w:p>
        </w:tc>
        <w:tc>
          <w:tcPr>
            <w:tcW w:w="0" w:type="auto"/>
            <w:vAlign w:val="center"/>
            <w:hideMark/>
          </w:tcPr>
          <w:p w14:paraId="6BD403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дюраль</w:t>
            </w:r>
          </w:p>
        </w:tc>
        <w:tc>
          <w:tcPr>
            <w:tcW w:w="0" w:type="auto"/>
            <w:gridSpan w:val="2"/>
            <w:vMerge/>
            <w:vAlign w:val="center"/>
            <w:hideMark/>
          </w:tcPr>
          <w:p w14:paraId="3FA3D4B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1A3F3CF" w14:textId="77777777" w:rsidTr="00CC5360">
        <w:trPr>
          <w:tblCellSpacing w:w="7" w:type="dxa"/>
          <w:jc w:val="center"/>
        </w:trPr>
        <w:tc>
          <w:tcPr>
            <w:tcW w:w="0" w:type="auto"/>
            <w:vAlign w:val="center"/>
            <w:hideMark/>
          </w:tcPr>
          <w:p w14:paraId="62398AA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Диаметр винта (м)</w:t>
            </w:r>
          </w:p>
        </w:tc>
        <w:tc>
          <w:tcPr>
            <w:tcW w:w="0" w:type="auto"/>
            <w:vAlign w:val="center"/>
            <w:hideMark/>
          </w:tcPr>
          <w:p w14:paraId="54886B2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0" w:type="auto"/>
            <w:gridSpan w:val="2"/>
            <w:vMerge/>
            <w:vAlign w:val="center"/>
            <w:hideMark/>
          </w:tcPr>
          <w:p w14:paraId="10838C24"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50BAEEF" w14:textId="77777777" w:rsidTr="00CC5360">
        <w:trPr>
          <w:tblCellSpacing w:w="7" w:type="dxa"/>
          <w:jc w:val="center"/>
        </w:trPr>
        <w:tc>
          <w:tcPr>
            <w:tcW w:w="0" w:type="auto"/>
            <w:vAlign w:val="center"/>
            <w:hideMark/>
          </w:tcPr>
          <w:p w14:paraId="29CCFE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ширина лопасти (мм)</w:t>
            </w:r>
          </w:p>
        </w:tc>
        <w:tc>
          <w:tcPr>
            <w:tcW w:w="0" w:type="auto"/>
            <w:vAlign w:val="center"/>
            <w:hideMark/>
          </w:tcPr>
          <w:p w14:paraId="384E43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296</w:t>
            </w:r>
          </w:p>
        </w:tc>
        <w:tc>
          <w:tcPr>
            <w:tcW w:w="0" w:type="auto"/>
            <w:gridSpan w:val="2"/>
            <w:vMerge/>
            <w:vAlign w:val="center"/>
            <w:hideMark/>
          </w:tcPr>
          <w:p w14:paraId="2D7ED059"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03C67C1" w14:textId="77777777" w:rsidTr="00CC5360">
        <w:trPr>
          <w:tblCellSpacing w:w="7" w:type="dxa"/>
          <w:jc w:val="center"/>
        </w:trPr>
        <w:tc>
          <w:tcPr>
            <w:tcW w:w="0" w:type="auto"/>
            <w:vAlign w:val="center"/>
            <w:hideMark/>
          </w:tcPr>
          <w:p w14:paraId="5C4307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Относительная толщина лопасти на 0,9 r (%)</w:t>
            </w:r>
          </w:p>
        </w:tc>
        <w:tc>
          <w:tcPr>
            <w:tcW w:w="0" w:type="auto"/>
            <w:vAlign w:val="center"/>
            <w:hideMark/>
          </w:tcPr>
          <w:p w14:paraId="127FC89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w:t>
            </w:r>
          </w:p>
        </w:tc>
        <w:tc>
          <w:tcPr>
            <w:tcW w:w="0" w:type="auto"/>
            <w:gridSpan w:val="2"/>
            <w:vMerge/>
            <w:vAlign w:val="center"/>
            <w:hideMark/>
          </w:tcPr>
          <w:p w14:paraId="4B3E4DD3"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4694ABF" w14:textId="77777777" w:rsidTr="00CC5360">
        <w:trPr>
          <w:tblCellSpacing w:w="7" w:type="dxa"/>
          <w:jc w:val="center"/>
        </w:trPr>
        <w:tc>
          <w:tcPr>
            <w:tcW w:w="0" w:type="auto"/>
            <w:vAlign w:val="center"/>
            <w:hideMark/>
          </w:tcPr>
          <w:p w14:paraId="186511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Профиль сечения лопасти</w:t>
            </w:r>
          </w:p>
        </w:tc>
        <w:tc>
          <w:tcPr>
            <w:tcW w:w="0" w:type="auto"/>
            <w:vAlign w:val="center"/>
            <w:hideMark/>
          </w:tcPr>
          <w:p w14:paraId="7853E90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w:t>
            </w:r>
          </w:p>
        </w:tc>
        <w:tc>
          <w:tcPr>
            <w:tcW w:w="0" w:type="auto"/>
            <w:gridSpan w:val="2"/>
            <w:vMerge/>
            <w:vAlign w:val="center"/>
            <w:hideMark/>
          </w:tcPr>
          <w:p w14:paraId="461F28B4"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8B371B0" w14:textId="77777777" w:rsidTr="00CC5360">
        <w:trPr>
          <w:tblCellSpacing w:w="7" w:type="dxa"/>
          <w:jc w:val="center"/>
        </w:trPr>
        <w:tc>
          <w:tcPr>
            <w:tcW w:w="0" w:type="auto"/>
            <w:vAlign w:val="center"/>
            <w:hideMark/>
          </w:tcPr>
          <w:p w14:paraId="4665548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Диапазон поворота лопастей (град.)</w:t>
            </w:r>
          </w:p>
        </w:tc>
        <w:tc>
          <w:tcPr>
            <w:tcW w:w="0" w:type="auto"/>
            <w:vAlign w:val="center"/>
            <w:hideMark/>
          </w:tcPr>
          <w:p w14:paraId="3869BD4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0" w:type="auto"/>
            <w:gridSpan w:val="2"/>
            <w:vMerge/>
            <w:vAlign w:val="center"/>
            <w:hideMark/>
          </w:tcPr>
          <w:p w14:paraId="4B8E2F2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DA02FE4" w14:textId="77777777" w:rsidTr="00CC5360">
        <w:trPr>
          <w:tblCellSpacing w:w="7" w:type="dxa"/>
          <w:jc w:val="center"/>
        </w:trPr>
        <w:tc>
          <w:tcPr>
            <w:tcW w:w="0" w:type="auto"/>
            <w:vAlign w:val="center"/>
            <w:hideMark/>
          </w:tcPr>
          <w:p w14:paraId="071D3F3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Минимальный установочный угол</w:t>
            </w:r>
          </w:p>
          <w:p w14:paraId="080EBF0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лопастей (град.)</w:t>
            </w:r>
          </w:p>
        </w:tc>
        <w:tc>
          <w:tcPr>
            <w:tcW w:w="0" w:type="auto"/>
            <w:vAlign w:val="center"/>
            <w:hideMark/>
          </w:tcPr>
          <w:p w14:paraId="38C3432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w:t>
            </w:r>
          </w:p>
        </w:tc>
        <w:tc>
          <w:tcPr>
            <w:tcW w:w="0" w:type="auto"/>
            <w:gridSpan w:val="2"/>
            <w:vMerge/>
            <w:vAlign w:val="center"/>
            <w:hideMark/>
          </w:tcPr>
          <w:p w14:paraId="35F47102"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0FAEFE4" w14:textId="77777777" w:rsidTr="00CC5360">
        <w:trPr>
          <w:tblCellSpacing w:w="7" w:type="dxa"/>
          <w:jc w:val="center"/>
        </w:trPr>
        <w:tc>
          <w:tcPr>
            <w:tcW w:w="0" w:type="auto"/>
            <w:vAlign w:val="center"/>
            <w:hideMark/>
          </w:tcPr>
          <w:p w14:paraId="055A39B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лопасти (кг)</w:t>
            </w:r>
          </w:p>
        </w:tc>
        <w:tc>
          <w:tcPr>
            <w:tcW w:w="0" w:type="auto"/>
            <w:vAlign w:val="center"/>
            <w:hideMark/>
          </w:tcPr>
          <w:p w14:paraId="7163D22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0" w:type="auto"/>
            <w:gridSpan w:val="2"/>
            <w:vMerge/>
            <w:vAlign w:val="center"/>
            <w:hideMark/>
          </w:tcPr>
          <w:p w14:paraId="1D820B5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69034EAD" w14:textId="77777777" w:rsidTr="00CC5360">
        <w:trPr>
          <w:tblCellSpacing w:w="7" w:type="dxa"/>
          <w:jc w:val="center"/>
        </w:trPr>
        <w:tc>
          <w:tcPr>
            <w:tcW w:w="0" w:type="auto"/>
            <w:vAlign w:val="center"/>
            <w:hideMark/>
          </w:tcPr>
          <w:p w14:paraId="55D1B00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винта (кг)</w:t>
            </w:r>
          </w:p>
        </w:tc>
        <w:tc>
          <w:tcPr>
            <w:tcW w:w="0" w:type="auto"/>
            <w:vAlign w:val="center"/>
            <w:hideMark/>
          </w:tcPr>
          <w:p w14:paraId="685AF1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175</w:t>
            </w:r>
          </w:p>
        </w:tc>
        <w:tc>
          <w:tcPr>
            <w:tcW w:w="0" w:type="auto"/>
            <w:gridSpan w:val="2"/>
            <w:vMerge/>
            <w:vAlign w:val="center"/>
            <w:hideMark/>
          </w:tcPr>
          <w:p w14:paraId="03E450FB"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2D04F1D" w14:textId="77777777" w:rsidTr="00CC5360">
        <w:trPr>
          <w:tblCellSpacing w:w="7" w:type="dxa"/>
          <w:jc w:val="center"/>
        </w:trPr>
        <w:tc>
          <w:tcPr>
            <w:tcW w:w="0" w:type="auto"/>
            <w:vAlign w:val="center"/>
            <w:hideMark/>
          </w:tcPr>
          <w:p w14:paraId="3EEE24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50EBF0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2050</w:t>
            </w:r>
          </w:p>
        </w:tc>
        <w:tc>
          <w:tcPr>
            <w:tcW w:w="0" w:type="auto"/>
            <w:gridSpan w:val="2"/>
            <w:vMerge/>
            <w:vAlign w:val="center"/>
            <w:hideMark/>
          </w:tcPr>
          <w:p w14:paraId="0681F63E"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D62B73C" w14:textId="77777777" w:rsidTr="00CC5360">
        <w:trPr>
          <w:tblCellSpacing w:w="7" w:type="dxa"/>
          <w:jc w:val="center"/>
        </w:trPr>
        <w:tc>
          <w:tcPr>
            <w:tcW w:w="0" w:type="auto"/>
            <w:vAlign w:val="center"/>
            <w:hideMark/>
          </w:tcPr>
          <w:p w14:paraId="4C77D3E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Редукция мотора</w:t>
            </w:r>
          </w:p>
        </w:tc>
        <w:tc>
          <w:tcPr>
            <w:tcW w:w="0" w:type="auto"/>
            <w:vAlign w:val="center"/>
            <w:hideMark/>
          </w:tcPr>
          <w:p w14:paraId="2C09A3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0,59</w:t>
            </w:r>
          </w:p>
        </w:tc>
        <w:tc>
          <w:tcPr>
            <w:tcW w:w="0" w:type="auto"/>
            <w:gridSpan w:val="2"/>
            <w:vMerge/>
            <w:vAlign w:val="center"/>
            <w:hideMark/>
          </w:tcPr>
          <w:p w14:paraId="08D924BA"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BCE7CC8" w14:textId="77777777" w:rsidTr="00CC5360">
        <w:trPr>
          <w:tblCellSpacing w:w="7" w:type="dxa"/>
          <w:jc w:val="center"/>
        </w:trPr>
        <w:tc>
          <w:tcPr>
            <w:tcW w:w="0" w:type="auto"/>
            <w:vAlign w:val="center"/>
            <w:hideMark/>
          </w:tcPr>
          <w:p w14:paraId="1F1C2D1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Направление вращения винта</w:t>
            </w:r>
          </w:p>
        </w:tc>
        <w:tc>
          <w:tcPr>
            <w:tcW w:w="0" w:type="auto"/>
            <w:vAlign w:val="center"/>
            <w:hideMark/>
          </w:tcPr>
          <w:p w14:paraId="16FAE9A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левое</w:t>
            </w:r>
          </w:p>
        </w:tc>
        <w:tc>
          <w:tcPr>
            <w:tcW w:w="0" w:type="auto"/>
            <w:vMerge w:val="restart"/>
            <w:vAlign w:val="center"/>
            <w:hideMark/>
          </w:tcPr>
          <w:p w14:paraId="32E38AA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Состояние</w:t>
            </w:r>
          </w:p>
          <w:p w14:paraId="5E4A3B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винта</w:t>
            </w:r>
          </w:p>
        </w:tc>
        <w:tc>
          <w:tcPr>
            <w:tcW w:w="0" w:type="auto"/>
            <w:vMerge w:val="restart"/>
            <w:vAlign w:val="center"/>
            <w:hideMark/>
          </w:tcPr>
          <w:p w14:paraId="60CDDEE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 испытания прошел удовлетворительно в 1942 году</w:t>
            </w:r>
          </w:p>
          <w:p w14:paraId="54ED39C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Находится в эксплоатации и в серийном производстве.</w:t>
            </w:r>
          </w:p>
        </w:tc>
      </w:tr>
      <w:tr w:rsidR="009B487A" w:rsidRPr="00722885" w14:paraId="7D4349F4" w14:textId="77777777" w:rsidTr="00CC5360">
        <w:trPr>
          <w:tblCellSpacing w:w="7" w:type="dxa"/>
          <w:jc w:val="center"/>
        </w:trPr>
        <w:tc>
          <w:tcPr>
            <w:tcW w:w="0" w:type="auto"/>
            <w:vAlign w:val="center"/>
            <w:hideMark/>
          </w:tcPr>
          <w:p w14:paraId="2B95D7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регулятора оборотов</w:t>
            </w:r>
          </w:p>
        </w:tc>
        <w:tc>
          <w:tcPr>
            <w:tcW w:w="0" w:type="auto"/>
            <w:vAlign w:val="center"/>
            <w:hideMark/>
          </w:tcPr>
          <w:p w14:paraId="2E718C3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Р-7</w:t>
            </w:r>
          </w:p>
        </w:tc>
        <w:tc>
          <w:tcPr>
            <w:tcW w:w="0" w:type="auto"/>
            <w:vMerge/>
            <w:vAlign w:val="center"/>
            <w:hideMark/>
          </w:tcPr>
          <w:p w14:paraId="551D4C1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vAlign w:val="center"/>
            <w:hideMark/>
          </w:tcPr>
          <w:p w14:paraId="5FFCB89D"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C485374" w14:textId="77777777" w:rsidTr="00CC5360">
        <w:trPr>
          <w:tblCellSpacing w:w="7" w:type="dxa"/>
          <w:jc w:val="center"/>
        </w:trPr>
        <w:tc>
          <w:tcPr>
            <w:tcW w:w="0" w:type="auto"/>
            <w:vAlign w:val="center"/>
            <w:hideMark/>
          </w:tcPr>
          <w:p w14:paraId="19791D9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Носок вала редуктора мотора</w:t>
            </w:r>
          </w:p>
        </w:tc>
        <w:tc>
          <w:tcPr>
            <w:tcW w:w="0" w:type="auto"/>
            <w:vAlign w:val="center"/>
            <w:hideMark/>
          </w:tcPr>
          <w:p w14:paraId="566FE3F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7</w:t>
            </w:r>
          </w:p>
        </w:tc>
        <w:tc>
          <w:tcPr>
            <w:tcW w:w="0" w:type="auto"/>
            <w:vMerge/>
            <w:vAlign w:val="center"/>
            <w:hideMark/>
          </w:tcPr>
          <w:p w14:paraId="1D8985F3"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vAlign w:val="center"/>
            <w:hideMark/>
          </w:tcPr>
          <w:p w14:paraId="3FE4817C"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137904A" w14:textId="77777777" w:rsidTr="00CC5360">
        <w:trPr>
          <w:tblCellSpacing w:w="7" w:type="dxa"/>
          <w:jc w:val="center"/>
        </w:trPr>
        <w:tc>
          <w:tcPr>
            <w:tcW w:w="0" w:type="auto"/>
            <w:vAlign w:val="center"/>
            <w:hideMark/>
          </w:tcPr>
          <w:p w14:paraId="3DB66813"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Align w:val="center"/>
            <w:hideMark/>
          </w:tcPr>
          <w:p w14:paraId="19C3801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7C14B38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Источник сведений: Отчет по испыт. винта от 20.7.42 г.</w:t>
            </w:r>
          </w:p>
        </w:tc>
      </w:tr>
    </w:tbl>
    <w:p w14:paraId="0BA74FB6" w14:textId="77777777" w:rsidR="00AE7191" w:rsidRPr="00722885" w:rsidRDefault="00AE7191" w:rsidP="00722885">
      <w:pPr>
        <w:spacing w:after="0" w:line="240" w:lineRule="auto"/>
        <w:jc w:val="both"/>
        <w:rPr>
          <w:rFonts w:ascii="Times New Roman" w:hAnsi="Times New Roman"/>
          <w:color w:val="000000" w:themeColor="text1"/>
          <w:sz w:val="16"/>
          <w:szCs w:val="16"/>
        </w:rPr>
      </w:pPr>
      <w:bookmarkStart w:id="0" w:name="p4"/>
      <w:r w:rsidRPr="00722885">
        <w:rPr>
          <w:rFonts w:ascii="Times New Roman" w:hAnsi="Times New Roman"/>
          <w:color w:val="000000" w:themeColor="text1"/>
          <w:sz w:val="16"/>
          <w:szCs w:val="16"/>
        </w:rPr>
        <w:t>(12227).</w:t>
      </w:r>
    </w:p>
    <w:p w14:paraId="2CA9B104" w14:textId="77777777" w:rsidR="00AE7191" w:rsidRPr="00722885" w:rsidRDefault="00AE7191" w:rsidP="00722885">
      <w:pPr>
        <w:spacing w:after="0" w:line="240" w:lineRule="auto"/>
        <w:jc w:val="both"/>
        <w:rPr>
          <w:rFonts w:ascii="Times New Roman" w:hAnsi="Times New Roman"/>
          <w:color w:val="000000" w:themeColor="text1"/>
          <w:sz w:val="16"/>
          <w:szCs w:val="16"/>
        </w:rPr>
      </w:pPr>
    </w:p>
    <w:bookmarkEnd w:id="0"/>
    <w:p w14:paraId="04F8AD44" w14:textId="77777777" w:rsidR="00715152" w:rsidRPr="00722885" w:rsidRDefault="00715152" w:rsidP="00722885">
      <w:pPr>
        <w:pStyle w:val="book"/>
        <w:ind w:firstLine="0"/>
        <w:jc w:val="both"/>
        <w:rPr>
          <w:color w:val="000000" w:themeColor="text1"/>
          <w:sz w:val="16"/>
          <w:szCs w:val="16"/>
        </w:rPr>
      </w:pPr>
      <w:r w:rsidRPr="00722885">
        <w:rPr>
          <w:color w:val="000000" w:themeColor="text1"/>
          <w:sz w:val="16"/>
          <w:szCs w:val="16"/>
        </w:rPr>
        <w:t>20 июля 1942 г. снаряды М-28, созданные в осажденном Ленинграде сотрудниками НИА-Па на базе немецкой 28-см фугасной мины и тяжелого метательного прибора обр. 40, были впервые применены на фронте. М-28 был единственным советским турбореактивным снарядом, примененным в боевых условиях (15225).</w:t>
      </w:r>
    </w:p>
    <w:p w14:paraId="531BAFC4" w14:textId="77777777" w:rsidR="00715152" w:rsidRPr="00722885" w:rsidRDefault="00715152" w:rsidP="00722885">
      <w:pPr>
        <w:pStyle w:val="book"/>
        <w:ind w:firstLine="0"/>
        <w:jc w:val="both"/>
        <w:rPr>
          <w:color w:val="000000" w:themeColor="text1"/>
          <w:sz w:val="16"/>
          <w:szCs w:val="16"/>
        </w:rPr>
      </w:pPr>
    </w:p>
    <w:p w14:paraId="6832D688"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015D01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11C9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вышло Постановление ГКО № 2067 О разделении завода № 74. Наркомвооружения. РГАНИР, Фонд ГКО, д. 45, лл. 122 (11012).</w:t>
      </w:r>
    </w:p>
    <w:p w14:paraId="0D60AC3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BB23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вышло Постановление ГКО № 2068 О внедрении в производство нового метода получения синтетического толуола. РГАНИР, Фонд ГКО, д. 45, лл. 123 (11012).</w:t>
      </w:r>
    </w:p>
    <w:p w14:paraId="365952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744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года Распоряжением ГКО от № 2067 и 21 июля 1942 года приказом НКВ № 375 из состава завода № 74 было выделено 11 цехов в самостоятельный завод с учетным № 622. В 1942-45 гг. завод специализировался на производстве в основном личного оружия для офицерского состава армии, а также противотанковых ружей ПТРС и ПТРД. В 1964 году объем оборонной продукции сократился на 64%, завод выпускал циферблатные весы, безмены, капканы, спортивные ружья.</w:t>
      </w:r>
    </w:p>
    <w:p w14:paraId="60C0CF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велась подготовка к освоению и массовому выпуску охотничьих ружей. В 1949 году завод выпускает первые модели охотничьих ружей (ИЖК и ИЖ-49). В 1964 году профиль завода определяют следующие производства:</w:t>
      </w:r>
    </w:p>
    <w:p w14:paraId="5FE7C27E" w14:textId="77777777" w:rsidR="00AE7191" w:rsidRPr="00722885"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Оружейно-стрелковое производство.</w:t>
      </w:r>
    </w:p>
    <w:p w14:paraId="591D4D4A" w14:textId="77777777" w:rsidR="00AE7191" w:rsidRPr="00722885"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двигателей мотоцикла Иж-Юритер.</w:t>
      </w:r>
    </w:p>
    <w:p w14:paraId="542AF0D7" w14:textId="77777777" w:rsidR="00AE7191" w:rsidRPr="00722885"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по выпуску управляемых ракетных снарядов.</w:t>
      </w:r>
    </w:p>
    <w:p w14:paraId="0E664399" w14:textId="77777777" w:rsidR="00AE7191" w:rsidRPr="00722885"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Стальное литье по выплавляемым моделям (10262).</w:t>
      </w:r>
    </w:p>
    <w:p w14:paraId="043BEFBF" w14:textId="77777777" w:rsidR="00AE7191" w:rsidRPr="00722885"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A6917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20 июля 1942 г. основан Ижевский механический завод для производства боевого стрелкового оружия. С 10.1944 г. началось строительство новых цехов для народнохозяйственной продукции. В 1949 г. создается производство по выпуску спортивно-охотничьего оружия. В 1951 г. впервые в стране создается крупносерийное производство точного стального литья, в том же году создается производство по выпуску горно-шахтного оборудования. </w:t>
      </w:r>
    </w:p>
    <w:p w14:paraId="7CB679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1958 г.- производство ракетной техники и электронных систем управления (ПТУР, ПЗРК). Создана ракета-мишень МС-8-ИЦ для Су-9 (1965 г.).</w:t>
      </w:r>
    </w:p>
    <w:p w14:paraId="7F6B05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1960 г.- производство двигателей для мотоциклов "Иж-Юпитер" (выпущено более 5 млн. штук). В 1965 г. построен новый производственный корпус по изготовлению заднего моста и карданного вала автомобилей "Москвич". </w:t>
      </w:r>
    </w:p>
    <w:p w14:paraId="47BA7A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1970 г.- производство печатных плат, с 1990 г.- производство изделий микроэлектроники. На базе контрольно-испытательной станции завода открыт "Государственный центр по испытанию огнестрельного оружия". </w:t>
      </w:r>
    </w:p>
    <w:p w14:paraId="57E97C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Производство спортивно-охотничьего, пневматического и служебного оружия; ручного электроинструмента; оборудования для добычи нефти; точного стального </w:t>
      </w:r>
      <w:r w:rsidRPr="00722885">
        <w:rPr>
          <w:rFonts w:ascii="Times New Roman" w:hAnsi="Times New Roman"/>
          <w:color w:val="000000" w:themeColor="text1"/>
          <w:sz w:val="16"/>
          <w:szCs w:val="16"/>
        </w:rPr>
        <w:lastRenderedPageBreak/>
        <w:t>литья, штампов, пресс-форм; упаковки жидких и сыпучих продуктов; компрессоры для большегрузных автомобилей, карданные валы для автомобилей "Ода", "Жигули" и др. (2004 г.).</w:t>
      </w:r>
    </w:p>
    <w:p w14:paraId="334F6A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08AEE74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Работали: (1979 г.-)- В. Загребин (ИЖ-43, МР-233), (1970-е-2002 г.-)- В. Чебуков (ИЖ-40, ИЖ-53, МР-513М), (1980 г.-)- В. Черепанов (ИЖ-46, ИЖ-67, ИЖ-671, МР-654К, МР-661К), (1990-е)- В.А. Ярыгин (конструктор пистолетов), (1996 г.-)- К. Евсеев (МР-151, МР-153), (1997 г.-)- А. Калугин (МР-153), (-2001 г.)- В. Чемовский (МР-512, МР-513М), (2002 г.)- М.Е. Драгунов (конструктор), (2002 г.)- Е. Попович (ИЖ-94 "Экспресс" (МР-251), МР-221 "Артемида", ИЖ-27М12), (2002 г.)- С. Гуляев (MP-461 "Стражник").</w:t>
      </w:r>
    </w:p>
    <w:p w14:paraId="38EAF1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(25.12.2002-2003 г.-)- Н.П. Парфенов.</w:t>
      </w:r>
    </w:p>
    <w:p w14:paraId="284DCD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1-й зам. гендиректора по финансам, экономике и управлению (2000 г.-)- Н.П. Парфенов. Зам. гендиректора по экономическим вопросам (1995 г.-)- В.П. Парфенов. </w:t>
      </w:r>
    </w:p>
    <w:p w14:paraId="4BD1B1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 по спортивно-охотничьему оружию (2002 г.)- А.У. Дорф. Начальник КБ (2002 г.)- В. Шилов. </w:t>
      </w:r>
    </w:p>
    <w:p w14:paraId="468E456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(ВОВ): противотанковые ружья Дегтярева, Симонова, пистолет ТТ (-1953), револьвер «Наган»; пистолеты: ПМ (1949-2002-), ПММ; (2002): пистолет Ярыгина, ИЖ-71, ИЖ-34М, ИЖ-35М, МР-448 «Скиф», «Байкал-442», ПСМ, МЦМ, МР-446 «Викинг», МР-451, MP-461 "Стражник"; газовые пистолеты (2002): ИЖ-77, ИЖ-78, ИЖ-79; газобаллонные пистолеты: МР-654К, МР-651, МР-661К "Дрозд" (2002); револьвер сигнальный РС-31 (2002); ружья: (2002): ИЖ-18М, ИЖ-27 "СПОРТИНГ", ИЖ-27М 12, ИЖ-39, ИЖ-43, ИЖ-81, «ИЖ-94 «Экспресс», МР-131К, МР-133, МР-213, МР-233, МР-153; пневматическая винтовка МР-513М (2002); УРВВ: К-8М, К-98, К-5М, К-40, Р-60; ПТУР: «Штурм-В», «Вихрь»; электрокардиостимулятор ЭКС-501 (1990-), физиотерапевтический прибор "Уро-Биофон".</w:t>
      </w:r>
    </w:p>
    <w:p w14:paraId="5B08791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622, Ижевский механический завод, ФГУП «Ижевский механический завод» РАВ</w:t>
      </w:r>
    </w:p>
    <w:p w14:paraId="6F1A8C4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426063 Удмуртия г. Ижевск, ул. Промышленная, 8 тел. 76-44-33 www.baikalinc.ru</w:t>
      </w:r>
    </w:p>
    <w:p w14:paraId="68842B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"Вектор"</w:t>
      </w:r>
    </w:p>
    <w:p w14:paraId="317C1D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гл. конструктор – Н.П. Парфенов (был на протяжении 14 лет) (10776).</w:t>
      </w:r>
    </w:p>
    <w:p w14:paraId="01877C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99E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г. был основан Ижевский механический завод (завод № 622 НКВ) (Завод № 622 НКВ, Ижевский механический завод, ФГУП «Ижевский механический завод» РАВ /Удмуртия 426063 г. Ижевск ул. Промышленная, 8 тел. 78-70-04/) для производства боевого стрелкового оружия. С 10.1944 г. началось строительство новых цехов для народнохозяйственной продукции. В 1949 г. создается производство по выпуску спортивно-охотничьего оружия. В 1951 г. впервые в стране создается крупносерийное производство точного стального литья, в том же году создается производство по выпуску горно</w:t>
      </w:r>
      <w:r w:rsidRPr="00722885">
        <w:rPr>
          <w:rFonts w:ascii="Times New Roman" w:hAnsi="Times New Roman"/>
          <w:color w:val="000000" w:themeColor="text1"/>
          <w:sz w:val="16"/>
          <w:szCs w:val="16"/>
        </w:rPr>
        <w:softHyphen/>
        <w:t>шахтного оборудования.</w:t>
      </w:r>
    </w:p>
    <w:p w14:paraId="62C8E88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1944 г. разработан первый серийный отечественный пневматический пистолет СПП (ИЖ-45) по образцу немецкого </w:t>
      </w:r>
      <w:r w:rsidRPr="00722885">
        <w:rPr>
          <w:rFonts w:ascii="Times New Roman" w:hAnsi="Times New Roman"/>
          <w:color w:val="000000" w:themeColor="text1"/>
          <w:sz w:val="16"/>
          <w:szCs w:val="16"/>
          <w:lang w:val="en-US"/>
        </w:rPr>
        <w:t>EM</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GE</w:t>
      </w:r>
      <w:r w:rsidRPr="00722885">
        <w:rPr>
          <w:rFonts w:ascii="Times New Roman" w:hAnsi="Times New Roman"/>
          <w:color w:val="000000" w:themeColor="text1"/>
          <w:sz w:val="16"/>
          <w:szCs w:val="16"/>
        </w:rPr>
        <w:t xml:space="preserve"> "</w:t>
      </w:r>
      <w:r w:rsidRPr="00722885">
        <w:rPr>
          <w:rFonts w:ascii="Times New Roman" w:hAnsi="Times New Roman"/>
          <w:color w:val="000000" w:themeColor="text1"/>
          <w:sz w:val="16"/>
          <w:szCs w:val="16"/>
          <w:lang w:val="en-US"/>
        </w:rPr>
        <w:t>Zenit</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vertAlign w:val="superscript"/>
        </w:rPr>
        <w:t>4</w:t>
      </w:r>
    </w:p>
    <w:p w14:paraId="508E2C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1958 г. на заводе освоено производство ракетной техники и электронных систем управления (ПТУР, ПЗРК, УРВВ). Создана ракета-мишень МС-8-ИЦ для Су-9 (1965 г.).</w:t>
      </w:r>
    </w:p>
    <w:p w14:paraId="794895A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1960 г. - производство двигателей для мотоциклов «Иж-Юпитер» (выпущено более 5 млн. штук). В 1965 г. построен новый производственный корпус по изготовлению заднего моста и карданного вала автомобилей «Москвич».</w:t>
      </w:r>
    </w:p>
    <w:p w14:paraId="70A2AF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1970 г. - производство печатных плат, с 1990 г. - производство изделий микроэлектроники. На базе контрольно-испытательной станции завода открыт «Государственный центр по испытанию огнестрельного оружия».</w:t>
      </w:r>
    </w:p>
    <w:p w14:paraId="2C361DA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советское время- крупнейший в мире производитель спортивно-охотничьего оружия (680 тыс. стволов в год).</w:t>
      </w:r>
    </w:p>
    <w:p w14:paraId="331B55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(2004 г.) спортивно-охотничьего, пневматического и служебного оружия; ручного электроинструмента; оборудования для добычи нефти; точного стального литья, штампов, пресс-форм; упаковки жидких и сыпучих продуктов; компрессоры для большегрузных автомобилей, карданные валы для автомобилей «Ода», «Жигули».</w:t>
      </w:r>
    </w:p>
    <w:p w14:paraId="3AB64DD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7ED4304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(25.12.2002-2003 г.-)- Н.П. Парфенов.</w:t>
      </w:r>
    </w:p>
    <w:p w14:paraId="2D4DF0F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гендиректора по финансам, экономике и управлению (2000 г.-)- Н.П. Парфенов. Зам. гендиректора по экономическим вопросам (1995 г.-)- В.П. Парфенов.</w:t>
      </w:r>
    </w:p>
    <w:p w14:paraId="2221D1E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(1960-66 г.)- В. Г. Садовников.</w:t>
      </w:r>
    </w:p>
    <w:p w14:paraId="067F52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по спортивно-охотничьему оружию (2002 г.)- А.У. Дорф.</w:t>
      </w:r>
    </w:p>
    <w:p w14:paraId="5D92BD8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КБ (2002 г.)- В. Шилов.</w:t>
      </w:r>
    </w:p>
    <w:p w14:paraId="617E2E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конструкторской группы: (-1978-90-е)- В. Ярыгин (ИЖ-35, 6П35, МР-446).</w:t>
      </w:r>
    </w:p>
    <w:p w14:paraId="40B977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(ВОВ): противотанковые ружья Дегтярева, Симонова, пистолет ТТ (1942-53), револьвер «Наган»; пистолеты: ПМ (1949-2002-), ПММ ИЖ-71, ИЖ-34М, ИЖ-35 (1978-), ИЖ-35М (1986-2002-), МР-448 «Скиф», «Байкал-442», ПСМ, МЦМ, 6П35 «Грач» (2000), МР-446 «Викинг», МР-451, МР-461 «Стражник» (2002); газовые пистолеты (2002): ИЖ-77, ИЖ-78, ИЖ-79; газобаллонные пистолеты: МР-654К, МР-651, МР-661К «Дрозд» (2002); револьвер сигнальный РС-31 (2002); ружья: ЗК, ИЖ-49 (1950-е), (2002): ИЖ-18М, ИЖ-27 «СТОРТИНГ», ИЖ-27М 12, ИЖ-39, ИЖ-43, ИЖ-81, «ИЖ-94 «Экспресс», МР-131К, МР-133, МР-213, МР-233, МР-153; пневматические: пистолет СПП (ИЖ-45, 1944-47)- 54.890, винтовки ПСР (-1948), МР-513М (2002); УРВБ: К-8М, К-98, К-5М, К-40, Р-60; ПТУР: «Штурм-В», «Вихрь»;</w:t>
      </w:r>
      <w:r w:rsidRPr="00722885">
        <w:rPr>
          <w:rFonts w:ascii="Times New Roman" w:hAnsi="Times New Roman"/>
          <w:color w:val="000000" w:themeColor="text1"/>
          <w:sz w:val="16"/>
          <w:szCs w:val="16"/>
          <w:vertAlign w:val="superscript"/>
        </w:rPr>
        <w:t>58</w:t>
      </w:r>
    </w:p>
    <w:p w14:paraId="261DB3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электрокардиостимулятор ЭКС-501 (1990-), физиотерапевтический прибор «Уро-Биофон»; ручной электроинструмент: дрели, перфораторы, лобзики, шлифовальные машины, пилы, рубанки (1994) (11982).</w:t>
      </w:r>
    </w:p>
    <w:p w14:paraId="5C8180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DA997"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в 1942 году для производства боевого стрелкового оружия основано ФГУП "Ижевский механический завод". Первыми выпускаемыми изделиями стали противотанковые ружья известных советских оружейников В.А.Дегтярева и С.Г.Симонова, автоматический пистолет Ф.В.Токарева «ТТ». За годы войны было выпущено более 130 тысяч противотанковых ружей, 1,3 миллиона пистолетов и револьверов, 250 тысяч осветительных пистолетов и других видов военной техники. С октября 1944 года на заводе строятся новые цехи, выпускающие продукцию для восстановления народного хозяйства. В 1949 году создается производство по выпуску спортивно-охотничьего оружия. Начато изготовление всемирно известного пистолета Макарова. В 1951 году впервые в стране создается крупносерийное производство точного стального литья по изготовлению заготовок для многих отраслей народного хозяйства. Тогда же создается производство по серийному выпуску горно-шахтного оборудования: пневмоперфораторы, пневмотрамбовки и пневмопистолеты. На сегодняшний день освоено более 100 базовых моделей охотничьих ружей, спортивных и пневматических винтовок и пистолетов. Всего выпущено около 17 милионов штук. В 1953 году прекращается производство пистолета «ТТ» и разворачивается серийное производство армейского пистолета Макарова (ПМ), и сегодня популярен во многих странах мира. Начиная с 1958 года, создаются наукоемкие производства по выпуску ракетной техники и электронных систем управления (противотанковые управляемые снаряды и ракеты, переносные зенитные комплексы и др.). В 1960 году организовано производство по выпуску двухцилиндровых двигателей для мотоциклов "Иж-Юпитер". За все время выпущено более 5 милионов штук. Двигатель с водяным охлаждением, последняя модель, в 1993 году прошел успешное испытание в мотопробеге Ижевск-Кейптаун по дорогам Африки. С 1965 года в связи со строительством автомобильного завода по выпуску малолитражных легковых автомобилей "Москвич", на предприятии организовано производство по изготовлению заднего моста и карданного вала автомобиля. Был построен новый производственный корпус. Сегодня производство выпускает компрессоры для обеспечения питания сжатым воздухом тормозных систем большегрузных автомобилей, несколько моделей карданных валов для легковых автомобилей "Ода", "Жигули" и др. В 1980 году на заводе разрабатывается и утверждается программа комплексно–целевого развития, включающая развитие и совершенствование производственно-технического потенциала, автоматизированной системы управления предприятием, социальное развитие коллектива. С 1990 года начинает выполняться программа "Развитие предприятия в рамках конверсии оборонной техники". Организуются комплексно-механизированные цехи по производству электробытовой техники, оборудования для агропромышленного комплекса, подвергаются реконструкции существующие. Осваивается выпуск фасовочного оборудования для упаковки жидких и сыпучих продуктов. Количество модификаций боевого, служебного и гражданского оружия увеличивается почти в 2 раза. Новинки ежегодно демонстрируются на международных ружейных выставках в США, Германии, Аргентине, ОАЭ, ЮАР и других государствах. Для выхода на мировые рынки создается внешнеторговая фирма "Байкал". Увеличивается объем продаж в разных странах мира. На базе контрольно-испытательной станции завода открыт "Государственный центр по испытанию огнестрельного оружия". С 1994 года предприятие выпускает ручной электроинструмент: перфораторы, электродрели, ленточно-шлифовальные машины, электрорубанки, дисковые пилы и др. Широкий перечень выполняемых ими работ позволяют использовать его как при слесарно-ремонтных работах, так и при строительстве. С 2001 года новые модели электроинструмента демонстрируются на международной выставке металлоизделий "IHF" в городе Кельн, Германия. На предприятии разработаны и выпускаются 6 моделей универсальных кухонных машин и более 20 типов насадок к ним. Используя опыт выпуска гироскопов для оборонной техники, с 1997 года начинается выпуск гироскопического инклинометра для нефтегазовой промышленности. Также для нефтегазовой промышленности изготавливается установка плунжерного газлифта, предназначенная для подъема нефти и газового конденсата. В России производится впервые и позволяет заменить импортные аналоги. За разработку и постановку на серийное производство новых моделей гражданского и служебного оружия присуждались премии Совета Министров СССР и Правительства Российской Федерации в области науки и техники. Многие специалисты удостоены высоких званий "Заслуженный конструктор Российской Федерации", "Заслуженный конструктор Удмуртской Республики", "Заслуженный машиностроитель Российской Федерации" и "Заслуженный машиностроитель Удмуртской Республики". Их самые последние работы – это новые модели помповых и самозарядныхружей, серии комбинированных охотничьих ружей и служебного оружия (14958).</w:t>
      </w:r>
    </w:p>
    <w:p w14:paraId="45CFF62C"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5623DA9D"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20 июля 1942 года на предложение завода №8 последовал ответ. Проект признали нецелесообразным и порекомендовали предварительно согласовывать с ГАУ КА подобные идеи, чтобы не тратить время. Дело в том, что первоначально в адрес Артиллерийского комитета ГАУ КА пришел проект не самоходной установки, а танка. Вместо САУ на базе Т-34 под руководством Петрова спроектировали артиллерийский танк, оснащенный гаубицей У-11. Переработанная для Т-34 система носила индекс У-22. Под неё КБ завода №183 проработало проект танка с несколько измененной башней. К слову, У-22 и Т-34 с этим орудием некоторые исследователи ошибочно приняли за самоходную установку, хотя это именно танк. Проект У-22 был создан в инициативном порядке и не вызвал одобрения у Арткома ГАУ.</w:t>
      </w:r>
    </w:p>
    <w:p w14:paraId="388690B4"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После неудачи с артиллерийским танком КБ завода №8 сконцентрировалось на самоходной установке. Точнее, на установках. Считая, что вариант с У-11 будет выглядеть более рационально, Петров отдал приоритет именно этому варианту, который получил обозначение ЗИК-10. Общая концепция самоходной установки сводилась к максимально возможному невмешательству в конструкцию Т-34. В этом смысле проект чем-то напоминал </w:t>
      </w:r>
      <w:hyperlink r:id="rId27" w:history="1">
        <w:r w:rsidRPr="00722885">
          <w:rPr>
            <w:rFonts w:ascii="Times New Roman" w:eastAsia="Times New Roman" w:hAnsi="Times New Roman"/>
            <w:color w:val="000000" w:themeColor="text1"/>
            <w:sz w:val="16"/>
            <w:szCs w:val="16"/>
            <w:lang w:eastAsia="ru-RU"/>
          </w:rPr>
          <w:t>штурмовой танк КВ-7</w:t>
        </w:r>
      </w:hyperlink>
      <w:r w:rsidRPr="00722885">
        <w:rPr>
          <w:rFonts w:ascii="Times New Roman" w:eastAsia="Times New Roman" w:hAnsi="Times New Roman"/>
          <w:color w:val="000000" w:themeColor="text1"/>
          <w:sz w:val="16"/>
          <w:szCs w:val="16"/>
          <w:lang w:eastAsia="ru-RU"/>
        </w:rPr>
        <w:t>, который создавался с минимальными вмешательствами в конструкцию КВ-1.</w:t>
      </w:r>
    </w:p>
    <w:p w14:paraId="1D6A10CD"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Требования минимального вмешательства в конструкцию базовой машины исходили от военных и в случае с самоходными установками часто приводили к ряду проблем. В случае с ЗИК-10 КБ завода №8 все же допустило некоторые вольности. Например, ширину боевого отделения удалось увеличить за счет меньшего угла наклона бортов рубки. Внутри была размещена установка У-11, которую поставили на рамке. Такое решение позволило обойтись без громоздкой тумбы и сделать боевое отделение более просторным.</w:t>
      </w:r>
    </w:p>
    <w:p w14:paraId="09133FEC"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Следуя требованиям минимального внесения изменений в конструкцию Т-34, сотрудники КБ завода №8 во многом оказались его заложниками. Хотя в целом эти требования были выполнены, именно они создали ряд проблем. Например, из-за них носовая часть машины получила своеобразную «ступеньку», причем верхняя ее часть имела угол наклона всего 15 градусов. С точки зрения снарядостойкости решение весьма спорное. Не менее спорно выглядели и люки в бортах рубки. Кроме того, у рубки отсутствовала крыша, что облегчало вентиляцию, но при этом создавало массу потенциальных проблем.</w:t>
      </w:r>
    </w:p>
    <w:p w14:paraId="42880418"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Боекомплект САУ оказался маловат – всего 32 выстрела.</w:t>
      </w:r>
    </w:p>
    <w:p w14:paraId="7711F1DE"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Похожие проблемы имел и второй проект КБ завода №8, получивший обозначение ЗИК-11. В отличие от ЗИК-10, здесь использовалась 122-мм гаубица М-30, как и было установлено тактико-техническими требованиями. Артиллерийская система практически не менялась по сравнению с серийной М-30. Откатные механизмы прикрывались массивной бронировкой, имелись новый механизм крепления по-походному и нижний станок с большим процентом использования деталей от М-30.</w:t>
      </w:r>
    </w:p>
    <w:p w14:paraId="0678DA19"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Как ни странно, с правого борта на ЗИК-11 места стало больше. Тем не менее, существовал высокий риск получить травму при стрельбе – ограждения у гаубицы не было </w:t>
      </w:r>
    </w:p>
    <w:p w14:paraId="65539BB7"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Несмотря на то, что тумбу все же пришлось делать, она получилась менее массивной, чем у StuG III и СГ-122. Стремление максимально унифицировать орудие ЗИК-10 и М-30 лишило систему ограждения. В боевой обстановке это было чревато несчастными случаями.</w:t>
      </w:r>
    </w:p>
    <w:p w14:paraId="5389A2E1"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Конструкция рубки в многом повторяла ту, что КБ завода №8 спроектировало для ЗИК-10. Вместе с тем, рубка ЗИК-11 получилась более рациональной. «Ступенька» в лобовой части имела здесь больший угол наклона. Боекомплект и укладки остались от ЗИК-10, но при этом размещались более рационально. Общая высота машины оказалась меньше – 2100 мм против 2270 мм у ЗИК-10. Кроме того, проем в крыше оказался меньшим.</w:t>
      </w:r>
    </w:p>
    <w:p w14:paraId="623A850D" w14:textId="77777777" w:rsidR="00B33D31" w:rsidRPr="00722885"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Оба проекта были представлены в Технический совет Народного комиссариата вооружения (НКВ), который, по вполне объективным причинам, выбрал ЗИК-11. Тем не менее, и эта машина вызвала ряд вопросов. Техсовет НКВ составил список замечаний и исправлений, которые требовалось внести в машину до начала ее изготовления в металле. Но до этого этапа дело, впрочем, так и не дошло. На тот момент возглавляемое Петровым конструкторское бюро работало сразу над четырьмя самоходными установками. Больший прогресс оказался по тяжелой САУ ЗИК-20, которую в итоге довели до состояния полноразмерного макета. Что же касается ЗИК-11, то эту машину ждала совсем другая судьба (17679).</w:t>
      </w:r>
    </w:p>
    <w:p w14:paraId="7A0F3277" w14:textId="77777777" w:rsidR="00B33D31" w:rsidRPr="00722885" w:rsidRDefault="00B33D31" w:rsidP="00722885">
      <w:pPr>
        <w:spacing w:after="0" w:line="240" w:lineRule="auto"/>
        <w:jc w:val="both"/>
        <w:rPr>
          <w:rFonts w:ascii="Times New Roman" w:hAnsi="Times New Roman"/>
          <w:color w:val="000000" w:themeColor="text1"/>
          <w:sz w:val="16"/>
          <w:szCs w:val="16"/>
        </w:rPr>
      </w:pPr>
    </w:p>
    <w:p w14:paraId="340FEAE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вышло Постановление ГКО № 2082 Об обеспечении ж.-д. транспорта рельсами путем замены на второстепенных линиях рельсов тяжелых типов легкими и разборки малодеятельных линий. (7045, 52-53,54-55).</w:t>
      </w:r>
    </w:p>
    <w:p w14:paraId="61B37A8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F97D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вышло Постановление ГКО № 2065 О форсировании строительства железной дороги Саратов-Сталинград. (7044, 120-120об.).</w:t>
      </w:r>
    </w:p>
    <w:p w14:paraId="7D21831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AF4E6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вышло Постановление ГКО № 2071 Об эвакуации металлорежущего и металлодавящего оборудования с предприятий г. Ленинграда. (7044, 130-132,133-165).</w:t>
      </w:r>
    </w:p>
    <w:p w14:paraId="25602DE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CE82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года постановлением ГКО за № 2067 был основан завод № 622 НКВ (9265).</w:t>
      </w:r>
    </w:p>
    <w:p w14:paraId="0E6DE1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16A08"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21FD90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8AE4DD"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в 1942 году утреннее сообщение Совинформбюро:</w:t>
      </w:r>
    </w:p>
    <w:p w14:paraId="467AABFB"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20 июля наши войска вели бои с противником в районе Воронежа.</w:t>
      </w:r>
    </w:p>
    <w:p w14:paraId="6B2490C6"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74D2FEE7"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части ведут упорную борьбу с перешедшим к обороне противником. Бой в одном населённом пункте, длившийся весь день, закончился победой наших пехотинцев и танкистов. На улицах села немцы потеряли только убитыми 1.500 солдат и офицеров. Дополнительно захвачены 5 орудий, две миномётные батареи. 24 пулемёта и склад с боеприпасами. На одном из участков гитлеровцы предприняли танковую контратаку. Наши артиллеристы и бронебойщики открыли огонь и подбили 7 немецких машин. Затем ударили с фланга наши тяжёлые танки. Потеряв ещё 12 танков, немцы отступили. На другом участке батальон немецкой пехоты пошёл в «психическую» атаку. Гитлеровцы шли в атаку пьяными. Огнём нашей артиллерии, миномётов и пулемётов почти все наступавшие немцы были уничтожены.</w:t>
      </w:r>
    </w:p>
    <w:p w14:paraId="5D89D13D"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Миллерова наши войска вели ожесточённые оборонительные бои с наступающими немецко-фашистскими войсками. На одном из участков гитлеровцы вклинились в боевые порядки наших частей. Ударами с флангов наши войска ликвидировали попытку противника прорвать нашу оборону. В этом бою фашисты потеряли свыше 1.200 человек убитыми, 15 танков, 10 орудий и 60 пулемётов. На другом участке наши войска под давлением численно превосходящих сил противника отошли на новые позиции.</w:t>
      </w:r>
    </w:p>
    <w:p w14:paraId="0B2CEB9A"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происходили столкновения с небольшими отрядами противника. Немецкая пехота силою до батальона атаковала подразделение старшего лейтенанта Махоркина. Наши бойцы огнём пехотного оружия отбили эту атаку. Гитлеровцы отступили, оставив на поле боя 80 убитых солдат и офицеров. Артиллеристы части, где командиром тов. Соколов, уничтожили миномётную батарею, орудие и рассеяли роту пехоты противника.</w:t>
      </w:r>
    </w:p>
    <w:p w14:paraId="55572FA3"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Красноармейца тов. Шестакова, направлявшегося с донесением на командный пункт, окружили шесть немецких солдат. Отважный боец из винтовки уничтожил всех шестерых гитлеровцев и своевременно доставил донесение командиру.</w:t>
      </w:r>
    </w:p>
    <w:p w14:paraId="0CCB5F01"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калининских партизан под руководством тов. Р. совершил ночной налёт на немецкий гарнизон в одном населённом пункте. Партизаны сняли часовых и по сигналу командира ворвались в дома, в которых разместились гитлеровцы. В рукопашной схватке партизаны истребили 85 немецких солдат и 8 офицеров.</w:t>
      </w:r>
    </w:p>
    <w:p w14:paraId="71085438"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Волховского фронта на сторону Красной Армии перешла группа поляков — солдат немецкой армии. Один из них — солдат 269 немецкой пехотной дивизии Вацлав М. рассказал: «Немецкие оккупанты ограбили Польшу, разорили население и расстреляли сотни тысяч жителей. Хозяйство моих родителей оккупационные власти отдали немецкому штурмовику. Отец и мать работают у него батраками. Многих крестьян немцы угнали неизвестно куда. За малейшее выражение недовольства поляков заключают в тюрьмы или расстреливают. Весной этого года немецкие власти призвали в армию поляков нескольких возрастов. Однако все, кто любит родину, не будут воевать против русских. Мы знаем, где наши враги и где наши друзья, и поэтому перешли на сторону Красной Армии».</w:t>
      </w:r>
    </w:p>
    <w:p w14:paraId="6793E4A6"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Госпитали Норвегии переполнены ранеными немецкими солдатами, прибывающими с советско-германского фронта. Немецкие власти заняли под лазареты все больницы,школы и многие частные дома. Отсутствие медицинского персонала и медикаментов вызывает чрезвычайно высокую смертность раненых. В некоторых госпиталях Осло умирает до 70 процентов раненых солдат.» (14958).</w:t>
      </w:r>
    </w:p>
    <w:p w14:paraId="2FB79B55"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31CEDC5A"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в 1942 году вечернее сообщение Совинформбюро:</w:t>
      </w:r>
    </w:p>
    <w:p w14:paraId="67E845AE"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20 июля наши войска вели бои в районе Воронежа и юго-восточнее города Ворошиловграда.</w:t>
      </w:r>
    </w:p>
    <w:p w14:paraId="54C60E02"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4D144ED9"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19 июля частями нашей авиации на различных участках фронта уничтожено или повреждено 40 немецких танков, 85 автомашин с войсками и грузами, 15 повозок, взорвано 8 складов с боеприпасами и 5 складов с горючим, подавлен огонь 8 батарей полевой и зенитной артиллерии, повреждён транспорт, рассеяно и частью уничтожено до четырёх рот пехоты противника.</w:t>
      </w:r>
    </w:p>
    <w:p w14:paraId="1F21B8CB"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Воронежа наши войска продолжают наносить удары по немецко-фашистским войскам. Наши части заняли несколько переправ через реку Дон. Авиация активно поддерживала наземные войска и бомбила вражеские позиции. Противник упорно обороняется, сооружает минные поля и лихорадочно строит укрепления. На одном из участков наша часть в течение дня вела бои с противником и несколько потеснила его. Получив подкрепление и стремясь вернуть потерянные позиции, </w:t>
      </w:r>
      <w:r w:rsidRPr="00722885">
        <w:rPr>
          <w:rFonts w:ascii="Times New Roman" w:hAnsi="Times New Roman"/>
          <w:color w:val="000000" w:themeColor="text1"/>
          <w:sz w:val="16"/>
          <w:szCs w:val="16"/>
        </w:rPr>
        <w:lastRenderedPageBreak/>
        <w:t>немцы предприняли атаку при поддержке танков. Наши бойцы встретили атакующих метким ружейно-пулемётным и миномётным огнём, а затем перешли в контратаку и опрокинули гитлеровцев. В этом бою противник потерял свыше 700 солдат и офицеров, 13 танков, 5 орудий, 18 пулемётов и 10 миномётов.</w:t>
      </w:r>
    </w:p>
    <w:p w14:paraId="6BBB150A"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Ворошиловграда наши войска вели упорные оборонительные бои. Советские бомбардировщики и штурмовики наносили удары по танкам, мотомехчастям и пехоте противника. Только на отдельных участках за два дня уничтожено 39 немецких танков, 95 автомашин с войсками и грузами, 10 автоцистерн с горючим, подавлен огонь 10 зенитно-пулемётных точек. Наши лётчики сбили в воздушных бояхи уничтожили на аэродромах 10 самолётов противника.</w:t>
      </w:r>
    </w:p>
    <w:p w14:paraId="032323E9"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Геройский подвиг совершил экипаж самолёта под командованием лётчика-сержанта Дивиченко. При бомбардировке вражеского аэродрома советский самолёт был подожжён огнём зенитной артиллерии и истребителя противника. Объятый пламенем, самолёт с бреющего полёта продолжал уничтожать немецкие самолёты, находившиеся на аэродроме. Когда были израсходованы все боеприпасы и стало ясно, что спасти самолёт уже нельзя, тов. Дивиченко принял решение нанести врагу последний удар и направил машину на колонну автоцистерн с горючим. Лётчики, участвовавшие в этом налёте, видели, как поднялись огромные клубы дыма и огня горящих автоцистерн. Смертью храбрых погибли сталинские соколы — сержант Дивиченко, штурман Журавлёв, стрелок-радист Мысиков и воздушный стрелок Ешов. Советский народ всегда будет помнить героев-лётчиков, до последней минуты своей жизни боровшихся за Родину.</w:t>
      </w:r>
    </w:p>
    <w:p w14:paraId="76255E1C"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полк пехоты противника атаковал передний край нашей обороны. Наши бойцы, отбив атаку немцев, на их плечах ворвались в район обороны противника, овладели 20 ДЗОТами и высотой, имеющей важное значение. Позднее гитлеровцы пытались восстановить положение, предприняли несколько контратак, но каждый раз, понеся большие потери, откатывались назад. На этом участке фронта противник потерял только убитыми более 200 солдат и офицеров.</w:t>
      </w:r>
    </w:p>
    <w:p w14:paraId="1298486B"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продолжались бои местного значения. Наши бойцы беспокоят немцев непрерывными налётами и истребляют их живую силу. Подразделение тов. Головарёва проникло в расположение противника и уничтожило 35 гитлеровцев. Гвардии красноармеец Черешнев вывел из строя 7 гитлеровцев.</w:t>
      </w:r>
    </w:p>
    <w:p w14:paraId="771EFF2B"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тов. С, действующий в одном из оккупированных немцами районов Сумской области, три дня вёл бой с крупной карательной экспедицией противника. Партизаны разгромили гитлеровцев и захватили бронемашину, 5 станковых пулемётов, 14 автоматов, 48 винтовок, боеприпасы и другое военное имущество. Немецко-фашистские оккупанты потеряли убитыми и ранеными 175 солдат и офицеров.</w:t>
      </w:r>
    </w:p>
    <w:p w14:paraId="7B300DB4"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Немецкий солдат Франц Бригнер, находившийся в резервном госпитале в Пудевице, писал недавно ефрейтору Стефану Шванду: «...Из нашего взвода, насчитывавшего 28 человек, уцелело только 5. Я был ранен, но могу считать себя счастливым, так какостался в живых. Скоро вернусь в Вельс и постараюсь остаться на родине, потому что нет ничего хуже, чем воевать с русскими. Здесь в госпитале я видел очень много страшного. Такая уйма калек!»</w:t>
      </w:r>
    </w:p>
    <w:p w14:paraId="7D8AA09B"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Гитлеровские людоеды истребляют мирное население оккупированных советских районов. В местечке Акимовка, Запорожской области, немцы согнали на площадь 110 женщин, детей, стариков и расстреляли их. В этом же местечке один эсэсовец вырвал из рук матери трёхлетнего мальчика, отрубил ему руки и ноги, а потом заколол штыком.» (14958).</w:t>
      </w:r>
    </w:p>
    <w:p w14:paraId="4A406201"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2D4CC7F3" w14:textId="77777777" w:rsidR="00087D2F" w:rsidRPr="00722885" w:rsidRDefault="00087D2F" w:rsidP="00722885">
      <w:pPr>
        <w:pStyle w:val="7f"/>
        <w:shd w:val="clear" w:color="auto" w:fill="auto"/>
        <w:spacing w:after="0" w:line="240" w:lineRule="auto"/>
        <w:rPr>
          <w:rFonts w:ascii="Times New Roman" w:hAnsi="Times New Roman" w:cs="Times New Roman"/>
          <w:color w:val="0070C0"/>
          <w:spacing w:val="0"/>
          <w:sz w:val="16"/>
          <w:szCs w:val="16"/>
        </w:rPr>
      </w:pPr>
      <w:r w:rsidRPr="00722885">
        <w:rPr>
          <w:rFonts w:ascii="Times New Roman" w:hAnsi="Times New Roman" w:cs="Times New Roman"/>
          <w:color w:val="0070C0"/>
          <w:spacing w:val="0"/>
          <w:sz w:val="16"/>
          <w:szCs w:val="16"/>
        </w:rPr>
        <w:t>Ночью 20 июня 1942 г. при посадке в Севастополе в бухте Казачей зацепил крылом воду и разбился ГСТ капитана Ивана Ивановича Липницкого, заместителя командира 80-й эска</w:t>
      </w:r>
      <w:r w:rsidRPr="00722885">
        <w:rPr>
          <w:rFonts w:ascii="Times New Roman" w:hAnsi="Times New Roman" w:cs="Times New Roman"/>
          <w:color w:val="0070C0"/>
          <w:spacing w:val="0"/>
          <w:sz w:val="16"/>
          <w:szCs w:val="16"/>
        </w:rPr>
        <w:softHyphen/>
        <w:t>дрильи по летной подготовке и воздуш</w:t>
      </w:r>
      <w:r w:rsidRPr="00722885">
        <w:rPr>
          <w:rFonts w:ascii="Times New Roman" w:hAnsi="Times New Roman" w:cs="Times New Roman"/>
          <w:color w:val="0070C0"/>
          <w:spacing w:val="0"/>
          <w:sz w:val="16"/>
          <w:szCs w:val="16"/>
        </w:rPr>
        <w:softHyphen/>
        <w:t>ному бою. Три члена экипажа были тя</w:t>
      </w:r>
      <w:r w:rsidRPr="00722885">
        <w:rPr>
          <w:rFonts w:ascii="Times New Roman" w:hAnsi="Times New Roman" w:cs="Times New Roman"/>
          <w:color w:val="0070C0"/>
          <w:spacing w:val="0"/>
          <w:sz w:val="16"/>
          <w:szCs w:val="16"/>
        </w:rPr>
        <w:softHyphen/>
        <w:t>жело ранены.</w:t>
      </w:r>
    </w:p>
    <w:p w14:paraId="759F72A4" w14:textId="77777777" w:rsidR="00087D2F" w:rsidRPr="00722885" w:rsidRDefault="00087D2F" w:rsidP="00722885">
      <w:pPr>
        <w:pStyle w:val="7f"/>
        <w:shd w:val="clear" w:color="auto" w:fill="auto"/>
        <w:spacing w:after="0" w:line="240" w:lineRule="auto"/>
        <w:rPr>
          <w:rFonts w:ascii="Times New Roman" w:hAnsi="Times New Roman" w:cs="Times New Roman"/>
          <w:color w:val="0070C0"/>
          <w:spacing w:val="0"/>
          <w:sz w:val="16"/>
          <w:szCs w:val="16"/>
        </w:rPr>
      </w:pPr>
      <w:r w:rsidRPr="00722885">
        <w:rPr>
          <w:rFonts w:ascii="Times New Roman" w:hAnsi="Times New Roman" w:cs="Times New Roman"/>
          <w:color w:val="0070C0"/>
          <w:spacing w:val="0"/>
          <w:sz w:val="16"/>
          <w:szCs w:val="16"/>
        </w:rPr>
        <w:t>В ту же ночь в Геленджикской бухте, стартуя для удара по немецким войскам, штурмующим Севастополь, потерпела катастрофу летающая лодка, пилотируемая командиром 80-й отдельной эска</w:t>
      </w:r>
      <w:r w:rsidRPr="00722885">
        <w:rPr>
          <w:rFonts w:ascii="Times New Roman" w:hAnsi="Times New Roman" w:cs="Times New Roman"/>
          <w:color w:val="0070C0"/>
          <w:spacing w:val="0"/>
          <w:sz w:val="16"/>
          <w:szCs w:val="16"/>
        </w:rPr>
        <w:softHyphen/>
        <w:t>дрильи капитаном Иваном Трофимови</w:t>
      </w:r>
      <w:r w:rsidRPr="00722885">
        <w:rPr>
          <w:rFonts w:ascii="Times New Roman" w:hAnsi="Times New Roman" w:cs="Times New Roman"/>
          <w:color w:val="0070C0"/>
          <w:spacing w:val="0"/>
          <w:sz w:val="16"/>
          <w:szCs w:val="16"/>
        </w:rPr>
        <w:softHyphen/>
        <w:t>чем Чебаником. Вместе с ним погибли второй пилот старший сержант Ковун Александр Сергеевич, стрелок-радист старший сержант Леонов Николай Вла</w:t>
      </w:r>
      <w:r w:rsidRPr="00722885">
        <w:rPr>
          <w:rFonts w:ascii="Times New Roman" w:hAnsi="Times New Roman" w:cs="Times New Roman"/>
          <w:color w:val="0070C0"/>
          <w:spacing w:val="0"/>
          <w:sz w:val="16"/>
          <w:szCs w:val="16"/>
        </w:rPr>
        <w:softHyphen/>
        <w:t>димирович, воздушный стрелок млад</w:t>
      </w:r>
      <w:r w:rsidRPr="00722885">
        <w:rPr>
          <w:rFonts w:ascii="Times New Roman" w:hAnsi="Times New Roman" w:cs="Times New Roman"/>
          <w:color w:val="0070C0"/>
          <w:spacing w:val="0"/>
          <w:sz w:val="16"/>
          <w:szCs w:val="16"/>
        </w:rPr>
        <w:softHyphen/>
        <w:t>ший сержант Псарев Егор Максимович, старший бортовой механик старшина Борисенко Петр Ильич. Получил ушибы, но был спасен штурман капитан Николай Александрович Сучков (19852).</w:t>
      </w:r>
    </w:p>
    <w:p w14:paraId="00FDF4B8" w14:textId="77777777" w:rsidR="00087D2F" w:rsidRPr="00722885" w:rsidRDefault="00087D2F" w:rsidP="00722885">
      <w:pPr>
        <w:pStyle w:val="7f"/>
        <w:shd w:val="clear" w:color="auto" w:fill="auto"/>
        <w:spacing w:after="0" w:line="240" w:lineRule="auto"/>
        <w:rPr>
          <w:rFonts w:ascii="Times New Roman" w:hAnsi="Times New Roman" w:cs="Times New Roman"/>
          <w:color w:val="0070C0"/>
          <w:spacing w:val="0"/>
          <w:sz w:val="16"/>
          <w:szCs w:val="16"/>
        </w:rPr>
      </w:pPr>
    </w:p>
    <w:p w14:paraId="22FC98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И.В.С. звонил в Сталинград и сказал, что пора перестать думать об отступлении (2070,73).</w:t>
      </w:r>
    </w:p>
    <w:p w14:paraId="4F6F91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416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директивой Сталина в Сталинграде была запрещена эвакуация на восточный берег Волги 450 тыс. сталинградцев, а так же 150тыс. беженцев, которые прибыли сюда в основном из Украины. Зато уже на третий день после получения директивы из города бешеными темпами начали переправлять в тыл заводское оборудование и имущество предприятий. На паромах и баржах через Волгу перевозились грузовики, трактора, комбайны и другая сельхозтехника, сотни тысяч голов скота. Вывозили даже заключенных из тюрем. Мирных же жителей к переправам не подпускали, им обещали, что город не сдадут. Впрочем, наиболее дальновидные граждане, чувствуя нарастающую опасность, все же покидали Сталинград по суше вместе со своими семьями, направляясь на север, в сторону Саратова, или на юго-восток, в Астрахань.</w:t>
      </w:r>
    </w:p>
    <w:p w14:paraId="174959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 город приходит копия постановления ГКО об отгрузке и вывозе из Сталинградской области запасов хлеба, в соответствии с которым было необходимо в течение месяца дополнительно отгрузить 540 тыс. т. В тот же день бюро обкома принимает постановление о практических мероприятиях по скорейшему сбору и вывозу всего лома цветных металлов с доставкой своим транспортом к железной дороге и пристаням. В зале заседаний Сталинградского горкома ВКП(б) в местном Кремле срочно собрался партийный актив города, в т.ч. представители предприятий, коммунальных служб, речного транспорта. Первый секретарь обкома Чуянов в нервозной обстановке сообщил присутствующим о полученных им указаниях из Москвы, суть которых состояла в следующем: покончить с эвакуационными настроениями, обеспечить бесперебойную работу промышленности, усилить ПВО. После этого по залу пронесся небольшой ропот негодования, ведь многие работники заводов уже паковали вещи в надежде на скорое решение об эвакуации из города, но вслух, естественно, никто не высказался. На партактиве также была обсуждена информация о состоянии с торговлей продуктами, обеспечением общественного порядка. Чуянов заявил, что обком располагает сведениями о заброске в районы области немецких агентов и диверсантов, задачей которых было вывести из строя важнейшие предприятия (11774).</w:t>
      </w:r>
    </w:p>
    <w:p w14:paraId="7404EE4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6A1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 221 дивизии произошел необычайный случаи. Сержант Дивиченко направил горящий бомбардировщик Boston A-20 на бензозаправщики, стоявшие на вражеском аэродроме. Но три члена экипажа из четырех остались живы: ударной волной их отбросило в овраг. Более того, они вернулись в полк. Сержант Дивиченко погиб позже, в декабре 1942 (3457,101).</w:t>
      </w:r>
    </w:p>
    <w:p w14:paraId="56DA53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C695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 боях под Ленинградом л-ш БФ Е.Г.Новицкий был подбит и ранен ЗА. Истекая кровью - вернулся. Потерял глаз. Вернулся и летал с одним. Стал ГСС (438,851).</w:t>
      </w:r>
    </w:p>
    <w:p w14:paraId="0CF1C7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845E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 20 июля по 17 августа 1942 в 8ВА было направлено 23 ап, около 450 самолетов (340,93).</w:t>
      </w:r>
    </w:p>
    <w:p w14:paraId="1B3B8CF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B76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вышло Постановление ГКО № 2070 О сооружении в р-нах Уэлькала и Оймякона деревянных решетчатых взлетно-посадочных полос и аэродрома. РГАНИР, Фонд ГКО, д. 45, лл. 126-128, 129 (11012).</w:t>
      </w:r>
    </w:p>
    <w:p w14:paraId="251B5B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56C79"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Жизнь и внутренняя политика:</w:t>
      </w:r>
    </w:p>
    <w:p w14:paraId="706F35C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6EC24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июля 1942 вышло Постановление ГКО № 2069 О вывозе хлеба из районов Сталинградской области. РГАНИР, Фонд ГКО, д. 45, лл. 124-125 (11012).</w:t>
      </w:r>
    </w:p>
    <w:p w14:paraId="351FCD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B1D0F"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6566830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BE187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А.И.Ш. писал директору завода 1 Третьякову письмо N 37/2818 (1649,287).</w:t>
      </w:r>
    </w:p>
    <w:p w14:paraId="1FBE1E9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процессе фронтовой эксплуатации на 1 кв. с.г. на самолетах Ил-2 выявлен ряд серьезных производственных дефектов, приводящих к преждевременному выходу самолетов из строя и срыву выполнения боевых заданий.</w:t>
      </w:r>
    </w:p>
    <w:p w14:paraId="5BA7927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Большинство дефектов является следствием небрежного изготовления и монтажа деталей в производстве, а также неудовлетворительного контроля продукции со стороны ОТК завода.</w:t>
      </w:r>
    </w:p>
    <w:p w14:paraId="46ABC2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Предлагаю Вам срочно провести мероприятия по устранению дефектов, указанных в направляемом перечне и в случаях допущения отступлений от установленных ТУ и Т применять самые строгие меры взысканий.</w:t>
      </w:r>
    </w:p>
    <w:p w14:paraId="46478F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 Основные производственные дефекты по самолету Ил-2 (1649,288).</w:t>
      </w:r>
    </w:p>
    <w:p w14:paraId="425A01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производственные дефекты по самолетам Ил-2</w:t>
      </w:r>
    </w:p>
    <w:p w14:paraId="11E7A68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Течь труб водосистемы, идущих к радиатору в местах сварных швов, вследствие некачественной сварки. Дефект массовый, приводит к вытеканию воды из системы, к перегреву мотора и невыполнения боевого задания.</w:t>
      </w:r>
    </w:p>
    <w:p w14:paraId="7EECF3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Течь горючего из бензопроводки вследствие плохого качества монтажа. Дефект массовый, не исключена возможность пожара в воздухе.</w:t>
      </w:r>
    </w:p>
    <w:p w14:paraId="633D70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Травление воздушной системы вследствие ее негерметичности, особенно при низких температурах. Дефект массовый, приводящий к отказам пневмосистемы и тормозов.</w:t>
      </w:r>
    </w:p>
    <w:p w14:paraId="47141D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Трещины среднего узла ломающегося подкоса шасси. Дефект в основном на продукции завода 18.</w:t>
      </w:r>
    </w:p>
    <w:p w14:paraId="69C450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5. Разрыв маслопетрофлексов, идущих к радиатору, вследствие плохого качества и плохой заделки наконечников (только на Брянском фронте в январе зафиксировано 12 случаев). Дефект массовый, приводит к срыву выполнения боевых заданий, авариям моторов и самолетов.</w:t>
      </w:r>
    </w:p>
    <w:p w14:paraId="2B55892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Выбрасывание масла из РС-7 и замасливание козырька пилота - дефект массовый, приводящий к ухудшению обзора вперед, что снижает боевые качества самолета.</w:t>
      </w:r>
    </w:p>
    <w:p w14:paraId="0B7B692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Срез крепления бронированных капотов и люков из-за плохой подгонки</w:t>
      </w:r>
    </w:p>
    <w:p w14:paraId="187D91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Трещины передних кронштейнов крепления пулеметов ШКАС в местах сварки</w:t>
      </w:r>
    </w:p>
    <w:p w14:paraId="243CF1A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Лопаются бронированные шланги тормозов (на самолетах завода 18). Только в 606 шап зарегистрировано 9 случаев</w:t>
      </w:r>
    </w:p>
    <w:p w14:paraId="511029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Проколы тормозной камеры вследствие небрежного монтажа пружины, скрепляющей тормозные секции (на самолетах завода 19). В 606 шап обнаружено 8 случаев.</w:t>
      </w:r>
    </w:p>
    <w:p w14:paraId="7406A2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Заплывают лобовые стекла фонаря л (появление режущих цветов), вследствие накачественного материала склейки. дефект выявлен на последних самолетах выпуска завода 16. искажает обзор вперед и снижает боевые качества самолетов.</w:t>
      </w:r>
    </w:p>
    <w:p w14:paraId="3D8440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Дефекты в п. 4, 7, 8, 9, 10 приводят к преждевременному выходу матчасти из строя и срыву боевых заданий.</w:t>
      </w:r>
    </w:p>
    <w:p w14:paraId="159E6A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Составлено по материалам инспекции ВВС КА - о конструктивно-производственных дефектах самолета Ил-2, выявленных в процессе эксплуатации за 1 кв. 1942.</w:t>
      </w:r>
    </w:p>
    <w:p w14:paraId="797977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Верно: Бендерский (1649,288).</w:t>
      </w:r>
    </w:p>
    <w:p w14:paraId="43F0A5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C2C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вышел приказ НКАП N 553сс "О вооружении самолетов ЛаГГ-3 и Як-7 пушками калибра 37 мм" в исполнение постановления ГКО N ГОКО 2066сс от 20 июля 1941:</w:t>
      </w:r>
    </w:p>
    <w:p w14:paraId="0DF665C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Директорам заводов 21 Гостинцеву и 153 Романову и ГК А.С.Я. и С.А.Л.:</w:t>
      </w:r>
    </w:p>
    <w:p w14:paraId="40AAB5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выпустить с завода 21 готовых к бою к 15 августа 20 и к 1 сентября 1942 следующие 20 ЛаГГ-3 с вооружением - одна пушка 37 мм с боезапасом 20 снарядов и один БС</w:t>
      </w:r>
    </w:p>
    <w:p w14:paraId="700B2A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выпустить с завода 153 готовых к бою к 5 сентября 1942 20 як-7 с вооружением - одна пушка 37 мм с боезапасом 20 снарядов и один БС</w:t>
      </w:r>
    </w:p>
    <w:p w14:paraId="777B2F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Этим же постановлением ГКО поручил А.С.Я. и С.А.Л. совместно со Шпитальным проверить возможность размещения на самолетах Як-7 и ЛаГГ-3 боекомплекта в 30 снарядов вместо 20 и и результаты доложить 5 августа 1942 (1567,63).</w:t>
      </w:r>
    </w:p>
    <w:p w14:paraId="4BCBB4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685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ОКБ-16 НКВ предъявило на повторные испытания пушку 11-П N-2, насчитанную на патрон без буртика, унифицированный с находящимся в серийном производстве, и по 17 августа 1942, пушка, установленная на самолете ЛаГГ-3 N 312197, проходила повторные полигонные испытания в филиале НИП АВ ВВС КА (Ногинск) (263,170). Было произведено 2867 выстрелов, включая 1314 выстрелов в воздухе в ходе 42 полетов (263,173). Повторные полигонные испытания пушка выдержала (263,174).</w:t>
      </w:r>
    </w:p>
    <w:p w14:paraId="0690426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решению управления Опытного Строительства ГИ ИАС ВВС КА:</w:t>
      </w:r>
    </w:p>
    <w:p w14:paraId="67512E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Отчет по повторным полигонным испытаниям 37-мм авиационной пушки 11-П N 2 на самолете ЛаГГ-3.</w:t>
      </w:r>
    </w:p>
    <w:p w14:paraId="3061B7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Просить НКомиссара вооружения СССР - изготовить в 1942 60 шт. 37-мм пушек ОКБ-16;</w:t>
      </w:r>
    </w:p>
    <w:p w14:paraId="2FC36B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Просить НКомиссара авиационной промышленности СССР вооружить в 1942 37-мм пушками ОКБ-16 20 самолетов ЛаГГ-3 и 20 самолетов Ил-2 за счет программы выпускаемых самолетов для ВВС КА;</w:t>
      </w:r>
    </w:p>
    <w:p w14:paraId="76EDF7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Из двух систем 37-мм пушек (ОКБ-15 и ОКБ-16) лучшей системой по данным полигонных испытаний является 37-мм пушка ОКБ-16 НКВ, что видно из следующей оценки: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B487A" w:rsidRPr="00722885" w14:paraId="4AA47DA1" w14:textId="77777777" w:rsidTr="00CC5360">
        <w:tc>
          <w:tcPr>
            <w:tcW w:w="5636" w:type="dxa"/>
            <w:tcBorders>
              <w:top w:val="single" w:sz="12" w:space="0" w:color="auto"/>
            </w:tcBorders>
          </w:tcPr>
          <w:p w14:paraId="22375C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37-мм пушка 11-П ОКБ-16 НКВ</w:t>
            </w:r>
          </w:p>
        </w:tc>
        <w:tc>
          <w:tcPr>
            <w:tcW w:w="5636" w:type="dxa"/>
            <w:tcBorders>
              <w:top w:val="single" w:sz="12" w:space="0" w:color="auto"/>
            </w:tcBorders>
          </w:tcPr>
          <w:p w14:paraId="40D1C5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37-мм пушка ОКБ-15</w:t>
            </w:r>
          </w:p>
        </w:tc>
      </w:tr>
      <w:tr w:rsidR="009B487A" w:rsidRPr="00722885" w14:paraId="53066D35" w14:textId="77777777" w:rsidTr="00CC5360">
        <w:tc>
          <w:tcPr>
            <w:tcW w:w="5636" w:type="dxa"/>
          </w:tcPr>
          <w:p w14:paraId="23746E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36" w:type="dxa"/>
          </w:tcPr>
          <w:p w14:paraId="44C84B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7CDD538C" w14:textId="77777777" w:rsidTr="00CC5360">
        <w:tc>
          <w:tcPr>
            <w:tcW w:w="5636" w:type="dxa"/>
          </w:tcPr>
          <w:p w14:paraId="38986B1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На самолет Ил-2 пушка может</w:t>
            </w:r>
          </w:p>
        </w:tc>
        <w:tc>
          <w:tcPr>
            <w:tcW w:w="5636" w:type="dxa"/>
          </w:tcPr>
          <w:p w14:paraId="4A5012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В крыльевом варианте на самолете</w:t>
            </w:r>
          </w:p>
        </w:tc>
      </w:tr>
      <w:tr w:rsidR="009B487A" w:rsidRPr="00722885" w14:paraId="196B6D65" w14:textId="77777777" w:rsidTr="00CC5360">
        <w:tc>
          <w:tcPr>
            <w:tcW w:w="5636" w:type="dxa"/>
          </w:tcPr>
          <w:p w14:paraId="51DB12E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быть установлена без конструкти-</w:t>
            </w:r>
          </w:p>
        </w:tc>
        <w:tc>
          <w:tcPr>
            <w:tcW w:w="5636" w:type="dxa"/>
          </w:tcPr>
          <w:p w14:paraId="5C71EB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И-2 пушка имеет 387 деталей. Для пе-</w:t>
            </w:r>
          </w:p>
        </w:tc>
      </w:tr>
      <w:tr w:rsidR="009B487A" w:rsidRPr="00722885" w14:paraId="2F0E4A16" w14:textId="77777777" w:rsidTr="00CC5360">
        <w:tc>
          <w:tcPr>
            <w:tcW w:w="5636" w:type="dxa"/>
          </w:tcPr>
          <w:p w14:paraId="495086D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вных изменений самой пушки. Ко-</w:t>
            </w:r>
          </w:p>
        </w:tc>
        <w:tc>
          <w:tcPr>
            <w:tcW w:w="5636" w:type="dxa"/>
          </w:tcPr>
          <w:p w14:paraId="3151ED6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рехода от моторного варианта к крыль-</w:t>
            </w:r>
          </w:p>
        </w:tc>
      </w:tr>
      <w:tr w:rsidR="009B487A" w:rsidRPr="00722885" w14:paraId="26EB0A40" w14:textId="77777777" w:rsidTr="00CC5360">
        <w:tc>
          <w:tcPr>
            <w:tcW w:w="5636" w:type="dxa"/>
          </w:tcPr>
          <w:p w14:paraId="523CFF8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личество деталей отстается тоже.</w:t>
            </w:r>
          </w:p>
        </w:tc>
        <w:tc>
          <w:tcPr>
            <w:tcW w:w="5636" w:type="dxa"/>
          </w:tcPr>
          <w:p w14:paraId="092336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евому пушка требует дополнительного</w:t>
            </w:r>
          </w:p>
        </w:tc>
      </w:tr>
      <w:tr w:rsidR="009B487A" w:rsidRPr="00722885" w14:paraId="550B9E95" w14:textId="77777777" w:rsidTr="00CC5360">
        <w:tc>
          <w:tcPr>
            <w:tcW w:w="5636" w:type="dxa"/>
          </w:tcPr>
          <w:p w14:paraId="21F5044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Крепление пушки несколько упро-</w:t>
            </w:r>
          </w:p>
        </w:tc>
        <w:tc>
          <w:tcPr>
            <w:tcW w:w="5636" w:type="dxa"/>
          </w:tcPr>
          <w:p w14:paraId="4FB104A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производства новых 100 деталей....</w:t>
            </w:r>
          </w:p>
        </w:tc>
      </w:tr>
      <w:tr w:rsidR="009B487A" w:rsidRPr="00722885" w14:paraId="18CDC5D3" w14:textId="77777777" w:rsidTr="00CC5360">
        <w:tc>
          <w:tcPr>
            <w:tcW w:w="5636" w:type="dxa"/>
          </w:tcPr>
          <w:p w14:paraId="39CF8A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1092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Крепление пушки усложняется. Вариан-</w:t>
            </w:r>
          </w:p>
        </w:tc>
      </w:tr>
      <w:tr w:rsidR="009B487A" w:rsidRPr="00722885" w14:paraId="256C71EC" w14:textId="77777777" w:rsidTr="00CC5360">
        <w:tc>
          <w:tcPr>
            <w:tcW w:w="5636" w:type="dxa"/>
          </w:tcPr>
          <w:p w14:paraId="292AF6E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04F188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ты пушек моторной и крыльевой</w:t>
            </w:r>
          </w:p>
        </w:tc>
      </w:tr>
      <w:tr w:rsidR="009B487A" w:rsidRPr="00722885" w14:paraId="5205DFBF" w14:textId="77777777" w:rsidTr="00CC5360">
        <w:tc>
          <w:tcPr>
            <w:tcW w:w="5636" w:type="dxa"/>
          </w:tcPr>
          <w:p w14:paraId="4C5B28D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03AFC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различны</w:t>
            </w:r>
          </w:p>
        </w:tc>
      </w:tr>
      <w:tr w:rsidR="009B487A" w:rsidRPr="00722885" w14:paraId="5F53B1B6" w14:textId="77777777" w:rsidTr="00CC5360">
        <w:tc>
          <w:tcPr>
            <w:tcW w:w="5636" w:type="dxa"/>
          </w:tcPr>
          <w:p w14:paraId="46657F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Боекомплект от конструкции</w:t>
            </w:r>
          </w:p>
        </w:tc>
        <w:tc>
          <w:tcPr>
            <w:tcW w:w="5636" w:type="dxa"/>
          </w:tcPr>
          <w:p w14:paraId="3ED729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Боекомплект зависит от конструкции</w:t>
            </w:r>
          </w:p>
        </w:tc>
      </w:tr>
      <w:tr w:rsidR="009B487A" w:rsidRPr="00722885" w14:paraId="6323CBAD" w14:textId="77777777" w:rsidTr="00CC5360">
        <w:tc>
          <w:tcPr>
            <w:tcW w:w="5636" w:type="dxa"/>
          </w:tcPr>
          <w:p w14:paraId="28D571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пушки не зависит. Для самолета</w:t>
            </w:r>
          </w:p>
        </w:tc>
        <w:tc>
          <w:tcPr>
            <w:tcW w:w="5636" w:type="dxa"/>
          </w:tcPr>
          <w:p w14:paraId="1F6E3C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пушки. Магазин предназначен для пре-</w:t>
            </w:r>
          </w:p>
        </w:tc>
      </w:tr>
      <w:tr w:rsidR="009B487A" w:rsidRPr="00722885" w14:paraId="22736E49" w14:textId="77777777" w:rsidTr="00CC5360">
        <w:tc>
          <w:tcPr>
            <w:tcW w:w="5636" w:type="dxa"/>
          </w:tcPr>
          <w:p w14:paraId="6F49908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ЛаГГ-3 он равен 36 патронам,</w:t>
            </w:r>
          </w:p>
        </w:tc>
        <w:tc>
          <w:tcPr>
            <w:tcW w:w="5636" w:type="dxa"/>
          </w:tcPr>
          <w:p w14:paraId="743B4F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дельного количества патронов в зави-</w:t>
            </w:r>
          </w:p>
        </w:tc>
      </w:tr>
      <w:tr w:rsidR="009B487A" w:rsidRPr="00722885" w14:paraId="63B89878" w14:textId="77777777" w:rsidTr="00CC5360">
        <w:tc>
          <w:tcPr>
            <w:tcW w:w="5636" w:type="dxa"/>
          </w:tcPr>
          <w:p w14:paraId="415AA5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самолета Ил-2 боекомплект</w:t>
            </w:r>
          </w:p>
        </w:tc>
        <w:tc>
          <w:tcPr>
            <w:tcW w:w="5636" w:type="dxa"/>
          </w:tcPr>
          <w:p w14:paraId="4D8789A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симости от варианта пушки (моторной,</w:t>
            </w:r>
          </w:p>
        </w:tc>
      </w:tr>
      <w:tr w:rsidR="009B487A" w:rsidRPr="00722885" w14:paraId="4E5D83DB" w14:textId="77777777" w:rsidTr="00CC5360">
        <w:tc>
          <w:tcPr>
            <w:tcW w:w="5636" w:type="dxa"/>
          </w:tcPr>
          <w:p w14:paraId="3BBE146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может быть значительно увеличен.</w:t>
            </w:r>
          </w:p>
        </w:tc>
        <w:tc>
          <w:tcPr>
            <w:tcW w:w="5636" w:type="dxa"/>
          </w:tcPr>
          <w:p w14:paraId="062180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крыльевой. Боекомплект для моторного</w:t>
            </w:r>
          </w:p>
        </w:tc>
      </w:tr>
      <w:tr w:rsidR="009B487A" w:rsidRPr="00722885" w14:paraId="5BC43710" w14:textId="77777777" w:rsidTr="00CC5360">
        <w:tc>
          <w:tcPr>
            <w:tcW w:w="5636" w:type="dxa"/>
          </w:tcPr>
          <w:p w14:paraId="749859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3B32C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варианта равен 20 патронам, для кры-</w:t>
            </w:r>
          </w:p>
        </w:tc>
      </w:tr>
      <w:tr w:rsidR="009B487A" w:rsidRPr="00722885" w14:paraId="523D5A6E" w14:textId="77777777" w:rsidTr="00CC5360">
        <w:tc>
          <w:tcPr>
            <w:tcW w:w="5636" w:type="dxa"/>
          </w:tcPr>
          <w:p w14:paraId="118156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9DE5A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льевого - 40 патронам.</w:t>
            </w:r>
          </w:p>
        </w:tc>
      </w:tr>
      <w:tr w:rsidR="009B487A" w:rsidRPr="00722885" w14:paraId="29C6DBE7" w14:textId="77777777" w:rsidTr="00CC5360">
        <w:tc>
          <w:tcPr>
            <w:tcW w:w="5636" w:type="dxa"/>
          </w:tcPr>
          <w:p w14:paraId="16C314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Вес пушки с установкой на</w:t>
            </w:r>
          </w:p>
        </w:tc>
        <w:tc>
          <w:tcPr>
            <w:tcW w:w="5636" w:type="dxa"/>
          </w:tcPr>
          <w:p w14:paraId="54E67FE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Вес пушки с установкой на самолете</w:t>
            </w:r>
          </w:p>
        </w:tc>
      </w:tr>
      <w:tr w:rsidR="009B487A" w:rsidRPr="00722885" w14:paraId="657D9672" w14:textId="77777777" w:rsidTr="00CC5360">
        <w:tc>
          <w:tcPr>
            <w:tcW w:w="5636" w:type="dxa"/>
          </w:tcPr>
          <w:p w14:paraId="4CEEEB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ЛаГГ-3 183.2 кДля самолета</w:t>
            </w:r>
          </w:p>
        </w:tc>
        <w:tc>
          <w:tcPr>
            <w:tcW w:w="5636" w:type="dxa"/>
          </w:tcPr>
          <w:p w14:paraId="04DB20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ЛаГГ-3 208.4 кг, на самолете Ил-2 -</w:t>
            </w:r>
          </w:p>
        </w:tc>
      </w:tr>
      <w:tr w:rsidR="009B487A" w:rsidRPr="00722885" w14:paraId="720FDB31" w14:textId="77777777" w:rsidTr="00CC5360">
        <w:tc>
          <w:tcPr>
            <w:tcW w:w="5636" w:type="dxa"/>
          </w:tcPr>
          <w:p w14:paraId="1E0174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Ил-2 вес пушки с установкой</w:t>
            </w:r>
          </w:p>
        </w:tc>
        <w:tc>
          <w:tcPr>
            <w:tcW w:w="5636" w:type="dxa"/>
          </w:tcPr>
          <w:p w14:paraId="38E2DB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302.5 кг</w:t>
            </w:r>
          </w:p>
        </w:tc>
      </w:tr>
      <w:tr w:rsidR="009B487A" w:rsidRPr="00722885" w14:paraId="2B4332C1" w14:textId="77777777" w:rsidTr="00CC5360">
        <w:tc>
          <w:tcPr>
            <w:tcW w:w="5636" w:type="dxa"/>
          </w:tcPr>
          <w:p w14:paraId="6558D9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будет не больше, чем моторной.</w:t>
            </w:r>
          </w:p>
        </w:tc>
        <w:tc>
          <w:tcPr>
            <w:tcW w:w="5636" w:type="dxa"/>
          </w:tcPr>
          <w:p w14:paraId="1CA61A1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3C89F93B" w14:textId="77777777" w:rsidTr="00CC5360">
        <w:tc>
          <w:tcPr>
            <w:tcW w:w="5636" w:type="dxa"/>
          </w:tcPr>
          <w:p w14:paraId="4BFEE68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Темп стрельбы пушки, уста-</w:t>
            </w:r>
          </w:p>
        </w:tc>
        <w:tc>
          <w:tcPr>
            <w:tcW w:w="5636" w:type="dxa"/>
          </w:tcPr>
          <w:p w14:paraId="0CDE059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Темп стрельбы крыльевых пушек</w:t>
            </w:r>
          </w:p>
        </w:tc>
      </w:tr>
      <w:tr w:rsidR="009B487A" w:rsidRPr="00722885" w14:paraId="5A1A5BAF" w14:textId="77777777" w:rsidTr="00CC5360">
        <w:tc>
          <w:tcPr>
            <w:tcW w:w="5636" w:type="dxa"/>
          </w:tcPr>
          <w:p w14:paraId="142B11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новленной на ЛаГГ-3:</w:t>
            </w:r>
          </w:p>
        </w:tc>
        <w:tc>
          <w:tcPr>
            <w:tcW w:w="5636" w:type="dxa"/>
          </w:tcPr>
          <w:p w14:paraId="5357606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данным полигонных испытаний</w:t>
            </w:r>
          </w:p>
        </w:tc>
      </w:tr>
      <w:tr w:rsidR="009B487A" w:rsidRPr="00722885" w14:paraId="4DF0725A" w14:textId="77777777" w:rsidTr="00CC5360">
        <w:tc>
          <w:tcPr>
            <w:tcW w:w="5636" w:type="dxa"/>
          </w:tcPr>
          <w:p w14:paraId="403C239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средний -258</w:t>
            </w:r>
          </w:p>
        </w:tc>
        <w:tc>
          <w:tcPr>
            <w:tcW w:w="5636" w:type="dxa"/>
          </w:tcPr>
          <w:p w14:paraId="5E2F0C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самолете Ил-2 в среднем равен</w:t>
            </w:r>
          </w:p>
        </w:tc>
      </w:tr>
      <w:tr w:rsidR="009B487A" w:rsidRPr="00722885" w14:paraId="52BDD7A4" w14:textId="77777777" w:rsidTr="00CC5360">
        <w:tc>
          <w:tcPr>
            <w:tcW w:w="5636" w:type="dxa"/>
          </w:tcPr>
          <w:p w14:paraId="1C5FBA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крыльевой пушки тем оста-</w:t>
            </w:r>
          </w:p>
        </w:tc>
        <w:tc>
          <w:tcPr>
            <w:tcW w:w="5636" w:type="dxa"/>
          </w:tcPr>
          <w:p w14:paraId="1F92832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169 в/мин.</w:t>
            </w:r>
          </w:p>
        </w:tc>
      </w:tr>
      <w:tr w:rsidR="009B487A" w:rsidRPr="00722885" w14:paraId="638E35DA" w14:textId="77777777" w:rsidTr="00CC5360">
        <w:tc>
          <w:tcPr>
            <w:tcW w:w="5636" w:type="dxa"/>
            <w:tcBorders>
              <w:bottom w:val="single" w:sz="12" w:space="0" w:color="auto"/>
            </w:tcBorders>
          </w:tcPr>
          <w:p w14:paraId="5806871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ется тем же</w:t>
            </w:r>
          </w:p>
        </w:tc>
        <w:tc>
          <w:tcPr>
            <w:tcW w:w="5636" w:type="dxa"/>
            <w:tcBorders>
              <w:bottom w:val="single" w:sz="12" w:space="0" w:color="auto"/>
            </w:tcBorders>
          </w:tcPr>
          <w:p w14:paraId="0D7884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1B4DA0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 По эксплуатации на самолете ЛаГГ-3 и по эффективности действия снаряда у цели пушки обоих систем практически одинаковы.</w:t>
      </w:r>
    </w:p>
    <w:p w14:paraId="721D966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 37-мм пушка ОКБ-16 по плану опытного строительства ВВС КА на 1942 предусмотрена для установки в крыле двухмоторных штурмовиков, где она монтируется внутри крыла. Монтаж пушки ОКБ-15 внутри крыла из-за большого габарита невозможен.</w:t>
      </w:r>
    </w:p>
    <w:p w14:paraId="74201F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Учитывая, что наиболее эффективным снарядом в авиации для борьбы с танками является снаряд калибра 37-мм и что в настоящее время удовлетворение запросов фронта по этому калибру можно быстро осуществить путем восстановления налаженного производства 37-мм пушек ОКБ-15, УОС ГУ ИАС ВВС КА считает необходимым продолжать производство пушек ОКБ-15.</w:t>
      </w:r>
    </w:p>
    <w:p w14:paraId="0F6EC7E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Вопрос о вводе на вооружение ВВС КА пушек калибра 37 мм решить после сравнения результатов боевого применения пушек ОКБ-15 и ОКБ-16 (263,176).</w:t>
      </w:r>
    </w:p>
    <w:p w14:paraId="27F83AA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E8F39"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21 июля по 17 августа 1942 г. 37-мм пушка 11П № 2 ОКБ-16 в пе</w:t>
      </w:r>
      <w:r w:rsidRPr="00722885">
        <w:rPr>
          <w:color w:val="000000" w:themeColor="text1"/>
          <w:sz w:val="16"/>
          <w:szCs w:val="16"/>
        </w:rPr>
        <w:softHyphen/>
        <w:t>риод успешно прошла повторные летные полигонные испытания на самолете ЛаГГ-3 зав. № 312197. Отчет по испы</w:t>
      </w:r>
      <w:r w:rsidRPr="00722885">
        <w:rPr>
          <w:color w:val="000000" w:themeColor="text1"/>
          <w:sz w:val="16"/>
          <w:szCs w:val="16"/>
        </w:rPr>
        <w:softHyphen/>
        <w:t>таниям был утвержден главным инженером ВВС КА генерал-лейтенантом Репиным 26 августа.</w:t>
      </w:r>
    </w:p>
    <w:p w14:paraId="72F98241"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Испытания проводились филиалом НИП АВ ВВС в Ногинске. Ведущим инженером по испытаниям был назначен инженер-майор Филиппов, помощ</w:t>
      </w:r>
      <w:r w:rsidRPr="00722885">
        <w:rPr>
          <w:color w:val="000000" w:themeColor="text1"/>
          <w:sz w:val="16"/>
          <w:szCs w:val="16"/>
        </w:rPr>
        <w:softHyphen/>
        <w:t>ником ведущего инженера — старший техник-лей</w:t>
      </w:r>
      <w:r w:rsidRPr="00722885">
        <w:rPr>
          <w:color w:val="000000" w:themeColor="text1"/>
          <w:sz w:val="16"/>
          <w:szCs w:val="16"/>
        </w:rPr>
        <w:softHyphen/>
        <w:t>тенант Гурьев. Испытания обеспечивала бригада в составе техников-испытателей сержантов Филип</w:t>
      </w:r>
      <w:r w:rsidRPr="00722885">
        <w:rPr>
          <w:color w:val="000000" w:themeColor="text1"/>
          <w:sz w:val="16"/>
          <w:szCs w:val="16"/>
        </w:rPr>
        <w:softHyphen/>
        <w:t>пова и Ярулина, младшего специалиста сержанта Лубышева, техника-расчетчика — Хитровой, авиа</w:t>
      </w:r>
      <w:r w:rsidRPr="00722885">
        <w:rPr>
          <w:color w:val="000000" w:themeColor="text1"/>
          <w:sz w:val="16"/>
          <w:szCs w:val="16"/>
        </w:rPr>
        <w:softHyphen/>
        <w:t>механика техника-лейтенанта Василевского, авиа</w:t>
      </w:r>
      <w:r w:rsidRPr="00722885">
        <w:rPr>
          <w:color w:val="000000" w:themeColor="text1"/>
          <w:sz w:val="16"/>
          <w:szCs w:val="16"/>
        </w:rPr>
        <w:softHyphen/>
        <w:t>механика старшины Шалагинова. Летал летчик-ис</w:t>
      </w:r>
      <w:r w:rsidRPr="00722885">
        <w:rPr>
          <w:color w:val="000000" w:themeColor="text1"/>
          <w:sz w:val="16"/>
          <w:szCs w:val="16"/>
        </w:rPr>
        <w:softHyphen/>
        <w:t>пытатель капитан Кравченко. Позже техника-рас</w:t>
      </w:r>
      <w:r w:rsidRPr="00722885">
        <w:rPr>
          <w:color w:val="000000" w:themeColor="text1"/>
          <w:sz w:val="16"/>
          <w:szCs w:val="16"/>
        </w:rPr>
        <w:softHyphen/>
        <w:t>четчика Хитрову заменили техником-лейтенантом Громовым.</w:t>
      </w:r>
    </w:p>
    <w:p w14:paraId="6906DDE3"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доработки под штатный патрон, на пушке 11П № 2 была изменена конструкция заще</w:t>
      </w:r>
      <w:r w:rsidRPr="00722885">
        <w:rPr>
          <w:color w:val="000000" w:themeColor="text1"/>
          <w:sz w:val="16"/>
          <w:szCs w:val="16"/>
        </w:rPr>
        <w:softHyphen/>
        <w:t>лок затвора (что привело к упрощению формы за</w:t>
      </w:r>
      <w:r w:rsidRPr="00722885">
        <w:rPr>
          <w:color w:val="000000" w:themeColor="text1"/>
          <w:sz w:val="16"/>
          <w:szCs w:val="16"/>
        </w:rPr>
        <w:softHyphen/>
        <w:t>твора), бойка (с целью повышения его живучести и улучшения конструктивной формы ударника) и стопора затыльника. Изготовлено новое звено с измененной формой шарнира, увеличенной жест</w:t>
      </w:r>
      <w:r w:rsidRPr="00722885">
        <w:rPr>
          <w:color w:val="000000" w:themeColor="text1"/>
          <w:sz w:val="16"/>
          <w:szCs w:val="16"/>
        </w:rPr>
        <w:softHyphen/>
        <w:t>кости и более простое в производстве. Патронная коробка теперь состояла из двух частей. Это по</w:t>
      </w:r>
      <w:r w:rsidRPr="00722885">
        <w:rPr>
          <w:color w:val="000000" w:themeColor="text1"/>
          <w:sz w:val="16"/>
          <w:szCs w:val="16"/>
        </w:rPr>
        <w:softHyphen/>
        <w:t>зволяло снимать и ставить патронную коробку без демонтажа пулеметов БС. Улучшен подвод ленты в рукава к приемнику. Поставлен предохранитель на кнопку электропневмопуска. Переделаны кон</w:t>
      </w:r>
      <w:r w:rsidRPr="00722885">
        <w:rPr>
          <w:color w:val="000000" w:themeColor="text1"/>
          <w:sz w:val="16"/>
          <w:szCs w:val="16"/>
        </w:rPr>
        <w:softHyphen/>
        <w:t>струкции звеньеотвода, заднего поддерживающе</w:t>
      </w:r>
      <w:r w:rsidRPr="00722885">
        <w:rPr>
          <w:color w:val="000000" w:themeColor="text1"/>
          <w:sz w:val="16"/>
          <w:szCs w:val="16"/>
        </w:rPr>
        <w:softHyphen/>
        <w:t>го крепления пушки, гашеток пневмоперезарядки пушки, гильзозвеньесборника. Сделан отсос газов из гильзозвеньесборника. Боекомплект к пушке со</w:t>
      </w:r>
      <w:r w:rsidRPr="00722885">
        <w:rPr>
          <w:color w:val="000000" w:themeColor="text1"/>
          <w:sz w:val="16"/>
          <w:szCs w:val="16"/>
        </w:rPr>
        <w:softHyphen/>
        <w:t>ставил 36 снарядов.</w:t>
      </w:r>
    </w:p>
    <w:p w14:paraId="477B4B6B"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испытаниях пушка продемонстрировала вы</w:t>
      </w:r>
      <w:r w:rsidRPr="00722885">
        <w:rPr>
          <w:color w:val="000000" w:themeColor="text1"/>
          <w:sz w:val="16"/>
          <w:szCs w:val="16"/>
        </w:rPr>
        <w:softHyphen/>
        <w:t>сокую надежность в работе, дав всего 0,54% задер</w:t>
      </w:r>
      <w:r w:rsidRPr="00722885">
        <w:rPr>
          <w:color w:val="000000" w:themeColor="text1"/>
          <w:sz w:val="16"/>
          <w:szCs w:val="16"/>
        </w:rPr>
        <w:softHyphen/>
        <w:t>жек. Из 3359 выстрелов (в том числе 492 — в за</w:t>
      </w:r>
      <w:r w:rsidRPr="00722885">
        <w:rPr>
          <w:color w:val="000000" w:themeColor="text1"/>
          <w:sz w:val="16"/>
          <w:szCs w:val="16"/>
        </w:rPr>
        <w:softHyphen/>
        <w:t>водских условиях), произведенных на испытаниях, 1314 выстрелов было выполнено в воздухе в 42 по</w:t>
      </w:r>
      <w:r w:rsidRPr="00722885">
        <w:rPr>
          <w:color w:val="000000" w:themeColor="text1"/>
          <w:sz w:val="16"/>
          <w:szCs w:val="16"/>
        </w:rPr>
        <w:softHyphen/>
        <w:t>летах, остальные — на земле. Причем в 27 полетах боекомплект был расстрелян полностью без задер жек. Живучесть пушки лимитировалась поломкой затыльника после 1657 выстрелов и хвостовика ударника после 2231 выстрела.</w:t>
      </w:r>
    </w:p>
    <w:p w14:paraId="60092EAC"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Установка пушки на самолете обеспечила впол</w:t>
      </w:r>
      <w:r w:rsidRPr="00722885">
        <w:rPr>
          <w:color w:val="000000" w:themeColor="text1"/>
          <w:sz w:val="16"/>
          <w:szCs w:val="16"/>
        </w:rPr>
        <w:softHyphen/>
        <w:t>не нормальную работу пушки при выполнении 2802 выстрелов. Слабым местом оказался опор</w:t>
      </w:r>
      <w:r w:rsidRPr="00722885">
        <w:rPr>
          <w:color w:val="000000" w:themeColor="text1"/>
          <w:sz w:val="16"/>
          <w:szCs w:val="16"/>
        </w:rPr>
        <w:softHyphen/>
        <w:t>ный подшипник ствола в храповике винта, кото</w:t>
      </w:r>
      <w:r w:rsidRPr="00722885">
        <w:rPr>
          <w:color w:val="000000" w:themeColor="text1"/>
          <w:sz w:val="16"/>
          <w:szCs w:val="16"/>
        </w:rPr>
        <w:softHyphen/>
        <w:t>рый сломался после 2094 выстрелов. Основное силовое крепление пушки к мотору — передний суппорт, воспринимающий усилие отдачи, вы</w:t>
      </w:r>
      <w:r w:rsidRPr="00722885">
        <w:rPr>
          <w:color w:val="000000" w:themeColor="text1"/>
          <w:sz w:val="16"/>
          <w:szCs w:val="16"/>
        </w:rPr>
        <w:softHyphen/>
        <w:t>держал 4256 выстрелов и свою живучесть не ис</w:t>
      </w:r>
      <w:r w:rsidRPr="00722885">
        <w:rPr>
          <w:color w:val="000000" w:themeColor="text1"/>
          <w:sz w:val="16"/>
          <w:szCs w:val="16"/>
        </w:rPr>
        <w:softHyphen/>
        <w:t>черпал (учтено количество выстрелов, произве</w:t>
      </w:r>
      <w:r w:rsidRPr="00722885">
        <w:rPr>
          <w:color w:val="000000" w:themeColor="text1"/>
          <w:sz w:val="16"/>
          <w:szCs w:val="16"/>
        </w:rPr>
        <w:softHyphen/>
        <w:t>денных при первых полигонных испытаниях пуш</w:t>
      </w:r>
      <w:r w:rsidRPr="00722885">
        <w:rPr>
          <w:color w:val="000000" w:themeColor="text1"/>
          <w:sz w:val="16"/>
          <w:szCs w:val="16"/>
        </w:rPr>
        <w:softHyphen/>
        <w:t>ки 11П № 1).</w:t>
      </w:r>
    </w:p>
    <w:p w14:paraId="5B505E6A"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заключению капитана Кравченко, техника пилотирования самолетом по сравнению с серий</w:t>
      </w:r>
      <w:r w:rsidRPr="00722885">
        <w:rPr>
          <w:color w:val="000000" w:themeColor="text1"/>
          <w:sz w:val="16"/>
          <w:szCs w:val="16"/>
        </w:rPr>
        <w:softHyphen/>
        <w:t>ными машинами не изменилась. Вести стрельбу длинными очередями не рекомендовалось, так как уже после 4—5 выстрелов самолет начинает раска</w:t>
      </w:r>
      <w:r w:rsidRPr="00722885">
        <w:rPr>
          <w:color w:val="000000" w:themeColor="text1"/>
          <w:sz w:val="16"/>
          <w:szCs w:val="16"/>
        </w:rPr>
        <w:softHyphen/>
        <w:t>чиваться и наводка на цель сбивается.</w:t>
      </w:r>
    </w:p>
    <w:p w14:paraId="3542F1DC"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заключении акта по испытаниям отмечалось, что «предъявленная ОКБ-16 НКВ 37-мм авиаци</w:t>
      </w:r>
      <w:r w:rsidRPr="00722885">
        <w:rPr>
          <w:color w:val="000000" w:themeColor="text1"/>
          <w:sz w:val="16"/>
          <w:szCs w:val="16"/>
        </w:rPr>
        <w:softHyphen/>
        <w:t>онная пушка 11-П № 2, установленная в развале мотора М-105П самолета ЛаГГ-3, повторные полигонные испытания выдержала».</w:t>
      </w:r>
    </w:p>
    <w:p w14:paraId="6445473B"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результатам стрельб госу</w:t>
      </w:r>
      <w:r w:rsidRPr="00722885">
        <w:rPr>
          <w:color w:val="000000" w:themeColor="text1"/>
          <w:sz w:val="16"/>
          <w:szCs w:val="16"/>
        </w:rPr>
        <w:softHyphen/>
        <w:t>дарственной комиссией был сделан вывод, что «...из двух систем 37-мм пушек (ОКБ-15 и ОКБ-16) лучшей системой, по данным полигонных испытаний, является 37-мм пушка ОКБ-16 НКВ».</w:t>
      </w:r>
    </w:p>
    <w:p w14:paraId="50CA991F"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Пушка 11П имела явные пре</w:t>
      </w:r>
      <w:r w:rsidRPr="00722885">
        <w:rPr>
          <w:color w:val="000000" w:themeColor="text1"/>
          <w:sz w:val="16"/>
          <w:szCs w:val="16"/>
        </w:rPr>
        <w:softHyphen/>
        <w:t>имущества по весу и количеству деталей самой пушки и пушечных установок на самолетах ЛаГГ-3 и Ил-2, а также по размеру боеком</w:t>
      </w:r>
      <w:r w:rsidRPr="00722885">
        <w:rPr>
          <w:color w:val="000000" w:themeColor="text1"/>
          <w:sz w:val="16"/>
          <w:szCs w:val="16"/>
        </w:rPr>
        <w:softHyphen/>
        <w:t>плекта и темпу стрельбы. К тому же пушка 11П допускала неподвижное крепление на самолете вместе с па</w:t>
      </w:r>
      <w:r w:rsidRPr="00722885">
        <w:rPr>
          <w:color w:val="000000" w:themeColor="text1"/>
          <w:sz w:val="16"/>
          <w:szCs w:val="16"/>
        </w:rPr>
        <w:softHyphen/>
        <w:t>тронным ящиком, что значительно упрощало конструкцию установки. При этом поскольку автоматика пушки построена на принципе от</w:t>
      </w:r>
      <w:r w:rsidRPr="00722885">
        <w:rPr>
          <w:color w:val="000000" w:themeColor="text1"/>
          <w:sz w:val="16"/>
          <w:szCs w:val="16"/>
        </w:rPr>
        <w:softHyphen/>
        <w:t>дачи ствола с коротким ходом, то она была малочувствительна к за</w:t>
      </w:r>
      <w:r w:rsidRPr="00722885">
        <w:rPr>
          <w:color w:val="000000" w:themeColor="text1"/>
          <w:sz w:val="16"/>
          <w:szCs w:val="16"/>
        </w:rPr>
        <w:softHyphen/>
        <w:t>грязнению. В ходе повторных испытаний пушка нормально работала без чистки и смазки в течение 7 суток, за время которых произведен 1201 вы</w:t>
      </w:r>
      <w:r w:rsidRPr="00722885">
        <w:rPr>
          <w:color w:val="000000" w:themeColor="text1"/>
          <w:sz w:val="16"/>
          <w:szCs w:val="16"/>
        </w:rPr>
        <w:softHyphen/>
        <w:t>стрел, при периодической чистке только запира</w:t>
      </w:r>
      <w:r w:rsidRPr="00722885">
        <w:rPr>
          <w:color w:val="000000" w:themeColor="text1"/>
          <w:sz w:val="16"/>
          <w:szCs w:val="16"/>
        </w:rPr>
        <w:softHyphen/>
        <w:t>ющего механизма. Кроме того, пушку 11П ОКБ-16 по плану опытного строительства ВВС КА на 1942 г. предполагалось установить в крыле двухмотор</w:t>
      </w:r>
      <w:r w:rsidRPr="00722885">
        <w:rPr>
          <w:color w:val="000000" w:themeColor="text1"/>
          <w:sz w:val="16"/>
          <w:szCs w:val="16"/>
        </w:rPr>
        <w:softHyphen/>
        <w:t>ных штурмовиков. Тогда как пушку ОКБ-15 внутри крыла из-за больших габаритов разместить невоз</w:t>
      </w:r>
      <w:r w:rsidRPr="00722885">
        <w:rPr>
          <w:color w:val="000000" w:themeColor="text1"/>
          <w:sz w:val="16"/>
          <w:szCs w:val="16"/>
        </w:rPr>
        <w:softHyphen/>
        <w:t>можно.</w:t>
      </w:r>
    </w:p>
    <w:p w14:paraId="07610951"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решении Управления опытного строительства ГУ ИАС ВВС по результатам испытаний предлага</w:t>
      </w:r>
      <w:r w:rsidRPr="00722885">
        <w:rPr>
          <w:color w:val="000000" w:themeColor="text1"/>
          <w:sz w:val="16"/>
          <w:szCs w:val="16"/>
        </w:rPr>
        <w:softHyphen/>
        <w:t>лось: «2. Просить Народного Комиссара вооруже</w:t>
      </w:r>
      <w:r w:rsidRPr="00722885">
        <w:rPr>
          <w:color w:val="000000" w:themeColor="text1"/>
          <w:sz w:val="16"/>
          <w:szCs w:val="16"/>
        </w:rPr>
        <w:softHyphen/>
        <w:t>ния СССР — изготовить в 1942 г. 60 шт. 37-мм пушек ОКБ-16. 3. Просить Народного Комиссара авиаци</w:t>
      </w:r>
      <w:r w:rsidRPr="00722885">
        <w:rPr>
          <w:color w:val="000000" w:themeColor="text1"/>
          <w:sz w:val="16"/>
          <w:szCs w:val="16"/>
        </w:rPr>
        <w:softHyphen/>
        <w:t>онной промышленности СССР вооружить в 1942 г. 37-мм пушками ОКБ-16 20 самолетов ЛаГГ-3 и 20 са</w:t>
      </w:r>
      <w:r w:rsidRPr="00722885">
        <w:rPr>
          <w:color w:val="000000" w:themeColor="text1"/>
          <w:sz w:val="16"/>
          <w:szCs w:val="16"/>
        </w:rPr>
        <w:softHyphen/>
        <w:t>молетов Ил-2 в счет программы выпускаемых само</w:t>
      </w:r>
      <w:r w:rsidRPr="00722885">
        <w:rPr>
          <w:color w:val="000000" w:themeColor="text1"/>
          <w:sz w:val="16"/>
          <w:szCs w:val="16"/>
        </w:rPr>
        <w:softHyphen/>
        <w:t>летов для ВВС Красной Армии. /.../ 5. Учитывая, что наиболее эффективным снарядом в авиации для борьбы с танками является снаряд калибра 37 мм и что в настоящее время удовлетворение запросов фронта по этому калибру можно быстро осуще ствить путем восстановления налаженного произ</w:t>
      </w:r>
      <w:r w:rsidRPr="00722885">
        <w:rPr>
          <w:color w:val="000000" w:themeColor="text1"/>
          <w:sz w:val="16"/>
          <w:szCs w:val="16"/>
        </w:rPr>
        <w:softHyphen/>
        <w:t>водства 37-мм пушек ОКБ-15, Управление опытного строительства ГУ ИАС ВВС КА считает необходимым продолжать производство пушек ОКБ-15. 6. Вопрос о вводе на вооружение ВВС КА пушек калибра 37 мм решить после сравнения результатов боево</w:t>
      </w:r>
      <w:r w:rsidRPr="00722885">
        <w:rPr>
          <w:color w:val="000000" w:themeColor="text1"/>
          <w:sz w:val="16"/>
          <w:szCs w:val="16"/>
        </w:rPr>
        <w:softHyphen/>
        <w:t>го применения пушек ОКБ-15 и ОКБ-16» (17500).</w:t>
      </w:r>
    </w:p>
    <w:p w14:paraId="30AF0DBE" w14:textId="77777777" w:rsidR="00C114EC" w:rsidRPr="00722885" w:rsidRDefault="00C114EC" w:rsidP="00722885">
      <w:pPr>
        <w:spacing w:after="0" w:line="240" w:lineRule="auto"/>
        <w:jc w:val="both"/>
        <w:rPr>
          <w:rFonts w:ascii="Times New Roman" w:hAnsi="Times New Roman"/>
          <w:color w:val="000000" w:themeColor="text1"/>
          <w:sz w:val="16"/>
          <w:szCs w:val="16"/>
        </w:rPr>
      </w:pPr>
    </w:p>
    <w:p w14:paraId="46AEF708" w14:textId="77777777" w:rsidR="00526171" w:rsidRPr="00722885" w:rsidRDefault="00526171"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 xml:space="preserve">С 21 июля по 17 августа 1942 </w:t>
      </w:r>
      <w:r w:rsidRPr="00722885">
        <w:rPr>
          <w:rStyle w:val="af0"/>
          <w:i w:val="0"/>
          <w:color w:val="000000" w:themeColor="text1"/>
          <w:sz w:val="16"/>
          <w:szCs w:val="16"/>
          <w:bdr w:val="none" w:sz="0" w:space="0" w:color="auto" w:frame="1"/>
        </w:rPr>
        <w:t xml:space="preserve">ЛаГГ-3 (с.н. 312197) с НС-37 </w:t>
      </w:r>
      <w:r w:rsidRPr="00722885">
        <w:rPr>
          <w:color w:val="000000" w:themeColor="text1"/>
          <w:sz w:val="16"/>
          <w:szCs w:val="16"/>
        </w:rPr>
        <w:t>успешно прошел повторные госиспытания на полигоне в подмосковном Ногинске. Но от пожеланий до принятия окончательного решения порой проходит слишком много времени и приходится преодолевать значительные трудности. На этот раз, опять же по воспоминаниям Нудельмана, на пути перспективного орудия встал Шпитальный, который был вхож к Сталину. В этой ситуации еще неизвестный в Кремле Нудельман, как он сам утверждал, решил лично обратиться к Сталину.</w:t>
      </w:r>
    </w:p>
    <w:p w14:paraId="4147D2E9" w14:textId="77777777" w:rsidR="00526171" w:rsidRPr="00722885" w:rsidRDefault="00526171"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Данный факт воспоминаний А.Э. Нудельмана вызывает некоторые сомнения. На тот момент ОКБ-16 руководил К.К. Глухарев. Трудно себе представить, чтобы ведущий конструктор, минуя свое непосредственное начальство, обращался непосредственно к руководству страны по вполне служебному вопросу. Тем не менее, судя по всему, до сведения Сталина, так или иначе, довели информацию о пушке ОКБ-16.</w:t>
      </w:r>
    </w:p>
    <w:p w14:paraId="7B7308C9" w14:textId="77777777" w:rsidR="00526171" w:rsidRPr="00722885" w:rsidRDefault="00526171"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К тому времени на фронте уже летали несколько десятков ЛаГГов, вооруженных 37-мм моторпушками Шпитального Ш-37, и Илов с парой крыльевых ШФК-37. Это мощное оружие производило у военных двоякое впечатление. С одной стороны могущество боеприпаса резко повышало массу залпа, но с другой, непомерная масса, превышавшая 300 кг, неудобное магазинное питание, снижало эффективность комплекса «самолет-пушка» в целом.</w:t>
      </w:r>
    </w:p>
    <w:p w14:paraId="0725068D" w14:textId="77777777" w:rsidR="00526171" w:rsidRPr="00722885" w:rsidRDefault="00526171"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то же время пушка 11-П ОКБ-16 выгодно контрастировала с детищем Шпитального.  При схожих габаритах она весила почти вдвое меньше, имело питание из условно бесконечной рассыпной ленты, позволявшей сделать систему гораздо компактнее, стреляла в полтора раза быстрее. Автоматика пушки, как уже указывалось выше, работала на основе короткого отката ствола. Канал ствола запирался продольно-скользящим поршневым затвором. Ускоритель кулачкового типа закреплен на неподвижной части автомата. Стрельба велась с открытого затвора. Противооткатные устройства пушки состояли из гидравлических тормоза отката и тормоза наката. Надежность и безотказность такой схемы обеспечивается принудительностью подачи и досылки патронов на всем пути движения, а также принудительностью экстракции и удаления стреляной гильзы из автомата. К недостаткам пушки относился пружинный буфер в казенной части пушки, который при гашении избыточной энергии подвижных частей пушки в заднем их положении приводил к пиковым нагрузкам отдачи. Несколько портил картину также нештатный патрон с буртом 37х198В, но коллективом Нудельмана и Суранова удалось оперативно переработать пушку под серийный патрон Шпитального 37х198 мм без бурта на гильзе. Тем не менее, общая характеристика пушки 11-П выглядела выигрышно (19170).</w:t>
      </w:r>
    </w:p>
    <w:p w14:paraId="327908B2" w14:textId="77777777" w:rsidR="00526171" w:rsidRPr="00722885" w:rsidRDefault="00526171" w:rsidP="00722885">
      <w:pPr>
        <w:pStyle w:val="rtejustify"/>
        <w:shd w:val="clear" w:color="auto" w:fill="FFFFFF"/>
        <w:spacing w:before="0" w:beforeAutospacing="0" w:after="0" w:afterAutospacing="0"/>
        <w:jc w:val="both"/>
        <w:textAlignment w:val="baseline"/>
        <w:rPr>
          <w:color w:val="000000" w:themeColor="text1"/>
          <w:sz w:val="16"/>
          <w:szCs w:val="16"/>
        </w:rPr>
      </w:pPr>
    </w:p>
    <w:p w14:paraId="684F545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г. в одном из вылетов у старшего лейтенанта Тихонова снаряды пробили все три лопа</w:t>
      </w:r>
      <w:r w:rsidRPr="00722885">
        <w:rPr>
          <w:rFonts w:ascii="Times New Roman" w:hAnsi="Times New Roman"/>
          <w:color w:val="000000" w:themeColor="text1"/>
          <w:sz w:val="16"/>
          <w:szCs w:val="16"/>
        </w:rPr>
        <w:softHyphen/>
        <w:t>сти винта из-за так называемого эффекта «затянуто</w:t>
      </w:r>
      <w:r w:rsidRPr="00722885">
        <w:rPr>
          <w:rFonts w:ascii="Times New Roman" w:hAnsi="Times New Roman"/>
          <w:color w:val="000000" w:themeColor="text1"/>
          <w:sz w:val="16"/>
          <w:szCs w:val="16"/>
        </w:rPr>
        <w:softHyphen/>
        <w:t>го выстрела» — явления, связанного со слишком медленным горением пороха (9984).</w:t>
      </w:r>
    </w:p>
    <w:p w14:paraId="4663E9A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8315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был утвержден отчет о гос. испытаниях Як-1б, которые проходили с 4 по 14 июля 1942 (796,4).</w:t>
      </w:r>
    </w:p>
    <w:p w14:paraId="0F58D5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DD1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21 июля по конец сентября 1942 на аэродром Арское поле под Казанью на ЛИС 22 завода проходили испытания Пе-2 М-82 АВ-5Л-118А, который был выведен с завода еще 30 июня 1943, но потом доделывался. Для переделки использовали машину N 19/31, который строился как эталонная машина для 125 завода. На машине смонтировали и ВУБ-2 с УБТ. для улучшения центровки колеса вынесли вперед на 60 мм и вес вырос на 400 кг (2205,37).</w:t>
      </w:r>
    </w:p>
    <w:p w14:paraId="6D50DF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B253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года был выполнен первый вылет опытного Пе-2 с 2 М-82 (Пе-4), но затем потребова</w:t>
      </w:r>
      <w:r w:rsidRPr="00722885">
        <w:rPr>
          <w:rFonts w:ascii="Times New Roman" w:hAnsi="Times New Roman"/>
          <w:color w:val="000000" w:themeColor="text1"/>
          <w:sz w:val="16"/>
          <w:szCs w:val="16"/>
        </w:rPr>
        <w:softHyphen/>
        <w:t>лась длительная доводка ВМГ по уп</w:t>
      </w:r>
      <w:r w:rsidRPr="00722885">
        <w:rPr>
          <w:rFonts w:ascii="Times New Roman" w:hAnsi="Times New Roman"/>
          <w:color w:val="000000" w:themeColor="text1"/>
          <w:sz w:val="16"/>
          <w:szCs w:val="16"/>
        </w:rPr>
        <w:softHyphen/>
        <w:t>равлению нормальным газом и капо</w:t>
      </w:r>
      <w:r w:rsidRPr="00722885">
        <w:rPr>
          <w:rFonts w:ascii="Times New Roman" w:hAnsi="Times New Roman"/>
          <w:color w:val="000000" w:themeColor="text1"/>
          <w:sz w:val="16"/>
          <w:szCs w:val="16"/>
        </w:rPr>
        <w:softHyphen/>
        <w:t>там. Только в апреле 1943 года нача</w:t>
      </w:r>
      <w:r w:rsidRPr="00722885">
        <w:rPr>
          <w:rFonts w:ascii="Times New Roman" w:hAnsi="Times New Roman"/>
          <w:color w:val="000000" w:themeColor="text1"/>
          <w:sz w:val="16"/>
          <w:szCs w:val="16"/>
        </w:rPr>
        <w:softHyphen/>
        <w:t>лись госиспытания в НИИ ВВС. Пе-2 с 2 М-82 показал несколько более высокие скорости, чем самолет с 2М-105РА, но дальность полета уменьши</w:t>
      </w:r>
      <w:r w:rsidRPr="00722885">
        <w:rPr>
          <w:rFonts w:ascii="Times New Roman" w:hAnsi="Times New Roman"/>
          <w:color w:val="000000" w:themeColor="text1"/>
          <w:sz w:val="16"/>
          <w:szCs w:val="16"/>
        </w:rPr>
        <w:softHyphen/>
        <w:t>лась. В 1943 году была постро</w:t>
      </w:r>
      <w:r w:rsidRPr="00722885">
        <w:rPr>
          <w:rFonts w:ascii="Times New Roman" w:hAnsi="Times New Roman"/>
          <w:color w:val="000000" w:themeColor="text1"/>
          <w:sz w:val="16"/>
          <w:szCs w:val="16"/>
        </w:rPr>
        <w:softHyphen/>
        <w:t>ена малая серия (32 шт. по данным Д.Б. Хазанова) самолетов Пе-2 с 2 М-82Ф (10723).</w:t>
      </w:r>
    </w:p>
    <w:p w14:paraId="3F204B5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F6E23B"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г. выполнили первый вы</w:t>
      </w:r>
      <w:r w:rsidRPr="00722885">
        <w:rPr>
          <w:rFonts w:ascii="Times New Roman" w:hAnsi="Times New Roman"/>
          <w:color w:val="000000" w:themeColor="text1"/>
          <w:sz w:val="16"/>
          <w:szCs w:val="16"/>
        </w:rPr>
        <w:softHyphen/>
        <w:t>лет опытного Пе-2 с 2 М-82 (Пе-4), но затем потребо</w:t>
      </w:r>
      <w:r w:rsidRPr="00722885">
        <w:rPr>
          <w:rFonts w:ascii="Times New Roman" w:hAnsi="Times New Roman"/>
          <w:color w:val="000000" w:themeColor="text1"/>
          <w:sz w:val="16"/>
          <w:szCs w:val="16"/>
        </w:rPr>
        <w:softHyphen/>
        <w:t>валась длительная доводка ВМГ по управлению нормальным газом и капотами. Только в апреле 1943 г. начались госиспытания в НИИ ВВС. Пе-2 с 2 М-82 показал несколько более высокие скорости, чем с 2М-105РА, но дальность полёта уменьшилась. В 1943 г. построили малую серию (32 шт.</w:t>
      </w:r>
      <w:r w:rsidRPr="00722885">
        <w:rPr>
          <w:rFonts w:ascii="Times New Roman" w:hAnsi="Times New Roman"/>
          <w:color w:val="000000" w:themeColor="text1"/>
          <w:sz w:val="16"/>
          <w:szCs w:val="16"/>
          <w:vertAlign w:val="superscript"/>
        </w:rPr>
        <w:t>3</w:t>
      </w:r>
      <w:r w:rsidRPr="00722885">
        <w:rPr>
          <w:rFonts w:ascii="Times New Roman" w:hAnsi="Times New Roman"/>
          <w:color w:val="000000" w:themeColor="text1"/>
          <w:sz w:val="16"/>
          <w:szCs w:val="16"/>
        </w:rPr>
        <w:t>) бомберов Пе-2 с 2 М-82Ф (15829).</w:t>
      </w:r>
    </w:p>
    <w:p w14:paraId="1E51CFEC"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43A246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после устранения выявленных дефектов состоялся первый полет Пе-2 М-82 (Пе-4). К концу сентября Пе-2 с М-82 выполнил 17 полетов и налетал 15 ч. Все полеты были связаны с отладкой работы винтомоторной группы.</w:t>
      </w:r>
    </w:p>
    <w:p w14:paraId="43677A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переделки использовали самолет зав. № 19/31 выпуска 1941 г., который первоначально строился как эталон для иркутского завода № 125 (с упрощенным вооружением). На машине смонтировали верхнюю экранированную турель штурмана ВУБ-2 с пулеметом УБТ.</w:t>
      </w:r>
    </w:p>
    <w:p w14:paraId="73C250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Мощные 14-цилиндровые звездообразные двигатели конструкции А.Д. Швецова обладали большей массой и "лбом" по сравнению с М-105. Центровка машины значительно сместилась вперед, несмотря на укладку в хвосте свинцового груза массой 68 кг. Помимо замены мотоустановки, на самолете убрали носовой ШКАС и бортовой пулеметстрел- ка-радиста. Кроме того, были сняты бомбодержатели в мотогондолах, смонтирован более совершенный радиополукомпас РПК-10, а колеса основных стоек шасси вынесли на 60 мм вперед путем удлинения подкосов. Последнее мероприятие позволило пилоту эффективно тормозить на пробеге, не опасаясь "клевка". Пустой опытный самолет получился примерно на 400 кг тяжелее серийного.</w:t>
      </w:r>
    </w:p>
    <w:p w14:paraId="009895B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Выявился перегрев масла, выброс его из суф- лерных трубок моторов при полете на высотах более 3000 м. В результате полетов получились следующие результаты:- значительно улучшились взлетно-по- садочные характеристики по сравнению с серийной машиной;</w:t>
      </w:r>
    </w:p>
    <w:p w14:paraId="78B4C1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пилотажные свойства в основном остались как у обычного Пе-2 с М-105Р;</w:t>
      </w:r>
    </w:p>
    <w:p w14:paraId="49602B8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на первой границе высотности (3250 м) получена максимальная скорость 545 км/ч, что хорошо согласовывалось с расчетным значением.</w:t>
      </w:r>
    </w:p>
    <w:p w14:paraId="0972CA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Позднее для улучшения температурных режимов силовой установки пришлось уменьшить проходное сечение в кольце капота, изменить конструкцию передних жалюзи, усилить юбки капота и всасывающий патрубок. Система питания двигателей маслом была переделана по типу Ту-2. После доработок максимальная скорость полета на первой границе высотности уменьшилась до 530 км/ч, зато температурные режимы моторов пришли в норму. Добиться нормальной работы двигателей на второй скорости нагнетателя не удалось из-за проблем с карбюратором АК-82. В полете на высотах более 4500 м возникала сильная тряска.</w:t>
      </w:r>
    </w:p>
    <w:p w14:paraId="13DB4F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Моторы увеличенной мощности породили значительный разворачивающий момент при взлете. Пришлось установить на самолете несимметричный костыль для компенсации момента. Трудностей в процессе доводки встретилось много, и часть из них носила субъективный характер. По мнению старшего военпреда инженер-подполковника Романова, завод № 22 неоправданно затягивал отработку опытного самолета. В декабре 1942 г. Романов докладывал в ГУЗ и ТС ВВС:</w:t>
      </w:r>
    </w:p>
    <w:p w14:paraId="5F7A35D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(главный конструктор и директор) не заинтересован в модернизации самолета Пе-2 на М-82. Работы, проводимые опытным цехом, делались наспех и лишь бы от них отделаться. ЛИС проводил испытания неорганизованно. В результате повторяются прежние дефекты...</w:t>
      </w:r>
    </w:p>
    <w:p w14:paraId="6E712D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Ведущий инженер Розенфельд медлителен, больше занимается вычислениями и отчетами, чем реальной работой. Прошу оказать воздействие..."</w:t>
      </w:r>
    </w:p>
    <w:p w14:paraId="06DA871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Главным объективным сдерживающим фактором была низкая надежность моторов М-82 ранних серий. Прошло шесть месяцев доработок и переделок, прежде чем завод № 22 рискнул выставить самолет на государственные испытания в НИИ ВВС. В периоде января по март 1943 г. майор Хрипков выполнил 50 полетов с аэродрома </w:t>
      </w:r>
      <w:r w:rsidRPr="00722885">
        <w:rPr>
          <w:rFonts w:ascii="Times New Roman" w:hAnsi="Times New Roman"/>
          <w:color w:val="000000" w:themeColor="text1"/>
          <w:sz w:val="16"/>
          <w:szCs w:val="16"/>
        </w:rPr>
        <w:lastRenderedPageBreak/>
        <w:t>Кольцово. Они в основном подтвердили результаты заводских испытаний. Если у земли самолет лишь ненамного (458 км/ч против 451 км/ч) опережал машину с М-Ю5ПФ.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087E6E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7568C8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4FDEC9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30DD93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3F827AB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0BABA9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79603" w14:textId="77777777" w:rsidR="006B57B8" w:rsidRPr="00722885" w:rsidRDefault="006B57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21 июля 1942 г. летчик М. Л. Галлай выполнил на Пе-2 2М-82А первый полет. Это был переоборудованный серийный Пе-2 № 19/31, который из-за внесенных доработок потяжелел на 600 кг. Для испытаний была командирована бригада ЛИИ НКАП во главе с ведущим инженером Хейфецом.</w:t>
      </w:r>
    </w:p>
    <w:p w14:paraId="0222EFCC" w14:textId="77777777" w:rsidR="006B57B8" w:rsidRPr="00722885" w:rsidRDefault="006B57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Мотор М-82А развивал мощность на взлете 1 700 л. с., у земли и на I границе высотности — 1 400, а на II границе, равной 5 400 м, — 1 330 л. с. Он был двухрядным звездообразным, радиатор для охлаждения воды ему нужен не был, но маслорадиатор требовался с большей площадью фронта, чем применяемый для М-105. Соответственно были сделаны полностью новые системы запуска, зажигания, смазки, выхлопа, моторамы и капоты с регулирующими охлаждение лобовыми жалюзи и «юбкой» на выходе. Воздухозаборники ПЦН стали одинарными и были поставлены над капотами, а не по бокам как на М-105. Воздушные винты АВ-5Л-118А имели не допускающую «раскрутки» в полете прямую схему автоматики управления шагом, что также потребовало своих изменений в управлении винтомоторной группой — ВМГ.</w:t>
      </w:r>
    </w:p>
    <w:p w14:paraId="11561E95" w14:textId="77777777" w:rsidR="006B57B8" w:rsidRPr="00722885" w:rsidRDefault="006B57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Но этим переделки не ограничивались — для самолета была сделана новая кабина экипажа с тогда еще опытной турелью ВУБ-2 с пулеметом БК-12,7 в кабине штурмана, а носовые пулеметы и бортовые гнезда под перекидной пулемет ШКАС и вырезы под них в бортах фюзеляжа упразднили.</w:t>
      </w:r>
    </w:p>
    <w:p w14:paraId="2FDFF9D2" w14:textId="77777777" w:rsidR="006B57B8" w:rsidRPr="00722885" w:rsidRDefault="006B57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Также сняли бомбодержатели в мотогондолах.</w:t>
      </w:r>
    </w:p>
    <w:p w14:paraId="3E7FC6E7" w14:textId="77777777" w:rsidR="006B57B8" w:rsidRPr="00722885" w:rsidRDefault="006B57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Радиополукомпас РПК-2 заменили новым РПК-10. Самолет, как смогли, облегчили, но пара М-82А весила почти на 550 кг больше, чем М-105РА, винты, моторамы и капоты тоже, центры их масс оказались ближе к носу настолько, что противокапотажный угол стал меньше безопасного, и в хвост поставили свинцовый груз весом 68 кг</w:t>
      </w:r>
    </w:p>
    <w:p w14:paraId="46FE6F0C" w14:textId="77777777" w:rsidR="006B57B8" w:rsidRPr="00722885" w:rsidRDefault="006B57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1943 г. «Пешка со звездами» была передана на Государственные испытания в НИИ ВВС. Экипаж под командованием А. М. Хрипкова показал, что скорость по сравнению с машиной с моторами М-105РА у земли увеличилась на 8 км/ч, а на границе высотности преимущество было больше, и теперь Пе-2 2М-82Ф опережал американский А-20С, улучшилась устойчивость самолета, стал возможен полет на одном двигателе. Однако надежность ВМГ все же оставалась недостаточной, а сложность ее эксплуатации выросла, был велик расход свечей ВГ-12 — за 50 полетов Государственных испытаний их поменяли 210 штук, причем сама замена, как и вообще обслуживание силовой установки, стали по сравнению с М-105 более трудоемкими. Плохо работали управление форсажем, что грозило отказом мотора при превышении времени его использования, высотный корректор, передние шторки капотов. На прогрев моторов в холод уходило 3–4 часа. В полете наблюдалась тряска, увеличилась посадочная скорость, самолет стал крайне сложен в посадке на одном моторе и на повышенных оборотах (22828).</w:t>
      </w:r>
    </w:p>
    <w:p w14:paraId="29F7051D" w14:textId="77777777" w:rsidR="006B57B8" w:rsidRPr="00722885" w:rsidRDefault="006B57B8" w:rsidP="00722885">
      <w:pPr>
        <w:shd w:val="clear" w:color="auto" w:fill="FFFFFF"/>
        <w:spacing w:after="0" w:line="240" w:lineRule="auto"/>
        <w:jc w:val="both"/>
        <w:rPr>
          <w:rFonts w:ascii="Times New Roman" w:hAnsi="Times New Roman"/>
          <w:color w:val="0070C0"/>
          <w:sz w:val="16"/>
          <w:szCs w:val="16"/>
        </w:rPr>
      </w:pPr>
    </w:p>
    <w:p w14:paraId="53873C75"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0627250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C547A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года вышел приказ № 375сс НКВ</w:t>
      </w:r>
    </w:p>
    <w:p w14:paraId="795B9D8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исполнение постановления ГКО № 2067сс от 20 июля 1942 года</w:t>
      </w:r>
    </w:p>
    <w:p w14:paraId="4AB70A2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Разделить завод № 74 на два самостоятельных завода. На заводе № 74 оставить производство: винтовок образца 1891/30 гг., карабинов и 12,7 мм пулеметов Березина.</w:t>
      </w:r>
    </w:p>
    <w:p w14:paraId="6B0E3AC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противотанковых ружей Дегтярева и Симонова револьвера Наган, пистолетов ПТ, АТ и ТТ, 26 мм сигнальных пистолетов, шаровых установок и запальных трубок Норденфельда выделить в самостоятельный завод, присвоив ему № 622 (6322, 175).</w:t>
      </w:r>
    </w:p>
    <w:p w14:paraId="1BF2141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F8FBD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года приказом НКВ № 375 во исполнение Распоряжения ГКО от 20 июля 1942 года № 2067 из состава завода № 74 было выделено 11 цехов в самостоятельный завод с учетным № 622. В 1942-45 гг. завод специализировался на производстве в основном личного оружия для офицерского состава армии, а также противотанковых ружей ПТРС и ПТРД. В 1964 году объем оборонной продукции сократился на 64%, завод выпускал циферблатные весы, безмены, капканы, спортивные ружья. Одновременно велась подготовка к освоению и массовому выпуску охотничьих ружей. В 1949 году завод выпускает первые модели охотничьих ружей (ИЖК и ИЖ-49). В 1964 году профиль завода определяют следующие производства:</w:t>
      </w:r>
    </w:p>
    <w:p w14:paraId="5AE21FE6" w14:textId="77777777" w:rsidR="00AE7191" w:rsidRPr="00722885"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Оружейно-стрелковое производство.</w:t>
      </w:r>
    </w:p>
    <w:p w14:paraId="2FEEAE9F" w14:textId="77777777" w:rsidR="00AE7191" w:rsidRPr="00722885"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двигателей мотоцикла Иж-Юритер.</w:t>
      </w:r>
    </w:p>
    <w:p w14:paraId="72ADCB19" w14:textId="77777777" w:rsidR="00AE7191" w:rsidRPr="00722885"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по выпуску управляемых ракетных снарядов.</w:t>
      </w:r>
    </w:p>
    <w:p w14:paraId="105566E9" w14:textId="77777777" w:rsidR="00AE7191" w:rsidRPr="00722885"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Стальное литье по выплавляемым моделям (10262).</w:t>
      </w:r>
    </w:p>
    <w:p w14:paraId="3759B09E" w14:textId="77777777" w:rsidR="00AE7191" w:rsidRPr="00722885"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6D96B2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года вышел приказ № 533с НКТП</w:t>
      </w:r>
    </w:p>
    <w:p w14:paraId="5DF165A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исполнение Постановления ГКО от 20 июля 1942 года за № ГОКО-2071с:</w:t>
      </w:r>
    </w:p>
    <w:p w14:paraId="10D59C60"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Ведомость распределения эвакуированного оборудования с Ленинградских заводов НКТП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9B487A" w:rsidRPr="00722885" w14:paraId="686610B0" w14:textId="77777777" w:rsidTr="00CC5360">
        <w:tc>
          <w:tcPr>
            <w:tcW w:w="4428" w:type="dxa"/>
          </w:tcPr>
          <w:p w14:paraId="6DDCC725"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какого завода</w:t>
            </w:r>
          </w:p>
        </w:tc>
        <w:tc>
          <w:tcPr>
            <w:tcW w:w="4428" w:type="dxa"/>
          </w:tcPr>
          <w:p w14:paraId="49D0C01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какой завод</w:t>
            </w:r>
          </w:p>
        </w:tc>
      </w:tr>
      <w:tr w:rsidR="009B487A" w:rsidRPr="00722885" w14:paraId="2BFC8C79" w14:textId="77777777" w:rsidTr="00CC5360">
        <w:tc>
          <w:tcPr>
            <w:tcW w:w="4428" w:type="dxa"/>
          </w:tcPr>
          <w:p w14:paraId="2E9B241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Кировский завод</w:t>
            </w:r>
          </w:p>
        </w:tc>
        <w:tc>
          <w:tcPr>
            <w:tcW w:w="4428" w:type="dxa"/>
          </w:tcPr>
          <w:p w14:paraId="10C3DB93"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183 Н. Тагил</w:t>
            </w:r>
          </w:p>
          <w:p w14:paraId="44CB54B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Кировский (Челябинск).</w:t>
            </w:r>
          </w:p>
          <w:p w14:paraId="477EDBA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BDA5A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Уралмашзавод (Свердловск).</w:t>
            </w:r>
          </w:p>
          <w:p w14:paraId="4E89E265"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BF22E5"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76 Свердловск</w:t>
            </w:r>
          </w:p>
          <w:p w14:paraId="31AA7BB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255 Челябинск</w:t>
            </w:r>
          </w:p>
          <w:p w14:paraId="7459E59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254 Москва</w:t>
            </w:r>
          </w:p>
          <w:p w14:paraId="37CA9DB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112 Горький</w:t>
            </w:r>
          </w:p>
          <w:p w14:paraId="73113BAF"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200 Челябинск</w:t>
            </w:r>
          </w:p>
          <w:p w14:paraId="772BB05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С-10 Барнаул</w:t>
            </w:r>
          </w:p>
          <w:p w14:paraId="6218FEE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174 Омск</w:t>
            </w:r>
          </w:p>
          <w:p w14:paraId="73F7C32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176 Муром</w:t>
            </w:r>
          </w:p>
          <w:p w14:paraId="030683D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38 Киров</w:t>
            </w:r>
          </w:p>
        </w:tc>
      </w:tr>
      <w:tr w:rsidR="009B487A" w:rsidRPr="00722885" w14:paraId="473D603B" w14:textId="77777777" w:rsidTr="00CC5360">
        <w:tc>
          <w:tcPr>
            <w:tcW w:w="4428" w:type="dxa"/>
          </w:tcPr>
          <w:p w14:paraId="12A5CEB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174</w:t>
            </w:r>
          </w:p>
        </w:tc>
        <w:tc>
          <w:tcPr>
            <w:tcW w:w="4428" w:type="dxa"/>
          </w:tcPr>
          <w:p w14:paraId="7DF8C56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112 Горький</w:t>
            </w:r>
          </w:p>
          <w:p w14:paraId="4BBB0392"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174</w:t>
            </w:r>
          </w:p>
          <w:p w14:paraId="6084E68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38</w:t>
            </w:r>
          </w:p>
          <w:p w14:paraId="658DD2B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200</w:t>
            </w:r>
          </w:p>
          <w:p w14:paraId="0CD99D5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Завод № 176</w:t>
            </w:r>
          </w:p>
          <w:p w14:paraId="137694F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238 Горький</w:t>
            </w:r>
          </w:p>
        </w:tc>
      </w:tr>
      <w:tr w:rsidR="009B487A" w:rsidRPr="00722885" w14:paraId="5B10F85D" w14:textId="77777777" w:rsidTr="00CC5360">
        <w:tc>
          <w:tcPr>
            <w:tcW w:w="4428" w:type="dxa"/>
          </w:tcPr>
          <w:p w14:paraId="18A1A07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Ижорский завод</w:t>
            </w:r>
          </w:p>
        </w:tc>
        <w:tc>
          <w:tcPr>
            <w:tcW w:w="4428" w:type="dxa"/>
          </w:tcPr>
          <w:p w14:paraId="0B9681D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254</w:t>
            </w:r>
          </w:p>
          <w:p w14:paraId="280042A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238</w:t>
            </w:r>
          </w:p>
          <w:p w14:paraId="2D095B2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112</w:t>
            </w:r>
          </w:p>
          <w:p w14:paraId="5AF9DAC0"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С-10</w:t>
            </w:r>
          </w:p>
          <w:p w14:paraId="3E49E8D1"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174</w:t>
            </w:r>
          </w:p>
          <w:p w14:paraId="34757770"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38</w:t>
            </w:r>
          </w:p>
          <w:p w14:paraId="1973D18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200</w:t>
            </w:r>
          </w:p>
          <w:p w14:paraId="0B3A6A6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176</w:t>
            </w:r>
          </w:p>
        </w:tc>
      </w:tr>
    </w:tbl>
    <w:p w14:paraId="3514E6C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(6127, 273-271).</w:t>
      </w:r>
    </w:p>
    <w:p w14:paraId="7DE6DFDF"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75DF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вышло Постановление ГКО № 2072 Об эвакуации оборудования. завода N91 Наркомхимпрома. . РГАНИР, Фонд ГКО, д. 45, лл. 164-165 (11012).</w:t>
      </w:r>
    </w:p>
    <w:p w14:paraId="0A4C41D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7AE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вышло Постановление ГКО № 2073 О продлении срока работы автомашин и тракторов, мобилизованных на вывоз хлеба из глубинных пунктов. РГАНИР, Фонд ГКО, д. 45, лл. 166 (11012).</w:t>
      </w:r>
    </w:p>
    <w:p w14:paraId="323F32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F7BEF"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вышло Постановление ГКО № 2074 Об установлении радиосвязи НКПС с прифронтовыми дорогами. (7044, 167-168).</w:t>
      </w:r>
    </w:p>
    <w:p w14:paraId="5EC259F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021FE9"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вышло Постановление ГКО № 2075 О производстве и поставке средств и имущества связи для HКО, Hаркомвоенморфлота, войск HКВД СССР, ГУГВФ, HКПС и Hаркомсвязи в III квартале 1942 г. (7044, 169-170,171-196).</w:t>
      </w:r>
    </w:p>
    <w:p w14:paraId="298F1CE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550CB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г. появилась ДОКЛАДНАЯ ЗАПИСКА ЗАМЕСТИТЕЛЯ НАЧАЛЬНИКА ГАБТУ В НАРКОМАТ ВНЕШНЕЙ ТОРГОВЛИ О НЕДОСТАТКАХ АМЕРИКАНСКИХ ТАНКОВ</w:t>
      </w:r>
    </w:p>
    <w:p w14:paraId="43D645F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Одним из существенных недостатков американских танков М-3 средний и М-3 легкий является большая пожарная опасность от загорания внутренней обшивки из губчатой резины.</w:t>
      </w:r>
    </w:p>
    <w:p w14:paraId="0E46DB1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боев установлено, что при пробивании брони снарядами эта обшивка легко воспламеняется.</w:t>
      </w:r>
    </w:p>
    <w:p w14:paraId="4F4FCA5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сделать представителям НКВТ в США следующее распоряжение.</w:t>
      </w:r>
    </w:p>
    <w:p w14:paraId="43121BE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Снять внутреннюю резиновую обшивку на танках отправляемых в СССР, оставив ее на налоб</w:t>
      </w:r>
      <w:r w:rsidRPr="00722885">
        <w:rPr>
          <w:rFonts w:ascii="Times New Roman" w:hAnsi="Times New Roman"/>
          <w:color w:val="000000" w:themeColor="text1"/>
          <w:sz w:val="16"/>
          <w:szCs w:val="16"/>
        </w:rPr>
        <w:softHyphen/>
        <w:t>никах смотровых приборов и приборах управления огнем.</w:t>
      </w:r>
    </w:p>
    <w:p w14:paraId="28C67FB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ГАБТУ КА генерал-майор технических войск Лебедев</w:t>
      </w:r>
    </w:p>
    <w:p w14:paraId="621F15F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комиссар штаба ГАБТУ КА полковой комиссар Ковалев</w:t>
      </w:r>
    </w:p>
    <w:p w14:paraId="5D9A167E"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11355. Д. 647. Л. 257. Копия (11211).</w:t>
      </w:r>
    </w:p>
    <w:p w14:paraId="7B5DCC57"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58752D60"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225A9A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F1D65D"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в 1942 году утреннее сообщение Совинформбюро:</w:t>
      </w:r>
    </w:p>
    <w:p w14:paraId="40B9551F"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21 июля наши войска вели бои с противником в районе Воронежа и юго-восточнее города Ворошиловграда.</w:t>
      </w:r>
    </w:p>
    <w:p w14:paraId="21036DF7"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1B9E5F32"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продолжаются ожесточённые бои. На одном из участков наши части прорвали линию вражеской обороны, заняли переправу и перерезали коммуникацию противника. В это же время танкисты нанесли удар по другой группировке гитлеровцев и заняли населённый пункт. В ожесточённом бою уничтожены 15 немецких танков, много орудий, пулемётов и сотни солдат и офицеров противника. На другом участке наша часть уничтожила 700 немецких солдат и офицеров, 3 танка, 2 бронемашины, захватила 5.000 мин и снарядов.</w:t>
      </w:r>
    </w:p>
    <w:p w14:paraId="25B6B910"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Советская авиация непрерывно бомбит боевые порядки немецких войск. За день наши лётчики уничтожили 24 немецких танка, 15 артиллерийских орудий, взорвали 7 складов с боеприпасами и горючим и уничтожили до батальона пехоты противника. В воздушных боях сбито 7 немецких самолётов.</w:t>
      </w:r>
    </w:p>
    <w:p w14:paraId="6DE6619E"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Ворошиловграда советские войска вели бои с наступающим противником. На одном из участков наши бойцы отразили неоднократные атаки немцев. На поле боя гитлеровцы оставили свыше 400 трупов и 5 подбитых танков. Когда создалась опасность окружения, наша часть по приказу командования отошла на новые рубежи. Успешно действуют советские конники, совершающие внезапные налёты на врага. Во время ночного боя кавалеристы истребили несколько сот немцев, сожгли 2 танка и 8 автомашин.</w:t>
      </w:r>
    </w:p>
    <w:p w14:paraId="3A3BDD30"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происходила редкая артиллерийская перестрелка. На одном из участков огнём нашей артиллерии разбито 2 немецких ДЗОТа, подавлен огонь артиллерийской и 5 миномётных батарей, рассеяна группа пехоты противника. Снайперы школы, где начальником гвардии лейтенант Вышиванов, за сутки истребили 75 немецких оккупантов.</w:t>
      </w:r>
    </w:p>
    <w:p w14:paraId="25A15EC5"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происходили столкновения небольших групп и поиски разведчиков. Группа наших бойцов под командованием тов. Калистратова проникла в район обороны противника, выявила его огневые точки и уничтожила до 40 гитлеровцев. При выполнении этой операции командир группы т. Калистратов был ранен. Три гитлеровца бросились было к командиру, но их пристрелил боец тов. Хабинов. Бойцы вынесли т. Калистратова с поля боя и вернулись в свою часть.</w:t>
      </w:r>
    </w:p>
    <w:p w14:paraId="3ABD675C"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Гитлеровцы засылают в тыл советских войск шпионов и диверсантов. Наши бойцы проявляют высокую бдительность и вылавливают вражеских лазутчиков. Красноармейцы тт. Денисов, Черняк, Темников и Казанцев ночью задержали семь гитлеровцев, которые сигналами указывали немецким самолётам месторасположение важных военных объектов. Связист тов. Гончаров заметил на берегу реки двух рыболовов, одетых в красноармейскую форму. Они показались ему подозрительными. Тов. Гончаров позвал на помощь двух бойцов и задержал «рыбаков». Следственные органы установили, что задержанные являются немецкими шпионами.</w:t>
      </w:r>
    </w:p>
    <w:p w14:paraId="0F330C51"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калининских партизан совершила смелый налёт на железнодорожную станцию. Советские патриоты уничтожили немецкий гарнизон, взорвали здание комендатуры и железнодорожные стрелки. Партизаны захватили трофеи и пленных. Движение по этой линии прервано на продолжительный срок.</w:t>
      </w:r>
    </w:p>
    <w:p w14:paraId="346C3560"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унтер-офицер, пилот самолёта «Юнкерс-87» немецкого особого отряда Макс Юст рассказал: «В июне 1942 года я окончил лётную школу. В первых числах июля меня направили на советско-германский фронт. Во время второго боевого вылета огнём из винтовок был повреждён мотор, и мне пришлось совершить посадку. Когда к месту посадки приблизились красноармейцы, я бросил револьвер, поднял руки и сдался в плен».</w:t>
      </w:r>
    </w:p>
    <w:p w14:paraId="36487553"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унтер-офицер 82 отряда полевой жандармерии 2 немецкой танковой дивизии Альберт Шмальфус рассказал: «Нашему отряду пришлось неоднократно участвовать в боях с партизанами. Недавно отряд подучил приказ окружить и уничтожить партизан, действующих близ П.. Когда мы подошли к лесу, партизаны неожиданно открыли ружейный и пулемётный огонь. Многие жандармы были убиты. Некоторым удалось спастись бегством. Я был ранен. Меня взяли в плен, оказали медицинскую помощь, а через несколько дней переправили через линию фронта и доставили в штаб советской части».</w:t>
      </w:r>
    </w:p>
    <w:p w14:paraId="14C9B5A4"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патриоты увеличивают выпуск оборонной продукции. На заводе, где директором тов. Солтанов, для изготовления важной детали оборонного изделия вместо ковки применили штамповку. Выпуск деталей увеличился в 3-4 раза. Эта мера позволила высвободить 24 станка для других целей.» (14959).</w:t>
      </w:r>
    </w:p>
    <w:p w14:paraId="194A08CE"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48409177"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в 1942 году вечернее сообщение Совинформбюро:</w:t>
      </w:r>
    </w:p>
    <w:p w14:paraId="701958C5"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21 июля наши войска вели бои в районе Воронежа и юго-восточнее города Ворошиловграда.</w:t>
      </w:r>
    </w:p>
    <w:p w14:paraId="176F75E7"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2A0AEDF8"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20 июля частями нашей авиации на различных участках фронта уничтожено или повреждено 10 немецких танков, 140 автомашин с войсками и грузами, взорвано три склада с боеприпасами и два склада с горючим, подавлен огонь 3 дивизионов полевой и зенитной артиллерии, потоплен торпедный катер, рассеяно и частью уничтожено до двух рот пехоты противника.</w:t>
      </w:r>
    </w:p>
    <w:p w14:paraId="00580EC7"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теснили противника и наносили ему контрудары. На одном из участков наша часть выбила немцев из нескольких опорных пунктов, уничтожила до четырёх рот пехоты и захватила 22 орудия, 40 миномётов, 28 пулемётов, 4 штабных машины, 18.000 патронов, 3.000 снарядов, 1.000 мин и другие трофеи. На другом участке советские артиллеристы и миномётчики за две недели боёв уничтожили до 10.000 солдат и офицеров противника, несколько десятков танков, 378 автомашин, 60 подвод с боеприпасами и военным снаряжением, 30 орудий с прислугой, 14 миномётных батарей, захватили 32 немецких орудия и большое количество снарядов.</w:t>
      </w:r>
    </w:p>
    <w:p w14:paraId="4D3B86F0"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Наши бойцы и командиры самоотверженно ведут борьбу против немецко-фашистских захватчиков. Младший лейтенант Комиссаров в одном бою уничтожил 40 гитлеровцев. За несколько дней лётчик Герой Советского Союза капитан Миронов сбил в воздушных боях пять немецких самолётов. Танкист тов. Занайлов уничтожил </w:t>
      </w:r>
      <w:r w:rsidRPr="00722885">
        <w:rPr>
          <w:rFonts w:ascii="Times New Roman" w:hAnsi="Times New Roman"/>
          <w:color w:val="000000" w:themeColor="text1"/>
          <w:sz w:val="16"/>
          <w:szCs w:val="16"/>
        </w:rPr>
        <w:lastRenderedPageBreak/>
        <w:t>противотанковую пушку и 30 немецких солдат и офицеров. Возвращаясь в свою часть, тов. Занайлов прицепил к танку брошенное немцами орудие и привёз его с собой.</w:t>
      </w:r>
    </w:p>
    <w:p w14:paraId="7FB48A30"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Ворошиловграда наши войска ведут упорные оборонительные бои. На отдельных участках, там, где противник сосредоточил крупные силы, наши части отошли на новые рубежи. Танковая часть, прикрывая основные силы, в течение дня вела бои с танками и мотопехотой гитлеровцев. Советские танкисты истребили около 500 немецких солдат и офицеров, уничтожили 7 танков, 2 орудия на гусеничном ходу, 11 пулемётов и несколько миномётов. На другом участке наши бойцы, находившиеся три дня в окружении, прорвали вражеское кольцо и со всем вооружением вышли к своей части.</w:t>
      </w:r>
    </w:p>
    <w:p w14:paraId="4C265C55"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наша часть взломала вражескую оборону и выбила немцев из сильно укреплённого населённого пункта. В этом бою разгромлен немецкий пехотный полк, который потерял более половины своего составаи много вооружения. Стремясь вернуть потерянные позиции, гитлеровцы предприняли12 контратак при поддержке артиллерии и танков. Наши бойцы отбили все атаки противника. Поддерживая наземные части, наши лётчики сбили 7 немецких самолётов, уничтожили пять танков и 18 автомашин противника.</w:t>
      </w:r>
    </w:p>
    <w:p w14:paraId="76B0FD52"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происходили столкновения с мелкими отрядами противника и поиски разведчиков. Против подразделения тов. Афанасьева немцы бросили 12 танков и до батальона пехоты. Командир орудия тов. Смирнов выкатил пушку на открытую позицию и подбил три немецких танка. Атака противника была отбита. Отряд разведчиков во главе с капитаном Григорьевым и старшим лейтенантом Аврамовым пробрался в глубокий тыл противника и напал на транспортную колонну немцев. Наши бойцы уничтожили 75 гитлеровцев, 40 повозок с артиллерийскими снарядами и автомашину с продовольствием. Захватив в плен 5 немецких солдат, разведчики вернулись в свою часть.</w:t>
      </w:r>
    </w:p>
    <w:p w14:paraId="7EF327D3"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Группой партизан отряда «Смерть немецким оккупантам» пущен под откос воинский эшелон противника. Разбито 25 вагонов. Во время крушения убито и ранено не менее 250 гитлеровцев.</w:t>
      </w:r>
    </w:p>
    <w:p w14:paraId="514BBF5D"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опустошили и разграбили 18 деревень Кличевского района, Белорусской ССР. Гитлеровские мерзавцы замучили и расстреляли больше 2.000 мирных жителей. Оккупанты отобрали у крестьян всё ценное имущество, рогатый и мелкий скот, птицу и отправили в Германию. Бандиты сожгли многие жилые дома и постройки колхозников.</w:t>
      </w:r>
    </w:p>
    <w:p w14:paraId="61F93A69"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патриоты всё более широко развёртывают борьбу с гитлеровцами и их пособниками. В Париже убиты три немецких офицера и два предателя. В департаменте Нижней Сены сожжён склад с зерном, конфискованным немцами. В Пуатье были разрушены кабели на железной дороге, в связи с чем прервано движение поездов. Особенно активную роль в борьбе с оккупантами играет молодёжь Франции.» (14959).</w:t>
      </w:r>
    </w:p>
    <w:p w14:paraId="3142B001"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6666D261"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в 1942 году звание "Герой Советского Союза" присвоено 28 воинам-панфиловцам 1075-го стрелкового полка, 316-й стрелковой дивизии за мужество и героизм, проявленные при защите Москвы от немецко-фашистских захватчиков (14959).</w:t>
      </w:r>
    </w:p>
    <w:p w14:paraId="11A1C00A"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0550E939" w14:textId="77777777" w:rsidR="00715152" w:rsidRPr="00722885" w:rsidRDefault="0071515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в 1942 году немецкие войска заняли Красный Сулин (14959).</w:t>
      </w:r>
    </w:p>
    <w:p w14:paraId="0C0FDBEB" w14:textId="77777777" w:rsidR="00715152" w:rsidRPr="00722885" w:rsidRDefault="00715152" w:rsidP="00722885">
      <w:pPr>
        <w:spacing w:after="0" w:line="240" w:lineRule="auto"/>
        <w:jc w:val="both"/>
        <w:rPr>
          <w:rFonts w:ascii="Times New Roman" w:hAnsi="Times New Roman"/>
          <w:color w:val="000000" w:themeColor="text1"/>
          <w:sz w:val="16"/>
          <w:szCs w:val="16"/>
        </w:rPr>
      </w:pPr>
    </w:p>
    <w:p w14:paraId="577480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верховное командование вооруженными силами Германии издало директиву N 44 о ведении боевых действий в Северной Финляндии по захвату Кировской ж/д (3186).</w:t>
      </w:r>
    </w:p>
    <w:p w14:paraId="2B6A806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CBFF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с объявлением военного положения в Сталинградской области в Астрахани постановлением горкомитета обороны был введен комендантский час. Всякое движение автотранспорта и хождение по городу с 23.00 и до 05.00 разрешалось лишь по специальным пропускам. Особое внимание было уделено соблюдению светомаскировки. Горкомитет обороны обязал усилить охрану нефтебаз, пристаней, флота от воздушного нападения и действий диверсионных групп. Начальнику пароходства было предложено запретить скапливание в одном месте судов, ожидающих разгрузки (11774).</w:t>
      </w:r>
    </w:p>
    <w:p w14:paraId="402316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A7198"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1A8498D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E8CB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1942 на Тихом океане японцы высадились на Новой Гвинее и начали продвижение к столице Порту-Морсби и операция продолжалась до 22 января 1943 (3907,236).</w:t>
      </w:r>
    </w:p>
    <w:p w14:paraId="5CDC3A9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0B0AA"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июля в 1942 году на Тихом океане японские солдаты высаживаются на острове Новая Гвинея и начинают продвижение к столице Папуа-Новая Гвинея городу Порт-Морсби (операция продолжается до 22 января 1943) (14959).</w:t>
      </w:r>
    </w:p>
    <w:p w14:paraId="06461C43" w14:textId="77777777" w:rsidR="00C4748B" w:rsidRPr="00722885" w:rsidRDefault="00C4748B" w:rsidP="00722885">
      <w:pPr>
        <w:spacing w:after="0" w:line="240" w:lineRule="auto"/>
        <w:jc w:val="both"/>
        <w:rPr>
          <w:rFonts w:ascii="Times New Roman" w:hAnsi="Times New Roman"/>
          <w:color w:val="000000" w:themeColor="text1"/>
          <w:sz w:val="16"/>
          <w:szCs w:val="16"/>
        </w:rPr>
      </w:pPr>
    </w:p>
    <w:p w14:paraId="4AB6FA2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68A76C6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F69B2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г. С.В. Илюшин направил в адрес главного инженера ВВС А. К. Репина эскизный проект одномоторного одноместного бронированного штурмовика "МШ" с мотором АМ-38. В сопроводительном письме он докладывал: "В проект плана опытного строительства на 1942 г. вошел предложенный мной двухмоторный бронированный штурмовик (имелся ввиду самолет Ил-6 - авт.).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развитие Ил-2". И далее он перечисляет особенности своей новой машины:</w:t>
      </w:r>
    </w:p>
    <w:p w14:paraId="04AA60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 кардинально изменен обзор, который для штурмовика является решающим;</w:t>
      </w:r>
    </w:p>
    <w:p w14:paraId="1753AF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усилено артиллерийское вооружение - пушка калибра 37 мм позволит поражать тяжелые танки (строго говоря, только легкие и средние танки - авт.);</w:t>
      </w:r>
    </w:p>
    <w:p w14:paraId="0090A0D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артиллерийское и стрелковое вооружение сосредоточены в одном месте, что улучшает прицельность и кучность стрельбы;</w:t>
      </w:r>
    </w:p>
    <w:p w14:paraId="477723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минимальная толщина брони увеличена с 4 до 5 мм;</w:t>
      </w:r>
    </w:p>
    <w:p w14:paraId="408ABC3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уменьшено лобовое сопротивление;</w:t>
      </w:r>
    </w:p>
    <w:p w14:paraId="256292F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изменена схема уборки шасси и т.д.</w:t>
      </w:r>
    </w:p>
    <w:p w14:paraId="51AE09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самолета требуется мотор с удлиненным валом. Предусматривается два варианта вооружения. Бомбардировочно-пушечно-стрелковый : нормальный вариант бомбовой нагрузки - до 400 кг (16х25 кг, или 40х10 кг, или 160х2,5 кг), две синхронные пушки ШВАК с боезапасом 200 снарядов, два синхронных пулемета ШКАС с боезапасом 1500 патронов. Стрелково-пушечный вариант : одна пушка Б.Г.Шпитального ШФК-37 с пропущенным через редуктор в полый вал винта стволом и боезапасом 40 снарядов, две синхронные пушки ШВАК с боезапасом 200 снарядов, два синхронных пулемета ШКАС с боезапасом 1500 патронов".</w:t>
      </w:r>
    </w:p>
    <w:p w14:paraId="1CAB297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схеме самолет МШ АМ-38 (модернизированный штурмовик с мотором АМ-38) напоминал Р-39 "Аэрокобру". Но шасси проектировалось не с носовым, а с обычным хвостовым колесом. Известно, что Белл (конструктор самолета Р-39) выбрал схему своего самолета, исходя из таких, в частности, соображений, как необходимость обеспечения эффективности вооружения и простоты посадки для летчиков (уставших после воздушного боя), чему способствовал хороший обзор вперед-вниз. Известно также, что американцы не имели мотор-пушек и у них не были отработаны варианты синхронных пушек, в связи с чем основным оружием истребителей являлись крупнокалиберные крыльевые пулеметы. Среди недостатков применяемой американцами схемы вооружения можно назвать слабую кучность огня, которую на Р-39 удалось улучшить, расположив оружие более компактно. И в том числе пушку М-4 калибра 37 мм.</w:t>
      </w:r>
    </w:p>
    <w:p w14:paraId="6D6319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предлагаемой машине Ильюшин разместил мотор АМ-38 примерно в центре тяжести самолета. Передача мощности на воздушный винт осуществлялась с помощью удлиненного вала, проходившего под бронированным полом кабины летчика. Воздухозаборник мотора находился в верхней части фюзеляжа. Кабину выдвинули вперед, что обеспечивало обзор вперед-вниз до 24 градусов. Под кабиной летчика размещался отсек стрелково-пушечного вооружения. Бензобак и маслобак располагались между кабиной и мотором в верхней части фюзеляжа. Водяные и масляные радиаторы системы охлаждения и смазки мотора были установлены в подфюзеляжной части центроплана, их охлаждение осуществлялось наружным воздухом, подводившимся по изогнутым каналам из воздухозаборников в носке крыла у правого и левого бортов фюзеляжа.</w:t>
      </w:r>
    </w:p>
    <w:p w14:paraId="0DD9A1C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Бомбы, как и в Ил-2, размещались внутри центропланных бомбоотсеков и в перегрузку - дополнительно на внешних подвесках.</w:t>
      </w:r>
    </w:p>
    <w:p w14:paraId="711F322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шасси основные колеса убирались назад по полету в центроплан с поворотом колес в процессе уборки примерно на 90° (впоследствии эта идея реализована на Ил-10). Убирающимся было и хвостовое колесо. Применение крыла со стреловидностью по передней кромке 15° позволяло достичь необходимого диапазона эксплуатационных центровок. Бронирование летчика, бензо- и маслобаков, водяных и масляных радиаторов обеспечивалось бронекорпусом весьма сложной формы, в основном с прямоугольными образующими. Это упрощало технологию его изготовления, но одновременно повышало уязвимость брони.</w:t>
      </w:r>
    </w:p>
    <w:p w14:paraId="54D4794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НИИ ВВС дали положительное заключение по проекту, только рекомендовали пушки ШВАК заменить на ВЯ-23.</w:t>
      </w:r>
    </w:p>
    <w:p w14:paraId="763D9B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отметить, что массы пустого самолета и взлетная возросли по сравнению с Ил-2. И несмотря на некоторое улучшение аэродинамики, самолет с мотором АМ-38 показал недостаточно высокие летные данные. К тому же назрела необходимость в двухместном штурмовике, а в рамках принятой компоновочной схемы осуществить такую задачу было невозможно. Кроме того, опыт создания однотипных самолетов Р-39 и Р-63 фирмы "Белл" обнаружил два присущих им хронических недостатка, от которых трудно избавиться: разрушение длинного вала для привода винта вследствие возникновения крутильных колебаний и плохие противоштопорные свойства. Отсюда последовало решение - самолет МШ-АМ-38 не строить (2868,18).</w:t>
      </w:r>
    </w:p>
    <w:p w14:paraId="3473BC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1A85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22 июля 1942 проект специального противотанкового штурмовика с мотором АМ-38 (рабочее обозначение МШ), имеющего мощное пушечное вооружение размещенное, с целью обеспечения высокой точности стрельбы в воздухе, вблизи оси самолета, был направлен в адрес Главного инженера ВВС КА А. К. Репина.</w:t>
      </w:r>
    </w:p>
    <w:p w14:paraId="2F73F6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сопроводительном письме к проекту С. В. Ильюшин писал: “В проект плана опытного строительства на 1942 г. вошел предложенный мной двухмоторный бронированный штурмовик.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развитие Ил-2...”</w:t>
      </w:r>
    </w:p>
    <w:p w14:paraId="0EB131F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МШ представлял собой бронированный одноместный одномоторный низкоплан, главной особенностью которого являлось мощное стрелково-пушечное вооружение, компактно расположенное в носу машины.</w:t>
      </w:r>
    </w:p>
    <w:p w14:paraId="3ED7CED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схеме МШ АМ-38 (модернизированный штурмовик с мотором АМ-38) напоминал американский истребитель Р-39 “Аэрокобра”, но шасси было выполнено не с носовым, а с обычным хвостовым колесом.</w:t>
      </w:r>
    </w:p>
    <w:p w14:paraId="7827DC3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АМ-38 был размещен примерно в центре тяжести машины. Передача мощности на воздушный винт осуществлялась с помощью удлиненного вала, проходившего под бронированным полом кабины летчика.</w:t>
      </w:r>
    </w:p>
    <w:p w14:paraId="2C37DA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Воздухозаборник мотора размещался в верхней части фюзеляжа. Кабина была выдвинута вперед, что обеспечивало летчику отличный обзор вперед-вниз до 24°. Под кабиной летчика размещался отсек стрелково-пушечного вооружения.</w:t>
      </w:r>
    </w:p>
    <w:p w14:paraId="75D8C7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Бензобак и маслобак находились между кабиной летчика и мотором в верхней части фюзеляжа.</w:t>
      </w:r>
    </w:p>
    <w:p w14:paraId="186DE8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Водяные и масляные радиаторы системы охлаждения и смазки мотора были установлены в подфюзеляжной части центроплана. Их охлаждение осуществлялось наружным воздухом, подводившимся по изогнутым каналам из воздухозаборников в носках крыла у правого и левого бортов фюзеляжа.</w:t>
      </w:r>
    </w:p>
    <w:p w14:paraId="4B6D74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Бомбы, как и на Ил-2, размещались внутри центропланных бомбоотсеков. Основные колеса шасси убирались назад по полету в центроплан с поворотом колес вокруг оси на 90° в процессе уборки. Такая схема уборки шасси была впоследствии реализована на Ил-10. Убирающимся было и хвостовое колесо.</w:t>
      </w:r>
    </w:p>
    <w:p w14:paraId="410CCB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Необходимый диапазон центровок машины достигался применением крыла со стреловидностью по передней кромке в 15°.</w:t>
      </w:r>
    </w:p>
    <w:p w14:paraId="22DBC8E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Бронирование летчика, бензо- и маслобаков, водяных и масляных радиаторов обеспечивалось бронекор-пусом весьма сложной формы в основном с прямоугольными образующими, что хотя и упрощало технологию его изготовления, но несколько снижало пулестойкость брони.</w:t>
      </w:r>
    </w:p>
    <w:p w14:paraId="64B819C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Проект предусматривал два варианта вооружения: противотанковый и бомбардировочный.</w:t>
      </w:r>
    </w:p>
    <w:p w14:paraId="05C2579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первому варианту вооружения в носу самолета размещались втулковая пушка ШФК-37 с боезапасом в 40 снарядов, две синхронные пушки ШВАК с боекомплектом по 200 снарядов на каждую пушку и двух синхронных пулеметов ШКАС с общим боезапасом 1500 патронов.</w:t>
      </w:r>
    </w:p>
    <w:p w14:paraId="0BA703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Помимо стрелкового вооружения, на самолете предусматривалась подвеска 8 реактивных снарядов PC-82.</w:t>
      </w:r>
    </w:p>
    <w:p w14:paraId="2137DF0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Второй вариант вооружения предусматривал нормальную бомбовую нагрузку 400 кг (16х25 кг или 40х10 кг, или 160х2,5 кг АБ) и в перегрузку - 600 кг (6х100 кг или 2х250 кг, или 24х25 кг), две синхронные пушки ШВАК с боекомплектом по 200 снарядов на ствол и два синхронных пулемета ШКАС с боезапасом 750 патронов на пулемет.</w:t>
      </w:r>
    </w:p>
    <w:p w14:paraId="7773A86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Оценки показывают, что в случае реализации проекта летчик-штурмовик с хорошей летной и стрелковой подготовкой на МШ с противотанковым вариантом вооружения в реальных боевых условиях уже в первой атаке гарантированно поражал немецкий бронетранспортер типа Sd Kfz 250 (атака сбоку, угол планирования 25-30°, дистанция открытия огня 300-400 м) - вероятность поражения 0,96-0,7, а средний танк типа Pz. Ill Ausf G в этих же условиях - с вероятностью не более 0,1.</w:t>
      </w:r>
    </w:p>
    <w:p w14:paraId="2B10F66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НИИ ВВС КА дало положительное заключение по проекту. Было рекомендовано пушки ШВАК заменить на более эффективные ВЯ-23.</w:t>
      </w:r>
    </w:p>
    <w:p w14:paraId="44C985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отметить, что масса пустого самолета, по сравнению с Ил-2, возросла. Вырос и полетный вес машины. Это привело к тому, что летные данные штурмовика при исполь-зовании мотора АМ-38, даже, несмотря на некоторое улучшение аэродинамики самолета, были все же невысокими.</w:t>
      </w:r>
    </w:p>
    <w:p w14:paraId="021A9A9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завод № 24 так и не смог быстро довести “до ума” мотор АМ-38 с удлиненным валом и к этому времени уже стала очевидной необходимость иметь на вооружении двухместный штурмовик. В этой связи все дальнейшие работы по МШ были прекращены...(9649).</w:t>
      </w:r>
    </w:p>
    <w:p w14:paraId="51A94A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2B50D" w14:textId="77777777" w:rsidR="00C4748B" w:rsidRPr="00722885" w:rsidRDefault="00C4748B" w:rsidP="00722885">
      <w:pPr>
        <w:pStyle w:val="45"/>
        <w:shd w:val="clear" w:color="auto" w:fill="auto"/>
        <w:spacing w:before="0" w:line="240" w:lineRule="auto"/>
        <w:jc w:val="both"/>
        <w:rPr>
          <w:rFonts w:ascii="Times New Roman" w:cs="Times New Roman"/>
          <w:color w:val="000000" w:themeColor="text1"/>
          <w:sz w:val="16"/>
          <w:szCs w:val="16"/>
        </w:rPr>
      </w:pPr>
      <w:r w:rsidRPr="00722885">
        <w:rPr>
          <w:rStyle w:val="4f0"/>
          <w:rFonts w:ascii="Times New Roman" w:hAnsi="Times New Roman" w:cs="Times New Roman"/>
          <w:i w:val="0"/>
          <w:color w:val="000000" w:themeColor="text1"/>
          <w:sz w:val="16"/>
          <w:szCs w:val="16"/>
        </w:rPr>
        <w:t>22 июля 1942 г. в сопроводительном письме к эскизному проекту одномотор</w:t>
      </w:r>
      <w:r w:rsidRPr="00722885">
        <w:rPr>
          <w:rStyle w:val="4f0"/>
          <w:rFonts w:ascii="Times New Roman" w:hAnsi="Times New Roman" w:cs="Times New Roman"/>
          <w:i w:val="0"/>
          <w:color w:val="000000" w:themeColor="text1"/>
          <w:sz w:val="16"/>
          <w:szCs w:val="16"/>
        </w:rPr>
        <w:softHyphen/>
        <w:t>ного одноместного противотанкового штурмо</w:t>
      </w:r>
      <w:r w:rsidRPr="00722885">
        <w:rPr>
          <w:rStyle w:val="4f0"/>
          <w:rFonts w:ascii="Times New Roman" w:hAnsi="Times New Roman" w:cs="Times New Roman"/>
          <w:i w:val="0"/>
          <w:color w:val="000000" w:themeColor="text1"/>
          <w:sz w:val="16"/>
          <w:szCs w:val="16"/>
        </w:rPr>
        <w:softHyphen/>
        <w:t>вика МШ-АМ-38 (модернизированный штурмо</w:t>
      </w:r>
      <w:r w:rsidRPr="00722885">
        <w:rPr>
          <w:rStyle w:val="4f0"/>
          <w:rFonts w:ascii="Times New Roman" w:hAnsi="Times New Roman" w:cs="Times New Roman"/>
          <w:i w:val="0"/>
          <w:color w:val="000000" w:themeColor="text1"/>
          <w:sz w:val="16"/>
          <w:szCs w:val="16"/>
        </w:rPr>
        <w:softHyphen/>
        <w:t>вик с мотором АМ-38), разработанного в ОКБ С.В. ИльюшинаЭ Ильюшин указывал:</w:t>
      </w:r>
      <w:r w:rsidRPr="00722885">
        <w:rPr>
          <w:rFonts w:ascii="Times New Roman" w:cs="Times New Roman"/>
          <w:color w:val="000000" w:themeColor="text1"/>
          <w:sz w:val="16"/>
          <w:szCs w:val="16"/>
        </w:rPr>
        <w:t xml:space="preserve"> «В проект плана опытного строитель</w:t>
      </w:r>
      <w:r w:rsidRPr="00722885">
        <w:rPr>
          <w:rFonts w:ascii="Times New Roman" w:cs="Times New Roman"/>
          <w:color w:val="000000" w:themeColor="text1"/>
          <w:sz w:val="16"/>
          <w:szCs w:val="16"/>
        </w:rPr>
        <w:softHyphen/>
        <w:t>ства на 1942 г. вошел предложенный мной двух</w:t>
      </w:r>
      <w:r w:rsidRPr="00722885">
        <w:rPr>
          <w:rFonts w:ascii="Times New Roman" w:cs="Times New Roman"/>
          <w:color w:val="000000" w:themeColor="text1"/>
          <w:sz w:val="16"/>
          <w:szCs w:val="16"/>
        </w:rPr>
        <w:softHyphen/>
        <w:t>моторный бронированный штурмовик</w:t>
      </w:r>
      <w:r w:rsidRPr="00722885">
        <w:rPr>
          <w:rStyle w:val="4f0"/>
          <w:rFonts w:ascii="Times New Roman" w:hAnsi="Times New Roman" w:cs="Times New Roman"/>
          <w:i w:val="0"/>
          <w:color w:val="000000" w:themeColor="text1"/>
          <w:sz w:val="16"/>
          <w:szCs w:val="16"/>
        </w:rPr>
        <w:t xml:space="preserve"> (имелся в виду Ил-6 2М-82</w:t>
      </w:r>
      <w:r w:rsidRPr="00722885">
        <w:rPr>
          <w:rFonts w:ascii="Times New Roman" w:cs="Times New Roman"/>
          <w:color w:val="000000" w:themeColor="text1"/>
          <w:sz w:val="16"/>
          <w:szCs w:val="16"/>
        </w:rPr>
        <w:t>). Принимая во внимание сегодняшнюю обстановку и трудно</w:t>
      </w:r>
      <w:r w:rsidRPr="00722885">
        <w:rPr>
          <w:rFonts w:ascii="Times New Roman" w:cs="Times New Roman"/>
          <w:color w:val="000000" w:themeColor="text1"/>
          <w:sz w:val="16"/>
          <w:szCs w:val="16"/>
        </w:rPr>
        <w:softHyphen/>
        <w:t>сти осуществления подобного типа самолета, предложение по которому я снимаю, представ</w:t>
      </w:r>
      <w:r w:rsidRPr="00722885">
        <w:rPr>
          <w:rFonts w:ascii="Times New Roman" w:cs="Times New Roman"/>
          <w:color w:val="000000" w:themeColor="text1"/>
          <w:sz w:val="16"/>
          <w:szCs w:val="16"/>
        </w:rPr>
        <w:softHyphen/>
        <w:t>ляю одномоторный, как развитие Ил-2...»</w:t>
      </w:r>
    </w:p>
    <w:p w14:paraId="0B089B47" w14:textId="77777777" w:rsidR="00C4748B" w:rsidRPr="00722885"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Главной особенностью самолета являлось размещение мотора АМ-38 позади кабины пи</w:t>
      </w:r>
      <w:r w:rsidRPr="00722885">
        <w:rPr>
          <w:rFonts w:ascii="Times New Roman" w:cs="Times New Roman"/>
          <w:color w:val="000000" w:themeColor="text1"/>
          <w:spacing w:val="0"/>
          <w:sz w:val="16"/>
          <w:szCs w:val="16"/>
        </w:rPr>
        <w:softHyphen/>
        <w:t>лота с передачей мощности на воздушный винт с помощью длинного вала, проходящего под бронированным полом кабины летчика, рас</w:t>
      </w:r>
      <w:r w:rsidRPr="00722885">
        <w:rPr>
          <w:rFonts w:ascii="Times New Roman" w:cs="Times New Roman"/>
          <w:color w:val="000000" w:themeColor="text1"/>
          <w:spacing w:val="0"/>
          <w:sz w:val="16"/>
          <w:szCs w:val="16"/>
        </w:rPr>
        <w:softHyphen/>
        <w:t>полагавшейся в самом носу фюзеляжа над от</w:t>
      </w:r>
      <w:r w:rsidRPr="00722885">
        <w:rPr>
          <w:rFonts w:ascii="Times New Roman" w:cs="Times New Roman"/>
          <w:color w:val="000000" w:themeColor="text1"/>
          <w:spacing w:val="0"/>
          <w:sz w:val="16"/>
          <w:szCs w:val="16"/>
        </w:rPr>
        <w:softHyphen/>
        <w:t>секом стрелково-пушечного вооружения. Это позволяло компактно разместить в носовой ча</w:t>
      </w:r>
      <w:r w:rsidRPr="00722885">
        <w:rPr>
          <w:rFonts w:ascii="Times New Roman" w:cs="Times New Roman"/>
          <w:color w:val="000000" w:themeColor="text1"/>
          <w:spacing w:val="0"/>
          <w:sz w:val="16"/>
          <w:szCs w:val="16"/>
        </w:rPr>
        <w:softHyphen/>
        <w:t>сти вблизи продольной оси самолета мощное пушечное вооружение (пушки калибра 37 мм и 20 мм), что обеспечивало незначительное рас</w:t>
      </w:r>
      <w:r w:rsidRPr="00722885">
        <w:rPr>
          <w:rFonts w:ascii="Times New Roman" w:cs="Times New Roman"/>
          <w:color w:val="000000" w:themeColor="text1"/>
          <w:spacing w:val="0"/>
          <w:sz w:val="16"/>
          <w:szCs w:val="16"/>
        </w:rPr>
        <w:softHyphen/>
        <w:t>сеивание при стрельбе в воздухе. Одновре</w:t>
      </w:r>
      <w:r w:rsidRPr="00722885">
        <w:rPr>
          <w:rFonts w:ascii="Times New Roman" w:cs="Times New Roman"/>
          <w:color w:val="000000" w:themeColor="text1"/>
          <w:spacing w:val="0"/>
          <w:sz w:val="16"/>
          <w:szCs w:val="16"/>
        </w:rPr>
        <w:softHyphen/>
        <w:t>менно летчик получал прекрасный обзор впе</w:t>
      </w:r>
      <w:r w:rsidRPr="00722885">
        <w:rPr>
          <w:rFonts w:ascii="Times New Roman" w:cs="Times New Roman"/>
          <w:color w:val="000000" w:themeColor="text1"/>
          <w:spacing w:val="0"/>
          <w:sz w:val="16"/>
          <w:szCs w:val="16"/>
        </w:rPr>
        <w:softHyphen/>
        <w:t>ред-вниз и в стороны.</w:t>
      </w:r>
    </w:p>
    <w:p w14:paraId="6439A751" w14:textId="77777777" w:rsidR="00C4748B" w:rsidRPr="00722885"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Бензо- и маслобак находились между ка</w:t>
      </w:r>
      <w:r w:rsidRPr="00722885">
        <w:rPr>
          <w:rFonts w:ascii="Times New Roman" w:cs="Times New Roman"/>
          <w:color w:val="000000" w:themeColor="text1"/>
          <w:spacing w:val="0"/>
          <w:sz w:val="16"/>
          <w:szCs w:val="16"/>
        </w:rPr>
        <w:softHyphen/>
        <w:t>биной летчика и мотором в верхней части фю</w:t>
      </w:r>
      <w:r w:rsidRPr="00722885">
        <w:rPr>
          <w:rFonts w:ascii="Times New Roman" w:cs="Times New Roman"/>
          <w:color w:val="000000" w:themeColor="text1"/>
          <w:spacing w:val="0"/>
          <w:sz w:val="16"/>
          <w:szCs w:val="16"/>
        </w:rPr>
        <w:softHyphen/>
        <w:t>зеляжа. Водяные и масляные радиаторы сис</w:t>
      </w:r>
      <w:r w:rsidRPr="00722885">
        <w:rPr>
          <w:rFonts w:ascii="Times New Roman" w:cs="Times New Roman"/>
          <w:color w:val="000000" w:themeColor="text1"/>
          <w:spacing w:val="0"/>
          <w:sz w:val="16"/>
          <w:szCs w:val="16"/>
        </w:rPr>
        <w:softHyphen/>
        <w:t>темы охлаждения и смазки мотора были уста</w:t>
      </w:r>
      <w:r w:rsidRPr="00722885">
        <w:rPr>
          <w:rFonts w:ascii="Times New Roman" w:cs="Times New Roman"/>
          <w:color w:val="000000" w:themeColor="text1"/>
          <w:spacing w:val="0"/>
          <w:sz w:val="16"/>
          <w:szCs w:val="16"/>
        </w:rPr>
        <w:softHyphen/>
        <w:t>новлены в подфюзеляжной части центроплана внутри бронекорпуса, что повышало их живу</w:t>
      </w:r>
      <w:r w:rsidRPr="00722885">
        <w:rPr>
          <w:rFonts w:ascii="Times New Roman" w:cs="Times New Roman"/>
          <w:color w:val="000000" w:themeColor="text1"/>
          <w:spacing w:val="0"/>
          <w:sz w:val="16"/>
          <w:szCs w:val="16"/>
        </w:rPr>
        <w:softHyphen/>
        <w:t>честь в бою. Их охлаждение осуществлялось наружным воздухом, подводившимся по изо</w:t>
      </w:r>
      <w:r w:rsidRPr="00722885">
        <w:rPr>
          <w:rFonts w:ascii="Times New Roman" w:cs="Times New Roman"/>
          <w:color w:val="000000" w:themeColor="text1"/>
          <w:spacing w:val="0"/>
          <w:sz w:val="16"/>
          <w:szCs w:val="16"/>
        </w:rPr>
        <w:softHyphen/>
        <w:t>гнутым каналам из воздухозаборников в носках крыла у правого и левого бортов фюзеляжа.</w:t>
      </w:r>
    </w:p>
    <w:p w14:paraId="12D4B4EE" w14:textId="77777777" w:rsidR="00C4748B" w:rsidRPr="00722885"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Бронирование летчика, бензо- и маслоба</w:t>
      </w:r>
      <w:r w:rsidRPr="00722885">
        <w:rPr>
          <w:rFonts w:ascii="Times New Roman" w:cs="Times New Roman"/>
          <w:color w:val="000000" w:themeColor="text1"/>
          <w:spacing w:val="0"/>
          <w:sz w:val="16"/>
          <w:szCs w:val="16"/>
        </w:rPr>
        <w:softHyphen/>
        <w:t>ков, водяных и масляных радиаторов обеспе</w:t>
      </w:r>
      <w:r w:rsidRPr="00722885">
        <w:rPr>
          <w:rFonts w:ascii="Times New Roman" w:cs="Times New Roman"/>
          <w:color w:val="000000" w:themeColor="text1"/>
          <w:spacing w:val="0"/>
          <w:sz w:val="16"/>
          <w:szCs w:val="16"/>
        </w:rPr>
        <w:softHyphen/>
        <w:t>чивалось бронекорпусом весьма сложной фор</w:t>
      </w:r>
      <w:r w:rsidRPr="00722885">
        <w:rPr>
          <w:rFonts w:ascii="Times New Roman" w:cs="Times New Roman"/>
          <w:color w:val="000000" w:themeColor="text1"/>
          <w:spacing w:val="0"/>
          <w:sz w:val="16"/>
          <w:szCs w:val="16"/>
        </w:rPr>
        <w:softHyphen/>
        <w:t>мы в основном с прямоугольными образующи</w:t>
      </w:r>
      <w:r w:rsidRPr="00722885">
        <w:rPr>
          <w:rFonts w:ascii="Times New Roman" w:cs="Times New Roman"/>
          <w:color w:val="000000" w:themeColor="text1"/>
          <w:spacing w:val="0"/>
          <w:sz w:val="16"/>
          <w:szCs w:val="16"/>
        </w:rPr>
        <w:softHyphen/>
        <w:t>ми, что упрощало технологию его изготовле</w:t>
      </w:r>
      <w:r w:rsidRPr="00722885">
        <w:rPr>
          <w:rFonts w:ascii="Times New Roman" w:cs="Times New Roman"/>
          <w:color w:val="000000" w:themeColor="text1"/>
          <w:spacing w:val="0"/>
          <w:sz w:val="16"/>
          <w:szCs w:val="16"/>
        </w:rPr>
        <w:softHyphen/>
        <w:t>ния. Толщина брони 5-8 мм считалась вполне достаточной для защиты от крупнокалиберных пуль. Дело в том, что, помимо бронекорпуса и бронеспинки, летчик защищался: со стороны задней полусферы - мотором, бензо- и масло</w:t>
      </w:r>
      <w:r w:rsidRPr="00722885">
        <w:rPr>
          <w:rFonts w:ascii="Times New Roman" w:cs="Times New Roman"/>
          <w:color w:val="000000" w:themeColor="text1"/>
          <w:spacing w:val="0"/>
          <w:sz w:val="16"/>
          <w:szCs w:val="16"/>
        </w:rPr>
        <w:softHyphen/>
        <w:t>баками, спереди-снизу - отсеком стрелково- пушечного вооружения, а с боковых проекций снизу - бомбоотсеками, нишами шасси, воз</w:t>
      </w:r>
      <w:r w:rsidRPr="00722885">
        <w:rPr>
          <w:rFonts w:ascii="Times New Roman" w:cs="Times New Roman"/>
          <w:color w:val="000000" w:themeColor="text1"/>
          <w:spacing w:val="0"/>
          <w:sz w:val="16"/>
          <w:szCs w:val="16"/>
        </w:rPr>
        <w:softHyphen/>
        <w:t>душными каналами охлаждения водо- и маслорадиаторами. В передних стеклах фонаря кабины летчика устанавливались бронестекла толщиной 64 мм (в лобовой части) и 55 мм (в боковой части). Суммарный вес брони до</w:t>
      </w:r>
      <w:r w:rsidRPr="00722885">
        <w:rPr>
          <w:rFonts w:ascii="Times New Roman" w:cs="Times New Roman"/>
          <w:color w:val="000000" w:themeColor="text1"/>
          <w:spacing w:val="0"/>
          <w:sz w:val="16"/>
          <w:szCs w:val="16"/>
        </w:rPr>
        <w:softHyphen/>
        <w:t>стигал 750 кг.</w:t>
      </w:r>
    </w:p>
    <w:p w14:paraId="052DD486" w14:textId="77777777" w:rsidR="00C4748B" w:rsidRPr="00722885"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Несмотря на имеющиеся недостатки, специалисты НИИ ВВС дали положительное заключение по проекту. Рекомендовалось за</w:t>
      </w:r>
      <w:r w:rsidRPr="00722885">
        <w:rPr>
          <w:rFonts w:ascii="Times New Roman" w:cs="Times New Roman"/>
          <w:color w:val="000000" w:themeColor="text1"/>
          <w:spacing w:val="0"/>
          <w:sz w:val="16"/>
          <w:szCs w:val="16"/>
        </w:rPr>
        <w:softHyphen/>
        <w:t>менить 20-мм пушки ШВАК более эффектив</w:t>
      </w:r>
      <w:r w:rsidRPr="00722885">
        <w:rPr>
          <w:rFonts w:ascii="Times New Roman" w:cs="Times New Roman"/>
          <w:color w:val="000000" w:themeColor="text1"/>
          <w:spacing w:val="0"/>
          <w:sz w:val="16"/>
          <w:szCs w:val="16"/>
        </w:rPr>
        <w:softHyphen/>
        <w:t>ными пушками ВЯ калибра 23 мм. Самолет незамедлительно включили в план опытного строительства 1942 г. Однако уже 24 августа ВВС потребовали довести экипаж МШ-АМ-38 до двух человек (летчик и воздушный стрелок) и установить дополнительное вооружение для стрельбы назад.</w:t>
      </w:r>
    </w:p>
    <w:p w14:paraId="4A3EC5C9" w14:textId="77777777" w:rsidR="00C4748B" w:rsidRPr="00722885"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этой связи Ильюшин обратился в пра</w:t>
      </w:r>
      <w:r w:rsidRPr="00722885">
        <w:rPr>
          <w:rFonts w:ascii="Times New Roman" w:cs="Times New Roman"/>
          <w:color w:val="000000" w:themeColor="text1"/>
          <w:spacing w:val="0"/>
          <w:sz w:val="16"/>
          <w:szCs w:val="16"/>
        </w:rPr>
        <w:softHyphen/>
        <w:t>вительство с предложением включить в план опытного самолетостроения текущего года постройку двухместного бронированного штурмовика с мотором М-71 вместо одно</w:t>
      </w:r>
      <w:r w:rsidRPr="00722885">
        <w:rPr>
          <w:rFonts w:ascii="Times New Roman" w:cs="Times New Roman"/>
          <w:color w:val="000000" w:themeColor="text1"/>
          <w:spacing w:val="0"/>
          <w:sz w:val="16"/>
          <w:szCs w:val="16"/>
        </w:rPr>
        <w:softHyphen/>
        <w:t>местного. Эскизный проект самолета, полупившего обозначение БШ-М-71, был подпи</w:t>
      </w:r>
      <w:r w:rsidRPr="00722885">
        <w:rPr>
          <w:rFonts w:ascii="Times New Roman" w:cs="Times New Roman"/>
          <w:color w:val="000000" w:themeColor="text1"/>
          <w:spacing w:val="0"/>
          <w:sz w:val="16"/>
          <w:szCs w:val="16"/>
        </w:rPr>
        <w:softHyphen/>
        <w:t>сан Ильюшиным 25 августа 1942 г. Но это уже другая история (15776).</w:t>
      </w:r>
    </w:p>
    <w:p w14:paraId="65369732" w14:textId="77777777" w:rsidR="00C4748B" w:rsidRPr="00722885"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p>
    <w:p w14:paraId="7A533792"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проект эскизный проект специального противо</w:t>
      </w:r>
      <w:hyperlink r:id="rId28"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ового штурмовика с мотором АМ-38 (рабочее обозначение МШ) был направлен в адрес Главного инженера ВВС КА А. К. Репина.</w:t>
      </w:r>
    </w:p>
    <w:p w14:paraId="6587D725"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сопроводительном письме к проекту С. В. Ильюшин писал:</w:t>
      </w:r>
    </w:p>
    <w:p w14:paraId="27559111"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проект плана опытного строительства на 1942 г. вошел предложенный мной двухмоторный бронированный штурмовик.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развитие Ил-2...»</w:t>
      </w:r>
    </w:p>
    <w:p w14:paraId="18AAFEDD"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МШ представлял собой бронированный одноместный одномоторный низкоплан, главной особенностью которого являлось мощное стрелково-пушечное вооружение, компактно расположенное в носу машины.</w:t>
      </w:r>
    </w:p>
    <w:p w14:paraId="730014E9"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схеме МШ АМ-38 (модернизированный штурмовик с мотором АМ-38) напоминал американский истребитель Р-39 «Аэрокобра», но шасси было выполнено не с носовым, а с обычным хвостовым колесом.</w:t>
      </w:r>
    </w:p>
    <w:p w14:paraId="652F2A6D"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АМ-38 был размещен примерно в центре тяжести машины. Передача мощности на воздушный винт осуществлялась с помощью удлиненного вала, проходившего под бронированным полом кабины летчика.</w:t>
      </w:r>
    </w:p>
    <w:p w14:paraId="5D7B7422"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Воздухозаборник мотора размещался в верхней части фюзеляжа. Кабина была выдвинута вперед, что обеспечивало летчику отличный обзор вперед-вниз до 24°. Под кабиной летчика размещался отсек стрелково-пушечного вооружения.</w:t>
      </w:r>
    </w:p>
    <w:p w14:paraId="642322B4"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Бензобак и маслобак находились между кабиной летчика и мотором в верхней части фюзеляжа.</w:t>
      </w:r>
    </w:p>
    <w:p w14:paraId="32F731E0"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Водяные и масляные радиаторы системы охлаждения и смазки мотора были установлены в подфюзеляжной части центроплана. Их охлаждение [140] осуществлялось наружным воздухом, подводившимся по изогнутым каналам из воздухозаборников в носках крыла у правого и левого бортов фюзеляжа.</w:t>
      </w:r>
    </w:p>
    <w:p w14:paraId="50413A16"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Бомбы, как и на Ил-2, размещались внутри центропланных бомбоотсеков. Основные колеса шасси убирались назад по полету в центроплан с поворотом колес вокруг оси на 90° в процессе уборки. Такая схема уборки шасси была впоследствии реализована на Ил-10. Убирающимся было и хвостовое колесо.</w:t>
      </w:r>
    </w:p>
    <w:p w14:paraId="715E446B"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Необходимый диапазон центровок машины достигался применением крыла со стреловидностью по передней кромке в 15°.</w:t>
      </w:r>
    </w:p>
    <w:p w14:paraId="4873A253"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Бронирование летчика, бензо — и маслобаков, водяных и масляных радиаторов обеспечивалось бронекорпусом весьма сложной формы в основном с прямоугольными образующими, что хотя и упрощало технологию его изготовления, но несколько снижало пулестойкость брони.</w:t>
      </w:r>
    </w:p>
    <w:p w14:paraId="172721E5"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Проект предусматривал два варианта вооружения: противо</w:t>
      </w:r>
      <w:hyperlink r:id="rId29"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овый и бомбардировочный.</w:t>
      </w:r>
    </w:p>
    <w:p w14:paraId="534C1C91"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первому варианту вооружения в носу самолета размещались втулковая пушка ШФК-37 с боезапасом в 40 снарядов, две синхронные пушки ШВАК с боекомплектом по 200 снарядов на каждую пушку и двух синхронных пулеметов ШКАС с общим боезапасом 1500 патронов.</w:t>
      </w:r>
    </w:p>
    <w:p w14:paraId="29F0C05E"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Помимо стрелкового вооружения, на самолете предусматривалась подвеска 8 реактивных снарядов РС-82.</w:t>
      </w:r>
    </w:p>
    <w:p w14:paraId="141099E3"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Второй вариант вооружения предусматривал нормальную бомбовую нагрузку 400 кг (16x25 кг или 40x10 кг, или 160x2,5 кг АБ) и в перегрузку — 600 кг (6x100 кг или 2x250 кг, или 24x25 кг), две синхронные пушки ШВАК с боекомплектом по 200 снарядов на ствол и два синхронных пулемета ШКАС с боезапасом 750 патронов на пулемет.</w:t>
      </w:r>
    </w:p>
    <w:p w14:paraId="5BEC54BB"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Оценки показывают, что в случае реализации проекта летчик-штурмовик с хорошей летной и стрелковой подготовкой на МШ с противо</w:t>
      </w:r>
      <w:hyperlink r:id="rId30"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овым вариантом вооружения в реальных боевых условиях уже в первой атаке гарантированно поражал немецкий бронетранспортер типа Sd Kfz 250 (атака сбоку, угол планирования 25–30°, дистанция открытия огня 300–400 м) — вероятность поражения 0,96–0,7, а средний </w:t>
      </w:r>
      <w:hyperlink r:id="rId31"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 типа Pz. Ill Ausf G в этих же условиях — с вероятностью не более 0,1.</w:t>
      </w:r>
    </w:p>
    <w:p w14:paraId="147B7DC7"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НИИ ВВС КА дало положительное заключение по проекту. Было рекомендовано пушки ШВАК заменить на более эффективные ВЯ-23.</w:t>
      </w:r>
    </w:p>
    <w:p w14:paraId="6094E7B9"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отметить, что масса пустого самолета, по сравнению с Ил-2, возросла. Вырос и полетный вес машины. Это привело к тому, что летные данные штурмовика при использовании мотора АМ-38, даже, несмотря на некоторое улучшение аэродинамики самолета, были все же невысокими.</w:t>
      </w:r>
    </w:p>
    <w:p w14:paraId="4B8A9965"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завод № 24 так и не смог быстро довести «до ума» мотор АМ-38 с удлиненным валом и к этому времени уже стала очевидной необходимость иметь на вооружении двухместный штурмовик. В этой связи все дальнейшие работы по МШ были прекращены…(15572).</w:t>
      </w:r>
    </w:p>
    <w:p w14:paraId="1F2B94D4" w14:textId="77777777" w:rsidR="00C4748B" w:rsidRPr="00722885" w:rsidRDefault="00C4748B" w:rsidP="00722885">
      <w:pPr>
        <w:spacing w:after="0" w:line="240" w:lineRule="auto"/>
        <w:jc w:val="both"/>
        <w:rPr>
          <w:rFonts w:ascii="Times New Roman" w:hAnsi="Times New Roman"/>
          <w:color w:val="000000" w:themeColor="text1"/>
          <w:sz w:val="16"/>
          <w:szCs w:val="16"/>
        </w:rPr>
      </w:pPr>
    </w:p>
    <w:p w14:paraId="65F95A63"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Style w:val="4f0"/>
          <w:rFonts w:ascii="Times New Roman" w:hAnsi="Times New Roman" w:cs="Times New Roman"/>
          <w:i w:val="0"/>
          <w:color w:val="000000" w:themeColor="text1"/>
          <w:sz w:val="16"/>
          <w:szCs w:val="16"/>
        </w:rPr>
        <w:t>22 июля 1942 г. С.В. Ильюшин направил в адрес главного инженера ВВС генерала А.К. Репина эскизный проект одномоторного одноместного противотанковой штурмовика МШ-АМ-38 (модернизированный штурмовик с мотором АМ-38). В сопровс дительном письме Ильюшин указывал:</w:t>
      </w:r>
      <w:r w:rsidRPr="00722885">
        <w:rPr>
          <w:rFonts w:ascii="Times New Roman" w:hAnsi="Times New Roman"/>
          <w:color w:val="000000" w:themeColor="text1"/>
          <w:sz w:val="16"/>
          <w:szCs w:val="16"/>
        </w:rPr>
        <w:t xml:space="preserve"> «В проект плана опытного строительства на 19421 вошёл предложенный мной двухмоторный бронированный штурмовик (имелся в виду 2М-82). Принимая во внимание сегодняшнюю обстановку и трудности ос ществления подобного типа самолёта, предложение по которому я снимаю, представлял одномоторный, как развитие Ил-2...».</w:t>
      </w:r>
    </w:p>
    <w:p w14:paraId="2A0D6BD9"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Главной особенностью самолёта являлось размещение мотора АМ-38 позади кабин пилота с передачей мощности на воздушный винт с помощью длинного вала, проходящей под бронированным полом кабины лётчика, располагавшейся в самом носу фюзеляжа не отсеком стрелково-пушечного вооружения. Это позволяло в носовой части вблизи продольной оси самолёта компактно разместить мощное пушечное вооружение, что обеспе чивало незначительное рассеивание при стрельбе в воздухе. Одновременно лётчик име прекрасный обзор вперёд-вниз и в стороны.</w:t>
      </w:r>
    </w:p>
    <w:p w14:paraId="5FEF1C2D"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Противотанковый вариант вооружения включал одну мотор-пушку Ш-37 (40 снар дов), две синхронные пушки ШВАК (400 снарядов), два синхронных пулемёта ШКАС (15С патронов) и 8 РО-82.</w:t>
      </w:r>
    </w:p>
    <w:p w14:paraId="7318DAF6"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Подвеска бомб - 400 кг или в перегрузку 600 кг (в том чи£ле 2 ФАБ-250), предполага лась вместо 37-мм пушки и ракетных орудий.</w:t>
      </w:r>
    </w:p>
    <w:p w14:paraId="1B950FCC"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явные недостатки проекта МШ-АМ-38, специалисты НИИ ВВС дали поло</w:t>
      </w:r>
      <w:r w:rsidRPr="00722885">
        <w:rPr>
          <w:rFonts w:ascii="Times New Roman" w:hAnsi="Times New Roman"/>
          <w:color w:val="000000" w:themeColor="text1"/>
          <w:sz w:val="16"/>
          <w:szCs w:val="16"/>
        </w:rPr>
        <w:softHyphen/>
        <w:t>жительное заключение по нему. Было только рекомендовано заменить 20-мм пушки ШВАК более эффективными ВЯ калибра 23 мм.</w:t>
      </w:r>
    </w:p>
    <w:p w14:paraId="408BC579" w14:textId="77777777" w:rsidR="00C4748B" w:rsidRPr="00722885" w:rsidRDefault="00C474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Самолёт незамедлительно включили в план опытного строительства 1942 г. (15846).</w:t>
      </w:r>
    </w:p>
    <w:p w14:paraId="4D238DEB" w14:textId="77777777" w:rsidR="00C4748B" w:rsidRPr="00722885" w:rsidRDefault="00C4748B" w:rsidP="00722885">
      <w:pPr>
        <w:spacing w:after="0" w:line="240" w:lineRule="auto"/>
        <w:jc w:val="both"/>
        <w:rPr>
          <w:rFonts w:ascii="Times New Roman" w:hAnsi="Times New Roman"/>
          <w:color w:val="000000" w:themeColor="text1"/>
          <w:sz w:val="16"/>
          <w:szCs w:val="16"/>
        </w:rPr>
      </w:pPr>
    </w:p>
    <w:p w14:paraId="68085DD7" w14:textId="77777777" w:rsidR="00C114EC" w:rsidRPr="00722885" w:rsidRDefault="00C114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года проект МШ-АМ-38 был направлен в адрес главного инженера ВВС КА генерал-лейтенанта А. К. Репина. В сопроводительном письме к проекту С. В. Ильюшин писал: «В проект плана опытного строительства на 1942 г. вошел предложенный мной двухмоторный бронированный штурмовик (имелся в виду Ил-6 2М-82).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как развитие Ил-2…»</w:t>
      </w:r>
    </w:p>
    <w:p w14:paraId="2404E968" w14:textId="77777777" w:rsidR="00C114EC" w:rsidRPr="00722885" w:rsidRDefault="00C114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отметить, что вес пустого самолета по сравнению с Ил-2 увеличился. Вырос и полетный вес машины. Это привело к тому, что летные данные штурмовика и его маневренность при использовании мотора АМ-38 все же были невысокими.</w:t>
      </w:r>
    </w:p>
    <w:p w14:paraId="6B7B0EA0" w14:textId="77777777" w:rsidR="00C114EC" w:rsidRPr="00722885" w:rsidRDefault="00C114E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явные недостатки проекта МШ-АМ-38, НИИ ВВС КА дал положительное заключение по нему. Рекомендовалось 20-мм пушки ШВАК заменить более эффективными ВЯ калибра 23 мм. Однако 24 августа в замечаниях по проекту плана опытного самолетостроения на 1942 год военные потребовали довести экипаж МШ-АМ-38 до двух человек (летчик и воздушный стрелок) и установить дополнительное вооружение для стрельбы назад. В этой связи Ильюшин снял проект МШ-АМ-38 с повестки дня и в сентябре прекратил по нему все работы (17490).</w:t>
      </w:r>
    </w:p>
    <w:p w14:paraId="6AECF3C7" w14:textId="77777777" w:rsidR="00C114EC" w:rsidRPr="00722885" w:rsidRDefault="00C114EC" w:rsidP="00722885">
      <w:pPr>
        <w:spacing w:after="0" w:line="240" w:lineRule="auto"/>
        <w:jc w:val="both"/>
        <w:rPr>
          <w:rFonts w:ascii="Times New Roman" w:hAnsi="Times New Roman"/>
          <w:color w:val="000000" w:themeColor="text1"/>
          <w:sz w:val="16"/>
          <w:szCs w:val="16"/>
        </w:rPr>
      </w:pPr>
    </w:p>
    <w:p w14:paraId="1F51099D"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22 июля 1942 г. проект МШ АМ-38 был направ</w:t>
      </w:r>
      <w:r w:rsidRPr="00722885">
        <w:rPr>
          <w:color w:val="000000" w:themeColor="text1"/>
          <w:sz w:val="16"/>
          <w:szCs w:val="16"/>
        </w:rPr>
        <w:softHyphen/>
        <w:t>лен в адрес главного инженера ВВС КА генерала А. К. Репина. В сопроводительном письме к проек</w:t>
      </w:r>
      <w:r w:rsidRPr="00722885">
        <w:rPr>
          <w:color w:val="000000" w:themeColor="text1"/>
          <w:sz w:val="16"/>
          <w:szCs w:val="16"/>
        </w:rPr>
        <w:softHyphen/>
        <w:t>ту С. В. Ильюшин писал: «В проект плана опытно</w:t>
      </w:r>
      <w:r w:rsidRPr="00722885">
        <w:rPr>
          <w:color w:val="000000" w:themeColor="text1"/>
          <w:sz w:val="16"/>
          <w:szCs w:val="16"/>
        </w:rPr>
        <w:softHyphen/>
        <w:t>го строительства на 1942 г. вошел предложенный мной двухмоторный бронированный штурмовик (имелся в виду Ил-6 2М-82. —</w:t>
      </w:r>
      <w:r w:rsidRPr="00722885">
        <w:rPr>
          <w:rStyle w:val="BodytextItalic"/>
          <w:i w:val="0"/>
          <w:color w:val="000000" w:themeColor="text1"/>
          <w:sz w:val="16"/>
          <w:szCs w:val="16"/>
        </w:rPr>
        <w:t xml:space="preserve"> Авт.).</w:t>
      </w:r>
      <w:r w:rsidRPr="00722885">
        <w:rPr>
          <w:color w:val="000000" w:themeColor="text1"/>
          <w:sz w:val="16"/>
          <w:szCs w:val="16"/>
        </w:rPr>
        <w:t xml:space="preserve"> Принимая во внимание сегодняшнюю обстановку и трудности осуществления подобного типа самолета, предло</w:t>
      </w:r>
      <w:r w:rsidRPr="00722885">
        <w:rPr>
          <w:color w:val="000000" w:themeColor="text1"/>
          <w:sz w:val="16"/>
          <w:szCs w:val="16"/>
        </w:rPr>
        <w:softHyphen/>
        <w:t>жение по которому я снимаю, представляю одно</w:t>
      </w:r>
      <w:r w:rsidRPr="00722885">
        <w:rPr>
          <w:color w:val="000000" w:themeColor="text1"/>
          <w:sz w:val="16"/>
          <w:szCs w:val="16"/>
        </w:rPr>
        <w:softHyphen/>
        <w:t>моторный, как развитие Ил-2...»</w:t>
      </w:r>
    </w:p>
    <w:p w14:paraId="02EA8A4E"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Следует отметить, что вес пустого самолета по сравнению с Ил-2 возрос. Вырос и полетный вес машины. Это привело к тому, что летные данные штурмовика и его маневренность при использо</w:t>
      </w:r>
      <w:r w:rsidRPr="00722885">
        <w:rPr>
          <w:color w:val="000000" w:themeColor="text1"/>
          <w:sz w:val="16"/>
          <w:szCs w:val="16"/>
        </w:rPr>
        <w:softHyphen/>
        <w:t>вании мотора АМ-38, даже несмотря на некоторое улучшение аэродинамики самолета, все же были невысокими.</w:t>
      </w:r>
    </w:p>
    <w:p w14:paraId="7AC883A3"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Несмотря на явные недостатки проекта МШ АМ-38, НИИ ВВС КА дал положительное заключе</w:t>
      </w:r>
      <w:r w:rsidRPr="00722885">
        <w:rPr>
          <w:color w:val="000000" w:themeColor="text1"/>
          <w:sz w:val="16"/>
          <w:szCs w:val="16"/>
        </w:rPr>
        <w:softHyphen/>
        <w:t>ние по нему. Рекомендовалось 20-мм пушки ШВАК заменить более эффективными ВЯ калибра 23 мм. Однако 24 августа в замечаниях по проекту плана опытного самолетостроения на 1942 г. военные по</w:t>
      </w:r>
      <w:r w:rsidRPr="00722885">
        <w:rPr>
          <w:color w:val="000000" w:themeColor="text1"/>
          <w:sz w:val="16"/>
          <w:szCs w:val="16"/>
        </w:rPr>
        <w:softHyphen/>
        <w:t>требовали довести экипаж МШ-АМ-38 до 2 человек (летчик и воздушный стрелок) и установить допол</w:t>
      </w:r>
      <w:r w:rsidRPr="00722885">
        <w:rPr>
          <w:color w:val="000000" w:themeColor="text1"/>
          <w:sz w:val="16"/>
          <w:szCs w:val="16"/>
        </w:rPr>
        <w:softHyphen/>
        <w:t>нительное вооружение для стрельбы назад (17500).</w:t>
      </w:r>
    </w:p>
    <w:p w14:paraId="796EF1FC" w14:textId="77777777" w:rsidR="00C114EC" w:rsidRPr="00722885" w:rsidRDefault="00C114EC" w:rsidP="00722885">
      <w:pPr>
        <w:spacing w:after="0" w:line="240" w:lineRule="auto"/>
        <w:jc w:val="both"/>
        <w:rPr>
          <w:rFonts w:ascii="Times New Roman" w:hAnsi="Times New Roman"/>
          <w:color w:val="000000" w:themeColor="text1"/>
          <w:sz w:val="16"/>
          <w:szCs w:val="16"/>
        </w:rPr>
      </w:pPr>
    </w:p>
    <w:p w14:paraId="3046455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В.К.К. начал летные испытания двухместного Ил-2 с М-82. Ви был В.В.Семенов (3846,17).</w:t>
      </w:r>
    </w:p>
    <w:p w14:paraId="12DFBB2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По-видимому, первого серийного.</w:t>
      </w:r>
    </w:p>
    <w:p w14:paraId="2C1BB4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99A6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г. из-за неудовлетворительной работы механизма уборки шасси, течм воздуха в пневмосистеме, разруше</w:t>
      </w:r>
      <w:r w:rsidRPr="00722885">
        <w:rPr>
          <w:rFonts w:ascii="Times New Roman" w:hAnsi="Times New Roman"/>
          <w:color w:val="000000" w:themeColor="text1"/>
          <w:sz w:val="16"/>
          <w:szCs w:val="16"/>
        </w:rPr>
        <w:softHyphen/>
        <w:t>ния капота на скорости порядка 610 км/ч и др, а также из-за перегрева цилиндров мотора проведение испытаний И-185 Эталона приостановили до 10 ав</w:t>
      </w:r>
      <w:r w:rsidRPr="00722885">
        <w:rPr>
          <w:rFonts w:ascii="Times New Roman" w:hAnsi="Times New Roman"/>
          <w:color w:val="000000" w:themeColor="text1"/>
          <w:sz w:val="16"/>
          <w:szCs w:val="16"/>
        </w:rPr>
        <w:softHyphen/>
        <w:t>густа для устранения дефектов. Между тем, возобновились наземные испытания И-185 с М-90. Безрезультатно меняли двигатель за дви</w:t>
      </w:r>
      <w:r w:rsidRPr="00722885">
        <w:rPr>
          <w:rFonts w:ascii="Times New Roman" w:hAnsi="Times New Roman"/>
          <w:color w:val="000000" w:themeColor="text1"/>
          <w:sz w:val="16"/>
          <w:szCs w:val="16"/>
        </w:rPr>
        <w:softHyphen/>
        <w:t>гателем, зачастую на еще более худшего изготовления. Николай Николаевич был вынужден обратиться за со</w:t>
      </w:r>
      <w:r w:rsidRPr="00722885">
        <w:rPr>
          <w:rFonts w:ascii="Times New Roman" w:hAnsi="Times New Roman"/>
          <w:color w:val="000000" w:themeColor="text1"/>
          <w:sz w:val="16"/>
          <w:szCs w:val="16"/>
        </w:rPr>
        <w:softHyphen/>
        <w:t>действием в соответствующий главк наркомата (10667).</w:t>
      </w:r>
    </w:p>
    <w:p w14:paraId="6005EB9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AD45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22 июля 1942 г. на ИТП (М) удалось выполнить всего де</w:t>
      </w:r>
      <w:r w:rsidRPr="00722885">
        <w:rPr>
          <w:rFonts w:ascii="Times New Roman" w:hAnsi="Times New Roman"/>
          <w:color w:val="000000" w:themeColor="text1"/>
          <w:sz w:val="16"/>
          <w:szCs w:val="16"/>
        </w:rPr>
        <w:softHyphen/>
        <w:t>вять кратковременных доводочных и контрольных по</w:t>
      </w:r>
      <w:r w:rsidRPr="00722885">
        <w:rPr>
          <w:rFonts w:ascii="Times New Roman" w:hAnsi="Times New Roman"/>
          <w:color w:val="000000" w:themeColor="text1"/>
          <w:sz w:val="16"/>
          <w:szCs w:val="16"/>
        </w:rPr>
        <w:softHyphen/>
        <w:t>летов. Они показали, что сильный перегрев масла и его постоянный выброс из суфлера не позволяет получить от двигателя ожидаемой мощности, из-за чего взлет тя</w:t>
      </w:r>
      <w:r w:rsidRPr="00722885">
        <w:rPr>
          <w:rFonts w:ascii="Times New Roman" w:hAnsi="Times New Roman"/>
          <w:color w:val="000000" w:themeColor="text1"/>
          <w:sz w:val="16"/>
          <w:szCs w:val="16"/>
        </w:rPr>
        <w:softHyphen/>
        <w:t>жел, даже с неполной нагрузкой. Ввиду ежедневных разборок и регулировок мотора вооружение не устанав</w:t>
      </w:r>
      <w:r w:rsidRPr="00722885">
        <w:rPr>
          <w:rFonts w:ascii="Times New Roman" w:hAnsi="Times New Roman"/>
          <w:color w:val="000000" w:themeColor="text1"/>
          <w:sz w:val="16"/>
          <w:szCs w:val="16"/>
        </w:rPr>
        <w:softHyphen/>
        <w:t>ливали. По той же причине консольные бензобаки топ</w:t>
      </w:r>
      <w:r w:rsidRPr="00722885">
        <w:rPr>
          <w:rFonts w:ascii="Times New Roman" w:hAnsi="Times New Roman"/>
          <w:color w:val="000000" w:themeColor="text1"/>
          <w:sz w:val="16"/>
          <w:szCs w:val="16"/>
        </w:rPr>
        <w:softHyphen/>
        <w:t>ливом не заполняли и поэтому бензосистему полностью не отрабатывали. Заводу № 51 было предписано до 10 августа 1942 г. довести самолет до нормального летного состояния и передать его на испытания в НИИ ВВС. Однако сде</w:t>
      </w:r>
      <w:r w:rsidRPr="00722885">
        <w:rPr>
          <w:rFonts w:ascii="Times New Roman" w:hAnsi="Times New Roman"/>
          <w:color w:val="000000" w:themeColor="text1"/>
          <w:sz w:val="16"/>
          <w:szCs w:val="16"/>
        </w:rPr>
        <w:softHyphen/>
        <w:t>лать этого в срок не удалось из-за дефектов двигателя (10667).</w:t>
      </w:r>
    </w:p>
    <w:p w14:paraId="2C21166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66210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22 июля 1942 г. на ИТП М-1 удалось выполнить всего девять кратковременных контрольных полетов. Они показали, что сильный перегрев масла и его постоянный выброс из суфлера не позволяют получить на М-107 полную мощность, что значительно снижало характеристики самолета. По причине постоянных переборок и регулировок двигателя вооружение на этом этапе не устанавливали. По той же причине не пользовались консольными топливными баками, поэтому бензосистему полностью не отрабатывали. Заводу № 51 предписывалось до 10 августа 1942 г. довести самолет до нормального летного состояния и передать его на испытания в НИИ ВВС. Однако сделать этого в срок не удалось. 26 августа 1942 г. летчик Зайцев совершил вынужденную посадку на аэродроме по причине разрушения подшипников вала двигателя.</w:t>
      </w:r>
    </w:p>
    <w:p w14:paraId="450CC8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16813FF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777F9D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75BBCFE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Несмотря на то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B487A" w:rsidRPr="00722885" w14:paraId="71E98F83" w14:textId="77777777" w:rsidTr="00CC5360">
        <w:tc>
          <w:tcPr>
            <w:tcW w:w="3736" w:type="dxa"/>
            <w:tcBorders>
              <w:top w:val="single" w:sz="12" w:space="0" w:color="auto"/>
            </w:tcBorders>
          </w:tcPr>
          <w:p w14:paraId="4122E34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7276BE7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w:t>
            </w:r>
          </w:p>
        </w:tc>
        <w:tc>
          <w:tcPr>
            <w:tcW w:w="3736" w:type="dxa"/>
            <w:tcBorders>
              <w:top w:val="single" w:sz="12" w:space="0" w:color="auto"/>
            </w:tcBorders>
          </w:tcPr>
          <w:p w14:paraId="5076A01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w:t>
            </w:r>
          </w:p>
        </w:tc>
      </w:tr>
      <w:tr w:rsidR="009B487A" w:rsidRPr="00722885" w14:paraId="79307FF4" w14:textId="77777777" w:rsidTr="00CC5360">
        <w:tc>
          <w:tcPr>
            <w:tcW w:w="3736" w:type="dxa"/>
          </w:tcPr>
          <w:p w14:paraId="283395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Размах крыла (м)</w:t>
            </w:r>
          </w:p>
        </w:tc>
        <w:tc>
          <w:tcPr>
            <w:tcW w:w="3736" w:type="dxa"/>
          </w:tcPr>
          <w:p w14:paraId="5DE8A1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3736" w:type="dxa"/>
          </w:tcPr>
          <w:p w14:paraId="407C3C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r>
      <w:tr w:rsidR="009B487A" w:rsidRPr="00722885" w14:paraId="50EE8E23" w14:textId="77777777" w:rsidTr="00CC5360">
        <w:tc>
          <w:tcPr>
            <w:tcW w:w="3736" w:type="dxa"/>
          </w:tcPr>
          <w:p w14:paraId="54A99B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в линии полета (м)</w:t>
            </w:r>
          </w:p>
        </w:tc>
        <w:tc>
          <w:tcPr>
            <w:tcW w:w="3736" w:type="dxa"/>
          </w:tcPr>
          <w:p w14:paraId="09D0406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8,95</w:t>
            </w:r>
          </w:p>
        </w:tc>
        <w:tc>
          <w:tcPr>
            <w:tcW w:w="3736" w:type="dxa"/>
          </w:tcPr>
          <w:p w14:paraId="1543465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w:t>
            </w:r>
          </w:p>
        </w:tc>
      </w:tr>
      <w:tr w:rsidR="009B487A" w:rsidRPr="00722885" w14:paraId="25D5FB87" w14:textId="77777777" w:rsidTr="00CC5360">
        <w:tc>
          <w:tcPr>
            <w:tcW w:w="3736" w:type="dxa"/>
          </w:tcPr>
          <w:p w14:paraId="6ACFAB5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(м2)</w:t>
            </w:r>
          </w:p>
        </w:tc>
        <w:tc>
          <w:tcPr>
            <w:tcW w:w="3736" w:type="dxa"/>
          </w:tcPr>
          <w:p w14:paraId="3BECB4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16,45</w:t>
            </w:r>
          </w:p>
        </w:tc>
        <w:tc>
          <w:tcPr>
            <w:tcW w:w="3736" w:type="dxa"/>
          </w:tcPr>
          <w:p w14:paraId="02E1A72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16,45</w:t>
            </w:r>
          </w:p>
        </w:tc>
      </w:tr>
      <w:tr w:rsidR="009B487A" w:rsidRPr="00722885" w14:paraId="240C84B4" w14:textId="77777777" w:rsidTr="00CC5360">
        <w:tc>
          <w:tcPr>
            <w:tcW w:w="3736" w:type="dxa"/>
          </w:tcPr>
          <w:p w14:paraId="1D1F2F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пустого (кг)</w:t>
            </w:r>
          </w:p>
        </w:tc>
        <w:tc>
          <w:tcPr>
            <w:tcW w:w="3736" w:type="dxa"/>
          </w:tcPr>
          <w:p w14:paraId="507400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2598</w:t>
            </w:r>
          </w:p>
        </w:tc>
        <w:tc>
          <w:tcPr>
            <w:tcW w:w="3736" w:type="dxa"/>
          </w:tcPr>
          <w:p w14:paraId="0D4B7D2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3095</w:t>
            </w:r>
          </w:p>
        </w:tc>
      </w:tr>
      <w:tr w:rsidR="009B487A" w:rsidRPr="00722885" w14:paraId="75CD8B1F" w14:textId="77777777" w:rsidTr="00CC5360">
        <w:tc>
          <w:tcPr>
            <w:tcW w:w="3736" w:type="dxa"/>
          </w:tcPr>
          <w:p w14:paraId="0F4BB0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(кг)</w:t>
            </w:r>
          </w:p>
        </w:tc>
        <w:tc>
          <w:tcPr>
            <w:tcW w:w="3736" w:type="dxa"/>
          </w:tcPr>
          <w:p w14:paraId="65CB7A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3750 (3366)</w:t>
            </w:r>
          </w:p>
        </w:tc>
        <w:tc>
          <w:tcPr>
            <w:tcW w:w="3736" w:type="dxa"/>
          </w:tcPr>
          <w:p w14:paraId="4A31DBE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3820</w:t>
            </w:r>
          </w:p>
        </w:tc>
      </w:tr>
      <w:tr w:rsidR="009B487A" w:rsidRPr="00722885" w14:paraId="62D3C23D" w14:textId="77777777" w:rsidTr="00CC5360">
        <w:tc>
          <w:tcPr>
            <w:tcW w:w="3736" w:type="dxa"/>
          </w:tcPr>
          <w:p w14:paraId="695F278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Нагрузка на крыло (кг/м2)</w:t>
            </w:r>
          </w:p>
        </w:tc>
        <w:tc>
          <w:tcPr>
            <w:tcW w:w="3736" w:type="dxa"/>
          </w:tcPr>
          <w:p w14:paraId="027C95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227</w:t>
            </w:r>
          </w:p>
        </w:tc>
        <w:tc>
          <w:tcPr>
            <w:tcW w:w="3736" w:type="dxa"/>
          </w:tcPr>
          <w:p w14:paraId="0083FED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232</w:t>
            </w:r>
          </w:p>
        </w:tc>
      </w:tr>
      <w:tr w:rsidR="009B487A" w:rsidRPr="00722885" w14:paraId="3A9161FF" w14:textId="77777777" w:rsidTr="00CC5360">
        <w:tc>
          <w:tcPr>
            <w:tcW w:w="3736" w:type="dxa"/>
          </w:tcPr>
          <w:p w14:paraId="70CF89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у земли (км/ч)</w:t>
            </w:r>
          </w:p>
        </w:tc>
        <w:tc>
          <w:tcPr>
            <w:tcW w:w="3736" w:type="dxa"/>
          </w:tcPr>
          <w:p w14:paraId="64ED112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541</w:t>
            </w:r>
          </w:p>
        </w:tc>
        <w:tc>
          <w:tcPr>
            <w:tcW w:w="3736" w:type="dxa"/>
          </w:tcPr>
          <w:p w14:paraId="75B84DE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540</w:t>
            </w:r>
          </w:p>
        </w:tc>
      </w:tr>
      <w:tr w:rsidR="009B487A" w:rsidRPr="00722885" w14:paraId="0B880F8A" w14:textId="77777777" w:rsidTr="00CC5360">
        <w:tc>
          <w:tcPr>
            <w:tcW w:w="3736" w:type="dxa"/>
          </w:tcPr>
          <w:p w14:paraId="76694DC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 скорость у земли на форсаже (км/ч)</w:t>
            </w:r>
          </w:p>
        </w:tc>
        <w:tc>
          <w:tcPr>
            <w:tcW w:w="3736" w:type="dxa"/>
          </w:tcPr>
          <w:p w14:paraId="40D9927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549</w:t>
            </w:r>
          </w:p>
        </w:tc>
        <w:tc>
          <w:tcPr>
            <w:tcW w:w="3736" w:type="dxa"/>
          </w:tcPr>
          <w:p w14:paraId="75D51B5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w:t>
            </w:r>
          </w:p>
        </w:tc>
      </w:tr>
      <w:tr w:rsidR="009B487A" w:rsidRPr="00722885" w14:paraId="1A25C812" w14:textId="77777777" w:rsidTr="00CC5360">
        <w:tc>
          <w:tcPr>
            <w:tcW w:w="3736" w:type="dxa"/>
          </w:tcPr>
          <w:p w14:paraId="7DC8D6B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на высоте 5000 м (км/ч)</w:t>
            </w:r>
          </w:p>
        </w:tc>
        <w:tc>
          <w:tcPr>
            <w:tcW w:w="3736" w:type="dxa"/>
          </w:tcPr>
          <w:p w14:paraId="1CE1B2B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645*</w:t>
            </w:r>
          </w:p>
        </w:tc>
        <w:tc>
          <w:tcPr>
            <w:tcW w:w="3736" w:type="dxa"/>
          </w:tcPr>
          <w:p w14:paraId="19923C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560**</w:t>
            </w:r>
          </w:p>
        </w:tc>
      </w:tr>
      <w:tr w:rsidR="009B487A" w:rsidRPr="00722885" w14:paraId="358931DD" w14:textId="77777777" w:rsidTr="00CC5360">
        <w:tc>
          <w:tcPr>
            <w:tcW w:w="3736" w:type="dxa"/>
          </w:tcPr>
          <w:p w14:paraId="367908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(мин)</w:t>
            </w:r>
          </w:p>
        </w:tc>
        <w:tc>
          <w:tcPr>
            <w:tcW w:w="3736" w:type="dxa"/>
          </w:tcPr>
          <w:p w14:paraId="5C3B4B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w:t>
            </w:r>
          </w:p>
        </w:tc>
        <w:tc>
          <w:tcPr>
            <w:tcW w:w="3736" w:type="dxa"/>
          </w:tcPr>
          <w:p w14:paraId="69C13E8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w:t>
            </w:r>
          </w:p>
        </w:tc>
      </w:tr>
      <w:tr w:rsidR="009B487A" w:rsidRPr="00722885" w14:paraId="746ADFBB" w14:textId="77777777" w:rsidTr="00CC5360">
        <w:tc>
          <w:tcPr>
            <w:tcW w:w="3736" w:type="dxa"/>
            <w:tcBorders>
              <w:bottom w:val="single" w:sz="12" w:space="0" w:color="auto"/>
            </w:tcBorders>
          </w:tcPr>
          <w:p w14:paraId="6B4ABD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Потолок (м)</w:t>
            </w:r>
          </w:p>
        </w:tc>
        <w:tc>
          <w:tcPr>
            <w:tcW w:w="3736" w:type="dxa"/>
            <w:tcBorders>
              <w:bottom w:val="single" w:sz="12" w:space="0" w:color="auto"/>
            </w:tcBorders>
          </w:tcPr>
          <w:p w14:paraId="2D487C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3736" w:type="dxa"/>
            <w:tcBorders>
              <w:bottom w:val="single" w:sz="12" w:space="0" w:color="auto"/>
            </w:tcBorders>
          </w:tcPr>
          <w:p w14:paraId="50CA1A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11500</w:t>
            </w:r>
          </w:p>
        </w:tc>
      </w:tr>
    </w:tbl>
    <w:p w14:paraId="4315F0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Скорость на высоте 6200 м</w:t>
      </w:r>
    </w:p>
    <w:p w14:paraId="3BC03F9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Максимальная скорость на 2500 м. на форсаже 650 км/ч</w:t>
      </w:r>
    </w:p>
    <w:p w14:paraId="595597D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Время набора высоты (12016).</w:t>
      </w:r>
    </w:p>
    <w:p w14:paraId="43B0091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8E72E"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22 июля 1942 г. ИТП (М-1) выполнили всего 9 полетов, а по</w:t>
      </w:r>
      <w:r w:rsidRPr="00722885">
        <w:rPr>
          <w:color w:val="000000" w:themeColor="text1"/>
          <w:sz w:val="16"/>
          <w:szCs w:val="16"/>
        </w:rPr>
        <w:softHyphen/>
        <w:t>сле вынужденной посадки 26 августа, когда в поле</w:t>
      </w:r>
      <w:r w:rsidRPr="00722885">
        <w:rPr>
          <w:color w:val="000000" w:themeColor="text1"/>
          <w:sz w:val="16"/>
          <w:szCs w:val="16"/>
        </w:rPr>
        <w:softHyphen/>
        <w:t>те разрушились подшипники вала мотора, полеты на ИТП прекратили. Самолет в ожидании поступле</w:t>
      </w:r>
      <w:r w:rsidRPr="00722885">
        <w:rPr>
          <w:color w:val="000000" w:themeColor="text1"/>
          <w:sz w:val="16"/>
          <w:szCs w:val="16"/>
        </w:rPr>
        <w:softHyphen/>
        <w:t>ния кондиционного мотора М-107П законсервиро</w:t>
      </w:r>
      <w:r w:rsidRPr="00722885">
        <w:rPr>
          <w:color w:val="000000" w:themeColor="text1"/>
          <w:sz w:val="16"/>
          <w:szCs w:val="16"/>
        </w:rPr>
        <w:softHyphen/>
        <w:t>вали. Всего к этому времени на самолете заменили 3 мотора.</w:t>
      </w:r>
    </w:p>
    <w:p w14:paraId="14A9C247" w14:textId="77777777" w:rsidR="00C114EC" w:rsidRPr="00722885" w:rsidRDefault="00C114E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сказать, состояние дел с доводкой мотора М-107П было далеко не самое лучшее. Несмотря на то что мотор в 1942 г. был серийным, заводу № 26 (г. Уфа) не удавалось обеспечить надежность дли</w:t>
      </w:r>
      <w:r w:rsidRPr="00722885">
        <w:rPr>
          <w:color w:val="000000" w:themeColor="text1"/>
          <w:sz w:val="16"/>
          <w:szCs w:val="16"/>
        </w:rPr>
        <w:softHyphen/>
        <w:t>тельной работы ряда узлов и агрегатов мотора. Из общего количества изготовленных заводом мото</w:t>
      </w:r>
      <w:r w:rsidRPr="00722885">
        <w:rPr>
          <w:color w:val="000000" w:themeColor="text1"/>
          <w:sz w:val="16"/>
          <w:szCs w:val="16"/>
        </w:rPr>
        <w:softHyphen/>
        <w:t>ров М-107П около 80% разрушились во время за</w:t>
      </w:r>
      <w:r w:rsidRPr="00722885">
        <w:rPr>
          <w:color w:val="000000" w:themeColor="text1"/>
          <w:sz w:val="16"/>
          <w:szCs w:val="16"/>
        </w:rPr>
        <w:softHyphen/>
        <w:t>водских и государственных стендовых испытаний. Государственные 100-часовые испытания в период с 10 по 25 сентября 1942 г. мотор М-107П пройти не смог из-за поломки шатуна. Интерес ВВС к мотору неуклонно снижался. К тому же наметился опре</w:t>
      </w:r>
      <w:r w:rsidRPr="00722885">
        <w:rPr>
          <w:color w:val="000000" w:themeColor="text1"/>
          <w:sz w:val="16"/>
          <w:szCs w:val="16"/>
        </w:rPr>
        <w:softHyphen/>
        <w:t>деленный успех с доводкой мотора М-106П-1ск (1250/1350 л.с.), который, в отличие от М-107П, имел те же габаритные размеры и посадочные места, что и у массового мотора М-105ПФ, и при этом был легче (600 кг вместо 745 кг — у М-107П и 645 кг — у М-105ПФ). Считалось, что при установке его на серийные самолеты серьезных доработок винтомо</w:t>
      </w:r>
      <w:r w:rsidRPr="00722885">
        <w:rPr>
          <w:color w:val="000000" w:themeColor="text1"/>
          <w:sz w:val="16"/>
          <w:szCs w:val="16"/>
        </w:rPr>
        <w:softHyphen/>
        <w:t>торной группы не потребуется. С этим мотором на заводе № 292 в Саратове предполагалась большая серия истребителей Як-1. Но в ходе доводки М-107П его форсировали по наддуву и понизили высот</w:t>
      </w:r>
      <w:r w:rsidRPr="00722885">
        <w:rPr>
          <w:color w:val="000000" w:themeColor="text1"/>
          <w:sz w:val="16"/>
          <w:szCs w:val="16"/>
        </w:rPr>
        <w:softHyphen/>
        <w:t>ность. Мощность мотора возросла до 1650 л.с. на взлетном режиме и 1550 и 1450 л.с. — на 1-й и 2-й границах высотности соответственно. Постанов</w:t>
      </w:r>
      <w:r w:rsidRPr="00722885">
        <w:rPr>
          <w:color w:val="000000" w:themeColor="text1"/>
          <w:sz w:val="16"/>
          <w:szCs w:val="16"/>
        </w:rPr>
        <w:softHyphen/>
        <w:t>лением ГОКО от 25 сентября и приказом НКАП от 29 сентября 1942 г. ОКБ В. Я. Климова и завод № 26 обязывались к концу года обеспечить 100-часовой ресурс М-107А (М-107ПА) и подготовить его серий</w:t>
      </w:r>
      <w:r w:rsidRPr="00722885">
        <w:rPr>
          <w:color w:val="000000" w:themeColor="text1"/>
          <w:sz w:val="16"/>
          <w:szCs w:val="16"/>
        </w:rPr>
        <w:softHyphen/>
        <w:t>ное производство. Одновременно постановлением ГКО от 10 октября 1942 г. заводу № 26 устанавли</w:t>
      </w:r>
      <w:r w:rsidRPr="00722885">
        <w:rPr>
          <w:color w:val="000000" w:themeColor="text1"/>
          <w:sz w:val="16"/>
          <w:szCs w:val="16"/>
        </w:rPr>
        <w:softHyphen/>
        <w:t>вался план по изготовлению до конца года 37 мото</w:t>
      </w:r>
      <w:r w:rsidRPr="00722885">
        <w:rPr>
          <w:color w:val="000000" w:themeColor="text1"/>
          <w:sz w:val="16"/>
          <w:szCs w:val="16"/>
        </w:rPr>
        <w:softHyphen/>
        <w:t>ров М-107А. Однако возникшие проблемы с надеж</w:t>
      </w:r>
      <w:r w:rsidRPr="00722885">
        <w:rPr>
          <w:color w:val="000000" w:themeColor="text1"/>
          <w:sz w:val="16"/>
          <w:szCs w:val="16"/>
        </w:rPr>
        <w:softHyphen/>
        <w:t>ностью и устойчивостью в работе моторов М-107А не позволили в полном объеме выполнить это за</w:t>
      </w:r>
      <w:r w:rsidRPr="00722885">
        <w:rPr>
          <w:color w:val="000000" w:themeColor="text1"/>
          <w:sz w:val="16"/>
          <w:szCs w:val="16"/>
        </w:rPr>
        <w:softHyphen/>
        <w:t>дание. Фактически завод № 26 уже в декабре пре</w:t>
      </w:r>
      <w:r w:rsidRPr="00722885">
        <w:rPr>
          <w:color w:val="000000" w:themeColor="text1"/>
          <w:sz w:val="16"/>
          <w:szCs w:val="16"/>
        </w:rPr>
        <w:softHyphen/>
        <w:t>кратил серийное изготовление моторов этого типа. Только в январе 1943 г. мотор М-107А удовлетво</w:t>
      </w:r>
      <w:r w:rsidRPr="00722885">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722885">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4F8EED37" w14:textId="77777777" w:rsidR="00C114EC" w:rsidRPr="00722885" w:rsidRDefault="00C114EC" w:rsidP="00722885">
      <w:pPr>
        <w:spacing w:after="0" w:line="240" w:lineRule="auto"/>
        <w:jc w:val="both"/>
        <w:rPr>
          <w:rFonts w:ascii="Times New Roman" w:eastAsia="Times New Roman" w:hAnsi="Times New Roman"/>
          <w:color w:val="000000" w:themeColor="text1"/>
          <w:sz w:val="16"/>
          <w:szCs w:val="16"/>
          <w:lang w:eastAsia="ru-RU"/>
        </w:rPr>
      </w:pPr>
    </w:p>
    <w:p w14:paraId="392F458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в Москве была завершена сборка и регулировка планера-танка А-40 ЛТ или КТ О.К.А., прибывшего из Тюмени и его доставили в ЛИИ (94,91).</w:t>
      </w:r>
    </w:p>
    <w:p w14:paraId="658A16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515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л завода 462 П.У.Фокин поломал МиГ-3, преждевременно убрав шасси на взлете (2108).</w:t>
      </w:r>
    </w:p>
    <w:p w14:paraId="7599B7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7D9FD" w14:textId="77777777" w:rsidR="00526171" w:rsidRPr="00722885" w:rsidRDefault="0052617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года на аэродроме ЛИИ в Кратово собрали планер и танк, привезенный их Тюмени. Осенью 1942 г. планер КТ впервые поднялся в воздух. Увы, этот первый испытательный полёт оказался единственным. Командиром самолёта-буксировщика – четырёхмоторного ТБ-3 с двигателями АМ-34РНВ – был П.А.Еремеев. Пилотом танка-планёра, а одновременно и механиком-водителем, стал лётчик-испытатель С.Н.Анохин. Согласно отчёту, разбег и отрыв производился при взлётном форсаже моторов. Вес самолёта был равен 17500 кг. Планёр оторвался на скорости 110-115 км/час, самолёт на скорости 120 км/час. Как оказалось, мощность четырёх двигателей самолёта ТБ-3 явно не обеспечивала уверенного полёта. Процитируем отчёт об испытаниях: «При форсированных оборотах мотора была набрана высота 30-40 м. После частичной уборки форсажа /…/ поезд сохранил горизонтальный полёт на скорости 130 км/час. При увеличении скорости до 140 км/час поезд снижался с вертикальной скоростью 0,5 м/сек. Не имея возможности набрать высоту, было принято решение сделать отцепку планера с прямой над аэродромом Быково. Посадка был сделана благополучно. /…/ После приземления планер немного развернуло. Длина пробега около 20 метров /…/. С быковского аэродрома на аэродром (название замазано, речь идёт о Монино) (8 км) планер «АТ» без разборки был доставлен самоходом. Ввиду недостатка мощности на самолете ТБ-3 4АМ34РНВ для буксировки планера «АТ», дальнейшие испытания были приостановлены». «Летающий танк» Антонова вернули в Кратово (на аэродром ЛИИ), и более он никогда не поднимался в воздух. Результаты могли бы быть более успешными в случае использовании в качестве буксировщика самолёта ТБ-7 (Пе-8). Однако это было бы непозволительной роскошью – таких самолётов насчитывалось в строю всего около 40, и они были остро необходимы для других целей. По этой причине работа над «летающим танком» КТ (А-40) не получила продолжения (19165).</w:t>
      </w:r>
    </w:p>
    <w:p w14:paraId="04E281AD" w14:textId="77777777" w:rsidR="00526171" w:rsidRPr="00722885" w:rsidRDefault="00526171" w:rsidP="00722885">
      <w:pPr>
        <w:spacing w:after="0" w:line="240" w:lineRule="auto"/>
        <w:jc w:val="both"/>
        <w:rPr>
          <w:rFonts w:ascii="Times New Roman" w:hAnsi="Times New Roman"/>
          <w:color w:val="000000" w:themeColor="text1"/>
          <w:sz w:val="16"/>
          <w:szCs w:val="16"/>
        </w:rPr>
      </w:pPr>
    </w:p>
    <w:p w14:paraId="0095774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НАЧАЛЬНИК СТРОИТЕЛЬСТВА ЗАВОДА № 600 Коробко А.С. и директор ЕСЬКОВ В.С. писали НКВТ А.И.М. РАПОРТ</w:t>
      </w:r>
    </w:p>
    <w:p w14:paraId="010CD54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 окончании строительства, освоении и работе завода № 600</w:t>
      </w:r>
    </w:p>
    <w:p w14:paraId="645FB8E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основании Постановления Правительства и приказа НКАП, 10-я Строительно-монтажная Контора ГУКС'а НКАП, согласно проекту и генеральной смете, в точном соответствии с техническими условиями построила самолётно-сборочный завод, военный городок и жилищно-культурно-бытовые объекты в Западном Китае.</w:t>
      </w:r>
    </w:p>
    <w:p w14:paraId="4745314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построено и сдано с оценкой на «отлично»:</w:t>
      </w:r>
    </w:p>
    <w:p w14:paraId="448104C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Производственных зданий - 12332м2</w:t>
      </w:r>
    </w:p>
    <w:p w14:paraId="24A03948"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Жилых и культурно-бытовых зданий — 9911 м</w:t>
      </w:r>
      <w:r w:rsidRPr="00722885">
        <w:rPr>
          <w:rFonts w:ascii="Times New Roman" w:hAnsi="Times New Roman"/>
          <w:color w:val="000000" w:themeColor="text1"/>
          <w:sz w:val="16"/>
          <w:szCs w:val="16"/>
          <w:vertAlign w:val="superscript"/>
        </w:rPr>
        <w:t>2</w:t>
      </w:r>
    </w:p>
    <w:p w14:paraId="31C2387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городок — 5588 м2</w:t>
      </w:r>
    </w:p>
    <w:p w14:paraId="02FD787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Внешние сети водопровода, канализации, теплофикации — 10861 погон. м.</w:t>
      </w:r>
    </w:p>
    <w:p w14:paraId="51022B8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Безрельсовые дороги — 41294 погон. м.</w:t>
      </w:r>
    </w:p>
    <w:p w14:paraId="5B4D389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Электросети— 5300 погон, м.</w:t>
      </w:r>
    </w:p>
    <w:p w14:paraId="3C8088B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Общим количеством: 78 зданий, искусственный водоём, аэродром и дороги на общей застроенной площади в 120.000м2.</w:t>
      </w:r>
    </w:p>
    <w:p w14:paraId="2A0AA7F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Строительство завода выполнено со снижением себестоимости против утверждённых смет на 16,9 </w:t>
      </w:r>
      <w:r w:rsidRPr="00722885">
        <w:rPr>
          <w:rFonts w:ascii="Times New Roman" w:hAnsi="Times New Roman"/>
          <w:iCs/>
          <w:color w:val="000000" w:themeColor="text1"/>
          <w:sz w:val="16"/>
          <w:szCs w:val="16"/>
        </w:rPr>
        <w:t xml:space="preserve">% </w:t>
      </w:r>
      <w:r w:rsidRPr="00722885">
        <w:rPr>
          <w:rFonts w:ascii="Times New Roman" w:hAnsi="Times New Roman"/>
          <w:color w:val="000000" w:themeColor="text1"/>
          <w:sz w:val="16"/>
          <w:szCs w:val="16"/>
        </w:rPr>
        <w:t>или сэкономлено 5502 тыс. руб, из которых 470 тысяч инвалютных руб.</w:t>
      </w:r>
    </w:p>
    <w:p w14:paraId="75DB228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Через 6 месяцев после начала строительных работ в срок, установленный Правительством, прибывший в октябре месяце 1940 года коллектив завода приступил к освоению завода и в трехмесячный срок в условиях незаконченного строительства организовал завод. В том же 1940 году собраны первые шесть самолётов гласно графику НКАП.</w:t>
      </w:r>
    </w:p>
    <w:p w14:paraId="72C930F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Утверждённая СНК СССР, ЦК ВКП(б) и НКАП годовая программа по сборке и сдаче Наркомату Обороны СССР 143 самолётов И-16 заводом была выполнена досрочно на 2 месяца и 10 дней. Пуск и освоение завода проведены с экономией в 10,7 </w:t>
      </w:r>
      <w:r w:rsidRPr="00722885">
        <w:rPr>
          <w:rFonts w:ascii="Times New Roman" w:hAnsi="Times New Roman"/>
          <w:iCs/>
          <w:color w:val="000000" w:themeColor="text1"/>
          <w:sz w:val="16"/>
          <w:szCs w:val="16"/>
        </w:rPr>
        <w:t xml:space="preserve">% </w:t>
      </w:r>
      <w:r w:rsidRPr="00722885">
        <w:rPr>
          <w:rFonts w:ascii="Times New Roman" w:hAnsi="Times New Roman"/>
          <w:color w:val="000000" w:themeColor="text1"/>
          <w:sz w:val="16"/>
          <w:szCs w:val="16"/>
        </w:rPr>
        <w:t>или сэкономлено 575 тысяч инвалютных рублей против утверждённых Правительством смет. Собранные самолёты, по заключению УВВС КА, обладали высокими лётными качествами, а доставка их в Союз была организована летом. Досрочно закончив годовую про грамму 1941 г., завод в полтора месяца провёл большую работу по перестройке самолётно-сборочного завода на изготовление необходимых фронту остродефицитных частей к самолетам И-16, ЛАГГ-3 и ЯК-76, для чего к 1 января 1942 г. на базе построенных сооружений своими силами завод за счёт использования внутренних ресурсов организовал новые цеха: агрегатно-сборочный с малярной и обойной мастерскими, слесарно-сварочный, заготовительно-медницкий. гальванический, термический и инструментальный. Проведённое на заводе № 153 испытание качества изготовленных агрегатов, подтвердило хорошее выполнение работ, стыковка агрегатов полностью соответствует установленным техническим условиям. Для ускорения и упрощения процесса изготовления агрегатов на заводе применен опыт наших передовых авиапредприятий и заводов Дугласа и Вульти</w:t>
      </w:r>
    </w:p>
    <w:p w14:paraId="2B6796E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Проведена большая работа по переквалификации кадров сборщиков на необходимые новые специальности, а также по подготовке кадров из местно</w:t>
      </w:r>
      <w:r w:rsidRPr="00722885">
        <w:rPr>
          <w:rFonts w:ascii="Times New Roman" w:hAnsi="Times New Roman"/>
          <w:color w:val="000000" w:themeColor="text1"/>
          <w:sz w:val="16"/>
          <w:szCs w:val="16"/>
        </w:rPr>
        <w:softHyphen/>
        <w:t>го отсталого населения.</w:t>
      </w:r>
    </w:p>
    <w:p w14:paraId="4014A71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января 1942 завод полностью освоил изготовление частей самолетов и и программу 1-го полугодия 1942 года выполнил на 104% и на 5 дней раньше срока.</w:t>
      </w:r>
    </w:p>
    <w:p w14:paraId="735AACF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Проведённая реконструкция самомолетно-сборочного завода своими силами создала все условия к превращению за вода № 600 в самолётостроительный. Завод создал все необходимые культурно-бытовые условия для командированных из Союза работников и членов</w:t>
      </w:r>
      <w:r w:rsidRPr="00722885">
        <w:rPr>
          <w:rFonts w:ascii="Times New Roman" w:hAnsi="Times New Roman"/>
          <w:iCs/>
          <w:color w:val="000000" w:themeColor="text1"/>
          <w:sz w:val="16"/>
          <w:szCs w:val="16"/>
        </w:rPr>
        <w:t xml:space="preserve"> их </w:t>
      </w:r>
      <w:r w:rsidRPr="00722885">
        <w:rPr>
          <w:rFonts w:ascii="Times New Roman" w:hAnsi="Times New Roman"/>
          <w:color w:val="000000" w:themeColor="text1"/>
          <w:sz w:val="16"/>
          <w:szCs w:val="16"/>
        </w:rPr>
        <w:t xml:space="preserve">семей, а также для работающих на за воде рабочих из местного населения. Имеется больница, школа 10-летка, детсад, детясли, клуб, баня-прачечная . В настоящее время коллектив завода располагает собственной мощной продовольственной и топливной базой (подсобное хозяйство и ряд предприятий пищевого производства, угольная шахта). Выпуск изделий ширпотреба: лож ки, </w:t>
      </w:r>
      <w:r w:rsidRPr="00722885">
        <w:rPr>
          <w:rFonts w:ascii="Times New Roman" w:hAnsi="Times New Roman"/>
          <w:color w:val="000000" w:themeColor="text1"/>
          <w:sz w:val="16"/>
          <w:szCs w:val="16"/>
        </w:rPr>
        <w:lastRenderedPageBreak/>
        <w:t>пуговицы, мыло, а также и пищевого производства: колбасные, кондитерские, пиво и др. может быть увеличен и сдаваться Совсиньторгу для экспорт ной продажи. Разрешение Наркома т. Шахурина на сдачу продукции наше го подсобного производства В/О «Совсиньторг» имеется. Строительство и освоение завода проводилось в трудных специфических условиях отсталой провинции Китая, оторванности завода от ближайшей жел. дор. станции на расстоянии 900 километров, наличия на трассе двух высокогорных перевалов, на совершенно голом плато при наличии ураганных ветров и тяжёлых климатических условий (жара до 70°) и при ограниченном количестве работников, откомандированных из Союза.</w:t>
      </w:r>
    </w:p>
    <w:p w14:paraId="78A96AFF"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Считаем необходимым отметить большую помощь, оказанную строи</w:t>
      </w:r>
      <w:r w:rsidRPr="00722885">
        <w:rPr>
          <w:rFonts w:ascii="Times New Roman" w:hAnsi="Times New Roman"/>
          <w:color w:val="000000" w:themeColor="text1"/>
          <w:sz w:val="16"/>
          <w:szCs w:val="16"/>
        </w:rPr>
        <w:softHyphen/>
        <w:t>тельству и заводу со стороны аппарата НКВТ, ведающего Зап. Китаем, и руко</w:t>
      </w:r>
      <w:r w:rsidRPr="00722885">
        <w:rPr>
          <w:rFonts w:ascii="Times New Roman" w:hAnsi="Times New Roman"/>
          <w:color w:val="000000" w:themeColor="text1"/>
          <w:sz w:val="16"/>
          <w:szCs w:val="16"/>
        </w:rPr>
        <w:softHyphen/>
        <w:t>водства В/О «Совсиньторг» по пере</w:t>
      </w:r>
      <w:r w:rsidRPr="00722885">
        <w:rPr>
          <w:rFonts w:ascii="Times New Roman" w:hAnsi="Times New Roman"/>
          <w:color w:val="000000" w:themeColor="text1"/>
          <w:sz w:val="16"/>
          <w:szCs w:val="16"/>
        </w:rPr>
        <w:softHyphen/>
        <w:t>броске грузов отечественного произ</w:t>
      </w:r>
      <w:r w:rsidRPr="00722885">
        <w:rPr>
          <w:rFonts w:ascii="Times New Roman" w:hAnsi="Times New Roman"/>
          <w:color w:val="000000" w:themeColor="text1"/>
          <w:sz w:val="16"/>
          <w:szCs w:val="16"/>
        </w:rPr>
        <w:softHyphen/>
        <w:t>водства из Союза.</w:t>
      </w:r>
    </w:p>
    <w:p w14:paraId="167AA39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более подробного доклада просим нас принять.</w:t>
      </w:r>
    </w:p>
    <w:p w14:paraId="79E1869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СТРОИТЕЛЬСТВА ЗАВОДА (Коробко А.С.) ДИРЕКТОР (ЕСЬКОВ В.С.)</w:t>
      </w:r>
    </w:p>
    <w:p w14:paraId="5BF4CF9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23.VI1.42 г.</w:t>
      </w:r>
    </w:p>
    <w:p w14:paraId="59CD404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первой странице этого рапорта есть резолюция; «Надо бы работников этого строительства и завода награ</w:t>
      </w:r>
      <w:r w:rsidRPr="00722885">
        <w:rPr>
          <w:rFonts w:ascii="Times New Roman" w:hAnsi="Times New Roman"/>
          <w:color w:val="000000" w:themeColor="text1"/>
          <w:sz w:val="16"/>
          <w:szCs w:val="16"/>
        </w:rPr>
        <w:softHyphen/>
        <w:t>дить. 23.УШ. А.Микоян».</w:t>
      </w:r>
    </w:p>
    <w:p w14:paraId="3226DA60"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9469C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33AA7CB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7E48C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22 июля по 11 августа 1942 года на полигоне в районе Нижнего Тагила проводились Государственные испытания нововведений на трех танках Т-34.</w:t>
      </w:r>
    </w:p>
    <w:p w14:paraId="3DBAAF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испытания новой коробки передач и башни с башенкой была создана специальная государственная комиссия. Завод № 183 представил на испытания два танка Т-34 с обычными башнями, 5-скоростной коробкой перемены передач и натяжными механизмами двух вариантов - с треугольной и трапециодальной резьбой (в документах эти машины иногда именуются Т-34С - «скоростной») и один танк с новой башней, оснащенной командирской башенкой, но с 4-скоростной коробкой.</w:t>
      </w:r>
    </w:p>
    <w:p w14:paraId="3DF6CCB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за семь ходовых дней машины прошли более 1500 километров.</w:t>
      </w:r>
    </w:p>
    <w:p w14:paraId="4019989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танк Т-34 с 5-скоростной коробкой поступил на испытания 22 июля 1942 года, до этого прошел 430 километров. Второй Т-34 был представлен госкомиссии 31 июля, к этому моменту пробег машины составлял 2500 километров.</w:t>
      </w:r>
    </w:p>
    <w:p w14:paraId="30FFFDE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Серийная машина Т-34 с новой башней поступила 9 августа 1942 года. Новая башня представляла собой литую конструкцию, выполненную за одно целое с командирской башенкой и с серийным погоном 1420 мм. Ее масса составляла 4300 килограмм, что на 100 килограмм было больше, чем серийная башня тридцатьчетверки. В командирской башенке, расположенной по центру в задней части крыши, имелось 5 прорезей, в которые вставлялись призматические смотровые приборы. Каждая кассета с призмой при помощи специального рычага могла опускаться. Углы обзора из командирской башенки составляли вниз 20 градусов и вверх 9 градусов, по горизонту обеспечивался круговой обзор, мертвое пространство составляло 7 метров. Командир, наблюдающий из башенки, размещался на сиденье в нише башни. Ноги он ставил на специальные подножки, закрепленные на кронштейнах сидений наводчика и заряжающего, а для защиты от возможного удара гильзами при их экстракции во время стрельбы перед командиром имелся откидной металлический щиток.</w:t>
      </w:r>
    </w:p>
    <w:p w14:paraId="67BD267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испытаний 5-скоростные коробки перемены передач показали свои преимущества перед 4-скоростной и доказали свою полную надежность:</w:t>
      </w:r>
    </w:p>
    <w:p w14:paraId="5E7A8ED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«Новая 5-скоростная коробка являясь полностью взаимозаменаямой со старой 4-скоростной коробкой, обеспечила лучшую динамическую характеристику танка Т-34 и в то же время, благодаря отсутствию скосов на торцах шестерен и большей длине зуба, напряженность шестерен уменьшилась, что обеспечило более продолжительную их работу на танке. Одновременно с этим управление 5-скоростной коробкой благодаря наличию специальных зубчатых муфт значительно упростилось и стало доступно даже мало подготовленному механику-водителю. Как показала практика эксплуатации танка Т-34, при наличии 5-скоростной коробки перемены передач средние скорости движения танка заметно возросли при одновременном снижении количества горючего».</w:t>
      </w:r>
    </w:p>
    <w:p w14:paraId="1EC754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командирской башенке отмечался ряд недостатков, но и она, и новые коробки передач были рекомендованы государственной комиссией для серийного производства.</w:t>
      </w:r>
    </w:p>
    <w:p w14:paraId="6007767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Пятискоростные коробки перемены передач первым стал осваивать Уральский завод тяжелого машиностроения (УЗТМ) в Свердловске - летом 1942 года, в связи с угрозой немцев Сталинграду и СТЗ, постановлением ГКО к производству танков Т-34 подключали УЗТМ и Челябинский Кировский завод (ЧКЗ). Большая часть тридцатьчетверок, выпушенная на УЗТМ до конца 1942 года, получила новые коробки перемены передач. В конце года к производству новых коробок подключился и ЧКЗ, а затем заводы № 112 и № 174. Причем последний с 1943 года становится головным по выпуску 5-скоростных коробок передач.</w:t>
      </w:r>
    </w:p>
    <w:p w14:paraId="195981D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завода № 183, то он так и не освоил выпуск своего детища. Не помогли ни различные письма, ни приказы. Дело в том, что в Нижнем Тагиле имелся большой дефицит зуборезных станков, а бывшие в наличии с трудом обеспечивали текущее производства танков, причем работали они чуть ли не круглосуточно. А в новой коробке передач было пусть на немного (примерно на 8%), но больше шестерен, что при масштабах производства танков на заводе № 183 привело бы к нехватке КПП. Тем не менее, Нижний Тагил все же ставил 5-скоростные коробки на Т-34, получая их с других заводов, например, с ЧКЗ. Кстати, конструкторы новой КПП Я. Баран и А. Шпайхлер за ее создание получили Сталинскую премию (12217).</w:t>
      </w:r>
    </w:p>
    <w:p w14:paraId="19D7B6B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242D248"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22 июля 1942 г.</w:t>
      </w:r>
    </w:p>
    <w:p w14:paraId="3889ED19"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1 Дело 11 лист 188 – 189</w:t>
      </w:r>
    </w:p>
    <w:p w14:paraId="1E59A2DD"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служебного пользования.</w:t>
      </w:r>
    </w:p>
    <w:p w14:paraId="6FC9B666"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КОМИССАРИАТА ЭЛЕКТРОПРОМЫШЛЕННОСТИ СОЮЗА ССР НАРОДНОГО КОМИССАРИАТА ТАНКОВОЙ ПРОМЫШЛЕННОСТИ СОЮЗА ССР № МЗ-373/296</w:t>
      </w:r>
    </w:p>
    <w:p w14:paraId="28675726"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1F871C75"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"22" июля 1942 г.</w:t>
      </w:r>
    </w:p>
    <w:p w14:paraId="1D5B6B34"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повышения качества танковых стартеров СТ-700 с реле привода РСТ-334 и устранения разнотипности в технической документации ПРИКАЗЫВАЕМ:</w:t>
      </w:r>
    </w:p>
    <w:p w14:paraId="572C744B"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w:t>
      </w:r>
    </w:p>
    <w:p w14:paraId="5F76493F"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Ввести в действие с 10 сентября 1942 г. на заводах НКЭП утвержденные НКЭП, НКТП и БТУ ГАБТУ КА по акту от 12 июля 1942 г. – чертежи и технические условия на стартер СТ-700 с реле привода РСТ-334 завода № 255.</w:t>
      </w:r>
    </w:p>
    <w:p w14:paraId="57E4D438"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w:t>
      </w:r>
    </w:p>
    <w:p w14:paraId="00AE5C7D"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Воспретить внесение изменений в техническую документацию указанную в п. 1 и изготовление изделий с отступлением от нее без согласования с заводом № 255 и утверждения НКТП, НКЭП и ГАБТУ КА.</w:t>
      </w:r>
    </w:p>
    <w:p w14:paraId="3C1EC95A"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w:t>
      </w:r>
    </w:p>
    <w:p w14:paraId="041F6667"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Воспретить выпуск изделий на прошедших приемочные испытания, установленные техническими условиями.</w:t>
      </w:r>
    </w:p>
    <w:p w14:paraId="43A84127"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w:t>
      </w:r>
    </w:p>
    <w:p w14:paraId="28D856CD"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Директору завода № 255 т. МОРОЗ к 28 июля доукомплектовать по указанию Наркомэлектропрома техническую документацию, высланную заводам НКЭП № 651, 653, 655 и 659 чертежами реле привода РСТ-334.</w:t>
      </w:r>
    </w:p>
    <w:p w14:paraId="0E86C3F4"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w:t>
      </w:r>
    </w:p>
    <w:p w14:paraId="63181412"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Директору завода № 255 т. МОРОЗ в период с 22 по 28 августа провести контрольные испытания стартеров СТ-700 с пусковым реле РС-400 и генераторов ГТ-4563А с реле регулятором РРА-24Ф на партии в 20 штук, а также типовые испытания этих агрегатов на двух комплектах и отработать окончательную методику всех видов испытаний. К этому же сроку дать заключение по вопросам, перечисленным в приложении к настоящему приказу, в соответствии с актом от 12 июля 1942 г. – требующим дополнительных испытаний.</w:t>
      </w:r>
    </w:p>
    <w:p w14:paraId="2DC6EBBA"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w:t>
      </w:r>
    </w:p>
    <w:p w14:paraId="434E1BB5"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участия в испытаниях по п. 5 настоящего приказа и утверждения их результатов создать комиссию в составе представителей:</w:t>
      </w:r>
    </w:p>
    <w:p w14:paraId="2689C021"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Наркомтанкопрома – т. Нухман.</w:t>
      </w:r>
    </w:p>
    <w:p w14:paraId="0D9C6F82"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Наркомэлектропрома – т. Архангельский.</w:t>
      </w:r>
    </w:p>
    <w:p w14:paraId="456E8693"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БТУ ГАБТУ КА – по указанию начальника БТУ ГАБТУ КА.</w:t>
      </w:r>
    </w:p>
    <w:p w14:paraId="3C2D7FA8"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Завода № 255 – т. Сергеева.</w:t>
      </w:r>
    </w:p>
    <w:p w14:paraId="38872A19"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Завода № 651 – т. Файнштейн.</w:t>
      </w:r>
    </w:p>
    <w:p w14:paraId="3466C14C"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Завода № 653 – т. Часовникова.</w:t>
      </w:r>
    </w:p>
    <w:p w14:paraId="65124DA2"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Завода № 655 – т. Погожева.</w:t>
      </w:r>
    </w:p>
    <w:p w14:paraId="0A393591"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Завода "Динамо" – т. Лехтман.</w:t>
      </w:r>
    </w:p>
    <w:p w14:paraId="4FC8BCDD"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Председателем комиссии назначить т. Нухман А.Г., работу комиссии начать 22 августа и закончить 28 августа.</w:t>
      </w:r>
    </w:p>
    <w:p w14:paraId="6302452C"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w:t>
      </w:r>
    </w:p>
    <w:p w14:paraId="69248F7C"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Директорам заводов НКЭП № 651 – т. Грицай, № 653 – т. Федулову, № 655 – т. Елкину, № 659 – т. Абакумову, "Динамо" – т. Брилю и завода № 254 НКТП т. Козлову передать к 15 августа с.г. заводу № 255 все материалы, необходимые для проверки и дачи заключения по вопросам перечисленным в приложении к настоящему приказу, а также перечень вопросов (с их обоснованием), подлежащих уточнению на заводе № 255.</w:t>
      </w:r>
    </w:p>
    <w:p w14:paraId="3AA17478"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8.</w:t>
      </w:r>
    </w:p>
    <w:p w14:paraId="5EFDF310"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Директорам заводов № 255 – т. Мороз, № 254 – т. Козлову, № 238 – т. Галунину, СТЗ – т. Задорожному, № 651 – т. Грицай, № 653 – т. Федулову, № 655 – т. Елкину, № 659 – т. Абакумову и "Динамо" – т. Бриль – не позднее 1 октября 1942 г. разработать и утвердить технологию на изделия электрооборудования, изготовляемые этими заводами для танков и к 15 октября выслать по одному комплекту утвержденной технологии в адрес НЭП и НКТП.</w:t>
      </w:r>
    </w:p>
    <w:p w14:paraId="4F6293FD"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w:t>
      </w:r>
    </w:p>
    <w:p w14:paraId="13D42F53"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Директору завода № 254 т. Козлову командировать с 5 по 15 августа с.г. на завод № 651 НКЭП т. Нежданова В.Т. для оказания технической помощи.</w:t>
      </w:r>
    </w:p>
    <w:p w14:paraId="4E283188"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ЗАМЕСТИТЕЛЬ НАРОДНОГО КОМИССАРА ЭЛЕКТРОПРОМЫШЛЕННОСТИ СОЮЗА ССР подпись Зубович.</w:t>
      </w:r>
    </w:p>
    <w:p w14:paraId="770118F4"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"22" июля 1942 г.</w:t>
      </w:r>
    </w:p>
    <w:p w14:paraId="00272DB9"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ЗАМЕСТИТЕЛЬ НАРОДНОГО КОМИССАРА ТАНКОВОЙ ПРОМЫШЛЕННОСТИ СОЮЗА ССР подпись Зернов.</w:t>
      </w:r>
    </w:p>
    <w:p w14:paraId="7A11C707"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 июля 1942 г.</w:t>
      </w:r>
    </w:p>
    <w:p w14:paraId="170D59EC"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1 Дело 11 лист 190</w:t>
      </w:r>
    </w:p>
    <w:p w14:paraId="763F76B1"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ПРИЛОЖЕНИЕ</w:t>
      </w:r>
    </w:p>
    <w:p w14:paraId="7BB95AD6"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приказу № МЗ-373/296 по Наркомэлектропрому и Наркомтанкопрому от "22" июля 1942 г.</w:t>
      </w:r>
    </w:p>
    <w:p w14:paraId="10DEAB5F"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Перечень вопросов, подлежащих дополнительной проверке и согласованию на заводе № 255 НКТП:</w:t>
      </w:r>
    </w:p>
    <w:p w14:paraId="49611714"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Методика проверки возврата привода стартера при оборотах холостого хода.</w:t>
      </w:r>
    </w:p>
    <w:p w14:paraId="2CBF439E"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Величина усилия, которое должен преодолеть привод при убирании в горизонтальном положении.</w:t>
      </w:r>
    </w:p>
    <w:p w14:paraId="4091C6B6"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Напряжение выключения реле РСТ.</w:t>
      </w:r>
    </w:p>
    <w:p w14:paraId="33810471"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Величина момента развиваемого стартером при токе 800 ампер.</w:t>
      </w:r>
    </w:p>
    <w:p w14:paraId="77943219"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Твердости материалов, обозначенных на чертежах:</w:t>
      </w:r>
    </w:p>
    <w:p w14:paraId="0B52DB20"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ст. 504-13 – втулка</w:t>
      </w:r>
    </w:p>
    <w:p w14:paraId="04AD1FCA"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ст. 66-89 – втулка муфты</w:t>
      </w:r>
    </w:p>
    <w:p w14:paraId="00A92E9A"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ст. 146-94 – пружина</w:t>
      </w:r>
    </w:p>
    <w:p w14:paraId="756D6F7B"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хз. 96-14 – шайба</w:t>
      </w:r>
    </w:p>
    <w:p w14:paraId="025AC1F7"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ст. 94-67 – вал</w:t>
      </w:r>
    </w:p>
    <w:p w14:paraId="6ECFDE8B"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ст. 94-67 – заготовка вала.</w:t>
      </w:r>
    </w:p>
    <w:p w14:paraId="37997515"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Верно: подпись 19-VII-42 (Гинзбург) (21225).</w:t>
      </w:r>
    </w:p>
    <w:p w14:paraId="152D777B" w14:textId="77777777" w:rsidR="001D66FE" w:rsidRPr="00722885" w:rsidRDefault="001D66FE" w:rsidP="00722885">
      <w:pPr>
        <w:spacing w:after="0" w:line="240" w:lineRule="auto"/>
        <w:jc w:val="both"/>
        <w:rPr>
          <w:rFonts w:ascii="Times New Roman" w:hAnsi="Times New Roman"/>
          <w:color w:val="0070C0"/>
          <w:sz w:val="16"/>
          <w:szCs w:val="16"/>
        </w:rPr>
      </w:pPr>
    </w:p>
    <w:p w14:paraId="0388F2C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вышло Постановление ГКО № 2076 О производстве и поставке Наркомобороны, Наркомвоенморфлоту и НКВД СССР средств инженерного вооружения в III квартале 1942 года. РГАНИР, Фонд ГКО, д. 46, лл. 1-3, 4-37 (11012).</w:t>
      </w:r>
    </w:p>
    <w:p w14:paraId="37D793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3E32E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41339E0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41A79D"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в 1942 году утреннее сообщение Совинформбюро:</w:t>
      </w:r>
    </w:p>
    <w:p w14:paraId="15C819AA"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22 июля наши войска вели бои с противником в районе Воронежа и юго-восточнее городе Ворошиловграда.</w:t>
      </w:r>
    </w:p>
    <w:p w14:paraId="388D4A54"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1F693B81"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теснили противника и наносили удары по его переправам через реку Дон. На одном из участков гитлеровцы упорно защищали шоссе. Наши танкисты сломили сопротивление противника и, уничтожив 17 танков и до батальона немецкой пехоты, овладели этим шоссе. На другом участке артиллеристы товарищи Шеметов, Фесин и Иванов, выдвинувшись вперёд, прямой наводкой разбили 10 вражеских автомашин с пехотой и разрушили дорогу кпереправе. Наводчик т. Куликов захватил немецкое орудие и, повернув его в сторону противника, расстреливал отходящих немцев. Красноармеец т. Сокол из противотанкового ружья подбил три немецких танка.</w:t>
      </w:r>
    </w:p>
    <w:p w14:paraId="231C862D"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Ворошиловграда наши войска вели оборонительные бои и на отдельных участках под давлением превосходящих сил противника отошли на новые позиции. На одном участке немецким войскам удалось прорваться вперёд. Наши части нанесли контрудар по флангам этой группировки противника, а затем уничтожили её мощным артиллерийским и миномётным огнём. Немцы потеряли в этом бою свыше полка пехоты, 19 танков, 65 автомашин, 3 автоцистерны с горючим и 7 противотанковых орудий. На другом участке на расставленных сапёрами минах подорвались 4 немецких танка и 7 автомашин с пехотой.</w:t>
      </w:r>
    </w:p>
    <w:p w14:paraId="18543CAC"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происходили бои местного значения и артиллерийская перестрелка. На одном из участков пехота и танки противника пытались прорваться в тыл нашей части. Артиллеристы батарей под командованием тов. Сивякова открыли огонь, уничтожили 6 немецких танков и рассеяли гитлеровцев. Батарея старшего лейтенанта Фёдорова четыре дня вела непрерывный бой, переходя с одного рубежа на другой. За эти дни артиллеристы подбили 3 немецких танка и уничтожили свыше 300 солдат и офицеров противника.</w:t>
      </w:r>
    </w:p>
    <w:p w14:paraId="72A86188"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И., действующий в одном из районов Украины, оккупированных немцами, совершил нападение на штаб немецкой части. Партизаны уничтожили 25 немецких солдат и 11 офицеров, сожгли бронемашину, танкетку, 2 грузовых и легковую машину.</w:t>
      </w:r>
    </w:p>
    <w:p w14:paraId="40B29073"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553 полка 329 немецкой пехотной дивизии Генрих Вебер рассказал: «Я недавно прибыл на Восточный фронт в составе 329 запасного батальона. Этот батальон формировался в городе Герфорде. Нам не удалось закончить курс обучения, так как сильно потрёпанная 329 дивизия крайне нуждалась в пополнении. Накануне выступления на передовые позиции русские неожиданно атаковали нас. В ночном бою первая рота потеряла только убитыми 25 человек, многие солдаты были ранены. В эту ночь понёс большие потери в целом весь наш батальон, только что прибывший на фронт».</w:t>
      </w:r>
    </w:p>
    <w:p w14:paraId="1D5C50F0"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истребляют мирное население оккупированных ими районов Смоленской области. Недавно карательный отряд эсэсовцев учинил зверскую расправу над жителями деревни Лениницы. Гитлеровцы сожгли в этой деревне 20 жилых домов, замучили и расстреляли 270 женщин, детей и стариков.</w:t>
      </w:r>
    </w:p>
    <w:p w14:paraId="7999D3C3"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Тюрьмы Финляндии переполнены бежавшими с фронта дезертирами. В тюрьме города Пелсо, рассчитанной на 300 человек, содержится 2.000 заключенных, в тюрьмах Коннунсуо и Турку в одиночных камерах сидят по 5—6 человек. С каждым днём растут ряды «лесной гвардии» — вооружённых отрядов дезертиров, скрывающихся в лесах. Один из таких отрядов, насчитывающий около 200 солдат, совершил налёт на бараки, в которых разместились немцы, и перебил 30 гитлеровцев. Другой отряд, скрывающийся в лесах близ Миккели, недавно напал на немецкий обоз и отбил 5 повозок с продовольствием.» (14960).</w:t>
      </w:r>
    </w:p>
    <w:p w14:paraId="1D5DD21C" w14:textId="77777777" w:rsidR="00495961" w:rsidRPr="00722885" w:rsidRDefault="00495961" w:rsidP="00722885">
      <w:pPr>
        <w:spacing w:after="0" w:line="240" w:lineRule="auto"/>
        <w:jc w:val="both"/>
        <w:rPr>
          <w:rFonts w:ascii="Times New Roman" w:hAnsi="Times New Roman"/>
          <w:color w:val="000000" w:themeColor="text1"/>
          <w:sz w:val="16"/>
          <w:szCs w:val="16"/>
        </w:rPr>
      </w:pPr>
    </w:p>
    <w:p w14:paraId="33522FCC"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в 1942 году вечернее сообщение Совинформбюро:</w:t>
      </w:r>
    </w:p>
    <w:p w14:paraId="730084B7"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22 июля наши войска вели бои в районе Воронежа, а также в районах Цымлянская, Новочеркасск.</w:t>
      </w:r>
    </w:p>
    <w:p w14:paraId="75F057FD"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206C7A53"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21 июля частями нашей авиации на различных участках фронта уничтожено или повреждено более 100 немецких танков и бронемашин, 420 автомашин с войсками и грузами, взорван склад боеприпасов и склад горючего, подавлен огонь 60 полевых и зенитных орудий, разбито три железнодорожных состава, рассеяно и частью уничтожено до двух батальонов пехоты противника.</w:t>
      </w:r>
    </w:p>
    <w:p w14:paraId="7C9D8DE7"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Воронежа наши войска продолжали вести активные бои с противником. Наши части захватили населённый пункт, расположенный на магистрали, и, преодолевая упорное сопротивление гитлеровцев, продолжали продвигаться вперёд. В течение дня наши танкисты уничтожили 15 танков и до 2.000 солдат и офицеров противника. В числе других трофеев танкистами захвачено у немцев 32 орудия, 137 пулемётов и автоматов и 20.000 снарядов.</w:t>
      </w:r>
    </w:p>
    <w:p w14:paraId="4359C942"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Огромный урон наносят противнику наши пехотинцы. Только одна часть, где командиром тов. Попов, в последних боях захватила 45 орудий, 2 танка, 41 пулемёт, 14 миномётов, 3 радиостанции, немецкий самолёт вместе с экипажем и 16 автомобилей. Наша авиация активно поддерживает действия наземных сил. За один день наши лётчики уничтожили 6 танков, 50 автомашин, 14 орудий и сбили 5 немецких самолётов.</w:t>
      </w:r>
    </w:p>
    <w:p w14:paraId="668ACA02"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вели ожесточённые бои в районе Новочеркасска. На одном из участков наши лётчики подвергли бомбардировке вражескую колонну танков, автомашин и скопление пехоты противника. В результате налёта уничтожено несколько танков, 57 автомашин с войсками и боеприпасами, подожжено шесть автоцистерн с горючим, рассеяна и частично уничтожена значительная группа гитлеровцев. На другом участке наши войска в течение двух дней вели тяжелые бои с превосходящими силами противника. В этих боях немцы потеряли убитыми свыше 1.300 солдат и офицеров. Уничтожено 14 немецких танков, 9 орудий, свыше 30 пулемётов и 40 автомашин. Наши войска также понесли значительные потери и к исходу второго дня боёв по приказу командования отошли на новые позиции.</w:t>
      </w:r>
    </w:p>
    <w:p w14:paraId="7574912E"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происходили бои местного значения и артиллерийская перестрелка. На одном из участков рота наших бойцов стремительным броском захватила одну высоту. Гитлеровцы предприняли несколько контратак и в боях заэту высоту потеряли до 500 солдат и офицеров. На других участках бомбёжкой с воздуха и огнём артиллерии разрушено 10 немецких ДЗОТов, уничтожено несколько батарей и отдельных орудий и взорван склад боеприпасов противника. В воздушных боях и огнём зенитной артиллерии сбито 13 и подбито 8 немецких самолётов.</w:t>
      </w:r>
    </w:p>
    <w:p w14:paraId="13F2857A"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белорусских партизан под руководством тов. Ш. в течение четырёх дней вёл ожесточённые бои с немецкими оккупантами. Партизаны вначале отступали и изматывали гитлеровцев, а затем успешно атаковали их. Немцы в этих боях потеряли более 200 солдат и офицеров. Кроме того, сожжено 3 танка и 10 автомашин оккупантов.</w:t>
      </w:r>
    </w:p>
    <w:p w14:paraId="59F76539"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Отряд партизан под командованием тов. Н., действующий в одном из оккупированных немцами районов Калининской области, совершил налёт на железнодорожную станцию. Партизаны истребили 72 гитлеровца, сожгли склад горючего, 42 вагона и 7 автомашин. Советские патриоты захватили у противника пулемёт, 18 винтовок, несколько ящиков с патронами и другое военное снаряжение.</w:t>
      </w:r>
    </w:p>
    <w:p w14:paraId="02F315A0"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Немецкому ефрейтору Якобу Майеру пишут из Оберцоллинга: «На той неделе сбежали ещё два француза, один из них работал у нас, другой у соседа. Теперь у нас остался только один из четырёх, которых нам дали с самого начала... Французы всё думают о том, как бы удрать отсюда. Они хотят домой, во Францию. Кто же будет у нас работать, если французы разбегутся?..»</w:t>
      </w:r>
    </w:p>
    <w:p w14:paraId="42914D67"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Патриоты Польши на одной из станций выпустили бензин из трёх железнодорожных цистерн и подожгли его. Сгорел весь состав и немецкий склад с обмундированием. В другом районе немецкий транспортный самолёт сделал вынужденную посадку. Патриоты уничтожили экипаж и взорвали немецкий самолёт.» (14960).</w:t>
      </w:r>
    </w:p>
    <w:p w14:paraId="5B533DB0" w14:textId="77777777" w:rsidR="00495961" w:rsidRPr="00722885" w:rsidRDefault="00495961" w:rsidP="00722885">
      <w:pPr>
        <w:spacing w:after="0" w:line="240" w:lineRule="auto"/>
        <w:jc w:val="both"/>
        <w:rPr>
          <w:rFonts w:ascii="Times New Roman" w:hAnsi="Times New Roman"/>
          <w:color w:val="000000" w:themeColor="text1"/>
          <w:sz w:val="16"/>
          <w:szCs w:val="16"/>
        </w:rPr>
      </w:pPr>
    </w:p>
    <w:p w14:paraId="23726E8B" w14:textId="77777777" w:rsidR="00344FD4" w:rsidRPr="00722885" w:rsidRDefault="00344FD4" w:rsidP="00722885">
      <w:pPr>
        <w:pStyle w:val="ae"/>
        <w:spacing w:before="0" w:after="0"/>
        <w:jc w:val="both"/>
        <w:textAlignment w:val="baseline"/>
        <w:rPr>
          <w:color w:val="000000" w:themeColor="text1"/>
          <w:sz w:val="16"/>
          <w:szCs w:val="16"/>
        </w:rPr>
      </w:pPr>
      <w:r w:rsidRPr="00722885">
        <w:rPr>
          <w:color w:val="000000" w:themeColor="text1"/>
          <w:sz w:val="16"/>
          <w:szCs w:val="16"/>
        </w:rPr>
        <w:t>22 июля 1942 шесть Ил-2 из 504-го шап майора Ф. З. Болдырихина под прикрытием истребителей Як-1 произвели первый из последовавшей затем длинной серии налетов на Морозовскую. Согласно советским данным, первым над аэродромом появилось звено Яков, которое, свалившись со стороны солнца, сначала атаковало патрульные Bf-109, а потом сбило три пытавшихся взлететь по тревоге мессера.</w:t>
      </w:r>
    </w:p>
    <w:p w14:paraId="780789A8" w14:textId="77777777" w:rsidR="00344FD4" w:rsidRPr="00722885" w:rsidRDefault="00344FD4" w:rsidP="00722885">
      <w:pPr>
        <w:pStyle w:val="ae"/>
        <w:spacing w:before="0" w:after="0"/>
        <w:jc w:val="both"/>
        <w:textAlignment w:val="baseline"/>
        <w:rPr>
          <w:color w:val="000000" w:themeColor="text1"/>
          <w:sz w:val="16"/>
          <w:szCs w:val="16"/>
        </w:rPr>
      </w:pPr>
      <w:r w:rsidRPr="00722885">
        <w:rPr>
          <w:color w:val="000000" w:themeColor="text1"/>
          <w:sz w:val="16"/>
          <w:szCs w:val="16"/>
        </w:rPr>
        <w:t>Вслед за этим на малой высоте появилось шесть штурмовиков. Невзирая на бешеный огонь зенитных орудий, Илы сбросили на предполагаемые стоянки самолетов фугасные и осколочные бомбы, а также дали залп реактивных снарядов. По итогам налета пилоты отчитались о якобы двадцати семи уничтоженных Ju-52. При этом собственные потери атакующих составили два Ил-2 и один Як-1 (19522).</w:t>
      </w:r>
    </w:p>
    <w:p w14:paraId="5438F6F4" w14:textId="77777777" w:rsidR="00344FD4" w:rsidRPr="00722885" w:rsidRDefault="00344FD4" w:rsidP="00722885">
      <w:pPr>
        <w:pStyle w:val="ae"/>
        <w:spacing w:before="0" w:after="0"/>
        <w:jc w:val="both"/>
        <w:textAlignment w:val="baseline"/>
        <w:rPr>
          <w:color w:val="000000" w:themeColor="text1"/>
          <w:sz w:val="16"/>
          <w:szCs w:val="16"/>
        </w:rPr>
      </w:pPr>
    </w:p>
    <w:p w14:paraId="2866D1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22 июля 1942 и 22 августа Лахденпохья - главную базу немецко-финско-итальянской Ладожской флотилии - бомбили 20 ДБ и 9 СБ, 22 августа - 22 сентября - 12 ДБ и 3 СБ, 22 сентября - 22 октября - 4 ДБ и 3 СБ, после 22 октября - 3 ДБ. Налеты советской авиации (в них также принимали участие МБР-2 авиагруппы Ладожской флотилии) значительно затруднили действия вражеских военно-морских сил на озере. Швейцарский историк Ю. Майстер, занимавшийся изучением боевых действий на морских, озерных и речных театрах Великой Отечественной, по этому поводу писал: "54-я истребительная эскадра полностью занималась тем, что обороняла боевые паромы (имелись в виду паромы Зибеля немецкой Ладожской флотилии) во время монтажа на верфи, а затем их базы. Из-за тяжелых боев в районе Ленинградского котла и на Волховском фронте немецкой авиации не удалось добиться над морем превосходства в воздухе... Только во время некоторых наступательных операций в течение дня паромам могло быть предоставлено более или менее достаточное прикрытие истребителями, в то время как торпедные катера и прибрежные минные заградители без прикрытия истребителями могли проводить операции лишь ночью. Русские бомбардировщики каждую ночь бомбили базы союзников (немцев, финнов и итальянцев) и добивались разрушений, при этом имелись человеческие жертвы... Ночные налеты советской авиации обычно совершались одиночными самолетами старой конструкции и в основном были направлены на Сортанлахти и Кякисалми. За период с 18 августа по 22 октября в Сортанлахти воздушные тревоги объявляли 127 раз, причем в 45 случаях следовали налеты бомбардировщиков. ПВО в различных финских портах осуществлялась лишь при помощи пулеметов и 40-мм орудий и потому не могла действовать успешно". Насколько известно, в результате этого "бомбового прессинга" нашим не удалось окончательно уничтожить ни одного вражеского корабля, но в том, что противнику не удалось сорвать перевозки по ладожской "Дороге жизни", есть вклад летчиков 1-го гмтап (12002).</w:t>
      </w:r>
    </w:p>
    <w:p w14:paraId="0B7ED8D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167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22 июля по 22 августа 1942 состоялась Мгинская операция по предотвращению нового наступления на Ленинград. Ничего не достигли, но 18 немецкую армию измотали (2438,398).</w:t>
      </w:r>
    </w:p>
    <w:p w14:paraId="79F5D65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C6C6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г. в бою севернее Новочеркасска 14 отдельный гвардейский минометный дивизион Москвина двумя залпами прямой наводкой уничтожил 11 танков, по одному на установку, тогда как хорошим считалось поражение двух-трех. Иногда гвардейцы-минометчики оставались единственной силой, способной оказать врагу организованное сопротивление. Это заставило командующего фронтом Р.Я. Малиновского создать на базе таких частей Подвижную механизированную группу (ПМГ) во главе с командующим ГМЧ А.И. Нестеренко. В нее вошли три полка и дивизион БМ-13, посаженная на автомобили 176-я стрелковая дивизия, сводный танковый батальон, зенитный и противотанковый артиллерийские дивизионы. Подобных подразделений ни до, ни после того больше не было. Отлично сражались и мотострелки, и танкисты, а зенитчики при господстве немецкой авиации сумели обеспечить чистое небо над ПМГ. (Дело в том, что у летчиков “люфтваффе” возник так называемый “синдром последнего дня войны” (проще говоря, никто не хотел умирать), и, когда 30 июля один за другим сбили два “Юнкерса”, немецкие пилоты перестали летать в зону зенитного огня или сбрасывали бомбы неприцельно с больших высот.). Главная же нагрузка легла на огневиков (9632).</w:t>
      </w:r>
    </w:p>
    <w:p w14:paraId="2E473FB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47EA9" w14:textId="77777777" w:rsidR="00AE7191" w:rsidRPr="00722885"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noProof/>
          <w:color w:val="000000" w:themeColor="text1"/>
          <w:sz w:val="16"/>
          <w:szCs w:val="16"/>
        </w:rPr>
        <w:t xml:space="preserve">22 июля </w:t>
      </w:r>
      <w:r w:rsidRPr="00722885">
        <w:rPr>
          <w:rFonts w:ascii="Times New Roman" w:hAnsi="Times New Roman"/>
          <w:color w:val="000000" w:themeColor="text1"/>
          <w:sz w:val="16"/>
          <w:szCs w:val="16"/>
        </w:rPr>
        <w:t xml:space="preserve">1942 </w:t>
      </w:r>
      <w:r w:rsidRPr="00722885">
        <w:rPr>
          <w:rFonts w:ascii="Times New Roman" w:hAnsi="Times New Roman"/>
          <w:noProof/>
          <w:color w:val="000000" w:themeColor="text1"/>
          <w:sz w:val="16"/>
          <w:szCs w:val="16"/>
        </w:rPr>
        <w:t xml:space="preserve">на перехват </w:t>
      </w:r>
      <w:r w:rsidRPr="00722885">
        <w:rPr>
          <w:rFonts w:ascii="Times New Roman" w:hAnsi="Times New Roman"/>
          <w:color w:val="000000" w:themeColor="text1"/>
          <w:sz w:val="16"/>
          <w:szCs w:val="16"/>
        </w:rPr>
        <w:t>высотного разведчика</w:t>
      </w:r>
      <w:r w:rsidRPr="00722885">
        <w:rPr>
          <w:rFonts w:ascii="Times New Roman" w:hAnsi="Times New Roman"/>
          <w:noProof/>
          <w:color w:val="000000" w:themeColor="text1"/>
          <w:sz w:val="16"/>
          <w:szCs w:val="16"/>
        </w:rPr>
        <w:t xml:space="preserve"> с аэродрома Бекетовка </w:t>
      </w:r>
      <w:r w:rsidRPr="00722885">
        <w:rPr>
          <w:rFonts w:ascii="Times New Roman" w:hAnsi="Times New Roman"/>
          <w:color w:val="000000" w:themeColor="text1"/>
          <w:sz w:val="16"/>
          <w:szCs w:val="16"/>
        </w:rPr>
        <w:t xml:space="preserve">(Сталинград) </w:t>
      </w:r>
      <w:r w:rsidRPr="00722885">
        <w:rPr>
          <w:rFonts w:ascii="Times New Roman" w:hAnsi="Times New Roman"/>
          <w:noProof/>
          <w:color w:val="000000" w:themeColor="text1"/>
          <w:sz w:val="16"/>
          <w:szCs w:val="16"/>
        </w:rPr>
        <w:t xml:space="preserve">поднялся летчик 439-го ИАП ПВО ст. л-т Козлов. Он настиг </w:t>
      </w:r>
      <w:r w:rsidRPr="00722885">
        <w:rPr>
          <w:rFonts w:ascii="Times New Roman" w:hAnsi="Times New Roman"/>
          <w:color w:val="000000" w:themeColor="text1"/>
          <w:sz w:val="16"/>
          <w:szCs w:val="16"/>
          <w:lang w:val="en-US"/>
        </w:rPr>
        <w:t>Ju</w:t>
      </w:r>
      <w:r w:rsidRPr="00722885">
        <w:rPr>
          <w:rFonts w:ascii="Times New Roman" w:hAnsi="Times New Roman"/>
          <w:noProof/>
          <w:color w:val="000000" w:themeColor="text1"/>
          <w:sz w:val="16"/>
          <w:szCs w:val="16"/>
        </w:rPr>
        <w:t>88 на высоте 8000 м и атаковал его с дистанции 200-300 м. Но на такой даль</w:t>
      </w:r>
      <w:r w:rsidRPr="00722885">
        <w:rPr>
          <w:rFonts w:ascii="Times New Roman" w:hAnsi="Times New Roman"/>
          <w:noProof/>
          <w:color w:val="000000" w:themeColor="text1"/>
          <w:sz w:val="16"/>
          <w:szCs w:val="16"/>
        </w:rPr>
        <w:softHyphen/>
        <w:t>ности два пулемета БС его МиГ-3 были неэффективны, патро</w:t>
      </w:r>
      <w:r w:rsidRPr="00722885">
        <w:rPr>
          <w:rFonts w:ascii="Times New Roman" w:hAnsi="Times New Roman"/>
          <w:noProof/>
          <w:color w:val="000000" w:themeColor="text1"/>
          <w:sz w:val="16"/>
          <w:szCs w:val="16"/>
        </w:rPr>
        <w:softHyphen/>
        <w:t>ны кончились, и тогда Козлов пошел на таран. Враг пытался уйти пикированием, разогнавшись до 650 км/ч, но оторваться не смог, и МиГ-3 врезался винтом в его стабилизатор. От удара Козлов потерял сознание, когда пришел в себя, увидел, что его «МиГ» едва держится на скорости 150-170 км/ч, тогда он про</w:t>
      </w:r>
      <w:r w:rsidRPr="00722885">
        <w:rPr>
          <w:rFonts w:ascii="Times New Roman" w:hAnsi="Times New Roman"/>
          <w:noProof/>
          <w:color w:val="000000" w:themeColor="text1"/>
          <w:sz w:val="16"/>
          <w:szCs w:val="16"/>
        </w:rPr>
        <w:softHyphen/>
        <w:t>извел посадку в поле на шасси. «Юнкере» ушел в сторону Миллерово. Падения его никто не видел, лишь колхозники нашли большие куски стабилизатора</w:t>
      </w:r>
      <w:r w:rsidRPr="00722885">
        <w:rPr>
          <w:rFonts w:ascii="Times New Roman" w:hAnsi="Times New Roman"/>
          <w:color w:val="000000" w:themeColor="text1"/>
          <w:sz w:val="16"/>
          <w:szCs w:val="16"/>
        </w:rPr>
        <w:t xml:space="preserve"> (11938)</w:t>
      </w:r>
      <w:r w:rsidRPr="00722885">
        <w:rPr>
          <w:rFonts w:ascii="Times New Roman" w:hAnsi="Times New Roman"/>
          <w:noProof/>
          <w:color w:val="000000" w:themeColor="text1"/>
          <w:sz w:val="16"/>
          <w:szCs w:val="16"/>
        </w:rPr>
        <w:t>.</w:t>
      </w:r>
    </w:p>
    <w:p w14:paraId="705C0D28" w14:textId="77777777" w:rsidR="00AE7191" w:rsidRPr="00722885" w:rsidRDefault="00AE7191" w:rsidP="00722885">
      <w:pPr>
        <w:autoSpaceDE w:val="0"/>
        <w:autoSpaceDN w:val="0"/>
        <w:adjustRightInd w:val="0"/>
        <w:spacing w:after="0" w:line="240" w:lineRule="auto"/>
        <w:jc w:val="both"/>
        <w:rPr>
          <w:rFonts w:ascii="Times New Roman" w:hAnsi="Times New Roman"/>
          <w:noProof/>
          <w:color w:val="000000" w:themeColor="text1"/>
          <w:sz w:val="16"/>
          <w:szCs w:val="16"/>
        </w:rPr>
      </w:pPr>
    </w:p>
    <w:p w14:paraId="1671A9C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в ночь на 23 июля 1942 командование 8-го авиакорпуса Люфтваффе решило начать постановку мин на Волге, одновременно произведя налет на Сталинград. Около полуночи по местному времени в городе была объявлена воздушная тревога. Вслед за этим в 00.15 появились первые самолеты, исполнявшие роль цельфиндеров. Они сбросили зажигательные бомбы таким образом, что очаги пожаров обозначили прямоугольник, в который попала вся северная промзона города. После этого двадцать Ju-88 из I. и III./KG51 «Эдельвейс» атаковали Сталинградский тракторный завод, сбросив на него 40 фугасных бомб SC500. В результате были частично разрушены несколько цехов, убит 21 и ранены 85 человек. Возникшие пожары команды МПВО и прибывшие автонасосы тушили до утра. В это же время старшина поста ВНОС И. Ситников, находясь на боевом дежурстве в районе поселка Ступинский Яр, услышал гул самолетов, идущих над Волгой. Он слышался несколько минут, после чего постепенно стих. Сделав записи в журнале наблюдений и указав время, Ситников напряженно вглядывался в июльское небо и вдруг заметил на фоне звезд несколько парашютов, опускающихся прямо на Волгу. Сначала он подумал, что немцы выбросили десант, но, внимательно присмотревшись, увидел, что к парашютам прицеплены предметы цилиндрической формы. Вскоре послышались тихие всплески и зловещие «подарки» быстро погрузились в воду. «Мины!» – осенило старшину, и он тут же побежал к ближайшему телефону докладывать об увиденном. И действительно, одновременно с налетом эскадры KG51 на Сталинград несколько групп Не-111 из KG55 сбросили на парашютах донные мины в районе Горного Балыклея и на участке Солдники – Черный Яр. Смертоносные металлические цилиндры плавно опустились на дно и замерли в ожидании своих жертв. Это была очевидная попытка блокировать подходы к Сталинграду, как с верхнего, так и нижнего плесов реки (11774).</w:t>
      </w:r>
    </w:p>
    <w:p w14:paraId="218BD1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E18BB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ТКА-61 вышел для атаки порта Анапа в сопровождении ТКА-12 и ТКА-81. После того, как с отрядом встретился МБР-2ВУ, с ТКА-61 сняли экипаж и управление передали на самолёт. Под огнём немецкой артиллерии водитель с него вывел катер на цель, но в 300 - 400 м от головы мола ТКА-61 неожиданно взорвался. Вероятно, он столкнулся с каким-то препятствием, поскольку команды на взрыв не давалось. Последний оставшийся в распоряжении флота радиоуправляемый торпедный катер ТКА-41 использовали 16 декабря 1943 г. в еще одном набеге на Камыш-Бурун. Но и на этот раз в полутора милях от косы Камыш- Бурун ТКА-41 взорвался и затонул (12003).</w:t>
      </w:r>
    </w:p>
    <w:p w14:paraId="66B8D67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7C8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22 ию</w:t>
      </w:r>
      <w:r w:rsidRPr="00722885">
        <w:rPr>
          <w:rFonts w:ascii="Times New Roman" w:hAnsi="Times New Roman"/>
          <w:color w:val="000000" w:themeColor="text1"/>
          <w:sz w:val="16"/>
          <w:szCs w:val="16"/>
        </w:rPr>
        <w:softHyphen/>
        <w:t>ля 1942 г. в составе 62-й авиабригады насчитывалось 15 И-15бис (из них четыре находились в ремонте) (12294).</w:t>
      </w:r>
    </w:p>
    <w:p w14:paraId="31AD58D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2355FC8"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34A8604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74A753"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22 июля 1942 поставлен первые истребители ВВС армии США Lockheed P-38F Молния 14 истребительной группы их Преск Айл, штат Мэн, для Соединенного Королевства через Исландию . Они стали первыми истребителями, пересекшими Атлантический океан (20793).</w:t>
      </w:r>
    </w:p>
    <w:p w14:paraId="6244016D" w14:textId="77777777" w:rsidR="001D66FE" w:rsidRPr="00722885" w:rsidRDefault="001D66FE" w:rsidP="00722885">
      <w:pPr>
        <w:spacing w:after="0" w:line="240" w:lineRule="auto"/>
        <w:jc w:val="both"/>
        <w:rPr>
          <w:rFonts w:ascii="Times New Roman" w:hAnsi="Times New Roman"/>
          <w:color w:val="0070C0"/>
          <w:sz w:val="16"/>
          <w:szCs w:val="16"/>
        </w:rPr>
      </w:pPr>
    </w:p>
    <w:p w14:paraId="65F7B07A"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 марта 1942 г. начался запуск воздушных шаров из района порта Гарвич (Harwich). Наибольший успех был достигнут 12 июля 1942 г., когда трос аэростата вывел из строя 110 кВ линию электропередачи под Лейпцигом, что повлекло за собой пожар на электростанции, общий ущерб от которого составил 1 млн фунтов стерлингов. Досталось и нейтралам. Так, в ночь с 19 на 20 января 1944 г. неуправляемый аэростат нарушил освещение железной дороги Лунд–Фалькенберг (Швеция), что привело к столкновению двух поездов. Атаки продолжались до сентября 1944 г. Всего было выпущено 99 142 автоматических аэростата, большая часть которых — 53 543 —снаряжалась зажигательными бомбами. Общие затраты на операцию составили 220 тыс. фунтов стерлингов (22756).</w:t>
      </w:r>
    </w:p>
    <w:p w14:paraId="6A3A1827" w14:textId="77777777" w:rsidR="001D66FE" w:rsidRPr="00722885" w:rsidRDefault="001D66FE" w:rsidP="00722885">
      <w:pPr>
        <w:spacing w:after="0" w:line="240" w:lineRule="auto"/>
        <w:jc w:val="both"/>
        <w:rPr>
          <w:rFonts w:ascii="Times New Roman" w:hAnsi="Times New Roman"/>
          <w:color w:val="0070C0"/>
          <w:sz w:val="16"/>
          <w:szCs w:val="16"/>
        </w:rPr>
      </w:pPr>
    </w:p>
    <w:p w14:paraId="3A82A830"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22 июля 1942 г. в сражении у Эль-Аламейна (Египет) расчет гренадера Г. Хальма из 104-го гренадерского полка из Pak.36(r) – переделки грабинской Ф-22 - в течение нескольких минут уничтожил девять английских танков. В 1942 г. немцы переделали 358 Ф-22 в 7,62-см Pak.36(r), в 1943 г. —169, и в 1944 г. — 33. Было начато и </w:t>
      </w:r>
      <w:r w:rsidRPr="00722885">
        <w:rPr>
          <w:rFonts w:ascii="Times New Roman" w:hAnsi="Times New Roman"/>
          <w:color w:val="000000" w:themeColor="text1"/>
          <w:sz w:val="16"/>
          <w:szCs w:val="16"/>
        </w:rPr>
        <w:lastRenderedPageBreak/>
        <w:t>массовое производство боеприпасов. Наши солдаты не без основания называли пушку Pak.36(r) «гадюкой» или «коброй». Несколько десятков пушек Pak.36(r) было захвачено советскими войсками под Сталинградом. Часть трофейных «гадюк» поступила на вооружение наших истребительно-противотанковых дивизионов. Руководство ГАУ даже рассматривало вопрос о запуске в производство 76-мм Pak.36(r). Но Грабин отказался, поскольку он уже проектировал более мощные системы (15117).</w:t>
      </w:r>
    </w:p>
    <w:p w14:paraId="417B00D8" w14:textId="77777777" w:rsidR="00495961" w:rsidRPr="00722885" w:rsidRDefault="00495961" w:rsidP="00722885">
      <w:pPr>
        <w:spacing w:after="0" w:line="240" w:lineRule="auto"/>
        <w:jc w:val="both"/>
        <w:rPr>
          <w:rFonts w:ascii="Times New Roman" w:hAnsi="Times New Roman"/>
          <w:color w:val="000000" w:themeColor="text1"/>
          <w:sz w:val="16"/>
          <w:szCs w:val="16"/>
        </w:rPr>
      </w:pPr>
    </w:p>
    <w:p w14:paraId="26DC3C4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началась депортация евреев из Варшавского гетто в концлагеря (4962).</w:t>
      </w:r>
    </w:p>
    <w:p w14:paraId="6A015984"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D4021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началась депортация евреев из Варшавского гетто в лагерь смерти Треблинка (4963 ).</w:t>
      </w:r>
    </w:p>
    <w:p w14:paraId="7061A7E3"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72A6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22 1942 First deportations from Warsaw Ghetto to concentration camps; Treblinka extermination camp opened (1050).</w:t>
      </w:r>
    </w:p>
    <w:p w14:paraId="6273F42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6B80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состоялась первая депортация евреев из Варшавского гетто в концлагеря. Открылся лагерь Треблинка (1050).</w:t>
      </w:r>
    </w:p>
    <w:p w14:paraId="5822D9A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05D34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президент США Ф. Рузвельт заявил, что открытие второго фронта до конца этого года невозможно (4962).</w:t>
      </w:r>
    </w:p>
    <w:p w14:paraId="168760A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93A4E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 в США введены карточки на горючее (4962).</w:t>
      </w:r>
    </w:p>
    <w:p w14:paraId="552B3C7D"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BC752D"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36E8438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732F0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Зам. Нач. 7 ГУ Алексеев в письме Нач. особой группы при НКАП Фирсаеву указывал, что в письме НИИ ВВС, полученном 7 ГУ находилась просьба направить в НИИ ВВС подлинники утвержденных отчетов по гос. испытаниям серийных Ил-2 АМ-38 N 2611 и 1904, которые находятся у А.И.Ш. (1684,166).</w:t>
      </w:r>
    </w:p>
    <w:p w14:paraId="68E077C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03C1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И.В.С. направил ГИ ВВС А.К.Репину эскизный проект одноместного бронированного ш с АМ-38 МШ, главной особенностью которого являлось решение проблемы обзора вниз под углом 24 гр. (вместо 8 гр. на Ил-2). Несмотря на положительное заключение НИИ ВВС дальнейшие работы показали, что значительно превышена расчетная масса и снижены ЛТД. работы прекратили (3846,17).</w:t>
      </w:r>
    </w:p>
    <w:p w14:paraId="34EE825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C309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года Шахурин писал письмо N Н-20/2846 Сталину.</w:t>
      </w:r>
    </w:p>
    <w:p w14:paraId="17B095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порядке информации докладываю: по плану опытного строительства 1941 года конструктором Сухим П.О. выпущен одноместный бронированный штурмовик Су-6 с мотором М-71 (взлетной мощностью 2000 л.с. и мощностью на высоте 2250 м - 1800 л.с.), который согласно акта государственных испытаний НИИ ВВС показал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B487A" w:rsidRPr="00722885" w14:paraId="199169B9" w14:textId="77777777" w:rsidTr="00CC5360">
        <w:tc>
          <w:tcPr>
            <w:tcW w:w="5636" w:type="dxa"/>
            <w:tcBorders>
              <w:top w:val="single" w:sz="12" w:space="0" w:color="auto"/>
            </w:tcBorders>
          </w:tcPr>
          <w:p w14:paraId="6C58B3E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у земли</w:t>
            </w:r>
          </w:p>
        </w:tc>
        <w:tc>
          <w:tcPr>
            <w:tcW w:w="5636" w:type="dxa"/>
            <w:tcBorders>
              <w:top w:val="single" w:sz="12" w:space="0" w:color="auto"/>
            </w:tcBorders>
          </w:tcPr>
          <w:p w14:paraId="21FA47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445 км/час</w:t>
            </w:r>
          </w:p>
        </w:tc>
      </w:tr>
      <w:tr w:rsidR="009B487A" w:rsidRPr="00722885" w14:paraId="6DC82377" w14:textId="77777777" w:rsidTr="00CC5360">
        <w:tc>
          <w:tcPr>
            <w:tcW w:w="5636" w:type="dxa"/>
          </w:tcPr>
          <w:p w14:paraId="7A919F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на форсаже</w:t>
            </w:r>
          </w:p>
        </w:tc>
        <w:tc>
          <w:tcPr>
            <w:tcW w:w="5636" w:type="dxa"/>
          </w:tcPr>
          <w:p w14:paraId="3FB3BF8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496 км/час</w:t>
            </w:r>
          </w:p>
        </w:tc>
      </w:tr>
      <w:tr w:rsidR="009B487A" w:rsidRPr="00722885" w14:paraId="38A6935A" w14:textId="77777777" w:rsidTr="00CC5360">
        <w:tc>
          <w:tcPr>
            <w:tcW w:w="5636" w:type="dxa"/>
          </w:tcPr>
          <w:p w14:paraId="3205829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на высоте</w:t>
            </w:r>
          </w:p>
        </w:tc>
        <w:tc>
          <w:tcPr>
            <w:tcW w:w="5636" w:type="dxa"/>
          </w:tcPr>
          <w:p w14:paraId="1870C0F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55BE3F06" w14:textId="77777777" w:rsidTr="00CC5360">
        <w:tc>
          <w:tcPr>
            <w:tcW w:w="5636" w:type="dxa"/>
          </w:tcPr>
          <w:p w14:paraId="696FA73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2500 м</w:t>
            </w:r>
          </w:p>
        </w:tc>
        <w:tc>
          <w:tcPr>
            <w:tcW w:w="5636" w:type="dxa"/>
          </w:tcPr>
          <w:p w14:paraId="7B6E68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491 км/час</w:t>
            </w:r>
          </w:p>
        </w:tc>
      </w:tr>
      <w:tr w:rsidR="009B487A" w:rsidRPr="00722885" w14:paraId="4C5990C2" w14:textId="77777777" w:rsidTr="00CC5360">
        <w:tc>
          <w:tcPr>
            <w:tcW w:w="5636" w:type="dxa"/>
          </w:tcPr>
          <w:p w14:paraId="7E849AE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на 0,9 максимальной</w:t>
            </w:r>
          </w:p>
        </w:tc>
        <w:tc>
          <w:tcPr>
            <w:tcW w:w="5636" w:type="dxa"/>
          </w:tcPr>
          <w:p w14:paraId="403856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73B8F324" w14:textId="77777777" w:rsidTr="00CC5360">
        <w:tc>
          <w:tcPr>
            <w:tcW w:w="5636" w:type="dxa"/>
          </w:tcPr>
          <w:p w14:paraId="23133C8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скорости</w:t>
            </w:r>
          </w:p>
        </w:tc>
        <w:tc>
          <w:tcPr>
            <w:tcW w:w="5636" w:type="dxa"/>
          </w:tcPr>
          <w:p w14:paraId="340660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 км</w:t>
            </w:r>
          </w:p>
        </w:tc>
      </w:tr>
      <w:tr w:rsidR="009B487A" w:rsidRPr="00722885" w14:paraId="5FB9F095" w14:textId="77777777" w:rsidTr="00CC5360">
        <w:tc>
          <w:tcPr>
            <w:tcW w:w="5636" w:type="dxa"/>
          </w:tcPr>
          <w:p w14:paraId="1954A1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w:t>
            </w:r>
          </w:p>
        </w:tc>
        <w:tc>
          <w:tcPr>
            <w:tcW w:w="5636" w:type="dxa"/>
          </w:tcPr>
          <w:p w14:paraId="5ECFAA0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4EE89421" w14:textId="77777777" w:rsidTr="00CC5360">
        <w:tc>
          <w:tcPr>
            <w:tcW w:w="5636" w:type="dxa"/>
          </w:tcPr>
          <w:p w14:paraId="7B4F66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пушки калибра 23 мм</w:t>
            </w:r>
          </w:p>
        </w:tc>
        <w:tc>
          <w:tcPr>
            <w:tcW w:w="5636" w:type="dxa"/>
          </w:tcPr>
          <w:p w14:paraId="301C760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 снарядов</w:t>
            </w:r>
          </w:p>
        </w:tc>
      </w:tr>
      <w:tr w:rsidR="009B487A" w:rsidRPr="00722885" w14:paraId="62F1DEEE" w14:textId="77777777" w:rsidTr="00CC5360">
        <w:tc>
          <w:tcPr>
            <w:tcW w:w="5636" w:type="dxa"/>
          </w:tcPr>
          <w:p w14:paraId="4B87888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пулемета калибра 7,62 мм</w:t>
            </w:r>
          </w:p>
        </w:tc>
        <w:tc>
          <w:tcPr>
            <w:tcW w:w="5636" w:type="dxa"/>
          </w:tcPr>
          <w:p w14:paraId="298EB63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 патронов</w:t>
            </w:r>
          </w:p>
        </w:tc>
      </w:tr>
      <w:tr w:rsidR="009B487A" w:rsidRPr="00722885" w14:paraId="7ED4727E" w14:textId="77777777" w:rsidTr="00CC5360">
        <w:tc>
          <w:tcPr>
            <w:tcW w:w="5636" w:type="dxa"/>
          </w:tcPr>
          <w:p w14:paraId="7402471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балок РС-132 или РС-82</w:t>
            </w:r>
          </w:p>
        </w:tc>
        <w:tc>
          <w:tcPr>
            <w:tcW w:w="5636" w:type="dxa"/>
          </w:tcPr>
          <w:p w14:paraId="166D6B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47C66682" w14:textId="77777777" w:rsidTr="00CC5360">
        <w:tc>
          <w:tcPr>
            <w:tcW w:w="5636" w:type="dxa"/>
          </w:tcPr>
          <w:p w14:paraId="373944B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Нормальная бомбовая нагрузка 200 кг при емкости</w:t>
            </w:r>
          </w:p>
        </w:tc>
        <w:tc>
          <w:tcPr>
            <w:tcW w:w="5636" w:type="dxa"/>
          </w:tcPr>
          <w:p w14:paraId="2B0DB43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4DA13843" w14:textId="77777777" w:rsidTr="00CC5360">
        <w:tc>
          <w:tcPr>
            <w:tcW w:w="5636" w:type="dxa"/>
          </w:tcPr>
          <w:p w14:paraId="215777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бомбоотсека - 400 кг</w:t>
            </w:r>
          </w:p>
        </w:tc>
        <w:tc>
          <w:tcPr>
            <w:tcW w:w="5636" w:type="dxa"/>
          </w:tcPr>
          <w:p w14:paraId="3393F1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C04C41C" w14:textId="77777777" w:rsidTr="00CC5360">
        <w:tc>
          <w:tcPr>
            <w:tcW w:w="5636" w:type="dxa"/>
          </w:tcPr>
          <w:p w14:paraId="3CF84A7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Предусмотрена подвеска под крыльями 2 бомб по</w:t>
            </w:r>
          </w:p>
        </w:tc>
        <w:tc>
          <w:tcPr>
            <w:tcW w:w="5636" w:type="dxa"/>
          </w:tcPr>
          <w:p w14:paraId="1C4E89A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34ED5EB9" w14:textId="77777777" w:rsidTr="00CC5360">
        <w:tc>
          <w:tcPr>
            <w:tcW w:w="5636" w:type="dxa"/>
            <w:tcBorders>
              <w:bottom w:val="single" w:sz="12" w:space="0" w:color="auto"/>
            </w:tcBorders>
          </w:tcPr>
          <w:p w14:paraId="2DE42F3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 кг или 2 ВАП-200.</w:t>
            </w:r>
          </w:p>
        </w:tc>
        <w:tc>
          <w:tcPr>
            <w:tcW w:w="5636" w:type="dxa"/>
            <w:tcBorders>
              <w:bottom w:val="single" w:sz="12" w:space="0" w:color="auto"/>
            </w:tcBorders>
          </w:tcPr>
          <w:p w14:paraId="25F4A1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157A63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технике пилотирования самолет прост и доступен летчикам средней квалификации, имеет хорошую устойчивость и допускает полет с брошенной ручкой на всех режимах. Нагрузки на рули и элероны велики. Бронирование кабины летчика и фонаря осуществляется аналогично самолету Ил-2. Задняя крышка мотора с агрегатами забронирована, цилиндры мотора не забронированы (927,307).</w:t>
      </w:r>
    </w:p>
    <w:p w14:paraId="6A91537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3CE0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А.И.Ш. писал письмо года N Н-20/2847 И.В.Сталину.</w:t>
      </w:r>
    </w:p>
    <w:p w14:paraId="0E8695F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порядке информации докладываю: по плану опытного строительства 1941 года, конструктором Поликарповым выпущен одноместный истребитель И-185 с мотором М-71 (взлетной мощностью 2000 л.с. и мощностью на высоте 5000 м - 1700 л.с.), который, согласно отчета по совместным заводским и государственным испытаниям показал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889"/>
        <w:gridCol w:w="1383"/>
      </w:tblGrid>
      <w:tr w:rsidR="009B487A" w:rsidRPr="00722885" w14:paraId="29A173A7" w14:textId="77777777" w:rsidTr="00CC5360">
        <w:tc>
          <w:tcPr>
            <w:tcW w:w="9889" w:type="dxa"/>
            <w:tcBorders>
              <w:top w:val="single" w:sz="12" w:space="0" w:color="auto"/>
            </w:tcBorders>
          </w:tcPr>
          <w:p w14:paraId="5C330BE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w:t>
            </w:r>
          </w:p>
        </w:tc>
        <w:tc>
          <w:tcPr>
            <w:tcW w:w="1383" w:type="dxa"/>
            <w:tcBorders>
              <w:top w:val="single" w:sz="12" w:space="0" w:color="auto"/>
            </w:tcBorders>
          </w:tcPr>
          <w:p w14:paraId="2D5B7B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3480 кг</w:t>
            </w:r>
          </w:p>
        </w:tc>
      </w:tr>
      <w:tr w:rsidR="009B487A" w:rsidRPr="00722885" w14:paraId="7BD55434" w14:textId="77777777" w:rsidTr="00CC5360">
        <w:tc>
          <w:tcPr>
            <w:tcW w:w="9889" w:type="dxa"/>
          </w:tcPr>
          <w:p w14:paraId="31DE83B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у земли</w:t>
            </w:r>
          </w:p>
        </w:tc>
        <w:tc>
          <w:tcPr>
            <w:tcW w:w="1383" w:type="dxa"/>
          </w:tcPr>
          <w:p w14:paraId="406EF5B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521 км/час</w:t>
            </w:r>
          </w:p>
        </w:tc>
      </w:tr>
      <w:tr w:rsidR="009B487A" w:rsidRPr="00722885" w14:paraId="38F152D2" w14:textId="77777777" w:rsidTr="00CC5360">
        <w:tc>
          <w:tcPr>
            <w:tcW w:w="9889" w:type="dxa"/>
          </w:tcPr>
          <w:p w14:paraId="420C503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на высоте</w:t>
            </w:r>
          </w:p>
        </w:tc>
        <w:tc>
          <w:tcPr>
            <w:tcW w:w="1383" w:type="dxa"/>
          </w:tcPr>
          <w:p w14:paraId="6D6E3B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EF33C58" w14:textId="77777777" w:rsidTr="00CC5360">
        <w:tc>
          <w:tcPr>
            <w:tcW w:w="9889" w:type="dxa"/>
          </w:tcPr>
          <w:p w14:paraId="1D030E0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 м с форсажем</w:t>
            </w:r>
          </w:p>
        </w:tc>
        <w:tc>
          <w:tcPr>
            <w:tcW w:w="1383" w:type="dxa"/>
          </w:tcPr>
          <w:p w14:paraId="193E87F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556 км/час</w:t>
            </w:r>
          </w:p>
        </w:tc>
      </w:tr>
      <w:tr w:rsidR="009B487A" w:rsidRPr="00722885" w14:paraId="563A1925" w14:textId="77777777" w:rsidTr="00CC5360">
        <w:tc>
          <w:tcPr>
            <w:tcW w:w="9889" w:type="dxa"/>
          </w:tcPr>
          <w:p w14:paraId="245EAA2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на высоте</w:t>
            </w:r>
          </w:p>
        </w:tc>
        <w:tc>
          <w:tcPr>
            <w:tcW w:w="1383" w:type="dxa"/>
          </w:tcPr>
          <w:p w14:paraId="5EB1634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2EFB8B30" w14:textId="77777777" w:rsidTr="00CC5360">
        <w:tc>
          <w:tcPr>
            <w:tcW w:w="9889" w:type="dxa"/>
          </w:tcPr>
          <w:p w14:paraId="0DE37A6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6170 м</w:t>
            </w:r>
          </w:p>
        </w:tc>
        <w:tc>
          <w:tcPr>
            <w:tcW w:w="1383" w:type="dxa"/>
          </w:tcPr>
          <w:p w14:paraId="6ADCAD9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630 км/час</w:t>
            </w:r>
          </w:p>
        </w:tc>
      </w:tr>
      <w:tr w:rsidR="009B487A" w:rsidRPr="00722885" w14:paraId="2AC3F95E" w14:textId="77777777" w:rsidTr="00CC5360">
        <w:tc>
          <w:tcPr>
            <w:tcW w:w="9889" w:type="dxa"/>
          </w:tcPr>
          <w:p w14:paraId="03177F7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нормальное</w:t>
            </w:r>
          </w:p>
        </w:tc>
        <w:tc>
          <w:tcPr>
            <w:tcW w:w="1383" w:type="dxa"/>
          </w:tcPr>
          <w:p w14:paraId="3782AA1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BE076A5" w14:textId="77777777" w:rsidTr="00CC5360">
        <w:tc>
          <w:tcPr>
            <w:tcW w:w="9889" w:type="dxa"/>
          </w:tcPr>
          <w:p w14:paraId="3B4260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пулемета калибра 12,7 мм</w:t>
            </w:r>
          </w:p>
        </w:tc>
        <w:tc>
          <w:tcPr>
            <w:tcW w:w="1383" w:type="dxa"/>
          </w:tcPr>
          <w:p w14:paraId="7C8816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550 патронов</w:t>
            </w:r>
          </w:p>
        </w:tc>
      </w:tr>
      <w:tr w:rsidR="009B487A" w:rsidRPr="00722885" w14:paraId="74DB065B" w14:textId="77777777" w:rsidTr="00CC5360">
        <w:tc>
          <w:tcPr>
            <w:tcW w:w="9889" w:type="dxa"/>
          </w:tcPr>
          <w:p w14:paraId="3D34514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пулемета калибра 7,62 мм</w:t>
            </w:r>
          </w:p>
        </w:tc>
        <w:tc>
          <w:tcPr>
            <w:tcW w:w="1383" w:type="dxa"/>
          </w:tcPr>
          <w:p w14:paraId="1B1E4F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1500 патронов</w:t>
            </w:r>
          </w:p>
        </w:tc>
      </w:tr>
      <w:tr w:rsidR="009B487A" w:rsidRPr="00722885" w14:paraId="6B107D81" w14:textId="77777777" w:rsidTr="00CC5360">
        <w:tc>
          <w:tcPr>
            <w:tcW w:w="9889" w:type="dxa"/>
          </w:tcPr>
          <w:p w14:paraId="118FBC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в перегрузку</w:t>
            </w:r>
          </w:p>
        </w:tc>
        <w:tc>
          <w:tcPr>
            <w:tcW w:w="1383" w:type="dxa"/>
          </w:tcPr>
          <w:p w14:paraId="523F8CF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32560DA2" w14:textId="77777777" w:rsidTr="00CC5360">
        <w:tc>
          <w:tcPr>
            <w:tcW w:w="9889" w:type="dxa"/>
          </w:tcPr>
          <w:p w14:paraId="72ABB58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Бомбы 500 кг или 8РС-82.</w:t>
            </w:r>
          </w:p>
        </w:tc>
        <w:tc>
          <w:tcPr>
            <w:tcW w:w="1383" w:type="dxa"/>
          </w:tcPr>
          <w:p w14:paraId="405FB2A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72E0C2FA" w14:textId="77777777" w:rsidTr="00CC5360">
        <w:tc>
          <w:tcPr>
            <w:tcW w:w="9889" w:type="dxa"/>
          </w:tcPr>
          <w:p w14:paraId="2A55CC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же самолет И-185 с мотором М-82 на совместных заводских и государственных испытаниях показал следующие данные по скоростям:</w:t>
            </w:r>
          </w:p>
        </w:tc>
        <w:tc>
          <w:tcPr>
            <w:tcW w:w="1383" w:type="dxa"/>
          </w:tcPr>
          <w:p w14:paraId="3896239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041D9D1E" w14:textId="77777777" w:rsidTr="00CC5360">
        <w:tc>
          <w:tcPr>
            <w:tcW w:w="9889" w:type="dxa"/>
          </w:tcPr>
          <w:p w14:paraId="33A4F09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у земли</w:t>
            </w:r>
          </w:p>
        </w:tc>
        <w:tc>
          <w:tcPr>
            <w:tcW w:w="1383" w:type="dxa"/>
          </w:tcPr>
          <w:p w14:paraId="59AE05B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515 км/час</w:t>
            </w:r>
          </w:p>
        </w:tc>
      </w:tr>
      <w:tr w:rsidR="009B487A" w:rsidRPr="00722885" w14:paraId="7A5EC5A3" w14:textId="77777777" w:rsidTr="00CC5360">
        <w:tc>
          <w:tcPr>
            <w:tcW w:w="9889" w:type="dxa"/>
          </w:tcPr>
          <w:p w14:paraId="7F21296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на высоте</w:t>
            </w:r>
          </w:p>
        </w:tc>
        <w:tc>
          <w:tcPr>
            <w:tcW w:w="1383" w:type="dxa"/>
          </w:tcPr>
          <w:p w14:paraId="363DC29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58BA137B" w14:textId="77777777" w:rsidTr="00CC5360">
        <w:tc>
          <w:tcPr>
            <w:tcW w:w="9889" w:type="dxa"/>
          </w:tcPr>
          <w:p w14:paraId="20D0F38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 м с форсажем</w:t>
            </w:r>
          </w:p>
        </w:tc>
        <w:tc>
          <w:tcPr>
            <w:tcW w:w="1383" w:type="dxa"/>
          </w:tcPr>
          <w:p w14:paraId="0B1C537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549 км/час</w:t>
            </w:r>
          </w:p>
        </w:tc>
      </w:tr>
      <w:tr w:rsidR="009B487A" w:rsidRPr="00722885" w14:paraId="5CBDDB5E" w14:textId="77777777" w:rsidTr="00CC5360">
        <w:tc>
          <w:tcPr>
            <w:tcW w:w="9889" w:type="dxa"/>
          </w:tcPr>
          <w:p w14:paraId="758A321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на высоте</w:t>
            </w:r>
          </w:p>
        </w:tc>
        <w:tc>
          <w:tcPr>
            <w:tcW w:w="1383" w:type="dxa"/>
          </w:tcPr>
          <w:p w14:paraId="51AFB4F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722885" w14:paraId="19D93EF5" w14:textId="77777777" w:rsidTr="00CC5360">
        <w:tc>
          <w:tcPr>
            <w:tcW w:w="9889" w:type="dxa"/>
            <w:tcBorders>
              <w:bottom w:val="single" w:sz="12" w:space="0" w:color="auto"/>
            </w:tcBorders>
          </w:tcPr>
          <w:p w14:paraId="7A9580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6470 м</w:t>
            </w:r>
          </w:p>
        </w:tc>
        <w:tc>
          <w:tcPr>
            <w:tcW w:w="1383" w:type="dxa"/>
            <w:tcBorders>
              <w:bottom w:val="single" w:sz="12" w:space="0" w:color="auto"/>
            </w:tcBorders>
          </w:tcPr>
          <w:p w14:paraId="54609FA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615 км/час (927,311)</w:t>
            </w:r>
          </w:p>
        </w:tc>
      </w:tr>
    </w:tbl>
    <w:p w14:paraId="3E50F17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3AEA0" w14:textId="77777777" w:rsidR="001D66FE" w:rsidRPr="00722885" w:rsidRDefault="001D66FE"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23 июля 1942 Н.И.Ш. доложил Сталину:</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«В связи с начавшимся, согласно решению ГКО, серийным выпу</w:t>
      </w:r>
      <w:r w:rsidRPr="00722885">
        <w:rPr>
          <w:rStyle w:val="aff6"/>
          <w:rFonts w:ascii="Times New Roman" w:hAnsi="Times New Roman" w:cs="Times New Roman"/>
          <w:i w:val="0"/>
          <w:iCs w:val="0"/>
          <w:color w:val="0070C0"/>
        </w:rPr>
        <w:softHyphen/>
        <w:t>ском самолетов ЛаГГ-5 с мотором М-82 на заводе №21, в данное время отпадает целесообразность внедрения в серию не только самолета И-185 с М-82, но и само</w:t>
      </w:r>
      <w:r w:rsidRPr="00722885">
        <w:rPr>
          <w:rStyle w:val="aff6"/>
          <w:rFonts w:ascii="Times New Roman" w:hAnsi="Times New Roman" w:cs="Times New Roman"/>
          <w:i w:val="0"/>
          <w:iCs w:val="0"/>
          <w:color w:val="0070C0"/>
        </w:rPr>
        <w:softHyphen/>
        <w:t>лета И-185 с М-71».</w:t>
      </w:r>
      <w:r w:rsidRPr="00722885">
        <w:rPr>
          <w:rFonts w:ascii="Times New Roman" w:hAnsi="Times New Roman" w:cs="Times New Roman"/>
          <w:color w:val="0070C0"/>
          <w:sz w:val="16"/>
          <w:szCs w:val="16"/>
        </w:rPr>
        <w:t xml:space="preserve"> Соответственно, «от</w:t>
      </w:r>
      <w:r w:rsidRPr="00722885">
        <w:rPr>
          <w:rFonts w:ascii="Times New Roman" w:hAnsi="Times New Roman" w:cs="Times New Roman"/>
          <w:color w:val="0070C0"/>
          <w:sz w:val="16"/>
          <w:szCs w:val="16"/>
        </w:rPr>
        <w:softHyphen/>
        <w:t>падала целесообразность» и в разверты</w:t>
      </w:r>
      <w:r w:rsidRPr="00722885">
        <w:rPr>
          <w:rFonts w:ascii="Times New Roman" w:hAnsi="Times New Roman" w:cs="Times New Roman"/>
          <w:color w:val="0070C0"/>
          <w:sz w:val="16"/>
          <w:szCs w:val="16"/>
        </w:rPr>
        <w:softHyphen/>
        <w:t>вании производства моторов М-71 (со</w:t>
      </w:r>
      <w:r w:rsidRPr="00722885">
        <w:rPr>
          <w:rFonts w:ascii="Times New Roman" w:hAnsi="Times New Roman" w:cs="Times New Roman"/>
          <w:color w:val="0070C0"/>
          <w:sz w:val="16"/>
          <w:szCs w:val="16"/>
        </w:rPr>
        <w:softHyphen/>
        <w:t>ответственно и самолета Су-6 с ним). Во всяком случае, решение этого вопроса можно было отложить (19846).</w:t>
      </w:r>
    </w:p>
    <w:p w14:paraId="7AEEEEB0" w14:textId="77777777" w:rsidR="001D66FE" w:rsidRPr="00722885" w:rsidRDefault="001D66FE"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424BCE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А.И.Шахурин писал И.В.С. "В порядке информации докладываю, что по плану опытного строительства 1941 конструктором Н.Н.П. выпущен одноместный истребитель И-185 с М-71...Вооружение самолета И-185 с М-82 состоит из 3 пушек 20 мм и 500 патронов. В связи с начавшимся, согласно решению ГКО, серийным выпуском самолетов Ла-5 с М-82 на заводе 21, в данное время отпадает целесообразность внедрения в серию не только самолета И-185 М-82, но и самолета И-185 с М-71" (927,315).</w:t>
      </w:r>
    </w:p>
    <w:p w14:paraId="71448D0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318A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года нарком Шахурин доложил Сталину:</w:t>
      </w:r>
    </w:p>
    <w:p w14:paraId="3C350FFD"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порядке информации докла</w:t>
      </w:r>
      <w:r w:rsidRPr="00722885">
        <w:rPr>
          <w:rFonts w:ascii="Times New Roman" w:hAnsi="Times New Roman"/>
          <w:color w:val="000000" w:themeColor="text1"/>
          <w:sz w:val="16"/>
          <w:szCs w:val="16"/>
        </w:rPr>
        <w:softHyphen/>
        <w:t>дываю: по плану опытного строитель</w:t>
      </w:r>
      <w:r w:rsidRPr="00722885">
        <w:rPr>
          <w:rFonts w:ascii="Times New Roman" w:hAnsi="Times New Roman"/>
          <w:color w:val="000000" w:themeColor="text1"/>
          <w:sz w:val="16"/>
          <w:szCs w:val="16"/>
        </w:rPr>
        <w:softHyphen/>
        <w:t>ства 1941 года, конструктором тов. Поликарповым Н.Н. выпущен одно</w:t>
      </w:r>
      <w:r w:rsidRPr="00722885">
        <w:rPr>
          <w:rFonts w:ascii="Times New Roman" w:hAnsi="Times New Roman"/>
          <w:color w:val="000000" w:themeColor="text1"/>
          <w:sz w:val="16"/>
          <w:szCs w:val="16"/>
        </w:rPr>
        <w:softHyphen/>
        <w:t>местный истребитель И-185 с мо</w:t>
      </w:r>
      <w:r w:rsidRPr="00722885">
        <w:rPr>
          <w:rFonts w:ascii="Times New Roman" w:hAnsi="Times New Roman"/>
          <w:color w:val="000000" w:themeColor="text1"/>
          <w:sz w:val="16"/>
          <w:szCs w:val="16"/>
        </w:rPr>
        <w:softHyphen/>
        <w:t>тором М-71 (взлетной мощностью 2000 л.с. и мощностью на высоте 5000 м - 1700 л.с.), который, со</w:t>
      </w:r>
      <w:r w:rsidRPr="00722885">
        <w:rPr>
          <w:rFonts w:ascii="Times New Roman" w:hAnsi="Times New Roman"/>
          <w:color w:val="000000" w:themeColor="text1"/>
          <w:sz w:val="16"/>
          <w:szCs w:val="16"/>
        </w:rPr>
        <w:softHyphen/>
        <w:t>гласно отчета по совместным завод</w:t>
      </w:r>
      <w:r w:rsidRPr="00722885">
        <w:rPr>
          <w:rFonts w:ascii="Times New Roman" w:hAnsi="Times New Roman"/>
          <w:color w:val="000000" w:themeColor="text1"/>
          <w:sz w:val="16"/>
          <w:szCs w:val="16"/>
        </w:rPr>
        <w:softHyphen/>
        <w:t>ским и государственным испытани</w:t>
      </w:r>
      <w:r w:rsidRPr="00722885">
        <w:rPr>
          <w:rFonts w:ascii="Times New Roman" w:hAnsi="Times New Roman"/>
          <w:color w:val="000000" w:themeColor="text1"/>
          <w:sz w:val="16"/>
          <w:szCs w:val="16"/>
        </w:rPr>
        <w:softHyphen/>
        <w:t>ям, показал следующие данные: полетный вес - 3480 кг максимальная скорость у земли - 521 км/ч на Н=500 м с форсажем - 556 на Н=6170 м - 630, вооружение нормальное 2 пулемета 12,7 мм - 550 патр. 2 пулемета 7,62 мм - 1500 патр. вооружение в перегрузку - бомбы 500 кг или 8 РС-82. Этот же самолет И-185 с мото</w:t>
      </w:r>
      <w:r w:rsidRPr="00722885">
        <w:rPr>
          <w:rFonts w:ascii="Times New Roman" w:hAnsi="Times New Roman"/>
          <w:color w:val="000000" w:themeColor="text1"/>
          <w:sz w:val="16"/>
          <w:szCs w:val="16"/>
        </w:rPr>
        <w:softHyphen/>
        <w:t>ром М-82 на совместных заводс</w:t>
      </w:r>
      <w:r w:rsidRPr="00722885">
        <w:rPr>
          <w:rFonts w:ascii="Times New Roman" w:hAnsi="Times New Roman"/>
          <w:color w:val="000000" w:themeColor="text1"/>
          <w:sz w:val="16"/>
          <w:szCs w:val="16"/>
        </w:rPr>
        <w:softHyphen/>
        <w:t>ких и государственных испытаниях показал следующие данные по ско</w:t>
      </w:r>
      <w:r w:rsidRPr="00722885">
        <w:rPr>
          <w:rFonts w:ascii="Times New Roman" w:hAnsi="Times New Roman"/>
          <w:color w:val="000000" w:themeColor="text1"/>
          <w:sz w:val="16"/>
          <w:szCs w:val="16"/>
        </w:rPr>
        <w:softHyphen/>
        <w:t>ростям:</w:t>
      </w:r>
    </w:p>
    <w:p w14:paraId="5AB3309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у земли - 515 км/ч на Н=200 м с форсажем - 549 на Н=6470 м - 615. Вооружение самолета И-185 с М-82 состоит из 3-х синхронных пушек кал. 20 мм с запасом сна</w:t>
      </w:r>
      <w:r w:rsidRPr="00722885">
        <w:rPr>
          <w:rFonts w:ascii="Times New Roman" w:hAnsi="Times New Roman"/>
          <w:color w:val="000000" w:themeColor="text1"/>
          <w:sz w:val="16"/>
          <w:szCs w:val="16"/>
        </w:rPr>
        <w:softHyphen/>
        <w:t>рядов 500 шт.</w:t>
      </w:r>
    </w:p>
    <w:p w14:paraId="275C800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начавшимся, согласно решению ГОКО, серийным выпус</w:t>
      </w:r>
      <w:r w:rsidRPr="00722885">
        <w:rPr>
          <w:rFonts w:ascii="Times New Roman" w:hAnsi="Times New Roman"/>
          <w:color w:val="000000" w:themeColor="text1"/>
          <w:sz w:val="16"/>
          <w:szCs w:val="16"/>
        </w:rPr>
        <w:softHyphen/>
        <w:t>ком самолетов ЛаГГ-5 с мотором М-82 на заводе № 21, в данное время отпадает целесообразность внедрения в серию не только са</w:t>
      </w:r>
      <w:r w:rsidRPr="00722885">
        <w:rPr>
          <w:rFonts w:ascii="Times New Roman" w:hAnsi="Times New Roman"/>
          <w:color w:val="000000" w:themeColor="text1"/>
          <w:sz w:val="16"/>
          <w:szCs w:val="16"/>
        </w:rPr>
        <w:softHyphen/>
        <w:t>молета И-185 с М-82, но и самоле</w:t>
      </w:r>
      <w:r w:rsidRPr="00722885">
        <w:rPr>
          <w:rFonts w:ascii="Times New Roman" w:hAnsi="Times New Roman"/>
          <w:color w:val="000000" w:themeColor="text1"/>
          <w:sz w:val="16"/>
          <w:szCs w:val="16"/>
        </w:rPr>
        <w:softHyphen/>
        <w:t>та И-185 с М-71». Итак, окончательно зафиксирован</w:t>
      </w:r>
      <w:r w:rsidRPr="00722885">
        <w:rPr>
          <w:rFonts w:ascii="Times New Roman" w:hAnsi="Times New Roman"/>
          <w:color w:val="000000" w:themeColor="text1"/>
          <w:sz w:val="16"/>
          <w:szCs w:val="16"/>
        </w:rPr>
        <w:softHyphen/>
        <w:t>ная скорость И-185 с М-82 у земли была примерно равна скорости ЛаГГ-5, а на 2-й границе высотности превы</w:t>
      </w:r>
      <w:r w:rsidRPr="00722885">
        <w:rPr>
          <w:rFonts w:ascii="Times New Roman" w:hAnsi="Times New Roman"/>
          <w:color w:val="000000" w:themeColor="text1"/>
          <w:sz w:val="16"/>
          <w:szCs w:val="16"/>
        </w:rPr>
        <w:softHyphen/>
        <w:t>шала ее на 15 км/ч, что можно объяс</w:t>
      </w:r>
      <w:r w:rsidRPr="00722885">
        <w:rPr>
          <w:rFonts w:ascii="Times New Roman" w:hAnsi="Times New Roman"/>
          <w:color w:val="000000" w:themeColor="text1"/>
          <w:sz w:val="16"/>
          <w:szCs w:val="16"/>
        </w:rPr>
        <w:softHyphen/>
        <w:t>нить меньшей площадью крыла -15,53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против 17,51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у ЛаГГ-5 (10686).</w:t>
      </w:r>
    </w:p>
    <w:p w14:paraId="22A85E9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419CB9"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23 июля 1942, прочитав письмо своего зама по опытному самолетостроению Яковлева от 14 мая 1942 г., где он предлагает запустить И-185 в серию в Тбилиси, и углубленно изучив вопрос, Шахурин пишет Сталину: "В порядке информации докладываю, что по плану опытного строительства 1941 конструктором Н.Н. Поликарповым выпущен одноместный истребитель И-185 с М-71... В связи с начавшимся... серийным выпуском самолетов Ла-5 с М-82 на заводе 21, в данное время отпадает целесообразность внедрения в серию не только самолета И-185 М-82, но и самолета И-185 с М-71".</w:t>
      </w:r>
    </w:p>
    <w:p w14:paraId="60264530"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Так что же, как сказано в оформленном прокуратурой после войны обвинительном заключении, Шахурин действительно поставлял на вооружение ВВС Красной Армии самолеты с заведомо низкими летными данными, а прекрасные перспективные самолеты и моторы не пускал в серию?</w:t>
      </w:r>
    </w:p>
    <w:p w14:paraId="3739366D"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Требуя запуска И-185 в производство, Поликарпов утверждал, что эксплуатация М-71 на И-185 проходит без дефектов, но как мы видим, это было совсем не так: она шла "с переменным успехом". Некоторые экземпляры М-71 работали более-менее нормально, иные же - отнюдь. Вот как писал о них Шахурину начальник 8-го (моторного) Главка НКАП Поликовский:</w:t>
      </w:r>
    </w:p>
    <w:p w14:paraId="28E9D455"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"М-71 прошел 50-ти часовые совместные испытания в январе 1941 года.</w:t>
      </w:r>
    </w:p>
    <w:p w14:paraId="2D838776"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течении 1941 г. заводом №19 была изготовлена малая серия... в количестве 20 штук для доводки до 100 часового ресурса и летных испытаний на самолетах И-185 и СУ-6.</w:t>
      </w:r>
    </w:p>
    <w:p w14:paraId="29F097C1"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Общая наработка мотора М-71 в процессе доводки заводскими испытаниями до 100 часового ресурса - составляет 1563 часа. Из них проведено 4 сточасовых испытания по программе 67 МГУ, без существенных дефектов (на моторах №№4, 19, 20, 21).</w:t>
      </w:r>
    </w:p>
    <w:p w14:paraId="0DFA9172"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Летные испытания мотор М-71 проходил на 4-х экземплярах самолетов - государственные испытания самолетов И-185 и СУ-6 с мотором М-71 прошли без дефектов по мотору.</w:t>
      </w:r>
    </w:p>
    <w:p w14:paraId="60AA7D15"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 государственные испытания мотор ставился два раза:</w:t>
      </w:r>
    </w:p>
    <w:p w14:paraId="078D7117"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первом испытании (февраль - март 1942 г.) испытания проходили два мотора (№24 и №36).</w:t>
      </w:r>
    </w:p>
    <w:p w14:paraId="58382664"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Первый из них был снят с испытаний после 45 часов режимной работы, по поломке передней мотылевой шейки коленвала.</w:t>
      </w:r>
    </w:p>
    <w:p w14:paraId="7D25BC84"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Поломка произошла по причине грубой обработки отверстия под маслопроводящую трубку.</w:t>
      </w:r>
    </w:p>
    <w:p w14:paraId="2BBE0D43"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Второй мотор прошел 100 часов режимной работы, но испытания не были зачтены из-за наличия выгорания фасок на клапанах выхлопа.</w:t>
      </w:r>
    </w:p>
    <w:p w14:paraId="350FA02D"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течении апреля - мая 1942 года завод изготовил и испытал новые клапана выхлопа с увеличенной внутренней полостью охлаждения.</w:t>
      </w:r>
    </w:p>
    <w:p w14:paraId="3380BA36"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Вторые испытания были начаты в июне 1942 года. Государственные испытания проходили моторы №№36 и 38...".</w:t>
      </w:r>
    </w:p>
    <w:p w14:paraId="6C74779D" w14:textId="77777777" w:rsidR="00121172" w:rsidRPr="00722885"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Надо отметить, что указанные моторы были сделаны опытным производством завода №19, где кадры и оборудование были лучше, чем у основной серийной части. Тем не менее, стабильного качества добиться не удалось. Это было написано 27 июля 1942 г., что же изменилось к весне 1943 г.? Ничего. Доводка и испытания М-71 в различных вариантах продолжалась на стендах и на опытных самолетах Ла-5, Ла-7, Су-6, Су-8 и ДВБ-102 до конца 1945 г., но безрезультатно. Этот двигатель продолжал преподносить "сюрпризы" и так и не был запущен в полноценное серийное производство, хотя на это было "убито" столько сил и средств (17737).</w:t>
      </w:r>
    </w:p>
    <w:p w14:paraId="4B1DC59C" w14:textId="77777777" w:rsidR="00121172" w:rsidRPr="00722885" w:rsidRDefault="00121172" w:rsidP="00722885">
      <w:pPr>
        <w:spacing w:after="0" w:line="240" w:lineRule="auto"/>
        <w:jc w:val="both"/>
        <w:rPr>
          <w:rFonts w:ascii="Times New Roman" w:hAnsi="Times New Roman"/>
          <w:color w:val="000000" w:themeColor="text1"/>
          <w:sz w:val="16"/>
          <w:szCs w:val="16"/>
        </w:rPr>
      </w:pPr>
    </w:p>
    <w:p w14:paraId="5032CA03" w14:textId="77777777" w:rsidR="00495961" w:rsidRPr="00722885" w:rsidRDefault="00495961" w:rsidP="00722885">
      <w:pPr>
        <w:pStyle w:val="a3"/>
        <w:rPr>
          <w:color w:val="000000" w:themeColor="text1"/>
          <w:lang w:val="ru-RU"/>
        </w:rPr>
      </w:pPr>
      <w:r w:rsidRPr="00722885">
        <w:rPr>
          <w:color w:val="000000" w:themeColor="text1"/>
          <w:lang w:val="ru-RU"/>
        </w:rPr>
        <w:t>23 июля 1942 г. нарком Шахурин доложил Сталину: В порядке информации докладываю: по плану опытного строительства 1941 года, структором тов. Поликарповым Н.Н. выпущен одноместный истребитель И-185 с мотором М-71 (взлетной мощностью 2000 л.с. и мощностью на высоте 5000 м — 1700 л.е.), который, согласно отчёта по совместным заводским и государственным испытаниям, показал следующие данные:</w:t>
      </w:r>
    </w:p>
    <w:p w14:paraId="477CB4D9" w14:textId="77777777" w:rsidR="00495961" w:rsidRPr="00722885" w:rsidRDefault="00495961" w:rsidP="00722885">
      <w:pPr>
        <w:pStyle w:val="a3"/>
        <w:tabs>
          <w:tab w:val="left" w:pos="5002"/>
        </w:tabs>
        <w:rPr>
          <w:color w:val="000000" w:themeColor="text1"/>
          <w:lang w:val="ru-RU"/>
        </w:rPr>
      </w:pPr>
      <w:r w:rsidRPr="00722885">
        <w:rPr>
          <w:color w:val="000000" w:themeColor="text1"/>
          <w:lang w:val="ru-RU"/>
        </w:rPr>
        <w:t>полётный вес</w:t>
      </w:r>
      <w:r w:rsidRPr="00722885">
        <w:rPr>
          <w:color w:val="000000" w:themeColor="text1"/>
          <w:lang w:val="ru-RU"/>
        </w:rPr>
        <w:tab/>
        <w:t>— 3480 кг</w:t>
      </w:r>
    </w:p>
    <w:p w14:paraId="1632C7EB" w14:textId="77777777" w:rsidR="00495961" w:rsidRPr="00722885" w:rsidRDefault="00495961" w:rsidP="00722885">
      <w:pPr>
        <w:pStyle w:val="a3"/>
        <w:tabs>
          <w:tab w:val="left" w:pos="5036"/>
        </w:tabs>
        <w:rPr>
          <w:color w:val="000000" w:themeColor="text1"/>
          <w:lang w:val="ru-RU"/>
        </w:rPr>
      </w:pPr>
      <w:r w:rsidRPr="00722885">
        <w:rPr>
          <w:color w:val="000000" w:themeColor="text1"/>
          <w:lang w:val="ru-RU"/>
        </w:rPr>
        <w:t>максимальная скорость у земли</w:t>
      </w:r>
      <w:r w:rsidRPr="00722885">
        <w:rPr>
          <w:color w:val="000000" w:themeColor="text1"/>
          <w:lang w:val="ru-RU"/>
        </w:rPr>
        <w:tab/>
        <w:t>— 521 км/ч</w:t>
      </w:r>
    </w:p>
    <w:p w14:paraId="352C491B" w14:textId="77777777" w:rsidR="00495961" w:rsidRPr="00722885" w:rsidRDefault="00495961" w:rsidP="00722885">
      <w:pPr>
        <w:pStyle w:val="a3"/>
        <w:tabs>
          <w:tab w:val="left" w:pos="5031"/>
        </w:tabs>
        <w:rPr>
          <w:color w:val="000000" w:themeColor="text1"/>
          <w:lang w:val="ru-RU"/>
        </w:rPr>
      </w:pPr>
      <w:r w:rsidRPr="00722885">
        <w:rPr>
          <w:color w:val="000000" w:themeColor="text1"/>
          <w:lang w:val="ru-RU"/>
        </w:rPr>
        <w:t>на Н=500 м с форсажом</w:t>
      </w:r>
      <w:r w:rsidRPr="00722885">
        <w:rPr>
          <w:color w:val="000000" w:themeColor="text1"/>
          <w:lang w:val="ru-RU"/>
        </w:rPr>
        <w:tab/>
        <w:t>— 556</w:t>
      </w:r>
    </w:p>
    <w:p w14:paraId="7EFD5643" w14:textId="77777777" w:rsidR="00495961" w:rsidRPr="00722885" w:rsidRDefault="00495961" w:rsidP="00722885">
      <w:pPr>
        <w:pStyle w:val="a3"/>
        <w:tabs>
          <w:tab w:val="left" w:pos="5031"/>
        </w:tabs>
        <w:rPr>
          <w:color w:val="000000" w:themeColor="text1"/>
          <w:lang w:val="ru-RU"/>
        </w:rPr>
      </w:pPr>
      <w:r w:rsidRPr="00722885">
        <w:rPr>
          <w:color w:val="000000" w:themeColor="text1"/>
          <w:lang w:val="ru-RU"/>
        </w:rPr>
        <w:t>на Н=6170 м</w:t>
      </w:r>
      <w:r w:rsidRPr="00722885">
        <w:rPr>
          <w:color w:val="000000" w:themeColor="text1"/>
          <w:lang w:val="ru-RU"/>
        </w:rPr>
        <w:tab/>
        <w:t>—630</w:t>
      </w:r>
    </w:p>
    <w:p w14:paraId="57E35727" w14:textId="77777777" w:rsidR="00495961" w:rsidRPr="00722885" w:rsidRDefault="00495961" w:rsidP="00722885">
      <w:pPr>
        <w:pStyle w:val="a3"/>
        <w:rPr>
          <w:color w:val="000000" w:themeColor="text1"/>
          <w:lang w:val="ru-RU"/>
        </w:rPr>
      </w:pPr>
      <w:r w:rsidRPr="00722885">
        <w:rPr>
          <w:color w:val="000000" w:themeColor="text1"/>
          <w:lang w:val="ru-RU"/>
        </w:rPr>
        <w:t>вооружение нормальное</w:t>
      </w:r>
    </w:p>
    <w:p w14:paraId="47935519" w14:textId="77777777" w:rsidR="00495961" w:rsidRPr="00722885" w:rsidRDefault="00495961" w:rsidP="00722885">
      <w:pPr>
        <w:pStyle w:val="a3"/>
        <w:tabs>
          <w:tab w:val="left" w:pos="5011"/>
        </w:tabs>
        <w:rPr>
          <w:color w:val="000000" w:themeColor="text1"/>
          <w:lang w:val="ru-RU"/>
        </w:rPr>
      </w:pPr>
      <w:r w:rsidRPr="00722885">
        <w:rPr>
          <w:color w:val="000000" w:themeColor="text1"/>
          <w:lang w:val="ru-RU"/>
        </w:rPr>
        <w:t>2 пулемёта 12,7 мм</w:t>
      </w:r>
      <w:r w:rsidRPr="00722885">
        <w:rPr>
          <w:color w:val="000000" w:themeColor="text1"/>
          <w:lang w:val="ru-RU"/>
        </w:rPr>
        <w:tab/>
        <w:t>— 550 патр.</w:t>
      </w:r>
    </w:p>
    <w:p w14:paraId="7A34896E" w14:textId="77777777" w:rsidR="00495961" w:rsidRPr="00722885" w:rsidRDefault="00495961" w:rsidP="00722885">
      <w:pPr>
        <w:pStyle w:val="a3"/>
        <w:tabs>
          <w:tab w:val="left" w:pos="5016"/>
        </w:tabs>
        <w:rPr>
          <w:color w:val="000000" w:themeColor="text1"/>
          <w:lang w:val="ru-RU"/>
        </w:rPr>
      </w:pPr>
      <w:r w:rsidRPr="00722885">
        <w:rPr>
          <w:color w:val="000000" w:themeColor="text1"/>
          <w:lang w:val="ru-RU"/>
        </w:rPr>
        <w:t>2 пулемёта 7,62 мм</w:t>
      </w:r>
      <w:r w:rsidRPr="00722885">
        <w:rPr>
          <w:color w:val="000000" w:themeColor="text1"/>
          <w:lang w:val="ru-RU"/>
        </w:rPr>
        <w:tab/>
        <w:t>— 1500 патр.</w:t>
      </w:r>
    </w:p>
    <w:p w14:paraId="4C8929A3" w14:textId="77777777" w:rsidR="00495961" w:rsidRPr="00722885" w:rsidRDefault="00495961" w:rsidP="00722885">
      <w:pPr>
        <w:pStyle w:val="a3"/>
        <w:tabs>
          <w:tab w:val="left" w:pos="5006"/>
        </w:tabs>
        <w:rPr>
          <w:color w:val="000000" w:themeColor="text1"/>
          <w:lang w:val="ru-RU"/>
        </w:rPr>
      </w:pPr>
      <w:r w:rsidRPr="00722885">
        <w:rPr>
          <w:color w:val="000000" w:themeColor="text1"/>
          <w:lang w:val="ru-RU"/>
        </w:rPr>
        <w:t>вооружение в перегрузку</w:t>
      </w:r>
      <w:r w:rsidRPr="00722885">
        <w:rPr>
          <w:color w:val="000000" w:themeColor="text1"/>
          <w:lang w:val="ru-RU"/>
        </w:rPr>
        <w:tab/>
        <w:t>— бомбы 500 кг или 8 РС-82.</w:t>
      </w:r>
    </w:p>
    <w:p w14:paraId="450F229D" w14:textId="77777777" w:rsidR="00495961" w:rsidRPr="00722885" w:rsidRDefault="00495961" w:rsidP="00722885">
      <w:pPr>
        <w:pStyle w:val="a3"/>
        <w:rPr>
          <w:color w:val="000000" w:themeColor="text1"/>
          <w:lang w:val="ru-RU"/>
        </w:rPr>
      </w:pPr>
      <w:r w:rsidRPr="00722885">
        <w:rPr>
          <w:color w:val="000000" w:themeColor="text1"/>
          <w:lang w:val="ru-RU"/>
        </w:rPr>
        <w:t>Этот же самолёт И-185 с мотором М-82 на совместных заводских и государственных испытаниях показал следующие данные по скоростям:</w:t>
      </w:r>
    </w:p>
    <w:p w14:paraId="70AFB70D" w14:textId="77777777" w:rsidR="00495961" w:rsidRPr="00722885" w:rsidRDefault="00495961" w:rsidP="00722885">
      <w:pPr>
        <w:pStyle w:val="a3"/>
        <w:rPr>
          <w:color w:val="000000" w:themeColor="text1"/>
          <w:lang w:val="ru-RU"/>
        </w:rPr>
      </w:pPr>
      <w:r w:rsidRPr="00722885">
        <w:rPr>
          <w:color w:val="000000" w:themeColor="text1"/>
          <w:lang w:val="ru-RU"/>
        </w:rPr>
        <w:t>максимальная скорость у земли</w:t>
      </w:r>
      <w:r w:rsidRPr="00722885">
        <w:rPr>
          <w:color w:val="000000" w:themeColor="text1"/>
          <w:lang w:val="ru-RU"/>
        </w:rPr>
        <w:tab/>
        <w:t>—515 км/ч</w:t>
      </w:r>
    </w:p>
    <w:p w14:paraId="200E5BA5" w14:textId="77777777" w:rsidR="00495961" w:rsidRPr="00722885" w:rsidRDefault="00495961" w:rsidP="00722885">
      <w:pPr>
        <w:pStyle w:val="a3"/>
        <w:tabs>
          <w:tab w:val="left" w:pos="5031"/>
        </w:tabs>
        <w:rPr>
          <w:color w:val="000000" w:themeColor="text1"/>
          <w:lang w:val="ru-RU"/>
        </w:rPr>
      </w:pPr>
      <w:r w:rsidRPr="00722885">
        <w:rPr>
          <w:color w:val="000000" w:themeColor="text1"/>
          <w:lang w:val="ru-RU"/>
        </w:rPr>
        <w:t>на Н=200 м с форсажем</w:t>
      </w:r>
      <w:r w:rsidRPr="00722885">
        <w:rPr>
          <w:color w:val="000000" w:themeColor="text1"/>
          <w:lang w:val="ru-RU"/>
        </w:rPr>
        <w:tab/>
        <w:t>— 549</w:t>
      </w:r>
    </w:p>
    <w:p w14:paraId="61DE8E66" w14:textId="77777777" w:rsidR="00495961" w:rsidRPr="00722885" w:rsidRDefault="00495961" w:rsidP="00722885">
      <w:pPr>
        <w:pStyle w:val="a3"/>
        <w:tabs>
          <w:tab w:val="left" w:pos="5036"/>
        </w:tabs>
        <w:rPr>
          <w:color w:val="000000" w:themeColor="text1"/>
          <w:lang w:val="ru-RU"/>
        </w:rPr>
      </w:pPr>
      <w:r w:rsidRPr="00722885">
        <w:rPr>
          <w:color w:val="000000" w:themeColor="text1"/>
          <w:lang w:val="ru-RU"/>
        </w:rPr>
        <w:t>на Н=6470 м</w:t>
      </w:r>
      <w:r w:rsidRPr="00722885">
        <w:rPr>
          <w:color w:val="000000" w:themeColor="text1"/>
          <w:lang w:val="ru-RU"/>
        </w:rPr>
        <w:tab/>
        <w:t>—615.</w:t>
      </w:r>
    </w:p>
    <w:p w14:paraId="3209C782" w14:textId="77777777" w:rsidR="00495961" w:rsidRPr="00722885" w:rsidRDefault="00495961" w:rsidP="00722885">
      <w:pPr>
        <w:pStyle w:val="a3"/>
        <w:rPr>
          <w:color w:val="000000" w:themeColor="text1"/>
          <w:lang w:val="ru-RU"/>
        </w:rPr>
      </w:pPr>
      <w:r w:rsidRPr="00722885">
        <w:rPr>
          <w:color w:val="000000" w:themeColor="text1"/>
          <w:lang w:val="ru-RU"/>
        </w:rPr>
        <w:t>Вооружение самолёта И-185 с М-82 состоит из 3-х синхронных пушек кал. 20 мм с запасом снарядов 500 шт.</w:t>
      </w:r>
    </w:p>
    <w:p w14:paraId="3C3781A5" w14:textId="77777777" w:rsidR="00495961" w:rsidRPr="00722885" w:rsidRDefault="00495961" w:rsidP="00722885">
      <w:pPr>
        <w:pStyle w:val="a3"/>
        <w:rPr>
          <w:color w:val="000000" w:themeColor="text1"/>
          <w:lang w:val="ru-RU"/>
        </w:rPr>
      </w:pPr>
      <w:r w:rsidRPr="00722885">
        <w:rPr>
          <w:color w:val="000000" w:themeColor="text1"/>
          <w:lang w:val="ru-RU"/>
        </w:rPr>
        <w:t>В связи с начавшимся, согласно решению ГОКО, серийным выпуском самолётов ЛаГГ-5 с мотором М-82 на заводе № 21, в данное время отпадает целесообразность внедрения в серию не только самолёта И-185 с М-82, но и самолёта И-185 с М-71» (15788).</w:t>
      </w:r>
    </w:p>
    <w:p w14:paraId="3875725B" w14:textId="77777777" w:rsidR="00495961" w:rsidRPr="00722885" w:rsidRDefault="00495961" w:rsidP="00722885">
      <w:pPr>
        <w:pStyle w:val="a3"/>
        <w:rPr>
          <w:color w:val="000000" w:themeColor="text1"/>
          <w:lang w:val="ru-RU"/>
        </w:rPr>
      </w:pPr>
    </w:p>
    <w:p w14:paraId="0CB0D79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г. Н.Н.П. подписал «Общее заключение комиссии НКАП» по Ту-2, в котром отмечалось:</w:t>
      </w:r>
    </w:p>
    <w:p w14:paraId="774C719B"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Ту-2, конструкции А.Н.Туполева, находит</w:t>
      </w:r>
      <w:r w:rsidRPr="00722885">
        <w:rPr>
          <w:rFonts w:ascii="Times New Roman" w:hAnsi="Times New Roman"/>
          <w:color w:val="000000" w:themeColor="text1"/>
          <w:sz w:val="16"/>
          <w:szCs w:val="16"/>
        </w:rPr>
        <w:softHyphen/>
        <w:t>ся в развернутом серийном производстве на заводе № 166 с выпуском до 1 самолета в день.</w:t>
      </w:r>
    </w:p>
    <w:p w14:paraId="4AAF43C4"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основании рассмотренных комиссией материа</w:t>
      </w:r>
      <w:r w:rsidRPr="00722885">
        <w:rPr>
          <w:rFonts w:ascii="Times New Roman" w:hAnsi="Times New Roman"/>
          <w:color w:val="000000" w:themeColor="text1"/>
          <w:sz w:val="16"/>
          <w:szCs w:val="16"/>
        </w:rPr>
        <w:softHyphen/>
        <w:t>лов можно видеть, что самолет Ту-2 превосходит по сво</w:t>
      </w:r>
      <w:r w:rsidRPr="00722885">
        <w:rPr>
          <w:rFonts w:ascii="Times New Roman" w:hAnsi="Times New Roman"/>
          <w:color w:val="000000" w:themeColor="text1"/>
          <w:sz w:val="16"/>
          <w:szCs w:val="16"/>
        </w:rPr>
        <w:softHyphen/>
        <w:t>им летно-тактическим данным современные серийные советские и заграничные бомбардировщики.</w:t>
      </w:r>
    </w:p>
    <w:p w14:paraId="40C784C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Ту-2 обладает мощным вооружением защи</w:t>
      </w:r>
      <w:r w:rsidRPr="00722885">
        <w:rPr>
          <w:rFonts w:ascii="Times New Roman" w:hAnsi="Times New Roman"/>
          <w:color w:val="000000" w:themeColor="text1"/>
          <w:sz w:val="16"/>
          <w:szCs w:val="16"/>
        </w:rPr>
        <w:softHyphen/>
        <w:t>ты и нападения и имеет дальность не менее 2000 км при весе перевозимого бомбового груза - 1000 кгр.</w:t>
      </w:r>
    </w:p>
    <w:p w14:paraId="413E9B1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самолета Ту-2 на заводе № 166 доста</w:t>
      </w:r>
      <w:r w:rsidRPr="00722885">
        <w:rPr>
          <w:rFonts w:ascii="Times New Roman" w:hAnsi="Times New Roman"/>
          <w:color w:val="000000" w:themeColor="text1"/>
          <w:sz w:val="16"/>
          <w:szCs w:val="16"/>
        </w:rPr>
        <w:softHyphen/>
        <w:t>точно оснащено и готовится к более крупному выпуску серийных самолетов.</w:t>
      </w:r>
    </w:p>
    <w:p w14:paraId="19CFB8E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Ввиду этого комиссия считает, что при устранении основных дефектов, отмеченных в ее докладной запис</w:t>
      </w:r>
      <w:r w:rsidRPr="00722885">
        <w:rPr>
          <w:rFonts w:ascii="Times New Roman" w:hAnsi="Times New Roman"/>
          <w:color w:val="000000" w:themeColor="text1"/>
          <w:sz w:val="16"/>
          <w:szCs w:val="16"/>
        </w:rPr>
        <w:softHyphen/>
        <w:t>ке, самолет Ту-2 имеет все данные пойти на снабжение ВВС и успешно выполнять свои боевые задачи.</w:t>
      </w:r>
    </w:p>
    <w:p w14:paraId="50F5A566"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166 с точки зрения Комиссии имеет все ос</w:t>
      </w:r>
      <w:r w:rsidRPr="00722885">
        <w:rPr>
          <w:rFonts w:ascii="Times New Roman" w:hAnsi="Times New Roman"/>
          <w:color w:val="000000" w:themeColor="text1"/>
          <w:sz w:val="16"/>
          <w:szCs w:val="16"/>
        </w:rPr>
        <w:softHyphen/>
        <w:t>нования к расширению своей производственной мощ</w:t>
      </w:r>
      <w:r w:rsidRPr="00722885">
        <w:rPr>
          <w:rFonts w:ascii="Times New Roman" w:hAnsi="Times New Roman"/>
          <w:color w:val="000000" w:themeColor="text1"/>
          <w:sz w:val="16"/>
          <w:szCs w:val="16"/>
        </w:rPr>
        <w:softHyphen/>
        <w:t>ности и к выпуску крупной серии самолета Ту-2» (10667).</w:t>
      </w:r>
    </w:p>
    <w:p w14:paraId="7AD7235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732F3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в производство завода 381 были спущены почти все чертежи Би Болховитинова (1632,265).</w:t>
      </w:r>
    </w:p>
    <w:p w14:paraId="1FE7722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310D9"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г. после завершения строительства начальник строительства завода А.С. Коробко и ди</w:t>
      </w:r>
      <w:r w:rsidRPr="00722885">
        <w:rPr>
          <w:rFonts w:ascii="Times New Roman" w:hAnsi="Times New Roman"/>
          <w:color w:val="000000" w:themeColor="text1"/>
          <w:sz w:val="16"/>
          <w:szCs w:val="16"/>
        </w:rPr>
        <w:softHyphen/>
        <w:t xml:space="preserve">ректор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Еськов направили Народному Комиссару Внешней Торговли А.И. Микояну «Рапорт об окончании строительства, освоении и работе завода № 600»:</w:t>
      </w:r>
    </w:p>
    <w:p w14:paraId="2F79FDAB"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основании Постановления Правительства и приказа НКАП, 10-я Строительно-монтажная Контора ГУКС'а НКАП, согласно проекту и генеральной смете, в точном соответ</w:t>
      </w:r>
      <w:r w:rsidRPr="00722885">
        <w:rPr>
          <w:rFonts w:ascii="Times New Roman" w:hAnsi="Times New Roman"/>
          <w:color w:val="000000" w:themeColor="text1"/>
          <w:sz w:val="16"/>
          <w:szCs w:val="16"/>
        </w:rPr>
        <w:softHyphen/>
        <w:t>ствии с техническими условиями построила самолётосборочный завод, военный городок и жилищно-культурно-бытовые объекты в Западном Китае.</w:t>
      </w:r>
    </w:p>
    <w:p w14:paraId="760562BB"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построено и сдано с оценкой на «отлично»:</w:t>
      </w:r>
    </w:p>
    <w:p w14:paraId="47A9A96D"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Производственных зданий — 12332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Жилых и культурно-бытовых зданий — 9911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Военный городок —5588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Внешние сети водопровода, канализации, теплофикации — 10861 погон, м. Безрельсовые дороги — 41294 погон, м. Электросети — 5300 погон, м. общим количеством: 78 зданий, искусственный водоём, аэродром и дороги на общей за</w:t>
      </w:r>
      <w:r w:rsidRPr="00722885">
        <w:rPr>
          <w:rFonts w:ascii="Times New Roman" w:hAnsi="Times New Roman"/>
          <w:color w:val="000000" w:themeColor="text1"/>
          <w:sz w:val="16"/>
          <w:szCs w:val="16"/>
        </w:rPr>
        <w:softHyphen/>
        <w:t>строенной площади в 120.000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52D5A06D"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Строительство завода выполнено со снижением себестоимости против утверждённых смет на 16,9% или сэкономлено 5502 тыс. руб., из которых 470 тыс. инвалютных рублей.</w:t>
      </w:r>
    </w:p>
    <w:p w14:paraId="687849AA"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Через 6 месяцев после начала строительных работ в срок, установленный Правитель</w:t>
      </w:r>
      <w:r w:rsidRPr="00722885">
        <w:rPr>
          <w:rFonts w:ascii="Times New Roman" w:hAnsi="Times New Roman"/>
          <w:color w:val="000000" w:themeColor="text1"/>
          <w:sz w:val="16"/>
          <w:szCs w:val="16"/>
        </w:rPr>
        <w:softHyphen/>
        <w:t>ством, прибывший в октябре месяце 1940 года коллектив завода приступил к освоению завода и в трёхмесячный срок в условиях незаконченного в полном объёме строитель</w:t>
      </w:r>
      <w:r w:rsidRPr="00722885">
        <w:rPr>
          <w:rFonts w:ascii="Times New Roman" w:hAnsi="Times New Roman"/>
          <w:color w:val="000000" w:themeColor="text1"/>
          <w:sz w:val="16"/>
          <w:szCs w:val="16"/>
        </w:rPr>
        <w:softHyphen/>
        <w:t>ства организовал завод. В этом же 1940 году собраны первые шесть самолётов, сог</w:t>
      </w:r>
      <w:r w:rsidRPr="00722885">
        <w:rPr>
          <w:rFonts w:ascii="Times New Roman" w:hAnsi="Times New Roman"/>
          <w:color w:val="000000" w:themeColor="text1"/>
          <w:sz w:val="16"/>
          <w:szCs w:val="16"/>
        </w:rPr>
        <w:softHyphen/>
        <w:t>ласно графику НКАП. Утверждённая СНК СССР, ЦК ВКП(б) и НКАП годовая программа по сборке и сдаче Наркомату Обороны СССР 143 самолётов И-16 заводом была вы</w:t>
      </w:r>
      <w:r w:rsidRPr="00722885">
        <w:rPr>
          <w:rFonts w:ascii="Times New Roman" w:hAnsi="Times New Roman"/>
          <w:color w:val="000000" w:themeColor="text1"/>
          <w:sz w:val="16"/>
          <w:szCs w:val="16"/>
        </w:rPr>
        <w:softHyphen/>
        <w:t>полнена досрочно на 2 месяца и 10 дней.</w:t>
      </w:r>
    </w:p>
    <w:p w14:paraId="69AEF751"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Пуск и освоение завода проведены с экономией в 10,7% или сэкономлено 575 тысяч инвалютных рублей против утверждённых Правительством смет.</w:t>
      </w:r>
    </w:p>
    <w:p w14:paraId="7852C23A"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Собранные самолёты, по заключению УВВС КА, обладали высокими лётными качест</w:t>
      </w:r>
      <w:r w:rsidRPr="00722885">
        <w:rPr>
          <w:rFonts w:ascii="Times New Roman" w:hAnsi="Times New Roman"/>
          <w:color w:val="000000" w:themeColor="text1"/>
          <w:sz w:val="16"/>
          <w:szCs w:val="16"/>
        </w:rPr>
        <w:softHyphen/>
        <w:t>вами, а доставка их в Союз была организована лётом.</w:t>
      </w:r>
    </w:p>
    <w:p w14:paraId="19F2292D"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Досрочно закончив годовую программу 1941 г., завод в полтора месяца провёл боль</w:t>
      </w:r>
      <w:r w:rsidRPr="00722885">
        <w:rPr>
          <w:rFonts w:ascii="Times New Roman" w:hAnsi="Times New Roman"/>
          <w:color w:val="000000" w:themeColor="text1"/>
          <w:sz w:val="16"/>
          <w:szCs w:val="16"/>
        </w:rPr>
        <w:softHyphen/>
        <w:t>шую работу по перестройке самолётосборочного завода на изготовление необходимых фронту остродефицитных частей к самолётам И-16, ЛАГГ-3 и ЯК-76, для чего к 1 янва</w:t>
      </w:r>
      <w:r w:rsidRPr="00722885">
        <w:rPr>
          <w:rFonts w:ascii="Times New Roman" w:hAnsi="Times New Roman"/>
          <w:color w:val="000000" w:themeColor="text1"/>
          <w:sz w:val="16"/>
          <w:szCs w:val="16"/>
        </w:rPr>
        <w:softHyphen/>
        <w:t>ря 1942 г. на базе построенных сооружений своими силами завод за счёт использова</w:t>
      </w:r>
      <w:r w:rsidRPr="00722885">
        <w:rPr>
          <w:rFonts w:ascii="Times New Roman" w:hAnsi="Times New Roman"/>
          <w:color w:val="000000" w:themeColor="text1"/>
          <w:sz w:val="16"/>
          <w:szCs w:val="16"/>
        </w:rPr>
        <w:softHyphen/>
        <w:t>ния внутренних ресурсов организовал новые цеха: агрегатно-сборочный с малярной и обойной мастерскими, слесарно-сварочный, заготовительно-медницкий, гальваничес</w:t>
      </w:r>
      <w:r w:rsidRPr="00722885">
        <w:rPr>
          <w:rFonts w:ascii="Times New Roman" w:hAnsi="Times New Roman"/>
          <w:color w:val="000000" w:themeColor="text1"/>
          <w:sz w:val="16"/>
          <w:szCs w:val="16"/>
        </w:rPr>
        <w:softHyphen/>
        <w:t>кий, термический и инструментальный.</w:t>
      </w:r>
    </w:p>
    <w:p w14:paraId="7A2271CB"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Проведённое на заводе № 153 испытание качества изготовленных агрегатов, подтвер</w:t>
      </w:r>
      <w:r w:rsidRPr="00722885">
        <w:rPr>
          <w:rFonts w:ascii="Times New Roman" w:hAnsi="Times New Roman"/>
          <w:color w:val="000000" w:themeColor="text1"/>
          <w:sz w:val="16"/>
          <w:szCs w:val="16"/>
        </w:rPr>
        <w:softHyphen/>
        <w:t>дило хорошее выполнение работ, стыковка агрегатов полностью соответствует установ</w:t>
      </w:r>
      <w:r w:rsidRPr="00722885">
        <w:rPr>
          <w:rFonts w:ascii="Times New Roman" w:hAnsi="Times New Roman"/>
          <w:color w:val="000000" w:themeColor="text1"/>
          <w:sz w:val="16"/>
          <w:szCs w:val="16"/>
        </w:rPr>
        <w:softHyphen/>
        <w:t>ленным техническим условиям.</w:t>
      </w:r>
    </w:p>
    <w:p w14:paraId="16747FC5"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ускорения и упрощения процесса изготовления агрегатов на заводе применен опыт наших передовых авиационных предприятий и заводов Дугласа и Вульти (т.е. американ</w:t>
      </w:r>
      <w:r w:rsidRPr="00722885">
        <w:rPr>
          <w:rFonts w:ascii="Times New Roman" w:hAnsi="Times New Roman"/>
          <w:color w:val="000000" w:themeColor="text1"/>
          <w:sz w:val="16"/>
          <w:szCs w:val="16"/>
        </w:rPr>
        <w:softHyphen/>
        <w:t>ская фирма «Валти»).</w:t>
      </w:r>
    </w:p>
    <w:p w14:paraId="0E566855"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Проведена большая работа по переквалификации кадров сборщиков на необходимые новые специальности, а также по подготовке кадров из местного отсталого населения.</w:t>
      </w:r>
    </w:p>
    <w:p w14:paraId="23ED4E76"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января 1942 г. завод полностью освоил изготовление частей самолётов и програм</w:t>
      </w:r>
      <w:r w:rsidRPr="00722885">
        <w:rPr>
          <w:rFonts w:ascii="Times New Roman" w:hAnsi="Times New Roman"/>
          <w:color w:val="000000" w:themeColor="text1"/>
          <w:sz w:val="16"/>
          <w:szCs w:val="16"/>
        </w:rPr>
        <w:softHyphen/>
        <w:t>му 1-го полугодия 1942 года выполнил на 104 % на пять дней раньше срока.</w:t>
      </w:r>
    </w:p>
    <w:p w14:paraId="61E7C694"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Проведённая реконструкция самолётосборочного завода своими силами создала все условия к превращению завода № 600 в самолётостроительный.</w:t>
      </w:r>
    </w:p>
    <w:p w14:paraId="13BA0112"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создал все необходимые культурно-бытовые условия для командированных из Союза работников и членов их семей, а также для работающих на заводе рабочих из местного населения. Имеется больница, школа 10-летка, детсад, детясли, клуб, баня- прачечная.</w:t>
      </w:r>
    </w:p>
    <w:p w14:paraId="61C7D931"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коллектив завода располагает собственной мощной продовольст</w:t>
      </w:r>
      <w:r w:rsidRPr="00722885">
        <w:rPr>
          <w:rFonts w:ascii="Times New Roman" w:hAnsi="Times New Roman"/>
          <w:color w:val="000000" w:themeColor="text1"/>
          <w:sz w:val="16"/>
          <w:szCs w:val="16"/>
        </w:rPr>
        <w:softHyphen/>
        <w:t>венной и топливной базой (подсобное хозяйство и ряд предприятий пищевого производ</w:t>
      </w:r>
      <w:r w:rsidRPr="00722885">
        <w:rPr>
          <w:rFonts w:ascii="Times New Roman" w:hAnsi="Times New Roman"/>
          <w:color w:val="000000" w:themeColor="text1"/>
          <w:sz w:val="16"/>
          <w:szCs w:val="16"/>
        </w:rPr>
        <w:softHyphen/>
        <w:t>ства, угольная шахта).</w:t>
      </w:r>
    </w:p>
    <w:p w14:paraId="4AE41BD8"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изделий ширпотреба: ложки, пуговицы, мыло, а также и пищевого производст</w:t>
      </w:r>
      <w:r w:rsidRPr="00722885">
        <w:rPr>
          <w:rFonts w:ascii="Times New Roman" w:hAnsi="Times New Roman"/>
          <w:color w:val="000000" w:themeColor="text1"/>
          <w:sz w:val="16"/>
          <w:szCs w:val="16"/>
        </w:rPr>
        <w:softHyphen/>
        <w:t>ва: колбасные, кондитерские, пиво и др. может быть увеличен и сдаваться Совсинторгу для экспортной продажи. Разрешение Наркома т. Шахурина на сдачу продукции нашего подсобного производства В/О «Совсинторг» имеется.</w:t>
      </w:r>
    </w:p>
    <w:p w14:paraId="2C0D0EA7"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Строительство и освоение завода проводилось в трудных специфических условиях от</w:t>
      </w:r>
      <w:r w:rsidRPr="00722885">
        <w:rPr>
          <w:rFonts w:ascii="Times New Roman" w:hAnsi="Times New Roman"/>
          <w:color w:val="000000" w:themeColor="text1"/>
          <w:sz w:val="16"/>
          <w:szCs w:val="16"/>
        </w:rPr>
        <w:softHyphen/>
        <w:t>сталой провинции Китая, оторванности завода от ближайшей жел. дор. станции на рас</w:t>
      </w:r>
      <w:r w:rsidRPr="00722885">
        <w:rPr>
          <w:rFonts w:ascii="Times New Roman" w:hAnsi="Times New Roman"/>
          <w:color w:val="000000" w:themeColor="text1"/>
          <w:sz w:val="16"/>
          <w:szCs w:val="16"/>
        </w:rPr>
        <w:softHyphen/>
        <w:t>стоянии 900 км, наличия на трассе двух высокогорных перевалов, на совершенно голом плато при наличии ураганных ветров и тяжёлых климатических условий (жара до 70°) и при ограниченном количестве работников, командированных из Союза. Считаем необходимым отметить большую помощь, оказанную строи</w:t>
      </w:r>
      <w:r w:rsidRPr="00722885">
        <w:rPr>
          <w:rFonts w:ascii="Times New Roman" w:hAnsi="Times New Roman"/>
          <w:color w:val="000000" w:themeColor="text1"/>
          <w:sz w:val="16"/>
          <w:szCs w:val="16"/>
        </w:rPr>
        <w:softHyphen/>
        <w:t>тельству и заводу со стороны аппа</w:t>
      </w:r>
      <w:r w:rsidRPr="00722885">
        <w:rPr>
          <w:rFonts w:ascii="Times New Roman" w:hAnsi="Times New Roman"/>
          <w:color w:val="000000" w:themeColor="text1"/>
          <w:sz w:val="16"/>
          <w:szCs w:val="16"/>
        </w:rPr>
        <w:softHyphen/>
        <w:t>рата НКВТ, ведающего Зап. Китаем, и руководства В/О «Совсинторг» по переброске грузов отечественного производства из Союза».</w:t>
      </w:r>
    </w:p>
    <w:p w14:paraId="0BF7E6B3" w14:textId="77777777" w:rsidR="00495961" w:rsidRPr="00722885" w:rsidRDefault="004959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первой странице этого рапорта есть резолюция: «Надо бы работни</w:t>
      </w:r>
      <w:r w:rsidRPr="00722885">
        <w:rPr>
          <w:rFonts w:ascii="Times New Roman" w:hAnsi="Times New Roman"/>
          <w:color w:val="000000" w:themeColor="text1"/>
          <w:sz w:val="16"/>
          <w:szCs w:val="16"/>
        </w:rPr>
        <w:softHyphen/>
        <w:t>ков этого строительства и завода наградить. 23.</w:t>
      </w:r>
      <w:r w:rsidRPr="00722885">
        <w:rPr>
          <w:rFonts w:ascii="Times New Roman" w:hAnsi="Times New Roman"/>
          <w:color w:val="000000" w:themeColor="text1"/>
          <w:sz w:val="16"/>
          <w:szCs w:val="16"/>
          <w:lang w:val="en-US"/>
        </w:rPr>
        <w:t>VII</w:t>
      </w:r>
      <w:r w:rsidRPr="00722885">
        <w:rPr>
          <w:rFonts w:ascii="Times New Roman" w:hAnsi="Times New Roman"/>
          <w:color w:val="000000" w:themeColor="text1"/>
          <w:sz w:val="16"/>
          <w:szCs w:val="16"/>
        </w:rPr>
        <w:t>. А.Микоян» (15811).</w:t>
      </w:r>
    </w:p>
    <w:p w14:paraId="405A2630" w14:textId="77777777" w:rsidR="00495961" w:rsidRPr="00722885" w:rsidRDefault="00495961" w:rsidP="00722885">
      <w:pPr>
        <w:spacing w:after="0" w:line="240" w:lineRule="auto"/>
        <w:jc w:val="both"/>
        <w:rPr>
          <w:rFonts w:ascii="Times New Roman" w:hAnsi="Times New Roman"/>
          <w:color w:val="000000" w:themeColor="text1"/>
          <w:sz w:val="16"/>
          <w:szCs w:val="16"/>
        </w:rPr>
      </w:pPr>
    </w:p>
    <w:p w14:paraId="5D77CC03"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57DA815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159F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года вышел приказ № 508с НКБ</w:t>
      </w:r>
    </w:p>
    <w:p w14:paraId="6D057E18"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Указом Президиума ВС от 21 июня 1942 года:</w:t>
      </w:r>
    </w:p>
    <w:p w14:paraId="06C35A6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 Орджоникидзе Наркомата Автомобильного транспорта, находящийся в Сталинобаде Таджикской ССР принять в систему НКБ для организации на нем производства 76 мм корпусов снарядов сталистого чугуна (5905, 123-124).</w:t>
      </w:r>
    </w:p>
    <w:p w14:paraId="0F70DD3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E45E9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года был утвержден Устав завода № 586 НКВ (9264).</w:t>
      </w:r>
    </w:p>
    <w:p w14:paraId="0F0E13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F97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вышло Постановление ГКО № 2077 Об обеспечении автотранспортом формируемых 10 истребительно-противотанковых артиллерийских полков в Сталинградском учебно-артиллерийском центре. РГАНИР, Фонд ГКО, д. 46, лл. 38 (11012).</w:t>
      </w:r>
    </w:p>
    <w:p w14:paraId="19042E5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2B0D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вышло Постановление ГКО № 2078 О вооружении танков огнеметами АТО-41 в III квартале 1942 года. РГАНИР, Фонд ГКО, д. 46, лл. 39 (11012).</w:t>
      </w:r>
    </w:p>
    <w:p w14:paraId="5AF653B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73F45"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вышло Постановление ГКО № 2079 Об упразднении Управления Ленинградской ж.д. (7045, 40).</w:t>
      </w:r>
    </w:p>
    <w:p w14:paraId="46430A1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E6EDE6"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вышло Постановление ГКО № 2080 Об упорядочении планирования дополнительных железнодорожных перевозок и создания поездов-вертушек. (7045, 41-42).</w:t>
      </w:r>
    </w:p>
    <w:p w14:paraId="7A41465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34D492"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вышло Постановление ГКО № 2081 О заработной плате руководящих и инженерно-технических работников и рабочих заводов железнодорожного машиностроения, рабочих по ремонту подвижного состава, пути, оборудования и инвентаря, на заводах, в депо, вагоноремонтных пунктах, дистанциях пути, машинопутевых станциях, мастерских железных дорог. (7045, 43-44,45-51).</w:t>
      </w:r>
    </w:p>
    <w:p w14:paraId="46CBB1D7"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7265E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вышло Постановление ГКО № 2083 Об обеспечении железных дорог дровами во втором полугодии 1942 года. (7045, 56-63,64-69).</w:t>
      </w:r>
    </w:p>
    <w:p w14:paraId="32BC8F8F"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DC3AB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закончена постройка 11 металлических барж-"блокадок".</w:t>
      </w:r>
    </w:p>
    <w:p w14:paraId="49C5492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956D96"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6F99E15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66BC3D"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в 1942 году утреннее сообщение Совинформбюро:</w:t>
      </w:r>
    </w:p>
    <w:p w14:paraId="69507741"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23 июля наши войска вели бои с противником в районе Воронежа, а также в районах Цымлянская, Новочеркасск.</w:t>
      </w:r>
    </w:p>
    <w:p w14:paraId="4EFBE5A2"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30A55CB5"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продолжались упорные бои. Наши войска потеснили противникаи улучшили свои позиции. Наши танкисты атаковали оборонительный рубеж противника и уничтожили 3 немецких танка, 5 бронемашин, 14 автомашин, 60 подвод с грузом и до 200 гитлеровцев. На другом участке бойцы нашей части после мощной артиллерийской подготовки сломили сопротивление противника и прижали его к реке. В ожесточённой схватке уничтожено свыше 750 немецких солдат и офицеров, 6 танков, 10 орудий и много другого вооружения. Взяты пленные. Многие гитлеровцы утонули в реке.</w:t>
      </w:r>
    </w:p>
    <w:p w14:paraId="52E251F6"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Новочеркасска наши войска вели оборонительные бои. Отражая атаки немцев, наши бойцы изматывают силы врага и наносят ему большой урон. Только на участке одного подразделения в течение суток уничтожено 470 немецких солдат и офицеров, 5 танков и бронемашин, 17 автомашин с войсками и грузами. На другом участке артиллеристы отбили 4 танковые атаки противника. Немцы потеряли 17 танков и до 200 солдат и офицеров.</w:t>
      </w:r>
    </w:p>
    <w:p w14:paraId="4F6F2BC6"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происходила редкая артиллерийская перестрелка и поиски разведчиков. Два разведывательных отряда под командованием старшего лейтенанта Барабанщикова и старшего лейтенанта Демченко разгромили немецкие гарнизоны впунктах Б. и П. Наши бойцы истребили более 250 солдат и офицеров, в числе которых оказался командир батальона немецкого пехотного полка. Уничтожены 2 орудия, 12 пулемётов, 3 миномёта, радиостанция и взорван склад боеприпасов противника. Захвачены трофеи и пленные. Подразделение, где командиром тов.Старинов, действующее в тылу врага, за 7 дней пустило под откос 10 железнодорожных эшелонов противника.</w:t>
      </w:r>
    </w:p>
    <w:p w14:paraId="76EF29DC"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батарея под командованием тов. Горюнова произвела успешный огневой налёт на группу финских солдат. Убито и ранено несколько десятков белофиннов. Артиллеристы подразделения тов. Воронича уничтожили орудие противника и истребили не менее 30 гитлеровцев.</w:t>
      </w:r>
    </w:p>
    <w:p w14:paraId="5025E272"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С., действующий в одном из районов Черниговской области, внезапно напал на роту немецко-фашистских оккупантов. Партизаны истребили несколько десятков гитлеровцев и захватили 8 пулемётов, 2 миномёта, 80 винтовок и боеприпасы.</w:t>
      </w:r>
    </w:p>
    <w:p w14:paraId="586CFD43"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185 полка 87 немецкой пехотной дивизии Альфонс X., поляк понациональности, рассказал: «Немцы считают всех поляков своими рабами. Десятки тысяч жителей Польши насильно увезены в Германию на принудительные работы. Польских крестьян сгоняют с земли и заставляют с раннего утра до поздней ночи работать на немцев. За малейшую провинность грозит тюрьма или концентрационный лагерь. Поляки, мобилизованные в германскую армию, не хотят воевать за Гитлера».</w:t>
      </w:r>
    </w:p>
    <w:p w14:paraId="683CE8FA"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патриоты ежедневно истребляют десятки немецких оккупантов. Недавно в одном парижском кафе взрывом гранаты убито 8 немецких офицеров. В Дьеппе в городском саду обнаружены трупы четырёх немецких солдат.</w:t>
      </w:r>
    </w:p>
    <w:p w14:paraId="03C29F68"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Коллектив завода, где директором тов. Борисов, успешно борется за увеличение выпуска авиационных моторов. В цехе, которым руководит тов. Лебедь, выработка деталей увеличена в два раза». В цехе, где начальником тов. Максимов, введена одновременная шлифовка 12 деталей. Значительно сократилось время, которое затрачивается на сборку мотора.» (14961).</w:t>
      </w:r>
    </w:p>
    <w:p w14:paraId="5C6A116D" w14:textId="77777777" w:rsidR="00DD0C17" w:rsidRPr="00722885" w:rsidRDefault="00DD0C17" w:rsidP="00722885">
      <w:pPr>
        <w:spacing w:after="0" w:line="240" w:lineRule="auto"/>
        <w:jc w:val="both"/>
        <w:rPr>
          <w:rFonts w:ascii="Times New Roman" w:hAnsi="Times New Roman"/>
          <w:color w:val="000000" w:themeColor="text1"/>
          <w:sz w:val="16"/>
          <w:szCs w:val="16"/>
        </w:rPr>
      </w:pPr>
    </w:p>
    <w:p w14:paraId="6C2B68B9"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в 1942 году вечернее сообщение Совинформбюро:</w:t>
      </w:r>
    </w:p>
    <w:p w14:paraId="585D7126"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течение 23 июля наши войска вели ожесточённые бои в районе Воронежа, а также в районах Цымлянская, Новочеркасск, Ростов.</w:t>
      </w:r>
    </w:p>
    <w:p w14:paraId="13CAA708"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6076AAC8"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3а 22 июля частями нашей авиации на различных участках фронта уничтожено или повреждено 32 немецких танка, 165 автомашин с войсками и грузами, 40 повозок сбоеприпасами, подавлен огонь 3 дивизионов полевой и зенитной артиллерии, взорвано 2 склада боеприпасов, повреждён транспорт и потоплен торпедный катер, рассеяно и частью уничтожено до двух рот пехоты противника.</w:t>
      </w:r>
    </w:p>
    <w:p w14:paraId="4382A26F"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продолжались бои. Потрёпанные в последнее время немецко-фашистские войска подтягивают подкрепления и всеми силами стремятся удержать захваченные ими рубежи. В течение дня на одном из участков большое число танков и пехоты противника атаковало Н-скую мотострелковую часть. Наши бойцы отбили все атаки немцев и продвинулись вперёд. На поле боя осталось несколько десятков подбитых и сожжённых танков и до 1.000 трупов солдат и офицеров противника. На другом участке подразделение старшего лейтенанта Гориловича отбило три контратаки гитлеровцев и захватило укреплённый рубеж. Немцы потеряли убитыми свыше 100 солдат и офицеров. Бронебойщики сожгли два немецких танка.</w:t>
      </w:r>
    </w:p>
    <w:p w14:paraId="059E45C2"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идут напряжённые бои. Советские части отбивали многочисленные атаки противника. Наши артиллеристы сожгли 4 немецких танка, уничтожили 3 самоходных орудия, 7 пулемётов и до 300 гитлеровцев. Одно подразделение наших танков прорвалось в тыл противника. Огнём и гусеницами танкисты уничтожили свыше 40 автомашин с боеприпасами, походную мастерскую и истребили 150 немецких солдат и офицеров.</w:t>
      </w:r>
    </w:p>
    <w:p w14:paraId="23E6D741"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Новочеркасска наши войска вели оборонительные бои с крупными силами танков и мотопехотой противника. Одна наша часть в течение суток отбила семь вражеских атак и уничтожила свыше 1.000 немецких солдат и офицеров. Когда создалась угроза окружения, наши бойцы по приказу командования отошли на новый рубеж. На другом участке наши бронебойщики подбили 8 немецких танков.</w:t>
      </w:r>
    </w:p>
    <w:p w14:paraId="69DC9FCB"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продолжались активные действия разведывательных отрядов, Разведчики части, где командиром тов. Фёдоров, переправились через реку, вступили в бой с численно превосходящими силами противника и истребили 70 гитлеровцев. Другая группа разведчиков совершила смелый налёт на немецкий гарнизон. Отважные бойцы истребили 20 гитлеровцев, захватили нескольких немецких солдат в плен и без потерь вернулись в свою часть.</w:t>
      </w:r>
    </w:p>
    <w:p w14:paraId="4FEB1E04"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из отряда тов. Т., действующего в тылу у противника на Северо-Западном фронте, пустили под откос немецкий воинский эшелон. Разбито семь пассажирских вагонов с войсками и семь платформ с автомашинами. Погибло 150гитлеровцев. Группа партизан этого же отряда совершила смелый налёт на немецкий гарнизон в деревне О. Советские патриоты в короткой схватке истребили 40 оккупантов, взорвали склад боеприпасов противника и захватили батальонный миномёт.</w:t>
      </w:r>
    </w:p>
    <w:p w14:paraId="09EB4F2E"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унтер-офицер 246 полка 88 немецкой дивизии Карл Ш. рассказал: «За один день наша рота потеряла убитыми и ранеными 90 человек. Нам была поставлена задача занять высоту Н., окопаться и удержать её. Когда мы уже находились на этой высоте, к нам в тыл зашли русские танки. Вскоре первый взвод роты перестал существовать, 15 солдат было убито и ранено. Всех остальных ждала такая же участь. Посоветовавшись со мной и другими солдатами, штабс-фельфебель Р. приказал сложить оружие. Все мы в количестве 17 человек сдались в плен».</w:t>
      </w:r>
    </w:p>
    <w:p w14:paraId="23495561"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новых чудовищных злодеяниях немецко-фашистских извергов. В начале июля военный комендант Курска обязал многих жителей города явиться на сборный пункт, захватив с собой продукты и лопаты. В назначенный срок собралось больше 400 человек. Немцы угнали собравшихся на строительство укреплений. Через десять дней, когда работы были закончены, гитлеровские палачи заставили вырыть ямы и расстреляли всех работавших на строительстве.</w:t>
      </w:r>
    </w:p>
    <w:p w14:paraId="4F5D3085"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Борьба югославских партизан против немецко-итальянских захватчиков продолжается с возрастающей силой. Партизанские отряды удерживают целый ряд захваченных ими городов и успешно отражают атаки итальянцев. Только в одном из боёв патриоты уничтожили свыше 300 оккупантов. Недалеко от итало-югославской границы партизаны захватили ряд пунктов на железной дороге Триест - Любляна. Итальянские самолёты подвергли жестокой бомбардировке гор. Прозор и полностью разрушили его. Убито много женщин и детей.» (14961).</w:t>
      </w:r>
    </w:p>
    <w:p w14:paraId="451B46B1" w14:textId="77777777" w:rsidR="00DD0C17" w:rsidRPr="00722885" w:rsidRDefault="00DD0C17" w:rsidP="00722885">
      <w:pPr>
        <w:spacing w:after="0" w:line="240" w:lineRule="auto"/>
        <w:jc w:val="both"/>
        <w:rPr>
          <w:rFonts w:ascii="Times New Roman" w:hAnsi="Times New Roman"/>
          <w:color w:val="000000" w:themeColor="text1"/>
          <w:sz w:val="16"/>
          <w:szCs w:val="16"/>
        </w:rPr>
      </w:pPr>
    </w:p>
    <w:p w14:paraId="4273CF1D"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в 1942 году верховное главное командование вооруженными силами Германии издало директиву № 45 о продолжении наступления на советско-германском фронте: группы армий «Б» — на Сталинград, группы армий «А» — на Кавказ (14961).</w:t>
      </w:r>
    </w:p>
    <w:p w14:paraId="6FDD6B11" w14:textId="77777777" w:rsidR="00DD0C17" w:rsidRPr="00722885" w:rsidRDefault="00DD0C17" w:rsidP="00722885">
      <w:pPr>
        <w:spacing w:after="0" w:line="240" w:lineRule="auto"/>
        <w:jc w:val="both"/>
        <w:rPr>
          <w:rFonts w:ascii="Times New Roman" w:hAnsi="Times New Roman"/>
          <w:color w:val="000000" w:themeColor="text1"/>
          <w:sz w:val="16"/>
          <w:szCs w:val="16"/>
        </w:rPr>
      </w:pPr>
    </w:p>
    <w:p w14:paraId="1C615BB8"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в 1942 году массированный авиаудар немецких ВВС по Сталинграду (14961).</w:t>
      </w:r>
    </w:p>
    <w:p w14:paraId="5E087516" w14:textId="77777777" w:rsidR="00DD0C17" w:rsidRPr="00722885" w:rsidRDefault="00DD0C17" w:rsidP="00722885">
      <w:pPr>
        <w:spacing w:after="0" w:line="240" w:lineRule="auto"/>
        <w:jc w:val="both"/>
        <w:rPr>
          <w:rFonts w:ascii="Times New Roman" w:hAnsi="Times New Roman"/>
          <w:color w:val="000000" w:themeColor="text1"/>
          <w:sz w:val="16"/>
          <w:szCs w:val="16"/>
        </w:rPr>
      </w:pPr>
    </w:p>
    <w:p w14:paraId="0580C5A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23, 1942: Rostov-on-Don is captured by the 1.Panzer-Armee, thus clearing the way for the advance of Armeegruppe A toward the Caucasus and Kuban region. In North Africa, fighting continues on the El Alamein front (3819).</w:t>
      </w:r>
    </w:p>
    <w:p w14:paraId="382A75E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FF9CC2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July 23 1942 Germans capture Rostov (1037).</w:t>
      </w:r>
    </w:p>
    <w:p w14:paraId="3D1AA91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5FA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немцы захватили Ростов (1037), и открылся путь на Кавказ (3819).</w:t>
      </w:r>
    </w:p>
    <w:p w14:paraId="25EE3EB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E9E28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вышла директива N 45 немецкого командования, в которой определялся дальнейший ход войны против СССР (3186).</w:t>
      </w:r>
    </w:p>
    <w:p w14:paraId="0AA4374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9574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Гитлер подписал знаменитую директиву № 45, в которой, кроме определения наступательных задач, были определены и приоритетные цели для Люфтваффе:  «Задачи авиации состоят в том, чтобы сначала крупными силами обеспечить переправу войск через Дон, затем оказать поддержку группировке, наступающей вдоль железной дороги на Тихорецк. После этого ее главные силы должны быть сосредоточены для уничтожения армии Тимошенко. Наряду с этим оказывать помощь наступлению группы армий «Б» на Сталинград и Астрахань. Особое значение имеет при этом заблаговременное разрушение города Сталинград. Кроме того, следует при случае производить налеты на Астрахань, движение судов в нижнем течении р. Волга должно быть парализовано путем сбрасывания мин… Чтобы в ближайшее время лишить противника возможности доставлять нефть с Кавказа, необходимо разрушить используемые для этой цели железные дороги, а также парализовать перевозки по Каспийскому морю». Германская авиация, наносившая удары по Сталинграду и волжскому судоходству, базировалась на аэродромах, близко выдвинутых к линии фронта. «Юнкерсы» 51-й эскадры «Эдельвейс»действовали с аэродрома в Сталино (Донецк), «Хейнкели» 2-й и 3-й групп 55-й эскадры «Грайф» – с аэродрома в Краматорске, a I./KG55 – с аэродрома Кутейниково. На 27 июля I./KG51 располагала 17 исправными Ju-88, а П. и III./KG55 – 41 Не-111. В течение суток 24 июля над территорией Сталинградского корпусного района ПВО были зафиксированы 208 самолето-пролетов противника, 25 июля – 343,26 июля – 312,27 июля – 332 и 28 июля – 337. Немецкие самолеты сбрасывали в реку мины ГМА, ГМВ и ВМ1000. Они были оборудованы различными типами взрывателей, в т.ч. акустическими. Боезаряды массой от 300 до 680 кг при взрыве гарантированно уничтожали любой тип речного судна. В течение 25—27 июля немецкие самолеты забросали этими минами Волгу на протяжении 400 км, от Камышина до села Никольского в Астраханской области. Лишь в районе Сталинграда было зафиксировано падение в фарватер около 50 мин. Одновременно с этим немецкие бомбардировщики бомбили и обстреливали суда и нефтекараваны, а также наносили удары по пристаням (11774).</w:t>
      </w:r>
    </w:p>
    <w:p w14:paraId="0AC68A1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ABCC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немецкие части нанесли удар по 62-й армии, пытаясь прорваться к Сталинграду, и к вечеру следующего дня прорвали фронт. Для восстановления положения командование Сталинградского фронта предприняло контрудар силами 13-го танкового корпуса (157 танков, из них 94 Т-34). Однако, несмотря на довольно внушительный состав, подготовка экипажей Т-34 оставляла желать лучшего. «Механики-водители танков имеют только по 35 часов вождения. Крайне необходимо, чтобы в корпусе было хотя бы 30 механиков-водителей со стажем 3050 часов», - так докладывал об этом командир корпуса.</w:t>
      </w:r>
    </w:p>
    <w:p w14:paraId="42D9BC8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это, 25 июля 1942 года 13-й танковый корпус нанес удар по прорвавшимся в тыл 62-й армии немецким частям, задержав их продвижение. Только 163-я танковая бригада уничтожила несколько немецких танков, захватив пять из них, потеряв при этом 16 боевых машин, из них 10 Т-34.</w:t>
      </w:r>
    </w:p>
    <w:p w14:paraId="362299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за неделю боев 13-й танковый корпус, действуя без артиллерийской и пехотной поддержки, сумел задержать немецкие наступающие части и нанести им большой урон, хотя и сам понес огромные потери. К 1 августа в его составе осталось всего 16 боеспособных танков (из 157), из них девять тридцатьчетверок. При этом был безвозвратно потерян 81 танк (из них 51 Т-34), еще 60 находились в ремонте (из них 34 Т-34). Следует сказать, что из-за отсутствия эвакуационных средств не удалось эвакуировать часть подбитых тридцатьчетверок, и их пришлось бросить на поле боя.</w:t>
      </w:r>
    </w:p>
    <w:p w14:paraId="68742D7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года по директиве Ставки ВГК на Сталинградском фронте началось формирование двух танковых армий (1 и 4-я), в каждую из которых включалось два танковых корпуса, три стрелковых дивизии, четыре артиллерийских и один гвардейский минометный полк. Несмотря на то, что завершить их формирование не удалось, танковые армии своими действиями сумели задержать наступление немецких частей и не допустить разгрома войск Сталинградского фронта.</w:t>
      </w:r>
    </w:p>
    <w:p w14:paraId="4C01D53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уже 25 июля 1942 года, из-за прорыва немецких войск к Калачу, 1-я танковая армия получила приказ уничтожить прорвавшегося противника и восстановить, положение.</w:t>
      </w:r>
    </w:p>
    <w:p w14:paraId="7D5DCA1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Нанесенным силами 28-го танкового корпуса (208 танков, из них 130 Т-34) 1-й танковой армии 26 июля контрударом удалось отбросить немцев на 6 — 7 км и временно восстановить положение у Калача (12217).</w:t>
      </w:r>
    </w:p>
    <w:p w14:paraId="121FB5A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E02902A"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ночь с 23 на 24.7.42 г. полк летал на бомбометание по Кенигсбергу. Самолет №42066 командир Пусэп, штурман Штепенко, задание не выполнил из-за сплошной облач</w:t>
      </w:r>
      <w:r w:rsidRPr="00722885">
        <w:rPr>
          <w:rFonts w:ascii="Times New Roman" w:hAnsi="Times New Roman"/>
          <w:color w:val="0070C0"/>
          <w:sz w:val="16"/>
          <w:szCs w:val="16"/>
        </w:rPr>
        <w:softHyphen/>
        <w:t>ности и отказа РПК-2. Обнаружить цель в таких условиях штурман не смог. В 04 час 45 мин произвел посадку на своем аэродроме с бомбами благополучно (19936).</w:t>
      </w:r>
    </w:p>
    <w:p w14:paraId="53616AC2" w14:textId="77777777" w:rsidR="001D66FE" w:rsidRPr="00722885" w:rsidRDefault="001D66FE" w:rsidP="00722885">
      <w:pPr>
        <w:spacing w:after="0" w:line="240" w:lineRule="auto"/>
        <w:jc w:val="both"/>
        <w:rPr>
          <w:rFonts w:ascii="Times New Roman" w:hAnsi="Times New Roman"/>
          <w:color w:val="0070C0"/>
          <w:sz w:val="16"/>
          <w:szCs w:val="16"/>
        </w:rPr>
      </w:pPr>
    </w:p>
    <w:p w14:paraId="65883F3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начальник Волжского пароходства Чуянов приказал ускорить маскировочные работы на Сталинградской городской нефтебазе, расположенной на берегу Волги, около металлургического завода «Красный Октябрь». Здесь хранились десятки тысяч тонн топлива, и в случае бомбежки мог возникнуть огромный пожар. Эвакуировать эти запасы уже не было никакой возможности. Специальная саперно-маскировочная часть в срочном порядке принялась красить баки под цвет окружающей местности, а местное население, в т.ч. школьники, обваливало их землей. На предприятиях, где работа кипела круглые сутки, решением комитета обороны было введено круглосуточное дежурство ответственных руководителей (11774).</w:t>
      </w:r>
    </w:p>
    <w:p w14:paraId="36ED739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7A565"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Внешняя политика:</w:t>
      </w:r>
    </w:p>
    <w:p w14:paraId="5F10E91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CBB3B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года</w:t>
      </w:r>
    </w:p>
    <w:p w14:paraId="6FBA0D1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 РУЗВЕЛЬТ И. В. СТАЛИНУ *</w:t>
      </w:r>
    </w:p>
    <w:p w14:paraId="4F95A34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 получил Ваше послание относительно предполагаемого рекогносцировочного перелета с Аляски и совещания в Москве. Участники рекогносцировочного перелета будут находиться на Аляске и будут готовы вылететь к 1 августа. В связи с этим четырехмоторный бомбардировщик будет находиться в Номе на тот случай, если он потребуется.</w:t>
      </w:r>
    </w:p>
    <w:p w14:paraId="3AA6500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 весьма ценю Ваше сообщение о трудностях, испытываемых на фронте с американскими танками. Нашим специалистам по танкам эта информация будет весьма полезна для устранения недостатков этого типа танков. Однако опасность пожара в будущих типах будет снижена, так как они будут работать на горючем с более низким октановым числом (7430).</w:t>
      </w:r>
    </w:p>
    <w:p w14:paraId="195930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EDB4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года было отправлено:</w:t>
      </w:r>
    </w:p>
    <w:p w14:paraId="225017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ПОСЛАНИЕ ПРЕМЬЕРА СТАЛИНА ПРЕМЬЕРУ ЧЕРЧИЛЛЮ</w:t>
      </w:r>
    </w:p>
    <w:p w14:paraId="759AC84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Получил Ваше послание от 18 июля.</w:t>
      </w:r>
    </w:p>
    <w:p w14:paraId="4E0132F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послания видно, что, во-первых, Правительство Великобритании отказывается продолжать снабжение Советского Союза военными материалами по северному пути и, во-вторых, несмотря на известное согласованное Англо-Советское коммюнике 22 о принятии неотложных мер по организации второго фронта в 1942 году, Правительство Великобритании откладывает это дело на 1943 год.</w:t>
      </w:r>
    </w:p>
    <w:p w14:paraId="1F0C0C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военно-морские специалисты считают доводы английских морских специалистов о необходимости прекращения подвоза военных материалов в северные порты СССР несостоятельными. Они убеждены, что при доброй воле и готовности выполнить взятые на себя обязательства подвоз мог бы осуществляться регулярно с большими потерями для немцев. Приказ Английского Адмиралтейства 17-му конвою покинуть транспорты и вернуться в Англию, а транспортным судам рассыпаться и добираться в одиночку до советских портов без эскорта наши специалисты считают непонятным и необъяснимым. Я, конечно, не считаю, что регулярный подвоз в северные советские порты возможен без риска и потерь. Но в обстановке войны ни одно большое дело не может быть осуществлено без риска и потерь. Вам, конечно, известно, что Советский Союз несет несравненно более серьезные потери. Во всяком случае, я никак не мог предположить, что Правительство Великобритании откажет нам в подвозе военных материалов именно теперь, когда Советский Союз особенно нуждается в подвозе военных материалов в момент серьезного напряжения на советско-германском фронте. Понятно, что подвоз через персидские порты ни в какой мере не окупит той потери, которая будет иметь место при отказе от подвоза северным путем.</w:t>
      </w:r>
    </w:p>
    <w:p w14:paraId="2C44EF3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второго вопроса, а именно вопроса об организации второго фронта в Европе, то я боюсь, что этот вопрос начинает принимать несерьезный характер. Исходя из создавшегося положения на советско-германском фронте, я должен заявить самым категорическим образом, что Советское Правительство не может примириться с откладыванием организации второго фронта в Европе на 1943 год.</w:t>
      </w:r>
    </w:p>
    <w:p w14:paraId="6B99C70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Надеюсь, что Вы не будете в обиде на то, что я счел нужным откровенно и честно высказать свое мнение и мнение моих коллег по вопросам, затронутым в Вашем послании.</w:t>
      </w:r>
    </w:p>
    <w:p w14:paraId="057449C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СТАЛИН (7430).</w:t>
      </w:r>
    </w:p>
    <w:p w14:paraId="593F3E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B20C7"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За рубежом:</w:t>
      </w:r>
    </w:p>
    <w:p w14:paraId="79655F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17A424"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23 июля в 1942 году в одном из полетов прототип </w:t>
      </w:r>
      <w:hyperlink r:id="rId32" w:tgtFrame="_blank" w:history="1">
        <w:r w:rsidRPr="00722885">
          <w:rPr>
            <w:rFonts w:ascii="Times New Roman" w:hAnsi="Times New Roman"/>
            <w:color w:val="000000" w:themeColor="text1"/>
            <w:sz w:val="16"/>
            <w:szCs w:val="16"/>
          </w:rPr>
          <w:t xml:space="preserve">«de Havilland» «Mosquito» </w:t>
        </w:r>
      </w:hyperlink>
      <w:r w:rsidRPr="00722885">
        <w:rPr>
          <w:rFonts w:ascii="Times New Roman" w:hAnsi="Times New Roman"/>
          <w:color w:val="000000" w:themeColor="text1"/>
          <w:sz w:val="16"/>
          <w:szCs w:val="16"/>
        </w:rPr>
        <w:t>(«W4050») с моторами "Мерлин" 61 развил максимальную скорость 695 км/ч на высоте 5100 м. В октябре 1942 года этот же самолет с еще более совершенными моторами "Мерлин" 77 сумел достичь наивысшего абсолютного показателя "Москито" - 703 км/ч на высоте 8800 м (14961).</w:t>
      </w:r>
    </w:p>
    <w:p w14:paraId="4300CCEC" w14:textId="77777777" w:rsidR="00DD0C17" w:rsidRPr="00722885" w:rsidRDefault="00DD0C17" w:rsidP="00722885">
      <w:pPr>
        <w:spacing w:after="0" w:line="240" w:lineRule="auto"/>
        <w:jc w:val="both"/>
        <w:rPr>
          <w:rFonts w:ascii="Times New Roman" w:hAnsi="Times New Roman"/>
          <w:color w:val="000000" w:themeColor="text1"/>
          <w:sz w:val="16"/>
          <w:szCs w:val="16"/>
        </w:rPr>
      </w:pPr>
    </w:p>
    <w:p w14:paraId="5E90C05D" w14:textId="77777777" w:rsidR="001D66FE" w:rsidRPr="00722885" w:rsidRDefault="001D66F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23 июля 1941 года была атака линейного крейсера «Шарнхорст» во французском порту Ла-Паллас. В корабль попала одна 2000-фунтовая бомба, но и один «Стирлинг» был сбит. Англичане продолжали атаки на Брест и Ла-Паллас, пока 18 декабря 1941 года сводная группа бомбардировщиков «Стирлинг», «Манчестер» и «Галифакс» на подходе к Ла-Палласу не попала под удар «мессеров», и именно «стирлинги» понесли наибольшие потери — из 17 самолетов этого типа было сбито четыре, остальные получили повреждения. Это вызвало такое падение морального духа экипажей, что командование было вынуждено перейти к «беспокоящим» налетам одиночными самолетами, используя фактор внезапности, а на Ла-Паллас вовсе не летали. Ни одного крупного боевого корабля «стирлингам» так и не удалось потопить (22823).</w:t>
      </w:r>
    </w:p>
    <w:p w14:paraId="72309D7A" w14:textId="77777777" w:rsidR="001D66FE" w:rsidRPr="00722885" w:rsidRDefault="001D66FE" w:rsidP="00722885">
      <w:pPr>
        <w:spacing w:after="0" w:line="240" w:lineRule="auto"/>
        <w:jc w:val="both"/>
        <w:rPr>
          <w:rFonts w:ascii="Times New Roman" w:hAnsi="Times New Roman"/>
          <w:color w:val="0070C0"/>
          <w:sz w:val="16"/>
          <w:szCs w:val="16"/>
        </w:rPr>
      </w:pPr>
    </w:p>
    <w:p w14:paraId="10C25D6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июля 1942 года Альберт Шпеер, которому поручили разобраться с перспективными проектами в области военных технологий, докладывал фюреру об итогах своей работы. Вот запись, сделанная Шпеером в дневнике: «Фюреру вкратце доложено о совещании по поводу расщепления атома и об оказываемой нами поддержке» (11688).</w:t>
      </w:r>
    </w:p>
    <w:p w14:paraId="0B858F2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0E1F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июня 1942 года, в тот самый день, когда фюрер без особого интереса выслушивал доклад Шпеера о «расщеплении атома», в лейпцигской лаборатории произошла катастрофа. Шаровидный реактор вот уже двадцать дней покоился в чане с водой. Вдруг вода возмутилась, заклокотала. Из глубины побежали пузыри. Происходило что-то странное. Профессор Депель взял пробу пузырей. Оказалось, что это водород. Значит, где-то возникла течь, и уран вступил в реакцию с водой.</w:t>
      </w:r>
    </w:p>
    <w:p w14:paraId="7179C00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Через некоторое время пузыри исчезли, все успокоилось. Тем не менее Депель решил извлечь реактор из чана, чтобы посмотреть, сколько воды проникло внутрь. В 15 часов 15 минут лаборант ослабил колпачок штуцера. Послышался какой-то шум. Воздух с силой втягивался внутрь, словно там, в центре шара, образовался вакуум. Еще через три секунды в потолок ударила воздушная струя. Из трещины длиной 15 сантиметров вырвался раскаленный газ. Тут и там мелькали искры, вылетали горящие крупицы урана. Вслед за тем взметнулось и пламя. Высота его достигала двадцати сантиметров. Вокруг языка пламени потек алюминий. Пожар разгорелся не на шутку.</w:t>
      </w:r>
    </w:p>
    <w:p w14:paraId="66C8E40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Депель, прибежавший на помощь лаборанту, стал тушить пламя водой, но огонь не убывал. Лишь с трудом его удалось сбить, зато из трещины теперь непрерывно валил густой дым, а образовавшееся отверстие становилось все шире. Предчувствуя катастрофу, профессор велел немедленно выкачивать тяжелую воду, чтобы спасти хоть какую-то важную часть реактора. Саму же «урановую машину» вновь опустили в резервуар, дабы остудить ее.</w:t>
      </w:r>
    </w:p>
    <w:p w14:paraId="43E184F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Гейзенберг, мельком заглянув в лабораторию, увидел, что «ситуация контролируется», и отбыл проводить семинар. Ситуация же вовсе не контролировалась. Температура реактора росла.</w:t>
      </w:r>
    </w:p>
    <w:p w14:paraId="3DB7B59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18.00 – опасный для жизни опыт длился уже три часа – Гейзенберг завершил семинар и вернулся к Депелю. Реактор продолжал накаляться. Физики напряженно вглядывались в воду, как вдруг реактор затрясся. Ученые переглянулись и опрометью бросились из помещения. Через секунду прогремел мощный взрыв. Струи пылающего урана разлетались повсюду. Здание лаборатории охватил огонь. Только после этого кто-то наконец догадался вызвать пожарных.</w:t>
      </w:r>
    </w:p>
    <w:p w14:paraId="4BBDB62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Оба ученых спаслись в тот день чудом. Большая часть их лаборатории была разрушена, все запасы урана и почти все запасы тяжелой воды погибли. Столь же серьезно пострадало самолюбие Гейзенберга. Профессора буквально перекосило, когда начальник пожарной охраны, прибыв в лабораторию и не церемонясь в выборе саксонских выражений, поздравил оглушенного мэтра со столь осязаемыми доказательствами «расщепления атома».</w:t>
      </w:r>
    </w:p>
    <w:p w14:paraId="480293CB"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Правда, пожарник, костеря Гейзенберга и иже с ним, был все-таки не прав, подозревая в несчастье «цепную ядерную реакцию». На самом деле причиной взрыва стала не физика, но химия. Вода проникла сквозь оболочку шара и вступила в реакцию с порошковым ураном. Образовался водород – газ, легко взрывающийся. Достаточно было искры, чтобы все взлетело на воздух.</w:t>
      </w:r>
    </w:p>
    <w:p w14:paraId="25ECBC7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Отчитываясь перед начальством, Депель советовал в будущем использовать лишь твердый уран в пластинах, а не его порошок (11688).</w:t>
      </w:r>
    </w:p>
    <w:p w14:paraId="06072CC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C7D77"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Авиапромышленность:</w:t>
      </w:r>
    </w:p>
    <w:p w14:paraId="7D76358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EFE96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г. в «Заключении» отчета по полигонным испытаниям само</w:t>
      </w:r>
      <w:r w:rsidRPr="00722885">
        <w:rPr>
          <w:rFonts w:ascii="Times New Roman" w:hAnsi="Times New Roman"/>
          <w:color w:val="000000" w:themeColor="text1"/>
          <w:sz w:val="16"/>
          <w:szCs w:val="16"/>
        </w:rPr>
        <w:softHyphen/>
        <w:t>летов Ил-2 и ЛаГГ-3 с пушками Ш-37 специалисты НИП АВ отмечали, что: «...Для более рационального использования су</w:t>
      </w:r>
      <w:r w:rsidRPr="00722885">
        <w:rPr>
          <w:rFonts w:ascii="Times New Roman" w:hAnsi="Times New Roman"/>
          <w:color w:val="000000" w:themeColor="text1"/>
          <w:sz w:val="16"/>
          <w:szCs w:val="16"/>
        </w:rPr>
        <w:softHyphen/>
        <w:t>ществующего вооружения самолета Ил-2 в борьбе с немецки</w:t>
      </w:r>
      <w:r w:rsidRPr="00722885">
        <w:rPr>
          <w:rFonts w:ascii="Times New Roman" w:hAnsi="Times New Roman"/>
          <w:color w:val="000000" w:themeColor="text1"/>
          <w:sz w:val="16"/>
          <w:szCs w:val="16"/>
        </w:rPr>
        <w:softHyphen/>
        <w:t>ми танками необходимо выделить штурмовые авиаполки, воо</w:t>
      </w:r>
      <w:r w:rsidRPr="00722885">
        <w:rPr>
          <w:rFonts w:ascii="Times New Roman" w:hAnsi="Times New Roman"/>
          <w:color w:val="000000" w:themeColor="text1"/>
          <w:sz w:val="16"/>
          <w:szCs w:val="16"/>
        </w:rPr>
        <w:softHyphen/>
        <w:t xml:space="preserve">руженные </w:t>
      </w:r>
      <w:r w:rsidRPr="00722885">
        <w:rPr>
          <w:rFonts w:ascii="Times New Roman" w:hAnsi="Times New Roman"/>
          <w:color w:val="000000" w:themeColor="text1"/>
          <w:sz w:val="16"/>
          <w:szCs w:val="16"/>
        </w:rPr>
        <w:lastRenderedPageBreak/>
        <w:t>Ил-2 с авиапушками ВЯ-23 мм, основной задачей которых должно быть действие по танкам. Летный состав этих частей должен пройти спецподготовку. &lt;...&gt; Наиболее эффек</w:t>
      </w:r>
      <w:r w:rsidRPr="00722885">
        <w:rPr>
          <w:rFonts w:ascii="Times New Roman" w:hAnsi="Times New Roman"/>
          <w:color w:val="000000" w:themeColor="text1"/>
          <w:sz w:val="16"/>
          <w:szCs w:val="16"/>
        </w:rPr>
        <w:softHyphen/>
        <w:t>тивным средством борьбы с немецкими танками, имеющими броню до 40 мм, показали авиапушки 37 мм. В этой связи не</w:t>
      </w:r>
      <w:r w:rsidRPr="00722885">
        <w:rPr>
          <w:rFonts w:ascii="Times New Roman" w:hAnsi="Times New Roman"/>
          <w:color w:val="000000" w:themeColor="text1"/>
          <w:sz w:val="16"/>
          <w:szCs w:val="16"/>
        </w:rPr>
        <w:softHyphen/>
        <w:t>обходимо создать специальные противотанковые части, воору</w:t>
      </w:r>
      <w:r w:rsidRPr="00722885">
        <w:rPr>
          <w:rFonts w:ascii="Times New Roman" w:hAnsi="Times New Roman"/>
          <w:color w:val="000000" w:themeColor="text1"/>
          <w:sz w:val="16"/>
          <w:szCs w:val="16"/>
        </w:rPr>
        <w:softHyphen/>
        <w:t>женные истребителями ЛаГГ-3 и Як с 37-мм авиапушками и усиленным бронированием. Летному составу этих частей дать специальную подготовку. &lt;...&gt; Считать необходимым создание специального центра по отработке вопросов боевого примене</w:t>
      </w:r>
      <w:r w:rsidRPr="00722885">
        <w:rPr>
          <w:rFonts w:ascii="Times New Roman" w:hAnsi="Times New Roman"/>
          <w:color w:val="000000" w:themeColor="text1"/>
          <w:sz w:val="16"/>
          <w:szCs w:val="16"/>
        </w:rPr>
        <w:softHyphen/>
        <w:t>ния АВ ВВС КА, на базе которого проводить систематическую подготовку летных кадров в ведении прицельной стрельбы и бомбометания. Обратить особое внимание на повышение ка</w:t>
      </w:r>
      <w:r w:rsidRPr="00722885">
        <w:rPr>
          <w:rFonts w:ascii="Times New Roman" w:hAnsi="Times New Roman"/>
          <w:color w:val="000000" w:themeColor="text1"/>
          <w:sz w:val="16"/>
          <w:szCs w:val="16"/>
        </w:rPr>
        <w:softHyphen/>
        <w:t>чества боевой подготовки летного состава штурмовых частей в ЗАЛ в прицельной стрельбе и бомбометании» (11474,329).</w:t>
      </w:r>
    </w:p>
    <w:p w14:paraId="20D94C1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мая 1942 г. приказом командующего ВВС КА генерал-лейтенанта А.А. Новикова НИП АВ предписывалось провести всесторонние исследования по оценке действенности стоящих на вооружении авиации средств поражения и разработать рациональную тактику и способы боевого применения истребителей ЛаГГ-3, вооруженных 37-мм пушками, и самолетов Ил-2.</w:t>
      </w:r>
    </w:p>
    <w:p w14:paraId="4B49C38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и следовало ожидать, наиболее эффективным ооужием оказались пушки калибра 37 мм: «...поражение тегких танков с дистанции не более 500 м возможно при стрельбе с любых на</w:t>
      </w:r>
      <w:r w:rsidRPr="00722885">
        <w:rPr>
          <w:rFonts w:ascii="Times New Roman" w:hAnsi="Times New Roman"/>
          <w:color w:val="000000" w:themeColor="text1"/>
          <w:sz w:val="16"/>
          <w:szCs w:val="16"/>
        </w:rPr>
        <w:softHyphen/>
        <w:t>правлений, средние танки могут быть поражены стрельбой по борту или по кормовой части танка».</w:t>
      </w:r>
    </w:p>
    <w:p w14:paraId="67DE3D4C"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то же время вооружение серийных Ил-2 (2 пушки ШВАК или ВЯ-23, 2 пулемета ШКАС, 8 РС и 400 кг бомб) не отвечало требованиям надежного поражения бронетехники.</w:t>
      </w:r>
    </w:p>
    <w:p w14:paraId="53E27C1A"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Устойчивое поражение легких танков типа Р</w:t>
      </w:r>
      <w:r w:rsidRPr="00722885">
        <w:rPr>
          <w:rFonts w:ascii="Times New Roman" w:hAnsi="Times New Roman"/>
          <w:color w:val="000000" w:themeColor="text1"/>
          <w:sz w:val="16"/>
          <w:szCs w:val="16"/>
          <w:lang w:val="en-US"/>
        </w:rPr>
        <w:t>z</w:t>
      </w:r>
      <w:r w:rsidRPr="00722885">
        <w:rPr>
          <w:rFonts w:ascii="Times New Roman" w:hAnsi="Times New Roman"/>
          <w:color w:val="000000" w:themeColor="text1"/>
          <w:sz w:val="16"/>
          <w:szCs w:val="16"/>
        </w:rPr>
        <w:t>.П и Р</w:t>
      </w:r>
      <w:r w:rsidRPr="00722885">
        <w:rPr>
          <w:rFonts w:ascii="Times New Roman" w:hAnsi="Times New Roman"/>
          <w:color w:val="000000" w:themeColor="text1"/>
          <w:sz w:val="16"/>
          <w:szCs w:val="16"/>
          <w:lang w:val="en-US"/>
        </w:rPr>
        <w:t>z</w:t>
      </w:r>
      <w:r w:rsidRPr="00722885">
        <w:rPr>
          <w:rFonts w:ascii="Times New Roman" w:hAnsi="Times New Roman"/>
          <w:color w:val="000000" w:themeColor="text1"/>
          <w:sz w:val="16"/>
          <w:szCs w:val="16"/>
        </w:rPr>
        <w:t>.38(1) обеспечивалось лишь при стрельбе из пушек ВЯ-23 бронебой-но-зажигательными снарядами. При этом атаку следовало производить сбоку или сзади с дистанции 300—400 м и при уг</w:t>
      </w:r>
      <w:r w:rsidRPr="00722885">
        <w:rPr>
          <w:rFonts w:ascii="Times New Roman" w:hAnsi="Times New Roman"/>
          <w:color w:val="000000" w:themeColor="text1"/>
          <w:sz w:val="16"/>
          <w:szCs w:val="16"/>
        </w:rPr>
        <w:softHyphen/>
        <w:t>лах пикирования до 30°.</w:t>
      </w:r>
    </w:p>
    <w:p w14:paraId="32BFD61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Поражение танка Р</w:t>
      </w:r>
      <w:r w:rsidRPr="00722885">
        <w:rPr>
          <w:rFonts w:ascii="Times New Roman" w:hAnsi="Times New Roman"/>
          <w:color w:val="000000" w:themeColor="text1"/>
          <w:sz w:val="16"/>
          <w:szCs w:val="16"/>
          <w:lang w:val="en-US"/>
        </w:rPr>
        <w:t>z</w:t>
      </w:r>
      <w:r w:rsidRPr="00722885">
        <w:rPr>
          <w:rFonts w:ascii="Times New Roman" w:hAnsi="Times New Roman"/>
          <w:color w:val="000000" w:themeColor="text1"/>
          <w:sz w:val="16"/>
          <w:szCs w:val="16"/>
        </w:rPr>
        <w:t>.38(т) с усиленным бронированием при тех же условиях атаки было возможным только в борт у ходовой части танка, где устанавливалась 15-мм броня. Но попадания в «чистую» броню было маловероятным, поскольку большая ее часть закрывалась роликами, катками и гусеницами, а попадания в элементы ходовой части повреждений танку не наносили.</w:t>
      </w:r>
    </w:p>
    <w:p w14:paraId="04846E9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Броня средних танков типа Р</w:t>
      </w:r>
      <w:r w:rsidRPr="00722885">
        <w:rPr>
          <w:rFonts w:ascii="Times New Roman" w:hAnsi="Times New Roman"/>
          <w:color w:val="000000" w:themeColor="text1"/>
          <w:sz w:val="16"/>
          <w:szCs w:val="16"/>
          <w:lang w:val="en-US"/>
        </w:rPr>
        <w:t>z</w:t>
      </w:r>
      <w:r w:rsidRPr="00722885">
        <w:rPr>
          <w:rFonts w:ascii="Times New Roman" w:hAnsi="Times New Roman"/>
          <w:color w:val="000000" w:themeColor="text1"/>
          <w:sz w:val="16"/>
          <w:szCs w:val="16"/>
        </w:rPr>
        <w:t>.1У, Р</w:t>
      </w:r>
      <w:r w:rsidRPr="00722885">
        <w:rPr>
          <w:rFonts w:ascii="Times New Roman" w:hAnsi="Times New Roman"/>
          <w:color w:val="000000" w:themeColor="text1"/>
          <w:sz w:val="16"/>
          <w:szCs w:val="16"/>
          <w:lang w:val="en-US"/>
        </w:rPr>
        <w:t>z</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III</w:t>
      </w:r>
      <w:r w:rsidRPr="00722885">
        <w:rPr>
          <w:rFonts w:ascii="Times New Roman" w:hAnsi="Times New Roman"/>
          <w:color w:val="000000" w:themeColor="text1"/>
          <w:sz w:val="16"/>
          <w:szCs w:val="16"/>
        </w:rPr>
        <w:t xml:space="preserve"> и </w:t>
      </w:r>
      <w:r w:rsidRPr="00722885">
        <w:rPr>
          <w:rFonts w:ascii="Times New Roman" w:hAnsi="Times New Roman"/>
          <w:color w:val="000000" w:themeColor="text1"/>
          <w:sz w:val="16"/>
          <w:szCs w:val="16"/>
          <w:lang w:val="en-US"/>
        </w:rPr>
        <w:t>StuGIIII</w:t>
      </w:r>
      <w:r w:rsidRPr="00722885">
        <w:rPr>
          <w:rFonts w:ascii="Times New Roman" w:hAnsi="Times New Roman"/>
          <w:color w:val="000000" w:themeColor="text1"/>
          <w:sz w:val="16"/>
          <w:szCs w:val="16"/>
        </w:rPr>
        <w:t xml:space="preserve"> с толщи</w:t>
      </w:r>
      <w:r w:rsidRPr="00722885">
        <w:rPr>
          <w:rFonts w:ascii="Times New Roman" w:hAnsi="Times New Roman"/>
          <w:color w:val="000000" w:themeColor="text1"/>
          <w:sz w:val="16"/>
          <w:szCs w:val="16"/>
        </w:rPr>
        <w:softHyphen/>
        <w:t>ной бортовой брони 30 мм и лобовой 50 мм при стрельбе с са</w:t>
      </w:r>
      <w:r w:rsidRPr="00722885">
        <w:rPr>
          <w:rFonts w:ascii="Times New Roman" w:hAnsi="Times New Roman"/>
          <w:color w:val="000000" w:themeColor="text1"/>
          <w:sz w:val="16"/>
          <w:szCs w:val="16"/>
        </w:rPr>
        <w:softHyphen/>
        <w:t>молета Ил-2 из пушки ВЯ-23 не поражалась ни с одного на</w:t>
      </w:r>
      <w:r w:rsidRPr="00722885">
        <w:rPr>
          <w:rFonts w:ascii="Times New Roman" w:hAnsi="Times New Roman"/>
          <w:color w:val="000000" w:themeColor="text1"/>
          <w:sz w:val="16"/>
          <w:szCs w:val="16"/>
        </w:rPr>
        <w:softHyphen/>
        <w:t>правления атаки.</w:t>
      </w:r>
    </w:p>
    <w:p w14:paraId="67929E72"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Поражение надмоторной брони и брони крыши башен не</w:t>
      </w:r>
      <w:r w:rsidRPr="00722885">
        <w:rPr>
          <w:rFonts w:ascii="Times New Roman" w:hAnsi="Times New Roman"/>
          <w:color w:val="000000" w:themeColor="text1"/>
          <w:sz w:val="16"/>
          <w:szCs w:val="16"/>
        </w:rPr>
        <w:softHyphen/>
        <w:t>мецких танков всех типов при стрельбе из пушек ВЯ-23 и ШВАК получалось лишь при углах пикирования Ил-2 более 40°. Однако пилотирование штурмовика на этих режимах было сложным, а вероятность попадания в уязвимые части танков (из-за малой их площади) — небольшой.</w:t>
      </w:r>
    </w:p>
    <w:p w14:paraId="7ED55939"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Другими словами, штурмовик Ил-2, вооруженный пушка</w:t>
      </w:r>
      <w:r w:rsidRPr="00722885">
        <w:rPr>
          <w:rFonts w:ascii="Times New Roman" w:hAnsi="Times New Roman"/>
          <w:color w:val="000000" w:themeColor="text1"/>
          <w:sz w:val="16"/>
          <w:szCs w:val="16"/>
        </w:rPr>
        <w:softHyphen/>
        <w:t>ми ВЯ-23, мог наносить устойчивое поражение только легким танкам и бронемашинам с толщиной брони до 20 мм.</w:t>
      </w:r>
    </w:p>
    <w:p w14:paraId="59CCC96E"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отношении пушек ШВАК в выводах по испытаниям ука</w:t>
      </w:r>
      <w:r w:rsidRPr="00722885">
        <w:rPr>
          <w:rFonts w:ascii="Times New Roman" w:hAnsi="Times New Roman"/>
          <w:color w:val="000000" w:themeColor="text1"/>
          <w:sz w:val="16"/>
          <w:szCs w:val="16"/>
        </w:rPr>
        <w:softHyphen/>
        <w:t>зывалось следующее: «Самолеты Ил-2, вооруженные пушками ШВАК, по танкам использовать неэффективно, а лучше ис</w:t>
      </w:r>
      <w:r w:rsidRPr="00722885">
        <w:rPr>
          <w:rFonts w:ascii="Times New Roman" w:hAnsi="Times New Roman"/>
          <w:color w:val="000000" w:themeColor="text1"/>
          <w:sz w:val="16"/>
          <w:szCs w:val="16"/>
        </w:rPr>
        <w:softHyphen/>
        <w:t>пользовать их на 5—10 км в тылу по пехоте и горючему, обес</w:t>
      </w:r>
      <w:r w:rsidRPr="00722885">
        <w:rPr>
          <w:rFonts w:ascii="Times New Roman" w:hAnsi="Times New Roman"/>
          <w:color w:val="000000" w:themeColor="text1"/>
          <w:sz w:val="16"/>
          <w:szCs w:val="16"/>
        </w:rPr>
        <w:softHyphen/>
        <w:t>печивающему танки» (11474,324).</w:t>
      </w:r>
    </w:p>
    <w:p w14:paraId="2058663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55287C" w14:textId="77777777" w:rsidR="00344FD4" w:rsidRPr="00722885" w:rsidRDefault="00344FD4" w:rsidP="00722885">
      <w:pPr>
        <w:pStyle w:val="34"/>
        <w:shd w:val="clear" w:color="auto" w:fill="auto"/>
        <w:spacing w:line="240" w:lineRule="auto"/>
        <w:jc w:val="both"/>
        <w:rPr>
          <w:rFonts w:ascii="Times New Roman" w:cs="Times New Roman"/>
          <w:color w:val="000000" w:themeColor="text1"/>
          <w:spacing w:val="0"/>
          <w:sz w:val="16"/>
          <w:szCs w:val="16"/>
        </w:rPr>
      </w:pPr>
      <w:r w:rsidRPr="00722885">
        <w:rPr>
          <w:rStyle w:val="3fa"/>
          <w:rFonts w:ascii="Times New Roman" w:hAnsi="Times New Roman" w:cs="Times New Roman"/>
          <w:i w:val="0"/>
          <w:color w:val="000000" w:themeColor="text1"/>
          <w:spacing w:val="0"/>
          <w:sz w:val="16"/>
          <w:szCs w:val="16"/>
        </w:rPr>
        <w:t xml:space="preserve">24 июля 1942 г. в Акте об </w:t>
      </w:r>
      <w:r w:rsidRPr="00722885">
        <w:rPr>
          <w:rFonts w:ascii="Times New Roman" w:cs="Times New Roman"/>
          <w:color w:val="000000" w:themeColor="text1"/>
          <w:spacing w:val="0"/>
          <w:sz w:val="16"/>
          <w:szCs w:val="16"/>
        </w:rPr>
        <w:t>испытаниях эффективности действия Ил-2 и ЛаГГ-3 против бро</w:t>
      </w:r>
      <w:r w:rsidRPr="00722885">
        <w:rPr>
          <w:rFonts w:ascii="Times New Roman" w:cs="Times New Roman"/>
          <w:color w:val="000000" w:themeColor="text1"/>
          <w:spacing w:val="0"/>
          <w:sz w:val="16"/>
          <w:szCs w:val="16"/>
        </w:rPr>
        <w:softHyphen/>
        <w:t>нетехники</w:t>
      </w:r>
      <w:r w:rsidRPr="00722885">
        <w:rPr>
          <w:rStyle w:val="3fa"/>
          <w:rFonts w:ascii="Times New Roman" w:hAnsi="Times New Roman" w:cs="Times New Roman"/>
          <w:i w:val="0"/>
          <w:color w:val="000000" w:themeColor="text1"/>
          <w:spacing w:val="0"/>
          <w:sz w:val="16"/>
          <w:szCs w:val="16"/>
        </w:rPr>
        <w:t xml:space="preserve"> </w:t>
      </w:r>
      <w:r w:rsidRPr="00722885">
        <w:rPr>
          <w:rFonts w:ascii="Times New Roman" w:cs="Times New Roman"/>
          <w:color w:val="000000" w:themeColor="text1"/>
          <w:spacing w:val="0"/>
          <w:sz w:val="16"/>
          <w:szCs w:val="16"/>
        </w:rPr>
        <w:t>29 июня по 15 июля 1942 г.</w:t>
      </w:r>
      <w:r w:rsidRPr="00722885">
        <w:rPr>
          <w:rStyle w:val="3fa"/>
          <w:rFonts w:ascii="Times New Roman" w:hAnsi="Times New Roman" w:cs="Times New Roman"/>
          <w:i w:val="0"/>
          <w:color w:val="000000" w:themeColor="text1"/>
          <w:spacing w:val="0"/>
          <w:sz w:val="16"/>
          <w:szCs w:val="16"/>
        </w:rPr>
        <w:t>, составленном сотруд</w:t>
      </w:r>
      <w:r w:rsidRPr="00722885">
        <w:rPr>
          <w:rStyle w:val="3fa"/>
          <w:rFonts w:ascii="Times New Roman" w:hAnsi="Times New Roman" w:cs="Times New Roman"/>
          <w:i w:val="0"/>
          <w:color w:val="000000" w:themeColor="text1"/>
          <w:spacing w:val="0"/>
          <w:sz w:val="16"/>
          <w:szCs w:val="16"/>
        </w:rPr>
        <w:softHyphen/>
        <w:t>никами полигона, говорилось:</w:t>
      </w:r>
      <w:r w:rsidRPr="00722885">
        <w:rPr>
          <w:rFonts w:ascii="Times New Roman" w:cs="Times New Roman"/>
          <w:color w:val="000000" w:themeColor="text1"/>
          <w:spacing w:val="0"/>
          <w:sz w:val="16"/>
          <w:szCs w:val="16"/>
        </w:rPr>
        <w:t xml:space="preserve"> «Наиболее эффективным сред</w:t>
      </w:r>
      <w:r w:rsidRPr="00722885">
        <w:rPr>
          <w:rFonts w:ascii="Times New Roman" w:cs="Times New Roman"/>
          <w:color w:val="000000" w:themeColor="text1"/>
          <w:spacing w:val="0"/>
          <w:sz w:val="16"/>
          <w:szCs w:val="16"/>
        </w:rPr>
        <w:softHyphen/>
        <w:t>ством борьбы с немецкими танками, имеющими броню до 40 мм, оказались авиапушки 37 мм. В этой связи необходимо создать специальные противотанковые части, вооруженные истребителямиЛаГГ-3и Яке 37-мм авиапушками и усиленным бронированием. Летный состав этих частей должен пройти специальную подготовку» (19106).</w:t>
      </w:r>
    </w:p>
    <w:p w14:paraId="2FFF1037" w14:textId="77777777" w:rsidR="00344FD4" w:rsidRPr="00722885" w:rsidRDefault="00344FD4" w:rsidP="00722885">
      <w:pPr>
        <w:pStyle w:val="34"/>
        <w:shd w:val="clear" w:color="auto" w:fill="auto"/>
        <w:spacing w:line="240" w:lineRule="auto"/>
        <w:jc w:val="both"/>
        <w:rPr>
          <w:rFonts w:ascii="Times New Roman" w:cs="Times New Roman"/>
          <w:color w:val="000000" w:themeColor="text1"/>
          <w:spacing w:val="0"/>
          <w:sz w:val="16"/>
          <w:szCs w:val="16"/>
        </w:rPr>
      </w:pPr>
    </w:p>
    <w:p w14:paraId="671DC87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вышел приказ НКАП и ВВС N 559а/с/032 по созданию комиссии для рассмотрения бронирования серийных самолетов (1587,12).</w:t>
      </w:r>
    </w:p>
    <w:p w14:paraId="7CA1AB0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решения вопроса об улучшении бронезащиты серийных самолетов от оружия крупного калибра:</w:t>
      </w:r>
    </w:p>
    <w:p w14:paraId="612AB47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Создать комиссию для определения схем бронезащиты самолетов от оружия крупного калибра, без ухудшения их летных свойств, в след. составе:</w:t>
      </w:r>
    </w:p>
    <w:p w14:paraId="3E59DE0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 нач. НИИ ВВС П.А.Лесков, члены - П.О.С....</w:t>
      </w:r>
    </w:p>
    <w:p w14:paraId="18A746C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К 1 августа 1942 комиссии представить на рассмотрение схемы улучшения бронезащиты самолетов ЛаГГ-3, ЛаГГ-5, Як-1, Як-7, Пе-2, Пе-3, Ил-2, Ил-4, Ту-2 и ТБ-7 (1567,130).</w:t>
      </w:r>
    </w:p>
    <w:p w14:paraId="6452F56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DDB64"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24 июля 1942 г. в заключении отчета по полигонным испытани</w:t>
      </w:r>
      <w:r w:rsidRPr="00722885">
        <w:rPr>
          <w:color w:val="000000" w:themeColor="text1"/>
          <w:sz w:val="16"/>
          <w:szCs w:val="16"/>
        </w:rPr>
        <w:softHyphen/>
        <w:t>ям вооружения самолетов Ил-2 от специалисты НИП АВ отмечали, что «...для более рационального использования существующего во</w:t>
      </w:r>
      <w:r w:rsidRPr="00722885">
        <w:rPr>
          <w:color w:val="000000" w:themeColor="text1"/>
          <w:sz w:val="16"/>
          <w:szCs w:val="16"/>
        </w:rPr>
        <w:softHyphen/>
        <w:t>оружения самолета Ил-2 в борьбе с немецкими тан</w:t>
      </w:r>
      <w:r w:rsidRPr="00722885">
        <w:rPr>
          <w:color w:val="000000" w:themeColor="text1"/>
          <w:sz w:val="16"/>
          <w:szCs w:val="16"/>
        </w:rPr>
        <w:softHyphen/>
        <w:t>ками необходимо выделить штурмовые авиаполки, /.../ основной задачей которых должно быть дей</w:t>
      </w:r>
      <w:r w:rsidRPr="00722885">
        <w:rPr>
          <w:color w:val="000000" w:themeColor="text1"/>
          <w:sz w:val="16"/>
          <w:szCs w:val="16"/>
        </w:rPr>
        <w:softHyphen/>
        <w:t>ствие по танкам. Летный состав этих частей дол</w:t>
      </w:r>
      <w:r w:rsidRPr="00722885">
        <w:rPr>
          <w:color w:val="000000" w:themeColor="text1"/>
          <w:sz w:val="16"/>
          <w:szCs w:val="16"/>
        </w:rPr>
        <w:softHyphen/>
        <w:t>жен пройти спецподготовку. /.../ Наиболее эффек</w:t>
      </w:r>
      <w:r w:rsidRPr="00722885">
        <w:rPr>
          <w:color w:val="000000" w:themeColor="text1"/>
          <w:sz w:val="16"/>
          <w:szCs w:val="16"/>
        </w:rPr>
        <w:softHyphen/>
        <w:t>тивным средством борьбы с немецкими танками, имеющими броню до 40 мм, оказались авиапушки 37 мм. В этой связи необходимо создать специаль</w:t>
      </w:r>
      <w:r w:rsidRPr="00722885">
        <w:rPr>
          <w:color w:val="000000" w:themeColor="text1"/>
          <w:sz w:val="16"/>
          <w:szCs w:val="16"/>
        </w:rPr>
        <w:softHyphen/>
        <w:t>ные противотанковые части, вооруженные истре</w:t>
      </w:r>
      <w:r w:rsidRPr="00722885">
        <w:rPr>
          <w:color w:val="000000" w:themeColor="text1"/>
          <w:sz w:val="16"/>
          <w:szCs w:val="16"/>
        </w:rPr>
        <w:softHyphen/>
        <w:t>бителями ЛаГГ-3 и Як с 37-мм авиапушками и уси</w:t>
      </w:r>
      <w:r w:rsidRPr="00722885">
        <w:rPr>
          <w:color w:val="000000" w:themeColor="text1"/>
          <w:sz w:val="16"/>
          <w:szCs w:val="16"/>
        </w:rPr>
        <w:softHyphen/>
        <w:t>ленным бронированием. Летному составу этих частей дать специальную подготовку. /.../ Считать необходимым создание специального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w:t>
      </w:r>
      <w:r w:rsidRPr="00722885">
        <w:rPr>
          <w:color w:val="000000" w:themeColor="text1"/>
          <w:sz w:val="16"/>
          <w:szCs w:val="16"/>
        </w:rPr>
        <w:softHyphen/>
        <w:t>мание на повышение качества боевой подготовки летного состава штурмовых частей в ЗАП в при</w:t>
      </w:r>
      <w:r w:rsidRPr="00722885">
        <w:rPr>
          <w:color w:val="000000" w:themeColor="text1"/>
          <w:sz w:val="16"/>
          <w:szCs w:val="16"/>
        </w:rPr>
        <w:softHyphen/>
        <w:t>цельной стрельбе и бомбометании».</w:t>
      </w:r>
    </w:p>
    <w:p w14:paraId="0BF67D26"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Требовалось «поручить НКАП в срочном по</w:t>
      </w:r>
      <w:r w:rsidRPr="00722885">
        <w:rPr>
          <w:color w:val="000000" w:themeColor="text1"/>
          <w:sz w:val="16"/>
          <w:szCs w:val="16"/>
        </w:rPr>
        <w:softHyphen/>
        <w:t>рядке создать штурмовик, вооруженный 37-мм пушкой, расположенной в плоскости оси само</w:t>
      </w:r>
      <w:r w:rsidRPr="00722885">
        <w:rPr>
          <w:color w:val="000000" w:themeColor="text1"/>
          <w:sz w:val="16"/>
          <w:szCs w:val="16"/>
        </w:rPr>
        <w:softHyphen/>
        <w:t>лета».</w:t>
      </w:r>
    </w:p>
    <w:p w14:paraId="0A2BCAEA"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этого, считалось необходимым прове</w:t>
      </w:r>
      <w:r w:rsidRPr="00722885">
        <w:rPr>
          <w:color w:val="000000" w:themeColor="text1"/>
          <w:sz w:val="16"/>
          <w:szCs w:val="16"/>
        </w:rPr>
        <w:softHyphen/>
        <w:t>дение работ по увеличению бронепробиваемости снарядов калибра 23 и 37 мм, а также создание «специальных противотанковых и зажигательных средств борьбы против танков».</w:t>
      </w:r>
    </w:p>
    <w:p w14:paraId="4D1417A6"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Учитывая, что временной механизм штурмовика Цветкова во всех случаях позволяет получить луч</w:t>
      </w:r>
      <w:r w:rsidRPr="00722885">
        <w:rPr>
          <w:color w:val="000000" w:themeColor="text1"/>
          <w:sz w:val="16"/>
          <w:szCs w:val="16"/>
        </w:rPr>
        <w:softHyphen/>
        <w:t>шие результаты при бомбометании и в некоторой степени компенсировать недостаточную подготов</w:t>
      </w:r>
      <w:r w:rsidRPr="00722885">
        <w:rPr>
          <w:color w:val="000000" w:themeColor="text1"/>
          <w:sz w:val="16"/>
          <w:szCs w:val="16"/>
        </w:rPr>
        <w:softHyphen/>
        <w:t>ку летного состава боевых частей, рекомендова</w:t>
      </w:r>
      <w:r w:rsidRPr="00722885">
        <w:rPr>
          <w:color w:val="000000" w:themeColor="text1"/>
          <w:sz w:val="16"/>
          <w:szCs w:val="16"/>
        </w:rPr>
        <w:softHyphen/>
        <w:t>лось срочно доработать ВМШ, обеспечив возмож</w:t>
      </w:r>
      <w:r w:rsidRPr="00722885">
        <w:rPr>
          <w:color w:val="000000" w:themeColor="text1"/>
          <w:sz w:val="16"/>
          <w:szCs w:val="16"/>
        </w:rPr>
        <w:softHyphen/>
        <w:t>ность бомбометания с его помощью на выходе из пикирования.</w:t>
      </w:r>
    </w:p>
    <w:p w14:paraId="16DC0E54"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Акте «По полигонному отстрелу самолета Ил-2, вооруженного 2 крыльевыми пушками ка</w:t>
      </w:r>
      <w:r w:rsidRPr="00722885">
        <w:rPr>
          <w:color w:val="000000" w:themeColor="text1"/>
          <w:sz w:val="16"/>
          <w:szCs w:val="16"/>
        </w:rPr>
        <w:softHyphen/>
        <w:t>либра 37 мм системы Шпитального (ОКБ-15)» от 2 октября 1942 г. отмечалось, что «для повышения эффективности стрельбы необходимо организо</w:t>
      </w:r>
      <w:r w:rsidRPr="00722885">
        <w:rPr>
          <w:color w:val="000000" w:themeColor="text1"/>
          <w:sz w:val="16"/>
          <w:szCs w:val="16"/>
        </w:rPr>
        <w:softHyphen/>
        <w:t>вать систематическую тренировку летного состава в стрельбе по танкам».</w:t>
      </w:r>
    </w:p>
    <w:p w14:paraId="131E69E3"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состоял в том, что штурмовик Ил-2 с пушками Ш-37 является мощным средством борьбы с немецкими легкими и средними танками. Для его эффективного боевого применения летный состав должен быть хорошо натренирован в веде</w:t>
      </w:r>
      <w:r w:rsidRPr="00722885">
        <w:rPr>
          <w:color w:val="000000" w:themeColor="text1"/>
          <w:sz w:val="16"/>
          <w:szCs w:val="16"/>
        </w:rPr>
        <w:softHyphen/>
        <w:t>нии прицельного огня короткими очередями (3—5 снарядов в очереди) по малоразмерным целям (от</w:t>
      </w:r>
      <w:r w:rsidRPr="00722885">
        <w:rPr>
          <w:color w:val="000000" w:themeColor="text1"/>
          <w:sz w:val="16"/>
          <w:szCs w:val="16"/>
        </w:rPr>
        <w:softHyphen/>
        <w:t>дельный танк, автомашина и т.д.) и иметь отличную летную подготовку.</w:t>
      </w:r>
    </w:p>
    <w:p w14:paraId="10D0D3E1"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Рекомендовалось построить небольшую серию таких самолетов для проведения войсковых испы</w:t>
      </w:r>
      <w:r w:rsidRPr="00722885">
        <w:rPr>
          <w:color w:val="000000" w:themeColor="text1"/>
          <w:sz w:val="16"/>
          <w:szCs w:val="16"/>
        </w:rPr>
        <w:softHyphen/>
        <w:t>таний и сформировать в полках специальные груп</w:t>
      </w:r>
      <w:r w:rsidRPr="00722885">
        <w:rPr>
          <w:color w:val="000000" w:themeColor="text1"/>
          <w:sz w:val="16"/>
          <w:szCs w:val="16"/>
        </w:rPr>
        <w:softHyphen/>
        <w:t>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w:t>
      </w:r>
    </w:p>
    <w:p w14:paraId="365D0ADF"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Попутно заметим, что последнее положение, например, нашло свое отражение в «Основных ука</w:t>
      </w:r>
      <w:r w:rsidRPr="00722885">
        <w:rPr>
          <w:color w:val="000000" w:themeColor="text1"/>
          <w:sz w:val="16"/>
          <w:szCs w:val="16"/>
        </w:rPr>
        <w:softHyphen/>
        <w:t>заниях по использованию германской штурмовой авиации для действий по танкам» от 3 июня 1942 г., где указывается: «Для действий по танкам исполь</w:t>
      </w:r>
      <w:r w:rsidRPr="00722885">
        <w:rPr>
          <w:color w:val="000000" w:themeColor="text1"/>
          <w:sz w:val="16"/>
          <w:szCs w:val="16"/>
        </w:rPr>
        <w:softHyphen/>
        <w:t>зуются специально подготовленные экипажи. Ис</w:t>
      </w:r>
      <w:r w:rsidRPr="00722885">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722885">
        <w:rPr>
          <w:color w:val="000000" w:themeColor="text1"/>
          <w:sz w:val="16"/>
          <w:szCs w:val="16"/>
        </w:rPr>
        <w:softHyphen/>
        <w:t>вую подготовку».</w:t>
      </w:r>
    </w:p>
    <w:p w14:paraId="2A76E654"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утверждения результатов по полигон</w:t>
      </w:r>
      <w:r w:rsidRPr="00722885">
        <w:rPr>
          <w:color w:val="000000" w:themeColor="text1"/>
          <w:sz w:val="16"/>
          <w:szCs w:val="16"/>
        </w:rPr>
        <w:softHyphen/>
        <w:t>ным испытаниям вооружения самолета Ил-2 на эффективность действия по трофейным немец</w:t>
      </w:r>
      <w:r w:rsidRPr="00722885">
        <w:rPr>
          <w:color w:val="000000" w:themeColor="text1"/>
          <w:sz w:val="16"/>
          <w:szCs w:val="16"/>
        </w:rPr>
        <w:softHyphen/>
        <w:t>ким танкам и бронемашинам начальником НИП АВ ВВС полковником Л. П. Лобачевым материалы 21 июля были направлены главному инженеру ВВС генерал-лейтенанту А. К. Репину, который ут</w:t>
      </w:r>
      <w:r w:rsidRPr="00722885">
        <w:rPr>
          <w:color w:val="000000" w:themeColor="text1"/>
          <w:sz w:val="16"/>
          <w:szCs w:val="16"/>
        </w:rPr>
        <w:softHyphen/>
        <w:t>вердил отчет 24 июля. Уже через два дня, 26 июля, с отчетом ознакомился командующий ВВС гене</w:t>
      </w:r>
      <w:r w:rsidRPr="00722885">
        <w:rPr>
          <w:color w:val="000000" w:themeColor="text1"/>
          <w:sz w:val="16"/>
          <w:szCs w:val="16"/>
        </w:rPr>
        <w:softHyphen/>
        <w:t>рал-лейтенант А. А. Новиков и утвердил результа</w:t>
      </w:r>
      <w:r w:rsidRPr="00722885">
        <w:rPr>
          <w:color w:val="000000" w:themeColor="text1"/>
          <w:sz w:val="16"/>
          <w:szCs w:val="16"/>
        </w:rPr>
        <w:softHyphen/>
        <w:t>ты испытаний.</w:t>
      </w:r>
    </w:p>
    <w:p w14:paraId="2E6EEBC6"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распоряжению командующего ВВС один эк</w:t>
      </w:r>
      <w:r w:rsidRPr="00722885">
        <w:rPr>
          <w:color w:val="000000" w:themeColor="text1"/>
          <w:sz w:val="16"/>
          <w:szCs w:val="16"/>
        </w:rPr>
        <w:softHyphen/>
        <w:t>земпляр отчета 31 июля был направлен для озна</w:t>
      </w:r>
      <w:r w:rsidRPr="00722885">
        <w:rPr>
          <w:color w:val="000000" w:themeColor="text1"/>
          <w:sz w:val="16"/>
          <w:szCs w:val="16"/>
        </w:rPr>
        <w:softHyphen/>
        <w:t>комления начальнику Генерального штаба Красной Армии маршалу Б. М. Шапошникову. По одному экземпляру получили начальник НИИ ВВС гене</w:t>
      </w:r>
      <w:r w:rsidRPr="00722885">
        <w:rPr>
          <w:color w:val="000000" w:themeColor="text1"/>
          <w:sz w:val="16"/>
          <w:szCs w:val="16"/>
        </w:rPr>
        <w:softHyphen/>
        <w:t>рал-майор П. А. Лосюков и заместитель командую</w:t>
      </w:r>
      <w:r w:rsidRPr="00722885">
        <w:rPr>
          <w:color w:val="000000" w:themeColor="text1"/>
          <w:sz w:val="16"/>
          <w:szCs w:val="16"/>
        </w:rPr>
        <w:softHyphen/>
        <w:t>щего ВВС КА по воздушно-стрелковой службе гене</w:t>
      </w:r>
      <w:r w:rsidRPr="00722885">
        <w:rPr>
          <w:color w:val="000000" w:themeColor="text1"/>
          <w:sz w:val="16"/>
          <w:szCs w:val="16"/>
        </w:rPr>
        <w:softHyphen/>
        <w:t>рал-майор А. М. Рафалович.</w:t>
      </w:r>
    </w:p>
    <w:p w14:paraId="7057DACD"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подойти критически к оценке результатов полигонных испытаний, то можно сказать следую</w:t>
      </w:r>
      <w:r w:rsidRPr="00722885">
        <w:rPr>
          <w:color w:val="000000" w:themeColor="text1"/>
          <w:sz w:val="16"/>
          <w:szCs w:val="16"/>
        </w:rPr>
        <w:softHyphen/>
        <w:t>щее. Испытание пушечного вооружения было про</w:t>
      </w:r>
      <w:r w:rsidRPr="00722885">
        <w:rPr>
          <w:color w:val="000000" w:themeColor="text1"/>
          <w:sz w:val="16"/>
          <w:szCs w:val="16"/>
        </w:rPr>
        <w:softHyphen/>
        <w:t>ведено достаточно тщательно, а испытание бомб и ракетных снарядов — неполно.</w:t>
      </w:r>
    </w:p>
    <w:p w14:paraId="7571DC70"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например, с целью определения эффектив</w:t>
      </w:r>
      <w:r w:rsidRPr="00722885">
        <w:rPr>
          <w:color w:val="000000" w:themeColor="text1"/>
          <w:sz w:val="16"/>
          <w:szCs w:val="16"/>
        </w:rPr>
        <w:softHyphen/>
        <w:t>ности действия были испытаны подрывом бом</w:t>
      </w:r>
      <w:r w:rsidRPr="00722885">
        <w:rPr>
          <w:color w:val="000000" w:themeColor="text1"/>
          <w:sz w:val="16"/>
          <w:szCs w:val="16"/>
        </w:rPr>
        <w:softHyphen/>
        <w:t>бы типа АО-25сл, АО-25м13, ФАБ-50сч, ФАБ-100цк и ФАБ-250, тогда как наиболее успешно применя</w:t>
      </w:r>
      <w:r w:rsidRPr="00722885">
        <w:rPr>
          <w:color w:val="000000" w:themeColor="text1"/>
          <w:sz w:val="16"/>
          <w:szCs w:val="16"/>
        </w:rPr>
        <w:softHyphen/>
        <w:t>ются в условиях боя бомбы ФАБ-50м2 и ФАБ-50м9. Опытные бомбы типа ФАБ-50—100 вообще не ис- пытывались.</w:t>
      </w:r>
    </w:p>
    <w:p w14:paraId="2C22992B"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Методика испытаний подрывами бомб на по</w:t>
      </w:r>
      <w:r w:rsidRPr="00722885">
        <w:rPr>
          <w:color w:val="000000" w:themeColor="text1"/>
          <w:sz w:val="16"/>
          <w:szCs w:val="16"/>
        </w:rPr>
        <w:softHyphen/>
        <w:t>верхности грунта не отражает работу бомб при сбрасывании их с самолета в боевой обстановке. Действительно, бомба с взрывателем мгновенного действия, сброшенная с высоты, благодаря инерт</w:t>
      </w:r>
      <w:r w:rsidRPr="00722885">
        <w:rPr>
          <w:color w:val="000000" w:themeColor="text1"/>
          <w:sz w:val="16"/>
          <w:szCs w:val="16"/>
        </w:rPr>
        <w:softHyphen/>
        <w:t>ности последнего успевает углубиться в преграду. При взрыве образуется воронка глубиной до 0,6 м и часть наиболее крупных осколков от головной части бомбы перехватывается преградой или ча</w:t>
      </w:r>
      <w:r w:rsidRPr="00722885">
        <w:rPr>
          <w:color w:val="000000" w:themeColor="text1"/>
          <w:sz w:val="16"/>
          <w:szCs w:val="16"/>
        </w:rPr>
        <w:softHyphen/>
        <w:t>стично выбрасывается вместе с преградой со зна</w:t>
      </w:r>
      <w:r w:rsidRPr="00722885">
        <w:rPr>
          <w:color w:val="000000" w:themeColor="text1"/>
          <w:sz w:val="16"/>
          <w:szCs w:val="16"/>
        </w:rPr>
        <w:softHyphen/>
        <w:t>чительно меньшей начальной скоростью, чем при открытом взрыве. Кроме того, выбранные значения углов места, при которых проводились подрывы бомб, не соответствуют углам падения бомб при сбросе с типовых высот боевого применения штур</w:t>
      </w:r>
      <w:r w:rsidRPr="00722885">
        <w:rPr>
          <w:color w:val="000000" w:themeColor="text1"/>
          <w:sz w:val="16"/>
          <w:szCs w:val="16"/>
        </w:rPr>
        <w:softHyphen/>
        <w:t>мовика Ил-2.</w:t>
      </w:r>
    </w:p>
    <w:p w14:paraId="465AD06D"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Таким образом, предложенный метод подрыва бомб не давал полной картины действительных ус</w:t>
      </w:r>
      <w:r w:rsidRPr="00722885">
        <w:rPr>
          <w:color w:val="000000" w:themeColor="text1"/>
          <w:sz w:val="16"/>
          <w:szCs w:val="16"/>
        </w:rPr>
        <w:softHyphen/>
        <w:t>ловий взрыва ни бомб, сброшенных с высоты, ни бомб, сброшенных на штурмовом полете, так как в последнем случае, как правило, бомбы рвутся в горизонтальном положении, после падения их на земле.</w:t>
      </w:r>
    </w:p>
    <w:p w14:paraId="24FABC37"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Выводы о действии бомб и РОФС по танкам были сделаны, судя по отчету, на основании еди</w:t>
      </w:r>
      <w:r w:rsidRPr="00722885">
        <w:rPr>
          <w:color w:val="000000" w:themeColor="text1"/>
          <w:sz w:val="16"/>
          <w:szCs w:val="16"/>
        </w:rPr>
        <w:softHyphen/>
        <w:t>ничных наблюдений, а потому не могут быть пол</w:t>
      </w:r>
      <w:r w:rsidRPr="00722885">
        <w:rPr>
          <w:color w:val="000000" w:themeColor="text1"/>
          <w:sz w:val="16"/>
          <w:szCs w:val="16"/>
        </w:rPr>
        <w:softHyphen/>
        <w:t>ными и безупречными. В частности, РОФС-132 был подорван на удалении 1 м от танка и дал меньшее поражение танка по сравнению с АО-25м13 (явля</w:t>
      </w:r>
      <w:r w:rsidRPr="00722885">
        <w:rPr>
          <w:color w:val="000000" w:themeColor="text1"/>
          <w:sz w:val="16"/>
          <w:szCs w:val="16"/>
        </w:rPr>
        <w:softHyphen/>
        <w:t>ющейся переделкой из головной части РОФС-132), подорванной на удалении 3 м от танка.</w:t>
      </w:r>
    </w:p>
    <w:p w14:paraId="421362EC"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Кроме того, в рекомендациях строевым частям были значительно завышены дальности стрельбы ракетными снарядами и не совсем корректно обо</w:t>
      </w:r>
      <w:r w:rsidRPr="00722885">
        <w:rPr>
          <w:color w:val="000000" w:themeColor="text1"/>
          <w:sz w:val="16"/>
          <w:szCs w:val="16"/>
        </w:rPr>
        <w:softHyphen/>
        <w:t>сновано использование двух видов вооружения (например, РС и пушек или пушек и бомб) в одном заходе.</w:t>
      </w:r>
    </w:p>
    <w:p w14:paraId="7CC6C282"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Действительно, как следует из расчетов по ре</w:t>
      </w:r>
      <w:r w:rsidRPr="00722885">
        <w:rPr>
          <w:color w:val="000000" w:themeColor="text1"/>
          <w:sz w:val="16"/>
          <w:szCs w:val="16"/>
        </w:rPr>
        <w:softHyphen/>
        <w:t>зультатам полигонных испытаний и анализа бое</w:t>
      </w:r>
      <w:r w:rsidRPr="00722885">
        <w:rPr>
          <w:color w:val="000000" w:themeColor="text1"/>
          <w:sz w:val="16"/>
          <w:szCs w:val="16"/>
        </w:rPr>
        <w:softHyphen/>
        <w:t>вого опыта, выполнение одиночных или парных пусков РС-82 с дальности 600 м, как это рекомен</w:t>
      </w:r>
      <w:r w:rsidRPr="00722885">
        <w:rPr>
          <w:color w:val="000000" w:themeColor="text1"/>
          <w:sz w:val="16"/>
          <w:szCs w:val="16"/>
        </w:rPr>
        <w:softHyphen/>
        <w:t>довалось НИП АВ, обеспечивало вероятность поражения танка в 6—7 раз меньше, чем стрельба залпом по 4—8 ракетных снарядов с дальности 400—300 м.</w:t>
      </w:r>
    </w:p>
    <w:p w14:paraId="70210011"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использование двух видов во</w:t>
      </w:r>
      <w:r w:rsidRPr="00722885">
        <w:rPr>
          <w:color w:val="000000" w:themeColor="text1"/>
          <w:sz w:val="16"/>
          <w:szCs w:val="16"/>
        </w:rPr>
        <w:softHyphen/>
        <w:t>оружения штурмовика в одном заходе не позволя</w:t>
      </w:r>
      <w:r w:rsidRPr="00722885">
        <w:rPr>
          <w:color w:val="000000" w:themeColor="text1"/>
          <w:sz w:val="16"/>
          <w:szCs w:val="16"/>
        </w:rPr>
        <w:softHyphen/>
        <w:t>ло с максимальной эффективностью использовать второй по счету вид оружия, поскольку точность прицеливания для этого вида оружия снижалась примерно на 20—25% по сравнению с ситуацией, когда в одном заходе используется только одно оружие.</w:t>
      </w:r>
    </w:p>
    <w:p w14:paraId="3D0C7C58"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Анализ боевых возможностей Ил-2 показывает, что более правильным было бы атаковывать ко</w:t>
      </w:r>
      <w:r w:rsidRPr="00722885">
        <w:rPr>
          <w:color w:val="000000" w:themeColor="text1"/>
          <w:sz w:val="16"/>
          <w:szCs w:val="16"/>
        </w:rPr>
        <w:softHyphen/>
        <w:t>роткую цель (бронированную или небронирован ную) как минимум в трех заходах с планирования под углом 25—30° с высоты 500—800 м, применяя в каждом заходе только один вид оружия. Напри</w:t>
      </w:r>
      <w:r w:rsidRPr="00722885">
        <w:rPr>
          <w:color w:val="000000" w:themeColor="text1"/>
          <w:sz w:val="16"/>
          <w:szCs w:val="16"/>
        </w:rPr>
        <w:softHyphen/>
        <w:t>мер, в первом заходе осуществляется пуск реак</w:t>
      </w:r>
      <w:r w:rsidRPr="00722885">
        <w:rPr>
          <w:color w:val="000000" w:themeColor="text1"/>
          <w:sz w:val="16"/>
          <w:szCs w:val="16"/>
        </w:rPr>
        <w:softHyphen/>
        <w:t>тивных снарядов залпом из 4 снарядов с дально</w:t>
      </w:r>
      <w:r w:rsidRPr="00722885">
        <w:rPr>
          <w:color w:val="000000" w:themeColor="text1"/>
          <w:sz w:val="16"/>
          <w:szCs w:val="16"/>
        </w:rPr>
        <w:softHyphen/>
        <w:t>сти не более 400—300 м. Затем, во втором заходе, на выходе из планирования выполняется сброс бомб. Начиная с третьего захода, цель обстрели</w:t>
      </w:r>
      <w:r w:rsidRPr="00722885">
        <w:rPr>
          <w:color w:val="000000" w:themeColor="text1"/>
          <w:sz w:val="16"/>
          <w:szCs w:val="16"/>
        </w:rPr>
        <w:softHyphen/>
        <w:t>вается пушечно-пулеметным огнем с дистанции до 400—300 м. Атака длинной цели вполне могла производиться с бреющего полета, как это реко</w:t>
      </w:r>
      <w:r w:rsidRPr="00722885">
        <w:rPr>
          <w:color w:val="000000" w:themeColor="text1"/>
          <w:sz w:val="16"/>
          <w:szCs w:val="16"/>
        </w:rPr>
        <w:softHyphen/>
        <w:t>мендовали специалисты НИП АВ, но обязательно с раздельным использованием каждого вида во</w:t>
      </w:r>
      <w:r w:rsidRPr="00722885">
        <w:rPr>
          <w:color w:val="000000" w:themeColor="text1"/>
          <w:sz w:val="16"/>
          <w:szCs w:val="16"/>
        </w:rPr>
        <w:softHyphen/>
        <w:t>оружения Ил-2 при дальностях залпового пуска РС и начала пулеметно-пушечной стрельбы не более 400 м.</w:t>
      </w:r>
    </w:p>
    <w:p w14:paraId="230B12AA"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заключении от 12 сентября 1942 г. к отчету НИП АВ ВВС, подготовленном помощником началь</w:t>
      </w:r>
      <w:r w:rsidRPr="00722885">
        <w:rPr>
          <w:color w:val="000000" w:themeColor="text1"/>
          <w:sz w:val="16"/>
          <w:szCs w:val="16"/>
        </w:rPr>
        <w:softHyphen/>
        <w:t>ника 2-го отдела Оперативного управления штаба ВВС КА военным инженером 2-го ранга И. В. Пиме- новым, отмечалась «необходимость самого срочно</w:t>
      </w:r>
      <w:r w:rsidRPr="00722885">
        <w:rPr>
          <w:color w:val="000000" w:themeColor="text1"/>
          <w:sz w:val="16"/>
          <w:szCs w:val="16"/>
        </w:rPr>
        <w:softHyphen/>
        <w:t>го введения на вооружение Ил-2 с 37-мм пушками ОКБ-15 или ОКБ-16, лучше одной для стрельбы че</w:t>
      </w:r>
      <w:r w:rsidRPr="00722885">
        <w:rPr>
          <w:color w:val="000000" w:themeColor="text1"/>
          <w:sz w:val="16"/>
          <w:szCs w:val="16"/>
        </w:rPr>
        <w:softHyphen/>
        <w:t>рез втулку редуктора». Предлагалось незамедли</w:t>
      </w:r>
      <w:r w:rsidRPr="00722885">
        <w:rPr>
          <w:color w:val="000000" w:themeColor="text1"/>
          <w:sz w:val="16"/>
          <w:szCs w:val="16"/>
        </w:rPr>
        <w:softHyphen/>
        <w:t>тельно отработать и принять «на вооружение спе</w:t>
      </w:r>
      <w:r w:rsidRPr="00722885">
        <w:rPr>
          <w:color w:val="000000" w:themeColor="text1"/>
          <w:sz w:val="16"/>
          <w:szCs w:val="16"/>
        </w:rPr>
        <w:softHyphen/>
        <w:t>циальных противотанковых авиапушек с началь</w:t>
      </w:r>
      <w:r w:rsidRPr="00722885">
        <w:rPr>
          <w:color w:val="000000" w:themeColor="text1"/>
          <w:sz w:val="16"/>
          <w:szCs w:val="16"/>
        </w:rPr>
        <w:softHyphen/>
        <w:t>ной скоростью снаряда порядка 1300—1400 м/с (подобные скорости имеют немецкие противотан</w:t>
      </w:r>
      <w:r w:rsidRPr="00722885">
        <w:rPr>
          <w:color w:val="000000" w:themeColor="text1"/>
          <w:sz w:val="16"/>
          <w:szCs w:val="16"/>
        </w:rPr>
        <w:softHyphen/>
        <w:t>ковые пушки с так называемыми термитными сна</w:t>
      </w:r>
      <w:r w:rsidRPr="00722885">
        <w:rPr>
          <w:color w:val="000000" w:themeColor="text1"/>
          <w:sz w:val="16"/>
          <w:szCs w:val="16"/>
        </w:rPr>
        <w:softHyphen/>
        <w:t>рядами)». Кроме того, требовалось изыскание «но</w:t>
      </w:r>
      <w:r w:rsidRPr="00722885">
        <w:rPr>
          <w:color w:val="000000" w:themeColor="text1"/>
          <w:sz w:val="16"/>
          <w:szCs w:val="16"/>
        </w:rPr>
        <w:softHyphen/>
        <w:t>вых методов применения зажигательных средств штурмовиками по танкам, так как зажиганием оди</w:t>
      </w:r>
      <w:r w:rsidRPr="00722885">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7AD7BD4D"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Интересно отметить еще один результат иссле</w:t>
      </w:r>
      <w:r w:rsidRPr="00722885">
        <w:rPr>
          <w:color w:val="000000" w:themeColor="text1"/>
          <w:sz w:val="16"/>
          <w:szCs w:val="16"/>
        </w:rPr>
        <w:softHyphen/>
        <w:t>довательской работы по оценке эффективности вооружения Ил-2. В августе 1942 г. с формулиров</w:t>
      </w:r>
      <w:r w:rsidRPr="00722885">
        <w:rPr>
          <w:color w:val="000000" w:themeColor="text1"/>
          <w:sz w:val="16"/>
          <w:szCs w:val="16"/>
        </w:rPr>
        <w:softHyphen/>
        <w:t>кой «в связи с необходимостью проведения ин</w:t>
      </w:r>
      <w:r w:rsidRPr="00722885">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722885">
        <w:rPr>
          <w:color w:val="000000" w:themeColor="text1"/>
          <w:sz w:val="16"/>
          <w:szCs w:val="16"/>
        </w:rPr>
        <w:softHyphen/>
        <w:t>ший лейтенант Назаров из 245-го шап были отко</w:t>
      </w:r>
      <w:r w:rsidRPr="00722885">
        <w:rPr>
          <w:color w:val="000000" w:themeColor="text1"/>
          <w:sz w:val="16"/>
          <w:szCs w:val="16"/>
        </w:rPr>
        <w:softHyphen/>
        <w:t>мандированы в 4-й отдел НИИ ВВС. Утверждалось, что «указанные летчики прошли специальную тре</w:t>
      </w:r>
      <w:r w:rsidRPr="00722885">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41861FFE" w14:textId="77777777" w:rsidR="00140708" w:rsidRPr="00722885" w:rsidRDefault="001407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получения из НИП АВ отчета с материала</w:t>
      </w:r>
      <w:r w:rsidRPr="00722885">
        <w:rPr>
          <w:color w:val="000000" w:themeColor="text1"/>
          <w:sz w:val="16"/>
          <w:szCs w:val="16"/>
        </w:rPr>
        <w:softHyphen/>
        <w:t>ми испытаний вооружения самолетов Ил-2 и ЛаГГ-3 при действии по немецкой бронетехнике специ</w:t>
      </w:r>
      <w:r w:rsidRPr="00722885">
        <w:rPr>
          <w:color w:val="000000" w:themeColor="text1"/>
          <w:sz w:val="16"/>
          <w:szCs w:val="16"/>
        </w:rPr>
        <w:softHyphen/>
        <w:t>алисты 2-го отдела (отдел по использованию опыта войны) Оперативного управления штаба ВВС в кон</w:t>
      </w:r>
      <w:r w:rsidRPr="00722885">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722885">
        <w:rPr>
          <w:color w:val="000000" w:themeColor="text1"/>
          <w:sz w:val="16"/>
          <w:szCs w:val="16"/>
        </w:rPr>
        <w:softHyphen/>
        <w:t>ной Армии (17500).</w:t>
      </w:r>
    </w:p>
    <w:p w14:paraId="51863833" w14:textId="77777777" w:rsidR="00140708" w:rsidRPr="00722885" w:rsidRDefault="00140708" w:rsidP="00722885">
      <w:pPr>
        <w:spacing w:after="0" w:line="240" w:lineRule="auto"/>
        <w:jc w:val="both"/>
        <w:rPr>
          <w:rFonts w:ascii="Times New Roman" w:eastAsia="Times New Roman" w:hAnsi="Times New Roman"/>
          <w:color w:val="000000" w:themeColor="text1"/>
          <w:sz w:val="16"/>
          <w:szCs w:val="16"/>
          <w:lang w:eastAsia="ru-RU"/>
        </w:rPr>
      </w:pPr>
    </w:p>
    <w:p w14:paraId="2526F012"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24 июля 1942 г. вышел совместный приказ ВВС и НКАП № 559а/с/032, согласно которому создавалась специальная комиссия для опре</w:t>
      </w:r>
      <w:r w:rsidRPr="00722885">
        <w:rPr>
          <w:rFonts w:ascii="Times New Roman" w:cs="Times New Roman"/>
          <w:color w:val="000000" w:themeColor="text1"/>
          <w:spacing w:val="0"/>
          <w:sz w:val="16"/>
          <w:szCs w:val="16"/>
        </w:rPr>
        <w:softHyphen/>
        <w:t>деления схем бронезащиты самолетов от ору</w:t>
      </w:r>
      <w:r w:rsidRPr="00722885">
        <w:rPr>
          <w:rFonts w:ascii="Times New Roman" w:cs="Times New Roman"/>
          <w:color w:val="000000" w:themeColor="text1"/>
          <w:spacing w:val="0"/>
          <w:sz w:val="16"/>
          <w:szCs w:val="16"/>
        </w:rPr>
        <w:softHyphen/>
        <w:t>жия крупного калибра без ухудшения их летных качеств. В состав комиссии вошли: предсе</w:t>
      </w:r>
      <w:r w:rsidRPr="00722885">
        <w:rPr>
          <w:rFonts w:ascii="Times New Roman" w:cs="Times New Roman"/>
          <w:color w:val="000000" w:themeColor="text1"/>
          <w:spacing w:val="0"/>
          <w:sz w:val="16"/>
          <w:szCs w:val="16"/>
        </w:rPr>
        <w:softHyphen/>
        <w:t>датель - начальник НИИ ВВС генерал-май</w:t>
      </w:r>
      <w:r w:rsidRPr="00722885">
        <w:rPr>
          <w:rFonts w:ascii="Times New Roman" w:cs="Times New Roman"/>
          <w:color w:val="000000" w:themeColor="text1"/>
          <w:spacing w:val="0"/>
          <w:sz w:val="16"/>
          <w:szCs w:val="16"/>
        </w:rPr>
        <w:softHyphen/>
        <w:t>ор П.А. Лосюков, главный конструктор, д.т.н. П.О. Сухой, заместитель начальника 7-го Глав</w:t>
      </w:r>
      <w:r w:rsidRPr="00722885">
        <w:rPr>
          <w:rFonts w:ascii="Times New Roman" w:cs="Times New Roman"/>
          <w:color w:val="000000" w:themeColor="text1"/>
          <w:spacing w:val="0"/>
          <w:sz w:val="16"/>
          <w:szCs w:val="16"/>
        </w:rPr>
        <w:softHyphen/>
        <w:t>ного управления НКАП бригинженер П.Я. Залесский, заместитель начальника ВИАМ по научной работе д.т.н. Кишкин, инженер 14-го отдела НИИ ВВС инженер-майор Шлямин, штурман 3-го отдела НИИ ВВС подполковник Никитин.</w:t>
      </w:r>
    </w:p>
    <w:p w14:paraId="61D49976"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К 10 августа комиссия должна была пред</w:t>
      </w:r>
      <w:r w:rsidRPr="00722885">
        <w:rPr>
          <w:rFonts w:ascii="Times New Roman" w:cs="Times New Roman"/>
          <w:color w:val="000000" w:themeColor="text1"/>
          <w:spacing w:val="0"/>
          <w:sz w:val="16"/>
          <w:szCs w:val="16"/>
        </w:rPr>
        <w:softHyphen/>
        <w:t>ставить схемы улучшения бронезащиты само</w:t>
      </w:r>
      <w:r w:rsidRPr="00722885">
        <w:rPr>
          <w:rFonts w:ascii="Times New Roman" w:cs="Times New Roman"/>
          <w:color w:val="000000" w:themeColor="text1"/>
          <w:spacing w:val="0"/>
          <w:sz w:val="16"/>
          <w:szCs w:val="16"/>
        </w:rPr>
        <w:softHyphen/>
        <w:t>летов ЛаГГ-3, ЛаГГ-5, Як-1, Як-7, Пе-2, Ил-2, Ил-4, Ту-2 и ТБ-7. Приказ подписали замести</w:t>
      </w:r>
      <w:r w:rsidRPr="00722885">
        <w:rPr>
          <w:rFonts w:ascii="Times New Roman" w:cs="Times New Roman"/>
          <w:color w:val="000000" w:themeColor="text1"/>
          <w:spacing w:val="0"/>
          <w:sz w:val="16"/>
          <w:szCs w:val="16"/>
        </w:rPr>
        <w:softHyphen/>
        <w:t>тель командующего ВВС КА генерал-лейтенант А.К. Репин и замнаркома авиапромышленно</w:t>
      </w:r>
      <w:r w:rsidRPr="00722885">
        <w:rPr>
          <w:rFonts w:ascii="Times New Roman" w:cs="Times New Roman"/>
          <w:color w:val="000000" w:themeColor="text1"/>
          <w:spacing w:val="0"/>
          <w:sz w:val="16"/>
          <w:szCs w:val="16"/>
        </w:rPr>
        <w:softHyphen/>
        <w:t>сти А.С. Яковлев.</w:t>
      </w:r>
    </w:p>
    <w:p w14:paraId="3410232D"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Комиссия провела три заседания -10,13 и 17 августа. На первом заседании заслушивал</w:t>
      </w:r>
      <w:r w:rsidRPr="00722885">
        <w:rPr>
          <w:rFonts w:ascii="Times New Roman" w:cs="Times New Roman"/>
          <w:color w:val="000000" w:themeColor="text1"/>
          <w:spacing w:val="0"/>
          <w:sz w:val="16"/>
          <w:szCs w:val="16"/>
        </w:rPr>
        <w:softHyphen/>
        <w:t>ся и обсуждался доклад флагманского врача ВВС КА бригврача Л.Г. Ратгауза «О санитарных потерях на современных боевых самолетах», на втором - доклад НИИ ВВС по результатам подбора типа и толщины брони с целью защи</w:t>
      </w:r>
      <w:r w:rsidRPr="00722885">
        <w:rPr>
          <w:rFonts w:ascii="Times New Roman" w:cs="Times New Roman"/>
          <w:color w:val="000000" w:themeColor="text1"/>
          <w:spacing w:val="0"/>
          <w:sz w:val="16"/>
          <w:szCs w:val="16"/>
        </w:rPr>
        <w:softHyphen/>
        <w:t>ты от немецкого авиационного оружия кали</w:t>
      </w:r>
      <w:r w:rsidRPr="00722885">
        <w:rPr>
          <w:rFonts w:ascii="Times New Roman" w:cs="Times New Roman"/>
          <w:color w:val="000000" w:themeColor="text1"/>
          <w:spacing w:val="0"/>
          <w:sz w:val="16"/>
          <w:szCs w:val="16"/>
        </w:rPr>
        <w:softHyphen/>
        <w:t xml:space="preserve">бра 15 и 20 мм, на третьем - проект усиления бронирования серийных самолетов ВВС КА, </w:t>
      </w:r>
      <w:r w:rsidRPr="00722885">
        <w:rPr>
          <w:rStyle w:val="aff6"/>
          <w:rFonts w:ascii="Times New Roman" w:eastAsia="Arial Narrow" w:hAnsi="Times New Roman" w:cs="Times New Roman"/>
          <w:i w:val="0"/>
          <w:color w:val="000000" w:themeColor="text1"/>
          <w:spacing w:val="0"/>
        </w:rPr>
        <w:t>«представленный НИИ ВВС в виде схем».</w:t>
      </w:r>
    </w:p>
    <w:p w14:paraId="6A2250FC"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Выводы из доклада бригврача Л.Г. Рат</w:t>
      </w:r>
      <w:r w:rsidRPr="00722885">
        <w:rPr>
          <w:rFonts w:ascii="Times New Roman" w:cs="Times New Roman"/>
          <w:color w:val="000000" w:themeColor="text1"/>
          <w:spacing w:val="0"/>
          <w:sz w:val="16"/>
          <w:szCs w:val="16"/>
        </w:rPr>
        <w:softHyphen/>
        <w:t>гауза сводились к следующему. Основная масса ранений летного состава приходилась на верхние и нижние конечности (55,7%) и на голову (31,3%). Распределение ранений было неодинаковым у различных категорий летного состава: у летчиков-истребителей и стрелков- радистов бомбардировщиков поражались, главным образом, нижние конечности (42%), у штурмовиков - голова летчика (51,4%). На</w:t>
      </w:r>
      <w:r w:rsidRPr="00722885">
        <w:rPr>
          <w:rFonts w:ascii="Times New Roman" w:cs="Times New Roman"/>
          <w:color w:val="000000" w:themeColor="text1"/>
          <w:spacing w:val="0"/>
          <w:sz w:val="16"/>
          <w:szCs w:val="16"/>
        </w:rPr>
        <w:softHyphen/>
        <w:t>ибольшее количество ранений приходилось на левую половину тела (66,7%), меньше - на правую (25,0%) и еще меньше - сзади (4,15%) и снизу (4,15%). Ранения спереди не были за</w:t>
      </w:r>
      <w:r w:rsidRPr="00722885">
        <w:rPr>
          <w:rFonts w:ascii="Times New Roman" w:cs="Times New Roman"/>
          <w:color w:val="000000" w:themeColor="text1"/>
          <w:spacing w:val="0"/>
          <w:sz w:val="16"/>
          <w:szCs w:val="16"/>
        </w:rPr>
        <w:softHyphen/>
        <w:t>регистрированы вовсе.</w:t>
      </w:r>
    </w:p>
    <w:p w14:paraId="4189B301"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Летчики на разных типах самолетов име</w:t>
      </w:r>
      <w:r w:rsidRPr="00722885">
        <w:rPr>
          <w:rFonts w:ascii="Times New Roman" w:cs="Times New Roman"/>
          <w:color w:val="000000" w:themeColor="text1"/>
          <w:spacing w:val="0"/>
          <w:sz w:val="16"/>
          <w:szCs w:val="16"/>
        </w:rPr>
        <w:softHyphen/>
        <w:t>ли и различное распределение ранений. Так, у летчиков на Як-1 отмечался очень большой процент ранений ног (50,7%), а у летчиков на МиГ-3 чаще встречались ранения головы (44,2%).</w:t>
      </w:r>
    </w:p>
    <w:p w14:paraId="5AA516F0" w14:textId="77777777" w:rsidR="00DD0C17" w:rsidRPr="00722885" w:rsidRDefault="00DD0C17" w:rsidP="00722885">
      <w:pPr>
        <w:pStyle w:val="45"/>
        <w:shd w:val="clear" w:color="auto" w:fill="auto"/>
        <w:spacing w:before="0" w:line="240" w:lineRule="auto"/>
        <w:jc w:val="both"/>
        <w:rPr>
          <w:rFonts w:ascii="Times New Roman" w:cs="Times New Roman"/>
          <w:color w:val="000000" w:themeColor="text1"/>
          <w:sz w:val="16"/>
          <w:szCs w:val="16"/>
        </w:rPr>
      </w:pPr>
      <w:r w:rsidRPr="00722885">
        <w:rPr>
          <w:rStyle w:val="4f0"/>
          <w:rFonts w:ascii="Times New Roman" w:hAnsi="Times New Roman" w:cs="Times New Roman"/>
          <w:i w:val="0"/>
          <w:color w:val="000000" w:themeColor="text1"/>
          <w:sz w:val="16"/>
          <w:szCs w:val="16"/>
        </w:rPr>
        <w:t>Комиссия констатировала, что</w:t>
      </w:r>
      <w:r w:rsidRPr="00722885">
        <w:rPr>
          <w:rFonts w:ascii="Times New Roman" w:cs="Times New Roman"/>
          <w:color w:val="000000" w:themeColor="text1"/>
          <w:sz w:val="16"/>
          <w:szCs w:val="16"/>
        </w:rPr>
        <w:t xml:space="preserve"> «броневая защита боевых самолетов ВВС недостаточна по площади и углам и на некоторых самолетах оставляет особо уязвимые места (левая рука, голова, нижние конечности)».</w:t>
      </w:r>
    </w:p>
    <w:p w14:paraId="0A6DCC68"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Схема бронирования истребителя Як-7Б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210"/>
        <w:gridCol w:w="360"/>
        <w:gridCol w:w="355"/>
        <w:gridCol w:w="360"/>
        <w:gridCol w:w="355"/>
      </w:tblGrid>
      <w:tr w:rsidR="009B487A" w:rsidRPr="00722885" w14:paraId="378EAA99" w14:textId="77777777" w:rsidTr="00627011">
        <w:trPr>
          <w:trHeight w:val="130"/>
        </w:trPr>
        <w:tc>
          <w:tcPr>
            <w:tcW w:w="254" w:type="dxa"/>
            <w:vMerge w:val="restart"/>
            <w:tcBorders>
              <w:top w:val="single" w:sz="4" w:space="0" w:color="auto"/>
              <w:left w:val="single" w:sz="4" w:space="0" w:color="auto"/>
              <w:right w:val="single" w:sz="4" w:space="0" w:color="auto"/>
            </w:tcBorders>
            <w:shd w:val="clear" w:color="auto" w:fill="FFFFFF"/>
          </w:tcPr>
          <w:p w14:paraId="314775B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 п/п</w:t>
            </w:r>
          </w:p>
        </w:tc>
        <w:tc>
          <w:tcPr>
            <w:tcW w:w="1210" w:type="dxa"/>
            <w:vMerge w:val="restart"/>
            <w:tcBorders>
              <w:top w:val="single" w:sz="4" w:space="0" w:color="auto"/>
              <w:left w:val="single" w:sz="4" w:space="0" w:color="auto"/>
              <w:right w:val="single" w:sz="4" w:space="0" w:color="auto"/>
            </w:tcBorders>
            <w:shd w:val="clear" w:color="auto" w:fill="FFFFFF"/>
          </w:tcPr>
          <w:p w14:paraId="1D7CCA3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Наименование бронедеталей</w:t>
            </w:r>
          </w:p>
        </w:tc>
        <w:tc>
          <w:tcPr>
            <w:tcW w:w="715" w:type="dxa"/>
            <w:gridSpan w:val="2"/>
            <w:tcBorders>
              <w:top w:val="single" w:sz="4" w:space="0" w:color="auto"/>
              <w:left w:val="single" w:sz="4" w:space="0" w:color="auto"/>
              <w:bottom w:val="single" w:sz="4" w:space="0" w:color="auto"/>
              <w:right w:val="single" w:sz="4" w:space="0" w:color="auto"/>
            </w:tcBorders>
            <w:shd w:val="clear" w:color="auto" w:fill="FFFFFF"/>
          </w:tcPr>
          <w:p w14:paraId="5765C7A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Существует</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6A8B27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Треб</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40D49CC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ется</w:t>
            </w:r>
          </w:p>
        </w:tc>
      </w:tr>
      <w:tr w:rsidR="009B487A" w:rsidRPr="00722885" w14:paraId="1CB83388" w14:textId="77777777" w:rsidTr="00627011">
        <w:trPr>
          <w:trHeight w:val="250"/>
        </w:trPr>
        <w:tc>
          <w:tcPr>
            <w:tcW w:w="254" w:type="dxa"/>
            <w:vMerge/>
            <w:tcBorders>
              <w:left w:val="single" w:sz="4" w:space="0" w:color="auto"/>
              <w:bottom w:val="single" w:sz="4" w:space="0" w:color="auto"/>
              <w:right w:val="single" w:sz="4" w:space="0" w:color="auto"/>
            </w:tcBorders>
            <w:shd w:val="clear" w:color="auto" w:fill="FFFFFF"/>
          </w:tcPr>
          <w:p w14:paraId="77338D8A"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210" w:type="dxa"/>
            <w:vMerge/>
            <w:tcBorders>
              <w:left w:val="single" w:sz="4" w:space="0" w:color="auto"/>
              <w:bottom w:val="single" w:sz="4" w:space="0" w:color="auto"/>
              <w:right w:val="single" w:sz="4" w:space="0" w:color="auto"/>
            </w:tcBorders>
            <w:shd w:val="clear" w:color="auto" w:fill="FFFFFF"/>
          </w:tcPr>
          <w:p w14:paraId="0FC9DECC"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E74EEB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6F765B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 кг</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C06A30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5AA2E1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 кг</w:t>
            </w:r>
          </w:p>
        </w:tc>
      </w:tr>
      <w:tr w:rsidR="009B487A" w:rsidRPr="00722885" w14:paraId="159C2FAB"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19D9AFB"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764F805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Бронеспинка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2FAD4A1"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4BBC14A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97147A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9D6843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53</w:t>
            </w:r>
          </w:p>
        </w:tc>
      </w:tr>
      <w:tr w:rsidR="009B487A" w:rsidRPr="00722885" w14:paraId="2E067157"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3DD713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14DFAE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Бронестекло</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79ECC7B" w14:textId="77777777" w:rsidR="00DD0C17" w:rsidRPr="00722885" w:rsidRDefault="00DD0C17" w:rsidP="00722885">
            <w:pPr>
              <w:pStyle w:val="501"/>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2174163" w14:textId="77777777" w:rsidR="00DD0C17" w:rsidRPr="00722885" w:rsidRDefault="00DD0C17" w:rsidP="00722885">
            <w:pPr>
              <w:pStyle w:val="510"/>
              <w:shd w:val="clear" w:color="auto" w:fill="auto"/>
              <w:spacing w:line="240" w:lineRule="auto"/>
              <w:jc w:val="both"/>
              <w:rPr>
                <w:rFonts w:ascii="Times New Roman" w:hAnsi="Times New Roman" w:cs="Times New Roman"/>
                <w:i w:val="0"/>
                <w:color w:val="000000" w:themeColor="text1"/>
                <w:sz w:val="16"/>
                <w:szCs w:val="16"/>
              </w:rPr>
            </w:pPr>
            <w:r w:rsidRPr="00722885">
              <w:rPr>
                <w:rFonts w:ascii="Times New Roman" w:hAnsi="Times New Roman" w:cs="Times New Roman"/>
                <w:i w:val="0"/>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134228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681CA58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9</w:t>
            </w:r>
          </w:p>
        </w:tc>
      </w:tr>
      <w:tr w:rsidR="009B487A" w:rsidRPr="00722885" w14:paraId="22FA22F9"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4836D13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7A046D0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Подлокотник слева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6D703FA" w14:textId="77777777" w:rsidR="00DD0C17" w:rsidRPr="00722885" w:rsidRDefault="00DD0C17" w:rsidP="00722885">
            <w:pPr>
              <w:pStyle w:val="510"/>
              <w:shd w:val="clear" w:color="auto" w:fill="auto"/>
              <w:spacing w:line="240" w:lineRule="auto"/>
              <w:jc w:val="both"/>
              <w:rPr>
                <w:rFonts w:ascii="Times New Roman" w:hAnsi="Times New Roman" w:cs="Times New Roman"/>
                <w:i w:val="0"/>
                <w:color w:val="000000" w:themeColor="text1"/>
                <w:sz w:val="16"/>
                <w:szCs w:val="16"/>
              </w:rPr>
            </w:pPr>
            <w:r w:rsidRPr="00722885">
              <w:rPr>
                <w:rFonts w:ascii="Times New Roman" w:hAnsi="Times New Roman" w:cs="Times New Roman"/>
                <w:i w:val="0"/>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1C05946" w14:textId="77777777" w:rsidR="00DD0C17" w:rsidRPr="00722885" w:rsidRDefault="00DD0C17" w:rsidP="00722885">
            <w:pPr>
              <w:pStyle w:val="501"/>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B2DA8E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1B54A9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0</w:t>
            </w:r>
          </w:p>
        </w:tc>
      </w:tr>
      <w:tr w:rsidR="009B487A" w:rsidRPr="00722885" w14:paraId="550B8C9E"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711C67D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69C7F16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Надголовник</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685D277" w14:textId="77777777" w:rsidR="00DD0C17" w:rsidRPr="00722885" w:rsidRDefault="00DD0C17" w:rsidP="00722885">
            <w:pPr>
              <w:pStyle w:val="501"/>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46E80056" w14:textId="77777777" w:rsidR="00DD0C17" w:rsidRPr="00722885" w:rsidRDefault="00DD0C17" w:rsidP="00722885">
            <w:pPr>
              <w:pStyle w:val="52"/>
              <w:shd w:val="clear" w:color="auto" w:fill="auto"/>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D61CCA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10</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3BF5856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r>
      <w:tr w:rsidR="009B487A" w:rsidRPr="00722885" w14:paraId="2C9FACB5" w14:textId="77777777" w:rsidTr="00627011">
        <w:trPr>
          <w:trHeight w:val="139"/>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71E7F30"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28021C9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Всего брони</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40FC9FC"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CC4AF6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08AAB36"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22D6FC7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79</w:t>
            </w:r>
          </w:p>
        </w:tc>
      </w:tr>
    </w:tbl>
    <w:p w14:paraId="04B168EF"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(15776).</w:t>
      </w:r>
    </w:p>
    <w:p w14:paraId="25134FC0" w14:textId="77777777" w:rsidR="00DD0C17" w:rsidRPr="00722885" w:rsidRDefault="00DD0C17" w:rsidP="00722885">
      <w:pPr>
        <w:pStyle w:val="aff1"/>
        <w:shd w:val="clear" w:color="auto" w:fill="auto"/>
        <w:spacing w:line="240" w:lineRule="auto"/>
        <w:rPr>
          <w:rFonts w:ascii="Times New Roman" w:hAnsi="Times New Roman" w:cs="Times New Roman"/>
          <w:i w:val="0"/>
          <w:color w:val="000000" w:themeColor="text1"/>
          <w:sz w:val="16"/>
          <w:szCs w:val="16"/>
          <w:lang w:val="ru-RU"/>
        </w:rPr>
      </w:pPr>
      <w:r w:rsidRPr="00722885">
        <w:rPr>
          <w:rFonts w:ascii="Times New Roman" w:hAnsi="Times New Roman" w:cs="Times New Roman"/>
          <w:i w:val="0"/>
          <w:color w:val="000000" w:themeColor="text1"/>
          <w:sz w:val="16"/>
          <w:szCs w:val="16"/>
          <w:lang w:val="ru-RU"/>
        </w:rPr>
        <w:t>Схема бронирования истребителя Як-1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210"/>
        <w:gridCol w:w="360"/>
        <w:gridCol w:w="355"/>
        <w:gridCol w:w="360"/>
        <w:gridCol w:w="360"/>
      </w:tblGrid>
      <w:tr w:rsidR="009B487A" w:rsidRPr="00722885" w14:paraId="08024CF8" w14:textId="77777777" w:rsidTr="00627011">
        <w:trPr>
          <w:trHeight w:val="130"/>
        </w:trPr>
        <w:tc>
          <w:tcPr>
            <w:tcW w:w="254" w:type="dxa"/>
            <w:vMerge w:val="restart"/>
            <w:tcBorders>
              <w:top w:val="single" w:sz="4" w:space="0" w:color="auto"/>
              <w:left w:val="single" w:sz="4" w:space="0" w:color="auto"/>
              <w:right w:val="single" w:sz="4" w:space="0" w:color="auto"/>
            </w:tcBorders>
            <w:shd w:val="clear" w:color="auto" w:fill="FFFFFF"/>
          </w:tcPr>
          <w:p w14:paraId="70E731B1"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 п/п</w:t>
            </w:r>
          </w:p>
        </w:tc>
        <w:tc>
          <w:tcPr>
            <w:tcW w:w="1210" w:type="dxa"/>
            <w:vMerge w:val="restart"/>
            <w:tcBorders>
              <w:top w:val="single" w:sz="4" w:space="0" w:color="auto"/>
              <w:left w:val="single" w:sz="4" w:space="0" w:color="auto"/>
              <w:right w:val="single" w:sz="4" w:space="0" w:color="auto"/>
            </w:tcBorders>
            <w:shd w:val="clear" w:color="auto" w:fill="FFFFFF"/>
          </w:tcPr>
          <w:p w14:paraId="706A554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Наименование бронедеталей</w:t>
            </w:r>
          </w:p>
        </w:tc>
        <w:tc>
          <w:tcPr>
            <w:tcW w:w="715" w:type="dxa"/>
            <w:gridSpan w:val="2"/>
            <w:tcBorders>
              <w:top w:val="single" w:sz="4" w:space="0" w:color="auto"/>
              <w:left w:val="single" w:sz="4" w:space="0" w:color="auto"/>
              <w:bottom w:val="single" w:sz="4" w:space="0" w:color="auto"/>
              <w:right w:val="single" w:sz="4" w:space="0" w:color="auto"/>
            </w:tcBorders>
            <w:shd w:val="clear" w:color="auto" w:fill="FFFFFF"/>
          </w:tcPr>
          <w:p w14:paraId="3A574A8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Существует</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1D2277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Треб</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64173C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/ется</w:t>
            </w:r>
          </w:p>
        </w:tc>
      </w:tr>
      <w:tr w:rsidR="009B487A" w:rsidRPr="00722885" w14:paraId="735A2D17" w14:textId="77777777" w:rsidTr="00627011">
        <w:trPr>
          <w:trHeight w:val="250"/>
        </w:trPr>
        <w:tc>
          <w:tcPr>
            <w:tcW w:w="254" w:type="dxa"/>
            <w:vMerge/>
            <w:tcBorders>
              <w:left w:val="single" w:sz="4" w:space="0" w:color="auto"/>
              <w:bottom w:val="single" w:sz="4" w:space="0" w:color="auto"/>
              <w:right w:val="single" w:sz="4" w:space="0" w:color="auto"/>
            </w:tcBorders>
            <w:shd w:val="clear" w:color="auto" w:fill="FFFFFF"/>
          </w:tcPr>
          <w:p w14:paraId="5B4F6CC1"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210" w:type="dxa"/>
            <w:vMerge/>
            <w:tcBorders>
              <w:left w:val="single" w:sz="4" w:space="0" w:color="auto"/>
              <w:bottom w:val="single" w:sz="4" w:space="0" w:color="auto"/>
              <w:right w:val="single" w:sz="4" w:space="0" w:color="auto"/>
            </w:tcBorders>
            <w:shd w:val="clear" w:color="auto" w:fill="FFFFFF"/>
          </w:tcPr>
          <w:p w14:paraId="110C1DD4"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8E10F3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D1118C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 кг</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3F070C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мм</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A24082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 кг</w:t>
            </w:r>
          </w:p>
        </w:tc>
      </w:tr>
      <w:tr w:rsidR="009B487A" w:rsidRPr="00722885" w14:paraId="2369A888"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580B288"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154DE9E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Бронеспинка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912AB8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C4BB39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F345A6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67CF90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51</w:t>
            </w:r>
          </w:p>
        </w:tc>
      </w:tr>
      <w:tr w:rsidR="009B487A" w:rsidRPr="00722885" w14:paraId="13B38B00"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77324FA"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75E4DC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Бронестекло</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7DBC08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47531E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F08AD0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AE3E42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9</w:t>
            </w:r>
          </w:p>
        </w:tc>
      </w:tr>
      <w:tr w:rsidR="009B487A" w:rsidRPr="00722885" w14:paraId="3C0DAD54"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9E83DB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D94709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Подлокотник слева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2B04C44" w14:textId="77777777" w:rsidR="00DD0C17" w:rsidRPr="00722885" w:rsidRDefault="00DD0C17" w:rsidP="00722885">
            <w:pPr>
              <w:pStyle w:val="54"/>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06A8667" w14:textId="77777777" w:rsidR="00DD0C17" w:rsidRPr="00722885" w:rsidRDefault="00DD0C17" w:rsidP="00722885">
            <w:pPr>
              <w:pStyle w:val="54"/>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1B2CBA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33B7BE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9</w:t>
            </w:r>
          </w:p>
        </w:tc>
      </w:tr>
      <w:tr w:rsidR="009B487A" w:rsidRPr="00722885" w14:paraId="69943A95"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73BF49E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C8218D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Надоголовник</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5FF39A1" w14:textId="77777777" w:rsidR="00DD0C17" w:rsidRPr="00722885" w:rsidRDefault="00DD0C17" w:rsidP="00722885">
            <w:pPr>
              <w:pStyle w:val="54"/>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B52D3AB" w14:textId="77777777" w:rsidR="00DD0C17" w:rsidRPr="00722885" w:rsidRDefault="00DD0C17" w:rsidP="00722885">
            <w:pPr>
              <w:pStyle w:val="54"/>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38F1C7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443D6C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r>
      <w:tr w:rsidR="009B487A" w:rsidRPr="00722885" w14:paraId="3336506D"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76984450"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4A81974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Всего брони</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894DC40"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31D2673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FCE1B91"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104762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77</w:t>
            </w:r>
          </w:p>
        </w:tc>
      </w:tr>
    </w:tbl>
    <w:p w14:paraId="45B8224A" w14:textId="77777777" w:rsidR="00DD0C17" w:rsidRPr="00722885" w:rsidRDefault="00DD0C17" w:rsidP="00722885">
      <w:pPr>
        <w:pStyle w:val="28"/>
        <w:shd w:val="clear" w:color="auto" w:fill="auto"/>
        <w:spacing w:before="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(15776).</w:t>
      </w:r>
    </w:p>
    <w:p w14:paraId="44084FAB" w14:textId="77777777" w:rsidR="00DD0C17" w:rsidRPr="00722885" w:rsidRDefault="00DD0C17" w:rsidP="00722885">
      <w:pPr>
        <w:pStyle w:val="aff9"/>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Схема бронирования истребителя ЛаГГ-3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9"/>
        <w:gridCol w:w="1210"/>
        <w:gridCol w:w="355"/>
        <w:gridCol w:w="355"/>
        <w:gridCol w:w="360"/>
        <w:gridCol w:w="360"/>
      </w:tblGrid>
      <w:tr w:rsidR="009B487A" w:rsidRPr="00722885" w14:paraId="06CF2E83" w14:textId="77777777" w:rsidTr="00627011">
        <w:trPr>
          <w:trHeight w:val="134"/>
        </w:trPr>
        <w:tc>
          <w:tcPr>
            <w:tcW w:w="259" w:type="dxa"/>
            <w:vMerge w:val="restart"/>
            <w:tcBorders>
              <w:top w:val="single" w:sz="4" w:space="0" w:color="auto"/>
              <w:left w:val="single" w:sz="4" w:space="0" w:color="auto"/>
              <w:right w:val="single" w:sz="4" w:space="0" w:color="auto"/>
            </w:tcBorders>
            <w:shd w:val="clear" w:color="auto" w:fill="FFFFFF"/>
          </w:tcPr>
          <w:p w14:paraId="0DE5245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 п/п</w:t>
            </w:r>
          </w:p>
        </w:tc>
        <w:tc>
          <w:tcPr>
            <w:tcW w:w="1210" w:type="dxa"/>
            <w:vMerge w:val="restart"/>
            <w:tcBorders>
              <w:top w:val="single" w:sz="4" w:space="0" w:color="auto"/>
              <w:left w:val="single" w:sz="4" w:space="0" w:color="auto"/>
              <w:right w:val="single" w:sz="4" w:space="0" w:color="auto"/>
            </w:tcBorders>
            <w:shd w:val="clear" w:color="auto" w:fill="FFFFFF"/>
          </w:tcPr>
          <w:p w14:paraId="2AB019E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Наименование бронедеталей</w:t>
            </w:r>
          </w:p>
        </w:tc>
        <w:tc>
          <w:tcPr>
            <w:tcW w:w="710" w:type="dxa"/>
            <w:gridSpan w:val="2"/>
            <w:tcBorders>
              <w:top w:val="single" w:sz="4" w:space="0" w:color="auto"/>
              <w:left w:val="single" w:sz="4" w:space="0" w:color="auto"/>
              <w:bottom w:val="single" w:sz="4" w:space="0" w:color="auto"/>
              <w:right w:val="single" w:sz="4" w:space="0" w:color="auto"/>
            </w:tcBorders>
            <w:shd w:val="clear" w:color="auto" w:fill="FFFFFF"/>
          </w:tcPr>
          <w:p w14:paraId="40DEE69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Существует</w:t>
            </w:r>
          </w:p>
        </w:tc>
        <w:tc>
          <w:tcPr>
            <w:tcW w:w="360" w:type="dxa"/>
            <w:tcBorders>
              <w:top w:val="single" w:sz="4" w:space="0" w:color="auto"/>
              <w:left w:val="single" w:sz="4" w:space="0" w:color="auto"/>
              <w:bottom w:val="single" w:sz="4" w:space="0" w:color="auto"/>
            </w:tcBorders>
            <w:shd w:val="clear" w:color="auto" w:fill="FFFFFF"/>
          </w:tcPr>
          <w:p w14:paraId="4241451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Треб</w:t>
            </w:r>
          </w:p>
        </w:tc>
        <w:tc>
          <w:tcPr>
            <w:tcW w:w="360" w:type="dxa"/>
            <w:tcBorders>
              <w:top w:val="single" w:sz="4" w:space="0" w:color="auto"/>
              <w:bottom w:val="single" w:sz="4" w:space="0" w:color="auto"/>
              <w:right w:val="single" w:sz="4" w:space="0" w:color="auto"/>
            </w:tcBorders>
            <w:shd w:val="clear" w:color="auto" w:fill="FFFFFF"/>
          </w:tcPr>
          <w:p w14:paraId="5D043E1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ется</w:t>
            </w:r>
          </w:p>
        </w:tc>
      </w:tr>
      <w:tr w:rsidR="009B487A" w:rsidRPr="00722885" w14:paraId="15A78312" w14:textId="77777777" w:rsidTr="00627011">
        <w:trPr>
          <w:trHeight w:val="250"/>
        </w:trPr>
        <w:tc>
          <w:tcPr>
            <w:tcW w:w="259" w:type="dxa"/>
            <w:vMerge/>
            <w:tcBorders>
              <w:left w:val="single" w:sz="4" w:space="0" w:color="auto"/>
              <w:bottom w:val="single" w:sz="4" w:space="0" w:color="auto"/>
              <w:right w:val="single" w:sz="4" w:space="0" w:color="auto"/>
            </w:tcBorders>
            <w:shd w:val="clear" w:color="auto" w:fill="FFFFFF"/>
          </w:tcPr>
          <w:p w14:paraId="5537FA81"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210" w:type="dxa"/>
            <w:vMerge/>
            <w:tcBorders>
              <w:left w:val="single" w:sz="4" w:space="0" w:color="auto"/>
              <w:bottom w:val="single" w:sz="4" w:space="0" w:color="auto"/>
              <w:right w:val="single" w:sz="4" w:space="0" w:color="auto"/>
            </w:tcBorders>
            <w:shd w:val="clear" w:color="auto" w:fill="FFFFFF"/>
          </w:tcPr>
          <w:p w14:paraId="5F92196D"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2E6606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в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B0C7E1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 в кг</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94F420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в мм</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0A5046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 в кг</w:t>
            </w:r>
          </w:p>
        </w:tc>
      </w:tr>
      <w:tr w:rsidR="009B487A" w:rsidRPr="00722885" w14:paraId="59AC56D0"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565C093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23DADF0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Бронеспинка</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EAB953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37875DB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F239C1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428BB7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39</w:t>
            </w:r>
          </w:p>
        </w:tc>
      </w:tr>
      <w:tr w:rsidR="009B487A" w:rsidRPr="00722885" w14:paraId="0DA55104"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438B453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50EA94F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Бронестекло сзади</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262711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259A897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498F7A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B61451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14</w:t>
            </w:r>
          </w:p>
        </w:tc>
      </w:tr>
      <w:tr w:rsidR="009B487A" w:rsidRPr="00722885" w14:paraId="60830470"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1A21B41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1A067B3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Бронекозырек</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5B1FB4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8015D7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76A3D3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1BB7BA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w:t>
            </w:r>
          </w:p>
        </w:tc>
      </w:tr>
      <w:tr w:rsidR="009B487A" w:rsidRPr="00722885" w14:paraId="2DA4C9D5"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1D4E2FE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lastRenderedPageBreak/>
              <w:t>4</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5B917ED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Надголовник</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7BD20C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2DA058F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B82361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D616D2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r>
      <w:tr w:rsidR="009B487A" w:rsidRPr="00722885" w14:paraId="70146B36"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5DFBC5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1349CFF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Подлокотник</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1BB2513"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389F92E"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F294B2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E34F12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9</w:t>
            </w:r>
          </w:p>
        </w:tc>
      </w:tr>
      <w:tr w:rsidR="009B487A" w:rsidRPr="00722885" w14:paraId="110A8980" w14:textId="77777777" w:rsidTr="00627011">
        <w:trPr>
          <w:trHeight w:val="134"/>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5A61F518"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7B048AE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Всего брони</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852DE45"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E25E931"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44,5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F6FB479"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B6B5E3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76</w:t>
            </w:r>
          </w:p>
        </w:tc>
      </w:tr>
    </w:tbl>
    <w:p w14:paraId="5C49B06A" w14:textId="77777777" w:rsidR="00DD0C17" w:rsidRPr="00722885" w:rsidRDefault="00DD0C17" w:rsidP="00722885">
      <w:pPr>
        <w:pStyle w:val="aff1"/>
        <w:shd w:val="clear" w:color="auto" w:fill="auto"/>
        <w:spacing w:line="240" w:lineRule="auto"/>
        <w:rPr>
          <w:rFonts w:ascii="Times New Roman" w:hAnsi="Times New Roman" w:cs="Times New Roman"/>
          <w:i w:val="0"/>
          <w:color w:val="000000" w:themeColor="text1"/>
          <w:sz w:val="16"/>
          <w:szCs w:val="16"/>
        </w:rPr>
      </w:pPr>
      <w:r w:rsidRPr="00722885">
        <w:rPr>
          <w:rFonts w:ascii="Times New Roman" w:hAnsi="Times New Roman" w:cs="Times New Roman"/>
          <w:i w:val="0"/>
          <w:color w:val="000000" w:themeColor="text1"/>
          <w:sz w:val="16"/>
          <w:szCs w:val="16"/>
        </w:rPr>
        <w:t>(15776).</w:t>
      </w:r>
    </w:p>
    <w:p w14:paraId="1201C633"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Схема бронирования бомбардировщика Ил-4 и штурмовика Ил-2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099"/>
        <w:gridCol w:w="317"/>
        <w:gridCol w:w="312"/>
        <w:gridCol w:w="317"/>
        <w:gridCol w:w="322"/>
      </w:tblGrid>
      <w:tr w:rsidR="009B487A" w:rsidRPr="00722885" w14:paraId="1F39224D" w14:textId="77777777" w:rsidTr="00627011">
        <w:trPr>
          <w:trHeight w:val="134"/>
        </w:trPr>
        <w:tc>
          <w:tcPr>
            <w:tcW w:w="254" w:type="dxa"/>
            <w:vMerge w:val="restart"/>
            <w:tcBorders>
              <w:top w:val="single" w:sz="4" w:space="0" w:color="auto"/>
              <w:left w:val="single" w:sz="4" w:space="0" w:color="auto"/>
              <w:right w:val="single" w:sz="4" w:space="0" w:color="auto"/>
            </w:tcBorders>
            <w:shd w:val="clear" w:color="auto" w:fill="FFFFFF"/>
          </w:tcPr>
          <w:p w14:paraId="691D576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N9 п/п</w:t>
            </w:r>
          </w:p>
        </w:tc>
        <w:tc>
          <w:tcPr>
            <w:tcW w:w="1099" w:type="dxa"/>
            <w:vMerge w:val="restart"/>
            <w:tcBorders>
              <w:top w:val="single" w:sz="4" w:space="0" w:color="auto"/>
              <w:left w:val="single" w:sz="4" w:space="0" w:color="auto"/>
              <w:right w:val="single" w:sz="4" w:space="0" w:color="auto"/>
            </w:tcBorders>
            <w:shd w:val="clear" w:color="auto" w:fill="FFFFFF"/>
          </w:tcPr>
          <w:p w14:paraId="25AE480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Наименование бронедеталей</w:t>
            </w:r>
          </w:p>
        </w:tc>
        <w:tc>
          <w:tcPr>
            <w:tcW w:w="629" w:type="dxa"/>
            <w:gridSpan w:val="2"/>
            <w:tcBorders>
              <w:top w:val="single" w:sz="4" w:space="0" w:color="auto"/>
              <w:left w:val="single" w:sz="4" w:space="0" w:color="auto"/>
              <w:bottom w:val="single" w:sz="4" w:space="0" w:color="auto"/>
              <w:right w:val="single" w:sz="4" w:space="0" w:color="auto"/>
            </w:tcBorders>
            <w:shd w:val="clear" w:color="auto" w:fill="FFFFFF"/>
          </w:tcPr>
          <w:p w14:paraId="2A0E374B" w14:textId="77777777" w:rsidR="00DD0C17" w:rsidRPr="00722885" w:rsidRDefault="00DD0C17" w:rsidP="00722885">
            <w:pPr>
              <w:pStyle w:val="56"/>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Существует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E6C10A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Треб</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2C80A2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/ется</w:t>
            </w:r>
          </w:p>
        </w:tc>
      </w:tr>
      <w:tr w:rsidR="009B487A" w:rsidRPr="00722885" w14:paraId="797290AD" w14:textId="77777777" w:rsidTr="00627011">
        <w:trPr>
          <w:trHeight w:val="250"/>
        </w:trPr>
        <w:tc>
          <w:tcPr>
            <w:tcW w:w="254" w:type="dxa"/>
            <w:vMerge/>
            <w:tcBorders>
              <w:left w:val="single" w:sz="4" w:space="0" w:color="auto"/>
              <w:bottom w:val="single" w:sz="4" w:space="0" w:color="auto"/>
              <w:right w:val="single" w:sz="4" w:space="0" w:color="auto"/>
            </w:tcBorders>
            <w:shd w:val="clear" w:color="auto" w:fill="FFFFFF"/>
          </w:tcPr>
          <w:p w14:paraId="6DE5B20C"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099" w:type="dxa"/>
            <w:vMerge/>
            <w:tcBorders>
              <w:left w:val="single" w:sz="4" w:space="0" w:color="auto"/>
              <w:bottom w:val="single" w:sz="4" w:space="0" w:color="auto"/>
              <w:right w:val="single" w:sz="4" w:space="0" w:color="auto"/>
            </w:tcBorders>
            <w:shd w:val="clear" w:color="auto" w:fill="FFFFFF"/>
          </w:tcPr>
          <w:p w14:paraId="1FEC5A8A"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95A346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мм</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249A20B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Ве^кг</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7E54A7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266B67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Вес,кг</w:t>
            </w:r>
          </w:p>
        </w:tc>
      </w:tr>
      <w:tr w:rsidR="009B487A" w:rsidRPr="00722885" w14:paraId="710B6BB1"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B25257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1B1A762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Бронеплита за нижним</w:t>
            </w:r>
          </w:p>
          <w:p w14:paraId="6132C985" w14:textId="77777777" w:rsidR="00DD0C17" w:rsidRPr="00722885" w:rsidRDefault="00DD0C17" w:rsidP="00722885">
            <w:pPr>
              <w:pStyle w:val="55"/>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ЛЮКОМ</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469E4F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D82601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13</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DACB28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5491DD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26</w:t>
            </w:r>
          </w:p>
        </w:tc>
      </w:tr>
      <w:tr w:rsidR="009B487A" w:rsidRPr="00722885" w14:paraId="0137751A" w14:textId="77777777" w:rsidTr="00627011">
        <w:trPr>
          <w:trHeight w:val="24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5E2F5F4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5A67424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Бронеплиты верхнего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666273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7FBFE4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22</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957406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34DF83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44</w:t>
            </w:r>
          </w:p>
        </w:tc>
      </w:tr>
      <w:tr w:rsidR="009B487A" w:rsidRPr="00722885" w14:paraId="1ED752B8"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47941F3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187F5B3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Левая боковина к ней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8DB8CD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9B827D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8DC70D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BE1C1D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13</w:t>
            </w:r>
          </w:p>
        </w:tc>
      </w:tr>
      <w:tr w:rsidR="009B487A" w:rsidRPr="00722885" w14:paraId="7083C7F9"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458D1411"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5047A4F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Правая</w:t>
            </w:r>
            <w:r w:rsidRPr="00722885">
              <w:rPr>
                <w:rStyle w:val="12Tahoma45pt"/>
                <w:rFonts w:ascii="Times New Roman" w:hAnsi="Times New Roman" w:cs="Times New Roman"/>
                <w:b w:val="0"/>
                <w:i w:val="0"/>
                <w:color w:val="000000" w:themeColor="text1"/>
                <w:sz w:val="16"/>
                <w:szCs w:val="16"/>
              </w:rPr>
              <w:t xml:space="preserve"> боковина </w:t>
            </w:r>
            <w:r w:rsidRPr="00722885">
              <w:rPr>
                <w:rFonts w:ascii="Times New Roman" w:hAnsi="Times New Roman" w:cs="Times New Roman"/>
                <w:b w:val="0"/>
                <w:color w:val="000000" w:themeColor="text1"/>
                <w:sz w:val="16"/>
                <w:szCs w:val="16"/>
              </w:rPr>
              <w:t>к ней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79195C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72C475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58B9B01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A55A3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7</w:t>
            </w:r>
          </w:p>
        </w:tc>
      </w:tr>
      <w:tr w:rsidR="009B487A" w:rsidRPr="00722885" w14:paraId="1C724A9D"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0A9B984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0E2E1A0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Пол кабины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9A9AC3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D41088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14</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2F2277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EE1186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14</w:t>
            </w:r>
          </w:p>
        </w:tc>
      </w:tr>
      <w:tr w:rsidR="009B487A" w:rsidRPr="00722885" w14:paraId="13C97200"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7A5343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47CFF66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Откидывающий щиток</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02C5C2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0D9223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20</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503233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46C24B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40</w:t>
            </w:r>
          </w:p>
        </w:tc>
      </w:tr>
      <w:tr w:rsidR="009B487A" w:rsidRPr="00722885" w14:paraId="0EAD57D6"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227249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7</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22B3B6B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Бронеспинка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3750F4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CD7E24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10F615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16AB0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56</w:t>
            </w:r>
          </w:p>
        </w:tc>
      </w:tr>
      <w:tr w:rsidR="009B487A" w:rsidRPr="00722885" w14:paraId="724C021A"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B0F6A1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096684F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Плиты над головой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D070A6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227377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587712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80BA87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r>
      <w:tr w:rsidR="009B487A" w:rsidRPr="00722885" w14:paraId="5B96C8F4" w14:textId="77777777" w:rsidTr="00627011">
        <w:trPr>
          <w:trHeight w:val="139"/>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8F983EC"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4746E4E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Всего брони</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5C8488A"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6F9388B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118</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9F078E6"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95ACDD1"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208</w:t>
            </w:r>
          </w:p>
        </w:tc>
      </w:tr>
    </w:tbl>
    <w:p w14:paraId="42A82669" w14:textId="77777777" w:rsidR="00DD0C17" w:rsidRPr="00722885" w:rsidRDefault="00DD0C17" w:rsidP="00722885">
      <w:pPr>
        <w:pStyle w:val="aff1"/>
        <w:shd w:val="clear" w:color="auto" w:fill="auto"/>
        <w:spacing w:line="240" w:lineRule="auto"/>
        <w:rPr>
          <w:rFonts w:ascii="Times New Roman" w:hAnsi="Times New Roman" w:cs="Times New Roman"/>
          <w:i w:val="0"/>
          <w:color w:val="000000" w:themeColor="text1"/>
          <w:sz w:val="16"/>
          <w:szCs w:val="16"/>
        </w:rPr>
      </w:pPr>
      <w:r w:rsidRPr="00722885">
        <w:rPr>
          <w:rFonts w:ascii="Times New Roman" w:hAnsi="Times New Roman" w:cs="Times New Roman"/>
          <w:i w:val="0"/>
          <w:color w:val="000000" w:themeColor="text1"/>
          <w:sz w:val="16"/>
          <w:szCs w:val="16"/>
        </w:rPr>
        <w:t>(15776).</w:t>
      </w:r>
    </w:p>
    <w:tbl>
      <w:tblPr>
        <w:tblW w:w="0" w:type="auto"/>
        <w:tblLayout w:type="fixed"/>
        <w:tblCellMar>
          <w:left w:w="10" w:type="dxa"/>
          <w:right w:w="10" w:type="dxa"/>
        </w:tblCellMar>
        <w:tblLook w:val="04A0" w:firstRow="1" w:lastRow="0" w:firstColumn="1" w:lastColumn="0" w:noHBand="0" w:noVBand="1"/>
      </w:tblPr>
      <w:tblGrid>
        <w:gridCol w:w="259"/>
        <w:gridCol w:w="706"/>
        <w:gridCol w:w="336"/>
        <w:gridCol w:w="336"/>
        <w:gridCol w:w="341"/>
        <w:gridCol w:w="346"/>
      </w:tblGrid>
      <w:tr w:rsidR="009B487A" w:rsidRPr="00722885" w14:paraId="0562E9FE" w14:textId="77777777" w:rsidTr="00627011">
        <w:trPr>
          <w:trHeight w:val="139"/>
        </w:trPr>
        <w:tc>
          <w:tcPr>
            <w:tcW w:w="259" w:type="dxa"/>
            <w:vMerge w:val="restart"/>
            <w:tcBorders>
              <w:top w:val="single" w:sz="4" w:space="0" w:color="auto"/>
              <w:left w:val="single" w:sz="4" w:space="0" w:color="auto"/>
              <w:right w:val="single" w:sz="4" w:space="0" w:color="auto"/>
            </w:tcBorders>
            <w:shd w:val="clear" w:color="auto" w:fill="FFFFFF"/>
          </w:tcPr>
          <w:p w14:paraId="47D667F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 п/п</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075EE55E"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672" w:type="dxa"/>
            <w:gridSpan w:val="2"/>
            <w:tcBorders>
              <w:top w:val="single" w:sz="4" w:space="0" w:color="auto"/>
              <w:left w:val="single" w:sz="4" w:space="0" w:color="auto"/>
              <w:bottom w:val="single" w:sz="4" w:space="0" w:color="auto"/>
              <w:right w:val="single" w:sz="4" w:space="0" w:color="auto"/>
            </w:tcBorders>
            <w:shd w:val="clear" w:color="auto" w:fill="FFFFFF"/>
          </w:tcPr>
          <w:p w14:paraId="5E9205F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Существует</w:t>
            </w:r>
          </w:p>
        </w:tc>
        <w:tc>
          <w:tcPr>
            <w:tcW w:w="687" w:type="dxa"/>
            <w:gridSpan w:val="2"/>
            <w:tcBorders>
              <w:top w:val="single" w:sz="4" w:space="0" w:color="auto"/>
              <w:left w:val="single" w:sz="4" w:space="0" w:color="auto"/>
              <w:bottom w:val="single" w:sz="4" w:space="0" w:color="auto"/>
              <w:right w:val="single" w:sz="4" w:space="0" w:color="auto"/>
            </w:tcBorders>
            <w:shd w:val="clear" w:color="auto" w:fill="FFFFFF"/>
          </w:tcPr>
          <w:p w14:paraId="22FAAA4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Требуется</w:t>
            </w:r>
          </w:p>
        </w:tc>
      </w:tr>
      <w:tr w:rsidR="009B487A" w:rsidRPr="00722885" w14:paraId="0BBA5097" w14:textId="77777777" w:rsidTr="00627011">
        <w:trPr>
          <w:trHeight w:val="245"/>
        </w:trPr>
        <w:tc>
          <w:tcPr>
            <w:tcW w:w="259" w:type="dxa"/>
            <w:vMerge/>
            <w:tcBorders>
              <w:left w:val="single" w:sz="4" w:space="0" w:color="auto"/>
              <w:bottom w:val="single" w:sz="4" w:space="0" w:color="auto"/>
              <w:right w:val="single" w:sz="4" w:space="0" w:color="auto"/>
            </w:tcBorders>
            <w:shd w:val="clear" w:color="auto" w:fill="FFFFFF"/>
          </w:tcPr>
          <w:p w14:paraId="3EB76F58"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1E37540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бронедеталей</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4B9FF20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мм</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5213D931"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 кг</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5E801BE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мм</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73BBEE8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 кг</w:t>
            </w:r>
          </w:p>
        </w:tc>
      </w:tr>
      <w:tr w:rsidR="009B487A" w:rsidRPr="00722885" w14:paraId="618A89EC" w14:textId="77777777" w:rsidTr="00627011">
        <w:trPr>
          <w:trHeight w:val="25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5B2767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2A778341"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Передняя часть (мото)</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45F32E2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4,5</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1D3E6A5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825</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7E82026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4,5</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5CA2830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825</w:t>
            </w:r>
          </w:p>
        </w:tc>
      </w:tr>
      <w:tr w:rsidR="009B487A" w:rsidRPr="00722885" w14:paraId="06636098" w14:textId="77777777" w:rsidTr="00627011">
        <w:trPr>
          <w:trHeight w:val="24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1ADA1AC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C41D0F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Кабинный пояс</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43FA153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 и 6</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6C0D442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825</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53FDB16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 и 6</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468C108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825</w:t>
            </w:r>
          </w:p>
        </w:tc>
      </w:tr>
      <w:tr w:rsidR="009B487A" w:rsidRPr="00722885" w14:paraId="1DC6E9FE"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D7D4E4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B3005C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Задняя стенка</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3C5B82C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12</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1DB50F6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105</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461D50C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6DB0415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131</w:t>
            </w:r>
          </w:p>
        </w:tc>
      </w:tr>
      <w:tr w:rsidR="009B487A" w:rsidRPr="00722885" w14:paraId="1C52F610" w14:textId="77777777" w:rsidTr="00627011">
        <w:trPr>
          <w:trHeight w:val="139"/>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730B6AD8"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180EDBC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Всего брони</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0D1320B7"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31DACCC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930</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31EE7590"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2420E08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956</w:t>
            </w:r>
          </w:p>
        </w:tc>
      </w:tr>
    </w:tbl>
    <w:p w14:paraId="35B674D1" w14:textId="77777777" w:rsidR="00DD0C17" w:rsidRPr="00722885" w:rsidRDefault="00DD0C17" w:rsidP="00722885">
      <w:pPr>
        <w:pStyle w:val="45"/>
        <w:shd w:val="clear" w:color="auto" w:fill="auto"/>
        <w:spacing w:before="0" w:line="240" w:lineRule="auto"/>
        <w:jc w:val="both"/>
        <w:rPr>
          <w:rStyle w:val="4f0"/>
          <w:rFonts w:ascii="Times New Roman" w:hAnsi="Times New Roman" w:cs="Times New Roman"/>
          <w:i w:val="0"/>
          <w:color w:val="000000" w:themeColor="text1"/>
          <w:sz w:val="16"/>
          <w:szCs w:val="16"/>
        </w:rPr>
      </w:pPr>
      <w:r w:rsidRPr="00722885">
        <w:rPr>
          <w:rStyle w:val="4f0"/>
          <w:rFonts w:ascii="Times New Roman" w:hAnsi="Times New Roman" w:cs="Times New Roman"/>
          <w:i w:val="0"/>
          <w:color w:val="000000" w:themeColor="text1"/>
          <w:sz w:val="16"/>
          <w:szCs w:val="16"/>
        </w:rPr>
        <w:t>(15776).</w:t>
      </w:r>
    </w:p>
    <w:p w14:paraId="33AC47D3" w14:textId="77777777" w:rsidR="00DD0C17" w:rsidRPr="00722885" w:rsidRDefault="00DD0C17" w:rsidP="00722885">
      <w:pPr>
        <w:pStyle w:val="aff1"/>
        <w:shd w:val="clear" w:color="auto" w:fill="auto"/>
        <w:spacing w:line="240" w:lineRule="auto"/>
        <w:rPr>
          <w:rFonts w:ascii="Times New Roman" w:hAnsi="Times New Roman" w:cs="Times New Roman"/>
          <w:i w:val="0"/>
          <w:color w:val="000000" w:themeColor="text1"/>
          <w:sz w:val="16"/>
          <w:szCs w:val="16"/>
          <w:lang w:val="ru-RU"/>
        </w:rPr>
      </w:pPr>
      <w:r w:rsidRPr="00722885">
        <w:rPr>
          <w:rFonts w:ascii="Times New Roman" w:hAnsi="Times New Roman" w:cs="Times New Roman"/>
          <w:i w:val="0"/>
          <w:color w:val="000000" w:themeColor="text1"/>
          <w:sz w:val="16"/>
          <w:szCs w:val="16"/>
          <w:lang w:val="ru-RU"/>
        </w:rPr>
        <w:t>Схема бронирования тяжелого бомбардировщика Пе-8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173"/>
        <w:gridCol w:w="826"/>
        <w:gridCol w:w="322"/>
        <w:gridCol w:w="322"/>
        <w:gridCol w:w="322"/>
        <w:gridCol w:w="331"/>
      </w:tblGrid>
      <w:tr w:rsidR="009B487A" w:rsidRPr="00722885" w14:paraId="65FED237" w14:textId="77777777" w:rsidTr="00627011">
        <w:trPr>
          <w:trHeight w:val="130"/>
        </w:trPr>
        <w:tc>
          <w:tcPr>
            <w:tcW w:w="173" w:type="dxa"/>
            <w:vMerge w:val="restart"/>
            <w:tcBorders>
              <w:top w:val="single" w:sz="4" w:space="0" w:color="auto"/>
              <w:left w:val="single" w:sz="4" w:space="0" w:color="auto"/>
              <w:right w:val="single" w:sz="4" w:space="0" w:color="auto"/>
            </w:tcBorders>
            <w:shd w:val="clear" w:color="auto" w:fill="FFFFFF"/>
          </w:tcPr>
          <w:p w14:paraId="734C3195"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п/п</w:t>
            </w:r>
          </w:p>
        </w:tc>
        <w:tc>
          <w:tcPr>
            <w:tcW w:w="826" w:type="dxa"/>
            <w:vMerge w:val="restart"/>
            <w:tcBorders>
              <w:top w:val="single" w:sz="4" w:space="0" w:color="auto"/>
              <w:left w:val="single" w:sz="4" w:space="0" w:color="auto"/>
              <w:right w:val="single" w:sz="4" w:space="0" w:color="auto"/>
            </w:tcBorders>
            <w:shd w:val="clear" w:color="auto" w:fill="FFFFFF"/>
          </w:tcPr>
          <w:p w14:paraId="4D17095B"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Наименование бронедеталей</w:t>
            </w:r>
          </w:p>
        </w:tc>
        <w:tc>
          <w:tcPr>
            <w:tcW w:w="644" w:type="dxa"/>
            <w:gridSpan w:val="2"/>
            <w:tcBorders>
              <w:top w:val="single" w:sz="4" w:space="0" w:color="auto"/>
              <w:left w:val="single" w:sz="4" w:space="0" w:color="auto"/>
              <w:bottom w:val="single" w:sz="4" w:space="0" w:color="auto"/>
              <w:right w:val="single" w:sz="4" w:space="0" w:color="auto"/>
            </w:tcBorders>
            <w:shd w:val="clear" w:color="auto" w:fill="FFFFFF"/>
          </w:tcPr>
          <w:p w14:paraId="07CEB504"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Существует</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002FC79"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Треб</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D9C7344"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/ется</w:t>
            </w:r>
          </w:p>
        </w:tc>
      </w:tr>
      <w:tr w:rsidR="009B487A" w:rsidRPr="00722885" w14:paraId="171C560F" w14:textId="77777777" w:rsidTr="00627011">
        <w:trPr>
          <w:trHeight w:val="250"/>
        </w:trPr>
        <w:tc>
          <w:tcPr>
            <w:tcW w:w="173" w:type="dxa"/>
            <w:vMerge/>
            <w:tcBorders>
              <w:left w:val="single" w:sz="4" w:space="0" w:color="auto"/>
              <w:bottom w:val="single" w:sz="4" w:space="0" w:color="auto"/>
              <w:right w:val="single" w:sz="4" w:space="0" w:color="auto"/>
            </w:tcBorders>
            <w:shd w:val="clear" w:color="auto" w:fill="FFFFFF"/>
          </w:tcPr>
          <w:p w14:paraId="7BD37200"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826" w:type="dxa"/>
            <w:vMerge/>
            <w:tcBorders>
              <w:left w:val="single" w:sz="4" w:space="0" w:color="auto"/>
              <w:bottom w:val="single" w:sz="4" w:space="0" w:color="auto"/>
              <w:right w:val="single" w:sz="4" w:space="0" w:color="auto"/>
            </w:tcBorders>
            <w:shd w:val="clear" w:color="auto" w:fill="FFFFFF"/>
          </w:tcPr>
          <w:p w14:paraId="79C96B06"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3F1BBD4A"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Толщ, в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639A051"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Вес вкг</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BC81480"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Толщ, в мм</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15C73A82"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Вес вкг</w:t>
            </w:r>
          </w:p>
        </w:tc>
      </w:tr>
      <w:tr w:rsidR="009B487A" w:rsidRPr="00722885" w14:paraId="35AC8B42" w14:textId="77777777" w:rsidTr="00627011">
        <w:trPr>
          <w:trHeight w:val="12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351E4635"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6578210A"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Бронеспинка пилота I</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C9868E7"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DFD51D1"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A3887FB"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75C585D7"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32</w:t>
            </w:r>
          </w:p>
        </w:tc>
      </w:tr>
      <w:tr w:rsidR="009B487A" w:rsidRPr="00722885" w14:paraId="68A3220A" w14:textId="77777777" w:rsidTr="00627011">
        <w:trPr>
          <w:trHeight w:val="13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37672A16"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BC64FEF"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Бронеспинка пилота II</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1F5314E"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67160FE"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6A2BA15"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BC967E2"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32</w:t>
            </w:r>
          </w:p>
        </w:tc>
      </w:tr>
      <w:tr w:rsidR="009B487A" w:rsidRPr="00722885" w14:paraId="53DE4F19" w14:textId="77777777" w:rsidTr="00627011">
        <w:trPr>
          <w:trHeight w:val="24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555DCAC6"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A38F26A"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Бронеплиты подшас- сийных стрелков (2)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5B86FE0"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FA8B406"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90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60F273E"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5E613FED"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60</w:t>
            </w:r>
          </w:p>
        </w:tc>
      </w:tr>
      <w:tr w:rsidR="009B487A" w:rsidRPr="00722885" w14:paraId="23CB1B6F" w14:textId="77777777" w:rsidTr="00627011">
        <w:trPr>
          <w:trHeight w:val="25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128D506B"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4</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5252E6A5"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Бронеплиты передне</w:t>
            </w:r>
            <w:r w:rsidRPr="00722885">
              <w:rPr>
                <w:rFonts w:ascii="Times New Roman" w:hAnsi="Times New Roman" w:cs="Times New Roman"/>
                <w:color w:val="000000" w:themeColor="text1"/>
                <w:sz w:val="16"/>
                <w:szCs w:val="16"/>
              </w:rPr>
              <w:softHyphen/>
              <w:t>го стрелка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167369C"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FA6E35F"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34</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06DB882"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4C4C3CF3"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22</w:t>
            </w:r>
          </w:p>
        </w:tc>
      </w:tr>
      <w:tr w:rsidR="009B487A" w:rsidRPr="00722885" w14:paraId="1673A804" w14:textId="77777777" w:rsidTr="00627011">
        <w:trPr>
          <w:trHeight w:val="48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41E82D0B"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5</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314CFEC"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lang w:val="ru-RU"/>
              </w:rPr>
            </w:pPr>
            <w:r w:rsidRPr="00722885">
              <w:rPr>
                <w:rFonts w:ascii="Times New Roman" w:hAnsi="Times New Roman" w:cs="Times New Roman"/>
                <w:color w:val="000000" w:themeColor="text1"/>
                <w:sz w:val="16"/>
                <w:szCs w:val="16"/>
                <w:lang w:val="ru-RU"/>
              </w:rPr>
              <w:t>Хвостовой стрелок:</w:t>
            </w:r>
          </w:p>
          <w:p w14:paraId="50794ACE" w14:textId="77777777" w:rsidR="00DD0C17" w:rsidRPr="00722885" w:rsidRDefault="00DD0C17" w:rsidP="00722885">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722885">
              <w:rPr>
                <w:rFonts w:ascii="Times New Roman" w:hAnsi="Times New Roman" w:cs="Times New Roman"/>
                <w:color w:val="000000" w:themeColor="text1"/>
                <w:sz w:val="16"/>
                <w:szCs w:val="16"/>
                <w:lang w:val="ru-RU"/>
              </w:rPr>
              <w:t>а)</w:t>
            </w:r>
            <w:r w:rsidRPr="00722885">
              <w:rPr>
                <w:rFonts w:ascii="Times New Roman" w:hAnsi="Times New Roman" w:cs="Times New Roman"/>
                <w:color w:val="000000" w:themeColor="text1"/>
                <w:sz w:val="16"/>
                <w:szCs w:val="16"/>
                <w:lang w:val="ru-RU"/>
              </w:rPr>
              <w:tab/>
              <w:t>диск на пол</w:t>
            </w:r>
          </w:p>
          <w:p w14:paraId="583791E9" w14:textId="77777777" w:rsidR="00DD0C17" w:rsidRPr="00722885" w:rsidRDefault="00DD0C17" w:rsidP="00722885">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722885">
              <w:rPr>
                <w:rFonts w:ascii="Times New Roman" w:hAnsi="Times New Roman" w:cs="Times New Roman"/>
                <w:color w:val="000000" w:themeColor="text1"/>
                <w:sz w:val="16"/>
                <w:szCs w:val="16"/>
                <w:lang w:val="ru-RU"/>
              </w:rPr>
              <w:t>б)</w:t>
            </w:r>
            <w:r w:rsidRPr="00722885">
              <w:rPr>
                <w:rFonts w:ascii="Times New Roman" w:hAnsi="Times New Roman" w:cs="Times New Roman"/>
                <w:color w:val="000000" w:themeColor="text1"/>
                <w:sz w:val="16"/>
                <w:szCs w:val="16"/>
                <w:lang w:val="ru-RU"/>
              </w:rPr>
              <w:tab/>
              <w:t>боковины на башне</w:t>
            </w:r>
          </w:p>
          <w:p w14:paraId="66E576A7" w14:textId="77777777" w:rsidR="00DD0C17" w:rsidRPr="00722885" w:rsidRDefault="00DD0C17" w:rsidP="00722885">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722885">
              <w:rPr>
                <w:rFonts w:ascii="Times New Roman" w:hAnsi="Times New Roman" w:cs="Times New Roman"/>
                <w:color w:val="000000" w:themeColor="text1"/>
                <w:sz w:val="16"/>
                <w:szCs w:val="16"/>
                <w:lang w:val="ru-RU"/>
              </w:rPr>
              <w:t>в)</w:t>
            </w:r>
            <w:r w:rsidRPr="00722885">
              <w:rPr>
                <w:rFonts w:ascii="Times New Roman" w:hAnsi="Times New Roman" w:cs="Times New Roman"/>
                <w:color w:val="000000" w:themeColor="text1"/>
                <w:sz w:val="16"/>
                <w:szCs w:val="16"/>
                <w:lang w:val="ru-RU"/>
              </w:rPr>
              <w:tab/>
              <w:t>плита сзади пояса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C05CACC"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541BDB0" w14:textId="77777777" w:rsidR="00DD0C17" w:rsidRPr="00722885" w:rsidRDefault="00DD0C17" w:rsidP="00722885">
            <w:pPr>
              <w:pStyle w:val="624"/>
              <w:shd w:val="clear" w:color="auto" w:fill="auto"/>
              <w:spacing w:before="0" w:line="240" w:lineRule="auto"/>
              <w:jc w:val="both"/>
              <w:rPr>
                <w:rFonts w:ascii="Times New Roman" w:hAnsi="Times New Roman" w:cs="Times New Roman"/>
                <w:color w:val="000000" w:themeColor="text1"/>
              </w:rPr>
            </w:pPr>
            <w:r w:rsidRPr="00722885">
              <w:rPr>
                <w:rFonts w:ascii="Times New Roman" w:hAnsi="Times New Roman" w:cs="Times New Roman"/>
                <w:color w:val="000000" w:themeColor="text1"/>
                <w:vertAlign w:val="superscript"/>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616F103"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5 5 5</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4928E565"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32</w:t>
            </w:r>
          </w:p>
          <w:p w14:paraId="40F51D59"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20 8</w:t>
            </w:r>
          </w:p>
        </w:tc>
      </w:tr>
      <w:tr w:rsidR="009B487A" w:rsidRPr="00722885" w14:paraId="7965F53B" w14:textId="77777777" w:rsidTr="00627011">
        <w:trPr>
          <w:trHeight w:val="49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6E015C45"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6</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453DB375"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lang w:val="ru-RU"/>
              </w:rPr>
            </w:pPr>
            <w:r w:rsidRPr="00722885">
              <w:rPr>
                <w:rFonts w:ascii="Times New Roman" w:hAnsi="Times New Roman" w:cs="Times New Roman"/>
                <w:color w:val="000000" w:themeColor="text1"/>
                <w:sz w:val="16"/>
                <w:szCs w:val="16"/>
                <w:lang w:val="ru-RU"/>
              </w:rPr>
              <w:t>Центральный стрелок:</w:t>
            </w:r>
          </w:p>
          <w:p w14:paraId="6B1A7B06" w14:textId="77777777" w:rsidR="00DD0C17" w:rsidRPr="00722885" w:rsidRDefault="00DD0C17" w:rsidP="00722885">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722885">
              <w:rPr>
                <w:rFonts w:ascii="Times New Roman" w:hAnsi="Times New Roman" w:cs="Times New Roman"/>
                <w:color w:val="000000" w:themeColor="text1"/>
                <w:sz w:val="16"/>
                <w:szCs w:val="16"/>
                <w:lang w:val="ru-RU"/>
              </w:rPr>
              <w:t>а)</w:t>
            </w:r>
            <w:r w:rsidRPr="00722885">
              <w:rPr>
                <w:rFonts w:ascii="Times New Roman" w:hAnsi="Times New Roman" w:cs="Times New Roman"/>
                <w:color w:val="000000" w:themeColor="text1"/>
                <w:sz w:val="16"/>
                <w:szCs w:val="16"/>
                <w:lang w:val="ru-RU"/>
              </w:rPr>
              <w:tab/>
              <w:t>фартук на турели</w:t>
            </w:r>
          </w:p>
          <w:p w14:paraId="71EE881E" w14:textId="77777777" w:rsidR="00DD0C17" w:rsidRPr="00722885" w:rsidRDefault="00DD0C17" w:rsidP="00722885">
            <w:pPr>
              <w:pStyle w:val="57"/>
              <w:shd w:val="clear" w:color="auto" w:fill="auto"/>
              <w:tabs>
                <w:tab w:val="left" w:pos="136"/>
              </w:tabs>
              <w:spacing w:line="240" w:lineRule="auto"/>
              <w:jc w:val="both"/>
              <w:rPr>
                <w:rFonts w:ascii="Times New Roman" w:hAnsi="Times New Roman" w:cs="Times New Roman"/>
                <w:color w:val="000000" w:themeColor="text1"/>
                <w:sz w:val="16"/>
                <w:szCs w:val="16"/>
                <w:lang w:val="ru-RU"/>
              </w:rPr>
            </w:pPr>
            <w:r w:rsidRPr="00722885">
              <w:rPr>
                <w:rFonts w:ascii="Times New Roman" w:hAnsi="Times New Roman" w:cs="Times New Roman"/>
                <w:color w:val="000000" w:themeColor="text1"/>
                <w:sz w:val="16"/>
                <w:szCs w:val="16"/>
                <w:lang w:val="ru-RU"/>
              </w:rPr>
              <w:t>б)</w:t>
            </w:r>
            <w:r w:rsidRPr="00722885">
              <w:rPr>
                <w:rFonts w:ascii="Times New Roman" w:hAnsi="Times New Roman" w:cs="Times New Roman"/>
                <w:color w:val="000000" w:themeColor="text1"/>
                <w:sz w:val="16"/>
                <w:szCs w:val="16"/>
                <w:lang w:val="ru-RU"/>
              </w:rPr>
              <w:tab/>
              <w:t>плиты на нижнем поясе колпака турели</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E8D950"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DE5B9FE"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11CF647"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8 8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0F20D3B1"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20 20</w:t>
            </w:r>
          </w:p>
        </w:tc>
      </w:tr>
      <w:tr w:rsidR="009B487A" w:rsidRPr="00722885" w14:paraId="5646B1A5" w14:textId="77777777" w:rsidTr="00627011">
        <w:trPr>
          <w:trHeight w:val="48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577DC0A8"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7</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E54E059"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lang w:val="ru-RU"/>
              </w:rPr>
            </w:pPr>
            <w:r w:rsidRPr="00722885">
              <w:rPr>
                <w:rFonts w:ascii="Times New Roman" w:hAnsi="Times New Roman" w:cs="Times New Roman"/>
                <w:color w:val="000000" w:themeColor="text1"/>
                <w:sz w:val="16"/>
                <w:szCs w:val="16"/>
                <w:lang w:val="ru-RU"/>
              </w:rPr>
              <w:t xml:space="preserve">Пошасгийсные стрелки: </w:t>
            </w:r>
            <w:r w:rsidRPr="00722885">
              <w:rPr>
                <w:rFonts w:ascii="Times New Roman" w:hAnsi="Times New Roman" w:cs="Times New Roman"/>
                <w:color w:val="000000" w:themeColor="text1"/>
                <w:sz w:val="16"/>
                <w:szCs w:val="16"/>
                <w:lang w:val="ru-RU"/>
              </w:rPr>
              <w:lastRenderedPageBreak/>
              <w:t>корыто</w:t>
            </w:r>
            <w:r w:rsidRPr="00722885">
              <w:rPr>
                <w:rFonts w:ascii="Times New Roman" w:hAnsi="Times New Roman" w:cs="Times New Roman"/>
                <w:color w:val="000000" w:themeColor="text1"/>
                <w:sz w:val="16"/>
                <w:szCs w:val="16"/>
                <w:lang w:val="ru-RU"/>
              </w:rPr>
              <w:softHyphen/>
              <w:t>образные плиты внутри гандолы (2)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92F7EB6" w14:textId="77777777" w:rsidR="00DD0C17" w:rsidRPr="00722885" w:rsidRDefault="00DD0C17" w:rsidP="00722885">
            <w:pPr>
              <w:pStyle w:val="614"/>
              <w:shd w:val="clear" w:color="auto" w:fill="auto"/>
              <w:spacing w:before="0" w:after="0" w:line="240" w:lineRule="auto"/>
              <w:jc w:val="both"/>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lastRenderedPageBreak/>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E1CF7CA" w14:textId="77777777" w:rsidR="00DD0C17" w:rsidRPr="00722885" w:rsidRDefault="00DD0C17" w:rsidP="00722885">
            <w:pPr>
              <w:pStyle w:val="633"/>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85ADAE6"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5</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708C6D36"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40</w:t>
            </w:r>
          </w:p>
        </w:tc>
      </w:tr>
      <w:tr w:rsidR="009B487A" w:rsidRPr="00722885" w14:paraId="717A7059" w14:textId="77777777" w:rsidTr="00627011">
        <w:trPr>
          <w:trHeight w:val="37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7119D8AF"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8</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79AB84D"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lang w:val="ru-RU"/>
              </w:rPr>
            </w:pPr>
            <w:r w:rsidRPr="00722885">
              <w:rPr>
                <w:rFonts w:ascii="Times New Roman" w:hAnsi="Times New Roman" w:cs="Times New Roman"/>
                <w:color w:val="000000" w:themeColor="text1"/>
                <w:sz w:val="16"/>
                <w:szCs w:val="16"/>
                <w:lang w:val="ru-RU"/>
              </w:rPr>
              <w:t>Борт-механик:</w:t>
            </w:r>
          </w:p>
          <w:p w14:paraId="559D05DD" w14:textId="77777777" w:rsidR="00DD0C17" w:rsidRPr="00722885" w:rsidRDefault="00DD0C17" w:rsidP="00722885">
            <w:pPr>
              <w:pStyle w:val="57"/>
              <w:shd w:val="clear" w:color="auto" w:fill="auto"/>
              <w:tabs>
                <w:tab w:val="left" w:pos="136"/>
              </w:tabs>
              <w:spacing w:line="240" w:lineRule="auto"/>
              <w:jc w:val="both"/>
              <w:rPr>
                <w:rFonts w:ascii="Times New Roman" w:hAnsi="Times New Roman" w:cs="Times New Roman"/>
                <w:color w:val="000000" w:themeColor="text1"/>
                <w:sz w:val="16"/>
                <w:szCs w:val="16"/>
                <w:lang w:val="ru-RU"/>
              </w:rPr>
            </w:pPr>
            <w:r w:rsidRPr="00722885">
              <w:rPr>
                <w:rFonts w:ascii="Times New Roman" w:hAnsi="Times New Roman" w:cs="Times New Roman"/>
                <w:color w:val="000000" w:themeColor="text1"/>
                <w:sz w:val="16"/>
                <w:szCs w:val="16"/>
                <w:lang w:val="ru-RU"/>
              </w:rPr>
              <w:t>а)</w:t>
            </w:r>
            <w:r w:rsidRPr="00722885">
              <w:rPr>
                <w:rFonts w:ascii="Times New Roman" w:hAnsi="Times New Roman" w:cs="Times New Roman"/>
                <w:color w:val="000000" w:themeColor="text1"/>
                <w:sz w:val="16"/>
                <w:szCs w:val="16"/>
                <w:lang w:val="ru-RU"/>
              </w:rPr>
              <w:tab/>
              <w:t>плита за спиной</w:t>
            </w:r>
          </w:p>
          <w:p w14:paraId="03F6C95A" w14:textId="77777777" w:rsidR="00DD0C17" w:rsidRPr="00722885" w:rsidRDefault="00DD0C17" w:rsidP="00722885">
            <w:pPr>
              <w:pStyle w:val="57"/>
              <w:shd w:val="clear" w:color="auto" w:fill="auto"/>
              <w:tabs>
                <w:tab w:val="left" w:pos="136"/>
              </w:tabs>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w:t>
            </w:r>
            <w:r w:rsidRPr="00722885">
              <w:rPr>
                <w:rFonts w:ascii="Times New Roman" w:hAnsi="Times New Roman" w:cs="Times New Roman"/>
                <w:color w:val="000000" w:themeColor="text1"/>
                <w:sz w:val="16"/>
                <w:szCs w:val="16"/>
              </w:rPr>
              <w:tab/>
              <w:t>плита справа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D9741E9" w14:textId="77777777" w:rsidR="00DD0C17" w:rsidRPr="00722885" w:rsidRDefault="00DD0C17" w:rsidP="00722885">
            <w:pPr>
              <w:pStyle w:val="601"/>
              <w:shd w:val="clear" w:color="auto" w:fill="auto"/>
              <w:spacing w:after="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EC854AC" w14:textId="77777777" w:rsidR="00DD0C17" w:rsidRPr="00722885" w:rsidRDefault="00DD0C17" w:rsidP="00722885">
            <w:pPr>
              <w:pStyle w:val="642"/>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66519D6"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8 6</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6F9CE7ED"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32 12</w:t>
            </w:r>
          </w:p>
        </w:tc>
      </w:tr>
      <w:tr w:rsidR="009B487A" w:rsidRPr="00722885" w14:paraId="43C678BB" w14:textId="77777777" w:rsidTr="00627011">
        <w:trPr>
          <w:trHeight w:val="13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0134ECEA"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9</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667173BE"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Бронеспинка радиста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9723CB5" w14:textId="77777777" w:rsidR="00DD0C17" w:rsidRPr="00722885" w:rsidRDefault="00DD0C17" w:rsidP="00722885">
            <w:pPr>
              <w:pStyle w:val="591"/>
              <w:shd w:val="clear" w:color="auto" w:fill="auto"/>
              <w:spacing w:line="240" w:lineRule="auto"/>
              <w:jc w:val="both"/>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E8FB449" w14:textId="77777777" w:rsidR="00DD0C17" w:rsidRPr="00722885" w:rsidRDefault="00DD0C17" w:rsidP="00722885">
            <w:pPr>
              <w:pStyle w:val="591"/>
              <w:shd w:val="clear" w:color="auto" w:fill="auto"/>
              <w:spacing w:line="240" w:lineRule="auto"/>
              <w:jc w:val="both"/>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A0427C5"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5C765C79"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32</w:t>
            </w:r>
          </w:p>
        </w:tc>
      </w:tr>
      <w:tr w:rsidR="009B487A" w:rsidRPr="00722885" w14:paraId="79154DC2" w14:textId="77777777" w:rsidTr="00627011">
        <w:trPr>
          <w:trHeight w:val="48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3012718E"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10</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4E9B2356"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lang w:val="ru-RU"/>
              </w:rPr>
            </w:pPr>
            <w:r w:rsidRPr="00722885">
              <w:rPr>
                <w:rFonts w:ascii="Times New Roman" w:hAnsi="Times New Roman" w:cs="Times New Roman"/>
                <w:color w:val="000000" w:themeColor="text1"/>
                <w:sz w:val="16"/>
                <w:szCs w:val="16"/>
                <w:lang w:val="ru-RU"/>
              </w:rPr>
              <w:t>Бронесиденья пилотов, штурмана, радиста, техника к переднего стрелка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30A77069"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29041A4" w14:textId="77777777" w:rsidR="00DD0C17" w:rsidRPr="00722885" w:rsidRDefault="00DD0C17" w:rsidP="00722885">
            <w:pPr>
              <w:pStyle w:val="652"/>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332EDB9"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5</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3D68E14"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32</w:t>
            </w:r>
          </w:p>
        </w:tc>
      </w:tr>
      <w:tr w:rsidR="009B487A" w:rsidRPr="00722885" w14:paraId="14A80B7E" w14:textId="77777777" w:rsidTr="00627011">
        <w:trPr>
          <w:trHeight w:val="13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41550A08" w14:textId="77777777" w:rsidR="00DD0C17" w:rsidRPr="00722885" w:rsidRDefault="00DD0C17" w:rsidP="00722885">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и</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766EA6CD"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Надголовники пилотов</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E01F4C5" w14:textId="77777777" w:rsidR="00DD0C17" w:rsidRPr="00722885" w:rsidRDefault="00DD0C17" w:rsidP="00722885">
            <w:pPr>
              <w:pStyle w:val="580"/>
              <w:shd w:val="clear" w:color="auto" w:fill="auto"/>
              <w:spacing w:line="240" w:lineRule="auto"/>
              <w:jc w:val="both"/>
              <w:rPr>
                <w:rFonts w:ascii="Times New Roman" w:hAnsi="Times New Roman" w:cs="Times New Roman"/>
                <w:i w:val="0"/>
                <w:color w:val="000000" w:themeColor="text1"/>
                <w:sz w:val="16"/>
                <w:szCs w:val="16"/>
              </w:rPr>
            </w:pPr>
            <w:r w:rsidRPr="00722885">
              <w:rPr>
                <w:rFonts w:ascii="Times New Roman" w:hAnsi="Times New Roman" w:cs="Times New Roman"/>
                <w:i w:val="0"/>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C17EB6D" w14:textId="77777777" w:rsidR="00DD0C17" w:rsidRPr="00722885" w:rsidRDefault="00DD0C17" w:rsidP="00722885">
            <w:pPr>
              <w:pStyle w:val="591"/>
              <w:shd w:val="clear" w:color="auto" w:fill="auto"/>
              <w:spacing w:line="240" w:lineRule="auto"/>
              <w:jc w:val="both"/>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3CAFA7D7"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6</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39C6A4AB"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6</w:t>
            </w:r>
          </w:p>
        </w:tc>
      </w:tr>
      <w:tr w:rsidR="009B487A" w:rsidRPr="00722885" w14:paraId="1C02F220" w14:textId="77777777" w:rsidTr="00627011">
        <w:trPr>
          <w:trHeight w:val="134"/>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0DCD8C4F"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218C7AA2"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Всею брони</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5495AB7"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A29EB5C"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188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536E9D7"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6B5802C" w14:textId="77777777" w:rsidR="00DD0C17" w:rsidRPr="00722885"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400</w:t>
            </w:r>
          </w:p>
        </w:tc>
      </w:tr>
    </w:tbl>
    <w:p w14:paraId="380F7CCF" w14:textId="77777777" w:rsidR="00DD0C17" w:rsidRPr="00722885" w:rsidRDefault="00DD0C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(15776).</w:t>
      </w:r>
    </w:p>
    <w:p w14:paraId="4533DA1B" w14:textId="77777777" w:rsidR="00DD0C17" w:rsidRPr="00722885" w:rsidRDefault="00DD0C17" w:rsidP="00722885">
      <w:pPr>
        <w:pStyle w:val="aff9"/>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Схема бронирования пикирующего бомбардировщика Пе-2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008"/>
        <w:gridCol w:w="312"/>
        <w:gridCol w:w="317"/>
        <w:gridCol w:w="317"/>
        <w:gridCol w:w="322"/>
      </w:tblGrid>
      <w:tr w:rsidR="009B487A" w:rsidRPr="00722885" w14:paraId="0C09C999" w14:textId="77777777" w:rsidTr="00627011">
        <w:trPr>
          <w:trHeight w:val="134"/>
        </w:trPr>
        <w:tc>
          <w:tcPr>
            <w:tcW w:w="254" w:type="dxa"/>
            <w:vMerge w:val="restart"/>
            <w:tcBorders>
              <w:top w:val="single" w:sz="4" w:space="0" w:color="auto"/>
              <w:left w:val="single" w:sz="4" w:space="0" w:color="auto"/>
              <w:right w:val="single" w:sz="4" w:space="0" w:color="auto"/>
            </w:tcBorders>
            <w:shd w:val="clear" w:color="auto" w:fill="FFFFFF"/>
          </w:tcPr>
          <w:p w14:paraId="71430D8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 п/п</w:t>
            </w:r>
          </w:p>
        </w:tc>
        <w:tc>
          <w:tcPr>
            <w:tcW w:w="1008" w:type="dxa"/>
            <w:vMerge w:val="restart"/>
            <w:tcBorders>
              <w:top w:val="single" w:sz="4" w:space="0" w:color="auto"/>
              <w:left w:val="single" w:sz="4" w:space="0" w:color="auto"/>
              <w:right w:val="single" w:sz="4" w:space="0" w:color="auto"/>
            </w:tcBorders>
            <w:shd w:val="clear" w:color="auto" w:fill="FFFFFF"/>
          </w:tcPr>
          <w:p w14:paraId="346AFE7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Наименование бронедеталей</w:t>
            </w:r>
          </w:p>
        </w:tc>
        <w:tc>
          <w:tcPr>
            <w:tcW w:w="629" w:type="dxa"/>
            <w:gridSpan w:val="2"/>
            <w:tcBorders>
              <w:top w:val="single" w:sz="4" w:space="0" w:color="auto"/>
              <w:left w:val="single" w:sz="4" w:space="0" w:color="auto"/>
              <w:bottom w:val="single" w:sz="4" w:space="0" w:color="auto"/>
              <w:right w:val="single" w:sz="4" w:space="0" w:color="auto"/>
            </w:tcBorders>
            <w:shd w:val="clear" w:color="auto" w:fill="FFFFFF"/>
          </w:tcPr>
          <w:p w14:paraId="07AFD50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Существует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F8CF65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Треб</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DD33E4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/ется</w:t>
            </w:r>
          </w:p>
        </w:tc>
      </w:tr>
      <w:tr w:rsidR="009B487A" w:rsidRPr="00722885" w14:paraId="1036CDC7" w14:textId="77777777" w:rsidTr="00627011">
        <w:trPr>
          <w:trHeight w:val="245"/>
        </w:trPr>
        <w:tc>
          <w:tcPr>
            <w:tcW w:w="254" w:type="dxa"/>
            <w:vMerge/>
            <w:tcBorders>
              <w:left w:val="single" w:sz="4" w:space="0" w:color="auto"/>
              <w:bottom w:val="single" w:sz="4" w:space="0" w:color="auto"/>
              <w:right w:val="single" w:sz="4" w:space="0" w:color="auto"/>
            </w:tcBorders>
            <w:shd w:val="clear" w:color="auto" w:fill="FFFFFF"/>
          </w:tcPr>
          <w:p w14:paraId="6E8799D8"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008" w:type="dxa"/>
            <w:vMerge/>
            <w:tcBorders>
              <w:left w:val="single" w:sz="4" w:space="0" w:color="auto"/>
              <w:bottom w:val="single" w:sz="4" w:space="0" w:color="auto"/>
              <w:right w:val="single" w:sz="4" w:space="0" w:color="auto"/>
            </w:tcBorders>
            <w:shd w:val="clear" w:color="auto" w:fill="FFFFFF"/>
          </w:tcPr>
          <w:p w14:paraId="6325D433"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D4A958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Тот:., 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15800B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Ведкг</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582032B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456B6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Вес,кг</w:t>
            </w:r>
          </w:p>
        </w:tc>
      </w:tr>
      <w:tr w:rsidR="009B487A" w:rsidRPr="00722885" w14:paraId="4D5D4C3B"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180FFF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6CE89B2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Бромесиденье</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295A4C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1E020C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E55E64D" w14:textId="77777777" w:rsidR="00DD0C17" w:rsidRPr="00722885" w:rsidRDefault="00DD0C17" w:rsidP="00722885">
            <w:pPr>
              <w:pStyle w:val="661"/>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07115C7" w14:textId="77777777" w:rsidR="00DD0C17" w:rsidRPr="00722885" w:rsidRDefault="00DD0C17" w:rsidP="00722885">
            <w:pPr>
              <w:pStyle w:val="661"/>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w:t>
            </w:r>
          </w:p>
        </w:tc>
      </w:tr>
      <w:tr w:rsidR="009B487A" w:rsidRPr="00722885" w14:paraId="63BE2D63"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0F42649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01193FE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Бронеспинка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0B48AD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13,5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93EDD0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37</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BB23E1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003FAE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41,5</w:t>
            </w:r>
          </w:p>
        </w:tc>
      </w:tr>
      <w:tr w:rsidR="009B487A" w:rsidRPr="00722885" w14:paraId="2454F4DD"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11E0205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5E452FE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Подлокотник</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F4B6E4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13,5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BD2B74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7,5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DCE8AB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7AD745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8,3</w:t>
            </w:r>
          </w:p>
        </w:tc>
      </w:tr>
      <w:tr w:rsidR="009B487A" w:rsidRPr="00722885" w14:paraId="560C3291"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A42922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16EDFA8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Бронеплита штурмана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2AFBE8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B2D9D41"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32,6</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FF6C0B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13</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84D3C3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50</w:t>
            </w:r>
          </w:p>
        </w:tc>
      </w:tr>
      <w:tr w:rsidR="009B487A" w:rsidRPr="00722885" w14:paraId="3A2833C7"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CFCD90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7B1F31D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Люковая плита радиста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76C803C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246FC0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8,2</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83FA50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CAB13E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14,5</w:t>
            </w:r>
          </w:p>
        </w:tc>
      </w:tr>
      <w:tr w:rsidR="009B487A" w:rsidRPr="00722885" w14:paraId="4F811593"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3573A7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346B245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Верхняя плита радиста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0D5E55D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7107F2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39,5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EEA2D9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8E4E06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46,8</w:t>
            </w:r>
          </w:p>
        </w:tc>
      </w:tr>
      <w:tr w:rsidR="009B487A" w:rsidRPr="00722885" w14:paraId="2C1E0E63" w14:textId="77777777" w:rsidTr="00627011">
        <w:trPr>
          <w:trHeight w:val="24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625798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7</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06B4E53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Нижняя плита радиста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64C99A3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52EDF4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238FE8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F88BF4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6,3</w:t>
            </w:r>
          </w:p>
        </w:tc>
      </w:tr>
      <w:tr w:rsidR="009B487A" w:rsidRPr="00722885" w14:paraId="04F940DB"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181AA36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50FBDCD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Заголовник</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695515C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0323B8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7,7</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223878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13</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81266A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12,6</w:t>
            </w:r>
          </w:p>
        </w:tc>
      </w:tr>
      <w:tr w:rsidR="009B487A" w:rsidRPr="00722885" w14:paraId="6341368F"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939D4C4"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6AA460C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Всего брони</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F21C2FB"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D41E75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144</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4557589"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D8ADCB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180</w:t>
            </w:r>
          </w:p>
        </w:tc>
      </w:tr>
    </w:tbl>
    <w:p w14:paraId="57D6F7FF" w14:textId="77777777" w:rsidR="00DD0C17" w:rsidRPr="00722885" w:rsidRDefault="00DD0C17" w:rsidP="00722885">
      <w:pPr>
        <w:pStyle w:val="28"/>
        <w:shd w:val="clear" w:color="auto" w:fill="auto"/>
        <w:spacing w:before="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(15776).</w:t>
      </w:r>
    </w:p>
    <w:p w14:paraId="6CF4C8A0" w14:textId="77777777" w:rsidR="00DD0C17" w:rsidRPr="00722885" w:rsidRDefault="00DD0C17" w:rsidP="00722885">
      <w:pPr>
        <w:pStyle w:val="aff9"/>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Схема бронирования бомбардировщика Ту-2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9"/>
        <w:gridCol w:w="1378"/>
        <w:gridCol w:w="317"/>
        <w:gridCol w:w="312"/>
        <w:gridCol w:w="317"/>
        <w:gridCol w:w="322"/>
      </w:tblGrid>
      <w:tr w:rsidR="009B487A" w:rsidRPr="00722885" w14:paraId="3AE85512" w14:textId="77777777" w:rsidTr="00627011">
        <w:trPr>
          <w:trHeight w:val="130"/>
        </w:trPr>
        <w:tc>
          <w:tcPr>
            <w:tcW w:w="259" w:type="dxa"/>
            <w:vMerge w:val="restart"/>
            <w:tcBorders>
              <w:top w:val="single" w:sz="4" w:space="0" w:color="auto"/>
              <w:left w:val="single" w:sz="4" w:space="0" w:color="auto"/>
              <w:right w:val="single" w:sz="4" w:space="0" w:color="auto"/>
            </w:tcBorders>
            <w:shd w:val="clear" w:color="auto" w:fill="FFFFFF"/>
          </w:tcPr>
          <w:p w14:paraId="05C19DE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 п/п</w:t>
            </w:r>
          </w:p>
        </w:tc>
        <w:tc>
          <w:tcPr>
            <w:tcW w:w="1378" w:type="dxa"/>
            <w:tcBorders>
              <w:top w:val="single" w:sz="4" w:space="0" w:color="auto"/>
              <w:left w:val="single" w:sz="4" w:space="0" w:color="auto"/>
              <w:right w:val="single" w:sz="4" w:space="0" w:color="auto"/>
            </w:tcBorders>
            <w:shd w:val="clear" w:color="auto" w:fill="FFFFFF"/>
          </w:tcPr>
          <w:p w14:paraId="6FD3A9D1"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629" w:type="dxa"/>
            <w:gridSpan w:val="2"/>
            <w:tcBorders>
              <w:top w:val="single" w:sz="4" w:space="0" w:color="auto"/>
              <w:left w:val="single" w:sz="4" w:space="0" w:color="auto"/>
              <w:bottom w:val="single" w:sz="4" w:space="0" w:color="auto"/>
              <w:right w:val="single" w:sz="4" w:space="0" w:color="auto"/>
            </w:tcBorders>
            <w:shd w:val="clear" w:color="auto" w:fill="FFFFFF"/>
          </w:tcPr>
          <w:p w14:paraId="26269D4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Существует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26C8B6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Треб</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92DBE4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/ется</w:t>
            </w:r>
          </w:p>
        </w:tc>
      </w:tr>
      <w:tr w:rsidR="009B487A" w:rsidRPr="00722885" w14:paraId="00A8F1D2" w14:textId="77777777" w:rsidTr="00627011">
        <w:trPr>
          <w:trHeight w:val="230"/>
        </w:trPr>
        <w:tc>
          <w:tcPr>
            <w:tcW w:w="259" w:type="dxa"/>
            <w:vMerge/>
            <w:tcBorders>
              <w:left w:val="single" w:sz="4" w:space="0" w:color="auto"/>
              <w:bottom w:val="single" w:sz="4" w:space="0" w:color="auto"/>
              <w:right w:val="single" w:sz="4" w:space="0" w:color="auto"/>
            </w:tcBorders>
            <w:shd w:val="clear" w:color="auto" w:fill="FFFFFF"/>
          </w:tcPr>
          <w:p w14:paraId="7E1479BD"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378" w:type="dxa"/>
            <w:tcBorders>
              <w:left w:val="single" w:sz="4" w:space="0" w:color="auto"/>
              <w:bottom w:val="single" w:sz="4" w:space="0" w:color="auto"/>
              <w:right w:val="single" w:sz="4" w:space="0" w:color="auto"/>
            </w:tcBorders>
            <w:shd w:val="clear" w:color="auto" w:fill="FFFFFF"/>
          </w:tcPr>
          <w:p w14:paraId="728F3E9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Наименование бронедеталей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C604B11"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в мм</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52CB7E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 в кг</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F97BB9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Толщ, в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B052D5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Вес в кг</w:t>
            </w:r>
          </w:p>
        </w:tc>
      </w:tr>
      <w:tr w:rsidR="009B487A" w:rsidRPr="00722885" w14:paraId="16E1CF6A"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6C51B3E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156F314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Бронеспинка летчика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5C27B7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7108263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60,4</w:t>
            </w:r>
          </w:p>
        </w:tc>
        <w:tc>
          <w:tcPr>
            <w:tcW w:w="317" w:type="dxa"/>
            <w:tcBorders>
              <w:top w:val="single" w:sz="4" w:space="0" w:color="auto"/>
              <w:left w:val="single" w:sz="4" w:space="0" w:color="auto"/>
              <w:right w:val="single" w:sz="4" w:space="0" w:color="auto"/>
            </w:tcBorders>
            <w:shd w:val="clear" w:color="auto" w:fill="FFFFFF"/>
          </w:tcPr>
          <w:p w14:paraId="60AE70C8"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right w:val="single" w:sz="4" w:space="0" w:color="auto"/>
            </w:tcBorders>
            <w:shd w:val="clear" w:color="auto" w:fill="FFFFFF"/>
          </w:tcPr>
          <w:p w14:paraId="1F29850C"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r>
      <w:tr w:rsidR="009B487A" w:rsidRPr="00722885" w14:paraId="1600322A"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6FDED5D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52BFA6F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Бронеплита летчика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D758C1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18BAB2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w:t>
            </w:r>
          </w:p>
        </w:tc>
        <w:tc>
          <w:tcPr>
            <w:tcW w:w="317" w:type="dxa"/>
            <w:tcBorders>
              <w:left w:val="single" w:sz="4" w:space="0" w:color="auto"/>
              <w:right w:val="single" w:sz="4" w:space="0" w:color="auto"/>
            </w:tcBorders>
            <w:shd w:val="clear" w:color="auto" w:fill="FFFFFF"/>
          </w:tcPr>
          <w:p w14:paraId="26314FAF"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4CCAAA9D"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r>
      <w:tr w:rsidR="009B487A" w:rsidRPr="00722885" w14:paraId="5333F618"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09122A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3</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7AEBB071"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Бронеплита штурмана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EDCD35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8A486D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13,9</w:t>
            </w:r>
          </w:p>
        </w:tc>
        <w:tc>
          <w:tcPr>
            <w:tcW w:w="317" w:type="dxa"/>
            <w:tcBorders>
              <w:left w:val="single" w:sz="4" w:space="0" w:color="auto"/>
              <w:right w:val="single" w:sz="4" w:space="0" w:color="auto"/>
            </w:tcBorders>
            <w:shd w:val="clear" w:color="auto" w:fill="FFFFFF"/>
          </w:tcPr>
          <w:p w14:paraId="1AD60F4C"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21158FA2"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r>
      <w:tr w:rsidR="009B487A" w:rsidRPr="00722885" w14:paraId="1F99994D"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B74D20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4</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1BAB4D09"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Бронеплита штурмана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5B725F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2E384A73"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11,9</w:t>
            </w:r>
          </w:p>
        </w:tc>
        <w:tc>
          <w:tcPr>
            <w:tcW w:w="317" w:type="dxa"/>
            <w:tcBorders>
              <w:left w:val="single" w:sz="4" w:space="0" w:color="auto"/>
              <w:right w:val="single" w:sz="4" w:space="0" w:color="auto"/>
            </w:tcBorders>
            <w:shd w:val="clear" w:color="auto" w:fill="FFFFFF"/>
          </w:tcPr>
          <w:p w14:paraId="408CEFD3"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79D94784"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r>
      <w:tr w:rsidR="009B487A" w:rsidRPr="00722885" w14:paraId="5B590BBD" w14:textId="77777777" w:rsidTr="00627011">
        <w:trPr>
          <w:trHeight w:val="2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629AECA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5</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6C766A2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Бронеплита верхнего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5D475E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2BBD6E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18,8</w:t>
            </w:r>
          </w:p>
        </w:tc>
        <w:tc>
          <w:tcPr>
            <w:tcW w:w="317" w:type="dxa"/>
            <w:tcBorders>
              <w:left w:val="single" w:sz="4" w:space="0" w:color="auto"/>
              <w:right w:val="single" w:sz="4" w:space="0" w:color="auto"/>
            </w:tcBorders>
            <w:shd w:val="clear" w:color="auto" w:fill="FFFFFF"/>
          </w:tcPr>
          <w:p w14:paraId="4B2FB69A" w14:textId="77777777" w:rsidR="00DD0C17" w:rsidRPr="00722885" w:rsidRDefault="00DD0C17" w:rsidP="00722885">
            <w:pPr>
              <w:pStyle w:val="681"/>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У</w:t>
            </w:r>
          </w:p>
        </w:tc>
        <w:tc>
          <w:tcPr>
            <w:tcW w:w="322" w:type="dxa"/>
            <w:tcBorders>
              <w:left w:val="single" w:sz="4" w:space="0" w:color="auto"/>
              <w:right w:val="single" w:sz="4" w:space="0" w:color="auto"/>
            </w:tcBorders>
            <w:shd w:val="clear" w:color="auto" w:fill="FFFFFF"/>
          </w:tcPr>
          <w:p w14:paraId="007D209E" w14:textId="77777777" w:rsidR="00DD0C17" w:rsidRPr="00722885" w:rsidRDefault="00DD0C17" w:rsidP="00722885">
            <w:pPr>
              <w:pStyle w:val="681"/>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w:t>
            </w:r>
          </w:p>
        </w:tc>
      </w:tr>
      <w:tr w:rsidR="009B487A" w:rsidRPr="00722885" w14:paraId="5D057C90"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224304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415DA25C"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 же</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02A799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887825A"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26,1</w:t>
            </w:r>
          </w:p>
        </w:tc>
        <w:tc>
          <w:tcPr>
            <w:tcW w:w="317" w:type="dxa"/>
            <w:tcBorders>
              <w:left w:val="single" w:sz="4" w:space="0" w:color="auto"/>
              <w:right w:val="single" w:sz="4" w:space="0" w:color="auto"/>
            </w:tcBorders>
            <w:shd w:val="clear" w:color="auto" w:fill="FFFFFF"/>
          </w:tcPr>
          <w:p w14:paraId="41A0912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w:t>
            </w:r>
          </w:p>
        </w:tc>
        <w:tc>
          <w:tcPr>
            <w:tcW w:w="322" w:type="dxa"/>
            <w:tcBorders>
              <w:left w:val="single" w:sz="4" w:space="0" w:color="auto"/>
              <w:right w:val="single" w:sz="4" w:space="0" w:color="auto"/>
            </w:tcBorders>
            <w:shd w:val="clear" w:color="auto" w:fill="FFFFFF"/>
          </w:tcPr>
          <w:p w14:paraId="47ECA868"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r>
      <w:tr w:rsidR="009B487A" w:rsidRPr="00722885" w14:paraId="4BD7A360" w14:textId="77777777" w:rsidTr="00627011">
        <w:trPr>
          <w:trHeight w:val="2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368897E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7</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3138288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Бронеплита нижнего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52767716"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6</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25C376DD"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18,8</w:t>
            </w:r>
          </w:p>
        </w:tc>
        <w:tc>
          <w:tcPr>
            <w:tcW w:w="317" w:type="dxa"/>
            <w:tcBorders>
              <w:left w:val="single" w:sz="4" w:space="0" w:color="auto"/>
              <w:right w:val="single" w:sz="4" w:space="0" w:color="auto"/>
            </w:tcBorders>
            <w:shd w:val="clear" w:color="auto" w:fill="FFFFFF"/>
          </w:tcPr>
          <w:p w14:paraId="56B3B707"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о и</w:t>
            </w:r>
          </w:p>
        </w:tc>
        <w:tc>
          <w:tcPr>
            <w:tcW w:w="322" w:type="dxa"/>
            <w:tcBorders>
              <w:left w:val="single" w:sz="4" w:space="0" w:color="auto"/>
              <w:right w:val="single" w:sz="4" w:space="0" w:color="auto"/>
            </w:tcBorders>
            <w:shd w:val="clear" w:color="auto" w:fill="FFFFFF"/>
          </w:tcPr>
          <w:p w14:paraId="478170F8"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к</w:t>
            </w:r>
          </w:p>
        </w:tc>
      </w:tr>
      <w:tr w:rsidR="009B487A" w:rsidRPr="00722885" w14:paraId="71B01CBB"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AA3661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8</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598FDCB0"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 же</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F123A74"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7959714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10,1</w:t>
            </w:r>
          </w:p>
        </w:tc>
        <w:tc>
          <w:tcPr>
            <w:tcW w:w="317" w:type="dxa"/>
            <w:tcBorders>
              <w:left w:val="single" w:sz="4" w:space="0" w:color="auto"/>
              <w:right w:val="single" w:sz="4" w:space="0" w:color="auto"/>
            </w:tcBorders>
            <w:shd w:val="clear" w:color="auto" w:fill="FFFFFF"/>
          </w:tcPr>
          <w:p w14:paraId="775B4B17"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045CA845"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r>
      <w:tr w:rsidR="009B487A" w:rsidRPr="00722885" w14:paraId="7CBAFB29"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C4B1E9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9</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38E0FC4B"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То же</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A3B8BA2"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12</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9689D25"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26,1</w:t>
            </w:r>
          </w:p>
        </w:tc>
        <w:tc>
          <w:tcPr>
            <w:tcW w:w="317" w:type="dxa"/>
            <w:tcBorders>
              <w:left w:val="single" w:sz="4" w:space="0" w:color="auto"/>
              <w:bottom w:val="single" w:sz="4" w:space="0" w:color="auto"/>
              <w:right w:val="single" w:sz="4" w:space="0" w:color="auto"/>
            </w:tcBorders>
            <w:shd w:val="clear" w:color="auto" w:fill="FFFFFF"/>
          </w:tcPr>
          <w:p w14:paraId="4D615F5F"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left w:val="single" w:sz="4" w:space="0" w:color="auto"/>
              <w:bottom w:val="single" w:sz="4" w:space="0" w:color="auto"/>
              <w:right w:val="single" w:sz="4" w:space="0" w:color="auto"/>
            </w:tcBorders>
            <w:shd w:val="clear" w:color="auto" w:fill="FFFFFF"/>
          </w:tcPr>
          <w:p w14:paraId="2B948B91"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r>
      <w:tr w:rsidR="009B487A" w:rsidRPr="00722885" w14:paraId="3740B66E" w14:textId="77777777" w:rsidTr="00627011">
        <w:trPr>
          <w:trHeight w:val="134"/>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C424AA8"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0636E521"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Всего брони</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300CB27"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07E586E"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184,3</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A1355D3" w14:textId="77777777" w:rsidR="00DD0C17" w:rsidRPr="00722885"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2D02C4F" w14:textId="77777777" w:rsidR="00DD0C17" w:rsidRPr="00722885" w:rsidRDefault="00DD0C17" w:rsidP="00722885">
            <w:pPr>
              <w:pStyle w:val="121"/>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184,3</w:t>
            </w:r>
          </w:p>
        </w:tc>
      </w:tr>
    </w:tbl>
    <w:p w14:paraId="48A36ACF" w14:textId="77777777" w:rsidR="00DD0C17" w:rsidRPr="00722885" w:rsidRDefault="00DD0C17" w:rsidP="00722885">
      <w:pPr>
        <w:pStyle w:val="aff9"/>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(15776).</w:t>
      </w:r>
    </w:p>
    <w:p w14:paraId="404560AA"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Сравнение схем бронирования советских и зарубежных самолетов, проведенное в НИИ ВВС по заданию комиссии, оказалось не в пользу отечественных истребителей.</w:t>
      </w:r>
    </w:p>
    <w:p w14:paraId="409A2EF4"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Действительно, если удельный вес брони в полетном весе истребителей ВВС КА (Як-1, Як-7Б, ЛаГГ-3) находился в пределах 1,04- 1,15%, то удельный вес брони английского «Харрикейна» II составлял 1,27-2,87%, аме</w:t>
      </w:r>
      <w:r w:rsidRPr="00722885">
        <w:rPr>
          <w:rFonts w:ascii="Times New Roman" w:cs="Times New Roman"/>
          <w:color w:val="000000" w:themeColor="text1"/>
          <w:spacing w:val="0"/>
          <w:sz w:val="16"/>
          <w:szCs w:val="16"/>
        </w:rPr>
        <w:softHyphen/>
        <w:t>риканских Р-39, Р-40 и Р-51 - 1,8-3,54% и немецких машин - 1,3-1,53%. Двухмоторный дальний истребитель сопровождения Пе-Збис имел удельный вес брони 1,85%, а его немец</w:t>
      </w:r>
      <w:r w:rsidRPr="00722885">
        <w:rPr>
          <w:rFonts w:ascii="Times New Roman" w:cs="Times New Roman"/>
          <w:color w:val="000000" w:themeColor="text1"/>
          <w:spacing w:val="0"/>
          <w:sz w:val="16"/>
          <w:szCs w:val="16"/>
        </w:rPr>
        <w:softHyphen/>
        <w:t>кий аналог ВТ1 ЮС - 2,86%.</w:t>
      </w:r>
    </w:p>
    <w:p w14:paraId="76080E45" w14:textId="77777777" w:rsidR="00DD0C17" w:rsidRPr="00722885" w:rsidRDefault="00DD0C17" w:rsidP="00722885">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722885">
        <w:rPr>
          <w:rFonts w:ascii="Times New Roman" w:cs="Times New Roman"/>
          <w:color w:val="000000" w:themeColor="text1"/>
          <w:spacing w:val="0"/>
          <w:sz w:val="16"/>
          <w:szCs w:val="16"/>
        </w:rPr>
        <w:t>Бомбардировочные самолеты ВВС КА в части бронирования были, что называется, на уровне: они ни в чем не уступали американским машинам и несколько превосходили немецкие самолеты. Так, удельный вес брони Пе-2 и Ту-2 достигал 1,7-1,8%, тогда как у американско</w:t>
      </w:r>
      <w:r w:rsidRPr="00722885">
        <w:rPr>
          <w:rFonts w:ascii="Times New Roman" w:cs="Times New Roman"/>
          <w:color w:val="000000" w:themeColor="text1"/>
          <w:spacing w:val="0"/>
          <w:sz w:val="16"/>
          <w:szCs w:val="16"/>
        </w:rPr>
        <w:softHyphen/>
        <w:t>го бомбардировщика «Бостон» этот показа</w:t>
      </w:r>
      <w:r w:rsidRPr="00722885">
        <w:rPr>
          <w:rFonts w:ascii="Times New Roman" w:cs="Times New Roman"/>
          <w:color w:val="000000" w:themeColor="text1"/>
          <w:spacing w:val="0"/>
          <w:sz w:val="16"/>
          <w:szCs w:val="16"/>
        </w:rPr>
        <w:softHyphen/>
        <w:t>тель равнялся 1,95%, а у немецких самолетов 1М8А, йо215 и Не111Н - 1,1 -1,5%. При этом в отчете НИИ ВВС отмечалась</w:t>
      </w:r>
      <w:r w:rsidRPr="00722885">
        <w:rPr>
          <w:rStyle w:val="aff6"/>
          <w:rFonts w:ascii="Times New Roman" w:eastAsia="Arial Narrow" w:hAnsi="Times New Roman" w:cs="Times New Roman"/>
          <w:i w:val="0"/>
          <w:color w:val="000000" w:themeColor="text1"/>
          <w:spacing w:val="0"/>
        </w:rPr>
        <w:t xml:space="preserve"> «совершенно неу</w:t>
      </w:r>
      <w:r w:rsidRPr="00722885">
        <w:rPr>
          <w:rStyle w:val="aff6"/>
          <w:rFonts w:ascii="Times New Roman" w:eastAsia="Arial Narrow" w:hAnsi="Times New Roman" w:cs="Times New Roman"/>
          <w:i w:val="0"/>
          <w:color w:val="000000" w:themeColor="text1"/>
          <w:spacing w:val="0"/>
        </w:rPr>
        <w:softHyphen/>
        <w:t>довлетворительная броневая защита экипажа на самолете Бостон-3».</w:t>
      </w:r>
    </w:p>
    <w:p w14:paraId="2E185FC8"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Основные изменения в схемах бронирова</w:t>
      </w:r>
      <w:r w:rsidRPr="00722885">
        <w:rPr>
          <w:rFonts w:ascii="Times New Roman" w:cs="Times New Roman"/>
          <w:color w:val="000000" w:themeColor="text1"/>
          <w:spacing w:val="0"/>
          <w:sz w:val="16"/>
          <w:szCs w:val="16"/>
        </w:rPr>
        <w:softHyphen/>
        <w:t>ния серийных истребителей ВВС КА, представ</w:t>
      </w:r>
      <w:r w:rsidRPr="00722885">
        <w:rPr>
          <w:rFonts w:ascii="Times New Roman" w:cs="Times New Roman"/>
          <w:color w:val="000000" w:themeColor="text1"/>
          <w:spacing w:val="0"/>
          <w:sz w:val="16"/>
          <w:szCs w:val="16"/>
        </w:rPr>
        <w:softHyphen/>
        <w:t>ленных НИИ ВВС КА, сводились к обязательной установке на всех Як-1, Як-7Б и ЛаГГ-3 15-мм бронеспинки, 10-мм надголовника и 8-мм под</w:t>
      </w:r>
      <w:r w:rsidRPr="00722885">
        <w:rPr>
          <w:rFonts w:ascii="Times New Roman" w:cs="Times New Roman"/>
          <w:color w:val="000000" w:themeColor="text1"/>
          <w:spacing w:val="0"/>
          <w:sz w:val="16"/>
          <w:szCs w:val="16"/>
        </w:rPr>
        <w:softHyphen/>
        <w:t>локотника под левую руку летчика, а также бро</w:t>
      </w:r>
      <w:r w:rsidRPr="00722885">
        <w:rPr>
          <w:rFonts w:ascii="Times New Roman" w:cs="Times New Roman"/>
          <w:color w:val="000000" w:themeColor="text1"/>
          <w:spacing w:val="0"/>
          <w:sz w:val="16"/>
          <w:szCs w:val="16"/>
        </w:rPr>
        <w:softHyphen/>
        <w:t>нестекла толщиной 64 мм (только на Як-7Б). Вес брони возрастал до 76-79 кг вместо преж</w:t>
      </w:r>
      <w:r w:rsidRPr="00722885">
        <w:rPr>
          <w:rFonts w:ascii="Times New Roman" w:cs="Times New Roman"/>
          <w:color w:val="000000" w:themeColor="text1"/>
          <w:spacing w:val="0"/>
          <w:sz w:val="16"/>
          <w:szCs w:val="16"/>
        </w:rPr>
        <w:softHyphen/>
        <w:t>них 30-38</w:t>
      </w:r>
      <w:r w:rsidRPr="00722885">
        <w:rPr>
          <w:rStyle w:val="aff6"/>
          <w:rFonts w:ascii="Times New Roman" w:eastAsia="Arial Narrow" w:hAnsi="Times New Roman" w:cs="Times New Roman"/>
          <w:i w:val="0"/>
          <w:color w:val="000000" w:themeColor="text1"/>
          <w:spacing w:val="0"/>
        </w:rPr>
        <w:t xml:space="preserve"> кг.</w:t>
      </w:r>
    </w:p>
    <w:p w14:paraId="781F5917"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lastRenderedPageBreak/>
        <w:t>Бронирование штурмовика Ил-2 усили</w:t>
      </w:r>
      <w:r w:rsidRPr="00722885">
        <w:rPr>
          <w:rFonts w:ascii="Times New Roman" w:cs="Times New Roman"/>
          <w:color w:val="000000" w:themeColor="text1"/>
          <w:spacing w:val="0"/>
          <w:sz w:val="16"/>
          <w:szCs w:val="16"/>
        </w:rPr>
        <w:softHyphen/>
        <w:t>валось путем установки задней бронестен- ки толщиной 15 мм вместо 12 мм, что давало прирост веса брони в 26 кг (с 930 до 956 кг). Здесь следует учитывать, что в это время уси</w:t>
      </w:r>
      <w:r w:rsidRPr="00722885">
        <w:rPr>
          <w:rFonts w:ascii="Times New Roman" w:cs="Times New Roman"/>
          <w:color w:val="000000" w:themeColor="text1"/>
          <w:spacing w:val="0"/>
          <w:sz w:val="16"/>
          <w:szCs w:val="16"/>
        </w:rPr>
        <w:softHyphen/>
        <w:t>ленно обсуждался переход в серийном про</w:t>
      </w:r>
      <w:r w:rsidRPr="00722885">
        <w:rPr>
          <w:rFonts w:ascii="Times New Roman" w:cs="Times New Roman"/>
          <w:color w:val="000000" w:themeColor="text1"/>
          <w:spacing w:val="0"/>
          <w:sz w:val="16"/>
          <w:szCs w:val="16"/>
        </w:rPr>
        <w:softHyphen/>
        <w:t>изводстве к двухместному варианту Ил-2. При этом центровка самолета смещалась назад, и его пилотажные качества ухудшались. Поэтому при большем весе брони центровка смещалась назад до пределов, опасных для полетов.</w:t>
      </w:r>
    </w:p>
    <w:p w14:paraId="65A9B499"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На серийном Пе-2 предлагалось «изъять» бронесиденье и увеличить толщину броне</w:t>
      </w:r>
      <w:r w:rsidRPr="00722885">
        <w:rPr>
          <w:rFonts w:ascii="Times New Roman" w:cs="Times New Roman"/>
          <w:color w:val="000000" w:themeColor="text1"/>
          <w:spacing w:val="0"/>
          <w:sz w:val="16"/>
          <w:szCs w:val="16"/>
        </w:rPr>
        <w:softHyphen/>
        <w:t>спинки летчика и подлокотника до 15 мм (вме</w:t>
      </w:r>
      <w:r w:rsidRPr="00722885">
        <w:rPr>
          <w:rFonts w:ascii="Times New Roman" w:cs="Times New Roman"/>
          <w:color w:val="000000" w:themeColor="text1"/>
          <w:spacing w:val="0"/>
          <w:sz w:val="16"/>
          <w:szCs w:val="16"/>
        </w:rPr>
        <w:softHyphen/>
        <w:t>сто 13,5 мм), заголовника - до 13 мм (8,5 мм), бронеплиты штурмана - до 13 мм (8,5 мм), лю</w:t>
      </w:r>
      <w:r w:rsidRPr="00722885">
        <w:rPr>
          <w:rFonts w:ascii="Times New Roman" w:cs="Times New Roman"/>
          <w:color w:val="000000" w:themeColor="text1"/>
          <w:spacing w:val="0"/>
          <w:sz w:val="16"/>
          <w:szCs w:val="16"/>
        </w:rPr>
        <w:softHyphen/>
        <w:t>ковой плиты радиста - до 8 мм (4,5 мм), верх</w:t>
      </w:r>
      <w:r w:rsidRPr="00722885">
        <w:rPr>
          <w:rFonts w:ascii="Times New Roman" w:cs="Times New Roman"/>
          <w:color w:val="000000" w:themeColor="text1"/>
          <w:spacing w:val="0"/>
          <w:sz w:val="16"/>
          <w:szCs w:val="16"/>
        </w:rPr>
        <w:softHyphen/>
        <w:t>ней и нижней плит радиста - до 10 мм (8,5 мм). Общий прирост брони составил 36 кг (180 кг вместо 144 кг).</w:t>
      </w:r>
    </w:p>
    <w:p w14:paraId="3A824B7E"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Вес бронирования дальнего бомбардиров</w:t>
      </w:r>
      <w:r w:rsidRPr="00722885">
        <w:rPr>
          <w:rFonts w:ascii="Times New Roman" w:cs="Times New Roman"/>
          <w:color w:val="000000" w:themeColor="text1"/>
          <w:spacing w:val="0"/>
          <w:sz w:val="16"/>
          <w:szCs w:val="16"/>
        </w:rPr>
        <w:softHyphen/>
        <w:t>щика Ил-4 увеличивался почти вдвое - со 118 до 208 кг. Бронеспинка летчика имела толщи</w:t>
      </w:r>
      <w:r w:rsidRPr="00722885">
        <w:rPr>
          <w:rFonts w:ascii="Times New Roman" w:cs="Times New Roman"/>
          <w:color w:val="000000" w:themeColor="text1"/>
          <w:spacing w:val="0"/>
          <w:sz w:val="16"/>
          <w:szCs w:val="16"/>
        </w:rPr>
        <w:softHyphen/>
        <w:t>ну 15 мм (было 8,5 мм), а плиты над головой - 8 мм (5 мм). Толщины бронеплит, прикрываю</w:t>
      </w:r>
      <w:r w:rsidRPr="00722885">
        <w:rPr>
          <w:rFonts w:ascii="Times New Roman" w:cs="Times New Roman"/>
          <w:color w:val="000000" w:themeColor="text1"/>
          <w:spacing w:val="0"/>
          <w:sz w:val="16"/>
          <w:szCs w:val="16"/>
        </w:rPr>
        <w:softHyphen/>
        <w:t>щих стрелка со стороны задней полусферы, увеличивались до 10 мм (задняя стенка, от</w:t>
      </w:r>
      <w:r w:rsidRPr="00722885">
        <w:rPr>
          <w:rFonts w:ascii="Times New Roman" w:cs="Times New Roman"/>
          <w:color w:val="000000" w:themeColor="text1"/>
          <w:spacing w:val="0"/>
          <w:sz w:val="16"/>
          <w:szCs w:val="16"/>
        </w:rPr>
        <w:softHyphen/>
        <w:t>кидывающийся щиток) и 8 мм (левая и правая боковины задней стенки).</w:t>
      </w:r>
    </w:p>
    <w:p w14:paraId="3396E88E"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Более кардинально обошлись с тяжелым бомбардировщиком Пе-8. Вес бронедеталей в новой схеме бронирования достигал 400 кг вместо 188 кг. На самолет дополнительно уста</w:t>
      </w:r>
      <w:r w:rsidRPr="00722885">
        <w:rPr>
          <w:rFonts w:ascii="Times New Roman" w:cs="Times New Roman"/>
          <w:color w:val="000000" w:themeColor="text1"/>
          <w:spacing w:val="0"/>
          <w:sz w:val="16"/>
          <w:szCs w:val="16"/>
        </w:rPr>
        <w:softHyphen/>
        <w:t>навливались бронеплиты толщиной от 5 до 12 мм, защищающие переднего, центрального, хвостового и подшассийных стрелков. Устанав</w:t>
      </w:r>
      <w:r w:rsidRPr="00722885">
        <w:rPr>
          <w:rFonts w:ascii="Times New Roman" w:cs="Times New Roman"/>
          <w:color w:val="000000" w:themeColor="text1"/>
          <w:spacing w:val="0"/>
          <w:sz w:val="16"/>
          <w:szCs w:val="16"/>
        </w:rPr>
        <w:softHyphen/>
        <w:t>ливались 5-мм бронесиденья пилотов, штур</w:t>
      </w:r>
      <w:r w:rsidRPr="00722885">
        <w:rPr>
          <w:rFonts w:ascii="Times New Roman" w:cs="Times New Roman"/>
          <w:color w:val="000000" w:themeColor="text1"/>
          <w:spacing w:val="0"/>
          <w:sz w:val="16"/>
          <w:szCs w:val="16"/>
        </w:rPr>
        <w:softHyphen/>
        <w:t>мана, радиста, техника и переднего стрелка, 8-мм бронеспинка радиста и 6-мм надголовни- ки пилотов. Борттехник самолета прикрывался бронеплитками толщиной 8 и 6 мм.</w:t>
      </w:r>
    </w:p>
    <w:p w14:paraId="3F6469E0"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Схема бронирования фронтового бом</w:t>
      </w:r>
      <w:r w:rsidRPr="00722885">
        <w:rPr>
          <w:rFonts w:ascii="Times New Roman" w:cs="Times New Roman"/>
          <w:color w:val="000000" w:themeColor="text1"/>
          <w:spacing w:val="0"/>
          <w:sz w:val="16"/>
          <w:szCs w:val="16"/>
        </w:rPr>
        <w:softHyphen/>
        <w:t>бардировщика Ту-2, как соответствующая новым требованиям ВВС КА, оставалась без изменений.</w:t>
      </w:r>
    </w:p>
    <w:p w14:paraId="0A3E8B7F"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При рассмотрении улучшенных схем бро</w:t>
      </w:r>
      <w:r w:rsidRPr="00722885">
        <w:rPr>
          <w:rFonts w:ascii="Times New Roman" w:cs="Times New Roman"/>
          <w:color w:val="000000" w:themeColor="text1"/>
          <w:spacing w:val="0"/>
          <w:sz w:val="16"/>
          <w:szCs w:val="16"/>
        </w:rPr>
        <w:softHyphen/>
        <w:t>нирования серийных самолетов ВВС КА ко</w:t>
      </w:r>
      <w:r w:rsidRPr="00722885">
        <w:rPr>
          <w:rFonts w:ascii="Times New Roman" w:cs="Times New Roman"/>
          <w:color w:val="000000" w:themeColor="text1"/>
          <w:spacing w:val="0"/>
          <w:sz w:val="16"/>
          <w:szCs w:val="16"/>
        </w:rPr>
        <w:softHyphen/>
        <w:t>миссия внесла в них некоторые изменения. Так, верхнюю броню стрелка-радиста на Пе-2 рекомендовалось разместить таким образом, чтобы она не закрывала бортовые окна ради</w:t>
      </w:r>
      <w:r w:rsidRPr="00722885">
        <w:rPr>
          <w:rFonts w:ascii="Times New Roman" w:cs="Times New Roman"/>
          <w:color w:val="000000" w:themeColor="text1"/>
          <w:spacing w:val="0"/>
          <w:sz w:val="16"/>
          <w:szCs w:val="16"/>
        </w:rPr>
        <w:softHyphen/>
        <w:t>ста. Схема броневой защиты Ил-4 считалась достаточной только если он будет использо</w:t>
      </w:r>
      <w:r w:rsidRPr="00722885">
        <w:rPr>
          <w:rFonts w:ascii="Times New Roman" w:cs="Times New Roman"/>
          <w:color w:val="000000" w:themeColor="text1"/>
          <w:spacing w:val="0"/>
          <w:sz w:val="16"/>
          <w:szCs w:val="16"/>
        </w:rPr>
        <w:softHyphen/>
        <w:t>ваться как ночной бомбардировщик. Для днев</w:t>
      </w:r>
      <w:r w:rsidRPr="00722885">
        <w:rPr>
          <w:rFonts w:ascii="Times New Roman" w:cs="Times New Roman"/>
          <w:color w:val="000000" w:themeColor="text1"/>
          <w:spacing w:val="0"/>
          <w:sz w:val="16"/>
          <w:szCs w:val="16"/>
        </w:rPr>
        <w:softHyphen/>
        <w:t>ного варианта требовалось увеличить толщину брони. При этом в любом случае пред</w:t>
      </w:r>
      <w:r w:rsidRPr="00722885">
        <w:rPr>
          <w:rFonts w:ascii="Times New Roman" w:cs="Times New Roman"/>
          <w:color w:val="000000" w:themeColor="text1"/>
          <w:spacing w:val="0"/>
          <w:sz w:val="16"/>
          <w:szCs w:val="16"/>
        </w:rPr>
        <w:softHyphen/>
        <w:t>лагалось установить дополнительно подлокотник для левой руки летчика. На Ту-2 предполагалось дополнитель</w:t>
      </w:r>
      <w:r w:rsidRPr="00722885">
        <w:rPr>
          <w:rFonts w:ascii="Times New Roman" w:cs="Times New Roman"/>
          <w:color w:val="000000" w:themeColor="text1"/>
          <w:spacing w:val="0"/>
          <w:sz w:val="16"/>
          <w:szCs w:val="16"/>
        </w:rPr>
        <w:softHyphen/>
        <w:t>но установить позади штурмана спра</w:t>
      </w:r>
      <w:r w:rsidRPr="00722885">
        <w:rPr>
          <w:rFonts w:ascii="Times New Roman" w:cs="Times New Roman"/>
          <w:color w:val="000000" w:themeColor="text1"/>
          <w:spacing w:val="0"/>
          <w:sz w:val="16"/>
          <w:szCs w:val="16"/>
        </w:rPr>
        <w:softHyphen/>
        <w:t>ва поперечную бронеплиту толщиной 15 мм из расчета обеспечения угловой защиты летчика справа-сзади до 25° (15776).</w:t>
      </w:r>
    </w:p>
    <w:p w14:paraId="1C7A47CD" w14:textId="77777777" w:rsidR="00DD0C17" w:rsidRPr="00722885"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p>
    <w:p w14:paraId="1A2153F3"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вышел приказ НКАП и ВВС №559а/с/032 об использо</w:t>
      </w:r>
      <w:r w:rsidRPr="00722885">
        <w:rPr>
          <w:rFonts w:ascii="Times New Roman" w:hAnsi="Times New Roman"/>
          <w:color w:val="000000" w:themeColor="text1"/>
          <w:sz w:val="16"/>
          <w:szCs w:val="16"/>
        </w:rPr>
        <w:softHyphen/>
        <w:t>вании на истребителях брони. Сначала на Ла-5 установили броне-спинку, а также ввели протектирование баков. Затем в соответст</w:t>
      </w:r>
      <w:r w:rsidRPr="00722885">
        <w:rPr>
          <w:rFonts w:ascii="Times New Roman" w:hAnsi="Times New Roman"/>
          <w:color w:val="000000" w:themeColor="text1"/>
          <w:sz w:val="16"/>
          <w:szCs w:val="16"/>
        </w:rPr>
        <w:softHyphen/>
        <w:t>вии с постановлением ГКО № 2359сс от 1 октября 1942 г. внедрили лобовое бронестекло. Кроме того, этим же документом определя</w:t>
      </w:r>
      <w:r w:rsidRPr="00722885">
        <w:rPr>
          <w:rFonts w:ascii="Times New Roman" w:hAnsi="Times New Roman"/>
          <w:color w:val="000000" w:themeColor="text1"/>
          <w:sz w:val="16"/>
          <w:szCs w:val="16"/>
        </w:rPr>
        <w:softHyphen/>
        <w:t>лось использование на истребителях «Ла» и «Як» красной подсвет</w:t>
      </w:r>
      <w:r w:rsidRPr="00722885">
        <w:rPr>
          <w:rFonts w:ascii="Times New Roman" w:hAnsi="Times New Roman"/>
          <w:color w:val="000000" w:themeColor="text1"/>
          <w:sz w:val="16"/>
          <w:szCs w:val="16"/>
        </w:rPr>
        <w:softHyphen/>
        <w:t>ки сетки прицела, кнопочного электропневмоспуска пушек по типу Ме-109 вместо тугих механических гашеток (11123).</w:t>
      </w:r>
    </w:p>
    <w:p w14:paraId="0B9E47E7"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392C5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в НКАП поступила жалоба П.Якушкина - работника авиадивизии, который направил 10 апреля 1942 в адрес 7 ГУ НКАП за N 00101 материал проекта новой системы вооружения боевых одноместных самолетов истребителей, штурмовиков, а также о внедрении в боевую практику нового прибора ППЗС. Считал, что в 7ГУ к предложению отнеслись по чиновничьи, а люди в это время продолжали гибнуть (1684,151).</w:t>
      </w:r>
    </w:p>
    <w:p w14:paraId="766764D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9383E2"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Другие оборонные отрасли:</w:t>
      </w:r>
    </w:p>
    <w:p w14:paraId="71376CE9"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5A119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года на АНИОПе были выполнены очередные испытания мин ГМ-280 (МТВ - минометное тяжелое вооружение), которые были изготовлены заводом им. Ленина и снаряженны на заводе №522. Все мины были изготовлены по чертежам полигона и завода им. Ленина. Было произведено четыре выстрела на дальность порядка 1700 м. Три выстрела были выполнены штат-но, при одном из-за недоброкачественного изготовления нарезки, отклонений от чертежей АНИОПа, произошел отрыв реактивной части от мины. После выяснения причин отрыва полигон потребовал изготовлять мины ГМ-280 строго по его чертежам (6403, 42).</w:t>
      </w:r>
    </w:p>
    <w:p w14:paraId="7860C94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17A940" w14:textId="77777777" w:rsidR="00ED1980" w:rsidRPr="00722885" w:rsidRDefault="00ED198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24 июля 1942 на испытания вышли 6 танков Т-70. 2 танка были серийного типа, остальные имели усиленную ходовую часть. 2 из них имели борта толщиной 25 мм, другие 2 – 35 мм. При толщине бортов 25 мм боевая масса танка выросла до 10 400 кг, а при толщине 35 мм – до 11 000 кг. Два танка получили измененные выводы выхлопных труб, которые внедрили на серийных Т-70 с 5 августа 1942 года. Еще два танка получили полное ограждение двигателя, его ввели в серию с 8 августа. Также на танках испытывались крылья и брызговики разного типа. В результате все 6 танков были разными, отличаясь от остальных теми или иными деталями.</w:t>
      </w:r>
    </w:p>
    <w:p w14:paraId="0AC4D618" w14:textId="77777777" w:rsidR="00ED1980" w:rsidRPr="00722885" w:rsidRDefault="00ED198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Испытания выявили, что штатная ходовая часть удовлетворительно работала только первые 300 километров. Далее начинали разрушаться катки, проседать торсионы и ломаться траки. Усиленный трак, который испытывали на второй серийной машине, из-за поломок проушин оказался забракован. Что же касается усиленной ходовой части, то она работала надежно. Правда, из-за увеличения массы скорость танка упала на 5%. По этой причине было принято соломоново решение: с 10 сентября ввести в серию ходовую часть на танке с бортами толщиной 15 мм. Предполагалось, что с 1 октября серийные танки будут выпускаться с бортами толщиной 25 мм, но этого так и не случилось.</w:t>
      </w:r>
    </w:p>
    <w:p w14:paraId="3C560207" w14:textId="77777777" w:rsidR="00ED1980" w:rsidRPr="00722885" w:rsidRDefault="00ED198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Также в серию было решено ввести двойные воздухоочистители, благодаря которому срок службы моторов увеличился с 640 до 1200 километров. Они появились на танках с 5 сентября, тогда же в конструкцию ввели усиленную главную передачу. Еще одной новинкой стал люк механика-водителя с перископическим смотровым прибором. Его разработали в июле 1942 года и испытали на одном из таков с усиленными бортами, в серии он появился с 16 сентября (17695).</w:t>
      </w:r>
    </w:p>
    <w:p w14:paraId="4A989FEF" w14:textId="77777777" w:rsidR="00ED1980" w:rsidRPr="00722885" w:rsidRDefault="00ED1980" w:rsidP="00722885">
      <w:pPr>
        <w:spacing w:after="0" w:line="240" w:lineRule="auto"/>
        <w:jc w:val="both"/>
        <w:rPr>
          <w:rFonts w:ascii="Times New Roman" w:eastAsia="Times New Roman" w:hAnsi="Times New Roman"/>
          <w:color w:val="000000" w:themeColor="text1"/>
          <w:sz w:val="16"/>
          <w:szCs w:val="16"/>
          <w:lang w:eastAsia="ru-RU"/>
        </w:rPr>
      </w:pPr>
    </w:p>
    <w:p w14:paraId="08C9E155"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июля 1942 г.</w:t>
      </w:r>
    </w:p>
    <w:p w14:paraId="43D61CF2"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310 – 309</w:t>
      </w:r>
    </w:p>
    <w:p w14:paraId="08214A0E"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Сов.секретно.</w:t>
      </w:r>
    </w:p>
    <w:p w14:paraId="0022C246"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КОМИССАРА ТАНКОВОЙ ПРОМЫШЛЕННОСТИ СОЮЗА ССР № 542сс</w:t>
      </w:r>
    </w:p>
    <w:p w14:paraId="508399F9"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63B6B52E"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июля 1942 г.</w:t>
      </w:r>
    </w:p>
    <w:p w14:paraId="73519820"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 исполнение Постановления ГОКО-2078сс от 23.VII-1942 г. "О вооружении танков огнеметами АТО-41 в 3 квартале 1932 г." – ПРИКАЗЫВАЮ:</w:t>
      </w:r>
    </w:p>
    <w:p w14:paraId="1C45EB7A"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Директорам заводов № 183 – т. Максареву, СТЗ – т. Задорожному, № 112 – т. Рубинчик, Кировского завода – т. Махонину изготовить в 3 квартале танки с огнеметами в следующих количествах:</w:t>
      </w:r>
    </w:p>
    <w:p w14:paraId="416777DE"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По заводу № 183 – 100 штук, в том числе в VII – 30 шт., в VIII – 35 шт. в IX – 35 шт.</w:t>
      </w:r>
    </w:p>
    <w:p w14:paraId="396E639A"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По СТЗ – 90 штук, в том числе в VII – 30 шт., в VIII – 30 шт. в IX – 30 шт.</w:t>
      </w:r>
    </w:p>
    <w:p w14:paraId="5AEFF09F"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По заводу № 112 – 60 штук, в том числе в VII – 20 шт., в VIII – 20 шт. в IX – 20 шт.</w:t>
      </w:r>
    </w:p>
    <w:p w14:paraId="41EEF042"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По Кировскому заводу – 75 штук, в том числе в VII – 25 шт., в VIII – 25 шт. в IX – 25 шт.</w:t>
      </w:r>
    </w:p>
    <w:p w14:paraId="0683EE6B"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Директору завода № 222 т. ПЫШКИНУ изготовить и поставить в 3 квартале по месяцам:</w:t>
      </w:r>
    </w:p>
    <w:p w14:paraId="0E5E3B91"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w:t>
      </w:r>
    </w:p>
    <w:p w14:paraId="501FE219"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Поставить ГАБТУ КА в 3 квартале 42 г. 50 ротных комплектов запасных частей к огнеметам АТО-41 по номенклатуре, согласованной с ГАБТУ КА.</w:t>
      </w:r>
    </w:p>
    <w:p w14:paraId="7231AA4D"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Директору завода № 222 т. ПЫШКИНУ и главному конструктору завода т. МАЯТ улучшить качество выпускаемых огнеметов АТО-41 и в особенности автоматики, обеспечив безотказную ее работу.</w:t>
      </w:r>
    </w:p>
    <w:p w14:paraId="765F4847"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Ведущему инженеру 1 отдела т. Зарецкому и ведущим инженерам 1 отдела по перечисленным выше танковым заводам взять под особое наблюдение выполнение настоящего приказа.</w:t>
      </w:r>
    </w:p>
    <w:p w14:paraId="4064B2D2"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ЗАМЕСТИТЕЛЬ НАРОДНОГО КОМИССАРА ТАНКОВОЙ ПРОМЫШЛЕННОСТИ СОЮЗА ССР подпись (П. ЗЕРНОВ) (21226).</w:t>
      </w:r>
    </w:p>
    <w:p w14:paraId="722CF2D6" w14:textId="77777777" w:rsidR="006B5C1C" w:rsidRPr="00722885" w:rsidRDefault="006B5C1C" w:rsidP="00722885">
      <w:pPr>
        <w:spacing w:after="0" w:line="240" w:lineRule="auto"/>
        <w:jc w:val="both"/>
        <w:rPr>
          <w:rFonts w:ascii="Times New Roman" w:hAnsi="Times New Roman"/>
          <w:color w:val="0070C0"/>
          <w:sz w:val="16"/>
          <w:szCs w:val="16"/>
        </w:rPr>
      </w:pPr>
    </w:p>
    <w:p w14:paraId="5C3C620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вышло Постановление ГКО № 2084 Об улучшении состояния и работы вагонного парка железных дорог в 1942 году. (7045, 70-82,83-101).</w:t>
      </w:r>
    </w:p>
    <w:p w14:paraId="138A587A"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710C4C"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вышло Постановление ГКО № 2086 О плане капитального ремонта танков, тракторов и автомобилей для Красной Армии на III квартал 1942 г. (7046, 1-7,8-107).</w:t>
      </w:r>
    </w:p>
    <w:p w14:paraId="34F1A07E"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6D64B"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вышло Постановление ГКО № 2089 О восстановлении производства вагонов типа НКПС на заводах Наркомсредмаша и НКПС. (7046, 111-119,120-124).</w:t>
      </w:r>
    </w:p>
    <w:p w14:paraId="7F77D0E3" w14:textId="77777777" w:rsidR="00AE7191" w:rsidRPr="00722885"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9585E8" w14:textId="77777777" w:rsidR="00AE7191" w:rsidRPr="00722885"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22885">
        <w:rPr>
          <w:rFonts w:ascii="Times New Roman" w:hAnsi="Times New Roman"/>
          <w:i/>
          <w:iCs/>
          <w:color w:val="000000" w:themeColor="text1"/>
          <w:sz w:val="16"/>
          <w:szCs w:val="16"/>
        </w:rPr>
        <w:t>Армия:</w:t>
      </w:r>
    </w:p>
    <w:p w14:paraId="2D3EEF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73C96A"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в 1942 году утреннее сообщение Совинформбюро:</w:t>
      </w:r>
    </w:p>
    <w:p w14:paraId="0F02D6C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24 июля наши войска вели бои с противником в районе Воронежа, а также в районах Цымлянская, Новочеркасск, Ростов.</w:t>
      </w:r>
    </w:p>
    <w:p w14:paraId="7AF66003"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58CE5D7B"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Воронежа бои продолжаются с прежним ожесточением. Противник оказывает упорное сопротивление нашим наступающим войскам. Отдельные рубежи и населённые пункты по нескольку раз переходят из рук в руки. В районе одной переправы через реку Дон подразделения, которыми командуют капитан Носаль и </w:t>
      </w:r>
      <w:r w:rsidRPr="00722885">
        <w:rPr>
          <w:rFonts w:ascii="Times New Roman" w:hAnsi="Times New Roman"/>
          <w:color w:val="000000" w:themeColor="text1"/>
          <w:sz w:val="16"/>
          <w:szCs w:val="16"/>
        </w:rPr>
        <w:lastRenderedPageBreak/>
        <w:t>капитан Андронов, встретили численно превосходящие силы немцев и венгров. Противник предпринял три сильных контратаки. Наши бойцы отбили эти атаки и уничтожили свыше 700 гитлеровцев. На другом участке наши танкисты уничтожили 9 немецких танков.</w:t>
      </w:r>
    </w:p>
    <w:p w14:paraId="7FE52467"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Новочеркасска продолжались тяжёлые бой. Наши войска отбивали атаки численно превосходящих сил противника. Только на одном узком участке немцы потеряли 17 танков и свыше 800 человек убитыми. Активно действует наша авиация, наносящая непрерывные удары по боевым порядкам противника и по его коммуникациям.</w:t>
      </w:r>
    </w:p>
    <w:p w14:paraId="14B272C4"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наша часть отразила две атаки немецких танков и автоматчиков. Выдвинувшиеся вперёд и на фланги бронебойщики сожгли 3 и подбили 6 немецких танков. Метким ружейно-пулемётным огнём, а также в рукопашных схватках наши бойцы уничтожили свыше 400 немецких автоматчиков.</w:t>
      </w:r>
    </w:p>
    <w:p w14:paraId="1CE979AF"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Ленинградского фронта за два дня боевых действий противник потерял убитыми и ранеными более 800 солдат и офицеров. Огнём нашей артиллерии и миномётов уничтожено 2 орудия, 10 пулемётов и 2 миномёта. Разрушено16 ДЗОТов, несколько блиндажей, землянок и наблюдательных пунктов. Взяты пленные, и захвачены трофеи. В воздушных боях и огнём зенитной артиллерии сбито 4 немецких самолёта.</w:t>
      </w:r>
    </w:p>
    <w:p w14:paraId="43EDF60E"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отрядов, объединённых под командованием тт. К., Л. и Д., действующие в Белоруссии, уничтожили немецкого генерала, 8 офицеров и 27 солдат.Советские патриоты взорвали 11 автомашин с военным грузом и захватили трофеи.</w:t>
      </w:r>
    </w:p>
    <w:p w14:paraId="1B055BDE"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Письма немецких солдат на родину проникнуты страхом перед советскими партизанами. Солдаты пишут, что неуловимые партизанские отряды наносят немцам серьёзные потери. Ефрейтор Шидер жалуется Францу Геблеру: «...Мы уже несколько недель действуем в тылу против партизан. Проклятая война! Со всех сторон враги». Ефрейтор Гесльбауэр пишет фрау К. Гесльбауэр: «...Почти ежедневно взлетают ввоздух повозки, машины. Кругом нас ненавидят. Трудно рассказать, какой опасности подвергаешься здесь».</w:t>
      </w:r>
    </w:p>
    <w:p w14:paraId="37A212E4"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истребляют население оккупированных районов Орловской области. В посёлках Павловский и Голышино гитлеровцы сожгли и разрушили все жилые дома и постройки. Немцы зверски замучили и расстреляли 175 женщин, детей и стариков.</w:t>
      </w:r>
    </w:p>
    <w:p w14:paraId="5FBB73FE"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французских патриотов совершил смелый налёт на немецкий склад в департаменте Па-де-Кале (Франция). Уничтожив часовых, патриоты захватили автоматы, пулемёты и 250 противотанковых мин.</w:t>
      </w:r>
    </w:p>
    <w:p w14:paraId="355DB5D5"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Колхозники Узбекистана сдают государству зерно нового урожая. Многие колхозы республики уже выполнили свои обязательства перед государством. Закончила зернопоставки Андижанская область. Колхозы, выполнившие план, сдают зерно в хлебный фонд Красной Армии.» (14962).</w:t>
      </w:r>
    </w:p>
    <w:p w14:paraId="67158F0F"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411E14C1"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в 1942 году вечернее сообщение Совинформбюро:</w:t>
      </w:r>
    </w:p>
    <w:p w14:paraId="3A0F15F1"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24 июля наши войска вели ожесточённые бои в районе Воронежа, а также в районах Цымлянская, Новочеркасск, Ростов.</w:t>
      </w:r>
    </w:p>
    <w:p w14:paraId="6FC9929E"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230AAFF6"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23 июля частями нашей авиации на различных участках фронта уничтожено или повреждено 90 немецких танков и бронемашин, 270 автомашин с войсками и грузами,14 автоцистерн с горючим, взорвано 3 склада боеприпасов и 2 склада горючего, подавлен огонь 4 дивизионов полевой и зенитной артиллерии, рассеяно и частью уничтожено до пяти батальонов пехоты и эскадрон конницы противника.</w:t>
      </w:r>
    </w:p>
    <w:p w14:paraId="6C0D2DE2"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продолжали наносить удары войскам противника. Гитлеровцы бросают в бой новые резервы и переходят в контратаки. На одном из участков разгромлен только что прибывший из глубокого тыла немецкий пехотный полк. От него осталось не более роты. Кроме того, нашими бойцами уничтожено 10 танков и бронемашин.</w:t>
      </w:r>
    </w:p>
    <w:p w14:paraId="50A615CF"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другом участке группа наших войск, потеснив противника, переправилась через Дон и закрепилась на западном берегу реки. Наша авиация продолжала бомбить позиции немцев. Прямым попаданием бомб разрушена важная переправа противника. Уничтожено 18 немецких танков, 34 автомашины, 6 зенитных орудий и 26 повозок с грузом.</w:t>
      </w:r>
    </w:p>
    <w:p w14:paraId="0E9F96D2"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Ростова крупные танковые части противника стремятся прорваться к городу. Идут напряжённые, кровопролитные бои. На одном из участков артиллеристыи бронебойщики отбили шесть танковых атак противника и уничтожили 38 немецких танков. Подступы к укреплённым районам завалены тысячами трупов гитлеровцев. Однако, не считаясь с потерями, противник бросает в бой всё новые и новые силы.</w:t>
      </w:r>
    </w:p>
    <w:p w14:paraId="1B69A9FE"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наши войска вели оборонительные бои. Немцы предпринимают упорные попытки переправиться на южный берег Дона и несут при этом огромные потери. Только на одном участке в течение суток противник потерял убитыми свыше 1.500 солдат и офицеров. На другом участке немцам удалось под прикрытием авиации и мощного артиллерийского огня переправиться через реку. Контрударом наши части окружили и уничтожили прорвавшийся полк немецкой пехоты. Советские воины ведут самоотверженную борьбу с численно превосходящими силами противника под лозунгом: «Умрём, но не отступим!»</w:t>
      </w:r>
    </w:p>
    <w:p w14:paraId="3FAB357D"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на одном из участков наши войска вели активные бои. В течение дня подбито и сожжено свыше 20 немецких танков. Наши части продвинулись вперёд и заняли несколько населённых пунктов. Захвачены пленные.</w:t>
      </w:r>
    </w:p>
    <w:p w14:paraId="262FC970"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смоленских партизан под руководством тов. Г. произвела нападение на немецкую базу. Партизаны взорвали склад боеприпасов и сожгли склады с продовольствием и различным военным имуществом.</w:t>
      </w:r>
    </w:p>
    <w:p w14:paraId="124F9D0A"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233 полка 102 немецкой пехотной дивизии поляк Юрий Б. рассказал: «До 1939 года я работал учителем в польской народной школе. Захватив Польшу, немецкие оккупанты ликвидировали и закрыли все польские школы. Школьные помещения заняты под казармы и госпитали. Весной этого года меня мобилизовали в германскую армию. Мне было очень больно и тяжело надевать мундир гитлеровского солдата, мундир армии, опозорившей себя на весь мир. Я отлично понимал, что поляк, который вольно или невольно служит Гитлеру, затягивает петлю на собственной шее. Поэтому я твёрдо решил при первой же возможности перейти на сторону Красной Армии. В четырёхдневных боях рота потеряла убитыми, ранеными и пленными свыше 80 человек. Когда мы находились в окопах, неожиданно появились русские танки, за ними следовала пехота. Солдаты разбежались, а я вылез из окопа и сдался в плен».</w:t>
      </w:r>
    </w:p>
    <w:p w14:paraId="134849D3"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граждане, перешедшие линию Брянского фронта, рассказали о чудовищном преступлении гитлеровских мерзавцев. Немцам удалось из засады захватить в плен красноармейца тов. Густова. Бандиты учинили зверские пытки красноармейцу, добиваясь от него сведений о расположении советских войск. Наш боец не проронил ни одного слова. Взбешённые гитлеровцы привязали тов. Густова к двум танкам и разорвали его на части.</w:t>
      </w:r>
    </w:p>
    <w:p w14:paraId="5744D82D"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Германии начали выдавать по карточкам вместо масла и маргарина новый эрзац - «масло» из смазочных материалов. В связи с употреблением в пищу этого эрзаца только за неделю в Дортмунде зарегистрирован 121 случай тяжёлого отравления.» (14962).</w:t>
      </w:r>
    </w:p>
    <w:p w14:paraId="07261CDA"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5C2D9D40"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24 июля 1942 1-й запасной авиационный полк приступил к формированию пра</w:t>
      </w:r>
      <w:r w:rsidRPr="00722885">
        <w:rPr>
          <w:rFonts w:ascii="Times New Roman" w:hAnsi="Times New Roman" w:cs="Times New Roman"/>
          <w:color w:val="000000" w:themeColor="text1"/>
          <w:sz w:val="16"/>
          <w:szCs w:val="16"/>
        </w:rPr>
        <w:softHyphen/>
        <w:t>ктически нового 23-го штурмового ави</w:t>
      </w:r>
      <w:r w:rsidRPr="00722885">
        <w:rPr>
          <w:rFonts w:ascii="Times New Roman" w:hAnsi="Times New Roman" w:cs="Times New Roman"/>
          <w:color w:val="000000" w:themeColor="text1"/>
          <w:sz w:val="16"/>
          <w:szCs w:val="16"/>
        </w:rPr>
        <w:softHyphen/>
        <w:t>аполка. Теперь он должен был состоять из двух эскадрилий на Р-10, одного связного У-2 или УТ-1,156 человек лич</w:t>
      </w:r>
      <w:r w:rsidRPr="00722885">
        <w:rPr>
          <w:rFonts w:ascii="Times New Roman" w:hAnsi="Times New Roman" w:cs="Times New Roman"/>
          <w:color w:val="000000" w:themeColor="text1"/>
          <w:sz w:val="16"/>
          <w:szCs w:val="16"/>
        </w:rPr>
        <w:softHyphen/>
        <w:t>ного состава и аэрофотолаборатории. Новым командиром стал капитан Ох- тень Михаил Васильевич. Программа обучения была определена в 25 дней. Каждый летчик должен был выполнить по 52 учебных вылета общей продол</w:t>
      </w:r>
      <w:r w:rsidRPr="00722885">
        <w:rPr>
          <w:rFonts w:ascii="Times New Roman" w:hAnsi="Times New Roman" w:cs="Times New Roman"/>
          <w:color w:val="000000" w:themeColor="text1"/>
          <w:sz w:val="16"/>
          <w:szCs w:val="16"/>
        </w:rPr>
        <w:softHyphen/>
        <w:t>жительностью 7,5 часов. Переобучение планировалось завершить 20 августа 1942 года.</w:t>
      </w:r>
    </w:p>
    <w:p w14:paraId="5CF69A15"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Личный состав, прибывавший на формирование полка, был молодой, боевой опыт имели только командиры эскадрилий и их заместители. Большая часть летчиков и техников не знала материальной части, поэтому пришлось осваивать и обслуживать самолеты од</w:t>
      </w:r>
      <w:r w:rsidRPr="00722885">
        <w:rPr>
          <w:rFonts w:ascii="Times New Roman" w:hAnsi="Times New Roman" w:cs="Times New Roman"/>
          <w:color w:val="000000" w:themeColor="text1"/>
          <w:sz w:val="16"/>
          <w:szCs w:val="16"/>
        </w:rPr>
        <w:softHyphen/>
        <w:t>новременно.</w:t>
      </w:r>
    </w:p>
    <w:p w14:paraId="7B81FECD"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К сожалению, только неопытностью личного состава дело не ограничива</w:t>
      </w:r>
      <w:r w:rsidRPr="00722885">
        <w:rPr>
          <w:rFonts w:ascii="Times New Roman" w:hAnsi="Times New Roman" w:cs="Times New Roman"/>
          <w:color w:val="000000" w:themeColor="text1"/>
          <w:sz w:val="16"/>
          <w:szCs w:val="16"/>
        </w:rPr>
        <w:softHyphen/>
        <w:t>лось. В часть прибыли летчики и тех</w:t>
      </w:r>
      <w:r w:rsidRPr="00722885">
        <w:rPr>
          <w:rFonts w:ascii="Times New Roman" w:hAnsi="Times New Roman" w:cs="Times New Roman"/>
          <w:color w:val="000000" w:themeColor="text1"/>
          <w:sz w:val="16"/>
          <w:szCs w:val="16"/>
        </w:rPr>
        <w:softHyphen/>
        <w:t>ники, отчисленные из боевых полков и училищ за те или иные проступки. Некоторые из них впоследствии были осуждены военным трибуналом.</w:t>
      </w:r>
    </w:p>
    <w:p w14:paraId="4519033F"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Правда, проступок проступку рознь. Летчик старший лейтенант Сысолятин был осужден на 10 лет за воздушное ху</w:t>
      </w:r>
      <w:r w:rsidRPr="00722885">
        <w:rPr>
          <w:rFonts w:ascii="Times New Roman" w:hAnsi="Times New Roman" w:cs="Times New Roman"/>
          <w:color w:val="000000" w:themeColor="text1"/>
          <w:sz w:val="16"/>
          <w:szCs w:val="16"/>
        </w:rPr>
        <w:softHyphen/>
        <w:t>лиганство, но на фронте вел себя вполне достойно, так же, как и летчик, красно</w:t>
      </w:r>
      <w:r w:rsidRPr="00722885">
        <w:rPr>
          <w:rFonts w:ascii="Times New Roman" w:hAnsi="Times New Roman" w:cs="Times New Roman"/>
          <w:color w:val="000000" w:themeColor="text1"/>
          <w:sz w:val="16"/>
          <w:szCs w:val="16"/>
        </w:rPr>
        <w:softHyphen/>
        <w:t>флотец Петрищев.</w:t>
      </w:r>
    </w:p>
    <w:p w14:paraId="6B9E5CA1"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Отметим, что к категории проштра</w:t>
      </w:r>
      <w:r w:rsidRPr="00722885">
        <w:rPr>
          <w:rFonts w:ascii="Times New Roman" w:hAnsi="Times New Roman" w:cs="Times New Roman"/>
          <w:color w:val="000000" w:themeColor="text1"/>
          <w:sz w:val="16"/>
          <w:szCs w:val="16"/>
        </w:rPr>
        <w:softHyphen/>
        <w:t>фившихся относился и сам командир полка. Капитан М.В. Охтень, ещё в конце 1941 года носил знаки различия майора и командовал 13-м иап ВВС КБФ. В январе 1942 года за неумелое руководство полком он был отстранен от занимаемой должности и отправлен в резерв. Забегая вперед, скажем, что «выправить» свою карьеру Михаилу Васильевичу так и не удалось. Проведя 23-й шап через жестокие бои осени- зимы 1942 года, в июле 1943 года он был снова отстранен от командова</w:t>
      </w:r>
      <w:r w:rsidRPr="00722885">
        <w:rPr>
          <w:rFonts w:ascii="Times New Roman" w:hAnsi="Times New Roman" w:cs="Times New Roman"/>
          <w:color w:val="000000" w:themeColor="text1"/>
          <w:sz w:val="16"/>
          <w:szCs w:val="16"/>
        </w:rPr>
        <w:softHyphen/>
        <w:t>ния полком. Погиб М.В. Охтень в мае 1944 года в звании старшего лейте</w:t>
      </w:r>
      <w:r w:rsidRPr="00722885">
        <w:rPr>
          <w:rFonts w:ascii="Times New Roman" w:hAnsi="Times New Roman" w:cs="Times New Roman"/>
          <w:color w:val="000000" w:themeColor="text1"/>
          <w:sz w:val="16"/>
          <w:szCs w:val="16"/>
        </w:rPr>
        <w:softHyphen/>
        <w:t>нанта и должности замкомэска 47-го шап ВВС ЧФ.</w:t>
      </w:r>
    </w:p>
    <w:p w14:paraId="3554770A"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Комплектовался полк за счет Р-10 из 2-го запасного авиаполка. Самолеты были предназначены на списание, но тяжелое положение с материальной частью вынудило их подремонтировать и бросить в бой. В процессе учебы выяснилась одна очень неприятная особенность немановского разведчика. Питание бензином производилось из нескольких баков, не соединенных между собой. По мере расходования горючего пилот должен был своевре менно перекрывать подачу горючего из выработанного бака. В противном слу</w:t>
      </w:r>
      <w:r w:rsidRPr="00722885">
        <w:rPr>
          <w:rFonts w:ascii="Times New Roman" w:hAnsi="Times New Roman" w:cs="Times New Roman"/>
          <w:color w:val="000000" w:themeColor="text1"/>
          <w:sz w:val="16"/>
          <w:szCs w:val="16"/>
        </w:rPr>
        <w:softHyphen/>
        <w:t>чае двигатель начинал подсасывать из пустого бака воздух и глох. Напомним, что следить за выработкой горючего надо было и в бою.</w:t>
      </w:r>
    </w:p>
    <w:p w14:paraId="04677980"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Уже со второго дня полетов в полку начались летные происшествия. 7 августа разбил самолет краснофлотец С.П. Груз</w:t>
      </w:r>
      <w:r w:rsidRPr="00722885">
        <w:rPr>
          <w:rFonts w:ascii="Times New Roman" w:hAnsi="Times New Roman" w:cs="Times New Roman"/>
          <w:color w:val="000000" w:themeColor="text1"/>
          <w:sz w:val="16"/>
          <w:szCs w:val="16"/>
        </w:rPr>
        <w:softHyphen/>
        <w:t>дев, совершавший свой четвертый вылет на Р-10. И августа забыл перекрыть пустой бак заместитель командира полка старший лейтенант Д.А. Груздев. Самолет был разбит, а Груздев и штурман полка капитан Рябчук тяжело ранены.</w:t>
      </w:r>
    </w:p>
    <w:p w14:paraId="10ACE630"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Несмотря на то, что командованию 1-го зап удалось сместить срок готов</w:t>
      </w:r>
      <w:r w:rsidRPr="00722885">
        <w:rPr>
          <w:rFonts w:ascii="Times New Roman" w:hAnsi="Times New Roman" w:cs="Times New Roman"/>
          <w:color w:val="000000" w:themeColor="text1"/>
          <w:sz w:val="16"/>
          <w:szCs w:val="16"/>
        </w:rPr>
        <w:softHyphen/>
        <w:t>ности 23-го полка на 25 августа и даже перевыполнить учебный план (при плане 1320 часов, налет составил 1348 часов), результаты обучения были удручаю</w:t>
      </w:r>
      <w:r w:rsidRPr="00722885">
        <w:rPr>
          <w:rFonts w:ascii="Times New Roman" w:hAnsi="Times New Roman" w:cs="Times New Roman"/>
          <w:color w:val="000000" w:themeColor="text1"/>
          <w:sz w:val="16"/>
          <w:szCs w:val="16"/>
        </w:rPr>
        <w:softHyphen/>
        <w:t>щими. Только управление полка и отлич</w:t>
      </w:r>
      <w:r w:rsidRPr="00722885">
        <w:rPr>
          <w:rFonts w:ascii="Times New Roman" w:hAnsi="Times New Roman" w:cs="Times New Roman"/>
          <w:color w:val="000000" w:themeColor="text1"/>
          <w:sz w:val="16"/>
          <w:szCs w:val="16"/>
        </w:rPr>
        <w:softHyphen/>
        <w:t>ники Конов и Сысолятин смогли сдать зачеты на допуск к самостоятельным полетам. Остальным, как откровенно на</w:t>
      </w:r>
      <w:r w:rsidRPr="00722885">
        <w:rPr>
          <w:rFonts w:ascii="Times New Roman" w:hAnsi="Times New Roman" w:cs="Times New Roman"/>
          <w:color w:val="000000" w:themeColor="text1"/>
          <w:sz w:val="16"/>
          <w:szCs w:val="16"/>
        </w:rPr>
        <w:softHyphen/>
        <w:t>писано в истории части, зачеты просто «натягивались».</w:t>
      </w:r>
    </w:p>
    <w:p w14:paraId="54078C3D"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 инженерно-техническим соста</w:t>
      </w:r>
      <w:r w:rsidRPr="00722885">
        <w:rPr>
          <w:rFonts w:ascii="Times New Roman" w:hAnsi="Times New Roman" w:cs="Times New Roman"/>
          <w:color w:val="000000" w:themeColor="text1"/>
          <w:sz w:val="16"/>
          <w:szCs w:val="16"/>
        </w:rPr>
        <w:softHyphen/>
        <w:t xml:space="preserve">вом ситуация сложилась ещё хуже, чем с летным. Самолет Р-10 знали всего два человека. Из-за большого объема работ по подготовке и проведению полетов, организовать полноценное обучение не удалось. Зачеты на знание материальной части самолета и мотора М-25 организовали только через </w:t>
      </w:r>
      <w:r w:rsidRPr="00722885">
        <w:rPr>
          <w:rFonts w:ascii="Times New Roman" w:hAnsi="Times New Roman" w:cs="Times New Roman"/>
          <w:color w:val="000000" w:themeColor="text1"/>
          <w:sz w:val="16"/>
          <w:szCs w:val="16"/>
        </w:rPr>
        <w:lastRenderedPageBreak/>
        <w:t>пять (!) месяцев после окончания учебы. При этом, несмотря на полученный опыт, личный состав инженерно-ави</w:t>
      </w:r>
      <w:r w:rsidRPr="00722885">
        <w:rPr>
          <w:rFonts w:ascii="Times New Roman" w:hAnsi="Times New Roman" w:cs="Times New Roman"/>
          <w:color w:val="000000" w:themeColor="text1"/>
          <w:sz w:val="16"/>
          <w:szCs w:val="16"/>
        </w:rPr>
        <w:softHyphen/>
        <w:t>ационной службы полка показал неу</w:t>
      </w:r>
      <w:r w:rsidRPr="00722885">
        <w:rPr>
          <w:rFonts w:ascii="Times New Roman" w:hAnsi="Times New Roman" w:cs="Times New Roman"/>
          <w:color w:val="000000" w:themeColor="text1"/>
          <w:sz w:val="16"/>
          <w:szCs w:val="16"/>
        </w:rPr>
        <w:softHyphen/>
        <w:t>довлетворительные знания.</w:t>
      </w:r>
    </w:p>
    <w:p w14:paraId="409BE0F8"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25 августа началось перебазирова</w:t>
      </w:r>
      <w:r w:rsidRPr="00722885">
        <w:rPr>
          <w:rFonts w:ascii="Times New Roman" w:hAnsi="Times New Roman" w:cs="Times New Roman"/>
          <w:color w:val="000000" w:themeColor="text1"/>
          <w:sz w:val="16"/>
          <w:szCs w:val="16"/>
        </w:rPr>
        <w:softHyphen/>
        <w:t>ние полка на Черноморский флот. При</w:t>
      </w:r>
      <w:r w:rsidRPr="00722885">
        <w:rPr>
          <w:rFonts w:ascii="Times New Roman" w:hAnsi="Times New Roman" w:cs="Times New Roman"/>
          <w:color w:val="000000" w:themeColor="text1"/>
          <w:sz w:val="16"/>
          <w:szCs w:val="16"/>
        </w:rPr>
        <w:softHyphen/>
        <w:t>каз об этом пришел утром, подготовка к вылету велась в спешке и началось... На взлете был разбит самолет красно</w:t>
      </w:r>
      <w:r w:rsidRPr="00722885">
        <w:rPr>
          <w:rFonts w:ascii="Times New Roman" w:hAnsi="Times New Roman" w:cs="Times New Roman"/>
          <w:color w:val="000000" w:themeColor="text1"/>
          <w:sz w:val="16"/>
          <w:szCs w:val="16"/>
        </w:rPr>
        <w:softHyphen/>
        <w:t>флотца Быкова, пилот тяжело ранен, штурман отделался легкими ушибами. При посадке в Саратове поврежден самолет пилота Дементьева. 26 августа при вылете из Саратова разбился еще один Р-10. На посадке в Эльтоне забыл выпустить шасси летчик Лущик, самолет требовал ремонта. У Р-10 краснофлотца Авраменко шасси подломилось, да так, что самолет ремонту уже не подлежал. К счастью, экипаж не пострадал.</w:t>
      </w:r>
    </w:p>
    <w:p w14:paraId="371257A5"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К 27 августа в Эльтоне находилось 16 машин из 22 вылетевших из Са</w:t>
      </w:r>
      <w:r w:rsidRPr="00722885">
        <w:rPr>
          <w:rFonts w:ascii="Times New Roman" w:hAnsi="Times New Roman" w:cs="Times New Roman"/>
          <w:color w:val="000000" w:themeColor="text1"/>
          <w:sz w:val="16"/>
          <w:szCs w:val="16"/>
        </w:rPr>
        <w:softHyphen/>
        <w:t>ранска. Три самолета были потеряны безвозвратно, три ожидали ремонта. 28 августа при посадке в Астрахани забыл переключить бензобаки стар</w:t>
      </w:r>
      <w:r w:rsidRPr="00722885">
        <w:rPr>
          <w:rFonts w:ascii="Times New Roman" w:hAnsi="Times New Roman" w:cs="Times New Roman"/>
          <w:color w:val="000000" w:themeColor="text1"/>
          <w:sz w:val="16"/>
          <w:szCs w:val="16"/>
        </w:rPr>
        <w:softHyphen/>
        <w:t>ший лейтенант Сысолятин, самолет был поврежден. На посадке также по</w:t>
      </w:r>
      <w:r w:rsidRPr="00722885">
        <w:rPr>
          <w:rFonts w:ascii="Times New Roman" w:hAnsi="Times New Roman" w:cs="Times New Roman"/>
          <w:color w:val="000000" w:themeColor="text1"/>
          <w:sz w:val="16"/>
          <w:szCs w:val="16"/>
        </w:rPr>
        <w:softHyphen/>
        <w:t>лучил повреждения Р-10 краснофлотца Федосекина.</w:t>
      </w:r>
    </w:p>
    <w:p w14:paraId="55B92EB4"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29 августа, подлетая к Махачкале, снова забыл о бензобаках краснофло</w:t>
      </w:r>
      <w:r w:rsidRPr="00722885">
        <w:rPr>
          <w:rFonts w:ascii="Times New Roman" w:hAnsi="Times New Roman" w:cs="Times New Roman"/>
          <w:color w:val="000000" w:themeColor="text1"/>
          <w:sz w:val="16"/>
          <w:szCs w:val="16"/>
        </w:rPr>
        <w:softHyphen/>
        <w:t>тец Шумилов, в результате ему при</w:t>
      </w:r>
      <w:r w:rsidRPr="00722885">
        <w:rPr>
          <w:rFonts w:ascii="Times New Roman" w:hAnsi="Times New Roman" w:cs="Times New Roman"/>
          <w:color w:val="000000" w:themeColor="text1"/>
          <w:sz w:val="16"/>
          <w:szCs w:val="16"/>
        </w:rPr>
        <w:softHyphen/>
        <w:t>шлось сажать самолет на воду. Лейте</w:t>
      </w:r>
      <w:r w:rsidRPr="00722885">
        <w:rPr>
          <w:rFonts w:ascii="Times New Roman" w:hAnsi="Times New Roman" w:cs="Times New Roman"/>
          <w:color w:val="000000" w:themeColor="text1"/>
          <w:sz w:val="16"/>
          <w:szCs w:val="16"/>
        </w:rPr>
        <w:softHyphen/>
        <w:t>нант Конов благополучно сел на аэро</w:t>
      </w:r>
      <w:r w:rsidRPr="00722885">
        <w:rPr>
          <w:rFonts w:ascii="Times New Roman" w:hAnsi="Times New Roman" w:cs="Times New Roman"/>
          <w:color w:val="000000" w:themeColor="text1"/>
          <w:sz w:val="16"/>
          <w:szCs w:val="16"/>
        </w:rPr>
        <w:softHyphen/>
        <w:t>дром, но на пробеге у него оборвался шатун двигателя. Чуть забегая вперед, скажем, что за все время эпопеи пере</w:t>
      </w:r>
      <w:r w:rsidRPr="00722885">
        <w:rPr>
          <w:rFonts w:ascii="Times New Roman" w:hAnsi="Times New Roman" w:cs="Times New Roman"/>
          <w:color w:val="000000" w:themeColor="text1"/>
          <w:sz w:val="16"/>
          <w:szCs w:val="16"/>
        </w:rPr>
        <w:softHyphen/>
        <w:t>лета полк потерял 11 машин: пять из них были списаны, остальные требо</w:t>
      </w:r>
      <w:r w:rsidRPr="00722885">
        <w:rPr>
          <w:rFonts w:ascii="Times New Roman" w:hAnsi="Times New Roman" w:cs="Times New Roman"/>
          <w:color w:val="000000" w:themeColor="text1"/>
          <w:sz w:val="16"/>
          <w:szCs w:val="16"/>
        </w:rPr>
        <w:softHyphen/>
        <w:t>вали ремонта. При этом только само</w:t>
      </w:r>
      <w:r w:rsidRPr="00722885">
        <w:rPr>
          <w:rFonts w:ascii="Times New Roman" w:hAnsi="Times New Roman" w:cs="Times New Roman"/>
          <w:color w:val="000000" w:themeColor="text1"/>
          <w:sz w:val="16"/>
          <w:szCs w:val="16"/>
        </w:rPr>
        <w:softHyphen/>
        <w:t>лет Конова потерян по причине отказа материальной части, остальные - из-за ошибок пилотов.</w:t>
      </w:r>
    </w:p>
    <w:p w14:paraId="3C41A075"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Но ситуация на Кавказе осенью 1942 года была критической, поэтому советское командование бросало про</w:t>
      </w:r>
      <w:r w:rsidRPr="00722885">
        <w:rPr>
          <w:rFonts w:ascii="Times New Roman" w:hAnsi="Times New Roman" w:cs="Times New Roman"/>
          <w:color w:val="000000" w:themeColor="text1"/>
          <w:sz w:val="16"/>
          <w:szCs w:val="16"/>
        </w:rPr>
        <w:softHyphen/>
        <w:t>тив наступающих немецких частей, все, что попадало под руку. Так слу</w:t>
      </w:r>
      <w:r w:rsidRPr="00722885">
        <w:rPr>
          <w:rFonts w:ascii="Times New Roman" w:hAnsi="Times New Roman" w:cs="Times New Roman"/>
          <w:color w:val="000000" w:themeColor="text1"/>
          <w:sz w:val="16"/>
          <w:szCs w:val="16"/>
        </w:rPr>
        <w:softHyphen/>
        <w:t>чилось и с 23-й авиационным полком. Добравшись 1 сентября до Тбилиси, полк, точнее, то, что от него осталось, застрял там из-за плохой погоды над перевалами Главного Кавказского хребта. И по приказу командующего Закавказским фронтом генерала армии И.В. Тюленева полк, потеряв безвоз</w:t>
      </w:r>
      <w:r w:rsidRPr="00722885">
        <w:rPr>
          <w:rFonts w:ascii="Times New Roman" w:hAnsi="Times New Roman" w:cs="Times New Roman"/>
          <w:color w:val="000000" w:themeColor="text1"/>
          <w:sz w:val="16"/>
          <w:szCs w:val="16"/>
        </w:rPr>
        <w:softHyphen/>
        <w:t>вратно еще один самолет, вернулся в Махачкалу. Здесь 23-й шап вошел в оперативное подчинение 216-й истре</w:t>
      </w:r>
      <w:r w:rsidRPr="00722885">
        <w:rPr>
          <w:rFonts w:ascii="Times New Roman" w:hAnsi="Times New Roman" w:cs="Times New Roman"/>
          <w:color w:val="000000" w:themeColor="text1"/>
          <w:sz w:val="16"/>
          <w:szCs w:val="16"/>
        </w:rPr>
        <w:softHyphen/>
        <w:t>бительной авиационной дивизии и ба</w:t>
      </w:r>
      <w:r w:rsidRPr="00722885">
        <w:rPr>
          <w:rFonts w:ascii="Times New Roman" w:hAnsi="Times New Roman" w:cs="Times New Roman"/>
          <w:color w:val="000000" w:themeColor="text1"/>
          <w:sz w:val="16"/>
          <w:szCs w:val="16"/>
        </w:rPr>
        <w:softHyphen/>
        <w:t>зировался на аэродроме Арахонская. Так как управление и технический состав части продолжали следовать к месту прежнего назначения, полку были выделены механики из 216-й иад. Всего в Арахонской оказалось 16 самолетов Р-10, столько же летчиков и 12 штурманов, командир и комиссар полка, а также начальник штаба капи</w:t>
      </w:r>
      <w:r w:rsidRPr="00722885">
        <w:rPr>
          <w:rFonts w:ascii="Times New Roman" w:hAnsi="Times New Roman" w:cs="Times New Roman"/>
          <w:color w:val="000000" w:themeColor="text1"/>
          <w:sz w:val="16"/>
          <w:szCs w:val="16"/>
        </w:rPr>
        <w:softHyphen/>
        <w:t>тан Драгунов (19085).</w:t>
      </w:r>
    </w:p>
    <w:p w14:paraId="3CB58604" w14:textId="77777777" w:rsidR="00344FD4" w:rsidRPr="00722885"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1AE3154E"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в 1942 году завершились Воронежско-Ворошиловградская и Донбасская операции. Советские войска отошли на 150-400 км, оставили Донбасс, богатые сельскохозяйственные районы правобережья Дона, город Ростов-на-Дону. Противник форсировал Дон, захватил ряд плацдармов на левом берегу, создал прямую угрозу Сталинграду и Северному Кавказу, но уничтожить основные силы Юго-Западного и Южного фронтов ему не удалось (14962).</w:t>
      </w:r>
    </w:p>
    <w:p w14:paraId="14B5209D"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03B0E142"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в 1942 году заканчивается общее наступление вермахта на южном крыле фронта (14962).</w:t>
      </w:r>
    </w:p>
    <w:p w14:paraId="33BE59A0"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28810EE4"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в 1942 году германское командование перебросило на советско-германский фронт основные силы авиации, действовавшей в Северной Африке (14962).</w:t>
      </w:r>
    </w:p>
    <w:p w14:paraId="7A250A68"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7A0D1FDA"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в 1942 году (24 – 25 июля) в результате молниеносной десантной операции усиленная рота «Бранденбург-800» гауптмана Граберта овладевает шестикилометровыми гидротехническими сооружениями (железнодорожные насыпи, земляные плотины, мосты) между Ростовом-на-Дону и Батайском в пойме Дона (14962).</w:t>
      </w:r>
    </w:p>
    <w:p w14:paraId="648BF9EF"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69003CE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сержант Шот из 688-го шап после атаки цели был атакован 2 В</w:t>
      </w:r>
      <w:r w:rsidRPr="00722885">
        <w:rPr>
          <w:rFonts w:ascii="Times New Roman" w:hAnsi="Times New Roman"/>
          <w:color w:val="000000" w:themeColor="text1"/>
          <w:sz w:val="16"/>
          <w:szCs w:val="16"/>
          <w:lang w:val="en-US"/>
        </w:rPr>
        <w:t>f</w:t>
      </w:r>
      <w:r w:rsidRPr="00722885">
        <w:rPr>
          <w:rFonts w:ascii="Times New Roman" w:hAnsi="Times New Roman"/>
          <w:color w:val="000000" w:themeColor="text1"/>
          <w:sz w:val="16"/>
          <w:szCs w:val="16"/>
        </w:rPr>
        <w:t>109. В результате самолет был сильно поврежден (правое шасси, пробиты правая половина центроплана, троса элеронов, две лопасти винта, повреждены троса рулевого управления). Сам Шот был ранен в правый глаз. Несмотря на все это, "тов. Шот дотянул самолет на один из наших аэродромов и благополучно произвел посадку, а сам вылезти из кабины не смог, потерял сознание" (12020).</w:t>
      </w:r>
    </w:p>
    <w:p w14:paraId="492C9BFE"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93CB5"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 26 июля 1942 состоялись повторные удары по Кенигсбергу. В последнем участ</w:t>
      </w:r>
      <w:r w:rsidRPr="00722885">
        <w:rPr>
          <w:rFonts w:ascii="Times New Roman" w:hAnsi="Times New Roman"/>
          <w:color w:val="000000" w:themeColor="text1"/>
          <w:sz w:val="16"/>
          <w:szCs w:val="16"/>
        </w:rPr>
        <w:softHyphen/>
        <w:t>вовали 88 самолетов. В Данциге подо</w:t>
      </w:r>
      <w:r w:rsidRPr="00722885">
        <w:rPr>
          <w:rFonts w:ascii="Times New Roman" w:hAnsi="Times New Roman"/>
          <w:color w:val="000000" w:themeColor="text1"/>
          <w:sz w:val="16"/>
          <w:szCs w:val="16"/>
        </w:rPr>
        <w:softHyphen/>
        <w:t>жгли верфи и достигли нескольких по</w:t>
      </w:r>
      <w:r w:rsidRPr="00722885">
        <w:rPr>
          <w:rFonts w:ascii="Times New Roman" w:hAnsi="Times New Roman"/>
          <w:color w:val="000000" w:themeColor="text1"/>
          <w:sz w:val="16"/>
          <w:szCs w:val="16"/>
        </w:rPr>
        <w:softHyphen/>
        <w:t>паданий в линкор «Гнейзенау». Над Берлином советские бомбардировщики появились 26 августа. На город полете-1 ли бомбы с надписями: «Срочно. Бер</w:t>
      </w:r>
      <w:r w:rsidRPr="00722885">
        <w:rPr>
          <w:rFonts w:ascii="Times New Roman" w:hAnsi="Times New Roman"/>
          <w:color w:val="000000" w:themeColor="text1"/>
          <w:sz w:val="16"/>
          <w:szCs w:val="16"/>
        </w:rPr>
        <w:softHyphen/>
        <w:t>лин, Гитлеру!», «Кровопийце Адольфу от гвардейцев» и другими. 14 сентября организовали налеты на объекты в Ру</w:t>
      </w:r>
      <w:r w:rsidRPr="00722885">
        <w:rPr>
          <w:rFonts w:ascii="Times New Roman" w:hAnsi="Times New Roman"/>
          <w:color w:val="000000" w:themeColor="text1"/>
          <w:sz w:val="16"/>
          <w:szCs w:val="16"/>
        </w:rPr>
        <w:softHyphen/>
        <w:t>мынии, в которых участвовали полки 3-1и, 17-й и 45-й дивизий. Бомбили Буха</w:t>
      </w:r>
      <w:r w:rsidRPr="00722885">
        <w:rPr>
          <w:rFonts w:ascii="Times New Roman" w:hAnsi="Times New Roman"/>
          <w:color w:val="000000" w:themeColor="text1"/>
          <w:sz w:val="16"/>
          <w:szCs w:val="16"/>
        </w:rPr>
        <w:softHyphen/>
        <w:t>рест, Плоешти с его нефтеперегонными заводами и порт Галац на Дунае. В таких дальних рейдах остро сказы</w:t>
      </w:r>
      <w:r w:rsidRPr="00722885">
        <w:rPr>
          <w:rFonts w:ascii="Times New Roman" w:hAnsi="Times New Roman"/>
          <w:color w:val="000000" w:themeColor="text1"/>
          <w:sz w:val="16"/>
          <w:szCs w:val="16"/>
        </w:rPr>
        <w:softHyphen/>
        <w:t>вались недостатки Ил-4. Полет длился до 12 часов. Все это время от пилота требовалось неусыпное внимание. Не</w:t>
      </w:r>
      <w:r w:rsidRPr="00722885">
        <w:rPr>
          <w:rFonts w:ascii="Times New Roman" w:hAnsi="Times New Roman"/>
          <w:color w:val="000000" w:themeColor="text1"/>
          <w:sz w:val="16"/>
          <w:szCs w:val="16"/>
        </w:rPr>
        <w:softHyphen/>
        <w:t>достаточная продольная устойчивость, ухудшившаяся на модификации ДБ-3Ф и продолжавшая ухудшаться после пе</w:t>
      </w:r>
      <w:r w:rsidRPr="00722885">
        <w:rPr>
          <w:rFonts w:ascii="Times New Roman" w:hAnsi="Times New Roman"/>
          <w:color w:val="000000" w:themeColor="text1"/>
          <w:sz w:val="16"/>
          <w:szCs w:val="16"/>
        </w:rPr>
        <w:softHyphen/>
        <w:t>рехода к экипажу из четырех человек и установки дополнительного оборудова</w:t>
      </w:r>
      <w:r w:rsidRPr="00722885">
        <w:rPr>
          <w:rFonts w:ascii="Times New Roman" w:hAnsi="Times New Roman"/>
          <w:color w:val="000000" w:themeColor="text1"/>
          <w:sz w:val="16"/>
          <w:szCs w:val="16"/>
        </w:rPr>
        <w:softHyphen/>
        <w:t>ния, не давали летчику ни минуты по-, коя. Автопилоты стояли только на еди</w:t>
      </w:r>
      <w:r w:rsidRPr="00722885">
        <w:rPr>
          <w:rFonts w:ascii="Times New Roman" w:hAnsi="Times New Roman"/>
          <w:color w:val="000000" w:themeColor="text1"/>
          <w:sz w:val="16"/>
          <w:szCs w:val="16"/>
        </w:rPr>
        <w:softHyphen/>
        <w:t>ничных машинах (до конца 1942 г. на фронт отправили около 60 самолетов с АВП-12), причем в «болтанку» их предписывали отключать (гидравлика реагировала слишком медленно). Ино</w:t>
      </w:r>
      <w:r w:rsidRPr="00722885">
        <w:rPr>
          <w:rFonts w:ascii="Times New Roman" w:hAnsi="Times New Roman"/>
          <w:color w:val="000000" w:themeColor="text1"/>
          <w:sz w:val="16"/>
          <w:szCs w:val="16"/>
        </w:rPr>
        <w:softHyphen/>
        <w:t>гда на помощь пилоту подключался штурман, вставлявший в гнездо съем</w:t>
      </w:r>
      <w:r w:rsidRPr="00722885">
        <w:rPr>
          <w:rFonts w:ascii="Times New Roman" w:hAnsi="Times New Roman"/>
          <w:color w:val="000000" w:themeColor="text1"/>
          <w:sz w:val="16"/>
          <w:szCs w:val="16"/>
        </w:rPr>
        <w:softHyphen/>
        <w:t>ную ручку управления и дававший ко</w:t>
      </w:r>
      <w:r w:rsidRPr="00722885">
        <w:rPr>
          <w:rFonts w:ascii="Times New Roman" w:hAnsi="Times New Roman"/>
          <w:color w:val="000000" w:themeColor="text1"/>
          <w:sz w:val="16"/>
          <w:szCs w:val="16"/>
        </w:rPr>
        <w:softHyphen/>
        <w:t>мандиру немного отдохнуть. Можно привести мнение дважды Ге</w:t>
      </w:r>
      <w:r w:rsidRPr="00722885">
        <w:rPr>
          <w:rFonts w:ascii="Times New Roman" w:hAnsi="Times New Roman"/>
          <w:color w:val="000000" w:themeColor="text1"/>
          <w:sz w:val="16"/>
          <w:szCs w:val="16"/>
        </w:rPr>
        <w:softHyphen/>
        <w:t>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w:t>
      </w:r>
      <w:r w:rsidRPr="00722885">
        <w:rPr>
          <w:rFonts w:ascii="Times New Roman" w:hAnsi="Times New Roman"/>
          <w:color w:val="000000" w:themeColor="text1"/>
          <w:sz w:val="16"/>
          <w:szCs w:val="16"/>
        </w:rPr>
        <w:softHyphen/>
        <w:t>вал, чтобы самолет летел в заданном режиме». А вот что писал летавший в ту пору на Ил-4 В.В. Решетников: «Уп</w:t>
      </w:r>
      <w:r w:rsidRPr="00722885">
        <w:rPr>
          <w:rFonts w:ascii="Times New Roman" w:hAnsi="Times New Roman"/>
          <w:color w:val="000000" w:themeColor="text1"/>
          <w:sz w:val="16"/>
          <w:szCs w:val="16"/>
        </w:rPr>
        <w:softHyphen/>
        <w:t>равление нельзя было бросить ни на се</w:t>
      </w:r>
      <w:r w:rsidRPr="00722885">
        <w:rPr>
          <w:rFonts w:ascii="Times New Roman" w:hAnsi="Times New Roman"/>
          <w:color w:val="000000" w:themeColor="text1"/>
          <w:sz w:val="16"/>
          <w:szCs w:val="16"/>
        </w:rPr>
        <w:softHyphen/>
        <w:t>кунду: при самой идеальной нейтраль</w:t>
      </w:r>
      <w:r w:rsidRPr="00722885">
        <w:rPr>
          <w:rFonts w:ascii="Times New Roman" w:hAnsi="Times New Roman"/>
          <w:color w:val="000000" w:themeColor="text1"/>
          <w:sz w:val="16"/>
          <w:szCs w:val="16"/>
        </w:rPr>
        <w:softHyphen/>
        <w:t>ной регулировке руля высоты машина с брошенным управлением без раздумий, совершенно произвольно лезла вверх или, если ей так вздумается, завалива</w:t>
      </w:r>
      <w:r w:rsidRPr="00722885">
        <w:rPr>
          <w:rFonts w:ascii="Times New Roman" w:hAnsi="Times New Roman"/>
          <w:color w:val="000000" w:themeColor="text1"/>
          <w:sz w:val="16"/>
          <w:szCs w:val="16"/>
        </w:rPr>
        <w:softHyphen/>
        <w:t>лась с ускорением вниз. Она нахально «висела» на руках и в длительных мно</w:t>
      </w:r>
      <w:r w:rsidRPr="00722885">
        <w:rPr>
          <w:rFonts w:ascii="Times New Roman" w:hAnsi="Times New Roman"/>
          <w:color w:val="000000" w:themeColor="text1"/>
          <w:sz w:val="16"/>
          <w:szCs w:val="16"/>
        </w:rPr>
        <w:softHyphen/>
        <w:t>гочасовых полетах выматывала пилотов изрядно. Грешна была этим, матушка». Чрезвычайно утомительным являлся полет при отказе одного мотора. Пари</w:t>
      </w:r>
      <w:r w:rsidRPr="00722885">
        <w:rPr>
          <w:rFonts w:ascii="Times New Roman" w:hAnsi="Times New Roman"/>
          <w:color w:val="000000" w:themeColor="text1"/>
          <w:sz w:val="16"/>
          <w:szCs w:val="16"/>
        </w:rPr>
        <w:softHyphen/>
        <w:t>руя тенденцию к развороту, летчик постоянно был вынужден давить на пе</w:t>
      </w:r>
      <w:r w:rsidRPr="00722885">
        <w:rPr>
          <w:rFonts w:ascii="Times New Roman" w:hAnsi="Times New Roman"/>
          <w:color w:val="000000" w:themeColor="text1"/>
          <w:sz w:val="16"/>
          <w:szCs w:val="16"/>
        </w:rPr>
        <w:softHyphen/>
        <w:t>даль, поскольку триммер не компенси</w:t>
      </w:r>
      <w:r w:rsidRPr="00722885">
        <w:rPr>
          <w:rFonts w:ascii="Times New Roman" w:hAnsi="Times New Roman"/>
          <w:color w:val="000000" w:themeColor="text1"/>
          <w:sz w:val="16"/>
          <w:szCs w:val="16"/>
        </w:rPr>
        <w:softHyphen/>
        <w:t>ровал полностью асимметрию тяги. Этот дефект сохранился практически до последних серий бомбардировщиков. Недостаточно эффективным явля</w:t>
      </w:r>
      <w:r w:rsidRPr="00722885">
        <w:rPr>
          <w:rFonts w:ascii="Times New Roman" w:hAnsi="Times New Roman"/>
          <w:color w:val="000000" w:themeColor="text1"/>
          <w:sz w:val="16"/>
          <w:szCs w:val="16"/>
        </w:rPr>
        <w:softHyphen/>
        <w:t>лось и оборонительное вооружение Ил-4. Трех пулеметов ШКАС для нача</w:t>
      </w:r>
      <w:r w:rsidRPr="00722885">
        <w:rPr>
          <w:rFonts w:ascii="Times New Roman" w:hAnsi="Times New Roman"/>
          <w:color w:val="000000" w:themeColor="text1"/>
          <w:sz w:val="16"/>
          <w:szCs w:val="16"/>
        </w:rPr>
        <w:softHyphen/>
        <w:t>ла 1942 г. уже было недостаточно. Сперва в полках АДД появились кус</w:t>
      </w:r>
      <w:r w:rsidRPr="00722885">
        <w:rPr>
          <w:rFonts w:ascii="Times New Roman" w:hAnsi="Times New Roman"/>
          <w:color w:val="000000" w:themeColor="text1"/>
          <w:sz w:val="16"/>
          <w:szCs w:val="16"/>
        </w:rPr>
        <w:softHyphen/>
        <w:t>тарные установки крупнокалиберного пулемета УБТ в турели МВ-3. По-види</w:t>
      </w:r>
      <w:r w:rsidRPr="00722885">
        <w:rPr>
          <w:rFonts w:ascii="Times New Roman" w:hAnsi="Times New Roman"/>
          <w:color w:val="000000" w:themeColor="text1"/>
          <w:sz w:val="16"/>
          <w:szCs w:val="16"/>
        </w:rPr>
        <w:softHyphen/>
        <w:t>мому, первой их начала использовать 3-я дивизия АЛЛ. С весны вместо верх</w:t>
      </w:r>
      <w:r w:rsidRPr="00722885">
        <w:rPr>
          <w:rFonts w:ascii="Times New Roman" w:hAnsi="Times New Roman"/>
          <w:color w:val="000000" w:themeColor="text1"/>
          <w:sz w:val="16"/>
          <w:szCs w:val="16"/>
        </w:rPr>
        <w:softHyphen/>
        <w:t>ней турели МВ-3 стали ставить УТК-1 с крупнокалиберным пулеметом УБТ и запасом в 200 патронов к нему. УТК-1 являлась переделкой той же МВ-3, осу</w:t>
      </w:r>
      <w:r w:rsidRPr="00722885">
        <w:rPr>
          <w:rFonts w:ascii="Times New Roman" w:hAnsi="Times New Roman"/>
          <w:color w:val="000000" w:themeColor="text1"/>
          <w:sz w:val="16"/>
          <w:szCs w:val="16"/>
        </w:rPr>
        <w:softHyphen/>
        <w:t>ществленной под руководством инже</w:t>
      </w:r>
      <w:r w:rsidRPr="00722885">
        <w:rPr>
          <w:rFonts w:ascii="Times New Roman" w:hAnsi="Times New Roman"/>
          <w:color w:val="000000" w:themeColor="text1"/>
          <w:sz w:val="16"/>
          <w:szCs w:val="16"/>
        </w:rPr>
        <w:softHyphen/>
        <w:t>нера Шебанова. Ранние УТК-1 часто использовали детали и узлы разобран</w:t>
      </w:r>
      <w:r w:rsidRPr="00722885">
        <w:rPr>
          <w:rFonts w:ascii="Times New Roman" w:hAnsi="Times New Roman"/>
          <w:color w:val="000000" w:themeColor="text1"/>
          <w:sz w:val="16"/>
          <w:szCs w:val="16"/>
        </w:rPr>
        <w:softHyphen/>
        <w:t>ных МВ-3. Поэтому частям предписы</w:t>
      </w:r>
      <w:r w:rsidRPr="00722885">
        <w:rPr>
          <w:rFonts w:ascii="Times New Roman" w:hAnsi="Times New Roman"/>
          <w:color w:val="000000" w:themeColor="text1"/>
          <w:sz w:val="16"/>
          <w:szCs w:val="16"/>
        </w:rPr>
        <w:softHyphen/>
        <w:t>валось при получении УТК-1 старые ту</w:t>
      </w:r>
      <w:r w:rsidRPr="00722885">
        <w:rPr>
          <w:rFonts w:ascii="Times New Roman" w:hAnsi="Times New Roman"/>
          <w:color w:val="000000" w:themeColor="text1"/>
          <w:sz w:val="16"/>
          <w:szCs w:val="16"/>
        </w:rPr>
        <w:softHyphen/>
        <w:t>рели отправлять обратно на завод. Усиление огневой мощи сразу заста</w:t>
      </w:r>
      <w:r w:rsidRPr="00722885">
        <w:rPr>
          <w:rFonts w:ascii="Times New Roman" w:hAnsi="Times New Roman"/>
          <w:color w:val="000000" w:themeColor="text1"/>
          <w:sz w:val="16"/>
          <w:szCs w:val="16"/>
        </w:rPr>
        <w:softHyphen/>
        <w:t>вило немецкие ночные истребители держаться подальше и, соответственно, понизило эффективность их стрельбы. В феврале 1942 г. в 748-м полку инже</w:t>
      </w:r>
      <w:r w:rsidRPr="00722885">
        <w:rPr>
          <w:rFonts w:ascii="Times New Roman" w:hAnsi="Times New Roman"/>
          <w:color w:val="000000" w:themeColor="text1"/>
          <w:sz w:val="16"/>
          <w:szCs w:val="16"/>
        </w:rPr>
        <w:softHyphen/>
        <w:t>нер Ю.П. Знаменский создал люковую установку под пулемет УБТ. В ней ис</w:t>
      </w:r>
      <w:r w:rsidRPr="00722885">
        <w:rPr>
          <w:rFonts w:ascii="Times New Roman" w:hAnsi="Times New Roman"/>
          <w:color w:val="000000" w:themeColor="text1"/>
          <w:sz w:val="16"/>
          <w:szCs w:val="16"/>
        </w:rPr>
        <w:softHyphen/>
        <w:t>пользовали удлиненную и уширенную раму от МВ-2, а также лафет, патрон</w:t>
      </w:r>
      <w:r w:rsidRPr="00722885">
        <w:rPr>
          <w:rFonts w:ascii="Times New Roman" w:hAnsi="Times New Roman"/>
          <w:color w:val="000000" w:themeColor="text1"/>
          <w:sz w:val="16"/>
          <w:szCs w:val="16"/>
        </w:rPr>
        <w:softHyphen/>
        <w:t>ный ящик и удлиненный рукав питания от ЛУ Пе-2. Боезапас составлял 250 патронов. Установку испытали в бою и остались ею довольны. Командование АЛЛ упорно пыталось добиться внедрения этой установки на серийных самолетах, но Ильюшин столь же упорно противился этому, бо</w:t>
      </w:r>
      <w:r w:rsidRPr="00722885">
        <w:rPr>
          <w:rFonts w:ascii="Times New Roman" w:hAnsi="Times New Roman"/>
          <w:color w:val="000000" w:themeColor="text1"/>
          <w:sz w:val="16"/>
          <w:szCs w:val="16"/>
        </w:rPr>
        <w:softHyphen/>
        <w:t>ясь, что сдвиг центровки назад (новая установка была на 70 кг тяжелее МВ-2) еще более ухудшит и без того не очень приятные пилотажные качества Ил-4. Но в полках продолжали монтировать УБТ и в люковой установке (10734,71).</w:t>
      </w:r>
    </w:p>
    <w:p w14:paraId="134AD901" w14:textId="77777777" w:rsidR="00AE7191" w:rsidRPr="00722885"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73A86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 26 июля 1942 состоялись повторные удары по Кенигсбергу. В последнем участвовали 88 самолетов. В Данциге подожгли верфи и достигли нескольких попаданий в линкор "Гнейзе- нау". Над Берлином советские бомбардировщики появились 26 августа. На город полетели бомбы с надписями: "Срочно. Берлин, Гитлеру!", "Кровопийце Адольфу от гвардейцев" и другими. 14 сентября организовали налеты на объекты в Румынии, в которых участвовали полки 3-й, 17-й и 45-й дивизий. Бомбили Бухарест, Плоешти с его нефтеперегонными заводами и порт Галац на Дунае.</w:t>
      </w:r>
    </w:p>
    <w:p w14:paraId="25100AE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таких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ДБ-ЗФ и продолжавшая ухудшаться после перехода к экипажу из четырех человек и установки дополнительного оборудования, не давали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(гидравлика pea- Штурман гировала слишком медленно). Иногда на по- в кабине Ил-4 мощь пилоту подключался штурман, вставлявший в гнездо съемную ручку управления и дававший командиру немного отдохнуть.</w:t>
      </w:r>
    </w:p>
    <w:p w14:paraId="737EFC15"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Можно привести мнение дважды Героя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А вот что писал летавший в ту пору на Ил-4 В. В. Решетников: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Группа Ил-4 многочасовых полетах выматывала пилотов на полевом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бомбардировщиков (12021).</w:t>
      </w:r>
    </w:p>
    <w:p w14:paraId="6999AC5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633A4"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24 июля 1942 командующий КБФ отдал приказ приступить к полетам на "свободную охоту" в Финском заливе, но штаб ВВС еще некоторое время оставался верным практике предварительной воздушной разведки. Поскольку наладить ее оперативность по-прежнему не удавалось, вылеты торпедоносцев оставались редким явлением - два раза в августе и один раз в сентябре. Видимый успех достигался в каждом случае, но ни разу он не был подтвержден современными данными. Например, 27 августа пара Ил-4 в сопровождении 10 "Харрикейнов" атаковала "три транспорта" в Нарвском заливе и наблюдала потопление одного, якобы в результате попадания торпеды, сброшенной В.А. Балебиным. Реально нападению подверглась группа тральщиков из состава немецкой 3-й флотилии, которая доложила, что ее атаковали два торпедоносца, после чего наблюдались следы торпед, прошедших на значительном расстоянии. Судя по всему, прицелиться нашим пилотам помешал плотный </w:t>
      </w:r>
      <w:r w:rsidRPr="00722885">
        <w:rPr>
          <w:rFonts w:ascii="Times New Roman" w:hAnsi="Times New Roman"/>
          <w:color w:val="000000" w:themeColor="text1"/>
          <w:sz w:val="16"/>
          <w:szCs w:val="16"/>
        </w:rPr>
        <w:lastRenderedPageBreak/>
        <w:t>заградительный огонь главного калибра тральщиков - при падении каждого 105-мм снаряда вверх поднимался столб воды высотой 10-15 м, встреча с которым сулила самолету немедленную гибель.</w:t>
      </w:r>
    </w:p>
    <w:p w14:paraId="1CA7FBD6"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временем основные усилия 1-го гмтап были сосредоточены на ночных налетах на железнодорожные станции и аэродромы противника. Интенсивность вылетов по сравнению с предыдущими месяцами выросла примерно в два раза. Делалось это в связи с планировавшейся операцией по деблокаде Ленинграда. Операция состоялась в сентябре - октябре и завершилась крупной неудачей - немцам удалось окружить часть ударной группировки Волховского фронта в лесных массивах в районе Синявино. Правда, их войска тоже понесли серьезные потери и израсходовали множество бомб и снарядов, что сорвало планировавшееся наступление на Ленинград. В ходе этих налетов полк и понес свои основные боевые потери. В первой половине сентября один за другим пропали без вести машины ст. л-т Овсянникова, капитанов Зотова, Кузнецова и Пушкина. Тогда предполагали, что их сбили ночные истребители противника, но ставшие известными в настоящее время материалы противника не подтверждают это предположение. В результате к 22 сентября численный состав полка сократился практически вдвое: там насчитывалось всего 9/8 Ил-4, 4/4 ДВ-ЗБ и 3/3 СБ. Вылетов на морском направлении по-прежнему совершались единицы.</w:t>
      </w:r>
    </w:p>
    <w:p w14:paraId="737511B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Регулярными полеты торпедоносцев стали только с 8 октября, уже при новом командире полка Герое Советского Союза майоре Н.В. Челнокове. Еще в июле 41-го бывший комэск-1 временно покинул родной полк, чтобы возглавить свежесфор- мированную эскадрилью штурмовиков Ил-2. Эскадрилья воевала в составе 57-го бап. С 20.8.1941 до конца года Челноков лично произвел 58 вылетов на штурмовике, в ходе которых в группе уничтожил 51 танк, 148 автомашин, 123 фургона, 43 зенитных пушки, 18 бронемашин. 22 орудия и миномета и т.д. Указом от 14.6.1942 Н.В. Челноков был удостоен звания Героя Советского Союза, практически одновременно получил назначение на должность помощника командира 1-го гмтап. 9 августа он сменил на этой должности Е.Н. Преображенского, который стал командиром 8-й бомбардировочной бригады, куда по-прежнему входил и 1-й гмтап.</w:t>
      </w:r>
    </w:p>
    <w:p w14:paraId="6D36670F"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Отчаявшись наладить взаимодействие между разведчиками и торпедоносцами, командование ВВС КБФ пошло на то. чтобы разрешить полеты на "свободную охоту", хотя и понимало, что этот метод ущербен. Почти каждый день на поиск вылетала пара торпедоносцев, зачастую возвращавшаяся из-за плохой погоды или неисправностей материальной части. Когда же погода оказывалась лучше, наших летчиков ожидали неприятные сюрпризы. 13 октября пара, возглавляемая Балебиным, безуспешно атаковала группу сторожевиков и на обратном пути была перехвачена шестеркой финских "фоккеров". Воздушным стрелкам якобы удалось сбить двоих преследователей, но оба "ильюшиных" получили по 30-40 пулевых пробоин и с трудом дотянули до базы. 19-го Балебин атаковал миноносец (реально - финский сторожевой корабль), на следующий день экипаж Пяткова, по донесению, потопил "небольшой транспорт" южнее Ханко (немецкий охотник "Uj 1214"). 22 октября паре торпедоносцев не удалось обнаружить целей, чего не скажешь о финских истребителях, атаковавших наших при возвращении. Один из "ильюшиных" получил весьма серьезные повреждения, но дотянул до базы. После этого случая вылеты продолжились исключительно в сопровождении истребителей, однако практика показала, что это не решает проблемы. 25-го пара Ил-4. возвращавшаяся после "успешной" атаки крупного транспорта в сопровождении "Харрикейнов". была атакована шестеркой вражеских охотников. Торпедоносцам удалось оторваться от преследования, но двое из числа сопровождавших рухнули в воду (12002).</w:t>
      </w:r>
    </w:p>
    <w:p w14:paraId="5B1C9DC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DD30A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July 24, 1942: Large numbers of Russian troops are liquidated in and around Rostov after German troops secure the city (3819).</w:t>
      </w:r>
    </w:p>
    <w:p w14:paraId="07A08FAD"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5B49007"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немцы захватили Ростов и пошли на Кавказ (512,212).</w:t>
      </w:r>
    </w:p>
    <w:p w14:paraId="6B062E83"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34C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вышло Постановление ГКО № 2087 О строительстве резервных телеграфно-телефонных узлов и обходных линий связи Закавказья, Нижний Волочек на Урал для связи с центром страны. РГАНИР, Фонд ГКО, д. 47, лл. 108-109 (11012).</w:t>
      </w:r>
    </w:p>
    <w:p w14:paraId="36182B60"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44D61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вышло Постановление ГКО № 2088 О сформировании восемнадцати армейских полков ПВО для девяти танковых армий. РГАНИР, Фонд ГКО, д. 47, лл. 110 (11012).</w:t>
      </w:r>
    </w:p>
    <w:p w14:paraId="63D636DA"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324C2"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командующий КБФ отдал приказ приступить к полетам на «свободную охоту» в Финском заливе, однако, последующие вылеты состоялись только 9, 27 августа и 20 сентября. Видимый успех был достигнут только 27 августа, когда пара Ил-4 в сопровождении 10 «Харрикейнов» атаковала «три транспорта» в Нарвском заливе и наблюдала потопление одного (реально не подтверждается). Регулярными полеты на «свободную охоту» стали только с 8 октября уже при новом командире полка Герое Советского Союза майоре Н.В.Челнокове (сменил Е.Н.Преображенского 9 августа). Почти каждый день на поиск вылетала пара торпедоносцев, зачастую возвращавшаяся из-за плохой погоды или неисправностей материальной части (9965).</w:t>
      </w:r>
    </w:p>
    <w:p w14:paraId="0FA5FEF8"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3376C"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Издание директивы Ставки Верховного Главнокомандования о возрастающей роли связи в обеспечении управления войсками (11072).</w:t>
      </w:r>
    </w:p>
    <w:p w14:paraId="3DE22771" w14:textId="77777777" w:rsidR="00AE7191" w:rsidRPr="00722885"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FE19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044EE30F" w14:textId="77777777" w:rsidR="00AE7191" w:rsidRPr="00722885" w:rsidRDefault="00AE7191" w:rsidP="00722885">
      <w:pPr>
        <w:pStyle w:val="Iauiue"/>
        <w:jc w:val="both"/>
        <w:rPr>
          <w:iCs/>
          <w:color w:val="000000" w:themeColor="text1"/>
          <w:sz w:val="16"/>
          <w:szCs w:val="16"/>
        </w:rPr>
      </w:pPr>
    </w:p>
    <w:p w14:paraId="6169719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июля 1942 вышло Постановление ГКО № 2085 Об эвакуации скота из районов Краснодарского края, Ростовской и Сталинградской областей. РГАНИР, Фонд ГКО, д. 46, лл. 102 (11012).</w:t>
      </w:r>
    </w:p>
    <w:p w14:paraId="2536AD9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DADE1CE"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24 июля 1942 Илья Эренбург в “Красной Звезде” выдвинул лозунг “Убей немца” (4962).</w:t>
      </w:r>
    </w:p>
    <w:p w14:paraId="52BC69E9" w14:textId="77777777" w:rsidR="00AE7191" w:rsidRPr="00722885" w:rsidRDefault="00AE7191" w:rsidP="00722885">
      <w:pPr>
        <w:pStyle w:val="Iauiue"/>
        <w:tabs>
          <w:tab w:val="left" w:pos="11199"/>
        </w:tabs>
        <w:jc w:val="both"/>
        <w:rPr>
          <w:color w:val="000000" w:themeColor="text1"/>
          <w:sz w:val="16"/>
          <w:szCs w:val="16"/>
        </w:rPr>
      </w:pPr>
    </w:p>
    <w:p w14:paraId="2137F3D3"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A91B9DE" w14:textId="77777777" w:rsidR="00AE7191" w:rsidRPr="00722885" w:rsidRDefault="00AE7191" w:rsidP="00722885">
      <w:pPr>
        <w:pStyle w:val="Iauiue"/>
        <w:jc w:val="both"/>
        <w:rPr>
          <w:iCs/>
          <w:color w:val="000000" w:themeColor="text1"/>
          <w:sz w:val="16"/>
          <w:szCs w:val="16"/>
        </w:rPr>
      </w:pPr>
    </w:p>
    <w:p w14:paraId="4394802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24 июля 1942 Финляндия тайно предложила США сделку: финны переходят на сторону союзников в случае, если американцы гарантируют защиту Финляндии от советской агрессии (4962).</w:t>
      </w:r>
    </w:p>
    <w:p w14:paraId="3304E714" w14:textId="77777777" w:rsidR="00AE7191" w:rsidRPr="00722885" w:rsidRDefault="00AE7191" w:rsidP="00722885">
      <w:pPr>
        <w:pStyle w:val="Iauiue"/>
        <w:tabs>
          <w:tab w:val="left" w:pos="11199"/>
        </w:tabs>
        <w:jc w:val="both"/>
        <w:rPr>
          <w:color w:val="000000" w:themeColor="text1"/>
          <w:sz w:val="16"/>
          <w:szCs w:val="16"/>
        </w:rPr>
      </w:pPr>
    </w:p>
    <w:p w14:paraId="5E21C9B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144A7C8" w14:textId="77777777" w:rsidR="00AE7191" w:rsidRPr="00722885" w:rsidRDefault="00AE7191" w:rsidP="00722885">
      <w:pPr>
        <w:pStyle w:val="Iauiue"/>
        <w:jc w:val="both"/>
        <w:rPr>
          <w:iCs/>
          <w:color w:val="000000" w:themeColor="text1"/>
          <w:sz w:val="16"/>
          <w:szCs w:val="16"/>
        </w:rPr>
      </w:pPr>
    </w:p>
    <w:p w14:paraId="51E57ADF" w14:textId="77777777" w:rsidR="008E0C53" w:rsidRPr="00722885" w:rsidRDefault="008E0C5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с 25 по 30 июля 1942 установки РС-82, смонтированные на левом крыле на одном из серийных Ил-2 для стрельбы назад прошли испытания в воздухе с целью проверки эффективности самой идеи и оценки безопасности стрельбы. Ракетная установка представляла собой батарею из трех РО-82, перевернутых на 180° в горизонтальной плоскости и закрепленных на двух кронштейнах (ракетные снаряды «не висят на штифте, а находятся сверху балки, обращенные своим стабилизатором вперед по направлению полета»). Кронштейны крепились сверху к силовым элементам крыла. Расстояние от оси самолета до среднего ракетного орудия составляло 3,5 м и находилось вне плоскости, ометаемой воздушным винтом. В вертикальной плоскости ось правого (по направлению полета) орудия составляла +5°, ось среднего – +4,5°, ось левого – +6° с осью самолета. В горизонтальной плоскости оси орудий отстояли от строительной оси самолета на следующие углы: правое – +1°, среднее – +2,5°, левое – +4°. Электропроводка от штатных РО-82 (под левой плоскостью) на время испытаний была «перекинута к опытной батарее 3РО-82». Поэтому управление стрельбой ничем не отличалось от стрельбы из ракетных орудий, расположенных под крылом, и осуществлялось при помощи ЭСБР-3п. Прицеливание выполнялось «на глаз», что называется, «в сторону противника». Максимальная скорость полета Ил-2 с батареей 3РО-82 уменьшилась на 12 км/ч. В то же время конструкция установки позволяла выполнять все допустимые фигуры пилотажа. В воздухе стреляли РСами как одиночно, так и залпом из трех снарядов. Замедление срабатывания взрывателей АГДТ устанавливалось на 4 и 2,2 с. Все ракетные снаряды сработали после пуска штатно. Стрельбы показали, что газовая струя от РС «вредного воздействия на обшивку крыла не оказывала», дефектов крепления батареи на самолете не обнаружили. Рассеивание разрывов снарядов при стрельбе назад с Ил-2 получилось заметно меньше, чем при стрельбе из аналогичной установки с самолета Пе-2 (установка проходила испытания на НИП АВ с 20 по 25 июня 1942 г.), но все равно было слишком велико для обеспечения приемлемой эффективности действия по неприятельским истребителям. Это объяснялось неэффективностью стабилизатора ракетного снаряда «на первом метре его полета с момента схода РС с РО и до момента увеличения собственной скорости РС свыше 90–95 м/с, когда воздушный поток воздействует на стабилизатор в направлении обратном нормальному». Кроме того, при минимальной установке АГДТ на 2,2 с ракетные снаряды разрывались на удалении 380–420 м от самолета. Угол превышения точки разрыва над самолетом лежал в пределах 24°. Делалось заключение, что «данная батарея РО не может защитить Ил-2 от атаки сзади с близких дистанций (менее 400 м) со стороны верхней задней полусферы под углом большим 25°». В то же время увеличить установочный угол ракетных орудий более 8–10° не представлялось возможным, так как при этом резко ухудшалась аэродинамика самолета и возрастало рассеивание при стрельбе. Был сделан следующий вывод: «Применение батареи РО-82 в целях поражения истребителей противника является тактически нецелесообразным, так как: а) невозможно в воздухе вести прицельную стрельбу из-за большого рассеивания даже при наличии специальных прицелов; б) атаки истребителей с близких дистанций и с пикирования отразить нельзя; в) боекомплект 3 РС-82 не обеспечивает защиты Ил-2 при многократных атаках». Соответственно, заключение полигона по установке на самолет Ил-2 ракетных орудий для стрельбы назад было отрицательным. При этом считалось необходимым «ускорить разработку установки создающей эффективную огневую защиту самолета Ил-2 в области верхней задней полусферы» (19776).</w:t>
      </w:r>
    </w:p>
    <w:p w14:paraId="6BA7A755" w14:textId="77777777" w:rsidR="008E0C53" w:rsidRPr="00722885" w:rsidRDefault="008E0C53" w:rsidP="00722885">
      <w:pPr>
        <w:spacing w:after="0" w:line="240" w:lineRule="auto"/>
        <w:jc w:val="both"/>
        <w:rPr>
          <w:rFonts w:ascii="Times New Roman" w:hAnsi="Times New Roman"/>
          <w:color w:val="000000" w:themeColor="text1"/>
          <w:sz w:val="16"/>
          <w:szCs w:val="16"/>
        </w:rPr>
      </w:pPr>
    </w:p>
    <w:p w14:paraId="19CB5E6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1942 вышло Постановление ГКО № 2090 Об экономии алюминия в авиационной промышленности. РГАНИР, Фонд ГКО, д. 47, лл. 125 (11012).</w:t>
      </w:r>
    </w:p>
    <w:p w14:paraId="29F1F02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1962A3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1942 вышло Постановление ГКО № 2092 Вопрос НКАП. РГАНИР, Фонд ГКО, д. 47, лл. 127 (11012).</w:t>
      </w:r>
    </w:p>
    <w:p w14:paraId="38DE15A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AF0D4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июля 1942 вышло постановление ГКО N 2092 о строительстве деревянных консолей к ДБ-3Ф (1581,5).</w:t>
      </w:r>
    </w:p>
    <w:p w14:paraId="441AB441" w14:textId="77777777" w:rsidR="00AE7191" w:rsidRPr="00722885" w:rsidRDefault="00AE7191" w:rsidP="00722885">
      <w:pPr>
        <w:pStyle w:val="Iauiue"/>
        <w:jc w:val="both"/>
        <w:rPr>
          <w:color w:val="000000" w:themeColor="text1"/>
          <w:sz w:val="16"/>
          <w:szCs w:val="16"/>
        </w:rPr>
      </w:pPr>
    </w:p>
    <w:p w14:paraId="4F81F42F" w14:textId="77777777" w:rsidR="009A1081" w:rsidRPr="00722885" w:rsidRDefault="009A108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1942 вышло постановление ГКО N 2092 Вопрос НКАП</w:t>
      </w:r>
    </w:p>
    <w:p w14:paraId="47818F5B" w14:textId="77777777" w:rsidR="009A1081" w:rsidRPr="00722885" w:rsidRDefault="009A1081" w:rsidP="00722885">
      <w:pPr>
        <w:tabs>
          <w:tab w:val="left" w:pos="1870"/>
        </w:tabs>
        <w:spacing w:after="0" w:line="240" w:lineRule="auto"/>
        <w:jc w:val="both"/>
        <w:rPr>
          <w:rFonts w:ascii="Times New Roman" w:eastAsia="Gungsuh" w:hAnsi="Times New Roman"/>
          <w:color w:val="000000" w:themeColor="text1"/>
          <w:sz w:val="16"/>
          <w:szCs w:val="16"/>
          <w:lang w:eastAsia="ru-RU"/>
        </w:rPr>
      </w:pPr>
      <w:r w:rsidRPr="00722885">
        <w:rPr>
          <w:rFonts w:ascii="Times New Roman" w:eastAsia="Gungsuh" w:hAnsi="Times New Roman"/>
          <w:color w:val="000000" w:themeColor="text1"/>
          <w:sz w:val="16"/>
          <w:szCs w:val="16"/>
          <w:lang w:eastAsia="ru-RU"/>
        </w:rPr>
        <w:t>1. Обязать директора завода № 23 т.Кузина к глав</w:t>
      </w:r>
      <w:r w:rsidRPr="00722885">
        <w:rPr>
          <w:rFonts w:ascii="Times New Roman" w:eastAsia="Gungsuh" w:hAnsi="Times New Roman"/>
          <w:color w:val="000000" w:themeColor="text1"/>
          <w:sz w:val="16"/>
          <w:szCs w:val="16"/>
          <w:lang w:eastAsia="ru-RU"/>
        </w:rPr>
        <w:softHyphen/>
        <w:t>ного конструктора т.Ильюшина:</w:t>
      </w:r>
    </w:p>
    <w:p w14:paraId="50657F8F" w14:textId="77777777" w:rsidR="009A1081" w:rsidRPr="00722885" w:rsidRDefault="009A1081" w:rsidP="00722885">
      <w:pPr>
        <w:tabs>
          <w:tab w:val="left" w:pos="1893"/>
        </w:tabs>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Gungsuh" w:hAnsi="Times New Roman"/>
          <w:color w:val="000000" w:themeColor="text1"/>
          <w:sz w:val="16"/>
          <w:szCs w:val="16"/>
          <w:lang w:eastAsia="ru-RU"/>
        </w:rPr>
        <w:t>а) закончить две деревянных консоли к самолету ДБЗФ с мотором М82 к 5 августа 1942 г.;</w:t>
      </w:r>
    </w:p>
    <w:p w14:paraId="60DB6132" w14:textId="77777777" w:rsidR="009A1081" w:rsidRPr="00722885" w:rsidRDefault="009A1081" w:rsidP="00722885">
      <w:pPr>
        <w:tabs>
          <w:tab w:val="left" w:pos="1818"/>
        </w:tabs>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Gungsuh" w:hAnsi="Times New Roman"/>
          <w:color w:val="000000" w:themeColor="text1"/>
          <w:sz w:val="16"/>
          <w:szCs w:val="16"/>
          <w:lang w:eastAsia="ru-RU"/>
        </w:rPr>
        <w:t>б) две следующих деревянных консоли закончить к 10 августа 1942 г. для самолета с мотором М88, ус</w:t>
      </w:r>
      <w:r w:rsidRPr="00722885">
        <w:rPr>
          <w:rFonts w:ascii="Times New Roman" w:eastAsia="Gungsuh" w:hAnsi="Times New Roman"/>
          <w:color w:val="000000" w:themeColor="text1"/>
          <w:sz w:val="16"/>
          <w:szCs w:val="16"/>
          <w:lang w:eastAsia="ru-RU"/>
        </w:rPr>
        <w:softHyphen/>
        <w:t>тановить на самолет и закончить летные испытания к 20 августа.</w:t>
      </w:r>
    </w:p>
    <w:p w14:paraId="5B2CA99B" w14:textId="77777777" w:rsidR="009A1081" w:rsidRPr="00722885" w:rsidRDefault="009A1081" w:rsidP="00722885">
      <w:pPr>
        <w:tabs>
          <w:tab w:val="left" w:pos="1870"/>
        </w:tabs>
        <w:spacing w:after="0" w:line="240" w:lineRule="auto"/>
        <w:jc w:val="both"/>
        <w:rPr>
          <w:rFonts w:ascii="Times New Roman" w:eastAsia="Gungsuh" w:hAnsi="Times New Roman"/>
          <w:color w:val="000000" w:themeColor="text1"/>
          <w:sz w:val="16"/>
          <w:szCs w:val="16"/>
          <w:lang w:eastAsia="ru-RU"/>
        </w:rPr>
      </w:pPr>
      <w:r w:rsidRPr="00722885">
        <w:rPr>
          <w:rFonts w:ascii="Times New Roman" w:eastAsia="Gungsuh" w:hAnsi="Times New Roman"/>
          <w:color w:val="000000" w:themeColor="text1"/>
          <w:sz w:val="16"/>
          <w:szCs w:val="16"/>
          <w:lang w:eastAsia="ru-RU"/>
        </w:rPr>
        <w:t>2. Главному конструктору т.Ильюшину установить две деревянные консоли на самолет ДБЗФ с М82 к 10 августа и закончить заводские летные испытания самолета к 1 сен</w:t>
      </w:r>
      <w:r w:rsidRPr="00722885">
        <w:rPr>
          <w:rFonts w:ascii="Times New Roman" w:eastAsia="Gungsuh" w:hAnsi="Times New Roman"/>
          <w:color w:val="000000" w:themeColor="text1"/>
          <w:sz w:val="16"/>
          <w:szCs w:val="16"/>
          <w:lang w:eastAsia="ru-RU"/>
        </w:rPr>
        <w:softHyphen/>
        <w:t>ря 1942 (19348).</w:t>
      </w:r>
    </w:p>
    <w:p w14:paraId="5B739578" w14:textId="77777777" w:rsidR="009A1081" w:rsidRPr="00722885" w:rsidRDefault="009A1081" w:rsidP="00722885">
      <w:pPr>
        <w:pStyle w:val="Iauiue"/>
        <w:jc w:val="both"/>
        <w:rPr>
          <w:color w:val="000000" w:themeColor="text1"/>
          <w:sz w:val="16"/>
          <w:szCs w:val="16"/>
        </w:rPr>
      </w:pPr>
    </w:p>
    <w:p w14:paraId="7C3A07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июля 1942 вышел приказ НКАП N 561с в обеспечение выполнения заказа УВВС по перевооружению на 400 самолетах Пе-2 верхней установки пулемета ШКАС на установку под пулемет УБТ - 12.7 мм (1584).</w:t>
      </w:r>
    </w:p>
    <w:p w14:paraId="59421461" w14:textId="77777777" w:rsidR="00AE7191" w:rsidRPr="00722885" w:rsidRDefault="00AE7191" w:rsidP="00722885">
      <w:pPr>
        <w:pStyle w:val="Iauiue"/>
        <w:jc w:val="both"/>
        <w:rPr>
          <w:color w:val="000000" w:themeColor="text1"/>
          <w:sz w:val="16"/>
          <w:szCs w:val="16"/>
        </w:rPr>
      </w:pPr>
    </w:p>
    <w:p w14:paraId="5714B6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июля 1942 л 82 завода Попов совершил аварию при испытаниях Як-7, т.к. не выпустилась правая нога (2108).</w:t>
      </w:r>
    </w:p>
    <w:p w14:paraId="50996212" w14:textId="77777777" w:rsidR="00AE7191" w:rsidRPr="00722885" w:rsidRDefault="00AE7191" w:rsidP="00722885">
      <w:pPr>
        <w:pStyle w:val="Iauiue"/>
        <w:jc w:val="both"/>
        <w:rPr>
          <w:color w:val="000000" w:themeColor="text1"/>
          <w:sz w:val="16"/>
          <w:szCs w:val="16"/>
        </w:rPr>
      </w:pPr>
    </w:p>
    <w:p w14:paraId="275439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июля 1942 был составлен акт в г Пушкино в соответствии с приказом по заводу 82 о причинах посадки Як-7Б N 820301 пилотом Поповым на одну левую ногу с убранной полностью правой ногой (2130).</w:t>
      </w:r>
    </w:p>
    <w:p w14:paraId="6536C78B" w14:textId="77777777" w:rsidR="00AE7191" w:rsidRPr="00722885" w:rsidRDefault="00AE7191" w:rsidP="00722885">
      <w:pPr>
        <w:pStyle w:val="Iauiue"/>
        <w:jc w:val="both"/>
        <w:rPr>
          <w:color w:val="000000" w:themeColor="text1"/>
          <w:sz w:val="16"/>
          <w:szCs w:val="16"/>
        </w:rPr>
      </w:pPr>
    </w:p>
    <w:p w14:paraId="019203D4" w14:textId="77777777" w:rsidR="00AE7191" w:rsidRPr="00722885" w:rsidRDefault="00AE719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25 и 26 июля 1942 на НИПАВ прошел испытания ракетный бронебойный снаряд с кумулятивной боевой частью ка</w:t>
      </w:r>
      <w:r w:rsidRPr="00722885">
        <w:rPr>
          <w:rFonts w:ascii="Times New Roman" w:cs="Times New Roman"/>
          <w:color w:val="000000" w:themeColor="text1"/>
          <w:spacing w:val="0"/>
        </w:rPr>
        <w:softHyphen/>
        <w:t>либра 82 мм - РБСК-82. Снаряд был раз</w:t>
      </w:r>
      <w:r w:rsidRPr="00722885">
        <w:rPr>
          <w:rFonts w:ascii="Times New Roman" w:cs="Times New Roman"/>
          <w:color w:val="000000" w:themeColor="text1"/>
          <w:spacing w:val="0"/>
        </w:rPr>
        <w:softHyphen/>
        <w:t>работан совместными усилиями НИИ-3 и НИИ-6. Немецкую танковую броню толщи</w:t>
      </w:r>
      <w:r w:rsidRPr="00722885">
        <w:rPr>
          <w:rFonts w:ascii="Times New Roman" w:cs="Times New Roman"/>
          <w:color w:val="000000" w:themeColor="text1"/>
          <w:spacing w:val="0"/>
        </w:rPr>
        <w:softHyphen/>
        <w:t>ной 30 мм боеприпас разрушал при любых углах встречи, а 50-мм броню - при нор</w:t>
      </w:r>
      <w:r w:rsidRPr="00722885">
        <w:rPr>
          <w:rFonts w:ascii="Times New Roman" w:cs="Times New Roman"/>
          <w:color w:val="000000" w:themeColor="text1"/>
          <w:spacing w:val="0"/>
        </w:rPr>
        <w:softHyphen/>
        <w:t>мальном попадании. Делался вывод, что «РБСК-82 - более эффективен по танкам, чем штатный РС-82». Рассеивание куму</w:t>
      </w:r>
      <w:r w:rsidRPr="00722885">
        <w:rPr>
          <w:rFonts w:ascii="Times New Roman" w:cs="Times New Roman"/>
          <w:color w:val="000000" w:themeColor="text1"/>
          <w:spacing w:val="0"/>
        </w:rPr>
        <w:softHyphen/>
        <w:t>лятивного снаряда не отличалось от та</w:t>
      </w:r>
      <w:r w:rsidRPr="00722885">
        <w:rPr>
          <w:rFonts w:ascii="Times New Roman" w:cs="Times New Roman"/>
          <w:color w:val="000000" w:themeColor="text1"/>
          <w:spacing w:val="0"/>
        </w:rPr>
        <w:softHyphen/>
        <w:t>кового для РС-82. Основным недостатком считалась малая вероятность попадания в танк и ограниченное их количество - всего 8 снарядов, на самолете Ил-2.</w:t>
      </w:r>
    </w:p>
    <w:p w14:paraId="59A997CF" w14:textId="77777777" w:rsidR="00AE7191" w:rsidRPr="00722885" w:rsidRDefault="00AE719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период с 15 октября по 24 ноября 1942 г. РБСК-82 прошел на НИП АВ по</w:t>
      </w:r>
      <w:r w:rsidRPr="00722885">
        <w:rPr>
          <w:rFonts w:ascii="Times New Roman" w:cs="Times New Roman"/>
          <w:color w:val="000000" w:themeColor="text1"/>
          <w:spacing w:val="0"/>
        </w:rPr>
        <w:softHyphen/>
        <w:t>вторные полигонные испытания. По ре</w:t>
      </w:r>
      <w:r w:rsidRPr="00722885">
        <w:rPr>
          <w:rFonts w:ascii="Times New Roman" w:cs="Times New Roman"/>
          <w:color w:val="000000" w:themeColor="text1"/>
          <w:spacing w:val="0"/>
        </w:rPr>
        <w:softHyphen/>
        <w:t>зультатам стрельб специалисты полиго</w:t>
      </w:r>
      <w:r w:rsidRPr="00722885">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5A31B817" w14:textId="77777777" w:rsidR="00AE7191" w:rsidRPr="00722885" w:rsidRDefault="00AE7191" w:rsidP="00722885">
      <w:pPr>
        <w:pStyle w:val="27"/>
        <w:shd w:val="clear" w:color="auto" w:fill="auto"/>
        <w:spacing w:after="0" w:line="240" w:lineRule="auto"/>
        <w:ind w:firstLine="0"/>
        <w:rPr>
          <w:rFonts w:ascii="Times New Roman" w:cs="Times New Roman"/>
          <w:color w:val="000000" w:themeColor="text1"/>
          <w:spacing w:val="0"/>
        </w:rPr>
      </w:pPr>
    </w:p>
    <w:p w14:paraId="40703222"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25 и 26 июля 1942 испытывался РБСК-82. Ведущим инженером по испытаниям был старший техник-лейтенант А. Г. Губин. От НИИ-3 в испытаниях участвовал военинженер 3-го ранга Шитов. Отчет по испытаниям начальник филиала НИП АВ ВВС инженер-полковник Л. П. Лобачев ут</w:t>
      </w:r>
      <w:r w:rsidRPr="00722885">
        <w:rPr>
          <w:color w:val="000000" w:themeColor="text1"/>
          <w:sz w:val="16"/>
          <w:szCs w:val="16"/>
        </w:rPr>
        <w:softHyphen/>
        <w:t>вердил 12 августа 1942 г.</w:t>
      </w:r>
    </w:p>
    <w:p w14:paraId="2B400BC8"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ходе испытаний предполагалось «проверить пригодность и безопасность действия головных взрывателей АМ-А и М-50 ракетных снарядов ку</w:t>
      </w:r>
      <w:r w:rsidRPr="00722885">
        <w:rPr>
          <w:color w:val="000000" w:themeColor="text1"/>
          <w:sz w:val="16"/>
          <w:szCs w:val="16"/>
        </w:rPr>
        <w:softHyphen/>
        <w:t>мулятивного действия РБСК-82 при стрельбе по броне». Планировалось «определить бронепроби- ваемость РБСК-82 стрельбой по танкам со станка на земле», а также «характеристики устойчивости РБСК-82 на траектории и вероятные отклонения при стрельбе в воздухе с самолета Ил-2 по назем</w:t>
      </w:r>
      <w:r w:rsidRPr="00722885">
        <w:rPr>
          <w:color w:val="000000" w:themeColor="text1"/>
          <w:sz w:val="16"/>
          <w:szCs w:val="16"/>
        </w:rPr>
        <w:softHyphen/>
        <w:t>ным целям».</w:t>
      </w:r>
    </w:p>
    <w:p w14:paraId="5310D1CB"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Снаряд был разработан совместными усилиями НИИ-3 и НИИ-6. Немецкую танковую броню толщиной 30 мм бое- припас разрушал при любых углах встречи, а 50-мм броню — при нормальном попадании. Как отмеча</w:t>
      </w:r>
      <w:r w:rsidRPr="00722885">
        <w:rPr>
          <w:color w:val="000000" w:themeColor="text1"/>
          <w:sz w:val="16"/>
          <w:szCs w:val="16"/>
        </w:rPr>
        <w:softHyphen/>
        <w:t>лось в отчете, снаряды «обладают большой фугас</w:t>
      </w:r>
      <w:r w:rsidRPr="00722885">
        <w:rPr>
          <w:color w:val="000000" w:themeColor="text1"/>
          <w:sz w:val="16"/>
          <w:szCs w:val="16"/>
        </w:rPr>
        <w:softHyphen/>
        <w:t>ной волной, способной разрушить броню до 15 мм при непосредственном попадании или при взры</w:t>
      </w:r>
      <w:r w:rsidRPr="00722885">
        <w:rPr>
          <w:color w:val="000000" w:themeColor="text1"/>
          <w:sz w:val="16"/>
          <w:szCs w:val="16"/>
        </w:rPr>
        <w:softHyphen/>
        <w:t>ве на удалении 0,5 м от брони». Делался вывод, что «РБСК-82 — более эффективен по танкам, чем штатный РС-82». Рассеивание кумулятивного снаря</w:t>
      </w:r>
      <w:r w:rsidRPr="00722885">
        <w:rPr>
          <w:color w:val="000000" w:themeColor="text1"/>
          <w:sz w:val="16"/>
          <w:szCs w:val="16"/>
        </w:rPr>
        <w:softHyphen/>
        <w:t>да не отличалось от такового для РС-82. Основным недостатком считалась малая вероятность попада</w:t>
      </w:r>
      <w:r w:rsidRPr="00722885">
        <w:rPr>
          <w:color w:val="000000" w:themeColor="text1"/>
          <w:sz w:val="16"/>
          <w:szCs w:val="16"/>
        </w:rPr>
        <w:softHyphen/>
        <w:t>ния в танк и ограниченное их количество — всего 8 снарядов — на самолете Ил-2.</w:t>
      </w:r>
    </w:p>
    <w:p w14:paraId="474D464B"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Снаряды испытывались в двух вариантах сна</w:t>
      </w:r>
      <w:r w:rsidRPr="00722885">
        <w:rPr>
          <w:color w:val="000000" w:themeColor="text1"/>
          <w:sz w:val="16"/>
          <w:szCs w:val="16"/>
        </w:rPr>
        <w:softHyphen/>
        <w:t>ряжения ВВ: тротил и сплав 70/30 (тротил с гек- согеном). Снаряды с тротилом имели очко под взрыватель АМ-А, а снаряды со сплавом 70/30 — взрыватель М-50. Взрыватели имели капсюль на- кольного действия типа АПУВ. Ракетная часть РБСК-82 — штатная, от ракетных снарядов М-8, сна</w:t>
      </w:r>
      <w:r w:rsidRPr="00722885">
        <w:rPr>
          <w:color w:val="000000" w:themeColor="text1"/>
          <w:sz w:val="16"/>
          <w:szCs w:val="16"/>
        </w:rPr>
        <w:softHyphen/>
        <w:t>ряженных пироксилиновым порохом.</w:t>
      </w:r>
    </w:p>
    <w:p w14:paraId="7A8E7426"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Головная часть РБСК-82 состояла из стального цилиндра с толщиной стенок 8 мм. В переднюю часть цилиндра закатывался конус из листового железа. При помощи этого конуса создавалась вы</w:t>
      </w:r>
      <w:r w:rsidRPr="00722885">
        <w:rPr>
          <w:color w:val="000000" w:themeColor="text1"/>
          <w:sz w:val="16"/>
          <w:szCs w:val="16"/>
        </w:rPr>
        <w:softHyphen/>
        <w:t>емка во взрывчатом веществе, залитом в цилиндр головки снаряда. По центру цилиндра проходила трубка, которая служила «для передачи луча ог</w:t>
      </w:r>
      <w:r w:rsidRPr="00722885">
        <w:rPr>
          <w:color w:val="000000" w:themeColor="text1"/>
          <w:sz w:val="16"/>
          <w:szCs w:val="16"/>
        </w:rPr>
        <w:softHyphen/>
        <w:t>ня от накольного капсюля к капсюлю-детонатору ТАТ-1». Оживальная часть головки изготавливалась из листового железа и закатывалась на переднюю часть цилиндра.</w:t>
      </w:r>
    </w:p>
    <w:p w14:paraId="460ACBE4"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общей сложности в ходе испытаний было из</w:t>
      </w:r>
      <w:r w:rsidRPr="00722885">
        <w:rPr>
          <w:color w:val="000000" w:themeColor="text1"/>
          <w:sz w:val="16"/>
          <w:szCs w:val="16"/>
        </w:rPr>
        <w:softHyphen/>
        <w:t>расходовано 40 штук РБСК-82, из них 18 — стрель</w:t>
      </w:r>
      <w:r w:rsidRPr="00722885">
        <w:rPr>
          <w:color w:val="000000" w:themeColor="text1"/>
          <w:sz w:val="16"/>
          <w:szCs w:val="16"/>
        </w:rPr>
        <w:softHyphen/>
        <w:t>бой в воздухе, остальные — на земле. Обстрели</w:t>
      </w:r>
      <w:r w:rsidRPr="00722885">
        <w:rPr>
          <w:color w:val="000000" w:themeColor="text1"/>
          <w:sz w:val="16"/>
          <w:szCs w:val="16"/>
        </w:rPr>
        <w:softHyphen/>
        <w:t xml:space="preserve">вались трофейные немецкие танки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III</w:t>
      </w:r>
      <w:r w:rsidRPr="00722885">
        <w:rPr>
          <w:color w:val="000000" w:themeColor="text1"/>
          <w:sz w:val="16"/>
          <w:szCs w:val="16"/>
        </w:rPr>
        <w:t xml:space="preserve">, </w:t>
      </w:r>
      <w:r w:rsidRPr="00722885">
        <w:rPr>
          <w:color w:val="000000" w:themeColor="text1"/>
          <w:sz w:val="16"/>
          <w:szCs w:val="16"/>
          <w:lang w:val="en-US"/>
        </w:rPr>
        <w:t>StuG</w:t>
      </w:r>
      <w:r w:rsidRPr="00722885">
        <w:rPr>
          <w:color w:val="000000" w:themeColor="text1"/>
          <w:sz w:val="16"/>
          <w:szCs w:val="16"/>
        </w:rPr>
        <w:t xml:space="preserve"> III и чешский танк </w:t>
      </w:r>
      <w:r w:rsidRPr="00722885">
        <w:rPr>
          <w:color w:val="000000" w:themeColor="text1"/>
          <w:sz w:val="16"/>
          <w:szCs w:val="16"/>
          <w:lang w:val="en-US"/>
        </w:rPr>
        <w:t>Pz</w:t>
      </w:r>
      <w:r w:rsidRPr="00722885">
        <w:rPr>
          <w:color w:val="000000" w:themeColor="text1"/>
          <w:sz w:val="16"/>
          <w:szCs w:val="16"/>
        </w:rPr>
        <w:t>.38 (</w:t>
      </w:r>
      <w:r w:rsidRPr="00722885">
        <w:rPr>
          <w:color w:val="000000" w:themeColor="text1"/>
          <w:sz w:val="16"/>
          <w:szCs w:val="16"/>
          <w:lang w:val="en-US"/>
        </w:rPr>
        <w:t>t</w:t>
      </w:r>
      <w:r w:rsidRPr="00722885">
        <w:rPr>
          <w:color w:val="000000" w:themeColor="text1"/>
          <w:sz w:val="16"/>
          <w:szCs w:val="16"/>
        </w:rPr>
        <w:t>) с усиленным бронирова</w:t>
      </w:r>
      <w:r w:rsidRPr="00722885">
        <w:rPr>
          <w:color w:val="000000" w:themeColor="text1"/>
          <w:sz w:val="16"/>
          <w:szCs w:val="16"/>
        </w:rPr>
        <w:softHyphen/>
        <w:t>нием.</w:t>
      </w:r>
    </w:p>
    <w:p w14:paraId="273CCDDC"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земле стрельба велась с пусковой установки на 6 снарядов, устанавливаемой на различные дис</w:t>
      </w:r>
      <w:r w:rsidRPr="00722885">
        <w:rPr>
          <w:color w:val="000000" w:themeColor="text1"/>
          <w:sz w:val="16"/>
          <w:szCs w:val="16"/>
        </w:rPr>
        <w:softHyphen/>
        <w:t>танции от танков. Прицеливание осуществлялось с помощью простейшего механического прицела.</w:t>
      </w:r>
    </w:p>
    <w:p w14:paraId="62B23734"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Стрельба в воздухе велась по танку </w:t>
      </w:r>
      <w:r w:rsidRPr="00722885">
        <w:rPr>
          <w:color w:val="000000" w:themeColor="text1"/>
          <w:sz w:val="16"/>
          <w:szCs w:val="16"/>
          <w:lang w:val="en-US"/>
        </w:rPr>
        <w:t>StuG</w:t>
      </w:r>
      <w:r w:rsidRPr="00722885">
        <w:rPr>
          <w:color w:val="000000" w:themeColor="text1"/>
          <w:sz w:val="16"/>
          <w:szCs w:val="16"/>
        </w:rPr>
        <w:t xml:space="preserve"> III с пи</w:t>
      </w:r>
      <w:r w:rsidRPr="00722885">
        <w:rPr>
          <w:color w:val="000000" w:themeColor="text1"/>
          <w:sz w:val="16"/>
          <w:szCs w:val="16"/>
        </w:rPr>
        <w:softHyphen/>
        <w:t>кирования под углом 30° залпами по 2—4 снаряда в одном заходе. Дистанция стрельбы 200 м. Всего было выполнено 3 полета. Снаряды показали хо</w:t>
      </w:r>
      <w:r w:rsidRPr="00722885">
        <w:rPr>
          <w:color w:val="000000" w:themeColor="text1"/>
          <w:sz w:val="16"/>
          <w:szCs w:val="16"/>
        </w:rPr>
        <w:softHyphen/>
        <w:t>рошую устойчивость на траектории полета, но ни одного опадания в танк получить не удалось.</w:t>
      </w:r>
    </w:p>
    <w:p w14:paraId="69FCAE43"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Основные же результаты стрельб сводились к следующему. Ракетный бронебойный снаряд ку</w:t>
      </w:r>
      <w:r w:rsidRPr="00722885">
        <w:rPr>
          <w:color w:val="000000" w:themeColor="text1"/>
          <w:sz w:val="16"/>
          <w:szCs w:val="16"/>
        </w:rPr>
        <w:softHyphen/>
        <w:t>мулятивного действия РБСК-82, снаряженный спла</w:t>
      </w:r>
      <w:r w:rsidRPr="00722885">
        <w:rPr>
          <w:color w:val="000000" w:themeColor="text1"/>
          <w:sz w:val="16"/>
          <w:szCs w:val="16"/>
        </w:rPr>
        <w:softHyphen/>
        <w:t>вом 70/30, «производит разрушения брони 30 мм под любыми углами встречи и с любым взрыва</w:t>
      </w:r>
      <w:r w:rsidRPr="00722885">
        <w:rPr>
          <w:color w:val="000000" w:themeColor="text1"/>
          <w:sz w:val="16"/>
          <w:szCs w:val="16"/>
        </w:rPr>
        <w:softHyphen/>
        <w:t>телем», а броню толщиной 50 мм «пробивает под прямым углом, но не пробивает под углом встречи 30° (60° к перпендикуляру к поверхности)». Счита</w:t>
      </w:r>
      <w:r w:rsidRPr="00722885">
        <w:rPr>
          <w:color w:val="000000" w:themeColor="text1"/>
          <w:sz w:val="16"/>
          <w:szCs w:val="16"/>
        </w:rPr>
        <w:softHyphen/>
        <w:t>лось, что этот эффект является следствием запаз</w:t>
      </w:r>
      <w:r w:rsidRPr="00722885">
        <w:rPr>
          <w:color w:val="000000" w:themeColor="text1"/>
          <w:sz w:val="16"/>
          <w:szCs w:val="16"/>
        </w:rPr>
        <w:softHyphen/>
        <w:t>дывания в срабатывании взрывателя «от рикошета и кумулятивная струя формируется при деформи</w:t>
      </w:r>
      <w:r w:rsidRPr="00722885">
        <w:rPr>
          <w:color w:val="000000" w:themeColor="text1"/>
          <w:sz w:val="16"/>
          <w:szCs w:val="16"/>
        </w:rPr>
        <w:softHyphen/>
        <w:t>рованном конусе». Снаряды РБСК-82 в тротиловом снаряжении пробивали броню толщиной 30 мм лишь под углами встречи не менее 30°, а броню 50 мм не пробивали ни при каких условиях попа</w:t>
      </w:r>
      <w:r w:rsidRPr="00722885">
        <w:rPr>
          <w:color w:val="000000" w:themeColor="text1"/>
          <w:sz w:val="16"/>
          <w:szCs w:val="16"/>
        </w:rPr>
        <w:softHyphen/>
        <w:t>дания. Отверстия, получаемые при сквозном про</w:t>
      </w:r>
      <w:r w:rsidRPr="00722885">
        <w:rPr>
          <w:color w:val="000000" w:themeColor="text1"/>
          <w:sz w:val="16"/>
          <w:szCs w:val="16"/>
        </w:rPr>
        <w:softHyphen/>
        <w:t>битии брони, имели диаметр до 35 мм. При этом в большинстве случаев пробитие брони сопрово</w:t>
      </w:r>
      <w:r w:rsidRPr="00722885">
        <w:rPr>
          <w:color w:val="000000" w:themeColor="text1"/>
          <w:sz w:val="16"/>
          <w:szCs w:val="16"/>
        </w:rPr>
        <w:softHyphen/>
        <w:t>ждалось отколом брони вокруг выходного отвер</w:t>
      </w:r>
      <w:r w:rsidRPr="00722885">
        <w:rPr>
          <w:color w:val="000000" w:themeColor="text1"/>
          <w:sz w:val="16"/>
          <w:szCs w:val="16"/>
        </w:rPr>
        <w:softHyphen/>
        <w:t>стия. Кроме того, как отмечалось в отчете, снаряды «обладают большой фугасной волной, способной разрушить броню до 15 мм при непосредственном попадании или при взрыве на удалении 0,5 м от брони».</w:t>
      </w:r>
    </w:p>
    <w:p w14:paraId="1DB64185"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Делался вывод, что «РБСК-82 — более эффек</w:t>
      </w:r>
      <w:r w:rsidRPr="00722885">
        <w:rPr>
          <w:color w:val="000000" w:themeColor="text1"/>
          <w:sz w:val="16"/>
          <w:szCs w:val="16"/>
        </w:rPr>
        <w:softHyphen/>
        <w:t>тивен по танкам, чем штатный РС-82». Рассеивание кумулятивного снаряда не отличается от такового для РС-82. Взрыватели АМ-А и М-50 работают без</w:t>
      </w:r>
      <w:r w:rsidRPr="00722885">
        <w:rPr>
          <w:color w:val="000000" w:themeColor="text1"/>
          <w:sz w:val="16"/>
          <w:szCs w:val="16"/>
        </w:rPr>
        <w:softHyphen/>
        <w:t>отказно. Основным недостатком является малая вероятность попадания в танк.</w:t>
      </w:r>
    </w:p>
    <w:p w14:paraId="73FC447C"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заключении отчета по испытаниям началь</w:t>
      </w:r>
      <w:r w:rsidRPr="00722885">
        <w:rPr>
          <w:color w:val="000000" w:themeColor="text1"/>
          <w:sz w:val="16"/>
          <w:szCs w:val="16"/>
        </w:rPr>
        <w:softHyphen/>
        <w:t>ник стрелково-пушечного отделения полигона ин</w:t>
      </w:r>
      <w:r w:rsidRPr="00722885">
        <w:rPr>
          <w:color w:val="000000" w:themeColor="text1"/>
          <w:sz w:val="16"/>
          <w:szCs w:val="16"/>
        </w:rPr>
        <w:softHyphen/>
        <w:t>женер-майор А. Я. Филиппов и ведущий инженер старший техник-лейтенант А. Г. Губин зафиксиро</w:t>
      </w:r>
      <w:r w:rsidRPr="00722885">
        <w:rPr>
          <w:color w:val="000000" w:themeColor="text1"/>
          <w:sz w:val="16"/>
          <w:szCs w:val="16"/>
        </w:rPr>
        <w:softHyphen/>
        <w:t>вали: «1) Представленные на испытания ракетные снаряды РБСК-82, представляющие собой новый метод бронепробиваемости за счет кумулятивного эффекта, показали удовлетворительные результаты при прямом попадании в танк с наземной установ</w:t>
      </w:r>
      <w:r w:rsidRPr="00722885">
        <w:rPr>
          <w:color w:val="000000" w:themeColor="text1"/>
          <w:sz w:val="16"/>
          <w:szCs w:val="16"/>
        </w:rPr>
        <w:softHyphen/>
        <w:t>ки. 2) Считать целесообразным изготовить опытную партию в 100 шт. и проверить эффективность по цели».</w:t>
      </w:r>
    </w:p>
    <w:p w14:paraId="2FDC3997" w14:textId="77777777" w:rsidR="00C8778C" w:rsidRPr="00722885" w:rsidRDefault="00C8778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в массовое серийное производство та</w:t>
      </w:r>
      <w:r w:rsidRPr="00722885">
        <w:rPr>
          <w:color w:val="000000" w:themeColor="text1"/>
          <w:sz w:val="16"/>
          <w:szCs w:val="16"/>
        </w:rPr>
        <w:softHyphen/>
        <w:t>кой боеприпас не пошел, надо полагать, по при</w:t>
      </w:r>
      <w:r w:rsidRPr="00722885">
        <w:rPr>
          <w:color w:val="000000" w:themeColor="text1"/>
          <w:sz w:val="16"/>
          <w:szCs w:val="16"/>
        </w:rPr>
        <w:softHyphen/>
        <w:t>чине отсутствия явного преимущества в боевой эффективности по сравнению с противотанковыми авиационными бомбами. Действительно, посколь ку кассеты мелких бомб Ил-2 вмещали до 200— 300 противотанковых бомб, то обеспечивалась довольно высокая вероятность прямого попада</w:t>
      </w:r>
      <w:r w:rsidRPr="00722885">
        <w:rPr>
          <w:color w:val="000000" w:themeColor="text1"/>
          <w:sz w:val="16"/>
          <w:szCs w:val="16"/>
        </w:rPr>
        <w:softHyphen/>
        <w:t>ния в танки, даже в рассредоточенных боевых по</w:t>
      </w:r>
      <w:r w:rsidRPr="00722885">
        <w:rPr>
          <w:color w:val="000000" w:themeColor="text1"/>
          <w:sz w:val="16"/>
          <w:szCs w:val="16"/>
        </w:rPr>
        <w:softHyphen/>
        <w:t>рядках (17500).</w:t>
      </w:r>
    </w:p>
    <w:p w14:paraId="2E9A291A" w14:textId="77777777" w:rsidR="00C8778C" w:rsidRPr="00722885" w:rsidRDefault="00C8778C" w:rsidP="00722885">
      <w:pPr>
        <w:spacing w:after="0" w:line="240" w:lineRule="auto"/>
        <w:jc w:val="both"/>
        <w:rPr>
          <w:rFonts w:ascii="Times New Roman" w:eastAsia="Times New Roman" w:hAnsi="Times New Roman"/>
          <w:color w:val="000000" w:themeColor="text1"/>
          <w:sz w:val="16"/>
          <w:szCs w:val="16"/>
          <w:lang w:eastAsia="ru-RU"/>
        </w:rPr>
      </w:pPr>
    </w:p>
    <w:p w14:paraId="6B279CB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9B40340" w14:textId="77777777" w:rsidR="00AE7191" w:rsidRPr="00722885" w:rsidRDefault="00AE7191" w:rsidP="00722885">
      <w:pPr>
        <w:pStyle w:val="Iauiue"/>
        <w:jc w:val="both"/>
        <w:rPr>
          <w:iCs/>
          <w:color w:val="000000" w:themeColor="text1"/>
          <w:sz w:val="16"/>
          <w:szCs w:val="16"/>
        </w:rPr>
      </w:pPr>
    </w:p>
    <w:p w14:paraId="39EDA8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25 июля по 16 августа 1942 года на Софринском артиллерийском полигоне по инициативе ГАУ КА прошли полигонные испытания опытного образца СГ-122 в объеме 234 выстрела и 50 километров пробега. В целом отмечалось, что кучность и скорострельность (при малых углах возвышения — 11–12 выстрелов в минуту, при больших — 5 выстрелов в минуту) у СГ-122 вполне удовлетворительные и практически соответствующие таковым для 122-мм полевой гаубицы М-30. В процессе ходовых испытаний отмечался недостаточный обзор с места механика-водителя (особенно вправо по ходу) и трудность вождения самоходки по пересеченной местности из-за смешения центра тяжести машины вперёд.</w:t>
      </w:r>
    </w:p>
    <w:p w14:paraId="6D5EB46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изготовлении новых образцов СГ-122 комиссия, испытывавшая опытный образец, рекомендовала смонтировать откидные сиденья для экипажа и установить защиту панорамы гаубицы (в виде секторного броневого колпака).</w:t>
      </w:r>
    </w:p>
    <w:p w14:paraId="653C3EE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нежелание (в общем-то обоснованное) ГАБТУ КА заниматься СГ-122, руководство ГАУ КА и наркомата вооружения сумело «пробить» свою машину на самом верху (12688).</w:t>
      </w:r>
    </w:p>
    <w:p w14:paraId="5346935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58E4B03" w14:textId="77777777" w:rsidR="00C8778C" w:rsidRPr="00722885" w:rsidRDefault="00C877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25 июля 1942 начались и 16 августа закончились испытания опытного образца СГ-122. Вышедшая на них самоходная установка имела массу изменений по сравнению с изначальным проектом.</w:t>
      </w:r>
    </w:p>
    <w:p w14:paraId="4EE0A1F5" w14:textId="77777777" w:rsidR="00C8778C" w:rsidRPr="00722885" w:rsidRDefault="00C877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Наибольшая скорость движения машины по шоссе, достигнутая на испытаниях, составила 50 км/ч, а по бездорожью – 30 км/ч. Всего за время испытаний СГ-122 преодолела 50 километров, в основном по бездорожью. Средняя скорость движения составила 15 км/ч, при этом машина расходовала 300 литров топлива на 100 </w:t>
      </w:r>
      <w:r w:rsidRPr="00722885">
        <w:rPr>
          <w:rFonts w:ascii="Times New Roman" w:eastAsia="Times New Roman" w:hAnsi="Times New Roman"/>
          <w:color w:val="000000" w:themeColor="text1"/>
          <w:sz w:val="16"/>
          <w:szCs w:val="16"/>
          <w:lang w:eastAsia="ru-RU"/>
        </w:rPr>
        <w:lastRenderedPageBreak/>
        <w:t>километров. Бездорожье машина преодолело вполне спокойно, но при этом испытатели указывали, что вести СГ-122 тяжело, поскольку центр тяжести оказался смещён к передней части. Был зафиксирован случай возгорания фрикциона. Кроме того, отмечался повышенный износ бандажей опорных катков.</w:t>
      </w:r>
    </w:p>
    <w:p w14:paraId="1AB2151D" w14:textId="77777777" w:rsidR="00C8778C" w:rsidRPr="00722885" w:rsidRDefault="00C877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Испытания стрельбой были проведены в гораздо большем объёме, чем планировалось изначально. Из гаубицы было произведено 234 выстрела, почти в 5 раз больше, чем предполагалось. В ходе стрельбы прицел сбивался на 1–2 деления, но в целом кучность была признана удовлетворительной. Скорострельность, в зависимости от угла наводки орудия, достигала от 5 до 11–12 выстрелов в минуту. Удобство обслуживания орудия было признано вполне удовлетворительным, как и размещение боеприпасов. Время перехода САУ из походного положения в боевое составляло 20–25 секунд. Места для экипажа было вполне достаточно. Правда, сидение имелось только у механика-водителя.</w:t>
      </w:r>
    </w:p>
    <w:p w14:paraId="3CE0BC99" w14:textId="77777777" w:rsidR="00C8778C" w:rsidRPr="00722885" w:rsidRDefault="00C877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целом испытания были признаны успешными. По их итогам КБ завода №592 получило задание разместить в боевом отделении откидные сидения для остальных членов экипажа, сделать бронировку панорамного прицела и упрочнить крепление обоймы для спускового крючка (17663).</w:t>
      </w:r>
    </w:p>
    <w:p w14:paraId="14B002DD" w14:textId="77777777" w:rsidR="00C8778C" w:rsidRPr="00722885" w:rsidRDefault="00C8778C" w:rsidP="00722885">
      <w:pPr>
        <w:pStyle w:val="12a"/>
        <w:shd w:val="clear" w:color="auto" w:fill="auto"/>
        <w:spacing w:after="0" w:line="240" w:lineRule="auto"/>
        <w:jc w:val="both"/>
        <w:rPr>
          <w:color w:val="000000" w:themeColor="text1"/>
          <w:sz w:val="16"/>
          <w:szCs w:val="16"/>
        </w:rPr>
      </w:pPr>
    </w:p>
    <w:p w14:paraId="62628877"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25 июля 1942 года</w:t>
      </w:r>
    </w:p>
    <w:p w14:paraId="791A1FC2"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92 лист 340 – 338</w:t>
      </w:r>
    </w:p>
    <w:p w14:paraId="7A415035"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36AEEF79"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КОМИССАРИАТА ТАНКОВОЙ ПРОМЫШЛЕННОСТИ СОЮЗА ССР № 546с</w:t>
      </w:r>
    </w:p>
    <w:p w14:paraId="7025D649"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769AACD8"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"25" июля 1942 года.</w:t>
      </w:r>
    </w:p>
    <w:p w14:paraId="26E5E444"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Опыт работы заводов Наркомата за прошедшее полугодие 1942 г. указывает на крайнюю слабость в организации и качественном проведении исследовательских работ. Несмотря на наличие приказов и указаний Наркомтанкопрома о запрещении каких бы то ни было конструктивных изменений без надлежащего качественного проведения исследований, имеют место факты недопустимого упрощенческого подхода к проведению исследований и даже игнорирование таковых. Например:</w:t>
      </w:r>
    </w:p>
    <w:p w14:paraId="5C72B9AD"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на Сталинградском тракторном заводе с января по март месяц с.г. проводились испытания танка Т-34 с новой конструкцией бортовых передач бесструнного типа с подшипниками с цилиндрическими роликами. Решение о вводе на серийное производство указанных бортовых передач было принято заводом без утверждения НКТП и ГАБТУ КА после первого этапа испытаний, несмотря на наличие заключений представителей ГАБТУ КА и главного конструктора завода о допустимости ввода этой конструкции только после проведения окончательных испытаний и утверждения акта таковых в установленном порядке. Помимо этого, в процессе последующего серийного производства, без всяких испытаний, подшипники с цилиндрическими роликами были заменены коническими роликоподшипниками.</w:t>
      </w:r>
    </w:p>
    <w:p w14:paraId="384A0BCC"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По заводу № 112 без проведения испытаний и согласования с главным конструктором решением главного металлурга были введены непроверенные заменители металла наиболее ответственных деталей танка, что вскоре было отменено приказом по Наркомату.</w:t>
      </w:r>
    </w:p>
    <w:p w14:paraId="0BB364CF"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По заводу № 183 в июне с.г. по требованию представителя заказчика были проведены пробеговые испытания 4-х танков Т-34 на израсходование полной заправки горючего и смазки. Эти испытания были организованы и проведены производственным цехом (150) без утвержденной главным инженером и главным конструктором программы. Экспериментальный цех завода и конструкторы в этих испытаниях участия не принимали. Рассмотрение актов испытаний 12 – 17 июня с.г. показывает:</w:t>
      </w:r>
    </w:p>
    <w:p w14:paraId="7C2F088D"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В актах не указан ряд необходимых данных об условиях, в которых протекало испытание, как например: состояние дорог, температура окружающего воздуха, скорости движения, в течение какого времени наступил перегрев масла в моторе и т.д.</w:t>
      </w:r>
    </w:p>
    <w:p w14:paraId="336801A2"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В актах перечислен ряд дефектов, обнаруженных как в процессе испытания, так и при осмотре в цехе по окончании таковых, а в выводах все эти дефекты обойдены и даже написано: "Основные агрегаты танков ведут себя хорошо". В одном акте сделано указание лишь на низкое качество траков и влияние на их разрушение колес с внутренней амортизацией. В тоже время в другом акте ни слова не сказано о качестве траков несмотря на то, что целью испытаний являлось установление качества последних.</w:t>
      </w:r>
    </w:p>
    <w:p w14:paraId="381379CC"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Акты, подписанные начальником серийного цеха 150 т. ШЕБЕЛЬНИКОВЫМ, ст. контрольным мастером цеха 159 т. АРТЕМЕНКО и представителями заказчика, без утверждения гл. инженера завода и главного конструктора и без согласования со ст. военным представителем ГАБТУ КА, вручены представителям ГАБТУ КА для отправки в ГАБТУ КА.</w:t>
      </w:r>
    </w:p>
    <w:p w14:paraId="5E3447B2"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Аналогичные случаи имеют место в той или иной степени и на остальных заводах Наркомата. Одной из причин подобной недопустимой практики является слабость экспериментальных цехов заводов, неукомплектованность их квалифицированными кадрами испытателей и исследователей, а также недостаточное внимание и недооценка значения исследовательской работы со стороны главных инженеров и главных конструкторов заводов.</w:t>
      </w:r>
    </w:p>
    <w:p w14:paraId="16AF6789"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наведения порядка в организации и проведении исследовательской работы, с целью обеспечения повышения качества выпускаемых заводами Наркомата танков и моторов, ПРИКАЗЫВАЮ:</w:t>
      </w:r>
    </w:p>
    <w:p w14:paraId="6223AD83"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Установить для всякого рода испытаний танков и моторов как внутризаводских, так и проводимых по требованию представителей заказчика, следующий порядок:</w:t>
      </w:r>
    </w:p>
    <w:p w14:paraId="0DC46404"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Все испытания танков и моторов, по своему объему и характеру выходящие за рамки сдаточных испытаний ежесуточной продукции заводов, проводить под руководством работников экспериментальных цехов и конструкторов.</w:t>
      </w:r>
    </w:p>
    <w:p w14:paraId="423DB6BC"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Для каждого испытания составляется план и программа, в которой должно быть указано: цель, преследуемая проведением испытаний, условия, в которых будут проводиться испытания, методика проведения испытаний и перечень данных, подлежащих наблюдению.</w:t>
      </w:r>
    </w:p>
    <w:p w14:paraId="5498167F"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План и программа, составленные работниками экспериментальных цехов по согласованию с конструкторским бюро и представителями ГАБТУ КА утверждаются главным конструктором и главным инженером завода и согласовываются со ст. военпредом завода.</w:t>
      </w:r>
    </w:p>
    <w:p w14:paraId="69A3FBEC"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При проведении испытаний работниками экспериментальных цехов ведутся все записи данных и величин в соответствии с программой.</w:t>
      </w:r>
    </w:p>
    <w:p w14:paraId="53047B41"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Лицо, возглавляющее проведение испытаний, несет всю ответственность как за подготовку и проведение их, так и за правильное оформление результатов испытаний в виде акта.</w:t>
      </w:r>
    </w:p>
    <w:p w14:paraId="6DF94361"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е) В акте испытаний должно быть указано: цель испытаний; условия, в которых они проводились; результаты наблюдений данных, предписанных программой; обнаруженные дефекты; заключение на основе полученных данных и дефектов и, наконец, выводы и предложения.</w:t>
      </w:r>
    </w:p>
    <w:p w14:paraId="0E9AC71E"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ж) Акты испытаний и их результаты утверждаются главным конструктором и главным инженером завода и согласовываются ст. военпредом ГАБТУ КА.</w:t>
      </w:r>
    </w:p>
    <w:p w14:paraId="62D58C82"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 Если испытания носили характер сдаточных для определения допустимости ввода на серийное производство того или иного изменения конструкции, необходимо при получении положительных результатов испытаний, помимо акта по испытаниям, составить протокол для представления данного изменения на утверждение НКТП и ГАБТУ КА к вводу в серийное производство. Протокол составляется главным конструктором, согласовывается с главным технологом и главным металлургом и утверждается главным инженером завода и ст. военпредом ГАБТУ КА.</w:t>
      </w:r>
    </w:p>
    <w:p w14:paraId="357C436D"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Для систематизации проверки качества выпускаемых заводами НКТП танков и моторов установить обязательное проведение ежемесячно испытания одного танка на пробег длительностью на полное израсходование заправки горючего. Кроме того, заводами в соответствии с договорами и техническими условиями проводятся гарантийные и длительные пробеги по особой программе.</w:t>
      </w:r>
    </w:p>
    <w:p w14:paraId="7B336B29"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Директору завода № 183 т. МАКСАРЕВУ по танку Т-34 и директору Кировского завода т. МАХОНИНУ по танку КВ разработать типовые программы контрольных ежемесячных испытаний танков на пробег на расход полной заправки горючего и представить таковые к 5.VIII.42 года на мое утверждение.</w:t>
      </w:r>
    </w:p>
    <w:p w14:paraId="7EA2F76E"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Главным инженерам заводов Наркомата принять меры к улучшению организации работы экспериментальных цехов и укомплектованию их высококвалифицированными кадрами работников в соответствии с настоящим приказом.</w:t>
      </w:r>
    </w:p>
    <w:p w14:paraId="4CFB3AC2"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Обращаю внимание директоров заводов, главных инженеров, главных конструкторов, начальников экспериментальных цехов, исследователей и конструкторов на безусловную необходимость принятия всех мер к высококачественному проведению исследовательских работ, как непременного условия дальнейшего повышения качества и надежности в боевой эксплоатации наших танков.</w:t>
      </w:r>
    </w:p>
    <w:p w14:paraId="5D0A11CC"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Контроль за выполнением настоящего приказа возлагаю на зам. начальника 2-го отдела т. Гинзбурга С.А.</w:t>
      </w:r>
    </w:p>
    <w:p w14:paraId="66599979"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 НАРОДНОГО КОМИССАРА ТАНКОВОЙ ПРОМЫШЛЕННОСТИ СОЮЗА ССР подпись (П. ЗЕРНОВ) (21227).</w:t>
      </w:r>
    </w:p>
    <w:p w14:paraId="1661930C" w14:textId="77777777" w:rsidR="006B5C1C" w:rsidRPr="00722885" w:rsidRDefault="006B5C1C" w:rsidP="00722885">
      <w:pPr>
        <w:spacing w:after="0" w:line="240" w:lineRule="auto"/>
        <w:jc w:val="both"/>
        <w:rPr>
          <w:rFonts w:ascii="Times New Roman" w:hAnsi="Times New Roman"/>
          <w:color w:val="0070C0"/>
          <w:sz w:val="16"/>
          <w:szCs w:val="16"/>
        </w:rPr>
      </w:pPr>
    </w:p>
    <w:p w14:paraId="3F6AA47D"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25 июля 1942 И.В.С. писал телеграмму об улучшении качества огнеметов АТО-41 и с августа начали производить модернезированные АТО-41 на з-де № 222 НКВ и в конце 1942 разработали АТО-42 (5219, 32).</w:t>
      </w:r>
    </w:p>
    <w:p w14:paraId="79351ED5" w14:textId="77777777" w:rsidR="00AE7191" w:rsidRPr="00722885" w:rsidRDefault="00AE7191" w:rsidP="00722885">
      <w:pPr>
        <w:pStyle w:val="Iauiue"/>
        <w:tabs>
          <w:tab w:val="left" w:pos="11199"/>
        </w:tabs>
        <w:jc w:val="both"/>
        <w:rPr>
          <w:color w:val="000000" w:themeColor="text1"/>
          <w:sz w:val="16"/>
          <w:szCs w:val="16"/>
        </w:rPr>
      </w:pPr>
    </w:p>
    <w:p w14:paraId="05ECBFE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25 июля 1942 вышло Постановление ГКО № 2091 Об увеличении производства алюминия. (7046, 126).</w:t>
      </w:r>
    </w:p>
    <w:p w14:paraId="668AB165" w14:textId="77777777" w:rsidR="00AE7191" w:rsidRPr="00722885" w:rsidRDefault="00AE7191" w:rsidP="00722885">
      <w:pPr>
        <w:pStyle w:val="Iauiue"/>
        <w:tabs>
          <w:tab w:val="left" w:pos="11199"/>
        </w:tabs>
        <w:jc w:val="both"/>
        <w:rPr>
          <w:color w:val="000000" w:themeColor="text1"/>
          <w:sz w:val="16"/>
          <w:szCs w:val="16"/>
        </w:rPr>
      </w:pPr>
    </w:p>
    <w:p w14:paraId="71C45D8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1942 вышло Постановление ГКО № 2093 Об обеспечении формирований дивизионов М-30 автотранспортом. РГАНИР, Фонд ГКО, д. 47, лл. 128 (11012).</w:t>
      </w:r>
    </w:p>
    <w:p w14:paraId="1545358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B24218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1942 вышло Постановление ГКО № 2094 Об окончании строительства завода № 313 в г. Комсомольске и организации на нем производства 82 мм минометов. РГАНИР, Фонд ГКО, д. 47, лл. 129-130, 131-132 (11012).</w:t>
      </w:r>
    </w:p>
    <w:p w14:paraId="5427714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831182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25 июля 1942 вышло Постановление ГКО № 2095 О производстве бронепоездов во II квартале 1942 г. (7046, 133-136,137-140).</w:t>
      </w:r>
    </w:p>
    <w:p w14:paraId="5E780022" w14:textId="77777777" w:rsidR="00AE7191" w:rsidRPr="00722885" w:rsidRDefault="00AE7191" w:rsidP="00722885">
      <w:pPr>
        <w:pStyle w:val="Iauiue"/>
        <w:tabs>
          <w:tab w:val="left" w:pos="11199"/>
        </w:tabs>
        <w:jc w:val="both"/>
        <w:rPr>
          <w:color w:val="000000" w:themeColor="text1"/>
          <w:sz w:val="16"/>
          <w:szCs w:val="16"/>
        </w:rPr>
      </w:pPr>
    </w:p>
    <w:p w14:paraId="6EA8A90E"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25 июля 1942 г. вышло постановление ГКО № 2095сс «О производстве бронепоездов во II полугодии 1942 года». В соответствии с постановлением должно было быть до конца года построено 20 бепо на предприятиях как НКПС, так и НКТМ. Однако и это постановление, как и № 22сс, в указанные сроки выполнено не было.</w:t>
      </w:r>
    </w:p>
    <w:p w14:paraId="576A70CD"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Положительный опыт, наколенный при строительстве бронепоездов с вооружением в танковых башнях, позволил управлению бронепоездов ГАБТУ КА к февралю 1942 г. разработать проект бронепоезда нового типа с корпусом из термически обработанной брони и вооружением из 76-мм пушек в танковых башнях. Окончательные варианты конструкции бронеплощадки, получившей обозначение ПЛ-43 (площадка легкая образца 1943 г.) и бронепаровоза ПР-43 (паровоз образца 1943 г.) были утверждены 12 апреля 1943 г. Разработку бронепаровоза провели на бронерембазе № 6 с учетом опыта изготовления бронепаровозов бепо «Козьма Минин» и «Илья Муромец». Бронеплощадка ПЛ-43 строилась на базе 20-тонной платформы, ее бронирование осуществлялось листами термически обработанной брони толщиной 45 мм, бортовые листы устанавливались под наклоном в 20–30 град. Паровоз серии Ов или Од бронировался листами брони толщиной 20 мм, будка машиниста и командирская рубка — 30 мм. В состав бронепоезда, получившего обозначение БП-43 (бронепоезд образца 1943 г.), планировалось включать бронепаровоз ПР-43, четыре бронеплощадки ПЛ-43 и площадки с зенитным вооружением ПВО-4 (вооружались двумя автоматическими 37-мм пушками).</w:t>
      </w:r>
    </w:p>
    <w:p w14:paraId="297645E9"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1942 г. было изготовлено всего два БП-43, сказались задержки с предоставлением предприятиям комплектов чертежей, брони, танковых башен (кстати, башни отгружались не новые, а с подбитых танков, не подлежащих восстановлению) и т. п. Оставшиеся по плану 18 бронепоездов БП-43 были закончены только к концу октября 1943 г. Хотя первоначально планировалось продолжить изготовление БП-43 и в дальнейшем, но от этих планов отказались в связи с небольшими потерями бронепоездов на фронтах. Так, если в 1941 г. РККА потеряла 65 бронепоездов, в 1942 г. — 42 бронепоезда, то потери в 1943 г. составили всего два бронепоезда. А в 1944– 1945 гг. потерь бронепоездов не было вообще. Всего за время войны было потеряно 89 бронепоездов (включая флотские, трофейные, импровизированные и т. п.) (22731).</w:t>
      </w:r>
    </w:p>
    <w:p w14:paraId="3964C287" w14:textId="77777777" w:rsidR="006B5C1C" w:rsidRPr="00722885" w:rsidRDefault="006B5C1C" w:rsidP="00722885">
      <w:pPr>
        <w:spacing w:after="0" w:line="240" w:lineRule="auto"/>
        <w:jc w:val="both"/>
        <w:rPr>
          <w:rFonts w:ascii="Times New Roman" w:hAnsi="Times New Roman"/>
          <w:color w:val="0070C0"/>
          <w:sz w:val="16"/>
          <w:szCs w:val="16"/>
        </w:rPr>
      </w:pPr>
    </w:p>
    <w:p w14:paraId="3CA9F723"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F7ACAEF" w14:textId="77777777" w:rsidR="00AE7191" w:rsidRPr="00722885" w:rsidRDefault="00AE7191" w:rsidP="00722885">
      <w:pPr>
        <w:pStyle w:val="Iauiue"/>
        <w:jc w:val="both"/>
        <w:rPr>
          <w:iCs/>
          <w:color w:val="000000" w:themeColor="text1"/>
          <w:sz w:val="16"/>
          <w:szCs w:val="16"/>
        </w:rPr>
      </w:pPr>
    </w:p>
    <w:p w14:paraId="04C82F22"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в 1942 году утреннее сообщение Совинформбюро:</w:t>
      </w:r>
    </w:p>
    <w:p w14:paraId="0EC4EBF1"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25 июля наши войска вели бои с противником в районе Воронежа, а также в районах Цымлянская, Новочеркасск, Ростов.</w:t>
      </w:r>
    </w:p>
    <w:p w14:paraId="339C460E"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0D386832"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вели активные бои с немецко-фашистскими войсками. Авиация, взаимодействуя с наземными частями, наносила непрерывные удары по боевым порядкам противника, его тылам и коммуникациям. Лётчики части, которой командует тов. Кросовский, за пять дней уничтожили несколько десятков немецких танков, более 300 автомашин, 6 бензоцистерн, 40 полевых и зенитных орудий, разрушили 9 водных переправ и истребили до четырёх батальонов пехоты противника. Артиллеристы батареи младшего лейтенанта Салманова за два дня подбили 7 немецких танков.</w:t>
      </w:r>
    </w:p>
    <w:p w14:paraId="4802093A"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Ростова продолжаются тяжёлые бои с численно превосходящими силами танков и мотопехоты противника. Немцам на одном из участков удалось прорваться в расположение наших войск. В ожесточённом бою, часто переходившем в рукопашные схватки, наши бойцы истребили свыше 2.000 гитлеровцев, сожгли 18 немецких танков, уничтожили 3 самоходных орудия и 14 пулемётов. На другом участке немцам удалось несколько продвинуться вперёд лишь после того, как все защитники этого рубежа пали смертью храбрых, сражаясь до последней капли крови за свою родную землю. Потери немцев на этом участке в несколько раз превосходят наши потери.</w:t>
      </w:r>
    </w:p>
    <w:p w14:paraId="1128BF5A"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наши войска вели оборонительные бои за переправы через Дон. Немцы любой ценой стремятся проникнуть на южный берег реки и под ударами наших войск несут огромные потери. На одном из участков наши артиллеристы потопили несколько десятков надувных лодок и плотов. Истреблено свыше 500 немецких солдат и офицеров. На другом участке артиллеристы Н-ской части произвели мощный огневой налёт на скопление танков и пехоты противника. Уничтожено 10 немецких танков, рассеяно и частью уничтожено до батальона гитлеровцев.</w:t>
      </w:r>
    </w:p>
    <w:p w14:paraId="6341ABE5"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Ленинградского фронта наши войска вели активные боевые действия. Бойцы нашей части, поддержанные массированным огнём артиллерии и миномётов, атаковали позиции немцев. Впереди шли наши танки, расчищая путь пехоте и уничтожая огневые точки противника. Бой длился несколько часов. К концу дня задача, поставленная командованием, была выполнена. Опорный пункт врага был взят. Разрушено 16 ДЗОТов, захвачены трофеи и пленные. Противник в этом бою понёс большие потери. По признанию захваченного в плен ефрейтора Генриха Райнгарца, от батальона немцев в живых осталось не более 15 человек.</w:t>
      </w:r>
    </w:p>
    <w:p w14:paraId="696C65FA"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продолжались бои местного значения. На одном участке пехоте противника удалось прорваться в наши траншеи. B рукопашном бою большинство гитлеровцев было уничтожено. У наших окопов осталось свыше 150 трупов солдат и офицеров противника. На другом участке немцы предприняли наступление на стыке двух наших подразделений. Массированным пулемётным и миномётным огнём гитлеровцы были отброшены. На этом же участке младший лейтенант Посохин из станкового пулемёта подбил немецкий самолёт. Один из немецких лётчиков, пытавшийся бежать, был убит, второй взят в плен. В самолёте обнаружен портфель с важными документами.</w:t>
      </w:r>
    </w:p>
    <w:p w14:paraId="7E911656"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орловских партизан под руководством тов. Е. за месяц боёв против немецких захватчиков уничтожил свыше 200 немецких и 350 венгерских солдат и офицеров. Партизаны пустили под откос 10 железнодорожных эшелонов, во время крушения которых погибли сотни гитлеровцев и много техники. Советские патриотыза этот же период захватили 2 орудия, 14 миномётов, 9 ручных и 4 станковых пулемёта и много боеприпасов.</w:t>
      </w:r>
    </w:p>
    <w:p w14:paraId="1F12DE60"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Д. подорвал на минах шедший с большой скоростью эшелон противника. Разбито 4 крытых вагона с живой силой и 38 платформ с военной техникой немецко-фашистских оккупантов.</w:t>
      </w:r>
    </w:p>
    <w:p w14:paraId="31E9C98A"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Рудник имени III Интернационала, получивший переходящее Красное Знамя Государственного Комитета Обороны, за двадцать дней июля месяца перевыполнил план на 11 процентов.» (14963).</w:t>
      </w:r>
    </w:p>
    <w:p w14:paraId="70E5839A" w14:textId="77777777" w:rsidR="00CF69B5" w:rsidRPr="00722885" w:rsidRDefault="00CF69B5" w:rsidP="00722885">
      <w:pPr>
        <w:spacing w:after="0" w:line="240" w:lineRule="auto"/>
        <w:jc w:val="both"/>
        <w:rPr>
          <w:rFonts w:ascii="Times New Roman" w:hAnsi="Times New Roman"/>
          <w:color w:val="000000" w:themeColor="text1"/>
          <w:sz w:val="16"/>
          <w:szCs w:val="16"/>
        </w:rPr>
      </w:pPr>
    </w:p>
    <w:p w14:paraId="2FF6AE4C"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в 1942 году вечернее сообщение Совинформбюро:</w:t>
      </w:r>
    </w:p>
    <w:p w14:paraId="25895D1F"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25 июля наши войска вели ожесточённые бои в районе Воронежа, а также, в районах Цымлянская, Новочеркасск, Ростов.</w:t>
      </w:r>
    </w:p>
    <w:p w14:paraId="21C63AFE"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4CD1D5C0"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Финском заливе потоплено два транспорта противника общим водоизмещением в 16.000 тонн.</w:t>
      </w:r>
    </w:p>
    <w:p w14:paraId="2901F86C"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24 июля частями нашей авиации на различных участках фронта уничтожено или повреждено до 80 немецких танков, 5 бронемашин, 400 автомашин с войсками и грузами, 16 автоцистерн с горючим, 3 прожектора, взорваны 8 складов боеприпасов и склад горючего, подавлен огонь 10 батарей полевой и зенитной артиллерии, рассеяно и частью уничтожено до двух полков пехоты противника.</w:t>
      </w:r>
    </w:p>
    <w:p w14:paraId="4BA420A0"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продолжались упорные бои. Советские войска отражали контратаки немецко-фашистских войск и на ряде участков продолжали теснить противника. Гитлеровцы вынуждены срочно перебрасывать резервы из глубокого тыла. Так, в районе Воронежа появилась 383 немецкая пехотная дивизия, находившаяся до последнего времени во Франции.</w:t>
      </w:r>
    </w:p>
    <w:p w14:paraId="72846859"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бойцы проявляют беззаветный героизм в борьбе с врагом, успешно уничтожают его живую силу и технику. За несколько дней боёв расчёт противотанкового орудия тов. Диденко подбил 14 средних и один тяжёлый немецкий танк. Наводчик противотанкового орудия тов. Совьеренко уничтожил 10 танков противника и до взвода немецких солдат. Расчёты орудия тт. Меняйлова и Косенкова уничтожили по три танка противника. Красноармеец тов. Моренинов огнём из противотанкового ружья сбил немецкий самолёт.</w:t>
      </w:r>
    </w:p>
    <w:p w14:paraId="5CA41072"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Ростова наши войска вели тяжёлые бои против немецко-фашистских войск. Противник сосредоточил здесь крупные силы и, пользуясь подавляющим численным превосходством, непрерывно штурмует наши укрепления. В отдельных местах ему удалось прорвать наши рубежи и проникнуть на окраину города. Наши бойцы, не щадя своей жизни, ведут борьбу с танками и пехотой противника. Одна рота в течение восьми часов отбивала атаки гитлеровцев. Бронебойщики, приданные роте, уничтожили 11 немецких танков. На подступах к позициям осталось свыше 600 вражеских трупов. На другом участке пять советских танков вели борьбу с тридцатью немецкими. Отважные танкисты подбили и сожгли 18 танков противника и вышли из боя только тогда, когда израсходовали все боеприпасы.</w:t>
      </w:r>
    </w:p>
    <w:p w14:paraId="1D17D7D5"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Цимлянской наши лётчики обрушивают тяжёлые удары по войскам противника. На одном из участков наша бомбардировочная и штурмовая авиация произвела налёт на мотомехчасти противника и уничтожила 7 немецких танков, 100 автомашин с пехотой и военным грузом, 6 орудий и 20 повозок с боеприпасами. В воздушном бою сбито два и подбит один немецкий самолёт.</w:t>
      </w:r>
    </w:p>
    <w:p w14:paraId="36BFC7DE"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белорусских партизан под руководством тов. З. за последнее время разрушил 6 мостов, подорвал 7 немецких автомашин с боеприпасами, уничтожил 60 солдат и 2 офицеров противника. Партизаны этого отряда, объединившись с латвийским партизанским отрядом, где командиром тов. С, совершили налёт на полицейское управление. Совместными действиями партизан этих отрядов истреблены 17 полицейских, немецкий офицер и бургомистр, уничтожено два воинских склада оккупантов.</w:t>
      </w:r>
    </w:p>
    <w:p w14:paraId="7663600B"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войска на юге и в районе Воронежа несут огромные потери. Многие дивизий, подготовленные немецким командованием для наступления на советско-германском фронте, перемолоты, истекают кровью. Гитлеровцы теперь вынуждены вводить в бой новые дивизии, спешно перебрасывать войска с других фронтов и из глубокого тыла.</w:t>
      </w:r>
    </w:p>
    <w:p w14:paraId="5D688260"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Об этом свидетельствуют трофейные документы, показания пленных и письма, найденные у убитых немецких солдат и офицеров. Так, пленный лейтенант 340 немецкой пехотной дивизии Ганс Фишер сообщил: «...Наша дивизия выполняла гарнизонную службу в районе Кале (Франция). Внезапно был получен приказ, и мы вконце июня 1942 года были срочно погружены в вагоны и переброшены на Восточныйфронт. С середины июля 340 дивизия участвует в боях в России». В конце июня также прибыли из Франции на советско-германский фронт 370, 371 и 377 пехотные дивизии, одна танковая дивизия и другие немецкие соединения. Пленный </w:t>
      </w:r>
      <w:r w:rsidRPr="00722885">
        <w:rPr>
          <w:rFonts w:ascii="Times New Roman" w:hAnsi="Times New Roman"/>
          <w:color w:val="000000" w:themeColor="text1"/>
          <w:sz w:val="16"/>
          <w:szCs w:val="16"/>
        </w:rPr>
        <w:lastRenderedPageBreak/>
        <w:t>солдат 377немецкой пехотной дивизии Теодор Крамер рассказал: «Мы до последнего времени находились в Безансоне (Франция). Нас всех удивил приказ о переброске дивизии наВосток. Однако офицеры нам разъяснили, что Германии нужно выиграть время и, не считаясь с ослаблением позиции на Западе, бросить войска на Восток».</w:t>
      </w:r>
    </w:p>
    <w:p w14:paraId="0D5E8ACC"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июля французские патриоты совершили нападение на немецкий гарнизон в городе Ниоре. Убито 42 гитлеровца, полностью разрушена телефонная и телеграфная связь. В Анжере патриоты подожгли фабрику, изготовляющую для немцев парашюты и аэростаты. В городе Бресте отряд вооружённых французских патриотов напал на казарму эсэсовцев, уничтожил 11 оккупантов и вывез на грузовиках всё находившееся здесь оружие.» (14963).</w:t>
      </w:r>
    </w:p>
    <w:p w14:paraId="7EFF797D" w14:textId="77777777" w:rsidR="00CF69B5" w:rsidRPr="00722885" w:rsidRDefault="00CF69B5" w:rsidP="00722885">
      <w:pPr>
        <w:spacing w:after="0" w:line="240" w:lineRule="auto"/>
        <w:jc w:val="both"/>
        <w:rPr>
          <w:rFonts w:ascii="Times New Roman" w:hAnsi="Times New Roman"/>
          <w:color w:val="000000" w:themeColor="text1"/>
          <w:sz w:val="16"/>
          <w:szCs w:val="16"/>
        </w:rPr>
      </w:pPr>
    </w:p>
    <w:p w14:paraId="29E4B842"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в 1942 году в СССР немцы начинают продвижение на Северном Кавказе прорывом 1-й танковой армии на Сальск и Майкоп (14963).</w:t>
      </w:r>
    </w:p>
    <w:p w14:paraId="467D7B97" w14:textId="77777777" w:rsidR="00CF69B5" w:rsidRPr="00722885" w:rsidRDefault="00CF69B5" w:rsidP="00722885">
      <w:pPr>
        <w:spacing w:after="0" w:line="240" w:lineRule="auto"/>
        <w:jc w:val="both"/>
        <w:rPr>
          <w:rFonts w:ascii="Times New Roman" w:hAnsi="Times New Roman"/>
          <w:color w:val="000000" w:themeColor="text1"/>
          <w:sz w:val="16"/>
          <w:szCs w:val="16"/>
        </w:rPr>
      </w:pPr>
    </w:p>
    <w:p w14:paraId="56FB31DC"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в 1942 году немецкие войска занимают Ростов и Новочеркасск (14963).</w:t>
      </w:r>
    </w:p>
    <w:p w14:paraId="7DB4B53C" w14:textId="77777777" w:rsidR="00CF69B5" w:rsidRPr="00722885" w:rsidRDefault="00CF69B5" w:rsidP="00722885">
      <w:pPr>
        <w:spacing w:after="0" w:line="240" w:lineRule="auto"/>
        <w:jc w:val="both"/>
        <w:rPr>
          <w:rFonts w:ascii="Times New Roman" w:hAnsi="Times New Roman"/>
          <w:color w:val="000000" w:themeColor="text1"/>
          <w:sz w:val="16"/>
          <w:szCs w:val="16"/>
        </w:rPr>
      </w:pPr>
    </w:p>
    <w:p w14:paraId="1899C9B7"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в 1942 году с плацдармов в нижнем течении Дона противник перешел в наступление на сальском, ставропольском и краснодарском направлениях. Йачалась Битва за Кавказ - оборонительная (до 31 декабря 1942; Армавиро-Майкопская, Новороссийская, Моздок-Малгобекская, Туапсинская, Нальчикско-Орджоникидзевская) и наступательная (1 января - 9 октября 1943; Северо-Кавказская, Краснодарская, Новороссийско-Таманская) операции войск Южного, Северо-Кавказского и Закавказского фронтов, Черноморского флота, Азовской и Каспийской военных флотилий. Для выполнения плана по захвату Кавказа (кодовое наименовние - "Эдельвейс") германское командование выделило группу армий "А" (1-я и 4-я танковые армии, 17-я немецкая полевая армия, 3-я румынская армия, часть сил 4-го воздушного флота; командующий генерал-фельдмаршал В. Лист). Противнику противостояли войска Южного и часть сил Северо-Кавказского фронтов (51, 37, 12, 18, 56-я армии и 4-я воздушная армия). Войска Южного фронта закрепились на левом берегу Дона от устья Манычского канала до Азова. Для усиления действующих на сталинградского направлении войск германское командование выделило из состава группы армий "А" 24-й танковый корпус (2 танковые дивизии), 11-й армейский. корпус (2 пехотные дивизии), 8-ю итальянскую армию (6 пехотных дивизий, 1 пехотная и 1 кавалерийская бригады). Германское командование перебросило на советско-германский фронт основные силы авиации, действовавшей в Северной Африке (14963).</w:t>
      </w:r>
    </w:p>
    <w:p w14:paraId="5EDC4254" w14:textId="77777777" w:rsidR="00CF69B5" w:rsidRPr="00722885" w:rsidRDefault="00CF69B5" w:rsidP="00722885">
      <w:pPr>
        <w:spacing w:after="0" w:line="240" w:lineRule="auto"/>
        <w:jc w:val="both"/>
        <w:rPr>
          <w:rFonts w:ascii="Times New Roman" w:hAnsi="Times New Roman"/>
          <w:color w:val="000000" w:themeColor="text1"/>
          <w:sz w:val="16"/>
          <w:szCs w:val="16"/>
        </w:rPr>
      </w:pPr>
    </w:p>
    <w:p w14:paraId="42E969FB"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25 июля 1942 в районе Сальска и Майкопа фашистская 1-я танковая армия совершила прорыв советского фронта, начало Битвы за Кавказ (4962).</w:t>
      </w:r>
    </w:p>
    <w:p w14:paraId="0F939761" w14:textId="77777777" w:rsidR="00AE7191" w:rsidRPr="00722885" w:rsidRDefault="00AE7191" w:rsidP="00722885">
      <w:pPr>
        <w:pStyle w:val="Iauiue"/>
        <w:tabs>
          <w:tab w:val="left" w:pos="11199"/>
        </w:tabs>
        <w:jc w:val="both"/>
        <w:rPr>
          <w:color w:val="000000" w:themeColor="text1"/>
          <w:sz w:val="16"/>
          <w:szCs w:val="16"/>
        </w:rPr>
      </w:pPr>
    </w:p>
    <w:p w14:paraId="2C232BDF"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в 1942 году агенты 2-го батальона «Бранденбург-800» в красноармейской форме десантируются на парашютах в районе северокавказских Минеральных Вод. Диверсанты минируют и взрывают железнодорожный мост на ветке Минеральные Воды - Пятигорск (14963).</w:t>
      </w:r>
    </w:p>
    <w:p w14:paraId="5C56D65D" w14:textId="77777777" w:rsidR="00CF69B5" w:rsidRPr="00722885" w:rsidRDefault="00CF69B5" w:rsidP="00722885">
      <w:pPr>
        <w:spacing w:after="0" w:line="240" w:lineRule="auto"/>
        <w:jc w:val="both"/>
        <w:rPr>
          <w:rFonts w:ascii="Times New Roman" w:hAnsi="Times New Roman"/>
          <w:color w:val="000000" w:themeColor="text1"/>
          <w:sz w:val="16"/>
          <w:szCs w:val="16"/>
        </w:rPr>
      </w:pPr>
    </w:p>
    <w:p w14:paraId="0A6A8B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C 25 июля по 31 декабря 1942 был оборонительный период битвы за Кавказ (2438,104).</w:t>
      </w:r>
    </w:p>
    <w:p w14:paraId="3468F0B8" w14:textId="77777777" w:rsidR="00AE7191" w:rsidRPr="00722885" w:rsidRDefault="00AE7191" w:rsidP="00722885">
      <w:pPr>
        <w:pStyle w:val="Iauiue"/>
        <w:jc w:val="both"/>
        <w:rPr>
          <w:color w:val="000000" w:themeColor="text1"/>
          <w:sz w:val="16"/>
          <w:szCs w:val="16"/>
        </w:rPr>
      </w:pPr>
    </w:p>
    <w:p w14:paraId="38E79A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25 июля по 31 декабря 1942 обороняли Кавказ (2438,253).</w:t>
      </w:r>
    </w:p>
    <w:p w14:paraId="28199B42" w14:textId="77777777" w:rsidR="00AE7191" w:rsidRPr="00722885" w:rsidRDefault="00AE7191" w:rsidP="00722885">
      <w:pPr>
        <w:pStyle w:val="Iauiue"/>
        <w:jc w:val="both"/>
        <w:rPr>
          <w:color w:val="000000" w:themeColor="text1"/>
          <w:sz w:val="16"/>
          <w:szCs w:val="16"/>
        </w:rPr>
      </w:pPr>
    </w:p>
    <w:p w14:paraId="7965F2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25 июля по 28 сентября 1942 была северокавказская оборонительная операция (3186).</w:t>
      </w:r>
    </w:p>
    <w:p w14:paraId="571B4CBB" w14:textId="77777777" w:rsidR="00AE7191" w:rsidRPr="00722885" w:rsidRDefault="00AE7191" w:rsidP="00722885">
      <w:pPr>
        <w:pStyle w:val="Iauiue"/>
        <w:jc w:val="both"/>
        <w:rPr>
          <w:color w:val="000000" w:themeColor="text1"/>
          <w:sz w:val="16"/>
          <w:szCs w:val="16"/>
        </w:rPr>
      </w:pPr>
    </w:p>
    <w:p w14:paraId="4D5B8E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25 июля по 31 декабря 1942 года - северокавказская оборонительная операция (2691).</w:t>
      </w:r>
    </w:p>
    <w:p w14:paraId="4C6B4CC9" w14:textId="77777777" w:rsidR="00AE7191" w:rsidRPr="00722885" w:rsidRDefault="00AE7191" w:rsidP="00722885">
      <w:pPr>
        <w:pStyle w:val="Iauiue"/>
        <w:jc w:val="both"/>
        <w:rPr>
          <w:color w:val="000000" w:themeColor="text1"/>
          <w:sz w:val="16"/>
          <w:szCs w:val="16"/>
        </w:rPr>
      </w:pPr>
    </w:p>
    <w:p w14:paraId="4B6DAA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июля 1942 потребовалось в спешном порядке привлечь авиацию для советского контрудара под Сталинградом (518,231).</w:t>
      </w:r>
    </w:p>
    <w:p w14:paraId="49306859" w14:textId="77777777" w:rsidR="00AE7191" w:rsidRPr="00722885" w:rsidRDefault="00AE7191" w:rsidP="00722885">
      <w:pPr>
        <w:pStyle w:val="Iauiue"/>
        <w:jc w:val="both"/>
        <w:rPr>
          <w:color w:val="000000" w:themeColor="text1"/>
          <w:sz w:val="16"/>
          <w:szCs w:val="16"/>
        </w:rPr>
      </w:pPr>
    </w:p>
    <w:p w14:paraId="3EB703B9" w14:textId="77777777" w:rsidR="006B5C1C" w:rsidRPr="00722885" w:rsidRDefault="006B5C1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ночь с 25 на 26 июля 1942 произошел интересный случай. На конвой, состоявший из двух вспомогательных тральщиков и транспорта «Левант», были сброшены несколько бомб. В дневнике боевых действий командующего ВМС Германии на Балтийском море по этому поводу было записано следующее: «Таким образом, впервые на Балтийском море у берегов Германии была произведена бомбардировка конвоя. Одиночный налет на судоходство, конечно, не может иметь серьезного значения. Однако оживленная деятельность русской авиации в восточных провинциях Рейха и в прибрежных районах свидетельствует об улучшении оснащения авиатехникой» (22728).</w:t>
      </w:r>
    </w:p>
    <w:p w14:paraId="0E16A494" w14:textId="77777777" w:rsidR="006B5C1C" w:rsidRPr="00722885" w:rsidRDefault="006B5C1C" w:rsidP="00722885">
      <w:pPr>
        <w:spacing w:after="0" w:line="240" w:lineRule="auto"/>
        <w:jc w:val="both"/>
        <w:rPr>
          <w:rFonts w:ascii="Times New Roman" w:hAnsi="Times New Roman"/>
          <w:color w:val="0070C0"/>
          <w:sz w:val="16"/>
          <w:szCs w:val="16"/>
        </w:rPr>
      </w:pPr>
    </w:p>
    <w:p w14:paraId="611FFA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Поздним вечером 25 июля 1942 пароход «Смоленск» шел вверх по течению с нефтеналивной баржей «Кондома» на буксире. В трюмах судна тоже находилось топливо. Несмотря на приближение фронта к Волге и полеты немецких самолетов над рекой, члены команд многих судов продолжали работать как в мирное время, часто беря в плавание детей. Не был исключением и «Смоленск». На борту кроме капитана, его помощника и 15 матросов находились девять детей, коротавших так летние каникулы. Солнце уже давно зашло за высокий берег Волги, и на реку постепенно опускалась тьма. На небосводе появились звездочки, а впереди на воде зажглись огоньки бакенов. Младшие дети отправились спать в каюты, остальные же остались на палубе, наслаждаясь теплым июльским воздухом. Пароход миновал Горную Пролейку, расположенную на полпути между Дубовкой и Камышиным, когда произошло ужасное… Страшной силы взрыв сотряс реку, и в одно мгновение корабль, еще секунду назад мерно скользивший по воде, подпрыгнул и скрылся в клубах дыма и пара. Затем все вокруг осветил яркий столб пламени от взорвавшихся нефтепродуктов. Жители поселка, услышав взрыв, побежали на берег, но увидели только горящую на поверхности реки нефть. Спастись не удалось никому. На рассвете место гибели «Смоленска» проходили другие суда, и их команды видели лишь мазутные пятна на воде и плавающие обломки. Баржа «Кондома» не пострадала и все утро дрейфовала по реке, словно призрак, но и она на следующий день была потоплена немцами (11774).</w:t>
      </w:r>
    </w:p>
    <w:p w14:paraId="22CB3E4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A21A493" w14:textId="77777777" w:rsidR="00CF69B5"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7B399BC" w14:textId="77777777" w:rsidR="00CF69B5" w:rsidRPr="00722885" w:rsidRDefault="00CF69B5" w:rsidP="00722885">
      <w:pPr>
        <w:pStyle w:val="Iauiue"/>
        <w:jc w:val="both"/>
        <w:rPr>
          <w:iCs/>
          <w:color w:val="000000" w:themeColor="text1"/>
          <w:sz w:val="16"/>
          <w:szCs w:val="16"/>
        </w:rPr>
      </w:pPr>
    </w:p>
    <w:p w14:paraId="301D7E37"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 июля в 1942 году компания «North American» была уполномочена оснастить два </w:t>
      </w:r>
      <w:hyperlink r:id="rId33" w:tgtFrame="_blank" w:history="1">
        <w:r w:rsidRPr="00722885">
          <w:rPr>
            <w:rFonts w:ascii="Times New Roman" w:hAnsi="Times New Roman"/>
            <w:color w:val="000000" w:themeColor="text1"/>
            <w:sz w:val="16"/>
            <w:szCs w:val="16"/>
          </w:rPr>
          <w:t xml:space="preserve">«Mustang» </w:t>
        </w:r>
      </w:hyperlink>
      <w:r w:rsidRPr="00722885">
        <w:rPr>
          <w:rFonts w:ascii="Times New Roman" w:hAnsi="Times New Roman"/>
          <w:color w:val="000000" w:themeColor="text1"/>
          <w:sz w:val="16"/>
          <w:szCs w:val="16"/>
        </w:rPr>
        <w:t>двигателями «Merlin 65», импортированными из Великобритании. Эти самолеты рассматривались достаточно отличными от существующей модели «Mustang», и им дали новое обозначение «XP-78». Для переоборудования NAA выбрала два «P-51» из партии непоставленных RAF «Mustang IA», которыми повторно обладали USAAF с серийными номерами 41-37350 и 41-37421. Внутри компании NAA проект получил обозначение «NA-101». В ходе работы над проектом обозначение этих двух самолетов изменили на «XP-51B». Большую роль в переоборудовании самолетов сыграли ранние работы «Rolls-Royce», хотя британская двигателестроительная фирма не участвовала в проекте. Инженеры «North American» переместили воздухозаборник карбюратора в нижнюю часть капота двигателя, чтобы обеспечить нормальную работу карбюратора с восходящим потоком двигателя «Merlin». Воздухо-воздушный радиатор охладителя был добавлен к группе радиаторов, расположенной внутри совкового воздухозаборника под фюзеляжем. Подфюзеляжная группа радиаторов была размещена заметно глубже чем прежде и имела остроугольный вход, расположенный в более чем двух дюймах от нижней стороны фюзеляжа. Были изменены створки подфюзеляжной системы радиаторов. Маслорадиатор из центральной части круглого радиатора охлаждающей жидкости переместили к кромке трубы и оснастили индивидуальным воздухозаборником с регулируемым входом. За радиатором охлаждающей жидкости разместили прямоугольный воздухо-воздушный радиатор охладителя. Выходной канал в хвостовой части получил большее сечение. Из-за возросшей скорости и нагрузок потребовалось усиление планера. Были применены новые элероны и усиленные подкрыльные точки подвески, на которых появилась возможность размещения двух 1000 фунтовых бомб или двух топливных баков аналогичного веса. На самолеты установили новый четырехлопастный пропеллер Hamilton Standard Hydromatic диаметром 11 футов 2 дюйма с широкими лопастями. С самолетов полностью сняли все оборудование для установки двух синхронизированных 12,7 мм пулеметов и вооружение состояло только из четырех 12,7 мм пулеметов, установленных попарно в крыльях. В августе 1942 года на основе оценочных данных «NAA» было заказано 400 «P-51B». Заказ последовал еще до полета первого прототипа (14963).</w:t>
      </w:r>
    </w:p>
    <w:p w14:paraId="767FD14E" w14:textId="77777777" w:rsidR="00CF69B5" w:rsidRPr="00722885" w:rsidRDefault="00CF69B5" w:rsidP="00722885">
      <w:pPr>
        <w:spacing w:after="0" w:line="240" w:lineRule="auto"/>
        <w:jc w:val="both"/>
        <w:rPr>
          <w:rFonts w:ascii="Times New Roman" w:hAnsi="Times New Roman"/>
          <w:color w:val="000000" w:themeColor="text1"/>
          <w:sz w:val="16"/>
          <w:szCs w:val="16"/>
        </w:rPr>
      </w:pPr>
    </w:p>
    <w:p w14:paraId="208D8890" w14:textId="77777777" w:rsidR="00CF69B5" w:rsidRPr="00722885" w:rsidRDefault="00CF69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в 1942 году на заседании англо-американского объединенного комитета начальников штабов в Лондоне принято решение о проведении операции «Торч» - высадке десанта в Северной Африке (14963).</w:t>
      </w:r>
    </w:p>
    <w:p w14:paraId="70BCAD17" w14:textId="77777777" w:rsidR="00CF69B5" w:rsidRPr="00722885" w:rsidRDefault="00CF69B5" w:rsidP="00722885">
      <w:pPr>
        <w:spacing w:after="0" w:line="240" w:lineRule="auto"/>
        <w:jc w:val="both"/>
        <w:rPr>
          <w:rFonts w:ascii="Times New Roman" w:hAnsi="Times New Roman"/>
          <w:color w:val="000000" w:themeColor="text1"/>
          <w:sz w:val="16"/>
          <w:szCs w:val="16"/>
        </w:rPr>
      </w:pPr>
    </w:p>
    <w:p w14:paraId="11492EB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F91D090" w14:textId="77777777" w:rsidR="00AE7191" w:rsidRPr="00722885" w:rsidRDefault="00AE7191" w:rsidP="00722885">
      <w:pPr>
        <w:pStyle w:val="Iauiue"/>
        <w:jc w:val="both"/>
        <w:rPr>
          <w:iCs/>
          <w:color w:val="000000" w:themeColor="text1"/>
          <w:sz w:val="16"/>
          <w:szCs w:val="16"/>
        </w:rPr>
      </w:pPr>
    </w:p>
    <w:p w14:paraId="57FAF2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июля 1942 С.В.И. писал А.И.Ш. письмо N 339с:</w:t>
      </w:r>
    </w:p>
    <w:p w14:paraId="5148A3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169, изготавливающий хвостовые части фюзеляжа самолета Ил-2 для завода 30, дает продукцию низкого и недопустимо непостоянного качества. Контроль за изготавливаемой продукцией поставлен плохо.</w:t>
      </w:r>
    </w:p>
    <w:p w14:paraId="6AA642C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результате такого положения на заводе 30 был целый ряд случаев разрушения хвостов на самолетах, еще не дошедших до частей.</w:t>
      </w:r>
    </w:p>
    <w:p w14:paraId="075CFC2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Примеры:</w:t>
      </w:r>
    </w:p>
    <w:p w14:paraId="154223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Испытанные 2 уже усиленных фюзеляжа показали прочность один - 90%, другой - 126% вместо 179% по испытаниям фюзеляжа завода 18, сделанного по тем же чертежам.</w:t>
      </w:r>
    </w:p>
    <w:p w14:paraId="255AF20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В результате такого положения уже и усиленные фюзеляжи выпускаются непрочными и если в течение ближайших дней качество не будет улучшено, то необходимо будет остановить производство хвостов на завода 169.</w:t>
      </w:r>
    </w:p>
    <w:p w14:paraId="2D04B3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169 не сделал для себя выводов из целого ряда фактов и до последнего времени не улучшил качество продукции и не усилил контроля, а завод 30 ставить хвостовые части также без достаточного контроля, по-видимому считая, что за хвосты несет полную ответственность завод 169. Для того, чтобы покончить с недоброкачественной продукцией, завод 169 необходимо подчинить заводу 30 с тем, чтобы последний имел возможность по-хозяйски наладить технологический процесс, навести порядок и нести полную ответственность за выпускаемый самолет Ил-2 (1680,88).</w:t>
      </w:r>
    </w:p>
    <w:p w14:paraId="28556A10" w14:textId="77777777" w:rsidR="00AE7191" w:rsidRPr="00722885" w:rsidRDefault="00AE7191" w:rsidP="00722885">
      <w:pPr>
        <w:pStyle w:val="Iauiue"/>
        <w:jc w:val="both"/>
        <w:rPr>
          <w:color w:val="000000" w:themeColor="text1"/>
          <w:sz w:val="16"/>
          <w:szCs w:val="16"/>
        </w:rPr>
      </w:pPr>
    </w:p>
    <w:p w14:paraId="6FD2C3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вышло Постановление ГКО № 2105 О постройке реактивного самолета-перехватчика конструкции т. Костикова. РГАНИР, Фонд ГКО, д. 48, лл. 32-33 (11012).</w:t>
      </w:r>
    </w:p>
    <w:p w14:paraId="039292E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919BFFF"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вышло Постановление ГКО № 2105 О постройке реактивного самолета-перехватчика конструкции т. Костикова</w:t>
      </w:r>
    </w:p>
    <w:p w14:paraId="5BE74F95"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комитет обороны постановляет:</w:t>
      </w:r>
    </w:p>
    <w:p w14:paraId="53E4FEF0"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Наркомавиапром тов. Шахурина и главного кон</w:t>
      </w:r>
      <w:r w:rsidRPr="00722885">
        <w:rPr>
          <w:rFonts w:ascii="Times New Roman" w:hAnsi="Times New Roman"/>
          <w:color w:val="000000" w:themeColor="text1"/>
          <w:sz w:val="16"/>
          <w:szCs w:val="16"/>
        </w:rPr>
        <w:softHyphen/>
        <w:t>структора тов.Костикова спроектировать и построить реактив</w:t>
      </w:r>
      <w:r w:rsidRPr="00722885">
        <w:rPr>
          <w:rFonts w:ascii="Times New Roman" w:hAnsi="Times New Roman"/>
          <w:color w:val="000000" w:themeColor="text1"/>
          <w:sz w:val="16"/>
          <w:szCs w:val="16"/>
        </w:rPr>
        <w:softHyphen/>
        <w:t>ный самолет-перехватчик в количестве пяти экземпляров со следующими летно-техническимк данными:</w:t>
      </w:r>
    </w:p>
    <w:p w14:paraId="1315280A"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у земли и на высоте 8000 мт - 720 км/час</w:t>
      </w:r>
    </w:p>
    <w:p w14:paraId="2DADBBDC"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форсажем - 820 км/час</w:t>
      </w:r>
    </w:p>
    <w:p w14:paraId="7D0CB18C"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мт - 1,9 мин.</w:t>
      </w:r>
    </w:p>
    <w:p w14:paraId="6B0444C3"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Продолжительность полета на скорости 800 км/час на высо</w:t>
      </w:r>
      <w:r w:rsidRPr="00722885">
        <w:rPr>
          <w:rFonts w:ascii="Times New Roman" w:hAnsi="Times New Roman"/>
          <w:color w:val="000000" w:themeColor="text1"/>
          <w:sz w:val="16"/>
          <w:szCs w:val="16"/>
        </w:rPr>
        <w:softHyphen/>
        <w:t>те 8000 мт - 20 мин</w:t>
      </w:r>
    </w:p>
    <w:p w14:paraId="1DCEE541"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Потолок практический - 10000 м</w:t>
      </w:r>
    </w:p>
    <w:p w14:paraId="253D9E32"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Посадочная скорость с выго</w:t>
      </w:r>
      <w:r w:rsidRPr="00722885">
        <w:rPr>
          <w:rFonts w:ascii="Times New Roman" w:hAnsi="Times New Roman"/>
          <w:color w:val="000000" w:themeColor="text1"/>
          <w:sz w:val="16"/>
          <w:szCs w:val="16"/>
        </w:rPr>
        <w:softHyphen/>
        <w:t>ревшим горючим - 130 км/час</w:t>
      </w:r>
    </w:p>
    <w:p w14:paraId="47EAA4C1"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w:t>
      </w:r>
    </w:p>
    <w:p w14:paraId="0FBF499F"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неподвижных пушки калибра 20 мм с боезапасом 340 снарядов</w:t>
      </w:r>
    </w:p>
    <w:p w14:paraId="38781382"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построить с двумя вариантами воздушно-реактив</w:t>
      </w:r>
      <w:r w:rsidRPr="00722885">
        <w:rPr>
          <w:rFonts w:ascii="Times New Roman" w:hAnsi="Times New Roman"/>
          <w:color w:val="000000" w:themeColor="text1"/>
          <w:sz w:val="16"/>
          <w:szCs w:val="16"/>
        </w:rPr>
        <w:softHyphen/>
        <w:t>ных двигателей по 2 экз. каждого варианта и 1 экз. для ста</w:t>
      </w:r>
      <w:r w:rsidRPr="00722885">
        <w:rPr>
          <w:rFonts w:ascii="Times New Roman" w:hAnsi="Times New Roman"/>
          <w:color w:val="000000" w:themeColor="text1"/>
          <w:sz w:val="16"/>
          <w:szCs w:val="16"/>
        </w:rPr>
        <w:softHyphen/>
        <w:t>тических испытаний.</w:t>
      </w:r>
    </w:p>
    <w:p w14:paraId="71912549"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Срок постройки с прсд"явлекием на совместные испытания:</w:t>
      </w:r>
    </w:p>
    <w:p w14:paraId="68505129"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первого варианта самолета - 15 марта 1943 года второго варианта самолета - 15 мая 1943 года.</w:t>
      </w:r>
    </w:p>
    <w:p w14:paraId="6C46849B" w14:textId="77777777" w:rsidR="0044627C" w:rsidRPr="00722885" w:rsidRDefault="0044627C" w:rsidP="00722885">
      <w:pPr>
        <w:tabs>
          <w:tab w:val="left" w:pos="111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Постройку самолета произвести на заводе № 156 НКАП, на котором Народному комиссару т.Шахурину и директору заво</w:t>
      </w:r>
      <w:r w:rsidRPr="00722885">
        <w:rPr>
          <w:rFonts w:ascii="Times New Roman" w:hAnsi="Times New Roman"/>
          <w:color w:val="000000" w:themeColor="text1"/>
          <w:sz w:val="16"/>
          <w:szCs w:val="16"/>
        </w:rPr>
        <w:softHyphen/>
        <w:t>да тов.Ржищеву организовать опытно-конструкторское бюро тов.Костикова с опытным цехом при нем.</w:t>
      </w:r>
    </w:p>
    <w:p w14:paraId="685A3208" w14:textId="77777777" w:rsidR="0044627C" w:rsidRPr="00722885" w:rsidRDefault="0044627C" w:rsidP="00722885">
      <w:pPr>
        <w:tabs>
          <w:tab w:val="left" w:pos="111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Главным конструктором специального ОКБ на заводе № 156 назначить тов.Костикова с сохранением за ним должности директора и главного конструктора Института Реактивной Тех</w:t>
      </w:r>
      <w:r w:rsidRPr="00722885">
        <w:rPr>
          <w:rFonts w:ascii="Times New Roman" w:hAnsi="Times New Roman"/>
          <w:color w:val="000000" w:themeColor="text1"/>
          <w:sz w:val="16"/>
          <w:szCs w:val="16"/>
        </w:rPr>
        <w:softHyphen/>
        <w:t>ники .</w:t>
      </w:r>
    </w:p>
    <w:p w14:paraId="673E4355" w14:textId="77777777" w:rsidR="0044627C" w:rsidRPr="00722885" w:rsidRDefault="0044627C" w:rsidP="00722885">
      <w:pPr>
        <w:tabs>
          <w:tab w:val="left" w:pos="112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Народному Комиссару т.Шахурину перевести в ОКБ за</w:t>
      </w:r>
      <w:r w:rsidRPr="00722885">
        <w:rPr>
          <w:rFonts w:ascii="Times New Roman" w:hAnsi="Times New Roman"/>
          <w:color w:val="000000" w:themeColor="text1"/>
          <w:sz w:val="16"/>
          <w:szCs w:val="16"/>
        </w:rPr>
        <w:softHyphen/>
        <w:t xml:space="preserve">вода № </w:t>
      </w:r>
      <w:r w:rsidRPr="00722885">
        <w:rPr>
          <w:rStyle w:val="0pt"/>
          <w:rFonts w:ascii="Times New Roman" w:hAnsi="Times New Roman" w:cs="Times New Roman"/>
          <w:color w:val="000000" w:themeColor="text1"/>
          <w:spacing w:val="0"/>
          <w:sz w:val="16"/>
          <w:szCs w:val="16"/>
        </w:rPr>
        <w:t>156</w:t>
      </w:r>
      <w:r w:rsidRPr="00722885">
        <w:rPr>
          <w:rFonts w:ascii="Times New Roman" w:hAnsi="Times New Roman"/>
          <w:color w:val="000000" w:themeColor="text1"/>
          <w:sz w:val="16"/>
          <w:szCs w:val="16"/>
        </w:rPr>
        <w:t xml:space="preserve"> с завода № </w:t>
      </w:r>
      <w:r w:rsidRPr="00722885">
        <w:rPr>
          <w:rStyle w:val="0pt"/>
          <w:rFonts w:ascii="Times New Roman" w:hAnsi="Times New Roman" w:cs="Times New Roman"/>
          <w:color w:val="000000" w:themeColor="text1"/>
          <w:spacing w:val="0"/>
          <w:sz w:val="16"/>
          <w:szCs w:val="16"/>
        </w:rPr>
        <w:t>166</w:t>
      </w:r>
      <w:r w:rsidRPr="00722885">
        <w:rPr>
          <w:rFonts w:ascii="Times New Roman" w:hAnsi="Times New Roman"/>
          <w:color w:val="000000" w:themeColor="text1"/>
          <w:sz w:val="16"/>
          <w:szCs w:val="16"/>
        </w:rPr>
        <w:t xml:space="preserve"> группу конструкторов и производ</w:t>
      </w:r>
      <w:r w:rsidRPr="00722885">
        <w:rPr>
          <w:rFonts w:ascii="Times New Roman" w:hAnsi="Times New Roman"/>
          <w:color w:val="000000" w:themeColor="text1"/>
          <w:sz w:val="16"/>
          <w:szCs w:val="16"/>
        </w:rPr>
        <w:softHyphen/>
        <w:t>ственников из бывшего ОКБ -</w:t>
      </w:r>
      <w:r w:rsidRPr="00722885">
        <w:rPr>
          <w:rStyle w:val="CenturyGothic85pt0pt"/>
          <w:rFonts w:ascii="Times New Roman" w:hAnsi="Times New Roman" w:cs="Times New Roman"/>
          <w:color w:val="000000" w:themeColor="text1"/>
          <w:spacing w:val="0"/>
          <w:sz w:val="16"/>
          <w:szCs w:val="16"/>
          <w:lang w:val="ru-RU"/>
        </w:rPr>
        <w:t xml:space="preserve"> тов</w:t>
      </w:r>
      <w:r w:rsidRPr="00722885">
        <w:rPr>
          <w:rFonts w:ascii="Times New Roman" w:hAnsi="Times New Roman"/>
          <w:color w:val="000000" w:themeColor="text1"/>
          <w:sz w:val="16"/>
          <w:szCs w:val="16"/>
        </w:rPr>
        <w:t>. Архангельского по списку НКАП.</w:t>
      </w:r>
    </w:p>
    <w:p w14:paraId="5AA9F955" w14:textId="77777777" w:rsidR="0044627C" w:rsidRPr="00722885" w:rsidRDefault="0044627C" w:rsidP="00722885">
      <w:pPr>
        <w:tabs>
          <w:tab w:val="left" w:pos="95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Народному Комиссару Путей Сообщения - т.Хрулеву пе</w:t>
      </w:r>
      <w:r w:rsidRPr="00722885">
        <w:rPr>
          <w:rFonts w:ascii="Times New Roman" w:hAnsi="Times New Roman"/>
          <w:color w:val="000000" w:themeColor="text1"/>
          <w:sz w:val="16"/>
          <w:szCs w:val="16"/>
        </w:rPr>
        <w:softHyphen/>
        <w:t>ревести в Москву в трехнедельный срок личный состав для ОКБ тов.Костикова из г.Омска и г.Свердловска по спискам НКАП</w:t>
      </w:r>
    </w:p>
    <w:p w14:paraId="45CF0978" w14:textId="77777777" w:rsidR="0044627C" w:rsidRPr="00722885" w:rsidRDefault="0044627C" w:rsidP="00722885">
      <w:pPr>
        <w:tabs>
          <w:tab w:val="left" w:pos="95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Народному Комиссару Вооружения тов.Устинову организо</w:t>
      </w:r>
      <w:r w:rsidRPr="00722885">
        <w:rPr>
          <w:rFonts w:ascii="Times New Roman" w:hAnsi="Times New Roman"/>
          <w:color w:val="000000" w:themeColor="text1"/>
          <w:sz w:val="16"/>
          <w:szCs w:val="16"/>
        </w:rPr>
        <w:softHyphen/>
        <w:t xml:space="preserve">вать изготовление прошитых, кованных заготовок из стали ЭК17 в количестве 10 тонн по спецификации завода № </w:t>
      </w:r>
      <w:r w:rsidRPr="00722885">
        <w:rPr>
          <w:rStyle w:val="0pt"/>
          <w:rFonts w:ascii="Times New Roman" w:hAnsi="Times New Roman" w:cs="Times New Roman"/>
          <w:color w:val="000000" w:themeColor="text1"/>
          <w:spacing w:val="0"/>
          <w:sz w:val="16"/>
          <w:szCs w:val="16"/>
        </w:rPr>
        <w:t>156</w:t>
      </w:r>
      <w:r w:rsidRPr="00722885">
        <w:rPr>
          <w:rFonts w:ascii="Times New Roman" w:hAnsi="Times New Roman"/>
          <w:color w:val="000000" w:themeColor="text1"/>
          <w:sz w:val="16"/>
          <w:szCs w:val="16"/>
        </w:rPr>
        <w:t xml:space="preserve"> к </w:t>
      </w:r>
      <w:r w:rsidRPr="00722885">
        <w:rPr>
          <w:rStyle w:val="0pt"/>
          <w:rFonts w:ascii="Times New Roman" w:hAnsi="Times New Roman" w:cs="Times New Roman"/>
          <w:color w:val="000000" w:themeColor="text1"/>
          <w:spacing w:val="0"/>
          <w:sz w:val="16"/>
          <w:szCs w:val="16"/>
        </w:rPr>
        <w:t>15</w:t>
      </w:r>
      <w:r w:rsidRPr="00722885">
        <w:rPr>
          <w:rFonts w:ascii="Times New Roman" w:hAnsi="Times New Roman"/>
          <w:color w:val="000000" w:themeColor="text1"/>
          <w:sz w:val="16"/>
          <w:szCs w:val="16"/>
        </w:rPr>
        <w:t xml:space="preserve"> сен</w:t>
      </w:r>
      <w:r w:rsidRPr="00722885">
        <w:rPr>
          <w:rFonts w:ascii="Times New Roman" w:hAnsi="Times New Roman"/>
          <w:color w:val="000000" w:themeColor="text1"/>
          <w:sz w:val="16"/>
          <w:szCs w:val="16"/>
        </w:rPr>
        <w:softHyphen/>
        <w:t>тября с. г.</w:t>
      </w:r>
    </w:p>
    <w:p w14:paraId="32AB2766" w14:textId="77777777" w:rsidR="0044627C" w:rsidRPr="00722885" w:rsidRDefault="0044627C" w:rsidP="00722885">
      <w:pPr>
        <w:tabs>
          <w:tab w:val="left" w:pos="95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Народному Комиссару Минометного Вооружения тов.Парши</w:t>
      </w:r>
      <w:r w:rsidRPr="00722885">
        <w:rPr>
          <w:rFonts w:ascii="Times New Roman" w:hAnsi="Times New Roman"/>
          <w:color w:val="000000" w:themeColor="text1"/>
          <w:sz w:val="16"/>
          <w:szCs w:val="16"/>
        </w:rPr>
        <w:softHyphen/>
        <w:t>ну организовать во Всесоюзном Институте Гидро-машиностроения проектирование и изготовление по техническим требованиям заво</w:t>
      </w:r>
      <w:r w:rsidRPr="00722885">
        <w:rPr>
          <w:rFonts w:ascii="Times New Roman" w:hAnsi="Times New Roman"/>
          <w:color w:val="000000" w:themeColor="text1"/>
          <w:sz w:val="16"/>
          <w:szCs w:val="16"/>
        </w:rPr>
        <w:softHyphen/>
      </w:r>
      <w:r w:rsidRPr="00722885">
        <w:rPr>
          <w:rStyle w:val="0pt"/>
          <w:rFonts w:ascii="Times New Roman" w:hAnsi="Times New Roman" w:cs="Times New Roman"/>
          <w:color w:val="000000" w:themeColor="text1"/>
          <w:spacing w:val="0"/>
          <w:sz w:val="16"/>
          <w:szCs w:val="16"/>
        </w:rPr>
        <w:t xml:space="preserve">да </w:t>
      </w:r>
      <w:r w:rsidRPr="00722885">
        <w:rPr>
          <w:rStyle w:val="0pt"/>
          <w:rFonts w:ascii="Times New Roman" w:eastAsia="Calibri" w:hAnsi="Times New Roman" w:cs="Times New Roman"/>
          <w:color w:val="000000" w:themeColor="text1"/>
          <w:spacing w:val="0"/>
          <w:sz w:val="16"/>
          <w:szCs w:val="16"/>
        </w:rPr>
        <w:t>№</w:t>
      </w:r>
      <w:r w:rsidRPr="00722885">
        <w:rPr>
          <w:rStyle w:val="0pt"/>
          <w:rFonts w:ascii="Times New Roman" w:hAnsi="Times New Roman" w:cs="Times New Roman"/>
          <w:color w:val="000000" w:themeColor="text1"/>
          <w:spacing w:val="0"/>
          <w:sz w:val="16"/>
          <w:szCs w:val="16"/>
        </w:rPr>
        <w:t xml:space="preserve"> 15</w:t>
      </w:r>
      <w:r w:rsidRPr="00722885">
        <w:rPr>
          <w:rStyle w:val="0pt"/>
          <w:rFonts w:ascii="Times New Roman" w:eastAsia="Calibri" w:hAnsi="Times New Roman" w:cs="Times New Roman"/>
          <w:color w:val="000000" w:themeColor="text1"/>
          <w:spacing w:val="0"/>
          <w:sz w:val="16"/>
          <w:szCs w:val="16"/>
        </w:rPr>
        <w:t>6</w:t>
      </w:r>
      <w:r w:rsidRPr="00722885">
        <w:rPr>
          <w:rFonts w:ascii="Times New Roman" w:hAnsi="Times New Roman"/>
          <w:color w:val="000000" w:themeColor="text1"/>
          <w:sz w:val="16"/>
          <w:szCs w:val="16"/>
        </w:rPr>
        <w:t xml:space="preserve"> насосных установок в пяти экземплярах:</w:t>
      </w:r>
    </w:p>
    <w:p w14:paraId="6B132F9F"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экз. к 1 сентября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olor w:val="000000" w:themeColor="text1"/>
          <w:sz w:val="16"/>
          <w:szCs w:val="16"/>
        </w:rPr>
        <w:t xml:space="preserve"> года</w:t>
      </w:r>
    </w:p>
    <w:p w14:paraId="5A16D01C"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экз. к 1 декабря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olor w:val="000000" w:themeColor="text1"/>
          <w:sz w:val="16"/>
          <w:szCs w:val="16"/>
        </w:rPr>
        <w:t xml:space="preserve"> года.</w:t>
      </w:r>
    </w:p>
    <w:p w14:paraId="383AAAFF"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Народному Комиссару Авиационной промышленности тов.Шахурину окавать помощь Всесоюзному</w:t>
      </w:r>
      <w:r w:rsidRPr="00722885">
        <w:rPr>
          <w:rStyle w:val="85pt"/>
          <w:rFonts w:ascii="Times New Roman" w:hAnsi="Times New Roman" w:cs="Times New Roman"/>
          <w:color w:val="000000" w:themeColor="text1"/>
          <w:spacing w:val="0"/>
          <w:sz w:val="16"/>
          <w:szCs w:val="16"/>
        </w:rPr>
        <w:t xml:space="preserve"> Институту</w:t>
      </w:r>
      <w:r w:rsidRPr="00722885">
        <w:rPr>
          <w:rFonts w:ascii="Times New Roman" w:hAnsi="Times New Roman"/>
          <w:color w:val="000000" w:themeColor="text1"/>
          <w:sz w:val="16"/>
          <w:szCs w:val="16"/>
        </w:rPr>
        <w:t xml:space="preserve"> Гидро-машиностроения изготовив лопатки и литье для турбин на заводах ИКАЛ.</w:t>
      </w:r>
    </w:p>
    <w:p w14:paraId="3DBED6E6" w14:textId="77777777" w:rsidR="0044627C" w:rsidRPr="00722885" w:rsidRDefault="0044627C" w:rsidP="00722885">
      <w:pPr>
        <w:tabs>
          <w:tab w:val="left" w:pos="95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Председателю Моссовета тов.Пронину обеспечить прописку в Москве и возвращение квартир, ранее занимавшихся переводимы</w:t>
      </w:r>
      <w:r w:rsidRPr="00722885">
        <w:rPr>
          <w:rFonts w:ascii="Times New Roman" w:hAnsi="Times New Roman"/>
          <w:color w:val="000000" w:themeColor="text1"/>
          <w:sz w:val="16"/>
          <w:szCs w:val="16"/>
        </w:rPr>
        <w:softHyphen/>
        <w:t xml:space="preserve">ми в Москву из других городов сотрудниками ОКБ завода' </w:t>
      </w:r>
      <w:r w:rsidRPr="00722885">
        <w:rPr>
          <w:rStyle w:val="0pt"/>
          <w:rFonts w:ascii="Times New Roman" w:hAnsi="Times New Roman" w:cs="Times New Roman"/>
          <w:color w:val="000000" w:themeColor="text1"/>
          <w:spacing w:val="0"/>
          <w:sz w:val="16"/>
          <w:szCs w:val="16"/>
        </w:rPr>
        <w:t xml:space="preserve">156 по </w:t>
      </w:r>
      <w:r w:rsidRPr="00722885">
        <w:rPr>
          <w:rFonts w:ascii="Times New Roman" w:hAnsi="Times New Roman"/>
          <w:color w:val="000000" w:themeColor="text1"/>
          <w:sz w:val="16"/>
          <w:szCs w:val="16"/>
        </w:rPr>
        <w:t xml:space="preserve">спискам НКАП, общим количеством до </w:t>
      </w:r>
      <w:r w:rsidRPr="00722885">
        <w:rPr>
          <w:rStyle w:val="0pt"/>
          <w:rFonts w:ascii="Times New Roman" w:hAnsi="Times New Roman" w:cs="Times New Roman"/>
          <w:color w:val="000000" w:themeColor="text1"/>
          <w:spacing w:val="0"/>
          <w:sz w:val="16"/>
          <w:szCs w:val="16"/>
        </w:rPr>
        <w:t>300</w:t>
      </w:r>
      <w:r w:rsidRPr="00722885">
        <w:rPr>
          <w:rFonts w:ascii="Times New Roman" w:hAnsi="Times New Roman"/>
          <w:color w:val="000000" w:themeColor="text1"/>
          <w:sz w:val="16"/>
          <w:szCs w:val="16"/>
        </w:rPr>
        <w:t xml:space="preserve"> человек.</w:t>
      </w:r>
    </w:p>
    <w:p w14:paraId="5D46FC5C" w14:textId="77777777" w:rsidR="0044627C" w:rsidRPr="00722885" w:rsidRDefault="0044627C" w:rsidP="00722885">
      <w:pPr>
        <w:tabs>
          <w:tab w:val="left" w:pos="95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Народному Комиссару Внешней Торговли тов.Микояну выде</w:t>
      </w:r>
      <w:r w:rsidRPr="00722885">
        <w:rPr>
          <w:rFonts w:ascii="Times New Roman" w:hAnsi="Times New Roman"/>
          <w:color w:val="000000" w:themeColor="text1"/>
          <w:sz w:val="16"/>
          <w:szCs w:val="16"/>
        </w:rPr>
        <w:softHyphen/>
        <w:t xml:space="preserve">лить в июле-августе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olor w:val="000000" w:themeColor="text1"/>
          <w:sz w:val="16"/>
          <w:szCs w:val="16"/>
        </w:rPr>
        <w:t xml:space="preserve"> года:</w:t>
      </w:r>
    </w:p>
    <w:p w14:paraId="074C4837" w14:textId="77777777" w:rsidR="0044627C" w:rsidRPr="00722885" w:rsidRDefault="0044627C" w:rsidP="00722885">
      <w:pPr>
        <w:tabs>
          <w:tab w:val="left" w:pos="95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из числа поступающих по импорту - 25 металлорежущих станков;</w:t>
      </w:r>
    </w:p>
    <w:p w14:paraId="147B23F3" w14:textId="77777777" w:rsidR="0044627C" w:rsidRPr="00722885" w:rsidRDefault="0044627C" w:rsidP="00722885">
      <w:pPr>
        <w:tabs>
          <w:tab w:val="left" w:pos="97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из числа поступающих по импорту или в счет поставок НКО: три трехтонки, три полуторатонки, один Пикап и две легко</w:t>
      </w:r>
      <w:r w:rsidRPr="00722885">
        <w:rPr>
          <w:rFonts w:ascii="Times New Roman" w:hAnsi="Times New Roman"/>
          <w:color w:val="000000" w:themeColor="text1"/>
          <w:sz w:val="16"/>
          <w:szCs w:val="16"/>
        </w:rPr>
        <w:softHyphen/>
        <w:t>вых автомашины.</w:t>
      </w:r>
    </w:p>
    <w:p w14:paraId="531EDD12" w14:textId="77777777" w:rsidR="0044627C" w:rsidRPr="00722885" w:rsidRDefault="0044627C" w:rsidP="00722885">
      <w:pPr>
        <w:tabs>
          <w:tab w:val="left" w:pos="1105"/>
        </w:tabs>
        <w:spacing w:after="0" w:line="240" w:lineRule="auto"/>
        <w:jc w:val="both"/>
        <w:rPr>
          <w:rFonts w:ascii="Times New Roman" w:hAnsi="Times New Roman"/>
          <w:color w:val="000000" w:themeColor="text1"/>
          <w:sz w:val="16"/>
          <w:szCs w:val="16"/>
        </w:rPr>
      </w:pPr>
      <w:r w:rsidRPr="00722885">
        <w:rPr>
          <w:rStyle w:val="0pt"/>
          <w:rFonts w:ascii="Times New Roman" w:hAnsi="Times New Roman" w:cs="Times New Roman"/>
          <w:color w:val="000000" w:themeColor="text1"/>
          <w:spacing w:val="0"/>
          <w:sz w:val="16"/>
          <w:szCs w:val="16"/>
        </w:rPr>
        <w:t>10.</w:t>
      </w:r>
      <w:r w:rsidRPr="00722885">
        <w:rPr>
          <w:rFonts w:ascii="Times New Roman" w:hAnsi="Times New Roman"/>
          <w:color w:val="000000" w:themeColor="text1"/>
          <w:sz w:val="16"/>
          <w:szCs w:val="16"/>
        </w:rPr>
        <w:t xml:space="preserve"> Наркомфину тов.Звереву выделить Наркомавиапрому из резервного фонда СНК СССР на обосудование </w:t>
      </w:r>
      <w:r w:rsidRPr="00722885">
        <w:rPr>
          <w:rStyle w:val="85pt"/>
          <w:rFonts w:ascii="Times New Roman" w:hAnsi="Times New Roman" w:cs="Times New Roman"/>
          <w:color w:val="000000" w:themeColor="text1"/>
          <w:spacing w:val="0"/>
          <w:sz w:val="16"/>
          <w:szCs w:val="16"/>
        </w:rPr>
        <w:t>ОКБ</w:t>
      </w:r>
      <w:r w:rsidRPr="00722885">
        <w:rPr>
          <w:rFonts w:ascii="Times New Roman" w:hAnsi="Times New Roman"/>
          <w:color w:val="000000" w:themeColor="text1"/>
          <w:sz w:val="16"/>
          <w:szCs w:val="16"/>
        </w:rPr>
        <w:t xml:space="preserve"> и опытного цеха завода № </w:t>
      </w:r>
      <w:r w:rsidRPr="00722885">
        <w:rPr>
          <w:rStyle w:val="0pt"/>
          <w:rFonts w:ascii="Times New Roman" w:hAnsi="Times New Roman" w:cs="Times New Roman"/>
          <w:color w:val="000000" w:themeColor="text1"/>
          <w:spacing w:val="0"/>
          <w:sz w:val="16"/>
          <w:szCs w:val="16"/>
        </w:rPr>
        <w:t>156</w:t>
      </w:r>
      <w:r w:rsidRPr="00722885">
        <w:rPr>
          <w:rFonts w:ascii="Times New Roman" w:hAnsi="Times New Roman"/>
          <w:color w:val="000000" w:themeColor="text1"/>
          <w:sz w:val="16"/>
          <w:szCs w:val="16"/>
        </w:rPr>
        <w:t xml:space="preserve"> и расходы по перевозке </w:t>
      </w:r>
      <w:r w:rsidRPr="00722885">
        <w:rPr>
          <w:rStyle w:val="0pt"/>
          <w:rFonts w:ascii="Times New Roman" w:hAnsi="Times New Roman" w:cs="Times New Roman"/>
          <w:color w:val="000000" w:themeColor="text1"/>
          <w:spacing w:val="0"/>
          <w:sz w:val="16"/>
          <w:szCs w:val="16"/>
        </w:rPr>
        <w:t>1.500.000</w:t>
      </w:r>
      <w:r w:rsidRPr="00722885">
        <w:rPr>
          <w:rFonts w:ascii="Times New Roman" w:hAnsi="Times New Roman"/>
          <w:color w:val="000000" w:themeColor="text1"/>
          <w:sz w:val="16"/>
          <w:szCs w:val="16"/>
        </w:rPr>
        <w:t xml:space="preserve"> рублей и на по</w:t>
      </w:r>
      <w:r w:rsidRPr="00722885">
        <w:rPr>
          <w:rFonts w:ascii="Times New Roman" w:hAnsi="Times New Roman"/>
          <w:color w:val="000000" w:themeColor="text1"/>
          <w:sz w:val="16"/>
          <w:szCs w:val="16"/>
        </w:rPr>
        <w:softHyphen/>
        <w:t xml:space="preserve">стройку самолетов-перехватчиков </w:t>
      </w:r>
      <w:r w:rsidRPr="00722885">
        <w:rPr>
          <w:rStyle w:val="0pt"/>
          <w:rFonts w:ascii="Times New Roman" w:hAnsi="Times New Roman" w:cs="Times New Roman"/>
          <w:color w:val="000000" w:themeColor="text1"/>
          <w:spacing w:val="0"/>
          <w:sz w:val="16"/>
          <w:szCs w:val="16"/>
        </w:rPr>
        <w:t>7.500.000</w:t>
      </w:r>
      <w:r w:rsidRPr="00722885">
        <w:rPr>
          <w:rFonts w:ascii="Times New Roman" w:hAnsi="Times New Roman"/>
          <w:color w:val="000000" w:themeColor="text1"/>
          <w:sz w:val="16"/>
          <w:szCs w:val="16"/>
        </w:rPr>
        <w:t xml:space="preserve"> рублей (19350).</w:t>
      </w:r>
    </w:p>
    <w:p w14:paraId="6213D36E" w14:textId="77777777" w:rsidR="009A1081" w:rsidRPr="00722885" w:rsidRDefault="009A1081" w:rsidP="00722885">
      <w:pPr>
        <w:spacing w:after="0" w:line="240" w:lineRule="auto"/>
        <w:jc w:val="both"/>
        <w:rPr>
          <w:rFonts w:ascii="Times New Roman" w:hAnsi="Times New Roman"/>
          <w:color w:val="000000" w:themeColor="text1"/>
          <w:sz w:val="16"/>
          <w:szCs w:val="16"/>
        </w:rPr>
      </w:pPr>
    </w:p>
    <w:p w14:paraId="2DA2FF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июля 1942 вышло постановления ГКО N 2105сс о постройке реактивного истребителя-перехватчика конструкции А.Г.Костикова (1579,48) в НИИ-3 НКБ, а не НКАП. 302 д.б. иметь комбинированную установку из ЖРД + ВРД - ПВРД Мак. скорость на ПВРД 0 - 720-800 км/час, на 5000 м - 710-760, на 8000 м - 700-730 км/час, верт. скорость ЖРД + ПВРД - на 0 - 118 м/сек., на 5000 м - 123 м/сек., на 8000 м - 140 м/сек, на одном ЖРД - 22, 13, 10. Дальность на высоте 0 - 11 мин. и 146 км, на 5000 - 22 мин. и 195 км, на 8000 м - 26 мин. и 240 км. Нач. полетный вес - 3000 кг, дина - 8.7, высота - 3.2, размах - 9.55, запас топлива - 730 кг для ЖРД и 600-700 кг для ПВРД, 2 или 4 ШВАК, ЖРД - РД-1100, ПВРД (2168,4).</w:t>
      </w:r>
    </w:p>
    <w:p w14:paraId="6127F1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Возможно это было постановление от 26 июня 1942.</w:t>
      </w:r>
    </w:p>
    <w:p w14:paraId="5477093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июля 1942 вышел приказ НКАП N 564с:</w:t>
      </w:r>
    </w:p>
    <w:p w14:paraId="75A9AA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целях усиления руководства Куйбышевскими авиазаводами:</w:t>
      </w:r>
    </w:p>
    <w:p w14:paraId="08F6F0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Управление Уполномоченного НКАП по Куйбышевским авиазаводам реорганизовать в Управление Куйбышевскими авиазаводами, наименовав его 15 ГУ НКАП (1584,50).</w:t>
      </w:r>
    </w:p>
    <w:p w14:paraId="046B2AB5" w14:textId="77777777" w:rsidR="00AE7191" w:rsidRPr="00722885" w:rsidRDefault="00AE7191" w:rsidP="00722885">
      <w:pPr>
        <w:pStyle w:val="Iauiue"/>
        <w:jc w:val="both"/>
        <w:rPr>
          <w:color w:val="000000" w:themeColor="text1"/>
          <w:sz w:val="16"/>
          <w:szCs w:val="16"/>
        </w:rPr>
      </w:pPr>
    </w:p>
    <w:p w14:paraId="1E520D5D" w14:textId="77777777" w:rsidR="009C17EE" w:rsidRPr="00722885" w:rsidRDefault="009C17E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 соответствии с пунктом 6 постановления от 15 июля 1942 г. вышло новое постановление № 2105. По этому постановлению: 1. НИИ-3 при СНК обязано спроектировать реактивный самолет. 2. НКАП /Шахурин/ построить 5 экземпляров самолета. 1-й вариант к 15.03.43, 2-й вариант к 15.05.43 г. 3. НКМВ /Паршин/ организовать в ВИГМ /всесоюзный институт гидромашин/ проектирование и изготовление 5 насосных агрегатов (1-й к 01.09.42 и еще 4 комплекта к 01.02.42 г., при этом НКАП должен изготовить для них лопатки и литье. 4.  Для постройки самолетов НКАП должен выделить завод № 55 с укомплектованием его ИТР и рабочих в количестве 200 чел. к 15.09.42 г. (19590).</w:t>
      </w:r>
    </w:p>
    <w:p w14:paraId="4CD777AF" w14:textId="77777777" w:rsidR="009C17EE" w:rsidRPr="00722885" w:rsidRDefault="009C17EE" w:rsidP="00722885">
      <w:pPr>
        <w:spacing w:after="0" w:line="240" w:lineRule="auto"/>
        <w:jc w:val="both"/>
        <w:rPr>
          <w:rFonts w:ascii="Times New Roman" w:hAnsi="Times New Roman"/>
          <w:color w:val="000000" w:themeColor="text1"/>
          <w:sz w:val="16"/>
          <w:szCs w:val="16"/>
        </w:rPr>
      </w:pPr>
    </w:p>
    <w:p w14:paraId="011758AF"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26 июля 1942 вышло Постановление ГКО № 2103 О передаче летно-технического состава, самолетов и моторов Осоавиахима в ВВС Красной Армии, ВВС Военно-Морского Флота и Воздушно-десантным войскам Красной Армии. (7047, 28-29,30).</w:t>
      </w:r>
    </w:p>
    <w:p w14:paraId="77B1D875" w14:textId="77777777" w:rsidR="00AE7191" w:rsidRPr="00722885" w:rsidRDefault="00AE7191" w:rsidP="00722885">
      <w:pPr>
        <w:pStyle w:val="Iauiue"/>
        <w:tabs>
          <w:tab w:val="left" w:pos="11199"/>
        </w:tabs>
        <w:jc w:val="both"/>
        <w:rPr>
          <w:color w:val="000000" w:themeColor="text1"/>
          <w:sz w:val="16"/>
          <w:szCs w:val="16"/>
        </w:rPr>
      </w:pPr>
    </w:p>
    <w:p w14:paraId="7CCA0B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вышло Постановление ГКО № 2104 О повышении боевых качеств самолета Як-1. РГАНИР, Фонд ГКО, д. 48, лл. 31 (11012).</w:t>
      </w:r>
    </w:p>
    <w:p w14:paraId="6E198AF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4F5E6F2" w14:textId="77777777" w:rsidR="009A1081" w:rsidRPr="00722885" w:rsidRDefault="009A1081" w:rsidP="00722885">
      <w:pPr>
        <w:tabs>
          <w:tab w:val="left" w:pos="1870"/>
        </w:tabs>
        <w:spacing w:after="0" w:line="240" w:lineRule="auto"/>
        <w:jc w:val="both"/>
        <w:rPr>
          <w:rFonts w:ascii="Times New Roman" w:eastAsia="Gungsuh" w:hAnsi="Times New Roman"/>
          <w:color w:val="000000" w:themeColor="text1"/>
          <w:sz w:val="16"/>
          <w:szCs w:val="16"/>
          <w:lang w:eastAsia="ru-RU"/>
        </w:rPr>
      </w:pPr>
      <w:r w:rsidRPr="00722885">
        <w:rPr>
          <w:rFonts w:ascii="Times New Roman" w:hAnsi="Times New Roman"/>
          <w:color w:val="000000" w:themeColor="text1"/>
          <w:sz w:val="16"/>
          <w:szCs w:val="16"/>
        </w:rPr>
        <w:t>26 июля 1942 вышло Постановление ГКО № 2104 О повышении боевых качеств самолета Як-1</w:t>
      </w:r>
    </w:p>
    <w:p w14:paraId="48A9C66D" w14:textId="77777777" w:rsidR="009A1081" w:rsidRPr="00722885" w:rsidRDefault="009A1081" w:rsidP="00722885">
      <w:pPr>
        <w:tabs>
          <w:tab w:val="left" w:pos="124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 целях повышения боевых качеств самолета Як-1 ввести следующие изменения в конструкцию самолета, про</w:t>
      </w:r>
      <w:r w:rsidRPr="00722885">
        <w:rPr>
          <w:rFonts w:ascii="Times New Roman" w:hAnsi="Times New Roman"/>
          <w:color w:val="000000" w:themeColor="text1"/>
          <w:sz w:val="16"/>
          <w:szCs w:val="16"/>
        </w:rPr>
        <w:softHyphen/>
        <w:t>веренные государственными испытаниями:</w:t>
      </w:r>
    </w:p>
    <w:p w14:paraId="342E2EBF" w14:textId="77777777" w:rsidR="009A1081" w:rsidRPr="00722885" w:rsidRDefault="009A1081" w:rsidP="00722885">
      <w:pPr>
        <w:tabs>
          <w:tab w:val="left" w:pos="127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вместо двух пулеметов Шкас и одной моторной пушки Швак, устанавливать один пулемет системы Березина калибра </w:t>
      </w:r>
      <w:r w:rsidRPr="00722885">
        <w:rPr>
          <w:rStyle w:val="0pt"/>
          <w:rFonts w:ascii="Times New Roman" w:hAnsi="Times New Roman" w:cs="Times New Roman"/>
          <w:color w:val="000000" w:themeColor="text1"/>
          <w:spacing w:val="0"/>
          <w:sz w:val="16"/>
          <w:szCs w:val="16"/>
        </w:rPr>
        <w:t>12,7</w:t>
      </w:r>
      <w:r w:rsidRPr="00722885">
        <w:rPr>
          <w:rFonts w:ascii="Times New Roman" w:hAnsi="Times New Roman"/>
          <w:color w:val="000000" w:themeColor="text1"/>
          <w:sz w:val="16"/>
          <w:szCs w:val="16"/>
        </w:rPr>
        <w:t xml:space="preserve"> с боезапасом в </w:t>
      </w:r>
      <w:r w:rsidRPr="00722885">
        <w:rPr>
          <w:rStyle w:val="0pt"/>
          <w:rFonts w:ascii="Times New Roman" w:hAnsi="Times New Roman" w:cs="Times New Roman"/>
          <w:color w:val="000000" w:themeColor="text1"/>
          <w:spacing w:val="0"/>
          <w:sz w:val="16"/>
          <w:szCs w:val="16"/>
        </w:rPr>
        <w:t>200</w:t>
      </w:r>
      <w:r w:rsidRPr="00722885">
        <w:rPr>
          <w:rFonts w:ascii="Times New Roman" w:hAnsi="Times New Roman"/>
          <w:color w:val="000000" w:themeColor="text1"/>
          <w:sz w:val="16"/>
          <w:szCs w:val="16"/>
        </w:rPr>
        <w:t xml:space="preserve"> патрон и одну пушку"Швак калибра 20 с боезапасом в </w:t>
      </w:r>
      <w:r w:rsidRPr="00722885">
        <w:rPr>
          <w:rStyle w:val="0pt"/>
          <w:rFonts w:ascii="Times New Roman" w:hAnsi="Times New Roman" w:cs="Times New Roman"/>
          <w:color w:val="000000" w:themeColor="text1"/>
          <w:spacing w:val="0"/>
          <w:sz w:val="16"/>
          <w:szCs w:val="16"/>
        </w:rPr>
        <w:t>120</w:t>
      </w:r>
      <w:r w:rsidRPr="00722885">
        <w:rPr>
          <w:rFonts w:ascii="Times New Roman" w:hAnsi="Times New Roman"/>
          <w:color w:val="000000" w:themeColor="text1"/>
          <w:sz w:val="16"/>
          <w:szCs w:val="16"/>
        </w:rPr>
        <w:t xml:space="preserve"> патрон;</w:t>
      </w:r>
    </w:p>
    <w:p w14:paraId="6AC4257C" w14:textId="77777777" w:rsidR="009A1081" w:rsidRPr="00722885" w:rsidRDefault="009A1081" w:rsidP="00722885">
      <w:pPr>
        <w:tabs>
          <w:tab w:val="left" w:pos="124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усилить броневащиту летчика, установив дополнитель</w:t>
      </w:r>
      <w:r w:rsidRPr="00722885">
        <w:rPr>
          <w:rFonts w:ascii="Times New Roman" w:hAnsi="Times New Roman"/>
          <w:color w:val="000000" w:themeColor="text1"/>
          <w:sz w:val="16"/>
          <w:szCs w:val="16"/>
        </w:rPr>
        <w:softHyphen/>
        <w:t>но верхнюю стальную плиту и два бронестекла: впереди и сзади сидения пилота;</w:t>
      </w:r>
    </w:p>
    <w:p w14:paraId="01DEE68F" w14:textId="77777777" w:rsidR="009A1081" w:rsidRPr="00722885" w:rsidRDefault="009A1081" w:rsidP="00722885">
      <w:pPr>
        <w:tabs>
          <w:tab w:val="left" w:pos="125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для улучшения обзора изменить фонарь пилота по об</w:t>
      </w:r>
      <w:r w:rsidRPr="00722885">
        <w:rPr>
          <w:rFonts w:ascii="Times New Roman" w:hAnsi="Times New Roman"/>
          <w:color w:val="000000" w:themeColor="text1"/>
          <w:sz w:val="16"/>
          <w:szCs w:val="16"/>
        </w:rPr>
        <w:softHyphen/>
        <w:t>разцу, прошедшему испытания, обеспечивающему круговой об</w:t>
      </w:r>
      <w:r w:rsidRPr="00722885">
        <w:rPr>
          <w:rFonts w:ascii="Times New Roman" w:hAnsi="Times New Roman"/>
          <w:color w:val="000000" w:themeColor="text1"/>
          <w:sz w:val="16"/>
          <w:szCs w:val="16"/>
        </w:rPr>
        <w:softHyphen/>
        <w:t>зор;</w:t>
      </w:r>
    </w:p>
    <w:p w14:paraId="5F3FADA0" w14:textId="77777777" w:rsidR="009A1081" w:rsidRPr="00722885" w:rsidRDefault="009A1081" w:rsidP="00722885">
      <w:pPr>
        <w:tabs>
          <w:tab w:val="left" w:pos="12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для улучшения маневренности самолета Як-1 изменить соотношения площадей стабилизатора и руля высоты по типу самолета Як-7.</w:t>
      </w:r>
    </w:p>
    <w:p w14:paraId="28F4BD61" w14:textId="77777777" w:rsidR="009A1081" w:rsidRPr="00722885" w:rsidRDefault="009A1081" w:rsidP="00722885">
      <w:pPr>
        <w:tabs>
          <w:tab w:val="left" w:pos="125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Наркомавиапром тов.Шахурина, главного кон</w:t>
      </w:r>
      <w:r w:rsidRPr="00722885">
        <w:rPr>
          <w:rFonts w:ascii="Times New Roman" w:hAnsi="Times New Roman"/>
          <w:color w:val="000000" w:themeColor="text1"/>
          <w:sz w:val="16"/>
          <w:szCs w:val="16"/>
        </w:rPr>
        <w:softHyphen/>
        <w:t xml:space="preserve">структора тов.Яковлева и директора завода № </w:t>
      </w:r>
      <w:r w:rsidRPr="00722885">
        <w:rPr>
          <w:rStyle w:val="0pt"/>
          <w:rFonts w:ascii="Times New Roman" w:hAnsi="Times New Roman" w:cs="Times New Roman"/>
          <w:color w:val="000000" w:themeColor="text1"/>
          <w:spacing w:val="0"/>
          <w:sz w:val="16"/>
          <w:szCs w:val="16"/>
        </w:rPr>
        <w:t>292</w:t>
      </w:r>
      <w:r w:rsidRPr="00722885">
        <w:rPr>
          <w:rFonts w:ascii="Times New Roman" w:hAnsi="Times New Roman"/>
          <w:color w:val="000000" w:themeColor="text1"/>
          <w:sz w:val="16"/>
          <w:szCs w:val="16"/>
        </w:rPr>
        <w:t xml:space="preserve"> тов.Левина к о августа с.г. доложить ГОКО о'посядке и сроках внедре</w:t>
      </w:r>
      <w:r w:rsidRPr="00722885">
        <w:rPr>
          <w:rFonts w:ascii="Times New Roman" w:hAnsi="Times New Roman"/>
          <w:color w:val="000000" w:themeColor="text1"/>
          <w:sz w:val="16"/>
          <w:szCs w:val="16"/>
        </w:rPr>
        <w:softHyphen/>
        <w:t xml:space="preserve">ния модификации самолета Як-1 в серийном производстве на заводе № </w:t>
      </w:r>
      <w:r w:rsidRPr="00722885">
        <w:rPr>
          <w:rStyle w:val="0pt"/>
          <w:rFonts w:ascii="Times New Roman" w:hAnsi="Times New Roman" w:cs="Times New Roman"/>
          <w:color w:val="000000" w:themeColor="text1"/>
          <w:spacing w:val="0"/>
          <w:sz w:val="16"/>
          <w:szCs w:val="16"/>
        </w:rPr>
        <w:t>292</w:t>
      </w:r>
      <w:r w:rsidRPr="00722885">
        <w:rPr>
          <w:rStyle w:val="0pt"/>
          <w:rFonts w:ascii="Times New Roman" w:eastAsia="Calibri" w:hAnsi="Times New Roman" w:cs="Times New Roman"/>
          <w:color w:val="000000" w:themeColor="text1"/>
          <w:spacing w:val="0"/>
          <w:sz w:val="16"/>
          <w:szCs w:val="16"/>
        </w:rPr>
        <w:t xml:space="preserve"> </w:t>
      </w:r>
      <w:r w:rsidRPr="00722885">
        <w:rPr>
          <w:rFonts w:ascii="Times New Roman" w:hAnsi="Times New Roman"/>
          <w:color w:val="000000" w:themeColor="text1"/>
          <w:sz w:val="16"/>
          <w:szCs w:val="16"/>
        </w:rPr>
        <w:t>(19349).</w:t>
      </w:r>
    </w:p>
    <w:p w14:paraId="5011EC15" w14:textId="77777777" w:rsidR="009A1081" w:rsidRPr="00722885" w:rsidRDefault="009A1081" w:rsidP="00722885">
      <w:pPr>
        <w:spacing w:after="0" w:line="240" w:lineRule="auto"/>
        <w:jc w:val="both"/>
        <w:rPr>
          <w:rFonts w:ascii="Times New Roman" w:hAnsi="Times New Roman"/>
          <w:color w:val="000000" w:themeColor="text1"/>
          <w:sz w:val="16"/>
          <w:szCs w:val="16"/>
        </w:rPr>
      </w:pPr>
    </w:p>
    <w:p w14:paraId="5A9AC4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26 июля 1942 г. в ЦАГИ завершили исследования с целью изыскания путей увеличения скорости Як-1, которые шли с 20 июля. Ведущий инженер исследований - А.И. Сильман (ведущий инженер по Як-1 1-й лаборатории ЦАГИ). Вместе с работами повышения эффективности водо- и маслорадиаторов (велись с 24 мая по 10 июня 1942 г.) эти работы показали, что достаточно простыми и доступными для серийного производства средствами (герметизацией и изменением форм туннелей </w:t>
      </w:r>
      <w:r w:rsidRPr="00722885">
        <w:rPr>
          <w:rFonts w:ascii="Times New Roman" w:hAnsi="Times New Roman"/>
          <w:color w:val="000000" w:themeColor="text1"/>
          <w:sz w:val="16"/>
          <w:szCs w:val="16"/>
        </w:rPr>
        <w:lastRenderedPageBreak/>
        <w:t>водо- и масло- 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w:t>
      </w:r>
    </w:p>
    <w:p w14:paraId="7E642D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6429516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 водорадиатору:</w:t>
      </w:r>
    </w:p>
    <w:p w14:paraId="2024FC8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изменен профиль верхней передней стенки входной части туннеля;</w:t>
      </w:r>
    </w:p>
    <w:p w14:paraId="45F91A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увеличен ход регулирующей заслонки на 50 мм (до 350 мм);</w:t>
      </w:r>
    </w:p>
    <w:p w14:paraId="00745E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произведена герметизация туннеля.</w:t>
      </w:r>
    </w:p>
    <w:p w14:paraId="0B4C39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 маслорадиатору:</w:t>
      </w:r>
    </w:p>
    <w:p w14:paraId="0636C8B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7EBE59D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6789C1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увеличен ход регулирующей заслонки на 80 мм (до 340 мм);</w:t>
      </w:r>
    </w:p>
    <w:p w14:paraId="2AD997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произведена герметизация туннеля.</w:t>
      </w:r>
    </w:p>
    <w:p w14:paraId="7883793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66CE7AD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1A4A68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Установлен обтекатель-козырек на сдвижную часть фонаря кабины.</w:t>
      </w:r>
    </w:p>
    <w:p w14:paraId="338BBF1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132FDF4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2E94960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Як-I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154C8D7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2672293"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26 июля 1941 подполковник Кошиц провел дополнительные контрольные испытания имеющихся двух машин А-7. По его мнению, к полноценным полетам годился только один экземпляр. В результате, 30 июля последова</w:t>
      </w:r>
      <w:r w:rsidRPr="00722885">
        <w:rPr>
          <w:rFonts w:ascii="Times New Roman" w:hAnsi="Times New Roman"/>
          <w:color w:val="0070C0"/>
          <w:sz w:val="16"/>
          <w:szCs w:val="16"/>
        </w:rPr>
        <w:softHyphen/>
        <w:t>ло решение ВВС о прекращении формирования автожир- ного соединения по причине отсутствия исправных лета</w:t>
      </w:r>
      <w:r w:rsidRPr="00722885">
        <w:rPr>
          <w:rFonts w:ascii="Times New Roman" w:hAnsi="Times New Roman"/>
          <w:color w:val="0070C0"/>
          <w:sz w:val="16"/>
          <w:szCs w:val="16"/>
        </w:rPr>
        <w:softHyphen/>
        <w:t>тельных аппаратов. Все это свидетельствовало, что карь</w:t>
      </w:r>
      <w:r w:rsidRPr="00722885">
        <w:rPr>
          <w:rFonts w:ascii="Times New Roman" w:hAnsi="Times New Roman"/>
          <w:color w:val="0070C0"/>
          <w:sz w:val="16"/>
          <w:szCs w:val="16"/>
        </w:rPr>
        <w:softHyphen/>
        <w:t>ера автожира А-7 закончилась.</w:t>
      </w:r>
    </w:p>
    <w:p w14:paraId="59A640B6"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722885">
        <w:rPr>
          <w:rFonts w:ascii="Times New Roman" w:hAnsi="Times New Roman"/>
          <w:color w:val="0070C0"/>
          <w:sz w:val="16"/>
          <w:szCs w:val="16"/>
        </w:rPr>
        <w:softHyphen/>
        <w:t>вал предать его суду. В прилагавшейся справке указыва</w:t>
      </w:r>
      <w:r w:rsidRPr="00722885">
        <w:rPr>
          <w:rFonts w:ascii="Times New Roman" w:hAnsi="Times New Roman"/>
          <w:color w:val="0070C0"/>
          <w:sz w:val="16"/>
          <w:szCs w:val="16"/>
        </w:rPr>
        <w:softHyphen/>
        <w:t>лось, что автожир А-7 доводился в течение восьми лет, од</w:t>
      </w:r>
      <w:r w:rsidRPr="00722885">
        <w:rPr>
          <w:rFonts w:ascii="Times New Roman" w:hAnsi="Times New Roman"/>
          <w:color w:val="0070C0"/>
          <w:sz w:val="16"/>
          <w:szCs w:val="16"/>
        </w:rPr>
        <w:softHyphen/>
        <w:t>нако так и не достиг уровня запланированных характери</w:t>
      </w:r>
      <w:r w:rsidRPr="00722885">
        <w:rPr>
          <w:rFonts w:ascii="Times New Roman" w:hAnsi="Times New Roman"/>
          <w:color w:val="0070C0"/>
          <w:sz w:val="16"/>
          <w:szCs w:val="16"/>
        </w:rPr>
        <w:softHyphen/>
        <w:t>стик. Далее утверждалось, что за время пребывания на фронте эскадрилья автожиров не выполнила ни одного бо</w:t>
      </w:r>
      <w:r w:rsidRPr="00722885">
        <w:rPr>
          <w:rFonts w:ascii="Times New Roman" w:hAnsi="Times New Roman"/>
          <w:color w:val="0070C0"/>
          <w:sz w:val="16"/>
          <w:szCs w:val="16"/>
        </w:rPr>
        <w:softHyphen/>
        <w:t>евого вылета.</w:t>
      </w:r>
    </w:p>
    <w:p w14:paraId="5A0D61C1"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722885">
        <w:rPr>
          <w:rFonts w:ascii="Times New Roman" w:hAnsi="Times New Roman"/>
          <w:color w:val="0070C0"/>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722885">
        <w:rPr>
          <w:rFonts w:ascii="Times New Roman" w:hAnsi="Times New Roman"/>
          <w:color w:val="0070C0"/>
          <w:sz w:val="16"/>
          <w:szCs w:val="16"/>
        </w:rPr>
        <w:softHyphen/>
        <w:t>стей. Однако работы по автожирам с этого момента в Со</w:t>
      </w:r>
      <w:r w:rsidRPr="00722885">
        <w:rPr>
          <w:rFonts w:ascii="Times New Roman" w:hAnsi="Times New Roman"/>
          <w:color w:val="0070C0"/>
          <w:sz w:val="16"/>
          <w:szCs w:val="16"/>
        </w:rPr>
        <w:softHyphen/>
        <w:t>ветском Союзе окончательно прекратили. Завод в Би</w:t>
      </w:r>
      <w:r w:rsidRPr="00722885">
        <w:rPr>
          <w:rFonts w:ascii="Times New Roman" w:hAnsi="Times New Roman"/>
          <w:color w:val="0070C0"/>
          <w:sz w:val="16"/>
          <w:szCs w:val="16"/>
        </w:rPr>
        <w:softHyphen/>
        <w:t>лимбае перепрофилировали для ремонта поврежденной техники и выпуска необходимой для фронта продукции (20361).</w:t>
      </w:r>
    </w:p>
    <w:p w14:paraId="4E6C0892" w14:textId="77777777" w:rsidR="00CD0974" w:rsidRPr="00722885" w:rsidRDefault="00CD0974" w:rsidP="00722885">
      <w:pPr>
        <w:shd w:val="clear" w:color="auto" w:fill="FFFFFF"/>
        <w:spacing w:after="0" w:line="240" w:lineRule="auto"/>
        <w:jc w:val="both"/>
        <w:rPr>
          <w:rFonts w:ascii="Times New Roman" w:hAnsi="Times New Roman"/>
          <w:color w:val="0070C0"/>
          <w:sz w:val="16"/>
          <w:szCs w:val="16"/>
        </w:rPr>
      </w:pPr>
    </w:p>
    <w:p w14:paraId="34DB0E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июля 1942 года вышло постановление ГОКО № 2107 и 28 июля 1942 года вышел приказ НКАП № 565-с, в соответствии с которыми в октябре 1942 года на основании на базе местного сырья (известняка) был основан завод № 57.</w:t>
      </w:r>
    </w:p>
    <w:p w14:paraId="52C463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Расположен завод в черте Куйбышева.</w:t>
      </w:r>
    </w:p>
    <w:p w14:paraId="533970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Директор – Травников</w:t>
      </w:r>
    </w:p>
    <w:p w14:paraId="5DA2B6E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465014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Производственный профиль – основная продукция карбид кальция</w:t>
      </w:r>
    </w:p>
    <w:p w14:paraId="092DCA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Строительство его было начато в августе 1942 года, введен в эксплуатацию 2 октября 1942 года для выпуска карбида кальция (9836).</w:t>
      </w:r>
    </w:p>
    <w:p w14:paraId="3CBCD14E" w14:textId="77777777" w:rsidR="00AE7191" w:rsidRPr="00722885" w:rsidRDefault="00AE7191" w:rsidP="00722885">
      <w:pPr>
        <w:pStyle w:val="Iauiue"/>
        <w:jc w:val="both"/>
        <w:rPr>
          <w:color w:val="000000" w:themeColor="text1"/>
          <w:sz w:val="16"/>
          <w:szCs w:val="16"/>
        </w:rPr>
      </w:pPr>
    </w:p>
    <w:p w14:paraId="32B67F45"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E3D3D0E" w14:textId="77777777" w:rsidR="00AE7191" w:rsidRPr="00722885" w:rsidRDefault="00AE7191" w:rsidP="00722885">
      <w:pPr>
        <w:pStyle w:val="Iauiue"/>
        <w:jc w:val="both"/>
        <w:rPr>
          <w:iCs/>
          <w:color w:val="000000" w:themeColor="text1"/>
          <w:sz w:val="16"/>
          <w:szCs w:val="16"/>
        </w:rPr>
      </w:pPr>
    </w:p>
    <w:p w14:paraId="2E5C0466"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26 июля 1942 вышло Постановление ГКО № 2097 [О срочном укомплектовании формируемых танковых бригад передвижными мастерскими для ремонта танков в полевых условиях.] (7047, 2,3).</w:t>
      </w:r>
    </w:p>
    <w:p w14:paraId="1B218D61" w14:textId="77777777" w:rsidR="00AE7191" w:rsidRPr="00722885" w:rsidRDefault="00AE7191" w:rsidP="00722885">
      <w:pPr>
        <w:pStyle w:val="Iauiue"/>
        <w:tabs>
          <w:tab w:val="left" w:pos="11199"/>
        </w:tabs>
        <w:jc w:val="both"/>
        <w:rPr>
          <w:color w:val="000000" w:themeColor="text1"/>
          <w:sz w:val="16"/>
          <w:szCs w:val="16"/>
        </w:rPr>
      </w:pPr>
    </w:p>
    <w:p w14:paraId="7139914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вышло Постановление ГКО № 2098 Об увеличении выпуска авиационных и танковых подшипников на Свердловском и Томском подшипниковых заводах Hаркомсредмаша. РГАНИР, Фонд ГКО, д. 48, лл. 4-6 (11012).</w:t>
      </w:r>
    </w:p>
    <w:p w14:paraId="48878F8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39B4C7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вышло Постановление ГКО № 2099 О производстве автомобилей и запасных частей к ним в III квартале 1942 г. РГАНИР, Фонд ГКО, д. 48, лл. 7-11, 12-18 (11012).</w:t>
      </w:r>
    </w:p>
    <w:p w14:paraId="47D18A8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CBC75A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26 июля 1942 вышло Постановление ГКО № 2100 [О пополнении ДА за счет дополнительного призыва призывников 1924 г. рождения, разбронирования рабочих промышленности и т.д.] (7047, 19-21,22-24).</w:t>
      </w:r>
    </w:p>
    <w:p w14:paraId="74FB2165" w14:textId="77777777" w:rsidR="00AE7191" w:rsidRPr="00722885" w:rsidRDefault="00AE7191" w:rsidP="00722885">
      <w:pPr>
        <w:pStyle w:val="Iauiue"/>
        <w:tabs>
          <w:tab w:val="left" w:pos="11199"/>
        </w:tabs>
        <w:jc w:val="both"/>
        <w:rPr>
          <w:color w:val="000000" w:themeColor="text1"/>
          <w:sz w:val="16"/>
          <w:szCs w:val="16"/>
        </w:rPr>
      </w:pPr>
    </w:p>
    <w:p w14:paraId="613D1EB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26 июля 1942 вышло Постановление ГКО № 2101 Об организации, штатном составе и вооружении стрелковой дивизии численностью 10 374 человека. (7047, 25-26).</w:t>
      </w:r>
    </w:p>
    <w:p w14:paraId="00CF6803" w14:textId="77777777" w:rsidR="00AE7191" w:rsidRPr="00722885" w:rsidRDefault="00AE7191" w:rsidP="00722885">
      <w:pPr>
        <w:pStyle w:val="Iauiue"/>
        <w:tabs>
          <w:tab w:val="left" w:pos="11199"/>
        </w:tabs>
        <w:jc w:val="both"/>
        <w:rPr>
          <w:color w:val="000000" w:themeColor="text1"/>
          <w:sz w:val="16"/>
          <w:szCs w:val="16"/>
        </w:rPr>
      </w:pPr>
    </w:p>
    <w:p w14:paraId="2FD5EA4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вышло Постановление ГКО № 2106 О мероприятиях по увеличению производства азида натрия для капсюльных заводов Наркомбоеприпасов. РГАНИР, Фонд ГКО, д. 48, лл. 34-35, 36-38 (11012).</w:t>
      </w:r>
    </w:p>
    <w:p w14:paraId="3C8A29B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B6F617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вышло Постановление ГКО № 2107 Об организации карбидного завода НКАП в г. Куйбышеве. РГАНИР, Фонд ГКО, д. 48, лл. 39-41, 42-47 (11012).</w:t>
      </w:r>
    </w:p>
    <w:p w14:paraId="1AFA8CF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8FF84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г. вышло постановление ГКО № 2107 о организации Куйбышевского карбидного завода (ГС Завод № 57 НКАП, МАП, Куйбышевский карбндный завод, Куйбышевский Карбидно-Кислородный завод, ЗАО «Самарский кислородный завод» (СаКиЗ) /443052  г. Самара ул. Береговая, 5/), который строился с конца 1941.</w:t>
      </w:r>
    </w:p>
    <w:p w14:paraId="1D8449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 г. после начала войны в Куйбышев эвакуированы Воронежский кислородный и Запорожский карбидный заводы, начали производственную деятельность в 1942 г.</w:t>
      </w:r>
    </w:p>
    <w:p w14:paraId="770E56A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введен в строй в 1942 г. По приказу № 714с от 19.09.1942 г. получил наименование ГС завод № 57 НКАП при 15ГУ. В соответствии с пост. СМ СССР № 713-342 от 26.06.1957 г. передан в ведение Куйбышевского СНХ РСФСР. Пост. СНХ в 1959 г. все заводы были объединены в Куйбышевский Карбидно-Кислородный завод.</w:t>
      </w:r>
    </w:p>
    <w:p w14:paraId="7C1EB02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1979-81 г. была проведена полная реконструкция завода, установлено современное оборудование на новой производственной площадке. В 1994 г. начат выпуск водорода, поверочных газовых смесей, «бананового газа».</w:t>
      </w:r>
    </w:p>
    <w:p w14:paraId="405811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предприятие было акционировано и преобразовано в ОАО «Самарский кислородный завод». В 02.2007 г. СаКиЗ куплен немецким концерном «Линде-газ».</w:t>
      </w:r>
    </w:p>
    <w:p w14:paraId="0DA5F1D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Гендиректор (-2005-07 г.-)- </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 Мухтаров.</w:t>
      </w:r>
    </w:p>
    <w:p w14:paraId="323A9D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Коммерческий директор (2007 г.)- С. Каляев (11982).</w:t>
      </w:r>
    </w:p>
    <w:p w14:paraId="0DAA5899"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5B15B1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вышло Постановление ГКО № 2108 Об обеспечении Наркомвоенфлота новыми образцами торпедно-минно-трального вооружения. РГАНИР, Фонд ГКО, д. 48, лл. 48-50 (11012).</w:t>
      </w:r>
    </w:p>
    <w:p w14:paraId="6A385C9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F45938F" w14:textId="77777777" w:rsidR="00001919"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вышло:</w:t>
      </w:r>
    </w:p>
    <w:p w14:paraId="7B3A81FA" w14:textId="77777777" w:rsidR="00001919" w:rsidRPr="00722885" w:rsidRDefault="00AE7191"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ГОСУДАРСТВЕННЫЙ КОМИТЕТ ОБОРОНЫ ПОСТАНОВЛЕНИЕ № 2108 сс</w:t>
      </w:r>
    </w:p>
    <w:p w14:paraId="0E995A65" w14:textId="77777777" w:rsidR="00AE7191" w:rsidRPr="00722885" w:rsidRDefault="00AE7191"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lastRenderedPageBreak/>
        <w:t>Об обеспечении Наркомвоенморфлота новыми образцами торпедо-минно-трального вооружения</w:t>
      </w:r>
    </w:p>
    <w:p w14:paraId="2C2D90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Государственный Комитет Обороны ПОСТАНОВЛЯЕТ: </w:t>
      </w:r>
    </w:p>
    <w:p w14:paraId="6B1B1C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Разрешить Наркомвоенморфлоту (т. Кузнецову) принять на вооружение Военно-Морского флота Союза ССР следующие образцы минно-трального вооружения:</w:t>
      </w:r>
    </w:p>
    <w:p w14:paraId="0A1930F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Морскую плавающую мину - «ПЛТ-2»</w:t>
      </w:r>
    </w:p>
    <w:p w14:paraId="0377D40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Морскую мину для постановки из </w:t>
      </w:r>
    </w:p>
    <w:p w14:paraId="270E3D7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торпедных труб подводных лодок - «ПЛТ-3»</w:t>
      </w:r>
    </w:p>
    <w:p w14:paraId="685953D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Трал для проводки кораблей ночью - «НТ»</w:t>
      </w:r>
    </w:p>
    <w:p w14:paraId="45F2A69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 Катерный электромагнитный трал - «КЭМТ-2» </w:t>
      </w:r>
    </w:p>
    <w:p w14:paraId="08ECD06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Обязать Наркомсудпром (т. Носенко) организовать на заводах Наркомсудпром серийное производство и поставить Наркомвоенморфлоту в III квартале 1942 г. следующее количество морских плавающих мин (ПЛТ-2) и морских мин для постановки из торпедных труб подводных лодок (ПЛТ-3): </w:t>
      </w:r>
    </w:p>
    <w:p w14:paraId="000312E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штуках)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485"/>
        <w:gridCol w:w="1275"/>
        <w:gridCol w:w="1701"/>
        <w:gridCol w:w="3969"/>
      </w:tblGrid>
      <w:tr w:rsidR="009B487A" w:rsidRPr="00722885" w14:paraId="2221B1F4" w14:textId="77777777" w:rsidTr="00CC5360">
        <w:trPr>
          <w:jc w:val="center"/>
        </w:trPr>
        <w:tc>
          <w:tcPr>
            <w:tcW w:w="2485" w:type="dxa"/>
            <w:tcBorders>
              <w:top w:val="single" w:sz="12" w:space="0" w:color="auto"/>
            </w:tcBorders>
          </w:tcPr>
          <w:p w14:paraId="10F9C0F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 изделий</w:t>
            </w:r>
          </w:p>
        </w:tc>
        <w:tc>
          <w:tcPr>
            <w:tcW w:w="1275" w:type="dxa"/>
            <w:gridSpan w:val="2"/>
            <w:tcBorders>
              <w:top w:val="single" w:sz="12" w:space="0" w:color="auto"/>
            </w:tcBorders>
          </w:tcPr>
          <w:p w14:paraId="586CF7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Поставщик</w:t>
            </w:r>
          </w:p>
        </w:tc>
        <w:tc>
          <w:tcPr>
            <w:tcW w:w="3969" w:type="dxa"/>
            <w:tcBorders>
              <w:top w:val="single" w:sz="12" w:space="0" w:color="auto"/>
            </w:tcBorders>
          </w:tcPr>
          <w:p w14:paraId="6750CEF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Количество, подлежащее поставке в III кв. 1942 года </w:t>
            </w:r>
          </w:p>
        </w:tc>
      </w:tr>
      <w:tr w:rsidR="009B487A" w:rsidRPr="00722885" w14:paraId="4058D2DC" w14:textId="77777777" w:rsidTr="00CC5360">
        <w:trPr>
          <w:jc w:val="center"/>
        </w:trPr>
        <w:tc>
          <w:tcPr>
            <w:tcW w:w="2485" w:type="dxa"/>
          </w:tcPr>
          <w:p w14:paraId="01B4A2A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275" w:type="dxa"/>
          </w:tcPr>
          <w:p w14:paraId="09D09F5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Наркомат</w:t>
            </w:r>
          </w:p>
        </w:tc>
        <w:tc>
          <w:tcPr>
            <w:tcW w:w="1701" w:type="dxa"/>
          </w:tcPr>
          <w:p w14:paraId="237C6DD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w:t>
            </w:r>
          </w:p>
        </w:tc>
        <w:tc>
          <w:tcPr>
            <w:tcW w:w="3969" w:type="dxa"/>
          </w:tcPr>
          <w:p w14:paraId="778EE7A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600707FB" w14:textId="77777777" w:rsidTr="00CC5360">
        <w:trPr>
          <w:jc w:val="center"/>
        </w:trPr>
        <w:tc>
          <w:tcPr>
            <w:tcW w:w="2485" w:type="dxa"/>
          </w:tcPr>
          <w:p w14:paraId="2A9E09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Морские плавающие мины </w:t>
            </w:r>
          </w:p>
          <w:p w14:paraId="0BD2F99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«ПЛТ-2»</w:t>
            </w:r>
          </w:p>
        </w:tc>
        <w:tc>
          <w:tcPr>
            <w:tcW w:w="1275" w:type="dxa"/>
          </w:tcPr>
          <w:p w14:paraId="37BDBB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НКСП</w:t>
            </w:r>
          </w:p>
        </w:tc>
        <w:tc>
          <w:tcPr>
            <w:tcW w:w="1701" w:type="dxa"/>
          </w:tcPr>
          <w:p w14:paraId="04BF6C2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239</w:t>
            </w:r>
          </w:p>
          <w:p w14:paraId="3EA3CA6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 Петропавловск) </w:t>
            </w:r>
          </w:p>
        </w:tc>
        <w:tc>
          <w:tcPr>
            <w:tcW w:w="3969" w:type="dxa"/>
          </w:tcPr>
          <w:p w14:paraId="2C980B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 (в счет сокращения поставок мин обр. 1908 г.)</w:t>
            </w:r>
          </w:p>
        </w:tc>
      </w:tr>
      <w:tr w:rsidR="009B487A" w:rsidRPr="00722885" w14:paraId="14F27E89" w14:textId="77777777" w:rsidTr="00CC5360">
        <w:trPr>
          <w:jc w:val="center"/>
        </w:trPr>
        <w:tc>
          <w:tcPr>
            <w:tcW w:w="2485" w:type="dxa"/>
            <w:tcBorders>
              <w:bottom w:val="single" w:sz="12" w:space="0" w:color="auto"/>
            </w:tcBorders>
          </w:tcPr>
          <w:p w14:paraId="08CA1C7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Морские мины «ПЛТ-3»</w:t>
            </w:r>
          </w:p>
        </w:tc>
        <w:tc>
          <w:tcPr>
            <w:tcW w:w="1275" w:type="dxa"/>
            <w:tcBorders>
              <w:bottom w:val="single" w:sz="12" w:space="0" w:color="auto"/>
            </w:tcBorders>
          </w:tcPr>
          <w:p w14:paraId="4CB3243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НКСП</w:t>
            </w:r>
          </w:p>
        </w:tc>
        <w:tc>
          <w:tcPr>
            <w:tcW w:w="1701" w:type="dxa"/>
            <w:tcBorders>
              <w:bottom w:val="single" w:sz="12" w:space="0" w:color="auto"/>
            </w:tcBorders>
          </w:tcPr>
          <w:p w14:paraId="0F8094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182</w:t>
            </w:r>
          </w:p>
          <w:p w14:paraId="52E08D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Махач-Кала)</w:t>
            </w:r>
          </w:p>
        </w:tc>
        <w:tc>
          <w:tcPr>
            <w:tcW w:w="3969" w:type="dxa"/>
            <w:tcBorders>
              <w:bottom w:val="single" w:sz="12" w:space="0" w:color="auto"/>
            </w:tcBorders>
          </w:tcPr>
          <w:p w14:paraId="0B9958D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100 </w:t>
            </w:r>
          </w:p>
        </w:tc>
      </w:tr>
    </w:tbl>
    <w:p w14:paraId="35ED115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Поручить комиссии в составе т. Борисова (Госплан при Совнаркоме СССР) – созыв, т. Носенко (Наркомсудпром), т. Кузнецова (Наркомвоенморфлот), т. Паршина (Наркомминвооружения) и т. Кабанова (Наркомэлектропром) в 10 дневный срок предоставить на утверждение ГОКО проект постановления о размещении на заводах Наркомсудпрома, Наркомминвооружения и Наркомэлектропрома производства глубоководных минных защитников и электроторпед «ЭТ-80»</w:t>
      </w:r>
    </w:p>
    <w:p w14:paraId="62BFA3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Обязать Наркомсудпром (т. Носенко) для обеспечения разработки, изготовления и испытаний новых образцов морских мин и тралов:</w:t>
      </w:r>
    </w:p>
    <w:p w14:paraId="6CF9F8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выделить из состава завода № 347 Наркомсудпрома (г. Петропавловск Центральное конструкторское бюро и присвоить ему наименование «ЦКБ-36»;</w:t>
      </w:r>
    </w:p>
    <w:p w14:paraId="4CCBD5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подчинить «ЦКБ-36» 2-му Главному Управлению Наркомсудпрома и передать для его размещения филиал завода № 239 Наркомсудпрома в г. Петропавловске Казахской ССР.</w:t>
      </w:r>
    </w:p>
    <w:p w14:paraId="42C78C8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Имеющиеся по филиалу завода № 239 производственные задания, разместить на основном заводе № 239 в г. Петропавловске;</w:t>
      </w:r>
    </w:p>
    <w:p w14:paraId="7C67711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изготовить следующие опытные образцы мин и тралов, провести их испытания и совместно с Наркомвоенморфлотом представить заключение о возможности принятия на вооружение Военно-Морского флота: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542"/>
        <w:gridCol w:w="2678"/>
        <w:gridCol w:w="937"/>
        <w:gridCol w:w="3475"/>
      </w:tblGrid>
      <w:tr w:rsidR="009B487A" w:rsidRPr="00722885" w14:paraId="23F06B5B" w14:textId="77777777" w:rsidTr="00CC5360">
        <w:trPr>
          <w:jc w:val="center"/>
        </w:trPr>
        <w:tc>
          <w:tcPr>
            <w:tcW w:w="3542" w:type="dxa"/>
            <w:tcBorders>
              <w:top w:val="single" w:sz="12" w:space="0" w:color="auto"/>
            </w:tcBorders>
          </w:tcPr>
          <w:p w14:paraId="276A228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 изделий</w:t>
            </w:r>
          </w:p>
        </w:tc>
        <w:tc>
          <w:tcPr>
            <w:tcW w:w="2678" w:type="dxa"/>
            <w:tcBorders>
              <w:top w:val="single" w:sz="12" w:space="0" w:color="auto"/>
            </w:tcBorders>
          </w:tcPr>
          <w:p w14:paraId="2DBA435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изготовитель опытных образцов</w:t>
            </w:r>
          </w:p>
        </w:tc>
        <w:tc>
          <w:tcPr>
            <w:tcW w:w="937" w:type="dxa"/>
            <w:tcBorders>
              <w:top w:val="single" w:sz="12" w:space="0" w:color="auto"/>
            </w:tcBorders>
          </w:tcPr>
          <w:p w14:paraId="5DB56AD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w:t>
            </w:r>
          </w:p>
        </w:tc>
        <w:tc>
          <w:tcPr>
            <w:tcW w:w="3475" w:type="dxa"/>
            <w:tcBorders>
              <w:top w:val="single" w:sz="12" w:space="0" w:color="auto"/>
            </w:tcBorders>
          </w:tcPr>
          <w:p w14:paraId="13CFBF7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Срок проведения морских испытаний и представления заключения</w:t>
            </w:r>
          </w:p>
        </w:tc>
      </w:tr>
      <w:tr w:rsidR="009B487A" w:rsidRPr="00722885" w14:paraId="464244C9" w14:textId="77777777" w:rsidTr="00CC5360">
        <w:trPr>
          <w:jc w:val="center"/>
        </w:trPr>
        <w:tc>
          <w:tcPr>
            <w:tcW w:w="3542" w:type="dxa"/>
          </w:tcPr>
          <w:p w14:paraId="59534DF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Морской трал уничтожитель (МТУ)</w:t>
            </w:r>
          </w:p>
        </w:tc>
        <w:tc>
          <w:tcPr>
            <w:tcW w:w="2678" w:type="dxa"/>
          </w:tcPr>
          <w:p w14:paraId="6BE2B04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«ЦКБ-36» НКСП</w:t>
            </w:r>
          </w:p>
        </w:tc>
        <w:tc>
          <w:tcPr>
            <w:tcW w:w="937" w:type="dxa"/>
          </w:tcPr>
          <w:p w14:paraId="729192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компл.</w:t>
            </w:r>
          </w:p>
        </w:tc>
        <w:tc>
          <w:tcPr>
            <w:tcW w:w="3475" w:type="dxa"/>
          </w:tcPr>
          <w:p w14:paraId="55B9717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1.VIII-1942 г.</w:t>
            </w:r>
          </w:p>
        </w:tc>
      </w:tr>
      <w:tr w:rsidR="009B487A" w:rsidRPr="00722885" w14:paraId="03D3A082" w14:textId="77777777" w:rsidTr="00CC5360">
        <w:trPr>
          <w:jc w:val="center"/>
        </w:trPr>
        <w:tc>
          <w:tcPr>
            <w:tcW w:w="3542" w:type="dxa"/>
          </w:tcPr>
          <w:p w14:paraId="77559E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Речной трал уничтожитель (РТУ)</w:t>
            </w:r>
          </w:p>
        </w:tc>
        <w:tc>
          <w:tcPr>
            <w:tcW w:w="2678" w:type="dxa"/>
          </w:tcPr>
          <w:p w14:paraId="2A9EFF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_»_</w:t>
            </w:r>
          </w:p>
        </w:tc>
        <w:tc>
          <w:tcPr>
            <w:tcW w:w="937" w:type="dxa"/>
          </w:tcPr>
          <w:p w14:paraId="30AC353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компл.</w:t>
            </w:r>
          </w:p>
        </w:tc>
        <w:tc>
          <w:tcPr>
            <w:tcW w:w="3475" w:type="dxa"/>
          </w:tcPr>
          <w:p w14:paraId="5982A3D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1.VIII-1942 г.</w:t>
            </w:r>
          </w:p>
        </w:tc>
      </w:tr>
      <w:tr w:rsidR="009B487A" w:rsidRPr="00722885" w14:paraId="12F5AF5E" w14:textId="77777777" w:rsidTr="00CC5360">
        <w:trPr>
          <w:jc w:val="center"/>
        </w:trPr>
        <w:tc>
          <w:tcPr>
            <w:tcW w:w="3542" w:type="dxa"/>
          </w:tcPr>
          <w:p w14:paraId="68C160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Морская неконтактная мина (НЯМ)</w:t>
            </w:r>
          </w:p>
        </w:tc>
        <w:tc>
          <w:tcPr>
            <w:tcW w:w="2678" w:type="dxa"/>
          </w:tcPr>
          <w:p w14:paraId="5D98A2A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«ЦКБ-36» НКСП</w:t>
            </w:r>
          </w:p>
        </w:tc>
        <w:tc>
          <w:tcPr>
            <w:tcW w:w="937" w:type="dxa"/>
          </w:tcPr>
          <w:p w14:paraId="43A5708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шт.</w:t>
            </w:r>
          </w:p>
        </w:tc>
        <w:tc>
          <w:tcPr>
            <w:tcW w:w="3475" w:type="dxa"/>
          </w:tcPr>
          <w:p w14:paraId="3CDA04C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15.VIII-1942 г.</w:t>
            </w:r>
          </w:p>
        </w:tc>
      </w:tr>
      <w:tr w:rsidR="009B487A" w:rsidRPr="00722885" w14:paraId="02BD564B" w14:textId="77777777" w:rsidTr="00CC5360">
        <w:trPr>
          <w:jc w:val="center"/>
        </w:trPr>
        <w:tc>
          <w:tcPr>
            <w:tcW w:w="3542" w:type="dxa"/>
            <w:tcBorders>
              <w:bottom w:val="single" w:sz="12" w:space="0" w:color="auto"/>
            </w:tcBorders>
          </w:tcPr>
          <w:p w14:paraId="76556C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Морская авиационная неконтактная мина (АМД-1)</w:t>
            </w:r>
          </w:p>
        </w:tc>
        <w:tc>
          <w:tcPr>
            <w:tcW w:w="2678" w:type="dxa"/>
            <w:tcBorders>
              <w:bottom w:val="single" w:sz="12" w:space="0" w:color="auto"/>
            </w:tcBorders>
          </w:tcPr>
          <w:p w14:paraId="46365C1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182 НКСН</w:t>
            </w:r>
          </w:p>
        </w:tc>
        <w:tc>
          <w:tcPr>
            <w:tcW w:w="937" w:type="dxa"/>
            <w:tcBorders>
              <w:bottom w:val="single" w:sz="12" w:space="0" w:color="auto"/>
            </w:tcBorders>
          </w:tcPr>
          <w:p w14:paraId="2E78EB1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шт.</w:t>
            </w:r>
          </w:p>
        </w:tc>
        <w:tc>
          <w:tcPr>
            <w:tcW w:w="3475" w:type="dxa"/>
            <w:tcBorders>
              <w:bottom w:val="single" w:sz="12" w:space="0" w:color="auto"/>
            </w:tcBorders>
          </w:tcPr>
          <w:p w14:paraId="6FE0161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15.VIII-1942 г.</w:t>
            </w:r>
          </w:p>
        </w:tc>
      </w:tr>
    </w:tbl>
    <w:p w14:paraId="34A4232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Обязать Наркомвоенморфлот (т. Кузнецова) обеспечить бесперебойное проведение морских испытаний новых образцов мин, торпед и тралов на кораблях и самолетах Военно-Морского флота.</w:t>
      </w:r>
    </w:p>
    <w:p w14:paraId="17E694C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Разрешить Наркомсудпрому (т. Носенко) и Наркомвоенморфлоту (т. Кузнецову) установить премии для работников ЦКБ, заводов и личного состава ВМФ за разработку, изготовление, проведение испытаний и внедрение в серийное производство новых образцов мин, торпед и тралов в сроки, установленные настоящим постановление, для чего доходов и расходов на III квартал 1942 г. по Наркомсудпрому – 500 тыс. рублей и в смете Наркомвоенморфлота 100 тыс. рублей.</w:t>
      </w:r>
    </w:p>
    <w:p w14:paraId="03E734F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Обязать Наркомчермет (т. Тевосян) обеспечить отгрузку в июле месяце 51 тн. стали для опытных образцов мин и тралов по спецификации и разнарядке НКСП в счет фондов последнего.8. Обязать НКПС (т. Хрулева) выделить в июле месяце 1942 г. вагоны дл перевозки 51 тонны листовой стали с завода Наркомчермета на завод Наркомсудпрома.</w:t>
      </w:r>
    </w:p>
    <w:p w14:paraId="57E7E64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Возложить контроль за ходом выполнения настоящего постановления на Наркомгосконтроля СССР (т. Попова). </w:t>
      </w:r>
    </w:p>
    <w:p w14:paraId="767A50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 (11813).</w:t>
      </w:r>
    </w:p>
    <w:p w14:paraId="4D6900E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05596E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E8A2F91" w14:textId="77777777" w:rsidR="00AE7191" w:rsidRPr="00722885" w:rsidRDefault="00AE7191" w:rsidP="00722885">
      <w:pPr>
        <w:pStyle w:val="Iauiue"/>
        <w:jc w:val="both"/>
        <w:rPr>
          <w:iCs/>
          <w:color w:val="000000" w:themeColor="text1"/>
          <w:sz w:val="16"/>
          <w:szCs w:val="16"/>
        </w:rPr>
      </w:pPr>
    </w:p>
    <w:p w14:paraId="164FDB3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в 1942 году утреннее сообщение Совинформбюро:</w:t>
      </w:r>
    </w:p>
    <w:p w14:paraId="1099AB7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26 июля наши войска вели бои с противником в районе Воронежа, а также в районах Цымлянская, Новочеркасск, Ростов.</w:t>
      </w:r>
    </w:p>
    <w:p w14:paraId="7253CFF1"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145D36FB"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продолжались ожесточённые бои. Западнее города наши войска продвинулись вперёд. В боях за два населённых пункта взято в плен несколько сот немецких солдат и офицеров, захвачено 54 пулемёта, 45 орудий, 2 танка, самолёт,18 миномётов и много боеприпасов. На другом участке гитлеровцы, стремясь задержать продвижение наших частей, бросили в контратаку полк, только что прибывший из глубокого тыла. Встреченный мощным миномётным и пулемётным огнём,противник понёс большие потери и был вынужден залечь. Тогда в бой вступили наши танки и пехота. В результате боя немцы потеряли только убитыми свыше 1.200 солдат и офицеров. Подбито 5 немецких танков. Взяты пленные и трофеи.</w:t>
      </w:r>
    </w:p>
    <w:p w14:paraId="5712FA59"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Ростова противник бросает в бой крупные колонны танков, стремясь массированными ударами сломить сопротивление защитников города. Наши бойцы самоотверженно отстаивают каждый рубеж и наносят немцам большой урон. На одном из участков огнём артиллерии и бронебойщиков уничтожено 27 немецких танков. На другом участке наши бойцы отразили три атаки противника и уничтожили до 800 гитлеровцев. Противник предпринял четвёртую атаку и ввёл в бой полк пехоты и до50 танков. Немцам удалось прорваться в глубь оборонительного района. На окраине города продолжаются ожесточённые бои.</w:t>
      </w:r>
    </w:p>
    <w:p w14:paraId="0E1B06E5"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наши войска ведут оборонительные бои с войсками противника. На одном участке немцы организовали переправу через Дон и перебросили через реку передовые отряды. Наша авиация нанесла несколько массированных ударов по переправе и скоплению войск противника. Вслед за ударами авиации наши бойцы опрокинули передовые отряды гитлеровцев и полностью их уничтожили. Противник потерял убитыми свыше 300 солдат и офицеров. Захвачены 26 пулемётов, 18 миномётов, много автоматов, винтовок и боеприпасы. На другом участке наши части отбили атаку пехоты и танков противника. Уничтожено 15 немецких танков и до 600 гитлеровцев.</w:t>
      </w:r>
    </w:p>
    <w:p w14:paraId="3DE43B82"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происходили активные действия разведывательных отрядов и артиллерийская перестрелка. Разведчики под руководством старшего лейтенанта Докунина выбили немцев из деревни Г. Другая группа разведчиков под командованием лейтенанта Максимова пробралась к вражескому ДЗОТу и забросала его гранатами. В это время из других ДЗОТов выбежали немецкие солдаты. Наши разведчики вступили сними в бой и истребили 18 гитлеровцев. На одном из участков противник сосредоточил пехоту у переднего края своей обороны. Артиллеристы командира Плотникова открыли огонь и уничтожили свыше 250 немцев, 2 тяжёлых миномёта и 9 подвод с боеприпасами.</w:t>
      </w:r>
    </w:p>
    <w:p w14:paraId="77CBCC8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ленинградских партизан под руководством тов. К. пустил под откос эшелон с войсками и боеприпасами противника. Партизаны этого отряда за три недели июля месяца истребили 80 немецких оккупантов, уничтожили 8 автомашин и вырезали 2 километра телефонного провода.</w:t>
      </w:r>
    </w:p>
    <w:p w14:paraId="6072633B"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в районе Воронежа немецкого обер-ефрейтора Алоиза Луринга найдено неотправленное письмо Эрнсту Шлегелю. В письме говорится: «Я не могу тебе передать то, что здесь происходит. Поверь, что ничего подобного я еще не видел и не переживал за всё время войны. Каждый день стоит нам много жизней. Наш батальон расформирован — в нём почти никого не осталось. Я попал в 5 роту. Уже сейчас в ней меньше людей, чем должно быть в одном взводе... Русские очень отчаянные люди. Они упорно сопротивляются и не боятся смерти. Да, Россия — это загадка для всех нас. Иногда мне кажется, что мы втянуты в очень опасную авантюру».</w:t>
      </w:r>
    </w:p>
    <w:p w14:paraId="1F55C8F2"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Гамбурге (Германия) толпа портовых рабочих разгромила продовольственный склад. Вызванный отряд гестапо был встречен градом камней. Гитлеровцы открыли стрельбу и убили несколько десятков рабочих. В порту произведены массовые аресты.</w:t>
      </w:r>
    </w:p>
    <w:p w14:paraId="390A9EB7"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Коллектив завода № 654 Наркомэлектропрома, где директором тов. Бенский, неуклонно повышает производительность труда. К 20 июля завод выполнил заказы предприятий танковой промышленности, а спустя три дня завершил месячную программу по всем видам производства.» (14964).</w:t>
      </w:r>
    </w:p>
    <w:p w14:paraId="6777B229"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75FACD5F"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в 1942 году вечернее сообщение Совинформбюро:</w:t>
      </w:r>
    </w:p>
    <w:p w14:paraId="31A5A6BB"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течение 26 июля наши войска продолжали ожесточённые бои в районе Воронежа, а также в районах Цымлянская, Новочеркасск, Ростов.</w:t>
      </w:r>
    </w:p>
    <w:p w14:paraId="3AFA191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27A17A4C"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 истекшую неделю, с 19 по 25 июля включительно в воздушных боях, на аэродромах и огнём зенитной артиллерии уничтожено 299 немецких самолётов. Наши потери —137 самолётов.</w:t>
      </w:r>
    </w:p>
    <w:p w14:paraId="78DD8182"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25 июля частями нашей авиации на различных участках фронта уничтожено или повреждено 46 немецких танков, 170 автомашин с войсками и грузами, 25 подвод с боеприпасами, взорван склад горючего, разбито 3 железнодорожных состава, рассеяно и частью уничтожено до двух батальонов пехоты противника.</w:t>
      </w:r>
    </w:p>
    <w:p w14:paraId="64BE5880"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продолжают вести наступательные бои против немецко-фашистских войск. Попытки противника контратаками вернуть потерянные важные позиции терпят неудачу. Гитлеровцы несут при этом большие потери. Толькона одном участке, по неполным данным, за три недели разгромлено и уничтожено свыше четырёх полков пехоты и мотопехоты противника, уничтожено 328 танков, захвачено 400 пулемётов, 560 автоматов, 189 орудий, 46 миномётов, 20.000 снарядов, 170.000 патронов. На другом участке понесла значительный урон 376 немецкая пехотная дивизия, только что прибывшая из Франции и сразу же брошенная в бой.</w:t>
      </w:r>
    </w:p>
    <w:p w14:paraId="75562580"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Ростова идут ожесточённые бои на окраине города. Наши части наносят наступающим фашистам большие потери. Только одна небольшая группа советской пехоты в течение дня огнём из противотанковых ружей, гранатами и бутылками сгорючей смесью уничтожила 9 немецких танков и сотни гитлеровцев. На другом участке противник ввёл в бой крупные танковые силы, и ценой огромных потерь ему удалось продвинуться вперёд.</w:t>
      </w:r>
    </w:p>
    <w:p w14:paraId="04E99B23"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наши войска продолжали вести упорные оборонительные бои и отбивали многочисленные попытки немцев переправиться на южный берег Дона. Активно действуют наши артиллеристы, обрушивающие массированные удары по скоплениям противника. В течение дня артиллеристы Н-ской части, по неполным данным, уничтожили 6 немецких танков и 20 автомашин с войсками, потопили 9 понтонов с солдатами и вооружением. На другом участке наше подразделение ликвидировало попытку немцев закрепиться на южном берегу реки и уничтожило свыше 300 гитлеровцев.</w:t>
      </w:r>
    </w:p>
    <w:p w14:paraId="10F1361B"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наблюдалась редкая артиллерийская и миномётная перестрелка. На одном из участков огнём нашей артиллерии разрушено 3 немецких ДЗОТа и уничтожено до полутора взводов пехоты противника. На другом участке наши артиллеристы и снайперы истребили свыше 150 солдат и офицеров противника.</w:t>
      </w:r>
    </w:p>
    <w:p w14:paraId="10B5599E"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тов. М., действующий в одном из районов Белоруссии, за последнее время взорвал несколько мостов и пустил под откос два железнодорожных воинских эшелона противника. Партизаны из засад истребили свыше 60 оккупантов. За два месяца партизанский отряд увеличился более чем в два раза.</w:t>
      </w:r>
    </w:p>
    <w:p w14:paraId="183BB18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боях на Юге и в районе Воронежа выявляются всё новые и новые дивизии, которые немцы срочно перебросили на фронт из глубокого тыла. Так, за последнее время вступили в бой 71 и 376 немецкие пехотные дивизии, прибывшие из Франции, 82 пехотная дивизия, прибывшая из Голландии. Гитлеровцы, как азартные картёжники, идут на риск, бросая свои резервы на советско-германский фронт.</w:t>
      </w:r>
    </w:p>
    <w:p w14:paraId="45166B8C"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записной книжки убитого ефрейтора 82 немецкой пехотной дивизии Густава Кноппа:</w:t>
      </w:r>
    </w:p>
    <w:p w14:paraId="0828BC1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«...Вот уже несколько месяцев, как мы стоим в Голландии. Жизнь вполне сносная, если не считать бесконечных учебных тревог. Что же касается местного населения, которое нас ненавидит, то настоящий немец не обращает внимания на разную шваль... Получил письмо от Адольфа. 71 дивизия срочно отправляется из Реймса на Восток. Настроение тревожное. Неужели и нас ожидает такая же участь? Но ведь кто-то должен остаться на Западе? К тому же до сих пор наша дивизия не имеет материальной части. Буду надеяться на лучшее...</w:t>
      </w:r>
    </w:p>
    <w:p w14:paraId="1DC49D3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Итак, свершилось. Мы покидаем Голландию. Нас, старых солдат, забирают всех. Остаётся одна дрянь и юнцы. Неужели опять Россия?</w:t>
      </w:r>
    </w:p>
    <w:p w14:paraId="1AD01F2C"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...Настроение подавленное. Две недели не разувал ног. Вчерашнее наступлениенам стоило дорого. Во втором батальоне не осталось и половины состава. Что нас ждёт впереди?»</w:t>
      </w:r>
    </w:p>
    <w:p w14:paraId="3D48ACCE"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Бежавшие из занятого немецкими оккупантами города Россошь советские граждане рассказали о новых чудовищных преступлениях немецко-фашистских бандитов.Ворвавшись в город, гитлеровцы начали массовые грабежи и расстрелы мирных жителей. Немецкие солдаты забросали гранатами подвал дома, где укрывалось более 40 женщин и детей. Только за три дня гитлеровские мерзавцы убили более 400 женщин, детей и стариков. Немецкие автоматчики каждый день выводят группы мирных жителей за город и расстреливают их.» (14964).</w:t>
      </w:r>
    </w:p>
    <w:p w14:paraId="281A422A"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12690B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июля 1942 нарком ВМФ потребовал от авианачальников, включая командиров бригад и комиссаров, летать (1085,161).</w:t>
      </w:r>
    </w:p>
    <w:p w14:paraId="62E11606" w14:textId="77777777" w:rsidR="00AE7191" w:rsidRPr="00722885" w:rsidRDefault="00AE7191" w:rsidP="00722885">
      <w:pPr>
        <w:pStyle w:val="Iauiue"/>
        <w:jc w:val="both"/>
        <w:rPr>
          <w:color w:val="000000" w:themeColor="text1"/>
          <w:sz w:val="16"/>
          <w:szCs w:val="16"/>
        </w:rPr>
      </w:pPr>
    </w:p>
    <w:p w14:paraId="7016CF79"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July 26, 1942: Start of the advance by Armeegruppe A from Rostov and the lower Don toward the Caucasus region (3819).</w:t>
      </w:r>
    </w:p>
    <w:p w14:paraId="3622595B" w14:textId="77777777" w:rsidR="00AE7191" w:rsidRPr="00722885" w:rsidRDefault="00AE7191" w:rsidP="00722885">
      <w:pPr>
        <w:pStyle w:val="Iauiue"/>
        <w:jc w:val="both"/>
        <w:rPr>
          <w:color w:val="000000" w:themeColor="text1"/>
          <w:sz w:val="16"/>
          <w:szCs w:val="16"/>
          <w:lang w:val="en-US"/>
        </w:rPr>
      </w:pPr>
    </w:p>
    <w:p w14:paraId="5ECAD0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июля 1942 началось наступление Группы А от Ростова и нижнего Дона на Кавказ (3819).</w:t>
      </w:r>
    </w:p>
    <w:p w14:paraId="25A9B8D1" w14:textId="77777777" w:rsidR="00AE7191" w:rsidRPr="00722885" w:rsidRDefault="00AE7191" w:rsidP="00722885">
      <w:pPr>
        <w:pStyle w:val="Iauiue"/>
        <w:jc w:val="both"/>
        <w:rPr>
          <w:color w:val="000000" w:themeColor="text1"/>
          <w:sz w:val="16"/>
          <w:szCs w:val="16"/>
        </w:rPr>
      </w:pPr>
    </w:p>
    <w:p w14:paraId="7B23E2A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немецкие самолеты несколько раз появлялись над Волгой. Они разбомбили баржи «Таловка» и «Веста», перевозившие автомобильное масло. В районе хутора Быково, в 40 км южнее Камышина, «Хейнкели» обстреляли из пулеметов, а затем сбросили тяжелые зажигательные бомбы на пассажирский пароход «Александр Невский», на борту которого находились 300 пассажиров. Капитан Николай Харламович сразу повернул корабль в сторону высокого берега, и вскоре тот уткнулся носом в песок. Люди в панике бросились на берег, и в огне погибли только 15 человек. В тот же день были потоплены три буксирных судна, четыре сухогрузные и две нефтеналивные баржи. В районе Сталинграда подорвался на мине и затонул пароход «Аджарстан», на котором погибли 20 человек. Помимо бомбардировок и обстрелов, дальние разведчики Люфтваффе применяли против кораблей речного флота и «психическое» оружие, сбрасывая дырявые и набитые гвоздями бочки из-под бензина. В связи с этими событиями все более важную роль стала играть Волжская военная флотилия под командованием контр-адмирала Д. Дергачева. К концу июля в ее составе имелись 18 мощных буксиров, вооруженных зенитными орудиями, а также семь канонерских лодок, 14 бронекатеров, 33 катера-тральщика, две плавучие зенитные батареи и два батальона морской пехоты. До середины июля главной задачей флотилии было обеспечение ПВО Саратова, особенно железнодорожного моста через Волгу. Теперь же начиная с 26 июля корабли ВВФ конвоировали речные суда, двигавшиеся по Волге, и обеспечивали их ПВО. Напуганное донесениями о массовой гибели судов, пароходство «Волготанкер» вечером этого дня приостановило отправку танкеров из порта Астрахани. Но десятки кораблей уже находились в пути. 26 июля нарком речного флота Шашков выступил с докладом на заседании ГКО о положении на Нижней Волге. Он попросил срочно принять меры по вооружению судов и усилению ПВО. В этот же день с аналогичной просьбой к руководству страны обратился и Астраханский горкомитет обороны (11774).</w:t>
      </w:r>
    </w:p>
    <w:p w14:paraId="2ABAC10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98C621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вышло Постановление ГКО № 2096 О назначении т. Иванова В.И. членом Калининского штаба партизанского движения. РГАНИР, Фонд ГКО, д. 48, лл. 1 (11012).</w:t>
      </w:r>
    </w:p>
    <w:p w14:paraId="799BF4C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F0B649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вышло Постановление ГКО № 2102 О сформировании 35 истребительно-противотанковых артиллерийских полков. РГАНИР, Фонд ГКО, д. 48, лл. 27 (11012).</w:t>
      </w:r>
    </w:p>
    <w:p w14:paraId="231FDCE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869C2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июля 1942, у Кривой косы в Азовском море ТКА № 154 и СКА №0175 обнаружили, и по докладам экипажей, уничтожили две шхуны. По немецким данным подтверждается гибель одного из двух сторожевых катеров местной охранной флотилии, атакованных советскими кораблями (6002).</w:t>
      </w:r>
    </w:p>
    <w:p w14:paraId="2C46B23C" w14:textId="77777777" w:rsidR="00AE7191" w:rsidRPr="00722885" w:rsidRDefault="00AE7191" w:rsidP="00722885">
      <w:pPr>
        <w:pStyle w:val="Iauiue"/>
        <w:jc w:val="both"/>
        <w:rPr>
          <w:color w:val="000000" w:themeColor="text1"/>
          <w:sz w:val="16"/>
          <w:szCs w:val="16"/>
        </w:rPr>
      </w:pPr>
    </w:p>
    <w:p w14:paraId="2F307A25"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1CAA8D1" w14:textId="77777777" w:rsidR="00AE7191" w:rsidRPr="00722885" w:rsidRDefault="00AE7191" w:rsidP="00722885">
      <w:pPr>
        <w:pStyle w:val="Iauiue"/>
        <w:jc w:val="both"/>
        <w:rPr>
          <w:iCs/>
          <w:color w:val="000000" w:themeColor="text1"/>
          <w:sz w:val="16"/>
          <w:szCs w:val="16"/>
        </w:rPr>
      </w:pPr>
    </w:p>
    <w:p w14:paraId="06BB4F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26/27 июля и 28/29 июля 1942 состоялись массовые налета RAF на Гамбург (2245,7).</w:t>
      </w:r>
    </w:p>
    <w:p w14:paraId="5AF0C795" w14:textId="77777777" w:rsidR="00AE7191" w:rsidRPr="00722885" w:rsidRDefault="00AE7191" w:rsidP="00722885">
      <w:pPr>
        <w:pStyle w:val="Iauiue"/>
        <w:jc w:val="both"/>
        <w:rPr>
          <w:color w:val="000000" w:themeColor="text1"/>
          <w:sz w:val="16"/>
          <w:szCs w:val="16"/>
        </w:rPr>
      </w:pPr>
    </w:p>
    <w:p w14:paraId="622578BE"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в 1942 году британские самолеты бомбят Гамбург (14964).</w:t>
      </w:r>
    </w:p>
    <w:p w14:paraId="5295F427"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5DC461EB"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1ED67D6" w14:textId="77777777" w:rsidR="00AE7191" w:rsidRPr="00722885" w:rsidRDefault="00AE7191" w:rsidP="00722885">
      <w:pPr>
        <w:pStyle w:val="Iauiue"/>
        <w:jc w:val="both"/>
        <w:rPr>
          <w:iCs/>
          <w:color w:val="000000" w:themeColor="text1"/>
          <w:sz w:val="16"/>
          <w:szCs w:val="16"/>
        </w:rPr>
      </w:pPr>
    </w:p>
    <w:p w14:paraId="1BB553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июля 1942 года начальник 8 главного управления В. Поликовский писал письмо N 1186 Шахурину.</w:t>
      </w:r>
    </w:p>
    <w:p w14:paraId="164049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Справка</w:t>
      </w:r>
    </w:p>
    <w:p w14:paraId="3B5F18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мотору М-71.</w:t>
      </w:r>
    </w:p>
    <w:p w14:paraId="4A289AF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 М-71 прошел 50-ти часовые совместные испытания в январе 1941 года.</w:t>
      </w:r>
    </w:p>
    <w:p w14:paraId="12CE67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течении 1941 года заводом N 19 была изготовлена малая серия моторов М-71 в количестве 20 штук для доводки до 100 часового ресурса и летных испытаний на самолетах И-185 и СУ-6.</w:t>
      </w:r>
    </w:p>
    <w:p w14:paraId="135240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Общая наработка мотора М-71 в процессе доводки заводскими испытаниями до 100 часового ресурса - составляет 1563 часа. Из них проведено 4 сточасовых испытания по программе 67 МГУ, без существенных дефектов (на моторах NN 4, 19, 20, 21).</w:t>
      </w:r>
    </w:p>
    <w:p w14:paraId="557B45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Летные испытания мотор М-71 проходил на 4-х экземплярах самолетов - государственные испытания самолетов И-185 и СУ-6 с мотором М-71 прошли без дефектов по мотору.</w:t>
      </w:r>
    </w:p>
    <w:p w14:paraId="7527833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государственные испытания мотор ставился два раза:</w:t>
      </w:r>
    </w:p>
    <w:p w14:paraId="07E2BF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В первом испытании (февраль - март 1942 года) испытания проходили два мотора (N 24 и N 36).</w:t>
      </w:r>
    </w:p>
    <w:p w14:paraId="20DE89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Первый из них был снят с испытаний после 45 часов режимной работы, по поломке передней мотылевой шейки коленвала.</w:t>
      </w:r>
    </w:p>
    <w:p w14:paraId="143DE5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Поломка произошла по причине грубой обработки отверстия под маслопроводящую трубку.</w:t>
      </w:r>
    </w:p>
    <w:p w14:paraId="25A067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Второй мотор прошел 100 часов режимной работы, но испытания не были зачтены из-за наличия выгорания фасок на клапанах выхлопа.</w:t>
      </w:r>
    </w:p>
    <w:p w14:paraId="15C1A4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течении апреля - мая 1942 года завод изготовил и испытал новые клапана выхлопа с увеличенной внутренней полостью охлаждения.</w:t>
      </w:r>
    </w:p>
    <w:p w14:paraId="40D69B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Вторые испытания были начаты в июне 1942 года. Государственные испытания проходили моторы NN 36 и 38 (1684,169).</w:t>
      </w:r>
    </w:p>
    <w:p w14:paraId="0422AD23" w14:textId="77777777" w:rsidR="00AE7191" w:rsidRPr="00722885" w:rsidRDefault="00AE7191" w:rsidP="00722885">
      <w:pPr>
        <w:pStyle w:val="Iauiue"/>
        <w:jc w:val="both"/>
        <w:rPr>
          <w:color w:val="000000" w:themeColor="text1"/>
          <w:sz w:val="16"/>
          <w:szCs w:val="16"/>
        </w:rPr>
      </w:pPr>
    </w:p>
    <w:p w14:paraId="4158BFA7"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27 июля 1942 г. начальник 8-го (моторного) Главка НКАП Поликовский писал о них Шахурину:</w:t>
      </w:r>
    </w:p>
    <w:p w14:paraId="04BD3C65"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"М-71 прошел 50-ти часовые совместные испытания в январе 1941 года.</w:t>
      </w:r>
    </w:p>
    <w:p w14:paraId="6AC2902F"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течении 1941 г. заводом №19 была изготовлена малая серия... в количестве 20 штук для доводки до 100 часового ресурса и летных испытаний на самолетах И-185 и СУ-6.</w:t>
      </w:r>
    </w:p>
    <w:p w14:paraId="45223C55"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Общая наработка мотора М-71 в процессе доводки заводскими испытаниями до 100 часового ресурса - составляет 1563 часа. Из них проведено 4 сточасовых испытания по программе 67 МГУ, без существенных дефектов (на моторах №№4, 19, 20, 21).</w:t>
      </w:r>
    </w:p>
    <w:p w14:paraId="4D7159E0"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Летные испытания мотор М-71 проходил на 4-х экземплярах самолетов - государственные испытания самолетов И-185 и СУ-6 с мотором М-71 прошли без дефектов по мотору.</w:t>
      </w:r>
    </w:p>
    <w:p w14:paraId="1091CDC7"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 государственные испытания мотор ставился два раза:</w:t>
      </w:r>
    </w:p>
    <w:p w14:paraId="4490183F"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первом испытании (февраль - март 1942 г.) испытания проходили два мотора (№24 и №36).</w:t>
      </w:r>
    </w:p>
    <w:p w14:paraId="66FEF144"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Первый из них был снят с испытаний после 45 часов режимной работы, по поломке передней мотылевой шейки коленвала.</w:t>
      </w:r>
    </w:p>
    <w:p w14:paraId="5D7AA960"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Поломка произошла по причине грубой обработки отверстия под маслопроводящую трубку.</w:t>
      </w:r>
    </w:p>
    <w:p w14:paraId="45C0A263"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Второй мотор прошел 100 часов режимной работы, но испытания не были зачтены из-за наличия выгорания фасок на клапанах выхлопа.</w:t>
      </w:r>
    </w:p>
    <w:p w14:paraId="0A2299FE"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течении апреля - мая 1942 года завод изготовил и испытал новые клапана выхлопа с увеличенной внутренней полостью охлаждения.</w:t>
      </w:r>
    </w:p>
    <w:p w14:paraId="6C7A5992"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Вторые испытания были начаты в июне 1942 года. Государственные испытания проходили моторы №№36 и 38...".</w:t>
      </w:r>
    </w:p>
    <w:p w14:paraId="2CCB2E00"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Надо отметить, что указанные моторы были сделаны опытным производством завода №19, где кадры и оборудование были лучше, чем у основной серийной части. Тем не менее, стабильного качества добиться не удалось (17737).</w:t>
      </w:r>
    </w:p>
    <w:p w14:paraId="09B08880" w14:textId="77777777" w:rsidR="00F1788C" w:rsidRPr="00722885" w:rsidRDefault="00F1788C" w:rsidP="00722885">
      <w:pPr>
        <w:pStyle w:val="12a"/>
        <w:shd w:val="clear" w:color="auto" w:fill="auto"/>
        <w:spacing w:after="0" w:line="240" w:lineRule="auto"/>
        <w:jc w:val="both"/>
        <w:rPr>
          <w:color w:val="000000" w:themeColor="text1"/>
          <w:sz w:val="16"/>
          <w:szCs w:val="16"/>
        </w:rPr>
      </w:pPr>
    </w:p>
    <w:p w14:paraId="6FD02BF9"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27 июля 1942 г.</w:t>
      </w:r>
    </w:p>
    <w:p w14:paraId="2033EA1E"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ГЛАВНОМУ КОНСТРУКТОРУ ЗАВОДА № 21</w:t>
      </w:r>
    </w:p>
    <w:p w14:paraId="02A941B7"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ЛАВОЧКИНУ</w:t>
      </w:r>
    </w:p>
    <w:p w14:paraId="324AC187"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27 июля 1942 г.</w:t>
      </w:r>
    </w:p>
    <w:p w14:paraId="78EF2CC9"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улучшения конструкции фонарей самолетов ЛаГГ-3 и ЛаГГ-5 необходимо провести следующие работы:</w:t>
      </w:r>
    </w:p>
    <w:p w14:paraId="0A961C93"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Улучшить обзор назад;</w:t>
      </w:r>
    </w:p>
    <w:p w14:paraId="3BD2E920"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Установить прозрачную броню в задних смотровых щелях;</w:t>
      </w:r>
    </w:p>
    <w:p w14:paraId="25465388"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Установить металлический броневой надголовник так, чтобы одновременно с защитой головы летчика сзади, этот надголовник не мешал летчику в случае аварийного выбрасывания;</w:t>
      </w:r>
    </w:p>
    <w:p w14:paraId="15FF5942"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Установить в передней части фонаря прозрачную броню;</w:t>
      </w:r>
    </w:p>
    <w:p w14:paraId="000FEC15"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Изменить конструкцию передней неподвижной части фонаря так, чтобы сферическая поверхность плексигласа была изменена на плоскую;</w:t>
      </w:r>
    </w:p>
    <w:p w14:paraId="7DE09075"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Разработать механизм закрытия и открытия фонаря в полете по типу самолета «Томагаук».</w:t>
      </w:r>
    </w:p>
    <w:p w14:paraId="2B12C680"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Изготовить с учетом указанных требований по новым фонарям на самолеты ЛаГГ-3 и ЛаГГ-5 и предъявить их для испытаний в НИИ ВВС КА к 15 августа 1942 года.</w:t>
      </w:r>
    </w:p>
    <w:p w14:paraId="0A55F6A4"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Дементьев</w:t>
      </w:r>
    </w:p>
    <w:p w14:paraId="1EE3B8C3"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ЦАНО. Ф. 2066. Оп. 6. Д. 796. Л. 15.</w:t>
      </w:r>
    </w:p>
    <w:p w14:paraId="2133D9BF" w14:textId="77777777" w:rsidR="00CD0974" w:rsidRPr="00722885" w:rsidRDefault="00CD097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Подлинник. Машинопись (20935).</w:t>
      </w:r>
    </w:p>
    <w:p w14:paraId="5D35441C" w14:textId="77777777" w:rsidR="00CD0974" w:rsidRPr="00722885" w:rsidRDefault="00CD0974" w:rsidP="00722885">
      <w:pPr>
        <w:spacing w:after="0" w:line="240" w:lineRule="auto"/>
        <w:jc w:val="both"/>
        <w:rPr>
          <w:rFonts w:ascii="Times New Roman" w:hAnsi="Times New Roman"/>
          <w:color w:val="0070C0"/>
          <w:sz w:val="16"/>
          <w:szCs w:val="16"/>
        </w:rPr>
      </w:pPr>
    </w:p>
    <w:p w14:paraId="54714973"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91BAE66" w14:textId="77777777" w:rsidR="00AE7191" w:rsidRPr="00722885" w:rsidRDefault="00AE7191" w:rsidP="00722885">
      <w:pPr>
        <w:pStyle w:val="Iauiue"/>
        <w:jc w:val="both"/>
        <w:rPr>
          <w:iCs/>
          <w:color w:val="000000" w:themeColor="text1"/>
          <w:sz w:val="16"/>
          <w:szCs w:val="16"/>
        </w:rPr>
      </w:pPr>
    </w:p>
    <w:p w14:paraId="55FE4EED"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27 июля 1942 были изготовлены два опытных образца КВ-1с, имевшие серийные номера 15001 и 15002. На сроки очень сильно повлияло постановление ГКО №1958 от 3 июля 1942 года. Согласно ему, на ЧКЗ с августа организовывалось производство Т-34. В результате пришлось отказаться не только от планов по производству трактора С-10, но и заметно замедлить программы КВ-1с и КВ-13. Из-за запуска в серию столь необходимых войскам Т-34 сильно уменьшился и выпуск КВ-1. Существовали даже предпосылки к полному снятию КВ-1 с производства ради Т-34, но до столь радикальной меры дело не дошло.</w:t>
      </w:r>
    </w:p>
    <w:p w14:paraId="1826CC11"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Еще одним серьезным отличием КВ-1с от КВ-1 стала ходовая часть. Ее изменение также частично прописывалось в постановлении ГКО. Для облегченного танка был разработан новый трак шириной 608 мм с характерными «скосами». На этом инженеры СКБ-2 и завода №100 не остановились: они переделали балансиры, поддерживающие катки, ленивцы, был спроектирован и новый опорный каток облегченной конструкции.</w:t>
      </w:r>
    </w:p>
    <w:p w14:paraId="236F6638"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Относительно надежности новой ходовой части, особенно траков, имелись определенные опасения. По этой причине танки 15001 и 15002 несколько отличались друг от друга. Внешне эти танки можно отличить по креплению поручней на башне: у 15001 они приваривались к крыше, а у 15002 к бортам. Изначально, впрочем, было еще одно отличие: если на танк 15002 установили гусеницы с узкими траками, то на 15001 – обычные гусеницы шириной 700 мм, которые использовались на КВ-1. Разница по массе между полным комплектом старых и новых траков составила 200 килограмм.</w:t>
      </w:r>
    </w:p>
    <w:p w14:paraId="03B1351C"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августе был проведены испытания проходимости по болотистому берегу озера Синеглазово, находящемуся в 18 километрах от Челябинска. В них участвовали КВ-1с 15001 с широкой гусеницей, КВ-1с 15004 с узкой гусеницей, КВ-1 10033 с широкой гусеницей и КВ-1 11021 с узкой гусеницей. Быстрее всего дистанцию преодолел КВ-1с 15004. Несмотря на то, что потребовались дополнительные испытания, решение в пользу узких траков было принято.</w:t>
      </w:r>
    </w:p>
    <w:p w14:paraId="404F2094"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Основная нагрузка в ходе испытаний легла на второй опытный образец, 15002. Это не должно удивлять, поскольку именно вторая опытная машина в полной мере соответствовала КВ-1с, который предполагалось запускать в серию. Первый опытный образец также не простаивал: после испытаний траков на проходимость машину «переобули» на гусеницы шириной 608 мм, после чего на нем также отрабатывали различные элементы.</w:t>
      </w:r>
    </w:p>
    <w:p w14:paraId="36A1AA74"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Первый этап полигонных испытаний КВ-1с 15002 прошел 28 июля 1942 года. В его ходе машина развила среднюю скорость 22,5 км/ч. Ходовые испытания на шоссе продолжались до 5 августа, всего за это время машина прошла по Уфимскому шоссе 761 километр. 26 августа были проведены испытания на максимальную скорость, за это время оказалось пройдено еще 40 километров. Танк развивал скорость до 43 км/ч, что для боевой машины массой 42,5 тонны было вполне достойным показателем. Расход горючего составил 250–280 литров на 100 километров.</w:t>
      </w:r>
    </w:p>
    <w:p w14:paraId="7314F210"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Гораздо более важным был другой показатель – надежность. 4 августа танк совершил 200-километровый марш, в ходе которого не было зафиксировано ни одной неполадки. За день до того были обнаружены небольшие неполадки с фрикционами, которые удалось быстро исправить на заводе.</w:t>
      </w:r>
    </w:p>
    <w:p w14:paraId="05974C6C"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 менее важными стали испытания на Чудиновском тракте, в ходе которых танк прошел 553 километра. 9 августа КВ-1с преодолел по проселку 300 километров со средней скоростью 20 км/ч, и это стало сигналом к тому, что машину можно запускать в серийное производство. При езде по проселочной дороге танк потреблял, в зависимости от условий, 200–350 литров топлива на 100 километров. По болотистой местности возле озера Синеглазово танк прошел еще 673 километра, потребляя при этом 300–350 литров на 100 километров и показав среднюю скорость 15,5 км/ч. Коробка передач и система охлаждения работали нормально. Таким образом, требования по обеспечению надежности были выполнены.</w:t>
      </w:r>
    </w:p>
    <w:p w14:paraId="185B8169"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Вполне успешно прошли и стрельбы. В ходе испытаний на скорострельность орудия экипаж облачился в сковывающее движения зимнее обмундирование, и даже при этом удалось добиться скорострельности на уровне 6 выстрелов в минуту. Таким образом, уменьшение размеров башни не сказалось на удобстве работы в боевом отделении.</w:t>
      </w:r>
    </w:p>
    <w:p w14:paraId="09805923" w14:textId="77777777" w:rsidR="00F1788C" w:rsidRPr="00722885"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окончании испытаний оба опытных образца КВ-1с стали своеобразными ходовыми стендами. На танках испытывались различные узлы и агрегаты, в частности, новые траки и модернизированные опорные катки. Наиболее бурной оказалось судьба танка 15002, позже превратившегося сначала в первый опытный образец КВ-85, а затем – в опытный танк КВ-122. Эта машина дожила до наших дней и ныне стоит на постаменте в Автово в Санкт-Петербурге (17682).</w:t>
      </w:r>
    </w:p>
    <w:p w14:paraId="1BE84BD7" w14:textId="77777777" w:rsidR="00F1788C" w:rsidRPr="00722885" w:rsidRDefault="00F1788C" w:rsidP="00722885">
      <w:pPr>
        <w:pStyle w:val="12a"/>
        <w:shd w:val="clear" w:color="auto" w:fill="auto"/>
        <w:spacing w:after="0" w:line="240" w:lineRule="auto"/>
        <w:jc w:val="both"/>
        <w:rPr>
          <w:color w:val="000000" w:themeColor="text1"/>
          <w:sz w:val="16"/>
          <w:szCs w:val="16"/>
        </w:rPr>
      </w:pPr>
    </w:p>
    <w:p w14:paraId="39B22C75"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июля 1942 года Конструктор инженер-полковник Осокин писал Начальнику Главного Автоброне</w:t>
      </w:r>
      <w:hyperlink r:id="rId34"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ового Управления Красной Армии</w:t>
      </w:r>
    </w:p>
    <w:p w14:paraId="03604492"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копия: Заведующему Военным отделом ЦК ВКП(б) (Москва)</w:t>
      </w:r>
    </w:p>
    <w:p w14:paraId="1F335422"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Желая помочь любимой Родине в ее борьбе с фашистскими ордами и делом ответить на приказы № 55 и 130 Народного Комиссара Обороны Союза ССР тов. Сталина, я разработал и предлагаю вашему вниманию проект нового мощного вида вооружения Красной Армии - "</w:t>
      </w:r>
      <w:hyperlink r:id="rId35"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овый крейсер".</w:t>
      </w:r>
    </w:p>
    <w:p w14:paraId="0F2F4D95"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11.6.1942 года этот проект мною был доложен Начальнику отдела Автоброне</w:t>
      </w:r>
      <w:hyperlink r:id="rId36"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войск Уральского военного округа полковнику Евдокимову, инженерам вверенного ему отдела и заместителю командующего ВВС округа генерал-майору авиации тов. Соколову. Ими мое предложение было признано ценным и интересным в оборонном значении, и были сделаны некоторые технические указания - для доработки проекта.</w:t>
      </w:r>
    </w:p>
    <w:p w14:paraId="24C00D92"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Полковник Евдокимов, собираясь на другой день в Москву, обещал лично доложить Вам о моем предложении и просить Вас о вызове меня в Москву - для личного доклада.</w:t>
      </w:r>
    </w:p>
    <w:p w14:paraId="76D5559B"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того времени прошло более месяца и все сделанные мне указания в проекте выполнены. Об этом мною 2.7.1942 года было телеграфно доложено полковнику Евдокимову (УралВО), с просьбой ускорить мою командировку в Москву.</w:t>
      </w:r>
    </w:p>
    <w:p w14:paraId="714204A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имея ответа на телеграмму, 18.7.42 года я обратился к своему начальнику части - дивинженеру тов. Андрееву, доложил ему свой проект и предложения и получил разрешение обратиться по этому делу в соответствующие, вышестоящие органы.</w:t>
      </w:r>
    </w:p>
    <w:p w14:paraId="0CB989DC"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Будучи убежден в целесообразности и большом боевом значении предлагаемого мною "</w:t>
      </w:r>
      <w:hyperlink r:id="rId37"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ового крейсера", я считаю всякое дальнейшее промедление в продвижении проекта крайне нежелательным. по этому прошу Вас о скорейшем вызове меня в Москву, с тем, чтобы лично доложить этот проект Вам, или назначенной Вашим приказом авторитетной комиссии специалистов – инженеров и тактиков </w:t>
      </w:r>
      <w:hyperlink r:id="rId38"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войск.</w:t>
      </w:r>
    </w:p>
    <w:p w14:paraId="44EA74E5"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Считая свое предложение серьезным, я, имея уже опыт конструкторской работы, отдаю себе, вместе с тем, полный отчет о возможных трудностях практической реализации проекта, но твердо полагаю, что эти трудности вполне окупятся боевыми качествами новых машин.</w:t>
      </w:r>
    </w:p>
    <w:p w14:paraId="719342F7"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разработку проекта "</w:t>
      </w:r>
      <w:hyperlink r:id="rId39"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ового крейсера" мною затрачено, преимущественно во внеслужебное время, свыше 500 часов и это обстоятельство также требует доведения дела до его логического конца.</w:t>
      </w:r>
    </w:p>
    <w:p w14:paraId="397CEC66"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случае благоприятного решения о реализации проекта, мои практические предложения, связанные с этим, прошу разрешения доложить лично.</w:t>
      </w:r>
    </w:p>
    <w:p w14:paraId="0885E9D6"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я являюсь представителем Ленинградских Авиационно-Технических Курсов Усовершенствования ВВС имени К.Е. Ворошилова (адрес: гор. Магнитогорск, Челябинская область, 2-я плотина, почтовый ящик 529). В случае необходимости, по вопросу о моей командировке в Москву прошу списаться с генерал-майором авиации тов. Ивановым - начальником управления ВУЗ Главного Управления ВВС Красной Армии или с его заместителями.</w:t>
      </w:r>
    </w:p>
    <w:p w14:paraId="146875FC"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вызове прошу Вашего указания о выдаче мне проездных документов на перевозку по авиалиниям Магнитогорск-Свердловск-Москва, так как это в 5-7 раз сократит время поездки и будет способствовать скорейшему разрешению вопроса.</w:t>
      </w:r>
    </w:p>
    <w:p w14:paraId="068303B7"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принятом Вами решении прошу телеграфно поставить меня в известность по вышеуказанному служебному адресу курсов.</w:t>
      </w:r>
    </w:p>
    <w:p w14:paraId="6B323BAD"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Конструктор</w:t>
      </w:r>
    </w:p>
    <w:p w14:paraId="01283E8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инженер-полковник Осокин</w:t>
      </w:r>
    </w:p>
    <w:p w14:paraId="7FF3A36C"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июля 1942 года.</w:t>
      </w:r>
    </w:p>
    <w:p w14:paraId="40D1530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РФ, фонд 38, опись 11350, дело №1356, стр.4-6 (15623).</w:t>
      </w:r>
    </w:p>
    <w:p w14:paraId="396B3565"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60EC3536"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27 июля 1942 года вышел приказ № 522с НКБ</w:t>
      </w:r>
    </w:p>
    <w:p w14:paraId="60C24A6E"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Для испытания 82 мм мин и 76 мм снарядов организовать при заводе № 613 филиал Уральского полигона с непосредственным подчинением Управлению Полигонов НКБ (5905, 190).</w:t>
      </w:r>
    </w:p>
    <w:p w14:paraId="18AE5ACB" w14:textId="77777777" w:rsidR="00AE7191" w:rsidRPr="00722885" w:rsidRDefault="00AE7191" w:rsidP="00722885">
      <w:pPr>
        <w:pStyle w:val="Iauiue"/>
        <w:tabs>
          <w:tab w:val="left" w:pos="11199"/>
        </w:tabs>
        <w:jc w:val="both"/>
        <w:rPr>
          <w:color w:val="000000" w:themeColor="text1"/>
          <w:sz w:val="16"/>
          <w:szCs w:val="16"/>
        </w:rPr>
      </w:pPr>
    </w:p>
    <w:p w14:paraId="73DDE8B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июля 1942 вышло Постановление ГКО № 2109 О плане военного судостроения на III квартал 1942 г. и поставке для Наркомвоенфлота трального вооружения, спецоборудования и запчастей к механизмам. РГАНИР, Фонд ГКО, д. 48, лл. 51-59, 60-110 (11012).</w:t>
      </w:r>
    </w:p>
    <w:p w14:paraId="2336E0C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B59C94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июля 1942 вышло Постановление ГКО № 2110 О подготовке к выводу из строя объектов нефтяной промышленности Грознефтикомбината. РГАНИР, Фонд ГКО, д. 48, лл. 111 (11012).</w:t>
      </w:r>
    </w:p>
    <w:p w14:paraId="0E8C396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482371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июля 1942 г. вышло постановление ГКО № 2110 о подготовке к выводу из строя объектов комбината (Завод № 420 НК нефти, Грозненский нефтеперерабатывающий завод им. В.И. Ленина, Грозненский нефтекомбинат («Грознефтекомбинат») НКТП), а 11.08.1942 г. - постановление № 2167 об эвакуации ценного оборудования и материалов, а также неполностью загруженных установок с комбината. 13.09.1942 г. вышло постановление ГКО № 2298 о демонтаже грозненских нефтеперерабатывающих заводов. 20.04.1945 г. вышло постановление ГКО № 8231 о восстановлении и капремонте оборудования Грозненских нефтеперерабатывающих заводов.</w:t>
      </w:r>
    </w:p>
    <w:p w14:paraId="0288936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Грозненский НПЗ им. Ленина был в 1931 г., с 31.03.1935 г. вошел в состав треста «Грознефтезаводы». Нефтекомбинат в 06.1937 г. - в ведении НКТП, в 1940 г. - в ведении НК нефти.</w:t>
      </w:r>
    </w:p>
    <w:p w14:paraId="4C8B775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420 и Крекинг-завод объединены в НПЗ им. Ленина.</w:t>
      </w:r>
    </w:p>
    <w:p w14:paraId="1D6D07F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 (1943-45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Федоров.</w:t>
      </w:r>
    </w:p>
    <w:p w14:paraId="7AD664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Зам. начальника (1940-41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Федоров.</w:t>
      </w:r>
    </w:p>
    <w:p w14:paraId="0DE59B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Грозненский газолиновый завод (ГГЗ-1) НКТП, НКНП /Чечено-Ингушская АССР  г. Грозный/</w:t>
      </w:r>
    </w:p>
    <w:p w14:paraId="3C7B5EA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Входил в состав Грознефтекомбината, с 31.03.1935 г. - в состав треста «Грознефтезаводы». В 1936 г. - в ведении НКТП, в 1940 г. - НКНП.</w:t>
      </w:r>
    </w:p>
    <w:p w14:paraId="63EB07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11.1941 г. эвакуирован в Ишимбай.</w:t>
      </w:r>
    </w:p>
    <w:p w14:paraId="4A85197A" w14:textId="77777777" w:rsidR="00AE7191" w:rsidRPr="00722885" w:rsidRDefault="00AE7191" w:rsidP="00722885">
      <w:pPr>
        <w:tabs>
          <w:tab w:val="left" w:pos="333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Грозненский крекинг-завод НК нефти</w:t>
      </w:r>
    </w:p>
    <w:p w14:paraId="6F2F2F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1940 г. завод - в ведении НК нефти.</w:t>
      </w:r>
    </w:p>
    <w:p w14:paraId="00475E60" w14:textId="77777777" w:rsidR="00AE7191" w:rsidRPr="00722885" w:rsidRDefault="00AE7191" w:rsidP="00722885">
      <w:pPr>
        <w:tabs>
          <w:tab w:val="left" w:pos="334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2-й Грозненский крекинг-завод НК нефти</w:t>
      </w:r>
    </w:p>
    <w:p w14:paraId="4CFC2D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26.12.1942 г. вышло постановление ГКО № 2659 о прекращении демонтажа крекинг-установок № 9 и № 10.</w:t>
      </w:r>
    </w:p>
    <w:p w14:paraId="017C33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Трест, Объединение «Грознефтезаводы»</w:t>
      </w:r>
    </w:p>
    <w:p w14:paraId="14C504E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1935-43 г. - трест «Грознефтезаводы», в 1945-46 г. - объединение. С 31.03.1935 г. в его составе - Грозненский НПЗ.</w:t>
      </w:r>
    </w:p>
    <w:p w14:paraId="655A799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17.02.1945 г. вышло распоряжение ГКО № 7545 о материально-техническом обеспечении объединения для усиления буровых работ и улучшения эксплуатации скважин.</w:t>
      </w:r>
    </w:p>
    <w:p w14:paraId="5AF7B9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Управляющий (1941-43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xml:space="preserve">. Федоров. Начальник (1945-46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Федоров (11982).</w:t>
      </w:r>
    </w:p>
    <w:p w14:paraId="6CA1216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C8B64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июля 1942 вышло Постановление ГКО № 2111 О мобилизации молодежи в Краснодарском и Орджоникидзевском краях для производственного обучения в ремесленных, железнодорожных училищах и школах ФЗО. РГАНИР, Фонд ГКО, д. 48, лл. 112 (11012).</w:t>
      </w:r>
    </w:p>
    <w:p w14:paraId="0A96AFB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1E098B0"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27 июля 1942 вышло Постановление ГКО № 2112 Об освобождении железных дорог Северного Кавказа от излишнего парка подвижного состава. (7047, 113-115).</w:t>
      </w:r>
    </w:p>
    <w:p w14:paraId="304E662A" w14:textId="77777777" w:rsidR="00AE7191" w:rsidRPr="00722885" w:rsidRDefault="00AE7191" w:rsidP="00722885">
      <w:pPr>
        <w:pStyle w:val="Iauiue"/>
        <w:tabs>
          <w:tab w:val="left" w:pos="11199"/>
        </w:tabs>
        <w:jc w:val="both"/>
        <w:rPr>
          <w:color w:val="000000" w:themeColor="text1"/>
          <w:sz w:val="16"/>
          <w:szCs w:val="16"/>
        </w:rPr>
      </w:pPr>
    </w:p>
    <w:p w14:paraId="4AB22503"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27 июля 1942 вышло Постановление ГКО № 2113 Об эвакуации оборудования, материалов и сырья из г. Краснодара и Краснодарского края. (7047, 116-117).</w:t>
      </w:r>
    </w:p>
    <w:p w14:paraId="2F42B012" w14:textId="77777777" w:rsidR="00AE7191" w:rsidRPr="00722885" w:rsidRDefault="00AE7191" w:rsidP="00722885">
      <w:pPr>
        <w:pStyle w:val="Iauiue"/>
        <w:tabs>
          <w:tab w:val="left" w:pos="11199"/>
        </w:tabs>
        <w:jc w:val="both"/>
        <w:rPr>
          <w:color w:val="000000" w:themeColor="text1"/>
          <w:sz w:val="16"/>
          <w:szCs w:val="16"/>
        </w:rPr>
      </w:pPr>
    </w:p>
    <w:p w14:paraId="2C695D0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123DCF7" w14:textId="77777777" w:rsidR="00AE7191" w:rsidRPr="00722885" w:rsidRDefault="00AE7191" w:rsidP="00722885">
      <w:pPr>
        <w:pStyle w:val="Iauiue"/>
        <w:jc w:val="both"/>
        <w:rPr>
          <w:iCs/>
          <w:color w:val="000000" w:themeColor="text1"/>
          <w:sz w:val="16"/>
          <w:szCs w:val="16"/>
        </w:rPr>
      </w:pPr>
    </w:p>
    <w:p w14:paraId="37E0EBBD"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июля в 1942 году утреннее сообщение Совинформбюро:</w:t>
      </w:r>
    </w:p>
    <w:p w14:paraId="4AC07CBD"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27 июля наши войска вели бои с противником в районе Воронежа, а также в районах Цымлянская, Новочеркасск, Ростов.</w:t>
      </w:r>
    </w:p>
    <w:p w14:paraId="557E38A6"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665017E9"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продолжались ожесточённые бои. На одном из участков наши танковые части атаковали позиции противника и нанесли ему большие потери. Танковый десант разгромил гитлеровцев, укрепившихся в роще. Комиссар танково-десантной роты тов. Ванкузин под огнём противника первым с группой бойцов ворвался во вражеские окопы. Отважный комиссар застрелил четырёх немецких офицеров и двух солдат. Гитлеровцы, оставив много убитых и раненых, поспешно отступили. Командир танка лейтенант Борщников и сержант-водитель Батов раздавили противотанковое орудие, метким огнём разбили ДЗОТ и уничтожили большую группу солдат и офицеров противника. На другом участке бойцы соединения, которымкомандует тов. Попов, за день уничтожили до 1.000 немецких солдат и офицеров и сбили огнём пехотного оружия 3 самолёта противника.</w:t>
      </w:r>
    </w:p>
    <w:p w14:paraId="29B23D2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Ростова наши войска вели тяжёлые бои на окраине города. Пользуясь численным превосходством, немцы непрерывно атакуют наши части. На одном участке батальон пьяных гитлеровцев густыми цепями пошёл в атаку на наши позиции. Подпустив врага на близкое расстояние, наши бойцы открыли ураганный огонь. Лишь немногим гитлеровцам удалось уйти обратно. На другом участке продолжаетсяк ровопролитный бой с прорвавшимися в глубь нашей обороны войсками противника. За несколько часов на этом участке немцы потеряли 20 танков и более 700 солдат и офицеров.</w:t>
      </w:r>
    </w:p>
    <w:p w14:paraId="35E0F682"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Цымлянской идут упорные бои за переправы. Немцы стремятся одновременно в нескольких местах форсировать реку Дон. Действия наземных войск противника поддерживает авиация. На одном из участков идёт крупный танковый бой, в ходе которого немцы уже потеряли 30 танков. Наши бойцы сковали численно превосходящие силы противника и не дают им продвинуться вперёд. На другом участке наша часть после тяжёлых боёв отошла на новые позиции.</w:t>
      </w:r>
    </w:p>
    <w:p w14:paraId="125D9DF0"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Брянского фронта наши войска вели активные бои. Наша танковая часть заняла высоту, имеющую большое значение. В этом бою танкисты разгромили 10-й моторизованный полк противника и уничтожили 1.250 вражеских солдат и офицеров. Остатки немецкого мотополка — около 300 человек — взяты вплен. Подбито 20 танков противника.</w:t>
      </w:r>
    </w:p>
    <w:p w14:paraId="2C80C952"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черниговских партизан под командованием тов. Ф. разгромил карательную экспедицию гитлеровцев. Партизаны уничтожили 65 оккупантов и захватили военное снаряжение. За последние дни отряд взорвал 5 шоссейных мостов.</w:t>
      </w:r>
    </w:p>
    <w:p w14:paraId="63B80D0D"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Добровольно сдавшийся в плен обер-ефрейтор 73 мотострелкового полка 19 танковой дивизии Ганс О. рассказал: «На Восточный фронт я прибыл в мае 1942 года. До этого я служил в гарнизоне города Бергена в охране лагеря русских военнопленных. Ужасы, которые претерпевают русские военнопленные, трудно описать. Они живут под открытым небом, за колючей проволокой. Сразу же по прибытии пленных в лагерь с них снимают обувь, отбирают все личные вещи. Пленные голодают. Вместо пищи им время от времени выдают мясо павших лошадей. Когда изголодавшиеся люди бросаются за пищей, офицеры безжалостно избивают их. В лагере ежедневно умирает от побоев, голода и болезней 10—15 человек. За малейшие провинности пленных сажают в карцер, откуда живым никто не выходит. Трупы умерших и убитых сбрасывают в яму, вырытую в полукилометре от лагеря. Иногда вместе с мёртвыми зарывают и тяжело больных. Однажды я имел неосторожность дать одному пленному 2 сигареты. За это я был предан военно-полевому суду по обвинению «в нарушении здорового ощущения немецкой расы». После отбытия наказания меня отправили на передовые позиции. При первом удобном случае я сдался в плен».</w:t>
      </w:r>
    </w:p>
    <w:p w14:paraId="26D9A9C1"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патриоты усиливают борьбу против немецких захватчиков. Близ города Руана группа вооружённых крестьян захватила немецкий склад с реквизированным у населения зерном и вывезла оттуда все запасы. На путях станции Ренн произошёл взрыв. Возникшим пожаром уничтожено свыше 250 вагонов, следовавших в Германию.» (14965).</w:t>
      </w:r>
    </w:p>
    <w:p w14:paraId="07521886"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73838420"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июля в 1942 году вечернее сообщение Совинформбюро:</w:t>
      </w:r>
    </w:p>
    <w:p w14:paraId="1770A95A"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27 июля наши войска вели бои в районе Воронежа, а также в районе Цымлянская. После упорных боёв наши войска оставили города Новочеркасск и Ростов.</w:t>
      </w:r>
    </w:p>
    <w:p w14:paraId="581DA08F"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03A57701"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Баренцевом море потоплены подводная лодка и транспорт противника водоизмещением в 10.000 тонн.</w:t>
      </w:r>
    </w:p>
    <w:p w14:paraId="7DD307CC"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26 июля частями нашей авиации на различных участках фронта уничтожено или повреждено 82 немецких танка, 260 автомашин с войсками и грузами, 7 автоцистернс горючим, взорвано 3 склада боеприпасов, подавлен огонь 7 батарей зенитной иполевой артиллерии, рассеяно и частью уничтожено более двух батальонов пехоты противника.</w:t>
      </w:r>
    </w:p>
    <w:p w14:paraId="23DF2448"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продолжали вести упорные бои с немецко-фашистскими войсками. Одна наша часть форсировала реку Дон западнее Воронежа. Другая часть, уничтожив до 1.200 солдат и офицеров противника, переправилась через Дон несколько южнее Воронежа. Сейчас обе эти части ведут активные боевые операции на западном берегу реки. На другом участке наши бойцы заняли важный населённый пункт. Контратаки противника с целью вернуть потерянные позиции успеха не имели.</w:t>
      </w:r>
    </w:p>
    <w:p w14:paraId="427FABB5"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противник стремится переправиться на южный берег Дона.Бои продолжаются с переменным успехом. На одном участке немцам удалось продвинуться вперёд. Стремительным ударом наши пехотинцы и танкисты остановили врага и потеснили его. В этом бою уничтожено 5 немецких танков, 8 орудий и свыше 350 солдат и офицеров противника.</w:t>
      </w:r>
    </w:p>
    <w:p w14:paraId="36EB1885"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происходили бои местного значения и артиллерийская перестрелка. На одном участке немцы предприняли атаку и пытались вернуть потерянный ими накануне пункт. Миномётным и ружейно-пулемётным огнём атака противника была отбита. На поле боя гитлеровцы оставили 150 трупов. При взятии населённого пункта, о чём сообщалось ранее, наши бойцы захватили 9 пулемётов, много винтовок и автоматов, 500 гранат, до 100 тысяч патронов и большой склад боеприпасов.</w:t>
      </w:r>
    </w:p>
    <w:p w14:paraId="74187104"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из отряда тов. Т., действующего в одном из районов Ленинградской области, уничтожила 22 гитлеровца. Другая группа, партизан пустила под откос железнодорожный эшелон противника. В результате крушения разбиты паровоз, несколько платформ с тракторами и погибло до 150 немецко-фашистских оккупантов.</w:t>
      </w:r>
    </w:p>
    <w:p w14:paraId="68B4AA53"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Значительная часть немецких войск в ожесточённых боях перемолота Красной Армией. Немецкое командование лихорадочно перебрасывает из оккупированных стран Европы на советско-германский фронт свежие подкрепления. Установлено, что недавно на фронт прибыли из Ванна и Гавра 305 и 336 дивизии, а вслед за ними из Парижа одна танковая дивизия и другие части.</w:t>
      </w:r>
    </w:p>
    <w:p w14:paraId="75F7265D"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обер-фельдфебеля 305 немецкой пехотной дивизии Конрада Динклера найдено неотправленное письмо к товарищу в Вену. В этом письме говорится: «Мы надеялись ещё долго пробыть в благословенной Франции, а вместо этого попали в ад кромешный. Не знаю, удастся ли вырваться отсюда... Еще в городе Ванн, когда сталоизвестно, что дивизия отправляется на Восток, многие солдаты опустили головы...Среди офицеров возникли горячие споры. Одни доказывали, что безумие вывозить боеспособные части из Франции, когда можно ожидать каждую минуту удара в спину. Другие утверждали, что побеждает тот, кто идёт на риск и опережает своих противников. Кто из них прав, покажет будущее. В настоящее же время для нас настали чёрные дни. Вчера русские ударили во фланг нашему батальону, мы понесли большие потери».</w:t>
      </w:r>
    </w:p>
    <w:p w14:paraId="2587B36D"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насильно угоняют население Латвии на каторжные работы в Германию. За последнее время гитлеровцы вывезли из Рижского, Лудзенского и Резекнеского уездов более 750 мужчин, женщин и подростков. Фашистские мерзавцы сажают в тюрьмы и расстреливают всех, кто уклоняется от поездки в Германию. В сёлах Резекнеского уезда гестаповцы в течение всего лишь нескольких дней расстреляли и повесили более 40 крестьян.</w:t>
      </w:r>
    </w:p>
    <w:p w14:paraId="61FB16F7" w14:textId="77777777" w:rsidR="00001919" w:rsidRPr="00722885" w:rsidRDefault="000019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Железнодорожный эшелон с немецкими войсками, направлявшийся из Франции на советско-германский фронт, потерпел катастрофу недалеко от станции Бохня (Польша). Убиты и ранены сотни немецких солдат. Сообщают, что поезд взорвался на минах, установленных польскими патриотами.» (14965).</w:t>
      </w:r>
    </w:p>
    <w:p w14:paraId="78ACEEAC" w14:textId="77777777" w:rsidR="00001919" w:rsidRPr="00722885" w:rsidRDefault="00001919" w:rsidP="00722885">
      <w:pPr>
        <w:spacing w:after="0" w:line="240" w:lineRule="auto"/>
        <w:jc w:val="both"/>
        <w:rPr>
          <w:rFonts w:ascii="Times New Roman" w:hAnsi="Times New Roman"/>
          <w:color w:val="000000" w:themeColor="text1"/>
          <w:sz w:val="16"/>
          <w:szCs w:val="16"/>
        </w:rPr>
      </w:pPr>
    </w:p>
    <w:p w14:paraId="1D4D40BC"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rPr>
        <w:t>27 июля 1942 8 И-16 под командой И.М.Пилипенко, охраняя переправу через Дон в районе Ростова, вступили в бой с 23 и сбили 6 без потерь. СталГСС</w:t>
      </w:r>
      <w:r w:rsidRPr="00722885">
        <w:rPr>
          <w:color w:val="000000" w:themeColor="text1"/>
          <w:sz w:val="16"/>
          <w:szCs w:val="16"/>
          <w:lang w:val="en-US"/>
        </w:rPr>
        <w:t xml:space="preserve"> (438,851).</w:t>
      </w:r>
    </w:p>
    <w:p w14:paraId="37B936B4" w14:textId="77777777" w:rsidR="00AE7191" w:rsidRPr="00722885" w:rsidRDefault="00AE7191" w:rsidP="00722885">
      <w:pPr>
        <w:pStyle w:val="Iauiue"/>
        <w:jc w:val="both"/>
        <w:rPr>
          <w:color w:val="000000" w:themeColor="text1"/>
          <w:sz w:val="16"/>
          <w:szCs w:val="16"/>
          <w:lang w:val="en-US"/>
        </w:rPr>
      </w:pPr>
    </w:p>
    <w:p w14:paraId="57745907"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July 27, 1942: German troops take Bataysk, and 6.Armee launches an attack to destroy a bridgehead west of Stalingrad at Kalach (3819).</w:t>
      </w:r>
    </w:p>
    <w:p w14:paraId="25883FE1" w14:textId="77777777" w:rsidR="00AE7191" w:rsidRPr="00722885" w:rsidRDefault="00AE7191" w:rsidP="00722885">
      <w:pPr>
        <w:pStyle w:val="Iauiue"/>
        <w:jc w:val="both"/>
        <w:rPr>
          <w:color w:val="000000" w:themeColor="text1"/>
          <w:sz w:val="16"/>
          <w:szCs w:val="16"/>
          <w:lang w:val="en-US"/>
        </w:rPr>
      </w:pPr>
    </w:p>
    <w:p w14:paraId="770768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июля 1942 немцы заняли Батайск и 6А начала наступление для уничтожения плацдармов на запад от Сталинграда у Калача (3819).</w:t>
      </w:r>
    </w:p>
    <w:p w14:paraId="72415842" w14:textId="77777777" w:rsidR="00AE7191" w:rsidRPr="00722885" w:rsidRDefault="00AE7191" w:rsidP="00722885">
      <w:pPr>
        <w:pStyle w:val="Iauiue"/>
        <w:jc w:val="both"/>
        <w:rPr>
          <w:color w:val="000000" w:themeColor="text1"/>
          <w:sz w:val="16"/>
          <w:szCs w:val="16"/>
        </w:rPr>
      </w:pPr>
    </w:p>
    <w:p w14:paraId="4FE3C0C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ночь на 27 июля 1942 в районе Капустина Яра немцы потопили ветерана волжского флота – колесный пароход «Айтодор» 1858 г. постройки и две баржи с боеприпасами. Прогремел страшной силы взрыв, разметавший обломки кораблей по берегам реки, яркий столб пламени осветил безлюдную степь. Погибли шесть членов команды, в т.ч. капитан судна Петр Рузанкин. Днем 27 июля Люфтваффе добились еще одного большого успеха. В это время вверх по Волге двигался большой нефтекараван из восьми нефтеналивных судов. Сначала в районе Сталинграда в ходе бомбардировки были потоплены две баржи. Горящая нефть из их танков хлынула в Волгу, и над рекой поднялось густое облако дыма. В тушении пожара принимал участие легендарный пожарный пароход «Гаситель». Остальные суда продолжали идти вверх по течению и достигли деревни Дубовка, в 25 км севернее Сталинграда когда их вновь атаковали «Хейнкели». В результате были потоплены еще четыре нефтебаржи, в т.ч. «Обь», на борту которой находилось 10 тыс. т керосина. Караван, таким образом, был почти полностью уничтожен. Огромный столб дыма поднялся над приволжскими степями, горящая нефть текла вниз по Волге, и движение судов по реке было сильно затруднено. Все это происходило на глазах у жителей Сталинграда. Пылающая река, тонущие баржи и плавающие среди них матросы – все это вселяло ужас. Вечером того же дня десять Не-111 совершили налет на пристань Владимировка (Ахтубинск). В результате был потоплен один колесный пароход и баржа, а буксир «Орджоникидзе» получил тяжелые повреждения. Критическая ситуация складывалась и в Сталинградском порту. Хотя к концу июля здесь имелись 12 механизированных причалов, 20 плавучих кранов, десятки транспортерных линий и рабочие трудились практически круглосуточно, обрабатывать в срок большинство судов не удавалось. Видя торчащие из воды остовы потопленных барж, матросы нервно курили и постоянно поглядывали на небо, опасаясь новых налетов. Корабли в порту стояли очень скученно и представляли собой отличную мишень. Команды вновь прибывавших судов рассказывали ужасные истории о подрывах на минах, плавающих в воде трупах и бомбежках. На Нижней Волге ситуация складывалась поистине катастрофическая. По ночам в фарватер опускались все новые и новые мины, днем и ночью бомбардировщики из KG27 «Бельке» и KG55 «Грайф» бомбили суда и пристани. Всего с 25 по 31 июля посты ВНОС зафиксировали падение в Волгу 231 мины, сброшенной с немецких самолетов. Между тем Волжская военная флотилия оказалась не готова к борьбе с минной опасностью на реке. Формирование отдельной бригады траления, начатое в июле, затягивалось. Переделка судов происходила наспех, установленные тралы быстро продемонстрировали свою непригодность, а у экипажей отсутствовал какой бы то ни было опыт по борьбе с минными постановками. Команды речных судов также проявили растерянность и панику. Корабли плохо маскировались, нередко допускалась их скученность, да и информация о заминированных участках поступала несвоевременно и не всегда точная. Некоторые «сведения» зачастую основывались на слухах и домыслах. Поэтому взрывы на волжских плесах гремели постоянно, и каждые сутки гибли по четыре-пять кораблей. Но несмотря на чрезвычайно трудные условия, судоходство на Нижней Волге оставалось весьма интенсивным. В пути находились десятки буксиров, пароходов и барже грузами и людьми (11774).</w:t>
      </w:r>
    </w:p>
    <w:p w14:paraId="6F6691C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CF3DEE1"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2BA382D" w14:textId="77777777" w:rsidR="00AE7191" w:rsidRPr="00722885" w:rsidRDefault="00AE7191" w:rsidP="00722885">
      <w:pPr>
        <w:pStyle w:val="Iauiue"/>
        <w:jc w:val="both"/>
        <w:rPr>
          <w:iCs/>
          <w:color w:val="000000" w:themeColor="text1"/>
          <w:sz w:val="16"/>
          <w:szCs w:val="16"/>
        </w:rPr>
      </w:pPr>
    </w:p>
    <w:p w14:paraId="7D09F966"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27 июля в 1942 году первый боевой вылет американского истребителя </w:t>
      </w:r>
      <w:hyperlink r:id="rId40" w:tgtFrame="_blank" w:history="1">
        <w:r w:rsidRPr="00722885">
          <w:rPr>
            <w:rFonts w:ascii="Times New Roman" w:hAnsi="Times New Roman"/>
            <w:color w:val="000000" w:themeColor="text1"/>
            <w:sz w:val="16"/>
            <w:szCs w:val="16"/>
          </w:rPr>
          <w:t xml:space="preserve">«Норт Америкен» «Р-51» «Мустанг» («North American» «P-51» «Mustang»). </w:t>
        </w:r>
      </w:hyperlink>
      <w:r w:rsidRPr="00722885">
        <w:rPr>
          <w:rFonts w:ascii="Times New Roman" w:hAnsi="Times New Roman"/>
          <w:color w:val="000000" w:themeColor="text1"/>
          <w:sz w:val="16"/>
          <w:szCs w:val="16"/>
        </w:rPr>
        <w:t>Рейхсмаршалу Герману Герингу приписывают такие слова: «Когда я увидел над Берлином бомбардировщики, сопровождаемые истребителями («Мустангами»), я понял, что дело плохо» (4 марта 1944 года). История истребителя «Р-51» «Мустанг» началась в 1940 году. Британская закупочная комиссия («Britsh Purchasing Commision», «BPC») вела переговоры с фирмой «Норт Америкэн Авиэйшен» («NAA») о лицензионном производстве истребителей «Р-40» для ВВС Великобритании (RAF). Но представители «NAA» предложили ВРС создать новый истребитель по собственному проекту фирмы. До этого «Норт Америкэн» строила только учебные самолёты. и ВРС с большой неохотой согласились рассмотреть их предложение. В январе 1940 года «Датч» Киндельбергер и Ли Этвуд, президент и вице-президент «Норт Америкэн», предложили построить для RAF 320 истребителей, получивших фирменное обозначение «NA-73». Самолёт должен был быть оснащён мотором фирмы «Аллисон», стоить не более 40 000 долларов за штуку и иметь вооружение в соответствии с требованиями британцев. Это предложение было принято ВРС 10 апреля 1940 года - дата, которую принято считать началом истории «Мустанга». 27 июля 1942 года, над Дьеппом (Dieppe) «Мустанг» был атакован парой «FW-190» и сбит. «Мустангом» управлял американский пилот-доброволец Холлис Хиллис (Hollis S. Hillis) из 414 эскадрона Канадских Королевских ВВС (14965).</w:t>
      </w:r>
    </w:p>
    <w:p w14:paraId="02B1C335" w14:textId="77777777" w:rsidR="00E13488" w:rsidRPr="00722885" w:rsidRDefault="00E13488" w:rsidP="00722885">
      <w:pPr>
        <w:spacing w:after="0" w:line="240" w:lineRule="auto"/>
        <w:jc w:val="both"/>
        <w:rPr>
          <w:rFonts w:ascii="Times New Roman" w:hAnsi="Times New Roman"/>
          <w:color w:val="000000" w:themeColor="text1"/>
          <w:sz w:val="16"/>
          <w:szCs w:val="16"/>
        </w:rPr>
      </w:pPr>
    </w:p>
    <w:p w14:paraId="789A732F"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27 июля 1942 на Трафальгарской площади состоялась 60-тысячная демонстрация с требованием открыть второй фронт в Европе для помощи Советскому Союзу (4962).</w:t>
      </w:r>
    </w:p>
    <w:p w14:paraId="5841D55A" w14:textId="77777777" w:rsidR="00AE7191" w:rsidRPr="00722885" w:rsidRDefault="00AE7191" w:rsidP="00722885">
      <w:pPr>
        <w:pStyle w:val="Iauiue"/>
        <w:tabs>
          <w:tab w:val="left" w:pos="11199"/>
        </w:tabs>
        <w:jc w:val="both"/>
        <w:rPr>
          <w:color w:val="000000" w:themeColor="text1"/>
          <w:sz w:val="16"/>
          <w:szCs w:val="16"/>
        </w:rPr>
      </w:pPr>
    </w:p>
    <w:p w14:paraId="70A2B13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июля 1942 в Лондоне на Трафальгарской площади был митинг, на котором 60 тыс, человек требовали немедленного открытия второго фронта (3907,236).</w:t>
      </w:r>
    </w:p>
    <w:p w14:paraId="2C765F4E" w14:textId="77777777" w:rsidR="00AE7191" w:rsidRPr="00722885" w:rsidRDefault="00AE7191" w:rsidP="00722885">
      <w:pPr>
        <w:pStyle w:val="Iauiue"/>
        <w:jc w:val="both"/>
        <w:rPr>
          <w:color w:val="000000" w:themeColor="text1"/>
          <w:sz w:val="16"/>
          <w:szCs w:val="16"/>
        </w:rPr>
      </w:pPr>
    </w:p>
    <w:p w14:paraId="54330DC6"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июля в 1942 году заканчивается 17-дневная битва при Эль Аламейне (El Alamein). Британия предотвращает немецкое и итальянское наступление на Египет (14965).</w:t>
      </w:r>
    </w:p>
    <w:p w14:paraId="45A447FC" w14:textId="77777777" w:rsidR="00E13488" w:rsidRPr="00722885" w:rsidRDefault="00E13488" w:rsidP="00722885">
      <w:pPr>
        <w:spacing w:after="0" w:line="240" w:lineRule="auto"/>
        <w:jc w:val="both"/>
        <w:rPr>
          <w:rFonts w:ascii="Times New Roman" w:hAnsi="Times New Roman"/>
          <w:color w:val="000000" w:themeColor="text1"/>
          <w:sz w:val="16"/>
          <w:szCs w:val="16"/>
        </w:rPr>
      </w:pPr>
    </w:p>
    <w:p w14:paraId="4A6A6D55"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июля в 1942 году английский комитет начальников штабов издал директиву, предусматривающую высадку морского десанта в районе Дьеппа (14965).</w:t>
      </w:r>
    </w:p>
    <w:p w14:paraId="6FF12719" w14:textId="77777777" w:rsidR="00E13488" w:rsidRPr="00722885" w:rsidRDefault="00E13488" w:rsidP="00722885">
      <w:pPr>
        <w:spacing w:after="0" w:line="240" w:lineRule="auto"/>
        <w:jc w:val="both"/>
        <w:rPr>
          <w:rFonts w:ascii="Times New Roman" w:hAnsi="Times New Roman"/>
          <w:color w:val="000000" w:themeColor="text1"/>
          <w:sz w:val="16"/>
          <w:szCs w:val="16"/>
        </w:rPr>
      </w:pPr>
    </w:p>
    <w:p w14:paraId="1175E664"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27 июля 1942 в США введены ограничения на торговлю сладостями (4962).</w:t>
      </w:r>
    </w:p>
    <w:p w14:paraId="73144AFD" w14:textId="77777777" w:rsidR="00AE7191" w:rsidRPr="00722885" w:rsidRDefault="00AE7191" w:rsidP="00722885">
      <w:pPr>
        <w:pStyle w:val="Iauiue"/>
        <w:tabs>
          <w:tab w:val="left" w:pos="11199"/>
        </w:tabs>
        <w:jc w:val="both"/>
        <w:rPr>
          <w:color w:val="000000" w:themeColor="text1"/>
          <w:sz w:val="16"/>
          <w:szCs w:val="16"/>
        </w:rPr>
      </w:pPr>
    </w:p>
    <w:p w14:paraId="6C8DC2BE"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574F687" w14:textId="77777777" w:rsidR="00AE7191" w:rsidRPr="00722885" w:rsidRDefault="00AE7191" w:rsidP="00722885">
      <w:pPr>
        <w:pStyle w:val="Iauiue"/>
        <w:jc w:val="both"/>
        <w:rPr>
          <w:iCs/>
          <w:color w:val="000000" w:themeColor="text1"/>
          <w:sz w:val="16"/>
          <w:szCs w:val="16"/>
        </w:rPr>
      </w:pPr>
    </w:p>
    <w:p w14:paraId="432244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июля 1942 вышел отчет по гос. испытаниям самолета Ил-2 с АМ-38 в одноместном варианте, N 30341 завода 30 конструкции С.В.И.:</w:t>
      </w:r>
    </w:p>
    <w:p w14:paraId="149C6A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Экипаж - 1</w:t>
      </w:r>
    </w:p>
    <w:p w14:paraId="4FAD7E8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Взл. мощность - 1600 нр</w:t>
      </w:r>
    </w:p>
    <w:p w14:paraId="4DDC8B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Ном. мощность на высоте - 1500/1650</w:t>
      </w:r>
    </w:p>
    <w:p w14:paraId="20E010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Вес пустого - 4348</w:t>
      </w:r>
    </w:p>
    <w:p w14:paraId="4EF732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Полетный (норм./перегр.) - 5750/6950</w:t>
      </w:r>
    </w:p>
    <w:p w14:paraId="7C5D7F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Пл. крыла - 38.5</w:t>
      </w:r>
    </w:p>
    <w:p w14:paraId="2A01D7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 скорость</w:t>
      </w:r>
    </w:p>
    <w:p w14:paraId="23C592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у земли - 382</w:t>
      </w:r>
    </w:p>
    <w:p w14:paraId="6D9A34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на 2350 - 412</w:t>
      </w:r>
    </w:p>
    <w:p w14:paraId="4FD7FBB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Посадочная скорость - 134</w:t>
      </w:r>
    </w:p>
    <w:p w14:paraId="2BDFDE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Время подъема на 4000 0:11.1</w:t>
      </w:r>
    </w:p>
    <w:p w14:paraId="4658E1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Практ. потолок - 6000</w:t>
      </w:r>
    </w:p>
    <w:p w14:paraId="5ACD7CE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Запас горючего - 535</w:t>
      </w:r>
    </w:p>
    <w:p w14:paraId="183D5D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Дальность на 0.9 макс. на 200 м - 620</w:t>
      </w:r>
    </w:p>
    <w:p w14:paraId="05265E0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Разбег - 430</w:t>
      </w:r>
    </w:p>
    <w:p w14:paraId="2BF160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Пробег - 425</w:t>
      </w:r>
    </w:p>
    <w:p w14:paraId="661865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старта до 25 м - 1125</w:t>
      </w:r>
    </w:p>
    <w:p w14:paraId="50FCFC4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Винт - ВИШ-22Т</w:t>
      </w:r>
    </w:p>
    <w:p w14:paraId="146848F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w:t>
      </w:r>
    </w:p>
    <w:p w14:paraId="7FC476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вперед - 2ШВАК с 500, 2ШКАС с 1500</w:t>
      </w:r>
    </w:p>
    <w:p w14:paraId="2EFCA1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 норм. - 400</w:t>
      </w:r>
    </w:p>
    <w:p w14:paraId="2CBC3C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 в перегруз - 600</w:t>
      </w:r>
    </w:p>
    <w:p w14:paraId="4C57C8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8РС-82 (1785).</w:t>
      </w:r>
    </w:p>
    <w:p w14:paraId="5EB3251F" w14:textId="77777777" w:rsidR="00AE7191" w:rsidRPr="00722885" w:rsidRDefault="00AE7191" w:rsidP="00722885">
      <w:pPr>
        <w:pStyle w:val="Iauiue"/>
        <w:jc w:val="both"/>
        <w:rPr>
          <w:color w:val="000000" w:themeColor="text1"/>
          <w:sz w:val="16"/>
          <w:szCs w:val="16"/>
        </w:rPr>
      </w:pPr>
    </w:p>
    <w:p w14:paraId="19A3FB91" w14:textId="77777777" w:rsidR="000C324B" w:rsidRPr="00722885" w:rsidRDefault="000C324B" w:rsidP="00722885">
      <w:pPr>
        <w:spacing w:after="0" w:line="240" w:lineRule="auto"/>
        <w:jc w:val="both"/>
        <w:rPr>
          <w:rStyle w:val="Bodytext2NotItalic"/>
          <w:rFonts w:eastAsia="Calibri"/>
          <w:i w:val="0"/>
          <w:color w:val="000000" w:themeColor="text1"/>
          <w:sz w:val="16"/>
          <w:szCs w:val="16"/>
        </w:rPr>
      </w:pPr>
      <w:r w:rsidRPr="00722885">
        <w:rPr>
          <w:rStyle w:val="Bodytext2NotItalic"/>
          <w:rFonts w:eastAsia="Calibri"/>
          <w:i w:val="0"/>
          <w:color w:val="000000" w:themeColor="text1"/>
          <w:sz w:val="16"/>
          <w:szCs w:val="16"/>
        </w:rPr>
        <w:t>28 июля 1942 года в адрес руководства ГАБТУ КА было направлено письмо за подписями Волкова и Ярцева:</w:t>
      </w:r>
    </w:p>
    <w:p w14:paraId="42F6B355"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в целях повышения бронепробиваемости немец</w:t>
      </w:r>
      <w:r w:rsidRPr="00722885">
        <w:rPr>
          <w:rFonts w:ascii="Times New Roman" w:hAnsi="Times New Roman"/>
          <w:color w:val="000000" w:themeColor="text1"/>
          <w:sz w:val="16"/>
          <w:szCs w:val="16"/>
        </w:rPr>
        <w:softHyphen/>
        <w:t>ких танков и бронемашин, по требованию командования Военно-воздуш</w:t>
      </w:r>
      <w:r w:rsidRPr="00722885">
        <w:rPr>
          <w:rFonts w:ascii="Times New Roman" w:hAnsi="Times New Roman"/>
          <w:color w:val="000000" w:themeColor="text1"/>
          <w:sz w:val="16"/>
          <w:szCs w:val="16"/>
        </w:rPr>
        <w:softHyphen/>
        <w:t>ных сил Красной Армии, нами разработана пушка «ВЯ» под 23-мм гильзу с нарезной частью канала ствола под штатную пулю калибра 14,5 мм, бронепробиваемостъ которой должна быть до 90 мм (благодаря большей начальной скорости пули).</w:t>
      </w:r>
    </w:p>
    <w:p w14:paraId="0D4A8C90"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Пушка ВЯ калибра 23 мм состоит на вооружении ВВС КЛ и изготов</w:t>
      </w:r>
      <w:r w:rsidRPr="00722885">
        <w:rPr>
          <w:rFonts w:ascii="Times New Roman" w:hAnsi="Times New Roman"/>
          <w:color w:val="000000" w:themeColor="text1"/>
          <w:sz w:val="16"/>
          <w:szCs w:val="16"/>
        </w:rPr>
        <w:softHyphen/>
        <w:t>ляется на заводах НКВ.</w:t>
      </w:r>
    </w:p>
    <w:p w14:paraId="7FFF2B21"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переходом на калибр 14,5 мм в пушке «ВЯ» калибра 23 мм меняется ствол и приемник, причем данные изменения можно ввести в детали на соответствующих переходах, что легко осуществить в развернутом про</w:t>
      </w:r>
      <w:r w:rsidRPr="00722885">
        <w:rPr>
          <w:rFonts w:ascii="Times New Roman" w:hAnsi="Times New Roman"/>
          <w:color w:val="000000" w:themeColor="text1"/>
          <w:sz w:val="16"/>
          <w:szCs w:val="16"/>
        </w:rPr>
        <w:softHyphen/>
        <w:t>изводстве.</w:t>
      </w:r>
    </w:p>
    <w:p w14:paraId="7B268161"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основании вышеизложенного считаем целесообразным установить в танк пушку «ВЯ» калибра 14,5 мм. По нашим предположениям, пушка «ВЯ» калибра 14,5мм может быть установлена в легкий танк.</w:t>
      </w:r>
    </w:p>
    <w:p w14:paraId="0F3E51C4"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Просим Вашего разрешения на опытную установку в танк пушки «ВЯ» калибра 14,5мм на одном из заводов танковой промышленности».</w:t>
      </w:r>
    </w:p>
    <w:p w14:paraId="64D3727D"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Данная инициатива так и не была воплощена в жизнь (17485).</w:t>
      </w:r>
    </w:p>
    <w:p w14:paraId="1EDC1EA5" w14:textId="77777777" w:rsidR="000C324B" w:rsidRPr="00722885" w:rsidRDefault="000C324B" w:rsidP="00722885">
      <w:pPr>
        <w:spacing w:after="0" w:line="240" w:lineRule="auto"/>
        <w:jc w:val="both"/>
        <w:rPr>
          <w:rFonts w:ascii="Times New Roman" w:hAnsi="Times New Roman"/>
          <w:color w:val="000000" w:themeColor="text1"/>
          <w:sz w:val="16"/>
          <w:szCs w:val="16"/>
        </w:rPr>
      </w:pPr>
    </w:p>
    <w:p w14:paraId="7D9075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Незваль писал, «до сих пор не начались нормальные испытания ТБ-7 с М-82. Наблюдается тряска моторов, не достает охлаждения головок цилиндров. И, в то же время, нет возможности оперативно решать вопросы. Деталь, изготовляемая за 2-3 часа, по вине серийного завода, требует несколько дней». В августе, наконец, начались летные испытания, но их пришлось вскоре прекратить по причине сильной вибрации моторов. «...ЦАГИ реальной помощи по устранению вибраций не оказывает».</w:t>
      </w:r>
    </w:p>
    <w:p w14:paraId="2A01865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все же, в своих воспоминаниях Незваль утверждает, что после успешных испытаний на дальность поздней осенью Пе-8 с М-82, этот вариант был одобрен и запущен в производство. В итоге, по словам Незваля, до конца года было выпущено два Пе-8 с М-82, три с М-30 и пятнадцать с АМ-35, что несколько противоречит официальным документам (12049).</w:t>
      </w:r>
    </w:p>
    <w:p w14:paraId="178A7CD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6888E92"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28 с июля 1942 г. башенную» ВУБ-1 (Б-270) под прозрачным колпаком с расширенным по сравнению с ФТ полем обстрела. Пулемет БТ-12,7 поворачивался влево на 110°, вправо на 88° и вверх на 55° стали ставить и в Иркутске на заводе № 39 (22828).</w:t>
      </w:r>
    </w:p>
    <w:p w14:paraId="4FD26927" w14:textId="77777777" w:rsidR="002E06F9" w:rsidRPr="00722885" w:rsidRDefault="002E06F9" w:rsidP="00722885">
      <w:pPr>
        <w:spacing w:after="0" w:line="240" w:lineRule="auto"/>
        <w:jc w:val="both"/>
        <w:rPr>
          <w:rFonts w:ascii="Times New Roman" w:hAnsi="Times New Roman"/>
          <w:color w:val="0070C0"/>
          <w:sz w:val="16"/>
          <w:szCs w:val="16"/>
        </w:rPr>
      </w:pPr>
    </w:p>
    <w:p w14:paraId="36E2F1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28 июля 1942 на гос. испытания поступил ПС-84 2М-62ИР серии 36 № 1843603 - военный впариант самолета, доработанный в соответствии с замечаниями НИИ ВВС, которые были отражены в Акте по результатам гос. испытаний ПС-84К(И) в 1940. Ви и-п/. В.М.Кокорин. Летал экипаж л В.В.Лисицына и ш ст.л А.И.Старых (3404, 8).</w:t>
      </w:r>
    </w:p>
    <w:p w14:paraId="3B59C50E" w14:textId="77777777" w:rsidR="00AE7191" w:rsidRPr="00722885" w:rsidRDefault="00AE7191" w:rsidP="00722885">
      <w:pPr>
        <w:pStyle w:val="Iauiue"/>
        <w:jc w:val="both"/>
        <w:rPr>
          <w:color w:val="000000" w:themeColor="text1"/>
          <w:sz w:val="16"/>
          <w:szCs w:val="16"/>
        </w:rPr>
      </w:pPr>
    </w:p>
    <w:p w14:paraId="7DE9763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была предпринята следу</w:t>
      </w:r>
      <w:r w:rsidRPr="00722885">
        <w:rPr>
          <w:rFonts w:ascii="Times New Roman" w:hAnsi="Times New Roman"/>
          <w:color w:val="000000" w:themeColor="text1"/>
          <w:sz w:val="16"/>
          <w:szCs w:val="16"/>
        </w:rPr>
        <w:softHyphen/>
        <w:t>ющая попытка 50 часовых испытаний М-82Ф и на этот раз удалось снять высотную характеристику. На взлет</w:t>
      </w:r>
      <w:r w:rsidRPr="00722885">
        <w:rPr>
          <w:rFonts w:ascii="Times New Roman" w:hAnsi="Times New Roman"/>
          <w:color w:val="000000" w:themeColor="text1"/>
          <w:sz w:val="16"/>
          <w:szCs w:val="16"/>
        </w:rPr>
        <w:softHyphen/>
        <w:t>ном режиме при п=2500 об/мин (вме</w:t>
      </w:r>
      <w:r w:rsidRPr="00722885">
        <w:rPr>
          <w:rFonts w:ascii="Times New Roman" w:hAnsi="Times New Roman"/>
          <w:color w:val="000000" w:themeColor="text1"/>
          <w:sz w:val="16"/>
          <w:szCs w:val="16"/>
        </w:rPr>
        <w:softHyphen/>
        <w:t>сто 2400) и Рк=1200 мм (вместо 950 мм) мотор показал мощность 1855 л.с., но при постановке его на длительное испытание прогорел поршень цилин</w:t>
      </w:r>
      <w:r w:rsidRPr="00722885">
        <w:rPr>
          <w:rFonts w:ascii="Times New Roman" w:hAnsi="Times New Roman"/>
          <w:color w:val="000000" w:themeColor="text1"/>
          <w:sz w:val="16"/>
          <w:szCs w:val="16"/>
        </w:rPr>
        <w:softHyphen/>
        <w:t>дра №12. Еще через месяц - 28 ав</w:t>
      </w:r>
      <w:r w:rsidRPr="00722885">
        <w:rPr>
          <w:rFonts w:ascii="Times New Roman" w:hAnsi="Times New Roman"/>
          <w:color w:val="000000" w:themeColor="text1"/>
          <w:sz w:val="16"/>
          <w:szCs w:val="16"/>
        </w:rPr>
        <w:softHyphen/>
        <w:t>густа началось 50-часовое испытание следующего М-82Ф с усиленными вых</w:t>
      </w:r>
      <w:r w:rsidRPr="00722885">
        <w:rPr>
          <w:rFonts w:ascii="Times New Roman" w:hAnsi="Times New Roman"/>
          <w:color w:val="000000" w:themeColor="text1"/>
          <w:sz w:val="16"/>
          <w:szCs w:val="16"/>
        </w:rPr>
        <w:softHyphen/>
        <w:t>лопными клапанами, на этот раз мо</w:t>
      </w:r>
      <w:r w:rsidRPr="00722885">
        <w:rPr>
          <w:rFonts w:ascii="Times New Roman" w:hAnsi="Times New Roman"/>
          <w:color w:val="000000" w:themeColor="text1"/>
          <w:sz w:val="16"/>
          <w:szCs w:val="16"/>
        </w:rPr>
        <w:softHyphen/>
        <w:t>тор нормально наработал 43 ч 30 мин, после чего вышли из строя детали нагнетателя (10705).</w:t>
      </w:r>
    </w:p>
    <w:p w14:paraId="0068E47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31069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28 июля 1942 года вышел приказ НКАП № 565-с во исполнение постановления ГОКО № 2107 от 26 июля 1942 года, в соответствии с которыми в октябре 1942 года </w:t>
      </w:r>
      <w:r w:rsidRPr="00722885">
        <w:rPr>
          <w:color w:val="000000" w:themeColor="text1"/>
          <w:sz w:val="16"/>
          <w:szCs w:val="16"/>
        </w:rPr>
        <w:lastRenderedPageBreak/>
        <w:t>на основании на базе местного сырья (известняка) был основан завод № 57.</w:t>
      </w:r>
    </w:p>
    <w:p w14:paraId="379A81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Расположен завод в черте Куйбышева.</w:t>
      </w:r>
    </w:p>
    <w:p w14:paraId="3D79E1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Директор – Травников</w:t>
      </w:r>
    </w:p>
    <w:p w14:paraId="07DD86E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588D60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Производственный профиль – основная продукция карбид кальция</w:t>
      </w:r>
    </w:p>
    <w:p w14:paraId="42BBEFC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Строительство его было начато в августе 1942 года, введен в эксплуатацию 2 октября 1942 года для выпуска карбида кальция (9836).</w:t>
      </w:r>
    </w:p>
    <w:p w14:paraId="3EE9B679" w14:textId="77777777" w:rsidR="00AE7191" w:rsidRPr="00722885" w:rsidRDefault="00AE7191" w:rsidP="00722885">
      <w:pPr>
        <w:pStyle w:val="Iauiue"/>
        <w:jc w:val="both"/>
        <w:rPr>
          <w:color w:val="000000" w:themeColor="text1"/>
          <w:sz w:val="16"/>
          <w:szCs w:val="16"/>
        </w:rPr>
      </w:pPr>
    </w:p>
    <w:p w14:paraId="270A27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вышло Постановление ГКО № 2116 О мерах по улучшению руководства куйбышевскими авиационными заводами. РГАНИР, Фонд ГКО, д. 48, лл. 120-120об (11012).</w:t>
      </w:r>
    </w:p>
    <w:p w14:paraId="4B94C15F" w14:textId="77777777" w:rsidR="00B52727" w:rsidRPr="00722885" w:rsidRDefault="00B52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вышло Постановление ГКО № 2116 О мерах по улучшению руководства куйбышевскими авиационными заводами</w:t>
      </w:r>
    </w:p>
    <w:p w14:paraId="24CB4842" w14:textId="77777777" w:rsidR="00B52727" w:rsidRPr="00722885" w:rsidRDefault="00B52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усиления руководства куйбышевскими авиационными заводами, Государственный Комитет Обороны постановляет:</w:t>
      </w:r>
    </w:p>
    <w:p w14:paraId="259FD14A" w14:textId="77777777" w:rsidR="00B52727" w:rsidRPr="00722885" w:rsidRDefault="00B52727" w:rsidP="00722885">
      <w:pPr>
        <w:tabs>
          <w:tab w:val="left" w:pos="111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Возложить на первого заместителя наркома авиационной промышленности тов.Дементьева непосредственную ответственность за работу всех куйбышевских авиационных заводов, подчинив ему ныне существующее в г.Куйбышеве Управление куйбышевскими авиа</w:t>
      </w:r>
      <w:r w:rsidRPr="00722885">
        <w:rPr>
          <w:rFonts w:ascii="Times New Roman" w:hAnsi="Times New Roman"/>
          <w:color w:val="000000" w:themeColor="text1"/>
          <w:sz w:val="16"/>
          <w:szCs w:val="16"/>
        </w:rPr>
        <w:softHyphen/>
        <w:t>ционными эаводами и обяэав его находиться в Куйбышеве не менее 10 дней в месяц.</w:t>
      </w:r>
    </w:p>
    <w:p w14:paraId="7F2CB808" w14:textId="77777777" w:rsidR="00B52727" w:rsidRPr="00722885" w:rsidRDefault="00B52727" w:rsidP="00722885">
      <w:pPr>
        <w:tabs>
          <w:tab w:val="left" w:pos="110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тов.Дементьева при разрешении вопросов по куй</w:t>
      </w:r>
      <w:r w:rsidRPr="00722885">
        <w:rPr>
          <w:rFonts w:ascii="Times New Roman" w:hAnsi="Times New Roman"/>
          <w:color w:val="000000" w:themeColor="text1"/>
          <w:sz w:val="16"/>
          <w:szCs w:val="16"/>
        </w:rPr>
        <w:softHyphen/>
        <w:t>бышевским авиационным заводам всемерно использовать аппарат главных управлений НКАП.</w:t>
      </w:r>
    </w:p>
    <w:p w14:paraId="719CF4ED" w14:textId="77777777" w:rsidR="00B52727" w:rsidRPr="00722885" w:rsidRDefault="00B52727" w:rsidP="00722885">
      <w:pPr>
        <w:tabs>
          <w:tab w:val="left" w:pos="108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Установить, что куйбышевские заводы остаются подотчет</w:t>
      </w:r>
      <w:r w:rsidRPr="00722885">
        <w:rPr>
          <w:rFonts w:ascii="Times New Roman" w:hAnsi="Times New Roman"/>
          <w:color w:val="000000" w:themeColor="text1"/>
          <w:sz w:val="16"/>
          <w:szCs w:val="16"/>
        </w:rPr>
        <w:softHyphen/>
        <w:t>ными соответствующим главным управлениям, а главные управления ответственными за работу куйбышевских" заводов.</w:t>
      </w:r>
    </w:p>
    <w:p w14:paraId="2D6D2933" w14:textId="77777777" w:rsidR="00B52727" w:rsidRPr="00722885" w:rsidRDefault="00B52727" w:rsidP="00722885">
      <w:pPr>
        <w:tabs>
          <w:tab w:val="left" w:pos="110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Возложить на управление куйбышевскими авиационными заводами выполнение следующих задач:</w:t>
      </w:r>
    </w:p>
    <w:p w14:paraId="4FD2622B" w14:textId="77777777" w:rsidR="00B52727" w:rsidRPr="00722885" w:rsidRDefault="00B52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контроль и обеспечение выполнения заводами производствен</w:t>
      </w:r>
      <w:r w:rsidRPr="00722885">
        <w:rPr>
          <w:rFonts w:ascii="Times New Roman" w:hAnsi="Times New Roman"/>
          <w:color w:val="000000" w:themeColor="text1"/>
          <w:sz w:val="16"/>
          <w:szCs w:val="16"/>
        </w:rPr>
        <w:softHyphen/>
        <w:t>ной программы;</w:t>
      </w:r>
    </w:p>
    <w:p w14:paraId="550CE0E3" w14:textId="77777777" w:rsidR="00B52727" w:rsidRPr="00722885" w:rsidRDefault="00B52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выявление и полное использование мощностей заводов, осуще</w:t>
      </w:r>
      <w:r w:rsidRPr="00722885">
        <w:rPr>
          <w:rFonts w:ascii="Times New Roman" w:hAnsi="Times New Roman"/>
          <w:color w:val="000000" w:themeColor="text1"/>
          <w:sz w:val="16"/>
          <w:szCs w:val="16"/>
        </w:rPr>
        <w:softHyphen/>
        <w:t>ствление межзаводской и внешней кооперации, контроль за соблю</w:t>
      </w:r>
      <w:r w:rsidRPr="00722885">
        <w:rPr>
          <w:rFonts w:ascii="Times New Roman" w:hAnsi="Times New Roman"/>
          <w:color w:val="000000" w:themeColor="text1"/>
          <w:sz w:val="16"/>
          <w:szCs w:val="16"/>
        </w:rPr>
        <w:softHyphen/>
        <w:t>дением технологической дисциплины и обеспечение качества выпус</w:t>
      </w:r>
      <w:r w:rsidRPr="00722885">
        <w:rPr>
          <w:rFonts w:ascii="Times New Roman" w:hAnsi="Times New Roman"/>
          <w:color w:val="000000" w:themeColor="text1"/>
          <w:sz w:val="16"/>
          <w:szCs w:val="16"/>
        </w:rPr>
        <w:softHyphen/>
        <w:t>каемой продукции;</w:t>
      </w:r>
    </w:p>
    <w:p w14:paraId="6A1C596D" w14:textId="77777777" w:rsidR="00B52727" w:rsidRPr="00722885" w:rsidRDefault="00B52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контроль за капитальным строительством, реализацией заво</w:t>
      </w:r>
      <w:r w:rsidRPr="00722885">
        <w:rPr>
          <w:rFonts w:ascii="Times New Roman" w:hAnsi="Times New Roman"/>
          <w:color w:val="000000" w:themeColor="text1"/>
          <w:sz w:val="16"/>
          <w:szCs w:val="16"/>
        </w:rPr>
        <w:softHyphen/>
        <w:t>дами фондов на материалы, сырье и создание дополнительных баз снабжения;</w:t>
      </w:r>
    </w:p>
    <w:p w14:paraId="5C9F9931" w14:textId="77777777" w:rsidR="00B52727" w:rsidRPr="00722885" w:rsidRDefault="00B52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комплектование рабочей силой, подготовка кадров,контроль за производственной дисциплиной, социально-бытовое и санитарно- медицинское обслуживание рабочих.</w:t>
      </w:r>
    </w:p>
    <w:p w14:paraId="71C4CA89" w14:textId="77777777" w:rsidR="00B52727" w:rsidRPr="00722885" w:rsidRDefault="00B52727" w:rsidP="00722885">
      <w:pPr>
        <w:tabs>
          <w:tab w:val="left" w:pos="110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Обязать Управление куйбышевскими авиационными заводами НКАП и т.Дементьева:</w:t>
      </w:r>
    </w:p>
    <w:p w14:paraId="259ACC87" w14:textId="77777777" w:rsidR="00B52727" w:rsidRPr="00722885" w:rsidRDefault="00B52727" w:rsidP="00722885">
      <w:pPr>
        <w:tabs>
          <w:tab w:val="left" w:pos="111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уже в августе месяце добиться коренного улучшения в деле полного использования оборудования на заводах №№ </w:t>
      </w:r>
      <w:r w:rsidRPr="00722885">
        <w:rPr>
          <w:rStyle w:val="0pt"/>
          <w:rFonts w:ascii="Times New Roman" w:hAnsi="Times New Roman" w:cs="Times New Roman"/>
          <w:color w:val="000000" w:themeColor="text1"/>
          <w:spacing w:val="0"/>
          <w:sz w:val="16"/>
          <w:szCs w:val="16"/>
        </w:rPr>
        <w:t>1,18, 24 и 35;</w:t>
      </w:r>
    </w:p>
    <w:p w14:paraId="3EA51A1B" w14:textId="77777777" w:rsidR="00B52727" w:rsidRPr="00722885" w:rsidRDefault="00B52727" w:rsidP="00722885">
      <w:pPr>
        <w:tabs>
          <w:tab w:val="left" w:pos="111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организовать внутреннюю кооперацию между всеми куйбы</w:t>
      </w:r>
      <w:r w:rsidRPr="00722885">
        <w:rPr>
          <w:rFonts w:ascii="Times New Roman" w:hAnsi="Times New Roman"/>
          <w:color w:val="000000" w:themeColor="text1"/>
          <w:sz w:val="16"/>
          <w:szCs w:val="16"/>
        </w:rPr>
        <w:softHyphen/>
        <w:t>шевскими авиазаводами.</w:t>
      </w:r>
    </w:p>
    <w:p w14:paraId="5EE74716" w14:textId="77777777" w:rsidR="00B52727" w:rsidRPr="00722885" w:rsidRDefault="00B52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Обяэать Наркомавиапром т.Шахурина и т.Дементьева в 5-дневный срок укомплектовать аппарат управления квалифицированными работниками, командировав немедленно в г.Куйбышев 15 человек ответственных работников наркомата, в том числе: т.Фофонова-вам.главного инженера 3 главного управления,т.Крюч</w:t>
      </w:r>
      <w:r w:rsidRPr="00722885">
        <w:rPr>
          <w:rFonts w:ascii="Times New Roman" w:hAnsi="Times New Roman"/>
          <w:color w:val="000000" w:themeColor="text1"/>
          <w:sz w:val="16"/>
          <w:szCs w:val="16"/>
        </w:rPr>
        <w:softHyphen/>
        <w:t>кова- начальника группы мощностей НКАП, т.Карпова-быв.директора т.Беднякова-начальника отдела транспортного управления НКАП, т.Зорина-эам.начальника 1 главка.</w:t>
      </w:r>
    </w:p>
    <w:p w14:paraId="153E8260" w14:textId="77777777" w:rsidR="00B52727" w:rsidRPr="00722885" w:rsidRDefault="00B52727" w:rsidP="00722885">
      <w:pPr>
        <w:tabs>
          <w:tab w:val="left" w:pos="110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Обязать тов.Дементьева к 20 августа с.г. доло</w:t>
      </w:r>
      <w:r w:rsidRPr="00722885">
        <w:rPr>
          <w:rFonts w:ascii="Times New Roman" w:hAnsi="Times New Roman"/>
          <w:color w:val="000000" w:themeColor="text1"/>
          <w:sz w:val="16"/>
          <w:szCs w:val="16"/>
        </w:rPr>
        <w:softHyphen/>
        <w:t>жить Государственному Комитету Обороны о принятых им ме</w:t>
      </w:r>
      <w:r w:rsidRPr="00722885">
        <w:rPr>
          <w:rFonts w:ascii="Times New Roman" w:hAnsi="Times New Roman"/>
          <w:color w:val="000000" w:themeColor="text1"/>
          <w:sz w:val="16"/>
          <w:szCs w:val="16"/>
        </w:rPr>
        <w:softHyphen/>
        <w:t>рах по улучшению работы куйбышевских авиационных заводов (10352).</w:t>
      </w:r>
    </w:p>
    <w:p w14:paraId="1A1C6509" w14:textId="77777777" w:rsidR="0044627C" w:rsidRPr="00722885" w:rsidRDefault="0044627C" w:rsidP="00722885">
      <w:pPr>
        <w:spacing w:after="0" w:line="240" w:lineRule="auto"/>
        <w:jc w:val="both"/>
        <w:rPr>
          <w:rFonts w:ascii="Times New Roman" w:hAnsi="Times New Roman"/>
          <w:color w:val="000000" w:themeColor="text1"/>
          <w:sz w:val="16"/>
          <w:szCs w:val="16"/>
        </w:rPr>
      </w:pPr>
    </w:p>
    <w:p w14:paraId="4E5CBAA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6723F5C" w14:textId="77777777" w:rsidR="00AE7191" w:rsidRPr="00722885" w:rsidRDefault="00AE7191" w:rsidP="00722885">
      <w:pPr>
        <w:pStyle w:val="Iauiue"/>
        <w:jc w:val="both"/>
        <w:rPr>
          <w:iCs/>
          <w:color w:val="000000" w:themeColor="text1"/>
          <w:sz w:val="16"/>
          <w:szCs w:val="16"/>
        </w:rPr>
      </w:pPr>
    </w:p>
    <w:p w14:paraId="77F5955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г. директор издал приказ о начале работы завода (Завод № 577 НКБ, п/я 5, ФГУП «Соликамский завод «Урал» Росбоеприпаса /г. Соликамск п/я 5 «Искра» (1943 г.)/ /618554  г. Соликамск-14 Пермской обл. тел. 30-007/); 8.08.1942 г. завод пущен в эксплуатацию, этот день стал днем рождения. К этому времени были построены здания нитрации, стабилизации, хранилище кислот, нитроузел, производства пороховой массы и трубчатых порохов. 6.12.1942 г. вышло постановление ГКО № 2583 об увеличении мощности завода по производству нитроглицериновых порохов. В начале 1943 г. сдан комплекс мастерских по производству коллоксилина. Проектная мощность на 1.01.1943 г.- 650 т пороха в месяц. 21.04.1943 г. вышло постановление ГКО № 3216 о мероприятиях по обеспечению строительства 2-й очереди завода. Приказом НКБ № 1054с от 15.11.1943 г. заводу предписано ввести в строй коллоксилиновое производство с выпуском в 11.1943 г. 200 т коллоксилина, для этого с других заводов НКБ на завод переведено 4 специалиста. К началу 1944 г. завод вышел на проектную мощность в 1100 т в месяц. За годы войны выпущено зарядов: 2655, 6 тыс. для М-13 «Катюша», 192,6 тыс. к 100-мм пушке, 11.871,5 тыс. к 82-мм миномету, 1592,4 тыс. для 120-мм миномета.</w:t>
      </w:r>
    </w:p>
    <w:p w14:paraId="236E500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12.1942-11.1943 г. -в ведении ЗГУ НКБ. Имел обозначение «п/я 5» (1943 г.).</w:t>
      </w:r>
    </w:p>
    <w:p w14:paraId="5A00929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цехи (1943 г.): основные: № 1 кислотный, № 2 минометных порохов, № 3 коллоксилиновый, № 4 пороховой, № 5 зарядный; вспомогательные: полигон, ЦЗЛ, ремонтно-механический № 7, электроцех, паросиловой, тарная мастерская.</w:t>
      </w:r>
    </w:p>
    <w:p w14:paraId="63040B8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наращивал производственные мощности, освоено производство новых видов порохов и зарядов- к пушке 2А28, минометам 82БМ, 120ПМ, 160-мм и 240-мм минометам. В 1960-е-70-е  г. значительно увеличена номенклатура выпускаемых изделий, освоена более безопасная технология производства порохов; построены новые производства: зарядов для РСЗО «Град», крупнейшее в стране производство сферических порохов для стрелкового оружия; зарядов для катапультных кресел. В конце 1980-х  г. освоен выпуск зарядов для САУ «Мета». К 1992 г. завод стал одним из крупнейших в СССР: выпускал около 40% порохов и зарядов. В 1990- е  г. получило развитие производство гражданской продукции - резинотехнических изделий и лакокрасочной продукции.</w:t>
      </w:r>
    </w:p>
    <w:p w14:paraId="2D3B637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A634D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(1943 г.): производственная- 35645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вспомогательная- 11058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2E9E4B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(1.01.1945 г.)- 2978 чел.</w:t>
      </w:r>
    </w:p>
    <w:p w14:paraId="09B7E65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(09.1941-42 г.)- В.В. Мейпариани, (11.1942-04.1943 г.-)- С.С. Качалов. Начальник (-10.1943-44 г.-&gt; С.С. Качалов. Директор (1946-48 г.)- В.Я. Кайда, (1948-59 г.)- Н.Н. Григорьев, (1959-60 г.)- А.Н. Соколов, (1960- 63 г.)- С.И. Гришин, (1963-68 Г.)- Л.Л. Гиндин, (1968-88 г.)-  Г.М. Даниличев, (1988-2005 г.-&gt; А.И. Пашков.</w:t>
      </w:r>
      <w:r w:rsidRPr="00722885">
        <w:rPr>
          <w:rFonts w:ascii="Times New Roman" w:hAnsi="Times New Roman"/>
          <w:color w:val="000000" w:themeColor="text1"/>
          <w:sz w:val="16"/>
          <w:szCs w:val="16"/>
          <w:vertAlign w:val="superscript"/>
        </w:rPr>
        <w:t>101</w:t>
      </w:r>
    </w:p>
    <w:p w14:paraId="6F0CEA1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(09.1941 г.-)- Н.П. Потапов, (04.1943 г.)- И.Д. Козловский, (10.1943 г.)- Артюшенко.</w:t>
      </w:r>
    </w:p>
    <w:p w14:paraId="5D7CE3D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технологи: (1941 г.-)- И.А. Батайский, (1941 г.-)- Н.И. Икоников.</w:t>
      </w:r>
    </w:p>
    <w:p w14:paraId="1B3EBD5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производства: № 3 (ВОВ)- Н.В. Россомагин; № 4 (ВОВ)- И.И. Шатохин, (ВОВ)- Ф.Я. Грищенко; № 5 (ВОВ)- О.П. Алещенко; нитроузла (ВОВ)- Н.А. Кравченко.</w:t>
      </w:r>
    </w:p>
    <w:p w14:paraId="50F2E9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ЦЗЛ (ВОВ)- М. Г. Шарабрина.</w:t>
      </w:r>
      <w:r w:rsidRPr="00722885">
        <w:rPr>
          <w:rFonts w:ascii="Times New Roman" w:hAnsi="Times New Roman"/>
          <w:color w:val="000000" w:themeColor="text1"/>
          <w:sz w:val="16"/>
          <w:szCs w:val="16"/>
          <w:vertAlign w:val="superscript"/>
        </w:rPr>
        <w:t>55</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vertAlign w:val="superscript"/>
        </w:rPr>
        <w:t>56</w:t>
      </w:r>
    </w:p>
    <w:p w14:paraId="11EC42D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заряды для М-13, минометов 82-мм, 120-мм; порох ленточка, коллксилин (1943) (11982).</w:t>
      </w:r>
    </w:p>
    <w:p w14:paraId="2FCD7AE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8F1350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июля 1942 года директором завода № 529 был Аристов (9265).</w:t>
      </w:r>
    </w:p>
    <w:p w14:paraId="588D2FF4" w14:textId="77777777" w:rsidR="00AE7191" w:rsidRPr="00722885" w:rsidRDefault="00AE7191" w:rsidP="00722885">
      <w:pPr>
        <w:pStyle w:val="Iauiue"/>
        <w:jc w:val="both"/>
        <w:rPr>
          <w:color w:val="000000" w:themeColor="text1"/>
          <w:sz w:val="16"/>
          <w:szCs w:val="16"/>
        </w:rPr>
      </w:pPr>
    </w:p>
    <w:p w14:paraId="3B7583C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г. Постановле</w:t>
      </w:r>
      <w:r w:rsidRPr="00722885">
        <w:rPr>
          <w:rFonts w:ascii="Times New Roman" w:hAnsi="Times New Roman"/>
          <w:color w:val="000000" w:themeColor="text1"/>
          <w:sz w:val="16"/>
          <w:szCs w:val="16"/>
        </w:rPr>
        <w:softHyphen/>
        <w:t>нием ГКО директору УЗТМ Б.Г. Музрукову было по</w:t>
      </w:r>
      <w:r w:rsidRPr="00722885">
        <w:rPr>
          <w:rFonts w:ascii="Times New Roman" w:hAnsi="Times New Roman"/>
          <w:color w:val="000000" w:themeColor="text1"/>
          <w:sz w:val="16"/>
          <w:szCs w:val="16"/>
        </w:rPr>
        <w:softHyphen/>
        <w:t>ручено организовать производство уже всего танка Т-34. Начиная с сен</w:t>
      </w:r>
      <w:r w:rsidRPr="00722885">
        <w:rPr>
          <w:rFonts w:ascii="Times New Roman" w:hAnsi="Times New Roman"/>
          <w:color w:val="000000" w:themeColor="text1"/>
          <w:sz w:val="16"/>
          <w:szCs w:val="16"/>
        </w:rPr>
        <w:softHyphen/>
        <w:t>тября 1942 г., на УЗТМ начался серийный выпуск средних танков. При освоении серийного производства танка Т-34 из-за расширения номен</w:t>
      </w:r>
      <w:r w:rsidRPr="00722885">
        <w:rPr>
          <w:rFonts w:ascii="Times New Roman" w:hAnsi="Times New Roman"/>
          <w:color w:val="000000" w:themeColor="text1"/>
          <w:sz w:val="16"/>
          <w:szCs w:val="16"/>
        </w:rPr>
        <w:softHyphen/>
        <w:t>клатуры литых деталей, на УЗТМ возникла проблема по увеличению программы выпуска литых башен. Литейные цеха не могли уже обеспе</w:t>
      </w:r>
      <w:r w:rsidRPr="00722885">
        <w:rPr>
          <w:rFonts w:ascii="Times New Roman" w:hAnsi="Times New Roman"/>
          <w:color w:val="000000" w:themeColor="text1"/>
          <w:sz w:val="16"/>
          <w:szCs w:val="16"/>
        </w:rPr>
        <w:softHyphen/>
        <w:t>чить программу выпуска танков. В соответствии с решением директора завода конструктором И.Ф. Вахрушевым и технологом В.С. Ананьевым была разработана конструкция штампованной башни. Для ее изготов</w:t>
      </w:r>
      <w:r w:rsidRPr="00722885">
        <w:rPr>
          <w:rFonts w:ascii="Times New Roman" w:hAnsi="Times New Roman"/>
          <w:color w:val="000000" w:themeColor="text1"/>
          <w:sz w:val="16"/>
          <w:szCs w:val="16"/>
        </w:rPr>
        <w:softHyphen/>
        <w:t>ления были задействованы свободные мощности десятитысячетонного пресса. С октября 1942 г. по март 1944 г. на УЗТМ было изготовлено 2670 штампованных башен. Причем качество этих башен, изготовлен</w:t>
      </w:r>
      <w:r w:rsidRPr="00722885">
        <w:rPr>
          <w:rFonts w:ascii="Times New Roman" w:hAnsi="Times New Roman"/>
          <w:color w:val="000000" w:themeColor="text1"/>
          <w:sz w:val="16"/>
          <w:szCs w:val="16"/>
        </w:rPr>
        <w:softHyphen/>
        <w:t>ных из брони толщиной 45 мм, не уступало качеству литых башен, имевших толщину 52 мм. По бронестойкости качество штампованных башен было даже несколько выше, чем литых (10703).</w:t>
      </w:r>
    </w:p>
    <w:p w14:paraId="264D1E7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797A04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июля 1942 года постановлением ГОКО №2120 Уралмашзаводу поручили организовать производство уже всего танка Т-34. Танки "Уралмаш" выпускал недолго - до августа 1943 года. Затем это предприятие стало основным по выпуску САУ на базе Т-34 (3862).</w:t>
      </w:r>
    </w:p>
    <w:p w14:paraId="0EEC180A" w14:textId="77777777" w:rsidR="00AE7191" w:rsidRPr="00722885" w:rsidRDefault="00AE7191" w:rsidP="00722885">
      <w:pPr>
        <w:pStyle w:val="Iauiue"/>
        <w:jc w:val="both"/>
        <w:rPr>
          <w:color w:val="000000" w:themeColor="text1"/>
          <w:sz w:val="16"/>
          <w:szCs w:val="16"/>
        </w:rPr>
      </w:pPr>
    </w:p>
    <w:p w14:paraId="1262E81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г. распо</w:t>
      </w:r>
      <w:r w:rsidRPr="00722885">
        <w:rPr>
          <w:rFonts w:ascii="Times New Roman" w:hAnsi="Times New Roman"/>
          <w:color w:val="000000" w:themeColor="text1"/>
          <w:sz w:val="16"/>
          <w:szCs w:val="16"/>
        </w:rPr>
        <w:softHyphen/>
        <w:t>ряжением ГКО № 2120 к производству Т-34 бьши подключены Уральский завод тяжелого маши</w:t>
      </w:r>
      <w:r w:rsidRPr="00722885">
        <w:rPr>
          <w:rFonts w:ascii="Times New Roman" w:hAnsi="Times New Roman"/>
          <w:color w:val="000000" w:themeColor="text1"/>
          <w:sz w:val="16"/>
          <w:szCs w:val="16"/>
        </w:rPr>
        <w:softHyphen/>
        <w:t>ностроения («Уралмаш»), до того выпускавший лишь бро-некорпуса и башни танков Т-34 и КВ, а также был спешно переориентирован на выпуск Т-34 Омский завод № 174, за</w:t>
      </w:r>
      <w:r w:rsidRPr="00722885">
        <w:rPr>
          <w:rFonts w:ascii="Times New Roman" w:hAnsi="Times New Roman"/>
          <w:color w:val="000000" w:themeColor="text1"/>
          <w:sz w:val="16"/>
          <w:szCs w:val="16"/>
        </w:rPr>
        <w:softHyphen/>
        <w:t>вершавший пусконаладочные работы конвейера для вы</w:t>
      </w:r>
      <w:r w:rsidRPr="00722885">
        <w:rPr>
          <w:rFonts w:ascii="Times New Roman" w:hAnsi="Times New Roman"/>
          <w:color w:val="000000" w:themeColor="text1"/>
          <w:sz w:val="16"/>
          <w:szCs w:val="16"/>
        </w:rPr>
        <w:softHyphen/>
        <w:t>пуска Т-50. А поскольку оба эти предприятия не имели опыта выпуска средних танков (первый - вообще не имел опыта производства танков), то приказом по НКТП вре</w:t>
      </w:r>
      <w:r w:rsidRPr="00722885">
        <w:rPr>
          <w:rFonts w:ascii="Times New Roman" w:hAnsi="Times New Roman"/>
          <w:color w:val="000000" w:themeColor="text1"/>
          <w:sz w:val="16"/>
          <w:szCs w:val="16"/>
        </w:rPr>
        <w:softHyphen/>
        <w:t>менно, вплоть до особого распоряжения, на выпуск танков Т-34 был ориентирован также Челябинский Кировский за</w:t>
      </w:r>
      <w:r w:rsidRPr="00722885">
        <w:rPr>
          <w:rFonts w:ascii="Times New Roman" w:hAnsi="Times New Roman"/>
          <w:color w:val="000000" w:themeColor="text1"/>
          <w:sz w:val="16"/>
          <w:szCs w:val="16"/>
        </w:rPr>
        <w:softHyphen/>
        <w:t>вод («Танкоград»). Все указанные предприятия должны были выдать первые Т-34 1 октября. В тех условиях это было единственно верное решение, позволившее не только сохранить высокий темп выпуска,' но и увеличить процентное содержание средних танков в бронетанковых войсках Советского Союза. УЗТМ был подключен к выпуску Т-34 еще 31 октября 1941 г., но до марта 1942 г. завод выдавал только раскрой броневых листов Т-34, который отправлялся заводам-изго</w:t>
      </w:r>
      <w:r w:rsidRPr="00722885">
        <w:rPr>
          <w:rFonts w:ascii="Times New Roman" w:hAnsi="Times New Roman"/>
          <w:color w:val="000000" w:themeColor="text1"/>
          <w:sz w:val="16"/>
          <w:szCs w:val="16"/>
        </w:rPr>
        <w:softHyphen/>
        <w:t>товителям в Нижний Тагил, Сталинград и Горький. 21 мар</w:t>
      </w:r>
      <w:r w:rsidRPr="00722885">
        <w:rPr>
          <w:rFonts w:ascii="Times New Roman" w:hAnsi="Times New Roman"/>
          <w:color w:val="000000" w:themeColor="text1"/>
          <w:sz w:val="16"/>
          <w:szCs w:val="16"/>
        </w:rPr>
        <w:softHyphen/>
        <w:t>та 1942 г. завод получил от Наркомата полные чертежи кор</w:t>
      </w:r>
      <w:r w:rsidRPr="00722885">
        <w:rPr>
          <w:rFonts w:ascii="Times New Roman" w:hAnsi="Times New Roman"/>
          <w:color w:val="000000" w:themeColor="text1"/>
          <w:sz w:val="16"/>
          <w:szCs w:val="16"/>
        </w:rPr>
        <w:softHyphen/>
        <w:t>пусов и башен среднего танка и в апреле выдал первые комплектные бронекорпуса Т-34, которые поступили на УТЗ. В марте перестроенные литейные цеха завода начали осва</w:t>
      </w:r>
      <w:r w:rsidRPr="00722885">
        <w:rPr>
          <w:rFonts w:ascii="Times New Roman" w:hAnsi="Times New Roman"/>
          <w:color w:val="000000" w:themeColor="text1"/>
          <w:sz w:val="16"/>
          <w:szCs w:val="16"/>
        </w:rPr>
        <w:softHyphen/>
        <w:t xml:space="preserve">ивать литье башен танков Т-34 и КВ. Распоряжение ГКО № 2120 поставило </w:t>
      </w:r>
      <w:r w:rsidRPr="00722885">
        <w:rPr>
          <w:rFonts w:ascii="Times New Roman" w:hAnsi="Times New Roman"/>
          <w:color w:val="000000" w:themeColor="text1"/>
          <w:sz w:val="16"/>
          <w:szCs w:val="16"/>
        </w:rPr>
        <w:lastRenderedPageBreak/>
        <w:t>завод в сложные условия. Он должен был, не снижая программы отгрузки корпусов и башен Т-34, выдавать до конца 1942 г. не менее 50 Т-34 ежемесячно. Был увеличен объем литья башен и для ЧКЗ, который также начал работы по освоению выпуска Т-34. Таким образом, программа выпуска башен на УЗТМ увеличилась более чем вдвое. Литейные цеха «Уралмаша» на</w:t>
      </w:r>
      <w:r w:rsidRPr="00722885">
        <w:rPr>
          <w:rFonts w:ascii="Times New Roman" w:hAnsi="Times New Roman"/>
          <w:color w:val="000000" w:themeColor="text1"/>
          <w:sz w:val="16"/>
          <w:szCs w:val="16"/>
        </w:rPr>
        <w:softHyphen/>
        <w:t>чали задыхаться, не справляясь с такой программой башен</w:t>
      </w:r>
      <w:r w:rsidRPr="00722885">
        <w:rPr>
          <w:rFonts w:ascii="Times New Roman" w:hAnsi="Times New Roman"/>
          <w:color w:val="000000" w:themeColor="text1"/>
          <w:sz w:val="16"/>
          <w:szCs w:val="16"/>
        </w:rPr>
        <w:softHyphen/>
        <w:t>ного производства. Стала сказываться нехватка «жидкой брони», формовочной земли. Попытки организовать на заво</w:t>
      </w:r>
      <w:r w:rsidRPr="00722885">
        <w:rPr>
          <w:rFonts w:ascii="Times New Roman" w:hAnsi="Times New Roman"/>
          <w:color w:val="000000" w:themeColor="text1"/>
          <w:sz w:val="16"/>
          <w:szCs w:val="16"/>
        </w:rPr>
        <w:softHyphen/>
        <w:t>де производство сварных башен бьши отклонены, так как в условиях ручной сварки стоимость и время изготовления единицы продукции были чрезмерными.</w:t>
      </w:r>
    </w:p>
    <w:p w14:paraId="776F680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7F6463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г. Распоряжением ГКО № 2120 заводу Уралмаш поручено к 1.10.1942г. освоить выпуск танков Т-34. В 09.1942г. выпущены первые 5 Т-34. В конце 1943г. выпуск Т-34 прекращен в пользу СУ-85 и СУ-122. В соответствии с пост. ГКО № 2559 от 2.12.1942г. на заводе начат выпуск СУ-122. В соответствии с пост. ГКО № 3892 от 8.08.1943г. СУ-122 снята с производства и организован выпуск 85-мм САУ на базе танка Т-34 (11982).</w:t>
      </w:r>
    </w:p>
    <w:p w14:paraId="0DF12B1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80FBDA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года по инициативе НКТП было принято постановление ГКО № 2120, согласно которому следовало начать на УЗТМ производство Т-34. Для того, чтобы завод мог самостоятельно производить большую часть деталей танка, с ним был слит расположенный в Свердловске завод № 37, а производство лёгких танков на нём было прекращено. На УЗТМ были быстро проведены подготовительные работы: выделен предназначенный для сборки танков цех, изготовлено дополнительное оборудование и оснастка, построены узкоколейные пути с поворотными кругами для перевозки танков во время сборки. 20 сентября началась сборка первых Т-34. Но сразу же встали проблемы, связанные с неприспособленностью завода с точки зрения полного цикла производства танков. Рост числа крупных деталей, которые необходимо было изготавливать литьём, привел к тому, что литейные цеха не могли более обеспечивать производство. Достать новое оборудование было просто негде. Директор УЗТМ Б. Г. Музруков принял решение перейти от литья башни к её штамповке. Для этой цели был задействован уникальный пресс мощностью 10000 тонн. Хотя таким способом удалось выйти из сложного положения, но новый метод привёл к значительному росту затрат энергии и материалов, которые превышали расходы на литую башню более чем в двое (ГАРФ. Ф. Р-5446. Оп. 44а. Д. 7522. Л. 51-52). 21 сентября были сданы военной приёмке первые пять танков. В ноябре уже был произведён 101 танк (12290).</w:t>
      </w:r>
    </w:p>
    <w:p w14:paraId="0EEC239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41D0815" w14:textId="77777777" w:rsidR="00DD43AE" w:rsidRPr="00722885" w:rsidRDefault="00DD43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28 июля 1942 года вышло постановление ГКО №2120 «Об организации производства танков Т-34 на Уралмашзаводе и заводе №37 Наркомтанкопрома». Завод №37 стал частью УЗТМ, в составе которого его переименовали в завод №50. Разработка легких танков и самоходных установок на предприятии оказалась свернута. 29 сентября реорганизованный завод сдал первые танки Т-34 – в Свердловске стала производиться база для создания средних САУ.</w:t>
      </w:r>
    </w:p>
    <w:p w14:paraId="38CBCD05" w14:textId="77777777" w:rsidR="00DD43AE" w:rsidRPr="00722885" w:rsidRDefault="00DD43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Затягивание работ по разработке средних самоходных установок, разумеется, не осталось незамеченным. Дело постепенно стало выходить за рамки ГАУ и НКВ, то есть структур, которые являлись заказчиками и «операторами» самоходной артиллерии. Согласно первоначальным планам, завод №8 должен был представить свой проект еще 25 июня 1942 года, затем эту дату сдвинули на 10 августа. В реальности проекты ЗИК-10 и ЗИК-11 рассмотрели только 8 сентября.</w:t>
      </w:r>
    </w:p>
    <w:p w14:paraId="7D8505EA" w14:textId="77777777" w:rsidR="00DD43AE" w:rsidRPr="00722885" w:rsidRDefault="00DD43AE" w:rsidP="00722885">
      <w:pPr>
        <w:pStyle w:val="12a"/>
        <w:shd w:val="clear" w:color="auto" w:fill="auto"/>
        <w:spacing w:after="0" w:line="240" w:lineRule="auto"/>
        <w:jc w:val="both"/>
        <w:rPr>
          <w:color w:val="000000" w:themeColor="text1"/>
          <w:sz w:val="16"/>
          <w:szCs w:val="16"/>
          <w:lang w:eastAsia="ru-RU"/>
        </w:rPr>
      </w:pPr>
      <w:r w:rsidRPr="00722885">
        <w:rPr>
          <w:color w:val="000000" w:themeColor="text1"/>
          <w:sz w:val="16"/>
          <w:szCs w:val="16"/>
          <w:lang w:eastAsia="ru-RU"/>
        </w:rPr>
        <w:t>Пробуксовка программы самоходной артиллерии привело к тому, что к этому вопросу подключился заместитель Накрома обороны генерал-полковник артиллерии Н.Н. Воронов. В начале октября началась бурная переписка между НКО и ГАУ, о происходящем Воронов доложил Сталину (17679).</w:t>
      </w:r>
    </w:p>
    <w:p w14:paraId="7340DEB0" w14:textId="77777777" w:rsidR="00DD43AE" w:rsidRPr="00722885" w:rsidRDefault="00DD43AE" w:rsidP="00722885">
      <w:pPr>
        <w:pStyle w:val="12a"/>
        <w:shd w:val="clear" w:color="auto" w:fill="auto"/>
        <w:spacing w:after="0" w:line="240" w:lineRule="auto"/>
        <w:jc w:val="both"/>
        <w:rPr>
          <w:color w:val="000000" w:themeColor="text1"/>
          <w:sz w:val="16"/>
          <w:szCs w:val="16"/>
        </w:rPr>
      </w:pPr>
    </w:p>
    <w:p w14:paraId="1AABE95F" w14:textId="77777777" w:rsidR="00DD43AE" w:rsidRPr="00722885" w:rsidRDefault="00DD43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28 июля 1942 года вышло постановление ГКО №2120 «Об организации производства танков Т-34 на Уралмашзаводе и заводе № 37 Наркомтанкопрома». Согласно этому документу, завод № 37 входил в состав Уральского завода тяжёлого машиностроения (УЗТМ), а выпуск лёгких танков на его мощностях прекращался. Это означало, что и работы по лёгким САУ в Свердловске также останавливались. Наработки по СУ-31 и СУ-32 были переданы на завод № 38 в Киров, где Гинзбург стал работать в тесном сотрудничестве с заводским КБ под руководством М. Н. Щукина (17660).</w:t>
      </w:r>
    </w:p>
    <w:p w14:paraId="5024967C" w14:textId="77777777" w:rsidR="00DD43AE" w:rsidRPr="00722885" w:rsidRDefault="00DD43AE" w:rsidP="00722885">
      <w:pPr>
        <w:pStyle w:val="12a"/>
        <w:shd w:val="clear" w:color="auto" w:fill="auto"/>
        <w:spacing w:after="0" w:line="240" w:lineRule="auto"/>
        <w:jc w:val="both"/>
        <w:rPr>
          <w:color w:val="000000" w:themeColor="text1"/>
          <w:sz w:val="16"/>
          <w:szCs w:val="16"/>
        </w:rPr>
      </w:pPr>
    </w:p>
    <w:p w14:paraId="26ADFC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года постановлением ГКО № 2120 Челябинский Кировский завод, выпускавший тяжелые танки КВ, параллельно с этим подключался к производству танков Т-34. Такое решение было принято в связи с угрозой прорыва немецких войск к Сталинграду и возможной эвакуацией СТЗ, являвшегося на тот момент вторым по массовости выпуска (после завода №183) предприятием, изготавливавшим тридцатьчетверки. В отличие от других заводов, таких как «Красное Сормово» и Уралмаш, для челябинцев это задание было более легким к выполнению, так как опыт выпуска танков (хотя и тяжелых) уже имелся.</w:t>
      </w:r>
    </w:p>
    <w:p w14:paraId="7BCF96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сборки Т-34 на ЧКЗ решили использовать конвейер сборки гусеничных тракторов «Сталинец-65». Для организации производства тридцатьчетверок в срочном порядке пришлось спроектировать и изготовить более 5000 различных кондукторов и приспособлений, более 500 штампов, а аткже разработать технологию для выпуска более чем 2000 деталей и узлов. Однако имевшийся опыт танкостроения оказался весьма кстати, и уже 22 августа на Ч КЗ собрали первую тридцатьчетверку, а до конца месяца сдали еще 29. В дальнейшем выпуск машин стал нарастать - в сентябре сдали 220 Т-34, в октябре 300, в ноябре 230, а всего за 1942 год Челябинский Кировский завод передал Красной Армии 1055 Т-34. К этому времени на выпуске тридцатьчетверок было задействовано до 75% оборудования ЧКЗ, а на остальном собирали тяжелые КВ-1С.</w:t>
      </w:r>
    </w:p>
    <w:p w14:paraId="65C7109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выпуска танков Т-34 ЧКЗ вносил в их конструкцию большое количество изменений. Так, с 25 ноября 1942 года ввели новые гусеницы с унифицированными траками и ведущие колеса с роликами, с 28 ноября - штампованные диски опорных катков, с 19 декабря - установка плоских половинчатых траков, с 29 декабря - штампованное ведущее колесо штампованные диски с напрессованным бандажом), с 30 декабря - новые смотровые приборы в башне (стекло «триплекс» установлено сверху в гнезде, смотровая щель закрыта бронезаслонкой).</w:t>
      </w:r>
    </w:p>
    <w:p w14:paraId="20D48FA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году ЧКЗ передали военной приемке 3593 тридцатьчетверки. при этом их выпуск из месяца «месяц нарастал с 220 в январе, 315 в июле 315 и до 360 в декабре. Причем помимо увеличения производства ЧКЗ проделал большую работу как по улучшению качества танков, так и по конструктивной доработке их основных узлов. При этом в первом квартале 1943 года завод испытывал большие проблемы из-за отсутствия топлива, металла, а также отставания заготовительных цехов.</w:t>
      </w:r>
    </w:p>
    <w:p w14:paraId="1596E9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дефектов танков, то при проведении сдаточных пробегов больше всего недостатков выявлялось в коробке перемены передач (35%), двигателе (17%) и главном фрикционе (15%). Кроме того, начиная со 2-го квартала наблюдалось отслоение резиновых грузошин опорных катков. Выяснилось, что это происходит по вине завода № 735, поставлявшего резину, и после принятия последним мер этот недостаток устранили.</w:t>
      </w:r>
    </w:p>
    <w:p w14:paraId="5983280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за 1943 год ЧКЗ внес ряд изменений в конструкцию коробки передач, бортовых передач и ходовой части, что позволило повысить надежность их работы.</w:t>
      </w:r>
    </w:p>
    <w:p w14:paraId="17A3FBA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первом квартале 1944 года ЧКЗ сдал военпредам 445 Т-34 и еше одну машину в апреле, посте чего выпуск Т-34 завершили. Дело в том, что еще 12 марта 1944 года появилось постановление ГКО № 5378. в соответствии с которым производство танков Т-34 на Челябинском Кировском заводе прекращалось с целью увеличения изготовления танков ИС-2. Поэтому после израсходования имеющегося задела все работы по Т-34 свернули. Всего за период с августа 1942-го по апрель 1944 года Челябинский Кировский завод изготовил 5094 танка Т-34-76 (12217).</w:t>
      </w:r>
    </w:p>
    <w:p w14:paraId="08F8E37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F3C45B8" w14:textId="77777777" w:rsidR="00E13488" w:rsidRPr="00722885" w:rsidRDefault="00E13488"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 28 июля по 26 августа 1942 года два об</w:t>
      </w:r>
      <w:r w:rsidRPr="00722885">
        <w:rPr>
          <w:rFonts w:ascii="Times New Roman" w:cs="Times New Roman"/>
          <w:color w:val="000000" w:themeColor="text1"/>
          <w:spacing w:val="0"/>
        </w:rPr>
        <w:softHyphen/>
        <w:t xml:space="preserve">разца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прошли государственные ис</w:t>
      </w:r>
      <w:r w:rsidRPr="00722885">
        <w:rPr>
          <w:rFonts w:ascii="Times New Roman" w:cs="Times New Roman"/>
          <w:color w:val="000000" w:themeColor="text1"/>
          <w:spacing w:val="0"/>
        </w:rPr>
        <w:softHyphen/>
        <w:t xml:space="preserve">пытания на опытном заводе № 100. По сравнению с танком КВ-1 на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была уменьшена до 60 мм толщина броне</w:t>
      </w:r>
      <w:r w:rsidRPr="00722885">
        <w:rPr>
          <w:rFonts w:ascii="Times New Roman" w:cs="Times New Roman"/>
          <w:color w:val="000000" w:themeColor="text1"/>
          <w:spacing w:val="0"/>
        </w:rPr>
        <w:softHyphen/>
        <w:t>вых листов, изменена форма кормы корпу</w:t>
      </w:r>
      <w:r w:rsidRPr="00722885">
        <w:rPr>
          <w:rFonts w:ascii="Times New Roman" w:cs="Times New Roman"/>
          <w:color w:val="000000" w:themeColor="text1"/>
          <w:spacing w:val="0"/>
        </w:rPr>
        <w:softHyphen/>
        <w:t>са, установлена башня новой конструкции с командирской башенкой кругового обзора, новые смотровые приборы. Существенные изменения внесли конструкторы и в сило</w:t>
      </w:r>
      <w:r w:rsidRPr="00722885">
        <w:rPr>
          <w:rFonts w:ascii="Times New Roman" w:cs="Times New Roman"/>
          <w:color w:val="000000" w:themeColor="text1"/>
          <w:spacing w:val="0"/>
        </w:rPr>
        <w:softHyphen/>
        <w:t>вую передачу танка КВ-1С, установив новый главный фрикцион, восьмискоростную ко</w:t>
      </w:r>
      <w:r w:rsidRPr="00722885">
        <w:rPr>
          <w:rFonts w:ascii="Times New Roman" w:cs="Times New Roman"/>
          <w:color w:val="000000" w:themeColor="text1"/>
          <w:spacing w:val="0"/>
        </w:rPr>
        <w:softHyphen/>
        <w:t>робку перемены передач с силуминовым кар</w:t>
      </w:r>
      <w:r w:rsidRPr="00722885">
        <w:rPr>
          <w:rFonts w:ascii="Times New Roman" w:cs="Times New Roman"/>
          <w:color w:val="000000" w:themeColor="text1"/>
          <w:spacing w:val="0"/>
        </w:rPr>
        <w:softHyphen/>
        <w:t>тером (восемь скоростей вперед и две назад). Кроме того, на танке смонтировали радиа</w:t>
      </w:r>
      <w:r w:rsidRPr="00722885">
        <w:rPr>
          <w:rFonts w:ascii="Times New Roman" w:cs="Times New Roman"/>
          <w:color w:val="000000" w:themeColor="text1"/>
          <w:spacing w:val="0"/>
        </w:rPr>
        <w:softHyphen/>
        <w:t>торы и вентилятор другой конструкции, из</w:t>
      </w:r>
      <w:r w:rsidRPr="00722885">
        <w:rPr>
          <w:rFonts w:ascii="Times New Roman" w:cs="Times New Roman"/>
          <w:color w:val="000000" w:themeColor="text1"/>
          <w:spacing w:val="0"/>
        </w:rPr>
        <w:softHyphen/>
        <w:t>менили расположение аккумуляторов. В хо</w:t>
      </w:r>
      <w:r w:rsidRPr="00722885">
        <w:rPr>
          <w:rFonts w:ascii="Times New Roman" w:cs="Times New Roman"/>
          <w:color w:val="000000" w:themeColor="text1"/>
          <w:spacing w:val="0"/>
        </w:rPr>
        <w:softHyphen/>
        <w:t>довой части применили облегченные опор</w:t>
      </w:r>
      <w:r w:rsidRPr="00722885">
        <w:rPr>
          <w:rFonts w:ascii="Times New Roman" w:cs="Times New Roman"/>
          <w:color w:val="000000" w:themeColor="text1"/>
          <w:spacing w:val="0"/>
        </w:rPr>
        <w:softHyphen/>
        <w:t>ные катки, ленивец и облегченные гусеницы уменьшенной ширины. В результате всех этих изменений мас</w:t>
      </w:r>
      <w:r w:rsidRPr="00722885">
        <w:rPr>
          <w:rFonts w:ascii="Times New Roman" w:cs="Times New Roman"/>
          <w:color w:val="000000" w:themeColor="text1"/>
          <w:spacing w:val="0"/>
        </w:rPr>
        <w:softHyphen/>
        <w:t>са КВ-1С снизилась до 42,3 т, возросла ско</w:t>
      </w:r>
      <w:r w:rsidRPr="00722885">
        <w:rPr>
          <w:rFonts w:ascii="Times New Roman" w:cs="Times New Roman"/>
          <w:color w:val="000000" w:themeColor="text1"/>
          <w:spacing w:val="0"/>
        </w:rPr>
        <w:softHyphen/>
        <w:t>рость (до 43,3 км/ч по шоссе), улучшилась маневренность и надежность танка.</w:t>
      </w:r>
    </w:p>
    <w:p w14:paraId="564B81BA" w14:textId="77777777" w:rsidR="00E13488" w:rsidRPr="00722885" w:rsidRDefault="00E13488" w:rsidP="00722885">
      <w:pPr>
        <w:pStyle w:val="27"/>
        <w:shd w:val="clear" w:color="auto" w:fill="auto"/>
        <w:spacing w:after="0" w:line="240" w:lineRule="auto"/>
        <w:ind w:firstLine="0"/>
        <w:rPr>
          <w:rFonts w:ascii="Times New Roman" w:cs="Times New Roman"/>
          <w:color w:val="000000" w:themeColor="text1"/>
          <w:spacing w:val="0"/>
        </w:rPr>
      </w:pPr>
    </w:p>
    <w:p w14:paraId="29BCAD4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года постановлением ГКО № 542 сс заводу № 222 приказывалось улучшить конструкцию огнемета (12217).</w:t>
      </w:r>
    </w:p>
    <w:p w14:paraId="464FC45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D2D52F7" w14:textId="77777777" w:rsidR="00AE7191" w:rsidRPr="00722885" w:rsidRDefault="00AE7191" w:rsidP="00722885">
      <w:pPr>
        <w:pStyle w:val="a3"/>
        <w:rPr>
          <w:color w:val="000000" w:themeColor="text1"/>
          <w:lang w:val="ru-RU"/>
        </w:rPr>
      </w:pPr>
      <w:r w:rsidRPr="00722885">
        <w:rPr>
          <w:color w:val="000000" w:themeColor="text1"/>
          <w:lang w:val="ru-RU"/>
        </w:rPr>
        <w:t>С 28 июля по 26 августа 1942 г. два опыт</w:t>
      </w:r>
      <w:r w:rsidRPr="00722885">
        <w:rPr>
          <w:color w:val="000000" w:themeColor="text1"/>
          <w:lang w:val="ru-RU"/>
        </w:rPr>
        <w:softHyphen/>
        <w:t xml:space="preserve">ных образца танка </w:t>
      </w:r>
      <w:r w:rsidRPr="00722885">
        <w:rPr>
          <w:color w:val="000000" w:themeColor="text1"/>
        </w:rPr>
        <w:t>KB</w:t>
      </w:r>
      <w:r w:rsidRPr="00722885">
        <w:rPr>
          <w:color w:val="000000" w:themeColor="text1"/>
          <w:lang w:val="ru-RU"/>
        </w:rPr>
        <w:t>-1С проходили государ</w:t>
      </w:r>
      <w:r w:rsidRPr="00722885">
        <w:rPr>
          <w:color w:val="000000" w:themeColor="text1"/>
          <w:lang w:val="ru-RU"/>
        </w:rPr>
        <w:softHyphen/>
        <w:t>ственные испытания. Ввиду их убедительных результатов, новый тяжелый танк 20 августа (еще до окончания испытаний) был принят на вооружение. Своевременность этого решения и последующего быстрого освоения серийно</w:t>
      </w:r>
      <w:r w:rsidRPr="00722885">
        <w:rPr>
          <w:color w:val="000000" w:themeColor="text1"/>
          <w:lang w:val="ru-RU"/>
        </w:rPr>
        <w:softHyphen/>
        <w:t xml:space="preserve">го производства танков </w:t>
      </w:r>
      <w:r w:rsidRPr="00722885">
        <w:rPr>
          <w:color w:val="000000" w:themeColor="text1"/>
        </w:rPr>
        <w:t>KB</w:t>
      </w:r>
      <w:r w:rsidRPr="00722885">
        <w:rPr>
          <w:color w:val="000000" w:themeColor="text1"/>
          <w:lang w:val="ru-RU"/>
        </w:rPr>
        <w:t>-1С подтвердила история. Уже в ноябре 1942 г. в контрнаступлении под Сталин</w:t>
      </w:r>
      <w:r w:rsidRPr="00722885">
        <w:rPr>
          <w:color w:val="000000" w:themeColor="text1"/>
          <w:lang w:val="ru-RU"/>
        </w:rPr>
        <w:softHyphen/>
        <w:t xml:space="preserve">градом танки </w:t>
      </w:r>
      <w:r w:rsidRPr="00722885">
        <w:rPr>
          <w:color w:val="000000" w:themeColor="text1"/>
        </w:rPr>
        <w:t>KB</w:t>
      </w:r>
      <w:r w:rsidRPr="00722885">
        <w:rPr>
          <w:color w:val="000000" w:themeColor="text1"/>
          <w:lang w:val="ru-RU"/>
        </w:rPr>
        <w:t>-1С сыграли заметную роль. В знаменитой Курской битве лета 1943 г. сотни этих танков, состоявших на осна</w:t>
      </w:r>
      <w:r w:rsidRPr="00722885">
        <w:rPr>
          <w:color w:val="000000" w:themeColor="text1"/>
          <w:lang w:val="ru-RU"/>
        </w:rPr>
        <w:softHyphen/>
        <w:t>щении 5-й гвардейской тан</w:t>
      </w:r>
      <w:r w:rsidRPr="00722885">
        <w:rPr>
          <w:color w:val="000000" w:themeColor="text1"/>
          <w:lang w:val="ru-RU"/>
        </w:rPr>
        <w:softHyphen/>
        <w:t>ковой армии, при передисло</w:t>
      </w:r>
      <w:r w:rsidRPr="00722885">
        <w:rPr>
          <w:color w:val="000000" w:themeColor="text1"/>
          <w:lang w:val="ru-RU"/>
        </w:rPr>
        <w:softHyphen/>
        <w:t>кации в район Курской дуги прошли своим ходом 400 км без единой поломки и с мар</w:t>
      </w:r>
      <w:r w:rsidRPr="00722885">
        <w:rPr>
          <w:color w:val="000000" w:themeColor="text1"/>
          <w:lang w:val="ru-RU"/>
        </w:rPr>
        <w:softHyphen/>
        <w:t>ша вступили в бой под Про хоровкой (11897).</w:t>
      </w:r>
    </w:p>
    <w:p w14:paraId="4ED4C17E" w14:textId="77777777" w:rsidR="00AE7191" w:rsidRPr="00722885" w:rsidRDefault="00AE7191" w:rsidP="00722885">
      <w:pPr>
        <w:pStyle w:val="a3"/>
        <w:rPr>
          <w:color w:val="000000" w:themeColor="text1"/>
          <w:lang w:val="ru-RU"/>
        </w:rPr>
      </w:pPr>
    </w:p>
    <w:p w14:paraId="530FF10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28 июля по 26 августа 1942 два танка КВ- 1С прошли государст</w:t>
      </w:r>
      <w:r w:rsidRPr="00722885">
        <w:rPr>
          <w:rFonts w:ascii="Times New Roman" w:hAnsi="Times New Roman"/>
          <w:color w:val="000000" w:themeColor="text1"/>
          <w:sz w:val="16"/>
          <w:szCs w:val="16"/>
        </w:rPr>
        <w:softHyphen/>
        <w:t>венные испытания, еще до окончания которых - 20 авгус</w:t>
      </w:r>
      <w:r w:rsidRPr="00722885">
        <w:rPr>
          <w:rFonts w:ascii="Times New Roman" w:hAnsi="Times New Roman"/>
          <w:color w:val="000000" w:themeColor="text1"/>
          <w:sz w:val="16"/>
          <w:szCs w:val="16"/>
        </w:rPr>
        <w:softHyphen/>
        <w:t>та - новый танк был принят на вооружение Красной Армии. Он в самом деле оправдывал свое название, ибо его масса снизилась до 42,3 тонны, а максимальная ско</w:t>
      </w:r>
      <w:r w:rsidRPr="00722885">
        <w:rPr>
          <w:rFonts w:ascii="Times New Roman" w:hAnsi="Times New Roman"/>
          <w:color w:val="000000" w:themeColor="text1"/>
          <w:sz w:val="16"/>
          <w:szCs w:val="16"/>
        </w:rPr>
        <w:softHyphen/>
        <w:t>рость возросла до 43 км/ч по шоссе. Однако это было достигнуто за счет снижения броне</w:t>
      </w:r>
      <w:r w:rsidRPr="00722885">
        <w:rPr>
          <w:rFonts w:ascii="Times New Roman" w:hAnsi="Times New Roman"/>
          <w:color w:val="000000" w:themeColor="text1"/>
          <w:sz w:val="16"/>
          <w:szCs w:val="16"/>
        </w:rPr>
        <w:softHyphen/>
        <w:t>вой защиты танка, и если летом-осенью такое решение еще могло быть оправданным, то к лету 1942 г. ситуация изме</w:t>
      </w:r>
      <w:r w:rsidRPr="00722885">
        <w:rPr>
          <w:rFonts w:ascii="Times New Roman" w:hAnsi="Times New Roman"/>
          <w:color w:val="000000" w:themeColor="text1"/>
          <w:sz w:val="16"/>
          <w:szCs w:val="16"/>
        </w:rPr>
        <w:softHyphen/>
        <w:t>нилась. Теперь в вермахт начали поступать новые 75-мм противотанковые пушки Рак 40, танки Т Ш и Т 1У стали вооружаться длинноствольными 50- и 75-мм орудиями. Повсеместно вводились кумулятивные и подкалиберные боеприпасы. Все это привело к тому, что танк КВ утратил часть своих боевых качеств и в целом сравнялся с Т-34 (10782).</w:t>
      </w:r>
    </w:p>
    <w:p w14:paraId="259EE68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BFF618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период с 28 июля по 26 августа 1942 года КВ-1С (опытный) прошел Государственные испытания на Опытном заводе № 100. По результатам испытаний с учетом устранения выявленных дефектов, танк был при</w:t>
      </w:r>
      <w:r w:rsidRPr="00722885">
        <w:rPr>
          <w:rFonts w:ascii="Times New Roman" w:hAnsi="Times New Roman"/>
          <w:color w:val="000000" w:themeColor="text1"/>
          <w:sz w:val="16"/>
          <w:szCs w:val="16"/>
        </w:rPr>
        <w:softHyphen/>
        <w:t>нят на вооружение РККА. Второй изготовленный образец являлся предсерийным вариантом танка КВ-1С. В период с 13 августа по 20 ок</w:t>
      </w:r>
      <w:r w:rsidRPr="00722885">
        <w:rPr>
          <w:rFonts w:ascii="Times New Roman" w:hAnsi="Times New Roman"/>
          <w:color w:val="000000" w:themeColor="text1"/>
          <w:sz w:val="16"/>
          <w:szCs w:val="16"/>
        </w:rPr>
        <w:softHyphen/>
        <w:t>тября 1943 г. он прошел длительные заводские испытания. Первый опытный образец танка КВ-1С был разработан на базе тан</w:t>
      </w:r>
      <w:r w:rsidRPr="00722885">
        <w:rPr>
          <w:rFonts w:ascii="Times New Roman" w:hAnsi="Times New Roman"/>
          <w:color w:val="000000" w:themeColor="text1"/>
          <w:sz w:val="16"/>
          <w:szCs w:val="16"/>
        </w:rPr>
        <w:softHyphen/>
        <w:t>ка КВ-1 обр. 1941 г. и отличался от него уменьшенной толщиной борто</w:t>
      </w:r>
      <w:r w:rsidRPr="00722885">
        <w:rPr>
          <w:rFonts w:ascii="Times New Roman" w:hAnsi="Times New Roman"/>
          <w:color w:val="000000" w:themeColor="text1"/>
          <w:sz w:val="16"/>
          <w:szCs w:val="16"/>
        </w:rPr>
        <w:softHyphen/>
        <w:t>вых листов корпуса и днища, а также размещением членов экипажа в башне. От предсерийного образца и серийного танка КВ-1 С он отличал</w:t>
      </w:r>
      <w:r w:rsidRPr="00722885">
        <w:rPr>
          <w:rFonts w:ascii="Times New Roman" w:hAnsi="Times New Roman"/>
          <w:color w:val="000000" w:themeColor="text1"/>
          <w:sz w:val="16"/>
          <w:szCs w:val="16"/>
        </w:rPr>
        <w:softHyphen/>
        <w:t>ся отсутствием поручней для танкового десанта на корпусе и башне ма</w:t>
      </w:r>
      <w:r w:rsidRPr="00722885">
        <w:rPr>
          <w:rFonts w:ascii="Times New Roman" w:hAnsi="Times New Roman"/>
          <w:color w:val="000000" w:themeColor="text1"/>
          <w:sz w:val="16"/>
          <w:szCs w:val="16"/>
        </w:rPr>
        <w:softHyphen/>
        <w:t>шины и установкой защитного козырька над смотровым люком механи</w:t>
      </w:r>
      <w:r w:rsidRPr="00722885">
        <w:rPr>
          <w:rFonts w:ascii="Times New Roman" w:hAnsi="Times New Roman"/>
          <w:color w:val="000000" w:themeColor="text1"/>
          <w:sz w:val="16"/>
          <w:szCs w:val="16"/>
        </w:rPr>
        <w:softHyphen/>
        <w:t>ка-водителя. Танк, имевший классическую схему общей компоновки, был воору</w:t>
      </w:r>
      <w:r w:rsidRPr="00722885">
        <w:rPr>
          <w:rFonts w:ascii="Times New Roman" w:hAnsi="Times New Roman"/>
          <w:color w:val="000000" w:themeColor="text1"/>
          <w:sz w:val="16"/>
          <w:szCs w:val="16"/>
        </w:rPr>
        <w:softHyphen/>
        <w:t>жен 76,2-мм танковой пушкой ЗИС-5 обр. 1941 г. и четырьмя 7,62-мм пулеметами ДТ, один из которых был спарен с пушкой. Пушка и спарен</w:t>
      </w:r>
      <w:r w:rsidRPr="00722885">
        <w:rPr>
          <w:rFonts w:ascii="Times New Roman" w:hAnsi="Times New Roman"/>
          <w:color w:val="000000" w:themeColor="text1"/>
          <w:sz w:val="16"/>
          <w:szCs w:val="16"/>
        </w:rPr>
        <w:softHyphen/>
        <w:t>ный пулемет устанавливались в маске и имели общие приборы и меха</w:t>
      </w:r>
      <w:r w:rsidRPr="00722885">
        <w:rPr>
          <w:rFonts w:ascii="Times New Roman" w:hAnsi="Times New Roman"/>
          <w:color w:val="000000" w:themeColor="text1"/>
          <w:sz w:val="16"/>
          <w:szCs w:val="16"/>
        </w:rPr>
        <w:softHyphen/>
        <w:t>низмы наводки и стрельбы (10703).</w:t>
      </w:r>
    </w:p>
    <w:p w14:paraId="6F4C40C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40F00A3"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28 июля 1942 г.</w:t>
      </w:r>
    </w:p>
    <w:p w14:paraId="6E982350"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93 лист 69 – 66</w:t>
      </w:r>
    </w:p>
    <w:p w14:paraId="5D8F9372"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Сов. секретно.</w:t>
      </w:r>
    </w:p>
    <w:p w14:paraId="68185F18"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ПО НАРОДНОМУ КОМИССАРИАТУ ТАНКОВОЙ ПРОМЫШЛЕННОСТИ СОЮЗА ССР № 551сс</w:t>
      </w:r>
    </w:p>
    <w:p w14:paraId="0A04FE07"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7C921201"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"28" июля 1942 г.</w:t>
      </w:r>
    </w:p>
    <w:p w14:paraId="0AC9AACD"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исполнение Постановления ГОКО от 24 июля за № 2086сс "О плане капитального ремонта танков, тракторов и автомобилей для Красной Армии на III квартал 1942 г.", ПРИКАЗЫВАЮ:</w:t>
      </w:r>
    </w:p>
    <w:p w14:paraId="75AA2674"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Установить на III квартал 1942 года следующий план капитального ремонта танков, танковых двигателей и тракторов на заводах Наркомтанкопрома для ГАБТУ Красной Армии (в штуках):</w:t>
      </w:r>
    </w:p>
    <w:p w14:paraId="1B9221E2"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Директорам заводов Наркомтанкопрома произвести в III квартале капитальный ремонт машин для ГАБТУ КА в следующих количествах по заводам:</w:t>
      </w:r>
    </w:p>
    <w:p w14:paraId="502AAAC0"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Кировского завода т. МАХОНИНУ:</w:t>
      </w:r>
    </w:p>
    <w:p w14:paraId="0FE564D0"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Сталинградского тракторного завода т. ЗАДОРОЖНОМУ:</w:t>
      </w:r>
    </w:p>
    <w:p w14:paraId="6E5949F7"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Завода № 112 т. РУБИНЧИКУ:</w:t>
      </w:r>
    </w:p>
    <w:p w14:paraId="727770BA"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Филиала завода № 37 т. ЗЕЛИКСОНУ:</w:t>
      </w:r>
    </w:p>
    <w:p w14:paraId="6B2C9444"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Филиала завода № 76 (КИМ) т. ТУМАНЯНУ:</w:t>
      </w:r>
    </w:p>
    <w:p w14:paraId="2840E8EB"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е) Завода № 200 т. СОЧИВКО:</w:t>
      </w:r>
    </w:p>
    <w:p w14:paraId="5D344EB8"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Директору завода "КИМ" т. ТУМАНЯН производить ремонт танковых двигателей для Канашского вагоноремонтного завода НКПС в счет плана ремонта двигателей В-2, утвержденного заводу "КИМ" на III квартал 1942 г.</w:t>
      </w:r>
    </w:p>
    <w:p w14:paraId="3ABCD065"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Директорам заводов перечисленных в п. 2, а также начальнику III отдела НКТП т. ВАСИНУ в соответствии с упомянутым выше постановлением ГОКО учесть, что в случаях отсутствия ремонтного фонда по танкам и танковым двигателям или поступления его на заводы в недостаточном количестве, за план ремонта танков и двигателей по каждому заводу в отдельности принимается фактическое поступление их до 15 числа текущего месяца, включая остаток ремонтного фонда от прошлых месяцев, но не больше утвержденного пунктом 2 настоящего приказа.</w:t>
      </w:r>
    </w:p>
    <w:p w14:paraId="78938D94"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Отменить приказ Наркомтанкопрома № 483сс от 27.VI об освобождении завода № 200 от ремонта танков "КВ". Начальнику 3 Главного Управления НКТП т. ХАБАХПАШЕВУ и директору завода № 200 т. СОЧИВКО обеспечить выполнение заводом № 200 заданного на III квартал плана по ремонту танков "КВ" и до 1 октября произвести необходимые работы по наращению мощностей для ремонта 25 танков "КВ" ежемесячно.</w:t>
      </w:r>
    </w:p>
    <w:p w14:paraId="4FAB4D44"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Директорам и главным инженерам заводов НКТП СТЗ – т.т. ЗАДОРОЖНОМУ и ДЕМЬЯНОВИЧУ; № 112 – т.т. РУБИНЧИКУ и РОЗЕНФЕЛЬДТ; филиала завода № 76 (КИМ) – т.т. ТУМАНЯН и СМИРНОВУ; филиала завода № 37 – т.т. ЗЕЛИКСОНУ и КОЗЫРЕВУ под их личную ответственность закончить в течение июля и августа 1942 года все работы по наращению мощностей для ремонта танков и моторов до объемов, установленных приказами НКТП № 112с от 11.I.42 г. и № 387с от 7.V.42 г.</w:t>
      </w:r>
    </w:p>
    <w:p w14:paraId="79C0161F"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Начальнику отдела труда и зарплаты НКТП т. ПРОМЫСЛОВУ в пятидневный срок разослать ля руководства на заводы, перечисленные в пункте 2 настоящего приказа, систему премирования за скоростной и высококачественный ремонт машин, утвержденную постановлением ГОКО от 3 мая 1942 года № ГОКО-1689сс, с отнесением расхода по выплате премий за счет начисления на стоимость ремонта.</w:t>
      </w:r>
    </w:p>
    <w:p w14:paraId="591D9D18"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Заместителю Народного Комиссара Танковой Промышленности тов. МОСИНУ и Директору филиала завода № 76 (КИМ) тов. ТУМАНЯНУ организовать на заводе (КИМ) Отдел рабочего снабжения.</w:t>
      </w:r>
    </w:p>
    <w:p w14:paraId="6020890B"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Директору Кировского завода т. МАХОНИНУ и директору завода № 76 т. КОЧЕТКОВУ поставить за счет фондов ГАБТУ КА заводам промышленности и рембазам НКО в III квартале 1942 года дизели В-2 согласно приложению № 1 для замены неподдающихся восстановлению двигателей на танках, подлежащих капитальному ремонту.</w:t>
      </w:r>
    </w:p>
    <w:p w14:paraId="5B365757"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Директорам заводов Кировского – т. МАХОНИНУ; СТЗ – т. ЗАДОРОЖНОМУ; № 183 – т. МАКСАРЕВУ; № 76 – т. КОЧЕТКОВУ; № 174 – т. КАЦНЕЛЬСОНУ; № 37 – т. ФРЕЗЕРОВУ; ЗЭМ – т. МОРОЗУ поставить в III квартале 1942 года заводам промышленности равными партиями по месяцам для ремонтов танков – запасные части согласно приложениям №№ 2, 3, 4, 5, 6, 7, 8, 9, 10, 11 и 12 в счет плана производства запчастей на III квартал 1942 года, установленного приказом № 520сс от 13.VII-с.г.</w:t>
      </w:r>
    </w:p>
    <w:p w14:paraId="4EC19778"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Директору СТЗ т. ЗАДОРОЖНОМУ и директору завода № 112 т. РУБИНЧИКУ использовать для ремонта танков на своих заводах запчасти танка Т-34, предназначенные по приказу НКТП № 520сс от 13.VII-с.г. ремзаводам промышленности.</w:t>
      </w:r>
    </w:p>
    <w:p w14:paraId="73DCC1E3"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Директору Кировского завода т. МАХОНИНУ и директору СТЗ т. ЗАДОРОЖНОМУ поставить в III квартале 1942 года заводам промышленности равными партиями по месяцам запасные части для ремонта тракторов согласно приложениям №№ 13, 14, 15 и 16 в счет фондов НКО.</w:t>
      </w:r>
    </w:p>
    <w:p w14:paraId="770725DC"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Директорам заводов – Кировского т. МАХОНИНУ; № 112 – т. РУБИНЧИКУ и Уралмашзавода – т. МУЗРУКОВУ, за счет производства поставить в III квартале 1942 года 1,5 тонны сормайта следующим Наркоматам, производящим капитальный ремонт автомашин для Красной Армии: НКАТ РСФСР – 1,0 тонну, в том числе с завода № 112 – 0,7 тонн, с Уралмашзавода – 0,3 тонны; НКАТ Грузинской ССР – 0,1 тонны, поставщик Кировский завод и Мосгорисполкому – 0,4 тонны, поставщик Уралмашзавод.</w:t>
      </w:r>
    </w:p>
    <w:p w14:paraId="684467A0"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Начальнику Главснаба НКТП т. РОЗИНУ:</w:t>
      </w:r>
    </w:p>
    <w:p w14:paraId="234844F6"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в суточный срок распределить по заводам НКТП, производящим ремонт танков, танковых моторов и тракторов соответственно установленному плану ремонта и заявкам, горюче смазочные материалы, электрооборудование и приборы, выделяемые на III квартал ха счет фондов НКО, согласно приложениям №№ 17, 18, 19, 20, 21 и 22;</w:t>
      </w:r>
    </w:p>
    <w:p w14:paraId="268A510F"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обеспечить помощь и контроль за своевременной и полной реализацией выделенных материалов.</w:t>
      </w:r>
    </w:p>
    <w:p w14:paraId="23546F10"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Зам. Начальника 1 отдела т. ДАВТЯН и директору филиала завода № 37 тов. ЗЕЛИКСОН обеспечить реализацию фондов на моторы "ГАЗ-202" и запасные части, выделенных за счет лимитов НКО, согласно приложению № 23.</w:t>
      </w:r>
    </w:p>
    <w:p w14:paraId="79357EA4"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16. Директорам заводов НКТП, Начальнику Главснаба т. РОЗИНУ, Начальнику 3 Главного Управления т. ХАБАХПАШЕВУ и начальникам 1-го, 3-го, Транспортного и Механо-Энергетического отделов НКТП учесть, что тем же постановлением ГОКО за № 2086сс от 24 июля:</w:t>
      </w:r>
    </w:p>
    <w:p w14:paraId="144864DF"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установлено, что отоваривание фондов и поставка материалов, топлива и запасных частей, выделенных для ремонта танков, тракторов и автомашин, производится наравне с поставками танковой и авиационной промышленности.</w:t>
      </w:r>
    </w:p>
    <w:p w14:paraId="38528C43"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НКПС обязан обеспечить по заявкам Наркоматов своевременную перевозку оперативными транспортами танков, тракторов и автомашин, требующих ремонта и отремонтированных, а также материалов и запасных частей для ремонта машин.</w:t>
      </w:r>
    </w:p>
    <w:p w14:paraId="51DBCA98"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НКЭП обязан обеспечить бесперебойное снабжение электроэнергией предприятий, производящих капитальный ремонт танков, тракторов и автомашин для Красной Армии.</w:t>
      </w:r>
    </w:p>
    <w:p w14:paraId="77F80467"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ГАБТУ КА разрешено по договоренности с НКТП и НКСМ передавать танковым заводам годные корпуса, с которых сняты все агрегаты в результате их разрушения, для использования этих корпусов на сборке новых танков.</w:t>
      </w:r>
    </w:p>
    <w:p w14:paraId="00CDE5CC"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Директорам заводов НКТП Кировского – т. МАХОНИНУ, СТЗ – т. ЗАДОРОЖНОМУ, № 112 – т. РУБИНЧИКУ, № 200 – т. СОЧИВКО каждую пятидневку сообщать в 1-й отдел НКТП, через диспетчерскую службу, сводки выпуска из ремонта танков, дизельмоторов и тракторов.</w:t>
      </w:r>
    </w:p>
    <w:p w14:paraId="75F578AE"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И.О. Начальника сектора запасных частей и ремонта т. ЛУКЬЯНОВУ подготавливать для представления в Совнарком СССР, Госплан СССР и Наркомат Госконтроля СССР каждые 10 дней сводки выпуска из ремонта машин по всем заводам НКТП.</w:t>
      </w:r>
    </w:p>
    <w:p w14:paraId="6523A68B"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19. Контроль за выполнением настоящего приказа возлагаю на И.О. Начальника сектора запасных частей и ремонта 1-го отдела т. ЛУКЬЯНОВА.</w:t>
      </w:r>
    </w:p>
    <w:p w14:paraId="23B90720" w14:textId="77777777" w:rsidR="002E06F9" w:rsidRPr="00722885" w:rsidRDefault="002E06F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ЗАМЕСТИТЕЛЬ НАРОДНОГО КОМИССАРА ТАНКОВОЙ ПРОМЫШЛЕННОСТИ СОЮЗА ССР подпись П. ЗЕРНОВ (21228).</w:t>
      </w:r>
    </w:p>
    <w:p w14:paraId="0C532E4B" w14:textId="77777777" w:rsidR="002E06F9" w:rsidRPr="00722885" w:rsidRDefault="002E06F9" w:rsidP="00722885">
      <w:pPr>
        <w:spacing w:after="0" w:line="240" w:lineRule="auto"/>
        <w:jc w:val="both"/>
        <w:rPr>
          <w:rFonts w:ascii="Times New Roman" w:hAnsi="Times New Roman"/>
          <w:color w:val="0070C0"/>
          <w:sz w:val="16"/>
          <w:szCs w:val="16"/>
        </w:rPr>
      </w:pPr>
    </w:p>
    <w:p w14:paraId="5B5D942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28 июля 1942 года вышел приказ № 525с НКБ</w:t>
      </w:r>
    </w:p>
    <w:p w14:paraId="3009FDEE"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распоряжением СНК № 13211-рс от 18 июля 1942 года:</w:t>
      </w:r>
    </w:p>
    <w:p w14:paraId="0A5F51CE"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lastRenderedPageBreak/>
        <w:t>Выделить филиал завода № 58 в самостоятельный завод с присвоением ему № 738, подчинив его руководству 6-го Главного управления (5905, 199).</w:t>
      </w:r>
    </w:p>
    <w:p w14:paraId="05D2041C" w14:textId="77777777" w:rsidR="00AE7191" w:rsidRPr="00722885" w:rsidRDefault="00AE7191" w:rsidP="00722885">
      <w:pPr>
        <w:pStyle w:val="Iauiue"/>
        <w:tabs>
          <w:tab w:val="left" w:pos="11199"/>
        </w:tabs>
        <w:jc w:val="both"/>
        <w:rPr>
          <w:color w:val="000000" w:themeColor="text1"/>
          <w:sz w:val="16"/>
          <w:szCs w:val="16"/>
        </w:rPr>
      </w:pPr>
    </w:p>
    <w:p w14:paraId="64F46975"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года вышел приказ Наркомата среднего машиностроения о передаче с Горьковского автозавода 1400 броневого листа, оставшегося от производства танков Т-60, для использования его на бронедетали к бронепоездам (15218).</w:t>
      </w:r>
    </w:p>
    <w:p w14:paraId="0F7E8BB1" w14:textId="77777777" w:rsidR="00E13488" w:rsidRPr="00722885" w:rsidRDefault="00E13488" w:rsidP="00722885">
      <w:pPr>
        <w:spacing w:after="0" w:line="240" w:lineRule="auto"/>
        <w:jc w:val="both"/>
        <w:rPr>
          <w:rFonts w:ascii="Times New Roman" w:hAnsi="Times New Roman"/>
          <w:color w:val="000000" w:themeColor="text1"/>
          <w:sz w:val="16"/>
          <w:szCs w:val="16"/>
        </w:rPr>
      </w:pPr>
    </w:p>
    <w:p w14:paraId="04C1C52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28 июля 1942 вышло Постановление ГКО № 2115 О вооружении судов Рейдтанкера Наркомморфлота и волжских судов Наркомречфлота. (7047, 119).</w:t>
      </w:r>
    </w:p>
    <w:p w14:paraId="18B4C6A1" w14:textId="77777777" w:rsidR="00AE7191" w:rsidRPr="00722885" w:rsidRDefault="00AE7191" w:rsidP="00722885">
      <w:pPr>
        <w:pStyle w:val="Iauiue"/>
        <w:tabs>
          <w:tab w:val="left" w:pos="11199"/>
        </w:tabs>
        <w:jc w:val="both"/>
        <w:rPr>
          <w:color w:val="000000" w:themeColor="text1"/>
          <w:sz w:val="16"/>
          <w:szCs w:val="16"/>
        </w:rPr>
      </w:pPr>
    </w:p>
    <w:p w14:paraId="6A34CC1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вышло Постановление ГКО № 2117 О частичном изменении постановлений ГОКО № 1961сс от 4 июля и № 2012сс от 11 июля 1942 г. РГАНИР, Фонд ГКО, д. 48, лл. 121 (11012).</w:t>
      </w:r>
    </w:p>
    <w:p w14:paraId="068600F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DDF0A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вышло Постановление ГКО № 2118 Об отгрузке агрегатов, узлов и деталей танка КВ заводу № 371 (г. Ленинград). РГАНИР, Фонд ГКО, д. 48, лл. 122, 123 (11012).</w:t>
      </w:r>
    </w:p>
    <w:p w14:paraId="509148C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0A29D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вышло Постановление ГКО № 2120 Об организации производства танков Т-34 на Уралмашзаводе и заводе № 37 Наркомтанкопрома. РГАНИР, Фонд ГКО, д. 48, лл. 125-129, 130-134 (11012).</w:t>
      </w:r>
    </w:p>
    <w:p w14:paraId="2974330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9D6FE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г. О мобилизации рабочих на строительство прядильно-ткацкого комбината Наркомтекстиля СССР в г. Канске</w:t>
      </w:r>
    </w:p>
    <w:p w14:paraId="77E6602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Решение № 978 исполкома Красноярского исполкома крайсовета</w:t>
      </w:r>
    </w:p>
    <w:p w14:paraId="5C03C1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Красноярск 28 июля 1942 г.</w:t>
      </w:r>
    </w:p>
    <w:p w14:paraId="171DD6B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соответствии с постановлением Совнаркома Союза ССР № 1252 от 24/VII-[19]42 г. исполком крайсовета решил: </w:t>
      </w:r>
    </w:p>
    <w:p w14:paraId="6EC3F53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Обязать Канский горсовет: </w:t>
      </w:r>
    </w:p>
    <w:p w14:paraId="6EA30FAD" w14:textId="77777777" w:rsidR="00AE7191" w:rsidRPr="00722885" w:rsidRDefault="00AE7191" w:rsidP="00722885">
      <w:pPr>
        <w:tabs>
          <w:tab w:val="left" w:pos="72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До 8 августа с/г. мобилизовать из числа неработающего трудоспособного населения на строительство прядильно-ткацкого комбината Наркомтекстиля СССР, осуществляемого Главвоенпромстроем, 200 человек.</w:t>
      </w:r>
    </w:p>
    <w:p w14:paraId="009D51D1" w14:textId="77777777" w:rsidR="00AE7191" w:rsidRPr="00722885" w:rsidRDefault="00AE7191" w:rsidP="00722885">
      <w:pPr>
        <w:tabs>
          <w:tab w:val="left" w:pos="72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 ходе мобилизации сообщать телеграфно раз в пятидневку нарастающим итогом и не позднее 8-го августа сообщить о выполнении настоящего решения.</w:t>
      </w:r>
    </w:p>
    <w:p w14:paraId="2E587D0B" w14:textId="77777777" w:rsidR="00AE7191" w:rsidRPr="00722885" w:rsidRDefault="00AE7191" w:rsidP="00722885">
      <w:pPr>
        <w:tabs>
          <w:tab w:val="left" w:pos="72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число мобилизованных засчитывать количество рабочих, принятых строительством в индивидуальном порядке, начиная с 24-го июля 1942 года. </w:t>
      </w:r>
    </w:p>
    <w:p w14:paraId="13C1D8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Зам[еститель] председателя исполкома крайсовета подпись К. Левина</w:t>
      </w:r>
    </w:p>
    <w:p w14:paraId="0EA432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исполкома крайсовета подпись Е. Нифантьев</w:t>
      </w:r>
    </w:p>
    <w:p w14:paraId="4C3AA88E" w14:textId="77777777" w:rsidR="00AE7191" w:rsidRPr="00722885" w:rsidRDefault="00AE7191" w:rsidP="00722885">
      <w:pPr>
        <w:spacing w:after="0" w:line="240" w:lineRule="auto"/>
        <w:jc w:val="both"/>
        <w:rPr>
          <w:rFonts w:ascii="Times New Roman" w:hAnsi="Times New Roman"/>
          <w:iCs/>
          <w:color w:val="000000" w:themeColor="text1"/>
          <w:sz w:val="16"/>
          <w:szCs w:val="16"/>
        </w:rPr>
      </w:pPr>
      <w:r w:rsidRPr="00722885">
        <w:rPr>
          <w:rFonts w:ascii="Times New Roman" w:hAnsi="Times New Roman"/>
          <w:iCs/>
          <w:color w:val="000000" w:themeColor="text1"/>
          <w:sz w:val="16"/>
          <w:szCs w:val="16"/>
        </w:rPr>
        <w:t>ГАКК. Ф.Р-1386. Оп.1. Д.844. Л.135. Подлинник. Машинопись (11800).</w:t>
      </w:r>
    </w:p>
    <w:p w14:paraId="01611A68" w14:textId="77777777" w:rsidR="00AE7191" w:rsidRPr="00722885" w:rsidRDefault="00AE7191" w:rsidP="00722885">
      <w:pPr>
        <w:spacing w:after="0" w:line="240" w:lineRule="auto"/>
        <w:jc w:val="both"/>
        <w:rPr>
          <w:rFonts w:ascii="Times New Roman" w:hAnsi="Times New Roman"/>
          <w:iCs/>
          <w:color w:val="000000" w:themeColor="text1"/>
          <w:sz w:val="16"/>
          <w:szCs w:val="16"/>
        </w:rPr>
      </w:pPr>
    </w:p>
    <w:p w14:paraId="053EB6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июля 1942 г. руководство ВМФ утвердило обширный перечень изменений технического проекта сторожевика типа Ястреб, в котором помимо усиления зе</w:t>
      </w:r>
      <w:r w:rsidRPr="00722885">
        <w:rPr>
          <w:color w:val="000000" w:themeColor="text1"/>
          <w:sz w:val="16"/>
          <w:szCs w:val="16"/>
        </w:rPr>
        <w:softHyphen/>
        <w:t>нитного вооружения и прочности оконечностей предусматривалась установка гидроакустической станции "Тамир", бомбометов, раз</w:t>
      </w:r>
      <w:r w:rsidRPr="00722885">
        <w:rPr>
          <w:color w:val="000000" w:themeColor="text1"/>
          <w:sz w:val="16"/>
          <w:szCs w:val="16"/>
        </w:rPr>
        <w:softHyphen/>
        <w:t>магничивающего устройства и даже изменение формы кормы — с транцевой на крейсерскую (3898).</w:t>
      </w:r>
    </w:p>
    <w:p w14:paraId="51E20D50" w14:textId="77777777" w:rsidR="00AE7191" w:rsidRPr="00722885" w:rsidRDefault="00AE7191" w:rsidP="00722885">
      <w:pPr>
        <w:pStyle w:val="Iauiue"/>
        <w:jc w:val="both"/>
        <w:rPr>
          <w:color w:val="000000" w:themeColor="text1"/>
          <w:sz w:val="16"/>
          <w:szCs w:val="16"/>
        </w:rPr>
      </w:pPr>
    </w:p>
    <w:p w14:paraId="6825A28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6D8847D" w14:textId="77777777" w:rsidR="00AE7191" w:rsidRPr="00722885" w:rsidRDefault="00AE7191" w:rsidP="00722885">
      <w:pPr>
        <w:pStyle w:val="Iauiue"/>
        <w:jc w:val="both"/>
        <w:rPr>
          <w:iCs/>
          <w:color w:val="000000" w:themeColor="text1"/>
          <w:sz w:val="16"/>
          <w:szCs w:val="16"/>
        </w:rPr>
      </w:pPr>
    </w:p>
    <w:p w14:paraId="3B5F5D6B"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в 1942 году утреннее сообщение Совинформбюро:</w:t>
      </w:r>
    </w:p>
    <w:p w14:paraId="548F9994"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28 июля наши войска вели бои с противником в районе Воронежа, а также в районе Цымлянская.</w:t>
      </w:r>
    </w:p>
    <w:p w14:paraId="24039617"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38A1A33C"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продолжались бои. Наши войска наносили удары немецко-фашистским войскам и несколько улучшили свои позиции. Переправившиеся на западный берег Дона части вели упорные бои с противником. На другом участке гитлеровцы атаковали населённый пункт, захваченный накануне нашими войсками. Потеряв на подступах к селу несколько сот солдат и офицеров, а также 3 танка,немцы вынуждены были отступить. Успешно истребляют врага советские артиллеристы. Один наш артиллерийский дивизион в течение суток уничтожил 4 тяжёлых немецкихтанка, подавил огонь 3 артиллерийских и 2 миномётных батарей и взорвал склад боеприпасов противника.</w:t>
      </w:r>
    </w:p>
    <w:p w14:paraId="2BFFF516"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излучине Дона наши войска отражают многочисленные атаки танков и мотопехоты противника. Одна наша часть в течение дня уничтожила 25 немецких танков и до 700 немецких солдат и офицеров.</w:t>
      </w:r>
    </w:p>
    <w:p w14:paraId="156A20FD"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Советская авиация неоднократно бомбила боевые порядки гитлеровцев. Уничтожено и повреждено 27 танков, 78 автомашин с войсками и грузом, более 100 повозок и несколько полевых и зенитных орудий. Рассеяно и частью уничтожено до двух рот пехоты и не менее эскадрона кавалерии противника. Наши бомбардировщики атаковали аэродромы противника и уничтожили на земле 22 и повредили 15 немецких самолётов. В воздушном бою советские истребители сбили 3 немецких «Мессершмитта-109».</w:t>
      </w:r>
    </w:p>
    <w:p w14:paraId="23805524"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происходили бои местного значения. На одном участке противник пытался овладеть нашим оборонительным рубежом и бросил в атаку до двух полков пехоты и 40 танков. Немцам удалось вначале потеснить передовое охранение и прорваться к переднему краю нашей обороны. Однако здесь гитлеровцы были встречены мощным артиллерийским огнём. Они понесли большие потери и были вынуждены залечь. В это время наши части перешли в контратаку, опрокинули противника и отбросили его на исходные позиции.</w:t>
      </w:r>
    </w:p>
    <w:p w14:paraId="0D4F07A5"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Е., действующий в Орловскойобласти, за три недели уничтожил до 100 оккупантов, подорвал 2 броневика, 5 грузовых и одну легковую автомашину. Кроме того, партизаны подбили два немецких самолёта и пустили под откос 4 железнодорожных эшелона противника.</w:t>
      </w:r>
    </w:p>
    <w:p w14:paraId="2BE4F5F2"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немецкого солдата Генриха Ройшеля найдено письмо от жены из Хемница. В письме говорится: «Не знаю, как долго ещё продлится война, но уже сейчас на каждом шагу видишь людей, которые еле волокут ноги. Многих наших знакомых ты бы сейчас ни за что не узнал. Между тем опять поговаривают о новом сокращении норм снабжения. Что же тогда будет с нами?»</w:t>
      </w:r>
    </w:p>
    <w:p w14:paraId="09BC16D0"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Норвежские патриоты разрушают укрепления, возведённые немецкими захватчиками на побережье Норвегии. Гитлеровцы согнали 500 норвежцев на строительство аэродрома близ Листер Фьорка. Отважные патриоты сожгли ангары, перебили охрану и, захватив оружие, ушли в горы.</w:t>
      </w:r>
    </w:p>
    <w:p w14:paraId="0FC3F17F"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Югославии ведут героическую борьбу с немецкими и итальянскими захватчиками. Смелыми налётами патриоты истребляют оккупантов, захватывают у них оружие и боеприпасы. У города Б. партизаны напали на итальянскую колонну и истребили 32 солдата и одного офицера. В бою с партизанами у деревни К. итальянцы потеряли убитыми и ранеными 160 солдат и офицеров. 50 итальянских солдат захвачены партизанами в плен. Захвачено также у противника 12 пулемётов, 2 миномёта, 85 винтовок и много боеприпасов.</w:t>
      </w:r>
    </w:p>
    <w:p w14:paraId="6B1456FF"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Нефтепромысел треста «Бугуруслан-нефть», получивший переходящее Красное Знамя Государственного Комитета Обороны, выполняет суточные задания по добыче нефти в июле месяце на 119 процентов.» (14966).</w:t>
      </w:r>
    </w:p>
    <w:p w14:paraId="065A67E1" w14:textId="77777777" w:rsidR="00E13488" w:rsidRPr="00722885" w:rsidRDefault="00E13488" w:rsidP="00722885">
      <w:pPr>
        <w:spacing w:after="0" w:line="240" w:lineRule="auto"/>
        <w:jc w:val="both"/>
        <w:rPr>
          <w:rFonts w:ascii="Times New Roman" w:hAnsi="Times New Roman"/>
          <w:color w:val="000000" w:themeColor="text1"/>
          <w:sz w:val="16"/>
          <w:szCs w:val="16"/>
        </w:rPr>
      </w:pPr>
    </w:p>
    <w:p w14:paraId="554FE44D"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в 1942 году вечернее сообщение Совинформбюро:</w:t>
      </w:r>
    </w:p>
    <w:p w14:paraId="74F63556"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28 июля наши войска вели ожесточённые бои в районе Воронежа, а также в районах Цымлянская, Батайск.</w:t>
      </w:r>
    </w:p>
    <w:p w14:paraId="24691C81"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6F7748DE"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Финском заливе потоплено три транспорта противника общим водоизмещением в 19.000 тонн.</w:t>
      </w:r>
    </w:p>
    <w:p w14:paraId="4E335BD7"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27 июля частями нашей авиации на различных участках фронта уничтожено или повреждено до 60 немецких танков, 5 бронемашин, 200 автомашин с войсками и грузами, 10 автоцистерн с горючим, 30 повозок с боеприпасами, взорвано 3 склада боеприпасов и 2 склада горючего, подавлен огонь 10 батарей полевой и зенитной артиллерии, рассеяно и частью уничтожено до полка пехоты противника.</w:t>
      </w:r>
    </w:p>
    <w:p w14:paraId="2357363A"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участке южнее Воронежа одна наша часть ворвалась в расположение противникаи ведёт ожесточённый бой внутри укрепленного немцами района. На соседнем участке наши бойцы продвинулись вперёд и выбивают гитлеровцев из нескольких населённых пунктов. Противник потерял в этих боях убитыми свыше 1.000 солдат и офицеров. Западнее Воронежа немцы предприняли танковую атаку. Встреченные огнём нашей артиллерии, они понесли большие потери и отошли на прежние позиции.</w:t>
      </w:r>
    </w:p>
    <w:p w14:paraId="63C810DB"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наши войска вели бои с противником. В одном месте немцам удалось переправиться на южный берег Дона. Наши части непрерывными контратаками стремятся отбросить противника. Советские танкисты ворвались в расположение немецких войск и уничтожили 5 танков, 18 орудий, сожгли 10 автомашин с боеприпасами и уничтожили свыше 200 гитлеровцев.</w:t>
      </w:r>
    </w:p>
    <w:p w14:paraId="0D3B8DD5"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Батайска происходят ожесточённые бои. Наши части отбили четыре атаки гитлеровцев, следовавшие одна за другой. Противнику нанесены большие потери. Огнём артиллерии уничтожено 17 немецких танков и свыше батальона пехоты противника.</w:t>
      </w:r>
    </w:p>
    <w:p w14:paraId="40BCE9EA"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одном из участков Брянского фронта наши части в течение двух дней вели бои, в которых с той и другой стороны участвовало большое количество танков. Гвардейцы-танкисты во взаимодействии с другими родами войск нанесли большой урон действующей здесь немецкой танковой дивизии. Подбито и уничтожено </w:t>
      </w:r>
      <w:r w:rsidRPr="00722885">
        <w:rPr>
          <w:rFonts w:ascii="Times New Roman" w:hAnsi="Times New Roman"/>
          <w:color w:val="000000" w:themeColor="text1"/>
          <w:sz w:val="16"/>
          <w:szCs w:val="16"/>
        </w:rPr>
        <w:lastRenderedPageBreak/>
        <w:t>более 100 немецких танков. Гитлеровцы оставили один укрепленный населённый пункт. За два дня боёв на этом участке нашими бойцами захвачены 12 немецких танков, 28 орудий, 48 пулемётов, 2 радиостанции, 7.000 снарядов и другие трофеи. Взяты пленные.</w:t>
      </w:r>
    </w:p>
    <w:p w14:paraId="2A667F11"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Немецкое командование перебрасывает с Запада на советско-германский фронт не только пехотные дивизии и мотомехчасти, но и авиацию. Недавно были переброшены 55 бомбардировочная эскадра, 3 и 53 истребительные эскадры и другие военно-воздушные части.</w:t>
      </w:r>
    </w:p>
    <w:p w14:paraId="39256679"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пилот 55 бомбардировочной эскадры унтер-офицер Фриц Клейн рассказал: «Наша эскадра до последнего времени базировалась во Франции. Последнее время мы почти прекратили боевые полёты. В июле предполагалось провести большие манёвры с участием войск, расположенных во Франции, Бельгии и Голландии. Но неожиданно наша и некоторые другие эскадры получили приказ вылететь на русский фронт». Пленный лётчик 53 истребительной эскадры унтер-офицер Карл Корк показал: «На некоторых аэродромах на Западе не осталось ни одной боевой машины. В ряде случаев ранее действовавшие военные аэродромы превращены в ложные аэродромы с макетами вместо боевых самолётов. В течение одного месяца наша группа перебазировалась не менее пяти раз. Лётчики по этому поводу острили и называли нашу группу кочующей. Нам говорили, что это делается для того, чтобы ввести в заблуждение противника и дезориентировать его. Но в конце концов многие кочевые группы, в том числе и наша, оказались в России. Сюда же переброшена с Запада и 3 истребительная эскадра «Удет».</w:t>
      </w:r>
    </w:p>
    <w:p w14:paraId="6AD90BBE"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разграбили и сожгли дотла 47 деревень Андреевского района, Смоленской области. Гитлеровские мерзавцы замучили и расстреляли несколько сот мирных жителей этих деревень.</w:t>
      </w:r>
    </w:p>
    <w:p w14:paraId="23A4656C"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авиационном заводе в городе Винер-Нейштадт (Австрия) произошёл взрыв. На заводе синтетического бензина в предместьях Вены возник большой пожар. Огнём уничтожено несколько цехов и склады с горючим. Немецкие власти с беспокойством отмечают резкое увеличение числа диверсий и актов саботажа на предприятиях Австрии.</w:t>
      </w:r>
    </w:p>
    <w:p w14:paraId="74D39B33"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где директором тов. Киселевский, досрочно выполняет все заказы фронта. Вчера коллектив завода выполнил июльскую программу. В течение месяца завод выпускал продукцию строго по графику.» (14966).</w:t>
      </w:r>
    </w:p>
    <w:p w14:paraId="74F5F1DB" w14:textId="77777777" w:rsidR="00E13488" w:rsidRPr="00722885" w:rsidRDefault="00E13488" w:rsidP="00722885">
      <w:pPr>
        <w:spacing w:after="0" w:line="240" w:lineRule="auto"/>
        <w:jc w:val="both"/>
        <w:rPr>
          <w:rFonts w:ascii="Times New Roman" w:hAnsi="Times New Roman"/>
          <w:color w:val="000000" w:themeColor="text1"/>
          <w:sz w:val="16"/>
          <w:szCs w:val="16"/>
        </w:rPr>
      </w:pPr>
    </w:p>
    <w:p w14:paraId="1A4C41FE" w14:textId="77777777" w:rsidR="00E13488" w:rsidRPr="00722885" w:rsidRDefault="00E134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в 1942 году в СССР немцы овладевают Ростовом-на-Дону. Танковые и моторизированные войска противника вышли в Задонские, Сальские и Краснодарские степи, создали угрозу прорыва в глубь Кавказа (14966).</w:t>
      </w:r>
    </w:p>
    <w:p w14:paraId="7A8C623F" w14:textId="77777777" w:rsidR="00E13488" w:rsidRPr="00722885" w:rsidRDefault="00E13488" w:rsidP="00722885">
      <w:pPr>
        <w:spacing w:after="0" w:line="240" w:lineRule="auto"/>
        <w:jc w:val="both"/>
        <w:rPr>
          <w:rFonts w:ascii="Times New Roman" w:hAnsi="Times New Roman"/>
          <w:color w:val="000000" w:themeColor="text1"/>
          <w:sz w:val="16"/>
          <w:szCs w:val="16"/>
        </w:rPr>
      </w:pPr>
    </w:p>
    <w:p w14:paraId="76A1F4D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июля 1942 вышли указания штаба ВВС КА № 3324'72, в которых отмечалось: "...основным недочетом продолжает оставаться отсутствие длительного воздействия на противника, неконкретность задач, а также неумение вести воздушный бой. Максимальное поражение целей и действительное моральное подавление живой силы противника должно достигаться не залповым бомбометанием с одного захода, а длительным (в течение 15-30 минут) пребыванием...штурмовиков над целью с применением многократных заходов на бомбометание, завершаемых атаками войск противника пушечно-пулеметным огнем... Задачи авиационным частям на действия по войскам должны быть совершенно конкретны с указанием определенных, заметных с воздуха целей. Следует исключить использование бомбардировщиков и штурмовиков в целях "обработки районов", "прочесывании" и тому подобных задач..." (8687).</w:t>
      </w:r>
    </w:p>
    <w:p w14:paraId="3E3A8996" w14:textId="77777777" w:rsidR="00AE7191" w:rsidRPr="00722885" w:rsidRDefault="00AE7191" w:rsidP="00722885">
      <w:pPr>
        <w:pStyle w:val="Iauiue"/>
        <w:jc w:val="both"/>
        <w:rPr>
          <w:color w:val="000000" w:themeColor="text1"/>
          <w:sz w:val="16"/>
          <w:szCs w:val="16"/>
        </w:rPr>
      </w:pPr>
    </w:p>
    <w:p w14:paraId="66BD2338"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28 июля 1942 в СССР издан приказ 227, запрещавший под угрозой расстрела любое отступление, вводивший штрафбаты и заградотряды (4962).</w:t>
      </w:r>
    </w:p>
    <w:p w14:paraId="00FD127C" w14:textId="77777777" w:rsidR="00AE7191" w:rsidRPr="00722885" w:rsidRDefault="00AE7191" w:rsidP="00722885">
      <w:pPr>
        <w:pStyle w:val="Iauiue"/>
        <w:tabs>
          <w:tab w:val="left" w:pos="11199"/>
        </w:tabs>
        <w:jc w:val="both"/>
        <w:rPr>
          <w:color w:val="000000" w:themeColor="text1"/>
          <w:sz w:val="16"/>
          <w:szCs w:val="16"/>
        </w:rPr>
      </w:pPr>
    </w:p>
    <w:p w14:paraId="07BACB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июля 1942 вышел знаменитый приказ N 227 "Ни шагу назад" (337,56) и образовали на основе Южного и Северо-Кавказского фронтов один Северо-Кавказский под командованием С.М.Б. (512,213).</w:t>
      </w:r>
    </w:p>
    <w:p w14:paraId="24117D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Якобы И.В.С. после доклада Н.М.Шверника, что Сталинград в опасности подумав сказал "Ничего не будем эвакуировать. Мы должны сказать армии и народу, что отступать дальше некуда. Надо защищать Сталинград" (339,30).</w:t>
      </w:r>
    </w:p>
    <w:p w14:paraId="4DF6484D" w14:textId="77777777" w:rsidR="00AE7191" w:rsidRPr="00722885" w:rsidRDefault="00AE7191" w:rsidP="00722885">
      <w:pPr>
        <w:pStyle w:val="Iauiue"/>
        <w:jc w:val="both"/>
        <w:rPr>
          <w:color w:val="000000" w:themeColor="text1"/>
          <w:sz w:val="16"/>
          <w:szCs w:val="16"/>
        </w:rPr>
      </w:pPr>
    </w:p>
    <w:p w14:paraId="7C4090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июля 1942 г. вышел ПРИКАЗ № 227 НКО О МЕРАХ ПО УКРЕПЛЕНИЮ ДИСЦИПЛИНЫ И ПОРЯДКА В КРАСНОЙ АРМИИ И ЗАПРЕЩЕНИИ САМОВОЛЬНОГО ОТХОДА С БОЕВЫХ ПОЗИЦИЙ</w:t>
      </w:r>
    </w:p>
    <w:p w14:paraId="53F4241D" w14:textId="77777777" w:rsidR="00AE7191" w:rsidRPr="00722885" w:rsidRDefault="00AE7191" w:rsidP="00722885">
      <w:pPr>
        <w:pStyle w:val="Iauiue"/>
        <w:jc w:val="both"/>
        <w:rPr>
          <w:iCs/>
          <w:color w:val="000000" w:themeColor="text1"/>
          <w:sz w:val="16"/>
          <w:szCs w:val="16"/>
        </w:rPr>
      </w:pPr>
      <w:r w:rsidRPr="00722885">
        <w:rPr>
          <w:iCs/>
          <w:color w:val="000000" w:themeColor="text1"/>
          <w:sz w:val="16"/>
          <w:szCs w:val="16"/>
        </w:rPr>
        <w:t>Без публикации</w:t>
      </w:r>
    </w:p>
    <w:p w14:paraId="581A4D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Враг бросает на фронт все новые силы и, не считаясь с большими для него потерями, лезет вперед, рвется в глубь Советского Союза, захватывает новые районы, опустошает и разоряет наши города и села, насилует, грабит и убивает советское население. Бои идут в районе Воронежа, на Дону, на юге у ворот Северного Кавказа. Немецкие оккупанты рвутся к Сталинграду, к Волге и хотят любой ценой захватить Кубань, Северный Кавказ с их нефтяными и хлебными богатствами. Враг уже захватил Ворошиловград, Старо-бельск, Россошь, Купянск, Валуйки, Новочеркасск, Ростов-на-Дону, половину Воронежа. Часть войск Южного фронта, идя за паникерами, оставила Ростов и Новочеркасск без серьезного сопротивления и без приказа Москвы, покрыв свои знамена позором.</w:t>
      </w:r>
    </w:p>
    <w:p w14:paraId="041E96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Население нашей страны, с любовью и уважением относящееся к Красной Армии, начинает разочаровываться в ней, теряет веру в Красную Армию, а многие из них проклинают Красную Армию за то, что она отдает наш народ под ярмо немецких угнетателей, а сама утекает на восток.</w:t>
      </w:r>
    </w:p>
    <w:p w14:paraId="247263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Некоторые неумные люди на фронте утешают себя разговорами о том, что мы можем и дальше отступать на восток, так как у нас много территории, много земли, много населения и что хлеба у нас всегда будет в избытке. Этим они хотят оправдать свое позорное поведение на фронтах. Но такие разговоры являются насквозь фальшивыми и лживыми, выгодными лишь нашим врагам.</w:t>
      </w:r>
    </w:p>
    <w:p w14:paraId="5369AE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Каждый командир, красноармеец и политработник должны понять*, что наши средства не безграничны. Территория Советского государства — это не пустыня, а люди— рабочие, крестьяне, интеллигенция, наши отцы, матери, жены, братья, дети. Территория СССР, которую захватил и стремится захватить враг, — это хлеб и другие продукты для армии и тыла, металл и топливо для промышленности, фабрики, заводы, снабжающие армию вооружением и боеприпасами, железные дороги. После потери Украины, Белоруссии, Прибалтики, Донбаса и других областей у нас стало намного меньше территории, стало быть, стало намного меньше людей, хлеба, металла, заводов, фабрик. Мы потеряли более 70 миллионов населения, более 800 миллионов пудов хлеба в год и более 10 миллионов тонн металла в год. У нас нет уже теперь преобладания над немцами ни в людских резервах, ни в запасах хлеба. Отступать дальше — значит загубить себя и загубить вместе с тем нашу Родину. Каждый новый клочок оставленной нами территории будет всемерно усиливать врага и всемерно ослаблять нашу оборону, нашу Родину.</w:t>
      </w:r>
    </w:p>
    <w:p w14:paraId="186926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Поэтому надо в корне пресекать разговоры о том, что мы имеем возможность без конца отступать, что у нас много территории, страна наша велика и богата, населения много, хлеба всегда будет в избытке. Такие разговоры являются лживыми и вредными, они ослабляют нас и усиливают врага, ибо если не прекратим отступление, останемся без хлеба, без топлива, без металла, без сырья, без фабрик и заводов, без железных дорог.</w:t>
      </w:r>
    </w:p>
    <w:p w14:paraId="14F6B2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Из этого следует, что пора кончить отступление.</w:t>
      </w:r>
    </w:p>
    <w:p w14:paraId="5739F6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Ни шагу назад! Таким теперь должен быть наш главный призыв.</w:t>
      </w:r>
    </w:p>
    <w:p w14:paraId="65B06BE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Надо упорнб, до последней капли крови защищать каждую позицию, каждый метр советской территории, цепляться за каждый клочок советской земли и отстаивать его до последней возможности.</w:t>
      </w:r>
    </w:p>
    <w:p w14:paraId="3C2833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Наша Родина переживает тяжелые дни. Мы должны остановить, а затем отбросить и разгромить врага, чего бы это нам ни стоило. Немцы не так сильны, как это кажется паникерам. Они напрягают последние силы. Выдержать их удар сейчас, в ближайшие несколько месяцев — это значит обеспечить за нами победу.</w:t>
      </w:r>
    </w:p>
    <w:p w14:paraId="6D485F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Можем ли выдержать удар, а потом и отбросить врага на запад? Да, можем, ибо наши фабрики и заводы в тылу работают теперь прекрасно, и наш фронт получает все больше и больше самолетов, танков, артиллерии, минометов.</w:t>
      </w:r>
    </w:p>
    <w:p w14:paraId="0C78A8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Чего же у нас не хватает?</w:t>
      </w:r>
    </w:p>
    <w:p w14:paraId="0BF09D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 хватает порядка и дисциалины в ротах, батальонах, полках, дивизиях, в танковых частях, в авиаэскадрильях. В этом теперь наш главный недостаток. Мы должны установить в нашей армии строжайший порядок и железную дисциплину, если мы хотим спасти положение и отстоять нашу Родину.</w:t>
      </w:r>
    </w:p>
    <w:p w14:paraId="28E0FAC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Нельзя терпеть дальше командиров, комиссаров, политработников, части и соединения которых самовольно оставляют боевые позиции. Нельзя терпеть дальше, когда командиры, комиссары, политработники допускают, чтобы несколько паникеров определяли положение на поле боя, чтобы они увлекали в отступление других бойцов и открывали фронт врагу.</w:t>
      </w:r>
    </w:p>
    <w:p w14:paraId="5A01CC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Паникеры и трусы должны истребляться на месте.</w:t>
      </w:r>
    </w:p>
    <w:p w14:paraId="121528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Отныне железным законом дисциплины для каждого командира, красноармейца, политработника должно являться требование — ни шагу назад без приказа высшего командования.</w:t>
      </w:r>
    </w:p>
    <w:p w14:paraId="50BF2C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Командиры роты, батальона, полка, дивизии, соответствующие комиссары и политработники, отступающие с боевой позиции без приказа свыше, являются предателями Родины. С такими командирами и политработниками </w:t>
      </w:r>
      <w:r w:rsidRPr="00722885">
        <w:rPr>
          <w:color w:val="000000" w:themeColor="text1"/>
          <w:sz w:val="16"/>
          <w:szCs w:val="16"/>
          <w:u w:val="single"/>
        </w:rPr>
        <w:t>и поступать</w:t>
      </w:r>
      <w:r w:rsidRPr="00722885">
        <w:rPr>
          <w:color w:val="000000" w:themeColor="text1"/>
          <w:sz w:val="16"/>
          <w:szCs w:val="16"/>
        </w:rPr>
        <w:t xml:space="preserve"> надо, как с предателями Родины.</w:t>
      </w:r>
    </w:p>
    <w:p w14:paraId="512D96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Таков призыв нашей Родины.</w:t>
      </w:r>
    </w:p>
    <w:p w14:paraId="5CFDA1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Выполнить этот призыв — значит отстоять нашу землю, спасти Родину, истребить и победить ненавистного врага.</w:t>
      </w:r>
    </w:p>
    <w:p w14:paraId="091C98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После своего зимнего отступления под напором Красной Армии, когда в немецких войсках расшаталась дисциплина, немцы для восстановления дисциплины приняли некоторые суровые меры, приведшие к неплохим результатам. Они сформировали более 100 штрафных рот из бойцов, провинившихся в нарушении дисциплины по трусости или неустойчивости, поставили их на опасные участки фронта и приказали им искупить кровью свои грехи. Они сформировали, далее, около десятка штрафных батальонов из командиров, провинившихся в нарушении дисциплины по трусости или неустойчивости, лишили их орденов, поставили их на еще более опасные участки фронта и приказали им искупить кровью свои грехи. Они сформировали, наконец, специальные отряды заграждения, поставили их позади </w:t>
      </w:r>
      <w:r w:rsidRPr="00722885">
        <w:rPr>
          <w:color w:val="000000" w:themeColor="text1"/>
          <w:sz w:val="16"/>
          <w:szCs w:val="16"/>
        </w:rPr>
        <w:lastRenderedPageBreak/>
        <w:t>неустойчивых дивизий и велели им расстреливать на месте паникеров в случае попытки самовольного оставления позиций и в случае попытки сдаться в плен. Как известно, эти меры возымели свое действие, и теперь немецкие войска дерутся лучше, чем они дрались зимой. И вот получается, что немецкие войска имеют хорошую дисциплину, хотя у них нет возвышенной цели защиты своей родины, а есть лишь одна грабительская цель — покорить чужую страну, а наши войска, имеющие возвышенную цель защиты своей поруганной Родины, не имеют такой дисциплины и терпят ввиду этого поражение.</w:t>
      </w:r>
    </w:p>
    <w:p w14:paraId="29109B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 следует ли нам поучиться в этом деле у наших врагов, как учились в прошлом наши предки у врагов и одерживали потом над ними победу?</w:t>
      </w:r>
    </w:p>
    <w:p w14:paraId="7D27EB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 думаю, что следует.</w:t>
      </w:r>
    </w:p>
    <w:p w14:paraId="7F8683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Верховное Главнокомандование Красной Армии приказывает:</w:t>
      </w:r>
    </w:p>
    <w:p w14:paraId="66802D9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Военным советам фронтов и прежде всего командующим фронтов:</w:t>
      </w:r>
    </w:p>
    <w:p w14:paraId="5E618B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безусловно ликвидировать отступательные настроения в войсках и железной рукой пресекать пропаганду о том, что мы можем и должны якобы отступать и дальше на восток, что от такого отступления не будет якобы вреда;</w:t>
      </w:r>
    </w:p>
    <w:p w14:paraId="5F24A2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безусловно снимать с поста и направлять в Ставку для привлечения военному суду командующих армиями, допустивших самовольный отход войск с занимаемых позиций, без приказа командования фронта;</w:t>
      </w:r>
    </w:p>
    <w:p w14:paraId="1B7BC7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сформировать в пределах фронта от одного до трех (смотря по обстановке) штрафных батальона (по 800 человек),* куда направлять средних и старших командиров и соответствующих политработников всех родов войск, провинившихся в нарушении дисциплины по трусости или неустойчивости, и поставить их на более трудные участки фронта, чтобы дать им возможность искупить кровью свои преступления против Родины.</w:t>
      </w:r>
    </w:p>
    <w:p w14:paraId="76A029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Военным советам армий и прежде всего командующим армиями:</w:t>
      </w:r>
    </w:p>
    <w:p w14:paraId="797063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безусловно снимать с постов командиров и комиссаров корпусов и дивизий, допустивших самовольный отход войск с занимаемых позиций без приказа командования армии, и направлять их в военный совет фронта для предания военному суду;</w:t>
      </w:r>
    </w:p>
    <w:p w14:paraId="67B2AB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сформировать в пределах армии 3 — 5 хорошо вооруженных заградительных отряда (до 200 человек в каждом), поставить их в непосредственном тылу неустойчивых дивизий и обязать их в случае паники и беспорядочного отхода частей дивизии расстреливать на месте паникеров и трусов и тем помочь честным бойцам дивизий выполнить свой долг перед Родиной;</w:t>
      </w:r>
    </w:p>
    <w:p w14:paraId="4C679F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сформировать в пределах армии от пяти до десяти (смотря по обстановке) штрафных рот (от 150 до 200 человек в каждой), куда направлять рядовых бойцов и младших командиров, провинившихся в нарушении дисциплины по трусости или неустойчивости, и поставить их на трудные участки армии, чтобы дать им возможность искупить кровью свои преступле-ния перед Родиной.</w:t>
      </w:r>
    </w:p>
    <w:p w14:paraId="3E4DE5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Командирам и комиссарам корпусов и дивизий:</w:t>
      </w:r>
    </w:p>
    <w:p w14:paraId="4D5EE5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безусловно снимать с постов командиров и комиссаров полков и батальонов, допустивших самовольный отход частей без приказа командира корпуса или дивизии, отбирать у них ордена и медали и направлять их в военные советы фронта* для предания военному суду;</w:t>
      </w:r>
    </w:p>
    <w:p w14:paraId="4C8A5DF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оказывать всяческую помощь и поддержку заградительным отрядам армии в деле укрепления порядка и дисциплины в частях.</w:t>
      </w:r>
    </w:p>
    <w:p w14:paraId="7343A1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 прочесть во всех ротах, эскадронах, батареях, эскадрильях, командах, штабах.</w:t>
      </w:r>
    </w:p>
    <w:p w14:paraId="048B0A07"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Народный комиссар обороны СССР И. СТАЛИН </w:t>
      </w:r>
      <w:r w:rsidRPr="00722885">
        <w:rPr>
          <w:color w:val="000000" w:themeColor="text1"/>
          <w:sz w:val="16"/>
          <w:szCs w:val="16"/>
        </w:rPr>
        <w:t>(9844).</w:t>
      </w:r>
    </w:p>
    <w:p w14:paraId="650C5787" w14:textId="77777777" w:rsidR="00AE7191" w:rsidRPr="00722885" w:rsidRDefault="00AE7191" w:rsidP="00722885">
      <w:pPr>
        <w:pStyle w:val="Iauiue"/>
        <w:jc w:val="both"/>
        <w:rPr>
          <w:color w:val="000000" w:themeColor="text1"/>
          <w:sz w:val="16"/>
          <w:szCs w:val="16"/>
        </w:rPr>
      </w:pPr>
    </w:p>
    <w:p w14:paraId="2586BD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июля 1942 немцы взяли Ростов-на-Дону и начали продвигаться на Кавказ (3907,236).</w:t>
      </w:r>
    </w:p>
    <w:p w14:paraId="3D244B1B" w14:textId="77777777" w:rsidR="00AE7191" w:rsidRPr="00722885" w:rsidRDefault="00AE7191" w:rsidP="00722885">
      <w:pPr>
        <w:pStyle w:val="Iauiue"/>
        <w:jc w:val="both"/>
        <w:rPr>
          <w:color w:val="000000" w:themeColor="text1"/>
          <w:sz w:val="16"/>
          <w:szCs w:val="16"/>
        </w:rPr>
      </w:pPr>
    </w:p>
    <w:p w14:paraId="3462315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положение на Волге обсуждал Государственный комитет обороны. Было принято решение об установке зенитного вооружения на судах, работающих в Южном Поволжье. На корабли назначались помощники капитанов по военной части, в обязанности которых входило командование боевыми расчетами. Уже в следующие дни в Сталинградском порту закипела работа. На нескольких пароходах срочно приваривали броневые листы к рулевым рубкам, грузили 37-мм зенитные пушки и пулеметы, матросы затаскивали на борт ящики с боеприпасами. Но оружия везде не хватало, и поначалу смогли наскрести только на 16 судов. В то же время бакенщики получили приказ сократить число и замаскировать навигационные ограждения на реке. Из речного транспорта в срочном порядке были изъяты 16 пассажирских и семь буксирных катеров для переоборудования в тральщики (11774).</w:t>
      </w:r>
    </w:p>
    <w:p w14:paraId="360A901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E47C8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1942 вышло Постановление ГКО № 2114 О сформировании 7-8 стрелковых дивизий в Северо-Кавказском военном округе. РГАНИР, Фонд ГКО, д. 48, лл. 118 (11012).</w:t>
      </w:r>
    </w:p>
    <w:p w14:paraId="32EC951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9213195"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4977F5DF" w14:textId="77777777" w:rsidR="00AE7191" w:rsidRPr="00722885" w:rsidRDefault="00AE7191" w:rsidP="00722885">
      <w:pPr>
        <w:pStyle w:val="Iauiue"/>
        <w:jc w:val="both"/>
        <w:rPr>
          <w:iCs/>
          <w:color w:val="000000" w:themeColor="text1"/>
          <w:sz w:val="16"/>
          <w:szCs w:val="16"/>
        </w:rPr>
      </w:pPr>
    </w:p>
    <w:p w14:paraId="1A205690" w14:textId="77777777" w:rsidR="00AE7191" w:rsidRPr="00722885" w:rsidRDefault="00AE7191" w:rsidP="00722885">
      <w:pPr>
        <w:pStyle w:val="Iauiue"/>
        <w:tabs>
          <w:tab w:val="left" w:pos="11199"/>
        </w:tabs>
        <w:jc w:val="both"/>
        <w:rPr>
          <w:color w:val="000000" w:themeColor="text1"/>
          <w:sz w:val="16"/>
          <w:szCs w:val="16"/>
          <w:lang w:val="en-US"/>
        </w:rPr>
      </w:pPr>
      <w:r w:rsidRPr="00722885">
        <w:rPr>
          <w:color w:val="000000" w:themeColor="text1"/>
          <w:sz w:val="16"/>
          <w:szCs w:val="16"/>
        </w:rPr>
        <w:t xml:space="preserve">28 июля 1942 вышло Постановление ГКО № 2119 О свертывании коечной госпитальной сети Наркомздрава. </w:t>
      </w:r>
      <w:r w:rsidRPr="00722885">
        <w:rPr>
          <w:color w:val="000000" w:themeColor="text1"/>
          <w:sz w:val="16"/>
          <w:szCs w:val="16"/>
          <w:lang w:val="en-US"/>
        </w:rPr>
        <w:t>(7047, 124).</w:t>
      </w:r>
    </w:p>
    <w:p w14:paraId="65A59107" w14:textId="77777777" w:rsidR="00AE7191" w:rsidRPr="00722885" w:rsidRDefault="00AE7191" w:rsidP="00722885">
      <w:pPr>
        <w:pStyle w:val="Iauiue"/>
        <w:tabs>
          <w:tab w:val="left" w:pos="11199"/>
        </w:tabs>
        <w:jc w:val="both"/>
        <w:rPr>
          <w:color w:val="000000" w:themeColor="text1"/>
          <w:sz w:val="16"/>
          <w:szCs w:val="16"/>
          <w:lang w:val="en-US"/>
        </w:rPr>
      </w:pPr>
    </w:p>
    <w:p w14:paraId="1BB994A9"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July 28, 1942: The effect of the fall of Rostov spreads panic and terror in the Soviet Union, promting harsh counter-measures by the Soviet High Command (3819).</w:t>
      </w:r>
    </w:p>
    <w:p w14:paraId="3988C613" w14:textId="77777777" w:rsidR="00AE7191" w:rsidRPr="00722885" w:rsidRDefault="00AE7191" w:rsidP="00722885">
      <w:pPr>
        <w:pStyle w:val="Iauiue"/>
        <w:jc w:val="both"/>
        <w:rPr>
          <w:color w:val="000000" w:themeColor="text1"/>
          <w:sz w:val="16"/>
          <w:szCs w:val="16"/>
          <w:lang w:val="en-US"/>
        </w:rPr>
      </w:pPr>
    </w:p>
    <w:p w14:paraId="4F23A6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июля 1942 эффект падения Ростова породил панику в СССР (3819).</w:t>
      </w:r>
    </w:p>
    <w:p w14:paraId="25C8FFF7" w14:textId="77777777" w:rsidR="00AE7191" w:rsidRPr="00722885" w:rsidRDefault="00AE7191" w:rsidP="00722885">
      <w:pPr>
        <w:pStyle w:val="Iauiue"/>
        <w:jc w:val="both"/>
        <w:rPr>
          <w:color w:val="000000" w:themeColor="text1"/>
          <w:sz w:val="16"/>
          <w:szCs w:val="16"/>
        </w:rPr>
      </w:pPr>
    </w:p>
    <w:p w14:paraId="2B105CFB" w14:textId="77777777" w:rsidR="00326FD0" w:rsidRPr="00722885" w:rsidRDefault="00326FD0" w:rsidP="00722885">
      <w:pPr>
        <w:pStyle w:val="Iauiue"/>
        <w:tabs>
          <w:tab w:val="left" w:pos="11199"/>
        </w:tabs>
        <w:jc w:val="both"/>
        <w:rPr>
          <w:color w:val="000000" w:themeColor="text1"/>
          <w:sz w:val="16"/>
          <w:szCs w:val="16"/>
        </w:rPr>
      </w:pPr>
      <w:r w:rsidRPr="00722885">
        <w:rPr>
          <w:color w:val="000000" w:themeColor="text1"/>
          <w:sz w:val="16"/>
          <w:szCs w:val="16"/>
        </w:rPr>
        <w:t>28 июля 1942 нацисты расстреляли 10 тысяч евреев в Минске (4962).</w:t>
      </w:r>
    </w:p>
    <w:p w14:paraId="2DCBD024" w14:textId="77777777" w:rsidR="00326FD0" w:rsidRPr="00722885" w:rsidRDefault="00326FD0" w:rsidP="00722885">
      <w:pPr>
        <w:pStyle w:val="Iauiue"/>
        <w:tabs>
          <w:tab w:val="left" w:pos="11199"/>
        </w:tabs>
        <w:jc w:val="both"/>
        <w:rPr>
          <w:color w:val="000000" w:themeColor="text1"/>
          <w:sz w:val="16"/>
          <w:szCs w:val="16"/>
        </w:rPr>
      </w:pPr>
    </w:p>
    <w:p w14:paraId="7EFCCF7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3AEFE23" w14:textId="77777777" w:rsidR="00AE7191" w:rsidRPr="00722885" w:rsidRDefault="00AE7191" w:rsidP="00722885">
      <w:pPr>
        <w:pStyle w:val="Iauiue"/>
        <w:jc w:val="both"/>
        <w:rPr>
          <w:iCs/>
          <w:color w:val="000000" w:themeColor="text1"/>
          <w:sz w:val="16"/>
          <w:szCs w:val="16"/>
        </w:rPr>
      </w:pPr>
    </w:p>
    <w:p w14:paraId="2B5867B2"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28 июля в 1942 году первый полет итальянского ударного самолета </w:t>
      </w:r>
      <w:hyperlink r:id="rId41" w:tgtFrame="_blank" w:history="1">
        <w:r w:rsidRPr="00722885">
          <w:rPr>
            <w:rFonts w:ascii="Times New Roman" w:hAnsi="Times New Roman"/>
            <w:color w:val="000000" w:themeColor="text1"/>
            <w:sz w:val="16"/>
            <w:szCs w:val="16"/>
          </w:rPr>
          <w:t xml:space="preserve">«SM.89» («ММ.533»). </w:t>
        </w:r>
      </w:hyperlink>
      <w:r w:rsidRPr="00722885">
        <w:rPr>
          <w:rFonts w:ascii="Times New Roman" w:hAnsi="Times New Roman"/>
          <w:color w:val="000000" w:themeColor="text1"/>
          <w:sz w:val="16"/>
          <w:szCs w:val="16"/>
        </w:rPr>
        <w:t>Его заводские испытания, проходившие на аэродроме «Vergiate» проводил летчик-испытатель «Guglielmo Algarotti». В октябре прототип передали в исследовательский центр в «Guidonia» в Риме для проведения всесторонних тестов. Несмотря на отсутствие третьего мотора и возросшую полетную массу «SM.89» показал весьма неплохие характеристики (14966).</w:t>
      </w:r>
    </w:p>
    <w:p w14:paraId="798EEF7A" w14:textId="77777777" w:rsidR="00326FD0" w:rsidRPr="00722885" w:rsidRDefault="00326FD0" w:rsidP="00722885">
      <w:pPr>
        <w:spacing w:after="0" w:line="240" w:lineRule="auto"/>
        <w:jc w:val="both"/>
        <w:rPr>
          <w:rFonts w:ascii="Times New Roman" w:hAnsi="Times New Roman"/>
          <w:color w:val="000000" w:themeColor="text1"/>
          <w:sz w:val="16"/>
          <w:szCs w:val="16"/>
        </w:rPr>
      </w:pPr>
    </w:p>
    <w:p w14:paraId="7D8EAD9D"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28–29 июля (ночь) 1942 256 британских бомбардировщиков атакуют Гамбург, Германия, при этом потеряно 30 самолетов, что явилось неприемлемо высоким уровнем потерь - 11,7% (20793).</w:t>
      </w:r>
    </w:p>
    <w:p w14:paraId="65A76ACD" w14:textId="77777777" w:rsidR="00650296" w:rsidRPr="00722885" w:rsidRDefault="00650296" w:rsidP="00722885">
      <w:pPr>
        <w:spacing w:after="0" w:line="240" w:lineRule="auto"/>
        <w:jc w:val="both"/>
        <w:rPr>
          <w:rFonts w:ascii="Times New Roman" w:hAnsi="Times New Roman"/>
          <w:color w:val="0070C0"/>
          <w:sz w:val="16"/>
          <w:szCs w:val="16"/>
        </w:rPr>
      </w:pPr>
    </w:p>
    <w:p w14:paraId="7B8617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июля 1942 японская императорская ставка издала приказ о начале общего наступления на Новой Гвинее (3186).</w:t>
      </w:r>
    </w:p>
    <w:p w14:paraId="622E3D2F" w14:textId="77777777" w:rsidR="00AE7191" w:rsidRPr="00722885" w:rsidRDefault="00AE7191" w:rsidP="00722885">
      <w:pPr>
        <w:pStyle w:val="Iauiue"/>
        <w:jc w:val="both"/>
        <w:rPr>
          <w:color w:val="000000" w:themeColor="text1"/>
          <w:sz w:val="16"/>
          <w:szCs w:val="16"/>
        </w:rPr>
      </w:pPr>
    </w:p>
    <w:p w14:paraId="22EE259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524F2D1" w14:textId="77777777" w:rsidR="00AE7191" w:rsidRPr="00722885" w:rsidRDefault="00AE7191" w:rsidP="00722885">
      <w:pPr>
        <w:pStyle w:val="Iauiue"/>
        <w:jc w:val="both"/>
        <w:rPr>
          <w:iCs/>
          <w:color w:val="000000" w:themeColor="text1"/>
          <w:sz w:val="16"/>
          <w:szCs w:val="16"/>
        </w:rPr>
      </w:pPr>
    </w:p>
    <w:p w14:paraId="1583F10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1942 г. в письме № 946 на имя А.И. Шахурина и П.Ф. Жигарева С.В. Ильюшин писал, что «такая установка, состоя</w:t>
      </w:r>
      <w:r w:rsidRPr="00722885">
        <w:rPr>
          <w:rFonts w:ascii="Times New Roman" w:hAnsi="Times New Roman"/>
          <w:color w:val="000000" w:themeColor="text1"/>
          <w:sz w:val="16"/>
          <w:szCs w:val="16"/>
        </w:rPr>
        <w:softHyphen/>
        <w:t>щая из 2-х неподвижных закрепленных пулеметов, стреляющих на</w:t>
      </w:r>
      <w:r w:rsidRPr="00722885">
        <w:rPr>
          <w:rFonts w:ascii="Times New Roman" w:hAnsi="Times New Roman"/>
          <w:color w:val="000000" w:themeColor="text1"/>
          <w:sz w:val="16"/>
          <w:szCs w:val="16"/>
        </w:rPr>
        <w:softHyphen/>
        <w:t>зад, нами разработана. Стрельба назад по противнику производится простейшим зеркальным прицелом, основанным на принципе двойного отражения. Представляя при сем чертежи этой установки, прошу Вас и тов. Жигарева их утвердить и дать указание о срочном изготовлении этих установок в количестве 50-и штук для испыта</w:t>
      </w:r>
      <w:r w:rsidRPr="00722885">
        <w:rPr>
          <w:rFonts w:ascii="Times New Roman" w:hAnsi="Times New Roman"/>
          <w:color w:val="000000" w:themeColor="text1"/>
          <w:sz w:val="16"/>
          <w:szCs w:val="16"/>
        </w:rPr>
        <w:softHyphen/>
        <w:t>ния на фронте в боевых условиях с тем, чтобы в случае достаточно хорошей их эффективности, запустить их на все самолеты» (10695).</w:t>
      </w:r>
    </w:p>
    <w:p w14:paraId="01C3514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D10A95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33D4513" w14:textId="77777777" w:rsidR="00AE7191" w:rsidRPr="00722885" w:rsidRDefault="00AE7191" w:rsidP="00722885">
      <w:pPr>
        <w:pStyle w:val="Iauiue"/>
        <w:jc w:val="both"/>
        <w:rPr>
          <w:iCs/>
          <w:color w:val="000000" w:themeColor="text1"/>
          <w:sz w:val="16"/>
          <w:szCs w:val="16"/>
        </w:rPr>
      </w:pPr>
    </w:p>
    <w:p w14:paraId="208FCBE9"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в 1942 году поселку Каслинский, основанному в 1747 г. при строительстве чугуноплавильного и железоделательного завода на озере Большое Касли, присвоен статус города Касли (ныне — административный центр Челябинской области; один из старейших городов Южного Урала). Широко известен благодаря прославленному каслинскому литью (14967).</w:t>
      </w:r>
    </w:p>
    <w:p w14:paraId="478E7399" w14:textId="77777777" w:rsidR="00326FD0" w:rsidRPr="00722885" w:rsidRDefault="00326FD0" w:rsidP="00722885">
      <w:pPr>
        <w:spacing w:after="0" w:line="240" w:lineRule="auto"/>
        <w:jc w:val="both"/>
        <w:rPr>
          <w:rFonts w:ascii="Times New Roman" w:hAnsi="Times New Roman"/>
          <w:color w:val="000000" w:themeColor="text1"/>
          <w:sz w:val="16"/>
          <w:szCs w:val="16"/>
        </w:rPr>
      </w:pPr>
    </w:p>
    <w:p w14:paraId="3EF59923"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29 июля 1942 года вышел приказ № 530с НКБ</w:t>
      </w:r>
    </w:p>
    <w:p w14:paraId="6F00A469"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Присвоить принятому в состав НКБ Электромеханическому заводу “КЭС” НККХ РСФСР № 737 и подчинить 5 Главному управлению (5905, 230).</w:t>
      </w:r>
    </w:p>
    <w:p w14:paraId="06B0420A" w14:textId="77777777" w:rsidR="00AE7191" w:rsidRPr="00722885" w:rsidRDefault="00AE7191" w:rsidP="00722885">
      <w:pPr>
        <w:pStyle w:val="Iauiue"/>
        <w:tabs>
          <w:tab w:val="left" w:pos="11199"/>
        </w:tabs>
        <w:jc w:val="both"/>
        <w:rPr>
          <w:color w:val="000000" w:themeColor="text1"/>
          <w:sz w:val="16"/>
          <w:szCs w:val="16"/>
        </w:rPr>
      </w:pPr>
    </w:p>
    <w:p w14:paraId="32E230B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1942 вышло Постановление ГКО № 2121 О вывозе электротехнического оборудования со Сталинградской эвакобазы Hаркомэлектростанций. РГАНИР, Фонд ГКО, д. 48, лл. 135 (11012).</w:t>
      </w:r>
    </w:p>
    <w:p w14:paraId="2A7356A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5CF7E9D"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29 июля 1942 вышло Постановление ГКО № 2125 Об обеспечении заготовки и поставки дров заводам Наркомвооружения № 71, 74 и 367 [Ижевск]. (7047, 140-143).</w:t>
      </w:r>
    </w:p>
    <w:p w14:paraId="243906E2" w14:textId="77777777" w:rsidR="00AE7191" w:rsidRPr="00722885" w:rsidRDefault="00AE7191" w:rsidP="00722885">
      <w:pPr>
        <w:pStyle w:val="Iauiue"/>
        <w:tabs>
          <w:tab w:val="left" w:pos="11199"/>
        </w:tabs>
        <w:jc w:val="both"/>
        <w:rPr>
          <w:color w:val="000000" w:themeColor="text1"/>
          <w:sz w:val="16"/>
          <w:szCs w:val="16"/>
        </w:rPr>
      </w:pPr>
    </w:p>
    <w:p w14:paraId="3AC9C84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29 июля 1942 вышло Постановление ГКО № 2126 О строительстве железнодорожной ветви Джезказган - Джездинский марганцевый рудник. (7047, 144-147).</w:t>
      </w:r>
    </w:p>
    <w:p w14:paraId="6A14D36F" w14:textId="77777777" w:rsidR="00AE7191" w:rsidRPr="00722885" w:rsidRDefault="00AE7191" w:rsidP="00722885">
      <w:pPr>
        <w:pStyle w:val="Iauiue"/>
        <w:tabs>
          <w:tab w:val="left" w:pos="11199"/>
        </w:tabs>
        <w:jc w:val="both"/>
        <w:rPr>
          <w:color w:val="000000" w:themeColor="text1"/>
          <w:sz w:val="16"/>
          <w:szCs w:val="16"/>
        </w:rPr>
      </w:pPr>
    </w:p>
    <w:p w14:paraId="3C00376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29 июля 1942 вышло Постановление ГКО № 2127 Об усилении пропускной способности Ашхабадской, Ташкентской, Оренбургской и Туркестано-Сибирской ж.д. (7047, 148).</w:t>
      </w:r>
    </w:p>
    <w:p w14:paraId="6F59F102" w14:textId="77777777" w:rsidR="00AE7191" w:rsidRPr="00722885" w:rsidRDefault="00AE7191" w:rsidP="00722885">
      <w:pPr>
        <w:pStyle w:val="Iauiue"/>
        <w:tabs>
          <w:tab w:val="left" w:pos="11199"/>
        </w:tabs>
        <w:jc w:val="both"/>
        <w:rPr>
          <w:color w:val="000000" w:themeColor="text1"/>
          <w:sz w:val="16"/>
          <w:szCs w:val="16"/>
        </w:rPr>
      </w:pPr>
    </w:p>
    <w:p w14:paraId="687FD9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1942 закладка на стапеле Балтийского завода носовой оконечности для эсминца "Сторожевой" (10671).</w:t>
      </w:r>
    </w:p>
    <w:p w14:paraId="0BC1523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27CEF7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DFC5584" w14:textId="77777777" w:rsidR="00AE7191" w:rsidRPr="00722885" w:rsidRDefault="00AE7191" w:rsidP="00722885">
      <w:pPr>
        <w:pStyle w:val="Iauiue"/>
        <w:jc w:val="both"/>
        <w:rPr>
          <w:iCs/>
          <w:color w:val="000000" w:themeColor="text1"/>
          <w:sz w:val="16"/>
          <w:szCs w:val="16"/>
        </w:rPr>
      </w:pPr>
    </w:p>
    <w:p w14:paraId="34699141"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в 1942 году утреннее сообщение Совинформбюро:</w:t>
      </w:r>
    </w:p>
    <w:p w14:paraId="50F63E75"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29 июля наши войска вели бои с противником в районе Воронежа, а также в районах Цымлянская, Батайск.</w:t>
      </w:r>
    </w:p>
    <w:p w14:paraId="11C6F229"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1844D8B4"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продолжались бои, в ходе которых немецко-фашистские войска несут большие потери. Одно наше пехотное соединение за десять дней уничтожило 10.800 немецких солдат и офицеров, 158 танков, 28 самолётов и 88 автомашин. Захвачены 24 орудия, 90 пулемётов, 14 миномётов, много снарядов и другие трофеи.</w:t>
      </w:r>
    </w:p>
    <w:p w14:paraId="243A21A5"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бойцы проявляют находчивость и смекалку в борьбе против гитлеровцев. Красноармеец-разведчик тов. Кочкин обнаружил линию связи противника и, следуя по ней ползком, добрался до штабной палатки немцев. Отважный боец метнул в палатку несколько ручных гранат и уничтожил 10 офицеров. Старший сержант Костюченко подобрался к немецкой кухне и несколькими очередями из автомата истребил 30 солдат и одного немецкого офицера.</w:t>
      </w:r>
    </w:p>
    <w:p w14:paraId="65298FE1"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Дымлянской наши войска вели оборонительные бои. Советская бомбардировочная и штурмовая авиация наносила массированные удары по танкам и мотомехчастям противника. За один день наши лётчики уничтожили 36 немецких танков и 106 автомашин с пехотой и военными грузами. В воздушных боях сбито 13 немецких самолётов.</w:t>
      </w:r>
    </w:p>
    <w:p w14:paraId="06819BE2"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Батайска продолжались ожесточённые бои. Наши бойцы оказывают упорное сопротивление наступающим войскам противника. В течение вчерашнего дня на одном участке подбито 19 немецких танков и уничтожено 1.100 солдат и офицеров противника. Только после того, как немцы ввели в бой новые силы, наши части отошли на другой оборонительный рубеж.</w:t>
      </w:r>
    </w:p>
    <w:p w14:paraId="3545EB38"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наши части потеснили противника и улучшили свои позиции. Наши бойцы под командованием тов. Фокина овладели окраинами двух населённых пунктов и закрепились на достигнутом рубеже. На другом участке наши части продолжали вести активные бои. В результате этих боёв немцы потеряли убитыми и ранеными 1.200 солдат и офицеров. Артиллерийским и миномётным огнём подавлены 2 артиллерийские и 4 миномётные батареи, разрушено 10 ДЗОТов и рассеяно до батальона пехоты противника.</w:t>
      </w:r>
    </w:p>
    <w:p w14:paraId="565D8D12"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пехота противника при поддержке танков и авиации атаковала наши позиции. Бой принял упорный характер. Отдельные населённые пункты переходили из рук в руки по нескольку раз. В двухдневных бояхна этом участке гитлеровцы потеряли убитыми и ранеными до 2.000 солдат и офицеров, 2 самолёта, 4 танка, несколько орудий, 15 пулемётов и другое вооружение, захвачены пленные и трофеи.</w:t>
      </w:r>
    </w:p>
    <w:p w14:paraId="5DF9E18D"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киевских партизан под командованием тов. Е. совершил налёт на аэродром, где находились два немецких самолёта. Партизаны перебили охрану, сожгли самолёты и склад с бензином.</w:t>
      </w:r>
    </w:p>
    <w:p w14:paraId="564EBB48"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В., действующий в одном из районов Орловской области, пустил под откос немецкий эшелон с боеприпасами. За неделю боевых действий партизаны истребили 106 оккупантов.</w:t>
      </w:r>
    </w:p>
    <w:p w14:paraId="2573A9ED"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унтер-офицер 9 немецкой танковой дивизии. Иозеф Б. рассказал: «В мае дивизия получила значительное пополнение. Количество солдат в ротах было доведено до 120—140 человек. 33 танковый полк получил 50 старых отремонтированных танков и 50 новых с длинноствольными пушками новой конструкции. Кроме того, дивизии был придан танковый батальон из другой части. За две недели боёв дивизия потеряла свыше сотни танков. Людские потери также очень велики. Во втором батальоне 11 мотострелкового полка осталась всего лишь одна треть солдат. Примерно такое же положение в других частях и подразделениях. Наибольшие потери дивизия понесла от русской артиллерии и тяжёлых миномётов».</w:t>
      </w:r>
    </w:p>
    <w:p w14:paraId="614AAABC"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сожгли дотла деревни Беленино, Холмянка,Зализно, Курчебово, Левково и посёлок Сафоново, Сафоновского района, Смоленской области. Фашистские бандиты расстреляли в этих деревнях многих женщин, детей и стариков.» (14967).</w:t>
      </w:r>
    </w:p>
    <w:p w14:paraId="0884CCA3" w14:textId="77777777" w:rsidR="00326FD0" w:rsidRPr="00722885" w:rsidRDefault="00326FD0" w:rsidP="00722885">
      <w:pPr>
        <w:spacing w:after="0" w:line="240" w:lineRule="auto"/>
        <w:jc w:val="both"/>
        <w:rPr>
          <w:rFonts w:ascii="Times New Roman" w:hAnsi="Times New Roman"/>
          <w:color w:val="000000" w:themeColor="text1"/>
          <w:sz w:val="16"/>
          <w:szCs w:val="16"/>
        </w:rPr>
      </w:pPr>
    </w:p>
    <w:p w14:paraId="69AB30A0"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в 1942 году вечернее сообщение Совинформбюро:</w:t>
      </w:r>
    </w:p>
    <w:p w14:paraId="677558CB"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29 июля наши войска вели ожесточённые бои в районе Воронежа, а также в районах Цымлянская, Батайск и юго-западнее Клетская.</w:t>
      </w:r>
    </w:p>
    <w:p w14:paraId="1BDC4874"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6CD44269"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28 июля частями нашей авиации на различных участках фронта уничтожено или повреждено более 70 немецких танков, 240 автомашин с войсками и грузами, 20 повозок с боеприпасами, 4 автоцистерны с горючим, взорваны склад боеприпасов и склад горючего, подавлен огонь 15 батарей полевой и зенитной артиллерии, рассеяно и частью уничтожено до двух рот пехоты противника.</w:t>
      </w:r>
    </w:p>
    <w:p w14:paraId="26049FCC"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в результате атаки, завершившейся рукопашной схваткой, наша часть заняла населённый пункт. На подступах и на улицах населённого пункта немцы оставили свыше 500 трупов. Захвачено 4 орудия, 16 пулемётов, 8 миномётов и много боеприпасов. В течение дня гитлеровцы трижды пытались вернуть оставленные позиции, но, потеряв дополнительно 2 танка и 150 человек убитыми, отступили.</w:t>
      </w:r>
    </w:p>
    <w:p w14:paraId="1A730D15"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юго-западнее Клетской идут упорные бои. Советские войска сдерживают натиск немцев и сами наносят им удары. Наша пехотная часть, взаимодействуя станковым подразделением, разгромила прорвавшегося вперёд противника. В этом бою немцы потеряли до 1.500 солдат и офицеров, 19 танков, 45 автомашин и 60 мотоциклов. На другом участке наши танкисты и артиллеристы уничтожили 40 немецких танков.</w:t>
      </w:r>
    </w:p>
    <w:p w14:paraId="4AC9AC67"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наши войска вели ожесточённые бои по уничтожению группировки противника, переправившейся через Дон. В бою около населённого пункта Б. нашими бойцами уничтожено 12 немецких танков, несколько орудий и пулемётов. Немцы потеряли только убитыми свыше 800 солдат и офицеров. Противник непрерывно подводит резервы и сразу же бросает их в бой.</w:t>
      </w:r>
    </w:p>
    <w:p w14:paraId="35E7DA17"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Батайска продолжались тяжёлые бои с наступающими немецко-фашистскими войсками. Обороняя один важный рубеж, пехотное соединение при поддержке танков и авиации в течение дня уничтожило до 2.000 немецких солдат и офицеров, 28 танков и 15 орудий. Политрук взвода разведки т. Нечаев организовал засаду на пути наступающей группы противника. Подпустив врага на близкое расстояние, бойцы открыли огонь. Немцы в беспорядке отошли, оставив на дороге около 100 убитых солдат и офицеров.</w:t>
      </w:r>
    </w:p>
    <w:p w14:paraId="1AA662B3"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происходила артиллерийская перестрелка. За два дня огнём нашей артиллерии и действиями разведывательных групп истреблено свыше 400 немецких солдат и офицеров, уничтожено 4 орудия, 10 повозок с боеприпасами и продовольствием. Захвачены пленные. Группа красноармейцев подразделения т. Лобанова ворвалась в траншеи и блиндажи противника и в рукопашном бою уничтожила более 40 гитлеровцев. Захватив 3 пулемёта, миномёт и другие трофеи, бойцы вернулись в свою часть.</w:t>
      </w:r>
    </w:p>
    <w:p w14:paraId="7C25254C"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калининских партизан под командованием тов. М. заминировал участок железнодорожного пути. На минах подорвались три поезда противника, в том числе один воинский эшелон. По неполным данным, убито и ранено свыше 500 оккупантов.</w:t>
      </w:r>
    </w:p>
    <w:p w14:paraId="3814BE42"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6 роты 695 немецкого пехотного полка Вальтер Толлькюн рассказал: «Наш полк долгое время находился на побережье Ламанша, в 120 километрах от Лилля (Франция). В мае мы получили приказ выступить. Офицеры говорили, что едем в Югославию. Доехав до Варшавы, мы поняли, что нас везут на Восточный фронт. 11 июля мы впервые участвовали в бою. Русские танки и пехота окружили и разгромили роту. В живых нас осталось только 15 человек, и все сдались в плен».</w:t>
      </w:r>
    </w:p>
    <w:p w14:paraId="0ED3C851"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Многие колхозы досрочно выполняют поставки государству хлеба, мяса и сырья. Сельскохозяйственная артель «Улан Хальмг», Юстинского улуса, Калмыцкой АССР, сдала государству 13.200 пудов пшеницы, ржи и ячменя. Колхозники артели «Сибирский партизан», Шарыповского района, Хакасской автономной области, перевыполнили план поставок мяса. Досрочно завершили мясопоставки колхозники Кедского района Аджарии. Шелководы Гармского района, Таджикской ССР, сдали государству сверх плана около 22 тонн коконов.» (14967).</w:t>
      </w:r>
    </w:p>
    <w:p w14:paraId="6DB872D6" w14:textId="77777777" w:rsidR="00326FD0" w:rsidRPr="00722885" w:rsidRDefault="00326FD0" w:rsidP="00722885">
      <w:pPr>
        <w:spacing w:after="0" w:line="240" w:lineRule="auto"/>
        <w:jc w:val="both"/>
        <w:rPr>
          <w:rFonts w:ascii="Times New Roman" w:hAnsi="Times New Roman"/>
          <w:color w:val="000000" w:themeColor="text1"/>
          <w:sz w:val="16"/>
          <w:szCs w:val="16"/>
        </w:rPr>
      </w:pPr>
    </w:p>
    <w:p w14:paraId="581A6A69"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в 1942 году начался контрудар 4-й танковой армии на Дону из района Трёхостровской в западном направлении. Войска армии разорвали фронт окружения противника двух советских дивизий (оборонялись в районе Верхней Бузиновки) и закрепились на рубеже Ореховский, Евлампиевский (14967).</w:t>
      </w:r>
    </w:p>
    <w:p w14:paraId="087122ED" w14:textId="77777777" w:rsidR="00326FD0" w:rsidRPr="00722885" w:rsidRDefault="00326FD0" w:rsidP="00722885">
      <w:pPr>
        <w:spacing w:after="0" w:line="240" w:lineRule="auto"/>
        <w:jc w:val="both"/>
        <w:rPr>
          <w:rFonts w:ascii="Times New Roman" w:hAnsi="Times New Roman"/>
          <w:color w:val="000000" w:themeColor="text1"/>
          <w:sz w:val="16"/>
          <w:szCs w:val="16"/>
        </w:rPr>
      </w:pPr>
    </w:p>
    <w:p w14:paraId="77559D56"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29 июля 1942 начался контрудар 4-й танковой армии на Дону из района Трёхостровской в западном направлении. Войска армии разорвали фронт окружения противника двух советских дивизий (оборонялись в районе Верхней Бузиновки) и закрепились на рубеже Ореховский, Евлампиевский (4963 ).</w:t>
      </w:r>
    </w:p>
    <w:p w14:paraId="2A81D1C6" w14:textId="77777777" w:rsidR="00AE7191" w:rsidRPr="00722885" w:rsidRDefault="00AE7191" w:rsidP="00722885">
      <w:pPr>
        <w:pStyle w:val="Iauiue"/>
        <w:tabs>
          <w:tab w:val="left" w:pos="11199"/>
        </w:tabs>
        <w:jc w:val="both"/>
        <w:rPr>
          <w:color w:val="000000" w:themeColor="text1"/>
          <w:sz w:val="16"/>
          <w:szCs w:val="16"/>
        </w:rPr>
      </w:pPr>
    </w:p>
    <w:p w14:paraId="51595133"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July 29, 1942: German troops take Proletarskaya and establish a bridgehead over the Manych River in the Caucasus region (3819).</w:t>
      </w:r>
    </w:p>
    <w:p w14:paraId="6A8CFB2D" w14:textId="77777777" w:rsidR="00AE7191" w:rsidRPr="00722885" w:rsidRDefault="00AE7191" w:rsidP="00722885">
      <w:pPr>
        <w:pStyle w:val="Iauiue"/>
        <w:jc w:val="both"/>
        <w:rPr>
          <w:color w:val="000000" w:themeColor="text1"/>
          <w:sz w:val="16"/>
          <w:szCs w:val="16"/>
          <w:lang w:val="en-US"/>
        </w:rPr>
      </w:pPr>
    </w:p>
    <w:p w14:paraId="3D8CCB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29 июля 1942 германские войска заняли Пролетарскую и закрепились на плацдарме у Маныча (3819).</w:t>
      </w:r>
    </w:p>
    <w:p w14:paraId="5D69069B" w14:textId="77777777" w:rsidR="00AE7191" w:rsidRPr="00722885" w:rsidRDefault="00AE7191" w:rsidP="00722885">
      <w:pPr>
        <w:pStyle w:val="Iauiue"/>
        <w:jc w:val="both"/>
        <w:rPr>
          <w:color w:val="000000" w:themeColor="text1"/>
          <w:sz w:val="16"/>
          <w:szCs w:val="16"/>
        </w:rPr>
      </w:pPr>
    </w:p>
    <w:p w14:paraId="212F5F3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1942 на участке Астрахань – Камышин в пути находилось в общей сложности 220 тыс. т нефтепродуктов. В этот день пароход «Коллективизация» под командованием капитана А. С. Чеснокова следовал вверх по течению с тремя нефтебаржами на буксире. В районе поселка Соленое Займище, в 40 км южнее Ахтубинска, судно атаковали два Не-111. Несколько бомб попали в баржи, остальные взорвались по левому борту. При этом осколками был убит механик Ф. С. Востриков. Героическими усилиями матросов горящие баржи удалось отцепить и продолжить путь с одной уцелевшей (11774).</w:t>
      </w:r>
    </w:p>
    <w:p w14:paraId="3164CB4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2D808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29 июля 1942 состоялось первое боевое применение торпедоносцев в СССР. Пара ДБ-3Ф 24 мтап (ведущий к И.Я.Гарбуз и ведомый к Б.С.Громов) потопили два транспорта общим водоизмещением около 20 тыс. тонн в Парсангер Фиорде близ побережья Норвегии (3846,17).</w:t>
      </w:r>
    </w:p>
    <w:p w14:paraId="34C2C504" w14:textId="77777777" w:rsidR="00AE7191" w:rsidRPr="00722885" w:rsidRDefault="00AE7191" w:rsidP="00722885">
      <w:pPr>
        <w:pStyle w:val="Iauiue"/>
        <w:jc w:val="both"/>
        <w:rPr>
          <w:color w:val="000000" w:themeColor="text1"/>
          <w:sz w:val="16"/>
          <w:szCs w:val="16"/>
        </w:rPr>
      </w:pPr>
    </w:p>
    <w:p w14:paraId="2F0D04E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29 июля 1942 экипаж к Гарбуза СФ с использованием низких торпед потопил крупный транспорт на подходе к порту Вардэ. Это впервые (1085,149).</w:t>
      </w:r>
    </w:p>
    <w:p w14:paraId="218198E3" w14:textId="77777777" w:rsidR="00AE7191" w:rsidRPr="00722885" w:rsidRDefault="00AE7191" w:rsidP="00722885">
      <w:pPr>
        <w:pStyle w:val="Iauiue"/>
        <w:jc w:val="both"/>
        <w:rPr>
          <w:color w:val="000000" w:themeColor="text1"/>
          <w:sz w:val="16"/>
          <w:szCs w:val="16"/>
        </w:rPr>
      </w:pPr>
    </w:p>
    <w:p w14:paraId="03D3123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1942 на СФ, на основании данных воздушной разведки, пара Ил-4, которую вел капитан Гарбуз, атаковала конвой противника, состоявший из двух транспортов и семи кораблей охране</w:t>
      </w:r>
      <w:r w:rsidRPr="00722885">
        <w:rPr>
          <w:rFonts w:ascii="Times New Roman" w:hAnsi="Times New Roman"/>
          <w:color w:val="000000" w:themeColor="text1"/>
          <w:sz w:val="16"/>
          <w:szCs w:val="16"/>
        </w:rPr>
        <w:softHyphen/>
        <w:t>ния. В результате попадания двух тор</w:t>
      </w:r>
      <w:r w:rsidRPr="00722885">
        <w:rPr>
          <w:rFonts w:ascii="Times New Roman" w:hAnsi="Times New Roman"/>
          <w:color w:val="000000" w:themeColor="text1"/>
          <w:sz w:val="16"/>
          <w:szCs w:val="16"/>
        </w:rPr>
        <w:softHyphen/>
        <w:t>пед большой транспорт (водоизмеще</w:t>
      </w:r>
      <w:r w:rsidRPr="00722885">
        <w:rPr>
          <w:rFonts w:ascii="Times New Roman" w:hAnsi="Times New Roman"/>
          <w:color w:val="000000" w:themeColor="text1"/>
          <w:sz w:val="16"/>
          <w:szCs w:val="16"/>
        </w:rPr>
        <w:softHyphen/>
        <w:t>нием около 15000 г) затонул (10734,85).</w:t>
      </w:r>
    </w:p>
    <w:p w14:paraId="536D671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719E6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Считается, что 29 июля 1942 был первый зафиксированный случай боевого применения торпедоносцев. Пара ДБ-3Ф из 24 мтап (ведомый Б.С.Громов) потопили два транспорта водоизмещением 20 тыс. т вблизи побережья Норвегии (Порсангер-фиорд) (2467,5).</w:t>
      </w:r>
    </w:p>
    <w:p w14:paraId="279E5FF9" w14:textId="77777777" w:rsidR="00AE7191" w:rsidRPr="00722885" w:rsidRDefault="00AE7191" w:rsidP="00722885">
      <w:pPr>
        <w:pStyle w:val="Iauiue"/>
        <w:jc w:val="both"/>
        <w:rPr>
          <w:color w:val="000000" w:themeColor="text1"/>
          <w:sz w:val="16"/>
          <w:szCs w:val="16"/>
        </w:rPr>
      </w:pPr>
    </w:p>
    <w:p w14:paraId="01D4A1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1942 на основании данных воздушной разведки, пара Ил-4, которую вел капитан Гарбуз, атаковала конвой противника, состоявший из двух транспортов и семи кораблей охранения. В результате попадания двух торпед большой транспорт (водоизмещением около 15000 г) затонул (12021).</w:t>
      </w:r>
    </w:p>
    <w:p w14:paraId="5534835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AA04D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- 11 августа 1942 состоялась последняя по счету операция по минированию подходов к порту Котка. «Илы» без видимого успеха выставили у порта шесть АМГ и 23 А-1-IV (кроме того, из-за неполадок в матчасти две мины были сброшены в Лужской губе и одна в озеро перед посадкой). Всего в течение года бомбардировщики 1 -го ГМТАП сбросили 97 мин (в т.ч. три - аварийно), но успеха так и не добились. Флот противника оказался готов к борьбе с нашими минами, в том числе и неконтактными, уже давно переставшими быть диковинкой на «западных» ТВД. Если добавить к этому шаблонность нашей тактики (постановки во всех случаях совмещались с бомбардировочным ударом), то можно прийти к выводу, что обнаружение и уничтожение наших заграждений не составляли большего труда для минно-траль-ных служб немецкого и финского флотов (9965).</w:t>
      </w:r>
    </w:p>
    <w:p w14:paraId="52C5040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B38B4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1942 года 4-я танковая армия вступила в бой, когда ее 22-й танковый корпус (180 танков, из них 96 Т-34) нанес контрудар по 14-му танковому корпусу немцев у Верхней Бузиновки. Правда, во время маршей из-за поломок отстало 55 машин, из них 33 тридцатьчетверки. Продвинувшись на несколько километров, корпус потерял 14 танков (из них 11 Т-34), уничтожив при этом 2 танка, 12 орудий и захватив 25 автомобилей, минометную батарею и две цистерны с горючим. Однако на следующий день атака успеха не имела - взять Верхнюю Бузиновку не удалось, а потери корпуса составили 41 танк, из них 25 Т-34. Тем не менее, наступление немецких частей на этом участке удалось задержать (12217).</w:t>
      </w:r>
    </w:p>
    <w:p w14:paraId="7980970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52F89E4"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29 июля 1942 в СССР учреждены ордена Александра Невского, Суворова и Кутузова (4962).</w:t>
      </w:r>
    </w:p>
    <w:p w14:paraId="1BC9C446" w14:textId="77777777" w:rsidR="00AE7191" w:rsidRPr="00722885" w:rsidRDefault="00AE7191" w:rsidP="00722885">
      <w:pPr>
        <w:pStyle w:val="Iauiue"/>
        <w:tabs>
          <w:tab w:val="left" w:pos="11199"/>
        </w:tabs>
        <w:jc w:val="both"/>
        <w:rPr>
          <w:color w:val="000000" w:themeColor="text1"/>
          <w:sz w:val="16"/>
          <w:szCs w:val="16"/>
        </w:rPr>
      </w:pPr>
    </w:p>
    <w:p w14:paraId="267B80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1942 вышло Постановление ГКО № 2122 О т.т. Мочалове В.В. и Сухареве П.Е. РГАНИР, Фонд ГКО, д. 48, лл. 136 (11012).</w:t>
      </w:r>
    </w:p>
    <w:p w14:paraId="6AEE5B0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52635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1942 вышло Постановление ГКО № 2123 О т. Литвинове А.И. РГАНИР, Фонд ГКО, д. 48, лл. 137 (11012).</w:t>
      </w:r>
    </w:p>
    <w:p w14:paraId="35D92DB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7BC6B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1942 вышло Постановление ГКО № 2124 О реорганизации отдельной стрелковой бригады. РГАНИР, Фонд ГКО, д. 48, лл. 138-139 (11012).</w:t>
      </w:r>
    </w:p>
    <w:p w14:paraId="42639ED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2D0DAF9"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июля в 1942 году начальник Главного политического управления РККА издал директиву о разъяснении личному составу приказа № 227 от 28 июля 1942 г (14967).</w:t>
      </w:r>
    </w:p>
    <w:p w14:paraId="216D3F87" w14:textId="77777777" w:rsidR="00326FD0" w:rsidRPr="00722885" w:rsidRDefault="00326FD0" w:rsidP="00722885">
      <w:pPr>
        <w:spacing w:after="0" w:line="240" w:lineRule="auto"/>
        <w:jc w:val="both"/>
        <w:rPr>
          <w:rFonts w:ascii="Times New Roman" w:hAnsi="Times New Roman"/>
          <w:color w:val="000000" w:themeColor="text1"/>
          <w:sz w:val="16"/>
          <w:szCs w:val="16"/>
        </w:rPr>
      </w:pPr>
    </w:p>
    <w:p w14:paraId="772AD2F1"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0EB6189" w14:textId="77777777" w:rsidR="00AE7191" w:rsidRPr="00722885" w:rsidRDefault="00AE7191" w:rsidP="00722885">
      <w:pPr>
        <w:pStyle w:val="Iauiue"/>
        <w:jc w:val="both"/>
        <w:rPr>
          <w:iCs/>
          <w:color w:val="000000" w:themeColor="text1"/>
          <w:sz w:val="16"/>
          <w:szCs w:val="16"/>
        </w:rPr>
      </w:pPr>
    </w:p>
    <w:p w14:paraId="210993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 июля 1942 Нач. ГУЗ и ТС Селезнев и военком Шаповалов писали письмо № 388850 НКАП А.И.Ш.:</w:t>
      </w:r>
    </w:p>
    <w:p w14:paraId="076D2B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"Заводами НКАП самолеты Ил-2 и Пе-2 комплектуются кассетами для мелких бомб из расчета: один комплект кассет на три Ил-2 и один на два Пе-2.</w:t>
      </w:r>
    </w:p>
    <w:p w14:paraId="022A098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целях материального обеспечения выполнения приказа НКО N 0490 от 17 июня 1942 о значительном увеличении бомбардировочных дневных ударов по противнику, прошу Вас дать указания заводам, выпускающим Ил-2 и Пе-2 с 15 августа с.г. устанавливать на каждый самолет один комплект КМБ."</w:t>
      </w:r>
    </w:p>
    <w:p w14:paraId="21BCD6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Приложение: Проект постановления ГОКО на 1 листе (1632,132).</w:t>
      </w:r>
    </w:p>
    <w:p w14:paraId="64830D7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 ГОКО</w:t>
      </w:r>
    </w:p>
    <w:p w14:paraId="12A7C4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Содержание: О комплектовании самолетов ИЛ-2 и ПЕ-2 кассетами для мелких бомб из расчета: один комплект кассет на каждый самолет.</w:t>
      </w:r>
    </w:p>
    <w:p w14:paraId="4921A6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Обязать НКАП Шахурина с 15 августа 1942 года самолеты ИЛ-2 и ПЕ-2 комплектовать кассетами для мелких бомб - КМБ-ИЛ-2 и КМБ-ПЕ-2 из расчета: один комплект кассет на каждый самолет.</w:t>
      </w:r>
    </w:p>
    <w:p w14:paraId="2B0D580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Сталин (2728,125).</w:t>
      </w:r>
    </w:p>
    <w:p w14:paraId="39F678B4" w14:textId="77777777" w:rsidR="00AE7191" w:rsidRPr="00722885" w:rsidRDefault="00AE7191" w:rsidP="00722885">
      <w:pPr>
        <w:pStyle w:val="Iauiue"/>
        <w:jc w:val="both"/>
        <w:rPr>
          <w:color w:val="000000" w:themeColor="text1"/>
          <w:sz w:val="16"/>
          <w:szCs w:val="16"/>
        </w:rPr>
      </w:pPr>
    </w:p>
    <w:p w14:paraId="3F8176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 июля 1942 года секретарь обкома ВКП(б) Лукьянов писал письмо N 315с Маленкову.</w:t>
      </w:r>
    </w:p>
    <w:p w14:paraId="64B634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Конструкторами ОКБ-2 завода N 32 НКАП Можаровским, Веневидовым и гл. конструктором завода N 266 Енгибаряном в Кирове разработано новое средство вооружения для штурмовых действий с самолетов по уничтожению наземного противника - танков, мотопехоты, аэродромов и т.п.</w:t>
      </w:r>
    </w:p>
    <w:p w14:paraId="3CFD00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Эта система, названная авторами: Автоматическая комбинированная артиллерийская батарея (АКАБ) позволяет вести прицельный огонь высокой эффективности как совместно, так и раздельно с бомбометанием, путем непрерывной автоматической наводки оружия 2-х батарей на цель в соответствии со скоростью и высотой полета, с автоматическим сбрасыванием бомб по той же цели.</w:t>
      </w:r>
    </w:p>
    <w:p w14:paraId="5103AA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Система АКАБ заключает в себе следующее вооружение:</w:t>
      </w:r>
    </w:p>
    <w:p w14:paraId="14C325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2 пушки ШВАК кал. 20 мм с боезапасом по 200 снарядов на каждую (всего 400 снарядов).</w:t>
      </w:r>
    </w:p>
    <w:p w14:paraId="1D89CE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2 крупнокалиберных пулемета УБК кал. 12,7 мм с боезапасом по 220 патронов на каждый (всего 440 патронов).</w:t>
      </w:r>
    </w:p>
    <w:p w14:paraId="4AB908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Бомбовая нагрузка в зависимости от типа самолета.</w:t>
      </w:r>
    </w:p>
    <w:p w14:paraId="379334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Стрельба и бомбометание обслуживаются одним прицелом коллиматорного типа, имеющимся в серийных самолетах. Управление автоматикой АКАБ осуществляется одной кнопкой по заранее устанавливаемой программе огня. Простота наводки и управление огнем на простом горизонтальном полете при штурмовой атаке не требует высокой квалификации экипажа.</w:t>
      </w:r>
    </w:p>
    <w:p w14:paraId="254E39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Система автоматического управления АКАБ решает в кратчайшие промежутки времени атаки задачу прицельной стрельбы и бомбометания.</w:t>
      </w:r>
    </w:p>
    <w:p w14:paraId="44FCB9B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Система АКАБ изготовлена в 3-х экземплярах на 3 самолета испытана в наземных условиях. Испытанный экземпляр системы АКАБ запроектирован в варианте применительно к самолету Пе-2 и Пе-3 без существенных изменений конструкции серийного самолета.</w:t>
      </w:r>
    </w:p>
    <w:p w14:paraId="2E6CD1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Обком ВКП(б) считает необходимым и просит Вас обязать НКАП в кратчайший срок выделить самолет Пе-2 с завода N 22 и предложить директору завода N 22 Окулову и гл. конструктору этого завода Путилову в кратчайший срок смонтировать АКАБ на указанном самолете для проведения летных испытаний.</w:t>
      </w:r>
    </w:p>
    <w:p w14:paraId="1FC06E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Обком считает, что внедрением нового вида авиавооружения системы АКАБ, ВВС получит в ближайшее время на базе самолетов Пе-2, Пе-3 и др. находящихся в серийном производстве новый тип двухмоторного мощного штурмовика, оснащенного лучшим видом автоматического вооружения.</w:t>
      </w:r>
    </w:p>
    <w:p w14:paraId="346519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Приложение: акт наземных испытаний АКАБ на 19 листах (1633).</w:t>
      </w:r>
    </w:p>
    <w:p w14:paraId="258AA9F4" w14:textId="77777777" w:rsidR="00AE7191" w:rsidRPr="00722885" w:rsidRDefault="00AE7191" w:rsidP="00722885">
      <w:pPr>
        <w:pStyle w:val="Iauiue"/>
        <w:jc w:val="both"/>
        <w:rPr>
          <w:color w:val="000000" w:themeColor="text1"/>
          <w:sz w:val="16"/>
          <w:szCs w:val="16"/>
        </w:rPr>
      </w:pPr>
    </w:p>
    <w:p w14:paraId="53A6AC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 июля 1942 вышел приказ НКАП N 582с:</w:t>
      </w:r>
    </w:p>
    <w:p w14:paraId="3C3CAF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целях своевременной и всесторонней подготовки боевых самолетов к зимней эксплуатации:</w:t>
      </w:r>
    </w:p>
    <w:p w14:paraId="7F2056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Нач. ЛИИ Чесалову совместно с ГК А.С.Я., С.В.И., С.А.Л. и Путиловым к 19 августа 1942 разработать технические требования к эталонам основных боевых самолетов, оборудованных для зимней эксплуатации.</w:t>
      </w:r>
    </w:p>
    <w:p w14:paraId="169702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Директорам заводов 292, 153, 21, 126, 1, 18, 22 к 1 сентября 1942 обеспечить изготовление эталонов самолетов по тех. требованиям для зимней эксплуатации.</w:t>
      </w:r>
    </w:p>
    <w:p w14:paraId="3A57D3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5. Директорам и ГК заводов 292, 153, 21, 126, 1, 18, 22 к 15 октября 1942 оборудовать по схемам ЛИИ и ЦИАМ самолеты Як-1, як-7, ЛаГГ-3, ЛаГ-5, Ил-2, Ил-4, Пе-2 </w:t>
      </w:r>
      <w:r w:rsidRPr="00722885">
        <w:rPr>
          <w:color w:val="000000" w:themeColor="text1"/>
          <w:sz w:val="16"/>
          <w:szCs w:val="16"/>
        </w:rPr>
        <w:lastRenderedPageBreak/>
        <w:t>приспособлениями для расжижения масла бензином, испытать и дать инструкции по эксплуатации частям ВВС</w:t>
      </w:r>
    </w:p>
    <w:p w14:paraId="566919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(проверить и доработать применявшуюся ранее систему запуска холодных моторов с помощью пускового насоса ПН-1) (1582,29).</w:t>
      </w:r>
    </w:p>
    <w:p w14:paraId="18FBF398" w14:textId="77777777" w:rsidR="00AE7191" w:rsidRPr="00722885" w:rsidRDefault="00AE7191" w:rsidP="00722885">
      <w:pPr>
        <w:pStyle w:val="Iauiue"/>
        <w:jc w:val="both"/>
        <w:rPr>
          <w:color w:val="000000" w:themeColor="text1"/>
          <w:sz w:val="16"/>
          <w:szCs w:val="16"/>
        </w:rPr>
      </w:pPr>
    </w:p>
    <w:p w14:paraId="14BCBB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 июля 1942 Зам. Нач. 7 ГУ Алексеев в письме НКАП А.И.Ш. представил сравнительные данные времени набора высоты ЛаГГ-3, Як-1, Як-7 и МиГ-1, составленные по отчетам испытаний опытных и серийных экземпляров самолетов (1684,167).</w:t>
      </w:r>
    </w:p>
    <w:p w14:paraId="276586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ЛаГГ-3 были данные машин:</w:t>
      </w:r>
    </w:p>
    <w:p w14:paraId="7CE90F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опытный 301 завода</w:t>
      </w:r>
    </w:p>
    <w:p w14:paraId="13F6D2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серийный 21 завода N 2891 - хуже</w:t>
      </w:r>
    </w:p>
    <w:p w14:paraId="7EF3DD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серийный 21 завода N 31212912 - хуже</w:t>
      </w:r>
    </w:p>
    <w:p w14:paraId="6C9821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Як-1</w:t>
      </w:r>
    </w:p>
    <w:p w14:paraId="2355AF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опытный 115 завода</w:t>
      </w:r>
    </w:p>
    <w:p w14:paraId="292A8A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серийный 292 завода N 1569 - хуже</w:t>
      </w:r>
    </w:p>
    <w:p w14:paraId="602264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Як-7</w:t>
      </w:r>
    </w:p>
    <w:p w14:paraId="226AC8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серийный 153 N 2202</w:t>
      </w:r>
    </w:p>
    <w:p w14:paraId="758883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МиГ-1 АМ-35А</w:t>
      </w:r>
    </w:p>
    <w:p w14:paraId="113009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опытный 1 завода (1684,168).</w:t>
      </w:r>
    </w:p>
    <w:p w14:paraId="7AF38B87" w14:textId="77777777" w:rsidR="00AE7191" w:rsidRPr="00722885" w:rsidRDefault="00AE7191" w:rsidP="00722885">
      <w:pPr>
        <w:pStyle w:val="Iauiue"/>
        <w:jc w:val="both"/>
        <w:rPr>
          <w:color w:val="000000" w:themeColor="text1"/>
          <w:sz w:val="16"/>
          <w:szCs w:val="16"/>
        </w:rPr>
      </w:pPr>
    </w:p>
    <w:p w14:paraId="6C3CA66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июля 1942 года ВВС при</w:t>
      </w:r>
      <w:r w:rsidRPr="00722885">
        <w:rPr>
          <w:rFonts w:ascii="Times New Roman" w:hAnsi="Times New Roman"/>
          <w:color w:val="000000" w:themeColor="text1"/>
          <w:sz w:val="16"/>
          <w:szCs w:val="16"/>
        </w:rPr>
        <w:softHyphen/>
        <w:t>няли решение о прекращении формирования автожирных единиц. Экипа</w:t>
      </w:r>
      <w:r w:rsidRPr="00722885">
        <w:rPr>
          <w:rFonts w:ascii="Times New Roman" w:hAnsi="Times New Roman"/>
          <w:color w:val="000000" w:themeColor="text1"/>
          <w:sz w:val="16"/>
          <w:szCs w:val="16"/>
        </w:rPr>
        <w:softHyphen/>
        <w:t>жи автожиров пересадили на самолеты, 2 аппарата направили в летную школу Оренбурга, остальные списали (10224,56).</w:t>
      </w:r>
    </w:p>
    <w:p w14:paraId="6DC816F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0266E21"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D5BC4D3" w14:textId="77777777" w:rsidR="00AE7191" w:rsidRPr="00722885" w:rsidRDefault="00AE7191" w:rsidP="00722885">
      <w:pPr>
        <w:pStyle w:val="Iauiue"/>
        <w:jc w:val="both"/>
        <w:rPr>
          <w:iCs/>
          <w:color w:val="000000" w:themeColor="text1"/>
          <w:sz w:val="16"/>
          <w:szCs w:val="16"/>
        </w:rPr>
      </w:pPr>
    </w:p>
    <w:p w14:paraId="549AAE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 июля 1942 г. вышел ПРИКАЗ № 0580 О НАПРАВЛЕНИИ ТАНКОВ, ВЫПУСКАЕМЫХ СТАЛИНГРАДСКИМ ТРАКТОРНЫМ ЗАВОДОМ, НА СТАЛИНГРАДСКИЙ И СЕВЕРО-КАВКАЗСКИЙ ФРОНТЫ</w:t>
      </w:r>
    </w:p>
    <w:p w14:paraId="4D25CB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Обязать ГАБТУ все танки, выпускаемые СТЗ, направлять на обслуживание Сталинградского и Северо-Кавказского фронтов.</w:t>
      </w:r>
    </w:p>
    <w:p w14:paraId="3E0E2C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Из танков, выпускаемых СТЗ, формировать отдельные батальоны и отдельные бригады однотипного состава, т. е. целиком из танков Т-34, без малых танков.</w:t>
      </w:r>
    </w:p>
    <w:p w14:paraId="40DB7F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Отдельные батальоны Сталинградского формирования иметь в составе 21 танка Т-34, а отдельные бригады — в составе двух батальонов плюс два танка для командира бригады и начальника штаба бригады — всего 44 танка Т-34.</w:t>
      </w:r>
    </w:p>
    <w:p w14:paraId="3FB88A87"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Народный комиссар обороны И. СТАЛИН </w:t>
      </w:r>
      <w:r w:rsidRPr="00722885">
        <w:rPr>
          <w:color w:val="000000" w:themeColor="text1"/>
          <w:sz w:val="16"/>
          <w:szCs w:val="16"/>
        </w:rPr>
        <w:t>(9844).</w:t>
      </w:r>
    </w:p>
    <w:p w14:paraId="25A73C21" w14:textId="77777777" w:rsidR="00AE7191" w:rsidRPr="00722885" w:rsidRDefault="00AE7191" w:rsidP="00722885">
      <w:pPr>
        <w:pStyle w:val="Iauiue"/>
        <w:jc w:val="both"/>
        <w:rPr>
          <w:color w:val="000000" w:themeColor="text1"/>
          <w:sz w:val="16"/>
          <w:szCs w:val="16"/>
        </w:rPr>
      </w:pPr>
    </w:p>
    <w:p w14:paraId="1BBA84B9"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30 июля 1942 года вышел приказ № 538с НКБ</w:t>
      </w:r>
    </w:p>
    <w:p w14:paraId="5D8272A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Во исполнение постановления ГОКО № 2089с от 24 июля 1942 года:</w:t>
      </w:r>
    </w:p>
    <w:p w14:paraId="7075CC3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Начальнику 4 ГЛ. управления и директору завода № 561 передать завод в НКПС полностью со всем имеющимся на нем оборудованием ………. Начальнику 3 Гл. управления и директору завода № 579 передать Наркомсредмашу площадку строительства завода № 579 в г. Сталинске со всеми сооружениями (5905, 264).</w:t>
      </w:r>
    </w:p>
    <w:p w14:paraId="7227EF08" w14:textId="77777777" w:rsidR="00AE7191" w:rsidRPr="00722885" w:rsidRDefault="00AE7191" w:rsidP="00722885">
      <w:pPr>
        <w:pStyle w:val="Iauiue"/>
        <w:tabs>
          <w:tab w:val="left" w:pos="11199"/>
        </w:tabs>
        <w:jc w:val="both"/>
        <w:rPr>
          <w:color w:val="000000" w:themeColor="text1"/>
          <w:sz w:val="16"/>
          <w:szCs w:val="16"/>
        </w:rPr>
      </w:pPr>
    </w:p>
    <w:p w14:paraId="44D1AF29"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 июля 1942 года</w:t>
      </w:r>
    </w:p>
    <w:p w14:paraId="3B39921C"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93 лист 82 – 81</w:t>
      </w:r>
    </w:p>
    <w:p w14:paraId="2AA70A53"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6543D6EF"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ПО НАРОДНОМУ КОМИССАРИАТУ ТАНКОВОЙ ПРОМЫШЛЕННОСТИ СССР № 555с</w:t>
      </w:r>
    </w:p>
    <w:p w14:paraId="76998548"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7A9B220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 июля 1942 года.</w:t>
      </w:r>
    </w:p>
    <w:p w14:paraId="2C753E9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целях оказания заводу № 183 технической помощи в завершении проводимых заводом работ по обеспечению взаимозаменяемости, унификации и нормализации деталей и технологического процесса по Т-34 и перенесения этого опыта на другие заводы – ПРИКАЗЫВАЮ:</w:t>
      </w:r>
    </w:p>
    <w:p w14:paraId="28EEC474"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Организовать бригаду из работников ГПИ-8 и заводов Наркомата в составе:</w:t>
      </w:r>
    </w:p>
    <w:p w14:paraId="6AF36650"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Божко – Зам. Начальника Техн. Отдела Кировского завода – руководитель бригады.</w:t>
      </w:r>
    </w:p>
    <w:p w14:paraId="16A8F28B"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Орленко – ГПИ-8 – Зам. руководителя бригады.</w:t>
      </w:r>
    </w:p>
    <w:p w14:paraId="6A6D6C20"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Кучеренко – Нач. КБ завода № 183 – Зам. руководителя бригады.</w:t>
      </w:r>
    </w:p>
    <w:p w14:paraId="02D9F938"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Бер И.С. – Завод № 112 – Зам. Главного конструктора – руководителем группы.</w:t>
      </w:r>
    </w:p>
    <w:p w14:paraId="7F3A9AE7"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Алексеева Н.Н. – Завод № 174 ст. технолог – руководителем группы.</w:t>
      </w:r>
    </w:p>
    <w:p w14:paraId="06558DA7"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Панчюрина – Технолог СТЗ.</w:t>
      </w:r>
    </w:p>
    <w:p w14:paraId="1B280248"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Батыкова – Ст. технолог завода № 174.</w:t>
      </w:r>
    </w:p>
    <w:p w14:paraId="68EC49FD"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Бутковского – Зам. Начальника БИП завода № 174.</w:t>
      </w:r>
    </w:p>
    <w:p w14:paraId="4BDF53D7"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Выдрина – Ведущего технолога завода № 37.</w:t>
      </w:r>
    </w:p>
    <w:p w14:paraId="51A02C48"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Леонтьева – Начальника бюро стандартизации и взаимозаменяемости завода № 174.</w:t>
      </w:r>
    </w:p>
    <w:p w14:paraId="08CFA372"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Вкашник – Старший инженер ГПИ-8.</w:t>
      </w:r>
    </w:p>
    <w:p w14:paraId="20BE055D"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Лифшиц – Старший инженер ГПИ-8.</w:t>
      </w:r>
    </w:p>
    <w:p w14:paraId="34E0760F"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Михайлова – Старший инженер ГПИ-8.</w:t>
      </w:r>
    </w:p>
    <w:p w14:paraId="221DFCE9"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Егорова – Старший инженер ГПИ-8.</w:t>
      </w:r>
    </w:p>
    <w:p w14:paraId="737C39DA"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Сысоева – Старший инженер ГПИ-8.</w:t>
      </w:r>
    </w:p>
    <w:p w14:paraId="7FC45DC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16) Плоткина – Старший инженер ГПИ-8.</w:t>
      </w:r>
    </w:p>
    <w:p w14:paraId="2B4E5F41"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Пинского – Старший инженер ГПИ-8.</w:t>
      </w:r>
    </w:p>
    <w:p w14:paraId="78A910DC"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Мельникова – Зам. главного технолога завода № 183</w:t>
      </w:r>
    </w:p>
    <w:p w14:paraId="08F8B65F"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19) Судакина – Металлург НКТП.</w:t>
      </w:r>
    </w:p>
    <w:p w14:paraId="48790419"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Возложить на бригаду и ее руководителя т. Божко следующие работы:</w:t>
      </w:r>
    </w:p>
    <w:p w14:paraId="659F05A7"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Проверить взаимозаменяемость всех узлов и деталей трансмиссии, ходовой части и других механизмов танка Т-34, выпускаемого как заводом № 183, так и другими заводами НКТП и проработать мероприятия по обеспечению таковой.</w:t>
      </w:r>
    </w:p>
    <w:p w14:paraId="20A8B7F4"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Проверить и разработать мероприятия по унификации и сокращению номенклатуры крепежа, других нормалей, деталей и элементов деталей.</w:t>
      </w:r>
    </w:p>
    <w:p w14:paraId="03A5CEC8"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Проработать возможность унификации и сокращения номенклатуры применяемых на машину черных и цветных металлов.</w:t>
      </w:r>
    </w:p>
    <w:p w14:paraId="0AFA788B"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Проверить принятые заводом № 183 технологические процессы по массовым и наиболее важным узлами деталям и разработать конкретные предложения к рационализации и унификации этих процессов.</w:t>
      </w:r>
    </w:p>
    <w:p w14:paraId="45EF3494"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Проверить проведенную заводом № 183 работу по нормализации и сокращению номенклатуры режущего и мерительного инструмента.</w:t>
      </w:r>
    </w:p>
    <w:p w14:paraId="04C0E191"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Возложить на И.О. Главного инженера ГПИ-8 т. Шпынева ответственность за направление, результаты и качество работы бригады на заводе.</w:t>
      </w:r>
    </w:p>
    <w:p w14:paraId="769A3C4F"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Место работы бригады – завод № 183 в г. Нижний Тагил.</w:t>
      </w:r>
    </w:p>
    <w:p w14:paraId="16088B3A"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Установить срок работы бригады на заводе № 183 с 5-го августа по 15-е сентября с.г.</w:t>
      </w:r>
    </w:p>
    <w:p w14:paraId="60D1F288"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Директорам заводов: № 183 т. Максареву, № 174 т. Кацнельсон, Кировского т. Махонину, СТЗ т. Задорожному, № 112 т. Рубинчику, № 37 т. Фрезерову и Нач. ГПИ-8 т. Солину временно командировать на завод № 183 перечисленных в п. 1-м работников – членов бригады с 1-го августа с.г.</w:t>
      </w:r>
    </w:p>
    <w:p w14:paraId="715229AA"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По окончании работы бригады и разработке предложений на заводе № 183 т. Шпынову и т. Божко направить на заводы Наркомтанкопрома, изготовляющие танки Т-34, ответственных работников бригады для согласования и проверки на месте предложений, разработанных бригадой. По окончании согласования предложений, доработать весь материал и представить мне к 10/X-с.г. на утверждение.</w:t>
      </w:r>
    </w:p>
    <w:p w14:paraId="78154BED"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Директору завода № 183 т. Максареву выделить дополнительно в распоряжение руководителя бригады т. Божко, по согласованию с последним, необходимое количество работников из конструкторского бюро и других бюро завода, и создать соответствующие условия бригаде для выполнения настоящего задания (рабочее помещение, жилище, питание).</w:t>
      </w:r>
    </w:p>
    <w:p w14:paraId="640EB5F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Контроль за ходом выполнения настоящего приказа возлагаю на заместителя начальника II-го отдала т. Гинзбург С.А.</w:t>
      </w:r>
    </w:p>
    <w:p w14:paraId="236789BE"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ЗАМЕСТИТЕЛЬ НАРОДНОГО КОМИССАРА ТАНКОВОЙ ПРОМЫШЛЕННОСТИ СОЮЗА ССР подпись ЗЕРНОВ (21230).</w:t>
      </w:r>
    </w:p>
    <w:p w14:paraId="561BFCAA" w14:textId="77777777" w:rsidR="00650296" w:rsidRPr="00722885" w:rsidRDefault="00650296" w:rsidP="00722885">
      <w:pPr>
        <w:spacing w:after="0" w:line="240" w:lineRule="auto"/>
        <w:jc w:val="both"/>
        <w:rPr>
          <w:rFonts w:ascii="Times New Roman" w:hAnsi="Times New Roman"/>
          <w:color w:val="0070C0"/>
          <w:sz w:val="16"/>
          <w:szCs w:val="16"/>
        </w:rPr>
      </w:pPr>
    </w:p>
    <w:p w14:paraId="0AB8D9E8"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30 июля 1942 г.</w:t>
      </w:r>
    </w:p>
    <w:p w14:paraId="708C4C14"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93 лист 99 – 93</w:t>
      </w:r>
    </w:p>
    <w:p w14:paraId="514FA150"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Сов. секретно.</w:t>
      </w:r>
    </w:p>
    <w:p w14:paraId="76EC5240"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КОМИССАРИАТА ТАНКОВОЙ ПРОМЫШЛЕННОСТИ СОЮЗА ССР № 556сс</w:t>
      </w:r>
    </w:p>
    <w:p w14:paraId="631C596F"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519FDEA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 июля 1942 г.</w:t>
      </w:r>
    </w:p>
    <w:p w14:paraId="7D2D72A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 исполнение постановления ГОКО № 2120сс от 28.VII-1942 г. "Об организации производства танков Т-34 на Уралмашзаводе" и заводе № 37 Наркомтанкопрома, ПРИКАЗЫВАЮ:</w:t>
      </w:r>
    </w:p>
    <w:p w14:paraId="53943D2B"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Директору Уралмашзавода тов. Музрукову:</w:t>
      </w:r>
    </w:p>
    <w:p w14:paraId="78FB85FD"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организовать на Уралмашзаводе и заводе № 37 производство танков Т-34 с началом выпуска их в октябре 1942 г.;</w:t>
      </w:r>
    </w:p>
    <w:p w14:paraId="6450464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обеспечить выполнение программы производства танков Т-34 на Уралмашзаводе в 1942 году:</w:t>
      </w:r>
    </w:p>
    <w:p w14:paraId="76A4E5EF"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октябре – 25 штук</w:t>
      </w:r>
    </w:p>
    <w:p w14:paraId="2F16015B"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ноябре – 100 штук</w:t>
      </w:r>
    </w:p>
    <w:p w14:paraId="7A3EB98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декабре – 200 штук</w:t>
      </w:r>
    </w:p>
    <w:p w14:paraId="53605618"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 325 штук.</w:t>
      </w:r>
    </w:p>
    <w:p w14:paraId="31D3BFD8"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Довести к 1 января 1943 года производство танков Т-34 на Уралмашзаводе до 350 штук в месяц с соответствующим количеством запасных частей к ним;</w:t>
      </w:r>
    </w:p>
    <w:p w14:paraId="2373953E"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объединить Уралмашзавод и завод № 37 в единый завод "УРАЛМАШЗАВОД";</w:t>
      </w:r>
    </w:p>
    <w:p w14:paraId="243121D9"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в связи с организацией производства танков Т-34 на Уралмашзаводе м заводе № 37 прекратить с 1 августа с.г. подготовку производства и производство танков Т-70 на заводе № 37.</w:t>
      </w:r>
    </w:p>
    <w:p w14:paraId="0BEC4FC3"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Музрукову передать всю имеющуюся на бывшем заводе № 37 оснастку, приспособления и инструмент для производства танков Т-70, а также годное незавершенное производство и готовые детали заводу № 38;</w:t>
      </w:r>
    </w:p>
    <w:p w14:paraId="03BC9BB9"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обеспечить выполнение программы производства корпусов танков Т-34 и КВ на Уралмашзаводе в 1942 году:</w:t>
      </w:r>
    </w:p>
    <w:p w14:paraId="75AEBE4D"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Прекратить производство корпусов танков КВ на Уралмашзаводе с сентября 1942 года;</w:t>
      </w:r>
    </w:p>
    <w:p w14:paraId="4BC795B8"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е) передать с Уралмашзавода заводу № 200 всю оснастку, инструмент, приспособления, а также незавершенное производство по мере прекращения выпуска корпусов танков КВ.</w:t>
      </w:r>
    </w:p>
    <w:p w14:paraId="42C7968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Начальнику 3 Главного управления тов. Хабахпашеву и директору завода № 200 – тов. Сочивко, в связи с прекращением с сентября месяца производства корпусов танков КВ на Уралмашзаводе, обеспечить Кировский завод, начиная с сентября месяца с.г., корпусами танков КВ на полную программу выпуска этих машин.</w:t>
      </w:r>
    </w:p>
    <w:p w14:paraId="7DE674FB"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Директору Уралмашзавода тов. Музрукову, Зам. начальника II отдела тов. Гинзбург, Нач. ОКСа тов. Корневу, Зам. начальника металлургического отдела тов. Середину, Нач. Главснаба тов. Розину, Нач. транспортного отдела тов. Косолапову учесть и принять к сведению, что указанным постановлением ГОКО:</w:t>
      </w:r>
    </w:p>
    <w:p w14:paraId="0D22CD61"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разрешено Уралмашзаводу принять для подготовки производства танков Т-34 5-скоростную коробку перемены передач, усиленный ленивец и башню с командирской башенкой.</w:t>
      </w:r>
    </w:p>
    <w:p w14:paraId="0B2DB00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Нарком вооружения тов. Устинов обязан:</w:t>
      </w:r>
    </w:p>
    <w:p w14:paraId="72C688FA"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передать к 1 августа 1942 г. Уралмашзаводу незаконченный строительством цех № 70 завода № 8 (бывший корпус УГМР) для организации в нем сборки танков Т-34;</w:t>
      </w:r>
    </w:p>
    <w:p w14:paraId="4581E4DE"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закончить демонтаж оборудования цеха № 24 завода № 8 (одного пролета к 15 августа и второго пролета к 1 сентября 1942 г.) и перенести указанный цех из корпуса механического цеха во вновь построенное здание обдирочного цеха завода № 8;</w:t>
      </w:r>
    </w:p>
    <w:p w14:paraId="2335F0D7"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предусмотреть в IV квартале 1942 г. увеличение производства танковых пушек Ф-34 в соответствии с увеличением производства танков Т-34.</w:t>
      </w:r>
    </w:p>
    <w:p w14:paraId="676539ED"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Наркомстрой (тов. Гинзбург) и Начальник Свердловскпромстроя (тов. Соболев) обязаны закончить начатое строительство и обеспечить строительство новых производственных помещений на Уралмашзаводе согласно приложению № 1.</w:t>
      </w:r>
    </w:p>
    <w:p w14:paraId="316C206D"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Т.т. Сабурову, Малышеву с участием т.т. Зальцман и Устинова поручено в 10-дневный срок проверить баланс стального литья и поковок по Уралмашзаводу с учетом полного обеспечения в первую очередь потребности производства танков Т-34, корпусов и дизелей и с частичным снятием с Уралмашзавода заказов на стальное литье и поковки для других наркоматов. Предложения внести на утверждение ГОКО. Тов. Музрукову и тов. Середину подготовить для представления в ГОКО указанный материал к 1 августа с.г.</w:t>
      </w:r>
    </w:p>
    <w:p w14:paraId="1C24BB95"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 Наркомчермет (т. Тевосян), Наркомцветмет (т. Ломако), Наркомрезинпром (т. Митрохин), Наркомэлектропром (т. Кабанов) обязаны принять от Наркомтанкопрома изменения разнарядок на черные и цветные металлы и изделия в связи со снятием с производства на заводе № 37 танков Т-70 и организацией выпуска танков Т-34 на Уралмашзаводе в соответствии с настоящим постановлением. Тов. Розину произвести соответствующее изменение разнарядок.</w:t>
      </w:r>
    </w:p>
    <w:p w14:paraId="483D0FA1"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е) Наркомэлектропром (т. Кабанов), Наркомминвооружения (т. Паршин), Наркомсудпром (т. Носенко) обязаны поставить Наркомтанкопрому для пуска вновь организуемых цехов на Уралмашзаводе материалы и изделия в количествах согласно приложениям № 2, 3 и 4. Тов. Розину обеспечить получение указанных материалов и изделий.</w:t>
      </w:r>
    </w:p>
    <w:p w14:paraId="698D7EC9"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ж) Госплан СССР – т. Сабурову (созыв), Наркомвнешторг – т. Микоян, Наркомтанкопром – т. Зальцман и Наркомстанкостроения – т. Ефремову в 10-дневный срок внести в ГОКО предложения об обеспечении заводов Наркомтанкопрома в III и IV кварталах 1942 г. специальными станками типа Глиссон и "Клингельберг", шлицешлифовальными и зуборезными станками для производства танков Т-34 с использованием импортных поступлений. Тов. Музрукову, т. Гинзбургу представить мне к 1 августа с.г. предложения по обеспечению заводов Наркомтанкопрома вышеуказанными станками.</w:t>
      </w:r>
    </w:p>
    <w:p w14:paraId="7445C30D"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 Разрешено вывезти из г. Ленинграда с Кировского завода, завода № 174 и Ижорского 20 крановых тележек, 3 комплекта бегунов и 13 штук формовочных машин в счет разрешенного Наркомтанкопрому к вывозу из г. Ленинграда оборудования и вагонов для его переброски.</w:t>
      </w:r>
    </w:p>
    <w:p w14:paraId="3358C85A"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Военный совет Ленинградского фронта и Ленинградский Горисполком обязаны обеспечить первоочередную отправку указанного оборудования из г. Ленинграда, переброску его через Ладожское озеро, а НКПС – т. Хрулев обязан обеспечить доставку указанного оборудования в г. Свердловск на Уралмашзавод.</w:t>
      </w:r>
    </w:p>
    <w:p w14:paraId="700AFDA2"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Тов. Музрукову, тов. Розину и тов. Гинзбургу в 3-дневный срок передать спецификацию указанного оборудования в г. Ленинград тов. Петросьянц для подбора его на указанных предприятиях г. Ленинграда и отправки на Уралмашзавод.</w:t>
      </w:r>
    </w:p>
    <w:p w14:paraId="70B120FE"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 Наркомстрой – тов. Гинзбург обязан построить в ноябре 1942 г. дополнительные трамвайные пути для соединения Уралмашзавода и завода № 37 (бывш. завод "Металлист"), а Свердловский Горкомхоз обеспечить присоединение этих путей к существующим и прокладку троллеи. Тов. Музрукову и тов. Корневу обеспечить контроль за выполнением настоящего пункта.</w:t>
      </w:r>
    </w:p>
    <w:p w14:paraId="564B94E7"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НКО – тов. Щаденко обязан передать Свердловскпромстрою Наркомстроя к 15 августа 1942 г. для строительства Уралмашзавода 1000 человек из числа выздоравливающих красноармейцев.</w:t>
      </w:r>
    </w:p>
    <w:p w14:paraId="2C9C39A9"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л) Распространены на строительство Уралмашзавода и завода № 37 пункты №№ 6, 11, 12, 13, 14, 16, 17, 19, 24, 25, 26 и 38 постановления ГОКО № 1592 от 13 апреля 1942 г. (приложения к настоящему приказу №№ 5 и 6). Тов. Музрукову, тов. Розину и тов. Корневу обеспечить контроль за выполнением настоящего пункта.</w:t>
      </w:r>
    </w:p>
    <w:p w14:paraId="005CD6C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 Наркомстройматериалов СССР – тов. Соснин обязан:</w:t>
      </w:r>
    </w:p>
    <w:p w14:paraId="04A81D42"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отгрузить Свердловскпромстрою Наркомстроя до 10 августа с.г. впереди всех других потребителей 250 вагонов цемента с Чернореченского цементного завода за счет фондов Наркомстроя, а НКПС обязан обеспечить перевозку указанного цемента на строительство Уралмашзавода и завода № 37 специальными транспортами.</w:t>
      </w:r>
    </w:p>
    <w:p w14:paraId="407730B7"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Отгрузить Свердловскпромстрою Наркомстроя к 10 августа с.г. в счет фондов Наркомстроя: рубероида и пергамина 10.000 кв. мтр. и стекла 2.000 кв. мтр.</w:t>
      </w:r>
    </w:p>
    <w:p w14:paraId="3794A61F"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 Главлесосбыт при СНК СССР – тов. Лопухов обязан отгрузить впереди всех других потребителей до 15 августа с.г. Наркомстрою для строительства Уралмашзавода и завода № 37 300 вагонов лесоматериалов в счет фондов Наркомстроя.</w:t>
      </w:r>
    </w:p>
    <w:p w14:paraId="5CB5CB73"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 Выделено Свердловскпромстрою Наркомстроя для строительства Уралмашзавода до 1 сентября 1942 г. 1.000 тн. сортового железа, 300 тн. листового железа, 400 тн. балок и швеллеров за счет остатков, имеющихся на заводах Наркомтанкопрома, подлежащих сдаче сверх утвержденных планом распределения в III квартале. Тов. Розину обеспечить выполнение настоящего пункта.</w:t>
      </w:r>
    </w:p>
    <w:p w14:paraId="454AF2F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 НКПС – тов. Хрулев и начальник дороги им. Кагановича тов. Закорко обязаны обеспечить бесперебойную доставку местных материалов и леса тресту Свердловскпромстрой Наркомстроя для строительства Уралмашзавода и завода № 37.</w:t>
      </w:r>
    </w:p>
    <w:p w14:paraId="6757AEB1"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 Комитет по учету и распределению рабочей силы при СНК СССР тов. Москатов, Председатель Рязанского Облисполкома тов. Мамонов и Председатель Тамбовского Облисполкома тов. Козинков обязаны мобилизовать до 10 августа по 1.000 чел. в каждой области из числа эвакуированного населения и направить Свердловскпромстрою Наркомстроя для строительства Уралмашзавода и строительства завода № 37.</w:t>
      </w:r>
    </w:p>
    <w:p w14:paraId="29D5A8A6"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НКПС – тов. Хрулев обязан обеспечить переброску мобилизованных рабочих из указанных областей в г. Свердловск.</w:t>
      </w:r>
    </w:p>
    <w:p w14:paraId="04B3B4CF"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Наркомторг – тов. Любимов обязан обеспечить рабочих, мобилизованных для строительства Уралмашзавода питанием на время переезда в г. Свердловск.</w:t>
      </w:r>
    </w:p>
    <w:p w14:paraId="7D2C2E21"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 Разрешено Наркомстрою:</w:t>
      </w:r>
    </w:p>
    <w:p w14:paraId="22F2AC64"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Выдать рабочим из числа эвакуированного населения, мобилизованным на строительство Уралмашзавода безвозвратное пособие в сумме 300 руб. каждому.</w:t>
      </w:r>
    </w:p>
    <w:p w14:paraId="52CC2A4E"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2) Для рабочих и ИТР, работающих по 11 часов и выполняющих нормы на строительстве Уралмашзавода и завода № 37, ввести с 1 августа вторые обеды (без карточек) в количестве до 1.500 обедов в сутки за счет фондов Наркомстроя на продовольственные товары.</w:t>
      </w:r>
    </w:p>
    <w:p w14:paraId="7D7FD217"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Указанное постановление ГОКО:</w:t>
      </w:r>
    </w:p>
    <w:p w14:paraId="2BABC1CE"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Обязало Наркомгосконтроль – тов. Попова обеспечить контроль за выполнением настоящего постановления.</w:t>
      </w:r>
    </w:p>
    <w:p w14:paraId="7736C2A4"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Утвердило уполномоченным Государственного Комитета Обороны по производству танков Т-34 на Уралмашзаводе 1-го Секретаря Свердловского Обкома ВКП(б) – тов. Андрианова.</w:t>
      </w:r>
    </w:p>
    <w:p w14:paraId="0AD6005F" w14:textId="77777777" w:rsidR="00650296" w:rsidRPr="00722885" w:rsidRDefault="0065029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Заместитель Народного Комиссара Танковой промышленности Союза ССР подпись П. ЗЕРНОВ (21231).</w:t>
      </w:r>
    </w:p>
    <w:p w14:paraId="4ED8FA7A" w14:textId="77777777" w:rsidR="00650296" w:rsidRPr="00722885" w:rsidRDefault="00650296" w:rsidP="00722885">
      <w:pPr>
        <w:spacing w:after="0" w:line="240" w:lineRule="auto"/>
        <w:jc w:val="both"/>
        <w:rPr>
          <w:rFonts w:ascii="Times New Roman" w:hAnsi="Times New Roman"/>
          <w:color w:val="0070C0"/>
          <w:sz w:val="16"/>
          <w:szCs w:val="16"/>
        </w:rPr>
      </w:pPr>
    </w:p>
    <w:p w14:paraId="010A07C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30-31 июля 1942 в Ленинграде завершено изготовление еще 26 самоходных плашкоутов для Ладоги. Катеростроители передали флоту 3 катера типа КМ-5, 2 ТК типа Д-3 (10671).</w:t>
      </w:r>
    </w:p>
    <w:p w14:paraId="78D86F1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229FE5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00E940A" w14:textId="77777777" w:rsidR="00AE7191" w:rsidRPr="00722885" w:rsidRDefault="00AE7191" w:rsidP="00722885">
      <w:pPr>
        <w:pStyle w:val="Iauiue"/>
        <w:jc w:val="both"/>
        <w:rPr>
          <w:iCs/>
          <w:color w:val="000000" w:themeColor="text1"/>
          <w:sz w:val="16"/>
          <w:szCs w:val="16"/>
        </w:rPr>
      </w:pPr>
    </w:p>
    <w:p w14:paraId="0A520DF7"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июля в 1942 году утреннее сообщение Совинформбюро:</w:t>
      </w:r>
    </w:p>
    <w:p w14:paraId="08EE7767"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30 июля наши войска вели бои с противником в районе Воронежа, а также в районах Цымлянская, Батайск и юго-западнее Клетская.</w:t>
      </w:r>
    </w:p>
    <w:p w14:paraId="3F676683"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7CD47CFD"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 ряде участков наши войска продвигались вперёд, преодолевая упорное сопротивление противника. Одна наша часть выбила противника из населённого пункта и захватила 3 орудия, 4 миномёта, 7 станковых пулемётов и склад с боеприпасами. На другом участке бойцы Н-ской части отразили контратаку противника. В этом бою немцы потеряли 450 солдат и офицеров.</w:t>
      </w:r>
    </w:p>
    <w:p w14:paraId="7ECBE819"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Батайска идут тяжёлые бои. Противник предпринял ряд атак и на отдельных участках продвинулся вперёд. Наши бойцы около населённого пункта О. В течение суток сдерживали натиск врага. На подступах к нашим позициям немцы потеряли 19 танков и 900 человек убитыми. На другом участке наша часть отразила танковую атаку противника и уничтожила 8 немецких танков.</w:t>
      </w:r>
    </w:p>
    <w:p w14:paraId="6F940063"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Клетской продолжались ожесточённые бои с танками и пехотой противника. Все попытки гитлеровцев вклиниться в нашу оборону потерпели неудачу. На одном из участков фронта наша танковая часть предприняла атаку, уничтожила 30 немецких танков и несколько сот солдат и офицеров противника.</w:t>
      </w:r>
    </w:p>
    <w:p w14:paraId="1BDFD92B"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советские лётчики нанесли ряд ударов по группировке противника, переправившейся на южный берег Дона. После авиационной подготовки наши танковые и пехотные части провели ряд успешных контратак. Уничтожено 700 немецких солдат и офицеров, 17 танков, 11 орудий и 27 пулемётов. На некоторых участках противник сосредоточил крупные силы и стремится прорвать линию нашей обороны. Советские войска отбивают атаки врага и перемалывают его живую силу итехнику.</w:t>
      </w:r>
    </w:p>
    <w:p w14:paraId="759AFC31"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наблюдалась активная деятельность разведывательных отрядов. Наши бойцы под командованием старшего лейтенанта Филимоненкова проникли в тыл противника и совершили внезапный налёт на немецкий гарнизон. Уничтожено до 100 солдат и офицеров противника. Старшина тов. Куракин и красноармеец тов. Скипкин разобрали железнодорожное полотно и пустили под откос немецкий воинский эшелон.</w:t>
      </w:r>
    </w:p>
    <w:p w14:paraId="55C9DF22"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«Батя», действующий в Смоленской области, за 20 дней июля истребил до 600 гитлеровцев, взорвал 8 железнодорожных мостов и пустил под откос 2 воинских эшелона противника. Партизаны уничтожили немецкий танк, несколько автомашин и захватили трофеи.</w:t>
      </w:r>
    </w:p>
    <w:p w14:paraId="3C81F497"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штабс-фельдфебель 246 полка 88 немецкой пехотной дивизии И. Эдер рассказал: «За один день наш полк потерял более половины личного состава. Третий батальон полностью уничтожен. От него осталось в живых десятка полтора солдат, которые сдались в плен. Другие полки дивизии также понесли огромные потери, особенно от огня русских миномётов».</w:t>
      </w:r>
    </w:p>
    <w:p w14:paraId="60912B81"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солдат 11 финского пехотного полка Р.Калле рассказал: «Когда 2 батальон нашего полка получил приказ о наступлении, многие солдаты разбежались. 130 человек были пойманы. Их посадили на центральную гауптвахту в Кестеньге и предали военно-полевому суду. Финские солдаты очень высокого мнения о русских снайперах. Они прекрасно стреляют. Даже в период затишья снайперы ежедневно убивали по 3—5 человек из нашей роты. Недавно русский снайпер убил командира роты капитана Кенкюря».</w:t>
      </w:r>
    </w:p>
    <w:p w14:paraId="3C3EEE39"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Акмолинской области, где уборка колосовых ещё не начиналась, колхозы сдают государству зерно из урожая прошлого года. На заготовительные пункты уже поступило 500 тысяч пудов хлеба.» (14968).</w:t>
      </w:r>
    </w:p>
    <w:p w14:paraId="5545CBEF" w14:textId="77777777" w:rsidR="00326FD0" w:rsidRPr="00722885" w:rsidRDefault="00326FD0" w:rsidP="00722885">
      <w:pPr>
        <w:spacing w:after="0" w:line="240" w:lineRule="auto"/>
        <w:jc w:val="both"/>
        <w:rPr>
          <w:rFonts w:ascii="Times New Roman" w:hAnsi="Times New Roman"/>
          <w:color w:val="000000" w:themeColor="text1"/>
          <w:sz w:val="16"/>
          <w:szCs w:val="16"/>
        </w:rPr>
      </w:pPr>
    </w:p>
    <w:p w14:paraId="71AD77BF"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июля в 1942 году вечернее сообщение Совинформбюро:</w:t>
      </w:r>
    </w:p>
    <w:p w14:paraId="26D7D81E"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30 июля наши войска вели ожесточённые бои в районе Воронежа, а также в районах Цымлянской, южнее и юго-восточнее Батайска и юго-западнее Клетской.</w:t>
      </w:r>
    </w:p>
    <w:p w14:paraId="418AC8F2"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044BC1C9"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29 июля частями нашей авиации на различных участках фронта уничтожена или повреждено до 30 немецких танков, 360 автомашин с войсками и грузами, 5 автоцистерн с горючим, взорвано 2 склада боеприпасов и 2 склада горючего, подавлен огонь 15 батарей полевой и зенитной артиллерии, рассеяно и частью уничтожено до четырёх рот пехоты противника.</w:t>
      </w:r>
    </w:p>
    <w:p w14:paraId="6955F5A3"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гитлеровцы, выбитые за последние дни нашими войсками из ряда опорных пунктов, бросают в бой свежие части и пытаются улучшить своё положение. Северо-западнее города батальон пехоты противника после артиллерийской подготовки перешёл в атаку. Немцы стремились вклиниться в нашу оборону. Встреченные дружным миномётным и ружейно-пулемётным огнём, гитлеровцы в беспорядке отступили, оставив на поле боя 200 трупов. У населенного пункта, вчера занятого нашими частями, весь день шёл ожесточённый бой. Наши бойцы отбили четыре атаки немцев и уничтожили 5 танков и свыше 900 солдат и офицеров противника.</w:t>
      </w:r>
    </w:p>
    <w:p w14:paraId="21BD6235"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юго-западнее Клетской наши части отбивали атаки немецко-фашистских войск и на отдельных участках потеснили гитлеровцев. Несколько танковых групп и два полка пехоты противника атаковали позиции части, где командиром тов. Сажин. Наши бойцы отбили эту атаку, уничтожили 9 танков и несколько сот солдат и офицеров противника. Наша истребительная авиация за день боевых действий сбила 14 немецких самолётов.</w:t>
      </w:r>
    </w:p>
    <w:p w14:paraId="796D459F"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наши войска продолжали вести бои по уничтожению группировки противника, переправившейся через Дон. Наши танкисты при активной поддержке пехоты ворвались в расположение крупной группировки немцев и нанесли им большие потери. Уничтожено 11 танков, 18 орудий и до 1.500 солдат и офицеров противника. С целью прорваться на юг немцы бросают в бой новые танковые и пехотные части.</w:t>
      </w:r>
    </w:p>
    <w:p w14:paraId="7014D1B4"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и юго-восточнее Батайска идут кровопролитные бои с наступающими мотомеханизированными частями противника. Несмотря на то, что сопротивление наших войск возросло, немцам удалось на отдельных участках продвинуться вперёд. На одном из участков бойцы батальона противотанковых ружей, отражая атаки противника, уничтожили 18 немецких танков. Неувядаемой славой покрыл себя бронебойщик Эрдни Деликов. Когда гитлеровцы под прикрытием авиации стали теснить наших бойцов, тов. Деликов открыл огонь из противотанкового ружья и уничтожилодин за другим 3 немецких броневика. Осколками авиабомбы тов. Деликов был смертельно ранен. Умирая, отважный сын советского народа боец Деликов крикнул своим товарищам: «Возьмите моё ружьё. Бейте фашистских гадов! Пусть знают, что наши не отступают!»</w:t>
      </w:r>
    </w:p>
    <w:p w14:paraId="69BDEAC9"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происходили бои местного значения. Одна наша часть за два дня уничтожила 5 немецких миномётных батарей с прислугой, 2 орудия, 2 тяжёлых пулемёта с расчётами, 13 пулемётных точек и разрушила 8 блиндажей. Противник потерял убитыми и ранеными до 400 солдат и офицеров. Захвачены пленные. Гвардеец тов. Кононов забросал гранатами вражеский блиндаж и уничтожил четырёх немецких офицеров, пытавшихся спастись бегством.</w:t>
      </w:r>
    </w:p>
    <w:p w14:paraId="35E51FB9"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Т., действующий в одном из районов Ленинградской области, пустил под откос три эшелона противника с войсками и боеприпасами. Разбито 110 вагонов.</w:t>
      </w:r>
    </w:p>
    <w:p w14:paraId="31FEDBF7"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2 батальона 35 пехотного полка 7 венгерской бригады Любомир П.рассказал:</w:t>
      </w:r>
    </w:p>
    <w:p w14:paraId="194971D1"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всех сёлах, которые мы проходили от Курска к Дону, — в Мантурове, Поповкеи других — немецкие солдаты грабили крестьян, забирали у них продукты, скот,одежду и ценные вещи. Награбленное грузили на повозки. Офицеры поощряли грабежи и бесчинства и сами принимали в них участие. В селе Сторожево были расстреляны десятки крестьян только за то, что они добровольно не отдавали своих вещей».</w:t>
      </w:r>
    </w:p>
    <w:p w14:paraId="31A025A9"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патриоты добились новых успехов в борьбе противнемецко-итальянских захватчиков. На днях партизаны заняли один город и продолжают преследовать оккупантов. В бою у гор. Козара итальянцы потеряли убитыми и ранеными до 4.000 человек. Партизаны сожгли 7 танков, захватили 3 противотанковых пушки и много вооружения. В боях у городов Камник, Поляна и Кокра партизаны захватили в плен несколько десятков гитлеровцев, 5 пулемётов и склад с боеприпасами.» (14968).</w:t>
      </w:r>
    </w:p>
    <w:p w14:paraId="67D189DA" w14:textId="77777777" w:rsidR="00326FD0" w:rsidRPr="00722885" w:rsidRDefault="00326FD0" w:rsidP="00722885">
      <w:pPr>
        <w:spacing w:after="0" w:line="240" w:lineRule="auto"/>
        <w:jc w:val="both"/>
        <w:rPr>
          <w:rFonts w:ascii="Times New Roman" w:hAnsi="Times New Roman"/>
          <w:color w:val="000000" w:themeColor="text1"/>
          <w:sz w:val="16"/>
          <w:szCs w:val="16"/>
        </w:rPr>
      </w:pPr>
    </w:p>
    <w:p w14:paraId="6CA258A5"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июля в 1942 году началась Ржевско-Сычевская наступательная операция войск левого крыла Калининского (30-я и 29-я армии, командующий - генерал-полковник И.С.Конев) и правого крыла Западного (31-я и 20-я армии, командующий - генерал армии Г.К.Жуков) фронтов, продолжавшаяся до 23 августа. Прорвав первую полосу обороны противника, советские войска вступили в затяжные бои под Полунино. Соединения 1-й и 4-й танковых армий противникака прорвались на Северо-Кавказском фронте на глубину до 120 км. Войска 37-й армии начали отход на Ставрополь (14968).</w:t>
      </w:r>
    </w:p>
    <w:p w14:paraId="2B2F93B9" w14:textId="77777777" w:rsidR="00326FD0" w:rsidRPr="00722885" w:rsidRDefault="00326FD0" w:rsidP="00722885">
      <w:pPr>
        <w:spacing w:after="0" w:line="240" w:lineRule="auto"/>
        <w:jc w:val="both"/>
        <w:rPr>
          <w:rFonts w:ascii="Times New Roman" w:hAnsi="Times New Roman"/>
          <w:color w:val="000000" w:themeColor="text1"/>
          <w:sz w:val="16"/>
          <w:szCs w:val="16"/>
        </w:rPr>
      </w:pPr>
    </w:p>
    <w:p w14:paraId="5B42FBB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30 июля 1942 советские войска начали наступательную операцию подo Ржевом (4962). 1942 году началась Ржевско-Сычевская наступательная операция войск левого крыла Калининского (генерал-полковник И.С. Конев) и правого крыла Западного (генерал армии Г.К. Жуков) фронтов, продолжавшаяся до 23 августа. Прорвав первую полосу обороны противника, советские войска вступили в затяжные бои под Полунино (4963 ).</w:t>
      </w:r>
    </w:p>
    <w:p w14:paraId="33BEAD30" w14:textId="77777777" w:rsidR="00AE7191" w:rsidRPr="00722885" w:rsidRDefault="00AE7191" w:rsidP="00722885">
      <w:pPr>
        <w:pStyle w:val="Iauiue"/>
        <w:tabs>
          <w:tab w:val="left" w:pos="11199"/>
        </w:tabs>
        <w:jc w:val="both"/>
        <w:rPr>
          <w:color w:val="000000" w:themeColor="text1"/>
          <w:sz w:val="16"/>
          <w:szCs w:val="16"/>
        </w:rPr>
      </w:pPr>
    </w:p>
    <w:p w14:paraId="3506D5E4"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July 30, 1942: Start of a Soviet counter-offensive at Rzhev, leading to the temporary encirclement of six German divisions which are supplied by massive air drops of the Luftwaffe. Armeegruppe A consolidates its bridgehead over the Manych River, while Armeegruppe B struggles to reduce the Soviet bridgehead at Kalch in the Don Estuary west of Stalingrad (3819).</w:t>
      </w:r>
    </w:p>
    <w:p w14:paraId="6248624B" w14:textId="77777777" w:rsidR="00AE7191" w:rsidRPr="00722885" w:rsidRDefault="00AE7191" w:rsidP="00722885">
      <w:pPr>
        <w:pStyle w:val="Iauiue"/>
        <w:jc w:val="both"/>
        <w:rPr>
          <w:color w:val="000000" w:themeColor="text1"/>
          <w:sz w:val="16"/>
          <w:szCs w:val="16"/>
          <w:lang w:val="en-US"/>
        </w:rPr>
      </w:pPr>
    </w:p>
    <w:p w14:paraId="0DEFC8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C 30 июля по 23 августа 1942 была Ржевско-Сычевская операция Г.К.Ж. и И.С.Конева. 5-7 августа отразили контрудар и 23 августа не достигнув успеха перешли к обороне (2443,76).</w:t>
      </w:r>
    </w:p>
    <w:p w14:paraId="42F002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ходе этой операции авиация широко использовалась как транспортное средство для снабжения танковых армий (518,168).</w:t>
      </w:r>
    </w:p>
    <w:p w14:paraId="0C8BB6D2" w14:textId="77777777" w:rsidR="00AE7191" w:rsidRPr="00722885" w:rsidRDefault="00AE7191" w:rsidP="00722885">
      <w:pPr>
        <w:pStyle w:val="Iauiue"/>
        <w:jc w:val="both"/>
        <w:rPr>
          <w:color w:val="000000" w:themeColor="text1"/>
          <w:sz w:val="16"/>
          <w:szCs w:val="16"/>
        </w:rPr>
      </w:pPr>
    </w:p>
    <w:p w14:paraId="66F140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30 июля по 23 августа 1942 была Ржевско-Сычевская наступательная операция советских войск (3186) - ЗФ - первое успешное летнее наступление КА (3398,263).</w:t>
      </w:r>
    </w:p>
    <w:p w14:paraId="504BE586" w14:textId="77777777" w:rsidR="00AE7191" w:rsidRPr="00722885" w:rsidRDefault="00AE7191" w:rsidP="00722885">
      <w:pPr>
        <w:pStyle w:val="Iauiue"/>
        <w:jc w:val="both"/>
        <w:rPr>
          <w:color w:val="000000" w:themeColor="text1"/>
          <w:sz w:val="16"/>
          <w:szCs w:val="16"/>
        </w:rPr>
      </w:pPr>
    </w:p>
    <w:p w14:paraId="0AB11E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июля 1942 года из района Волчанска противник силами 6-й армии и 40 го танкового корпуса перешел в наступление и в полосе Юго-Западного фронта, нанося главный удар в стык 21 -й и 28-й армий. Сбив стрелковые части, 6-я немецкая армия вышли к позициям 13-го танкового корпуса генерал-майора П.Е. Шуро- ва (163 танка, из них 51 Т-34). Зенитной артиллерии корпус не имел, а разведывательные и ремонтные подразделения были не укомплектованы людьми и техникой.</w:t>
      </w:r>
    </w:p>
    <w:p w14:paraId="47FEE3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подходе немецких частей по сигналу командира корпуса был открыт ураганный огонь. Одновременно по скоплению вражеских войск произвела залп реактивная артиллерия. Танки, наступавшие на левом фланге по лощине к реке Волчьей, натолкнулись на взвод КВ-1 старшего лейтенанта Д.Д. Шолохова из 2-го батальона 158-й танковой бригады. В ожесточенном бою взвод потерял две машины, однако танк Шолохова в этом бою уничтожил 8 немецких танков. Воспользовавшись этим успехом 85-я танковая бригада перешла в контратаку и заставила части противника отступить. Перегруппировав свои силы и вызвав авиацию, немцы предприняли еще три атаки, теперь уже ближе к центру обороны 13-го танкового корпуса. В течение всего дня продолжись ожесточенные танковые бои. в отдельные периоды боя в нем участвовало с обеих сторон до 300 машин. За один день боев 30 июня танкисты 13-го танкового корпуса подбили около 40 вражеских танков, но и сами понесли большие потери.</w:t>
      </w:r>
    </w:p>
    <w:p w14:paraId="1879981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дня общая обстановка сложилась не в пользу 21-й армии, и чтобы избежать окружения, командующий 21-й армией решил отвести войска на восточный берег Оскола. Попытка восстановить положение силами 23-го танкового корпуса генерал-майора А.М. Хасина (128 танков, из них 38 Т-34) успеха не имела.</w:t>
      </w:r>
    </w:p>
    <w:p w14:paraId="0BCB8F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плохой организации контрудара корпус понес большие потери. О неудачных действиях корпуса сообщалось в докладной записке «О недочетах в боевых действиях 23-го танкового корпуса за период с 1 по 10 июля 1942 года», направленной комиссару госбезопасности 3-го ранга Абакумову:</w:t>
      </w:r>
    </w:p>
    <w:p w14:paraId="1B57A9B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«Беспрерывная переброска частей 23-го танкового корпуса с одного рубежа на другой, неправильное использование их в бою - измотало материальную часть, не достигая цели. За 10 дней части корпуса совершили марш обшей сложностью до 300 километров.</w:t>
      </w:r>
    </w:p>
    <w:p w14:paraId="0D15FA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командования 28-й армии, части 23-го танкового корпуса 1.7.1942 года сосредоточились в районе Козинка, Казначеевка, Конопляновка с задачей - уничтожить противника, продвигавшегося на восток в направлении Волоконовка и дать возможность частям 29-й армии отойти за реку Оскол и занять оборону. Первая и основная задача была не выполнена (12217).</w:t>
      </w:r>
    </w:p>
    <w:p w14:paraId="1F42EB2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54413D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30 июля 1942 вышло Постановление ГКО № 2128 [О порядке и организации ведения огня зенитной артиллерией ПВО Москвы]. (7047, 149-150,151-160).</w:t>
      </w:r>
    </w:p>
    <w:p w14:paraId="7FBA867B" w14:textId="77777777" w:rsidR="00AE7191" w:rsidRPr="00722885" w:rsidRDefault="00AE7191" w:rsidP="00722885">
      <w:pPr>
        <w:pStyle w:val="Iauiue"/>
        <w:tabs>
          <w:tab w:val="left" w:pos="11199"/>
        </w:tabs>
        <w:jc w:val="both"/>
        <w:rPr>
          <w:color w:val="000000" w:themeColor="text1"/>
          <w:sz w:val="16"/>
          <w:szCs w:val="16"/>
        </w:rPr>
      </w:pPr>
    </w:p>
    <w:p w14:paraId="386099B3"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 июля 1942 последова</w:t>
      </w:r>
      <w:r w:rsidRPr="00722885">
        <w:rPr>
          <w:rFonts w:ascii="Times New Roman" w:hAnsi="Times New Roman"/>
          <w:color w:val="0070C0"/>
          <w:sz w:val="16"/>
          <w:szCs w:val="16"/>
        </w:rPr>
        <w:softHyphen/>
        <w:t>ло решение ВВС о прекращении формирования автожирного соединения по причине отсутствия исправных лета</w:t>
      </w:r>
      <w:r w:rsidRPr="00722885">
        <w:rPr>
          <w:rFonts w:ascii="Times New Roman" w:hAnsi="Times New Roman"/>
          <w:color w:val="0070C0"/>
          <w:sz w:val="16"/>
          <w:szCs w:val="16"/>
        </w:rPr>
        <w:softHyphen/>
        <w:t>тельных аппаратов. Все это свидетельствовало, что карь</w:t>
      </w:r>
      <w:r w:rsidRPr="00722885">
        <w:rPr>
          <w:rFonts w:ascii="Times New Roman" w:hAnsi="Times New Roman"/>
          <w:color w:val="0070C0"/>
          <w:sz w:val="16"/>
          <w:szCs w:val="16"/>
        </w:rPr>
        <w:softHyphen/>
        <w:t>ера автожира А-7 закончилась.</w:t>
      </w:r>
    </w:p>
    <w:p w14:paraId="6CF5283D"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722885">
        <w:rPr>
          <w:rFonts w:ascii="Times New Roman" w:hAnsi="Times New Roman"/>
          <w:color w:val="0070C0"/>
          <w:sz w:val="16"/>
          <w:szCs w:val="16"/>
        </w:rPr>
        <w:softHyphen/>
        <w:t>вал предать его суду. В прилагавшейся справке указыва</w:t>
      </w:r>
      <w:r w:rsidRPr="00722885">
        <w:rPr>
          <w:rFonts w:ascii="Times New Roman" w:hAnsi="Times New Roman"/>
          <w:color w:val="0070C0"/>
          <w:sz w:val="16"/>
          <w:szCs w:val="16"/>
        </w:rPr>
        <w:softHyphen/>
        <w:t>лось, что автожир А-7 доводился в течение восьми лет, од</w:t>
      </w:r>
      <w:r w:rsidRPr="00722885">
        <w:rPr>
          <w:rFonts w:ascii="Times New Roman" w:hAnsi="Times New Roman"/>
          <w:color w:val="0070C0"/>
          <w:sz w:val="16"/>
          <w:szCs w:val="16"/>
        </w:rPr>
        <w:softHyphen/>
        <w:t>нако так и не достиг уровня запланированных характери</w:t>
      </w:r>
      <w:r w:rsidRPr="00722885">
        <w:rPr>
          <w:rFonts w:ascii="Times New Roman" w:hAnsi="Times New Roman"/>
          <w:color w:val="0070C0"/>
          <w:sz w:val="16"/>
          <w:szCs w:val="16"/>
        </w:rPr>
        <w:softHyphen/>
        <w:t>стик. Далее утверждалось, что за время пребывания на фронте эскадрилья автожиров не выполнила ни одного бо</w:t>
      </w:r>
      <w:r w:rsidRPr="00722885">
        <w:rPr>
          <w:rFonts w:ascii="Times New Roman" w:hAnsi="Times New Roman"/>
          <w:color w:val="0070C0"/>
          <w:sz w:val="16"/>
          <w:szCs w:val="16"/>
        </w:rPr>
        <w:softHyphen/>
        <w:t>евого вылета.</w:t>
      </w:r>
    </w:p>
    <w:p w14:paraId="14159F8D"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722885">
        <w:rPr>
          <w:rFonts w:ascii="Times New Roman" w:hAnsi="Times New Roman"/>
          <w:color w:val="0070C0"/>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722885">
        <w:rPr>
          <w:rFonts w:ascii="Times New Roman" w:hAnsi="Times New Roman"/>
          <w:color w:val="0070C0"/>
          <w:sz w:val="16"/>
          <w:szCs w:val="16"/>
        </w:rPr>
        <w:softHyphen/>
        <w:t>стей. Однако работы по автожирам с этого момента в Со</w:t>
      </w:r>
      <w:r w:rsidRPr="00722885">
        <w:rPr>
          <w:rFonts w:ascii="Times New Roman" w:hAnsi="Times New Roman"/>
          <w:color w:val="0070C0"/>
          <w:sz w:val="16"/>
          <w:szCs w:val="16"/>
        </w:rPr>
        <w:softHyphen/>
        <w:t>ветском Союзе окончательно прекратили. Завод в Би</w:t>
      </w:r>
      <w:r w:rsidRPr="00722885">
        <w:rPr>
          <w:rFonts w:ascii="Times New Roman" w:hAnsi="Times New Roman"/>
          <w:color w:val="0070C0"/>
          <w:sz w:val="16"/>
          <w:szCs w:val="16"/>
        </w:rPr>
        <w:softHyphen/>
        <w:t>лимбае перепрофилировали для ремонта поврежденной техники и выпуска необходимой для фронта продукции (20361).</w:t>
      </w:r>
    </w:p>
    <w:p w14:paraId="1C96B393" w14:textId="77777777" w:rsidR="00291E17" w:rsidRPr="00722885" w:rsidRDefault="00291E17" w:rsidP="00722885">
      <w:pPr>
        <w:shd w:val="clear" w:color="auto" w:fill="FFFFFF"/>
        <w:spacing w:after="0" w:line="240" w:lineRule="auto"/>
        <w:jc w:val="both"/>
        <w:rPr>
          <w:rFonts w:ascii="Times New Roman" w:hAnsi="Times New Roman"/>
          <w:color w:val="0070C0"/>
          <w:sz w:val="16"/>
          <w:szCs w:val="16"/>
        </w:rPr>
      </w:pPr>
    </w:p>
    <w:p w14:paraId="31C619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июля 1942 Издание приказа НКО о назначении офицерского состава на должности начальников радиостанций РСБ (11072).</w:t>
      </w:r>
    </w:p>
    <w:p w14:paraId="17C5086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CE0D73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июля 1942 около 21.00, когда летний день клонился к закату, пассажирские пароходы «Михаил Калинин» и «Вячеслав Молотов», шедшие рейсом из Астрахани, причалили к пристани Владимировка (Ахтубинск). Пассажиры спешно выходили на причал, на их место садились новые. Кроме того, к судам прицепили баржи с солдатами, направлявшимися на фронт. Около 22.00 пароходы отдали швартовы и продолжили путь вверх по течению. Солнце скрылось за горизонтом, и реку постепенно окутывала тьма. Все знали, что в это время над Волгой появляются немецкие самолеты, поэтому в 22.45 было принято решение встать на якорь около берега, поросшего ивами, и замаскироваться. Верхние палубы кораблей были закиданы ветками, что давало надежду оказаться незамеченными с воздуха. Пассажиров высадили на берег, вахтенные матросы и солдаты в баржах напряженно наблюдали за звездным небом. И вскоре опасения подтвердились. После 23.00 с запада послышался нарастающий гул авиационных моторов, хотя разглядеть сами силуэты бомбардировщиков не удавалось. Все замерли в страхе, надеясь, что пронесет. И действительно гул стал постепенно стихать. Но тут произошло неожиданное. Прямо с парохода «Вячеслав Молотов» в небо взвилась сигнальная ракета, ярко осветив степные окрестности и притаившиеся у берега суда. Одновременно с этим вторая ракета взвилась с берега рядом с «Калининым»! Тут же началась паника, сидевшие на берегу пассажиры бросились врассыпную подальше от кораблей, солдаты начали спешно хватать оружие, готовясь к бою. Через несколько минут послышался свит падающих бомб и грохот взрывов. В небо взметнулись водяные столбы и огненные султаны, пароходы осыпали комья грязи. После этого солдаты отчетливо увидели на фоне звездного неба темный силуэт еще одного бомбардировщика, заходящего в атаку с юго-запада. Часть бойцов открыла беспорядочный огонь из винтовок и автоматов, но самолет упорно шел на «Михаил Калинин», и вновь послышался леденящий кровь вой падающих бомб. На сей раз взрывы подняли тонны воды за кормой судна, окатив ей палубы и военную баржу. Одновременно второй самолет сбросил бомбы рядом с «Молотовым». Не дожидаясь нового захода, капитан «Михаила Калинина» приказал поднять якорь, и едва тот оторвался от речного дна, дал полный вперед, отваливая от берега. В то же время командир воинской части собрал группу бойцов с противотанковыми ружьями и, перебравшись с ними на верхнюю палубу парохода, приказал занять удобную позицию для стрельбы. И вот вновь послышался нарастающий гул моторов и появился силуэт самолета. Солдаты, а их было тридцать человек, подняли стволы ружей вверх и, замерев, следили за его приближением. Главное было не сорваться и не начать палить вразнобой. И вот, в момент, когда уже были отчетливо видны широко раскинувшиеся крылья и два работающих мотора, командир прокричал:  «Залп!» И тут случилось невероятное, из брюха бомбардировщика сверкнуло пламя, и через секунды он вспыхнул в ночном небе как факел, после чего резко повернул на запад и стал стремительно удаляться, оставляя за собой едва различимый шлейф дыма… Вероятно, это был Не-111 унтер-офицера Иона из 6-й эскадрильи KG55 «Грайф». В этот день он вылетел с аэродрома Краматорск, имея задание атаковать корабли на Волге, и не вернулся. Весь экипаж бомбардировщика в составе Вальтера Иона, штурмана фельдфебеля Мартина Валльбенштайна, бортрадиста обер-ефрейтора Петера Филиппа, бортмеханика унтер-офицера Фридриха Вильгельма и бортстрелка обер-ефрейтора Хайнца Шлейнхеге с тех пор считается пропавшим без вести. Это была первая потеря немцев в ходе атак речного транспорта на Волге. А пароходы «Вячеслав Молотов» и «Михаил Калинин» не получили во время этого налета серьезных повреждений. Воинские части потеряли убитым одного пулеметчика, которого похоронили ранним утром прямо на берегу. Но, помимо радости от успешного отражения налета, всех пассажиров, матросов и солдат волновал вопрос, кто же выстрелил злополучные осветительные ракеты. Пока суда продолжали путь вверх по Волге, провели собственное расследование. Кто-то вспомнил, что во время стоянки во Владимировке к борту «Вячеслава Молотова» подходила моторная лодка, и с нее на кормовую часть вскочил человек в форме моряка, заявивший, что едет в Сталинград в штаб. Обыскав корабль, его вскоре арестовали, чтобы затем передать в органы НКВД. Но всем было ясно, что даже если это и диверсант, то был еще второй, т.к. ракеты взлетали из двух разных точек (11774).</w:t>
      </w:r>
    </w:p>
    <w:p w14:paraId="58AD843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3B5279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30 июля 1942 в ходе атаки кораблей на Волге, севернее Сталинграда, зенитным огнем был поврежден Не-111H-6 «1G+DR» лейтенанта Бёренфёнгера из 7./KG27. Самолет дотянул до линии фронта, но до своего аэродрома не сумел долететь. «Хейнкель» упал на землю в районе деревни Островерховка, в 18 км южнее Харькова, и весь его экипаж – Карл Бёренфёнгер и обер-ефрейторы Эрвин Шински, Вильгельм Хеббе и Отто Зееман – погиб. В тот же день на аэродром в Курске не вернулся и Не-111H-6 «1G+DK» лейтенанта Шульца из 2./KG27. В 20 км западнее г. Богучар он был атакован ночным истребителем. После этого летчики сообщили, что выпрыгивают на парашютах. Затем выяснилось, что два члена экипажа – Зигфрид Шульц и бортрадист унтер-офицер Альберт Гейзенбергер – погибли, а дальнейшая </w:t>
      </w:r>
      <w:r w:rsidRPr="00722885">
        <w:rPr>
          <w:rFonts w:ascii="Times New Roman" w:hAnsi="Times New Roman"/>
          <w:color w:val="000000" w:themeColor="text1"/>
          <w:sz w:val="16"/>
          <w:szCs w:val="16"/>
        </w:rPr>
        <w:lastRenderedPageBreak/>
        <w:t>судьба двух других – штурмана обер-ефрейтора Зигфрида Панниера и бортмеханика обер-ефрейтора Вильгельма Шторка – осталась неизвестной. 31 июля во время боевого вылета на атаку кораблей на Волге был подбит и упал в районе Артемовска, не дотянув 50 км до аэродрома в Краматорске, Не-111 фельдфебеля Пауля Риттера из 8./KG55. При этом сам Риттер успел выпрыгнуть на парашюте, остальные же члены экипажа бомбардировщика: штурман унтер-офицер Макс Шайдеманн, бортрадист унтер-офицер Георг Брсекиш, бортмеханик унтер-офицер Карл Каст и бортстрелок обер-ефрейтор Йозеф Юлиен – погибли. Таким образом, в течение суток Люфтваффе потеряли сразу четыре бомбардировщика – охотника за кораблями. Один из пилотов 2./KG27 «Бельке» вспоминал о боевом вылете над Волгой:  «В одну светлую лунную ночь, когда мы могли хорошо различать как реку и города, так и суда на реке, я летел на высоте около 200 м над Волгой. Мне удалось „положить“ две бомбы по 250 кг вблизи от одного судна, правда, без какого-либо видимого результата. Разрывы снарядов русской легкой и средней зенитной артиллерии были далеко позади меня, без попаданий. При очередном заходе я приказал своему штурману обстрелять из бортового пулемета цель впереди по курсу, в то время как я пытался сбросить другие две бомбы. Это было роковой ошибкой, потому что я представлял для русских весьма хорошую цель. Так и случилось: мы получили попадания по полной программе. Радист закричал: „Рули управления снесло! Нет, они вроде бы опять здесь!“ Несмотря на очень опасную ситуацию, мы расхохотались. Счастливый случай оставил нашу машину управляемой. Нам удалось выкрутиться, и я поднялся на высоту 4000 м». После шести часов полета «Хейнкель» благополучно приземлился в Курске. Затем в ходе осмотра в левом руле была обнаружена дыра диаметром 60 см, а корпусе – множество мелких осколочных пробоин. Минирование и бомбовые удары серьезно затруднили движение по волжскому речному пути, который стал одной из важнейших коммуникаций, питавших фронты под Сталинградом и обеспечивающих перевозку нефтепродуктов из Баку в центральные районы СССР. Командование Сталинградского дивизионного района ПВО сформировало Волжскую оперативную группу ПВО. На пристанях, пароходах, буксирах и баржах были установлены более 300 зенитных орудий и пулеметов. По заданию ГКО в Сталинград прибыл народный комиссар речного флота 3. А. Шашков с группой работников наркомата. Для обеспечения водных перевозок на участке Сталинград – Астрахань и функционирования переправ в районе Сталинграда была создана оперативная группа работников Управления Нижневолжского речного пароходства (НВРП). В конце июля для противовоздушной обороны судоходства от Камышина до Астрахани из состава 102-й ИАД ПВО были выделены 16 истребителей. Впрочем, этих сил было явно недостаточно. Что могли сделать полтора десятка самолетов на участке в 600 км? (11774).</w:t>
      </w:r>
    </w:p>
    <w:p w14:paraId="27BC92E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85BEFC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A0B3D13" w14:textId="77777777" w:rsidR="00AE7191" w:rsidRPr="00722885" w:rsidRDefault="00AE7191" w:rsidP="00722885">
      <w:pPr>
        <w:pStyle w:val="Iauiue"/>
        <w:jc w:val="both"/>
        <w:rPr>
          <w:iCs/>
          <w:color w:val="000000" w:themeColor="text1"/>
          <w:sz w:val="16"/>
          <w:szCs w:val="16"/>
        </w:rPr>
      </w:pPr>
    </w:p>
    <w:p w14:paraId="2C32E5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г. первый одноместный серийный Ил-2 (зав. № 182412) с опытным мотором АМ-38ф поступил в ЛИС 18-го авиа</w:t>
      </w:r>
      <w:r w:rsidRPr="00722885">
        <w:rPr>
          <w:color w:val="000000" w:themeColor="text1"/>
          <w:sz w:val="16"/>
          <w:szCs w:val="16"/>
        </w:rPr>
        <w:softHyphen/>
        <w:t>завода для снятия летных данных по програм</w:t>
      </w:r>
      <w:r w:rsidRPr="00722885">
        <w:rPr>
          <w:color w:val="000000" w:themeColor="text1"/>
          <w:sz w:val="16"/>
          <w:szCs w:val="16"/>
        </w:rPr>
        <w:softHyphen/>
        <w:t>ме приемо-сдаточных испытаний серий</w:t>
      </w:r>
      <w:r w:rsidRPr="00722885">
        <w:rPr>
          <w:color w:val="000000" w:themeColor="text1"/>
          <w:sz w:val="16"/>
          <w:szCs w:val="16"/>
        </w:rPr>
        <w:softHyphen/>
        <w:t>ных самолетов с дополнением по ис</w:t>
      </w:r>
      <w:r w:rsidRPr="00722885">
        <w:rPr>
          <w:color w:val="000000" w:themeColor="text1"/>
          <w:sz w:val="16"/>
          <w:szCs w:val="16"/>
        </w:rPr>
        <w:softHyphen/>
        <w:t>пытанию работы ВМГ (6467).</w:t>
      </w:r>
    </w:p>
    <w:p w14:paraId="378F09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 полетном весе 5873 кг одноме</w:t>
      </w:r>
      <w:r w:rsidRPr="00722885">
        <w:rPr>
          <w:color w:val="000000" w:themeColor="text1"/>
          <w:sz w:val="16"/>
          <w:szCs w:val="16"/>
        </w:rPr>
        <w:softHyphen/>
        <w:t>стный Ил-2 АМ-38ф показал максималь</w:t>
      </w:r>
      <w:r w:rsidRPr="00722885">
        <w:rPr>
          <w:color w:val="000000" w:themeColor="text1"/>
          <w:sz w:val="16"/>
          <w:szCs w:val="16"/>
        </w:rPr>
        <w:softHyphen/>
        <w:t>ную скорость у земли 373 км/ч и на высоте 1750 м - 391 км/ч. Длина разбе</w:t>
      </w:r>
      <w:r w:rsidRPr="00722885">
        <w:rPr>
          <w:color w:val="000000" w:themeColor="text1"/>
          <w:sz w:val="16"/>
          <w:szCs w:val="16"/>
        </w:rPr>
        <w:softHyphen/>
        <w:t>га модифицированного штурмовика со</w:t>
      </w:r>
      <w:r w:rsidRPr="00722885">
        <w:rPr>
          <w:color w:val="000000" w:themeColor="text1"/>
          <w:sz w:val="16"/>
          <w:szCs w:val="16"/>
        </w:rPr>
        <w:softHyphen/>
        <w:t>кратилась до 375 м.</w:t>
      </w:r>
    </w:p>
    <w:p w14:paraId="056879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Из-за крайне неудовлетво</w:t>
      </w:r>
      <w:r w:rsidRPr="00722885">
        <w:rPr>
          <w:color w:val="000000" w:themeColor="text1"/>
          <w:sz w:val="16"/>
          <w:szCs w:val="16"/>
        </w:rPr>
        <w:softHyphen/>
        <w:t>рительной работы мотора летные испытания Ил-2 АМ-38ф в полном объеме прове</w:t>
      </w:r>
      <w:r w:rsidRPr="00722885">
        <w:rPr>
          <w:color w:val="000000" w:themeColor="text1"/>
          <w:sz w:val="16"/>
          <w:szCs w:val="16"/>
        </w:rPr>
        <w:softHyphen/>
        <w:t>сти не удалось. Уже 18 авгу</w:t>
      </w:r>
      <w:r w:rsidRPr="00722885">
        <w:rPr>
          <w:color w:val="000000" w:themeColor="text1"/>
          <w:sz w:val="16"/>
          <w:szCs w:val="16"/>
        </w:rPr>
        <w:softHyphen/>
        <w:t>ста испытания модифициро</w:t>
      </w:r>
      <w:r w:rsidRPr="00722885">
        <w:rPr>
          <w:color w:val="000000" w:themeColor="text1"/>
          <w:sz w:val="16"/>
          <w:szCs w:val="16"/>
        </w:rPr>
        <w:softHyphen/>
        <w:t>ванного штурмовика были прекращены, а мотор АМ-38ф возвращен на 24-й завод для устранения обнаруженных де</w:t>
      </w:r>
      <w:r w:rsidRPr="00722885">
        <w:rPr>
          <w:color w:val="000000" w:themeColor="text1"/>
          <w:sz w:val="16"/>
          <w:szCs w:val="16"/>
        </w:rPr>
        <w:softHyphen/>
        <w:t>фектов и доводки его работы до требуемого уровня надежно</w:t>
      </w:r>
      <w:r w:rsidRPr="00722885">
        <w:rPr>
          <w:color w:val="000000" w:themeColor="text1"/>
          <w:sz w:val="16"/>
          <w:szCs w:val="16"/>
        </w:rPr>
        <w:softHyphen/>
        <w:t>сти (6467).</w:t>
      </w:r>
    </w:p>
    <w:p w14:paraId="14016FDD" w14:textId="77777777" w:rsidR="00AE7191" w:rsidRPr="00722885" w:rsidRDefault="00AE7191" w:rsidP="00722885">
      <w:pPr>
        <w:pStyle w:val="Iauiue"/>
        <w:jc w:val="both"/>
        <w:rPr>
          <w:color w:val="000000" w:themeColor="text1"/>
          <w:sz w:val="16"/>
          <w:szCs w:val="16"/>
        </w:rPr>
      </w:pPr>
    </w:p>
    <w:p w14:paraId="162D27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в НИИ ВВС были проведены контрольные испытания серийного сам Ил-2 N 182412 с опытным мотором АМ-38Ф и опытным винтом АВ-5Л-158.</w:t>
      </w:r>
    </w:p>
    <w:p w14:paraId="5D49DA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Взлетный режим: Рк = 1320 мм рт. ст. и n = 2350_об/мин.</w:t>
      </w:r>
    </w:p>
    <w:p w14:paraId="754171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Предварительные результаты позволяют утверждать, что АВ-5Л-158 по сравнению с винтом АВ-5Л-124 существенных преимуществ не дает (162,24).</w:t>
      </w:r>
    </w:p>
    <w:p w14:paraId="6AA2F2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Данные, что в июле 1942 проводились гос. испытания двухместного Ил-2 1942 подтверждаются (173,219). Однако, по другим сведениям, они, действительно, начавшись в июле, завершились лишь 12 декабря, а кроме того сообщается, что этот испытываемый двухместный Ил-2 был уже с форсированным двигателем АМ-38Ф мощностью 1700-1780 л.с. (по сравнению с мощностью двигателя АМ-38 в 1575-1665 л.с., который стоял на самолете в то время (182)) или 1750 л.с. взлетной мощности (182,244), с винтом АВ-5Л-158 диаметром 3,6 м, а также новой конструкцией всасывающего патрубка, разработанного ЦАГИ.</w:t>
      </w:r>
    </w:p>
    <w:p w14:paraId="08366199" w14:textId="77777777" w:rsidR="00AE7191" w:rsidRPr="00722885" w:rsidRDefault="00AE7191" w:rsidP="00722885">
      <w:pPr>
        <w:pStyle w:val="Iauiue"/>
        <w:jc w:val="both"/>
        <w:rPr>
          <w:color w:val="000000" w:themeColor="text1"/>
          <w:sz w:val="16"/>
          <w:szCs w:val="16"/>
        </w:rPr>
      </w:pPr>
    </w:p>
    <w:p w14:paraId="294AD41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была подготовлена таблица с данными самолетов:</w:t>
      </w:r>
    </w:p>
    <w:p w14:paraId="36B768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Штурмовые и бомбардировочные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984"/>
        <w:gridCol w:w="2410"/>
        <w:gridCol w:w="3402"/>
      </w:tblGrid>
      <w:tr w:rsidR="009B487A" w:rsidRPr="00722885" w14:paraId="6892132A" w14:textId="77777777" w:rsidTr="00CC5360">
        <w:tc>
          <w:tcPr>
            <w:tcW w:w="2802" w:type="dxa"/>
            <w:tcBorders>
              <w:top w:val="single" w:sz="12" w:space="0" w:color="auto"/>
            </w:tcBorders>
          </w:tcPr>
          <w:p w14:paraId="3529F6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Название самолетов</w:t>
            </w:r>
          </w:p>
        </w:tc>
        <w:tc>
          <w:tcPr>
            <w:tcW w:w="1984" w:type="dxa"/>
            <w:tcBorders>
              <w:top w:val="single" w:sz="12" w:space="0" w:color="auto"/>
            </w:tcBorders>
          </w:tcPr>
          <w:p w14:paraId="25D69E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Ил-2 с АМ-38</w:t>
            </w:r>
          </w:p>
        </w:tc>
        <w:tc>
          <w:tcPr>
            <w:tcW w:w="2410" w:type="dxa"/>
            <w:tcBorders>
              <w:top w:val="single" w:sz="12" w:space="0" w:color="auto"/>
            </w:tcBorders>
          </w:tcPr>
          <w:p w14:paraId="359BBD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Пе-2 с 2М-105</w:t>
            </w:r>
          </w:p>
        </w:tc>
        <w:tc>
          <w:tcPr>
            <w:tcW w:w="3402" w:type="dxa"/>
            <w:tcBorders>
              <w:top w:val="single" w:sz="12" w:space="0" w:color="auto"/>
            </w:tcBorders>
          </w:tcPr>
          <w:p w14:paraId="32CFCA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ДБ-3Ф с 2М-88Б</w:t>
            </w:r>
          </w:p>
        </w:tc>
      </w:tr>
      <w:tr w:rsidR="009B487A" w:rsidRPr="00722885" w14:paraId="793B7931" w14:textId="77777777" w:rsidTr="00CC5360">
        <w:tc>
          <w:tcPr>
            <w:tcW w:w="2802" w:type="dxa"/>
          </w:tcPr>
          <w:p w14:paraId="46F62E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Данные</w:t>
            </w:r>
          </w:p>
        </w:tc>
        <w:tc>
          <w:tcPr>
            <w:tcW w:w="1984" w:type="dxa"/>
          </w:tcPr>
          <w:p w14:paraId="6D70B0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N 1904 завод N18</w:t>
            </w:r>
          </w:p>
        </w:tc>
        <w:tc>
          <w:tcPr>
            <w:tcW w:w="2410" w:type="dxa"/>
          </w:tcPr>
          <w:p w14:paraId="17396E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N 10/35 завод N22</w:t>
            </w:r>
          </w:p>
        </w:tc>
        <w:tc>
          <w:tcPr>
            <w:tcW w:w="3402" w:type="dxa"/>
          </w:tcPr>
          <w:p w14:paraId="115B5E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N 390801 по данным</w:t>
            </w:r>
          </w:p>
        </w:tc>
      </w:tr>
      <w:tr w:rsidR="009B487A" w:rsidRPr="00722885" w14:paraId="7F4E2BB8" w14:textId="77777777" w:rsidTr="00CC5360">
        <w:tc>
          <w:tcPr>
            <w:tcW w:w="2802" w:type="dxa"/>
          </w:tcPr>
          <w:p w14:paraId="79A532A0" w14:textId="77777777" w:rsidR="00AE7191" w:rsidRPr="00722885" w:rsidRDefault="00AE7191" w:rsidP="00722885">
            <w:pPr>
              <w:pStyle w:val="Iauiue"/>
              <w:jc w:val="both"/>
              <w:rPr>
                <w:color w:val="000000" w:themeColor="text1"/>
                <w:sz w:val="16"/>
                <w:szCs w:val="16"/>
              </w:rPr>
            </w:pPr>
          </w:p>
        </w:tc>
        <w:tc>
          <w:tcPr>
            <w:tcW w:w="1984" w:type="dxa"/>
          </w:tcPr>
          <w:p w14:paraId="51941EA2" w14:textId="77777777" w:rsidR="00AE7191" w:rsidRPr="00722885" w:rsidRDefault="00AE7191" w:rsidP="00722885">
            <w:pPr>
              <w:pStyle w:val="Iauiue"/>
              <w:jc w:val="both"/>
              <w:rPr>
                <w:color w:val="000000" w:themeColor="text1"/>
                <w:sz w:val="16"/>
                <w:szCs w:val="16"/>
              </w:rPr>
            </w:pPr>
          </w:p>
        </w:tc>
        <w:tc>
          <w:tcPr>
            <w:tcW w:w="2410" w:type="dxa"/>
          </w:tcPr>
          <w:p w14:paraId="3A680618" w14:textId="77777777" w:rsidR="00AE7191" w:rsidRPr="00722885" w:rsidRDefault="00AE7191" w:rsidP="00722885">
            <w:pPr>
              <w:pStyle w:val="Iauiue"/>
              <w:jc w:val="both"/>
              <w:rPr>
                <w:color w:val="000000" w:themeColor="text1"/>
                <w:sz w:val="16"/>
                <w:szCs w:val="16"/>
              </w:rPr>
            </w:pPr>
          </w:p>
        </w:tc>
        <w:tc>
          <w:tcPr>
            <w:tcW w:w="3402" w:type="dxa"/>
          </w:tcPr>
          <w:p w14:paraId="43BE870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гос. испытаний 1940 г.</w:t>
            </w:r>
          </w:p>
        </w:tc>
      </w:tr>
      <w:tr w:rsidR="009B487A" w:rsidRPr="00722885" w14:paraId="05D25B6F" w14:textId="77777777" w:rsidTr="00CC5360">
        <w:tc>
          <w:tcPr>
            <w:tcW w:w="2802" w:type="dxa"/>
          </w:tcPr>
          <w:p w14:paraId="74F023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Максимальная скорость у земли</w:t>
            </w:r>
          </w:p>
        </w:tc>
        <w:tc>
          <w:tcPr>
            <w:tcW w:w="1984" w:type="dxa"/>
          </w:tcPr>
          <w:p w14:paraId="3B8C41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391</w:t>
            </w:r>
          </w:p>
        </w:tc>
        <w:tc>
          <w:tcPr>
            <w:tcW w:w="2410" w:type="dxa"/>
          </w:tcPr>
          <w:p w14:paraId="0EB00B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446 без наружн.</w:t>
            </w:r>
          </w:p>
        </w:tc>
        <w:tc>
          <w:tcPr>
            <w:tcW w:w="3402" w:type="dxa"/>
          </w:tcPr>
          <w:p w14:paraId="12BD5E2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345</w:t>
            </w:r>
          </w:p>
        </w:tc>
      </w:tr>
      <w:tr w:rsidR="009B487A" w:rsidRPr="00722885" w14:paraId="298B3AA5" w14:textId="77777777" w:rsidTr="00CC5360">
        <w:tc>
          <w:tcPr>
            <w:tcW w:w="2802" w:type="dxa"/>
          </w:tcPr>
          <w:p w14:paraId="720A738F" w14:textId="77777777" w:rsidR="00AE7191" w:rsidRPr="00722885" w:rsidRDefault="00AE7191" w:rsidP="00722885">
            <w:pPr>
              <w:pStyle w:val="Iauiue"/>
              <w:jc w:val="both"/>
              <w:rPr>
                <w:color w:val="000000" w:themeColor="text1"/>
                <w:sz w:val="16"/>
                <w:szCs w:val="16"/>
              </w:rPr>
            </w:pPr>
          </w:p>
        </w:tc>
        <w:tc>
          <w:tcPr>
            <w:tcW w:w="1984" w:type="dxa"/>
          </w:tcPr>
          <w:p w14:paraId="160024AC" w14:textId="77777777" w:rsidR="00AE7191" w:rsidRPr="00722885" w:rsidRDefault="00AE7191" w:rsidP="00722885">
            <w:pPr>
              <w:pStyle w:val="Iauiue"/>
              <w:jc w:val="both"/>
              <w:rPr>
                <w:color w:val="000000" w:themeColor="text1"/>
                <w:sz w:val="16"/>
                <w:szCs w:val="16"/>
              </w:rPr>
            </w:pPr>
          </w:p>
        </w:tc>
        <w:tc>
          <w:tcPr>
            <w:tcW w:w="2410" w:type="dxa"/>
          </w:tcPr>
          <w:p w14:paraId="1E8B87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держателей</w:t>
            </w:r>
          </w:p>
        </w:tc>
        <w:tc>
          <w:tcPr>
            <w:tcW w:w="3402" w:type="dxa"/>
          </w:tcPr>
          <w:p w14:paraId="69D4F36B" w14:textId="77777777" w:rsidR="00AE7191" w:rsidRPr="00722885" w:rsidRDefault="00AE7191" w:rsidP="00722885">
            <w:pPr>
              <w:pStyle w:val="Iauiue"/>
              <w:jc w:val="both"/>
              <w:rPr>
                <w:color w:val="000000" w:themeColor="text1"/>
                <w:sz w:val="16"/>
                <w:szCs w:val="16"/>
              </w:rPr>
            </w:pPr>
          </w:p>
        </w:tc>
      </w:tr>
      <w:tr w:rsidR="009B487A" w:rsidRPr="00722885" w14:paraId="7FCE4B59" w14:textId="77777777" w:rsidTr="00CC5360">
        <w:tc>
          <w:tcPr>
            <w:tcW w:w="2802" w:type="dxa"/>
          </w:tcPr>
          <w:p w14:paraId="5D559F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Максимальная скорость на </w:t>
            </w:r>
          </w:p>
        </w:tc>
        <w:tc>
          <w:tcPr>
            <w:tcW w:w="1984" w:type="dxa"/>
          </w:tcPr>
          <w:p w14:paraId="38D726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416/2300</w:t>
            </w:r>
          </w:p>
        </w:tc>
        <w:tc>
          <w:tcPr>
            <w:tcW w:w="2410" w:type="dxa"/>
          </w:tcPr>
          <w:p w14:paraId="30DC09F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530/5000 без наружн.</w:t>
            </w:r>
          </w:p>
        </w:tc>
        <w:tc>
          <w:tcPr>
            <w:tcW w:w="3402" w:type="dxa"/>
          </w:tcPr>
          <w:p w14:paraId="0477B7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429/6700</w:t>
            </w:r>
          </w:p>
        </w:tc>
      </w:tr>
      <w:tr w:rsidR="009B487A" w:rsidRPr="00722885" w14:paraId="7C05CBD0" w14:textId="77777777" w:rsidTr="00CC5360">
        <w:tc>
          <w:tcPr>
            <w:tcW w:w="2802" w:type="dxa"/>
          </w:tcPr>
          <w:p w14:paraId="282D9D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высоте в км/час</w:t>
            </w:r>
          </w:p>
        </w:tc>
        <w:tc>
          <w:tcPr>
            <w:tcW w:w="1984" w:type="dxa"/>
          </w:tcPr>
          <w:p w14:paraId="79106C07" w14:textId="77777777" w:rsidR="00AE7191" w:rsidRPr="00722885" w:rsidRDefault="00AE7191" w:rsidP="00722885">
            <w:pPr>
              <w:pStyle w:val="Iauiue"/>
              <w:jc w:val="both"/>
              <w:rPr>
                <w:color w:val="000000" w:themeColor="text1"/>
                <w:sz w:val="16"/>
                <w:szCs w:val="16"/>
              </w:rPr>
            </w:pPr>
          </w:p>
        </w:tc>
        <w:tc>
          <w:tcPr>
            <w:tcW w:w="2410" w:type="dxa"/>
          </w:tcPr>
          <w:p w14:paraId="060D4E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держателей</w:t>
            </w:r>
          </w:p>
        </w:tc>
        <w:tc>
          <w:tcPr>
            <w:tcW w:w="3402" w:type="dxa"/>
          </w:tcPr>
          <w:p w14:paraId="4778B007" w14:textId="77777777" w:rsidR="00AE7191" w:rsidRPr="00722885" w:rsidRDefault="00AE7191" w:rsidP="00722885">
            <w:pPr>
              <w:pStyle w:val="Iauiue"/>
              <w:jc w:val="both"/>
              <w:rPr>
                <w:color w:val="000000" w:themeColor="text1"/>
                <w:sz w:val="16"/>
                <w:szCs w:val="16"/>
              </w:rPr>
            </w:pPr>
          </w:p>
        </w:tc>
      </w:tr>
      <w:tr w:rsidR="009B487A" w:rsidRPr="00722885" w14:paraId="33C8DC20" w14:textId="77777777" w:rsidTr="00CC5360">
        <w:tc>
          <w:tcPr>
            <w:tcW w:w="2802" w:type="dxa"/>
          </w:tcPr>
          <w:p w14:paraId="0568F1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Дальность с нормальным полетн.</w:t>
            </w:r>
          </w:p>
        </w:tc>
        <w:tc>
          <w:tcPr>
            <w:tcW w:w="1984" w:type="dxa"/>
          </w:tcPr>
          <w:p w14:paraId="2605E7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620 на скорости 0,9</w:t>
            </w:r>
          </w:p>
        </w:tc>
        <w:tc>
          <w:tcPr>
            <w:tcW w:w="2410" w:type="dxa"/>
          </w:tcPr>
          <w:p w14:paraId="4B87AE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770 на скорости 0,8</w:t>
            </w:r>
          </w:p>
        </w:tc>
        <w:tc>
          <w:tcPr>
            <w:tcW w:w="3402" w:type="dxa"/>
          </w:tcPr>
          <w:p w14:paraId="2F498D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720 на скорости 0,9</w:t>
            </w:r>
          </w:p>
        </w:tc>
      </w:tr>
      <w:tr w:rsidR="009B487A" w:rsidRPr="00722885" w14:paraId="1ECC1EF7" w14:textId="77777777" w:rsidTr="00CC5360">
        <w:tc>
          <w:tcPr>
            <w:tcW w:w="2802" w:type="dxa"/>
          </w:tcPr>
          <w:p w14:paraId="3BB199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весом на скорости в км</w:t>
            </w:r>
          </w:p>
        </w:tc>
        <w:tc>
          <w:tcPr>
            <w:tcW w:w="1984" w:type="dxa"/>
          </w:tcPr>
          <w:p w14:paraId="275706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макс. на высоте</w:t>
            </w:r>
          </w:p>
        </w:tc>
        <w:tc>
          <w:tcPr>
            <w:tcW w:w="2410" w:type="dxa"/>
          </w:tcPr>
          <w:p w14:paraId="509576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макс. на высоте</w:t>
            </w:r>
          </w:p>
        </w:tc>
        <w:tc>
          <w:tcPr>
            <w:tcW w:w="3402" w:type="dxa"/>
          </w:tcPr>
          <w:p w14:paraId="10F840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макс.</w:t>
            </w:r>
          </w:p>
        </w:tc>
      </w:tr>
      <w:tr w:rsidR="009B487A" w:rsidRPr="00722885" w14:paraId="7390AE2C" w14:textId="77777777" w:rsidTr="00CC5360">
        <w:tc>
          <w:tcPr>
            <w:tcW w:w="2802" w:type="dxa"/>
          </w:tcPr>
          <w:p w14:paraId="17CCB842" w14:textId="77777777" w:rsidR="00AE7191" w:rsidRPr="00722885" w:rsidRDefault="00AE7191" w:rsidP="00722885">
            <w:pPr>
              <w:pStyle w:val="Iauiue"/>
              <w:jc w:val="both"/>
              <w:rPr>
                <w:color w:val="000000" w:themeColor="text1"/>
                <w:sz w:val="16"/>
                <w:szCs w:val="16"/>
              </w:rPr>
            </w:pPr>
          </w:p>
        </w:tc>
        <w:tc>
          <w:tcPr>
            <w:tcW w:w="1984" w:type="dxa"/>
          </w:tcPr>
          <w:p w14:paraId="23C57D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570 м</w:t>
            </w:r>
          </w:p>
        </w:tc>
        <w:tc>
          <w:tcPr>
            <w:tcW w:w="2410" w:type="dxa"/>
          </w:tcPr>
          <w:p w14:paraId="6A626F0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5000 м</w:t>
            </w:r>
          </w:p>
        </w:tc>
        <w:tc>
          <w:tcPr>
            <w:tcW w:w="3402" w:type="dxa"/>
          </w:tcPr>
          <w:p w14:paraId="5D49CED5" w14:textId="77777777" w:rsidR="00AE7191" w:rsidRPr="00722885" w:rsidRDefault="00AE7191" w:rsidP="00722885">
            <w:pPr>
              <w:pStyle w:val="Iauiue"/>
              <w:jc w:val="both"/>
              <w:rPr>
                <w:color w:val="000000" w:themeColor="text1"/>
                <w:sz w:val="16"/>
                <w:szCs w:val="16"/>
              </w:rPr>
            </w:pPr>
          </w:p>
        </w:tc>
      </w:tr>
      <w:tr w:rsidR="009B487A" w:rsidRPr="00722885" w14:paraId="54A53761" w14:textId="77777777" w:rsidTr="00CC5360">
        <w:tc>
          <w:tcPr>
            <w:tcW w:w="2802" w:type="dxa"/>
          </w:tcPr>
          <w:p w14:paraId="1076C4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Дальность с полностью залитыми</w:t>
            </w:r>
          </w:p>
        </w:tc>
        <w:tc>
          <w:tcPr>
            <w:tcW w:w="1984" w:type="dxa"/>
          </w:tcPr>
          <w:p w14:paraId="37556A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2410" w:type="dxa"/>
          </w:tcPr>
          <w:p w14:paraId="62DA26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1315 на скорости 0,8</w:t>
            </w:r>
          </w:p>
        </w:tc>
        <w:tc>
          <w:tcPr>
            <w:tcW w:w="3402" w:type="dxa"/>
          </w:tcPr>
          <w:p w14:paraId="6611D1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2540 на скорости 0,9</w:t>
            </w:r>
          </w:p>
        </w:tc>
      </w:tr>
      <w:tr w:rsidR="009B487A" w:rsidRPr="00722885" w14:paraId="0DA7D91B" w14:textId="77777777" w:rsidTr="00CC5360">
        <w:tc>
          <w:tcPr>
            <w:tcW w:w="2802" w:type="dxa"/>
          </w:tcPr>
          <w:p w14:paraId="614A6F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бензобаками на скорости в км</w:t>
            </w:r>
          </w:p>
        </w:tc>
        <w:tc>
          <w:tcPr>
            <w:tcW w:w="1984" w:type="dxa"/>
          </w:tcPr>
          <w:p w14:paraId="7F975973" w14:textId="77777777" w:rsidR="00AE7191" w:rsidRPr="00722885" w:rsidRDefault="00AE7191" w:rsidP="00722885">
            <w:pPr>
              <w:pStyle w:val="Iauiue"/>
              <w:jc w:val="both"/>
              <w:rPr>
                <w:color w:val="000000" w:themeColor="text1"/>
                <w:sz w:val="16"/>
                <w:szCs w:val="16"/>
              </w:rPr>
            </w:pPr>
          </w:p>
        </w:tc>
        <w:tc>
          <w:tcPr>
            <w:tcW w:w="2410" w:type="dxa"/>
          </w:tcPr>
          <w:p w14:paraId="6C4F7D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макс. на высоте</w:t>
            </w:r>
          </w:p>
        </w:tc>
        <w:tc>
          <w:tcPr>
            <w:tcW w:w="3402" w:type="dxa"/>
          </w:tcPr>
          <w:p w14:paraId="4094204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макс.</w:t>
            </w:r>
          </w:p>
        </w:tc>
      </w:tr>
      <w:tr w:rsidR="009B487A" w:rsidRPr="00722885" w14:paraId="06AC8DA9" w14:textId="77777777" w:rsidTr="00CC5360">
        <w:tc>
          <w:tcPr>
            <w:tcW w:w="2802" w:type="dxa"/>
          </w:tcPr>
          <w:p w14:paraId="7B409DF2" w14:textId="77777777" w:rsidR="00AE7191" w:rsidRPr="00722885" w:rsidRDefault="00AE7191" w:rsidP="00722885">
            <w:pPr>
              <w:pStyle w:val="Iauiue"/>
              <w:jc w:val="both"/>
              <w:rPr>
                <w:color w:val="000000" w:themeColor="text1"/>
                <w:sz w:val="16"/>
                <w:szCs w:val="16"/>
              </w:rPr>
            </w:pPr>
          </w:p>
        </w:tc>
        <w:tc>
          <w:tcPr>
            <w:tcW w:w="1984" w:type="dxa"/>
          </w:tcPr>
          <w:p w14:paraId="78F85581" w14:textId="77777777" w:rsidR="00AE7191" w:rsidRPr="00722885" w:rsidRDefault="00AE7191" w:rsidP="00722885">
            <w:pPr>
              <w:pStyle w:val="Iauiue"/>
              <w:jc w:val="both"/>
              <w:rPr>
                <w:color w:val="000000" w:themeColor="text1"/>
                <w:sz w:val="16"/>
                <w:szCs w:val="16"/>
              </w:rPr>
            </w:pPr>
          </w:p>
        </w:tc>
        <w:tc>
          <w:tcPr>
            <w:tcW w:w="2410" w:type="dxa"/>
          </w:tcPr>
          <w:p w14:paraId="69F53B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5000 м</w:t>
            </w:r>
          </w:p>
        </w:tc>
        <w:tc>
          <w:tcPr>
            <w:tcW w:w="3402" w:type="dxa"/>
          </w:tcPr>
          <w:p w14:paraId="7FEB7320" w14:textId="77777777" w:rsidR="00AE7191" w:rsidRPr="00722885" w:rsidRDefault="00AE7191" w:rsidP="00722885">
            <w:pPr>
              <w:pStyle w:val="Iauiue"/>
              <w:jc w:val="both"/>
              <w:rPr>
                <w:color w:val="000000" w:themeColor="text1"/>
                <w:sz w:val="16"/>
                <w:szCs w:val="16"/>
              </w:rPr>
            </w:pPr>
          </w:p>
        </w:tc>
      </w:tr>
      <w:tr w:rsidR="009B487A" w:rsidRPr="00722885" w14:paraId="70C01955" w14:textId="77777777" w:rsidTr="00CC5360">
        <w:tc>
          <w:tcPr>
            <w:tcW w:w="2802" w:type="dxa"/>
          </w:tcPr>
          <w:p w14:paraId="24C349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Стрелково-артиллерийское</w:t>
            </w:r>
          </w:p>
        </w:tc>
        <w:tc>
          <w:tcPr>
            <w:tcW w:w="1984" w:type="dxa"/>
          </w:tcPr>
          <w:p w14:paraId="72F18E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пуш. кал. 23 мм</w:t>
            </w:r>
          </w:p>
        </w:tc>
        <w:tc>
          <w:tcPr>
            <w:tcW w:w="2410" w:type="dxa"/>
          </w:tcPr>
          <w:p w14:paraId="37F8EF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Вперед: 1 пул. кал.</w:t>
            </w:r>
          </w:p>
        </w:tc>
        <w:tc>
          <w:tcPr>
            <w:tcW w:w="3402" w:type="dxa"/>
          </w:tcPr>
          <w:p w14:paraId="640A0D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Вперед: 1 пул. кал.</w:t>
            </w:r>
          </w:p>
        </w:tc>
      </w:tr>
      <w:tr w:rsidR="009B487A" w:rsidRPr="00722885" w14:paraId="57EC6BBF" w14:textId="77777777" w:rsidTr="00CC5360">
        <w:tc>
          <w:tcPr>
            <w:tcW w:w="2802" w:type="dxa"/>
          </w:tcPr>
          <w:p w14:paraId="1498C3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w:t>
            </w:r>
          </w:p>
        </w:tc>
        <w:tc>
          <w:tcPr>
            <w:tcW w:w="1984" w:type="dxa"/>
          </w:tcPr>
          <w:p w14:paraId="43A3D9B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снар. 320 шт.</w:t>
            </w:r>
          </w:p>
        </w:tc>
        <w:tc>
          <w:tcPr>
            <w:tcW w:w="2410" w:type="dxa"/>
          </w:tcPr>
          <w:p w14:paraId="7FE31CC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12,7 мм патр. 150 шт.</w:t>
            </w:r>
          </w:p>
        </w:tc>
        <w:tc>
          <w:tcPr>
            <w:tcW w:w="3402" w:type="dxa"/>
          </w:tcPr>
          <w:p w14:paraId="46D441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7,62 мм патр. 500 шт.</w:t>
            </w:r>
          </w:p>
        </w:tc>
      </w:tr>
      <w:tr w:rsidR="009B487A" w:rsidRPr="00722885" w14:paraId="48796055" w14:textId="77777777" w:rsidTr="00CC5360">
        <w:tc>
          <w:tcPr>
            <w:tcW w:w="2802" w:type="dxa"/>
          </w:tcPr>
          <w:p w14:paraId="23EE7347" w14:textId="77777777" w:rsidR="00AE7191" w:rsidRPr="00722885" w:rsidRDefault="00AE7191" w:rsidP="00722885">
            <w:pPr>
              <w:pStyle w:val="Iauiue"/>
              <w:jc w:val="both"/>
              <w:rPr>
                <w:color w:val="000000" w:themeColor="text1"/>
                <w:sz w:val="16"/>
                <w:szCs w:val="16"/>
              </w:rPr>
            </w:pPr>
          </w:p>
        </w:tc>
        <w:tc>
          <w:tcPr>
            <w:tcW w:w="1984" w:type="dxa"/>
          </w:tcPr>
          <w:p w14:paraId="0DC92C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 кал. 7,62 мм</w:t>
            </w:r>
          </w:p>
        </w:tc>
        <w:tc>
          <w:tcPr>
            <w:tcW w:w="2410" w:type="dxa"/>
          </w:tcPr>
          <w:p w14:paraId="79ABF6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 кал. 7,62 мм</w:t>
            </w:r>
          </w:p>
        </w:tc>
        <w:tc>
          <w:tcPr>
            <w:tcW w:w="3402" w:type="dxa"/>
          </w:tcPr>
          <w:p w14:paraId="552D5D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Назад: Верхняя точка</w:t>
            </w:r>
          </w:p>
        </w:tc>
      </w:tr>
      <w:tr w:rsidR="009B487A" w:rsidRPr="00722885" w14:paraId="657FDD6A" w14:textId="77777777" w:rsidTr="00CC5360">
        <w:tc>
          <w:tcPr>
            <w:tcW w:w="2802" w:type="dxa"/>
          </w:tcPr>
          <w:p w14:paraId="737173CB" w14:textId="77777777" w:rsidR="00AE7191" w:rsidRPr="00722885" w:rsidRDefault="00AE7191" w:rsidP="00722885">
            <w:pPr>
              <w:pStyle w:val="Iauiue"/>
              <w:jc w:val="both"/>
              <w:rPr>
                <w:color w:val="000000" w:themeColor="text1"/>
                <w:sz w:val="16"/>
                <w:szCs w:val="16"/>
              </w:rPr>
            </w:pPr>
          </w:p>
        </w:tc>
        <w:tc>
          <w:tcPr>
            <w:tcW w:w="1984" w:type="dxa"/>
          </w:tcPr>
          <w:p w14:paraId="627427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1500 шт.</w:t>
            </w:r>
          </w:p>
        </w:tc>
        <w:tc>
          <w:tcPr>
            <w:tcW w:w="2410" w:type="dxa"/>
          </w:tcPr>
          <w:p w14:paraId="1D1E79A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450 шт.</w:t>
            </w:r>
          </w:p>
        </w:tc>
        <w:tc>
          <w:tcPr>
            <w:tcW w:w="3402" w:type="dxa"/>
          </w:tcPr>
          <w:p w14:paraId="352EF5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 кал. 7,62 мм</w:t>
            </w:r>
          </w:p>
        </w:tc>
      </w:tr>
      <w:tr w:rsidR="009B487A" w:rsidRPr="00722885" w14:paraId="49C47CCB" w14:textId="77777777" w:rsidTr="00CC5360">
        <w:tc>
          <w:tcPr>
            <w:tcW w:w="2802" w:type="dxa"/>
          </w:tcPr>
          <w:p w14:paraId="755E1C32" w14:textId="77777777" w:rsidR="00AE7191" w:rsidRPr="00722885" w:rsidRDefault="00AE7191" w:rsidP="00722885">
            <w:pPr>
              <w:pStyle w:val="Iauiue"/>
              <w:jc w:val="both"/>
              <w:rPr>
                <w:color w:val="000000" w:themeColor="text1"/>
                <w:sz w:val="16"/>
                <w:szCs w:val="16"/>
              </w:rPr>
            </w:pPr>
          </w:p>
        </w:tc>
        <w:tc>
          <w:tcPr>
            <w:tcW w:w="1984" w:type="dxa"/>
          </w:tcPr>
          <w:p w14:paraId="366CB18F" w14:textId="77777777" w:rsidR="00AE7191" w:rsidRPr="00722885" w:rsidRDefault="00AE7191" w:rsidP="00722885">
            <w:pPr>
              <w:pStyle w:val="Iauiue"/>
              <w:jc w:val="both"/>
              <w:rPr>
                <w:color w:val="000000" w:themeColor="text1"/>
                <w:sz w:val="16"/>
                <w:szCs w:val="16"/>
              </w:rPr>
            </w:pPr>
          </w:p>
        </w:tc>
        <w:tc>
          <w:tcPr>
            <w:tcW w:w="2410" w:type="dxa"/>
          </w:tcPr>
          <w:p w14:paraId="02E49D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Назад: верхний</w:t>
            </w:r>
          </w:p>
        </w:tc>
        <w:tc>
          <w:tcPr>
            <w:tcW w:w="3402" w:type="dxa"/>
          </w:tcPr>
          <w:p w14:paraId="177A4C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1200 шт.</w:t>
            </w:r>
          </w:p>
        </w:tc>
      </w:tr>
      <w:tr w:rsidR="009B487A" w:rsidRPr="00722885" w14:paraId="55975956" w14:textId="77777777" w:rsidTr="00CC5360">
        <w:tc>
          <w:tcPr>
            <w:tcW w:w="2802" w:type="dxa"/>
          </w:tcPr>
          <w:p w14:paraId="11F46213" w14:textId="77777777" w:rsidR="00AE7191" w:rsidRPr="00722885" w:rsidRDefault="00AE7191" w:rsidP="00722885">
            <w:pPr>
              <w:pStyle w:val="Iauiue"/>
              <w:jc w:val="both"/>
              <w:rPr>
                <w:color w:val="000000" w:themeColor="text1"/>
                <w:sz w:val="16"/>
                <w:szCs w:val="16"/>
              </w:rPr>
            </w:pPr>
          </w:p>
        </w:tc>
        <w:tc>
          <w:tcPr>
            <w:tcW w:w="1984" w:type="dxa"/>
          </w:tcPr>
          <w:p w14:paraId="67631CB6" w14:textId="77777777" w:rsidR="00AE7191" w:rsidRPr="00722885" w:rsidRDefault="00AE7191" w:rsidP="00722885">
            <w:pPr>
              <w:pStyle w:val="Iauiue"/>
              <w:jc w:val="both"/>
              <w:rPr>
                <w:color w:val="000000" w:themeColor="text1"/>
                <w:sz w:val="16"/>
                <w:szCs w:val="16"/>
              </w:rPr>
            </w:pPr>
          </w:p>
        </w:tc>
        <w:tc>
          <w:tcPr>
            <w:tcW w:w="2410" w:type="dxa"/>
          </w:tcPr>
          <w:p w14:paraId="605159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 кал. 7,62 мм</w:t>
            </w:r>
          </w:p>
        </w:tc>
        <w:tc>
          <w:tcPr>
            <w:tcW w:w="3402" w:type="dxa"/>
          </w:tcPr>
          <w:p w14:paraId="2BE6F0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Нижняя точка. 1 пул. </w:t>
            </w:r>
          </w:p>
        </w:tc>
      </w:tr>
      <w:tr w:rsidR="009B487A" w:rsidRPr="00722885" w14:paraId="6BB0F382" w14:textId="77777777" w:rsidTr="00CC5360">
        <w:tc>
          <w:tcPr>
            <w:tcW w:w="2802" w:type="dxa"/>
          </w:tcPr>
          <w:p w14:paraId="2A4B244A" w14:textId="77777777" w:rsidR="00AE7191" w:rsidRPr="00722885" w:rsidRDefault="00AE7191" w:rsidP="00722885">
            <w:pPr>
              <w:pStyle w:val="Iauiue"/>
              <w:jc w:val="both"/>
              <w:rPr>
                <w:color w:val="000000" w:themeColor="text1"/>
                <w:sz w:val="16"/>
                <w:szCs w:val="16"/>
              </w:rPr>
            </w:pPr>
          </w:p>
        </w:tc>
        <w:tc>
          <w:tcPr>
            <w:tcW w:w="1984" w:type="dxa"/>
          </w:tcPr>
          <w:p w14:paraId="1FBC01E0" w14:textId="77777777" w:rsidR="00AE7191" w:rsidRPr="00722885" w:rsidRDefault="00AE7191" w:rsidP="00722885">
            <w:pPr>
              <w:pStyle w:val="Iauiue"/>
              <w:jc w:val="both"/>
              <w:rPr>
                <w:color w:val="000000" w:themeColor="text1"/>
                <w:sz w:val="16"/>
                <w:szCs w:val="16"/>
              </w:rPr>
            </w:pPr>
          </w:p>
        </w:tc>
        <w:tc>
          <w:tcPr>
            <w:tcW w:w="2410" w:type="dxa"/>
          </w:tcPr>
          <w:p w14:paraId="0AA0C3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750 шт. Люковый.</w:t>
            </w:r>
          </w:p>
        </w:tc>
        <w:tc>
          <w:tcPr>
            <w:tcW w:w="3402" w:type="dxa"/>
          </w:tcPr>
          <w:p w14:paraId="54841F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кал. 7,62 мм патр. 750 шт</w:t>
            </w:r>
          </w:p>
        </w:tc>
      </w:tr>
      <w:tr w:rsidR="009B487A" w:rsidRPr="00722885" w14:paraId="665F728C" w14:textId="77777777" w:rsidTr="00CC5360">
        <w:tc>
          <w:tcPr>
            <w:tcW w:w="2802" w:type="dxa"/>
          </w:tcPr>
          <w:p w14:paraId="7E7AA0B5" w14:textId="77777777" w:rsidR="00AE7191" w:rsidRPr="00722885" w:rsidRDefault="00AE7191" w:rsidP="00722885">
            <w:pPr>
              <w:pStyle w:val="Iauiue"/>
              <w:jc w:val="both"/>
              <w:rPr>
                <w:color w:val="000000" w:themeColor="text1"/>
                <w:sz w:val="16"/>
                <w:szCs w:val="16"/>
              </w:rPr>
            </w:pPr>
          </w:p>
        </w:tc>
        <w:tc>
          <w:tcPr>
            <w:tcW w:w="1984" w:type="dxa"/>
          </w:tcPr>
          <w:p w14:paraId="417441E8" w14:textId="77777777" w:rsidR="00AE7191" w:rsidRPr="00722885" w:rsidRDefault="00AE7191" w:rsidP="00722885">
            <w:pPr>
              <w:pStyle w:val="Iauiue"/>
              <w:jc w:val="both"/>
              <w:rPr>
                <w:color w:val="000000" w:themeColor="text1"/>
                <w:sz w:val="16"/>
                <w:szCs w:val="16"/>
              </w:rPr>
            </w:pPr>
          </w:p>
        </w:tc>
        <w:tc>
          <w:tcPr>
            <w:tcW w:w="2410" w:type="dxa"/>
          </w:tcPr>
          <w:p w14:paraId="241128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 кал. 12,7 мм</w:t>
            </w:r>
          </w:p>
        </w:tc>
        <w:tc>
          <w:tcPr>
            <w:tcW w:w="3402" w:type="dxa"/>
          </w:tcPr>
          <w:p w14:paraId="41474644" w14:textId="77777777" w:rsidR="00AE7191" w:rsidRPr="00722885" w:rsidRDefault="00AE7191" w:rsidP="00722885">
            <w:pPr>
              <w:pStyle w:val="Iauiue"/>
              <w:jc w:val="both"/>
              <w:rPr>
                <w:color w:val="000000" w:themeColor="text1"/>
                <w:sz w:val="16"/>
                <w:szCs w:val="16"/>
              </w:rPr>
            </w:pPr>
          </w:p>
        </w:tc>
      </w:tr>
      <w:tr w:rsidR="009B487A" w:rsidRPr="00722885" w14:paraId="48102310" w14:textId="77777777" w:rsidTr="00CC5360">
        <w:tc>
          <w:tcPr>
            <w:tcW w:w="2802" w:type="dxa"/>
          </w:tcPr>
          <w:p w14:paraId="76BA4883" w14:textId="77777777" w:rsidR="00AE7191" w:rsidRPr="00722885" w:rsidRDefault="00AE7191" w:rsidP="00722885">
            <w:pPr>
              <w:pStyle w:val="Iauiue"/>
              <w:jc w:val="both"/>
              <w:rPr>
                <w:color w:val="000000" w:themeColor="text1"/>
                <w:sz w:val="16"/>
                <w:szCs w:val="16"/>
              </w:rPr>
            </w:pPr>
          </w:p>
        </w:tc>
        <w:tc>
          <w:tcPr>
            <w:tcW w:w="1984" w:type="dxa"/>
          </w:tcPr>
          <w:p w14:paraId="637CB9C1" w14:textId="77777777" w:rsidR="00AE7191" w:rsidRPr="00722885" w:rsidRDefault="00AE7191" w:rsidP="00722885">
            <w:pPr>
              <w:pStyle w:val="Iauiue"/>
              <w:jc w:val="both"/>
              <w:rPr>
                <w:color w:val="000000" w:themeColor="text1"/>
                <w:sz w:val="16"/>
                <w:szCs w:val="16"/>
              </w:rPr>
            </w:pPr>
          </w:p>
        </w:tc>
        <w:tc>
          <w:tcPr>
            <w:tcW w:w="2410" w:type="dxa"/>
          </w:tcPr>
          <w:p w14:paraId="42EF1E2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200 шт.</w:t>
            </w:r>
          </w:p>
        </w:tc>
        <w:tc>
          <w:tcPr>
            <w:tcW w:w="3402" w:type="dxa"/>
          </w:tcPr>
          <w:p w14:paraId="6A653787" w14:textId="77777777" w:rsidR="00AE7191" w:rsidRPr="00722885" w:rsidRDefault="00AE7191" w:rsidP="00722885">
            <w:pPr>
              <w:pStyle w:val="Iauiue"/>
              <w:jc w:val="both"/>
              <w:rPr>
                <w:color w:val="000000" w:themeColor="text1"/>
                <w:sz w:val="16"/>
                <w:szCs w:val="16"/>
              </w:rPr>
            </w:pPr>
          </w:p>
        </w:tc>
      </w:tr>
      <w:tr w:rsidR="009B487A" w:rsidRPr="00722885" w14:paraId="73C38947" w14:textId="77777777" w:rsidTr="00CC5360">
        <w:tc>
          <w:tcPr>
            <w:tcW w:w="2802" w:type="dxa"/>
          </w:tcPr>
          <w:p w14:paraId="2E1E01A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Реактивное вооружение</w:t>
            </w:r>
          </w:p>
        </w:tc>
        <w:tc>
          <w:tcPr>
            <w:tcW w:w="1984" w:type="dxa"/>
          </w:tcPr>
          <w:p w14:paraId="5032C3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шт. Ро-82</w:t>
            </w:r>
          </w:p>
        </w:tc>
        <w:tc>
          <w:tcPr>
            <w:tcW w:w="2410" w:type="dxa"/>
          </w:tcPr>
          <w:p w14:paraId="467C4E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3402" w:type="dxa"/>
          </w:tcPr>
          <w:p w14:paraId="29EC92AC" w14:textId="77777777" w:rsidR="00AE7191" w:rsidRPr="00722885" w:rsidRDefault="00AE7191" w:rsidP="00722885">
            <w:pPr>
              <w:pStyle w:val="Iauiue"/>
              <w:jc w:val="both"/>
              <w:rPr>
                <w:color w:val="000000" w:themeColor="text1"/>
                <w:sz w:val="16"/>
                <w:szCs w:val="16"/>
              </w:rPr>
            </w:pPr>
          </w:p>
        </w:tc>
      </w:tr>
      <w:tr w:rsidR="009B487A" w:rsidRPr="00722885" w14:paraId="5D22A64E" w14:textId="77777777" w:rsidTr="00CC5360">
        <w:tc>
          <w:tcPr>
            <w:tcW w:w="2802" w:type="dxa"/>
          </w:tcPr>
          <w:p w14:paraId="2F765C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Бомбовая нагрузка при</w:t>
            </w:r>
          </w:p>
        </w:tc>
        <w:tc>
          <w:tcPr>
            <w:tcW w:w="1984" w:type="dxa"/>
          </w:tcPr>
          <w:p w14:paraId="6AD525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Внутренняя подвеска:</w:t>
            </w:r>
          </w:p>
        </w:tc>
        <w:tc>
          <w:tcPr>
            <w:tcW w:w="2410" w:type="dxa"/>
          </w:tcPr>
          <w:p w14:paraId="0E061DA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Внутренняя подвеска:</w:t>
            </w:r>
          </w:p>
        </w:tc>
        <w:tc>
          <w:tcPr>
            <w:tcW w:w="3402" w:type="dxa"/>
          </w:tcPr>
          <w:p w14:paraId="1BAD29A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Внутренняя подвеска:</w:t>
            </w:r>
          </w:p>
        </w:tc>
      </w:tr>
      <w:tr w:rsidR="009B487A" w:rsidRPr="00722885" w14:paraId="19C181F9" w14:textId="77777777" w:rsidTr="00CC5360">
        <w:tc>
          <w:tcPr>
            <w:tcW w:w="2802" w:type="dxa"/>
          </w:tcPr>
          <w:p w14:paraId="1552ED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нормальном полетном весе</w:t>
            </w:r>
          </w:p>
        </w:tc>
        <w:tc>
          <w:tcPr>
            <w:tcW w:w="1984" w:type="dxa"/>
          </w:tcPr>
          <w:p w14:paraId="297223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4хФАБ-100 всего 400 кг</w:t>
            </w:r>
          </w:p>
        </w:tc>
        <w:tc>
          <w:tcPr>
            <w:tcW w:w="2410" w:type="dxa"/>
          </w:tcPr>
          <w:p w14:paraId="1AB6CD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6хФАБ-100 всего 600 кг</w:t>
            </w:r>
          </w:p>
        </w:tc>
        <w:tc>
          <w:tcPr>
            <w:tcW w:w="3402" w:type="dxa"/>
          </w:tcPr>
          <w:p w14:paraId="7207367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10хФАБ-100 всего 1000 кг</w:t>
            </w:r>
          </w:p>
        </w:tc>
      </w:tr>
      <w:tr w:rsidR="009B487A" w:rsidRPr="00722885" w14:paraId="4ECAE1FC" w14:textId="77777777" w:rsidTr="00CC5360">
        <w:tc>
          <w:tcPr>
            <w:tcW w:w="2802" w:type="dxa"/>
          </w:tcPr>
          <w:p w14:paraId="2FA3E1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кг</w:t>
            </w:r>
          </w:p>
        </w:tc>
        <w:tc>
          <w:tcPr>
            <w:tcW w:w="1984" w:type="dxa"/>
          </w:tcPr>
          <w:p w14:paraId="3D2140B0" w14:textId="77777777" w:rsidR="00AE7191" w:rsidRPr="00722885" w:rsidRDefault="00AE7191" w:rsidP="00722885">
            <w:pPr>
              <w:pStyle w:val="Iauiue"/>
              <w:jc w:val="both"/>
              <w:rPr>
                <w:color w:val="000000" w:themeColor="text1"/>
                <w:sz w:val="16"/>
                <w:szCs w:val="16"/>
              </w:rPr>
            </w:pPr>
          </w:p>
        </w:tc>
        <w:tc>
          <w:tcPr>
            <w:tcW w:w="2410" w:type="dxa"/>
          </w:tcPr>
          <w:p w14:paraId="3FBB65FF" w14:textId="77777777" w:rsidR="00AE7191" w:rsidRPr="00722885" w:rsidRDefault="00AE7191" w:rsidP="00722885">
            <w:pPr>
              <w:pStyle w:val="Iauiue"/>
              <w:jc w:val="both"/>
              <w:rPr>
                <w:color w:val="000000" w:themeColor="text1"/>
                <w:sz w:val="16"/>
                <w:szCs w:val="16"/>
              </w:rPr>
            </w:pPr>
          </w:p>
        </w:tc>
        <w:tc>
          <w:tcPr>
            <w:tcW w:w="3402" w:type="dxa"/>
          </w:tcPr>
          <w:p w14:paraId="1344BB1C" w14:textId="77777777" w:rsidR="00AE7191" w:rsidRPr="00722885" w:rsidRDefault="00AE7191" w:rsidP="00722885">
            <w:pPr>
              <w:pStyle w:val="Iauiue"/>
              <w:jc w:val="both"/>
              <w:rPr>
                <w:color w:val="000000" w:themeColor="text1"/>
                <w:sz w:val="16"/>
                <w:szCs w:val="16"/>
              </w:rPr>
            </w:pPr>
          </w:p>
        </w:tc>
      </w:tr>
      <w:tr w:rsidR="009B487A" w:rsidRPr="00722885" w14:paraId="493B4008" w14:textId="77777777" w:rsidTr="00CC5360">
        <w:tc>
          <w:tcPr>
            <w:tcW w:w="2802" w:type="dxa"/>
          </w:tcPr>
          <w:p w14:paraId="584C5EF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Максимальная бомбовая нагрузка</w:t>
            </w:r>
          </w:p>
        </w:tc>
        <w:tc>
          <w:tcPr>
            <w:tcW w:w="1984" w:type="dxa"/>
          </w:tcPr>
          <w:p w14:paraId="04E3B1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Внутренняя подвеска:</w:t>
            </w:r>
          </w:p>
        </w:tc>
        <w:tc>
          <w:tcPr>
            <w:tcW w:w="2410" w:type="dxa"/>
          </w:tcPr>
          <w:p w14:paraId="2E26D6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Внутренняя подвеска:</w:t>
            </w:r>
          </w:p>
        </w:tc>
        <w:tc>
          <w:tcPr>
            <w:tcW w:w="3402" w:type="dxa"/>
          </w:tcPr>
          <w:p w14:paraId="231073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Внутренняя подвеска:</w:t>
            </w:r>
          </w:p>
        </w:tc>
      </w:tr>
      <w:tr w:rsidR="009B487A" w:rsidRPr="00722885" w14:paraId="65AB1D29" w14:textId="77777777" w:rsidTr="00CC5360">
        <w:tc>
          <w:tcPr>
            <w:tcW w:w="2802" w:type="dxa"/>
          </w:tcPr>
          <w:p w14:paraId="011447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кг</w:t>
            </w:r>
          </w:p>
        </w:tc>
        <w:tc>
          <w:tcPr>
            <w:tcW w:w="1984" w:type="dxa"/>
          </w:tcPr>
          <w:p w14:paraId="021915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4хФАБ-100</w:t>
            </w:r>
          </w:p>
        </w:tc>
        <w:tc>
          <w:tcPr>
            <w:tcW w:w="2410" w:type="dxa"/>
          </w:tcPr>
          <w:p w14:paraId="175458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6хФАБ-100</w:t>
            </w:r>
          </w:p>
        </w:tc>
        <w:tc>
          <w:tcPr>
            <w:tcW w:w="3402" w:type="dxa"/>
          </w:tcPr>
          <w:p w14:paraId="19E0F1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5хФАБ-100</w:t>
            </w:r>
          </w:p>
        </w:tc>
      </w:tr>
      <w:tr w:rsidR="009B487A" w:rsidRPr="00722885" w14:paraId="469D0EFA" w14:textId="77777777" w:rsidTr="00CC5360">
        <w:tc>
          <w:tcPr>
            <w:tcW w:w="2802" w:type="dxa"/>
          </w:tcPr>
          <w:p w14:paraId="708A91BC" w14:textId="77777777" w:rsidR="00AE7191" w:rsidRPr="00722885" w:rsidRDefault="00AE7191" w:rsidP="00722885">
            <w:pPr>
              <w:pStyle w:val="Iauiue"/>
              <w:jc w:val="both"/>
              <w:rPr>
                <w:color w:val="000000" w:themeColor="text1"/>
                <w:sz w:val="16"/>
                <w:szCs w:val="16"/>
              </w:rPr>
            </w:pPr>
          </w:p>
        </w:tc>
        <w:tc>
          <w:tcPr>
            <w:tcW w:w="1984" w:type="dxa"/>
          </w:tcPr>
          <w:p w14:paraId="0F05C7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Наружная подвеска</w:t>
            </w:r>
          </w:p>
        </w:tc>
        <w:tc>
          <w:tcPr>
            <w:tcW w:w="2410" w:type="dxa"/>
          </w:tcPr>
          <w:p w14:paraId="6BCC93F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Наружная подвеска</w:t>
            </w:r>
          </w:p>
        </w:tc>
        <w:tc>
          <w:tcPr>
            <w:tcW w:w="3402" w:type="dxa"/>
          </w:tcPr>
          <w:p w14:paraId="22558A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Наружная подвеска</w:t>
            </w:r>
          </w:p>
        </w:tc>
      </w:tr>
      <w:tr w:rsidR="009B487A" w:rsidRPr="00722885" w14:paraId="06A7AF80" w14:textId="77777777" w:rsidTr="00CC5360">
        <w:tc>
          <w:tcPr>
            <w:tcW w:w="2802" w:type="dxa"/>
          </w:tcPr>
          <w:p w14:paraId="12545DE5" w14:textId="77777777" w:rsidR="00AE7191" w:rsidRPr="00722885" w:rsidRDefault="00AE7191" w:rsidP="00722885">
            <w:pPr>
              <w:pStyle w:val="Iauiue"/>
              <w:jc w:val="both"/>
              <w:rPr>
                <w:color w:val="000000" w:themeColor="text1"/>
                <w:sz w:val="16"/>
                <w:szCs w:val="16"/>
              </w:rPr>
            </w:pPr>
          </w:p>
        </w:tc>
        <w:tc>
          <w:tcPr>
            <w:tcW w:w="1984" w:type="dxa"/>
          </w:tcPr>
          <w:p w14:paraId="49A2E2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2хФАБ-100</w:t>
            </w:r>
          </w:p>
        </w:tc>
        <w:tc>
          <w:tcPr>
            <w:tcW w:w="2410" w:type="dxa"/>
          </w:tcPr>
          <w:p w14:paraId="08CC87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4х100</w:t>
            </w:r>
          </w:p>
        </w:tc>
        <w:tc>
          <w:tcPr>
            <w:tcW w:w="3402" w:type="dxa"/>
          </w:tcPr>
          <w:p w14:paraId="29719D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4хФАБ-500</w:t>
            </w:r>
          </w:p>
        </w:tc>
      </w:tr>
      <w:tr w:rsidR="009B487A" w:rsidRPr="00722885" w14:paraId="63D759B8" w14:textId="77777777" w:rsidTr="00CC5360">
        <w:tc>
          <w:tcPr>
            <w:tcW w:w="2802" w:type="dxa"/>
          </w:tcPr>
          <w:p w14:paraId="6A048768" w14:textId="77777777" w:rsidR="00AE7191" w:rsidRPr="00722885" w:rsidRDefault="00AE7191" w:rsidP="00722885">
            <w:pPr>
              <w:pStyle w:val="Iauiue"/>
              <w:jc w:val="both"/>
              <w:rPr>
                <w:color w:val="000000" w:themeColor="text1"/>
                <w:sz w:val="16"/>
                <w:szCs w:val="16"/>
              </w:rPr>
            </w:pPr>
          </w:p>
        </w:tc>
        <w:tc>
          <w:tcPr>
            <w:tcW w:w="1984" w:type="dxa"/>
          </w:tcPr>
          <w:p w14:paraId="4ACB8CA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Всего 600 кг</w:t>
            </w:r>
          </w:p>
        </w:tc>
        <w:tc>
          <w:tcPr>
            <w:tcW w:w="2410" w:type="dxa"/>
          </w:tcPr>
          <w:p w14:paraId="7DE0B84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Всего 1000 кг</w:t>
            </w:r>
          </w:p>
        </w:tc>
        <w:tc>
          <w:tcPr>
            <w:tcW w:w="3402" w:type="dxa"/>
          </w:tcPr>
          <w:p w14:paraId="3109E6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Всего 2500 кг</w:t>
            </w:r>
          </w:p>
        </w:tc>
      </w:tr>
      <w:tr w:rsidR="009B487A" w:rsidRPr="00722885" w14:paraId="0A00E583" w14:textId="77777777" w:rsidTr="00CC5360">
        <w:tc>
          <w:tcPr>
            <w:tcW w:w="2802" w:type="dxa"/>
          </w:tcPr>
          <w:p w14:paraId="5799E3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Мощность мотора в л.с.</w:t>
            </w:r>
          </w:p>
        </w:tc>
        <w:tc>
          <w:tcPr>
            <w:tcW w:w="1984" w:type="dxa"/>
          </w:tcPr>
          <w:p w14:paraId="45AD0E70" w14:textId="77777777" w:rsidR="00AE7191" w:rsidRPr="00722885" w:rsidRDefault="00AE7191" w:rsidP="00722885">
            <w:pPr>
              <w:pStyle w:val="Iauiue"/>
              <w:jc w:val="both"/>
              <w:rPr>
                <w:color w:val="000000" w:themeColor="text1"/>
                <w:sz w:val="16"/>
                <w:szCs w:val="16"/>
              </w:rPr>
            </w:pPr>
          </w:p>
        </w:tc>
        <w:tc>
          <w:tcPr>
            <w:tcW w:w="2410" w:type="dxa"/>
          </w:tcPr>
          <w:p w14:paraId="1B0FB768" w14:textId="77777777" w:rsidR="00AE7191" w:rsidRPr="00722885" w:rsidRDefault="00AE7191" w:rsidP="00722885">
            <w:pPr>
              <w:pStyle w:val="Iauiue"/>
              <w:jc w:val="both"/>
              <w:rPr>
                <w:color w:val="000000" w:themeColor="text1"/>
                <w:sz w:val="16"/>
                <w:szCs w:val="16"/>
              </w:rPr>
            </w:pPr>
          </w:p>
        </w:tc>
        <w:tc>
          <w:tcPr>
            <w:tcW w:w="3402" w:type="dxa"/>
          </w:tcPr>
          <w:p w14:paraId="44FBC6A8" w14:textId="77777777" w:rsidR="00AE7191" w:rsidRPr="00722885" w:rsidRDefault="00AE7191" w:rsidP="00722885">
            <w:pPr>
              <w:pStyle w:val="Iauiue"/>
              <w:jc w:val="both"/>
              <w:rPr>
                <w:color w:val="000000" w:themeColor="text1"/>
                <w:sz w:val="16"/>
                <w:szCs w:val="16"/>
              </w:rPr>
            </w:pPr>
          </w:p>
        </w:tc>
      </w:tr>
      <w:tr w:rsidR="009B487A" w:rsidRPr="00722885" w14:paraId="68C0D7C8" w14:textId="77777777" w:rsidTr="00CC5360">
        <w:tc>
          <w:tcPr>
            <w:tcW w:w="2802" w:type="dxa"/>
          </w:tcPr>
          <w:p w14:paraId="5F719B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 земли</w:t>
            </w:r>
          </w:p>
        </w:tc>
        <w:tc>
          <w:tcPr>
            <w:tcW w:w="1984" w:type="dxa"/>
          </w:tcPr>
          <w:p w14:paraId="245BA7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1500</w:t>
            </w:r>
          </w:p>
        </w:tc>
        <w:tc>
          <w:tcPr>
            <w:tcW w:w="2410" w:type="dxa"/>
          </w:tcPr>
          <w:p w14:paraId="6B3102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1020</w:t>
            </w:r>
          </w:p>
        </w:tc>
        <w:tc>
          <w:tcPr>
            <w:tcW w:w="3402" w:type="dxa"/>
          </w:tcPr>
          <w:p w14:paraId="52357B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950</w:t>
            </w:r>
          </w:p>
        </w:tc>
      </w:tr>
      <w:tr w:rsidR="009B487A" w:rsidRPr="00722885" w14:paraId="598DA6DB" w14:textId="77777777" w:rsidTr="00CC5360">
        <w:tc>
          <w:tcPr>
            <w:tcW w:w="2802" w:type="dxa"/>
          </w:tcPr>
          <w:p w14:paraId="492302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высоте</w:t>
            </w:r>
          </w:p>
        </w:tc>
        <w:tc>
          <w:tcPr>
            <w:tcW w:w="1984" w:type="dxa"/>
          </w:tcPr>
          <w:p w14:paraId="5F146F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1500/1650</w:t>
            </w:r>
          </w:p>
        </w:tc>
        <w:tc>
          <w:tcPr>
            <w:tcW w:w="2410" w:type="dxa"/>
          </w:tcPr>
          <w:p w14:paraId="2DFC88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1050/4000</w:t>
            </w:r>
          </w:p>
        </w:tc>
        <w:tc>
          <w:tcPr>
            <w:tcW w:w="3402" w:type="dxa"/>
          </w:tcPr>
          <w:p w14:paraId="4C0E3E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1000/6000</w:t>
            </w:r>
          </w:p>
        </w:tc>
      </w:tr>
      <w:tr w:rsidR="009B487A" w:rsidRPr="00722885" w14:paraId="41043A4C" w14:textId="77777777" w:rsidTr="00CC5360">
        <w:tc>
          <w:tcPr>
            <w:tcW w:w="2802" w:type="dxa"/>
          </w:tcPr>
          <w:p w14:paraId="2A46F6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Нормальный полетный вес</w:t>
            </w:r>
          </w:p>
        </w:tc>
        <w:tc>
          <w:tcPr>
            <w:tcW w:w="1984" w:type="dxa"/>
          </w:tcPr>
          <w:p w14:paraId="7F78D4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5670</w:t>
            </w:r>
          </w:p>
        </w:tc>
        <w:tc>
          <w:tcPr>
            <w:tcW w:w="2410" w:type="dxa"/>
          </w:tcPr>
          <w:p w14:paraId="596E9BA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7700</w:t>
            </w:r>
          </w:p>
        </w:tc>
        <w:tc>
          <w:tcPr>
            <w:tcW w:w="3402" w:type="dxa"/>
          </w:tcPr>
          <w:p w14:paraId="035723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8033</w:t>
            </w:r>
          </w:p>
        </w:tc>
      </w:tr>
      <w:tr w:rsidR="009B487A" w:rsidRPr="00722885" w14:paraId="28A32358" w14:textId="77777777" w:rsidTr="00CC5360">
        <w:tc>
          <w:tcPr>
            <w:tcW w:w="2802" w:type="dxa"/>
          </w:tcPr>
          <w:p w14:paraId="5A3D478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Запас горючего в кг</w:t>
            </w:r>
          </w:p>
        </w:tc>
        <w:tc>
          <w:tcPr>
            <w:tcW w:w="1984" w:type="dxa"/>
          </w:tcPr>
          <w:p w14:paraId="7BED0E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540</w:t>
            </w:r>
          </w:p>
        </w:tc>
        <w:tc>
          <w:tcPr>
            <w:tcW w:w="2410" w:type="dxa"/>
          </w:tcPr>
          <w:p w14:paraId="5044FC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700</w:t>
            </w:r>
          </w:p>
        </w:tc>
        <w:tc>
          <w:tcPr>
            <w:tcW w:w="3402" w:type="dxa"/>
          </w:tcPr>
          <w:p w14:paraId="01A16B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750</w:t>
            </w:r>
          </w:p>
        </w:tc>
      </w:tr>
      <w:tr w:rsidR="009B487A" w:rsidRPr="00722885" w14:paraId="1CC104A7" w14:textId="77777777" w:rsidTr="00CC5360">
        <w:tc>
          <w:tcPr>
            <w:tcW w:w="2802" w:type="dxa"/>
          </w:tcPr>
          <w:p w14:paraId="158FAC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Полетный вес в перегрузочном</w:t>
            </w:r>
          </w:p>
        </w:tc>
        <w:tc>
          <w:tcPr>
            <w:tcW w:w="1984" w:type="dxa"/>
          </w:tcPr>
          <w:p w14:paraId="43D105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5870</w:t>
            </w:r>
          </w:p>
        </w:tc>
        <w:tc>
          <w:tcPr>
            <w:tcW w:w="2410" w:type="dxa"/>
          </w:tcPr>
          <w:p w14:paraId="44D8A88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8700</w:t>
            </w:r>
          </w:p>
        </w:tc>
        <w:tc>
          <w:tcPr>
            <w:tcW w:w="3402" w:type="dxa"/>
          </w:tcPr>
          <w:p w14:paraId="46C55E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10153</w:t>
            </w:r>
          </w:p>
        </w:tc>
      </w:tr>
      <w:tr w:rsidR="009B487A" w:rsidRPr="00722885" w14:paraId="02ECB18A" w14:textId="77777777" w:rsidTr="00CC5360">
        <w:tc>
          <w:tcPr>
            <w:tcW w:w="2802" w:type="dxa"/>
          </w:tcPr>
          <w:p w14:paraId="33DC34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варианте в кг</w:t>
            </w:r>
          </w:p>
        </w:tc>
        <w:tc>
          <w:tcPr>
            <w:tcW w:w="1984" w:type="dxa"/>
          </w:tcPr>
          <w:p w14:paraId="21D1A862" w14:textId="77777777" w:rsidR="00AE7191" w:rsidRPr="00722885" w:rsidRDefault="00AE7191" w:rsidP="00722885">
            <w:pPr>
              <w:pStyle w:val="Iauiue"/>
              <w:jc w:val="both"/>
              <w:rPr>
                <w:color w:val="000000" w:themeColor="text1"/>
                <w:sz w:val="16"/>
                <w:szCs w:val="16"/>
              </w:rPr>
            </w:pPr>
          </w:p>
        </w:tc>
        <w:tc>
          <w:tcPr>
            <w:tcW w:w="2410" w:type="dxa"/>
          </w:tcPr>
          <w:p w14:paraId="03356DDB" w14:textId="77777777" w:rsidR="00AE7191" w:rsidRPr="00722885" w:rsidRDefault="00AE7191" w:rsidP="00722885">
            <w:pPr>
              <w:pStyle w:val="Iauiue"/>
              <w:jc w:val="both"/>
              <w:rPr>
                <w:color w:val="000000" w:themeColor="text1"/>
                <w:sz w:val="16"/>
                <w:szCs w:val="16"/>
              </w:rPr>
            </w:pPr>
          </w:p>
        </w:tc>
        <w:tc>
          <w:tcPr>
            <w:tcW w:w="3402" w:type="dxa"/>
          </w:tcPr>
          <w:p w14:paraId="33C40B27" w14:textId="77777777" w:rsidR="00AE7191" w:rsidRPr="00722885" w:rsidRDefault="00AE7191" w:rsidP="00722885">
            <w:pPr>
              <w:pStyle w:val="Iauiue"/>
              <w:jc w:val="both"/>
              <w:rPr>
                <w:color w:val="000000" w:themeColor="text1"/>
                <w:sz w:val="16"/>
                <w:szCs w:val="16"/>
              </w:rPr>
            </w:pPr>
          </w:p>
        </w:tc>
      </w:tr>
      <w:tr w:rsidR="009B487A" w:rsidRPr="00722885" w14:paraId="61F479EB" w14:textId="77777777" w:rsidTr="00CC5360">
        <w:tc>
          <w:tcPr>
            <w:tcW w:w="2802" w:type="dxa"/>
          </w:tcPr>
          <w:p w14:paraId="4D63A1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Запас горючего при полностью</w:t>
            </w:r>
          </w:p>
        </w:tc>
        <w:tc>
          <w:tcPr>
            <w:tcW w:w="1984" w:type="dxa"/>
          </w:tcPr>
          <w:p w14:paraId="02375EF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540</w:t>
            </w:r>
          </w:p>
        </w:tc>
        <w:tc>
          <w:tcPr>
            <w:tcW w:w="2410" w:type="dxa"/>
          </w:tcPr>
          <w:p w14:paraId="214385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1125</w:t>
            </w:r>
          </w:p>
        </w:tc>
        <w:tc>
          <w:tcPr>
            <w:tcW w:w="3402" w:type="dxa"/>
          </w:tcPr>
          <w:p w14:paraId="3665297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2750</w:t>
            </w:r>
          </w:p>
        </w:tc>
      </w:tr>
      <w:tr w:rsidR="009B487A" w:rsidRPr="00722885" w14:paraId="2C590B53" w14:textId="77777777" w:rsidTr="00CC5360">
        <w:tc>
          <w:tcPr>
            <w:tcW w:w="2802" w:type="dxa"/>
          </w:tcPr>
          <w:p w14:paraId="7AF615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залитых баках в кг</w:t>
            </w:r>
          </w:p>
        </w:tc>
        <w:tc>
          <w:tcPr>
            <w:tcW w:w="1984" w:type="dxa"/>
          </w:tcPr>
          <w:p w14:paraId="4D9DBD2A" w14:textId="77777777" w:rsidR="00AE7191" w:rsidRPr="00722885" w:rsidRDefault="00AE7191" w:rsidP="00722885">
            <w:pPr>
              <w:pStyle w:val="Iauiue"/>
              <w:jc w:val="both"/>
              <w:rPr>
                <w:color w:val="000000" w:themeColor="text1"/>
                <w:sz w:val="16"/>
                <w:szCs w:val="16"/>
              </w:rPr>
            </w:pPr>
          </w:p>
        </w:tc>
        <w:tc>
          <w:tcPr>
            <w:tcW w:w="2410" w:type="dxa"/>
          </w:tcPr>
          <w:p w14:paraId="376ED930" w14:textId="77777777" w:rsidR="00AE7191" w:rsidRPr="00722885" w:rsidRDefault="00AE7191" w:rsidP="00722885">
            <w:pPr>
              <w:pStyle w:val="Iauiue"/>
              <w:jc w:val="both"/>
              <w:rPr>
                <w:color w:val="000000" w:themeColor="text1"/>
                <w:sz w:val="16"/>
                <w:szCs w:val="16"/>
              </w:rPr>
            </w:pPr>
          </w:p>
        </w:tc>
        <w:tc>
          <w:tcPr>
            <w:tcW w:w="3402" w:type="dxa"/>
          </w:tcPr>
          <w:p w14:paraId="328ED39D" w14:textId="77777777" w:rsidR="00AE7191" w:rsidRPr="00722885" w:rsidRDefault="00AE7191" w:rsidP="00722885">
            <w:pPr>
              <w:pStyle w:val="Iauiue"/>
              <w:jc w:val="both"/>
              <w:rPr>
                <w:color w:val="000000" w:themeColor="text1"/>
                <w:sz w:val="16"/>
                <w:szCs w:val="16"/>
              </w:rPr>
            </w:pPr>
          </w:p>
        </w:tc>
      </w:tr>
      <w:tr w:rsidR="009B487A" w:rsidRPr="00722885" w14:paraId="787A0ED6" w14:textId="77777777" w:rsidTr="00CC5360">
        <w:tc>
          <w:tcPr>
            <w:tcW w:w="2802" w:type="dxa"/>
          </w:tcPr>
          <w:p w14:paraId="6F14281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Практический потолок в м</w:t>
            </w:r>
          </w:p>
        </w:tc>
        <w:tc>
          <w:tcPr>
            <w:tcW w:w="1984" w:type="dxa"/>
          </w:tcPr>
          <w:p w14:paraId="735322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6000</w:t>
            </w:r>
          </w:p>
        </w:tc>
        <w:tc>
          <w:tcPr>
            <w:tcW w:w="2410" w:type="dxa"/>
          </w:tcPr>
          <w:p w14:paraId="5767CC6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8800</w:t>
            </w:r>
          </w:p>
        </w:tc>
        <w:tc>
          <w:tcPr>
            <w:tcW w:w="3402" w:type="dxa"/>
          </w:tcPr>
          <w:p w14:paraId="44186F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10000</w:t>
            </w:r>
          </w:p>
        </w:tc>
      </w:tr>
      <w:tr w:rsidR="009B487A" w:rsidRPr="00722885" w14:paraId="1F924B2B" w14:textId="77777777" w:rsidTr="00CC5360">
        <w:tc>
          <w:tcPr>
            <w:tcW w:w="2802" w:type="dxa"/>
          </w:tcPr>
          <w:p w14:paraId="7D980E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Время набора высоты 5000 м в мин.</w:t>
            </w:r>
          </w:p>
        </w:tc>
        <w:tc>
          <w:tcPr>
            <w:tcW w:w="1984" w:type="dxa"/>
          </w:tcPr>
          <w:p w14:paraId="4D6A2C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16,6</w:t>
            </w:r>
          </w:p>
        </w:tc>
        <w:tc>
          <w:tcPr>
            <w:tcW w:w="2410" w:type="dxa"/>
          </w:tcPr>
          <w:p w14:paraId="7D48FD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w:t>
            </w:r>
          </w:p>
        </w:tc>
        <w:tc>
          <w:tcPr>
            <w:tcW w:w="3402" w:type="dxa"/>
          </w:tcPr>
          <w:p w14:paraId="742737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10,54</w:t>
            </w:r>
          </w:p>
        </w:tc>
      </w:tr>
      <w:tr w:rsidR="009B487A" w:rsidRPr="00722885" w14:paraId="6A71C556" w14:textId="77777777" w:rsidTr="00CC5360">
        <w:tc>
          <w:tcPr>
            <w:tcW w:w="2802" w:type="dxa"/>
          </w:tcPr>
          <w:p w14:paraId="4A5A6DB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Посадочная скорость в км/час</w:t>
            </w:r>
          </w:p>
        </w:tc>
        <w:tc>
          <w:tcPr>
            <w:tcW w:w="1984" w:type="dxa"/>
          </w:tcPr>
          <w:p w14:paraId="0A2ED4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137</w:t>
            </w:r>
          </w:p>
        </w:tc>
        <w:tc>
          <w:tcPr>
            <w:tcW w:w="2410" w:type="dxa"/>
          </w:tcPr>
          <w:p w14:paraId="418F8B8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145</w:t>
            </w:r>
          </w:p>
        </w:tc>
        <w:tc>
          <w:tcPr>
            <w:tcW w:w="3402" w:type="dxa"/>
          </w:tcPr>
          <w:p w14:paraId="3AE7D2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125</w:t>
            </w:r>
          </w:p>
        </w:tc>
      </w:tr>
      <w:tr w:rsidR="009B487A" w:rsidRPr="00722885" w14:paraId="066949D0" w14:textId="77777777" w:rsidTr="00CC5360">
        <w:tc>
          <w:tcPr>
            <w:tcW w:w="2802" w:type="dxa"/>
          </w:tcPr>
          <w:p w14:paraId="29AC70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Длина разбега в м</w:t>
            </w:r>
          </w:p>
        </w:tc>
        <w:tc>
          <w:tcPr>
            <w:tcW w:w="1984" w:type="dxa"/>
          </w:tcPr>
          <w:p w14:paraId="575832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420 с форс. мотора</w:t>
            </w:r>
          </w:p>
        </w:tc>
        <w:tc>
          <w:tcPr>
            <w:tcW w:w="2410" w:type="dxa"/>
          </w:tcPr>
          <w:p w14:paraId="6D9490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445</w:t>
            </w:r>
          </w:p>
        </w:tc>
        <w:tc>
          <w:tcPr>
            <w:tcW w:w="3402" w:type="dxa"/>
          </w:tcPr>
          <w:p w14:paraId="777CB64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360</w:t>
            </w:r>
          </w:p>
        </w:tc>
      </w:tr>
      <w:tr w:rsidR="009B487A" w:rsidRPr="00722885" w14:paraId="77F37384" w14:textId="77777777" w:rsidTr="00CC5360">
        <w:tc>
          <w:tcPr>
            <w:tcW w:w="2802" w:type="dxa"/>
          </w:tcPr>
          <w:p w14:paraId="104174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Длина пробега в м</w:t>
            </w:r>
          </w:p>
        </w:tc>
        <w:tc>
          <w:tcPr>
            <w:tcW w:w="1984" w:type="dxa"/>
          </w:tcPr>
          <w:p w14:paraId="3A2B88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365</w:t>
            </w:r>
          </w:p>
        </w:tc>
        <w:tc>
          <w:tcPr>
            <w:tcW w:w="2410" w:type="dxa"/>
          </w:tcPr>
          <w:p w14:paraId="331A22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w:t>
            </w:r>
          </w:p>
        </w:tc>
        <w:tc>
          <w:tcPr>
            <w:tcW w:w="3402" w:type="dxa"/>
          </w:tcPr>
          <w:p w14:paraId="0CA02D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w:t>
            </w:r>
          </w:p>
        </w:tc>
      </w:tr>
      <w:tr w:rsidR="009B487A" w:rsidRPr="00722885" w14:paraId="664BA874" w14:textId="77777777" w:rsidTr="00CC5360">
        <w:tc>
          <w:tcPr>
            <w:tcW w:w="2802" w:type="dxa"/>
          </w:tcPr>
          <w:p w14:paraId="51A375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Нагрузка на кв. метр крыла при</w:t>
            </w:r>
          </w:p>
        </w:tc>
        <w:tc>
          <w:tcPr>
            <w:tcW w:w="1984" w:type="dxa"/>
          </w:tcPr>
          <w:p w14:paraId="06D80F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148</w:t>
            </w:r>
          </w:p>
        </w:tc>
        <w:tc>
          <w:tcPr>
            <w:tcW w:w="2410" w:type="dxa"/>
          </w:tcPr>
          <w:p w14:paraId="29E986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188,5</w:t>
            </w:r>
          </w:p>
        </w:tc>
        <w:tc>
          <w:tcPr>
            <w:tcW w:w="3402" w:type="dxa"/>
          </w:tcPr>
          <w:p w14:paraId="7EE305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120</w:t>
            </w:r>
          </w:p>
        </w:tc>
      </w:tr>
      <w:tr w:rsidR="009B487A" w:rsidRPr="00722885" w14:paraId="4EC5EA70" w14:textId="77777777" w:rsidTr="00CC5360">
        <w:tc>
          <w:tcPr>
            <w:tcW w:w="2802" w:type="dxa"/>
            <w:tcBorders>
              <w:bottom w:val="single" w:sz="12" w:space="0" w:color="auto"/>
            </w:tcBorders>
          </w:tcPr>
          <w:p w14:paraId="7F8A61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норм. Полетном весе в кг/ кв. м</w:t>
            </w:r>
          </w:p>
        </w:tc>
        <w:tc>
          <w:tcPr>
            <w:tcW w:w="1984" w:type="dxa"/>
            <w:tcBorders>
              <w:bottom w:val="single" w:sz="12" w:space="0" w:color="auto"/>
            </w:tcBorders>
          </w:tcPr>
          <w:p w14:paraId="7ABA13AC" w14:textId="77777777" w:rsidR="00AE7191" w:rsidRPr="00722885" w:rsidRDefault="00AE7191" w:rsidP="00722885">
            <w:pPr>
              <w:pStyle w:val="Iauiue"/>
              <w:jc w:val="both"/>
              <w:rPr>
                <w:color w:val="000000" w:themeColor="text1"/>
                <w:sz w:val="16"/>
                <w:szCs w:val="16"/>
              </w:rPr>
            </w:pPr>
          </w:p>
        </w:tc>
        <w:tc>
          <w:tcPr>
            <w:tcW w:w="2410" w:type="dxa"/>
            <w:tcBorders>
              <w:bottom w:val="single" w:sz="12" w:space="0" w:color="auto"/>
            </w:tcBorders>
          </w:tcPr>
          <w:p w14:paraId="4F91B9AD" w14:textId="77777777" w:rsidR="00AE7191" w:rsidRPr="00722885" w:rsidRDefault="00AE7191" w:rsidP="00722885">
            <w:pPr>
              <w:pStyle w:val="Iauiue"/>
              <w:jc w:val="both"/>
              <w:rPr>
                <w:color w:val="000000" w:themeColor="text1"/>
                <w:sz w:val="16"/>
                <w:szCs w:val="16"/>
              </w:rPr>
            </w:pPr>
          </w:p>
        </w:tc>
        <w:tc>
          <w:tcPr>
            <w:tcW w:w="3402" w:type="dxa"/>
            <w:tcBorders>
              <w:bottom w:val="single" w:sz="12" w:space="0" w:color="auto"/>
            </w:tcBorders>
          </w:tcPr>
          <w:p w14:paraId="248CF5FE" w14:textId="77777777" w:rsidR="00AE7191" w:rsidRPr="00722885" w:rsidRDefault="00AE7191" w:rsidP="00722885">
            <w:pPr>
              <w:pStyle w:val="Iauiue"/>
              <w:jc w:val="both"/>
              <w:rPr>
                <w:color w:val="000000" w:themeColor="text1"/>
                <w:sz w:val="16"/>
                <w:szCs w:val="16"/>
              </w:rPr>
            </w:pPr>
          </w:p>
        </w:tc>
      </w:tr>
    </w:tbl>
    <w:p w14:paraId="19BFAA6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Истребительные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276"/>
        <w:gridCol w:w="1417"/>
        <w:gridCol w:w="1418"/>
        <w:gridCol w:w="1417"/>
        <w:gridCol w:w="1559"/>
        <w:gridCol w:w="1420"/>
      </w:tblGrid>
      <w:tr w:rsidR="009B487A" w:rsidRPr="00722885" w14:paraId="4DEC79D6" w14:textId="77777777" w:rsidTr="00CC5360">
        <w:tc>
          <w:tcPr>
            <w:tcW w:w="2093" w:type="dxa"/>
            <w:tcBorders>
              <w:top w:val="single" w:sz="12" w:space="0" w:color="auto"/>
            </w:tcBorders>
          </w:tcPr>
          <w:p w14:paraId="68F7D6A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Название самолетов</w:t>
            </w:r>
          </w:p>
        </w:tc>
        <w:tc>
          <w:tcPr>
            <w:tcW w:w="1276" w:type="dxa"/>
            <w:tcBorders>
              <w:top w:val="single" w:sz="12" w:space="0" w:color="auto"/>
            </w:tcBorders>
          </w:tcPr>
          <w:p w14:paraId="06F1A9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Як-1 с М-105П</w:t>
            </w:r>
          </w:p>
        </w:tc>
        <w:tc>
          <w:tcPr>
            <w:tcW w:w="1417" w:type="dxa"/>
            <w:tcBorders>
              <w:top w:val="single" w:sz="12" w:space="0" w:color="auto"/>
            </w:tcBorders>
          </w:tcPr>
          <w:p w14:paraId="7FFA5A0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Як-7Б с М-105П</w:t>
            </w:r>
          </w:p>
        </w:tc>
        <w:tc>
          <w:tcPr>
            <w:tcW w:w="1418" w:type="dxa"/>
            <w:tcBorders>
              <w:top w:val="single" w:sz="12" w:space="0" w:color="auto"/>
            </w:tcBorders>
          </w:tcPr>
          <w:p w14:paraId="425D90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Як-7Б с М-105П</w:t>
            </w:r>
          </w:p>
        </w:tc>
        <w:tc>
          <w:tcPr>
            <w:tcW w:w="1417" w:type="dxa"/>
            <w:tcBorders>
              <w:top w:val="single" w:sz="12" w:space="0" w:color="auto"/>
            </w:tcBorders>
          </w:tcPr>
          <w:p w14:paraId="1A84CC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ЛАГГ-3 с М-105П</w:t>
            </w:r>
          </w:p>
        </w:tc>
        <w:tc>
          <w:tcPr>
            <w:tcW w:w="1559" w:type="dxa"/>
            <w:tcBorders>
              <w:top w:val="single" w:sz="12" w:space="0" w:color="auto"/>
            </w:tcBorders>
          </w:tcPr>
          <w:p w14:paraId="73B035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МИГ-3 с АМ-35А</w:t>
            </w:r>
          </w:p>
        </w:tc>
        <w:tc>
          <w:tcPr>
            <w:tcW w:w="1420" w:type="dxa"/>
            <w:tcBorders>
              <w:top w:val="single" w:sz="12" w:space="0" w:color="auto"/>
            </w:tcBorders>
          </w:tcPr>
          <w:p w14:paraId="49FB6F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ПЕ-3 с 2М-105</w:t>
            </w:r>
          </w:p>
        </w:tc>
      </w:tr>
      <w:tr w:rsidR="009B487A" w:rsidRPr="00722885" w14:paraId="6208C1C0" w14:textId="77777777" w:rsidTr="00CC5360">
        <w:tc>
          <w:tcPr>
            <w:tcW w:w="2093" w:type="dxa"/>
          </w:tcPr>
          <w:p w14:paraId="040AD6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Данные</w:t>
            </w:r>
          </w:p>
        </w:tc>
        <w:tc>
          <w:tcPr>
            <w:tcW w:w="1276" w:type="dxa"/>
          </w:tcPr>
          <w:p w14:paraId="2EE3B6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N 2029 з-да</w:t>
            </w:r>
          </w:p>
        </w:tc>
        <w:tc>
          <w:tcPr>
            <w:tcW w:w="1417" w:type="dxa"/>
          </w:tcPr>
          <w:p w14:paraId="70DC86F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эталон на 1942 г.</w:t>
            </w:r>
          </w:p>
        </w:tc>
        <w:tc>
          <w:tcPr>
            <w:tcW w:w="1418" w:type="dxa"/>
          </w:tcPr>
          <w:p w14:paraId="57329C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повышенным</w:t>
            </w:r>
          </w:p>
        </w:tc>
        <w:tc>
          <w:tcPr>
            <w:tcW w:w="1417" w:type="dxa"/>
          </w:tcPr>
          <w:p w14:paraId="4BA514D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серии N 3121715</w:t>
            </w:r>
          </w:p>
        </w:tc>
        <w:tc>
          <w:tcPr>
            <w:tcW w:w="1559" w:type="dxa"/>
          </w:tcPr>
          <w:p w14:paraId="171C73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N 3943 с</w:t>
            </w:r>
          </w:p>
        </w:tc>
        <w:tc>
          <w:tcPr>
            <w:tcW w:w="1420" w:type="dxa"/>
          </w:tcPr>
          <w:p w14:paraId="39969C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N5/33 зав. N 22</w:t>
            </w:r>
          </w:p>
        </w:tc>
      </w:tr>
      <w:tr w:rsidR="009B487A" w:rsidRPr="00722885" w14:paraId="39D20D4F" w14:textId="77777777" w:rsidTr="00CC5360">
        <w:tc>
          <w:tcPr>
            <w:tcW w:w="2093" w:type="dxa"/>
          </w:tcPr>
          <w:p w14:paraId="04FDC596" w14:textId="77777777" w:rsidR="00AE7191" w:rsidRPr="00722885" w:rsidRDefault="00AE7191" w:rsidP="00722885">
            <w:pPr>
              <w:pStyle w:val="Iauiue"/>
              <w:jc w:val="both"/>
              <w:rPr>
                <w:color w:val="000000" w:themeColor="text1"/>
                <w:sz w:val="16"/>
                <w:szCs w:val="16"/>
              </w:rPr>
            </w:pPr>
          </w:p>
        </w:tc>
        <w:tc>
          <w:tcPr>
            <w:tcW w:w="1276" w:type="dxa"/>
          </w:tcPr>
          <w:p w14:paraId="1691AF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N 292</w:t>
            </w:r>
          </w:p>
        </w:tc>
        <w:tc>
          <w:tcPr>
            <w:tcW w:w="1417" w:type="dxa"/>
          </w:tcPr>
          <w:p w14:paraId="6DF3BD4F" w14:textId="77777777" w:rsidR="00AE7191" w:rsidRPr="00722885" w:rsidRDefault="00AE7191" w:rsidP="00722885">
            <w:pPr>
              <w:pStyle w:val="Iauiue"/>
              <w:jc w:val="both"/>
              <w:rPr>
                <w:color w:val="000000" w:themeColor="text1"/>
                <w:sz w:val="16"/>
                <w:szCs w:val="16"/>
              </w:rPr>
            </w:pPr>
          </w:p>
        </w:tc>
        <w:tc>
          <w:tcPr>
            <w:tcW w:w="1418" w:type="dxa"/>
          </w:tcPr>
          <w:p w14:paraId="3AB27A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наддувом)</w:t>
            </w:r>
          </w:p>
        </w:tc>
        <w:tc>
          <w:tcPr>
            <w:tcW w:w="1417" w:type="dxa"/>
          </w:tcPr>
          <w:p w14:paraId="6C20FB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 N 21</w:t>
            </w:r>
          </w:p>
        </w:tc>
        <w:tc>
          <w:tcPr>
            <w:tcW w:w="1559" w:type="dxa"/>
          </w:tcPr>
          <w:p w14:paraId="4853CD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 N 1</w:t>
            </w:r>
          </w:p>
        </w:tc>
        <w:tc>
          <w:tcPr>
            <w:tcW w:w="1420" w:type="dxa"/>
          </w:tcPr>
          <w:p w14:paraId="520235A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предкрылками</w:t>
            </w:r>
          </w:p>
        </w:tc>
      </w:tr>
      <w:tr w:rsidR="009B487A" w:rsidRPr="00722885" w14:paraId="21056CF3" w14:textId="77777777" w:rsidTr="00CC5360">
        <w:tc>
          <w:tcPr>
            <w:tcW w:w="2093" w:type="dxa"/>
          </w:tcPr>
          <w:p w14:paraId="4A5552E9" w14:textId="77777777" w:rsidR="00AE7191" w:rsidRPr="00722885" w:rsidRDefault="00AE7191" w:rsidP="00722885">
            <w:pPr>
              <w:pStyle w:val="Iauiue"/>
              <w:jc w:val="both"/>
              <w:rPr>
                <w:color w:val="000000" w:themeColor="text1"/>
                <w:sz w:val="16"/>
                <w:szCs w:val="16"/>
              </w:rPr>
            </w:pPr>
          </w:p>
        </w:tc>
        <w:tc>
          <w:tcPr>
            <w:tcW w:w="1276" w:type="dxa"/>
          </w:tcPr>
          <w:p w14:paraId="465A8BDC" w14:textId="77777777" w:rsidR="00AE7191" w:rsidRPr="00722885" w:rsidRDefault="00AE7191" w:rsidP="00722885">
            <w:pPr>
              <w:pStyle w:val="Iauiue"/>
              <w:jc w:val="both"/>
              <w:rPr>
                <w:color w:val="000000" w:themeColor="text1"/>
                <w:sz w:val="16"/>
                <w:szCs w:val="16"/>
              </w:rPr>
            </w:pPr>
          </w:p>
        </w:tc>
        <w:tc>
          <w:tcPr>
            <w:tcW w:w="1417" w:type="dxa"/>
          </w:tcPr>
          <w:p w14:paraId="1AB4613F" w14:textId="77777777" w:rsidR="00AE7191" w:rsidRPr="00722885" w:rsidRDefault="00AE7191" w:rsidP="00722885">
            <w:pPr>
              <w:pStyle w:val="Iauiue"/>
              <w:jc w:val="both"/>
              <w:rPr>
                <w:color w:val="000000" w:themeColor="text1"/>
                <w:sz w:val="16"/>
                <w:szCs w:val="16"/>
              </w:rPr>
            </w:pPr>
          </w:p>
        </w:tc>
        <w:tc>
          <w:tcPr>
            <w:tcW w:w="1418" w:type="dxa"/>
          </w:tcPr>
          <w:p w14:paraId="15037E10" w14:textId="77777777" w:rsidR="00AE7191" w:rsidRPr="00722885" w:rsidRDefault="00AE7191" w:rsidP="00722885">
            <w:pPr>
              <w:pStyle w:val="Iauiue"/>
              <w:jc w:val="both"/>
              <w:rPr>
                <w:color w:val="000000" w:themeColor="text1"/>
                <w:sz w:val="16"/>
                <w:szCs w:val="16"/>
              </w:rPr>
            </w:pPr>
          </w:p>
        </w:tc>
        <w:tc>
          <w:tcPr>
            <w:tcW w:w="1417" w:type="dxa"/>
          </w:tcPr>
          <w:p w14:paraId="4207ECED" w14:textId="77777777" w:rsidR="00AE7191" w:rsidRPr="00722885" w:rsidRDefault="00AE7191" w:rsidP="00722885">
            <w:pPr>
              <w:pStyle w:val="Iauiue"/>
              <w:jc w:val="both"/>
              <w:rPr>
                <w:color w:val="000000" w:themeColor="text1"/>
                <w:sz w:val="16"/>
                <w:szCs w:val="16"/>
              </w:rPr>
            </w:pPr>
          </w:p>
        </w:tc>
        <w:tc>
          <w:tcPr>
            <w:tcW w:w="1559" w:type="dxa"/>
          </w:tcPr>
          <w:p w14:paraId="45191404" w14:textId="77777777" w:rsidR="00AE7191" w:rsidRPr="00722885" w:rsidRDefault="00AE7191" w:rsidP="00722885">
            <w:pPr>
              <w:pStyle w:val="Iauiue"/>
              <w:jc w:val="both"/>
              <w:rPr>
                <w:color w:val="000000" w:themeColor="text1"/>
                <w:sz w:val="16"/>
                <w:szCs w:val="16"/>
              </w:rPr>
            </w:pPr>
          </w:p>
        </w:tc>
        <w:tc>
          <w:tcPr>
            <w:tcW w:w="1420" w:type="dxa"/>
          </w:tcPr>
          <w:p w14:paraId="6E21C813" w14:textId="77777777" w:rsidR="00AE7191" w:rsidRPr="00722885" w:rsidRDefault="00AE7191" w:rsidP="00722885">
            <w:pPr>
              <w:pStyle w:val="Iauiue"/>
              <w:jc w:val="both"/>
              <w:rPr>
                <w:color w:val="000000" w:themeColor="text1"/>
                <w:sz w:val="16"/>
                <w:szCs w:val="16"/>
              </w:rPr>
            </w:pPr>
          </w:p>
        </w:tc>
      </w:tr>
      <w:tr w:rsidR="009B487A" w:rsidRPr="00722885" w14:paraId="7B54A0A2" w14:textId="77777777" w:rsidTr="00CC5360">
        <w:tc>
          <w:tcPr>
            <w:tcW w:w="2093" w:type="dxa"/>
          </w:tcPr>
          <w:p w14:paraId="68317D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Скорость у земли с</w:t>
            </w:r>
          </w:p>
        </w:tc>
        <w:tc>
          <w:tcPr>
            <w:tcW w:w="1276" w:type="dxa"/>
          </w:tcPr>
          <w:p w14:paraId="4DA5553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471</w:t>
            </w:r>
          </w:p>
        </w:tc>
        <w:tc>
          <w:tcPr>
            <w:tcW w:w="1417" w:type="dxa"/>
          </w:tcPr>
          <w:p w14:paraId="5AC366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w:t>
            </w:r>
          </w:p>
        </w:tc>
        <w:tc>
          <w:tcPr>
            <w:tcW w:w="1418" w:type="dxa"/>
          </w:tcPr>
          <w:p w14:paraId="153AE4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520</w:t>
            </w:r>
          </w:p>
        </w:tc>
        <w:tc>
          <w:tcPr>
            <w:tcW w:w="1417" w:type="dxa"/>
          </w:tcPr>
          <w:p w14:paraId="0F6BAFE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457</w:t>
            </w:r>
          </w:p>
        </w:tc>
        <w:tc>
          <w:tcPr>
            <w:tcW w:w="1559" w:type="dxa"/>
          </w:tcPr>
          <w:p w14:paraId="314830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466</w:t>
            </w:r>
          </w:p>
        </w:tc>
        <w:tc>
          <w:tcPr>
            <w:tcW w:w="1420" w:type="dxa"/>
          </w:tcPr>
          <w:p w14:paraId="396BE5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454</w:t>
            </w:r>
          </w:p>
        </w:tc>
      </w:tr>
      <w:tr w:rsidR="009B487A" w:rsidRPr="00722885" w14:paraId="33275B9C" w14:textId="77777777" w:rsidTr="00CC5360">
        <w:tc>
          <w:tcPr>
            <w:tcW w:w="2093" w:type="dxa"/>
          </w:tcPr>
          <w:p w14:paraId="78A356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закрытым фонарем</w:t>
            </w:r>
          </w:p>
        </w:tc>
        <w:tc>
          <w:tcPr>
            <w:tcW w:w="1276" w:type="dxa"/>
          </w:tcPr>
          <w:p w14:paraId="2D3CF249" w14:textId="77777777" w:rsidR="00AE7191" w:rsidRPr="00722885" w:rsidRDefault="00AE7191" w:rsidP="00722885">
            <w:pPr>
              <w:pStyle w:val="Iauiue"/>
              <w:jc w:val="both"/>
              <w:rPr>
                <w:color w:val="000000" w:themeColor="text1"/>
                <w:sz w:val="16"/>
                <w:szCs w:val="16"/>
              </w:rPr>
            </w:pPr>
          </w:p>
        </w:tc>
        <w:tc>
          <w:tcPr>
            <w:tcW w:w="1417" w:type="dxa"/>
          </w:tcPr>
          <w:p w14:paraId="1627ACDE" w14:textId="77777777" w:rsidR="00AE7191" w:rsidRPr="00722885" w:rsidRDefault="00AE7191" w:rsidP="00722885">
            <w:pPr>
              <w:pStyle w:val="Iauiue"/>
              <w:jc w:val="both"/>
              <w:rPr>
                <w:color w:val="000000" w:themeColor="text1"/>
                <w:sz w:val="16"/>
                <w:szCs w:val="16"/>
              </w:rPr>
            </w:pPr>
          </w:p>
        </w:tc>
        <w:tc>
          <w:tcPr>
            <w:tcW w:w="1418" w:type="dxa"/>
          </w:tcPr>
          <w:p w14:paraId="0B1F8C08" w14:textId="77777777" w:rsidR="00AE7191" w:rsidRPr="00722885" w:rsidRDefault="00AE7191" w:rsidP="00722885">
            <w:pPr>
              <w:pStyle w:val="Iauiue"/>
              <w:jc w:val="both"/>
              <w:rPr>
                <w:color w:val="000000" w:themeColor="text1"/>
                <w:sz w:val="16"/>
                <w:szCs w:val="16"/>
              </w:rPr>
            </w:pPr>
          </w:p>
        </w:tc>
        <w:tc>
          <w:tcPr>
            <w:tcW w:w="1417" w:type="dxa"/>
          </w:tcPr>
          <w:p w14:paraId="544BB80A" w14:textId="77777777" w:rsidR="00AE7191" w:rsidRPr="00722885" w:rsidRDefault="00AE7191" w:rsidP="00722885">
            <w:pPr>
              <w:pStyle w:val="Iauiue"/>
              <w:jc w:val="both"/>
              <w:rPr>
                <w:color w:val="000000" w:themeColor="text1"/>
                <w:sz w:val="16"/>
                <w:szCs w:val="16"/>
              </w:rPr>
            </w:pPr>
          </w:p>
        </w:tc>
        <w:tc>
          <w:tcPr>
            <w:tcW w:w="1559" w:type="dxa"/>
          </w:tcPr>
          <w:p w14:paraId="77E04D1E" w14:textId="77777777" w:rsidR="00AE7191" w:rsidRPr="00722885" w:rsidRDefault="00AE7191" w:rsidP="00722885">
            <w:pPr>
              <w:pStyle w:val="Iauiue"/>
              <w:jc w:val="both"/>
              <w:rPr>
                <w:color w:val="000000" w:themeColor="text1"/>
                <w:sz w:val="16"/>
                <w:szCs w:val="16"/>
              </w:rPr>
            </w:pPr>
          </w:p>
        </w:tc>
        <w:tc>
          <w:tcPr>
            <w:tcW w:w="1420" w:type="dxa"/>
          </w:tcPr>
          <w:p w14:paraId="72FB70E8" w14:textId="77777777" w:rsidR="00AE7191" w:rsidRPr="00722885" w:rsidRDefault="00AE7191" w:rsidP="00722885">
            <w:pPr>
              <w:pStyle w:val="Iauiue"/>
              <w:jc w:val="both"/>
              <w:rPr>
                <w:color w:val="000000" w:themeColor="text1"/>
                <w:sz w:val="16"/>
                <w:szCs w:val="16"/>
              </w:rPr>
            </w:pPr>
          </w:p>
        </w:tc>
      </w:tr>
      <w:tr w:rsidR="009B487A" w:rsidRPr="00722885" w14:paraId="207905B2" w14:textId="77777777" w:rsidTr="00CC5360">
        <w:tc>
          <w:tcPr>
            <w:tcW w:w="2093" w:type="dxa"/>
          </w:tcPr>
          <w:p w14:paraId="07F235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Скорость у земли с</w:t>
            </w:r>
          </w:p>
        </w:tc>
        <w:tc>
          <w:tcPr>
            <w:tcW w:w="1276" w:type="dxa"/>
          </w:tcPr>
          <w:p w14:paraId="72041A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560/4800</w:t>
            </w:r>
          </w:p>
        </w:tc>
        <w:tc>
          <w:tcPr>
            <w:tcW w:w="1417" w:type="dxa"/>
          </w:tcPr>
          <w:p w14:paraId="2275C8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580/4850</w:t>
            </w:r>
          </w:p>
        </w:tc>
        <w:tc>
          <w:tcPr>
            <w:tcW w:w="1418" w:type="dxa"/>
          </w:tcPr>
          <w:p w14:paraId="1B9D4D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585/4200</w:t>
            </w:r>
          </w:p>
        </w:tc>
        <w:tc>
          <w:tcPr>
            <w:tcW w:w="1417" w:type="dxa"/>
          </w:tcPr>
          <w:p w14:paraId="7CBACE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535/5000</w:t>
            </w:r>
          </w:p>
        </w:tc>
        <w:tc>
          <w:tcPr>
            <w:tcW w:w="1559" w:type="dxa"/>
          </w:tcPr>
          <w:p w14:paraId="2581A1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615/7800</w:t>
            </w:r>
          </w:p>
        </w:tc>
        <w:tc>
          <w:tcPr>
            <w:tcW w:w="1420" w:type="dxa"/>
          </w:tcPr>
          <w:p w14:paraId="792BCD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540/5000</w:t>
            </w:r>
          </w:p>
        </w:tc>
      </w:tr>
      <w:tr w:rsidR="009B487A" w:rsidRPr="00722885" w14:paraId="73C9CA2B" w14:textId="77777777" w:rsidTr="00CC5360">
        <w:tc>
          <w:tcPr>
            <w:tcW w:w="2093" w:type="dxa"/>
          </w:tcPr>
          <w:p w14:paraId="5DDC3A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закрытым фонарем без</w:t>
            </w:r>
          </w:p>
        </w:tc>
        <w:tc>
          <w:tcPr>
            <w:tcW w:w="1276" w:type="dxa"/>
          </w:tcPr>
          <w:p w14:paraId="64AEF43B" w14:textId="77777777" w:rsidR="00AE7191" w:rsidRPr="00722885" w:rsidRDefault="00AE7191" w:rsidP="00722885">
            <w:pPr>
              <w:pStyle w:val="Iauiue"/>
              <w:jc w:val="both"/>
              <w:rPr>
                <w:color w:val="000000" w:themeColor="text1"/>
                <w:sz w:val="16"/>
                <w:szCs w:val="16"/>
              </w:rPr>
            </w:pPr>
          </w:p>
        </w:tc>
        <w:tc>
          <w:tcPr>
            <w:tcW w:w="1417" w:type="dxa"/>
          </w:tcPr>
          <w:p w14:paraId="26DC5905" w14:textId="77777777" w:rsidR="00AE7191" w:rsidRPr="00722885" w:rsidRDefault="00AE7191" w:rsidP="00722885">
            <w:pPr>
              <w:pStyle w:val="Iauiue"/>
              <w:jc w:val="both"/>
              <w:rPr>
                <w:color w:val="000000" w:themeColor="text1"/>
                <w:sz w:val="16"/>
                <w:szCs w:val="16"/>
              </w:rPr>
            </w:pPr>
          </w:p>
        </w:tc>
        <w:tc>
          <w:tcPr>
            <w:tcW w:w="1418" w:type="dxa"/>
          </w:tcPr>
          <w:p w14:paraId="6E4FE9A2" w14:textId="77777777" w:rsidR="00AE7191" w:rsidRPr="00722885" w:rsidRDefault="00AE7191" w:rsidP="00722885">
            <w:pPr>
              <w:pStyle w:val="Iauiue"/>
              <w:jc w:val="both"/>
              <w:rPr>
                <w:color w:val="000000" w:themeColor="text1"/>
                <w:sz w:val="16"/>
                <w:szCs w:val="16"/>
              </w:rPr>
            </w:pPr>
          </w:p>
        </w:tc>
        <w:tc>
          <w:tcPr>
            <w:tcW w:w="1417" w:type="dxa"/>
          </w:tcPr>
          <w:p w14:paraId="0AC2DD5F" w14:textId="77777777" w:rsidR="00AE7191" w:rsidRPr="00722885" w:rsidRDefault="00AE7191" w:rsidP="00722885">
            <w:pPr>
              <w:pStyle w:val="Iauiue"/>
              <w:jc w:val="both"/>
              <w:rPr>
                <w:color w:val="000000" w:themeColor="text1"/>
                <w:sz w:val="16"/>
                <w:szCs w:val="16"/>
              </w:rPr>
            </w:pPr>
          </w:p>
        </w:tc>
        <w:tc>
          <w:tcPr>
            <w:tcW w:w="1559" w:type="dxa"/>
          </w:tcPr>
          <w:p w14:paraId="70B3402E" w14:textId="77777777" w:rsidR="00AE7191" w:rsidRPr="00722885" w:rsidRDefault="00AE7191" w:rsidP="00722885">
            <w:pPr>
              <w:pStyle w:val="Iauiue"/>
              <w:jc w:val="both"/>
              <w:rPr>
                <w:color w:val="000000" w:themeColor="text1"/>
                <w:sz w:val="16"/>
                <w:szCs w:val="16"/>
              </w:rPr>
            </w:pPr>
          </w:p>
        </w:tc>
        <w:tc>
          <w:tcPr>
            <w:tcW w:w="1420" w:type="dxa"/>
          </w:tcPr>
          <w:p w14:paraId="27B2072B" w14:textId="77777777" w:rsidR="00AE7191" w:rsidRPr="00722885" w:rsidRDefault="00AE7191" w:rsidP="00722885">
            <w:pPr>
              <w:pStyle w:val="Iauiue"/>
              <w:jc w:val="both"/>
              <w:rPr>
                <w:color w:val="000000" w:themeColor="text1"/>
                <w:sz w:val="16"/>
                <w:szCs w:val="16"/>
              </w:rPr>
            </w:pPr>
          </w:p>
        </w:tc>
      </w:tr>
      <w:tr w:rsidR="009B487A" w:rsidRPr="00722885" w14:paraId="51287D1D" w14:textId="77777777" w:rsidTr="00CC5360">
        <w:tc>
          <w:tcPr>
            <w:tcW w:w="2093" w:type="dxa"/>
          </w:tcPr>
          <w:p w14:paraId="1F5DD3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Дальность с нормальн.</w:t>
            </w:r>
          </w:p>
        </w:tc>
        <w:tc>
          <w:tcPr>
            <w:tcW w:w="1276" w:type="dxa"/>
          </w:tcPr>
          <w:p w14:paraId="6D9137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700 на скорости</w:t>
            </w:r>
          </w:p>
        </w:tc>
        <w:tc>
          <w:tcPr>
            <w:tcW w:w="1417" w:type="dxa"/>
          </w:tcPr>
          <w:p w14:paraId="770EFA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700 на скорости</w:t>
            </w:r>
          </w:p>
        </w:tc>
        <w:tc>
          <w:tcPr>
            <w:tcW w:w="1418" w:type="dxa"/>
          </w:tcPr>
          <w:p w14:paraId="14A8BA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1417" w:type="dxa"/>
          </w:tcPr>
          <w:p w14:paraId="2805AB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705 на скорости</w:t>
            </w:r>
          </w:p>
        </w:tc>
        <w:tc>
          <w:tcPr>
            <w:tcW w:w="1559" w:type="dxa"/>
          </w:tcPr>
          <w:p w14:paraId="7C9D22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628 на скорости</w:t>
            </w:r>
          </w:p>
        </w:tc>
        <w:tc>
          <w:tcPr>
            <w:tcW w:w="1420" w:type="dxa"/>
          </w:tcPr>
          <w:p w14:paraId="334DF7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1780 на скорости</w:t>
            </w:r>
          </w:p>
        </w:tc>
      </w:tr>
      <w:tr w:rsidR="009B487A" w:rsidRPr="00722885" w14:paraId="41F396E7" w14:textId="77777777" w:rsidTr="00CC5360">
        <w:tc>
          <w:tcPr>
            <w:tcW w:w="2093" w:type="dxa"/>
          </w:tcPr>
          <w:p w14:paraId="1954B53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полетным весом в км</w:t>
            </w:r>
          </w:p>
        </w:tc>
        <w:tc>
          <w:tcPr>
            <w:tcW w:w="1276" w:type="dxa"/>
          </w:tcPr>
          <w:p w14:paraId="61B936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0,9 от макс. на</w:t>
            </w:r>
          </w:p>
        </w:tc>
        <w:tc>
          <w:tcPr>
            <w:tcW w:w="1417" w:type="dxa"/>
          </w:tcPr>
          <w:p w14:paraId="197D1F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0,9 от макс. на</w:t>
            </w:r>
          </w:p>
        </w:tc>
        <w:tc>
          <w:tcPr>
            <w:tcW w:w="1418" w:type="dxa"/>
          </w:tcPr>
          <w:p w14:paraId="702F5A6D" w14:textId="77777777" w:rsidR="00AE7191" w:rsidRPr="00722885" w:rsidRDefault="00AE7191" w:rsidP="00722885">
            <w:pPr>
              <w:pStyle w:val="Iauiue"/>
              <w:jc w:val="both"/>
              <w:rPr>
                <w:color w:val="000000" w:themeColor="text1"/>
                <w:sz w:val="16"/>
                <w:szCs w:val="16"/>
              </w:rPr>
            </w:pPr>
          </w:p>
        </w:tc>
        <w:tc>
          <w:tcPr>
            <w:tcW w:w="1417" w:type="dxa"/>
          </w:tcPr>
          <w:p w14:paraId="63AD066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0,9 от макс. на</w:t>
            </w:r>
          </w:p>
        </w:tc>
        <w:tc>
          <w:tcPr>
            <w:tcW w:w="1559" w:type="dxa"/>
          </w:tcPr>
          <w:p w14:paraId="7FDA77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0,9 от макс. на</w:t>
            </w:r>
          </w:p>
        </w:tc>
        <w:tc>
          <w:tcPr>
            <w:tcW w:w="1420" w:type="dxa"/>
          </w:tcPr>
          <w:p w14:paraId="7B2B29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0,8 от макс. на</w:t>
            </w:r>
          </w:p>
        </w:tc>
      </w:tr>
      <w:tr w:rsidR="009B487A" w:rsidRPr="00722885" w14:paraId="207BCA37" w14:textId="77777777" w:rsidTr="00CC5360">
        <w:tc>
          <w:tcPr>
            <w:tcW w:w="2093" w:type="dxa"/>
          </w:tcPr>
          <w:p w14:paraId="38F0EBDE" w14:textId="77777777" w:rsidR="00AE7191" w:rsidRPr="00722885" w:rsidRDefault="00AE7191" w:rsidP="00722885">
            <w:pPr>
              <w:pStyle w:val="Iauiue"/>
              <w:jc w:val="both"/>
              <w:rPr>
                <w:color w:val="000000" w:themeColor="text1"/>
                <w:sz w:val="16"/>
                <w:szCs w:val="16"/>
              </w:rPr>
            </w:pPr>
          </w:p>
        </w:tc>
        <w:tc>
          <w:tcPr>
            <w:tcW w:w="1276" w:type="dxa"/>
          </w:tcPr>
          <w:p w14:paraId="0D95763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высоте 5000 м</w:t>
            </w:r>
          </w:p>
        </w:tc>
        <w:tc>
          <w:tcPr>
            <w:tcW w:w="1417" w:type="dxa"/>
          </w:tcPr>
          <w:p w14:paraId="39E522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высоте 5000 м</w:t>
            </w:r>
          </w:p>
        </w:tc>
        <w:tc>
          <w:tcPr>
            <w:tcW w:w="1418" w:type="dxa"/>
          </w:tcPr>
          <w:p w14:paraId="266E3DA0" w14:textId="77777777" w:rsidR="00AE7191" w:rsidRPr="00722885" w:rsidRDefault="00AE7191" w:rsidP="00722885">
            <w:pPr>
              <w:pStyle w:val="Iauiue"/>
              <w:jc w:val="both"/>
              <w:rPr>
                <w:color w:val="000000" w:themeColor="text1"/>
                <w:sz w:val="16"/>
                <w:szCs w:val="16"/>
              </w:rPr>
            </w:pPr>
          </w:p>
        </w:tc>
        <w:tc>
          <w:tcPr>
            <w:tcW w:w="1417" w:type="dxa"/>
          </w:tcPr>
          <w:p w14:paraId="6E3EF3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высоте 4700 м</w:t>
            </w:r>
          </w:p>
        </w:tc>
        <w:tc>
          <w:tcPr>
            <w:tcW w:w="1559" w:type="dxa"/>
          </w:tcPr>
          <w:p w14:paraId="000B71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высоте 7250 м</w:t>
            </w:r>
          </w:p>
        </w:tc>
        <w:tc>
          <w:tcPr>
            <w:tcW w:w="1420" w:type="dxa"/>
          </w:tcPr>
          <w:p w14:paraId="521F93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высоте 4000 м</w:t>
            </w:r>
          </w:p>
        </w:tc>
      </w:tr>
      <w:tr w:rsidR="009B487A" w:rsidRPr="00722885" w14:paraId="2F5E2866" w14:textId="77777777" w:rsidTr="00CC5360">
        <w:tc>
          <w:tcPr>
            <w:tcW w:w="2093" w:type="dxa"/>
          </w:tcPr>
          <w:p w14:paraId="48096789" w14:textId="77777777" w:rsidR="00AE7191" w:rsidRPr="00722885" w:rsidRDefault="00AE7191" w:rsidP="00722885">
            <w:pPr>
              <w:pStyle w:val="Iauiue"/>
              <w:jc w:val="both"/>
              <w:rPr>
                <w:color w:val="000000" w:themeColor="text1"/>
                <w:sz w:val="16"/>
                <w:szCs w:val="16"/>
              </w:rPr>
            </w:pPr>
          </w:p>
        </w:tc>
        <w:tc>
          <w:tcPr>
            <w:tcW w:w="1276" w:type="dxa"/>
          </w:tcPr>
          <w:p w14:paraId="2BD5DE85" w14:textId="77777777" w:rsidR="00AE7191" w:rsidRPr="00722885" w:rsidRDefault="00AE7191" w:rsidP="00722885">
            <w:pPr>
              <w:pStyle w:val="Iauiue"/>
              <w:jc w:val="both"/>
              <w:rPr>
                <w:color w:val="000000" w:themeColor="text1"/>
                <w:sz w:val="16"/>
                <w:szCs w:val="16"/>
              </w:rPr>
            </w:pPr>
          </w:p>
        </w:tc>
        <w:tc>
          <w:tcPr>
            <w:tcW w:w="1417" w:type="dxa"/>
          </w:tcPr>
          <w:p w14:paraId="46C64F6F" w14:textId="77777777" w:rsidR="00AE7191" w:rsidRPr="00722885" w:rsidRDefault="00AE7191" w:rsidP="00722885">
            <w:pPr>
              <w:pStyle w:val="Iauiue"/>
              <w:jc w:val="both"/>
              <w:rPr>
                <w:color w:val="000000" w:themeColor="text1"/>
                <w:sz w:val="16"/>
                <w:szCs w:val="16"/>
              </w:rPr>
            </w:pPr>
          </w:p>
        </w:tc>
        <w:tc>
          <w:tcPr>
            <w:tcW w:w="1418" w:type="dxa"/>
          </w:tcPr>
          <w:p w14:paraId="40E23B3A" w14:textId="77777777" w:rsidR="00AE7191" w:rsidRPr="00722885" w:rsidRDefault="00AE7191" w:rsidP="00722885">
            <w:pPr>
              <w:pStyle w:val="Iauiue"/>
              <w:jc w:val="both"/>
              <w:rPr>
                <w:color w:val="000000" w:themeColor="text1"/>
                <w:sz w:val="16"/>
                <w:szCs w:val="16"/>
              </w:rPr>
            </w:pPr>
          </w:p>
        </w:tc>
        <w:tc>
          <w:tcPr>
            <w:tcW w:w="1417" w:type="dxa"/>
          </w:tcPr>
          <w:p w14:paraId="4206FB1C" w14:textId="77777777" w:rsidR="00AE7191" w:rsidRPr="00722885" w:rsidRDefault="00AE7191" w:rsidP="00722885">
            <w:pPr>
              <w:pStyle w:val="Iauiue"/>
              <w:jc w:val="both"/>
              <w:rPr>
                <w:color w:val="000000" w:themeColor="text1"/>
                <w:sz w:val="16"/>
                <w:szCs w:val="16"/>
              </w:rPr>
            </w:pPr>
          </w:p>
        </w:tc>
        <w:tc>
          <w:tcPr>
            <w:tcW w:w="1559" w:type="dxa"/>
          </w:tcPr>
          <w:p w14:paraId="20DC2F40" w14:textId="77777777" w:rsidR="00AE7191" w:rsidRPr="00722885" w:rsidRDefault="00AE7191" w:rsidP="00722885">
            <w:pPr>
              <w:pStyle w:val="Iauiue"/>
              <w:jc w:val="both"/>
              <w:rPr>
                <w:color w:val="000000" w:themeColor="text1"/>
                <w:sz w:val="16"/>
                <w:szCs w:val="16"/>
              </w:rPr>
            </w:pPr>
          </w:p>
        </w:tc>
        <w:tc>
          <w:tcPr>
            <w:tcW w:w="1420" w:type="dxa"/>
          </w:tcPr>
          <w:p w14:paraId="3A0D68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2100 на скорости</w:t>
            </w:r>
          </w:p>
        </w:tc>
      </w:tr>
      <w:tr w:rsidR="009B487A" w:rsidRPr="00722885" w14:paraId="074B81D9" w14:textId="77777777" w:rsidTr="00CC5360">
        <w:tc>
          <w:tcPr>
            <w:tcW w:w="2093" w:type="dxa"/>
          </w:tcPr>
          <w:p w14:paraId="4A408AD3" w14:textId="77777777" w:rsidR="00AE7191" w:rsidRPr="00722885" w:rsidRDefault="00AE7191" w:rsidP="00722885">
            <w:pPr>
              <w:pStyle w:val="Iauiue"/>
              <w:jc w:val="both"/>
              <w:rPr>
                <w:color w:val="000000" w:themeColor="text1"/>
                <w:sz w:val="16"/>
                <w:szCs w:val="16"/>
              </w:rPr>
            </w:pPr>
          </w:p>
        </w:tc>
        <w:tc>
          <w:tcPr>
            <w:tcW w:w="1276" w:type="dxa"/>
          </w:tcPr>
          <w:p w14:paraId="291A9C37" w14:textId="77777777" w:rsidR="00AE7191" w:rsidRPr="00722885" w:rsidRDefault="00AE7191" w:rsidP="00722885">
            <w:pPr>
              <w:pStyle w:val="Iauiue"/>
              <w:jc w:val="both"/>
              <w:rPr>
                <w:color w:val="000000" w:themeColor="text1"/>
                <w:sz w:val="16"/>
                <w:szCs w:val="16"/>
              </w:rPr>
            </w:pPr>
          </w:p>
        </w:tc>
        <w:tc>
          <w:tcPr>
            <w:tcW w:w="1417" w:type="dxa"/>
          </w:tcPr>
          <w:p w14:paraId="7CE7C278" w14:textId="77777777" w:rsidR="00AE7191" w:rsidRPr="00722885" w:rsidRDefault="00AE7191" w:rsidP="00722885">
            <w:pPr>
              <w:pStyle w:val="Iauiue"/>
              <w:jc w:val="both"/>
              <w:rPr>
                <w:color w:val="000000" w:themeColor="text1"/>
                <w:sz w:val="16"/>
                <w:szCs w:val="16"/>
              </w:rPr>
            </w:pPr>
          </w:p>
        </w:tc>
        <w:tc>
          <w:tcPr>
            <w:tcW w:w="1418" w:type="dxa"/>
          </w:tcPr>
          <w:p w14:paraId="621C6349" w14:textId="77777777" w:rsidR="00AE7191" w:rsidRPr="00722885" w:rsidRDefault="00AE7191" w:rsidP="00722885">
            <w:pPr>
              <w:pStyle w:val="Iauiue"/>
              <w:jc w:val="both"/>
              <w:rPr>
                <w:color w:val="000000" w:themeColor="text1"/>
                <w:sz w:val="16"/>
                <w:szCs w:val="16"/>
              </w:rPr>
            </w:pPr>
          </w:p>
        </w:tc>
        <w:tc>
          <w:tcPr>
            <w:tcW w:w="1417" w:type="dxa"/>
          </w:tcPr>
          <w:p w14:paraId="7619E4B9" w14:textId="77777777" w:rsidR="00AE7191" w:rsidRPr="00722885" w:rsidRDefault="00AE7191" w:rsidP="00722885">
            <w:pPr>
              <w:pStyle w:val="Iauiue"/>
              <w:jc w:val="both"/>
              <w:rPr>
                <w:color w:val="000000" w:themeColor="text1"/>
                <w:sz w:val="16"/>
                <w:szCs w:val="16"/>
              </w:rPr>
            </w:pPr>
          </w:p>
        </w:tc>
        <w:tc>
          <w:tcPr>
            <w:tcW w:w="1559" w:type="dxa"/>
          </w:tcPr>
          <w:p w14:paraId="5A687B0D" w14:textId="77777777" w:rsidR="00AE7191" w:rsidRPr="00722885" w:rsidRDefault="00AE7191" w:rsidP="00722885">
            <w:pPr>
              <w:pStyle w:val="Iauiue"/>
              <w:jc w:val="both"/>
              <w:rPr>
                <w:color w:val="000000" w:themeColor="text1"/>
                <w:sz w:val="16"/>
                <w:szCs w:val="16"/>
              </w:rPr>
            </w:pPr>
          </w:p>
        </w:tc>
        <w:tc>
          <w:tcPr>
            <w:tcW w:w="1420" w:type="dxa"/>
          </w:tcPr>
          <w:p w14:paraId="754586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0,8 от макс. на</w:t>
            </w:r>
          </w:p>
        </w:tc>
      </w:tr>
      <w:tr w:rsidR="009B487A" w:rsidRPr="00722885" w14:paraId="1F974003" w14:textId="77777777" w:rsidTr="00CC5360">
        <w:tc>
          <w:tcPr>
            <w:tcW w:w="2093" w:type="dxa"/>
          </w:tcPr>
          <w:p w14:paraId="76C118E7" w14:textId="77777777" w:rsidR="00AE7191" w:rsidRPr="00722885" w:rsidRDefault="00AE7191" w:rsidP="00722885">
            <w:pPr>
              <w:pStyle w:val="Iauiue"/>
              <w:jc w:val="both"/>
              <w:rPr>
                <w:color w:val="000000" w:themeColor="text1"/>
                <w:sz w:val="16"/>
                <w:szCs w:val="16"/>
              </w:rPr>
            </w:pPr>
          </w:p>
        </w:tc>
        <w:tc>
          <w:tcPr>
            <w:tcW w:w="1276" w:type="dxa"/>
          </w:tcPr>
          <w:p w14:paraId="68E54329" w14:textId="77777777" w:rsidR="00AE7191" w:rsidRPr="00722885" w:rsidRDefault="00AE7191" w:rsidP="00722885">
            <w:pPr>
              <w:pStyle w:val="Iauiue"/>
              <w:jc w:val="both"/>
              <w:rPr>
                <w:color w:val="000000" w:themeColor="text1"/>
                <w:sz w:val="16"/>
                <w:szCs w:val="16"/>
              </w:rPr>
            </w:pPr>
          </w:p>
        </w:tc>
        <w:tc>
          <w:tcPr>
            <w:tcW w:w="1417" w:type="dxa"/>
          </w:tcPr>
          <w:p w14:paraId="3E4E75CE" w14:textId="77777777" w:rsidR="00AE7191" w:rsidRPr="00722885" w:rsidRDefault="00AE7191" w:rsidP="00722885">
            <w:pPr>
              <w:pStyle w:val="Iauiue"/>
              <w:jc w:val="both"/>
              <w:rPr>
                <w:color w:val="000000" w:themeColor="text1"/>
                <w:sz w:val="16"/>
                <w:szCs w:val="16"/>
              </w:rPr>
            </w:pPr>
          </w:p>
        </w:tc>
        <w:tc>
          <w:tcPr>
            <w:tcW w:w="1418" w:type="dxa"/>
          </w:tcPr>
          <w:p w14:paraId="630A279E" w14:textId="77777777" w:rsidR="00AE7191" w:rsidRPr="00722885" w:rsidRDefault="00AE7191" w:rsidP="00722885">
            <w:pPr>
              <w:pStyle w:val="Iauiue"/>
              <w:jc w:val="both"/>
              <w:rPr>
                <w:color w:val="000000" w:themeColor="text1"/>
                <w:sz w:val="16"/>
                <w:szCs w:val="16"/>
              </w:rPr>
            </w:pPr>
          </w:p>
        </w:tc>
        <w:tc>
          <w:tcPr>
            <w:tcW w:w="1417" w:type="dxa"/>
          </w:tcPr>
          <w:p w14:paraId="179EB2B1" w14:textId="77777777" w:rsidR="00AE7191" w:rsidRPr="00722885" w:rsidRDefault="00AE7191" w:rsidP="00722885">
            <w:pPr>
              <w:pStyle w:val="Iauiue"/>
              <w:jc w:val="both"/>
              <w:rPr>
                <w:color w:val="000000" w:themeColor="text1"/>
                <w:sz w:val="16"/>
                <w:szCs w:val="16"/>
              </w:rPr>
            </w:pPr>
          </w:p>
        </w:tc>
        <w:tc>
          <w:tcPr>
            <w:tcW w:w="1559" w:type="dxa"/>
          </w:tcPr>
          <w:p w14:paraId="3E39DF0E" w14:textId="77777777" w:rsidR="00AE7191" w:rsidRPr="00722885" w:rsidRDefault="00AE7191" w:rsidP="00722885">
            <w:pPr>
              <w:pStyle w:val="Iauiue"/>
              <w:jc w:val="both"/>
              <w:rPr>
                <w:color w:val="000000" w:themeColor="text1"/>
                <w:sz w:val="16"/>
                <w:szCs w:val="16"/>
              </w:rPr>
            </w:pPr>
          </w:p>
        </w:tc>
        <w:tc>
          <w:tcPr>
            <w:tcW w:w="1420" w:type="dxa"/>
          </w:tcPr>
          <w:p w14:paraId="4D2F03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высоте 4000 м с</w:t>
            </w:r>
          </w:p>
        </w:tc>
      </w:tr>
      <w:tr w:rsidR="009B487A" w:rsidRPr="00722885" w14:paraId="6D8DB180" w14:textId="77777777" w:rsidTr="00CC5360">
        <w:tc>
          <w:tcPr>
            <w:tcW w:w="2093" w:type="dxa"/>
          </w:tcPr>
          <w:p w14:paraId="087F69B7" w14:textId="77777777" w:rsidR="00AE7191" w:rsidRPr="00722885" w:rsidRDefault="00AE7191" w:rsidP="00722885">
            <w:pPr>
              <w:pStyle w:val="Iauiue"/>
              <w:jc w:val="both"/>
              <w:rPr>
                <w:color w:val="000000" w:themeColor="text1"/>
                <w:sz w:val="16"/>
                <w:szCs w:val="16"/>
              </w:rPr>
            </w:pPr>
          </w:p>
        </w:tc>
        <w:tc>
          <w:tcPr>
            <w:tcW w:w="1276" w:type="dxa"/>
          </w:tcPr>
          <w:p w14:paraId="1B0754EB" w14:textId="77777777" w:rsidR="00AE7191" w:rsidRPr="00722885" w:rsidRDefault="00AE7191" w:rsidP="00722885">
            <w:pPr>
              <w:pStyle w:val="Iauiue"/>
              <w:jc w:val="both"/>
              <w:rPr>
                <w:color w:val="000000" w:themeColor="text1"/>
                <w:sz w:val="16"/>
                <w:szCs w:val="16"/>
              </w:rPr>
            </w:pPr>
          </w:p>
        </w:tc>
        <w:tc>
          <w:tcPr>
            <w:tcW w:w="1417" w:type="dxa"/>
          </w:tcPr>
          <w:p w14:paraId="03518122" w14:textId="77777777" w:rsidR="00AE7191" w:rsidRPr="00722885" w:rsidRDefault="00AE7191" w:rsidP="00722885">
            <w:pPr>
              <w:pStyle w:val="Iauiue"/>
              <w:jc w:val="both"/>
              <w:rPr>
                <w:color w:val="000000" w:themeColor="text1"/>
                <w:sz w:val="16"/>
                <w:szCs w:val="16"/>
              </w:rPr>
            </w:pPr>
          </w:p>
        </w:tc>
        <w:tc>
          <w:tcPr>
            <w:tcW w:w="1418" w:type="dxa"/>
          </w:tcPr>
          <w:p w14:paraId="68D3ACF2" w14:textId="77777777" w:rsidR="00AE7191" w:rsidRPr="00722885" w:rsidRDefault="00AE7191" w:rsidP="00722885">
            <w:pPr>
              <w:pStyle w:val="Iauiue"/>
              <w:jc w:val="both"/>
              <w:rPr>
                <w:color w:val="000000" w:themeColor="text1"/>
                <w:sz w:val="16"/>
                <w:szCs w:val="16"/>
              </w:rPr>
            </w:pPr>
          </w:p>
        </w:tc>
        <w:tc>
          <w:tcPr>
            <w:tcW w:w="1417" w:type="dxa"/>
          </w:tcPr>
          <w:p w14:paraId="1B9EB794" w14:textId="77777777" w:rsidR="00AE7191" w:rsidRPr="00722885" w:rsidRDefault="00AE7191" w:rsidP="00722885">
            <w:pPr>
              <w:pStyle w:val="Iauiue"/>
              <w:jc w:val="both"/>
              <w:rPr>
                <w:color w:val="000000" w:themeColor="text1"/>
                <w:sz w:val="16"/>
                <w:szCs w:val="16"/>
              </w:rPr>
            </w:pPr>
          </w:p>
        </w:tc>
        <w:tc>
          <w:tcPr>
            <w:tcW w:w="1559" w:type="dxa"/>
          </w:tcPr>
          <w:p w14:paraId="32F57651" w14:textId="77777777" w:rsidR="00AE7191" w:rsidRPr="00722885" w:rsidRDefault="00AE7191" w:rsidP="00722885">
            <w:pPr>
              <w:pStyle w:val="Iauiue"/>
              <w:jc w:val="both"/>
              <w:rPr>
                <w:color w:val="000000" w:themeColor="text1"/>
                <w:sz w:val="16"/>
                <w:szCs w:val="16"/>
              </w:rPr>
            </w:pPr>
          </w:p>
        </w:tc>
        <w:tc>
          <w:tcPr>
            <w:tcW w:w="1420" w:type="dxa"/>
          </w:tcPr>
          <w:p w14:paraId="0DC8DB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подв. баками</w:t>
            </w:r>
          </w:p>
        </w:tc>
      </w:tr>
      <w:tr w:rsidR="009B487A" w:rsidRPr="00722885" w14:paraId="597912AE" w14:textId="77777777" w:rsidTr="00CC5360">
        <w:tc>
          <w:tcPr>
            <w:tcW w:w="2093" w:type="dxa"/>
          </w:tcPr>
          <w:p w14:paraId="6FDF7F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Стрелково-артиллерийское</w:t>
            </w:r>
          </w:p>
        </w:tc>
        <w:tc>
          <w:tcPr>
            <w:tcW w:w="1276" w:type="dxa"/>
          </w:tcPr>
          <w:p w14:paraId="6C2653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пуш. кал. 20 мм</w:t>
            </w:r>
          </w:p>
        </w:tc>
        <w:tc>
          <w:tcPr>
            <w:tcW w:w="1417" w:type="dxa"/>
          </w:tcPr>
          <w:p w14:paraId="1566D5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пуш. кал. 20 мм</w:t>
            </w:r>
          </w:p>
        </w:tc>
        <w:tc>
          <w:tcPr>
            <w:tcW w:w="1418" w:type="dxa"/>
          </w:tcPr>
          <w:p w14:paraId="252980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пуш. кал. 20 мм</w:t>
            </w:r>
          </w:p>
        </w:tc>
        <w:tc>
          <w:tcPr>
            <w:tcW w:w="1417" w:type="dxa"/>
          </w:tcPr>
          <w:p w14:paraId="44203B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пуш. кал. 20 мм</w:t>
            </w:r>
          </w:p>
        </w:tc>
        <w:tc>
          <w:tcPr>
            <w:tcW w:w="1559" w:type="dxa"/>
          </w:tcPr>
          <w:p w14:paraId="239733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 кал. 12,7 мм</w:t>
            </w:r>
          </w:p>
        </w:tc>
        <w:tc>
          <w:tcPr>
            <w:tcW w:w="1420" w:type="dxa"/>
          </w:tcPr>
          <w:p w14:paraId="7A924B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Вперед: 2 пуш. кал.</w:t>
            </w:r>
          </w:p>
        </w:tc>
      </w:tr>
      <w:tr w:rsidR="009B487A" w:rsidRPr="00722885" w14:paraId="3B3C1BDB" w14:textId="77777777" w:rsidTr="00CC5360">
        <w:tc>
          <w:tcPr>
            <w:tcW w:w="2093" w:type="dxa"/>
          </w:tcPr>
          <w:p w14:paraId="14CE6F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w:t>
            </w:r>
          </w:p>
        </w:tc>
        <w:tc>
          <w:tcPr>
            <w:tcW w:w="1276" w:type="dxa"/>
          </w:tcPr>
          <w:p w14:paraId="4EA60B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снар. 120 шт.</w:t>
            </w:r>
          </w:p>
        </w:tc>
        <w:tc>
          <w:tcPr>
            <w:tcW w:w="1417" w:type="dxa"/>
          </w:tcPr>
          <w:p w14:paraId="531FE9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снар. 120 шт.</w:t>
            </w:r>
          </w:p>
        </w:tc>
        <w:tc>
          <w:tcPr>
            <w:tcW w:w="1418" w:type="dxa"/>
          </w:tcPr>
          <w:p w14:paraId="0A50A3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снар. 120 шт.</w:t>
            </w:r>
          </w:p>
        </w:tc>
        <w:tc>
          <w:tcPr>
            <w:tcW w:w="1417" w:type="dxa"/>
          </w:tcPr>
          <w:p w14:paraId="5298F7E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снар. 150 шт.</w:t>
            </w:r>
          </w:p>
        </w:tc>
        <w:tc>
          <w:tcPr>
            <w:tcW w:w="1559" w:type="dxa"/>
          </w:tcPr>
          <w:p w14:paraId="516AA10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300 шт.</w:t>
            </w:r>
          </w:p>
        </w:tc>
        <w:tc>
          <w:tcPr>
            <w:tcW w:w="1420" w:type="dxa"/>
          </w:tcPr>
          <w:p w14:paraId="02B029B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20мм, снар. 320 шт.</w:t>
            </w:r>
          </w:p>
        </w:tc>
      </w:tr>
      <w:tr w:rsidR="009B487A" w:rsidRPr="00722885" w14:paraId="18BC74E2" w14:textId="77777777" w:rsidTr="00CC5360">
        <w:tc>
          <w:tcPr>
            <w:tcW w:w="2093" w:type="dxa"/>
          </w:tcPr>
          <w:p w14:paraId="0C056F04" w14:textId="77777777" w:rsidR="00AE7191" w:rsidRPr="00722885" w:rsidRDefault="00AE7191" w:rsidP="00722885">
            <w:pPr>
              <w:pStyle w:val="Iauiue"/>
              <w:jc w:val="both"/>
              <w:rPr>
                <w:color w:val="000000" w:themeColor="text1"/>
                <w:sz w:val="16"/>
                <w:szCs w:val="16"/>
              </w:rPr>
            </w:pPr>
          </w:p>
        </w:tc>
        <w:tc>
          <w:tcPr>
            <w:tcW w:w="1276" w:type="dxa"/>
          </w:tcPr>
          <w:p w14:paraId="478097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 кал. 7,62 мм</w:t>
            </w:r>
          </w:p>
        </w:tc>
        <w:tc>
          <w:tcPr>
            <w:tcW w:w="1417" w:type="dxa"/>
          </w:tcPr>
          <w:p w14:paraId="2B3C8D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 кал. 12,7 мм</w:t>
            </w:r>
          </w:p>
        </w:tc>
        <w:tc>
          <w:tcPr>
            <w:tcW w:w="1418" w:type="dxa"/>
          </w:tcPr>
          <w:p w14:paraId="4D1BAD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 кал. 12,7 мм</w:t>
            </w:r>
          </w:p>
        </w:tc>
        <w:tc>
          <w:tcPr>
            <w:tcW w:w="1417" w:type="dxa"/>
          </w:tcPr>
          <w:p w14:paraId="39D094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 кал. 12,7 мм</w:t>
            </w:r>
          </w:p>
        </w:tc>
        <w:tc>
          <w:tcPr>
            <w:tcW w:w="1559" w:type="dxa"/>
          </w:tcPr>
          <w:p w14:paraId="11CFB9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 кал. 7,62 мм</w:t>
            </w:r>
          </w:p>
        </w:tc>
        <w:tc>
          <w:tcPr>
            <w:tcW w:w="1420" w:type="dxa"/>
          </w:tcPr>
          <w:p w14:paraId="691D01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 кал. 12,7 мм</w:t>
            </w:r>
          </w:p>
        </w:tc>
      </w:tr>
      <w:tr w:rsidR="009B487A" w:rsidRPr="00722885" w14:paraId="30E4EA3E" w14:textId="77777777" w:rsidTr="00CC5360">
        <w:tc>
          <w:tcPr>
            <w:tcW w:w="2093" w:type="dxa"/>
          </w:tcPr>
          <w:p w14:paraId="10DCBCB3" w14:textId="77777777" w:rsidR="00AE7191" w:rsidRPr="00722885" w:rsidRDefault="00AE7191" w:rsidP="00722885">
            <w:pPr>
              <w:pStyle w:val="Iauiue"/>
              <w:jc w:val="both"/>
              <w:rPr>
                <w:color w:val="000000" w:themeColor="text1"/>
                <w:sz w:val="16"/>
                <w:szCs w:val="16"/>
              </w:rPr>
            </w:pPr>
          </w:p>
        </w:tc>
        <w:tc>
          <w:tcPr>
            <w:tcW w:w="1276" w:type="dxa"/>
          </w:tcPr>
          <w:p w14:paraId="7F3FD4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1500 шт.</w:t>
            </w:r>
          </w:p>
        </w:tc>
        <w:tc>
          <w:tcPr>
            <w:tcW w:w="1417" w:type="dxa"/>
          </w:tcPr>
          <w:p w14:paraId="4EBAADB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400 шт.</w:t>
            </w:r>
          </w:p>
        </w:tc>
        <w:tc>
          <w:tcPr>
            <w:tcW w:w="1418" w:type="dxa"/>
          </w:tcPr>
          <w:p w14:paraId="6AA62A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400 шт.</w:t>
            </w:r>
          </w:p>
        </w:tc>
        <w:tc>
          <w:tcPr>
            <w:tcW w:w="1417" w:type="dxa"/>
          </w:tcPr>
          <w:p w14:paraId="03C304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200 шт.</w:t>
            </w:r>
          </w:p>
        </w:tc>
        <w:tc>
          <w:tcPr>
            <w:tcW w:w="1559" w:type="dxa"/>
          </w:tcPr>
          <w:p w14:paraId="6B9393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1500 шт.</w:t>
            </w:r>
          </w:p>
        </w:tc>
        <w:tc>
          <w:tcPr>
            <w:tcW w:w="1420" w:type="dxa"/>
          </w:tcPr>
          <w:p w14:paraId="1780526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150 шт. 1 пул.</w:t>
            </w:r>
          </w:p>
        </w:tc>
      </w:tr>
      <w:tr w:rsidR="009B487A" w:rsidRPr="00722885" w14:paraId="43C49A8B" w14:textId="77777777" w:rsidTr="00CC5360">
        <w:tc>
          <w:tcPr>
            <w:tcW w:w="2093" w:type="dxa"/>
          </w:tcPr>
          <w:p w14:paraId="58FB1D4C" w14:textId="77777777" w:rsidR="00AE7191" w:rsidRPr="00722885" w:rsidRDefault="00AE7191" w:rsidP="00722885">
            <w:pPr>
              <w:pStyle w:val="Iauiue"/>
              <w:jc w:val="both"/>
              <w:rPr>
                <w:color w:val="000000" w:themeColor="text1"/>
                <w:sz w:val="16"/>
                <w:szCs w:val="16"/>
              </w:rPr>
            </w:pPr>
          </w:p>
        </w:tc>
        <w:tc>
          <w:tcPr>
            <w:tcW w:w="1276" w:type="dxa"/>
          </w:tcPr>
          <w:p w14:paraId="349FBF1B" w14:textId="77777777" w:rsidR="00AE7191" w:rsidRPr="00722885" w:rsidRDefault="00AE7191" w:rsidP="00722885">
            <w:pPr>
              <w:pStyle w:val="Iauiue"/>
              <w:jc w:val="both"/>
              <w:rPr>
                <w:color w:val="000000" w:themeColor="text1"/>
                <w:sz w:val="16"/>
                <w:szCs w:val="16"/>
              </w:rPr>
            </w:pPr>
          </w:p>
        </w:tc>
        <w:tc>
          <w:tcPr>
            <w:tcW w:w="1417" w:type="dxa"/>
          </w:tcPr>
          <w:p w14:paraId="6F73481F" w14:textId="77777777" w:rsidR="00AE7191" w:rsidRPr="00722885" w:rsidRDefault="00AE7191" w:rsidP="00722885">
            <w:pPr>
              <w:pStyle w:val="Iauiue"/>
              <w:jc w:val="both"/>
              <w:rPr>
                <w:color w:val="000000" w:themeColor="text1"/>
                <w:sz w:val="16"/>
                <w:szCs w:val="16"/>
              </w:rPr>
            </w:pPr>
          </w:p>
        </w:tc>
        <w:tc>
          <w:tcPr>
            <w:tcW w:w="1418" w:type="dxa"/>
          </w:tcPr>
          <w:p w14:paraId="34A2BAE2" w14:textId="77777777" w:rsidR="00AE7191" w:rsidRPr="00722885" w:rsidRDefault="00AE7191" w:rsidP="00722885">
            <w:pPr>
              <w:pStyle w:val="Iauiue"/>
              <w:jc w:val="both"/>
              <w:rPr>
                <w:color w:val="000000" w:themeColor="text1"/>
                <w:sz w:val="16"/>
                <w:szCs w:val="16"/>
              </w:rPr>
            </w:pPr>
          </w:p>
        </w:tc>
        <w:tc>
          <w:tcPr>
            <w:tcW w:w="1417" w:type="dxa"/>
          </w:tcPr>
          <w:p w14:paraId="61E840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 кал. 7,62 мм</w:t>
            </w:r>
          </w:p>
        </w:tc>
        <w:tc>
          <w:tcPr>
            <w:tcW w:w="1559" w:type="dxa"/>
          </w:tcPr>
          <w:p w14:paraId="25EE054C" w14:textId="77777777" w:rsidR="00AE7191" w:rsidRPr="00722885" w:rsidRDefault="00AE7191" w:rsidP="00722885">
            <w:pPr>
              <w:pStyle w:val="Iauiue"/>
              <w:jc w:val="both"/>
              <w:rPr>
                <w:color w:val="000000" w:themeColor="text1"/>
                <w:sz w:val="16"/>
                <w:szCs w:val="16"/>
              </w:rPr>
            </w:pPr>
          </w:p>
        </w:tc>
        <w:tc>
          <w:tcPr>
            <w:tcW w:w="1420" w:type="dxa"/>
          </w:tcPr>
          <w:p w14:paraId="374DEE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кал. 7,62 мм патр.</w:t>
            </w:r>
          </w:p>
        </w:tc>
      </w:tr>
      <w:tr w:rsidR="009B487A" w:rsidRPr="00722885" w14:paraId="5A84D231" w14:textId="77777777" w:rsidTr="00CC5360">
        <w:tc>
          <w:tcPr>
            <w:tcW w:w="2093" w:type="dxa"/>
          </w:tcPr>
          <w:p w14:paraId="686996BE" w14:textId="77777777" w:rsidR="00AE7191" w:rsidRPr="00722885" w:rsidRDefault="00AE7191" w:rsidP="00722885">
            <w:pPr>
              <w:pStyle w:val="Iauiue"/>
              <w:jc w:val="both"/>
              <w:rPr>
                <w:color w:val="000000" w:themeColor="text1"/>
                <w:sz w:val="16"/>
                <w:szCs w:val="16"/>
              </w:rPr>
            </w:pPr>
          </w:p>
        </w:tc>
        <w:tc>
          <w:tcPr>
            <w:tcW w:w="1276" w:type="dxa"/>
          </w:tcPr>
          <w:p w14:paraId="35C8E578" w14:textId="77777777" w:rsidR="00AE7191" w:rsidRPr="00722885" w:rsidRDefault="00AE7191" w:rsidP="00722885">
            <w:pPr>
              <w:pStyle w:val="Iauiue"/>
              <w:jc w:val="both"/>
              <w:rPr>
                <w:color w:val="000000" w:themeColor="text1"/>
                <w:sz w:val="16"/>
                <w:szCs w:val="16"/>
              </w:rPr>
            </w:pPr>
          </w:p>
        </w:tc>
        <w:tc>
          <w:tcPr>
            <w:tcW w:w="1417" w:type="dxa"/>
          </w:tcPr>
          <w:p w14:paraId="7717FC64" w14:textId="77777777" w:rsidR="00AE7191" w:rsidRPr="00722885" w:rsidRDefault="00AE7191" w:rsidP="00722885">
            <w:pPr>
              <w:pStyle w:val="Iauiue"/>
              <w:jc w:val="both"/>
              <w:rPr>
                <w:color w:val="000000" w:themeColor="text1"/>
                <w:sz w:val="16"/>
                <w:szCs w:val="16"/>
              </w:rPr>
            </w:pPr>
          </w:p>
        </w:tc>
        <w:tc>
          <w:tcPr>
            <w:tcW w:w="1418" w:type="dxa"/>
          </w:tcPr>
          <w:p w14:paraId="6E3A7353" w14:textId="77777777" w:rsidR="00AE7191" w:rsidRPr="00722885" w:rsidRDefault="00AE7191" w:rsidP="00722885">
            <w:pPr>
              <w:pStyle w:val="Iauiue"/>
              <w:jc w:val="both"/>
              <w:rPr>
                <w:color w:val="000000" w:themeColor="text1"/>
                <w:sz w:val="16"/>
                <w:szCs w:val="16"/>
              </w:rPr>
            </w:pPr>
          </w:p>
        </w:tc>
        <w:tc>
          <w:tcPr>
            <w:tcW w:w="1417" w:type="dxa"/>
          </w:tcPr>
          <w:p w14:paraId="53671FA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1300 шт.</w:t>
            </w:r>
          </w:p>
        </w:tc>
        <w:tc>
          <w:tcPr>
            <w:tcW w:w="1559" w:type="dxa"/>
          </w:tcPr>
          <w:p w14:paraId="363718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последних</w:t>
            </w:r>
          </w:p>
        </w:tc>
        <w:tc>
          <w:tcPr>
            <w:tcW w:w="1420" w:type="dxa"/>
          </w:tcPr>
          <w:p w14:paraId="7ABA5C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450 шт.</w:t>
            </w:r>
          </w:p>
        </w:tc>
      </w:tr>
      <w:tr w:rsidR="009B487A" w:rsidRPr="00722885" w14:paraId="53158A40" w14:textId="77777777" w:rsidTr="00CC5360">
        <w:tc>
          <w:tcPr>
            <w:tcW w:w="2093" w:type="dxa"/>
          </w:tcPr>
          <w:p w14:paraId="348094AB" w14:textId="77777777" w:rsidR="00AE7191" w:rsidRPr="00722885" w:rsidRDefault="00AE7191" w:rsidP="00722885">
            <w:pPr>
              <w:pStyle w:val="Iauiue"/>
              <w:jc w:val="both"/>
              <w:rPr>
                <w:color w:val="000000" w:themeColor="text1"/>
                <w:sz w:val="16"/>
                <w:szCs w:val="16"/>
              </w:rPr>
            </w:pPr>
          </w:p>
        </w:tc>
        <w:tc>
          <w:tcPr>
            <w:tcW w:w="1276" w:type="dxa"/>
          </w:tcPr>
          <w:p w14:paraId="43D4290E" w14:textId="77777777" w:rsidR="00AE7191" w:rsidRPr="00722885" w:rsidRDefault="00AE7191" w:rsidP="00722885">
            <w:pPr>
              <w:pStyle w:val="Iauiue"/>
              <w:jc w:val="both"/>
              <w:rPr>
                <w:color w:val="000000" w:themeColor="text1"/>
                <w:sz w:val="16"/>
                <w:szCs w:val="16"/>
              </w:rPr>
            </w:pPr>
          </w:p>
        </w:tc>
        <w:tc>
          <w:tcPr>
            <w:tcW w:w="1417" w:type="dxa"/>
          </w:tcPr>
          <w:p w14:paraId="3D37DC1F" w14:textId="77777777" w:rsidR="00AE7191" w:rsidRPr="00722885" w:rsidRDefault="00AE7191" w:rsidP="00722885">
            <w:pPr>
              <w:pStyle w:val="Iauiue"/>
              <w:jc w:val="both"/>
              <w:rPr>
                <w:color w:val="000000" w:themeColor="text1"/>
                <w:sz w:val="16"/>
                <w:szCs w:val="16"/>
              </w:rPr>
            </w:pPr>
          </w:p>
        </w:tc>
        <w:tc>
          <w:tcPr>
            <w:tcW w:w="1418" w:type="dxa"/>
          </w:tcPr>
          <w:p w14:paraId="23046988" w14:textId="77777777" w:rsidR="00AE7191" w:rsidRPr="00722885" w:rsidRDefault="00AE7191" w:rsidP="00722885">
            <w:pPr>
              <w:pStyle w:val="Iauiue"/>
              <w:jc w:val="both"/>
              <w:rPr>
                <w:color w:val="000000" w:themeColor="text1"/>
                <w:sz w:val="16"/>
                <w:szCs w:val="16"/>
              </w:rPr>
            </w:pPr>
          </w:p>
        </w:tc>
        <w:tc>
          <w:tcPr>
            <w:tcW w:w="1417" w:type="dxa"/>
          </w:tcPr>
          <w:p w14:paraId="7B5138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17 серии: 1 пуш.</w:t>
            </w:r>
          </w:p>
        </w:tc>
        <w:tc>
          <w:tcPr>
            <w:tcW w:w="1559" w:type="dxa"/>
          </w:tcPr>
          <w:p w14:paraId="75FE269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сериях 2 пул. кал.</w:t>
            </w:r>
          </w:p>
        </w:tc>
        <w:tc>
          <w:tcPr>
            <w:tcW w:w="1420" w:type="dxa"/>
          </w:tcPr>
          <w:p w14:paraId="321B0E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Назад: 1 пул. кал.</w:t>
            </w:r>
          </w:p>
        </w:tc>
      </w:tr>
      <w:tr w:rsidR="009B487A" w:rsidRPr="00722885" w14:paraId="5DAF0D47" w14:textId="77777777" w:rsidTr="00CC5360">
        <w:tc>
          <w:tcPr>
            <w:tcW w:w="2093" w:type="dxa"/>
          </w:tcPr>
          <w:p w14:paraId="7C6596E8" w14:textId="77777777" w:rsidR="00AE7191" w:rsidRPr="00722885" w:rsidRDefault="00AE7191" w:rsidP="00722885">
            <w:pPr>
              <w:pStyle w:val="Iauiue"/>
              <w:jc w:val="both"/>
              <w:rPr>
                <w:color w:val="000000" w:themeColor="text1"/>
                <w:sz w:val="16"/>
                <w:szCs w:val="16"/>
              </w:rPr>
            </w:pPr>
          </w:p>
        </w:tc>
        <w:tc>
          <w:tcPr>
            <w:tcW w:w="1276" w:type="dxa"/>
          </w:tcPr>
          <w:p w14:paraId="605B446E" w14:textId="77777777" w:rsidR="00AE7191" w:rsidRPr="00722885" w:rsidRDefault="00AE7191" w:rsidP="00722885">
            <w:pPr>
              <w:pStyle w:val="Iauiue"/>
              <w:jc w:val="both"/>
              <w:rPr>
                <w:color w:val="000000" w:themeColor="text1"/>
                <w:sz w:val="16"/>
                <w:szCs w:val="16"/>
              </w:rPr>
            </w:pPr>
          </w:p>
        </w:tc>
        <w:tc>
          <w:tcPr>
            <w:tcW w:w="1417" w:type="dxa"/>
          </w:tcPr>
          <w:p w14:paraId="285D1D6F" w14:textId="77777777" w:rsidR="00AE7191" w:rsidRPr="00722885" w:rsidRDefault="00AE7191" w:rsidP="00722885">
            <w:pPr>
              <w:pStyle w:val="Iauiue"/>
              <w:jc w:val="both"/>
              <w:rPr>
                <w:color w:val="000000" w:themeColor="text1"/>
                <w:sz w:val="16"/>
                <w:szCs w:val="16"/>
              </w:rPr>
            </w:pPr>
          </w:p>
        </w:tc>
        <w:tc>
          <w:tcPr>
            <w:tcW w:w="1418" w:type="dxa"/>
          </w:tcPr>
          <w:p w14:paraId="173EED44" w14:textId="77777777" w:rsidR="00AE7191" w:rsidRPr="00722885" w:rsidRDefault="00AE7191" w:rsidP="00722885">
            <w:pPr>
              <w:pStyle w:val="Iauiue"/>
              <w:jc w:val="both"/>
              <w:rPr>
                <w:color w:val="000000" w:themeColor="text1"/>
                <w:sz w:val="16"/>
                <w:szCs w:val="16"/>
              </w:rPr>
            </w:pPr>
          </w:p>
        </w:tc>
        <w:tc>
          <w:tcPr>
            <w:tcW w:w="1417" w:type="dxa"/>
          </w:tcPr>
          <w:p w14:paraId="6420F7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кал. 20 мм снар.</w:t>
            </w:r>
          </w:p>
        </w:tc>
        <w:tc>
          <w:tcPr>
            <w:tcW w:w="1559" w:type="dxa"/>
          </w:tcPr>
          <w:p w14:paraId="5FB7A9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12,7 мм патрон</w:t>
            </w:r>
          </w:p>
        </w:tc>
        <w:tc>
          <w:tcPr>
            <w:tcW w:w="1420" w:type="dxa"/>
          </w:tcPr>
          <w:p w14:paraId="23F734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7,62мм патр.</w:t>
            </w:r>
          </w:p>
        </w:tc>
      </w:tr>
      <w:tr w:rsidR="009B487A" w:rsidRPr="00722885" w14:paraId="3DE2B331" w14:textId="77777777" w:rsidTr="00CC5360">
        <w:tc>
          <w:tcPr>
            <w:tcW w:w="2093" w:type="dxa"/>
          </w:tcPr>
          <w:p w14:paraId="1F9D35BC" w14:textId="77777777" w:rsidR="00AE7191" w:rsidRPr="00722885" w:rsidRDefault="00AE7191" w:rsidP="00722885">
            <w:pPr>
              <w:pStyle w:val="Iauiue"/>
              <w:jc w:val="both"/>
              <w:rPr>
                <w:color w:val="000000" w:themeColor="text1"/>
                <w:sz w:val="16"/>
                <w:szCs w:val="16"/>
              </w:rPr>
            </w:pPr>
          </w:p>
        </w:tc>
        <w:tc>
          <w:tcPr>
            <w:tcW w:w="1276" w:type="dxa"/>
          </w:tcPr>
          <w:p w14:paraId="6D233813" w14:textId="77777777" w:rsidR="00AE7191" w:rsidRPr="00722885" w:rsidRDefault="00AE7191" w:rsidP="00722885">
            <w:pPr>
              <w:pStyle w:val="Iauiue"/>
              <w:jc w:val="both"/>
              <w:rPr>
                <w:color w:val="000000" w:themeColor="text1"/>
                <w:sz w:val="16"/>
                <w:szCs w:val="16"/>
              </w:rPr>
            </w:pPr>
          </w:p>
        </w:tc>
        <w:tc>
          <w:tcPr>
            <w:tcW w:w="1417" w:type="dxa"/>
          </w:tcPr>
          <w:p w14:paraId="7B2B1561" w14:textId="77777777" w:rsidR="00AE7191" w:rsidRPr="00722885" w:rsidRDefault="00AE7191" w:rsidP="00722885">
            <w:pPr>
              <w:pStyle w:val="Iauiue"/>
              <w:jc w:val="both"/>
              <w:rPr>
                <w:color w:val="000000" w:themeColor="text1"/>
                <w:sz w:val="16"/>
                <w:szCs w:val="16"/>
              </w:rPr>
            </w:pPr>
          </w:p>
        </w:tc>
        <w:tc>
          <w:tcPr>
            <w:tcW w:w="1418" w:type="dxa"/>
          </w:tcPr>
          <w:p w14:paraId="3EE01A68" w14:textId="77777777" w:rsidR="00AE7191" w:rsidRPr="00722885" w:rsidRDefault="00AE7191" w:rsidP="00722885">
            <w:pPr>
              <w:pStyle w:val="Iauiue"/>
              <w:jc w:val="both"/>
              <w:rPr>
                <w:color w:val="000000" w:themeColor="text1"/>
                <w:sz w:val="16"/>
                <w:szCs w:val="16"/>
              </w:rPr>
            </w:pPr>
          </w:p>
        </w:tc>
        <w:tc>
          <w:tcPr>
            <w:tcW w:w="1417" w:type="dxa"/>
          </w:tcPr>
          <w:p w14:paraId="3661DE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160 шт. 1 пул. кал.</w:t>
            </w:r>
          </w:p>
        </w:tc>
        <w:tc>
          <w:tcPr>
            <w:tcW w:w="1559" w:type="dxa"/>
          </w:tcPr>
          <w:p w14:paraId="63A0A7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700 шт.</w:t>
            </w:r>
          </w:p>
        </w:tc>
        <w:tc>
          <w:tcPr>
            <w:tcW w:w="1420" w:type="dxa"/>
          </w:tcPr>
          <w:p w14:paraId="2554B64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750 шт.</w:t>
            </w:r>
          </w:p>
        </w:tc>
      </w:tr>
      <w:tr w:rsidR="009B487A" w:rsidRPr="00722885" w14:paraId="62A72028" w14:textId="77777777" w:rsidTr="00CC5360">
        <w:tc>
          <w:tcPr>
            <w:tcW w:w="2093" w:type="dxa"/>
          </w:tcPr>
          <w:p w14:paraId="3D012502" w14:textId="77777777" w:rsidR="00AE7191" w:rsidRPr="00722885" w:rsidRDefault="00AE7191" w:rsidP="00722885">
            <w:pPr>
              <w:pStyle w:val="Iauiue"/>
              <w:jc w:val="both"/>
              <w:rPr>
                <w:color w:val="000000" w:themeColor="text1"/>
                <w:sz w:val="16"/>
                <w:szCs w:val="16"/>
              </w:rPr>
            </w:pPr>
          </w:p>
        </w:tc>
        <w:tc>
          <w:tcPr>
            <w:tcW w:w="1276" w:type="dxa"/>
          </w:tcPr>
          <w:p w14:paraId="6FF59F21" w14:textId="77777777" w:rsidR="00AE7191" w:rsidRPr="00722885" w:rsidRDefault="00AE7191" w:rsidP="00722885">
            <w:pPr>
              <w:pStyle w:val="Iauiue"/>
              <w:jc w:val="both"/>
              <w:rPr>
                <w:color w:val="000000" w:themeColor="text1"/>
                <w:sz w:val="16"/>
                <w:szCs w:val="16"/>
              </w:rPr>
            </w:pPr>
          </w:p>
        </w:tc>
        <w:tc>
          <w:tcPr>
            <w:tcW w:w="1417" w:type="dxa"/>
          </w:tcPr>
          <w:p w14:paraId="3CE6BA49" w14:textId="77777777" w:rsidR="00AE7191" w:rsidRPr="00722885" w:rsidRDefault="00AE7191" w:rsidP="00722885">
            <w:pPr>
              <w:pStyle w:val="Iauiue"/>
              <w:jc w:val="both"/>
              <w:rPr>
                <w:color w:val="000000" w:themeColor="text1"/>
                <w:sz w:val="16"/>
                <w:szCs w:val="16"/>
              </w:rPr>
            </w:pPr>
          </w:p>
        </w:tc>
        <w:tc>
          <w:tcPr>
            <w:tcW w:w="1418" w:type="dxa"/>
          </w:tcPr>
          <w:p w14:paraId="7A8561C0" w14:textId="77777777" w:rsidR="00AE7191" w:rsidRPr="00722885" w:rsidRDefault="00AE7191" w:rsidP="00722885">
            <w:pPr>
              <w:pStyle w:val="Iauiue"/>
              <w:jc w:val="both"/>
              <w:rPr>
                <w:color w:val="000000" w:themeColor="text1"/>
                <w:sz w:val="16"/>
                <w:szCs w:val="16"/>
              </w:rPr>
            </w:pPr>
          </w:p>
        </w:tc>
        <w:tc>
          <w:tcPr>
            <w:tcW w:w="1417" w:type="dxa"/>
          </w:tcPr>
          <w:p w14:paraId="6A03FD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12,7 мм патр. </w:t>
            </w:r>
          </w:p>
        </w:tc>
        <w:tc>
          <w:tcPr>
            <w:tcW w:w="1559" w:type="dxa"/>
          </w:tcPr>
          <w:p w14:paraId="362BC563" w14:textId="77777777" w:rsidR="00AE7191" w:rsidRPr="00722885" w:rsidRDefault="00AE7191" w:rsidP="00722885">
            <w:pPr>
              <w:pStyle w:val="Iauiue"/>
              <w:jc w:val="both"/>
              <w:rPr>
                <w:color w:val="000000" w:themeColor="text1"/>
                <w:sz w:val="16"/>
                <w:szCs w:val="16"/>
              </w:rPr>
            </w:pPr>
          </w:p>
        </w:tc>
        <w:tc>
          <w:tcPr>
            <w:tcW w:w="1420" w:type="dxa"/>
          </w:tcPr>
          <w:p w14:paraId="484037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 кал. 12,7 мм</w:t>
            </w:r>
          </w:p>
        </w:tc>
      </w:tr>
      <w:tr w:rsidR="009B487A" w:rsidRPr="00722885" w14:paraId="77B05279" w14:textId="77777777" w:rsidTr="00CC5360">
        <w:tc>
          <w:tcPr>
            <w:tcW w:w="2093" w:type="dxa"/>
          </w:tcPr>
          <w:p w14:paraId="408977D9" w14:textId="77777777" w:rsidR="00AE7191" w:rsidRPr="00722885" w:rsidRDefault="00AE7191" w:rsidP="00722885">
            <w:pPr>
              <w:pStyle w:val="Iauiue"/>
              <w:jc w:val="both"/>
              <w:rPr>
                <w:color w:val="000000" w:themeColor="text1"/>
                <w:sz w:val="16"/>
                <w:szCs w:val="16"/>
              </w:rPr>
            </w:pPr>
          </w:p>
        </w:tc>
        <w:tc>
          <w:tcPr>
            <w:tcW w:w="1276" w:type="dxa"/>
          </w:tcPr>
          <w:p w14:paraId="74C78716" w14:textId="77777777" w:rsidR="00AE7191" w:rsidRPr="00722885" w:rsidRDefault="00AE7191" w:rsidP="00722885">
            <w:pPr>
              <w:pStyle w:val="Iauiue"/>
              <w:jc w:val="both"/>
              <w:rPr>
                <w:color w:val="000000" w:themeColor="text1"/>
                <w:sz w:val="16"/>
                <w:szCs w:val="16"/>
              </w:rPr>
            </w:pPr>
          </w:p>
        </w:tc>
        <w:tc>
          <w:tcPr>
            <w:tcW w:w="1417" w:type="dxa"/>
          </w:tcPr>
          <w:p w14:paraId="25964D3B" w14:textId="77777777" w:rsidR="00AE7191" w:rsidRPr="00722885" w:rsidRDefault="00AE7191" w:rsidP="00722885">
            <w:pPr>
              <w:pStyle w:val="Iauiue"/>
              <w:jc w:val="both"/>
              <w:rPr>
                <w:color w:val="000000" w:themeColor="text1"/>
                <w:sz w:val="16"/>
                <w:szCs w:val="16"/>
              </w:rPr>
            </w:pPr>
          </w:p>
        </w:tc>
        <w:tc>
          <w:tcPr>
            <w:tcW w:w="1418" w:type="dxa"/>
          </w:tcPr>
          <w:p w14:paraId="121D9C30" w14:textId="77777777" w:rsidR="00AE7191" w:rsidRPr="00722885" w:rsidRDefault="00AE7191" w:rsidP="00722885">
            <w:pPr>
              <w:pStyle w:val="Iauiue"/>
              <w:jc w:val="both"/>
              <w:rPr>
                <w:color w:val="000000" w:themeColor="text1"/>
                <w:sz w:val="16"/>
                <w:szCs w:val="16"/>
              </w:rPr>
            </w:pPr>
          </w:p>
        </w:tc>
        <w:tc>
          <w:tcPr>
            <w:tcW w:w="1417" w:type="dxa"/>
          </w:tcPr>
          <w:p w14:paraId="14FDA9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 шт.</w:t>
            </w:r>
          </w:p>
        </w:tc>
        <w:tc>
          <w:tcPr>
            <w:tcW w:w="1559" w:type="dxa"/>
          </w:tcPr>
          <w:p w14:paraId="62592863" w14:textId="77777777" w:rsidR="00AE7191" w:rsidRPr="00722885" w:rsidRDefault="00AE7191" w:rsidP="00722885">
            <w:pPr>
              <w:pStyle w:val="Iauiue"/>
              <w:jc w:val="both"/>
              <w:rPr>
                <w:color w:val="000000" w:themeColor="text1"/>
                <w:sz w:val="16"/>
                <w:szCs w:val="16"/>
              </w:rPr>
            </w:pPr>
          </w:p>
        </w:tc>
        <w:tc>
          <w:tcPr>
            <w:tcW w:w="1420" w:type="dxa"/>
          </w:tcPr>
          <w:p w14:paraId="116F58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 100 шт.</w:t>
            </w:r>
          </w:p>
        </w:tc>
      </w:tr>
      <w:tr w:rsidR="009B487A" w:rsidRPr="00722885" w14:paraId="14B8821A" w14:textId="77777777" w:rsidTr="00CC5360">
        <w:tc>
          <w:tcPr>
            <w:tcW w:w="2093" w:type="dxa"/>
          </w:tcPr>
          <w:p w14:paraId="4258DD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Реактивное вооружение</w:t>
            </w:r>
          </w:p>
        </w:tc>
        <w:tc>
          <w:tcPr>
            <w:tcW w:w="1276" w:type="dxa"/>
          </w:tcPr>
          <w:p w14:paraId="66326C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последних</w:t>
            </w:r>
          </w:p>
        </w:tc>
        <w:tc>
          <w:tcPr>
            <w:tcW w:w="1417" w:type="dxa"/>
          </w:tcPr>
          <w:p w14:paraId="376D81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шт. РО-82</w:t>
            </w:r>
          </w:p>
        </w:tc>
        <w:tc>
          <w:tcPr>
            <w:tcW w:w="1418" w:type="dxa"/>
          </w:tcPr>
          <w:p w14:paraId="7F07FC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шт. РО-82</w:t>
            </w:r>
          </w:p>
        </w:tc>
        <w:tc>
          <w:tcPr>
            <w:tcW w:w="1417" w:type="dxa"/>
          </w:tcPr>
          <w:p w14:paraId="70647F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последних</w:t>
            </w:r>
          </w:p>
        </w:tc>
        <w:tc>
          <w:tcPr>
            <w:tcW w:w="1559" w:type="dxa"/>
          </w:tcPr>
          <w:p w14:paraId="5A8AE5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последних</w:t>
            </w:r>
          </w:p>
        </w:tc>
        <w:tc>
          <w:tcPr>
            <w:tcW w:w="1420" w:type="dxa"/>
          </w:tcPr>
          <w:p w14:paraId="1D850F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0AA4F000" w14:textId="77777777" w:rsidTr="00CC5360">
        <w:tc>
          <w:tcPr>
            <w:tcW w:w="2093" w:type="dxa"/>
          </w:tcPr>
          <w:p w14:paraId="0563CFC7" w14:textId="77777777" w:rsidR="00AE7191" w:rsidRPr="00722885" w:rsidRDefault="00AE7191" w:rsidP="00722885">
            <w:pPr>
              <w:pStyle w:val="Iauiue"/>
              <w:jc w:val="both"/>
              <w:rPr>
                <w:color w:val="000000" w:themeColor="text1"/>
                <w:sz w:val="16"/>
                <w:szCs w:val="16"/>
              </w:rPr>
            </w:pPr>
          </w:p>
        </w:tc>
        <w:tc>
          <w:tcPr>
            <w:tcW w:w="1276" w:type="dxa"/>
          </w:tcPr>
          <w:p w14:paraId="6126BED6" w14:textId="77777777" w:rsidR="00AE7191" w:rsidRPr="00722885" w:rsidRDefault="00AE7191" w:rsidP="00722885">
            <w:pPr>
              <w:pStyle w:val="Iauiue"/>
              <w:jc w:val="both"/>
              <w:rPr>
                <w:color w:val="000000" w:themeColor="text1"/>
                <w:sz w:val="16"/>
                <w:szCs w:val="16"/>
              </w:rPr>
            </w:pPr>
          </w:p>
        </w:tc>
        <w:tc>
          <w:tcPr>
            <w:tcW w:w="1417" w:type="dxa"/>
          </w:tcPr>
          <w:p w14:paraId="267404C4" w14:textId="77777777" w:rsidR="00AE7191" w:rsidRPr="00722885" w:rsidRDefault="00AE7191" w:rsidP="00722885">
            <w:pPr>
              <w:pStyle w:val="Iauiue"/>
              <w:jc w:val="both"/>
              <w:rPr>
                <w:color w:val="000000" w:themeColor="text1"/>
                <w:sz w:val="16"/>
                <w:szCs w:val="16"/>
              </w:rPr>
            </w:pPr>
          </w:p>
        </w:tc>
        <w:tc>
          <w:tcPr>
            <w:tcW w:w="1418" w:type="dxa"/>
          </w:tcPr>
          <w:p w14:paraId="4BE791B1" w14:textId="77777777" w:rsidR="00AE7191" w:rsidRPr="00722885" w:rsidRDefault="00AE7191" w:rsidP="00722885">
            <w:pPr>
              <w:pStyle w:val="Iauiue"/>
              <w:jc w:val="both"/>
              <w:rPr>
                <w:color w:val="000000" w:themeColor="text1"/>
                <w:sz w:val="16"/>
                <w:szCs w:val="16"/>
              </w:rPr>
            </w:pPr>
          </w:p>
        </w:tc>
        <w:tc>
          <w:tcPr>
            <w:tcW w:w="1417" w:type="dxa"/>
          </w:tcPr>
          <w:p w14:paraId="0DCD1F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сериях установл.</w:t>
            </w:r>
          </w:p>
        </w:tc>
        <w:tc>
          <w:tcPr>
            <w:tcW w:w="1559" w:type="dxa"/>
          </w:tcPr>
          <w:p w14:paraId="114C8F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сериях установл.</w:t>
            </w:r>
          </w:p>
        </w:tc>
        <w:tc>
          <w:tcPr>
            <w:tcW w:w="1420" w:type="dxa"/>
          </w:tcPr>
          <w:p w14:paraId="4126DA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сериях установл.</w:t>
            </w:r>
          </w:p>
        </w:tc>
      </w:tr>
      <w:tr w:rsidR="009B487A" w:rsidRPr="00722885" w14:paraId="09E935CE" w14:textId="77777777" w:rsidTr="00CC5360">
        <w:tc>
          <w:tcPr>
            <w:tcW w:w="2093" w:type="dxa"/>
          </w:tcPr>
          <w:p w14:paraId="7497D756" w14:textId="77777777" w:rsidR="00AE7191" w:rsidRPr="00722885" w:rsidRDefault="00AE7191" w:rsidP="00722885">
            <w:pPr>
              <w:pStyle w:val="Iauiue"/>
              <w:jc w:val="both"/>
              <w:rPr>
                <w:color w:val="000000" w:themeColor="text1"/>
                <w:sz w:val="16"/>
                <w:szCs w:val="16"/>
              </w:rPr>
            </w:pPr>
          </w:p>
        </w:tc>
        <w:tc>
          <w:tcPr>
            <w:tcW w:w="1276" w:type="dxa"/>
          </w:tcPr>
          <w:p w14:paraId="002CE5F2" w14:textId="77777777" w:rsidR="00AE7191" w:rsidRPr="00722885" w:rsidRDefault="00AE7191" w:rsidP="00722885">
            <w:pPr>
              <w:pStyle w:val="Iauiue"/>
              <w:jc w:val="both"/>
              <w:rPr>
                <w:color w:val="000000" w:themeColor="text1"/>
                <w:sz w:val="16"/>
                <w:szCs w:val="16"/>
              </w:rPr>
            </w:pPr>
          </w:p>
        </w:tc>
        <w:tc>
          <w:tcPr>
            <w:tcW w:w="1417" w:type="dxa"/>
          </w:tcPr>
          <w:p w14:paraId="557E3760" w14:textId="77777777" w:rsidR="00AE7191" w:rsidRPr="00722885" w:rsidRDefault="00AE7191" w:rsidP="00722885">
            <w:pPr>
              <w:pStyle w:val="Iauiue"/>
              <w:jc w:val="both"/>
              <w:rPr>
                <w:color w:val="000000" w:themeColor="text1"/>
                <w:sz w:val="16"/>
                <w:szCs w:val="16"/>
              </w:rPr>
            </w:pPr>
          </w:p>
        </w:tc>
        <w:tc>
          <w:tcPr>
            <w:tcW w:w="1418" w:type="dxa"/>
          </w:tcPr>
          <w:p w14:paraId="661F3C22" w14:textId="77777777" w:rsidR="00AE7191" w:rsidRPr="00722885" w:rsidRDefault="00AE7191" w:rsidP="00722885">
            <w:pPr>
              <w:pStyle w:val="Iauiue"/>
              <w:jc w:val="both"/>
              <w:rPr>
                <w:color w:val="000000" w:themeColor="text1"/>
                <w:sz w:val="16"/>
                <w:szCs w:val="16"/>
              </w:rPr>
            </w:pPr>
          </w:p>
        </w:tc>
        <w:tc>
          <w:tcPr>
            <w:tcW w:w="1417" w:type="dxa"/>
          </w:tcPr>
          <w:p w14:paraId="5752DF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шт. РО-82</w:t>
            </w:r>
          </w:p>
        </w:tc>
        <w:tc>
          <w:tcPr>
            <w:tcW w:w="1559" w:type="dxa"/>
          </w:tcPr>
          <w:p w14:paraId="2164B54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шт. РО-82</w:t>
            </w:r>
          </w:p>
        </w:tc>
        <w:tc>
          <w:tcPr>
            <w:tcW w:w="1420" w:type="dxa"/>
          </w:tcPr>
          <w:p w14:paraId="2F8B31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шт. РО-82</w:t>
            </w:r>
          </w:p>
        </w:tc>
      </w:tr>
      <w:tr w:rsidR="009B487A" w:rsidRPr="00722885" w14:paraId="7B63FF5A" w14:textId="77777777" w:rsidTr="00CC5360">
        <w:tc>
          <w:tcPr>
            <w:tcW w:w="2093" w:type="dxa"/>
          </w:tcPr>
          <w:p w14:paraId="52C1DF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Бомбовая нагрузка при</w:t>
            </w:r>
          </w:p>
        </w:tc>
        <w:tc>
          <w:tcPr>
            <w:tcW w:w="1276" w:type="dxa"/>
          </w:tcPr>
          <w:p w14:paraId="72B1A04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нет</w:t>
            </w:r>
          </w:p>
        </w:tc>
        <w:tc>
          <w:tcPr>
            <w:tcW w:w="1417" w:type="dxa"/>
          </w:tcPr>
          <w:p w14:paraId="235E30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нет</w:t>
            </w:r>
          </w:p>
        </w:tc>
        <w:tc>
          <w:tcPr>
            <w:tcW w:w="1418" w:type="dxa"/>
          </w:tcPr>
          <w:p w14:paraId="6F78DDE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нет</w:t>
            </w:r>
          </w:p>
        </w:tc>
        <w:tc>
          <w:tcPr>
            <w:tcW w:w="1417" w:type="dxa"/>
          </w:tcPr>
          <w:p w14:paraId="0AE58A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нет</w:t>
            </w:r>
          </w:p>
        </w:tc>
        <w:tc>
          <w:tcPr>
            <w:tcW w:w="1559" w:type="dxa"/>
          </w:tcPr>
          <w:p w14:paraId="22F122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нет</w:t>
            </w:r>
          </w:p>
        </w:tc>
        <w:tc>
          <w:tcPr>
            <w:tcW w:w="1420" w:type="dxa"/>
          </w:tcPr>
          <w:p w14:paraId="17C854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Внутренняя</w:t>
            </w:r>
          </w:p>
        </w:tc>
      </w:tr>
      <w:tr w:rsidR="009B487A" w:rsidRPr="00722885" w14:paraId="7249D71C" w14:textId="77777777" w:rsidTr="00CC5360">
        <w:tc>
          <w:tcPr>
            <w:tcW w:w="2093" w:type="dxa"/>
          </w:tcPr>
          <w:p w14:paraId="46480F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нормальном полетном</w:t>
            </w:r>
          </w:p>
        </w:tc>
        <w:tc>
          <w:tcPr>
            <w:tcW w:w="1276" w:type="dxa"/>
          </w:tcPr>
          <w:p w14:paraId="5587088C" w14:textId="77777777" w:rsidR="00AE7191" w:rsidRPr="00722885" w:rsidRDefault="00AE7191" w:rsidP="00722885">
            <w:pPr>
              <w:pStyle w:val="Iauiue"/>
              <w:jc w:val="both"/>
              <w:rPr>
                <w:color w:val="000000" w:themeColor="text1"/>
                <w:sz w:val="16"/>
                <w:szCs w:val="16"/>
              </w:rPr>
            </w:pPr>
          </w:p>
        </w:tc>
        <w:tc>
          <w:tcPr>
            <w:tcW w:w="1417" w:type="dxa"/>
          </w:tcPr>
          <w:p w14:paraId="385FD068" w14:textId="77777777" w:rsidR="00AE7191" w:rsidRPr="00722885" w:rsidRDefault="00AE7191" w:rsidP="00722885">
            <w:pPr>
              <w:pStyle w:val="Iauiue"/>
              <w:jc w:val="both"/>
              <w:rPr>
                <w:color w:val="000000" w:themeColor="text1"/>
                <w:sz w:val="16"/>
                <w:szCs w:val="16"/>
              </w:rPr>
            </w:pPr>
          </w:p>
        </w:tc>
        <w:tc>
          <w:tcPr>
            <w:tcW w:w="1418" w:type="dxa"/>
          </w:tcPr>
          <w:p w14:paraId="4ECAEEB0" w14:textId="77777777" w:rsidR="00AE7191" w:rsidRPr="00722885" w:rsidRDefault="00AE7191" w:rsidP="00722885">
            <w:pPr>
              <w:pStyle w:val="Iauiue"/>
              <w:jc w:val="both"/>
              <w:rPr>
                <w:color w:val="000000" w:themeColor="text1"/>
                <w:sz w:val="16"/>
                <w:szCs w:val="16"/>
              </w:rPr>
            </w:pPr>
          </w:p>
        </w:tc>
        <w:tc>
          <w:tcPr>
            <w:tcW w:w="1417" w:type="dxa"/>
          </w:tcPr>
          <w:p w14:paraId="5A33A5A9" w14:textId="77777777" w:rsidR="00AE7191" w:rsidRPr="00722885" w:rsidRDefault="00AE7191" w:rsidP="00722885">
            <w:pPr>
              <w:pStyle w:val="Iauiue"/>
              <w:jc w:val="both"/>
              <w:rPr>
                <w:color w:val="000000" w:themeColor="text1"/>
                <w:sz w:val="16"/>
                <w:szCs w:val="16"/>
              </w:rPr>
            </w:pPr>
          </w:p>
        </w:tc>
        <w:tc>
          <w:tcPr>
            <w:tcW w:w="1559" w:type="dxa"/>
          </w:tcPr>
          <w:p w14:paraId="0A67286D" w14:textId="77777777" w:rsidR="00AE7191" w:rsidRPr="00722885" w:rsidRDefault="00AE7191" w:rsidP="00722885">
            <w:pPr>
              <w:pStyle w:val="Iauiue"/>
              <w:jc w:val="both"/>
              <w:rPr>
                <w:color w:val="000000" w:themeColor="text1"/>
                <w:sz w:val="16"/>
                <w:szCs w:val="16"/>
              </w:rPr>
            </w:pPr>
          </w:p>
        </w:tc>
        <w:tc>
          <w:tcPr>
            <w:tcW w:w="1420" w:type="dxa"/>
          </w:tcPr>
          <w:p w14:paraId="3286A3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подвеска:</w:t>
            </w:r>
          </w:p>
        </w:tc>
      </w:tr>
      <w:tr w:rsidR="009B487A" w:rsidRPr="00722885" w14:paraId="30D53E7C" w14:textId="77777777" w:rsidTr="00CC5360">
        <w:tc>
          <w:tcPr>
            <w:tcW w:w="2093" w:type="dxa"/>
          </w:tcPr>
          <w:p w14:paraId="15CE4E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весе кг</w:t>
            </w:r>
          </w:p>
        </w:tc>
        <w:tc>
          <w:tcPr>
            <w:tcW w:w="1276" w:type="dxa"/>
          </w:tcPr>
          <w:p w14:paraId="26A08BDE" w14:textId="77777777" w:rsidR="00AE7191" w:rsidRPr="00722885" w:rsidRDefault="00AE7191" w:rsidP="00722885">
            <w:pPr>
              <w:pStyle w:val="Iauiue"/>
              <w:jc w:val="both"/>
              <w:rPr>
                <w:color w:val="000000" w:themeColor="text1"/>
                <w:sz w:val="16"/>
                <w:szCs w:val="16"/>
              </w:rPr>
            </w:pPr>
          </w:p>
        </w:tc>
        <w:tc>
          <w:tcPr>
            <w:tcW w:w="1417" w:type="dxa"/>
          </w:tcPr>
          <w:p w14:paraId="78228DD3" w14:textId="77777777" w:rsidR="00AE7191" w:rsidRPr="00722885" w:rsidRDefault="00AE7191" w:rsidP="00722885">
            <w:pPr>
              <w:pStyle w:val="Iauiue"/>
              <w:jc w:val="both"/>
              <w:rPr>
                <w:color w:val="000000" w:themeColor="text1"/>
                <w:sz w:val="16"/>
                <w:szCs w:val="16"/>
              </w:rPr>
            </w:pPr>
          </w:p>
        </w:tc>
        <w:tc>
          <w:tcPr>
            <w:tcW w:w="1418" w:type="dxa"/>
          </w:tcPr>
          <w:p w14:paraId="60A7D11C" w14:textId="77777777" w:rsidR="00AE7191" w:rsidRPr="00722885" w:rsidRDefault="00AE7191" w:rsidP="00722885">
            <w:pPr>
              <w:pStyle w:val="Iauiue"/>
              <w:jc w:val="both"/>
              <w:rPr>
                <w:color w:val="000000" w:themeColor="text1"/>
                <w:sz w:val="16"/>
                <w:szCs w:val="16"/>
              </w:rPr>
            </w:pPr>
          </w:p>
        </w:tc>
        <w:tc>
          <w:tcPr>
            <w:tcW w:w="1417" w:type="dxa"/>
          </w:tcPr>
          <w:p w14:paraId="210E09F2" w14:textId="77777777" w:rsidR="00AE7191" w:rsidRPr="00722885" w:rsidRDefault="00AE7191" w:rsidP="00722885">
            <w:pPr>
              <w:pStyle w:val="Iauiue"/>
              <w:jc w:val="both"/>
              <w:rPr>
                <w:color w:val="000000" w:themeColor="text1"/>
                <w:sz w:val="16"/>
                <w:szCs w:val="16"/>
              </w:rPr>
            </w:pPr>
          </w:p>
        </w:tc>
        <w:tc>
          <w:tcPr>
            <w:tcW w:w="1559" w:type="dxa"/>
          </w:tcPr>
          <w:p w14:paraId="32A05C89" w14:textId="77777777" w:rsidR="00AE7191" w:rsidRPr="00722885" w:rsidRDefault="00AE7191" w:rsidP="00722885">
            <w:pPr>
              <w:pStyle w:val="Iauiue"/>
              <w:jc w:val="both"/>
              <w:rPr>
                <w:color w:val="000000" w:themeColor="text1"/>
                <w:sz w:val="16"/>
                <w:szCs w:val="16"/>
              </w:rPr>
            </w:pPr>
          </w:p>
        </w:tc>
        <w:tc>
          <w:tcPr>
            <w:tcW w:w="1420" w:type="dxa"/>
          </w:tcPr>
          <w:p w14:paraId="4D0AC2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2хФАБ-100 всего</w:t>
            </w:r>
          </w:p>
        </w:tc>
      </w:tr>
      <w:tr w:rsidR="009B487A" w:rsidRPr="00722885" w14:paraId="421B237D" w14:textId="77777777" w:rsidTr="00CC5360">
        <w:tc>
          <w:tcPr>
            <w:tcW w:w="2093" w:type="dxa"/>
          </w:tcPr>
          <w:p w14:paraId="7FCAF089" w14:textId="77777777" w:rsidR="00AE7191" w:rsidRPr="00722885" w:rsidRDefault="00AE7191" w:rsidP="00722885">
            <w:pPr>
              <w:pStyle w:val="Iauiue"/>
              <w:jc w:val="both"/>
              <w:rPr>
                <w:color w:val="000000" w:themeColor="text1"/>
                <w:sz w:val="16"/>
                <w:szCs w:val="16"/>
              </w:rPr>
            </w:pPr>
          </w:p>
        </w:tc>
        <w:tc>
          <w:tcPr>
            <w:tcW w:w="1276" w:type="dxa"/>
          </w:tcPr>
          <w:p w14:paraId="277AC1A4" w14:textId="77777777" w:rsidR="00AE7191" w:rsidRPr="00722885" w:rsidRDefault="00AE7191" w:rsidP="00722885">
            <w:pPr>
              <w:pStyle w:val="Iauiue"/>
              <w:jc w:val="both"/>
              <w:rPr>
                <w:color w:val="000000" w:themeColor="text1"/>
                <w:sz w:val="16"/>
                <w:szCs w:val="16"/>
              </w:rPr>
            </w:pPr>
          </w:p>
        </w:tc>
        <w:tc>
          <w:tcPr>
            <w:tcW w:w="1417" w:type="dxa"/>
          </w:tcPr>
          <w:p w14:paraId="2B636C73" w14:textId="77777777" w:rsidR="00AE7191" w:rsidRPr="00722885" w:rsidRDefault="00AE7191" w:rsidP="00722885">
            <w:pPr>
              <w:pStyle w:val="Iauiue"/>
              <w:jc w:val="both"/>
              <w:rPr>
                <w:color w:val="000000" w:themeColor="text1"/>
                <w:sz w:val="16"/>
                <w:szCs w:val="16"/>
              </w:rPr>
            </w:pPr>
          </w:p>
        </w:tc>
        <w:tc>
          <w:tcPr>
            <w:tcW w:w="1418" w:type="dxa"/>
          </w:tcPr>
          <w:p w14:paraId="20443047" w14:textId="77777777" w:rsidR="00AE7191" w:rsidRPr="00722885" w:rsidRDefault="00AE7191" w:rsidP="00722885">
            <w:pPr>
              <w:pStyle w:val="Iauiue"/>
              <w:jc w:val="both"/>
              <w:rPr>
                <w:color w:val="000000" w:themeColor="text1"/>
                <w:sz w:val="16"/>
                <w:szCs w:val="16"/>
              </w:rPr>
            </w:pPr>
          </w:p>
        </w:tc>
        <w:tc>
          <w:tcPr>
            <w:tcW w:w="1417" w:type="dxa"/>
          </w:tcPr>
          <w:p w14:paraId="72FCC59E" w14:textId="77777777" w:rsidR="00AE7191" w:rsidRPr="00722885" w:rsidRDefault="00AE7191" w:rsidP="00722885">
            <w:pPr>
              <w:pStyle w:val="Iauiue"/>
              <w:jc w:val="both"/>
              <w:rPr>
                <w:color w:val="000000" w:themeColor="text1"/>
                <w:sz w:val="16"/>
                <w:szCs w:val="16"/>
              </w:rPr>
            </w:pPr>
          </w:p>
        </w:tc>
        <w:tc>
          <w:tcPr>
            <w:tcW w:w="1559" w:type="dxa"/>
          </w:tcPr>
          <w:p w14:paraId="66363695" w14:textId="77777777" w:rsidR="00AE7191" w:rsidRPr="00722885" w:rsidRDefault="00AE7191" w:rsidP="00722885">
            <w:pPr>
              <w:pStyle w:val="Iauiue"/>
              <w:jc w:val="both"/>
              <w:rPr>
                <w:color w:val="000000" w:themeColor="text1"/>
                <w:sz w:val="16"/>
                <w:szCs w:val="16"/>
              </w:rPr>
            </w:pPr>
          </w:p>
        </w:tc>
        <w:tc>
          <w:tcPr>
            <w:tcW w:w="1420" w:type="dxa"/>
          </w:tcPr>
          <w:p w14:paraId="48D8D9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 кг</w:t>
            </w:r>
          </w:p>
        </w:tc>
      </w:tr>
      <w:tr w:rsidR="009B487A" w:rsidRPr="00722885" w14:paraId="2548F258" w14:textId="77777777" w:rsidTr="00CC5360">
        <w:tc>
          <w:tcPr>
            <w:tcW w:w="2093" w:type="dxa"/>
          </w:tcPr>
          <w:p w14:paraId="262D3EE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Максимальная бомбовая</w:t>
            </w:r>
          </w:p>
        </w:tc>
        <w:tc>
          <w:tcPr>
            <w:tcW w:w="1276" w:type="dxa"/>
          </w:tcPr>
          <w:p w14:paraId="30D35B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нет</w:t>
            </w:r>
          </w:p>
        </w:tc>
        <w:tc>
          <w:tcPr>
            <w:tcW w:w="1417" w:type="dxa"/>
          </w:tcPr>
          <w:p w14:paraId="377B0A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нет</w:t>
            </w:r>
          </w:p>
        </w:tc>
        <w:tc>
          <w:tcPr>
            <w:tcW w:w="1418" w:type="dxa"/>
          </w:tcPr>
          <w:p w14:paraId="0651F4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нет</w:t>
            </w:r>
          </w:p>
        </w:tc>
        <w:tc>
          <w:tcPr>
            <w:tcW w:w="1417" w:type="dxa"/>
          </w:tcPr>
          <w:p w14:paraId="11278F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 в перегр. на</w:t>
            </w:r>
          </w:p>
        </w:tc>
        <w:tc>
          <w:tcPr>
            <w:tcW w:w="1559" w:type="dxa"/>
          </w:tcPr>
          <w:p w14:paraId="35B006E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 в перегр.</w:t>
            </w:r>
          </w:p>
        </w:tc>
        <w:tc>
          <w:tcPr>
            <w:tcW w:w="1420" w:type="dxa"/>
          </w:tcPr>
          <w:p w14:paraId="3D05DF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Внутренняя</w:t>
            </w:r>
          </w:p>
        </w:tc>
      </w:tr>
      <w:tr w:rsidR="009B487A" w:rsidRPr="00722885" w14:paraId="5E455AEA" w14:textId="77777777" w:rsidTr="00CC5360">
        <w:tc>
          <w:tcPr>
            <w:tcW w:w="2093" w:type="dxa"/>
          </w:tcPr>
          <w:p w14:paraId="7A85F0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нагрузка</w:t>
            </w:r>
          </w:p>
        </w:tc>
        <w:tc>
          <w:tcPr>
            <w:tcW w:w="1276" w:type="dxa"/>
          </w:tcPr>
          <w:p w14:paraId="7F6E634D" w14:textId="77777777" w:rsidR="00AE7191" w:rsidRPr="00722885" w:rsidRDefault="00AE7191" w:rsidP="00722885">
            <w:pPr>
              <w:pStyle w:val="Iauiue"/>
              <w:jc w:val="both"/>
              <w:rPr>
                <w:color w:val="000000" w:themeColor="text1"/>
                <w:sz w:val="16"/>
                <w:szCs w:val="16"/>
              </w:rPr>
            </w:pPr>
          </w:p>
        </w:tc>
        <w:tc>
          <w:tcPr>
            <w:tcW w:w="1417" w:type="dxa"/>
          </w:tcPr>
          <w:p w14:paraId="48E46DFE" w14:textId="77777777" w:rsidR="00AE7191" w:rsidRPr="00722885" w:rsidRDefault="00AE7191" w:rsidP="00722885">
            <w:pPr>
              <w:pStyle w:val="Iauiue"/>
              <w:jc w:val="both"/>
              <w:rPr>
                <w:color w:val="000000" w:themeColor="text1"/>
                <w:sz w:val="16"/>
                <w:szCs w:val="16"/>
              </w:rPr>
            </w:pPr>
          </w:p>
        </w:tc>
        <w:tc>
          <w:tcPr>
            <w:tcW w:w="1418" w:type="dxa"/>
          </w:tcPr>
          <w:p w14:paraId="7E5C8E33" w14:textId="77777777" w:rsidR="00AE7191" w:rsidRPr="00722885" w:rsidRDefault="00AE7191" w:rsidP="00722885">
            <w:pPr>
              <w:pStyle w:val="Iauiue"/>
              <w:jc w:val="both"/>
              <w:rPr>
                <w:color w:val="000000" w:themeColor="text1"/>
                <w:sz w:val="16"/>
                <w:szCs w:val="16"/>
              </w:rPr>
            </w:pPr>
          </w:p>
        </w:tc>
        <w:tc>
          <w:tcPr>
            <w:tcW w:w="1417" w:type="dxa"/>
          </w:tcPr>
          <w:p w14:paraId="3FC82E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последн.</w:t>
            </w:r>
          </w:p>
        </w:tc>
        <w:tc>
          <w:tcPr>
            <w:tcW w:w="1559" w:type="dxa"/>
          </w:tcPr>
          <w:p w14:paraId="7D9C1F9C" w14:textId="77777777" w:rsidR="00AE7191" w:rsidRPr="00722885" w:rsidRDefault="00AE7191" w:rsidP="00722885">
            <w:pPr>
              <w:pStyle w:val="Iauiue"/>
              <w:jc w:val="both"/>
              <w:rPr>
                <w:color w:val="000000" w:themeColor="text1"/>
                <w:sz w:val="16"/>
                <w:szCs w:val="16"/>
              </w:rPr>
            </w:pPr>
          </w:p>
        </w:tc>
        <w:tc>
          <w:tcPr>
            <w:tcW w:w="1420" w:type="dxa"/>
          </w:tcPr>
          <w:p w14:paraId="697590E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подвеска:</w:t>
            </w:r>
          </w:p>
        </w:tc>
      </w:tr>
      <w:tr w:rsidR="009B487A" w:rsidRPr="00722885" w14:paraId="1C496093" w14:textId="77777777" w:rsidTr="00CC5360">
        <w:tc>
          <w:tcPr>
            <w:tcW w:w="2093" w:type="dxa"/>
          </w:tcPr>
          <w:p w14:paraId="25BDB128" w14:textId="77777777" w:rsidR="00AE7191" w:rsidRPr="00722885" w:rsidRDefault="00AE7191" w:rsidP="00722885">
            <w:pPr>
              <w:pStyle w:val="Iauiue"/>
              <w:jc w:val="both"/>
              <w:rPr>
                <w:color w:val="000000" w:themeColor="text1"/>
                <w:sz w:val="16"/>
                <w:szCs w:val="16"/>
              </w:rPr>
            </w:pPr>
          </w:p>
        </w:tc>
        <w:tc>
          <w:tcPr>
            <w:tcW w:w="1276" w:type="dxa"/>
          </w:tcPr>
          <w:p w14:paraId="7941FF74" w14:textId="77777777" w:rsidR="00AE7191" w:rsidRPr="00722885" w:rsidRDefault="00AE7191" w:rsidP="00722885">
            <w:pPr>
              <w:pStyle w:val="Iauiue"/>
              <w:jc w:val="both"/>
              <w:rPr>
                <w:color w:val="000000" w:themeColor="text1"/>
                <w:sz w:val="16"/>
                <w:szCs w:val="16"/>
              </w:rPr>
            </w:pPr>
          </w:p>
        </w:tc>
        <w:tc>
          <w:tcPr>
            <w:tcW w:w="1417" w:type="dxa"/>
          </w:tcPr>
          <w:p w14:paraId="73F2009F" w14:textId="77777777" w:rsidR="00AE7191" w:rsidRPr="00722885" w:rsidRDefault="00AE7191" w:rsidP="00722885">
            <w:pPr>
              <w:pStyle w:val="Iauiue"/>
              <w:jc w:val="both"/>
              <w:rPr>
                <w:color w:val="000000" w:themeColor="text1"/>
                <w:sz w:val="16"/>
                <w:szCs w:val="16"/>
              </w:rPr>
            </w:pPr>
          </w:p>
        </w:tc>
        <w:tc>
          <w:tcPr>
            <w:tcW w:w="1418" w:type="dxa"/>
          </w:tcPr>
          <w:p w14:paraId="260EBACA" w14:textId="77777777" w:rsidR="00AE7191" w:rsidRPr="00722885" w:rsidRDefault="00AE7191" w:rsidP="00722885">
            <w:pPr>
              <w:pStyle w:val="Iauiue"/>
              <w:jc w:val="both"/>
              <w:rPr>
                <w:color w:val="000000" w:themeColor="text1"/>
                <w:sz w:val="16"/>
                <w:szCs w:val="16"/>
              </w:rPr>
            </w:pPr>
          </w:p>
        </w:tc>
        <w:tc>
          <w:tcPr>
            <w:tcW w:w="1417" w:type="dxa"/>
          </w:tcPr>
          <w:p w14:paraId="1E20A7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сериях</w:t>
            </w:r>
          </w:p>
        </w:tc>
        <w:tc>
          <w:tcPr>
            <w:tcW w:w="1559" w:type="dxa"/>
          </w:tcPr>
          <w:p w14:paraId="65D7396A" w14:textId="77777777" w:rsidR="00AE7191" w:rsidRPr="00722885" w:rsidRDefault="00AE7191" w:rsidP="00722885">
            <w:pPr>
              <w:pStyle w:val="Iauiue"/>
              <w:jc w:val="both"/>
              <w:rPr>
                <w:color w:val="000000" w:themeColor="text1"/>
                <w:sz w:val="16"/>
                <w:szCs w:val="16"/>
              </w:rPr>
            </w:pPr>
          </w:p>
        </w:tc>
        <w:tc>
          <w:tcPr>
            <w:tcW w:w="1420" w:type="dxa"/>
          </w:tcPr>
          <w:p w14:paraId="0CC27D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2хФАБ-100</w:t>
            </w:r>
          </w:p>
        </w:tc>
      </w:tr>
      <w:tr w:rsidR="009B487A" w:rsidRPr="00722885" w14:paraId="3097B840" w14:textId="77777777" w:rsidTr="00CC5360">
        <w:tc>
          <w:tcPr>
            <w:tcW w:w="2093" w:type="dxa"/>
          </w:tcPr>
          <w:p w14:paraId="460A9B7A" w14:textId="77777777" w:rsidR="00AE7191" w:rsidRPr="00722885" w:rsidRDefault="00AE7191" w:rsidP="00722885">
            <w:pPr>
              <w:pStyle w:val="Iauiue"/>
              <w:jc w:val="both"/>
              <w:rPr>
                <w:color w:val="000000" w:themeColor="text1"/>
                <w:sz w:val="16"/>
                <w:szCs w:val="16"/>
              </w:rPr>
            </w:pPr>
          </w:p>
        </w:tc>
        <w:tc>
          <w:tcPr>
            <w:tcW w:w="1276" w:type="dxa"/>
          </w:tcPr>
          <w:p w14:paraId="1FFB7A61" w14:textId="77777777" w:rsidR="00AE7191" w:rsidRPr="00722885" w:rsidRDefault="00AE7191" w:rsidP="00722885">
            <w:pPr>
              <w:pStyle w:val="Iauiue"/>
              <w:jc w:val="both"/>
              <w:rPr>
                <w:color w:val="000000" w:themeColor="text1"/>
                <w:sz w:val="16"/>
                <w:szCs w:val="16"/>
              </w:rPr>
            </w:pPr>
          </w:p>
        </w:tc>
        <w:tc>
          <w:tcPr>
            <w:tcW w:w="1417" w:type="dxa"/>
          </w:tcPr>
          <w:p w14:paraId="0D9293AA" w14:textId="77777777" w:rsidR="00AE7191" w:rsidRPr="00722885" w:rsidRDefault="00AE7191" w:rsidP="00722885">
            <w:pPr>
              <w:pStyle w:val="Iauiue"/>
              <w:jc w:val="both"/>
              <w:rPr>
                <w:color w:val="000000" w:themeColor="text1"/>
                <w:sz w:val="16"/>
                <w:szCs w:val="16"/>
              </w:rPr>
            </w:pPr>
          </w:p>
        </w:tc>
        <w:tc>
          <w:tcPr>
            <w:tcW w:w="1418" w:type="dxa"/>
          </w:tcPr>
          <w:p w14:paraId="4B378B9E" w14:textId="77777777" w:rsidR="00AE7191" w:rsidRPr="00722885" w:rsidRDefault="00AE7191" w:rsidP="00722885">
            <w:pPr>
              <w:pStyle w:val="Iauiue"/>
              <w:jc w:val="both"/>
              <w:rPr>
                <w:color w:val="000000" w:themeColor="text1"/>
                <w:sz w:val="16"/>
                <w:szCs w:val="16"/>
              </w:rPr>
            </w:pPr>
          </w:p>
        </w:tc>
        <w:tc>
          <w:tcPr>
            <w:tcW w:w="1417" w:type="dxa"/>
          </w:tcPr>
          <w:p w14:paraId="2CF40258" w14:textId="77777777" w:rsidR="00AE7191" w:rsidRPr="00722885" w:rsidRDefault="00AE7191" w:rsidP="00722885">
            <w:pPr>
              <w:pStyle w:val="Iauiue"/>
              <w:jc w:val="both"/>
              <w:rPr>
                <w:color w:val="000000" w:themeColor="text1"/>
                <w:sz w:val="16"/>
                <w:szCs w:val="16"/>
              </w:rPr>
            </w:pPr>
          </w:p>
        </w:tc>
        <w:tc>
          <w:tcPr>
            <w:tcW w:w="1559" w:type="dxa"/>
          </w:tcPr>
          <w:p w14:paraId="280AAA8F" w14:textId="77777777" w:rsidR="00AE7191" w:rsidRPr="00722885" w:rsidRDefault="00AE7191" w:rsidP="00722885">
            <w:pPr>
              <w:pStyle w:val="Iauiue"/>
              <w:jc w:val="both"/>
              <w:rPr>
                <w:color w:val="000000" w:themeColor="text1"/>
                <w:sz w:val="16"/>
                <w:szCs w:val="16"/>
              </w:rPr>
            </w:pPr>
          </w:p>
        </w:tc>
        <w:tc>
          <w:tcPr>
            <w:tcW w:w="1420" w:type="dxa"/>
          </w:tcPr>
          <w:p w14:paraId="3C3DF9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Наружная</w:t>
            </w:r>
          </w:p>
        </w:tc>
      </w:tr>
      <w:tr w:rsidR="009B487A" w:rsidRPr="00722885" w14:paraId="10815690" w14:textId="77777777" w:rsidTr="00CC5360">
        <w:tc>
          <w:tcPr>
            <w:tcW w:w="2093" w:type="dxa"/>
          </w:tcPr>
          <w:p w14:paraId="47843250" w14:textId="77777777" w:rsidR="00AE7191" w:rsidRPr="00722885" w:rsidRDefault="00AE7191" w:rsidP="00722885">
            <w:pPr>
              <w:pStyle w:val="Iauiue"/>
              <w:jc w:val="both"/>
              <w:rPr>
                <w:color w:val="000000" w:themeColor="text1"/>
                <w:sz w:val="16"/>
                <w:szCs w:val="16"/>
              </w:rPr>
            </w:pPr>
          </w:p>
        </w:tc>
        <w:tc>
          <w:tcPr>
            <w:tcW w:w="1276" w:type="dxa"/>
          </w:tcPr>
          <w:p w14:paraId="358AF058" w14:textId="77777777" w:rsidR="00AE7191" w:rsidRPr="00722885" w:rsidRDefault="00AE7191" w:rsidP="00722885">
            <w:pPr>
              <w:pStyle w:val="Iauiue"/>
              <w:jc w:val="both"/>
              <w:rPr>
                <w:color w:val="000000" w:themeColor="text1"/>
                <w:sz w:val="16"/>
                <w:szCs w:val="16"/>
              </w:rPr>
            </w:pPr>
          </w:p>
        </w:tc>
        <w:tc>
          <w:tcPr>
            <w:tcW w:w="1417" w:type="dxa"/>
          </w:tcPr>
          <w:p w14:paraId="2E332C2C" w14:textId="77777777" w:rsidR="00AE7191" w:rsidRPr="00722885" w:rsidRDefault="00AE7191" w:rsidP="00722885">
            <w:pPr>
              <w:pStyle w:val="Iauiue"/>
              <w:jc w:val="both"/>
              <w:rPr>
                <w:color w:val="000000" w:themeColor="text1"/>
                <w:sz w:val="16"/>
                <w:szCs w:val="16"/>
              </w:rPr>
            </w:pPr>
          </w:p>
        </w:tc>
        <w:tc>
          <w:tcPr>
            <w:tcW w:w="1418" w:type="dxa"/>
          </w:tcPr>
          <w:p w14:paraId="7C326368" w14:textId="77777777" w:rsidR="00AE7191" w:rsidRPr="00722885" w:rsidRDefault="00AE7191" w:rsidP="00722885">
            <w:pPr>
              <w:pStyle w:val="Iauiue"/>
              <w:jc w:val="both"/>
              <w:rPr>
                <w:color w:val="000000" w:themeColor="text1"/>
                <w:sz w:val="16"/>
                <w:szCs w:val="16"/>
              </w:rPr>
            </w:pPr>
          </w:p>
        </w:tc>
        <w:tc>
          <w:tcPr>
            <w:tcW w:w="1417" w:type="dxa"/>
          </w:tcPr>
          <w:p w14:paraId="341C7B4D" w14:textId="77777777" w:rsidR="00AE7191" w:rsidRPr="00722885" w:rsidRDefault="00AE7191" w:rsidP="00722885">
            <w:pPr>
              <w:pStyle w:val="Iauiue"/>
              <w:jc w:val="both"/>
              <w:rPr>
                <w:color w:val="000000" w:themeColor="text1"/>
                <w:sz w:val="16"/>
                <w:szCs w:val="16"/>
              </w:rPr>
            </w:pPr>
          </w:p>
        </w:tc>
        <w:tc>
          <w:tcPr>
            <w:tcW w:w="1559" w:type="dxa"/>
          </w:tcPr>
          <w:p w14:paraId="43B30FD1" w14:textId="77777777" w:rsidR="00AE7191" w:rsidRPr="00722885" w:rsidRDefault="00AE7191" w:rsidP="00722885">
            <w:pPr>
              <w:pStyle w:val="Iauiue"/>
              <w:jc w:val="both"/>
              <w:rPr>
                <w:color w:val="000000" w:themeColor="text1"/>
                <w:sz w:val="16"/>
                <w:szCs w:val="16"/>
              </w:rPr>
            </w:pPr>
          </w:p>
        </w:tc>
        <w:tc>
          <w:tcPr>
            <w:tcW w:w="1420" w:type="dxa"/>
          </w:tcPr>
          <w:p w14:paraId="47728C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подвеска:</w:t>
            </w:r>
          </w:p>
        </w:tc>
      </w:tr>
      <w:tr w:rsidR="009B487A" w:rsidRPr="00722885" w14:paraId="576B89E7" w14:textId="77777777" w:rsidTr="00CC5360">
        <w:tc>
          <w:tcPr>
            <w:tcW w:w="2093" w:type="dxa"/>
          </w:tcPr>
          <w:p w14:paraId="4CE2918D" w14:textId="77777777" w:rsidR="00AE7191" w:rsidRPr="00722885" w:rsidRDefault="00AE7191" w:rsidP="00722885">
            <w:pPr>
              <w:pStyle w:val="Iauiue"/>
              <w:jc w:val="both"/>
              <w:rPr>
                <w:color w:val="000000" w:themeColor="text1"/>
                <w:sz w:val="16"/>
                <w:szCs w:val="16"/>
              </w:rPr>
            </w:pPr>
          </w:p>
        </w:tc>
        <w:tc>
          <w:tcPr>
            <w:tcW w:w="1276" w:type="dxa"/>
          </w:tcPr>
          <w:p w14:paraId="2AF6B3C1" w14:textId="77777777" w:rsidR="00AE7191" w:rsidRPr="00722885" w:rsidRDefault="00AE7191" w:rsidP="00722885">
            <w:pPr>
              <w:pStyle w:val="Iauiue"/>
              <w:jc w:val="both"/>
              <w:rPr>
                <w:color w:val="000000" w:themeColor="text1"/>
                <w:sz w:val="16"/>
                <w:szCs w:val="16"/>
              </w:rPr>
            </w:pPr>
          </w:p>
        </w:tc>
        <w:tc>
          <w:tcPr>
            <w:tcW w:w="1417" w:type="dxa"/>
          </w:tcPr>
          <w:p w14:paraId="555AAB4F" w14:textId="77777777" w:rsidR="00AE7191" w:rsidRPr="00722885" w:rsidRDefault="00AE7191" w:rsidP="00722885">
            <w:pPr>
              <w:pStyle w:val="Iauiue"/>
              <w:jc w:val="both"/>
              <w:rPr>
                <w:color w:val="000000" w:themeColor="text1"/>
                <w:sz w:val="16"/>
                <w:szCs w:val="16"/>
              </w:rPr>
            </w:pPr>
          </w:p>
        </w:tc>
        <w:tc>
          <w:tcPr>
            <w:tcW w:w="1418" w:type="dxa"/>
          </w:tcPr>
          <w:p w14:paraId="126AD862" w14:textId="77777777" w:rsidR="00AE7191" w:rsidRPr="00722885" w:rsidRDefault="00AE7191" w:rsidP="00722885">
            <w:pPr>
              <w:pStyle w:val="Iauiue"/>
              <w:jc w:val="both"/>
              <w:rPr>
                <w:color w:val="000000" w:themeColor="text1"/>
                <w:sz w:val="16"/>
                <w:szCs w:val="16"/>
              </w:rPr>
            </w:pPr>
          </w:p>
        </w:tc>
        <w:tc>
          <w:tcPr>
            <w:tcW w:w="1417" w:type="dxa"/>
          </w:tcPr>
          <w:p w14:paraId="27FBE38C" w14:textId="77777777" w:rsidR="00AE7191" w:rsidRPr="00722885" w:rsidRDefault="00AE7191" w:rsidP="00722885">
            <w:pPr>
              <w:pStyle w:val="Iauiue"/>
              <w:jc w:val="both"/>
              <w:rPr>
                <w:color w:val="000000" w:themeColor="text1"/>
                <w:sz w:val="16"/>
                <w:szCs w:val="16"/>
              </w:rPr>
            </w:pPr>
          </w:p>
        </w:tc>
        <w:tc>
          <w:tcPr>
            <w:tcW w:w="1559" w:type="dxa"/>
          </w:tcPr>
          <w:p w14:paraId="05553154" w14:textId="77777777" w:rsidR="00AE7191" w:rsidRPr="00722885" w:rsidRDefault="00AE7191" w:rsidP="00722885">
            <w:pPr>
              <w:pStyle w:val="Iauiue"/>
              <w:jc w:val="both"/>
              <w:rPr>
                <w:color w:val="000000" w:themeColor="text1"/>
                <w:sz w:val="16"/>
                <w:szCs w:val="16"/>
              </w:rPr>
            </w:pPr>
          </w:p>
        </w:tc>
        <w:tc>
          <w:tcPr>
            <w:tcW w:w="1420" w:type="dxa"/>
          </w:tcPr>
          <w:p w14:paraId="3052113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2хФАБ-100. Всего</w:t>
            </w:r>
          </w:p>
        </w:tc>
      </w:tr>
      <w:tr w:rsidR="009B487A" w:rsidRPr="00722885" w14:paraId="042ABDF8" w14:textId="77777777" w:rsidTr="00CC5360">
        <w:tc>
          <w:tcPr>
            <w:tcW w:w="2093" w:type="dxa"/>
          </w:tcPr>
          <w:p w14:paraId="539646B9" w14:textId="77777777" w:rsidR="00AE7191" w:rsidRPr="00722885" w:rsidRDefault="00AE7191" w:rsidP="00722885">
            <w:pPr>
              <w:pStyle w:val="Iauiue"/>
              <w:jc w:val="both"/>
              <w:rPr>
                <w:color w:val="000000" w:themeColor="text1"/>
                <w:sz w:val="16"/>
                <w:szCs w:val="16"/>
              </w:rPr>
            </w:pPr>
          </w:p>
        </w:tc>
        <w:tc>
          <w:tcPr>
            <w:tcW w:w="1276" w:type="dxa"/>
          </w:tcPr>
          <w:p w14:paraId="4723FEF3" w14:textId="77777777" w:rsidR="00AE7191" w:rsidRPr="00722885" w:rsidRDefault="00AE7191" w:rsidP="00722885">
            <w:pPr>
              <w:pStyle w:val="Iauiue"/>
              <w:jc w:val="both"/>
              <w:rPr>
                <w:color w:val="000000" w:themeColor="text1"/>
                <w:sz w:val="16"/>
                <w:szCs w:val="16"/>
              </w:rPr>
            </w:pPr>
          </w:p>
        </w:tc>
        <w:tc>
          <w:tcPr>
            <w:tcW w:w="1417" w:type="dxa"/>
          </w:tcPr>
          <w:p w14:paraId="4AF87EA7" w14:textId="77777777" w:rsidR="00AE7191" w:rsidRPr="00722885" w:rsidRDefault="00AE7191" w:rsidP="00722885">
            <w:pPr>
              <w:pStyle w:val="Iauiue"/>
              <w:jc w:val="both"/>
              <w:rPr>
                <w:color w:val="000000" w:themeColor="text1"/>
                <w:sz w:val="16"/>
                <w:szCs w:val="16"/>
              </w:rPr>
            </w:pPr>
          </w:p>
        </w:tc>
        <w:tc>
          <w:tcPr>
            <w:tcW w:w="1418" w:type="dxa"/>
          </w:tcPr>
          <w:p w14:paraId="3A1FA65C" w14:textId="77777777" w:rsidR="00AE7191" w:rsidRPr="00722885" w:rsidRDefault="00AE7191" w:rsidP="00722885">
            <w:pPr>
              <w:pStyle w:val="Iauiue"/>
              <w:jc w:val="both"/>
              <w:rPr>
                <w:color w:val="000000" w:themeColor="text1"/>
                <w:sz w:val="16"/>
                <w:szCs w:val="16"/>
              </w:rPr>
            </w:pPr>
          </w:p>
        </w:tc>
        <w:tc>
          <w:tcPr>
            <w:tcW w:w="1417" w:type="dxa"/>
          </w:tcPr>
          <w:p w14:paraId="6B3DDB28" w14:textId="77777777" w:rsidR="00AE7191" w:rsidRPr="00722885" w:rsidRDefault="00AE7191" w:rsidP="00722885">
            <w:pPr>
              <w:pStyle w:val="Iauiue"/>
              <w:jc w:val="both"/>
              <w:rPr>
                <w:color w:val="000000" w:themeColor="text1"/>
                <w:sz w:val="16"/>
                <w:szCs w:val="16"/>
              </w:rPr>
            </w:pPr>
          </w:p>
        </w:tc>
        <w:tc>
          <w:tcPr>
            <w:tcW w:w="1559" w:type="dxa"/>
          </w:tcPr>
          <w:p w14:paraId="3F0D6F2A" w14:textId="77777777" w:rsidR="00AE7191" w:rsidRPr="00722885" w:rsidRDefault="00AE7191" w:rsidP="00722885">
            <w:pPr>
              <w:pStyle w:val="Iauiue"/>
              <w:jc w:val="both"/>
              <w:rPr>
                <w:color w:val="000000" w:themeColor="text1"/>
                <w:sz w:val="16"/>
                <w:szCs w:val="16"/>
              </w:rPr>
            </w:pPr>
          </w:p>
        </w:tc>
        <w:tc>
          <w:tcPr>
            <w:tcW w:w="1420" w:type="dxa"/>
          </w:tcPr>
          <w:p w14:paraId="016E6B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 кг</w:t>
            </w:r>
          </w:p>
        </w:tc>
      </w:tr>
      <w:tr w:rsidR="009B487A" w:rsidRPr="00722885" w14:paraId="19FC5F9C" w14:textId="77777777" w:rsidTr="00CC5360">
        <w:tc>
          <w:tcPr>
            <w:tcW w:w="2093" w:type="dxa"/>
          </w:tcPr>
          <w:p w14:paraId="76C677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Мощность мотора в л.с.</w:t>
            </w:r>
          </w:p>
        </w:tc>
        <w:tc>
          <w:tcPr>
            <w:tcW w:w="1276" w:type="dxa"/>
          </w:tcPr>
          <w:p w14:paraId="36E0C655" w14:textId="77777777" w:rsidR="00AE7191" w:rsidRPr="00722885" w:rsidRDefault="00AE7191" w:rsidP="00722885">
            <w:pPr>
              <w:pStyle w:val="Iauiue"/>
              <w:jc w:val="both"/>
              <w:rPr>
                <w:color w:val="000000" w:themeColor="text1"/>
                <w:sz w:val="16"/>
                <w:szCs w:val="16"/>
              </w:rPr>
            </w:pPr>
          </w:p>
        </w:tc>
        <w:tc>
          <w:tcPr>
            <w:tcW w:w="1417" w:type="dxa"/>
          </w:tcPr>
          <w:p w14:paraId="68257FC5" w14:textId="77777777" w:rsidR="00AE7191" w:rsidRPr="00722885" w:rsidRDefault="00AE7191" w:rsidP="00722885">
            <w:pPr>
              <w:pStyle w:val="Iauiue"/>
              <w:jc w:val="both"/>
              <w:rPr>
                <w:color w:val="000000" w:themeColor="text1"/>
                <w:sz w:val="16"/>
                <w:szCs w:val="16"/>
              </w:rPr>
            </w:pPr>
          </w:p>
        </w:tc>
        <w:tc>
          <w:tcPr>
            <w:tcW w:w="1418" w:type="dxa"/>
          </w:tcPr>
          <w:p w14:paraId="01A3A10E" w14:textId="77777777" w:rsidR="00AE7191" w:rsidRPr="00722885" w:rsidRDefault="00AE7191" w:rsidP="00722885">
            <w:pPr>
              <w:pStyle w:val="Iauiue"/>
              <w:jc w:val="both"/>
              <w:rPr>
                <w:color w:val="000000" w:themeColor="text1"/>
                <w:sz w:val="16"/>
                <w:szCs w:val="16"/>
              </w:rPr>
            </w:pPr>
          </w:p>
        </w:tc>
        <w:tc>
          <w:tcPr>
            <w:tcW w:w="1417" w:type="dxa"/>
          </w:tcPr>
          <w:p w14:paraId="7D664C8E" w14:textId="77777777" w:rsidR="00AE7191" w:rsidRPr="00722885" w:rsidRDefault="00AE7191" w:rsidP="00722885">
            <w:pPr>
              <w:pStyle w:val="Iauiue"/>
              <w:jc w:val="both"/>
              <w:rPr>
                <w:color w:val="000000" w:themeColor="text1"/>
                <w:sz w:val="16"/>
                <w:szCs w:val="16"/>
              </w:rPr>
            </w:pPr>
          </w:p>
        </w:tc>
        <w:tc>
          <w:tcPr>
            <w:tcW w:w="1559" w:type="dxa"/>
          </w:tcPr>
          <w:p w14:paraId="5893E5D0" w14:textId="77777777" w:rsidR="00AE7191" w:rsidRPr="00722885" w:rsidRDefault="00AE7191" w:rsidP="00722885">
            <w:pPr>
              <w:pStyle w:val="Iauiue"/>
              <w:jc w:val="both"/>
              <w:rPr>
                <w:color w:val="000000" w:themeColor="text1"/>
                <w:sz w:val="16"/>
                <w:szCs w:val="16"/>
              </w:rPr>
            </w:pPr>
          </w:p>
        </w:tc>
        <w:tc>
          <w:tcPr>
            <w:tcW w:w="1420" w:type="dxa"/>
          </w:tcPr>
          <w:p w14:paraId="3CE4361A" w14:textId="77777777" w:rsidR="00AE7191" w:rsidRPr="00722885" w:rsidRDefault="00AE7191" w:rsidP="00722885">
            <w:pPr>
              <w:pStyle w:val="Iauiue"/>
              <w:jc w:val="both"/>
              <w:rPr>
                <w:color w:val="000000" w:themeColor="text1"/>
                <w:sz w:val="16"/>
                <w:szCs w:val="16"/>
              </w:rPr>
            </w:pPr>
          </w:p>
        </w:tc>
      </w:tr>
      <w:tr w:rsidR="009B487A" w:rsidRPr="00722885" w14:paraId="5FFD0138" w14:textId="77777777" w:rsidTr="00CC5360">
        <w:tc>
          <w:tcPr>
            <w:tcW w:w="2093" w:type="dxa"/>
          </w:tcPr>
          <w:p w14:paraId="01ECA7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 земли</w:t>
            </w:r>
          </w:p>
        </w:tc>
        <w:tc>
          <w:tcPr>
            <w:tcW w:w="1276" w:type="dxa"/>
          </w:tcPr>
          <w:p w14:paraId="6ED682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1020</w:t>
            </w:r>
          </w:p>
        </w:tc>
        <w:tc>
          <w:tcPr>
            <w:tcW w:w="1417" w:type="dxa"/>
          </w:tcPr>
          <w:p w14:paraId="3664CC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1020</w:t>
            </w:r>
          </w:p>
        </w:tc>
        <w:tc>
          <w:tcPr>
            <w:tcW w:w="1418" w:type="dxa"/>
          </w:tcPr>
          <w:p w14:paraId="53FF01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1180-1200</w:t>
            </w:r>
          </w:p>
        </w:tc>
        <w:tc>
          <w:tcPr>
            <w:tcW w:w="1417" w:type="dxa"/>
          </w:tcPr>
          <w:p w14:paraId="78F27FF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1020</w:t>
            </w:r>
          </w:p>
        </w:tc>
        <w:tc>
          <w:tcPr>
            <w:tcW w:w="1559" w:type="dxa"/>
          </w:tcPr>
          <w:p w14:paraId="0A24B5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1120</w:t>
            </w:r>
          </w:p>
        </w:tc>
        <w:tc>
          <w:tcPr>
            <w:tcW w:w="1420" w:type="dxa"/>
          </w:tcPr>
          <w:p w14:paraId="3D577A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1020</w:t>
            </w:r>
          </w:p>
        </w:tc>
      </w:tr>
      <w:tr w:rsidR="009B487A" w:rsidRPr="00722885" w14:paraId="7AFE2741" w14:textId="77777777" w:rsidTr="00CC5360">
        <w:tc>
          <w:tcPr>
            <w:tcW w:w="2093" w:type="dxa"/>
          </w:tcPr>
          <w:p w14:paraId="0824A2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высоте</w:t>
            </w:r>
          </w:p>
        </w:tc>
        <w:tc>
          <w:tcPr>
            <w:tcW w:w="1276" w:type="dxa"/>
          </w:tcPr>
          <w:p w14:paraId="00705F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1050/4000</w:t>
            </w:r>
          </w:p>
        </w:tc>
        <w:tc>
          <w:tcPr>
            <w:tcW w:w="1417" w:type="dxa"/>
          </w:tcPr>
          <w:p w14:paraId="720FF9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1050/4000</w:t>
            </w:r>
          </w:p>
        </w:tc>
        <w:tc>
          <w:tcPr>
            <w:tcW w:w="1418" w:type="dxa"/>
          </w:tcPr>
          <w:p w14:paraId="69E36E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1150/2800</w:t>
            </w:r>
          </w:p>
        </w:tc>
        <w:tc>
          <w:tcPr>
            <w:tcW w:w="1417" w:type="dxa"/>
          </w:tcPr>
          <w:p w14:paraId="551609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1050/4000</w:t>
            </w:r>
          </w:p>
        </w:tc>
        <w:tc>
          <w:tcPr>
            <w:tcW w:w="1559" w:type="dxa"/>
          </w:tcPr>
          <w:p w14:paraId="496F60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1200/6000</w:t>
            </w:r>
          </w:p>
        </w:tc>
        <w:tc>
          <w:tcPr>
            <w:tcW w:w="1420" w:type="dxa"/>
          </w:tcPr>
          <w:p w14:paraId="50E1A1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1050/4000</w:t>
            </w:r>
          </w:p>
        </w:tc>
      </w:tr>
      <w:tr w:rsidR="009B487A" w:rsidRPr="00722885" w14:paraId="2A62DFAF" w14:textId="77777777" w:rsidTr="00CC5360">
        <w:tc>
          <w:tcPr>
            <w:tcW w:w="2093" w:type="dxa"/>
          </w:tcPr>
          <w:p w14:paraId="0334F4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Нормальный полетный вес</w:t>
            </w:r>
          </w:p>
        </w:tc>
        <w:tc>
          <w:tcPr>
            <w:tcW w:w="1276" w:type="dxa"/>
          </w:tcPr>
          <w:p w14:paraId="21A056FC" w14:textId="77777777" w:rsidR="00AE7191" w:rsidRPr="00722885" w:rsidRDefault="00AE7191" w:rsidP="00722885">
            <w:pPr>
              <w:pStyle w:val="Iauiue"/>
              <w:jc w:val="both"/>
              <w:rPr>
                <w:color w:val="000000" w:themeColor="text1"/>
                <w:sz w:val="16"/>
                <w:szCs w:val="16"/>
              </w:rPr>
            </w:pPr>
          </w:p>
        </w:tc>
        <w:tc>
          <w:tcPr>
            <w:tcW w:w="1417" w:type="dxa"/>
          </w:tcPr>
          <w:p w14:paraId="1F35B45A" w14:textId="77777777" w:rsidR="00AE7191" w:rsidRPr="00722885" w:rsidRDefault="00AE7191" w:rsidP="00722885">
            <w:pPr>
              <w:pStyle w:val="Iauiue"/>
              <w:jc w:val="both"/>
              <w:rPr>
                <w:color w:val="000000" w:themeColor="text1"/>
                <w:sz w:val="16"/>
                <w:szCs w:val="16"/>
              </w:rPr>
            </w:pPr>
          </w:p>
        </w:tc>
        <w:tc>
          <w:tcPr>
            <w:tcW w:w="1418" w:type="dxa"/>
          </w:tcPr>
          <w:p w14:paraId="6A54B104" w14:textId="77777777" w:rsidR="00AE7191" w:rsidRPr="00722885" w:rsidRDefault="00AE7191" w:rsidP="00722885">
            <w:pPr>
              <w:pStyle w:val="Iauiue"/>
              <w:jc w:val="both"/>
              <w:rPr>
                <w:color w:val="000000" w:themeColor="text1"/>
                <w:sz w:val="16"/>
                <w:szCs w:val="16"/>
              </w:rPr>
            </w:pPr>
          </w:p>
        </w:tc>
        <w:tc>
          <w:tcPr>
            <w:tcW w:w="1417" w:type="dxa"/>
          </w:tcPr>
          <w:p w14:paraId="4E17DBDD" w14:textId="77777777" w:rsidR="00AE7191" w:rsidRPr="00722885" w:rsidRDefault="00AE7191" w:rsidP="00722885">
            <w:pPr>
              <w:pStyle w:val="Iauiue"/>
              <w:jc w:val="both"/>
              <w:rPr>
                <w:color w:val="000000" w:themeColor="text1"/>
                <w:sz w:val="16"/>
                <w:szCs w:val="16"/>
              </w:rPr>
            </w:pPr>
          </w:p>
        </w:tc>
        <w:tc>
          <w:tcPr>
            <w:tcW w:w="1559" w:type="dxa"/>
          </w:tcPr>
          <w:p w14:paraId="045A9F54" w14:textId="77777777" w:rsidR="00AE7191" w:rsidRPr="00722885" w:rsidRDefault="00AE7191" w:rsidP="00722885">
            <w:pPr>
              <w:pStyle w:val="Iauiue"/>
              <w:jc w:val="both"/>
              <w:rPr>
                <w:color w:val="000000" w:themeColor="text1"/>
                <w:sz w:val="16"/>
                <w:szCs w:val="16"/>
              </w:rPr>
            </w:pPr>
          </w:p>
        </w:tc>
        <w:tc>
          <w:tcPr>
            <w:tcW w:w="1420" w:type="dxa"/>
          </w:tcPr>
          <w:p w14:paraId="239F1E87" w14:textId="77777777" w:rsidR="00AE7191" w:rsidRPr="00722885" w:rsidRDefault="00AE7191" w:rsidP="00722885">
            <w:pPr>
              <w:pStyle w:val="Iauiue"/>
              <w:jc w:val="both"/>
              <w:rPr>
                <w:color w:val="000000" w:themeColor="text1"/>
                <w:sz w:val="16"/>
                <w:szCs w:val="16"/>
              </w:rPr>
            </w:pPr>
          </w:p>
        </w:tc>
      </w:tr>
      <w:tr w:rsidR="009B487A" w:rsidRPr="00722885" w14:paraId="2B723B51" w14:textId="77777777" w:rsidTr="00CC5360">
        <w:tc>
          <w:tcPr>
            <w:tcW w:w="2093" w:type="dxa"/>
          </w:tcPr>
          <w:p w14:paraId="2E2C10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кг</w:t>
            </w:r>
          </w:p>
        </w:tc>
        <w:tc>
          <w:tcPr>
            <w:tcW w:w="1276" w:type="dxa"/>
          </w:tcPr>
          <w:p w14:paraId="6B8A3C0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2951</w:t>
            </w:r>
          </w:p>
        </w:tc>
        <w:tc>
          <w:tcPr>
            <w:tcW w:w="1417" w:type="dxa"/>
          </w:tcPr>
          <w:p w14:paraId="312CF8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3042</w:t>
            </w:r>
          </w:p>
        </w:tc>
        <w:tc>
          <w:tcPr>
            <w:tcW w:w="1418" w:type="dxa"/>
          </w:tcPr>
          <w:p w14:paraId="2542AC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3042</w:t>
            </w:r>
          </w:p>
        </w:tc>
        <w:tc>
          <w:tcPr>
            <w:tcW w:w="1417" w:type="dxa"/>
          </w:tcPr>
          <w:p w14:paraId="09DA31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3280</w:t>
            </w:r>
          </w:p>
        </w:tc>
        <w:tc>
          <w:tcPr>
            <w:tcW w:w="1559" w:type="dxa"/>
          </w:tcPr>
          <w:p w14:paraId="12991A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3299</w:t>
            </w:r>
          </w:p>
        </w:tc>
        <w:tc>
          <w:tcPr>
            <w:tcW w:w="1420" w:type="dxa"/>
          </w:tcPr>
          <w:p w14:paraId="168C9D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7735</w:t>
            </w:r>
          </w:p>
        </w:tc>
      </w:tr>
      <w:tr w:rsidR="009B487A" w:rsidRPr="00722885" w14:paraId="38B1754F" w14:textId="77777777" w:rsidTr="00CC5360">
        <w:tc>
          <w:tcPr>
            <w:tcW w:w="2093" w:type="dxa"/>
          </w:tcPr>
          <w:p w14:paraId="585A57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Запас горючего в кг</w:t>
            </w:r>
          </w:p>
        </w:tc>
        <w:tc>
          <w:tcPr>
            <w:tcW w:w="1276" w:type="dxa"/>
          </w:tcPr>
          <w:p w14:paraId="1CD642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305</w:t>
            </w:r>
          </w:p>
        </w:tc>
        <w:tc>
          <w:tcPr>
            <w:tcW w:w="1417" w:type="dxa"/>
          </w:tcPr>
          <w:p w14:paraId="62C05A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305</w:t>
            </w:r>
          </w:p>
        </w:tc>
        <w:tc>
          <w:tcPr>
            <w:tcW w:w="1418" w:type="dxa"/>
          </w:tcPr>
          <w:p w14:paraId="086710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305</w:t>
            </w:r>
          </w:p>
        </w:tc>
        <w:tc>
          <w:tcPr>
            <w:tcW w:w="1417" w:type="dxa"/>
          </w:tcPr>
          <w:p w14:paraId="74EB564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340</w:t>
            </w:r>
          </w:p>
        </w:tc>
        <w:tc>
          <w:tcPr>
            <w:tcW w:w="1559" w:type="dxa"/>
          </w:tcPr>
          <w:p w14:paraId="035935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335</w:t>
            </w:r>
          </w:p>
        </w:tc>
        <w:tc>
          <w:tcPr>
            <w:tcW w:w="1420" w:type="dxa"/>
          </w:tcPr>
          <w:p w14:paraId="10556F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1335/1606 с</w:t>
            </w:r>
          </w:p>
        </w:tc>
      </w:tr>
      <w:tr w:rsidR="009B487A" w:rsidRPr="00722885" w14:paraId="45FF1AF7" w14:textId="77777777" w:rsidTr="00CC5360">
        <w:tc>
          <w:tcPr>
            <w:tcW w:w="2093" w:type="dxa"/>
          </w:tcPr>
          <w:p w14:paraId="0AEE337D" w14:textId="77777777" w:rsidR="00AE7191" w:rsidRPr="00722885" w:rsidRDefault="00AE7191" w:rsidP="00722885">
            <w:pPr>
              <w:pStyle w:val="Iauiue"/>
              <w:jc w:val="both"/>
              <w:rPr>
                <w:color w:val="000000" w:themeColor="text1"/>
                <w:sz w:val="16"/>
                <w:szCs w:val="16"/>
              </w:rPr>
            </w:pPr>
          </w:p>
        </w:tc>
        <w:tc>
          <w:tcPr>
            <w:tcW w:w="1276" w:type="dxa"/>
          </w:tcPr>
          <w:p w14:paraId="6F3A0971" w14:textId="77777777" w:rsidR="00AE7191" w:rsidRPr="00722885" w:rsidRDefault="00AE7191" w:rsidP="00722885">
            <w:pPr>
              <w:pStyle w:val="Iauiue"/>
              <w:jc w:val="both"/>
              <w:rPr>
                <w:color w:val="000000" w:themeColor="text1"/>
                <w:sz w:val="16"/>
                <w:szCs w:val="16"/>
              </w:rPr>
            </w:pPr>
          </w:p>
        </w:tc>
        <w:tc>
          <w:tcPr>
            <w:tcW w:w="1417" w:type="dxa"/>
          </w:tcPr>
          <w:p w14:paraId="20891563" w14:textId="77777777" w:rsidR="00AE7191" w:rsidRPr="00722885" w:rsidRDefault="00AE7191" w:rsidP="00722885">
            <w:pPr>
              <w:pStyle w:val="Iauiue"/>
              <w:jc w:val="both"/>
              <w:rPr>
                <w:color w:val="000000" w:themeColor="text1"/>
                <w:sz w:val="16"/>
                <w:szCs w:val="16"/>
              </w:rPr>
            </w:pPr>
          </w:p>
        </w:tc>
        <w:tc>
          <w:tcPr>
            <w:tcW w:w="1418" w:type="dxa"/>
          </w:tcPr>
          <w:p w14:paraId="460628A4" w14:textId="77777777" w:rsidR="00AE7191" w:rsidRPr="00722885" w:rsidRDefault="00AE7191" w:rsidP="00722885">
            <w:pPr>
              <w:pStyle w:val="Iauiue"/>
              <w:jc w:val="both"/>
              <w:rPr>
                <w:color w:val="000000" w:themeColor="text1"/>
                <w:sz w:val="16"/>
                <w:szCs w:val="16"/>
              </w:rPr>
            </w:pPr>
          </w:p>
        </w:tc>
        <w:tc>
          <w:tcPr>
            <w:tcW w:w="1417" w:type="dxa"/>
          </w:tcPr>
          <w:p w14:paraId="755205D3" w14:textId="77777777" w:rsidR="00AE7191" w:rsidRPr="00722885" w:rsidRDefault="00AE7191" w:rsidP="00722885">
            <w:pPr>
              <w:pStyle w:val="Iauiue"/>
              <w:jc w:val="both"/>
              <w:rPr>
                <w:color w:val="000000" w:themeColor="text1"/>
                <w:sz w:val="16"/>
                <w:szCs w:val="16"/>
              </w:rPr>
            </w:pPr>
          </w:p>
        </w:tc>
        <w:tc>
          <w:tcPr>
            <w:tcW w:w="1559" w:type="dxa"/>
          </w:tcPr>
          <w:p w14:paraId="66B65F38" w14:textId="77777777" w:rsidR="00AE7191" w:rsidRPr="00722885" w:rsidRDefault="00AE7191" w:rsidP="00722885">
            <w:pPr>
              <w:pStyle w:val="Iauiue"/>
              <w:jc w:val="both"/>
              <w:rPr>
                <w:color w:val="000000" w:themeColor="text1"/>
                <w:sz w:val="16"/>
                <w:szCs w:val="16"/>
              </w:rPr>
            </w:pPr>
          </w:p>
        </w:tc>
        <w:tc>
          <w:tcPr>
            <w:tcW w:w="1420" w:type="dxa"/>
          </w:tcPr>
          <w:p w14:paraId="7D6FD3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подвесн. б/баками</w:t>
            </w:r>
          </w:p>
        </w:tc>
      </w:tr>
      <w:tr w:rsidR="009B487A" w:rsidRPr="00722885" w14:paraId="46066984" w14:textId="77777777" w:rsidTr="00CC5360">
        <w:tc>
          <w:tcPr>
            <w:tcW w:w="2093" w:type="dxa"/>
          </w:tcPr>
          <w:p w14:paraId="66BA5F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Полетный вес в перегруз.</w:t>
            </w:r>
          </w:p>
        </w:tc>
        <w:tc>
          <w:tcPr>
            <w:tcW w:w="1276" w:type="dxa"/>
          </w:tcPr>
          <w:p w14:paraId="16F849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2951</w:t>
            </w:r>
          </w:p>
        </w:tc>
        <w:tc>
          <w:tcPr>
            <w:tcW w:w="1417" w:type="dxa"/>
          </w:tcPr>
          <w:p w14:paraId="4E3328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3100 с 6-РО</w:t>
            </w:r>
          </w:p>
        </w:tc>
        <w:tc>
          <w:tcPr>
            <w:tcW w:w="1418" w:type="dxa"/>
          </w:tcPr>
          <w:p w14:paraId="1BB485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3100 с 6-РО</w:t>
            </w:r>
          </w:p>
        </w:tc>
        <w:tc>
          <w:tcPr>
            <w:tcW w:w="1417" w:type="dxa"/>
          </w:tcPr>
          <w:p w14:paraId="7768BA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3280</w:t>
            </w:r>
          </w:p>
        </w:tc>
        <w:tc>
          <w:tcPr>
            <w:tcW w:w="1559" w:type="dxa"/>
          </w:tcPr>
          <w:p w14:paraId="07CB4AF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3499 с бомбами</w:t>
            </w:r>
          </w:p>
        </w:tc>
        <w:tc>
          <w:tcPr>
            <w:tcW w:w="1420" w:type="dxa"/>
          </w:tcPr>
          <w:p w14:paraId="1D078F0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8435</w:t>
            </w:r>
          </w:p>
        </w:tc>
      </w:tr>
      <w:tr w:rsidR="009B487A" w:rsidRPr="00722885" w14:paraId="095464CB" w14:textId="77777777" w:rsidTr="00CC5360">
        <w:tc>
          <w:tcPr>
            <w:tcW w:w="2093" w:type="dxa"/>
          </w:tcPr>
          <w:p w14:paraId="7F0AB7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варианте в кг</w:t>
            </w:r>
          </w:p>
        </w:tc>
        <w:tc>
          <w:tcPr>
            <w:tcW w:w="1276" w:type="dxa"/>
          </w:tcPr>
          <w:p w14:paraId="5929060F" w14:textId="77777777" w:rsidR="00AE7191" w:rsidRPr="00722885" w:rsidRDefault="00AE7191" w:rsidP="00722885">
            <w:pPr>
              <w:pStyle w:val="Iauiue"/>
              <w:jc w:val="both"/>
              <w:rPr>
                <w:color w:val="000000" w:themeColor="text1"/>
                <w:sz w:val="16"/>
                <w:szCs w:val="16"/>
              </w:rPr>
            </w:pPr>
          </w:p>
        </w:tc>
        <w:tc>
          <w:tcPr>
            <w:tcW w:w="1417" w:type="dxa"/>
          </w:tcPr>
          <w:p w14:paraId="15DA4BC9" w14:textId="77777777" w:rsidR="00AE7191" w:rsidRPr="00722885" w:rsidRDefault="00AE7191" w:rsidP="00722885">
            <w:pPr>
              <w:pStyle w:val="Iauiue"/>
              <w:jc w:val="both"/>
              <w:rPr>
                <w:color w:val="000000" w:themeColor="text1"/>
                <w:sz w:val="16"/>
                <w:szCs w:val="16"/>
              </w:rPr>
            </w:pPr>
          </w:p>
        </w:tc>
        <w:tc>
          <w:tcPr>
            <w:tcW w:w="1418" w:type="dxa"/>
          </w:tcPr>
          <w:p w14:paraId="729A2BCB" w14:textId="77777777" w:rsidR="00AE7191" w:rsidRPr="00722885" w:rsidRDefault="00AE7191" w:rsidP="00722885">
            <w:pPr>
              <w:pStyle w:val="Iauiue"/>
              <w:jc w:val="both"/>
              <w:rPr>
                <w:color w:val="000000" w:themeColor="text1"/>
                <w:sz w:val="16"/>
                <w:szCs w:val="16"/>
              </w:rPr>
            </w:pPr>
          </w:p>
        </w:tc>
        <w:tc>
          <w:tcPr>
            <w:tcW w:w="1417" w:type="dxa"/>
          </w:tcPr>
          <w:p w14:paraId="1F8EF96B" w14:textId="77777777" w:rsidR="00AE7191" w:rsidRPr="00722885" w:rsidRDefault="00AE7191" w:rsidP="00722885">
            <w:pPr>
              <w:pStyle w:val="Iauiue"/>
              <w:jc w:val="both"/>
              <w:rPr>
                <w:color w:val="000000" w:themeColor="text1"/>
                <w:sz w:val="16"/>
                <w:szCs w:val="16"/>
              </w:rPr>
            </w:pPr>
          </w:p>
        </w:tc>
        <w:tc>
          <w:tcPr>
            <w:tcW w:w="1559" w:type="dxa"/>
          </w:tcPr>
          <w:p w14:paraId="4B033C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 кг</w:t>
            </w:r>
          </w:p>
        </w:tc>
        <w:tc>
          <w:tcPr>
            <w:tcW w:w="1420" w:type="dxa"/>
          </w:tcPr>
          <w:p w14:paraId="562CA21F" w14:textId="77777777" w:rsidR="00AE7191" w:rsidRPr="00722885" w:rsidRDefault="00AE7191" w:rsidP="00722885">
            <w:pPr>
              <w:pStyle w:val="Iauiue"/>
              <w:jc w:val="both"/>
              <w:rPr>
                <w:color w:val="000000" w:themeColor="text1"/>
                <w:sz w:val="16"/>
                <w:szCs w:val="16"/>
              </w:rPr>
            </w:pPr>
          </w:p>
        </w:tc>
      </w:tr>
      <w:tr w:rsidR="009B487A" w:rsidRPr="00722885" w14:paraId="6FEAC63C" w14:textId="77777777" w:rsidTr="00CC5360">
        <w:tc>
          <w:tcPr>
            <w:tcW w:w="2093" w:type="dxa"/>
          </w:tcPr>
          <w:p w14:paraId="05AB77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Практический потолок в м</w:t>
            </w:r>
          </w:p>
        </w:tc>
        <w:tc>
          <w:tcPr>
            <w:tcW w:w="1276" w:type="dxa"/>
          </w:tcPr>
          <w:p w14:paraId="1E253B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9900</w:t>
            </w:r>
          </w:p>
        </w:tc>
        <w:tc>
          <w:tcPr>
            <w:tcW w:w="1417" w:type="dxa"/>
          </w:tcPr>
          <w:p w14:paraId="155E28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10000</w:t>
            </w:r>
          </w:p>
        </w:tc>
        <w:tc>
          <w:tcPr>
            <w:tcW w:w="1418" w:type="dxa"/>
          </w:tcPr>
          <w:p w14:paraId="584DC0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10000</w:t>
            </w:r>
          </w:p>
        </w:tc>
        <w:tc>
          <w:tcPr>
            <w:tcW w:w="1417" w:type="dxa"/>
          </w:tcPr>
          <w:p w14:paraId="39DE4F7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9300</w:t>
            </w:r>
          </w:p>
        </w:tc>
        <w:tc>
          <w:tcPr>
            <w:tcW w:w="1559" w:type="dxa"/>
          </w:tcPr>
          <w:p w14:paraId="209BF3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11500</w:t>
            </w:r>
          </w:p>
        </w:tc>
        <w:tc>
          <w:tcPr>
            <w:tcW w:w="1420" w:type="dxa"/>
          </w:tcPr>
          <w:p w14:paraId="19E7E2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9500</w:t>
            </w:r>
          </w:p>
        </w:tc>
      </w:tr>
      <w:tr w:rsidR="009B487A" w:rsidRPr="00722885" w14:paraId="45A1BBFB" w14:textId="77777777" w:rsidTr="00CC5360">
        <w:tc>
          <w:tcPr>
            <w:tcW w:w="2093" w:type="dxa"/>
          </w:tcPr>
          <w:p w14:paraId="1CC3E0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Время набора высоты</w:t>
            </w:r>
          </w:p>
        </w:tc>
        <w:tc>
          <w:tcPr>
            <w:tcW w:w="1276" w:type="dxa"/>
          </w:tcPr>
          <w:p w14:paraId="2189C1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6,8</w:t>
            </w:r>
          </w:p>
        </w:tc>
        <w:tc>
          <w:tcPr>
            <w:tcW w:w="1417" w:type="dxa"/>
          </w:tcPr>
          <w:p w14:paraId="3CD54F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6,5</w:t>
            </w:r>
          </w:p>
        </w:tc>
        <w:tc>
          <w:tcPr>
            <w:tcW w:w="1418" w:type="dxa"/>
          </w:tcPr>
          <w:p w14:paraId="5E51BC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5,8</w:t>
            </w:r>
          </w:p>
        </w:tc>
        <w:tc>
          <w:tcPr>
            <w:tcW w:w="1417" w:type="dxa"/>
          </w:tcPr>
          <w:p w14:paraId="00B3E3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8,6</w:t>
            </w:r>
          </w:p>
        </w:tc>
        <w:tc>
          <w:tcPr>
            <w:tcW w:w="1559" w:type="dxa"/>
          </w:tcPr>
          <w:p w14:paraId="103123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7,1</w:t>
            </w:r>
          </w:p>
        </w:tc>
        <w:tc>
          <w:tcPr>
            <w:tcW w:w="1420" w:type="dxa"/>
          </w:tcPr>
          <w:p w14:paraId="481AC2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8,5</w:t>
            </w:r>
          </w:p>
        </w:tc>
      </w:tr>
      <w:tr w:rsidR="009B487A" w:rsidRPr="00722885" w14:paraId="0AF4D54A" w14:textId="77777777" w:rsidTr="00CC5360">
        <w:tc>
          <w:tcPr>
            <w:tcW w:w="2093" w:type="dxa"/>
          </w:tcPr>
          <w:p w14:paraId="68B56F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5000 м в мин.</w:t>
            </w:r>
          </w:p>
        </w:tc>
        <w:tc>
          <w:tcPr>
            <w:tcW w:w="1276" w:type="dxa"/>
          </w:tcPr>
          <w:p w14:paraId="137F15B0" w14:textId="77777777" w:rsidR="00AE7191" w:rsidRPr="00722885" w:rsidRDefault="00AE7191" w:rsidP="00722885">
            <w:pPr>
              <w:pStyle w:val="Iauiue"/>
              <w:jc w:val="both"/>
              <w:rPr>
                <w:color w:val="000000" w:themeColor="text1"/>
                <w:sz w:val="16"/>
                <w:szCs w:val="16"/>
              </w:rPr>
            </w:pPr>
          </w:p>
        </w:tc>
        <w:tc>
          <w:tcPr>
            <w:tcW w:w="1417" w:type="dxa"/>
          </w:tcPr>
          <w:p w14:paraId="0D6FC9EC" w14:textId="77777777" w:rsidR="00AE7191" w:rsidRPr="00722885" w:rsidRDefault="00AE7191" w:rsidP="00722885">
            <w:pPr>
              <w:pStyle w:val="Iauiue"/>
              <w:jc w:val="both"/>
              <w:rPr>
                <w:color w:val="000000" w:themeColor="text1"/>
                <w:sz w:val="16"/>
                <w:szCs w:val="16"/>
              </w:rPr>
            </w:pPr>
          </w:p>
        </w:tc>
        <w:tc>
          <w:tcPr>
            <w:tcW w:w="1418" w:type="dxa"/>
          </w:tcPr>
          <w:p w14:paraId="14A21311" w14:textId="77777777" w:rsidR="00AE7191" w:rsidRPr="00722885" w:rsidRDefault="00AE7191" w:rsidP="00722885">
            <w:pPr>
              <w:pStyle w:val="Iauiue"/>
              <w:jc w:val="both"/>
              <w:rPr>
                <w:color w:val="000000" w:themeColor="text1"/>
                <w:sz w:val="16"/>
                <w:szCs w:val="16"/>
              </w:rPr>
            </w:pPr>
          </w:p>
        </w:tc>
        <w:tc>
          <w:tcPr>
            <w:tcW w:w="1417" w:type="dxa"/>
          </w:tcPr>
          <w:p w14:paraId="28C22CB9" w14:textId="77777777" w:rsidR="00AE7191" w:rsidRPr="00722885" w:rsidRDefault="00AE7191" w:rsidP="00722885">
            <w:pPr>
              <w:pStyle w:val="Iauiue"/>
              <w:jc w:val="both"/>
              <w:rPr>
                <w:color w:val="000000" w:themeColor="text1"/>
                <w:sz w:val="16"/>
                <w:szCs w:val="16"/>
              </w:rPr>
            </w:pPr>
          </w:p>
        </w:tc>
        <w:tc>
          <w:tcPr>
            <w:tcW w:w="1559" w:type="dxa"/>
          </w:tcPr>
          <w:p w14:paraId="3C3A7BDD" w14:textId="77777777" w:rsidR="00AE7191" w:rsidRPr="00722885" w:rsidRDefault="00AE7191" w:rsidP="00722885">
            <w:pPr>
              <w:pStyle w:val="Iauiue"/>
              <w:jc w:val="both"/>
              <w:rPr>
                <w:color w:val="000000" w:themeColor="text1"/>
                <w:sz w:val="16"/>
                <w:szCs w:val="16"/>
              </w:rPr>
            </w:pPr>
          </w:p>
        </w:tc>
        <w:tc>
          <w:tcPr>
            <w:tcW w:w="1420" w:type="dxa"/>
          </w:tcPr>
          <w:p w14:paraId="2AAEB224" w14:textId="77777777" w:rsidR="00AE7191" w:rsidRPr="00722885" w:rsidRDefault="00AE7191" w:rsidP="00722885">
            <w:pPr>
              <w:pStyle w:val="Iauiue"/>
              <w:jc w:val="both"/>
              <w:rPr>
                <w:color w:val="000000" w:themeColor="text1"/>
                <w:sz w:val="16"/>
                <w:szCs w:val="16"/>
              </w:rPr>
            </w:pPr>
          </w:p>
        </w:tc>
      </w:tr>
      <w:tr w:rsidR="009B487A" w:rsidRPr="00722885" w14:paraId="033FB926" w14:textId="77777777" w:rsidTr="00CC5360">
        <w:tc>
          <w:tcPr>
            <w:tcW w:w="2093" w:type="dxa"/>
          </w:tcPr>
          <w:p w14:paraId="6DA732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Вираж на высоте</w:t>
            </w:r>
          </w:p>
        </w:tc>
        <w:tc>
          <w:tcPr>
            <w:tcW w:w="1276" w:type="dxa"/>
          </w:tcPr>
          <w:p w14:paraId="42598D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20-21</w:t>
            </w:r>
          </w:p>
        </w:tc>
        <w:tc>
          <w:tcPr>
            <w:tcW w:w="1417" w:type="dxa"/>
          </w:tcPr>
          <w:p w14:paraId="00844B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21</w:t>
            </w:r>
          </w:p>
        </w:tc>
        <w:tc>
          <w:tcPr>
            <w:tcW w:w="1418" w:type="dxa"/>
          </w:tcPr>
          <w:p w14:paraId="6E4378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w:t>
            </w:r>
          </w:p>
        </w:tc>
        <w:tc>
          <w:tcPr>
            <w:tcW w:w="1417" w:type="dxa"/>
          </w:tcPr>
          <w:p w14:paraId="2D7C1AF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21</w:t>
            </w:r>
          </w:p>
        </w:tc>
        <w:tc>
          <w:tcPr>
            <w:tcW w:w="1559" w:type="dxa"/>
          </w:tcPr>
          <w:p w14:paraId="0D236A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w:t>
            </w:r>
          </w:p>
        </w:tc>
        <w:tc>
          <w:tcPr>
            <w:tcW w:w="1420" w:type="dxa"/>
          </w:tcPr>
          <w:p w14:paraId="22BB37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32 сек. на высоте</w:t>
            </w:r>
          </w:p>
        </w:tc>
      </w:tr>
      <w:tr w:rsidR="009B487A" w:rsidRPr="00722885" w14:paraId="42745419" w14:textId="77777777" w:rsidTr="00CC5360">
        <w:tc>
          <w:tcPr>
            <w:tcW w:w="2093" w:type="dxa"/>
          </w:tcPr>
          <w:p w14:paraId="3EAEA2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 м в сек.</w:t>
            </w:r>
          </w:p>
        </w:tc>
        <w:tc>
          <w:tcPr>
            <w:tcW w:w="1276" w:type="dxa"/>
          </w:tcPr>
          <w:p w14:paraId="4C9ADFBC" w14:textId="77777777" w:rsidR="00AE7191" w:rsidRPr="00722885" w:rsidRDefault="00AE7191" w:rsidP="00722885">
            <w:pPr>
              <w:pStyle w:val="Iauiue"/>
              <w:jc w:val="both"/>
              <w:rPr>
                <w:color w:val="000000" w:themeColor="text1"/>
                <w:sz w:val="16"/>
                <w:szCs w:val="16"/>
              </w:rPr>
            </w:pPr>
          </w:p>
        </w:tc>
        <w:tc>
          <w:tcPr>
            <w:tcW w:w="1417" w:type="dxa"/>
          </w:tcPr>
          <w:p w14:paraId="6C86047D" w14:textId="77777777" w:rsidR="00AE7191" w:rsidRPr="00722885" w:rsidRDefault="00AE7191" w:rsidP="00722885">
            <w:pPr>
              <w:pStyle w:val="Iauiue"/>
              <w:jc w:val="both"/>
              <w:rPr>
                <w:color w:val="000000" w:themeColor="text1"/>
                <w:sz w:val="16"/>
                <w:szCs w:val="16"/>
              </w:rPr>
            </w:pPr>
          </w:p>
        </w:tc>
        <w:tc>
          <w:tcPr>
            <w:tcW w:w="1418" w:type="dxa"/>
          </w:tcPr>
          <w:p w14:paraId="6C671D67" w14:textId="77777777" w:rsidR="00AE7191" w:rsidRPr="00722885" w:rsidRDefault="00AE7191" w:rsidP="00722885">
            <w:pPr>
              <w:pStyle w:val="Iauiue"/>
              <w:jc w:val="both"/>
              <w:rPr>
                <w:color w:val="000000" w:themeColor="text1"/>
                <w:sz w:val="16"/>
                <w:szCs w:val="16"/>
              </w:rPr>
            </w:pPr>
          </w:p>
        </w:tc>
        <w:tc>
          <w:tcPr>
            <w:tcW w:w="1417" w:type="dxa"/>
          </w:tcPr>
          <w:p w14:paraId="4ADFEB22" w14:textId="77777777" w:rsidR="00AE7191" w:rsidRPr="00722885" w:rsidRDefault="00AE7191" w:rsidP="00722885">
            <w:pPr>
              <w:pStyle w:val="Iauiue"/>
              <w:jc w:val="both"/>
              <w:rPr>
                <w:color w:val="000000" w:themeColor="text1"/>
                <w:sz w:val="16"/>
                <w:szCs w:val="16"/>
              </w:rPr>
            </w:pPr>
          </w:p>
        </w:tc>
        <w:tc>
          <w:tcPr>
            <w:tcW w:w="1559" w:type="dxa"/>
          </w:tcPr>
          <w:p w14:paraId="0B4C54CA" w14:textId="77777777" w:rsidR="00AE7191" w:rsidRPr="00722885" w:rsidRDefault="00AE7191" w:rsidP="00722885">
            <w:pPr>
              <w:pStyle w:val="Iauiue"/>
              <w:jc w:val="both"/>
              <w:rPr>
                <w:color w:val="000000" w:themeColor="text1"/>
                <w:sz w:val="16"/>
                <w:szCs w:val="16"/>
              </w:rPr>
            </w:pPr>
          </w:p>
        </w:tc>
        <w:tc>
          <w:tcPr>
            <w:tcW w:w="1420" w:type="dxa"/>
          </w:tcPr>
          <w:p w14:paraId="0A5D90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4000 м</w:t>
            </w:r>
          </w:p>
        </w:tc>
      </w:tr>
      <w:tr w:rsidR="009B487A" w:rsidRPr="00722885" w14:paraId="05BACB3C" w14:textId="77777777" w:rsidTr="00CC5360">
        <w:tc>
          <w:tcPr>
            <w:tcW w:w="2093" w:type="dxa"/>
          </w:tcPr>
          <w:p w14:paraId="03CB23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Посадочная скорость в</w:t>
            </w:r>
          </w:p>
        </w:tc>
        <w:tc>
          <w:tcPr>
            <w:tcW w:w="1276" w:type="dxa"/>
          </w:tcPr>
          <w:p w14:paraId="2315B06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141</w:t>
            </w:r>
          </w:p>
        </w:tc>
        <w:tc>
          <w:tcPr>
            <w:tcW w:w="1417" w:type="dxa"/>
          </w:tcPr>
          <w:p w14:paraId="121DA6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140</w:t>
            </w:r>
          </w:p>
        </w:tc>
        <w:tc>
          <w:tcPr>
            <w:tcW w:w="1418" w:type="dxa"/>
          </w:tcPr>
          <w:p w14:paraId="1697CD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140</w:t>
            </w:r>
          </w:p>
        </w:tc>
        <w:tc>
          <w:tcPr>
            <w:tcW w:w="1417" w:type="dxa"/>
          </w:tcPr>
          <w:p w14:paraId="58B161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143</w:t>
            </w:r>
          </w:p>
        </w:tc>
        <w:tc>
          <w:tcPr>
            <w:tcW w:w="1559" w:type="dxa"/>
          </w:tcPr>
          <w:p w14:paraId="27FF42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140</w:t>
            </w:r>
          </w:p>
        </w:tc>
        <w:tc>
          <w:tcPr>
            <w:tcW w:w="1420" w:type="dxa"/>
          </w:tcPr>
          <w:p w14:paraId="06A868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145</w:t>
            </w:r>
          </w:p>
        </w:tc>
      </w:tr>
      <w:tr w:rsidR="009B487A" w:rsidRPr="00722885" w14:paraId="393D4525" w14:textId="77777777" w:rsidTr="00CC5360">
        <w:tc>
          <w:tcPr>
            <w:tcW w:w="2093" w:type="dxa"/>
          </w:tcPr>
          <w:p w14:paraId="6A1361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км/час</w:t>
            </w:r>
          </w:p>
        </w:tc>
        <w:tc>
          <w:tcPr>
            <w:tcW w:w="1276" w:type="dxa"/>
          </w:tcPr>
          <w:p w14:paraId="04967853" w14:textId="77777777" w:rsidR="00AE7191" w:rsidRPr="00722885" w:rsidRDefault="00AE7191" w:rsidP="00722885">
            <w:pPr>
              <w:pStyle w:val="Iauiue"/>
              <w:jc w:val="both"/>
              <w:rPr>
                <w:color w:val="000000" w:themeColor="text1"/>
                <w:sz w:val="16"/>
                <w:szCs w:val="16"/>
              </w:rPr>
            </w:pPr>
          </w:p>
        </w:tc>
        <w:tc>
          <w:tcPr>
            <w:tcW w:w="1417" w:type="dxa"/>
          </w:tcPr>
          <w:p w14:paraId="1B92B928" w14:textId="77777777" w:rsidR="00AE7191" w:rsidRPr="00722885" w:rsidRDefault="00AE7191" w:rsidP="00722885">
            <w:pPr>
              <w:pStyle w:val="Iauiue"/>
              <w:jc w:val="both"/>
              <w:rPr>
                <w:color w:val="000000" w:themeColor="text1"/>
                <w:sz w:val="16"/>
                <w:szCs w:val="16"/>
              </w:rPr>
            </w:pPr>
          </w:p>
        </w:tc>
        <w:tc>
          <w:tcPr>
            <w:tcW w:w="1418" w:type="dxa"/>
          </w:tcPr>
          <w:p w14:paraId="66D6056D" w14:textId="77777777" w:rsidR="00AE7191" w:rsidRPr="00722885" w:rsidRDefault="00AE7191" w:rsidP="00722885">
            <w:pPr>
              <w:pStyle w:val="Iauiue"/>
              <w:jc w:val="both"/>
              <w:rPr>
                <w:color w:val="000000" w:themeColor="text1"/>
                <w:sz w:val="16"/>
                <w:szCs w:val="16"/>
              </w:rPr>
            </w:pPr>
          </w:p>
        </w:tc>
        <w:tc>
          <w:tcPr>
            <w:tcW w:w="1417" w:type="dxa"/>
          </w:tcPr>
          <w:p w14:paraId="3B9B14E5" w14:textId="77777777" w:rsidR="00AE7191" w:rsidRPr="00722885" w:rsidRDefault="00AE7191" w:rsidP="00722885">
            <w:pPr>
              <w:pStyle w:val="Iauiue"/>
              <w:jc w:val="both"/>
              <w:rPr>
                <w:color w:val="000000" w:themeColor="text1"/>
                <w:sz w:val="16"/>
                <w:szCs w:val="16"/>
              </w:rPr>
            </w:pPr>
          </w:p>
        </w:tc>
        <w:tc>
          <w:tcPr>
            <w:tcW w:w="1559" w:type="dxa"/>
          </w:tcPr>
          <w:p w14:paraId="477D570E" w14:textId="77777777" w:rsidR="00AE7191" w:rsidRPr="00722885" w:rsidRDefault="00AE7191" w:rsidP="00722885">
            <w:pPr>
              <w:pStyle w:val="Iauiue"/>
              <w:jc w:val="both"/>
              <w:rPr>
                <w:color w:val="000000" w:themeColor="text1"/>
                <w:sz w:val="16"/>
                <w:szCs w:val="16"/>
              </w:rPr>
            </w:pPr>
          </w:p>
        </w:tc>
        <w:tc>
          <w:tcPr>
            <w:tcW w:w="1420" w:type="dxa"/>
          </w:tcPr>
          <w:p w14:paraId="2E8180F7" w14:textId="77777777" w:rsidR="00AE7191" w:rsidRPr="00722885" w:rsidRDefault="00AE7191" w:rsidP="00722885">
            <w:pPr>
              <w:pStyle w:val="Iauiue"/>
              <w:jc w:val="both"/>
              <w:rPr>
                <w:color w:val="000000" w:themeColor="text1"/>
                <w:sz w:val="16"/>
                <w:szCs w:val="16"/>
              </w:rPr>
            </w:pPr>
          </w:p>
        </w:tc>
      </w:tr>
      <w:tr w:rsidR="009B487A" w:rsidRPr="00722885" w14:paraId="2C716E0F" w14:textId="77777777" w:rsidTr="00CC5360">
        <w:tc>
          <w:tcPr>
            <w:tcW w:w="2093" w:type="dxa"/>
          </w:tcPr>
          <w:p w14:paraId="7E9265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Длина разбега в м</w:t>
            </w:r>
          </w:p>
        </w:tc>
        <w:tc>
          <w:tcPr>
            <w:tcW w:w="1276" w:type="dxa"/>
          </w:tcPr>
          <w:p w14:paraId="515AF6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365</w:t>
            </w:r>
          </w:p>
        </w:tc>
        <w:tc>
          <w:tcPr>
            <w:tcW w:w="1417" w:type="dxa"/>
          </w:tcPr>
          <w:p w14:paraId="29A1FD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340</w:t>
            </w:r>
          </w:p>
        </w:tc>
        <w:tc>
          <w:tcPr>
            <w:tcW w:w="1418" w:type="dxa"/>
          </w:tcPr>
          <w:p w14:paraId="46840E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1417" w:type="dxa"/>
          </w:tcPr>
          <w:p w14:paraId="532C03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460</w:t>
            </w:r>
          </w:p>
        </w:tc>
        <w:tc>
          <w:tcPr>
            <w:tcW w:w="1559" w:type="dxa"/>
          </w:tcPr>
          <w:p w14:paraId="5A9169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398</w:t>
            </w:r>
          </w:p>
        </w:tc>
        <w:tc>
          <w:tcPr>
            <w:tcW w:w="1420" w:type="dxa"/>
          </w:tcPr>
          <w:p w14:paraId="17838A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443</w:t>
            </w:r>
          </w:p>
        </w:tc>
      </w:tr>
      <w:tr w:rsidR="009B487A" w:rsidRPr="00722885" w14:paraId="4474EF8E" w14:textId="77777777" w:rsidTr="00CC5360">
        <w:tc>
          <w:tcPr>
            <w:tcW w:w="2093" w:type="dxa"/>
          </w:tcPr>
          <w:p w14:paraId="169812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Длина пробега в м</w:t>
            </w:r>
          </w:p>
        </w:tc>
        <w:tc>
          <w:tcPr>
            <w:tcW w:w="1276" w:type="dxa"/>
          </w:tcPr>
          <w:p w14:paraId="62FC96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520</w:t>
            </w:r>
          </w:p>
        </w:tc>
        <w:tc>
          <w:tcPr>
            <w:tcW w:w="1417" w:type="dxa"/>
          </w:tcPr>
          <w:p w14:paraId="0F2BE7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540</w:t>
            </w:r>
          </w:p>
        </w:tc>
        <w:tc>
          <w:tcPr>
            <w:tcW w:w="1418" w:type="dxa"/>
          </w:tcPr>
          <w:p w14:paraId="22693F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1417" w:type="dxa"/>
          </w:tcPr>
          <w:p w14:paraId="3ABF88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459</w:t>
            </w:r>
          </w:p>
        </w:tc>
        <w:tc>
          <w:tcPr>
            <w:tcW w:w="1559" w:type="dxa"/>
          </w:tcPr>
          <w:p w14:paraId="60D662F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455</w:t>
            </w:r>
          </w:p>
        </w:tc>
        <w:tc>
          <w:tcPr>
            <w:tcW w:w="1420" w:type="dxa"/>
          </w:tcPr>
          <w:p w14:paraId="1B9F2C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w:t>
            </w:r>
          </w:p>
        </w:tc>
      </w:tr>
      <w:tr w:rsidR="009B487A" w:rsidRPr="00722885" w14:paraId="6DE824CD" w14:textId="77777777" w:rsidTr="00CC5360">
        <w:tc>
          <w:tcPr>
            <w:tcW w:w="2093" w:type="dxa"/>
          </w:tcPr>
          <w:p w14:paraId="5516EE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Нагрузка на кв. метр</w:t>
            </w:r>
          </w:p>
        </w:tc>
        <w:tc>
          <w:tcPr>
            <w:tcW w:w="1276" w:type="dxa"/>
          </w:tcPr>
          <w:p w14:paraId="6BC015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171</w:t>
            </w:r>
          </w:p>
        </w:tc>
        <w:tc>
          <w:tcPr>
            <w:tcW w:w="1417" w:type="dxa"/>
          </w:tcPr>
          <w:p w14:paraId="431404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178</w:t>
            </w:r>
          </w:p>
        </w:tc>
        <w:tc>
          <w:tcPr>
            <w:tcW w:w="1418" w:type="dxa"/>
          </w:tcPr>
          <w:p w14:paraId="71FA79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178</w:t>
            </w:r>
          </w:p>
        </w:tc>
        <w:tc>
          <w:tcPr>
            <w:tcW w:w="1417" w:type="dxa"/>
          </w:tcPr>
          <w:p w14:paraId="31079A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188</w:t>
            </w:r>
          </w:p>
        </w:tc>
        <w:tc>
          <w:tcPr>
            <w:tcW w:w="1559" w:type="dxa"/>
          </w:tcPr>
          <w:p w14:paraId="0BB745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188,5</w:t>
            </w:r>
          </w:p>
        </w:tc>
        <w:tc>
          <w:tcPr>
            <w:tcW w:w="1420" w:type="dxa"/>
          </w:tcPr>
          <w:p w14:paraId="10F6FA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189</w:t>
            </w:r>
          </w:p>
        </w:tc>
      </w:tr>
      <w:tr w:rsidR="009B487A" w:rsidRPr="00722885" w14:paraId="107DEE1A" w14:textId="77777777" w:rsidTr="00CC5360">
        <w:tc>
          <w:tcPr>
            <w:tcW w:w="2093" w:type="dxa"/>
          </w:tcPr>
          <w:p w14:paraId="7DD8BC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крыла при норм. </w:t>
            </w:r>
          </w:p>
        </w:tc>
        <w:tc>
          <w:tcPr>
            <w:tcW w:w="1276" w:type="dxa"/>
          </w:tcPr>
          <w:p w14:paraId="7ED255CE" w14:textId="77777777" w:rsidR="00AE7191" w:rsidRPr="00722885" w:rsidRDefault="00AE7191" w:rsidP="00722885">
            <w:pPr>
              <w:pStyle w:val="Iauiue"/>
              <w:jc w:val="both"/>
              <w:rPr>
                <w:color w:val="000000" w:themeColor="text1"/>
                <w:sz w:val="16"/>
                <w:szCs w:val="16"/>
              </w:rPr>
            </w:pPr>
          </w:p>
        </w:tc>
        <w:tc>
          <w:tcPr>
            <w:tcW w:w="1417" w:type="dxa"/>
          </w:tcPr>
          <w:p w14:paraId="6632B2D9" w14:textId="77777777" w:rsidR="00AE7191" w:rsidRPr="00722885" w:rsidRDefault="00AE7191" w:rsidP="00722885">
            <w:pPr>
              <w:pStyle w:val="Iauiue"/>
              <w:jc w:val="both"/>
              <w:rPr>
                <w:color w:val="000000" w:themeColor="text1"/>
                <w:sz w:val="16"/>
                <w:szCs w:val="16"/>
              </w:rPr>
            </w:pPr>
          </w:p>
        </w:tc>
        <w:tc>
          <w:tcPr>
            <w:tcW w:w="1418" w:type="dxa"/>
          </w:tcPr>
          <w:p w14:paraId="42042824" w14:textId="77777777" w:rsidR="00AE7191" w:rsidRPr="00722885" w:rsidRDefault="00AE7191" w:rsidP="00722885">
            <w:pPr>
              <w:pStyle w:val="Iauiue"/>
              <w:jc w:val="both"/>
              <w:rPr>
                <w:color w:val="000000" w:themeColor="text1"/>
                <w:sz w:val="16"/>
                <w:szCs w:val="16"/>
              </w:rPr>
            </w:pPr>
          </w:p>
        </w:tc>
        <w:tc>
          <w:tcPr>
            <w:tcW w:w="1417" w:type="dxa"/>
          </w:tcPr>
          <w:p w14:paraId="3484C9D7" w14:textId="77777777" w:rsidR="00AE7191" w:rsidRPr="00722885" w:rsidRDefault="00AE7191" w:rsidP="00722885">
            <w:pPr>
              <w:pStyle w:val="Iauiue"/>
              <w:jc w:val="both"/>
              <w:rPr>
                <w:color w:val="000000" w:themeColor="text1"/>
                <w:sz w:val="16"/>
                <w:szCs w:val="16"/>
              </w:rPr>
            </w:pPr>
          </w:p>
        </w:tc>
        <w:tc>
          <w:tcPr>
            <w:tcW w:w="1559" w:type="dxa"/>
          </w:tcPr>
          <w:p w14:paraId="654011FF" w14:textId="77777777" w:rsidR="00AE7191" w:rsidRPr="00722885" w:rsidRDefault="00AE7191" w:rsidP="00722885">
            <w:pPr>
              <w:pStyle w:val="Iauiue"/>
              <w:jc w:val="both"/>
              <w:rPr>
                <w:color w:val="000000" w:themeColor="text1"/>
                <w:sz w:val="16"/>
                <w:szCs w:val="16"/>
              </w:rPr>
            </w:pPr>
          </w:p>
        </w:tc>
        <w:tc>
          <w:tcPr>
            <w:tcW w:w="1420" w:type="dxa"/>
          </w:tcPr>
          <w:p w14:paraId="65FF5C1F" w14:textId="77777777" w:rsidR="00AE7191" w:rsidRPr="00722885" w:rsidRDefault="00AE7191" w:rsidP="00722885">
            <w:pPr>
              <w:pStyle w:val="Iauiue"/>
              <w:jc w:val="both"/>
              <w:rPr>
                <w:color w:val="000000" w:themeColor="text1"/>
                <w:sz w:val="16"/>
                <w:szCs w:val="16"/>
              </w:rPr>
            </w:pPr>
          </w:p>
        </w:tc>
      </w:tr>
      <w:tr w:rsidR="009B487A" w:rsidRPr="00722885" w14:paraId="3C2777B1" w14:textId="77777777" w:rsidTr="00CC5360">
        <w:tc>
          <w:tcPr>
            <w:tcW w:w="2093" w:type="dxa"/>
          </w:tcPr>
          <w:p w14:paraId="4A2410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Полетном весе в кг на</w:t>
            </w:r>
          </w:p>
        </w:tc>
        <w:tc>
          <w:tcPr>
            <w:tcW w:w="1276" w:type="dxa"/>
          </w:tcPr>
          <w:p w14:paraId="64AAE1EA" w14:textId="77777777" w:rsidR="00AE7191" w:rsidRPr="00722885" w:rsidRDefault="00AE7191" w:rsidP="00722885">
            <w:pPr>
              <w:pStyle w:val="Iauiue"/>
              <w:jc w:val="both"/>
              <w:rPr>
                <w:color w:val="000000" w:themeColor="text1"/>
                <w:sz w:val="16"/>
                <w:szCs w:val="16"/>
              </w:rPr>
            </w:pPr>
          </w:p>
        </w:tc>
        <w:tc>
          <w:tcPr>
            <w:tcW w:w="1417" w:type="dxa"/>
          </w:tcPr>
          <w:p w14:paraId="0AA9AB39" w14:textId="77777777" w:rsidR="00AE7191" w:rsidRPr="00722885" w:rsidRDefault="00AE7191" w:rsidP="00722885">
            <w:pPr>
              <w:pStyle w:val="Iauiue"/>
              <w:jc w:val="both"/>
              <w:rPr>
                <w:color w:val="000000" w:themeColor="text1"/>
                <w:sz w:val="16"/>
                <w:szCs w:val="16"/>
              </w:rPr>
            </w:pPr>
          </w:p>
        </w:tc>
        <w:tc>
          <w:tcPr>
            <w:tcW w:w="1418" w:type="dxa"/>
          </w:tcPr>
          <w:p w14:paraId="2A1A5BB0" w14:textId="77777777" w:rsidR="00AE7191" w:rsidRPr="00722885" w:rsidRDefault="00AE7191" w:rsidP="00722885">
            <w:pPr>
              <w:pStyle w:val="Iauiue"/>
              <w:jc w:val="both"/>
              <w:rPr>
                <w:color w:val="000000" w:themeColor="text1"/>
                <w:sz w:val="16"/>
                <w:szCs w:val="16"/>
              </w:rPr>
            </w:pPr>
          </w:p>
        </w:tc>
        <w:tc>
          <w:tcPr>
            <w:tcW w:w="1417" w:type="dxa"/>
          </w:tcPr>
          <w:p w14:paraId="503C2855" w14:textId="77777777" w:rsidR="00AE7191" w:rsidRPr="00722885" w:rsidRDefault="00AE7191" w:rsidP="00722885">
            <w:pPr>
              <w:pStyle w:val="Iauiue"/>
              <w:jc w:val="both"/>
              <w:rPr>
                <w:color w:val="000000" w:themeColor="text1"/>
                <w:sz w:val="16"/>
                <w:szCs w:val="16"/>
              </w:rPr>
            </w:pPr>
          </w:p>
        </w:tc>
        <w:tc>
          <w:tcPr>
            <w:tcW w:w="1559" w:type="dxa"/>
          </w:tcPr>
          <w:p w14:paraId="2EE423F7" w14:textId="77777777" w:rsidR="00AE7191" w:rsidRPr="00722885" w:rsidRDefault="00AE7191" w:rsidP="00722885">
            <w:pPr>
              <w:pStyle w:val="Iauiue"/>
              <w:jc w:val="both"/>
              <w:rPr>
                <w:color w:val="000000" w:themeColor="text1"/>
                <w:sz w:val="16"/>
                <w:szCs w:val="16"/>
              </w:rPr>
            </w:pPr>
          </w:p>
        </w:tc>
        <w:tc>
          <w:tcPr>
            <w:tcW w:w="1420" w:type="dxa"/>
          </w:tcPr>
          <w:p w14:paraId="01448178" w14:textId="77777777" w:rsidR="00AE7191" w:rsidRPr="00722885" w:rsidRDefault="00AE7191" w:rsidP="00722885">
            <w:pPr>
              <w:pStyle w:val="Iauiue"/>
              <w:jc w:val="both"/>
              <w:rPr>
                <w:color w:val="000000" w:themeColor="text1"/>
                <w:sz w:val="16"/>
                <w:szCs w:val="16"/>
              </w:rPr>
            </w:pPr>
          </w:p>
        </w:tc>
      </w:tr>
      <w:tr w:rsidR="009B487A" w:rsidRPr="00722885" w14:paraId="34B1719C" w14:textId="77777777" w:rsidTr="00CC5360">
        <w:tc>
          <w:tcPr>
            <w:tcW w:w="2093" w:type="dxa"/>
            <w:tcBorders>
              <w:bottom w:val="single" w:sz="12" w:space="0" w:color="auto"/>
            </w:tcBorders>
          </w:tcPr>
          <w:p w14:paraId="512783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кв. м (1684,119)</w:t>
            </w:r>
          </w:p>
        </w:tc>
        <w:tc>
          <w:tcPr>
            <w:tcW w:w="1276" w:type="dxa"/>
            <w:tcBorders>
              <w:bottom w:val="single" w:sz="12" w:space="0" w:color="auto"/>
            </w:tcBorders>
          </w:tcPr>
          <w:p w14:paraId="73E85A35" w14:textId="77777777" w:rsidR="00AE7191" w:rsidRPr="00722885" w:rsidRDefault="00AE7191" w:rsidP="00722885">
            <w:pPr>
              <w:pStyle w:val="Iauiue"/>
              <w:jc w:val="both"/>
              <w:rPr>
                <w:color w:val="000000" w:themeColor="text1"/>
                <w:sz w:val="16"/>
                <w:szCs w:val="16"/>
              </w:rPr>
            </w:pPr>
          </w:p>
        </w:tc>
        <w:tc>
          <w:tcPr>
            <w:tcW w:w="1417" w:type="dxa"/>
            <w:tcBorders>
              <w:bottom w:val="single" w:sz="12" w:space="0" w:color="auto"/>
            </w:tcBorders>
          </w:tcPr>
          <w:p w14:paraId="33D99D03" w14:textId="77777777" w:rsidR="00AE7191" w:rsidRPr="00722885" w:rsidRDefault="00AE7191" w:rsidP="00722885">
            <w:pPr>
              <w:pStyle w:val="Iauiue"/>
              <w:jc w:val="both"/>
              <w:rPr>
                <w:color w:val="000000" w:themeColor="text1"/>
                <w:sz w:val="16"/>
                <w:szCs w:val="16"/>
              </w:rPr>
            </w:pPr>
          </w:p>
        </w:tc>
        <w:tc>
          <w:tcPr>
            <w:tcW w:w="1418" w:type="dxa"/>
            <w:tcBorders>
              <w:bottom w:val="single" w:sz="12" w:space="0" w:color="auto"/>
            </w:tcBorders>
          </w:tcPr>
          <w:p w14:paraId="3E695C60" w14:textId="77777777" w:rsidR="00AE7191" w:rsidRPr="00722885" w:rsidRDefault="00AE7191" w:rsidP="00722885">
            <w:pPr>
              <w:pStyle w:val="Iauiue"/>
              <w:jc w:val="both"/>
              <w:rPr>
                <w:color w:val="000000" w:themeColor="text1"/>
                <w:sz w:val="16"/>
                <w:szCs w:val="16"/>
              </w:rPr>
            </w:pPr>
          </w:p>
        </w:tc>
        <w:tc>
          <w:tcPr>
            <w:tcW w:w="1417" w:type="dxa"/>
            <w:tcBorders>
              <w:bottom w:val="single" w:sz="12" w:space="0" w:color="auto"/>
            </w:tcBorders>
          </w:tcPr>
          <w:p w14:paraId="6B099202" w14:textId="77777777" w:rsidR="00AE7191" w:rsidRPr="00722885" w:rsidRDefault="00AE7191" w:rsidP="00722885">
            <w:pPr>
              <w:pStyle w:val="Iauiue"/>
              <w:jc w:val="both"/>
              <w:rPr>
                <w:color w:val="000000" w:themeColor="text1"/>
                <w:sz w:val="16"/>
                <w:szCs w:val="16"/>
              </w:rPr>
            </w:pPr>
          </w:p>
        </w:tc>
        <w:tc>
          <w:tcPr>
            <w:tcW w:w="1559" w:type="dxa"/>
            <w:tcBorders>
              <w:bottom w:val="single" w:sz="12" w:space="0" w:color="auto"/>
            </w:tcBorders>
          </w:tcPr>
          <w:p w14:paraId="69334D56" w14:textId="77777777" w:rsidR="00AE7191" w:rsidRPr="00722885" w:rsidRDefault="00AE7191" w:rsidP="00722885">
            <w:pPr>
              <w:pStyle w:val="Iauiue"/>
              <w:jc w:val="both"/>
              <w:rPr>
                <w:color w:val="000000" w:themeColor="text1"/>
                <w:sz w:val="16"/>
                <w:szCs w:val="16"/>
              </w:rPr>
            </w:pPr>
          </w:p>
        </w:tc>
        <w:tc>
          <w:tcPr>
            <w:tcW w:w="1420" w:type="dxa"/>
            <w:tcBorders>
              <w:bottom w:val="single" w:sz="12" w:space="0" w:color="auto"/>
            </w:tcBorders>
          </w:tcPr>
          <w:p w14:paraId="702ACAC2" w14:textId="77777777" w:rsidR="00AE7191" w:rsidRPr="00722885" w:rsidRDefault="00AE7191" w:rsidP="00722885">
            <w:pPr>
              <w:pStyle w:val="Iauiue"/>
              <w:jc w:val="both"/>
              <w:rPr>
                <w:color w:val="000000" w:themeColor="text1"/>
                <w:sz w:val="16"/>
                <w:szCs w:val="16"/>
              </w:rPr>
            </w:pPr>
          </w:p>
        </w:tc>
      </w:tr>
    </w:tbl>
    <w:p w14:paraId="16602E56" w14:textId="77777777" w:rsidR="00AE7191" w:rsidRPr="00722885" w:rsidRDefault="00AE7191" w:rsidP="00722885">
      <w:pPr>
        <w:pStyle w:val="Iauiue"/>
        <w:jc w:val="both"/>
        <w:rPr>
          <w:color w:val="000000" w:themeColor="text1"/>
          <w:sz w:val="16"/>
          <w:szCs w:val="16"/>
        </w:rPr>
      </w:pPr>
    </w:p>
    <w:p w14:paraId="02DE69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г. руководитель бригады з-да № 288 (ОТБ НКВД) Д.Л.Томашевич и директор завода направили Начальнику управления опытного строительства ВВС Лешукову предложение о постройке противотанкового самолета “Пегас” и альбом “Эскизный проект самолета противотанковой воздушной армии”.</w:t>
      </w:r>
    </w:p>
    <w:p w14:paraId="298A6E7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Идея самолета - одноместный самолет для уничтожения танков и мобильных войск противника, простой и дешевый в производстве, не требующий высокой квалификации летчика, максимально обеспечивающий эффективность выполнения боевых задач и защищенность летчика и самолета от ружейно-пулеметного огня противника.</w:t>
      </w:r>
    </w:p>
    <w:p w14:paraId="3EBCB5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был легкого типа с двумя моторами М-11Ф с винтами от самолета У-2, деревянной конструкции. Для удешевления на самолете отсутствовали электро- и радиооборудование, гидросистема, детали, требующие сложную механическую обработку. Самолет был приспособлен к сборке на конвейере без стапелей и “выкроек” рабочими невысокой квалификации.</w:t>
      </w:r>
    </w:p>
    <w:p w14:paraId="6879D0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Простота в управлении достигались рядом мер: у летчика только ручка управления самолетом с гашеткой и по одному рычагу управления газом на каждый мотор.</w:t>
      </w:r>
    </w:p>
    <w:p w14:paraId="2447050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Рычагов управления опережением зажигания нет, так как управление опережением кинематически было сопряжено с управлением газом.</w:t>
      </w:r>
    </w:p>
    <w:p w14:paraId="53983C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Автоматические предкрылки, установленные напротив элеронов, и полукольцевые капоты над моторами должны были обеспечивать устойчивый полет без сваливания до углов атаки 20°.</w:t>
      </w:r>
    </w:p>
    <w:p w14:paraId="1258B0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Предусматривалась возможность посадки с разворотом на 180° при остановке обоих моторов на взлете с подвешенной 500-кг бомбой.</w:t>
      </w:r>
    </w:p>
    <w:p w14:paraId="6F6DF00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Летчик (в бронежилете) помещался в бронекоробке, образованной гомогенной броней спереди с толщинами от б до 13 мм, с боков - 6-8 мм, снизу - б мм, сзади 13 мм, сзади-сверху - откидной бронезаголовник летчика с толщинами брони 6-10 мм. Спереди бронестекло толщиной 64 мм. Имелось зеркало для обзора назад. Летчик в бронежилете.</w:t>
      </w:r>
    </w:p>
    <w:p w14:paraId="679DE4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Каждый мотор питался от своего бензобака, расположенного за мотогондолой. При загорании бак сбрасывался и мотор переходил на питание от бронированного бензобака. При этом запаса топлива хватало на 30 минут полета.</w:t>
      </w:r>
    </w:p>
    <w:p w14:paraId="2F4795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Схема самолета - низкоплан, конструкция деревянная с бронекапсулой в носовой части фюзеляжа. Контуры самолета образованы прямыми линиями. Фюзеляж четырехгранного сечения с плоскими стенками, заготовляемыми заранее вместе с лонжеронами и планками шпангоутов.</w:t>
      </w:r>
    </w:p>
    <w:p w14:paraId="685236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Крыло и оперение - двухлонжеронные с фанерной обшивкой. Оперение расчаленное. Шасси - одностоечное неубираемое с резиновой пластинчатой амортизацией.Управление -троссовое и проволочное.</w:t>
      </w:r>
    </w:p>
    <w:p w14:paraId="3512BD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постройки самолета применялись дешевые и недефицитные материалы: простая строительная неавиационная фанера, сосна, кровельное железо (баки), мягкая сталь разных толщин (узлы). Из дефицитных использовались только бронесталь для изготовления бронекапсулы, бронестекло и дюраль (только в капотах).</w:t>
      </w:r>
    </w:p>
    <w:p w14:paraId="2AFEA9A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Полетный вес самолета 1916-2222,22 кг. Основные размеры: площадь крыла - 22,63 м2, длина самолета - 8,764 м, размах крыла - 11,5 м.</w:t>
      </w:r>
    </w:p>
    <w:p w14:paraId="06C061C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Моторы мощностью по 150 л. с. Нагрузка на площадь крыла в пределах 84,67-98,20 кг/м2. Нагрузка на мощность - 6,39-7,40 кг/л. с.</w:t>
      </w:r>
    </w:p>
    <w:p w14:paraId="1D74333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Было построено четыре варианта. Вариант № 1 и 2 имели обзор из кабины вперед-вниз до 15°, в экземпляре № 3 - до 30°, а в варианте № 4 - до 55°.</w:t>
      </w:r>
    </w:p>
    <w:p w14:paraId="0DDE6F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Предусматривались следующие сменные варианты вооружения:</w:t>
      </w:r>
    </w:p>
    <w:p w14:paraId="2959C8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один пулемет БС (140 патронов), установленный в носу самолета, 1 бомба в 250 кг и 2 по 100 кг и одна 50-кг бомба под фюзеляжем или 5 бомб по 100 кг;</w:t>
      </w:r>
    </w:p>
    <w:p w14:paraId="746B31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один пулемет БС (140 патронов) и 2 PC-132 под фюзеляжем;</w:t>
      </w:r>
    </w:p>
    <w:p w14:paraId="4F6259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один пулемет БС (140 патронов) и 1 пушка Ш-37 калибра 37 мм (50 снарядов);</w:t>
      </w:r>
    </w:p>
    <w:p w14:paraId="0B0C3B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один пулемет БС (140 патронов) и 2 пушки ВЯ-23 калибра 23 мм (160 снарядов);</w:t>
      </w:r>
    </w:p>
    <w:p w14:paraId="6F64C5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один пулемет БС (140 патронов) и мелкие бомбы в кассетах внутри фюзеляжа;</w:t>
      </w:r>
    </w:p>
    <w:p w14:paraId="07F2D8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один пулемет БС (140 патронов) и 4 автоматических противотанковых ружья калибра 14,5 мм.</w:t>
      </w:r>
    </w:p>
    <w:p w14:paraId="0A5AD8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Бомбы фугасные или противотанковые.</w:t>
      </w:r>
    </w:p>
    <w:p w14:paraId="5A412C54"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rPr>
        <w:t xml:space="preserve">Отметим, что все указанные варианты вооружения, за исключением третьего, отчасти, четвертого и шестого, нельзя назвать противотанковыми и отвечающими назначению самолета, особенно для условий боев начала 1943 г., когда легкие танки вермахта повсеместно были вытеснены более мощными средними танками типа Pz Kpfw IV и Pz Kpfw III, а также новыми толстобронными Pz. </w:t>
      </w:r>
      <w:r w:rsidRPr="00722885">
        <w:rPr>
          <w:color w:val="000000" w:themeColor="text1"/>
          <w:sz w:val="16"/>
          <w:szCs w:val="16"/>
          <w:lang w:val="en-US"/>
        </w:rPr>
        <w:t xml:space="preserve">VI Ausf H “Tiger I”, Pz. V “Panther” Ausf D </w:t>
      </w:r>
      <w:r w:rsidRPr="00722885">
        <w:rPr>
          <w:color w:val="000000" w:themeColor="text1"/>
          <w:sz w:val="16"/>
          <w:szCs w:val="16"/>
        </w:rPr>
        <w:t>и</w:t>
      </w:r>
      <w:r w:rsidRPr="00722885">
        <w:rPr>
          <w:color w:val="000000" w:themeColor="text1"/>
          <w:sz w:val="16"/>
          <w:szCs w:val="16"/>
          <w:lang w:val="en-US"/>
        </w:rPr>
        <w:t xml:space="preserve"> Jgd Pz Tiger (P) “ELefant”.</w:t>
      </w:r>
    </w:p>
    <w:p w14:paraId="114E74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Единственными бронецелями вермахта, с которыми штурмовик Томаше-вича еще мог бы успешно бороться, были лишь легкобронированные САУ (типа “Wespe” и т.д.) и противотанковые СУ (типа “Marder-II” и “Marder-III”), созданные на базе легких танков.</w:t>
      </w:r>
    </w:p>
    <w:p w14:paraId="09E1A2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 этом, если учесть соотношение веса самолета и силы отдачи при стрельбе из пушек Ш-37 и ВЯ-23, то можно смело утверждать, что единственным более-менее приемлемым составом вооружения “Пегаса” был шестой вариант (патрон 14,5-мм противотанкового ружья обладал прекрасными бронепробивными свойствами, а сила отдачи при стрельбе могла быть в пределах допустимого).</w:t>
      </w:r>
    </w:p>
    <w:p w14:paraId="301A23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Более того, в рамках принятых весо-габаритных параметров штурмовика все попытки создать противотанковый самолет с мощным пушечным вооружением, обеспечивающим поражение средних и тяжелых танков были заранее обречены на провал, что, собственно говоря, и подтвердили последующие испытания “Пегаса” (9649).</w:t>
      </w:r>
    </w:p>
    <w:p w14:paraId="75C08816" w14:textId="77777777" w:rsidR="00AE7191" w:rsidRPr="00722885" w:rsidRDefault="00AE7191" w:rsidP="00722885">
      <w:pPr>
        <w:pStyle w:val="Iauiue"/>
        <w:jc w:val="both"/>
        <w:rPr>
          <w:color w:val="000000" w:themeColor="text1"/>
          <w:sz w:val="16"/>
          <w:szCs w:val="16"/>
        </w:rPr>
      </w:pPr>
    </w:p>
    <w:p w14:paraId="3C09F685"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31 июля 1942 г. начальник ЦКБ-29 НКВД и директор завода №288 Г.Я. Кутепов направил для рассмотрения начальнику Управления опытного строительства ГУ ИАС ВВС бри- гинженеру Г.П.Лешукову Предложение о постройке проти</w:t>
      </w:r>
      <w:r w:rsidRPr="00722885">
        <w:rPr>
          <w:rFonts w:ascii="Times New Roman" w:hAnsi="Times New Roman"/>
          <w:color w:val="0070C0"/>
          <w:sz w:val="16"/>
          <w:szCs w:val="16"/>
        </w:rPr>
        <w:softHyphen/>
        <w:t>вотанкового самолета «Пегас» и аль</w:t>
      </w:r>
      <w:r w:rsidRPr="00722885">
        <w:rPr>
          <w:rFonts w:ascii="Times New Roman" w:hAnsi="Times New Roman"/>
          <w:color w:val="0070C0"/>
          <w:sz w:val="16"/>
          <w:szCs w:val="16"/>
        </w:rPr>
        <w:softHyphen/>
        <w:t>бом «Эскизный проект самолета противо</w:t>
      </w:r>
      <w:r w:rsidRPr="00722885">
        <w:rPr>
          <w:rFonts w:ascii="Times New Roman" w:hAnsi="Times New Roman"/>
          <w:color w:val="0070C0"/>
          <w:sz w:val="16"/>
          <w:szCs w:val="16"/>
        </w:rPr>
        <w:softHyphen/>
        <w:t>танковой воздушной армии».</w:t>
      </w:r>
    </w:p>
    <w:p w14:paraId="654320E9"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Детально изучив представленные ма</w:t>
      </w:r>
      <w:r w:rsidRPr="00722885">
        <w:rPr>
          <w:rFonts w:ascii="Times New Roman" w:hAnsi="Times New Roman"/>
          <w:color w:val="0070C0"/>
          <w:sz w:val="16"/>
          <w:szCs w:val="16"/>
        </w:rPr>
        <w:softHyphen/>
        <w:t>териалы, военные специалисты достаточ</w:t>
      </w:r>
      <w:r w:rsidRPr="00722885">
        <w:rPr>
          <w:rFonts w:ascii="Times New Roman" w:hAnsi="Times New Roman"/>
          <w:color w:val="0070C0"/>
          <w:sz w:val="16"/>
          <w:szCs w:val="16"/>
        </w:rPr>
        <w:softHyphen/>
        <w:t>но объективно оценили главную особен</w:t>
      </w:r>
      <w:r w:rsidRPr="00722885">
        <w:rPr>
          <w:rFonts w:ascii="Times New Roman" w:hAnsi="Times New Roman"/>
          <w:color w:val="0070C0"/>
          <w:sz w:val="16"/>
          <w:szCs w:val="16"/>
        </w:rPr>
        <w:softHyphen/>
        <w:t>ность проекта - предельную простоту и дешевизну самолета, но вполне справед</w:t>
      </w:r>
      <w:r w:rsidRPr="00722885">
        <w:rPr>
          <w:rFonts w:ascii="Times New Roman" w:hAnsi="Times New Roman"/>
          <w:color w:val="0070C0"/>
          <w:sz w:val="16"/>
          <w:szCs w:val="16"/>
        </w:rPr>
        <w:softHyphen/>
        <w:t>ливо поставили под сомнение возмож</w:t>
      </w:r>
      <w:r w:rsidRPr="00722885">
        <w:rPr>
          <w:rFonts w:ascii="Times New Roman" w:hAnsi="Times New Roman"/>
          <w:color w:val="0070C0"/>
          <w:sz w:val="16"/>
          <w:szCs w:val="16"/>
        </w:rPr>
        <w:softHyphen/>
        <w:t>ность постройки 15000 самолетов «Пегас» в течение года. Главным образом ввиду необеспеченности заявленной програм</w:t>
      </w:r>
      <w:r w:rsidRPr="00722885">
        <w:rPr>
          <w:rFonts w:ascii="Times New Roman" w:hAnsi="Times New Roman"/>
          <w:color w:val="0070C0"/>
          <w:sz w:val="16"/>
          <w:szCs w:val="16"/>
        </w:rPr>
        <w:softHyphen/>
        <w:t>мы строительства моторами М-11, кото</w:t>
      </w:r>
      <w:r w:rsidRPr="00722885">
        <w:rPr>
          <w:rFonts w:ascii="Times New Roman" w:hAnsi="Times New Roman"/>
          <w:color w:val="0070C0"/>
          <w:sz w:val="16"/>
          <w:szCs w:val="16"/>
        </w:rPr>
        <w:softHyphen/>
        <w:t>рых необходимо было изготовить не ме</w:t>
      </w:r>
      <w:r w:rsidRPr="00722885">
        <w:rPr>
          <w:rFonts w:ascii="Times New Roman" w:hAnsi="Times New Roman"/>
          <w:color w:val="0070C0"/>
          <w:sz w:val="16"/>
          <w:szCs w:val="16"/>
        </w:rPr>
        <w:softHyphen/>
        <w:t>нее 30000 единиц, а с учетом переда</w:t>
      </w:r>
      <w:r w:rsidRPr="00722885">
        <w:rPr>
          <w:rFonts w:ascii="Times New Roman" w:hAnsi="Times New Roman"/>
          <w:color w:val="0070C0"/>
          <w:sz w:val="16"/>
          <w:szCs w:val="16"/>
        </w:rPr>
        <w:softHyphen/>
        <w:t>чи некоторого количества моторов в обо</w:t>
      </w:r>
      <w:r w:rsidRPr="00722885">
        <w:rPr>
          <w:rFonts w:ascii="Times New Roman" w:hAnsi="Times New Roman"/>
          <w:color w:val="0070C0"/>
          <w:sz w:val="16"/>
          <w:szCs w:val="16"/>
        </w:rPr>
        <w:softHyphen/>
        <w:t>ротный ремонтный фонд, и того больше. Для этого в системе НКАП требовалось создать новый мощный моторный завод, что было совершенно нереальным в усло</w:t>
      </w:r>
      <w:r w:rsidRPr="00722885">
        <w:rPr>
          <w:rFonts w:ascii="Times New Roman" w:hAnsi="Times New Roman"/>
          <w:color w:val="0070C0"/>
          <w:sz w:val="16"/>
          <w:szCs w:val="16"/>
        </w:rPr>
        <w:softHyphen/>
        <w:t>виях войны.</w:t>
      </w:r>
    </w:p>
    <w:p w14:paraId="5B526741"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Кроме того, виделись и практически непреодолимые в условиях войны труд</w:t>
      </w:r>
      <w:r w:rsidRPr="00722885">
        <w:rPr>
          <w:rFonts w:ascii="Times New Roman" w:hAnsi="Times New Roman"/>
          <w:color w:val="0070C0"/>
          <w:sz w:val="16"/>
          <w:szCs w:val="16"/>
        </w:rPr>
        <w:softHyphen/>
        <w:t>ности при формировании и боевом при</w:t>
      </w:r>
      <w:r w:rsidRPr="00722885">
        <w:rPr>
          <w:rFonts w:ascii="Times New Roman" w:hAnsi="Times New Roman"/>
          <w:color w:val="0070C0"/>
          <w:sz w:val="16"/>
          <w:szCs w:val="16"/>
        </w:rPr>
        <w:softHyphen/>
        <w:t>менении специальной противотанко</w:t>
      </w:r>
      <w:r w:rsidRPr="00722885">
        <w:rPr>
          <w:rFonts w:ascii="Times New Roman" w:hAnsi="Times New Roman"/>
          <w:color w:val="0070C0"/>
          <w:sz w:val="16"/>
          <w:szCs w:val="16"/>
        </w:rPr>
        <w:softHyphen/>
        <w:t>вой воздушной армии. Причем на пер</w:t>
      </w:r>
      <w:r w:rsidRPr="00722885">
        <w:rPr>
          <w:rFonts w:ascii="Times New Roman" w:hAnsi="Times New Roman"/>
          <w:color w:val="0070C0"/>
          <w:sz w:val="16"/>
          <w:szCs w:val="16"/>
        </w:rPr>
        <w:softHyphen/>
        <w:t>вый план выходили даже не технические и организационные проблемы, связанные с насыщением нового формирования ма</w:t>
      </w:r>
      <w:r w:rsidRPr="00722885">
        <w:rPr>
          <w:rFonts w:ascii="Times New Roman" w:hAnsi="Times New Roman"/>
          <w:color w:val="0070C0"/>
          <w:sz w:val="16"/>
          <w:szCs w:val="16"/>
        </w:rPr>
        <w:softHyphen/>
        <w:t>териальной частью и обеспечением под</w:t>
      </w:r>
      <w:r w:rsidRPr="00722885">
        <w:rPr>
          <w:rFonts w:ascii="Times New Roman" w:hAnsi="Times New Roman"/>
          <w:color w:val="0070C0"/>
          <w:sz w:val="16"/>
          <w:szCs w:val="16"/>
        </w:rPr>
        <w:softHyphen/>
        <w:t>держания такой огромной массы само</w:t>
      </w:r>
      <w:r w:rsidRPr="00722885">
        <w:rPr>
          <w:rFonts w:ascii="Times New Roman" w:hAnsi="Times New Roman"/>
          <w:color w:val="0070C0"/>
          <w:sz w:val="16"/>
          <w:szCs w:val="16"/>
        </w:rPr>
        <w:softHyphen/>
        <w:t>летов в боеготовом состоянии, а пробле</w:t>
      </w:r>
      <w:r w:rsidRPr="00722885">
        <w:rPr>
          <w:rFonts w:ascii="Times New Roman" w:hAnsi="Times New Roman"/>
          <w:color w:val="0070C0"/>
          <w:sz w:val="16"/>
          <w:szCs w:val="16"/>
        </w:rPr>
        <w:softHyphen/>
        <w:t>мы комплектования и подготовки лично</w:t>
      </w:r>
      <w:r w:rsidRPr="00722885">
        <w:rPr>
          <w:rFonts w:ascii="Times New Roman" w:hAnsi="Times New Roman"/>
          <w:color w:val="0070C0"/>
          <w:sz w:val="16"/>
          <w:szCs w:val="16"/>
        </w:rPr>
        <w:softHyphen/>
        <w:t>го состава.</w:t>
      </w:r>
    </w:p>
    <w:p w14:paraId="035015F0"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Действительно, 15000 самолетов, это при 32-самолетном составе авиаполков (штат №015/282) свыше 60000 (!) человек личного состава.</w:t>
      </w:r>
    </w:p>
    <w:p w14:paraId="32664C30"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Требовалось отобрать и обучить (хо</w:t>
      </w:r>
      <w:r w:rsidRPr="00722885">
        <w:rPr>
          <w:rFonts w:ascii="Times New Roman" w:hAnsi="Times New Roman"/>
          <w:color w:val="0070C0"/>
          <w:sz w:val="16"/>
          <w:szCs w:val="16"/>
        </w:rPr>
        <w:softHyphen/>
        <w:t>рошую стрелковую и тактическую подго</w:t>
      </w:r>
      <w:r w:rsidRPr="00722885">
        <w:rPr>
          <w:rFonts w:ascii="Times New Roman" w:hAnsi="Times New Roman"/>
          <w:color w:val="0070C0"/>
          <w:sz w:val="16"/>
          <w:szCs w:val="16"/>
        </w:rPr>
        <w:softHyphen/>
        <w:t>товку никто не отменял вне зависимости от типа самолета) не только 15000 летчи</w:t>
      </w:r>
      <w:r w:rsidRPr="00722885">
        <w:rPr>
          <w:rFonts w:ascii="Times New Roman" w:hAnsi="Times New Roman"/>
          <w:color w:val="0070C0"/>
          <w:sz w:val="16"/>
          <w:szCs w:val="16"/>
        </w:rPr>
        <w:softHyphen/>
        <w:t>ков, но и командиров полков и дивизий с опытом ведения современной воздуш</w:t>
      </w:r>
      <w:r w:rsidRPr="00722885">
        <w:rPr>
          <w:rFonts w:ascii="Times New Roman" w:hAnsi="Times New Roman"/>
          <w:color w:val="0070C0"/>
          <w:sz w:val="16"/>
          <w:szCs w:val="16"/>
        </w:rPr>
        <w:softHyphen/>
        <w:t>ной войны, а на уровне штабов ВВС, воз</w:t>
      </w:r>
      <w:r w:rsidRPr="00722885">
        <w:rPr>
          <w:rFonts w:ascii="Times New Roman" w:hAnsi="Times New Roman"/>
          <w:color w:val="0070C0"/>
          <w:sz w:val="16"/>
          <w:szCs w:val="16"/>
        </w:rPr>
        <w:softHyphen/>
        <w:t>душных армий и фронтов проработать все вопросы взаимодействия армии про</w:t>
      </w:r>
      <w:r w:rsidRPr="00722885">
        <w:rPr>
          <w:rFonts w:ascii="Times New Roman" w:hAnsi="Times New Roman"/>
          <w:color w:val="0070C0"/>
          <w:sz w:val="16"/>
          <w:szCs w:val="16"/>
        </w:rPr>
        <w:softHyphen/>
        <w:t>тивотанковых «Пегасов».</w:t>
      </w:r>
    </w:p>
    <w:p w14:paraId="1985A988"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Вызывала сомнение и заявленная в проекте высокая боевая эффективность противотанкового самолета. Дело в том, что небольшая скорость полета не только повышала вероятность поражения броне</w:t>
      </w:r>
      <w:r w:rsidRPr="00722885">
        <w:rPr>
          <w:rFonts w:ascii="Times New Roman" w:hAnsi="Times New Roman"/>
          <w:color w:val="0070C0"/>
          <w:sz w:val="16"/>
          <w:szCs w:val="16"/>
        </w:rPr>
        <w:softHyphen/>
        <w:t>техники противника, но повышала и ве</w:t>
      </w:r>
      <w:r w:rsidRPr="00722885">
        <w:rPr>
          <w:rFonts w:ascii="Times New Roman" w:hAnsi="Times New Roman"/>
          <w:color w:val="0070C0"/>
          <w:sz w:val="16"/>
          <w:szCs w:val="16"/>
        </w:rPr>
        <w:softHyphen/>
        <w:t>роятность поражения самого самолета ог</w:t>
      </w:r>
      <w:r w:rsidRPr="00722885">
        <w:rPr>
          <w:rFonts w:ascii="Times New Roman" w:hAnsi="Times New Roman"/>
          <w:color w:val="0070C0"/>
          <w:sz w:val="16"/>
          <w:szCs w:val="16"/>
        </w:rPr>
        <w:softHyphen/>
        <w:t>нем с земли. По опыту применения бо</w:t>
      </w:r>
      <w:r w:rsidRPr="00722885">
        <w:rPr>
          <w:rFonts w:ascii="Times New Roman" w:hAnsi="Times New Roman"/>
          <w:color w:val="0070C0"/>
          <w:sz w:val="16"/>
          <w:szCs w:val="16"/>
        </w:rPr>
        <w:softHyphen/>
        <w:t>лее скоростного штурмовика Ил-2 его бронекорпус с толщиной брони 6-12 мм успешно пробивался бронебойными ма</w:t>
      </w:r>
      <w:r w:rsidRPr="00722885">
        <w:rPr>
          <w:rFonts w:ascii="Times New Roman" w:hAnsi="Times New Roman"/>
          <w:color w:val="0070C0"/>
          <w:sz w:val="16"/>
          <w:szCs w:val="16"/>
        </w:rPr>
        <w:softHyphen/>
        <w:t>локалиберными снарядами и крупнока</w:t>
      </w:r>
      <w:r w:rsidRPr="00722885">
        <w:rPr>
          <w:rFonts w:ascii="Times New Roman" w:hAnsi="Times New Roman"/>
          <w:color w:val="0070C0"/>
          <w:sz w:val="16"/>
          <w:szCs w:val="16"/>
        </w:rPr>
        <w:softHyphen/>
        <w:t>либерными пулями немецких зенитных и авиационных автоматов. Между тем бро</w:t>
      </w:r>
      <w:r w:rsidRPr="00722885">
        <w:rPr>
          <w:rFonts w:ascii="Times New Roman" w:hAnsi="Times New Roman"/>
          <w:color w:val="0070C0"/>
          <w:sz w:val="16"/>
          <w:szCs w:val="16"/>
        </w:rPr>
        <w:softHyphen/>
        <w:t>нирование кабины летчика на самоле</w:t>
      </w:r>
      <w:r w:rsidRPr="00722885">
        <w:rPr>
          <w:rFonts w:ascii="Times New Roman" w:hAnsi="Times New Roman"/>
          <w:color w:val="0070C0"/>
          <w:sz w:val="16"/>
          <w:szCs w:val="16"/>
        </w:rPr>
        <w:softHyphen/>
        <w:t>те «Пегас» принципиально ненамного от</w:t>
      </w:r>
      <w:r w:rsidRPr="00722885">
        <w:rPr>
          <w:rFonts w:ascii="Times New Roman" w:hAnsi="Times New Roman"/>
          <w:color w:val="0070C0"/>
          <w:sz w:val="16"/>
          <w:szCs w:val="16"/>
        </w:rPr>
        <w:softHyphen/>
        <w:t>личалось от Ил-2. Схема бронирования и выбранные толщины брони, по мнению специалистов института, не обеспечивали надежную защиту, как от зенитного огня, так и от огня истребителей. К тому же мо</w:t>
      </w:r>
      <w:r w:rsidRPr="00722885">
        <w:rPr>
          <w:rFonts w:ascii="Times New Roman" w:hAnsi="Times New Roman"/>
          <w:color w:val="0070C0"/>
          <w:sz w:val="16"/>
          <w:szCs w:val="16"/>
        </w:rPr>
        <w:softHyphen/>
        <w:t>торы не бронировались. Протектор ос</w:t>
      </w:r>
      <w:r w:rsidRPr="00722885">
        <w:rPr>
          <w:rFonts w:ascii="Times New Roman" w:hAnsi="Times New Roman"/>
          <w:color w:val="0070C0"/>
          <w:sz w:val="16"/>
          <w:szCs w:val="16"/>
        </w:rPr>
        <w:softHyphen/>
        <w:t>новных бензобаков, система нейтральных газов и противопожарные перегородки проектом не предусматривались. В то же время сброс бензобаков не исключал по</w:t>
      </w:r>
      <w:r w:rsidRPr="00722885">
        <w:rPr>
          <w:rFonts w:ascii="Times New Roman" w:hAnsi="Times New Roman"/>
          <w:color w:val="0070C0"/>
          <w:sz w:val="16"/>
          <w:szCs w:val="16"/>
        </w:rPr>
        <w:softHyphen/>
        <w:t>жара, так как летчик может своевременно не заметить возгорания.</w:t>
      </w:r>
    </w:p>
    <w:p w14:paraId="37C57397"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Было очевидно, что в условиях ин</w:t>
      </w:r>
      <w:r w:rsidRPr="00722885">
        <w:rPr>
          <w:rFonts w:ascii="Times New Roman" w:hAnsi="Times New Roman"/>
          <w:color w:val="0070C0"/>
          <w:sz w:val="16"/>
          <w:szCs w:val="16"/>
        </w:rPr>
        <w:softHyphen/>
        <w:t>тенсивных воздушных боев (по-друго</w:t>
      </w:r>
      <w:r w:rsidRPr="00722885">
        <w:rPr>
          <w:rFonts w:ascii="Times New Roman" w:hAnsi="Times New Roman"/>
          <w:color w:val="0070C0"/>
          <w:sz w:val="16"/>
          <w:szCs w:val="16"/>
        </w:rPr>
        <w:softHyphen/>
        <w:t>му и быть не могло, так как крупные мас</w:t>
      </w:r>
      <w:r w:rsidRPr="00722885">
        <w:rPr>
          <w:rFonts w:ascii="Times New Roman" w:hAnsi="Times New Roman"/>
          <w:color w:val="0070C0"/>
          <w:sz w:val="16"/>
          <w:szCs w:val="16"/>
        </w:rPr>
        <w:softHyphen/>
        <w:t>сы танков действуют только на главном направлении удара, значит, и прикрыва</w:t>
      </w:r>
      <w:r w:rsidRPr="00722885">
        <w:rPr>
          <w:rFonts w:ascii="Times New Roman" w:hAnsi="Times New Roman"/>
          <w:color w:val="0070C0"/>
          <w:sz w:val="16"/>
          <w:szCs w:val="16"/>
        </w:rPr>
        <w:softHyphen/>
        <w:t>ются с воздуха) армады противотанковых «Пегасов» будут нести и огромные потери от огня противника. Самолет Томашевича виделся не столько полноценной проти</w:t>
      </w:r>
      <w:r w:rsidRPr="00722885">
        <w:rPr>
          <w:rFonts w:ascii="Times New Roman" w:hAnsi="Times New Roman"/>
          <w:color w:val="0070C0"/>
          <w:sz w:val="16"/>
          <w:szCs w:val="16"/>
        </w:rPr>
        <w:softHyphen/>
        <w:t>вотанковой системой, сколько одноразо</w:t>
      </w:r>
      <w:r w:rsidRPr="00722885">
        <w:rPr>
          <w:rFonts w:ascii="Times New Roman" w:hAnsi="Times New Roman"/>
          <w:color w:val="0070C0"/>
          <w:sz w:val="16"/>
          <w:szCs w:val="16"/>
        </w:rPr>
        <w:softHyphen/>
        <w:t>вой, в лучшем случае 2-3-х разовой бо</w:t>
      </w:r>
      <w:r w:rsidRPr="00722885">
        <w:rPr>
          <w:rFonts w:ascii="Times New Roman" w:hAnsi="Times New Roman"/>
          <w:color w:val="0070C0"/>
          <w:sz w:val="16"/>
          <w:szCs w:val="16"/>
        </w:rPr>
        <w:softHyphen/>
        <w:t>евой машиной. Но главное, с каждой по</w:t>
      </w:r>
      <w:r w:rsidRPr="00722885">
        <w:rPr>
          <w:rFonts w:ascii="Times New Roman" w:hAnsi="Times New Roman"/>
          <w:color w:val="0070C0"/>
          <w:sz w:val="16"/>
          <w:szCs w:val="16"/>
        </w:rPr>
        <w:softHyphen/>
        <w:t>терей «Пегаса» терялся и летный состав, в большинстве своем безвозвратно. Под</w:t>
      </w:r>
      <w:r w:rsidRPr="00722885">
        <w:rPr>
          <w:rFonts w:ascii="Times New Roman" w:hAnsi="Times New Roman"/>
          <w:color w:val="0070C0"/>
          <w:sz w:val="16"/>
          <w:szCs w:val="16"/>
        </w:rPr>
        <w:softHyphen/>
        <w:t>готовка же летчиков дело затратное и продолжительное. Собственно, именно по этой причине командование ВВС КА и Ставка ВГК не решились на создание не только специальных противотанковых дивизий, как предлагалось Оперативным управлением штаба ВВС, но даже отдель</w:t>
      </w:r>
      <w:r w:rsidRPr="00722885">
        <w:rPr>
          <w:rFonts w:ascii="Times New Roman" w:hAnsi="Times New Roman"/>
          <w:color w:val="0070C0"/>
          <w:sz w:val="16"/>
          <w:szCs w:val="16"/>
        </w:rPr>
        <w:softHyphen/>
        <w:t>ных противотанковых полков. При интен</w:t>
      </w:r>
      <w:r w:rsidRPr="00722885">
        <w:rPr>
          <w:rFonts w:ascii="Times New Roman" w:hAnsi="Times New Roman"/>
          <w:color w:val="0070C0"/>
          <w:sz w:val="16"/>
          <w:szCs w:val="16"/>
        </w:rPr>
        <w:softHyphen/>
        <w:t>сивных боях специально обученные лет</w:t>
      </w:r>
      <w:r w:rsidRPr="00722885">
        <w:rPr>
          <w:rFonts w:ascii="Times New Roman" w:hAnsi="Times New Roman"/>
          <w:color w:val="0070C0"/>
          <w:sz w:val="16"/>
          <w:szCs w:val="16"/>
        </w:rPr>
        <w:softHyphen/>
        <w:t>чики погибают «в общей свалке» также часто, как и рядовые летчики, не имею</w:t>
      </w:r>
      <w:r w:rsidRPr="00722885">
        <w:rPr>
          <w:rFonts w:ascii="Times New Roman" w:hAnsi="Times New Roman"/>
          <w:color w:val="0070C0"/>
          <w:sz w:val="16"/>
          <w:szCs w:val="16"/>
        </w:rPr>
        <w:softHyphen/>
        <w:t>щие противотанковой подготовки.</w:t>
      </w:r>
    </w:p>
    <w:p w14:paraId="2CF02FA3"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Положительной стороной самолета «Пегас» считалось применение сменных составов оружия на подвесных мостах и лафетах, что расширяло круг тактических задач, решаемых самолетом. Из числа сменных комплектов вооружения наилуч</w:t>
      </w:r>
      <w:r w:rsidRPr="00722885">
        <w:rPr>
          <w:rFonts w:ascii="Times New Roman" w:hAnsi="Times New Roman"/>
          <w:color w:val="0070C0"/>
          <w:sz w:val="16"/>
          <w:szCs w:val="16"/>
        </w:rPr>
        <w:softHyphen/>
        <w:t>шими сочли варианты с пушкой калибра 37 мм, ракетными снарядами и бомбами.</w:t>
      </w:r>
    </w:p>
    <w:p w14:paraId="15605A82"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Однако возможность использования пу</w:t>
      </w:r>
      <w:r w:rsidRPr="00722885">
        <w:rPr>
          <w:rFonts w:ascii="Times New Roman" w:hAnsi="Times New Roman"/>
          <w:color w:val="0070C0"/>
          <w:sz w:val="16"/>
          <w:szCs w:val="16"/>
        </w:rPr>
        <w:softHyphen/>
        <w:t>шек калибра 37 мм с силой отдачи поряд</w:t>
      </w:r>
      <w:r w:rsidRPr="00722885">
        <w:rPr>
          <w:rFonts w:ascii="Times New Roman" w:hAnsi="Times New Roman"/>
          <w:color w:val="0070C0"/>
          <w:sz w:val="16"/>
          <w:szCs w:val="16"/>
        </w:rPr>
        <w:softHyphen/>
        <w:t>ка 3000-5500 кг на столь легком само</w:t>
      </w:r>
      <w:r w:rsidRPr="00722885">
        <w:rPr>
          <w:rFonts w:ascii="Times New Roman" w:hAnsi="Times New Roman"/>
          <w:color w:val="0070C0"/>
          <w:sz w:val="16"/>
          <w:szCs w:val="16"/>
        </w:rPr>
        <w:softHyphen/>
        <w:t>лете требовалось проверить реальными стрельбами в воздухе. Кроме этого, под</w:t>
      </w:r>
      <w:r w:rsidRPr="00722885">
        <w:rPr>
          <w:rFonts w:ascii="Times New Roman" w:hAnsi="Times New Roman"/>
          <w:color w:val="0070C0"/>
          <w:sz w:val="16"/>
          <w:szCs w:val="16"/>
        </w:rPr>
        <w:softHyphen/>
        <w:t>вергли критике тандемное (друг за дру</w:t>
      </w:r>
      <w:r w:rsidRPr="00722885">
        <w:rPr>
          <w:rFonts w:ascii="Times New Roman" w:hAnsi="Times New Roman"/>
          <w:color w:val="0070C0"/>
          <w:sz w:val="16"/>
          <w:szCs w:val="16"/>
        </w:rPr>
        <w:softHyphen/>
        <w:t>гом по три в ряд) размещение девяти ра</w:t>
      </w:r>
      <w:r w:rsidRPr="00722885">
        <w:rPr>
          <w:rFonts w:ascii="Times New Roman" w:hAnsi="Times New Roman"/>
          <w:color w:val="0070C0"/>
          <w:sz w:val="16"/>
          <w:szCs w:val="16"/>
        </w:rPr>
        <w:softHyphen/>
        <w:t xml:space="preserve">кетных орудий. К этому времени на НИП АВ ВВС дважды проходили полигонные испытания ракетные орудия тандемного типа РОТ-82 (РО-82 тандем) по два РС-82 на каждое орудие. И оба раза неудачно: под </w:t>
      </w:r>
      <w:r w:rsidRPr="00722885">
        <w:rPr>
          <w:rFonts w:ascii="Times New Roman" w:hAnsi="Times New Roman"/>
          <w:color w:val="0070C0"/>
          <w:sz w:val="16"/>
          <w:szCs w:val="16"/>
        </w:rPr>
        <w:lastRenderedPageBreak/>
        <w:t>воздействием газовой струи передне</w:t>
      </w:r>
      <w:r w:rsidRPr="00722885">
        <w:rPr>
          <w:rFonts w:ascii="Times New Roman" w:hAnsi="Times New Roman"/>
          <w:color w:val="0070C0"/>
          <w:sz w:val="16"/>
          <w:szCs w:val="16"/>
        </w:rPr>
        <w:softHyphen/>
        <w:t>го PC в момент выстрела ветрянка взры</w:t>
      </w:r>
      <w:r w:rsidRPr="00722885">
        <w:rPr>
          <w:rFonts w:ascii="Times New Roman" w:hAnsi="Times New Roman"/>
          <w:color w:val="0070C0"/>
          <w:sz w:val="16"/>
          <w:szCs w:val="16"/>
        </w:rPr>
        <w:softHyphen/>
        <w:t>вателя заднего снаряда деформировалась или даже срывалась совсем. Установка предохранительной заслонки хотя и за</w:t>
      </w:r>
      <w:r w:rsidRPr="00722885">
        <w:rPr>
          <w:rFonts w:ascii="Times New Roman" w:hAnsi="Times New Roman"/>
          <w:color w:val="0070C0"/>
          <w:sz w:val="16"/>
          <w:szCs w:val="16"/>
        </w:rPr>
        <w:softHyphen/>
        <w:t>щищала ветрянку от газовой струи, но со</w:t>
      </w:r>
      <w:r w:rsidRPr="00722885">
        <w:rPr>
          <w:rFonts w:ascii="Times New Roman" w:hAnsi="Times New Roman"/>
          <w:color w:val="0070C0"/>
          <w:sz w:val="16"/>
          <w:szCs w:val="16"/>
        </w:rPr>
        <w:softHyphen/>
        <w:t>здавала такую большую отдачу на ракет</w:t>
      </w:r>
      <w:r w:rsidRPr="00722885">
        <w:rPr>
          <w:rFonts w:ascii="Times New Roman" w:hAnsi="Times New Roman"/>
          <w:color w:val="0070C0"/>
          <w:sz w:val="16"/>
          <w:szCs w:val="16"/>
        </w:rPr>
        <w:softHyphen/>
        <w:t>ное орудие, что штатные крепежные бол</w:t>
      </w:r>
      <w:r w:rsidRPr="00722885">
        <w:rPr>
          <w:rFonts w:ascii="Times New Roman" w:hAnsi="Times New Roman"/>
          <w:color w:val="0070C0"/>
          <w:sz w:val="16"/>
          <w:szCs w:val="16"/>
        </w:rPr>
        <w:softHyphen/>
        <w:t>ты не выдерживали нагрузки и ломались. Поэтому рекомендовалось подвеску ра</w:t>
      </w:r>
      <w:r w:rsidRPr="00722885">
        <w:rPr>
          <w:rFonts w:ascii="Times New Roman" w:hAnsi="Times New Roman"/>
          <w:color w:val="0070C0"/>
          <w:sz w:val="16"/>
          <w:szCs w:val="16"/>
        </w:rPr>
        <w:softHyphen/>
        <w:t>кетных орудий сделать в один ряд даже за счет сокращения их числа на самолете.</w:t>
      </w:r>
    </w:p>
    <w:p w14:paraId="2C7CDBFC"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Общее мнение специалистов НИИ ВВС сводилось к тому, что боевой «Пегас» «массовой противотанковой авиации» ма</w:t>
      </w:r>
      <w:r w:rsidRPr="00722885">
        <w:rPr>
          <w:rFonts w:ascii="Times New Roman" w:hAnsi="Times New Roman"/>
          <w:color w:val="0070C0"/>
          <w:sz w:val="16"/>
          <w:szCs w:val="16"/>
        </w:rPr>
        <w:softHyphen/>
        <w:t>лопригоден для применения на фронте, а идея создания противотанковой армии такой численности находится за гранью разумного риска. В то же время, учиты</w:t>
      </w:r>
      <w:r w:rsidRPr="00722885">
        <w:rPr>
          <w:rFonts w:ascii="Times New Roman" w:hAnsi="Times New Roman"/>
          <w:color w:val="0070C0"/>
          <w:sz w:val="16"/>
          <w:szCs w:val="16"/>
        </w:rPr>
        <w:softHyphen/>
        <w:t>вая известную заинтересованность в про</w:t>
      </w:r>
      <w:r w:rsidRPr="00722885">
        <w:rPr>
          <w:rFonts w:ascii="Times New Roman" w:hAnsi="Times New Roman"/>
          <w:color w:val="0070C0"/>
          <w:sz w:val="16"/>
          <w:szCs w:val="16"/>
        </w:rPr>
        <w:softHyphen/>
        <w:t>движении самолета «Пегас» руководст</w:t>
      </w:r>
      <w:r w:rsidRPr="00722885">
        <w:rPr>
          <w:rFonts w:ascii="Times New Roman" w:hAnsi="Times New Roman"/>
          <w:color w:val="0070C0"/>
          <w:sz w:val="16"/>
          <w:szCs w:val="16"/>
        </w:rPr>
        <w:softHyphen/>
        <w:t>ва НКВД, приходилось быть предельно острожными. В официальном заключении по материалам ЦКБ-29 отмечалось, что самолет Томашевича представляет инте</w:t>
      </w:r>
      <w:r w:rsidRPr="00722885">
        <w:rPr>
          <w:rFonts w:ascii="Times New Roman" w:hAnsi="Times New Roman"/>
          <w:color w:val="0070C0"/>
          <w:sz w:val="16"/>
          <w:szCs w:val="16"/>
        </w:rPr>
        <w:softHyphen/>
        <w:t>рес для ВВС КА, но «вопрос о развертыва</w:t>
      </w:r>
      <w:r w:rsidRPr="00722885">
        <w:rPr>
          <w:rFonts w:ascii="Times New Roman" w:hAnsi="Times New Roman"/>
          <w:color w:val="0070C0"/>
          <w:sz w:val="16"/>
          <w:szCs w:val="16"/>
        </w:rPr>
        <w:softHyphen/>
        <w:t>нии работ по массовой постройке» жест</w:t>
      </w:r>
      <w:r w:rsidRPr="00722885">
        <w:rPr>
          <w:rFonts w:ascii="Times New Roman" w:hAnsi="Times New Roman"/>
          <w:color w:val="0070C0"/>
          <w:sz w:val="16"/>
          <w:szCs w:val="16"/>
        </w:rPr>
        <w:softHyphen/>
        <w:t>ко увязывался с результатами проверки тактических и летных свойств, вопросов живучести и отработки вооружения пяти опытных «Пегасов».</w:t>
      </w:r>
    </w:p>
    <w:p w14:paraId="4D101336"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Официального заказа ВВС на постройку даже опытных самолетов «Пегас» в НКАП так и не последовало (23181).</w:t>
      </w:r>
    </w:p>
    <w:p w14:paraId="7CBDCF16" w14:textId="77777777" w:rsidR="00291E17" w:rsidRPr="00722885" w:rsidRDefault="00291E17" w:rsidP="00722885">
      <w:pPr>
        <w:shd w:val="clear" w:color="auto" w:fill="FFFFFF"/>
        <w:spacing w:after="0" w:line="240" w:lineRule="auto"/>
        <w:jc w:val="both"/>
        <w:rPr>
          <w:rFonts w:ascii="Times New Roman" w:hAnsi="Times New Roman"/>
          <w:color w:val="0070C0"/>
          <w:sz w:val="16"/>
          <w:szCs w:val="16"/>
        </w:rPr>
      </w:pPr>
    </w:p>
    <w:p w14:paraId="76319B51"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июля 1942 г. начальник ЦКБ-29 и директор завода № 288 полковник НКВД Г.Я. Кутепов направил для рассмотрения начальника Управления опытного строительства ГУ ИАС ВВС бригинженеру Григорию Петровичу Лешукову Предложение о постройке противотанкового самолёта «Пегас» и альбом «Эскизный проект самолёта противотанковой воздушной армии».</w:t>
      </w:r>
    </w:p>
    <w:p w14:paraId="68205ED8"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замыслу Томашевича самолёт для противотанковой воздушной армии должен быть номестным, простым и недорогим в изготовлении и эксплуатации, не требовать высокой злификации летного состава, но при этом, что важно, оснащаться мощным пушечным и бомбовым вооружением и обеспечивать защиту лётчика в бою от крупнокалиберных пул и 20-мм снарядов.</w:t>
      </w:r>
    </w:p>
    <w:p w14:paraId="3CE37E61" w14:textId="77777777" w:rsidR="00326FD0" w:rsidRPr="00722885" w:rsidRDefault="00326FD0" w:rsidP="00722885">
      <w:pPr>
        <w:pStyle w:val="80"/>
        <w:shd w:val="clear" w:color="auto" w:fill="auto"/>
        <w:spacing w:line="240" w:lineRule="auto"/>
        <w:jc w:val="both"/>
        <w:rPr>
          <w:rFonts w:ascii="Times New Roman" w:hAnsi="Times New Roman" w:cs="Times New Roman"/>
          <w:color w:val="000000" w:themeColor="text1"/>
        </w:rPr>
      </w:pPr>
      <w:r w:rsidRPr="00722885">
        <w:rPr>
          <w:rFonts w:ascii="Times New Roman" w:hAnsi="Times New Roman" w:cs="Times New Roman"/>
          <w:color w:val="000000" w:themeColor="text1"/>
        </w:rPr>
        <w:t xml:space="preserve">Противотанковый самолёт предназначался исключительно только для «уничтожения тан ков и мобильных войск». Соответственно этому, из конструкции исключалось всё, что напря </w:t>
      </w:r>
      <w:r w:rsidRPr="00722885">
        <w:rPr>
          <w:rStyle w:val="885pt"/>
          <w:rFonts w:ascii="Times New Roman" w:hAnsi="Times New Roman" w:cs="Times New Roman"/>
          <w:color w:val="000000" w:themeColor="text1"/>
          <w:sz w:val="16"/>
          <w:szCs w:val="16"/>
        </w:rPr>
        <w:t>мую не использовалось при решении основной задачи. Оставался только самый минимум «который необходим для уничтожения танков».</w:t>
      </w:r>
    </w:p>
    <w:p w14:paraId="7E741704"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Считалось, что новой ударной машине совершенно не требуются большая горизонталь ная скорость и диапазон скоростей полёта, а также высотность. Даже наоборот, небольшая минимальная скорость полёта противотанкового самолёта (по расчетам - 102 км/ч</w:t>
      </w:r>
      <w:r w:rsidRPr="00722885">
        <w:rPr>
          <w:rStyle w:val="0pt1"/>
          <w:rFonts w:eastAsia="Arial Unicode MS"/>
          <w:b w:val="0"/>
          <w:color w:val="000000" w:themeColor="text1"/>
          <w:spacing w:val="0"/>
          <w:sz w:val="16"/>
          <w:szCs w:val="16"/>
        </w:rPr>
        <w:t xml:space="preserve"> у </w:t>
      </w:r>
      <w:r w:rsidRPr="00722885">
        <w:rPr>
          <w:rFonts w:ascii="Times New Roman" w:hAnsi="Times New Roman"/>
          <w:color w:val="000000" w:themeColor="text1"/>
          <w:sz w:val="16"/>
          <w:szCs w:val="16"/>
        </w:rPr>
        <w:t>земли) должна была обеспечить лучшие условия для стрельбы и бомбометания по танкам) в сравнении с современными скоростными штурмовиками Ил-2.</w:t>
      </w:r>
    </w:p>
    <w:p w14:paraId="46A3F51B"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этом случае стрельбу по танкам противника можно было вести с предельно малых высот </w:t>
      </w:r>
      <w:r w:rsidRPr="00722885">
        <w:rPr>
          <w:rStyle w:val="aff8"/>
          <w:rFonts w:ascii="Times New Roman" w:hAnsi="Times New Roman" w:cs="Times New Roman"/>
          <w:b w:val="0"/>
          <w:color w:val="000000" w:themeColor="text1"/>
          <w:spacing w:val="0"/>
          <w:sz w:val="16"/>
          <w:szCs w:val="16"/>
        </w:rPr>
        <w:t>и</w:t>
      </w:r>
      <w:r w:rsidRPr="00722885">
        <w:rPr>
          <w:rFonts w:ascii="Times New Roman" w:hAnsi="Times New Roman"/>
          <w:color w:val="000000" w:themeColor="text1"/>
          <w:sz w:val="16"/>
          <w:szCs w:val="16"/>
        </w:rPr>
        <w:t xml:space="preserve"> почти под прямым углом к по</w:t>
      </w:r>
      <w:r w:rsidRPr="00722885">
        <w:rPr>
          <w:rFonts w:ascii="Times New Roman" w:hAnsi="Times New Roman"/>
          <w:color w:val="000000" w:themeColor="text1"/>
          <w:sz w:val="16"/>
          <w:szCs w:val="16"/>
        </w:rPr>
        <w:softHyphen/>
        <w:t>верхности бортовой брони, а дистанция прекращения стрель</w:t>
      </w:r>
      <w:r w:rsidRPr="00722885">
        <w:rPr>
          <w:rFonts w:ascii="Times New Roman" w:hAnsi="Times New Roman"/>
          <w:color w:val="000000" w:themeColor="text1"/>
          <w:sz w:val="16"/>
          <w:szCs w:val="16"/>
        </w:rPr>
        <w:softHyphen/>
        <w:t>бы была значительно меньше, чем у Ил-2, что создавало на</w:t>
      </w:r>
      <w:r w:rsidRPr="00722885">
        <w:rPr>
          <w:rFonts w:ascii="Times New Roman" w:hAnsi="Times New Roman"/>
          <w:color w:val="000000" w:themeColor="text1"/>
          <w:sz w:val="16"/>
          <w:szCs w:val="16"/>
        </w:rPr>
        <w:softHyphen/>
        <w:t>илучшие условия для проби</w:t>
      </w:r>
      <w:r w:rsidRPr="00722885">
        <w:rPr>
          <w:rFonts w:ascii="Times New Roman" w:hAnsi="Times New Roman"/>
          <w:color w:val="000000" w:themeColor="text1"/>
          <w:sz w:val="16"/>
          <w:szCs w:val="16"/>
        </w:rPr>
        <w:softHyphen/>
        <w:t>тия танковой брони штатными боеприпасами к авиационным пушкам.</w:t>
      </w:r>
    </w:p>
    <w:p w14:paraId="1AFEE201"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учетом особенностей бо</w:t>
      </w:r>
      <w:r w:rsidRPr="00722885">
        <w:rPr>
          <w:rFonts w:ascii="Times New Roman" w:hAnsi="Times New Roman"/>
          <w:color w:val="000000" w:themeColor="text1"/>
          <w:sz w:val="16"/>
          <w:szCs w:val="16"/>
        </w:rPr>
        <w:softHyphen/>
        <w:t>евого применения от машины не требовались высокие маневренные качества и взлётно-посадочные свойства. По технике пилотирования самолёт должен 1был допускать освоение лётчи- бками с подготовкой ниже среднего.</w:t>
      </w:r>
    </w:p>
    <w:p w14:paraId="3F3107FF"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проекту конструкция была полностью деревянная с бронекабиной в носовой части эзеляжа. Схема - низкоплан. Контуры самолёта образованы ямыми линиями, конструкция эдельно проста и техноло- ична, сборка без стапелей, из «роек. Использовались по</w:t>
      </w:r>
      <w:r w:rsidRPr="00722885">
        <w:rPr>
          <w:rFonts w:ascii="Times New Roman" w:hAnsi="Times New Roman"/>
          <w:color w:val="000000" w:themeColor="text1"/>
          <w:sz w:val="16"/>
          <w:szCs w:val="16"/>
        </w:rPr>
        <w:softHyphen/>
        <w:t xml:space="preserve">лочная сосна, строительная знера, кровельное железо </w:t>
      </w:r>
      <w:r w:rsidRPr="00722885">
        <w:rPr>
          <w:rStyle w:val="9pt"/>
          <w:rFonts w:ascii="Times New Roman" w:hAnsi="Times New Roman" w:cs="Times New Roman"/>
          <w:b w:val="0"/>
          <w:i w:val="0"/>
          <w:color w:val="000000" w:themeColor="text1"/>
          <w:sz w:val="16"/>
          <w:szCs w:val="16"/>
        </w:rPr>
        <w:t>бензо- и маслобаков, мягкая сталь разных толщин (узлы, бро</w:t>
      </w:r>
      <w:r w:rsidRPr="00722885">
        <w:rPr>
          <w:rFonts w:ascii="Times New Roman" w:hAnsi="Times New Roman"/>
          <w:color w:val="000000" w:themeColor="text1"/>
          <w:sz w:val="16"/>
          <w:szCs w:val="16"/>
        </w:rPr>
        <w:t xml:space="preserve">неспинка), низкосортный </w:t>
      </w:r>
      <w:r w:rsidRPr="00722885">
        <w:rPr>
          <w:rStyle w:val="75pt"/>
          <w:rFonts w:ascii="Times New Roman" w:hAnsi="Times New Roman" w:cs="Times New Roman"/>
          <w:color w:val="000000" w:themeColor="text1"/>
          <w:sz w:val="16"/>
          <w:szCs w:val="16"/>
        </w:rPr>
        <w:t xml:space="preserve">эалюминий (только капоты </w:t>
      </w:r>
      <w:r w:rsidRPr="00722885">
        <w:rPr>
          <w:rFonts w:ascii="Times New Roman" w:hAnsi="Times New Roman"/>
          <w:color w:val="000000" w:themeColor="text1"/>
          <w:sz w:val="16"/>
          <w:szCs w:val="16"/>
        </w:rPr>
        <w:t>торов). Все стыки - фланце- наружные. Отсутствовали эжные детали с механической обработкой, гидравлическая и воздушная системы, электро- и радиооборудование. Простота и дешевизна конструкции были предельные. Это позволяло быстро разворачивзть производство практически на любом заводе или мастерской с минимально необходимым составом станочного оборудования и неопытными рабочими.</w:t>
      </w:r>
    </w:p>
    <w:p w14:paraId="570C8DFD"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Фюзеляж четырёхгранного сечения с плоскими стенками, заготовляемыми заранее вме- с лонжеронами и планками шпангоутов. Крыло и оперение полностью деревянные фанерной обшивкой. Шасси - одностоечное неубираемое с резиновой пластинчатой эртизацией. Деревянными предполагались даже моторамы и колёса шасси! Электро</w:t>
      </w:r>
      <w:r w:rsidRPr="00722885">
        <w:rPr>
          <w:rFonts w:ascii="Times New Roman" w:hAnsi="Times New Roman"/>
          <w:color w:val="000000" w:themeColor="text1"/>
          <w:sz w:val="16"/>
          <w:szCs w:val="16"/>
        </w:rPr>
        <w:softHyphen/>
        <w:t>водка самая простейшая. Приборное оборудование использовалось от самолёта У-2. Лётчик помещался в бронекабине простейших форм с толщиной брони от 6 до 13 мм: эеди - 13 мм, сзади - 10-13 мм, борта и пол - 6 мм, бронекозырёк - 64 мм. Сразу же (кабиной в фюзеляже располагался небольшой отсек для размещения патронных ящиков иного состава пушечного вооружения. Для этого центроплан имел вырез посередине, подвесок вооружения в отсеке можно было разместить двух человек или 400 кг груза. Это позволяло привлекать самолёт для решения ряда транспортных и диверсионных задач. Под крыльями монтировались два мотора М-11ф мощностью по 140 л.с., что обеспе- зло потребную грузоподъёмность, установку стрелково-пушечного вооружения вблизи оси самолёта и хороший обзор лётчику вперёд и вниз. Сами моторы М-11ф были хорошо освоены промышленностью и лётно-техническим составов имели высокую надёжность невысокую стоимость в производстве и эксплуатации. По подсчётам, пять противоток ковых самолётов конструкци: Томашевича расходовали п- выполнении одного боевого вылета столько же горючего сколько требовалось для обес</w:t>
      </w:r>
      <w:r w:rsidRPr="00722885">
        <w:rPr>
          <w:rFonts w:ascii="Times New Roman" w:hAnsi="Times New Roman"/>
          <w:color w:val="000000" w:themeColor="text1"/>
          <w:sz w:val="16"/>
          <w:szCs w:val="16"/>
        </w:rPr>
        <w:softHyphen/>
        <w:t>печения боевого вылета одног штурмовика Ил-2.</w:t>
      </w:r>
    </w:p>
    <w:p w14:paraId="17B00046"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Для повышения боевой живучести каждый мотор питал: от своего бензобака, который располагался за мотором служил и обтекателем мотогондолы. При возгорании в полёте бензобак сбрасывался. В </w:t>
      </w:r>
      <w:bookmarkStart w:id="1" w:name="bookmark89"/>
      <w:r w:rsidRPr="00722885">
        <w:rPr>
          <w:rFonts w:ascii="Times New Roman" w:hAnsi="Times New Roman"/>
          <w:color w:val="000000" w:themeColor="text1"/>
          <w:sz w:val="16"/>
          <w:szCs w:val="16"/>
        </w:rPr>
        <w:t>момент сбрасывания мотор переходил на питание от расходного бронированного бачке</w:t>
      </w:r>
      <w:bookmarkEnd w:id="1"/>
      <w:r w:rsidRPr="00722885">
        <w:rPr>
          <w:rFonts w:ascii="Times New Roman" w:hAnsi="Times New Roman"/>
          <w:color w:val="000000" w:themeColor="text1"/>
          <w:sz w:val="16"/>
          <w:szCs w:val="16"/>
        </w:rPr>
        <w:t xml:space="preserve">, </w:t>
      </w:r>
      <w:bookmarkStart w:id="2" w:name="bookmark90"/>
      <w:r w:rsidRPr="00722885">
        <w:rPr>
          <w:rFonts w:ascii="Times New Roman" w:hAnsi="Times New Roman"/>
          <w:color w:val="000000" w:themeColor="text1"/>
          <w:sz w:val="16"/>
          <w:szCs w:val="16"/>
        </w:rPr>
        <w:t>рассчитанного на 30 мин работы.</w:t>
      </w:r>
      <w:bookmarkEnd w:id="2"/>
    </w:p>
    <w:p w14:paraId="56073D58"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Желание реализовать идею сбрасываемого бензобака предопределило расположени мотора и баков под крылом. Как показали дальнейшие события, это создало ряд трудно стей при эксплуатации.</w:t>
      </w:r>
    </w:p>
    <w:p w14:paraId="6EC9307C"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Для получения высоких взлётно-посадочных свойств предлагалось использовать прс филь крыла </w:t>
      </w:r>
      <w:r w:rsidRPr="00722885">
        <w:rPr>
          <w:rFonts w:ascii="Times New Roman" w:hAnsi="Times New Roman"/>
          <w:color w:val="000000" w:themeColor="text1"/>
          <w:sz w:val="16"/>
          <w:szCs w:val="16"/>
          <w:lang w:val="en-US"/>
        </w:rPr>
        <w:t>NACA</w:t>
      </w:r>
      <w:r w:rsidRPr="00722885">
        <w:rPr>
          <w:rFonts w:ascii="Times New Roman" w:hAnsi="Times New Roman"/>
          <w:color w:val="000000" w:themeColor="text1"/>
          <w:sz w:val="16"/>
          <w:szCs w:val="16"/>
        </w:rPr>
        <w:t xml:space="preserve"> 44 с высокими несущими характеристиками, а также фиксировании: предкрылки напротив элеронов и профилированные (над моторами) полукольцевые капоты. По расчётам все это, вместе взятое, обеспечивало устойчивый полет без сваливания дс углов атаки 20°.</w:t>
      </w:r>
    </w:p>
    <w:p w14:paraId="3755E4E2"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состояло из крупнокалиберного пулемёта УБК с боезапасом 150 патроне в носовом обтекателе фюзеляжа и пяти сменных составов бомбового, ракетного и пушеч ного оружия: 250 кг бомб (в том числе 1x250 кг или 2x100 и 1x50 кг бомбы), 9 РО-132 или РО-82, одна 37-мм пушка с 50 снарядами, две пушки ВЯ калибра 23 мм со 160 снарядами четыре «противотанковых автоматических ружья» калибра 14,5 мм с 600 снарядами. Вс сменные варианты размещались на мостах и лафетах вооружения, которые подвешивали под фюзеляжем в районе центроплана.</w:t>
      </w:r>
    </w:p>
    <w:p w14:paraId="753A71DD"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отношении последнего варианта следует дать пояснения. Здесь имелись в виду ав томатические пушки калибра 14,5 мм конструкции Салищева-Галкина и Волкова-Ярцева, которые в сентябре 1942 г. проходили испытания на НИП АВ ВВС. Первая пушка проекти ровалась под патрон для серийно выпускавшихся противотанковых ружей ПТРД и ПТРС, вторая - под новый патрон разработки ОКБ-16.</w:t>
      </w:r>
    </w:p>
    <w:p w14:paraId="5E2F1B3A" w14:textId="77777777" w:rsidR="00326FD0" w:rsidRPr="00722885" w:rsidRDefault="00326FD0" w:rsidP="00722885">
      <w:pPr>
        <w:spacing w:after="0" w:line="240" w:lineRule="auto"/>
        <w:jc w:val="both"/>
        <w:rPr>
          <w:rStyle w:val="aff8"/>
          <w:rFonts w:ascii="Times New Roman" w:hAnsi="Times New Roman" w:cs="Times New Roman"/>
          <w:b w:val="0"/>
          <w:color w:val="000000" w:themeColor="text1"/>
          <w:spacing w:val="0"/>
          <w:sz w:val="16"/>
          <w:szCs w:val="16"/>
        </w:rPr>
      </w:pPr>
      <w:r w:rsidRPr="00722885">
        <w:rPr>
          <w:rFonts w:ascii="Times New Roman" w:hAnsi="Times New Roman"/>
          <w:color w:val="000000" w:themeColor="text1"/>
          <w:sz w:val="16"/>
          <w:szCs w:val="16"/>
        </w:rPr>
        <w:t>Указанные варианты вооружения, за исключением третьего и, отчасти, пятого, нельг назвать противотанковыми. Особенно это касается условий боёв начала 1943 г., когда лёг</w:t>
      </w:r>
      <w:r w:rsidRPr="00722885">
        <w:rPr>
          <w:rFonts w:ascii="Times New Roman" w:hAnsi="Times New Roman"/>
          <w:color w:val="000000" w:themeColor="text1"/>
          <w:sz w:val="16"/>
          <w:szCs w:val="16"/>
        </w:rPr>
        <w:softHyphen/>
        <w:t xml:space="preserve">кие танки вермахта повсеместно были вытеснены более мощными средними танками тип </w:t>
      </w:r>
      <w:r w:rsidRPr="00722885">
        <w:rPr>
          <w:rFonts w:ascii="Times New Roman" w:hAnsi="Times New Roman"/>
          <w:color w:val="000000" w:themeColor="text1"/>
          <w:sz w:val="16"/>
          <w:szCs w:val="16"/>
          <w:lang w:val="en-US"/>
        </w:rPr>
        <w:t>Pz</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IV</w:t>
      </w:r>
      <w:r w:rsidRPr="00722885">
        <w:rPr>
          <w:rFonts w:ascii="Times New Roman" w:hAnsi="Times New Roman"/>
          <w:color w:val="000000" w:themeColor="text1"/>
          <w:sz w:val="16"/>
          <w:szCs w:val="16"/>
        </w:rPr>
        <w:t xml:space="preserve"> и </w:t>
      </w:r>
      <w:r w:rsidRPr="00722885">
        <w:rPr>
          <w:rFonts w:ascii="Times New Roman" w:hAnsi="Times New Roman"/>
          <w:color w:val="000000" w:themeColor="text1"/>
          <w:sz w:val="16"/>
          <w:szCs w:val="16"/>
          <w:lang w:val="en-US"/>
        </w:rPr>
        <w:t>Pz</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HI</w:t>
      </w:r>
      <w:r w:rsidRPr="00722885">
        <w:rPr>
          <w:rFonts w:ascii="Times New Roman" w:hAnsi="Times New Roman"/>
          <w:color w:val="000000" w:themeColor="text1"/>
          <w:sz w:val="16"/>
          <w:szCs w:val="16"/>
        </w:rPr>
        <w:t xml:space="preserve">, а также новыми толстобронными </w:t>
      </w:r>
      <w:r w:rsidRPr="00722885">
        <w:rPr>
          <w:rFonts w:ascii="Times New Roman" w:hAnsi="Times New Roman"/>
          <w:color w:val="000000" w:themeColor="text1"/>
          <w:sz w:val="16"/>
          <w:szCs w:val="16"/>
          <w:lang w:val="en-US"/>
        </w:rPr>
        <w:t>Pz</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VI</w:t>
      </w:r>
      <w:r w:rsidRPr="00722885">
        <w:rPr>
          <w:rFonts w:ascii="Times New Roman" w:hAnsi="Times New Roman"/>
          <w:color w:val="000000" w:themeColor="text1"/>
          <w:sz w:val="16"/>
          <w:szCs w:val="16"/>
        </w:rPr>
        <w:t xml:space="preserve"> «Тигр», </w:t>
      </w:r>
      <w:r w:rsidRPr="00722885">
        <w:rPr>
          <w:rFonts w:ascii="Times New Roman" w:hAnsi="Times New Roman"/>
          <w:color w:val="000000" w:themeColor="text1"/>
          <w:sz w:val="16"/>
          <w:szCs w:val="16"/>
          <w:lang w:val="en-US"/>
        </w:rPr>
        <w:t>Pz</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V</w:t>
      </w:r>
      <w:r w:rsidRPr="00722885">
        <w:rPr>
          <w:rFonts w:ascii="Times New Roman" w:hAnsi="Times New Roman"/>
          <w:color w:val="000000" w:themeColor="text1"/>
          <w:sz w:val="16"/>
          <w:szCs w:val="16"/>
        </w:rPr>
        <w:t xml:space="preserve"> «Пантера» и </w:t>
      </w:r>
      <w:r w:rsidRPr="00722885">
        <w:rPr>
          <w:rFonts w:ascii="Times New Roman" w:hAnsi="Times New Roman"/>
          <w:color w:val="000000" w:themeColor="text1"/>
          <w:sz w:val="16"/>
          <w:szCs w:val="16"/>
          <w:lang w:val="en-US"/>
        </w:rPr>
        <w:t>JgdPzTigerI</w:t>
      </w:r>
      <w:r w:rsidRPr="00722885">
        <w:rPr>
          <w:rFonts w:ascii="Times New Roman" w:hAnsi="Times New Roman"/>
          <w:color w:val="000000" w:themeColor="text1"/>
          <w:sz w:val="16"/>
          <w:szCs w:val="16"/>
        </w:rPr>
        <w:t xml:space="preserve"> «Фердинанд». Единственными бронецелями Вермахта, с которыми штурмовик Д.Л. Томашг вича ещё мог как-то бороться, были легкобронированные САУ типа «Веспе» и им подобны; и противотанковые СУ типа «Мардер-И» и «Мардер-Ш», созданные на базе лёгких танков. При этом если учесть соотношение полётного веса самолёта и силы отдачи при стрельбе из пушек калибра 23-37 мм, то можно смело утверждать, что единственным приемлемы составом вооружения самолёта был пятый вариант. Более того, в рамках принятых в массогабаритных параметров штурмовика все попытки создать противотанковый самолёт мощным пушечным вооружением, обеспечивающим поражение средних и тяжёлых танко были заранее обречены на провал, что и подтвердили последующие испытания машины.</w:t>
      </w:r>
    </w:p>
    <w:p w14:paraId="5034684B"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расчётам при нормаль</w:t>
      </w:r>
      <w:r w:rsidRPr="00722885">
        <w:rPr>
          <w:rFonts w:ascii="Times New Roman" w:hAnsi="Times New Roman"/>
          <w:color w:val="000000" w:themeColor="text1"/>
          <w:sz w:val="16"/>
          <w:szCs w:val="16"/>
        </w:rPr>
        <w:softHyphen/>
        <w:t>ном полётном весе 1939 кг мак</w:t>
      </w:r>
      <w:r w:rsidRPr="00722885">
        <w:rPr>
          <w:rFonts w:ascii="Times New Roman" w:hAnsi="Times New Roman"/>
          <w:color w:val="000000" w:themeColor="text1"/>
          <w:sz w:val="16"/>
          <w:szCs w:val="16"/>
        </w:rPr>
        <w:softHyphen/>
        <w:t>симальная скорость полёта са</w:t>
      </w:r>
      <w:r w:rsidRPr="00722885">
        <w:rPr>
          <w:rFonts w:ascii="Times New Roman" w:hAnsi="Times New Roman"/>
          <w:color w:val="000000" w:themeColor="text1"/>
          <w:sz w:val="16"/>
          <w:szCs w:val="16"/>
        </w:rPr>
        <w:softHyphen/>
        <w:t>молёта у земли составляла 207 км/ч, вертикальная скорость - 2,4 м/с, время подъёма на вы</w:t>
      </w:r>
      <w:r w:rsidRPr="00722885">
        <w:rPr>
          <w:rFonts w:ascii="Times New Roman" w:hAnsi="Times New Roman"/>
          <w:color w:val="000000" w:themeColor="text1"/>
          <w:sz w:val="16"/>
          <w:szCs w:val="16"/>
        </w:rPr>
        <w:softHyphen/>
        <w:t>соту 1000 м - 8 мин, посадоч</w:t>
      </w:r>
      <w:r w:rsidRPr="00722885">
        <w:rPr>
          <w:rFonts w:ascii="Times New Roman" w:hAnsi="Times New Roman"/>
          <w:color w:val="000000" w:themeColor="text1"/>
          <w:sz w:val="16"/>
          <w:szCs w:val="16"/>
        </w:rPr>
        <w:softHyphen/>
        <w:t>ная скорость - 90 км/ч, разбег - 320 м, пробег - 280 м, пра</w:t>
      </w:r>
      <w:r w:rsidRPr="00722885">
        <w:rPr>
          <w:rFonts w:ascii="Times New Roman" w:hAnsi="Times New Roman"/>
          <w:color w:val="000000" w:themeColor="text1"/>
          <w:sz w:val="16"/>
          <w:szCs w:val="16"/>
        </w:rPr>
        <w:softHyphen/>
        <w:t>ктический потолок - 2850 м.</w:t>
      </w:r>
    </w:p>
    <w:p w14:paraId="0591F87D"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полёта у земли на скорости 0,7 от максималь</w:t>
      </w:r>
      <w:r w:rsidRPr="00722885">
        <w:rPr>
          <w:rFonts w:ascii="Times New Roman" w:hAnsi="Times New Roman"/>
          <w:color w:val="000000" w:themeColor="text1"/>
          <w:sz w:val="16"/>
          <w:szCs w:val="16"/>
        </w:rPr>
        <w:softHyphen/>
        <w:t>ной (145 км/ч) при запасе то</w:t>
      </w:r>
      <w:r w:rsidRPr="00722885">
        <w:rPr>
          <w:rFonts w:ascii="Times New Roman" w:hAnsi="Times New Roman"/>
          <w:color w:val="000000" w:themeColor="text1"/>
          <w:sz w:val="16"/>
          <w:szCs w:val="16"/>
        </w:rPr>
        <w:softHyphen/>
        <w:t>плива в 135 кг достигала 520 км, а при запасе топлива 270 кг - 1000 км.</w:t>
      </w:r>
    </w:p>
    <w:p w14:paraId="4BF694D2"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этом в сопроводитель</w:t>
      </w:r>
      <w:r w:rsidRPr="00722885">
        <w:rPr>
          <w:rFonts w:ascii="Times New Roman" w:hAnsi="Times New Roman"/>
          <w:color w:val="000000" w:themeColor="text1"/>
          <w:sz w:val="16"/>
          <w:szCs w:val="16"/>
        </w:rPr>
        <w:softHyphen/>
        <w:t>ных материалах к проекту Д.Л. Томашевич гарантировал,</w:t>
      </w:r>
      <w:r w:rsidRPr="00722885">
        <w:rPr>
          <w:rStyle w:val="aff6"/>
          <w:rFonts w:ascii="Times New Roman" w:eastAsia="Arial Unicode MS" w:hAnsi="Times New Roman" w:cs="Times New Roman"/>
          <w:i w:val="0"/>
          <w:color w:val="000000" w:themeColor="text1"/>
        </w:rPr>
        <w:t xml:space="preserve"> «что самолёт в реальном полёте будет иметь расчётные лётные данные».</w:t>
      </w:r>
    </w:p>
    <w:p w14:paraId="4DB82C15"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Томашевич и руководство ЦКБ-29 считали необходимым немедленно приступить к по</w:t>
      </w:r>
      <w:r w:rsidRPr="00722885">
        <w:rPr>
          <w:rFonts w:ascii="Times New Roman" w:hAnsi="Times New Roman"/>
          <w:color w:val="000000" w:themeColor="text1"/>
          <w:sz w:val="16"/>
          <w:szCs w:val="16"/>
        </w:rPr>
        <w:softHyphen/>
        <w:t>стройке пяти опытных экзем</w:t>
      </w:r>
      <w:r w:rsidRPr="00722885">
        <w:rPr>
          <w:rFonts w:ascii="Times New Roman" w:hAnsi="Times New Roman"/>
          <w:color w:val="000000" w:themeColor="text1"/>
          <w:sz w:val="16"/>
          <w:szCs w:val="16"/>
        </w:rPr>
        <w:softHyphen/>
        <w:t>пляров самолёта на заводе N° 288. Проектирование и по</w:t>
      </w:r>
      <w:r w:rsidRPr="00722885">
        <w:rPr>
          <w:rFonts w:ascii="Times New Roman" w:hAnsi="Times New Roman"/>
          <w:color w:val="000000" w:themeColor="text1"/>
          <w:sz w:val="16"/>
          <w:szCs w:val="16"/>
        </w:rPr>
        <w:softHyphen/>
        <w:t>стройку опытных машин плани</w:t>
      </w:r>
      <w:r w:rsidRPr="00722885">
        <w:rPr>
          <w:rFonts w:ascii="Times New Roman" w:hAnsi="Times New Roman"/>
          <w:color w:val="000000" w:themeColor="text1"/>
          <w:sz w:val="16"/>
          <w:szCs w:val="16"/>
        </w:rPr>
        <w:softHyphen/>
        <w:t>ровали завершить за три меся</w:t>
      </w:r>
      <w:r w:rsidRPr="00722885">
        <w:rPr>
          <w:rFonts w:ascii="Times New Roman" w:hAnsi="Times New Roman"/>
          <w:color w:val="000000" w:themeColor="text1"/>
          <w:sz w:val="16"/>
          <w:szCs w:val="16"/>
        </w:rPr>
        <w:softHyphen/>
        <w:t>ца, то есть, готовность первого опытного самолёта ожидалась к</w:t>
      </w:r>
      <w:bookmarkStart w:id="3" w:name="bookmark91"/>
      <w:r w:rsidRPr="00722885">
        <w:rPr>
          <w:rFonts w:ascii="Times New Roman" w:hAnsi="Times New Roman"/>
          <w:color w:val="000000" w:themeColor="text1"/>
          <w:sz w:val="16"/>
          <w:szCs w:val="16"/>
        </w:rPr>
        <w:t xml:space="preserve"> 1 ноября 1942 г.</w:t>
      </w:r>
      <w:bookmarkEnd w:id="3"/>
    </w:p>
    <w:p w14:paraId="2D7FFBC5" w14:textId="77777777" w:rsidR="00326FD0" w:rsidRPr="00722885" w:rsidRDefault="00326FD0" w:rsidP="00722885">
      <w:pPr>
        <w:pStyle w:val="45"/>
        <w:shd w:val="clear" w:color="auto" w:fill="auto"/>
        <w:spacing w:before="0" w:line="240" w:lineRule="auto"/>
        <w:jc w:val="both"/>
        <w:rPr>
          <w:rFonts w:ascii="Times New Roman" w:cs="Times New Roman"/>
          <w:color w:val="000000" w:themeColor="text1"/>
          <w:sz w:val="16"/>
          <w:szCs w:val="16"/>
        </w:rPr>
      </w:pPr>
      <w:r w:rsidRPr="00722885">
        <w:rPr>
          <w:rStyle w:val="49pt"/>
          <w:rFonts w:ascii="Times New Roman" w:hAnsi="Times New Roman" w:cs="Times New Roman"/>
          <w:i w:val="0"/>
          <w:color w:val="000000" w:themeColor="text1"/>
          <w:sz w:val="16"/>
          <w:szCs w:val="16"/>
        </w:rPr>
        <w:t>Одновременно требовалось выд</w:t>
      </w:r>
      <w:r w:rsidRPr="00722885">
        <w:rPr>
          <w:rStyle w:val="4f0"/>
          <w:rFonts w:ascii="Times New Roman" w:hAnsi="Times New Roman" w:cs="Times New Roman"/>
          <w:i w:val="0"/>
          <w:color w:val="000000" w:themeColor="text1"/>
          <w:sz w:val="16"/>
          <w:szCs w:val="16"/>
        </w:rPr>
        <w:t xml:space="preserve">елить два серийных завода </w:t>
      </w:r>
      <w:r w:rsidRPr="00722885">
        <w:rPr>
          <w:rFonts w:ascii="Times New Roman" w:cs="Times New Roman"/>
          <w:color w:val="000000" w:themeColor="text1"/>
          <w:sz w:val="16"/>
          <w:szCs w:val="16"/>
        </w:rPr>
        <w:t xml:space="preserve">один - типа завода сельскохозяйственных машин — для постройки самолётов, другой типа </w:t>
      </w:r>
      <w:r w:rsidRPr="00722885">
        <w:rPr>
          <w:rStyle w:val="aff6"/>
          <w:rFonts w:ascii="Times New Roman" w:eastAsia="Arial Unicode MS" w:hAnsi="Times New Roman" w:cs="Times New Roman"/>
          <w:i w:val="0"/>
          <w:color w:val="000000" w:themeColor="text1"/>
        </w:rPr>
        <w:t>завода № 29 - для изготовления авиамоторов»), на</w:t>
      </w:r>
      <w:r w:rsidRPr="00722885">
        <w:rPr>
          <w:rFonts w:ascii="Times New Roman" w:cs="Times New Roman"/>
          <w:color w:val="000000" w:themeColor="text1"/>
          <w:sz w:val="16"/>
          <w:szCs w:val="16"/>
        </w:rPr>
        <w:t xml:space="preserve"> которых организовать выпуск про- ютанковых самолётов «немедленно после готовности серийной технологии и оснастки», в </w:t>
      </w:r>
      <w:r w:rsidRPr="00722885">
        <w:rPr>
          <w:rStyle w:val="aff6"/>
          <w:rFonts w:ascii="Times New Roman" w:eastAsia="Arial Unicode MS" w:hAnsi="Times New Roman" w:cs="Times New Roman"/>
          <w:i w:val="0"/>
          <w:color w:val="000000" w:themeColor="text1"/>
        </w:rPr>
        <w:t xml:space="preserve">зависимо от готовности опытных самолётов и окончания их испытаний». </w:t>
      </w:r>
      <w:r w:rsidRPr="00722885">
        <w:rPr>
          <w:rFonts w:ascii="Times New Roman" w:cs="Times New Roman"/>
          <w:color w:val="000000" w:themeColor="text1"/>
          <w:sz w:val="16"/>
          <w:szCs w:val="16"/>
        </w:rPr>
        <w:t>После постройки первых пяти самолётов, кроме обычных лётных испытаний, предлагалось отработать тактику боя с танками, для чего выделить танковую часть и оборудовать юлеко от г. Омск специальный полигон.</w:t>
      </w:r>
    </w:p>
    <w:p w14:paraId="21EA7BC0" w14:textId="77777777" w:rsidR="00326FD0" w:rsidRPr="00722885" w:rsidRDefault="00326FD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Расходы на постройку пяти опытных машин и проведение лётных и тактических испытания по оценкам составляли около 3 200 000 руб., а на подготовку серийного производства, включая первоначальный серийный задел, - примерно 6 500 000 руб. (15846).</w:t>
      </w:r>
    </w:p>
    <w:p w14:paraId="3B9A3DA8" w14:textId="77777777" w:rsidR="00326FD0" w:rsidRPr="00722885" w:rsidRDefault="00326FD0" w:rsidP="00722885">
      <w:pPr>
        <w:spacing w:after="0" w:line="240" w:lineRule="auto"/>
        <w:jc w:val="both"/>
        <w:rPr>
          <w:rFonts w:ascii="Times New Roman" w:hAnsi="Times New Roman"/>
          <w:color w:val="000000" w:themeColor="text1"/>
          <w:sz w:val="16"/>
          <w:szCs w:val="16"/>
        </w:rPr>
      </w:pPr>
    </w:p>
    <w:p w14:paraId="273C25C2"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31 июля 1942 г. началь</w:t>
      </w:r>
      <w:r w:rsidRPr="00722885">
        <w:rPr>
          <w:color w:val="000000" w:themeColor="text1"/>
          <w:sz w:val="16"/>
          <w:szCs w:val="16"/>
        </w:rPr>
        <w:softHyphen/>
        <w:t>ник ЦКБ-29 НКВД и директор завода № 288 Г. Я. Кутепов направил для рассмотрения начальнику Управления опытного строительства ГУ ИАС ВВС бригинженеру Г. П. Лешукову Предложение о постройке противотанкового самолета «Пегас» и альбом «Эскизный проект само</w:t>
      </w:r>
      <w:r w:rsidRPr="00722885">
        <w:rPr>
          <w:color w:val="000000" w:themeColor="text1"/>
          <w:sz w:val="16"/>
          <w:szCs w:val="16"/>
        </w:rPr>
        <w:softHyphen/>
        <w:t>лета противотанковой воздушной армии».</w:t>
      </w:r>
    </w:p>
    <w:p w14:paraId="49814124"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Противотанковым самолетом за</w:t>
      </w:r>
      <w:r w:rsidRPr="00722885">
        <w:rPr>
          <w:color w:val="000000" w:themeColor="text1"/>
          <w:sz w:val="16"/>
          <w:szCs w:val="16"/>
        </w:rPr>
        <w:softHyphen/>
        <w:t>нялись и в ЦКБ-29 наркомата внутренних дел СССР занялись летом 1942 г. Строго в духе проходившей реорганизации ВВС и мероприятий по повышению эффективности бо</w:t>
      </w:r>
      <w:r w:rsidRPr="00722885">
        <w:rPr>
          <w:color w:val="000000" w:themeColor="text1"/>
          <w:sz w:val="16"/>
          <w:szCs w:val="16"/>
        </w:rPr>
        <w:softHyphen/>
        <w:t>евых сил авиации руководитель конструкторской бригады ЦКБ-29 Д. Л. Томашевич в инициативном порядке разработал проект бронированного про</w:t>
      </w:r>
      <w:r w:rsidRPr="00722885">
        <w:rPr>
          <w:color w:val="000000" w:themeColor="text1"/>
          <w:sz w:val="16"/>
          <w:szCs w:val="16"/>
        </w:rPr>
        <w:softHyphen/>
        <w:t>тивотанкового самолета массовой постройки для вооружения им специальной противотанковой воздушной армии. Предлагалось к 1 августа 1943 г. построить 15 000 (!) машин этого типа и для дости</w:t>
      </w:r>
      <w:r w:rsidRPr="00722885">
        <w:rPr>
          <w:color w:val="000000" w:themeColor="text1"/>
          <w:sz w:val="16"/>
          <w:szCs w:val="16"/>
        </w:rPr>
        <w:softHyphen/>
        <w:t>жения максимального эффекта внезапно массиро</w:t>
      </w:r>
      <w:r w:rsidRPr="00722885">
        <w:rPr>
          <w:color w:val="000000" w:themeColor="text1"/>
          <w:sz w:val="16"/>
          <w:szCs w:val="16"/>
        </w:rPr>
        <w:softHyphen/>
        <w:t>ванно бросить их в бой против немецких танков. Томашевич и вместе с ним руководство ЦКБ-29 считали, что «в случае удовлетворительных такти</w:t>
      </w:r>
      <w:r w:rsidRPr="00722885">
        <w:rPr>
          <w:color w:val="000000" w:themeColor="text1"/>
          <w:sz w:val="16"/>
          <w:szCs w:val="16"/>
        </w:rPr>
        <w:softHyphen/>
        <w:t xml:space="preserve">ческих свойств самолета страна получит в 1943 </w:t>
      </w:r>
      <w:r w:rsidRPr="00722885">
        <w:rPr>
          <w:color w:val="000000" w:themeColor="text1"/>
          <w:sz w:val="16"/>
          <w:szCs w:val="16"/>
        </w:rPr>
        <w:lastRenderedPageBreak/>
        <w:t>г. средство, которое решит исход кампании на нашем театре военных действий и, следовательно, исход всей войны. В свете такой перспективы /.../ работы должны быть немедленно развернуты во всю ши</w:t>
      </w:r>
      <w:r w:rsidRPr="00722885">
        <w:rPr>
          <w:color w:val="000000" w:themeColor="text1"/>
          <w:sz w:val="16"/>
          <w:szCs w:val="16"/>
        </w:rPr>
        <w:softHyphen/>
        <w:t>рину».</w:t>
      </w:r>
    </w:p>
    <w:p w14:paraId="7EACEEB8"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замыслу Томашевича самолет для противо</w:t>
      </w:r>
      <w:r w:rsidRPr="00722885">
        <w:rPr>
          <w:color w:val="000000" w:themeColor="text1"/>
          <w:sz w:val="16"/>
          <w:szCs w:val="16"/>
        </w:rPr>
        <w:softHyphen/>
        <w:t>танковой воздушной армии должен быть одно</w:t>
      </w:r>
      <w:r w:rsidRPr="00722885">
        <w:rPr>
          <w:color w:val="000000" w:themeColor="text1"/>
          <w:sz w:val="16"/>
          <w:szCs w:val="16"/>
        </w:rPr>
        <w:softHyphen/>
        <w:t>местным, простым и недорогим в изготовлении и эксплуатации, не требовать для освоения высо</w:t>
      </w:r>
      <w:r w:rsidRPr="00722885">
        <w:rPr>
          <w:color w:val="000000" w:themeColor="text1"/>
          <w:sz w:val="16"/>
          <w:szCs w:val="16"/>
        </w:rPr>
        <w:softHyphen/>
        <w:t>кой квалификации летного состава, но при этом, что важно, оснащаться мощным пушечным и бом</w:t>
      </w:r>
      <w:r w:rsidRPr="00722885">
        <w:rPr>
          <w:color w:val="000000" w:themeColor="text1"/>
          <w:sz w:val="16"/>
          <w:szCs w:val="16"/>
        </w:rPr>
        <w:softHyphen/>
        <w:t>бовым вооружением и обеспечивать защиту летчи</w:t>
      </w:r>
      <w:r w:rsidRPr="00722885">
        <w:rPr>
          <w:color w:val="000000" w:themeColor="text1"/>
          <w:sz w:val="16"/>
          <w:szCs w:val="16"/>
        </w:rPr>
        <w:softHyphen/>
        <w:t>ка в бою от крупнокалиберных пуль и 20-мм сна</w:t>
      </w:r>
      <w:r w:rsidRPr="00722885">
        <w:rPr>
          <w:color w:val="000000" w:themeColor="text1"/>
          <w:sz w:val="16"/>
          <w:szCs w:val="16"/>
        </w:rPr>
        <w:softHyphen/>
        <w:t>рядов.</w:t>
      </w:r>
    </w:p>
    <w:p w14:paraId="4B4F1795"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Противотанковый самолет предназначался ис</w:t>
      </w:r>
      <w:r w:rsidRPr="00722885">
        <w:rPr>
          <w:color w:val="000000" w:themeColor="text1"/>
          <w:sz w:val="16"/>
          <w:szCs w:val="16"/>
        </w:rPr>
        <w:softHyphen/>
        <w:t>ключительно для решения только одной задачи — «уничтожения танков и мобильных войск».</w:t>
      </w:r>
    </w:p>
    <w:p w14:paraId="34488A05"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Соответственно этому из конструкции самолета исключалось все, что напрямую не использовалось при решении задачи уничтожения танков. Оставал</w:t>
      </w:r>
      <w:r w:rsidRPr="00722885">
        <w:rPr>
          <w:color w:val="000000" w:themeColor="text1"/>
          <w:sz w:val="16"/>
          <w:szCs w:val="16"/>
        </w:rPr>
        <w:softHyphen/>
        <w:t>ся только самый минимум, «который необходим для уничтожения танков».</w:t>
      </w:r>
    </w:p>
    <w:p w14:paraId="5DE3A1F4"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Считалось, что новой ударной машине совер</w:t>
      </w:r>
      <w:r w:rsidRPr="00722885">
        <w:rPr>
          <w:color w:val="000000" w:themeColor="text1"/>
          <w:sz w:val="16"/>
          <w:szCs w:val="16"/>
        </w:rPr>
        <w:softHyphen/>
        <w:t>шенно не требовались большая горизонтальная скорость и диапазон скоростей полета, а также высотность. Даже наоборот, небольшая минималь</w:t>
      </w:r>
      <w:r w:rsidRPr="00722885">
        <w:rPr>
          <w:color w:val="000000" w:themeColor="text1"/>
          <w:sz w:val="16"/>
          <w:szCs w:val="16"/>
        </w:rPr>
        <w:softHyphen/>
        <w:t>ная скорость полета противотанкового самолета (по расчетам — 102 км/ч у земли) должна была обеспечить лучшие условия для прицеливания и стрельбы по танкам в сравнении с современ</w:t>
      </w:r>
      <w:r w:rsidRPr="00722885">
        <w:rPr>
          <w:color w:val="000000" w:themeColor="text1"/>
          <w:sz w:val="16"/>
          <w:szCs w:val="16"/>
        </w:rPr>
        <w:softHyphen/>
        <w:t>ными скоростными штурмовиками Ил-2. Действи</w:t>
      </w:r>
      <w:r w:rsidRPr="00722885">
        <w:rPr>
          <w:color w:val="000000" w:themeColor="text1"/>
          <w:sz w:val="16"/>
          <w:szCs w:val="16"/>
        </w:rPr>
        <w:softHyphen/>
        <w:t>тельно, в этом случае стрельбу по танкам против</w:t>
      </w:r>
      <w:r w:rsidRPr="00722885">
        <w:rPr>
          <w:color w:val="000000" w:themeColor="text1"/>
          <w:sz w:val="16"/>
          <w:szCs w:val="16"/>
        </w:rPr>
        <w:softHyphen/>
        <w:t>ника можно было вести с предельно малых высот и почти под прямым углом к поверхности борто</w:t>
      </w:r>
      <w:r w:rsidRPr="00722885">
        <w:rPr>
          <w:color w:val="000000" w:themeColor="text1"/>
          <w:sz w:val="16"/>
          <w:szCs w:val="16"/>
        </w:rPr>
        <w:softHyphen/>
        <w:t>вой брони, а дистанция прекращения стрельбы была значительно меньше, чем у Ил-2, что созда</w:t>
      </w:r>
      <w:r w:rsidRPr="00722885">
        <w:rPr>
          <w:color w:val="000000" w:themeColor="text1"/>
          <w:sz w:val="16"/>
          <w:szCs w:val="16"/>
        </w:rPr>
        <w:softHyphen/>
        <w:t>вало наилучшие условия для пробития танковой брони штатными боеприпасами к авиационным пушкам.</w:t>
      </w:r>
    </w:p>
    <w:p w14:paraId="00C8FA11"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учетом особенностей боевого применения от машины требовались высокие маневренные каче</w:t>
      </w:r>
      <w:r w:rsidRPr="00722885">
        <w:rPr>
          <w:color w:val="000000" w:themeColor="text1"/>
          <w:sz w:val="16"/>
          <w:szCs w:val="16"/>
        </w:rPr>
        <w:softHyphen/>
        <w:t>ства и взлетно-посадочные свойства. По технике пилотирования самолет должен был допускать ос</w:t>
      </w:r>
      <w:r w:rsidRPr="00722885">
        <w:rPr>
          <w:color w:val="000000" w:themeColor="text1"/>
          <w:sz w:val="16"/>
          <w:szCs w:val="16"/>
        </w:rPr>
        <w:softHyphen/>
        <w:t>воение летчиками с подготовкой ниже среднего.</w:t>
      </w:r>
    </w:p>
    <w:p w14:paraId="392E0B49"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проекту конструкция самолета полностью деревянная с бронекабиной в носовой части фю</w:t>
      </w:r>
      <w:r w:rsidRPr="00722885">
        <w:rPr>
          <w:color w:val="000000" w:themeColor="text1"/>
          <w:sz w:val="16"/>
          <w:szCs w:val="16"/>
        </w:rPr>
        <w:softHyphen/>
        <w:t>зеляжа. Схема — низкоплан. Контуры самолета об</w:t>
      </w:r>
      <w:r w:rsidRPr="00722885">
        <w:rPr>
          <w:color w:val="000000" w:themeColor="text1"/>
          <w:sz w:val="16"/>
          <w:szCs w:val="16"/>
        </w:rPr>
        <w:softHyphen/>
        <w:t>разованы прямыми линиями, конструкция предель</w:t>
      </w:r>
      <w:r w:rsidRPr="00722885">
        <w:rPr>
          <w:color w:val="000000" w:themeColor="text1"/>
          <w:sz w:val="16"/>
          <w:szCs w:val="16"/>
        </w:rPr>
        <w:softHyphen/>
        <w:t>но проста и технологична, сборка без стапелей, из выкроек. Использовались поделочная сосна, строительная фанера, кровельное железо (бензо- и маслобаки), мягкая сталь разных толщин (узлы бронеспинки), низкосортный дюралюминий (толь</w:t>
      </w:r>
      <w:r w:rsidRPr="00722885">
        <w:rPr>
          <w:color w:val="000000" w:themeColor="text1"/>
          <w:sz w:val="16"/>
          <w:szCs w:val="16"/>
        </w:rPr>
        <w:softHyphen/>
        <w:t>ко капоты). Все стыки — фланцевые наружные. Отсутствовали сложные детали с механической об</w:t>
      </w:r>
      <w:r w:rsidRPr="00722885">
        <w:rPr>
          <w:color w:val="000000" w:themeColor="text1"/>
          <w:sz w:val="16"/>
          <w:szCs w:val="16"/>
        </w:rPr>
        <w:softHyphen/>
        <w:t>работкой, гидравлическая и воздушная системы, электро- и радиооборудование.</w:t>
      </w:r>
    </w:p>
    <w:p w14:paraId="3673B056"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Простота и дешевизна конструкции были пре</w:t>
      </w:r>
      <w:r w:rsidRPr="00722885">
        <w:rPr>
          <w:color w:val="000000" w:themeColor="text1"/>
          <w:sz w:val="16"/>
          <w:szCs w:val="16"/>
        </w:rPr>
        <w:softHyphen/>
        <w:t>дельные. Это позволяло быстро разворачивать производство практически на любом заводе или мастерской с минимально необходимым составом станочного оборудования и неопытными рабо</w:t>
      </w:r>
      <w:r w:rsidRPr="00722885">
        <w:rPr>
          <w:color w:val="000000" w:themeColor="text1"/>
          <w:sz w:val="16"/>
          <w:szCs w:val="16"/>
        </w:rPr>
        <w:softHyphen/>
        <w:t>чими.</w:t>
      </w:r>
    </w:p>
    <w:p w14:paraId="0F4096C2"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Фюзеляж четырехгранного сечения с плоскими стенками, заготовляемыми заранее вместе с лон</w:t>
      </w:r>
      <w:r w:rsidRPr="00722885">
        <w:rPr>
          <w:color w:val="000000" w:themeColor="text1"/>
          <w:sz w:val="16"/>
          <w:szCs w:val="16"/>
        </w:rPr>
        <w:softHyphen/>
        <w:t>жеронами и планками шпангоутов. Крыло и опере</w:t>
      </w:r>
      <w:r w:rsidRPr="00722885">
        <w:rPr>
          <w:color w:val="000000" w:themeColor="text1"/>
          <w:sz w:val="16"/>
          <w:szCs w:val="16"/>
        </w:rPr>
        <w:softHyphen/>
        <w:t>ние полностью деревянные, с фанерной обшивкой. Шасси — одностоечное, неубираемое, с резиновой пластинчатой амортизацией. Деревянными пред</w:t>
      </w:r>
      <w:r w:rsidRPr="00722885">
        <w:rPr>
          <w:color w:val="000000" w:themeColor="text1"/>
          <w:sz w:val="16"/>
          <w:szCs w:val="16"/>
        </w:rPr>
        <w:softHyphen/>
        <w:t>полагались моторамы и колеса шасси. Электро</w:t>
      </w:r>
      <w:r w:rsidRPr="00722885">
        <w:rPr>
          <w:color w:val="000000" w:themeColor="text1"/>
          <w:sz w:val="16"/>
          <w:szCs w:val="16"/>
        </w:rPr>
        <w:softHyphen/>
        <w:t>проводка предполагалась самая простейшая. При</w:t>
      </w:r>
      <w:r w:rsidRPr="00722885">
        <w:rPr>
          <w:color w:val="000000" w:themeColor="text1"/>
          <w:sz w:val="16"/>
          <w:szCs w:val="16"/>
        </w:rPr>
        <w:softHyphen/>
        <w:t>борное оборудование использовалось от само</w:t>
      </w:r>
      <w:r w:rsidRPr="00722885">
        <w:rPr>
          <w:color w:val="000000" w:themeColor="text1"/>
          <w:sz w:val="16"/>
          <w:szCs w:val="16"/>
        </w:rPr>
        <w:softHyphen/>
        <w:t>лета У-2.</w:t>
      </w:r>
    </w:p>
    <w:p w14:paraId="3BE436D7"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Летчик помещался в бронекабине простейших форм с толщиной брони от 6 до 13 мм (спереди — 13 мм, сзади — 10—13 мм, борта и пол — 6 мм), бронекозырек — 64 мм. Сразу же за кабиной в фю</w:t>
      </w:r>
      <w:r w:rsidRPr="00722885">
        <w:rPr>
          <w:color w:val="000000" w:themeColor="text1"/>
          <w:sz w:val="16"/>
          <w:szCs w:val="16"/>
        </w:rPr>
        <w:softHyphen/>
        <w:t>зеляже располагался небольшой отсек, который предполагалось использовать для размещения в нем патронных ящиков сменного состава пушеч</w:t>
      </w:r>
      <w:r w:rsidRPr="00722885">
        <w:rPr>
          <w:color w:val="000000" w:themeColor="text1"/>
          <w:sz w:val="16"/>
          <w:szCs w:val="16"/>
        </w:rPr>
        <w:softHyphen/>
        <w:t>ного вооружения. Для этого центроплан имел вы</w:t>
      </w:r>
      <w:r w:rsidRPr="00722885">
        <w:rPr>
          <w:color w:val="000000" w:themeColor="text1"/>
          <w:sz w:val="16"/>
          <w:szCs w:val="16"/>
        </w:rPr>
        <w:softHyphen/>
        <w:t>рез посередине. Без подвесок вооружения в отсеке можно было разместить 2 человек или 400 кг груза.</w:t>
      </w:r>
    </w:p>
    <w:p w14:paraId="3D18AFF2"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Это позволяло привлекать самолет для решения ряда транспортных и диверсионных задач.</w:t>
      </w:r>
    </w:p>
    <w:p w14:paraId="7722A895"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 устанавливались 2 мотора М-11ф (140 л.с.), что обе</w:t>
      </w:r>
      <w:r w:rsidRPr="00722885">
        <w:rPr>
          <w:color w:val="000000" w:themeColor="text1"/>
          <w:sz w:val="16"/>
          <w:szCs w:val="16"/>
        </w:rPr>
        <w:softHyphen/>
        <w:t>спечивало потребную грузоподъ</w:t>
      </w:r>
      <w:r w:rsidRPr="00722885">
        <w:rPr>
          <w:color w:val="000000" w:themeColor="text1"/>
          <w:sz w:val="16"/>
          <w:szCs w:val="16"/>
        </w:rPr>
        <w:softHyphen/>
        <w:t>емность, установку стрелково-пу- шечного вооружения вблизи оси самолета и хороший обзор летчику вперед и вниз. Сами моторы М-11ф были хорошо освоены промышлен</w:t>
      </w:r>
      <w:r w:rsidRPr="00722885">
        <w:rPr>
          <w:color w:val="000000" w:themeColor="text1"/>
          <w:sz w:val="16"/>
          <w:szCs w:val="16"/>
        </w:rPr>
        <w:softHyphen/>
        <w:t>ностью и летно-техническим соста</w:t>
      </w:r>
      <w:r w:rsidRPr="00722885">
        <w:rPr>
          <w:color w:val="000000" w:themeColor="text1"/>
          <w:sz w:val="16"/>
          <w:szCs w:val="16"/>
        </w:rPr>
        <w:softHyphen/>
        <w:t>вом, имели высокую надежность и невысокую стоимость в произ</w:t>
      </w:r>
      <w:r w:rsidRPr="00722885">
        <w:rPr>
          <w:color w:val="000000" w:themeColor="text1"/>
          <w:sz w:val="16"/>
          <w:szCs w:val="16"/>
        </w:rPr>
        <w:softHyphen/>
        <w:t>водстве и эксплуатации. По подсче</w:t>
      </w:r>
      <w:r w:rsidRPr="00722885">
        <w:rPr>
          <w:color w:val="000000" w:themeColor="text1"/>
          <w:sz w:val="16"/>
          <w:szCs w:val="16"/>
        </w:rPr>
        <w:softHyphen/>
        <w:t>там, 5 противотанковых самолетов конструкции Томашевича расходо</w:t>
      </w:r>
      <w:r w:rsidRPr="00722885">
        <w:rPr>
          <w:color w:val="000000" w:themeColor="text1"/>
          <w:sz w:val="16"/>
          <w:szCs w:val="16"/>
        </w:rPr>
        <w:softHyphen/>
        <w:t>вали при выполнении одного бое</w:t>
      </w:r>
      <w:r w:rsidRPr="00722885">
        <w:rPr>
          <w:color w:val="000000" w:themeColor="text1"/>
          <w:sz w:val="16"/>
          <w:szCs w:val="16"/>
        </w:rPr>
        <w:softHyphen/>
        <w:t>вого вылета столько же горючего, сколько требовалось для обеспече</w:t>
      </w:r>
      <w:r w:rsidRPr="00722885">
        <w:rPr>
          <w:color w:val="000000" w:themeColor="text1"/>
          <w:sz w:val="16"/>
          <w:szCs w:val="16"/>
        </w:rPr>
        <w:softHyphen/>
        <w:t>ния боевого вылета одного штур</w:t>
      </w:r>
      <w:r w:rsidRPr="00722885">
        <w:rPr>
          <w:color w:val="000000" w:themeColor="text1"/>
          <w:sz w:val="16"/>
          <w:szCs w:val="16"/>
        </w:rPr>
        <w:softHyphen/>
        <w:t>мовика Ил-2.</w:t>
      </w:r>
    </w:p>
    <w:p w14:paraId="07AA5BE3"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Для повышения боевой живуче</w:t>
      </w:r>
      <w:r w:rsidRPr="00722885">
        <w:rPr>
          <w:color w:val="000000" w:themeColor="text1"/>
          <w:sz w:val="16"/>
          <w:szCs w:val="16"/>
        </w:rPr>
        <w:softHyphen/>
        <w:t>сти каждый мотор питался от свое</w:t>
      </w:r>
      <w:r w:rsidRPr="00722885">
        <w:rPr>
          <w:color w:val="000000" w:themeColor="text1"/>
          <w:sz w:val="16"/>
          <w:szCs w:val="16"/>
        </w:rPr>
        <w:softHyphen/>
        <w:t>го бензобака, который располагал</w:t>
      </w:r>
      <w:r w:rsidRPr="00722885">
        <w:rPr>
          <w:color w:val="000000" w:themeColor="text1"/>
          <w:sz w:val="16"/>
          <w:szCs w:val="16"/>
        </w:rPr>
        <w:softHyphen/>
        <w:t>ся за мотором и являлся обтекателем мотогондолы. При возгорании в полете бензобак сбрасывался. В момент сбрасывания мотор переходил на пита</w:t>
      </w:r>
      <w:r w:rsidRPr="00722885">
        <w:rPr>
          <w:color w:val="000000" w:themeColor="text1"/>
          <w:sz w:val="16"/>
          <w:szCs w:val="16"/>
        </w:rPr>
        <w:softHyphen/>
        <w:t>ние от специального бронированного бачка (рас</w:t>
      </w:r>
      <w:r w:rsidRPr="00722885">
        <w:rPr>
          <w:color w:val="000000" w:themeColor="text1"/>
          <w:sz w:val="16"/>
          <w:szCs w:val="16"/>
        </w:rPr>
        <w:softHyphen/>
        <w:t>считанного на 30 мин полета).</w:t>
      </w:r>
    </w:p>
    <w:p w14:paraId="2D93BB67"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Отметим, что желание реализовать идею сбра</w:t>
      </w:r>
      <w:r w:rsidRPr="00722885">
        <w:rPr>
          <w:color w:val="000000" w:themeColor="text1"/>
          <w:sz w:val="16"/>
          <w:szCs w:val="16"/>
        </w:rPr>
        <w:softHyphen/>
        <w:t>сываемого бензобака предопределило располо</w:t>
      </w:r>
      <w:r w:rsidRPr="00722885">
        <w:rPr>
          <w:color w:val="000000" w:themeColor="text1"/>
          <w:sz w:val="16"/>
          <w:szCs w:val="16"/>
        </w:rPr>
        <w:softHyphen/>
        <w:t>жение мотора и баков под крылом. Как показали дальнейшие события, это решение создавало ряд трудностей при эксплуатации самолета.</w:t>
      </w:r>
    </w:p>
    <w:p w14:paraId="17893124"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Для получения высоких взлетно-посадочных свойств предполагалось использовать профиль крыла </w:t>
      </w:r>
      <w:r w:rsidRPr="00722885">
        <w:rPr>
          <w:color w:val="000000" w:themeColor="text1"/>
          <w:sz w:val="16"/>
          <w:szCs w:val="16"/>
          <w:lang w:val="en-US"/>
        </w:rPr>
        <w:t>NACA</w:t>
      </w:r>
      <w:r w:rsidRPr="00722885">
        <w:rPr>
          <w:color w:val="000000" w:themeColor="text1"/>
          <w:sz w:val="16"/>
          <w:szCs w:val="16"/>
        </w:rPr>
        <w:t xml:space="preserve"> 44 с высокими несущими свойствами, а также постоянные предкрылки (напротив элеро</w:t>
      </w:r>
      <w:r w:rsidRPr="00722885">
        <w:rPr>
          <w:color w:val="000000" w:themeColor="text1"/>
          <w:sz w:val="16"/>
          <w:szCs w:val="16"/>
        </w:rPr>
        <w:softHyphen/>
        <w:t>нов) и профилированные (над моторами) полуколь</w:t>
      </w:r>
      <w:r w:rsidRPr="00722885">
        <w:rPr>
          <w:color w:val="000000" w:themeColor="text1"/>
          <w:sz w:val="16"/>
          <w:szCs w:val="16"/>
        </w:rPr>
        <w:softHyphen/>
        <w:t>цевые капоты. По расчетам, все это, вместе взятое, должно обеспечивать устойчивый полет без свали</w:t>
      </w:r>
      <w:r w:rsidRPr="00722885">
        <w:rPr>
          <w:color w:val="000000" w:themeColor="text1"/>
          <w:sz w:val="16"/>
          <w:szCs w:val="16"/>
        </w:rPr>
        <w:softHyphen/>
        <w:t>вания до угла атаки 20°.</w:t>
      </w:r>
    </w:p>
    <w:p w14:paraId="052EF9F0"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Вооружение самолета состояло из крупнокали</w:t>
      </w:r>
      <w:r w:rsidRPr="00722885">
        <w:rPr>
          <w:color w:val="000000" w:themeColor="text1"/>
          <w:sz w:val="16"/>
          <w:szCs w:val="16"/>
        </w:rPr>
        <w:softHyphen/>
        <w:t>берного пулемета УБК (150 патронов) в носовом обтекателе фюзеляжа и 5 сменных составов бомбо</w:t>
      </w:r>
      <w:r w:rsidRPr="00722885">
        <w:rPr>
          <w:color w:val="000000" w:themeColor="text1"/>
          <w:sz w:val="16"/>
          <w:szCs w:val="16"/>
        </w:rPr>
        <w:softHyphen/>
        <w:t>вого, ракетного и пушечного оружия: 250 кг бомб, 4 РО-132, 1 37-мм пушка (50 снарядов), 2 пушки ВЯ калибра 23 мм (160 снарядов) и 4 «противо</w:t>
      </w:r>
      <w:r w:rsidRPr="00722885">
        <w:rPr>
          <w:color w:val="000000" w:themeColor="text1"/>
          <w:sz w:val="16"/>
          <w:szCs w:val="16"/>
        </w:rPr>
        <w:softHyphen/>
        <w:t>танковых автоматических ружья» калибра 14,5 мм (600 снарядов). Все сменные варианты размеща</w:t>
      </w:r>
      <w:r w:rsidRPr="00722885">
        <w:rPr>
          <w:color w:val="000000" w:themeColor="text1"/>
          <w:sz w:val="16"/>
          <w:szCs w:val="16"/>
        </w:rPr>
        <w:softHyphen/>
        <w:t>лись на специальных «мостах» (или лафетах) воору</w:t>
      </w:r>
      <w:r w:rsidRPr="00722885">
        <w:rPr>
          <w:color w:val="000000" w:themeColor="text1"/>
          <w:sz w:val="16"/>
          <w:szCs w:val="16"/>
        </w:rPr>
        <w:softHyphen/>
        <w:t>жения, которые подвешивались под фюзеляжем в районе центроплана.</w:t>
      </w:r>
    </w:p>
    <w:p w14:paraId="76372714"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отношении последнего варианта следует дать пояснения. Здесь имелись в виду автоматические пушки калибра 14,5 мм конструкции Салищева— Галкина и Волкова—Ярцева, которые в сентябре 1942 г. проходили испытания на НИП АВ ВВС.</w:t>
      </w:r>
    </w:p>
    <w:p w14:paraId="3CE321A0"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Отметим, что все указанные варианты воору</w:t>
      </w:r>
      <w:r w:rsidRPr="00722885">
        <w:rPr>
          <w:color w:val="000000" w:themeColor="text1"/>
          <w:sz w:val="16"/>
          <w:szCs w:val="16"/>
        </w:rPr>
        <w:softHyphen/>
        <w:t>жения, за исключением третьего и отчасти пятого, нельзя назвать противотанковыми. Особенно это касается условий боев начала 1943 г., когда легкие танки вермахта повсеместно были вытеснены бо</w:t>
      </w:r>
      <w:r w:rsidRPr="00722885">
        <w:rPr>
          <w:color w:val="000000" w:themeColor="text1"/>
          <w:sz w:val="16"/>
          <w:szCs w:val="16"/>
        </w:rPr>
        <w:softHyphen/>
        <w:t xml:space="preserve">лее мощными средними танками типа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IV</w:t>
      </w:r>
      <w:r w:rsidRPr="00722885">
        <w:rPr>
          <w:color w:val="000000" w:themeColor="text1"/>
          <w:sz w:val="16"/>
          <w:szCs w:val="16"/>
        </w:rPr>
        <w:t xml:space="preserve"> и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III</w:t>
      </w:r>
      <w:r w:rsidRPr="00722885">
        <w:rPr>
          <w:color w:val="000000" w:themeColor="text1"/>
          <w:sz w:val="16"/>
          <w:szCs w:val="16"/>
        </w:rPr>
        <w:t xml:space="preserve">, а также новыми толстобронными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VI</w:t>
      </w:r>
      <w:r w:rsidRPr="00722885">
        <w:rPr>
          <w:color w:val="000000" w:themeColor="text1"/>
          <w:sz w:val="16"/>
          <w:szCs w:val="16"/>
        </w:rPr>
        <w:t xml:space="preserve"> «Тигр», </w:t>
      </w:r>
      <w:r w:rsidRPr="00722885">
        <w:rPr>
          <w:color w:val="000000" w:themeColor="text1"/>
          <w:sz w:val="16"/>
          <w:szCs w:val="16"/>
          <w:lang w:val="en-US"/>
        </w:rPr>
        <w:t>Pz</w:t>
      </w:r>
      <w:r w:rsidRPr="00722885">
        <w:rPr>
          <w:color w:val="000000" w:themeColor="text1"/>
          <w:sz w:val="16"/>
          <w:szCs w:val="16"/>
        </w:rPr>
        <w:t>.</w:t>
      </w:r>
      <w:r w:rsidRPr="00722885">
        <w:rPr>
          <w:color w:val="000000" w:themeColor="text1"/>
          <w:sz w:val="16"/>
          <w:szCs w:val="16"/>
          <w:lang w:val="en-US"/>
        </w:rPr>
        <w:t>V</w:t>
      </w:r>
      <w:r w:rsidRPr="00722885">
        <w:rPr>
          <w:color w:val="000000" w:themeColor="text1"/>
          <w:sz w:val="16"/>
          <w:szCs w:val="16"/>
        </w:rPr>
        <w:t xml:space="preserve"> «Пантера» и </w:t>
      </w:r>
      <w:r w:rsidRPr="00722885">
        <w:rPr>
          <w:color w:val="000000" w:themeColor="text1"/>
          <w:sz w:val="16"/>
          <w:szCs w:val="16"/>
          <w:lang w:val="en-US"/>
        </w:rPr>
        <w:t>Jgd</w:t>
      </w:r>
      <w:r w:rsidRPr="00722885">
        <w:rPr>
          <w:color w:val="000000" w:themeColor="text1"/>
          <w:sz w:val="16"/>
          <w:szCs w:val="16"/>
        </w:rPr>
        <w:t xml:space="preserve"> </w:t>
      </w:r>
      <w:r w:rsidRPr="00722885">
        <w:rPr>
          <w:color w:val="000000" w:themeColor="text1"/>
          <w:sz w:val="16"/>
          <w:szCs w:val="16"/>
          <w:lang w:val="en-US"/>
        </w:rPr>
        <w:t>Pz</w:t>
      </w:r>
      <w:r w:rsidRPr="00722885">
        <w:rPr>
          <w:color w:val="000000" w:themeColor="text1"/>
          <w:sz w:val="16"/>
          <w:szCs w:val="16"/>
        </w:rPr>
        <w:t xml:space="preserve"> </w:t>
      </w:r>
      <w:r w:rsidRPr="00722885">
        <w:rPr>
          <w:color w:val="000000" w:themeColor="text1"/>
          <w:sz w:val="16"/>
          <w:szCs w:val="16"/>
          <w:lang w:val="en-US"/>
        </w:rPr>
        <w:t>Tiger</w:t>
      </w:r>
      <w:r w:rsidRPr="00722885">
        <w:rPr>
          <w:color w:val="000000" w:themeColor="text1"/>
          <w:sz w:val="16"/>
          <w:szCs w:val="16"/>
        </w:rPr>
        <w:t xml:space="preserve"> (</w:t>
      </w:r>
      <w:r w:rsidRPr="00722885">
        <w:rPr>
          <w:color w:val="000000" w:themeColor="text1"/>
          <w:sz w:val="16"/>
          <w:szCs w:val="16"/>
          <w:lang w:val="en-US"/>
        </w:rPr>
        <w:t>P</w:t>
      </w:r>
      <w:r w:rsidRPr="00722885">
        <w:rPr>
          <w:color w:val="000000" w:themeColor="text1"/>
          <w:sz w:val="16"/>
          <w:szCs w:val="16"/>
        </w:rPr>
        <w:t>) «Фердинанд». Един</w:t>
      </w:r>
      <w:r w:rsidRPr="00722885">
        <w:rPr>
          <w:color w:val="000000" w:themeColor="text1"/>
          <w:sz w:val="16"/>
          <w:szCs w:val="16"/>
        </w:rPr>
        <w:softHyphen/>
        <w:t>ственными бронецелями вермахта, с которыми штурмовик Д. Л. Томашевича еще мог как-то бороть</w:t>
      </w:r>
      <w:r w:rsidRPr="00722885">
        <w:rPr>
          <w:color w:val="000000" w:themeColor="text1"/>
          <w:sz w:val="16"/>
          <w:szCs w:val="16"/>
        </w:rPr>
        <w:softHyphen/>
        <w:t>ся, являлись легкобронированные САУ (типа «Ве- спе» и т.д.) и противотанковые СУ (типа «Мардер-</w:t>
      </w:r>
      <w:r w:rsidRPr="00722885">
        <w:rPr>
          <w:color w:val="000000" w:themeColor="text1"/>
          <w:sz w:val="16"/>
          <w:szCs w:val="16"/>
          <w:lang w:val="en-US"/>
        </w:rPr>
        <w:t>II</w:t>
      </w:r>
      <w:r w:rsidRPr="00722885">
        <w:rPr>
          <w:color w:val="000000" w:themeColor="text1"/>
          <w:sz w:val="16"/>
          <w:szCs w:val="16"/>
        </w:rPr>
        <w:t>» и «Мардер-</w:t>
      </w:r>
      <w:r w:rsidRPr="00722885">
        <w:rPr>
          <w:color w:val="000000" w:themeColor="text1"/>
          <w:sz w:val="16"/>
          <w:szCs w:val="16"/>
          <w:lang w:val="en-US"/>
        </w:rPr>
        <w:t>III</w:t>
      </w:r>
      <w:r w:rsidRPr="00722885">
        <w:rPr>
          <w:color w:val="000000" w:themeColor="text1"/>
          <w:sz w:val="16"/>
          <w:szCs w:val="16"/>
        </w:rPr>
        <w:t>»), созданные на базе легких танков. При этом если учесть соотношение полетного веса самолета и силы отдачи при стрельбе из пушек ка</w:t>
      </w:r>
      <w:r w:rsidRPr="00722885">
        <w:rPr>
          <w:color w:val="000000" w:themeColor="text1"/>
          <w:sz w:val="16"/>
          <w:szCs w:val="16"/>
        </w:rPr>
        <w:softHyphen/>
        <w:t>либра 23—37 мм, то можно смело утверждать, что единственным приемлемым составом вооружения самолета был пятый вариант. Более того, в рамках принятых весогабаритных параметров штурмови</w:t>
      </w:r>
      <w:r w:rsidRPr="00722885">
        <w:rPr>
          <w:color w:val="000000" w:themeColor="text1"/>
          <w:sz w:val="16"/>
          <w:szCs w:val="16"/>
        </w:rPr>
        <w:softHyphen/>
        <w:t>ка все попытки создать противотанковый самолет с мощным пушечным вооружением, обеспечиваю</w:t>
      </w:r>
      <w:r w:rsidRPr="00722885">
        <w:rPr>
          <w:color w:val="000000" w:themeColor="text1"/>
          <w:sz w:val="16"/>
          <w:szCs w:val="16"/>
        </w:rPr>
        <w:softHyphen/>
        <w:t>щим поражение средних и тяжелых танков, были заранее обречены на провал, что и подтвердили последующие испытания машины.</w:t>
      </w:r>
    </w:p>
    <w:p w14:paraId="708DDE99"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расчетам, при нормальном полетном ве</w:t>
      </w:r>
      <w:r w:rsidRPr="00722885">
        <w:rPr>
          <w:color w:val="000000" w:themeColor="text1"/>
          <w:sz w:val="16"/>
          <w:szCs w:val="16"/>
        </w:rPr>
        <w:softHyphen/>
        <w:t>се 1939 кг максимальная скорость полета само</w:t>
      </w:r>
      <w:r w:rsidRPr="00722885">
        <w:rPr>
          <w:color w:val="000000" w:themeColor="text1"/>
          <w:sz w:val="16"/>
          <w:szCs w:val="16"/>
        </w:rPr>
        <w:softHyphen/>
        <w:t>лета у земли составляла 207 км/ч, вертикальная скорость — 2,4 м/с, время подъема на высоту 1000 м — 8 мин, посадочная скорость — 90 км/ч, разбег — 320 м, пробег — 280 м, практический по</w:t>
      </w:r>
      <w:r w:rsidRPr="00722885">
        <w:rPr>
          <w:color w:val="000000" w:themeColor="text1"/>
          <w:sz w:val="16"/>
          <w:szCs w:val="16"/>
        </w:rPr>
        <w:softHyphen/>
        <w:t>толок — 2850 м.</w:t>
      </w:r>
    </w:p>
    <w:p w14:paraId="0DA18DDE"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Дальность полета у земли на скорости 0,7 мак</w:t>
      </w:r>
      <w:r w:rsidRPr="00722885">
        <w:rPr>
          <w:color w:val="000000" w:themeColor="text1"/>
          <w:sz w:val="16"/>
          <w:szCs w:val="16"/>
        </w:rPr>
        <w:softHyphen/>
        <w:t>симальной (145 км/ч) при запасе топлива в 135 кг достигала 520 км и при запасе топлива 270 кг — 1000 км.</w:t>
      </w:r>
    </w:p>
    <w:p w14:paraId="09CC41E9"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этом в сопроводительных материалах к проекту Д. Л. Томашевич гарантировал, «что само</w:t>
      </w:r>
      <w:r w:rsidRPr="00722885">
        <w:rPr>
          <w:color w:val="000000" w:themeColor="text1"/>
          <w:sz w:val="16"/>
          <w:szCs w:val="16"/>
        </w:rPr>
        <w:softHyphen/>
        <w:t>лет в реальном полете будет иметь расчетные лет</w:t>
      </w:r>
      <w:r w:rsidRPr="00722885">
        <w:rPr>
          <w:color w:val="000000" w:themeColor="text1"/>
          <w:sz w:val="16"/>
          <w:szCs w:val="16"/>
        </w:rPr>
        <w:softHyphen/>
        <w:t>ные данные».</w:t>
      </w:r>
    </w:p>
    <w:p w14:paraId="7C094D53"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Для реализации замысла Томашевич и руко</w:t>
      </w:r>
      <w:r w:rsidRPr="00722885">
        <w:rPr>
          <w:color w:val="000000" w:themeColor="text1"/>
          <w:sz w:val="16"/>
          <w:szCs w:val="16"/>
        </w:rPr>
        <w:softHyphen/>
        <w:t>водство ЦКБ-29 считали необходимым немедленно приступить к постройке 5 опытных экземпляров самолета на заводе № 288. Проектирование и по</w:t>
      </w:r>
      <w:r w:rsidRPr="00722885">
        <w:rPr>
          <w:color w:val="000000" w:themeColor="text1"/>
          <w:sz w:val="16"/>
          <w:szCs w:val="16"/>
        </w:rPr>
        <w:softHyphen/>
        <w:t>стройку опытных машин планировали завершить в течение не более 3 месяцев. То есть готовность первого опытного самолета ожидалась к 1 ноября 1942 г.</w:t>
      </w:r>
    </w:p>
    <w:p w14:paraId="0BE86683"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Одновременно требовалось выделить два се</w:t>
      </w:r>
      <w:r w:rsidRPr="00722885">
        <w:rPr>
          <w:color w:val="000000" w:themeColor="text1"/>
          <w:sz w:val="16"/>
          <w:szCs w:val="16"/>
        </w:rPr>
        <w:softHyphen/>
        <w:t>рийных завода («один — типа завода сельскохо</w:t>
      </w:r>
      <w:r w:rsidRPr="00722885">
        <w:rPr>
          <w:color w:val="000000" w:themeColor="text1"/>
          <w:sz w:val="16"/>
          <w:szCs w:val="16"/>
        </w:rPr>
        <w:softHyphen/>
        <w:t>зяйственных машин — для постройки самолетов, другой — типа завода № 29 — для изготовления авиамоторов»), на которых организовать выпуск противотанковых самолетов «немедленно после готовности серийной технологии и оснастки», «не</w:t>
      </w:r>
      <w:r w:rsidRPr="00722885">
        <w:rPr>
          <w:color w:val="000000" w:themeColor="text1"/>
          <w:sz w:val="16"/>
          <w:szCs w:val="16"/>
        </w:rPr>
        <w:softHyphen/>
        <w:t>зависимо от готовности опытных самолетов и окон</w:t>
      </w:r>
      <w:r w:rsidRPr="00722885">
        <w:rPr>
          <w:color w:val="000000" w:themeColor="text1"/>
          <w:sz w:val="16"/>
          <w:szCs w:val="16"/>
        </w:rPr>
        <w:softHyphen/>
        <w:t>чания их испытаний».</w:t>
      </w:r>
    </w:p>
    <w:p w14:paraId="6DB15EB8"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постройки первых пяти самолетов, кро</w:t>
      </w:r>
      <w:r w:rsidRPr="00722885">
        <w:rPr>
          <w:color w:val="000000" w:themeColor="text1"/>
          <w:sz w:val="16"/>
          <w:szCs w:val="16"/>
        </w:rPr>
        <w:softHyphen/>
        <w:t>ме обычных летных испытаний, предлагалось от</w:t>
      </w:r>
      <w:r w:rsidRPr="00722885">
        <w:rPr>
          <w:color w:val="000000" w:themeColor="text1"/>
          <w:sz w:val="16"/>
          <w:szCs w:val="16"/>
        </w:rPr>
        <w:softHyphen/>
        <w:t>работать тактику боя с танками, для чего выделить танковую часть и оборудовать недалеко от г. Омск специальный полигон.</w:t>
      </w:r>
    </w:p>
    <w:p w14:paraId="488B9C59" w14:textId="77777777" w:rsidR="00B83888" w:rsidRPr="00722885" w:rsidRDefault="00B8388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Расходы на постройку 5 опытных машин и про</w:t>
      </w:r>
      <w:r w:rsidRPr="00722885">
        <w:rPr>
          <w:color w:val="000000" w:themeColor="text1"/>
          <w:sz w:val="16"/>
          <w:szCs w:val="16"/>
        </w:rPr>
        <w:softHyphen/>
        <w:t>ведение летных и тактических испытаний, по оцен</w:t>
      </w:r>
      <w:r w:rsidRPr="00722885">
        <w:rPr>
          <w:color w:val="000000" w:themeColor="text1"/>
          <w:sz w:val="16"/>
          <w:szCs w:val="16"/>
        </w:rPr>
        <w:softHyphen/>
        <w:t>кам, составляли около 3 200 000 руб., а на подготов</w:t>
      </w:r>
      <w:r w:rsidRPr="00722885">
        <w:rPr>
          <w:color w:val="000000" w:themeColor="text1"/>
          <w:sz w:val="16"/>
          <w:szCs w:val="16"/>
        </w:rPr>
        <w:softHyphen/>
        <w:t>ку серийного производства, включая первоначаль</w:t>
      </w:r>
      <w:r w:rsidRPr="00722885">
        <w:rPr>
          <w:color w:val="000000" w:themeColor="text1"/>
          <w:sz w:val="16"/>
          <w:szCs w:val="16"/>
        </w:rPr>
        <w:softHyphen/>
        <w:t>ный серийный задел, — примерно 6 500 000 руб (17500).</w:t>
      </w:r>
    </w:p>
    <w:p w14:paraId="2EF9E490" w14:textId="77777777" w:rsidR="00B83888" w:rsidRPr="00722885" w:rsidRDefault="00B83888" w:rsidP="00722885">
      <w:pPr>
        <w:spacing w:after="0" w:line="240" w:lineRule="auto"/>
        <w:jc w:val="both"/>
        <w:rPr>
          <w:rFonts w:ascii="Times New Roman" w:eastAsia="Times New Roman" w:hAnsi="Times New Roman"/>
          <w:color w:val="000000" w:themeColor="text1"/>
          <w:sz w:val="16"/>
          <w:szCs w:val="16"/>
          <w:lang w:eastAsia="ru-RU"/>
        </w:rPr>
      </w:pPr>
    </w:p>
    <w:p w14:paraId="43C247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вышел приказ НКАП N 583с:</w:t>
      </w:r>
    </w:p>
    <w:p w14:paraId="0F313B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целях усиления стрелковой защиты самолетов ПС-84:</w:t>
      </w:r>
    </w:p>
    <w:p w14:paraId="6EB7FF2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Нач. 10 ГУ Тарасевичу и директору завода 84 Ярунину с 15 сентября 1942 выпускать самолеты ПС-84 с турелью УТК-1 под УЬП 12.7 мм, вместо турели МВ-3 под ШКАС (1582,40).</w:t>
      </w:r>
    </w:p>
    <w:p w14:paraId="23C4FBF3" w14:textId="77777777" w:rsidR="00AE7191" w:rsidRPr="00722885" w:rsidRDefault="00AE7191" w:rsidP="00722885">
      <w:pPr>
        <w:pStyle w:val="Iauiue"/>
        <w:jc w:val="both"/>
        <w:rPr>
          <w:color w:val="000000" w:themeColor="text1"/>
          <w:sz w:val="16"/>
          <w:szCs w:val="16"/>
        </w:rPr>
      </w:pPr>
    </w:p>
    <w:p w14:paraId="57025F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на аэродроме завода 166 в Омске закончились совместные испытания 103В (Ту-2) (796,26) с М-82А и АВ-5-167 (826), которые проходили С 15 декабря 1941 (826).</w:t>
      </w:r>
    </w:p>
    <w:p w14:paraId="111039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Скорость на 3200 м была только 528 км/час, а у земли - 460 км/час. В ходе испытаний вниз поставили БС и для обороны задней полусферы поставили неподвижно 4 РС-82 (1835,18).</w:t>
      </w:r>
    </w:p>
    <w:p w14:paraId="3682E2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другим данным это были предварительные испытания, а полные окончились 22 августа 1942 (1835,18).</w:t>
      </w:r>
    </w:p>
    <w:p w14:paraId="563035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акте, подписанном Е.К.Стоманом, Мируцом, М.П.Васякиным и утвержденным А.Н.Т. и директором завода 166 Соколовым говорилось (1835,18):</w:t>
      </w:r>
    </w:p>
    <w:p w14:paraId="128742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"...ВМГ работает неудовлетворительно (трещины в выхлопных коллекторах, падение давление масла, раскачка оборотов, перегрев мотора на земле). Недоведен М-82, велики усилия на секторах газа, сектора отходят с крайних положений, усложняется посадка самолета, с подъемом на высоту ухудшается работа автокорректора, неудовлетворительно работают свечи. Выброс масла из агрегатов на высоте более 5000 м...</w:t>
      </w:r>
    </w:p>
    <w:p w14:paraId="6A1990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103В 2М-82А по своей управляемости, устойчивости, взлетно-посадочным свойствам, а также маневренности и температурным режимам ВМГ удовлетворяет ТТТ... Самолет по технике пилотирования прост, напоминает СБ...(1835,19).</w:t>
      </w:r>
    </w:p>
    <w:p w14:paraId="71C87D65" w14:textId="77777777" w:rsidR="00AE7191" w:rsidRPr="00722885" w:rsidRDefault="00AE7191" w:rsidP="00722885">
      <w:pPr>
        <w:pStyle w:val="Iauiue"/>
        <w:jc w:val="both"/>
        <w:rPr>
          <w:color w:val="000000" w:themeColor="text1"/>
          <w:sz w:val="16"/>
          <w:szCs w:val="16"/>
        </w:rPr>
      </w:pPr>
    </w:p>
    <w:p w14:paraId="337F8D2B" w14:textId="77777777" w:rsidR="009C17EE" w:rsidRPr="00722885" w:rsidRDefault="009C17E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31 июля 1942 Воронов отдал приказ о расформирования звена автожиров. Над Камовым стали сгущаться тучи, хотя, если разобраться в ситуации, его вины в происходившем не было. В условиях военного времени завод №290 не смог обеспечить не только постройку новых автожиров, но даже полноценную модернизацию уже построенных. Машины постоянно преследовали поломки, причём большая их часть оказалась результатом неправильной эксплуатации.</w:t>
      </w:r>
    </w:p>
    <w:p w14:paraId="3F577FAA" w14:textId="77777777" w:rsidR="009C17EE" w:rsidRPr="00722885" w:rsidRDefault="009C17E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Окончательно активность по теме А-7 была свёрнута к началу 1943 года. Камов едва не попал под суд, но его спас заместитель наркома авиапромышленности А.Я. Яковлев. Известный авиаконструктор заступился за разработчиков А-7. Машине и её создателям просто не повезло (18227).</w:t>
      </w:r>
    </w:p>
    <w:p w14:paraId="1AC97CD2" w14:textId="77777777" w:rsidR="009C17EE" w:rsidRPr="00722885" w:rsidRDefault="009C17EE" w:rsidP="00722885">
      <w:pPr>
        <w:spacing w:after="0" w:line="240" w:lineRule="auto"/>
        <w:jc w:val="both"/>
        <w:rPr>
          <w:rFonts w:ascii="Times New Roman" w:hAnsi="Times New Roman"/>
          <w:color w:val="000000" w:themeColor="text1"/>
          <w:sz w:val="16"/>
          <w:szCs w:val="16"/>
        </w:rPr>
      </w:pPr>
    </w:p>
    <w:p w14:paraId="3EC63285"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48CF4ED" w14:textId="77777777" w:rsidR="00AE7191" w:rsidRPr="00722885" w:rsidRDefault="00AE7191" w:rsidP="00722885">
      <w:pPr>
        <w:pStyle w:val="Iauiue"/>
        <w:jc w:val="both"/>
        <w:rPr>
          <w:iCs/>
          <w:color w:val="000000" w:themeColor="text1"/>
          <w:sz w:val="16"/>
          <w:szCs w:val="16"/>
        </w:rPr>
      </w:pPr>
    </w:p>
    <w:p w14:paraId="3E9D156B"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31 июля 1942 года вышел приказ № 545 НКБ</w:t>
      </w:r>
    </w:p>
    <w:p w14:paraId="2B4B843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 целях увеличения выпуска минометных зарядов и максимальной механизации процесса их производства:</w:t>
      </w:r>
    </w:p>
    <w:p w14:paraId="0B1CCDE3"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Организовать при Московском филиале НИИ-6 Специальное бюро по минометным зарядам (5910, 7).</w:t>
      </w:r>
    </w:p>
    <w:p w14:paraId="6B133A01" w14:textId="77777777" w:rsidR="00AE7191" w:rsidRPr="00722885" w:rsidRDefault="00AE7191" w:rsidP="00722885">
      <w:pPr>
        <w:pStyle w:val="Iauiue"/>
        <w:tabs>
          <w:tab w:val="left" w:pos="11199"/>
        </w:tabs>
        <w:jc w:val="both"/>
        <w:rPr>
          <w:color w:val="000000" w:themeColor="text1"/>
          <w:sz w:val="16"/>
          <w:szCs w:val="16"/>
        </w:rPr>
      </w:pPr>
    </w:p>
    <w:p w14:paraId="63E7F23B"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31 Июля 1942 г.</w:t>
      </w:r>
    </w:p>
    <w:p w14:paraId="5444B0ED"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РГАЭ Фонд 8752 Опись 4 Дело 93 лист 119 – 118</w:t>
      </w:r>
    </w:p>
    <w:p w14:paraId="6A4458B9"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5B0CAF3C"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НАРОДНОГО КОМИССАРИАТА ТАНКОВОЙ ПРОМЫШЛЕННОСТИ СССР № 562с</w:t>
      </w:r>
    </w:p>
    <w:p w14:paraId="10AB7E92"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Москва</w:t>
      </w:r>
    </w:p>
    <w:p w14:paraId="1E235E7D"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"31" Июля 1942 г.</w:t>
      </w:r>
    </w:p>
    <w:p w14:paraId="4DECA4C5"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Совещание, созванное Наркоматом Танковой Промышленности в г. Москве по вопросу улучшения качества бронекорпусов, изготовляемых из брони высокой твердости, рассмотрело и одобрило представленные 3-м Главным Управлением НКТП проекты основных положений технологических инструкций по всем стадиям обработки бронедеталей и сварки корпусов. В целях быстрейшей реализации их в производстве и улучшения качества брони и бронекорпусов, ПРИКАЗЫВАЮ:</w:t>
      </w:r>
    </w:p>
    <w:p w14:paraId="0A79FEB9"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Директорам заводов: УЗТМ (т. Музруков), № 200 (т. Сочивко), № 264 (т. Суворов), № 112 (т. Рубинчик), № 183 (т. Максарев), № 174 (т. Кацнельсон), № 176 (т. Федотов), № 177 (т. Волков), № 178 (т. Скиба), № 180 (т. Орлов), № 37 (т. Фрезеров) и № 38 (т. Яковлев) на основе утвержденных основных положений по технологии производства и обработки брони, разработать производственные инструкции и выслать их после утверждения Главными инженерами заводов в 3-е Главное Управление НКТП. Разработку всех инструкций и их утверждение произвести в декадный срок с момента получения настоящего приказа, но не позже 15 августа с.г.</w:t>
      </w:r>
    </w:p>
    <w:p w14:paraId="052DBAEE"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Обязываю директоров заводов ежемесячно представлять в 3-е Главное Управление НКТП материалы по качеству получаемого бронелиста и качеству бронекорпусов с показателями брака по каждому переделу.</w:t>
      </w:r>
    </w:p>
    <w:p w14:paraId="4668E705"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Обращаю внимание директоров заводов на необходимость всемерного укрепления роли ОТК в деле контроля всех стадий бронепроизводства, а также на необходимость всемерного укрепления лабораторий и металлургических отделов.</w:t>
      </w:r>
    </w:p>
    <w:p w14:paraId="41738B40"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Директору ЦНИИ-48 тов. ЗАВЬЯЛОВУ А.С.:</w:t>
      </w:r>
    </w:p>
    <w:p w14:paraId="08B1E753"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в месячный срок составить и выпустить пособия по техминимуму для рабочих всех специальностей, связанных производством и обработкой брони;</w:t>
      </w:r>
    </w:p>
    <w:p w14:paraId="2C042329"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 в двухмесячный срок составить и выпустить руководство для инженерно-технических работников по производству, обработке и сварке брони.</w:t>
      </w:r>
    </w:p>
    <w:p w14:paraId="35C5A4BA"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Директорам всех заводов организовать техминимумы по всем технологическим инструкциям среди мастеров, бригадиров и технологов и произвести испытание сварщиков и резчиков. К сварке и резке допускать только рабочих, имеющих дипломы о сдаче соответствующих испытаний.</w:t>
      </w:r>
    </w:p>
    <w:p w14:paraId="7A4D3C53"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Директору завода № 183 т. Максареву обязать конструкторское бюро проработать конструктивные вопросы по корпусу Т-34 с целью уменьшения объема сварки, уменьшения наварных деталей на поверхности бронелистов, изменения шипов, уменьшения в допустимых пределах габаритов швов, согласовав указанные вопросы с НИИ-48.</w:t>
      </w:r>
    </w:p>
    <w:p w14:paraId="0010244F" w14:textId="77777777" w:rsidR="00291E17" w:rsidRPr="00722885" w:rsidRDefault="00291E1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ЗАМЕСТИТЕЛЬ НАРОДНОГО КОМИССАРА ТАНКОВОЙ ПРОМЫШЛЕННОСТИ СОЮЗА ССР подпись ЗЕРНОВ (21232).</w:t>
      </w:r>
    </w:p>
    <w:p w14:paraId="064D8A66" w14:textId="77777777" w:rsidR="00291E17" w:rsidRPr="00722885" w:rsidRDefault="00291E17" w:rsidP="00722885">
      <w:pPr>
        <w:spacing w:after="0" w:line="240" w:lineRule="auto"/>
        <w:jc w:val="both"/>
        <w:rPr>
          <w:rFonts w:ascii="Times New Roman" w:hAnsi="Times New Roman"/>
          <w:color w:val="0070C0"/>
          <w:sz w:val="16"/>
          <w:szCs w:val="16"/>
        </w:rPr>
      </w:pPr>
    </w:p>
    <w:p w14:paraId="5BA52F93"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B1EF3F0" w14:textId="77777777" w:rsidR="00AE7191" w:rsidRPr="00722885" w:rsidRDefault="00AE7191" w:rsidP="00722885">
      <w:pPr>
        <w:pStyle w:val="Iauiue"/>
        <w:jc w:val="both"/>
        <w:rPr>
          <w:iCs/>
          <w:color w:val="000000" w:themeColor="text1"/>
          <w:sz w:val="16"/>
          <w:szCs w:val="16"/>
        </w:rPr>
      </w:pPr>
    </w:p>
    <w:p w14:paraId="1D8140B7"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июля в 1942 году утреннее сообщение Совинформбюро:</w:t>
      </w:r>
    </w:p>
    <w:p w14:paraId="029C7025"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31 июля наши войска вели бои с противником в районе Воронежа, а также в районах Цымлянская, южнее и юго-восточнее Батайска и юго-западнее Клетской.</w:t>
      </w:r>
    </w:p>
    <w:p w14:paraId="4686EFBE"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41A81D9F"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вели бои с противником. Западнее города немцы пытались атаковать наши части, но были отброшены. В этом бою гитлеровцы потеряли свыше 200 солдат и офицеров. Активно действовала советская авиация. В течение суток наши лётчики уничтожили 12 немецких танков, 80 автомашин, подавили 5 артиллерийских и 2 миномётные батареи, взорвали 3 склада с боеприпасами, рассеяли и частью уничтожили до полутора батальонов пехоты противника. В воздушных боях сбито 6 и подбито 3 немецких истребителя.</w:t>
      </w:r>
    </w:p>
    <w:p w14:paraId="6985462F"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юго-западнее Клетской наши войска, отбивая атаки немцев, нанесли войскам противника большой урон. Только на одном участке за последние дни уничтожено 120 танков и свыше 2.000 солдат и офицеров противника. В районе населённого пункта Р. группа немецких танков прорвалась в расположение нашей части. Наши танкисты мощным контрударом подбили 12 танков и отбросили противника. Немецкое командование стремится прорвать линию обороны советских войск и бросает в бой свежие подкрепления. На одном из участков гитлеровцы послали в бой стрелковую бригаду финнов, поддержанную немецкими танками. Наши бойцы отбили атаку и уничтожили несколько сот белофиннов.</w:t>
      </w:r>
    </w:p>
    <w:p w14:paraId="38E268B8"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и юго-восточнее Батайска наши части отбивают ожесточённые атаки крупных танковых сил противника, наступающих при поддержке большого количества самолётов. Ценою больших потерь немцам удалось несколько продвинуться вперёд. Одно наше село защищали рота бойцов и подразделение противотанковых орудий. Немцы восемь раз переходили в атаку, но не могли сломить мужественных бойцов. Огнём орудий, гранатами и бутылками с зажигательной смесью они уничтожили 16 немецких танков. Противник потерял убитыми и ранеными свыше 400 человек. Только на другой день, получив приказ командования, бойцы отошли на новый рубеж.</w:t>
      </w:r>
    </w:p>
    <w:p w14:paraId="60D8270B"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происходили бои местного значения. Получив подкрепление, противник пытался на одном из участков прорвать передний край нашей обороны. Встреченные сильным миномётным огнём, гитлеровцы понесли большие потери и стали отходить. Наши бойцы воспользовались создавшейся обстановкой и ворвались в укреплённый противником населённый пункт. На другом участке танкисты под командованием т. Попова с трёх направлений атаковали усиленный вражеский моторизованный батальон и уничтожили 6 немецких танков, 16 автомашин, 12 противотанковых орудий и свыше 300 гитлеровцев.</w:t>
      </w:r>
    </w:p>
    <w:p w14:paraId="5F5EC6C8"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витебских партизан под командованием т. Л. в бою с немецкими захватчиками уничтожил 113 солдат и 7 немецких офицеров. Партизаны этого отряда взорвали два моста через реку.</w:t>
      </w:r>
    </w:p>
    <w:p w14:paraId="51FCD52D"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Пробравшийся через линию фронта в расположение наших частей колхозник А.П.Максимов из деревни Мякшено, Ленинградской области, рассказал: «Немцы замучили и расстреляли в деревне многих женщин, детей и стариков. Совхоз «Полоное» и 500 крестьян окрестных деревень немецкие власти передали барону Хильмону. Крестьяне работают у барона от зари до зари, не получая никакой платы. Помещик-барон издевается над крестьянами и кормит их проросшим овсом».</w:t>
      </w:r>
    </w:p>
    <w:p w14:paraId="6B8AF61D"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Орлеане (Франция) гитлеровцы арестовали около двухсот французов и приговорили их к каторжным работам. В связи с этим состоялась антигерманская демонстрация. Более тысячи французских патриотов собрались на вокзал проводить своих товарищей. Толпа оттеснила и смяла конвой. Многие арестованные бежали.» (14969).</w:t>
      </w:r>
    </w:p>
    <w:p w14:paraId="4D109D69" w14:textId="77777777" w:rsidR="00032351" w:rsidRPr="00722885" w:rsidRDefault="00032351" w:rsidP="00722885">
      <w:pPr>
        <w:spacing w:after="0" w:line="240" w:lineRule="auto"/>
        <w:jc w:val="both"/>
        <w:rPr>
          <w:rFonts w:ascii="Times New Roman" w:hAnsi="Times New Roman"/>
          <w:color w:val="000000" w:themeColor="text1"/>
          <w:sz w:val="16"/>
          <w:szCs w:val="16"/>
        </w:rPr>
      </w:pPr>
    </w:p>
    <w:p w14:paraId="1173AE1F"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июля в 1942 году вечернее сообщение Совинформбюро:</w:t>
      </w:r>
    </w:p>
    <w:p w14:paraId="1DEBA119"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31 июля наши войска вели бои в районах Клетская, Цымлянская, южнее и юго-восточнее Батайска.</w:t>
      </w:r>
    </w:p>
    <w:p w14:paraId="738FFAA5"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изменении не произошло.</w:t>
      </w:r>
    </w:p>
    <w:p w14:paraId="758F7F7A"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30 июля частями нашей авиации на различных участках фронта уничтожено или повреждено 56 немецких танков, 230 автомашин с войсками и грузами, 20 автоцистерн с горючим, взорвано 2 склада боеприпасов и 2 склада горючего, подавлен огонь 16 батарей полевой и зенитной артиллерии, разбито 2 железнодорожных состава, рассеяно и частью уничтожено до четырёх рот пехоты противника.</w:t>
      </w:r>
    </w:p>
    <w:p w14:paraId="1D1A6F1F"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Баренцовом море авиацией флота потоплен транспорт противника водоизмещением в 15.000 тонн.</w:t>
      </w:r>
    </w:p>
    <w:p w14:paraId="1A25BF39"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противник дважды переходил в контратаку, артиллерийским и миномётным огнём гитлеровцы были отброшены и понесли большие потери. Немецкая пехота при поддержке танков атаковала роту лейтенанта Акимова. Отбивая натиск врага, наши бойцы гранатами и бутылками с зажигательной смесью подожгли 4 танка и истребили 80 немецких солдат и офицеров.</w:t>
      </w:r>
    </w:p>
    <w:p w14:paraId="3525A1B5"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бою в районе южнее Клетской уничтожено 48 немецких танков, 17 противотанковых и 10 тяжёлых орудий, 21 автомашина и 3 броневика. Захвачены 3 танка и самолёт. На другом участке наши танкисты захватили 10 исправных немецких танков, которые сразу же были направлены в бой против гитлеровцев.</w:t>
      </w:r>
    </w:p>
    <w:p w14:paraId="7FB978D6"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Цымлянской продолжались упорные бои с группировкой противника, переправившейся на южный берег Дона. Только на участке одного нашего соединения уничтожено 9 немецких танков, 15 орудий, 23 пулемёта и 8 миномётных батарей. Противник потерял свыше 1.000 солдат и офицеров.</w:t>
      </w:r>
    </w:p>
    <w:p w14:paraId="095DB304"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и юго-восточнее Батайска наши войска вели тяжёлые оборонительные бои с противником. На отдельных участках после кровопролитного сражения наши части отошли на новые рубежи. Немцы потеряли в этом бою 13 танков, 18 орудии и свыше 600 человек убитыми. Моторизованной колонне противника в группе танков удалось зайти во фланг нашей части. Советские бойцы огнём из противотанковых орудий и ружей сожгли 5 танков и 7 автомашин. Затем наши танки и пехота перешли в контратаку. Немецкая колонна была рассечена на несколько групп и по частям уничтожена.</w:t>
      </w:r>
    </w:p>
    <w:p w14:paraId="6AA94AEF"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происходили бои местного значения. Немцы предприняли попытку вернуть занятый нашими войсками населённый пункт. При поддержке бомбардировочной авиации гитлеровцы дважды атаковали наши позиции. Бойцы части, где командиром тов. Важенин, встретили врага мощным артиллерийским, миномётным и ружейно-пулемётным огнём. Потеряв до 300 солдат и офицеров, немцы отступили. Огнём нашей зенитной артиллерии сбито 5 немецких самолётов.</w:t>
      </w:r>
    </w:p>
    <w:p w14:paraId="7BACB2A6"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велась редкая артиллерийская и пулемётная перестрелка. Огнём нашей артиллерии разрушено несколько блиндажей, взорван склад с боеприпасами, рассеяно и частью уничтожено несколько разведывательных групп и до двух рот пехоты противника. Снайперы Н-ского соединения за последние 10 дней истребили 260 немецких солдат и офицеров.</w:t>
      </w:r>
    </w:p>
    <w:p w14:paraId="2B4E85DD"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ленинградских партизан под командованием тов. Д. пустил под откос два железнодорожных эшелона противника. Разбито 50 вагонов, в большей части груженных автомашинами и танками. Под обломками вагонов погибло до 300 немецких оккупантов.</w:t>
      </w:r>
    </w:p>
    <w:p w14:paraId="7E7236FD"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50 полка 11 финской пехотной дивизии Юхо П. рассказал: «Финляндия зашла в тупик. Промышленность переживает полный застой. Сельское хозяйство пришло в упадок. Многие крестьяне весной засеяли лишь половину своей земли. Не хватало рабочих рук, не было семян и удобрений. Народ ненавидит немцев и считает их виновниками всех бед, обрушившихся на Финляндию. Недавно в городе Тампере в ресторан, где кутили немцы, кто-то бросил несколько гранат. В лесах скрывается большое количество солдат, бежавших с фронта. Они ловят немцев и шюцкоровцев и истребляют их».</w:t>
      </w:r>
    </w:p>
    <w:p w14:paraId="7EB48197"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чудовищном преступлении немецко-фашистских людоедов.</w:t>
      </w:r>
    </w:p>
    <w:p w14:paraId="6DDC7D75"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июля в Днепропетровске немцы арестовали 150 рабочих паровозных мастерских за отказ поехать на работу в Германию. Гитлеровские мерзавцы в течение семи дней морили арестованных рабочих голодом, а потом вывели их за город и расстреляли.» (14969).</w:t>
      </w:r>
    </w:p>
    <w:p w14:paraId="3EC5D83B" w14:textId="77777777" w:rsidR="00032351" w:rsidRPr="00722885" w:rsidRDefault="00032351" w:rsidP="00722885">
      <w:pPr>
        <w:spacing w:after="0" w:line="240" w:lineRule="auto"/>
        <w:jc w:val="both"/>
        <w:rPr>
          <w:rFonts w:ascii="Times New Roman" w:hAnsi="Times New Roman"/>
          <w:color w:val="000000" w:themeColor="text1"/>
          <w:sz w:val="16"/>
          <w:szCs w:val="16"/>
        </w:rPr>
      </w:pPr>
    </w:p>
    <w:p w14:paraId="47052A79" w14:textId="77777777" w:rsidR="001B2C96" w:rsidRPr="00722885" w:rsidRDefault="001B2C96" w:rsidP="00722885">
      <w:pPr>
        <w:pStyle w:val="ae"/>
        <w:spacing w:before="0" w:after="0"/>
        <w:jc w:val="both"/>
        <w:textAlignment w:val="baseline"/>
        <w:rPr>
          <w:color w:val="000000" w:themeColor="text1"/>
          <w:sz w:val="16"/>
          <w:szCs w:val="16"/>
        </w:rPr>
      </w:pPr>
      <w:r w:rsidRPr="00722885">
        <w:rPr>
          <w:color w:val="000000" w:themeColor="text1"/>
          <w:sz w:val="16"/>
          <w:szCs w:val="16"/>
        </w:rPr>
        <w:t>31 июля 1942 экипаж самолета-разведчика Су-2 из 8-го pan в составе лейтенантов Н. С. Терехина и А. Т. Степаненко совершал полет в ближнем тылу немецкой 6-й армии. Вскоре тихоходная машина была атакована шестью Bf-109. По утверждению бойцов, наблюдавших за боем, подбитая сушка направилась прямо на скопление германских танков и протаранила их (19522).</w:t>
      </w:r>
    </w:p>
    <w:p w14:paraId="2C3B3209" w14:textId="77777777" w:rsidR="001B2C96" w:rsidRPr="00722885" w:rsidRDefault="001B2C96" w:rsidP="00722885">
      <w:pPr>
        <w:pStyle w:val="ae"/>
        <w:spacing w:before="0" w:after="0"/>
        <w:jc w:val="both"/>
        <w:textAlignment w:val="baseline"/>
        <w:rPr>
          <w:color w:val="000000" w:themeColor="text1"/>
          <w:sz w:val="16"/>
          <w:szCs w:val="16"/>
        </w:rPr>
      </w:pPr>
    </w:p>
    <w:p w14:paraId="75FB4115" w14:textId="77777777" w:rsidR="00032351" w:rsidRPr="00722885" w:rsidRDefault="00032351" w:rsidP="00722885">
      <w:pPr>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31 июля в 1942 году на полуостровах Рыбачий и Средний создан Северный оборонительный район (расформирован 5 января 1945): 23-й укреплённый район и приданные ему артиллерийские, стрелковые и другие соединения и части армии и Северного флота; в оперативном подчинении торпедные катера и самолеты. Командующий - генерал-лейтенант С.И.Кабанов (август 1942 - сентябрь 1943), генерал-майор (с ноября 1944 генерал-лейтенант) Е.Т.Дубовцев (с сентября 1943). СоветскиевойскаоставилигородСальск</w:t>
      </w:r>
      <w:r w:rsidRPr="00722885">
        <w:rPr>
          <w:rFonts w:ascii="Times New Roman" w:hAnsi="Times New Roman"/>
          <w:color w:val="000000" w:themeColor="text1"/>
          <w:sz w:val="16"/>
          <w:szCs w:val="16"/>
          <w:lang w:val="en-US"/>
        </w:rPr>
        <w:t xml:space="preserve"> (14969).</w:t>
      </w:r>
    </w:p>
    <w:p w14:paraId="42FCBD36" w14:textId="77777777" w:rsidR="00032351" w:rsidRPr="00722885" w:rsidRDefault="00032351" w:rsidP="00722885">
      <w:pPr>
        <w:spacing w:after="0" w:line="240" w:lineRule="auto"/>
        <w:jc w:val="both"/>
        <w:rPr>
          <w:rFonts w:ascii="Times New Roman" w:hAnsi="Times New Roman"/>
          <w:color w:val="000000" w:themeColor="text1"/>
          <w:sz w:val="16"/>
          <w:szCs w:val="16"/>
          <w:lang w:val="en-US"/>
        </w:rPr>
      </w:pPr>
    </w:p>
    <w:p w14:paraId="74F3A0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lang w:val="en-US"/>
        </w:rPr>
        <w:t xml:space="preserve">July 31 1942 Paulus' 6th Army crosses the Don River and races for Stalingrad. Russian General Chuikov reinforces as fast as his railways allow. </w:t>
      </w:r>
      <w:r w:rsidRPr="00722885">
        <w:rPr>
          <w:color w:val="000000" w:themeColor="text1"/>
          <w:sz w:val="16"/>
          <w:szCs w:val="16"/>
        </w:rPr>
        <w:t>(1052).</w:t>
      </w:r>
    </w:p>
    <w:p w14:paraId="416AC150" w14:textId="77777777" w:rsidR="00AE7191" w:rsidRPr="00722885" w:rsidRDefault="00AE7191" w:rsidP="00722885">
      <w:pPr>
        <w:pStyle w:val="Iauiue"/>
        <w:jc w:val="both"/>
        <w:rPr>
          <w:color w:val="000000" w:themeColor="text1"/>
          <w:sz w:val="16"/>
          <w:szCs w:val="16"/>
        </w:rPr>
      </w:pPr>
    </w:p>
    <w:p w14:paraId="3786F2B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6 армия Паулюса форсировала Дон, а Чуйков подтягивал резервы (1052).</w:t>
      </w:r>
    </w:p>
    <w:p w14:paraId="4F19B8A9" w14:textId="77777777" w:rsidR="00AE7191" w:rsidRPr="00722885" w:rsidRDefault="00AE7191" w:rsidP="00722885">
      <w:pPr>
        <w:pStyle w:val="Iauiue"/>
        <w:jc w:val="both"/>
        <w:rPr>
          <w:color w:val="000000" w:themeColor="text1"/>
          <w:sz w:val="16"/>
          <w:szCs w:val="16"/>
        </w:rPr>
      </w:pPr>
    </w:p>
    <w:p w14:paraId="28CDF9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Днем 31 июля 1941 пароходы пароходы «Михаил Калинин» и «Вячеслав Молотов», шедшие рейсом из Астрахани, подошли к Сталинграду. Тут глазам матросов и пассажиров предстало страшное зрелище. Повсюду виднелись торчащие из воды и горящие баржи с нефтью, кое-где горящее топливо текло по реке, отравляя все вокруг едким черным дымом. Самого города из-за этого чадящего ада почти не было видно. И здесь же между нефтяными пятнами и плавающими обломками сновали суда и буксиры, непрерывным потоком перевозящие грузы с одного берега на другой. Вскоре в дымке показался порт. Когда корабли достигли причала, баржи с солдатами отцепили, быстро прошла высадка и посадка пассажиров, после чего «Калинин» и «Молотов» поспешили отправиться дальше вверх по Волге. Но до безопасных вод было еще далеко. В этот же день, 31 июля, немецкие бомбардировщики совершили налет на речную пристань Маркс, расположенную на левом берегу Волги, в 60 км северо-восточнее Саратова, а также продолжали атаковать суда и нефтекараваны на участке между Камышином и Никольским и минировать фарватер. В ночь на 1 августа экипаж He– 111 «1G+CR» из 7-й эскадрильи KG27 «Бельке» в ходе боевого вылета над Волгой обнаружил и атаковал нефтекараван, идущий вверх по течению. В результате прямых попаданий две баржи вспыхнули и затонули. В эти же дни у Садковского Яра в результате бомбардировки затонул грузовой теплоход «Осетия», который вез в Сталинград кавалерийских лошадей. На Бабаевском перекате, около острова Ступинского, подорвался на мине пассажирский теплоход «10 лет „Комсомольской правды“». Судно пошло под воду так быстр о, что все пассажиры и члены команды погибли. Лишь его капитану А. В. Семикову чудом удалось спастись. В районе Камышина подорвался на мине и утонул буксирный пароход «Союзный ЦИК». При этом погибла почти вся команда, а также трое детей. В этой обстановке у многих речников стали сдавать нервы. Опасаясь гибели, десятки матросов бежали с судов во время стоянок в городах, капитаны нередко затягивали выход в рейс под предлогом «дополнительного ремонта» и др. причин. В связи с этим Наркомату речного флота пришлось ввести на судах должность комиссара. В их обязанности входило вести политическую работу среди судовых команд и контролировать выполнение капитанами инструкций вышестоящего начальства (11774).</w:t>
      </w:r>
    </w:p>
    <w:p w14:paraId="00FC73D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FF5E9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был создан Северный оборонительный район для обороны п/о Рыбачий и Средний (3186).</w:t>
      </w:r>
    </w:p>
    <w:p w14:paraId="4807375C" w14:textId="77777777" w:rsidR="00AE7191" w:rsidRPr="00722885" w:rsidRDefault="00AE7191" w:rsidP="00722885">
      <w:pPr>
        <w:pStyle w:val="Iauiue"/>
        <w:jc w:val="both"/>
        <w:rPr>
          <w:color w:val="000000" w:themeColor="text1"/>
          <w:sz w:val="16"/>
          <w:szCs w:val="16"/>
        </w:rPr>
      </w:pPr>
    </w:p>
    <w:p w14:paraId="57E392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Президиум ВС издал Указ об учреждении орденов: Суворова, Кутузова, Александра Невского (3186).</w:t>
      </w:r>
    </w:p>
    <w:p w14:paraId="508655AB" w14:textId="77777777" w:rsidR="00AE7191" w:rsidRPr="00722885" w:rsidRDefault="00AE7191" w:rsidP="00722885">
      <w:pPr>
        <w:pStyle w:val="Iauiue"/>
        <w:jc w:val="both"/>
        <w:rPr>
          <w:color w:val="000000" w:themeColor="text1"/>
          <w:sz w:val="16"/>
          <w:szCs w:val="16"/>
        </w:rPr>
      </w:pPr>
    </w:p>
    <w:p w14:paraId="4C91671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012D0C18" w14:textId="77777777" w:rsidR="00AE7191" w:rsidRPr="00722885" w:rsidRDefault="00AE7191" w:rsidP="00722885">
      <w:pPr>
        <w:pStyle w:val="Iauiue"/>
        <w:jc w:val="both"/>
        <w:rPr>
          <w:iCs/>
          <w:color w:val="000000" w:themeColor="text1"/>
          <w:sz w:val="16"/>
          <w:szCs w:val="16"/>
        </w:rPr>
      </w:pPr>
    </w:p>
    <w:p w14:paraId="3835984F"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июля в 1942 году в Краснодоне возникла подпольная комсомольская организация «Молодая Гвардия» во главе с О.В.Кошевым (14969).</w:t>
      </w:r>
    </w:p>
    <w:p w14:paraId="7B20F340" w14:textId="77777777" w:rsidR="00032351" w:rsidRPr="00722885" w:rsidRDefault="00032351" w:rsidP="00722885">
      <w:pPr>
        <w:spacing w:after="0" w:line="240" w:lineRule="auto"/>
        <w:jc w:val="both"/>
        <w:rPr>
          <w:rFonts w:ascii="Times New Roman" w:hAnsi="Times New Roman"/>
          <w:color w:val="000000" w:themeColor="text1"/>
          <w:sz w:val="16"/>
          <w:szCs w:val="16"/>
        </w:rPr>
      </w:pPr>
    </w:p>
    <w:p w14:paraId="3A20E0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появилась очередная (их было несколько) директива НКВД и Прокуратуры СССР за № 308 о передаче заключенных в Красную Армию. Начальникам лагерей предписывалось совместно с прокурором пересмотреть личные дела “заключенных мужчин в возрасте до 40 лет из лиц, осужденных за бытовые и имущественные преступления”, и “по Вашему усмотрению независимо от срока наказания годных к строевой службе передать военкоматам”, выдав справки о досрочном освобождении. Всего в августе - сентябре по этой директиве в армию было передано 30 тысяч заключенных (7560).</w:t>
      </w:r>
    </w:p>
    <w:p w14:paraId="1A5BF5F5" w14:textId="77777777" w:rsidR="00AE7191" w:rsidRPr="00722885" w:rsidRDefault="00AE7191" w:rsidP="00722885">
      <w:pPr>
        <w:pStyle w:val="Iauiue"/>
        <w:jc w:val="both"/>
        <w:rPr>
          <w:color w:val="000000" w:themeColor="text1"/>
          <w:sz w:val="16"/>
          <w:szCs w:val="16"/>
        </w:rPr>
      </w:pPr>
    </w:p>
    <w:p w14:paraId="54F76C4E"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3302BDEF" w14:textId="77777777" w:rsidR="00AE7191" w:rsidRPr="00722885" w:rsidRDefault="00AE7191" w:rsidP="00722885">
      <w:pPr>
        <w:pStyle w:val="Iauiue"/>
        <w:jc w:val="both"/>
        <w:rPr>
          <w:iCs/>
          <w:color w:val="000000" w:themeColor="text1"/>
          <w:sz w:val="16"/>
          <w:szCs w:val="16"/>
        </w:rPr>
      </w:pPr>
    </w:p>
    <w:p w14:paraId="0B3D4C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года</w:t>
      </w:r>
    </w:p>
    <w:p w14:paraId="49A2DF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ПРЕМЬЕР-МИНИСТР ПРЕМЬЕРУ СТАЛИНУ</w:t>
      </w:r>
    </w:p>
    <w:p w14:paraId="085ACC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СОВЕРШЕННО СЕКРЕТНО</w:t>
      </w:r>
    </w:p>
    <w:p w14:paraId="1E57A9D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Мы принимаем предварительные подготовительные меры (смотрите мое следующее послание) для отправки большого конвоя 2 в Архангельск в первой неделе сентября.</w:t>
      </w:r>
    </w:p>
    <w:p w14:paraId="241BB8F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Я хотел бы, чтобы Вы пригласили меня встретиться с Вами лично в Астрахани, на Кавказе или в каком-либо другом подходящем месте. Мы могли бы совместно обсудить вопросы, связанные с войной, и в дружеском контакте принять совместные решения. Я мог бы сообщить Вам планы наступательных операций в 1942 г., согласованные мною с Президентом Рузвельтом. Я привез бы с собой моего начальника Имперского генерального штаба.</w:t>
      </w:r>
    </w:p>
    <w:p w14:paraId="569361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Я немедленно вылетаю в Каир. Как Вы легко можете себе представить, у меня там имеются серьезные дела. Оттуда я мог бы, если Вы этого пожелаете, сообщить Вам подходящую дату для нашей встречи, которая, поскольку дело касается меня, могла бы состояться между 10 и 13 августа, если, конечно, все будет благополучно.</w:t>
      </w:r>
    </w:p>
    <w:p w14:paraId="6F1604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Военный кабинет одобрил мои предложения (7430).</w:t>
      </w:r>
    </w:p>
    <w:p w14:paraId="3AB9A0F7" w14:textId="77777777" w:rsidR="00AE7191" w:rsidRPr="00722885" w:rsidRDefault="00AE7191" w:rsidP="00722885">
      <w:pPr>
        <w:pStyle w:val="Iauiue"/>
        <w:jc w:val="both"/>
        <w:rPr>
          <w:color w:val="000000" w:themeColor="text1"/>
          <w:sz w:val="16"/>
          <w:szCs w:val="16"/>
        </w:rPr>
      </w:pPr>
    </w:p>
    <w:p w14:paraId="7E60F4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года было получено:</w:t>
      </w:r>
    </w:p>
    <w:p w14:paraId="688DEB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ПРЕМЬЕР-МИНИСТР ПРЕМЬЕРУ СТАЛИНУ</w:t>
      </w:r>
    </w:p>
    <w:p w14:paraId="278FF7D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ЛИЧНО И СЕКРЕТНО</w:t>
      </w:r>
    </w:p>
    <w:p w14:paraId="592406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дополнение к моему предшествующему посланию. Мы принимаем предварительные меры к отправке конвоя в 40 судов в первую неделю сентября. Я должен, однако, прямо сказать, что, если угроза с воздуха для германских надводных судов в Баренцевом море не будет столь сильна, чтобы удержать их от операций против конвоя, у нас мало шансов, как показал опыт конвоя № 17, провести благополучно даже и треть судов. Как Вам, конечно, известно, это положение обсуждалось с Майским, и, насколько я понимаю, последний сообщил Вам, что мы считаем необходимым минимум защиты с воздуха (7430).</w:t>
      </w:r>
    </w:p>
    <w:p w14:paraId="56226DE0" w14:textId="77777777" w:rsidR="00AE7191" w:rsidRPr="00722885" w:rsidRDefault="00AE7191" w:rsidP="00722885">
      <w:pPr>
        <w:pStyle w:val="Iauiue"/>
        <w:jc w:val="both"/>
        <w:rPr>
          <w:color w:val="000000" w:themeColor="text1"/>
          <w:sz w:val="16"/>
          <w:szCs w:val="16"/>
        </w:rPr>
      </w:pPr>
    </w:p>
    <w:p w14:paraId="01DE0A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Правительства США и СССР обменялись нотами о продлении торгового соглашения до 6 августа 1943 (3186).</w:t>
      </w:r>
    </w:p>
    <w:p w14:paraId="3E48D8A9" w14:textId="77777777" w:rsidR="00AE7191" w:rsidRPr="00722885" w:rsidRDefault="00AE7191" w:rsidP="00722885">
      <w:pPr>
        <w:pStyle w:val="Iauiue"/>
        <w:jc w:val="both"/>
        <w:rPr>
          <w:color w:val="000000" w:themeColor="text1"/>
          <w:sz w:val="16"/>
          <w:szCs w:val="16"/>
        </w:rPr>
      </w:pPr>
    </w:p>
    <w:p w14:paraId="0BAC9FC5"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июля в 1942 году японскому послу в СССР Н.Сато даны указания создать основы для японского посредничества при восстановлении мира между Германией и Советским Союзом (14969).</w:t>
      </w:r>
    </w:p>
    <w:p w14:paraId="787A00E9" w14:textId="77777777" w:rsidR="00032351" w:rsidRPr="00722885" w:rsidRDefault="00032351" w:rsidP="00722885">
      <w:pPr>
        <w:spacing w:after="0" w:line="240" w:lineRule="auto"/>
        <w:jc w:val="both"/>
        <w:rPr>
          <w:rFonts w:ascii="Times New Roman" w:hAnsi="Times New Roman"/>
          <w:color w:val="000000" w:themeColor="text1"/>
          <w:sz w:val="16"/>
          <w:szCs w:val="16"/>
        </w:rPr>
      </w:pPr>
    </w:p>
    <w:p w14:paraId="7B81DB4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FC5737B" w14:textId="77777777" w:rsidR="00AE7191" w:rsidRPr="00722885" w:rsidRDefault="00AE7191" w:rsidP="00722885">
      <w:pPr>
        <w:pStyle w:val="Iauiue"/>
        <w:jc w:val="both"/>
        <w:rPr>
          <w:iCs/>
          <w:color w:val="000000" w:themeColor="text1"/>
          <w:sz w:val="16"/>
          <w:szCs w:val="16"/>
        </w:rPr>
      </w:pPr>
    </w:p>
    <w:p w14:paraId="14EBFCF1"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31 июля в 1942 году взлетел первый </w:t>
      </w:r>
      <w:hyperlink r:id="rId42" w:tgtFrame="_blank" w:history="1">
        <w:r w:rsidRPr="00722885">
          <w:rPr>
            <w:rFonts w:ascii="Times New Roman" w:hAnsi="Times New Roman"/>
            <w:color w:val="000000" w:themeColor="text1"/>
            <w:sz w:val="16"/>
            <w:szCs w:val="16"/>
          </w:rPr>
          <w:t xml:space="preserve">«Curtiss» «Hawk 75А-5» </w:t>
        </w:r>
      </w:hyperlink>
      <w:r w:rsidRPr="00722885">
        <w:rPr>
          <w:rFonts w:ascii="Times New Roman" w:hAnsi="Times New Roman"/>
          <w:color w:val="000000" w:themeColor="text1"/>
          <w:sz w:val="16"/>
          <w:szCs w:val="16"/>
        </w:rPr>
        <w:t>индийского производства. Собрали их немного, всего пять истребителей, далее завод полностью загрузили ремонтом самолетов, доставляемых с фронта. Модель самолета, собиравшаяся по лицензии в Китае, имела обозначение «Н75А-5». После того, как в Китае было построено несколько самолетов, производство было переведено в Индию, а самолеты «Нawk 75А-5» приобретены ВВС Великобритании под обозначением «Mohawk» «Mk.IV». Самолеты этого типа поставлялись в Норвегию, которая заказала 24 экземпляра модели «Нawk 75А-6», после чего еще 36 самолетов «Нawk 75А-8». Последние не были поставлены, так как шесть из них было передано Независимым норвежским силам в Канаде после оккупации Норвегии Германией, а оставшиеся 30 самолетов были реквизированы для службы в составе Авиационного корпуса сухопутных сил США под обозначением «Р-36G» (14969).</w:t>
      </w:r>
    </w:p>
    <w:p w14:paraId="3C53796D" w14:textId="77777777" w:rsidR="00032351" w:rsidRPr="00722885" w:rsidRDefault="00032351" w:rsidP="00722885">
      <w:pPr>
        <w:spacing w:after="0" w:line="240" w:lineRule="auto"/>
        <w:jc w:val="both"/>
        <w:rPr>
          <w:rFonts w:ascii="Times New Roman" w:hAnsi="Times New Roman"/>
          <w:color w:val="000000" w:themeColor="text1"/>
          <w:sz w:val="16"/>
          <w:szCs w:val="16"/>
        </w:rPr>
      </w:pPr>
    </w:p>
    <w:p w14:paraId="69661633"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31 июля в 1942 году состоялась официальная передача первого серийного </w:t>
      </w:r>
      <w:hyperlink r:id="rId43" w:tgtFrame="_blank" w:history="1">
        <w:r w:rsidRPr="00722885">
          <w:rPr>
            <w:rFonts w:ascii="Times New Roman" w:hAnsi="Times New Roman"/>
            <w:color w:val="000000" w:themeColor="text1"/>
            <w:sz w:val="16"/>
            <w:szCs w:val="16"/>
          </w:rPr>
          <w:t xml:space="preserve">«F4U-1» </w:t>
        </w:r>
      </w:hyperlink>
      <w:r w:rsidRPr="00722885">
        <w:rPr>
          <w:rFonts w:ascii="Times New Roman" w:hAnsi="Times New Roman"/>
          <w:color w:val="000000" w:themeColor="text1"/>
          <w:sz w:val="16"/>
          <w:szCs w:val="16"/>
        </w:rPr>
        <w:t>(заводской номер 02153) с двигателем «R-2800-82 мощностью 1970 л.с. американскому флоту, после чего самолет был направлен на авианосец "Сангамон" ("Sangamon") в залив Чесапик. Во время испытательных полетов была достигнута скорость 638 км/ч на высоте 7540 метров и скороподъемность 15,23 м/сек. Масса пустого составляла 4028 кг, а взлетный вес самолета 5388 кг (14969).</w:t>
      </w:r>
    </w:p>
    <w:p w14:paraId="0C6E86EF" w14:textId="77777777" w:rsidR="00032351" w:rsidRPr="00722885" w:rsidRDefault="00032351" w:rsidP="00722885">
      <w:pPr>
        <w:spacing w:after="0" w:line="240" w:lineRule="auto"/>
        <w:jc w:val="both"/>
        <w:rPr>
          <w:rFonts w:ascii="Times New Roman" w:hAnsi="Times New Roman"/>
          <w:color w:val="000000" w:themeColor="text1"/>
          <w:sz w:val="16"/>
          <w:szCs w:val="16"/>
        </w:rPr>
      </w:pPr>
    </w:p>
    <w:p w14:paraId="073B4197"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31 июля в 1942 году впервые поднялся в воздух </w:t>
      </w:r>
      <w:hyperlink r:id="rId44" w:tgtFrame="_blank" w:history="1">
        <w:r w:rsidRPr="00722885">
          <w:rPr>
            <w:rFonts w:ascii="Times New Roman" w:hAnsi="Times New Roman"/>
            <w:color w:val="000000" w:themeColor="text1"/>
            <w:sz w:val="16"/>
            <w:szCs w:val="16"/>
          </w:rPr>
          <w:t xml:space="preserve">«Do.217N». </w:t>
        </w:r>
      </w:hyperlink>
      <w:r w:rsidRPr="00722885">
        <w:rPr>
          <w:rFonts w:ascii="Times New Roman" w:hAnsi="Times New Roman"/>
          <w:color w:val="000000" w:themeColor="text1"/>
          <w:sz w:val="16"/>
          <w:szCs w:val="16"/>
        </w:rPr>
        <w:t>Кроме двигателей и сохранения заднего бомбоотсека он практически ничем не отличался от Do.217j-2 в варианте ночного истребителя. К этому времени «Do.217j-2» и его вариант с двигателем «DB-603А» - «Do.217N» использовались в нескольких эскадрильях ночных истребителей, хотя ни один из полков не был переоснащен на этот тип полностью и использовал самолеты "Дорнье" вместе с «Вf.110» (14969).</w:t>
      </w:r>
    </w:p>
    <w:p w14:paraId="074FEB44" w14:textId="77777777" w:rsidR="00032351" w:rsidRPr="00722885" w:rsidRDefault="00032351" w:rsidP="00722885">
      <w:pPr>
        <w:spacing w:after="0" w:line="240" w:lineRule="auto"/>
        <w:jc w:val="both"/>
        <w:rPr>
          <w:rFonts w:ascii="Times New Roman" w:hAnsi="Times New Roman"/>
          <w:color w:val="000000" w:themeColor="text1"/>
          <w:sz w:val="16"/>
          <w:szCs w:val="16"/>
        </w:rPr>
      </w:pPr>
    </w:p>
    <w:p w14:paraId="58BE1BAF" w14:textId="77777777" w:rsidR="00B44038" w:rsidRPr="00722885" w:rsidRDefault="00B4403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31 июля 1942 обширный, 800 км (500 миль) прожекторный пояс, созданный Германией для направления ночных истребителей к британским бомбардировщикам на их маршрутах в и из Германии, приказано расформировать, чтобы прожекторы могли быть перераспределены для точечной обороны отдельных немецких городов. Пояс прожекторов заменен еще более глубоким поясом наземных радаров, что позволяет немецким ночным истребителям перехватывать вражеские самолеты с гораздо большей степенью радиолокационного контроля (20793).</w:t>
      </w:r>
    </w:p>
    <w:p w14:paraId="1038F78C" w14:textId="77777777" w:rsidR="00B44038" w:rsidRPr="00722885" w:rsidRDefault="00B44038" w:rsidP="00722885">
      <w:pPr>
        <w:spacing w:after="0" w:line="240" w:lineRule="auto"/>
        <w:jc w:val="both"/>
        <w:rPr>
          <w:rFonts w:ascii="Times New Roman" w:hAnsi="Times New Roman"/>
          <w:color w:val="0070C0"/>
          <w:sz w:val="16"/>
          <w:szCs w:val="16"/>
        </w:rPr>
      </w:pPr>
    </w:p>
    <w:p w14:paraId="20014607"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July 31, 1942: Heavy RAF night raid on Dusseldorf (3819).</w:t>
      </w:r>
    </w:p>
    <w:p w14:paraId="6BE84877" w14:textId="77777777" w:rsidR="00AE7191" w:rsidRPr="00722885" w:rsidRDefault="00AE7191" w:rsidP="00722885">
      <w:pPr>
        <w:pStyle w:val="Iauiue"/>
        <w:jc w:val="both"/>
        <w:rPr>
          <w:color w:val="000000" w:themeColor="text1"/>
          <w:sz w:val="16"/>
          <w:szCs w:val="16"/>
          <w:lang w:val="en-US"/>
        </w:rPr>
      </w:pPr>
    </w:p>
    <w:p w14:paraId="4930F9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июля 1942 состоялся тяжелый налет Королевских ВВС на Дюссельдорф (3819).</w:t>
      </w:r>
    </w:p>
    <w:p w14:paraId="76ED6347" w14:textId="77777777" w:rsidR="00AE7191" w:rsidRPr="00722885" w:rsidRDefault="00AE7191" w:rsidP="00722885">
      <w:pPr>
        <w:pStyle w:val="Iauiue"/>
        <w:jc w:val="both"/>
        <w:rPr>
          <w:color w:val="000000" w:themeColor="text1"/>
          <w:sz w:val="16"/>
          <w:szCs w:val="16"/>
        </w:rPr>
      </w:pPr>
    </w:p>
    <w:p w14:paraId="0C068126" w14:textId="77777777" w:rsidR="00032351" w:rsidRPr="00722885" w:rsidRDefault="000323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июля в 1942 году США разместили в Великобритании 8-ю авиационную армию (400 боевых самолетов) (14969).</w:t>
      </w:r>
    </w:p>
    <w:p w14:paraId="70954713" w14:textId="77777777" w:rsidR="00032351" w:rsidRPr="00722885" w:rsidRDefault="00032351" w:rsidP="00722885">
      <w:pPr>
        <w:spacing w:after="0" w:line="240" w:lineRule="auto"/>
        <w:jc w:val="both"/>
        <w:rPr>
          <w:rFonts w:ascii="Times New Roman" w:hAnsi="Times New Roman"/>
          <w:color w:val="000000" w:themeColor="text1"/>
          <w:sz w:val="16"/>
          <w:szCs w:val="16"/>
        </w:rPr>
      </w:pPr>
    </w:p>
    <w:p w14:paraId="29D48D8E"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A47388E" w14:textId="77777777" w:rsidR="00AE7191" w:rsidRPr="00722885" w:rsidRDefault="00AE7191" w:rsidP="00722885">
      <w:pPr>
        <w:pStyle w:val="Iauiue"/>
        <w:jc w:val="both"/>
        <w:rPr>
          <w:iCs/>
          <w:color w:val="000000" w:themeColor="text1"/>
          <w:sz w:val="16"/>
          <w:szCs w:val="16"/>
        </w:rPr>
      </w:pPr>
    </w:p>
    <w:p w14:paraId="795193B9"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кон</w:t>
      </w:r>
      <w:r w:rsidRPr="00722885">
        <w:rPr>
          <w:color w:val="000000" w:themeColor="text1"/>
          <w:sz w:val="16"/>
          <w:szCs w:val="16"/>
        </w:rPr>
        <w:softHyphen/>
        <w:t>це июля 1942 после получения из НИП АВ отчета с материала</w:t>
      </w:r>
      <w:r w:rsidRPr="00722885">
        <w:rPr>
          <w:color w:val="000000" w:themeColor="text1"/>
          <w:sz w:val="16"/>
          <w:szCs w:val="16"/>
        </w:rPr>
        <w:softHyphen/>
        <w:t>ми испытаний вооружения самолетов Ил-2 и ЛаГГ-3 при действии по немецкой бронетехнике, специ</w:t>
      </w:r>
      <w:r w:rsidRPr="00722885">
        <w:rPr>
          <w:color w:val="000000" w:themeColor="text1"/>
          <w:sz w:val="16"/>
          <w:szCs w:val="16"/>
        </w:rPr>
        <w:softHyphen/>
        <w:t>алисты 2-го отдела (отдел по использованию опыта войны) Оперативного управления штаба ВВС выехали на участки Брянского и Западного фронтов с целью оценки эффективности действия немецкой авиации по бронетанковым частям Крас</w:t>
      </w:r>
      <w:r w:rsidRPr="00722885">
        <w:rPr>
          <w:color w:val="000000" w:themeColor="text1"/>
          <w:sz w:val="16"/>
          <w:szCs w:val="16"/>
        </w:rPr>
        <w:softHyphen/>
        <w:t>ной Армии.</w:t>
      </w:r>
    </w:p>
    <w:p w14:paraId="499D0EE0"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своем докладе по итогам командировки на фронт помощник начальника 2-го отдела военин</w:t>
      </w:r>
      <w:r w:rsidRPr="00722885">
        <w:rPr>
          <w:color w:val="000000" w:themeColor="text1"/>
          <w:sz w:val="16"/>
          <w:szCs w:val="16"/>
        </w:rPr>
        <w:softHyphen/>
        <w:t>женер 2-го ранга И. В. Пименов отмечал, что «в высших штабах танковых соединений /.../ данные об эффективности действия авиации по танкам (бо</w:t>
      </w:r>
      <w:r w:rsidRPr="00722885">
        <w:rPr>
          <w:color w:val="000000" w:themeColor="text1"/>
          <w:sz w:val="16"/>
          <w:szCs w:val="16"/>
        </w:rPr>
        <w:softHyphen/>
        <w:t>евые донесения и оперсводки танковых соедине</w:t>
      </w:r>
      <w:r w:rsidRPr="00722885">
        <w:rPr>
          <w:color w:val="000000" w:themeColor="text1"/>
          <w:sz w:val="16"/>
          <w:szCs w:val="16"/>
        </w:rPr>
        <w:softHyphen/>
        <w:t>ний) носят общий характер, без указания объектов и условий бомбометания, числа самолето-вылетов авиации противника непосредственно по танкам и конкретных результатов нападения». Все это «соз</w:t>
      </w:r>
      <w:r w:rsidRPr="00722885">
        <w:rPr>
          <w:color w:val="000000" w:themeColor="text1"/>
          <w:sz w:val="16"/>
          <w:szCs w:val="16"/>
        </w:rPr>
        <w:softHyphen/>
        <w:t>дает в высших танковых штабах явно преувеличен</w:t>
      </w:r>
      <w:r w:rsidRPr="00722885">
        <w:rPr>
          <w:color w:val="000000" w:themeColor="text1"/>
          <w:sz w:val="16"/>
          <w:szCs w:val="16"/>
        </w:rPr>
        <w:softHyphen/>
        <w:t>ное представление об эффективности действия авиации по танкам».</w:t>
      </w:r>
    </w:p>
    <w:p w14:paraId="29508C28"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анализ документов и заявлений команди</w:t>
      </w:r>
      <w:r w:rsidRPr="00722885">
        <w:rPr>
          <w:color w:val="000000" w:themeColor="text1"/>
          <w:sz w:val="16"/>
          <w:szCs w:val="16"/>
        </w:rPr>
        <w:softHyphen/>
        <w:t>ров частей и соединений 5-й танковой армии, под</w:t>
      </w:r>
      <w:r w:rsidRPr="00722885">
        <w:rPr>
          <w:color w:val="000000" w:themeColor="text1"/>
          <w:sz w:val="16"/>
          <w:szCs w:val="16"/>
        </w:rPr>
        <w:softHyphen/>
        <w:t>вижной механизированной группы генерал-майора Бычковского, 7-го танкового корпуса, 3-й гвардей</w:t>
      </w:r>
      <w:r w:rsidRPr="00722885">
        <w:rPr>
          <w:color w:val="000000" w:themeColor="text1"/>
          <w:sz w:val="16"/>
          <w:szCs w:val="16"/>
        </w:rPr>
        <w:softHyphen/>
        <w:t>ской, 62-й и 71-й танковых бригад показал, что тя</w:t>
      </w:r>
      <w:r w:rsidRPr="00722885">
        <w:rPr>
          <w:color w:val="000000" w:themeColor="text1"/>
          <w:sz w:val="16"/>
          <w:szCs w:val="16"/>
        </w:rPr>
        <w:softHyphen/>
        <w:t>желые и средние танки типа КВ-1 и Т-34 уничтожа</w:t>
      </w:r>
      <w:r w:rsidRPr="00722885">
        <w:rPr>
          <w:color w:val="000000" w:themeColor="text1"/>
          <w:sz w:val="16"/>
          <w:szCs w:val="16"/>
        </w:rPr>
        <w:softHyphen/>
        <w:t>ются только при прямом попадании бомбы круп</w:t>
      </w:r>
      <w:r w:rsidRPr="00722885">
        <w:rPr>
          <w:color w:val="000000" w:themeColor="text1"/>
          <w:sz w:val="16"/>
          <w:szCs w:val="16"/>
        </w:rPr>
        <w:softHyphen/>
        <w:t>ного калибра. Танк выводился из строя временно при попадании бомб крупного калибра 250—500 кг с взрывателем мгновенного действия на расстоя</w:t>
      </w:r>
      <w:r w:rsidRPr="00722885">
        <w:rPr>
          <w:color w:val="000000" w:themeColor="text1"/>
          <w:sz w:val="16"/>
          <w:szCs w:val="16"/>
        </w:rPr>
        <w:softHyphen/>
        <w:t>нии 1—1,5 м от танка или при прямом попадании фугасной 50-кг бомбы.</w:t>
      </w:r>
    </w:p>
    <w:p w14:paraId="121D99C6"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Прямое попадание бомбы в танк было случай</w:t>
      </w:r>
      <w:r w:rsidRPr="00722885">
        <w:rPr>
          <w:color w:val="000000" w:themeColor="text1"/>
          <w:sz w:val="16"/>
          <w:szCs w:val="16"/>
        </w:rPr>
        <w:softHyphen/>
        <w:t>ным явлением: «. даже бомбометание с пикирова</w:t>
      </w:r>
      <w:r w:rsidRPr="00722885">
        <w:rPr>
          <w:color w:val="000000" w:themeColor="text1"/>
          <w:sz w:val="16"/>
          <w:szCs w:val="16"/>
        </w:rPr>
        <w:softHyphen/>
        <w:t>ния с высоты 800—1000 м несколькими десятками самолетов не всегда дает желаемый результат».</w:t>
      </w:r>
    </w:p>
    <w:p w14:paraId="14A10019"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Легкие танки несут значительно большие поте</w:t>
      </w:r>
      <w:r w:rsidRPr="00722885">
        <w:rPr>
          <w:color w:val="000000" w:themeColor="text1"/>
          <w:sz w:val="16"/>
          <w:szCs w:val="16"/>
        </w:rPr>
        <w:softHyphen/>
        <w:t>ри, так как поражаются осколками крупных бомб на расстоянии до 10 м и, кроме того, несут поражение от огня авиационных пушек.</w:t>
      </w:r>
    </w:p>
    <w:p w14:paraId="7F8D7746"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Наибольшее поражение танкам наносится в том случае, если бомбометание производится по их плотному скоплению в районе переправ, в эше</w:t>
      </w:r>
      <w:r w:rsidRPr="00722885">
        <w:rPr>
          <w:color w:val="000000" w:themeColor="text1"/>
          <w:sz w:val="16"/>
          <w:szCs w:val="16"/>
        </w:rPr>
        <w:softHyphen/>
        <w:t>лонах или при выгрузке из них. Рассредоточение танков на 80—100 м вполне гарантирует их от по</w:t>
      </w:r>
      <w:r w:rsidRPr="00722885">
        <w:rPr>
          <w:color w:val="000000" w:themeColor="text1"/>
          <w:sz w:val="16"/>
          <w:szCs w:val="16"/>
        </w:rPr>
        <w:softHyphen/>
        <w:t>ражения как на марше, так и при расположении на месте, так как поражение в этом случае может быть только случайным.</w:t>
      </w:r>
    </w:p>
    <w:p w14:paraId="7125C179"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Значительные потери от авиационных бомб и пулеметно-пушечного огня самолетов несет не- окопавшаяся живая сила, в частности, мотопехота танковых бригад и вспомогательные технические средства (автотранспорт с боеприпасами, бензоци</w:t>
      </w:r>
      <w:r w:rsidRPr="00722885">
        <w:rPr>
          <w:color w:val="000000" w:themeColor="text1"/>
          <w:sz w:val="16"/>
          <w:szCs w:val="16"/>
        </w:rPr>
        <w:softHyphen/>
        <w:t>стерны и бензозаправщики, радиостанции и поход</w:t>
      </w:r>
      <w:r w:rsidRPr="00722885">
        <w:rPr>
          <w:color w:val="000000" w:themeColor="text1"/>
          <w:sz w:val="16"/>
          <w:szCs w:val="16"/>
        </w:rPr>
        <w:softHyphen/>
        <w:t>ные мастерские).</w:t>
      </w:r>
    </w:p>
    <w:p w14:paraId="507C2156"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Систематические массированные действия не</w:t>
      </w:r>
      <w:r w:rsidRPr="00722885">
        <w:rPr>
          <w:color w:val="000000" w:themeColor="text1"/>
          <w:sz w:val="16"/>
          <w:szCs w:val="16"/>
        </w:rPr>
        <w:softHyphen/>
        <w:t>мецкой авиации по нашим танковым частям и со</w:t>
      </w:r>
      <w:r w:rsidRPr="00722885">
        <w:rPr>
          <w:color w:val="000000" w:themeColor="text1"/>
          <w:sz w:val="16"/>
          <w:szCs w:val="16"/>
        </w:rPr>
        <w:softHyphen/>
        <w:t>единениям, не нанося серьезных потерь танкам, тем не менее сковывали их, отсекали мотопехоту, лишали возможности сближения с противником и продвижения на поле боя до момента достиже</w:t>
      </w:r>
      <w:r w:rsidRPr="00722885">
        <w:rPr>
          <w:color w:val="000000" w:themeColor="text1"/>
          <w:sz w:val="16"/>
          <w:szCs w:val="16"/>
        </w:rPr>
        <w:softHyphen/>
        <w:t>ния его боевых порядков, когда авиация противни</w:t>
      </w:r>
      <w:r w:rsidRPr="00722885">
        <w:rPr>
          <w:color w:val="000000" w:themeColor="text1"/>
          <w:sz w:val="16"/>
          <w:szCs w:val="16"/>
        </w:rPr>
        <w:softHyphen/>
        <w:t>ка «из-за боязни поражения своих танков кончает атаковывать танки».</w:t>
      </w:r>
    </w:p>
    <w:p w14:paraId="4517CD1D"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Бомбардировка танковых частей авиацией оправдывается только с точки зрения достижения тактического эффекта — задержки продвижения танков, особенно в дефиле (переправы, гати и т.п.) и в исходных пунктах для атаки. Бомбежки с целью уничтожения боевых машин могут дать некоторый эффект только в местах скопления — в эшелонах, на погрузке и выгрузке и т.п.</w:t>
      </w:r>
    </w:p>
    <w:p w14:paraId="3D24A874"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Командир 3-й гвардейской танковой брига</w:t>
      </w:r>
      <w:r w:rsidRPr="00722885">
        <w:rPr>
          <w:color w:val="000000" w:themeColor="text1"/>
          <w:sz w:val="16"/>
          <w:szCs w:val="16"/>
        </w:rPr>
        <w:softHyphen/>
        <w:t>ды полковник И.А. Вовченко показал: «В период с 6.7.42 по 14.7.42 бригаду ежедневно бомбила не</w:t>
      </w:r>
      <w:r w:rsidRPr="00722885">
        <w:rPr>
          <w:color w:val="000000" w:themeColor="text1"/>
          <w:sz w:val="16"/>
          <w:szCs w:val="16"/>
        </w:rPr>
        <w:softHyphen/>
        <w:t>мецкая авиация в среднем около 200 самолето-вы</w:t>
      </w:r>
      <w:r w:rsidRPr="00722885">
        <w:rPr>
          <w:color w:val="000000" w:themeColor="text1"/>
          <w:sz w:val="16"/>
          <w:szCs w:val="16"/>
        </w:rPr>
        <w:softHyphen/>
        <w:t>летов бомбардировщиков в день (10—12 налетов продолжительностью от 30 минут до 1,5 часа груп</w:t>
      </w:r>
      <w:r w:rsidRPr="00722885">
        <w:rPr>
          <w:color w:val="000000" w:themeColor="text1"/>
          <w:sz w:val="16"/>
          <w:szCs w:val="16"/>
        </w:rPr>
        <w:softHyphen/>
        <w:t>пами от 15 до 52 самолетов, из которых 1—15 ис</w:t>
      </w:r>
      <w:r w:rsidRPr="00722885">
        <w:rPr>
          <w:color w:val="000000" w:themeColor="text1"/>
          <w:sz w:val="16"/>
          <w:szCs w:val="16"/>
        </w:rPr>
        <w:softHyphen/>
        <w:t>требителей, иногда без прикрытия истребителей). Можно сказать, что немцы сейчас воюют на нашем участке фронта на 50% авиацией, на 40% артиллерией, на 9% танками и лишь на 1% пехотой. Не</w:t>
      </w:r>
      <w:r w:rsidRPr="00722885">
        <w:rPr>
          <w:color w:val="000000" w:themeColor="text1"/>
          <w:sz w:val="16"/>
          <w:szCs w:val="16"/>
        </w:rPr>
        <w:softHyphen/>
        <w:t>смотря на такие интенсивные бомбежки, бригада безвозвратных потерь от авиации не имела. За это время были два случая повреждения танков».</w:t>
      </w:r>
    </w:p>
    <w:p w14:paraId="425F3897"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7 июля в корму танка КВ-1 комиссара бригады старшего батальонного комиссара Седякина попа</w:t>
      </w:r>
      <w:r w:rsidRPr="00722885">
        <w:rPr>
          <w:color w:val="000000" w:themeColor="text1"/>
          <w:sz w:val="16"/>
          <w:szCs w:val="16"/>
        </w:rPr>
        <w:softHyphen/>
        <w:t>ла бомба калибра 50 кг. В результате взрыва было сорвано крыло, разбиты триплекс и телескопиче</w:t>
      </w:r>
      <w:r w:rsidRPr="00722885">
        <w:rPr>
          <w:color w:val="000000" w:themeColor="text1"/>
          <w:sz w:val="16"/>
          <w:szCs w:val="16"/>
        </w:rPr>
        <w:softHyphen/>
        <w:t>ский прицел. Экипаж остался цел, а сам танк остал</w:t>
      </w:r>
      <w:r w:rsidRPr="00722885">
        <w:rPr>
          <w:color w:val="000000" w:themeColor="text1"/>
          <w:sz w:val="16"/>
          <w:szCs w:val="16"/>
        </w:rPr>
        <w:softHyphen/>
        <w:t>ся на ходу и боеспособности не потерял.</w:t>
      </w:r>
    </w:p>
    <w:p w14:paraId="5A0AD983"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же день бомба калибром 500—1000 кг упала на расстоянии 0,5—0,8 м от танка командира бригады полковника Вовченко. От взрыва образо</w:t>
      </w:r>
      <w:r w:rsidRPr="00722885">
        <w:rPr>
          <w:color w:val="000000" w:themeColor="text1"/>
          <w:sz w:val="16"/>
          <w:szCs w:val="16"/>
        </w:rPr>
        <w:softHyphen/>
        <w:t>валась воронка диаметром 18 м и глубиной до 5 м. Танк основательно встряхнуло, затем он опустил</w:t>
      </w:r>
      <w:r w:rsidRPr="00722885">
        <w:rPr>
          <w:color w:val="000000" w:themeColor="text1"/>
          <w:sz w:val="16"/>
          <w:szCs w:val="16"/>
        </w:rPr>
        <w:softHyphen/>
        <w:t>ся в образовавшуюся воронку. У танка оказались разбитыми триплекс и телескопический прицел, сорвана гусеница. Экипаж был легко контужен. Че</w:t>
      </w:r>
      <w:r w:rsidRPr="00722885">
        <w:rPr>
          <w:color w:val="000000" w:themeColor="text1"/>
          <w:sz w:val="16"/>
          <w:szCs w:val="16"/>
        </w:rPr>
        <w:softHyphen/>
        <w:t>рез 5 часов исправленный танк и экипаж пошли в бой.</w:t>
      </w:r>
    </w:p>
    <w:p w14:paraId="6D475C91"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заявлению командира 1-го батальона 71-й танковой бригады майора Я. И. Плисова, в марте 1942 г. в районе г. Холм в поле остался один тяже</w:t>
      </w:r>
      <w:r w:rsidRPr="00722885">
        <w:rPr>
          <w:color w:val="000000" w:themeColor="text1"/>
          <w:sz w:val="16"/>
          <w:szCs w:val="16"/>
        </w:rPr>
        <w:softHyphen/>
        <w:t>лый танк КВ-1, который авиация противника пы</w:t>
      </w:r>
      <w:r w:rsidRPr="00722885">
        <w:rPr>
          <w:color w:val="000000" w:themeColor="text1"/>
          <w:sz w:val="16"/>
          <w:szCs w:val="16"/>
        </w:rPr>
        <w:softHyphen/>
        <w:t xml:space="preserve">талась уничтожить в течение двух дней. В общей сложности по танку «работало» около 60 самолетов </w:t>
      </w:r>
      <w:r w:rsidRPr="00722885">
        <w:rPr>
          <w:color w:val="000000" w:themeColor="text1"/>
          <w:sz w:val="16"/>
          <w:szCs w:val="16"/>
          <w:lang w:val="en-US"/>
        </w:rPr>
        <w:t>Ju</w:t>
      </w:r>
      <w:r w:rsidRPr="00722885">
        <w:rPr>
          <w:color w:val="000000" w:themeColor="text1"/>
          <w:sz w:val="16"/>
          <w:szCs w:val="16"/>
        </w:rPr>
        <w:t xml:space="preserve">87, </w:t>
      </w:r>
      <w:r w:rsidRPr="00722885">
        <w:rPr>
          <w:color w:val="000000" w:themeColor="text1"/>
          <w:sz w:val="16"/>
          <w:szCs w:val="16"/>
          <w:lang w:val="en-US"/>
        </w:rPr>
        <w:t>Ju</w:t>
      </w:r>
      <w:r w:rsidRPr="00722885">
        <w:rPr>
          <w:color w:val="000000" w:themeColor="text1"/>
          <w:sz w:val="16"/>
          <w:szCs w:val="16"/>
        </w:rPr>
        <w:t xml:space="preserve">88 и </w:t>
      </w:r>
      <w:r w:rsidRPr="00722885">
        <w:rPr>
          <w:color w:val="000000" w:themeColor="text1"/>
          <w:sz w:val="16"/>
          <w:szCs w:val="16"/>
          <w:lang w:val="en-US"/>
        </w:rPr>
        <w:t>He</w:t>
      </w:r>
      <w:r w:rsidRPr="00722885">
        <w:rPr>
          <w:color w:val="000000" w:themeColor="text1"/>
          <w:sz w:val="16"/>
          <w:szCs w:val="16"/>
        </w:rPr>
        <w:t>111. Пилоты Люфтваффе бомбили танк и с пикирования, и с горизонтального полета, но безрезультатно. Вся земля вокруг танка и в не</w:t>
      </w:r>
      <w:r w:rsidRPr="00722885">
        <w:rPr>
          <w:color w:val="000000" w:themeColor="text1"/>
          <w:sz w:val="16"/>
          <w:szCs w:val="16"/>
        </w:rPr>
        <w:softHyphen/>
        <w:t>посредственной близости от него была изрыта во</w:t>
      </w:r>
      <w:r w:rsidRPr="00722885">
        <w:rPr>
          <w:color w:val="000000" w:themeColor="text1"/>
          <w:sz w:val="16"/>
          <w:szCs w:val="16"/>
        </w:rPr>
        <w:softHyphen/>
        <w:t>ронками, но прямых попаданий не было. Осколки поражения танку не причинили.</w:t>
      </w:r>
    </w:p>
    <w:p w14:paraId="65B708AE"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этой же танковой бригаде 21 января 1942 г. в районе деревни Сопки Федулы колонна из 22 лег</w:t>
      </w:r>
      <w:r w:rsidRPr="00722885">
        <w:rPr>
          <w:color w:val="000000" w:themeColor="text1"/>
          <w:sz w:val="16"/>
          <w:szCs w:val="16"/>
        </w:rPr>
        <w:softHyphen/>
        <w:t>ких и средних танков, рассредоточенных на дистан</w:t>
      </w:r>
      <w:r w:rsidRPr="00722885">
        <w:rPr>
          <w:color w:val="000000" w:themeColor="text1"/>
          <w:sz w:val="16"/>
          <w:szCs w:val="16"/>
        </w:rPr>
        <w:softHyphen/>
        <w:t>ции 50—100 м один от другого, была атакована не</w:t>
      </w:r>
      <w:r w:rsidRPr="00722885">
        <w:rPr>
          <w:color w:val="000000" w:themeColor="text1"/>
          <w:sz w:val="16"/>
          <w:szCs w:val="16"/>
        </w:rPr>
        <w:softHyphen/>
        <w:t xml:space="preserve">мецкой авиацией. Самолеты </w:t>
      </w:r>
      <w:r w:rsidRPr="00722885">
        <w:rPr>
          <w:color w:val="000000" w:themeColor="text1"/>
          <w:sz w:val="16"/>
          <w:szCs w:val="16"/>
          <w:lang w:val="en-US"/>
        </w:rPr>
        <w:t>Ju</w:t>
      </w:r>
      <w:r w:rsidRPr="00722885">
        <w:rPr>
          <w:color w:val="000000" w:themeColor="text1"/>
          <w:sz w:val="16"/>
          <w:szCs w:val="16"/>
        </w:rPr>
        <w:t>88 двумя эшелонами по 24 самолета в каждом в течение двух часов бом</w:t>
      </w:r>
      <w:r w:rsidRPr="00722885">
        <w:rPr>
          <w:color w:val="000000" w:themeColor="text1"/>
          <w:sz w:val="16"/>
          <w:szCs w:val="16"/>
        </w:rPr>
        <w:softHyphen/>
        <w:t>били и обстреливали из пулеметов танки. Бомбили с пикирования с высоты 600 м и ниже. Зенитных средств в колонне не было. Истребительной ави</w:t>
      </w:r>
      <w:r w:rsidRPr="00722885">
        <w:rPr>
          <w:color w:val="000000" w:themeColor="text1"/>
          <w:sz w:val="16"/>
          <w:szCs w:val="16"/>
        </w:rPr>
        <w:softHyphen/>
        <w:t>ацией колонна также не прикрывалась. Поэтому условия бомбометания для противника были почти полигонными. Заход на цель самолеты делали с го</w:t>
      </w:r>
      <w:r w:rsidRPr="00722885">
        <w:rPr>
          <w:color w:val="000000" w:themeColor="text1"/>
          <w:sz w:val="16"/>
          <w:szCs w:val="16"/>
        </w:rPr>
        <w:softHyphen/>
        <w:t>ловы колонны вдоль нее. Сбрасывались фугасные бомбы калибра от 50 до 250 кг. Несмотря на то что бомбы рвались в 2—3 м от танков, ни один из них не пострадал. Только у одного танка был пробит масляный бак.</w:t>
      </w:r>
    </w:p>
    <w:p w14:paraId="39D4EB87"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В том же районе 6 </w:t>
      </w:r>
      <w:r w:rsidRPr="00722885">
        <w:rPr>
          <w:color w:val="000000" w:themeColor="text1"/>
          <w:sz w:val="16"/>
          <w:szCs w:val="16"/>
          <w:lang w:val="en-US"/>
        </w:rPr>
        <w:t>Ju</w:t>
      </w:r>
      <w:r w:rsidRPr="00722885">
        <w:rPr>
          <w:color w:val="000000" w:themeColor="text1"/>
          <w:sz w:val="16"/>
          <w:szCs w:val="16"/>
        </w:rPr>
        <w:t>88 атаковали 5 танков Т-34, которые выдвигались по дороге в сторону леса. Дистанция между танками была 50 м. Немецкие лет</w:t>
      </w:r>
      <w:r w:rsidRPr="00722885">
        <w:rPr>
          <w:color w:val="000000" w:themeColor="text1"/>
          <w:sz w:val="16"/>
          <w:szCs w:val="16"/>
        </w:rPr>
        <w:softHyphen/>
        <w:t>чики бомбили с пикирования. При этом высота вво</w:t>
      </w:r>
      <w:r w:rsidRPr="00722885">
        <w:rPr>
          <w:color w:val="000000" w:themeColor="text1"/>
          <w:sz w:val="16"/>
          <w:szCs w:val="16"/>
        </w:rPr>
        <w:softHyphen/>
        <w:t>да в пикирование составляла 1000—1200 м. Заход на цель выполнялся под углом 90° к колонне. Всего было сброшено 18 бомб калибром 250 и 500 кг. Все бомбы упали точно на дорогу, но в стороне от тан</w:t>
      </w:r>
      <w:r w:rsidRPr="00722885">
        <w:rPr>
          <w:color w:val="000000" w:themeColor="text1"/>
          <w:sz w:val="16"/>
          <w:szCs w:val="16"/>
        </w:rPr>
        <w:softHyphen/>
        <w:t>ков. Ни один из них не получил даже повреждений.</w:t>
      </w:r>
    </w:p>
    <w:p w14:paraId="385C7E99"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Со слов начальника штаба 71-й тбр майора Гольдберга, потери бригады от авиации против</w:t>
      </w:r>
      <w:r w:rsidRPr="00722885">
        <w:rPr>
          <w:color w:val="000000" w:themeColor="text1"/>
          <w:sz w:val="16"/>
          <w:szCs w:val="16"/>
        </w:rPr>
        <w:softHyphen/>
        <w:t>ника в период с 6 по 8 августа составили всего 2 танка — 11% всех потерь, от противотанковых мин — 16,6%, от противотанковой артиллерии — 72,4%. При этом все поврежденные авиацией танки к 10 августа были введены в строй.</w:t>
      </w:r>
    </w:p>
    <w:p w14:paraId="4F718447"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Подобное распределение потерь танков от раз</w:t>
      </w:r>
      <w:r w:rsidRPr="00722885">
        <w:rPr>
          <w:color w:val="000000" w:themeColor="text1"/>
          <w:sz w:val="16"/>
          <w:szCs w:val="16"/>
        </w:rPr>
        <w:softHyphen/>
        <w:t>личных средств борьбы подтверждается данными допроса пленного инженера по ремонту 1-й гер</w:t>
      </w:r>
      <w:r w:rsidRPr="00722885">
        <w:rPr>
          <w:color w:val="000000" w:themeColor="text1"/>
          <w:sz w:val="16"/>
          <w:szCs w:val="16"/>
        </w:rPr>
        <w:softHyphen/>
        <w:t>манской танковой дивизии (Калининский фронт). По его словам, наибольшие потери танки несли от огня нашей артиллерии и танков. На втором месте стоят потери от противотанковых мин, ручных гра</w:t>
      </w:r>
      <w:r w:rsidRPr="00722885">
        <w:rPr>
          <w:color w:val="000000" w:themeColor="text1"/>
          <w:sz w:val="16"/>
          <w:szCs w:val="16"/>
        </w:rPr>
        <w:softHyphen/>
        <w:t>нат и бутылок с зажигательной смесью. Наимень</w:t>
      </w:r>
      <w:r w:rsidRPr="00722885">
        <w:rPr>
          <w:color w:val="000000" w:themeColor="text1"/>
          <w:sz w:val="16"/>
          <w:szCs w:val="16"/>
        </w:rPr>
        <w:softHyphen/>
        <w:t>шие потери несли танки от действий нашей ави</w:t>
      </w:r>
      <w:r w:rsidRPr="00722885">
        <w:rPr>
          <w:color w:val="000000" w:themeColor="text1"/>
          <w:sz w:val="16"/>
          <w:szCs w:val="16"/>
        </w:rPr>
        <w:softHyphen/>
        <w:t>ации: случаи вывода из строя танков нашей авиа</w:t>
      </w:r>
      <w:r w:rsidRPr="00722885">
        <w:rPr>
          <w:color w:val="000000" w:themeColor="text1"/>
          <w:sz w:val="16"/>
          <w:szCs w:val="16"/>
        </w:rPr>
        <w:softHyphen/>
        <w:t>ции — единичны.</w:t>
      </w:r>
    </w:p>
    <w:p w14:paraId="50EC89AF"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Между тем наши авиационные командиры до</w:t>
      </w:r>
      <w:r w:rsidRPr="00722885">
        <w:rPr>
          <w:color w:val="000000" w:themeColor="text1"/>
          <w:sz w:val="16"/>
          <w:szCs w:val="16"/>
        </w:rPr>
        <w:softHyphen/>
        <w:t>кладывали о десятках уничтоженных танков про</w:t>
      </w:r>
      <w:r w:rsidRPr="00722885">
        <w:rPr>
          <w:color w:val="000000" w:themeColor="text1"/>
          <w:sz w:val="16"/>
          <w:szCs w:val="16"/>
        </w:rPr>
        <w:softHyphen/>
        <w:t>тивника. Например, штаб 8-й воздушной армии Юго-Западного фронта доложил командующему ВВС КА об уничтожении в период с 10 по 14 июня 1942 г. 202 танков вермахта, что составляло до 40% (!) от численности всех танков, действовавших в это время на харьковском направлении. И это при том, что группировка штурмовой и бомбардировочной авиации 8 ВА к 13 июня включала 120 истребите</w:t>
      </w:r>
      <w:r w:rsidRPr="00722885">
        <w:rPr>
          <w:color w:val="000000" w:themeColor="text1"/>
          <w:sz w:val="16"/>
          <w:szCs w:val="16"/>
        </w:rPr>
        <w:softHyphen/>
        <w:t>лей и только 20 штурмовиков Ил-2 и 18 дневных бомбардировщиков.</w:t>
      </w:r>
    </w:p>
    <w:p w14:paraId="1D6ADC03"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Командование ВВС КА вполне справедливо посчитало эти данные не только неправдивыми, но и неправдоподобными. Действительно, если учесть, что наземные части Юго-Западного фронта в этот период также уничтожали танки вермахта, причем в значительно большем количестве, чем авиация, то, казалось бы, из-за больших потерь в танках, близких к 90—100% от первоначального состава, немецкие войска должны были остано</w:t>
      </w:r>
      <w:r w:rsidRPr="00722885">
        <w:rPr>
          <w:color w:val="000000" w:themeColor="text1"/>
          <w:sz w:val="16"/>
          <w:szCs w:val="16"/>
        </w:rPr>
        <w:softHyphen/>
        <w:t>виться. Однако танковое наступление противника на этом направлении 14 июня и в последующие дни продолжалось с неубывающей силой.</w:t>
      </w:r>
    </w:p>
    <w:p w14:paraId="278725F9"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поводу причин случившегося штаб ВВС КА в своих указаниях от 20 июня отмечал: «.неправ</w:t>
      </w:r>
      <w:r w:rsidRPr="00722885">
        <w:rPr>
          <w:color w:val="000000" w:themeColor="text1"/>
          <w:sz w:val="16"/>
          <w:szCs w:val="16"/>
        </w:rPr>
        <w:softHyphen/>
        <w:t>доподобность донесений штабов воздушных армий является следствием того, что результаты боевых действий авиации никем не контролируются и до</w:t>
      </w:r>
      <w:r w:rsidRPr="00722885">
        <w:rPr>
          <w:color w:val="000000" w:themeColor="text1"/>
          <w:sz w:val="16"/>
          <w:szCs w:val="16"/>
        </w:rPr>
        <w:softHyphen/>
        <w:t>несения обычно составляются на основании докла</w:t>
      </w:r>
      <w:r w:rsidRPr="00722885">
        <w:rPr>
          <w:color w:val="000000" w:themeColor="text1"/>
          <w:sz w:val="16"/>
          <w:szCs w:val="16"/>
        </w:rPr>
        <w:softHyphen/>
        <w:t>дов экипажей самолетов, летавших на выполнение задания».</w:t>
      </w:r>
    </w:p>
    <w:p w14:paraId="06C894DB"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Еще более характерен факт, имевший место на Западном фронте, когда генералу армии Г. К. Жуко</w:t>
      </w:r>
      <w:r w:rsidRPr="00722885">
        <w:rPr>
          <w:color w:val="000000" w:themeColor="text1"/>
          <w:sz w:val="16"/>
          <w:szCs w:val="16"/>
        </w:rPr>
        <w:softHyphen/>
        <w:t>ву было доложено, что механизированная группа генерал-майора Бычковского в период с 4 по 9 ав</w:t>
      </w:r>
      <w:r w:rsidRPr="00722885">
        <w:rPr>
          <w:color w:val="000000" w:themeColor="text1"/>
          <w:sz w:val="16"/>
          <w:szCs w:val="16"/>
        </w:rPr>
        <w:softHyphen/>
        <w:t>густа потеряла 106 танков от воздействия авиации противника — 8 тяжелых, 63 средних и 35 легких. На самом же деле, как показало расследование, «из 106 выведенных из строя танков только 2 бы</w:t>
      </w:r>
      <w:r w:rsidRPr="00722885">
        <w:rPr>
          <w:color w:val="000000" w:themeColor="text1"/>
          <w:sz w:val="16"/>
          <w:szCs w:val="16"/>
        </w:rPr>
        <w:softHyphen/>
        <w:t>ли поражены авиацией противника, и это несмотря на весьма ожесточенные бомбардировки, которые проводил противник с малых высот».</w:t>
      </w:r>
    </w:p>
    <w:p w14:paraId="58034F67"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мнению военинженера 2-го ранга И. В. Пиме- нова, переоценка возможностей немецкой авиации при действии по танкам связывалась в значитель</w:t>
      </w:r>
      <w:r w:rsidRPr="00722885">
        <w:rPr>
          <w:color w:val="000000" w:themeColor="text1"/>
          <w:sz w:val="16"/>
          <w:szCs w:val="16"/>
        </w:rPr>
        <w:softHyphen/>
        <w:t>ной мере с массированным и целеустремленным ее применением над полем боя.</w:t>
      </w:r>
    </w:p>
    <w:p w14:paraId="120A04F4"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Особенностью действий немецкой авиации на атакованных участках фронта являлось непрерыв ное наблюдение за передним краем и районом расположения советской артиллерии на глубину 5—6 км патрулирующими разведчиками </w:t>
      </w:r>
      <w:r w:rsidRPr="00722885">
        <w:rPr>
          <w:color w:val="000000" w:themeColor="text1"/>
          <w:sz w:val="16"/>
          <w:szCs w:val="16"/>
          <w:lang w:val="en-US"/>
        </w:rPr>
        <w:t>Hs</w:t>
      </w:r>
      <w:r w:rsidRPr="00722885">
        <w:rPr>
          <w:color w:val="000000" w:themeColor="text1"/>
          <w:sz w:val="16"/>
          <w:szCs w:val="16"/>
        </w:rPr>
        <w:t xml:space="preserve">126 и </w:t>
      </w:r>
      <w:r w:rsidRPr="00722885">
        <w:rPr>
          <w:color w:val="000000" w:themeColor="text1"/>
          <w:sz w:val="16"/>
          <w:szCs w:val="16"/>
          <w:lang w:val="en-US"/>
        </w:rPr>
        <w:t>Fw</w:t>
      </w:r>
      <w:r w:rsidRPr="00722885">
        <w:rPr>
          <w:color w:val="000000" w:themeColor="text1"/>
          <w:sz w:val="16"/>
          <w:szCs w:val="16"/>
        </w:rPr>
        <w:t>189. При этом в силу малочисленности и сла</w:t>
      </w:r>
      <w:r w:rsidRPr="00722885">
        <w:rPr>
          <w:color w:val="000000" w:themeColor="text1"/>
          <w:sz w:val="16"/>
          <w:szCs w:val="16"/>
        </w:rPr>
        <w:softHyphen/>
        <w:t>бой активности наших истребителей разведчики противника буквально все время висели над рай</w:t>
      </w:r>
      <w:r w:rsidRPr="00722885">
        <w:rPr>
          <w:color w:val="000000" w:themeColor="text1"/>
          <w:sz w:val="16"/>
          <w:szCs w:val="16"/>
        </w:rPr>
        <w:softHyphen/>
        <w:t>оном расположения советских танковых корпусов.</w:t>
      </w:r>
    </w:p>
    <w:p w14:paraId="256CB2A6"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отмечал Пименов, «бросается в глаза еще одна деталь: авиация противника действовала не распыляясь, бомбила намеченный участок 2—3 раза подряд, а затем переносила свои действия на соседний участок, где повторяла то же самое». Над полем боя появлялись сразу большие группы бомбардировщиков, которые «работали» над це</w:t>
      </w:r>
      <w:r w:rsidRPr="00722885">
        <w:rPr>
          <w:color w:val="000000" w:themeColor="text1"/>
          <w:sz w:val="16"/>
          <w:szCs w:val="16"/>
        </w:rPr>
        <w:softHyphen/>
        <w:t>лью в течение 25—65 мин. При этом в отсутствие зенитного огня и противодействия в воздухе бом</w:t>
      </w:r>
      <w:r w:rsidRPr="00722885">
        <w:rPr>
          <w:color w:val="000000" w:themeColor="text1"/>
          <w:sz w:val="16"/>
          <w:szCs w:val="16"/>
        </w:rPr>
        <w:softHyphen/>
        <w:t>бометание производилось только с пикирования с небольшой высоты — 900—1000 м (высота сбро</w:t>
      </w:r>
      <w:r w:rsidRPr="00722885">
        <w:rPr>
          <w:color w:val="000000" w:themeColor="text1"/>
          <w:sz w:val="16"/>
          <w:szCs w:val="16"/>
        </w:rPr>
        <w:softHyphen/>
        <w:t>са бомб 500—600 м) одиночными самолетами. Вы</w:t>
      </w:r>
      <w:r w:rsidRPr="00722885">
        <w:rPr>
          <w:color w:val="000000" w:themeColor="text1"/>
          <w:sz w:val="16"/>
          <w:szCs w:val="16"/>
        </w:rPr>
        <w:softHyphen/>
        <w:t>бор конкретной цели осуществлялся каждым эки</w:t>
      </w:r>
      <w:r w:rsidRPr="00722885">
        <w:rPr>
          <w:color w:val="000000" w:themeColor="text1"/>
          <w:sz w:val="16"/>
          <w:szCs w:val="16"/>
        </w:rPr>
        <w:softHyphen/>
        <w:t>пажем самостоятельно. Благодаря этому точность была высокой.</w:t>
      </w:r>
    </w:p>
    <w:p w14:paraId="560E5203"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район цели был прикрыт огнем малока</w:t>
      </w:r>
      <w:r w:rsidRPr="00722885">
        <w:rPr>
          <w:color w:val="000000" w:themeColor="text1"/>
          <w:sz w:val="16"/>
          <w:szCs w:val="16"/>
        </w:rPr>
        <w:softHyphen/>
        <w:t>либерной зенитной артиллерии или крупнокали</w:t>
      </w:r>
      <w:r w:rsidRPr="00722885">
        <w:rPr>
          <w:color w:val="000000" w:themeColor="text1"/>
          <w:sz w:val="16"/>
          <w:szCs w:val="16"/>
        </w:rPr>
        <w:softHyphen/>
        <w:t>берных зенитных пулеметов, то бомбометание вы</w:t>
      </w:r>
      <w:r w:rsidRPr="00722885">
        <w:rPr>
          <w:color w:val="000000" w:themeColor="text1"/>
          <w:sz w:val="16"/>
          <w:szCs w:val="16"/>
        </w:rPr>
        <w:softHyphen/>
        <w:t>полнялось немецкими пилотами с горизонтального полета. В случае непрерывного прикрытия целей нашими истребителями противник почти не пока</w:t>
      </w:r>
      <w:r w:rsidRPr="00722885">
        <w:rPr>
          <w:color w:val="000000" w:themeColor="text1"/>
          <w:sz w:val="16"/>
          <w:szCs w:val="16"/>
        </w:rPr>
        <w:softHyphen/>
        <w:t>зывался над расположением наших войск.</w:t>
      </w:r>
    </w:p>
    <w:p w14:paraId="7E6D1068"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Бомбардировочная авиация противника «ста</w:t>
      </w:r>
      <w:r w:rsidRPr="00722885">
        <w:rPr>
          <w:color w:val="000000" w:themeColor="text1"/>
          <w:sz w:val="16"/>
          <w:szCs w:val="16"/>
        </w:rPr>
        <w:softHyphen/>
        <w:t>ралась не только нанести поражение живой силе и техническим средствам борьбы, но также сковать действия наших наземных войск, в первую очередь танковых, и морально подавить их длительным пребыванием самолетов над целью, дополняя бом</w:t>
      </w:r>
      <w:r w:rsidRPr="00722885">
        <w:rPr>
          <w:color w:val="000000" w:themeColor="text1"/>
          <w:sz w:val="16"/>
          <w:szCs w:val="16"/>
        </w:rPr>
        <w:softHyphen/>
        <w:t>бометание обстрелом из пулеметов».</w:t>
      </w:r>
    </w:p>
    <w:p w14:paraId="391B6563"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Между тем «продолжительные бомбардировки изматывают силы танковых экипажей и подрывают их моральное состояние». В 3-й гвардейской тан</w:t>
      </w:r>
      <w:r w:rsidRPr="00722885">
        <w:rPr>
          <w:color w:val="000000" w:themeColor="text1"/>
          <w:sz w:val="16"/>
          <w:szCs w:val="16"/>
        </w:rPr>
        <w:softHyphen/>
        <w:t>ковой бригаде, например, было зарегистрировано несколько случаев потери сознания экипажами в результате «колоссального нервного напряжения при непрерывных бомбежках немецкой авиации».</w:t>
      </w:r>
    </w:p>
    <w:p w14:paraId="6B0D4753" w14:textId="77777777" w:rsidR="0013300C" w:rsidRPr="00722885" w:rsidRDefault="0013300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Положение усугублялось тем обстоятельством, что красноармейцы оказались совершенно не об</w:t>
      </w:r>
      <w:r w:rsidRPr="00722885">
        <w:rPr>
          <w:color w:val="000000" w:themeColor="text1"/>
          <w:sz w:val="16"/>
          <w:szCs w:val="16"/>
        </w:rPr>
        <w:softHyphen/>
        <w:t>ученными «к отражению атак авиации пехотным оружием»: «У командного состава всех степеней имеет хождение мнение, что борьба с авиаци</w:t>
      </w:r>
      <w:r w:rsidRPr="00722885">
        <w:rPr>
          <w:color w:val="000000" w:themeColor="text1"/>
          <w:sz w:val="16"/>
          <w:szCs w:val="16"/>
        </w:rPr>
        <w:softHyphen/>
        <w:t>ей противника может вестись только путем при</w:t>
      </w:r>
      <w:r w:rsidRPr="00722885">
        <w:rPr>
          <w:color w:val="000000" w:themeColor="text1"/>
          <w:sz w:val="16"/>
          <w:szCs w:val="16"/>
        </w:rPr>
        <w:softHyphen/>
        <w:t>крытия истребителями». В результате «при от</w:t>
      </w:r>
      <w:r w:rsidRPr="00722885">
        <w:rPr>
          <w:color w:val="000000" w:themeColor="text1"/>
          <w:sz w:val="16"/>
          <w:szCs w:val="16"/>
        </w:rPr>
        <w:softHyphen/>
        <w:t>сутствии истребителей действия наземных войск во время налетов авиации противника парали</w:t>
      </w:r>
      <w:r w:rsidRPr="00722885">
        <w:rPr>
          <w:color w:val="000000" w:themeColor="text1"/>
          <w:sz w:val="16"/>
          <w:szCs w:val="16"/>
        </w:rPr>
        <w:softHyphen/>
        <w:t>зуется» (17500).</w:t>
      </w:r>
    </w:p>
    <w:p w14:paraId="77763C7A" w14:textId="77777777" w:rsidR="0013300C" w:rsidRPr="00722885" w:rsidRDefault="0013300C" w:rsidP="00722885">
      <w:pPr>
        <w:spacing w:after="0" w:line="240" w:lineRule="auto"/>
        <w:jc w:val="both"/>
        <w:rPr>
          <w:rFonts w:ascii="Times New Roman" w:hAnsi="Times New Roman"/>
          <w:color w:val="000000" w:themeColor="text1"/>
          <w:sz w:val="16"/>
          <w:szCs w:val="16"/>
        </w:rPr>
      </w:pPr>
    </w:p>
    <w:p w14:paraId="0DFB01F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июля месяца 1942 Шахурин распорядился приостановить работы по постройке пяти самолетов малой войсковой серии Су-6, а имеющийся задел за</w:t>
      </w:r>
      <w:r w:rsidRPr="00722885">
        <w:rPr>
          <w:rFonts w:ascii="Times New Roman" w:hAnsi="Times New Roman"/>
          <w:color w:val="000000" w:themeColor="text1"/>
          <w:sz w:val="16"/>
          <w:szCs w:val="16"/>
        </w:rPr>
        <w:softHyphen/>
        <w:t>консервировать.</w:t>
      </w:r>
    </w:p>
    <w:p w14:paraId="71864A7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этому времени оба летных экземпляра самолета Су-6 на</w:t>
      </w:r>
      <w:r w:rsidRPr="00722885">
        <w:rPr>
          <w:rFonts w:ascii="Times New Roman" w:hAnsi="Times New Roman"/>
          <w:color w:val="000000" w:themeColor="text1"/>
          <w:sz w:val="16"/>
          <w:szCs w:val="16"/>
        </w:rPr>
        <w:softHyphen/>
        <w:t>ходились в Молотове на заводе № 289 (территория моторо</w:t>
      </w:r>
      <w:r w:rsidRPr="00722885">
        <w:rPr>
          <w:rFonts w:ascii="Times New Roman" w:hAnsi="Times New Roman"/>
          <w:color w:val="000000" w:themeColor="text1"/>
          <w:sz w:val="16"/>
          <w:szCs w:val="16"/>
        </w:rPr>
        <w:softHyphen/>
        <w:t>строительного завода № 19), где на них предполагалось уста</w:t>
      </w:r>
      <w:r w:rsidRPr="00722885">
        <w:rPr>
          <w:rFonts w:ascii="Times New Roman" w:hAnsi="Times New Roman"/>
          <w:color w:val="000000" w:themeColor="text1"/>
          <w:sz w:val="16"/>
          <w:szCs w:val="16"/>
        </w:rPr>
        <w:softHyphen/>
        <w:t>новить новые моторы М-71ф и отработать винтомоторную группу. Все работы планировалось провести силами завода № 19. Первый экземпляр («81») отличался от второго экземп</w:t>
      </w:r>
      <w:r w:rsidRPr="00722885">
        <w:rPr>
          <w:rFonts w:ascii="Times New Roman" w:hAnsi="Times New Roman"/>
          <w:color w:val="000000" w:themeColor="text1"/>
          <w:sz w:val="16"/>
          <w:szCs w:val="16"/>
        </w:rPr>
        <w:softHyphen/>
        <w:t>ляра («82») отсутствием предкрылков и установкой восьми РО-82 вместо десяти. На нем не было пушек. В свое время на него планировалось установить пушки МП-6 калибра 23 мм, но они, как известно, были сняты с серийного производства.</w:t>
      </w:r>
    </w:p>
    <w:p w14:paraId="47E4E31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Трезво оценивая складывающуюся обстановку вокруг Су-6, П.О. Сухой принимает решение установить на самолет две пушки калибра 37 мм, устранить выявленные на государствен</w:t>
      </w:r>
      <w:r w:rsidRPr="00722885">
        <w:rPr>
          <w:rFonts w:ascii="Times New Roman" w:hAnsi="Times New Roman"/>
          <w:color w:val="000000" w:themeColor="text1"/>
          <w:sz w:val="16"/>
          <w:szCs w:val="16"/>
        </w:rPr>
        <w:softHyphen/>
        <w:t>ных испытаниях недостатки и доработать в соответствии с так</w:t>
      </w:r>
      <w:r w:rsidRPr="00722885">
        <w:rPr>
          <w:rFonts w:ascii="Times New Roman" w:hAnsi="Times New Roman"/>
          <w:color w:val="000000" w:themeColor="text1"/>
          <w:sz w:val="16"/>
          <w:szCs w:val="16"/>
        </w:rPr>
        <w:softHyphen/>
        <w:t>тико-техническими требованиями ВВС к самолету-штурмови</w:t>
      </w:r>
      <w:r w:rsidRPr="00722885">
        <w:rPr>
          <w:rFonts w:ascii="Times New Roman" w:hAnsi="Times New Roman"/>
          <w:color w:val="000000" w:themeColor="text1"/>
          <w:sz w:val="16"/>
          <w:szCs w:val="16"/>
        </w:rPr>
        <w:softHyphen/>
        <w:t>ку на 1943 г. На первом экземпляре модифицированной «шестерки» должны были монтироваться пушки 11П ОКБ-16 (в серии НС-37). На втором экземпляре — пушки Ш-37 ОКБ-15. При этом количество пулеметов ШКАС сокращалось до двух, а ра</w:t>
      </w:r>
      <w:r w:rsidRPr="00722885">
        <w:rPr>
          <w:rFonts w:ascii="Times New Roman" w:hAnsi="Times New Roman"/>
          <w:color w:val="000000" w:themeColor="text1"/>
          <w:sz w:val="16"/>
          <w:szCs w:val="16"/>
        </w:rPr>
        <w:softHyphen/>
        <w:t>кетных орудий — до шести. Боезапас к пушкам включал 80 снарядов, а к пулеметам — 1500 патронов. Срок готовности первого экземпляра устанавливался — ноябрь, а второго — де</w:t>
      </w:r>
      <w:r w:rsidRPr="00722885">
        <w:rPr>
          <w:rFonts w:ascii="Times New Roman" w:hAnsi="Times New Roman"/>
          <w:color w:val="000000" w:themeColor="text1"/>
          <w:sz w:val="16"/>
          <w:szCs w:val="16"/>
        </w:rPr>
        <w:softHyphen/>
        <w:t>кабрь 1942 г. (11474,412).</w:t>
      </w:r>
    </w:p>
    <w:p w14:paraId="32E809F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AD3668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6B11376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E87A6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июля 1942 г. закончили войсковые испытания Ту-2, а итоговый отчет был утвержден 22 августа.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0505205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19541ED" w14:textId="77777777" w:rsidR="009A014D" w:rsidRPr="00722885" w:rsidRDefault="009A01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 конце июля 1942 г. полеты на Ту-2 в ходе первого этапа войскоовых испытний, прекратили, а итоговый отчет был утвержден 22 августа. Выводы испытателей в целом были одобрительными. В заключении от</w:t>
      </w:r>
      <w:r w:rsidRPr="00722885">
        <w:rPr>
          <w:rFonts w:ascii="Times New Roman" w:hAnsi="Times New Roman"/>
          <w:color w:val="0070C0"/>
          <w:sz w:val="16"/>
          <w:szCs w:val="16"/>
          <w:lang w:eastAsia="ru-RU" w:bidi="ru-RU"/>
        </w:rPr>
        <w:softHyphen/>
        <w:t>чета записали: «Серийные самолеты Ту-2 постройки завода №166 по своим лет</w:t>
      </w:r>
      <w:r w:rsidRPr="00722885">
        <w:rPr>
          <w:rFonts w:ascii="Times New Roman" w:hAnsi="Times New Roman"/>
          <w:color w:val="0070C0"/>
          <w:sz w:val="16"/>
          <w:szCs w:val="16"/>
          <w:lang w:eastAsia="ru-RU" w:bidi="ru-RU"/>
        </w:rPr>
        <w:softHyphen/>
        <w:t>ным свойствам, надежности работы мото</w:t>
      </w:r>
      <w:r w:rsidRPr="00722885">
        <w:rPr>
          <w:rFonts w:ascii="Times New Roman" w:hAnsi="Times New Roman"/>
          <w:color w:val="0070C0"/>
          <w:sz w:val="16"/>
          <w:szCs w:val="16"/>
          <w:lang w:eastAsia="ru-RU" w:bidi="ru-RU"/>
        </w:rPr>
        <w:softHyphen/>
        <w:t>ров и вооружению могут быть использо</w:t>
      </w:r>
      <w:r w:rsidRPr="00722885">
        <w:rPr>
          <w:rFonts w:ascii="Times New Roman" w:hAnsi="Times New Roman"/>
          <w:color w:val="0070C0"/>
          <w:sz w:val="16"/>
          <w:szCs w:val="16"/>
          <w:lang w:eastAsia="ru-RU" w:bidi="ru-RU"/>
        </w:rPr>
        <w:softHyphen/>
        <w:t>ваны в боевой работе...» Но вместе с тем высоту полета ограничили 5000 м (до ко</w:t>
      </w:r>
      <w:r w:rsidRPr="00722885">
        <w:rPr>
          <w:rFonts w:ascii="Times New Roman" w:hAnsi="Times New Roman"/>
          <w:color w:val="0070C0"/>
          <w:sz w:val="16"/>
          <w:szCs w:val="16"/>
          <w:lang w:eastAsia="ru-RU" w:bidi="ru-RU"/>
        </w:rPr>
        <w:softHyphen/>
        <w:t>торой нормально работало БСМ-14). Ис</w:t>
      </w:r>
      <w:r w:rsidRPr="00722885">
        <w:rPr>
          <w:rFonts w:ascii="Times New Roman" w:hAnsi="Times New Roman"/>
          <w:color w:val="0070C0"/>
          <w:sz w:val="16"/>
          <w:szCs w:val="16"/>
          <w:lang w:eastAsia="ru-RU" w:bidi="ru-RU"/>
        </w:rPr>
        <w:softHyphen/>
        <w:t>пользованию самолета в качестве пики</w:t>
      </w:r>
      <w:r w:rsidRPr="00722885">
        <w:rPr>
          <w:rFonts w:ascii="Times New Roman" w:hAnsi="Times New Roman"/>
          <w:color w:val="0070C0"/>
          <w:sz w:val="16"/>
          <w:szCs w:val="16"/>
          <w:lang w:eastAsia="ru-RU" w:bidi="ru-RU"/>
        </w:rPr>
        <w:softHyphen/>
        <w:t>ровщика препятствовала перераскрутка винтов. Рекомендовали доработать не</w:t>
      </w:r>
      <w:r w:rsidRPr="00722885">
        <w:rPr>
          <w:rFonts w:ascii="Times New Roman" w:hAnsi="Times New Roman"/>
          <w:color w:val="0070C0"/>
          <w:sz w:val="16"/>
          <w:szCs w:val="16"/>
          <w:lang w:eastAsia="ru-RU" w:bidi="ru-RU"/>
        </w:rPr>
        <w:softHyphen/>
        <w:t>надежные тормоза колес, а также уси</w:t>
      </w:r>
      <w:r w:rsidRPr="00722885">
        <w:rPr>
          <w:rFonts w:ascii="Times New Roman" w:hAnsi="Times New Roman"/>
          <w:color w:val="0070C0"/>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722885">
        <w:rPr>
          <w:rFonts w:ascii="Times New Roman" w:hAnsi="Times New Roman"/>
          <w:color w:val="0070C0"/>
          <w:sz w:val="16"/>
          <w:szCs w:val="16"/>
          <w:lang w:eastAsia="ru-RU" w:bidi="ru-RU"/>
        </w:rPr>
        <w:softHyphen/>
        <w:t>рующем бомбардировщике Пе-2 еще ле</w:t>
      </w:r>
      <w:r w:rsidRPr="00722885">
        <w:rPr>
          <w:rFonts w:ascii="Times New Roman" w:hAnsi="Times New Roman"/>
          <w:color w:val="0070C0"/>
          <w:sz w:val="16"/>
          <w:szCs w:val="16"/>
          <w:lang w:eastAsia="ru-RU" w:bidi="ru-RU"/>
        </w:rPr>
        <w:softHyphen/>
        <w:t>том 1941 г. смонтировали два 12,7-мм пу</w:t>
      </w:r>
      <w:r w:rsidRPr="00722885">
        <w:rPr>
          <w:rFonts w:ascii="Times New Roman" w:hAnsi="Times New Roman"/>
          <w:color w:val="0070C0"/>
          <w:sz w:val="16"/>
          <w:szCs w:val="16"/>
          <w:lang w:eastAsia="ru-RU" w:bidi="ru-RU"/>
        </w:rPr>
        <w:softHyphen/>
        <w:t>лемета - один неподвижный в носу фю</w:t>
      </w:r>
      <w:r w:rsidRPr="00722885">
        <w:rPr>
          <w:rFonts w:ascii="Times New Roman" w:hAnsi="Times New Roman"/>
          <w:color w:val="0070C0"/>
          <w:sz w:val="16"/>
          <w:szCs w:val="16"/>
          <w:lang w:eastAsia="ru-RU" w:bidi="ru-RU"/>
        </w:rPr>
        <w:softHyphen/>
        <w:t>зеляжа, а второй - в люковой установке, стрелявшей вниз-назад. Позже к ним до</w:t>
      </w:r>
      <w:r w:rsidRPr="00722885">
        <w:rPr>
          <w:rFonts w:ascii="Times New Roman" w:hAnsi="Times New Roman"/>
          <w:color w:val="0070C0"/>
          <w:sz w:val="16"/>
          <w:szCs w:val="16"/>
          <w:lang w:eastAsia="ru-RU" w:bidi="ru-RU"/>
        </w:rPr>
        <w:softHyphen/>
        <w:t>бавили еще один крупнокалиберный пу</w:t>
      </w:r>
      <w:r w:rsidRPr="00722885">
        <w:rPr>
          <w:rFonts w:ascii="Times New Roman" w:hAnsi="Times New Roman"/>
          <w:color w:val="0070C0"/>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722885">
        <w:rPr>
          <w:rFonts w:ascii="Times New Roman" w:hAnsi="Times New Roman"/>
          <w:color w:val="0070C0"/>
          <w:sz w:val="16"/>
          <w:szCs w:val="16"/>
          <w:lang w:eastAsia="ru-RU" w:bidi="ru-RU"/>
        </w:rPr>
        <w:softHyphen/>
        <w:t>телям близко подходить к бомбардиров</w:t>
      </w:r>
      <w:r w:rsidRPr="00722885">
        <w:rPr>
          <w:rFonts w:ascii="Times New Roman" w:hAnsi="Times New Roman"/>
          <w:color w:val="0070C0"/>
          <w:sz w:val="16"/>
          <w:szCs w:val="16"/>
          <w:lang w:eastAsia="ru-RU" w:bidi="ru-RU"/>
        </w:rPr>
        <w:softHyphen/>
        <w:t>щику. Усиление неподвижного вооруже</w:t>
      </w:r>
      <w:r w:rsidRPr="00722885">
        <w:rPr>
          <w:rFonts w:ascii="Times New Roman" w:hAnsi="Times New Roman"/>
          <w:color w:val="0070C0"/>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722885">
        <w:rPr>
          <w:rFonts w:ascii="Times New Roman" w:hAnsi="Times New Roman"/>
          <w:color w:val="0070C0"/>
          <w:sz w:val="16"/>
          <w:szCs w:val="16"/>
          <w:lang w:eastAsia="ru-RU" w:bidi="ru-RU"/>
        </w:rPr>
        <w:softHyphen/>
        <w:t>довали поставить 12,7-мм пулеметы УБТ на обеих верхних установках - у штур</w:t>
      </w:r>
      <w:r w:rsidRPr="00722885">
        <w:rPr>
          <w:rFonts w:ascii="Times New Roman" w:hAnsi="Times New Roman"/>
          <w:color w:val="0070C0"/>
          <w:sz w:val="16"/>
          <w:szCs w:val="16"/>
          <w:lang w:eastAsia="ru-RU" w:bidi="ru-RU"/>
        </w:rPr>
        <w:softHyphen/>
        <w:t>мана и стрелка-радиста.</w:t>
      </w:r>
    </w:p>
    <w:p w14:paraId="560ED52C" w14:textId="77777777" w:rsidR="009A014D" w:rsidRPr="00722885" w:rsidRDefault="009A01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Недостатки тормозной системы не</w:t>
      </w:r>
      <w:r w:rsidRPr="00722885">
        <w:rPr>
          <w:rFonts w:ascii="Times New Roman" w:hAnsi="Times New Roman"/>
          <w:color w:val="0070C0"/>
          <w:sz w:val="16"/>
          <w:szCs w:val="16"/>
          <w:lang w:eastAsia="ru-RU" w:bidi="ru-RU"/>
        </w:rPr>
        <w:softHyphen/>
        <w:t>однократно приводили к неуправляе</w:t>
      </w:r>
      <w:r w:rsidRPr="00722885">
        <w:rPr>
          <w:rFonts w:ascii="Times New Roman" w:hAnsi="Times New Roman"/>
          <w:color w:val="0070C0"/>
          <w:sz w:val="16"/>
          <w:szCs w:val="16"/>
          <w:lang w:eastAsia="ru-RU" w:bidi="ru-RU"/>
        </w:rPr>
        <w:softHyphen/>
        <w:t>мому развороту на посадке. Так, при сдаточных испытаниях два раза под</w:t>
      </w:r>
      <w:r w:rsidRPr="00722885">
        <w:rPr>
          <w:rFonts w:ascii="Times New Roman" w:hAnsi="Times New Roman"/>
          <w:color w:val="0070C0"/>
          <w:sz w:val="16"/>
          <w:szCs w:val="16"/>
          <w:lang w:eastAsia="ru-RU" w:bidi="ru-RU"/>
        </w:rPr>
        <w:softHyphen/>
        <w:t>ряд, 7 и 16 июля, потерпели аварии но</w:t>
      </w:r>
      <w:r w:rsidRPr="00722885">
        <w:rPr>
          <w:rFonts w:ascii="Times New Roman" w:hAnsi="Times New Roman"/>
          <w:color w:val="0070C0"/>
          <w:sz w:val="16"/>
          <w:szCs w:val="16"/>
          <w:lang w:eastAsia="ru-RU" w:bidi="ru-RU"/>
        </w:rPr>
        <w:softHyphen/>
        <w:t>венькие бомбардировщики. Экипажи (летчиков Котякова и Бакина) не постра</w:t>
      </w:r>
      <w:r w:rsidRPr="00722885">
        <w:rPr>
          <w:rFonts w:ascii="Times New Roman" w:hAnsi="Times New Roman"/>
          <w:color w:val="0070C0"/>
          <w:sz w:val="16"/>
          <w:szCs w:val="16"/>
          <w:lang w:eastAsia="ru-RU" w:bidi="ru-RU"/>
        </w:rPr>
        <w:softHyphen/>
        <w:t>дали. Например, у майора В.Д. Бакина машину №100303 вывернуло вправо, что привело к поломке стойки шасси. Бы</w:t>
      </w:r>
      <w:r w:rsidRPr="00722885">
        <w:rPr>
          <w:rFonts w:ascii="Times New Roman" w:hAnsi="Times New Roman"/>
          <w:color w:val="0070C0"/>
          <w:sz w:val="16"/>
          <w:szCs w:val="16"/>
          <w:lang w:eastAsia="ru-RU" w:bidi="ru-RU"/>
        </w:rPr>
        <w:softHyphen/>
        <w:t>вали случаи, когда бомбардировщик де</w:t>
      </w:r>
      <w:r w:rsidRPr="00722885">
        <w:rPr>
          <w:rFonts w:ascii="Times New Roman" w:hAnsi="Times New Roman"/>
          <w:color w:val="0070C0"/>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722885">
        <w:rPr>
          <w:rFonts w:ascii="Times New Roman" w:hAnsi="Times New Roman"/>
          <w:color w:val="0070C0"/>
          <w:sz w:val="16"/>
          <w:szCs w:val="16"/>
          <w:lang w:eastAsia="ru-RU" w:bidi="ru-RU"/>
        </w:rPr>
        <w:softHyphen/>
        <w:t>молет летчика Полевого после посадки с разворотом вспыхнул; экипаж успел выбраться и отбежать.</w:t>
      </w:r>
    </w:p>
    <w:p w14:paraId="1214DC0B" w14:textId="77777777" w:rsidR="009A014D" w:rsidRPr="00722885" w:rsidRDefault="009A01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Дефекты серийных Ту-2 вызвали рас</w:t>
      </w:r>
      <w:r w:rsidRPr="00722885">
        <w:rPr>
          <w:rFonts w:ascii="Times New Roman" w:hAnsi="Times New Roman"/>
          <w:color w:val="0070C0"/>
          <w:sz w:val="16"/>
          <w:szCs w:val="16"/>
          <w:lang w:eastAsia="ru-RU" w:bidi="ru-RU"/>
        </w:rPr>
        <w:softHyphen/>
        <w:t>поряжение командования ВВС прекра</w:t>
      </w:r>
      <w:r w:rsidRPr="00722885">
        <w:rPr>
          <w:rFonts w:ascii="Times New Roman" w:hAnsi="Times New Roman"/>
          <w:color w:val="0070C0"/>
          <w:sz w:val="16"/>
          <w:szCs w:val="16"/>
          <w:lang w:eastAsia="ru-RU" w:bidi="ru-RU"/>
        </w:rPr>
        <w:softHyphen/>
        <w:t>тить приемку бомбардировщиков. НКАП направил на завод авторитетную комис</w:t>
      </w:r>
      <w:r w:rsidRPr="00722885">
        <w:rPr>
          <w:rFonts w:ascii="Times New Roman" w:hAnsi="Times New Roman"/>
          <w:color w:val="0070C0"/>
          <w:sz w:val="16"/>
          <w:szCs w:val="16"/>
          <w:lang w:eastAsia="ru-RU" w:bidi="ru-RU"/>
        </w:rPr>
        <w:softHyphen/>
        <w:t>сию во главе с известным авиаконструк</w:t>
      </w:r>
      <w:r w:rsidRPr="00722885">
        <w:rPr>
          <w:rFonts w:ascii="Times New Roman" w:hAnsi="Times New Roman"/>
          <w:color w:val="0070C0"/>
          <w:sz w:val="16"/>
          <w:szCs w:val="16"/>
          <w:lang w:eastAsia="ru-RU" w:bidi="ru-RU"/>
        </w:rPr>
        <w:softHyphen/>
        <w:t>тором Н.Н. Поликарповым. Члены комис</w:t>
      </w:r>
      <w:r w:rsidRPr="00722885">
        <w:rPr>
          <w:rFonts w:ascii="Times New Roman" w:hAnsi="Times New Roman"/>
          <w:color w:val="0070C0"/>
          <w:sz w:val="16"/>
          <w:szCs w:val="16"/>
          <w:lang w:eastAsia="ru-RU" w:bidi="ru-RU"/>
        </w:rPr>
        <w:softHyphen/>
        <w:t>сии согласились с заводскими испытате</w:t>
      </w:r>
      <w:r w:rsidRPr="00722885">
        <w:rPr>
          <w:rFonts w:ascii="Times New Roman" w:hAnsi="Times New Roman"/>
          <w:color w:val="0070C0"/>
          <w:sz w:val="16"/>
          <w:szCs w:val="16"/>
          <w:lang w:eastAsia="ru-RU" w:bidi="ru-RU"/>
        </w:rPr>
        <w:softHyphen/>
        <w:t xml:space="preserve">лями в том, что причиной разворотов на посадке </w:t>
      </w:r>
      <w:r w:rsidRPr="00722885">
        <w:rPr>
          <w:rFonts w:ascii="Times New Roman" w:hAnsi="Times New Roman"/>
          <w:color w:val="0070C0"/>
          <w:sz w:val="16"/>
          <w:szCs w:val="16"/>
          <w:lang w:eastAsia="ru-RU" w:bidi="ru-RU"/>
        </w:rPr>
        <w:lastRenderedPageBreak/>
        <w:t>является несинхронная работа тормозов правого и левого колес. Пред</w:t>
      </w:r>
      <w:r w:rsidRPr="00722885">
        <w:rPr>
          <w:rFonts w:ascii="Times New Roman" w:hAnsi="Times New Roman"/>
          <w:color w:val="0070C0"/>
          <w:sz w:val="16"/>
          <w:szCs w:val="16"/>
          <w:lang w:eastAsia="ru-RU" w:bidi="ru-RU"/>
        </w:rPr>
        <w:softHyphen/>
        <w:t>ложено было заменить тормозную гидро</w:t>
      </w:r>
      <w:r w:rsidRPr="00722885">
        <w:rPr>
          <w:rFonts w:ascii="Times New Roman" w:hAnsi="Times New Roman"/>
          <w:color w:val="0070C0"/>
          <w:sz w:val="16"/>
          <w:szCs w:val="16"/>
          <w:lang w:eastAsia="ru-RU" w:bidi="ru-RU"/>
        </w:rPr>
        <w:softHyphen/>
        <w:t>систему, скопированную туполевцами по настоянию ВВС с немецкого бомбарди</w:t>
      </w:r>
      <w:r w:rsidRPr="00722885">
        <w:rPr>
          <w:rFonts w:ascii="Times New Roman" w:hAnsi="Times New Roman"/>
          <w:color w:val="0070C0"/>
          <w:sz w:val="16"/>
          <w:szCs w:val="16"/>
          <w:lang w:eastAsia="ru-RU" w:bidi="ru-RU"/>
        </w:rPr>
        <w:softHyphen/>
        <w:t xml:space="preserve">ровщика </w:t>
      </w:r>
      <w:r w:rsidRPr="00722885">
        <w:rPr>
          <w:rFonts w:ascii="Times New Roman" w:hAnsi="Times New Roman"/>
          <w:color w:val="0070C0"/>
          <w:sz w:val="16"/>
          <w:szCs w:val="16"/>
          <w:lang w:val="en-US" w:bidi="en-US"/>
        </w:rPr>
        <w:t>Ju</w:t>
      </w:r>
      <w:r w:rsidRPr="00722885">
        <w:rPr>
          <w:rFonts w:ascii="Times New Roman" w:hAnsi="Times New Roman"/>
          <w:color w:val="0070C0"/>
          <w:sz w:val="16"/>
          <w:szCs w:val="16"/>
          <w:lang w:bidi="en-US"/>
        </w:rPr>
        <w:t xml:space="preserve"> </w:t>
      </w:r>
      <w:r w:rsidRPr="00722885">
        <w:rPr>
          <w:rFonts w:ascii="Times New Roman" w:hAnsi="Times New Roman"/>
          <w:color w:val="0070C0"/>
          <w:sz w:val="16"/>
          <w:szCs w:val="16"/>
          <w:lang w:eastAsia="ru-RU" w:bidi="ru-RU"/>
        </w:rPr>
        <w:t>88А, на более надежную, при</w:t>
      </w:r>
      <w:r w:rsidRPr="00722885">
        <w:rPr>
          <w:rFonts w:ascii="Times New Roman" w:hAnsi="Times New Roman"/>
          <w:color w:val="0070C0"/>
          <w:sz w:val="16"/>
          <w:szCs w:val="16"/>
          <w:lang w:eastAsia="ru-RU" w:bidi="ru-RU"/>
        </w:rPr>
        <w:softHyphen/>
        <w:t>менявшуюся на самолетах фирмы «Дуг</w:t>
      </w:r>
      <w:r w:rsidRPr="00722885">
        <w:rPr>
          <w:rFonts w:ascii="Times New Roman" w:hAnsi="Times New Roman"/>
          <w:color w:val="0070C0"/>
          <w:sz w:val="16"/>
          <w:szCs w:val="16"/>
          <w:lang w:eastAsia="ru-RU" w:bidi="ru-RU"/>
        </w:rPr>
        <w:softHyphen/>
        <w:t>лас». В качестве же временного решения попробовали на пробеге стопорить хво</w:t>
      </w:r>
      <w:r w:rsidRPr="00722885">
        <w:rPr>
          <w:rFonts w:ascii="Times New Roman" w:hAnsi="Times New Roman"/>
          <w:color w:val="0070C0"/>
          <w:sz w:val="16"/>
          <w:szCs w:val="16"/>
          <w:lang w:eastAsia="ru-RU" w:bidi="ru-RU"/>
        </w:rPr>
        <w:softHyphen/>
        <w:t>стовое колесо. На Ту-2 имелся автомати</w:t>
      </w:r>
      <w:r w:rsidRPr="00722885">
        <w:rPr>
          <w:rFonts w:ascii="Times New Roman" w:hAnsi="Times New Roman"/>
          <w:color w:val="0070C0"/>
          <w:sz w:val="16"/>
          <w:szCs w:val="16"/>
          <w:lang w:eastAsia="ru-RU" w:bidi="ru-RU"/>
        </w:rPr>
        <w:softHyphen/>
        <w:t>ческий стопор, который должен был фик</w:t>
      </w:r>
      <w:r w:rsidRPr="00722885">
        <w:rPr>
          <w:rFonts w:ascii="Times New Roman" w:hAnsi="Times New Roman"/>
          <w:color w:val="0070C0"/>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722885">
        <w:rPr>
          <w:rFonts w:ascii="Times New Roman" w:hAnsi="Times New Roman"/>
          <w:color w:val="0070C0"/>
          <w:sz w:val="16"/>
          <w:szCs w:val="16"/>
          <w:lang w:eastAsia="ru-RU" w:bidi="ru-RU"/>
        </w:rPr>
        <w:softHyphen/>
        <w:t>леса. Управляемость машины на пробеге значительно улучшилась.</w:t>
      </w:r>
    </w:p>
    <w:p w14:paraId="454A55E2" w14:textId="77777777" w:rsidR="009A014D" w:rsidRPr="00722885" w:rsidRDefault="009A01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Еще одной серьезной проблемой яв</w:t>
      </w:r>
      <w:r w:rsidRPr="00722885">
        <w:rPr>
          <w:rFonts w:ascii="Times New Roman" w:hAnsi="Times New Roman"/>
          <w:color w:val="0070C0"/>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722885">
        <w:rPr>
          <w:rFonts w:ascii="Times New Roman" w:hAnsi="Times New Roman"/>
          <w:color w:val="0070C0"/>
          <w:sz w:val="16"/>
          <w:szCs w:val="16"/>
          <w:lang w:eastAsia="ru-RU" w:bidi="ru-RU"/>
        </w:rPr>
        <w:softHyphen/>
        <w:t>дали значительными вибрациями и рас</w:t>
      </w:r>
      <w:r w:rsidRPr="00722885">
        <w:rPr>
          <w:rFonts w:ascii="Times New Roman" w:hAnsi="Times New Roman"/>
          <w:color w:val="0070C0"/>
          <w:sz w:val="16"/>
          <w:szCs w:val="16"/>
          <w:lang w:eastAsia="ru-RU" w:bidi="ru-RU"/>
        </w:rPr>
        <w:softHyphen/>
        <w:t>ходовали много масла. Хотя за это отве</w:t>
      </w:r>
      <w:r w:rsidRPr="00722885">
        <w:rPr>
          <w:rFonts w:ascii="Times New Roman" w:hAnsi="Times New Roman"/>
          <w:color w:val="0070C0"/>
          <w:sz w:val="16"/>
          <w:szCs w:val="16"/>
          <w:lang w:eastAsia="ru-RU" w:bidi="ru-RU"/>
        </w:rPr>
        <w:softHyphen/>
        <w:t>чал их конструктор А.Д. Швецов и завод №19, дефекты мотоустановки сильно ска</w:t>
      </w:r>
      <w:r w:rsidRPr="00722885">
        <w:rPr>
          <w:rFonts w:ascii="Times New Roman" w:hAnsi="Times New Roman"/>
          <w:color w:val="0070C0"/>
          <w:sz w:val="16"/>
          <w:szCs w:val="16"/>
          <w:lang w:eastAsia="ru-RU" w:bidi="ru-RU"/>
        </w:rPr>
        <w:softHyphen/>
        <w:t>зывались на летных и эксплуатационных характеристиках Ту-2.</w:t>
      </w:r>
    </w:p>
    <w:p w14:paraId="4FCD884E" w14:textId="77777777" w:rsidR="009A014D" w:rsidRPr="00722885" w:rsidRDefault="009A01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Кроме того, комиссия подвергла кри</w:t>
      </w:r>
      <w:r w:rsidRPr="00722885">
        <w:rPr>
          <w:rFonts w:ascii="Times New Roman" w:hAnsi="Times New Roman"/>
          <w:color w:val="0070C0"/>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722885">
        <w:rPr>
          <w:rFonts w:ascii="Times New Roman" w:hAnsi="Times New Roman"/>
          <w:color w:val="0070C0"/>
          <w:sz w:val="16"/>
          <w:szCs w:val="16"/>
          <w:lang w:eastAsia="ru-RU" w:bidi="ru-RU"/>
        </w:rPr>
        <w:softHyphen/>
        <w:t>кого же класса она составляла около 30%. Это была плата за возможность бомбить с крутого пикирования.</w:t>
      </w:r>
    </w:p>
    <w:p w14:paraId="1AF303F0" w14:textId="77777777" w:rsidR="009A014D" w:rsidRPr="00722885" w:rsidRDefault="009A01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Но в целом Поликарпов и его кол</w:t>
      </w:r>
      <w:r w:rsidRPr="00722885">
        <w:rPr>
          <w:rFonts w:ascii="Times New Roman" w:hAnsi="Times New Roman"/>
          <w:color w:val="0070C0"/>
          <w:sz w:val="16"/>
          <w:szCs w:val="16"/>
          <w:lang w:eastAsia="ru-RU" w:bidi="ru-RU"/>
        </w:rPr>
        <w:softHyphen/>
        <w:t>леги поддержали Туполева. В Москву от</w:t>
      </w:r>
      <w:r w:rsidRPr="00722885">
        <w:rPr>
          <w:rFonts w:ascii="Times New Roman" w:hAnsi="Times New Roman"/>
          <w:color w:val="0070C0"/>
          <w:sz w:val="16"/>
          <w:szCs w:val="16"/>
          <w:lang w:eastAsia="ru-RU" w:bidi="ru-RU"/>
        </w:rPr>
        <w:softHyphen/>
        <w:t>правили документ, в котором, в частно</w:t>
      </w:r>
      <w:r w:rsidRPr="00722885">
        <w:rPr>
          <w:rFonts w:ascii="Times New Roman" w:hAnsi="Times New Roman"/>
          <w:color w:val="0070C0"/>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722885">
        <w:rPr>
          <w:rFonts w:ascii="Times New Roman" w:hAnsi="Times New Roman"/>
          <w:color w:val="0070C0"/>
          <w:sz w:val="16"/>
          <w:szCs w:val="16"/>
          <w:lang w:eastAsia="ru-RU" w:bidi="ru-RU"/>
        </w:rPr>
        <w:softHyphen/>
        <w:t>граничные бомбардировщики». Комиссия сочла, что при устранении основных де</w:t>
      </w:r>
      <w:r w:rsidRPr="00722885">
        <w:rPr>
          <w:rFonts w:ascii="Times New Roman" w:hAnsi="Times New Roman"/>
          <w:color w:val="0070C0"/>
          <w:sz w:val="16"/>
          <w:szCs w:val="16"/>
          <w:lang w:eastAsia="ru-RU" w:bidi="ru-RU"/>
        </w:rPr>
        <w:softHyphen/>
        <w:t>фектов самолет сможет успешно выпол</w:t>
      </w:r>
      <w:r w:rsidRPr="00722885">
        <w:rPr>
          <w:rFonts w:ascii="Times New Roman" w:hAnsi="Times New Roman"/>
          <w:color w:val="0070C0"/>
          <w:sz w:val="16"/>
          <w:szCs w:val="16"/>
          <w:lang w:eastAsia="ru-RU" w:bidi="ru-RU"/>
        </w:rPr>
        <w:softHyphen/>
        <w:t>нять боевые задачи.</w:t>
      </w:r>
    </w:p>
    <w:p w14:paraId="77EABB5E" w14:textId="77777777" w:rsidR="009A014D" w:rsidRPr="00722885" w:rsidRDefault="009A01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Приемка бомбардировщиков возоб</w:t>
      </w:r>
      <w:r w:rsidRPr="00722885">
        <w:rPr>
          <w:rFonts w:ascii="Times New Roman" w:hAnsi="Times New Roman"/>
          <w:color w:val="0070C0"/>
          <w:sz w:val="16"/>
          <w:szCs w:val="16"/>
          <w:lang w:eastAsia="ru-RU" w:bidi="ru-RU"/>
        </w:rPr>
        <w:softHyphen/>
        <w:t>новилась. Реагируя на требования воен</w:t>
      </w:r>
      <w:r w:rsidRPr="00722885">
        <w:rPr>
          <w:rFonts w:ascii="Times New Roman" w:hAnsi="Times New Roman"/>
          <w:color w:val="0070C0"/>
          <w:sz w:val="16"/>
          <w:szCs w:val="16"/>
          <w:lang w:eastAsia="ru-RU" w:bidi="ru-RU"/>
        </w:rPr>
        <w:softHyphen/>
        <w:t>ных, завод вносил изменения в строящи</w:t>
      </w:r>
      <w:r w:rsidRPr="00722885">
        <w:rPr>
          <w:rFonts w:ascii="Times New Roman" w:hAnsi="Times New Roman"/>
          <w:color w:val="0070C0"/>
          <w:sz w:val="16"/>
          <w:szCs w:val="16"/>
          <w:lang w:eastAsia="ru-RU" w:bidi="ru-RU"/>
        </w:rPr>
        <w:softHyphen/>
        <w:t>еся бомбардировщики. С 5-й серии (июль- август 1942 г.) внедрили тормоза типа «Дуглас» окончательно снявшие про</w:t>
      </w:r>
      <w:r w:rsidRPr="00722885">
        <w:rPr>
          <w:rFonts w:ascii="Times New Roman" w:hAnsi="Times New Roman"/>
          <w:color w:val="0070C0"/>
          <w:sz w:val="16"/>
          <w:szCs w:val="16"/>
          <w:lang w:eastAsia="ru-RU" w:bidi="ru-RU"/>
        </w:rPr>
        <w:softHyphen/>
        <w:t>блемы с неуправляемым разворотом на посадке. Одновременно изменили управ</w:t>
      </w:r>
      <w:r w:rsidRPr="00722885">
        <w:rPr>
          <w:rFonts w:ascii="Times New Roman" w:hAnsi="Times New Roman"/>
          <w:color w:val="0070C0"/>
          <w:sz w:val="16"/>
          <w:szCs w:val="16"/>
          <w:lang w:eastAsia="ru-RU" w:bidi="ru-RU"/>
        </w:rPr>
        <w:softHyphen/>
        <w:t>ление пуском реактивных снарядов. Ра</w:t>
      </w:r>
      <w:r w:rsidRPr="00722885">
        <w:rPr>
          <w:rFonts w:ascii="Times New Roman" w:hAnsi="Times New Roman"/>
          <w:color w:val="0070C0"/>
          <w:sz w:val="16"/>
          <w:szCs w:val="16"/>
          <w:lang w:eastAsia="ru-RU" w:bidi="ru-RU"/>
        </w:rPr>
        <w:softHyphen/>
        <w:t>нее стрельба РС-82 велась с помощью бомбосбрасывателя ЭСБР-6, переклю</w:t>
      </w:r>
      <w:r w:rsidRPr="00722885">
        <w:rPr>
          <w:rFonts w:ascii="Times New Roman" w:hAnsi="Times New Roman"/>
          <w:color w:val="0070C0"/>
          <w:sz w:val="16"/>
          <w:szCs w:val="16"/>
          <w:lang w:eastAsia="ru-RU" w:bidi="ru-RU"/>
        </w:rPr>
        <w:softHyphen/>
        <w:t>чавшегося на другой режим. Бомбы при этом сбрасывать было нельзя. С 5-й серии пуск ракет осуществлялся независимым устройством (21061).</w:t>
      </w:r>
    </w:p>
    <w:p w14:paraId="0322F34C" w14:textId="77777777" w:rsidR="009A014D" w:rsidRPr="00722885" w:rsidRDefault="009A014D" w:rsidP="00722885">
      <w:pPr>
        <w:spacing w:after="0" w:line="240" w:lineRule="auto"/>
        <w:jc w:val="both"/>
        <w:rPr>
          <w:rFonts w:ascii="Times New Roman" w:hAnsi="Times New Roman"/>
          <w:color w:val="0070C0"/>
          <w:sz w:val="16"/>
          <w:szCs w:val="16"/>
        </w:rPr>
      </w:pPr>
    </w:p>
    <w:p w14:paraId="6EDC5EAF" w14:textId="77777777" w:rsidR="009A014D" w:rsidRPr="00722885" w:rsidRDefault="009A014D"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lang w:eastAsia="ru-RU" w:bidi="ru-RU"/>
        </w:rPr>
        <w:t>В конце июля 1942 г. конструкторы разработали для Ту-2 изготавливаемые из дерева и фанеры узлы носовой и хвостовой частей фюзеляжа, створок бомболюков, стаби</w:t>
      </w:r>
      <w:r w:rsidRPr="00722885">
        <w:rPr>
          <w:rFonts w:ascii="Times New Roman" w:hAnsi="Times New Roman"/>
          <w:color w:val="0070C0"/>
          <w:sz w:val="16"/>
          <w:szCs w:val="16"/>
          <w:lang w:eastAsia="ru-RU" w:bidi="ru-RU"/>
        </w:rPr>
        <w:softHyphen/>
        <w:t>лизатора, килевых шайб, мотогондол, за- концовок крыла. Реально в производство внедрили носовую часть фюзеляжа (до 3-го шпангоута) и хвостовой кок, обши</w:t>
      </w:r>
      <w:r w:rsidRPr="00722885">
        <w:rPr>
          <w:rFonts w:ascii="Times New Roman" w:hAnsi="Times New Roman"/>
          <w:color w:val="0070C0"/>
          <w:sz w:val="16"/>
          <w:szCs w:val="16"/>
          <w:lang w:eastAsia="ru-RU" w:bidi="ru-RU"/>
        </w:rPr>
        <w:softHyphen/>
        <w:t>тые фанерой (21061).</w:t>
      </w:r>
    </w:p>
    <w:p w14:paraId="172942A2" w14:textId="77777777" w:rsidR="009A014D" w:rsidRPr="00722885" w:rsidRDefault="009A014D" w:rsidP="00722885">
      <w:pPr>
        <w:spacing w:after="0" w:line="240" w:lineRule="auto"/>
        <w:jc w:val="both"/>
        <w:rPr>
          <w:rFonts w:ascii="Times New Roman" w:hAnsi="Times New Roman"/>
          <w:color w:val="0070C0"/>
          <w:sz w:val="16"/>
          <w:szCs w:val="16"/>
        </w:rPr>
      </w:pPr>
    </w:p>
    <w:p w14:paraId="30B751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июля 1942 ТС-1 А.Я.Щербакова предъявили ВВС на гос. испытания в вариантах транспортного, десантно-транспортного и санитарного и в августе А.К.Долгов закончил испытания Ще-2. Рекомендовали в серию, но пошел только в октябре 1943 (576,4).</w:t>
      </w:r>
    </w:p>
    <w:p w14:paraId="03C13A50" w14:textId="77777777" w:rsidR="00AE7191" w:rsidRPr="00722885" w:rsidRDefault="00AE7191" w:rsidP="00722885">
      <w:pPr>
        <w:pStyle w:val="Iauiue"/>
        <w:jc w:val="both"/>
        <w:rPr>
          <w:color w:val="000000" w:themeColor="text1"/>
          <w:sz w:val="16"/>
          <w:szCs w:val="16"/>
        </w:rPr>
      </w:pPr>
    </w:p>
    <w:p w14:paraId="26E6D4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июля 1942 на заводе 381 в производство были спущены чертежи РД для Би (1632,264).</w:t>
      </w:r>
    </w:p>
    <w:p w14:paraId="0076BAA4" w14:textId="77777777" w:rsidR="00AE7191" w:rsidRPr="00722885" w:rsidRDefault="00AE7191" w:rsidP="00722885">
      <w:pPr>
        <w:pStyle w:val="Iauiue"/>
        <w:jc w:val="both"/>
        <w:rPr>
          <w:color w:val="000000" w:themeColor="text1"/>
          <w:sz w:val="16"/>
          <w:szCs w:val="16"/>
        </w:rPr>
      </w:pPr>
    </w:p>
    <w:p w14:paraId="65E2DCE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B40592A" w14:textId="77777777" w:rsidR="00AE7191" w:rsidRPr="00722885" w:rsidRDefault="00AE7191" w:rsidP="00722885">
      <w:pPr>
        <w:pStyle w:val="Iauiue"/>
        <w:jc w:val="both"/>
        <w:rPr>
          <w:iCs/>
          <w:color w:val="000000" w:themeColor="text1"/>
          <w:sz w:val="16"/>
          <w:szCs w:val="16"/>
        </w:rPr>
      </w:pPr>
    </w:p>
    <w:p w14:paraId="22C6E583" w14:textId="77777777" w:rsidR="0096186D" w:rsidRPr="00722885" w:rsidRDefault="0096186D"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В конце июля 1942 года А.А. Волков и С.А. Ярцев предлагали ГАБТУ КА вариант ВЯ под калибр 14,5 мм. По их мнению, на коротких дистанциях патрон из такой пушки мог пробить до 90 (!) мм брони. Впрочем, на идею как-то не особо среагировали. Во-первых, цифры какие-то фантастические. Во-вторых, с мега-пушкой чуток опоздали, ибо как раз в начале июля 1942 года выпуск Т-60 прекратили. В-третьих, стоит напомнить про силу отдачи ВЯ. Да и внутренние габариты ВЯ были не особо подходящие для установки в башню Т-60 (20693).</w:t>
      </w:r>
    </w:p>
    <w:p w14:paraId="435FA563" w14:textId="77777777" w:rsidR="0096186D" w:rsidRPr="00722885" w:rsidRDefault="0096186D" w:rsidP="00722885">
      <w:pPr>
        <w:shd w:val="clear" w:color="auto" w:fill="FFFFFF"/>
        <w:spacing w:after="0" w:line="240" w:lineRule="auto"/>
        <w:jc w:val="both"/>
        <w:rPr>
          <w:rFonts w:ascii="Times New Roman" w:hAnsi="Times New Roman"/>
          <w:color w:val="0070C0"/>
          <w:sz w:val="16"/>
          <w:szCs w:val="16"/>
        </w:rPr>
      </w:pPr>
    </w:p>
    <w:p w14:paraId="475895CA" w14:textId="77777777" w:rsidR="0096186D" w:rsidRPr="00722885" w:rsidRDefault="0096186D"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конце июля 1942 года завод №37 влили в состав УЗТМ и вместо Т-70 организовывался выпуск Т-34 (21261).</w:t>
      </w:r>
    </w:p>
    <w:p w14:paraId="2C774385" w14:textId="77777777" w:rsidR="0096186D" w:rsidRPr="00722885" w:rsidRDefault="0096186D"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7EA972C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июля месяца 1942 проект использования 10000 тонного пресса для штамповки башен Т-34 предста</w:t>
      </w:r>
      <w:r w:rsidRPr="00722885">
        <w:rPr>
          <w:rFonts w:ascii="Times New Roman" w:hAnsi="Times New Roman"/>
          <w:color w:val="000000" w:themeColor="text1"/>
          <w:sz w:val="16"/>
          <w:szCs w:val="16"/>
        </w:rPr>
        <w:softHyphen/>
        <w:t>вили на рассмотрение ОГК НКТП. Руководство Наркомата первоначально прохладно отнеслось к проекту, так как еще весной положение с броневым прокатом средней и боль</w:t>
      </w:r>
      <w:r w:rsidRPr="00722885">
        <w:rPr>
          <w:rFonts w:ascii="Times New Roman" w:hAnsi="Times New Roman"/>
          <w:color w:val="000000" w:themeColor="text1"/>
          <w:sz w:val="16"/>
          <w:szCs w:val="16"/>
        </w:rPr>
        <w:softHyphen/>
        <w:t>шой толщины было катастрофическим. Однако к августу путем жесткой стандартизации, уменьшения номенклатуры проката и стопроцентного контроля выпускаемой продук</w:t>
      </w:r>
      <w:r w:rsidRPr="00722885">
        <w:rPr>
          <w:rFonts w:ascii="Times New Roman" w:hAnsi="Times New Roman"/>
          <w:color w:val="000000" w:themeColor="text1"/>
          <w:sz w:val="16"/>
          <w:szCs w:val="16"/>
        </w:rPr>
        <w:softHyphen/>
        <w:t>ции положение с 45-мм бронелистом выправилось. Но 60-мм листа, из которого планировалось штамповать башен</w:t>
      </w:r>
      <w:r w:rsidRPr="00722885">
        <w:rPr>
          <w:rFonts w:ascii="Times New Roman" w:hAnsi="Times New Roman"/>
          <w:color w:val="000000" w:themeColor="text1"/>
          <w:sz w:val="16"/>
          <w:szCs w:val="16"/>
        </w:rPr>
        <w:softHyphen/>
        <w:t>ные купола, все еще было недостаточно. Поэтому по согла</w:t>
      </w:r>
      <w:r w:rsidRPr="00722885">
        <w:rPr>
          <w:rFonts w:ascii="Times New Roman" w:hAnsi="Times New Roman"/>
          <w:color w:val="000000" w:themeColor="text1"/>
          <w:sz w:val="16"/>
          <w:szCs w:val="16"/>
        </w:rPr>
        <w:softHyphen/>
        <w:t>сованию с ОГК НКТП в сентябре проект был переработан на использование 45-мм листа, и в середине месяца матри</w:t>
      </w:r>
      <w:r w:rsidRPr="00722885">
        <w:rPr>
          <w:rFonts w:ascii="Times New Roman" w:hAnsi="Times New Roman"/>
          <w:color w:val="000000" w:themeColor="text1"/>
          <w:sz w:val="16"/>
          <w:szCs w:val="16"/>
        </w:rPr>
        <w:softHyphen/>
        <w:t>ца и пуансон для выпуска первой башни бьши готовы. 19 сентября из бронелиста средней твердости были отштампо</w:t>
      </w:r>
      <w:r w:rsidRPr="00722885">
        <w:rPr>
          <w:rFonts w:ascii="Times New Roman" w:hAnsi="Times New Roman"/>
          <w:color w:val="000000" w:themeColor="text1"/>
          <w:sz w:val="16"/>
          <w:szCs w:val="16"/>
        </w:rPr>
        <w:softHyphen/>
        <w:t>ваны первые три башенных купола, прозванные заводчана-ми «формочками». Эксперимент показал, что, вопреки вы</w:t>
      </w:r>
      <w:r w:rsidRPr="00722885">
        <w:rPr>
          <w:rFonts w:ascii="Times New Roman" w:hAnsi="Times New Roman"/>
          <w:color w:val="000000" w:themeColor="text1"/>
          <w:sz w:val="16"/>
          <w:szCs w:val="16"/>
        </w:rPr>
        <w:softHyphen/>
        <w:t>сказываниям скептиков, купола получились целыми, без разрывов и трещин. Термообработка не привела к значи</w:t>
      </w:r>
      <w:r w:rsidRPr="00722885">
        <w:rPr>
          <w:rFonts w:ascii="Times New Roman" w:hAnsi="Times New Roman"/>
          <w:color w:val="000000" w:themeColor="text1"/>
          <w:sz w:val="16"/>
          <w:szCs w:val="16"/>
        </w:rPr>
        <w:softHyphen/>
        <w:t>тельным деформациям, а главное — снарядостойкость штампованного купола оказалась куда лучшей, чем таковая у самой лучшей литой башни, несмотря на меньшую тол</w:t>
      </w:r>
      <w:r w:rsidRPr="00722885">
        <w:rPr>
          <w:rFonts w:ascii="Times New Roman" w:hAnsi="Times New Roman"/>
          <w:color w:val="000000" w:themeColor="text1"/>
          <w:sz w:val="16"/>
          <w:szCs w:val="16"/>
        </w:rPr>
        <w:softHyphen/>
        <w:t>щину стенок. Стоимость новой башни оказалась на 5000 рублей выше, чем У литой, но производительность труда при штамповке была высочайшей. Механизмы для танка УЗТМ получал первоначально от УТЗ им. Сталина, позднее — от ЧКЗ. Первые 5 танков Т-34 УЗТМ сдал заказчику в сентябре 1942 г., до конца 1942 г. это количество составило 266 машин, из них со штампованной башней — 106. ЧКЗ, производивший прежде тяжелые танки КВ, на</w:t>
      </w:r>
      <w:r w:rsidRPr="00722885">
        <w:rPr>
          <w:rFonts w:ascii="Times New Roman" w:hAnsi="Times New Roman"/>
          <w:color w:val="000000" w:themeColor="text1"/>
          <w:sz w:val="16"/>
          <w:szCs w:val="16"/>
        </w:rPr>
        <w:softHyphen/>
        <w:t>ходился в более выгодном положении в плане выпуска Т-34 перед другими, ведь распоряжением наркома НКТП В. Малышева завод прорабатывал вопрос об освоении вы</w:t>
      </w:r>
      <w:r w:rsidRPr="00722885">
        <w:rPr>
          <w:rFonts w:ascii="Times New Roman" w:hAnsi="Times New Roman"/>
          <w:color w:val="000000" w:themeColor="text1"/>
          <w:sz w:val="16"/>
          <w:szCs w:val="16"/>
        </w:rPr>
        <w:softHyphen/>
        <w:t>пуска Т-34 еще осенью 1941 г. Но тогда время челябинских «тридцатьчетверок» еще не настало (10782).</w:t>
      </w:r>
    </w:p>
    <w:p w14:paraId="45A42F6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6BC563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в 22-й армейский ремонтно-восстановительный батальон направили 16 трофейных танков, и еще четыре — 132-й отдельный ремонтно-восстановительный батальон. Причём этот батальон занимался и перевооружением немецких танков отечественным вооружением. Правда, масштаб таких работ был невелик, и касался в основном замены немецких пулеметов на отечественные ДТ и установку отечественной оптики. Так, в своем письме от 2 июля 1942 года в главное артуправление заместитель начальника БТУ ГАБТУ КА Алымов сообщал: «Прошу Вашего распоряжения об отпуске для 132 ОРВБ следующее артвооружение в счёт лимитов, выделенных ГАУ КА для ГАБТУ КА на ремонт: 1. 20 мм пушек ШВАК — 1 шт.; 2. Пулемётов ДТ — 15 шт.; 3. Коробов к 20 мм ШВАК — 32; 4. Дисков к ДТ — 308; 5. ЗИП к пушке ШВАК — 4к-та; 6. ЗИПкДТ — 26к-тов; 7. Прицелов ТМФП-1 — 4; 8. Банников к 37-мм — 13; 9. Прицелов ТМФ — 13, 10. ЗИП к 37 мм пушке — 1 к-т; 11. ЗИП к 76 мм пушке — 1 к-т; 12. Прицелов ТОД-6 — 2 шт. (12688).</w:t>
      </w:r>
    </w:p>
    <w:p w14:paraId="4244723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6DE99F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4C4BD52" w14:textId="77777777" w:rsidR="00AE7191" w:rsidRPr="00722885" w:rsidRDefault="00AE7191" w:rsidP="00722885">
      <w:pPr>
        <w:pStyle w:val="Iauiue"/>
        <w:jc w:val="both"/>
        <w:rPr>
          <w:iCs/>
          <w:color w:val="000000" w:themeColor="text1"/>
          <w:sz w:val="16"/>
          <w:szCs w:val="16"/>
        </w:rPr>
      </w:pPr>
    </w:p>
    <w:p w14:paraId="3EAD9AF0"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конце июля 1942 г. противник предпринял первые налёты на Сталинград. Они осущест</w:t>
      </w:r>
      <w:r w:rsidRPr="00722885">
        <w:rPr>
          <w:rFonts w:ascii="Times New Roman" w:hAnsi="Times New Roman"/>
          <w:color w:val="0070C0"/>
          <w:sz w:val="16"/>
          <w:szCs w:val="16"/>
        </w:rPr>
        <w:softHyphen/>
        <w:t>влялись ночью группами по 20-45 самолётов на высотах 2000-2500 м. Эти налёты носили эпизо</w:t>
      </w:r>
      <w:r w:rsidRPr="00722885">
        <w:rPr>
          <w:rFonts w:ascii="Times New Roman" w:hAnsi="Times New Roman"/>
          <w:color w:val="0070C0"/>
          <w:sz w:val="16"/>
          <w:szCs w:val="16"/>
        </w:rPr>
        <w:softHyphen/>
        <w:t>дический характер и успешно отражались огнём зенитной артиллерии.</w:t>
      </w:r>
    </w:p>
    <w:p w14:paraId="251DABE0"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23 августа целый день над Сталинградом ви</w:t>
      </w:r>
      <w:r w:rsidRPr="00722885">
        <w:rPr>
          <w:rFonts w:ascii="Times New Roman" w:hAnsi="Times New Roman"/>
          <w:color w:val="0070C0"/>
          <w:sz w:val="16"/>
          <w:szCs w:val="16"/>
        </w:rPr>
        <w:softHyphen/>
        <w:t>сели немецкие бомбардировщики. В это время 6-я армия Паулюса рвалась на северную окраину Сталинграда, а 4-я танковая армия Гота пробива</w:t>
      </w:r>
      <w:r w:rsidRPr="00722885">
        <w:rPr>
          <w:rFonts w:ascii="Times New Roman" w:hAnsi="Times New Roman"/>
          <w:color w:val="0070C0"/>
          <w:sz w:val="16"/>
          <w:szCs w:val="16"/>
        </w:rPr>
        <w:softHyphen/>
        <w:t>лась в южные пригороды. С утра группами по 10</w:t>
      </w:r>
      <w:r w:rsidRPr="00722885">
        <w:rPr>
          <w:rFonts w:ascii="Times New Roman" w:hAnsi="Times New Roman"/>
          <w:color w:val="0070C0"/>
          <w:sz w:val="16"/>
          <w:szCs w:val="16"/>
        </w:rPr>
        <w:softHyphen/>
        <w:t>15 бомбардировщиков противник бомбил почти без перерывов Тракторный завод. Во второй по</w:t>
      </w:r>
      <w:r w:rsidRPr="00722885">
        <w:rPr>
          <w:rFonts w:ascii="Times New Roman" w:hAnsi="Times New Roman"/>
          <w:color w:val="0070C0"/>
          <w:sz w:val="16"/>
          <w:szCs w:val="16"/>
        </w:rPr>
        <w:softHyphen/>
        <w:t>ловине дня противник провёл первый массиро</w:t>
      </w:r>
      <w:r w:rsidRPr="00722885">
        <w:rPr>
          <w:rFonts w:ascii="Times New Roman" w:hAnsi="Times New Roman"/>
          <w:color w:val="0070C0"/>
          <w:sz w:val="16"/>
          <w:szCs w:val="16"/>
        </w:rPr>
        <w:softHyphen/>
        <w:t>ванный налёт на Сталинград авиацией 4-го воз</w:t>
      </w:r>
      <w:r w:rsidRPr="00722885">
        <w:rPr>
          <w:rFonts w:ascii="Times New Roman" w:hAnsi="Times New Roman"/>
          <w:color w:val="0070C0"/>
          <w:sz w:val="16"/>
          <w:szCs w:val="16"/>
        </w:rPr>
        <w:softHyphen/>
        <w:t>душного флота. Около 400 бомбардировщиков под прикрытием истребителей обрушили тысячи бомб на центральную и южную части города.</w:t>
      </w:r>
    </w:p>
    <w:p w14:paraId="7E577D2C"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один из моментов сражения за город иссяк</w:t>
      </w:r>
      <w:r w:rsidRPr="00722885">
        <w:rPr>
          <w:rFonts w:ascii="Times New Roman" w:hAnsi="Times New Roman"/>
          <w:color w:val="0070C0"/>
          <w:sz w:val="16"/>
          <w:szCs w:val="16"/>
        </w:rPr>
        <w:softHyphen/>
        <w:t>ли снаряды к зенитным орудиям. Расчётное вре</w:t>
      </w:r>
      <w:r w:rsidRPr="00722885">
        <w:rPr>
          <w:rFonts w:ascii="Times New Roman" w:hAnsi="Times New Roman"/>
          <w:color w:val="0070C0"/>
          <w:sz w:val="16"/>
          <w:szCs w:val="16"/>
        </w:rPr>
        <w:softHyphen/>
        <w:t>мя их доставки с другого берега Волги составляло два часа. Используя слабость зенитного огня, не</w:t>
      </w:r>
      <w:r w:rsidRPr="00722885">
        <w:rPr>
          <w:rFonts w:ascii="Times New Roman" w:hAnsi="Times New Roman"/>
          <w:color w:val="0070C0"/>
          <w:sz w:val="16"/>
          <w:szCs w:val="16"/>
        </w:rPr>
        <w:softHyphen/>
        <w:t>мецкие самолёты стали «утюжить» город. Мощ</w:t>
      </w:r>
      <w:r w:rsidRPr="00722885">
        <w:rPr>
          <w:rFonts w:ascii="Times New Roman" w:hAnsi="Times New Roman"/>
          <w:color w:val="0070C0"/>
          <w:sz w:val="16"/>
          <w:szCs w:val="16"/>
        </w:rPr>
        <w:softHyphen/>
        <w:t>ный удар пришёлся и по позициям зенитчиков. Тогда командующий силами и средствами ПВО Сталинграда полковник Е.А. Райнин отдал при</w:t>
      </w:r>
      <w:r w:rsidRPr="00722885">
        <w:rPr>
          <w:rFonts w:ascii="Times New Roman" w:hAnsi="Times New Roman"/>
          <w:color w:val="0070C0"/>
          <w:sz w:val="16"/>
          <w:szCs w:val="16"/>
        </w:rPr>
        <w:softHyphen/>
        <w:t>каз: «Поднять аэростаты заграждения».</w:t>
      </w:r>
    </w:p>
    <w:p w14:paraId="7D6A0827"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Аэростаты оттеснили самолёты с малых на средние высоты. А те, в свою очередь, перенес</w:t>
      </w:r>
      <w:r w:rsidRPr="00722885">
        <w:rPr>
          <w:rFonts w:ascii="Times New Roman" w:hAnsi="Times New Roman"/>
          <w:color w:val="0070C0"/>
          <w:sz w:val="16"/>
          <w:szCs w:val="16"/>
        </w:rPr>
        <w:softHyphen/>
        <w:t>ли свой огонь с наземных объектов на аэроста</w:t>
      </w:r>
      <w:r w:rsidRPr="00722885">
        <w:rPr>
          <w:rFonts w:ascii="Times New Roman" w:hAnsi="Times New Roman"/>
          <w:color w:val="0070C0"/>
          <w:sz w:val="16"/>
          <w:szCs w:val="16"/>
        </w:rPr>
        <w:softHyphen/>
        <w:t>ты. В течение полутора-двух часов шёл расстрел аэростатов заграждения немецкими самолёта</w:t>
      </w:r>
      <w:r w:rsidRPr="00722885">
        <w:rPr>
          <w:rFonts w:ascii="Times New Roman" w:hAnsi="Times New Roman"/>
          <w:color w:val="0070C0"/>
          <w:sz w:val="16"/>
          <w:szCs w:val="16"/>
        </w:rPr>
        <w:softHyphen/>
        <w:t>ми. Аэростаты продержались так долго, потому что немцы боялись расстреливать наполненные водородом оболочки с близкого расстояния, а обстрел с больших дистанций не всегда дости</w:t>
      </w:r>
      <w:r w:rsidRPr="00722885">
        <w:rPr>
          <w:rFonts w:ascii="Times New Roman" w:hAnsi="Times New Roman"/>
          <w:color w:val="0070C0"/>
          <w:sz w:val="16"/>
          <w:szCs w:val="16"/>
        </w:rPr>
        <w:softHyphen/>
        <w:t>гал цели. Но постепенно аэростаты загорались, а штормовой ветер довершал их уничтожение. По существу, аэростатами пожертвовали ради спасения зенитно-артиллерийских средств. Через два часа 6-й ОДАЗ окончательно потерял боеспо</w:t>
      </w:r>
      <w:r w:rsidRPr="00722885">
        <w:rPr>
          <w:rFonts w:ascii="Times New Roman" w:hAnsi="Times New Roman"/>
          <w:color w:val="0070C0"/>
          <w:sz w:val="16"/>
          <w:szCs w:val="16"/>
        </w:rPr>
        <w:softHyphen/>
        <w:t>собность, но за это время были подвезены снаря</w:t>
      </w:r>
      <w:r w:rsidRPr="00722885">
        <w:rPr>
          <w:rFonts w:ascii="Times New Roman" w:hAnsi="Times New Roman"/>
          <w:color w:val="0070C0"/>
          <w:sz w:val="16"/>
          <w:szCs w:val="16"/>
        </w:rPr>
        <w:softHyphen/>
        <w:t>ды с другого берега Волги, и зенитная артиллерия вновь вступила в бой.</w:t>
      </w:r>
    </w:p>
    <w:p w14:paraId="67C7B414"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После гибели аэростатов заграждения в небе Сталинграда 6-й ОДАЗ отправили на перефор</w:t>
      </w:r>
      <w:r w:rsidRPr="00722885">
        <w:rPr>
          <w:rFonts w:ascii="Times New Roman" w:hAnsi="Times New Roman"/>
          <w:color w:val="0070C0"/>
          <w:sz w:val="16"/>
          <w:szCs w:val="16"/>
        </w:rPr>
        <w:softHyphen/>
        <w:t>мирование в Саратов. Часть личного состава ди</w:t>
      </w:r>
      <w:r w:rsidRPr="00722885">
        <w:rPr>
          <w:rFonts w:ascii="Times New Roman" w:hAnsi="Times New Roman"/>
          <w:color w:val="0070C0"/>
          <w:sz w:val="16"/>
          <w:szCs w:val="16"/>
        </w:rPr>
        <w:softHyphen/>
        <w:t>визиона передали в комендантскую службу для охраны штаба фронта и пополнения стрелко</w:t>
      </w:r>
      <w:r w:rsidRPr="00722885">
        <w:rPr>
          <w:rFonts w:ascii="Times New Roman" w:hAnsi="Times New Roman"/>
          <w:color w:val="0070C0"/>
          <w:sz w:val="16"/>
          <w:szCs w:val="16"/>
        </w:rPr>
        <w:softHyphen/>
        <w:t>вых частей, защищавших Бекетовку и Красноармейск. На смену 6-му ОДАЗ в Сталинград при</w:t>
      </w:r>
      <w:r w:rsidRPr="00722885">
        <w:rPr>
          <w:rFonts w:ascii="Times New Roman" w:hAnsi="Times New Roman"/>
          <w:color w:val="0070C0"/>
          <w:sz w:val="16"/>
          <w:szCs w:val="16"/>
        </w:rPr>
        <w:softHyphen/>
        <w:t>был 26-й ОДАЗ (20120).</w:t>
      </w:r>
    </w:p>
    <w:p w14:paraId="73546377" w14:textId="77777777" w:rsidR="004D6E34" w:rsidRPr="00722885" w:rsidRDefault="004D6E34" w:rsidP="00722885">
      <w:pPr>
        <w:spacing w:after="0" w:line="240" w:lineRule="auto"/>
        <w:jc w:val="both"/>
        <w:rPr>
          <w:rFonts w:ascii="Times New Roman" w:hAnsi="Times New Roman"/>
          <w:color w:val="0070C0"/>
          <w:sz w:val="16"/>
          <w:szCs w:val="16"/>
        </w:rPr>
      </w:pPr>
    </w:p>
    <w:p w14:paraId="7A9FB5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июля 1942 года в 244-и дивизии к трем первоначальным полкам (861-му, 45-му и 449-му) добавился 860-й, а к зиме дивизия разрослась до пяти полков, все на Б-3. В таком составе она вступила в Сталинградскую битву (3457,101).</w:t>
      </w:r>
    </w:p>
    <w:p w14:paraId="5C04B5FE" w14:textId="77777777" w:rsidR="00AE7191" w:rsidRPr="00722885" w:rsidRDefault="00AE7191" w:rsidP="00722885">
      <w:pPr>
        <w:pStyle w:val="Iauiue"/>
        <w:jc w:val="both"/>
        <w:rPr>
          <w:color w:val="000000" w:themeColor="text1"/>
          <w:sz w:val="16"/>
          <w:szCs w:val="16"/>
        </w:rPr>
      </w:pPr>
    </w:p>
    <w:p w14:paraId="3BC6AE1C" w14:textId="77777777" w:rsidR="00AE7191" w:rsidRPr="00722885" w:rsidRDefault="00AE7191" w:rsidP="00722885">
      <w:pPr>
        <w:pStyle w:val="a3"/>
        <w:rPr>
          <w:color w:val="000000" w:themeColor="text1"/>
          <w:lang w:val="ru-RU"/>
        </w:rPr>
      </w:pPr>
      <w:r w:rsidRPr="00722885">
        <w:rPr>
          <w:color w:val="000000" w:themeColor="text1"/>
          <w:lang w:val="ru-RU"/>
        </w:rPr>
        <w:t>В конце июля 1942 г. с целью выявления фактической эффективности действия немецкой авиации по бронетанковым частям Красной Армии, на участки Брянского и Западного фронтов выехали специалисты 2-го отдела (отдел по использованию опыта войны) Оперативного управления штаба ВВС КА.</w:t>
      </w:r>
    </w:p>
    <w:p w14:paraId="50124409" w14:textId="77777777" w:rsidR="00AE7191" w:rsidRPr="00722885" w:rsidRDefault="00AE7191" w:rsidP="00722885">
      <w:pPr>
        <w:pStyle w:val="a3"/>
        <w:rPr>
          <w:color w:val="000000" w:themeColor="text1"/>
          <w:lang w:val="ru-RU"/>
        </w:rPr>
      </w:pPr>
      <w:r w:rsidRPr="00722885">
        <w:rPr>
          <w:color w:val="000000" w:themeColor="text1"/>
          <w:lang w:val="ru-RU"/>
        </w:rPr>
        <w:t>Анализ документов и заявлений коман</w:t>
      </w:r>
      <w:r w:rsidRPr="00722885">
        <w:rPr>
          <w:color w:val="000000" w:themeColor="text1"/>
          <w:lang w:val="ru-RU"/>
        </w:rPr>
        <w:softHyphen/>
        <w:t>диров частей и соединений 5-й танковой армии, подвижной механизированной группы генерал-майора Бычковского, 7-го танкового корпуса,3-й гвардейской,62-й и 71-й танковых бригад показал, что тяжелые и средние танки типа КВ-1 и Т-34 унич</w:t>
      </w:r>
      <w:r w:rsidRPr="00722885">
        <w:rPr>
          <w:color w:val="000000" w:themeColor="text1"/>
          <w:lang w:val="ru-RU"/>
        </w:rPr>
        <w:softHyphen/>
        <w:t xml:space="preserve">тожаются только при прямом попадании </w:t>
      </w:r>
      <w:r w:rsidRPr="00722885">
        <w:rPr>
          <w:color w:val="000000" w:themeColor="text1"/>
          <w:lang w:val="ru-RU"/>
        </w:rPr>
        <w:lastRenderedPageBreak/>
        <w:t>бомбы крупного калибра. При падении бомб крупного калибра 250-500 кг с взрывателем мгновенного действия на расстоянии 1-1,5 м от танка или при прямом попадании фугасной 50-кг бомбы танк выводился из строя временно. Однако прямое попадание бомбы в танк было случайным явлением: «...даже бомбометание с пикирования с высоты 800-1000 м несколькими десят</w:t>
      </w:r>
      <w:r w:rsidRPr="00722885">
        <w:rPr>
          <w:color w:val="000000" w:themeColor="text1"/>
          <w:lang w:val="ru-RU"/>
        </w:rPr>
        <w:softHyphen/>
        <w:t>ками самолетов не всегда дает желаемый результат».</w:t>
      </w:r>
    </w:p>
    <w:p w14:paraId="67C8DB45" w14:textId="77777777" w:rsidR="00AE7191" w:rsidRPr="00722885" w:rsidRDefault="00AE7191" w:rsidP="00722885">
      <w:pPr>
        <w:pStyle w:val="a3"/>
        <w:rPr>
          <w:color w:val="000000" w:themeColor="text1"/>
          <w:lang w:val="ru-RU"/>
        </w:rPr>
      </w:pPr>
      <w:r w:rsidRPr="00722885">
        <w:rPr>
          <w:color w:val="000000" w:themeColor="text1"/>
          <w:lang w:val="ru-RU"/>
        </w:rPr>
        <w:t>Легкие танки несут значительно боль</w:t>
      </w:r>
      <w:r w:rsidRPr="00722885">
        <w:rPr>
          <w:color w:val="000000" w:themeColor="text1"/>
          <w:lang w:val="ru-RU"/>
        </w:rPr>
        <w:softHyphen/>
        <w:t>шие потери, так как поражаются осколками крупных бомб на расстоянии до 10 м и, кроме того, несут поражение от огня авиационных пушек.</w:t>
      </w:r>
    </w:p>
    <w:p w14:paraId="1F90C348" w14:textId="77777777" w:rsidR="00AE7191" w:rsidRPr="00722885" w:rsidRDefault="00AE7191" w:rsidP="00722885">
      <w:pPr>
        <w:pStyle w:val="a3"/>
        <w:rPr>
          <w:color w:val="000000" w:themeColor="text1"/>
          <w:lang w:val="ru-RU"/>
        </w:rPr>
      </w:pPr>
      <w:r w:rsidRPr="00722885">
        <w:rPr>
          <w:color w:val="000000" w:themeColor="text1"/>
          <w:lang w:val="ru-RU"/>
        </w:rPr>
        <w:t>Наибольшее поражение танкам на</w:t>
      </w:r>
      <w:r w:rsidRPr="00722885">
        <w:rPr>
          <w:color w:val="000000" w:themeColor="text1"/>
          <w:lang w:val="ru-RU"/>
        </w:rPr>
        <w:softHyphen/>
        <w:t>носится в том случае, если бомбометание производится по их плотному скоплению у переправ, в эшелонах или при выгрузке из них. Рассредоточение танков на 80-100 м вполне гарантирует их от поражения, как на марше, так и при расположении на месте, так как поражение в этом случае может быть только случайным.</w:t>
      </w:r>
    </w:p>
    <w:p w14:paraId="0FA05323" w14:textId="77777777" w:rsidR="00AE7191" w:rsidRPr="00722885" w:rsidRDefault="00AE7191" w:rsidP="00722885">
      <w:pPr>
        <w:pStyle w:val="a3"/>
        <w:rPr>
          <w:color w:val="000000" w:themeColor="text1"/>
          <w:lang w:val="ru-RU"/>
        </w:rPr>
      </w:pPr>
      <w:r w:rsidRPr="00722885">
        <w:rPr>
          <w:color w:val="000000" w:themeColor="text1"/>
          <w:lang w:val="ru-RU"/>
        </w:rPr>
        <w:t>Значительные потери от авиационных бомб и пулеметно-пушечного огня само</w:t>
      </w:r>
      <w:r w:rsidRPr="00722885">
        <w:rPr>
          <w:color w:val="000000" w:themeColor="text1"/>
          <w:lang w:val="ru-RU"/>
        </w:rPr>
        <w:softHyphen/>
        <w:t>летов несут неокопавшаяся живая сила, в частности мотопехота танковых бригад и вспомогательные технические средства (автотранспорт с боеприпасами, бензоци</w:t>
      </w:r>
      <w:r w:rsidRPr="00722885">
        <w:rPr>
          <w:color w:val="000000" w:themeColor="text1"/>
          <w:lang w:val="ru-RU"/>
        </w:rPr>
        <w:softHyphen/>
        <w:t>стерны и бензозаправщики, радиостанции и походные мастерские).</w:t>
      </w:r>
    </w:p>
    <w:p w14:paraId="14A21F1D" w14:textId="77777777" w:rsidR="00AE7191" w:rsidRPr="00722885" w:rsidRDefault="00AE7191" w:rsidP="00722885">
      <w:pPr>
        <w:pStyle w:val="a3"/>
        <w:rPr>
          <w:color w:val="000000" w:themeColor="text1"/>
          <w:lang w:val="ru-RU"/>
        </w:rPr>
      </w:pPr>
      <w:r w:rsidRPr="00722885">
        <w:rPr>
          <w:color w:val="000000" w:themeColor="text1"/>
          <w:lang w:val="ru-RU"/>
        </w:rPr>
        <w:t>Систематические массированные действия немецкой авиации по нашим танковым частям и соединениям, не нанося значительных потерь боевым машинам, тем не менее, сковывали их, отсекали от танков мотопехоту, лишали возможности сближения с противником и продвижения на поле боя до момента достижения его боевых порядков, когда авиация противника «из-за боязни поражения своих танков прекращает атаки».</w:t>
      </w:r>
    </w:p>
    <w:p w14:paraId="2A905442" w14:textId="77777777" w:rsidR="00AE7191" w:rsidRPr="00722885" w:rsidRDefault="00AE7191" w:rsidP="00722885">
      <w:pPr>
        <w:pStyle w:val="a3"/>
        <w:rPr>
          <w:color w:val="000000" w:themeColor="text1"/>
          <w:lang w:val="ru-RU"/>
        </w:rPr>
      </w:pPr>
      <w:r w:rsidRPr="00722885">
        <w:rPr>
          <w:color w:val="000000" w:themeColor="text1"/>
          <w:lang w:val="ru-RU"/>
        </w:rPr>
        <w:t>Бомбардировка танковых частей авиацией оправдывается только с точки зрения достижения тактического эффекта - задержки продвижения танков, особенно в дефиле (переправы, гати, и т.п.) и в исходных пунктах для атаки. Бомбежки с целью уничтожения боевых машин могут дать некоторый эффект только в местах скопления - в эшелонах, на погрузке и выгрузке и т.п.</w:t>
      </w:r>
    </w:p>
    <w:p w14:paraId="7DFD2EB5" w14:textId="77777777" w:rsidR="00AE7191" w:rsidRPr="00722885" w:rsidRDefault="00AE7191" w:rsidP="00722885">
      <w:pPr>
        <w:pStyle w:val="6a"/>
        <w:shd w:val="clear" w:color="auto" w:fill="auto"/>
        <w:spacing w:before="0" w:line="240" w:lineRule="auto"/>
        <w:rPr>
          <w:rFonts w:ascii="Times New Roman" w:hAnsi="Times New Roman"/>
          <w:color w:val="000000" w:themeColor="text1"/>
          <w:sz w:val="16"/>
          <w:szCs w:val="16"/>
        </w:rPr>
      </w:pPr>
      <w:r w:rsidRPr="00722885">
        <w:rPr>
          <w:rStyle w:val="622"/>
          <w:rFonts w:ascii="Times New Roman" w:hAnsi="Times New Roman" w:cs="Times New Roman"/>
          <w:i w:val="0"/>
          <w:iCs w:val="0"/>
          <w:color w:val="000000" w:themeColor="text1"/>
          <w:sz w:val="16"/>
          <w:szCs w:val="16"/>
        </w:rPr>
        <w:t xml:space="preserve">Командир 3-й гвардейской танковой бригады полковник И. А. Вовченко показал: </w:t>
      </w:r>
      <w:r w:rsidRPr="00722885">
        <w:rPr>
          <w:rFonts w:ascii="Times New Roman" w:hAnsi="Times New Roman"/>
          <w:color w:val="000000" w:themeColor="text1"/>
          <w:sz w:val="16"/>
          <w:szCs w:val="16"/>
        </w:rPr>
        <w:t>«В период с 6.7.42 по 14.7.42 бригаду еже</w:t>
      </w:r>
      <w:r w:rsidRPr="00722885">
        <w:rPr>
          <w:rFonts w:ascii="Times New Roman" w:hAnsi="Times New Roman"/>
          <w:color w:val="000000" w:themeColor="text1"/>
          <w:sz w:val="16"/>
          <w:szCs w:val="16"/>
        </w:rPr>
        <w:softHyphen/>
        <w:t>дневно бомбила немецкая авиация, совер</w:t>
      </w:r>
      <w:r w:rsidRPr="00722885">
        <w:rPr>
          <w:rFonts w:ascii="Times New Roman" w:hAnsi="Times New Roman"/>
          <w:color w:val="000000" w:themeColor="text1"/>
          <w:sz w:val="16"/>
          <w:szCs w:val="16"/>
        </w:rPr>
        <w:softHyphen/>
        <w:t>шая в среднем около 200 самолето-вылетов бомбардировщиков в день (10-12 налетов продолжительностью 30 минут до 1,5 ч группами от 15 до 52 самолетов, из которых 1-15 истребителей, иногда без прикрытия истребителей). Можно сказать, что немцы сейчас воюют на нашем участке фронта на 50% авиацией, на 40% артиллерией, на 9% танками и лишь на 1% пехотой. Не</w:t>
      </w:r>
      <w:r w:rsidRPr="00722885">
        <w:rPr>
          <w:rFonts w:ascii="Times New Roman" w:hAnsi="Times New Roman"/>
          <w:color w:val="000000" w:themeColor="text1"/>
          <w:sz w:val="16"/>
          <w:szCs w:val="16"/>
        </w:rPr>
        <w:softHyphen/>
        <w:t>смотря на такие интенсивные бомбежки, бригада безвозвратных потерь от авиации не имела. За это время были два случая повреждения танков».</w:t>
      </w:r>
    </w:p>
    <w:p w14:paraId="74F5C193" w14:textId="77777777" w:rsidR="00AE7191" w:rsidRPr="00722885" w:rsidRDefault="00AE7191" w:rsidP="00722885">
      <w:pPr>
        <w:pStyle w:val="a3"/>
        <w:rPr>
          <w:color w:val="000000" w:themeColor="text1"/>
          <w:lang w:val="ru-RU"/>
        </w:rPr>
      </w:pPr>
      <w:r w:rsidRPr="00722885">
        <w:rPr>
          <w:color w:val="000000" w:themeColor="text1"/>
          <w:lang w:val="ru-RU"/>
        </w:rPr>
        <w:t>7 июля в корму танка КВ-1 комиссара бригады старшего батальонного комиссара Седякина попала бомба калибра 50 кг. В результате взрыва было сорвано крыло, разбиты триплекс и телескопический при</w:t>
      </w:r>
      <w:r w:rsidRPr="00722885">
        <w:rPr>
          <w:color w:val="000000" w:themeColor="text1"/>
          <w:lang w:val="ru-RU"/>
        </w:rPr>
        <w:softHyphen/>
        <w:t>цел . Экипаж остался цел, а сам танк остался на ходу и боеспособности не потерял.</w:t>
      </w:r>
    </w:p>
    <w:p w14:paraId="13100CEE" w14:textId="77777777" w:rsidR="00AE7191" w:rsidRPr="00722885" w:rsidRDefault="00AE7191" w:rsidP="00722885">
      <w:pPr>
        <w:pStyle w:val="a3"/>
        <w:rPr>
          <w:color w:val="000000" w:themeColor="text1"/>
          <w:lang w:val="ru-RU"/>
        </w:rPr>
      </w:pPr>
      <w:r w:rsidRPr="00722885">
        <w:rPr>
          <w:color w:val="000000" w:themeColor="text1"/>
          <w:lang w:val="ru-RU"/>
        </w:rPr>
        <w:t>В этот же день бомба калибром 500- 1000 кг упала на расстоянии 0,5-0,8 м от танка командира бригады полковника Вовченко. От взрыва образовалась воронка диаметром 18 м и глубиной до 5 м. Танк основательно встряхнуло, затем он сполз в образовавшуюся воронку. У танка оказались разбитыми триплекс и телескопический прицел, сорвана гусеница. Экипаж был легко контужен. Через 5 ч исправленный танк и экипаж пошли в бой.</w:t>
      </w:r>
    </w:p>
    <w:p w14:paraId="69CCC8EC" w14:textId="77777777" w:rsidR="00AE7191" w:rsidRPr="00722885" w:rsidRDefault="00AE7191" w:rsidP="00722885">
      <w:pPr>
        <w:pStyle w:val="a3"/>
        <w:rPr>
          <w:color w:val="000000" w:themeColor="text1"/>
          <w:lang w:val="ru-RU"/>
        </w:rPr>
      </w:pPr>
      <w:r w:rsidRPr="00722885">
        <w:rPr>
          <w:color w:val="000000" w:themeColor="text1"/>
          <w:lang w:val="ru-RU"/>
        </w:rPr>
        <w:t>По заявлению командира 1 -го батальона 71 -й танковой бригады майора Я.И. Плисова в марте 1942 г. в районе г. Холм в поле остался один тяжелый танк КВ-1, который авиация противника пыталась уничтожить в течение двух дней. В общей сложности по танку «работало» около 60 самолетов 87, ^ 88 и Не111. Пилоты люфтваффе бомбили танк и с пикирования и с горизонтального полета, но безрезультатно. Вся земля вокруг танка и в непосредственной близости от него была изрыта воронками, но прямых попаданий не было. Осколки поражения танку не причинили (12733).</w:t>
      </w:r>
    </w:p>
    <w:p w14:paraId="7044E3FE" w14:textId="77777777" w:rsidR="00AE7191" w:rsidRPr="00722885" w:rsidRDefault="00AE7191" w:rsidP="00722885">
      <w:pPr>
        <w:pStyle w:val="a3"/>
        <w:rPr>
          <w:color w:val="000000" w:themeColor="text1"/>
          <w:lang w:val="ru-RU"/>
        </w:rPr>
      </w:pPr>
    </w:p>
    <w:p w14:paraId="1DEB747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июля 1942 у станицы Мечетинская ПМГ во главе с командующим ГМЧ А.И. Нестеренко столкнулась с главными силами 1 -и танковой армии вермахта. “Разведка донесла, что движется колонна танков и мотопехоты, – докладывал Москвин. – Мы выбрали позицию у дороги так, чтобы батареи могли одновременно вести огонь. Появились мотоциклисты, за ними машины и танки. Батарейными залпами колонна была накрыта на всю глубину, подбитые и дымящиеся машины останавливались, на них, как слепые, налетали танки и сами загорались. Продвижение противника по этой дороге приостановилось”.</w:t>
      </w:r>
    </w:p>
    <w:p w14:paraId="6CDF05E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Несколько таких ударов вынудили немцев изменить тактику. Они оставляли запасы горючего и боеприпасов в тылу и двигались малыми группами: впереди 15 – 20 танков, за ними грузовики с пехотой. Это снижало темп наступления, но создавало угрозу обхода ПМГ с флангов. В ответ ее командование применило свои малые группы, в каждую из которых входил дивизион “катюш”, рота мотострелков, зенитная и противотанковая батареи. Такая группа майора Пузика, используя метод Москвина, за два дня уничтожила 15 вражеских танков и 35 автомашин.</w:t>
      </w:r>
    </w:p>
    <w:p w14:paraId="42F2CD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Степь к югу становилась холмистой, и немецкие танки и мотопехота стали накапливаться в складках местности, ложной атакой провоцировали залп БМ-13, и, пока те 5 – 6 мин перезаряжались, совершали бросок.</w:t>
      </w:r>
    </w:p>
    <w:p w14:paraId="77BB07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“Однажды, подъезжая к огневой позиции 14-го дивизиона, увидел, что у левофланговой машины направляющие подняты до отказа, а на них, подложив чехол, сидит Москвин, – вспоминал генерал Нестеренко. – Комиссар дивизиона Юровский объяснил, что командир наблюдает за неприятелем и корректирует стрельбу”. А Москвин сообщил, что залпом накрыто скопление врага, горят четыре танка и пять машин.</w:t>
      </w:r>
    </w:p>
    <w:p w14:paraId="5D169F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Если дивизион не реагировал на ложную атаку или вел огонь одной установкои, немцы не покидали укрытий, ожидая, когда “катюши” израсходуют боекомплект. Показательна перемена в психологии гитлеровцев. Раньше они катили громадными колоннами по степи, а теперь, как пехота под пулеметным огнем, таились, использовали отвлекающие действия, выжидали время для атаки. Инициатива уплывала из рук 1 -и танковой армии...</w:t>
      </w:r>
    </w:p>
    <w:p w14:paraId="47FC6E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Предложенный Москвиным способ корректировки рекомендовали другим частям, и вскоре график немецкого наступления на Кавказ был сорван. Еще несколько дней боев – и из названия 1-й танковой армии можно было бы убирать слово “танковая”, а потери гвардейцев-минометчиков были минимальными – Нестеренко в мемуарах поименно перечислил убитых и раненых (9632).</w:t>
      </w:r>
    </w:p>
    <w:p w14:paraId="3A1DBE93" w14:textId="77777777" w:rsidR="00AE7191" w:rsidRPr="00722885" w:rsidRDefault="00AE7191" w:rsidP="00722885">
      <w:pPr>
        <w:pStyle w:val="Iauiue"/>
        <w:jc w:val="both"/>
        <w:rPr>
          <w:color w:val="000000" w:themeColor="text1"/>
          <w:sz w:val="16"/>
          <w:szCs w:val="16"/>
        </w:rPr>
      </w:pPr>
    </w:p>
    <w:p w14:paraId="2224F1E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E6034D4" w14:textId="77777777" w:rsidR="00AE7191" w:rsidRPr="00722885" w:rsidRDefault="00AE7191" w:rsidP="00722885">
      <w:pPr>
        <w:pStyle w:val="Iauiue"/>
        <w:jc w:val="both"/>
        <w:rPr>
          <w:iCs/>
          <w:color w:val="000000" w:themeColor="text1"/>
          <w:sz w:val="16"/>
          <w:szCs w:val="16"/>
        </w:rPr>
      </w:pPr>
    </w:p>
    <w:p w14:paraId="4BD79F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согласно И.Ф.Петрову, прошел гос. испытания двухместный Ил-2 с АМ-38Ф (262,59). Задержалась передача двухместного Ил-2 в серию до октября 1942, а в войска - еще позже, наверное, из-за заделов на заводах 1, 18 и 30 (173,219).</w:t>
      </w:r>
    </w:p>
    <w:p w14:paraId="29FCACAE" w14:textId="77777777" w:rsidR="00AE7191" w:rsidRPr="00722885" w:rsidRDefault="00AE7191" w:rsidP="00722885">
      <w:pPr>
        <w:pStyle w:val="Iauiue"/>
        <w:jc w:val="both"/>
        <w:rPr>
          <w:color w:val="000000" w:themeColor="text1"/>
          <w:sz w:val="16"/>
          <w:szCs w:val="16"/>
        </w:rPr>
      </w:pPr>
    </w:p>
    <w:p w14:paraId="5D79609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июля 1942 Ил-2 АМ-38ф проходил контрольные испы</w:t>
      </w:r>
      <w:r w:rsidRPr="00722885">
        <w:rPr>
          <w:rFonts w:ascii="Times New Roman" w:hAnsi="Times New Roman"/>
          <w:color w:val="000000" w:themeColor="text1"/>
          <w:sz w:val="16"/>
          <w:szCs w:val="16"/>
        </w:rPr>
        <w:softHyphen/>
        <w:t>тания в НИИ ВВС, которые в целом подтвердили результа</w:t>
      </w:r>
      <w:r w:rsidRPr="00722885">
        <w:rPr>
          <w:rFonts w:ascii="Times New Roman" w:hAnsi="Times New Roman"/>
          <w:color w:val="000000" w:themeColor="text1"/>
          <w:sz w:val="16"/>
          <w:szCs w:val="16"/>
        </w:rPr>
        <w:softHyphen/>
        <w:t>ты заводских испытаний. Од</w:t>
      </w:r>
      <w:r w:rsidRPr="00722885">
        <w:rPr>
          <w:rFonts w:ascii="Times New Roman" w:hAnsi="Times New Roman"/>
          <w:color w:val="000000" w:themeColor="text1"/>
          <w:sz w:val="16"/>
          <w:szCs w:val="16"/>
        </w:rPr>
        <w:softHyphen/>
        <w:t>нако из-за неудовлетвори</w:t>
      </w:r>
      <w:r w:rsidRPr="00722885">
        <w:rPr>
          <w:rFonts w:ascii="Times New Roman" w:hAnsi="Times New Roman"/>
          <w:color w:val="000000" w:themeColor="text1"/>
          <w:sz w:val="16"/>
          <w:szCs w:val="16"/>
        </w:rPr>
        <w:softHyphen/>
        <w:t>тельной работы мотора про</w:t>
      </w:r>
      <w:r w:rsidRPr="00722885">
        <w:rPr>
          <w:rFonts w:ascii="Times New Roman" w:hAnsi="Times New Roman"/>
          <w:color w:val="000000" w:themeColor="text1"/>
          <w:sz w:val="16"/>
          <w:szCs w:val="16"/>
        </w:rPr>
        <w:softHyphen/>
        <w:t>грамму летных испытаний в полном объеме выполнить не удалось. 18 августа полеты Ил-2 с АМ-38ф были прекращены и самолет возвращен на завод № 18 для устранения обнаруженных дефектов и доводки вин</w:t>
      </w:r>
      <w:r w:rsidRPr="00722885">
        <w:rPr>
          <w:rFonts w:ascii="Times New Roman" w:hAnsi="Times New Roman"/>
          <w:color w:val="000000" w:themeColor="text1"/>
          <w:sz w:val="16"/>
          <w:szCs w:val="16"/>
        </w:rPr>
        <w:softHyphen/>
        <w:t>томоторной группы до требуемого уровня надежности.</w:t>
      </w:r>
    </w:p>
    <w:p w14:paraId="147B180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доводке АМ-38ф проходили достаточно успеш</w:t>
      </w:r>
      <w:r w:rsidRPr="00722885">
        <w:rPr>
          <w:rFonts w:ascii="Times New Roman" w:hAnsi="Times New Roman"/>
          <w:color w:val="000000" w:themeColor="text1"/>
          <w:sz w:val="16"/>
          <w:szCs w:val="16"/>
        </w:rPr>
        <w:softHyphen/>
        <w:t>но, и уже в сентябре 1942 г. были проведены повторные 50-ча</w:t>
      </w:r>
      <w:r w:rsidRPr="00722885">
        <w:rPr>
          <w:rFonts w:ascii="Times New Roman" w:hAnsi="Times New Roman"/>
          <w:color w:val="000000" w:themeColor="text1"/>
          <w:sz w:val="16"/>
          <w:szCs w:val="16"/>
        </w:rPr>
        <w:softHyphen/>
        <w:t>совые специальные летные испытания мотора на самолете Ил-2. За время испытаний мотор и его агрегаты работали на</w:t>
      </w:r>
      <w:r w:rsidRPr="00722885">
        <w:rPr>
          <w:rFonts w:ascii="Times New Roman" w:hAnsi="Times New Roman"/>
          <w:color w:val="000000" w:themeColor="text1"/>
          <w:sz w:val="16"/>
          <w:szCs w:val="16"/>
        </w:rPr>
        <w:softHyphen/>
        <w:t>дежно и дефектов не имели. Наработка мотора на взлетном ре</w:t>
      </w:r>
      <w:r w:rsidRPr="00722885">
        <w:rPr>
          <w:rFonts w:ascii="Times New Roman" w:hAnsi="Times New Roman"/>
          <w:color w:val="000000" w:themeColor="text1"/>
          <w:sz w:val="16"/>
          <w:szCs w:val="16"/>
        </w:rPr>
        <w:softHyphen/>
        <w:t>жиме составила 2 ч 5 мин., а на номинальном и 0,5 от номи</w:t>
      </w:r>
      <w:r w:rsidRPr="00722885">
        <w:rPr>
          <w:rFonts w:ascii="Times New Roman" w:hAnsi="Times New Roman"/>
          <w:color w:val="000000" w:themeColor="text1"/>
          <w:sz w:val="16"/>
          <w:szCs w:val="16"/>
        </w:rPr>
        <w:softHyphen/>
        <w:t>нального — 43 ч 14 мин. (11474,300).</w:t>
      </w:r>
    </w:p>
    <w:p w14:paraId="5154E36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0A609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закончились гос. испытания двухместного Ил-2 с АМ-38Ф (438,852).</w:t>
      </w:r>
    </w:p>
    <w:p w14:paraId="3CD83C9D" w14:textId="77777777" w:rsidR="00AE7191" w:rsidRPr="00722885" w:rsidRDefault="00AE7191" w:rsidP="00722885">
      <w:pPr>
        <w:pStyle w:val="Iauiue"/>
        <w:jc w:val="both"/>
        <w:rPr>
          <w:color w:val="000000" w:themeColor="text1"/>
          <w:sz w:val="16"/>
          <w:szCs w:val="16"/>
        </w:rPr>
      </w:pPr>
    </w:p>
    <w:p w14:paraId="4E9A399D" w14:textId="77777777" w:rsidR="001B2C96" w:rsidRPr="00722885" w:rsidRDefault="001B2C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shd w:val="clear" w:color="auto" w:fill="FFFFFF"/>
        </w:rPr>
        <w:t>В июле 1942 года вышел отчет об испытаниях Ил-2 в НИИ ВВС:</w:t>
      </w:r>
    </w:p>
    <w:p w14:paraId="0DA10911" w14:textId="77777777" w:rsidR="001B2C96" w:rsidRPr="00722885" w:rsidRDefault="001B2C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 1612 (16-ой серии) отличается от самолета № 0408 (4-ой серии), проходившего госиспытания в январе 1942 г. следующим:</w:t>
      </w:r>
    </w:p>
    <w:p w14:paraId="75E57A29" w14:textId="77777777" w:rsidR="001B2C96" w:rsidRPr="00722885" w:rsidRDefault="001B2C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Над верхней частью заднего бензобака поставлена бронеплита толщиной 4 мм.</w:t>
      </w:r>
    </w:p>
    <w:p w14:paraId="7F8C5E71" w14:textId="77777777" w:rsidR="001B2C96" w:rsidRPr="00722885" w:rsidRDefault="001B2C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Над головой летчика, на подвижной части фонаря, поставлена броневая плита толщиной 5 мм.</w:t>
      </w:r>
    </w:p>
    <w:p w14:paraId="47101674" w14:textId="77777777" w:rsidR="001B2C96" w:rsidRPr="00722885" w:rsidRDefault="001B2C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Средняя часть прозрачной брони за головой летчика заменена на непрозрачную броню толщиной 12 мм.</w:t>
      </w:r>
    </w:p>
    <w:p w14:paraId="4F3A2E4A" w14:textId="77777777" w:rsidR="001B2C96" w:rsidRPr="00722885" w:rsidRDefault="001B2C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Поставлена броневая плита толщиной 5 мм над пеногасительным бачком (19706).</w:t>
      </w:r>
    </w:p>
    <w:p w14:paraId="060EB809" w14:textId="77777777" w:rsidR="001B2C96" w:rsidRPr="00722885" w:rsidRDefault="001B2C96" w:rsidP="00722885">
      <w:pPr>
        <w:spacing w:after="0" w:line="240" w:lineRule="auto"/>
        <w:jc w:val="both"/>
        <w:rPr>
          <w:rFonts w:ascii="Times New Roman" w:hAnsi="Times New Roman"/>
          <w:color w:val="000000" w:themeColor="text1"/>
          <w:sz w:val="16"/>
          <w:szCs w:val="16"/>
        </w:rPr>
      </w:pPr>
    </w:p>
    <w:p w14:paraId="7DB6DB00" w14:textId="77777777" w:rsidR="001B2C96" w:rsidRPr="00722885" w:rsidRDefault="001B2C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w:t>
      </w:r>
    </w:p>
    <w:p w14:paraId="6AFC95DE" w14:textId="77777777" w:rsidR="001B2C96" w:rsidRPr="00722885" w:rsidRDefault="001B2C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 по заводу № 18</w:t>
      </w:r>
    </w:p>
    <w:p w14:paraId="770E640D" w14:textId="77777777" w:rsidR="001B2C96" w:rsidRPr="00722885" w:rsidRDefault="001B2C96"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произвести в агусте месяце 20 машин с пушками Ш (19706).</w:t>
      </w:r>
    </w:p>
    <w:p w14:paraId="7E21310B" w14:textId="77777777" w:rsidR="001B2C96" w:rsidRPr="00722885" w:rsidRDefault="001B2C96" w:rsidP="00722885">
      <w:pPr>
        <w:pStyle w:val="ae"/>
        <w:shd w:val="clear" w:color="auto" w:fill="FFFFFF"/>
        <w:spacing w:before="0" w:after="0"/>
        <w:jc w:val="both"/>
        <w:rPr>
          <w:color w:val="000000" w:themeColor="text1"/>
          <w:sz w:val="16"/>
          <w:szCs w:val="16"/>
        </w:rPr>
      </w:pPr>
      <w:r w:rsidRPr="00722885">
        <w:rPr>
          <w:color w:val="000000" w:themeColor="text1"/>
          <w:sz w:val="16"/>
          <w:szCs w:val="16"/>
          <w:shd w:val="clear" w:color="auto" w:fill="FFFFFF"/>
        </w:rPr>
        <w:t>(Опись 1/дело11. Приказы по заводу, с. 35)</w:t>
      </w:r>
      <w:r w:rsidRPr="00722885">
        <w:rPr>
          <w:color w:val="000000" w:themeColor="text1"/>
          <w:sz w:val="16"/>
          <w:szCs w:val="16"/>
        </w:rPr>
        <w:t xml:space="preserve"> (19706).</w:t>
      </w:r>
    </w:p>
    <w:p w14:paraId="5A63699B" w14:textId="77777777" w:rsidR="001B2C96" w:rsidRPr="00722885" w:rsidRDefault="001B2C96" w:rsidP="00722885">
      <w:pPr>
        <w:pStyle w:val="ae"/>
        <w:shd w:val="clear" w:color="auto" w:fill="FFFFFF"/>
        <w:spacing w:before="0" w:after="0"/>
        <w:jc w:val="both"/>
        <w:rPr>
          <w:color w:val="000000" w:themeColor="text1"/>
          <w:sz w:val="16"/>
          <w:szCs w:val="16"/>
        </w:rPr>
      </w:pPr>
    </w:p>
    <w:p w14:paraId="32D74DD4" w14:textId="77777777" w:rsidR="00627011" w:rsidRPr="00722885" w:rsidRDefault="00627011" w:rsidP="00722885">
      <w:pPr>
        <w:pStyle w:val="45"/>
        <w:shd w:val="clear" w:color="auto" w:fill="auto"/>
        <w:spacing w:before="0" w:line="240" w:lineRule="auto"/>
        <w:jc w:val="both"/>
        <w:rPr>
          <w:rFonts w:ascii="Times New Roman" w:cs="Times New Roman"/>
          <w:color w:val="000000" w:themeColor="text1"/>
          <w:sz w:val="16"/>
          <w:szCs w:val="16"/>
        </w:rPr>
      </w:pPr>
      <w:r w:rsidRPr="00722885">
        <w:rPr>
          <w:rStyle w:val="4f0"/>
          <w:rFonts w:ascii="Times New Roman" w:hAnsi="Times New Roman" w:cs="Times New Roman"/>
          <w:i w:val="0"/>
          <w:color w:val="000000" w:themeColor="text1"/>
          <w:sz w:val="16"/>
          <w:szCs w:val="16"/>
        </w:rPr>
        <w:t>В июле 1942 г. главный инженер ВВС КА генерал-лейтенант А.К. Репин в письме глав</w:t>
      </w:r>
      <w:r w:rsidRPr="00722885">
        <w:rPr>
          <w:rStyle w:val="4f0"/>
          <w:rFonts w:ascii="Times New Roman" w:hAnsi="Times New Roman" w:cs="Times New Roman"/>
          <w:i w:val="0"/>
          <w:color w:val="000000" w:themeColor="text1"/>
          <w:sz w:val="16"/>
          <w:szCs w:val="16"/>
        </w:rPr>
        <w:softHyphen/>
        <w:t>ному конструктору завода №240 Ильюшину указывал, что</w:t>
      </w:r>
      <w:r w:rsidRPr="00722885">
        <w:rPr>
          <w:rFonts w:ascii="Times New Roman" w:cs="Times New Roman"/>
          <w:color w:val="000000" w:themeColor="text1"/>
          <w:sz w:val="16"/>
          <w:szCs w:val="16"/>
        </w:rPr>
        <w:t xml:space="preserve"> «в связи с более широким при</w:t>
      </w:r>
      <w:r w:rsidRPr="00722885">
        <w:rPr>
          <w:rFonts w:ascii="Times New Roman" w:cs="Times New Roman"/>
          <w:color w:val="000000" w:themeColor="text1"/>
          <w:sz w:val="16"/>
          <w:szCs w:val="16"/>
        </w:rPr>
        <w:softHyphen/>
        <w:t>менением немцами самолетов с крупнокали</w:t>
      </w:r>
      <w:r w:rsidRPr="00722885">
        <w:rPr>
          <w:rFonts w:ascii="Times New Roman" w:cs="Times New Roman"/>
          <w:color w:val="000000" w:themeColor="text1"/>
          <w:sz w:val="16"/>
          <w:szCs w:val="16"/>
        </w:rPr>
        <w:softHyphen/>
        <w:t>берным вооружением (пулемет МГ-151 кали</w:t>
      </w:r>
      <w:r w:rsidRPr="00722885">
        <w:rPr>
          <w:rFonts w:ascii="Times New Roman" w:cs="Times New Roman"/>
          <w:color w:val="000000" w:themeColor="text1"/>
          <w:sz w:val="16"/>
          <w:szCs w:val="16"/>
        </w:rPr>
        <w:softHyphen/>
        <w:t>бра 15-20 мм и пушка калибра 20 мм), потери самолетов Ил-2 за последнее время сильно возросли».</w:t>
      </w:r>
      <w:r w:rsidRPr="00722885">
        <w:rPr>
          <w:rStyle w:val="aff0"/>
          <w:rFonts w:ascii="Times New Roman" w:hAnsi="Times New Roman" w:cs="Times New Roman"/>
          <w:iCs/>
          <w:color w:val="000000" w:themeColor="text1"/>
          <w:spacing w:val="0"/>
          <w:sz w:val="16"/>
          <w:szCs w:val="16"/>
        </w:rPr>
        <w:t xml:space="preserve"> По данным планового отделения ГУ ВВС КА, боевые потери Ил-2 только за апрель, май и июнь 1942 г. составили 936 само</w:t>
      </w:r>
      <w:r w:rsidRPr="00722885">
        <w:rPr>
          <w:rStyle w:val="aff0"/>
          <w:rFonts w:ascii="Times New Roman" w:hAnsi="Times New Roman" w:cs="Times New Roman"/>
          <w:iCs/>
          <w:color w:val="000000" w:themeColor="text1"/>
          <w:spacing w:val="0"/>
          <w:sz w:val="16"/>
          <w:szCs w:val="16"/>
        </w:rPr>
        <w:softHyphen/>
        <w:t>летов, или свыше 60% от потерь Ил-2 за целый год войны (с июня 1941 г.).</w:t>
      </w:r>
    </w:p>
    <w:p w14:paraId="08D194C9"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При попадании в бронеспинку Ил-2 круп</w:t>
      </w:r>
      <w:r w:rsidRPr="00722885">
        <w:rPr>
          <w:rFonts w:ascii="Times New Roman" w:cs="Times New Roman"/>
          <w:color w:val="000000" w:themeColor="text1"/>
          <w:spacing w:val="0"/>
          <w:sz w:val="16"/>
          <w:szCs w:val="16"/>
        </w:rPr>
        <w:softHyphen/>
        <w:t>нокалиберных пуль и снарядов самолеты, за редким исключением, полностью выходили из строя. Пулестойкость бронеспинки оказалась настолько низкой, что даже с самых больших дистанций воздушного боя она пробивалась с последующим разрушением внутренних частей самолета и поражением экипажа не только пу</w:t>
      </w:r>
      <w:r w:rsidRPr="00722885">
        <w:rPr>
          <w:rFonts w:ascii="Times New Roman" w:cs="Times New Roman"/>
          <w:color w:val="000000" w:themeColor="text1"/>
          <w:spacing w:val="0"/>
          <w:sz w:val="16"/>
          <w:szCs w:val="16"/>
        </w:rPr>
        <w:softHyphen/>
        <w:t>лей, но и осколками пуль и брони.</w:t>
      </w:r>
    </w:p>
    <w:p w14:paraId="6B45A388" w14:textId="77777777" w:rsidR="00627011" w:rsidRPr="00722885" w:rsidRDefault="00627011" w:rsidP="00722885">
      <w:pPr>
        <w:pStyle w:val="45"/>
        <w:shd w:val="clear" w:color="auto" w:fill="auto"/>
        <w:spacing w:before="0" w:line="240" w:lineRule="auto"/>
        <w:jc w:val="both"/>
        <w:rPr>
          <w:rFonts w:ascii="Times New Roman" w:cs="Times New Roman"/>
          <w:color w:val="000000" w:themeColor="text1"/>
          <w:sz w:val="16"/>
          <w:szCs w:val="16"/>
        </w:rPr>
      </w:pPr>
      <w:r w:rsidRPr="00722885">
        <w:rPr>
          <w:rStyle w:val="4f0"/>
          <w:rFonts w:ascii="Times New Roman" w:hAnsi="Times New Roman" w:cs="Times New Roman"/>
          <w:i w:val="0"/>
          <w:color w:val="000000" w:themeColor="text1"/>
          <w:sz w:val="16"/>
          <w:szCs w:val="16"/>
        </w:rPr>
        <w:lastRenderedPageBreak/>
        <w:t>Исключительно большие потери самолетов Ил-2 в некоторых частях вынуждали</w:t>
      </w:r>
      <w:r w:rsidRPr="00722885">
        <w:rPr>
          <w:rFonts w:ascii="Times New Roman" w:cs="Times New Roman"/>
          <w:color w:val="000000" w:themeColor="text1"/>
          <w:sz w:val="16"/>
          <w:szCs w:val="16"/>
        </w:rPr>
        <w:t xml:space="preserve"> «либо са</w:t>
      </w:r>
      <w:r w:rsidRPr="00722885">
        <w:rPr>
          <w:rFonts w:ascii="Times New Roman" w:cs="Times New Roman"/>
          <w:color w:val="000000" w:themeColor="text1"/>
          <w:sz w:val="16"/>
          <w:szCs w:val="16"/>
        </w:rPr>
        <w:softHyphen/>
        <w:t>жать в заднюю часть фюзеляжа стрелка с пу</w:t>
      </w:r>
      <w:r w:rsidRPr="00722885">
        <w:rPr>
          <w:rFonts w:ascii="Times New Roman" w:cs="Times New Roman"/>
          <w:color w:val="000000" w:themeColor="text1"/>
          <w:sz w:val="16"/>
          <w:szCs w:val="16"/>
        </w:rPr>
        <w:softHyphen/>
        <w:t>леметом БТдля защиты самолета сзади, либо выделять большое количество истребителей для их сопровождения».</w:t>
      </w:r>
      <w:r w:rsidRPr="00722885">
        <w:rPr>
          <w:rStyle w:val="4f0"/>
          <w:rFonts w:ascii="Times New Roman" w:hAnsi="Times New Roman" w:cs="Times New Roman"/>
          <w:i w:val="0"/>
          <w:color w:val="000000" w:themeColor="text1"/>
          <w:sz w:val="16"/>
          <w:szCs w:val="16"/>
        </w:rPr>
        <w:t xml:space="preserve"> Предлагалось увели</w:t>
      </w:r>
      <w:r w:rsidRPr="00722885">
        <w:rPr>
          <w:rStyle w:val="4f0"/>
          <w:rFonts w:ascii="Times New Roman" w:hAnsi="Times New Roman" w:cs="Times New Roman"/>
          <w:i w:val="0"/>
          <w:color w:val="000000" w:themeColor="text1"/>
          <w:sz w:val="16"/>
          <w:szCs w:val="16"/>
        </w:rPr>
        <w:softHyphen/>
        <w:t>чить толщину бронеспинки самолета Ил-2 на</w:t>
      </w:r>
      <w:r w:rsidRPr="00722885">
        <w:rPr>
          <w:rStyle w:val="4f0"/>
          <w:rFonts w:ascii="Times New Roman" w:hAnsi="Times New Roman" w:cs="Times New Roman"/>
          <w:i w:val="0"/>
          <w:color w:val="000000" w:themeColor="text1"/>
          <w:sz w:val="16"/>
          <w:szCs w:val="16"/>
        </w:rPr>
        <w:softHyphen/>
        <w:t>столько,</w:t>
      </w:r>
      <w:r w:rsidRPr="00722885">
        <w:rPr>
          <w:rFonts w:ascii="Times New Roman" w:cs="Times New Roman"/>
          <w:color w:val="000000" w:themeColor="text1"/>
          <w:sz w:val="16"/>
          <w:szCs w:val="16"/>
        </w:rPr>
        <w:t xml:space="preserve"> «чтобы сделать его сзади неуязвимым для авиационного вооружения противника».</w:t>
      </w:r>
    </w:p>
    <w:p w14:paraId="699F814E" w14:textId="77777777" w:rsidR="00627011" w:rsidRPr="00722885" w:rsidRDefault="00627011" w:rsidP="00722885">
      <w:pPr>
        <w:pStyle w:val="45"/>
        <w:shd w:val="clear" w:color="auto" w:fill="auto"/>
        <w:spacing w:before="0" w:line="240" w:lineRule="auto"/>
        <w:jc w:val="both"/>
        <w:rPr>
          <w:rFonts w:ascii="Times New Roman" w:cs="Times New Roman"/>
          <w:color w:val="000000" w:themeColor="text1"/>
          <w:sz w:val="16"/>
          <w:szCs w:val="16"/>
        </w:rPr>
      </w:pPr>
      <w:r w:rsidRPr="00722885">
        <w:rPr>
          <w:rStyle w:val="4f0"/>
          <w:rFonts w:ascii="Times New Roman" w:hAnsi="Times New Roman" w:cs="Times New Roman"/>
          <w:i w:val="0"/>
          <w:color w:val="000000" w:themeColor="text1"/>
          <w:sz w:val="16"/>
          <w:szCs w:val="16"/>
        </w:rPr>
        <w:t>Кроме того,</w:t>
      </w:r>
      <w:r w:rsidRPr="00722885">
        <w:rPr>
          <w:rFonts w:ascii="Times New Roman" w:cs="Times New Roman"/>
          <w:color w:val="000000" w:themeColor="text1"/>
          <w:sz w:val="16"/>
          <w:szCs w:val="16"/>
        </w:rPr>
        <w:t xml:space="preserve"> «поскольку самолет Ил-2 пе</w:t>
      </w:r>
      <w:r w:rsidRPr="00722885">
        <w:rPr>
          <w:rFonts w:ascii="Times New Roman" w:cs="Times New Roman"/>
          <w:color w:val="000000" w:themeColor="text1"/>
          <w:sz w:val="16"/>
          <w:szCs w:val="16"/>
        </w:rPr>
        <w:softHyphen/>
        <w:t>регружен и непосредственно увеличить тол</w:t>
      </w:r>
      <w:r w:rsidRPr="00722885">
        <w:rPr>
          <w:rFonts w:ascii="Times New Roman" w:cs="Times New Roman"/>
          <w:color w:val="000000" w:themeColor="text1"/>
          <w:sz w:val="16"/>
          <w:szCs w:val="16"/>
        </w:rPr>
        <w:softHyphen/>
        <w:t>щину брони невозможно»,</w:t>
      </w:r>
      <w:r w:rsidRPr="00722885">
        <w:rPr>
          <w:rStyle w:val="4f0"/>
          <w:rFonts w:ascii="Times New Roman" w:hAnsi="Times New Roman" w:cs="Times New Roman"/>
          <w:i w:val="0"/>
          <w:color w:val="000000" w:themeColor="text1"/>
          <w:sz w:val="16"/>
          <w:szCs w:val="16"/>
        </w:rPr>
        <w:t xml:space="preserve"> Репин просил про</w:t>
      </w:r>
      <w:r w:rsidRPr="00722885">
        <w:rPr>
          <w:rStyle w:val="4f0"/>
          <w:rFonts w:ascii="Times New Roman" w:hAnsi="Times New Roman" w:cs="Times New Roman"/>
          <w:i w:val="0"/>
          <w:color w:val="000000" w:themeColor="text1"/>
          <w:sz w:val="16"/>
          <w:szCs w:val="16"/>
        </w:rPr>
        <w:softHyphen/>
        <w:t>работать в срочном порядке способы усиления броневой защиты самолета. По его мнению, имелась реальная возможность</w:t>
      </w:r>
      <w:r w:rsidRPr="00722885">
        <w:rPr>
          <w:rFonts w:ascii="Times New Roman" w:cs="Times New Roman"/>
          <w:color w:val="000000" w:themeColor="text1"/>
          <w:sz w:val="16"/>
          <w:szCs w:val="16"/>
        </w:rPr>
        <w:t xml:space="preserve"> «укоротить длину бронекорпуса самолета с таким расче</w:t>
      </w:r>
      <w:r w:rsidRPr="00722885">
        <w:rPr>
          <w:rFonts w:ascii="Times New Roman" w:cs="Times New Roman"/>
          <w:color w:val="000000" w:themeColor="text1"/>
          <w:sz w:val="16"/>
          <w:szCs w:val="16"/>
        </w:rPr>
        <w:softHyphen/>
        <w:t>том, чтобы приблизить бронеспинку к сидению летчика».</w:t>
      </w:r>
    </w:p>
    <w:p w14:paraId="27307291"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Этот шаг обеспечивал уменьшение веса продольной брони бронекорпуса, за счет чего можно было увеличить толщину бронеспинки до 20-22 мм без увеличения веса бронекор</w:t>
      </w:r>
      <w:r w:rsidRPr="00722885">
        <w:rPr>
          <w:rFonts w:ascii="Times New Roman" w:cs="Times New Roman"/>
          <w:color w:val="000000" w:themeColor="text1"/>
          <w:spacing w:val="0"/>
          <w:sz w:val="16"/>
          <w:szCs w:val="16"/>
        </w:rPr>
        <w:softHyphen/>
        <w:t>пуса. При этом бензобак, находящийся между бронеспинкой и летчиком, предлагалось уста</w:t>
      </w:r>
      <w:r w:rsidRPr="00722885">
        <w:rPr>
          <w:rFonts w:ascii="Times New Roman" w:cs="Times New Roman"/>
          <w:color w:val="000000" w:themeColor="text1"/>
          <w:spacing w:val="0"/>
          <w:sz w:val="16"/>
          <w:szCs w:val="16"/>
        </w:rPr>
        <w:softHyphen/>
        <w:t>новить под сиденьем летчика по типу немецко</w:t>
      </w:r>
      <w:r w:rsidRPr="00722885">
        <w:rPr>
          <w:rFonts w:ascii="Times New Roman" w:cs="Times New Roman"/>
          <w:color w:val="000000" w:themeColor="text1"/>
          <w:spacing w:val="0"/>
          <w:sz w:val="16"/>
          <w:szCs w:val="16"/>
        </w:rPr>
        <w:softHyphen/>
        <w:t>го ВТ109.</w:t>
      </w:r>
    </w:p>
    <w:p w14:paraId="08A7E75E"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Одновременно увеличивался до 30-35° и диапазон углов защиты в задней полусфе</w:t>
      </w:r>
      <w:r w:rsidRPr="00722885">
        <w:rPr>
          <w:rFonts w:ascii="Times New Roman" w:cs="Times New Roman"/>
          <w:color w:val="000000" w:themeColor="text1"/>
          <w:spacing w:val="0"/>
          <w:sz w:val="16"/>
          <w:szCs w:val="16"/>
        </w:rPr>
        <w:softHyphen/>
        <w:t>ре. Действительно, из-за большого удаления летчика от бронеспинки она не обеспечивала необходимой угловой защиты в задней полу</w:t>
      </w:r>
      <w:r w:rsidRPr="00722885">
        <w:rPr>
          <w:rFonts w:ascii="Times New Roman" w:cs="Times New Roman"/>
          <w:color w:val="000000" w:themeColor="text1"/>
          <w:spacing w:val="0"/>
          <w:sz w:val="16"/>
          <w:szCs w:val="16"/>
        </w:rPr>
        <w:softHyphen/>
        <w:t>сфере. Поэтому для надежной защиты летчика требовалось увеличивать толщину продольной брони кабины, что приводило к росту веса бро</w:t>
      </w:r>
      <w:r w:rsidRPr="00722885">
        <w:rPr>
          <w:rFonts w:ascii="Times New Roman" w:cs="Times New Roman"/>
          <w:color w:val="000000" w:themeColor="text1"/>
          <w:spacing w:val="0"/>
          <w:sz w:val="16"/>
          <w:szCs w:val="16"/>
        </w:rPr>
        <w:softHyphen/>
        <w:t>некорпуса.</w:t>
      </w:r>
    </w:p>
    <w:p w14:paraId="2C63A797" w14:textId="77777777" w:rsidR="00627011" w:rsidRPr="00722885" w:rsidRDefault="00627011" w:rsidP="00722885">
      <w:pPr>
        <w:pStyle w:val="45"/>
        <w:shd w:val="clear" w:color="auto" w:fill="auto"/>
        <w:spacing w:before="0" w:line="240" w:lineRule="auto"/>
        <w:jc w:val="both"/>
        <w:rPr>
          <w:rFonts w:ascii="Times New Roman" w:cs="Times New Roman"/>
          <w:color w:val="000000" w:themeColor="text1"/>
          <w:sz w:val="16"/>
          <w:szCs w:val="16"/>
        </w:rPr>
      </w:pPr>
      <w:r w:rsidRPr="00722885">
        <w:rPr>
          <w:rStyle w:val="4f0"/>
          <w:rFonts w:ascii="Times New Roman" w:hAnsi="Times New Roman" w:cs="Times New Roman"/>
          <w:i w:val="0"/>
          <w:color w:val="000000" w:themeColor="text1"/>
          <w:sz w:val="16"/>
          <w:szCs w:val="16"/>
        </w:rPr>
        <w:t>Отмечалось, что</w:t>
      </w:r>
      <w:r w:rsidRPr="00722885">
        <w:rPr>
          <w:rFonts w:ascii="Times New Roman" w:cs="Times New Roman"/>
          <w:color w:val="000000" w:themeColor="text1"/>
          <w:sz w:val="16"/>
          <w:szCs w:val="16"/>
        </w:rPr>
        <w:t xml:space="preserve"> «за период эксплоата- ции самолетов Ил-2 выяснился ряд слабых мест значительно снижающих живучесть этих самолетов»./</w:t>
      </w:r>
      <w:r w:rsidRPr="00722885">
        <w:rPr>
          <w:rStyle w:val="aff0"/>
          <w:rFonts w:ascii="Times New Roman" w:hAnsi="Times New Roman" w:cs="Times New Roman"/>
          <w:iCs/>
          <w:color w:val="000000" w:themeColor="text1"/>
          <w:spacing w:val="0"/>
          <w:sz w:val="16"/>
          <w:szCs w:val="16"/>
        </w:rPr>
        <w:t>К таким местам, в первую оче</w:t>
      </w:r>
      <w:r w:rsidRPr="00722885">
        <w:rPr>
          <w:rStyle w:val="aff0"/>
          <w:rFonts w:ascii="Times New Roman" w:hAnsi="Times New Roman" w:cs="Times New Roman"/>
          <w:iCs/>
          <w:color w:val="000000" w:themeColor="text1"/>
          <w:spacing w:val="0"/>
          <w:sz w:val="16"/>
          <w:szCs w:val="16"/>
        </w:rPr>
        <w:softHyphen/>
        <w:t>редь, относилась</w:t>
      </w:r>
      <w:r w:rsidRPr="00722885">
        <w:rPr>
          <w:rStyle w:val="aff6"/>
          <w:rFonts w:ascii="Times New Roman" w:hAnsi="Times New Roman" w:cs="Times New Roman"/>
          <w:i w:val="0"/>
          <w:color w:val="000000" w:themeColor="text1"/>
        </w:rPr>
        <w:t xml:space="preserve"> «незащищенность пневма- тиков от поражения их ружейно-пулеметным огнем пехоты противника».</w:t>
      </w:r>
      <w:r w:rsidRPr="00722885">
        <w:rPr>
          <w:rStyle w:val="aff0"/>
          <w:rFonts w:ascii="Times New Roman" w:hAnsi="Times New Roman" w:cs="Times New Roman"/>
          <w:iCs/>
          <w:color w:val="000000" w:themeColor="text1"/>
          <w:spacing w:val="0"/>
          <w:sz w:val="16"/>
          <w:szCs w:val="16"/>
        </w:rPr>
        <w:t xml:space="preserve"> Частые случаи по</w:t>
      </w:r>
      <w:r w:rsidRPr="00722885">
        <w:rPr>
          <w:rStyle w:val="aff0"/>
          <w:rFonts w:ascii="Times New Roman" w:hAnsi="Times New Roman" w:cs="Times New Roman"/>
          <w:iCs/>
          <w:color w:val="000000" w:themeColor="text1"/>
          <w:spacing w:val="0"/>
          <w:sz w:val="16"/>
          <w:szCs w:val="16"/>
        </w:rPr>
        <w:softHyphen/>
        <w:t>ражения пневматиков Ил-2 заставили Управле</w:t>
      </w:r>
      <w:r w:rsidRPr="00722885">
        <w:rPr>
          <w:rStyle w:val="aff0"/>
          <w:rFonts w:ascii="Times New Roman" w:hAnsi="Times New Roman" w:cs="Times New Roman"/>
          <w:iCs/>
          <w:color w:val="000000" w:themeColor="text1"/>
          <w:spacing w:val="0"/>
          <w:sz w:val="16"/>
          <w:szCs w:val="16"/>
        </w:rPr>
        <w:softHyphen/>
        <w:t>ние ВВС КА в опытном порядке заказать вме</w:t>
      </w:r>
      <w:r w:rsidRPr="00722885">
        <w:rPr>
          <w:rStyle w:val="aff0"/>
          <w:rFonts w:ascii="Times New Roman" w:hAnsi="Times New Roman" w:cs="Times New Roman"/>
          <w:iCs/>
          <w:color w:val="000000" w:themeColor="text1"/>
          <w:spacing w:val="0"/>
          <w:sz w:val="16"/>
          <w:szCs w:val="16"/>
        </w:rPr>
        <w:softHyphen/>
        <w:t>сто них губчатые камеры, но и они имели суще</w:t>
      </w:r>
      <w:r w:rsidRPr="00722885">
        <w:rPr>
          <w:rStyle w:val="aff0"/>
          <w:rFonts w:ascii="Times New Roman" w:hAnsi="Times New Roman" w:cs="Times New Roman"/>
          <w:iCs/>
          <w:color w:val="000000" w:themeColor="text1"/>
          <w:spacing w:val="0"/>
          <w:sz w:val="16"/>
          <w:szCs w:val="16"/>
        </w:rPr>
        <w:softHyphen/>
        <w:t>ственные недостатки. В этой связи предлага</w:t>
      </w:r>
      <w:r w:rsidRPr="00722885">
        <w:rPr>
          <w:rStyle w:val="aff0"/>
          <w:rFonts w:ascii="Times New Roman" w:hAnsi="Times New Roman" w:cs="Times New Roman"/>
          <w:iCs/>
          <w:color w:val="000000" w:themeColor="text1"/>
          <w:spacing w:val="0"/>
          <w:sz w:val="16"/>
          <w:szCs w:val="16"/>
        </w:rPr>
        <w:softHyphen/>
        <w:t>лось забронировать откидные крышки шасси броней толщиной 4,5 мм.</w:t>
      </w:r>
      <w:r w:rsidRPr="00722885">
        <w:rPr>
          <w:rStyle w:val="aff6"/>
          <w:rFonts w:ascii="Times New Roman" w:hAnsi="Times New Roman" w:cs="Times New Roman"/>
          <w:i w:val="0"/>
          <w:color w:val="000000" w:themeColor="text1"/>
        </w:rPr>
        <w:t xml:space="preserve"> «Такое бронирование пневматиков будет утяжелять самолет не боль</w:t>
      </w:r>
      <w:r w:rsidRPr="00722885">
        <w:rPr>
          <w:rStyle w:val="aff6"/>
          <w:rFonts w:ascii="Times New Roman" w:hAnsi="Times New Roman" w:cs="Times New Roman"/>
          <w:i w:val="0"/>
          <w:color w:val="000000" w:themeColor="text1"/>
        </w:rPr>
        <w:softHyphen/>
        <w:t xml:space="preserve">ше, чем губчатые камеры и будет защищать не только пневматики, но и механизмы шасси», - </w:t>
      </w:r>
      <w:r w:rsidRPr="00722885">
        <w:rPr>
          <w:rStyle w:val="aff0"/>
          <w:rFonts w:ascii="Times New Roman" w:hAnsi="Times New Roman" w:cs="Times New Roman"/>
          <w:iCs/>
          <w:color w:val="000000" w:themeColor="text1"/>
          <w:spacing w:val="0"/>
          <w:sz w:val="16"/>
          <w:szCs w:val="16"/>
        </w:rPr>
        <w:t>указывалось в документе.</w:t>
      </w:r>
    </w:p>
    <w:p w14:paraId="0621064E"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Поскольку в боевых вылетах имели место </w:t>
      </w:r>
      <w:r w:rsidRPr="00722885">
        <w:rPr>
          <w:rStyle w:val="aff6"/>
          <w:rFonts w:ascii="Times New Roman" w:eastAsia="Arial Narrow" w:hAnsi="Times New Roman" w:cs="Times New Roman"/>
          <w:i w:val="0"/>
          <w:color w:val="000000" w:themeColor="text1"/>
          <w:spacing w:val="0"/>
        </w:rPr>
        <w:t>«частые случаи поражения летчика с земли из ручных пулеметов и даже автоматов при стрельбе по обочинам фонаря самолета во время бреющих полетов»,</w:t>
      </w:r>
      <w:r w:rsidRPr="00722885">
        <w:rPr>
          <w:rFonts w:ascii="Times New Roman" w:cs="Times New Roman"/>
          <w:color w:val="000000" w:themeColor="text1"/>
          <w:spacing w:val="0"/>
          <w:sz w:val="16"/>
          <w:szCs w:val="16"/>
        </w:rPr>
        <w:t xml:space="preserve"> то считалоЬь не</w:t>
      </w:r>
      <w:r w:rsidRPr="00722885">
        <w:rPr>
          <w:rFonts w:ascii="Times New Roman" w:cs="Times New Roman"/>
          <w:color w:val="000000" w:themeColor="text1"/>
          <w:spacing w:val="0"/>
          <w:sz w:val="16"/>
          <w:szCs w:val="16"/>
        </w:rPr>
        <w:softHyphen/>
        <w:t>обходимым броневые плитки на фонаре сде</w:t>
      </w:r>
      <w:r w:rsidRPr="00722885">
        <w:rPr>
          <w:rFonts w:ascii="Times New Roman" w:cs="Times New Roman"/>
          <w:color w:val="000000" w:themeColor="text1"/>
          <w:spacing w:val="0"/>
          <w:sz w:val="16"/>
          <w:szCs w:val="16"/>
        </w:rPr>
        <w:softHyphen/>
        <w:t>лать длиннее, чтобы они защищали летчика с боков.</w:t>
      </w:r>
    </w:p>
    <w:p w14:paraId="3BFB8586"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И главное, при попадании пули или снаря</w:t>
      </w:r>
      <w:r w:rsidRPr="00722885">
        <w:rPr>
          <w:rFonts w:ascii="Times New Roman" w:cs="Times New Roman"/>
          <w:color w:val="000000" w:themeColor="text1"/>
          <w:spacing w:val="0"/>
          <w:sz w:val="16"/>
          <w:szCs w:val="16"/>
        </w:rPr>
        <w:softHyphen/>
        <w:t>да в бронеспинку от них, а также от цементи</w:t>
      </w:r>
      <w:r w:rsidRPr="00722885">
        <w:rPr>
          <w:rFonts w:ascii="Times New Roman" w:cs="Times New Roman"/>
          <w:color w:val="000000" w:themeColor="text1"/>
          <w:spacing w:val="0"/>
          <w:sz w:val="16"/>
          <w:szCs w:val="16"/>
        </w:rPr>
        <w:softHyphen/>
        <w:t>рованного слоя бронеспинки, образовывались сотни осколков, которые разрушали троса управления и деревянную часть фюзеляжа. По</w:t>
      </w:r>
      <w:r w:rsidRPr="00722885">
        <w:rPr>
          <w:rFonts w:ascii="Times New Roman" w:cs="Times New Roman"/>
          <w:color w:val="000000" w:themeColor="text1"/>
          <w:spacing w:val="0"/>
          <w:sz w:val="16"/>
          <w:szCs w:val="16"/>
        </w:rPr>
        <w:softHyphen/>
        <w:t>этому на бронеспинку требовалось установить экран на расстоянии 60-70 мм из шлемовой брони толщиной 1-1,5 мм (15776).</w:t>
      </w:r>
    </w:p>
    <w:p w14:paraId="3B3E3F72"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p>
    <w:p w14:paraId="5E14C31E" w14:textId="77777777" w:rsidR="00AE7191" w:rsidRPr="00722885" w:rsidRDefault="00AE7191"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июле 1942 г. в НКАП и УВВС был направлен эскизный проект одноместного модер</w:t>
      </w:r>
      <w:r w:rsidRPr="00722885">
        <w:rPr>
          <w:rFonts w:ascii="Times New Roman" w:hAnsi="Times New Roman" w:cs="Times New Roman"/>
          <w:color w:val="000000" w:themeColor="text1"/>
          <w:sz w:val="16"/>
          <w:szCs w:val="16"/>
        </w:rPr>
        <w:softHyphen/>
        <w:t>низированного штурмовика Ил-6 (рабочее название МШ). Основной особенно</w:t>
      </w:r>
      <w:r w:rsidRPr="00722885">
        <w:rPr>
          <w:rFonts w:ascii="Times New Roman" w:hAnsi="Times New Roman" w:cs="Times New Roman"/>
          <w:color w:val="000000" w:themeColor="text1"/>
          <w:sz w:val="16"/>
          <w:szCs w:val="16"/>
        </w:rPr>
        <w:softHyphen/>
        <w:t>стью новой машины стало размещение дви</w:t>
      </w:r>
      <w:r w:rsidRPr="00722885">
        <w:rPr>
          <w:rFonts w:ascii="Times New Roman" w:hAnsi="Times New Roman" w:cs="Times New Roman"/>
          <w:color w:val="000000" w:themeColor="text1"/>
          <w:sz w:val="16"/>
          <w:szCs w:val="16"/>
        </w:rPr>
        <w:softHyphen/>
        <w:t>гателя АМ-38 в средней части фюзеляжа. Посредством длинного вала он соединялся с втулкой воздушного винта. Расположенная над валом и сильно сдвинутая вперед каби</w:t>
      </w:r>
      <w:r w:rsidRPr="00722885">
        <w:rPr>
          <w:rFonts w:ascii="Times New Roman" w:hAnsi="Times New Roman" w:cs="Times New Roman"/>
          <w:color w:val="000000" w:themeColor="text1"/>
          <w:sz w:val="16"/>
          <w:szCs w:val="16"/>
        </w:rPr>
        <w:softHyphen/>
        <w:t>на летчика обеспечивала, по сравнению с Ил-2, прекрасный обзор вперед-вниз. Меж</w:t>
      </w:r>
      <w:r w:rsidRPr="00722885">
        <w:rPr>
          <w:rFonts w:ascii="Times New Roman" w:hAnsi="Times New Roman" w:cs="Times New Roman"/>
          <w:color w:val="000000" w:themeColor="text1"/>
          <w:sz w:val="16"/>
          <w:szCs w:val="16"/>
        </w:rPr>
        <w:softHyphen/>
        <w:t>ду кабиной и двигателем размещались баки с топливом и маслом. Радиаторы систем ох</w:t>
      </w:r>
      <w:r w:rsidRPr="00722885">
        <w:rPr>
          <w:rFonts w:ascii="Times New Roman" w:hAnsi="Times New Roman" w:cs="Times New Roman"/>
          <w:color w:val="000000" w:themeColor="text1"/>
          <w:sz w:val="16"/>
          <w:szCs w:val="16"/>
        </w:rPr>
        <w:softHyphen/>
        <w:t>лаждения и смазки двигателя, находящи</w:t>
      </w:r>
      <w:r w:rsidRPr="00722885">
        <w:rPr>
          <w:rFonts w:ascii="Times New Roman" w:hAnsi="Times New Roman" w:cs="Times New Roman"/>
          <w:color w:val="000000" w:themeColor="text1"/>
          <w:sz w:val="16"/>
          <w:szCs w:val="16"/>
        </w:rPr>
        <w:softHyphen/>
        <w:t>еся в подфюзеляжной части центроплана, продувались воздухом, поступающим из заборников в носке центроплана. Самолет имел обычной схемы двухколесное шасси с убирающимся хвостовым колесом. При этом основные опоры обладали особенно</w:t>
      </w:r>
      <w:r w:rsidRPr="00722885">
        <w:rPr>
          <w:rFonts w:ascii="Times New Roman" w:hAnsi="Times New Roman" w:cs="Times New Roman"/>
          <w:color w:val="000000" w:themeColor="text1"/>
          <w:sz w:val="16"/>
          <w:szCs w:val="16"/>
        </w:rPr>
        <w:softHyphen/>
        <w:t>стью, впервые встретившейся на самолетах С.В. Ильюшина. Уборка их осуществлялась назад с поворотом колес на 90°. Бронекор- пус, как и на всех штурмовиках ОКБ, за</w:t>
      </w:r>
      <w:r w:rsidRPr="00722885">
        <w:rPr>
          <w:rFonts w:ascii="Times New Roman" w:hAnsi="Times New Roman" w:cs="Times New Roman"/>
          <w:color w:val="000000" w:themeColor="text1"/>
          <w:sz w:val="16"/>
          <w:szCs w:val="16"/>
        </w:rPr>
        <w:softHyphen/>
        <w:t>щищал наиболее уязвимые для поражения места и имел более плоские стенки.</w:t>
      </w:r>
    </w:p>
    <w:p w14:paraId="5D8E3368" w14:textId="77777777" w:rsidR="00AE7191" w:rsidRPr="00722885" w:rsidRDefault="00AE7191"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Самолет рассматривался с двумя раз</w:t>
      </w:r>
      <w:r w:rsidRPr="00722885">
        <w:rPr>
          <w:rFonts w:ascii="Times New Roman" w:hAnsi="Times New Roman" w:cs="Times New Roman"/>
          <w:color w:val="000000" w:themeColor="text1"/>
          <w:sz w:val="16"/>
          <w:szCs w:val="16"/>
        </w:rPr>
        <w:softHyphen/>
        <w:t>личными вариантами установки вооруже</w:t>
      </w:r>
      <w:r w:rsidRPr="00722885">
        <w:rPr>
          <w:rFonts w:ascii="Times New Roman" w:hAnsi="Times New Roman" w:cs="Times New Roman"/>
          <w:color w:val="000000" w:themeColor="text1"/>
          <w:sz w:val="16"/>
          <w:szCs w:val="16"/>
        </w:rPr>
        <w:softHyphen/>
        <w:t>ния: как противотанковый и как бомбарди</w:t>
      </w:r>
      <w:r w:rsidRPr="00722885">
        <w:rPr>
          <w:rFonts w:ascii="Times New Roman" w:hAnsi="Times New Roman" w:cs="Times New Roman"/>
          <w:color w:val="000000" w:themeColor="text1"/>
          <w:sz w:val="16"/>
          <w:szCs w:val="16"/>
        </w:rPr>
        <w:softHyphen/>
        <w:t>ровочный. В первом использовалась пушка Ш-37, стреляющая через втулку воздушного винта, две синхронные пушки ШВАК и два синхронных пулемета ШКАС, стреляющие через плоскость, ометаемую воздушным винтом. Под крылом допускалась установка восьми реактивных снарядов РС-82. Номен</w:t>
      </w:r>
      <w:r w:rsidRPr="00722885">
        <w:rPr>
          <w:rFonts w:ascii="Times New Roman" w:hAnsi="Times New Roman" w:cs="Times New Roman"/>
          <w:color w:val="000000" w:themeColor="text1"/>
          <w:sz w:val="16"/>
          <w:szCs w:val="16"/>
        </w:rPr>
        <w:softHyphen/>
        <w:t>клатура стрелково-пушечного вооружения второго варианта отличалась от перво</w:t>
      </w:r>
      <w:r w:rsidRPr="00722885">
        <w:rPr>
          <w:rFonts w:ascii="Times New Roman" w:hAnsi="Times New Roman" w:cs="Times New Roman"/>
          <w:color w:val="000000" w:themeColor="text1"/>
          <w:sz w:val="16"/>
          <w:szCs w:val="16"/>
        </w:rPr>
        <w:softHyphen/>
        <w:t>го отсутствием пушки Ш-37. Зато 400 кг бомб можно было разместить во внутрен</w:t>
      </w:r>
      <w:r w:rsidRPr="00722885">
        <w:rPr>
          <w:rFonts w:ascii="Times New Roman" w:hAnsi="Times New Roman" w:cs="Times New Roman"/>
          <w:color w:val="000000" w:themeColor="text1"/>
          <w:sz w:val="16"/>
          <w:szCs w:val="16"/>
        </w:rPr>
        <w:softHyphen/>
        <w:t>них отсеках крыла, а при перегрузке с ис</w:t>
      </w:r>
      <w:r w:rsidRPr="00722885">
        <w:rPr>
          <w:rFonts w:ascii="Times New Roman" w:hAnsi="Times New Roman" w:cs="Times New Roman"/>
          <w:color w:val="000000" w:themeColor="text1"/>
          <w:sz w:val="16"/>
          <w:szCs w:val="16"/>
        </w:rPr>
        <w:softHyphen/>
        <w:t>пользованием наружных подвесок - 600 кг. Особенности конструкции, мощное во</w:t>
      </w:r>
      <w:r w:rsidRPr="00722885">
        <w:rPr>
          <w:rFonts w:ascii="Times New Roman" w:hAnsi="Times New Roman" w:cs="Times New Roman"/>
          <w:color w:val="000000" w:themeColor="text1"/>
          <w:sz w:val="16"/>
          <w:szCs w:val="16"/>
        </w:rPr>
        <w:softHyphen/>
        <w:t>оружение и установленное оборудование оказались слишком тяжелыми для двига</w:t>
      </w:r>
      <w:r w:rsidRPr="00722885">
        <w:rPr>
          <w:rFonts w:ascii="Times New Roman" w:hAnsi="Times New Roman" w:cs="Times New Roman"/>
          <w:color w:val="000000" w:themeColor="text1"/>
          <w:sz w:val="16"/>
          <w:szCs w:val="16"/>
        </w:rPr>
        <w:softHyphen/>
        <w:t>теля АМ-38, мощность которого не была беспредельной. К тому же при стендовых испытаниях двигателя возникли колебания передаточного вала, требующие длитель</w:t>
      </w:r>
      <w:r w:rsidRPr="00722885">
        <w:rPr>
          <w:rFonts w:ascii="Times New Roman" w:hAnsi="Times New Roman" w:cs="Times New Roman"/>
          <w:color w:val="000000" w:themeColor="text1"/>
          <w:sz w:val="16"/>
          <w:szCs w:val="16"/>
        </w:rPr>
        <w:softHyphen/>
        <w:t>ной доводки. Несмотря на положительное заключение заказчика, основное направ</w:t>
      </w:r>
      <w:r w:rsidRPr="00722885">
        <w:rPr>
          <w:rFonts w:ascii="Times New Roman" w:hAnsi="Times New Roman" w:cs="Times New Roman"/>
          <w:color w:val="000000" w:themeColor="text1"/>
          <w:sz w:val="16"/>
          <w:szCs w:val="16"/>
        </w:rPr>
        <w:softHyphen/>
        <w:t>ление работ ОКБ сосредоточилось на про</w:t>
      </w:r>
      <w:r w:rsidRPr="00722885">
        <w:rPr>
          <w:rFonts w:ascii="Times New Roman" w:hAnsi="Times New Roman" w:cs="Times New Roman"/>
          <w:color w:val="000000" w:themeColor="text1"/>
          <w:sz w:val="16"/>
          <w:szCs w:val="16"/>
        </w:rPr>
        <w:softHyphen/>
        <w:t>ектировании второго, уже двухмоторного варианта Ил-6 (МШ-2).</w:t>
      </w:r>
    </w:p>
    <w:p w14:paraId="335710FF" w14:textId="77777777" w:rsidR="00AE7191" w:rsidRPr="00722885" w:rsidRDefault="00AE7191"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Необычная конструкция этой машины имела двухбалочную схему. В коротком центральном фюзеляже находилась каби</w:t>
      </w:r>
      <w:r w:rsidRPr="00722885">
        <w:rPr>
          <w:rFonts w:ascii="Times New Roman" w:hAnsi="Times New Roman" w:cs="Times New Roman"/>
          <w:color w:val="000000" w:themeColor="text1"/>
          <w:sz w:val="16"/>
          <w:szCs w:val="16"/>
        </w:rPr>
        <w:softHyphen/>
        <w:t>на летчика и два двигателя АМ-38 с тяну</w:t>
      </w:r>
      <w:r w:rsidRPr="00722885">
        <w:rPr>
          <w:rFonts w:ascii="Times New Roman" w:hAnsi="Times New Roman" w:cs="Times New Roman"/>
          <w:color w:val="000000" w:themeColor="text1"/>
          <w:sz w:val="16"/>
          <w:szCs w:val="16"/>
        </w:rPr>
        <w:softHyphen/>
        <w:t>щим и толкающим воздушными винтами. Водо- и маслорадиаторы, установленные также в подфюзеляжной части центропла</w:t>
      </w:r>
      <w:r w:rsidRPr="00722885">
        <w:rPr>
          <w:rFonts w:ascii="Times New Roman" w:hAnsi="Times New Roman" w:cs="Times New Roman"/>
          <w:color w:val="000000" w:themeColor="text1"/>
          <w:sz w:val="16"/>
          <w:szCs w:val="16"/>
        </w:rPr>
        <w:softHyphen/>
        <w:t>на, охлаждались воздухом, поступающим из заборников в носке крыла и выбрасыва</w:t>
      </w:r>
      <w:r w:rsidRPr="00722885">
        <w:rPr>
          <w:rFonts w:ascii="Times New Roman" w:hAnsi="Times New Roman" w:cs="Times New Roman"/>
          <w:color w:val="000000" w:themeColor="text1"/>
          <w:sz w:val="16"/>
          <w:szCs w:val="16"/>
        </w:rPr>
        <w:softHyphen/>
        <w:t>емым вниз под крыло. Бензо- и маслобаки размещались между двигателями. И опять впервые на этом самолете С.В. Ильюшин решил применить трехколесное шасси с ассиметричной передней опорой, убираю</w:t>
      </w:r>
      <w:r w:rsidRPr="00722885">
        <w:rPr>
          <w:rFonts w:ascii="Times New Roman" w:hAnsi="Times New Roman" w:cs="Times New Roman"/>
          <w:color w:val="000000" w:themeColor="text1"/>
          <w:sz w:val="16"/>
          <w:szCs w:val="16"/>
        </w:rPr>
        <w:softHyphen/>
        <w:t>щейся в центральную часть фюзеляжа. Ос</w:t>
      </w:r>
      <w:r w:rsidRPr="00722885">
        <w:rPr>
          <w:rFonts w:ascii="Times New Roman" w:hAnsi="Times New Roman" w:cs="Times New Roman"/>
          <w:color w:val="000000" w:themeColor="text1"/>
          <w:sz w:val="16"/>
          <w:szCs w:val="16"/>
        </w:rPr>
        <w:softHyphen/>
        <w:t>новные опоры, конструкция которых была полностью заимствована с самолета Ил-2, убирались в боковые балки. Стрелково- пушечное вооружение самолета, целиком размещенное в боковых балках, состояло из двух пушек ВЯ-23 и четырех пулеметов ШКАС. Нормальная бомбовая нагрузка, раз</w:t>
      </w:r>
      <w:r w:rsidRPr="00722885">
        <w:rPr>
          <w:rFonts w:ascii="Times New Roman" w:hAnsi="Times New Roman" w:cs="Times New Roman"/>
          <w:color w:val="000000" w:themeColor="text1"/>
          <w:sz w:val="16"/>
          <w:szCs w:val="16"/>
        </w:rPr>
        <w:softHyphen/>
        <w:t>мещенная в отсеках центроплана, состав</w:t>
      </w:r>
      <w:r w:rsidRPr="00722885">
        <w:rPr>
          <w:rFonts w:ascii="Times New Roman" w:hAnsi="Times New Roman" w:cs="Times New Roman"/>
          <w:color w:val="000000" w:themeColor="text1"/>
          <w:sz w:val="16"/>
          <w:szCs w:val="16"/>
        </w:rPr>
        <w:softHyphen/>
        <w:t>ляла 400 кг, а в перегрузочном варианте - 600 кг с использованием наружных под</w:t>
      </w:r>
      <w:r w:rsidRPr="00722885">
        <w:rPr>
          <w:rFonts w:ascii="Times New Roman" w:hAnsi="Times New Roman" w:cs="Times New Roman"/>
          <w:color w:val="000000" w:themeColor="text1"/>
          <w:sz w:val="16"/>
          <w:szCs w:val="16"/>
        </w:rPr>
        <w:softHyphen/>
        <w:t>весок. Допускалась подвеска восьми сна</w:t>
      </w:r>
      <w:r w:rsidRPr="00722885">
        <w:rPr>
          <w:rFonts w:ascii="Times New Roman" w:hAnsi="Times New Roman" w:cs="Times New Roman"/>
          <w:color w:val="000000" w:themeColor="text1"/>
          <w:sz w:val="16"/>
          <w:szCs w:val="16"/>
        </w:rPr>
        <w:softHyphen/>
        <w:t>рядов РС-82 под крылом. К сожалению, не сохранились сведения о бронировании этой машины и расчетные значения ее летных данных. Известно только, что в июне 1942 г. аэродинамическая модель, фрагменты которой сохранились до сих пор, была на</w:t>
      </w:r>
      <w:r w:rsidRPr="00722885">
        <w:rPr>
          <w:rFonts w:ascii="Times New Roman" w:hAnsi="Times New Roman" w:cs="Times New Roman"/>
          <w:color w:val="000000" w:themeColor="text1"/>
          <w:sz w:val="16"/>
          <w:szCs w:val="16"/>
        </w:rPr>
        <w:softHyphen/>
        <w:t>правлена в ЦАГИ для проведения продувок.</w:t>
      </w:r>
    </w:p>
    <w:p w14:paraId="2E33D5EA" w14:textId="77777777" w:rsidR="00AE7191" w:rsidRPr="00722885" w:rsidRDefault="00AE7191"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Дальнейшая судьба этого проекта оста</w:t>
      </w:r>
      <w:r w:rsidRPr="00722885">
        <w:rPr>
          <w:rFonts w:ascii="Times New Roman" w:hAnsi="Times New Roman" w:cs="Times New Roman"/>
          <w:color w:val="000000" w:themeColor="text1"/>
          <w:sz w:val="16"/>
          <w:szCs w:val="16"/>
        </w:rPr>
        <w:softHyphen/>
        <w:t>лась неизвестной. В то сложное время не</w:t>
      </w:r>
      <w:r w:rsidRPr="00722885">
        <w:rPr>
          <w:rFonts w:ascii="Times New Roman" w:hAnsi="Times New Roman" w:cs="Times New Roman"/>
          <w:color w:val="000000" w:themeColor="text1"/>
          <w:sz w:val="16"/>
          <w:szCs w:val="16"/>
        </w:rPr>
        <w:softHyphen/>
        <w:t>позволительно было отвлекать производ</w:t>
      </w:r>
      <w:r w:rsidRPr="00722885">
        <w:rPr>
          <w:rFonts w:ascii="Times New Roman" w:hAnsi="Times New Roman" w:cs="Times New Roman"/>
          <w:color w:val="000000" w:themeColor="text1"/>
          <w:sz w:val="16"/>
          <w:szCs w:val="16"/>
        </w:rPr>
        <w:softHyphen/>
        <w:t>ственные мощности авиапрома на освоение новых самолетов (12734).</w:t>
      </w:r>
    </w:p>
    <w:p w14:paraId="15A22C3B" w14:textId="77777777" w:rsidR="00AE7191" w:rsidRPr="00722885" w:rsidRDefault="00AE7191"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p>
    <w:p w14:paraId="09878C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в ЦАГИ на основании данных ГУ Ремонта и эксплуатации ВВС КА по авариям боевых самолетов в первом квартале 1942 был составлен "Предварительный анализ аварийных материалов семи боевых самолетов по рекламациям с фронта войны". По отчету Ил-2 были в плачевном состоянии (304).</w:t>
      </w:r>
    </w:p>
    <w:p w14:paraId="3015C165" w14:textId="77777777" w:rsidR="00AE7191" w:rsidRPr="00722885" w:rsidRDefault="00AE7191" w:rsidP="00722885">
      <w:pPr>
        <w:pStyle w:val="Iauiue"/>
        <w:jc w:val="both"/>
        <w:rPr>
          <w:color w:val="000000" w:themeColor="text1"/>
          <w:sz w:val="16"/>
          <w:szCs w:val="16"/>
        </w:rPr>
      </w:pPr>
    </w:p>
    <w:p w14:paraId="4DA9094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начальник Управления технической экс</w:t>
      </w:r>
      <w:r w:rsidRPr="00722885">
        <w:rPr>
          <w:rFonts w:ascii="Times New Roman" w:hAnsi="Times New Roman"/>
          <w:color w:val="000000" w:themeColor="text1"/>
          <w:sz w:val="16"/>
          <w:szCs w:val="16"/>
        </w:rPr>
        <w:softHyphen/>
        <w:t>плуатации ВВС КА генерал-майор Ф.Н. Шульговский докла</w:t>
      </w:r>
      <w:r w:rsidRPr="00722885">
        <w:rPr>
          <w:rFonts w:ascii="Times New Roman" w:hAnsi="Times New Roman"/>
          <w:color w:val="000000" w:themeColor="text1"/>
          <w:sz w:val="16"/>
          <w:szCs w:val="16"/>
        </w:rPr>
        <w:softHyphen/>
        <w:t>дывал Главному инженеру ВВС генерал-лейтенанту А.К. Репи</w:t>
      </w:r>
      <w:r w:rsidRPr="00722885">
        <w:rPr>
          <w:rFonts w:ascii="Times New Roman" w:hAnsi="Times New Roman"/>
          <w:color w:val="000000" w:themeColor="text1"/>
          <w:sz w:val="16"/>
          <w:szCs w:val="16"/>
        </w:rPr>
        <w:softHyphen/>
        <w:t>ну, что за пять месяцев 1942 г. вышло из строя 97 моторов АМ-38. В среднем моторы работают по 20—50 часов, и только небольшое количество вырабатывают установленный ресурс.</w:t>
      </w:r>
    </w:p>
    <w:p w14:paraId="68D5842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24 каждый месяц предъявлял моторы АМ-38 на 100-часовые испытания, но ни один мотор этих испытаний не выдержал (главным образом по прогару и обрыву клапанов), «хотя срок службы мотору установлен 150 часов». Лишь один серийный АМ-38 отработал на стенде 72 часа.</w:t>
      </w:r>
    </w:p>
    <w:p w14:paraId="623B3E6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январе месяце 40% моторов были сняты с контрольных испытаний по 73 различным дефектам: дефекты обработки, не</w:t>
      </w:r>
      <w:r w:rsidRPr="00722885">
        <w:rPr>
          <w:rFonts w:ascii="Times New Roman" w:hAnsi="Times New Roman"/>
          <w:color w:val="000000" w:themeColor="text1"/>
          <w:sz w:val="16"/>
          <w:szCs w:val="16"/>
        </w:rPr>
        <w:softHyphen/>
        <w:t>качественное литье и плохой монтаж. Массовыми дефектами АМ-38 являлись прогар и трещины головок блоков цилиндров (течь из-под футорок свечных отверстий и в перемычках между клапанами) и поломка клапанных пружин. Довольно частыми были обрыв клапанов, преждевременный износ поршневых ко</w:t>
      </w:r>
      <w:r w:rsidRPr="00722885">
        <w:rPr>
          <w:rFonts w:ascii="Times New Roman" w:hAnsi="Times New Roman"/>
          <w:color w:val="000000" w:themeColor="text1"/>
          <w:sz w:val="16"/>
          <w:szCs w:val="16"/>
        </w:rPr>
        <w:softHyphen/>
        <w:t>лец, появление течи через нижнее уплотнение (вода в картере), прогар пусковых клапанов, биение масла из суфлера, а также заклинение мотора и разрушение коренных подшипников (11474,264).</w:t>
      </w:r>
    </w:p>
    <w:p w14:paraId="15D4FF4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7514FA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начальник Управления технической эксплуатации ВВС КА генерал-майор Ф. Н. Шульговский докладывал Главному инженеру ВВС генерал-лейтенанту А. И. Репину, что за пять месяцев 1942 г. вышло из строя 97 моторов АМ-38. В среднем моторы работают по 20-50 часов, и только небольшое количество вырабатывают установленный ресурс. Завод №24 каждый месяц предъявлял моторы АМ-38 на 100-часовые испытания, но ни один мотор этих испытаний не выдержал, "хотя срок службы мотору установлен 150 часов". Только один серийный АМ-38 отработал на стенде 50 ч.</w:t>
      </w:r>
    </w:p>
    <w:p w14:paraId="7569C13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1 июня по вине моторов АМ-38 и М-105 в частях ВВС произошла 31 катастрофа, 36 аварий и 36 поломок самолетов, зарегистрировано 104 случая вынужденных посадок, 112 аварий моторов, 141 случай преждевременных съемок моторов. Массовые аварии моторов имели место не только в строю, но и на самолетных и моторных заводах НКАП.</w:t>
      </w:r>
    </w:p>
    <w:p w14:paraId="752625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началу июля на фронтах и в запасных авиаполках имелось 579 исправных современных самолетов без моторов и 122 самолета без винтов, а также 1364 моторов, требующих ремонта.</w:t>
      </w:r>
    </w:p>
    <w:p w14:paraId="5366A93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приведения моторного парка ВВС КА в порядок генерал Шульговский считал необходимым форсировать выпуск остродефицитных запчастей для восстановления неисправных моторов: "То, что дает НКАП по запасным моторным частям, ничтожно мало и, безусловно, не позволит решить задачу введения в строй самолетов. Для бесперебойной боевой работы нужно иметь хотя бы минимальный оборотный фонд исправных моторов, которого ВВС КА не имеют".</w:t>
      </w:r>
    </w:p>
    <w:p w14:paraId="2477C8E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Анализ документов показывает, что низкое качество сборки штурмовиков Ил-2 обуславливалось не только массовым приходом на авиазаводы малоквалифицированной рабочей силы, но и отсутствием военной приемки в заготовительных и агрегатно-механи- ческих цехах самолетостроительных заводов и на заводах-поставщиках комплектующих изделий. По этой причине военные представители не могли оказать существенного влияния на качество собранных самолетов, которое закладывалось на начальных стадиях производства. Военпреды осуществляли только окончательную приемку уже собранных штурмовиков. Летчики военных представительств работали в одном графике с заводскими летчиками и контрольные переоблеты самолетов после заводских летчиков не производили.</w:t>
      </w:r>
    </w:p>
    <w:p w14:paraId="226318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следствие многие Ил-2 до фронта просто не долетали - терпели аварии и катастрофы при перегоне с мест формирования полков к фронту, а на самих фронтах процент неисправных Ил-2 был очень высок - 30-40% и более (12020).</w:t>
      </w:r>
    </w:p>
    <w:p w14:paraId="4EBAD32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0443E5C" w14:textId="77777777" w:rsidR="00627011" w:rsidRPr="00722885" w:rsidRDefault="00627011"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июле – августе 1942 г. после внесения изменений образец  № 2 пушки 11П  успешно прошел повторные полигонные испытания на филиале НИП АВ ВВС КА в г. Ногинске, причем в отчете полигона отмечалось, что из двух систем 37-мм пушек  (ОКБ-15 и ОКБ-16) лучшей системой является пушка 11П ОКБ-16. После принятия на вооружение пушка 11П стала именоваться НС-37 (Нудельман – Суранов). Однако, учитывая, что к тому времени производство пушки Ш-37 ОКБ-15 было уже налажено, полигон рекомендовал провести сравнительные испытания пушек, разработанных в ОКБ-15 и ОКБ-16.</w:t>
      </w:r>
    </w:p>
    <w:p w14:paraId="05194789" w14:textId="77777777" w:rsidR="00627011" w:rsidRPr="00722885" w:rsidRDefault="00627011"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lastRenderedPageBreak/>
        <w:t>ВВС остро нуждались в вооружении самолетов мощной 37-мм пушкой. И тогда в ОКБ-16 решили обратиться за помощью в Правительство. «В письме лично к И.В. Сталину, - вспоминал  Нудельман А.Э., - докладывалось, что разработана и рекомендована на вооружение 37-мм авиационная пушка для истребителей и штурмовиков, имеющая большие преимущества перед пушкой Ш-37. Вооружение авиации 37-мм пушкой ОКБ-16 сейчас, во время войны, поможет обеспечить господство наших самолетов в воздухе» (15979).</w:t>
      </w:r>
    </w:p>
    <w:p w14:paraId="35DA0CD7" w14:textId="77777777" w:rsidR="00627011" w:rsidRPr="00722885" w:rsidRDefault="00627011" w:rsidP="00722885">
      <w:pPr>
        <w:shd w:val="clear" w:color="auto" w:fill="FFFFFF"/>
        <w:spacing w:after="0" w:line="240" w:lineRule="auto"/>
        <w:jc w:val="both"/>
        <w:rPr>
          <w:rFonts w:ascii="Times New Roman" w:eastAsia="Times New Roman" w:hAnsi="Times New Roman"/>
          <w:color w:val="000000" w:themeColor="text1"/>
          <w:sz w:val="16"/>
          <w:szCs w:val="16"/>
        </w:rPr>
      </w:pPr>
    </w:p>
    <w:p w14:paraId="092B652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был разработан специальный временной ме</w:t>
      </w:r>
      <w:r w:rsidRPr="00722885">
        <w:rPr>
          <w:rFonts w:ascii="Times New Roman" w:hAnsi="Times New Roman"/>
          <w:color w:val="000000" w:themeColor="text1"/>
          <w:sz w:val="16"/>
          <w:szCs w:val="16"/>
        </w:rPr>
        <w:softHyphen/>
        <w:t>ханизм штурмовика ВМШ-2, повышающий точность бомбо</w:t>
      </w:r>
      <w:r w:rsidRPr="00722885">
        <w:rPr>
          <w:rFonts w:ascii="Times New Roman" w:hAnsi="Times New Roman"/>
          <w:color w:val="000000" w:themeColor="text1"/>
          <w:sz w:val="16"/>
          <w:szCs w:val="16"/>
        </w:rPr>
        <w:softHyphen/>
        <w:t>метания с горизонтального полета и с пикирования. Однако поддержки у летного состава он не нашел по причине ограни</w:t>
      </w:r>
      <w:r w:rsidRPr="00722885">
        <w:rPr>
          <w:rFonts w:ascii="Times New Roman" w:hAnsi="Times New Roman"/>
          <w:color w:val="000000" w:themeColor="text1"/>
          <w:sz w:val="16"/>
          <w:szCs w:val="16"/>
        </w:rPr>
        <w:softHyphen/>
        <w:t>ченности диапазона высот боевого применения и дискретно</w:t>
      </w:r>
      <w:r w:rsidRPr="00722885">
        <w:rPr>
          <w:rFonts w:ascii="Times New Roman" w:hAnsi="Times New Roman"/>
          <w:color w:val="000000" w:themeColor="text1"/>
          <w:sz w:val="16"/>
          <w:szCs w:val="16"/>
        </w:rPr>
        <w:softHyphen/>
        <w:t>сти их выбора.</w:t>
      </w:r>
    </w:p>
    <w:p w14:paraId="60D55DB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Бомбометание с горизонтального полета с помощью ВМШ-2 могло производиться с высот 70, 100, 200, 300 м и выше (все кратно 100 м), а бомбометание на выходе из пикирования — только с высоты 400 м, хотя ввод в пикирование осуществлялся с различных высот (от 600 м до 1200 м). Это приводило к излишнему однообразию тактических приемов над целью, и про</w:t>
      </w:r>
      <w:r w:rsidRPr="00722885">
        <w:rPr>
          <w:rFonts w:ascii="Times New Roman" w:hAnsi="Times New Roman"/>
          <w:color w:val="000000" w:themeColor="text1"/>
          <w:sz w:val="16"/>
          <w:szCs w:val="16"/>
        </w:rPr>
        <w:softHyphen/>
        <w:t>тивник наносил Ил-2 тяжелые потери, в основном огнем МЗА (11474,254).</w:t>
      </w:r>
    </w:p>
    <w:p w14:paraId="747924A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6680C9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 сконструированный преподавателем кафедры бомбоме</w:t>
      </w:r>
      <w:r w:rsidRPr="00722885">
        <w:rPr>
          <w:color w:val="000000" w:themeColor="text1"/>
          <w:sz w:val="16"/>
          <w:szCs w:val="16"/>
        </w:rPr>
        <w:softHyphen/>
        <w:t>тания ВВА им. Н.Е.Жуковского М.К.Цветков ВМШ прошел специаль</w:t>
      </w:r>
      <w:r w:rsidRPr="00722885">
        <w:rPr>
          <w:color w:val="000000" w:themeColor="text1"/>
          <w:sz w:val="16"/>
          <w:szCs w:val="16"/>
        </w:rPr>
        <w:softHyphen/>
        <w:t>ные полигонные испытания в НИП АВ ВВС КА.</w:t>
      </w:r>
    </w:p>
    <w:p w14:paraId="75C3012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Испытания показали, что применение ВМШ повышает точность бомбометания с горизонтального полета по сравнению с прицеливанием по существующим меткам на бронекапоте. Так, вероятность попадания одной бомбы ФАБ-50 в поло</w:t>
      </w:r>
      <w:r w:rsidRPr="00722885">
        <w:rPr>
          <w:color w:val="000000" w:themeColor="text1"/>
          <w:sz w:val="16"/>
          <w:szCs w:val="16"/>
        </w:rPr>
        <w:softHyphen/>
        <w:t>су 20х100 м при бомбометании с высо</w:t>
      </w:r>
      <w:r w:rsidRPr="00722885">
        <w:rPr>
          <w:color w:val="000000" w:themeColor="text1"/>
          <w:sz w:val="16"/>
          <w:szCs w:val="16"/>
        </w:rPr>
        <w:softHyphen/>
        <w:t>ты 200 м при помощи ВМШ составила 0,049, а серией из 4-х ФАБ-50 - 0,085.</w:t>
      </w:r>
    </w:p>
    <w:p w14:paraId="5510C1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основным недостаткам ВМШ Цветкова относились: дискретность выбора и ограниченность диапазона высот бое</w:t>
      </w:r>
      <w:r w:rsidRPr="00722885">
        <w:rPr>
          <w:color w:val="000000" w:themeColor="text1"/>
          <w:sz w:val="16"/>
          <w:szCs w:val="16"/>
        </w:rPr>
        <w:softHyphen/>
        <w:t>вого применения, а также отсутствие режима бомбометания на выходе из пикирования.</w:t>
      </w:r>
    </w:p>
    <w:p w14:paraId="7EE9FCD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ВМШ Цветкова срочно передали на завод № 589, где с учетом результатов полигонных испытаний была создана его улучшенная модификация, получившая обозначение ВМШ-2.</w:t>
      </w:r>
    </w:p>
    <w:p w14:paraId="7195E8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Дальнейшая доработка ВМШ-2 и от</w:t>
      </w:r>
      <w:r w:rsidRPr="00722885">
        <w:rPr>
          <w:color w:val="000000" w:themeColor="text1"/>
          <w:sz w:val="16"/>
          <w:szCs w:val="16"/>
        </w:rPr>
        <w:softHyphen/>
        <w:t>работка методики его боевого приме</w:t>
      </w:r>
      <w:r w:rsidRPr="00722885">
        <w:rPr>
          <w:color w:val="000000" w:themeColor="text1"/>
          <w:sz w:val="16"/>
          <w:szCs w:val="16"/>
        </w:rPr>
        <w:softHyphen/>
        <w:t>нения затянулись почти на два года (6467).</w:t>
      </w:r>
    </w:p>
    <w:p w14:paraId="1EF9BE94" w14:textId="77777777" w:rsidR="00AE7191" w:rsidRPr="00722885" w:rsidRDefault="00AE7191" w:rsidP="00722885">
      <w:pPr>
        <w:pStyle w:val="Iauiue"/>
        <w:jc w:val="both"/>
        <w:rPr>
          <w:color w:val="000000" w:themeColor="text1"/>
          <w:sz w:val="16"/>
          <w:szCs w:val="16"/>
        </w:rPr>
      </w:pPr>
    </w:p>
    <w:p w14:paraId="6E10E358" w14:textId="77777777" w:rsidR="00627011" w:rsidRPr="00722885" w:rsidRDefault="0062701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в соответствии с приказом НКАП на части территории бывшего завода № 240, который отошел С.В.И., около Центрального аэродрома, которая была передана В.Г. Ермолаеву, образован новый самостоятельный опытный завод № 134. Вернувшийся в Москву В.Г. Ермолаев окончательно остановил свой выбор на дизелях М-30Б (с 1944 г. – АЧ-30Б) конструкции А.Д. Чаромского (Прим. 59) (15223).</w:t>
      </w:r>
    </w:p>
    <w:p w14:paraId="18EE8DEC" w14:textId="77777777" w:rsidR="00627011" w:rsidRPr="00722885" w:rsidRDefault="00627011" w:rsidP="00722885">
      <w:pPr>
        <w:shd w:val="clear" w:color="auto" w:fill="FFFFFF"/>
        <w:spacing w:after="0" w:line="240" w:lineRule="auto"/>
        <w:jc w:val="both"/>
        <w:rPr>
          <w:rFonts w:ascii="Times New Roman" w:hAnsi="Times New Roman"/>
          <w:color w:val="000000" w:themeColor="text1"/>
          <w:sz w:val="16"/>
          <w:szCs w:val="16"/>
        </w:rPr>
      </w:pPr>
    </w:p>
    <w:p w14:paraId="12C76064" w14:textId="77777777" w:rsidR="00B1242C" w:rsidRPr="00722885" w:rsidRDefault="00B1242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с отличными результатами завершил государственные испытания бронированный штурмовик Су-6 конструкции ОКБ П. О. Сухого с мотором воздушного охлаждения М-71 (1700/2000 л. с.).</w:t>
      </w:r>
    </w:p>
    <w:p w14:paraId="05C9A503" w14:textId="77777777" w:rsidR="00B1242C" w:rsidRPr="00722885" w:rsidRDefault="00B1242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нормальной боевой нагрузкой (10 РС-132, 200 кг бомб, 2 пушки ВЯ и 4 ШКАС с боекомплектом) самолет развивал у земли скорость 445 км/ч, на высоте 2500 м – 491 км/ч. Время подъема на высоту 1000 м – 1,7 мин. Вираж на высоте 1000 м выполнялся за 24–25 с.</w:t>
      </w:r>
    </w:p>
    <w:p w14:paraId="23CC1EE9" w14:textId="77777777" w:rsidR="00B1242C" w:rsidRPr="00722885" w:rsidRDefault="00B1242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Попытка построить войсковую серию Су-6 успехом не увенчалась. Формально из-за трудностей с выпуском моторов М-71, поскольку он изготавливался малой серией только для обеспечения опытных работ по самолетам и мотору, а увеличение его производства в планы руководства НКАП не входило (17489).</w:t>
      </w:r>
    </w:p>
    <w:p w14:paraId="68CA9AAC" w14:textId="77777777" w:rsidR="00B1242C" w:rsidRPr="00722885" w:rsidRDefault="00B1242C" w:rsidP="00722885">
      <w:pPr>
        <w:spacing w:after="0" w:line="240" w:lineRule="auto"/>
        <w:jc w:val="both"/>
        <w:rPr>
          <w:rFonts w:ascii="Times New Roman" w:eastAsia="Times New Roman" w:hAnsi="Times New Roman"/>
          <w:color w:val="000000" w:themeColor="text1"/>
          <w:sz w:val="16"/>
          <w:szCs w:val="16"/>
          <w:lang w:eastAsia="ru-RU"/>
        </w:rPr>
      </w:pPr>
    </w:p>
    <w:p w14:paraId="5BB6306D" w14:textId="77777777" w:rsidR="004D6E34" w:rsidRPr="00722885" w:rsidRDefault="004D6E3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В июле 1942 г. Сухой предъя</w:t>
      </w:r>
      <w:r w:rsidRPr="00722885">
        <w:rPr>
          <w:rFonts w:ascii="Times New Roman" w:hAnsi="Times New Roman" w:cs="Times New Roman"/>
          <w:color w:val="0070C0"/>
          <w:sz w:val="16"/>
          <w:szCs w:val="16"/>
        </w:rPr>
        <w:softHyphen/>
        <w:t>вил в НИИ ВВС первый проект истре</w:t>
      </w:r>
      <w:r w:rsidRPr="00722885">
        <w:rPr>
          <w:rFonts w:ascii="Times New Roman" w:hAnsi="Times New Roman" w:cs="Times New Roman"/>
          <w:color w:val="0070C0"/>
          <w:sz w:val="16"/>
          <w:szCs w:val="16"/>
        </w:rPr>
        <w:softHyphen/>
        <w:t>бительного варианта Су-6, вто</w:t>
      </w:r>
      <w:r w:rsidRPr="00722885">
        <w:rPr>
          <w:rFonts w:ascii="Times New Roman" w:hAnsi="Times New Roman" w:cs="Times New Roman"/>
          <w:color w:val="0070C0"/>
          <w:sz w:val="16"/>
          <w:szCs w:val="16"/>
        </w:rPr>
        <w:softHyphen/>
        <w:t>рой (с двумя турбокомпрессорами ТК-3) - в феврале 1943 г. С самолета снималось все вооружение, кроме пушек, и боль</w:t>
      </w:r>
      <w:r w:rsidRPr="00722885">
        <w:rPr>
          <w:rFonts w:ascii="Times New Roman" w:hAnsi="Times New Roman" w:cs="Times New Roman"/>
          <w:color w:val="0070C0"/>
          <w:sz w:val="16"/>
          <w:szCs w:val="16"/>
        </w:rPr>
        <w:softHyphen/>
        <w:t>шая часть брони. С мотором М-71ф мак</w:t>
      </w:r>
      <w:r w:rsidRPr="00722885">
        <w:rPr>
          <w:rFonts w:ascii="Times New Roman" w:hAnsi="Times New Roman" w:cs="Times New Roman"/>
          <w:color w:val="0070C0"/>
          <w:sz w:val="16"/>
          <w:szCs w:val="16"/>
        </w:rPr>
        <w:softHyphen/>
        <w:t>симальная скорость Су-6 по расчетам со</w:t>
      </w:r>
      <w:r w:rsidRPr="00722885">
        <w:rPr>
          <w:rFonts w:ascii="Times New Roman" w:hAnsi="Times New Roman" w:cs="Times New Roman"/>
          <w:color w:val="0070C0"/>
          <w:sz w:val="16"/>
          <w:szCs w:val="16"/>
        </w:rPr>
        <w:softHyphen/>
        <w:t>ставляла 602 км/ч - на высоте 5000 м, и 535 км/ч - у земли. Вертикальная ско</w:t>
      </w:r>
      <w:r w:rsidRPr="00722885">
        <w:rPr>
          <w:rFonts w:ascii="Times New Roman" w:hAnsi="Times New Roman" w:cs="Times New Roman"/>
          <w:color w:val="0070C0"/>
          <w:sz w:val="16"/>
          <w:szCs w:val="16"/>
        </w:rPr>
        <w:softHyphen/>
        <w:t>рость на 1000 м - не менее 13 м/с. При установке двух турбокомпрессоров</w:t>
      </w:r>
    </w:p>
    <w:p w14:paraId="776CA55A" w14:textId="77777777" w:rsidR="004D6E34" w:rsidRPr="00722885" w:rsidRDefault="004D6E3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ТК-3 максимальная скорость достигала 634 км/ч на высоте 8300 м, время подъ</w:t>
      </w:r>
      <w:r w:rsidRPr="00722885">
        <w:rPr>
          <w:rFonts w:ascii="Times New Roman" w:hAnsi="Times New Roman" w:cs="Times New Roman"/>
          <w:color w:val="0070C0"/>
          <w:sz w:val="16"/>
          <w:szCs w:val="16"/>
        </w:rPr>
        <w:softHyphen/>
        <w:t>ема на 8000 м - 10,3 мин. Скоростная дальность полета - 1240 км.</w:t>
      </w:r>
    </w:p>
    <w:p w14:paraId="1E107325" w14:textId="77777777" w:rsidR="004D6E34" w:rsidRPr="00722885" w:rsidRDefault="004D6E3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Надо сказать, военные довольно скептически относились к идее брониро</w:t>
      </w:r>
      <w:r w:rsidRPr="00722885">
        <w:rPr>
          <w:rFonts w:ascii="Times New Roman" w:hAnsi="Times New Roman" w:cs="Times New Roman"/>
          <w:color w:val="0070C0"/>
          <w:sz w:val="16"/>
          <w:szCs w:val="16"/>
        </w:rPr>
        <w:softHyphen/>
        <w:t>ванного истребителя бомбардировщи</w:t>
      </w:r>
      <w:r w:rsidRPr="00722885">
        <w:rPr>
          <w:rFonts w:ascii="Times New Roman" w:hAnsi="Times New Roman" w:cs="Times New Roman"/>
          <w:color w:val="0070C0"/>
          <w:sz w:val="16"/>
          <w:szCs w:val="16"/>
        </w:rPr>
        <w:softHyphen/>
        <w:t>ков. Особенно к его невысотному вари</w:t>
      </w:r>
      <w:r w:rsidRPr="00722885">
        <w:rPr>
          <w:rFonts w:ascii="Times New Roman" w:hAnsi="Times New Roman" w:cs="Times New Roman"/>
          <w:color w:val="0070C0"/>
          <w:sz w:val="16"/>
          <w:szCs w:val="16"/>
        </w:rPr>
        <w:softHyphen/>
        <w:t>анту. Не ясными и весьма спорными были вопросы тактики его применения и вза</w:t>
      </w:r>
      <w:r w:rsidRPr="00722885">
        <w:rPr>
          <w:rFonts w:ascii="Times New Roman" w:hAnsi="Times New Roman" w:cs="Times New Roman"/>
          <w:color w:val="0070C0"/>
          <w:sz w:val="16"/>
          <w:szCs w:val="16"/>
        </w:rPr>
        <w:softHyphen/>
        <w:t>имодействия с обычными истребителями в воздушном бою с противником. Вер</w:t>
      </w:r>
      <w:r w:rsidRPr="00722885">
        <w:rPr>
          <w:rFonts w:ascii="Times New Roman" w:hAnsi="Times New Roman" w:cs="Times New Roman"/>
          <w:color w:val="0070C0"/>
          <w:sz w:val="16"/>
          <w:szCs w:val="16"/>
        </w:rPr>
        <w:softHyphen/>
        <w:t>тикальная маневренность бронирован</w:t>
      </w:r>
      <w:r w:rsidRPr="00722885">
        <w:rPr>
          <w:rFonts w:ascii="Times New Roman" w:hAnsi="Times New Roman" w:cs="Times New Roman"/>
          <w:color w:val="0070C0"/>
          <w:sz w:val="16"/>
          <w:szCs w:val="16"/>
        </w:rPr>
        <w:softHyphen/>
        <w:t>ного истребителя не позволяла на равных вести бой с немецкими истребителями, тогда как вертикальный маневр был ос</w:t>
      </w:r>
      <w:r w:rsidRPr="00722885">
        <w:rPr>
          <w:rFonts w:ascii="Times New Roman" w:hAnsi="Times New Roman" w:cs="Times New Roman"/>
          <w:color w:val="0070C0"/>
          <w:sz w:val="16"/>
          <w:szCs w:val="16"/>
        </w:rPr>
        <w:softHyphen/>
        <w:t>новным маневром современного воздуш</w:t>
      </w:r>
      <w:r w:rsidRPr="00722885">
        <w:rPr>
          <w:rFonts w:ascii="Times New Roman" w:hAnsi="Times New Roman" w:cs="Times New Roman"/>
          <w:color w:val="0070C0"/>
          <w:sz w:val="16"/>
          <w:szCs w:val="16"/>
        </w:rPr>
        <w:softHyphen/>
        <w:t>ного боя. То есть, штурмовик-истребитель в воздушном бою с истребителями будет больше обороняться, чем наступать. Оче</w:t>
      </w:r>
      <w:r w:rsidRPr="00722885">
        <w:rPr>
          <w:rFonts w:ascii="Times New Roman" w:hAnsi="Times New Roman" w:cs="Times New Roman"/>
          <w:color w:val="0070C0"/>
          <w:sz w:val="16"/>
          <w:szCs w:val="16"/>
        </w:rPr>
        <w:softHyphen/>
        <w:t>видно, свои истребители обычного типа должны будут его защищать от атак вра</w:t>
      </w:r>
      <w:r w:rsidRPr="00722885">
        <w:rPr>
          <w:rFonts w:ascii="Times New Roman" w:hAnsi="Times New Roman" w:cs="Times New Roman"/>
          <w:color w:val="0070C0"/>
          <w:sz w:val="16"/>
          <w:szCs w:val="16"/>
        </w:rPr>
        <w:softHyphen/>
        <w:t>жеских истребителей также как чистых штурмовиков и бомбардировщиков.</w:t>
      </w:r>
    </w:p>
    <w:p w14:paraId="781E193F" w14:textId="77777777" w:rsidR="004D6E34" w:rsidRPr="00722885" w:rsidRDefault="004D6E3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Единственной возможностью брони</w:t>
      </w:r>
      <w:r w:rsidRPr="00722885">
        <w:rPr>
          <w:rFonts w:ascii="Times New Roman" w:hAnsi="Times New Roman" w:cs="Times New Roman"/>
          <w:color w:val="0070C0"/>
          <w:sz w:val="16"/>
          <w:szCs w:val="16"/>
        </w:rPr>
        <w:softHyphen/>
        <w:t>рованного истребителя встать в боевой строй ВВС КА, была ниша высотного истребителя-перехватчика. Но здесь имелся менее затратный путь - доработка серий</w:t>
      </w:r>
      <w:r w:rsidRPr="00722885">
        <w:rPr>
          <w:rFonts w:ascii="Times New Roman" w:hAnsi="Times New Roman" w:cs="Times New Roman"/>
          <w:color w:val="0070C0"/>
          <w:sz w:val="16"/>
          <w:szCs w:val="16"/>
        </w:rPr>
        <w:softHyphen/>
        <w:t>ных фронтовых истребителей в высотные варианты. Хотя постройка нового типа са</w:t>
      </w:r>
      <w:r w:rsidRPr="00722885">
        <w:rPr>
          <w:rFonts w:ascii="Times New Roman" w:hAnsi="Times New Roman" w:cs="Times New Roman"/>
          <w:color w:val="0070C0"/>
          <w:sz w:val="16"/>
          <w:szCs w:val="16"/>
        </w:rPr>
        <w:softHyphen/>
        <w:t>молета не исключалась.</w:t>
      </w:r>
    </w:p>
    <w:p w14:paraId="35BB78AE" w14:textId="77777777" w:rsidR="004D6E34" w:rsidRPr="00722885" w:rsidRDefault="004D6E3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Именно по этим причи</w:t>
      </w:r>
      <w:r w:rsidRPr="00722885">
        <w:rPr>
          <w:rFonts w:ascii="Times New Roman" w:hAnsi="Times New Roman" w:cs="Times New Roman"/>
          <w:color w:val="0070C0"/>
          <w:sz w:val="16"/>
          <w:szCs w:val="16"/>
        </w:rPr>
        <w:softHyphen/>
        <w:t>нам специалисты НИИ ВВС и в 1942 г., и в 1943 г. рекомендо</w:t>
      </w:r>
      <w:r w:rsidRPr="00722885">
        <w:rPr>
          <w:rFonts w:ascii="Times New Roman" w:hAnsi="Times New Roman" w:cs="Times New Roman"/>
          <w:color w:val="0070C0"/>
          <w:sz w:val="16"/>
          <w:szCs w:val="16"/>
        </w:rPr>
        <w:softHyphen/>
        <w:t>вали Сухому доработать про</w:t>
      </w:r>
      <w:r w:rsidRPr="00722885">
        <w:rPr>
          <w:rFonts w:ascii="Times New Roman" w:hAnsi="Times New Roman" w:cs="Times New Roman"/>
          <w:color w:val="0070C0"/>
          <w:sz w:val="16"/>
          <w:szCs w:val="16"/>
        </w:rPr>
        <w:softHyphen/>
        <w:t>екты истребительных вариан</w:t>
      </w:r>
      <w:r w:rsidRPr="00722885">
        <w:rPr>
          <w:rFonts w:ascii="Times New Roman" w:hAnsi="Times New Roman" w:cs="Times New Roman"/>
          <w:color w:val="0070C0"/>
          <w:sz w:val="16"/>
          <w:szCs w:val="16"/>
        </w:rPr>
        <w:softHyphen/>
        <w:t>тов Су-6 и вновь предъявить на рассмотрение. Официаль</w:t>
      </w:r>
      <w:r w:rsidRPr="00722885">
        <w:rPr>
          <w:rFonts w:ascii="Times New Roman" w:hAnsi="Times New Roman" w:cs="Times New Roman"/>
          <w:color w:val="0070C0"/>
          <w:sz w:val="16"/>
          <w:szCs w:val="16"/>
        </w:rPr>
        <w:softHyphen/>
        <w:t>ного задания по этому типу са</w:t>
      </w:r>
      <w:r w:rsidRPr="00722885">
        <w:rPr>
          <w:rFonts w:ascii="Times New Roman" w:hAnsi="Times New Roman" w:cs="Times New Roman"/>
          <w:color w:val="0070C0"/>
          <w:sz w:val="16"/>
          <w:szCs w:val="16"/>
        </w:rPr>
        <w:softHyphen/>
        <w:t>молета Сухой не получил. В то же время военные согласились испытать одноместный Су-6 (прошедший государственные испытания) в конфигурации истребителя бомбардировщиков с мотором М-71ф и дать по нему заключение (19846).</w:t>
      </w:r>
    </w:p>
    <w:p w14:paraId="7411692C" w14:textId="77777777" w:rsidR="004D6E34" w:rsidRPr="00722885" w:rsidRDefault="004D6E34"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3F9CA402" w14:textId="77777777" w:rsidR="00B1242C" w:rsidRPr="00722885" w:rsidRDefault="00B1242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Сухой предъявил в НИИ ВВС первый проект истребительного варианта Су-6, второй с двумя турбокомпрессорами ТК-3 – в феврале 1943 года. С самолета снималось все вооружение, кроме пушек, и большая часть брони. С мотором М-71ф максимальная скорость Су-6, по расчетам, составляла 602 км/ч – на высоте 5000 м и 535 км/ч – у земли. Вертикальная скорость на 1000 м – не менее 13 м/с. При установке двух турбокомпрессоров ТК-3 максимальная скорость достигала 634 км/ч на высоте 8300 м, время подъема на 8000 м – 10,3 мин. Скоростная дальность полета – 1240 км (17490).</w:t>
      </w:r>
    </w:p>
    <w:p w14:paraId="774CAD4D" w14:textId="77777777" w:rsidR="00B1242C" w:rsidRPr="00722885" w:rsidRDefault="00B1242C" w:rsidP="00722885">
      <w:pPr>
        <w:spacing w:after="0" w:line="240" w:lineRule="auto"/>
        <w:jc w:val="both"/>
        <w:rPr>
          <w:rFonts w:ascii="Times New Roman" w:eastAsia="Times New Roman" w:hAnsi="Times New Roman"/>
          <w:color w:val="000000" w:themeColor="text1"/>
          <w:sz w:val="16"/>
          <w:szCs w:val="16"/>
          <w:lang w:eastAsia="ru-RU"/>
        </w:rPr>
      </w:pPr>
    </w:p>
    <w:p w14:paraId="53A1553D" w14:textId="77777777" w:rsidR="00627011" w:rsidRPr="00722885" w:rsidRDefault="00627011" w:rsidP="00722885">
      <w:pPr>
        <w:pStyle w:val="a3"/>
        <w:tabs>
          <w:tab w:val="left" w:pos="5612"/>
        </w:tabs>
        <w:rPr>
          <w:color w:val="000000" w:themeColor="text1"/>
          <w:lang w:val="ru-RU"/>
        </w:rPr>
      </w:pPr>
      <w:r w:rsidRPr="00722885">
        <w:rPr>
          <w:color w:val="000000" w:themeColor="text1"/>
          <w:lang w:val="ru-RU"/>
        </w:rPr>
        <w:t>В июле 1942 г. стараниями В.Г. Ермолаева удалось образовать опытный завод № 134, которому передали территорию «Б» завода № 240 и здания бывшего Библиотечного института им. Молотова (в районе метро «Аэропорт»). На новом месте коллектив ОКБ-134 в короткие сроки завершил проектирование и постройку варианта бомбардировщика Ер-2 с дизельными моторами М-30Б (с 1944 г. — АЧ-ЗОБ) (15810).</w:t>
      </w:r>
    </w:p>
    <w:p w14:paraId="6F4FDF25" w14:textId="77777777" w:rsidR="00627011" w:rsidRPr="00722885" w:rsidRDefault="00627011" w:rsidP="00722885">
      <w:pPr>
        <w:pStyle w:val="a3"/>
        <w:tabs>
          <w:tab w:val="left" w:pos="5612"/>
        </w:tabs>
        <w:rPr>
          <w:color w:val="000000" w:themeColor="text1"/>
          <w:lang w:val="ru-RU"/>
        </w:rPr>
      </w:pPr>
    </w:p>
    <w:p w14:paraId="6630946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по инициативе П.О.С. на двух машинах (№ 25095 и 26096) установили новые моторы М-82ФН с непосредственным впрыском топлива в цилиндры. Несмотря на аварию второго самолета 5 августа 1942 г., Павел Осипович добился продолжения испытаний. После доводки ВМГ, стало ясно, что новый двигатель сулит огромные перспективы. Работа оказалась весьма полезной для нашей авиации. Напомним, что только летом 1943 г. успех пришел к Ла-5ФН с таким же мотором (12028).</w:t>
      </w:r>
    </w:p>
    <w:p w14:paraId="70BA77A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C8D370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 вышел приказ НКАП о работе над антиобледенителями и в т.ч. для Ил-4 (7666).</w:t>
      </w:r>
    </w:p>
    <w:p w14:paraId="10840C97" w14:textId="77777777" w:rsidR="00AE7191" w:rsidRPr="00722885" w:rsidRDefault="00AE7191" w:rsidP="00722885">
      <w:pPr>
        <w:pStyle w:val="Iauiue"/>
        <w:jc w:val="both"/>
        <w:rPr>
          <w:color w:val="000000" w:themeColor="text1"/>
          <w:sz w:val="16"/>
          <w:szCs w:val="16"/>
        </w:rPr>
      </w:pPr>
    </w:p>
    <w:p w14:paraId="34E3AD8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июля 1942 к во</w:t>
      </w:r>
      <w:r w:rsidRPr="00722885">
        <w:rPr>
          <w:rFonts w:ascii="Times New Roman" w:hAnsi="Times New Roman"/>
          <w:color w:val="000000" w:themeColor="text1"/>
          <w:sz w:val="16"/>
          <w:szCs w:val="16"/>
        </w:rPr>
        <w:softHyphen/>
        <w:t>оружению некоторых Ил-4 добавился гранатомет ДАГ-10. Он выбрасывал гранаты АГ-2, снабженные парашютом. Такая граната через три-четыре секун</w:t>
      </w:r>
      <w:r w:rsidRPr="00722885">
        <w:rPr>
          <w:rFonts w:ascii="Times New Roman" w:hAnsi="Times New Roman"/>
          <w:color w:val="000000" w:themeColor="text1"/>
          <w:sz w:val="16"/>
          <w:szCs w:val="16"/>
        </w:rPr>
        <w:softHyphen/>
        <w:t>ды разрывалась за хвостом бомбарди</w:t>
      </w:r>
      <w:r w:rsidRPr="00722885">
        <w:rPr>
          <w:rFonts w:ascii="Times New Roman" w:hAnsi="Times New Roman"/>
          <w:color w:val="000000" w:themeColor="text1"/>
          <w:sz w:val="16"/>
          <w:szCs w:val="16"/>
        </w:rPr>
        <w:softHyphen/>
        <w:t>ровщика, эффективно «выкуривая» не</w:t>
      </w:r>
      <w:r w:rsidRPr="00722885">
        <w:rPr>
          <w:rFonts w:ascii="Times New Roman" w:hAnsi="Times New Roman"/>
          <w:color w:val="000000" w:themeColor="text1"/>
          <w:sz w:val="16"/>
          <w:szCs w:val="16"/>
        </w:rPr>
        <w:softHyphen/>
        <w:t>мецкие истребители из излюбленной позиции за хвостом. Все эти мероприятия стабильно под</w:t>
      </w:r>
      <w:r w:rsidRPr="00722885">
        <w:rPr>
          <w:rFonts w:ascii="Times New Roman" w:hAnsi="Times New Roman"/>
          <w:color w:val="000000" w:themeColor="text1"/>
          <w:sz w:val="16"/>
          <w:szCs w:val="16"/>
        </w:rPr>
        <w:softHyphen/>
        <w:t>нимали взлетный вес самолета. Соот</w:t>
      </w:r>
      <w:r w:rsidRPr="00722885">
        <w:rPr>
          <w:rFonts w:ascii="Times New Roman" w:hAnsi="Times New Roman"/>
          <w:color w:val="000000" w:themeColor="text1"/>
          <w:sz w:val="16"/>
          <w:szCs w:val="16"/>
        </w:rPr>
        <w:softHyphen/>
        <w:t>ветственно падала максимальная ско</w:t>
      </w:r>
      <w:r w:rsidRPr="00722885">
        <w:rPr>
          <w:rFonts w:ascii="Times New Roman" w:hAnsi="Times New Roman"/>
          <w:color w:val="000000" w:themeColor="text1"/>
          <w:sz w:val="16"/>
          <w:szCs w:val="16"/>
        </w:rPr>
        <w:softHyphen/>
        <w:t>рость и затягивался взлет. С целью борьбы с последним ввели промежуточ</w:t>
      </w:r>
      <w:r w:rsidRPr="00722885">
        <w:rPr>
          <w:rFonts w:ascii="Times New Roman" w:hAnsi="Times New Roman"/>
          <w:color w:val="000000" w:themeColor="text1"/>
          <w:sz w:val="16"/>
          <w:szCs w:val="16"/>
        </w:rPr>
        <w:softHyphen/>
        <w:t>ное (взлетное) положение щитков. На самолетах завода № 126 фиксацию щитков под углом 17° внедрили на 101-й серии. На взлете щитки убирались по</w:t>
      </w:r>
      <w:r w:rsidRPr="00722885">
        <w:rPr>
          <w:rFonts w:ascii="Times New Roman" w:hAnsi="Times New Roman"/>
          <w:color w:val="000000" w:themeColor="text1"/>
          <w:sz w:val="16"/>
          <w:szCs w:val="16"/>
        </w:rPr>
        <w:softHyphen/>
        <w:t>сле достижения скорости 160-200 км/ч. Разбег действительно сократился, но зато усилилась и без того неуемная тен</w:t>
      </w:r>
      <w:r w:rsidRPr="00722885">
        <w:rPr>
          <w:rFonts w:ascii="Times New Roman" w:hAnsi="Times New Roman"/>
          <w:color w:val="000000" w:themeColor="text1"/>
          <w:sz w:val="16"/>
          <w:szCs w:val="16"/>
        </w:rPr>
        <w:softHyphen/>
        <w:t>денция к развороту на взлете (10734,71).</w:t>
      </w:r>
    </w:p>
    <w:p w14:paraId="1D86235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E0672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НКВМФ а Кузнецов писал письмо Пред. ГКО И.В.С.:</w:t>
      </w:r>
    </w:p>
    <w:p w14:paraId="18697D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Торпедоносная авиация ВВС ТОФ предназначена для боевых действий по удаленным от наших баз промышленным центрам и военно-морским базам вероятного противника.</w:t>
      </w:r>
    </w:p>
    <w:p w14:paraId="220A56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Использование торпедоносной авиации в условиях тихоокеанского театра будет иметь особо важное значение для противодействия морским силам вероятных противников, что связано с дальними полетами на низких высотах в открытом море и требует обеспечения самолетов надежными моторами.</w:t>
      </w:r>
    </w:p>
    <w:p w14:paraId="01A2F4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своем составе ВВС ТОФ имеют 131 самолет ДБ-3, из коих 122 вооружены только изношенными М-87 старых версий (60% моторного парка прошли по 3-4 ремонта, а остальные - по 1-2 ремонта).</w:t>
      </w:r>
    </w:p>
    <w:p w14:paraId="637D8A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 интенсивном ходе боевой подготовки, выработка ресурса моторов приближает к последним возможностям в дальнейшем использовании этих моторов. Это положение усложняется прекращением производства авиапромышленностью запчастей к М-87.</w:t>
      </w:r>
    </w:p>
    <w:p w14:paraId="6243E13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 создавшемся положении я докладывал вам 28 июня с.г7 за N 1002сс.</w:t>
      </w:r>
    </w:p>
    <w:p w14:paraId="612436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Единственным выходом из положения считаю необходимым произвести замену М-87 на М-88Б на всех ДБ-3т ВВС ТОФ.</w:t>
      </w:r>
    </w:p>
    <w:p w14:paraId="455824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Бомбардировочная авиация ВВС ТОФ имеет в своем составе 94 самолета первых серий СБ 2М-100-М-103. Моторный парк М-100 и М-103 также сильно изношен, 70% моторов имеют по 3-4 ремонта, а 30% по 1-2 ремонта. Запчасти к этим моторам прекращены производством, а запасы исчерпаны, особенно: блоки, цилиндры, клапана, подшипники, поршневые кольца, вкладыши главных шатунов. Отсутствие запчастей не позволяет производить восстановительный ремонт по этим моторам.</w:t>
      </w:r>
    </w:p>
    <w:p w14:paraId="6188B8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целях повышения боеспособности самолетного парка СБ ВВС ТОФ является необходимость в самые кратчайшие сроки перевооружить под М-105.</w:t>
      </w:r>
    </w:p>
    <w:p w14:paraId="55243C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Докладывая вышеизложенное, прошу издать прилагаемый проект постановления ГКО." (1685,131).</w:t>
      </w:r>
    </w:p>
    <w:p w14:paraId="6A41F2CA" w14:textId="77777777" w:rsidR="00AE7191" w:rsidRPr="00722885" w:rsidRDefault="00AE7191" w:rsidP="00722885">
      <w:pPr>
        <w:pStyle w:val="Iauiue"/>
        <w:jc w:val="both"/>
        <w:rPr>
          <w:color w:val="000000" w:themeColor="text1"/>
          <w:sz w:val="16"/>
          <w:szCs w:val="16"/>
        </w:rPr>
      </w:pPr>
    </w:p>
    <w:p w14:paraId="7F0C0D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июля 1942 г. в состав оборонительного вооружения ДБ-3Ф вошли гранатометы ДАГ-10 с пятью авиационными гранатами АГ-2, оснащенными парашютами. Взрываясь через 3-4 секунды после сброса, они создавали в нижней задней полусфере за самолетом, которая была наиболее слабо защищена, зону поражения осколками (9528).</w:t>
      </w:r>
    </w:p>
    <w:p w14:paraId="0C5D3AC9" w14:textId="77777777" w:rsidR="00AE7191" w:rsidRPr="00722885" w:rsidRDefault="00AE7191" w:rsidP="00722885">
      <w:pPr>
        <w:pStyle w:val="Iauiue"/>
        <w:jc w:val="both"/>
        <w:rPr>
          <w:color w:val="000000" w:themeColor="text1"/>
          <w:sz w:val="16"/>
          <w:szCs w:val="16"/>
        </w:rPr>
      </w:pPr>
    </w:p>
    <w:p w14:paraId="6FA4F8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июля 1942 г. Ил-4 совершали массированные налеты на скопления вражеских войск, развивавших наступление на юге. Одновременно крупные соединения этих самолетов с увеличенной за счет подвесных топливных баков дальностью полета стали бомбить Кенигсберг, Данциг, Штеттин, Тильзит, а с 27 августа - Берлин, действуя с подмосковных аэродромов. В ту ночь первыми Занесли удар по Берлину экипажи капитана А.И.Молодчего и капитана М.В.Симонова. Эти налеты, совершенные в то время, когда советские войска были вынуждены отступать, а враг рвался к Сталинграду, имели ве только военное, но, прежде всего, политическое значение. О них сообщили все советские газеты, они укрепляли боевой дух сражающихся советских войск, вселяли в тружеников тыла уверенность в конечной победе (9528).</w:t>
      </w:r>
    </w:p>
    <w:p w14:paraId="26CFCBED" w14:textId="77777777" w:rsidR="00AE7191" w:rsidRPr="00722885" w:rsidRDefault="00AE7191" w:rsidP="00722885">
      <w:pPr>
        <w:pStyle w:val="Iauiue"/>
        <w:jc w:val="both"/>
        <w:rPr>
          <w:color w:val="000000" w:themeColor="text1"/>
          <w:sz w:val="16"/>
          <w:szCs w:val="16"/>
        </w:rPr>
      </w:pPr>
    </w:p>
    <w:p w14:paraId="0CCF16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серьезно уменьшившемуся по составу коллективу ОКБ Ермолаева передали территорию "Б" завода N 240 и здание эвакуированного Библиотечного института наркомата просвещения. Из рабочих к этому моменту остались только 70 человек, а из станков - целых пять! Завод, по существу, начинал жизнь заново под новым номером 134. Первыми задачами для рабочих стало переоборудование двух поврежденных Ер-2, доставленных с фронта, под моторы АМ-35А и еще одного - под моторы АМ-37. После восстановительного ремонта все три машины были сданы в 747-й авиаполк полковника Гусева (3322,36).</w:t>
      </w:r>
    </w:p>
    <w:p w14:paraId="7FAFFF34" w14:textId="77777777" w:rsidR="00AE7191" w:rsidRPr="00722885" w:rsidRDefault="00AE7191" w:rsidP="00722885">
      <w:pPr>
        <w:pStyle w:val="Iauiue"/>
        <w:jc w:val="both"/>
        <w:rPr>
          <w:color w:val="000000" w:themeColor="text1"/>
          <w:sz w:val="16"/>
          <w:szCs w:val="16"/>
        </w:rPr>
      </w:pPr>
    </w:p>
    <w:p w14:paraId="1DDE5E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 завод № 39 перевыполнил программу, установленную правительством, и занял второе место в социалистическом соревновании среди авиационных предприятий страны. Праздничное настроение, однако, оказалось изрядно подпорчено. В течение десяти дней в этом месяце над Иркутском шли непрерывные дожди, поэтому на залитом водой, раскисшем аэродроме скопилось более сотни необлетанных самолетов. По распоряжению директора завода на летное поле выехали все имевшиеся в городе пожарные машины, немедленно приступившие к откачке воды. Спустя двое суток первые “пешки” поднялись в воздух. В 1942 г. завод № 39 выпустил 121 Пе-3бис. Еще 13 машин в варианте дальних разведчиков закончили постройкой и сдали в строевые части в начале 1943 г. На этом производство Пе-3бис было прекращено (моторы М-105Р, необходимые для этих самолетов, долго искали по всей стране, поскольку на пикировщики Пе-2 к тому времени стали монтировать менее высотные, но несколько более мощные М-105ПФ). С осени 1942 г. предприятие перешло на массовый выпуск дальних бомбардировщиков Ил-4 (7644).</w:t>
      </w:r>
    </w:p>
    <w:p w14:paraId="76CB3C23" w14:textId="77777777" w:rsidR="00AE7191" w:rsidRPr="00722885" w:rsidRDefault="00AE7191" w:rsidP="00722885">
      <w:pPr>
        <w:pStyle w:val="Iauiue"/>
        <w:jc w:val="both"/>
        <w:rPr>
          <w:color w:val="000000" w:themeColor="text1"/>
          <w:sz w:val="16"/>
          <w:szCs w:val="16"/>
        </w:rPr>
      </w:pPr>
    </w:p>
    <w:p w14:paraId="6DCF10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согласно ГСС ли И.Федорова, который работал на 21 заводе, прибывший Зам. НКАП П.Дементьев проверил всю документацию по ЛаГГ-3, который производился под Москвой, в Ленинграде, в Горьком, Новосибирске и в Таганроге, и пришел к выводу, что многие детали не взаимозаменяемы. Считал, что ЛаГГ-3 - "был ценен лишь как навоз, на котором вырос непревзойденный Ла-5" (3241,3).</w:t>
      </w:r>
    </w:p>
    <w:p w14:paraId="3BCB8091" w14:textId="77777777" w:rsidR="00AE7191" w:rsidRPr="00722885" w:rsidRDefault="00AE7191" w:rsidP="00722885">
      <w:pPr>
        <w:pStyle w:val="Iauiue"/>
        <w:jc w:val="both"/>
        <w:rPr>
          <w:color w:val="000000" w:themeColor="text1"/>
          <w:sz w:val="16"/>
          <w:szCs w:val="16"/>
        </w:rPr>
      </w:pPr>
    </w:p>
    <w:p w14:paraId="09101F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1942-го было выпущено 34 самолета ЛаГ-5, в декабре - 308. На поточные методы изготовления технологи перевели от 35 до 50% всех работ по Ла-5 (4573).</w:t>
      </w:r>
    </w:p>
    <w:p w14:paraId="4A994A7C" w14:textId="77777777" w:rsidR="00AE7191" w:rsidRPr="00722885" w:rsidRDefault="00AE7191" w:rsidP="00722885">
      <w:pPr>
        <w:pStyle w:val="Iauiue"/>
        <w:jc w:val="both"/>
        <w:rPr>
          <w:color w:val="000000" w:themeColor="text1"/>
          <w:sz w:val="16"/>
          <w:szCs w:val="16"/>
        </w:rPr>
      </w:pPr>
    </w:p>
    <w:p w14:paraId="75CB54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1942-го главный инженер завода № 21 Борис Васильевич Куприянов обратился к члену ГКО Г.М.Маленкову, курировавшему авиационную промышленность, с предложением о снятии с самолета ЛаГ-5 протектированных бензобаков, как неэффективных против снарядов авиапушек, что давало экономию в весе 70 кг. Конструкторы ОКБ решали задачу облегчением консоли крыла, изъятием консольных бензобаков, установкой вместо одной пушки ШВАК пулемета БС (4573).</w:t>
      </w:r>
    </w:p>
    <w:p w14:paraId="146F2031" w14:textId="77777777" w:rsidR="00AE7191" w:rsidRPr="00722885" w:rsidRDefault="00AE7191" w:rsidP="00722885">
      <w:pPr>
        <w:pStyle w:val="Iauiue"/>
        <w:jc w:val="both"/>
        <w:rPr>
          <w:color w:val="000000" w:themeColor="text1"/>
          <w:sz w:val="16"/>
          <w:szCs w:val="16"/>
        </w:rPr>
      </w:pPr>
    </w:p>
    <w:p w14:paraId="0632AD14" w14:textId="77777777" w:rsidR="00627011" w:rsidRPr="00722885" w:rsidRDefault="0062701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июле 1942 г. началась серийная постройка ЛаГГ-5 в Тбилиси. На завод № 31 доставили моторы М-82 первых серий с экпипсами, в результате самолёты производства завода № 31 имели некоторые отличия в конструкции ВМГ, да и других агрегатов. Но в августе 1942 г. ГКО принял решение оставить в производстве на заводе № 31 только самолёт ЛаГГ-3, поэтому выпуск ЛаГГ-5 на нём быстро свернули. Взамен 31-го завода в том же августе к выпуску Ла-5 подключили завод № 99 в Улан-Удэ, а в октябре 1942 г. — за</w:t>
      </w:r>
      <w:r w:rsidRPr="00722885">
        <w:rPr>
          <w:rFonts w:ascii="Times New Roman" w:cs="Times New Roman"/>
          <w:color w:val="000000" w:themeColor="text1"/>
          <w:spacing w:val="0"/>
        </w:rPr>
        <w:softHyphen/>
        <w:t>вод № 381 в Нижнем Тагиле, в 1943 г. переведенный в Москву (15813).</w:t>
      </w:r>
    </w:p>
    <w:p w14:paraId="6126915C" w14:textId="77777777" w:rsidR="00627011" w:rsidRPr="00722885" w:rsidRDefault="00627011" w:rsidP="00722885">
      <w:pPr>
        <w:pStyle w:val="27"/>
        <w:shd w:val="clear" w:color="auto" w:fill="auto"/>
        <w:spacing w:after="0" w:line="240" w:lineRule="auto"/>
        <w:ind w:firstLine="0"/>
        <w:rPr>
          <w:rFonts w:ascii="Times New Roman" w:cs="Times New Roman"/>
          <w:color w:val="000000" w:themeColor="text1"/>
          <w:spacing w:val="0"/>
        </w:rPr>
      </w:pPr>
    </w:p>
    <w:p w14:paraId="1FA360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года директором завода № 301 был назначен Смирнов И.Н.</w:t>
      </w:r>
    </w:p>
    <w:p w14:paraId="59A690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Приказом НКАП от 30 декабря 1944 года за № 712сс на завод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660FE5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Директором завода в мае 1945 года был назначен Сычев В.В.</w:t>
      </w:r>
    </w:p>
    <w:p w14:paraId="0AE4EF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0BC475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Этим же приказом директором завода назначен гл. конструктор С.А. Лавочкин.</w:t>
      </w:r>
    </w:p>
    <w:p w14:paraId="0AEB59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81 помещался на территории завода № 381. Производственное слияние резко увеличило мощности завода ………..(9602).</w:t>
      </w:r>
    </w:p>
    <w:p w14:paraId="01D0EF3B" w14:textId="77777777" w:rsidR="00AE7191" w:rsidRPr="00722885" w:rsidRDefault="00AE7191" w:rsidP="00722885">
      <w:pPr>
        <w:pStyle w:val="Iauiue"/>
        <w:jc w:val="both"/>
        <w:rPr>
          <w:color w:val="000000" w:themeColor="text1"/>
          <w:sz w:val="16"/>
          <w:szCs w:val="16"/>
        </w:rPr>
      </w:pPr>
    </w:p>
    <w:p w14:paraId="001B7FB2"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июле 1942</w:t>
      </w:r>
    </w:p>
    <w:p w14:paraId="39FE6D00"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ДИРЕКТОРУ ЗАВОДА № 21 ГЛАВНОМУ КОНСТРУКТОРУ ЗАВОДА № 21</w:t>
      </w:r>
    </w:p>
    <w:p w14:paraId="70A863F7"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Первые воздушные бои самолетов ЛаГГ-5 с немецкими самолетами Ме-109ф показали:</w:t>
      </w:r>
    </w:p>
    <w:p w14:paraId="070FEBCD"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Самолет ЛаГГ-5 имеет преимущество перед Ме-109ф в горизонтальном маневре.</w:t>
      </w:r>
    </w:p>
    <w:p w14:paraId="08D5CEB3"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Самолет ЛаГГ-5 на наборе высоты при даче форсажа имеет скорость, равную Ме-109ф.</w:t>
      </w:r>
    </w:p>
    <w:p w14:paraId="0D67577C"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Самолет ЛаГГ-5 отстает от Ме-109ф в вертикальном маневре. По объяснениям летчиков, самолет ЛаГГ-5 отстает от Ме-109ф по той причине, что не удается резкое изменение траектории полета ввиду больших нагрузок на ручку управления, особо на больших скоростях.</w:t>
      </w:r>
    </w:p>
    <w:p w14:paraId="5093FB33"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Отрицательно влияет на боевые качества самолета ЛаГГ-5 и то обстоятельство, что фонарь пилота нельзя открыть на больших скоростях, и летчики летают с открытым фонарем, а это снижает скорость полета.</w:t>
      </w:r>
    </w:p>
    <w:p w14:paraId="5818B47C"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Имеются жалобы и на тяжелое управление элеронами на больших скоростях полета (большие нагрузки на ручку управления).</w:t>
      </w:r>
    </w:p>
    <w:p w14:paraId="46D0D489"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 изложенного следует, что необходимо срочно провести работы:</w:t>
      </w:r>
    </w:p>
    <w:p w14:paraId="54765D4A"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по увеличению аэродинамической компенсации рулей и элеронов;</w:t>
      </w:r>
    </w:p>
    <w:p w14:paraId="5BE5D1B3"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по аварийному сбросу фонаря пилота.</w:t>
      </w:r>
    </w:p>
    <w:p w14:paraId="1AAA967F"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Ст[арший] военпред инженер-полковник</w:t>
      </w:r>
      <w:r w:rsidRPr="00722885">
        <w:rPr>
          <w:rFonts w:ascii="Times New Roman" w:hAnsi="Times New Roman"/>
          <w:color w:val="0070C0"/>
          <w:sz w:val="16"/>
          <w:szCs w:val="16"/>
        </w:rPr>
        <w:tab/>
        <w:t>ЯРОШЕНКО</w:t>
      </w:r>
    </w:p>
    <w:p w14:paraId="1D5C5124"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ЦАНО. Ф. 2066. Оп. 6. Д. 796. Л 28.</w:t>
      </w:r>
    </w:p>
    <w:p w14:paraId="79A1A518" w14:textId="77777777" w:rsidR="004D6E34" w:rsidRPr="00722885" w:rsidRDefault="004D6E3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Подлинник. Машинопись (20935).</w:t>
      </w:r>
    </w:p>
    <w:p w14:paraId="494793D0" w14:textId="77777777" w:rsidR="004D6E34" w:rsidRPr="00722885" w:rsidRDefault="004D6E34" w:rsidP="00722885">
      <w:pPr>
        <w:spacing w:after="0" w:line="240" w:lineRule="auto"/>
        <w:jc w:val="both"/>
        <w:rPr>
          <w:rFonts w:ascii="Times New Roman" w:hAnsi="Times New Roman"/>
          <w:color w:val="0070C0"/>
          <w:sz w:val="16"/>
          <w:szCs w:val="16"/>
        </w:rPr>
      </w:pPr>
    </w:p>
    <w:p w14:paraId="477649C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началась серийная постройка Ла-5 на заводе № 31. На завод №31 были доставлены моторы М-82 первых серий с эклипсами, в резуль</w:t>
      </w:r>
      <w:r w:rsidRPr="00722885">
        <w:rPr>
          <w:rFonts w:ascii="Times New Roman" w:hAnsi="Times New Roman"/>
          <w:color w:val="000000" w:themeColor="text1"/>
          <w:sz w:val="16"/>
          <w:szCs w:val="16"/>
        </w:rPr>
        <w:softHyphen/>
        <w:t>тате самолеты производства завода №31 имели некоторые отличия в конструкции ВМГ, да и других агрега</w:t>
      </w:r>
      <w:r w:rsidRPr="00722885">
        <w:rPr>
          <w:rFonts w:ascii="Times New Roman" w:hAnsi="Times New Roman"/>
          <w:color w:val="000000" w:themeColor="text1"/>
          <w:sz w:val="16"/>
          <w:szCs w:val="16"/>
        </w:rPr>
        <w:softHyphen/>
        <w:t>тов. Но в августе 1942 года ГКО при</w:t>
      </w:r>
      <w:r w:rsidRPr="00722885">
        <w:rPr>
          <w:rFonts w:ascii="Times New Roman" w:hAnsi="Times New Roman"/>
          <w:color w:val="000000" w:themeColor="text1"/>
          <w:sz w:val="16"/>
          <w:szCs w:val="16"/>
        </w:rPr>
        <w:softHyphen/>
        <w:t>нял решение оставить в производ</w:t>
      </w:r>
      <w:r w:rsidRPr="00722885">
        <w:rPr>
          <w:rFonts w:ascii="Times New Roman" w:hAnsi="Times New Roman"/>
          <w:color w:val="000000" w:themeColor="text1"/>
          <w:sz w:val="16"/>
          <w:szCs w:val="16"/>
        </w:rPr>
        <w:softHyphen/>
        <w:t>стве на заводе №31 только самолет ЛаГГ-3, поэтому выпуск ЛаГГ-5 на нем быстро свернули. Взамен 31-го заво</w:t>
      </w:r>
      <w:r w:rsidRPr="00722885">
        <w:rPr>
          <w:rFonts w:ascii="Times New Roman" w:hAnsi="Times New Roman"/>
          <w:color w:val="000000" w:themeColor="text1"/>
          <w:sz w:val="16"/>
          <w:szCs w:val="16"/>
        </w:rPr>
        <w:softHyphen/>
        <w:t>да в том же августе к выпуску Ла-5 был подключен завод №99 в Улан-Удэ, а в октябре 1942 года - завод №381 в Нижнем Тагиле, в 1943 году переведенный в Москву (10699).</w:t>
      </w:r>
    </w:p>
    <w:p w14:paraId="1FF8481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12F3203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вышла серия карбюраторов АК-82БП А-4, отличающаяся по</w:t>
      </w:r>
      <w:r w:rsidRPr="00722885">
        <w:rPr>
          <w:rFonts w:ascii="Times New Roman" w:hAnsi="Times New Roman"/>
          <w:color w:val="000000" w:themeColor="text1"/>
          <w:sz w:val="16"/>
          <w:szCs w:val="16"/>
        </w:rPr>
        <w:softHyphen/>
        <w:t>вышением твердости ролика дозиру</w:t>
      </w:r>
      <w:r w:rsidRPr="00722885">
        <w:rPr>
          <w:rFonts w:ascii="Times New Roman" w:hAnsi="Times New Roman"/>
          <w:color w:val="000000" w:themeColor="text1"/>
          <w:sz w:val="16"/>
          <w:szCs w:val="16"/>
        </w:rPr>
        <w:softHyphen/>
        <w:t>ющей иглы для снижения его выра</w:t>
      </w:r>
      <w:r w:rsidRPr="00722885">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722885">
        <w:rPr>
          <w:rFonts w:ascii="Times New Roman" w:hAnsi="Times New Roman"/>
          <w:color w:val="000000" w:themeColor="text1"/>
          <w:sz w:val="16"/>
          <w:szCs w:val="16"/>
        </w:rPr>
        <w:softHyphen/>
        <w:t>тики и др. К весне 1943 года вышла серия А-6, на которой вместо жикле</w:t>
      </w:r>
      <w:r w:rsidRPr="00722885">
        <w:rPr>
          <w:rFonts w:ascii="Times New Roman" w:hAnsi="Times New Roman"/>
          <w:color w:val="000000" w:themeColor="text1"/>
          <w:sz w:val="16"/>
          <w:szCs w:val="16"/>
        </w:rPr>
        <w:softHyphen/>
        <w:t>ра экономайзера была введена ре</w:t>
      </w:r>
      <w:r w:rsidRPr="00722885">
        <w:rPr>
          <w:rFonts w:ascii="Times New Roman" w:hAnsi="Times New Roman"/>
          <w:color w:val="000000" w:themeColor="text1"/>
          <w:sz w:val="16"/>
          <w:szCs w:val="16"/>
        </w:rPr>
        <w:softHyphen/>
        <w:t>гулировочная игла в ниппеле трубки экономайзера и т.д. Даже краткое перечисление этих изменений наводит на мысль, что до</w:t>
      </w:r>
      <w:r w:rsidRPr="00722885">
        <w:rPr>
          <w:rFonts w:ascii="Times New Roman" w:hAnsi="Times New Roman"/>
          <w:color w:val="000000" w:themeColor="text1"/>
          <w:sz w:val="16"/>
          <w:szCs w:val="16"/>
        </w:rPr>
        <w:softHyphen/>
        <w:t>водка карбюратора проходила в ос</w:t>
      </w:r>
      <w:r w:rsidRPr="00722885">
        <w:rPr>
          <w:rFonts w:ascii="Times New Roman" w:hAnsi="Times New Roman"/>
          <w:color w:val="000000" w:themeColor="text1"/>
          <w:sz w:val="16"/>
          <w:szCs w:val="16"/>
        </w:rPr>
        <w:softHyphen/>
        <w:t>новном все тем же методом проб и ошибок. Никаких существенных ре</w:t>
      </w:r>
      <w:r w:rsidRPr="00722885">
        <w:rPr>
          <w:rFonts w:ascii="Times New Roman" w:hAnsi="Times New Roman"/>
          <w:color w:val="000000" w:themeColor="text1"/>
          <w:sz w:val="16"/>
          <w:szCs w:val="16"/>
        </w:rPr>
        <w:softHyphen/>
        <w:t>зультатов по улучшению работы АК-82БП получено не было (10705).</w:t>
      </w:r>
    </w:p>
    <w:p w14:paraId="14284AE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68CE671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июля 1942 г. над Москвой на высотах 12000-13000 м, исключавших поражение огнем зенитной артиллерии и недосягаемых для истребителей, стоявших на вооруже</w:t>
      </w:r>
      <w:r w:rsidRPr="00722885">
        <w:rPr>
          <w:rFonts w:ascii="Times New Roman" w:hAnsi="Times New Roman"/>
          <w:color w:val="000000" w:themeColor="text1"/>
          <w:sz w:val="16"/>
          <w:szCs w:val="16"/>
        </w:rPr>
        <w:softHyphen/>
        <w:t>нии авиации ПВО СССР, регулярно начал летать немец</w:t>
      </w:r>
      <w:r w:rsidRPr="00722885">
        <w:rPr>
          <w:rFonts w:ascii="Times New Roman" w:hAnsi="Times New Roman"/>
          <w:color w:val="000000" w:themeColor="text1"/>
          <w:sz w:val="16"/>
          <w:szCs w:val="16"/>
        </w:rPr>
        <w:softHyphen/>
        <w:t>кий высотный разведчик Юнкере 1и-86К-1. Его полеты очень нервировали Ставку Верховного Главнокомандо</w:t>
      </w:r>
      <w:r w:rsidRPr="00722885">
        <w:rPr>
          <w:rFonts w:ascii="Times New Roman" w:hAnsi="Times New Roman"/>
          <w:color w:val="000000" w:themeColor="text1"/>
          <w:sz w:val="16"/>
          <w:szCs w:val="16"/>
        </w:rPr>
        <w:softHyphen/>
        <w:t>вания, так как противник мог получать ценную разведы</w:t>
      </w:r>
      <w:r w:rsidRPr="00722885">
        <w:rPr>
          <w:rFonts w:ascii="Times New Roman" w:hAnsi="Times New Roman"/>
          <w:color w:val="000000" w:themeColor="text1"/>
          <w:sz w:val="16"/>
          <w:szCs w:val="16"/>
        </w:rPr>
        <w:softHyphen/>
        <w:t>вательную информацию. Постановлением ГКО от 12 ноября 1942 г. ОКБ А.С.Яковлева обязали до 15 января 1943 г. поставить в части ПВО Москвы на войсковые ис</w:t>
      </w:r>
      <w:r w:rsidRPr="00722885">
        <w:rPr>
          <w:rFonts w:ascii="Times New Roman" w:hAnsi="Times New Roman"/>
          <w:color w:val="000000" w:themeColor="text1"/>
          <w:sz w:val="16"/>
          <w:szCs w:val="16"/>
        </w:rPr>
        <w:softHyphen/>
        <w:t>пытания пять экземпляров высотных истребителей Як-9 с М-105ПД. Аналогичные задания были выданы в ОКБ С.А.Лавочкина и А.И.Микояна. По разным причинам КБ Яковлева смогло выпол</w:t>
      </w:r>
      <w:r w:rsidRPr="00722885">
        <w:rPr>
          <w:rFonts w:ascii="Times New Roman" w:hAnsi="Times New Roman"/>
          <w:color w:val="000000" w:themeColor="text1"/>
          <w:sz w:val="16"/>
          <w:szCs w:val="16"/>
        </w:rPr>
        <w:softHyphen/>
        <w:t>нить задание лишь к 20 апреля 1943 г. Еще хуже было то, что предельный потолок Як-9 с М-105ПД не превышал 12000 м. В ОКБ А.И.Микояна более основательно подошли к задаче. К концу 1943 г. там удалось построить истреби</w:t>
      </w:r>
      <w:r w:rsidRPr="00722885">
        <w:rPr>
          <w:rFonts w:ascii="Times New Roman" w:hAnsi="Times New Roman"/>
          <w:color w:val="000000" w:themeColor="text1"/>
          <w:sz w:val="16"/>
          <w:szCs w:val="16"/>
        </w:rPr>
        <w:softHyphen/>
        <w:t>тель И-</w:t>
      </w:r>
      <w:r w:rsidRPr="00722885">
        <w:rPr>
          <w:rFonts w:ascii="Times New Roman" w:hAnsi="Times New Roman"/>
          <w:color w:val="000000" w:themeColor="text1"/>
          <w:sz w:val="16"/>
          <w:szCs w:val="16"/>
        </w:rPr>
        <w:lastRenderedPageBreak/>
        <w:t>221, способный летать на высотах около 13000 м. Испытания показали, что необходима доработка маши</w:t>
      </w:r>
      <w:r w:rsidRPr="00722885">
        <w:rPr>
          <w:rFonts w:ascii="Times New Roman" w:hAnsi="Times New Roman"/>
          <w:color w:val="000000" w:themeColor="text1"/>
          <w:sz w:val="16"/>
          <w:szCs w:val="16"/>
        </w:rPr>
        <w:softHyphen/>
        <w:t>ны. Затем последовали усовершенствованные модифи</w:t>
      </w:r>
      <w:r w:rsidRPr="00722885">
        <w:rPr>
          <w:rFonts w:ascii="Times New Roman" w:hAnsi="Times New Roman"/>
          <w:color w:val="000000" w:themeColor="text1"/>
          <w:sz w:val="16"/>
          <w:szCs w:val="16"/>
        </w:rPr>
        <w:softHyphen/>
        <w:t>кации И-222, И-224, И-225, причем на последних удалось реализовать требования ВВС, но лишь к концу 1944 - началу 1945 гг. (10667).</w:t>
      </w:r>
    </w:p>
    <w:p w14:paraId="5155E22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66D0E0B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закончились гос. испытания Як-1б эталона без гаргрота (4,204).</w:t>
      </w:r>
    </w:p>
    <w:p w14:paraId="764A507B" w14:textId="77777777" w:rsidR="00AE7191" w:rsidRPr="00722885" w:rsidRDefault="00AE7191" w:rsidP="00722885">
      <w:pPr>
        <w:pStyle w:val="Iauiue"/>
        <w:jc w:val="both"/>
        <w:rPr>
          <w:color w:val="000000" w:themeColor="text1"/>
          <w:sz w:val="16"/>
          <w:szCs w:val="16"/>
        </w:rPr>
      </w:pPr>
    </w:p>
    <w:p w14:paraId="1BFE63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прошел гос. испытания эталон Як-1 с улучшенным обзором, бронированием и вооружением и по его образцу с января начался выпуск Як-1М (3243,6).</w:t>
      </w:r>
    </w:p>
    <w:p w14:paraId="09460B08" w14:textId="77777777" w:rsidR="00AE7191" w:rsidRPr="00722885" w:rsidRDefault="00AE7191" w:rsidP="00722885">
      <w:pPr>
        <w:pStyle w:val="Iauiue"/>
        <w:jc w:val="both"/>
        <w:rPr>
          <w:color w:val="000000" w:themeColor="text1"/>
          <w:sz w:val="16"/>
          <w:szCs w:val="16"/>
        </w:rPr>
      </w:pPr>
    </w:p>
    <w:p w14:paraId="5F21E7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153 завод закончил выпуск Як-7Б М-105ПА, который велся с апреля 1942 и всего сделали 261 (65,84).</w:t>
      </w:r>
    </w:p>
    <w:p w14:paraId="32BD0E86" w14:textId="77777777" w:rsidR="00AE7191" w:rsidRPr="00722885" w:rsidRDefault="00AE7191" w:rsidP="00722885">
      <w:pPr>
        <w:pStyle w:val="Iauiue"/>
        <w:jc w:val="both"/>
        <w:rPr>
          <w:color w:val="000000" w:themeColor="text1"/>
          <w:sz w:val="16"/>
          <w:szCs w:val="16"/>
        </w:rPr>
      </w:pPr>
    </w:p>
    <w:p w14:paraId="19E2FF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был готов Як-7Д (1046,37).</w:t>
      </w:r>
    </w:p>
    <w:p w14:paraId="34765C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другим данным - в июне.</w:t>
      </w:r>
    </w:p>
    <w:p w14:paraId="3BC36768" w14:textId="77777777" w:rsidR="00AE7191" w:rsidRPr="00722885" w:rsidRDefault="00AE7191" w:rsidP="00722885">
      <w:pPr>
        <w:pStyle w:val="Iauiue"/>
        <w:jc w:val="both"/>
        <w:rPr>
          <w:color w:val="000000" w:themeColor="text1"/>
          <w:sz w:val="16"/>
          <w:szCs w:val="16"/>
        </w:rPr>
      </w:pPr>
    </w:p>
    <w:p w14:paraId="5262DD0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заводом 293 была составлена новая программа широких совместных испытаний БИ-2 на 17 полетов на тяги от 800 до 1400 кг и с достижением скорости до 800 км/час. Однако, она не была принята (2928,12).</w:t>
      </w:r>
    </w:p>
    <w:p w14:paraId="35C5D34C" w14:textId="77777777" w:rsidR="00AE7191" w:rsidRPr="00722885" w:rsidRDefault="00AE7191" w:rsidP="00722885">
      <w:pPr>
        <w:pStyle w:val="Iauiue"/>
        <w:jc w:val="both"/>
        <w:rPr>
          <w:color w:val="000000" w:themeColor="text1"/>
          <w:sz w:val="16"/>
          <w:szCs w:val="16"/>
        </w:rPr>
      </w:pPr>
    </w:p>
    <w:p w14:paraId="0147D3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в НИП АВ прошла испытания на ПС-84 турель УТК под УБТ (3404, 11).</w:t>
      </w:r>
    </w:p>
    <w:p w14:paraId="3B7EBF32" w14:textId="77777777" w:rsidR="00AE7191" w:rsidRPr="00722885" w:rsidRDefault="00AE7191" w:rsidP="00722885">
      <w:pPr>
        <w:pStyle w:val="Iauiue"/>
        <w:jc w:val="both"/>
        <w:rPr>
          <w:color w:val="000000" w:themeColor="text1"/>
          <w:sz w:val="16"/>
          <w:szCs w:val="16"/>
        </w:rPr>
      </w:pPr>
    </w:p>
    <w:p w14:paraId="0879AF52"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июле 1942 г. территорию завода № 445 передали в систему НКАП для организа</w:t>
      </w:r>
      <w:r w:rsidRPr="00722885">
        <w:rPr>
          <w:rFonts w:ascii="Times New Roman" w:cs="Times New Roman"/>
          <w:color w:val="000000" w:themeColor="text1"/>
          <w:spacing w:val="0"/>
          <w:sz w:val="16"/>
          <w:szCs w:val="16"/>
        </w:rPr>
        <w:softHyphen/>
        <w:t>ции завода № 464 по ремонту самолётов Ли-2 (15792).</w:t>
      </w:r>
    </w:p>
    <w:p w14:paraId="3F4786AD"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p>
    <w:p w14:paraId="360662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 второй опытный БДП-2 был передан для опытной эксплуатации как транспортное средство Управлению воздушной магистрали Москва - Иркутск. Был выполнен ряд полетов на буксире за самолетом СБ по маршруту Новосибирск - Омск - Свердловск и обратно. Вместе с БДП на трассе использовались несколько планеров А-7. Аэрофлотовцы, надо сказать, от проведенных испытаний были в восторге, планеры позволяли загружать крупногабаритные грузы, являясь, по сути, приложением к рейсовому СБ (ПС-40), несущему нагрузку. По результатам испытаний предполагалось построить несколько транспортных планеров для гражданских линий (4540).</w:t>
      </w:r>
    </w:p>
    <w:p w14:paraId="2E0E1443" w14:textId="77777777" w:rsidR="00AE7191" w:rsidRPr="00722885" w:rsidRDefault="00AE7191" w:rsidP="00722885">
      <w:pPr>
        <w:pStyle w:val="Iauiue"/>
        <w:jc w:val="both"/>
        <w:rPr>
          <w:color w:val="000000" w:themeColor="text1"/>
          <w:sz w:val="16"/>
          <w:szCs w:val="16"/>
        </w:rPr>
      </w:pPr>
    </w:p>
    <w:p w14:paraId="6D2C12F9" w14:textId="77777777" w:rsidR="001B2C96" w:rsidRPr="00722885" w:rsidRDefault="001B2C96" w:rsidP="00722885">
      <w:pPr>
        <w:spacing w:after="0" w:line="240" w:lineRule="auto"/>
        <w:jc w:val="both"/>
        <w:rPr>
          <w:rFonts w:ascii="Times New Roman" w:hAnsi="Times New Roman"/>
          <w:color w:val="000000" w:themeColor="text1"/>
          <w:sz w:val="16"/>
          <w:szCs w:val="16"/>
          <w:shd w:val="clear" w:color="auto" w:fill="FFFFFF"/>
        </w:rPr>
      </w:pPr>
      <w:r w:rsidRPr="00722885">
        <w:rPr>
          <w:rFonts w:ascii="Times New Roman" w:hAnsi="Times New Roman"/>
          <w:color w:val="000000" w:themeColor="text1"/>
          <w:sz w:val="16"/>
          <w:szCs w:val="16"/>
          <w:shd w:val="clear" w:color="auto" w:fill="FFFFFF"/>
        </w:rPr>
        <w:t>В июле 1942 года планер БДП передали для эксплуатации в рядах Аэрофлота. БДП-2 летал на буксире за самолётом ПС-40 по маршруту Новосибирск-Омск-Свердловск и обратно. Предполагалось построить серию таких аппаратов для гражданской авиации, но до конца 1942 года в ремонтных мастерских Сибирского ВО собрали только четыре БДП-2 и ещё несколько экземпляров передал фронту мебельный комбинат г.Шумерля. Об их боевом применении точной информации пока найти не удалось. В то же время ОКБ Поликарпова переделало один из БДП-2 под установку двух двигателей М-11Ф, превратив его в мотопланер. Этот аппарат, обозначенный как МП, мог перевозить 12 десантников с вооружением или аналогичную весовую нагрузку. При увеличении нагрузки взлет совершался с помощью самолёта-буксировщика. Летом 1943 года МП успешно прошел заводские испытания, но в серии не строился по причине сокращения числа партизанских районов и наличии в строю ВВС самолётов типа Ще-2, Як-6 и Ли-2 (19619).</w:t>
      </w:r>
    </w:p>
    <w:p w14:paraId="4EE0C2FB" w14:textId="77777777" w:rsidR="001B2C96" w:rsidRPr="00722885" w:rsidRDefault="001B2C96" w:rsidP="00722885">
      <w:pPr>
        <w:spacing w:after="0" w:line="240" w:lineRule="auto"/>
        <w:jc w:val="both"/>
        <w:rPr>
          <w:rFonts w:ascii="Times New Roman" w:hAnsi="Times New Roman"/>
          <w:color w:val="000000" w:themeColor="text1"/>
          <w:sz w:val="16"/>
          <w:szCs w:val="16"/>
          <w:shd w:val="clear" w:color="auto" w:fill="FFFFFF"/>
        </w:rPr>
      </w:pPr>
    </w:p>
    <w:p w14:paraId="1FA500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июля 1942 ЛИИ для обеспечения идентичности серийных опытным стал проводить контрольные испытания (173,219).</w:t>
      </w:r>
    </w:p>
    <w:p w14:paraId="17FE2AFD" w14:textId="77777777" w:rsidR="00AE7191" w:rsidRPr="00722885" w:rsidRDefault="00AE7191" w:rsidP="00722885">
      <w:pPr>
        <w:pStyle w:val="Iauiue"/>
        <w:jc w:val="both"/>
        <w:rPr>
          <w:color w:val="000000" w:themeColor="text1"/>
          <w:sz w:val="16"/>
          <w:szCs w:val="16"/>
        </w:rPr>
      </w:pPr>
    </w:p>
    <w:p w14:paraId="0CC3F2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 были проведены сравнительные испытания перхлорвиниловых покрытий и стандартного покрытия аэролаками AIH и АМТ-4. Для этого использовались элероны, обтянутые тканью ACT-100. Кроме того, испытывался и руль высоты с трофейного немецкого самолета.</w:t>
      </w:r>
    </w:p>
    <w:p w14:paraId="544349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 простреле ткани зажигательными пулями ни одно покрытие, в том числе стандартное, не воспламенилось. Когда поверхность элеронов облили бензином и подожгли, стандартное покрытие запылало как факел с выходом пламени далеко за границы пролитого бензина. Перхлорвиниловое же сгорело только "в пределах разлитого бензина без дальнейшего распространения огня." Такой же результат был получен и при поджигании положенного на элерон кусочка желтого фосфора. Трофейный руль выдержал испытания с теми же результатами, что и новое покрытие.</w:t>
      </w:r>
    </w:p>
    <w:p w14:paraId="345EC0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 такие покрытия были сложны в серийном производстве и в горячее военное время негорючие хлорвиниловые эмали широкого применения не нашли. Исключение составили только перхлорвиниловые эмали ДД-118А и ДД-118Б серого цвета (FS 26173), применявшиеся с 1943 г. для окраски внутренних поверхностей (3522).</w:t>
      </w:r>
    </w:p>
    <w:p w14:paraId="3207C4D9" w14:textId="77777777" w:rsidR="00AE7191" w:rsidRPr="00722885" w:rsidRDefault="00AE7191" w:rsidP="00722885">
      <w:pPr>
        <w:pStyle w:val="Iauiue"/>
        <w:jc w:val="both"/>
        <w:rPr>
          <w:color w:val="000000" w:themeColor="text1"/>
          <w:sz w:val="16"/>
          <w:szCs w:val="16"/>
        </w:rPr>
      </w:pPr>
    </w:p>
    <w:p w14:paraId="6F1790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в НИИ ВВС или ЛИИ испытывали Киттихаук Р-40Е с Аллисон V-1710-39 (173,244).</w:t>
      </w:r>
    </w:p>
    <w:p w14:paraId="7617E584" w14:textId="77777777" w:rsidR="00AE7191" w:rsidRPr="00722885" w:rsidRDefault="00AE7191" w:rsidP="00722885">
      <w:pPr>
        <w:pStyle w:val="Iauiue"/>
        <w:jc w:val="both"/>
        <w:rPr>
          <w:color w:val="000000" w:themeColor="text1"/>
          <w:sz w:val="16"/>
          <w:szCs w:val="16"/>
        </w:rPr>
      </w:pPr>
    </w:p>
    <w:p w14:paraId="0DCCF0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года в НИИ ВВС проходил испытания Р-40D "Киттихаук". При испытаниях достаточно четко выявилось, что на Западе Р-40 использовался в первую очередь как штурмовик и истребитель-бомбардировщик. Совершенствование машины шло именно в этом направлении: усилили бронезащиту, ввели бомбовую подвеску, увеличили скорость (за счет улучшения аэродинамики и более мощного двигателя) и дальность. Но это подняло вес истребителя и значительно ухудшило скороподъемность, снизило потолок, увеличило время выполнения виражей, длину разбега на взлете и, особенно, пробега при посадке. Изучив его сильные и слабые стороны, самолету постарались найти подходящие области применения (3457,63).</w:t>
      </w:r>
    </w:p>
    <w:p w14:paraId="0A3D53C4" w14:textId="77777777" w:rsidR="00AE7191" w:rsidRPr="00722885" w:rsidRDefault="00AE7191" w:rsidP="00722885">
      <w:pPr>
        <w:pStyle w:val="Iauiue"/>
        <w:jc w:val="both"/>
        <w:rPr>
          <w:color w:val="000000" w:themeColor="text1"/>
          <w:sz w:val="16"/>
          <w:szCs w:val="16"/>
        </w:rPr>
      </w:pPr>
    </w:p>
    <w:p w14:paraId="6DC341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в НИИ ВВС или ЛИИ испытывали DB-7B Бостон с R-2600-А5В (173,272).</w:t>
      </w:r>
    </w:p>
    <w:p w14:paraId="76B0AC8F" w14:textId="77777777" w:rsidR="00AE7191" w:rsidRPr="00722885" w:rsidRDefault="00AE7191" w:rsidP="00722885">
      <w:pPr>
        <w:pStyle w:val="Iauiue"/>
        <w:jc w:val="both"/>
        <w:rPr>
          <w:color w:val="000000" w:themeColor="text1"/>
          <w:sz w:val="16"/>
          <w:szCs w:val="16"/>
        </w:rPr>
      </w:pPr>
    </w:p>
    <w:p w14:paraId="72D8E7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НИИ ВВС закончил испытания Р-51 (173,260).</w:t>
      </w:r>
    </w:p>
    <w:p w14:paraId="062E70D5" w14:textId="77777777" w:rsidR="00AE7191" w:rsidRPr="00722885" w:rsidRDefault="00AE7191" w:rsidP="00722885">
      <w:pPr>
        <w:pStyle w:val="Iauiue"/>
        <w:jc w:val="both"/>
        <w:rPr>
          <w:color w:val="000000" w:themeColor="text1"/>
          <w:sz w:val="16"/>
          <w:szCs w:val="16"/>
        </w:rPr>
      </w:pPr>
    </w:p>
    <w:p w14:paraId="3EAB58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после того, как к первой строевой войсковой частью советских ВВС, приступившей к освоению бомбардировщика В-25 летом 1942 г. - 37-му БАП, прибывшему с Дальнего Востока на аэродром Кратово в Подмосковье стал, присоединились еще два бомбардировочных полка: 16-й и 125-й, до того времени воевавший на Ленинградском фронте на самолетах Пе-2 из этих полков сформировали 222-ю БАД, которая с 8 августа 1942 приняла участие в боевых действиях в составе 1-го БАК (3198).</w:t>
      </w:r>
    </w:p>
    <w:p w14:paraId="4E72A86B" w14:textId="77777777" w:rsidR="00AE7191" w:rsidRPr="00722885" w:rsidRDefault="00AE7191" w:rsidP="00722885">
      <w:pPr>
        <w:pStyle w:val="Iauiue"/>
        <w:jc w:val="both"/>
        <w:rPr>
          <w:color w:val="000000" w:themeColor="text1"/>
          <w:sz w:val="16"/>
          <w:szCs w:val="16"/>
        </w:rPr>
      </w:pPr>
    </w:p>
    <w:p w14:paraId="1FB3EB9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завод № 45 вновь вы</w:t>
      </w:r>
      <w:r w:rsidRPr="00722885">
        <w:rPr>
          <w:rFonts w:ascii="Times New Roman" w:hAnsi="Times New Roman"/>
          <w:color w:val="000000" w:themeColor="text1"/>
          <w:sz w:val="16"/>
          <w:szCs w:val="16"/>
        </w:rPr>
        <w:softHyphen/>
        <w:t>полнил план, изготовив требуемые 28 двигателей. Конечно, этого было не</w:t>
      </w:r>
      <w:r w:rsidRPr="00722885">
        <w:rPr>
          <w:rFonts w:ascii="Times New Roman" w:hAnsi="Times New Roman"/>
          <w:color w:val="000000" w:themeColor="text1"/>
          <w:sz w:val="16"/>
          <w:szCs w:val="16"/>
        </w:rPr>
        <w:softHyphen/>
        <w:t>достаточно. Положение на фронте ос</w:t>
      </w:r>
      <w:r w:rsidRPr="00722885">
        <w:rPr>
          <w:rFonts w:ascii="Times New Roman" w:hAnsi="Times New Roman"/>
          <w:color w:val="000000" w:themeColor="text1"/>
          <w:sz w:val="16"/>
          <w:szCs w:val="16"/>
        </w:rPr>
        <w:softHyphen/>
        <w:t>тавалось очень серьезным, на юге стра</w:t>
      </w:r>
      <w:r w:rsidRPr="00722885">
        <w:rPr>
          <w:rFonts w:ascii="Times New Roman" w:hAnsi="Times New Roman"/>
          <w:color w:val="000000" w:themeColor="text1"/>
          <w:sz w:val="16"/>
          <w:szCs w:val="16"/>
        </w:rPr>
        <w:softHyphen/>
        <w:t>ны Красная Армия отступала. Работни</w:t>
      </w:r>
      <w:r w:rsidRPr="00722885">
        <w:rPr>
          <w:rFonts w:ascii="Times New Roman" w:hAnsi="Times New Roman"/>
          <w:color w:val="000000" w:themeColor="text1"/>
          <w:sz w:val="16"/>
          <w:szCs w:val="16"/>
        </w:rPr>
        <w:softHyphen/>
        <w:t>ки завода отлично понимали, как нуж</w:t>
      </w:r>
      <w:r w:rsidRPr="00722885">
        <w:rPr>
          <w:rFonts w:ascii="Times New Roman" w:hAnsi="Times New Roman"/>
          <w:color w:val="000000" w:themeColor="text1"/>
          <w:sz w:val="16"/>
          <w:szCs w:val="16"/>
        </w:rPr>
        <w:softHyphen/>
        <w:t>ны «Илы». В августе на самолетострои</w:t>
      </w:r>
      <w:r w:rsidRPr="00722885">
        <w:rPr>
          <w:rFonts w:ascii="Times New Roman" w:hAnsi="Times New Roman"/>
          <w:color w:val="000000" w:themeColor="text1"/>
          <w:sz w:val="16"/>
          <w:szCs w:val="16"/>
        </w:rPr>
        <w:softHyphen/>
        <w:t>тельные предприятия были отправле</w:t>
      </w:r>
      <w:r w:rsidRPr="00722885">
        <w:rPr>
          <w:rFonts w:ascii="Times New Roman" w:hAnsi="Times New Roman"/>
          <w:color w:val="000000" w:themeColor="text1"/>
          <w:sz w:val="16"/>
          <w:szCs w:val="16"/>
        </w:rPr>
        <w:softHyphen/>
        <w:t>ны уже 52 двигателя - на один больше плана. В сентябре завод перевыполнил программу, предусматривавшую изго</w:t>
      </w:r>
      <w:r w:rsidRPr="00722885">
        <w:rPr>
          <w:rFonts w:ascii="Times New Roman" w:hAnsi="Times New Roman"/>
          <w:color w:val="000000" w:themeColor="text1"/>
          <w:sz w:val="16"/>
          <w:szCs w:val="16"/>
        </w:rPr>
        <w:softHyphen/>
        <w:t>товление 85 моторов, и занял третье место среди предприятий наркомата. Так же уверенно завод работал и в ок</w:t>
      </w:r>
      <w:r w:rsidRPr="00722885">
        <w:rPr>
          <w:rFonts w:ascii="Times New Roman" w:hAnsi="Times New Roman"/>
          <w:color w:val="000000" w:themeColor="text1"/>
          <w:sz w:val="16"/>
          <w:szCs w:val="16"/>
        </w:rPr>
        <w:softHyphen/>
        <w:t>тябре, доведя месячную производитель</w:t>
      </w:r>
      <w:r w:rsidRPr="00722885">
        <w:rPr>
          <w:rFonts w:ascii="Times New Roman" w:hAnsi="Times New Roman"/>
          <w:color w:val="000000" w:themeColor="text1"/>
          <w:sz w:val="16"/>
          <w:szCs w:val="16"/>
        </w:rPr>
        <w:softHyphen/>
        <w:t>ность до 130 единиц (11159). Однако в конце года из-за проблем с кадрами и плохих погодных условий ситуация ухудшилась. Достаточно ска</w:t>
      </w:r>
      <w:r w:rsidRPr="00722885">
        <w:rPr>
          <w:rFonts w:ascii="Times New Roman" w:hAnsi="Times New Roman"/>
          <w:color w:val="000000" w:themeColor="text1"/>
          <w:sz w:val="16"/>
          <w:szCs w:val="16"/>
        </w:rPr>
        <w:softHyphen/>
        <w:t>зать, что за 1942 г. на завод было при</w:t>
      </w:r>
      <w:r w:rsidRPr="00722885">
        <w:rPr>
          <w:rFonts w:ascii="Times New Roman" w:hAnsi="Times New Roman"/>
          <w:color w:val="000000" w:themeColor="text1"/>
          <w:sz w:val="16"/>
          <w:szCs w:val="16"/>
        </w:rPr>
        <w:softHyphen/>
        <w:t>нято 14 238 человек, в том числе 7260 рабочих и 1769 инженеров и техни</w:t>
      </w:r>
      <w:r w:rsidRPr="00722885">
        <w:rPr>
          <w:rFonts w:ascii="Times New Roman" w:hAnsi="Times New Roman"/>
          <w:color w:val="000000" w:themeColor="text1"/>
          <w:sz w:val="16"/>
          <w:szCs w:val="16"/>
        </w:rPr>
        <w:softHyphen/>
        <w:t>ков. Из указанного числа рабочих толь</w:t>
      </w:r>
      <w:r w:rsidRPr="00722885">
        <w:rPr>
          <w:rFonts w:ascii="Times New Roman" w:hAnsi="Times New Roman"/>
          <w:color w:val="000000" w:themeColor="text1"/>
          <w:sz w:val="16"/>
          <w:szCs w:val="16"/>
        </w:rPr>
        <w:softHyphen/>
        <w:t>ко 40 % имели опыт работы на заводе, остальные были «зелеными» новичка</w:t>
      </w:r>
      <w:r w:rsidRPr="00722885">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722885">
        <w:rPr>
          <w:rFonts w:ascii="Times New Roman" w:hAnsi="Times New Roman"/>
          <w:color w:val="000000" w:themeColor="text1"/>
          <w:sz w:val="16"/>
          <w:szCs w:val="16"/>
        </w:rPr>
        <w:softHyphen/>
        <w:t>рей, 82 слесаря, 273 шлифовщика и 360 фрезеровщиков).</w:t>
      </w:r>
    </w:p>
    <w:p w14:paraId="5462983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Недостаточная квалификация ра</w:t>
      </w:r>
      <w:r w:rsidRPr="00722885">
        <w:rPr>
          <w:rFonts w:ascii="Times New Roman" w:hAnsi="Times New Roman"/>
          <w:color w:val="000000" w:themeColor="text1"/>
          <w:sz w:val="16"/>
          <w:szCs w:val="16"/>
        </w:rPr>
        <w:softHyphen/>
        <w:t>ботников грозила срывом производ</w:t>
      </w:r>
      <w:r w:rsidRPr="00722885">
        <w:rPr>
          <w:rFonts w:ascii="Times New Roman" w:hAnsi="Times New Roman"/>
          <w:color w:val="000000" w:themeColor="text1"/>
          <w:sz w:val="16"/>
          <w:szCs w:val="16"/>
        </w:rPr>
        <w:softHyphen/>
        <w:t>ственных планов. Три мотора, постав</w:t>
      </w:r>
      <w:r w:rsidRPr="00722885">
        <w:rPr>
          <w:rFonts w:ascii="Times New Roman" w:hAnsi="Times New Roman"/>
          <w:color w:val="000000" w:themeColor="text1"/>
          <w:sz w:val="16"/>
          <w:szCs w:val="16"/>
        </w:rPr>
        <w:softHyphen/>
        <w:t>ленные на длительные испытания осе</w:t>
      </w:r>
      <w:r w:rsidRPr="00722885">
        <w:rPr>
          <w:rFonts w:ascii="Times New Roman" w:hAnsi="Times New Roman"/>
          <w:color w:val="000000" w:themeColor="text1"/>
          <w:sz w:val="16"/>
          <w:szCs w:val="16"/>
        </w:rPr>
        <w:softHyphen/>
        <w:t>нью 1942 г., не отработали установлен</w:t>
      </w:r>
      <w:r w:rsidRPr="00722885">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722885">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722885">
        <w:rPr>
          <w:rFonts w:ascii="Times New Roman" w:hAnsi="Times New Roman"/>
          <w:color w:val="000000" w:themeColor="text1"/>
          <w:sz w:val="16"/>
          <w:szCs w:val="16"/>
        </w:rPr>
        <w:softHyphen/>
        <w:t>рен и поломки клапанов, что было выз</w:t>
      </w:r>
      <w:r w:rsidRPr="00722885">
        <w:rPr>
          <w:rFonts w:ascii="Times New Roman" w:hAnsi="Times New Roman"/>
          <w:color w:val="000000" w:themeColor="text1"/>
          <w:sz w:val="16"/>
          <w:szCs w:val="16"/>
        </w:rPr>
        <w:softHyphen/>
        <w:t>вано нетолько невысоким качеством из</w:t>
      </w:r>
      <w:r w:rsidRPr="00722885">
        <w:rPr>
          <w:rFonts w:ascii="Times New Roman" w:hAnsi="Times New Roman"/>
          <w:color w:val="000000" w:themeColor="text1"/>
          <w:sz w:val="16"/>
          <w:szCs w:val="16"/>
        </w:rPr>
        <w:softHyphen/>
        <w:t>готовления моторов, но и низкокаче</w:t>
      </w:r>
      <w:r w:rsidRPr="00722885">
        <w:rPr>
          <w:rFonts w:ascii="Times New Roman" w:hAnsi="Times New Roman"/>
          <w:color w:val="000000" w:themeColor="text1"/>
          <w:sz w:val="16"/>
          <w:szCs w:val="16"/>
        </w:rPr>
        <w:softHyphen/>
        <w:t>ственным третьесортным бензином, которым снабжался завод (11159).</w:t>
      </w:r>
    </w:p>
    <w:p w14:paraId="65772A7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7A4C39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для работ по авиадизелям создали специальное ОКБ-500. Оно занялось доработкой М-30, который оснасти</w:t>
      </w:r>
      <w:r w:rsidRPr="00722885">
        <w:rPr>
          <w:rFonts w:ascii="Times New Roman" w:hAnsi="Times New Roman"/>
          <w:color w:val="000000" w:themeColor="text1"/>
          <w:sz w:val="16"/>
          <w:szCs w:val="16"/>
        </w:rPr>
        <w:softHyphen/>
        <w:t>ли ПЦН от мотора АМ-38, получив тем самым модификацию М-ЗОБ. В серию ее запустили как АЧ-ЗОБ. Этот двигатель выпускался заводами № 500 и № 45 в Москве. Его устанавливали на серийные бомбарди</w:t>
      </w:r>
      <w:r w:rsidRPr="00722885">
        <w:rPr>
          <w:rFonts w:ascii="Times New Roman" w:hAnsi="Times New Roman"/>
          <w:color w:val="000000" w:themeColor="text1"/>
          <w:sz w:val="16"/>
          <w:szCs w:val="16"/>
        </w:rPr>
        <w:softHyphen/>
        <w:t>ровщики Ер-2. Но надежность АЧ-30Б оставалась по-прежнему низкой. Это привело к тому, что в сентябре 1945 г. его окончательно сняли с производства. Вслед за ним сняли с вооружения оснащенные дизелями бомбардировщики Ер-2. Авиационные дизели стали переделывать в судовые, танковые и использо</w:t>
      </w:r>
      <w:r w:rsidRPr="00722885">
        <w:rPr>
          <w:rFonts w:ascii="Times New Roman" w:hAnsi="Times New Roman"/>
          <w:color w:val="000000" w:themeColor="text1"/>
          <w:sz w:val="16"/>
          <w:szCs w:val="16"/>
        </w:rPr>
        <w:softHyphen/>
        <w:t>вать в небольших сельских электростанциях. Чаромского сняли с должности главного конструктора ОКБ-500, назначив туда В.М. Яковлева. Уже при нем заканчивались работы по дизелям АЧ-31 и АЧ-32, являвшимся развитием АЧ-ЗОБ. Ни один из них не был внедрен в серийное производство. После войны под руководством Яковлева ОКБ-500 спроектировало не</w:t>
      </w:r>
      <w:r w:rsidRPr="00722885">
        <w:rPr>
          <w:rFonts w:ascii="Times New Roman" w:hAnsi="Times New Roman"/>
          <w:color w:val="000000" w:themeColor="text1"/>
          <w:sz w:val="16"/>
          <w:szCs w:val="16"/>
        </w:rPr>
        <w:softHyphen/>
        <w:t xml:space="preserve">сколько мощных дизелей для тяжелых бомбардировщиков. Сперва это был М-52 (начатый в конструкторском бюро завода № 45) мощностью 2400 л.с., затем М-224 мощностью 4400 л.с. Последний являлся копией «квадратного» немецкого дизеля </w:t>
      </w:r>
      <w:r w:rsidRPr="00722885">
        <w:rPr>
          <w:rFonts w:ascii="Times New Roman" w:hAnsi="Times New Roman"/>
          <w:color w:val="000000" w:themeColor="text1"/>
          <w:sz w:val="16"/>
          <w:szCs w:val="16"/>
          <w:vertAlign w:val="superscript"/>
        </w:rPr>
        <w:t>т</w:t>
      </w:r>
      <w:r w:rsidRPr="00722885">
        <w:rPr>
          <w:rFonts w:ascii="Times New Roman" w:hAnsi="Times New Roman"/>
          <w:color w:val="000000" w:themeColor="text1"/>
          <w:sz w:val="16"/>
          <w:szCs w:val="16"/>
        </w:rPr>
        <w:t>штю 224. Над ним работала под общим руководством советских специалистов бригада немцев во главе с конструк</w:t>
      </w:r>
      <w:r w:rsidRPr="00722885">
        <w:rPr>
          <w:rFonts w:ascii="Times New Roman" w:hAnsi="Times New Roman"/>
          <w:color w:val="000000" w:themeColor="text1"/>
          <w:sz w:val="16"/>
          <w:szCs w:val="16"/>
        </w:rPr>
        <w:softHyphen/>
        <w:t>тором Герлахом сначала в Германии, а затем на заводе № 500. Работу над М-224 приостановили в ноябре 1947 г., поскольку Яковлеву удалось дока</w:t>
      </w:r>
      <w:r w:rsidRPr="00722885">
        <w:rPr>
          <w:rFonts w:ascii="Times New Roman" w:hAnsi="Times New Roman"/>
          <w:color w:val="000000" w:themeColor="text1"/>
          <w:sz w:val="16"/>
          <w:szCs w:val="16"/>
        </w:rPr>
        <w:softHyphen/>
        <w:t>зать преимущества своего нового проекта — М-501 мощностью 6000 л.с., огромного 42-цилиндрового дизеля. Он предназначался для стратегическо</w:t>
      </w:r>
      <w:r w:rsidRPr="00722885">
        <w:rPr>
          <w:rFonts w:ascii="Times New Roman" w:hAnsi="Times New Roman"/>
          <w:color w:val="000000" w:themeColor="text1"/>
          <w:sz w:val="16"/>
          <w:szCs w:val="16"/>
        </w:rPr>
        <w:softHyphen/>
        <w:t>го бомбардировщика Туполева — сверхдальнего носителя ядерного ору</w:t>
      </w:r>
      <w:r w:rsidRPr="00722885">
        <w:rPr>
          <w:rFonts w:ascii="Times New Roman" w:hAnsi="Times New Roman"/>
          <w:color w:val="000000" w:themeColor="text1"/>
          <w:sz w:val="16"/>
          <w:szCs w:val="16"/>
        </w:rPr>
        <w:softHyphen/>
        <w:t>жия. Работы над этим двигателем шли до 1953 г., но в серию запустили его судовой вариант — М-501М. ОКБ-500 с 1947 г. занялось ТРД. В ка</w:t>
      </w:r>
      <w:r w:rsidRPr="00722885">
        <w:rPr>
          <w:rFonts w:ascii="Times New Roman" w:hAnsi="Times New Roman"/>
          <w:color w:val="000000" w:themeColor="text1"/>
          <w:sz w:val="16"/>
          <w:szCs w:val="16"/>
        </w:rPr>
        <w:softHyphen/>
        <w:t xml:space="preserve">честве первого задания оно успешно скопировало английский «Дервент», запущенный </w:t>
      </w:r>
      <w:r w:rsidRPr="00722885">
        <w:rPr>
          <w:rFonts w:ascii="Times New Roman" w:hAnsi="Times New Roman"/>
          <w:color w:val="000000" w:themeColor="text1"/>
          <w:sz w:val="16"/>
          <w:szCs w:val="16"/>
        </w:rPr>
        <w:lastRenderedPageBreak/>
        <w:t>в СССР в серию как РД-500. В середине 50-х годов все проектные работы по поршневым авиадвига</w:t>
      </w:r>
      <w:r w:rsidRPr="00722885">
        <w:rPr>
          <w:rFonts w:ascii="Times New Roman" w:hAnsi="Times New Roman"/>
          <w:color w:val="000000" w:themeColor="text1"/>
          <w:sz w:val="16"/>
          <w:szCs w:val="16"/>
        </w:rPr>
        <w:softHyphen/>
        <w:t>телям, в том числе и по дизелям, свернули. Некоторые конструкторы за</w:t>
      </w:r>
      <w:r w:rsidRPr="00722885">
        <w:rPr>
          <w:rFonts w:ascii="Times New Roman" w:hAnsi="Times New Roman"/>
          <w:color w:val="000000" w:themeColor="text1"/>
          <w:sz w:val="16"/>
          <w:szCs w:val="16"/>
        </w:rPr>
        <w:softHyphen/>
        <w:t>нялись ТРД и ТВД, другие перешли к моторам для бронетанковой техни</w:t>
      </w:r>
      <w:r w:rsidRPr="00722885">
        <w:rPr>
          <w:rFonts w:ascii="Times New Roman" w:hAnsi="Times New Roman"/>
          <w:color w:val="000000" w:themeColor="text1"/>
          <w:sz w:val="16"/>
          <w:szCs w:val="16"/>
        </w:rPr>
        <w:softHyphen/>
        <w:t>ки. Чаромский, который после снятия с должности главного конструктора перебрался в ЦИАМ, в 1946-1947 гг. создал там свой последний авиаци</w:t>
      </w:r>
      <w:r w:rsidRPr="00722885">
        <w:rPr>
          <w:rFonts w:ascii="Times New Roman" w:hAnsi="Times New Roman"/>
          <w:color w:val="000000" w:themeColor="text1"/>
          <w:sz w:val="16"/>
          <w:szCs w:val="16"/>
        </w:rPr>
        <w:softHyphen/>
        <w:t>онный дизель М-25. В отличие от всех предыдущих его конструкций он являлся двухтактным, с двумя противоположно движущимися поршнями в каждом из горизонтально расположенных цилиндров. Этот двигатель заинтересовал танкостроителей и стал основой для целого семейства танковых дизелей. Многие элементы конструкции М-25 использовали в двигателе 5ТДФ, стоявшем на широко известном танке Т-64. Интерес к авиационным дизелям в России вновь возрос в начале 90-х годов, когда начали возникать проекты небольших и сравнитель</w:t>
      </w:r>
      <w:r w:rsidRPr="00722885">
        <w:rPr>
          <w:rFonts w:ascii="Times New Roman" w:hAnsi="Times New Roman"/>
          <w:color w:val="000000" w:themeColor="text1"/>
          <w:sz w:val="16"/>
          <w:szCs w:val="16"/>
        </w:rPr>
        <w:softHyphen/>
        <w:t>но недорогих «деловых» самолетов, обладавших, тем не менее, доволь</w:t>
      </w:r>
      <w:r w:rsidRPr="00722885">
        <w:rPr>
          <w:rFonts w:ascii="Times New Roman" w:hAnsi="Times New Roman"/>
          <w:color w:val="000000" w:themeColor="text1"/>
          <w:sz w:val="16"/>
          <w:szCs w:val="16"/>
        </w:rPr>
        <w:softHyphen/>
        <w:t>но значительной продолжительностью полета. В Рыбинске под руковод</w:t>
      </w:r>
      <w:r w:rsidRPr="00722885">
        <w:rPr>
          <w:rFonts w:ascii="Times New Roman" w:hAnsi="Times New Roman"/>
          <w:color w:val="000000" w:themeColor="text1"/>
          <w:sz w:val="16"/>
          <w:szCs w:val="16"/>
        </w:rPr>
        <w:softHyphen/>
        <w:t>ством А.С. Новикова спроектировали трехцилиндровый дизель ДН-200 с противоположно движущимися поршнями. С 1991 г. началась отработка цилиндро-поршневой группы на одноцилиндровом стенде. Появился и ряд других интересных проектов. В частности, в 2000 г. в Воронеже подгото</w:t>
      </w:r>
      <w:r w:rsidRPr="00722885">
        <w:rPr>
          <w:rFonts w:ascii="Times New Roman" w:hAnsi="Times New Roman"/>
          <w:color w:val="000000" w:themeColor="text1"/>
          <w:sz w:val="16"/>
          <w:szCs w:val="16"/>
        </w:rPr>
        <w:softHyphen/>
        <w:t>вили проект 6-цилиндрового оппозитного двигателя ДМ-6. Но до сих пор ни одного авиационного дизеля в России не производится (11852).</w:t>
      </w:r>
    </w:p>
    <w:p w14:paraId="76F03FB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9C90A5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первый тип М-30Б, модернизированный вариант с ПЦН (в ОКБ-500 готовились два варианта — с ПЦН от моторов АМ-38 и М-105)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722885">
        <w:rPr>
          <w:rFonts w:ascii="Times New Roman" w:hAnsi="Times New Roman"/>
          <w:color w:val="000000" w:themeColor="text1"/>
          <w:sz w:val="16"/>
          <w:szCs w:val="16"/>
        </w:rPr>
        <w:softHyphen/>
        <w:t>нетателями Т1-82 и интеркулерами. С августа 1942 г. завод № 500 начал переделку М-30 в М-ЗОБ (переделано 35 экз.), а затем произ</w:t>
      </w:r>
      <w:r w:rsidRPr="00722885">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309FD60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EE2733A" w14:textId="77777777" w:rsidR="001B2C96" w:rsidRPr="00722885" w:rsidRDefault="001B2C96"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июле 1940 г. руководитель конструкторской группы В.П. Глушко, теперь уже находящейся в «шараге» Спецотдела № 4 НКВД на авиазаводе №16 (ОКВ-16), предлагал установить на опытные самолеты «100» (прототип пикирующего бомбарди ровщика Пе-2) и Сталь-7 (прототип дальнего бомбардировщика Ер-2) вспомогательные ЖРД типа ОРМ-62 с тягой по 300 кгс для увеличения скорости полета в решающий момент воздушного боя.</w:t>
      </w:r>
    </w:p>
    <w:p w14:paraId="506B6A1C" w14:textId="77777777" w:rsidR="001B2C96" w:rsidRPr="00722885" w:rsidRDefault="001B2C96"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По мнению автора проекта, благодаря двигателям-ускори телям эти самолеты приобретали ряд тактических преиму ществ: они могли или быстро настичь самолет противника с поршневым двигателем, или, наоборот, быстро оторваться от преследования противника, или выйти из боя в случае необ ходимости. Предполагалось, что время работы такого двига теля-ускорителя может измеряться несколькими минутами.</w:t>
      </w:r>
    </w:p>
    <w:p w14:paraId="43D29FB2" w14:textId="77777777" w:rsidR="001B2C96" w:rsidRPr="00722885" w:rsidRDefault="001B2C96"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Предложение было принято, и В.П. Глушко поручили созда ние ЖРД-ускорителей, а его группу преобразовали в КБ-2 по ЯСРД в составе ОКБ-16 (19586).</w:t>
      </w:r>
    </w:p>
    <w:p w14:paraId="02453C3F" w14:textId="77777777" w:rsidR="001B2C96" w:rsidRPr="00722885" w:rsidRDefault="001B2C96" w:rsidP="00722885">
      <w:pPr>
        <w:pStyle w:val="ae"/>
        <w:shd w:val="clear" w:color="auto" w:fill="FFFFFF"/>
        <w:spacing w:before="0" w:after="0"/>
        <w:jc w:val="both"/>
        <w:rPr>
          <w:color w:val="000000" w:themeColor="text1"/>
          <w:sz w:val="16"/>
          <w:szCs w:val="16"/>
        </w:rPr>
      </w:pPr>
    </w:p>
    <w:p w14:paraId="3524E2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проводились опытные окраски разработанными ВИАМ трудно-воспламеняемыми хлорвиниловыми эмалями стандартных цветов: ДД-118А (серая, для внутренних поверхностей), ХВ-4 (зеленая), ХВ-6 (черная) и ХВ-7 (голубая). ими истребителей Яковлева. С августа велись работы по внедрению этих материалов в промышленности, но и в апреле 1943 г. до окончания работ было далеко - свободных мощностей у лакокрасочных заводов не было. Хлорвиниловые эмали получили широкое распространение только после войны (11989).</w:t>
      </w:r>
    </w:p>
    <w:p w14:paraId="630F498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C8416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на вооружение приняли более тяжелые РС М-20 и М-30. М-20 был разработан в РНИИ. На М-20 БЧ была втрое тяжелее М-13, а общая масса снаряда выросла на 35% и дальность повысилась до 5,5 км. М-30 был разработан ГУВ ГМЧ (А.И.Семенов, А.Г.Мрыкин, Г.А.Копылов, М.Ф.Малов, М.А.Комиссарчик). Ракетная часть от М-13, а БЧ - диаметром 300 мм с 28.9 кг ВВ. Дальность - всего 2.8 км (177,176).</w:t>
      </w:r>
    </w:p>
    <w:p w14:paraId="5255C8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 может быть, чтобы их не пытались приспособить к самолетам, но данных об этом - нет.</w:t>
      </w:r>
    </w:p>
    <w:p w14:paraId="3FE677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Як-6 транспортный был готов на 75-80%, а бомбардировочный - на 20-25% и делали на Заводе 47 под руководством зам. А.С.Я. А.А.Синицына (4657, 16).</w:t>
      </w:r>
    </w:p>
    <w:p w14:paraId="078058C2" w14:textId="77777777" w:rsidR="00AE7191" w:rsidRPr="00722885" w:rsidRDefault="00AE7191" w:rsidP="00722885">
      <w:pPr>
        <w:pStyle w:val="Iauiue"/>
        <w:jc w:val="both"/>
        <w:rPr>
          <w:color w:val="000000" w:themeColor="text1"/>
          <w:sz w:val="16"/>
          <w:szCs w:val="16"/>
        </w:rPr>
      </w:pPr>
    </w:p>
    <w:p w14:paraId="61D9BAE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Проверкой, проведенной специальной комиссией Куйбышевского облисполкома и Обкома ВКП(б), было установлено, что авиамастерские № 272 Народного комиссариата обороны систематически не выполняли программу ремонта самолетов, моторов, аппаратуры и вооружения. Это происходило, главным образом, потому, что мастерские имели совершенно недостаточную производственную площадь для размещения цехов и соблюдения технологии ремонта. В связи с этим в основных ремонтных цехах была большая скученность ремонтируемых машин, аппаратура и вооружение ремонтировались в непригодных помещениях, а моторы самолетов, как ожидающие ремонта, так и отремонтированные, находились под открытым небом. Кроме того, ремонтные цеха авиамастерских № 272 размещались на двух разных территориях, так как значительная часть производственных помещений на основной 6 территории была занята ремонтной мастерской Союззаготтранса, которые использовали ее не полностью. Также из-за совместного размещения авиамастерских с мастерскими Союззаготтранса совершенно не была обеспечена надлежащая охрана боевой материальной части и военного имущества авиамастерских (ГАСО. Ф. Р-2558. Оп. 6. Д. 87. Л. 91.) (11714).</w:t>
      </w:r>
    </w:p>
    <w:p w14:paraId="78E3309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ECCDF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года на базу бывш. завода № 279 из Ленинграда была эвакуирована оставшаяся часть завода № 218 (другая часть завода № 218 была эвакуирована в Казань, на площадку фабрики по производству кинопленки, позднее организованной в самостоятельный завод № 488), в настоящее время находящийся в Ленинграде на Корпусном шоссе, д. 1А.</w:t>
      </w:r>
    </w:p>
    <w:p w14:paraId="54B7B90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218 (ныне завод № 149) по прибытии в Раменсоке занял территорию, ранее занимаемую заводом № 279.</w:t>
      </w:r>
    </w:p>
    <w:p w14:paraId="274310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Основным профилем завода является производство и выпуск аэронавигационных и автопилотажных приборов.</w:t>
      </w:r>
    </w:p>
    <w:p w14:paraId="52E748B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Раменское Московской области, ул. Сафоновская, д. 49</w:t>
      </w:r>
    </w:p>
    <w:p w14:paraId="0DDE0E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Производственный профиль – приборостроение</w:t>
      </w:r>
    </w:p>
    <w:p w14:paraId="1AE85C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Площадка завода расположена в г. Раменское в 46 км от Москвы, в 2-х км от его центра, в 1,5 км от ж/д ст. Раменское. Завод находится на восточной окраине города.</w:t>
      </w:r>
    </w:p>
    <w:p w14:paraId="5F344D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До 1944 года завод, наряду с выпуском авиационных приборов, выпускал пирометрические и электроизмерительные приборы, производство которых решением Правительства от 13 марта 1943 года и 16 января 1944 года передано на заводы: первое заводу № 218, а второе заводу № 295 с 1946 года (9505).</w:t>
      </w:r>
    </w:p>
    <w:p w14:paraId="74813552" w14:textId="77777777" w:rsidR="00AE7191" w:rsidRPr="00722885" w:rsidRDefault="00AE7191" w:rsidP="00722885">
      <w:pPr>
        <w:pStyle w:val="Iauiue"/>
        <w:jc w:val="both"/>
        <w:rPr>
          <w:color w:val="000000" w:themeColor="text1"/>
          <w:sz w:val="16"/>
          <w:szCs w:val="16"/>
        </w:rPr>
      </w:pPr>
    </w:p>
    <w:p w14:paraId="1BE78E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 программа государственных испытаний станции Гнейс-2 на Пе-2, которая проводилась в НИИ ВВС в Свердловске с чнваря 1942, была выполнена. Основные результаты оказались, по тем временам, неплохими:</w:t>
      </w:r>
    </w:p>
    <w:p w14:paraId="1D58DD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дальность обнаружения самолета-бомбардировщика 3500 м;</w:t>
      </w:r>
    </w:p>
    <w:p w14:paraId="753A78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точность выхода на цель 5 °;</w:t>
      </w:r>
    </w:p>
    <w:p w14:paraId="5F3EBC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минимальная высота полета при поиске противника 2000 м.</w:t>
      </w:r>
    </w:p>
    <w:p w14:paraId="04D2333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Итоги испытаний были признаны успешными, хотя РЛС и нуждалась в совершенствовании: из 25 выполненных полетов в 5 случаях аппаратура “Гнейс-2” отказывала. Авиация ПВО нуждалась в новой технике (а в 1943 г. в число заказчиков вошли и ВВС ВМФ), и еще до конца испытаний институт начал изготовление 15 предсерийных комплектов станции, которыми были оборудованы самолеты Пе-2 и Пе-3 (4476).</w:t>
      </w:r>
    </w:p>
    <w:p w14:paraId="0F03D871" w14:textId="77777777" w:rsidR="00AE7191" w:rsidRPr="00722885" w:rsidRDefault="00AE7191" w:rsidP="00722885">
      <w:pPr>
        <w:pStyle w:val="Iauiue"/>
        <w:jc w:val="both"/>
        <w:rPr>
          <w:color w:val="000000" w:themeColor="text1"/>
          <w:sz w:val="16"/>
          <w:szCs w:val="16"/>
        </w:rPr>
      </w:pPr>
    </w:p>
    <w:p w14:paraId="21932C8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станция «Гнейс-2» успешно прошла государственные испытания на Пе-2, которые показали следующие результаты:</w:t>
      </w:r>
    </w:p>
    <w:p w14:paraId="261F5F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дальность обнаружения самолета-бомбардировщика 3500 м;</w:t>
      </w:r>
    </w:p>
    <w:p w14:paraId="1CA651A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точность наведения по угловым координатам ±5°.</w:t>
      </w:r>
    </w:p>
    <w:p w14:paraId="339668E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ожидая окончания полигонных испытаний изготовили серию в 15 комплектов этих станций для оборудования ими самолетов Пе-2 и Пе-3. Первое боевое применение эти самолеты прошли в конце 1942 г. под Москвой, затем небольшая группа их была направлена под Сталинград для перехвата немецких самолетов, снабжавших окруженную армию Паулюса (11026).</w:t>
      </w:r>
    </w:p>
    <w:p w14:paraId="2C43307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8A7618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другая часть завода № 218 эвакуирована на территорию завода № 279 НКАП (г. Раменское), который в 1941 г. уже был эвакуирован в Ижевск. В Раменском завод влит в состав вновь образованного завода № 149 НКАП (10776).</w:t>
      </w:r>
    </w:p>
    <w:p w14:paraId="3855748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16321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мощности Уральского завода по производству алюминия были увеличены в два раза. Осенью 1941 года началась эвакуация Волховского алюминиевого и Тихвинского глинозёмного заводов - оборудование предприятий было демонтировано, разделено и отправлено в Свердловск и Каменск-Уральский. Часть техники была доставлена на строительную площадку Богословского завода. Туда же впоследствии привезли установки Днепровского алюминиевого завода, который тоже подвергся срочной эвакуации в 41-м году. Остальную часть оборудования принял Уральский завод - там же разместили днепровскую технику, которая легла в основу второй производственной линии уральского гиганта (12249).</w:t>
      </w:r>
    </w:p>
    <w:p w14:paraId="12F6CAC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0CF22B2"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июле 1942 года по заданию Наркомата минометного вооружения и исходным данным, представленным из Артиллерийского управления ВМФ, была разработана боевая 16-зарядная установка М-13-М, смонтированная на морском бронекатере для пуска снарядов М-13. Она предназначалась для тех же целей, что и установки М-13-МI и М-13-МII.</w:t>
      </w:r>
    </w:p>
    <w:p w14:paraId="4572C2AE"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Метательная установка установки М-13-М состояла из качающейся части, поворотного устройства, механизмов горизонтального и вертикального наведения, системы прицеливания и электрооборудования. Качающаяся часть – направляющие и ферма – унифицирована с качающейся частью установки М-13, метательная установка которой монтировалась на доработанном шасси трактора СТЗ-5.</w:t>
      </w:r>
    </w:p>
    <w:p w14:paraId="5EA37A01"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Поворотное устройство было выполнено в виде шарового погона. Нижняя часть погона непосредственно крепилась к палубе бронекатера, а верхняя (вращающаяся) часть состояла из опоры с осью для качающейся части, стойки для крепления качающейся части на походе, приводов механизмов горизонтального и вертикального наведения, прицельного устройства, сиденья для стреляющего и наводчика, крепления аккумуляторных батарей и переключателя типа ПУО. Впервые был применен перископический прицел ПТК, связанный кинематической связью с осью качающейся части.</w:t>
      </w:r>
    </w:p>
    <w:p w14:paraId="408C6EAD"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Установка М-13-М являлась основным вариантом боевой установки на бронекатере. Для вооружения кораблей Военно-морского флота была изготовлена серия установок М-13-М, которые применялись в Сталинградской битве. После модернизации установки использовались в боевых операциях 1943-1944 годов на Черноморском флоте, Азовской, Днепровской и Дунайской флотилиях (15982).</w:t>
      </w:r>
    </w:p>
    <w:p w14:paraId="667EB56B"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p>
    <w:p w14:paraId="2602AA28"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июле 1942 г. в Военный совет ЧФ (ВСЧФ), в Поти, прибыл флагманский артиллерист Новороссийской ВМБ капитан-лейтенант Г.В.Терновский с идеей вооружить торпедные катера (ТК) типа Г-5 и катера малые охотники (МО-2) ракетно-пусковыми установками (РПУ) для снарядов РС 82. Идею поддержал член ВСЧФ дивизионный комиссар Н.М.Кулаков.</w:t>
      </w:r>
    </w:p>
    <w:p w14:paraId="4F4683AB"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Для реализации идеи требовалось: разработать конструкцию РПУ и выполнить ее рабочие чертежи, по которым на заводе изготовить РПУ, смонтировать ее на ТК, а затем испытать ее в море стрельбой по плавающим мишеням.</w:t>
      </w:r>
    </w:p>
    <w:p w14:paraId="5F36075E"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Специалисты Артиллерийского отдела ЧФ (АОЧФ) отказались разрабатывать идею.</w:t>
      </w:r>
    </w:p>
    <w:p w14:paraId="36C58F98"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Техническом отделе ЧФ идею поддержали начальник ТОЧФ, капитан 1 ранга И.С.Стеценко и я - начальник КБ, инженер-конструктор, воентехник 2 ранга Ю.Д.Первицкий.</w:t>
      </w:r>
    </w:p>
    <w:p w14:paraId="54228A04"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Работа начиналась с обстоятельного обсуждения с Г.В.Терновским тактико-технических условий и требований, предъявляемых к ракетно-пусковым установкам (РПУ) для катеров.</w:t>
      </w:r>
    </w:p>
    <w:p w14:paraId="4C15A673"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Ракетно-пусковая установка располагалась перед рубкой катера. Такое  решение было вынужденным, т.к. вся кормовая часть ТК занята двумя торпедными аппаратами с торпедами, крупнокалиберными пулеметами ДШК и другим оборудованием. Это исключало возможность стрельбы РС 82 при движении ТК вперед, из-за опасности попадания в рубку «хвоста» выхлопных газов РС 82. Перед стрельбой направляющие для РС 82 («стволы») устанавливались под углом 30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45</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60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xml:space="preserve"> или 90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xml:space="preserve"> относительно оси катера, чтобы выхлопы РС 82 направлялись за правый или левый борт ТК. При выходе катера на позицию в точку для стрельбы, командир ТК давал команду мотористу «стоп», «малый назад», (чтобы катер слушался руля), затем осуществлялась наводка направляющих РПУ на цель требуемым расположением катера в зависимости от углов 30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45</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60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xml:space="preserve"> или 90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и производился пристрелочный пуск первого РС 82, а после корректировки угла места направляющих (из рубки) давался залп, или очередь, РС 82 для поражения цели. Затем - «полный вперед»!</w:t>
      </w:r>
    </w:p>
    <w:p w14:paraId="759F724D"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Безопасность стрельбы для команды ТК обеспечивалась автоматической электроблокировкой пускового устройства (ПУ) и положения машинного телеграфа. При нажиме на кнопку «Пуск» выстрел мог осуществляться только при положении машинного телеграфа - «малый назад» или «назад». Только командир катера, непосредственно перед стрельбой, мог включать пусковое устройство специальным ключом КПУ, как у автомобиля. </w:t>
      </w:r>
    </w:p>
    <w:p w14:paraId="00F0DCBA"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Для обеспечения достаточно высокой точности поражения цели я разработал конструкцию ртутного автоматического устройства (РАУ), обеспечивающего пуск РС 82 только в момент, когда качающийся на волнах катер имеет крен и дифферент близкие к нулю. </w:t>
      </w:r>
    </w:p>
    <w:p w14:paraId="33507CA6"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Конструкция РАУ, последовательно включенного в электроцепь зажигания запала для РС 82, состояла из двух стеклянных V-образных трубок, заполненных ртутью и расположенных в вертикальных плоскостях крена и дифферента, т.е. под углом 90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В четыре пробирки трубок ввинчены регулируемые контакты. При нажатии кнопки «Пуск» электроцепь запала для РС 82 автоматически замыкалась только при крене и дифференте катера близких к нулю, т.е. в момент, когда все четыре контакта касаются ртути.</w:t>
      </w:r>
    </w:p>
    <w:p w14:paraId="31CAC52C"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После этого разработали Тактико-технические задания (ТТЗ) на опытно-конструкторскую разработку шестиснарядных РПУ-6 для ТК и для МО-2, доложили в ВСЧФ дивизионному комиссару Н.М.Кулакову и получили «добро».</w:t>
      </w:r>
    </w:p>
    <w:p w14:paraId="4AFAF84C"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соответствии с ТТЗ была разработана конструкция шестиснарядной РПУ-6 для ТК типа Г-5. Она монтировалась на палубе перед рубкой катера. На круглой станине устанавливалось опорное кольцо, к которому шарнирно крепилась рама с шесттью направляющими для РС 82. На каждой трубе с направляющими закреплялся пиропистолет с герменическим замком, защищающим электроконтакты и пиропатрон запала РС 82 от попадания морской воды и коррозии. Над четырьмя и под дву3мя направляющими, для надежности и безопасности закрепления РС 82 в походном положении, предусмотрены две рамки с соединительной планкой и пружинным устройством, которое фиксировало РС 82 в исходном положении и придерживало его «на старте» в начальный момент пуска. При зарядке РПУ-6, при повернутом на 80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xml:space="preserve"> пиропистолете, снаряд РС 82 вводился в направляющие и фиксировался на них в исходном положении пружинной защелкой. Затем пиропистолет с новым пиропатроном -запалом для РС 82 закреплялся на своем месте защелкой и герметизирующим гаечным замком. Направляющие с опорным кольцом могли поворачиваться зубчатым механизмом и фиксироваться стопором на станине под углами: 30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45</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60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xml:space="preserve"> и 90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xml:space="preserve"> к продольной оси катера механиком из моторного отделения. Угол места направляющих устанавливался и после пристрелки корректировался посредством специального механизма, путем вращения маховичка со шкалой из рубки ТК.</w:t>
      </w:r>
    </w:p>
    <w:p w14:paraId="19144C7F"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При наводке на цель определялась дистанция до цели, а затем по баллистической таблице для стрельбы РС 82 определялась величина угла места. Наводка на цель по курсовому углу осуществлялась по визиру для торпедной стрельбы. Курсовой угол определялся посредством специальных таблиц с учетом угла установки направляющих (30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45</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60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xml:space="preserve"> или 90</w:t>
      </w:r>
      <w:r w:rsidRPr="00722885">
        <w:rPr>
          <w:rFonts w:ascii="Times New Roman" w:eastAsia="Times New Roman" w:hAnsi="Times New Roman"/>
          <w:color w:val="000000" w:themeColor="text1"/>
          <w:sz w:val="16"/>
          <w:szCs w:val="16"/>
          <w:vertAlign w:val="superscript"/>
        </w:rPr>
        <w:t>0</w:t>
      </w:r>
      <w:r w:rsidRPr="00722885">
        <w:rPr>
          <w:rFonts w:ascii="Times New Roman" w:eastAsia="Times New Roman" w:hAnsi="Times New Roman"/>
          <w:color w:val="000000" w:themeColor="text1"/>
          <w:sz w:val="16"/>
          <w:szCs w:val="16"/>
        </w:rPr>
        <w:t>), курсов и скоростей цели и катера.</w:t>
      </w:r>
    </w:p>
    <w:p w14:paraId="3AC76DDE"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После установки требуемого угла места, и в походном состоянии, для устранения люфтов (и ударов) в винтовой паре и шарнирах механизма предусмотрено люфтовыбирающее устройство, состоящее из пружины-амортизатора, троса и винтового механизма, посредством которого из моторного отделения ТК трос натягивался.</w:t>
      </w:r>
    </w:p>
    <w:p w14:paraId="0FCEAD4D"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Выстрел происходил при нажатой кнопке «Пуск» на пульте управления только тогда, когда крен и дифферент качающегося катера оказывались близкими к нулю, т.е. в момент когда автоматическое устройство (РАУ) замыкало цепь запала РС 82. При этом пусковое устройство (ПУ) должно быть включено в цепь питания ключом (КПУ), а машинный телеграф (МТ) катера находиться в положении «малый назад» или «назад». </w:t>
      </w:r>
    </w:p>
    <w:p w14:paraId="06DB19AD"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соответствии со вторым ТТЗ была разработана конструкция РПУ-6 для катера-охотника типа МО-2, которая навешивалась и закреплялась на откатнике 45-мм пушки, имеющейся на катере. Справа и слева от ствола пушки располагалось по три направляющих для РС 82. Конструкция остальных узлов такая же как и у РПУ-6 для ТК. Однако, наводка на цель осуществлялась так, как при стрельбе из пушки, но в момент выстрела наводчик должен обязательно находиться сбоку от ствола, во избежание ожогов. Выстрел осуществлялся после нажатия кнопки «Пуск» на пульте, посредством РАУ (15985).</w:t>
      </w:r>
    </w:p>
    <w:p w14:paraId="1E74A5E4" w14:textId="77777777" w:rsidR="00627011" w:rsidRPr="00722885" w:rsidRDefault="00627011" w:rsidP="00722885">
      <w:pPr>
        <w:spacing w:after="0" w:line="240" w:lineRule="auto"/>
        <w:jc w:val="both"/>
        <w:rPr>
          <w:rFonts w:ascii="Times New Roman" w:eastAsia="Times New Roman" w:hAnsi="Times New Roman"/>
          <w:color w:val="000000" w:themeColor="text1"/>
          <w:sz w:val="16"/>
          <w:szCs w:val="16"/>
        </w:rPr>
      </w:pPr>
    </w:p>
    <w:p w14:paraId="7C0CDD76"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был создан первый из серии с</w:t>
      </w:r>
      <w:hyperlink r:id="rId45"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 для запуска  100-мм реактивных противо</w:t>
      </w:r>
      <w:hyperlink r:id="rId46"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мин МП-10 - открытый двухзарядный станок МП-10. Он состоял из рамы, на которой сверху были закреплены две направляющие в виде открытого лотка, а снизу два ходовых колеса малого диаметра  и тяговое устройство (дышло) для передвижения с</w:t>
      </w:r>
      <w:hyperlink r:id="rId47"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при смене позиций. С боку с</w:t>
      </w:r>
      <w:hyperlink r:id="rId48"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на кронштейне имелось прицельное приспособление в виде мушки и рамки с пусковым механизмом.</w:t>
      </w:r>
    </w:p>
    <w:p w14:paraId="1498FC91"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1942г. СКБ московского завода №733 “Компрессор“ был создан  опытный 2-х ствольный станок для пуска реактивной противо</w:t>
      </w:r>
      <w:hyperlink r:id="rId49"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овой мины МП-10. Станок разрабатывался по заданию ГУВ ГМЧ КА, ТЗ-00149  и предназначался для поражения </w:t>
      </w:r>
      <w:hyperlink r:id="rId50"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 и бронемашин противника.  Заводское название: переносной двуствольный противо</w:t>
      </w:r>
      <w:hyperlink r:id="rId51"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овый реактивный миномет (ПДПРМ).</w:t>
      </w:r>
    </w:p>
    <w:p w14:paraId="4C1E1487"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Боевой станок (пусковая установка)для МП-10 представлял собой направляющие в виде двух тонкостенных гладких стальных труб, в которые сзади вставлялись мины МП-10. Снизу к направляющим крепились: спусковой механизм с рычагом и шепталом механического действия  с  двойным спусковым крючком, , передний суппорт и задний  упор  удерживающие мину от выпадения,  трубчатая рукоять для наведения, передняя трубчатая сошка. Прицельные приспособления  представляли собой  простые открытые  мушку и рамку приваренные к стволу с левой стороны.</w:t>
      </w:r>
    </w:p>
    <w:p w14:paraId="39064E51"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Пуск мины производился нажатием на спусковой крючок, при этом механизм выдергивал из мины запал мгновенного действия.</w:t>
      </w:r>
    </w:p>
    <w:p w14:paraId="41F75A02"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Прицеливание и пуск мины производился из лежачего положения. При пуске стрелок надевал на голову специальный защитный шлем.</w:t>
      </w:r>
    </w:p>
    <w:p w14:paraId="4944DDBC"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Станок был испытан на артиллерийском полигоне ГАУ и был принят на вооружение РККА  (В индексах вооружения ГАУ  значился как:  52-У-931 - 2-зарядный станок серт. ТЗ-00149 для пуска 100-мм противо</w:t>
      </w:r>
      <w:hyperlink r:id="rId52"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мин 52-У-941Б.  журнал № 0018, 1942 г)  Заводом “Компрессор”  была изготовлена опытная серия.</w:t>
      </w:r>
    </w:p>
    <w:p w14:paraId="71FB5B6C"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была создана одноствольная версия с</w:t>
      </w:r>
      <w:hyperlink r:id="rId53"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для пуска реактивной противо</w:t>
      </w:r>
      <w:hyperlink r:id="rId54"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овой мины МП-10. Конструкция была полностью аналогична двуствольному образцу.</w:t>
      </w:r>
    </w:p>
    <w:p w14:paraId="52EF2E2D"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ТТХ данных РПГ и характеристик противо</w:t>
      </w:r>
      <w:hyperlink r:id="rId55"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овой реактивной мины МП-10 и результатов испытаний не обнаружено…(15596).</w:t>
      </w:r>
    </w:p>
    <w:p w14:paraId="3CCB5C93" w14:textId="77777777" w:rsidR="00627011" w:rsidRPr="00722885" w:rsidRDefault="00627011" w:rsidP="00722885">
      <w:pPr>
        <w:spacing w:after="0" w:line="240" w:lineRule="auto"/>
        <w:jc w:val="both"/>
        <w:rPr>
          <w:rFonts w:ascii="Times New Roman" w:hAnsi="Times New Roman"/>
          <w:color w:val="000000" w:themeColor="text1"/>
          <w:sz w:val="16"/>
          <w:szCs w:val="16"/>
        </w:rPr>
      </w:pPr>
    </w:p>
    <w:p w14:paraId="43A34B82" w14:textId="77777777" w:rsidR="004D6E34" w:rsidRPr="00722885" w:rsidRDefault="004D6E34" w:rsidP="00722885">
      <w:pPr>
        <w:pStyle w:val="ae"/>
        <w:shd w:val="clear" w:color="auto" w:fill="FFFFFF"/>
        <w:spacing w:before="0" w:after="0"/>
        <w:jc w:val="both"/>
        <w:textAlignment w:val="baseline"/>
        <w:rPr>
          <w:color w:val="0070C0"/>
          <w:sz w:val="16"/>
          <w:szCs w:val="16"/>
        </w:rPr>
      </w:pPr>
      <w:r w:rsidRPr="00722885">
        <w:rPr>
          <w:color w:val="0070C0"/>
          <w:sz w:val="16"/>
          <w:szCs w:val="16"/>
        </w:rPr>
        <w:lastRenderedPageBreak/>
        <w:t>В июле 1942 года инженер-подполковник Владимир Иванович Александров выдвинул идею создания установки для пуска снарядов калибра 132 мм с использованием более коротких направляющих, чем у штатного варианта. В своих рассуждениях он основывался на опыте работ в этом направлении, которые проводились в НИИ-3 в 1934-1935 годах, а также на анализе конструкции немецких пусковых установок. Уменьшение длины направляющих, как утверждал Александров, может дать много преимуществ: повысит скорость производства установок и их огневую мощь, позволит использовать шасси меньшей грузоподъёмности и т. п. Однако инженер не учёл тот факт, что с уменьшением направляющих увеличится рассеивание.</w:t>
      </w:r>
    </w:p>
    <w:p w14:paraId="6A9497A9" w14:textId="77777777" w:rsidR="004D6E34" w:rsidRPr="00722885" w:rsidRDefault="004D6E34" w:rsidP="00722885">
      <w:pPr>
        <w:pStyle w:val="ae"/>
        <w:shd w:val="clear" w:color="auto" w:fill="FFFFFF"/>
        <w:spacing w:before="0" w:after="0"/>
        <w:jc w:val="both"/>
        <w:textAlignment w:val="baseline"/>
        <w:rPr>
          <w:color w:val="0070C0"/>
          <w:sz w:val="16"/>
          <w:szCs w:val="16"/>
        </w:rPr>
      </w:pPr>
      <w:r w:rsidRPr="00722885">
        <w:rPr>
          <w:color w:val="0070C0"/>
          <w:sz w:val="16"/>
          <w:szCs w:val="16"/>
        </w:rPr>
        <w:t>Проектирование КАРС-1 (Короткой артиллерийской ракетной системы №1) вели сотрудники Специального конструкторского бюро №2 (СКБ-2) завода имени Кирова в Ленинграде. Установка представляла собой бронированный контейнер с открывающейся передней крышкой, внутри которого были установлены два снаряда. На танке КВ монтировались четыре таких контейнера, и он мог залпом или последовательно осуществить по ходу своего движения пуск восьми снарядов М-13.</w:t>
      </w:r>
    </w:p>
    <w:p w14:paraId="618B1BA3" w14:textId="77777777" w:rsidR="004D6E34" w:rsidRPr="00722885" w:rsidRDefault="004D6E34" w:rsidP="00722885">
      <w:pPr>
        <w:pStyle w:val="ae"/>
        <w:shd w:val="clear" w:color="auto" w:fill="FFFFFF"/>
        <w:spacing w:before="0" w:after="0"/>
        <w:jc w:val="both"/>
        <w:textAlignment w:val="baseline"/>
        <w:rPr>
          <w:color w:val="0070C0"/>
          <w:sz w:val="16"/>
          <w:szCs w:val="16"/>
        </w:rPr>
      </w:pPr>
      <w:r w:rsidRPr="00722885">
        <w:rPr>
          <w:color w:val="0070C0"/>
          <w:sz w:val="16"/>
          <w:szCs w:val="16"/>
        </w:rPr>
        <w:t>Испытания с опытным образцом танка КВ-1К с различной длиной направляющих (2000, 1200, 1250 и 2400 мм), проведённые в августе и октябре 1942 года на Чебаркульском полигоне стрелкового вооружения РККА, показали удовлетворительные результаты. Было установлено, что </w:t>
      </w:r>
      <w:r w:rsidRPr="00722885">
        <w:rPr>
          <w:color w:val="0070C0"/>
          <w:sz w:val="16"/>
          <w:szCs w:val="16"/>
          <w:bdr w:val="none" w:sz="0" w:space="0" w:color="auto" w:frame="1"/>
        </w:rPr>
        <w:t>«полученные данные по кучности и дальности почти не отличаются от табличных данных»</w:t>
      </w:r>
      <w:r w:rsidRPr="00722885">
        <w:rPr>
          <w:color w:val="0070C0"/>
          <w:sz w:val="16"/>
          <w:szCs w:val="16"/>
        </w:rPr>
        <w:t> для направляющих длиной 5000 мм. КАРС-1 была одобрена Главным управлением вооружения Гвардейских миномётных частей (ГУВ ГМЧ) РККА, которое рекомендовало принять её на вооружения танков КВ, но в связи с прекращением их производства установка не нашла применения (19941).</w:t>
      </w:r>
    </w:p>
    <w:p w14:paraId="30B035F9" w14:textId="77777777" w:rsidR="004D6E34" w:rsidRPr="00722885" w:rsidRDefault="004D6E34" w:rsidP="00722885">
      <w:pPr>
        <w:pStyle w:val="ae"/>
        <w:shd w:val="clear" w:color="auto" w:fill="FFFFFF"/>
        <w:spacing w:before="0" w:after="0"/>
        <w:jc w:val="both"/>
        <w:textAlignment w:val="baseline"/>
        <w:rPr>
          <w:color w:val="0070C0"/>
          <w:sz w:val="16"/>
          <w:szCs w:val="16"/>
        </w:rPr>
      </w:pPr>
    </w:p>
    <w:p w14:paraId="60AB404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4CDCB92" w14:textId="77777777" w:rsidR="00AE7191" w:rsidRPr="00722885" w:rsidRDefault="00AE7191" w:rsidP="00722885">
      <w:pPr>
        <w:pStyle w:val="Iauiue"/>
        <w:jc w:val="both"/>
        <w:rPr>
          <w:iCs/>
          <w:color w:val="000000" w:themeColor="text1"/>
          <w:sz w:val="16"/>
          <w:szCs w:val="16"/>
        </w:rPr>
      </w:pPr>
    </w:p>
    <w:p w14:paraId="06076979" w14:textId="77777777" w:rsidR="007240D5" w:rsidRPr="00722885" w:rsidRDefault="007240D5"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июле 1942 г., Наркомат воо</w:t>
      </w:r>
      <w:r w:rsidRPr="00722885">
        <w:rPr>
          <w:rFonts w:ascii="Times New Roman" w:cs="Times New Roman"/>
          <w:color w:val="000000" w:themeColor="text1"/>
          <w:spacing w:val="0"/>
          <w:sz w:val="16"/>
          <w:szCs w:val="16"/>
        </w:rPr>
        <w:softHyphen/>
        <w:t>ружения провел большую техническую конфе</w:t>
      </w:r>
      <w:r w:rsidRPr="00722885">
        <w:rPr>
          <w:rFonts w:ascii="Times New Roman" w:cs="Times New Roman"/>
          <w:color w:val="000000" w:themeColor="text1"/>
          <w:spacing w:val="0"/>
          <w:sz w:val="16"/>
          <w:szCs w:val="16"/>
        </w:rPr>
        <w:softHyphen/>
        <w:t>ренцию, посвященную внедрению поточных линий, высокопроизводительных технологий, доработке образцов с целью сокращения вре</w:t>
      </w:r>
      <w:r w:rsidRPr="00722885">
        <w:rPr>
          <w:rFonts w:ascii="Times New Roman" w:cs="Times New Roman"/>
          <w:color w:val="000000" w:themeColor="text1"/>
          <w:spacing w:val="0"/>
          <w:sz w:val="16"/>
          <w:szCs w:val="16"/>
        </w:rPr>
        <w:softHyphen/>
        <w:t>мени их производства.</w:t>
      </w:r>
    </w:p>
    <w:p w14:paraId="6565FABB" w14:textId="77777777" w:rsidR="007240D5" w:rsidRPr="00722885" w:rsidRDefault="007240D5" w:rsidP="00722885">
      <w:pPr>
        <w:pStyle w:val="36"/>
        <w:shd w:val="clear" w:color="auto" w:fill="auto"/>
        <w:spacing w:after="0" w:line="240" w:lineRule="auto"/>
        <w:jc w:val="both"/>
        <w:rPr>
          <w:rFonts w:ascii="Times New Roman" w:cs="Times New Roman"/>
          <w:color w:val="000000" w:themeColor="text1"/>
          <w:spacing w:val="0"/>
          <w:sz w:val="16"/>
          <w:szCs w:val="16"/>
        </w:rPr>
      </w:pPr>
    </w:p>
    <w:p w14:paraId="1450C57B" w14:textId="77777777" w:rsidR="004C71FA" w:rsidRPr="00722885" w:rsidRDefault="004C71F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сразу по прибытии из Томска, заключенные конструкторы ОТБ-172 были разделены. Группа заключённых (среди них С.И.Лодкин, Л.Л.Битнер, Г.М.Райцин, Д.М.Рыбкин, B.C.Мамашин) была отправлена в г. Молотовск (с 1957 г. Северодвинск), где были включены в состав 20-го отдела при Архангельском судостроительном заводе № 402 (18664).</w:t>
      </w:r>
    </w:p>
    <w:p w14:paraId="79B4C896" w14:textId="77777777" w:rsidR="004C71FA" w:rsidRPr="00722885" w:rsidRDefault="004C71FA" w:rsidP="00722885">
      <w:pPr>
        <w:spacing w:after="0" w:line="240" w:lineRule="auto"/>
        <w:jc w:val="both"/>
        <w:rPr>
          <w:rFonts w:ascii="Times New Roman" w:hAnsi="Times New Roman"/>
          <w:color w:val="000000" w:themeColor="text1"/>
          <w:sz w:val="16"/>
          <w:szCs w:val="16"/>
        </w:rPr>
      </w:pPr>
    </w:p>
    <w:p w14:paraId="27801895"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Июль 1942 г. НИИ-48:</w:t>
      </w:r>
    </w:p>
    <w:p w14:paraId="783BC9CB"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Из отчета «Поражение брони немецких танков»</w:t>
      </w:r>
    </w:p>
    <w:p w14:paraId="28B95D65"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«Ввиду отсутствия в настоящее время необходимого количества каморных бронебойных снарядов в артиллерийских подразделениях распространена стрельба по немецким танкам из 76,2-мм дивизионных пушек снарядами других типов…</w:t>
      </w:r>
    </w:p>
    <w:p w14:paraId="6A40ADDA"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1. Бронебойные сплошные снаряды. Пробивают броню немецких танков с любого направления. Имеют недостаточное заброневое действие. Приводят к пожару и поражению танков только при попадании в мотор, бензобаки или боеприпасы…</w:t>
      </w:r>
    </w:p>
    <w:p w14:paraId="4E5A6CF2"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2. Осколочно-фугасная стальная граната. Может использоваться при стрельбе по легким (в ряде случаев и средним) танкам при их облическом движении по бортам, или в подбашенное кольцо, что приводит к разрушению бортовых листов, или срыву их с креплений, а также заклиниванию башни и порче механизмов башни в том числе оптических прицелов и приборов наблюдения… В ряде случаев наблюдалось прекращение способности вращения башни, а в случае ведения огня гаубицами — и срыве башни легкого танка с креплений…</w:t>
      </w:r>
    </w:p>
    <w:p w14:paraId="7E125734"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3. Шрапнель по прежнему является одним из основных бронебойных снарядов, так как на дистанции стрельбы до 300 метров способна пробить до 35 мм брони, что позволяет ее успешно применять против легких танков, а на ближней дистанции (до 200 м) и против бортовой брони средних танков…</w:t>
      </w:r>
    </w:p>
    <w:p w14:paraId="20A8572F"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4. Зажигательный снаряд недостаточно эффективен, но в ряде случаев может использоваться при ведении огня прямой наводкой… Желательно вести огонь зажигательным снарядом по одиночному танку сосредоточенным огнем батареи.</w:t>
      </w:r>
    </w:p>
    <w:p w14:paraId="75257220"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5. Фугасная стальная граната наиболее эффективна в случае ведения огня по бортам танка при его облическом движении…</w:t>
      </w:r>
    </w:p>
    <w:p w14:paraId="38981D7A"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6. Осколочная граната сталистого чугуна может использоваться только при ведении стрельбы по башне танка „на ослепление“…</w:t>
      </w:r>
    </w:p>
    <w:p w14:paraId="3EAFA1DE"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Ни один из рассмотренных типов снарядов не может в полной мере заменить каморные бронебойные снаряды, так как не обладает для этого необходимым бронепробиванием (до 60 мм брони) и заброневым действием газами разрыва и осколками…</w:t>
      </w:r>
    </w:p>
    <w:p w14:paraId="72E1A5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 Терсков, Бабенко) (22.07.1942»</w:t>
      </w:r>
      <w:hyperlink r:id="rId56" w:anchor="n_100" w:history="1">
        <w:r w:rsidRPr="00722885">
          <w:rPr>
            <w:rStyle w:val="a5"/>
            <w:rFonts w:ascii="Times New Roman" w:hAnsi="Times New Roman"/>
            <w:color w:val="000000" w:themeColor="text1"/>
            <w:sz w:val="16"/>
            <w:szCs w:val="16"/>
          </w:rPr>
          <w:t>[100]</w:t>
        </w:r>
      </w:hyperlink>
      <w:r w:rsidRPr="00722885">
        <w:rPr>
          <w:rFonts w:ascii="Times New Roman" w:hAnsi="Times New Roman"/>
          <w:color w:val="000000" w:themeColor="text1"/>
          <w:sz w:val="16"/>
          <w:szCs w:val="16"/>
        </w:rPr>
        <w:t xml:space="preserve">.) </w:t>
      </w:r>
    </w:p>
    <w:p w14:paraId="559AEA9F"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Как видно из этого документа, «снарядный голод» в отношении бронебойных снарядов не был полностью ликвидирован даже в сорок втором году — появившийся тогда БР-350БСП (тот самый «бронебойный сплошной» из п.1) отчасти снял остроту проблемы, но не решил ее окончательно. В сорок первом же немецкие панцеры в большинстве случае приходилось останавливать именно шрапнелью «на удар». Или осколочно-фугасными. Теми, что были. Теми, что успели запасти, теми, чье массовое производство успели развернуть и отладить в мирное время, потому что в сжатые сроки освоить массовый выпуск современных бронебойных снарядов с приварной головкой отечественная промышленность не смогла. Заметим, что немцы таких проблем не испытывали, сумев не только быстро развернуть массовый выпуск снарядов нового типа, но и переделать до уровня PzGr 39 старые запасы (12624).</w:t>
      </w:r>
    </w:p>
    <w:p w14:paraId="3327C255" w14:textId="77777777" w:rsidR="00AE7191" w:rsidRPr="00722885" w:rsidRDefault="00AE7191" w:rsidP="00722885">
      <w:pPr>
        <w:pStyle w:val="ae"/>
        <w:spacing w:before="0" w:after="0"/>
        <w:jc w:val="both"/>
        <w:rPr>
          <w:color w:val="000000" w:themeColor="text1"/>
          <w:sz w:val="16"/>
          <w:szCs w:val="16"/>
        </w:rPr>
      </w:pPr>
    </w:p>
    <w:p w14:paraId="175718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в Баку был создан Завод № 160 НКБ. Производство: снаряды для гвардейских минометов (11982).</w:t>
      </w:r>
    </w:p>
    <w:p w14:paraId="034B877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3984C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Завод «Красный Аксай», основанный в 1891, и который, вероятно, был реэвакурован в Ростов-на-Дону, действовал в Ростове-на- Дону в ведении Главсельмаша НКМВ (в 02.1942 г. завод планировалось передать в 1ГУ НКМВ под № 713) (Механический медно-чугунолитейный завод, Завод «Красный Аксай» НКМВ, ЗАО «Красный Аксай» /344025  г. Ростов-на-Дону ул. 35-я Линия, 83/).</w:t>
      </w:r>
    </w:p>
    <w:p w14:paraId="04B3F3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тракторных культиваторов (1967 г.).</w:t>
      </w:r>
    </w:p>
    <w:p w14:paraId="06980C2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(03.1946 г.)- 2300 чел. (11982)</w:t>
      </w:r>
    </w:p>
    <w:p w14:paraId="1218113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05929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Уральский кировский завод, увеличивший производство КВ в 25 раз, получил задание дополнительное на Т-34. 2 августа сделали первый. ХТЗ объединили с другим - Уралвагонзаводом в Нижнем Тагиле и стал Уральский танковый завод им. И.В.С. N 183 (424,12).</w:t>
      </w:r>
    </w:p>
    <w:p w14:paraId="378731F8" w14:textId="77777777" w:rsidR="00AE7191" w:rsidRPr="00722885" w:rsidRDefault="00AE7191" w:rsidP="00722885">
      <w:pPr>
        <w:pStyle w:val="Iauiue"/>
        <w:jc w:val="both"/>
        <w:rPr>
          <w:color w:val="000000" w:themeColor="text1"/>
          <w:sz w:val="16"/>
          <w:szCs w:val="16"/>
        </w:rPr>
      </w:pPr>
    </w:p>
    <w:p w14:paraId="5894B9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года в разгар испытаний КВ-13 скоропостижно скончался Н.В.Цейц, и ведущим конструктором по машине был назначен Н.Ф.Шашмурин. По его инициативе на КВ-13 установили коробку передач, разработанную Ф.А.Маришкиным для KB-1с, и узлы ходовой части от этого танка. Однако и в таком виде танк испытаний не выдержал, после чего интерес военных к нему заметно уменьшился. (3862).</w:t>
      </w:r>
    </w:p>
    <w:p w14:paraId="5C8B3BC0" w14:textId="77777777" w:rsidR="00AE7191" w:rsidRPr="00722885" w:rsidRDefault="00AE7191" w:rsidP="00722885">
      <w:pPr>
        <w:pStyle w:val="Iauiue"/>
        <w:jc w:val="both"/>
        <w:rPr>
          <w:color w:val="000000" w:themeColor="text1"/>
          <w:sz w:val="16"/>
          <w:szCs w:val="16"/>
        </w:rPr>
      </w:pPr>
    </w:p>
    <w:p w14:paraId="6480186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началась сборка первых облегченных КВ в утвержденном виде, но еще до их окончания было приня</w:t>
      </w:r>
      <w:r w:rsidRPr="00722885">
        <w:rPr>
          <w:rFonts w:ascii="Times New Roman" w:hAnsi="Times New Roman"/>
          <w:color w:val="000000" w:themeColor="text1"/>
          <w:sz w:val="16"/>
          <w:szCs w:val="16"/>
        </w:rPr>
        <w:softHyphen/>
        <w:t>то решение о разворачивании на заводе выпуска Т-34, а сборку КВ планировалось сократить по крайней мере в два раза — до 450 танков в квартал. Однако доводка облегченной машины продолжалась. По сравнению с танком КВ-1, на ней до 60 мм была снижена толщина бортовой брони корпуса (лишь лоб подбашенной коробки сохранил толщину 75 мм), широко введено броневое литье, установлена уменьшенная башня новой конструкции с командирской башенкой кругового обзора. Помимо новой КПП с силуминовым картером (дефицит алюминия уже был в прошлом) и бортредукто-ров, на танк был установлен новый главный фрикцион, новая система охлаждения, применены облегченные опорные катки, ленивец и облегченные гусеничные цепи. Этот танк получил индекс КВ-1 С («скоростной»). С 28 июля по 26 августа два танка КВ- 1С прошли государст</w:t>
      </w:r>
      <w:r w:rsidRPr="00722885">
        <w:rPr>
          <w:rFonts w:ascii="Times New Roman" w:hAnsi="Times New Roman"/>
          <w:color w:val="000000" w:themeColor="text1"/>
          <w:sz w:val="16"/>
          <w:szCs w:val="16"/>
        </w:rPr>
        <w:softHyphen/>
        <w:t>венные испытания, еще до окончания которых - 20 авгус</w:t>
      </w:r>
      <w:r w:rsidRPr="00722885">
        <w:rPr>
          <w:rFonts w:ascii="Times New Roman" w:hAnsi="Times New Roman"/>
          <w:color w:val="000000" w:themeColor="text1"/>
          <w:sz w:val="16"/>
          <w:szCs w:val="16"/>
        </w:rPr>
        <w:softHyphen/>
        <w:t>та - новый танк был принят на вооружение Красной Армии. Он в самом деле оправдывал свое название, ибо его масса снизилась до 42,3 тонны, а максимальная ско</w:t>
      </w:r>
      <w:r w:rsidRPr="00722885">
        <w:rPr>
          <w:rFonts w:ascii="Times New Roman" w:hAnsi="Times New Roman"/>
          <w:color w:val="000000" w:themeColor="text1"/>
          <w:sz w:val="16"/>
          <w:szCs w:val="16"/>
        </w:rPr>
        <w:softHyphen/>
        <w:t>рость возросла до 43 км/ч по шоссе. Однако это было достигнуто за счет снижения броне</w:t>
      </w:r>
      <w:r w:rsidRPr="00722885">
        <w:rPr>
          <w:rFonts w:ascii="Times New Roman" w:hAnsi="Times New Roman"/>
          <w:color w:val="000000" w:themeColor="text1"/>
          <w:sz w:val="16"/>
          <w:szCs w:val="16"/>
        </w:rPr>
        <w:softHyphen/>
        <w:t>вой защиты танка, и если летом-осенью такое решение еще могло быть оправданным, то к лету 1942 г. ситуация изме</w:t>
      </w:r>
      <w:r w:rsidRPr="00722885">
        <w:rPr>
          <w:rFonts w:ascii="Times New Roman" w:hAnsi="Times New Roman"/>
          <w:color w:val="000000" w:themeColor="text1"/>
          <w:sz w:val="16"/>
          <w:szCs w:val="16"/>
        </w:rPr>
        <w:softHyphen/>
        <w:t>нилась. Теперь в вермахт начали поступать новые 75-мм противотанковые пушки Рак 40, танки Т Ш и Т 1У стали вооружаться длинноствольными 50- и 75-мм орудиями. Повсеместно вводились кумулятивные и подкалиберные боеприпасы. Все это привело к тому, что танк КВ утратил часть своих боевых качеств и в целом сравнялся с Т-34 (10782).</w:t>
      </w:r>
    </w:p>
    <w:p w14:paraId="2135179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7D2A120" w14:textId="77777777" w:rsidR="004D6E34" w:rsidRPr="00722885" w:rsidRDefault="004D6E34" w:rsidP="00722885">
      <w:pPr>
        <w:shd w:val="clear" w:color="auto" w:fill="FFFFFF"/>
        <w:spacing w:after="0" w:line="240" w:lineRule="auto"/>
        <w:jc w:val="both"/>
        <w:rPr>
          <w:rStyle w:val="920"/>
          <w:rFonts w:ascii="Times New Roman" w:hAnsi="Times New Roman" w:cs="Times New Roman"/>
          <w:color w:val="0070C0"/>
          <w:sz w:val="16"/>
          <w:szCs w:val="16"/>
        </w:rPr>
      </w:pPr>
      <w:r w:rsidRPr="00722885">
        <w:rPr>
          <w:rStyle w:val="920"/>
          <w:rFonts w:ascii="Times New Roman" w:hAnsi="Times New Roman" w:cs="Times New Roman"/>
          <w:color w:val="0070C0"/>
          <w:sz w:val="16"/>
          <w:szCs w:val="16"/>
        </w:rPr>
        <w:t>С июля 1942 года начать испытания элементов ходо</w:t>
      </w:r>
      <w:r w:rsidRPr="00722885">
        <w:rPr>
          <w:rStyle w:val="920"/>
          <w:rFonts w:ascii="Times New Roman" w:hAnsi="Times New Roman" w:cs="Times New Roman"/>
          <w:color w:val="0070C0"/>
          <w:sz w:val="16"/>
          <w:szCs w:val="16"/>
        </w:rPr>
        <w:softHyphen/>
        <w:t>вой части КВ-13 на одном из КВ-1. Работы шли по остаточному принципу - приоритетом стали работы над КВ-1с, в кото</w:t>
      </w:r>
      <w:r w:rsidRPr="00722885">
        <w:rPr>
          <w:rStyle w:val="920"/>
          <w:rFonts w:ascii="Times New Roman" w:hAnsi="Times New Roman" w:cs="Times New Roman"/>
          <w:color w:val="0070C0"/>
          <w:sz w:val="16"/>
          <w:szCs w:val="16"/>
        </w:rPr>
        <w:softHyphen/>
        <w:t xml:space="preserve">ром вовсю использовались наработки по КВ-13 (особенно хорошо это видно по башне) (19872). </w:t>
      </w:r>
    </w:p>
    <w:p w14:paraId="267C2CA8" w14:textId="77777777" w:rsidR="004D6E34" w:rsidRPr="00722885" w:rsidRDefault="004D6E34" w:rsidP="00722885">
      <w:pPr>
        <w:shd w:val="clear" w:color="auto" w:fill="FFFFFF"/>
        <w:spacing w:after="0" w:line="240" w:lineRule="auto"/>
        <w:jc w:val="both"/>
        <w:rPr>
          <w:rStyle w:val="920"/>
          <w:rFonts w:ascii="Times New Roman" w:hAnsi="Times New Roman" w:cs="Times New Roman"/>
          <w:color w:val="0070C0"/>
          <w:sz w:val="16"/>
          <w:szCs w:val="16"/>
        </w:rPr>
      </w:pPr>
    </w:p>
    <w:p w14:paraId="0CD6AC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года была принята на вооружение САУ СГ-122, которая представляла собой ту же гаубицу М-30, но установленную на шасси трофейного StuG III. САУ оказалась неудачной и была быстро снята с вооружения (3862).</w:t>
      </w:r>
    </w:p>
    <w:p w14:paraId="2295871D" w14:textId="77777777" w:rsidR="00AE7191" w:rsidRPr="00722885" w:rsidRDefault="00AE7191" w:rsidP="00722885">
      <w:pPr>
        <w:pStyle w:val="Iauiue"/>
        <w:jc w:val="both"/>
        <w:rPr>
          <w:color w:val="000000" w:themeColor="text1"/>
          <w:sz w:val="16"/>
          <w:szCs w:val="16"/>
        </w:rPr>
      </w:pPr>
    </w:p>
    <w:p w14:paraId="5D6D2E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года, стремясь компенсировать неизбежную потерю СТЗ, ГОКО дал задание Челябинскому Кировскому заводу приступить к выпуску Т-34 (3862).</w:t>
      </w:r>
    </w:p>
    <w:p w14:paraId="4096978B" w14:textId="77777777" w:rsidR="00AE7191" w:rsidRPr="00722885" w:rsidRDefault="00AE7191" w:rsidP="00722885">
      <w:pPr>
        <w:pStyle w:val="Iauiue"/>
        <w:jc w:val="both"/>
        <w:rPr>
          <w:color w:val="000000" w:themeColor="text1"/>
          <w:sz w:val="16"/>
          <w:szCs w:val="16"/>
        </w:rPr>
      </w:pPr>
    </w:p>
    <w:p w14:paraId="6C40793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июль 1942 года пришелся пик производства танков Т-34 на Сталинградском тракторном - за этот месяц завод сдал Красной Армии 421 тридцатьчетверку. Однако далось это дорогой ценой - приходилось использовать по ряду деталей вместо алюминия, бронзы и латуни, которых катастрофически не хватало, сталь или чугун, вместо медных трубок в трубопроводах появились стальные, отменили лужение топливных и масляных баков. У завода возникли перебои с оптикой из-за несвоевременной ее поставки - приходилось использовать приборы, имеющееся в наличии и спешно приспосабливать их для установки на танки (12217).</w:t>
      </w:r>
    </w:p>
    <w:p w14:paraId="007775B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1EBF0FC"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июле 1942 года проект У-22 оказался в Арткоме ГАУ.</w:t>
      </w:r>
    </w:p>
    <w:p w14:paraId="53889E8E"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Потерпев неудачу с тяжелым танком, было решено обратить свой взор на платформу среднего танка Т-34. Как раз весной 1942 года началось по-настоящему валовое производство Т-34 на заводе №183 в Нижнем Тагиле. НКТП санкционировал совместную работу конструкторских бюро заводов №8 и №183. Система для установки в Т-34 получила обозначение У-22 и минимально отличалась от первоначальной разработки. Для того чтобы в башню влезло более крупное орудие, ее пришлось несколько переделать. Согласно расчетам, боевая масса такого «артиллерийского танка» составила бы 30,7 тонн, что примерно соответствовало массе обычного Т-34.</w:t>
      </w:r>
    </w:p>
    <w:p w14:paraId="3B379CF7"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Ответ оказался вполне ожидаемым:</w:t>
      </w:r>
    </w:p>
    <w:p w14:paraId="5F8D861F"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«Проектом предусматривается установка опытного образца 122 мм танковой гаубицы У-11 в новой башне танка Т-34, при сохранении существующего погона башни.</w:t>
      </w:r>
    </w:p>
    <w:p w14:paraId="535F3DA9"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В виду того, что при предложенной установке в боевом отделении вмещается только два человека для обслуживания орудия, что совершенно недостаточно для нормальной работы при гаубице, данный проект интереса не представляет и подлежит отклонению.</w:t>
      </w:r>
    </w:p>
    <w:p w14:paraId="07CD538A"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При наличии образца установки этой гаубицы в более просторной башне танка КВ, не удовлетворяющего по удобству обслуживания и скорострельности предъявляемым требованиям, разработка присланного проекта явно нецелесообразна.</w:t>
      </w:r>
    </w:p>
    <w:p w14:paraId="6B0A921F"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Во избежание непроизводительной траты сил и средств в дальнейшем Артком ГАУ считал бы правильным, чтобы все инициативные работы конструкторского бюро предварительно согласовывались с ГАУ КА» (17680).</w:t>
      </w:r>
    </w:p>
    <w:p w14:paraId="0F94A9EC" w14:textId="77777777" w:rsidR="00573D52" w:rsidRPr="00722885" w:rsidRDefault="00573D52" w:rsidP="00722885">
      <w:pPr>
        <w:spacing w:after="0" w:line="240" w:lineRule="auto"/>
        <w:jc w:val="both"/>
        <w:rPr>
          <w:rFonts w:ascii="Times New Roman" w:eastAsia="Times New Roman" w:hAnsi="Times New Roman"/>
          <w:color w:val="000000" w:themeColor="text1"/>
          <w:sz w:val="16"/>
          <w:szCs w:val="16"/>
          <w:lang w:eastAsia="ru-RU"/>
        </w:rPr>
      </w:pPr>
    </w:p>
    <w:p w14:paraId="554783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по предложению профессора Военно-морской академии Н. Петровского на бронерембазе № 7 изготовили танк Т-34 для подводного вождения, при котором воздух подавался через гофрированный шланг, один конец которого закреплялся на башне, а второй на специальном поплавке на поверхности воды.</w:t>
      </w:r>
    </w:p>
    <w:p w14:paraId="338E704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июля 1942 года танк испытали на реке Прямая Болда в районе Астраханской ГЭС. Машина прошла по дну реки шириной 250 метров и максимальной глубиной 7,7 метра. Дальнейшего развития эта работа не получила (12217).</w:t>
      </w:r>
    </w:p>
    <w:p w14:paraId="7A75DBC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67E7E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техусловия на бронелист были вновь ужесточены. Но в обстановке нехватки ресурсов заводы вынуждены были принимать и даже некондиционные партии брони с отступлением от техусловий на основе взаимной договорённости. Положение улучшилось после того, как в конце 1942 года на танковых и бронекорпусных заводах начали проводить селекцию поступающего бронелиста, используя партии с повышенным содержанием углерода для изготовления менее подверженных трещинам деталей. Этот метод быстро дал свои плоды. Например, благодаря этому приёму к марту 1943 года почти исчезли трещины на бронекорпусах, производимых УЗТМ (РГАЭ. Ф. 8798. Оп. 4. Д. 20. Л. 54).</w:t>
      </w:r>
    </w:p>
    <w:p w14:paraId="0DD14A9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наибольшей степени подвержены дефекту тонщин были те детали, которые изготовлялись из высокоуглеродистой брони повышенной твёрдости, особенно те партии, где содержание углерода приближалось к верхней допустимой границе. Зачастую содержание углерода по причине отступления на металлургических заводах от технических условий даже превышало максимальную норму.</w:t>
      </w:r>
    </w:p>
    <w:p w14:paraId="312852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Другим способом, позволившим радикально уменьшить число трещин, стал подбор ширины бронелиста при прокате. Специально прокатывая бронелист такой ширины, которая требовалась для изготовления ряда деталей, удалось избежать обрезки бронелиста. Это не только позволяло высвободить часть рабочей силы и оборудования с тяжелых огнерезных работ, но и позволяло сократить количество трещин, которые могли бы появиться как результат воздействия на металл огневой резки. Другим направлением поисков стала оптимизация режимов сварки. Воздействие процесса сварки на металл могло привести к возникновению внутренней напряженности, но грамотно установленный порядок её осуществления (с какого места начинать варить и в какую сторону) позволял этого избежать, для чего потребовалось добиться точного соблюдения техпроцесса сварщиками. В конечном итоге благодаря целому комплексу произведённых мероприятий удалось преодолеть проблему трещин (12290).</w:t>
      </w:r>
    </w:p>
    <w:p w14:paraId="72E1E2C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EC666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Уралмашзавод в инициативном порядке разработал проект средней САУ на базе Т-34, получившей обозначение У-34. Предлагали вместо башни поставить рубку с 76-мм танковой пушкой Ф-34. Из-за начала серии Т-34 на заводе работы прекратили (4406).</w:t>
      </w:r>
    </w:p>
    <w:p w14:paraId="7C592322" w14:textId="77777777" w:rsidR="00AE7191" w:rsidRPr="00722885" w:rsidRDefault="00AE7191" w:rsidP="00722885">
      <w:pPr>
        <w:pStyle w:val="Iauiue"/>
        <w:jc w:val="both"/>
        <w:rPr>
          <w:color w:val="000000" w:themeColor="text1"/>
          <w:sz w:val="16"/>
          <w:szCs w:val="16"/>
        </w:rPr>
      </w:pPr>
    </w:p>
    <w:p w14:paraId="02A5CF7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танк Т-34 с командирской башенкой был разработан в Нижнем Та</w:t>
      </w:r>
      <w:r w:rsidRPr="00722885">
        <w:rPr>
          <w:rFonts w:ascii="Times New Roman" w:hAnsi="Times New Roman"/>
          <w:color w:val="000000" w:themeColor="text1"/>
          <w:sz w:val="16"/>
          <w:szCs w:val="16"/>
        </w:rPr>
        <w:softHyphen/>
        <w:t>гиле конструкторским бюро КБ-520 завода № 183 под ру</w:t>
      </w:r>
      <w:r w:rsidRPr="00722885">
        <w:rPr>
          <w:rFonts w:ascii="Times New Roman" w:hAnsi="Times New Roman"/>
          <w:color w:val="000000" w:themeColor="text1"/>
          <w:sz w:val="16"/>
          <w:szCs w:val="16"/>
        </w:rPr>
        <w:softHyphen/>
        <w:t>ководством главного конструктора А.А. Морозова. Изготовленный опытный образец танка в период с 9 по 16 августа 1942 г. прошел испы</w:t>
      </w:r>
      <w:r w:rsidRPr="00722885">
        <w:rPr>
          <w:rFonts w:ascii="Times New Roman" w:hAnsi="Times New Roman"/>
          <w:color w:val="000000" w:themeColor="text1"/>
          <w:sz w:val="16"/>
          <w:szCs w:val="16"/>
        </w:rPr>
        <w:softHyphen/>
        <w:t>тания на артиллерийском полигоне в Нижней Тагиле. На вооружение танк не принимался и в серийном производстве не состоял (10703).</w:t>
      </w:r>
    </w:p>
    <w:p w14:paraId="2E156C8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6F1AF39"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июле 1943 выпускался Т-34, который являлся дальнейшим развитием среднего танка Т-34 выпускавшегося в 1941 г. на заводе № 183 в г. Харькове до эвакуации в г. Нижний Тагил. Танк был разработан конструкторским бюро «520» (КБ-520) завода № 183 (г. Нижний Тагил) под руководством главного конструктора завода А.А. Морозова и начальника КБ-520 Н.А. Кучеренко. Танк отличался от предыдущей модификации, прежде всего установкой новой более просторной (т.н. «шестигранной») литой башни. Кроме того, в конструкцию танка было внесено значительное число изменений, произведенных с целью снижения трудоемкости производства и переводом изготовления большинства деталей со штамповки на литье. </w:t>
      </w:r>
    </w:p>
    <w:p w14:paraId="00DBD3F6"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Танк с экипажем из четырех человек имел классическую схему общей компоновки, получившую широкое распространение в послевоенном мировом танкостроении. Корпус танка был разделен на четыре отделения: управления, боевое, моторное и трансмиссионное. Отделение управления располагалось в носовой части корпуса танка и в нем слева находилось рабочее место механика-водителя, справа – стрелка-радиста. Забронированный объем отделения управления составлял 2,2 м3. В боевом отделении слева от пушки размещался командир танка (он же наводчик), справа от нее – заряжающий. Моторное отделение располагалось за боевым, и было отделено от него разборной перегородкой. Забронированный объем моторного отделения составлял 3,7 м3. Трансмиссионное отделение располагалось в кормовой части танка, и его забронированный объем составлял 1,5 м3. </w:t>
      </w:r>
    </w:p>
    <w:p w14:paraId="0C5F24F7"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отделении управления размещались: сиденья механика-водителя и стрелка-радиста, механические приводы управления движением танка, контрольно-измерительные приборы (КИП), пулемет ДТ в шаровой установке, часть боекомплекта, привод к поперечным жалюзи, два баллона со сжатым воздухом, часть комплекта ЗИП (запасные части, инструмент и принадлежности). </w:t>
      </w:r>
    </w:p>
    <w:p w14:paraId="3919CB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лобовом листе корпуса танка имелся люк механика-водителя, который предназначался для посадки (высадки) механика-водителя и стрелка-радиста в танк, а также для наблюдения механиком-водителем за местностью при отсутствии огневого воздействия противника. В боевой обстановке люк закрывался броневой крышкой на петлях и запирался двумя задрайками. В нижней части крышки между задрайками располагался самозапирающийся пружинный замок, корпус которого был приварен с внутренней стороны крышки. Для облегчения открывания крышка люка механика-водителя была оснащена пружинным уравновешивающим механизмом. В открытом положении крышка люка фиксировалась стопором. Для фиксирования крышки люка в одном из шести положений необходимо было, вращая маховичок, ввести зуб стопора в одну из выемок, расположенных на штоке уравновешивающего механизма. </w:t>
      </w:r>
    </w:p>
    <w:p w14:paraId="2DA9AC86"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В крышке люка имелось два окна для перископических смотровых приборов механика-водителя. Каждый перископический прибор представлял собой призму из силикатного или органического стекла. Для защиты глаз механика-водителя от осколков призмы в случае ее повреждения было установлено общее для обоих перископов защитное стекло. От воздействия пуль и осколков призмы закрывались снаружи броневыми крышками. Каждая крышка открывалась с помощью ручного привода и могла фиксироваться в трех открытых положениях. В случае повреждения призма заменялась запасной. Четыре запасных призмы хранились в обоймах в ящике, находящемся в боевом отделении. Для увеличения горизонтального угла обзора смотровые приборы располагались под углом к продольной оси люка с разворотом в сторону бортов. Горизонтальный сектор наблюдения правого прибора составлял 95°, левого – 85°. Вертикальный сектор наблюдения – 27°. Непросматриваемое пространство перед танком составляло 5,7 м.</w:t>
      </w:r>
    </w:p>
    <w:p w14:paraId="614C5BE8"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отделении управления в носовой части днища танка, у ног стрелка-радиста, располагался запасный (аварийный) люк-лаз. </w:t>
      </w:r>
    </w:p>
    <w:p w14:paraId="496EBB35"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Органы управления движением танка включали в себя левый и правый рычаги управления поворотом, педали главного фрикциона, горного (стояночного) тормоза, подачи топлива и рычаг (кулиса) переключения передач. Педали главного фрикциона, горного тормоза и подачи топлива распо-лагались слева направо, как в обычном автомобиле, а число контрольно-измерительных приборов было сведено к минимуму. </w:t>
      </w:r>
    </w:p>
    <w:p w14:paraId="3810B79F"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боевом отделении располагались рабочие места командира танка и заряжающего, основное и часть вспомогательного вооружения танка. У правого и левого бортов корпуса танка в боевом отделении за съемными стальными листами (фальшбортами) устанавливались по два топливных бака. На полу в специальных стальных снарядных ящиках ("чемоданах") и у бортов размещалась основная часть боекомплекта к пушке. Посадка и выход командира и заряжающего осуществлялись через два круглых люка в крыше башни, которые закрывались откидными крышками на петлях. </w:t>
      </w:r>
    </w:p>
    <w:p w14:paraId="746120A8"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боевой обстановке командир вел круговое наблюдение, используя перископический панорамный прибор ПТК. Прицел устанавливался неподвижно в крыше башни танка. Головная часть прицела возвышалась над крышей, а окуляр находился на уровне глаз сидящего на сиденье командира. В приборе имелся механизм кругового </w:t>
      </w:r>
      <w:r w:rsidRPr="00722885">
        <w:rPr>
          <w:color w:val="000000" w:themeColor="text1"/>
          <w:sz w:val="16"/>
          <w:szCs w:val="16"/>
        </w:rPr>
        <w:lastRenderedPageBreak/>
        <w:t xml:space="preserve">обзора, позволявший вращать головную призму вокруг вертикальной оси на 360° при неподвижном корпусе и окуляре. Оптическая система прибора имела 2,5-кратное увеличение и поле зрения в 26°. Она позволяла вести наблюдение в вертикальной плоскости в секторе от -15° до +30°. Данный оптический прибор позволял на большей дистанции и с лучшей достоверностью обнаруживать цели по сравнению с приборами наблюдения без увеличения, теми, что применялись в командирских башенках немецких средних танков Т-III и Т-IV (смотровые щели с пятислойным стеклом). Для улучшения обзорности по бортам башни танка были установлены смотровые приборы (слева – для командира танка, справа – для заряжающего). В горизонтальной плоскости каждый прибор обеспечивал обзор в секторе 90° и в вертикальной плоскости в секторе ± 6°. Корпус каждого бокового смотрового прибора был приварен к внутренней стенки башне так, что вырез его находился против щели башни. Смотровая щель закрывалась броневой заслонкой. При наблюдении заслонка опускалась вниз. Во время боя глаза наблюдателя от свинцовых брызг предохраняло двухслойное защитное стекло. Непросматриваемое («мертвое») пространство при наблюдении через смотровые щели в башне составляло 17 м. </w:t>
      </w:r>
    </w:p>
    <w:p w14:paraId="4D2EBB53"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наводчика осложняло работу по управлению боем в том случае, когда командир танка являлся командиром подразделения или части. Кроме выполнения основной своей обязанности, заряжающий мог вести автономную стрельбу из спаренного с пушкой пулемета ДТ, при снятии его со стопора. Конструкция пулеметной установки позволяла вести стрельбу в вертикальной плоскости в секторе ± 5° и в горизонтальной плоскости в секторе ± 4,5°. </w:t>
      </w:r>
    </w:p>
    <w:p w14:paraId="14D54761"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Забронированный объем моторного отделения составлял 3,7 м3. В нем размещались: дизель В-2 с установленным на нем воздухоочистителем, ра-диаторы системы охлаж-дения двигателя, масляные баки системы смазки двигателя и аккуму-ляторные батареи. </w:t>
      </w:r>
    </w:p>
    <w:p w14:paraId="5520211D"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трансмиссионном отделении размещались: главный фрикцион с центробежным вентиля-тором, коробка передач, бортовые фрикционы, электростартер, бортовые редуктора и два топливных бака. Забронированный объем трансмис-сионного отделения составлял 1,5 м3. </w:t>
      </w:r>
    </w:p>
    <w:p w14:paraId="4CA33D4F"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Основным оружием танка являлась модернизированная 76,2-мм танковая пушка Ф-34 обр. 1940 г. Модернизация пушки заключалась главным образом в упрощении затвора и его унификации с затворами 76,2 мм пушек ЗИС-5 и ЗИС-3. В опускавшемся вниз клиновом затворе была изменена полуавтоматика механического (копирного) типа. В тормозе отката был упразднен компенсатор, а также были изменены ручной и ножной спусковые механизмы. Масса качающихся частей пушки составляла 1155 кг. Ствол длиной 41,5 калибра имел постоянную крутизну нарезов. Нарезная часть трубы ствола имела 32 нареза и длину 2562 мм. Боевая скорострельность пушки Ф-34 при закрытых люках башни составляла 5 – 6 выстрелов в минуту. </w:t>
      </w:r>
    </w:p>
    <w:p w14:paraId="2D73EF7E"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Непростреливаемое пространство перед танком достигало 6,8 м. Боекомплект к пушке состоял из 77 бронебойных и осколочно-фугасных выстрелов, из которых 68 находились в 6-ти больших (по 9 снарядов) и 2-х малых (по 7 снарядов) металлических ящиках расположенных на полу боевого отделения. Остальные выстрелы размещались в боеукладке (кассетах) на правой (3) и левой (6) стенках корпуса танка. </w:t>
      </w:r>
    </w:p>
    <w:p w14:paraId="53B78EE9"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При отправке с завода танк комплектовался 30 пулеметными дисками емкостью по 63 патрона. В танке также укладывались: один 7,62-мм пистолет-пулемет ППШ с 4 запасными дисками и 25 ручных гранат Ф-1. </w:t>
      </w:r>
    </w:p>
    <w:p w14:paraId="43F26E31"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Броневая защита танка – дифференцированная, противоснарядная. Броневой корпус танка представляет собой жесткую сварную коробку из литой и катаной брони толщиной 20 и 45 мм. Форма корпуса, имевшая большие углы наклона броневых листов, обеспечивала рациональное использование его объема и высокую бронестойкость. Корпус состоял из следующих основных частей: носовой (лобовой) части, бортов, кормы, днища, крыши и поперечных перегородок. </w:t>
      </w:r>
    </w:p>
    <w:p w14:paraId="467A16B5"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Лобовая часть корпуса состояла из верхнего (34.29.904) и нижнего (34.29.905) катаных броневых листов толщиной 45 мм, изготовленных из гомогенной броневой стали высокой твердости марки 8С (МЗ-2), скрепленных литой балкой (34.29.906), изготовленной из той же броневой стали, что и лобовые броневые листы. Такая броня при больших углах наклона и отношении толщины брони к диаметру снаряда близком к единице обладала более высокой стойкостью, чем другие марки броневой стали. </w:t>
      </w:r>
    </w:p>
    <w:p w14:paraId="54C5ED7A" w14:textId="77777777" w:rsidR="00AE7191" w:rsidRPr="00722885" w:rsidRDefault="00AE7191" w:rsidP="00722885">
      <w:pPr>
        <w:pStyle w:val="314"/>
        <w:shd w:val="clear" w:color="auto" w:fill="auto"/>
        <w:spacing w:line="240" w:lineRule="auto"/>
        <w:rPr>
          <w:rFonts w:ascii="Times New Roman" w:hAnsi="Times New Roman" w:cs="Times New Roman"/>
          <w:i w:val="0"/>
          <w:iCs w:val="0"/>
          <w:noProof w:val="0"/>
          <w:color w:val="000000" w:themeColor="text1"/>
          <w:spacing w:val="0"/>
          <w:sz w:val="16"/>
          <w:szCs w:val="16"/>
          <w:lang w:val="ru-RU"/>
        </w:rPr>
      </w:pPr>
      <w:r w:rsidRPr="00722885">
        <w:rPr>
          <w:rFonts w:ascii="Times New Roman" w:hAnsi="Times New Roman" w:cs="Times New Roman"/>
          <w:i w:val="0"/>
          <w:iCs w:val="0"/>
          <w:color w:val="000000" w:themeColor="text1"/>
          <w:spacing w:val="0"/>
          <w:sz w:val="16"/>
          <w:szCs w:val="16"/>
          <w:lang w:val="ru-RU"/>
        </w:rPr>
        <w:t>Верхний лобовой лист своей нижней кромкой был приварен к балке, являвшейся связующим звеном нижнего и верхнего лобовых листов, а верхней кромкой – к переднему подбашенному листу (34.29.1705). В верхнем лобовом листе корпуса с правой стороны было сделано овальное отверстие, к кромкам которого приваривалась броневая защита (колпак) для шаровой установки пулемета ДТ. Слева от нее имелся люк механика-водителя, который закрывается литой броневой крышкой на петлях. Наличие люка механика-водителя и шаровой установки курсового пулемета на верхнем лобовом листе корпуса снижало его снарядостойкость.</w:t>
      </w:r>
    </w:p>
    <w:p w14:paraId="48344559"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нижней части верхнего лобового листа имелось два отверстия для доступа к хвостовикам червяков механизмов натяжения гусениц. Отверстия были закрыты броневыми заглушками на резьбе. Рядом с отверстиями (ближе к продольной оси танка) были приварены буксирные крюки с защелками. Аналогичные по конструкции буксирные крюки вваривались и в нижний кормовой лист корпуса танка. </w:t>
      </w:r>
    </w:p>
    <w:p w14:paraId="185553FB"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Нижний лобовой лист корпуса танка своей верхней кромкой приваривался к балке, боковыми кромками – к вертикальным листам бортов, а нижней кромкой – к днищу. </w:t>
      </w:r>
    </w:p>
    <w:p w14:paraId="1C838633" w14:textId="77777777" w:rsidR="00AE7191" w:rsidRPr="00722885" w:rsidRDefault="00AE7191" w:rsidP="00722885">
      <w:pPr>
        <w:pStyle w:val="314"/>
        <w:shd w:val="clear" w:color="auto" w:fill="auto"/>
        <w:spacing w:line="240" w:lineRule="auto"/>
        <w:rPr>
          <w:rFonts w:ascii="Times New Roman" w:hAnsi="Times New Roman" w:cs="Times New Roman"/>
          <w:i w:val="0"/>
          <w:iCs w:val="0"/>
          <w:noProof w:val="0"/>
          <w:color w:val="000000" w:themeColor="text1"/>
          <w:spacing w:val="0"/>
          <w:sz w:val="16"/>
          <w:szCs w:val="16"/>
          <w:lang w:val="ru-RU"/>
        </w:rPr>
      </w:pPr>
      <w:r w:rsidRPr="00722885">
        <w:rPr>
          <w:rFonts w:ascii="Times New Roman" w:hAnsi="Times New Roman" w:cs="Times New Roman"/>
          <w:i w:val="0"/>
          <w:iCs w:val="0"/>
          <w:color w:val="000000" w:themeColor="text1"/>
          <w:spacing w:val="0"/>
          <w:sz w:val="16"/>
          <w:szCs w:val="16"/>
          <w:lang w:val="ru-RU"/>
        </w:rPr>
        <w:t>Левый и правый борт корпуса состоял из нижнего (34.29.006) и верхнего (34.29.013) броневых листов. Нижний броневой лист располагался вертикально, а верхний (подкрылок) – наклонно (под углом 40° от вертикали). Верхний и нижний броневые листы соединялись (с помощью сварки) между собой горизонтальными броневыми листами – днищем подкрылка (34.29.1636 и 34.29.1637). В вертикальном броневом листе борта было вырезано четыре отверстия для прохода кронштейнов балансиров опорных катков, круглое отверстие для кронштейна балансира первого опорного катка и четыре дугообразных выреза для цапф балансиров. С наружной стороны борта было приварено шесть кронштейнов для крепления резиновых упоров, ограничивавших ход балансиров опорных катков вверх, кронштейн кривошипа направляющего колеса (ленивца) и четыре стойки для крепления планок ограничения горизонтального перемещения балансира. С внутренней стороны к борту приваривались четыре шахты узлов подвески и в носовой части – кронштейн переднего узла подвески. В кормовой части был борта приклепан и приварен картер бортового редуктора. В поперечном сечении корпус танка имел грибовидную форму. Такая форма корпуса увеличивала снарядостойкость наиболее поражаемой верхней части корпуса, не затрудняла обвод гусениц и не увеличивала размеров танка по ширине. Корма корпуса танка состояла из двух кормовых броневых листов – верхнего (34.29.008) и нижнего (34.29.007), и двух картеров бортовых редукторов (34.29.021 и 34.29.022). Все эти детали изготавливались из гомогенной броневой стали высокой твердости марки 8С (МЗ-2) толщиной 45 мм. Верхний броневой лист откидывался на трех петлях и крепился болтами к угольникам бортовых и нижнего кормового листов корпуса.</w:t>
      </w:r>
    </w:p>
    <w:p w14:paraId="7CC006F9"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Для доступа к агрегатам, установленным в трансмис-сионном отделении, в средней части броневого листа имелся круглый люк, закрывавшийся броневой крышкой, крепив-шейся к листу с помощью петли и семи болтов. По обе стороны от люка были расположены два отверстия, через которые проходили выхлопные трубы. Снаружи эти отверстия были защищены 20-мм броневыми колпаками (34.29.023), крепящимися к верхнему листу болтами. </w:t>
      </w:r>
    </w:p>
    <w:p w14:paraId="6DD8845A"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Днище корпуса танка является основным скрепляющим элементом и состояло из четырех частей, соединенных встык сварным швом. Соединения усиливались накладками Т-образного сечения. Листы днища изготовлялись из 20-мм гомогенной брони марки 2-П (МЗ-3). </w:t>
      </w:r>
    </w:p>
    <w:p w14:paraId="265A6150"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переднем листе днища (34.29.1700), у ног стрелка-радиста, располагался люк-лаз овальной формы, который являлся запасным выходом для членов экипажа танка. Люк изнутри танка закрывался броневой крышкой (34.29.026), соединенной с днищем петлей. Крышка к днищу крепилась двумя задрайками, которые прижимались к фланцу люка гайками. Для быстрого запирания люка на крышке была установлена пружинная защелка. В задней части днища имелись: люк для доступа к масляному насосу и водяной помпе (428Ч292 мм), два отверстия для слива масла из маслобаков, отверстие для слива воды, два отверстия для слива топлива и лючок для слива масла из картера коробки передач (Ш 300 мм). Указанные отверстия были закрыты броневыми пробками, а люк и лючок – броневыми крышками на болтах. По краям днища у каждого борта имелось по четыре выреза, предназ-наченных для осмотра и монтажа элементов узлов подвески опорных катков. У кромок вырезов, с их внутренней стороны приваривались основания шахт узлов подвески. </w:t>
      </w:r>
    </w:p>
    <w:p w14:paraId="74541433" w14:textId="77777777" w:rsidR="00AE7191" w:rsidRPr="00722885" w:rsidRDefault="00AE7191" w:rsidP="00722885">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722885">
        <w:rPr>
          <w:rFonts w:ascii="Times New Roman" w:hAnsi="Times New Roman" w:cs="Times New Roman"/>
          <w:i w:val="0"/>
          <w:iCs w:val="0"/>
          <w:color w:val="000000" w:themeColor="text1"/>
          <w:spacing w:val="0"/>
          <w:sz w:val="16"/>
          <w:szCs w:val="16"/>
          <w:lang w:val="ru-RU"/>
        </w:rPr>
        <w:t>Крыша корпуса танка состояла из трех основных частей: крыши над боевым отделением, крыши над моторным и крыши над трансмис-сионным отделениями. Все детали крыши корпуса изготавливались из 20-мм катанной гомогенной брони марки 2-П (МЗ-3). Крыша над боевым отделением представляла собой броневой лист, сваренный в стык из двух 20-мм броневых деталей (34.29.1704 и 34.29.1705). В крыше над боевым отделением имелся круглый вырез (Ш 1481 мм) для установки башни, отверстия</w:t>
      </w:r>
      <w:r w:rsidRPr="00722885">
        <w:rPr>
          <w:rFonts w:ascii="Times New Roman" w:hAnsi="Times New Roman" w:cs="Times New Roman"/>
          <w:i w:val="0"/>
          <w:iCs w:val="0"/>
          <w:noProof w:val="0"/>
          <w:color w:val="000000" w:themeColor="text1"/>
          <w:spacing w:val="0"/>
          <w:sz w:val="16"/>
          <w:szCs w:val="16"/>
          <w:lang w:val="ru-RU"/>
        </w:rPr>
        <w:t xml:space="preserve"> для болтов </w:t>
      </w:r>
      <w:r w:rsidRPr="00722885">
        <w:rPr>
          <w:rFonts w:ascii="Times New Roman" w:hAnsi="Times New Roman" w:cs="Times New Roman"/>
          <w:i w:val="0"/>
          <w:iCs w:val="0"/>
          <w:color w:val="000000" w:themeColor="text1"/>
          <w:spacing w:val="0"/>
          <w:sz w:val="16"/>
          <w:szCs w:val="16"/>
          <w:lang w:val="ru-RU"/>
        </w:rPr>
        <w:t xml:space="preserve">крепления нижнего погона и четыре выреза, закрывающиеся крышками, для доступа к верхним частям узлов подвески танка. Броневая крыша над моторным отделением съемная. Она состояла из среднего продольного листа (34.29.849) над двигателем и двух боковых продольных листов (34.29.850 и 34.29.851) над радиаторами системы охлаждения двигателя. Средний лист крыши над двигателем имел корытообразную форму с выпуклостью, обращенной вверх. Боковые и кормовая стенки листа усиливались приваренными 20-мм броневыми планками. В верхней части броневого листа имелся большой люк (800Ч500 мм) для доступа к двигателю, закрываемый крышкой (34.29.050) на двух петлях. Крышка люка запиралась специальным замком. В средней части листов, расположенных над радиаторами, имелись продольные окна для прохода воздуха. В этих окнах вертикально располагались броневые не регулируемые жалюзи, приваренные к поперечным перемычкам. Для заливки масла в маслобаки в продольных листах имелись закрытые броневыми крышками круглые отверстия. Над жалюзи устанавливались броневые колпаки с решетками (34.29.053 и 34.29.054). </w:t>
      </w:r>
    </w:p>
    <w:p w14:paraId="5897D612"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Крыша над трансмиссионным отделением состояла из двух броневых листов (34.29.014 и 34.29.015), расположенных над топливными баками, двух броневых листов жалюзи (34.29.037), расположенными над вентилятором, узкого поперечного броневого листа (34.29.035) и откидного колпака с сеткой, который закрывал крышу над трансмиссионным отделением, предохраняя от попадания в него посторонних предметов. Листы жалюзи, с помощью привода, фиксировались в одном из трех положений. Рукоятка привода жалюзи перемещалась механиком-водителем по сектору, установленному на левой шахте узла подвески второго опорного катка. Два лючка в крыше, закрывавшиеся броневыми крышками, предназначались для доступа к пробкам заправочных горловин кормовых топливных баков. </w:t>
      </w:r>
    </w:p>
    <w:p w14:paraId="53FC5FF5"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На танке устанавливалась литая граненая башня («гайка») с толщиной стенок 52 мм. Корпус башни (34.30.474) отливался из броневой стали марки 8С (МЗ-2). В передней наклонной стенке башни имелось прямоугольное отверстие для монтажа пушки и спаренного пулемета. Снаружи отверстие было закрыто броневым лобовым щитом (34.30.475), который крепился к башне двадцатью болтами. По бокам выреза крепились кронштейны для цапф люльки. На правом кронштейне имелась вертикальная площадка для крепления стопора пушки по-походному, а на левом (в нижней части) – направляющее отверстие для подъемного механизма </w:t>
      </w:r>
      <w:r w:rsidRPr="00722885">
        <w:rPr>
          <w:color w:val="000000" w:themeColor="text1"/>
          <w:sz w:val="16"/>
          <w:szCs w:val="16"/>
        </w:rPr>
        <w:lastRenderedPageBreak/>
        <w:t>пушки. В наклонных боковых стенках башни (в средней части) были прорезаны две смотровые щели, защищенные приварен-ными снаружи планками. Щели были оборудованы смотровыми приборами. В кормовой наклонной стенке башни имелось отверстие для закрепления приспособления проверки накат-ника и тормоза отката пушки. Отверстие закрывалось заглуш-кой, закрепленной изнутри башни при помощи гайки.</w:t>
      </w:r>
    </w:p>
    <w:p w14:paraId="13FA17AB"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Крыша башни (34.30.476), изготовленная из катаного броневого листа толщиной 20 мм, приваривалась к корпусу башни. В передней части крыши с левой стороны имелось отверстие под установку перископического панорамного прибора командира ПТК. Головная часть прицела была защищена литым броневым колпаком. Для посадки и высадки командира и заряжающего в средней части крыши имелись два люка диаметром по 522 мм. Люки закрывались броневыми крышками (34.30.477), крепившимися к крыше башни с помощью шарнирных петель с захватами. Захваты удерживали крышки люков в открытом положении. Крышки люков запирались замками, для облегчения открывания каждая крышка уравновешивалась торсионом (пружиной). </w:t>
      </w:r>
    </w:p>
    <w:p w14:paraId="7C6AB08B"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кормовой части крыши башни находился люк (Ш 221 мм) для вентиляции боевого отделения. Люк закрывался приваренной сверху броневой крышкой – «колпаком» (34.30.480), диаметром 375 мм с четырьмя вырезами для прохода воздуха. Для демонтажа (монтажа) башни на крыше имелись четыре рыма (два в передней и два в кормовой части крыши башни). </w:t>
      </w:r>
    </w:p>
    <w:p w14:paraId="2403B1E5"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До лета 1943 года броневая защита достаточно надежно защищала экипаж танка от огня танковой и противотанковой артиллерии противника калибров до 50 мм. Как правило, бронебойные снаряды данных калибров лобовую проекцию танка Т-34 не пробивали. Поражения танков противником, в основном производилось при стрельбе по бортовым и кормовой проекции танка. В 1942 году на снаряды этих калибров приходилось более 70% поражений танков Т-34. Зимой 1942 – 1943 годов более 60% поражений танков приходилось на артиллерийские орудия калибров до 50 мм. От кумулятивных снарядов в 1942 году были зафиксированы единичные поражения. Зимой 1942 – 1943 годов данным типом боеприпасов было поражено 1,8% танков Т-34. Летом 1943 года во время Битвы под Курском основными снарядами немецкой танковой и противотанковой артиллерии являлись бронебойные снаряды калибров 75 и 88 мм. На эти калибры пришлось свыше 60% всех поражений танков Т-34. Причем 78% обстрелов танков Т-34 производилось из 75-мм пушек с дистанции 100 – 600 м. Дистанция стрельбы из 88-мм пушек была несколько выше. Так 61% обстрелов танков Т-34 данным калибром пушек производился с дистанции 400 – 1100 м. </w:t>
      </w:r>
    </w:p>
    <w:p w14:paraId="3CCC5929"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Защищенность танка повышалась за счет установки в танке двигателя работающего на дизельном топливе. По сравнению с танками, в топливной системе которых применялся бензин, танк Т-34 с дизелем В-2-34 обладал повышенной пожаробезопасностью. Образование опасных в пожарном отношении паров у дизельного топлива начинается с температуры окружающего воздуха + 30°С. У бензинов же, парообразование начинается уже при температуре -30°С. </w:t>
      </w:r>
    </w:p>
    <w:p w14:paraId="068551DD" w14:textId="77777777" w:rsidR="00AE7191" w:rsidRPr="00722885" w:rsidRDefault="00AE7191" w:rsidP="00722885">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722885">
        <w:rPr>
          <w:rFonts w:ascii="Times New Roman" w:hAnsi="Times New Roman" w:cs="Times New Roman"/>
          <w:i w:val="0"/>
          <w:iCs w:val="0"/>
          <w:color w:val="000000" w:themeColor="text1"/>
          <w:spacing w:val="0"/>
          <w:sz w:val="16"/>
          <w:szCs w:val="16"/>
          <w:lang w:val="ru-RU"/>
        </w:rPr>
        <w:t xml:space="preserve">В случае возникновения пожара в танке, его тушение производилось с помощью двух ручных тетрахлорных огнетушителей типа РАВ, которые размещались в отделении управления у левого и правого бортов перед шахтами узлов подвески вторых опорных катков. Продолжительность действия огнетушителя составляла около минуты. Недостатком данного типа огнетушителя являлась необходимость надевания противогаза при тушении пожара в закрытом танке, так как тетрахлор под воздействием огня разлагался и выделял удушливый газ – фосген. Кроме того, тетрахлор оказывал коррозирующее действие на агрегаты танка и был электропроводен. Для тушения пожара в части моторного или трансмиссионном отделениях членам экипажа необходимо было выходить из машины, что не всегда позволяла сделать боевая обстановка. Основу силовой установки танка составлял </w:t>
      </w:r>
      <w:r w:rsidRPr="00722885">
        <w:rPr>
          <w:rFonts w:ascii="Times New Roman" w:hAnsi="Times New Roman" w:cs="Times New Roman"/>
          <w:i w:val="0"/>
          <w:iCs w:val="0"/>
          <w:color w:val="000000" w:themeColor="text1"/>
          <w:spacing w:val="0"/>
          <w:sz w:val="16"/>
          <w:szCs w:val="16"/>
        </w:rPr>
        <w:t>V</w:t>
      </w:r>
      <w:r w:rsidRPr="00722885">
        <w:rPr>
          <w:rFonts w:ascii="Times New Roman" w:hAnsi="Times New Roman" w:cs="Times New Roman"/>
          <w:i w:val="0"/>
          <w:iCs w:val="0"/>
          <w:color w:val="000000" w:themeColor="text1"/>
          <w:spacing w:val="0"/>
          <w:sz w:val="16"/>
          <w:szCs w:val="16"/>
          <w:lang w:val="ru-RU"/>
        </w:rPr>
        <w:t xml:space="preserve">-образный (угол развала 60°), двенадцатицилиндровый, четырехтактный, бескомпрессорный дизель В-2-34, мощностью 500 л.с. Двигатель устанавливался в моторном отделении вдоль продольной оси корпуса танка на подмоторной раме на четырех лапах, отлитых заодно с верхней половиной картера, и крепился к ней восемью болтами. На двигателе устанавливались: топливоподкачивающая помпа, топливный фильтр, топливный насос НК-1, топливопровод высокого давления, форсунки, масляный насос, масляный фильтр, водяной насос и генератор. </w:t>
      </w:r>
    </w:p>
    <w:p w14:paraId="43A24834"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Пуск двигателя осуществлялся с помощью электростартера СТ-700 (основной способ) или сжатого воздуха (запасный способ) из двух воздушных баллонов, находившихся в отделении управления. </w:t>
      </w:r>
    </w:p>
    <w:p w14:paraId="43B8C037"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Для очистки воздуха, поступающего в цилиндры двигателя, использовался масляный воздухоочиститель, основным фильтрующим элементом которого являлась промасленная канитель. На дно нижнего поддона воздухо-очистителя наливалось масло. Засасываемый воздух попадал в нижний поддон и проходя над масляной ванной, оставляет в ней крупную пыль. После чего воздух проходит через сетки и помещенную между ними промасленную канитель, на поверхности которой задер-живаются остальные более мелкие частицы пыли. Конструкция данного типа воздухоочистителя обеспечивала очистку воздуха со степенью равную 70 %. Для обеспечения защиты цилиндров двигателя от повышенного пылевого износа в условиях повышенной запыленности воздуха необходимо было через каждые 10 – 12 часов движения или после 250 – 300 км заменять масло в масляной ванне воздухоочистителя и промывать канитель в керосине. </w:t>
      </w:r>
    </w:p>
    <w:p w14:paraId="21B2E934"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топливную систему входило шесть топливных баков, находившихся внутри корпуса танка. Передние баки, правый и левый, устанавливались в боевом отделении около бортов. Емкость каждого переднего бака – 160 л. Два средних бака емкостью по 45 л были расположены в моторном отделении около бортов. Два кормовых бака емкостью по 80 л расположены в трансмиссионном отделении. Общая заправочная емкость внутренних топливных баков составляла 540 л. Топливные баки заполнялись дизельным топливом марки ДТ, а в случае его отсутствия – газойлем марки «Э». Дизельное топливо ДТ применялось двух сортов: летнее и зимнее. Летнее ДТ применялось при температуре окружающего воздуха не ниже +5°С. Зимнее ДТ использовалось также и летом. Во время эксплуатации танка при температуре ниже -20°С рекомендовалось добавлять к зимнему ДТ или газойлю от 10 до 40 % тракторного керосина в зависимости от температуры окружающего воздуха (от -20° до -40°С). Проверка количества топлива производилась щупом, опускавшимся в бак через отверстие для заливки топлива. </w:t>
      </w:r>
    </w:p>
    <w:p w14:paraId="67A946F5"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Система смазки двигателя состояла из двух масляных баков емкостью по 57 л, масляного насоса, масляного фильтра, манометра, двух термометров и уравнительного бачка. Для смазки двигателя применялись авиационные масла МК и МС летом и МЗС – зимой. В каждый масляный бак заливалось по 40 л масла. При наличии в баках масла менее 20 л работа двигателя запрещалась. </w:t>
      </w:r>
    </w:p>
    <w:p w14:paraId="64140163" w14:textId="77777777" w:rsidR="00AE7191" w:rsidRPr="00722885" w:rsidRDefault="00AE7191" w:rsidP="00722885">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722885">
        <w:rPr>
          <w:rFonts w:ascii="Times New Roman" w:hAnsi="Times New Roman" w:cs="Times New Roman"/>
          <w:i w:val="0"/>
          <w:iCs w:val="0"/>
          <w:color w:val="000000" w:themeColor="text1"/>
          <w:spacing w:val="0"/>
          <w:sz w:val="16"/>
          <w:szCs w:val="16"/>
          <w:lang w:val="ru-RU"/>
        </w:rPr>
        <w:t xml:space="preserve">Система охлаждения двигателя – жидкостная, закрытого типа. В систему охлаждения двигателя входили: водяная рубашка блоков цилиндров, водяные радиаторы, водяной насос, центробежный вентилятор, тройник с паровым и воздушным клапанами и трубопроводы. Емкость системы охлаждения 90 – 95 л. Радиаторы сообщались с атмосферой через воздушный клапан. Тройник, сообщавшийся с обоими радиаторами, предназначался для заливки охлаждающей жидкости в систему охлаждения. В период летней эксплуатации всистему охлаждения заливалась пресная вода, очищенная от механических и по возможности химических примесей. При температуре ниже -20°С рекомендовалось использовать вместо воды низкозамерзающую жидкость – антифриз (смесь 55 % этиленгликоля и 45 % воды). Антифриз был ядовитым и дорогим продуктом и поэтому к его сохранности предъявлялись повышенные требования. </w:t>
      </w:r>
    </w:p>
    <w:p w14:paraId="6E8631BE"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Трансмиссия танка состояла из многодискового главного фрикциона, механической простой коробки передач, двух бортовых фрикционов с тормозами и двух однорядных шестерен-чатых бортовых редукторов. Многодисковый главный фрикцион сухого трения (сталь по стали) устанавливался на носке коленчатого вала двигателя. Он имел 10 ведущих и 12 ведомых дисков. Главный фрикцион обеспечивал: отключение двигателя от коробки передач, при переключении передач; плавную передачу нагрузки на двигатель при трогании танка с места; предохра-нение деталей трансмиссии и двигателя от поломок при резком изменении частоты вращения коленчатого вала двигателя. Для обеспечения нормальной работы главного фрикциона механику-водителю предписывалось проверять через каждые 10 – 12 часов движения или после 250 – 300 км пробега величину хода нажимного диска. При ходе нажимного диска менее 6 мм необходимо было производить регулировку. Периодичность выполнения данной операции в боевой обстановке, а иногда и вследствие недостаточного опыта механика-водителя не соблюдалась. По этой причине во время эксплуатации отмечались случаи затруднения включения требуемой по условиям движения танка передачи. </w:t>
      </w:r>
    </w:p>
    <w:p w14:paraId="2D2F2CC0"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Двухвальная трехходовая, четырехступенчатая коробка передач танка имела четыре передачи для движения вперед и одну передачу заднего хода. Она была выполнена без прямой передачи с расположением валов в одной горизонтальной плоскости и имела алюминиевый картер, состоявший из двух половин. Коническая шестерня ведущего вала, выполненная заодно с валом, находилась в зацеплении с ведомой шестерней на промежуточном валу. В передней части верхней половины картера на горловине на специальной площадке устанавливался электростартер. Переключение передач осуществлялось механиком-водителем с помощью рычага (кулисы), расположенного в отделении управления справа от его сиденья. В кулисе смонтирован шариковый замок, предохраняющий от одновременного включения нескольких передач и стопорный механизм, препятствующий самопроизвольному выключению или включению шестерен. </w:t>
      </w:r>
    </w:p>
    <w:p w14:paraId="05D49CCB" w14:textId="77777777" w:rsidR="00627011" w:rsidRPr="00722885" w:rsidRDefault="00AE7191" w:rsidP="00722885">
      <w:pPr>
        <w:pStyle w:val="Default"/>
        <w:jc w:val="both"/>
        <w:rPr>
          <w:color w:val="000000" w:themeColor="text1"/>
          <w:sz w:val="16"/>
          <w:szCs w:val="16"/>
        </w:rPr>
      </w:pPr>
      <w:r w:rsidRPr="00722885">
        <w:rPr>
          <w:color w:val="000000" w:themeColor="text1"/>
          <w:sz w:val="16"/>
          <w:szCs w:val="16"/>
        </w:rPr>
        <w:t>Бортовые фрикционы были смонтированы на главном валу коробки передач. Внутренние (ведущие) барабаны были посажены на шлицы главного вала коробки передач, наружные (ведомые) барабаны были соединены болтами с фланцами бортовых редукторов. Между внутренним и наружным барабанами каждого бортового фрикциона размещался комплект из двадцати одного ведущего и двадцати двух ведомых стальных дисков, каждый из которых был связан зубьями с соответствующим барабаном. Для остановки и поворота танка на наружных барабанах бортовых фрикционов устанавливались два плавающих ленточных тормоза, изготавливавшихся из листовой стали с накладками феродо.</w:t>
      </w:r>
    </w:p>
    <w:p w14:paraId="488FBF75"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Для управления бортовыми фрикционами и тормозами использовались два механических привода: рычаги управления поворотом танка и педаль горного тормоза – для торможения боевой машины. Для облегчения управления танком рычаги и педаль имели сервопружины. </w:t>
      </w:r>
    </w:p>
    <w:p w14:paraId="4DB0CFAF"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кормовой части машины между бортовыми фрикционами и ведущими колесами танка располагались бортовые редукторы, представлявшие собой одноступенчатые шестеренчатые понижающие передачи и обеспечивавшие постоянное в 5,7 раза увеличение крутящего момента на ведущих колесах танка. </w:t>
      </w:r>
    </w:p>
    <w:p w14:paraId="131C40CC"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Ходовая часть танка состояла из гусеничного движителя и подвески. В состав гусеничного движителя входили: две гусеницы, два ведущих колеса, десять опорных катков, два направляющих колеса с механизмами натяжения гусениц. </w:t>
      </w:r>
    </w:p>
    <w:p w14:paraId="3DEE8BE1"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Каждое ведущее колесо устанавливалось на шлицах ведомого вала бортового редуктора и крепилось на валу с помощью специального кольца. В дисках литого ведущего колеса имелось по шесть больших отверстий для выхода грязи и снега и по шесть отверстий для осей роликов. Наружный диаметр ведущего колеса – 634 мм. Гусеницы имели гребневое зацепление с ведущими колесами. Ведущие колеса, вращаясь, упирались роликами в гребни траков и передвигали гусеницы. </w:t>
      </w:r>
    </w:p>
    <w:p w14:paraId="0379124E"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Гусеница состояла из чередующихся между собой 36 траков с гребнем и 36 траков без гребней, шарнирно соединенных 72 пальцами. Палец трака имел головку, удерживающую его от смещения наружу. Головка пальца была обращена к корпусу. В верхней части крышки бортового редуктора был укреплен кулак, имевший две </w:t>
      </w:r>
      <w:r w:rsidRPr="00722885">
        <w:rPr>
          <w:color w:val="000000" w:themeColor="text1"/>
          <w:sz w:val="16"/>
          <w:szCs w:val="16"/>
        </w:rPr>
        <w:lastRenderedPageBreak/>
        <w:t xml:space="preserve">наклонные плоскости, обеспечивавшие возвращение пальца на место (в случае смещения его в сторону корпуса танка) при движении танка как вперед, так и назад. Траки шириной 500 мм отливались из высокомарганцовистой стали Гадфильда. Внешняя поверхность траков имела ребра жесткости, образовывавших грунтозацепы и увеличивавшие сцепление гусеницы с грунтом. На танке имелись дополнительные съемные грунтозацепы (шпоры), представляющие собой литой угольник с отверстием. На краях шпор имелось по два выступа, один из которых длиннее другого. При надевании шпоры ее вкладывали в прямоугольные пазы трака без гребня, сначала длинным выступом, а затем, отведя назад, – коротким выступом. Шпора крепилась к траку болтом. Шпоры применялись в случае движения танка по грунтам с низкой несущей способностью или обледенелым дорогам. Съемные шпоры устанавливались через три трака на четвертом. </w:t>
      </w:r>
    </w:p>
    <w:p w14:paraId="56BFEC76"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Литое направляющее колесо с механизмом натяжения располагалось в передней части танка. Направляющее колесо на двух подшипниках устанавливалось на кривошип и крепилось гайкой. Натяжение гусеницы осуществ-лялось поворотом кривошипа при вращении червячной пары механизма натяжения. На червяке имелась квадратная головка под торцовый ключ. Головка под ключ выходила в отверстие в броне в носовой части корпуса танка. Отверстие закрывалось броневой пробкой на резьбе. </w:t>
      </w:r>
    </w:p>
    <w:p w14:paraId="1BDF5891" w14:textId="77777777" w:rsidR="00AE7191" w:rsidRPr="00722885" w:rsidRDefault="00AE7191" w:rsidP="00722885">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722885">
        <w:rPr>
          <w:rFonts w:ascii="Times New Roman" w:hAnsi="Times New Roman" w:cs="Times New Roman"/>
          <w:i w:val="0"/>
          <w:iCs w:val="0"/>
          <w:color w:val="000000" w:themeColor="text1"/>
          <w:spacing w:val="0"/>
          <w:sz w:val="16"/>
          <w:szCs w:val="16"/>
          <w:lang w:val="ru-RU"/>
        </w:rPr>
        <w:t xml:space="preserve">На крайних узлах подвески устанавливались двухдисковые опорные катки с наружной амортизацией, а на 2,3 и 4 узлах подвески – опорные катки с внутренней амортизацией. Опорные катки с наружной амортизацией имели литые диски, отлитые заодно со ступицей. На шине наружной амортизации имелся протекторный рисунок. Часть опорных катков, из-за дефицита резины, имела внутреннюю амортизацию. Эти опорные катки имели резиновые кольца (по четыре на каждом катке) малых размеров, расположенные уступицы. С наружной стороны ступица закрывалась броневым колпаком, который крепился к ней пятью болтами. Опорные катки обоих типов имели диаметр 830 мм и были взаимозаменяемы. </w:t>
      </w:r>
    </w:p>
    <w:p w14:paraId="62556327"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Опорные катки устанавливались на осях, запрессованных в балансиры. По своей конструкции балансиры передних опорных катков отличались от остальных расположением рычага подвески. Балансиры передних опорных катков обоих бортов со всеми монтируемыми на них деталями были взаимозаменяемы только между собой. От осевых смещений балансир переднего катка удерживался навернутой на его ось гайкой. Балансиры остальных опорных катков удерживались от осевых смещений упорными планками, закрепленными болтами на корпусе танка. Планки находились в пазах, выфрезерованных в головках балансиров. Балансиры в сборе были взаимозаменяемы только с балансирами одного борта (правого или левого). </w:t>
      </w:r>
    </w:p>
    <w:p w14:paraId="00C9BD04"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Подвеска танка – индивидуальная, пружинная состояла из десяти узлов. Каждый из узлов подвески передних опорных катков состоял из двух концентрических винтовых пружин, которые располагались в передней части внутри корпуса и были защищены стальными кожухами. В узлах подвески остальных опорных катков пружины располагались одна над другой. Узлы подвески располагались внутри корпуса танка наклонно в специальных шахтах, вваренных в корпус. Все детали узлов подвески опорных катков (за исключением передних) были взаимозаменяемы. Узлы подвески передних опорных катков были взаимозаменяемы только между собой. </w:t>
      </w:r>
    </w:p>
    <w:p w14:paraId="566500DE"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Величина динамического хода опорных катков: для первого – 75 мм, для второго, четвертого и пятого – 115 мм и для третьего – 90 мм. Динамический ход опорных катков ограничивался крепившимися к наружной поверхности бортов упорами. Статический ход опорных катков ограничивался штоками подвесок и гусеницей, за исключением передних опорных катков, ход которых ограничивался резиновыми буферами, находившимися на днище внутри корпуса под проушинами штоков передних узлов подвески. </w:t>
      </w:r>
    </w:p>
    <w:p w14:paraId="7BDF2A40"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Электрооборудование танка было выполнено по однопроводной схеме (аварийное освещение – двухпроводное). Напряжение бортовой сети составляло 12 и 24 В. Основным источником электрической энергии танка являлся генератор ГТ-1000 с реле-регулятором РРА, а вспомогательным – четыре аккумуляторные батареи (АКБ) марки 6СТЭ-128, соединенные между собой попарно параллельно, а между </w:t>
      </w:r>
      <w:r w:rsidRPr="00722885">
        <w:rPr>
          <w:iCs/>
          <w:color w:val="000000" w:themeColor="text1"/>
          <w:sz w:val="16"/>
          <w:szCs w:val="16"/>
        </w:rPr>
        <w:t xml:space="preserve">................... ........ "....... ..... .34" </w:t>
      </w:r>
      <w:r w:rsidRPr="00722885">
        <w:rPr>
          <w:color w:val="000000" w:themeColor="text1"/>
          <w:sz w:val="16"/>
          <w:szCs w:val="16"/>
        </w:rPr>
        <w:t xml:space="preserve">группами – последовательно. Источники электрической энергии находились в моторном отделении. На днище моторного отделения, по обеим сторонам двигателя, устанавливались на специальных кронштейнах по две АКБ. С правой стороны двигателя (по направлению движения танка) на двух кронштейнах (лапах) картера двигателя устанавливался генератор. </w:t>
      </w:r>
    </w:p>
    <w:p w14:paraId="3B64CA3E"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Основными потребителями электроэнергии являлись: стартер СТ-700 с пусковым реле РС-371; электродвигатель механизма поворота башни МБ-20А; электродвигатель вентилятора боевого отделения МВ-12; танковое переговорное устройство ТПУ-3Р; вибрационный электросигнал ГФ-12Т; фара и задний фонарь со стеклом красного цвета. </w:t>
      </w:r>
    </w:p>
    <w:p w14:paraId="24AF8311"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Стартер при помощи стяжных лент крепился к специальному ложу на горловине коробки передач. Пусковое реле стартера устанавливалось на верхней половине картера коробки передач с левой (по ходу танка) стороны. Мотор поворота башни крепился двумя стальными лентами в ложе поворотного механизма. Мотор вентилятора боевого отделения устанавливался в вентиляционном лючке крыши башни. Электросигнал крепился внутри танка на левой косынке моторной перегородки. </w:t>
      </w:r>
    </w:p>
    <w:p w14:paraId="7C43F525"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Слева от механика-водителя на двух резиновых амортизаторах крепился щиток электроприборов, который освещался лампочкой на самом щитке. Аварийный щиток устанавливался в верхней части первой правой шахты подвески. На нем размещался плафон аварийного освещения боевого отделения. На потолке башни устанавливался плафон с тумблером для освещения боевого отделения. Выключатель аккумуляторных батарей ("массы") размещался справа от сидения стрелка-радиста. Щиток блока защиты аккумуляторных батарей был смонтирован на левой стороне перегородки боевого и моторного отделений – над левой группой аккумуляторных батарей. </w:t>
      </w:r>
    </w:p>
    <w:p w14:paraId="562081B4"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На полу боевого отделения, на специальной подставке устанавливалось вращающееся контактное устройство ВКУ-137, имевшее по три силовых и по семь слаботочных щеток и колец. Особенностью электрической сети танка являлось включение приборов и аппаратов электрооборудования, рассчитанных на работу при различных напряжениях. Генератор, стартер с пусковым реле и мотор поворота башни были рассчитаны на работу при напряжении 24 В, остальные потребители – на 12 В. </w:t>
      </w:r>
    </w:p>
    <w:p w14:paraId="381CBA92"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В передней части танка на левом наклонном броневом листе, на специальном кронштейне крепилась фара. </w:t>
      </w:r>
    </w:p>
    <w:p w14:paraId="412E4742"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Для внутренней телефонной связи между членами экипажа в танке устанавливалось танковое переговорное устройство ТПУ-3Р. В состав ТПУ входили: аппарат командира танка № 1, расположенный в башне на левой стенке, над смотровым прибором; аппарат стрелка-радиста № 2, расположенный в носовой части корпуса на правом борту танка, между узлом подвески переднего опорного катка и первой шахтой, рядом с передатчиком; аппарат механика-водителя № 3, расположенный впереди сиденья механика-водителя на переднем наклонном броневом листе, между люком механика-водителя и колпаком защиты курсового пулемета; три пары головных телефонов типа ТА-2 и ларингофонов типа ЛА-3, установленных в шлемофонах и три шнура с разъемной колодкой. </w:t>
      </w:r>
    </w:p>
    <w:p w14:paraId="27708F1D" w14:textId="77777777" w:rsidR="00AE7191" w:rsidRPr="00722885" w:rsidRDefault="00AE7191" w:rsidP="00722885">
      <w:pPr>
        <w:pStyle w:val="Default"/>
        <w:jc w:val="both"/>
        <w:rPr>
          <w:color w:val="000000" w:themeColor="text1"/>
          <w:sz w:val="16"/>
          <w:szCs w:val="16"/>
        </w:rPr>
      </w:pPr>
      <w:r w:rsidRPr="00722885">
        <w:rPr>
          <w:color w:val="000000" w:themeColor="text1"/>
          <w:sz w:val="16"/>
          <w:szCs w:val="16"/>
        </w:rPr>
        <w:t xml:space="preserve">Для обеспечения эксплуатации танка в войсках танк оснащался возимым комплектом запасных частей, инструмента и принадлежностей (ЗИП). Часть комплекта ЗИП располагалась снаружи танка, а часть – внутри. На правой полке над гусеницей размещались: два буксирных троса, большая саперная лопата, два трака с гребнем, 18 шпор, ящик с инструментом и запасными частями, два трака без гребня. На левой полке над гусеницей размещались: две петли для соединения буксирных тросов, ящик с ЗИПом пушки Ф-34, брезент для покрытия танка и подстилочный брезент. В отделении управления укладывались: брезентовая сумка с ЗИПом двигателя, сумка с предметами ТПУ, два шлемофона в сумках, ящик и сумка с инструментами, паяльная лампа, молоток слесарный, топор, ведро металлическое с универсальной лейкой, фильтром и шёлковым полотном, ведро брезентовое, шприц-пресс, ломик, лом, кувалда и сумка для документов. </w:t>
      </w:r>
    </w:p>
    <w:p w14:paraId="242F00BC" w14:textId="77777777" w:rsidR="00AE7191" w:rsidRPr="00722885" w:rsidRDefault="00AE7191" w:rsidP="00722885">
      <w:pPr>
        <w:pStyle w:val="314"/>
        <w:shd w:val="clear" w:color="auto" w:fill="auto"/>
        <w:spacing w:line="240" w:lineRule="auto"/>
        <w:rPr>
          <w:rFonts w:ascii="Times New Roman" w:hAnsi="Times New Roman" w:cs="Times New Roman"/>
          <w:i w:val="0"/>
          <w:iCs w:val="0"/>
          <w:noProof w:val="0"/>
          <w:color w:val="000000" w:themeColor="text1"/>
          <w:spacing w:val="0"/>
          <w:sz w:val="16"/>
          <w:szCs w:val="16"/>
          <w:lang w:val="ru-RU"/>
        </w:rPr>
      </w:pPr>
      <w:r w:rsidRPr="00722885">
        <w:rPr>
          <w:rFonts w:ascii="Times New Roman" w:hAnsi="Times New Roman" w:cs="Times New Roman"/>
          <w:i w:val="0"/>
          <w:iCs w:val="0"/>
          <w:color w:val="000000" w:themeColor="text1"/>
          <w:spacing w:val="0"/>
          <w:sz w:val="16"/>
          <w:szCs w:val="16"/>
          <w:lang w:val="ru-RU"/>
        </w:rPr>
        <w:t>В боевом отделении укладывались: запасная головка перископа ПТК, сумка с предметами ТПУ, два шлемофона в сумках, санитарная аптечка в футляре, два бачка для питьевой воды, защитные стекла смотровых приборов, два комплекта сошек и ЗИПа пулеметов ДТ, ЗИП пушки в сумке, ручной экстрактор пушки</w:t>
      </w:r>
      <w:r w:rsidRPr="00722885">
        <w:rPr>
          <w:rFonts w:ascii="Times New Roman" w:hAnsi="Times New Roman" w:cs="Times New Roman"/>
          <w:i w:val="0"/>
          <w:iCs w:val="0"/>
          <w:noProof w:val="0"/>
          <w:color w:val="000000" w:themeColor="text1"/>
          <w:spacing w:val="0"/>
          <w:sz w:val="16"/>
          <w:szCs w:val="16"/>
          <w:lang w:val="ru-RU"/>
        </w:rPr>
        <w:t xml:space="preserve"> (12068)</w:t>
      </w:r>
      <w:r w:rsidRPr="00722885">
        <w:rPr>
          <w:rFonts w:ascii="Times New Roman" w:hAnsi="Times New Roman" w:cs="Times New Roman"/>
          <w:i w:val="0"/>
          <w:iCs w:val="0"/>
          <w:color w:val="000000" w:themeColor="text1"/>
          <w:spacing w:val="0"/>
          <w:sz w:val="16"/>
          <w:szCs w:val="16"/>
          <w:lang w:val="ru-RU"/>
        </w:rPr>
        <w:t>.</w:t>
      </w:r>
    </w:p>
    <w:p w14:paraId="3A3C04CA" w14:textId="77777777" w:rsidR="00AE7191" w:rsidRPr="00722885" w:rsidRDefault="00AE7191" w:rsidP="00722885">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p>
    <w:p w14:paraId="2B9080B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был изготовлен опытный образец, получивший обозначение Т-34С. Этот танк был создан на базе серийного танка Т-34-76 и отличался от последнего установкой новой литой башни (на серийном погоне) с командирской башенкой, а также пятиступенчатой коробки передач (10703).</w:t>
      </w:r>
    </w:p>
    <w:p w14:paraId="61A6C35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5A00EA2"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июле 1942 на заводе № 37 изготовили СУ-32. Как и СУ-31, построили её из неброневой стали толщиной 15 мм по периметру. Ходовую часть взяли от Т-70, как и люк механика-водителя. Серьёзно была переработана рубка, которая стала более просторной, что позволило увеличить боекомплект установки до 60 выстрелов. Как и в проектном образце, рубку сделали открытой сверху, однако площадь открытого сзади проёма сократили за счёт добавления кормовых бронелистов. Для удобства попадания внутрь САУ на кормовых листах рубки установили скобы, также имелись две подножки.</w:t>
      </w:r>
    </w:p>
    <w:p w14:paraId="785E41A1"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качестве вооружения использовалась 76-мм пушка ЗИС-3 на тумбе. Система устанавливалась вместе с элементами лафета и фрагментами станин, из-за чего занимала внутри боевого отделения больше места. Зато использовалась менее дефицитная пушка с минимумом переделок. Для прикрытия механизмов отката пушка получила бронировку сварной конструкции. Справа от пушки располагался курсовой пулемёт ДТ в шаровой установке, аналогичной использовавшейся на КВ-1 (17668).</w:t>
      </w:r>
    </w:p>
    <w:p w14:paraId="5308A317" w14:textId="77777777" w:rsidR="00573D52" w:rsidRPr="00722885" w:rsidRDefault="00573D52" w:rsidP="00722885">
      <w:pPr>
        <w:spacing w:after="0" w:line="240" w:lineRule="auto"/>
        <w:jc w:val="both"/>
        <w:rPr>
          <w:rFonts w:ascii="Times New Roman" w:eastAsia="Times New Roman" w:hAnsi="Times New Roman"/>
          <w:color w:val="000000" w:themeColor="text1"/>
          <w:sz w:val="16"/>
          <w:szCs w:val="16"/>
          <w:lang w:eastAsia="ru-RU"/>
        </w:rPr>
      </w:pPr>
    </w:p>
    <w:p w14:paraId="0D658EE3"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июле 1942 года КБ завода №92 представило пушку с длиной ствола 63 калибра и лафетом ЗИС-3 в качестве основы. Она получила обозначение ИС-1 и вполне успешно прошла заводские испытания. Именно это орудие стали считать приоритетным для ЗИС-41. Правда, на испытаниях на Гороховецком полигоне у ИС-1 был выявлен ряд недостатков, и ее серийное производство не состоялось (17671).</w:t>
      </w:r>
    </w:p>
    <w:p w14:paraId="0C2752AA" w14:textId="77777777" w:rsidR="00573D52" w:rsidRPr="00722885" w:rsidRDefault="00573D52" w:rsidP="00722885">
      <w:pPr>
        <w:spacing w:after="0" w:line="240" w:lineRule="auto"/>
        <w:jc w:val="both"/>
        <w:rPr>
          <w:rFonts w:ascii="Times New Roman" w:eastAsia="Times New Roman" w:hAnsi="Times New Roman"/>
          <w:color w:val="000000" w:themeColor="text1"/>
          <w:sz w:val="16"/>
          <w:szCs w:val="16"/>
          <w:lang w:eastAsia="ru-RU"/>
        </w:rPr>
      </w:pPr>
    </w:p>
    <w:p w14:paraId="60D11839" w14:textId="77777777" w:rsidR="00055F9B" w:rsidRPr="00722885" w:rsidRDefault="00055F9B"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июле 1942 года машина, получившая обозначение СУ-32, была готова. По проекту толщина лобовой части корпуса и рубки достигала 35 мм, но опытный образец изготовили из конструкционной стали толщиной 15 мм. Поэтому на машину дополнительно установили балласт. С боевой массой машины, как и в случае с СУ-31, не угадали, но уже в лучшую сторону. Вместо 10,5 тонн масса составила 10 тонн. Помимо 76-мм орудия ЗИС-3, также имелось оборонительное вооружение в виде пулемета ДТ в шаровой установке. Его разместили в лобовой части корпуса, с правой стороны. Экипаж остался тот же, что и у ЗИК-7, то есть 3 человека. Отмечалось, что механик-водитель не изолирован от мотора и выхлопных газов (21099).</w:t>
      </w:r>
    </w:p>
    <w:p w14:paraId="509B1A26" w14:textId="77777777" w:rsidR="00055F9B" w:rsidRPr="00722885" w:rsidRDefault="00055F9B"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5B9B0013"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В июле 1942 года в КБ ГАЗ им. Молотова начались работы по модернизации ходовой части Т-70. К 12 числу был разработан новый трак, расширенный до 300 мм. Его довольно легко визуально отличить по отсутствию круглых отверстий. Одновременно поступили отчеты с Брянского и Центрального фронтов, из которых было понятно, что толщины бортов корпуса в 15 мм для танка явно недостаточно.</w:t>
      </w:r>
    </w:p>
    <w:p w14:paraId="645EBB35"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Кроме того, именно в этот момент впервые прозвучала информация о том, что командир лёгкого танка перегружен работой, поскольку вынужден совмещать обязанности командира, наводчика, заряжающего и радиста. Это стало сигналом к разработке двухместной башни, что привело, в итоге, к созданию Т-80, последнего советского серийного легкого танка военного периода. Информация о том, что конструктор Астров имел какие-то планы, по созданию двухместной башни для Т-70 ещё весной 1942 года, является плодом фантазии авторов, это написавших.</w:t>
      </w:r>
    </w:p>
    <w:p w14:paraId="2140C615" w14:textId="77777777" w:rsidR="00573D52" w:rsidRPr="00722885"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Другой известной фантазией, появившейся еще в 60-е годы, является индекс танка с модернизированной ходовой частью. Широко известное обозначение Т-70М является плодом воображения одного из не очень чистоплотных с точки зрения исторической достоверности создателей справочника, появившегося в послевоенные годы. Этому же составителю мы «обязаны» и появлением индекса Т-40с. Так вот, впервые обозначение модернизированного Т-70 появилось в июле 1942 года, и выглядело оно как Т-70Б. Также в переписке использовалось обозначение Т-70-Б (17695).</w:t>
      </w:r>
    </w:p>
    <w:p w14:paraId="4CFBE7B3" w14:textId="77777777" w:rsidR="00573D52" w:rsidRPr="00722885" w:rsidRDefault="00573D52" w:rsidP="00722885">
      <w:pPr>
        <w:spacing w:after="0" w:line="240" w:lineRule="auto"/>
        <w:jc w:val="both"/>
        <w:rPr>
          <w:rFonts w:ascii="Times New Roman" w:eastAsia="Times New Roman" w:hAnsi="Times New Roman"/>
          <w:color w:val="000000" w:themeColor="text1"/>
          <w:sz w:val="16"/>
          <w:szCs w:val="16"/>
          <w:lang w:eastAsia="ru-RU"/>
        </w:rPr>
      </w:pPr>
    </w:p>
    <w:p w14:paraId="76F4903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по заданию ГАУ завод № 37 на базе танка Т-60 изготовил опытный образец зенитной 37-мм самоходной установки ЗСУ-37. А в кон</w:t>
      </w:r>
      <w:r w:rsidRPr="00722885">
        <w:rPr>
          <w:rFonts w:ascii="Times New Roman" w:hAnsi="Times New Roman"/>
          <w:color w:val="000000" w:themeColor="text1"/>
          <w:sz w:val="16"/>
          <w:szCs w:val="16"/>
        </w:rPr>
        <w:softHyphen/>
        <w:t>це того же года для противовоздушной обороны танковых соединений и штабов войск были разработаны и изготовлены опытные образцы зенит</w:t>
      </w:r>
      <w:r w:rsidRPr="00722885">
        <w:rPr>
          <w:rFonts w:ascii="Times New Roman" w:hAnsi="Times New Roman"/>
          <w:color w:val="000000" w:themeColor="text1"/>
          <w:sz w:val="16"/>
          <w:szCs w:val="16"/>
        </w:rPr>
        <w:softHyphen/>
        <w:t>ных танков Т-60-3, Т-70 (зенитный) и Т-90, вооруженные спаренной уста</w:t>
      </w:r>
      <w:r w:rsidRPr="00722885">
        <w:rPr>
          <w:rFonts w:ascii="Times New Roman" w:hAnsi="Times New Roman"/>
          <w:color w:val="000000" w:themeColor="text1"/>
          <w:sz w:val="16"/>
          <w:szCs w:val="16"/>
        </w:rPr>
        <w:softHyphen/>
        <w:t>новкой 12,7-мм пулеметов ДШК. Кроме того, на базе танка Т-60 Горьковским автозаводом был разработан и изготовлен опытный образец танка Т-95 с другим вариантом установки аналогичного вооружения и прице</w:t>
      </w:r>
      <w:r w:rsidRPr="00722885">
        <w:rPr>
          <w:rFonts w:ascii="Times New Roman" w:hAnsi="Times New Roman"/>
          <w:color w:val="000000" w:themeColor="text1"/>
          <w:sz w:val="16"/>
          <w:szCs w:val="16"/>
        </w:rPr>
        <w:softHyphen/>
        <w:t>лов, но по ряду причин эта машина не была запущена в производство (10703).</w:t>
      </w:r>
    </w:p>
    <w:p w14:paraId="1F4DBE8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4927F56" w14:textId="77777777" w:rsidR="000C324B" w:rsidRPr="00722885" w:rsidRDefault="000C324B"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В июле 1942 заводу № 264 удалось сдать 51 танк Т-60. Ввиду несвоевременного поступления двигателей с ГАЗ и траков с СТЗ, доукомплектование последних Т-60 закончилась 26 июля. Большинство танков июльского выпуска было отправлено на комплектование частей Сталинградского и Воронежского фронтов.Впрочем, наступающих на Сталинград немцев и румын встретили не только танки: часть башен Т-60 из задела была использована в каче</w:t>
      </w:r>
      <w:r w:rsidRPr="00722885">
        <w:rPr>
          <w:rFonts w:eastAsia="Calibri"/>
          <w:color w:val="000000" w:themeColor="text1"/>
          <w:sz w:val="16"/>
          <w:szCs w:val="16"/>
        </w:rPr>
        <w:softHyphen/>
        <w:t>стве неподвижных огневых точек. Несмотря на все трудности, завод № 264 оказался на втором месте по числу выпущенных Т-60: всего в Красноармейске было выпущено 1174 танка.</w:t>
      </w:r>
    </w:p>
    <w:p w14:paraId="032BAE42"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окончании битвы за Сталинград завод № 264, меньше постра</w:t>
      </w:r>
      <w:r w:rsidRPr="00722885">
        <w:rPr>
          <w:rFonts w:ascii="Times New Roman" w:hAnsi="Times New Roman"/>
          <w:color w:val="000000" w:themeColor="text1"/>
          <w:sz w:val="16"/>
          <w:szCs w:val="16"/>
        </w:rPr>
        <w:softHyphen/>
        <w:t>давший от бомбежек, был преобразован в ремзавод № 264. Помимо восстановления советских танков, предприятие занималось ремонтом и трофейной бронетехники. В 1944 году завод занимался изготовлени</w:t>
      </w:r>
      <w:r w:rsidRPr="00722885">
        <w:rPr>
          <w:rFonts w:ascii="Times New Roman" w:hAnsi="Times New Roman"/>
          <w:color w:val="000000" w:themeColor="text1"/>
          <w:sz w:val="16"/>
          <w:szCs w:val="16"/>
        </w:rPr>
        <w:softHyphen/>
        <w:t>ем рубок для САУ ИСУ-152, находился в кооперации по производству танка Т-44. В дальнейшем завод вернулся к основной деятельности (судостроению) и танками не занимался (17485).</w:t>
      </w:r>
    </w:p>
    <w:p w14:paraId="3DC8CD4E" w14:textId="77777777" w:rsidR="000C324B" w:rsidRPr="00722885" w:rsidRDefault="000C324B" w:rsidP="00722885">
      <w:pPr>
        <w:spacing w:after="0" w:line="240" w:lineRule="auto"/>
        <w:jc w:val="both"/>
        <w:rPr>
          <w:rFonts w:ascii="Times New Roman" w:hAnsi="Times New Roman"/>
          <w:color w:val="000000" w:themeColor="text1"/>
          <w:sz w:val="16"/>
          <w:szCs w:val="16"/>
        </w:rPr>
      </w:pPr>
    </w:p>
    <w:p w14:paraId="5B78ED1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июля 1942 г. в связи с принятием на вооружение автоматического танкового огнемета АТО-42 в КБ завода № 112 под руководством глав</w:t>
      </w:r>
      <w:r w:rsidRPr="00722885">
        <w:rPr>
          <w:rFonts w:ascii="Times New Roman" w:hAnsi="Times New Roman"/>
          <w:color w:val="000000" w:themeColor="text1"/>
          <w:sz w:val="16"/>
          <w:szCs w:val="16"/>
        </w:rPr>
        <w:softHyphen/>
        <w:t>ного конструктора В.В. Крылова были переработаны чертежи установ</w:t>
      </w:r>
      <w:r w:rsidRPr="00722885">
        <w:rPr>
          <w:rFonts w:ascii="Times New Roman" w:hAnsi="Times New Roman"/>
          <w:color w:val="000000" w:themeColor="text1"/>
          <w:sz w:val="16"/>
          <w:szCs w:val="16"/>
        </w:rPr>
        <w:softHyphen/>
        <w:t>ки огнемета АТО-41 под установку нового огнемета. Некоторое время завод выпускал огнеметные танки ОТ-34-76 с огнеметом как АТО-41, так и АТО-42. Новая огнеметная установка отличалась конструкцией отдельных элементов, увеличенной до 200 л емкостью бака для огнесме</w:t>
      </w:r>
      <w:r w:rsidRPr="00722885">
        <w:rPr>
          <w:rFonts w:ascii="Times New Roman" w:hAnsi="Times New Roman"/>
          <w:color w:val="000000" w:themeColor="text1"/>
          <w:sz w:val="16"/>
          <w:szCs w:val="16"/>
        </w:rPr>
        <w:softHyphen/>
        <w:t>си и количеством баллонов со сжатым воздухом. Кроме того, была уве</w:t>
      </w:r>
      <w:r w:rsidRPr="00722885">
        <w:rPr>
          <w:rFonts w:ascii="Times New Roman" w:hAnsi="Times New Roman"/>
          <w:color w:val="000000" w:themeColor="text1"/>
          <w:sz w:val="16"/>
          <w:szCs w:val="16"/>
        </w:rPr>
        <w:softHyphen/>
        <w:t>личена дальность огнеметания до 60 - 70 м при стрельбе огневыми вы</w:t>
      </w:r>
      <w:r w:rsidRPr="00722885">
        <w:rPr>
          <w:rFonts w:ascii="Times New Roman" w:hAnsi="Times New Roman"/>
          <w:color w:val="000000" w:themeColor="text1"/>
          <w:sz w:val="16"/>
          <w:szCs w:val="16"/>
        </w:rPr>
        <w:softHyphen/>
        <w:t>стрелами, содержавшими смесь 60% мазута и 40% керосина и до 100 -130 м при использовании спецсмеси. Темп стрельбы был увеличен до 24 - 30 выстр./мин. В 1943 г. к производству огнеметных танков был привлечен завод № 174 в Омске. Кроме одного танка с огнеметом АТО-41, все остальные огнеметные танки ОТ-34-76 (489 машин) выпуска 1943 - 1944 гг. были вооружены огнеметом АТО-42. На части огнеметных танков с 1943 г. в башне машины устанавлива</w:t>
      </w:r>
      <w:r w:rsidRPr="00722885">
        <w:rPr>
          <w:rFonts w:ascii="Times New Roman" w:hAnsi="Times New Roman"/>
          <w:color w:val="000000" w:themeColor="text1"/>
          <w:sz w:val="16"/>
          <w:szCs w:val="16"/>
        </w:rPr>
        <w:softHyphen/>
        <w:t>лась радиостанция 9Р с танковым переговорным устройством ТПУ-2. Всего было выпущено 148 огнеметных танков ОТ-34-76, оснащенных радиостанцией. Антенный изолятор крепился внутри броневого защит</w:t>
      </w:r>
      <w:r w:rsidRPr="00722885">
        <w:rPr>
          <w:rFonts w:ascii="Times New Roman" w:hAnsi="Times New Roman"/>
          <w:color w:val="000000" w:themeColor="text1"/>
          <w:sz w:val="16"/>
          <w:szCs w:val="16"/>
        </w:rPr>
        <w:softHyphen/>
        <w:t>ного стакана, приваривавшегося к кронштейну на кормовом листе баш</w:t>
      </w:r>
      <w:r w:rsidRPr="00722885">
        <w:rPr>
          <w:rFonts w:ascii="Times New Roman" w:hAnsi="Times New Roman"/>
          <w:color w:val="000000" w:themeColor="text1"/>
          <w:sz w:val="16"/>
          <w:szCs w:val="16"/>
        </w:rPr>
        <w:softHyphen/>
        <w:t>ни танка (10703).</w:t>
      </w:r>
    </w:p>
    <w:p w14:paraId="492BC42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F11B6C2"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июле 1942 один из «Тетрархов», танк с регистрационным номером T.9328, был отправлен из Азербайджана на НИИБТ Полигон в Кубинку.</w:t>
      </w:r>
    </w:p>
    <w:p w14:paraId="559D0418"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Итоги почти полугодовой эксплуатации «Тетрархов» в горных условиях были кратко изложены в записке, отправленной в Москву зам начальника АБТУ Закавказского фронта по ремонту и снабжения инженер-подполковником Галкиным 29 ноября 1942 года:</w:t>
      </w:r>
    </w:p>
    <w:p w14:paraId="03B301D6"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«На основании поступающих материалов от войсковых частей о недостатках, выявленных при эксплуатации английских танков МК-7, докладываю:</w:t>
      </w:r>
    </w:p>
    <w:p w14:paraId="055A1E8D"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1. Двигатель работает хорошо, но конструкция системы охлаждения имеет существенный недостаток, не позволяющий полного слива воды без снятия двигателя, к тому же сечение отводной трубки 4 мм недостаточное, быстро засоряется накипью, а во время мороза замерзает. Работа зимой даже в условиях Закавказского фронта на этом двигателе требует применения антифриза.</w:t>
      </w:r>
    </w:p>
    <w:p w14:paraId="6D52B65A"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2. Большое количество деталей и узлов изготовлено с недостаточным запасом прочности, в связи с чем даже не при полной нагрузке не на плохих дорогах они часто выходят из строя.</w:t>
      </w:r>
    </w:p>
    <w:p w14:paraId="192A7E34"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&lt;…&gt;</w:t>
      </w:r>
    </w:p>
    <w:p w14:paraId="0E384CC3"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3. Кронштейны поддерживающих колёс имеют недостаточный запас прочности, отсюда возникают трещины в углах кронштейна.</w:t>
      </w:r>
    </w:p>
    <w:p w14:paraId="20E58D57"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4. Быстро изнашивается и выходит из строя шестерня промежуточного вала.</w:t>
      </w:r>
    </w:p>
    <w:p w14:paraId="216BF46F"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5. Броневой корпус имеет следующие недочёты:</w:t>
      </w:r>
    </w:p>
    <w:p w14:paraId="458D1825"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а. крепление крыши (башни – прим. автора) танка недостаточное, семь угольников толщиной 4–5 мм легко могут быть сорваны при помощи ломика</w:t>
      </w:r>
    </w:p>
    <w:p w14:paraId="50E42AC4"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б. крышка люка закрепляется непрочно.</w:t>
      </w:r>
    </w:p>
    <w:p w14:paraId="5C498D8C"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в. в корпусе башни и кормовой броне моторного отделения имеются отверстия, без которых с успехом можно обойтись, не увеличивая тем самым уязвимость танка от оружейного огня и действий зажигательной смеси.</w:t>
      </w:r>
    </w:p>
    <w:p w14:paraId="0CC826BA"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6. К недостатка танка относится и сама компоновка отдельных агрегатов (коробка перемены передач, дифференциал, тормозные барабаны), которые расположены под мотором и при неисправности требуют снятия двигателя.</w:t>
      </w:r>
    </w:p>
    <w:p w14:paraId="75827280"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7. Доступ к гайкам шпилек кронштейна ведущей шестёренки ведомого колеса затруднён.</w:t>
      </w:r>
    </w:p>
    <w:p w14:paraId="286F9CE6"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8. Гусеничное полотно и траки не обеспечивают надёжного сцепления с почвой и дают большой процент пробуксовок при мокрых и снежных дорогах.</w:t>
      </w:r>
    </w:p>
    <w:p w14:paraId="5CE2FBE5"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Указанные конструктивные недостатки, при отсутствии необходимых запчастей, надолго выводят из строя данные танки».</w:t>
      </w:r>
    </w:p>
    <w:p w14:paraId="0AE65FF4"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слову, проблемы при езде по мягкому грунту и недостатки, связанные с двигателем, отмечали и сами англичане в ходе испытаний «Тетрарха» в 1941 году на Ближнем Востоке (17648).</w:t>
      </w:r>
    </w:p>
    <w:p w14:paraId="42FBCC5D" w14:textId="77777777" w:rsidR="009F003B" w:rsidRPr="00722885" w:rsidRDefault="009F003B" w:rsidP="00722885">
      <w:pPr>
        <w:pStyle w:val="12a"/>
        <w:shd w:val="clear" w:color="auto" w:fill="auto"/>
        <w:spacing w:after="0" w:line="240" w:lineRule="auto"/>
        <w:jc w:val="both"/>
        <w:rPr>
          <w:color w:val="000000" w:themeColor="text1"/>
          <w:sz w:val="16"/>
          <w:szCs w:val="16"/>
        </w:rPr>
      </w:pPr>
    </w:p>
    <w:p w14:paraId="50DBD284"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июле 1942 года в Казани на полигоне НИИБТ прошло сравнительное испытание танка Light Tank M3, которые в советской переписке называли «М-3 лёгкий» или М3л с башней D38976. В ходе него М3л разогнался ещё быстрее – до 60 км/ч. Средний расход топлива по шоссе, просёлку и бездорожью составил на этот раз 136, 176 и 246 литров соответственно. Это говорит о том, что на первом этапе, вероятно, существовали какие-то проблемы. Впрочем, запас хода по бездорожью всё равно оказался меньше 100 км. Неудивительно, что англичане в 1942 году затребовали для «Стюартов» дополнительные баки. Справедливости ради, отметим, что Pz.Kpfw.III Ausf.H на испытаниях показал расход топлива 215, 280 и 335 литров соответственно, а запас его хода по бездорожью составил всего 95 километров, что соответствовало паспортным данным.</w:t>
      </w:r>
    </w:p>
    <w:p w14:paraId="1C27FDC7"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Испытания в летних условиях показали, что американский лёгкий танк имеет всё те же проблемы на подъёмах. Не помогла даже установка шпор, после которой машина стала не соскальзывать, а рыть грунт. Впрочем, у остальных танков характеристики по подъёму оказались не особо лучшими. На подъёмах круче 40 градусов у М3л наблюдалось недостаточное сцепление с грунтом.</w:t>
      </w:r>
    </w:p>
    <w:p w14:paraId="453F7D61"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При движении по броду глубиной 1,4 метра танк смог выбраться на берег только со второй попытки, и снова из-за недостаточного сцепления с грунтом. Между тем, Medium Tank M3 при попытке выхода из воды вовсе заглох, и его пришлось вытаскивать трактором. То же самое случилось и с Valentine VII. А Pz.Kpfw.III Ausf.H не смог и этого, поскольку его моторное отделение залило водой при прохождении брода глубиной 1,3 метра, и танк прошёл всего 30 метров. Pz.Kpfw.38(t) Ausf.E оказался чуть удачливее, преодолев 35 метров.</w:t>
      </w:r>
    </w:p>
    <w:p w14:paraId="2FB9D405"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Отдельной программой стали испытания по передвижению в болотистой местности. Для них был выбран участок длиной 100 метров, проходимый человеком, сложный для лошади и непроходимый для колёсной техники. Американский лёгкий танк преодолел его в обоих направлениях, застряв в ходе движения по собственному следу. Medium Tank M3 застрял, преодолев 30 метров; Pz.Kpfw.III Ausf.H преодолел 50 метров и тоже завяз. Для Valentine VII и Pz.Kpfw.38(t) Ausf.E болото не оказалось проблемой, они также прошли по свежему болоту.</w:t>
      </w:r>
    </w:p>
    <w:p w14:paraId="07079F3C"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Позже был проведён второй этап, в котором вместо Pz.Kpfw.III Ausf.H и Valentine VII использовались лёгкие танки Т-60 и Т-70. Результаты оказались теми же. М3л снова был лидером. Что же касается «новичков», то они в принципе болото преодолевали, но в ходовую часть забивалась трава, что и стало причиной застревания Т-70 в ходе одной из попыток.</w:t>
      </w:r>
    </w:p>
    <w:p w14:paraId="4A7464FD"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Финалом испытаний стали стрельбы. В их ходе выяснилось, что советская 45-мм пушка, а также английская 2-фунтовая (40 мм) пушка не пробивают бронебойными снарядами плиты толщиной 50 мм. Что же касается 37-мм американской пушки M5, то она с дистанции 100 метров вполне спокойно пробивала и 50-мм лобовую плиту StuG III Ausf.B, и 50-мм (25+25 мм) лоб Pz.Kpfw.38(t) Ausf.E. Мощности орудия вполне хватало, чтобы успешно бороться со всеми танками противника, выпускавшимися в 1941 году.</w:t>
      </w:r>
    </w:p>
    <w:p w14:paraId="6E530D7B"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Изучение конструкции и химического состава корпуса американского танка советских инженеров не впечатлило. Корпус имел большое количество клёпаных соединений, а из-за большой удельной массы дефицитных присадок никеля и молибдена не вызвала интереса и сталь, из которой изготовлялся танк (17653).</w:t>
      </w:r>
    </w:p>
    <w:p w14:paraId="03392425" w14:textId="77777777" w:rsidR="009F003B" w:rsidRPr="00722885" w:rsidRDefault="009F003B" w:rsidP="00722885">
      <w:pPr>
        <w:pStyle w:val="12a"/>
        <w:shd w:val="clear" w:color="auto" w:fill="auto"/>
        <w:spacing w:after="0" w:line="240" w:lineRule="auto"/>
        <w:jc w:val="both"/>
        <w:rPr>
          <w:color w:val="000000" w:themeColor="text1"/>
          <w:sz w:val="16"/>
          <w:szCs w:val="16"/>
        </w:rPr>
      </w:pPr>
    </w:p>
    <w:p w14:paraId="422C47AE" w14:textId="77777777" w:rsidR="009F003B" w:rsidRPr="00722885"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xml:space="preserve">В июле 1942 пехотные танки ChurchillIIи ChurchillIII прибыли в Архангельск. Всего в Советский Союз был отправлен 301 танк данного типа, из которых до места назначения добрались 253. Несмотря на сравнительно небольшой объём поставок, тёзки премьер-министра Великобритании сыграли весьма важную роль на полях сражений Великой Отечественной войны. Достаточно сказать, что именно эти машины, наряду с </w:t>
      </w:r>
      <w:hyperlink r:id="rId57" w:history="1">
        <w:r w:rsidRPr="00722885">
          <w:rPr>
            <w:rFonts w:ascii="Times New Roman" w:eastAsia="Times New Roman" w:hAnsi="Times New Roman"/>
            <w:iCs/>
            <w:color w:val="000000" w:themeColor="text1"/>
            <w:sz w:val="16"/>
            <w:szCs w:val="16"/>
            <w:lang w:eastAsia="ru-RU"/>
          </w:rPr>
          <w:t>КВ-1с</w:t>
        </w:r>
      </w:hyperlink>
      <w:r w:rsidRPr="00722885">
        <w:rPr>
          <w:rFonts w:ascii="Times New Roman" w:eastAsia="Times New Roman" w:hAnsi="Times New Roman"/>
          <w:iCs/>
          <w:color w:val="000000" w:themeColor="text1"/>
          <w:sz w:val="16"/>
          <w:szCs w:val="16"/>
          <w:lang w:eastAsia="ru-RU"/>
        </w:rPr>
        <w:t xml:space="preserve">, были основными тяжёлыми танками Красной армии в </w:t>
      </w:r>
      <w:hyperlink r:id="rId58" w:history="1">
        <w:r w:rsidRPr="00722885">
          <w:rPr>
            <w:rFonts w:ascii="Times New Roman" w:eastAsia="Times New Roman" w:hAnsi="Times New Roman"/>
            <w:iCs/>
            <w:color w:val="000000" w:themeColor="text1"/>
            <w:sz w:val="16"/>
            <w:szCs w:val="16"/>
            <w:lang w:eastAsia="ru-RU"/>
          </w:rPr>
          <w:t>танковом сражении под Прохоровкой</w:t>
        </w:r>
      </w:hyperlink>
      <w:r w:rsidRPr="00722885">
        <w:rPr>
          <w:rFonts w:ascii="Times New Roman" w:hAnsi="Times New Roman"/>
          <w:color w:val="000000" w:themeColor="text1"/>
          <w:sz w:val="16"/>
          <w:szCs w:val="16"/>
        </w:rPr>
        <w:t xml:space="preserve"> (17961)</w:t>
      </w:r>
      <w:r w:rsidRPr="00722885">
        <w:rPr>
          <w:rFonts w:ascii="Times New Roman" w:eastAsia="Times New Roman" w:hAnsi="Times New Roman"/>
          <w:iCs/>
          <w:color w:val="000000" w:themeColor="text1"/>
          <w:sz w:val="16"/>
          <w:szCs w:val="16"/>
          <w:lang w:eastAsia="ru-RU"/>
        </w:rPr>
        <w:t>.</w:t>
      </w:r>
    </w:p>
    <w:p w14:paraId="37C6A672" w14:textId="77777777" w:rsidR="009F003B" w:rsidRPr="00722885" w:rsidRDefault="009F003B" w:rsidP="00722885">
      <w:pPr>
        <w:spacing w:after="0" w:line="240" w:lineRule="auto"/>
        <w:jc w:val="both"/>
        <w:rPr>
          <w:rFonts w:ascii="Times New Roman" w:eastAsia="Times New Roman" w:hAnsi="Times New Roman"/>
          <w:color w:val="000000" w:themeColor="text1"/>
          <w:sz w:val="16"/>
          <w:szCs w:val="16"/>
          <w:lang w:eastAsia="ru-RU"/>
        </w:rPr>
      </w:pPr>
    </w:p>
    <w:p w14:paraId="5AEC31C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ГБТУ КА вновь возбудило ходатайство о возобновлении работ по инфракрасным приборам, в результате чего вышло Постановление ГОКО №2181сс от 18.08.1942 г., которое обязы</w:t>
      </w:r>
      <w:r w:rsidRPr="00722885">
        <w:rPr>
          <w:rFonts w:ascii="Times New Roman" w:hAnsi="Times New Roman"/>
          <w:color w:val="000000" w:themeColor="text1"/>
          <w:sz w:val="16"/>
          <w:szCs w:val="16"/>
        </w:rPr>
        <w:softHyphen/>
        <w:t>вало ОКБ ВЭИ изготовить 25 комплектов приборов для ночного вождения танков.</w:t>
      </w:r>
    </w:p>
    <w:p w14:paraId="323EEC1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указанные приборы были изготовлены и в количестве 24 комплектов установ</w:t>
      </w:r>
      <w:r w:rsidRPr="00722885">
        <w:rPr>
          <w:rFonts w:ascii="Times New Roman" w:hAnsi="Times New Roman"/>
          <w:color w:val="000000" w:themeColor="text1"/>
          <w:sz w:val="16"/>
          <w:szCs w:val="16"/>
        </w:rPr>
        <w:softHyphen/>
        <w:t>лены для испытаний в танках Т-34 в 16-й и 17-й танковых бригадах 1-го гвардейского Донского кор</w:t>
      </w:r>
      <w:r w:rsidRPr="00722885">
        <w:rPr>
          <w:rFonts w:ascii="Times New Roman" w:hAnsi="Times New Roman"/>
          <w:color w:val="000000" w:themeColor="text1"/>
          <w:sz w:val="16"/>
          <w:szCs w:val="16"/>
        </w:rPr>
        <w:softHyphen/>
        <w:t>пуса.</w:t>
      </w:r>
    </w:p>
    <w:p w14:paraId="32F358A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1943 г. ГОИ совместно с ОКБ ВЭИ изготовили и представили на испытания два ком</w:t>
      </w:r>
      <w:r w:rsidRPr="00722885">
        <w:rPr>
          <w:rFonts w:ascii="Times New Roman" w:hAnsi="Times New Roman"/>
          <w:color w:val="000000" w:themeColor="text1"/>
          <w:sz w:val="16"/>
          <w:szCs w:val="16"/>
        </w:rPr>
        <w:softHyphen/>
        <w:t>плекта танковых ночных прицелов ПЦТ-8, которые проходили испытания на НИБТ полигоне ГБТУКА.</w:t>
      </w:r>
    </w:p>
    <w:p w14:paraId="3C9C46D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 (11420).</w:t>
      </w:r>
    </w:p>
    <w:p w14:paraId="5256C04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51C697E" w14:textId="77777777" w:rsidR="00627011" w:rsidRPr="00722885" w:rsidRDefault="00627011"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июле 1942 года тема 152-мм истребителей ДОТов вообще исчезла из планов опытных работ ГАУ и ГАБТУ, вернувшись в них только к середине августа (15806).</w:t>
      </w:r>
    </w:p>
    <w:p w14:paraId="0E07FBF7" w14:textId="77777777" w:rsidR="00627011" w:rsidRPr="00722885" w:rsidRDefault="00627011" w:rsidP="00722885">
      <w:pPr>
        <w:spacing w:after="0" w:line="240" w:lineRule="auto"/>
        <w:jc w:val="both"/>
        <w:rPr>
          <w:rFonts w:ascii="Times New Roman" w:hAnsi="Times New Roman"/>
          <w:color w:val="000000" w:themeColor="text1"/>
          <w:sz w:val="16"/>
          <w:szCs w:val="16"/>
        </w:rPr>
      </w:pPr>
    </w:p>
    <w:p w14:paraId="6359E980"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на ЧКЗ возникли проблемы с производством коробок перемены пере</w:t>
      </w:r>
      <w:r w:rsidRPr="00722885">
        <w:rPr>
          <w:rFonts w:ascii="Times New Roman" w:hAnsi="Times New Roman"/>
          <w:color w:val="000000" w:themeColor="text1"/>
          <w:sz w:val="16"/>
          <w:szCs w:val="16"/>
        </w:rPr>
        <w:softHyphen/>
        <w:t>дач. Дело в том, что Челябинский Киров</w:t>
      </w:r>
      <w:r w:rsidRPr="00722885">
        <w:rPr>
          <w:rFonts w:ascii="Times New Roman" w:hAnsi="Times New Roman"/>
          <w:color w:val="000000" w:themeColor="text1"/>
          <w:sz w:val="16"/>
          <w:szCs w:val="16"/>
        </w:rPr>
        <w:softHyphen/>
        <w:t>ский завод должен был выпускать три типа боевых машин - КВ-1, КВ-1С и Т-34. Чтобы как-то выйти из этой сложной ситуации ди</w:t>
      </w:r>
      <w:r w:rsidRPr="00722885">
        <w:rPr>
          <w:rFonts w:ascii="Times New Roman" w:hAnsi="Times New Roman"/>
          <w:color w:val="000000" w:themeColor="text1"/>
          <w:sz w:val="16"/>
          <w:szCs w:val="16"/>
        </w:rPr>
        <w:softHyphen/>
        <w:t>ректор ЧКЗ С. Махонин и главный конструк</w:t>
      </w:r>
      <w:r w:rsidRPr="00722885">
        <w:rPr>
          <w:rFonts w:ascii="Times New Roman" w:hAnsi="Times New Roman"/>
          <w:color w:val="000000" w:themeColor="text1"/>
          <w:sz w:val="16"/>
          <w:szCs w:val="16"/>
        </w:rPr>
        <w:softHyphen/>
        <w:t>тор Ж. Котин в своем письме на имя нарко</w:t>
      </w:r>
      <w:r w:rsidRPr="00722885">
        <w:rPr>
          <w:rFonts w:ascii="Times New Roman" w:hAnsi="Times New Roman"/>
          <w:color w:val="000000" w:themeColor="text1"/>
          <w:sz w:val="16"/>
          <w:szCs w:val="16"/>
        </w:rPr>
        <w:softHyphen/>
        <w:t>ма танковой промышленности И. Зальцмана предлагали следующее:</w:t>
      </w:r>
    </w:p>
    <w:p w14:paraId="0B5FCB3D" w14:textId="77777777" w:rsidR="00627011" w:rsidRPr="00722885" w:rsidRDefault="0062701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«При создавшейся производственной про</w:t>
      </w:r>
      <w:r w:rsidRPr="00722885">
        <w:rPr>
          <w:rFonts w:ascii="Times New Roman" w:cs="Times New Roman"/>
          <w:color w:val="000000" w:themeColor="text1"/>
          <w:spacing w:val="0"/>
        </w:rPr>
        <w:softHyphen/>
        <w:t>грамме на заводе ввод новой восьмискоростной коробки перемены передач вызо</w:t>
      </w:r>
      <w:r w:rsidRPr="00722885">
        <w:rPr>
          <w:rFonts w:ascii="Times New Roman" w:cs="Times New Roman"/>
          <w:color w:val="000000" w:themeColor="text1"/>
          <w:spacing w:val="0"/>
        </w:rPr>
        <w:softHyphen/>
        <w:t>вет ряд осложнений в производстве, так как на участках цеха завода будут параллельно изготавливаться детали трех коробок переме</w:t>
      </w:r>
      <w:r w:rsidRPr="00722885">
        <w:rPr>
          <w:rFonts w:ascii="Times New Roman" w:cs="Times New Roman"/>
          <w:color w:val="000000" w:themeColor="text1"/>
          <w:spacing w:val="0"/>
        </w:rPr>
        <w:softHyphen/>
        <w:t xml:space="preserve">ны передач: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нормальная, восьмискоростная и коробка машины Т-34. Учитывая:</w:t>
      </w:r>
    </w:p>
    <w:p w14:paraId="7504A0AC" w14:textId="77777777" w:rsidR="00627011" w:rsidRPr="00722885" w:rsidRDefault="00627011" w:rsidP="00722885">
      <w:pPr>
        <w:pStyle w:val="27"/>
        <w:shd w:val="clear" w:color="auto" w:fill="auto"/>
        <w:tabs>
          <w:tab w:val="left" w:pos="394"/>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а) что в условиях уменьшенного выпу</w:t>
      </w:r>
      <w:r w:rsidRPr="00722885">
        <w:rPr>
          <w:rFonts w:ascii="Times New Roman" w:cs="Times New Roman"/>
          <w:color w:val="000000" w:themeColor="text1"/>
          <w:spacing w:val="0"/>
        </w:rPr>
        <w:softHyphen/>
        <w:t xml:space="preserve">ска в армию танков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эксплуатация ново</w:t>
      </w:r>
      <w:r w:rsidRPr="00722885">
        <w:rPr>
          <w:rFonts w:ascii="Times New Roman" w:cs="Times New Roman"/>
          <w:color w:val="000000" w:themeColor="text1"/>
          <w:spacing w:val="0"/>
        </w:rPr>
        <w:softHyphen/>
        <w:t>го типа КПП вызовет осложнения с запчас</w:t>
      </w:r>
      <w:r w:rsidRPr="00722885">
        <w:rPr>
          <w:rFonts w:ascii="Times New Roman" w:cs="Times New Roman"/>
          <w:color w:val="000000" w:themeColor="text1"/>
          <w:spacing w:val="0"/>
        </w:rPr>
        <w:softHyphen/>
        <w:t>тями;</w:t>
      </w:r>
    </w:p>
    <w:p w14:paraId="4D94EB8E" w14:textId="77777777" w:rsidR="00627011" w:rsidRPr="00722885" w:rsidRDefault="00627011" w:rsidP="00722885">
      <w:pPr>
        <w:pStyle w:val="27"/>
        <w:shd w:val="clear" w:color="auto" w:fill="auto"/>
        <w:tabs>
          <w:tab w:val="left" w:pos="332"/>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б) что проведенные заводом меры по упроч</w:t>
      </w:r>
      <w:r w:rsidRPr="00722885">
        <w:rPr>
          <w:rFonts w:ascii="Times New Roman" w:cs="Times New Roman"/>
          <w:color w:val="000000" w:themeColor="text1"/>
          <w:spacing w:val="0"/>
        </w:rPr>
        <w:softHyphen/>
        <w:t>нению старой КП П дадут еще лучшие резуль</w:t>
      </w:r>
      <w:r w:rsidRPr="00722885">
        <w:rPr>
          <w:rFonts w:ascii="Times New Roman" w:cs="Times New Roman"/>
          <w:color w:val="000000" w:themeColor="text1"/>
          <w:spacing w:val="0"/>
        </w:rPr>
        <w:softHyphen/>
        <w:t>таты в условиях танка с новым корпусом и пониженным до 42,5 т весом, на новую ма</w:t>
      </w:r>
      <w:r w:rsidRPr="00722885">
        <w:rPr>
          <w:rFonts w:ascii="Times New Roman" w:cs="Times New Roman"/>
          <w:color w:val="000000" w:themeColor="text1"/>
          <w:spacing w:val="0"/>
        </w:rPr>
        <w:softHyphen/>
        <w:t xml:space="preserve">шину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завод предлагает ставить:</w:t>
      </w:r>
    </w:p>
    <w:p w14:paraId="651D9734" w14:textId="77777777" w:rsidR="00627011" w:rsidRPr="00722885" w:rsidRDefault="00627011" w:rsidP="00722885">
      <w:pPr>
        <w:pStyle w:val="27"/>
        <w:shd w:val="clear" w:color="auto" w:fill="auto"/>
        <w:tabs>
          <w:tab w:val="left" w:pos="35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а) облегченный корпус и башню с коман</w:t>
      </w:r>
      <w:r w:rsidRPr="00722885">
        <w:rPr>
          <w:rFonts w:ascii="Times New Roman" w:cs="Times New Roman"/>
          <w:color w:val="000000" w:themeColor="text1"/>
          <w:spacing w:val="0"/>
        </w:rPr>
        <w:softHyphen/>
        <w:t>дирской башенкой;</w:t>
      </w:r>
    </w:p>
    <w:p w14:paraId="3B3E7FF4" w14:textId="77777777" w:rsidR="00627011" w:rsidRPr="00722885" w:rsidRDefault="00627011" w:rsidP="00722885">
      <w:pPr>
        <w:pStyle w:val="27"/>
        <w:shd w:val="clear" w:color="auto" w:fill="auto"/>
        <w:tabs>
          <w:tab w:val="left" w:pos="362"/>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б) новый радиатор (водяной и масляный);</w:t>
      </w:r>
    </w:p>
    <w:p w14:paraId="67BF9A37" w14:textId="77777777" w:rsidR="00627011" w:rsidRPr="00722885" w:rsidRDefault="00627011" w:rsidP="00722885">
      <w:pPr>
        <w:pStyle w:val="27"/>
        <w:shd w:val="clear" w:color="auto" w:fill="auto"/>
        <w:tabs>
          <w:tab w:val="left" w:pos="35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новый тип вентилятора большой мощ</w:t>
      </w:r>
      <w:r w:rsidRPr="00722885">
        <w:rPr>
          <w:rFonts w:ascii="Times New Roman" w:cs="Times New Roman"/>
          <w:color w:val="000000" w:themeColor="text1"/>
          <w:spacing w:val="0"/>
        </w:rPr>
        <w:softHyphen/>
        <w:t>ности;</w:t>
      </w:r>
    </w:p>
    <w:p w14:paraId="3C8C235F" w14:textId="77777777" w:rsidR="00627011" w:rsidRPr="00722885" w:rsidRDefault="00627011" w:rsidP="00722885">
      <w:pPr>
        <w:pStyle w:val="27"/>
        <w:shd w:val="clear" w:color="auto" w:fill="auto"/>
        <w:tabs>
          <w:tab w:val="left" w:pos="34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г) старую коробку перемены передач.</w:t>
      </w:r>
    </w:p>
    <w:p w14:paraId="6735C2DC" w14:textId="77777777" w:rsidR="00627011" w:rsidRPr="00722885" w:rsidRDefault="0062701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В июле 1942 ЧКЗ выпустит 100 танков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и 50 танков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со старой коробкой пе</w:t>
      </w:r>
      <w:r w:rsidRPr="00722885">
        <w:rPr>
          <w:rFonts w:ascii="Times New Roman" w:cs="Times New Roman"/>
          <w:color w:val="000000" w:themeColor="text1"/>
          <w:spacing w:val="0"/>
        </w:rPr>
        <w:softHyphen/>
        <w:t xml:space="preserve">редач (КВ-1М). В августе будем выпускать только танки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-1М» (15226).</w:t>
      </w:r>
    </w:p>
    <w:p w14:paraId="1481597A" w14:textId="77777777" w:rsidR="00627011" w:rsidRPr="00722885" w:rsidRDefault="00627011" w:rsidP="00722885">
      <w:pPr>
        <w:pStyle w:val="27"/>
        <w:shd w:val="clear" w:color="auto" w:fill="auto"/>
        <w:spacing w:after="0" w:line="240" w:lineRule="auto"/>
        <w:ind w:firstLine="0"/>
        <w:rPr>
          <w:rFonts w:ascii="Times New Roman" w:cs="Times New Roman"/>
          <w:color w:val="000000" w:themeColor="text1"/>
          <w:spacing w:val="0"/>
        </w:rPr>
      </w:pPr>
    </w:p>
    <w:p w14:paraId="415251D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Выксунский завод, используя задел сменных железнодорожных колес (реборд) от выпускавшегося ранее БА-20ЖД провел модификацию БА-64 в БА-64В. Машина предназначалась для охраны бронепоездов и разведки на местности с развитой железнодорожной сетью. Ходовая часть БА-64 была несколько изменена: более узкую ходовую часть БА-64 (по сравнению с БА-20) пришлось компенсировать большим боковым вылетом бандажей. Это вело к снижению эксплуатационных свойств подшипников (3862).</w:t>
      </w:r>
    </w:p>
    <w:p w14:paraId="0E1AB1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Параллельно с серийным производством, Выксунский завод продолжал совершенствовать конструкцию и создавать новые модификации БА-64. броневик пробовали поставить на рельсы (3862).</w:t>
      </w:r>
    </w:p>
    <w:p w14:paraId="312A6384" w14:textId="77777777" w:rsidR="00AE7191" w:rsidRPr="00722885" w:rsidRDefault="00AE7191" w:rsidP="00722885">
      <w:pPr>
        <w:pStyle w:val="Iauiue"/>
        <w:jc w:val="both"/>
        <w:rPr>
          <w:color w:val="000000" w:themeColor="text1"/>
          <w:sz w:val="16"/>
          <w:szCs w:val="16"/>
        </w:rPr>
      </w:pPr>
    </w:p>
    <w:p w14:paraId="423892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июля 1942 года параллельно с Выксунским заводом Горьковский автозавод также провел железнодорожную модернизацию БА-64. В отличии от Выксунского завода, горьковчане решили создать универсальную машину, способную перемещаться и на автомобильных колесах, и по железнодорожному полотну (3862).</w:t>
      </w:r>
    </w:p>
    <w:p w14:paraId="0F56206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Горьковская модель - БА-б4Г - представляла собой бронеавтомобиль с обычным колесами, но с четырьмя роликами с ребордами, попарно расположенными впереди и сзади машины, удерживавшими ее на рельсах. Для того чтобы сойти с колеи, было достаточно поднять ролики. Задний ход был получен введением реверсивной раздаточной коробкой (3862).</w:t>
      </w:r>
    </w:p>
    <w:p w14:paraId="76263A8D" w14:textId="77777777" w:rsidR="00AE7191" w:rsidRPr="00722885" w:rsidRDefault="00AE7191" w:rsidP="00722885">
      <w:pPr>
        <w:pStyle w:val="Iauiue"/>
        <w:jc w:val="both"/>
        <w:rPr>
          <w:color w:val="000000" w:themeColor="text1"/>
          <w:sz w:val="16"/>
          <w:szCs w:val="16"/>
        </w:rPr>
      </w:pPr>
    </w:p>
    <w:p w14:paraId="33A12E55" w14:textId="77777777" w:rsidR="00627011" w:rsidRPr="00722885" w:rsidRDefault="00627011"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в передней части крыши корпуса БА-64 прорезали вентиляционное отверстие, которое сверху закрыли броневым кожухом, что позволило улучшить вентиляцию боевого отделения, особенно в движении. В сентябре ввели дополнительный лючок, в крыше моторного отделения (по типу бронемашины БА-10), что позволило несколько улучшить охлаждение двигателя, который из-за недостаточного притока воздуха часто перегревался (15218).</w:t>
      </w:r>
    </w:p>
    <w:p w14:paraId="497B3723" w14:textId="77777777" w:rsidR="00627011" w:rsidRPr="00722885" w:rsidRDefault="00627011" w:rsidP="00722885">
      <w:pPr>
        <w:widowControl w:val="0"/>
        <w:spacing w:after="0" w:line="240" w:lineRule="auto"/>
        <w:jc w:val="both"/>
        <w:rPr>
          <w:rFonts w:ascii="Times New Roman" w:hAnsi="Times New Roman"/>
          <w:color w:val="000000" w:themeColor="text1"/>
          <w:sz w:val="16"/>
          <w:szCs w:val="16"/>
        </w:rPr>
      </w:pPr>
    </w:p>
    <w:p w14:paraId="16FF25C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был спроектирован бронеавтомобиль конструкции Выксунского завода ДРО, который имел сменные железнодорожные колеса. При переводе машины на железнодорожный ход колеса, предназначавшиеся для движения по обычным дорогам, снимались и закреплялись на корпусе машины. В проекте Горьковского автозавода, разработанном в ноябре 1942 г., предусматривалась возмож</w:t>
      </w:r>
      <w:r w:rsidRPr="00722885">
        <w:rPr>
          <w:rFonts w:ascii="Times New Roman" w:hAnsi="Times New Roman"/>
          <w:color w:val="000000" w:themeColor="text1"/>
          <w:sz w:val="16"/>
          <w:szCs w:val="16"/>
        </w:rPr>
        <w:softHyphen/>
        <w:t>ность движения бронеавтомобиля по рельсам с помощью резинового хода па специальных откидных направляющих роликах (в виде желез-подорожных бандажей), устанавливавшихся на кронштейнах с пружи</w:t>
      </w:r>
      <w:r w:rsidRPr="00722885">
        <w:rPr>
          <w:rFonts w:ascii="Times New Roman" w:hAnsi="Times New Roman"/>
          <w:color w:val="000000" w:themeColor="text1"/>
          <w:sz w:val="16"/>
          <w:szCs w:val="16"/>
        </w:rPr>
        <w:softHyphen/>
        <w:t>нами спереди и сзади машины. В предложенном проекте значительно сокращалось время подготовки бронеавтомобиля для движения сто по железнодорожной колее. Аналогичные работы в 1944 г. велись и на Московском вагоноремонтном заводе им. Войтовича. Кроме того, в годы Великой Отечественной войны велись работы по повышению проходимости серийных бронеавтомобилей по грунтам со слабой несущей способностью. Так, в 1942 - 1943 гг. был разработан, из</w:t>
      </w:r>
      <w:r w:rsidRPr="00722885">
        <w:rPr>
          <w:rFonts w:ascii="Times New Roman" w:hAnsi="Times New Roman"/>
          <w:color w:val="000000" w:themeColor="text1"/>
          <w:sz w:val="16"/>
          <w:szCs w:val="16"/>
        </w:rPr>
        <w:softHyphen/>
        <w:t>готовлен и испытан опытный образец бронеавтомобиля БА-64 с лыжно-гуееничным движителем (10703).</w:t>
      </w:r>
    </w:p>
    <w:p w14:paraId="555880D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F5340C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заводом ДРО был изготовлен опытный образец машины БА-64В. В 1943 г. на Горьковском автозаводе были изготовлены еще три опытных образца БА-64В. На вооружении и в се</w:t>
      </w:r>
      <w:r w:rsidRPr="00722885">
        <w:rPr>
          <w:rFonts w:ascii="Times New Roman" w:hAnsi="Times New Roman"/>
          <w:color w:val="000000" w:themeColor="text1"/>
          <w:sz w:val="16"/>
          <w:szCs w:val="16"/>
        </w:rPr>
        <w:softHyphen/>
        <w:t>рийном производстве бронеавтомобиль БА-64В не состоял. Бронеавтомобиль БА-64В отличался от серийного образца БА-64 наличием сменных железнодорожных колес, использовавшихся от ос</w:t>
      </w:r>
      <w:r w:rsidRPr="00722885">
        <w:rPr>
          <w:rFonts w:ascii="Times New Roman" w:hAnsi="Times New Roman"/>
          <w:color w:val="000000" w:themeColor="text1"/>
          <w:sz w:val="16"/>
          <w:szCs w:val="16"/>
        </w:rPr>
        <w:softHyphen/>
        <w:t>тавшегося задела по машине БА-20 ж-д. Железнодорожные колеса устанавливались вместо основных - пневматических. Ввиду более узкой ко</w:t>
      </w:r>
      <w:r w:rsidRPr="00722885">
        <w:rPr>
          <w:rFonts w:ascii="Times New Roman" w:hAnsi="Times New Roman"/>
          <w:color w:val="000000" w:themeColor="text1"/>
          <w:sz w:val="16"/>
          <w:szCs w:val="16"/>
        </w:rPr>
        <w:softHyphen/>
        <w:t>леи бронеавтомобиля БА-64 по сравнению с колеей бронеавтомобиля БА-20 металлические диски колес были сделаны с большим боковым вылетом бандажей, что привело к увеличению консольной нагрузки в подшипниках ступиц колес и снижению их ресурса. Основным недо</w:t>
      </w:r>
      <w:r w:rsidRPr="00722885">
        <w:rPr>
          <w:rFonts w:ascii="Times New Roman" w:hAnsi="Times New Roman"/>
          <w:color w:val="000000" w:themeColor="text1"/>
          <w:sz w:val="16"/>
          <w:szCs w:val="16"/>
        </w:rPr>
        <w:softHyphen/>
        <w:t>статком бронеавтомобиля было отсутствие полного реверса и низкая скорость движения на передаче заднего хода - не более 13 км/ч. Кроме того, при движении задним ходом система охлаждения двигателя маши</w:t>
      </w:r>
      <w:r w:rsidRPr="00722885">
        <w:rPr>
          <w:rFonts w:ascii="Times New Roman" w:hAnsi="Times New Roman"/>
          <w:color w:val="000000" w:themeColor="text1"/>
          <w:sz w:val="16"/>
          <w:szCs w:val="16"/>
        </w:rPr>
        <w:softHyphen/>
        <w:t>ны не получала достаточного количества охлаждающего воздуха, что приводило к перегреву двигателя. Коробка передач не была рассчитана на длительную работу на передаче заднего хода (пониженной), что так</w:t>
      </w:r>
      <w:r w:rsidRPr="00722885">
        <w:rPr>
          <w:rFonts w:ascii="Times New Roman" w:hAnsi="Times New Roman"/>
          <w:color w:val="000000" w:themeColor="text1"/>
          <w:sz w:val="16"/>
          <w:szCs w:val="16"/>
        </w:rPr>
        <w:softHyphen/>
        <w:t>же приводило к преждевременному выходу ее из строя (10703).</w:t>
      </w:r>
    </w:p>
    <w:p w14:paraId="77E9AEA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ADDD64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июля 1942 г. бронеавтомо</w:t>
      </w:r>
      <w:r w:rsidRPr="00722885">
        <w:rPr>
          <w:rFonts w:ascii="Times New Roman" w:hAnsi="Times New Roman"/>
          <w:color w:val="000000" w:themeColor="text1"/>
          <w:sz w:val="16"/>
          <w:szCs w:val="16"/>
        </w:rPr>
        <w:softHyphen/>
        <w:t>били БЛ-20М были сняты с производства (10703).</w:t>
      </w:r>
    </w:p>
    <w:p w14:paraId="0B72D9E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01D76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Ульяновский филиал N 4 ЗИС (УльЗИС) был официально назначен головным предприятием по выпуску ЗИС-5. Собирали 20-30 машин в сутки (3050).</w:t>
      </w:r>
    </w:p>
    <w:p w14:paraId="15539227" w14:textId="77777777" w:rsidR="00AE7191" w:rsidRPr="00722885" w:rsidRDefault="00AE7191" w:rsidP="00722885">
      <w:pPr>
        <w:pStyle w:val="Iauiue"/>
        <w:jc w:val="both"/>
        <w:rPr>
          <w:color w:val="000000" w:themeColor="text1"/>
          <w:sz w:val="16"/>
          <w:szCs w:val="16"/>
        </w:rPr>
      </w:pPr>
    </w:p>
    <w:p w14:paraId="421AA20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 НИИ-48 преобразуется в Государственный Центральный научно-исследовательский броневой институт (ЦНИИ-48) и МГ НИИ-48 становится МГ ЦНИИ-48 (9835).</w:t>
      </w:r>
    </w:p>
    <w:p w14:paraId="12C5F747" w14:textId="77777777" w:rsidR="00AE7191" w:rsidRPr="00722885" w:rsidRDefault="00AE7191" w:rsidP="00722885">
      <w:pPr>
        <w:pStyle w:val="Iauiue"/>
        <w:jc w:val="both"/>
        <w:rPr>
          <w:color w:val="000000" w:themeColor="text1"/>
          <w:sz w:val="16"/>
          <w:szCs w:val="16"/>
        </w:rPr>
      </w:pPr>
    </w:p>
    <w:p w14:paraId="4FAC1C6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член совета закупочной комиссии Разин (зять Молотова) позвонил Салтыкову и сказал, что их вызывает Джефферс - глава ведомства по каучуку и резине. А.В. Салтыков вспоминал: "Джефферс спросил нас, для чего нам нужен шинный завод, и, выслушав ответ, сказал, что сегодня мы примем решение, за которое мистеру Соренсону - фирма Форд - резинщики отольют золотую статую. И он сказал нам, что мистер Соренсон предложил Правительству США купить шинный завод "Форда " в Дир-барне. Я хорошо знал этот самый современный завод в США, пущенный "Фордом " в 1938 г. Он был подробно описан в литературе, и вся наша комиссия в 1941 г. два раза его посетила с экскурсией. Правда, видели мы его только сверху с особых мостков, проложенных Фордом для экскурсантов. Джефферс предложил немедленно поехать на завод и быстро дать ответ. Я и Шабанов сразу же выехали на завод "Форда " и два дня осматривали его. Мы дали ответ Джефферсу, что согласны взять завод по ленд-лизу при условии, что нам заменят часть оборудования и поставят дополнительно оборудование, необходимое для производства грузовых шин и конвейеров. Сборочное и вулканиза-ционное оборудование, а также транспортные средства было обещано поставить новые ".</w:t>
      </w:r>
    </w:p>
    <w:p w14:paraId="18C9C1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Обо всем был поставлен в известность А.И. Микоян, который дал согласие на приобретение завода. Оформление сделки происходило следующим образом. "Форд " продавал завод правительству США, а оно, заключив договор с "Фордом " и рядом других фирм, поставляло нам шинный завод на 1.5 млн. шин в год комплектный. Фирма "Форд ", не дожидаясь оформления сделки, начало демонтаж, консервацию и упаковку действующего оборудования.</w:t>
      </w:r>
    </w:p>
    <w:p w14:paraId="0F08AD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Фирма "Форд " была заинтересована в быстром демонтаже оборудования, т.к. хотела организовать на освобождающейся территории производство автомобилей-амфибий. В одном из номеров "Раббер ворлд " за 1980 г. указано, что этот завод "Форда " продали, потому что он обанкротился.</w:t>
      </w:r>
    </w:p>
    <w:p w14:paraId="5AECCA5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Оформление длилось долго. Казначейство не подписывало договора с фирмами. Наконец, в газете "Вашингтон Пост " появилась статья "Вашингтонская карусель ", в которой Казначейство критиковалось за бюрократизм и пособничество Гитлеру. После этого министр подписал заказы и договора.</w:t>
      </w:r>
    </w:p>
    <w:p w14:paraId="491A8ED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правительство США закупило оборудование от "Форда " и заключило договор с другими фирмами на закупку нового оборудования и договор с детройтской проектной фирмой "Гиффелс и Валлей ". При этом обнаружилось, что американцы применяли при проектировании, неизвестные тогда в нашей стране методы макетного (из бумаги) проектирования. При проектировании встретились большие трудности, поскольку не было известно, где в СССР будет строиться завод.</w:t>
      </w:r>
    </w:p>
    <w:p w14:paraId="1AE6D34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Нужно указать, что электрооборудование завода "Форда " было рассчитано на частоту 60 Гц, тогда как в СССР применялся переменный ток с частотой 50 Гц. Из-за этого двигатели в наших условиях вращались на 17% медленнее. Американцы поставили в связи с этим больше смесителей и вальцов пропорционально снижению скорости. Остальное оборудование изготавливалось на нашу частоту.</w:t>
      </w:r>
    </w:p>
    <w:p w14:paraId="244335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 Митрохин, несмотря на неоднократные запросы сообщить, где будет строиться завод и каковы размеры участка, упорно молчал и только требовал, чтобы завод был мощностью 2.5 млн. шин в год, а не 1.5 млн., как решило американское правительство согласно просьбе Молотова с согласия Микояна. Не получая данных о площадке, комиссия согласилась с предложением американской стороны проектировать завод в здании, подобном зданию фирмы Форда. Это было двухэтажное металлическое здание с этажеркой для подготовительного цеха. Хотя и было понятно, что такой корпус в СССР нельзя будет построить, комиссия вынуждена было согласиться на такой вариант. Это позволило заказать конвейеры, электрические кабели, трубопроводы и прочее вспомогательное оборудование. Молчание НКРП длилось до февраля 1943 г., а часть оборудования в морской упаковке уже грузили в тихоокеанские порты.</w:t>
      </w:r>
    </w:p>
    <w:p w14:paraId="417528A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марта 1943 г. в США приехала делегация НКРП под председательством зам. наркома Макеева. В ней были резинщики Чесноков - будущий директор шинного завода, Петренко - начальник Главкаучука, Коротков - специалист по СК, впоследствии осуществивший пионерские исследования в области стереоспецифического синтеза СК, Смирнов - тоже специалист по СК, Марей - специалист по испытаниям резин, Бартеньев - главный инженер завода Оназот, Ус - инженер ЯРАК, Горохов - инженер НИИШП'а, Власов - главный инженер Ярославского филиала Резинопроекта, Белодед и др. Летела делегация на советском бомбардировщике через Аляску и Канаду, через военные аэродромы.</w:t>
      </w:r>
    </w:p>
    <w:p w14:paraId="46A6A88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тот приезд, кстати, американские ученые с пристрастием расспрашивали Макеева о работах по каучуконосам в СССР. </w:t>
      </w:r>
    </w:p>
    <w:p w14:paraId="029C0C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Комиссия привезла чертежи участка; им оказалась недостроенная одноэтажная часть завода подшипников в Москве. Салтыков и Власов с согласия Чеснокова дали предложения о размещении оборудования в одноэтажном корпусе и двух вновь строящихся корпусах и согласовали с фирмой "Гиффелс и Валлей " и поставщиками оборудования некоторое удлинение конвейеров, труб и кабелей.</w:t>
      </w:r>
    </w:p>
    <w:p w14:paraId="379A37F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время перелета делегации Макеева произошел неприятный инцидент. На одном из аэродромов США к представителям делегации подошли русские и пригласили посетить их поселение. Там они пробыли до обеда, а когда вернулись, самолета на аэродроме не оказалось. Он появился только утром следующего дня. Американцы дали комиссии какие-то технические объяснения. В самолете находилась документация по производству и применению СК. Макеев надеялся выгодно ее реализовать в Америке. Позднее в Вашингтоне во время официального приема, на котором Салтыков "по совместительству " выполнял функции переводчика, американский представитель сказал: "Переведите мистеру Макееву, что мы не заинтересованы в вашем СК. Мы строим производство СК других марок ". Ознакомились ли американцы с документацией или нет, приходится только гадать.</w:t>
      </w:r>
    </w:p>
    <w:p w14:paraId="3261E82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Еще в 1935 г. Осипов-Шмидт писал: "Судя по характеру предложения, сделанного нам американской фирмой об оказании нами технической помощи при организации в США производства СК по нашему методу, нужно полагать, что особых надежд на развитие своего собственного метода американцы не возлагают ". Что это были за предложения, нам не известно. </w:t>
      </w:r>
    </w:p>
    <w:p w14:paraId="711426D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Был еще и "прокол " такого характера. "Форд " предложил нам установку по конвейерной сборке покрышки, неиспользовавшегося нами тогда типоразмера. Комиссия Макеева отказалась, спустя небольшой период времени АЗЛК перешел на этот размер шин, и мы лишились сборочного, вулканизационного и формового оборудования.</w:t>
      </w:r>
    </w:p>
    <w:p w14:paraId="2D21E31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апреля 1943 г. Салтыков вылетел в Москву. Его вызвал для доклада Нарком резиновой промышленности Т.Б. Митрохин. Нарком сказал, что завод должен быть на 2.5 млн. шин в год, а не на 1.5, как мы его купили у США. При этом он либо не понимал, либо делал вид, что это уже не возможно.</w:t>
      </w:r>
    </w:p>
    <w:p w14:paraId="0810AD1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 Салтыков вспоминал: "В конце мая меня вызвал для доклада Микоян. В его приемной меня "общупал " полковник Госбезопасности и пропустил. Микоян был очень вежлив и хорошо все понимал. Он встал мне навстречу, поздоровался, усадил за столик и выслушал мой доклад. Он спросил меня о мощности завода. Я сказал: "1.5 млн. шин в год ". "Что же Митрохин хочет делать шины из воздуха? Почему он говорит о 2.5 млн.? " - спросил Микоян. Я сказал, что не знаю и что 1.5 млн. обговаривали с США всегда с 1941 г. и последний раз в 1942 г. Молотов просил такой завод. Микоян пригласил своего помощника и поручил нам вместе подготовить проект постановления ГКО. Такое постановление мы подготовили. В нем проектирование поручалось "Резинопроекту " НКРП, Строительство поручалось ИКС (срок 1.5 года). Завод мощностью 1.5 млн. шин в год предполагалось построить в Москве по Шарикоподшипниковской ул. на территории 1 ГПЗ (Государственного подшипникового завода). Для поощрения работников "Резинопроекта " предполагалось обеспечение продовольственными карточками ".</w:t>
      </w:r>
    </w:p>
    <w:p w14:paraId="02CC06E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Через несколько дней ГКО издал это постановление. Салтыкова назначили главным инженером "Резинопроекта " и главным инженером проекта. Технический проект завода был закончен за 25 дней. В конце 1943 г. началось строительство. Вернувшийся в августе 1943 г. в Москву В.П. Чесноков был назначен (17 декабря 1943 г.) директором, а А.В. Салтыков - главным инженером завода № 507.</w:t>
      </w:r>
    </w:p>
    <w:p w14:paraId="68314EF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был пущен в ноябре 1945 г. Этот завод о точки зрения техники и технологии относился к разряду самых передовых предприятий того времени (11634).</w:t>
      </w:r>
    </w:p>
    <w:p w14:paraId="46B02AE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55C23D9" w14:textId="77777777" w:rsidR="00055F9B" w:rsidRPr="00722885" w:rsidRDefault="00055F9B"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июле 1942 года РЛС Гнейс-2 успешно прошла государственные испытания, продемонстрировав способность обнаруживать бомбардировщик на дальности 3500 метров и выполнять наведение по угловым координатам с точностью ±5°. При этом минимальная высота при поиске воздушных целей противника составляла 2000 метров. Впрочем, новая станция все же нуждалась в определенной доработке – в пяти из 25 выполненных в общей сложности полетов аппаратура самолетной РЛС отказывала (22709).</w:t>
      </w:r>
    </w:p>
    <w:p w14:paraId="7AD8052F" w14:textId="77777777" w:rsidR="00055F9B" w:rsidRPr="00722885" w:rsidRDefault="00055F9B" w:rsidP="00722885">
      <w:pPr>
        <w:shd w:val="clear" w:color="auto" w:fill="FFFFFF"/>
        <w:spacing w:after="0" w:line="240" w:lineRule="auto"/>
        <w:jc w:val="both"/>
        <w:rPr>
          <w:rFonts w:ascii="Times New Roman" w:hAnsi="Times New Roman"/>
          <w:color w:val="0070C0"/>
          <w:sz w:val="16"/>
          <w:szCs w:val="16"/>
        </w:rPr>
      </w:pPr>
    </w:p>
    <w:p w14:paraId="6F6B05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1942г. Плавский завод «Смычка» (Плавский завод «Смычка» НКМВ, Машиностроительный завод «Смычка» ММиП, Плавский машиностроительный завод «Смычка» /г. Плавск Тульской обл. «Смычка» (1948г.)/) - в ведении Главхиммаша НКМВ, в 1947-48г. - в ведении Главпродмаша ММиП.</w:t>
      </w:r>
    </w:p>
    <w:p w14:paraId="77CAB5E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(1947г.) цехи: основные: 1-й сепараторный, 2-й сепараторный, прессово- заготовительный, литейный, защитных покрытий; вспомогательные: инструментальный, ремонтно-механический.</w:t>
      </w:r>
    </w:p>
    <w:p w14:paraId="36B077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1989г. завод вошел в состав ПО «Машиностроительный завод «Молния».</w:t>
      </w:r>
    </w:p>
    <w:p w14:paraId="2ADD4A2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оборудования для пищевой промышленности и медицины.</w:t>
      </w:r>
    </w:p>
    <w:p w14:paraId="067235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(1939г.)- 221 ед., (1946г.)- 200 ед., (1947г.)- 312 ед.</w:t>
      </w:r>
    </w:p>
    <w:p w14:paraId="667665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(1947г.)- 5,8 га; застройки (1947г.)- 9064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(1939г.)- 3899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(1946г.)- 3551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(1947г.)- 6733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6729D08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(1939г.)- 828 чел., (1946г.)- 426 чел., (1947г.)- 675 чел.</w:t>
      </w:r>
    </w:p>
    <w:p w14:paraId="4A31FF8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(1948г.)- Стрельцов.</w:t>
      </w:r>
    </w:p>
    <w:p w14:paraId="7B25674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(1948г.)- Абаляев.</w:t>
      </w:r>
    </w:p>
    <w:p w14:paraId="64F85C0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спецукупорка для 82-мм мин (1942); сепаратор ОСЕ, холодильники ОХК, ОХБ, ОХД, тестомешалка, льдодробилка, тиски слесарные (1947) (11982).</w:t>
      </w:r>
    </w:p>
    <w:p w14:paraId="26EF1970" w14:textId="77777777" w:rsidR="00627011" w:rsidRPr="00722885" w:rsidRDefault="00627011" w:rsidP="00722885">
      <w:pPr>
        <w:spacing w:after="0" w:line="240" w:lineRule="auto"/>
        <w:jc w:val="both"/>
        <w:rPr>
          <w:rFonts w:ascii="Times New Roman" w:hAnsi="Times New Roman"/>
          <w:color w:val="000000" w:themeColor="text1"/>
          <w:sz w:val="16"/>
          <w:szCs w:val="16"/>
        </w:rPr>
      </w:pPr>
    </w:p>
    <w:p w14:paraId="3DAFAD9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завод № 741 им. Ф. Энгельса 1ГУ НКМВ (Завод № 741 им. Энгельса НКМВ, ММиП, МПСС, МЭСЭП, МРТП, Машиностроительный завод АО машиностроительных заводов «Я.М. Айваз», Петроградский государственный инструментальный завод им. Ф. Энгельса, Петроградский государственный машиностроительный завод им. Ф. Энгельса, Завод им. Ф. Энгельса НКОМ, Ордена Ленина, ордена Трудового Красного Знамени машиностроительный завод им. Фридриха Энгельса ММиП, п/я 438, Научно-производственный комплекс (НПК) электронных приборов ЛОЭП «Светлана», АОЗТ, ЗАО «Светлана-Электронприбор» /г. Санкт-Петербург,  г. Петроград,  г. Ленинград пр. Энгельса, 21-23 «Завод Энгельса» (1948 г.)/ /194156  г. Санкт-Петербург пр. Энгельса, 27 тел. 552-79-68) еще действовал в Ленинграде. Производство 50-мм минометов. Затем был эвакуирован.</w:t>
      </w:r>
    </w:p>
    <w:p w14:paraId="17A238E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Имел филиал в  г. Волхове (ВОВ), который осуществлял производство и ремонт 50-мм минометов.</w:t>
      </w:r>
    </w:p>
    <w:p w14:paraId="456E4D6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1946 г. ОЛ и ОТКЗ машиностроительный завод им. Энгельса - в ведении Главтекстильлегмаша ММиП, с 12.1951 г. - МПСС, с 03.1953 г. - МЭСЭП. С 01.1954 г. завод передан в МРТП и получил наименование «предприятие п/я 438». В 06.1957 г. передан в ведение Управления радиотехнической промышленности ЛенСНХ.</w:t>
      </w:r>
      <w:r w:rsidRPr="00722885">
        <w:rPr>
          <w:rFonts w:ascii="Times New Roman" w:hAnsi="Times New Roman"/>
          <w:color w:val="000000" w:themeColor="text1"/>
          <w:sz w:val="16"/>
          <w:szCs w:val="16"/>
          <w:vertAlign w:val="superscript"/>
        </w:rPr>
        <w:t>131</w:t>
      </w:r>
    </w:p>
    <w:p w14:paraId="339C9E4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(1947 г.) 8 основных цехов, в т.ч. трикотажных машин.</w:t>
      </w:r>
    </w:p>
    <w:p w14:paraId="1A7090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 производство текстильных, обувных и табачных машин. В 1951 г. завод им. Ф. Энгельса перепрофилирован на выпуск электронных СВЧ приборов для РЛ техники. С 1953 г. начат серийный выпуск приборов СВЧ. В 1954 г. на заводе создано ОКБ по разработке приборов СВЧ.</w:t>
      </w:r>
    </w:p>
    <w:p w14:paraId="6B713E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1.10.1962 г. завод вошел в состав вновь созданного ЛОЭП «Светлана» как НПК электронных приборов, имеющий свое Особое КБ электронных приборов.</w:t>
      </w:r>
    </w:p>
    <w:p w14:paraId="7274CFE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1993 г. на базе завода создано ДП ОАО «Светлана» - АОЗТ «Светлана-Электронприбор».</w:t>
      </w:r>
    </w:p>
    <w:p w14:paraId="06580DB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предприятии освоены и внедрены уникальные технологии производства: вольфрамовых пластинчатых сеток для клистронов; электродов поджига из двуокиси титана и радиоактивных электродов; наполнение СВЧ разрядников аргоном и парами тритиевой воды; </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i</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n</w:t>
      </w:r>
      <w:r w:rsidRPr="00722885">
        <w:rPr>
          <w:rFonts w:ascii="Times New Roman" w:hAnsi="Times New Roman"/>
          <w:color w:val="000000" w:themeColor="text1"/>
          <w:sz w:val="16"/>
          <w:szCs w:val="16"/>
        </w:rPr>
        <w:t xml:space="preserve"> диодов для фазовращателей.</w:t>
      </w:r>
    </w:p>
    <w:p w14:paraId="7B12B54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2006 г. освоен выпуск более 170 типов изделий, в т.ч.: маломощных клиетронных и твердотельных генераторов- 60, клистронов средней мощности- 20, полупроводниковых фазовращателей- 10, защитных устройств- более 80. Предприятие является единственным в стране производителем (2006 г.) защитных устройств и фазовращателей.</w:t>
      </w:r>
    </w:p>
    <w:p w14:paraId="17C1BE3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(2006 г.): приборы СВЧ вакуумные и полупроводниковые для радиолокации и связи; приборы сигнальные; детали прецизионные из металлов; мощные светодиоды, светофоры; магнетроны для бытовых СВЧ- печей, автомобильные приборы обнаружения радарного облучения, натриевые лампы уличного освещения, СВЧ- печи для сушки сельхозпродукции.</w:t>
      </w:r>
    </w:p>
    <w:p w14:paraId="7EABE2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(1939 г.)-1416 ед., (1946 г.)- 387 ед., (1947 г.)- 971 ед.</w:t>
      </w:r>
    </w:p>
    <w:p w14:paraId="231A7F9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г.)- 13,52 га; застройки (1947 г.)- 12476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(1939 г.)- 34233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(1946 г.)- 9456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г.)- 16136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A9E62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(1939 г.)- 4585 чел., (1946 г.)- 1167 чел., (1947 г.)-1417 чел.</w:t>
      </w:r>
    </w:p>
    <w:p w14:paraId="3922B48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(03.1942 г.)- Боярский,</w:t>
      </w:r>
      <w:r w:rsidRPr="00722885">
        <w:rPr>
          <w:rFonts w:ascii="Times New Roman" w:hAnsi="Times New Roman"/>
          <w:color w:val="000000" w:themeColor="text1"/>
          <w:sz w:val="16"/>
          <w:szCs w:val="16"/>
          <w:vertAlign w:val="superscript"/>
        </w:rPr>
        <w:t>65</w:t>
      </w:r>
      <w:r w:rsidRPr="00722885">
        <w:rPr>
          <w:rFonts w:ascii="Times New Roman" w:hAnsi="Times New Roman"/>
          <w:color w:val="000000" w:themeColor="text1"/>
          <w:sz w:val="16"/>
          <w:szCs w:val="16"/>
        </w:rPr>
        <w:t xml:space="preserve"> (-05.1948-51; 1951-59 г.)- П.И. Тихомиров, (1959-63 г.)- С.А. Сергеев, (- 1969 г.)- О.В. Филатов, (1969-73 г.)- К.И. Бухарин. Начальник (1978 г.-)- В.Н. Васильев, (-1993 г.)- В.В. Попов. Гендиректор (1.01.1994 г.-&gt; В.В. Попов, (1994-2007 г.-)- Б.Л. Уткин.</w:t>
      </w:r>
    </w:p>
    <w:p w14:paraId="037381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(-1994 г.)- Б.Л. Уткин.</w:t>
      </w:r>
    </w:p>
    <w:p w14:paraId="012F33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Н.С. Никифоров, О.В. Филатов, (1971-78 г.)- В.Н. Васильев, Е.Е. Хольнов,  Г.Н. Запрягаев.</w:t>
      </w:r>
    </w:p>
    <w:p w14:paraId="0AD0D5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инженера- Е.Е. Хольнов.</w:t>
      </w:r>
    </w:p>
    <w:p w14:paraId="08A669A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  Г.Н. Запрягаев. Гл. энергетик (1954-56 г.)- С.А. Сергеев. Начальник производства (1982-84 г.)- Л.И. Биндар, Б.Л. Уткин.</w:t>
      </w:r>
    </w:p>
    <w:p w14:paraId="7330AE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отделений: (2000-е)-  Г.И. Каяльянц.</w:t>
      </w:r>
    </w:p>
    <w:p w14:paraId="2DAF09B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сборочного- С.Д. Уман; (-1974 г.)- Л.И. Биндар, Б.Л. Уткин, Е.Е. Хольнов.</w:t>
      </w:r>
    </w:p>
    <w:p w14:paraId="2F1375F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цеха: Л.И. Биндар, М.Я. Морозов, О.В. Филатов.</w:t>
      </w:r>
    </w:p>
    <w:p w14:paraId="18A0393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конструкторы: М.Я. Морозов (клистроны),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Старик (полупроводниковые приборы).</w:t>
      </w:r>
    </w:p>
    <w:p w14:paraId="55C0330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Начальники отделов: технического-  Г.Н. Запрягаев; ОТК- О.В. Филатов; (-1981 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Старик, Е.Е. Хольнов.</w:t>
      </w:r>
    </w:p>
    <w:p w14:paraId="4972358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отдела: технического-  Г.Н. Запрягаев.</w:t>
      </w:r>
    </w:p>
    <w:p w14:paraId="3D7D9A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по разработке СВЧ разрядников (1954 г.-)- Т.Д. Ветошникова; по разработке медицинских спецприборов (1981 г.-)- А.М. Старше;  Г.И. Каяльянц, М.Я. Морозов.</w:t>
      </w:r>
    </w:p>
    <w:p w14:paraId="16A1A04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бюро:  Г.Н. Запрягаев.</w:t>
      </w:r>
      <w:r w:rsidRPr="00722885">
        <w:rPr>
          <w:rFonts w:ascii="Times New Roman" w:hAnsi="Times New Roman"/>
          <w:color w:val="000000" w:themeColor="text1"/>
          <w:sz w:val="16"/>
          <w:szCs w:val="16"/>
          <w:vertAlign w:val="superscript"/>
        </w:rPr>
        <w:t>130</w:t>
      </w:r>
    </w:p>
    <w:p w14:paraId="518E877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машины: трикотажные МТО, ТОЮ, обтяжная ОМ, затяжная ЗВ, для строчки подошв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 гребнечесальная ГХ, скобочная МСК, прошивная ПНК; прессы для вулканизации ПО, ПО-1 (1947).</w:t>
      </w:r>
      <w:r w:rsidRPr="00722885">
        <w:rPr>
          <w:rFonts w:ascii="Times New Roman" w:hAnsi="Times New Roman"/>
          <w:color w:val="000000" w:themeColor="text1"/>
          <w:sz w:val="16"/>
          <w:szCs w:val="16"/>
          <w:vertAlign w:val="superscript"/>
        </w:rPr>
        <w:t xml:space="preserve">129 </w:t>
      </w:r>
      <w:r w:rsidRPr="00722885">
        <w:rPr>
          <w:rFonts w:ascii="Times New Roman" w:hAnsi="Times New Roman"/>
          <w:color w:val="000000" w:themeColor="text1"/>
          <w:sz w:val="16"/>
          <w:szCs w:val="16"/>
        </w:rPr>
        <w:t>Особое КБ (ОКБ) электронных приборов с производством</w:t>
      </w:r>
    </w:p>
    <w:p w14:paraId="63EF47C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создано в 1954 г. для разработки приборов СВЧ.</w:t>
      </w:r>
    </w:p>
    <w:p w14:paraId="6DA27B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Созданы полупроводниковые СВЧ приборы для </w:t>
      </w:r>
      <w:r w:rsidRPr="00722885">
        <w:rPr>
          <w:rFonts w:ascii="Times New Roman" w:hAnsi="Times New Roman"/>
          <w:color w:val="000000" w:themeColor="text1"/>
          <w:sz w:val="16"/>
          <w:szCs w:val="16"/>
          <w:lang w:val="en-US"/>
        </w:rPr>
        <w:t>PJI</w:t>
      </w:r>
      <w:r w:rsidRPr="00722885">
        <w:rPr>
          <w:rFonts w:ascii="Times New Roman" w:hAnsi="Times New Roman"/>
          <w:color w:val="000000" w:themeColor="text1"/>
          <w:sz w:val="16"/>
          <w:szCs w:val="16"/>
        </w:rPr>
        <w:t xml:space="preserve"> аппаратуры «Шмель-К, -2», «Мишень-2», МФБУ-5, 19Ж6, 22Ж6, систем С-300, «Тор», «Тунгуска», «Сабля», «Штык», «Вымпел-Р2», «Рычаг-бМ», «Заслон», «Эпицентр», «Плацдарм», «Созвездие-СР», С-400, «Панцирь-С1».</w:t>
      </w:r>
    </w:p>
    <w:p w14:paraId="0D6623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(1956-59 г.)- С.А. Сергеев, (1963-69 г.)- К.И. Бухарин, (1990-е)- В.В. Попов, (-1997 г.)- В.А. Савшинский.</w:t>
      </w:r>
    </w:p>
    <w:p w14:paraId="227628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по научной тематике- С.И. Рудковский, по научной работе (-1971 г.)- В.Н. Васильев; (1954 г.- )- С.И. Рудковский, (1984-85 г.)- Л.И. Биндар,  Г.Н. Запрягаев, Б.Л. Уткин. Зам. директора по коммерческим вопросам (1997 г.-)- В.А. Савшинский.</w:t>
      </w:r>
    </w:p>
    <w:p w14:paraId="2A057F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С.И. Рудковский, В.А. Савшинский, (1990 г.-)- В.В. Попов.</w:t>
      </w:r>
    </w:p>
    <w:p w14:paraId="2FFFDF5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В.А. Савшинский, А.А. Тув (клистроны).</w:t>
      </w:r>
    </w:p>
    <w:p w14:paraId="062828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(1974-82 г.)- Л.И. Биндар, (2007 г.)- В.И. Кузнецов, (1981-2007 г.-&gt; К.К. Шутов.</w:t>
      </w:r>
    </w:p>
    <w:p w14:paraId="4DA4E32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(1977 г.-)- А.В. Кириллов, В.И. Кузнецов, Ф.М. Рыбаков, С.Д. Уман.</w:t>
      </w:r>
    </w:p>
    <w:p w14:paraId="49AB10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w:t>
      </w:r>
      <w:r w:rsidRPr="00722885">
        <w:rPr>
          <w:rFonts w:ascii="Times New Roman" w:hAnsi="Times New Roman"/>
          <w:color w:val="000000" w:themeColor="text1"/>
          <w:sz w:val="16"/>
          <w:szCs w:val="16"/>
        </w:rPr>
        <w:t xml:space="preserve"> генератор К-132; клистроны для РЛС систем «Бук», С-300, «Рысь» (11982).</w:t>
      </w:r>
    </w:p>
    <w:p w14:paraId="4293CE7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B647B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 от идеи буксируемой подводной баржи, разработанной для доставки грузов в Севасто</w:t>
      </w:r>
      <w:r w:rsidRPr="00722885">
        <w:rPr>
          <w:color w:val="000000" w:themeColor="text1"/>
          <w:sz w:val="16"/>
          <w:szCs w:val="16"/>
        </w:rPr>
        <w:softHyphen/>
        <w:t>поль в ЦКБ-18, отказались в пользу "малого подводного транспорта" на 250—300 т груза по габаритам не более 533-мм торпеды. Для ускорения его по</w:t>
      </w:r>
      <w:r w:rsidRPr="00722885">
        <w:rPr>
          <w:color w:val="000000" w:themeColor="text1"/>
          <w:sz w:val="16"/>
          <w:szCs w:val="16"/>
        </w:rPr>
        <w:softHyphen/>
        <w:t>стройки предполагалась утилизация механизмов и оборудования бесполезных в боевом отношении подводных лодок VI и У1бис се</w:t>
      </w:r>
      <w:r w:rsidRPr="00722885">
        <w:rPr>
          <w:color w:val="000000" w:themeColor="text1"/>
          <w:sz w:val="16"/>
          <w:szCs w:val="16"/>
        </w:rPr>
        <w:softHyphen/>
        <w:t>рий (3898).</w:t>
      </w:r>
    </w:p>
    <w:p w14:paraId="18F0451F" w14:textId="77777777" w:rsidR="00AE7191" w:rsidRPr="00722885" w:rsidRDefault="00AE7191" w:rsidP="00722885">
      <w:pPr>
        <w:pStyle w:val="Iauiue"/>
        <w:jc w:val="both"/>
        <w:rPr>
          <w:color w:val="000000" w:themeColor="text1"/>
          <w:sz w:val="16"/>
          <w:szCs w:val="16"/>
        </w:rPr>
      </w:pPr>
    </w:p>
    <w:p w14:paraId="5498717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года по заданию Наркомата минометного вооружения и исходным данным, представленным из Артиллерийского управления ВМФ, была разработана боевая 16-зарядная установка М-13-М, смонтированная на морском бронекатере для пуска снарядов М-13. Она предназначалась для тех же целей, что и установки М-13-МI и М-13-МII.</w:t>
      </w:r>
    </w:p>
    <w:p w14:paraId="77455C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Метательная установка установки М-13-М состояла из качающейся части, поворотного устройства, механизмов горизонтального и вертикального наведения, системы прицеливания и электрооборудования. Качающаяся часть – направляющие и ферма – унифицирована с качающейся частью установки М-13, метательная установка которой монтировалась на модифицированном шасси трактора СТЗ-5.</w:t>
      </w:r>
    </w:p>
    <w:p w14:paraId="3AE7B6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Поворотное устройство было выполнено в виде шарового погона. Нижняя часть погона непосредственно крепилась к палубе бронекатера, а верхняя (вращающаяся) часть состояла из опоры с осью для качающейся части, стойки для крепления качающейся части на походе, приводов механизмов горизонтального и вертикального наведения, прицельного устройства, сиденья для стреляющего и наводчика, крепления аккумуляторных батарей и переключателя типа ПУО. Впервые был применен перископический прицел ПТК, связанный кинематической связью с осью качающейся части.</w:t>
      </w:r>
    </w:p>
    <w:p w14:paraId="663E392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Установка М-13-М являлась основным вариантом боевой установки на бронекатере. Для вооружения кораблей Военно-морского флота была изготовлена серия установок М-13-М, которые применялись в Сталинградской битве. После модернизации установки использовались в боевых операциях 1943-1944 годов на Черноморском флоте, Азовской, Днепровской и Дунайской флотилиях [3] (11772).</w:t>
      </w:r>
    </w:p>
    <w:p w14:paraId="7C24540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8B7905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5293BB0" w14:textId="77777777" w:rsidR="00AE7191" w:rsidRPr="00722885" w:rsidRDefault="00AE7191" w:rsidP="00722885">
      <w:pPr>
        <w:pStyle w:val="Iauiue"/>
        <w:jc w:val="both"/>
        <w:rPr>
          <w:iCs/>
          <w:color w:val="000000" w:themeColor="text1"/>
          <w:sz w:val="16"/>
          <w:szCs w:val="16"/>
        </w:rPr>
      </w:pPr>
    </w:p>
    <w:p w14:paraId="29E39F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июля 1942 по август 1943 над Москвой шесть раз появлялся Ju-86R-1 (65,122).</w:t>
      </w:r>
    </w:p>
    <w:p w14:paraId="1C789B5B" w14:textId="77777777" w:rsidR="00AE7191" w:rsidRPr="00722885" w:rsidRDefault="00AE7191" w:rsidP="00722885">
      <w:pPr>
        <w:pStyle w:val="Iauiue"/>
        <w:jc w:val="both"/>
        <w:rPr>
          <w:color w:val="000000" w:themeColor="text1"/>
          <w:sz w:val="16"/>
          <w:szCs w:val="16"/>
        </w:rPr>
      </w:pPr>
    </w:p>
    <w:p w14:paraId="59ECC321"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июля 1942 г. немецкие высотные разведчики </w:t>
      </w:r>
      <w:r w:rsidRPr="00722885">
        <w:rPr>
          <w:rFonts w:ascii="Times New Roman" w:hAnsi="Times New Roman"/>
          <w:color w:val="000000" w:themeColor="text1"/>
          <w:sz w:val="16"/>
          <w:szCs w:val="16"/>
          <w:lang w:val="en-US"/>
        </w:rPr>
        <w:t>Ju</w:t>
      </w:r>
      <w:r w:rsidRPr="00722885">
        <w:rPr>
          <w:rFonts w:ascii="Times New Roman" w:hAnsi="Times New Roman"/>
          <w:color w:val="000000" w:themeColor="text1"/>
          <w:sz w:val="16"/>
          <w:szCs w:val="16"/>
        </w:rPr>
        <w:t xml:space="preserve"> 86</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-2 вновь стали «навещать» московское небо. Ни один из истребите</w:t>
      </w:r>
      <w:r w:rsidRPr="00722885">
        <w:rPr>
          <w:rFonts w:ascii="Times New Roman" w:hAnsi="Times New Roman"/>
          <w:color w:val="000000" w:themeColor="text1"/>
          <w:sz w:val="16"/>
          <w:szCs w:val="16"/>
        </w:rPr>
        <w:softHyphen/>
        <w:t>лей, находившихся в тот момент на вооружении ВВС РККА, не мог им помешать.</w:t>
      </w:r>
    </w:p>
    <w:p w14:paraId="6B06B75B"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писал лётчик-испытатель и писатель И.И. Шелест, «...его «прогулки» за линию фронта, да ещё к Москве, вызвали понятное беспокойство Ставки Верховного Коман</w:t>
      </w:r>
      <w:r w:rsidRPr="00722885">
        <w:rPr>
          <w:rFonts w:ascii="Times New Roman" w:hAnsi="Times New Roman"/>
          <w:color w:val="000000" w:themeColor="text1"/>
          <w:sz w:val="16"/>
          <w:szCs w:val="16"/>
        </w:rPr>
        <w:softHyphen/>
        <w:t>дования. Что же касается лиц, ответственных за техническое состояние противовоз</w:t>
      </w:r>
      <w:r w:rsidRPr="00722885">
        <w:rPr>
          <w:rFonts w:ascii="Times New Roman" w:hAnsi="Times New Roman"/>
          <w:color w:val="000000" w:themeColor="text1"/>
          <w:sz w:val="16"/>
          <w:szCs w:val="16"/>
        </w:rPr>
        <w:softHyphen/>
        <w:t xml:space="preserve">душной обороны, то появление </w:t>
      </w:r>
      <w:r w:rsidRPr="00722885">
        <w:rPr>
          <w:rFonts w:ascii="Times New Roman" w:hAnsi="Times New Roman"/>
          <w:color w:val="000000" w:themeColor="text1"/>
          <w:sz w:val="16"/>
          <w:szCs w:val="16"/>
          <w:lang w:val="en-US"/>
        </w:rPr>
        <w:t>Ju</w:t>
      </w:r>
      <w:r w:rsidRPr="00722885">
        <w:rPr>
          <w:rFonts w:ascii="Times New Roman" w:hAnsi="Times New Roman"/>
          <w:color w:val="000000" w:themeColor="text1"/>
          <w:sz w:val="16"/>
          <w:szCs w:val="16"/>
        </w:rPr>
        <w:t>-86</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 xml:space="preserve"> на недоступной для наших истребителей высоте оказалось, прямо скажем, гнетущей неожиданностью».</w:t>
      </w:r>
    </w:p>
    <w:p w14:paraId="7BB50D40"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Предоставить Люфтваффе беспрепятственно летать над столицей, постоянно следить за перемещением грузов и воинских частей, работой предприятий». Такое И.В. Сталин допустить не мог: «У Сталина имели место серьёные разговоры и совещания, в резуль</w:t>
      </w:r>
      <w:r w:rsidRPr="00722885">
        <w:rPr>
          <w:rFonts w:ascii="Times New Roman" w:hAnsi="Times New Roman"/>
          <w:color w:val="000000" w:themeColor="text1"/>
          <w:sz w:val="16"/>
          <w:szCs w:val="16"/>
        </w:rPr>
        <w:softHyphen/>
        <w:t>тате которых Наркомату авиационной промышленности предложили в самом срочном порядке модернизировать несколько истребителей Як для высотных полётов, а главно</w:t>
      </w:r>
      <w:r w:rsidRPr="00722885">
        <w:rPr>
          <w:rFonts w:ascii="Times New Roman" w:hAnsi="Times New Roman"/>
          <w:color w:val="000000" w:themeColor="text1"/>
          <w:sz w:val="16"/>
          <w:szCs w:val="16"/>
        </w:rPr>
        <w:softHyphen/>
        <w:t>му конструктору Микояну создать новый высотный истребитель...».</w:t>
      </w:r>
    </w:p>
    <w:p w14:paraId="6BCA3F5E" w14:textId="77777777" w:rsidR="00627011" w:rsidRPr="00722885" w:rsidRDefault="0062701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тому же Сталину просто не хотелось ударить «лицом в грязь» перед союзниками, ко</w:t>
      </w:r>
      <w:r w:rsidRPr="00722885">
        <w:rPr>
          <w:rFonts w:ascii="Times New Roman" w:hAnsi="Times New Roman"/>
          <w:color w:val="000000" w:themeColor="text1"/>
          <w:sz w:val="16"/>
          <w:szCs w:val="16"/>
        </w:rPr>
        <w:softHyphen/>
        <w:t xml:space="preserve">торые успешно расправлялись с высотными самолётами Третьего Рейха (15830). </w:t>
      </w:r>
    </w:p>
    <w:p w14:paraId="48EDE160" w14:textId="77777777" w:rsidR="00627011" w:rsidRPr="00722885" w:rsidRDefault="00627011" w:rsidP="00722885">
      <w:pPr>
        <w:spacing w:after="0" w:line="240" w:lineRule="auto"/>
        <w:jc w:val="both"/>
        <w:rPr>
          <w:rFonts w:ascii="Times New Roman" w:hAnsi="Times New Roman"/>
          <w:color w:val="000000" w:themeColor="text1"/>
          <w:sz w:val="16"/>
          <w:szCs w:val="16"/>
        </w:rPr>
      </w:pPr>
    </w:p>
    <w:p w14:paraId="68EBECD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были подведены итоги боевых действий ВВС Красной Армии за первый год войны (начиная с июля 1941 г) Выяснилось, что в 6484 учтённых боевых вылетах было потеряно 60 «бисов», то есть одна потеря приходилась на 108 са- молёто-вылетов. Такие показатели оказа</w:t>
      </w:r>
      <w:r w:rsidRPr="00722885">
        <w:rPr>
          <w:rFonts w:ascii="Times New Roman" w:hAnsi="Times New Roman"/>
          <w:color w:val="000000" w:themeColor="text1"/>
          <w:sz w:val="16"/>
          <w:szCs w:val="16"/>
        </w:rPr>
        <w:softHyphen/>
        <w:t>лись заметно лучше, чем у многих новых истребителей и даже штурмовиков Ил-2. Потери в результате аварий и катастроф составили всего 11 машин.</w:t>
      </w:r>
    </w:p>
    <w:p w14:paraId="3DE949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возрастающее поступ</w:t>
      </w:r>
      <w:r w:rsidRPr="00722885">
        <w:rPr>
          <w:rFonts w:ascii="Times New Roman" w:hAnsi="Times New Roman"/>
          <w:color w:val="000000" w:themeColor="text1"/>
          <w:sz w:val="16"/>
          <w:szCs w:val="16"/>
        </w:rPr>
        <w:softHyphen/>
        <w:t>ление в войска новой техники, в 1943 г. старенькие бипланы, прошедшие не один ремонт, продолжали свою боевую деятельность. На 1 июня 1943 г. в составе действующей армии ещё насчитывалось 32 И-15бис (главным образом в 7-й и 4-й воздушных армиях). Кроме того, в этот период до 40 машин имелось в соста</w:t>
      </w:r>
      <w:r w:rsidRPr="00722885">
        <w:rPr>
          <w:rFonts w:ascii="Times New Roman" w:hAnsi="Times New Roman"/>
          <w:color w:val="000000" w:themeColor="text1"/>
          <w:sz w:val="16"/>
          <w:szCs w:val="16"/>
        </w:rPr>
        <w:softHyphen/>
        <w:t>ве тыловых соединений ПВО и в лётных школах. Для большинства из них этот год стал последним (12294).</w:t>
      </w:r>
    </w:p>
    <w:p w14:paraId="39B1935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C6F314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794-й полку, который воевал на ЮФ на "Бостонах", удался налет на аэродром Россошь. Неожиданно зайдя со стороны болота, бомбами и пулеметным огнем "Бостоны" уничтожили и повредили 21 самолет. Эту цифру впоследствии установили партизаны. Рейд попытались повторить, но на этот раз достичь неожиданности не удалось. Два Б-3 сбили, один, поврежденный, совершил вынужденную посадку. Немцы в ответ разбомбили аэродром полка и сожгли шесть "Бостонов" (3457,100).</w:t>
      </w:r>
    </w:p>
    <w:p w14:paraId="00C31AA3" w14:textId="77777777" w:rsidR="00AE7191" w:rsidRPr="00722885" w:rsidRDefault="00AE7191" w:rsidP="00722885">
      <w:pPr>
        <w:pStyle w:val="Iauiue"/>
        <w:jc w:val="both"/>
        <w:rPr>
          <w:color w:val="000000" w:themeColor="text1"/>
          <w:sz w:val="16"/>
          <w:szCs w:val="16"/>
        </w:rPr>
      </w:pPr>
    </w:p>
    <w:p w14:paraId="57E193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июля 1942 начал воевать 37-й полк, с августа - 16-й, с сентября - 125-й. Бомбардировщики действовали под Вязьмой, Дорогобужем, Ярцево. Было совершено много дневных вылетов одиночными машинами и мелкими группами без прикрытия истребителями. Целями являлись автомобильные и танковые колонны, укрепленные позиции. Во фронтовой авиации "Митчеллы" поработали недолго. На малых высотах довольно громоздкий В-25 вел себя инертно и представлял неплохую мишень для немецких зенитчиков. Потери начали расти. В итоге пришли к выводу, что использование В-25 по тактическим целям неэффективно. 29 сентября 1942 года 222-ю дивизию официально передали в Авиацию дальнего действия (АДД). Для роли фронтового бомбардировщика у нас гораздо лучше подходили Пе-2 и А-20, а в АДД можно было в полной мере использовать и большой радиус действия В-25, и отличное навигационное радиооборудование, и мощное вооружение, и значительную бомбовую нагрузку. По всем этим характеристикам он более соответствовал дальнему Ил-4, нежели нашим фронтовым бомбардировщикам. В некоторых отношениях - по скорости, оборонительному вооружению, оборудованию - В-25 превосходил Ил-4, но кое в чем и уступал ему (3457,91).</w:t>
      </w:r>
    </w:p>
    <w:p w14:paraId="03E7E06D" w14:textId="77777777" w:rsidR="00AE7191" w:rsidRPr="00722885" w:rsidRDefault="00AE7191" w:rsidP="00722885">
      <w:pPr>
        <w:pStyle w:val="Iauiue"/>
        <w:jc w:val="both"/>
        <w:rPr>
          <w:color w:val="000000" w:themeColor="text1"/>
          <w:sz w:val="16"/>
          <w:szCs w:val="16"/>
        </w:rPr>
      </w:pPr>
    </w:p>
    <w:p w14:paraId="719968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июля 1942 начались налеты АДД на цели в Восточной Пруссии, а затем и на Берлин, Будапешт, Бухарест, Плоешти. Поскольку достичь столь удаленных объектов с постоянных мест базирования полков АДД не удавалось, применили схему с использованием аэродромов подскока поближе к фронту или с применением подвесных баков (7666). В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ДБ-3Ф и продолжавшая ухудшаться после перехода к экипажу из четырех человек и установки дополнительного оборудования, не давала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Иногда на помощь пилоту подключался штурман, вставлявший в гнездо съемную ручку управления и дававший командиру немного отдохнуть. Согласно мнение дважды Героя Советского Союза А.И.Молодчего: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В.В.Решетников подтверждал: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многочасовых полетах выматывала пилотов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бомбардировщика (7666).</w:t>
      </w:r>
    </w:p>
    <w:p w14:paraId="255DEFB5" w14:textId="77777777" w:rsidR="00AE7191" w:rsidRPr="00722885" w:rsidRDefault="00AE7191" w:rsidP="00722885">
      <w:pPr>
        <w:pStyle w:val="Iauiue"/>
        <w:jc w:val="both"/>
        <w:rPr>
          <w:color w:val="000000" w:themeColor="text1"/>
          <w:sz w:val="16"/>
          <w:szCs w:val="16"/>
        </w:rPr>
      </w:pPr>
    </w:p>
    <w:p w14:paraId="1FC1A9F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июля 1942 начались налеты АДД на цели в Восточной Пруссии, а затем и на Бер</w:t>
      </w:r>
      <w:r w:rsidRPr="00722885">
        <w:rPr>
          <w:rFonts w:ascii="Times New Roman" w:hAnsi="Times New Roman"/>
          <w:color w:val="000000" w:themeColor="text1"/>
          <w:sz w:val="16"/>
          <w:szCs w:val="16"/>
        </w:rPr>
        <w:softHyphen/>
        <w:t>лин, Будапешт, Бухарест, Плоешти. Поскольку достичь столь удаленных объектов с постоянных мест базирова</w:t>
      </w:r>
      <w:r w:rsidRPr="00722885">
        <w:rPr>
          <w:rFonts w:ascii="Times New Roman" w:hAnsi="Times New Roman"/>
          <w:color w:val="000000" w:themeColor="text1"/>
          <w:sz w:val="16"/>
          <w:szCs w:val="16"/>
        </w:rPr>
        <w:softHyphen/>
        <w:t>ния полков АЛЛ не удавалось, приме</w:t>
      </w:r>
      <w:r w:rsidRPr="00722885">
        <w:rPr>
          <w:rFonts w:ascii="Times New Roman" w:hAnsi="Times New Roman"/>
          <w:color w:val="000000" w:themeColor="text1"/>
          <w:sz w:val="16"/>
          <w:szCs w:val="16"/>
        </w:rPr>
        <w:softHyphen/>
        <w:t>нили схему с использованием аэродро</w:t>
      </w:r>
      <w:r w:rsidRPr="00722885">
        <w:rPr>
          <w:rFonts w:ascii="Times New Roman" w:hAnsi="Times New Roman"/>
          <w:color w:val="000000" w:themeColor="text1"/>
          <w:sz w:val="16"/>
          <w:szCs w:val="16"/>
        </w:rPr>
        <w:softHyphen/>
        <w:t>мов подскока поближе к фронту или с применением подвесных баков (10734,69).</w:t>
      </w:r>
    </w:p>
    <w:p w14:paraId="63A2B0A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35F4E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Нач. штаба ВВС стал г-м Ф.Я.Фалалеев (340,90).</w:t>
      </w:r>
    </w:p>
    <w:p w14:paraId="2A5C3CE4" w14:textId="77777777" w:rsidR="00AE7191" w:rsidRPr="00722885" w:rsidRDefault="00AE7191" w:rsidP="00722885">
      <w:pPr>
        <w:pStyle w:val="Iauiue"/>
        <w:jc w:val="both"/>
        <w:rPr>
          <w:color w:val="000000" w:themeColor="text1"/>
          <w:sz w:val="16"/>
          <w:szCs w:val="16"/>
        </w:rPr>
      </w:pPr>
    </w:p>
    <w:p w14:paraId="2F98D27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в составе 62-й ааиабригады насчитывалось 11 И-16 и 3 УТИ-4. Самолеты базировались на аэродромах в Анапе. Лазаревском, Мысхако, м. Гайдук. 8 И-16 числилось в составе 87-й авиаэскадрильи, базирующейся сначала в Ейске, затем в Ольчинке и Анапе. И-16. принадлежащие ВВС ЧФ находились в основном в 8-м и 32-м иап 62-й авиабригады. Ожесточенные бои в период обороны Севастополя привели к заметному уменьшению численности всех типов истребителей. Уже мосле паления этой черноморской крепости из Крыма на восточные аэродромы перелетело 4 И-16 (12015).</w:t>
      </w:r>
    </w:p>
    <w:p w14:paraId="14CEFEB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40D8F8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вышла "Инструкция по организации связи в авиационных соединениях и частях", утвержденная командующим ВВС КА. Потребовала, чтобы пункты управления командиров авиасоединений д. размещаться в районе КП командующего, прикрываемой общевойсковой или танковой армии. "На наблюдательном пункте развертывается радиостанция, при помощи которой командир авиасоединения командует авиацией, находящейся над полем боя и наводит истребителей на самолеты противника с наиболее выгодных направлений и высот." (518,281).</w:t>
      </w:r>
    </w:p>
    <w:p w14:paraId="77476BCE" w14:textId="77777777" w:rsidR="00AE7191" w:rsidRPr="00722885" w:rsidRDefault="00AE7191" w:rsidP="00722885">
      <w:pPr>
        <w:pStyle w:val="Iauiue"/>
        <w:jc w:val="both"/>
        <w:rPr>
          <w:color w:val="000000" w:themeColor="text1"/>
          <w:sz w:val="16"/>
          <w:szCs w:val="16"/>
        </w:rPr>
      </w:pPr>
    </w:p>
    <w:p w14:paraId="09FFA8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экипажи к Дронова и сл Пяткова на БФ впервые потопили два корабля используя низкое торпедометание (1085,166).</w:t>
      </w:r>
    </w:p>
    <w:p w14:paraId="2FE2FD25" w14:textId="77777777" w:rsidR="00AE7191" w:rsidRPr="00722885" w:rsidRDefault="00AE7191" w:rsidP="00722885">
      <w:pPr>
        <w:pStyle w:val="Iauiue"/>
        <w:jc w:val="both"/>
        <w:rPr>
          <w:color w:val="000000" w:themeColor="text1"/>
          <w:sz w:val="16"/>
          <w:szCs w:val="16"/>
        </w:rPr>
      </w:pPr>
    </w:p>
    <w:p w14:paraId="32163C8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на Балтике экипажи капитана Дронова и старшего лейтенанта Пяткова потопили первые два корабля противника (10734,85).</w:t>
      </w:r>
    </w:p>
    <w:p w14:paraId="1A1CB07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9AB23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июля 1942 по решению Ставки ВГК на Северный флот возложили задачу обороны полуостровов Средний и Рыбачий и создали Северный оборонительный район (359,189).</w:t>
      </w:r>
    </w:p>
    <w:p w14:paraId="1576C2F4" w14:textId="77777777" w:rsidR="00AE7191" w:rsidRPr="00722885" w:rsidRDefault="00AE7191" w:rsidP="00722885">
      <w:pPr>
        <w:pStyle w:val="Iauiue"/>
        <w:jc w:val="both"/>
        <w:rPr>
          <w:color w:val="000000" w:themeColor="text1"/>
          <w:sz w:val="16"/>
          <w:szCs w:val="16"/>
        </w:rPr>
      </w:pPr>
    </w:p>
    <w:p w14:paraId="0821CD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АНТ-44 Чайка перелетела из Севастополя на Кавказ и разбилась при посадке в начале 1943 после бомбежки Ялты (577,13).</w:t>
      </w:r>
    </w:p>
    <w:p w14:paraId="13C35CD6" w14:textId="77777777" w:rsidR="00AE7191" w:rsidRPr="00722885" w:rsidRDefault="00AE7191" w:rsidP="00722885">
      <w:pPr>
        <w:pStyle w:val="Iauiue"/>
        <w:jc w:val="both"/>
        <w:rPr>
          <w:color w:val="000000" w:themeColor="text1"/>
          <w:sz w:val="16"/>
          <w:szCs w:val="16"/>
        </w:rPr>
      </w:pPr>
    </w:p>
    <w:p w14:paraId="48CD48A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после оставления Севастополя, с Ил-4 в одной из бухт сбросили шесть АМк. IV Такие же мины затем использовались у о. Бирючий, в Керченском проливе и около Фе</w:t>
      </w:r>
      <w:r w:rsidRPr="00722885">
        <w:rPr>
          <w:rFonts w:ascii="Times New Roman" w:hAnsi="Times New Roman"/>
          <w:color w:val="000000" w:themeColor="text1"/>
          <w:sz w:val="16"/>
          <w:szCs w:val="16"/>
        </w:rPr>
        <w:softHyphen/>
        <w:t>одосии. За 1942 г. на Черном море сбросили 46 мин (10734,85).</w:t>
      </w:r>
    </w:p>
    <w:p w14:paraId="0669BA8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12601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года в танковых войсках 61-й армии перед началом проведения Болховской наступательной операции имелось 334 танка семи марок. Из них только 67 (20%) - Т-34. "Рабочей лошадкой" советских танковых войск Т-34 стали только к 1943 году (3862).</w:t>
      </w:r>
    </w:p>
    <w:p w14:paraId="4A190129" w14:textId="77777777" w:rsidR="00AE7191" w:rsidRPr="00722885" w:rsidRDefault="00AE7191" w:rsidP="00722885">
      <w:pPr>
        <w:pStyle w:val="Iauiue"/>
        <w:jc w:val="both"/>
        <w:rPr>
          <w:color w:val="000000" w:themeColor="text1"/>
          <w:sz w:val="16"/>
          <w:szCs w:val="16"/>
        </w:rPr>
      </w:pPr>
    </w:p>
    <w:p w14:paraId="3C4E57EA" w14:textId="77777777" w:rsidR="0007364D" w:rsidRPr="00722885" w:rsidRDefault="0007364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июле 1942 года был сформирован ООТБ (отдельный особый танковый батальон). В некоторых публикациях он называется ООТБ литер «Б», но это уже другая часть, которая находилась в составе 31-й армии. Его командиром стал майор Ф.В. Небылов. Батальон полностью состоял из трофейных танков: помимо 10 Pz.Kpfw.38(t), в нем находилось 2 StuG III, 12 Pz.Kpfw.III и 6 Pz.Kpfw.IV. Характерной деталью «Праг» ООТБ были большие белые звезды, которые наносились на лобовой лист корпуса и борта башни. Такой отличительный знак был крайне необходим, поскольку трофейные танки могли подбить свои же. ООТБ, то он был отправлен в 20-ю армию в Крым.</w:t>
      </w:r>
    </w:p>
    <w:p w14:paraId="248F7391" w14:textId="77777777" w:rsidR="0007364D" w:rsidRPr="00722885" w:rsidRDefault="0007364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состоянию на 31 августа в батальоне было 8 «Праг, 6 Pz.Kpfw.IV, 10 Pz.Kpfw.III и 2 StuG III. К тому моменту батальон действовал совместно с 354-й стрелковой дивизией. 3 сентября батальон поддерживал наступление 1203-го стрелкового полка 354-й стрелковой дивизии в районе деревни Опокино. На следующий день одна «Прага» была подбита артиллерией, еще две машины оказались подбиты вражеской авиацией. Из оставшихся танков один находился в распоряжении командира 354-й сд. На следующий день было подбито еще 2 трофейных танка, но при этом 1, поврежденный ранее, удалось ввести в строй. Днем позже количество боеспособных «Праг» удалось довести до 5, из них 2 требовали ремонта. Экипажи окопали машины и использовали как неподвижные огневые точки. В тот момент батальон находился северо-восточнее деревни Черниково.</w:t>
      </w:r>
    </w:p>
    <w:p w14:paraId="2E514710" w14:textId="77777777" w:rsidR="0007364D" w:rsidRPr="00722885" w:rsidRDefault="0007364D" w:rsidP="00722885">
      <w:pPr>
        <w:pStyle w:val="12a"/>
        <w:shd w:val="clear" w:color="auto" w:fill="auto"/>
        <w:spacing w:after="0" w:line="240" w:lineRule="auto"/>
        <w:jc w:val="both"/>
        <w:rPr>
          <w:color w:val="000000" w:themeColor="text1"/>
          <w:sz w:val="16"/>
          <w:szCs w:val="16"/>
          <w:lang w:eastAsia="ru-RU"/>
        </w:rPr>
      </w:pPr>
      <w:r w:rsidRPr="00722885">
        <w:rPr>
          <w:color w:val="000000" w:themeColor="text1"/>
          <w:sz w:val="16"/>
          <w:szCs w:val="16"/>
          <w:lang w:eastAsia="ru-RU"/>
        </w:rPr>
        <w:t>На протяжении следующей недели танки держали оборону совместно с 331-й стрелковой дивизией. По состоянию на 25 сентября в строю оставалось 3 «Праги». Из потерянных ранее танков 2 остались на территории противника, не так давно их фотографии «всплывали» на одном из интернет-аукционов. Позже эти машины удалось эвакуировать. Батальон до конца октября 1942 года имел примерно такой же состав, после чего его расформировали. Федор Васильевич Небылов закончил войну в звании гвардии подполковника, занимая к тому моменту должность заместителя командира 67-й гвардейской тяжелой танковой бригады. В ее составе он дошел до Берлина (17687).</w:t>
      </w:r>
    </w:p>
    <w:p w14:paraId="7F1FEBED" w14:textId="77777777" w:rsidR="0007364D" w:rsidRPr="00722885" w:rsidRDefault="0007364D" w:rsidP="00722885">
      <w:pPr>
        <w:pStyle w:val="12a"/>
        <w:shd w:val="clear" w:color="auto" w:fill="auto"/>
        <w:spacing w:after="0" w:line="240" w:lineRule="auto"/>
        <w:jc w:val="both"/>
        <w:rPr>
          <w:color w:val="000000" w:themeColor="text1"/>
          <w:sz w:val="16"/>
          <w:szCs w:val="16"/>
        </w:rPr>
      </w:pPr>
    </w:p>
    <w:p w14:paraId="06AAEF5E" w14:textId="77777777" w:rsidR="007240D5" w:rsidRPr="00722885" w:rsidRDefault="007240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у станции Родаково, близ Ворошиловграда, был уничтожен немецкими пикирующими бомбардировщиками бронепоезд №2 «За Родину». В этот же день западне Ростова были взорваны своими командами попавшие в окружение бронепоезда 7-го отдельного дивизиона – №21 и 29 (15218).</w:t>
      </w:r>
    </w:p>
    <w:p w14:paraId="66AD9DD2" w14:textId="77777777" w:rsidR="007240D5" w:rsidRPr="00722885" w:rsidRDefault="007240D5" w:rsidP="00722885">
      <w:pPr>
        <w:spacing w:after="0" w:line="240" w:lineRule="auto"/>
        <w:jc w:val="both"/>
        <w:rPr>
          <w:rFonts w:ascii="Times New Roman" w:hAnsi="Times New Roman"/>
          <w:color w:val="000000" w:themeColor="text1"/>
          <w:sz w:val="16"/>
          <w:szCs w:val="16"/>
        </w:rPr>
      </w:pPr>
    </w:p>
    <w:p w14:paraId="2D8C75B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В июле 1942 г. КБФ предпринял попытку захватить небольшой скалистый остров Соммерс, который оборонял финский гарнизон в составе 92 человек при 12 орудиях калибром от 20- до 75-мм, таком же количестве пулеметов и двух минометах. Хотя в распоряжении нашего командования имелось довольно много катеров самого разного назначения, основными десантными средствами были выбраны торпедные катера типа Г-5 и малые охотники. Налеты нашей авиации особых результатов не дали, поэтому когда в 01:20 8 июля десантные группы развернулись и пошли к местам высадки, финны встретили их огнем. На ТКА №121 при подходе к берегу заглохли моторы с муфтами, включенными на передний ход и при заводке моторов он сразу сел на камни. После того, как десантники покинули катер, его попытались снять с камней, но неудачно. Хорошо еще, что удалось спасти экипаж. Также на подходе к месту высадки получил повреждения ТКА №71. Несмотря на это, ему удалось высадить находившихся на борту бойцов, но не в предусмотренном планом месте, а “куда придется”. Отходивший после этого от острова 71-й вновь попал под артиллерийский огонь, загорелся и погиб. Личный состав с него под непрекращающимся обстрелом сумел забрать катер №152 (типа Д-3), сам имевший повреждения. Досталось и “пятерке” с бортовым номером 171 - погиб командир, из числа десантников трое были убиты и четверо ранены. Реакция финского командования на действия Балтфлота оказалась быстрой и энергичной - в бой были брошены канонерские лодки “Уусимаа” и “Хямеенмаа”, а также пять сторожевых </w:t>
      </w:r>
      <w:r w:rsidRPr="00722885">
        <w:rPr>
          <w:color w:val="000000" w:themeColor="text1"/>
          <w:sz w:val="16"/>
          <w:szCs w:val="16"/>
        </w:rPr>
        <w:lastRenderedPageBreak/>
        <w:t>катеров. Подходившая к Соммерсу первой “Уусимаа” подверглась нападению двух “Гэ-пятых” (№73 и 113) из состава дозорной группы и сумела успешно отразить атаку, потопив 113-й. Советские катерники доложили о потоплении неприятельской канлодки - первой из заявленных в ходе боев побед. Ожесточенные бои за Соммерс шли до 10 июля, причем основными противниками наших катерников были финские канонерки и сторожевые катера типа VMV. И надо сказать, что они балтийцам оказались не по зубам - несмотря на целый ряд докладов об уничтожении вражеских кораблей ни одна торпедная атака не завершилась успехом, а ответный огонь часто достигал цели. В перестрелках из бортового оружия перевес был полностью на стороне финнов, катера которых имели на вооружении скорострельные малокалиберные пушки. По огневой мощи им уступали даже малые охотники, а о “Гэ-пятых” и говорить нечего. Из “пятерок”, кроме уже упомянутых, погибли еще и №31 и 123. Кроме того, жертвами провалившейся операции стали два представителя других типов ТК (Д-3 №22 и Ш-4 №83), а также малый охотник №306 (6002).</w:t>
      </w:r>
    </w:p>
    <w:p w14:paraId="008D44C1" w14:textId="77777777" w:rsidR="00AE7191" w:rsidRPr="00722885" w:rsidRDefault="00AE7191" w:rsidP="00722885">
      <w:pPr>
        <w:pStyle w:val="Iauiue"/>
        <w:jc w:val="both"/>
        <w:rPr>
          <w:color w:val="000000" w:themeColor="text1"/>
          <w:sz w:val="16"/>
          <w:szCs w:val="16"/>
        </w:rPr>
      </w:pPr>
    </w:p>
    <w:p w14:paraId="46934DF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1C23033B" w14:textId="77777777" w:rsidR="00AE7191" w:rsidRPr="00722885" w:rsidRDefault="00AE7191" w:rsidP="00722885">
      <w:pPr>
        <w:pStyle w:val="Iauiue"/>
        <w:jc w:val="both"/>
        <w:rPr>
          <w:iCs/>
          <w:color w:val="000000" w:themeColor="text1"/>
          <w:sz w:val="16"/>
          <w:szCs w:val="16"/>
        </w:rPr>
      </w:pPr>
    </w:p>
    <w:p w14:paraId="063FAF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 1942, когда после нападения Германии на Советский Союз правительства Великобритании и США приняли решение об оказании военной помощи, А-20 оказались среди предложенных нам типов самолетов. "Бостоны", безусловно, были лучше упорно навязывавшихся нам самолетов Локхид А-29, тихоходных и слабо вооруженных. Начальник ВВС Жигарев писал паркому торговли Микояну, в ведении которого находились все импортные поставки: "...предложенные нам американцами самолеты ДВ-7В по своим боевым качествам заслуживают внимания и могут быть приобретены". Первоначально предлагалось поставить 584 А-20, затем цифра выросла до 828 машин, из них 300-из заказов, размещенных англичанами. Ее и зафиксировали в Московском протоколе (3457,99).</w:t>
      </w:r>
    </w:p>
    <w:p w14:paraId="542D228E" w14:textId="77777777" w:rsidR="00AE7191" w:rsidRPr="00722885" w:rsidRDefault="00AE7191" w:rsidP="00722885">
      <w:pPr>
        <w:pStyle w:val="Iauiue"/>
        <w:jc w:val="both"/>
        <w:rPr>
          <w:color w:val="000000" w:themeColor="text1"/>
          <w:sz w:val="16"/>
          <w:szCs w:val="16"/>
        </w:rPr>
      </w:pPr>
    </w:p>
    <w:p w14:paraId="62937E9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F6B90D6" w14:textId="77777777" w:rsidR="00AE7191" w:rsidRPr="00722885" w:rsidRDefault="00AE7191" w:rsidP="00722885">
      <w:pPr>
        <w:pStyle w:val="Iauiue"/>
        <w:jc w:val="both"/>
        <w:rPr>
          <w:iCs/>
          <w:color w:val="000000" w:themeColor="text1"/>
          <w:sz w:val="16"/>
          <w:szCs w:val="16"/>
        </w:rPr>
      </w:pPr>
    </w:p>
    <w:p w14:paraId="7CF17639" w14:textId="77777777" w:rsidR="00055F9B" w:rsidRPr="00722885" w:rsidRDefault="00055F9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Июль 1942 года состоялся первый полет Кавасаки Ki-66 (20793).</w:t>
      </w:r>
    </w:p>
    <w:p w14:paraId="565172CD" w14:textId="77777777" w:rsidR="00055F9B" w:rsidRPr="00722885" w:rsidRDefault="00055F9B" w:rsidP="00722885">
      <w:pPr>
        <w:spacing w:after="0" w:line="240" w:lineRule="auto"/>
        <w:jc w:val="both"/>
        <w:rPr>
          <w:rFonts w:ascii="Times New Roman" w:hAnsi="Times New Roman"/>
          <w:color w:val="0070C0"/>
          <w:sz w:val="16"/>
          <w:szCs w:val="16"/>
        </w:rPr>
      </w:pPr>
    </w:p>
    <w:p w14:paraId="6CA04D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в обороне восточной морской границы, кроме 84 армейских и 83 самолетов морской авиации, были задействованы не менее 10 дирижаблей полужесткой конструкции, сведенных в 1-е крыло флота воздушных кораблей. Кстати, под энергичным командованием [464] адмирала К. Розендаля к концу войны флот воздушных кораблей вырос до 130 единиц. Наряду с усилением значения станции Лейкхерста, командование флота приняло решение о строительстве вспомогательных станций в штатах Массачусетс, Северная Каролина, Джорджия, Флорида, Луизиана, Техас, Калифорния и Орегон. Дополнительно сооружались базы в Карибском море, Бразилии и Гибралтаре. Из Нью-Джерси дирижабли были переброшены к Мексиканскому заливу в Веймут, штат Массачусетс. 2-е крыло флота воздушных кораблей было организовано в Ричмонде, штат Флорида, с задачей охраны воздушного пространства в акватории Ямайки, Тринидада и к югу от Бразилии (11324).</w:t>
      </w:r>
    </w:p>
    <w:p w14:paraId="5CD7F53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9387749" w14:textId="77777777" w:rsidR="00055F9B" w:rsidRPr="00722885" w:rsidRDefault="00055F9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Июль 1942 Fliegerkorps II Люфтваффе отозван на базы в Сицилии, чтобы провести новую концентрированную бомбардировку против Мальты. Силы оси сбросили  700 тонн (635,036 кг) бомб и уничтожили 17 британских самолетов на земле, но истребители Royal Air Force Мальты заставляют их приостановить наступление 15 июля после потери 65 самолетов в обмен на 36 Британский Супермарин Спитфайр (20793).</w:t>
      </w:r>
    </w:p>
    <w:p w14:paraId="7644F1B9" w14:textId="77777777" w:rsidR="00055F9B" w:rsidRPr="00722885" w:rsidRDefault="00055F9B" w:rsidP="00722885">
      <w:pPr>
        <w:spacing w:after="0" w:line="240" w:lineRule="auto"/>
        <w:jc w:val="both"/>
        <w:rPr>
          <w:rFonts w:ascii="Times New Roman" w:hAnsi="Times New Roman"/>
          <w:color w:val="0070C0"/>
          <w:sz w:val="16"/>
          <w:szCs w:val="16"/>
        </w:rPr>
      </w:pPr>
    </w:p>
    <w:p w14:paraId="63E84355"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В июле 1942 года штаб японского императорского флота провел совещание с учеными о возможности военного применения атомной энергии. В разгар Тихоокеанской войны командование японского флота стало инициатором встречи адмиралов с учеными-физиками. Первым в списке приглашенных на совещание был видный японский физик Иосио Нисина, возглавлявший Институт физико-химических исследований и в свое время учившийся у Нильса Бора в Копенгагене. Обсуждение возможности применения атомной энергии шло в милитаристской Японии и раньше. Еще до начала войны на Тихом океане начальник научно-исследовательского института авиационной технологии генерал Такео Ясуда поручил Иосио Нисине просчитать возможность использования расщепляющихся материалов в качестве взрывчатки. Под руководством Нисины был создан секретный комитет из ведущих японских ученых, который должен был постоянно следить за состоянием исследовательских работ, проводимых в области использования атомной энергии (11457).</w:t>
      </w:r>
    </w:p>
    <w:p w14:paraId="606BFEBA" w14:textId="77777777" w:rsidR="00AE7191" w:rsidRPr="00722885" w:rsidRDefault="00AE7191" w:rsidP="00722885">
      <w:pPr>
        <w:pStyle w:val="afff2"/>
        <w:jc w:val="both"/>
        <w:rPr>
          <w:i w:val="0"/>
          <w:iCs w:val="0"/>
          <w:color w:val="000000" w:themeColor="text1"/>
          <w:spacing w:val="0"/>
          <w:kern w:val="0"/>
          <w:position w:val="0"/>
          <w:sz w:val="16"/>
          <w:szCs w:val="16"/>
        </w:rPr>
      </w:pPr>
    </w:p>
    <w:p w14:paraId="2A180029" w14:textId="77777777" w:rsidR="004C71FA" w:rsidRPr="00722885" w:rsidRDefault="004C71FA" w:rsidP="00722885">
      <w:pPr>
        <w:spacing w:after="0" w:line="240" w:lineRule="auto"/>
        <w:jc w:val="both"/>
        <w:rPr>
          <w:rFonts w:ascii="Times New Roman" w:hAnsi="Times New Roman"/>
          <w:color w:val="000000" w:themeColor="text1"/>
          <w:sz w:val="16"/>
          <w:szCs w:val="16"/>
        </w:rPr>
      </w:pPr>
      <w:r w:rsidRPr="00722885">
        <w:rPr>
          <w:rStyle w:val="a7"/>
          <w:rFonts w:ascii="Times New Roman" w:hAnsi="Times New Roman"/>
          <w:b w:val="0"/>
          <w:color w:val="000000" w:themeColor="text1"/>
          <w:sz w:val="16"/>
          <w:szCs w:val="16"/>
          <w:bdr w:val="none" w:sz="0" w:space="0" w:color="auto" w:frame="1"/>
          <w:shd w:val="clear" w:color="auto" w:fill="FFFFFF"/>
        </w:rPr>
        <w:t>В июле 1942 года неподалеку от Токио была проведена выставка трофейной авиатехники союзников (19201).</w:t>
      </w:r>
    </w:p>
    <w:p w14:paraId="75CAEF85" w14:textId="77777777" w:rsidR="004C71FA" w:rsidRPr="00722885" w:rsidRDefault="004C71FA" w:rsidP="00722885">
      <w:pPr>
        <w:spacing w:after="0" w:line="240" w:lineRule="auto"/>
        <w:jc w:val="both"/>
        <w:rPr>
          <w:rFonts w:ascii="Times New Roman" w:hAnsi="Times New Roman"/>
          <w:color w:val="000000" w:themeColor="text1"/>
          <w:sz w:val="16"/>
          <w:szCs w:val="16"/>
        </w:rPr>
      </w:pPr>
    </w:p>
    <w:p w14:paraId="0553BE3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8B562C0" w14:textId="77777777" w:rsidR="00AE7191" w:rsidRPr="00722885" w:rsidRDefault="00AE7191" w:rsidP="00722885">
      <w:pPr>
        <w:pStyle w:val="Iauiue"/>
        <w:jc w:val="both"/>
        <w:rPr>
          <w:iCs/>
          <w:color w:val="000000" w:themeColor="text1"/>
          <w:sz w:val="16"/>
          <w:szCs w:val="16"/>
        </w:rPr>
      </w:pPr>
    </w:p>
    <w:p w14:paraId="619A5BF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июле-августе 1942 одновременно с отработкой заводом № 30 двухместного «Ила» на заводе № 1 построили самолет Ил-2бис (зав. № 4434) с мотором АМ-38, имевший полностью бронированную кабину стрелка с блистерной установкой БЛУБ (блистерная установка Березина) под пулемет УБТ с магазинным питанием и боекомплектом в 150 патронов, размещенном в трех магазинах. Кабина стрелка на Ил-2бис была близка по компоновке к кабинам стрелков на само</w:t>
      </w:r>
      <w:r w:rsidRPr="00722885">
        <w:rPr>
          <w:rFonts w:ascii="Times New Roman" w:hAnsi="Times New Roman"/>
          <w:color w:val="000000" w:themeColor="text1"/>
          <w:sz w:val="16"/>
          <w:szCs w:val="16"/>
        </w:rPr>
        <w:softHyphen/>
        <w:t>летах БШ-2 с двигателем АМ-35 и Ил-2 с двигателем М-82. Кабина стрелка оборудовалась на месте заднего фюзеляжного бензобака, вместо которого в двух внутренних бомбоотсеках в цен</w:t>
      </w:r>
      <w:r w:rsidRPr="00722885">
        <w:rPr>
          <w:rFonts w:ascii="Times New Roman" w:hAnsi="Times New Roman"/>
          <w:color w:val="000000" w:themeColor="text1"/>
          <w:sz w:val="16"/>
          <w:szCs w:val="16"/>
        </w:rPr>
        <w:softHyphen/>
        <w:t>троплане самолета устанавливались два бензобака такого же объ</w:t>
      </w:r>
      <w:r w:rsidRPr="00722885">
        <w:rPr>
          <w:rFonts w:ascii="Times New Roman" w:hAnsi="Times New Roman"/>
          <w:color w:val="000000" w:themeColor="text1"/>
          <w:sz w:val="16"/>
          <w:szCs w:val="16"/>
        </w:rPr>
        <w:softHyphen/>
        <w:t>ема. Эти бензобаки имели бронезащиту. То есть кабина стрелка оказалась в бронированной части бронекорпуса самолета. От огня со стороны хвоста самолета и сверху стрелок защищался 8-мм бро-нестенкой, прозрачной (особый тип стекла) 64-мм броней на блис-Тере пулемета и 5-мм броневым листом над головой на сдвижной части фонаря кабины. Пол кабины стрелка также имел 5-мм бро-ЗДо, а между стрелком и летчиком устанавливалась 7-мм бронеплита, то есть, бронезащита стрелка на Ил-2бис была почти такая же, и у летчика. Связь летчика со стрелком осуществлялась с помощью СПУ-2Ф, трехцветной световой сигнализации и через заднее бро</w:t>
      </w:r>
      <w:r w:rsidRPr="00722885">
        <w:rPr>
          <w:rFonts w:ascii="Times New Roman" w:hAnsi="Times New Roman"/>
          <w:color w:val="000000" w:themeColor="text1"/>
          <w:sz w:val="16"/>
          <w:szCs w:val="16"/>
        </w:rPr>
        <w:softHyphen/>
        <w:t>нестекло кабины летчика. Внутренняя подвеска бомб составляла 200 кг. Две крыльевые пушки ШВАК имели боезапас 500 снарядов на обе пушки, а два пу</w:t>
      </w:r>
      <w:r w:rsidRPr="00722885">
        <w:rPr>
          <w:rFonts w:ascii="Times New Roman" w:hAnsi="Times New Roman"/>
          <w:color w:val="000000" w:themeColor="text1"/>
          <w:sz w:val="16"/>
          <w:szCs w:val="16"/>
        </w:rPr>
        <w:softHyphen/>
        <w:t>лемета ШКАС — 1500 патронов. Кроме того самолет нес 8 реактив</w:t>
      </w:r>
      <w:r w:rsidRPr="00722885">
        <w:rPr>
          <w:rFonts w:ascii="Times New Roman" w:hAnsi="Times New Roman"/>
          <w:color w:val="000000" w:themeColor="text1"/>
          <w:sz w:val="16"/>
          <w:szCs w:val="16"/>
        </w:rPr>
        <w:softHyphen/>
        <w:t>ных снарядов РС-82 (10695).</w:t>
      </w:r>
    </w:p>
    <w:p w14:paraId="79C78C5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75EDAFC"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июле — августе 1942 г. зз числа заказанных ВВС Ил-2 с 37-мм пушками Ш-37 конструкции ОКБ-15 Б. Г. Шпитального  заводом № 18 было по</w:t>
      </w:r>
      <w:r w:rsidRPr="00722885">
        <w:rPr>
          <w:color w:val="000000" w:themeColor="text1"/>
          <w:sz w:val="16"/>
          <w:szCs w:val="16"/>
        </w:rPr>
        <w:softHyphen/>
        <w:t>строено 10 самолетов — зав. № 1873522, 1873722, 1873822, 1873023, 1876123, 1879928, 1871129, 1875029, 1878029, 1879029.</w:t>
      </w:r>
    </w:p>
    <w:p w14:paraId="0D03F48E"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Пушки Ш-37 имели магазинное питание на 40 патронов. Как и на самолете Ил-2 с Ш-37 зав. № 1861704, пушки устанавливались под крылом на двух кронштейнах — переднем и заднем. Перед</w:t>
      </w:r>
      <w:r w:rsidRPr="00722885">
        <w:rPr>
          <w:color w:val="000000" w:themeColor="text1"/>
          <w:sz w:val="16"/>
          <w:szCs w:val="16"/>
        </w:rPr>
        <w:softHyphen/>
        <w:t>нее крепление является поддерживающим. На нем имелись винты горизонтальной и вертикальной ре</w:t>
      </w:r>
      <w:r w:rsidRPr="00722885">
        <w:rPr>
          <w:color w:val="000000" w:themeColor="text1"/>
          <w:sz w:val="16"/>
          <w:szCs w:val="16"/>
        </w:rPr>
        <w:softHyphen/>
        <w:t>гулировки, необходимые для наводки оружия при пристрелке. Заднее крепление было силовым. Оно воспринимало всю силу отдачи пушки при выстре</w:t>
      </w:r>
      <w:r w:rsidRPr="00722885">
        <w:rPr>
          <w:color w:val="000000" w:themeColor="text1"/>
          <w:sz w:val="16"/>
          <w:szCs w:val="16"/>
        </w:rPr>
        <w:softHyphen/>
        <w:t>ле через противооткатное устройство лафета пуш</w:t>
      </w:r>
      <w:r w:rsidRPr="00722885">
        <w:rPr>
          <w:color w:val="000000" w:themeColor="text1"/>
          <w:sz w:val="16"/>
          <w:szCs w:val="16"/>
        </w:rPr>
        <w:softHyphen/>
        <w:t>ки. На заднем и переднем креплениях пушка закре</w:t>
      </w:r>
      <w:r w:rsidRPr="00722885">
        <w:rPr>
          <w:color w:val="000000" w:themeColor="text1"/>
          <w:sz w:val="16"/>
          <w:szCs w:val="16"/>
        </w:rPr>
        <w:softHyphen/>
        <w:t>пляется на цапфах с помощью специальных раз</w:t>
      </w:r>
      <w:r w:rsidRPr="00722885">
        <w:rPr>
          <w:color w:val="000000" w:themeColor="text1"/>
          <w:sz w:val="16"/>
          <w:szCs w:val="16"/>
        </w:rPr>
        <w:softHyphen/>
        <w:t>резных гаек. Для устойчивого положения магазин поддерживается в двух точках складывающимися качалками. Эти качалки имеют общую ось враще</w:t>
      </w:r>
      <w:r w:rsidRPr="00722885">
        <w:rPr>
          <w:color w:val="000000" w:themeColor="text1"/>
          <w:sz w:val="16"/>
          <w:szCs w:val="16"/>
        </w:rPr>
        <w:softHyphen/>
        <w:t>ния на кронштейне, который устанавливается на стенке заднего лонжерона. Спуск пушек работает от электроспуска, перезарядка — от воздушной си</w:t>
      </w:r>
      <w:r w:rsidRPr="00722885">
        <w:rPr>
          <w:color w:val="000000" w:themeColor="text1"/>
          <w:sz w:val="16"/>
          <w:szCs w:val="16"/>
        </w:rPr>
        <w:softHyphen/>
        <w:t>стемы при давлении 50 атм.</w:t>
      </w:r>
    </w:p>
    <w:p w14:paraId="6BC99A90"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Начиная с 1 сентября самолеты проходили от</w:t>
      </w:r>
      <w:r w:rsidRPr="00722885">
        <w:rPr>
          <w:color w:val="000000" w:themeColor="text1"/>
          <w:sz w:val="16"/>
          <w:szCs w:val="16"/>
        </w:rPr>
        <w:softHyphen/>
        <w:t>работку на летно-испытательной станции завода № 18 и на полигоне 5-го запасного авиаполка 1-й запасной авиабригады в Кинель-Черкассах. В со</w:t>
      </w:r>
      <w:r w:rsidRPr="00722885">
        <w:rPr>
          <w:color w:val="000000" w:themeColor="text1"/>
          <w:sz w:val="16"/>
          <w:szCs w:val="16"/>
        </w:rPr>
        <w:softHyphen/>
        <w:t>став испытательной бригады входили: начальник группы вооружения СКО инженер Васильев, ве</w:t>
      </w:r>
      <w:r w:rsidRPr="00722885">
        <w:rPr>
          <w:color w:val="000000" w:themeColor="text1"/>
          <w:sz w:val="16"/>
          <w:szCs w:val="16"/>
        </w:rPr>
        <w:softHyphen/>
        <w:t>дущий инженер военного представительства по вооружению инженер-капитан Сиваков, ведущий инженер ОКБ-15 Объедков, начальник цеха при</w:t>
      </w:r>
      <w:r w:rsidRPr="00722885">
        <w:rPr>
          <w:color w:val="000000" w:themeColor="text1"/>
          <w:sz w:val="16"/>
          <w:szCs w:val="16"/>
        </w:rPr>
        <w:softHyphen/>
        <w:t>стрелки Гвоздев.</w:t>
      </w:r>
    </w:p>
    <w:p w14:paraId="303B823F"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Основные результаты сводились к следующе</w:t>
      </w:r>
      <w:r w:rsidRPr="00722885">
        <w:rPr>
          <w:color w:val="000000" w:themeColor="text1"/>
          <w:sz w:val="16"/>
          <w:szCs w:val="16"/>
        </w:rPr>
        <w:softHyphen/>
        <w:t>му. Механизм крепления пушки Ш-37 под крылом самолета допускал откат всей пушки вместе с па</w:t>
      </w:r>
      <w:r w:rsidRPr="00722885">
        <w:rPr>
          <w:color w:val="000000" w:themeColor="text1"/>
          <w:sz w:val="16"/>
          <w:szCs w:val="16"/>
        </w:rPr>
        <w:softHyphen/>
        <w:t>тронным ящиком до 120 мм, обеспечивая при этом нормальную работу автоматики пушек, удобную ре</w:t>
      </w:r>
      <w:r w:rsidRPr="00722885">
        <w:rPr>
          <w:color w:val="000000" w:themeColor="text1"/>
          <w:sz w:val="16"/>
          <w:szCs w:val="16"/>
        </w:rPr>
        <w:softHyphen/>
        <w:t>гулировку, постановку и снятие пушек.</w:t>
      </w:r>
    </w:p>
    <w:p w14:paraId="76006F25"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Изрядно повозились с обеспечением необхо</w:t>
      </w:r>
      <w:r w:rsidRPr="00722885">
        <w:rPr>
          <w:color w:val="000000" w:themeColor="text1"/>
          <w:sz w:val="16"/>
          <w:szCs w:val="16"/>
        </w:rPr>
        <w:softHyphen/>
        <w:t>димой прочности крепления магазина пушки. При стрельбах регулярно происходили отказы в стрель</w:t>
      </w:r>
      <w:r w:rsidRPr="00722885">
        <w:rPr>
          <w:color w:val="000000" w:themeColor="text1"/>
          <w:sz w:val="16"/>
          <w:szCs w:val="16"/>
        </w:rPr>
        <w:softHyphen/>
        <w:t>бе вследствие поломок кронштейна крепления магазина к лонжерону крыла. Положительных ре</w:t>
      </w:r>
      <w:r w:rsidRPr="00722885">
        <w:rPr>
          <w:color w:val="000000" w:themeColor="text1"/>
          <w:sz w:val="16"/>
          <w:szCs w:val="16"/>
        </w:rPr>
        <w:softHyphen/>
        <w:t>зультатов удалось достичь только после изменения конструкции кронштейна и применения листовой стали при его изготовлении.</w:t>
      </w:r>
    </w:p>
    <w:p w14:paraId="09B4CA7E"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Для исключения перекосов в установке мага</w:t>
      </w:r>
      <w:r w:rsidRPr="00722885">
        <w:rPr>
          <w:color w:val="000000" w:themeColor="text1"/>
          <w:sz w:val="16"/>
          <w:szCs w:val="16"/>
        </w:rPr>
        <w:softHyphen/>
        <w:t>зина и возможных деформаций кронштейна или самого лонжерона при плохом монтаже рекомен</w:t>
      </w:r>
      <w:r w:rsidRPr="00722885">
        <w:rPr>
          <w:color w:val="000000" w:themeColor="text1"/>
          <w:sz w:val="16"/>
          <w:szCs w:val="16"/>
        </w:rPr>
        <w:softHyphen/>
        <w:t>довалось «ОКБ-15 разработать крепление магазина на самой пушке, не связывая последнее с конструк</w:t>
      </w:r>
      <w:r w:rsidRPr="00722885">
        <w:rPr>
          <w:color w:val="000000" w:themeColor="text1"/>
          <w:sz w:val="16"/>
          <w:szCs w:val="16"/>
        </w:rPr>
        <w:softHyphen/>
        <w:t>цией крыла /.../ или улучшить старую конструкцию ящика путем замены существующего соединения рычагов качалок на тандерное соединение». По мнению специалистов испытательной бригады, «та</w:t>
      </w:r>
      <w:r w:rsidRPr="00722885">
        <w:rPr>
          <w:color w:val="000000" w:themeColor="text1"/>
          <w:sz w:val="16"/>
          <w:szCs w:val="16"/>
        </w:rPr>
        <w:softHyphen/>
        <w:t>кое изменение позволит производить регулировку наклона ящика питания относительно ствольной коробки без разборки качалок».</w:t>
      </w:r>
    </w:p>
    <w:p w14:paraId="77C8F48C"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сами пушки «благодаря про</w:t>
      </w:r>
      <w:r w:rsidRPr="00722885">
        <w:rPr>
          <w:color w:val="000000" w:themeColor="text1"/>
          <w:sz w:val="16"/>
          <w:szCs w:val="16"/>
        </w:rPr>
        <w:softHyphen/>
        <w:t>стой и надежной кинематике» при всех стрельбах работали удовлетворительно. Отказы и задержки возникали главным образом «по причине произ</w:t>
      </w:r>
      <w:r w:rsidRPr="00722885">
        <w:rPr>
          <w:color w:val="000000" w:themeColor="text1"/>
          <w:sz w:val="16"/>
          <w:szCs w:val="16"/>
        </w:rPr>
        <w:softHyphen/>
        <w:t>водственных дефектов завода № 74 в изготовлении ящиков питания ЯП-40».</w:t>
      </w:r>
    </w:p>
    <w:p w14:paraId="735AA893"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Для подтверждения надежности в стрельбе пу</w:t>
      </w:r>
      <w:r w:rsidRPr="00722885">
        <w:rPr>
          <w:color w:val="000000" w:themeColor="text1"/>
          <w:sz w:val="16"/>
          <w:szCs w:val="16"/>
        </w:rPr>
        <w:softHyphen/>
        <w:t>шек Ш-37 был проведен «настрел пушки Г-103 до 531 выстрела» на самолете Ил-2 зав. № 1876123. Эта стрельба проходила без серьезных задержек. Автоматика пушки работала отлично.</w:t>
      </w:r>
    </w:p>
    <w:p w14:paraId="78020A35"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имелись и недостатки. Так, вследствие неудачной формы приемного окна ствольной ко</w:t>
      </w:r>
      <w:r w:rsidRPr="00722885">
        <w:rPr>
          <w:color w:val="000000" w:themeColor="text1"/>
          <w:sz w:val="16"/>
          <w:szCs w:val="16"/>
        </w:rPr>
        <w:softHyphen/>
        <w:t>робки при задержке из-за обрыва гильзы «боевой патрон экстрагирует оборванное дульце гильзы и не может пройти с нею через приемное окно», тогда как «снять оборванную гильзу очень трудно и опасно». Предлагалось «расфрезеровать выход</w:t>
      </w:r>
      <w:r w:rsidRPr="00722885">
        <w:rPr>
          <w:color w:val="000000" w:themeColor="text1"/>
          <w:sz w:val="16"/>
          <w:szCs w:val="16"/>
        </w:rPr>
        <w:softHyphen/>
        <w:t>ную сторону приемного окна ствольной коробки по форме прямоугольника».</w:t>
      </w:r>
    </w:p>
    <w:p w14:paraId="014E885F"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того, требовалось решить вопрос «о легком извлечении последней стреляной гильзы из патронника, так как после выстрела последне</w:t>
      </w:r>
      <w:r w:rsidRPr="00722885">
        <w:rPr>
          <w:color w:val="000000" w:themeColor="text1"/>
          <w:sz w:val="16"/>
          <w:szCs w:val="16"/>
        </w:rPr>
        <w:softHyphen/>
        <w:t>го боевого патрона затвор досылает в патронник стреляную гильзу, шедшую за последним боевым патроном». При этом обеспечить экстракцию этой гильзы одной только перезарядкой не получалось. Необходимо было помогать выталкиванию гильзы банником через ствол пушки.</w:t>
      </w:r>
    </w:p>
    <w:p w14:paraId="3CD25464"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Перезарядка пушек Ш-37 осуществлялась при помощи установленных на пушке 2 цилиндров пе</w:t>
      </w:r>
      <w:r w:rsidRPr="00722885">
        <w:rPr>
          <w:color w:val="000000" w:themeColor="text1"/>
          <w:sz w:val="16"/>
          <w:szCs w:val="16"/>
        </w:rPr>
        <w:softHyphen/>
        <w:t>резарядки, которые уверенно работали при устра</w:t>
      </w:r>
      <w:r w:rsidRPr="00722885">
        <w:rPr>
          <w:color w:val="000000" w:themeColor="text1"/>
          <w:sz w:val="16"/>
          <w:szCs w:val="16"/>
        </w:rPr>
        <w:softHyphen/>
        <w:t>нении задержки в стрельбе («возвращение частей в крайнее заднее положение с патроном») в любых условиях при давлении воздуха в системе самолета от 30 до 50 атм.</w:t>
      </w:r>
    </w:p>
    <w:p w14:paraId="6BFC5CCA"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связи с увеличенным расходом воздуха на каж</w:t>
      </w:r>
      <w:r w:rsidRPr="00722885">
        <w:rPr>
          <w:color w:val="000000" w:themeColor="text1"/>
          <w:sz w:val="16"/>
          <w:szCs w:val="16"/>
        </w:rPr>
        <w:softHyphen/>
        <w:t>дом самолете Ил-2 с пушками Ш-37 дополнительно устанавливался резервный баллон на 8 л (давление 150 атм.), «кроме двух существующих баллонов по 12 л — один на 150 атм., а другой на 50 атм.».</w:t>
      </w:r>
    </w:p>
    <w:p w14:paraId="4B809C3B"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серьезному недостатку системы перезарядки отнесли большое время поступления воздуха в ци</w:t>
      </w:r>
      <w:r w:rsidRPr="00722885">
        <w:rPr>
          <w:color w:val="000000" w:themeColor="text1"/>
          <w:sz w:val="16"/>
          <w:szCs w:val="16"/>
        </w:rPr>
        <w:softHyphen/>
        <w:t>линдры перезарядки, что обуславливалось «боль</w:t>
      </w:r>
      <w:r w:rsidRPr="00722885">
        <w:rPr>
          <w:color w:val="000000" w:themeColor="text1"/>
          <w:sz w:val="16"/>
          <w:szCs w:val="16"/>
        </w:rPr>
        <w:softHyphen/>
        <w:t>шим ходом поршней, равным 375 мм, и малым сечением гибкого шланга, равным всего 6 мм». На практике для полной перезарядки пушки в воздухе требовалось около 4—6 сек. Для устранения этого дефекта предлагалось увеличить сечение гибких шлангов до 8 мм.</w:t>
      </w:r>
    </w:p>
    <w:p w14:paraId="1FF65E2D"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Несмотря на то что электроспуски при напряже</w:t>
      </w:r>
      <w:r w:rsidRPr="00722885">
        <w:rPr>
          <w:color w:val="000000" w:themeColor="text1"/>
          <w:sz w:val="16"/>
          <w:szCs w:val="16"/>
        </w:rPr>
        <w:softHyphen/>
        <w:t>нии аккумулятора не менее 20 вольт надежно ра</w:t>
      </w:r>
      <w:r w:rsidRPr="00722885">
        <w:rPr>
          <w:color w:val="000000" w:themeColor="text1"/>
          <w:sz w:val="16"/>
          <w:szCs w:val="16"/>
        </w:rPr>
        <w:softHyphen/>
        <w:t>ботали на земле и в воздухе, было рекомендовано «ОКБ-15 и НКАП установить дублирующую пневмо- систему электроспуска конструкции завода № 18».</w:t>
      </w:r>
    </w:p>
    <w:p w14:paraId="4987968D"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Пристрелка пушек выполнялась с помощью ТХП на дистанции 50 м, исходя из действительной дис</w:t>
      </w:r>
      <w:r w:rsidRPr="00722885">
        <w:rPr>
          <w:color w:val="000000" w:themeColor="text1"/>
          <w:sz w:val="16"/>
          <w:szCs w:val="16"/>
        </w:rPr>
        <w:softHyphen/>
        <w:t>танции огня 400 м.</w:t>
      </w:r>
    </w:p>
    <w:p w14:paraId="71A76D85"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облетывались и отстреливались в воздухе по полному боекомплекту. Несколько са</w:t>
      </w:r>
      <w:r w:rsidRPr="00722885">
        <w:rPr>
          <w:color w:val="000000" w:themeColor="text1"/>
          <w:sz w:val="16"/>
          <w:szCs w:val="16"/>
        </w:rPr>
        <w:softHyphen/>
        <w:t>молетов отстрелял опытный летчик-испытатель, заместитель начальника летно-испытательной станции завода № 18 майор Е. Н. Ломакин. Ника</w:t>
      </w:r>
      <w:r w:rsidRPr="00722885">
        <w:rPr>
          <w:color w:val="000000" w:themeColor="text1"/>
          <w:sz w:val="16"/>
          <w:szCs w:val="16"/>
        </w:rPr>
        <w:softHyphen/>
        <w:t>ких негативных особенностей в пилотировании и применении Ил-2 с Ш-37 он не отметил: «1. Ма</w:t>
      </w:r>
      <w:r w:rsidRPr="00722885">
        <w:rPr>
          <w:color w:val="000000" w:themeColor="text1"/>
          <w:sz w:val="16"/>
          <w:szCs w:val="16"/>
        </w:rPr>
        <w:softHyphen/>
        <w:t>шины с пушками ШФК-37 устойчивы в воздухе и ничем не отличаются от машин серийного типа. 2. Для израсходования полного боекомплекта пат</w:t>
      </w:r>
      <w:r w:rsidRPr="00722885">
        <w:rPr>
          <w:color w:val="000000" w:themeColor="text1"/>
          <w:sz w:val="16"/>
          <w:szCs w:val="16"/>
        </w:rPr>
        <w:softHyphen/>
        <w:t>ронов необходимо делать не менее 4—5 заходов по 8—10 патронов в очереди. 3. Кучность попа</w:t>
      </w:r>
      <w:r w:rsidRPr="00722885">
        <w:rPr>
          <w:color w:val="000000" w:themeColor="text1"/>
          <w:sz w:val="16"/>
          <w:szCs w:val="16"/>
        </w:rPr>
        <w:softHyphen/>
        <w:t>дания хорошая. С самолета хорошо видны сле</w:t>
      </w:r>
      <w:r w:rsidRPr="00722885">
        <w:rPr>
          <w:color w:val="000000" w:themeColor="text1"/>
          <w:sz w:val="16"/>
          <w:szCs w:val="16"/>
        </w:rPr>
        <w:softHyphen/>
        <w:t>ды попаданий, особенно попадания в землю.</w:t>
      </w:r>
    </w:p>
    <w:p w14:paraId="3F218067"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Это дает возможность ориентироваться в точности попаданий. 4. Стрельба прицельным огнем в ноч</w:t>
      </w:r>
      <w:r w:rsidRPr="00722885">
        <w:rPr>
          <w:color w:val="000000" w:themeColor="text1"/>
          <w:sz w:val="16"/>
          <w:szCs w:val="16"/>
        </w:rPr>
        <w:softHyphen/>
        <w:t>ное время невозможна, так как пламя пушек ос</w:t>
      </w:r>
      <w:r w:rsidRPr="00722885">
        <w:rPr>
          <w:color w:val="000000" w:themeColor="text1"/>
          <w:sz w:val="16"/>
          <w:szCs w:val="16"/>
        </w:rPr>
        <w:softHyphen/>
        <w:t>лепляет летчика, который теряет ориентировку. 5. Управление перезарядкой и стрельбой простое и удобное».</w:t>
      </w:r>
    </w:p>
    <w:p w14:paraId="0347B747"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начале октября все 10 самолетов Ил-2 с пуш</w:t>
      </w:r>
      <w:r w:rsidRPr="00722885">
        <w:rPr>
          <w:color w:val="000000" w:themeColor="text1"/>
          <w:sz w:val="16"/>
          <w:szCs w:val="16"/>
        </w:rPr>
        <w:softHyphen/>
        <w:t>ками Ш-37 официально были переданы 1-й запас</w:t>
      </w:r>
      <w:r w:rsidRPr="00722885">
        <w:rPr>
          <w:color w:val="000000" w:themeColor="text1"/>
          <w:sz w:val="16"/>
          <w:szCs w:val="16"/>
        </w:rPr>
        <w:softHyphen/>
        <w:t>ной авиабригаде и перегнаны на аэродром Кряж, где около месяца «они никакому полку переданы не были и за них никто не отвечал, за ними никто не следил». Затем этими самолетами решили во</w:t>
      </w:r>
      <w:r w:rsidRPr="00722885">
        <w:rPr>
          <w:color w:val="000000" w:themeColor="text1"/>
          <w:sz w:val="16"/>
          <w:szCs w:val="16"/>
        </w:rPr>
        <w:softHyphen/>
        <w:t>оружить 617-й шап, который проходил переучива</w:t>
      </w:r>
      <w:r w:rsidRPr="00722885">
        <w:rPr>
          <w:color w:val="000000" w:themeColor="text1"/>
          <w:sz w:val="16"/>
          <w:szCs w:val="16"/>
        </w:rPr>
        <w:softHyphen/>
        <w:t>ние и переформирование в составе 5-го зап в Ки- нель-Черкассах (аэродром Толкай). На аэродром Толкай и перегнали противотанковые Ил-2.</w:t>
      </w:r>
    </w:p>
    <w:p w14:paraId="714ED9AF"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Насколько удалось установить по документам, находясь на балансе 617-го шап, самолеты факти</w:t>
      </w:r>
      <w:r w:rsidRPr="00722885">
        <w:rPr>
          <w:color w:val="000000" w:themeColor="text1"/>
          <w:sz w:val="16"/>
          <w:szCs w:val="16"/>
        </w:rPr>
        <w:softHyphen/>
        <w:t>чески стояли бесхозными. В течение месяца ими никто не занимался и за оружием не следил.</w:t>
      </w:r>
    </w:p>
    <w:p w14:paraId="790205EF"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моменту приезда в полк старшего техника военного представительства ГУЗ ВВС КА на за</w:t>
      </w:r>
      <w:r w:rsidRPr="00722885">
        <w:rPr>
          <w:color w:val="000000" w:themeColor="text1"/>
          <w:sz w:val="16"/>
          <w:szCs w:val="16"/>
        </w:rPr>
        <w:softHyphen/>
        <w:t>воде № 18 старшего техника-лейтенанта А. Г. Ти- шевского 8 ноября 1942 г. пушки Ш-37 на всех самолетах Ил-2 оказались в крайне запущенном состоянии: «. подвижные части и каналы ство</w:t>
      </w:r>
      <w:r w:rsidRPr="00722885">
        <w:rPr>
          <w:color w:val="000000" w:themeColor="text1"/>
          <w:sz w:val="16"/>
          <w:szCs w:val="16"/>
        </w:rPr>
        <w:softHyphen/>
        <w:t>лов и снаружи пушки были ржавые». Тишев- ский немедленно доложил о положении дел в полку старшему военному представителю ГУЗ ВВС на заводе № 18 инженер-подполковнику Кувеневу и предпринял активные шаги по приведению пу</w:t>
      </w:r>
      <w:r w:rsidRPr="00722885">
        <w:rPr>
          <w:color w:val="000000" w:themeColor="text1"/>
          <w:sz w:val="16"/>
          <w:szCs w:val="16"/>
        </w:rPr>
        <w:softHyphen/>
        <w:t>шек в надлежащий вид.</w:t>
      </w:r>
    </w:p>
    <w:p w14:paraId="5DAAA03A"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докладу Тишевского, «инженер по вооруже</w:t>
      </w:r>
      <w:r w:rsidRPr="00722885">
        <w:rPr>
          <w:color w:val="000000" w:themeColor="text1"/>
          <w:sz w:val="16"/>
          <w:szCs w:val="16"/>
        </w:rPr>
        <w:softHyphen/>
        <w:t>нию 617-го шап военинженер 3-го ранга Черненков беззаботно и халатно отнесся к оружию». Послед</w:t>
      </w:r>
      <w:r w:rsidRPr="00722885">
        <w:rPr>
          <w:color w:val="000000" w:themeColor="text1"/>
          <w:sz w:val="16"/>
          <w:szCs w:val="16"/>
        </w:rPr>
        <w:softHyphen/>
        <w:t>ний ссылался на отсутствие технического состава, хотя в полку было 20 специалистов по вооружению. Однако «часть этих людей все время использова</w:t>
      </w:r>
      <w:r w:rsidRPr="00722885">
        <w:rPr>
          <w:color w:val="000000" w:themeColor="text1"/>
          <w:sz w:val="16"/>
          <w:szCs w:val="16"/>
        </w:rPr>
        <w:softHyphen/>
        <w:t>лась в нарядах и на разных работах, но если бы у инженера полка по вооружению было желание содержать оружие в надлежащем виде и в полной сохранности, то он всегда сумел бы найти для этого людей и время». Между тем со стороны заместите</w:t>
      </w:r>
      <w:r w:rsidRPr="00722885">
        <w:rPr>
          <w:color w:val="000000" w:themeColor="text1"/>
          <w:sz w:val="16"/>
          <w:szCs w:val="16"/>
        </w:rPr>
        <w:softHyphen/>
        <w:t>ля командира полка майора Шалыгина (командир полка майор Гапанюк до 17 ноября находился в от</w:t>
      </w:r>
      <w:r w:rsidRPr="00722885">
        <w:rPr>
          <w:color w:val="000000" w:themeColor="text1"/>
          <w:sz w:val="16"/>
          <w:szCs w:val="16"/>
        </w:rPr>
        <w:softHyphen/>
        <w:t>пуске) полностью отсутствовал контроль состояния материальной части вооружения самолетов и ра</w:t>
      </w:r>
      <w:r w:rsidRPr="00722885">
        <w:rPr>
          <w:color w:val="000000" w:themeColor="text1"/>
          <w:sz w:val="16"/>
          <w:szCs w:val="16"/>
        </w:rPr>
        <w:softHyphen/>
        <w:t>боты инженера полка по вооружению. Не проявило должного внимания к противотанковым самолетам Ил-2 и командование 5-го запасного полка (коман</w:t>
      </w:r>
      <w:r w:rsidRPr="00722885">
        <w:rPr>
          <w:color w:val="000000" w:themeColor="text1"/>
          <w:sz w:val="16"/>
          <w:szCs w:val="16"/>
        </w:rPr>
        <w:softHyphen/>
        <w:t>дир полка — майор Беляков, инженер по вооруже</w:t>
      </w:r>
      <w:r w:rsidRPr="00722885">
        <w:rPr>
          <w:color w:val="000000" w:themeColor="text1"/>
          <w:sz w:val="16"/>
          <w:szCs w:val="16"/>
        </w:rPr>
        <w:softHyphen/>
        <w:t>нию — воентехник 1-го ранга Галкин), в подчине</w:t>
      </w:r>
      <w:r w:rsidRPr="00722885">
        <w:rPr>
          <w:color w:val="000000" w:themeColor="text1"/>
          <w:sz w:val="16"/>
          <w:szCs w:val="16"/>
        </w:rPr>
        <w:softHyphen/>
        <w:t>нии которого находился 617-й шап в период пере</w:t>
      </w:r>
      <w:r w:rsidRPr="00722885">
        <w:rPr>
          <w:color w:val="000000" w:themeColor="text1"/>
          <w:sz w:val="16"/>
          <w:szCs w:val="16"/>
        </w:rPr>
        <w:softHyphen/>
        <w:t>учивания.</w:t>
      </w:r>
    </w:p>
    <w:p w14:paraId="75D1BB64"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«разбора полетов» на уровне командо</w:t>
      </w:r>
      <w:r w:rsidRPr="00722885">
        <w:rPr>
          <w:color w:val="000000" w:themeColor="text1"/>
          <w:sz w:val="16"/>
          <w:szCs w:val="16"/>
        </w:rPr>
        <w:softHyphen/>
        <w:t>вания полков, запасной бригады, руководства во</w:t>
      </w:r>
      <w:r w:rsidRPr="00722885">
        <w:rPr>
          <w:color w:val="000000" w:themeColor="text1"/>
          <w:sz w:val="16"/>
          <w:szCs w:val="16"/>
        </w:rPr>
        <w:softHyphen/>
        <w:t>енного представительства на заводе № 18 и УЗСиМ ГУЗ ВВС за пушки, наконец, основательно взялись и к 21 ноября привели в надлежащий вид. Однако «от сильного ржавения на многих деталях пушек остались неустранимые следы ржавчины и рако</w:t>
      </w:r>
      <w:r w:rsidRPr="00722885">
        <w:rPr>
          <w:color w:val="000000" w:themeColor="text1"/>
          <w:sz w:val="16"/>
          <w:szCs w:val="16"/>
        </w:rPr>
        <w:softHyphen/>
        <w:t>вины».</w:t>
      </w:r>
    </w:p>
    <w:p w14:paraId="0A0EE1DE"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 фактическом состоянии пушек Ш-37 и самоле</w:t>
      </w:r>
      <w:r w:rsidRPr="00722885">
        <w:rPr>
          <w:color w:val="000000" w:themeColor="text1"/>
          <w:sz w:val="16"/>
          <w:szCs w:val="16"/>
        </w:rPr>
        <w:softHyphen/>
        <w:t>тов Ил-2 противотанковой серии Тишевский 23 но</w:t>
      </w:r>
      <w:r w:rsidRPr="00722885">
        <w:rPr>
          <w:color w:val="000000" w:themeColor="text1"/>
          <w:sz w:val="16"/>
          <w:szCs w:val="16"/>
        </w:rPr>
        <w:softHyphen/>
        <w:t>ября письменно доложил инженер-подполковнику Кувеневу, а тот в УЗСиМ ГУЗ ВВС.</w:t>
      </w:r>
    </w:p>
    <w:p w14:paraId="77FBC2E8"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Здесь необходимо сказать, что старший тех</w:t>
      </w:r>
      <w:r w:rsidRPr="00722885">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722885">
        <w:rPr>
          <w:color w:val="000000" w:themeColor="text1"/>
          <w:sz w:val="16"/>
          <w:szCs w:val="16"/>
        </w:rPr>
        <w:softHyphen/>
        <w:t>мощи летно-техническому составу полка в осво</w:t>
      </w:r>
      <w:r w:rsidRPr="00722885">
        <w:rPr>
          <w:color w:val="000000" w:themeColor="text1"/>
          <w:sz w:val="16"/>
          <w:szCs w:val="16"/>
        </w:rPr>
        <w:softHyphen/>
        <w:t>ении и эксплуатации пушек. Позже, когда в полк приехала комиссия НИИ ВВС для проведения вой</w:t>
      </w:r>
      <w:r w:rsidRPr="00722885">
        <w:rPr>
          <w:color w:val="000000" w:themeColor="text1"/>
          <w:sz w:val="16"/>
          <w:szCs w:val="16"/>
        </w:rPr>
        <w:softHyphen/>
        <w:t>сковых испытаний самолетов Ил-2 с пушками Ш-37, Тишевский принял деятельное участие и в их про</w:t>
      </w:r>
      <w:r w:rsidRPr="00722885">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10714681"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Поскольку ни инженер 617-го шап, ни специ</w:t>
      </w:r>
      <w:r w:rsidRPr="00722885">
        <w:rPr>
          <w:color w:val="000000" w:themeColor="text1"/>
          <w:sz w:val="16"/>
          <w:szCs w:val="16"/>
        </w:rPr>
        <w:softHyphen/>
        <w:t>алисты полка по вооружению пушку Ш-37 не зна</w:t>
      </w:r>
      <w:r w:rsidRPr="00722885">
        <w:rPr>
          <w:color w:val="000000" w:themeColor="text1"/>
          <w:sz w:val="16"/>
          <w:szCs w:val="16"/>
        </w:rPr>
        <w:softHyphen/>
        <w:t>ли, то Тишевский «занялся обучением техниче</w:t>
      </w:r>
      <w:r w:rsidRPr="00722885">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722885">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722885">
        <w:rPr>
          <w:color w:val="000000" w:themeColor="text1"/>
          <w:sz w:val="16"/>
          <w:szCs w:val="16"/>
        </w:rPr>
        <w:softHyphen/>
        <w:t>ко отдельные люди». Прибывшая «от конструкто</w:t>
      </w:r>
      <w:r w:rsidRPr="00722885">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722885">
        <w:rPr>
          <w:color w:val="000000" w:themeColor="text1"/>
          <w:sz w:val="16"/>
          <w:szCs w:val="16"/>
        </w:rPr>
        <w:softHyphen/>
        <w:t>тинов, 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64AA7F07"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это оказалось не самым главным. К это</w:t>
      </w:r>
      <w:r w:rsidRPr="00722885">
        <w:rPr>
          <w:color w:val="000000" w:themeColor="text1"/>
          <w:sz w:val="16"/>
          <w:szCs w:val="16"/>
        </w:rPr>
        <w:softHyphen/>
        <w:t>му времени выяснилось, что «в 617-м шап летный состав с «илами» мало знаком, летчики все моло</w:t>
      </w:r>
      <w:r w:rsidRPr="00722885">
        <w:rPr>
          <w:color w:val="000000" w:themeColor="text1"/>
          <w:sz w:val="16"/>
          <w:szCs w:val="16"/>
        </w:rPr>
        <w:softHyphen/>
        <w:t>дые, только выпущенные из школ, /.../ переучива</w:t>
      </w:r>
      <w:r w:rsidRPr="00722885">
        <w:rPr>
          <w:color w:val="000000" w:themeColor="text1"/>
          <w:sz w:val="16"/>
          <w:szCs w:val="16"/>
        </w:rPr>
        <w:softHyphen/>
        <w:t>ние только началось, еще не был проработан пер</w:t>
      </w:r>
      <w:r w:rsidRPr="00722885">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722885">
        <w:rPr>
          <w:color w:val="000000" w:themeColor="text1"/>
          <w:sz w:val="16"/>
          <w:szCs w:val="16"/>
        </w:rPr>
        <w:softHyphen/>
        <w:t>ние полка 10 опытных летчиков командир 1-го заб полковник А. И. Подольский оставил без вни</w:t>
      </w:r>
      <w:r w:rsidRPr="00722885">
        <w:rPr>
          <w:color w:val="000000" w:themeColor="text1"/>
          <w:sz w:val="16"/>
          <w:szCs w:val="16"/>
        </w:rPr>
        <w:softHyphen/>
        <w:t>мания.</w:t>
      </w:r>
    </w:p>
    <w:p w14:paraId="7BD82A46"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сложившейся ситуации старший техник-лей</w:t>
      </w:r>
      <w:r w:rsidRPr="00722885">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722885">
        <w:rPr>
          <w:color w:val="000000" w:themeColor="text1"/>
          <w:sz w:val="16"/>
          <w:szCs w:val="16"/>
        </w:rPr>
        <w:softHyphen/>
        <w:t>рованную телеграмму лично начальнику УЗСиМ ГУЗ ВВС инженер-полковнику Алексееву, в которой из</w:t>
      </w:r>
      <w:r w:rsidRPr="00722885">
        <w:rPr>
          <w:color w:val="000000" w:themeColor="text1"/>
          <w:sz w:val="16"/>
          <w:szCs w:val="16"/>
        </w:rPr>
        <w:softHyphen/>
        <w:t>ложил свое мнение и дал оценку состояния пушек и самолетов Ил-2.</w:t>
      </w:r>
    </w:p>
    <w:p w14:paraId="2EDAAD80"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163EDAE6" w14:textId="77777777" w:rsidR="00285238" w:rsidRPr="00722885" w:rsidRDefault="002852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722885">
        <w:rPr>
          <w:color w:val="000000" w:themeColor="text1"/>
          <w:sz w:val="16"/>
          <w:szCs w:val="16"/>
        </w:rPr>
        <w:softHyphen/>
        <w:t>ные не было патронов») (17500).</w:t>
      </w:r>
    </w:p>
    <w:p w14:paraId="04606367" w14:textId="77777777" w:rsidR="00285238" w:rsidRPr="00722885" w:rsidRDefault="00285238" w:rsidP="00722885">
      <w:pPr>
        <w:spacing w:after="0" w:line="240" w:lineRule="auto"/>
        <w:jc w:val="both"/>
        <w:rPr>
          <w:rFonts w:ascii="Times New Roman" w:eastAsia="Times New Roman" w:hAnsi="Times New Roman"/>
          <w:color w:val="000000" w:themeColor="text1"/>
          <w:sz w:val="16"/>
          <w:szCs w:val="16"/>
          <w:lang w:eastAsia="ru-RU"/>
        </w:rPr>
      </w:pPr>
    </w:p>
    <w:p w14:paraId="00D22297" w14:textId="77777777" w:rsidR="004C71FA" w:rsidRPr="00722885" w:rsidRDefault="004C71F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июле-августе 1942 г. пушка 11П с патроном без буртика успешно прошла повторные испытания на ЛаГГ-3 зав. № 312197. Б.Г. Шпитальный, который попытался убедить И.В Сталина в преимуществах своей пушки и ненужности орудия, созданного в ОКБ-16. Однако сравнение характеристик двух артсистем неопровержимо свидетельствовало: с точки зрения технологии производства 11П была заметно проще Ш-37 (197 деталей против примерно 290), имела несколько меньший вес (182 кг с узлами крепления против 208 кг у пушки Б.Г. Шпитального) при большей скорострельности (260 выстр./мин против 185) и примерно равных начальной скорости снарядов (790 м/с у осколочно-трассирующего и 900 м/с у бронебойного) и надежности. В обслуживании пушка 11П также продемонстрировала преимущества: ее сборка, регулировка и чистка требовали меньших затрат при невысокой квалификации обслуживающего персонала. Особенно заметно достоинства 11П проявлялись в случае запуска ее в массовую серию: трудоемкость ее изготовления составляла всего 40 % трудоемкости пушки Ш-37. В условиях тотальной войны это преимущество невозможно переоценить. За 1942 г. завод № 21 изготовил 15 ЛаГГ-3 с пушками 11П. В дальнейшем производство машин с 37-мм пушкой было освоено тбилисским заводом № 31, однако точное число выпущенных истребителей в этом варианте неизвестно (18999).</w:t>
      </w:r>
    </w:p>
    <w:p w14:paraId="1885A8DD" w14:textId="77777777" w:rsidR="004C71FA" w:rsidRPr="00722885" w:rsidRDefault="004C71FA" w:rsidP="00722885">
      <w:pPr>
        <w:spacing w:after="0" w:line="240" w:lineRule="auto"/>
        <w:jc w:val="both"/>
        <w:rPr>
          <w:rFonts w:ascii="Times New Roman" w:hAnsi="Times New Roman"/>
          <w:color w:val="000000" w:themeColor="text1"/>
          <w:sz w:val="16"/>
          <w:szCs w:val="16"/>
        </w:rPr>
      </w:pPr>
    </w:p>
    <w:p w14:paraId="5AABEDFE"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июле-августе 1942 г. в ходе специальных испытаний бронекорпусов Ил-2 на обстрел из немецкой пуш</w:t>
      </w:r>
      <w:r w:rsidRPr="00722885">
        <w:rPr>
          <w:rFonts w:ascii="Times New Roman" w:cs="Times New Roman"/>
          <w:color w:val="000000" w:themeColor="text1"/>
          <w:spacing w:val="0"/>
          <w:sz w:val="16"/>
          <w:szCs w:val="16"/>
        </w:rPr>
        <w:softHyphen/>
        <w:t>ки МС151/15 калибра 15 мм, проведенных на заводе №125, были выявлены следующие особенности «работы» брони на самолете.</w:t>
      </w:r>
    </w:p>
    <w:p w14:paraId="10D60819"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При попадании в бронекорпус фугасных снарядов с дистанции свыше 100 м под углами к продольной оси самолета не более 30° зад</w:t>
      </w:r>
      <w:r w:rsidRPr="00722885">
        <w:rPr>
          <w:rFonts w:ascii="Times New Roman" w:cs="Times New Roman"/>
          <w:color w:val="000000" w:themeColor="text1"/>
          <w:spacing w:val="0"/>
          <w:sz w:val="16"/>
          <w:szCs w:val="16"/>
        </w:rPr>
        <w:softHyphen/>
        <w:t>няя и боковые бронеплиты не поражались. Бо</w:t>
      </w:r>
      <w:r w:rsidRPr="00722885">
        <w:rPr>
          <w:rFonts w:ascii="Times New Roman" w:cs="Times New Roman"/>
          <w:color w:val="000000" w:themeColor="text1"/>
          <w:spacing w:val="0"/>
          <w:sz w:val="16"/>
          <w:szCs w:val="16"/>
        </w:rPr>
        <w:softHyphen/>
        <w:t>ковые 6-мм бронеплиты из гомогенной брони марки АБ-1 не обеспечивали защиту при об</w:t>
      </w:r>
      <w:r w:rsidRPr="00722885">
        <w:rPr>
          <w:rFonts w:ascii="Times New Roman" w:cs="Times New Roman"/>
          <w:color w:val="000000" w:themeColor="text1"/>
          <w:spacing w:val="0"/>
          <w:sz w:val="16"/>
          <w:szCs w:val="16"/>
        </w:rPr>
        <w:softHyphen/>
        <w:t>стреле с дистанций до 400 м под углом более 20° к продольной оси самолета.</w:t>
      </w:r>
    </w:p>
    <w:p w14:paraId="7E016891"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Цементованная броня марки ХД задней стенки бронекорпуса толщиной 12 мм вне конструкции самолета надежно удержива</w:t>
      </w:r>
      <w:r w:rsidRPr="00722885">
        <w:rPr>
          <w:rFonts w:ascii="Times New Roman" w:cs="Times New Roman"/>
          <w:color w:val="000000" w:themeColor="text1"/>
          <w:spacing w:val="0"/>
          <w:sz w:val="16"/>
          <w:szCs w:val="16"/>
        </w:rPr>
        <w:softHyphen/>
        <w:t>ла бронебойный снаряд с дистанции 400 м в конусе до 40° от продольной оси самолета. Однако при обстреле этой же брони через обшивку самолета (в конструкции) с той же дистанции имелись поражения с проломами овальной формы.</w:t>
      </w:r>
    </w:p>
    <w:p w14:paraId="17157971"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свою очередь, 12-мм гомогенная броня при обстреле ее внутри конструкции самолета показала ту же стойкость, что и цементованная броня такой же толщины. То есть, гомогенная броня в реальных условиях ее «работы» на Ил-2 в сочетании с элементами конструкции само</w:t>
      </w:r>
      <w:r w:rsidRPr="00722885">
        <w:rPr>
          <w:rFonts w:ascii="Times New Roman" w:cs="Times New Roman"/>
          <w:color w:val="000000" w:themeColor="text1"/>
          <w:spacing w:val="0"/>
          <w:sz w:val="16"/>
          <w:szCs w:val="16"/>
        </w:rPr>
        <w:softHyphen/>
        <w:t>лета была вполне равноценной цементованной по бронестойкости.</w:t>
      </w:r>
    </w:p>
    <w:p w14:paraId="2DE093C8"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Дело в том, что при прохождении снаряда через элементы конструкции самолета (обшив</w:t>
      </w:r>
      <w:r w:rsidRPr="00722885">
        <w:rPr>
          <w:rFonts w:ascii="Times New Roman" w:cs="Times New Roman"/>
          <w:color w:val="000000" w:themeColor="text1"/>
          <w:spacing w:val="0"/>
          <w:sz w:val="16"/>
          <w:szCs w:val="16"/>
        </w:rPr>
        <w:softHyphen/>
        <w:t>ка, бензо- и маслобаки, различного рода пере</w:t>
      </w:r>
      <w:r w:rsidRPr="00722885">
        <w:rPr>
          <w:rFonts w:ascii="Times New Roman" w:cs="Times New Roman"/>
          <w:color w:val="000000" w:themeColor="text1"/>
          <w:spacing w:val="0"/>
          <w:sz w:val="16"/>
          <w:szCs w:val="16"/>
        </w:rPr>
        <w:softHyphen/>
        <w:t xml:space="preserve">городки, трубопроводы, агрегаты и т.д.) его ось отклонялась от касательной к траектории. В результате снаряд встречал поверхность брони, установленной внутри фюзеляжа, под углом, значительно </w:t>
      </w:r>
      <w:r w:rsidRPr="00722885">
        <w:rPr>
          <w:rFonts w:ascii="Times New Roman" w:cs="Times New Roman"/>
          <w:color w:val="000000" w:themeColor="text1"/>
          <w:spacing w:val="0"/>
          <w:sz w:val="16"/>
          <w:szCs w:val="16"/>
        </w:rPr>
        <w:lastRenderedPageBreak/>
        <w:t>отличающимся по величи</w:t>
      </w:r>
      <w:r w:rsidRPr="00722885">
        <w:rPr>
          <w:rFonts w:ascii="Times New Roman" w:cs="Times New Roman"/>
          <w:color w:val="000000" w:themeColor="text1"/>
          <w:spacing w:val="0"/>
          <w:sz w:val="16"/>
          <w:szCs w:val="16"/>
        </w:rPr>
        <w:softHyphen/>
        <w:t>не от угла обстрела (плашмя или под большим углом). В этом случае сказывалось влияние хрупкого цементованного слоя, который иг</w:t>
      </w:r>
      <w:r w:rsidRPr="00722885">
        <w:rPr>
          <w:rFonts w:ascii="Times New Roman" w:cs="Times New Roman"/>
          <w:color w:val="000000" w:themeColor="text1"/>
          <w:spacing w:val="0"/>
          <w:sz w:val="16"/>
          <w:szCs w:val="16"/>
        </w:rPr>
        <w:softHyphen/>
        <w:t>рал отрицательную роль для такой геометрии встречи снаряда с броней.</w:t>
      </w:r>
    </w:p>
    <w:p w14:paraId="1B922E2F"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Из отчета НИИ ВВС КА</w:t>
      </w:r>
      <w:r w:rsidRPr="00722885">
        <w:rPr>
          <w:rStyle w:val="aff6"/>
          <w:rFonts w:ascii="Times New Roman" w:eastAsia="Arial Narrow" w:hAnsi="Times New Roman" w:cs="Times New Roman"/>
          <w:i w:val="0"/>
          <w:color w:val="000000" w:themeColor="text1"/>
          <w:spacing w:val="0"/>
        </w:rPr>
        <w:t xml:space="preserve"> «по обстрелу брони из немецкого пулемета-пушки МГ-151 кали</w:t>
      </w:r>
      <w:r w:rsidRPr="00722885">
        <w:rPr>
          <w:rStyle w:val="aff6"/>
          <w:rFonts w:ascii="Times New Roman" w:eastAsia="Arial Narrow" w:hAnsi="Times New Roman" w:cs="Times New Roman"/>
          <w:i w:val="0"/>
          <w:color w:val="000000" w:themeColor="text1"/>
          <w:spacing w:val="0"/>
        </w:rPr>
        <w:softHyphen/>
        <w:t>бра 15 и 20 мм»</w:t>
      </w:r>
      <w:r w:rsidRPr="00722885">
        <w:rPr>
          <w:rFonts w:ascii="Times New Roman" w:cs="Times New Roman"/>
          <w:color w:val="000000" w:themeColor="text1"/>
          <w:spacing w:val="0"/>
          <w:sz w:val="16"/>
          <w:szCs w:val="16"/>
        </w:rPr>
        <w:t xml:space="preserve"> следовало, что для надежной защиты от бронебойных 15-мм пуль</w:t>
      </w:r>
      <w:r w:rsidRPr="00722885">
        <w:rPr>
          <w:rStyle w:val="aff6"/>
          <w:rFonts w:ascii="Times New Roman" w:eastAsia="Arial Narrow" w:hAnsi="Times New Roman" w:cs="Times New Roman"/>
          <w:i w:val="0"/>
          <w:color w:val="000000" w:themeColor="text1"/>
          <w:spacing w:val="0"/>
        </w:rPr>
        <w:t xml:space="preserve"> «в случае самых жестких условий обстрела - по нормали (поперечная броня)»</w:t>
      </w:r>
      <w:r w:rsidRPr="00722885">
        <w:rPr>
          <w:rFonts w:ascii="Times New Roman" w:cs="Times New Roman"/>
          <w:color w:val="000000" w:themeColor="text1"/>
          <w:spacing w:val="0"/>
          <w:sz w:val="16"/>
          <w:szCs w:val="16"/>
        </w:rPr>
        <w:t xml:space="preserve"> необходима: при стрель</w:t>
      </w:r>
      <w:r w:rsidRPr="00722885">
        <w:rPr>
          <w:rFonts w:ascii="Times New Roman" w:cs="Times New Roman"/>
          <w:color w:val="000000" w:themeColor="text1"/>
          <w:spacing w:val="0"/>
          <w:sz w:val="16"/>
          <w:szCs w:val="16"/>
        </w:rPr>
        <w:softHyphen/>
        <w:t>бе с дистанции 50-100 м - гомогенная броня толщиной 25 мм, а с 200-250 м и 350-400 м - цементованная броня толщиной 20 и 16 мм со</w:t>
      </w:r>
      <w:r w:rsidRPr="00722885">
        <w:rPr>
          <w:rFonts w:ascii="Times New Roman" w:cs="Times New Roman"/>
          <w:color w:val="000000" w:themeColor="text1"/>
          <w:spacing w:val="0"/>
          <w:sz w:val="16"/>
          <w:szCs w:val="16"/>
        </w:rPr>
        <w:softHyphen/>
        <w:t>ответственно. Для деталей продольной брони самолетов при углах обстрела от 70° к нормали и выше (атака под углом до 20° к оси самоле</w:t>
      </w:r>
      <w:r w:rsidRPr="00722885">
        <w:rPr>
          <w:rFonts w:ascii="Times New Roman" w:cs="Times New Roman"/>
          <w:color w:val="000000" w:themeColor="text1"/>
          <w:spacing w:val="0"/>
          <w:sz w:val="16"/>
          <w:szCs w:val="16"/>
        </w:rPr>
        <w:softHyphen/>
        <w:t>та) с дистанции 100 м была достаточна гомо</w:t>
      </w:r>
      <w:r w:rsidRPr="00722885">
        <w:rPr>
          <w:rFonts w:ascii="Times New Roman" w:cs="Times New Roman"/>
          <w:color w:val="000000" w:themeColor="text1"/>
          <w:spacing w:val="0"/>
          <w:sz w:val="16"/>
          <w:szCs w:val="16"/>
        </w:rPr>
        <w:softHyphen/>
        <w:t>генная броня пониженной твердости толщиной 8-10 мм.</w:t>
      </w:r>
    </w:p>
    <w:p w14:paraId="52028256"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Style w:val="4f0"/>
          <w:rFonts w:ascii="Times New Roman" w:hAnsi="Times New Roman" w:cs="Times New Roman"/>
          <w:i w:val="0"/>
          <w:color w:val="000000" w:themeColor="text1"/>
          <w:spacing w:val="0"/>
          <w:sz w:val="16"/>
          <w:szCs w:val="16"/>
        </w:rPr>
        <w:t>Делался вывод, что</w:t>
      </w:r>
      <w:r w:rsidRPr="00722885">
        <w:rPr>
          <w:rFonts w:ascii="Times New Roman" w:cs="Times New Roman"/>
          <w:color w:val="000000" w:themeColor="text1"/>
          <w:spacing w:val="0"/>
          <w:sz w:val="16"/>
          <w:szCs w:val="16"/>
        </w:rPr>
        <w:t xml:space="preserve"> «существующая на отечественных серийных самолетах броня не обеспечивает надежной защиты летного со</w:t>
      </w:r>
      <w:r w:rsidRPr="00722885">
        <w:rPr>
          <w:rFonts w:ascii="Times New Roman" w:cs="Times New Roman"/>
          <w:color w:val="000000" w:themeColor="text1"/>
          <w:spacing w:val="0"/>
          <w:sz w:val="16"/>
          <w:szCs w:val="16"/>
        </w:rPr>
        <w:softHyphen/>
        <w:t>става от поражений существующим у против</w:t>
      </w:r>
      <w:r w:rsidRPr="00722885">
        <w:rPr>
          <w:rFonts w:ascii="Times New Roman" w:cs="Times New Roman"/>
          <w:color w:val="000000" w:themeColor="text1"/>
          <w:spacing w:val="0"/>
          <w:sz w:val="16"/>
          <w:szCs w:val="16"/>
        </w:rPr>
        <w:softHyphen/>
        <w:t>ника оружием калибра 15-20 мм». (15776).</w:t>
      </w:r>
    </w:p>
    <w:p w14:paraId="454EFF19" w14:textId="77777777" w:rsidR="00627011" w:rsidRPr="00722885" w:rsidRDefault="00627011" w:rsidP="00722885">
      <w:pPr>
        <w:spacing w:after="0" w:line="240" w:lineRule="auto"/>
        <w:jc w:val="both"/>
        <w:rPr>
          <w:rFonts w:ascii="Times New Roman" w:hAnsi="Times New Roman"/>
          <w:color w:val="000000" w:themeColor="text1"/>
          <w:sz w:val="16"/>
          <w:szCs w:val="16"/>
        </w:rPr>
      </w:pPr>
    </w:p>
    <w:p w14:paraId="029D4478"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Style w:val="aff6"/>
          <w:rFonts w:ascii="Times New Roman" w:eastAsia="Arial Narrow" w:hAnsi="Times New Roman" w:cs="Times New Roman"/>
          <w:i w:val="0"/>
          <w:color w:val="000000" w:themeColor="text1"/>
          <w:spacing w:val="0"/>
        </w:rPr>
        <w:t>В</w:t>
      </w:r>
      <w:r w:rsidRPr="00722885">
        <w:rPr>
          <w:rFonts w:ascii="Times New Roman" w:cs="Times New Roman"/>
          <w:color w:val="000000" w:themeColor="text1"/>
          <w:spacing w:val="0"/>
          <w:sz w:val="16"/>
          <w:szCs w:val="16"/>
        </w:rPr>
        <w:t xml:space="preserve"> июле-августе 1942 г. на заводе №125 был были проведены испытания 12-мм поперечной це</w:t>
      </w:r>
      <w:r w:rsidRPr="00722885">
        <w:rPr>
          <w:rFonts w:ascii="Times New Roman" w:cs="Times New Roman"/>
          <w:color w:val="000000" w:themeColor="text1"/>
          <w:spacing w:val="0"/>
          <w:sz w:val="16"/>
          <w:szCs w:val="16"/>
        </w:rPr>
        <w:softHyphen/>
        <w:t>ментованной брони марки ХД самолета Ил-2 обстрелом из немецких авиапушек. Стрельба велась бронебойными и осколочно- зажигательными боеприпасами калибра 15 и 20 мм к немецкой пушке М0151 под углами к оси самолета в пределах до 40'.</w:t>
      </w:r>
    </w:p>
    <w:p w14:paraId="66584FA9"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Оказалось, что поперечная броневая стенка толщиной 12 мм самолета Ил-2</w:t>
      </w:r>
      <w:r w:rsidRPr="00722885">
        <w:rPr>
          <w:rStyle w:val="aff6"/>
          <w:rFonts w:ascii="Times New Roman" w:eastAsia="Arial Narrow" w:hAnsi="Times New Roman" w:cs="Times New Roman"/>
          <w:i w:val="0"/>
          <w:color w:val="000000" w:themeColor="text1"/>
          <w:spacing w:val="0"/>
        </w:rPr>
        <w:t xml:space="preserve"> «пра</w:t>
      </w:r>
      <w:r w:rsidRPr="00722885">
        <w:rPr>
          <w:rStyle w:val="aff6"/>
          <w:rFonts w:ascii="Times New Roman" w:eastAsia="Arial Narrow" w:hAnsi="Times New Roman" w:cs="Times New Roman"/>
          <w:i w:val="0"/>
          <w:color w:val="000000" w:themeColor="text1"/>
          <w:spacing w:val="0"/>
        </w:rPr>
        <w:softHyphen/>
        <w:t>ктически является неуязвимой при стрельбе бронебойно-осколочными снарядами 20 мм с дистанций больших 150 м»,</w:t>
      </w:r>
      <w:r w:rsidRPr="00722885">
        <w:rPr>
          <w:rFonts w:ascii="Times New Roman" w:cs="Times New Roman"/>
          <w:color w:val="000000" w:themeColor="text1"/>
          <w:spacing w:val="0"/>
          <w:sz w:val="16"/>
          <w:szCs w:val="16"/>
        </w:rPr>
        <w:t xml:space="preserve"> так как снаряды, проходя через обшивку фюзеляжа (4-10 слоев березового шпона толщиной 0,5 мм), теряли устойчивость и попадали в броню при больших углах отклонения к нормали. Бронебойные сна</w:t>
      </w:r>
      <w:r w:rsidRPr="00722885">
        <w:rPr>
          <w:rFonts w:ascii="Times New Roman" w:cs="Times New Roman"/>
          <w:color w:val="000000" w:themeColor="text1"/>
          <w:spacing w:val="0"/>
          <w:sz w:val="16"/>
          <w:szCs w:val="16"/>
        </w:rPr>
        <w:softHyphen/>
        <w:t xml:space="preserve">ряды калибра 15 мм при тех же условиях могли </w:t>
      </w:r>
      <w:r w:rsidRPr="00722885">
        <w:rPr>
          <w:rStyle w:val="aff6"/>
          <w:rFonts w:ascii="Times New Roman" w:eastAsia="Arial Narrow" w:hAnsi="Times New Roman" w:cs="Times New Roman"/>
          <w:i w:val="0"/>
          <w:color w:val="000000" w:themeColor="text1"/>
          <w:spacing w:val="0"/>
        </w:rPr>
        <w:t>«поражать бронестенку толщиной 12 мм, да</w:t>
      </w:r>
      <w:r w:rsidRPr="00722885">
        <w:rPr>
          <w:rStyle w:val="aff6"/>
          <w:rFonts w:ascii="Times New Roman" w:eastAsia="Arial Narrow" w:hAnsi="Times New Roman" w:cs="Times New Roman"/>
          <w:i w:val="0"/>
          <w:color w:val="000000" w:themeColor="text1"/>
          <w:spacing w:val="0"/>
        </w:rPr>
        <w:softHyphen/>
        <w:t>вая до 50% опасных поражений».</w:t>
      </w:r>
      <w:r w:rsidRPr="00722885">
        <w:rPr>
          <w:rFonts w:ascii="Times New Roman" w:cs="Times New Roman"/>
          <w:color w:val="000000" w:themeColor="text1"/>
          <w:spacing w:val="0"/>
          <w:sz w:val="16"/>
          <w:szCs w:val="16"/>
        </w:rPr>
        <w:t xml:space="preserve"> Гомогенная броня толщиной 12 мм при обстреле ее внутри конструкции самолета (на Ил-2) показала ту же стойкость, что и цементованная броня такой же толщины.</w:t>
      </w:r>
    </w:p>
    <w:p w14:paraId="64F4FCB5"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Действительно, как показали более позд</w:t>
      </w:r>
      <w:r w:rsidRPr="00722885">
        <w:rPr>
          <w:rFonts w:ascii="Times New Roman" w:cs="Times New Roman"/>
          <w:color w:val="000000" w:themeColor="text1"/>
          <w:spacing w:val="0"/>
          <w:sz w:val="16"/>
          <w:szCs w:val="16"/>
        </w:rPr>
        <w:softHyphen/>
        <w:t>ние исследования, элементы конструкции самолета (обшивка, различного рода перего</w:t>
      </w:r>
      <w:r w:rsidRPr="00722885">
        <w:rPr>
          <w:rFonts w:ascii="Times New Roman" w:cs="Times New Roman"/>
          <w:color w:val="000000" w:themeColor="text1"/>
          <w:spacing w:val="0"/>
          <w:sz w:val="16"/>
          <w:szCs w:val="16"/>
        </w:rPr>
        <w:softHyphen/>
        <w:t>родки, трубопроводы, агрегаты, оборудование и т.д.), встречающиеся на пути боеприпаса, отклоняли ось снаряда от касательной к его траектории и, как следствие, в значительной степени изменяли геометрию соударения боеприпаса и брони. То есть, снаряд или пуля, проходя через обшивку самолета, испытывали сильный опрокидывающий момент и развора</w:t>
      </w:r>
      <w:r w:rsidRPr="00722885">
        <w:rPr>
          <w:rFonts w:ascii="Times New Roman" w:cs="Times New Roman"/>
          <w:color w:val="000000" w:themeColor="text1"/>
          <w:spacing w:val="0"/>
          <w:sz w:val="16"/>
          <w:szCs w:val="16"/>
        </w:rPr>
        <w:softHyphen/>
        <w:t>чивались. В результате боеприпас встречал поверхность брони, установленной внутри фю</w:t>
      </w:r>
      <w:r w:rsidRPr="00722885">
        <w:rPr>
          <w:rFonts w:ascii="Times New Roman" w:cs="Times New Roman"/>
          <w:color w:val="000000" w:themeColor="text1"/>
          <w:spacing w:val="0"/>
          <w:sz w:val="16"/>
          <w:szCs w:val="16"/>
        </w:rPr>
        <w:softHyphen/>
        <w:t>зеляжа, под углом, значительно отличающимся по величине от угла обстрела, или даже плаш</w:t>
      </w:r>
      <w:r w:rsidRPr="00722885">
        <w:rPr>
          <w:rFonts w:ascii="Times New Roman" w:cs="Times New Roman"/>
          <w:color w:val="000000" w:themeColor="text1"/>
          <w:spacing w:val="0"/>
          <w:sz w:val="16"/>
          <w:szCs w:val="16"/>
        </w:rPr>
        <w:softHyphen/>
        <w:t>мя. При этом терялиф основные бронебойные свойства боеприпаса, а это серьезно облег</w:t>
      </w:r>
      <w:r w:rsidRPr="00722885">
        <w:rPr>
          <w:rFonts w:ascii="Times New Roman" w:cs="Times New Roman"/>
          <w:color w:val="000000" w:themeColor="text1"/>
          <w:spacing w:val="0"/>
          <w:sz w:val="16"/>
          <w:szCs w:val="16"/>
        </w:rPr>
        <w:softHyphen/>
        <w:t>чало условия работы брони и обуславливало повышение ее стойкости. Кроме того, при про</w:t>
      </w:r>
      <w:r w:rsidRPr="00722885">
        <w:rPr>
          <w:rFonts w:ascii="Times New Roman" w:cs="Times New Roman"/>
          <w:color w:val="000000" w:themeColor="text1"/>
          <w:spacing w:val="0"/>
          <w:sz w:val="16"/>
          <w:szCs w:val="16"/>
        </w:rPr>
        <w:softHyphen/>
        <w:t>битии боеприпасом элементов конструкции самолета происходило его частичное разру</w:t>
      </w:r>
      <w:r w:rsidRPr="00722885">
        <w:rPr>
          <w:rFonts w:ascii="Times New Roman" w:cs="Times New Roman"/>
          <w:color w:val="000000" w:themeColor="text1"/>
          <w:spacing w:val="0"/>
          <w:sz w:val="16"/>
          <w:szCs w:val="16"/>
        </w:rPr>
        <w:softHyphen/>
        <w:t>шение (снятие оболочки), что также способст</w:t>
      </w:r>
      <w:r w:rsidRPr="00722885">
        <w:rPr>
          <w:rFonts w:ascii="Times New Roman" w:cs="Times New Roman"/>
          <w:color w:val="000000" w:themeColor="text1"/>
          <w:spacing w:val="0"/>
          <w:sz w:val="16"/>
          <w:szCs w:val="16"/>
        </w:rPr>
        <w:softHyphen/>
        <w:t>вовало повышению стойкости брони.</w:t>
      </w:r>
    </w:p>
    <w:p w14:paraId="258F9554"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Как следствие, броневой лист при обстре</w:t>
      </w:r>
      <w:r w:rsidRPr="00722885">
        <w:rPr>
          <w:rFonts w:ascii="Times New Roman" w:cs="Times New Roman"/>
          <w:color w:val="000000" w:themeColor="text1"/>
          <w:spacing w:val="0"/>
          <w:sz w:val="16"/>
          <w:szCs w:val="16"/>
        </w:rPr>
        <w:softHyphen/>
        <w:t>ле его через преграду мог быть пробит (при прочих равных условиях) с более близкой ди</w:t>
      </w:r>
      <w:r w:rsidRPr="00722885">
        <w:rPr>
          <w:rFonts w:ascii="Times New Roman" w:cs="Times New Roman"/>
          <w:color w:val="000000" w:themeColor="text1"/>
          <w:spacing w:val="0"/>
          <w:sz w:val="16"/>
          <w:szCs w:val="16"/>
        </w:rPr>
        <w:softHyphen/>
        <w:t>станции, чем при обстреле его без преграды. Очевидно, что любые дополнительные к об</w:t>
      </w:r>
      <w:r w:rsidRPr="00722885">
        <w:rPr>
          <w:rFonts w:ascii="Times New Roman" w:cs="Times New Roman"/>
          <w:color w:val="000000" w:themeColor="text1"/>
          <w:spacing w:val="0"/>
          <w:sz w:val="16"/>
          <w:szCs w:val="16"/>
        </w:rPr>
        <w:softHyphen/>
        <w:t>шивке фюзеляжа препятствия (например, дю</w:t>
      </w:r>
      <w:r w:rsidRPr="00722885">
        <w:rPr>
          <w:rFonts w:ascii="Times New Roman" w:cs="Times New Roman"/>
          <w:color w:val="000000" w:themeColor="text1"/>
          <w:spacing w:val="0"/>
          <w:sz w:val="16"/>
          <w:szCs w:val="16"/>
        </w:rPr>
        <w:softHyphen/>
        <w:t>ралевые перегородки, установленные внутри фюзеляжа перед бронедеталями) значительно усиливали эффект отклонения оси снаряда и повышали стойкость брони, а увеличение ка</w:t>
      </w:r>
      <w:r w:rsidRPr="00722885">
        <w:rPr>
          <w:rFonts w:ascii="Times New Roman" w:cs="Times New Roman"/>
          <w:color w:val="000000" w:themeColor="text1"/>
          <w:spacing w:val="0"/>
          <w:sz w:val="16"/>
          <w:szCs w:val="16"/>
        </w:rPr>
        <w:softHyphen/>
        <w:t>либра снаряда при одних и тех же условиях об</w:t>
      </w:r>
      <w:r w:rsidRPr="00722885">
        <w:rPr>
          <w:rFonts w:ascii="Times New Roman" w:cs="Times New Roman"/>
          <w:color w:val="000000" w:themeColor="text1"/>
          <w:spacing w:val="0"/>
          <w:sz w:val="16"/>
          <w:szCs w:val="16"/>
        </w:rPr>
        <w:softHyphen/>
        <w:t>стрела и препятствиях, наоборот, уменьшало эффект отклонения оси снаряда.</w:t>
      </w:r>
    </w:p>
    <w:p w14:paraId="10608EBC"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Естественно, процесс взаимодействия снаряда с броней нельзя рассматривать без учета физико-механических свойств самой брони. Если в обычных полигонных условиях встречи снаряда с броней (без препятствий) цементованная броня обладает преимуще</w:t>
      </w:r>
      <w:r w:rsidRPr="00722885">
        <w:rPr>
          <w:rFonts w:ascii="Times New Roman" w:cs="Times New Roman"/>
          <w:color w:val="000000" w:themeColor="text1"/>
          <w:spacing w:val="0"/>
          <w:sz w:val="16"/>
          <w:szCs w:val="16"/>
        </w:rPr>
        <w:softHyphen/>
        <w:t>ством по бронестойкости по сравнению с го</w:t>
      </w:r>
      <w:r w:rsidRPr="00722885">
        <w:rPr>
          <w:rFonts w:ascii="Times New Roman" w:cs="Times New Roman"/>
          <w:color w:val="000000" w:themeColor="text1"/>
          <w:spacing w:val="0"/>
          <w:sz w:val="16"/>
          <w:szCs w:val="16"/>
        </w:rPr>
        <w:softHyphen/>
        <w:t>могенной, то в реальных условиях работы на самолете преимущество цементованной бро</w:t>
      </w:r>
      <w:r w:rsidRPr="00722885">
        <w:rPr>
          <w:rFonts w:ascii="Times New Roman" w:cs="Times New Roman"/>
          <w:color w:val="000000" w:themeColor="text1"/>
          <w:spacing w:val="0"/>
          <w:sz w:val="16"/>
          <w:szCs w:val="16"/>
        </w:rPr>
        <w:softHyphen/>
        <w:t>ни теряется. Сказывается влияние хрупкого цементованного слоя, который для таких ус</w:t>
      </w:r>
      <w:r w:rsidRPr="00722885">
        <w:rPr>
          <w:rFonts w:ascii="Times New Roman" w:cs="Times New Roman"/>
          <w:color w:val="000000" w:themeColor="text1"/>
          <w:spacing w:val="0"/>
          <w:sz w:val="16"/>
          <w:szCs w:val="16"/>
        </w:rPr>
        <w:softHyphen/>
        <w:t>ловий встречи снаряда с броней (плашмя или под углом) может играть даже отрицательную роль. В свою очередь, гомогенная броня при обстреле ее в конструкции самолета облада</w:t>
      </w:r>
      <w:r w:rsidRPr="00722885">
        <w:rPr>
          <w:rFonts w:ascii="Times New Roman" w:cs="Times New Roman"/>
          <w:color w:val="000000" w:themeColor="text1"/>
          <w:spacing w:val="0"/>
          <w:sz w:val="16"/>
          <w:szCs w:val="16"/>
        </w:rPr>
        <w:softHyphen/>
        <w:t>ет значительно более высокой стойкостью по сравнению с обстрелом ее вне конструкции.</w:t>
      </w:r>
    </w:p>
    <w:p w14:paraId="63508641" w14:textId="77777777" w:rsidR="00627011" w:rsidRPr="00722885"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Делался вывод, что элементы конструкции самолета в сочетании с гомогенной броней достаточно эффективны. При этом гомогенная броня в реальных условиях ее работы на само</w:t>
      </w:r>
      <w:r w:rsidRPr="00722885">
        <w:rPr>
          <w:rFonts w:ascii="Times New Roman" w:cs="Times New Roman"/>
          <w:color w:val="000000" w:themeColor="text1"/>
          <w:spacing w:val="0"/>
          <w:sz w:val="16"/>
          <w:szCs w:val="16"/>
        </w:rPr>
        <w:softHyphen/>
        <w:t>лете оказывалась равноценной цементованной броне по бронестойкости (15778).</w:t>
      </w:r>
    </w:p>
    <w:p w14:paraId="233B6227" w14:textId="77777777" w:rsidR="00627011" w:rsidRPr="00722885" w:rsidRDefault="00627011" w:rsidP="00722885">
      <w:pPr>
        <w:spacing w:after="0" w:line="240" w:lineRule="auto"/>
        <w:jc w:val="both"/>
        <w:rPr>
          <w:rFonts w:ascii="Times New Roman" w:hAnsi="Times New Roman"/>
          <w:color w:val="000000" w:themeColor="text1"/>
          <w:sz w:val="16"/>
          <w:szCs w:val="16"/>
        </w:rPr>
      </w:pPr>
    </w:p>
    <w:p w14:paraId="383133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июле-августе 1942 г. в ходе специальных испытаний бронекорпусов Ил-2 на обстрел из немецкой пушки MG151/15 калибра 15 мм, проведенных на заводе № 125, были выявлены следующие особенности «работы» брони на самолете.</w:t>
      </w:r>
    </w:p>
    <w:p w14:paraId="528925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при попадании в бронекорпус фугасных снарядов с дистанции свыше 100 м под углами к продольной оси самолета не более 30° задняя и боковые бронеплиты не поражались.</w:t>
      </w:r>
    </w:p>
    <w:p w14:paraId="7260348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Боковые 6-мм бронеплиты из гомогенной брони марки АБ-1 не обеспечивали защиту при обстреле с дистанций до 400 м под углом более 20° к продольной оси самолета.</w:t>
      </w:r>
    </w:p>
    <w:p w14:paraId="6FCBE4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Цементованная броня марки ХД задней стенки бронекорпуса толщиной 12 мм вне конструкции самолета надежно удерживала бронебойный снаряд с дистанции 400 м в конусе до 40° от продольной оси самолета. Однако при обстреле этой же брони через обшивку самолета (в конструкции) с той же дистанции были получены поражения с проломами овальной формы.</w:t>
      </w:r>
    </w:p>
    <w:p w14:paraId="7C128AB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свою очередь, 12-мм гомогенная броня при обстреле ее внутри конструкции самолета показала ту же стойкость, что и цементованная броня такой же толщины.</w:t>
      </w:r>
    </w:p>
    <w:p w14:paraId="6E604B8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 есть гомогенная броня в реальных условиях ее «работы» на Ил-2 в сочетании с элементами конструкции самолета была вполне равноценной по бронестойкости цементованной.</w:t>
      </w:r>
    </w:p>
    <w:p w14:paraId="7F3F15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Дело в том, что при прохождении снаряда через элементы конструкции самолета (обшивка, бензо- и маслобаки, различного рода перегородки, трубопроводы, агрегаты и т.д.) его ось отклоняется от касательной к траектории. В результате снаряд встречает поверхность брони, установленной внутри фюзеляжа, под углом, значительно отличающимся по величине от угла обстрела (плашмя или под большим углом). В этом случае сказывается влияние хрупкого цементованного слоя, который для такой геометрии встречи снаряда с броней играет отрицательную роль.</w:t>
      </w:r>
    </w:p>
    <w:p w14:paraId="321D09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Именно по этой причине немцы ограничились установкой на самолете Bf109G-2 бронеспинки летчика толщиной всего 4 мм. Защитная система, состоящая из дюралевой поперечной перегородки, составленной из 27 дюралевых листов по 0,8 мм каждый, мягкого бензобака и собственно бронеспинки летчика, находясь внутри фюзеляжа, обеспечивала достаточное снижение эффективности бронебойных снарядов и крупнокалиберных пуль. Пули и снаряды, пробивавшие сначала дюралевую обшивку фюзеляжа, а затем дюралевую перегородку, проникали в мягкий бензобак и там задерживались.</w:t>
      </w:r>
    </w:p>
    <w:p w14:paraId="1EF651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обстреле этой же системы вне конструкции самолета оказалось, что она обладает значительно меньшей стойкостью против пуль калибра 1 2,7 мм, и при этом получались сквозные пробоины в бронеспинке.</w:t>
      </w:r>
    </w:p>
    <w:p w14:paraId="6A9503E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тем до самого окончания своего производства задняя стенка бронекорпуса Ил-2 выполнялась из цементованной брони.</w:t>
      </w:r>
    </w:p>
    <w:p w14:paraId="71C3F6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отметить, что качество брони не во всех случаях было одинаковым. На отдельных самолетах Ил-2 наблюдались случаи, когда осколочные и пулевые попадания приводили к повреждениям брони в виде трещин и даже отколов, что свидетельствует о недостаточной вязкости и прочности брони.</w:t>
      </w:r>
    </w:p>
    <w:p w14:paraId="05CD07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Начиная с 1943 г. количество сквозных пробитий и проломов бронекорпуса Ил-2 резко возросло в сравнении с предыдущими годами, что обуславливалось главным образом переходом немецкой истребительной авиации на крупные калибры пулеметов и пушечное вооружение, а также насыщением войсковых порядков зенитными автоматами калибра 20—37 мм.</w:t>
      </w:r>
    </w:p>
    <w:p w14:paraId="25A282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 места винтомоторной группы и других жизненно важных частей самолета Ил-2, которые были слабо защищены броней, оказались и наиболее уязвимыми в бою. К ним относятся: кабина воздушного стрелка (особенно с боков и снизу), блоки мотора у выхлопных патрубков, бронекарманы (воздушные дефлекторы) в передней и задней части мотора, расширительный бачок водосистемы, винт, маслорадиатор (через щели заслонок) и задний бензобак.</w:t>
      </w:r>
    </w:p>
    <w:p w14:paraId="66658D9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Лобовые бронестекла кабины летчика от попадания малокалиберного снаряда и осколков зенитных снарядов, разрушаясь, давали многочисленные осколки стекла, приводящие к ранениям летчика.</w:t>
      </w:r>
    </w:p>
    <w:p w14:paraId="60F6910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Ввиду того, что воздушный стрелок фактически по пояс был «голым», то их потери в бою с истребителями противника были высокими.</w:t>
      </w:r>
    </w:p>
    <w:p w14:paraId="6E26C7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воспоминаниям ветеранов, если была встреча с немецкими истребителями и велся воздушный бой, то обязательно одного-двух стрелков из состава группы привозили ранеными или убитыми (11921).</w:t>
      </w:r>
    </w:p>
    <w:p w14:paraId="60B8EEA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1A8452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июле-августе 1942 г. в ходе специальных испытаний бронекорпусов Ил-2 на обстрел из немецкой пушки MG151/15 калибра 15 мм, проведенных на заводе № 125, были выявлены следующие особенности "работы" брони на самолете.</w:t>
      </w:r>
    </w:p>
    <w:p w14:paraId="1F70A8E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Так, при попадании в бронекорпус фугасных снарядов с дистанции свыше 100 м под углами к продольной оси самолета не более 30° задняя и боковые бронеплиты не поражались. </w:t>
      </w:r>
    </w:p>
    <w:p w14:paraId="400C7C5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Боковые 6-мм бронеплиты из гомогенной брони марки АБ-1 не обеспечивали защиту при обстреле с дистанций до 400 м под углом более 20° к продольной оси самолета.</w:t>
      </w:r>
    </w:p>
    <w:p w14:paraId="3A09CD1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Цементованная броня марки ХД задней стенки бронекорпуса толщиной 12 мм вне конструкции самолета надежно удерживала бронебойный снаряд с дистанции 400 м в конусе до 40° от продольной оси самолета. Однако при обстреле этой же брони через обшивку самолета (в конструкции) с той же дистанции были получены поражения с проломами овальной формы.</w:t>
      </w:r>
    </w:p>
    <w:p w14:paraId="250E0F3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свою очередь, 12-мм гомогенная броня при обстреле ее внутри конструкции самолета показала ту же стойкость, что и цементованная броня такой же толщины.</w:t>
      </w:r>
    </w:p>
    <w:p w14:paraId="276AE11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 есть, гомогенная броня в реальных условиях ее "работы" на Ил-2 в сочетании с элементами конструкции самолета была вполне равноценной по бронестойкости цементованной.</w:t>
      </w:r>
    </w:p>
    <w:p w14:paraId="4A48F7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Дело в том, что при прохождении снаряда через элементы конструкции самолета (обшивка, бензо- и маслобаки, различного рода перегородки, трубопроводы, агрегаты и т.д.) его ось отклоняется от касательной к траектории. В результате снаряд встречает поверхность брони, установленной внутри фюзеляжа, под углом, значительно отличающимся по величине от угла обстрела (плашмя или под большим углом). В этом случае сказывается влияние хрупкого цементованного слоя, который для такой геометрии встречи снаряда с броней играет отрицательную роль.</w:t>
      </w:r>
    </w:p>
    <w:p w14:paraId="6C3CADE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Здесь стоит отметить, что именно по этой причине немцы ограничились установкой на самолете Bf 109G-2 бронеспинки летчика толщиной всего 4 мм. Защитная система, состоящая из дюралевой поперечной перегородки, составленной из 27 дюралевых листов по 0,8 мм каждый, мягкого бензобака и собственно бронеспинки летчика, находясь внутри фюзеляжа, обеспечивала достаточное снижение эффективности бронебойных снарядов и крупнокалиберных пуль. Пули и снаряды, пробивавшие сначала дюралевую обшивку фюзеляжа, а затем дюралевую перегородку, проникали в мягкий бензобак и там задерживались.</w:t>
      </w:r>
    </w:p>
    <w:p w14:paraId="6EE89B1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обстреле этой же системы вне конструкции самолета оказалось, что она обладает значительно меньшей стойкостью против пуль калибра 12,7 мм, и при этом получались сквозные пробоины в бронеспинке.</w:t>
      </w:r>
    </w:p>
    <w:p w14:paraId="6C9273E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тем до самого окончания своего производства задняя стенка бронекорпуса Ил-2 выполнялась из цементованной брони.</w:t>
      </w:r>
    </w:p>
    <w:p w14:paraId="497662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Средний процент пробития брони от огня зенитной артиллерии, как показал опыт войны, оказался почти вдвое выше, чем от огня истребителей. Характер пробоин бронекорпусов списанных штурмовиков позволяет сделать вывод, что угловой конус поражения Ил-2 при обстреле зенитной артиллерией не превышал в горизонтальной плоскости 20-25° к нормали и в вертикальной плоскости - 10-15° к нормали. То есть, все попадания в бронекорпус Ил-2 от пушечно- пулеметного зенитного огня приходились исключительно на его боковую часть, тогда как поперечная броня, а также верхняя и нижняя части продольной брони попаданий от зенитного огня не имели.</w:t>
      </w:r>
    </w:p>
    <w:p w14:paraId="5DB472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отметить, что качество брони не во всех случаях было одинаково. На отдельных самолетах Ил-2 наблюдались случаи, когда осколочные и пулевые попадания приводили к повреждениям брони в виде трещин и даже пробоин, что свидетельствует о недостаточной вязкости и прочности брони.</w:t>
      </w:r>
    </w:p>
    <w:p w14:paraId="6E9473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Лобовые бронестекла кабины летчика от попадания малокалиберного снаряда и осколков зенитных снарядов, разрушаясь, давали осколки стекла, приводящие к ранениям летчика.</w:t>
      </w:r>
    </w:p>
    <w:p w14:paraId="5010054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Те места винтомоторной группы и других жизненно важных частей самолета Ил-2, которые слабо защищены броней, оказались и наиболее уязвимыми. К ним относятся: кабина воздушного стрелка, особенно с боков и снизу; блоки мотора у выхлопных патрубков, бронекарма- ны (воздушные дефлекторы) в передней и задней части мотора, расширительный бачок водосистемы, винт, маслора- диатор (через щели заслонок) и задний бензобак. </w:t>
      </w:r>
    </w:p>
    <w:p w14:paraId="11A68EF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Боевой опыт и полигонные испытания показали, что для поражения Ил-2 было достаточно в среднем 1-2 попаданий снарядов калибра 37 мм или 3-4 попаданий 20-мм снарядов.</w:t>
      </w:r>
    </w:p>
    <w:p w14:paraId="3DC779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Попадание одного снаряда калибра 37 мм или 20 мм в любую часть мотора Ил-2 приводило к разрушению блока цилиндров, масло- и водопроводов, маслобака, маслофильтра и т.д.</w:t>
      </w:r>
    </w:p>
    <w:p w14:paraId="2886CFC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Одного попадания таких снарядов в бортовую броню кабины летчика, в передний и задний бензобаки было достаточно для вывода штурмовика из строя. При этом очень часто оказывались перебитыми тросы управления рулем поворота, приборное "хозяйство" приходило в негодность, а осколки от взрыва проникали в кабину стрелка, поражая последнего. При поражении бензобаков, как правило, они загорались и затем взрывались (12020).</w:t>
      </w:r>
    </w:p>
    <w:p w14:paraId="56DCEE1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4A6AD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июле-августе 1942 проходили повторные гос. испытания НС-37 на ЛаГГ (177,300).</w:t>
      </w:r>
    </w:p>
    <w:p w14:paraId="394A2E4E" w14:textId="77777777" w:rsidR="00AE7191" w:rsidRPr="00722885" w:rsidRDefault="00AE7191" w:rsidP="00722885">
      <w:pPr>
        <w:pStyle w:val="Iauiue"/>
        <w:jc w:val="both"/>
        <w:rPr>
          <w:color w:val="000000" w:themeColor="text1"/>
          <w:sz w:val="16"/>
          <w:szCs w:val="16"/>
        </w:rPr>
      </w:pPr>
    </w:p>
    <w:p w14:paraId="6DDF4A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июле-августе 1942 С.А.Л. проявил инициативу и на серийный ЛаГГ-3 установил ПВРД М.М.Бондарюка (2449,12).</w:t>
      </w:r>
    </w:p>
    <w:p w14:paraId="2A4BBD66" w14:textId="77777777" w:rsidR="00AE7191" w:rsidRPr="00722885" w:rsidRDefault="00AE7191" w:rsidP="00722885">
      <w:pPr>
        <w:pStyle w:val="Iauiue"/>
        <w:jc w:val="both"/>
        <w:rPr>
          <w:color w:val="000000" w:themeColor="text1"/>
          <w:sz w:val="16"/>
          <w:szCs w:val="16"/>
        </w:rPr>
      </w:pPr>
    </w:p>
    <w:p w14:paraId="36ADB99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июля по декабрь 1942 года на заводе №45 отремонтировали 106 АМ-35А, непосредственно на самолетах заменили 131 АМ-35А. Одновременно, еще в начале 1942 г. наметились первые перебои с поставкой этих двигателей. Затем, в связи с расширением производства АМ-38 для штурмовиков Ил-2 выпуск AM-35 полностью прекратили.</w:t>
      </w:r>
    </w:p>
    <w:p w14:paraId="41B6816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отсутствии перспектив получения АМ-35А и по причине малого доверия к дизельным двигателям наркомат авиапромышленности предложил использовать для оснащения Пе-8 звездообразные двигатели воздушного охлаждения М-82, развивающие максимальную мощность 1330 л.с.</w:t>
      </w:r>
    </w:p>
    <w:p w14:paraId="118FC75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Эта двухрядная, четырнадцатицилиндровая "звезда" воспринималась поначалу достаточно настороженно. Неудачи при попытках создания мощных двигателей воздушного охлаждения накануне войны еще не забылись. Несмотря на то, что М-82, разработанный в КБ А.И.Швецова, в 1940 г. успешно прошел первый этап государственных испытаний, положительных решений по нему поначалу не приняли. Более того, авиационный завод №19 в Перми, специализировавшийся на двигателях воздушного охлаждения, решили переориентировать для производства рядных двигателей жидкостного охлаждения М-105. Понадобились немалые усилия разработчиков и производителей, чтобы доказать, что М-82 вполне надежен, эффективен и необходим. Двигатель запустили в серию, однако даже в начале 1942 г. на него мало кто надеялся, и самолетостроители почти не разрабатывали под него новых проектов. Устанавливать М-82 начали на самолеты, которые по какой-либо причине оказались без необходимых моторов. Так произошло с модификацией ЛаГГ-3 - впоследствии Ла-5, с модификациями Су-2 и Ту-2. Аналогичным образом попал М-82 и на самолет Пе-8 (12025).</w:t>
      </w:r>
    </w:p>
    <w:p w14:paraId="53DFAD9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713A1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июле-августе 1942 г. на заводе № 22 изготовили два новых учебных самолета Пе-2. Один из них, с заводским № 1/102, передали на испытания в НИИ ВВС. Основным отличием нового учебного планера от серийного боевого стала установка кабины второго пилота на месте бензобака № 1. Старые рабочие места летчика и штурмана остались почти без изменений, однако стрелковая установка ФТ демонтировалась, а поверх фюзеляжа за фонарем основной кабины крепился фанерный гаргрот. Над центропланом размещалась кабина инструктора, прикрытая прозрачным фонарем с подобным же фанерным обтекателем в задней части. Такая компоновка обеспечивала решение двух задач: сохраняла почти неизменными рабочие места членов экипажа боевой машины и улучшала обзор для инструктора. Вход в кабину последнего осуществлялся сверху через сдвижную часть фонаря.</w:t>
      </w:r>
    </w:p>
    <w:p w14:paraId="572C1E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Помимо дублирующего управления рулями и элеронами у инструктора имелись переключатели посадочных щитков и триммеров руля высоты и рулей направления. На штурвале второго управления установили кнопку вывода из пикирования, нажатием которой приводился в движение триммер руля высоты, обеспечивающий вывод с перегрузкой 3,5-4 единицы. Тормоза колес управлялись из передней кабины и кабины инструктора. Последний имел также дублированное управление моторами (но не регуляторами шага винтов Р-7), соединенное тягами и рычагами с основным управлением в кабине ученика. Приборное управление в кабине инструктора (довольно скудное) включало указатели скорости и поворота, высотомер, вариометр, гиромагнитный компас и два тахометра. Авиагоризонт и приборы контроля температурного режима винтомоторной группы отсутствовали.</w:t>
      </w:r>
    </w:p>
    <w:p w14:paraId="52A7DB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сравнению со старым учебным вариантом конструкция самолета № 1/102 являлась, несомненно, более удачной - такой вывод сделали в НИИ ВВС. Было рекомендовано выполнить ряд мелких доработок, направленных на повышение надежности второго управления и улучшение условий работы инструктора (4476).</w:t>
      </w:r>
    </w:p>
    <w:p w14:paraId="0CACC0F5" w14:textId="77777777" w:rsidR="00AE7191" w:rsidRPr="00722885" w:rsidRDefault="00AE7191" w:rsidP="00722885">
      <w:pPr>
        <w:pStyle w:val="Iauiue"/>
        <w:jc w:val="both"/>
        <w:rPr>
          <w:color w:val="000000" w:themeColor="text1"/>
          <w:sz w:val="16"/>
          <w:szCs w:val="16"/>
        </w:rPr>
      </w:pPr>
    </w:p>
    <w:p w14:paraId="5A7330C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июле-августе 1942 г. на заводе № 22 изготовили два новых учебных самолета. Один из них, с заводским № 1/102, передали на испытания в НИИ ВВС. Прежние рабочие места летчика и штурмана остались почти без изменений, однако стрелковая установка ФТ демонтировалась, а поверх фюзеляжа за фонарем основной кабины крепился фанерный гаргрот. Над центропланом размещалась кабина инструктора, смонтированная на месте бензобака № 1 и прикрытая прозрачным фонарем с подобным же фанерным обтекателем в задней части. Такая компоновка обеспечивала решение двух задач: сводила к минимуму переделки боевой машины и улучшала обзор для инструктора. Вход в кабину последнего осуществлялся сверху через сдвижную часть фонаря.</w:t>
      </w:r>
    </w:p>
    <w:p w14:paraId="1022F77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Помимо дублирующего управления рулями и элеронами у инструктора имелись переключатели посадочных щитков и триммеров руля высоты и рулей направления. На штурвале второго управления установили кнопку вывода из пикирования, нажатием которой приводился в движение триммер руля высоты. Тормоза колес управлялись из передней кабины и кабины инструктора. Последний имел также дублированное управление моторами (но не регуляторами шага винтов Р-7), соединенное тягами и рычагами с основным управлением в кабине ученика. Приборное управление в кабине инструктора (довольно скудное) включало указатели скорости и поворота, высотомер, вариометр, гиромагнитный компас и два тахометра. Авиагоризонт и приборы контроля температурного режима винтомоторной группы отсутствовали. По сравнению с прежним учебным вариантом конструкция самолета № 1/102 явля- инструктор дает лась, несомненно, более удачной - такой замечания вывод сделали в НИИ ВВС. Было рекомендовано выполнить ряд мелких доработок, направленных на повышение надежности второго управления и улучшение условий работы инструктора. С осени 1942 г. учебные Пе-2 стали малыми партиями изготавливаться на заводе № 22. Их месячный выпуск вначале составлял 2-5 машин, а в марте 1943 г. ВВС заказали уже 100 самолетов Пе-2 в учебном варианте с темпом производства 10 машин в месяц (12042). </w:t>
      </w:r>
    </w:p>
    <w:p w14:paraId="287D754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008790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июле-ав</w:t>
      </w:r>
      <w:r w:rsidRPr="00722885">
        <w:rPr>
          <w:rFonts w:ascii="Times New Roman" w:hAnsi="Times New Roman"/>
          <w:color w:val="000000" w:themeColor="text1"/>
          <w:sz w:val="16"/>
          <w:szCs w:val="16"/>
        </w:rPr>
        <w:softHyphen/>
        <w:t>густе 1942 г. на БДП-2 был выполнен беспосадочный перелет на дальность 845 км по маршруту Сверд</w:t>
      </w:r>
      <w:r w:rsidRPr="00722885">
        <w:rPr>
          <w:rFonts w:ascii="Times New Roman" w:hAnsi="Times New Roman"/>
          <w:color w:val="000000" w:themeColor="text1"/>
          <w:sz w:val="16"/>
          <w:szCs w:val="16"/>
        </w:rPr>
        <w:softHyphen/>
        <w:t>ловск-Омск на буксире за самолетом ПС-40 со средней скоростью 270 км/ч. Ввиду прекращения работ на заводе № 490, серийную постройку машин наркомат возложил на завод №51. Ог</w:t>
      </w:r>
      <w:r w:rsidRPr="00722885">
        <w:rPr>
          <w:rFonts w:ascii="Times New Roman" w:hAnsi="Times New Roman"/>
          <w:color w:val="000000" w:themeColor="text1"/>
          <w:sz w:val="16"/>
          <w:szCs w:val="16"/>
        </w:rPr>
        <w:softHyphen/>
        <w:t>раниченные мощности не позволили развернуть широ</w:t>
      </w:r>
      <w:r w:rsidRPr="00722885">
        <w:rPr>
          <w:rFonts w:ascii="Times New Roman" w:hAnsi="Times New Roman"/>
          <w:color w:val="000000" w:themeColor="text1"/>
          <w:sz w:val="16"/>
          <w:szCs w:val="16"/>
        </w:rPr>
        <w:softHyphen/>
        <w:t>кое производство: до февраля 1944 г. заказчику сдали всего четыре планера и достраивался пятый. От дальнейшего выпуска БДП отказались (10667).</w:t>
      </w:r>
    </w:p>
    <w:p w14:paraId="1018251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954911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июле-сентябре 1942 года на территорию завода № 122 был эвакуирован завод № 379 из Ленинграда с его основным оборудованием и кадрами, который вошел в состав завода № 122 (9432).</w:t>
      </w:r>
    </w:p>
    <w:p w14:paraId="0C4F0B1B" w14:textId="77777777" w:rsidR="00AE7191" w:rsidRPr="00722885" w:rsidRDefault="00AE7191" w:rsidP="00722885">
      <w:pPr>
        <w:pStyle w:val="Iauiue"/>
        <w:jc w:val="both"/>
        <w:rPr>
          <w:color w:val="000000" w:themeColor="text1"/>
          <w:sz w:val="16"/>
          <w:szCs w:val="16"/>
        </w:rPr>
      </w:pPr>
    </w:p>
    <w:p w14:paraId="4F69C5E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7DAFB00" w14:textId="77777777" w:rsidR="00AE7191" w:rsidRPr="00722885" w:rsidRDefault="00AE7191" w:rsidP="00722885">
      <w:pPr>
        <w:pStyle w:val="Iauiue"/>
        <w:jc w:val="both"/>
        <w:rPr>
          <w:iCs/>
          <w:color w:val="000000" w:themeColor="text1"/>
          <w:sz w:val="16"/>
          <w:szCs w:val="16"/>
        </w:rPr>
      </w:pPr>
    </w:p>
    <w:p w14:paraId="16DC0A0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 августе 1942 г. были проведены государственные испытания танка КВ-1 С, который с сентября 1942 г. начал серийно выпускаться на ЧКЗ (10703).</w:t>
      </w:r>
    </w:p>
    <w:p w14:paraId="1279EFB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6AEDD6E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 сентябре 1942 г. в КБ Горьковского автозавода был разработан бронеавтомобиль БА-64Г. Опытный образец машины был изготов</w:t>
      </w:r>
      <w:r w:rsidRPr="00722885">
        <w:rPr>
          <w:rFonts w:ascii="Times New Roman" w:hAnsi="Times New Roman"/>
          <w:color w:val="000000" w:themeColor="text1"/>
          <w:sz w:val="16"/>
          <w:szCs w:val="16"/>
        </w:rPr>
        <w:softHyphen/>
        <w:t>лен заводом в начале ноября 1942 г. на базе опытного ширококолейного бронеавтомобиля 64-125Б. После проведения заводского пробега в ноя</w:t>
      </w:r>
      <w:r w:rsidRPr="00722885">
        <w:rPr>
          <w:rFonts w:ascii="Times New Roman" w:hAnsi="Times New Roman"/>
          <w:color w:val="000000" w:themeColor="text1"/>
          <w:sz w:val="16"/>
          <w:szCs w:val="16"/>
        </w:rPr>
        <w:softHyphen/>
        <w:t>бре 1942 г., был разработан улучшенный вариант машины па железно</w:t>
      </w:r>
      <w:r w:rsidRPr="00722885">
        <w:rPr>
          <w:rFonts w:ascii="Times New Roman" w:hAnsi="Times New Roman"/>
          <w:color w:val="000000" w:themeColor="text1"/>
          <w:sz w:val="16"/>
          <w:szCs w:val="16"/>
        </w:rPr>
        <w:softHyphen/>
        <w:t>дорожном ходу. Опытный улучшенный образен бронеавтомобиля был изготовлен автозаводом в январе 1943 г. Весной 1943 г. был изготовлен второй опытный образец улучшенного варианта (эталонный). Оба улучшенных образца бронеавтомобиля поступили на полигонные ис</w:t>
      </w:r>
      <w:r w:rsidRPr="00722885">
        <w:rPr>
          <w:rFonts w:ascii="Times New Roman" w:hAnsi="Times New Roman"/>
          <w:color w:val="000000" w:themeColor="text1"/>
          <w:sz w:val="16"/>
          <w:szCs w:val="16"/>
        </w:rPr>
        <w:softHyphen/>
        <w:t>пытания на Гороховецкий полигон ВОСО. Бронеавтомобиль БА-64Г отличался от серийного образца БА-64 возможностью движения по железнодорожной колее. В носовой и кор</w:t>
      </w:r>
      <w:r w:rsidRPr="00722885">
        <w:rPr>
          <w:rFonts w:ascii="Times New Roman" w:hAnsi="Times New Roman"/>
          <w:color w:val="000000" w:themeColor="text1"/>
          <w:sz w:val="16"/>
          <w:szCs w:val="16"/>
        </w:rPr>
        <w:softHyphen/>
        <w:t>мовой частях корпуса машины устанавливались специальные, частично подрессоренные, откидывавшиеся вверх железнодорожные колеса ма</w:t>
      </w:r>
      <w:r w:rsidRPr="00722885">
        <w:rPr>
          <w:rFonts w:ascii="Times New Roman" w:hAnsi="Times New Roman"/>
          <w:color w:val="000000" w:themeColor="text1"/>
          <w:sz w:val="16"/>
          <w:szCs w:val="16"/>
        </w:rPr>
        <w:softHyphen/>
        <w:t>лого диаметра, которые представляли собой направляющие ролики с ребордами, препятствовавшими сходу машины с железнодорожной ко</w:t>
      </w:r>
      <w:r w:rsidRPr="00722885">
        <w:rPr>
          <w:rFonts w:ascii="Times New Roman" w:hAnsi="Times New Roman"/>
          <w:color w:val="000000" w:themeColor="text1"/>
          <w:sz w:val="16"/>
          <w:szCs w:val="16"/>
        </w:rPr>
        <w:softHyphen/>
        <w:t>леи и позволявшие ей двигаться по железнодорожному полотну при ис</w:t>
      </w:r>
      <w:r w:rsidRPr="00722885">
        <w:rPr>
          <w:rFonts w:ascii="Times New Roman" w:hAnsi="Times New Roman"/>
          <w:color w:val="000000" w:themeColor="text1"/>
          <w:sz w:val="16"/>
          <w:szCs w:val="16"/>
        </w:rPr>
        <w:softHyphen/>
        <w:t>пользовании колесного движителя. Для достижения постоянного кон</w:t>
      </w:r>
      <w:r w:rsidRPr="00722885">
        <w:rPr>
          <w:rFonts w:ascii="Times New Roman" w:hAnsi="Times New Roman"/>
          <w:color w:val="000000" w:themeColor="text1"/>
          <w:sz w:val="16"/>
          <w:szCs w:val="16"/>
        </w:rPr>
        <w:softHyphen/>
        <w:t>такта колес с шинами "ГК" с железнодорожным полотном (колея 1524 мм) было предусмотрено расширение собственной колеи машины, что соответствовало планам ее дальнейшей модернизации и проведению работ над машиной БА-64Б (10703).</w:t>
      </w:r>
    </w:p>
    <w:p w14:paraId="415B630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69F37D2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 апреле 1943 г. часть завода “Красная Заря” действовала в Ленинграде.</w:t>
      </w:r>
      <w:r w:rsidRPr="00722885">
        <w:rPr>
          <w:rFonts w:ascii="Times New Roman" w:hAnsi="Times New Roman"/>
          <w:color w:val="000000" w:themeColor="text1"/>
          <w:sz w:val="16"/>
          <w:szCs w:val="16"/>
          <w:vertAlign w:val="superscript"/>
        </w:rPr>
        <w:t>65</w:t>
      </w:r>
      <w:r w:rsidRPr="00722885">
        <w:rPr>
          <w:rFonts w:ascii="Times New Roman" w:hAnsi="Times New Roman"/>
          <w:color w:val="000000" w:themeColor="text1"/>
          <w:sz w:val="16"/>
          <w:szCs w:val="16"/>
        </w:rPr>
        <w:t xml:space="preserve"> В 1943 г. налажен выпуск военно-полевых аппаратов и станций, боеприпасов. В 1944 г. завод в Ленинграде полностью вступил в строй. В 1945 г. начато освоение АТС декадно-шаговой системы небольшой емкости, а с 1948 г.- городских АТС. В это же время освоен выпуск автомобильных радиоприемников ручной сборки А-3, А-4. Затем их производство передано в Муром, а завод продолжил производство телефонной аппаратуры. С 1964 г. начато освоение выпуска АТС нового поколения. Заводу поручено производство оборудования для правительственной связи, обслуживания наземных стартовых комплексов БР и объектов атомной энергетики.</w:t>
      </w:r>
    </w:p>
    <w:p w14:paraId="3D1436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1946 г. завод - в ведении МПСС, с 04.1953 г. - МЭСЭП, с 01.1954 г. - МРТП, в 07.1957-03.1965 г. - в ведении Управления радиотехнической промышленности ЛенСНХ. В 1956 г. назывался Ордена Ленина завод «Красная заря». В 04.1964 г. на базе завода создано ЛПО «Красная заря», в которое вошел также завод «Радист».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4B7D97B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предприятие преобразовано в АОЗТ, затем - ЗАО «Красная заря».</w:t>
      </w:r>
      <w:r w:rsidRPr="00722885">
        <w:rPr>
          <w:rFonts w:ascii="Times New Roman" w:hAnsi="Times New Roman"/>
          <w:color w:val="000000" w:themeColor="text1"/>
          <w:sz w:val="16"/>
          <w:szCs w:val="16"/>
          <w:vertAlign w:val="superscript"/>
        </w:rPr>
        <w:t>131</w:t>
      </w:r>
    </w:p>
    <w:p w14:paraId="2C320ED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1996 г. начат выпуск цифровых городских АТС, разработка (совместно с НПК «Телстар») собственной коммутационной платформы «Кразар».</w:t>
      </w:r>
    </w:p>
    <w:p w14:paraId="176F186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(2003-05 г.): электронные средства коммутации для проводных систем связи; высокоскоростные цифровые сети передачи информации на базе ВОЛС для ФСБ; перевозимый бесшнуровой электронный коммутатор телефонной связи для высших руководителей государства; разработка системы фиксированного радиодоступа «Челнок» для районов с низкой плотностью населения.</w:t>
      </w:r>
    </w:p>
    <w:p w14:paraId="1C08154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(1915 г.)- около 3 тыс. чел.</w:t>
      </w:r>
    </w:p>
    <w:p w14:paraId="7D24901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(1905 г.-)- Л.И. Шпергазе. Гендиректор (-1991-96 г.)- В.К. Евсеев, (1996 г.-)- М.М. Лебедев, (2003 г.-)- В.В. Родионов.</w:t>
      </w:r>
    </w:p>
    <w:p w14:paraId="7EB9B47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гендиректора (2005 г.)- М.М. Лебедев. Зам. гендиректора по научной работе (2005 г.)- Б.С. Плешко.</w:t>
      </w:r>
    </w:p>
    <w:p w14:paraId="354E780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Технический директор (2005 г.)- В.Б. Бельянинов.</w:t>
      </w:r>
    </w:p>
    <w:p w14:paraId="1E5F83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(-1967-72 г.-)- В.И. Петрович («Погода»), (-1994-2005 г.-)- М.М. Лебедев («Сближение»), (2000-е)- В.В. Родионов.</w:t>
      </w:r>
    </w:p>
    <w:p w14:paraId="51383E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конструкторов: (1972 г.)- Е.А. Калганов («Погода»), (1972 г.)- М.С. Кузьмина («Погода»), (1972 г.)- Б.С. Плешко («Погода»), (1972 г.)- Л.Ф. Симоненко («Погода»), (1980-е)- М.М. Лебедев («Кавказ-5»).</w:t>
      </w:r>
    </w:p>
    <w:p w14:paraId="75D59AD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(1971 г.)- Ю.И. Котьков.</w:t>
      </w:r>
    </w:p>
    <w:p w14:paraId="1EA1507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аппаратура засекречивания телефонных переговоров (ЗАС) ЕС-2 (1937), аппаратура повышенной стойкости С-1 и аппаратура ЗАС радиотелефонных каналов ЕИС-3 (1938), полевой унифицированный телефонный аппарат УНА-ФИ-43 системы МБ, УНА-И-43, коммутатор Р-20М (1943); системы передачи данных: «Погода» для Гидрометеослужбы (1967-72); для передачи шифрованных сообщений по телефонным и телеграфным каналам «Родник-2» для КГБ (1977-86), «Исток»; система правительственной связи «Кавказ-5» (1980-е); цифровая радиотелефонная система «Сближение» для Гатчинского узла связи (1994); цифровая АТС «Кразар» (1998); полевые мини-АТС в специсполнении на подвижной базе для ФАПСИ (2001-02); электронная телеграфная станция для Генштаба МО (2001).</w:t>
      </w:r>
    </w:p>
    <w:p w14:paraId="2D99C25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телефоны и приборы управления стрельбой для линкоров (1910); электромагнитные реле для АТС (1922-), РПН (1930-е); аппаратура ЗАС: ЕС-2М, МЕС, МЕС-2, МЕС-2АЖ, ПЖ-1 (1937-40-); телефонные аппараты (1942);</w:t>
      </w:r>
      <w:r w:rsidRPr="00722885">
        <w:rPr>
          <w:rFonts w:ascii="Times New Roman" w:hAnsi="Times New Roman"/>
          <w:color w:val="000000" w:themeColor="text1"/>
          <w:sz w:val="16"/>
          <w:szCs w:val="16"/>
          <w:vertAlign w:val="superscript"/>
        </w:rPr>
        <w:t>101</w:t>
      </w:r>
      <w:r w:rsidRPr="00722885">
        <w:rPr>
          <w:rFonts w:ascii="Times New Roman" w:hAnsi="Times New Roman"/>
          <w:color w:val="000000" w:themeColor="text1"/>
          <w:sz w:val="16"/>
          <w:szCs w:val="16"/>
        </w:rPr>
        <w:t xml:space="preserve"> АТС: АТСК, АТСК-У, КАТС-К (1964-); цифровые АТСЦ-90 (1996-), «Кразар» (1998-); радиоприемники: автомобильные А-3, А-4, А-5, А-8, А-8М (1956).</w:t>
      </w:r>
    </w:p>
    <w:p w14:paraId="7EC0A7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Ленинградское ПО, НПО (ЛПО, ЛНПО) «Красная заря» МРП, А-1129 /194175  г. Ленинград/</w:t>
      </w:r>
    </w:p>
    <w:p w14:paraId="3FF009B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04.1964 г. на базе завода «Красная заря» создано ЛПО «Красная заря», в которое вошел также завод «Радист». В 1971-73 г. ЛПО - в ведении 15ГУ МРП. В составе ЛПО (1971 г.): ОКБ; ЦКТБ по релейной технике; НИИКТ; Роменский завод АТС; Белгородский завод «Сокол»; завод «Радист»; Порховский релейный завод. В 1974 г. в состав ПО вошел завод «Россия».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76B1049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15ГУ № 354 от 27.12.1971 г. на ЛПО организован отдел гарантийного обслуживания.</w:t>
      </w:r>
    </w:p>
    <w:p w14:paraId="000A42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(-1971-72 г.)- Н. Г. Смирнов; и.о. (08.1972 г.)- Е.П. Леонов.</w:t>
      </w:r>
    </w:p>
    <w:p w14:paraId="24B8C2D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по науке (1973 г.)- Ю.П. Савельев; по экономике (-12.1971 г.)- В.М. Жданов (снят); по быту (-12.1971)- А.А. Кириллов (снят); по кадрам и режиму (1971 г.)- А. Г. Большаков; (1971 г.)- В.Н. Тихонов, (1972 г.)- Э.Б. Райцес.</w:t>
      </w:r>
    </w:p>
    <w:p w14:paraId="5F17B7A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(-1971-72 г.-)- А.С. Соколов.</w:t>
      </w:r>
    </w:p>
    <w:p w14:paraId="2BEC76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инженера (1971 г.)-  Г.Д. Филиппов, (1972 г.)- Б.С. Пашков.</w:t>
      </w:r>
    </w:p>
    <w:p w14:paraId="299766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 (1971 г.)- А.А. Васильев.</w:t>
      </w:r>
    </w:p>
    <w:p w14:paraId="3047F5A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методов управления, планирования и организации (11.1972 г.)- В.А. Иванов; головного патентного (-1971-73 г.-)- Ю.И. Котьков.</w:t>
      </w:r>
    </w:p>
    <w:p w14:paraId="53A76A4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(1972 г.)- Н.Д. Филиппов.</w:t>
      </w:r>
    </w:p>
    <w:p w14:paraId="58A5B7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бюро: КБ (1972)- Е.А. Чухнов; базовой технологии (1973 г.)- В.В. Дмитриев. Руководитель конструкторской группы (1972 г.)- М.А. Журавлев.</w:t>
      </w:r>
    </w:p>
    <w:p w14:paraId="68837DE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телефонная станция ГАТС-К (1971).</w:t>
      </w:r>
      <w:r w:rsidRPr="00722885">
        <w:rPr>
          <w:rFonts w:ascii="Times New Roman" w:hAnsi="Times New Roman"/>
          <w:color w:val="000000" w:themeColor="text1"/>
          <w:sz w:val="16"/>
          <w:szCs w:val="16"/>
          <w:vertAlign w:val="superscript"/>
        </w:rPr>
        <w:t>Ь5</w:t>
      </w:r>
    </w:p>
    <w:p w14:paraId="1781C08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Роменский завод аппаратуры телефонной связи (АТС) МРП, А-3701 /г. Ромны Сумской обл./</w:t>
      </w:r>
    </w:p>
    <w:p w14:paraId="67C43B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1971 г. Роменский завод АТС в составе ЛПО «Красная заря» - в ведении 15ГУ МРП, имел наименование «п/я А-3701».</w:t>
      </w:r>
    </w:p>
    <w:p w14:paraId="6E35623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приказам МРП от 9.12.1970 г. и 15ГУ № 7 от 19.03.1971 г. с 1.04.1971 г. на заводе создан отдел НИИКТ под руководством В.Н. Алябина в составе 50 чел. для проведения ОКР по аппаратуре АДУ, средств механизации и автоматизации техпроцессов коммутационной техники.</w:t>
      </w:r>
    </w:p>
    <w:p w14:paraId="110578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15ГУ № 354 от 27.12.1971 г. на заводе организован отдел гарантийного обслуживания.</w:t>
      </w:r>
    </w:p>
    <w:p w14:paraId="19E11A9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Директор (-01.1971-73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Щербаков.</w:t>
      </w:r>
    </w:p>
    <w:p w14:paraId="6BC4DE9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(1972 г.)- Е.И. Смирнов.</w:t>
      </w:r>
    </w:p>
    <w:p w14:paraId="7A9BAC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(-08.1971-73 г.-&gt; В.Н. Алябин.</w:t>
      </w:r>
    </w:p>
    <w:p w14:paraId="4137A6D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 (1973 г.)- О.С. Турба.</w:t>
      </w:r>
    </w:p>
    <w:p w14:paraId="0F09600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(1973 г.)- А.В. Щербак.</w:t>
      </w:r>
    </w:p>
    <w:p w14:paraId="75B69E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ОТК (-1971-72 г.-)- И.И. Субботин.</w:t>
      </w:r>
      <w:r w:rsidRPr="00722885">
        <w:rPr>
          <w:rFonts w:ascii="Times New Roman" w:hAnsi="Times New Roman"/>
          <w:color w:val="000000" w:themeColor="text1"/>
          <w:sz w:val="16"/>
          <w:szCs w:val="16"/>
          <w:vertAlign w:val="superscript"/>
        </w:rPr>
        <w:t>135</w:t>
      </w:r>
    </w:p>
    <w:p w14:paraId="79ED5A2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Белгородский телефонный завод, ПО «Сокол» МРП, А-7847, ЗАО «Сокол-АТС» /308861  г. Белгород ул. Б. Хмельницкого, 137 тел. 34-21-70/</w:t>
      </w:r>
    </w:p>
    <w:p w14:paraId="21A900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1961 г. на базе Белгородского телефонного завода образовано ПО «Сокол». В 1971 г. Белгородский телефонный завод «Сокол» в составе ЛПО «Красная заря» - в ведении 15ГУ МРП, имело наименование «п/я А- 7847».</w:t>
      </w:r>
    </w:p>
    <w:p w14:paraId="6B83647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Основная продукция- аппаратура АТС.</w:t>
      </w:r>
    </w:p>
    <w:p w14:paraId="2AB1180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15ГУ № 354 от 27.12.1971 г. на заводе организован отдел гарантийного обслуживания. В составе завода (1973 г.)- СКБ.</w:t>
      </w:r>
    </w:p>
    <w:p w14:paraId="66F351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ПО акционировано и преобразовано в АОЗТ, в 1997 г. переименовано в ЗАО.</w:t>
      </w:r>
    </w:p>
    <w:p w14:paraId="1F796C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(1991 г.)- около 8 тыс. чел.</w:t>
      </w:r>
    </w:p>
    <w:p w14:paraId="104D62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(1961 г.-)- В.И. Сошнин, (1965-91 г.)- Е.А. Колчанов. Гендиректор (1991 г.-)- Е.А. Колчанов, (1996 г.-)- В.Н. Андреев.</w:t>
      </w:r>
    </w:p>
    <w:p w14:paraId="03CE92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(-1971-73 г.-)- А. Г. Авраменко.</w:t>
      </w:r>
    </w:p>
    <w:p w14:paraId="26CDD5E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(-08.1971-72 г.-)- Н.Н. Верескун.</w:t>
      </w:r>
    </w:p>
    <w:p w14:paraId="4193D64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 (1971 г.)- В.Н. Кожевников. Гл. экономист (1973 г.)- Н.Е. Попова.</w:t>
      </w:r>
    </w:p>
    <w:p w14:paraId="5F90806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(1971 г.)- М.И. Журбенко.</w:t>
      </w:r>
    </w:p>
    <w:p w14:paraId="459B50C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Начальники отделов: ПДО (1971 г.)- Ф. Г. Батраков; инструментального (1971 г.)- Долженков; ПЭО (1971 г.)- Н.Е. Попова; ОТК (1971 г.)- А.И. Беседин; ОНОТУЗ (-1971-73 г.-)- Н.В. Соколинская; ОКиК (1971 г.)- Я.Д. Лобенко; ОМА (1972 г.)- А.М, Духонин.</w:t>
      </w:r>
    </w:p>
    <w:p w14:paraId="7277B0B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бюро: БРИЗ (1971 г.)- Боровик.</w:t>
      </w:r>
    </w:p>
    <w:p w14:paraId="74C28FE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АТС: АТСК-50/200 (1970-е); релейные с шаговыми искателями; координатные; многократные координатные соединители МКС; квазиэлектронные «Квант», цифровые «Квант-Е» (1997-), «Квант-Е-Сокол» (2000-); блоки для подвижных узлов связи; кроссовое оборудование; конвекторы для сетей центрального отопления.</w:t>
      </w:r>
      <w:r w:rsidRPr="00722885">
        <w:rPr>
          <w:rFonts w:ascii="Times New Roman" w:hAnsi="Times New Roman"/>
          <w:color w:val="000000" w:themeColor="text1"/>
          <w:sz w:val="16"/>
          <w:szCs w:val="16"/>
          <w:vertAlign w:val="superscript"/>
        </w:rPr>
        <w:t>101</w:t>
      </w:r>
    </w:p>
    <w:p w14:paraId="671778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ЦКТБ по релейной технике ЛПО «Красная заря» МРП, Г-4163 /194175  г. Ленинград/</w:t>
      </w:r>
    </w:p>
    <w:p w14:paraId="0A83CDE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1971 г. ЦКТБ по релейной технике - в составе ЛПО «Красная заря».</w:t>
      </w:r>
    </w:p>
    <w:p w14:paraId="7D7F3C8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15ГУ № 183 от 24.05.1971 г. организована головная НИЛ по релейной технике. По пр. 15ГУ № 230 от 8.07.1971 г. утверждена специализация предприятия - релейная техника.</w:t>
      </w:r>
    </w:p>
    <w:p w14:paraId="1541316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Выполнены НИР: «Полюс» по уменьшению дребезга контактов реле; «Теплостойкость-2», «Надежность», «Вариант-5», «Импульс», «Мечта-Ш», «Предел», «Атом-2», «Анод» (все- в 1970 г.). Выполнены ОКР: «Такт» (1966-70 г.) по разработке перспективного телефонного реле; ОКР «Патент-70» (1971 г.) - проведение патентно- лицензионной работы по предприятиям отрасли; ОКР «Енисей» (1971 г.) по разработке язычкового реле.</w:t>
      </w:r>
    </w:p>
    <w:p w14:paraId="0110FE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(1971 г.)- Б.А. Борисов.</w:t>
      </w:r>
    </w:p>
    <w:p w14:paraId="04091C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(1971 г.)- А.Д. Животченко.</w:t>
      </w:r>
    </w:p>
    <w:p w14:paraId="6C8DDF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 (1971 г.)- А.Р. Рудык.</w:t>
      </w:r>
    </w:p>
    <w:p w14:paraId="19B1E6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базовой службы качества (1971 г.)- И.Т. Корнеев.</w:t>
      </w:r>
    </w:p>
    <w:p w14:paraId="58ECEC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внедрения (1971 г.)- М.А. Федоров; (1971 г.)- И.Д. Ганкин, (1971 г.)- В.З. Ройзен.</w:t>
      </w:r>
    </w:p>
    <w:p w14:paraId="1448F5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(1971 г.)- А.А. Ротенберг, (1971 г.)- С.Л. Хайцер</w:t>
      </w:r>
    </w:p>
    <w:p w14:paraId="4DED776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измеритель реле ИР-2 (1971), измеритель сопротивления контактов СК9 (1971), прибор, для испытания реле НР-10,-13 (тема «Цирконий», 1971 ).</w:t>
      </w:r>
      <w:r w:rsidRPr="00722885">
        <w:rPr>
          <w:rFonts w:ascii="Times New Roman" w:hAnsi="Times New Roman"/>
          <w:color w:val="000000" w:themeColor="text1"/>
          <w:sz w:val="16"/>
          <w:szCs w:val="16"/>
          <w:vertAlign w:val="superscript"/>
        </w:rPr>
        <w:t>135</w:t>
      </w:r>
    </w:p>
    <w:p w14:paraId="2A0A33B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Артель «Столяр-строитель», Производственно-кооперативная артель Второй пятилетки, Государственный завод «Радист» МРП, Р-6366 /194100  г. Санкт-Петербург ул. Кантемировская, 7/</w:t>
      </w:r>
    </w:p>
    <w:p w14:paraId="646E94A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1923 г. организована артель «Столяр-строитель», в 1934 г. она переименована в Производственно- кооперативную артель Второй пятилетки. В 1954 г.- артель «Радист», с 1957 г.- Государственный завод «Радист». В 1964 г. завод вошел в состав ПО «Красная заря». С 1974 г. - в НПО «Северная заря». Директор (07.1971 г.)- Е.Л. Леонов. Гл. инженер (07.1971 г.)-Б.С. Пашков.</w:t>
      </w:r>
    </w:p>
    <w:p w14:paraId="014A763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радиоприемники: «Октябрь», «Нева», «Урал», «Россия»; абонентские громкоговорители: «Ленинградец», «Нева».</w:t>
      </w:r>
    </w:p>
    <w:p w14:paraId="20A696E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Порховский релейный завод МРП, МПСС, ОАО «Порховский релейный завод» /182620  г. Порхов Псковской обл. пр. Ленина, 20/</w:t>
      </w:r>
    </w:p>
    <w:p w14:paraId="31F874E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Основан в 1949(6) г. В 1971 г. завод - в составе ЛПО «Красная заря» в ведении 15ГУ МРП, далее в 1970-е  г. - в ведении 9ГУ МПСС.</w:t>
      </w:r>
    </w:p>
    <w:p w14:paraId="23A9F5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реле.</w:t>
      </w:r>
    </w:p>
    <w:p w14:paraId="4A2FE8C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(1971 г.)- Б.Л. Штерн.</w:t>
      </w:r>
    </w:p>
    <w:p w14:paraId="2B02BEB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(1971 г.)- А.А. Борисов.</w:t>
      </w:r>
    </w:p>
    <w:p w14:paraId="235AC0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абонентский радиоприемник «Балтика» (1950-е).</w:t>
      </w:r>
    </w:p>
    <w:p w14:paraId="6B9508E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НИИ коммутационной техники (НИИКТ) МРП /194175  г. Ленинград/</w:t>
      </w:r>
    </w:p>
    <w:p w14:paraId="4F83C16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1971 г. НИИКТ - в составе ЛПО «Красная заря». В 1971 г. имелся филиал института.</w:t>
      </w:r>
    </w:p>
    <w:p w14:paraId="0C9EDE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приказам МРП от 9.12.1970 г. и 15ГУ № 7 от 19.03.1971 г. с 1.04.1971 г. на Роменском заводе АТС создан отдел института в составе 50 чел. для проведения ОКР по аппаратуре АДУ, средств механизации и автоматизации техпроцессов коммутационной техники.</w:t>
      </w:r>
    </w:p>
    <w:p w14:paraId="45D5AD7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Имелся филиал института в Пскове (1972 г.), разрабатывал диспетчерскую аппаратуру.</w:t>
      </w:r>
    </w:p>
    <w:p w14:paraId="316CB6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Велись работы по разработке герконовых реле. По пр. 15ГУ № 230 от 8.07.1971 г. утверждена специализация предприятия - коммутационная техника. По приказам МРП № 610 от 4.10.1972 г. и 15ГУ № 298 от 13.10.1972 г. в институте создано головное патентное подразделение по коммутационной и релейной технике. Директор (1972 г.)- Смирнов, (2002 г.)- Д.И. Мартынов.</w:t>
      </w:r>
    </w:p>
    <w:p w14:paraId="329D5C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по научной работе и маркетингу (2002 г.)- А.А. Малащенко;</w:t>
      </w:r>
      <w:r w:rsidRPr="00722885">
        <w:rPr>
          <w:rFonts w:ascii="Times New Roman" w:hAnsi="Times New Roman"/>
          <w:color w:val="000000" w:themeColor="text1"/>
          <w:sz w:val="16"/>
          <w:szCs w:val="16"/>
          <w:vertAlign w:val="superscript"/>
        </w:rPr>
        <w:t>69</w:t>
      </w:r>
      <w:r w:rsidRPr="00722885">
        <w:rPr>
          <w:rFonts w:ascii="Times New Roman" w:hAnsi="Times New Roman"/>
          <w:color w:val="000000" w:themeColor="text1"/>
          <w:sz w:val="16"/>
          <w:szCs w:val="16"/>
        </w:rPr>
        <w:t xml:space="preserve"> (1973 г.)- Б.А. Борисов, (1973 г.)- А.П. Савельев.</w:t>
      </w:r>
    </w:p>
    <w:p w14:paraId="59EA4D6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отделений: технологического (-1972-73 г.-)- А.Д. Животченко. Начальники отделов: технологического (1973 г.)- А.Р. Рудык; (1973 г.)- А.Я. Яковлев. Зам. начальника отдела: стандартизации (1972 г.)- М.Я. Мишин; планового (1973 г.)- М.П. Абрамова. Начальники секторов: базовой технологии (1973 г.)- А.А. Ротенберг; (1973 г.)- В. Г. Андреев. Начальники лабораторий: расчетно-исследовательской (1972 г.)- С.Л. Хайцер; (1972 г.)- М.А. Федоров.</w:t>
      </w:r>
    </w:p>
    <w:p w14:paraId="0CA9914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НИИКТ МРП Выполнена ОКР «Кристалл» (1971 г.) по разработке устройств оперативной телефонной связи. Начальник (1971 г.)- Маркушин.</w:t>
      </w:r>
    </w:p>
    <w:p w14:paraId="60368D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Псковский завод телефонной аппаратуры МРП, М-5571 /г. Псков/</w:t>
      </w:r>
    </w:p>
    <w:p w14:paraId="27DCA9D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1971 г. завод - в ведении 15ГУ МРП, имел наименование «п/я М-5571». Завод входил в состав НПО «Красная заря», в 1971 г. вышел из его состава.</w:t>
      </w:r>
    </w:p>
    <w:p w14:paraId="576CD17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МРП № 349 от 1.08.1969 г. заводу поручено организовать со 2-го полугодия 1970 г. производство изделия ШИ-17 с мощностью к концу года до 500 тыс. шт. в год.</w:t>
      </w:r>
    </w:p>
    <w:p w14:paraId="04AC57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15ГУ № 354 от 27.12.1971 г. на заводе организован отдел гарантийного обслуживания. Директор (-01.1971-72 г.-)- И.И. Клосинский, (09.1973 г.)- Л.Л. Панчеха. Зам. директора- В.И. Магда.</w:t>
      </w:r>
    </w:p>
    <w:p w14:paraId="62A046C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(08.1971 г.)- П.А. Провад, (02.1972 г.)- Л.Л. Панчеха, (09.1973 г.)- А.Я. Рейнер. Зам. гл. технолога (1971 г.)- Н.Н. Красавин. Начальник МСС (1973 г.)-Е.И. Грибков.</w:t>
      </w:r>
    </w:p>
    <w:p w14:paraId="39C9134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диспетчерская аппаратура «Кристалл», установка административной связи УНС-20 (-1972), АПС-30, «Псков-1, -2 (1972-), -3»; станция административной связи САС-40 (-1972), «Темп-40» (1972- ); телефонная станция УПАТС-100/400; водолазные телефонные станции: ВК-1, легководолазная ЛВТС-63 (- 1972), ВТУС-70-1 (1972-); усилитель абонентский УА-1 (-1972), -2 (1972-); аппаратура предупредительной сигнализации «Графит» системы «Лор» (-1972), прибор охранной сигнализации «Алмаз» (-1972) (11982).</w:t>
      </w:r>
    </w:p>
    <w:p w14:paraId="71F50E0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12782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июле—августе 1942 г. с целью пополнения минно-тральных сил полноценными ба</w:t>
      </w:r>
      <w:r w:rsidRPr="00722885">
        <w:rPr>
          <w:color w:val="000000" w:themeColor="text1"/>
          <w:sz w:val="16"/>
          <w:szCs w:val="16"/>
        </w:rPr>
        <w:softHyphen/>
        <w:t>зовыми тральщиками наркоматы ВМФ и судостроительной про</w:t>
      </w:r>
      <w:r w:rsidRPr="00722885">
        <w:rPr>
          <w:color w:val="000000" w:themeColor="text1"/>
          <w:sz w:val="16"/>
          <w:szCs w:val="16"/>
        </w:rPr>
        <w:softHyphen/>
        <w:t>мышленности разработали требования к новому кораблю такого класса, который должен был вооружаться импортными электромагнитными, отечественными акустически</w:t>
      </w:r>
      <w:r w:rsidRPr="00722885">
        <w:rPr>
          <w:color w:val="000000" w:themeColor="text1"/>
          <w:sz w:val="16"/>
          <w:szCs w:val="16"/>
        </w:rPr>
        <w:softHyphen/>
        <w:t>ми и буксируемыми контактными тралами, а также минами за</w:t>
      </w:r>
      <w:r w:rsidRPr="00722885">
        <w:rPr>
          <w:color w:val="000000" w:themeColor="text1"/>
          <w:sz w:val="16"/>
          <w:szCs w:val="16"/>
        </w:rPr>
        <w:softHyphen/>
        <w:t>граждения. Остальные элементы, включая артиллерию, развивали в пр. 58. Технический пр. 263 такого тральщика, разработанный в ЦКБ-17, был утвержден уже 31 октября 1942 г. Корабль нормаль</w:t>
      </w:r>
      <w:r w:rsidRPr="00722885">
        <w:rPr>
          <w:color w:val="000000" w:themeColor="text1"/>
          <w:sz w:val="16"/>
          <w:szCs w:val="16"/>
        </w:rPr>
        <w:softHyphen/>
        <w:t>ным водоизмещением 675 т получился слишком сложным для по</w:t>
      </w:r>
      <w:r w:rsidRPr="00722885">
        <w:rPr>
          <w:color w:val="000000" w:themeColor="text1"/>
          <w:sz w:val="16"/>
          <w:szCs w:val="16"/>
        </w:rPr>
        <w:softHyphen/>
        <w:t>стройки в военное время даже в Ленинграде, где его собирались строить на заводе 370 (3898).</w:t>
      </w:r>
    </w:p>
    <w:p w14:paraId="43B4009D" w14:textId="77777777" w:rsidR="00AE7191" w:rsidRPr="00722885" w:rsidRDefault="00AE7191" w:rsidP="00722885">
      <w:pPr>
        <w:pStyle w:val="Iauiue"/>
        <w:jc w:val="both"/>
        <w:rPr>
          <w:color w:val="000000" w:themeColor="text1"/>
          <w:sz w:val="16"/>
          <w:szCs w:val="16"/>
        </w:rPr>
      </w:pPr>
    </w:p>
    <w:p w14:paraId="6B88581B"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8A8F22D" w14:textId="77777777" w:rsidR="00AE7191" w:rsidRPr="00722885" w:rsidRDefault="00AE7191" w:rsidP="00722885">
      <w:pPr>
        <w:pStyle w:val="Iauiue"/>
        <w:jc w:val="both"/>
        <w:rPr>
          <w:iCs/>
          <w:color w:val="000000" w:themeColor="text1"/>
          <w:sz w:val="16"/>
          <w:szCs w:val="16"/>
        </w:rPr>
      </w:pPr>
    </w:p>
    <w:p w14:paraId="345F97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течение июля-сентября 1942 в состав ВВС Северного флота без учета пополнения “россыпью” влилось не менее 80 Пе-2 и Пе-3. К сожалению, не добившись ярких успехов, эта группировка уже к декабрю из-за потерь уменьшилась наполовину. Сдав технику в другие полки, в ноябре покинули флот 13-й (полк был переучен на бомбардировщики А-20 и в 1943 г. продолжил боевые действия в составе ВВС Черноморского флота) и 28-й бапы (на его базе была сформирована 28-я отдельная эскадрилья двухмоторных колесных разведчиков ВВС СФ). В составе 95-го и 121-го авиаполков на 1 декабря 1942 г. числились 29 Пе-3, а в 29-м бап - 14 Пе-2 (4476).</w:t>
      </w:r>
    </w:p>
    <w:p w14:paraId="5248581F" w14:textId="77777777" w:rsidR="00AE7191" w:rsidRPr="00722885" w:rsidRDefault="00AE7191" w:rsidP="00722885">
      <w:pPr>
        <w:pStyle w:val="Iauiue"/>
        <w:jc w:val="both"/>
        <w:rPr>
          <w:color w:val="000000" w:themeColor="text1"/>
          <w:sz w:val="16"/>
          <w:szCs w:val="16"/>
        </w:rPr>
      </w:pPr>
    </w:p>
    <w:p w14:paraId="3C6981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В июле-августе 1942 на фронте появились уже целые соединения, укомплектованные исключительно Б-3 "Бостон". Это были 221-я и 244-я дивизии. 221-ю собрали из частей, прибывших под Ворошиловград - 794-го, 745-го и 57-го полков. Она успению сражалась на Юго-Западном фронте. Так, звено младшего лейтенанта Михеева уничтожило немецкую переправу через р. Оскол. Бои были очень ожесточенными, и за два месяца боев в полках осталось по два-три самолета. 244-я дивизию направили в 4-ю воздушную армию на Закавказский фронт в конце августа 1942, кое-как оснастив техникой и в ней насчитывалось всего 20 Б-3. Уже в начале сентября командование ВВС. начало просить Ставку вернуть соединение на доукомплектование. В итоге обе дивизии пополнили и в октябре вновь отправили воевать на юг. Вообще именно на южных участках советско-германского фронта первоначально сосредотачивалось подавляющее большинство "Бостонов". Уже в конце июля 1942 года в 244-и дивизии к трем первоначальным полкам (861-му, 45-му и 449-му) добавился 860-й, а к зиме дивизия разрослась до пяти полков, все на Б-3. В таком составе она вступила в Сталинградскую битву. В предгорьях Кавказа воевала 132-я дивизия, имевшая три полка на "Бостонах" - 63-й, 277-й и 452-й. Затем с Пe-2 па А-20 перевооружили и еще один полк дивизии - 367-й. Комиссар 221-й дивизии С.И.Черноусов впоследствии писал: "Эти машины обладали хорошими но тому времени летными качествами. Они могли конкурировать с немецкой техникой в скорости и маневренности". Когда Б-3 появились на советско-германском фронте, они обгоняли наши новые Пe-2. Американский бомбардировщик отличался хорошей маневренностью и большим практическим потолком. Ему легко давались глубокие виражи, он свободно летал на одном моторе. Учитывая слабую подготовку летчиков, ускоренно выпущенных из училищ в годы воины, очень важны становились пилотажные качества самолета. Здесь "Бостон" был превосходен - прост и легок в управлении, послушен и устойчив на виражах. Взлет н посадка па нем выполнялись куда проще, чем па отечественном Пе-2. Моторы работали надежно, хорошо запускались, однако при весьма интенсивной эксплуатации не </w:t>
      </w:r>
      <w:r w:rsidRPr="00722885">
        <w:rPr>
          <w:color w:val="000000" w:themeColor="text1"/>
          <w:sz w:val="16"/>
          <w:szCs w:val="16"/>
        </w:rPr>
        <w:lastRenderedPageBreak/>
        <w:t>вырабатывали предписанный ресурс. Приходилось срывать поставленные американцами пломбы и менять поршни, цилиндры, поршневые кольца и подшипники. Американцы, но сравнению с советскими конструкторами, уделяли больше внимания условиям работы экипажа. Кабины А-20 были просторны, и летчик, и штурман имели хороший обзор, они располагались в удобных креслах с бронезащитой. Кабина отапливалась, что после наших промерзлых СБ и Пе-2 казалось немыслимой роскошью. НИИ спецслужб ВВС отмечал в отчете: "По субъективной оценке летного состава данная система отопления является очень хорошей". Наших пилотов поражало обилие отличных приборов - "Бостон" имел полный набор современного навигационного оснащения (3457,101).</w:t>
      </w:r>
    </w:p>
    <w:p w14:paraId="3691E088" w14:textId="77777777" w:rsidR="00AE7191" w:rsidRPr="00722885" w:rsidRDefault="00AE7191" w:rsidP="00722885">
      <w:pPr>
        <w:pStyle w:val="Iauiue"/>
        <w:jc w:val="both"/>
        <w:rPr>
          <w:color w:val="000000" w:themeColor="text1"/>
          <w:sz w:val="16"/>
          <w:szCs w:val="16"/>
        </w:rPr>
      </w:pPr>
    </w:p>
    <w:p w14:paraId="155F836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C417AB0" w14:textId="77777777" w:rsidR="00AE7191" w:rsidRPr="00722885" w:rsidRDefault="00AE7191" w:rsidP="00722885">
      <w:pPr>
        <w:pStyle w:val="Iauiue"/>
        <w:jc w:val="both"/>
        <w:rPr>
          <w:iCs/>
          <w:color w:val="000000" w:themeColor="text1"/>
          <w:sz w:val="16"/>
          <w:szCs w:val="16"/>
        </w:rPr>
      </w:pPr>
    </w:p>
    <w:p w14:paraId="78A50547" w14:textId="77777777" w:rsidR="007B212D" w:rsidRPr="00722885" w:rsidRDefault="007B212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августу 1942 ТБ-7 с серийным номером 42066 (42 - заводское обозна</w:t>
      </w:r>
      <w:r w:rsidRPr="00722885">
        <w:rPr>
          <w:rFonts w:ascii="Times New Roman" w:hAnsi="Times New Roman"/>
          <w:color w:val="0070C0"/>
          <w:sz w:val="16"/>
          <w:szCs w:val="16"/>
        </w:rPr>
        <w:softHyphen/>
        <w:t xml:space="preserve">чение ТБ-7, 06 - порядковый номер машины в серии, 6 - номер серии), который знаменит, в первую очередь, своим перелетом в Англию, США и обратно с делегацией во главе с министром иностранных дел СССР В.М. Молотовым на борту, был еще не до конца готов и достраивался на заводе. </w:t>
      </w:r>
    </w:p>
    <w:p w14:paraId="6DC866C2" w14:textId="77777777" w:rsidR="007B212D" w:rsidRPr="00722885" w:rsidRDefault="007B212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Впервые данная машина упоминается в таблице о состоянии материальной части 432 ДБАП (дальнебомбардировачный авиаполк). Там указывалось, что ТБ-7 №42066 был оснащен моторами М-40Ф, в шассийных установках стоят крупнокалиберные пулеметы УБТ, кор</w:t>
      </w:r>
      <w:r w:rsidRPr="00722885">
        <w:rPr>
          <w:rFonts w:ascii="Times New Roman" w:hAnsi="Times New Roman"/>
          <w:color w:val="0070C0"/>
          <w:sz w:val="16"/>
          <w:szCs w:val="16"/>
        </w:rPr>
        <w:softHyphen/>
        <w:t>мовая установка КЭБ-42 оснащена пушкой ШВАК.</w:t>
      </w:r>
    </w:p>
    <w:p w14:paraId="3C1B04F5" w14:textId="77777777" w:rsidR="007B212D" w:rsidRPr="00722885" w:rsidRDefault="007B212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так как местом формирования и базирования полка в первые месяцы войны был заводской аэродром завода №124 в Казани, где и строи</w:t>
      </w:r>
      <w:r w:rsidRPr="00722885">
        <w:rPr>
          <w:rFonts w:ascii="Times New Roman" w:hAnsi="Times New Roman"/>
          <w:color w:val="0070C0"/>
          <w:sz w:val="16"/>
          <w:szCs w:val="16"/>
        </w:rPr>
        <w:softHyphen/>
        <w:t>ли ТБ-7, вполне возможно, что он был пере</w:t>
      </w:r>
      <w:r w:rsidRPr="00722885">
        <w:rPr>
          <w:rFonts w:ascii="Times New Roman" w:hAnsi="Times New Roman"/>
          <w:color w:val="0070C0"/>
          <w:sz w:val="16"/>
          <w:szCs w:val="16"/>
        </w:rPr>
        <w:softHyphen/>
        <w:t>дан и включен в список полка, хотя еще не был окончательно достроен. Или же причина состоит в том, что после неудачных вылетов на Берлин в ночь с 10 на 11 августа и в ночь с 29 на 30 октября 1941 года, доверие к авиа</w:t>
      </w:r>
      <w:r w:rsidRPr="00722885">
        <w:rPr>
          <w:rFonts w:ascii="Times New Roman" w:hAnsi="Times New Roman"/>
          <w:color w:val="0070C0"/>
          <w:sz w:val="16"/>
          <w:szCs w:val="16"/>
        </w:rPr>
        <w:softHyphen/>
        <w:t>ционным дизелям было потеряно, и ранее выпущенные машины с дизельными двигате</w:t>
      </w:r>
      <w:r w:rsidRPr="00722885">
        <w:rPr>
          <w:rFonts w:ascii="Times New Roman" w:hAnsi="Times New Roman"/>
          <w:color w:val="0070C0"/>
          <w:sz w:val="16"/>
          <w:szCs w:val="16"/>
        </w:rPr>
        <w:softHyphen/>
        <w:t>лями решили оснастить более надежными двигателями АМ-35А. Это решение коснулось и ТБ-7 №42066. Переоснащение под новые двигатели заняло какое- то время. Тем более, что в декабре 1941 года было принято реше</w:t>
      </w:r>
      <w:r w:rsidRPr="00722885">
        <w:rPr>
          <w:rFonts w:ascii="Times New Roman" w:hAnsi="Times New Roman"/>
          <w:color w:val="0070C0"/>
          <w:sz w:val="16"/>
          <w:szCs w:val="16"/>
        </w:rPr>
        <w:softHyphen/>
        <w:t>ние о прекращении выпуска ТБ-7 в пользу Пе-2, которые производил эвакуированный из Москвы в Казань завод №22, размещенный на площадях завода №124. Выпуск ТБ-7 про</w:t>
      </w:r>
      <w:r w:rsidRPr="00722885">
        <w:rPr>
          <w:rFonts w:ascii="Times New Roman" w:hAnsi="Times New Roman"/>
          <w:color w:val="0070C0"/>
          <w:sz w:val="16"/>
          <w:szCs w:val="16"/>
        </w:rPr>
        <w:softHyphen/>
        <w:t>должался теперь малыми темпами и неофи</w:t>
      </w:r>
      <w:r w:rsidRPr="00722885">
        <w:rPr>
          <w:rFonts w:ascii="Times New Roman" w:hAnsi="Times New Roman"/>
          <w:color w:val="0070C0"/>
          <w:sz w:val="16"/>
          <w:szCs w:val="16"/>
        </w:rPr>
        <w:softHyphen/>
        <w:t>циально (19936).</w:t>
      </w:r>
    </w:p>
    <w:p w14:paraId="7399F4CE" w14:textId="77777777" w:rsidR="007B212D" w:rsidRPr="00722885" w:rsidRDefault="007B212D" w:rsidP="00722885">
      <w:pPr>
        <w:spacing w:after="0" w:line="240" w:lineRule="auto"/>
        <w:jc w:val="both"/>
        <w:rPr>
          <w:rFonts w:ascii="Times New Roman" w:hAnsi="Times New Roman"/>
          <w:color w:val="0070C0"/>
          <w:sz w:val="16"/>
          <w:szCs w:val="16"/>
        </w:rPr>
      </w:pPr>
    </w:p>
    <w:p w14:paraId="470C6B1C" w14:textId="77777777" w:rsidR="007240D5" w:rsidRPr="00722885" w:rsidRDefault="007240D5"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августу месяцу 1942 заводом № 39 было построено 78 Пе-3бис, а вместе с бомбардировщиками Пе-2 - 571 машина. Еще 32 машины сдали в 1943 году. Из них 29 были сданы в 1942 году без двигателей «россыпью». В 1943 года на них установили двигатели и сдали как боевую продукцию (Отчет о работе завода № 39 за 1942 год. Центральный архив ИАЗ, дело № 240, листы 8-14.). Построенные заводом Пе-3бис поступали на вооружение авиационных полков резерва ставки Верховного Главнокомандования.</w:t>
      </w:r>
    </w:p>
    <w:p w14:paraId="4275DB5A" w14:textId="77777777" w:rsidR="007240D5" w:rsidRPr="00722885" w:rsidRDefault="007240D5"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4-го августа 1942 директор завода № 39 своим последним приказом за № 770 (в августе 1942 года директор завода № 39 И.Б. Иосилович был отозван в Москву) извещает коллектив завода, что «С сего числа на основании приказа Народного комиссара авиационной промышленности тов. Шахурина, в связи с переходом на другую работу, дела и должность директора завода № 39 мною сданы тов. Абрамову Виктору Ивановичу». Главным инженером завода назначается К. А. Петров (15223).</w:t>
      </w:r>
    </w:p>
    <w:p w14:paraId="3E6CDECB" w14:textId="77777777" w:rsidR="007240D5" w:rsidRPr="00722885" w:rsidRDefault="007240D5" w:rsidP="00722885">
      <w:pPr>
        <w:shd w:val="clear" w:color="auto" w:fill="FFFFFF"/>
        <w:spacing w:after="0" w:line="240" w:lineRule="auto"/>
        <w:jc w:val="both"/>
        <w:rPr>
          <w:rFonts w:ascii="Times New Roman" w:hAnsi="Times New Roman"/>
          <w:color w:val="000000" w:themeColor="text1"/>
          <w:sz w:val="16"/>
          <w:szCs w:val="16"/>
        </w:rPr>
      </w:pPr>
    </w:p>
    <w:p w14:paraId="71ABD614" w14:textId="77777777" w:rsidR="007240D5" w:rsidRPr="00722885" w:rsidRDefault="007240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августу 1942 г. заводские испытания Та-3бис 2М-89 закончились, и в целом их ре</w:t>
      </w:r>
      <w:r w:rsidRPr="00722885">
        <w:rPr>
          <w:rFonts w:ascii="Times New Roman" w:hAnsi="Times New Roman"/>
          <w:color w:val="000000" w:themeColor="text1"/>
          <w:sz w:val="16"/>
          <w:szCs w:val="16"/>
        </w:rPr>
        <w:softHyphen/>
        <w:t>зультаты оценили как положительные, однако отмечалась неустойчивая работа моторов М-89. Это не позволило рекомендовать самолет в большую серию. Определенные наде</w:t>
      </w:r>
      <w:r w:rsidRPr="00722885">
        <w:rPr>
          <w:rFonts w:ascii="Times New Roman" w:hAnsi="Times New Roman"/>
          <w:color w:val="000000" w:themeColor="text1"/>
          <w:sz w:val="16"/>
          <w:szCs w:val="16"/>
        </w:rPr>
        <w:softHyphen/>
        <w:t>жды связывались с установкой на Та-3 моторов АМ-37 и М-82А. Однако в конце 1942 г. ОКБ-483 прекратило свое существование (15828).</w:t>
      </w:r>
    </w:p>
    <w:p w14:paraId="6840B047" w14:textId="77777777" w:rsidR="007240D5" w:rsidRPr="00722885" w:rsidRDefault="007240D5" w:rsidP="00722885">
      <w:pPr>
        <w:spacing w:after="0" w:line="240" w:lineRule="auto"/>
        <w:jc w:val="both"/>
        <w:rPr>
          <w:rFonts w:ascii="Times New Roman" w:hAnsi="Times New Roman"/>
          <w:color w:val="000000" w:themeColor="text1"/>
          <w:sz w:val="16"/>
          <w:szCs w:val="16"/>
        </w:rPr>
      </w:pPr>
    </w:p>
    <w:p w14:paraId="14B78D1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августу 1942 закончились гос. испытания Та-3бис с 2М-89. Двигатели работали плохо и появился проект с АМ-37 и ОКО-8 (Та-5), который так и не был реализован (2181,24).</w:t>
      </w:r>
    </w:p>
    <w:p w14:paraId="60ACFB34" w14:textId="77777777" w:rsidR="00AE7191" w:rsidRPr="00722885" w:rsidRDefault="00AE7191" w:rsidP="00722885">
      <w:pPr>
        <w:pStyle w:val="Iauiue"/>
        <w:jc w:val="both"/>
        <w:rPr>
          <w:color w:val="000000" w:themeColor="text1"/>
          <w:sz w:val="16"/>
          <w:szCs w:val="16"/>
        </w:rPr>
      </w:pPr>
    </w:p>
    <w:p w14:paraId="672DF5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К августу 1942-го были закончены летные испытания ТА-3 “биса”. Результаты испытаний в целом были оценены как положительные, однако отмечалась неустойчивая работа моторов М-89. Это не позволило рекомендовать самолет в большую серию. Определенные надежды связывались с установкой на Та-3 моторов АМ-37 и М-82А. Однако в конце 1942 г. ОКБ-483 прекратило свое существование (9649).</w:t>
      </w:r>
    </w:p>
    <w:p w14:paraId="692284ED" w14:textId="77777777" w:rsidR="00AE7191" w:rsidRPr="00722885" w:rsidRDefault="00AE7191" w:rsidP="00722885">
      <w:pPr>
        <w:pStyle w:val="Iauiue"/>
        <w:jc w:val="both"/>
        <w:rPr>
          <w:color w:val="000000" w:themeColor="text1"/>
          <w:sz w:val="16"/>
          <w:szCs w:val="16"/>
        </w:rPr>
      </w:pPr>
    </w:p>
    <w:p w14:paraId="6C5254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августу 1942 построили серию из 22 Як-7-37 для войсковых испытаний, но он был без предкрылков и вместо МПШ-37 (Ш-37) Б.Г.Ш. на нем стояла НС-37. Самолеты направили на Северо-западный фронт в 42 иап, которым командовал Ф.И.Шинкаренко. В 12 боях сбили 10(1046,34).</w:t>
      </w:r>
    </w:p>
    <w:p w14:paraId="2D9130B0" w14:textId="77777777" w:rsidR="00AE7191" w:rsidRPr="00722885" w:rsidRDefault="00AE7191" w:rsidP="00722885">
      <w:pPr>
        <w:pStyle w:val="Iauiue"/>
        <w:jc w:val="both"/>
        <w:rPr>
          <w:color w:val="000000" w:themeColor="text1"/>
          <w:sz w:val="16"/>
          <w:szCs w:val="16"/>
        </w:rPr>
      </w:pPr>
    </w:p>
    <w:p w14:paraId="36059E1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августу 1942 г. мотор М-107 №К-199 прошел 50-ти часовые совместные испытания. Но дальше дело не шло- То обрывало поршень, то пробивало картер, то не выдерживал главный шатун (4537).</w:t>
      </w:r>
    </w:p>
    <w:p w14:paraId="108E9D25" w14:textId="77777777" w:rsidR="00AE7191" w:rsidRPr="00722885" w:rsidRDefault="00AE7191" w:rsidP="00722885">
      <w:pPr>
        <w:pStyle w:val="Iauiue"/>
        <w:jc w:val="both"/>
        <w:rPr>
          <w:color w:val="000000" w:themeColor="text1"/>
          <w:sz w:val="16"/>
          <w:szCs w:val="16"/>
        </w:rPr>
      </w:pPr>
    </w:p>
    <w:p w14:paraId="4A2F3E2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17124DC" w14:textId="77777777" w:rsidR="00AE7191" w:rsidRPr="00722885" w:rsidRDefault="00AE7191" w:rsidP="00722885">
      <w:pPr>
        <w:pStyle w:val="Iauiue"/>
        <w:jc w:val="both"/>
        <w:rPr>
          <w:iCs/>
          <w:color w:val="000000" w:themeColor="text1"/>
          <w:sz w:val="16"/>
          <w:szCs w:val="16"/>
        </w:rPr>
      </w:pPr>
    </w:p>
    <w:p w14:paraId="3C9FBD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августу 1942 г. тактическая грамотность летчиков-штурмовиков повысилась. Штурмовики стали активнее производить заходы со стороны солнца, чаще использовать облачность и дымы. Большие группы Ил-2, как правило, стали возглавлять командиры авиаполков, имея в своем составе заместителей командиров эскадрильей. Атаки целей стали преимущественно производиться прицельно, для чего чаще осуществлялись повторные заходы. Однако не все недостатки в действиях штурмовиков были изжиты (8687).</w:t>
      </w:r>
    </w:p>
    <w:p w14:paraId="573980D4" w14:textId="77777777" w:rsidR="00AE7191" w:rsidRPr="00722885" w:rsidRDefault="00AE7191" w:rsidP="00722885">
      <w:pPr>
        <w:pStyle w:val="Iauiue"/>
        <w:jc w:val="both"/>
        <w:rPr>
          <w:color w:val="000000" w:themeColor="text1"/>
          <w:sz w:val="16"/>
          <w:szCs w:val="16"/>
        </w:rPr>
      </w:pPr>
    </w:p>
    <w:p w14:paraId="54103495" w14:textId="77777777" w:rsidR="007240D5"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CBE23BB" w14:textId="77777777" w:rsidR="007240D5" w:rsidRPr="00722885" w:rsidRDefault="007240D5" w:rsidP="00722885">
      <w:pPr>
        <w:pStyle w:val="Iauiue"/>
        <w:jc w:val="both"/>
        <w:rPr>
          <w:iCs/>
          <w:color w:val="000000" w:themeColor="text1"/>
          <w:sz w:val="16"/>
          <w:szCs w:val="16"/>
        </w:rPr>
      </w:pPr>
    </w:p>
    <w:p w14:paraId="756D6A1D" w14:textId="77777777" w:rsidR="007240D5" w:rsidRPr="00722885" w:rsidRDefault="007240D5" w:rsidP="00722885">
      <w:pPr>
        <w:pStyle w:val="book"/>
        <w:ind w:firstLine="0"/>
        <w:jc w:val="both"/>
        <w:rPr>
          <w:color w:val="000000" w:themeColor="text1"/>
          <w:sz w:val="16"/>
          <w:szCs w:val="16"/>
        </w:rPr>
      </w:pPr>
      <w:r w:rsidRPr="00722885">
        <w:rPr>
          <w:color w:val="000000" w:themeColor="text1"/>
          <w:sz w:val="16"/>
          <w:szCs w:val="16"/>
        </w:rPr>
        <w:t>К августу 1942 г. степень готовности тяжелый крейсер «Зейдлиц» достигла 90%, но 26 августа 1942 г. Гитлер принимает решение переделать его в авианосец. В январе 1943 г. «Зейдлиц» был отбуксирован на верфь «Шихау» в Кенигсберг для достройки в качестве авианосца. Но переделка, видимо, так и не началась, поскольку Гитлер в том же январе 1943 г. отдал приказ о прекращении строительства авианосцев. 9 апреля 1945 г. «Зейдлиц» был поврежден у стенки завода советской авиацией и на следующий день там же затоплен экипажем. В 1946 г. крейсер был поднят аварийно-спасательной службой Юго-Балтийского флота, отбуксирован в Ленинград и 10 марта 1947 г. зачислен в состав ВМФ СССР, но ввиду невозможности достройки 9 апреля 1947 г. исключен из списков судов ВМФ. Разобрали же его лишь в начале 1950-х годов. Было разработано несколько проектов восстановления «Зейдлица». В 1951 г. был представлен проект создания из двух крейсеров — «Таллина» (бывшего «Лютцова») и «Зейдлица» — одного учебного крейсера с вооружением: 12—152-мм, 8—130-мм, 32— 45-мм и 24—25-мм орудий и двумя 53-см торпедными аппаратами. Однако стоимость постройки такого крейсера оказалась больше, чем запланированная сумма на строительство крейсера проекта 68бис, и от этой затеи отказались (15225).</w:t>
      </w:r>
    </w:p>
    <w:p w14:paraId="018CC8AF" w14:textId="77777777" w:rsidR="007240D5" w:rsidRPr="00722885" w:rsidRDefault="007240D5" w:rsidP="00722885">
      <w:pPr>
        <w:pStyle w:val="book"/>
        <w:ind w:firstLine="0"/>
        <w:jc w:val="both"/>
        <w:rPr>
          <w:color w:val="000000" w:themeColor="text1"/>
          <w:sz w:val="16"/>
          <w:szCs w:val="16"/>
        </w:rPr>
      </w:pPr>
    </w:p>
    <w:p w14:paraId="10FB95A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EA8E45D" w14:textId="77777777" w:rsidR="00AE7191" w:rsidRPr="00722885" w:rsidRDefault="00AE7191" w:rsidP="00722885">
      <w:pPr>
        <w:pStyle w:val="Iauiue"/>
        <w:jc w:val="both"/>
        <w:rPr>
          <w:iCs/>
          <w:color w:val="000000" w:themeColor="text1"/>
          <w:sz w:val="16"/>
          <w:szCs w:val="16"/>
        </w:rPr>
      </w:pPr>
    </w:p>
    <w:p w14:paraId="504D87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августа 1942 А.И.Ш. писал И.В.С. письмо N 5269:</w:t>
      </w:r>
    </w:p>
    <w:p w14:paraId="495C0AA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порядке информации докладываю: по плану опытного строительства 1941 конструктором С.В.И П.О.С. выпущен одноместный бронированный штурмовик Су-6 с М-71 (взлетная мощность 2000 л.с. и мощность на высоте 2250 м - 1800 л.с.), который согласно акта гос. испытаний НИИ ВВС показал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B487A" w:rsidRPr="00722885" w14:paraId="24341606" w14:textId="77777777" w:rsidTr="00CC5360">
        <w:tc>
          <w:tcPr>
            <w:tcW w:w="5636" w:type="dxa"/>
            <w:tcBorders>
              <w:top w:val="single" w:sz="12" w:space="0" w:color="auto"/>
            </w:tcBorders>
          </w:tcPr>
          <w:p w14:paraId="6B1072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 скорость у земли</w:t>
            </w:r>
          </w:p>
        </w:tc>
        <w:tc>
          <w:tcPr>
            <w:tcW w:w="5636" w:type="dxa"/>
            <w:tcBorders>
              <w:top w:val="single" w:sz="12" w:space="0" w:color="auto"/>
            </w:tcBorders>
          </w:tcPr>
          <w:p w14:paraId="71033C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445 км/час</w:t>
            </w:r>
          </w:p>
        </w:tc>
      </w:tr>
      <w:tr w:rsidR="009B487A" w:rsidRPr="00722885" w14:paraId="1DE90051" w14:textId="77777777" w:rsidTr="00CC5360">
        <w:tc>
          <w:tcPr>
            <w:tcW w:w="5636" w:type="dxa"/>
          </w:tcPr>
          <w:p w14:paraId="7D3DA7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 скорость на форсаже</w:t>
            </w:r>
          </w:p>
        </w:tc>
        <w:tc>
          <w:tcPr>
            <w:tcW w:w="5636" w:type="dxa"/>
          </w:tcPr>
          <w:p w14:paraId="415CBD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496 км/час</w:t>
            </w:r>
          </w:p>
        </w:tc>
      </w:tr>
      <w:tr w:rsidR="009B487A" w:rsidRPr="00722885" w14:paraId="63D1CFBB" w14:textId="77777777" w:rsidTr="00CC5360">
        <w:tc>
          <w:tcPr>
            <w:tcW w:w="5636" w:type="dxa"/>
          </w:tcPr>
          <w:p w14:paraId="0EBDDD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 скорость на 2500 м</w:t>
            </w:r>
          </w:p>
        </w:tc>
        <w:tc>
          <w:tcPr>
            <w:tcW w:w="5636" w:type="dxa"/>
          </w:tcPr>
          <w:p w14:paraId="24E442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491 км/час</w:t>
            </w:r>
          </w:p>
        </w:tc>
      </w:tr>
      <w:tr w:rsidR="009B487A" w:rsidRPr="00722885" w14:paraId="3FB049B9" w14:textId="77777777" w:rsidTr="00CC5360">
        <w:tc>
          <w:tcPr>
            <w:tcW w:w="5636" w:type="dxa"/>
            <w:tcBorders>
              <w:bottom w:val="single" w:sz="12" w:space="0" w:color="auto"/>
            </w:tcBorders>
          </w:tcPr>
          <w:p w14:paraId="031B27C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дальность на 0.9 макс</w:t>
            </w:r>
          </w:p>
        </w:tc>
        <w:tc>
          <w:tcPr>
            <w:tcW w:w="5636" w:type="dxa"/>
            <w:tcBorders>
              <w:bottom w:val="single" w:sz="12" w:space="0" w:color="auto"/>
            </w:tcBorders>
          </w:tcPr>
          <w:p w14:paraId="43D0E3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450 км</w:t>
            </w:r>
          </w:p>
        </w:tc>
      </w:tr>
    </w:tbl>
    <w:p w14:paraId="690919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w:t>
      </w:r>
    </w:p>
    <w:p w14:paraId="1D1A53F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2х23 мм, 230 снарядов</w:t>
      </w:r>
    </w:p>
    <w:p w14:paraId="1613E8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4х7.62 мм, 300 патронов</w:t>
      </w:r>
    </w:p>
    <w:p w14:paraId="14CD17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РС-132/82</w:t>
      </w:r>
    </w:p>
    <w:p w14:paraId="1AFB3A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Нормальная бомбовая нагрузка - 200 кг при емкости отсека 400 кг</w:t>
      </w:r>
    </w:p>
    <w:p w14:paraId="32FC36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 крыльями могут подвешиваться 2х100 кг или 2хВАП-200</w:t>
      </w:r>
    </w:p>
    <w:p w14:paraId="10C823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технике пилотирования самолет прост и доступен л средней квалификации, имеет хорошую устойчивость и допускает полет с брошенной ручкой на всех режимах. Нагрузки на рули и элероны - велики.</w:t>
      </w:r>
    </w:p>
    <w:p w14:paraId="6915A9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Бронирование кабины л и фонаря осуществляется аналогично самолету Ил-2. Задняя крышка мотора с агрегатами забронирована, цилиндры мотора не забронированы (1650,311).</w:t>
      </w:r>
    </w:p>
    <w:p w14:paraId="7F0760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Почти то же, что и 19 июля 1942, но с добавкой:</w:t>
      </w:r>
    </w:p>
    <w:p w14:paraId="5916FA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настоящее время ведутся работы по доводке 100 час. ресурса и сдаче на гос. испытания М-71 на заводе 19. В случае получения положительных результатов по М-71 возможно будет поставить вопрос о целесообразности постройки серии самолетов Су-6 (1650,312).</w:t>
      </w:r>
    </w:p>
    <w:p w14:paraId="61871C01" w14:textId="77777777" w:rsidR="00AE7191" w:rsidRPr="00722885" w:rsidRDefault="00AE7191" w:rsidP="00722885">
      <w:pPr>
        <w:pStyle w:val="Iauiue"/>
        <w:jc w:val="both"/>
        <w:rPr>
          <w:color w:val="000000" w:themeColor="text1"/>
          <w:sz w:val="16"/>
          <w:szCs w:val="16"/>
        </w:rPr>
      </w:pPr>
    </w:p>
    <w:p w14:paraId="174A45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августа 1942 с опозданием на год по сравнению с планом закончили совместные испытания модифицированного М-90 конструкции В.Г.Федичева. Снизили диаметр до 1296 мм и вес до 870 кг. Мотор затребовало несколько КБ, в т.ч. и П.О.С. для Су-4 и проводились летные испытания (395,137).</w:t>
      </w:r>
    </w:p>
    <w:p w14:paraId="17688C35" w14:textId="77777777" w:rsidR="00AE7191" w:rsidRPr="00722885" w:rsidRDefault="00AE7191" w:rsidP="00722885">
      <w:pPr>
        <w:pStyle w:val="Iauiue"/>
        <w:jc w:val="both"/>
        <w:rPr>
          <w:color w:val="000000" w:themeColor="text1"/>
          <w:sz w:val="16"/>
          <w:szCs w:val="16"/>
        </w:rPr>
      </w:pPr>
    </w:p>
    <w:p w14:paraId="20D786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августа 1942 года закончились заводские испытания «103В» с 2 М-82 на заводе № 166, которые заняли 7,5 месяцев после того, как под управлением летчика-ис</w:t>
      </w:r>
      <w:r w:rsidRPr="00722885">
        <w:rPr>
          <w:rFonts w:ascii="Times New Roman" w:hAnsi="Times New Roman"/>
          <w:color w:val="000000" w:themeColor="text1"/>
          <w:sz w:val="16"/>
          <w:szCs w:val="16"/>
        </w:rPr>
        <w:softHyphen/>
        <w:t>пытателя М.П. Васякина машина совершила первый полет 15 декабря 1941. Как отмечалось потом в отчете по испытаниям: «Основные причины за</w:t>
      </w:r>
      <w:r w:rsidRPr="00722885">
        <w:rPr>
          <w:rFonts w:ascii="Times New Roman" w:hAnsi="Times New Roman"/>
          <w:color w:val="000000" w:themeColor="text1"/>
          <w:sz w:val="16"/>
          <w:szCs w:val="16"/>
        </w:rPr>
        <w:softHyphen/>
        <w:t>тяжки испытаний: неудовлетворитель</w:t>
      </w:r>
      <w:r w:rsidRPr="00722885">
        <w:rPr>
          <w:rFonts w:ascii="Times New Roman" w:hAnsi="Times New Roman"/>
          <w:color w:val="000000" w:themeColor="text1"/>
          <w:sz w:val="16"/>
          <w:szCs w:val="16"/>
        </w:rPr>
        <w:softHyphen/>
        <w:t>ная работа моторов М-82 и длитель</w:t>
      </w:r>
      <w:r w:rsidRPr="00722885">
        <w:rPr>
          <w:rFonts w:ascii="Times New Roman" w:hAnsi="Times New Roman"/>
          <w:color w:val="000000" w:themeColor="text1"/>
          <w:sz w:val="16"/>
          <w:szCs w:val="16"/>
        </w:rPr>
        <w:softHyphen/>
        <w:t>ная доводка винто-моторной группы. Во время испытаний было заменено восемь моторов... Из-за неудовлет</w:t>
      </w:r>
      <w:r w:rsidRPr="00722885">
        <w:rPr>
          <w:rFonts w:ascii="Times New Roman" w:hAnsi="Times New Roman"/>
          <w:color w:val="000000" w:themeColor="text1"/>
          <w:sz w:val="16"/>
          <w:szCs w:val="16"/>
        </w:rPr>
        <w:softHyphen/>
        <w:t>ворительной работы моторов само</w:t>
      </w:r>
      <w:r w:rsidRPr="00722885">
        <w:rPr>
          <w:rFonts w:ascii="Times New Roman" w:hAnsi="Times New Roman"/>
          <w:color w:val="000000" w:themeColor="text1"/>
          <w:sz w:val="16"/>
          <w:szCs w:val="16"/>
        </w:rPr>
        <w:softHyphen/>
        <w:t>лет простоял 132 дня, что составляет 57,7% времени, потраченного на ис</w:t>
      </w:r>
      <w:r w:rsidRPr="00722885">
        <w:rPr>
          <w:rFonts w:ascii="Times New Roman" w:hAnsi="Times New Roman"/>
          <w:color w:val="000000" w:themeColor="text1"/>
          <w:sz w:val="16"/>
          <w:szCs w:val="16"/>
        </w:rPr>
        <w:softHyphen/>
        <w:t>пытания» (10686).</w:t>
      </w:r>
    </w:p>
    <w:p w14:paraId="07442E2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DABE0B7" w14:textId="77777777" w:rsidR="00907F56" w:rsidRPr="00722885" w:rsidRDefault="00907F56" w:rsidP="00722885">
      <w:pPr>
        <w:pStyle w:val="a3"/>
        <w:rPr>
          <w:color w:val="000000" w:themeColor="text1"/>
          <w:lang w:val="ru-RU"/>
        </w:rPr>
      </w:pPr>
      <w:r w:rsidRPr="00722885">
        <w:rPr>
          <w:color w:val="000000" w:themeColor="text1"/>
          <w:lang w:val="ru-RU"/>
        </w:rPr>
        <w:t>До 1 августа 1942 г. затянулись испытания «103В» с 2 М-82, которые начались 15 декабря 1941 г. Как отмечалось потом в отчете по испытаниям:</w:t>
      </w:r>
    </w:p>
    <w:p w14:paraId="25D8B60E" w14:textId="77777777" w:rsidR="00907F56" w:rsidRPr="00722885" w:rsidRDefault="00907F56" w:rsidP="00722885">
      <w:pPr>
        <w:pStyle w:val="a3"/>
        <w:rPr>
          <w:color w:val="000000" w:themeColor="text1"/>
          <w:lang w:val="ru-RU"/>
        </w:rPr>
      </w:pPr>
      <w:r w:rsidRPr="00722885">
        <w:rPr>
          <w:color w:val="000000" w:themeColor="text1"/>
          <w:lang w:val="ru-RU"/>
        </w:rPr>
        <w:t>«Основные причины затяжки испытаний: неудовлетворительная работа моторов М-82 и длительная доводка винто-моторной группы. Во время испытаний было заменено во</w:t>
      </w:r>
      <w:r w:rsidRPr="00722885">
        <w:rPr>
          <w:color w:val="000000" w:themeColor="text1"/>
          <w:lang w:val="ru-RU"/>
        </w:rPr>
        <w:softHyphen/>
        <w:t>семь моторов... Из-за неудовлетворительной работы моторов самолёт простоял 132 дня, что составляет 57,7% времени, потраченного на испытания» (15788).</w:t>
      </w:r>
    </w:p>
    <w:p w14:paraId="05CD0E4E" w14:textId="77777777" w:rsidR="00907F56" w:rsidRPr="00722885" w:rsidRDefault="00907F56" w:rsidP="00722885">
      <w:pPr>
        <w:pStyle w:val="a3"/>
        <w:rPr>
          <w:color w:val="000000" w:themeColor="text1"/>
          <w:lang w:val="ru-RU"/>
        </w:rPr>
      </w:pPr>
    </w:p>
    <w:p w14:paraId="26AA8A4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августа 1942 г. испытания 103В, начатые 15 декабря 1941, приостановили. Заместитель командующего ВВС Репин распорядился: "Испытания прекратить. Характеристики самолета и оценки работы агрегатов дать по серийному самолету Ту-2". Именно под этим обозначением собирались выпускать новую машину. В соответствии с системой, введенной в декабре 1940 г., были взяты две первые буквы фамилии главного конструктора, переставшего быть безымянным арестантом, а цифра "2" (первая четная) показывала, что это первый бомбардировщик, созданный конструктором. Официально обозначение Ту-2 присвоили постановлением ГКО от 26 марта 1942 г. Это была первая машина, получившая марку "Ту", ставшую позднее знаменитой.</w:t>
      </w:r>
    </w:p>
    <w:p w14:paraId="778855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выводах отчета по совместным испытаниям указали: "...самолет "103В" 2 М-82А по своей управляемости, устойчивости, взлетно-поса- дочным свойствам, а также маневренности и температурным режимам ВМГ удовлетворяет требованиям". Туполев при разборе результатов полетов сказал: "Васякин дал путевку в небо Ту-2".</w:t>
      </w:r>
    </w:p>
    <w:p w14:paraId="444FC12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спешно готовился к запуску в серийное производство. ВВС требовали от серийных бомбардировщиков увеличения скорости до цифры, предписанной постановлением, упростить и сделать более надежными гидросистему и тормозную систему, ввести бронирование снизу, заменить оба верхних пулемета на крупнокалиберные БС (12,7 мм) и предусмотреть подвеску химического вооружения (выливных приборов). Туполев считал выполнение этих требований вполне реальным, но занимающим некоторое время, так что делать все это собирались постепенно.</w:t>
      </w:r>
    </w:p>
    <w:p w14:paraId="42B1095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Данные опытных образцов самолета "103"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9B487A" w:rsidRPr="00722885" w14:paraId="57949EAA" w14:textId="77777777" w:rsidTr="00CC5360">
        <w:tc>
          <w:tcPr>
            <w:tcW w:w="2802" w:type="dxa"/>
            <w:tcBorders>
              <w:top w:val="single" w:sz="12" w:space="0" w:color="auto"/>
            </w:tcBorders>
          </w:tcPr>
          <w:p w14:paraId="1CC0669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1C2B63E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"103"</w:t>
            </w:r>
          </w:p>
        </w:tc>
        <w:tc>
          <w:tcPr>
            <w:tcW w:w="2802" w:type="dxa"/>
            <w:tcBorders>
              <w:top w:val="single" w:sz="12" w:space="0" w:color="auto"/>
            </w:tcBorders>
          </w:tcPr>
          <w:p w14:paraId="47A35FB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"103У"</w:t>
            </w:r>
          </w:p>
        </w:tc>
        <w:tc>
          <w:tcPr>
            <w:tcW w:w="2802" w:type="dxa"/>
            <w:tcBorders>
              <w:top w:val="single" w:sz="12" w:space="0" w:color="auto"/>
            </w:tcBorders>
          </w:tcPr>
          <w:p w14:paraId="619CCDE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"103В"</w:t>
            </w:r>
          </w:p>
        </w:tc>
      </w:tr>
      <w:tr w:rsidR="009B487A" w:rsidRPr="00722885" w14:paraId="3FADBE3D" w14:textId="77777777" w:rsidTr="00CC5360">
        <w:tc>
          <w:tcPr>
            <w:tcW w:w="2802" w:type="dxa"/>
          </w:tcPr>
          <w:p w14:paraId="7B97C7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двигателей</w:t>
            </w:r>
          </w:p>
        </w:tc>
        <w:tc>
          <w:tcPr>
            <w:tcW w:w="2802" w:type="dxa"/>
          </w:tcPr>
          <w:p w14:paraId="08DFDB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АМ-37</w:t>
            </w:r>
          </w:p>
        </w:tc>
        <w:tc>
          <w:tcPr>
            <w:tcW w:w="2802" w:type="dxa"/>
          </w:tcPr>
          <w:p w14:paraId="0EF1A62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АМ-37</w:t>
            </w:r>
          </w:p>
        </w:tc>
        <w:tc>
          <w:tcPr>
            <w:tcW w:w="2802" w:type="dxa"/>
          </w:tcPr>
          <w:p w14:paraId="67804A4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М-82</w:t>
            </w:r>
          </w:p>
        </w:tc>
      </w:tr>
      <w:tr w:rsidR="009B487A" w:rsidRPr="00722885" w14:paraId="55B28195" w14:textId="77777777" w:rsidTr="00CC5360">
        <w:tc>
          <w:tcPr>
            <w:tcW w:w="2802" w:type="dxa"/>
          </w:tcPr>
          <w:p w14:paraId="0767F2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w:t>
            </w:r>
          </w:p>
        </w:tc>
        <w:tc>
          <w:tcPr>
            <w:tcW w:w="2802" w:type="dxa"/>
          </w:tcPr>
          <w:p w14:paraId="39BF449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w:t>
            </w:r>
          </w:p>
        </w:tc>
        <w:tc>
          <w:tcPr>
            <w:tcW w:w="2802" w:type="dxa"/>
          </w:tcPr>
          <w:p w14:paraId="79B6D50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w:t>
            </w:r>
          </w:p>
        </w:tc>
        <w:tc>
          <w:tcPr>
            <w:tcW w:w="2802" w:type="dxa"/>
          </w:tcPr>
          <w:p w14:paraId="76166F2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w:t>
            </w:r>
          </w:p>
        </w:tc>
      </w:tr>
      <w:tr w:rsidR="009B487A" w:rsidRPr="00722885" w14:paraId="0F1B9469" w14:textId="77777777" w:rsidTr="00CC5360">
        <w:tc>
          <w:tcPr>
            <w:tcW w:w="2802" w:type="dxa"/>
          </w:tcPr>
          <w:p w14:paraId="3C22125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м2</w:t>
            </w:r>
          </w:p>
        </w:tc>
        <w:tc>
          <w:tcPr>
            <w:tcW w:w="2802" w:type="dxa"/>
          </w:tcPr>
          <w:p w14:paraId="0225511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w:t>
            </w:r>
          </w:p>
        </w:tc>
        <w:tc>
          <w:tcPr>
            <w:tcW w:w="2802" w:type="dxa"/>
          </w:tcPr>
          <w:p w14:paraId="6CA4CAE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w:t>
            </w:r>
          </w:p>
        </w:tc>
        <w:tc>
          <w:tcPr>
            <w:tcW w:w="2802" w:type="dxa"/>
          </w:tcPr>
          <w:p w14:paraId="0907E65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w:t>
            </w:r>
          </w:p>
        </w:tc>
      </w:tr>
      <w:tr w:rsidR="009B487A" w:rsidRPr="00722885" w14:paraId="0115B58C" w14:textId="77777777" w:rsidTr="00CC5360">
        <w:tc>
          <w:tcPr>
            <w:tcW w:w="2802" w:type="dxa"/>
          </w:tcPr>
          <w:p w14:paraId="3019319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самолета, м</w:t>
            </w:r>
          </w:p>
        </w:tc>
        <w:tc>
          <w:tcPr>
            <w:tcW w:w="2802" w:type="dxa"/>
          </w:tcPr>
          <w:p w14:paraId="51908FE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13,2</w:t>
            </w:r>
          </w:p>
        </w:tc>
        <w:tc>
          <w:tcPr>
            <w:tcW w:w="2802" w:type="dxa"/>
          </w:tcPr>
          <w:p w14:paraId="31EE4CA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w:t>
            </w:r>
          </w:p>
        </w:tc>
        <w:tc>
          <w:tcPr>
            <w:tcW w:w="2802" w:type="dxa"/>
          </w:tcPr>
          <w:p w14:paraId="1E00003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13,7</w:t>
            </w:r>
          </w:p>
        </w:tc>
      </w:tr>
      <w:tr w:rsidR="009B487A" w:rsidRPr="00722885" w14:paraId="170EA9D3" w14:textId="77777777" w:rsidTr="00CC5360">
        <w:tc>
          <w:tcPr>
            <w:tcW w:w="2802" w:type="dxa"/>
          </w:tcPr>
          <w:p w14:paraId="38E274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кг: пустого</w:t>
            </w:r>
          </w:p>
        </w:tc>
        <w:tc>
          <w:tcPr>
            <w:tcW w:w="2802" w:type="dxa"/>
          </w:tcPr>
          <w:p w14:paraId="62A4FE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7626</w:t>
            </w:r>
          </w:p>
        </w:tc>
        <w:tc>
          <w:tcPr>
            <w:tcW w:w="2802" w:type="dxa"/>
          </w:tcPr>
          <w:p w14:paraId="6EC848F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7823</w:t>
            </w:r>
          </w:p>
        </w:tc>
        <w:tc>
          <w:tcPr>
            <w:tcW w:w="2802" w:type="dxa"/>
          </w:tcPr>
          <w:p w14:paraId="14A4F3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7335</w:t>
            </w:r>
          </w:p>
        </w:tc>
      </w:tr>
      <w:tr w:rsidR="009B487A" w:rsidRPr="00722885" w14:paraId="1091E00B" w14:textId="77777777" w:rsidTr="00CC5360">
        <w:tc>
          <w:tcPr>
            <w:tcW w:w="2802" w:type="dxa"/>
          </w:tcPr>
          <w:p w14:paraId="2895CF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полетный нормальный </w:t>
            </w:r>
          </w:p>
        </w:tc>
        <w:tc>
          <w:tcPr>
            <w:tcW w:w="2802" w:type="dxa"/>
          </w:tcPr>
          <w:p w14:paraId="1650F41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9950 </w:t>
            </w:r>
          </w:p>
        </w:tc>
        <w:tc>
          <w:tcPr>
            <w:tcW w:w="2802" w:type="dxa"/>
          </w:tcPr>
          <w:p w14:paraId="3AB1C8D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10448</w:t>
            </w:r>
          </w:p>
        </w:tc>
        <w:tc>
          <w:tcPr>
            <w:tcW w:w="2802" w:type="dxa"/>
          </w:tcPr>
          <w:p w14:paraId="5171A9F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10230</w:t>
            </w:r>
          </w:p>
        </w:tc>
      </w:tr>
      <w:tr w:rsidR="009B487A" w:rsidRPr="00722885" w14:paraId="09992034" w14:textId="77777777" w:rsidTr="00CC5360">
        <w:tc>
          <w:tcPr>
            <w:tcW w:w="2802" w:type="dxa"/>
          </w:tcPr>
          <w:p w14:paraId="474CB6C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максимальный</w:t>
            </w:r>
          </w:p>
        </w:tc>
        <w:tc>
          <w:tcPr>
            <w:tcW w:w="2802" w:type="dxa"/>
          </w:tcPr>
          <w:p w14:paraId="650CAD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10 992</w:t>
            </w:r>
          </w:p>
        </w:tc>
        <w:tc>
          <w:tcPr>
            <w:tcW w:w="2802" w:type="dxa"/>
          </w:tcPr>
          <w:p w14:paraId="32609DD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11498</w:t>
            </w:r>
          </w:p>
        </w:tc>
        <w:tc>
          <w:tcPr>
            <w:tcW w:w="2802" w:type="dxa"/>
          </w:tcPr>
          <w:p w14:paraId="3F931BA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11700</w:t>
            </w:r>
          </w:p>
        </w:tc>
      </w:tr>
      <w:tr w:rsidR="009B487A" w:rsidRPr="00722885" w14:paraId="05BEFBB9" w14:textId="77777777" w:rsidTr="00CC5360">
        <w:tc>
          <w:tcPr>
            <w:tcW w:w="2802" w:type="dxa"/>
          </w:tcPr>
          <w:p w14:paraId="52751D6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Скорость максимальная, км/ч: у земли </w:t>
            </w:r>
          </w:p>
        </w:tc>
        <w:tc>
          <w:tcPr>
            <w:tcW w:w="2802" w:type="dxa"/>
          </w:tcPr>
          <w:p w14:paraId="71F56F8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482</w:t>
            </w:r>
          </w:p>
        </w:tc>
        <w:tc>
          <w:tcPr>
            <w:tcW w:w="2802" w:type="dxa"/>
          </w:tcPr>
          <w:p w14:paraId="6FC36A1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469</w:t>
            </w:r>
          </w:p>
        </w:tc>
        <w:tc>
          <w:tcPr>
            <w:tcW w:w="2802" w:type="dxa"/>
          </w:tcPr>
          <w:p w14:paraId="36CA30C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460</w:t>
            </w:r>
          </w:p>
        </w:tc>
      </w:tr>
      <w:tr w:rsidR="009B487A" w:rsidRPr="00722885" w14:paraId="741CD94C" w14:textId="77777777" w:rsidTr="00CC5360">
        <w:tc>
          <w:tcPr>
            <w:tcW w:w="2802" w:type="dxa"/>
          </w:tcPr>
          <w:p w14:paraId="0ACB94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w:t>
            </w:r>
          </w:p>
        </w:tc>
        <w:tc>
          <w:tcPr>
            <w:tcW w:w="2802" w:type="dxa"/>
          </w:tcPr>
          <w:p w14:paraId="3EFE07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635</w:t>
            </w:r>
          </w:p>
        </w:tc>
        <w:tc>
          <w:tcPr>
            <w:tcW w:w="2802" w:type="dxa"/>
          </w:tcPr>
          <w:p w14:paraId="326B355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610</w:t>
            </w:r>
          </w:p>
        </w:tc>
        <w:tc>
          <w:tcPr>
            <w:tcW w:w="2802" w:type="dxa"/>
          </w:tcPr>
          <w:p w14:paraId="55E9598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528</w:t>
            </w:r>
          </w:p>
        </w:tc>
      </w:tr>
      <w:tr w:rsidR="009B487A" w:rsidRPr="00722885" w14:paraId="2052E550" w14:textId="77777777" w:rsidTr="00CC5360">
        <w:tc>
          <w:tcPr>
            <w:tcW w:w="2802" w:type="dxa"/>
          </w:tcPr>
          <w:p w14:paraId="11C9347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Потолок практический, м</w:t>
            </w:r>
          </w:p>
        </w:tc>
        <w:tc>
          <w:tcPr>
            <w:tcW w:w="2802" w:type="dxa"/>
          </w:tcPr>
          <w:p w14:paraId="6EEE9CC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10 600</w:t>
            </w:r>
          </w:p>
        </w:tc>
        <w:tc>
          <w:tcPr>
            <w:tcW w:w="2802" w:type="dxa"/>
          </w:tcPr>
          <w:p w14:paraId="53029A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10 500</w:t>
            </w:r>
          </w:p>
        </w:tc>
        <w:tc>
          <w:tcPr>
            <w:tcW w:w="2802" w:type="dxa"/>
          </w:tcPr>
          <w:p w14:paraId="25EA15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9000</w:t>
            </w:r>
          </w:p>
        </w:tc>
      </w:tr>
      <w:tr w:rsidR="009B487A" w:rsidRPr="00722885" w14:paraId="2C9B2477" w14:textId="77777777" w:rsidTr="00CC5360">
        <w:tc>
          <w:tcPr>
            <w:tcW w:w="2802" w:type="dxa"/>
          </w:tcPr>
          <w:p w14:paraId="2733FC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мин</w:t>
            </w:r>
          </w:p>
        </w:tc>
        <w:tc>
          <w:tcPr>
            <w:tcW w:w="2802" w:type="dxa"/>
          </w:tcPr>
          <w:p w14:paraId="10654E8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w:t>
            </w:r>
          </w:p>
        </w:tc>
        <w:tc>
          <w:tcPr>
            <w:tcW w:w="2802" w:type="dxa"/>
          </w:tcPr>
          <w:p w14:paraId="198199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w:t>
            </w:r>
          </w:p>
        </w:tc>
        <w:tc>
          <w:tcPr>
            <w:tcW w:w="2802" w:type="dxa"/>
          </w:tcPr>
          <w:p w14:paraId="1BDA9BE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8,86 1)</w:t>
            </w:r>
          </w:p>
        </w:tc>
      </w:tr>
      <w:tr w:rsidR="009B487A" w:rsidRPr="00722885" w14:paraId="583116FF" w14:textId="77777777" w:rsidTr="00CC5360">
        <w:tc>
          <w:tcPr>
            <w:tcW w:w="2802" w:type="dxa"/>
          </w:tcPr>
          <w:p w14:paraId="56D2AA4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полета, км: нормальная максимальная</w:t>
            </w:r>
          </w:p>
        </w:tc>
        <w:tc>
          <w:tcPr>
            <w:tcW w:w="2802" w:type="dxa"/>
          </w:tcPr>
          <w:p w14:paraId="6ADAE60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1612</w:t>
            </w:r>
          </w:p>
        </w:tc>
        <w:tc>
          <w:tcPr>
            <w:tcW w:w="2802" w:type="dxa"/>
          </w:tcPr>
          <w:p w14:paraId="6AB716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1800</w:t>
            </w:r>
          </w:p>
        </w:tc>
        <w:tc>
          <w:tcPr>
            <w:tcW w:w="2802" w:type="dxa"/>
          </w:tcPr>
          <w:p w14:paraId="0CDB67F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r>
      <w:tr w:rsidR="009B487A" w:rsidRPr="00722885" w14:paraId="011B435D" w14:textId="77777777" w:rsidTr="00CC5360">
        <w:tc>
          <w:tcPr>
            <w:tcW w:w="2802" w:type="dxa"/>
          </w:tcPr>
          <w:p w14:paraId="6E4C166A"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802" w:type="dxa"/>
          </w:tcPr>
          <w:p w14:paraId="7804E2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2500</w:t>
            </w:r>
          </w:p>
        </w:tc>
        <w:tc>
          <w:tcPr>
            <w:tcW w:w="2802" w:type="dxa"/>
          </w:tcPr>
          <w:p w14:paraId="6E69D51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802" w:type="dxa"/>
          </w:tcPr>
          <w:p w14:paraId="6D2009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8F04939" w14:textId="77777777" w:rsidTr="00CC5360">
        <w:tc>
          <w:tcPr>
            <w:tcW w:w="2802" w:type="dxa"/>
          </w:tcPr>
          <w:p w14:paraId="0DF3F1D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Разбег, м</w:t>
            </w:r>
          </w:p>
        </w:tc>
        <w:tc>
          <w:tcPr>
            <w:tcW w:w="2802" w:type="dxa"/>
          </w:tcPr>
          <w:p w14:paraId="6292BC7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440</w:t>
            </w:r>
          </w:p>
        </w:tc>
        <w:tc>
          <w:tcPr>
            <w:tcW w:w="2802" w:type="dxa"/>
          </w:tcPr>
          <w:p w14:paraId="32563A3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435</w:t>
            </w:r>
          </w:p>
        </w:tc>
        <w:tc>
          <w:tcPr>
            <w:tcW w:w="2802" w:type="dxa"/>
          </w:tcPr>
          <w:p w14:paraId="31049C6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576</w:t>
            </w:r>
          </w:p>
        </w:tc>
      </w:tr>
      <w:tr w:rsidR="009B487A" w:rsidRPr="00722885" w14:paraId="083F69EC" w14:textId="77777777" w:rsidTr="00CC5360">
        <w:tc>
          <w:tcPr>
            <w:tcW w:w="2802" w:type="dxa"/>
          </w:tcPr>
          <w:p w14:paraId="5535DF9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Пробег, м</w:t>
            </w:r>
          </w:p>
        </w:tc>
        <w:tc>
          <w:tcPr>
            <w:tcW w:w="2802" w:type="dxa"/>
          </w:tcPr>
          <w:p w14:paraId="0ECF22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730</w:t>
            </w:r>
          </w:p>
        </w:tc>
        <w:tc>
          <w:tcPr>
            <w:tcW w:w="2802" w:type="dxa"/>
          </w:tcPr>
          <w:p w14:paraId="3B7444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765</w:t>
            </w:r>
          </w:p>
        </w:tc>
        <w:tc>
          <w:tcPr>
            <w:tcW w:w="2802" w:type="dxa"/>
          </w:tcPr>
          <w:p w14:paraId="766E80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640</w:t>
            </w:r>
          </w:p>
        </w:tc>
      </w:tr>
      <w:tr w:rsidR="009B487A" w:rsidRPr="00722885" w14:paraId="1630F18C" w14:textId="77777777" w:rsidTr="00CC5360">
        <w:tc>
          <w:tcPr>
            <w:tcW w:w="2802" w:type="dxa"/>
          </w:tcPr>
          <w:p w14:paraId="03CF393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чел.</w:t>
            </w:r>
          </w:p>
        </w:tc>
        <w:tc>
          <w:tcPr>
            <w:tcW w:w="2802" w:type="dxa"/>
          </w:tcPr>
          <w:p w14:paraId="3FD282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2802" w:type="dxa"/>
          </w:tcPr>
          <w:p w14:paraId="09D686E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2802" w:type="dxa"/>
          </w:tcPr>
          <w:p w14:paraId="060202C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r>
      <w:tr w:rsidR="009B487A" w:rsidRPr="00722885" w14:paraId="1DEC39F4" w14:textId="77777777" w:rsidTr="00CC5360">
        <w:tc>
          <w:tcPr>
            <w:tcW w:w="2802" w:type="dxa"/>
          </w:tcPr>
          <w:p w14:paraId="6EAF414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Бомбовая нагрузка, кг: нормальная максимальная</w:t>
            </w:r>
          </w:p>
        </w:tc>
        <w:tc>
          <w:tcPr>
            <w:tcW w:w="2802" w:type="dxa"/>
          </w:tcPr>
          <w:p w14:paraId="546739B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1000/2000</w:t>
            </w:r>
          </w:p>
        </w:tc>
        <w:tc>
          <w:tcPr>
            <w:tcW w:w="2802" w:type="dxa"/>
          </w:tcPr>
          <w:p w14:paraId="171D4E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1000/2000</w:t>
            </w:r>
          </w:p>
        </w:tc>
        <w:tc>
          <w:tcPr>
            <w:tcW w:w="2802" w:type="dxa"/>
          </w:tcPr>
          <w:p w14:paraId="5A66342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1000/2000</w:t>
            </w:r>
          </w:p>
        </w:tc>
      </w:tr>
      <w:tr w:rsidR="009B487A" w:rsidRPr="00722885" w14:paraId="53FF2426" w14:textId="77777777" w:rsidTr="00CC5360">
        <w:tc>
          <w:tcPr>
            <w:tcW w:w="2802" w:type="dxa"/>
          </w:tcPr>
          <w:p w14:paraId="0A78017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кол-вохкалибр</w:t>
            </w:r>
          </w:p>
        </w:tc>
        <w:tc>
          <w:tcPr>
            <w:tcW w:w="2802" w:type="dxa"/>
          </w:tcPr>
          <w:p w14:paraId="38DBD73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2x20; 4x7,62</w:t>
            </w:r>
          </w:p>
        </w:tc>
        <w:tc>
          <w:tcPr>
            <w:tcW w:w="2802" w:type="dxa"/>
          </w:tcPr>
          <w:p w14:paraId="64DC35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2x20; 5x7,62</w:t>
            </w:r>
          </w:p>
        </w:tc>
        <w:tc>
          <w:tcPr>
            <w:tcW w:w="2802" w:type="dxa"/>
          </w:tcPr>
          <w:p w14:paraId="6EF54FB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2х202); 5x7,62</w:t>
            </w:r>
          </w:p>
        </w:tc>
      </w:tr>
      <w:tr w:rsidR="009B487A" w:rsidRPr="00722885" w14:paraId="3582F39E" w14:textId="77777777" w:rsidTr="00CC5360">
        <w:tc>
          <w:tcPr>
            <w:tcW w:w="2802" w:type="dxa"/>
            <w:tcBorders>
              <w:bottom w:val="single" w:sz="12" w:space="0" w:color="auto"/>
            </w:tcBorders>
          </w:tcPr>
          <w:p w14:paraId="7E1AA08A"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5E8DCD0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0100AD44"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1203C40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bl>
    <w:p w14:paraId="7BC8BB8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 на высоту 4500 м; 2) - в ходе испытаний - 2x20, 1x12,7, 4x7,62, дополнительно ракетное вооружение 10хРС-132 и 4хРС-82 (назад по полету)</w:t>
      </w:r>
    </w:p>
    <w:p w14:paraId="5ECF9C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"Верочка" осталась в распоряжении конструкторского бюро. Ее использовали для опробования различных новинок, предполагавшихся к внедрению в серию (11988).</w:t>
      </w:r>
    </w:p>
    <w:p w14:paraId="5DA2E043" w14:textId="77777777" w:rsidR="00AE7191" w:rsidRPr="00722885" w:rsidRDefault="00AE7191" w:rsidP="00722885">
      <w:pPr>
        <w:pStyle w:val="Iauiue"/>
        <w:jc w:val="both"/>
        <w:rPr>
          <w:color w:val="000000" w:themeColor="text1"/>
          <w:sz w:val="16"/>
          <w:szCs w:val="16"/>
        </w:rPr>
      </w:pPr>
    </w:p>
    <w:p w14:paraId="4C824A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1 по 27 августа 1942 проходили совместные испытания Ла завода 31 (708).</w:t>
      </w:r>
    </w:p>
    <w:p w14:paraId="3D83FE9D" w14:textId="77777777" w:rsidR="00AE7191" w:rsidRPr="00722885" w:rsidRDefault="00AE7191" w:rsidP="00722885">
      <w:pPr>
        <w:pStyle w:val="Iauiue"/>
        <w:jc w:val="both"/>
        <w:rPr>
          <w:color w:val="000000" w:themeColor="text1"/>
          <w:sz w:val="16"/>
          <w:szCs w:val="16"/>
        </w:rPr>
      </w:pPr>
    </w:p>
    <w:p w14:paraId="0BCBAF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1 августа 1942 на аэродроме НИИ ВВС К Кольцово под Свердловском находился Би второй экз. с запасом топлива 450 кг и вооружением, но испытания задержались из-за того, что двигатель не был проверен испытаниями (1632,265).</w:t>
      </w:r>
    </w:p>
    <w:p w14:paraId="200702F4" w14:textId="77777777" w:rsidR="00AE7191" w:rsidRPr="00722885" w:rsidRDefault="00AE7191" w:rsidP="00722885">
      <w:pPr>
        <w:pStyle w:val="Iauiue"/>
        <w:jc w:val="both"/>
        <w:rPr>
          <w:color w:val="000000" w:themeColor="text1"/>
          <w:sz w:val="16"/>
          <w:szCs w:val="16"/>
        </w:rPr>
      </w:pPr>
    </w:p>
    <w:p w14:paraId="480908D5" w14:textId="77777777" w:rsidR="00907F56"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 августа 1942 вышло Постановление ГКО № 2132 [О подготовке авиаэкипажей для работы на авиатрассе Аляска - Красноярск - Москва.] (7047, 168-169).</w:t>
      </w:r>
    </w:p>
    <w:p w14:paraId="1DA4A414" w14:textId="77777777" w:rsidR="00907F56" w:rsidRPr="00722885" w:rsidRDefault="00907F56" w:rsidP="00722885">
      <w:pPr>
        <w:pStyle w:val="Iauiue"/>
        <w:tabs>
          <w:tab w:val="left" w:pos="11199"/>
        </w:tabs>
        <w:jc w:val="both"/>
        <w:rPr>
          <w:color w:val="000000" w:themeColor="text1"/>
          <w:sz w:val="16"/>
          <w:szCs w:val="16"/>
        </w:rPr>
      </w:pPr>
    </w:p>
    <w:p w14:paraId="50375ECB" w14:textId="77777777" w:rsidR="00907F56"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 августа 1942 вышло:</w:t>
      </w:r>
    </w:p>
    <w:p w14:paraId="773C6F2E" w14:textId="77777777" w:rsidR="00AE7191" w:rsidRPr="00722885" w:rsidRDefault="00AE7191" w:rsidP="00722885">
      <w:pPr>
        <w:pStyle w:val="Iauiue"/>
        <w:tabs>
          <w:tab w:val="left" w:pos="11199"/>
        </w:tabs>
        <w:jc w:val="both"/>
        <w:rPr>
          <w:bCs/>
          <w:color w:val="000000" w:themeColor="text1"/>
          <w:sz w:val="16"/>
          <w:szCs w:val="16"/>
        </w:rPr>
      </w:pPr>
      <w:r w:rsidRPr="00722885">
        <w:rPr>
          <w:color w:val="000000" w:themeColor="text1"/>
          <w:sz w:val="16"/>
          <w:szCs w:val="16"/>
        </w:rPr>
        <w:t>ПОСТАНОВЛЕНИЕ ГОСУДАРСТВЕННОГО КОМИТЕТА ОБОРОНЫ СОЮЗА ССР № 2132 сс</w:t>
      </w:r>
    </w:p>
    <w:p w14:paraId="648224F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обеспечения перегонки самолетов из Аляски до Красноярска(Красноярская воздушная трасса) и от Красноярска до района Москвы Государственный Комитет Обороны ПОСТАНОВЛЯЕТ :</w:t>
      </w:r>
    </w:p>
    <w:p w14:paraId="6FD09E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Командующего ВВС Красной Армии тов. НОВИКОВА сформировать и подготовить для перегонки принимаемых в Фербенксе самолетов перегоночные группы в количестве:</w:t>
      </w:r>
    </w:p>
    <w:p w14:paraId="315F4F0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экипажей для самолета В-25 ;</w:t>
      </w:r>
    </w:p>
    <w:p w14:paraId="3066B3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 экипажей для самолета Бостон-3 ;</w:t>
      </w:r>
    </w:p>
    <w:p w14:paraId="6F0CA28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 экипажей для самолетов Аэрокобра и Р-40Е.</w:t>
      </w:r>
    </w:p>
    <w:p w14:paraId="52C3F3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Переучивание летного и технического состава произвести в сроки: первую очередь 50 % экипажей к 15.VIII/42 г. и 50 % экипажей к 15.IX.42 г.</w:t>
      </w:r>
    </w:p>
    <w:p w14:paraId="426DDD5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Лучшие экипажи использовать на трассе Аляска-Красноярск.</w:t>
      </w:r>
    </w:p>
    <w:p w14:paraId="0BD022F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Разрешить тов. НОВИКОВУ взять на укомплектование перегоночных групп 30 экипажей для истребительных самолетов и 30 экипажей для бомбардировочных самолетов из состава ВВС Дальне- Восточного фронта.</w:t>
      </w:r>
    </w:p>
    <w:p w14:paraId="4ADA8D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Выделяемые экипажи должны быть подготовлены для полетов в сложных метеоусловиях.</w:t>
      </w:r>
    </w:p>
    <w:p w14:paraId="3D6B19C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3.Обязать Командующего Авиацией Дальнего Действия тов. ГОЛОВАНОВА к 3 августа 1942 г. передать ВВС 10 экипажей и т.ПАПАНИНА (Главсевморпуть) - три экипажа, подготовленных для полетов в сложных метеорологических условиях, для перегонки бомбардировочных самолетов.</w:t>
      </w:r>
    </w:p>
    <w:p w14:paraId="50C82B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Разрешить тов. НОВИКОВУ снять с Южной трассы для использования формируемых перегоночных группах 7 экипажей Б-25 и 10 экипажей Бостон-3.</w:t>
      </w:r>
    </w:p>
    <w:p w14:paraId="2A36C96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5.Для лидирования перегоняемых самолетов создать группы лидеров по участкам ФЕРБЕНКС-УЭЛЬКАЛЪ, УЭЛЪКАЛЪ-СЕЙМЧАН, СЕЙМЧАН-ЯКУТСК, ЯКУТСК-КИРЕНСК, КИРЕНСК-КРАСНОЯРСК в составе двух экипажей на каждом участке. Разрешить использовать для лидирования 12 самолетов Бостон-3.</w:t>
      </w:r>
    </w:p>
    <w:p w14:paraId="12D9D90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Обязать тов. МИКОЯН для переброски экипажей, возвращающихся для приемки самолетов, переброски запчастей и помощи вынужденносевшим самолетам, закупить 43 самолета тина «Дуглас»</w:t>
      </w:r>
    </w:p>
    <w:p w14:paraId="4A679C2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7. Обязать тов. НОВИКОВА к 15 августа 1942 г. создать Управление Красноярской воздушной трассы в ЯКУТСКЕ, подчинив Начальнику трассы все аэропорты ГВФ, находящиеся на трассе.</w:t>
      </w:r>
    </w:p>
    <w:p w14:paraId="03DDC63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Назначить Начальником Красноярской воздушной трассы Полковника МАЗУРУК, И.П., Заместителем Начальника Восточной трассы Полковника ФОКИНА, В.В.</w:t>
      </w:r>
    </w:p>
    <w:p w14:paraId="6E098A6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Обязать Начальника ГУГВФ тов. АСТАХОВА к 1 сентября 1942 г.:</w:t>
      </w:r>
    </w:p>
    <w:p w14:paraId="7F0FCFF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обеспечить аэропорты Красноярской воздушной трассы всем необходимым оборудованием для приема и выпуска перегоняемых самолетов и обеспечения личного состава перегоночных групп;</w:t>
      </w:r>
    </w:p>
    <w:p w14:paraId="1CA9E6E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закончить световое оборудование трассы ;</w:t>
      </w:r>
    </w:p>
    <w:p w14:paraId="3D0C4AB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обеспечить доставку личного состава и недостающего оборудования и материалов.</w:t>
      </w:r>
    </w:p>
    <w:p w14:paraId="1B9A3E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Обязать тов. НОВИКОВА для приема самолетов в ФЕРБЕНКСЕ командировать группу технического состава в количестве 22 человек, в том числе :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08"/>
        <w:gridCol w:w="2112"/>
      </w:tblGrid>
      <w:tr w:rsidR="009B487A" w:rsidRPr="00722885" w14:paraId="68BC0B8E" w14:textId="77777777" w:rsidTr="00CC5360">
        <w:trPr>
          <w:jc w:val="center"/>
        </w:trPr>
        <w:tc>
          <w:tcPr>
            <w:tcW w:w="4608" w:type="dxa"/>
            <w:tcBorders>
              <w:top w:val="single" w:sz="12" w:space="0" w:color="auto"/>
            </w:tcBorders>
          </w:tcPr>
          <w:p w14:paraId="074FD79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приемки</w:t>
            </w:r>
          </w:p>
        </w:tc>
        <w:tc>
          <w:tcPr>
            <w:tcW w:w="2112" w:type="dxa"/>
            <w:tcBorders>
              <w:top w:val="single" w:sz="12" w:space="0" w:color="auto"/>
            </w:tcBorders>
          </w:tcPr>
          <w:p w14:paraId="1D0F22F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w:t>
            </w:r>
          </w:p>
        </w:tc>
      </w:tr>
      <w:tr w:rsidR="009B487A" w:rsidRPr="00722885" w14:paraId="4508F593" w14:textId="77777777" w:rsidTr="00CC5360">
        <w:trPr>
          <w:jc w:val="center"/>
        </w:trPr>
        <w:tc>
          <w:tcPr>
            <w:tcW w:w="4608" w:type="dxa"/>
          </w:tcPr>
          <w:p w14:paraId="1114338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Старших военпредов</w:t>
            </w:r>
          </w:p>
        </w:tc>
        <w:tc>
          <w:tcPr>
            <w:tcW w:w="2112" w:type="dxa"/>
          </w:tcPr>
          <w:p w14:paraId="4F09C6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w:t>
            </w:r>
          </w:p>
        </w:tc>
      </w:tr>
      <w:tr w:rsidR="009B487A" w:rsidRPr="00722885" w14:paraId="49C0AB0F" w14:textId="77777777" w:rsidTr="00CC5360">
        <w:trPr>
          <w:jc w:val="center"/>
        </w:trPr>
        <w:tc>
          <w:tcPr>
            <w:tcW w:w="4608" w:type="dxa"/>
          </w:tcPr>
          <w:p w14:paraId="03C1E97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Военпредов по самолетам</w:t>
            </w:r>
          </w:p>
        </w:tc>
        <w:tc>
          <w:tcPr>
            <w:tcW w:w="2112" w:type="dxa"/>
          </w:tcPr>
          <w:p w14:paraId="412529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w:t>
            </w:r>
          </w:p>
        </w:tc>
      </w:tr>
      <w:tr w:rsidR="009B487A" w:rsidRPr="00722885" w14:paraId="647D077F" w14:textId="77777777" w:rsidTr="00CC5360">
        <w:trPr>
          <w:jc w:val="center"/>
        </w:trPr>
        <w:tc>
          <w:tcPr>
            <w:tcW w:w="4608" w:type="dxa"/>
          </w:tcPr>
          <w:p w14:paraId="7F6F2A4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Военпредов по моторам</w:t>
            </w:r>
          </w:p>
        </w:tc>
        <w:tc>
          <w:tcPr>
            <w:tcW w:w="2112" w:type="dxa"/>
          </w:tcPr>
          <w:p w14:paraId="66B5B8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w:t>
            </w:r>
          </w:p>
        </w:tc>
      </w:tr>
      <w:tr w:rsidR="009B487A" w:rsidRPr="00722885" w14:paraId="318EDA36" w14:textId="77777777" w:rsidTr="00CC5360">
        <w:trPr>
          <w:jc w:val="center"/>
        </w:trPr>
        <w:tc>
          <w:tcPr>
            <w:tcW w:w="4608" w:type="dxa"/>
          </w:tcPr>
          <w:p w14:paraId="2B956F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Военпредов по электро</w:t>
            </w:r>
          </w:p>
        </w:tc>
        <w:tc>
          <w:tcPr>
            <w:tcW w:w="2112" w:type="dxa"/>
          </w:tcPr>
          <w:p w14:paraId="1ED0210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w:t>
            </w:r>
          </w:p>
        </w:tc>
      </w:tr>
      <w:tr w:rsidR="009B487A" w:rsidRPr="00722885" w14:paraId="216E7EED" w14:textId="77777777" w:rsidTr="00CC5360">
        <w:trPr>
          <w:jc w:val="center"/>
        </w:trPr>
        <w:tc>
          <w:tcPr>
            <w:tcW w:w="4608" w:type="dxa"/>
          </w:tcPr>
          <w:p w14:paraId="505621F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Военпредов по радио</w:t>
            </w:r>
          </w:p>
        </w:tc>
        <w:tc>
          <w:tcPr>
            <w:tcW w:w="2112" w:type="dxa"/>
          </w:tcPr>
          <w:p w14:paraId="136193C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w:t>
            </w:r>
          </w:p>
        </w:tc>
      </w:tr>
      <w:tr w:rsidR="009B487A" w:rsidRPr="00722885" w14:paraId="25AD7A32" w14:textId="77777777" w:rsidTr="00CC5360">
        <w:trPr>
          <w:jc w:val="center"/>
        </w:trPr>
        <w:tc>
          <w:tcPr>
            <w:tcW w:w="4608" w:type="dxa"/>
          </w:tcPr>
          <w:p w14:paraId="270810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Военпредов по приборам</w:t>
            </w:r>
          </w:p>
        </w:tc>
        <w:tc>
          <w:tcPr>
            <w:tcW w:w="2112" w:type="dxa"/>
          </w:tcPr>
          <w:p w14:paraId="7B7A80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w:t>
            </w:r>
          </w:p>
        </w:tc>
      </w:tr>
      <w:tr w:rsidR="009B487A" w:rsidRPr="00722885" w14:paraId="1619A8D5" w14:textId="77777777" w:rsidTr="00CC5360">
        <w:trPr>
          <w:jc w:val="center"/>
        </w:trPr>
        <w:tc>
          <w:tcPr>
            <w:tcW w:w="4608" w:type="dxa"/>
          </w:tcPr>
          <w:p w14:paraId="0B358B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Военпредов по вооружению</w:t>
            </w:r>
          </w:p>
        </w:tc>
        <w:tc>
          <w:tcPr>
            <w:tcW w:w="2112" w:type="dxa"/>
          </w:tcPr>
          <w:p w14:paraId="203E6E4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w:t>
            </w:r>
          </w:p>
        </w:tc>
      </w:tr>
      <w:tr w:rsidR="009B487A" w:rsidRPr="00722885" w14:paraId="332F7DCE" w14:textId="77777777" w:rsidTr="00CC5360">
        <w:trPr>
          <w:jc w:val="center"/>
        </w:trPr>
        <w:tc>
          <w:tcPr>
            <w:tcW w:w="4608" w:type="dxa"/>
          </w:tcPr>
          <w:p w14:paraId="716EC3B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Переводчиков</w:t>
            </w:r>
          </w:p>
        </w:tc>
        <w:tc>
          <w:tcPr>
            <w:tcW w:w="2112" w:type="dxa"/>
          </w:tcPr>
          <w:p w14:paraId="41569F7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- 3</w:t>
            </w:r>
          </w:p>
        </w:tc>
      </w:tr>
      <w:tr w:rsidR="009B487A" w:rsidRPr="00722885" w14:paraId="0C4630F0" w14:textId="77777777" w:rsidTr="00CC5360">
        <w:trPr>
          <w:jc w:val="center"/>
        </w:trPr>
        <w:tc>
          <w:tcPr>
            <w:tcW w:w="4608" w:type="dxa"/>
          </w:tcPr>
          <w:p w14:paraId="3FFA13D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Шифровальщиков</w:t>
            </w:r>
          </w:p>
        </w:tc>
        <w:tc>
          <w:tcPr>
            <w:tcW w:w="2112" w:type="dxa"/>
          </w:tcPr>
          <w:p w14:paraId="77D6F37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w:t>
            </w:r>
          </w:p>
        </w:tc>
      </w:tr>
      <w:tr w:rsidR="009B487A" w:rsidRPr="00722885" w14:paraId="4757D49F" w14:textId="77777777" w:rsidTr="00CC5360">
        <w:trPr>
          <w:jc w:val="center"/>
        </w:trPr>
        <w:tc>
          <w:tcPr>
            <w:tcW w:w="4608" w:type="dxa"/>
          </w:tcPr>
          <w:p w14:paraId="7BD0167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Офицера связи</w:t>
            </w:r>
          </w:p>
        </w:tc>
        <w:tc>
          <w:tcPr>
            <w:tcW w:w="2112" w:type="dxa"/>
          </w:tcPr>
          <w:p w14:paraId="78FAC4A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w:t>
            </w:r>
          </w:p>
        </w:tc>
      </w:tr>
      <w:tr w:rsidR="009B487A" w:rsidRPr="00722885" w14:paraId="38A5E3EC" w14:textId="77777777" w:rsidTr="00CC5360">
        <w:trPr>
          <w:jc w:val="center"/>
        </w:trPr>
        <w:tc>
          <w:tcPr>
            <w:tcW w:w="4608" w:type="dxa"/>
          </w:tcPr>
          <w:p w14:paraId="0F84C56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Младших специалистов</w:t>
            </w:r>
          </w:p>
        </w:tc>
        <w:tc>
          <w:tcPr>
            <w:tcW w:w="2112" w:type="dxa"/>
          </w:tcPr>
          <w:p w14:paraId="7395107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w:t>
            </w:r>
          </w:p>
        </w:tc>
      </w:tr>
      <w:tr w:rsidR="009B487A" w:rsidRPr="00722885" w14:paraId="753F3CB5" w14:textId="77777777" w:rsidTr="00CC5360">
        <w:trPr>
          <w:jc w:val="center"/>
        </w:trPr>
        <w:tc>
          <w:tcPr>
            <w:tcW w:w="4608" w:type="dxa"/>
            <w:gridSpan w:val="2"/>
          </w:tcPr>
          <w:p w14:paraId="4F25B93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86F4FF9" w14:textId="77777777" w:rsidTr="00CC5360">
        <w:trPr>
          <w:jc w:val="center"/>
        </w:trPr>
        <w:tc>
          <w:tcPr>
            <w:tcW w:w="4608" w:type="dxa"/>
            <w:tcBorders>
              <w:bottom w:val="single" w:sz="12" w:space="0" w:color="auto"/>
            </w:tcBorders>
          </w:tcPr>
          <w:p w14:paraId="1608E1C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2112" w:type="dxa"/>
            <w:tcBorders>
              <w:bottom w:val="single" w:sz="12" w:space="0" w:color="auto"/>
            </w:tcBorders>
          </w:tcPr>
          <w:p w14:paraId="6DC9F95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человека</w:t>
            </w:r>
          </w:p>
        </w:tc>
      </w:tr>
    </w:tbl>
    <w:p w14:paraId="615C0DD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Обязать Начальника ГАУ тов. ЯКОВЛЕВА обеспечить летно-технический состав перегоночных групп и аэропортов личным оружием и автоматами.</w:t>
      </w:r>
    </w:p>
    <w:p w14:paraId="238C2A8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Обязать ТОВ.ВИНОГРАДОВА (Управление Тыла НКО ) довольствовать личный состав перегоночных групп и аэропортов повышенным питанием.</w:t>
      </w:r>
    </w:p>
    <w:p w14:paraId="5349529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Начальника Красноярской воздушной трассы и приемочную группу в ФЕРБЕНКСЕ подчинить Начальнику ГУГВФ ( т. АСТАХОВУ).</w:t>
      </w:r>
    </w:p>
    <w:p w14:paraId="3EF15B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 Обязать тов. ГРОМАДИНА передать ВВС 9 самолетов «Аэрокобра» (без экипажей) для переучивания перегоночных экипажей с заменой этих самолетов из первых поступлений по импорту. </w:t>
      </w:r>
    </w:p>
    <w:p w14:paraId="4C4B05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 (11813).</w:t>
      </w:r>
    </w:p>
    <w:p w14:paraId="750DD71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F020B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1 августа 1942 года Паспорт завода № 27</w:t>
      </w:r>
    </w:p>
    <w:p w14:paraId="7C863F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введен в эксплуатацию частично по авиационной продукции в 1923 году.</w:t>
      </w:r>
    </w:p>
    <w:p w14:paraId="45302A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До 1923 года на заводе изготовлялась мебель.</w:t>
      </w:r>
    </w:p>
    <w:p w14:paraId="63E9D0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Годом полного ввода завода в эксплуатацию считается 1940 год.</w:t>
      </w:r>
    </w:p>
    <w:p w14:paraId="1BF3AB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1941 года завод № 28, ранее расположенный на этой территории был эвакуирован.</w:t>
      </w:r>
    </w:p>
    <w:p w14:paraId="6E0B64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основании постановления ГКО за № 1052 от 23 декабря 1941 года и приказа НКАП за № 1186 от 25 декабря 1941 года на территории завода № 28 перебазирован завод № 489 под № 27 (9521).</w:t>
      </w:r>
    </w:p>
    <w:p w14:paraId="46197561" w14:textId="77777777" w:rsidR="00AE7191" w:rsidRPr="00722885" w:rsidRDefault="00AE7191" w:rsidP="00722885">
      <w:pPr>
        <w:pStyle w:val="Iauiue"/>
        <w:jc w:val="both"/>
        <w:rPr>
          <w:color w:val="000000" w:themeColor="text1"/>
          <w:sz w:val="16"/>
          <w:szCs w:val="16"/>
        </w:rPr>
      </w:pPr>
    </w:p>
    <w:p w14:paraId="59B8EFC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6D310C4" w14:textId="77777777" w:rsidR="00AE7191" w:rsidRPr="00722885" w:rsidRDefault="00AE7191" w:rsidP="00722885">
      <w:pPr>
        <w:pStyle w:val="Iauiue"/>
        <w:jc w:val="both"/>
        <w:rPr>
          <w:iCs/>
          <w:color w:val="000000" w:themeColor="text1"/>
          <w:sz w:val="16"/>
          <w:szCs w:val="16"/>
        </w:rPr>
      </w:pPr>
    </w:p>
    <w:p w14:paraId="0A36EB8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августа 1942 года директор СТЗ Задорожный и главный инженер завода Демьянович обратились к наркому танковой промышленности Зальцману и начальнику БТУ ГАБТУ КА Коробкову со следующей просьбой:</w:t>
      </w:r>
    </w:p>
    <w:p w14:paraId="77F62F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«Сложившаяся обстановка в связи с приближением фронта к г. Сталинграду, затрудняет в настоящее время иметь нормальные взаимоотношения с ведущим заводом № 183, с ГАБТУ КА и Наркоматанкопромом в вопросах согласования различных изменений, постоянного или временного характера, в чертежах танка Т-34.</w:t>
      </w:r>
    </w:p>
    <w:p w14:paraId="3A8DCC9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Снабжение завода всеми необходимыми материалами, приборами и готовыми изделиями также затруднено, а поэтому в целях обеспечения нормального выпуска танков приходится часто прибегать к изысканию заменителей, которые в некоторых случаях требуют изменения конструкции машины.</w:t>
      </w:r>
    </w:p>
    <w:p w14:paraId="6CEE90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оперативного решения вопросов о допустимости того или иного заменителя, а также допустимости изменения конструкции танка без нарушения взаимозаменяемости деталей, считаем необходимым присутствие на СТЗ ответственных представителей ГАБТУ КА и Наркомтанкопрома, полномочных решать вопросы временных изменений конструкции деталей или введения заменителей на период затруднений, испытываемых в настоящее время заводом.</w:t>
      </w:r>
    </w:p>
    <w:p w14:paraId="173D862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Указанное положение может быть обеспечено поручением полномочий старшему военпреду ГАБТУ КА на СТЗ и командируемому представителю от наркомата.</w:t>
      </w:r>
    </w:p>
    <w:p w14:paraId="2E50D9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Согласование временных изменений непосредственно на заводе позволит оперативно решать эти вопросы, а ответственность за соблюдение взаимозаменяемости деталей, качественной замены материалов, приборов и вводимых временных изменений Сталинградский тракторный завод принимает на себя».</w:t>
      </w:r>
    </w:p>
    <w:p w14:paraId="6EA52D6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Просьбу удовлетворили - от ГАБТУ КА полномочия получил старший военпред Левин, от наркомтанкопрома на СТЗ прибыл заместитель наркома А. Горегляд (12217).</w:t>
      </w:r>
    </w:p>
    <w:p w14:paraId="51CBD7C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420F3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состоянию на 1 августа 1942 в список предприятий Наркомата тяжелого машиностроения входили (8825)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9B487A" w:rsidRPr="00722885" w14:paraId="20BD16D3" w14:textId="77777777" w:rsidTr="00CC5360">
        <w:tc>
          <w:tcPr>
            <w:tcW w:w="3369" w:type="dxa"/>
          </w:tcPr>
          <w:p w14:paraId="4F25E2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Наименование предприятия</w:t>
            </w:r>
          </w:p>
        </w:tc>
        <w:tc>
          <w:tcPr>
            <w:tcW w:w="3402" w:type="dxa"/>
          </w:tcPr>
          <w:p w14:paraId="7B6F11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Местонахождение</w:t>
            </w:r>
          </w:p>
        </w:tc>
        <w:tc>
          <w:tcPr>
            <w:tcW w:w="3402" w:type="dxa"/>
          </w:tcPr>
          <w:p w14:paraId="6F0152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Директора</w:t>
            </w:r>
          </w:p>
        </w:tc>
      </w:tr>
    </w:tbl>
    <w:p w14:paraId="112171B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Непосредственно подчиненные Наркомату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9B487A" w:rsidRPr="00722885" w14:paraId="49DCE5F3" w14:textId="77777777" w:rsidTr="00CC5360">
        <w:tc>
          <w:tcPr>
            <w:tcW w:w="3369" w:type="dxa"/>
          </w:tcPr>
          <w:p w14:paraId="4B1399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Машзавод им. Дзержинского</w:t>
            </w:r>
          </w:p>
        </w:tc>
        <w:tc>
          <w:tcPr>
            <w:tcW w:w="3402" w:type="dxa"/>
          </w:tcPr>
          <w:p w14:paraId="49FD22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Балаково, Саратовской области, ул. Коммунистическая, 124</w:t>
            </w:r>
          </w:p>
        </w:tc>
        <w:tc>
          <w:tcPr>
            <w:tcW w:w="3402" w:type="dxa"/>
          </w:tcPr>
          <w:p w14:paraId="0F2CEF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Иосифов</w:t>
            </w:r>
          </w:p>
        </w:tc>
      </w:tr>
      <w:tr w:rsidR="009B487A" w:rsidRPr="00722885" w14:paraId="4CA5269B" w14:textId="77777777" w:rsidTr="00CC5360">
        <w:tc>
          <w:tcPr>
            <w:tcW w:w="3369" w:type="dxa"/>
          </w:tcPr>
          <w:p w14:paraId="3A6E75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Строительство завода “Красный Профинтерн”</w:t>
            </w:r>
          </w:p>
        </w:tc>
        <w:tc>
          <w:tcPr>
            <w:tcW w:w="3402" w:type="dxa"/>
          </w:tcPr>
          <w:p w14:paraId="3AA3F0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Красноярск, ст. Злобино</w:t>
            </w:r>
          </w:p>
        </w:tc>
        <w:tc>
          <w:tcPr>
            <w:tcW w:w="3402" w:type="dxa"/>
          </w:tcPr>
          <w:p w14:paraId="3E548C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Чумичев</w:t>
            </w:r>
          </w:p>
        </w:tc>
      </w:tr>
      <w:tr w:rsidR="009B487A" w:rsidRPr="00722885" w14:paraId="2594A533" w14:textId="77777777" w:rsidTr="00CC5360">
        <w:tc>
          <w:tcPr>
            <w:tcW w:w="3369" w:type="dxa"/>
          </w:tcPr>
          <w:p w14:paraId="76C6E1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Машиностроительный завод “Коммунист”</w:t>
            </w:r>
          </w:p>
        </w:tc>
        <w:tc>
          <w:tcPr>
            <w:tcW w:w="3402" w:type="dxa"/>
          </w:tcPr>
          <w:p w14:paraId="46D03E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Маркс Саратовской области, Фабричная, 18</w:t>
            </w:r>
          </w:p>
        </w:tc>
        <w:tc>
          <w:tcPr>
            <w:tcW w:w="3402" w:type="dxa"/>
          </w:tcPr>
          <w:p w14:paraId="3DEC19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Лисин</w:t>
            </w:r>
          </w:p>
        </w:tc>
      </w:tr>
      <w:tr w:rsidR="009B487A" w:rsidRPr="00722885" w14:paraId="722256D0" w14:textId="77777777" w:rsidTr="00CC5360">
        <w:tc>
          <w:tcPr>
            <w:tcW w:w="3369" w:type="dxa"/>
          </w:tcPr>
          <w:p w14:paraId="52926E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Нязе-Петровский механический завод им. Калинина</w:t>
            </w:r>
          </w:p>
        </w:tc>
        <w:tc>
          <w:tcPr>
            <w:tcW w:w="3402" w:type="dxa"/>
          </w:tcPr>
          <w:p w14:paraId="56B03B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Нязе-Петровск Челябинской области</w:t>
            </w:r>
          </w:p>
        </w:tc>
        <w:tc>
          <w:tcPr>
            <w:tcW w:w="3402" w:type="dxa"/>
          </w:tcPr>
          <w:p w14:paraId="41F514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Бутылев</w:t>
            </w:r>
          </w:p>
        </w:tc>
      </w:tr>
      <w:tr w:rsidR="009B487A" w:rsidRPr="00722885" w14:paraId="231A54A0" w14:textId="77777777" w:rsidTr="00CC5360">
        <w:tc>
          <w:tcPr>
            <w:tcW w:w="3369" w:type="dxa"/>
          </w:tcPr>
          <w:p w14:paraId="2A6951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Ирбитский металло-прокатный завод</w:t>
            </w:r>
          </w:p>
        </w:tc>
        <w:tc>
          <w:tcPr>
            <w:tcW w:w="3402" w:type="dxa"/>
          </w:tcPr>
          <w:p w14:paraId="2567FF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Талый ключ</w:t>
            </w:r>
          </w:p>
        </w:tc>
        <w:tc>
          <w:tcPr>
            <w:tcW w:w="3402" w:type="dxa"/>
          </w:tcPr>
          <w:p w14:paraId="21CF27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Торлин</w:t>
            </w:r>
          </w:p>
        </w:tc>
      </w:tr>
      <w:tr w:rsidR="009B487A" w:rsidRPr="00722885" w14:paraId="1D773B8E" w14:textId="77777777" w:rsidTr="00CC5360">
        <w:tc>
          <w:tcPr>
            <w:tcW w:w="3369" w:type="dxa"/>
          </w:tcPr>
          <w:p w14:paraId="442D40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Иркутский механический завод</w:t>
            </w:r>
          </w:p>
        </w:tc>
        <w:tc>
          <w:tcPr>
            <w:tcW w:w="3402" w:type="dxa"/>
          </w:tcPr>
          <w:p w14:paraId="170AF9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Иркутск, ул. Октябрьской революции, 1</w:t>
            </w:r>
          </w:p>
        </w:tc>
        <w:tc>
          <w:tcPr>
            <w:tcW w:w="3402" w:type="dxa"/>
          </w:tcPr>
          <w:p w14:paraId="1B04AD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Моисеев</w:t>
            </w:r>
          </w:p>
        </w:tc>
      </w:tr>
      <w:tr w:rsidR="009B487A" w:rsidRPr="00722885" w14:paraId="1E03EDE5" w14:textId="77777777" w:rsidTr="00CC5360">
        <w:tc>
          <w:tcPr>
            <w:tcW w:w="3369" w:type="dxa"/>
          </w:tcPr>
          <w:p w14:paraId="02347F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Сызранский машиностроительный завод</w:t>
            </w:r>
          </w:p>
        </w:tc>
        <w:tc>
          <w:tcPr>
            <w:tcW w:w="3402" w:type="dxa"/>
          </w:tcPr>
          <w:p w14:paraId="32FD75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Сызрань Куйбышевской области, ул. Советская, 20</w:t>
            </w:r>
          </w:p>
        </w:tc>
        <w:tc>
          <w:tcPr>
            <w:tcW w:w="3402" w:type="dxa"/>
          </w:tcPr>
          <w:p w14:paraId="4083DE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Аброскин</w:t>
            </w:r>
          </w:p>
        </w:tc>
      </w:tr>
      <w:tr w:rsidR="009B487A" w:rsidRPr="00722885" w14:paraId="240EE665" w14:textId="77777777" w:rsidTr="00CC5360">
        <w:tc>
          <w:tcPr>
            <w:tcW w:w="3369" w:type="dxa"/>
          </w:tcPr>
          <w:p w14:paraId="17CA34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“Русский дизель”</w:t>
            </w:r>
          </w:p>
        </w:tc>
        <w:tc>
          <w:tcPr>
            <w:tcW w:w="3402" w:type="dxa"/>
          </w:tcPr>
          <w:p w14:paraId="435652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Ленингград, РСП 272, набережная им. Фокина, 13/15</w:t>
            </w:r>
          </w:p>
        </w:tc>
        <w:tc>
          <w:tcPr>
            <w:tcW w:w="3402" w:type="dxa"/>
          </w:tcPr>
          <w:p w14:paraId="61B97D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Пассинский</w:t>
            </w:r>
          </w:p>
        </w:tc>
      </w:tr>
      <w:tr w:rsidR="009B487A" w:rsidRPr="00722885" w14:paraId="34086DC0" w14:textId="77777777" w:rsidTr="00CC5360">
        <w:tc>
          <w:tcPr>
            <w:tcW w:w="3369" w:type="dxa"/>
          </w:tcPr>
          <w:p w14:paraId="6AA971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Ново-Краматорский машиностроительный завод им. Сталина</w:t>
            </w:r>
          </w:p>
        </w:tc>
        <w:tc>
          <w:tcPr>
            <w:tcW w:w="3402" w:type="dxa"/>
          </w:tcPr>
          <w:p w14:paraId="01857F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Электросталь Московской области</w:t>
            </w:r>
          </w:p>
        </w:tc>
        <w:tc>
          <w:tcPr>
            <w:tcW w:w="3402" w:type="dxa"/>
          </w:tcPr>
          <w:p w14:paraId="79790D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Яковлев</w:t>
            </w:r>
          </w:p>
        </w:tc>
      </w:tr>
      <w:tr w:rsidR="009B487A" w:rsidRPr="00722885" w14:paraId="476B3303" w14:textId="77777777" w:rsidTr="00CC5360">
        <w:tc>
          <w:tcPr>
            <w:tcW w:w="3369" w:type="dxa"/>
          </w:tcPr>
          <w:p w14:paraId="42673A3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Коломенский машиностроительный завод им. В.В. Куйбышева</w:t>
            </w:r>
          </w:p>
        </w:tc>
        <w:tc>
          <w:tcPr>
            <w:tcW w:w="3402" w:type="dxa"/>
          </w:tcPr>
          <w:p w14:paraId="0D3207B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Голутвино</w:t>
            </w:r>
          </w:p>
        </w:tc>
        <w:tc>
          <w:tcPr>
            <w:tcW w:w="3402" w:type="dxa"/>
          </w:tcPr>
          <w:p w14:paraId="535D90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Гоциридзе</w:t>
            </w:r>
          </w:p>
        </w:tc>
      </w:tr>
      <w:tr w:rsidR="009B487A" w:rsidRPr="00722885" w14:paraId="14B7471B" w14:textId="77777777" w:rsidTr="00CC5360">
        <w:tc>
          <w:tcPr>
            <w:tcW w:w="3369" w:type="dxa"/>
          </w:tcPr>
          <w:p w14:paraId="7690C51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ЦНИИТМАШ</w:t>
            </w:r>
          </w:p>
        </w:tc>
        <w:tc>
          <w:tcPr>
            <w:tcW w:w="3402" w:type="dxa"/>
          </w:tcPr>
          <w:p w14:paraId="2AE5FC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Москва, Шарикоподшипниковская, 2</w:t>
            </w:r>
          </w:p>
        </w:tc>
        <w:tc>
          <w:tcPr>
            <w:tcW w:w="3402" w:type="dxa"/>
          </w:tcPr>
          <w:p w14:paraId="541DC264" w14:textId="77777777" w:rsidR="00AE7191" w:rsidRPr="00722885" w:rsidRDefault="00AE7191" w:rsidP="00722885">
            <w:pPr>
              <w:pStyle w:val="Iauiue"/>
              <w:jc w:val="both"/>
              <w:rPr>
                <w:color w:val="000000" w:themeColor="text1"/>
                <w:sz w:val="16"/>
                <w:szCs w:val="16"/>
              </w:rPr>
            </w:pPr>
          </w:p>
        </w:tc>
      </w:tr>
    </w:tbl>
    <w:p w14:paraId="562F82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Заводы Главтурбопрома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9B487A" w:rsidRPr="00722885" w14:paraId="59D80114" w14:textId="77777777" w:rsidTr="00CC5360">
        <w:tc>
          <w:tcPr>
            <w:tcW w:w="3369" w:type="dxa"/>
          </w:tcPr>
          <w:p w14:paraId="77BF30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Невский машиностроительный завод им. В.И. Ленина</w:t>
            </w:r>
          </w:p>
        </w:tc>
        <w:tc>
          <w:tcPr>
            <w:tcW w:w="3402" w:type="dxa"/>
          </w:tcPr>
          <w:p w14:paraId="7CC27B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Ленинград, 29, пр. села Смоленского, 1/8</w:t>
            </w:r>
          </w:p>
        </w:tc>
        <w:tc>
          <w:tcPr>
            <w:tcW w:w="3402" w:type="dxa"/>
          </w:tcPr>
          <w:p w14:paraId="4C18433B" w14:textId="77777777" w:rsidR="00AE7191" w:rsidRPr="00722885" w:rsidRDefault="00AE7191" w:rsidP="00722885">
            <w:pPr>
              <w:pStyle w:val="Iauiue"/>
              <w:jc w:val="both"/>
              <w:rPr>
                <w:color w:val="000000" w:themeColor="text1"/>
                <w:sz w:val="16"/>
                <w:szCs w:val="16"/>
              </w:rPr>
            </w:pPr>
          </w:p>
        </w:tc>
      </w:tr>
      <w:tr w:rsidR="009B487A" w:rsidRPr="00722885" w14:paraId="2476766D" w14:textId="77777777" w:rsidTr="00CC5360">
        <w:tc>
          <w:tcPr>
            <w:tcW w:w="3369" w:type="dxa"/>
          </w:tcPr>
          <w:p w14:paraId="4EAE43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“Экономайзер”</w:t>
            </w:r>
          </w:p>
        </w:tc>
        <w:tc>
          <w:tcPr>
            <w:tcW w:w="3402" w:type="dxa"/>
          </w:tcPr>
          <w:p w14:paraId="0E6104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Ленинград, 33, ул. Цимбалина, 3</w:t>
            </w:r>
          </w:p>
        </w:tc>
        <w:tc>
          <w:tcPr>
            <w:tcW w:w="3402" w:type="dxa"/>
          </w:tcPr>
          <w:p w14:paraId="3AF00181" w14:textId="77777777" w:rsidR="00AE7191" w:rsidRPr="00722885" w:rsidRDefault="00AE7191" w:rsidP="00722885">
            <w:pPr>
              <w:pStyle w:val="Iauiue"/>
              <w:jc w:val="both"/>
              <w:rPr>
                <w:color w:val="000000" w:themeColor="text1"/>
                <w:sz w:val="16"/>
                <w:szCs w:val="16"/>
              </w:rPr>
            </w:pPr>
          </w:p>
        </w:tc>
      </w:tr>
      <w:tr w:rsidR="009B487A" w:rsidRPr="00722885" w14:paraId="6D65BBB9" w14:textId="77777777" w:rsidTr="00CC5360">
        <w:tc>
          <w:tcPr>
            <w:tcW w:w="3369" w:type="dxa"/>
          </w:tcPr>
          <w:p w14:paraId="6FA9EEC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“Комега”</w:t>
            </w:r>
          </w:p>
        </w:tc>
        <w:tc>
          <w:tcPr>
            <w:tcW w:w="3402" w:type="dxa"/>
          </w:tcPr>
          <w:p w14:paraId="653AA8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Москва, ул. Мироновская, 33</w:t>
            </w:r>
          </w:p>
        </w:tc>
        <w:tc>
          <w:tcPr>
            <w:tcW w:w="3402" w:type="dxa"/>
          </w:tcPr>
          <w:p w14:paraId="16559C9C" w14:textId="77777777" w:rsidR="00AE7191" w:rsidRPr="00722885" w:rsidRDefault="00AE7191" w:rsidP="00722885">
            <w:pPr>
              <w:pStyle w:val="Iauiue"/>
              <w:jc w:val="both"/>
              <w:rPr>
                <w:color w:val="000000" w:themeColor="text1"/>
                <w:sz w:val="16"/>
                <w:szCs w:val="16"/>
              </w:rPr>
            </w:pPr>
          </w:p>
        </w:tc>
      </w:tr>
      <w:tr w:rsidR="009B487A" w:rsidRPr="00722885" w14:paraId="6FAD1EB6" w14:textId="77777777" w:rsidTr="00CC5360">
        <w:tc>
          <w:tcPr>
            <w:tcW w:w="3369" w:type="dxa"/>
          </w:tcPr>
          <w:p w14:paraId="72DFAB1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“Красный котельщик”</w:t>
            </w:r>
          </w:p>
        </w:tc>
        <w:tc>
          <w:tcPr>
            <w:tcW w:w="3402" w:type="dxa"/>
          </w:tcPr>
          <w:p w14:paraId="09B4113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Подольск</w:t>
            </w:r>
          </w:p>
        </w:tc>
        <w:tc>
          <w:tcPr>
            <w:tcW w:w="3402" w:type="dxa"/>
          </w:tcPr>
          <w:p w14:paraId="5C061053" w14:textId="77777777" w:rsidR="00AE7191" w:rsidRPr="00722885" w:rsidRDefault="00AE7191" w:rsidP="00722885">
            <w:pPr>
              <w:pStyle w:val="Iauiue"/>
              <w:jc w:val="both"/>
              <w:rPr>
                <w:color w:val="000000" w:themeColor="text1"/>
                <w:sz w:val="16"/>
                <w:szCs w:val="16"/>
              </w:rPr>
            </w:pPr>
          </w:p>
        </w:tc>
      </w:tr>
      <w:tr w:rsidR="009B487A" w:rsidRPr="00722885" w14:paraId="10B72335" w14:textId="77777777" w:rsidTr="00CC5360">
        <w:tc>
          <w:tcPr>
            <w:tcW w:w="3369" w:type="dxa"/>
          </w:tcPr>
          <w:p w14:paraId="5F800E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Турбинный завод</w:t>
            </w:r>
          </w:p>
        </w:tc>
        <w:tc>
          <w:tcPr>
            <w:tcW w:w="3402" w:type="dxa"/>
          </w:tcPr>
          <w:p w14:paraId="4EC48A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Свердловск, шоссе УЗТМ</w:t>
            </w:r>
          </w:p>
        </w:tc>
        <w:tc>
          <w:tcPr>
            <w:tcW w:w="3402" w:type="dxa"/>
          </w:tcPr>
          <w:p w14:paraId="6501CA34" w14:textId="77777777" w:rsidR="00AE7191" w:rsidRPr="00722885" w:rsidRDefault="00AE7191" w:rsidP="00722885">
            <w:pPr>
              <w:pStyle w:val="Iauiue"/>
              <w:jc w:val="both"/>
              <w:rPr>
                <w:color w:val="000000" w:themeColor="text1"/>
                <w:sz w:val="16"/>
                <w:szCs w:val="16"/>
              </w:rPr>
            </w:pPr>
          </w:p>
        </w:tc>
      </w:tr>
      <w:tr w:rsidR="009B487A" w:rsidRPr="00722885" w14:paraId="7D15BA95" w14:textId="77777777" w:rsidTr="00CC5360">
        <w:tc>
          <w:tcPr>
            <w:tcW w:w="3369" w:type="dxa"/>
          </w:tcPr>
          <w:p w14:paraId="5CCE54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Кусинский завод</w:t>
            </w:r>
          </w:p>
        </w:tc>
        <w:tc>
          <w:tcPr>
            <w:tcW w:w="3402" w:type="dxa"/>
          </w:tcPr>
          <w:p w14:paraId="728B13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Куса Челябинской области</w:t>
            </w:r>
          </w:p>
        </w:tc>
        <w:tc>
          <w:tcPr>
            <w:tcW w:w="3402" w:type="dxa"/>
          </w:tcPr>
          <w:p w14:paraId="5C6A824D" w14:textId="77777777" w:rsidR="00AE7191" w:rsidRPr="00722885" w:rsidRDefault="00AE7191" w:rsidP="00722885">
            <w:pPr>
              <w:pStyle w:val="Iauiue"/>
              <w:jc w:val="both"/>
              <w:rPr>
                <w:color w:val="000000" w:themeColor="text1"/>
                <w:sz w:val="16"/>
                <w:szCs w:val="16"/>
              </w:rPr>
            </w:pPr>
          </w:p>
        </w:tc>
      </w:tr>
      <w:tr w:rsidR="009B487A" w:rsidRPr="00722885" w14:paraId="6148B6FC" w14:textId="77777777" w:rsidTr="00CC5360">
        <w:tc>
          <w:tcPr>
            <w:tcW w:w="3369" w:type="dxa"/>
          </w:tcPr>
          <w:p w14:paraId="45A3D4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Алма-Атинский завод</w:t>
            </w:r>
          </w:p>
        </w:tc>
        <w:tc>
          <w:tcPr>
            <w:tcW w:w="3402" w:type="dxa"/>
          </w:tcPr>
          <w:p w14:paraId="391EDB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Алма-Ата, Тринадцатая линия</w:t>
            </w:r>
          </w:p>
        </w:tc>
        <w:tc>
          <w:tcPr>
            <w:tcW w:w="3402" w:type="dxa"/>
          </w:tcPr>
          <w:p w14:paraId="6FD1DE4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Макеев</w:t>
            </w:r>
          </w:p>
        </w:tc>
      </w:tr>
    </w:tbl>
    <w:p w14:paraId="3DA0CB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Заводы ГУПТМАША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9B487A" w:rsidRPr="00722885" w14:paraId="71C2CB02" w14:textId="77777777" w:rsidTr="00CC5360">
        <w:tc>
          <w:tcPr>
            <w:tcW w:w="3369" w:type="dxa"/>
          </w:tcPr>
          <w:p w14:paraId="5C9D3B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им. Кирова</w:t>
            </w:r>
          </w:p>
        </w:tc>
        <w:tc>
          <w:tcPr>
            <w:tcW w:w="3402" w:type="dxa"/>
          </w:tcPr>
          <w:p w14:paraId="16FFA1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Ленинград, Обводной канал, 118</w:t>
            </w:r>
          </w:p>
        </w:tc>
        <w:tc>
          <w:tcPr>
            <w:tcW w:w="3402" w:type="dxa"/>
          </w:tcPr>
          <w:p w14:paraId="67E9071D" w14:textId="77777777" w:rsidR="00AE7191" w:rsidRPr="00722885" w:rsidRDefault="00AE7191" w:rsidP="00722885">
            <w:pPr>
              <w:pStyle w:val="Iauiue"/>
              <w:jc w:val="both"/>
              <w:rPr>
                <w:color w:val="000000" w:themeColor="text1"/>
                <w:sz w:val="16"/>
                <w:szCs w:val="16"/>
              </w:rPr>
            </w:pPr>
          </w:p>
        </w:tc>
      </w:tr>
      <w:tr w:rsidR="009B487A" w:rsidRPr="00722885" w14:paraId="6CDBA761" w14:textId="77777777" w:rsidTr="00CC5360">
        <w:tc>
          <w:tcPr>
            <w:tcW w:w="3369" w:type="dxa"/>
          </w:tcPr>
          <w:p w14:paraId="58F3060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“Красный металлист”</w:t>
            </w:r>
          </w:p>
        </w:tc>
        <w:tc>
          <w:tcPr>
            <w:tcW w:w="3402" w:type="dxa"/>
          </w:tcPr>
          <w:p w14:paraId="7E3A65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Ленинград, Василевский остров, 17-я линия, 52/54</w:t>
            </w:r>
          </w:p>
        </w:tc>
        <w:tc>
          <w:tcPr>
            <w:tcW w:w="3402" w:type="dxa"/>
          </w:tcPr>
          <w:p w14:paraId="214EF361" w14:textId="77777777" w:rsidR="00AE7191" w:rsidRPr="00722885" w:rsidRDefault="00AE7191" w:rsidP="00722885">
            <w:pPr>
              <w:pStyle w:val="Iauiue"/>
              <w:jc w:val="both"/>
              <w:rPr>
                <w:color w:val="000000" w:themeColor="text1"/>
                <w:sz w:val="16"/>
                <w:szCs w:val="16"/>
              </w:rPr>
            </w:pPr>
          </w:p>
        </w:tc>
      </w:tr>
      <w:tr w:rsidR="009B487A" w:rsidRPr="00722885" w14:paraId="7B86BF85" w14:textId="77777777" w:rsidTr="00CC5360">
        <w:tc>
          <w:tcPr>
            <w:tcW w:w="3369" w:type="dxa"/>
          </w:tcPr>
          <w:p w14:paraId="41B117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“Красный блок”</w:t>
            </w:r>
          </w:p>
        </w:tc>
        <w:tc>
          <w:tcPr>
            <w:tcW w:w="3402" w:type="dxa"/>
          </w:tcPr>
          <w:p w14:paraId="41E2F6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Москва, ул. Осипенко, 76</w:t>
            </w:r>
          </w:p>
        </w:tc>
        <w:tc>
          <w:tcPr>
            <w:tcW w:w="3402" w:type="dxa"/>
          </w:tcPr>
          <w:p w14:paraId="3B1DA66F" w14:textId="77777777" w:rsidR="00AE7191" w:rsidRPr="00722885" w:rsidRDefault="00AE7191" w:rsidP="00722885">
            <w:pPr>
              <w:pStyle w:val="Iauiue"/>
              <w:jc w:val="both"/>
              <w:rPr>
                <w:color w:val="000000" w:themeColor="text1"/>
                <w:sz w:val="16"/>
                <w:szCs w:val="16"/>
              </w:rPr>
            </w:pPr>
          </w:p>
        </w:tc>
      </w:tr>
      <w:tr w:rsidR="009B487A" w:rsidRPr="00722885" w14:paraId="51C1AA76" w14:textId="77777777" w:rsidTr="00CC5360">
        <w:tc>
          <w:tcPr>
            <w:tcW w:w="3369" w:type="dxa"/>
          </w:tcPr>
          <w:p w14:paraId="7B6E51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“Красный металлист”</w:t>
            </w:r>
          </w:p>
        </w:tc>
        <w:tc>
          <w:tcPr>
            <w:tcW w:w="3402" w:type="dxa"/>
          </w:tcPr>
          <w:p w14:paraId="52318D6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Москва, Бахметьевский пер., 2</w:t>
            </w:r>
          </w:p>
        </w:tc>
        <w:tc>
          <w:tcPr>
            <w:tcW w:w="3402" w:type="dxa"/>
          </w:tcPr>
          <w:p w14:paraId="520981B4" w14:textId="77777777" w:rsidR="00AE7191" w:rsidRPr="00722885" w:rsidRDefault="00AE7191" w:rsidP="00722885">
            <w:pPr>
              <w:pStyle w:val="Iauiue"/>
              <w:jc w:val="both"/>
              <w:rPr>
                <w:color w:val="000000" w:themeColor="text1"/>
                <w:sz w:val="16"/>
                <w:szCs w:val="16"/>
              </w:rPr>
            </w:pPr>
          </w:p>
        </w:tc>
      </w:tr>
      <w:tr w:rsidR="009B487A" w:rsidRPr="00722885" w14:paraId="7BDC2486" w14:textId="77777777" w:rsidTr="00CC5360">
        <w:tc>
          <w:tcPr>
            <w:tcW w:w="3369" w:type="dxa"/>
          </w:tcPr>
          <w:p w14:paraId="0DB543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Кунгурский машзавод</w:t>
            </w:r>
          </w:p>
        </w:tc>
        <w:tc>
          <w:tcPr>
            <w:tcW w:w="3402" w:type="dxa"/>
          </w:tcPr>
          <w:p w14:paraId="7DDAA0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Кунгур, Молотовская область, ул. Просвещения, 9</w:t>
            </w:r>
          </w:p>
        </w:tc>
        <w:tc>
          <w:tcPr>
            <w:tcW w:w="3402" w:type="dxa"/>
          </w:tcPr>
          <w:p w14:paraId="4750A524" w14:textId="77777777" w:rsidR="00AE7191" w:rsidRPr="00722885" w:rsidRDefault="00AE7191" w:rsidP="00722885">
            <w:pPr>
              <w:pStyle w:val="Iauiue"/>
              <w:jc w:val="both"/>
              <w:rPr>
                <w:color w:val="000000" w:themeColor="text1"/>
                <w:sz w:val="16"/>
                <w:szCs w:val="16"/>
              </w:rPr>
            </w:pPr>
          </w:p>
        </w:tc>
      </w:tr>
      <w:tr w:rsidR="009B487A" w:rsidRPr="00722885" w14:paraId="3E4BEE40" w14:textId="77777777" w:rsidTr="00CC5360">
        <w:tc>
          <w:tcPr>
            <w:tcW w:w="3369" w:type="dxa"/>
          </w:tcPr>
          <w:p w14:paraId="47722FB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“Серп и Молот”</w:t>
            </w:r>
          </w:p>
        </w:tc>
        <w:tc>
          <w:tcPr>
            <w:tcW w:w="3402" w:type="dxa"/>
          </w:tcPr>
          <w:p w14:paraId="029CCC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Казань, Красноармейская слобода, ул. Клары Цеткин</w:t>
            </w:r>
          </w:p>
        </w:tc>
        <w:tc>
          <w:tcPr>
            <w:tcW w:w="3402" w:type="dxa"/>
          </w:tcPr>
          <w:p w14:paraId="5450E41C" w14:textId="77777777" w:rsidR="00AE7191" w:rsidRPr="00722885" w:rsidRDefault="00AE7191" w:rsidP="00722885">
            <w:pPr>
              <w:pStyle w:val="Iauiue"/>
              <w:jc w:val="both"/>
              <w:rPr>
                <w:color w:val="000000" w:themeColor="text1"/>
                <w:sz w:val="16"/>
                <w:szCs w:val="16"/>
              </w:rPr>
            </w:pPr>
          </w:p>
        </w:tc>
      </w:tr>
      <w:tr w:rsidR="009B487A" w:rsidRPr="00722885" w14:paraId="2D2B8383" w14:textId="77777777" w:rsidTr="00CC5360">
        <w:tc>
          <w:tcPr>
            <w:tcW w:w="3369" w:type="dxa"/>
          </w:tcPr>
          <w:p w14:paraId="01FFE3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Белохолуницкий машзавод им. Ленина</w:t>
            </w:r>
          </w:p>
        </w:tc>
        <w:tc>
          <w:tcPr>
            <w:tcW w:w="3402" w:type="dxa"/>
          </w:tcPr>
          <w:p w14:paraId="50BBB5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Поселок, Белая Холуница Кировской области</w:t>
            </w:r>
          </w:p>
        </w:tc>
        <w:tc>
          <w:tcPr>
            <w:tcW w:w="3402" w:type="dxa"/>
          </w:tcPr>
          <w:p w14:paraId="4C38769F" w14:textId="77777777" w:rsidR="00AE7191" w:rsidRPr="00722885" w:rsidRDefault="00AE7191" w:rsidP="00722885">
            <w:pPr>
              <w:pStyle w:val="Iauiue"/>
              <w:jc w:val="both"/>
              <w:rPr>
                <w:color w:val="000000" w:themeColor="text1"/>
                <w:sz w:val="16"/>
                <w:szCs w:val="16"/>
              </w:rPr>
            </w:pPr>
          </w:p>
        </w:tc>
      </w:tr>
      <w:tr w:rsidR="009B487A" w:rsidRPr="00722885" w14:paraId="6A744171" w14:textId="77777777" w:rsidTr="00CC5360">
        <w:tc>
          <w:tcPr>
            <w:tcW w:w="3369" w:type="dxa"/>
          </w:tcPr>
          <w:p w14:paraId="7960F29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Ижевский машзавод им. Ленина</w:t>
            </w:r>
          </w:p>
        </w:tc>
        <w:tc>
          <w:tcPr>
            <w:tcW w:w="3402" w:type="dxa"/>
          </w:tcPr>
          <w:p w14:paraId="17472E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Удмуртская АССР, завод ковкого чугуна</w:t>
            </w:r>
          </w:p>
        </w:tc>
        <w:tc>
          <w:tcPr>
            <w:tcW w:w="3402" w:type="dxa"/>
          </w:tcPr>
          <w:p w14:paraId="20D36FC9" w14:textId="77777777" w:rsidR="00AE7191" w:rsidRPr="00722885" w:rsidRDefault="00AE7191" w:rsidP="00722885">
            <w:pPr>
              <w:pStyle w:val="Iauiue"/>
              <w:jc w:val="both"/>
              <w:rPr>
                <w:color w:val="000000" w:themeColor="text1"/>
                <w:sz w:val="16"/>
                <w:szCs w:val="16"/>
              </w:rPr>
            </w:pPr>
          </w:p>
        </w:tc>
      </w:tr>
      <w:tr w:rsidR="009B487A" w:rsidRPr="00722885" w14:paraId="43F6D104" w14:textId="77777777" w:rsidTr="00CC5360">
        <w:tc>
          <w:tcPr>
            <w:tcW w:w="3369" w:type="dxa"/>
          </w:tcPr>
          <w:p w14:paraId="08FF7A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Бузулукский машзавод им. Куйбышева</w:t>
            </w:r>
          </w:p>
        </w:tc>
        <w:tc>
          <w:tcPr>
            <w:tcW w:w="3402" w:type="dxa"/>
          </w:tcPr>
          <w:p w14:paraId="4C0E09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Бузулук Чкаловской области, ул. Рабочая, 68</w:t>
            </w:r>
          </w:p>
        </w:tc>
        <w:tc>
          <w:tcPr>
            <w:tcW w:w="3402" w:type="dxa"/>
          </w:tcPr>
          <w:p w14:paraId="519B0AB6" w14:textId="77777777" w:rsidR="00AE7191" w:rsidRPr="00722885" w:rsidRDefault="00AE7191" w:rsidP="00722885">
            <w:pPr>
              <w:pStyle w:val="Iauiue"/>
              <w:jc w:val="both"/>
              <w:rPr>
                <w:color w:val="000000" w:themeColor="text1"/>
                <w:sz w:val="16"/>
                <w:szCs w:val="16"/>
              </w:rPr>
            </w:pPr>
          </w:p>
        </w:tc>
      </w:tr>
      <w:tr w:rsidR="009B487A" w:rsidRPr="00722885" w14:paraId="4A4113B4" w14:textId="77777777" w:rsidTr="00CC5360">
        <w:tc>
          <w:tcPr>
            <w:tcW w:w="3369" w:type="dxa"/>
          </w:tcPr>
          <w:p w14:paraId="6EBD6B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Юго-Камский машзавод им. Лепсе</w:t>
            </w:r>
          </w:p>
        </w:tc>
        <w:tc>
          <w:tcPr>
            <w:tcW w:w="3402" w:type="dxa"/>
          </w:tcPr>
          <w:p w14:paraId="73D8DB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Юго-Камск Молотовской области</w:t>
            </w:r>
          </w:p>
        </w:tc>
        <w:tc>
          <w:tcPr>
            <w:tcW w:w="3402" w:type="dxa"/>
          </w:tcPr>
          <w:p w14:paraId="6160664A" w14:textId="77777777" w:rsidR="00AE7191" w:rsidRPr="00722885" w:rsidRDefault="00AE7191" w:rsidP="00722885">
            <w:pPr>
              <w:pStyle w:val="Iauiue"/>
              <w:jc w:val="both"/>
              <w:rPr>
                <w:color w:val="000000" w:themeColor="text1"/>
                <w:sz w:val="16"/>
                <w:szCs w:val="16"/>
              </w:rPr>
            </w:pPr>
          </w:p>
        </w:tc>
      </w:tr>
      <w:tr w:rsidR="009B487A" w:rsidRPr="00722885" w14:paraId="316C420E" w14:textId="77777777" w:rsidTr="00CC5360">
        <w:tc>
          <w:tcPr>
            <w:tcW w:w="3369" w:type="dxa"/>
          </w:tcPr>
          <w:p w14:paraId="3D9DACA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Ташкентский завод “Подъемник”</w:t>
            </w:r>
          </w:p>
        </w:tc>
        <w:tc>
          <w:tcPr>
            <w:tcW w:w="3402" w:type="dxa"/>
          </w:tcPr>
          <w:p w14:paraId="64F5F2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Ташкент, ул. Полторацкого, 12</w:t>
            </w:r>
          </w:p>
        </w:tc>
        <w:tc>
          <w:tcPr>
            <w:tcW w:w="3402" w:type="dxa"/>
          </w:tcPr>
          <w:p w14:paraId="4A6575FD" w14:textId="77777777" w:rsidR="00AE7191" w:rsidRPr="00722885" w:rsidRDefault="00AE7191" w:rsidP="00722885">
            <w:pPr>
              <w:pStyle w:val="Iauiue"/>
              <w:jc w:val="both"/>
              <w:rPr>
                <w:color w:val="000000" w:themeColor="text1"/>
                <w:sz w:val="16"/>
                <w:szCs w:val="16"/>
              </w:rPr>
            </w:pPr>
          </w:p>
        </w:tc>
      </w:tr>
      <w:tr w:rsidR="009B487A" w:rsidRPr="00722885" w14:paraId="12C3662B" w14:textId="77777777" w:rsidTr="00CC5360">
        <w:tc>
          <w:tcPr>
            <w:tcW w:w="3369" w:type="dxa"/>
          </w:tcPr>
          <w:p w14:paraId="212ED0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Полевской завод</w:t>
            </w:r>
          </w:p>
        </w:tc>
        <w:tc>
          <w:tcPr>
            <w:tcW w:w="3402" w:type="dxa"/>
          </w:tcPr>
          <w:p w14:paraId="1BF163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Полевское Свердловской области, завод “Красный металлист”</w:t>
            </w:r>
          </w:p>
        </w:tc>
        <w:tc>
          <w:tcPr>
            <w:tcW w:w="3402" w:type="dxa"/>
          </w:tcPr>
          <w:p w14:paraId="16854C0E" w14:textId="77777777" w:rsidR="00AE7191" w:rsidRPr="00722885" w:rsidRDefault="00AE7191" w:rsidP="00722885">
            <w:pPr>
              <w:pStyle w:val="Iauiue"/>
              <w:jc w:val="both"/>
              <w:rPr>
                <w:color w:val="000000" w:themeColor="text1"/>
                <w:sz w:val="16"/>
                <w:szCs w:val="16"/>
              </w:rPr>
            </w:pPr>
          </w:p>
        </w:tc>
      </w:tr>
      <w:tr w:rsidR="009B487A" w:rsidRPr="00722885" w14:paraId="16D69053" w14:textId="77777777" w:rsidTr="00CC5360">
        <w:tc>
          <w:tcPr>
            <w:tcW w:w="3369" w:type="dxa"/>
          </w:tcPr>
          <w:p w14:paraId="6D3332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“Стальмост”</w:t>
            </w:r>
          </w:p>
        </w:tc>
        <w:tc>
          <w:tcPr>
            <w:tcW w:w="3402" w:type="dxa"/>
          </w:tcPr>
          <w:p w14:paraId="6016B9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Москва, 109, Карачарово поле</w:t>
            </w:r>
          </w:p>
        </w:tc>
        <w:tc>
          <w:tcPr>
            <w:tcW w:w="3402" w:type="dxa"/>
          </w:tcPr>
          <w:p w14:paraId="62D4BFFF" w14:textId="77777777" w:rsidR="00AE7191" w:rsidRPr="00722885" w:rsidRDefault="00AE7191" w:rsidP="00722885">
            <w:pPr>
              <w:pStyle w:val="Iauiue"/>
              <w:jc w:val="both"/>
              <w:rPr>
                <w:color w:val="000000" w:themeColor="text1"/>
                <w:sz w:val="16"/>
                <w:szCs w:val="16"/>
              </w:rPr>
            </w:pPr>
          </w:p>
        </w:tc>
      </w:tr>
    </w:tbl>
    <w:p w14:paraId="406B8F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Заводы Глававтогена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9B487A" w:rsidRPr="00722885" w14:paraId="576BF3CD" w14:textId="77777777" w:rsidTr="00CC5360">
        <w:tc>
          <w:tcPr>
            <w:tcW w:w="3369" w:type="dxa"/>
          </w:tcPr>
          <w:p w14:paraId="796189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Нижнетагильский автогенный завод</w:t>
            </w:r>
          </w:p>
        </w:tc>
        <w:tc>
          <w:tcPr>
            <w:tcW w:w="3402" w:type="dxa"/>
          </w:tcPr>
          <w:p w14:paraId="2DE76B0D" w14:textId="77777777" w:rsidR="00AE7191" w:rsidRPr="00722885" w:rsidRDefault="00AE7191" w:rsidP="00722885">
            <w:pPr>
              <w:pStyle w:val="Iauiue"/>
              <w:jc w:val="both"/>
              <w:rPr>
                <w:color w:val="000000" w:themeColor="text1"/>
                <w:sz w:val="16"/>
                <w:szCs w:val="16"/>
              </w:rPr>
            </w:pPr>
          </w:p>
        </w:tc>
        <w:tc>
          <w:tcPr>
            <w:tcW w:w="3402" w:type="dxa"/>
          </w:tcPr>
          <w:p w14:paraId="22029071" w14:textId="77777777" w:rsidR="00AE7191" w:rsidRPr="00722885" w:rsidRDefault="00AE7191" w:rsidP="00722885">
            <w:pPr>
              <w:pStyle w:val="Iauiue"/>
              <w:jc w:val="both"/>
              <w:rPr>
                <w:color w:val="000000" w:themeColor="text1"/>
                <w:sz w:val="16"/>
                <w:szCs w:val="16"/>
              </w:rPr>
            </w:pPr>
          </w:p>
        </w:tc>
      </w:tr>
      <w:tr w:rsidR="009B487A" w:rsidRPr="00722885" w14:paraId="1B17ED30" w14:textId="77777777" w:rsidTr="00CC5360">
        <w:tc>
          <w:tcPr>
            <w:tcW w:w="3369" w:type="dxa"/>
          </w:tcPr>
          <w:p w14:paraId="6374D4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Омский автогенный завод</w:t>
            </w:r>
          </w:p>
        </w:tc>
        <w:tc>
          <w:tcPr>
            <w:tcW w:w="3402" w:type="dxa"/>
          </w:tcPr>
          <w:p w14:paraId="1409AC04" w14:textId="77777777" w:rsidR="00AE7191" w:rsidRPr="00722885" w:rsidRDefault="00AE7191" w:rsidP="00722885">
            <w:pPr>
              <w:pStyle w:val="Iauiue"/>
              <w:jc w:val="both"/>
              <w:rPr>
                <w:color w:val="000000" w:themeColor="text1"/>
                <w:sz w:val="16"/>
                <w:szCs w:val="16"/>
              </w:rPr>
            </w:pPr>
          </w:p>
        </w:tc>
        <w:tc>
          <w:tcPr>
            <w:tcW w:w="3402" w:type="dxa"/>
          </w:tcPr>
          <w:p w14:paraId="5218C3AF" w14:textId="77777777" w:rsidR="00AE7191" w:rsidRPr="00722885" w:rsidRDefault="00AE7191" w:rsidP="00722885">
            <w:pPr>
              <w:pStyle w:val="Iauiue"/>
              <w:jc w:val="both"/>
              <w:rPr>
                <w:color w:val="000000" w:themeColor="text1"/>
                <w:sz w:val="16"/>
                <w:szCs w:val="16"/>
              </w:rPr>
            </w:pPr>
          </w:p>
        </w:tc>
      </w:tr>
      <w:tr w:rsidR="009B487A" w:rsidRPr="00722885" w14:paraId="45B035A2" w14:textId="77777777" w:rsidTr="00CC5360">
        <w:tc>
          <w:tcPr>
            <w:tcW w:w="3369" w:type="dxa"/>
          </w:tcPr>
          <w:p w14:paraId="7FF311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1-й автогенный завод</w:t>
            </w:r>
          </w:p>
        </w:tc>
        <w:tc>
          <w:tcPr>
            <w:tcW w:w="3402" w:type="dxa"/>
          </w:tcPr>
          <w:p w14:paraId="2AEF2A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Москва, ул. Тюфелева роща, 13</w:t>
            </w:r>
          </w:p>
        </w:tc>
        <w:tc>
          <w:tcPr>
            <w:tcW w:w="3402" w:type="dxa"/>
          </w:tcPr>
          <w:p w14:paraId="342D3753" w14:textId="77777777" w:rsidR="00AE7191" w:rsidRPr="00722885" w:rsidRDefault="00AE7191" w:rsidP="00722885">
            <w:pPr>
              <w:pStyle w:val="Iauiue"/>
              <w:jc w:val="both"/>
              <w:rPr>
                <w:color w:val="000000" w:themeColor="text1"/>
                <w:sz w:val="16"/>
                <w:szCs w:val="16"/>
              </w:rPr>
            </w:pPr>
          </w:p>
        </w:tc>
      </w:tr>
      <w:tr w:rsidR="009B487A" w:rsidRPr="00722885" w14:paraId="10F25D6D" w14:textId="77777777" w:rsidTr="00CC5360">
        <w:tc>
          <w:tcPr>
            <w:tcW w:w="3369" w:type="dxa"/>
          </w:tcPr>
          <w:p w14:paraId="140650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Чкаловский автогенный завод</w:t>
            </w:r>
          </w:p>
        </w:tc>
        <w:tc>
          <w:tcPr>
            <w:tcW w:w="3402" w:type="dxa"/>
          </w:tcPr>
          <w:p w14:paraId="514972B8" w14:textId="77777777" w:rsidR="00AE7191" w:rsidRPr="00722885" w:rsidRDefault="00AE7191" w:rsidP="00722885">
            <w:pPr>
              <w:pStyle w:val="Iauiue"/>
              <w:jc w:val="both"/>
              <w:rPr>
                <w:color w:val="000000" w:themeColor="text1"/>
                <w:sz w:val="16"/>
                <w:szCs w:val="16"/>
              </w:rPr>
            </w:pPr>
          </w:p>
        </w:tc>
        <w:tc>
          <w:tcPr>
            <w:tcW w:w="3402" w:type="dxa"/>
          </w:tcPr>
          <w:p w14:paraId="09C2CAFF" w14:textId="77777777" w:rsidR="00AE7191" w:rsidRPr="00722885" w:rsidRDefault="00AE7191" w:rsidP="00722885">
            <w:pPr>
              <w:pStyle w:val="Iauiue"/>
              <w:jc w:val="both"/>
              <w:rPr>
                <w:color w:val="000000" w:themeColor="text1"/>
                <w:sz w:val="16"/>
                <w:szCs w:val="16"/>
              </w:rPr>
            </w:pPr>
          </w:p>
        </w:tc>
      </w:tr>
      <w:tr w:rsidR="009B487A" w:rsidRPr="00722885" w14:paraId="3806739D" w14:textId="77777777" w:rsidTr="00CC5360">
        <w:tc>
          <w:tcPr>
            <w:tcW w:w="3369" w:type="dxa"/>
          </w:tcPr>
          <w:p w14:paraId="3CF6C8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Свердловский ацителеносварочный завод</w:t>
            </w:r>
          </w:p>
        </w:tc>
        <w:tc>
          <w:tcPr>
            <w:tcW w:w="3402" w:type="dxa"/>
          </w:tcPr>
          <w:p w14:paraId="627045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Свердловск, ул. Шмидта, 2 (Свердловский сварочный) </w:t>
            </w:r>
          </w:p>
        </w:tc>
        <w:tc>
          <w:tcPr>
            <w:tcW w:w="3402" w:type="dxa"/>
          </w:tcPr>
          <w:p w14:paraId="0822BF02" w14:textId="77777777" w:rsidR="00AE7191" w:rsidRPr="00722885" w:rsidRDefault="00AE7191" w:rsidP="00722885">
            <w:pPr>
              <w:pStyle w:val="Iauiue"/>
              <w:jc w:val="both"/>
              <w:rPr>
                <w:color w:val="000000" w:themeColor="text1"/>
                <w:sz w:val="16"/>
                <w:szCs w:val="16"/>
              </w:rPr>
            </w:pPr>
          </w:p>
        </w:tc>
      </w:tr>
      <w:tr w:rsidR="009B487A" w:rsidRPr="00722885" w14:paraId="7B8D75F5" w14:textId="77777777" w:rsidTr="00CC5360">
        <w:tc>
          <w:tcPr>
            <w:tcW w:w="3369" w:type="dxa"/>
          </w:tcPr>
          <w:p w14:paraId="6A8E173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Свердловский кислородный завод</w:t>
            </w:r>
          </w:p>
        </w:tc>
        <w:tc>
          <w:tcPr>
            <w:tcW w:w="3402" w:type="dxa"/>
          </w:tcPr>
          <w:p w14:paraId="681E6A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Свердловск, шоссе УЗТМ</w:t>
            </w:r>
          </w:p>
        </w:tc>
        <w:tc>
          <w:tcPr>
            <w:tcW w:w="3402" w:type="dxa"/>
          </w:tcPr>
          <w:p w14:paraId="71F26805" w14:textId="77777777" w:rsidR="00AE7191" w:rsidRPr="00722885" w:rsidRDefault="00AE7191" w:rsidP="00722885">
            <w:pPr>
              <w:pStyle w:val="Iauiue"/>
              <w:jc w:val="both"/>
              <w:rPr>
                <w:color w:val="000000" w:themeColor="text1"/>
                <w:sz w:val="16"/>
                <w:szCs w:val="16"/>
              </w:rPr>
            </w:pPr>
          </w:p>
        </w:tc>
      </w:tr>
      <w:tr w:rsidR="009B487A" w:rsidRPr="00722885" w14:paraId="23318805" w14:textId="77777777" w:rsidTr="00CC5360">
        <w:tc>
          <w:tcPr>
            <w:tcW w:w="3369" w:type="dxa"/>
          </w:tcPr>
          <w:p w14:paraId="7CF338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Свердловский автогенный завод № 3</w:t>
            </w:r>
          </w:p>
        </w:tc>
        <w:tc>
          <w:tcPr>
            <w:tcW w:w="3402" w:type="dxa"/>
          </w:tcPr>
          <w:p w14:paraId="19D719F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Свердловск, шоссе УЗТМ, 1-й км</w:t>
            </w:r>
          </w:p>
        </w:tc>
        <w:tc>
          <w:tcPr>
            <w:tcW w:w="3402" w:type="dxa"/>
          </w:tcPr>
          <w:p w14:paraId="6C0BFE8E" w14:textId="77777777" w:rsidR="00AE7191" w:rsidRPr="00722885" w:rsidRDefault="00AE7191" w:rsidP="00722885">
            <w:pPr>
              <w:pStyle w:val="Iauiue"/>
              <w:jc w:val="both"/>
              <w:rPr>
                <w:color w:val="000000" w:themeColor="text1"/>
                <w:sz w:val="16"/>
                <w:szCs w:val="16"/>
              </w:rPr>
            </w:pPr>
          </w:p>
        </w:tc>
      </w:tr>
      <w:tr w:rsidR="009B487A" w:rsidRPr="00722885" w14:paraId="624D2F9A" w14:textId="77777777" w:rsidTr="00CC5360">
        <w:tc>
          <w:tcPr>
            <w:tcW w:w="3369" w:type="dxa"/>
          </w:tcPr>
          <w:p w14:paraId="3E3BFA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Челябинский автогенный завод</w:t>
            </w:r>
          </w:p>
        </w:tc>
        <w:tc>
          <w:tcPr>
            <w:tcW w:w="3402" w:type="dxa"/>
          </w:tcPr>
          <w:p w14:paraId="1DF8E8A3" w14:textId="77777777" w:rsidR="00AE7191" w:rsidRPr="00722885" w:rsidRDefault="00AE7191" w:rsidP="00722885">
            <w:pPr>
              <w:pStyle w:val="Iauiue"/>
              <w:jc w:val="both"/>
              <w:rPr>
                <w:color w:val="000000" w:themeColor="text1"/>
                <w:sz w:val="16"/>
                <w:szCs w:val="16"/>
              </w:rPr>
            </w:pPr>
          </w:p>
        </w:tc>
        <w:tc>
          <w:tcPr>
            <w:tcW w:w="3402" w:type="dxa"/>
          </w:tcPr>
          <w:p w14:paraId="710184B6" w14:textId="77777777" w:rsidR="00AE7191" w:rsidRPr="00722885" w:rsidRDefault="00AE7191" w:rsidP="00722885">
            <w:pPr>
              <w:pStyle w:val="Iauiue"/>
              <w:jc w:val="both"/>
              <w:rPr>
                <w:color w:val="000000" w:themeColor="text1"/>
                <w:sz w:val="16"/>
                <w:szCs w:val="16"/>
              </w:rPr>
            </w:pPr>
          </w:p>
        </w:tc>
      </w:tr>
      <w:tr w:rsidR="009B487A" w:rsidRPr="00722885" w14:paraId="633F9BE0" w14:textId="77777777" w:rsidTr="00CC5360">
        <w:tc>
          <w:tcPr>
            <w:tcW w:w="3369" w:type="dxa"/>
          </w:tcPr>
          <w:p w14:paraId="46281F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Куйбышевский автогенный завод</w:t>
            </w:r>
          </w:p>
        </w:tc>
        <w:tc>
          <w:tcPr>
            <w:tcW w:w="3402" w:type="dxa"/>
          </w:tcPr>
          <w:p w14:paraId="0C5EBAE5" w14:textId="77777777" w:rsidR="00AE7191" w:rsidRPr="00722885" w:rsidRDefault="00AE7191" w:rsidP="00722885">
            <w:pPr>
              <w:pStyle w:val="Iauiue"/>
              <w:jc w:val="both"/>
              <w:rPr>
                <w:color w:val="000000" w:themeColor="text1"/>
                <w:sz w:val="16"/>
                <w:szCs w:val="16"/>
              </w:rPr>
            </w:pPr>
          </w:p>
        </w:tc>
        <w:tc>
          <w:tcPr>
            <w:tcW w:w="3402" w:type="dxa"/>
          </w:tcPr>
          <w:p w14:paraId="2934A235" w14:textId="77777777" w:rsidR="00AE7191" w:rsidRPr="00722885" w:rsidRDefault="00AE7191" w:rsidP="00722885">
            <w:pPr>
              <w:pStyle w:val="Iauiue"/>
              <w:jc w:val="both"/>
              <w:rPr>
                <w:color w:val="000000" w:themeColor="text1"/>
                <w:sz w:val="16"/>
                <w:szCs w:val="16"/>
              </w:rPr>
            </w:pPr>
          </w:p>
        </w:tc>
      </w:tr>
      <w:tr w:rsidR="009B487A" w:rsidRPr="00722885" w14:paraId="026F44E9" w14:textId="77777777" w:rsidTr="00CC5360">
        <w:tc>
          <w:tcPr>
            <w:tcW w:w="3369" w:type="dxa"/>
          </w:tcPr>
          <w:p w14:paraId="1A4BCB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Читинский автогенный завод</w:t>
            </w:r>
          </w:p>
        </w:tc>
        <w:tc>
          <w:tcPr>
            <w:tcW w:w="3402" w:type="dxa"/>
          </w:tcPr>
          <w:p w14:paraId="68C304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Чита, п/я 69</w:t>
            </w:r>
          </w:p>
        </w:tc>
        <w:tc>
          <w:tcPr>
            <w:tcW w:w="3402" w:type="dxa"/>
          </w:tcPr>
          <w:p w14:paraId="1C83AC22" w14:textId="77777777" w:rsidR="00AE7191" w:rsidRPr="00722885" w:rsidRDefault="00AE7191" w:rsidP="00722885">
            <w:pPr>
              <w:pStyle w:val="Iauiue"/>
              <w:jc w:val="both"/>
              <w:rPr>
                <w:color w:val="000000" w:themeColor="text1"/>
                <w:sz w:val="16"/>
                <w:szCs w:val="16"/>
              </w:rPr>
            </w:pPr>
          </w:p>
        </w:tc>
      </w:tr>
      <w:tr w:rsidR="009B487A" w:rsidRPr="00722885" w14:paraId="2885B9AE" w14:textId="77777777" w:rsidTr="00CC5360">
        <w:tc>
          <w:tcPr>
            <w:tcW w:w="3369" w:type="dxa"/>
          </w:tcPr>
          <w:p w14:paraId="01B346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Новосибирский автогенный завод</w:t>
            </w:r>
          </w:p>
        </w:tc>
        <w:tc>
          <w:tcPr>
            <w:tcW w:w="3402" w:type="dxa"/>
          </w:tcPr>
          <w:p w14:paraId="55AD54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Новосибирск, ул. Волжская, 80</w:t>
            </w:r>
          </w:p>
        </w:tc>
        <w:tc>
          <w:tcPr>
            <w:tcW w:w="3402" w:type="dxa"/>
          </w:tcPr>
          <w:p w14:paraId="759321D4" w14:textId="77777777" w:rsidR="00AE7191" w:rsidRPr="00722885" w:rsidRDefault="00AE7191" w:rsidP="00722885">
            <w:pPr>
              <w:pStyle w:val="Iauiue"/>
              <w:jc w:val="both"/>
              <w:rPr>
                <w:color w:val="000000" w:themeColor="text1"/>
                <w:sz w:val="16"/>
                <w:szCs w:val="16"/>
              </w:rPr>
            </w:pPr>
          </w:p>
        </w:tc>
      </w:tr>
      <w:tr w:rsidR="009B487A" w:rsidRPr="00722885" w14:paraId="3958CE8E" w14:textId="77777777" w:rsidTr="00CC5360">
        <w:tc>
          <w:tcPr>
            <w:tcW w:w="3369" w:type="dxa"/>
          </w:tcPr>
          <w:p w14:paraId="2D30FE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Красноярский автогенный завод</w:t>
            </w:r>
          </w:p>
        </w:tc>
        <w:tc>
          <w:tcPr>
            <w:tcW w:w="3402" w:type="dxa"/>
          </w:tcPr>
          <w:p w14:paraId="4BAD1B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Красноярск, Алексеевский переезд</w:t>
            </w:r>
          </w:p>
        </w:tc>
        <w:tc>
          <w:tcPr>
            <w:tcW w:w="3402" w:type="dxa"/>
          </w:tcPr>
          <w:p w14:paraId="4AF87978" w14:textId="77777777" w:rsidR="00AE7191" w:rsidRPr="00722885" w:rsidRDefault="00AE7191" w:rsidP="00722885">
            <w:pPr>
              <w:pStyle w:val="Iauiue"/>
              <w:jc w:val="both"/>
              <w:rPr>
                <w:color w:val="000000" w:themeColor="text1"/>
                <w:sz w:val="16"/>
                <w:szCs w:val="16"/>
              </w:rPr>
            </w:pPr>
          </w:p>
        </w:tc>
      </w:tr>
      <w:tr w:rsidR="009B487A" w:rsidRPr="00722885" w14:paraId="0532819E" w14:textId="77777777" w:rsidTr="00CC5360">
        <w:tc>
          <w:tcPr>
            <w:tcW w:w="3369" w:type="dxa"/>
          </w:tcPr>
          <w:p w14:paraId="1EF8EEE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Грозненский автогенный завод</w:t>
            </w:r>
          </w:p>
        </w:tc>
        <w:tc>
          <w:tcPr>
            <w:tcW w:w="3402" w:type="dxa"/>
          </w:tcPr>
          <w:p w14:paraId="4EF13103" w14:textId="77777777" w:rsidR="00AE7191" w:rsidRPr="00722885" w:rsidRDefault="00AE7191" w:rsidP="00722885">
            <w:pPr>
              <w:pStyle w:val="Iauiue"/>
              <w:jc w:val="both"/>
              <w:rPr>
                <w:color w:val="000000" w:themeColor="text1"/>
                <w:sz w:val="16"/>
                <w:szCs w:val="16"/>
              </w:rPr>
            </w:pPr>
          </w:p>
        </w:tc>
        <w:tc>
          <w:tcPr>
            <w:tcW w:w="3402" w:type="dxa"/>
          </w:tcPr>
          <w:p w14:paraId="15F222EC" w14:textId="77777777" w:rsidR="00AE7191" w:rsidRPr="00722885" w:rsidRDefault="00AE7191" w:rsidP="00722885">
            <w:pPr>
              <w:pStyle w:val="Iauiue"/>
              <w:jc w:val="both"/>
              <w:rPr>
                <w:color w:val="000000" w:themeColor="text1"/>
                <w:sz w:val="16"/>
                <w:szCs w:val="16"/>
              </w:rPr>
            </w:pPr>
          </w:p>
        </w:tc>
      </w:tr>
      <w:tr w:rsidR="009B487A" w:rsidRPr="00722885" w14:paraId="773C1B2F" w14:textId="77777777" w:rsidTr="00CC5360">
        <w:tc>
          <w:tcPr>
            <w:tcW w:w="3369" w:type="dxa"/>
          </w:tcPr>
          <w:p w14:paraId="7DA341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Ярославский автогенный завод</w:t>
            </w:r>
          </w:p>
        </w:tc>
        <w:tc>
          <w:tcPr>
            <w:tcW w:w="3402" w:type="dxa"/>
          </w:tcPr>
          <w:p w14:paraId="7B1945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Ярославль, Тутаевское шоссе</w:t>
            </w:r>
          </w:p>
        </w:tc>
        <w:tc>
          <w:tcPr>
            <w:tcW w:w="3402" w:type="dxa"/>
          </w:tcPr>
          <w:p w14:paraId="138F3049" w14:textId="77777777" w:rsidR="00AE7191" w:rsidRPr="00722885" w:rsidRDefault="00AE7191" w:rsidP="00722885">
            <w:pPr>
              <w:pStyle w:val="Iauiue"/>
              <w:jc w:val="both"/>
              <w:rPr>
                <w:color w:val="000000" w:themeColor="text1"/>
                <w:sz w:val="16"/>
                <w:szCs w:val="16"/>
              </w:rPr>
            </w:pPr>
          </w:p>
        </w:tc>
      </w:tr>
      <w:tr w:rsidR="009B487A" w:rsidRPr="00722885" w14:paraId="64A9D216" w14:textId="77777777" w:rsidTr="00CC5360">
        <w:tc>
          <w:tcPr>
            <w:tcW w:w="3369" w:type="dxa"/>
          </w:tcPr>
          <w:p w14:paraId="57EBE2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Саратовский автогенный завод</w:t>
            </w:r>
          </w:p>
        </w:tc>
        <w:tc>
          <w:tcPr>
            <w:tcW w:w="3402" w:type="dxa"/>
          </w:tcPr>
          <w:p w14:paraId="0F6C38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Саратов, Угол ул. Крайней и Астраханского пер., 127</w:t>
            </w:r>
          </w:p>
        </w:tc>
        <w:tc>
          <w:tcPr>
            <w:tcW w:w="3402" w:type="dxa"/>
          </w:tcPr>
          <w:p w14:paraId="45C9AACA" w14:textId="77777777" w:rsidR="00AE7191" w:rsidRPr="00722885" w:rsidRDefault="00AE7191" w:rsidP="00722885">
            <w:pPr>
              <w:pStyle w:val="Iauiue"/>
              <w:jc w:val="both"/>
              <w:rPr>
                <w:color w:val="000000" w:themeColor="text1"/>
                <w:sz w:val="16"/>
                <w:szCs w:val="16"/>
              </w:rPr>
            </w:pPr>
          </w:p>
        </w:tc>
      </w:tr>
      <w:tr w:rsidR="009B487A" w:rsidRPr="00722885" w14:paraId="09592CD9" w14:textId="77777777" w:rsidTr="00CC5360">
        <w:tc>
          <w:tcPr>
            <w:tcW w:w="3369" w:type="dxa"/>
          </w:tcPr>
          <w:p w14:paraId="61ED73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Молотовский автогенный завод</w:t>
            </w:r>
          </w:p>
        </w:tc>
        <w:tc>
          <w:tcPr>
            <w:tcW w:w="3402" w:type="dxa"/>
          </w:tcPr>
          <w:p w14:paraId="6D74E9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Молотов, 10-е агентство</w:t>
            </w:r>
          </w:p>
        </w:tc>
        <w:tc>
          <w:tcPr>
            <w:tcW w:w="3402" w:type="dxa"/>
          </w:tcPr>
          <w:p w14:paraId="3936E0C1" w14:textId="77777777" w:rsidR="00AE7191" w:rsidRPr="00722885" w:rsidRDefault="00AE7191" w:rsidP="00722885">
            <w:pPr>
              <w:pStyle w:val="Iauiue"/>
              <w:jc w:val="both"/>
              <w:rPr>
                <w:color w:val="000000" w:themeColor="text1"/>
                <w:sz w:val="16"/>
                <w:szCs w:val="16"/>
              </w:rPr>
            </w:pPr>
          </w:p>
        </w:tc>
      </w:tr>
      <w:tr w:rsidR="009B487A" w:rsidRPr="00722885" w14:paraId="1AAEDCDA" w14:textId="77777777" w:rsidTr="00CC5360">
        <w:tc>
          <w:tcPr>
            <w:tcW w:w="3369" w:type="dxa"/>
          </w:tcPr>
          <w:p w14:paraId="3D1A476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Ташкентский автогенный завод</w:t>
            </w:r>
          </w:p>
        </w:tc>
        <w:tc>
          <w:tcPr>
            <w:tcW w:w="3402" w:type="dxa"/>
          </w:tcPr>
          <w:p w14:paraId="34328B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Ташкент, ул. Чернякова, 34</w:t>
            </w:r>
          </w:p>
        </w:tc>
        <w:tc>
          <w:tcPr>
            <w:tcW w:w="3402" w:type="dxa"/>
          </w:tcPr>
          <w:p w14:paraId="121A6C06" w14:textId="77777777" w:rsidR="00AE7191" w:rsidRPr="00722885" w:rsidRDefault="00AE7191" w:rsidP="00722885">
            <w:pPr>
              <w:pStyle w:val="Iauiue"/>
              <w:jc w:val="both"/>
              <w:rPr>
                <w:color w:val="000000" w:themeColor="text1"/>
                <w:sz w:val="16"/>
                <w:szCs w:val="16"/>
              </w:rPr>
            </w:pPr>
          </w:p>
        </w:tc>
      </w:tr>
      <w:tr w:rsidR="009B487A" w:rsidRPr="00722885" w14:paraId="06581848" w14:textId="77777777" w:rsidTr="00CC5360">
        <w:tc>
          <w:tcPr>
            <w:tcW w:w="3369" w:type="dxa"/>
          </w:tcPr>
          <w:p w14:paraId="415B53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Чарджоусский автогенный завод</w:t>
            </w:r>
          </w:p>
        </w:tc>
        <w:tc>
          <w:tcPr>
            <w:tcW w:w="3402" w:type="dxa"/>
          </w:tcPr>
          <w:p w14:paraId="67970B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Чарджоу, ул. Кладбищенская, 10</w:t>
            </w:r>
          </w:p>
        </w:tc>
        <w:tc>
          <w:tcPr>
            <w:tcW w:w="3402" w:type="dxa"/>
          </w:tcPr>
          <w:p w14:paraId="2898BB59" w14:textId="77777777" w:rsidR="00AE7191" w:rsidRPr="00722885" w:rsidRDefault="00AE7191" w:rsidP="00722885">
            <w:pPr>
              <w:pStyle w:val="Iauiue"/>
              <w:jc w:val="both"/>
              <w:rPr>
                <w:color w:val="000000" w:themeColor="text1"/>
                <w:sz w:val="16"/>
                <w:szCs w:val="16"/>
              </w:rPr>
            </w:pPr>
          </w:p>
        </w:tc>
      </w:tr>
    </w:tbl>
    <w:p w14:paraId="7CA838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(8825)</w:t>
      </w:r>
    </w:p>
    <w:p w14:paraId="5C8E747A" w14:textId="77777777" w:rsidR="00AE7191" w:rsidRPr="00722885" w:rsidRDefault="00AE7191" w:rsidP="00722885">
      <w:pPr>
        <w:pStyle w:val="Iauiue"/>
        <w:jc w:val="both"/>
        <w:rPr>
          <w:iCs/>
          <w:color w:val="000000" w:themeColor="text1"/>
          <w:sz w:val="16"/>
          <w:szCs w:val="16"/>
        </w:rPr>
      </w:pPr>
    </w:p>
    <w:p w14:paraId="601764E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 августа 1942 вышло Постановление ГКО № 2130 Об общем плане погрузки народнохозяйственных и воинских грузов на август 1942 г. (7047, 162).</w:t>
      </w:r>
    </w:p>
    <w:p w14:paraId="7C85EF8A" w14:textId="77777777" w:rsidR="00AE7191" w:rsidRPr="00722885" w:rsidRDefault="00AE7191" w:rsidP="00722885">
      <w:pPr>
        <w:pStyle w:val="Iauiue"/>
        <w:tabs>
          <w:tab w:val="left" w:pos="11199"/>
        </w:tabs>
        <w:jc w:val="both"/>
        <w:rPr>
          <w:color w:val="000000" w:themeColor="text1"/>
          <w:sz w:val="16"/>
          <w:szCs w:val="16"/>
        </w:rPr>
      </w:pPr>
    </w:p>
    <w:p w14:paraId="39437F3D"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 августа 1942 вышло Постановление ГКО № 2131 О плане перевозок сухогрузов по Каспийскому морю на август 1942 г. и мерах по его выполнению. (7047, 163-165,166-167).</w:t>
      </w:r>
    </w:p>
    <w:p w14:paraId="6D75159C" w14:textId="77777777" w:rsidR="00AE7191" w:rsidRPr="00722885" w:rsidRDefault="00AE7191" w:rsidP="00722885">
      <w:pPr>
        <w:pStyle w:val="Iauiue"/>
        <w:tabs>
          <w:tab w:val="left" w:pos="11199"/>
        </w:tabs>
        <w:jc w:val="both"/>
        <w:rPr>
          <w:color w:val="000000" w:themeColor="text1"/>
          <w:sz w:val="16"/>
          <w:szCs w:val="16"/>
        </w:rPr>
      </w:pPr>
    </w:p>
    <w:p w14:paraId="3FCAE25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55996A4" w14:textId="77777777" w:rsidR="00AE7191" w:rsidRPr="00722885" w:rsidRDefault="00AE7191" w:rsidP="00722885">
      <w:pPr>
        <w:pStyle w:val="Iauiue"/>
        <w:jc w:val="both"/>
        <w:rPr>
          <w:iCs/>
          <w:color w:val="000000" w:themeColor="text1"/>
          <w:sz w:val="16"/>
          <w:szCs w:val="16"/>
        </w:rPr>
      </w:pPr>
    </w:p>
    <w:p w14:paraId="38F50186"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августа в 1942 году утреннее сообщение Совинформбюро:</w:t>
      </w:r>
    </w:p>
    <w:p w14:paraId="2A483365"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 августа наши войска вели бои с противником в районах Клетская, Цымлянская, южнее и юго-восточнее Батайска.</w:t>
      </w:r>
    </w:p>
    <w:p w14:paraId="2EE868A2"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2502D882"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продолжались ожесточённые бои. Н-ская танковая часть вела бой с пехотой и танками врага. Уничтожено два штаба войсковых частей противника,12 противотанковых орудий, 2 танка, 3 бронемашины и не менее 1.500 немецких солдат и офицеров. Нашими бойцами захвачено 100 подвод с военным и муществом ивооружением.</w:t>
      </w:r>
    </w:p>
    <w:p w14:paraId="7938BBE7"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и юго-восточнее Батайска наши войска вели тяжёлые бои с мотопехотой и танками противника. Немцы, стянув большое количество войск, стремятся развить успех. Сражения часто переходят в кровопролитные рукопашные схватки. Одна наша часть в течение суток сдерживала напор танков и пехоты немцев, поддержанных авиацией. Смелые бойцы сожгли 17 немецких танков и истребили свыше 1.100 гитлеровцев. Однако противнику удалось ворваться в расположение части. Завязался бой внутри оборонительного района. На другом участке советские части отошли на новые рубежи.</w:t>
      </w:r>
    </w:p>
    <w:p w14:paraId="108D9477"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продолжались бои местного значения. Танковое подразделение под командованием капитана Горлага за последние дни уничтожило 30 немецких танков и до 400 солдат и офицеров противника. Одна артиллерийская батарея за четыре дня вывела из строя 18 вражеских танков, шестиствольный миномёт, 3 миномётные и одну зенитную батареи и истребила до 300 немецких солдат и офицеров. Бронебойщики сержант т. Луценко и красноармеец т. Дмитриев, отражая атаку противника, подбили 2 немецких танка.</w:t>
      </w:r>
    </w:p>
    <w:p w14:paraId="22856356"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тов. Н., действующий в одном из районов Белоруссии, втечение трёх дней уничтожил 226 гитлеровцев. В июле партизаны этого отряда пустили под откос два воинских эшелона противника. Группа партизан другого отряда, действующего в соседнем районе, подожгла склад с горючим. Огнём уничтожено 120 тонн бензина и 40 тонн смазочных масел.</w:t>
      </w:r>
    </w:p>
    <w:p w14:paraId="7240A65E"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обер-ефрейтор 3 батареи 1 дивизиона 138 немецкого полка Антон Тишлер рассказал: «В марте 1942 г. 138 зенитный полк был разбит и остался без материальной части. После этого он несколько раз получал людские пополнения и новые орудия. В начале июля первый дивизион снова потерял более половины всех орудий и личного состава. А когда дивизион в районе Воронежа переправился через реку, он был полностью разбит. Жалкие остатки его были взяты в плен».</w:t>
      </w:r>
    </w:p>
    <w:p w14:paraId="353B52F8"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истребляют население захваченных советских районов. На окраине города Курска гитлеровцы создали лагерь для гражданского населения. В этом лагере, огороженном колючей проволокой, находится свыше пятисот заключённых женщин и стариков, а также детей и подростков. Заключённых заставляют выполнять самые тяжёлые работы. В результате голода и зверских истязаний в лагере ежедневно умирает 5—10 человек.</w:t>
      </w:r>
    </w:p>
    <w:p w14:paraId="3FEAC072"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последнее время чрезвычайно обострилось продовольственное положение в городе Гамбурге (Германия). В течение недели жители не получают ни грамма хлеба. В городе вспыхнула эпидемия тифа. 26 июля в Гамбурге произошла голодная демонстрация. Толпа женщин разгромила несколько продовольственных складов и магазинов. Гестаповцы, пытаясь рассеять демонстрантов, пустили в ход оружие. Убито и ранено 45 человек. Полиция произвела массовые аресты.» (14970).</w:t>
      </w:r>
    </w:p>
    <w:p w14:paraId="2BE5B2C7"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26083C35"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августа в 1942 году вечернее сообщение Совинформбюро:</w:t>
      </w:r>
    </w:p>
    <w:p w14:paraId="24FA94C6"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 августа наши войска вели ожесточённые бои в районах Клетская, Цымлянская, Кущевская, Сальск. На других участках фронта существенных изменений не произошло.</w:t>
      </w:r>
    </w:p>
    <w:p w14:paraId="3C2A2966"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 31 июля частями нашей авиации на различных участках фронта уничтожено или повреждено до 50 немецких танков, 330 автомашин с войсками и грузами, 45 повозок с боеприпасами, подавлен огонь 20 батарей полевой и зенитной артиллерии, взорвано 2 склада боеприпасов и 2 склада горючего, разбит железнодорожный состав, рассеяно и частью уничтожено до трёх батальонов пехоты противника.</w:t>
      </w:r>
    </w:p>
    <w:p w14:paraId="3883141C"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и южнее этого пункта противник, вводя в бой новые резервы, усиливает нажим на наши оборонительные рубежи. Наши войска сдерживали натиск гитлеровцев, а на отдельных участках активными действиями наносили удары по танковым и пехотным частям противника. Н-ский стрелковый батальон в течение дня отбил семь атак противника. Вечером после ожесточённой бомбардировки наших рубежей немцы при поддержке танков восьмой раз пошли в атаку. На вражескую пехоту наши бойцы обрушили мощный миномётный и пулемётный огонь. Потеряв 6танков и свыше 500 человек убитыми и ранеными, гитлеровцы отступили. Успешно действует наша танковая часть. Танкисты смелым броском ворвались в расположение противника и разгромили крупную автоколонну с боеприпасами. Кроме того, во время этой операции уничтожено 12 орудий, 2 немецких танка и не менее 400 гитлеровцев.</w:t>
      </w:r>
    </w:p>
    <w:p w14:paraId="17A738C9"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 южном берегу Дона, продолжались упорные бои с противником. На одном участке наши артиллеристы и миномётчики встретили вражескую колонну танков и мотопехоты сосредоточенным огнём на заранее пристрелянных рубежах. Противник потерял 10 танков, 6 бронемашин, 14 орудий и 17 пулемётов. На поле боя осталось до 800 убитых немецких солдат и офицеров.</w:t>
      </w:r>
    </w:p>
    <w:p w14:paraId="053A3CDB"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районах Кущевской и Сальска наши войска вели ожесточённые бои с численно превосходящими силами противника. Опорный бой с противником произошёл около одной водной переправы. Действующие на этом участке наши части истребили до1.500 гитлеровцев. На поле боя осталось несколько десятков подбитых немецких танков. Не менее ожесточённые бои шли в районе Сальска. Гитлеровцы предприняли несколько танковых атак и ценой больших потерь потеснили наши части.</w:t>
      </w:r>
    </w:p>
    <w:p w14:paraId="263D5C20"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советские войска закреплялись на достигнутых рубежах. Активно действовали разведывательные отряды. Южнее города противник пытался атаковать наши позиции, но был отброшен с большими для него потерями. Артиллеристы Н-ской части несколькими огневыми налётами уничтожили 70 пулемётных точек, миномётную батарею, блиндаж с боеприпасами и до роты пехоты противника. Действиями нашей авиации взорван железнодорожный эшелон с боеприпасами и большой артиллерийский склад противника.</w:t>
      </w:r>
    </w:p>
    <w:p w14:paraId="1B0404CE"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Белорусские партизаны непрерывно наносят удары по коммуникациям немецко-фашистских оккупантов. Недавно организовавшийся отряд «Котовский» взорвал мост через реку. Движение по шоссе в связи с этим было закрыто. Партизаны отряда под командованием тов. Р. организовали крушение железнодорожного эшелона противника. Разбито 18 платформ с танками, 10 платформ с орудиями и 4 вагона с солдатами. Через несколько дней советские патриоты пустили под откос состав с боеприпасами. Взрывы продолжались в течение 40 минут. Действия партизан вызывают у гитлеровцев большую тревогу. Перехвачена разосланная железнодорожным комендантом следующая телеграмма: «Железнодорожнаякомендатура «Центр» требует срочно усилить охрану путей. Партизаны наносят чувствительные удары главным образом в районе Витебска, Невеля, Полоцка, Лиды, Барановичей, Молодечно».</w:t>
      </w:r>
    </w:p>
    <w:p w14:paraId="043909C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дневника убитого немецкого офицера Гильнера:</w:t>
      </w:r>
    </w:p>
    <w:p w14:paraId="1B3836CA"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июня. Отпуск кончился. Едем через Брест-Литовск — Барановичи — Минск. Цветущие фруктовые деревья и очень мало посевов. Кругом пустырь. Ночью не едем дальше. Здесь опасные места. Много партизан.</w:t>
      </w:r>
    </w:p>
    <w:p w14:paraId="569A98A8"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июня. Брянск. Ночью три воздушных налёта. Взрывы бомб и зенитный огонь. Всю ночь не спал. Вспомнились мысли, пришедшие в голову ещё дома: родина чрезвычайно перенапряжена. Все сколько-нибудь пригодные к военной службе призваны. Очень много иностранных рабочих. Их присутствие жизненно необходимо, но в то же время таит в себе опасность для Германии. Они сейчас притаились, но что будет, если нас постигнут военные неудачи? Больше всего занимает меня мысльо потерях германской армии. Есть все основания считать, что потери на русском фронте уже превзошли потери германской армии на всех фронтах за 4 года первой мировой войны.</w:t>
      </w:r>
    </w:p>
    <w:p w14:paraId="03DF447E"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июня. Явился к капитану Гуммель-Гиршбергу. Принял свою роту. Боевой состав роты: 3 офицера, 16 унтер-офицеров, 73 рядовых.</w:t>
      </w:r>
    </w:p>
    <w:p w14:paraId="275358FC"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июля. Русская артиллерия стреляет из всех орудий. Какие тяжёлые потери она нам наносит. Если так будет продолжаться, через неделю в роте никого не останется».</w:t>
      </w:r>
    </w:p>
    <w:p w14:paraId="438992C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Батайска немецко-фашистские мерзавцы загнали на минированное поле толпу местных жителей — женщин, детей и стариков. Свыше 150 человек подорвались на минах.</w:t>
      </w:r>
    </w:p>
    <w:p w14:paraId="0FD02D2B"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огромными потерями немецкой армии на советско-германском фронте германское командование произвело призыв лиц рождения 1925 года. В армию также мобилизованы лица всех возрастов, освобождённые ранее от военной службы по состоянию здоровья.</w:t>
      </w:r>
    </w:p>
    <w:p w14:paraId="4061746E"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где директором тов. Волков, изготовляющий особо важные виды боеприпасов, получил на июль увеличенную программу. Коллектив завода успешно справился с выполнением этого задания. Завод выпустил боеприпасов в июле месяце на 73 процента больше, чем в июне.».</w:t>
      </w:r>
    </w:p>
    <w:p w14:paraId="75BC876F"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5CA4A79B" w14:textId="77777777" w:rsidR="004C71FA" w:rsidRPr="00722885" w:rsidRDefault="004C71FA" w:rsidP="00722885">
      <w:pPr>
        <w:pStyle w:val="ae"/>
        <w:spacing w:before="0" w:after="0"/>
        <w:jc w:val="both"/>
        <w:textAlignment w:val="baseline"/>
        <w:rPr>
          <w:color w:val="000000" w:themeColor="text1"/>
          <w:sz w:val="16"/>
          <w:szCs w:val="16"/>
        </w:rPr>
      </w:pPr>
      <w:r w:rsidRPr="00722885">
        <w:rPr>
          <w:color w:val="000000" w:themeColor="text1"/>
          <w:sz w:val="16"/>
          <w:szCs w:val="16"/>
        </w:rPr>
        <w:t>1 августа 1942 во время налета Ил-2 из 622-го шап на переправу через Дон в районе хутора Липологовского огнем зенитной артиллерии был подбит самолет лейтенанта Т. Д. Одинцова. По утверждению сослуживцев, он, покачав крыльями, пошел на таран немецких танков. Затем Одинцова посмертно наградили орденом Красного Знамени (19522).</w:t>
      </w:r>
    </w:p>
    <w:p w14:paraId="33BECFEF" w14:textId="77777777" w:rsidR="004C71FA" w:rsidRPr="00722885" w:rsidRDefault="004C71FA" w:rsidP="00722885">
      <w:pPr>
        <w:pStyle w:val="ae"/>
        <w:spacing w:before="0" w:after="0"/>
        <w:jc w:val="both"/>
        <w:textAlignment w:val="baseline"/>
        <w:rPr>
          <w:color w:val="000000" w:themeColor="text1"/>
          <w:sz w:val="16"/>
          <w:szCs w:val="16"/>
        </w:rPr>
      </w:pPr>
    </w:p>
    <w:p w14:paraId="3A3BC982"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августа в 1942 году немецкие войска отрезают железную дорогу Краснодар-Сталинград (14970).</w:t>
      </w:r>
    </w:p>
    <w:p w14:paraId="22AE5738"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1554D4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пе</w:t>
      </w:r>
      <w:r w:rsidRPr="00722885">
        <w:rPr>
          <w:color w:val="000000" w:themeColor="text1"/>
          <w:sz w:val="16"/>
          <w:szCs w:val="16"/>
        </w:rPr>
        <w:softHyphen/>
        <w:t>риод с 1 августа по 1 июля 1943 средний налет, приходящий</w:t>
      </w:r>
      <w:r w:rsidRPr="00722885">
        <w:rPr>
          <w:color w:val="000000" w:themeColor="text1"/>
          <w:sz w:val="16"/>
          <w:szCs w:val="16"/>
        </w:rPr>
        <w:softHyphen/>
        <w:t>ся на одну боевую потерю Ил-2 по всем фронтам по официальным данным ВВС, составил 26'самолето-вылетов, что вдвое больше, чем за период с 22 июня 1941 по 1 июля 1942 г. когда средний налет, приходящий</w:t>
      </w:r>
      <w:r w:rsidRPr="00722885">
        <w:rPr>
          <w:color w:val="000000" w:themeColor="text1"/>
          <w:sz w:val="16"/>
          <w:szCs w:val="16"/>
        </w:rPr>
        <w:softHyphen/>
        <w:t>ся на одну боевую потерю Ил-2 по всем фронтам по официальным данным ВВС, составил 13 самолето-вылетов (6467).</w:t>
      </w:r>
    </w:p>
    <w:p w14:paraId="72731960" w14:textId="77777777" w:rsidR="00AE7191" w:rsidRPr="00722885" w:rsidRDefault="00AE7191" w:rsidP="00722885">
      <w:pPr>
        <w:pStyle w:val="Iauiue"/>
        <w:jc w:val="both"/>
        <w:rPr>
          <w:color w:val="000000" w:themeColor="text1"/>
          <w:sz w:val="16"/>
          <w:szCs w:val="16"/>
        </w:rPr>
      </w:pPr>
    </w:p>
    <w:p w14:paraId="44A15E3A" w14:textId="77777777" w:rsidR="00AE7191" w:rsidRPr="00722885" w:rsidRDefault="00AE7191" w:rsidP="00722885">
      <w:pPr>
        <w:pStyle w:val="Iauiue"/>
        <w:tabs>
          <w:tab w:val="left" w:pos="11199"/>
        </w:tabs>
        <w:jc w:val="both"/>
        <w:rPr>
          <w:color w:val="000000" w:themeColor="text1"/>
          <w:sz w:val="16"/>
          <w:szCs w:val="16"/>
          <w:lang w:val="en-US"/>
        </w:rPr>
      </w:pPr>
      <w:r w:rsidRPr="00722885">
        <w:rPr>
          <w:color w:val="000000" w:themeColor="text1"/>
          <w:sz w:val="16"/>
          <w:szCs w:val="16"/>
        </w:rPr>
        <w:t xml:space="preserve">1 августа 1942 вышло Постановление ГКО № 2129 [О городском комитете обороны в Балашове Саратовской обл.] </w:t>
      </w:r>
      <w:r w:rsidRPr="00722885">
        <w:rPr>
          <w:color w:val="000000" w:themeColor="text1"/>
          <w:sz w:val="16"/>
          <w:szCs w:val="16"/>
          <w:lang w:val="en-US"/>
        </w:rPr>
        <w:t>(7047, 161).</w:t>
      </w:r>
    </w:p>
    <w:p w14:paraId="7DA8B5B4" w14:textId="77777777" w:rsidR="00AE7191" w:rsidRPr="00722885" w:rsidRDefault="00AE7191" w:rsidP="00722885">
      <w:pPr>
        <w:pStyle w:val="Iauiue"/>
        <w:tabs>
          <w:tab w:val="left" w:pos="11199"/>
        </w:tabs>
        <w:jc w:val="both"/>
        <w:rPr>
          <w:color w:val="000000" w:themeColor="text1"/>
          <w:sz w:val="16"/>
          <w:szCs w:val="16"/>
          <w:lang w:val="en-US"/>
        </w:rPr>
      </w:pPr>
    </w:p>
    <w:p w14:paraId="4C4FA40A" w14:textId="77777777" w:rsidR="00AE7191" w:rsidRPr="00722885" w:rsidRDefault="00AE7191" w:rsidP="00722885">
      <w:pPr>
        <w:pStyle w:val="Iauiue"/>
        <w:tabs>
          <w:tab w:val="left" w:pos="11199"/>
        </w:tabs>
        <w:jc w:val="both"/>
        <w:rPr>
          <w:color w:val="000000" w:themeColor="text1"/>
          <w:sz w:val="16"/>
          <w:szCs w:val="16"/>
          <w:lang w:val="en-US"/>
        </w:rPr>
      </w:pPr>
      <w:r w:rsidRPr="00722885">
        <w:rPr>
          <w:color w:val="000000" w:themeColor="text1"/>
          <w:sz w:val="16"/>
          <w:szCs w:val="16"/>
          <w:lang w:val="en-US"/>
        </w:rPr>
        <w:t xml:space="preserve">1 </w:t>
      </w:r>
      <w:r w:rsidRPr="00722885">
        <w:rPr>
          <w:color w:val="000000" w:themeColor="text1"/>
          <w:sz w:val="16"/>
          <w:szCs w:val="16"/>
        </w:rPr>
        <w:t>августа</w:t>
      </w:r>
      <w:r w:rsidRPr="00722885">
        <w:rPr>
          <w:color w:val="000000" w:themeColor="text1"/>
          <w:sz w:val="16"/>
          <w:szCs w:val="16"/>
          <w:lang w:val="en-US"/>
        </w:rPr>
        <w:t xml:space="preserve"> 1942 </w:t>
      </w:r>
      <w:r w:rsidRPr="00722885">
        <w:rPr>
          <w:color w:val="000000" w:themeColor="text1"/>
          <w:sz w:val="16"/>
          <w:szCs w:val="16"/>
        </w:rPr>
        <w:t>немецкие</w:t>
      </w:r>
      <w:r w:rsidRPr="00722885">
        <w:rPr>
          <w:color w:val="000000" w:themeColor="text1"/>
          <w:sz w:val="16"/>
          <w:szCs w:val="16"/>
          <w:lang w:val="en-US"/>
        </w:rPr>
        <w:t xml:space="preserve"> </w:t>
      </w:r>
      <w:r w:rsidRPr="00722885">
        <w:rPr>
          <w:color w:val="000000" w:themeColor="text1"/>
          <w:sz w:val="16"/>
          <w:szCs w:val="16"/>
        </w:rPr>
        <w:t>войска</w:t>
      </w:r>
      <w:r w:rsidRPr="00722885">
        <w:rPr>
          <w:color w:val="000000" w:themeColor="text1"/>
          <w:sz w:val="16"/>
          <w:szCs w:val="16"/>
          <w:lang w:val="en-US"/>
        </w:rPr>
        <w:t xml:space="preserve"> </w:t>
      </w:r>
      <w:r w:rsidRPr="00722885">
        <w:rPr>
          <w:color w:val="000000" w:themeColor="text1"/>
          <w:sz w:val="16"/>
          <w:szCs w:val="16"/>
        </w:rPr>
        <w:t>отрезали</w:t>
      </w:r>
      <w:r w:rsidRPr="00722885">
        <w:rPr>
          <w:color w:val="000000" w:themeColor="text1"/>
          <w:sz w:val="16"/>
          <w:szCs w:val="16"/>
          <w:lang w:val="en-US"/>
        </w:rPr>
        <w:t xml:space="preserve"> </w:t>
      </w:r>
      <w:r w:rsidRPr="00722885">
        <w:rPr>
          <w:color w:val="000000" w:themeColor="text1"/>
          <w:sz w:val="16"/>
          <w:szCs w:val="16"/>
        </w:rPr>
        <w:t>железную</w:t>
      </w:r>
      <w:r w:rsidRPr="00722885">
        <w:rPr>
          <w:color w:val="000000" w:themeColor="text1"/>
          <w:sz w:val="16"/>
          <w:szCs w:val="16"/>
          <w:lang w:val="en-US"/>
        </w:rPr>
        <w:t xml:space="preserve"> </w:t>
      </w:r>
      <w:r w:rsidRPr="00722885">
        <w:rPr>
          <w:color w:val="000000" w:themeColor="text1"/>
          <w:sz w:val="16"/>
          <w:szCs w:val="16"/>
        </w:rPr>
        <w:t>дорогу</w:t>
      </w:r>
      <w:r w:rsidRPr="00722885">
        <w:rPr>
          <w:color w:val="000000" w:themeColor="text1"/>
          <w:sz w:val="16"/>
          <w:szCs w:val="16"/>
          <w:lang w:val="en-US"/>
        </w:rPr>
        <w:t xml:space="preserve"> </w:t>
      </w:r>
      <w:r w:rsidRPr="00722885">
        <w:rPr>
          <w:color w:val="000000" w:themeColor="text1"/>
          <w:sz w:val="16"/>
          <w:szCs w:val="16"/>
        </w:rPr>
        <w:t>Краснодар</w:t>
      </w:r>
      <w:r w:rsidRPr="00722885">
        <w:rPr>
          <w:color w:val="000000" w:themeColor="text1"/>
          <w:sz w:val="16"/>
          <w:szCs w:val="16"/>
          <w:lang w:val="en-US"/>
        </w:rPr>
        <w:t>-</w:t>
      </w:r>
      <w:r w:rsidRPr="00722885">
        <w:rPr>
          <w:color w:val="000000" w:themeColor="text1"/>
          <w:sz w:val="16"/>
          <w:szCs w:val="16"/>
        </w:rPr>
        <w:t>Сталинград</w:t>
      </w:r>
      <w:r w:rsidRPr="00722885">
        <w:rPr>
          <w:color w:val="000000" w:themeColor="text1"/>
          <w:sz w:val="16"/>
          <w:szCs w:val="16"/>
          <w:lang w:val="en-US"/>
        </w:rPr>
        <w:t xml:space="preserve"> (4962).</w:t>
      </w:r>
    </w:p>
    <w:p w14:paraId="2654F1F8" w14:textId="77777777" w:rsidR="00AE7191" w:rsidRPr="00722885" w:rsidRDefault="00AE7191" w:rsidP="00722885">
      <w:pPr>
        <w:pStyle w:val="Iauiue"/>
        <w:tabs>
          <w:tab w:val="left" w:pos="11199"/>
        </w:tabs>
        <w:jc w:val="both"/>
        <w:rPr>
          <w:color w:val="000000" w:themeColor="text1"/>
          <w:sz w:val="16"/>
          <w:szCs w:val="16"/>
          <w:lang w:val="en-US"/>
        </w:rPr>
      </w:pPr>
    </w:p>
    <w:p w14:paraId="23D384DF"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1, 1942: Armeegruppe A in the south continues to fan out into the Caucasus region, while advance units reach the Kuban River. Armeegruppe B continues to fight to cut off the Soviet defenders near Kalach in the Don bend near Stalingrad (3819).</w:t>
      </w:r>
    </w:p>
    <w:p w14:paraId="049D2752" w14:textId="77777777" w:rsidR="00AE7191" w:rsidRPr="00722885" w:rsidRDefault="00AE7191" w:rsidP="00722885">
      <w:pPr>
        <w:pStyle w:val="Iauiue"/>
        <w:jc w:val="both"/>
        <w:rPr>
          <w:color w:val="000000" w:themeColor="text1"/>
          <w:sz w:val="16"/>
          <w:szCs w:val="16"/>
          <w:lang w:val="en-US"/>
        </w:rPr>
      </w:pPr>
    </w:p>
    <w:p w14:paraId="1BFA33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августа 1942 Группа А продолжила наступление на Кавказ и передовые части достигли Кубани. Группа Б продолжила бои с целью отрезать части КА у Калача от Сталинграда (3819).</w:t>
      </w:r>
    </w:p>
    <w:p w14:paraId="6888579F" w14:textId="77777777" w:rsidR="00AE7191" w:rsidRPr="00722885" w:rsidRDefault="00AE7191" w:rsidP="00722885">
      <w:pPr>
        <w:pStyle w:val="Iauiue"/>
        <w:jc w:val="both"/>
        <w:rPr>
          <w:color w:val="000000" w:themeColor="text1"/>
          <w:sz w:val="16"/>
          <w:szCs w:val="16"/>
        </w:rPr>
      </w:pPr>
    </w:p>
    <w:p w14:paraId="5196586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ночь на 1 августа 1942 г. в районе Старицкого Яра подорвался на мине и затонул пассажирский пароход «Петр Чайковский». Несмотря на принимаемые меры, обстановка на волжской магистрали продолжала ухудшаться. По ночам над рекой барражировали мелкие группы немецких самолетов, состоявшие из одного цельфиндера и двух-трех бомбардировщиков. Первый периодически сбрасывал на парашютах осветительные ракеты, остальные – охотились за кораблями. Кроме того, с высокого западного берега реки наблюдение за движением судов вели многочисленные шпионско-диверсионные группы, по ночам пускавшие ракеты, обозначая цели для бомбометания. Учитывая большие пространства и малую плотность населения региона, изловить их было очень трудно. В результате суда гибли одно за другим. 1 августа экипаж He-Ill «1G+CR» из 7-й эскадрильи KG27 в ходе очередного боевого вылета над Волгой потопил сразу два крупных речных корабля, после чего благополучно вернулся на аэродром Курск. Таким образом, только в течение двух дней жертвами этого самолета стали четыре судна! 2 августа немецкими самолетами впервые был атакован корабль на Каспийском море. Три «Хейнкеля» сбросили бомбы на пароход «Красноармеец», перевозивший воинскую часть численностью 1200 человек. 1 августа Сталинградский комитет обороны поставил перед командующим корпусным районом ПВО полковником Райниным вопрос о необходимости значительно придвинуть наблюдательные посты к Волге  «в целях получения информации о деятельности вражеской авиации и организации необходимой охраны для продвигающихся караванов». Районные комитеты партии получили приказ принять меры к привлечению истребительных батальонов для розыска и поимки ракетчиков, засевших на берегах реки. Вскоре начались прочесывания местности, массовые проверки документов в пунктах отстоя флота, организация секретных постов наблюдения на возвышенностях, примыкающих к Волге. Так наступил тяжелый для нашей страны август 1942 г. Немецкая группа армий «А» форсировала Дон и стремительно продвигалась к Кавказу, 48-й танковый корпус совместно с румынскими частями повернул на восток к г. Котельниковский. Вокруг Саратова спешно восстанавливались оборонительные рубежи. Корабли, идущие по Волге, постоянно подвергались ударам авиации и подрывались на минах. В целях обеспечения безопасности судоходства на участке рейда Астрахани была создана особая военизированная флотилия. В ее состав вошли более 56 баркасов, моторных рыбниц и сейнеров. Для поддержания бесперебойной работы флота по выполнению военных и народнохозяйственных перевозок, сохранения грузов и плавучих средств от минной опасности Астраханский комитет обороны в своем постановлении № 187 от 3 августа просил ГКО СССР выделить дополнительные единицы вооружения и авиации, военных катеров и тральщиков. В результате принятых мер охрана Астрахани и рейда была значительно усилена. Охрану Волги обеспечивал отряд бронекатеров и тральщиков Астраханской военно-морской базы Каспийской военной флотилии. С воздуха город прикрывала истребительная авиация Астраханского дивизионного района ПВО. Одновременно в Южном Поволжье складывалась критическая ситуация с эвакуацией на левый берег Волги. У переправ скапливались большие массы скота, машин и тракторов. На 4 августа на западном берегу реки в районе Дубовки собрались 50 тыс. голов скота, 18 МТС с машинами и 500 тракторов, в районе Горного Балыклея – 25 тыс. голов скота, 10 МТС с сельхозмашинами и 350 тракторов, в районе Каменного Яра </w:t>
      </w:r>
      <w:r w:rsidRPr="00722885">
        <w:rPr>
          <w:rFonts w:ascii="Times New Roman" w:hAnsi="Times New Roman"/>
          <w:color w:val="000000" w:themeColor="text1"/>
          <w:sz w:val="16"/>
          <w:szCs w:val="16"/>
        </w:rPr>
        <w:lastRenderedPageBreak/>
        <w:t>– 60 тыс. голов скота, 14 МТС с машинами и 400 тракторов, в районе Камышина на подходе были 60 тыс. голов скота, 11 МТС и 400 тракторов. Учитывая, что в ближайшие дни к переправе ожидались около 1400 тыс. голов скота и большое число тракторов, а также другой сельхозтехники, были необходимы неотложные меры по ее обеспечению. Секретарь Сталинградского обкома ВКП(б) А. С. Чуянов и заместитель заведующего сельхозотделом ЦК ВКП(б) А. И. Козлов 5 августа писали наркому речного флота Союза ССР 3. А. Шашкову:  «Во избежание массовой гибели скота и для быстрой переправы через Волгу скота и имущества колхозов и совхозов считаем необходимым, чтобы Вы дали указание о немедленной организации переправы с суточной пропускной способностью 90тыс. голов… Все эти переправы должны быть использованы только для переправы скота и имущества совхозов, МТС и колхозов и людей, переправляющих этот скот и имущество».  Речной транспорт, неся постоянные потери, не справлялся с перевозками, к которым добавился и нескончаемый поток раненых. Пассажирский пароход «Тургенев» еще в последние дни июля вышел из Астрахани, направляясь в Сталинград за ранеными. Путь до Енотаевки прошел без приключений, но вот, не доходя до Копановки, матросы увидели за кормой приближающийся самолет. Он шел низко над рекой с юго-востока. Вахтенные некоторое время гадали, чей он: наш или немецкий? Все сомнения развеяла бомба, отделившаяся от брюха бомбардировщика. Огромный столб воды поднялся по левому борту, осыпав палубу множеством осколков. Не успели матросы «Тургенева» опомниться, как самолет развернулся и, сделав второй заход, обстрелял корабль из пулеметов. Трассирующие пули пробили верхнюю палубу и вызвали пожар в салоне 2-го класса. На сей раз матрос Александр Раков отчетливо видел лица немецких летчиков, кресты и свастику на фюзеляже. Через две минуты «Хейнкель» пошел на третий заход и сбросил еще одну бомбу, которая взорвалась за кормой судна. В результате были сильно повреждены палубные надстройки. После того как бомбардировщик скрылся за горизонтом, капитан «Тургенева» связался по рации с пароходством. Был получен приказ возвращаться в Астрахань на ремонт. Таким образом, из-за налета рейс к Сталинграду был отложен на несколько дней. В начале августа пароход «Тургенев» вновь отправился в путь. На сей раз все матросы были настороже, с опаской поглядывая на солнечное июльское небо. Река представляла собой удручающее зрелище. Повсюду по поверхности плавали нефтяные пятна, перемежающиеся со скоплениями глушеной рыбы. Время от времени мимо бортов проплывали обломки кораблей, спасательные круги и изуродованные трупы людей. Кое-где виднелись торчащие из воды остовы затонувших судов. Путь до Каменного Яра прошел без происшествий, и до пункта назначения оставалось около 120 км. Но тут впереди показался стоящий на якоре пароход «Виктор Хользунов», вышедший из Астрахани на трое суток раньше. Его капитан Евгений Кистович сообщил, что Волга выше Каменного Яра заминирована и продолжать путь слишком опасно. «Тургенев» застопорил ход и остановился рядом с «Виктором Хользуновым». В реку с грохотом полетел якорь. Стоящие на якоре посередине реки суда представляли собой легкую мишень для бомбардировщиков. Но все было тихо, и мирный степной пейзаж не предвещал никаких приключений. Вскоре была спущена шлюпка, и капитан отправился на ней к своему коллеге. Вместе они связались по рации со Сталинградским портом, и им оттуда приказали, чтобы «Виктор Хользунов» срочно шел дальше, невзирая на минную опасность. На этом короткое свидание двух кораблей закончилось. «Хользунов» обошел с кормы «Тургенева» и направился по фарватеру. Из трубы повалил густой черный дым, и судно стало удаляться на северо-запад. Но тут произошло неожиданное. Через каких-то двести метров перед носом парохода поднялся огромнейший столб воды, и эхо мощного взрыва раскатами прокатилось по степи. Матросы на «Тургеневе» с ужасом увидели, как «Виктор Хользунов» начал быстро погружаться носом в воду, уцелевшие члены команды прыгали за борт. Прошло еще несколько секунд, и корпус тонущего судна с треском переломился, кормовая часть на короткое время встала на ровный киль, а затем стала неумолимо уходить вниз. Вскоре над водой остались лишь клубы дыма и пара, а также отчаянно барахтавшиеся матросы. Капитан «Тургенева» сразу же приказал спустить все шлюпки и приступить к спасению уцелевших. Через полчаса на реке все стихло и уже ничто не напоминало о катастрофе, кроме всплывшей на поверхность глушеной рыбы и растекшегося огромного пятна мазута… В эти же дни буксирный пароход «Волгонефть» с караваном из сорока понтонов, а также с деревянной и металлической баржами шел с верховьев Волги в Астрахань. В районе Солодниковского переката, в 70 км юго-восточнее Сталинграда, его атаковал одиночный Ju-88. Зайдя со стороны солнца, «Юнкере» неожиданно обстрелял капитанскую рубку буксира и прицепленные баржи. После этого самолет сделал еще три захода, и в конце концов железная баржа, в трюме которой оставался мазут, загорелась, и из нее повалил густой черный дым. Этого немецкому пилоту показалось достаточно, и он повернул на запад. Тогда капитан парохода Петр Бочкарев застопорил ход и приказал матросам отцепить горящую баржу. Через полчаса она уже дрейфовала по течению, а караван пошел дальше на юго-восток (11774).</w:t>
      </w:r>
    </w:p>
    <w:p w14:paraId="0FCA925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95C86B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DA91165" w14:textId="77777777" w:rsidR="00AE7191" w:rsidRPr="00722885" w:rsidRDefault="00AE7191" w:rsidP="00722885">
      <w:pPr>
        <w:pStyle w:val="Iauiue"/>
        <w:jc w:val="both"/>
        <w:rPr>
          <w:iCs/>
          <w:color w:val="000000" w:themeColor="text1"/>
          <w:sz w:val="16"/>
          <w:szCs w:val="16"/>
        </w:rPr>
      </w:pPr>
    </w:p>
    <w:p w14:paraId="4BF70960"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августа 1942 года состоялся первый полет Junkers Ju 252 (20793).</w:t>
      </w:r>
    </w:p>
    <w:p w14:paraId="5F2F8EC0" w14:textId="77777777" w:rsidR="001E4C3E" w:rsidRPr="00722885" w:rsidRDefault="001E4C3E" w:rsidP="00722885">
      <w:pPr>
        <w:spacing w:after="0" w:line="240" w:lineRule="auto"/>
        <w:jc w:val="both"/>
        <w:rPr>
          <w:rFonts w:ascii="Times New Roman" w:hAnsi="Times New Roman"/>
          <w:color w:val="0070C0"/>
          <w:sz w:val="16"/>
          <w:szCs w:val="16"/>
        </w:rPr>
      </w:pPr>
    </w:p>
    <w:p w14:paraId="7A0D0D4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августа 1942 английская авиация совершила массированный налет на Дюсельдорф (3186).</w:t>
      </w:r>
    </w:p>
    <w:p w14:paraId="61C368D5" w14:textId="77777777" w:rsidR="00AE7191" w:rsidRPr="00722885" w:rsidRDefault="00AE7191" w:rsidP="00722885">
      <w:pPr>
        <w:pStyle w:val="Iauiue"/>
        <w:jc w:val="both"/>
        <w:rPr>
          <w:color w:val="000000" w:themeColor="text1"/>
          <w:sz w:val="16"/>
          <w:szCs w:val="16"/>
        </w:rPr>
      </w:pPr>
    </w:p>
    <w:p w14:paraId="20999F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августа 1942 л Henry C.White на J4F Widgeon Береговой гвардии потопил первую немецкую подводную лодку U-166 в устье Миссисипи (2100).</w:t>
      </w:r>
    </w:p>
    <w:p w14:paraId="409A0EAF" w14:textId="77777777" w:rsidR="00AE7191" w:rsidRPr="00722885" w:rsidRDefault="00AE7191" w:rsidP="00722885">
      <w:pPr>
        <w:pStyle w:val="Iauiue"/>
        <w:jc w:val="both"/>
        <w:rPr>
          <w:color w:val="000000" w:themeColor="text1"/>
          <w:sz w:val="16"/>
          <w:szCs w:val="16"/>
        </w:rPr>
      </w:pPr>
    </w:p>
    <w:p w14:paraId="71322E81"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D2F1063" w14:textId="77777777" w:rsidR="00AE7191" w:rsidRPr="00722885" w:rsidRDefault="00AE7191" w:rsidP="00722885">
      <w:pPr>
        <w:pStyle w:val="Iauiue"/>
        <w:jc w:val="both"/>
        <w:rPr>
          <w:iCs/>
          <w:color w:val="000000" w:themeColor="text1"/>
          <w:sz w:val="16"/>
          <w:szCs w:val="16"/>
        </w:rPr>
      </w:pPr>
    </w:p>
    <w:p w14:paraId="019473D2" w14:textId="77777777" w:rsidR="00BE0154" w:rsidRPr="00722885" w:rsidRDefault="00BE015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 августа 1942, не дожидаясь итоговых результатов полигонных испытаний пуш</w:t>
      </w:r>
      <w:r w:rsidRPr="00722885">
        <w:rPr>
          <w:color w:val="000000" w:themeColor="text1"/>
          <w:sz w:val="16"/>
          <w:szCs w:val="16"/>
        </w:rPr>
        <w:softHyphen/>
        <w:t>ки 11П, начальник Управления опытного строитель</w:t>
      </w:r>
      <w:r w:rsidRPr="00722885">
        <w:rPr>
          <w:color w:val="000000" w:themeColor="text1"/>
          <w:sz w:val="16"/>
          <w:szCs w:val="16"/>
        </w:rPr>
        <w:softHyphen/>
        <w:t>ства ГУ ИАС бригинженер Лешуков официально до</w:t>
      </w:r>
      <w:r w:rsidRPr="00722885">
        <w:rPr>
          <w:color w:val="000000" w:themeColor="text1"/>
          <w:sz w:val="16"/>
          <w:szCs w:val="16"/>
        </w:rPr>
        <w:softHyphen/>
        <w:t>вел до сведения начальника Управления заказов вооружения и боеприпасов ВВС генерал-майора Солдатова, что завод № 74 изготовил и отправил на завод № 18 вместо 40 пушек «только 6 штук таких пушек», еще 25 пушек «находятся на заводе недо- укомплектоваными». «Такое положение приводит к тому, что 20 самолетов Ил-2, которые должны быть вооружены крыльевыми пушками, неизвест</w:t>
      </w:r>
      <w:r w:rsidRPr="00722885">
        <w:rPr>
          <w:color w:val="000000" w:themeColor="text1"/>
          <w:sz w:val="16"/>
          <w:szCs w:val="16"/>
        </w:rPr>
        <w:softHyphen/>
        <w:t>но когда будут готовы. По этой же причине нель</w:t>
      </w:r>
      <w:r w:rsidRPr="00722885">
        <w:rPr>
          <w:color w:val="000000" w:themeColor="text1"/>
          <w:sz w:val="16"/>
          <w:szCs w:val="16"/>
        </w:rPr>
        <w:softHyphen/>
        <w:t>зя предъявить никаких требований НКАП, так как пушки ему не поданы», — резюмировал Лешуков.</w:t>
      </w:r>
    </w:p>
    <w:p w14:paraId="372BE833" w14:textId="77777777" w:rsidR="00BE0154" w:rsidRPr="00722885" w:rsidRDefault="00BE015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Следует отметить, что Шпитальный уже инициировал «в инстанциях» оче</w:t>
      </w:r>
      <w:r w:rsidRPr="00722885">
        <w:rPr>
          <w:color w:val="000000" w:themeColor="text1"/>
          <w:sz w:val="16"/>
          <w:szCs w:val="16"/>
        </w:rPr>
        <w:softHyphen/>
        <w:t>редное «расследование» по по</w:t>
      </w:r>
      <w:r w:rsidRPr="00722885">
        <w:rPr>
          <w:color w:val="000000" w:themeColor="text1"/>
          <w:sz w:val="16"/>
          <w:szCs w:val="16"/>
        </w:rPr>
        <w:softHyphen/>
        <w:t>воду срыва сроков выполнения постановления ГКО от 26 ноября 1941 г. о постройке противотанко</w:t>
      </w:r>
      <w:r w:rsidRPr="00722885">
        <w:rPr>
          <w:color w:val="000000" w:themeColor="text1"/>
          <w:sz w:val="16"/>
          <w:szCs w:val="16"/>
        </w:rPr>
        <w:softHyphen/>
        <w:t>вой серии в количестве 20 штур</w:t>
      </w:r>
      <w:r w:rsidRPr="00722885">
        <w:rPr>
          <w:color w:val="000000" w:themeColor="text1"/>
          <w:sz w:val="16"/>
          <w:szCs w:val="16"/>
        </w:rPr>
        <w:softHyphen/>
        <w:t>мовиков Ил-2, вооруженных пушка</w:t>
      </w:r>
      <w:r w:rsidRPr="00722885">
        <w:rPr>
          <w:color w:val="000000" w:themeColor="text1"/>
          <w:sz w:val="16"/>
          <w:szCs w:val="16"/>
        </w:rPr>
        <w:softHyphen/>
        <w:t>ми Ш-37 (17500).</w:t>
      </w:r>
    </w:p>
    <w:p w14:paraId="2A77CD1D" w14:textId="77777777" w:rsidR="00BE0154" w:rsidRPr="00722885" w:rsidRDefault="00BE0154" w:rsidP="00722885">
      <w:pPr>
        <w:pStyle w:val="12a"/>
        <w:shd w:val="clear" w:color="auto" w:fill="auto"/>
        <w:spacing w:after="0" w:line="240" w:lineRule="auto"/>
        <w:jc w:val="both"/>
        <w:rPr>
          <w:color w:val="000000" w:themeColor="text1"/>
          <w:sz w:val="16"/>
          <w:szCs w:val="16"/>
        </w:rPr>
      </w:pPr>
    </w:p>
    <w:p w14:paraId="510495A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2 августа 1942 18-й авиазавод получил всего шесть комплектных пу</w:t>
      </w:r>
      <w:r w:rsidRPr="00722885">
        <w:rPr>
          <w:rFonts w:ascii="Times New Roman" w:hAnsi="Times New Roman"/>
          <w:color w:val="000000" w:themeColor="text1"/>
          <w:sz w:val="16"/>
          <w:szCs w:val="16"/>
        </w:rPr>
        <w:softHyphen/>
        <w:t>шек ШФК-37 вместо 40. В марте 1942 г. выпуск противотанковых Ил-2 АМ-38 пору</w:t>
      </w:r>
      <w:r w:rsidRPr="00722885">
        <w:rPr>
          <w:rFonts w:ascii="Times New Roman" w:hAnsi="Times New Roman"/>
          <w:color w:val="000000" w:themeColor="text1"/>
          <w:sz w:val="16"/>
          <w:szCs w:val="16"/>
        </w:rPr>
        <w:softHyphen/>
        <w:t>чили только что созданному московскому заводу № 30, но и он не смог выполнить задание. Разворачивание производства штурмовиков в отсутствие достаточного количества станков и квалифицированной рабочей силы шло очень медленными темпами. Тогда программу войсковой серии Ил-2 с 37-мм пушками вновь «перебросили» на завод № 18. К этому време</w:t>
      </w:r>
      <w:r w:rsidRPr="00722885">
        <w:rPr>
          <w:rFonts w:ascii="Times New Roman" w:hAnsi="Times New Roman"/>
          <w:color w:val="000000" w:themeColor="text1"/>
          <w:sz w:val="16"/>
          <w:szCs w:val="16"/>
        </w:rPr>
        <w:softHyphen/>
        <w:t>ни кризис производства на куйбышевских заводах в целом уже был преодолен, но сроки все равно были сорваны. Завод № 74 наркомата вооружения не поставил пушки.</w:t>
      </w:r>
    </w:p>
    <w:p w14:paraId="37EDB90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«Такое положение приводит к тому, что 20 самолетов Ил-2, которые должны быть вооружены крыльевыми пушками, не</w:t>
      </w:r>
      <w:r w:rsidRPr="00722885">
        <w:rPr>
          <w:rFonts w:ascii="Times New Roman" w:hAnsi="Times New Roman"/>
          <w:color w:val="000000" w:themeColor="text1"/>
          <w:sz w:val="16"/>
          <w:szCs w:val="16"/>
        </w:rPr>
        <w:softHyphen/>
        <w:t>известно когда будут готовы. По этой же причине нельзя предъявить никаких требований НКАП, так как пушки ему не поданы», — докладывал начальник Управления опытного строительства ГУ ИАС ВВС бригадный инженер Лешуков на</w:t>
      </w:r>
      <w:r w:rsidRPr="00722885">
        <w:rPr>
          <w:rFonts w:ascii="Times New Roman" w:hAnsi="Times New Roman"/>
          <w:color w:val="000000" w:themeColor="text1"/>
          <w:sz w:val="16"/>
          <w:szCs w:val="16"/>
        </w:rPr>
        <w:softHyphen/>
        <w:t>чальнику 12-го Управления заказов вооружения и боеприпасов ВВС генерал-майору Солдатову. Последний 7 августа обратил</w:t>
      </w:r>
      <w:r w:rsidRPr="00722885">
        <w:rPr>
          <w:rFonts w:ascii="Times New Roman" w:hAnsi="Times New Roman"/>
          <w:color w:val="000000" w:themeColor="text1"/>
          <w:sz w:val="16"/>
          <w:szCs w:val="16"/>
        </w:rPr>
        <w:softHyphen/>
        <w:t>ся к наркому вооружения Устинову с просьбой дать указания «директору завода № 74 т. Иванову срочно изготовить и подать заводу № 18 40 крыльевых пушек калибра 37 мм с магазином под боекомплект 40 патронов». После вмешательства Устинова дело сдвинулось с места (11474,321).</w:t>
      </w:r>
    </w:p>
    <w:p w14:paraId="35E106F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4D4B9A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августа 1942 вышло постановление ГОКО N 2145с, согласно которому заводу 153 надлежало выпустить самолетов Як-9 (1315,156).</w:t>
      </w:r>
    </w:p>
    <w:p w14:paraId="3FE3DF10" w14:textId="77777777" w:rsidR="00AE7191" w:rsidRPr="00722885" w:rsidRDefault="00AE7191" w:rsidP="00722885">
      <w:pPr>
        <w:pStyle w:val="Iauiue"/>
        <w:jc w:val="both"/>
        <w:rPr>
          <w:color w:val="000000" w:themeColor="text1"/>
          <w:sz w:val="16"/>
          <w:szCs w:val="16"/>
        </w:rPr>
      </w:pPr>
    </w:p>
    <w:p w14:paraId="47870EE0"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августа 1942 г.</w:t>
      </w:r>
    </w:p>
    <w:p w14:paraId="235276E0"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 СПРАВКИ СЕКРЕТАРЯ ОБКОМА ВКП(б) ПО АВИАПРОМЫШЛЕННОСТИ И.И. ХРОМОВА СЕКРЕТАРЮ НОВОСИБИРСКОГО ОБКОМА ВКП(б) М.В. КУЛАГИНУ О СОСТОЯНИИ ЗАВОДА № 153</w:t>
      </w:r>
    </w:p>
    <w:p w14:paraId="2DA73E80"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августа 1942 г.</w:t>
      </w:r>
    </w:p>
    <w:p w14:paraId="04158726"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Производственные мощности завода по состоянию на 1 августа 1942 года позволяют выпускать 12 самолетов ежедневно. Однако состояние снабжения завода готовыми агрегатами (моторы, винты, радиоаппараты и дюралевое место для капотов) до последнего времени сдерживало полное использование имеющихся мощностей. Например, в июне месяце на программу в 230 самолетов получено 174 мотора, в июле на программу в 215 самолетов моторы в основном получены к концу месяца.</w:t>
      </w:r>
    </w:p>
    <w:p w14:paraId="48EE7DB1"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По обеспеченности рабочей силой на программу текущего месяца завод укомплектован, но для полного развертывания производства к концу 1942 года, рассчитанного на выпуск 16 машин в день, и в связи с мобилизацией в армию 22[-го] и 23[-го] года в основных производственных цехах (№ 8 — капотно-баковый, № 25 - шасси, № 9 - сборочный, № 60 — предварительной сборки фюзеляжа и № 42 — крыльевой) недостает примерно 3 000 человек, на сегодня списочное количество рабочих, ИТР и служащих на заводе 23 000 человек.</w:t>
      </w:r>
    </w:p>
    <w:p w14:paraId="0058D4AF"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Выполнение программы заводом № 153 за 7 месяцев 1942 года:</w:t>
      </w:r>
    </w:p>
    <w:p w14:paraId="6AE3E7D5"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Выполнение в процентах:</w:t>
      </w:r>
      <w:r w:rsidRPr="00722885">
        <w:rPr>
          <w:rFonts w:ascii="Times New Roman" w:hAnsi="Times New Roman"/>
          <w:color w:val="0070C0"/>
          <w:sz w:val="16"/>
          <w:szCs w:val="16"/>
        </w:rPr>
        <w:tab/>
      </w:r>
      <w:r w:rsidRPr="00722885">
        <w:rPr>
          <w:rFonts w:ascii="Times New Roman" w:hAnsi="Times New Roman"/>
          <w:color w:val="0070C0"/>
          <w:sz w:val="16"/>
          <w:szCs w:val="16"/>
        </w:rPr>
        <w:tab/>
      </w:r>
      <w:r w:rsidRPr="00722885">
        <w:rPr>
          <w:rFonts w:ascii="Times New Roman" w:hAnsi="Times New Roman"/>
          <w:color w:val="0070C0"/>
          <w:sz w:val="16"/>
          <w:szCs w:val="16"/>
        </w:rPr>
        <w:tab/>
      </w:r>
      <w:r w:rsidRPr="00722885">
        <w:rPr>
          <w:rFonts w:ascii="Times New Roman" w:hAnsi="Times New Roman"/>
          <w:color w:val="0070C0"/>
          <w:sz w:val="16"/>
          <w:szCs w:val="16"/>
        </w:rPr>
        <w:tab/>
      </w:r>
      <w:r w:rsidRPr="00722885">
        <w:rPr>
          <w:rFonts w:ascii="Times New Roman" w:hAnsi="Times New Roman"/>
          <w:color w:val="0070C0"/>
          <w:sz w:val="16"/>
          <w:szCs w:val="16"/>
        </w:rPr>
        <w:tab/>
      </w:r>
      <w:r w:rsidRPr="00722885">
        <w:rPr>
          <w:rFonts w:ascii="Times New Roman" w:hAnsi="Times New Roman"/>
          <w:color w:val="0070C0"/>
          <w:sz w:val="16"/>
          <w:szCs w:val="16"/>
        </w:rPr>
        <w:tab/>
      </w:r>
    </w:p>
    <w:p w14:paraId="4441C14E"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Январь</w:t>
      </w:r>
      <w:r w:rsidRPr="00722885">
        <w:rPr>
          <w:rFonts w:ascii="Times New Roman" w:hAnsi="Times New Roman"/>
          <w:color w:val="0070C0"/>
          <w:sz w:val="16"/>
          <w:szCs w:val="16"/>
        </w:rPr>
        <w:tab/>
        <w:t>Февраль</w:t>
      </w:r>
      <w:r w:rsidRPr="00722885">
        <w:rPr>
          <w:rFonts w:ascii="Times New Roman" w:hAnsi="Times New Roman"/>
          <w:color w:val="0070C0"/>
          <w:sz w:val="16"/>
          <w:szCs w:val="16"/>
        </w:rPr>
        <w:tab/>
        <w:t>Март</w:t>
      </w:r>
      <w:r w:rsidRPr="00722885">
        <w:rPr>
          <w:rFonts w:ascii="Times New Roman" w:hAnsi="Times New Roman"/>
          <w:color w:val="0070C0"/>
          <w:sz w:val="16"/>
          <w:szCs w:val="16"/>
        </w:rPr>
        <w:tab/>
        <w:t>Апрель</w:t>
      </w:r>
      <w:r w:rsidRPr="00722885">
        <w:rPr>
          <w:rFonts w:ascii="Times New Roman" w:hAnsi="Times New Roman"/>
          <w:color w:val="0070C0"/>
          <w:sz w:val="16"/>
          <w:szCs w:val="16"/>
        </w:rPr>
        <w:tab/>
        <w:t>Май</w:t>
      </w:r>
      <w:r w:rsidRPr="00722885">
        <w:rPr>
          <w:rFonts w:ascii="Times New Roman" w:hAnsi="Times New Roman"/>
          <w:color w:val="0070C0"/>
          <w:sz w:val="16"/>
          <w:szCs w:val="16"/>
        </w:rPr>
        <w:tab/>
        <w:t>Июнь</w:t>
      </w:r>
      <w:r w:rsidRPr="00722885">
        <w:rPr>
          <w:rFonts w:ascii="Times New Roman" w:hAnsi="Times New Roman"/>
          <w:color w:val="0070C0"/>
          <w:sz w:val="16"/>
          <w:szCs w:val="16"/>
        </w:rPr>
        <w:tab/>
        <w:t>Июль</w:t>
      </w:r>
    </w:p>
    <w:p w14:paraId="29A196FE"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100</w:t>
      </w:r>
      <w:r w:rsidRPr="00722885">
        <w:rPr>
          <w:rFonts w:ascii="Times New Roman" w:hAnsi="Times New Roman"/>
          <w:color w:val="0070C0"/>
          <w:sz w:val="16"/>
          <w:szCs w:val="16"/>
        </w:rPr>
        <w:tab/>
        <w:t>100</w:t>
      </w:r>
      <w:r w:rsidRPr="00722885">
        <w:rPr>
          <w:rFonts w:ascii="Times New Roman" w:hAnsi="Times New Roman"/>
          <w:color w:val="0070C0"/>
          <w:sz w:val="16"/>
          <w:szCs w:val="16"/>
        </w:rPr>
        <w:tab/>
        <w:t>100</w:t>
      </w:r>
      <w:r w:rsidRPr="00722885">
        <w:rPr>
          <w:rFonts w:ascii="Times New Roman" w:hAnsi="Times New Roman"/>
          <w:color w:val="0070C0"/>
          <w:sz w:val="16"/>
          <w:szCs w:val="16"/>
        </w:rPr>
        <w:tab/>
        <w:t>62</w:t>
      </w:r>
      <w:r w:rsidRPr="00722885">
        <w:rPr>
          <w:rFonts w:ascii="Times New Roman" w:hAnsi="Times New Roman"/>
          <w:color w:val="0070C0"/>
          <w:sz w:val="16"/>
          <w:szCs w:val="16"/>
        </w:rPr>
        <w:tab/>
        <w:t>106</w:t>
      </w:r>
      <w:r w:rsidRPr="00722885">
        <w:rPr>
          <w:rFonts w:ascii="Times New Roman" w:hAnsi="Times New Roman"/>
          <w:color w:val="0070C0"/>
          <w:sz w:val="16"/>
          <w:szCs w:val="16"/>
        </w:rPr>
        <w:tab/>
        <w:t>76</w:t>
      </w:r>
      <w:r w:rsidRPr="00722885">
        <w:rPr>
          <w:rFonts w:ascii="Times New Roman" w:hAnsi="Times New Roman"/>
          <w:color w:val="0070C0"/>
          <w:sz w:val="16"/>
          <w:szCs w:val="16"/>
        </w:rPr>
        <w:tab/>
        <w:t>82,3</w:t>
      </w:r>
    </w:p>
    <w:p w14:paraId="372A56F4"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Секретарь обкома ВКП(б) по авиапромышленности Хромов</w:t>
      </w:r>
    </w:p>
    <w:p w14:paraId="6E56AFD2"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ГАНО. Ф. П—4. Оп. 6. Д. 510. Л. 326. Подлинник (20861).</w:t>
      </w:r>
    </w:p>
    <w:p w14:paraId="0EA3FBAF" w14:textId="77777777" w:rsidR="001E4C3E" w:rsidRPr="00722885" w:rsidRDefault="001E4C3E" w:rsidP="00722885">
      <w:pPr>
        <w:spacing w:after="0" w:line="240" w:lineRule="auto"/>
        <w:jc w:val="both"/>
        <w:rPr>
          <w:rFonts w:ascii="Times New Roman" w:hAnsi="Times New Roman"/>
          <w:color w:val="0070C0"/>
          <w:sz w:val="16"/>
          <w:szCs w:val="16"/>
        </w:rPr>
      </w:pPr>
    </w:p>
    <w:p w14:paraId="23F1520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августа 1942 завод 293 выпустил второй БИ- БИ-2 с Д-1-А-1100, изготовленным в 1941 (2928,16).</w:t>
      </w:r>
    </w:p>
    <w:p w14:paraId="7BE417D3" w14:textId="77777777" w:rsidR="00AE7191" w:rsidRPr="00722885" w:rsidRDefault="00AE7191" w:rsidP="00722885">
      <w:pPr>
        <w:pStyle w:val="Iauiue"/>
        <w:jc w:val="both"/>
        <w:rPr>
          <w:color w:val="000000" w:themeColor="text1"/>
          <w:sz w:val="16"/>
          <w:szCs w:val="16"/>
        </w:rPr>
      </w:pPr>
    </w:p>
    <w:p w14:paraId="7872F8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августа 1942 на аэродроме НИИ ВВС Кольцово под Свердловском начались совместные гос. и заводские испытания БИ конструкции Болховитинова производства завода 293 с ЖРД Д-1-А-1100 конструкции НИИ-3. Это были испытания БИ-2 и БИ-3, которые летали 11 и 12 января и 11 и 14 марта (БИ-2) и 21 и 27 марта (БИ-3). 10/11 июня 1943 Зам. Командующего ВВС и НКАП утвердили акт N 837 и отчет (2928,16).</w:t>
      </w:r>
    </w:p>
    <w:p w14:paraId="6DB73A94" w14:textId="77777777" w:rsidR="00AE7191" w:rsidRPr="00722885" w:rsidRDefault="00AE7191" w:rsidP="00722885">
      <w:pPr>
        <w:pStyle w:val="Iauiue"/>
        <w:jc w:val="both"/>
        <w:rPr>
          <w:color w:val="000000" w:themeColor="text1"/>
          <w:sz w:val="16"/>
          <w:szCs w:val="16"/>
        </w:rPr>
      </w:pPr>
    </w:p>
    <w:p w14:paraId="294F2080" w14:textId="77777777" w:rsidR="00FA00A4"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B9E9528" w14:textId="77777777" w:rsidR="00FA00A4" w:rsidRPr="00722885" w:rsidRDefault="00FA00A4" w:rsidP="00722885">
      <w:pPr>
        <w:pStyle w:val="Iauiue"/>
        <w:jc w:val="both"/>
        <w:rPr>
          <w:iCs/>
          <w:color w:val="000000" w:themeColor="text1"/>
          <w:sz w:val="16"/>
          <w:szCs w:val="16"/>
        </w:rPr>
      </w:pPr>
    </w:p>
    <w:p w14:paraId="6DCD0462"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августа в 1942 году утреннее сообщение Совинформбюро:</w:t>
      </w:r>
    </w:p>
    <w:p w14:paraId="6D2E102C"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 августа наши войска вели бои с противником в районах Клетская, Цымлянская, Кущевская, Сальск.</w:t>
      </w:r>
    </w:p>
    <w:p w14:paraId="1B2F4978"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00224036"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и южнее этого пункта наши войска продолжали вести ожесточённые бои против немецко-фашистских войск. Одна наша рота была атакована 20 танками и усиленным батальоном немецкой пехоты. Наши бойцы пропустили танки, а затем открыли ураганный огонь по пехоте противника и истребили свыше 300 солдат и офицеров. Остальные гитлеровцы в беспорядке отступили. В это время находившиеся в засаде наши танкисты внезапно ударили по прорвавшимся вперёд немецким танкам. В результате боя уничтожено 11 танков противника.</w:t>
      </w:r>
    </w:p>
    <w:p w14:paraId="3D061343"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продолжались бои с переправившейся через Дон группировкой противника. Наше соединение за несколько дней уничтожило до 4.000 гитлеровцев, 10 орудий, 30 миномётов и другое вооружение. Советские воины самоотверженно борются с врагом. Взвод лейтенанта Трусова отбил 5 атак немцев и уничтожил до 200 солдат и офицеров противника. Миномётчик тов. Варюхин истребил 80 гитлеровцев и уничтожил 7 автомашин, 8 пулемётов и миномётную батарею.</w:t>
      </w:r>
    </w:p>
    <w:p w14:paraId="2D1DBB4C"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Противник всё чаще прибегает к коварным приёмам. На фланге подразделения тов. Марцевича появилась группа гитлеровцев, переодетых в красноармейскую форму. Они делали вид, что стреляют по наступающим немецким частям, и в то же время заходили в тыл нашим бойцам. Тов. Марцевич с группой бойцов открыл огонь по переодетым гитлеровцам и тем самым сорвал подлую попытку врага проникнуть в тыл нашей части.</w:t>
      </w:r>
    </w:p>
    <w:p w14:paraId="68A71F2F"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районах Кущевской и Сальска наши войска вели тяжёлые бои с наступающими войсками противника. В районе Кущевской одно наше соединение, организовав чёткое взаимодействие всех родов войск, нанесло немцам большой урон. Лишь одна часть этого соединения за три дня оборонительных боёв уничтожила 1.800 гитлеровцев, 5 танков, 18 орудий. 25 миномётов и много другого вооружения. В районе Сальска противник вклинился в глубину нашей обороны. Продолжаются упорные бои, часто переходящие в рукопашные схватки.</w:t>
      </w:r>
    </w:p>
    <w:p w14:paraId="6E644056"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местного значения. На одном из участков противнику удалось проникнуть в лес, расположенный у важного укреплённого пункта. Бойцы под командованием тт. Яковлева и Ревенко в ночном бою очистили лес от немцев и продолжали теснить их на юго-запад. Расчёт зенитного орудия сержанта Мирончука в течение суток сбил 3 самолёта противника. Расчёты орудий старшего сержанта Романова и сержанта Васильева совместно сбили 3 немецких транспортных самолёта.</w:t>
      </w:r>
    </w:p>
    <w:p w14:paraId="17052386"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Карело-финский партизанский отряд «Боевой клич», действующий в тылу противника, за последние дни уничтожил 7 автомашин с разным грузом, автомашину с зенитной установкой и танкетку. Партизаны взорвали артиллерийский склад и в нескольких пунктах уничтожили телефонно-телеграфную связь.</w:t>
      </w:r>
    </w:p>
    <w:p w14:paraId="3B307DF5"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превращают население оккупированных ими советских районов в бесправных рабов. В селе Русановка, Житомирской области, гитлеровцы приказали крестьянам свезти половину снопов со своих участков новоявленному немецкому помещику Краузе. 12 крестьян, не выполнивших этого распоряжения, были расстреляны. Немецкие власти обязали население окрестных деревень 5 дней в неделю бесплатно работать на помещика. За малейшее неповиновение колхозники подвергаются жестокой порке. Недавно немецкие рабовладельцы согнали всех жителей села на площадь и заставили их присутствовать при порке 8 женщин и девушек. Палачи раздели беззащитных женщин и били их плётками до потери сознания. Колхозница Екатерина Кондиенко не выдержала пыток и умерла.</w:t>
      </w:r>
    </w:p>
    <w:p w14:paraId="4E5CF546"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Колхозы Туркмении приступили к сдаче зерна государству. Колхозники артелей «Комсомол», имени Жданова, «Социализм» и многие колхозы Каахкинского и Ашхабадского районов уже выполнили свои обязательства перед государством.» (14971).</w:t>
      </w:r>
    </w:p>
    <w:p w14:paraId="5F3A4D07" w14:textId="77777777" w:rsidR="00FA00A4" w:rsidRPr="00722885" w:rsidRDefault="00FA00A4" w:rsidP="00722885">
      <w:pPr>
        <w:spacing w:after="0" w:line="240" w:lineRule="auto"/>
        <w:jc w:val="both"/>
        <w:rPr>
          <w:rFonts w:ascii="Times New Roman" w:hAnsi="Times New Roman"/>
          <w:color w:val="000000" w:themeColor="text1"/>
          <w:sz w:val="16"/>
          <w:szCs w:val="16"/>
        </w:rPr>
      </w:pPr>
    </w:p>
    <w:p w14:paraId="5AA9F423"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августа в 1942 году вечернее сообщение Совинформбюро:</w:t>
      </w:r>
    </w:p>
    <w:p w14:paraId="4507C073"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 августа наши войска вели ожесточённые бои в районах Клетская, Цымлянская, Кущевская, Сальск.</w:t>
      </w:r>
    </w:p>
    <w:p w14:paraId="556EDE88"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 За истекшую неделю, с 26 июля по 1 августа включительно, в воздушных боях, на аэродромах и огнём зенитной артиллерии уничтожено 286 немецких самолётов. Наши потери — 201 самолёт.</w:t>
      </w:r>
    </w:p>
    <w:p w14:paraId="195BF0AF"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 августа частями нашей авиации на различных участках фронта уничтожено или повреждено 38 немецких танков, 300 автомашин с войсками и грузами, 40 повозок с боеприпасами, 3 автоцистерны с горючим, взорван склад боеприпасов, подавлен огонь 11 батарей полевой и зенитной артиллерии, разбито 2 железнодорожных состава, потоплен транспорт водоизмещением в 6.000 тонн, рассеяно и частью уничтожено до четырёх батальонов пехоты противника.</w:t>
      </w:r>
    </w:p>
    <w:p w14:paraId="772D24EA"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отбивают атаки немцев и контрударами наносят им большой урон в людях и технике. Н-ская танковая часть отбросила продвинувшиеся вперёд танки и пехоту противника и уничтожила 7 немецких танков, 16 противотанковых орудий и не менее 400 гитлеровцев. Южнее Клетской немецким отрядам удалось просочиться на фланги одной нашей части. Однако бойцы не дрогнули и продолжали стойко отбивать атаки врага. Специально выделенные подразделения в это же время уничтожили прорвавшихся в глубину обороны гитлеровцев. Всего за день на этом участке немцы потеряли убитыми и ранеными свыше 900 солдат и офицеров. На поле боя осталось 8 подбитых и 11 сожжённых танков противника.</w:t>
      </w:r>
    </w:p>
    <w:p w14:paraId="19EE1FD1"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наши войска вели бои против группировки немецко-фашистских войск, переправившейся на южный берег Дона. На одном из участков пехота противника при поддержке танков атаковала наши позиции. Атака гитлеровцев была отбита. В результате боя немцы потеряли 6 танков и до 300 солдат и офицеров.</w:t>
      </w:r>
    </w:p>
    <w:p w14:paraId="5F4763AD"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Кущевской отбито несколько ожесточённых атак вражеских танков и пехоты. Немцы потеряли 8 танков, 11 орудий, 23 пулемёта, 17 автомашин и до 700 солдат и офицеров. Часть донских казаков совершила внезапный налёт на немецкую колонну и изрубила около 300 гитлеровцев. Наша авиация произвела ряд успешных налётов на боевые порядки и переправы противника. В районе Сальска артиллерийским и миномётным огнём уничтожено 12 немецких танков. Зенитной артиллерией сбито 3 пикирующих бомбардировщика противника.</w:t>
      </w:r>
    </w:p>
    <w:p w14:paraId="50C7BA04"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происходили отдельные столкновения с противником. Одна наша часть, действующая на западном берегу Дона, была атакована венгерской бригадой. Завязался ожесточённый бой. Противник трижды переходил в атаку, но, понеся большие потери, вынужден был отступить. На другом участке бойцы Н-ской части отразили две атаки противника и истребили свыше батальона гитлеровцев.</w:t>
      </w:r>
    </w:p>
    <w:p w14:paraId="193800F3"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Шесть ленинградских партизанских отрядов, ведущих совместную борьбу против немецко-фашистских захватчиков, за 25 дней июля истребили свыше 2 тысячгитлеровцев. Партизаны уничтожили 4 немецких танка, 24 подводы с грузами, взорвали 5 складов и пустили под откос 15 поездов. Разбито более 400 вагонов иплатформ с войсками и военными грузами.</w:t>
      </w:r>
    </w:p>
    <w:p w14:paraId="1489276C"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добровольно в плен солдат 25 немецкой танковой дивизии Франц К. рассказал: «В январе 1942 года я был призван в армию и направлен в Париж, в строительный батальон. В мае нас выделили в особую команду № 39 и послали на секретное строительство. Первое время мы даже не знали, где работаем. В этом районе всё время курсировали десятки машин. Нас часто перебрасывали с места наместо. Создавалось впечатление, что идёт грандиозное строительство. На самом деле даже те объекты, которые были начаты строительством, не были закончены. Впоследнее время мы устанавливали макеты орудий и самолётов, строили ложные ДОТ'ы и другие сооружения. В середине июня нашу и многие другие строительные команды расформировали и отправили на Восточный фронт».</w:t>
      </w:r>
    </w:p>
    <w:p w14:paraId="6CBA161A"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оккупационные власти согнали в Сен-Мало (Франция) более 500 жителей для отправки в Германию на принудительные работы. На вокзале французы потребовали распустить их по домам. Прибывший на место происшествия немецкийотряд ландвера (ополченцы в возрасте старше 45 лет) был встречен градом камней. 11 гитлеровцев были убиты и ранены. Французские рабочие разбежались.» (14971).</w:t>
      </w:r>
    </w:p>
    <w:p w14:paraId="39EEC24E" w14:textId="77777777" w:rsidR="00FA00A4" w:rsidRPr="00722885" w:rsidRDefault="00FA00A4" w:rsidP="00722885">
      <w:pPr>
        <w:spacing w:after="0" w:line="240" w:lineRule="auto"/>
        <w:jc w:val="both"/>
        <w:rPr>
          <w:rFonts w:ascii="Times New Roman" w:hAnsi="Times New Roman"/>
          <w:color w:val="000000" w:themeColor="text1"/>
          <w:sz w:val="16"/>
          <w:szCs w:val="16"/>
        </w:rPr>
      </w:pPr>
    </w:p>
    <w:p w14:paraId="17A102AE" w14:textId="77777777" w:rsidR="00FA00A4" w:rsidRPr="00722885" w:rsidRDefault="00FA00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августа в 1942 году части 4-й немецкой танковой армии (31 июля переброшены с кавказского на сталинградское направление) вышли в район Котельниковский и оккупировали город. Началась эвакуация военно-морских баз Азовской военной флотилии и вывод судов через Керченский пролив в Черное море (14971).</w:t>
      </w:r>
    </w:p>
    <w:p w14:paraId="16F0869C" w14:textId="77777777" w:rsidR="00FA00A4" w:rsidRPr="00722885" w:rsidRDefault="00FA00A4" w:rsidP="00722885">
      <w:pPr>
        <w:spacing w:after="0" w:line="240" w:lineRule="auto"/>
        <w:jc w:val="both"/>
        <w:rPr>
          <w:rFonts w:ascii="Times New Roman" w:hAnsi="Times New Roman"/>
          <w:color w:val="000000" w:themeColor="text1"/>
          <w:sz w:val="16"/>
          <w:szCs w:val="16"/>
        </w:rPr>
      </w:pPr>
    </w:p>
    <w:p w14:paraId="2468C765" w14:textId="77777777" w:rsidR="00FA00A4"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2B6346C" w14:textId="77777777" w:rsidR="00FA00A4" w:rsidRPr="00722885" w:rsidRDefault="00FA00A4" w:rsidP="00722885">
      <w:pPr>
        <w:pStyle w:val="Iauiue"/>
        <w:jc w:val="both"/>
        <w:rPr>
          <w:iCs/>
          <w:color w:val="000000" w:themeColor="text1"/>
          <w:sz w:val="16"/>
          <w:szCs w:val="16"/>
        </w:rPr>
      </w:pPr>
    </w:p>
    <w:p w14:paraId="0305FF0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августа 1942 вышло Постановление ГКО № 2134 О мероприятиях по увеличению выпуска самолетов истребителей и штурмовиков заводами НКАП. РГАНИР, Фонд ГКО, д. 48, лл. 171-173 (11012).</w:t>
      </w:r>
    </w:p>
    <w:p w14:paraId="1816A48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7B2FD8E"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августа 1942 вышло Постановление ГКО № 2134 О мероприятиях по увеличению выпуска самолетов истребителей и штурмовиков заводами НКАП</w:t>
      </w:r>
    </w:p>
    <w:p w14:paraId="68B5FCA3"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увеличения выпуска самолетов истребителей и штурмовиков заводами НКАП, Государственный Комитет Обороны обязывает Наркомат Авиационной Промышленности провести сле</w:t>
      </w:r>
      <w:r w:rsidRPr="00722885">
        <w:rPr>
          <w:rFonts w:ascii="Times New Roman" w:hAnsi="Times New Roman"/>
          <w:color w:val="000000" w:themeColor="text1"/>
          <w:sz w:val="16"/>
          <w:szCs w:val="16"/>
        </w:rPr>
        <w:softHyphen/>
        <w:t>дующие мероприятия:</w:t>
      </w:r>
    </w:p>
    <w:p w14:paraId="28A9E111"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По заводу № 26 (Уфа)</w:t>
      </w:r>
    </w:p>
    <w:p w14:paraId="182C1994" w14:textId="77777777" w:rsidR="0044627C" w:rsidRPr="00722885" w:rsidRDefault="0044627C" w:rsidP="00722885">
      <w:pPr>
        <w:tabs>
          <w:tab w:val="left" w:pos="112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Освободить полностью, начиная с 5-го августа с.г., Уфимский гавод № 26 от производства моторов </w:t>
      </w:r>
      <w:r w:rsidRPr="00722885">
        <w:rPr>
          <w:rStyle w:val="0pt"/>
          <w:rFonts w:ascii="Times New Roman" w:hAnsi="Times New Roman" w:cs="Times New Roman"/>
          <w:color w:val="000000" w:themeColor="text1"/>
          <w:spacing w:val="0"/>
          <w:sz w:val="16"/>
          <w:szCs w:val="16"/>
        </w:rPr>
        <w:t>М-105Р</w:t>
      </w:r>
      <w:r w:rsidRPr="00722885">
        <w:rPr>
          <w:rFonts w:ascii="Times New Roman" w:hAnsi="Times New Roman"/>
          <w:color w:val="000000" w:themeColor="text1"/>
          <w:sz w:val="16"/>
          <w:szCs w:val="16"/>
        </w:rPr>
        <w:t xml:space="preserve"> к выпускать только пушечные моторы </w:t>
      </w:r>
      <w:r w:rsidRPr="00722885">
        <w:rPr>
          <w:rStyle w:val="0pt"/>
          <w:rFonts w:ascii="Times New Roman" w:hAnsi="Times New Roman" w:cs="Times New Roman"/>
          <w:color w:val="000000" w:themeColor="text1"/>
          <w:spacing w:val="0"/>
          <w:sz w:val="16"/>
          <w:szCs w:val="16"/>
        </w:rPr>
        <w:t>М-105</w:t>
      </w:r>
      <w:r w:rsidRPr="00722885">
        <w:rPr>
          <w:rStyle w:val="0pt"/>
          <w:rFonts w:ascii="Times New Roman" w:eastAsia="Calibri" w:hAnsi="Times New Roman" w:cs="Times New Roman"/>
          <w:color w:val="000000" w:themeColor="text1"/>
          <w:spacing w:val="0"/>
          <w:sz w:val="16"/>
          <w:szCs w:val="16"/>
        </w:rPr>
        <w:t>ПФ</w:t>
      </w:r>
      <w:r w:rsidRPr="00722885">
        <w:rPr>
          <w:rFonts w:ascii="Times New Roman" w:hAnsi="Times New Roman"/>
          <w:color w:val="000000" w:themeColor="text1"/>
          <w:sz w:val="16"/>
          <w:szCs w:val="16"/>
        </w:rPr>
        <w:t xml:space="preserve"> для истребителей.</w:t>
      </w:r>
    </w:p>
    <w:p w14:paraId="6EDDF26B" w14:textId="77777777" w:rsidR="0044627C" w:rsidRPr="00722885" w:rsidRDefault="0044627C" w:rsidP="00722885">
      <w:pPr>
        <w:tabs>
          <w:tab w:val="left" w:pos="111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Обяэать Заместителя Наркома и директора завода № 26 тов.Баландина:</w:t>
      </w:r>
    </w:p>
    <w:p w14:paraId="53A9E0CA" w14:textId="77777777" w:rsidR="0044627C" w:rsidRPr="00722885" w:rsidRDefault="0044627C" w:rsidP="00722885">
      <w:pPr>
        <w:tabs>
          <w:tab w:val="left" w:pos="111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обеспечить выпуск в августе месяце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olor w:val="000000" w:themeColor="text1"/>
          <w:sz w:val="16"/>
          <w:szCs w:val="16"/>
        </w:rPr>
        <w:t xml:space="preserve"> года 1130 мо</w:t>
      </w:r>
      <w:r w:rsidRPr="00722885">
        <w:rPr>
          <w:rFonts w:ascii="Times New Roman" w:hAnsi="Times New Roman"/>
          <w:color w:val="000000" w:themeColor="text1"/>
          <w:sz w:val="16"/>
          <w:szCs w:val="16"/>
        </w:rPr>
        <w:softHyphen/>
        <w:t xml:space="preserve">торов </w:t>
      </w:r>
      <w:r w:rsidRPr="00722885">
        <w:rPr>
          <w:rStyle w:val="0pt"/>
          <w:rFonts w:ascii="Times New Roman" w:hAnsi="Times New Roman" w:cs="Times New Roman"/>
          <w:color w:val="000000" w:themeColor="text1"/>
          <w:spacing w:val="0"/>
          <w:sz w:val="16"/>
          <w:szCs w:val="16"/>
        </w:rPr>
        <w:t>М-105</w:t>
      </w:r>
      <w:r w:rsidRPr="00722885">
        <w:rPr>
          <w:rStyle w:val="0pt"/>
          <w:rFonts w:ascii="Times New Roman" w:eastAsia="Calibri" w:hAnsi="Times New Roman" w:cs="Times New Roman"/>
          <w:color w:val="000000" w:themeColor="text1"/>
          <w:spacing w:val="0"/>
          <w:sz w:val="16"/>
          <w:szCs w:val="16"/>
        </w:rPr>
        <w:t>ПФ</w:t>
      </w:r>
      <w:r w:rsidRPr="00722885">
        <w:rPr>
          <w:rStyle w:val="0pt"/>
          <w:rFonts w:ascii="Times New Roman" w:hAnsi="Times New Roman" w:cs="Times New Roman"/>
          <w:color w:val="000000" w:themeColor="text1"/>
          <w:spacing w:val="0"/>
          <w:sz w:val="16"/>
          <w:szCs w:val="16"/>
        </w:rPr>
        <w:t>;</w:t>
      </w:r>
    </w:p>
    <w:p w14:paraId="37219135" w14:textId="77777777" w:rsidR="0044627C" w:rsidRPr="00722885" w:rsidRDefault="0044627C" w:rsidP="00722885">
      <w:pPr>
        <w:tabs>
          <w:tab w:val="left" w:pos="111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имеющиеся на заводе заделы по моторам </w:t>
      </w:r>
      <w:r w:rsidRPr="00722885">
        <w:rPr>
          <w:rStyle w:val="0pt"/>
          <w:rFonts w:ascii="Times New Roman" w:hAnsi="Times New Roman" w:cs="Times New Roman"/>
          <w:color w:val="000000" w:themeColor="text1"/>
          <w:spacing w:val="0"/>
          <w:sz w:val="16"/>
          <w:szCs w:val="16"/>
        </w:rPr>
        <w:t>М-105Р</w:t>
      </w:r>
      <w:r w:rsidRPr="00722885">
        <w:rPr>
          <w:rFonts w:ascii="Times New Roman" w:hAnsi="Times New Roman"/>
          <w:color w:val="000000" w:themeColor="text1"/>
          <w:sz w:val="16"/>
          <w:szCs w:val="16"/>
        </w:rPr>
        <w:t xml:space="preserve"> и спе</w:t>
      </w:r>
      <w:r w:rsidRPr="00722885">
        <w:rPr>
          <w:rFonts w:ascii="Times New Roman" w:hAnsi="Times New Roman"/>
          <w:color w:val="000000" w:themeColor="text1"/>
          <w:sz w:val="16"/>
          <w:szCs w:val="16"/>
        </w:rPr>
        <w:softHyphen/>
        <w:t>циальную оснастку к ним в десятидневный срок передать на за</w:t>
      </w:r>
      <w:r w:rsidRPr="00722885">
        <w:rPr>
          <w:rFonts w:ascii="Times New Roman" w:hAnsi="Times New Roman"/>
          <w:color w:val="000000" w:themeColor="text1"/>
          <w:sz w:val="16"/>
          <w:szCs w:val="16"/>
        </w:rPr>
        <w:softHyphen/>
        <w:t>вод № 16 (Казань;.</w:t>
      </w:r>
    </w:p>
    <w:p w14:paraId="1DCC6058"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заводу № 466 (Горький)</w:t>
      </w:r>
    </w:p>
    <w:p w14:paraId="4498CB63" w14:textId="77777777" w:rsidR="0044627C" w:rsidRPr="00722885" w:rsidRDefault="0044627C" w:rsidP="00722885">
      <w:pPr>
        <w:tabs>
          <w:tab w:val="left" w:pos="111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Горьковский-авиамоторный завод № </w:t>
      </w:r>
      <w:r w:rsidRPr="00722885">
        <w:rPr>
          <w:rStyle w:val="0pt"/>
          <w:rFonts w:ascii="Times New Roman" w:hAnsi="Times New Roman" w:cs="Times New Roman"/>
          <w:color w:val="000000" w:themeColor="text1"/>
          <w:spacing w:val="0"/>
          <w:sz w:val="16"/>
          <w:szCs w:val="16"/>
        </w:rPr>
        <w:t>466,</w:t>
      </w:r>
      <w:r w:rsidRPr="00722885">
        <w:rPr>
          <w:rFonts w:ascii="Times New Roman" w:hAnsi="Times New Roman"/>
          <w:color w:val="000000" w:themeColor="text1"/>
          <w:sz w:val="16"/>
          <w:szCs w:val="16"/>
        </w:rPr>
        <w:t xml:space="preserve"> выпускающий в настоящее время моторы </w:t>
      </w:r>
      <w:r w:rsidRPr="00722885">
        <w:rPr>
          <w:rStyle w:val="0pt"/>
          <w:rFonts w:ascii="Times New Roman" w:hAnsi="Times New Roman" w:cs="Times New Roman"/>
          <w:color w:val="000000" w:themeColor="text1"/>
          <w:spacing w:val="0"/>
          <w:sz w:val="16"/>
          <w:szCs w:val="16"/>
        </w:rPr>
        <w:t>М-105Р,</w:t>
      </w:r>
      <w:r w:rsidRPr="00722885">
        <w:rPr>
          <w:rFonts w:ascii="Times New Roman" w:hAnsi="Times New Roman"/>
          <w:color w:val="000000" w:themeColor="text1"/>
          <w:sz w:val="16"/>
          <w:szCs w:val="16"/>
        </w:rPr>
        <w:t xml:space="preserve"> перевести на производство пу</w:t>
      </w:r>
      <w:r w:rsidRPr="00722885">
        <w:rPr>
          <w:rFonts w:ascii="Times New Roman" w:hAnsi="Times New Roman"/>
          <w:color w:val="000000" w:themeColor="text1"/>
          <w:sz w:val="16"/>
          <w:szCs w:val="16"/>
        </w:rPr>
        <w:softHyphen/>
        <w:t xml:space="preserve">шечных моторов </w:t>
      </w:r>
      <w:r w:rsidRPr="00722885">
        <w:rPr>
          <w:rStyle w:val="0pt"/>
          <w:rFonts w:ascii="Times New Roman" w:hAnsi="Times New Roman" w:cs="Times New Roman"/>
          <w:color w:val="000000" w:themeColor="text1"/>
          <w:spacing w:val="0"/>
          <w:sz w:val="16"/>
          <w:szCs w:val="16"/>
        </w:rPr>
        <w:t>М-105</w:t>
      </w:r>
      <w:r w:rsidRPr="00722885">
        <w:rPr>
          <w:rStyle w:val="0pt"/>
          <w:rFonts w:ascii="Times New Roman" w:eastAsia="Calibri" w:hAnsi="Times New Roman" w:cs="Times New Roman"/>
          <w:color w:val="000000" w:themeColor="text1"/>
          <w:spacing w:val="0"/>
          <w:sz w:val="16"/>
          <w:szCs w:val="16"/>
        </w:rPr>
        <w:t>ПФ</w:t>
      </w:r>
      <w:r w:rsidRPr="00722885">
        <w:rPr>
          <w:rFonts w:ascii="Times New Roman" w:hAnsi="Times New Roman"/>
          <w:color w:val="000000" w:themeColor="text1"/>
          <w:sz w:val="16"/>
          <w:szCs w:val="16"/>
        </w:rPr>
        <w:t xml:space="preserve"> для истребителей.</w:t>
      </w:r>
    </w:p>
    <w:p w14:paraId="34BF7061" w14:textId="77777777" w:rsidR="0044627C" w:rsidRPr="00722885" w:rsidRDefault="0044627C" w:rsidP="00722885">
      <w:pPr>
        <w:tabs>
          <w:tab w:val="left" w:pos="111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Обязать директора завода № </w:t>
      </w:r>
      <w:r w:rsidRPr="00722885">
        <w:rPr>
          <w:rStyle w:val="0pt"/>
          <w:rFonts w:ascii="Times New Roman" w:hAnsi="Times New Roman" w:cs="Times New Roman"/>
          <w:color w:val="000000" w:themeColor="text1"/>
          <w:spacing w:val="0"/>
          <w:sz w:val="16"/>
          <w:szCs w:val="16"/>
        </w:rPr>
        <w:t>466</w:t>
      </w:r>
      <w:r w:rsidRPr="00722885">
        <w:rPr>
          <w:rFonts w:ascii="Times New Roman" w:hAnsi="Times New Roman"/>
          <w:color w:val="000000" w:themeColor="text1"/>
          <w:sz w:val="16"/>
          <w:szCs w:val="16"/>
        </w:rPr>
        <w:t xml:space="preserve"> тов.Лукина обеспечить выпуск моторов </w:t>
      </w:r>
      <w:r w:rsidRPr="00722885">
        <w:rPr>
          <w:rStyle w:val="0pt"/>
          <w:rFonts w:ascii="Times New Roman" w:hAnsi="Times New Roman" w:cs="Times New Roman"/>
          <w:color w:val="000000" w:themeColor="text1"/>
          <w:spacing w:val="0"/>
          <w:sz w:val="16"/>
          <w:szCs w:val="16"/>
        </w:rPr>
        <w:t>М-105ПФ</w:t>
      </w:r>
      <w:r w:rsidRPr="00722885">
        <w:rPr>
          <w:rFonts w:ascii="Times New Roman" w:hAnsi="Times New Roman"/>
          <w:color w:val="000000" w:themeColor="text1"/>
          <w:sz w:val="16"/>
          <w:szCs w:val="16"/>
        </w:rPr>
        <w:t xml:space="preserve"> с </w:t>
      </w:r>
      <w:r w:rsidRPr="00722885">
        <w:rPr>
          <w:rStyle w:val="0pt"/>
          <w:rFonts w:ascii="Times New Roman" w:hAnsi="Times New Roman" w:cs="Times New Roman"/>
          <w:color w:val="000000" w:themeColor="text1"/>
          <w:spacing w:val="0"/>
          <w:sz w:val="16"/>
          <w:szCs w:val="16"/>
        </w:rPr>
        <w:t>10</w:t>
      </w:r>
      <w:r w:rsidRPr="00722885">
        <w:rPr>
          <w:rFonts w:ascii="Times New Roman" w:hAnsi="Times New Roman"/>
          <w:color w:val="000000" w:themeColor="text1"/>
          <w:sz w:val="16"/>
          <w:szCs w:val="16"/>
        </w:rPr>
        <w:t xml:space="preserve"> сентября 1942г.прекратив полно</w:t>
      </w:r>
      <w:r w:rsidRPr="00722885">
        <w:rPr>
          <w:rFonts w:ascii="Times New Roman" w:hAnsi="Times New Roman"/>
          <w:color w:val="000000" w:themeColor="text1"/>
          <w:sz w:val="16"/>
          <w:szCs w:val="16"/>
        </w:rPr>
        <w:softHyphen/>
        <w:t xml:space="preserve">стью с этого срока выпуск моторов </w:t>
      </w:r>
      <w:r w:rsidRPr="00722885">
        <w:rPr>
          <w:rStyle w:val="0pt"/>
          <w:rFonts w:ascii="Times New Roman" w:hAnsi="Times New Roman" w:cs="Times New Roman"/>
          <w:color w:val="000000" w:themeColor="text1"/>
          <w:spacing w:val="0"/>
          <w:sz w:val="16"/>
          <w:szCs w:val="16"/>
        </w:rPr>
        <w:t>М-105Р,</w:t>
      </w:r>
      <w:r w:rsidRPr="00722885">
        <w:rPr>
          <w:rFonts w:ascii="Times New Roman" w:hAnsi="Times New Roman"/>
          <w:color w:val="000000" w:themeColor="text1"/>
          <w:sz w:val="16"/>
          <w:szCs w:val="16"/>
        </w:rPr>
        <w:t xml:space="preserve"> и довести выпуск мо</w:t>
      </w:r>
      <w:r w:rsidRPr="00722885">
        <w:rPr>
          <w:rFonts w:ascii="Times New Roman" w:hAnsi="Times New Roman"/>
          <w:color w:val="000000" w:themeColor="text1"/>
          <w:sz w:val="16"/>
          <w:szCs w:val="16"/>
        </w:rPr>
        <w:softHyphen/>
        <w:t xml:space="preserve">торов </w:t>
      </w:r>
      <w:r w:rsidRPr="00722885">
        <w:rPr>
          <w:rStyle w:val="0pt"/>
          <w:rFonts w:ascii="Times New Roman" w:hAnsi="Times New Roman" w:cs="Times New Roman"/>
          <w:color w:val="000000" w:themeColor="text1"/>
          <w:spacing w:val="0"/>
          <w:sz w:val="16"/>
          <w:szCs w:val="16"/>
        </w:rPr>
        <w:t>М-105ПФ</w:t>
      </w:r>
      <w:r w:rsidRPr="00722885">
        <w:rPr>
          <w:rFonts w:ascii="Times New Roman" w:hAnsi="Times New Roman"/>
          <w:color w:val="000000" w:themeColor="text1"/>
          <w:sz w:val="16"/>
          <w:szCs w:val="16"/>
        </w:rPr>
        <w:t xml:space="preserve"> в декабре месяце </w:t>
      </w:r>
      <w:r w:rsidRPr="00722885">
        <w:rPr>
          <w:rStyle w:val="0pt"/>
          <w:rFonts w:ascii="Times New Roman" w:hAnsi="Times New Roman" w:cs="Times New Roman"/>
          <w:color w:val="000000" w:themeColor="text1"/>
          <w:spacing w:val="0"/>
          <w:sz w:val="16"/>
          <w:szCs w:val="16"/>
        </w:rPr>
        <w:t>1942г.</w:t>
      </w:r>
      <w:r w:rsidRPr="00722885">
        <w:rPr>
          <w:rFonts w:ascii="Times New Roman" w:hAnsi="Times New Roman"/>
          <w:color w:val="000000" w:themeColor="text1"/>
          <w:sz w:val="16"/>
          <w:szCs w:val="16"/>
        </w:rPr>
        <w:t xml:space="preserve"> до </w:t>
      </w:r>
      <w:r w:rsidRPr="00722885">
        <w:rPr>
          <w:rStyle w:val="0pt"/>
          <w:rFonts w:ascii="Times New Roman" w:hAnsi="Times New Roman" w:cs="Times New Roman"/>
          <w:color w:val="000000" w:themeColor="text1"/>
          <w:spacing w:val="0"/>
          <w:sz w:val="16"/>
          <w:szCs w:val="16"/>
        </w:rPr>
        <w:t>15</w:t>
      </w:r>
      <w:r w:rsidRPr="00722885">
        <w:rPr>
          <w:rFonts w:ascii="Times New Roman" w:hAnsi="Times New Roman"/>
          <w:color w:val="000000" w:themeColor="text1"/>
          <w:sz w:val="16"/>
          <w:szCs w:val="16"/>
        </w:rPr>
        <w:t xml:space="preserve"> моторов в день. Запуск деталей в производство для моторов М</w:t>
      </w:r>
      <w:r w:rsidRPr="00722885">
        <w:rPr>
          <w:rStyle w:val="0pt"/>
          <w:rFonts w:ascii="Times New Roman" w:hAnsi="Times New Roman" w:cs="Times New Roman"/>
          <w:color w:val="000000" w:themeColor="text1"/>
          <w:spacing w:val="0"/>
          <w:sz w:val="16"/>
          <w:szCs w:val="16"/>
        </w:rPr>
        <w:t>-105ПФ</w:t>
      </w:r>
      <w:r w:rsidRPr="00722885">
        <w:rPr>
          <w:rFonts w:ascii="Times New Roman" w:hAnsi="Times New Roman"/>
          <w:color w:val="000000" w:themeColor="text1"/>
          <w:sz w:val="16"/>
          <w:szCs w:val="16"/>
        </w:rPr>
        <w:t xml:space="preserve"> качать не позднее 10 августа с.г.</w:t>
      </w:r>
    </w:p>
    <w:p w14:paraId="2F4703CB" w14:textId="77777777" w:rsidR="0044627C" w:rsidRPr="00722885" w:rsidRDefault="0044627C" w:rsidP="00722885">
      <w:pPr>
        <w:tabs>
          <w:tab w:val="left" w:pos="113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директора завода 26 тов.Баландина:</w:t>
      </w:r>
    </w:p>
    <w:p w14:paraId="52695252" w14:textId="77777777" w:rsidR="0044627C" w:rsidRPr="00722885" w:rsidRDefault="0044627C" w:rsidP="00722885">
      <w:pPr>
        <w:tabs>
          <w:tab w:val="left" w:pos="111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к 10 августа с.г. передать заводу № </w:t>
      </w:r>
      <w:r w:rsidRPr="00722885">
        <w:rPr>
          <w:rStyle w:val="0pt"/>
          <w:rFonts w:ascii="Times New Roman" w:hAnsi="Times New Roman" w:cs="Times New Roman"/>
          <w:color w:val="000000" w:themeColor="text1"/>
          <w:spacing w:val="0"/>
          <w:sz w:val="16"/>
          <w:szCs w:val="16"/>
        </w:rPr>
        <w:t>466</w:t>
      </w:r>
      <w:r w:rsidRPr="00722885">
        <w:rPr>
          <w:rFonts w:ascii="Times New Roman" w:hAnsi="Times New Roman"/>
          <w:color w:val="000000" w:themeColor="text1"/>
          <w:sz w:val="16"/>
          <w:szCs w:val="16"/>
        </w:rPr>
        <w:t xml:space="preserve"> чертежи, тех</w:t>
      </w:r>
      <w:r w:rsidRPr="00722885">
        <w:rPr>
          <w:rFonts w:ascii="Times New Roman" w:hAnsi="Times New Roman"/>
          <w:color w:val="000000" w:themeColor="text1"/>
          <w:sz w:val="16"/>
          <w:szCs w:val="16"/>
        </w:rPr>
        <w:softHyphen/>
        <w:t>нические условия, технологию производства на мотор*М-105ПФ;</w:t>
      </w:r>
    </w:p>
    <w:p w14:paraId="2D87E9E2" w14:textId="77777777" w:rsidR="0044627C" w:rsidRPr="00722885" w:rsidRDefault="0044627C" w:rsidP="00722885">
      <w:pPr>
        <w:tabs>
          <w:tab w:val="left" w:pos="111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передать заводу № </w:t>
      </w:r>
      <w:r w:rsidRPr="00722885">
        <w:rPr>
          <w:rStyle w:val="0pt"/>
          <w:rFonts w:ascii="Times New Roman" w:hAnsi="Times New Roman" w:cs="Times New Roman"/>
          <w:color w:val="000000" w:themeColor="text1"/>
          <w:spacing w:val="0"/>
          <w:sz w:val="16"/>
          <w:szCs w:val="16"/>
        </w:rPr>
        <w:t>466</w:t>
      </w:r>
      <w:r w:rsidRPr="00722885">
        <w:rPr>
          <w:rFonts w:ascii="Times New Roman" w:hAnsi="Times New Roman"/>
          <w:color w:val="000000" w:themeColor="text1"/>
          <w:sz w:val="16"/>
          <w:szCs w:val="16"/>
        </w:rPr>
        <w:t xml:space="preserve"> к </w:t>
      </w:r>
      <w:r w:rsidRPr="00722885">
        <w:rPr>
          <w:rStyle w:val="0pt"/>
          <w:rFonts w:ascii="Times New Roman" w:hAnsi="Times New Roman" w:cs="Times New Roman"/>
          <w:color w:val="000000" w:themeColor="text1"/>
          <w:spacing w:val="0"/>
          <w:sz w:val="16"/>
          <w:szCs w:val="16"/>
        </w:rPr>
        <w:t>15</w:t>
      </w:r>
      <w:r w:rsidRPr="00722885">
        <w:rPr>
          <w:rFonts w:ascii="Times New Roman" w:hAnsi="Times New Roman"/>
          <w:color w:val="000000" w:themeColor="text1"/>
          <w:sz w:val="16"/>
          <w:szCs w:val="16"/>
        </w:rPr>
        <w:t xml:space="preserve"> августа с.г. один полный комплект оснастки на детали мотора </w:t>
      </w:r>
      <w:r w:rsidRPr="00722885">
        <w:rPr>
          <w:rStyle w:val="0pt"/>
          <w:rFonts w:ascii="Times New Roman" w:hAnsi="Times New Roman" w:cs="Times New Roman"/>
          <w:color w:val="000000" w:themeColor="text1"/>
          <w:spacing w:val="0"/>
          <w:sz w:val="16"/>
          <w:szCs w:val="16"/>
        </w:rPr>
        <w:t>М-105ПФ,</w:t>
      </w:r>
      <w:r w:rsidRPr="00722885">
        <w:rPr>
          <w:rFonts w:ascii="Times New Roman" w:hAnsi="Times New Roman"/>
          <w:color w:val="000000" w:themeColor="text1"/>
          <w:sz w:val="16"/>
          <w:szCs w:val="16"/>
        </w:rPr>
        <w:t xml:space="preserve"> отличные от дета</w:t>
      </w:r>
      <w:r w:rsidRPr="00722885">
        <w:rPr>
          <w:rFonts w:ascii="Times New Roman" w:hAnsi="Times New Roman"/>
          <w:color w:val="000000" w:themeColor="text1"/>
          <w:sz w:val="16"/>
          <w:szCs w:val="16"/>
        </w:rPr>
        <w:softHyphen/>
        <w:t xml:space="preserve">лей мотора </w:t>
      </w:r>
      <w:r w:rsidRPr="00722885">
        <w:rPr>
          <w:rStyle w:val="0pt"/>
          <w:rFonts w:ascii="Times New Roman" w:hAnsi="Times New Roman" w:cs="Times New Roman"/>
          <w:color w:val="000000" w:themeColor="text1"/>
          <w:spacing w:val="0"/>
          <w:sz w:val="16"/>
          <w:szCs w:val="16"/>
        </w:rPr>
        <w:t>М-105Р.</w:t>
      </w:r>
    </w:p>
    <w:p w14:paraId="522451A0" w14:textId="77777777" w:rsidR="0044627C" w:rsidRPr="00722885" w:rsidRDefault="0044627C" w:rsidP="00722885">
      <w:pPr>
        <w:tabs>
          <w:tab w:val="left" w:pos="113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Командировать Зам.Наркома тов.Баландина на завод № 466 для оказания помощи в организации производства моторов М-105ПФ</w:t>
      </w:r>
    </w:p>
    <w:p w14:paraId="565C4EC0"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Наркомавиапрому т.Шахурину передать заводу № 466 1000 человек рабочих, выделенных для НКАП из Ленинграда, и из числа оборудования, поступающего из Ленинграда, 220 станков и 3 молота.</w:t>
      </w:r>
    </w:p>
    <w:p w14:paraId="2E45FD9C"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заводу № 24 (Куйбышев)</w:t>
      </w:r>
    </w:p>
    <w:p w14:paraId="4E1F05B0"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Освободить Куйбышевский завод № 24 от производства мото</w:t>
      </w:r>
      <w:r w:rsidRPr="00722885">
        <w:rPr>
          <w:rFonts w:ascii="Times New Roman" w:hAnsi="Times New Roman"/>
          <w:color w:val="000000" w:themeColor="text1"/>
          <w:sz w:val="16"/>
          <w:szCs w:val="16"/>
        </w:rPr>
        <w:softHyphen/>
        <w:t>ров АМ-35А и ГАМ-34 и выпускать только моторы АМ-38.</w:t>
      </w:r>
    </w:p>
    <w:p w14:paraId="172A1DBC"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заводу № 45 (Москва)</w:t>
      </w:r>
    </w:p>
    <w:p w14:paraId="45C3853F" w14:textId="77777777" w:rsidR="0044627C" w:rsidRPr="00722885" w:rsidRDefault="0044627C" w:rsidP="00722885">
      <w:pPr>
        <w:tabs>
          <w:tab w:val="left" w:pos="95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Наркомавиапром т.Шахурина и т.Завитаева, ди</w:t>
      </w:r>
      <w:r w:rsidRPr="00722885">
        <w:rPr>
          <w:rFonts w:ascii="Times New Roman" w:hAnsi="Times New Roman"/>
          <w:color w:val="000000" w:themeColor="text1"/>
          <w:sz w:val="16"/>
          <w:szCs w:val="16"/>
        </w:rPr>
        <w:softHyphen/>
        <w:t>ректора завода № 45 т.Комарова оборудовать к 1 декабря с.г. завод № 45 на выпуск 15-ти моторов в день, обеспечив выпуск моторов АМ-38 в декабре месяце 10 моторов в день.</w:t>
      </w:r>
    </w:p>
    <w:p w14:paraId="78DB9474" w14:textId="77777777" w:rsidR="0044627C" w:rsidRPr="00722885" w:rsidRDefault="0044627C" w:rsidP="00722885">
      <w:pPr>
        <w:tabs>
          <w:tab w:val="left" w:pos="95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Наркомвнешторг т.Микояна ускорить доставку для завода № 45 недополученные по импорту 550 станков.</w:t>
      </w:r>
    </w:p>
    <w:p w14:paraId="1ADB2CCA"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Наркомстанкостроения т.Ефремова поставить в Ш-м квартале с.г. заводу № 45 недопоставленные 220 станков.</w:t>
      </w:r>
    </w:p>
    <w:p w14:paraId="65520497"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Обязать Наркомавиапром т.Шахурина передать заводу № 45 - 200 станков ив числа оборудования, поступающего для НКАП из Ленинграда.</w:t>
      </w:r>
    </w:p>
    <w:p w14:paraId="16871270"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заводу 39 (Иркутск)</w:t>
      </w:r>
    </w:p>
    <w:p w14:paraId="56DB16A5" w14:textId="77777777" w:rsidR="0044627C" w:rsidRPr="00722885" w:rsidRDefault="0044627C" w:rsidP="00722885">
      <w:pPr>
        <w:tabs>
          <w:tab w:val="left" w:pos="94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Прекратить производство самолетов Пе-2 и Пе-3 на за</w:t>
      </w:r>
      <w:r w:rsidRPr="00722885">
        <w:rPr>
          <w:rFonts w:ascii="Times New Roman" w:hAnsi="Times New Roman"/>
          <w:color w:val="000000" w:themeColor="text1"/>
          <w:sz w:val="16"/>
          <w:szCs w:val="16"/>
        </w:rPr>
        <w:softHyphen/>
        <w:t>воде № 39 и перейти на производство самолетов Кл-4 с мотора</w:t>
      </w:r>
      <w:r w:rsidRPr="00722885">
        <w:rPr>
          <w:rFonts w:ascii="Times New Roman" w:hAnsi="Times New Roman"/>
          <w:color w:val="000000" w:themeColor="text1"/>
          <w:sz w:val="16"/>
          <w:szCs w:val="16"/>
        </w:rPr>
        <w:softHyphen/>
        <w:t>ми М-88.</w:t>
      </w:r>
    </w:p>
    <w:p w14:paraId="2E00AE7B" w14:textId="77777777" w:rsidR="0044627C" w:rsidRPr="00722885" w:rsidRDefault="0044627C" w:rsidP="00722885">
      <w:pPr>
        <w:tabs>
          <w:tab w:val="left" w:pos="95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Установить программу заводу № 39 по выпуску самолетов Ил-4 до конца 1942 года в количестве 37 самолетов со следую</w:t>
      </w:r>
      <w:r w:rsidRPr="00722885">
        <w:rPr>
          <w:rFonts w:ascii="Times New Roman" w:hAnsi="Times New Roman"/>
          <w:color w:val="000000" w:themeColor="text1"/>
          <w:sz w:val="16"/>
          <w:szCs w:val="16"/>
        </w:rPr>
        <w:softHyphen/>
        <w:t>щей разбивкой по месяцам:</w:t>
      </w:r>
    </w:p>
    <w:p w14:paraId="6B3265CB" w14:textId="77777777" w:rsidR="0044627C" w:rsidRPr="00722885" w:rsidRDefault="0044627C" w:rsidP="00722885">
      <w:pPr>
        <w:tabs>
          <w:tab w:val="left" w:pos="23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w:t>
      </w:r>
      <w:r w:rsidRPr="00722885">
        <w:rPr>
          <w:rFonts w:ascii="Times New Roman" w:hAnsi="Times New Roman"/>
          <w:color w:val="000000" w:themeColor="text1"/>
          <w:sz w:val="16"/>
          <w:szCs w:val="16"/>
        </w:rPr>
        <w:tab/>
        <w:t>- 2 самолета</w:t>
      </w:r>
    </w:p>
    <w:p w14:paraId="07781708" w14:textId="77777777" w:rsidR="0044627C" w:rsidRPr="00722885" w:rsidRDefault="0044627C" w:rsidP="00722885">
      <w:pPr>
        <w:tabs>
          <w:tab w:val="left" w:pos="2340"/>
        </w:tabs>
        <w:spacing w:after="0" w:line="240" w:lineRule="auto"/>
        <w:jc w:val="both"/>
        <w:rPr>
          <w:rFonts w:ascii="Times New Roman" w:hAnsi="Times New Roman"/>
          <w:color w:val="000000" w:themeColor="text1"/>
          <w:sz w:val="16"/>
          <w:szCs w:val="16"/>
        </w:rPr>
      </w:pPr>
      <w:bookmarkStart w:id="4" w:name="bookmark0"/>
      <w:r w:rsidRPr="00722885">
        <w:rPr>
          <w:rFonts w:ascii="Times New Roman" w:hAnsi="Times New Roman"/>
          <w:color w:val="000000" w:themeColor="text1"/>
          <w:sz w:val="16"/>
          <w:szCs w:val="16"/>
        </w:rPr>
        <w:t>в ноябре</w:t>
      </w:r>
      <w:r w:rsidRPr="00722885">
        <w:rPr>
          <w:rFonts w:ascii="Times New Roman" w:hAnsi="Times New Roman"/>
          <w:color w:val="000000" w:themeColor="text1"/>
          <w:sz w:val="16"/>
          <w:szCs w:val="16"/>
        </w:rPr>
        <w:tab/>
        <w:t>- 10 самолетов</w:t>
      </w:r>
      <w:bookmarkEnd w:id="4"/>
    </w:p>
    <w:p w14:paraId="2518522B" w14:textId="77777777" w:rsidR="0044627C" w:rsidRPr="00722885" w:rsidRDefault="0044627C" w:rsidP="00722885">
      <w:pPr>
        <w:tabs>
          <w:tab w:val="left" w:pos="233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w:t>
      </w:r>
      <w:r w:rsidRPr="00722885">
        <w:rPr>
          <w:rFonts w:ascii="Times New Roman" w:hAnsi="Times New Roman"/>
          <w:color w:val="000000" w:themeColor="text1"/>
          <w:sz w:val="16"/>
          <w:szCs w:val="16"/>
        </w:rPr>
        <w:tab/>
        <w:t>- 25 самолетов</w:t>
      </w:r>
    </w:p>
    <w:p w14:paraId="3115014E"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заводу № 82 (Москва)</w:t>
      </w:r>
    </w:p>
    <w:p w14:paraId="0DDFE455"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Наркомавиапром т.Шахурина и т.Дементьева, дирек</w:t>
      </w:r>
      <w:r w:rsidRPr="00722885">
        <w:rPr>
          <w:rFonts w:ascii="Times New Roman" w:hAnsi="Times New Roman"/>
          <w:color w:val="000000" w:themeColor="text1"/>
          <w:sz w:val="16"/>
          <w:szCs w:val="16"/>
        </w:rPr>
        <w:softHyphen/>
        <w:t>тора завода № 82 т.Бугрова укомплектовать завод № 82 в тече</w:t>
      </w:r>
      <w:r w:rsidRPr="00722885">
        <w:rPr>
          <w:rFonts w:ascii="Times New Roman" w:hAnsi="Times New Roman"/>
          <w:color w:val="000000" w:themeColor="text1"/>
          <w:sz w:val="16"/>
          <w:szCs w:val="16"/>
        </w:rPr>
        <w:softHyphen/>
        <w:t>ние августа и сентября месяцев оборудованием за счет других заводов НКАП из расчета выпуска 6-ти самолетов Як-7 в день.</w:t>
      </w:r>
    </w:p>
    <w:p w14:paraId="61473FEF"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заводу № 31 (Тбилиси)</w:t>
      </w:r>
    </w:p>
    <w:p w14:paraId="056C905D"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Наркомавиапром т.Шахурина и директора завода № 31 т.Агаджанова прекратить производство самолетов Лагг-5, оставив на заводе № 31 только производство самолетов Лагг-3 с улучшен</w:t>
      </w:r>
      <w:r w:rsidRPr="00722885">
        <w:rPr>
          <w:rFonts w:ascii="Times New Roman" w:hAnsi="Times New Roman"/>
          <w:color w:val="000000" w:themeColor="text1"/>
          <w:sz w:val="16"/>
          <w:szCs w:val="16"/>
        </w:rPr>
        <w:softHyphen/>
        <w:t>ным управлением.</w:t>
      </w:r>
    </w:p>
    <w:p w14:paraId="30EAFFC6"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ааводу № 153 (Новосибирск)</w:t>
      </w:r>
    </w:p>
    <w:p w14:paraId="42632D6A"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Наркомавиапром т.Шахурина, директора завода № 153 т.Романова выпускать в августе месяце по 9 самолетов</w:t>
      </w:r>
    </w:p>
    <w:p w14:paraId="71D21738" w14:textId="77777777" w:rsidR="0044627C" w:rsidRPr="00722885" w:rsidRDefault="004462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Наркоматы, поставляющие готовые иэделия, полу</w:t>
      </w:r>
      <w:r w:rsidRPr="00722885">
        <w:rPr>
          <w:rFonts w:ascii="Times New Roman" w:hAnsi="Times New Roman"/>
          <w:color w:val="000000" w:themeColor="text1"/>
          <w:sz w:val="16"/>
          <w:szCs w:val="16"/>
        </w:rPr>
        <w:softHyphen/>
        <w:t>фабрикаты и материалы для Наркомавиапрома, принять изменения по поставкам от Наркомавиапрома в соответствии с настоящим постановлением (19351).</w:t>
      </w:r>
    </w:p>
    <w:p w14:paraId="23D1A5C6" w14:textId="77777777" w:rsidR="0044627C" w:rsidRPr="00722885" w:rsidRDefault="0044627C" w:rsidP="00722885">
      <w:pPr>
        <w:spacing w:after="0" w:line="240" w:lineRule="auto"/>
        <w:jc w:val="both"/>
        <w:rPr>
          <w:rFonts w:ascii="Times New Roman" w:hAnsi="Times New Roman"/>
          <w:color w:val="000000" w:themeColor="text1"/>
          <w:sz w:val="16"/>
          <w:szCs w:val="16"/>
        </w:rPr>
      </w:pPr>
    </w:p>
    <w:p w14:paraId="3CD15C1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августа 1942 года вышло Постановление ГОКО № 2134 и 5 августа 1942 года вышел приказ НКАП № 589с, которыми завод № 39 получил задание осовить и запустить в серийное производство машину ИЛ-4.</w:t>
      </w:r>
    </w:p>
    <w:p w14:paraId="46C6E34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5709FD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354DED4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099409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0F308A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Головную машину ТУ-2 завод выпустил 30 июня 1947 года.</w:t>
      </w:r>
    </w:p>
    <w:p w14:paraId="54457A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ТУ-2 завод выпускал в течение 1947-1949 гг.</w:t>
      </w:r>
    </w:p>
    <w:p w14:paraId="08793D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2E4A1E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6C78F1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76DA3A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2D0137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И.о. директора – Гордин</w:t>
      </w:r>
    </w:p>
    <w:p w14:paraId="22CC4D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Иркутская область, п/я 411</w:t>
      </w:r>
    </w:p>
    <w:p w14:paraId="12D759F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Производственный профиль – самолетостроение</w:t>
      </w:r>
    </w:p>
    <w:p w14:paraId="6AA327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1039EF56" w14:textId="77777777" w:rsidR="00AE7191" w:rsidRPr="00722885" w:rsidRDefault="00AE7191" w:rsidP="00722885">
      <w:pPr>
        <w:pStyle w:val="Iauiue"/>
        <w:jc w:val="both"/>
        <w:rPr>
          <w:color w:val="000000" w:themeColor="text1"/>
          <w:sz w:val="16"/>
          <w:szCs w:val="16"/>
        </w:rPr>
      </w:pPr>
    </w:p>
    <w:p w14:paraId="199F7B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августа 1942 вышел приказ N 8 по заводу 462 об аварии МиГ-3 N 4740, когда л Фокин убрал при взлете шасси раньше времени (2131).</w:t>
      </w:r>
    </w:p>
    <w:p w14:paraId="16482B42" w14:textId="77777777" w:rsidR="00AE7191" w:rsidRPr="00722885" w:rsidRDefault="00AE7191" w:rsidP="00722885">
      <w:pPr>
        <w:pStyle w:val="Iauiue"/>
        <w:jc w:val="both"/>
        <w:rPr>
          <w:color w:val="000000" w:themeColor="text1"/>
          <w:sz w:val="16"/>
          <w:szCs w:val="16"/>
        </w:rPr>
      </w:pPr>
    </w:p>
    <w:p w14:paraId="69B030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августа 1942 Правительство поставило задачу довести в сентябре выпуск истребителей Як-7 на новосибирском заводе № 153 до девяти в день и на московском №82 - до семи в день. В течение всего сентября последний осуществлял сборку боевых самолетов, из задела, привезенного из Новосибирска. Всего военными представителями было принято 322 Як-7Б (против 261 в предыдущем месяце). К ним надо добавить 336 Як-1, которые построил в сентябре 1942 г. саратовский завод №292. При других обстоятельствах эти результаты вселяли бы оптимизм, но теперь обстановка на фронте была слишком серьезной (4537).</w:t>
      </w:r>
    </w:p>
    <w:p w14:paraId="274B5BA5" w14:textId="77777777" w:rsidR="00AE7191" w:rsidRPr="00722885" w:rsidRDefault="00AE7191" w:rsidP="00722885">
      <w:pPr>
        <w:pStyle w:val="Iauiue"/>
        <w:jc w:val="both"/>
        <w:rPr>
          <w:color w:val="000000" w:themeColor="text1"/>
          <w:sz w:val="16"/>
          <w:szCs w:val="16"/>
        </w:rPr>
      </w:pPr>
    </w:p>
    <w:p w14:paraId="1107824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81D1C74" w14:textId="77777777" w:rsidR="00AE7191" w:rsidRPr="00722885" w:rsidRDefault="00AE7191" w:rsidP="00722885">
      <w:pPr>
        <w:pStyle w:val="Iauiue"/>
        <w:jc w:val="both"/>
        <w:rPr>
          <w:iCs/>
          <w:color w:val="000000" w:themeColor="text1"/>
          <w:sz w:val="16"/>
          <w:szCs w:val="16"/>
        </w:rPr>
      </w:pPr>
    </w:p>
    <w:p w14:paraId="3FD97F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августа 1942г. - из докладной записки директора Ижевского металлургического завода И.А. Остроушко уполномоченному Комиссии партийного контроля при ЦК ВКП(б) по Удмуртской АССР В.Н. Миронову о работе предприятия в начальный период Великой Отечественной войны</w:t>
      </w:r>
    </w:p>
    <w:p w14:paraId="15F7B18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Секретно</w:t>
      </w:r>
    </w:p>
    <w:p w14:paraId="5A618D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71 в системе Наркома[та] вооружения по производству металла и поковок занимает ведущее место, обеспечивая горячекатанным, холодно-катанным металлом, калиброванной сталью и поковками не только заводы Наркомата вооружения и авиации, но также и заводы других наркоматов.</w:t>
      </w:r>
    </w:p>
    <w:p w14:paraId="6B8B1AC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эвакуации южной металлургии значение и удельный вес завода № 71 как металлургической базы еще более возросли.</w:t>
      </w:r>
    </w:p>
    <w:p w14:paraId="528EAAB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период Отечественной войны среднемесячный выпуск валовой продукции завод увеличил в два раза. Среднемесячный выпуск поковок для заводов стрелкового вооружения и авиапоковок для моторных заводов Наркомата авиации увеличился по сравнению с прошлым периодом в 3,8 раз. Значительно также возросло производство литой стали, горячекатанного проката, калиброванной стали и холоднокатанной ленты. Производительность труда рабочих увеличилась в полтора раза.</w:t>
      </w:r>
    </w:p>
    <w:p w14:paraId="463917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Коллектив завода за время Отечественной войны проделал большую работу по перестройке технологических процессов и освоению новых производств в разрезе задач, поставленных перед заводом.</w:t>
      </w:r>
    </w:p>
    <w:p w14:paraId="173E2FD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Заводы стрелкового вооружения и авиамоторные заводы потребляют в большом количестве поковки и прокат из легированной стали, изготовляемой нашим заводом. Постоянный недостаток ферросплавов лимитирует выпуск поковок и проката. Поэтому на вопросе замены легированных сталей другими сталями, не содержащими легирующих элементов, сосредоточена техническая мысль завода.</w:t>
      </w:r>
    </w:p>
    <w:p w14:paraId="47BD53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первом квартале завод заменил легированную марку стали, содержащую никель, молибден и ванадий для ружей противотанковых стволов систем Дегтярева и Симонова,</w:t>
      </w:r>
      <w:r w:rsidRPr="00722885">
        <w:rPr>
          <w:rFonts w:ascii="Times New Roman" w:hAnsi="Times New Roman"/>
          <w:color w:val="000000" w:themeColor="text1"/>
          <w:sz w:val="16"/>
          <w:szCs w:val="16"/>
          <w:vertAlign w:val="superscript"/>
        </w:rPr>
        <w:t>6</w:t>
      </w:r>
      <w:r w:rsidRPr="00722885">
        <w:rPr>
          <w:rFonts w:ascii="Times New Roman" w:hAnsi="Times New Roman"/>
          <w:color w:val="000000" w:themeColor="text1"/>
          <w:sz w:val="16"/>
          <w:szCs w:val="16"/>
        </w:rPr>
        <w:t xml:space="preserve"> другой маркой стали, не содержащей легирующих элементов. Этим самым завод сэкономил на программу 1942г.* 141 тонну никеля, 54 тонны феррованадия и 39 тонн ферромолибдена на сумму свыше 6 миллионов рублей. Заводом изготовлены и отосланы заводам стрелкового вооружения поковки для стволов 20-мм пушки Шпитального,</w:t>
      </w:r>
      <w:r w:rsidRPr="00722885">
        <w:rPr>
          <w:rFonts w:ascii="Times New Roman" w:hAnsi="Times New Roman"/>
          <w:color w:val="000000" w:themeColor="text1"/>
          <w:sz w:val="16"/>
          <w:szCs w:val="16"/>
          <w:vertAlign w:val="superscript"/>
        </w:rPr>
        <w:t>7</w:t>
      </w:r>
      <w:r w:rsidRPr="00722885">
        <w:rPr>
          <w:rFonts w:ascii="Times New Roman" w:hAnsi="Times New Roman"/>
          <w:color w:val="000000" w:themeColor="text1"/>
          <w:sz w:val="16"/>
          <w:szCs w:val="16"/>
        </w:rPr>
        <w:t xml:space="preserve"> 23-мм пушки Волкова и Ярцева</w:t>
      </w:r>
      <w:r w:rsidRPr="00722885">
        <w:rPr>
          <w:rFonts w:ascii="Times New Roman" w:hAnsi="Times New Roman"/>
          <w:color w:val="000000" w:themeColor="text1"/>
          <w:sz w:val="16"/>
          <w:szCs w:val="16"/>
          <w:vertAlign w:val="superscript"/>
        </w:rPr>
        <w:t>8</w:t>
      </w:r>
      <w:r w:rsidRPr="00722885">
        <w:rPr>
          <w:rFonts w:ascii="Times New Roman" w:hAnsi="Times New Roman"/>
          <w:color w:val="000000" w:themeColor="text1"/>
          <w:sz w:val="16"/>
          <w:szCs w:val="16"/>
        </w:rPr>
        <w:t xml:space="preserve"> и универсального 12,7-мм крупно-калиберного пулемета Березина</w:t>
      </w:r>
      <w:r w:rsidRPr="00722885">
        <w:rPr>
          <w:rFonts w:ascii="Times New Roman" w:hAnsi="Times New Roman"/>
          <w:color w:val="000000" w:themeColor="text1"/>
          <w:sz w:val="16"/>
          <w:szCs w:val="16"/>
          <w:vertAlign w:val="superscript"/>
        </w:rPr>
        <w:t>9</w:t>
      </w:r>
      <w:r w:rsidRPr="00722885">
        <w:rPr>
          <w:rFonts w:ascii="Times New Roman" w:hAnsi="Times New Roman"/>
          <w:color w:val="000000" w:themeColor="text1"/>
          <w:sz w:val="16"/>
          <w:szCs w:val="16"/>
        </w:rPr>
        <w:t xml:space="preserve"> из стали, не содержащей легирующих элементов.</w:t>
      </w:r>
    </w:p>
    <w:p w14:paraId="4548526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Стволы названных систем находятся на испытании и внедрение заменителей даст заводу дополнительно экономии около 20 тонн никеля, 45 тонн феррованадия и 30 тонн ферромолибдена.</w:t>
      </w:r>
    </w:p>
    <w:p w14:paraId="028E2DE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коллектив завода усиленно работает над внедрением заменителей для авиационных поковок, согласно постановлению правительства от 8 мая. Партия коленчатых валов уже изготовлена и отгружена авиамоторному заводу для испытаний.</w:t>
      </w:r>
    </w:p>
    <w:p w14:paraId="2384EE9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детали системы стрелкового вооружения изготовляются исключительно из основной мартеновской и электростали. Перед заводом была поставлена задача по освоению кислого мартеновского процесса для нужд артиллерии. Одна основная мартеновская печь переделана на кислую, которая снабжает заготовкой для моноблоков 45-мм противотанковой пушки 235[-й] завод.</w:t>
      </w:r>
      <w:r w:rsidRPr="00722885">
        <w:rPr>
          <w:rFonts w:ascii="Times New Roman" w:hAnsi="Times New Roman"/>
          <w:color w:val="000000" w:themeColor="text1"/>
          <w:sz w:val="16"/>
          <w:szCs w:val="16"/>
          <w:vertAlign w:val="superscript"/>
        </w:rPr>
        <w:t>10</w:t>
      </w:r>
    </w:p>
    <w:p w14:paraId="3DC2A6C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эвакуацией ряда предприятий на нашем заводе по постановлению ГКО (Государственный Комитет Обороны СССР) организованы два неметаллургических производства: пружина для автомата Шпагина,</w:t>
      </w:r>
      <w:r w:rsidRPr="00722885">
        <w:rPr>
          <w:rFonts w:ascii="Times New Roman" w:hAnsi="Times New Roman"/>
          <w:color w:val="000000" w:themeColor="text1"/>
          <w:sz w:val="16"/>
          <w:szCs w:val="16"/>
          <w:vertAlign w:val="superscript"/>
        </w:rPr>
        <w:t>11</w:t>
      </w:r>
      <w:r w:rsidRPr="00722885">
        <w:rPr>
          <w:rFonts w:ascii="Times New Roman" w:hAnsi="Times New Roman"/>
          <w:color w:val="000000" w:themeColor="text1"/>
          <w:sz w:val="16"/>
          <w:szCs w:val="16"/>
        </w:rPr>
        <w:t xml:space="preserve"> звенья для 12,7-мм пулемета и 23-мм. пушки. Производство полностью освоено, программа по этим изделиям перевыполняется.</w:t>
      </w:r>
    </w:p>
    <w:p w14:paraId="6F84CB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осваивается новый вид звеньев для 37-мм пушки.</w:t>
      </w:r>
      <w:r w:rsidRPr="00722885">
        <w:rPr>
          <w:rFonts w:ascii="Times New Roman" w:hAnsi="Times New Roman"/>
          <w:color w:val="000000" w:themeColor="text1"/>
          <w:sz w:val="16"/>
          <w:szCs w:val="16"/>
          <w:vertAlign w:val="superscript"/>
        </w:rPr>
        <w:t>12</w:t>
      </w:r>
      <w:r w:rsidRPr="00722885">
        <w:rPr>
          <w:rFonts w:ascii="Times New Roman" w:hAnsi="Times New Roman"/>
          <w:color w:val="000000" w:themeColor="text1"/>
          <w:sz w:val="16"/>
          <w:szCs w:val="16"/>
        </w:rPr>
        <w:t xml:space="preserve"> Первая партия изготовлена и отослана потребителю для испытания. За этот период освоено 24 новые марки стали, в том числе жароупорная и нержавеющая для авиации, и больше 30 новых поковок для различных систем стрелкового вооружения и авиации.</w:t>
      </w:r>
    </w:p>
    <w:p w14:paraId="546F8D3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Литейные цеха завода имели большие трудности в снабжении их формовочными песками, т.к. последние привозились за 1000 километров из под Москвы.</w:t>
      </w:r>
    </w:p>
    <w:p w14:paraId="568A486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 заводом встала задача об изыскании местных песков, что было разрешено открытием Чуровского месторождения. Местные кварцевые пески внедрены в производство, что освободило транспорт от дальних перевозок и дало заводу экономии 128 тыс. руб.</w:t>
      </w:r>
    </w:p>
    <w:p w14:paraId="1207AEA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Дабы не останавливать мартеновские печи в случаях отсутствия передельного чугуна, завод разработал и освоил карбюраторный процесс, т.е. выплавку стали без передельного чугуна, заменив последний каменным углем.</w:t>
      </w:r>
      <w:r w:rsidRPr="00722885">
        <w:rPr>
          <w:rFonts w:ascii="Times New Roman" w:hAnsi="Times New Roman"/>
          <w:color w:val="000000" w:themeColor="text1"/>
          <w:sz w:val="16"/>
          <w:szCs w:val="16"/>
          <w:vertAlign w:val="superscript"/>
        </w:rPr>
        <w:t>13</w:t>
      </w:r>
    </w:p>
    <w:p w14:paraId="4BC4B28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точки зрения производительности мартеновских печей, карбюраторный процесс не выгоден, т.к. длительность плавки увеличивается на 1-2 часа и поэтому завод к нему прибегает только в случаях отсутствия чугуна.</w:t>
      </w:r>
    </w:p>
    <w:p w14:paraId="5400FDA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войны завод трижды переходил на этот процесс и выплавил им около 8тыс. тонн стали. [ …]</w:t>
      </w:r>
    </w:p>
    <w:p w14:paraId="450F63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завода [№] 71 Остроушко</w:t>
      </w:r>
    </w:p>
    <w:p w14:paraId="7A61824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ЦДНИ УР. Ф.228. Оп. 1. Д.65. Л.159-161, 175. Подлинник. Машинопись (11635).</w:t>
      </w:r>
    </w:p>
    <w:p w14:paraId="09D08B15"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ЦДНИ УР. Ф.228. Оп. 1. Д.65. Л.159-161, 175. Подлинник. Машинопись.</w:t>
      </w:r>
    </w:p>
    <w:p w14:paraId="207466A5"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Примечания:</w:t>
      </w:r>
    </w:p>
    <w:p w14:paraId="2C927C65"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Так в документе.</w:t>
      </w:r>
    </w:p>
    <w:p w14:paraId="0ABAE7DE"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Остроушко И.А. - директор Ижевского металлургического завода в период с 8 августа 1940г. по 16 января 1943г. Отозван в распоряжение Наркомата вооружения СССР. Полярные оценки деятельности И.А. Остроушко на посту директора завода см.: Новиков В.Н. Накануне и в дни испытаний. М., 1988. С.158-159; От крицы до плазмы. Ижевск, 2000. С.84.</w:t>
      </w:r>
    </w:p>
    <w:p w14:paraId="3F5DD377"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Противотанковые ружья конструкторов В.А. Дегтярева (ПТРД) и С.Г. Симонова (ПТРС) приняты на вооружение Красной Армии в августе 1941г.</w:t>
      </w:r>
    </w:p>
    <w:p w14:paraId="0D864F54"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20-мм авиационная пушка Б.Г. Шпитального и С.В. Владимирова (ШВАК), созданная в 1936г., нашла широкое применение в годы Великой Отечественной войны.</w:t>
      </w:r>
    </w:p>
    <w:p w14:paraId="749E0DD9"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Авиационная пушка калибра 23мм конструкции А.А. Волкова и С.А. Ярцева (ВЯ) разработана в 1940г., принята на вооружение в мае 1941г. </w:t>
      </w:r>
    </w:p>
    <w:p w14:paraId="6E8630D8"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Универсальный 12,7-мм пулемет М.Е. Березина (УБ) - один из основных образцов авиационно-стрелкового оружия в годы войны. Принят на вооружение ВВС в 1941г. </w:t>
      </w:r>
    </w:p>
    <w:p w14:paraId="2D0CC7C7"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В начале войны Наркоматом вооружения СССР Воткинскому машиностроительному заводу (завод №235) было передано производство 45-мм противотанковой пушки 2243-А (19К). Серийное производство началось с октября 1941г. </w:t>
      </w:r>
    </w:p>
    <w:p w14:paraId="5E58FA21"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 7,62-мм пистолет-пулемет Г.С. Шпагина (ППШ) создан в 1940г. Массовый выпуск пружин для нового автомата и звеньев пулеметных лент освоен заводом в середине сентября 1941г. </w:t>
      </w:r>
    </w:p>
    <w:p w14:paraId="16809FDA"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 Очевидно, речь идет об авиационной пушке конструкции А.Э. Нудельмана и А.С. Суранова (НС-37), разработанной в 1941г. Принята на вооружение 30 декабря 1942г. Заменила пушку конструкции Б.Г. Шпитального (Ш-37). До освоения производства новой пушки Ижевский машиностроительный завод (завод №74) выпускал параллельно две разные системы одного калибра (Оружие Победы. М., 1987. С.294-309). </w:t>
      </w:r>
    </w:p>
    <w:p w14:paraId="5F813C32" w14:textId="77777777" w:rsidR="00AE7191" w:rsidRPr="00722885" w:rsidRDefault="00AE7191" w:rsidP="00722885">
      <w:pPr>
        <w:spacing w:after="0" w:line="240" w:lineRule="auto"/>
        <w:jc w:val="both"/>
        <w:rPr>
          <w:rStyle w:val="mfont1"/>
          <w:rFonts w:ascii="Times New Roman" w:hAnsi="Times New Roman"/>
          <w:color w:val="000000" w:themeColor="text1"/>
          <w:sz w:val="16"/>
          <w:szCs w:val="16"/>
        </w:rPr>
      </w:pPr>
      <w:r w:rsidRPr="00722885">
        <w:rPr>
          <w:rFonts w:ascii="Times New Roman" w:hAnsi="Times New Roman"/>
          <w:color w:val="000000" w:themeColor="text1"/>
          <w:sz w:val="16"/>
          <w:szCs w:val="16"/>
        </w:rPr>
        <w:t>13. Карбюраторный (угольно-скрапный) процесс плавки внедрен под руководством молодого инженера А.М. Свистунова в июле 1941г. (ЦДНИ УР. Ф.273. Оп. 3. Д.28. Л.5, 29) (12685).</w:t>
      </w:r>
    </w:p>
    <w:p w14:paraId="7BEF275F" w14:textId="77777777" w:rsidR="00907F56" w:rsidRPr="00722885" w:rsidRDefault="00907F56" w:rsidP="00722885">
      <w:pPr>
        <w:pStyle w:val="Iauiue"/>
        <w:jc w:val="both"/>
        <w:rPr>
          <w:iCs/>
          <w:color w:val="000000" w:themeColor="text1"/>
          <w:sz w:val="16"/>
          <w:szCs w:val="16"/>
        </w:rPr>
      </w:pPr>
    </w:p>
    <w:p w14:paraId="20C6663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64C2BD0" w14:textId="77777777" w:rsidR="00AE7191" w:rsidRPr="00722885" w:rsidRDefault="00AE7191" w:rsidP="00722885">
      <w:pPr>
        <w:pStyle w:val="Iauiue"/>
        <w:jc w:val="both"/>
        <w:rPr>
          <w:iCs/>
          <w:color w:val="000000" w:themeColor="text1"/>
          <w:sz w:val="16"/>
          <w:szCs w:val="16"/>
        </w:rPr>
      </w:pPr>
    </w:p>
    <w:p w14:paraId="6339B09D"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августа в 1942 году утреннее сообщение Совинформбюро:</w:t>
      </w:r>
    </w:p>
    <w:p w14:paraId="37396029"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 августа наши войска вели бои с противником в районах Клетская, Цымлянская, Кущевская, Сальск.</w:t>
      </w:r>
    </w:p>
    <w:p w14:paraId="2F2AD8AA"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19C6CE72"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 ряде участков немцы предприняли атаки силами пехоты и танков. Атакующих поддерживала авиация, сбросившая много бомб в расположении советских войск. Наши части стойко выдержали натиск гитлеровцев и отбросили их на исходные рубежи. Одна наша часть в боях с противником в течение дня уничтожила 30 орудий, 3 миномётные батареи и до 2.000 немецких солдат и офицеров. Артиллеристы и бронебойщики Н-ского полка подбили 6 немецких танков. Пять наших истребителей под командованием старшего лейтенанта Шевалова вступилив бой с шестью истребителями противника и сбили два немецких самолёта.</w:t>
      </w:r>
    </w:p>
    <w:p w14:paraId="7AEAB956"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противник силой до двух батальонов пехоты атаковал одно наше подразделение. Советские бойцы отбили атаку немцев. На поле боя осталось 11 подбитых танков и свыше 200 трупов гитлеровцев. На другом участке подразделение морской пехоты в ожесточённом бою с противником вывело из строя 8 танков иуничтожило 700 немецких солдат и офицеров.</w:t>
      </w:r>
    </w:p>
    <w:p w14:paraId="19D514DA"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районах Кущевской и Сальска наши войска продолжали вести тяжёлые оборонительные бои с противником. Части донских и кубанских казаков несколькими успешными контратаками уничтожили свыше 1.500 гитлеровцев. Наши пикирующие и дальние бомбардировщики произвели ряд успешных налётов на танковые и моторизованные колонны подходивших резервов противника. В результате бомбёжки немецким частям нанесён большой урон.</w:t>
      </w:r>
    </w:p>
    <w:p w14:paraId="1E8DA55F"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происходили действия разведчиков. Огнём нашей артиллерии уничтожено 6 станковых пулемётов, несколько орудий и разбито 18 дерево-земляных огневых точек и блиндажей противника. Немцы потеряли убитыми свыше 200 солдат и офицеров.</w:t>
      </w:r>
    </w:p>
    <w:p w14:paraId="3B0DED80"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 снайперов части, которой командует тов. Рябинкин, за время войны уничтожили около 2.000 гитлеровцев. Лучшие снайперы этой части тт. Остудин, Вдовиченко, Салтыков, Ющенко, Чистяков, Говорухин, Кашицын истребили больше чемпо сотне немцев каждый. Снайпер тов. Николаев уничтожил 187 немецких солдат и офицеров.</w:t>
      </w:r>
    </w:p>
    <w:p w14:paraId="205D25FD"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под командованием тов. В. в тылу врага на Северо-Западном фронте, за один месяц истребил свыше тысячи оккупантов, подбил и взорвал на минах 6 немецких танков, уничтожил 13 автомашин и пустил под откос 5 воинских эшелонов противника.</w:t>
      </w:r>
    </w:p>
    <w:p w14:paraId="3087104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35 венгерского пехотного полка Миклош Б. рассказал: «В первом же бою с русскими наш батальон был разгромлен. За один час мы потеряли около 200 человек. Русские танки прорвали нашу оборону, раздавили противотанковые орудия иначали крушить всё на своём пути. Солдаты и офицеры разбежались. В этом бою убит командир батальона подполковник Шандор Минянски. Я с группой солдат сдался в плен».</w:t>
      </w:r>
    </w:p>
    <w:p w14:paraId="48879A67"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Голландские патриоты усиливают борьбу против немецко-фашистских оккупантов. За последние два месяца они уничтожили 40 товарных поездов и сожгли 5 немецких самолётов. Близ Гарлема взорван склад с торпедами и боеприпасами. На одной товарной станции сгорели немецкий продовольственный склад и три вагона с амуницией.» (14972).</w:t>
      </w:r>
    </w:p>
    <w:p w14:paraId="153B46E0"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1E1AB09B"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августа в 1942 году вечернее сообщение Совинформбюро:</w:t>
      </w:r>
    </w:p>
    <w:p w14:paraId="00F5EAC0"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 августа наши войска вели ожесточённые бои в районах Клетская, Цымлянская, Сальсн, Кущевская.</w:t>
      </w:r>
    </w:p>
    <w:p w14:paraId="753B8351"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0729A3C8"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Наши корабли в Балтийском море потопили немецкий транспорт водоизмещением в 6.000 тонн.</w:t>
      </w:r>
    </w:p>
    <w:p w14:paraId="637CD724"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 августа частями нашей авиации на различных участках фронта уничтожено или повреждено свыше 50 немецких танков, до 300 автомашин с войсками и грузами, 5 автоцистерн с горючим, взорвано 4 склада боеприпасов, подавлен огонь 10 батарей полевой и зенитной артиллерии, разбит железнодорожный состав, рассеяно и частью уничтожено до двух батальонов пехоты противника.</w:t>
      </w:r>
    </w:p>
    <w:p w14:paraId="475675B7"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отбивали атаки гитлеровцев и на ряде участков наносили контрудары по танкам и мотопехоте противника. Наша часть под командованием тов. Утвенко в течение дня уничтожила свыше 300 гитлеровцев и захватила 2 бронемашины, 5 станковых пулемётов, радиостанцию и другое военное имущество. Взяты пленные. Н-ская стрелковая часть, ведя активные боевые действия, истребила свыше 1.000 немецких солдат и офицеров. Бойцы этой части захватили у противника 30 миномётов, 4 орудия, 300 винтовок, 8.000 патронов и много гранат. Советские лётчики за сутки сбили в воздушных боях 18 самолётов противника.</w:t>
      </w:r>
    </w:p>
    <w:p w14:paraId="5AEECE10"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наши войска вели упорные бои против группировки противника, переправившейся через Дон. На одном из участков немцы сосредоточили несколько десятков танков и атаковали наши позиции. Огнём артиллерии, а затемк онтратакой наших танкистов было подбито 8 танков противника. Немцы потеряли в этом бою только убитыми свыше 250 солдат и офицеров.</w:t>
      </w:r>
    </w:p>
    <w:p w14:paraId="16641AD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Сальска наши войска вели тяжёлые оборонительные бои с танками и мотопехотой противника. На участке одного соединения уничтожено 5 немецких танков, 12 противотанковых орудий, 8 зенитно-пулемётных установок и 3 миномёта. На поле боя гитлеровцы оставили до 400 трупов. В районе Кущевской происходили особенно ожесточённые бои. Один крупный населённый пункт в течение дня три раза переходил из рук в руки. Противник понёс большие потери. Подбито 7 танков и уничтожено свыше 800 немецких солдат и офицеров.</w:t>
      </w:r>
    </w:p>
    <w:p w14:paraId="1965D06B"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происходили бои местного значения. Танковая рота гвардии капитана тов. Морозова уничтожила 2 немецких танка, 2 орудия, 6 станковых пулемётов и до роты пехоты противника. Экипаж гвардии младшего лейтенанта Астахова истребил до взвода вражеской пехоты и разгромил командный пункт. Несколько немецких офицеров взято в плен. На других участках наши части вели бои с целью улучшения своих позиций.</w:t>
      </w:r>
    </w:p>
    <w:p w14:paraId="71F9627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Карельском фронте наблюдались столкновения с небольшими группам ипротивника. Усиленная рота белофиннов предприняла разведку боем. Находившийся в боевом охранении взвод под командованием лейтенанта Акимкина подпустил противника на близкое расстояние и открыл миномётный и ружейно-пулемётный огонь.В завязавшемся бою уничтожено 50 вражеских солдат и офицеров.</w:t>
      </w:r>
    </w:p>
    <w:p w14:paraId="0742BDDB"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брянских партизан под командованием тов. В. пустил под откос железнодорожный эшелон противника с боеприпасами. В последних боях против захватчиков партизаны уничтожили 56 и ранили свыше 100 солдат и офицеров противника.</w:t>
      </w:r>
    </w:p>
    <w:p w14:paraId="267A399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неотправленного письма, найденного у убитого немецкого обер-ефрейтора Штрикера:</w:t>
      </w:r>
    </w:p>
    <w:p w14:paraId="39FF8D07"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«Вчера, наконец, привезли почту. Какой сюрприз! Я получил письмо от Генриха Шпорна и Роберта Трайлиха, они опять в России, где-то на юге. Им и во сне не снилось, что их так скоро отправят из Франции. Генрих пишет, что в первом бою его часть понесла ужасные потери. Роберт — в бешенстве. Он ненавидит тыловых жеребцов, которые с помощью связей продвигаются по службе гораздо быстрее тех, кто находится на Восточном фронте и рискует головой... Каждый из нас одной ногой стоит в могиле. Раньше мы с нетерпением ждали смены и думали, что когда придут новые части, нас отведут в тыл. Теперь мы убедились, что смена прибывает только для тех, кто уже покончил все счёты с жизнью».</w:t>
      </w:r>
    </w:p>
    <w:p w14:paraId="1BD20A1B"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предприятиях Италии увеличилось число актов саботажа и диверсий. В Падуе неизвестные подожгли военный завод и склады военного имущества. В сборочном цехе торпедного завода в г. Пола близ Триеста произошёл взрыв большой силы. Цех разрушен.» (14972).</w:t>
      </w:r>
    </w:p>
    <w:p w14:paraId="63DA6900"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4CFB11DF"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августа в 1942 году немецкие танки форсируют Дон в районе Цымлянска (14972).</w:t>
      </w:r>
    </w:p>
    <w:p w14:paraId="56E96EED"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57CB38E3" w14:textId="77777777" w:rsidR="001E4C3E" w:rsidRPr="00722885" w:rsidRDefault="001E4C3E" w:rsidP="00722885">
      <w:pPr>
        <w:pStyle w:val="Iauiue"/>
        <w:tabs>
          <w:tab w:val="left" w:pos="11199"/>
        </w:tabs>
        <w:jc w:val="both"/>
        <w:rPr>
          <w:color w:val="000000" w:themeColor="text1"/>
          <w:sz w:val="16"/>
          <w:szCs w:val="16"/>
        </w:rPr>
      </w:pPr>
      <w:r w:rsidRPr="00722885">
        <w:rPr>
          <w:color w:val="000000" w:themeColor="text1"/>
          <w:sz w:val="16"/>
          <w:szCs w:val="16"/>
        </w:rPr>
        <w:t>3 августа 1942 немецкие танки форсировали Дон в районе Цымлянска (4962).</w:t>
      </w:r>
    </w:p>
    <w:p w14:paraId="2A523F39" w14:textId="77777777" w:rsidR="001E4C3E" w:rsidRPr="00722885" w:rsidRDefault="001E4C3E" w:rsidP="00722885">
      <w:pPr>
        <w:pStyle w:val="Iauiue"/>
        <w:tabs>
          <w:tab w:val="left" w:pos="11199"/>
        </w:tabs>
        <w:jc w:val="both"/>
        <w:rPr>
          <w:color w:val="000000" w:themeColor="text1"/>
          <w:sz w:val="16"/>
          <w:szCs w:val="16"/>
        </w:rPr>
      </w:pPr>
    </w:p>
    <w:p w14:paraId="54516EE9"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августа в 1942 году меморандум германскому верховному командованию, за подписями генерала А.А.Власова и полковника В.И.Боярского. В нем говорилось о том, что офицерский корпус РККА, и особенно попавшие в плен офицеры, стоят перед вопросом – каким путем может быть свергнуто правительство Сталина и создана новая Россия; к кому именно примкнуть – к Германии, Англии или США. "Главная задача – свержение правительства – говорит за то, что следует примкнуть к Германии... Однако вопрос будущности России неясен. Это может привести к союзу с Соединенными Штатами и Англией, в случае если Германия не внесет ясность в этот вопрос" (14972).</w:t>
      </w:r>
    </w:p>
    <w:p w14:paraId="5318C14D"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77BC8C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августа 1942 л-ш А.Гарбуз при штурмовке в районе р Волхов был подбит и направил машину на танковую колонну, угодив в прицеп с боеприпасами. Оторвало бронекорпус и отбросило в сторону на деревья. выжил и вернулся (438,853).</w:t>
      </w:r>
    </w:p>
    <w:p w14:paraId="17782849" w14:textId="77777777" w:rsidR="00AE7191" w:rsidRPr="00722885" w:rsidRDefault="00AE7191" w:rsidP="00722885">
      <w:pPr>
        <w:pStyle w:val="Iauiue"/>
        <w:jc w:val="both"/>
        <w:rPr>
          <w:color w:val="000000" w:themeColor="text1"/>
          <w:sz w:val="16"/>
          <w:szCs w:val="16"/>
        </w:rPr>
      </w:pPr>
    </w:p>
    <w:p w14:paraId="1D0FDFB6"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ночь 3 августа 1942 полком произведен боевой вылет на бомбардирование железнодорожно</w:t>
      </w:r>
      <w:r w:rsidRPr="00722885">
        <w:rPr>
          <w:rFonts w:ascii="Times New Roman" w:hAnsi="Times New Roman"/>
          <w:color w:val="0070C0"/>
          <w:sz w:val="16"/>
          <w:szCs w:val="16"/>
        </w:rPr>
        <w:softHyphen/>
        <w:t>го узла Ржев-южный и склада восточнее стан</w:t>
      </w:r>
      <w:r w:rsidRPr="00722885">
        <w:rPr>
          <w:rFonts w:ascii="Times New Roman" w:hAnsi="Times New Roman"/>
          <w:color w:val="0070C0"/>
          <w:sz w:val="16"/>
          <w:szCs w:val="16"/>
        </w:rPr>
        <w:softHyphen/>
        <w:t>ции. Командир корабля №42066 майор Пусэп, штурман майор Штепенко при подходе к цели наблюдали бомбометание других самолетов, в результате возникло два очага пожара в южной части города. С одного захода в 22.10 с высоты 2450 м на цель сброшено ФАБ-2000 и две ФАБ-1000. Наблюдали разрывы бомб на путях и прилегающих к ним постройкам и три больших очага пожара на путях станции, кото</w:t>
      </w:r>
      <w:r w:rsidRPr="00722885">
        <w:rPr>
          <w:rFonts w:ascii="Times New Roman" w:hAnsi="Times New Roman"/>
          <w:color w:val="0070C0"/>
          <w:sz w:val="16"/>
          <w:szCs w:val="16"/>
        </w:rPr>
        <w:softHyphen/>
        <w:t>рые все время разгорались (19936).</w:t>
      </w:r>
    </w:p>
    <w:p w14:paraId="0505FB66"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ночь с 4 на 5 августа 1942 г. полком было произведено три самолетовылета. Все само</w:t>
      </w:r>
      <w:r w:rsidRPr="00722885">
        <w:rPr>
          <w:rFonts w:ascii="Times New Roman" w:hAnsi="Times New Roman"/>
          <w:color w:val="0070C0"/>
          <w:sz w:val="16"/>
          <w:szCs w:val="16"/>
        </w:rPr>
        <w:softHyphen/>
        <w:t>леты к основной цели не пробились из-за грозовой облачности на маршруте и бомбар</w:t>
      </w:r>
      <w:r w:rsidRPr="00722885">
        <w:rPr>
          <w:rFonts w:ascii="Times New Roman" w:hAnsi="Times New Roman"/>
          <w:color w:val="0070C0"/>
          <w:sz w:val="16"/>
          <w:szCs w:val="16"/>
        </w:rPr>
        <w:softHyphen/>
        <w:t>дировали запасную цель - железнодорож</w:t>
      </w:r>
      <w:r w:rsidRPr="00722885">
        <w:rPr>
          <w:rFonts w:ascii="Times New Roman" w:hAnsi="Times New Roman"/>
          <w:color w:val="0070C0"/>
          <w:sz w:val="16"/>
          <w:szCs w:val="16"/>
        </w:rPr>
        <w:softHyphen/>
        <w:t>ный узел Вязьма. Отмечалась течь радиатора третьего мотора самолета №42107, необхо</w:t>
      </w:r>
      <w:r w:rsidRPr="00722885">
        <w:rPr>
          <w:rFonts w:ascii="Times New Roman" w:hAnsi="Times New Roman"/>
          <w:color w:val="0070C0"/>
          <w:sz w:val="16"/>
          <w:szCs w:val="16"/>
        </w:rPr>
        <w:softHyphen/>
        <w:t>димость осмотра планера и моторов ТБ-7 №42077 и исправность ТБ-7 №42066 (19936).</w:t>
      </w:r>
    </w:p>
    <w:p w14:paraId="518A26F6" w14:textId="77777777" w:rsidR="001E4C3E" w:rsidRPr="00722885" w:rsidRDefault="001E4C3E" w:rsidP="00722885">
      <w:pPr>
        <w:spacing w:after="0" w:line="240" w:lineRule="auto"/>
        <w:jc w:val="both"/>
        <w:rPr>
          <w:rFonts w:ascii="Times New Roman" w:hAnsi="Times New Roman"/>
          <w:color w:val="0070C0"/>
          <w:sz w:val="16"/>
          <w:szCs w:val="16"/>
        </w:rPr>
      </w:pPr>
    </w:p>
    <w:p w14:paraId="6CD572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августа 1942 г. вышел ПРИКАЗ № 00162 О ФОРМИРОВАНИИ 1-й АВИАЦИОННОЙ БРИГАДЫ ПО ПЕРЕГОНКЕ САМОЛЕТОВ</w:t>
      </w:r>
    </w:p>
    <w:p w14:paraId="53940C3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 исполнение постановления Государственного Комитета обороны № ГОКО-2132 от 1 августа 1942 г. приказываю:</w:t>
      </w:r>
    </w:p>
    <w:p w14:paraId="71A5E9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Сформировать Управление Красноярской воздушной трассы по штату № 015/268. Дислокация г. Якутск.</w:t>
      </w:r>
    </w:p>
    <w:p w14:paraId="04F446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Сформировать 1-ю авиационную бригаду по перегонке самолетов</w:t>
      </w:r>
      <w:r w:rsidRPr="00722885">
        <w:rPr>
          <w:color w:val="000000" w:themeColor="text1"/>
          <w:sz w:val="16"/>
          <w:szCs w:val="16"/>
          <w:vertAlign w:val="superscript"/>
        </w:rPr>
        <w:t xml:space="preserve">46 </w:t>
      </w:r>
      <w:r w:rsidRPr="00722885">
        <w:rPr>
          <w:color w:val="000000" w:themeColor="text1"/>
          <w:sz w:val="16"/>
          <w:szCs w:val="16"/>
        </w:rPr>
        <w:t>по штату № 015/267. Дислокация г. Красноярск, в составе:</w:t>
      </w:r>
    </w:p>
    <w:p w14:paraId="2A351B7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одной эскадрильи лидеров “Бостон-3”, состоящий из 6 групп по 2 экипажа в каждой;</w:t>
      </w:r>
    </w:p>
    <w:p w14:paraId="526B8C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одного смешанного авиаполка Б-25 и “Бостон-3” в составе одной эскадрильи Б-25 и 4 эскадрилий “Бостон-3”;</w:t>
      </w:r>
    </w:p>
    <w:p w14:paraId="02F551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одного авиавполка “Бостон-3” в составе 6 эскадрилий;</w:t>
      </w:r>
    </w:p>
    <w:p w14:paraId="1844D4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 двух авиаполков “Аэрокобра” и Р-40Е в составе 8 эскадрилий каждый.</w:t>
      </w:r>
    </w:p>
    <w:p w14:paraId="238A98A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формирование 1-й авиабригады обратить: 185, 416, 187, 41-й истребительные и 561-й и 794-й бомбардировочные авиаполки.</w:t>
      </w:r>
    </w:p>
    <w:p w14:paraId="17103F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Сформировать Военное представительство ВВС Красной Армии в Фербенксе по штату № 029/223.</w:t>
      </w:r>
    </w:p>
    <w:p w14:paraId="656F471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Начальнику Главного управления обучения, формирования и боевой подготовки и начальнику управления кадров ВВС КА отобрать и подготовить для укомплектования 1-й авиабригады 284 экипажа, в том числе:</w:t>
      </w:r>
    </w:p>
    <w:p w14:paraId="790751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экипажей Б-25 112 экипажей “Бостон-3” 160 экипажей “Аэрокобра” и Р-40Е.</w:t>
      </w:r>
    </w:p>
    <w:p w14:paraId="28DF457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Подготовку экипажей провести в сроки: первую очередь — 50 % к 15.8.42 г. и 50 % к 15.9.42 г.</w:t>
      </w:r>
    </w:p>
    <w:p w14:paraId="1877F7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Военному совету Дальневосточного фронта отобрать и направить к 15.8.1942 г. в распоряжение командира 6-й запасной авиабригады в Иваново 30 экипажей для истребительных самолетов и 30 экипажей для бомбардировочных самолетов. Выделить экипажи, умеющие летать в сложных метеоусловиях и ночью.</w:t>
      </w:r>
    </w:p>
    <w:p w14:paraId="4D611E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Начальнику управления кадров ВВС Красной Армии: а) к 3 августа 1942 г. принять 10 экипажей от командующего авиацией дальнего действия и 3 экипажа от Главсевморпути и направить их для использования в составе 1-й авиабригады по перегонке самолетов;</w:t>
      </w:r>
    </w:p>
    <w:p w14:paraId="21D3C1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передать к 5.8.42 г. в состав 1-й авиабригады 7 экипажей Б-25 и 10 экипажей “Бостон-3” из состава перегоночных групп южной трассы.</w:t>
      </w:r>
    </w:p>
    <w:p w14:paraId="53B6AD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Лидирование перегоняемых самолетов проводить по участкам Фер-бенкс-Ном, Ном-Уэлькаль-Сеймчан, Сеймчан-Якутск, Якутск-Киренск, Ки-ренск-Красноярск.</w:t>
      </w:r>
    </w:p>
    <w:p w14:paraId="222513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Военным советам Волховского, Воронежского и Сталинградского фронтов и Архангельского военного округа выделяемые на формирование 1-й авиабригады авиаполки в полном составе направить в Иваново в распоряжение командира 6-й запасной авиабригады к 5.8.42 г.</w:t>
      </w:r>
    </w:p>
    <w:p w14:paraId="037B9C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Военным советам Сибирского военного округа и Забайкальского фронта обеспечить формирование Управления Красноярской воздушной трассы и 1-й авиабригады всеми видами довольствия и общевойсковым личным составом.</w:t>
      </w:r>
    </w:p>
    <w:p w14:paraId="381DCCA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Начальнику Главного артиллерийского управления генерал-полковнику Яковлеву обеспечить летно-технический состав 1-й авиабригады и аэропортов ГВФ личным оружием и автоматами.</w:t>
      </w:r>
    </w:p>
    <w:p w14:paraId="6A41E6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Начальнику тыла Красной Армии установить повышенные нормы питания для личного состава 1-й авиабригады и аэропортов.</w:t>
      </w:r>
    </w:p>
    <w:p w14:paraId="7D3AA4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Начальникам главных управлений НКО обеспечить проводимые мероприятия всеми положенными видами довольствия.</w:t>
      </w:r>
    </w:p>
    <w:p w14:paraId="4DCF654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 Назначить:</w:t>
      </w:r>
    </w:p>
    <w:p w14:paraId="286CC3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Начальником Управления Красноярской воздушной трассы — полковника Мазурук И. П.</w:t>
      </w:r>
    </w:p>
    <w:p w14:paraId="6FA586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Заместителем начальника Красноярской воздушной трассы — подполковника Фокина В. В.</w:t>
      </w:r>
    </w:p>
    <w:p w14:paraId="3C2CBF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Командиром 1 -и авиационной бригады по перегонке самолетов — подполковника Романова Н. К.</w:t>
      </w:r>
    </w:p>
    <w:p w14:paraId="1BC594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 Формирование Управления Красноярской воздушной трассы и управления 1-й авиационной бригады закончить к 15 августа 1942 года.</w:t>
      </w:r>
    </w:p>
    <w:p w14:paraId="05CF7161"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Заместитель Народного комиссара обороны СССР армейский комиссар I ранга Е. ЩАДЕН КО </w:t>
      </w:r>
      <w:r w:rsidRPr="00722885">
        <w:rPr>
          <w:color w:val="000000" w:themeColor="text1"/>
          <w:sz w:val="16"/>
          <w:szCs w:val="16"/>
        </w:rPr>
        <w:t>(9844).</w:t>
      </w:r>
    </w:p>
    <w:p w14:paraId="023D581B" w14:textId="77777777" w:rsidR="00AE7191" w:rsidRPr="00722885" w:rsidRDefault="00AE7191" w:rsidP="00722885">
      <w:pPr>
        <w:pStyle w:val="Iauiue"/>
        <w:jc w:val="both"/>
        <w:rPr>
          <w:color w:val="000000" w:themeColor="text1"/>
          <w:sz w:val="16"/>
          <w:szCs w:val="16"/>
        </w:rPr>
      </w:pPr>
    </w:p>
    <w:p w14:paraId="0669AA5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августа 1942 части вермахта нанесли удар в другом направлении, и к утру следующего дня вышли к мосту у Аксай. Однако здесь их ждала выдвинутая в спешном порядке 6-я гвардейская танковая бригада - 44 тридцатьчетверки, занявшая оборону у станции Абганерово. В результате боя было уничтожено 10 немецких машин, свои потери составили один подбитый Т-34.</w:t>
      </w:r>
    </w:p>
    <w:p w14:paraId="1EB7F39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Вскоре в этот же район подтянули 13 (44 Т-34) и 254-ю танковые бригады. Правда в последней после 300-километрового марша осталось на ходу всего 14 тридцатьчетверок. Обе эти бригады 6 августа атаковали противника, занявшего разъезд «74-й километр», но неудачно - в первом же бою они потеряли 29 тридцатьчетверок. Бои на этом направлении продолжались до 17 августа, и наступление немцев здесь было задержано (12217).</w:t>
      </w:r>
    </w:p>
    <w:p w14:paraId="1207E21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379C1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августа 1942 г. пораженный ави</w:t>
      </w:r>
      <w:r w:rsidRPr="00722885">
        <w:rPr>
          <w:color w:val="000000" w:themeColor="text1"/>
          <w:sz w:val="16"/>
          <w:szCs w:val="16"/>
        </w:rPr>
        <w:softHyphen/>
        <w:t>ационной торпедой крейсер "Молотов" сохранили не</w:t>
      </w:r>
      <w:r w:rsidRPr="00722885">
        <w:rPr>
          <w:color w:val="000000" w:themeColor="text1"/>
          <w:sz w:val="16"/>
          <w:szCs w:val="16"/>
        </w:rPr>
        <w:softHyphen/>
        <w:t>потопляемость (с потери кормы до 262-го шпангоута) (3898).</w:t>
      </w:r>
    </w:p>
    <w:p w14:paraId="00F850A5" w14:textId="77777777" w:rsidR="00AE7191" w:rsidRPr="00722885" w:rsidRDefault="00AE7191" w:rsidP="00722885">
      <w:pPr>
        <w:pStyle w:val="Iauiue"/>
        <w:jc w:val="both"/>
        <w:rPr>
          <w:iCs/>
          <w:color w:val="000000" w:themeColor="text1"/>
          <w:sz w:val="16"/>
          <w:szCs w:val="16"/>
        </w:rPr>
      </w:pPr>
    </w:p>
    <w:p w14:paraId="513A7A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августа 1942 катерникам ЧМФ пришлось охранять поврежденный корабль - торпедированный крейсер “Молотов” (6002).</w:t>
      </w:r>
    </w:p>
    <w:p w14:paraId="4B6EA91B" w14:textId="77777777" w:rsidR="00AE7191" w:rsidRPr="00722885" w:rsidRDefault="00AE7191" w:rsidP="00722885">
      <w:pPr>
        <w:pStyle w:val="Iauiue"/>
        <w:jc w:val="both"/>
        <w:rPr>
          <w:color w:val="000000" w:themeColor="text1"/>
          <w:sz w:val="16"/>
          <w:szCs w:val="16"/>
        </w:rPr>
      </w:pPr>
    </w:p>
    <w:p w14:paraId="6F5A47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августа 1942 вышло Постановление ГКО № 2133 Вопросы Центрального штаба партизанского движения. РГАНИР, Фонд ГКО, д. 48, лл. 170 (11012).</w:t>
      </w:r>
    </w:p>
    <w:p w14:paraId="75649A2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F7BDC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августа 1942 года вышло Распоряжение Начальника ЦШПД начальникам партизанских штабов о борьбе с агентурой противника (8983).</w:t>
      </w:r>
    </w:p>
    <w:p w14:paraId="3DCB16ED" w14:textId="77777777" w:rsidR="00AE7191" w:rsidRPr="00722885" w:rsidRDefault="00AE7191" w:rsidP="00722885">
      <w:pPr>
        <w:pStyle w:val="Iauiue"/>
        <w:jc w:val="both"/>
        <w:rPr>
          <w:color w:val="000000" w:themeColor="text1"/>
          <w:sz w:val="16"/>
          <w:szCs w:val="16"/>
        </w:rPr>
      </w:pPr>
    </w:p>
    <w:p w14:paraId="333B5C2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74B777A" w14:textId="77777777" w:rsidR="00AE7191" w:rsidRPr="00722885" w:rsidRDefault="00AE7191" w:rsidP="00722885">
      <w:pPr>
        <w:pStyle w:val="Iauiue"/>
        <w:jc w:val="both"/>
        <w:rPr>
          <w:iCs/>
          <w:color w:val="000000" w:themeColor="text1"/>
          <w:sz w:val="16"/>
          <w:szCs w:val="16"/>
        </w:rPr>
      </w:pPr>
    </w:p>
    <w:p w14:paraId="753329FB"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августа в 1942 году пилот Эгон Фат впервые поднял летающую лодку </w:t>
      </w:r>
      <w:hyperlink r:id="rId59" w:tgtFrame="_blank" w:history="1">
        <w:r w:rsidRPr="00722885">
          <w:rPr>
            <w:rFonts w:ascii="Times New Roman" w:hAnsi="Times New Roman"/>
            <w:color w:val="000000" w:themeColor="text1"/>
            <w:sz w:val="16"/>
            <w:szCs w:val="16"/>
          </w:rPr>
          <w:t xml:space="preserve">«Do.212» </w:t>
        </w:r>
      </w:hyperlink>
      <w:r w:rsidRPr="00722885">
        <w:rPr>
          <w:rFonts w:ascii="Times New Roman" w:hAnsi="Times New Roman"/>
          <w:color w:val="000000" w:themeColor="text1"/>
          <w:sz w:val="16"/>
          <w:szCs w:val="16"/>
        </w:rPr>
        <w:t>в воздух. Летающая лодка «Do.212» была создана специалистами фирмы «ЭA.G. fur Dornierflugzeuge», которая являлась филиалом известной немецкой компании «Dornier». Этот небольшой самолёт предназначался для перевозки 4 пассажиров на короткие расстояния. Конструкция «Do.212» была цельнометаллической, на нем устанавливался 450-сильный двигатель «Hirth» «HM-512B-0» с толкающим воздушным винтом за пассажирским салоном. Для защиты от попадания брызг в мотор и пропеллер его приподнимали вверх на 12 град. Об испытаниях «Do.212V-1» («HB-GOG») известно немного, но уже в скором времени от продолжения работ по этому самолёту пришлось отказаться. В середине 1943 года тестовые полеты прекратили, а единственный прототип, по всей видимости, разобрали на металл (14972).</w:t>
      </w:r>
    </w:p>
    <w:p w14:paraId="46DE77E5"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5FAA73D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3-17 августа 1942 была операция британского флота по проводке на Мальту конвоя Пьедестал (3186).</w:t>
      </w:r>
    </w:p>
    <w:p w14:paraId="2929FAC9" w14:textId="77777777" w:rsidR="00AE7191" w:rsidRPr="00722885" w:rsidRDefault="00AE7191" w:rsidP="00722885">
      <w:pPr>
        <w:pStyle w:val="Iauiue"/>
        <w:jc w:val="both"/>
        <w:rPr>
          <w:color w:val="000000" w:themeColor="text1"/>
          <w:sz w:val="16"/>
          <w:szCs w:val="16"/>
        </w:rPr>
      </w:pPr>
    </w:p>
    <w:p w14:paraId="4A86AD0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BA91F11" w14:textId="77777777" w:rsidR="00AE7191" w:rsidRPr="00722885" w:rsidRDefault="00AE7191" w:rsidP="00722885">
      <w:pPr>
        <w:pStyle w:val="Iauiue"/>
        <w:jc w:val="both"/>
        <w:rPr>
          <w:iCs/>
          <w:color w:val="000000" w:themeColor="text1"/>
          <w:sz w:val="16"/>
          <w:szCs w:val="16"/>
        </w:rPr>
      </w:pPr>
    </w:p>
    <w:p w14:paraId="12199F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августа 1942 Зам. наркома обороны Воронов утвердил Краткие ТТТ на артиллерийский самолет разведчик-корректировщик. Их подписали: Нач. упр. боевой подготовки ГУНАРТ КА Чистяков и нач. 2 отд. УБП ГУНАРТ КА Кирилов (1632,298).</w:t>
      </w:r>
    </w:p>
    <w:p w14:paraId="7BFA61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Назначение самолета</w:t>
      </w:r>
    </w:p>
    <w:p w14:paraId="4F6F9B7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Производить разведку поля боя, плановую аэрофотосъемку и корректировку артиллерийского огня над территорией противника и из своего расположения.</w:t>
      </w:r>
    </w:p>
    <w:p w14:paraId="07AB4D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Основные ТТТ</w:t>
      </w:r>
    </w:p>
    <w:p w14:paraId="51DBBA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Действия на различных высотах до практического потолка (наиболее характерные высоты работы корректировщика в диапазоне от 1200 м до 2500 м</w:t>
      </w:r>
    </w:p>
    <w:p w14:paraId="758047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По технике пилотирования самолет должен быть прост и доступен к эксплуатации летчикам средней квалификации</w:t>
      </w:r>
    </w:p>
    <w:p w14:paraId="555505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Самолет должен иметь мин. возможную посадочную скорость (в пределах от 100 до 130 км/час) и позволять работы с полевых посадочных площадок размерами 600х600 и 800х800 м</w:t>
      </w:r>
    </w:p>
    <w:p w14:paraId="39BEF4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Места л и лн должны позволять личное общение и удобство работы. Кабина летнаба должна позволять удобное размещение фотоаппаратуры и рации (желательно впереди летнаба).</w:t>
      </w:r>
    </w:p>
    <w:p w14:paraId="6DB2F5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ЛТХ</w:t>
      </w:r>
    </w:p>
    <w:p w14:paraId="057860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 нормальном полетном весе, самолет должен обладать след. ЛТХ: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B487A" w:rsidRPr="00722885" w14:paraId="599DFDF4" w14:textId="77777777" w:rsidTr="00CC5360">
        <w:tc>
          <w:tcPr>
            <w:tcW w:w="5636" w:type="dxa"/>
            <w:tcBorders>
              <w:top w:val="single" w:sz="12" w:space="0" w:color="auto"/>
            </w:tcBorders>
          </w:tcPr>
          <w:p w14:paraId="7626D2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 скорость</w:t>
            </w:r>
          </w:p>
        </w:tc>
        <w:tc>
          <w:tcPr>
            <w:tcW w:w="5636" w:type="dxa"/>
            <w:tcBorders>
              <w:top w:val="single" w:sz="12" w:space="0" w:color="auto"/>
            </w:tcBorders>
          </w:tcPr>
          <w:p w14:paraId="4A55D3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 - 400 км/час и выше</w:t>
            </w:r>
          </w:p>
        </w:tc>
      </w:tr>
      <w:tr w:rsidR="009B487A" w:rsidRPr="00722885" w14:paraId="6BC88B7F" w14:textId="77777777" w:rsidTr="00CC5360">
        <w:tc>
          <w:tcPr>
            <w:tcW w:w="5636" w:type="dxa"/>
          </w:tcPr>
          <w:p w14:paraId="1D245A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мин. эвулют. скорость</w:t>
            </w:r>
          </w:p>
        </w:tc>
        <w:tc>
          <w:tcPr>
            <w:tcW w:w="5636" w:type="dxa"/>
          </w:tcPr>
          <w:p w14:paraId="16A8FB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 - 200-220 км/час</w:t>
            </w:r>
          </w:p>
        </w:tc>
      </w:tr>
      <w:tr w:rsidR="009B487A" w:rsidRPr="00722885" w14:paraId="3A423A3C" w14:textId="77777777" w:rsidTr="00CC5360">
        <w:tc>
          <w:tcPr>
            <w:tcW w:w="5636" w:type="dxa"/>
          </w:tcPr>
          <w:p w14:paraId="079C77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крейсерская скорость</w:t>
            </w:r>
          </w:p>
        </w:tc>
        <w:tc>
          <w:tcPr>
            <w:tcW w:w="5636" w:type="dxa"/>
          </w:tcPr>
          <w:p w14:paraId="189F81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 - 300 км/час</w:t>
            </w:r>
          </w:p>
        </w:tc>
      </w:tr>
      <w:tr w:rsidR="009B487A" w:rsidRPr="00722885" w14:paraId="02BC93C1" w14:textId="77777777" w:rsidTr="00CC5360">
        <w:tc>
          <w:tcPr>
            <w:tcW w:w="5636" w:type="dxa"/>
          </w:tcPr>
          <w:p w14:paraId="19C0D7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посадочн. скорость</w:t>
            </w:r>
          </w:p>
        </w:tc>
        <w:tc>
          <w:tcPr>
            <w:tcW w:w="5636" w:type="dxa"/>
          </w:tcPr>
          <w:p w14:paraId="160CC3B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 - 100-130 км/час</w:t>
            </w:r>
          </w:p>
        </w:tc>
      </w:tr>
      <w:tr w:rsidR="009B487A" w:rsidRPr="00722885" w14:paraId="7E0DC0EC" w14:textId="77777777" w:rsidTr="00CC5360">
        <w:tc>
          <w:tcPr>
            <w:tcW w:w="5636" w:type="dxa"/>
          </w:tcPr>
          <w:p w14:paraId="177D11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практ. потолок </w:t>
            </w:r>
          </w:p>
        </w:tc>
        <w:tc>
          <w:tcPr>
            <w:tcW w:w="5636" w:type="dxa"/>
          </w:tcPr>
          <w:p w14:paraId="3424AD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 - 2500-3000 м</w:t>
            </w:r>
          </w:p>
        </w:tc>
      </w:tr>
      <w:tr w:rsidR="009B487A" w:rsidRPr="00722885" w14:paraId="676F57BC" w14:textId="77777777" w:rsidTr="00CC5360">
        <w:tc>
          <w:tcPr>
            <w:tcW w:w="5636" w:type="dxa"/>
          </w:tcPr>
          <w:p w14:paraId="70AF1B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продолж. полета</w:t>
            </w:r>
          </w:p>
        </w:tc>
        <w:tc>
          <w:tcPr>
            <w:tcW w:w="5636" w:type="dxa"/>
          </w:tcPr>
          <w:p w14:paraId="08BD76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 - 2.5-3 час.</w:t>
            </w:r>
          </w:p>
        </w:tc>
      </w:tr>
      <w:tr w:rsidR="009B487A" w:rsidRPr="00722885" w14:paraId="4DF64B38" w14:textId="77777777" w:rsidTr="00CC5360">
        <w:tc>
          <w:tcPr>
            <w:tcW w:w="5636" w:type="dxa"/>
            <w:tcBorders>
              <w:bottom w:val="single" w:sz="12" w:space="0" w:color="auto"/>
            </w:tcBorders>
          </w:tcPr>
          <w:p w14:paraId="3585AE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экипаж</w:t>
            </w:r>
          </w:p>
        </w:tc>
        <w:tc>
          <w:tcPr>
            <w:tcW w:w="5636" w:type="dxa"/>
            <w:tcBorders>
              <w:bottom w:val="single" w:sz="12" w:space="0" w:color="auto"/>
            </w:tcBorders>
          </w:tcPr>
          <w:p w14:paraId="647A96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 - 2 чел.</w:t>
            </w:r>
          </w:p>
        </w:tc>
      </w:tr>
    </w:tbl>
    <w:p w14:paraId="7CB08C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Вооружение</w:t>
      </w:r>
    </w:p>
    <w:p w14:paraId="1C152AD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3-4 крупнокалиберных п и из них 2 ШВАК или БС впереди</w:t>
      </w:r>
    </w:p>
    <w:p w14:paraId="731993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БС у летнаба на подвижной установке</w:t>
      </w:r>
    </w:p>
    <w:p w14:paraId="37304F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4-6 балок, из них 2 назад</w:t>
      </w:r>
    </w:p>
    <w:p w14:paraId="53643B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Средства связи</w:t>
      </w:r>
    </w:p>
    <w:p w14:paraId="47551A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ПП станция РСИ-4</w:t>
      </w:r>
    </w:p>
    <w:p w14:paraId="26DB14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СПУ</w:t>
      </w:r>
    </w:p>
    <w:p w14:paraId="3DAD99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Ракетница</w:t>
      </w:r>
    </w:p>
    <w:p w14:paraId="47E60B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Фотооборудование</w:t>
      </w:r>
    </w:p>
    <w:p w14:paraId="5F665F2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Люк в кабине летнаба для планового ф/а 50х50</w:t>
      </w:r>
    </w:p>
    <w:p w14:paraId="755DDD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Аппарат и система питания д.б. рассчитаны на 24 в с общей мощностью 1-1.5 КВТ</w:t>
      </w:r>
    </w:p>
    <w:p w14:paraId="2CFF7C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Вспомогательное оборудование</w:t>
      </w:r>
    </w:p>
    <w:p w14:paraId="6068AB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В кабине летнаба кроме других д.б. компас, пятка для ОПБ-1, наружн. термометр</w:t>
      </w:r>
    </w:p>
    <w:p w14:paraId="2A967C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Самолет д. иметь:</w:t>
      </w:r>
    </w:p>
    <w:p w14:paraId="6A21EA1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лыжи для эксплуатации в зимних условиях</w:t>
      </w:r>
    </w:p>
    <w:p w14:paraId="321E7F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необх. компл. запчастей и инструмент (1649,298).</w:t>
      </w:r>
    </w:p>
    <w:p w14:paraId="5716B05A" w14:textId="77777777" w:rsidR="00AE7191" w:rsidRPr="00722885" w:rsidRDefault="00AE7191" w:rsidP="00722885">
      <w:pPr>
        <w:pStyle w:val="Iauiue"/>
        <w:jc w:val="both"/>
        <w:rPr>
          <w:color w:val="000000" w:themeColor="text1"/>
          <w:sz w:val="16"/>
          <w:szCs w:val="16"/>
        </w:rPr>
      </w:pPr>
    </w:p>
    <w:p w14:paraId="1C7845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и 8 августа 1942 заводом 22 совместно с ЛИИ НКАП, были сняты скорости по высотам с 2-х серийных самолетов, взятых прямо из производства. Самолеты были оборудованы тяжелой стрелковой установкой. Оба самолета с нефорсированными моторами дали максимум 517 км/час. Считая по данным ЛИИ НКАП, что стрелковая установка снимает 6-8 км/час скорости и недобор высотности моторов, что установлено и признано заводом 16, получаем макс. скорость 527 км/час... (1685,58).</w:t>
      </w:r>
    </w:p>
    <w:p w14:paraId="4D1CE89B" w14:textId="77777777" w:rsidR="00AE7191" w:rsidRPr="00722885" w:rsidRDefault="00AE7191" w:rsidP="00722885">
      <w:pPr>
        <w:pStyle w:val="Iauiue"/>
        <w:jc w:val="both"/>
        <w:rPr>
          <w:color w:val="000000" w:themeColor="text1"/>
          <w:sz w:val="16"/>
          <w:szCs w:val="16"/>
        </w:rPr>
      </w:pPr>
    </w:p>
    <w:p w14:paraId="69145A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августа 1942 Зам. НКО г-л Новиков и НКАП А.И.Ш. был утвержден Отчет о совместных государственных и заводских испытаниях ДБ-3Ф 2М-82 и винтами АВ-5, производства завода 126 (испытания проводились на заводе 126) (2084).</w:t>
      </w:r>
    </w:p>
    <w:p w14:paraId="4CDDD273" w14:textId="77777777" w:rsidR="00AE7191" w:rsidRPr="00722885" w:rsidRDefault="00AE7191" w:rsidP="00722885">
      <w:pPr>
        <w:pStyle w:val="Iauiue"/>
        <w:jc w:val="both"/>
        <w:rPr>
          <w:color w:val="000000" w:themeColor="text1"/>
          <w:sz w:val="16"/>
          <w:szCs w:val="16"/>
        </w:rPr>
      </w:pPr>
    </w:p>
    <w:p w14:paraId="74DF713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августа 1942 л завода 21 А.А.Попов совершил аварию при испытаниях ЛаГГ-3, т.к. мотор отказал в воздухе и посадка была вынужденной (2108).</w:t>
      </w:r>
    </w:p>
    <w:p w14:paraId="3B0783AE" w14:textId="77777777" w:rsidR="00AE7191" w:rsidRPr="00722885" w:rsidRDefault="00AE7191" w:rsidP="00722885">
      <w:pPr>
        <w:pStyle w:val="Iauiue"/>
        <w:jc w:val="both"/>
        <w:rPr>
          <w:color w:val="000000" w:themeColor="text1"/>
          <w:sz w:val="16"/>
          <w:szCs w:val="16"/>
        </w:rPr>
      </w:pPr>
    </w:p>
    <w:p w14:paraId="2A537A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летные испытания прошел ЛаГГ-3 N 3123173 с двумя ПВРД ВРД-1 конструкции НИИ ГВФ и ИХФ М.М.Бондарюка, который был нач. ОКБ-3 НИИ ГВФ (2448,8).</w:t>
      </w:r>
    </w:p>
    <w:p w14:paraId="5F880935" w14:textId="77777777" w:rsidR="00AE7191" w:rsidRPr="00722885" w:rsidRDefault="00AE7191" w:rsidP="00722885">
      <w:pPr>
        <w:pStyle w:val="Iauiue"/>
        <w:jc w:val="both"/>
        <w:rPr>
          <w:color w:val="000000" w:themeColor="text1"/>
          <w:sz w:val="16"/>
          <w:szCs w:val="16"/>
        </w:rPr>
      </w:pPr>
    </w:p>
    <w:p w14:paraId="00D60E4D"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 вышло Постановление ГКО № 2135 О производстве снарядов М-20 и М-30 в августе и сентябре 1942 г. РГАНИР, Фонд ГКО, д. 49, лл. 1-3, 4-15 (11012).</w:t>
      </w:r>
    </w:p>
    <w:p w14:paraId="2EEF3D7F"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2B16FA5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 г. ГОСУДАРСТВЕННЫЙ КОМИТЕТ ОБОРОНЫ ПОСТАНОВЛЕНИЕ № ГОКО-2135сс</w:t>
      </w:r>
    </w:p>
    <w:p w14:paraId="2B8ED2B5" w14:textId="77777777" w:rsidR="00907F56"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Москва, Кремль</w:t>
      </w:r>
    </w:p>
    <w:p w14:paraId="2136259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производстве снарядов М-20 и М-30 в августе и сентябре 1942 г.</w:t>
      </w:r>
    </w:p>
    <w:p w14:paraId="354CB3B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Государственный Комитет Обороны постановляет: </w:t>
      </w:r>
    </w:p>
    <w:p w14:paraId="5A962E0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Принять предложение Главного Управления Вооружения Гвардейских минометных частей (т. Кузнецова) и института реактивной техники при СНК СССР (т. Костикова) о принятии на вооружение реактивного снаряда М-20, удовлетворяющего следующим требованиям: </w:t>
      </w:r>
    </w:p>
    <w:p w14:paraId="4E6FD4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вес взрывчатого вещества 15 кг. </w:t>
      </w:r>
    </w:p>
    <w:p w14:paraId="3332B67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дальность действия с нитроглицеринованными порохами 5 км. </w:t>
      </w:r>
    </w:p>
    <w:p w14:paraId="3B8F0C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стрельба производится с установок М-13 и пусковых рам М-30. </w:t>
      </w:r>
    </w:p>
    <w:p w14:paraId="79E94F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Обязать НКО (т. Аборенкова) и институт реактивной техники при СНК СССР (т. Костикова) утвердить чертежи снаряда М-20 с реактивной частью снаряда М-13 и испытанной головкой сварной конструкции. </w:t>
      </w:r>
    </w:p>
    <w:p w14:paraId="069371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Установить план производства комплектных выстрелов снарядов М-20 в количестве: </w:t>
      </w:r>
    </w:p>
    <w:p w14:paraId="616599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август - 20 тыс. штук </w:t>
      </w:r>
    </w:p>
    <w:p w14:paraId="11B9EFE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сентябрь - 40 тыс. штук </w:t>
      </w:r>
    </w:p>
    <w:p w14:paraId="2535970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Обязать НКО (т. Аборенкова) и институт реактивной техники при СНК СССР (т. Костикова) закончить к 15.VIII.42 г. испытание, разработку чертежей и технических условий снаряда М-30 с новой реактивной частью, обеспечивающих дальность полета снаряда до 5 км. с весом взрывчатого вещества не менее 25 кг. </w:t>
      </w:r>
    </w:p>
    <w:p w14:paraId="13F0027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Всю техническую документацию сдать НКБ к 16.VIII.42 г., а согласованные с НКБ предложения о производстве снарядов М-30 с увеличенной дальностью их действия представить в ГОКО к 20.VIII.42 г. </w:t>
      </w:r>
    </w:p>
    <w:p w14:paraId="799C8DE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Увеличить против плана на август месяц с.г. производство деталей реактивной части снаряда М-13 на предприятиях, согласно приложению № 1: </w:t>
      </w:r>
    </w:p>
    <w:p w14:paraId="05FC2FC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в августе м-це на - 5 тыс. комплектов и </w:t>
      </w:r>
    </w:p>
    <w:p w14:paraId="36C2D2D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в сентябре       на - 25 -"-      -"- </w:t>
      </w:r>
    </w:p>
    <w:p w14:paraId="6B20711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Обязать т. Косыгина, т. Кузнецова (Ленинградский обком ВКП(б)), т. Кубаткина (УНКВД по Ленинградской области) и т. Володарского (Уполномоченного Госплана СССР по Ленинградской области) - отгрузить до 15 августа 1942 года с ленинградских предприятий 2.000 станков для производства реактивной части снарядов М-13 на заводы, согласно приложению № 2. </w:t>
      </w:r>
    </w:p>
    <w:p w14:paraId="569FE63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Увеличить в августе месяце задание по производству пороховых зарядов М-13 из нитроглицериновых порохов на заводах НКБоеприпасов до 165 тыс. штук комплектов и обязать НКБ (т. Ванникова) организовать производство пороховых зарядов М-13 для усиленной реактивной части с выпуском их (в счет общего плана) в августе месяце 10 тыс. комплектов. </w:t>
      </w:r>
    </w:p>
    <w:p w14:paraId="4F4F718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Продлить на август и сентябрь сего года предусмотренные льготы по производству снарядов М-30, распространив их на предприятия, производящие снаряды М-20. </w:t>
      </w:r>
    </w:p>
    <w:p w14:paraId="35C2D53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Обязать НКО (т. Аборенкова), институт реактивной техники при СНК СССР (т. Костикова) и НКБ (т. Ванникова) к 10.VIII.42 г. провести всесторонние испытания снарядов    М-20, составить таблицы стрельбы и подобрать взрыватель. </w:t>
      </w:r>
    </w:p>
    <w:p w14:paraId="0E7B111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Утвердить мероприятия по обеспечению производства снарядов М-20 и усиленной реактивной части снаряда М-30 в августе и сентябре 1942 г., согласно приложению № 3. </w:t>
      </w:r>
    </w:p>
    <w:p w14:paraId="224ADB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 Обязать секретарей обкомов ВКП(б): Московского - т. Черноусова, Горьковского - т. Родионова, Свердловского - т. Андрианова, - оказать помощь предприятиям в выполнении установленного настоящим постановлением задания по производству снарядов М-20 и М-30. </w:t>
      </w:r>
    </w:p>
    <w:p w14:paraId="2CC6F596" w14:textId="77777777" w:rsidR="00907F56" w:rsidRPr="00722885" w:rsidRDefault="00AE7191" w:rsidP="00722885">
      <w:pPr>
        <w:pStyle w:val="Iauiue"/>
        <w:jc w:val="both"/>
        <w:rPr>
          <w:color w:val="000000" w:themeColor="text1"/>
          <w:sz w:val="16"/>
          <w:szCs w:val="16"/>
        </w:rPr>
      </w:pPr>
      <w:r w:rsidRPr="00722885">
        <w:rPr>
          <w:color w:val="000000" w:themeColor="text1"/>
          <w:sz w:val="16"/>
          <w:szCs w:val="16"/>
        </w:rPr>
        <w:t>12. Ввиду особой важности установленного настоящим постановлением задания по производству снарядов М-20 и М-30, обязать народных комиссаров т.т.: Ванникова, Акопова, Тевосяна, Устинова, Зальцмана, Казакова, Носенко, Кабанова, Паршина, Ефремова, Гинзбурга, Смирнова и НКПС (т. Хрулева и т. Архангельского) взять под личный контроль выполнение настоящего постановления.</w:t>
      </w:r>
    </w:p>
    <w:p w14:paraId="67C843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ПРЕДСЕДАТЕЛЬ ГОСУДАРСТВЕННОГО КОМИТЕТА ОБОРОНЫ И. СТАЛИН </w:t>
      </w:r>
    </w:p>
    <w:p w14:paraId="08DAEDF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Выписки посланы: </w:t>
      </w:r>
    </w:p>
    <w:p w14:paraId="51E719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т.т. Берия, Маленкову, Вознесенскому, Ванникову, Аборенкову, Гайдукову, Василевскому, Сабурову, Чадаеву – все. </w:t>
      </w:r>
    </w:p>
    <w:p w14:paraId="29C2AE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Наркомам и обкомам – соответственно (12665).</w:t>
      </w:r>
    </w:p>
    <w:p w14:paraId="2CB17861" w14:textId="77777777" w:rsidR="00AE7191" w:rsidRPr="00722885" w:rsidRDefault="00AE7191" w:rsidP="00722885">
      <w:pPr>
        <w:pStyle w:val="Iauiue"/>
        <w:jc w:val="both"/>
        <w:rPr>
          <w:color w:val="000000" w:themeColor="text1"/>
          <w:sz w:val="16"/>
          <w:szCs w:val="16"/>
        </w:rPr>
      </w:pPr>
    </w:p>
    <w:p w14:paraId="2F63F5A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8D50940" w14:textId="77777777" w:rsidR="00AE7191" w:rsidRPr="00722885" w:rsidRDefault="00AE7191" w:rsidP="00722885">
      <w:pPr>
        <w:pStyle w:val="Iauiue"/>
        <w:jc w:val="both"/>
        <w:rPr>
          <w:iCs/>
          <w:color w:val="000000" w:themeColor="text1"/>
          <w:sz w:val="16"/>
          <w:szCs w:val="16"/>
        </w:rPr>
      </w:pPr>
    </w:p>
    <w:p w14:paraId="0FD0AB74" w14:textId="77777777" w:rsidR="0036552A" w:rsidRPr="00722885" w:rsidRDefault="0036552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 вышло Постановление ГКО № 2136 О плане производства и поставок пулеметов-пистолетов Шпагина в августе месяце 1942 г. РГАНИР, Фонд ГКО, д. 49, лл. 16-19, 20-24 (11012).</w:t>
      </w:r>
    </w:p>
    <w:p w14:paraId="534E3464" w14:textId="77777777" w:rsidR="0036552A" w:rsidRPr="00722885" w:rsidRDefault="0036552A" w:rsidP="00722885">
      <w:pPr>
        <w:spacing w:after="0" w:line="240" w:lineRule="auto"/>
        <w:jc w:val="both"/>
        <w:rPr>
          <w:rFonts w:ascii="Times New Roman" w:hAnsi="Times New Roman"/>
          <w:color w:val="000000" w:themeColor="text1"/>
          <w:sz w:val="16"/>
          <w:szCs w:val="16"/>
        </w:rPr>
      </w:pPr>
    </w:p>
    <w:p w14:paraId="7A3CC374" w14:textId="77777777" w:rsidR="0036552A" w:rsidRPr="00722885" w:rsidRDefault="0036552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 вышло Постановление ГКО № 2137 О плане производства патронов и звеньев в августе 1942 г. РГАНИР, Фонд ГКО, д. 49, лл. 25-27, 28-30 (11012).</w:t>
      </w:r>
    </w:p>
    <w:p w14:paraId="08234543" w14:textId="77777777" w:rsidR="0036552A" w:rsidRPr="00722885" w:rsidRDefault="0036552A" w:rsidP="00722885">
      <w:pPr>
        <w:spacing w:after="0" w:line="240" w:lineRule="auto"/>
        <w:jc w:val="both"/>
        <w:rPr>
          <w:rFonts w:ascii="Times New Roman" w:hAnsi="Times New Roman"/>
          <w:color w:val="000000" w:themeColor="text1"/>
          <w:sz w:val="16"/>
          <w:szCs w:val="16"/>
        </w:rPr>
      </w:pPr>
    </w:p>
    <w:p w14:paraId="4C24C23A" w14:textId="77777777" w:rsidR="0036552A" w:rsidRPr="00722885" w:rsidRDefault="0036552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 вышло Постановление ГКО № 2138 О плане производства боеприпасов на август и сентябрь месяцы 1942 г. РГАНИР, Фонд ГКО, д. 49, лл. 31-40, 41-171 (11012).</w:t>
      </w:r>
    </w:p>
    <w:p w14:paraId="393C0F53" w14:textId="77777777" w:rsidR="0036552A" w:rsidRPr="00722885" w:rsidRDefault="0036552A" w:rsidP="00722885">
      <w:pPr>
        <w:spacing w:after="0" w:line="240" w:lineRule="auto"/>
        <w:jc w:val="both"/>
        <w:rPr>
          <w:rFonts w:ascii="Times New Roman" w:hAnsi="Times New Roman"/>
          <w:color w:val="000000" w:themeColor="text1"/>
          <w:sz w:val="16"/>
          <w:szCs w:val="16"/>
        </w:rPr>
      </w:pPr>
    </w:p>
    <w:p w14:paraId="5024BE57" w14:textId="77777777" w:rsidR="0036552A" w:rsidRPr="00722885" w:rsidRDefault="0036552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 вышло Постановление ГКО № 2139 О плане производства минометов на август 1942 года. РГАНИР, Фонд ГКО, д. 50, лл. 1-6, 7-13 (11012).</w:t>
      </w:r>
    </w:p>
    <w:p w14:paraId="2CA6EB9E" w14:textId="77777777" w:rsidR="0036552A" w:rsidRPr="00722885" w:rsidRDefault="0036552A" w:rsidP="00722885">
      <w:pPr>
        <w:spacing w:after="0" w:line="240" w:lineRule="auto"/>
        <w:jc w:val="both"/>
        <w:rPr>
          <w:rFonts w:ascii="Times New Roman" w:hAnsi="Times New Roman"/>
          <w:color w:val="000000" w:themeColor="text1"/>
          <w:sz w:val="16"/>
          <w:szCs w:val="16"/>
        </w:rPr>
      </w:pPr>
    </w:p>
    <w:p w14:paraId="1AA9E857" w14:textId="77777777" w:rsidR="0036552A" w:rsidRPr="00722885" w:rsidRDefault="0036552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 вышло Постановление ГКО № 2140 О плане производства и поставок артиллерийского и стрелкового вооружения и военных приборов на август месяц 1942 года. РГАНИР, Фонд ГКО, д. 50, лл. 14-22, 23-28 (11012).</w:t>
      </w:r>
    </w:p>
    <w:p w14:paraId="03430037" w14:textId="77777777" w:rsidR="0036552A" w:rsidRPr="00722885" w:rsidRDefault="0036552A" w:rsidP="00722885">
      <w:pPr>
        <w:spacing w:after="0" w:line="240" w:lineRule="auto"/>
        <w:jc w:val="both"/>
        <w:rPr>
          <w:rFonts w:ascii="Times New Roman" w:hAnsi="Times New Roman"/>
          <w:color w:val="000000" w:themeColor="text1"/>
          <w:sz w:val="16"/>
          <w:szCs w:val="16"/>
        </w:rPr>
      </w:pPr>
    </w:p>
    <w:p w14:paraId="3C6BF0B5" w14:textId="77777777" w:rsidR="00907F56" w:rsidRPr="00722885" w:rsidRDefault="00907F56"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4 августа 1942 был готов эскизный проект УЗТМ установки 152-мм гаубицы в рубке КВ-7 – У-18, а представлен через месяц – 3 сентября 1942 года. Группа конструкторов УЗТМ во главе с Горлицким постаралась максимально вложиться в требования военных, а также свести к минимуму переделку корпуса КВ-7. Артиллерийская часть установки У-18 состояла всего из 13 узлов, при этом корпус и рубка КВ-7 переделкам не подвергались. Подобный подход к максимальному «невмешательству» в конструкцию КВ-7 легко объясним фразой из описания У-18:</w:t>
      </w:r>
    </w:p>
    <w:p w14:paraId="13FE2879" w14:textId="77777777" w:rsidR="00907F56" w:rsidRPr="00722885" w:rsidRDefault="00907F56" w:rsidP="00722885">
      <w:pPr>
        <w:shd w:val="clear" w:color="auto" w:fill="FFFFFF"/>
        <w:spacing w:after="0" w:line="240" w:lineRule="auto"/>
        <w:jc w:val="both"/>
        <w:rPr>
          <w:rFonts w:ascii="Times New Roman" w:eastAsia="Times New Roman" w:hAnsi="Times New Roman"/>
          <w:iCs/>
          <w:color w:val="000000" w:themeColor="text1"/>
          <w:sz w:val="16"/>
          <w:szCs w:val="16"/>
        </w:rPr>
      </w:pPr>
      <w:r w:rsidRPr="00722885">
        <w:rPr>
          <w:rFonts w:ascii="Times New Roman" w:eastAsia="Times New Roman" w:hAnsi="Times New Roman"/>
          <w:color w:val="000000" w:themeColor="text1"/>
          <w:sz w:val="16"/>
          <w:szCs w:val="16"/>
        </w:rPr>
        <w:t>«</w:t>
      </w:r>
      <w:r w:rsidRPr="00722885">
        <w:rPr>
          <w:rFonts w:ascii="Times New Roman" w:eastAsia="Times New Roman" w:hAnsi="Times New Roman"/>
          <w:iCs/>
          <w:color w:val="000000" w:themeColor="text1"/>
          <w:sz w:val="16"/>
          <w:szCs w:val="16"/>
        </w:rPr>
        <w:t>В качестве базы для этой самоходной установки лучше всего подходит танк КВ-7. Несколько десятков штук корпусов с башнями этого танка находятся на Кировском заводе в городе Челябинске, предназначавшиеся для строенных установок одного 76,2-мм и двух 45-мм танковых орудий» (15838).</w:t>
      </w:r>
    </w:p>
    <w:p w14:paraId="186376D6" w14:textId="77777777" w:rsidR="00907F56" w:rsidRPr="00722885" w:rsidRDefault="00907F56" w:rsidP="00722885">
      <w:pPr>
        <w:shd w:val="clear" w:color="auto" w:fill="FFFFFF"/>
        <w:spacing w:after="0" w:line="240" w:lineRule="auto"/>
        <w:jc w:val="both"/>
        <w:rPr>
          <w:rFonts w:ascii="Times New Roman" w:eastAsia="Times New Roman" w:hAnsi="Times New Roman"/>
          <w:color w:val="000000" w:themeColor="text1"/>
          <w:sz w:val="16"/>
          <w:szCs w:val="16"/>
        </w:rPr>
      </w:pPr>
    </w:p>
    <w:p w14:paraId="3AD2B128" w14:textId="77777777" w:rsidR="000C324B" w:rsidRPr="00722885" w:rsidRDefault="000C324B" w:rsidP="00722885">
      <w:pPr>
        <w:pStyle w:val="a3"/>
        <w:rPr>
          <w:color w:val="000000" w:themeColor="text1"/>
          <w:lang w:val="ru-RU"/>
        </w:rPr>
      </w:pPr>
      <w:r w:rsidRPr="00722885">
        <w:rPr>
          <w:color w:val="000000" w:themeColor="text1"/>
          <w:lang w:val="ru-RU"/>
        </w:rPr>
        <w:t>4 августа 1942 был готов Эскизный проект установки 152-мм гаубицы в руб</w:t>
      </w:r>
      <w:r w:rsidRPr="00722885">
        <w:rPr>
          <w:color w:val="000000" w:themeColor="text1"/>
          <w:lang w:val="ru-RU"/>
        </w:rPr>
        <w:softHyphen/>
        <w:t>ке КВ-7, а представлен через месяц — 3 сентября 1942 года. Группа конструкто</w:t>
      </w:r>
      <w:r w:rsidRPr="00722885">
        <w:rPr>
          <w:color w:val="000000" w:themeColor="text1"/>
          <w:lang w:val="ru-RU"/>
        </w:rPr>
        <w:softHyphen/>
        <w:t>ров УЗТМ во главе с Горлицким постаралась максимально вложиться в требования военных, а также свести к минимуму переделку корпусов КВ-7. Почему, понятно из описания У-18:</w:t>
      </w:r>
    </w:p>
    <w:p w14:paraId="3FE314F6" w14:textId="77777777" w:rsidR="000C324B" w:rsidRPr="00722885" w:rsidRDefault="000C324B"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 xml:space="preserve">«Самоходная артиллерийская установка 152-мм пушки </w:t>
      </w:r>
      <w:r w:rsidRPr="00722885">
        <w:rPr>
          <w:rStyle w:val="Bodytext145"/>
          <w:i w:val="0"/>
          <w:iCs w:val="0"/>
          <w:color w:val="000000" w:themeColor="text1"/>
          <w:sz w:val="16"/>
          <w:szCs w:val="16"/>
          <w:lang w:val="en-US"/>
        </w:rPr>
        <w:t>MJI</w:t>
      </w:r>
      <w:r w:rsidRPr="00722885">
        <w:rPr>
          <w:rStyle w:val="Bodytext145"/>
          <w:i w:val="0"/>
          <w:iCs w:val="0"/>
          <w:color w:val="000000" w:themeColor="text1"/>
          <w:sz w:val="16"/>
          <w:szCs w:val="16"/>
        </w:rPr>
        <w:t>-20 пред</w:t>
      </w:r>
      <w:r w:rsidRPr="00722885">
        <w:rPr>
          <w:rStyle w:val="Bodytext145"/>
          <w:i w:val="0"/>
          <w:iCs w:val="0"/>
          <w:color w:val="000000" w:themeColor="text1"/>
          <w:sz w:val="16"/>
          <w:szCs w:val="16"/>
        </w:rPr>
        <w:softHyphen/>
        <w:t>назначается для разрушения ДОТов и ДЗОТов противника.</w:t>
      </w:r>
    </w:p>
    <w:p w14:paraId="05A7FB83" w14:textId="77777777" w:rsidR="000C324B" w:rsidRPr="00722885" w:rsidRDefault="000C324B"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При проектировании этой самоходной установки была поставлена за</w:t>
      </w:r>
      <w:r w:rsidRPr="00722885">
        <w:rPr>
          <w:rStyle w:val="Bodytext145"/>
          <w:i w:val="0"/>
          <w:iCs w:val="0"/>
          <w:color w:val="000000" w:themeColor="text1"/>
          <w:sz w:val="16"/>
          <w:szCs w:val="16"/>
        </w:rPr>
        <w:softHyphen/>
        <w:t>дача — максимально использовать серийные агрегаты танка КБ и орудия МЛ-20.</w:t>
      </w:r>
    </w:p>
    <w:p w14:paraId="18687169" w14:textId="77777777" w:rsidR="000C324B" w:rsidRPr="00722885" w:rsidRDefault="000C324B"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В качестве базы для этой самоходной установки лучше всего под</w:t>
      </w:r>
      <w:r w:rsidRPr="00722885">
        <w:rPr>
          <w:rStyle w:val="Bodytext145"/>
          <w:i w:val="0"/>
          <w:iCs w:val="0"/>
          <w:color w:val="000000" w:themeColor="text1"/>
          <w:sz w:val="16"/>
          <w:szCs w:val="16"/>
        </w:rPr>
        <w:softHyphen/>
        <w:t>ходит танк КБ- 7. Несколько десятков штук корпусов с башнями этого танка находятся на Кировском заводе в городе Челябинске, предназна</w:t>
      </w:r>
      <w:r w:rsidRPr="00722885">
        <w:rPr>
          <w:rStyle w:val="Bodytext145"/>
          <w:i w:val="0"/>
          <w:iCs w:val="0"/>
          <w:color w:val="000000" w:themeColor="text1"/>
          <w:sz w:val="16"/>
          <w:szCs w:val="16"/>
        </w:rPr>
        <w:softHyphen/>
        <w:t>чавшиеся для строенных установок одного 76,2 мм и двух 45 мм танко</w:t>
      </w:r>
      <w:r w:rsidRPr="00722885">
        <w:rPr>
          <w:rStyle w:val="Bodytext145"/>
          <w:i w:val="0"/>
          <w:iCs w:val="0"/>
          <w:color w:val="000000" w:themeColor="text1"/>
          <w:sz w:val="16"/>
          <w:szCs w:val="16"/>
        </w:rPr>
        <w:softHyphen/>
        <w:t>вых орудий.</w:t>
      </w:r>
    </w:p>
    <w:p w14:paraId="79D3920C" w14:textId="77777777" w:rsidR="000C324B" w:rsidRPr="00722885" w:rsidRDefault="000C324B"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Штатная качающаяся часть пушки МЛ-20 не вмещалась в имеющую</w:t>
      </w:r>
      <w:r w:rsidRPr="00722885">
        <w:rPr>
          <w:rStyle w:val="Bodytext145"/>
          <w:i w:val="0"/>
          <w:iCs w:val="0"/>
          <w:color w:val="000000" w:themeColor="text1"/>
          <w:sz w:val="16"/>
          <w:szCs w:val="16"/>
        </w:rPr>
        <w:softHyphen/>
        <w:t>ся башню КВ-7. Поэтому от пушки МЛ-20 взять только ствол с затвором. Люлька и противооткатные устройства запроектированы вновь,специальными, с укороченной длиной отката, что и позволило по разме</w:t>
      </w:r>
      <w:r w:rsidRPr="00722885">
        <w:rPr>
          <w:rStyle w:val="Bodytext145"/>
          <w:i w:val="0"/>
          <w:iCs w:val="0"/>
          <w:color w:val="000000" w:themeColor="text1"/>
          <w:sz w:val="16"/>
          <w:szCs w:val="16"/>
        </w:rPr>
        <w:softHyphen/>
        <w:t xml:space="preserve">рам установить систему </w:t>
      </w:r>
      <w:r w:rsidRPr="00722885">
        <w:rPr>
          <w:rStyle w:val="Bodytext145"/>
          <w:i w:val="0"/>
          <w:iCs w:val="0"/>
          <w:color w:val="000000" w:themeColor="text1"/>
          <w:sz w:val="16"/>
          <w:szCs w:val="16"/>
          <w:lang w:val="en-US"/>
        </w:rPr>
        <w:t>MJ</w:t>
      </w:r>
      <w:r w:rsidRPr="00722885">
        <w:rPr>
          <w:rStyle w:val="Bodytext145"/>
          <w:i w:val="0"/>
          <w:iCs w:val="0"/>
          <w:color w:val="000000" w:themeColor="text1"/>
          <w:sz w:val="16"/>
          <w:szCs w:val="16"/>
        </w:rPr>
        <w:t xml:space="preserve">1-20 в существующей башне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w:t>
      </w:r>
      <w:r w:rsidRPr="00722885">
        <w:rPr>
          <w:rStyle w:val="Bodytext14NotItalic9"/>
          <w:i w:val="0"/>
          <w:iCs w:val="0"/>
          <w:color w:val="000000" w:themeColor="text1"/>
          <w:sz w:val="16"/>
          <w:szCs w:val="16"/>
        </w:rPr>
        <w:t xml:space="preserve"> 7.</w:t>
      </w:r>
    </w:p>
    <w:p w14:paraId="4496CC72" w14:textId="77777777" w:rsidR="000C324B" w:rsidRPr="00722885" w:rsidRDefault="000C324B"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Заново спроектированы также установочные части. Это решение яв</w:t>
      </w:r>
      <w:r w:rsidRPr="00722885">
        <w:rPr>
          <w:rStyle w:val="Bodytext145"/>
          <w:i w:val="0"/>
          <w:iCs w:val="0"/>
          <w:color w:val="000000" w:themeColor="text1"/>
          <w:sz w:val="16"/>
          <w:szCs w:val="16"/>
        </w:rPr>
        <w:softHyphen/>
        <w:t>ляется выгодным в отношении веса башни и особенно в отношении разме</w:t>
      </w:r>
      <w:r w:rsidRPr="00722885">
        <w:rPr>
          <w:rStyle w:val="Bodytext145"/>
          <w:i w:val="0"/>
          <w:iCs w:val="0"/>
          <w:color w:val="000000" w:themeColor="text1"/>
          <w:sz w:val="16"/>
          <w:szCs w:val="16"/>
        </w:rPr>
        <w:softHyphen/>
        <w:t>ра установки по высоте»'.</w:t>
      </w:r>
    </w:p>
    <w:p w14:paraId="682E1571" w14:textId="77777777" w:rsidR="000C324B" w:rsidRPr="00722885" w:rsidRDefault="000C324B" w:rsidP="00722885">
      <w:pPr>
        <w:pStyle w:val="a3"/>
        <w:rPr>
          <w:color w:val="000000" w:themeColor="text1"/>
          <w:lang w:val="ru-RU"/>
        </w:rPr>
      </w:pPr>
      <w:r w:rsidRPr="00722885">
        <w:rPr>
          <w:color w:val="000000" w:themeColor="text1"/>
          <w:lang w:val="ru-RU"/>
        </w:rPr>
        <w:t>Артиллерийская часть установки У-18 состояла всего из 13 узлов, при этом корпус и рубка КВ-7 переделкам не подвергались. Каза</w:t>
      </w:r>
      <w:r w:rsidRPr="00722885">
        <w:rPr>
          <w:color w:val="000000" w:themeColor="text1"/>
          <w:lang w:val="ru-RU"/>
        </w:rPr>
        <w:softHyphen/>
        <w:t>лось, что требования военных полностью выполнены и установка может быть принята на вооружение, тем более что имелся упомяну</w:t>
      </w:r>
      <w:r w:rsidRPr="00722885">
        <w:rPr>
          <w:color w:val="000000" w:themeColor="text1"/>
          <w:lang w:val="ru-RU"/>
        </w:rPr>
        <w:softHyphen/>
        <w:t>тый задел по корпусам. Но беда пришла оттуда, откуда ее совсем не ждали (17484).</w:t>
      </w:r>
    </w:p>
    <w:p w14:paraId="4AF97CB2" w14:textId="77777777" w:rsidR="000C324B" w:rsidRPr="00722885" w:rsidRDefault="000C324B" w:rsidP="00722885">
      <w:pPr>
        <w:spacing w:after="0" w:line="240" w:lineRule="auto"/>
        <w:jc w:val="both"/>
        <w:rPr>
          <w:rFonts w:ascii="Times New Roman" w:hAnsi="Times New Roman"/>
          <w:color w:val="000000" w:themeColor="text1"/>
          <w:sz w:val="16"/>
          <w:szCs w:val="16"/>
        </w:rPr>
      </w:pPr>
    </w:p>
    <w:p w14:paraId="6031A10A" w14:textId="77777777" w:rsidR="0036552A" w:rsidRPr="00722885" w:rsidRDefault="0036552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 августа 1942 был готов Эскизный проект установки 152-мм гаубицы в рубке КВ-7, а представлен через месяц – 3 сентября 1942 года. Группа конструкторов УЗТМ во главе с Горлицким постаралась максимально вложиться в требования военных, а также свести к минимуму переделку корпуса КВ-7. Артиллерийская часть установки У-18 состояла всего из 13 узлов, при этом корпус и рубка КВ-7 переделкам не подвергались. Подобный подход к максимальному «невмешательству» в конструкцию КВ-7 легко объясним фразой из описания У-18:</w:t>
      </w:r>
    </w:p>
    <w:p w14:paraId="6AFBD772" w14:textId="77777777" w:rsidR="0036552A" w:rsidRPr="00722885" w:rsidRDefault="0036552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r w:rsidRPr="00722885">
        <w:rPr>
          <w:rFonts w:ascii="Times New Roman" w:eastAsia="Times New Roman" w:hAnsi="Times New Roman"/>
          <w:iCs/>
          <w:color w:val="000000" w:themeColor="text1"/>
          <w:sz w:val="16"/>
          <w:szCs w:val="16"/>
          <w:lang w:eastAsia="ru-RU"/>
        </w:rPr>
        <w:t>В качестве базы для этой самоходной установки лучше всего подходит танк КВ-7. Несколько десятков штук корпусов с башнями этого танка находятся на Кировском заводе в городе Челябинске, предназначавшиеся для строенных установок одного 76,2-мм и двух 45-мм танковых орудий» (17647).</w:t>
      </w:r>
    </w:p>
    <w:p w14:paraId="5A850FF2" w14:textId="77777777" w:rsidR="0036552A" w:rsidRPr="00722885" w:rsidRDefault="0036552A" w:rsidP="00722885">
      <w:pPr>
        <w:pStyle w:val="12a"/>
        <w:shd w:val="clear" w:color="auto" w:fill="auto"/>
        <w:spacing w:after="0" w:line="240" w:lineRule="auto"/>
        <w:jc w:val="both"/>
        <w:rPr>
          <w:color w:val="000000" w:themeColor="text1"/>
          <w:sz w:val="16"/>
          <w:szCs w:val="16"/>
        </w:rPr>
      </w:pPr>
    </w:p>
    <w:p w14:paraId="3DC1A78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944E678" w14:textId="77777777" w:rsidR="00AE7191" w:rsidRPr="00722885" w:rsidRDefault="00AE7191" w:rsidP="00722885">
      <w:pPr>
        <w:pStyle w:val="Iauiue"/>
        <w:jc w:val="both"/>
        <w:rPr>
          <w:iCs/>
          <w:color w:val="000000" w:themeColor="text1"/>
          <w:sz w:val="16"/>
          <w:szCs w:val="16"/>
        </w:rPr>
      </w:pPr>
    </w:p>
    <w:p w14:paraId="734A702B"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в 1942 году утреннее сообщение Совинформбюро:</w:t>
      </w:r>
    </w:p>
    <w:p w14:paraId="09BE1504"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4 августа наши войска вели бои с противником в районах Клетская, Цымлянская, Сальск, Кущевская.</w:t>
      </w:r>
    </w:p>
    <w:p w14:paraId="5C38E370"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0D7A273E"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у одного населённого пункта завязался бой с итальянской дивизией, действующей при поддержке немецких танков. Наши части отбили несколько атак противника и уничтожили до 2.000 итальянских солдат и офицеров, несколько танков, 30 орудий, 200 автомашин и 4 радиостанции.</w:t>
      </w:r>
    </w:p>
    <w:p w14:paraId="22402A0D"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бойцы упорно отстаивают каждый метр родной земли. Две артиллерийские батареи Н-ской части в последних боях уничтожили 18 немецких танков и 12 автомашин с немецкими автоматчиками. В батарее, где командиром тов. Петросьян, были выведены из строя все орудия. Бойцы вооружились гранатами и винтовками и, уничтожив до роты гитлеровцев, отбили атаку противника. На одном из участков был сбит самолёт противника. Лётчик Карл Дитрих May пытался скрыться, но был взят казачками в плен и доставлен в штаб советской части.</w:t>
      </w:r>
    </w:p>
    <w:p w14:paraId="1299F4DD"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Кущевской наши войска вели кровопролитные бои с противником. Немецкие войска несколько раз пытались форсировать водный рубеж, но были отброшены с большими для них потерями.</w:t>
      </w:r>
    </w:p>
    <w:p w14:paraId="37538858"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Только на участке Н-ской части уничтожено 7 танков, 14 орудий, 17 пулемётов и не менее 600 гитлеровцев. В районе Сальска советские войска отбивали ожесточённые атаки неприятеля. После упорных боёв наши части отошли на новые рубежи.</w:t>
      </w:r>
    </w:p>
    <w:p w14:paraId="1AA26B71"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артиллерийская перестрелка и действия разведывательных групп. На одном из участков гвардейцы-артиллеристы подавили огонь 6 тяжёлых орудий, уничтожили 5 пулемётов и до 120 немецких солдат и офицеров. Артиллерийская батарея старшего лейтенанта Харитонова произвела огневой налёт на вражескую колонну. Метким огнём рассеяно и частью уничтожено до двух рот пехоты противника.</w:t>
      </w:r>
    </w:p>
    <w:p w14:paraId="64008EDD"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Брянского фронта немцы предприняли атаку, стремясь захватить выгодный рубеж. Создалась угроза штабу нашего подразделения. Старший лейтенант Сосновский, заместитель политрука Хасамединов, младший лейтенант Панфилов, сержант Новицкий и красноармеец Просолов, вооружённые трофейным немецким пулемётом, противотанковым ружьём, гранатами и автоматами, выдвинулись вперёд навстречу противнику. Отважные бойцы метким огнём сожгли 3 немецких танка и уничтожили несколько десятков гитлеровцев.</w:t>
      </w:r>
    </w:p>
    <w:p w14:paraId="047592B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ленинградских партизан, которой руководит тов. И., пустила под откос эшелон противника в составе 37 вагонов. Группа партизан под командованием тов. А. организовала крушение эшелона оккупантов с живой силой и техникой. Разбиты паровоз и 20 вагонов.</w:t>
      </w:r>
    </w:p>
    <w:p w14:paraId="2D898B69"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Пробравшиеся через линию фронта жители гор. Полоцка, Витебской области, Прокофьев С.Ф. и Крупеня Я.Р. рассказали: «Недалеко от Полоцка немцы устроили пересыльный лагерь. В этом лагере находится более 400 женщин и девушек изокрестных сёл и деревень. Каждую неделю 20—30 пленниц увозят в Германию и отдают на принудительные работы немецким баронам. В середине июля в лагере 20 девушек заявили, что они никуда не поедут со своих родных мест. Гитлеровские мерзавцы долго измывались над советскими патриотками, зверски их избили, а потом расстреляли».</w:t>
      </w:r>
    </w:p>
    <w:p w14:paraId="10B5FF55"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Железнодорожники оккупированной немцами части Франции разрушают коммуникациии срывают военные перевозки гитлеровцев. На одной станции в департаменте Нижней Сены французские патриоты взорвали немецкий эшелон с боеприпасами. На перегоне Дуэ—Appac воинский эшелон оккупантов на полном ходу врезался в состав с горючим. Взрывами и пожаром уничтожено 44 вагона, 19 цистерн, 2 паровоза. Убито и ранено много немецких солдат и офицеров.</w:t>
      </w:r>
    </w:p>
    <w:p w14:paraId="31111E98"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Рабочие цветной металлургии дают стране и фронту цветной металл сверх плана. Уфалейский никелевый завод в июле выполнил производственную программу на 117 процентов. Коллектив Орского никелевого комбината успешно выполнил своё обязательство выпустить в июле сверх программы металл для 10 танков. Никель уже отправлен Н-скому танковому заводу.» (14973).</w:t>
      </w:r>
    </w:p>
    <w:p w14:paraId="78CF8854"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4CADF9EC"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в 1942 году вечернее сообщение Совинформбюро:</w:t>
      </w:r>
    </w:p>
    <w:p w14:paraId="4959B2DE"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4 августа наши войска вели ожесточённые бои в районах Клетская, Цымлянская, Белая Глина, Кущевская.</w:t>
      </w:r>
    </w:p>
    <w:p w14:paraId="112FCA37"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716D521B"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 августа частями нашей авиации на различных участках фронта уничтожено или повреждено до 70 немецких танков, 275 автомашин с войсками и грузами, 3 автоцистерны с горючим, взорвано 4 склада с боеприпасами, подавлен огонь 12 батарей полевой и зенитной артиллерии, разбито два железнодорожных состава, рассеяно и частью уничтожено до полка пехоты противника.</w:t>
      </w:r>
    </w:p>
    <w:p w14:paraId="09F3C382"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и южнее этого пункта наши войска отбивали многочисленные атаки противника и наносили ему контрудары. Уже несколько дней продолжается бой в крупном населённом пункте. Немцы подбросили в этот район резервы и лишь ценой больших потерь несколько потеснили наши части. На другом участке танкисты отдельного подразделения, наступая на пехоту противника, подавили гусеницами 270 немецких солдат и офицеров. Активно действует советская авиация. За один день наши лётчики уничтожили до 30 немецких танков, 90 автомашин, 5 орудии и 13 миномётно-пулемётных точек.</w:t>
      </w:r>
    </w:p>
    <w:p w14:paraId="67A002B4"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Белой Глины наши войска вели тяжёлые оборонительные бои с превосходящими силами танков и мотопехоты противника. В этих боях немцы несут большие потери.</w:t>
      </w:r>
    </w:p>
    <w:p w14:paraId="0094A13D"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Только перед оборонительными рубежами одной нашей части на поле боя осталось 8 подбитых и сожжённых танков, 5 орудий, 36 пулемётов и до 500 убитых гитлеровцев.</w:t>
      </w:r>
    </w:p>
    <w:p w14:paraId="60FA5F9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Кущевской немецко-фашистские войска непрерывно атакуют оборонительные рубежи советских войск. Большая часть атак гитлеровцев отбита. Лишь на одном участке противнику удалось продвинуться вперёд. Упорные бои с переменным успехом продолжались в районе одного населённого пункта.</w:t>
      </w:r>
    </w:p>
    <w:p w14:paraId="0031700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происходили бои местного значения. На одном из участков наши части с боями заняли населённый пункт. Противник потерял в этом бою только убитыми несколько сот солдат и офицеров. Захвачено 6 орудий, 6 миномётов, 11 пулемётов, 3.800 мин и снарядов, 23.500 патронов. Советские бойцы проявляют мужество и бесстрашие в борьбе с врагом. Красноармеец Шестов во время наступления под сильным огнём противника совершил семь рейсов на лодке через реку и перевёз 50 красноармейцев на берег, занятый гитлеровцами. Боец Михальченко был ранен, но не ушёл со своего поста. В ходе боя красноармеец Морозов заметил, что немецкий автоматчик целится в младшего лейтенанта Тамаркина. Морозов бросился вперёд и убил немецкого автоматчика. Смелый боец был ранен, но продолжал сражаться до конца боя. Наши лётчики в воздушных боях сбили 21 немецкий самолёт.</w:t>
      </w:r>
    </w:p>
    <w:p w14:paraId="03A2C75C"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Карельском фронте произошло два воздушных боя, во время которых лётчики авиачасти, где командиром тов. Аникеев, сбили 7 и повредили 2 немецких самолёта. Звено советских истребителей атаковало «Хеншель-126», шедший под прикрытием «Мессершмиттов». После первой атаки «Хеншель-126» был сбит. Тогда сержант Мясников пошёл в лобовую атаку на ведущего немецкого истребителя и правой плоскостью таранил врага. От «Мессершмитта-109» отвалилась плоскость, и он упал. Капитан Семёнов зашёл в хвост другому самолёту противника и длинной очередью сбил его. Лётчик Козловский напал на третий немецкий истребитель и с расстоянияв 100—150 метров открыл огонь. Немецкий самолёт врезался в землю. 14 немецких самолётов пытались бомбить передний край нашей обороны. Их встретили четыре наших истребителя. Бой произошёл над территорией противника. Наши самолёты атаковали и сбили 3 немецких бомбардировщика. Остальные самолёты противника беспорядочно сбросили бомбы и быстро скрылись.</w:t>
      </w:r>
    </w:p>
    <w:p w14:paraId="16C6C49B"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разгроме немецкого гарнизона в деревне К. найдена записная книжка неизвестного немецкого обер-ефрейтора. Ниже публикуются выдержки из неё: «Отъезд из Франции. Майор Гилль с нами. Проезжаем через Руан...</w:t>
      </w:r>
    </w:p>
    <w:p w14:paraId="6271284A"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Прибыли в Витебск. Город разрушен. Кто-то поджёг солдатскую казарму, которую только недавно построили...</w:t>
      </w:r>
    </w:p>
    <w:p w14:paraId="2A237876"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 обстреливали. Погиб лейтенант Куммер. 25 часов без передышки вели бой. Лейтенант Даус и унтер-офицер Шлиссер сошли с ума. Клаус подсчитал, что у нас 56 процентов потерь. Написал прощальное письмо...</w:t>
      </w:r>
    </w:p>
    <w:p w14:paraId="2DD1134C"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Противник опять ворвался в населённый пункт. На улицах лежат трупы убитых наших товарищей. У самого штаба русский снайпер убил обер-лейтенанта Трейера. Ганс Цабель погиб. Карл Бак — тоже...</w:t>
      </w:r>
    </w:p>
    <w:p w14:paraId="48DE089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Ночью слушали русскую радиопередачу. Выступал Вильгельм Штрайх, который несколько дней назад попал к русским в плен. Неужели он жив? Очень много разговоров об этом. В деревне мы сожгли 60 домов. Половины жителей нет, они ушли в партизаны. Удивляюсь я бесстрашию русских. Они никогда не сдадутся».</w:t>
      </w:r>
    </w:p>
    <w:p w14:paraId="08FBD190"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Патриоты Франции ведут упорную борьбу против немецко-фашистских захватчиков. На одном немецком аэродроме близ Делена взрывом разрушены ангар и склад авиационных материалов. Возникшим пожаром уничтожены несколько самолётов, автоцистерна с горючим и запасные части к самолётам. В Жанвилье на автомобильном заводе «Шенар и Валькер» в июле произошло четыре пожара.</w:t>
      </w:r>
    </w:p>
    <w:p w14:paraId="3FA332D7"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где директором тов. Задорожный, перевыполнил июльскую программу по всем видам продукции. Коллектив дал фронту сверх плана много танков и моторов. С первых дней августа завод набирает ещё более высокие темпы работы.» (14973).</w:t>
      </w:r>
    </w:p>
    <w:p w14:paraId="72E23E6A"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6C816051"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в 1942 году немецкие войска заняли Кропоткин (14973).</w:t>
      </w:r>
    </w:p>
    <w:p w14:paraId="3A58EE59"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00BCADF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4 августа 1942 пятерка Ил-2 504-го </w:t>
      </w:r>
      <w:r w:rsidRPr="00722885">
        <w:rPr>
          <w:iCs/>
          <w:color w:val="000000" w:themeColor="text1"/>
          <w:sz w:val="16"/>
          <w:szCs w:val="16"/>
        </w:rPr>
        <w:t xml:space="preserve">шап </w:t>
      </w:r>
      <w:r w:rsidRPr="00722885">
        <w:rPr>
          <w:color w:val="000000" w:themeColor="text1"/>
          <w:sz w:val="16"/>
          <w:szCs w:val="16"/>
        </w:rPr>
        <w:t xml:space="preserve">226-й </w:t>
      </w:r>
      <w:r w:rsidRPr="00722885">
        <w:rPr>
          <w:iCs/>
          <w:color w:val="000000" w:themeColor="text1"/>
          <w:sz w:val="16"/>
          <w:szCs w:val="16"/>
        </w:rPr>
        <w:t>шад</w:t>
      </w:r>
      <w:r w:rsidRPr="00722885">
        <w:rPr>
          <w:color w:val="000000" w:themeColor="text1"/>
          <w:sz w:val="16"/>
          <w:szCs w:val="16"/>
        </w:rPr>
        <w:t xml:space="preserve"> (ведущий ст. л-т И.И.Пстыго) под прикрытием 11 Як-1 148-го </w:t>
      </w:r>
      <w:r w:rsidRPr="00722885">
        <w:rPr>
          <w:iCs/>
          <w:color w:val="000000" w:themeColor="text1"/>
          <w:sz w:val="16"/>
          <w:szCs w:val="16"/>
        </w:rPr>
        <w:t xml:space="preserve">иап </w:t>
      </w:r>
      <w:r w:rsidRPr="00722885">
        <w:rPr>
          <w:color w:val="000000" w:themeColor="text1"/>
          <w:sz w:val="16"/>
          <w:szCs w:val="16"/>
        </w:rPr>
        <w:t xml:space="preserve">269-й </w:t>
      </w:r>
      <w:r w:rsidRPr="00722885">
        <w:rPr>
          <w:iCs/>
          <w:color w:val="000000" w:themeColor="text1"/>
          <w:sz w:val="16"/>
          <w:szCs w:val="16"/>
        </w:rPr>
        <w:t>иад</w:t>
      </w:r>
      <w:r w:rsidRPr="00722885">
        <w:rPr>
          <w:color w:val="000000" w:themeColor="text1"/>
          <w:sz w:val="16"/>
          <w:szCs w:val="16"/>
        </w:rPr>
        <w:t xml:space="preserve"> вылетела на разведку и штур</w:t>
      </w:r>
      <w:r w:rsidRPr="00722885">
        <w:rPr>
          <w:color w:val="000000" w:themeColor="text1"/>
          <w:sz w:val="16"/>
          <w:szCs w:val="16"/>
        </w:rPr>
        <w:softHyphen/>
        <w:t>мовку колонн 4-й танковой армии Гота в район юго-западнее Сталинграда. В районе разведки "Яки" прикрытия сце</w:t>
      </w:r>
      <w:r w:rsidRPr="00722885">
        <w:rPr>
          <w:color w:val="000000" w:themeColor="text1"/>
          <w:sz w:val="16"/>
          <w:szCs w:val="16"/>
        </w:rPr>
        <w:softHyphen/>
        <w:t>пились с 5 Bf109 и так "увлеклись" боем, что потеряли своих подопечных из виду. "Илы" остались одни. Группе Пстыго все же удалось прорваться к дороге Аксай-Абганерово, где они обнаружили боль</w:t>
      </w:r>
      <w:r w:rsidRPr="00722885">
        <w:rPr>
          <w:color w:val="000000" w:themeColor="text1"/>
          <w:sz w:val="16"/>
          <w:szCs w:val="16"/>
        </w:rPr>
        <w:softHyphen/>
        <w:t xml:space="preserve">шую колонну </w:t>
      </w:r>
      <w:r w:rsidRPr="00722885">
        <w:rPr>
          <w:color w:val="000000" w:themeColor="text1"/>
          <w:sz w:val="16"/>
          <w:szCs w:val="16"/>
        </w:rPr>
        <w:lastRenderedPageBreak/>
        <w:t>танков и живой силы про</w:t>
      </w:r>
      <w:r w:rsidRPr="00722885">
        <w:rPr>
          <w:color w:val="000000" w:themeColor="text1"/>
          <w:sz w:val="16"/>
          <w:szCs w:val="16"/>
        </w:rPr>
        <w:softHyphen/>
        <w:t>тивника. Успев произвести фотографи</w:t>
      </w:r>
      <w:r w:rsidRPr="00722885">
        <w:rPr>
          <w:color w:val="000000" w:themeColor="text1"/>
          <w:sz w:val="16"/>
          <w:szCs w:val="16"/>
        </w:rPr>
        <w:softHyphen/>
        <w:t>рование и штурмовку колонны в одном заходе, Ил-2 подверглись атаке двадцат</w:t>
      </w:r>
      <w:r w:rsidRPr="00722885">
        <w:rPr>
          <w:color w:val="000000" w:themeColor="text1"/>
          <w:sz w:val="16"/>
          <w:szCs w:val="16"/>
        </w:rPr>
        <w:softHyphen/>
        <w:t xml:space="preserve">ки Bf109. 20 (!) "мессершмиттов-109" Люфтваффе против пятерки "Илов" ВВС КА - силы далеко не равные. "Яки" 148-го </w:t>
      </w:r>
      <w:r w:rsidRPr="00722885">
        <w:rPr>
          <w:iCs/>
          <w:color w:val="000000" w:themeColor="text1"/>
          <w:sz w:val="16"/>
          <w:szCs w:val="16"/>
        </w:rPr>
        <w:t>иап</w:t>
      </w:r>
      <w:r w:rsidRPr="00722885">
        <w:rPr>
          <w:color w:val="000000" w:themeColor="text1"/>
          <w:sz w:val="16"/>
          <w:szCs w:val="16"/>
        </w:rPr>
        <w:t xml:space="preserve"> на помощь не пришли. В завязав</w:t>
      </w:r>
      <w:r w:rsidRPr="00722885">
        <w:rPr>
          <w:color w:val="000000" w:themeColor="text1"/>
          <w:sz w:val="16"/>
          <w:szCs w:val="16"/>
        </w:rPr>
        <w:softHyphen/>
        <w:t>шемся жестоком воздушном бою все Ил-2 были сбиты (3 из них совершили вы</w:t>
      </w:r>
      <w:r w:rsidRPr="00722885">
        <w:rPr>
          <w:color w:val="000000" w:themeColor="text1"/>
          <w:sz w:val="16"/>
          <w:szCs w:val="16"/>
        </w:rPr>
        <w:softHyphen/>
        <w:t>нужденные посадки), но и пара Bf109 "свечками" пошла к земле. Позже на</w:t>
      </w:r>
      <w:r w:rsidRPr="00722885">
        <w:rPr>
          <w:color w:val="000000" w:themeColor="text1"/>
          <w:sz w:val="16"/>
          <w:szCs w:val="16"/>
        </w:rPr>
        <w:softHyphen/>
        <w:t>земные части, в расположении которых упали "мессеры", прислали подтвержде</w:t>
      </w:r>
      <w:r w:rsidRPr="00722885">
        <w:rPr>
          <w:color w:val="000000" w:themeColor="text1"/>
          <w:sz w:val="16"/>
          <w:szCs w:val="16"/>
        </w:rPr>
        <w:softHyphen/>
        <w:t xml:space="preserve">ния победам штурмовиков. "Соколы" 148-го </w:t>
      </w:r>
      <w:r w:rsidRPr="00722885">
        <w:rPr>
          <w:iCs/>
          <w:color w:val="000000" w:themeColor="text1"/>
          <w:sz w:val="16"/>
          <w:szCs w:val="16"/>
        </w:rPr>
        <w:t>иап</w:t>
      </w:r>
      <w:r w:rsidRPr="00722885">
        <w:rPr>
          <w:color w:val="000000" w:themeColor="text1"/>
          <w:sz w:val="16"/>
          <w:szCs w:val="16"/>
        </w:rPr>
        <w:t xml:space="preserve"> вернулись на свой аэродром </w:t>
      </w:r>
      <w:r w:rsidRPr="00722885">
        <w:rPr>
          <w:iCs/>
          <w:color w:val="000000" w:themeColor="text1"/>
          <w:sz w:val="16"/>
          <w:szCs w:val="16"/>
        </w:rPr>
        <w:t xml:space="preserve">"в полном составе и без единой пробоины... " </w:t>
      </w:r>
      <w:r w:rsidRPr="00722885">
        <w:rPr>
          <w:color w:val="000000" w:themeColor="text1"/>
          <w:sz w:val="16"/>
          <w:szCs w:val="16"/>
        </w:rPr>
        <w:t>06 этом и ряде других нелицеприят</w:t>
      </w:r>
      <w:r w:rsidRPr="00722885">
        <w:rPr>
          <w:color w:val="000000" w:themeColor="text1"/>
          <w:sz w:val="16"/>
          <w:szCs w:val="16"/>
        </w:rPr>
        <w:softHyphen/>
        <w:t>ных фактах в действиях истребительной авиации на сталинградском направле</w:t>
      </w:r>
      <w:r w:rsidRPr="00722885">
        <w:rPr>
          <w:color w:val="000000" w:themeColor="text1"/>
          <w:sz w:val="16"/>
          <w:szCs w:val="16"/>
        </w:rPr>
        <w:softHyphen/>
        <w:t>нии отмечалось в указаниях командую</w:t>
      </w:r>
      <w:r w:rsidRPr="00722885">
        <w:rPr>
          <w:color w:val="000000" w:themeColor="text1"/>
          <w:sz w:val="16"/>
          <w:szCs w:val="16"/>
        </w:rPr>
        <w:softHyphen/>
        <w:t>щего 8-й ВА генерала Т.Т.Хрюкина от 18.08.42 г. (исх. № 00295) (6467).</w:t>
      </w:r>
    </w:p>
    <w:p w14:paraId="616AAA34" w14:textId="77777777" w:rsidR="00AE7191" w:rsidRPr="00722885" w:rsidRDefault="00AE7191" w:rsidP="00722885">
      <w:pPr>
        <w:pStyle w:val="Iauiue"/>
        <w:jc w:val="both"/>
        <w:rPr>
          <w:color w:val="000000" w:themeColor="text1"/>
          <w:sz w:val="16"/>
          <w:szCs w:val="16"/>
        </w:rPr>
      </w:pPr>
    </w:p>
    <w:p w14:paraId="5410860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 5 Ил-2 от 504-го шап 226-й шад (ведущий ст. лейтенант Пстыго) под прикрытием 11 Як-1 от 148-го иап вылетела на разведку и штурмовку мотомехколонн в район юго-западнее Сталинграда. В районе разведки "Яки" прикрытия вступили в бой с 5 Bf 109 и потеряли штурмовиков из виду. Группе Пстыго удалось прорваться к дороге Аксай-Абганерово, где они обнаружили большую колонну танков и живой силы противника. Успев произвести фотографирование и штурмовку колонны в одном заходе, Ил-2 подверглись атаке 20 Bf 109. В завязавшемся жестоком воздушном бою все Ил-2 были сбиты (три из них совершили вынужденные посадки), но и советским летчикам удалось сбить 2 Bf 109. Позже наземные части, в расположении которых упали "мессеры", прислали подтверждения победам штурмовиков (12020).</w:t>
      </w:r>
    </w:p>
    <w:p w14:paraId="18F37B0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FC2F735" w14:textId="77777777" w:rsidR="00AE7191" w:rsidRPr="00722885" w:rsidRDefault="00AE7191" w:rsidP="00722885">
      <w:pPr>
        <w:pStyle w:val="a3"/>
        <w:rPr>
          <w:color w:val="000000" w:themeColor="text1"/>
          <w:lang w:val="ru-RU"/>
        </w:rPr>
      </w:pPr>
      <w:r w:rsidRPr="00722885">
        <w:rPr>
          <w:color w:val="000000" w:themeColor="text1"/>
          <w:lang w:val="ru-RU"/>
        </w:rPr>
        <w:t>С 4 по 9 августа 1942 на Западном фронте, как было доложено Генералу армии Г.К. Жукову, мехгруппа генерал-майора Бычковского потеряла 106 танков от воз</w:t>
      </w:r>
      <w:r w:rsidRPr="00722885">
        <w:rPr>
          <w:color w:val="000000" w:themeColor="text1"/>
          <w:lang w:val="ru-RU"/>
        </w:rPr>
        <w:softHyphen/>
        <w:t>действия авиации противника: 8 тяжелых, 63 средних и 35 легких. На самом же деле, как показало расследование,</w:t>
      </w:r>
      <w:r w:rsidRPr="00722885">
        <w:rPr>
          <w:rStyle w:val="1a"/>
          <w:rFonts w:ascii="Times New Roman" w:eastAsia="Arial Narrow" w:hAnsi="Times New Roman" w:cs="Times New Roman"/>
          <w:i w:val="0"/>
          <w:color w:val="000000" w:themeColor="text1"/>
          <w:sz w:val="16"/>
          <w:szCs w:val="16"/>
          <w:lang w:val="ru-RU"/>
        </w:rPr>
        <w:t xml:space="preserve"> «...из 106 вы</w:t>
      </w:r>
      <w:r w:rsidRPr="00722885">
        <w:rPr>
          <w:rStyle w:val="1a"/>
          <w:rFonts w:ascii="Times New Roman" w:eastAsia="Arial Narrow" w:hAnsi="Times New Roman" w:cs="Times New Roman"/>
          <w:i w:val="0"/>
          <w:color w:val="000000" w:themeColor="text1"/>
          <w:sz w:val="16"/>
          <w:szCs w:val="16"/>
          <w:lang w:val="ru-RU"/>
        </w:rPr>
        <w:softHyphen/>
        <w:t>веденных из строя танков только два были поражены авиацией противника, и это несмотря на весьма ожесточенные бом</w:t>
      </w:r>
      <w:r w:rsidRPr="00722885">
        <w:rPr>
          <w:rStyle w:val="1a"/>
          <w:rFonts w:ascii="Times New Roman" w:eastAsia="Arial Narrow" w:hAnsi="Times New Roman" w:cs="Times New Roman"/>
          <w:i w:val="0"/>
          <w:color w:val="000000" w:themeColor="text1"/>
          <w:sz w:val="16"/>
          <w:szCs w:val="16"/>
          <w:lang w:val="ru-RU"/>
        </w:rPr>
        <w:softHyphen/>
        <w:t>бардировки, которые проводил противник с малых высот» (12733).</w:t>
      </w:r>
    </w:p>
    <w:p w14:paraId="05929349" w14:textId="77777777" w:rsidR="00AE7191" w:rsidRPr="00722885" w:rsidRDefault="00AE7191" w:rsidP="00722885">
      <w:pPr>
        <w:pStyle w:val="6a"/>
        <w:shd w:val="clear" w:color="auto" w:fill="auto"/>
        <w:spacing w:before="0" w:line="240" w:lineRule="auto"/>
        <w:rPr>
          <w:rStyle w:val="612"/>
          <w:rFonts w:ascii="Times New Roman" w:hAnsi="Times New Roman" w:cs="Times New Roman"/>
          <w:i w:val="0"/>
          <w:iCs w:val="0"/>
          <w:color w:val="000000" w:themeColor="text1"/>
          <w:sz w:val="16"/>
          <w:szCs w:val="16"/>
        </w:rPr>
      </w:pPr>
    </w:p>
    <w:p w14:paraId="632901A1" w14:textId="77777777" w:rsidR="000D1F16" w:rsidRPr="00722885" w:rsidRDefault="000D1F1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4 по 9 ав</w:t>
      </w:r>
      <w:r w:rsidRPr="00722885">
        <w:rPr>
          <w:color w:val="000000" w:themeColor="text1"/>
          <w:sz w:val="16"/>
          <w:szCs w:val="16"/>
        </w:rPr>
        <w:softHyphen/>
        <w:t>густа 1942, согласно дуклада генералу армии Г. К. Жуко</w:t>
      </w:r>
      <w:r w:rsidRPr="00722885">
        <w:rPr>
          <w:color w:val="000000" w:themeColor="text1"/>
          <w:sz w:val="16"/>
          <w:szCs w:val="16"/>
        </w:rPr>
        <w:softHyphen/>
        <w:t>ву, механизированная группа генерал-майора Бычковского потеряла 106 танков от воздействия авиации противника — 8 тяжелых, 63 средних и 35 легких. На самом же деле, как показало расследование, «из 106 выведенных из строя танков только 2 бы</w:t>
      </w:r>
      <w:r w:rsidRPr="00722885">
        <w:rPr>
          <w:color w:val="000000" w:themeColor="text1"/>
          <w:sz w:val="16"/>
          <w:szCs w:val="16"/>
        </w:rPr>
        <w:softHyphen/>
        <w:t>ли поражены авиацией противника, и это несмотря на весьма ожесточенные бомбардировки, которые проводил противник с малых высот» (17500).</w:t>
      </w:r>
    </w:p>
    <w:p w14:paraId="37305A7A" w14:textId="77777777" w:rsidR="000D1F16" w:rsidRPr="00722885" w:rsidRDefault="000D1F16" w:rsidP="00722885">
      <w:pPr>
        <w:spacing w:after="0" w:line="240" w:lineRule="auto"/>
        <w:jc w:val="both"/>
        <w:rPr>
          <w:rFonts w:ascii="Times New Roman" w:eastAsia="Times New Roman" w:hAnsi="Times New Roman"/>
          <w:color w:val="000000" w:themeColor="text1"/>
          <w:sz w:val="16"/>
          <w:szCs w:val="16"/>
          <w:lang w:eastAsia="ru-RU"/>
        </w:rPr>
      </w:pPr>
    </w:p>
    <w:p w14:paraId="550BBDC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 была отправлена телеграмма (приказ) Верховного Главнокомандующего о выяснении причин выхода из строя боевых самолетов:</w:t>
      </w:r>
    </w:p>
    <w:p w14:paraId="3E7B813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"Командующему Западным фронтом т. Жукову.</w:t>
      </w:r>
    </w:p>
    <w:p w14:paraId="2319B8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Командующему Калининским фронтом т. Коневу.</w:t>
      </w:r>
    </w:p>
    <w:p w14:paraId="2CD1BBC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Командующему ВВС т. Новикову.</w:t>
      </w:r>
    </w:p>
    <w:p w14:paraId="051D77D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Всем Командующим фронтами и 7 отдельной армии, Командующим всех воздушных армий.</w:t>
      </w:r>
    </w:p>
    <w:p w14:paraId="568B55E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Тт. Маленкову, Берия, Голованову, Фалалееву.</w:t>
      </w:r>
    </w:p>
    <w:p w14:paraId="3A6CA21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 г. 20 час. 30 мин.</w:t>
      </w:r>
    </w:p>
    <w:p w14:paraId="749243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докладу командующего ВВС КА т. Новикова, из числа 400 истребителей выделенных для участия в операциях Калининского и Западного фронтов, за четыре-пять дней операции до 140 самолетов вышло из строя. По тому же докладу, при полном отсутствии авиации противника в первый день боя и при тройном превосходстве над противником в последующие дни наши боевые потери составили 51 истребитель, 89 истребителей считается вышедшими из строя по техническим неисправностям.</w:t>
      </w:r>
    </w:p>
    <w:p w14:paraId="2A3E64A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Считая невероятным такой недопустимо высокий процент самолетов, вышедших из строя в течении 4-5 дней по техническим причинам, Ставка усматривает здесь наличие явного саботажа, шкурничества со стороны некоторой части летного состава, которая изыскивая отдельные, мелкие неполадки в самолете, стремятся уклонится от боя. </w:t>
      </w:r>
    </w:p>
    <w:p w14:paraId="36A872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Безобразно поставленный в авиачастях технический надзор и контроль за материальной частью, а также за выполнением боевых заданий летчиками - не только допускает, но и способствует этим преступным, нетерпимым в армии явлениям.</w:t>
      </w:r>
    </w:p>
    <w:p w14:paraId="773F45D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Ставка Верховного Главнокомандования приказывает:</w:t>
      </w:r>
    </w:p>
    <w:p w14:paraId="51663E6A" w14:textId="77777777" w:rsidR="00AE7191" w:rsidRPr="00722885" w:rsidRDefault="00AE7191" w:rsidP="00722885">
      <w:pPr>
        <w:tabs>
          <w:tab w:val="left" w:pos="72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Немедленно через ответственных и опытных лиц проверить каждый в отдельности вышедший из строя самолет, выяснить истинные причины неисправностей и непосредственных виновников их; </w:t>
      </w:r>
    </w:p>
    <w:p w14:paraId="5A753A1A" w14:textId="77777777" w:rsidR="00AE7191" w:rsidRPr="00722885" w:rsidRDefault="00AE7191" w:rsidP="00722885">
      <w:pPr>
        <w:tabs>
          <w:tab w:val="left" w:pos="72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Летный состав, уличенный в саботаже немедленно изъять из частей, свести в штрафные авиаэскадрилья и под личным наблюдением командиров авиадивизий использовать для выполнения ответственных заданий на самых опасных направлениях и тем самым предоставить им возможность искупить свою вину; </w:t>
      </w:r>
    </w:p>
    <w:p w14:paraId="5E42F03A" w14:textId="77777777" w:rsidR="00AE7191" w:rsidRPr="00722885" w:rsidRDefault="00AE7191" w:rsidP="00722885">
      <w:pPr>
        <w:tabs>
          <w:tab w:val="left" w:pos="72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Безнадежных, злостных шкурников немедленно изъять из авиа частей, лишить им присвоенного звания, и в качестве рядовых бойцов направить в штрафные пехотные роты для выполнения наиболее трудных задач в наземных частях; </w:t>
      </w:r>
    </w:p>
    <w:p w14:paraId="4906D9C8" w14:textId="77777777" w:rsidR="00AE7191" w:rsidRPr="00722885" w:rsidRDefault="00AE7191" w:rsidP="00722885">
      <w:pPr>
        <w:tabs>
          <w:tab w:val="left" w:pos="72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 получении, результатах проверки о принятых мерах по выполнении настоящего приказа, со списком летного состава направленного в штрафные эскадрильи и пехотные роты донести. </w:t>
      </w:r>
    </w:p>
    <w:p w14:paraId="26DD990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Ставка Верховного Главнокомандования </w:t>
      </w:r>
    </w:p>
    <w:p w14:paraId="1E44BDC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Сталин</w:t>
      </w:r>
    </w:p>
    <w:p w14:paraId="4E30FDB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Василевский</w:t>
      </w:r>
    </w:p>
    <w:p w14:paraId="488141F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Доложено т. Сталину и утверждено по телефону 4.8.42г. 21.00.</w:t>
      </w:r>
    </w:p>
    <w:p w14:paraId="21CBC82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Василевский</w:t>
      </w:r>
    </w:p>
    <w:p w14:paraId="21CAD8A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ИСХ. № 17 05 49</w:t>
      </w:r>
    </w:p>
    <w:p w14:paraId="7DE5B5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4.8.42г. 21.50 (11674).</w:t>
      </w:r>
    </w:p>
    <w:p w14:paraId="707DBDA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2E20464" w14:textId="77777777" w:rsidR="00AE7191" w:rsidRPr="00722885" w:rsidRDefault="00AE7191" w:rsidP="00722885">
      <w:pPr>
        <w:pStyle w:val="a3"/>
        <w:rPr>
          <w:color w:val="000000" w:themeColor="text1"/>
          <w:lang w:val="ru-RU"/>
        </w:rPr>
      </w:pPr>
      <w:r w:rsidRPr="00722885">
        <w:rPr>
          <w:color w:val="000000" w:themeColor="text1"/>
          <w:lang w:val="ru-RU"/>
        </w:rPr>
        <w:t>4 августа 1942 г. началась Ржевско-Сычевская операция - одна из последних, в которых участвовал МиГ-3. К тому времени советское командование сосредоточило авиацию под единым командованием — на этом участке дей</w:t>
      </w:r>
      <w:r w:rsidRPr="00722885">
        <w:rPr>
          <w:color w:val="000000" w:themeColor="text1"/>
          <w:lang w:val="ru-RU"/>
        </w:rPr>
        <w:softHyphen/>
        <w:t>ствовал 1-я и 3-я воздушные армии, которые включали более 60 авиаполков. Два из них были вооружены МиГ-3, и оба дейст</w:t>
      </w:r>
      <w:r w:rsidRPr="00722885">
        <w:rPr>
          <w:color w:val="000000" w:themeColor="text1"/>
          <w:lang w:val="ru-RU"/>
        </w:rPr>
        <w:softHyphen/>
        <w:t>вовали вполне успешно. Так, в первый день наступления 519-й ИАП получил задачу прикрытия войск. Его истребители не про</w:t>
      </w:r>
      <w:r w:rsidRPr="00722885">
        <w:rPr>
          <w:color w:val="000000" w:themeColor="text1"/>
          <w:lang w:val="ru-RU"/>
        </w:rPr>
        <w:softHyphen/>
        <w:t>пустили ни одного бомбардировщика, сбили 7 и повредили 5 самолетов.</w:t>
      </w:r>
    </w:p>
    <w:p w14:paraId="53CF3DE1" w14:textId="77777777" w:rsidR="00AE7191" w:rsidRPr="00722885" w:rsidRDefault="00AE7191" w:rsidP="00722885">
      <w:pPr>
        <w:pStyle w:val="a3"/>
        <w:rPr>
          <w:color w:val="000000" w:themeColor="text1"/>
          <w:lang w:val="ru-RU"/>
        </w:rPr>
      </w:pPr>
      <w:r w:rsidRPr="00722885">
        <w:rPr>
          <w:color w:val="000000" w:themeColor="text1"/>
          <w:lang w:val="ru-RU"/>
        </w:rPr>
        <w:t xml:space="preserve">Во второй половине следующего дня м-р Мурга повел 8 МиГ-3 на прикрытие войск. Над деревней Погорелое Городище были обнаружены до 30 </w:t>
      </w:r>
      <w:r w:rsidRPr="00722885">
        <w:rPr>
          <w:color w:val="000000" w:themeColor="text1"/>
        </w:rPr>
        <w:t>Ju</w:t>
      </w:r>
      <w:r w:rsidRPr="00722885">
        <w:rPr>
          <w:color w:val="000000" w:themeColor="text1"/>
          <w:lang w:val="ru-RU"/>
        </w:rPr>
        <w:t xml:space="preserve"> 88 под прикрытием четырех групп </w:t>
      </w:r>
      <w:r w:rsidRPr="00722885">
        <w:rPr>
          <w:color w:val="000000" w:themeColor="text1"/>
        </w:rPr>
        <w:t>Bf</w:t>
      </w:r>
      <w:r w:rsidRPr="00722885">
        <w:rPr>
          <w:color w:val="000000" w:themeColor="text1"/>
          <w:lang w:val="ru-RU"/>
        </w:rPr>
        <w:t xml:space="preserve"> 109. «МиГи» атаковали в лоб, разошлись на большой скоро</w:t>
      </w:r>
      <w:r w:rsidRPr="00722885">
        <w:rPr>
          <w:color w:val="000000" w:themeColor="text1"/>
          <w:lang w:val="ru-RU"/>
        </w:rPr>
        <w:softHyphen/>
        <w:t xml:space="preserve">сти с первой четверкой немецких истребителей и прорвались к бомбардировщикам. Пытаясь уклониться, один </w:t>
      </w:r>
      <w:r w:rsidRPr="00722885">
        <w:rPr>
          <w:color w:val="000000" w:themeColor="text1"/>
        </w:rPr>
        <w:t>Ju</w:t>
      </w:r>
      <w:r w:rsidRPr="00722885">
        <w:rPr>
          <w:color w:val="000000" w:themeColor="text1"/>
          <w:lang w:val="ru-RU"/>
        </w:rPr>
        <w:t xml:space="preserve"> 88 столкнул</w:t>
      </w:r>
      <w:r w:rsidRPr="00722885">
        <w:rPr>
          <w:color w:val="000000" w:themeColor="text1"/>
          <w:lang w:val="ru-RU"/>
        </w:rPr>
        <w:softHyphen/>
        <w:t>ся с соседним бомбардировщиком, и оба рухнули на землю. Строй ударной группы нарушился. Мурга дал команду разде</w:t>
      </w:r>
      <w:r w:rsidRPr="00722885">
        <w:rPr>
          <w:color w:val="000000" w:themeColor="text1"/>
          <w:lang w:val="ru-RU"/>
        </w:rPr>
        <w:softHyphen/>
        <w:t>литься. Одна часть его группы связала боем истребители, дру</w:t>
      </w:r>
      <w:r w:rsidRPr="00722885">
        <w:rPr>
          <w:color w:val="000000" w:themeColor="text1"/>
          <w:lang w:val="ru-RU"/>
        </w:rPr>
        <w:softHyphen/>
        <w:t>гая занялась «Юнкерсами». Сам Мурга не гонялся за добычей, а вел наблюдение за ходом боя и вовремя давал команды под</w:t>
      </w:r>
      <w:r w:rsidRPr="00722885">
        <w:rPr>
          <w:color w:val="000000" w:themeColor="text1"/>
          <w:lang w:val="ru-RU"/>
        </w:rPr>
        <w:softHyphen/>
        <w:t>чиненным, которые четко их выполняли. Огонь летчики стара</w:t>
      </w:r>
      <w:r w:rsidRPr="00722885">
        <w:rPr>
          <w:color w:val="000000" w:themeColor="text1"/>
          <w:lang w:val="ru-RU"/>
        </w:rPr>
        <w:softHyphen/>
        <w:t xml:space="preserve">лись вести короткими очередями с минимальных дистанций и в результате заявили о сбитии еще девяти </w:t>
      </w:r>
      <w:r w:rsidRPr="00722885">
        <w:rPr>
          <w:color w:val="000000" w:themeColor="text1"/>
        </w:rPr>
        <w:t>Ju</w:t>
      </w:r>
      <w:r w:rsidRPr="00722885">
        <w:rPr>
          <w:color w:val="000000" w:themeColor="text1"/>
          <w:lang w:val="ru-RU"/>
        </w:rPr>
        <w:t xml:space="preserve"> 88. Очевидно, в тот день им попались бомбардировщики эскадры </w:t>
      </w:r>
      <w:r w:rsidRPr="00722885">
        <w:rPr>
          <w:color w:val="000000" w:themeColor="text1"/>
        </w:rPr>
        <w:t>KG</w:t>
      </w:r>
      <w:r w:rsidRPr="00722885">
        <w:rPr>
          <w:color w:val="000000" w:themeColor="text1"/>
          <w:lang w:val="ru-RU"/>
        </w:rPr>
        <w:t xml:space="preserve"> 3. Ее доку</w:t>
      </w:r>
      <w:r w:rsidRPr="00722885">
        <w:rPr>
          <w:color w:val="000000" w:themeColor="text1"/>
          <w:lang w:val="ru-RU"/>
        </w:rPr>
        <w:softHyphen/>
        <w:t>менты не подтверждают потерю одиннадцати машин 4 августа, но Ржев дорого обошелся этому соединению. Из 79 «Юнкерсов» к концу месяца безвозвратные боевые потери составили 34 самолета, еще 19 потребовалось отправить в тыловые мастер</w:t>
      </w:r>
      <w:r w:rsidRPr="00722885">
        <w:rPr>
          <w:color w:val="000000" w:themeColor="text1"/>
          <w:lang w:val="ru-RU"/>
        </w:rPr>
        <w:softHyphen/>
        <w:t>ские, а 18 прошли ремонт в полевых условиях.</w:t>
      </w:r>
    </w:p>
    <w:p w14:paraId="5085BA80" w14:textId="77777777" w:rsidR="00AE7191" w:rsidRPr="00722885" w:rsidRDefault="00AE7191" w:rsidP="00722885">
      <w:pPr>
        <w:pStyle w:val="a3"/>
        <w:rPr>
          <w:color w:val="000000" w:themeColor="text1"/>
          <w:lang w:val="ru-RU"/>
        </w:rPr>
      </w:pPr>
      <w:r w:rsidRPr="00722885">
        <w:rPr>
          <w:color w:val="000000" w:themeColor="text1"/>
          <w:lang w:val="ru-RU"/>
        </w:rPr>
        <w:t>Правильная тактика позволяла даже на потрепанных МиГ-3, изношенные моторы которых часто недодавали мощности, ус</w:t>
      </w:r>
      <w:r w:rsidRPr="00722885">
        <w:rPr>
          <w:color w:val="000000" w:themeColor="text1"/>
          <w:lang w:val="ru-RU"/>
        </w:rPr>
        <w:softHyphen/>
        <w:t>пешно вести бои и с бомбардировщиками, и с истребителями противника. Имея запас высоты, можно было быстро разо</w:t>
      </w:r>
      <w:r w:rsidRPr="00722885">
        <w:rPr>
          <w:color w:val="000000" w:themeColor="text1"/>
          <w:lang w:val="ru-RU"/>
        </w:rPr>
        <w:softHyphen/>
        <w:t xml:space="preserve">гнаться, захватить инициативу на начальной стадии боя и не дать врагу использовать преимущества </w:t>
      </w:r>
      <w:r w:rsidRPr="00722885">
        <w:rPr>
          <w:color w:val="000000" w:themeColor="text1"/>
        </w:rPr>
        <w:t>Bf</w:t>
      </w:r>
      <w:r w:rsidRPr="00722885">
        <w:rPr>
          <w:color w:val="000000" w:themeColor="text1"/>
          <w:lang w:val="ru-RU"/>
        </w:rPr>
        <w:t xml:space="preserve"> 109</w:t>
      </w:r>
      <w:r w:rsidRPr="00722885">
        <w:rPr>
          <w:color w:val="000000" w:themeColor="text1"/>
        </w:rPr>
        <w:t>F</w:t>
      </w:r>
      <w:r w:rsidRPr="00722885">
        <w:rPr>
          <w:color w:val="000000" w:themeColor="text1"/>
          <w:lang w:val="ru-RU"/>
        </w:rPr>
        <w:t>/</w:t>
      </w:r>
      <w:r w:rsidRPr="00722885">
        <w:rPr>
          <w:color w:val="000000" w:themeColor="text1"/>
        </w:rPr>
        <w:t>G</w:t>
      </w:r>
      <w:r w:rsidRPr="00722885">
        <w:rPr>
          <w:color w:val="000000" w:themeColor="text1"/>
          <w:lang w:val="ru-RU"/>
        </w:rPr>
        <w:t xml:space="preserve"> в установив</w:t>
      </w:r>
      <w:r w:rsidRPr="00722885">
        <w:rPr>
          <w:color w:val="000000" w:themeColor="text1"/>
          <w:lang w:val="ru-RU"/>
        </w:rPr>
        <w:softHyphen/>
        <w:t xml:space="preserve">шихся маневрах и скорости. Так, у Ржева 22 августа четверка МиГ-3 к-на Винокурова из 122-го ИАП атаковала 18 </w:t>
      </w:r>
      <w:r w:rsidRPr="00722885">
        <w:rPr>
          <w:color w:val="000000" w:themeColor="text1"/>
        </w:rPr>
        <w:t>Ju</w:t>
      </w:r>
      <w:r w:rsidRPr="00722885">
        <w:rPr>
          <w:color w:val="000000" w:themeColor="text1"/>
          <w:lang w:val="ru-RU"/>
        </w:rPr>
        <w:t xml:space="preserve"> 88, кото</w:t>
      </w:r>
      <w:r w:rsidRPr="00722885">
        <w:rPr>
          <w:color w:val="000000" w:themeColor="text1"/>
          <w:lang w:val="ru-RU"/>
        </w:rPr>
        <w:softHyphen/>
        <w:t xml:space="preserve">рых сопровождали два десятка </w:t>
      </w:r>
      <w:r w:rsidRPr="00722885">
        <w:rPr>
          <w:color w:val="000000" w:themeColor="text1"/>
        </w:rPr>
        <w:t>Bf</w:t>
      </w:r>
      <w:r w:rsidRPr="00722885">
        <w:rPr>
          <w:color w:val="000000" w:themeColor="text1"/>
          <w:lang w:val="ru-RU"/>
        </w:rPr>
        <w:t xml:space="preserve"> 109. Атака с ходу на макси</w:t>
      </w:r>
      <w:r w:rsidRPr="00722885">
        <w:rPr>
          <w:color w:val="000000" w:themeColor="text1"/>
          <w:lang w:val="ru-RU"/>
        </w:rPr>
        <w:softHyphen/>
        <w:t>мальной скорости позволила прорваться к бомбардировщи</w:t>
      </w:r>
      <w:r w:rsidRPr="00722885">
        <w:rPr>
          <w:color w:val="000000" w:themeColor="text1"/>
          <w:lang w:val="ru-RU"/>
        </w:rPr>
        <w:softHyphen/>
        <w:t>кам, сорвать их выход на цель, сбить 4 «Юнкерса», а затем дать бой истребителям. Враг хоть и обладал значительным числен</w:t>
      </w:r>
      <w:r w:rsidRPr="00722885">
        <w:rPr>
          <w:color w:val="000000" w:themeColor="text1"/>
          <w:lang w:val="ru-RU"/>
        </w:rPr>
        <w:softHyphen/>
        <w:t xml:space="preserve">ным превосходством, но не смог правильно построить бой и потерял не менее двух «мессеров», еще один был поврежден. Убедившись, что </w:t>
      </w:r>
      <w:r w:rsidRPr="00722885">
        <w:rPr>
          <w:color w:val="000000" w:themeColor="text1"/>
        </w:rPr>
        <w:t>Ju</w:t>
      </w:r>
      <w:r w:rsidRPr="00722885">
        <w:rPr>
          <w:color w:val="000000" w:themeColor="text1"/>
          <w:lang w:val="ru-RU"/>
        </w:rPr>
        <w:t xml:space="preserve"> 88 повернули восвояси, «МиГи» использо</w:t>
      </w:r>
      <w:r w:rsidRPr="00722885">
        <w:rPr>
          <w:color w:val="000000" w:themeColor="text1"/>
          <w:lang w:val="ru-RU"/>
        </w:rPr>
        <w:softHyphen/>
        <w:t>вали свой излюбленный прием — вышли из боя со снижением, зная, что догнать их никто не сможет (11938).</w:t>
      </w:r>
    </w:p>
    <w:p w14:paraId="3550B19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Сравнение некоторых тактико-технических показателей МиГ-3 выпуска октября 1941 г. и аналогичных самолетов</w:t>
      </w:r>
    </w:p>
    <w:tbl>
      <w:tblPr>
        <w:tblW w:w="0" w:type="auto"/>
        <w:tblLayout w:type="fixed"/>
        <w:tblLook w:val="0000" w:firstRow="0" w:lastRow="0" w:firstColumn="0" w:lastColumn="0" w:noHBand="0" w:noVBand="0"/>
      </w:tblPr>
      <w:tblGrid>
        <w:gridCol w:w="1718"/>
        <w:gridCol w:w="1718"/>
        <w:gridCol w:w="1718"/>
        <w:gridCol w:w="1718"/>
        <w:gridCol w:w="1718"/>
        <w:gridCol w:w="1718"/>
      </w:tblGrid>
      <w:tr w:rsidR="009B487A" w:rsidRPr="00722885" w14:paraId="1F49ED14" w14:textId="77777777" w:rsidTr="00CC5360">
        <w:tc>
          <w:tcPr>
            <w:tcW w:w="1718" w:type="dxa"/>
            <w:tcBorders>
              <w:top w:val="single" w:sz="12" w:space="0" w:color="auto"/>
              <w:left w:val="single" w:sz="12" w:space="0" w:color="auto"/>
              <w:bottom w:val="single" w:sz="6" w:space="0" w:color="auto"/>
              <w:right w:val="single" w:sz="6" w:space="0" w:color="auto"/>
            </w:tcBorders>
          </w:tcPr>
          <w:p w14:paraId="73B8E52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Показатель</w:t>
            </w:r>
          </w:p>
        </w:tc>
        <w:tc>
          <w:tcPr>
            <w:tcW w:w="1718" w:type="dxa"/>
            <w:tcBorders>
              <w:top w:val="single" w:sz="12" w:space="0" w:color="auto"/>
              <w:left w:val="single" w:sz="6" w:space="0" w:color="auto"/>
              <w:bottom w:val="single" w:sz="6" w:space="0" w:color="auto"/>
              <w:right w:val="single" w:sz="6" w:space="0" w:color="auto"/>
            </w:tcBorders>
          </w:tcPr>
          <w:p w14:paraId="173D30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Значение для МиГ-3</w:t>
            </w:r>
          </w:p>
        </w:tc>
        <w:tc>
          <w:tcPr>
            <w:tcW w:w="1718" w:type="dxa"/>
            <w:tcBorders>
              <w:top w:val="single" w:sz="12" w:space="0" w:color="auto"/>
              <w:left w:val="single" w:sz="6" w:space="0" w:color="auto"/>
              <w:bottom w:val="single" w:sz="6" w:space="0" w:color="auto"/>
              <w:right w:val="single" w:sz="6" w:space="0" w:color="auto"/>
            </w:tcBorders>
          </w:tcPr>
          <w:p w14:paraId="2172563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Показатель МиГ-3 по отношению к сравниваемым самолетам - Як-1</w:t>
            </w:r>
          </w:p>
        </w:tc>
        <w:tc>
          <w:tcPr>
            <w:tcW w:w="1718" w:type="dxa"/>
            <w:tcBorders>
              <w:top w:val="single" w:sz="12" w:space="0" w:color="auto"/>
              <w:left w:val="single" w:sz="6" w:space="0" w:color="auto"/>
              <w:bottom w:val="single" w:sz="6" w:space="0" w:color="auto"/>
              <w:right w:val="single" w:sz="6" w:space="0" w:color="auto"/>
            </w:tcBorders>
          </w:tcPr>
          <w:p w14:paraId="3A62FCF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ЛаГГ-3</w:t>
            </w:r>
          </w:p>
        </w:tc>
        <w:tc>
          <w:tcPr>
            <w:tcW w:w="1718" w:type="dxa"/>
            <w:tcBorders>
              <w:top w:val="single" w:sz="12" w:space="0" w:color="auto"/>
              <w:left w:val="single" w:sz="6" w:space="0" w:color="auto"/>
              <w:bottom w:val="single" w:sz="6" w:space="0" w:color="auto"/>
              <w:right w:val="single" w:sz="6" w:space="0" w:color="auto"/>
            </w:tcBorders>
          </w:tcPr>
          <w:p w14:paraId="02902A7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Bf 109E-3</w:t>
            </w:r>
          </w:p>
        </w:tc>
        <w:tc>
          <w:tcPr>
            <w:tcW w:w="1718" w:type="dxa"/>
            <w:tcBorders>
              <w:top w:val="single" w:sz="12" w:space="0" w:color="auto"/>
              <w:left w:val="single" w:sz="6" w:space="0" w:color="auto"/>
              <w:bottom w:val="single" w:sz="6" w:space="0" w:color="auto"/>
              <w:right w:val="single" w:sz="12" w:space="0" w:color="auto"/>
            </w:tcBorders>
          </w:tcPr>
          <w:p w14:paraId="6FB8CAD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Bf 109F-1</w:t>
            </w:r>
          </w:p>
        </w:tc>
      </w:tr>
      <w:tr w:rsidR="009B487A" w:rsidRPr="00722885" w14:paraId="737DF016" w14:textId="77777777" w:rsidTr="00CC5360">
        <w:tc>
          <w:tcPr>
            <w:tcW w:w="1718" w:type="dxa"/>
            <w:tcBorders>
              <w:top w:val="single" w:sz="6" w:space="0" w:color="auto"/>
              <w:left w:val="single" w:sz="12" w:space="0" w:color="auto"/>
              <w:bottom w:val="single" w:sz="6" w:space="0" w:color="auto"/>
              <w:right w:val="single" w:sz="6" w:space="0" w:color="auto"/>
            </w:tcBorders>
          </w:tcPr>
          <w:p w14:paraId="7218DC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горизонтального полета по высотам</w:t>
            </w:r>
          </w:p>
        </w:tc>
        <w:tc>
          <w:tcPr>
            <w:tcW w:w="1718" w:type="dxa"/>
            <w:tcBorders>
              <w:top w:val="single" w:sz="6" w:space="0" w:color="auto"/>
              <w:left w:val="single" w:sz="6" w:space="0" w:color="auto"/>
              <w:bottom w:val="single" w:sz="6" w:space="0" w:color="auto"/>
              <w:right w:val="single" w:sz="6" w:space="0" w:color="auto"/>
            </w:tcBorders>
          </w:tcPr>
          <w:p w14:paraId="3ECB2CFC"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3899EC9"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19D3354"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6C6DABC"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35C22122"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71D8C51" w14:textId="77777777" w:rsidTr="00CC5360">
        <w:tc>
          <w:tcPr>
            <w:tcW w:w="1718" w:type="dxa"/>
            <w:tcBorders>
              <w:top w:val="single" w:sz="6" w:space="0" w:color="auto"/>
              <w:left w:val="single" w:sz="12" w:space="0" w:color="auto"/>
              <w:bottom w:val="single" w:sz="6" w:space="0" w:color="auto"/>
              <w:right w:val="single" w:sz="6" w:space="0" w:color="auto"/>
            </w:tcBorders>
          </w:tcPr>
          <w:p w14:paraId="41707AE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0 м, км/ч</w:t>
            </w:r>
          </w:p>
        </w:tc>
        <w:tc>
          <w:tcPr>
            <w:tcW w:w="1718" w:type="dxa"/>
            <w:tcBorders>
              <w:top w:val="single" w:sz="6" w:space="0" w:color="auto"/>
              <w:left w:val="single" w:sz="6" w:space="0" w:color="auto"/>
              <w:bottom w:val="single" w:sz="6" w:space="0" w:color="auto"/>
              <w:right w:val="single" w:sz="6" w:space="0" w:color="auto"/>
            </w:tcBorders>
          </w:tcPr>
          <w:p w14:paraId="13287E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472</w:t>
            </w:r>
          </w:p>
        </w:tc>
        <w:tc>
          <w:tcPr>
            <w:tcW w:w="1718" w:type="dxa"/>
            <w:tcBorders>
              <w:top w:val="single" w:sz="6" w:space="0" w:color="auto"/>
              <w:left w:val="single" w:sz="6" w:space="0" w:color="auto"/>
              <w:bottom w:val="single" w:sz="6" w:space="0" w:color="auto"/>
              <w:right w:val="single" w:sz="6" w:space="0" w:color="auto"/>
            </w:tcBorders>
          </w:tcPr>
          <w:p w14:paraId="137DB1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17 км/ч</w:t>
            </w:r>
          </w:p>
        </w:tc>
        <w:tc>
          <w:tcPr>
            <w:tcW w:w="1718" w:type="dxa"/>
            <w:tcBorders>
              <w:top w:val="single" w:sz="6" w:space="0" w:color="auto"/>
              <w:left w:val="single" w:sz="6" w:space="0" w:color="auto"/>
              <w:bottom w:val="single" w:sz="6" w:space="0" w:color="auto"/>
              <w:right w:val="single" w:sz="6" w:space="0" w:color="auto"/>
            </w:tcBorders>
          </w:tcPr>
          <w:p w14:paraId="581838E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3 км/ч</w:t>
            </w:r>
          </w:p>
        </w:tc>
        <w:tc>
          <w:tcPr>
            <w:tcW w:w="1718" w:type="dxa"/>
            <w:tcBorders>
              <w:top w:val="single" w:sz="6" w:space="0" w:color="auto"/>
              <w:left w:val="single" w:sz="6" w:space="0" w:color="auto"/>
              <w:bottom w:val="single" w:sz="6" w:space="0" w:color="auto"/>
              <w:right w:val="single" w:sz="6" w:space="0" w:color="auto"/>
            </w:tcBorders>
          </w:tcPr>
          <w:p w14:paraId="344C24A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32 км/ч</w:t>
            </w:r>
          </w:p>
        </w:tc>
        <w:tc>
          <w:tcPr>
            <w:tcW w:w="1718" w:type="dxa"/>
            <w:tcBorders>
              <w:top w:val="single" w:sz="6" w:space="0" w:color="auto"/>
              <w:left w:val="single" w:sz="6" w:space="0" w:color="auto"/>
              <w:bottom w:val="single" w:sz="6" w:space="0" w:color="auto"/>
              <w:right w:val="single" w:sz="12" w:space="0" w:color="auto"/>
            </w:tcBorders>
          </w:tcPr>
          <w:p w14:paraId="6826E4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36 км/ч</w:t>
            </w:r>
          </w:p>
        </w:tc>
      </w:tr>
      <w:tr w:rsidR="009B487A" w:rsidRPr="00722885" w14:paraId="5F1BED0A" w14:textId="77777777" w:rsidTr="00CC5360">
        <w:tc>
          <w:tcPr>
            <w:tcW w:w="1718" w:type="dxa"/>
            <w:tcBorders>
              <w:top w:val="single" w:sz="6" w:space="0" w:color="auto"/>
              <w:left w:val="single" w:sz="12" w:space="0" w:color="auto"/>
              <w:bottom w:val="single" w:sz="6" w:space="0" w:color="auto"/>
              <w:right w:val="single" w:sz="6" w:space="0" w:color="auto"/>
            </w:tcBorders>
          </w:tcPr>
          <w:p w14:paraId="039CD02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Скорость на 2000 м, км/ч</w:t>
            </w:r>
          </w:p>
        </w:tc>
        <w:tc>
          <w:tcPr>
            <w:tcW w:w="1718" w:type="dxa"/>
            <w:tcBorders>
              <w:top w:val="single" w:sz="6" w:space="0" w:color="auto"/>
              <w:left w:val="single" w:sz="6" w:space="0" w:color="auto"/>
              <w:bottom w:val="single" w:sz="6" w:space="0" w:color="auto"/>
              <w:right w:val="single" w:sz="6" w:space="0" w:color="auto"/>
            </w:tcBorders>
          </w:tcPr>
          <w:p w14:paraId="31E9272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512</w:t>
            </w:r>
          </w:p>
        </w:tc>
        <w:tc>
          <w:tcPr>
            <w:tcW w:w="1718" w:type="dxa"/>
            <w:tcBorders>
              <w:top w:val="single" w:sz="6" w:space="0" w:color="auto"/>
              <w:left w:val="single" w:sz="6" w:space="0" w:color="auto"/>
              <w:bottom w:val="single" w:sz="6" w:space="0" w:color="auto"/>
              <w:right w:val="single" w:sz="6" w:space="0" w:color="auto"/>
            </w:tcBorders>
          </w:tcPr>
          <w:p w14:paraId="588FE0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13 км/ч</w:t>
            </w:r>
          </w:p>
        </w:tc>
        <w:tc>
          <w:tcPr>
            <w:tcW w:w="1718" w:type="dxa"/>
            <w:tcBorders>
              <w:top w:val="single" w:sz="6" w:space="0" w:color="auto"/>
              <w:left w:val="single" w:sz="6" w:space="0" w:color="auto"/>
              <w:bottom w:val="single" w:sz="6" w:space="0" w:color="auto"/>
              <w:right w:val="single" w:sz="6" w:space="0" w:color="auto"/>
            </w:tcBorders>
          </w:tcPr>
          <w:p w14:paraId="22A861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6 км/ч</w:t>
            </w:r>
          </w:p>
        </w:tc>
        <w:tc>
          <w:tcPr>
            <w:tcW w:w="1718" w:type="dxa"/>
            <w:tcBorders>
              <w:top w:val="single" w:sz="6" w:space="0" w:color="auto"/>
              <w:left w:val="single" w:sz="6" w:space="0" w:color="auto"/>
              <w:bottom w:val="single" w:sz="6" w:space="0" w:color="auto"/>
              <w:right w:val="single" w:sz="6" w:space="0" w:color="auto"/>
            </w:tcBorders>
          </w:tcPr>
          <w:p w14:paraId="30A568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18 км/ч</w:t>
            </w:r>
          </w:p>
        </w:tc>
        <w:tc>
          <w:tcPr>
            <w:tcW w:w="1718" w:type="dxa"/>
            <w:tcBorders>
              <w:top w:val="single" w:sz="6" w:space="0" w:color="auto"/>
              <w:left w:val="single" w:sz="6" w:space="0" w:color="auto"/>
              <w:bottom w:val="single" w:sz="6" w:space="0" w:color="auto"/>
              <w:right w:val="single" w:sz="12" w:space="0" w:color="auto"/>
            </w:tcBorders>
          </w:tcPr>
          <w:p w14:paraId="549B26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38 км/ч</w:t>
            </w:r>
          </w:p>
        </w:tc>
      </w:tr>
      <w:tr w:rsidR="009B487A" w:rsidRPr="00722885" w14:paraId="5CCC09DE" w14:textId="77777777" w:rsidTr="00CC5360">
        <w:tc>
          <w:tcPr>
            <w:tcW w:w="1718" w:type="dxa"/>
            <w:tcBorders>
              <w:top w:val="single" w:sz="6" w:space="0" w:color="auto"/>
              <w:left w:val="single" w:sz="12" w:space="0" w:color="auto"/>
              <w:bottom w:val="single" w:sz="6" w:space="0" w:color="auto"/>
              <w:right w:val="single" w:sz="6" w:space="0" w:color="auto"/>
            </w:tcBorders>
          </w:tcPr>
          <w:p w14:paraId="4D6193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4000 м, км/ч</w:t>
            </w:r>
          </w:p>
        </w:tc>
        <w:tc>
          <w:tcPr>
            <w:tcW w:w="1718" w:type="dxa"/>
            <w:tcBorders>
              <w:top w:val="single" w:sz="6" w:space="0" w:color="auto"/>
              <w:left w:val="single" w:sz="6" w:space="0" w:color="auto"/>
              <w:bottom w:val="single" w:sz="6" w:space="0" w:color="auto"/>
              <w:right w:val="single" w:sz="6" w:space="0" w:color="auto"/>
            </w:tcBorders>
          </w:tcPr>
          <w:p w14:paraId="335F44DB"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68E158E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5 км/ч</w:t>
            </w:r>
          </w:p>
        </w:tc>
        <w:tc>
          <w:tcPr>
            <w:tcW w:w="1718" w:type="dxa"/>
            <w:tcBorders>
              <w:top w:val="single" w:sz="6" w:space="0" w:color="auto"/>
              <w:left w:val="single" w:sz="6" w:space="0" w:color="auto"/>
              <w:bottom w:val="single" w:sz="6" w:space="0" w:color="auto"/>
              <w:right w:val="single" w:sz="6" w:space="0" w:color="auto"/>
            </w:tcBorders>
          </w:tcPr>
          <w:p w14:paraId="281B88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23 км/ч</w:t>
            </w:r>
          </w:p>
        </w:tc>
        <w:tc>
          <w:tcPr>
            <w:tcW w:w="1718" w:type="dxa"/>
            <w:tcBorders>
              <w:top w:val="single" w:sz="6" w:space="0" w:color="auto"/>
              <w:left w:val="single" w:sz="6" w:space="0" w:color="auto"/>
              <w:bottom w:val="single" w:sz="6" w:space="0" w:color="auto"/>
              <w:right w:val="single" w:sz="6" w:space="0" w:color="auto"/>
            </w:tcBorders>
          </w:tcPr>
          <w:p w14:paraId="4362C57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8 км/ч</w:t>
            </w:r>
          </w:p>
        </w:tc>
        <w:tc>
          <w:tcPr>
            <w:tcW w:w="1718" w:type="dxa"/>
            <w:tcBorders>
              <w:top w:val="single" w:sz="6" w:space="0" w:color="auto"/>
              <w:left w:val="single" w:sz="6" w:space="0" w:color="auto"/>
              <w:bottom w:val="single" w:sz="6" w:space="0" w:color="auto"/>
              <w:right w:val="single" w:sz="12" w:space="0" w:color="auto"/>
            </w:tcBorders>
          </w:tcPr>
          <w:p w14:paraId="3F3E86F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20 км/ч</w:t>
            </w:r>
          </w:p>
        </w:tc>
      </w:tr>
      <w:tr w:rsidR="009B487A" w:rsidRPr="00722885" w14:paraId="35CB6C7E" w14:textId="77777777" w:rsidTr="00CC5360">
        <w:tc>
          <w:tcPr>
            <w:tcW w:w="1718" w:type="dxa"/>
            <w:tcBorders>
              <w:top w:val="single" w:sz="6" w:space="0" w:color="auto"/>
              <w:left w:val="single" w:sz="12" w:space="0" w:color="auto"/>
              <w:bottom w:val="single" w:sz="6" w:space="0" w:color="auto"/>
              <w:right w:val="single" w:sz="6" w:space="0" w:color="auto"/>
            </w:tcBorders>
          </w:tcPr>
          <w:p w14:paraId="1AA3719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7000 м, км/ч</w:t>
            </w:r>
          </w:p>
        </w:tc>
        <w:tc>
          <w:tcPr>
            <w:tcW w:w="1718" w:type="dxa"/>
            <w:tcBorders>
              <w:top w:val="single" w:sz="6" w:space="0" w:color="auto"/>
              <w:left w:val="single" w:sz="6" w:space="0" w:color="auto"/>
              <w:bottom w:val="single" w:sz="6" w:space="0" w:color="auto"/>
              <w:right w:val="single" w:sz="6" w:space="0" w:color="auto"/>
            </w:tcBorders>
          </w:tcPr>
          <w:p w14:paraId="0B48EBC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789B67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72 км/ч</w:t>
            </w:r>
          </w:p>
        </w:tc>
        <w:tc>
          <w:tcPr>
            <w:tcW w:w="1718" w:type="dxa"/>
            <w:tcBorders>
              <w:top w:val="single" w:sz="6" w:space="0" w:color="auto"/>
              <w:left w:val="single" w:sz="6" w:space="0" w:color="auto"/>
              <w:bottom w:val="single" w:sz="6" w:space="0" w:color="auto"/>
              <w:right w:val="single" w:sz="6" w:space="0" w:color="auto"/>
            </w:tcBorders>
          </w:tcPr>
          <w:p w14:paraId="4929BB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101 км/ч</w:t>
            </w:r>
          </w:p>
        </w:tc>
        <w:tc>
          <w:tcPr>
            <w:tcW w:w="1718" w:type="dxa"/>
            <w:tcBorders>
              <w:top w:val="single" w:sz="6" w:space="0" w:color="auto"/>
              <w:left w:val="single" w:sz="6" w:space="0" w:color="auto"/>
              <w:bottom w:val="single" w:sz="6" w:space="0" w:color="auto"/>
              <w:right w:val="single" w:sz="6" w:space="0" w:color="auto"/>
            </w:tcBorders>
          </w:tcPr>
          <w:p w14:paraId="60FDFC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85 км/ч</w:t>
            </w:r>
          </w:p>
        </w:tc>
        <w:tc>
          <w:tcPr>
            <w:tcW w:w="1718" w:type="dxa"/>
            <w:tcBorders>
              <w:top w:val="single" w:sz="6" w:space="0" w:color="auto"/>
              <w:left w:val="single" w:sz="6" w:space="0" w:color="auto"/>
              <w:bottom w:val="single" w:sz="6" w:space="0" w:color="auto"/>
              <w:right w:val="single" w:sz="12" w:space="0" w:color="auto"/>
            </w:tcBorders>
          </w:tcPr>
          <w:p w14:paraId="0ABDFE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20 км/ч</w:t>
            </w:r>
          </w:p>
        </w:tc>
      </w:tr>
      <w:tr w:rsidR="009B487A" w:rsidRPr="00722885" w14:paraId="143064D4" w14:textId="77777777" w:rsidTr="00CC5360">
        <w:tc>
          <w:tcPr>
            <w:tcW w:w="1718" w:type="dxa"/>
            <w:tcBorders>
              <w:top w:val="single" w:sz="6" w:space="0" w:color="auto"/>
              <w:left w:val="single" w:sz="12" w:space="0" w:color="auto"/>
              <w:bottom w:val="single" w:sz="6" w:space="0" w:color="auto"/>
              <w:right w:val="single" w:sz="6" w:space="0" w:color="auto"/>
            </w:tcBorders>
          </w:tcPr>
          <w:p w14:paraId="580DE7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 по высотам</w:t>
            </w:r>
          </w:p>
        </w:tc>
        <w:tc>
          <w:tcPr>
            <w:tcW w:w="1718" w:type="dxa"/>
            <w:tcBorders>
              <w:top w:val="single" w:sz="6" w:space="0" w:color="auto"/>
              <w:left w:val="single" w:sz="6" w:space="0" w:color="auto"/>
              <w:bottom w:val="single" w:sz="6" w:space="0" w:color="auto"/>
              <w:right w:val="single" w:sz="6" w:space="0" w:color="auto"/>
            </w:tcBorders>
          </w:tcPr>
          <w:p w14:paraId="286B900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41814A1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8041D43"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0E3631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5E5C40D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9A48CB3" w14:textId="77777777" w:rsidTr="00CC5360">
        <w:tc>
          <w:tcPr>
            <w:tcW w:w="1718" w:type="dxa"/>
            <w:tcBorders>
              <w:top w:val="single" w:sz="6" w:space="0" w:color="auto"/>
              <w:left w:val="single" w:sz="12" w:space="0" w:color="auto"/>
              <w:bottom w:val="single" w:sz="6" w:space="0" w:color="auto"/>
              <w:right w:val="single" w:sz="6" w:space="0" w:color="auto"/>
            </w:tcBorders>
          </w:tcPr>
          <w:p w14:paraId="1F98E2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 на 0 м</w:t>
            </w:r>
          </w:p>
        </w:tc>
        <w:tc>
          <w:tcPr>
            <w:tcW w:w="1718" w:type="dxa"/>
            <w:tcBorders>
              <w:top w:val="single" w:sz="6" w:space="0" w:color="auto"/>
              <w:left w:val="single" w:sz="6" w:space="0" w:color="auto"/>
              <w:bottom w:val="single" w:sz="6" w:space="0" w:color="auto"/>
              <w:right w:val="single" w:sz="6" w:space="0" w:color="auto"/>
            </w:tcBorders>
          </w:tcPr>
          <w:p w14:paraId="4722CA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11,4</w:t>
            </w:r>
          </w:p>
        </w:tc>
        <w:tc>
          <w:tcPr>
            <w:tcW w:w="1718" w:type="dxa"/>
            <w:tcBorders>
              <w:top w:val="single" w:sz="6" w:space="0" w:color="auto"/>
              <w:left w:val="single" w:sz="6" w:space="0" w:color="auto"/>
              <w:bottom w:val="single" w:sz="6" w:space="0" w:color="auto"/>
              <w:right w:val="single" w:sz="6" w:space="0" w:color="auto"/>
            </w:tcBorders>
          </w:tcPr>
          <w:p w14:paraId="1CB8D8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11,7 м/с</w:t>
            </w:r>
          </w:p>
        </w:tc>
        <w:tc>
          <w:tcPr>
            <w:tcW w:w="1718" w:type="dxa"/>
            <w:tcBorders>
              <w:top w:val="single" w:sz="6" w:space="0" w:color="auto"/>
              <w:left w:val="single" w:sz="6" w:space="0" w:color="auto"/>
              <w:bottom w:val="single" w:sz="6" w:space="0" w:color="auto"/>
              <w:right w:val="single" w:sz="6" w:space="0" w:color="auto"/>
            </w:tcBorders>
          </w:tcPr>
          <w:p w14:paraId="7A53944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4,6 м/с</w:t>
            </w:r>
          </w:p>
        </w:tc>
        <w:tc>
          <w:tcPr>
            <w:tcW w:w="1718" w:type="dxa"/>
            <w:tcBorders>
              <w:top w:val="single" w:sz="6" w:space="0" w:color="auto"/>
              <w:left w:val="single" w:sz="6" w:space="0" w:color="auto"/>
              <w:bottom w:val="single" w:sz="6" w:space="0" w:color="auto"/>
              <w:right w:val="single" w:sz="6" w:space="0" w:color="auto"/>
            </w:tcBorders>
          </w:tcPr>
          <w:p w14:paraId="736B667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3,8 м/с</w:t>
            </w:r>
          </w:p>
        </w:tc>
        <w:tc>
          <w:tcPr>
            <w:tcW w:w="1718" w:type="dxa"/>
            <w:tcBorders>
              <w:top w:val="single" w:sz="6" w:space="0" w:color="auto"/>
              <w:left w:val="single" w:sz="6" w:space="0" w:color="auto"/>
              <w:bottom w:val="single" w:sz="6" w:space="0" w:color="auto"/>
              <w:right w:val="single" w:sz="12" w:space="0" w:color="auto"/>
            </w:tcBorders>
          </w:tcPr>
          <w:p w14:paraId="7A46CF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5,9 м/с</w:t>
            </w:r>
          </w:p>
        </w:tc>
      </w:tr>
      <w:tr w:rsidR="009B487A" w:rsidRPr="00722885" w14:paraId="2EE77EE0" w14:textId="77777777" w:rsidTr="00CC5360">
        <w:tc>
          <w:tcPr>
            <w:tcW w:w="1718" w:type="dxa"/>
            <w:tcBorders>
              <w:top w:val="single" w:sz="6" w:space="0" w:color="auto"/>
              <w:left w:val="single" w:sz="12" w:space="0" w:color="auto"/>
              <w:bottom w:val="single" w:sz="6" w:space="0" w:color="auto"/>
              <w:right w:val="single" w:sz="6" w:space="0" w:color="auto"/>
            </w:tcBorders>
          </w:tcPr>
          <w:p w14:paraId="08B6666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 на 3000 м</w:t>
            </w:r>
          </w:p>
        </w:tc>
        <w:tc>
          <w:tcPr>
            <w:tcW w:w="1718" w:type="dxa"/>
            <w:tcBorders>
              <w:top w:val="single" w:sz="6" w:space="0" w:color="auto"/>
              <w:left w:val="single" w:sz="6" w:space="0" w:color="auto"/>
              <w:bottom w:val="single" w:sz="6" w:space="0" w:color="auto"/>
              <w:right w:val="single" w:sz="6" w:space="0" w:color="auto"/>
            </w:tcBorders>
          </w:tcPr>
          <w:p w14:paraId="588339C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11,9</w:t>
            </w:r>
          </w:p>
        </w:tc>
        <w:tc>
          <w:tcPr>
            <w:tcW w:w="1718" w:type="dxa"/>
            <w:tcBorders>
              <w:top w:val="single" w:sz="6" w:space="0" w:color="auto"/>
              <w:left w:val="single" w:sz="6" w:space="0" w:color="auto"/>
              <w:bottom w:val="single" w:sz="6" w:space="0" w:color="auto"/>
              <w:right w:val="single" w:sz="6" w:space="0" w:color="auto"/>
            </w:tcBorders>
          </w:tcPr>
          <w:p w14:paraId="3D4DA37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равен</w:t>
            </w:r>
          </w:p>
        </w:tc>
        <w:tc>
          <w:tcPr>
            <w:tcW w:w="1718" w:type="dxa"/>
            <w:tcBorders>
              <w:top w:val="single" w:sz="6" w:space="0" w:color="auto"/>
              <w:left w:val="single" w:sz="6" w:space="0" w:color="auto"/>
              <w:bottom w:val="single" w:sz="6" w:space="0" w:color="auto"/>
              <w:right w:val="single" w:sz="6" w:space="0" w:color="auto"/>
            </w:tcBorders>
          </w:tcPr>
          <w:p w14:paraId="66853AA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1,9 м/с</w:t>
            </w:r>
          </w:p>
        </w:tc>
        <w:tc>
          <w:tcPr>
            <w:tcW w:w="1718" w:type="dxa"/>
            <w:tcBorders>
              <w:top w:val="single" w:sz="6" w:space="0" w:color="auto"/>
              <w:left w:val="single" w:sz="6" w:space="0" w:color="auto"/>
              <w:bottom w:val="single" w:sz="6" w:space="0" w:color="auto"/>
              <w:right w:val="single" w:sz="6" w:space="0" w:color="auto"/>
            </w:tcBorders>
          </w:tcPr>
          <w:p w14:paraId="202860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3,5 м/с</w:t>
            </w:r>
          </w:p>
        </w:tc>
        <w:tc>
          <w:tcPr>
            <w:tcW w:w="1718" w:type="dxa"/>
            <w:tcBorders>
              <w:top w:val="single" w:sz="6" w:space="0" w:color="auto"/>
              <w:left w:val="single" w:sz="6" w:space="0" w:color="auto"/>
              <w:bottom w:val="single" w:sz="6" w:space="0" w:color="auto"/>
              <w:right w:val="single" w:sz="12" w:space="0" w:color="auto"/>
            </w:tcBorders>
          </w:tcPr>
          <w:p w14:paraId="47FF799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4,1 м/с</w:t>
            </w:r>
          </w:p>
        </w:tc>
      </w:tr>
      <w:tr w:rsidR="009B487A" w:rsidRPr="00722885" w14:paraId="5E307467" w14:textId="77777777" w:rsidTr="00CC5360">
        <w:tc>
          <w:tcPr>
            <w:tcW w:w="1718" w:type="dxa"/>
            <w:tcBorders>
              <w:top w:val="single" w:sz="6" w:space="0" w:color="auto"/>
              <w:left w:val="single" w:sz="12" w:space="0" w:color="auto"/>
              <w:bottom w:val="single" w:sz="6" w:space="0" w:color="auto"/>
              <w:right w:val="single" w:sz="6" w:space="0" w:color="auto"/>
            </w:tcBorders>
          </w:tcPr>
          <w:p w14:paraId="01FB30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 на 6000 м</w:t>
            </w:r>
          </w:p>
        </w:tc>
        <w:tc>
          <w:tcPr>
            <w:tcW w:w="1718" w:type="dxa"/>
            <w:tcBorders>
              <w:top w:val="single" w:sz="6" w:space="0" w:color="auto"/>
              <w:left w:val="single" w:sz="6" w:space="0" w:color="auto"/>
              <w:bottom w:val="single" w:sz="6" w:space="0" w:color="auto"/>
              <w:right w:val="single" w:sz="6" w:space="0" w:color="auto"/>
            </w:tcBorders>
          </w:tcPr>
          <w:p w14:paraId="1C933D0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11,2</w:t>
            </w:r>
          </w:p>
        </w:tc>
        <w:tc>
          <w:tcPr>
            <w:tcW w:w="1718" w:type="dxa"/>
            <w:tcBorders>
              <w:top w:val="single" w:sz="6" w:space="0" w:color="auto"/>
              <w:left w:val="single" w:sz="6" w:space="0" w:color="auto"/>
              <w:bottom w:val="single" w:sz="6" w:space="0" w:color="auto"/>
              <w:right w:val="single" w:sz="6" w:space="0" w:color="auto"/>
            </w:tcBorders>
          </w:tcPr>
          <w:p w14:paraId="57998E6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2,7 м/с</w:t>
            </w:r>
          </w:p>
        </w:tc>
        <w:tc>
          <w:tcPr>
            <w:tcW w:w="1718" w:type="dxa"/>
            <w:tcBorders>
              <w:top w:val="single" w:sz="6" w:space="0" w:color="auto"/>
              <w:left w:val="single" w:sz="6" w:space="0" w:color="auto"/>
              <w:bottom w:val="single" w:sz="6" w:space="0" w:color="auto"/>
              <w:right w:val="single" w:sz="6" w:space="0" w:color="auto"/>
            </w:tcBorders>
          </w:tcPr>
          <w:p w14:paraId="38F8501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4,5 м/с</w:t>
            </w:r>
          </w:p>
        </w:tc>
        <w:tc>
          <w:tcPr>
            <w:tcW w:w="1718" w:type="dxa"/>
            <w:tcBorders>
              <w:top w:val="single" w:sz="6" w:space="0" w:color="auto"/>
              <w:left w:val="single" w:sz="6" w:space="0" w:color="auto"/>
              <w:bottom w:val="single" w:sz="6" w:space="0" w:color="auto"/>
              <w:right w:val="single" w:sz="6" w:space="0" w:color="auto"/>
            </w:tcBorders>
          </w:tcPr>
          <w:p w14:paraId="29248F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2,2 м/с</w:t>
            </w:r>
          </w:p>
        </w:tc>
        <w:tc>
          <w:tcPr>
            <w:tcW w:w="1718" w:type="dxa"/>
            <w:tcBorders>
              <w:top w:val="single" w:sz="6" w:space="0" w:color="auto"/>
              <w:left w:val="single" w:sz="6" w:space="0" w:color="auto"/>
              <w:bottom w:val="single" w:sz="6" w:space="0" w:color="auto"/>
              <w:right w:val="single" w:sz="12" w:space="0" w:color="auto"/>
            </w:tcBorders>
          </w:tcPr>
          <w:p w14:paraId="7AAD1CA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равен</w:t>
            </w:r>
          </w:p>
        </w:tc>
      </w:tr>
      <w:tr w:rsidR="009B487A" w:rsidRPr="00722885" w14:paraId="11E62888" w14:textId="77777777" w:rsidTr="00CC5360">
        <w:tc>
          <w:tcPr>
            <w:tcW w:w="1718" w:type="dxa"/>
            <w:tcBorders>
              <w:top w:val="single" w:sz="6" w:space="0" w:color="auto"/>
              <w:left w:val="single" w:sz="12" w:space="0" w:color="auto"/>
              <w:bottom w:val="single" w:sz="6" w:space="0" w:color="auto"/>
              <w:right w:val="single" w:sz="6" w:space="0" w:color="auto"/>
            </w:tcBorders>
          </w:tcPr>
          <w:p w14:paraId="03EE6F8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 на 7000 м</w:t>
            </w:r>
          </w:p>
        </w:tc>
        <w:tc>
          <w:tcPr>
            <w:tcW w:w="1718" w:type="dxa"/>
            <w:tcBorders>
              <w:top w:val="single" w:sz="6" w:space="0" w:color="auto"/>
              <w:left w:val="single" w:sz="6" w:space="0" w:color="auto"/>
              <w:bottom w:val="single" w:sz="6" w:space="0" w:color="auto"/>
              <w:right w:val="single" w:sz="6" w:space="0" w:color="auto"/>
            </w:tcBorders>
          </w:tcPr>
          <w:p w14:paraId="6D388AC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w:t>
            </w:r>
          </w:p>
        </w:tc>
        <w:tc>
          <w:tcPr>
            <w:tcW w:w="1718" w:type="dxa"/>
            <w:tcBorders>
              <w:top w:val="single" w:sz="6" w:space="0" w:color="auto"/>
              <w:left w:val="single" w:sz="6" w:space="0" w:color="auto"/>
              <w:bottom w:val="single" w:sz="6" w:space="0" w:color="auto"/>
              <w:right w:val="single" w:sz="6" w:space="0" w:color="auto"/>
            </w:tcBorders>
          </w:tcPr>
          <w:p w14:paraId="2D30786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3,0 м/с</w:t>
            </w:r>
          </w:p>
        </w:tc>
        <w:tc>
          <w:tcPr>
            <w:tcW w:w="1718" w:type="dxa"/>
            <w:tcBorders>
              <w:top w:val="single" w:sz="6" w:space="0" w:color="auto"/>
              <w:left w:val="single" w:sz="6" w:space="0" w:color="auto"/>
              <w:bottom w:val="single" w:sz="6" w:space="0" w:color="auto"/>
              <w:right w:val="single" w:sz="6" w:space="0" w:color="auto"/>
            </w:tcBorders>
          </w:tcPr>
          <w:p w14:paraId="378854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5,0 м/с</w:t>
            </w:r>
          </w:p>
        </w:tc>
        <w:tc>
          <w:tcPr>
            <w:tcW w:w="1718" w:type="dxa"/>
            <w:tcBorders>
              <w:top w:val="single" w:sz="6" w:space="0" w:color="auto"/>
              <w:left w:val="single" w:sz="6" w:space="0" w:color="auto"/>
              <w:bottom w:val="single" w:sz="6" w:space="0" w:color="auto"/>
              <w:right w:val="single" w:sz="6" w:space="0" w:color="auto"/>
            </w:tcBorders>
          </w:tcPr>
          <w:p w14:paraId="040D2C8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2,8 м/с</w:t>
            </w:r>
          </w:p>
        </w:tc>
        <w:tc>
          <w:tcPr>
            <w:tcW w:w="1718" w:type="dxa"/>
            <w:tcBorders>
              <w:top w:val="single" w:sz="6" w:space="0" w:color="auto"/>
              <w:left w:val="single" w:sz="6" w:space="0" w:color="auto"/>
              <w:bottom w:val="single" w:sz="6" w:space="0" w:color="auto"/>
              <w:right w:val="single" w:sz="12" w:space="0" w:color="auto"/>
            </w:tcBorders>
          </w:tcPr>
          <w:p w14:paraId="0871D4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0,3 м/с</w:t>
            </w:r>
          </w:p>
        </w:tc>
      </w:tr>
      <w:tr w:rsidR="009B487A" w:rsidRPr="00722885" w14:paraId="22A8FA51" w14:textId="77777777" w:rsidTr="00CC5360">
        <w:tc>
          <w:tcPr>
            <w:tcW w:w="1718" w:type="dxa"/>
            <w:tcBorders>
              <w:top w:val="single" w:sz="6" w:space="0" w:color="auto"/>
              <w:left w:val="single" w:sz="12" w:space="0" w:color="auto"/>
              <w:bottom w:val="single" w:sz="6" w:space="0" w:color="auto"/>
              <w:right w:val="single" w:sz="6" w:space="0" w:color="auto"/>
            </w:tcBorders>
          </w:tcPr>
          <w:p w14:paraId="45AD9CE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Характеристики вооружения</w:t>
            </w:r>
          </w:p>
        </w:tc>
        <w:tc>
          <w:tcPr>
            <w:tcW w:w="1718" w:type="dxa"/>
            <w:tcBorders>
              <w:top w:val="single" w:sz="6" w:space="0" w:color="auto"/>
              <w:left w:val="single" w:sz="6" w:space="0" w:color="auto"/>
              <w:bottom w:val="single" w:sz="6" w:space="0" w:color="auto"/>
              <w:right w:val="single" w:sz="6" w:space="0" w:color="auto"/>
            </w:tcBorders>
          </w:tcPr>
          <w:p w14:paraId="30685BC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E959452"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3B67DC04"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A70513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61E82A3B"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1159316" w14:textId="77777777" w:rsidTr="00CC5360">
        <w:tc>
          <w:tcPr>
            <w:tcW w:w="1718" w:type="dxa"/>
            <w:tcBorders>
              <w:top w:val="single" w:sz="6" w:space="0" w:color="auto"/>
              <w:left w:val="single" w:sz="12" w:space="0" w:color="auto"/>
              <w:bottom w:val="single" w:sz="6" w:space="0" w:color="auto"/>
              <w:right w:val="single" w:sz="6" w:space="0" w:color="auto"/>
            </w:tcBorders>
          </w:tcPr>
          <w:p w14:paraId="4797C9F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Секунд, залп, кг/с (1хУБ и 2хШКАС синхронные)</w:t>
            </w:r>
          </w:p>
        </w:tc>
        <w:tc>
          <w:tcPr>
            <w:tcW w:w="1718" w:type="dxa"/>
            <w:tcBorders>
              <w:top w:val="single" w:sz="6" w:space="0" w:color="auto"/>
              <w:left w:val="single" w:sz="6" w:space="0" w:color="auto"/>
              <w:bottom w:val="single" w:sz="6" w:space="0" w:color="auto"/>
              <w:right w:val="single" w:sz="6" w:space="0" w:color="auto"/>
            </w:tcBorders>
          </w:tcPr>
          <w:p w14:paraId="252B1E8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0,881</w:t>
            </w:r>
          </w:p>
        </w:tc>
        <w:tc>
          <w:tcPr>
            <w:tcW w:w="1718" w:type="dxa"/>
            <w:tcBorders>
              <w:top w:val="single" w:sz="6" w:space="0" w:color="auto"/>
              <w:left w:val="single" w:sz="6" w:space="0" w:color="auto"/>
              <w:bottom w:val="single" w:sz="6" w:space="0" w:color="auto"/>
              <w:right w:val="single" w:sz="6" w:space="0" w:color="auto"/>
            </w:tcBorders>
          </w:tcPr>
          <w:p w14:paraId="02401F0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0,719 кг/с</w:t>
            </w:r>
          </w:p>
        </w:tc>
        <w:tc>
          <w:tcPr>
            <w:tcW w:w="1718" w:type="dxa"/>
            <w:tcBorders>
              <w:top w:val="single" w:sz="6" w:space="0" w:color="auto"/>
              <w:left w:val="single" w:sz="6" w:space="0" w:color="auto"/>
              <w:bottom w:val="single" w:sz="6" w:space="0" w:color="auto"/>
              <w:right w:val="single" w:sz="6" w:space="0" w:color="auto"/>
            </w:tcBorders>
          </w:tcPr>
          <w:p w14:paraId="70F3298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1,2 кг/с</w:t>
            </w:r>
          </w:p>
        </w:tc>
        <w:tc>
          <w:tcPr>
            <w:tcW w:w="1718" w:type="dxa"/>
            <w:tcBorders>
              <w:top w:val="single" w:sz="6" w:space="0" w:color="auto"/>
              <w:left w:val="single" w:sz="6" w:space="0" w:color="auto"/>
              <w:bottom w:val="single" w:sz="6" w:space="0" w:color="auto"/>
              <w:right w:val="single" w:sz="6" w:space="0" w:color="auto"/>
            </w:tcBorders>
          </w:tcPr>
          <w:p w14:paraId="3B8D260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1,6 кг/с</w:t>
            </w:r>
          </w:p>
        </w:tc>
        <w:tc>
          <w:tcPr>
            <w:tcW w:w="1718" w:type="dxa"/>
            <w:tcBorders>
              <w:top w:val="single" w:sz="6" w:space="0" w:color="auto"/>
              <w:left w:val="single" w:sz="6" w:space="0" w:color="auto"/>
              <w:bottom w:val="single" w:sz="6" w:space="0" w:color="auto"/>
              <w:right w:val="single" w:sz="12" w:space="0" w:color="auto"/>
            </w:tcBorders>
          </w:tcPr>
          <w:p w14:paraId="30F84F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0,4 кг/с</w:t>
            </w:r>
          </w:p>
        </w:tc>
      </w:tr>
      <w:tr w:rsidR="009B487A" w:rsidRPr="00722885" w14:paraId="3F0275C7" w14:textId="77777777" w:rsidTr="00CC5360">
        <w:tc>
          <w:tcPr>
            <w:tcW w:w="1718" w:type="dxa"/>
            <w:tcBorders>
              <w:top w:val="single" w:sz="6" w:space="0" w:color="auto"/>
              <w:left w:val="single" w:sz="12" w:space="0" w:color="auto"/>
              <w:bottom w:val="single" w:sz="6" w:space="0" w:color="auto"/>
              <w:right w:val="single" w:sz="6" w:space="0" w:color="auto"/>
            </w:tcBorders>
          </w:tcPr>
          <w:p w14:paraId="73B89AC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Дульная мощность сумм., л.с. (1хУБ и 2хШКАС синхронные)</w:t>
            </w:r>
          </w:p>
        </w:tc>
        <w:tc>
          <w:tcPr>
            <w:tcW w:w="1718" w:type="dxa"/>
            <w:tcBorders>
              <w:top w:val="single" w:sz="6" w:space="0" w:color="auto"/>
              <w:left w:val="single" w:sz="6" w:space="0" w:color="auto"/>
              <w:bottom w:val="single" w:sz="6" w:space="0" w:color="auto"/>
              <w:right w:val="single" w:sz="6" w:space="0" w:color="auto"/>
            </w:tcBorders>
          </w:tcPr>
          <w:p w14:paraId="0C1641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428</w:t>
            </w:r>
          </w:p>
        </w:tc>
        <w:tc>
          <w:tcPr>
            <w:tcW w:w="1718" w:type="dxa"/>
            <w:tcBorders>
              <w:top w:val="single" w:sz="6" w:space="0" w:color="auto"/>
              <w:left w:val="single" w:sz="6" w:space="0" w:color="auto"/>
              <w:bottom w:val="single" w:sz="6" w:space="0" w:color="auto"/>
              <w:right w:val="single" w:sz="6" w:space="0" w:color="auto"/>
            </w:tcBorders>
          </w:tcPr>
          <w:p w14:paraId="4CC850C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226 л.с.</w:t>
            </w:r>
          </w:p>
        </w:tc>
        <w:tc>
          <w:tcPr>
            <w:tcW w:w="1718" w:type="dxa"/>
            <w:tcBorders>
              <w:top w:val="single" w:sz="6" w:space="0" w:color="auto"/>
              <w:left w:val="single" w:sz="6" w:space="0" w:color="auto"/>
              <w:bottom w:val="single" w:sz="6" w:space="0" w:color="auto"/>
              <w:right w:val="single" w:sz="6" w:space="0" w:color="auto"/>
            </w:tcBorders>
          </w:tcPr>
          <w:p w14:paraId="3BCFA97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483 л.с.</w:t>
            </w:r>
          </w:p>
        </w:tc>
        <w:tc>
          <w:tcPr>
            <w:tcW w:w="1718" w:type="dxa"/>
            <w:tcBorders>
              <w:top w:val="single" w:sz="6" w:space="0" w:color="auto"/>
              <w:left w:val="single" w:sz="6" w:space="0" w:color="auto"/>
              <w:bottom w:val="single" w:sz="6" w:space="0" w:color="auto"/>
              <w:right w:val="single" w:sz="6" w:space="0" w:color="auto"/>
            </w:tcBorders>
          </w:tcPr>
          <w:p w14:paraId="28A5763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хуже на 225 л.с.</w:t>
            </w:r>
          </w:p>
        </w:tc>
        <w:tc>
          <w:tcPr>
            <w:tcW w:w="1718" w:type="dxa"/>
            <w:tcBorders>
              <w:top w:val="single" w:sz="6" w:space="0" w:color="auto"/>
              <w:left w:val="single" w:sz="6" w:space="0" w:color="auto"/>
              <w:bottom w:val="single" w:sz="6" w:space="0" w:color="auto"/>
              <w:right w:val="single" w:sz="12" w:space="0" w:color="auto"/>
            </w:tcBorders>
          </w:tcPr>
          <w:p w14:paraId="6EB55E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109 л.с.</w:t>
            </w:r>
          </w:p>
        </w:tc>
      </w:tr>
      <w:tr w:rsidR="009B487A" w:rsidRPr="00722885" w14:paraId="70BEE868" w14:textId="77777777" w:rsidTr="00CC5360">
        <w:tc>
          <w:tcPr>
            <w:tcW w:w="1718" w:type="dxa"/>
            <w:tcBorders>
              <w:top w:val="single" w:sz="6" w:space="0" w:color="auto"/>
              <w:left w:val="single" w:sz="12" w:space="0" w:color="auto"/>
              <w:bottom w:val="single" w:sz="6" w:space="0" w:color="auto"/>
              <w:right w:val="single" w:sz="6" w:space="0" w:color="auto"/>
            </w:tcBorders>
          </w:tcPr>
          <w:p w14:paraId="5C6D19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Секунд, залп, кг/с (1хУБ и 2хШКАС синхр.,</w:t>
            </w:r>
          </w:p>
        </w:tc>
        <w:tc>
          <w:tcPr>
            <w:tcW w:w="1718" w:type="dxa"/>
            <w:tcBorders>
              <w:top w:val="single" w:sz="6" w:space="0" w:color="auto"/>
              <w:left w:val="single" w:sz="6" w:space="0" w:color="auto"/>
              <w:bottom w:val="single" w:sz="6" w:space="0" w:color="auto"/>
              <w:right w:val="single" w:sz="6" w:space="0" w:color="auto"/>
            </w:tcBorders>
          </w:tcPr>
          <w:p w14:paraId="607DE4A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58B98AF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6116388B"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C84198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62D3C1CE"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5656F65F" w14:textId="77777777" w:rsidTr="00CC5360">
        <w:tc>
          <w:tcPr>
            <w:tcW w:w="1718" w:type="dxa"/>
            <w:tcBorders>
              <w:top w:val="single" w:sz="6" w:space="0" w:color="auto"/>
              <w:left w:val="single" w:sz="12" w:space="0" w:color="auto"/>
              <w:bottom w:val="single" w:sz="6" w:space="0" w:color="auto"/>
              <w:right w:val="single" w:sz="6" w:space="0" w:color="auto"/>
            </w:tcBorders>
          </w:tcPr>
          <w:p w14:paraId="66E6BF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2хБК крыльев.)</w:t>
            </w:r>
          </w:p>
        </w:tc>
        <w:tc>
          <w:tcPr>
            <w:tcW w:w="1718" w:type="dxa"/>
            <w:tcBorders>
              <w:top w:val="single" w:sz="6" w:space="0" w:color="auto"/>
              <w:left w:val="single" w:sz="6" w:space="0" w:color="auto"/>
              <w:bottom w:val="single" w:sz="6" w:space="0" w:color="auto"/>
              <w:right w:val="single" w:sz="6" w:space="0" w:color="auto"/>
            </w:tcBorders>
          </w:tcPr>
          <w:p w14:paraId="3D4173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2,48</w:t>
            </w:r>
          </w:p>
        </w:tc>
        <w:tc>
          <w:tcPr>
            <w:tcW w:w="1718" w:type="dxa"/>
            <w:tcBorders>
              <w:top w:val="single" w:sz="6" w:space="0" w:color="auto"/>
              <w:left w:val="single" w:sz="6" w:space="0" w:color="auto"/>
              <w:bottom w:val="single" w:sz="6" w:space="0" w:color="auto"/>
              <w:right w:val="single" w:sz="6" w:space="0" w:color="auto"/>
            </w:tcBorders>
          </w:tcPr>
          <w:p w14:paraId="12F3E2A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0,88 кг/с</w:t>
            </w:r>
          </w:p>
        </w:tc>
        <w:tc>
          <w:tcPr>
            <w:tcW w:w="1718" w:type="dxa"/>
            <w:tcBorders>
              <w:top w:val="single" w:sz="6" w:space="0" w:color="auto"/>
              <w:left w:val="single" w:sz="6" w:space="0" w:color="auto"/>
              <w:bottom w:val="single" w:sz="6" w:space="0" w:color="auto"/>
              <w:right w:val="single" w:sz="6" w:space="0" w:color="auto"/>
            </w:tcBorders>
          </w:tcPr>
          <w:p w14:paraId="314BAE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0,4 кг/с</w:t>
            </w:r>
          </w:p>
        </w:tc>
        <w:tc>
          <w:tcPr>
            <w:tcW w:w="1718" w:type="dxa"/>
            <w:tcBorders>
              <w:top w:val="single" w:sz="6" w:space="0" w:color="auto"/>
              <w:left w:val="single" w:sz="6" w:space="0" w:color="auto"/>
              <w:bottom w:val="single" w:sz="6" w:space="0" w:color="auto"/>
              <w:right w:val="single" w:sz="6" w:space="0" w:color="auto"/>
            </w:tcBorders>
          </w:tcPr>
          <w:p w14:paraId="3F6628C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равен</w:t>
            </w:r>
          </w:p>
        </w:tc>
        <w:tc>
          <w:tcPr>
            <w:tcW w:w="1718" w:type="dxa"/>
            <w:tcBorders>
              <w:top w:val="single" w:sz="6" w:space="0" w:color="auto"/>
              <w:left w:val="single" w:sz="6" w:space="0" w:color="auto"/>
              <w:bottom w:val="single" w:sz="6" w:space="0" w:color="auto"/>
              <w:right w:val="single" w:sz="12" w:space="0" w:color="auto"/>
            </w:tcBorders>
          </w:tcPr>
          <w:p w14:paraId="4D371CC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1,2 кг/с</w:t>
            </w:r>
          </w:p>
        </w:tc>
      </w:tr>
      <w:tr w:rsidR="009B487A" w:rsidRPr="00722885" w14:paraId="1E592CE3" w14:textId="77777777" w:rsidTr="00CC5360">
        <w:tc>
          <w:tcPr>
            <w:tcW w:w="1718" w:type="dxa"/>
            <w:tcBorders>
              <w:top w:val="single" w:sz="6" w:space="0" w:color="auto"/>
              <w:left w:val="single" w:sz="12" w:space="0" w:color="auto"/>
              <w:bottom w:val="single" w:sz="12" w:space="0" w:color="auto"/>
              <w:right w:val="single" w:sz="6" w:space="0" w:color="auto"/>
            </w:tcBorders>
          </w:tcPr>
          <w:p w14:paraId="613687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Дульная мощность сумм., л.с. (1хУБ и 2хШКАС синхронные, 2хБК крыльевые)</w:t>
            </w:r>
          </w:p>
        </w:tc>
        <w:tc>
          <w:tcPr>
            <w:tcW w:w="1718" w:type="dxa"/>
            <w:tcBorders>
              <w:top w:val="single" w:sz="6" w:space="0" w:color="auto"/>
              <w:left w:val="single" w:sz="6" w:space="0" w:color="auto"/>
              <w:bottom w:val="single" w:sz="12" w:space="0" w:color="auto"/>
              <w:right w:val="single" w:sz="6" w:space="0" w:color="auto"/>
            </w:tcBorders>
          </w:tcPr>
          <w:p w14:paraId="0400110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1232</w:t>
            </w:r>
          </w:p>
        </w:tc>
        <w:tc>
          <w:tcPr>
            <w:tcW w:w="1718" w:type="dxa"/>
            <w:tcBorders>
              <w:top w:val="single" w:sz="6" w:space="0" w:color="auto"/>
              <w:left w:val="single" w:sz="6" w:space="0" w:color="auto"/>
              <w:bottom w:val="single" w:sz="12" w:space="0" w:color="auto"/>
              <w:right w:val="single" w:sz="6" w:space="0" w:color="auto"/>
            </w:tcBorders>
          </w:tcPr>
          <w:p w14:paraId="1199115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578 л.с.</w:t>
            </w:r>
          </w:p>
        </w:tc>
        <w:tc>
          <w:tcPr>
            <w:tcW w:w="1718" w:type="dxa"/>
            <w:tcBorders>
              <w:top w:val="single" w:sz="6" w:space="0" w:color="auto"/>
              <w:left w:val="single" w:sz="6" w:space="0" w:color="auto"/>
              <w:bottom w:val="single" w:sz="12" w:space="0" w:color="auto"/>
              <w:right w:val="single" w:sz="6" w:space="0" w:color="auto"/>
            </w:tcBorders>
          </w:tcPr>
          <w:p w14:paraId="383AA5A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321 л.с.</w:t>
            </w:r>
          </w:p>
        </w:tc>
        <w:tc>
          <w:tcPr>
            <w:tcW w:w="1718" w:type="dxa"/>
            <w:tcBorders>
              <w:top w:val="single" w:sz="6" w:space="0" w:color="auto"/>
              <w:left w:val="single" w:sz="6" w:space="0" w:color="auto"/>
              <w:bottom w:val="single" w:sz="12" w:space="0" w:color="auto"/>
              <w:right w:val="single" w:sz="6" w:space="0" w:color="auto"/>
            </w:tcBorders>
          </w:tcPr>
          <w:p w14:paraId="3CF28F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579 л.с.</w:t>
            </w:r>
          </w:p>
        </w:tc>
        <w:tc>
          <w:tcPr>
            <w:tcW w:w="1718" w:type="dxa"/>
            <w:tcBorders>
              <w:top w:val="single" w:sz="6" w:space="0" w:color="auto"/>
              <w:left w:val="single" w:sz="6" w:space="0" w:color="auto"/>
              <w:bottom w:val="single" w:sz="12" w:space="0" w:color="auto"/>
              <w:right w:val="single" w:sz="12" w:space="0" w:color="auto"/>
            </w:tcBorders>
          </w:tcPr>
          <w:p w14:paraId="407332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лучше на 914 л.с.</w:t>
            </w:r>
          </w:p>
        </w:tc>
      </w:tr>
    </w:tbl>
    <w:p w14:paraId="5E1BC4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Примечание:</w:t>
      </w:r>
    </w:p>
    <w:p w14:paraId="6A5F78D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ТТХ самолета МиГ-Зданы в 3-точечном варианте вооружения.</w:t>
      </w:r>
    </w:p>
    <w:p w14:paraId="6BACA74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ТТХ самолета Bf 109Е-Зданы без вооружения, как самолет испытывался в НИИ ВВС.</w:t>
      </w:r>
    </w:p>
    <w:p w14:paraId="599A255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Вооружение самолета Bf 109Е-3 - 2 крыльевые пушки MG FF(20 мм) и 2 синхронных пулемета MG 17(7,92 мм).</w:t>
      </w:r>
    </w:p>
    <w:p w14:paraId="0997264B" w14:textId="77777777" w:rsidR="00AE7191" w:rsidRPr="00722885" w:rsidRDefault="00AE7191" w:rsidP="00722885">
      <w:pPr>
        <w:pStyle w:val="1f2"/>
        <w:shd w:val="clear" w:color="auto" w:fill="auto"/>
        <w:spacing w:line="240" w:lineRule="auto"/>
        <w:jc w:val="both"/>
        <w:rPr>
          <w:rFonts w:ascii="Times New Roman" w:hAnsi="Times New Roman" w:cs="Times New Roman"/>
          <w:i w:val="0"/>
          <w:iCs w:val="0"/>
          <w:color w:val="000000" w:themeColor="text1"/>
          <w:spacing w:val="0"/>
          <w:sz w:val="16"/>
          <w:szCs w:val="16"/>
        </w:rPr>
      </w:pPr>
      <w:r w:rsidRPr="00722885">
        <w:rPr>
          <w:rFonts w:ascii="Times New Roman" w:hAnsi="Times New Roman" w:cs="Times New Roman"/>
          <w:i w:val="0"/>
          <w:iCs w:val="0"/>
          <w:color w:val="000000" w:themeColor="text1"/>
          <w:spacing w:val="0"/>
          <w:sz w:val="16"/>
          <w:szCs w:val="16"/>
        </w:rPr>
        <w:t>Основные летно-технические характеристики истребителей МиГ-1 и МиГ-3</w:t>
      </w:r>
    </w:p>
    <w:tbl>
      <w:tblPr>
        <w:tblW w:w="0" w:type="auto"/>
        <w:tblInd w:w="8" w:type="dxa"/>
        <w:tblLayout w:type="fixed"/>
        <w:tblCellMar>
          <w:left w:w="0" w:type="dxa"/>
          <w:right w:w="0" w:type="dxa"/>
        </w:tblCellMar>
        <w:tblLook w:val="0000" w:firstRow="0" w:lastRow="0" w:firstColumn="0" w:lastColumn="0" w:noHBand="0" w:noVBand="0"/>
      </w:tblPr>
      <w:tblGrid>
        <w:gridCol w:w="2819"/>
        <w:gridCol w:w="1670"/>
        <w:gridCol w:w="979"/>
        <w:gridCol w:w="1991"/>
        <w:gridCol w:w="1966"/>
        <w:gridCol w:w="1098"/>
      </w:tblGrid>
      <w:tr w:rsidR="009B487A" w:rsidRPr="00722885" w14:paraId="33B13021" w14:textId="77777777" w:rsidTr="00CC5360">
        <w:trPr>
          <w:trHeight w:val="432"/>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6A4BAC1"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789D37BB" w14:textId="77777777" w:rsidR="00AE7191" w:rsidRPr="00722885" w:rsidRDefault="00AE7191" w:rsidP="00722885">
            <w:pPr>
              <w:pStyle w:val="312"/>
              <w:shd w:val="clear" w:color="auto" w:fill="auto"/>
              <w:spacing w:line="240" w:lineRule="auto"/>
              <w:jc w:val="both"/>
              <w:rPr>
                <w:b w:val="0"/>
                <w:i w:val="0"/>
                <w:iCs w:val="0"/>
                <w:color w:val="000000" w:themeColor="text1"/>
                <w:sz w:val="16"/>
                <w:szCs w:val="16"/>
              </w:rPr>
            </w:pPr>
            <w:r w:rsidRPr="00722885">
              <w:rPr>
                <w:b w:val="0"/>
                <w:i w:val="0"/>
                <w:iCs w:val="0"/>
                <w:color w:val="000000" w:themeColor="text1"/>
                <w:sz w:val="16"/>
                <w:szCs w:val="16"/>
              </w:rPr>
              <w:t>И-200 1-й опытн.</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426FF4EC" w14:textId="77777777" w:rsidR="00AE7191" w:rsidRPr="00722885" w:rsidRDefault="00AE7191" w:rsidP="00722885">
            <w:pPr>
              <w:pStyle w:val="312"/>
              <w:shd w:val="clear" w:color="auto" w:fill="auto"/>
              <w:spacing w:line="240" w:lineRule="auto"/>
              <w:jc w:val="both"/>
              <w:rPr>
                <w:b w:val="0"/>
                <w:i w:val="0"/>
                <w:iCs w:val="0"/>
                <w:color w:val="000000" w:themeColor="text1"/>
                <w:sz w:val="16"/>
                <w:szCs w:val="16"/>
              </w:rPr>
            </w:pPr>
            <w:r w:rsidRPr="00722885">
              <w:rPr>
                <w:b w:val="0"/>
                <w:i w:val="0"/>
                <w:iCs w:val="0"/>
                <w:color w:val="000000" w:themeColor="text1"/>
                <w:sz w:val="16"/>
                <w:szCs w:val="16"/>
              </w:rPr>
              <w:t>МиГ-1</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5C13E277" w14:textId="77777777" w:rsidR="00AE7191" w:rsidRPr="00722885" w:rsidRDefault="00AE7191" w:rsidP="00722885">
            <w:pPr>
              <w:pStyle w:val="312"/>
              <w:shd w:val="clear" w:color="auto" w:fill="auto"/>
              <w:spacing w:line="240" w:lineRule="auto"/>
              <w:jc w:val="both"/>
              <w:rPr>
                <w:b w:val="0"/>
                <w:i w:val="0"/>
                <w:iCs w:val="0"/>
                <w:color w:val="000000" w:themeColor="text1"/>
                <w:sz w:val="16"/>
                <w:szCs w:val="16"/>
              </w:rPr>
            </w:pPr>
            <w:r w:rsidRPr="00722885">
              <w:rPr>
                <w:b w:val="0"/>
                <w:i w:val="0"/>
                <w:iCs w:val="0"/>
                <w:color w:val="000000" w:themeColor="text1"/>
                <w:sz w:val="16"/>
                <w:szCs w:val="16"/>
              </w:rPr>
              <w:t>МиГ-3 ранних серий</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01E3DC2E" w14:textId="77777777" w:rsidR="00AE7191" w:rsidRPr="00722885" w:rsidRDefault="00AE7191" w:rsidP="00722885">
            <w:pPr>
              <w:pStyle w:val="312"/>
              <w:shd w:val="clear" w:color="auto" w:fill="auto"/>
              <w:spacing w:line="240" w:lineRule="auto"/>
              <w:jc w:val="both"/>
              <w:rPr>
                <w:b w:val="0"/>
                <w:i w:val="0"/>
                <w:iCs w:val="0"/>
                <w:color w:val="000000" w:themeColor="text1"/>
                <w:sz w:val="16"/>
                <w:szCs w:val="16"/>
                <w:lang w:val="ru-RU"/>
              </w:rPr>
            </w:pPr>
            <w:r w:rsidRPr="00722885">
              <w:rPr>
                <w:b w:val="0"/>
                <w:i w:val="0"/>
                <w:iCs w:val="0"/>
                <w:color w:val="000000" w:themeColor="text1"/>
                <w:sz w:val="16"/>
                <w:szCs w:val="16"/>
                <w:lang w:val="ru-RU"/>
              </w:rPr>
              <w:t>МиГ-3 поздних серий (с предкрылками)</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1D82883C" w14:textId="77777777" w:rsidR="00AE7191" w:rsidRPr="00722885" w:rsidRDefault="00AE7191" w:rsidP="00722885">
            <w:pPr>
              <w:pStyle w:val="312"/>
              <w:shd w:val="clear" w:color="auto" w:fill="auto"/>
              <w:spacing w:line="240" w:lineRule="auto"/>
              <w:jc w:val="both"/>
              <w:rPr>
                <w:b w:val="0"/>
                <w:i w:val="0"/>
                <w:iCs w:val="0"/>
                <w:color w:val="000000" w:themeColor="text1"/>
                <w:sz w:val="16"/>
                <w:szCs w:val="16"/>
              </w:rPr>
            </w:pPr>
            <w:r w:rsidRPr="00722885">
              <w:rPr>
                <w:b w:val="0"/>
                <w:i w:val="0"/>
                <w:iCs w:val="0"/>
                <w:color w:val="000000" w:themeColor="text1"/>
                <w:sz w:val="16"/>
                <w:szCs w:val="16"/>
              </w:rPr>
              <w:t>МиГ-9</w:t>
            </w:r>
          </w:p>
        </w:tc>
      </w:tr>
      <w:tr w:rsidR="009B487A" w:rsidRPr="00722885" w14:paraId="7D6FF43E"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2F9033A9" w14:textId="77777777" w:rsidR="00AE7191" w:rsidRPr="00722885" w:rsidRDefault="00AE7191" w:rsidP="00722885">
            <w:pPr>
              <w:pStyle w:val="a3"/>
              <w:rPr>
                <w:color w:val="000000" w:themeColor="text1"/>
              </w:rPr>
            </w:pPr>
            <w:r w:rsidRPr="00722885">
              <w:rPr>
                <w:color w:val="000000" w:themeColor="text1"/>
              </w:rPr>
              <w:t>Размах крыла, м</w:t>
            </w:r>
          </w:p>
        </w:tc>
        <w:tc>
          <w:tcPr>
            <w:tcW w:w="7704" w:type="dxa"/>
            <w:gridSpan w:val="5"/>
            <w:tcBorders>
              <w:top w:val="single" w:sz="6" w:space="0" w:color="auto"/>
              <w:left w:val="single" w:sz="6" w:space="0" w:color="auto"/>
              <w:bottom w:val="single" w:sz="6" w:space="0" w:color="auto"/>
              <w:right w:val="single" w:sz="6" w:space="0" w:color="auto"/>
            </w:tcBorders>
            <w:shd w:val="clear" w:color="auto" w:fill="FFFFFF"/>
          </w:tcPr>
          <w:p w14:paraId="4A1AB3C9" w14:textId="77777777" w:rsidR="00AE7191" w:rsidRPr="00722885" w:rsidRDefault="00AE7191" w:rsidP="00722885">
            <w:pPr>
              <w:pStyle w:val="a3"/>
              <w:rPr>
                <w:color w:val="000000" w:themeColor="text1"/>
              </w:rPr>
            </w:pPr>
            <w:r w:rsidRPr="00722885">
              <w:rPr>
                <w:color w:val="000000" w:themeColor="text1"/>
              </w:rPr>
              <w:t>10,2</w:t>
            </w:r>
          </w:p>
        </w:tc>
      </w:tr>
      <w:tr w:rsidR="009B487A" w:rsidRPr="00722885" w14:paraId="2EE0F133"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4AF9E0A4" w14:textId="77777777" w:rsidR="00AE7191" w:rsidRPr="00722885" w:rsidRDefault="00AE7191" w:rsidP="00722885">
            <w:pPr>
              <w:pStyle w:val="a3"/>
              <w:rPr>
                <w:color w:val="000000" w:themeColor="text1"/>
                <w:lang w:val="ru-RU"/>
              </w:rPr>
            </w:pPr>
            <w:r w:rsidRPr="00722885">
              <w:rPr>
                <w:color w:val="000000" w:themeColor="text1"/>
                <w:lang w:val="ru-RU"/>
              </w:rPr>
              <w:t>Длина в линии полета, м</w:t>
            </w:r>
          </w:p>
        </w:tc>
        <w:tc>
          <w:tcPr>
            <w:tcW w:w="2649" w:type="dxa"/>
            <w:gridSpan w:val="2"/>
            <w:tcBorders>
              <w:top w:val="single" w:sz="6" w:space="0" w:color="auto"/>
              <w:left w:val="single" w:sz="6" w:space="0" w:color="auto"/>
              <w:bottom w:val="single" w:sz="6" w:space="0" w:color="auto"/>
              <w:right w:val="single" w:sz="6" w:space="0" w:color="auto"/>
            </w:tcBorders>
            <w:shd w:val="clear" w:color="auto" w:fill="FFFFFF"/>
          </w:tcPr>
          <w:p w14:paraId="6F2BBFA1" w14:textId="77777777" w:rsidR="00AE7191" w:rsidRPr="00722885" w:rsidRDefault="00AE7191" w:rsidP="00722885">
            <w:pPr>
              <w:pStyle w:val="a3"/>
              <w:rPr>
                <w:color w:val="000000" w:themeColor="text1"/>
              </w:rPr>
            </w:pPr>
            <w:r w:rsidRPr="00722885">
              <w:rPr>
                <w:color w:val="000000" w:themeColor="text1"/>
              </w:rPr>
              <w:t>8,15</w:t>
            </w:r>
          </w:p>
        </w:tc>
        <w:tc>
          <w:tcPr>
            <w:tcW w:w="3957" w:type="dxa"/>
            <w:gridSpan w:val="2"/>
            <w:tcBorders>
              <w:top w:val="single" w:sz="6" w:space="0" w:color="auto"/>
              <w:left w:val="single" w:sz="6" w:space="0" w:color="auto"/>
              <w:bottom w:val="single" w:sz="6" w:space="0" w:color="auto"/>
              <w:right w:val="single" w:sz="6" w:space="0" w:color="auto"/>
            </w:tcBorders>
            <w:shd w:val="clear" w:color="auto" w:fill="FFFFFF"/>
          </w:tcPr>
          <w:p w14:paraId="7C636B56" w14:textId="77777777" w:rsidR="00AE7191" w:rsidRPr="00722885" w:rsidRDefault="00AE7191" w:rsidP="00722885">
            <w:pPr>
              <w:pStyle w:val="a3"/>
              <w:rPr>
                <w:color w:val="000000" w:themeColor="text1"/>
              </w:rPr>
            </w:pPr>
            <w:r w:rsidRPr="00722885">
              <w:rPr>
                <w:color w:val="000000" w:themeColor="text1"/>
              </w:rPr>
              <w:t>8,25</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0D19B928" w14:textId="77777777" w:rsidR="00AE7191" w:rsidRPr="00722885" w:rsidRDefault="00AE7191" w:rsidP="00722885">
            <w:pPr>
              <w:pStyle w:val="a3"/>
              <w:rPr>
                <w:color w:val="000000" w:themeColor="text1"/>
              </w:rPr>
            </w:pPr>
            <w:r w:rsidRPr="00722885">
              <w:rPr>
                <w:color w:val="000000" w:themeColor="text1"/>
              </w:rPr>
              <w:t>8,078</w:t>
            </w:r>
          </w:p>
        </w:tc>
      </w:tr>
      <w:tr w:rsidR="009B487A" w:rsidRPr="00722885" w14:paraId="343BEA37" w14:textId="77777777" w:rsidTr="00CC5360">
        <w:trPr>
          <w:trHeight w:val="263"/>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691F7D0" w14:textId="77777777" w:rsidR="00AE7191" w:rsidRPr="00722885" w:rsidRDefault="00AE7191" w:rsidP="00722885">
            <w:pPr>
              <w:pStyle w:val="a3"/>
              <w:rPr>
                <w:color w:val="000000" w:themeColor="text1"/>
                <w:lang w:val="ru-RU"/>
              </w:rPr>
            </w:pPr>
            <w:r w:rsidRPr="00722885">
              <w:rPr>
                <w:color w:val="000000" w:themeColor="text1"/>
                <w:lang w:val="ru-RU"/>
              </w:rPr>
              <w:t>Высота на стоянке с учетом ВВ, м</w:t>
            </w:r>
          </w:p>
        </w:tc>
        <w:tc>
          <w:tcPr>
            <w:tcW w:w="7704" w:type="dxa"/>
            <w:gridSpan w:val="5"/>
            <w:tcBorders>
              <w:top w:val="single" w:sz="6" w:space="0" w:color="auto"/>
              <w:left w:val="single" w:sz="6" w:space="0" w:color="auto"/>
              <w:bottom w:val="single" w:sz="6" w:space="0" w:color="auto"/>
              <w:right w:val="single" w:sz="6" w:space="0" w:color="auto"/>
            </w:tcBorders>
            <w:shd w:val="clear" w:color="auto" w:fill="FFFFFF"/>
          </w:tcPr>
          <w:p w14:paraId="28DCA893" w14:textId="77777777" w:rsidR="00AE7191" w:rsidRPr="00722885" w:rsidRDefault="00AE7191" w:rsidP="00722885">
            <w:pPr>
              <w:pStyle w:val="a3"/>
              <w:rPr>
                <w:color w:val="000000" w:themeColor="text1"/>
              </w:rPr>
            </w:pPr>
            <w:r w:rsidRPr="00722885">
              <w:rPr>
                <w:color w:val="000000" w:themeColor="text1"/>
              </w:rPr>
              <w:t>3,71</w:t>
            </w:r>
          </w:p>
        </w:tc>
      </w:tr>
      <w:tr w:rsidR="009B487A" w:rsidRPr="00722885" w14:paraId="7A8B4C98"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79951F83" w14:textId="77777777" w:rsidR="00AE7191" w:rsidRPr="00722885" w:rsidRDefault="00AE7191" w:rsidP="00722885">
            <w:pPr>
              <w:pStyle w:val="a3"/>
              <w:rPr>
                <w:color w:val="000000" w:themeColor="text1"/>
              </w:rPr>
            </w:pPr>
            <w:r w:rsidRPr="00722885">
              <w:rPr>
                <w:color w:val="000000" w:themeColor="text1"/>
              </w:rPr>
              <w:t>Площадь крыла, м''</w:t>
            </w:r>
          </w:p>
        </w:tc>
        <w:tc>
          <w:tcPr>
            <w:tcW w:w="7704" w:type="dxa"/>
            <w:gridSpan w:val="5"/>
            <w:tcBorders>
              <w:top w:val="single" w:sz="6" w:space="0" w:color="auto"/>
              <w:left w:val="single" w:sz="6" w:space="0" w:color="auto"/>
              <w:bottom w:val="single" w:sz="6" w:space="0" w:color="auto"/>
              <w:right w:val="single" w:sz="6" w:space="0" w:color="auto"/>
            </w:tcBorders>
            <w:shd w:val="clear" w:color="auto" w:fill="FFFFFF"/>
          </w:tcPr>
          <w:p w14:paraId="68E6D521" w14:textId="77777777" w:rsidR="00AE7191" w:rsidRPr="00722885" w:rsidRDefault="00AE7191" w:rsidP="00722885">
            <w:pPr>
              <w:pStyle w:val="a3"/>
              <w:rPr>
                <w:color w:val="000000" w:themeColor="text1"/>
              </w:rPr>
            </w:pPr>
            <w:r w:rsidRPr="00722885">
              <w:rPr>
                <w:color w:val="000000" w:themeColor="text1"/>
              </w:rPr>
              <w:t>17,44</w:t>
            </w:r>
          </w:p>
        </w:tc>
      </w:tr>
      <w:tr w:rsidR="009B487A" w:rsidRPr="00722885" w14:paraId="666EBC02" w14:textId="77777777" w:rsidTr="00CC5360">
        <w:trPr>
          <w:trHeight w:val="418"/>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4D065BDA" w14:textId="77777777" w:rsidR="00AE7191" w:rsidRPr="00722885" w:rsidRDefault="00AE7191" w:rsidP="00722885">
            <w:pPr>
              <w:pStyle w:val="a3"/>
              <w:rPr>
                <w:color w:val="000000" w:themeColor="text1"/>
                <w:lang w:val="ru-RU"/>
              </w:rPr>
            </w:pPr>
            <w:r w:rsidRPr="00722885">
              <w:rPr>
                <w:color w:val="000000" w:themeColor="text1"/>
                <w:lang w:val="ru-RU"/>
              </w:rPr>
              <w:t>Двигатель: тип - взлетная мощность, л.с.</w:t>
            </w:r>
          </w:p>
        </w:tc>
        <w:tc>
          <w:tcPr>
            <w:tcW w:w="6606" w:type="dxa"/>
            <w:gridSpan w:val="4"/>
            <w:tcBorders>
              <w:top w:val="single" w:sz="6" w:space="0" w:color="auto"/>
              <w:left w:val="single" w:sz="6" w:space="0" w:color="auto"/>
              <w:bottom w:val="single" w:sz="6" w:space="0" w:color="auto"/>
              <w:right w:val="single" w:sz="6" w:space="0" w:color="auto"/>
            </w:tcBorders>
            <w:shd w:val="clear" w:color="auto" w:fill="FFFFFF"/>
          </w:tcPr>
          <w:p w14:paraId="07FEA51F" w14:textId="77777777" w:rsidR="00AE7191" w:rsidRPr="00722885" w:rsidRDefault="00AE7191" w:rsidP="00722885">
            <w:pPr>
              <w:pStyle w:val="a3"/>
              <w:rPr>
                <w:color w:val="000000" w:themeColor="text1"/>
              </w:rPr>
            </w:pPr>
            <w:r w:rsidRPr="00722885">
              <w:rPr>
                <w:color w:val="000000" w:themeColor="text1"/>
              </w:rPr>
              <w:t>АМ-35А 1350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4F115174" w14:textId="77777777" w:rsidR="00AE7191" w:rsidRPr="00722885" w:rsidRDefault="00AE7191" w:rsidP="00722885">
            <w:pPr>
              <w:pStyle w:val="a3"/>
              <w:rPr>
                <w:color w:val="000000" w:themeColor="text1"/>
              </w:rPr>
            </w:pPr>
            <w:r w:rsidRPr="00722885">
              <w:rPr>
                <w:color w:val="000000" w:themeColor="text1"/>
              </w:rPr>
              <w:t>М-82А 1600</w:t>
            </w:r>
          </w:p>
        </w:tc>
      </w:tr>
      <w:tr w:rsidR="009B487A" w:rsidRPr="00722885" w14:paraId="14D9A2A5" w14:textId="77777777" w:rsidTr="00CC5360">
        <w:trPr>
          <w:trHeight w:val="742"/>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412F9602" w14:textId="77777777" w:rsidR="00AE7191" w:rsidRPr="00722885" w:rsidRDefault="00AE7191" w:rsidP="00722885">
            <w:pPr>
              <w:pStyle w:val="a3"/>
              <w:rPr>
                <w:color w:val="000000" w:themeColor="text1"/>
                <w:lang w:val="ru-RU"/>
              </w:rPr>
            </w:pPr>
            <w:r w:rsidRPr="00722885">
              <w:rPr>
                <w:color w:val="000000" w:themeColor="text1"/>
                <w:lang w:val="ru-RU"/>
              </w:rPr>
              <w:t>Масса, кг:</w:t>
            </w:r>
          </w:p>
          <w:p w14:paraId="599A992D" w14:textId="77777777" w:rsidR="00AE7191" w:rsidRPr="00722885" w:rsidRDefault="00AE7191" w:rsidP="00722885">
            <w:pPr>
              <w:pStyle w:val="a3"/>
              <w:tabs>
                <w:tab w:val="left" w:pos="224"/>
              </w:tabs>
              <w:rPr>
                <w:color w:val="000000" w:themeColor="text1"/>
                <w:lang w:val="ru-RU"/>
              </w:rPr>
            </w:pPr>
            <w:r w:rsidRPr="00722885">
              <w:rPr>
                <w:color w:val="000000" w:themeColor="text1"/>
                <w:lang w:val="ru-RU"/>
              </w:rPr>
              <w:t>-</w:t>
            </w:r>
            <w:r w:rsidRPr="00722885">
              <w:rPr>
                <w:color w:val="000000" w:themeColor="text1"/>
                <w:lang w:val="ru-RU"/>
              </w:rPr>
              <w:tab/>
              <w:t>пустого</w:t>
            </w:r>
          </w:p>
          <w:p w14:paraId="1AF33402" w14:textId="77777777" w:rsidR="00AE7191" w:rsidRPr="00722885" w:rsidRDefault="00AE7191" w:rsidP="00722885">
            <w:pPr>
              <w:pStyle w:val="a3"/>
              <w:tabs>
                <w:tab w:val="left" w:pos="224"/>
              </w:tabs>
              <w:rPr>
                <w:color w:val="000000" w:themeColor="text1"/>
                <w:lang w:val="ru-RU"/>
              </w:rPr>
            </w:pPr>
            <w:r w:rsidRPr="00722885">
              <w:rPr>
                <w:color w:val="000000" w:themeColor="text1"/>
                <w:lang w:val="ru-RU"/>
              </w:rPr>
              <w:t>-</w:t>
            </w:r>
            <w:r w:rsidRPr="00722885">
              <w:rPr>
                <w:color w:val="000000" w:themeColor="text1"/>
                <w:lang w:val="ru-RU"/>
              </w:rPr>
              <w:tab/>
              <w:t>взлетная нормальная</w:t>
            </w:r>
          </w:p>
          <w:p w14:paraId="7F1EF056" w14:textId="77777777" w:rsidR="00AE7191" w:rsidRPr="00722885" w:rsidRDefault="00AE7191" w:rsidP="00722885">
            <w:pPr>
              <w:pStyle w:val="a3"/>
              <w:tabs>
                <w:tab w:val="left" w:pos="224"/>
              </w:tabs>
              <w:rPr>
                <w:color w:val="000000" w:themeColor="text1"/>
                <w:lang w:val="ru-RU"/>
              </w:rPr>
            </w:pPr>
            <w:r w:rsidRPr="00722885">
              <w:rPr>
                <w:color w:val="000000" w:themeColor="text1"/>
                <w:lang w:val="ru-RU"/>
              </w:rPr>
              <w:t>-</w:t>
            </w:r>
            <w:r w:rsidRPr="00722885">
              <w:rPr>
                <w:color w:val="000000" w:themeColor="text1"/>
                <w:lang w:val="ru-RU"/>
              </w:rPr>
              <w:tab/>
              <w:t>взлетная максимальная</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0F71B9C" w14:textId="77777777" w:rsidR="00AE7191" w:rsidRPr="00722885" w:rsidRDefault="00AE7191" w:rsidP="00722885">
            <w:pPr>
              <w:pStyle w:val="a3"/>
              <w:rPr>
                <w:color w:val="000000" w:themeColor="text1"/>
              </w:rPr>
            </w:pPr>
            <w:r w:rsidRPr="00722885">
              <w:rPr>
                <w:color w:val="000000" w:themeColor="text1"/>
              </w:rPr>
              <w:t>2475 2968 н.д.</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02EB1FFE" w14:textId="77777777" w:rsidR="00AE7191" w:rsidRPr="00722885" w:rsidRDefault="00AE7191" w:rsidP="00722885">
            <w:pPr>
              <w:pStyle w:val="a3"/>
              <w:rPr>
                <w:color w:val="000000" w:themeColor="text1"/>
              </w:rPr>
            </w:pPr>
            <w:r w:rsidRPr="00722885">
              <w:rPr>
                <w:color w:val="000000" w:themeColor="text1"/>
              </w:rPr>
              <w:t>2602 3099 н.д.</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11371178" w14:textId="77777777" w:rsidR="00AE7191" w:rsidRPr="00722885" w:rsidRDefault="00AE7191" w:rsidP="00722885">
            <w:pPr>
              <w:pStyle w:val="a3"/>
              <w:rPr>
                <w:color w:val="000000" w:themeColor="text1"/>
              </w:rPr>
            </w:pPr>
            <w:r w:rsidRPr="00722885">
              <w:rPr>
                <w:color w:val="000000" w:themeColor="text1"/>
              </w:rPr>
              <w:t>2699 3355 3555</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08A5D2EF" w14:textId="77777777" w:rsidR="00AE7191" w:rsidRPr="00722885" w:rsidRDefault="00AE7191" w:rsidP="00722885">
            <w:pPr>
              <w:pStyle w:val="a3"/>
              <w:rPr>
                <w:color w:val="000000" w:themeColor="text1"/>
              </w:rPr>
            </w:pPr>
            <w:r w:rsidRPr="00722885">
              <w:rPr>
                <w:color w:val="000000" w:themeColor="text1"/>
              </w:rPr>
              <w:t>Н.д. 3299 3499</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5C99D6FD" w14:textId="77777777" w:rsidR="00AE7191" w:rsidRPr="00722885" w:rsidRDefault="00AE7191" w:rsidP="00722885">
            <w:pPr>
              <w:pStyle w:val="a3"/>
              <w:rPr>
                <w:color w:val="000000" w:themeColor="text1"/>
              </w:rPr>
            </w:pPr>
            <w:r w:rsidRPr="00722885">
              <w:rPr>
                <w:color w:val="000000" w:themeColor="text1"/>
              </w:rPr>
              <w:t>2720 3382 н.д.</w:t>
            </w:r>
          </w:p>
        </w:tc>
      </w:tr>
      <w:tr w:rsidR="009B487A" w:rsidRPr="00722885" w14:paraId="617174A3" w14:textId="77777777" w:rsidTr="00CC5360">
        <w:trPr>
          <w:trHeight w:val="576"/>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7C415BA5" w14:textId="77777777" w:rsidR="00AE7191" w:rsidRPr="00722885" w:rsidRDefault="00AE7191" w:rsidP="00722885">
            <w:pPr>
              <w:pStyle w:val="a3"/>
              <w:rPr>
                <w:color w:val="000000" w:themeColor="text1"/>
                <w:lang w:val="ru-RU"/>
              </w:rPr>
            </w:pPr>
            <w:r w:rsidRPr="00722885">
              <w:rPr>
                <w:color w:val="000000" w:themeColor="text1"/>
                <w:lang w:val="ru-RU"/>
              </w:rPr>
              <w:t>Макс, скорость, км/ч:</w:t>
            </w:r>
          </w:p>
          <w:p w14:paraId="7265C29F" w14:textId="77777777" w:rsidR="00AE7191" w:rsidRPr="00722885" w:rsidRDefault="00AE7191" w:rsidP="00722885">
            <w:pPr>
              <w:pStyle w:val="a3"/>
              <w:tabs>
                <w:tab w:val="left" w:pos="217"/>
              </w:tabs>
              <w:rPr>
                <w:color w:val="000000" w:themeColor="text1"/>
                <w:lang w:val="ru-RU"/>
              </w:rPr>
            </w:pPr>
            <w:r w:rsidRPr="00722885">
              <w:rPr>
                <w:color w:val="000000" w:themeColor="text1"/>
                <w:lang w:val="ru-RU"/>
              </w:rPr>
              <w:t>-</w:t>
            </w:r>
            <w:r w:rsidRPr="00722885">
              <w:rPr>
                <w:color w:val="000000" w:themeColor="text1"/>
                <w:lang w:val="ru-RU"/>
              </w:rPr>
              <w:tab/>
              <w:t>у земли</w:t>
            </w:r>
          </w:p>
          <w:p w14:paraId="44E84D5D" w14:textId="77777777" w:rsidR="00AE7191" w:rsidRPr="00722885" w:rsidRDefault="00AE7191" w:rsidP="00722885">
            <w:pPr>
              <w:pStyle w:val="a3"/>
              <w:tabs>
                <w:tab w:val="left" w:pos="224"/>
              </w:tabs>
              <w:rPr>
                <w:color w:val="000000" w:themeColor="text1"/>
              </w:rPr>
            </w:pPr>
            <w:r w:rsidRPr="00722885">
              <w:rPr>
                <w:color w:val="000000" w:themeColor="text1"/>
              </w:rPr>
              <w:t>-</w:t>
            </w:r>
            <w:r w:rsidRPr="00722885">
              <w:rPr>
                <w:color w:val="000000" w:themeColor="text1"/>
              </w:rPr>
              <w:tab/>
              <w:t>на высоте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1EECCF84" w14:textId="77777777" w:rsidR="00AE7191" w:rsidRPr="00722885" w:rsidRDefault="00AE7191" w:rsidP="00722885">
            <w:pPr>
              <w:pStyle w:val="a3"/>
              <w:rPr>
                <w:color w:val="000000" w:themeColor="text1"/>
              </w:rPr>
            </w:pPr>
            <w:r w:rsidRPr="00722885">
              <w:rPr>
                <w:color w:val="000000" w:themeColor="text1"/>
              </w:rPr>
              <w:t>508 648 (7000)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7DE1AF8D" w14:textId="77777777" w:rsidR="00AE7191" w:rsidRPr="00722885" w:rsidRDefault="00AE7191" w:rsidP="00722885">
            <w:pPr>
              <w:pStyle w:val="a3"/>
              <w:rPr>
                <w:color w:val="000000" w:themeColor="text1"/>
              </w:rPr>
            </w:pPr>
            <w:r w:rsidRPr="00722885">
              <w:rPr>
                <w:color w:val="000000" w:themeColor="text1"/>
              </w:rPr>
              <w:t>521 626 (7000)</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5618A1B1" w14:textId="77777777" w:rsidR="00AE7191" w:rsidRPr="00722885" w:rsidRDefault="00AE7191" w:rsidP="00722885">
            <w:pPr>
              <w:pStyle w:val="a3"/>
              <w:rPr>
                <w:color w:val="000000" w:themeColor="text1"/>
              </w:rPr>
            </w:pPr>
            <w:r w:rsidRPr="00722885">
              <w:rPr>
                <w:color w:val="000000" w:themeColor="text1"/>
              </w:rPr>
              <w:t>495 640(7800)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09FFEBAE" w14:textId="77777777" w:rsidR="00AE7191" w:rsidRPr="00722885" w:rsidRDefault="00AE7191" w:rsidP="00722885">
            <w:pPr>
              <w:pStyle w:val="a3"/>
              <w:rPr>
                <w:color w:val="000000" w:themeColor="text1"/>
              </w:rPr>
            </w:pPr>
            <w:r w:rsidRPr="00722885">
              <w:rPr>
                <w:color w:val="000000" w:themeColor="text1"/>
              </w:rPr>
              <w:t>466 615,5(7800)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3A0126A9" w14:textId="77777777" w:rsidR="00AE7191" w:rsidRPr="00722885" w:rsidRDefault="00AE7191" w:rsidP="00722885">
            <w:pPr>
              <w:pStyle w:val="a3"/>
              <w:rPr>
                <w:color w:val="000000" w:themeColor="text1"/>
              </w:rPr>
            </w:pPr>
            <w:r w:rsidRPr="00722885">
              <w:rPr>
                <w:color w:val="000000" w:themeColor="text1"/>
              </w:rPr>
              <w:t>475</w:t>
            </w:r>
          </w:p>
          <w:p w14:paraId="593500ED" w14:textId="77777777" w:rsidR="00AE7191" w:rsidRPr="00722885" w:rsidRDefault="00AE7191" w:rsidP="00722885">
            <w:pPr>
              <w:pStyle w:val="a3"/>
              <w:rPr>
                <w:color w:val="000000" w:themeColor="text1"/>
              </w:rPr>
            </w:pPr>
            <w:r w:rsidRPr="00722885">
              <w:rPr>
                <w:color w:val="000000" w:themeColor="text1"/>
              </w:rPr>
              <w:t>565 (н.д.)</w:t>
            </w:r>
          </w:p>
        </w:tc>
      </w:tr>
      <w:tr w:rsidR="009B487A" w:rsidRPr="00722885" w14:paraId="4E755CD8"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58948AAC" w14:textId="77777777" w:rsidR="00AE7191" w:rsidRPr="00722885" w:rsidRDefault="00AE7191" w:rsidP="00722885">
            <w:pPr>
              <w:pStyle w:val="a3"/>
              <w:rPr>
                <w:color w:val="000000" w:themeColor="text1"/>
              </w:rPr>
            </w:pPr>
            <w:r w:rsidRPr="00722885">
              <w:rPr>
                <w:color w:val="000000" w:themeColor="text1"/>
              </w:rPr>
              <w:t>Практический потолок, м</w:t>
            </w:r>
          </w:p>
        </w:tc>
        <w:tc>
          <w:tcPr>
            <w:tcW w:w="4640" w:type="dxa"/>
            <w:gridSpan w:val="3"/>
            <w:tcBorders>
              <w:top w:val="single" w:sz="6" w:space="0" w:color="auto"/>
              <w:left w:val="single" w:sz="6" w:space="0" w:color="auto"/>
              <w:bottom w:val="single" w:sz="6" w:space="0" w:color="auto"/>
              <w:right w:val="single" w:sz="6" w:space="0" w:color="auto"/>
            </w:tcBorders>
            <w:shd w:val="clear" w:color="auto" w:fill="FFFFFF"/>
          </w:tcPr>
          <w:p w14:paraId="5598D32E" w14:textId="77777777" w:rsidR="00AE7191" w:rsidRPr="00722885" w:rsidRDefault="00AE7191" w:rsidP="00722885">
            <w:pPr>
              <w:pStyle w:val="a3"/>
              <w:rPr>
                <w:color w:val="000000" w:themeColor="text1"/>
              </w:rPr>
            </w:pPr>
            <w:r w:rsidRPr="00722885">
              <w:rPr>
                <w:color w:val="000000" w:themeColor="text1"/>
              </w:rPr>
              <w:t>12000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62EA7EB9" w14:textId="77777777" w:rsidR="00AE7191" w:rsidRPr="00722885" w:rsidRDefault="00AE7191" w:rsidP="00722885">
            <w:pPr>
              <w:pStyle w:val="a3"/>
              <w:rPr>
                <w:color w:val="000000" w:themeColor="text1"/>
              </w:rPr>
            </w:pPr>
            <w:r w:rsidRPr="00722885">
              <w:rPr>
                <w:color w:val="000000" w:themeColor="text1"/>
              </w:rPr>
              <w:t>11500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590C7871" w14:textId="77777777" w:rsidR="00AE7191" w:rsidRPr="00722885" w:rsidRDefault="00AE7191" w:rsidP="00722885">
            <w:pPr>
              <w:pStyle w:val="a3"/>
              <w:rPr>
                <w:color w:val="000000" w:themeColor="text1"/>
              </w:rPr>
            </w:pPr>
            <w:r w:rsidRPr="00722885">
              <w:rPr>
                <w:color w:val="000000" w:themeColor="text1"/>
              </w:rPr>
              <w:t>8700</w:t>
            </w:r>
          </w:p>
        </w:tc>
      </w:tr>
      <w:tr w:rsidR="009B487A" w:rsidRPr="00722885" w14:paraId="11724C07" w14:textId="77777777" w:rsidTr="00CC5360">
        <w:trPr>
          <w:trHeight w:val="263"/>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777A37D" w14:textId="77777777" w:rsidR="00AE7191" w:rsidRPr="00722885" w:rsidRDefault="00AE7191" w:rsidP="00722885">
            <w:pPr>
              <w:pStyle w:val="a3"/>
              <w:rPr>
                <w:color w:val="000000" w:themeColor="text1"/>
              </w:rPr>
            </w:pPr>
            <w:r w:rsidRPr="00722885">
              <w:rPr>
                <w:color w:val="000000" w:themeColor="text1"/>
              </w:rPr>
              <w:t>Дальность (с ПТБ), км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13C79DCC" w14:textId="77777777" w:rsidR="00AE7191" w:rsidRPr="00722885" w:rsidRDefault="00AE7191" w:rsidP="00722885">
            <w:pPr>
              <w:pStyle w:val="a3"/>
              <w:rPr>
                <w:color w:val="000000" w:themeColor="text1"/>
              </w:rPr>
            </w:pPr>
            <w:r w:rsidRPr="00722885">
              <w:rPr>
                <w:color w:val="000000" w:themeColor="text1"/>
              </w:rPr>
              <w:t>730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6BFD551A" w14:textId="77777777" w:rsidR="00AE7191" w:rsidRPr="00722885" w:rsidRDefault="00AE7191" w:rsidP="00722885">
            <w:pPr>
              <w:pStyle w:val="a3"/>
              <w:rPr>
                <w:color w:val="000000" w:themeColor="text1"/>
              </w:rPr>
            </w:pPr>
            <w:r w:rsidRPr="00722885">
              <w:rPr>
                <w:color w:val="000000" w:themeColor="text1"/>
              </w:rPr>
              <w:t>576</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70B6B6E9" w14:textId="77777777" w:rsidR="00AE7191" w:rsidRPr="00722885" w:rsidRDefault="00AE7191" w:rsidP="00722885">
            <w:pPr>
              <w:pStyle w:val="a3"/>
              <w:rPr>
                <w:color w:val="000000" w:themeColor="text1"/>
              </w:rPr>
            </w:pPr>
            <w:r w:rsidRPr="00722885">
              <w:rPr>
                <w:color w:val="000000" w:themeColor="text1"/>
              </w:rPr>
              <w:t>820(1250)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2C93FB36" w14:textId="77777777" w:rsidR="00AE7191" w:rsidRPr="00722885" w:rsidRDefault="00AE7191" w:rsidP="00722885">
            <w:pPr>
              <w:pStyle w:val="a3"/>
              <w:rPr>
                <w:color w:val="000000" w:themeColor="text1"/>
              </w:rPr>
            </w:pPr>
            <w:r w:rsidRPr="00722885">
              <w:rPr>
                <w:color w:val="000000" w:themeColor="text1"/>
              </w:rPr>
              <w:t>628</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4419161E" w14:textId="77777777" w:rsidR="00AE7191" w:rsidRPr="00722885" w:rsidRDefault="00AE7191" w:rsidP="00722885">
            <w:pPr>
              <w:pStyle w:val="a3"/>
              <w:rPr>
                <w:color w:val="000000" w:themeColor="text1"/>
              </w:rPr>
            </w:pPr>
            <w:r w:rsidRPr="00722885">
              <w:rPr>
                <w:color w:val="000000" w:themeColor="text1"/>
              </w:rPr>
              <w:t>1070</w:t>
            </w:r>
          </w:p>
        </w:tc>
      </w:tr>
      <w:tr w:rsidR="009B487A" w:rsidRPr="00722885" w14:paraId="4A467E47"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68DB54D3" w14:textId="77777777" w:rsidR="00AE7191" w:rsidRPr="00722885" w:rsidRDefault="00AE7191" w:rsidP="00722885">
            <w:pPr>
              <w:pStyle w:val="a3"/>
              <w:rPr>
                <w:color w:val="000000" w:themeColor="text1"/>
                <w:lang w:val="ru-RU"/>
              </w:rPr>
            </w:pPr>
            <w:r w:rsidRPr="00722885">
              <w:rPr>
                <w:color w:val="000000" w:themeColor="text1"/>
                <w:lang w:val="ru-RU"/>
              </w:rPr>
              <w:t>Время набора высоты (м), мин</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15209E7" w14:textId="77777777" w:rsidR="00AE7191" w:rsidRPr="00722885" w:rsidRDefault="00AE7191" w:rsidP="00722885">
            <w:pPr>
              <w:pStyle w:val="a3"/>
              <w:rPr>
                <w:color w:val="000000" w:themeColor="text1"/>
              </w:rPr>
            </w:pPr>
            <w:r w:rsidRPr="00722885">
              <w:rPr>
                <w:color w:val="000000" w:themeColor="text1"/>
              </w:rPr>
              <w:t>5,3 (5000)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0352C84D" w14:textId="77777777" w:rsidR="00AE7191" w:rsidRPr="00722885" w:rsidRDefault="00AE7191" w:rsidP="00722885">
            <w:pPr>
              <w:pStyle w:val="a3"/>
              <w:rPr>
                <w:color w:val="000000" w:themeColor="text1"/>
              </w:rPr>
            </w:pPr>
            <w:r w:rsidRPr="00722885">
              <w:rPr>
                <w:color w:val="000000" w:themeColor="text1"/>
              </w:rPr>
              <w:t>5,3 (5000)</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19DADC3C" w14:textId="77777777" w:rsidR="00AE7191" w:rsidRPr="00722885" w:rsidRDefault="00AE7191" w:rsidP="00722885">
            <w:pPr>
              <w:pStyle w:val="a3"/>
              <w:rPr>
                <w:color w:val="000000" w:themeColor="text1"/>
              </w:rPr>
            </w:pPr>
            <w:r w:rsidRPr="00722885">
              <w:rPr>
                <w:color w:val="000000" w:themeColor="text1"/>
              </w:rPr>
              <w:t>6,5(5000), 10,28(8000)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7C3FAE5B" w14:textId="77777777" w:rsidR="00AE7191" w:rsidRPr="00722885" w:rsidRDefault="00AE7191" w:rsidP="00722885">
            <w:pPr>
              <w:pStyle w:val="a3"/>
              <w:rPr>
                <w:color w:val="000000" w:themeColor="text1"/>
              </w:rPr>
            </w:pPr>
            <w:r w:rsidRPr="00722885">
              <w:rPr>
                <w:color w:val="000000" w:themeColor="text1"/>
              </w:rPr>
              <w:t>12,4(8000)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3210D19F" w14:textId="77777777" w:rsidR="00AE7191" w:rsidRPr="00722885" w:rsidRDefault="00AE7191" w:rsidP="00722885">
            <w:pPr>
              <w:pStyle w:val="a3"/>
              <w:rPr>
                <w:color w:val="000000" w:themeColor="text1"/>
              </w:rPr>
            </w:pPr>
            <w:r w:rsidRPr="00722885">
              <w:rPr>
                <w:color w:val="000000" w:themeColor="text1"/>
              </w:rPr>
              <w:t>6,7 (5000)</w:t>
            </w:r>
          </w:p>
        </w:tc>
      </w:tr>
      <w:tr w:rsidR="009B487A" w:rsidRPr="00722885" w14:paraId="5D4B0D1B"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D674881" w14:textId="77777777" w:rsidR="00AE7191" w:rsidRPr="00722885" w:rsidRDefault="00AE7191" w:rsidP="00722885">
            <w:pPr>
              <w:pStyle w:val="a3"/>
              <w:rPr>
                <w:color w:val="000000" w:themeColor="text1"/>
              </w:rPr>
            </w:pPr>
            <w:r w:rsidRPr="00722885">
              <w:rPr>
                <w:color w:val="000000" w:themeColor="text1"/>
              </w:rPr>
              <w:t>Время выполнения виража, с</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E55471E" w14:textId="77777777" w:rsidR="00AE7191" w:rsidRPr="00722885" w:rsidRDefault="00AE7191" w:rsidP="00722885">
            <w:pPr>
              <w:pStyle w:val="a3"/>
              <w:rPr>
                <w:color w:val="000000" w:themeColor="text1"/>
              </w:rPr>
            </w:pPr>
            <w:r w:rsidRPr="00722885">
              <w:rPr>
                <w:color w:val="000000" w:themeColor="text1"/>
              </w:rPr>
              <w:t>26-27</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389623F7" w14:textId="77777777" w:rsidR="00AE7191" w:rsidRPr="00722885" w:rsidRDefault="00AE7191" w:rsidP="00722885">
            <w:pPr>
              <w:pStyle w:val="a3"/>
              <w:rPr>
                <w:color w:val="000000" w:themeColor="text1"/>
              </w:rPr>
            </w:pPr>
            <w:r w:rsidRPr="00722885">
              <w:rPr>
                <w:color w:val="000000" w:themeColor="text1"/>
              </w:rPr>
              <w:t>н.д.</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72EE7AF1" w14:textId="77777777" w:rsidR="00AE7191" w:rsidRPr="00722885" w:rsidRDefault="00AE7191" w:rsidP="00722885">
            <w:pPr>
              <w:pStyle w:val="a3"/>
              <w:rPr>
                <w:color w:val="000000" w:themeColor="text1"/>
              </w:rPr>
            </w:pPr>
            <w:r w:rsidRPr="00722885">
              <w:rPr>
                <w:color w:val="000000" w:themeColor="text1"/>
              </w:rPr>
              <w:t>25-26</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41EF62F1" w14:textId="77777777" w:rsidR="00AE7191" w:rsidRPr="00722885" w:rsidRDefault="00AE7191" w:rsidP="00722885">
            <w:pPr>
              <w:pStyle w:val="a3"/>
              <w:rPr>
                <w:color w:val="000000" w:themeColor="text1"/>
              </w:rPr>
            </w:pPr>
            <w:r w:rsidRPr="00722885">
              <w:rPr>
                <w:color w:val="000000" w:themeColor="text1"/>
              </w:rPr>
              <w:t>22</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17B386E7" w14:textId="77777777" w:rsidR="00AE7191" w:rsidRPr="00722885" w:rsidRDefault="00AE7191" w:rsidP="00722885">
            <w:pPr>
              <w:pStyle w:val="260"/>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н.Д.</w:t>
            </w:r>
          </w:p>
        </w:tc>
      </w:tr>
      <w:tr w:rsidR="009B487A" w:rsidRPr="00722885" w14:paraId="2D9BE89F" w14:textId="77777777" w:rsidTr="00CC5360">
        <w:trPr>
          <w:trHeight w:val="274"/>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23429FB3" w14:textId="77777777" w:rsidR="00AE7191" w:rsidRPr="00722885" w:rsidRDefault="00AE7191" w:rsidP="00722885">
            <w:pPr>
              <w:pStyle w:val="a3"/>
              <w:rPr>
                <w:color w:val="000000" w:themeColor="text1"/>
              </w:rPr>
            </w:pPr>
            <w:r w:rsidRPr="00722885">
              <w:rPr>
                <w:color w:val="000000" w:themeColor="text1"/>
              </w:rPr>
              <w:t>Длина разбега/пробега,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DF5562A" w14:textId="77777777" w:rsidR="00AE7191" w:rsidRPr="00722885" w:rsidRDefault="00AE7191" w:rsidP="00722885">
            <w:pPr>
              <w:pStyle w:val="a3"/>
              <w:rPr>
                <w:color w:val="000000" w:themeColor="text1"/>
              </w:rPr>
            </w:pPr>
            <w:r w:rsidRPr="00722885">
              <w:rPr>
                <w:color w:val="000000" w:themeColor="text1"/>
              </w:rPr>
              <w:t>190/350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57F775AE" w14:textId="77777777" w:rsidR="00AE7191" w:rsidRPr="00722885" w:rsidRDefault="00AE7191" w:rsidP="00722885">
            <w:pPr>
              <w:pStyle w:val="a3"/>
              <w:rPr>
                <w:color w:val="000000" w:themeColor="text1"/>
              </w:rPr>
            </w:pPr>
            <w:r w:rsidRPr="00722885">
              <w:rPr>
                <w:color w:val="000000" w:themeColor="text1"/>
              </w:rPr>
              <w:t>н.д.</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4B6A67AE" w14:textId="77777777" w:rsidR="00AE7191" w:rsidRPr="00722885" w:rsidRDefault="00AE7191" w:rsidP="00722885">
            <w:pPr>
              <w:pStyle w:val="a3"/>
              <w:rPr>
                <w:color w:val="000000" w:themeColor="text1"/>
              </w:rPr>
            </w:pPr>
            <w:r w:rsidRPr="00722885">
              <w:rPr>
                <w:color w:val="000000" w:themeColor="text1"/>
              </w:rPr>
              <w:t>347/410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4C186563" w14:textId="77777777" w:rsidR="00AE7191" w:rsidRPr="00722885" w:rsidRDefault="00AE7191" w:rsidP="00722885">
            <w:pPr>
              <w:pStyle w:val="a3"/>
              <w:rPr>
                <w:color w:val="000000" w:themeColor="text1"/>
              </w:rPr>
            </w:pPr>
            <w:r w:rsidRPr="00722885">
              <w:rPr>
                <w:color w:val="000000" w:themeColor="text1"/>
              </w:rPr>
              <w:t>398/455</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5EF6655F" w14:textId="77777777" w:rsidR="00AE7191" w:rsidRPr="00722885" w:rsidRDefault="00AE7191" w:rsidP="00722885">
            <w:pPr>
              <w:pStyle w:val="a3"/>
              <w:rPr>
                <w:color w:val="000000" w:themeColor="text1"/>
              </w:rPr>
            </w:pPr>
            <w:r w:rsidRPr="00722885">
              <w:rPr>
                <w:color w:val="000000" w:themeColor="text1"/>
              </w:rPr>
              <w:t>н.д.</w:t>
            </w:r>
          </w:p>
        </w:tc>
      </w:tr>
    </w:tbl>
    <w:p w14:paraId="5137DFF2" w14:textId="77777777" w:rsidR="00AE7191" w:rsidRPr="00722885" w:rsidRDefault="00AE7191" w:rsidP="00722885">
      <w:pPr>
        <w:pStyle w:val="a3"/>
        <w:rPr>
          <w:color w:val="000000" w:themeColor="text1"/>
          <w:lang w:val="ru-RU"/>
        </w:rPr>
      </w:pPr>
      <w:r w:rsidRPr="00722885">
        <w:rPr>
          <w:color w:val="000000" w:themeColor="text1"/>
          <w:lang w:val="ru-RU"/>
        </w:rPr>
        <w:t>(11938).</w:t>
      </w:r>
    </w:p>
    <w:p w14:paraId="67972BFE" w14:textId="77777777" w:rsidR="00AE7191" w:rsidRPr="00722885" w:rsidRDefault="00AE7191" w:rsidP="00722885">
      <w:pPr>
        <w:pStyle w:val="a3"/>
        <w:rPr>
          <w:color w:val="000000" w:themeColor="text1"/>
          <w:lang w:val="ru-RU"/>
        </w:rPr>
      </w:pPr>
    </w:p>
    <w:p w14:paraId="2D7F8A63"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4, 1942: Advance units of 4.Panzerarmee (von Hoth) cross the Aksai river in their drive toward Stalingrad (3819).</w:t>
      </w:r>
    </w:p>
    <w:p w14:paraId="10ECCD03" w14:textId="77777777" w:rsidR="00AE7191" w:rsidRPr="00722885" w:rsidRDefault="00AE7191" w:rsidP="00722885">
      <w:pPr>
        <w:pStyle w:val="Iauiue"/>
        <w:jc w:val="both"/>
        <w:rPr>
          <w:color w:val="000000" w:themeColor="text1"/>
          <w:sz w:val="16"/>
          <w:szCs w:val="16"/>
          <w:lang w:val="en-US"/>
        </w:rPr>
      </w:pPr>
    </w:p>
    <w:p w14:paraId="6781A5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августа 1942 передовые части 4ТГ (Фон Гот) форсировала реку Аксай (3819).</w:t>
      </w:r>
    </w:p>
    <w:p w14:paraId="73C1E49C" w14:textId="77777777" w:rsidR="00AE7191" w:rsidRPr="00722885" w:rsidRDefault="00AE7191" w:rsidP="00722885">
      <w:pPr>
        <w:pStyle w:val="Iauiue"/>
        <w:jc w:val="both"/>
        <w:rPr>
          <w:color w:val="000000" w:themeColor="text1"/>
          <w:sz w:val="16"/>
          <w:szCs w:val="16"/>
        </w:rPr>
      </w:pPr>
    </w:p>
    <w:p w14:paraId="706C37A5"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29FA244" w14:textId="77777777" w:rsidR="00AE7191" w:rsidRPr="00722885" w:rsidRDefault="00AE7191" w:rsidP="00722885">
      <w:pPr>
        <w:pStyle w:val="Iauiue"/>
        <w:jc w:val="both"/>
        <w:rPr>
          <w:iCs/>
          <w:color w:val="000000" w:themeColor="text1"/>
          <w:sz w:val="16"/>
          <w:szCs w:val="16"/>
        </w:rPr>
      </w:pPr>
    </w:p>
    <w:p w14:paraId="153A2362"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августа 1942 истребитель Lockheed P-38 Lightning одерживает свои первые воздушные победы, когда два P-38 из 343-й истребительной группы, пилотируемые лейтенантами ВВС США К. Амброузом и С. А. Лонгом, сбивают две японские летающие лодки Kawanishi H6K4 недалеко от Алеутских островов (20793).</w:t>
      </w:r>
    </w:p>
    <w:p w14:paraId="726C1B93" w14:textId="77777777" w:rsidR="001E4C3E" w:rsidRPr="00722885" w:rsidRDefault="001E4C3E" w:rsidP="00722885">
      <w:pPr>
        <w:spacing w:after="0" w:line="240" w:lineRule="auto"/>
        <w:jc w:val="both"/>
        <w:rPr>
          <w:rFonts w:ascii="Times New Roman" w:hAnsi="Times New Roman"/>
          <w:color w:val="0070C0"/>
          <w:sz w:val="16"/>
          <w:szCs w:val="16"/>
        </w:rPr>
      </w:pPr>
    </w:p>
    <w:p w14:paraId="4120BEC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4 августа 1942 в Канаде введено ограничение на торговлю чаем и кофе (4962).</w:t>
      </w:r>
    </w:p>
    <w:p w14:paraId="2043BB5A" w14:textId="77777777" w:rsidR="00AE7191" w:rsidRPr="00722885" w:rsidRDefault="00AE7191" w:rsidP="00722885">
      <w:pPr>
        <w:pStyle w:val="Iauiue"/>
        <w:tabs>
          <w:tab w:val="left" w:pos="11199"/>
        </w:tabs>
        <w:jc w:val="both"/>
        <w:rPr>
          <w:color w:val="000000" w:themeColor="text1"/>
          <w:sz w:val="16"/>
          <w:szCs w:val="16"/>
        </w:rPr>
      </w:pPr>
    </w:p>
    <w:p w14:paraId="61773B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августа 1942 Британия объявила М.Ганди и его партию Всеиндийский Конгресс в примиренчестве с Японией (2100).</w:t>
      </w:r>
    </w:p>
    <w:p w14:paraId="3623DC6B" w14:textId="77777777" w:rsidR="00AE7191" w:rsidRPr="00722885" w:rsidRDefault="00AE7191" w:rsidP="00722885">
      <w:pPr>
        <w:pStyle w:val="Iauiue"/>
        <w:jc w:val="both"/>
        <w:rPr>
          <w:color w:val="000000" w:themeColor="text1"/>
          <w:sz w:val="16"/>
          <w:szCs w:val="16"/>
        </w:rPr>
      </w:pPr>
    </w:p>
    <w:p w14:paraId="18CBCBA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D501317" w14:textId="77777777" w:rsidR="00AE7191" w:rsidRPr="00722885" w:rsidRDefault="00AE7191" w:rsidP="00722885">
      <w:pPr>
        <w:pStyle w:val="Iauiue"/>
        <w:jc w:val="both"/>
        <w:rPr>
          <w:iCs/>
          <w:color w:val="000000" w:themeColor="text1"/>
          <w:sz w:val="16"/>
          <w:szCs w:val="16"/>
        </w:rPr>
      </w:pPr>
    </w:p>
    <w:p w14:paraId="63F942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1942 л завода 19 С.Ф.Сенкевич поломал при испытаниях Су-2 N 26096 (2131) из-за невыпуска левой ноги (2108).</w:t>
      </w:r>
    </w:p>
    <w:p w14:paraId="6C6F9CD7" w14:textId="77777777" w:rsidR="00AE7191" w:rsidRPr="00722885" w:rsidRDefault="00AE7191" w:rsidP="00722885">
      <w:pPr>
        <w:pStyle w:val="Iauiue"/>
        <w:jc w:val="both"/>
        <w:rPr>
          <w:color w:val="000000" w:themeColor="text1"/>
          <w:sz w:val="16"/>
          <w:szCs w:val="16"/>
        </w:rPr>
      </w:pPr>
    </w:p>
    <w:p w14:paraId="10E0CD28"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5 августа в 1942 году авария второго опытного самолета «Су-22 (№26096) с новыми моторами «М-82ФН» с непосредственным впрыском топлива в цилиндры. Павел Осипович добился продолжения испытаний. После доводки ВМГ, стало ясно, что новый двигатель сулит огромные перспективы (14974).</w:t>
      </w:r>
    </w:p>
    <w:p w14:paraId="1B2B447C"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65EF11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августа 1942 г. один из Су-2 с М-82ФН (№26096) потерпел аварию, но Павел Осипович добился продолжения испытаний. После доводки ВМГ, стало ясно, что новый двигатель сулит огромные перспективы. Работа оказалась весьма полезной для нашей авиации. Напомним, что только летом 1943 г. успех пришел к Ла-5ФН с таким же мотором (12028).</w:t>
      </w:r>
    </w:p>
    <w:p w14:paraId="1F7C6E4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39F279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1942 НКАП А.С.Я. направил Зам. Ком., ГИ ВВС А.К.Репину письмо N Н-36/3055:</w:t>
      </w:r>
    </w:p>
    <w:p w14:paraId="0BBE42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Вашей просьбе направляю материалы к составлению плана-заказа ВВС по опытному самолетостроению. Аналогичные материалы были переданы УВВС 21 апреля и 13 июля с.г." (1633,211).</w:t>
      </w:r>
    </w:p>
    <w:p w14:paraId="1D151A0C" w14:textId="77777777" w:rsidR="00AE7191" w:rsidRPr="00722885" w:rsidRDefault="00AE7191" w:rsidP="00722885">
      <w:pPr>
        <w:pStyle w:val="Iauiue"/>
        <w:jc w:val="both"/>
        <w:rPr>
          <w:color w:val="000000" w:themeColor="text1"/>
          <w:sz w:val="16"/>
          <w:szCs w:val="16"/>
        </w:rPr>
      </w:pPr>
    </w:p>
    <w:p w14:paraId="4D950FF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1942 года Яковлев писал письмо N Н-36/3055 зам. командующего ВВС ген.-лейтенанту инж.-авиационной службы Репину.</w:t>
      </w:r>
    </w:p>
    <w:p w14:paraId="6A91FC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Вашей просьбе направляю материалы к составлению плана - заказа УВВС по опытному самолетостроению.</w:t>
      </w:r>
    </w:p>
    <w:p w14:paraId="7D8DB3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Аналогичные материалы нами были переданы УВВС 21 апреля с.г. и 13 июля с.г.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723"/>
        <w:gridCol w:w="862"/>
        <w:gridCol w:w="865"/>
        <w:gridCol w:w="692"/>
        <w:gridCol w:w="1371"/>
        <w:gridCol w:w="818"/>
        <w:gridCol w:w="830"/>
        <w:gridCol w:w="829"/>
        <w:gridCol w:w="968"/>
        <w:gridCol w:w="837"/>
      </w:tblGrid>
      <w:tr w:rsidR="009B487A" w:rsidRPr="00722885" w14:paraId="4319E97E" w14:textId="77777777" w:rsidTr="00CC5360">
        <w:tc>
          <w:tcPr>
            <w:tcW w:w="1809" w:type="dxa"/>
            <w:tcBorders>
              <w:top w:val="single" w:sz="12" w:space="0" w:color="auto"/>
            </w:tcBorders>
          </w:tcPr>
          <w:p w14:paraId="403D16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Наименование</w:t>
            </w:r>
          </w:p>
        </w:tc>
        <w:tc>
          <w:tcPr>
            <w:tcW w:w="723" w:type="dxa"/>
            <w:tcBorders>
              <w:top w:val="single" w:sz="12" w:space="0" w:color="auto"/>
            </w:tcBorders>
          </w:tcPr>
          <w:p w14:paraId="028D0AE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Скорость км/час</w:t>
            </w:r>
          </w:p>
        </w:tc>
        <w:tc>
          <w:tcPr>
            <w:tcW w:w="862" w:type="dxa"/>
            <w:tcBorders>
              <w:top w:val="single" w:sz="12" w:space="0" w:color="auto"/>
            </w:tcBorders>
          </w:tcPr>
          <w:p w14:paraId="77E7D040" w14:textId="77777777" w:rsidR="00AE7191" w:rsidRPr="00722885" w:rsidRDefault="00AE7191" w:rsidP="00722885">
            <w:pPr>
              <w:pStyle w:val="Iauiue"/>
              <w:jc w:val="both"/>
              <w:rPr>
                <w:color w:val="000000" w:themeColor="text1"/>
                <w:sz w:val="16"/>
                <w:szCs w:val="16"/>
              </w:rPr>
            </w:pPr>
          </w:p>
        </w:tc>
        <w:tc>
          <w:tcPr>
            <w:tcW w:w="865" w:type="dxa"/>
            <w:tcBorders>
              <w:top w:val="single" w:sz="12" w:space="0" w:color="auto"/>
            </w:tcBorders>
          </w:tcPr>
          <w:p w14:paraId="132D18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Дальность</w:t>
            </w:r>
          </w:p>
        </w:tc>
        <w:tc>
          <w:tcPr>
            <w:tcW w:w="692" w:type="dxa"/>
            <w:tcBorders>
              <w:top w:val="single" w:sz="12" w:space="0" w:color="auto"/>
            </w:tcBorders>
          </w:tcPr>
          <w:p w14:paraId="43FF50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Потолок</w:t>
            </w:r>
          </w:p>
        </w:tc>
        <w:tc>
          <w:tcPr>
            <w:tcW w:w="1371" w:type="dxa"/>
            <w:tcBorders>
              <w:top w:val="single" w:sz="12" w:space="0" w:color="auto"/>
            </w:tcBorders>
          </w:tcPr>
          <w:p w14:paraId="34BE6D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w:t>
            </w:r>
          </w:p>
        </w:tc>
        <w:tc>
          <w:tcPr>
            <w:tcW w:w="818" w:type="dxa"/>
            <w:tcBorders>
              <w:top w:val="single" w:sz="12" w:space="0" w:color="auto"/>
            </w:tcBorders>
          </w:tcPr>
          <w:p w14:paraId="08861388" w14:textId="77777777" w:rsidR="00AE7191" w:rsidRPr="00722885" w:rsidRDefault="00AE7191" w:rsidP="00722885">
            <w:pPr>
              <w:pStyle w:val="Iauiue"/>
              <w:jc w:val="both"/>
              <w:rPr>
                <w:color w:val="000000" w:themeColor="text1"/>
                <w:sz w:val="16"/>
                <w:szCs w:val="16"/>
              </w:rPr>
            </w:pPr>
          </w:p>
        </w:tc>
        <w:tc>
          <w:tcPr>
            <w:tcW w:w="830" w:type="dxa"/>
            <w:tcBorders>
              <w:top w:val="single" w:sz="12" w:space="0" w:color="auto"/>
            </w:tcBorders>
          </w:tcPr>
          <w:p w14:paraId="1AA810A4" w14:textId="77777777" w:rsidR="00AE7191" w:rsidRPr="00722885" w:rsidRDefault="00AE7191" w:rsidP="00722885">
            <w:pPr>
              <w:pStyle w:val="Iauiue"/>
              <w:jc w:val="both"/>
              <w:rPr>
                <w:color w:val="000000" w:themeColor="text1"/>
                <w:sz w:val="16"/>
                <w:szCs w:val="16"/>
              </w:rPr>
            </w:pPr>
          </w:p>
        </w:tc>
        <w:tc>
          <w:tcPr>
            <w:tcW w:w="829" w:type="dxa"/>
            <w:tcBorders>
              <w:top w:val="single" w:sz="12" w:space="0" w:color="auto"/>
            </w:tcBorders>
          </w:tcPr>
          <w:p w14:paraId="3C931AF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Кол-во</w:t>
            </w:r>
          </w:p>
        </w:tc>
        <w:tc>
          <w:tcPr>
            <w:tcW w:w="968" w:type="dxa"/>
            <w:tcBorders>
              <w:top w:val="single" w:sz="12" w:space="0" w:color="auto"/>
            </w:tcBorders>
          </w:tcPr>
          <w:p w14:paraId="727DBF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Срок</w:t>
            </w:r>
          </w:p>
        </w:tc>
        <w:tc>
          <w:tcPr>
            <w:tcW w:w="837" w:type="dxa"/>
            <w:tcBorders>
              <w:top w:val="single" w:sz="12" w:space="0" w:color="auto"/>
            </w:tcBorders>
          </w:tcPr>
          <w:p w14:paraId="5D167F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Стоимость</w:t>
            </w:r>
          </w:p>
        </w:tc>
      </w:tr>
      <w:tr w:rsidR="009B487A" w:rsidRPr="00722885" w14:paraId="5F7C8CB4" w14:textId="77777777" w:rsidTr="00CC5360">
        <w:tc>
          <w:tcPr>
            <w:tcW w:w="1809" w:type="dxa"/>
          </w:tcPr>
          <w:p w14:paraId="541F62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самолета</w:t>
            </w:r>
          </w:p>
        </w:tc>
        <w:tc>
          <w:tcPr>
            <w:tcW w:w="723" w:type="dxa"/>
          </w:tcPr>
          <w:p w14:paraId="530695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 земли</w:t>
            </w:r>
          </w:p>
        </w:tc>
        <w:tc>
          <w:tcPr>
            <w:tcW w:w="862" w:type="dxa"/>
          </w:tcPr>
          <w:p w14:paraId="3EB500D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расч.</w:t>
            </w:r>
          </w:p>
        </w:tc>
        <w:tc>
          <w:tcPr>
            <w:tcW w:w="865" w:type="dxa"/>
          </w:tcPr>
          <w:p w14:paraId="40EE5A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км</w:t>
            </w:r>
          </w:p>
        </w:tc>
        <w:tc>
          <w:tcPr>
            <w:tcW w:w="692" w:type="dxa"/>
          </w:tcPr>
          <w:p w14:paraId="132304A0" w14:textId="77777777" w:rsidR="00AE7191" w:rsidRPr="00722885" w:rsidRDefault="00AE7191" w:rsidP="00722885">
            <w:pPr>
              <w:pStyle w:val="Iauiue"/>
              <w:jc w:val="both"/>
              <w:rPr>
                <w:color w:val="000000" w:themeColor="text1"/>
                <w:sz w:val="16"/>
                <w:szCs w:val="16"/>
              </w:rPr>
            </w:pPr>
          </w:p>
        </w:tc>
        <w:tc>
          <w:tcPr>
            <w:tcW w:w="1371" w:type="dxa"/>
          </w:tcPr>
          <w:p w14:paraId="41752F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стрелк.</w:t>
            </w:r>
          </w:p>
        </w:tc>
        <w:tc>
          <w:tcPr>
            <w:tcW w:w="818" w:type="dxa"/>
          </w:tcPr>
          <w:p w14:paraId="47A7CAD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w:t>
            </w:r>
          </w:p>
        </w:tc>
        <w:tc>
          <w:tcPr>
            <w:tcW w:w="830" w:type="dxa"/>
          </w:tcPr>
          <w:p w14:paraId="0B1CBC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реактив.</w:t>
            </w:r>
          </w:p>
        </w:tc>
        <w:tc>
          <w:tcPr>
            <w:tcW w:w="829" w:type="dxa"/>
          </w:tcPr>
          <w:p w14:paraId="687ED8E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экз.</w:t>
            </w:r>
          </w:p>
        </w:tc>
        <w:tc>
          <w:tcPr>
            <w:tcW w:w="968" w:type="dxa"/>
          </w:tcPr>
          <w:p w14:paraId="65547F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предъяв.</w:t>
            </w:r>
          </w:p>
        </w:tc>
        <w:tc>
          <w:tcPr>
            <w:tcW w:w="837" w:type="dxa"/>
          </w:tcPr>
          <w:p w14:paraId="75A53F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т.р.</w:t>
            </w:r>
          </w:p>
        </w:tc>
      </w:tr>
      <w:tr w:rsidR="009B487A" w:rsidRPr="00722885" w14:paraId="07AFE3E1" w14:textId="77777777" w:rsidTr="00CC5360">
        <w:tc>
          <w:tcPr>
            <w:tcW w:w="1809" w:type="dxa"/>
          </w:tcPr>
          <w:p w14:paraId="482EBEF7" w14:textId="77777777" w:rsidR="00AE7191" w:rsidRPr="00722885" w:rsidRDefault="00AE7191" w:rsidP="00722885">
            <w:pPr>
              <w:pStyle w:val="Iauiue"/>
              <w:jc w:val="both"/>
              <w:rPr>
                <w:color w:val="000000" w:themeColor="text1"/>
                <w:sz w:val="16"/>
                <w:szCs w:val="16"/>
              </w:rPr>
            </w:pPr>
          </w:p>
        </w:tc>
        <w:tc>
          <w:tcPr>
            <w:tcW w:w="723" w:type="dxa"/>
          </w:tcPr>
          <w:p w14:paraId="4460E0F2" w14:textId="77777777" w:rsidR="00AE7191" w:rsidRPr="00722885" w:rsidRDefault="00AE7191" w:rsidP="00722885">
            <w:pPr>
              <w:pStyle w:val="Iauiue"/>
              <w:jc w:val="both"/>
              <w:rPr>
                <w:color w:val="000000" w:themeColor="text1"/>
                <w:sz w:val="16"/>
                <w:szCs w:val="16"/>
              </w:rPr>
            </w:pPr>
          </w:p>
        </w:tc>
        <w:tc>
          <w:tcPr>
            <w:tcW w:w="862" w:type="dxa"/>
          </w:tcPr>
          <w:p w14:paraId="53A28E3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высоте</w:t>
            </w:r>
          </w:p>
        </w:tc>
        <w:tc>
          <w:tcPr>
            <w:tcW w:w="865" w:type="dxa"/>
          </w:tcPr>
          <w:p w14:paraId="1E378A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норм./перегр.</w:t>
            </w:r>
          </w:p>
        </w:tc>
        <w:tc>
          <w:tcPr>
            <w:tcW w:w="692" w:type="dxa"/>
          </w:tcPr>
          <w:p w14:paraId="53C2C65B" w14:textId="77777777" w:rsidR="00AE7191" w:rsidRPr="00722885" w:rsidRDefault="00AE7191" w:rsidP="00722885">
            <w:pPr>
              <w:pStyle w:val="Iauiue"/>
              <w:jc w:val="both"/>
              <w:rPr>
                <w:color w:val="000000" w:themeColor="text1"/>
                <w:sz w:val="16"/>
                <w:szCs w:val="16"/>
              </w:rPr>
            </w:pPr>
          </w:p>
        </w:tc>
        <w:tc>
          <w:tcPr>
            <w:tcW w:w="1371" w:type="dxa"/>
          </w:tcPr>
          <w:p w14:paraId="724064FA" w14:textId="77777777" w:rsidR="00AE7191" w:rsidRPr="00722885" w:rsidRDefault="00AE7191" w:rsidP="00722885">
            <w:pPr>
              <w:pStyle w:val="Iauiue"/>
              <w:jc w:val="both"/>
              <w:rPr>
                <w:color w:val="000000" w:themeColor="text1"/>
                <w:sz w:val="16"/>
                <w:szCs w:val="16"/>
              </w:rPr>
            </w:pPr>
          </w:p>
        </w:tc>
        <w:tc>
          <w:tcPr>
            <w:tcW w:w="818" w:type="dxa"/>
          </w:tcPr>
          <w:p w14:paraId="2B6EB572" w14:textId="77777777" w:rsidR="00AE7191" w:rsidRPr="00722885" w:rsidRDefault="00AE7191" w:rsidP="00722885">
            <w:pPr>
              <w:pStyle w:val="Iauiue"/>
              <w:jc w:val="both"/>
              <w:rPr>
                <w:color w:val="000000" w:themeColor="text1"/>
                <w:sz w:val="16"/>
                <w:szCs w:val="16"/>
              </w:rPr>
            </w:pPr>
          </w:p>
        </w:tc>
        <w:tc>
          <w:tcPr>
            <w:tcW w:w="830" w:type="dxa"/>
          </w:tcPr>
          <w:p w14:paraId="51339C2C" w14:textId="77777777" w:rsidR="00AE7191" w:rsidRPr="00722885" w:rsidRDefault="00AE7191" w:rsidP="00722885">
            <w:pPr>
              <w:pStyle w:val="Iauiue"/>
              <w:jc w:val="both"/>
              <w:rPr>
                <w:color w:val="000000" w:themeColor="text1"/>
                <w:sz w:val="16"/>
                <w:szCs w:val="16"/>
              </w:rPr>
            </w:pPr>
          </w:p>
        </w:tc>
        <w:tc>
          <w:tcPr>
            <w:tcW w:w="829" w:type="dxa"/>
          </w:tcPr>
          <w:p w14:paraId="43FB21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гос.</w:t>
            </w:r>
          </w:p>
        </w:tc>
        <w:tc>
          <w:tcPr>
            <w:tcW w:w="968" w:type="dxa"/>
          </w:tcPr>
          <w:p w14:paraId="14521237" w14:textId="77777777" w:rsidR="00AE7191" w:rsidRPr="00722885" w:rsidRDefault="00AE7191" w:rsidP="00722885">
            <w:pPr>
              <w:pStyle w:val="Iauiue"/>
              <w:jc w:val="both"/>
              <w:rPr>
                <w:color w:val="000000" w:themeColor="text1"/>
                <w:sz w:val="16"/>
                <w:szCs w:val="16"/>
              </w:rPr>
            </w:pPr>
          </w:p>
        </w:tc>
        <w:tc>
          <w:tcPr>
            <w:tcW w:w="837" w:type="dxa"/>
          </w:tcPr>
          <w:p w14:paraId="2B917E88" w14:textId="77777777" w:rsidR="00AE7191" w:rsidRPr="00722885" w:rsidRDefault="00AE7191" w:rsidP="00722885">
            <w:pPr>
              <w:pStyle w:val="Iauiue"/>
              <w:jc w:val="both"/>
              <w:rPr>
                <w:color w:val="000000" w:themeColor="text1"/>
                <w:sz w:val="16"/>
                <w:szCs w:val="16"/>
              </w:rPr>
            </w:pPr>
          </w:p>
        </w:tc>
      </w:tr>
      <w:tr w:rsidR="009B487A" w:rsidRPr="00722885" w14:paraId="3E6F7957" w14:textId="77777777" w:rsidTr="00CC5360">
        <w:tc>
          <w:tcPr>
            <w:tcW w:w="1809" w:type="dxa"/>
          </w:tcPr>
          <w:p w14:paraId="01C5D242" w14:textId="77777777" w:rsidR="00AE7191" w:rsidRPr="00722885" w:rsidRDefault="00AE7191" w:rsidP="00722885">
            <w:pPr>
              <w:pStyle w:val="Iauiue"/>
              <w:jc w:val="both"/>
              <w:rPr>
                <w:color w:val="000000" w:themeColor="text1"/>
                <w:sz w:val="16"/>
                <w:szCs w:val="16"/>
              </w:rPr>
            </w:pPr>
          </w:p>
        </w:tc>
        <w:tc>
          <w:tcPr>
            <w:tcW w:w="723" w:type="dxa"/>
          </w:tcPr>
          <w:p w14:paraId="1D1FE534" w14:textId="77777777" w:rsidR="00AE7191" w:rsidRPr="00722885" w:rsidRDefault="00AE7191" w:rsidP="00722885">
            <w:pPr>
              <w:pStyle w:val="Iauiue"/>
              <w:jc w:val="both"/>
              <w:rPr>
                <w:color w:val="000000" w:themeColor="text1"/>
                <w:sz w:val="16"/>
                <w:szCs w:val="16"/>
              </w:rPr>
            </w:pPr>
          </w:p>
        </w:tc>
        <w:tc>
          <w:tcPr>
            <w:tcW w:w="862" w:type="dxa"/>
          </w:tcPr>
          <w:p w14:paraId="6BA8AA59" w14:textId="77777777" w:rsidR="00AE7191" w:rsidRPr="00722885" w:rsidRDefault="00AE7191" w:rsidP="00722885">
            <w:pPr>
              <w:pStyle w:val="Iauiue"/>
              <w:jc w:val="both"/>
              <w:rPr>
                <w:color w:val="000000" w:themeColor="text1"/>
                <w:sz w:val="16"/>
                <w:szCs w:val="16"/>
              </w:rPr>
            </w:pPr>
          </w:p>
        </w:tc>
        <w:tc>
          <w:tcPr>
            <w:tcW w:w="865" w:type="dxa"/>
          </w:tcPr>
          <w:p w14:paraId="409BFA7D" w14:textId="77777777" w:rsidR="00AE7191" w:rsidRPr="00722885" w:rsidRDefault="00AE7191" w:rsidP="00722885">
            <w:pPr>
              <w:pStyle w:val="Iauiue"/>
              <w:jc w:val="both"/>
              <w:rPr>
                <w:color w:val="000000" w:themeColor="text1"/>
                <w:sz w:val="16"/>
                <w:szCs w:val="16"/>
              </w:rPr>
            </w:pPr>
          </w:p>
        </w:tc>
        <w:tc>
          <w:tcPr>
            <w:tcW w:w="692" w:type="dxa"/>
          </w:tcPr>
          <w:p w14:paraId="3AE56574" w14:textId="77777777" w:rsidR="00AE7191" w:rsidRPr="00722885" w:rsidRDefault="00AE7191" w:rsidP="00722885">
            <w:pPr>
              <w:pStyle w:val="Iauiue"/>
              <w:jc w:val="both"/>
              <w:rPr>
                <w:color w:val="000000" w:themeColor="text1"/>
                <w:sz w:val="16"/>
                <w:szCs w:val="16"/>
              </w:rPr>
            </w:pPr>
          </w:p>
        </w:tc>
        <w:tc>
          <w:tcPr>
            <w:tcW w:w="1371" w:type="dxa"/>
          </w:tcPr>
          <w:p w14:paraId="0D71D707" w14:textId="77777777" w:rsidR="00AE7191" w:rsidRPr="00722885" w:rsidRDefault="00AE7191" w:rsidP="00722885">
            <w:pPr>
              <w:pStyle w:val="Iauiue"/>
              <w:jc w:val="both"/>
              <w:rPr>
                <w:color w:val="000000" w:themeColor="text1"/>
                <w:sz w:val="16"/>
                <w:szCs w:val="16"/>
              </w:rPr>
            </w:pPr>
          </w:p>
        </w:tc>
        <w:tc>
          <w:tcPr>
            <w:tcW w:w="818" w:type="dxa"/>
          </w:tcPr>
          <w:p w14:paraId="6352F0BF" w14:textId="77777777" w:rsidR="00AE7191" w:rsidRPr="00722885" w:rsidRDefault="00AE7191" w:rsidP="00722885">
            <w:pPr>
              <w:pStyle w:val="Iauiue"/>
              <w:jc w:val="both"/>
              <w:rPr>
                <w:color w:val="000000" w:themeColor="text1"/>
                <w:sz w:val="16"/>
                <w:szCs w:val="16"/>
              </w:rPr>
            </w:pPr>
          </w:p>
        </w:tc>
        <w:tc>
          <w:tcPr>
            <w:tcW w:w="830" w:type="dxa"/>
          </w:tcPr>
          <w:p w14:paraId="7FEABAFB" w14:textId="77777777" w:rsidR="00AE7191" w:rsidRPr="00722885" w:rsidRDefault="00AE7191" w:rsidP="00722885">
            <w:pPr>
              <w:pStyle w:val="Iauiue"/>
              <w:jc w:val="both"/>
              <w:rPr>
                <w:color w:val="000000" w:themeColor="text1"/>
                <w:sz w:val="16"/>
                <w:szCs w:val="16"/>
              </w:rPr>
            </w:pPr>
          </w:p>
        </w:tc>
        <w:tc>
          <w:tcPr>
            <w:tcW w:w="829" w:type="dxa"/>
          </w:tcPr>
          <w:p w14:paraId="6B14291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испытан.</w:t>
            </w:r>
          </w:p>
        </w:tc>
        <w:tc>
          <w:tcPr>
            <w:tcW w:w="968" w:type="dxa"/>
          </w:tcPr>
          <w:p w14:paraId="7F794592" w14:textId="77777777" w:rsidR="00AE7191" w:rsidRPr="00722885" w:rsidRDefault="00AE7191" w:rsidP="00722885">
            <w:pPr>
              <w:pStyle w:val="Iauiue"/>
              <w:jc w:val="both"/>
              <w:rPr>
                <w:color w:val="000000" w:themeColor="text1"/>
                <w:sz w:val="16"/>
                <w:szCs w:val="16"/>
              </w:rPr>
            </w:pPr>
          </w:p>
        </w:tc>
        <w:tc>
          <w:tcPr>
            <w:tcW w:w="837" w:type="dxa"/>
          </w:tcPr>
          <w:p w14:paraId="6A6EF9BB" w14:textId="77777777" w:rsidR="00AE7191" w:rsidRPr="00722885" w:rsidRDefault="00AE7191" w:rsidP="00722885">
            <w:pPr>
              <w:pStyle w:val="Iauiue"/>
              <w:jc w:val="both"/>
              <w:rPr>
                <w:color w:val="000000" w:themeColor="text1"/>
                <w:sz w:val="16"/>
                <w:szCs w:val="16"/>
              </w:rPr>
            </w:pPr>
          </w:p>
        </w:tc>
      </w:tr>
      <w:tr w:rsidR="009B487A" w:rsidRPr="00722885" w14:paraId="766B8C87" w14:textId="77777777" w:rsidTr="00CC5360">
        <w:tc>
          <w:tcPr>
            <w:tcW w:w="1809" w:type="dxa"/>
          </w:tcPr>
          <w:p w14:paraId="558EC2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I. Истребители.</w:t>
            </w:r>
          </w:p>
        </w:tc>
        <w:tc>
          <w:tcPr>
            <w:tcW w:w="723" w:type="dxa"/>
          </w:tcPr>
          <w:p w14:paraId="60C824FA" w14:textId="77777777" w:rsidR="00AE7191" w:rsidRPr="00722885" w:rsidRDefault="00AE7191" w:rsidP="00722885">
            <w:pPr>
              <w:pStyle w:val="Iauiue"/>
              <w:jc w:val="both"/>
              <w:rPr>
                <w:color w:val="000000" w:themeColor="text1"/>
                <w:sz w:val="16"/>
                <w:szCs w:val="16"/>
              </w:rPr>
            </w:pPr>
          </w:p>
        </w:tc>
        <w:tc>
          <w:tcPr>
            <w:tcW w:w="862" w:type="dxa"/>
          </w:tcPr>
          <w:p w14:paraId="793F766A" w14:textId="77777777" w:rsidR="00AE7191" w:rsidRPr="00722885" w:rsidRDefault="00AE7191" w:rsidP="00722885">
            <w:pPr>
              <w:pStyle w:val="Iauiue"/>
              <w:jc w:val="both"/>
              <w:rPr>
                <w:color w:val="000000" w:themeColor="text1"/>
                <w:sz w:val="16"/>
                <w:szCs w:val="16"/>
              </w:rPr>
            </w:pPr>
          </w:p>
        </w:tc>
        <w:tc>
          <w:tcPr>
            <w:tcW w:w="865" w:type="dxa"/>
          </w:tcPr>
          <w:p w14:paraId="12AEBA6B" w14:textId="77777777" w:rsidR="00AE7191" w:rsidRPr="00722885" w:rsidRDefault="00AE7191" w:rsidP="00722885">
            <w:pPr>
              <w:pStyle w:val="Iauiue"/>
              <w:jc w:val="both"/>
              <w:rPr>
                <w:color w:val="000000" w:themeColor="text1"/>
                <w:sz w:val="16"/>
                <w:szCs w:val="16"/>
              </w:rPr>
            </w:pPr>
          </w:p>
        </w:tc>
        <w:tc>
          <w:tcPr>
            <w:tcW w:w="692" w:type="dxa"/>
          </w:tcPr>
          <w:p w14:paraId="543262BA" w14:textId="77777777" w:rsidR="00AE7191" w:rsidRPr="00722885" w:rsidRDefault="00AE7191" w:rsidP="00722885">
            <w:pPr>
              <w:pStyle w:val="Iauiue"/>
              <w:jc w:val="both"/>
              <w:rPr>
                <w:color w:val="000000" w:themeColor="text1"/>
                <w:sz w:val="16"/>
                <w:szCs w:val="16"/>
              </w:rPr>
            </w:pPr>
          </w:p>
        </w:tc>
        <w:tc>
          <w:tcPr>
            <w:tcW w:w="1371" w:type="dxa"/>
          </w:tcPr>
          <w:p w14:paraId="2C025AD4" w14:textId="77777777" w:rsidR="00AE7191" w:rsidRPr="00722885" w:rsidRDefault="00AE7191" w:rsidP="00722885">
            <w:pPr>
              <w:pStyle w:val="Iauiue"/>
              <w:jc w:val="both"/>
              <w:rPr>
                <w:color w:val="000000" w:themeColor="text1"/>
                <w:sz w:val="16"/>
                <w:szCs w:val="16"/>
              </w:rPr>
            </w:pPr>
          </w:p>
        </w:tc>
        <w:tc>
          <w:tcPr>
            <w:tcW w:w="818" w:type="dxa"/>
          </w:tcPr>
          <w:p w14:paraId="71634803" w14:textId="77777777" w:rsidR="00AE7191" w:rsidRPr="00722885" w:rsidRDefault="00AE7191" w:rsidP="00722885">
            <w:pPr>
              <w:pStyle w:val="Iauiue"/>
              <w:jc w:val="both"/>
              <w:rPr>
                <w:color w:val="000000" w:themeColor="text1"/>
                <w:sz w:val="16"/>
                <w:szCs w:val="16"/>
              </w:rPr>
            </w:pPr>
          </w:p>
        </w:tc>
        <w:tc>
          <w:tcPr>
            <w:tcW w:w="830" w:type="dxa"/>
          </w:tcPr>
          <w:p w14:paraId="08CE827F" w14:textId="77777777" w:rsidR="00AE7191" w:rsidRPr="00722885" w:rsidRDefault="00AE7191" w:rsidP="00722885">
            <w:pPr>
              <w:pStyle w:val="Iauiue"/>
              <w:jc w:val="both"/>
              <w:rPr>
                <w:color w:val="000000" w:themeColor="text1"/>
                <w:sz w:val="16"/>
                <w:szCs w:val="16"/>
              </w:rPr>
            </w:pPr>
          </w:p>
        </w:tc>
        <w:tc>
          <w:tcPr>
            <w:tcW w:w="829" w:type="dxa"/>
          </w:tcPr>
          <w:p w14:paraId="7570E8B9" w14:textId="77777777" w:rsidR="00AE7191" w:rsidRPr="00722885" w:rsidRDefault="00AE7191" w:rsidP="00722885">
            <w:pPr>
              <w:pStyle w:val="Iauiue"/>
              <w:jc w:val="both"/>
              <w:rPr>
                <w:color w:val="000000" w:themeColor="text1"/>
                <w:sz w:val="16"/>
                <w:szCs w:val="16"/>
              </w:rPr>
            </w:pPr>
          </w:p>
        </w:tc>
        <w:tc>
          <w:tcPr>
            <w:tcW w:w="968" w:type="dxa"/>
          </w:tcPr>
          <w:p w14:paraId="079CEFF4" w14:textId="77777777" w:rsidR="00AE7191" w:rsidRPr="00722885" w:rsidRDefault="00AE7191" w:rsidP="00722885">
            <w:pPr>
              <w:pStyle w:val="Iauiue"/>
              <w:jc w:val="both"/>
              <w:rPr>
                <w:color w:val="000000" w:themeColor="text1"/>
                <w:sz w:val="16"/>
                <w:szCs w:val="16"/>
              </w:rPr>
            </w:pPr>
          </w:p>
        </w:tc>
        <w:tc>
          <w:tcPr>
            <w:tcW w:w="837" w:type="dxa"/>
          </w:tcPr>
          <w:p w14:paraId="2AAE291A" w14:textId="77777777" w:rsidR="00AE7191" w:rsidRPr="00722885" w:rsidRDefault="00AE7191" w:rsidP="00722885">
            <w:pPr>
              <w:pStyle w:val="Iauiue"/>
              <w:jc w:val="both"/>
              <w:rPr>
                <w:color w:val="000000" w:themeColor="text1"/>
                <w:sz w:val="16"/>
                <w:szCs w:val="16"/>
              </w:rPr>
            </w:pPr>
          </w:p>
        </w:tc>
      </w:tr>
      <w:tr w:rsidR="009B487A" w:rsidRPr="00722885" w14:paraId="704C964F" w14:textId="77777777" w:rsidTr="00CC5360">
        <w:tc>
          <w:tcPr>
            <w:tcW w:w="1809" w:type="dxa"/>
          </w:tcPr>
          <w:p w14:paraId="16FB1F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Одноместный</w:t>
            </w:r>
          </w:p>
        </w:tc>
        <w:tc>
          <w:tcPr>
            <w:tcW w:w="723" w:type="dxa"/>
          </w:tcPr>
          <w:p w14:paraId="3AE84F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535</w:t>
            </w:r>
          </w:p>
        </w:tc>
        <w:tc>
          <w:tcPr>
            <w:tcW w:w="862" w:type="dxa"/>
          </w:tcPr>
          <w:p w14:paraId="7D4F08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680/7600</w:t>
            </w:r>
          </w:p>
        </w:tc>
        <w:tc>
          <w:tcPr>
            <w:tcW w:w="865" w:type="dxa"/>
          </w:tcPr>
          <w:p w14:paraId="5C0A87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700/850</w:t>
            </w:r>
          </w:p>
        </w:tc>
        <w:tc>
          <w:tcPr>
            <w:tcW w:w="692" w:type="dxa"/>
          </w:tcPr>
          <w:p w14:paraId="1AF21F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11000</w:t>
            </w:r>
          </w:p>
        </w:tc>
        <w:tc>
          <w:tcPr>
            <w:tcW w:w="1371" w:type="dxa"/>
          </w:tcPr>
          <w:p w14:paraId="55B029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пушки</w:t>
            </w:r>
          </w:p>
        </w:tc>
        <w:tc>
          <w:tcPr>
            <w:tcW w:w="818" w:type="dxa"/>
          </w:tcPr>
          <w:p w14:paraId="623ABA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0/200</w:t>
            </w:r>
          </w:p>
        </w:tc>
        <w:tc>
          <w:tcPr>
            <w:tcW w:w="830" w:type="dxa"/>
          </w:tcPr>
          <w:p w14:paraId="021430C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6РО-82</w:t>
            </w:r>
          </w:p>
        </w:tc>
        <w:tc>
          <w:tcPr>
            <w:tcW w:w="829" w:type="dxa"/>
          </w:tcPr>
          <w:p w14:paraId="5BA035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968" w:type="dxa"/>
          </w:tcPr>
          <w:p w14:paraId="2C40E9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1.XII.42</w:t>
            </w:r>
          </w:p>
        </w:tc>
        <w:tc>
          <w:tcPr>
            <w:tcW w:w="837" w:type="dxa"/>
          </w:tcPr>
          <w:p w14:paraId="514C1E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6000</w:t>
            </w:r>
          </w:p>
        </w:tc>
      </w:tr>
      <w:tr w:rsidR="009B487A" w:rsidRPr="00722885" w14:paraId="1416A347" w14:textId="77777777" w:rsidTr="00CC5360">
        <w:tc>
          <w:tcPr>
            <w:tcW w:w="1809" w:type="dxa"/>
          </w:tcPr>
          <w:p w14:paraId="452F57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истребитель с</w:t>
            </w:r>
          </w:p>
        </w:tc>
        <w:tc>
          <w:tcPr>
            <w:tcW w:w="723" w:type="dxa"/>
          </w:tcPr>
          <w:p w14:paraId="44490EB2" w14:textId="77777777" w:rsidR="00AE7191" w:rsidRPr="00722885" w:rsidRDefault="00AE7191" w:rsidP="00722885">
            <w:pPr>
              <w:pStyle w:val="Iauiue"/>
              <w:jc w:val="both"/>
              <w:rPr>
                <w:color w:val="000000" w:themeColor="text1"/>
                <w:sz w:val="16"/>
                <w:szCs w:val="16"/>
              </w:rPr>
            </w:pPr>
          </w:p>
        </w:tc>
        <w:tc>
          <w:tcPr>
            <w:tcW w:w="862" w:type="dxa"/>
          </w:tcPr>
          <w:p w14:paraId="41C5A2B9" w14:textId="77777777" w:rsidR="00AE7191" w:rsidRPr="00722885" w:rsidRDefault="00AE7191" w:rsidP="00722885">
            <w:pPr>
              <w:pStyle w:val="Iauiue"/>
              <w:jc w:val="both"/>
              <w:rPr>
                <w:color w:val="000000" w:themeColor="text1"/>
                <w:sz w:val="16"/>
                <w:szCs w:val="16"/>
              </w:rPr>
            </w:pPr>
          </w:p>
        </w:tc>
        <w:tc>
          <w:tcPr>
            <w:tcW w:w="865" w:type="dxa"/>
          </w:tcPr>
          <w:p w14:paraId="560067CD" w14:textId="77777777" w:rsidR="00AE7191" w:rsidRPr="00722885" w:rsidRDefault="00AE7191" w:rsidP="00722885">
            <w:pPr>
              <w:pStyle w:val="Iauiue"/>
              <w:jc w:val="both"/>
              <w:rPr>
                <w:color w:val="000000" w:themeColor="text1"/>
                <w:sz w:val="16"/>
                <w:szCs w:val="16"/>
              </w:rPr>
            </w:pPr>
          </w:p>
        </w:tc>
        <w:tc>
          <w:tcPr>
            <w:tcW w:w="692" w:type="dxa"/>
          </w:tcPr>
          <w:p w14:paraId="689B0015" w14:textId="77777777" w:rsidR="00AE7191" w:rsidRPr="00722885" w:rsidRDefault="00AE7191" w:rsidP="00722885">
            <w:pPr>
              <w:pStyle w:val="Iauiue"/>
              <w:jc w:val="both"/>
              <w:rPr>
                <w:color w:val="000000" w:themeColor="text1"/>
                <w:sz w:val="16"/>
                <w:szCs w:val="16"/>
              </w:rPr>
            </w:pPr>
          </w:p>
        </w:tc>
        <w:tc>
          <w:tcPr>
            <w:tcW w:w="1371" w:type="dxa"/>
          </w:tcPr>
          <w:p w14:paraId="1D5F12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 мм с</w:t>
            </w:r>
          </w:p>
        </w:tc>
        <w:tc>
          <w:tcPr>
            <w:tcW w:w="818" w:type="dxa"/>
          </w:tcPr>
          <w:p w14:paraId="6366CEA4" w14:textId="77777777" w:rsidR="00AE7191" w:rsidRPr="00722885" w:rsidRDefault="00AE7191" w:rsidP="00722885">
            <w:pPr>
              <w:pStyle w:val="Iauiue"/>
              <w:jc w:val="both"/>
              <w:rPr>
                <w:color w:val="000000" w:themeColor="text1"/>
                <w:sz w:val="16"/>
                <w:szCs w:val="16"/>
              </w:rPr>
            </w:pPr>
          </w:p>
        </w:tc>
        <w:tc>
          <w:tcPr>
            <w:tcW w:w="830" w:type="dxa"/>
          </w:tcPr>
          <w:p w14:paraId="7A1245A9" w14:textId="77777777" w:rsidR="00AE7191" w:rsidRPr="00722885" w:rsidRDefault="00AE7191" w:rsidP="00722885">
            <w:pPr>
              <w:pStyle w:val="Iauiue"/>
              <w:jc w:val="both"/>
              <w:rPr>
                <w:color w:val="000000" w:themeColor="text1"/>
                <w:sz w:val="16"/>
                <w:szCs w:val="16"/>
              </w:rPr>
            </w:pPr>
          </w:p>
        </w:tc>
        <w:tc>
          <w:tcPr>
            <w:tcW w:w="829" w:type="dxa"/>
          </w:tcPr>
          <w:p w14:paraId="2A076DAA" w14:textId="77777777" w:rsidR="00AE7191" w:rsidRPr="00722885" w:rsidRDefault="00AE7191" w:rsidP="00722885">
            <w:pPr>
              <w:pStyle w:val="Iauiue"/>
              <w:jc w:val="both"/>
              <w:rPr>
                <w:color w:val="000000" w:themeColor="text1"/>
                <w:sz w:val="16"/>
                <w:szCs w:val="16"/>
              </w:rPr>
            </w:pPr>
          </w:p>
        </w:tc>
        <w:tc>
          <w:tcPr>
            <w:tcW w:w="968" w:type="dxa"/>
          </w:tcPr>
          <w:p w14:paraId="7A06E39A" w14:textId="77777777" w:rsidR="00AE7191" w:rsidRPr="00722885" w:rsidRDefault="00AE7191" w:rsidP="00722885">
            <w:pPr>
              <w:pStyle w:val="Iauiue"/>
              <w:jc w:val="both"/>
              <w:rPr>
                <w:color w:val="000000" w:themeColor="text1"/>
                <w:sz w:val="16"/>
                <w:szCs w:val="16"/>
              </w:rPr>
            </w:pPr>
          </w:p>
        </w:tc>
        <w:tc>
          <w:tcPr>
            <w:tcW w:w="837" w:type="dxa"/>
          </w:tcPr>
          <w:p w14:paraId="75568AC5" w14:textId="77777777" w:rsidR="00AE7191" w:rsidRPr="00722885" w:rsidRDefault="00AE7191" w:rsidP="00722885">
            <w:pPr>
              <w:pStyle w:val="Iauiue"/>
              <w:jc w:val="both"/>
              <w:rPr>
                <w:color w:val="000000" w:themeColor="text1"/>
                <w:sz w:val="16"/>
                <w:szCs w:val="16"/>
              </w:rPr>
            </w:pPr>
          </w:p>
        </w:tc>
      </w:tr>
      <w:tr w:rsidR="009B487A" w:rsidRPr="00722885" w14:paraId="5C7C53B8" w14:textId="77777777" w:rsidTr="00CC5360">
        <w:tc>
          <w:tcPr>
            <w:tcW w:w="1809" w:type="dxa"/>
          </w:tcPr>
          <w:p w14:paraId="43828A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 АМ-39 конст.</w:t>
            </w:r>
          </w:p>
        </w:tc>
        <w:tc>
          <w:tcPr>
            <w:tcW w:w="723" w:type="dxa"/>
          </w:tcPr>
          <w:p w14:paraId="01F7C5FC" w14:textId="77777777" w:rsidR="00AE7191" w:rsidRPr="00722885" w:rsidRDefault="00AE7191" w:rsidP="00722885">
            <w:pPr>
              <w:pStyle w:val="Iauiue"/>
              <w:jc w:val="both"/>
              <w:rPr>
                <w:color w:val="000000" w:themeColor="text1"/>
                <w:sz w:val="16"/>
                <w:szCs w:val="16"/>
              </w:rPr>
            </w:pPr>
          </w:p>
        </w:tc>
        <w:tc>
          <w:tcPr>
            <w:tcW w:w="862" w:type="dxa"/>
          </w:tcPr>
          <w:p w14:paraId="1973082D" w14:textId="77777777" w:rsidR="00AE7191" w:rsidRPr="00722885" w:rsidRDefault="00AE7191" w:rsidP="00722885">
            <w:pPr>
              <w:pStyle w:val="Iauiue"/>
              <w:jc w:val="both"/>
              <w:rPr>
                <w:color w:val="000000" w:themeColor="text1"/>
                <w:sz w:val="16"/>
                <w:szCs w:val="16"/>
              </w:rPr>
            </w:pPr>
          </w:p>
        </w:tc>
        <w:tc>
          <w:tcPr>
            <w:tcW w:w="865" w:type="dxa"/>
          </w:tcPr>
          <w:p w14:paraId="6D0D5F98" w14:textId="77777777" w:rsidR="00AE7191" w:rsidRPr="00722885" w:rsidRDefault="00AE7191" w:rsidP="00722885">
            <w:pPr>
              <w:pStyle w:val="Iauiue"/>
              <w:jc w:val="both"/>
              <w:rPr>
                <w:color w:val="000000" w:themeColor="text1"/>
                <w:sz w:val="16"/>
                <w:szCs w:val="16"/>
              </w:rPr>
            </w:pPr>
          </w:p>
        </w:tc>
        <w:tc>
          <w:tcPr>
            <w:tcW w:w="692" w:type="dxa"/>
          </w:tcPr>
          <w:p w14:paraId="3519325F" w14:textId="77777777" w:rsidR="00AE7191" w:rsidRPr="00722885" w:rsidRDefault="00AE7191" w:rsidP="00722885">
            <w:pPr>
              <w:pStyle w:val="Iauiue"/>
              <w:jc w:val="both"/>
              <w:rPr>
                <w:color w:val="000000" w:themeColor="text1"/>
                <w:sz w:val="16"/>
                <w:szCs w:val="16"/>
              </w:rPr>
            </w:pPr>
          </w:p>
        </w:tc>
        <w:tc>
          <w:tcPr>
            <w:tcW w:w="1371" w:type="dxa"/>
          </w:tcPr>
          <w:p w14:paraId="22AE2C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Боезапас.</w:t>
            </w:r>
          </w:p>
        </w:tc>
        <w:tc>
          <w:tcPr>
            <w:tcW w:w="818" w:type="dxa"/>
          </w:tcPr>
          <w:p w14:paraId="0EF0B083" w14:textId="77777777" w:rsidR="00AE7191" w:rsidRPr="00722885" w:rsidRDefault="00AE7191" w:rsidP="00722885">
            <w:pPr>
              <w:pStyle w:val="Iauiue"/>
              <w:jc w:val="both"/>
              <w:rPr>
                <w:color w:val="000000" w:themeColor="text1"/>
                <w:sz w:val="16"/>
                <w:szCs w:val="16"/>
              </w:rPr>
            </w:pPr>
          </w:p>
        </w:tc>
        <w:tc>
          <w:tcPr>
            <w:tcW w:w="830" w:type="dxa"/>
          </w:tcPr>
          <w:p w14:paraId="42B05267" w14:textId="77777777" w:rsidR="00AE7191" w:rsidRPr="00722885" w:rsidRDefault="00AE7191" w:rsidP="00722885">
            <w:pPr>
              <w:pStyle w:val="Iauiue"/>
              <w:jc w:val="both"/>
              <w:rPr>
                <w:color w:val="000000" w:themeColor="text1"/>
                <w:sz w:val="16"/>
                <w:szCs w:val="16"/>
              </w:rPr>
            </w:pPr>
          </w:p>
        </w:tc>
        <w:tc>
          <w:tcPr>
            <w:tcW w:w="829" w:type="dxa"/>
          </w:tcPr>
          <w:p w14:paraId="015617D5" w14:textId="77777777" w:rsidR="00AE7191" w:rsidRPr="00722885" w:rsidRDefault="00AE7191" w:rsidP="00722885">
            <w:pPr>
              <w:pStyle w:val="Iauiue"/>
              <w:jc w:val="both"/>
              <w:rPr>
                <w:color w:val="000000" w:themeColor="text1"/>
                <w:sz w:val="16"/>
                <w:szCs w:val="16"/>
              </w:rPr>
            </w:pPr>
          </w:p>
        </w:tc>
        <w:tc>
          <w:tcPr>
            <w:tcW w:w="968" w:type="dxa"/>
          </w:tcPr>
          <w:p w14:paraId="5EDCF4C2" w14:textId="77777777" w:rsidR="00AE7191" w:rsidRPr="00722885" w:rsidRDefault="00AE7191" w:rsidP="00722885">
            <w:pPr>
              <w:pStyle w:val="Iauiue"/>
              <w:jc w:val="both"/>
              <w:rPr>
                <w:color w:val="000000" w:themeColor="text1"/>
                <w:sz w:val="16"/>
                <w:szCs w:val="16"/>
              </w:rPr>
            </w:pPr>
          </w:p>
        </w:tc>
        <w:tc>
          <w:tcPr>
            <w:tcW w:w="837" w:type="dxa"/>
          </w:tcPr>
          <w:p w14:paraId="5DA6A106" w14:textId="77777777" w:rsidR="00AE7191" w:rsidRPr="00722885" w:rsidRDefault="00AE7191" w:rsidP="00722885">
            <w:pPr>
              <w:pStyle w:val="Iauiue"/>
              <w:jc w:val="both"/>
              <w:rPr>
                <w:color w:val="000000" w:themeColor="text1"/>
                <w:sz w:val="16"/>
                <w:szCs w:val="16"/>
              </w:rPr>
            </w:pPr>
          </w:p>
        </w:tc>
      </w:tr>
      <w:tr w:rsidR="009B487A" w:rsidRPr="00722885" w14:paraId="43BB430F" w14:textId="77777777" w:rsidTr="00CC5360">
        <w:tc>
          <w:tcPr>
            <w:tcW w:w="1809" w:type="dxa"/>
          </w:tcPr>
          <w:p w14:paraId="28A4B3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Микояна и</w:t>
            </w:r>
          </w:p>
        </w:tc>
        <w:tc>
          <w:tcPr>
            <w:tcW w:w="723" w:type="dxa"/>
          </w:tcPr>
          <w:p w14:paraId="517F7BAB" w14:textId="77777777" w:rsidR="00AE7191" w:rsidRPr="00722885" w:rsidRDefault="00AE7191" w:rsidP="00722885">
            <w:pPr>
              <w:pStyle w:val="Iauiue"/>
              <w:jc w:val="both"/>
              <w:rPr>
                <w:color w:val="000000" w:themeColor="text1"/>
                <w:sz w:val="16"/>
                <w:szCs w:val="16"/>
              </w:rPr>
            </w:pPr>
          </w:p>
        </w:tc>
        <w:tc>
          <w:tcPr>
            <w:tcW w:w="862" w:type="dxa"/>
          </w:tcPr>
          <w:p w14:paraId="22B84223" w14:textId="77777777" w:rsidR="00AE7191" w:rsidRPr="00722885" w:rsidRDefault="00AE7191" w:rsidP="00722885">
            <w:pPr>
              <w:pStyle w:val="Iauiue"/>
              <w:jc w:val="both"/>
              <w:rPr>
                <w:color w:val="000000" w:themeColor="text1"/>
                <w:sz w:val="16"/>
                <w:szCs w:val="16"/>
              </w:rPr>
            </w:pPr>
          </w:p>
        </w:tc>
        <w:tc>
          <w:tcPr>
            <w:tcW w:w="865" w:type="dxa"/>
          </w:tcPr>
          <w:p w14:paraId="11CE0B97" w14:textId="77777777" w:rsidR="00AE7191" w:rsidRPr="00722885" w:rsidRDefault="00AE7191" w:rsidP="00722885">
            <w:pPr>
              <w:pStyle w:val="Iauiue"/>
              <w:jc w:val="both"/>
              <w:rPr>
                <w:color w:val="000000" w:themeColor="text1"/>
                <w:sz w:val="16"/>
                <w:szCs w:val="16"/>
              </w:rPr>
            </w:pPr>
          </w:p>
        </w:tc>
        <w:tc>
          <w:tcPr>
            <w:tcW w:w="692" w:type="dxa"/>
          </w:tcPr>
          <w:p w14:paraId="289F4F49" w14:textId="77777777" w:rsidR="00AE7191" w:rsidRPr="00722885" w:rsidRDefault="00AE7191" w:rsidP="00722885">
            <w:pPr>
              <w:pStyle w:val="Iauiue"/>
              <w:jc w:val="both"/>
              <w:rPr>
                <w:color w:val="000000" w:themeColor="text1"/>
                <w:sz w:val="16"/>
                <w:szCs w:val="16"/>
              </w:rPr>
            </w:pPr>
          </w:p>
        </w:tc>
        <w:tc>
          <w:tcPr>
            <w:tcW w:w="1371" w:type="dxa"/>
          </w:tcPr>
          <w:p w14:paraId="02B17C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300 снар.</w:t>
            </w:r>
          </w:p>
        </w:tc>
        <w:tc>
          <w:tcPr>
            <w:tcW w:w="818" w:type="dxa"/>
          </w:tcPr>
          <w:p w14:paraId="6E036584" w14:textId="77777777" w:rsidR="00AE7191" w:rsidRPr="00722885" w:rsidRDefault="00AE7191" w:rsidP="00722885">
            <w:pPr>
              <w:pStyle w:val="Iauiue"/>
              <w:jc w:val="both"/>
              <w:rPr>
                <w:color w:val="000000" w:themeColor="text1"/>
                <w:sz w:val="16"/>
                <w:szCs w:val="16"/>
              </w:rPr>
            </w:pPr>
          </w:p>
        </w:tc>
        <w:tc>
          <w:tcPr>
            <w:tcW w:w="830" w:type="dxa"/>
          </w:tcPr>
          <w:p w14:paraId="135A5951" w14:textId="77777777" w:rsidR="00AE7191" w:rsidRPr="00722885" w:rsidRDefault="00AE7191" w:rsidP="00722885">
            <w:pPr>
              <w:pStyle w:val="Iauiue"/>
              <w:jc w:val="both"/>
              <w:rPr>
                <w:color w:val="000000" w:themeColor="text1"/>
                <w:sz w:val="16"/>
                <w:szCs w:val="16"/>
              </w:rPr>
            </w:pPr>
          </w:p>
        </w:tc>
        <w:tc>
          <w:tcPr>
            <w:tcW w:w="829" w:type="dxa"/>
          </w:tcPr>
          <w:p w14:paraId="0C21333F" w14:textId="77777777" w:rsidR="00AE7191" w:rsidRPr="00722885" w:rsidRDefault="00AE7191" w:rsidP="00722885">
            <w:pPr>
              <w:pStyle w:val="Iauiue"/>
              <w:jc w:val="both"/>
              <w:rPr>
                <w:color w:val="000000" w:themeColor="text1"/>
                <w:sz w:val="16"/>
                <w:szCs w:val="16"/>
              </w:rPr>
            </w:pPr>
          </w:p>
        </w:tc>
        <w:tc>
          <w:tcPr>
            <w:tcW w:w="968" w:type="dxa"/>
          </w:tcPr>
          <w:p w14:paraId="70B7C1EA" w14:textId="77777777" w:rsidR="00AE7191" w:rsidRPr="00722885" w:rsidRDefault="00AE7191" w:rsidP="00722885">
            <w:pPr>
              <w:pStyle w:val="Iauiue"/>
              <w:jc w:val="both"/>
              <w:rPr>
                <w:color w:val="000000" w:themeColor="text1"/>
                <w:sz w:val="16"/>
                <w:szCs w:val="16"/>
              </w:rPr>
            </w:pPr>
          </w:p>
        </w:tc>
        <w:tc>
          <w:tcPr>
            <w:tcW w:w="837" w:type="dxa"/>
          </w:tcPr>
          <w:p w14:paraId="54971987" w14:textId="77777777" w:rsidR="00AE7191" w:rsidRPr="00722885" w:rsidRDefault="00AE7191" w:rsidP="00722885">
            <w:pPr>
              <w:pStyle w:val="Iauiue"/>
              <w:jc w:val="both"/>
              <w:rPr>
                <w:color w:val="000000" w:themeColor="text1"/>
                <w:sz w:val="16"/>
                <w:szCs w:val="16"/>
              </w:rPr>
            </w:pPr>
          </w:p>
        </w:tc>
      </w:tr>
      <w:tr w:rsidR="009B487A" w:rsidRPr="00722885" w14:paraId="75028CD7" w14:textId="77777777" w:rsidTr="00CC5360">
        <w:tc>
          <w:tcPr>
            <w:tcW w:w="1809" w:type="dxa"/>
          </w:tcPr>
          <w:p w14:paraId="020869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Гуревича</w:t>
            </w:r>
          </w:p>
        </w:tc>
        <w:tc>
          <w:tcPr>
            <w:tcW w:w="723" w:type="dxa"/>
          </w:tcPr>
          <w:p w14:paraId="17BD4496" w14:textId="77777777" w:rsidR="00AE7191" w:rsidRPr="00722885" w:rsidRDefault="00AE7191" w:rsidP="00722885">
            <w:pPr>
              <w:pStyle w:val="Iauiue"/>
              <w:jc w:val="both"/>
              <w:rPr>
                <w:color w:val="000000" w:themeColor="text1"/>
                <w:sz w:val="16"/>
                <w:szCs w:val="16"/>
              </w:rPr>
            </w:pPr>
          </w:p>
        </w:tc>
        <w:tc>
          <w:tcPr>
            <w:tcW w:w="862" w:type="dxa"/>
          </w:tcPr>
          <w:p w14:paraId="52FCE125" w14:textId="77777777" w:rsidR="00AE7191" w:rsidRPr="00722885" w:rsidRDefault="00AE7191" w:rsidP="00722885">
            <w:pPr>
              <w:pStyle w:val="Iauiue"/>
              <w:jc w:val="both"/>
              <w:rPr>
                <w:color w:val="000000" w:themeColor="text1"/>
                <w:sz w:val="16"/>
                <w:szCs w:val="16"/>
              </w:rPr>
            </w:pPr>
          </w:p>
        </w:tc>
        <w:tc>
          <w:tcPr>
            <w:tcW w:w="865" w:type="dxa"/>
          </w:tcPr>
          <w:p w14:paraId="4A563131" w14:textId="77777777" w:rsidR="00AE7191" w:rsidRPr="00722885" w:rsidRDefault="00AE7191" w:rsidP="00722885">
            <w:pPr>
              <w:pStyle w:val="Iauiue"/>
              <w:jc w:val="both"/>
              <w:rPr>
                <w:color w:val="000000" w:themeColor="text1"/>
                <w:sz w:val="16"/>
                <w:szCs w:val="16"/>
              </w:rPr>
            </w:pPr>
          </w:p>
        </w:tc>
        <w:tc>
          <w:tcPr>
            <w:tcW w:w="692" w:type="dxa"/>
          </w:tcPr>
          <w:p w14:paraId="67A9FC17" w14:textId="77777777" w:rsidR="00AE7191" w:rsidRPr="00722885" w:rsidRDefault="00AE7191" w:rsidP="00722885">
            <w:pPr>
              <w:pStyle w:val="Iauiue"/>
              <w:jc w:val="both"/>
              <w:rPr>
                <w:color w:val="000000" w:themeColor="text1"/>
                <w:sz w:val="16"/>
                <w:szCs w:val="16"/>
              </w:rPr>
            </w:pPr>
          </w:p>
        </w:tc>
        <w:tc>
          <w:tcPr>
            <w:tcW w:w="1371" w:type="dxa"/>
          </w:tcPr>
          <w:p w14:paraId="7F38EF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пулем.</w:t>
            </w:r>
          </w:p>
        </w:tc>
        <w:tc>
          <w:tcPr>
            <w:tcW w:w="818" w:type="dxa"/>
          </w:tcPr>
          <w:p w14:paraId="464E7F5B" w14:textId="77777777" w:rsidR="00AE7191" w:rsidRPr="00722885" w:rsidRDefault="00AE7191" w:rsidP="00722885">
            <w:pPr>
              <w:pStyle w:val="Iauiue"/>
              <w:jc w:val="both"/>
              <w:rPr>
                <w:color w:val="000000" w:themeColor="text1"/>
                <w:sz w:val="16"/>
                <w:szCs w:val="16"/>
              </w:rPr>
            </w:pPr>
          </w:p>
        </w:tc>
        <w:tc>
          <w:tcPr>
            <w:tcW w:w="830" w:type="dxa"/>
          </w:tcPr>
          <w:p w14:paraId="4C78ADFC" w14:textId="77777777" w:rsidR="00AE7191" w:rsidRPr="00722885" w:rsidRDefault="00AE7191" w:rsidP="00722885">
            <w:pPr>
              <w:pStyle w:val="Iauiue"/>
              <w:jc w:val="both"/>
              <w:rPr>
                <w:color w:val="000000" w:themeColor="text1"/>
                <w:sz w:val="16"/>
                <w:szCs w:val="16"/>
              </w:rPr>
            </w:pPr>
          </w:p>
        </w:tc>
        <w:tc>
          <w:tcPr>
            <w:tcW w:w="829" w:type="dxa"/>
          </w:tcPr>
          <w:p w14:paraId="4CB773EA" w14:textId="77777777" w:rsidR="00AE7191" w:rsidRPr="00722885" w:rsidRDefault="00AE7191" w:rsidP="00722885">
            <w:pPr>
              <w:pStyle w:val="Iauiue"/>
              <w:jc w:val="both"/>
              <w:rPr>
                <w:color w:val="000000" w:themeColor="text1"/>
                <w:sz w:val="16"/>
                <w:szCs w:val="16"/>
              </w:rPr>
            </w:pPr>
          </w:p>
        </w:tc>
        <w:tc>
          <w:tcPr>
            <w:tcW w:w="968" w:type="dxa"/>
          </w:tcPr>
          <w:p w14:paraId="34E6A9E8" w14:textId="77777777" w:rsidR="00AE7191" w:rsidRPr="00722885" w:rsidRDefault="00AE7191" w:rsidP="00722885">
            <w:pPr>
              <w:pStyle w:val="Iauiue"/>
              <w:jc w:val="both"/>
              <w:rPr>
                <w:color w:val="000000" w:themeColor="text1"/>
                <w:sz w:val="16"/>
                <w:szCs w:val="16"/>
              </w:rPr>
            </w:pPr>
          </w:p>
        </w:tc>
        <w:tc>
          <w:tcPr>
            <w:tcW w:w="837" w:type="dxa"/>
          </w:tcPr>
          <w:p w14:paraId="1010F137" w14:textId="77777777" w:rsidR="00AE7191" w:rsidRPr="00722885" w:rsidRDefault="00AE7191" w:rsidP="00722885">
            <w:pPr>
              <w:pStyle w:val="Iauiue"/>
              <w:jc w:val="both"/>
              <w:rPr>
                <w:color w:val="000000" w:themeColor="text1"/>
                <w:sz w:val="16"/>
                <w:szCs w:val="16"/>
              </w:rPr>
            </w:pPr>
          </w:p>
        </w:tc>
      </w:tr>
      <w:tr w:rsidR="009B487A" w:rsidRPr="00722885" w14:paraId="6AF5D4CC" w14:textId="77777777" w:rsidTr="00CC5360">
        <w:tc>
          <w:tcPr>
            <w:tcW w:w="1809" w:type="dxa"/>
          </w:tcPr>
          <w:p w14:paraId="7DE20757" w14:textId="77777777" w:rsidR="00AE7191" w:rsidRPr="00722885" w:rsidRDefault="00AE7191" w:rsidP="00722885">
            <w:pPr>
              <w:pStyle w:val="Iauiue"/>
              <w:jc w:val="both"/>
              <w:rPr>
                <w:color w:val="000000" w:themeColor="text1"/>
                <w:sz w:val="16"/>
                <w:szCs w:val="16"/>
              </w:rPr>
            </w:pPr>
          </w:p>
        </w:tc>
        <w:tc>
          <w:tcPr>
            <w:tcW w:w="723" w:type="dxa"/>
          </w:tcPr>
          <w:p w14:paraId="6340A2E4" w14:textId="77777777" w:rsidR="00AE7191" w:rsidRPr="00722885" w:rsidRDefault="00AE7191" w:rsidP="00722885">
            <w:pPr>
              <w:pStyle w:val="Iauiue"/>
              <w:jc w:val="both"/>
              <w:rPr>
                <w:color w:val="000000" w:themeColor="text1"/>
                <w:sz w:val="16"/>
                <w:szCs w:val="16"/>
              </w:rPr>
            </w:pPr>
          </w:p>
        </w:tc>
        <w:tc>
          <w:tcPr>
            <w:tcW w:w="862" w:type="dxa"/>
          </w:tcPr>
          <w:p w14:paraId="41B602A2" w14:textId="77777777" w:rsidR="00AE7191" w:rsidRPr="00722885" w:rsidRDefault="00AE7191" w:rsidP="00722885">
            <w:pPr>
              <w:pStyle w:val="Iauiue"/>
              <w:jc w:val="both"/>
              <w:rPr>
                <w:color w:val="000000" w:themeColor="text1"/>
                <w:sz w:val="16"/>
                <w:szCs w:val="16"/>
              </w:rPr>
            </w:pPr>
          </w:p>
        </w:tc>
        <w:tc>
          <w:tcPr>
            <w:tcW w:w="865" w:type="dxa"/>
          </w:tcPr>
          <w:p w14:paraId="7E8FD9B7" w14:textId="77777777" w:rsidR="00AE7191" w:rsidRPr="00722885" w:rsidRDefault="00AE7191" w:rsidP="00722885">
            <w:pPr>
              <w:pStyle w:val="Iauiue"/>
              <w:jc w:val="both"/>
              <w:rPr>
                <w:color w:val="000000" w:themeColor="text1"/>
                <w:sz w:val="16"/>
                <w:szCs w:val="16"/>
              </w:rPr>
            </w:pPr>
          </w:p>
        </w:tc>
        <w:tc>
          <w:tcPr>
            <w:tcW w:w="692" w:type="dxa"/>
          </w:tcPr>
          <w:p w14:paraId="6FA02BA7" w14:textId="77777777" w:rsidR="00AE7191" w:rsidRPr="00722885" w:rsidRDefault="00AE7191" w:rsidP="00722885">
            <w:pPr>
              <w:pStyle w:val="Iauiue"/>
              <w:jc w:val="both"/>
              <w:rPr>
                <w:color w:val="000000" w:themeColor="text1"/>
                <w:sz w:val="16"/>
                <w:szCs w:val="16"/>
              </w:rPr>
            </w:pPr>
          </w:p>
        </w:tc>
        <w:tc>
          <w:tcPr>
            <w:tcW w:w="1371" w:type="dxa"/>
          </w:tcPr>
          <w:p w14:paraId="6EB78E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12,7 мм с</w:t>
            </w:r>
          </w:p>
        </w:tc>
        <w:tc>
          <w:tcPr>
            <w:tcW w:w="818" w:type="dxa"/>
          </w:tcPr>
          <w:p w14:paraId="12DC965F" w14:textId="77777777" w:rsidR="00AE7191" w:rsidRPr="00722885" w:rsidRDefault="00AE7191" w:rsidP="00722885">
            <w:pPr>
              <w:pStyle w:val="Iauiue"/>
              <w:jc w:val="both"/>
              <w:rPr>
                <w:color w:val="000000" w:themeColor="text1"/>
                <w:sz w:val="16"/>
                <w:szCs w:val="16"/>
              </w:rPr>
            </w:pPr>
          </w:p>
        </w:tc>
        <w:tc>
          <w:tcPr>
            <w:tcW w:w="830" w:type="dxa"/>
          </w:tcPr>
          <w:p w14:paraId="33816A3E" w14:textId="77777777" w:rsidR="00AE7191" w:rsidRPr="00722885" w:rsidRDefault="00AE7191" w:rsidP="00722885">
            <w:pPr>
              <w:pStyle w:val="Iauiue"/>
              <w:jc w:val="both"/>
              <w:rPr>
                <w:color w:val="000000" w:themeColor="text1"/>
                <w:sz w:val="16"/>
                <w:szCs w:val="16"/>
              </w:rPr>
            </w:pPr>
          </w:p>
        </w:tc>
        <w:tc>
          <w:tcPr>
            <w:tcW w:w="829" w:type="dxa"/>
          </w:tcPr>
          <w:p w14:paraId="06D59B0D" w14:textId="77777777" w:rsidR="00AE7191" w:rsidRPr="00722885" w:rsidRDefault="00AE7191" w:rsidP="00722885">
            <w:pPr>
              <w:pStyle w:val="Iauiue"/>
              <w:jc w:val="both"/>
              <w:rPr>
                <w:color w:val="000000" w:themeColor="text1"/>
                <w:sz w:val="16"/>
                <w:szCs w:val="16"/>
              </w:rPr>
            </w:pPr>
          </w:p>
        </w:tc>
        <w:tc>
          <w:tcPr>
            <w:tcW w:w="968" w:type="dxa"/>
          </w:tcPr>
          <w:p w14:paraId="4BAA02FC" w14:textId="77777777" w:rsidR="00AE7191" w:rsidRPr="00722885" w:rsidRDefault="00AE7191" w:rsidP="00722885">
            <w:pPr>
              <w:pStyle w:val="Iauiue"/>
              <w:jc w:val="both"/>
              <w:rPr>
                <w:color w:val="000000" w:themeColor="text1"/>
                <w:sz w:val="16"/>
                <w:szCs w:val="16"/>
              </w:rPr>
            </w:pPr>
          </w:p>
        </w:tc>
        <w:tc>
          <w:tcPr>
            <w:tcW w:w="837" w:type="dxa"/>
          </w:tcPr>
          <w:p w14:paraId="54415F67" w14:textId="77777777" w:rsidR="00AE7191" w:rsidRPr="00722885" w:rsidRDefault="00AE7191" w:rsidP="00722885">
            <w:pPr>
              <w:pStyle w:val="Iauiue"/>
              <w:jc w:val="both"/>
              <w:rPr>
                <w:color w:val="000000" w:themeColor="text1"/>
                <w:sz w:val="16"/>
                <w:szCs w:val="16"/>
              </w:rPr>
            </w:pPr>
          </w:p>
        </w:tc>
      </w:tr>
      <w:tr w:rsidR="009B487A" w:rsidRPr="00722885" w14:paraId="297A4438" w14:textId="77777777" w:rsidTr="00CC5360">
        <w:tc>
          <w:tcPr>
            <w:tcW w:w="1809" w:type="dxa"/>
          </w:tcPr>
          <w:p w14:paraId="73F182E7" w14:textId="77777777" w:rsidR="00AE7191" w:rsidRPr="00722885" w:rsidRDefault="00AE7191" w:rsidP="00722885">
            <w:pPr>
              <w:pStyle w:val="Iauiue"/>
              <w:jc w:val="both"/>
              <w:rPr>
                <w:color w:val="000000" w:themeColor="text1"/>
                <w:sz w:val="16"/>
                <w:szCs w:val="16"/>
              </w:rPr>
            </w:pPr>
          </w:p>
        </w:tc>
        <w:tc>
          <w:tcPr>
            <w:tcW w:w="723" w:type="dxa"/>
          </w:tcPr>
          <w:p w14:paraId="1337CE3C" w14:textId="77777777" w:rsidR="00AE7191" w:rsidRPr="00722885" w:rsidRDefault="00AE7191" w:rsidP="00722885">
            <w:pPr>
              <w:pStyle w:val="Iauiue"/>
              <w:jc w:val="both"/>
              <w:rPr>
                <w:color w:val="000000" w:themeColor="text1"/>
                <w:sz w:val="16"/>
                <w:szCs w:val="16"/>
              </w:rPr>
            </w:pPr>
          </w:p>
        </w:tc>
        <w:tc>
          <w:tcPr>
            <w:tcW w:w="862" w:type="dxa"/>
          </w:tcPr>
          <w:p w14:paraId="5EEF8014" w14:textId="77777777" w:rsidR="00AE7191" w:rsidRPr="00722885" w:rsidRDefault="00AE7191" w:rsidP="00722885">
            <w:pPr>
              <w:pStyle w:val="Iauiue"/>
              <w:jc w:val="both"/>
              <w:rPr>
                <w:color w:val="000000" w:themeColor="text1"/>
                <w:sz w:val="16"/>
                <w:szCs w:val="16"/>
              </w:rPr>
            </w:pPr>
          </w:p>
        </w:tc>
        <w:tc>
          <w:tcPr>
            <w:tcW w:w="865" w:type="dxa"/>
          </w:tcPr>
          <w:p w14:paraId="25116685" w14:textId="77777777" w:rsidR="00AE7191" w:rsidRPr="00722885" w:rsidRDefault="00AE7191" w:rsidP="00722885">
            <w:pPr>
              <w:pStyle w:val="Iauiue"/>
              <w:jc w:val="both"/>
              <w:rPr>
                <w:color w:val="000000" w:themeColor="text1"/>
                <w:sz w:val="16"/>
                <w:szCs w:val="16"/>
              </w:rPr>
            </w:pPr>
          </w:p>
        </w:tc>
        <w:tc>
          <w:tcPr>
            <w:tcW w:w="692" w:type="dxa"/>
          </w:tcPr>
          <w:p w14:paraId="2796BB55" w14:textId="77777777" w:rsidR="00AE7191" w:rsidRPr="00722885" w:rsidRDefault="00AE7191" w:rsidP="00722885">
            <w:pPr>
              <w:pStyle w:val="Iauiue"/>
              <w:jc w:val="both"/>
              <w:rPr>
                <w:color w:val="000000" w:themeColor="text1"/>
                <w:sz w:val="16"/>
                <w:szCs w:val="16"/>
              </w:rPr>
            </w:pPr>
          </w:p>
        </w:tc>
        <w:tc>
          <w:tcPr>
            <w:tcW w:w="1371" w:type="dxa"/>
          </w:tcPr>
          <w:p w14:paraId="5C9D7C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боезапасом</w:t>
            </w:r>
          </w:p>
        </w:tc>
        <w:tc>
          <w:tcPr>
            <w:tcW w:w="818" w:type="dxa"/>
          </w:tcPr>
          <w:p w14:paraId="20BE256D" w14:textId="77777777" w:rsidR="00AE7191" w:rsidRPr="00722885" w:rsidRDefault="00AE7191" w:rsidP="00722885">
            <w:pPr>
              <w:pStyle w:val="Iauiue"/>
              <w:jc w:val="both"/>
              <w:rPr>
                <w:color w:val="000000" w:themeColor="text1"/>
                <w:sz w:val="16"/>
                <w:szCs w:val="16"/>
              </w:rPr>
            </w:pPr>
          </w:p>
        </w:tc>
        <w:tc>
          <w:tcPr>
            <w:tcW w:w="830" w:type="dxa"/>
          </w:tcPr>
          <w:p w14:paraId="39AE81CB" w14:textId="77777777" w:rsidR="00AE7191" w:rsidRPr="00722885" w:rsidRDefault="00AE7191" w:rsidP="00722885">
            <w:pPr>
              <w:pStyle w:val="Iauiue"/>
              <w:jc w:val="both"/>
              <w:rPr>
                <w:color w:val="000000" w:themeColor="text1"/>
                <w:sz w:val="16"/>
                <w:szCs w:val="16"/>
              </w:rPr>
            </w:pPr>
          </w:p>
        </w:tc>
        <w:tc>
          <w:tcPr>
            <w:tcW w:w="829" w:type="dxa"/>
          </w:tcPr>
          <w:p w14:paraId="76B60F40" w14:textId="77777777" w:rsidR="00AE7191" w:rsidRPr="00722885" w:rsidRDefault="00AE7191" w:rsidP="00722885">
            <w:pPr>
              <w:pStyle w:val="Iauiue"/>
              <w:jc w:val="both"/>
              <w:rPr>
                <w:color w:val="000000" w:themeColor="text1"/>
                <w:sz w:val="16"/>
                <w:szCs w:val="16"/>
              </w:rPr>
            </w:pPr>
          </w:p>
        </w:tc>
        <w:tc>
          <w:tcPr>
            <w:tcW w:w="968" w:type="dxa"/>
          </w:tcPr>
          <w:p w14:paraId="41740788" w14:textId="77777777" w:rsidR="00AE7191" w:rsidRPr="00722885" w:rsidRDefault="00AE7191" w:rsidP="00722885">
            <w:pPr>
              <w:pStyle w:val="Iauiue"/>
              <w:jc w:val="both"/>
              <w:rPr>
                <w:color w:val="000000" w:themeColor="text1"/>
                <w:sz w:val="16"/>
                <w:szCs w:val="16"/>
              </w:rPr>
            </w:pPr>
          </w:p>
        </w:tc>
        <w:tc>
          <w:tcPr>
            <w:tcW w:w="837" w:type="dxa"/>
          </w:tcPr>
          <w:p w14:paraId="1B51BADC" w14:textId="77777777" w:rsidR="00AE7191" w:rsidRPr="00722885" w:rsidRDefault="00AE7191" w:rsidP="00722885">
            <w:pPr>
              <w:pStyle w:val="Iauiue"/>
              <w:jc w:val="both"/>
              <w:rPr>
                <w:color w:val="000000" w:themeColor="text1"/>
                <w:sz w:val="16"/>
                <w:szCs w:val="16"/>
              </w:rPr>
            </w:pPr>
          </w:p>
        </w:tc>
      </w:tr>
      <w:tr w:rsidR="009B487A" w:rsidRPr="00722885" w14:paraId="36AA4809" w14:textId="77777777" w:rsidTr="00CC5360">
        <w:tc>
          <w:tcPr>
            <w:tcW w:w="1809" w:type="dxa"/>
          </w:tcPr>
          <w:p w14:paraId="5297D7F5" w14:textId="77777777" w:rsidR="00AE7191" w:rsidRPr="00722885" w:rsidRDefault="00AE7191" w:rsidP="00722885">
            <w:pPr>
              <w:pStyle w:val="Iauiue"/>
              <w:jc w:val="both"/>
              <w:rPr>
                <w:color w:val="000000" w:themeColor="text1"/>
                <w:sz w:val="16"/>
                <w:szCs w:val="16"/>
              </w:rPr>
            </w:pPr>
          </w:p>
        </w:tc>
        <w:tc>
          <w:tcPr>
            <w:tcW w:w="723" w:type="dxa"/>
          </w:tcPr>
          <w:p w14:paraId="2644B403" w14:textId="77777777" w:rsidR="00AE7191" w:rsidRPr="00722885" w:rsidRDefault="00AE7191" w:rsidP="00722885">
            <w:pPr>
              <w:pStyle w:val="Iauiue"/>
              <w:jc w:val="both"/>
              <w:rPr>
                <w:color w:val="000000" w:themeColor="text1"/>
                <w:sz w:val="16"/>
                <w:szCs w:val="16"/>
              </w:rPr>
            </w:pPr>
          </w:p>
        </w:tc>
        <w:tc>
          <w:tcPr>
            <w:tcW w:w="862" w:type="dxa"/>
          </w:tcPr>
          <w:p w14:paraId="34BAA10C" w14:textId="77777777" w:rsidR="00AE7191" w:rsidRPr="00722885" w:rsidRDefault="00AE7191" w:rsidP="00722885">
            <w:pPr>
              <w:pStyle w:val="Iauiue"/>
              <w:jc w:val="both"/>
              <w:rPr>
                <w:color w:val="000000" w:themeColor="text1"/>
                <w:sz w:val="16"/>
                <w:szCs w:val="16"/>
              </w:rPr>
            </w:pPr>
          </w:p>
        </w:tc>
        <w:tc>
          <w:tcPr>
            <w:tcW w:w="865" w:type="dxa"/>
          </w:tcPr>
          <w:p w14:paraId="76C1078C" w14:textId="77777777" w:rsidR="00AE7191" w:rsidRPr="00722885" w:rsidRDefault="00AE7191" w:rsidP="00722885">
            <w:pPr>
              <w:pStyle w:val="Iauiue"/>
              <w:jc w:val="both"/>
              <w:rPr>
                <w:color w:val="000000" w:themeColor="text1"/>
                <w:sz w:val="16"/>
                <w:szCs w:val="16"/>
              </w:rPr>
            </w:pPr>
          </w:p>
        </w:tc>
        <w:tc>
          <w:tcPr>
            <w:tcW w:w="692" w:type="dxa"/>
          </w:tcPr>
          <w:p w14:paraId="664B7CEB" w14:textId="77777777" w:rsidR="00AE7191" w:rsidRPr="00722885" w:rsidRDefault="00AE7191" w:rsidP="00722885">
            <w:pPr>
              <w:pStyle w:val="Iauiue"/>
              <w:jc w:val="both"/>
              <w:rPr>
                <w:color w:val="000000" w:themeColor="text1"/>
                <w:sz w:val="16"/>
                <w:szCs w:val="16"/>
              </w:rPr>
            </w:pPr>
          </w:p>
        </w:tc>
        <w:tc>
          <w:tcPr>
            <w:tcW w:w="1371" w:type="dxa"/>
          </w:tcPr>
          <w:p w14:paraId="790435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 патрон.</w:t>
            </w:r>
          </w:p>
        </w:tc>
        <w:tc>
          <w:tcPr>
            <w:tcW w:w="818" w:type="dxa"/>
          </w:tcPr>
          <w:p w14:paraId="317F08A6" w14:textId="77777777" w:rsidR="00AE7191" w:rsidRPr="00722885" w:rsidRDefault="00AE7191" w:rsidP="00722885">
            <w:pPr>
              <w:pStyle w:val="Iauiue"/>
              <w:jc w:val="both"/>
              <w:rPr>
                <w:color w:val="000000" w:themeColor="text1"/>
                <w:sz w:val="16"/>
                <w:szCs w:val="16"/>
              </w:rPr>
            </w:pPr>
          </w:p>
        </w:tc>
        <w:tc>
          <w:tcPr>
            <w:tcW w:w="830" w:type="dxa"/>
          </w:tcPr>
          <w:p w14:paraId="717B8B10" w14:textId="77777777" w:rsidR="00AE7191" w:rsidRPr="00722885" w:rsidRDefault="00AE7191" w:rsidP="00722885">
            <w:pPr>
              <w:pStyle w:val="Iauiue"/>
              <w:jc w:val="both"/>
              <w:rPr>
                <w:color w:val="000000" w:themeColor="text1"/>
                <w:sz w:val="16"/>
                <w:szCs w:val="16"/>
              </w:rPr>
            </w:pPr>
          </w:p>
        </w:tc>
        <w:tc>
          <w:tcPr>
            <w:tcW w:w="829" w:type="dxa"/>
          </w:tcPr>
          <w:p w14:paraId="2B92DEF2" w14:textId="77777777" w:rsidR="00AE7191" w:rsidRPr="00722885" w:rsidRDefault="00AE7191" w:rsidP="00722885">
            <w:pPr>
              <w:pStyle w:val="Iauiue"/>
              <w:jc w:val="both"/>
              <w:rPr>
                <w:color w:val="000000" w:themeColor="text1"/>
                <w:sz w:val="16"/>
                <w:szCs w:val="16"/>
              </w:rPr>
            </w:pPr>
          </w:p>
        </w:tc>
        <w:tc>
          <w:tcPr>
            <w:tcW w:w="968" w:type="dxa"/>
          </w:tcPr>
          <w:p w14:paraId="3C7FC6C0" w14:textId="77777777" w:rsidR="00AE7191" w:rsidRPr="00722885" w:rsidRDefault="00AE7191" w:rsidP="00722885">
            <w:pPr>
              <w:pStyle w:val="Iauiue"/>
              <w:jc w:val="both"/>
              <w:rPr>
                <w:color w:val="000000" w:themeColor="text1"/>
                <w:sz w:val="16"/>
                <w:szCs w:val="16"/>
              </w:rPr>
            </w:pPr>
          </w:p>
        </w:tc>
        <w:tc>
          <w:tcPr>
            <w:tcW w:w="837" w:type="dxa"/>
          </w:tcPr>
          <w:p w14:paraId="0CF88F9E" w14:textId="77777777" w:rsidR="00AE7191" w:rsidRPr="00722885" w:rsidRDefault="00AE7191" w:rsidP="00722885">
            <w:pPr>
              <w:pStyle w:val="Iauiue"/>
              <w:jc w:val="both"/>
              <w:rPr>
                <w:color w:val="000000" w:themeColor="text1"/>
                <w:sz w:val="16"/>
                <w:szCs w:val="16"/>
              </w:rPr>
            </w:pPr>
          </w:p>
        </w:tc>
      </w:tr>
      <w:tr w:rsidR="009B487A" w:rsidRPr="00722885" w14:paraId="7ECA0BEC" w14:textId="77777777" w:rsidTr="00CC5360">
        <w:tc>
          <w:tcPr>
            <w:tcW w:w="1809" w:type="dxa"/>
          </w:tcPr>
          <w:p w14:paraId="3D9A5E7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Одноместный</w:t>
            </w:r>
          </w:p>
        </w:tc>
        <w:tc>
          <w:tcPr>
            <w:tcW w:w="723" w:type="dxa"/>
          </w:tcPr>
          <w:p w14:paraId="66276D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550</w:t>
            </w:r>
          </w:p>
        </w:tc>
        <w:tc>
          <w:tcPr>
            <w:tcW w:w="862" w:type="dxa"/>
          </w:tcPr>
          <w:p w14:paraId="118E5E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680/6000</w:t>
            </w:r>
          </w:p>
        </w:tc>
        <w:tc>
          <w:tcPr>
            <w:tcW w:w="865" w:type="dxa"/>
          </w:tcPr>
          <w:p w14:paraId="1DDCFC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800</w:t>
            </w:r>
          </w:p>
        </w:tc>
        <w:tc>
          <w:tcPr>
            <w:tcW w:w="692" w:type="dxa"/>
          </w:tcPr>
          <w:p w14:paraId="41C6D0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10000</w:t>
            </w:r>
          </w:p>
        </w:tc>
        <w:tc>
          <w:tcPr>
            <w:tcW w:w="1371" w:type="dxa"/>
          </w:tcPr>
          <w:p w14:paraId="032CA0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пушки</w:t>
            </w:r>
          </w:p>
        </w:tc>
        <w:tc>
          <w:tcPr>
            <w:tcW w:w="818" w:type="dxa"/>
          </w:tcPr>
          <w:p w14:paraId="621E74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0/200</w:t>
            </w:r>
          </w:p>
        </w:tc>
        <w:tc>
          <w:tcPr>
            <w:tcW w:w="830" w:type="dxa"/>
          </w:tcPr>
          <w:p w14:paraId="4578B0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6РО-82</w:t>
            </w:r>
          </w:p>
        </w:tc>
        <w:tc>
          <w:tcPr>
            <w:tcW w:w="829" w:type="dxa"/>
          </w:tcPr>
          <w:p w14:paraId="420E2C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968" w:type="dxa"/>
          </w:tcPr>
          <w:p w14:paraId="34DEDB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1.V.43</w:t>
            </w:r>
          </w:p>
        </w:tc>
        <w:tc>
          <w:tcPr>
            <w:tcW w:w="837" w:type="dxa"/>
          </w:tcPr>
          <w:p w14:paraId="6485DF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7000</w:t>
            </w:r>
          </w:p>
        </w:tc>
      </w:tr>
      <w:tr w:rsidR="009B487A" w:rsidRPr="00722885" w14:paraId="26AB968E" w14:textId="77777777" w:rsidTr="00CC5360">
        <w:tc>
          <w:tcPr>
            <w:tcW w:w="1809" w:type="dxa"/>
          </w:tcPr>
          <w:p w14:paraId="28384A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истребитель с</w:t>
            </w:r>
          </w:p>
        </w:tc>
        <w:tc>
          <w:tcPr>
            <w:tcW w:w="723" w:type="dxa"/>
          </w:tcPr>
          <w:p w14:paraId="1294D47E" w14:textId="77777777" w:rsidR="00AE7191" w:rsidRPr="00722885" w:rsidRDefault="00AE7191" w:rsidP="00722885">
            <w:pPr>
              <w:pStyle w:val="Iauiue"/>
              <w:jc w:val="both"/>
              <w:rPr>
                <w:color w:val="000000" w:themeColor="text1"/>
                <w:sz w:val="16"/>
                <w:szCs w:val="16"/>
              </w:rPr>
            </w:pPr>
          </w:p>
        </w:tc>
        <w:tc>
          <w:tcPr>
            <w:tcW w:w="862" w:type="dxa"/>
          </w:tcPr>
          <w:p w14:paraId="72A8A7DC" w14:textId="77777777" w:rsidR="00AE7191" w:rsidRPr="00722885" w:rsidRDefault="00AE7191" w:rsidP="00722885">
            <w:pPr>
              <w:pStyle w:val="Iauiue"/>
              <w:jc w:val="both"/>
              <w:rPr>
                <w:color w:val="000000" w:themeColor="text1"/>
                <w:sz w:val="16"/>
                <w:szCs w:val="16"/>
              </w:rPr>
            </w:pPr>
          </w:p>
        </w:tc>
        <w:tc>
          <w:tcPr>
            <w:tcW w:w="865" w:type="dxa"/>
          </w:tcPr>
          <w:p w14:paraId="4B3C84B4" w14:textId="77777777" w:rsidR="00AE7191" w:rsidRPr="00722885" w:rsidRDefault="00AE7191" w:rsidP="00722885">
            <w:pPr>
              <w:pStyle w:val="Iauiue"/>
              <w:jc w:val="both"/>
              <w:rPr>
                <w:color w:val="000000" w:themeColor="text1"/>
                <w:sz w:val="16"/>
                <w:szCs w:val="16"/>
              </w:rPr>
            </w:pPr>
          </w:p>
        </w:tc>
        <w:tc>
          <w:tcPr>
            <w:tcW w:w="692" w:type="dxa"/>
          </w:tcPr>
          <w:p w14:paraId="6BBBC8E0" w14:textId="77777777" w:rsidR="00AE7191" w:rsidRPr="00722885" w:rsidRDefault="00AE7191" w:rsidP="00722885">
            <w:pPr>
              <w:pStyle w:val="Iauiue"/>
              <w:jc w:val="both"/>
              <w:rPr>
                <w:color w:val="000000" w:themeColor="text1"/>
                <w:sz w:val="16"/>
                <w:szCs w:val="16"/>
              </w:rPr>
            </w:pPr>
          </w:p>
        </w:tc>
        <w:tc>
          <w:tcPr>
            <w:tcW w:w="1371" w:type="dxa"/>
          </w:tcPr>
          <w:p w14:paraId="1E16314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 мм с</w:t>
            </w:r>
          </w:p>
        </w:tc>
        <w:tc>
          <w:tcPr>
            <w:tcW w:w="818" w:type="dxa"/>
          </w:tcPr>
          <w:p w14:paraId="546CA2CB" w14:textId="77777777" w:rsidR="00AE7191" w:rsidRPr="00722885" w:rsidRDefault="00AE7191" w:rsidP="00722885">
            <w:pPr>
              <w:pStyle w:val="Iauiue"/>
              <w:jc w:val="both"/>
              <w:rPr>
                <w:color w:val="000000" w:themeColor="text1"/>
                <w:sz w:val="16"/>
                <w:szCs w:val="16"/>
              </w:rPr>
            </w:pPr>
          </w:p>
        </w:tc>
        <w:tc>
          <w:tcPr>
            <w:tcW w:w="830" w:type="dxa"/>
          </w:tcPr>
          <w:p w14:paraId="66AE1C36" w14:textId="77777777" w:rsidR="00AE7191" w:rsidRPr="00722885" w:rsidRDefault="00AE7191" w:rsidP="00722885">
            <w:pPr>
              <w:pStyle w:val="Iauiue"/>
              <w:jc w:val="both"/>
              <w:rPr>
                <w:color w:val="000000" w:themeColor="text1"/>
                <w:sz w:val="16"/>
                <w:szCs w:val="16"/>
              </w:rPr>
            </w:pPr>
          </w:p>
        </w:tc>
        <w:tc>
          <w:tcPr>
            <w:tcW w:w="829" w:type="dxa"/>
          </w:tcPr>
          <w:p w14:paraId="407D34FC" w14:textId="77777777" w:rsidR="00AE7191" w:rsidRPr="00722885" w:rsidRDefault="00AE7191" w:rsidP="00722885">
            <w:pPr>
              <w:pStyle w:val="Iauiue"/>
              <w:jc w:val="both"/>
              <w:rPr>
                <w:color w:val="000000" w:themeColor="text1"/>
                <w:sz w:val="16"/>
                <w:szCs w:val="16"/>
              </w:rPr>
            </w:pPr>
          </w:p>
        </w:tc>
        <w:tc>
          <w:tcPr>
            <w:tcW w:w="968" w:type="dxa"/>
          </w:tcPr>
          <w:p w14:paraId="1E667A92" w14:textId="77777777" w:rsidR="00AE7191" w:rsidRPr="00722885" w:rsidRDefault="00AE7191" w:rsidP="00722885">
            <w:pPr>
              <w:pStyle w:val="Iauiue"/>
              <w:jc w:val="both"/>
              <w:rPr>
                <w:color w:val="000000" w:themeColor="text1"/>
                <w:sz w:val="16"/>
                <w:szCs w:val="16"/>
              </w:rPr>
            </w:pPr>
          </w:p>
        </w:tc>
        <w:tc>
          <w:tcPr>
            <w:tcW w:w="837" w:type="dxa"/>
          </w:tcPr>
          <w:p w14:paraId="5C78F067" w14:textId="77777777" w:rsidR="00AE7191" w:rsidRPr="00722885" w:rsidRDefault="00AE7191" w:rsidP="00722885">
            <w:pPr>
              <w:pStyle w:val="Iauiue"/>
              <w:jc w:val="both"/>
              <w:rPr>
                <w:color w:val="000000" w:themeColor="text1"/>
                <w:sz w:val="16"/>
                <w:szCs w:val="16"/>
              </w:rPr>
            </w:pPr>
          </w:p>
        </w:tc>
      </w:tr>
      <w:tr w:rsidR="009B487A" w:rsidRPr="00722885" w14:paraId="1BCC69D0" w14:textId="77777777" w:rsidTr="00CC5360">
        <w:tc>
          <w:tcPr>
            <w:tcW w:w="1809" w:type="dxa"/>
          </w:tcPr>
          <w:p w14:paraId="1FBB98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 М-250</w:t>
            </w:r>
          </w:p>
        </w:tc>
        <w:tc>
          <w:tcPr>
            <w:tcW w:w="723" w:type="dxa"/>
          </w:tcPr>
          <w:p w14:paraId="7AC636F1" w14:textId="77777777" w:rsidR="00AE7191" w:rsidRPr="00722885" w:rsidRDefault="00AE7191" w:rsidP="00722885">
            <w:pPr>
              <w:pStyle w:val="Iauiue"/>
              <w:jc w:val="both"/>
              <w:rPr>
                <w:color w:val="000000" w:themeColor="text1"/>
                <w:sz w:val="16"/>
                <w:szCs w:val="16"/>
              </w:rPr>
            </w:pPr>
          </w:p>
        </w:tc>
        <w:tc>
          <w:tcPr>
            <w:tcW w:w="862" w:type="dxa"/>
          </w:tcPr>
          <w:p w14:paraId="2136A92C" w14:textId="77777777" w:rsidR="00AE7191" w:rsidRPr="00722885" w:rsidRDefault="00AE7191" w:rsidP="00722885">
            <w:pPr>
              <w:pStyle w:val="Iauiue"/>
              <w:jc w:val="both"/>
              <w:rPr>
                <w:color w:val="000000" w:themeColor="text1"/>
                <w:sz w:val="16"/>
                <w:szCs w:val="16"/>
              </w:rPr>
            </w:pPr>
          </w:p>
        </w:tc>
        <w:tc>
          <w:tcPr>
            <w:tcW w:w="865" w:type="dxa"/>
          </w:tcPr>
          <w:p w14:paraId="4904CCEF" w14:textId="77777777" w:rsidR="00AE7191" w:rsidRPr="00722885" w:rsidRDefault="00AE7191" w:rsidP="00722885">
            <w:pPr>
              <w:pStyle w:val="Iauiue"/>
              <w:jc w:val="both"/>
              <w:rPr>
                <w:color w:val="000000" w:themeColor="text1"/>
                <w:sz w:val="16"/>
                <w:szCs w:val="16"/>
              </w:rPr>
            </w:pPr>
          </w:p>
        </w:tc>
        <w:tc>
          <w:tcPr>
            <w:tcW w:w="692" w:type="dxa"/>
          </w:tcPr>
          <w:p w14:paraId="5836BF65" w14:textId="77777777" w:rsidR="00AE7191" w:rsidRPr="00722885" w:rsidRDefault="00AE7191" w:rsidP="00722885">
            <w:pPr>
              <w:pStyle w:val="Iauiue"/>
              <w:jc w:val="both"/>
              <w:rPr>
                <w:color w:val="000000" w:themeColor="text1"/>
                <w:sz w:val="16"/>
                <w:szCs w:val="16"/>
              </w:rPr>
            </w:pPr>
          </w:p>
        </w:tc>
        <w:tc>
          <w:tcPr>
            <w:tcW w:w="1371" w:type="dxa"/>
          </w:tcPr>
          <w:p w14:paraId="475965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боезапасом</w:t>
            </w:r>
          </w:p>
        </w:tc>
        <w:tc>
          <w:tcPr>
            <w:tcW w:w="818" w:type="dxa"/>
          </w:tcPr>
          <w:p w14:paraId="4BA9EAF5" w14:textId="77777777" w:rsidR="00AE7191" w:rsidRPr="00722885" w:rsidRDefault="00AE7191" w:rsidP="00722885">
            <w:pPr>
              <w:pStyle w:val="Iauiue"/>
              <w:jc w:val="both"/>
              <w:rPr>
                <w:color w:val="000000" w:themeColor="text1"/>
                <w:sz w:val="16"/>
                <w:szCs w:val="16"/>
              </w:rPr>
            </w:pPr>
          </w:p>
        </w:tc>
        <w:tc>
          <w:tcPr>
            <w:tcW w:w="830" w:type="dxa"/>
          </w:tcPr>
          <w:p w14:paraId="50A78940" w14:textId="77777777" w:rsidR="00AE7191" w:rsidRPr="00722885" w:rsidRDefault="00AE7191" w:rsidP="00722885">
            <w:pPr>
              <w:pStyle w:val="Iauiue"/>
              <w:jc w:val="both"/>
              <w:rPr>
                <w:color w:val="000000" w:themeColor="text1"/>
                <w:sz w:val="16"/>
                <w:szCs w:val="16"/>
              </w:rPr>
            </w:pPr>
          </w:p>
        </w:tc>
        <w:tc>
          <w:tcPr>
            <w:tcW w:w="829" w:type="dxa"/>
          </w:tcPr>
          <w:p w14:paraId="46494AB2" w14:textId="77777777" w:rsidR="00AE7191" w:rsidRPr="00722885" w:rsidRDefault="00AE7191" w:rsidP="00722885">
            <w:pPr>
              <w:pStyle w:val="Iauiue"/>
              <w:jc w:val="both"/>
              <w:rPr>
                <w:color w:val="000000" w:themeColor="text1"/>
                <w:sz w:val="16"/>
                <w:szCs w:val="16"/>
              </w:rPr>
            </w:pPr>
          </w:p>
        </w:tc>
        <w:tc>
          <w:tcPr>
            <w:tcW w:w="968" w:type="dxa"/>
          </w:tcPr>
          <w:p w14:paraId="04C35E77" w14:textId="77777777" w:rsidR="00AE7191" w:rsidRPr="00722885" w:rsidRDefault="00AE7191" w:rsidP="00722885">
            <w:pPr>
              <w:pStyle w:val="Iauiue"/>
              <w:jc w:val="both"/>
              <w:rPr>
                <w:color w:val="000000" w:themeColor="text1"/>
                <w:sz w:val="16"/>
                <w:szCs w:val="16"/>
              </w:rPr>
            </w:pPr>
          </w:p>
        </w:tc>
        <w:tc>
          <w:tcPr>
            <w:tcW w:w="837" w:type="dxa"/>
          </w:tcPr>
          <w:p w14:paraId="560BBFDD" w14:textId="77777777" w:rsidR="00AE7191" w:rsidRPr="00722885" w:rsidRDefault="00AE7191" w:rsidP="00722885">
            <w:pPr>
              <w:pStyle w:val="Iauiue"/>
              <w:jc w:val="both"/>
              <w:rPr>
                <w:color w:val="000000" w:themeColor="text1"/>
                <w:sz w:val="16"/>
                <w:szCs w:val="16"/>
              </w:rPr>
            </w:pPr>
          </w:p>
        </w:tc>
      </w:tr>
      <w:tr w:rsidR="009B487A" w:rsidRPr="00722885" w14:paraId="3C8A83BC" w14:textId="77777777" w:rsidTr="00CC5360">
        <w:tc>
          <w:tcPr>
            <w:tcW w:w="1809" w:type="dxa"/>
          </w:tcPr>
          <w:p w14:paraId="0C0412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констр. Яковлева</w:t>
            </w:r>
          </w:p>
        </w:tc>
        <w:tc>
          <w:tcPr>
            <w:tcW w:w="723" w:type="dxa"/>
          </w:tcPr>
          <w:p w14:paraId="1357CB92" w14:textId="77777777" w:rsidR="00AE7191" w:rsidRPr="00722885" w:rsidRDefault="00AE7191" w:rsidP="00722885">
            <w:pPr>
              <w:pStyle w:val="Iauiue"/>
              <w:jc w:val="both"/>
              <w:rPr>
                <w:color w:val="000000" w:themeColor="text1"/>
                <w:sz w:val="16"/>
                <w:szCs w:val="16"/>
              </w:rPr>
            </w:pPr>
          </w:p>
        </w:tc>
        <w:tc>
          <w:tcPr>
            <w:tcW w:w="862" w:type="dxa"/>
          </w:tcPr>
          <w:p w14:paraId="2A296AF8" w14:textId="77777777" w:rsidR="00AE7191" w:rsidRPr="00722885" w:rsidRDefault="00AE7191" w:rsidP="00722885">
            <w:pPr>
              <w:pStyle w:val="Iauiue"/>
              <w:jc w:val="both"/>
              <w:rPr>
                <w:color w:val="000000" w:themeColor="text1"/>
                <w:sz w:val="16"/>
                <w:szCs w:val="16"/>
              </w:rPr>
            </w:pPr>
          </w:p>
        </w:tc>
        <w:tc>
          <w:tcPr>
            <w:tcW w:w="865" w:type="dxa"/>
          </w:tcPr>
          <w:p w14:paraId="11F97826" w14:textId="77777777" w:rsidR="00AE7191" w:rsidRPr="00722885" w:rsidRDefault="00AE7191" w:rsidP="00722885">
            <w:pPr>
              <w:pStyle w:val="Iauiue"/>
              <w:jc w:val="both"/>
              <w:rPr>
                <w:color w:val="000000" w:themeColor="text1"/>
                <w:sz w:val="16"/>
                <w:szCs w:val="16"/>
              </w:rPr>
            </w:pPr>
          </w:p>
        </w:tc>
        <w:tc>
          <w:tcPr>
            <w:tcW w:w="692" w:type="dxa"/>
          </w:tcPr>
          <w:p w14:paraId="2A830B4B" w14:textId="77777777" w:rsidR="00AE7191" w:rsidRPr="00722885" w:rsidRDefault="00AE7191" w:rsidP="00722885">
            <w:pPr>
              <w:pStyle w:val="Iauiue"/>
              <w:jc w:val="both"/>
              <w:rPr>
                <w:color w:val="000000" w:themeColor="text1"/>
                <w:sz w:val="16"/>
                <w:szCs w:val="16"/>
              </w:rPr>
            </w:pPr>
          </w:p>
        </w:tc>
        <w:tc>
          <w:tcPr>
            <w:tcW w:w="1371" w:type="dxa"/>
          </w:tcPr>
          <w:p w14:paraId="00550C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300 снаряд.</w:t>
            </w:r>
          </w:p>
        </w:tc>
        <w:tc>
          <w:tcPr>
            <w:tcW w:w="818" w:type="dxa"/>
          </w:tcPr>
          <w:p w14:paraId="59D2EBF5" w14:textId="77777777" w:rsidR="00AE7191" w:rsidRPr="00722885" w:rsidRDefault="00AE7191" w:rsidP="00722885">
            <w:pPr>
              <w:pStyle w:val="Iauiue"/>
              <w:jc w:val="both"/>
              <w:rPr>
                <w:color w:val="000000" w:themeColor="text1"/>
                <w:sz w:val="16"/>
                <w:szCs w:val="16"/>
              </w:rPr>
            </w:pPr>
          </w:p>
        </w:tc>
        <w:tc>
          <w:tcPr>
            <w:tcW w:w="830" w:type="dxa"/>
          </w:tcPr>
          <w:p w14:paraId="0BB303EE" w14:textId="77777777" w:rsidR="00AE7191" w:rsidRPr="00722885" w:rsidRDefault="00AE7191" w:rsidP="00722885">
            <w:pPr>
              <w:pStyle w:val="Iauiue"/>
              <w:jc w:val="both"/>
              <w:rPr>
                <w:color w:val="000000" w:themeColor="text1"/>
                <w:sz w:val="16"/>
                <w:szCs w:val="16"/>
              </w:rPr>
            </w:pPr>
          </w:p>
        </w:tc>
        <w:tc>
          <w:tcPr>
            <w:tcW w:w="829" w:type="dxa"/>
          </w:tcPr>
          <w:p w14:paraId="6DAA6EDD" w14:textId="77777777" w:rsidR="00AE7191" w:rsidRPr="00722885" w:rsidRDefault="00AE7191" w:rsidP="00722885">
            <w:pPr>
              <w:pStyle w:val="Iauiue"/>
              <w:jc w:val="both"/>
              <w:rPr>
                <w:color w:val="000000" w:themeColor="text1"/>
                <w:sz w:val="16"/>
                <w:szCs w:val="16"/>
              </w:rPr>
            </w:pPr>
          </w:p>
        </w:tc>
        <w:tc>
          <w:tcPr>
            <w:tcW w:w="968" w:type="dxa"/>
          </w:tcPr>
          <w:p w14:paraId="3E6C1756" w14:textId="77777777" w:rsidR="00AE7191" w:rsidRPr="00722885" w:rsidRDefault="00AE7191" w:rsidP="00722885">
            <w:pPr>
              <w:pStyle w:val="Iauiue"/>
              <w:jc w:val="both"/>
              <w:rPr>
                <w:color w:val="000000" w:themeColor="text1"/>
                <w:sz w:val="16"/>
                <w:szCs w:val="16"/>
              </w:rPr>
            </w:pPr>
          </w:p>
        </w:tc>
        <w:tc>
          <w:tcPr>
            <w:tcW w:w="837" w:type="dxa"/>
          </w:tcPr>
          <w:p w14:paraId="53C80C3E" w14:textId="77777777" w:rsidR="00AE7191" w:rsidRPr="00722885" w:rsidRDefault="00AE7191" w:rsidP="00722885">
            <w:pPr>
              <w:pStyle w:val="Iauiue"/>
              <w:jc w:val="both"/>
              <w:rPr>
                <w:color w:val="000000" w:themeColor="text1"/>
                <w:sz w:val="16"/>
                <w:szCs w:val="16"/>
              </w:rPr>
            </w:pPr>
          </w:p>
        </w:tc>
      </w:tr>
      <w:tr w:rsidR="009B487A" w:rsidRPr="00722885" w14:paraId="228B9811" w14:textId="77777777" w:rsidTr="00CC5360">
        <w:tc>
          <w:tcPr>
            <w:tcW w:w="1809" w:type="dxa"/>
          </w:tcPr>
          <w:p w14:paraId="28EC9BA4" w14:textId="77777777" w:rsidR="00AE7191" w:rsidRPr="00722885" w:rsidRDefault="00AE7191" w:rsidP="00722885">
            <w:pPr>
              <w:pStyle w:val="Iauiue"/>
              <w:jc w:val="both"/>
              <w:rPr>
                <w:color w:val="000000" w:themeColor="text1"/>
                <w:sz w:val="16"/>
                <w:szCs w:val="16"/>
              </w:rPr>
            </w:pPr>
          </w:p>
        </w:tc>
        <w:tc>
          <w:tcPr>
            <w:tcW w:w="723" w:type="dxa"/>
          </w:tcPr>
          <w:p w14:paraId="181B9BFA" w14:textId="77777777" w:rsidR="00AE7191" w:rsidRPr="00722885" w:rsidRDefault="00AE7191" w:rsidP="00722885">
            <w:pPr>
              <w:pStyle w:val="Iauiue"/>
              <w:jc w:val="both"/>
              <w:rPr>
                <w:color w:val="000000" w:themeColor="text1"/>
                <w:sz w:val="16"/>
                <w:szCs w:val="16"/>
              </w:rPr>
            </w:pPr>
          </w:p>
        </w:tc>
        <w:tc>
          <w:tcPr>
            <w:tcW w:w="862" w:type="dxa"/>
          </w:tcPr>
          <w:p w14:paraId="763B7E8A" w14:textId="77777777" w:rsidR="00AE7191" w:rsidRPr="00722885" w:rsidRDefault="00AE7191" w:rsidP="00722885">
            <w:pPr>
              <w:pStyle w:val="Iauiue"/>
              <w:jc w:val="both"/>
              <w:rPr>
                <w:color w:val="000000" w:themeColor="text1"/>
                <w:sz w:val="16"/>
                <w:szCs w:val="16"/>
              </w:rPr>
            </w:pPr>
          </w:p>
        </w:tc>
        <w:tc>
          <w:tcPr>
            <w:tcW w:w="865" w:type="dxa"/>
          </w:tcPr>
          <w:p w14:paraId="6372613A" w14:textId="77777777" w:rsidR="00AE7191" w:rsidRPr="00722885" w:rsidRDefault="00AE7191" w:rsidP="00722885">
            <w:pPr>
              <w:pStyle w:val="Iauiue"/>
              <w:jc w:val="both"/>
              <w:rPr>
                <w:color w:val="000000" w:themeColor="text1"/>
                <w:sz w:val="16"/>
                <w:szCs w:val="16"/>
              </w:rPr>
            </w:pPr>
          </w:p>
        </w:tc>
        <w:tc>
          <w:tcPr>
            <w:tcW w:w="692" w:type="dxa"/>
          </w:tcPr>
          <w:p w14:paraId="3608D9E5" w14:textId="77777777" w:rsidR="00AE7191" w:rsidRPr="00722885" w:rsidRDefault="00AE7191" w:rsidP="00722885">
            <w:pPr>
              <w:pStyle w:val="Iauiue"/>
              <w:jc w:val="both"/>
              <w:rPr>
                <w:color w:val="000000" w:themeColor="text1"/>
                <w:sz w:val="16"/>
                <w:szCs w:val="16"/>
              </w:rPr>
            </w:pPr>
          </w:p>
        </w:tc>
        <w:tc>
          <w:tcPr>
            <w:tcW w:w="1371" w:type="dxa"/>
          </w:tcPr>
          <w:p w14:paraId="0C9BE8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пулем.</w:t>
            </w:r>
          </w:p>
        </w:tc>
        <w:tc>
          <w:tcPr>
            <w:tcW w:w="818" w:type="dxa"/>
          </w:tcPr>
          <w:p w14:paraId="542ACD93" w14:textId="77777777" w:rsidR="00AE7191" w:rsidRPr="00722885" w:rsidRDefault="00AE7191" w:rsidP="00722885">
            <w:pPr>
              <w:pStyle w:val="Iauiue"/>
              <w:jc w:val="both"/>
              <w:rPr>
                <w:color w:val="000000" w:themeColor="text1"/>
                <w:sz w:val="16"/>
                <w:szCs w:val="16"/>
              </w:rPr>
            </w:pPr>
          </w:p>
        </w:tc>
        <w:tc>
          <w:tcPr>
            <w:tcW w:w="830" w:type="dxa"/>
          </w:tcPr>
          <w:p w14:paraId="091D5BD2" w14:textId="77777777" w:rsidR="00AE7191" w:rsidRPr="00722885" w:rsidRDefault="00AE7191" w:rsidP="00722885">
            <w:pPr>
              <w:pStyle w:val="Iauiue"/>
              <w:jc w:val="both"/>
              <w:rPr>
                <w:color w:val="000000" w:themeColor="text1"/>
                <w:sz w:val="16"/>
                <w:szCs w:val="16"/>
              </w:rPr>
            </w:pPr>
          </w:p>
        </w:tc>
        <w:tc>
          <w:tcPr>
            <w:tcW w:w="829" w:type="dxa"/>
          </w:tcPr>
          <w:p w14:paraId="46582B7B" w14:textId="77777777" w:rsidR="00AE7191" w:rsidRPr="00722885" w:rsidRDefault="00AE7191" w:rsidP="00722885">
            <w:pPr>
              <w:pStyle w:val="Iauiue"/>
              <w:jc w:val="both"/>
              <w:rPr>
                <w:color w:val="000000" w:themeColor="text1"/>
                <w:sz w:val="16"/>
                <w:szCs w:val="16"/>
              </w:rPr>
            </w:pPr>
          </w:p>
        </w:tc>
        <w:tc>
          <w:tcPr>
            <w:tcW w:w="968" w:type="dxa"/>
          </w:tcPr>
          <w:p w14:paraId="3F88DD42" w14:textId="77777777" w:rsidR="00AE7191" w:rsidRPr="00722885" w:rsidRDefault="00AE7191" w:rsidP="00722885">
            <w:pPr>
              <w:pStyle w:val="Iauiue"/>
              <w:jc w:val="both"/>
              <w:rPr>
                <w:color w:val="000000" w:themeColor="text1"/>
                <w:sz w:val="16"/>
                <w:szCs w:val="16"/>
              </w:rPr>
            </w:pPr>
          </w:p>
        </w:tc>
        <w:tc>
          <w:tcPr>
            <w:tcW w:w="837" w:type="dxa"/>
          </w:tcPr>
          <w:p w14:paraId="009D0313" w14:textId="77777777" w:rsidR="00AE7191" w:rsidRPr="00722885" w:rsidRDefault="00AE7191" w:rsidP="00722885">
            <w:pPr>
              <w:pStyle w:val="Iauiue"/>
              <w:jc w:val="both"/>
              <w:rPr>
                <w:color w:val="000000" w:themeColor="text1"/>
                <w:sz w:val="16"/>
                <w:szCs w:val="16"/>
              </w:rPr>
            </w:pPr>
          </w:p>
        </w:tc>
      </w:tr>
      <w:tr w:rsidR="009B487A" w:rsidRPr="00722885" w14:paraId="0D2009E2" w14:textId="77777777" w:rsidTr="00CC5360">
        <w:tc>
          <w:tcPr>
            <w:tcW w:w="1809" w:type="dxa"/>
          </w:tcPr>
          <w:p w14:paraId="60558570" w14:textId="77777777" w:rsidR="00AE7191" w:rsidRPr="00722885" w:rsidRDefault="00AE7191" w:rsidP="00722885">
            <w:pPr>
              <w:pStyle w:val="Iauiue"/>
              <w:jc w:val="both"/>
              <w:rPr>
                <w:color w:val="000000" w:themeColor="text1"/>
                <w:sz w:val="16"/>
                <w:szCs w:val="16"/>
              </w:rPr>
            </w:pPr>
          </w:p>
        </w:tc>
        <w:tc>
          <w:tcPr>
            <w:tcW w:w="723" w:type="dxa"/>
          </w:tcPr>
          <w:p w14:paraId="4BED070C" w14:textId="77777777" w:rsidR="00AE7191" w:rsidRPr="00722885" w:rsidRDefault="00AE7191" w:rsidP="00722885">
            <w:pPr>
              <w:pStyle w:val="Iauiue"/>
              <w:jc w:val="both"/>
              <w:rPr>
                <w:color w:val="000000" w:themeColor="text1"/>
                <w:sz w:val="16"/>
                <w:szCs w:val="16"/>
              </w:rPr>
            </w:pPr>
          </w:p>
        </w:tc>
        <w:tc>
          <w:tcPr>
            <w:tcW w:w="862" w:type="dxa"/>
          </w:tcPr>
          <w:p w14:paraId="5F3421FD" w14:textId="77777777" w:rsidR="00AE7191" w:rsidRPr="00722885" w:rsidRDefault="00AE7191" w:rsidP="00722885">
            <w:pPr>
              <w:pStyle w:val="Iauiue"/>
              <w:jc w:val="both"/>
              <w:rPr>
                <w:color w:val="000000" w:themeColor="text1"/>
                <w:sz w:val="16"/>
                <w:szCs w:val="16"/>
              </w:rPr>
            </w:pPr>
          </w:p>
        </w:tc>
        <w:tc>
          <w:tcPr>
            <w:tcW w:w="865" w:type="dxa"/>
          </w:tcPr>
          <w:p w14:paraId="6E08BD73" w14:textId="77777777" w:rsidR="00AE7191" w:rsidRPr="00722885" w:rsidRDefault="00AE7191" w:rsidP="00722885">
            <w:pPr>
              <w:pStyle w:val="Iauiue"/>
              <w:jc w:val="both"/>
              <w:rPr>
                <w:color w:val="000000" w:themeColor="text1"/>
                <w:sz w:val="16"/>
                <w:szCs w:val="16"/>
              </w:rPr>
            </w:pPr>
          </w:p>
        </w:tc>
        <w:tc>
          <w:tcPr>
            <w:tcW w:w="692" w:type="dxa"/>
          </w:tcPr>
          <w:p w14:paraId="6058DD1C" w14:textId="77777777" w:rsidR="00AE7191" w:rsidRPr="00722885" w:rsidRDefault="00AE7191" w:rsidP="00722885">
            <w:pPr>
              <w:pStyle w:val="Iauiue"/>
              <w:jc w:val="both"/>
              <w:rPr>
                <w:color w:val="000000" w:themeColor="text1"/>
                <w:sz w:val="16"/>
                <w:szCs w:val="16"/>
              </w:rPr>
            </w:pPr>
          </w:p>
        </w:tc>
        <w:tc>
          <w:tcPr>
            <w:tcW w:w="1371" w:type="dxa"/>
          </w:tcPr>
          <w:p w14:paraId="4C2770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12,7 мм с</w:t>
            </w:r>
          </w:p>
        </w:tc>
        <w:tc>
          <w:tcPr>
            <w:tcW w:w="818" w:type="dxa"/>
          </w:tcPr>
          <w:p w14:paraId="2016F62C" w14:textId="77777777" w:rsidR="00AE7191" w:rsidRPr="00722885" w:rsidRDefault="00AE7191" w:rsidP="00722885">
            <w:pPr>
              <w:pStyle w:val="Iauiue"/>
              <w:jc w:val="both"/>
              <w:rPr>
                <w:color w:val="000000" w:themeColor="text1"/>
                <w:sz w:val="16"/>
                <w:szCs w:val="16"/>
              </w:rPr>
            </w:pPr>
          </w:p>
        </w:tc>
        <w:tc>
          <w:tcPr>
            <w:tcW w:w="830" w:type="dxa"/>
          </w:tcPr>
          <w:p w14:paraId="2BEEBAFF" w14:textId="77777777" w:rsidR="00AE7191" w:rsidRPr="00722885" w:rsidRDefault="00AE7191" w:rsidP="00722885">
            <w:pPr>
              <w:pStyle w:val="Iauiue"/>
              <w:jc w:val="both"/>
              <w:rPr>
                <w:color w:val="000000" w:themeColor="text1"/>
                <w:sz w:val="16"/>
                <w:szCs w:val="16"/>
              </w:rPr>
            </w:pPr>
          </w:p>
        </w:tc>
        <w:tc>
          <w:tcPr>
            <w:tcW w:w="829" w:type="dxa"/>
          </w:tcPr>
          <w:p w14:paraId="00888748" w14:textId="77777777" w:rsidR="00AE7191" w:rsidRPr="00722885" w:rsidRDefault="00AE7191" w:rsidP="00722885">
            <w:pPr>
              <w:pStyle w:val="Iauiue"/>
              <w:jc w:val="both"/>
              <w:rPr>
                <w:color w:val="000000" w:themeColor="text1"/>
                <w:sz w:val="16"/>
                <w:szCs w:val="16"/>
              </w:rPr>
            </w:pPr>
          </w:p>
        </w:tc>
        <w:tc>
          <w:tcPr>
            <w:tcW w:w="968" w:type="dxa"/>
          </w:tcPr>
          <w:p w14:paraId="10BA82F1" w14:textId="77777777" w:rsidR="00AE7191" w:rsidRPr="00722885" w:rsidRDefault="00AE7191" w:rsidP="00722885">
            <w:pPr>
              <w:pStyle w:val="Iauiue"/>
              <w:jc w:val="both"/>
              <w:rPr>
                <w:color w:val="000000" w:themeColor="text1"/>
                <w:sz w:val="16"/>
                <w:szCs w:val="16"/>
              </w:rPr>
            </w:pPr>
          </w:p>
        </w:tc>
        <w:tc>
          <w:tcPr>
            <w:tcW w:w="837" w:type="dxa"/>
          </w:tcPr>
          <w:p w14:paraId="5E3E0A5A" w14:textId="77777777" w:rsidR="00AE7191" w:rsidRPr="00722885" w:rsidRDefault="00AE7191" w:rsidP="00722885">
            <w:pPr>
              <w:pStyle w:val="Iauiue"/>
              <w:jc w:val="both"/>
              <w:rPr>
                <w:color w:val="000000" w:themeColor="text1"/>
                <w:sz w:val="16"/>
                <w:szCs w:val="16"/>
              </w:rPr>
            </w:pPr>
          </w:p>
        </w:tc>
      </w:tr>
      <w:tr w:rsidR="009B487A" w:rsidRPr="00722885" w14:paraId="2E63C6A1" w14:textId="77777777" w:rsidTr="00CC5360">
        <w:tc>
          <w:tcPr>
            <w:tcW w:w="1809" w:type="dxa"/>
          </w:tcPr>
          <w:p w14:paraId="2127E38B" w14:textId="77777777" w:rsidR="00AE7191" w:rsidRPr="00722885" w:rsidRDefault="00AE7191" w:rsidP="00722885">
            <w:pPr>
              <w:pStyle w:val="Iauiue"/>
              <w:jc w:val="both"/>
              <w:rPr>
                <w:color w:val="000000" w:themeColor="text1"/>
                <w:sz w:val="16"/>
                <w:szCs w:val="16"/>
              </w:rPr>
            </w:pPr>
          </w:p>
        </w:tc>
        <w:tc>
          <w:tcPr>
            <w:tcW w:w="723" w:type="dxa"/>
          </w:tcPr>
          <w:p w14:paraId="12510711" w14:textId="77777777" w:rsidR="00AE7191" w:rsidRPr="00722885" w:rsidRDefault="00AE7191" w:rsidP="00722885">
            <w:pPr>
              <w:pStyle w:val="Iauiue"/>
              <w:jc w:val="both"/>
              <w:rPr>
                <w:color w:val="000000" w:themeColor="text1"/>
                <w:sz w:val="16"/>
                <w:szCs w:val="16"/>
              </w:rPr>
            </w:pPr>
          </w:p>
        </w:tc>
        <w:tc>
          <w:tcPr>
            <w:tcW w:w="862" w:type="dxa"/>
          </w:tcPr>
          <w:p w14:paraId="4988DA29" w14:textId="77777777" w:rsidR="00AE7191" w:rsidRPr="00722885" w:rsidRDefault="00AE7191" w:rsidP="00722885">
            <w:pPr>
              <w:pStyle w:val="Iauiue"/>
              <w:jc w:val="both"/>
              <w:rPr>
                <w:color w:val="000000" w:themeColor="text1"/>
                <w:sz w:val="16"/>
                <w:szCs w:val="16"/>
              </w:rPr>
            </w:pPr>
          </w:p>
        </w:tc>
        <w:tc>
          <w:tcPr>
            <w:tcW w:w="865" w:type="dxa"/>
          </w:tcPr>
          <w:p w14:paraId="22263F92" w14:textId="77777777" w:rsidR="00AE7191" w:rsidRPr="00722885" w:rsidRDefault="00AE7191" w:rsidP="00722885">
            <w:pPr>
              <w:pStyle w:val="Iauiue"/>
              <w:jc w:val="both"/>
              <w:rPr>
                <w:color w:val="000000" w:themeColor="text1"/>
                <w:sz w:val="16"/>
                <w:szCs w:val="16"/>
              </w:rPr>
            </w:pPr>
          </w:p>
        </w:tc>
        <w:tc>
          <w:tcPr>
            <w:tcW w:w="692" w:type="dxa"/>
          </w:tcPr>
          <w:p w14:paraId="3061945D" w14:textId="77777777" w:rsidR="00AE7191" w:rsidRPr="00722885" w:rsidRDefault="00AE7191" w:rsidP="00722885">
            <w:pPr>
              <w:pStyle w:val="Iauiue"/>
              <w:jc w:val="both"/>
              <w:rPr>
                <w:color w:val="000000" w:themeColor="text1"/>
                <w:sz w:val="16"/>
                <w:szCs w:val="16"/>
              </w:rPr>
            </w:pPr>
          </w:p>
        </w:tc>
        <w:tc>
          <w:tcPr>
            <w:tcW w:w="1371" w:type="dxa"/>
          </w:tcPr>
          <w:p w14:paraId="2A8582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боезапасом</w:t>
            </w:r>
          </w:p>
        </w:tc>
        <w:tc>
          <w:tcPr>
            <w:tcW w:w="818" w:type="dxa"/>
          </w:tcPr>
          <w:p w14:paraId="5EF9176B" w14:textId="77777777" w:rsidR="00AE7191" w:rsidRPr="00722885" w:rsidRDefault="00AE7191" w:rsidP="00722885">
            <w:pPr>
              <w:pStyle w:val="Iauiue"/>
              <w:jc w:val="both"/>
              <w:rPr>
                <w:color w:val="000000" w:themeColor="text1"/>
                <w:sz w:val="16"/>
                <w:szCs w:val="16"/>
              </w:rPr>
            </w:pPr>
          </w:p>
        </w:tc>
        <w:tc>
          <w:tcPr>
            <w:tcW w:w="830" w:type="dxa"/>
          </w:tcPr>
          <w:p w14:paraId="15044F3F" w14:textId="77777777" w:rsidR="00AE7191" w:rsidRPr="00722885" w:rsidRDefault="00AE7191" w:rsidP="00722885">
            <w:pPr>
              <w:pStyle w:val="Iauiue"/>
              <w:jc w:val="both"/>
              <w:rPr>
                <w:color w:val="000000" w:themeColor="text1"/>
                <w:sz w:val="16"/>
                <w:szCs w:val="16"/>
              </w:rPr>
            </w:pPr>
          </w:p>
        </w:tc>
        <w:tc>
          <w:tcPr>
            <w:tcW w:w="829" w:type="dxa"/>
          </w:tcPr>
          <w:p w14:paraId="6160E286" w14:textId="77777777" w:rsidR="00AE7191" w:rsidRPr="00722885" w:rsidRDefault="00AE7191" w:rsidP="00722885">
            <w:pPr>
              <w:pStyle w:val="Iauiue"/>
              <w:jc w:val="both"/>
              <w:rPr>
                <w:color w:val="000000" w:themeColor="text1"/>
                <w:sz w:val="16"/>
                <w:szCs w:val="16"/>
              </w:rPr>
            </w:pPr>
          </w:p>
        </w:tc>
        <w:tc>
          <w:tcPr>
            <w:tcW w:w="968" w:type="dxa"/>
          </w:tcPr>
          <w:p w14:paraId="5CDF2930" w14:textId="77777777" w:rsidR="00AE7191" w:rsidRPr="00722885" w:rsidRDefault="00AE7191" w:rsidP="00722885">
            <w:pPr>
              <w:pStyle w:val="Iauiue"/>
              <w:jc w:val="both"/>
              <w:rPr>
                <w:color w:val="000000" w:themeColor="text1"/>
                <w:sz w:val="16"/>
                <w:szCs w:val="16"/>
              </w:rPr>
            </w:pPr>
          </w:p>
        </w:tc>
        <w:tc>
          <w:tcPr>
            <w:tcW w:w="837" w:type="dxa"/>
          </w:tcPr>
          <w:p w14:paraId="783BEF99" w14:textId="77777777" w:rsidR="00AE7191" w:rsidRPr="00722885" w:rsidRDefault="00AE7191" w:rsidP="00722885">
            <w:pPr>
              <w:pStyle w:val="Iauiue"/>
              <w:jc w:val="both"/>
              <w:rPr>
                <w:color w:val="000000" w:themeColor="text1"/>
                <w:sz w:val="16"/>
                <w:szCs w:val="16"/>
              </w:rPr>
            </w:pPr>
          </w:p>
        </w:tc>
      </w:tr>
      <w:tr w:rsidR="009B487A" w:rsidRPr="00722885" w14:paraId="324D2E23" w14:textId="77777777" w:rsidTr="00CC5360">
        <w:tc>
          <w:tcPr>
            <w:tcW w:w="1809" w:type="dxa"/>
          </w:tcPr>
          <w:p w14:paraId="44C7E6AE" w14:textId="77777777" w:rsidR="00AE7191" w:rsidRPr="00722885" w:rsidRDefault="00AE7191" w:rsidP="00722885">
            <w:pPr>
              <w:pStyle w:val="Iauiue"/>
              <w:jc w:val="both"/>
              <w:rPr>
                <w:color w:val="000000" w:themeColor="text1"/>
                <w:sz w:val="16"/>
                <w:szCs w:val="16"/>
              </w:rPr>
            </w:pPr>
          </w:p>
        </w:tc>
        <w:tc>
          <w:tcPr>
            <w:tcW w:w="723" w:type="dxa"/>
          </w:tcPr>
          <w:p w14:paraId="43E97308" w14:textId="77777777" w:rsidR="00AE7191" w:rsidRPr="00722885" w:rsidRDefault="00AE7191" w:rsidP="00722885">
            <w:pPr>
              <w:pStyle w:val="Iauiue"/>
              <w:jc w:val="both"/>
              <w:rPr>
                <w:color w:val="000000" w:themeColor="text1"/>
                <w:sz w:val="16"/>
                <w:szCs w:val="16"/>
              </w:rPr>
            </w:pPr>
          </w:p>
        </w:tc>
        <w:tc>
          <w:tcPr>
            <w:tcW w:w="862" w:type="dxa"/>
          </w:tcPr>
          <w:p w14:paraId="6DEEE13B" w14:textId="77777777" w:rsidR="00AE7191" w:rsidRPr="00722885" w:rsidRDefault="00AE7191" w:rsidP="00722885">
            <w:pPr>
              <w:pStyle w:val="Iauiue"/>
              <w:jc w:val="both"/>
              <w:rPr>
                <w:color w:val="000000" w:themeColor="text1"/>
                <w:sz w:val="16"/>
                <w:szCs w:val="16"/>
              </w:rPr>
            </w:pPr>
          </w:p>
        </w:tc>
        <w:tc>
          <w:tcPr>
            <w:tcW w:w="865" w:type="dxa"/>
          </w:tcPr>
          <w:p w14:paraId="004380C9" w14:textId="77777777" w:rsidR="00AE7191" w:rsidRPr="00722885" w:rsidRDefault="00AE7191" w:rsidP="00722885">
            <w:pPr>
              <w:pStyle w:val="Iauiue"/>
              <w:jc w:val="both"/>
              <w:rPr>
                <w:color w:val="000000" w:themeColor="text1"/>
                <w:sz w:val="16"/>
                <w:szCs w:val="16"/>
              </w:rPr>
            </w:pPr>
          </w:p>
        </w:tc>
        <w:tc>
          <w:tcPr>
            <w:tcW w:w="692" w:type="dxa"/>
          </w:tcPr>
          <w:p w14:paraId="38B0454F" w14:textId="77777777" w:rsidR="00AE7191" w:rsidRPr="00722885" w:rsidRDefault="00AE7191" w:rsidP="00722885">
            <w:pPr>
              <w:pStyle w:val="Iauiue"/>
              <w:jc w:val="both"/>
              <w:rPr>
                <w:color w:val="000000" w:themeColor="text1"/>
                <w:sz w:val="16"/>
                <w:szCs w:val="16"/>
              </w:rPr>
            </w:pPr>
          </w:p>
        </w:tc>
        <w:tc>
          <w:tcPr>
            <w:tcW w:w="1371" w:type="dxa"/>
          </w:tcPr>
          <w:p w14:paraId="5D5FBA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 патрон.</w:t>
            </w:r>
          </w:p>
        </w:tc>
        <w:tc>
          <w:tcPr>
            <w:tcW w:w="818" w:type="dxa"/>
          </w:tcPr>
          <w:p w14:paraId="3C855738" w14:textId="77777777" w:rsidR="00AE7191" w:rsidRPr="00722885" w:rsidRDefault="00AE7191" w:rsidP="00722885">
            <w:pPr>
              <w:pStyle w:val="Iauiue"/>
              <w:jc w:val="both"/>
              <w:rPr>
                <w:color w:val="000000" w:themeColor="text1"/>
                <w:sz w:val="16"/>
                <w:szCs w:val="16"/>
              </w:rPr>
            </w:pPr>
          </w:p>
        </w:tc>
        <w:tc>
          <w:tcPr>
            <w:tcW w:w="830" w:type="dxa"/>
          </w:tcPr>
          <w:p w14:paraId="626FD390" w14:textId="77777777" w:rsidR="00AE7191" w:rsidRPr="00722885" w:rsidRDefault="00AE7191" w:rsidP="00722885">
            <w:pPr>
              <w:pStyle w:val="Iauiue"/>
              <w:jc w:val="both"/>
              <w:rPr>
                <w:color w:val="000000" w:themeColor="text1"/>
                <w:sz w:val="16"/>
                <w:szCs w:val="16"/>
              </w:rPr>
            </w:pPr>
          </w:p>
        </w:tc>
        <w:tc>
          <w:tcPr>
            <w:tcW w:w="829" w:type="dxa"/>
          </w:tcPr>
          <w:p w14:paraId="77141B71" w14:textId="77777777" w:rsidR="00AE7191" w:rsidRPr="00722885" w:rsidRDefault="00AE7191" w:rsidP="00722885">
            <w:pPr>
              <w:pStyle w:val="Iauiue"/>
              <w:jc w:val="both"/>
              <w:rPr>
                <w:color w:val="000000" w:themeColor="text1"/>
                <w:sz w:val="16"/>
                <w:szCs w:val="16"/>
              </w:rPr>
            </w:pPr>
          </w:p>
        </w:tc>
        <w:tc>
          <w:tcPr>
            <w:tcW w:w="968" w:type="dxa"/>
          </w:tcPr>
          <w:p w14:paraId="596DBFFA" w14:textId="77777777" w:rsidR="00AE7191" w:rsidRPr="00722885" w:rsidRDefault="00AE7191" w:rsidP="00722885">
            <w:pPr>
              <w:pStyle w:val="Iauiue"/>
              <w:jc w:val="both"/>
              <w:rPr>
                <w:color w:val="000000" w:themeColor="text1"/>
                <w:sz w:val="16"/>
                <w:szCs w:val="16"/>
              </w:rPr>
            </w:pPr>
          </w:p>
        </w:tc>
        <w:tc>
          <w:tcPr>
            <w:tcW w:w="837" w:type="dxa"/>
          </w:tcPr>
          <w:p w14:paraId="626AB275" w14:textId="77777777" w:rsidR="00AE7191" w:rsidRPr="00722885" w:rsidRDefault="00AE7191" w:rsidP="00722885">
            <w:pPr>
              <w:pStyle w:val="Iauiue"/>
              <w:jc w:val="both"/>
              <w:rPr>
                <w:color w:val="000000" w:themeColor="text1"/>
                <w:sz w:val="16"/>
                <w:szCs w:val="16"/>
              </w:rPr>
            </w:pPr>
          </w:p>
        </w:tc>
      </w:tr>
      <w:tr w:rsidR="009B487A" w:rsidRPr="00722885" w14:paraId="71BE9C2C" w14:textId="77777777" w:rsidTr="00CC5360">
        <w:tc>
          <w:tcPr>
            <w:tcW w:w="1809" w:type="dxa"/>
          </w:tcPr>
          <w:p w14:paraId="55EFC3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II. Штурмовики.</w:t>
            </w:r>
          </w:p>
        </w:tc>
        <w:tc>
          <w:tcPr>
            <w:tcW w:w="723" w:type="dxa"/>
          </w:tcPr>
          <w:p w14:paraId="6A24C2A8" w14:textId="77777777" w:rsidR="00AE7191" w:rsidRPr="00722885" w:rsidRDefault="00AE7191" w:rsidP="00722885">
            <w:pPr>
              <w:pStyle w:val="Iauiue"/>
              <w:jc w:val="both"/>
              <w:rPr>
                <w:color w:val="000000" w:themeColor="text1"/>
                <w:sz w:val="16"/>
                <w:szCs w:val="16"/>
              </w:rPr>
            </w:pPr>
          </w:p>
        </w:tc>
        <w:tc>
          <w:tcPr>
            <w:tcW w:w="862" w:type="dxa"/>
          </w:tcPr>
          <w:p w14:paraId="1F4C84C5" w14:textId="77777777" w:rsidR="00AE7191" w:rsidRPr="00722885" w:rsidRDefault="00AE7191" w:rsidP="00722885">
            <w:pPr>
              <w:pStyle w:val="Iauiue"/>
              <w:jc w:val="both"/>
              <w:rPr>
                <w:color w:val="000000" w:themeColor="text1"/>
                <w:sz w:val="16"/>
                <w:szCs w:val="16"/>
              </w:rPr>
            </w:pPr>
          </w:p>
        </w:tc>
        <w:tc>
          <w:tcPr>
            <w:tcW w:w="865" w:type="dxa"/>
          </w:tcPr>
          <w:p w14:paraId="558E35F5" w14:textId="77777777" w:rsidR="00AE7191" w:rsidRPr="00722885" w:rsidRDefault="00AE7191" w:rsidP="00722885">
            <w:pPr>
              <w:pStyle w:val="Iauiue"/>
              <w:jc w:val="both"/>
              <w:rPr>
                <w:color w:val="000000" w:themeColor="text1"/>
                <w:sz w:val="16"/>
                <w:szCs w:val="16"/>
              </w:rPr>
            </w:pPr>
          </w:p>
        </w:tc>
        <w:tc>
          <w:tcPr>
            <w:tcW w:w="692" w:type="dxa"/>
          </w:tcPr>
          <w:p w14:paraId="4BB8E147" w14:textId="77777777" w:rsidR="00AE7191" w:rsidRPr="00722885" w:rsidRDefault="00AE7191" w:rsidP="00722885">
            <w:pPr>
              <w:pStyle w:val="Iauiue"/>
              <w:jc w:val="both"/>
              <w:rPr>
                <w:color w:val="000000" w:themeColor="text1"/>
                <w:sz w:val="16"/>
                <w:szCs w:val="16"/>
              </w:rPr>
            </w:pPr>
          </w:p>
        </w:tc>
        <w:tc>
          <w:tcPr>
            <w:tcW w:w="1371" w:type="dxa"/>
          </w:tcPr>
          <w:p w14:paraId="0EA74281" w14:textId="77777777" w:rsidR="00AE7191" w:rsidRPr="00722885" w:rsidRDefault="00AE7191" w:rsidP="00722885">
            <w:pPr>
              <w:pStyle w:val="Iauiue"/>
              <w:jc w:val="both"/>
              <w:rPr>
                <w:color w:val="000000" w:themeColor="text1"/>
                <w:sz w:val="16"/>
                <w:szCs w:val="16"/>
              </w:rPr>
            </w:pPr>
          </w:p>
        </w:tc>
        <w:tc>
          <w:tcPr>
            <w:tcW w:w="818" w:type="dxa"/>
          </w:tcPr>
          <w:p w14:paraId="41AEFCF2" w14:textId="77777777" w:rsidR="00AE7191" w:rsidRPr="00722885" w:rsidRDefault="00AE7191" w:rsidP="00722885">
            <w:pPr>
              <w:pStyle w:val="Iauiue"/>
              <w:jc w:val="both"/>
              <w:rPr>
                <w:color w:val="000000" w:themeColor="text1"/>
                <w:sz w:val="16"/>
                <w:szCs w:val="16"/>
              </w:rPr>
            </w:pPr>
          </w:p>
        </w:tc>
        <w:tc>
          <w:tcPr>
            <w:tcW w:w="830" w:type="dxa"/>
          </w:tcPr>
          <w:p w14:paraId="712A9E96" w14:textId="77777777" w:rsidR="00AE7191" w:rsidRPr="00722885" w:rsidRDefault="00AE7191" w:rsidP="00722885">
            <w:pPr>
              <w:pStyle w:val="Iauiue"/>
              <w:jc w:val="both"/>
              <w:rPr>
                <w:color w:val="000000" w:themeColor="text1"/>
                <w:sz w:val="16"/>
                <w:szCs w:val="16"/>
              </w:rPr>
            </w:pPr>
          </w:p>
        </w:tc>
        <w:tc>
          <w:tcPr>
            <w:tcW w:w="829" w:type="dxa"/>
          </w:tcPr>
          <w:p w14:paraId="0B12D60F" w14:textId="77777777" w:rsidR="00AE7191" w:rsidRPr="00722885" w:rsidRDefault="00AE7191" w:rsidP="00722885">
            <w:pPr>
              <w:pStyle w:val="Iauiue"/>
              <w:jc w:val="both"/>
              <w:rPr>
                <w:color w:val="000000" w:themeColor="text1"/>
                <w:sz w:val="16"/>
                <w:szCs w:val="16"/>
              </w:rPr>
            </w:pPr>
          </w:p>
        </w:tc>
        <w:tc>
          <w:tcPr>
            <w:tcW w:w="968" w:type="dxa"/>
          </w:tcPr>
          <w:p w14:paraId="6CAAB0C6" w14:textId="77777777" w:rsidR="00AE7191" w:rsidRPr="00722885" w:rsidRDefault="00AE7191" w:rsidP="00722885">
            <w:pPr>
              <w:pStyle w:val="Iauiue"/>
              <w:jc w:val="both"/>
              <w:rPr>
                <w:color w:val="000000" w:themeColor="text1"/>
                <w:sz w:val="16"/>
                <w:szCs w:val="16"/>
              </w:rPr>
            </w:pPr>
          </w:p>
        </w:tc>
        <w:tc>
          <w:tcPr>
            <w:tcW w:w="837" w:type="dxa"/>
          </w:tcPr>
          <w:p w14:paraId="6B4C8607" w14:textId="77777777" w:rsidR="00AE7191" w:rsidRPr="00722885" w:rsidRDefault="00AE7191" w:rsidP="00722885">
            <w:pPr>
              <w:pStyle w:val="Iauiue"/>
              <w:jc w:val="both"/>
              <w:rPr>
                <w:color w:val="000000" w:themeColor="text1"/>
                <w:sz w:val="16"/>
                <w:szCs w:val="16"/>
              </w:rPr>
            </w:pPr>
          </w:p>
        </w:tc>
      </w:tr>
      <w:tr w:rsidR="009B487A" w:rsidRPr="00722885" w14:paraId="4A957F43" w14:textId="77777777" w:rsidTr="00CC5360">
        <w:tc>
          <w:tcPr>
            <w:tcW w:w="1809" w:type="dxa"/>
          </w:tcPr>
          <w:p w14:paraId="387A37E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Одноместный</w:t>
            </w:r>
          </w:p>
        </w:tc>
        <w:tc>
          <w:tcPr>
            <w:tcW w:w="723" w:type="dxa"/>
          </w:tcPr>
          <w:p w14:paraId="43BF4C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 с РС</w:t>
            </w:r>
          </w:p>
        </w:tc>
        <w:tc>
          <w:tcPr>
            <w:tcW w:w="862" w:type="dxa"/>
          </w:tcPr>
          <w:p w14:paraId="1CE290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438/3000</w:t>
            </w:r>
          </w:p>
        </w:tc>
        <w:tc>
          <w:tcPr>
            <w:tcW w:w="865" w:type="dxa"/>
          </w:tcPr>
          <w:p w14:paraId="3AC919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600 на</w:t>
            </w:r>
          </w:p>
        </w:tc>
        <w:tc>
          <w:tcPr>
            <w:tcW w:w="692" w:type="dxa"/>
          </w:tcPr>
          <w:p w14:paraId="4FD7A1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6800</w:t>
            </w:r>
          </w:p>
        </w:tc>
        <w:tc>
          <w:tcPr>
            <w:tcW w:w="1371" w:type="dxa"/>
          </w:tcPr>
          <w:p w14:paraId="1E5E50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пушка</w:t>
            </w:r>
          </w:p>
        </w:tc>
        <w:tc>
          <w:tcPr>
            <w:tcW w:w="818" w:type="dxa"/>
          </w:tcPr>
          <w:p w14:paraId="2335DA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 в</w:t>
            </w:r>
          </w:p>
        </w:tc>
        <w:tc>
          <w:tcPr>
            <w:tcW w:w="830" w:type="dxa"/>
          </w:tcPr>
          <w:p w14:paraId="640C8E1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перег.</w:t>
            </w:r>
          </w:p>
        </w:tc>
        <w:tc>
          <w:tcPr>
            <w:tcW w:w="829" w:type="dxa"/>
          </w:tcPr>
          <w:p w14:paraId="50B49CB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968" w:type="dxa"/>
          </w:tcPr>
          <w:p w14:paraId="3BEC07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15.I.43</w:t>
            </w:r>
          </w:p>
        </w:tc>
        <w:tc>
          <w:tcPr>
            <w:tcW w:w="837" w:type="dxa"/>
          </w:tcPr>
          <w:p w14:paraId="68F999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12000</w:t>
            </w:r>
          </w:p>
        </w:tc>
      </w:tr>
      <w:tr w:rsidR="009B487A" w:rsidRPr="00722885" w14:paraId="7D721C6D" w14:textId="77777777" w:rsidTr="00CC5360">
        <w:tc>
          <w:tcPr>
            <w:tcW w:w="1809" w:type="dxa"/>
          </w:tcPr>
          <w:p w14:paraId="64400C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бронированный</w:t>
            </w:r>
          </w:p>
        </w:tc>
        <w:tc>
          <w:tcPr>
            <w:tcW w:w="723" w:type="dxa"/>
          </w:tcPr>
          <w:p w14:paraId="083D97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432 без</w:t>
            </w:r>
          </w:p>
        </w:tc>
        <w:tc>
          <w:tcPr>
            <w:tcW w:w="862" w:type="dxa"/>
          </w:tcPr>
          <w:p w14:paraId="3DE6FF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РС</w:t>
            </w:r>
          </w:p>
        </w:tc>
        <w:tc>
          <w:tcPr>
            <w:tcW w:w="865" w:type="dxa"/>
          </w:tcPr>
          <w:p w14:paraId="61E76F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0,75</w:t>
            </w:r>
          </w:p>
        </w:tc>
        <w:tc>
          <w:tcPr>
            <w:tcW w:w="692" w:type="dxa"/>
          </w:tcPr>
          <w:p w14:paraId="069E74AB" w14:textId="77777777" w:rsidR="00AE7191" w:rsidRPr="00722885" w:rsidRDefault="00AE7191" w:rsidP="00722885">
            <w:pPr>
              <w:pStyle w:val="Iauiue"/>
              <w:jc w:val="both"/>
              <w:rPr>
                <w:color w:val="000000" w:themeColor="text1"/>
                <w:sz w:val="16"/>
                <w:szCs w:val="16"/>
              </w:rPr>
            </w:pPr>
          </w:p>
        </w:tc>
        <w:tc>
          <w:tcPr>
            <w:tcW w:w="1371" w:type="dxa"/>
          </w:tcPr>
          <w:p w14:paraId="07EE82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37 мм с</w:t>
            </w:r>
          </w:p>
        </w:tc>
        <w:tc>
          <w:tcPr>
            <w:tcW w:w="818" w:type="dxa"/>
          </w:tcPr>
          <w:p w14:paraId="640CE7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перегр.</w:t>
            </w:r>
          </w:p>
        </w:tc>
        <w:tc>
          <w:tcPr>
            <w:tcW w:w="830" w:type="dxa"/>
          </w:tcPr>
          <w:p w14:paraId="5E1EF9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8РО-82</w:t>
            </w:r>
          </w:p>
        </w:tc>
        <w:tc>
          <w:tcPr>
            <w:tcW w:w="829" w:type="dxa"/>
          </w:tcPr>
          <w:p w14:paraId="654D36C9" w14:textId="77777777" w:rsidR="00AE7191" w:rsidRPr="00722885" w:rsidRDefault="00AE7191" w:rsidP="00722885">
            <w:pPr>
              <w:pStyle w:val="Iauiue"/>
              <w:jc w:val="both"/>
              <w:rPr>
                <w:color w:val="000000" w:themeColor="text1"/>
                <w:sz w:val="16"/>
                <w:szCs w:val="16"/>
              </w:rPr>
            </w:pPr>
          </w:p>
        </w:tc>
        <w:tc>
          <w:tcPr>
            <w:tcW w:w="968" w:type="dxa"/>
          </w:tcPr>
          <w:p w14:paraId="5E3BA6BE" w14:textId="77777777" w:rsidR="00AE7191" w:rsidRPr="00722885" w:rsidRDefault="00AE7191" w:rsidP="00722885">
            <w:pPr>
              <w:pStyle w:val="Iauiue"/>
              <w:jc w:val="both"/>
              <w:rPr>
                <w:color w:val="000000" w:themeColor="text1"/>
                <w:sz w:val="16"/>
                <w:szCs w:val="16"/>
              </w:rPr>
            </w:pPr>
          </w:p>
        </w:tc>
        <w:tc>
          <w:tcPr>
            <w:tcW w:w="837" w:type="dxa"/>
          </w:tcPr>
          <w:p w14:paraId="3178AC2E" w14:textId="77777777" w:rsidR="00AE7191" w:rsidRPr="00722885" w:rsidRDefault="00AE7191" w:rsidP="00722885">
            <w:pPr>
              <w:pStyle w:val="Iauiue"/>
              <w:jc w:val="both"/>
              <w:rPr>
                <w:color w:val="000000" w:themeColor="text1"/>
                <w:sz w:val="16"/>
                <w:szCs w:val="16"/>
              </w:rPr>
            </w:pPr>
          </w:p>
        </w:tc>
      </w:tr>
      <w:tr w:rsidR="009B487A" w:rsidRPr="00722885" w14:paraId="48A20F9A" w14:textId="77777777" w:rsidTr="00CC5360">
        <w:tc>
          <w:tcPr>
            <w:tcW w:w="1809" w:type="dxa"/>
          </w:tcPr>
          <w:p w14:paraId="1DB978E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штурмовик с мот.</w:t>
            </w:r>
          </w:p>
        </w:tc>
        <w:tc>
          <w:tcPr>
            <w:tcW w:w="723" w:type="dxa"/>
          </w:tcPr>
          <w:p w14:paraId="6F5F56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РС</w:t>
            </w:r>
          </w:p>
        </w:tc>
        <w:tc>
          <w:tcPr>
            <w:tcW w:w="862" w:type="dxa"/>
          </w:tcPr>
          <w:p w14:paraId="378796D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460/2000</w:t>
            </w:r>
          </w:p>
        </w:tc>
        <w:tc>
          <w:tcPr>
            <w:tcW w:w="865" w:type="dxa"/>
          </w:tcPr>
          <w:p w14:paraId="67B2A4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w:t>
            </w:r>
          </w:p>
        </w:tc>
        <w:tc>
          <w:tcPr>
            <w:tcW w:w="692" w:type="dxa"/>
          </w:tcPr>
          <w:p w14:paraId="4B6264E4" w14:textId="77777777" w:rsidR="00AE7191" w:rsidRPr="00722885" w:rsidRDefault="00AE7191" w:rsidP="00722885">
            <w:pPr>
              <w:pStyle w:val="Iauiue"/>
              <w:jc w:val="both"/>
              <w:rPr>
                <w:color w:val="000000" w:themeColor="text1"/>
                <w:sz w:val="16"/>
                <w:szCs w:val="16"/>
              </w:rPr>
            </w:pPr>
          </w:p>
        </w:tc>
        <w:tc>
          <w:tcPr>
            <w:tcW w:w="1371" w:type="dxa"/>
          </w:tcPr>
          <w:p w14:paraId="18C565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боезап.</w:t>
            </w:r>
          </w:p>
        </w:tc>
        <w:tc>
          <w:tcPr>
            <w:tcW w:w="818" w:type="dxa"/>
          </w:tcPr>
          <w:p w14:paraId="67DB93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w:t>
            </w:r>
          </w:p>
        </w:tc>
        <w:tc>
          <w:tcPr>
            <w:tcW w:w="830" w:type="dxa"/>
          </w:tcPr>
          <w:p w14:paraId="6DAE631C" w14:textId="77777777" w:rsidR="00AE7191" w:rsidRPr="00722885" w:rsidRDefault="00AE7191" w:rsidP="00722885">
            <w:pPr>
              <w:pStyle w:val="Iauiue"/>
              <w:jc w:val="both"/>
              <w:rPr>
                <w:color w:val="000000" w:themeColor="text1"/>
                <w:sz w:val="16"/>
                <w:szCs w:val="16"/>
              </w:rPr>
            </w:pPr>
          </w:p>
        </w:tc>
        <w:tc>
          <w:tcPr>
            <w:tcW w:w="829" w:type="dxa"/>
          </w:tcPr>
          <w:p w14:paraId="561D1238" w14:textId="77777777" w:rsidR="00AE7191" w:rsidRPr="00722885" w:rsidRDefault="00AE7191" w:rsidP="00722885">
            <w:pPr>
              <w:pStyle w:val="Iauiue"/>
              <w:jc w:val="both"/>
              <w:rPr>
                <w:color w:val="000000" w:themeColor="text1"/>
                <w:sz w:val="16"/>
                <w:szCs w:val="16"/>
              </w:rPr>
            </w:pPr>
          </w:p>
        </w:tc>
        <w:tc>
          <w:tcPr>
            <w:tcW w:w="968" w:type="dxa"/>
          </w:tcPr>
          <w:p w14:paraId="3450E1A9" w14:textId="77777777" w:rsidR="00AE7191" w:rsidRPr="00722885" w:rsidRDefault="00AE7191" w:rsidP="00722885">
            <w:pPr>
              <w:pStyle w:val="Iauiue"/>
              <w:jc w:val="both"/>
              <w:rPr>
                <w:color w:val="000000" w:themeColor="text1"/>
                <w:sz w:val="16"/>
                <w:szCs w:val="16"/>
              </w:rPr>
            </w:pPr>
          </w:p>
        </w:tc>
        <w:tc>
          <w:tcPr>
            <w:tcW w:w="837" w:type="dxa"/>
          </w:tcPr>
          <w:p w14:paraId="1DEDD8C7" w14:textId="77777777" w:rsidR="00AE7191" w:rsidRPr="00722885" w:rsidRDefault="00AE7191" w:rsidP="00722885">
            <w:pPr>
              <w:pStyle w:val="Iauiue"/>
              <w:jc w:val="both"/>
              <w:rPr>
                <w:color w:val="000000" w:themeColor="text1"/>
                <w:sz w:val="16"/>
                <w:szCs w:val="16"/>
              </w:rPr>
            </w:pPr>
          </w:p>
        </w:tc>
      </w:tr>
      <w:tr w:rsidR="009B487A" w:rsidRPr="00722885" w14:paraId="22084742" w14:textId="77777777" w:rsidTr="00CC5360">
        <w:tc>
          <w:tcPr>
            <w:tcW w:w="1809" w:type="dxa"/>
          </w:tcPr>
          <w:p w14:paraId="0C3D61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АМ-38 констр.</w:t>
            </w:r>
          </w:p>
        </w:tc>
        <w:tc>
          <w:tcPr>
            <w:tcW w:w="723" w:type="dxa"/>
          </w:tcPr>
          <w:p w14:paraId="29D0AF87" w14:textId="77777777" w:rsidR="00AE7191" w:rsidRPr="00722885" w:rsidRDefault="00AE7191" w:rsidP="00722885">
            <w:pPr>
              <w:pStyle w:val="Iauiue"/>
              <w:jc w:val="both"/>
              <w:rPr>
                <w:color w:val="000000" w:themeColor="text1"/>
                <w:sz w:val="16"/>
                <w:szCs w:val="16"/>
              </w:rPr>
            </w:pPr>
          </w:p>
        </w:tc>
        <w:tc>
          <w:tcPr>
            <w:tcW w:w="862" w:type="dxa"/>
          </w:tcPr>
          <w:p w14:paraId="45EAA8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без РС</w:t>
            </w:r>
          </w:p>
        </w:tc>
        <w:tc>
          <w:tcPr>
            <w:tcW w:w="865" w:type="dxa"/>
          </w:tcPr>
          <w:p w14:paraId="5656F9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скор.</w:t>
            </w:r>
          </w:p>
        </w:tc>
        <w:tc>
          <w:tcPr>
            <w:tcW w:w="692" w:type="dxa"/>
          </w:tcPr>
          <w:p w14:paraId="61A8C41D" w14:textId="77777777" w:rsidR="00AE7191" w:rsidRPr="00722885" w:rsidRDefault="00AE7191" w:rsidP="00722885">
            <w:pPr>
              <w:pStyle w:val="Iauiue"/>
              <w:jc w:val="both"/>
              <w:rPr>
                <w:color w:val="000000" w:themeColor="text1"/>
                <w:sz w:val="16"/>
                <w:szCs w:val="16"/>
              </w:rPr>
            </w:pPr>
          </w:p>
        </w:tc>
        <w:tc>
          <w:tcPr>
            <w:tcW w:w="1371" w:type="dxa"/>
          </w:tcPr>
          <w:p w14:paraId="227885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 снаряд.</w:t>
            </w:r>
          </w:p>
        </w:tc>
        <w:tc>
          <w:tcPr>
            <w:tcW w:w="818" w:type="dxa"/>
          </w:tcPr>
          <w:p w14:paraId="049C8D45" w14:textId="77777777" w:rsidR="00AE7191" w:rsidRPr="00722885" w:rsidRDefault="00AE7191" w:rsidP="00722885">
            <w:pPr>
              <w:pStyle w:val="Iauiue"/>
              <w:jc w:val="both"/>
              <w:rPr>
                <w:color w:val="000000" w:themeColor="text1"/>
                <w:sz w:val="16"/>
                <w:szCs w:val="16"/>
              </w:rPr>
            </w:pPr>
          </w:p>
        </w:tc>
        <w:tc>
          <w:tcPr>
            <w:tcW w:w="830" w:type="dxa"/>
          </w:tcPr>
          <w:p w14:paraId="04E43935" w14:textId="77777777" w:rsidR="00AE7191" w:rsidRPr="00722885" w:rsidRDefault="00AE7191" w:rsidP="00722885">
            <w:pPr>
              <w:pStyle w:val="Iauiue"/>
              <w:jc w:val="both"/>
              <w:rPr>
                <w:color w:val="000000" w:themeColor="text1"/>
                <w:sz w:val="16"/>
                <w:szCs w:val="16"/>
              </w:rPr>
            </w:pPr>
          </w:p>
        </w:tc>
        <w:tc>
          <w:tcPr>
            <w:tcW w:w="829" w:type="dxa"/>
          </w:tcPr>
          <w:p w14:paraId="42734F04" w14:textId="77777777" w:rsidR="00AE7191" w:rsidRPr="00722885" w:rsidRDefault="00AE7191" w:rsidP="00722885">
            <w:pPr>
              <w:pStyle w:val="Iauiue"/>
              <w:jc w:val="both"/>
              <w:rPr>
                <w:color w:val="000000" w:themeColor="text1"/>
                <w:sz w:val="16"/>
                <w:szCs w:val="16"/>
              </w:rPr>
            </w:pPr>
          </w:p>
        </w:tc>
        <w:tc>
          <w:tcPr>
            <w:tcW w:w="968" w:type="dxa"/>
          </w:tcPr>
          <w:p w14:paraId="5CAB1F19" w14:textId="77777777" w:rsidR="00AE7191" w:rsidRPr="00722885" w:rsidRDefault="00AE7191" w:rsidP="00722885">
            <w:pPr>
              <w:pStyle w:val="Iauiue"/>
              <w:jc w:val="both"/>
              <w:rPr>
                <w:color w:val="000000" w:themeColor="text1"/>
                <w:sz w:val="16"/>
                <w:szCs w:val="16"/>
              </w:rPr>
            </w:pPr>
          </w:p>
        </w:tc>
        <w:tc>
          <w:tcPr>
            <w:tcW w:w="837" w:type="dxa"/>
          </w:tcPr>
          <w:p w14:paraId="2BD4E956" w14:textId="77777777" w:rsidR="00AE7191" w:rsidRPr="00722885" w:rsidRDefault="00AE7191" w:rsidP="00722885">
            <w:pPr>
              <w:pStyle w:val="Iauiue"/>
              <w:jc w:val="both"/>
              <w:rPr>
                <w:color w:val="000000" w:themeColor="text1"/>
                <w:sz w:val="16"/>
                <w:szCs w:val="16"/>
              </w:rPr>
            </w:pPr>
          </w:p>
        </w:tc>
      </w:tr>
      <w:tr w:rsidR="009B487A" w:rsidRPr="00722885" w14:paraId="01703A8A" w14:textId="77777777" w:rsidTr="00CC5360">
        <w:tc>
          <w:tcPr>
            <w:tcW w:w="1809" w:type="dxa"/>
          </w:tcPr>
          <w:p w14:paraId="32A27F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Ильюшина</w:t>
            </w:r>
          </w:p>
        </w:tc>
        <w:tc>
          <w:tcPr>
            <w:tcW w:w="723" w:type="dxa"/>
          </w:tcPr>
          <w:p w14:paraId="1F05FB82" w14:textId="77777777" w:rsidR="00AE7191" w:rsidRPr="00722885" w:rsidRDefault="00AE7191" w:rsidP="00722885">
            <w:pPr>
              <w:pStyle w:val="Iauiue"/>
              <w:jc w:val="both"/>
              <w:rPr>
                <w:color w:val="000000" w:themeColor="text1"/>
                <w:sz w:val="16"/>
                <w:szCs w:val="16"/>
              </w:rPr>
            </w:pPr>
          </w:p>
        </w:tc>
        <w:tc>
          <w:tcPr>
            <w:tcW w:w="862" w:type="dxa"/>
          </w:tcPr>
          <w:p w14:paraId="438E656C" w14:textId="77777777" w:rsidR="00AE7191" w:rsidRPr="00722885" w:rsidRDefault="00AE7191" w:rsidP="00722885">
            <w:pPr>
              <w:pStyle w:val="Iauiue"/>
              <w:jc w:val="both"/>
              <w:rPr>
                <w:color w:val="000000" w:themeColor="text1"/>
                <w:sz w:val="16"/>
                <w:szCs w:val="16"/>
              </w:rPr>
            </w:pPr>
          </w:p>
        </w:tc>
        <w:tc>
          <w:tcPr>
            <w:tcW w:w="865" w:type="dxa"/>
          </w:tcPr>
          <w:p w14:paraId="48D5A6BE" w14:textId="77777777" w:rsidR="00AE7191" w:rsidRPr="00722885" w:rsidRDefault="00AE7191" w:rsidP="00722885">
            <w:pPr>
              <w:pStyle w:val="Iauiue"/>
              <w:jc w:val="both"/>
              <w:rPr>
                <w:color w:val="000000" w:themeColor="text1"/>
                <w:sz w:val="16"/>
                <w:szCs w:val="16"/>
              </w:rPr>
            </w:pPr>
          </w:p>
        </w:tc>
        <w:tc>
          <w:tcPr>
            <w:tcW w:w="692" w:type="dxa"/>
          </w:tcPr>
          <w:p w14:paraId="476A9DF1" w14:textId="77777777" w:rsidR="00AE7191" w:rsidRPr="00722885" w:rsidRDefault="00AE7191" w:rsidP="00722885">
            <w:pPr>
              <w:pStyle w:val="Iauiue"/>
              <w:jc w:val="both"/>
              <w:rPr>
                <w:color w:val="000000" w:themeColor="text1"/>
                <w:sz w:val="16"/>
                <w:szCs w:val="16"/>
              </w:rPr>
            </w:pPr>
          </w:p>
        </w:tc>
        <w:tc>
          <w:tcPr>
            <w:tcW w:w="1371" w:type="dxa"/>
          </w:tcPr>
          <w:p w14:paraId="6039F5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пушки</w:t>
            </w:r>
          </w:p>
        </w:tc>
        <w:tc>
          <w:tcPr>
            <w:tcW w:w="818" w:type="dxa"/>
          </w:tcPr>
          <w:p w14:paraId="2A78E1A9" w14:textId="77777777" w:rsidR="00AE7191" w:rsidRPr="00722885" w:rsidRDefault="00AE7191" w:rsidP="00722885">
            <w:pPr>
              <w:pStyle w:val="Iauiue"/>
              <w:jc w:val="both"/>
              <w:rPr>
                <w:color w:val="000000" w:themeColor="text1"/>
                <w:sz w:val="16"/>
                <w:szCs w:val="16"/>
              </w:rPr>
            </w:pPr>
          </w:p>
        </w:tc>
        <w:tc>
          <w:tcPr>
            <w:tcW w:w="830" w:type="dxa"/>
          </w:tcPr>
          <w:p w14:paraId="7A75D001" w14:textId="77777777" w:rsidR="00AE7191" w:rsidRPr="00722885" w:rsidRDefault="00AE7191" w:rsidP="00722885">
            <w:pPr>
              <w:pStyle w:val="Iauiue"/>
              <w:jc w:val="both"/>
              <w:rPr>
                <w:color w:val="000000" w:themeColor="text1"/>
                <w:sz w:val="16"/>
                <w:szCs w:val="16"/>
              </w:rPr>
            </w:pPr>
          </w:p>
        </w:tc>
        <w:tc>
          <w:tcPr>
            <w:tcW w:w="829" w:type="dxa"/>
          </w:tcPr>
          <w:p w14:paraId="14B9BEBC" w14:textId="77777777" w:rsidR="00AE7191" w:rsidRPr="00722885" w:rsidRDefault="00AE7191" w:rsidP="00722885">
            <w:pPr>
              <w:pStyle w:val="Iauiue"/>
              <w:jc w:val="both"/>
              <w:rPr>
                <w:color w:val="000000" w:themeColor="text1"/>
                <w:sz w:val="16"/>
                <w:szCs w:val="16"/>
              </w:rPr>
            </w:pPr>
          </w:p>
        </w:tc>
        <w:tc>
          <w:tcPr>
            <w:tcW w:w="968" w:type="dxa"/>
          </w:tcPr>
          <w:p w14:paraId="34D6FC41" w14:textId="77777777" w:rsidR="00AE7191" w:rsidRPr="00722885" w:rsidRDefault="00AE7191" w:rsidP="00722885">
            <w:pPr>
              <w:pStyle w:val="Iauiue"/>
              <w:jc w:val="both"/>
              <w:rPr>
                <w:color w:val="000000" w:themeColor="text1"/>
                <w:sz w:val="16"/>
                <w:szCs w:val="16"/>
              </w:rPr>
            </w:pPr>
          </w:p>
        </w:tc>
        <w:tc>
          <w:tcPr>
            <w:tcW w:w="837" w:type="dxa"/>
          </w:tcPr>
          <w:p w14:paraId="369807CE" w14:textId="77777777" w:rsidR="00AE7191" w:rsidRPr="00722885" w:rsidRDefault="00AE7191" w:rsidP="00722885">
            <w:pPr>
              <w:pStyle w:val="Iauiue"/>
              <w:jc w:val="both"/>
              <w:rPr>
                <w:color w:val="000000" w:themeColor="text1"/>
                <w:sz w:val="16"/>
                <w:szCs w:val="16"/>
              </w:rPr>
            </w:pPr>
          </w:p>
        </w:tc>
      </w:tr>
      <w:tr w:rsidR="009B487A" w:rsidRPr="00722885" w14:paraId="56362609" w14:textId="77777777" w:rsidTr="00CC5360">
        <w:tc>
          <w:tcPr>
            <w:tcW w:w="1809" w:type="dxa"/>
          </w:tcPr>
          <w:p w14:paraId="4982654C" w14:textId="77777777" w:rsidR="00AE7191" w:rsidRPr="00722885" w:rsidRDefault="00AE7191" w:rsidP="00722885">
            <w:pPr>
              <w:pStyle w:val="Iauiue"/>
              <w:jc w:val="both"/>
              <w:rPr>
                <w:color w:val="000000" w:themeColor="text1"/>
                <w:sz w:val="16"/>
                <w:szCs w:val="16"/>
              </w:rPr>
            </w:pPr>
          </w:p>
        </w:tc>
        <w:tc>
          <w:tcPr>
            <w:tcW w:w="723" w:type="dxa"/>
          </w:tcPr>
          <w:p w14:paraId="2A74F20C" w14:textId="77777777" w:rsidR="00AE7191" w:rsidRPr="00722885" w:rsidRDefault="00AE7191" w:rsidP="00722885">
            <w:pPr>
              <w:pStyle w:val="Iauiue"/>
              <w:jc w:val="both"/>
              <w:rPr>
                <w:color w:val="000000" w:themeColor="text1"/>
                <w:sz w:val="16"/>
                <w:szCs w:val="16"/>
              </w:rPr>
            </w:pPr>
          </w:p>
        </w:tc>
        <w:tc>
          <w:tcPr>
            <w:tcW w:w="862" w:type="dxa"/>
          </w:tcPr>
          <w:p w14:paraId="637688B4" w14:textId="77777777" w:rsidR="00AE7191" w:rsidRPr="00722885" w:rsidRDefault="00AE7191" w:rsidP="00722885">
            <w:pPr>
              <w:pStyle w:val="Iauiue"/>
              <w:jc w:val="both"/>
              <w:rPr>
                <w:color w:val="000000" w:themeColor="text1"/>
                <w:sz w:val="16"/>
                <w:szCs w:val="16"/>
              </w:rPr>
            </w:pPr>
          </w:p>
        </w:tc>
        <w:tc>
          <w:tcPr>
            <w:tcW w:w="865" w:type="dxa"/>
          </w:tcPr>
          <w:p w14:paraId="55675321" w14:textId="77777777" w:rsidR="00AE7191" w:rsidRPr="00722885" w:rsidRDefault="00AE7191" w:rsidP="00722885">
            <w:pPr>
              <w:pStyle w:val="Iauiue"/>
              <w:jc w:val="both"/>
              <w:rPr>
                <w:color w:val="000000" w:themeColor="text1"/>
                <w:sz w:val="16"/>
                <w:szCs w:val="16"/>
              </w:rPr>
            </w:pPr>
          </w:p>
        </w:tc>
        <w:tc>
          <w:tcPr>
            <w:tcW w:w="692" w:type="dxa"/>
          </w:tcPr>
          <w:p w14:paraId="77ED0ED9" w14:textId="77777777" w:rsidR="00AE7191" w:rsidRPr="00722885" w:rsidRDefault="00AE7191" w:rsidP="00722885">
            <w:pPr>
              <w:pStyle w:val="Iauiue"/>
              <w:jc w:val="both"/>
              <w:rPr>
                <w:color w:val="000000" w:themeColor="text1"/>
                <w:sz w:val="16"/>
                <w:szCs w:val="16"/>
              </w:rPr>
            </w:pPr>
          </w:p>
        </w:tc>
        <w:tc>
          <w:tcPr>
            <w:tcW w:w="1371" w:type="dxa"/>
          </w:tcPr>
          <w:p w14:paraId="5C5F90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20 мм, 400 </w:t>
            </w:r>
          </w:p>
        </w:tc>
        <w:tc>
          <w:tcPr>
            <w:tcW w:w="818" w:type="dxa"/>
          </w:tcPr>
          <w:p w14:paraId="59306C6F" w14:textId="77777777" w:rsidR="00AE7191" w:rsidRPr="00722885" w:rsidRDefault="00AE7191" w:rsidP="00722885">
            <w:pPr>
              <w:pStyle w:val="Iauiue"/>
              <w:jc w:val="both"/>
              <w:rPr>
                <w:color w:val="000000" w:themeColor="text1"/>
                <w:sz w:val="16"/>
                <w:szCs w:val="16"/>
              </w:rPr>
            </w:pPr>
          </w:p>
        </w:tc>
        <w:tc>
          <w:tcPr>
            <w:tcW w:w="830" w:type="dxa"/>
          </w:tcPr>
          <w:p w14:paraId="31BCC594" w14:textId="77777777" w:rsidR="00AE7191" w:rsidRPr="00722885" w:rsidRDefault="00AE7191" w:rsidP="00722885">
            <w:pPr>
              <w:pStyle w:val="Iauiue"/>
              <w:jc w:val="both"/>
              <w:rPr>
                <w:color w:val="000000" w:themeColor="text1"/>
                <w:sz w:val="16"/>
                <w:szCs w:val="16"/>
              </w:rPr>
            </w:pPr>
          </w:p>
        </w:tc>
        <w:tc>
          <w:tcPr>
            <w:tcW w:w="829" w:type="dxa"/>
          </w:tcPr>
          <w:p w14:paraId="31F47DC8" w14:textId="77777777" w:rsidR="00AE7191" w:rsidRPr="00722885" w:rsidRDefault="00AE7191" w:rsidP="00722885">
            <w:pPr>
              <w:pStyle w:val="Iauiue"/>
              <w:jc w:val="both"/>
              <w:rPr>
                <w:color w:val="000000" w:themeColor="text1"/>
                <w:sz w:val="16"/>
                <w:szCs w:val="16"/>
              </w:rPr>
            </w:pPr>
          </w:p>
        </w:tc>
        <w:tc>
          <w:tcPr>
            <w:tcW w:w="968" w:type="dxa"/>
          </w:tcPr>
          <w:p w14:paraId="0B8A3248" w14:textId="77777777" w:rsidR="00AE7191" w:rsidRPr="00722885" w:rsidRDefault="00AE7191" w:rsidP="00722885">
            <w:pPr>
              <w:pStyle w:val="Iauiue"/>
              <w:jc w:val="both"/>
              <w:rPr>
                <w:color w:val="000000" w:themeColor="text1"/>
                <w:sz w:val="16"/>
                <w:szCs w:val="16"/>
              </w:rPr>
            </w:pPr>
          </w:p>
        </w:tc>
        <w:tc>
          <w:tcPr>
            <w:tcW w:w="837" w:type="dxa"/>
          </w:tcPr>
          <w:p w14:paraId="4FB7B8B7" w14:textId="77777777" w:rsidR="00AE7191" w:rsidRPr="00722885" w:rsidRDefault="00AE7191" w:rsidP="00722885">
            <w:pPr>
              <w:pStyle w:val="Iauiue"/>
              <w:jc w:val="both"/>
              <w:rPr>
                <w:color w:val="000000" w:themeColor="text1"/>
                <w:sz w:val="16"/>
                <w:szCs w:val="16"/>
              </w:rPr>
            </w:pPr>
          </w:p>
        </w:tc>
      </w:tr>
      <w:tr w:rsidR="009B487A" w:rsidRPr="00722885" w14:paraId="73E6FF0C" w14:textId="77777777" w:rsidTr="00CC5360">
        <w:tc>
          <w:tcPr>
            <w:tcW w:w="1809" w:type="dxa"/>
          </w:tcPr>
          <w:p w14:paraId="765E1423" w14:textId="77777777" w:rsidR="00AE7191" w:rsidRPr="00722885" w:rsidRDefault="00AE7191" w:rsidP="00722885">
            <w:pPr>
              <w:pStyle w:val="Iauiue"/>
              <w:jc w:val="both"/>
              <w:rPr>
                <w:color w:val="000000" w:themeColor="text1"/>
                <w:sz w:val="16"/>
                <w:szCs w:val="16"/>
              </w:rPr>
            </w:pPr>
          </w:p>
        </w:tc>
        <w:tc>
          <w:tcPr>
            <w:tcW w:w="723" w:type="dxa"/>
          </w:tcPr>
          <w:p w14:paraId="12378000" w14:textId="77777777" w:rsidR="00AE7191" w:rsidRPr="00722885" w:rsidRDefault="00AE7191" w:rsidP="00722885">
            <w:pPr>
              <w:pStyle w:val="Iauiue"/>
              <w:jc w:val="both"/>
              <w:rPr>
                <w:color w:val="000000" w:themeColor="text1"/>
                <w:sz w:val="16"/>
                <w:szCs w:val="16"/>
              </w:rPr>
            </w:pPr>
          </w:p>
        </w:tc>
        <w:tc>
          <w:tcPr>
            <w:tcW w:w="862" w:type="dxa"/>
          </w:tcPr>
          <w:p w14:paraId="76362815" w14:textId="77777777" w:rsidR="00AE7191" w:rsidRPr="00722885" w:rsidRDefault="00AE7191" w:rsidP="00722885">
            <w:pPr>
              <w:pStyle w:val="Iauiue"/>
              <w:jc w:val="both"/>
              <w:rPr>
                <w:color w:val="000000" w:themeColor="text1"/>
                <w:sz w:val="16"/>
                <w:szCs w:val="16"/>
              </w:rPr>
            </w:pPr>
          </w:p>
        </w:tc>
        <w:tc>
          <w:tcPr>
            <w:tcW w:w="865" w:type="dxa"/>
          </w:tcPr>
          <w:p w14:paraId="16ACB4A7" w14:textId="77777777" w:rsidR="00AE7191" w:rsidRPr="00722885" w:rsidRDefault="00AE7191" w:rsidP="00722885">
            <w:pPr>
              <w:pStyle w:val="Iauiue"/>
              <w:jc w:val="both"/>
              <w:rPr>
                <w:color w:val="000000" w:themeColor="text1"/>
                <w:sz w:val="16"/>
                <w:szCs w:val="16"/>
              </w:rPr>
            </w:pPr>
          </w:p>
        </w:tc>
        <w:tc>
          <w:tcPr>
            <w:tcW w:w="692" w:type="dxa"/>
          </w:tcPr>
          <w:p w14:paraId="7A9B2A6E" w14:textId="77777777" w:rsidR="00AE7191" w:rsidRPr="00722885" w:rsidRDefault="00AE7191" w:rsidP="00722885">
            <w:pPr>
              <w:pStyle w:val="Iauiue"/>
              <w:jc w:val="both"/>
              <w:rPr>
                <w:color w:val="000000" w:themeColor="text1"/>
                <w:sz w:val="16"/>
                <w:szCs w:val="16"/>
              </w:rPr>
            </w:pPr>
          </w:p>
        </w:tc>
        <w:tc>
          <w:tcPr>
            <w:tcW w:w="1371" w:type="dxa"/>
          </w:tcPr>
          <w:p w14:paraId="2DB7AD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снарядов в</w:t>
            </w:r>
          </w:p>
        </w:tc>
        <w:tc>
          <w:tcPr>
            <w:tcW w:w="818" w:type="dxa"/>
          </w:tcPr>
          <w:p w14:paraId="7A975F24" w14:textId="77777777" w:rsidR="00AE7191" w:rsidRPr="00722885" w:rsidRDefault="00AE7191" w:rsidP="00722885">
            <w:pPr>
              <w:pStyle w:val="Iauiue"/>
              <w:jc w:val="both"/>
              <w:rPr>
                <w:color w:val="000000" w:themeColor="text1"/>
                <w:sz w:val="16"/>
                <w:szCs w:val="16"/>
              </w:rPr>
            </w:pPr>
          </w:p>
        </w:tc>
        <w:tc>
          <w:tcPr>
            <w:tcW w:w="830" w:type="dxa"/>
          </w:tcPr>
          <w:p w14:paraId="1C29DB52" w14:textId="77777777" w:rsidR="00AE7191" w:rsidRPr="00722885" w:rsidRDefault="00AE7191" w:rsidP="00722885">
            <w:pPr>
              <w:pStyle w:val="Iauiue"/>
              <w:jc w:val="both"/>
              <w:rPr>
                <w:color w:val="000000" w:themeColor="text1"/>
                <w:sz w:val="16"/>
                <w:szCs w:val="16"/>
              </w:rPr>
            </w:pPr>
          </w:p>
        </w:tc>
        <w:tc>
          <w:tcPr>
            <w:tcW w:w="829" w:type="dxa"/>
          </w:tcPr>
          <w:p w14:paraId="0CCF9A5B" w14:textId="77777777" w:rsidR="00AE7191" w:rsidRPr="00722885" w:rsidRDefault="00AE7191" w:rsidP="00722885">
            <w:pPr>
              <w:pStyle w:val="Iauiue"/>
              <w:jc w:val="both"/>
              <w:rPr>
                <w:color w:val="000000" w:themeColor="text1"/>
                <w:sz w:val="16"/>
                <w:szCs w:val="16"/>
              </w:rPr>
            </w:pPr>
          </w:p>
        </w:tc>
        <w:tc>
          <w:tcPr>
            <w:tcW w:w="968" w:type="dxa"/>
          </w:tcPr>
          <w:p w14:paraId="13614611" w14:textId="77777777" w:rsidR="00AE7191" w:rsidRPr="00722885" w:rsidRDefault="00AE7191" w:rsidP="00722885">
            <w:pPr>
              <w:pStyle w:val="Iauiue"/>
              <w:jc w:val="both"/>
              <w:rPr>
                <w:color w:val="000000" w:themeColor="text1"/>
                <w:sz w:val="16"/>
                <w:szCs w:val="16"/>
              </w:rPr>
            </w:pPr>
          </w:p>
        </w:tc>
        <w:tc>
          <w:tcPr>
            <w:tcW w:w="837" w:type="dxa"/>
          </w:tcPr>
          <w:p w14:paraId="15C9A5B6" w14:textId="77777777" w:rsidR="00AE7191" w:rsidRPr="00722885" w:rsidRDefault="00AE7191" w:rsidP="00722885">
            <w:pPr>
              <w:pStyle w:val="Iauiue"/>
              <w:jc w:val="both"/>
              <w:rPr>
                <w:color w:val="000000" w:themeColor="text1"/>
                <w:sz w:val="16"/>
                <w:szCs w:val="16"/>
              </w:rPr>
            </w:pPr>
          </w:p>
        </w:tc>
      </w:tr>
      <w:tr w:rsidR="009B487A" w:rsidRPr="00722885" w14:paraId="7AFCE62B" w14:textId="77777777" w:rsidTr="00CC5360">
        <w:tc>
          <w:tcPr>
            <w:tcW w:w="1809" w:type="dxa"/>
          </w:tcPr>
          <w:p w14:paraId="7FD35795" w14:textId="77777777" w:rsidR="00AE7191" w:rsidRPr="00722885" w:rsidRDefault="00AE7191" w:rsidP="00722885">
            <w:pPr>
              <w:pStyle w:val="Iauiue"/>
              <w:jc w:val="both"/>
              <w:rPr>
                <w:color w:val="000000" w:themeColor="text1"/>
                <w:sz w:val="16"/>
                <w:szCs w:val="16"/>
              </w:rPr>
            </w:pPr>
          </w:p>
        </w:tc>
        <w:tc>
          <w:tcPr>
            <w:tcW w:w="723" w:type="dxa"/>
          </w:tcPr>
          <w:p w14:paraId="69D3E271" w14:textId="77777777" w:rsidR="00AE7191" w:rsidRPr="00722885" w:rsidRDefault="00AE7191" w:rsidP="00722885">
            <w:pPr>
              <w:pStyle w:val="Iauiue"/>
              <w:jc w:val="both"/>
              <w:rPr>
                <w:color w:val="000000" w:themeColor="text1"/>
                <w:sz w:val="16"/>
                <w:szCs w:val="16"/>
              </w:rPr>
            </w:pPr>
          </w:p>
        </w:tc>
        <w:tc>
          <w:tcPr>
            <w:tcW w:w="862" w:type="dxa"/>
          </w:tcPr>
          <w:p w14:paraId="00A2F7E0" w14:textId="77777777" w:rsidR="00AE7191" w:rsidRPr="00722885" w:rsidRDefault="00AE7191" w:rsidP="00722885">
            <w:pPr>
              <w:pStyle w:val="Iauiue"/>
              <w:jc w:val="both"/>
              <w:rPr>
                <w:color w:val="000000" w:themeColor="text1"/>
                <w:sz w:val="16"/>
                <w:szCs w:val="16"/>
              </w:rPr>
            </w:pPr>
          </w:p>
        </w:tc>
        <w:tc>
          <w:tcPr>
            <w:tcW w:w="865" w:type="dxa"/>
          </w:tcPr>
          <w:p w14:paraId="070BF24B" w14:textId="77777777" w:rsidR="00AE7191" w:rsidRPr="00722885" w:rsidRDefault="00AE7191" w:rsidP="00722885">
            <w:pPr>
              <w:pStyle w:val="Iauiue"/>
              <w:jc w:val="both"/>
              <w:rPr>
                <w:color w:val="000000" w:themeColor="text1"/>
                <w:sz w:val="16"/>
                <w:szCs w:val="16"/>
              </w:rPr>
            </w:pPr>
          </w:p>
        </w:tc>
        <w:tc>
          <w:tcPr>
            <w:tcW w:w="692" w:type="dxa"/>
          </w:tcPr>
          <w:p w14:paraId="705AD746" w14:textId="77777777" w:rsidR="00AE7191" w:rsidRPr="00722885" w:rsidRDefault="00AE7191" w:rsidP="00722885">
            <w:pPr>
              <w:pStyle w:val="Iauiue"/>
              <w:jc w:val="both"/>
              <w:rPr>
                <w:color w:val="000000" w:themeColor="text1"/>
                <w:sz w:val="16"/>
                <w:szCs w:val="16"/>
              </w:rPr>
            </w:pPr>
          </w:p>
        </w:tc>
        <w:tc>
          <w:tcPr>
            <w:tcW w:w="1371" w:type="dxa"/>
          </w:tcPr>
          <w:p w14:paraId="68018E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перегрузку</w:t>
            </w:r>
          </w:p>
        </w:tc>
        <w:tc>
          <w:tcPr>
            <w:tcW w:w="818" w:type="dxa"/>
          </w:tcPr>
          <w:p w14:paraId="1EBE1258" w14:textId="77777777" w:rsidR="00AE7191" w:rsidRPr="00722885" w:rsidRDefault="00AE7191" w:rsidP="00722885">
            <w:pPr>
              <w:pStyle w:val="Iauiue"/>
              <w:jc w:val="both"/>
              <w:rPr>
                <w:color w:val="000000" w:themeColor="text1"/>
                <w:sz w:val="16"/>
                <w:szCs w:val="16"/>
              </w:rPr>
            </w:pPr>
          </w:p>
        </w:tc>
        <w:tc>
          <w:tcPr>
            <w:tcW w:w="830" w:type="dxa"/>
          </w:tcPr>
          <w:p w14:paraId="7CD28E09" w14:textId="77777777" w:rsidR="00AE7191" w:rsidRPr="00722885" w:rsidRDefault="00AE7191" w:rsidP="00722885">
            <w:pPr>
              <w:pStyle w:val="Iauiue"/>
              <w:jc w:val="both"/>
              <w:rPr>
                <w:color w:val="000000" w:themeColor="text1"/>
                <w:sz w:val="16"/>
                <w:szCs w:val="16"/>
              </w:rPr>
            </w:pPr>
          </w:p>
        </w:tc>
        <w:tc>
          <w:tcPr>
            <w:tcW w:w="829" w:type="dxa"/>
          </w:tcPr>
          <w:p w14:paraId="349FE7D5" w14:textId="77777777" w:rsidR="00AE7191" w:rsidRPr="00722885" w:rsidRDefault="00AE7191" w:rsidP="00722885">
            <w:pPr>
              <w:pStyle w:val="Iauiue"/>
              <w:jc w:val="both"/>
              <w:rPr>
                <w:color w:val="000000" w:themeColor="text1"/>
                <w:sz w:val="16"/>
                <w:szCs w:val="16"/>
              </w:rPr>
            </w:pPr>
          </w:p>
        </w:tc>
        <w:tc>
          <w:tcPr>
            <w:tcW w:w="968" w:type="dxa"/>
          </w:tcPr>
          <w:p w14:paraId="758D93E4" w14:textId="77777777" w:rsidR="00AE7191" w:rsidRPr="00722885" w:rsidRDefault="00AE7191" w:rsidP="00722885">
            <w:pPr>
              <w:pStyle w:val="Iauiue"/>
              <w:jc w:val="both"/>
              <w:rPr>
                <w:color w:val="000000" w:themeColor="text1"/>
                <w:sz w:val="16"/>
                <w:szCs w:val="16"/>
              </w:rPr>
            </w:pPr>
          </w:p>
        </w:tc>
        <w:tc>
          <w:tcPr>
            <w:tcW w:w="837" w:type="dxa"/>
          </w:tcPr>
          <w:p w14:paraId="536F96E6" w14:textId="77777777" w:rsidR="00AE7191" w:rsidRPr="00722885" w:rsidRDefault="00AE7191" w:rsidP="00722885">
            <w:pPr>
              <w:pStyle w:val="Iauiue"/>
              <w:jc w:val="both"/>
              <w:rPr>
                <w:color w:val="000000" w:themeColor="text1"/>
                <w:sz w:val="16"/>
                <w:szCs w:val="16"/>
              </w:rPr>
            </w:pPr>
          </w:p>
        </w:tc>
      </w:tr>
      <w:tr w:rsidR="009B487A" w:rsidRPr="00722885" w14:paraId="66E8EEB7" w14:textId="77777777" w:rsidTr="00CC5360">
        <w:tc>
          <w:tcPr>
            <w:tcW w:w="1809" w:type="dxa"/>
          </w:tcPr>
          <w:p w14:paraId="5317000C" w14:textId="77777777" w:rsidR="00AE7191" w:rsidRPr="00722885" w:rsidRDefault="00AE7191" w:rsidP="00722885">
            <w:pPr>
              <w:pStyle w:val="Iauiue"/>
              <w:jc w:val="both"/>
              <w:rPr>
                <w:color w:val="000000" w:themeColor="text1"/>
                <w:sz w:val="16"/>
                <w:szCs w:val="16"/>
              </w:rPr>
            </w:pPr>
          </w:p>
        </w:tc>
        <w:tc>
          <w:tcPr>
            <w:tcW w:w="723" w:type="dxa"/>
          </w:tcPr>
          <w:p w14:paraId="3469B316" w14:textId="77777777" w:rsidR="00AE7191" w:rsidRPr="00722885" w:rsidRDefault="00AE7191" w:rsidP="00722885">
            <w:pPr>
              <w:pStyle w:val="Iauiue"/>
              <w:jc w:val="both"/>
              <w:rPr>
                <w:color w:val="000000" w:themeColor="text1"/>
                <w:sz w:val="16"/>
                <w:szCs w:val="16"/>
              </w:rPr>
            </w:pPr>
          </w:p>
        </w:tc>
        <w:tc>
          <w:tcPr>
            <w:tcW w:w="862" w:type="dxa"/>
          </w:tcPr>
          <w:p w14:paraId="56082DF4" w14:textId="77777777" w:rsidR="00AE7191" w:rsidRPr="00722885" w:rsidRDefault="00AE7191" w:rsidP="00722885">
            <w:pPr>
              <w:pStyle w:val="Iauiue"/>
              <w:jc w:val="both"/>
              <w:rPr>
                <w:color w:val="000000" w:themeColor="text1"/>
                <w:sz w:val="16"/>
                <w:szCs w:val="16"/>
              </w:rPr>
            </w:pPr>
          </w:p>
        </w:tc>
        <w:tc>
          <w:tcPr>
            <w:tcW w:w="865" w:type="dxa"/>
          </w:tcPr>
          <w:p w14:paraId="12D7D71D" w14:textId="77777777" w:rsidR="00AE7191" w:rsidRPr="00722885" w:rsidRDefault="00AE7191" w:rsidP="00722885">
            <w:pPr>
              <w:pStyle w:val="Iauiue"/>
              <w:jc w:val="both"/>
              <w:rPr>
                <w:color w:val="000000" w:themeColor="text1"/>
                <w:sz w:val="16"/>
                <w:szCs w:val="16"/>
              </w:rPr>
            </w:pPr>
          </w:p>
        </w:tc>
        <w:tc>
          <w:tcPr>
            <w:tcW w:w="692" w:type="dxa"/>
          </w:tcPr>
          <w:p w14:paraId="7D643578" w14:textId="77777777" w:rsidR="00AE7191" w:rsidRPr="00722885" w:rsidRDefault="00AE7191" w:rsidP="00722885">
            <w:pPr>
              <w:pStyle w:val="Iauiue"/>
              <w:jc w:val="both"/>
              <w:rPr>
                <w:color w:val="000000" w:themeColor="text1"/>
                <w:sz w:val="16"/>
                <w:szCs w:val="16"/>
              </w:rPr>
            </w:pPr>
          </w:p>
        </w:tc>
        <w:tc>
          <w:tcPr>
            <w:tcW w:w="1371" w:type="dxa"/>
          </w:tcPr>
          <w:p w14:paraId="086436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пулем.</w:t>
            </w:r>
          </w:p>
        </w:tc>
        <w:tc>
          <w:tcPr>
            <w:tcW w:w="818" w:type="dxa"/>
          </w:tcPr>
          <w:p w14:paraId="07973A35" w14:textId="77777777" w:rsidR="00AE7191" w:rsidRPr="00722885" w:rsidRDefault="00AE7191" w:rsidP="00722885">
            <w:pPr>
              <w:pStyle w:val="Iauiue"/>
              <w:jc w:val="both"/>
              <w:rPr>
                <w:color w:val="000000" w:themeColor="text1"/>
                <w:sz w:val="16"/>
                <w:szCs w:val="16"/>
              </w:rPr>
            </w:pPr>
          </w:p>
        </w:tc>
        <w:tc>
          <w:tcPr>
            <w:tcW w:w="830" w:type="dxa"/>
          </w:tcPr>
          <w:p w14:paraId="4FA0ADAA" w14:textId="77777777" w:rsidR="00AE7191" w:rsidRPr="00722885" w:rsidRDefault="00AE7191" w:rsidP="00722885">
            <w:pPr>
              <w:pStyle w:val="Iauiue"/>
              <w:jc w:val="both"/>
              <w:rPr>
                <w:color w:val="000000" w:themeColor="text1"/>
                <w:sz w:val="16"/>
                <w:szCs w:val="16"/>
              </w:rPr>
            </w:pPr>
          </w:p>
        </w:tc>
        <w:tc>
          <w:tcPr>
            <w:tcW w:w="829" w:type="dxa"/>
          </w:tcPr>
          <w:p w14:paraId="62332541" w14:textId="77777777" w:rsidR="00AE7191" w:rsidRPr="00722885" w:rsidRDefault="00AE7191" w:rsidP="00722885">
            <w:pPr>
              <w:pStyle w:val="Iauiue"/>
              <w:jc w:val="both"/>
              <w:rPr>
                <w:color w:val="000000" w:themeColor="text1"/>
                <w:sz w:val="16"/>
                <w:szCs w:val="16"/>
              </w:rPr>
            </w:pPr>
          </w:p>
        </w:tc>
        <w:tc>
          <w:tcPr>
            <w:tcW w:w="968" w:type="dxa"/>
          </w:tcPr>
          <w:p w14:paraId="5F2907ED" w14:textId="77777777" w:rsidR="00AE7191" w:rsidRPr="00722885" w:rsidRDefault="00AE7191" w:rsidP="00722885">
            <w:pPr>
              <w:pStyle w:val="Iauiue"/>
              <w:jc w:val="both"/>
              <w:rPr>
                <w:color w:val="000000" w:themeColor="text1"/>
                <w:sz w:val="16"/>
                <w:szCs w:val="16"/>
              </w:rPr>
            </w:pPr>
          </w:p>
        </w:tc>
        <w:tc>
          <w:tcPr>
            <w:tcW w:w="837" w:type="dxa"/>
          </w:tcPr>
          <w:p w14:paraId="4421FCB8" w14:textId="77777777" w:rsidR="00AE7191" w:rsidRPr="00722885" w:rsidRDefault="00AE7191" w:rsidP="00722885">
            <w:pPr>
              <w:pStyle w:val="Iauiue"/>
              <w:jc w:val="both"/>
              <w:rPr>
                <w:color w:val="000000" w:themeColor="text1"/>
                <w:sz w:val="16"/>
                <w:szCs w:val="16"/>
              </w:rPr>
            </w:pPr>
          </w:p>
        </w:tc>
      </w:tr>
      <w:tr w:rsidR="009B487A" w:rsidRPr="00722885" w14:paraId="3441C95D" w14:textId="77777777" w:rsidTr="00CC5360">
        <w:tc>
          <w:tcPr>
            <w:tcW w:w="1809" w:type="dxa"/>
          </w:tcPr>
          <w:p w14:paraId="111AD473" w14:textId="77777777" w:rsidR="00AE7191" w:rsidRPr="00722885" w:rsidRDefault="00AE7191" w:rsidP="00722885">
            <w:pPr>
              <w:pStyle w:val="Iauiue"/>
              <w:jc w:val="both"/>
              <w:rPr>
                <w:color w:val="000000" w:themeColor="text1"/>
                <w:sz w:val="16"/>
                <w:szCs w:val="16"/>
              </w:rPr>
            </w:pPr>
          </w:p>
        </w:tc>
        <w:tc>
          <w:tcPr>
            <w:tcW w:w="723" w:type="dxa"/>
          </w:tcPr>
          <w:p w14:paraId="4D54FDD1" w14:textId="77777777" w:rsidR="00AE7191" w:rsidRPr="00722885" w:rsidRDefault="00AE7191" w:rsidP="00722885">
            <w:pPr>
              <w:pStyle w:val="Iauiue"/>
              <w:jc w:val="both"/>
              <w:rPr>
                <w:color w:val="000000" w:themeColor="text1"/>
                <w:sz w:val="16"/>
                <w:szCs w:val="16"/>
              </w:rPr>
            </w:pPr>
          </w:p>
        </w:tc>
        <w:tc>
          <w:tcPr>
            <w:tcW w:w="862" w:type="dxa"/>
          </w:tcPr>
          <w:p w14:paraId="509A240D" w14:textId="77777777" w:rsidR="00AE7191" w:rsidRPr="00722885" w:rsidRDefault="00AE7191" w:rsidP="00722885">
            <w:pPr>
              <w:pStyle w:val="Iauiue"/>
              <w:jc w:val="both"/>
              <w:rPr>
                <w:color w:val="000000" w:themeColor="text1"/>
                <w:sz w:val="16"/>
                <w:szCs w:val="16"/>
              </w:rPr>
            </w:pPr>
          </w:p>
        </w:tc>
        <w:tc>
          <w:tcPr>
            <w:tcW w:w="865" w:type="dxa"/>
          </w:tcPr>
          <w:p w14:paraId="4465DA7E" w14:textId="77777777" w:rsidR="00AE7191" w:rsidRPr="00722885" w:rsidRDefault="00AE7191" w:rsidP="00722885">
            <w:pPr>
              <w:pStyle w:val="Iauiue"/>
              <w:jc w:val="both"/>
              <w:rPr>
                <w:color w:val="000000" w:themeColor="text1"/>
                <w:sz w:val="16"/>
                <w:szCs w:val="16"/>
              </w:rPr>
            </w:pPr>
          </w:p>
        </w:tc>
        <w:tc>
          <w:tcPr>
            <w:tcW w:w="692" w:type="dxa"/>
          </w:tcPr>
          <w:p w14:paraId="127BF076" w14:textId="77777777" w:rsidR="00AE7191" w:rsidRPr="00722885" w:rsidRDefault="00AE7191" w:rsidP="00722885">
            <w:pPr>
              <w:pStyle w:val="Iauiue"/>
              <w:jc w:val="both"/>
              <w:rPr>
                <w:color w:val="000000" w:themeColor="text1"/>
                <w:sz w:val="16"/>
                <w:szCs w:val="16"/>
              </w:rPr>
            </w:pPr>
          </w:p>
        </w:tc>
        <w:tc>
          <w:tcPr>
            <w:tcW w:w="1371" w:type="dxa"/>
          </w:tcPr>
          <w:p w14:paraId="37C4AC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7,62 мм с</w:t>
            </w:r>
          </w:p>
        </w:tc>
        <w:tc>
          <w:tcPr>
            <w:tcW w:w="818" w:type="dxa"/>
          </w:tcPr>
          <w:p w14:paraId="0F25BDFE" w14:textId="77777777" w:rsidR="00AE7191" w:rsidRPr="00722885" w:rsidRDefault="00AE7191" w:rsidP="00722885">
            <w:pPr>
              <w:pStyle w:val="Iauiue"/>
              <w:jc w:val="both"/>
              <w:rPr>
                <w:color w:val="000000" w:themeColor="text1"/>
                <w:sz w:val="16"/>
                <w:szCs w:val="16"/>
              </w:rPr>
            </w:pPr>
          </w:p>
        </w:tc>
        <w:tc>
          <w:tcPr>
            <w:tcW w:w="830" w:type="dxa"/>
          </w:tcPr>
          <w:p w14:paraId="35F66F5F" w14:textId="77777777" w:rsidR="00AE7191" w:rsidRPr="00722885" w:rsidRDefault="00AE7191" w:rsidP="00722885">
            <w:pPr>
              <w:pStyle w:val="Iauiue"/>
              <w:jc w:val="both"/>
              <w:rPr>
                <w:color w:val="000000" w:themeColor="text1"/>
                <w:sz w:val="16"/>
                <w:szCs w:val="16"/>
              </w:rPr>
            </w:pPr>
          </w:p>
        </w:tc>
        <w:tc>
          <w:tcPr>
            <w:tcW w:w="829" w:type="dxa"/>
          </w:tcPr>
          <w:p w14:paraId="4A1B6EE5" w14:textId="77777777" w:rsidR="00AE7191" w:rsidRPr="00722885" w:rsidRDefault="00AE7191" w:rsidP="00722885">
            <w:pPr>
              <w:pStyle w:val="Iauiue"/>
              <w:jc w:val="both"/>
              <w:rPr>
                <w:color w:val="000000" w:themeColor="text1"/>
                <w:sz w:val="16"/>
                <w:szCs w:val="16"/>
              </w:rPr>
            </w:pPr>
          </w:p>
        </w:tc>
        <w:tc>
          <w:tcPr>
            <w:tcW w:w="968" w:type="dxa"/>
          </w:tcPr>
          <w:p w14:paraId="197A29CD" w14:textId="77777777" w:rsidR="00AE7191" w:rsidRPr="00722885" w:rsidRDefault="00AE7191" w:rsidP="00722885">
            <w:pPr>
              <w:pStyle w:val="Iauiue"/>
              <w:jc w:val="both"/>
              <w:rPr>
                <w:color w:val="000000" w:themeColor="text1"/>
                <w:sz w:val="16"/>
                <w:szCs w:val="16"/>
              </w:rPr>
            </w:pPr>
          </w:p>
        </w:tc>
        <w:tc>
          <w:tcPr>
            <w:tcW w:w="837" w:type="dxa"/>
          </w:tcPr>
          <w:p w14:paraId="7EA25272" w14:textId="77777777" w:rsidR="00AE7191" w:rsidRPr="00722885" w:rsidRDefault="00AE7191" w:rsidP="00722885">
            <w:pPr>
              <w:pStyle w:val="Iauiue"/>
              <w:jc w:val="both"/>
              <w:rPr>
                <w:color w:val="000000" w:themeColor="text1"/>
                <w:sz w:val="16"/>
                <w:szCs w:val="16"/>
              </w:rPr>
            </w:pPr>
          </w:p>
        </w:tc>
      </w:tr>
      <w:tr w:rsidR="009B487A" w:rsidRPr="00722885" w14:paraId="269E5D19" w14:textId="77777777" w:rsidTr="00CC5360">
        <w:tc>
          <w:tcPr>
            <w:tcW w:w="1809" w:type="dxa"/>
          </w:tcPr>
          <w:p w14:paraId="5AD6C8A1" w14:textId="77777777" w:rsidR="00AE7191" w:rsidRPr="00722885" w:rsidRDefault="00AE7191" w:rsidP="00722885">
            <w:pPr>
              <w:pStyle w:val="Iauiue"/>
              <w:jc w:val="both"/>
              <w:rPr>
                <w:color w:val="000000" w:themeColor="text1"/>
                <w:sz w:val="16"/>
                <w:szCs w:val="16"/>
              </w:rPr>
            </w:pPr>
          </w:p>
        </w:tc>
        <w:tc>
          <w:tcPr>
            <w:tcW w:w="723" w:type="dxa"/>
          </w:tcPr>
          <w:p w14:paraId="7CDBAC24" w14:textId="77777777" w:rsidR="00AE7191" w:rsidRPr="00722885" w:rsidRDefault="00AE7191" w:rsidP="00722885">
            <w:pPr>
              <w:pStyle w:val="Iauiue"/>
              <w:jc w:val="both"/>
              <w:rPr>
                <w:color w:val="000000" w:themeColor="text1"/>
                <w:sz w:val="16"/>
                <w:szCs w:val="16"/>
              </w:rPr>
            </w:pPr>
          </w:p>
        </w:tc>
        <w:tc>
          <w:tcPr>
            <w:tcW w:w="862" w:type="dxa"/>
          </w:tcPr>
          <w:p w14:paraId="1267D140" w14:textId="77777777" w:rsidR="00AE7191" w:rsidRPr="00722885" w:rsidRDefault="00AE7191" w:rsidP="00722885">
            <w:pPr>
              <w:pStyle w:val="Iauiue"/>
              <w:jc w:val="both"/>
              <w:rPr>
                <w:color w:val="000000" w:themeColor="text1"/>
                <w:sz w:val="16"/>
                <w:szCs w:val="16"/>
              </w:rPr>
            </w:pPr>
          </w:p>
        </w:tc>
        <w:tc>
          <w:tcPr>
            <w:tcW w:w="865" w:type="dxa"/>
          </w:tcPr>
          <w:p w14:paraId="33D33494" w14:textId="77777777" w:rsidR="00AE7191" w:rsidRPr="00722885" w:rsidRDefault="00AE7191" w:rsidP="00722885">
            <w:pPr>
              <w:pStyle w:val="Iauiue"/>
              <w:jc w:val="both"/>
              <w:rPr>
                <w:color w:val="000000" w:themeColor="text1"/>
                <w:sz w:val="16"/>
                <w:szCs w:val="16"/>
              </w:rPr>
            </w:pPr>
          </w:p>
        </w:tc>
        <w:tc>
          <w:tcPr>
            <w:tcW w:w="692" w:type="dxa"/>
          </w:tcPr>
          <w:p w14:paraId="4894F1AC" w14:textId="77777777" w:rsidR="00AE7191" w:rsidRPr="00722885" w:rsidRDefault="00AE7191" w:rsidP="00722885">
            <w:pPr>
              <w:pStyle w:val="Iauiue"/>
              <w:jc w:val="both"/>
              <w:rPr>
                <w:color w:val="000000" w:themeColor="text1"/>
                <w:sz w:val="16"/>
                <w:szCs w:val="16"/>
              </w:rPr>
            </w:pPr>
          </w:p>
        </w:tc>
        <w:tc>
          <w:tcPr>
            <w:tcW w:w="1371" w:type="dxa"/>
          </w:tcPr>
          <w:p w14:paraId="1508408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боезапасом</w:t>
            </w:r>
          </w:p>
        </w:tc>
        <w:tc>
          <w:tcPr>
            <w:tcW w:w="818" w:type="dxa"/>
          </w:tcPr>
          <w:p w14:paraId="789F79B7" w14:textId="77777777" w:rsidR="00AE7191" w:rsidRPr="00722885" w:rsidRDefault="00AE7191" w:rsidP="00722885">
            <w:pPr>
              <w:pStyle w:val="Iauiue"/>
              <w:jc w:val="both"/>
              <w:rPr>
                <w:color w:val="000000" w:themeColor="text1"/>
                <w:sz w:val="16"/>
                <w:szCs w:val="16"/>
              </w:rPr>
            </w:pPr>
          </w:p>
        </w:tc>
        <w:tc>
          <w:tcPr>
            <w:tcW w:w="830" w:type="dxa"/>
          </w:tcPr>
          <w:p w14:paraId="190D4E0E" w14:textId="77777777" w:rsidR="00AE7191" w:rsidRPr="00722885" w:rsidRDefault="00AE7191" w:rsidP="00722885">
            <w:pPr>
              <w:pStyle w:val="Iauiue"/>
              <w:jc w:val="both"/>
              <w:rPr>
                <w:color w:val="000000" w:themeColor="text1"/>
                <w:sz w:val="16"/>
                <w:szCs w:val="16"/>
              </w:rPr>
            </w:pPr>
          </w:p>
        </w:tc>
        <w:tc>
          <w:tcPr>
            <w:tcW w:w="829" w:type="dxa"/>
          </w:tcPr>
          <w:p w14:paraId="2E782A35" w14:textId="77777777" w:rsidR="00AE7191" w:rsidRPr="00722885" w:rsidRDefault="00AE7191" w:rsidP="00722885">
            <w:pPr>
              <w:pStyle w:val="Iauiue"/>
              <w:jc w:val="both"/>
              <w:rPr>
                <w:color w:val="000000" w:themeColor="text1"/>
                <w:sz w:val="16"/>
                <w:szCs w:val="16"/>
              </w:rPr>
            </w:pPr>
          </w:p>
        </w:tc>
        <w:tc>
          <w:tcPr>
            <w:tcW w:w="968" w:type="dxa"/>
          </w:tcPr>
          <w:p w14:paraId="52F7F2CB" w14:textId="77777777" w:rsidR="00AE7191" w:rsidRPr="00722885" w:rsidRDefault="00AE7191" w:rsidP="00722885">
            <w:pPr>
              <w:pStyle w:val="Iauiue"/>
              <w:jc w:val="both"/>
              <w:rPr>
                <w:color w:val="000000" w:themeColor="text1"/>
                <w:sz w:val="16"/>
                <w:szCs w:val="16"/>
              </w:rPr>
            </w:pPr>
          </w:p>
        </w:tc>
        <w:tc>
          <w:tcPr>
            <w:tcW w:w="837" w:type="dxa"/>
          </w:tcPr>
          <w:p w14:paraId="0D2A30CA" w14:textId="77777777" w:rsidR="00AE7191" w:rsidRPr="00722885" w:rsidRDefault="00AE7191" w:rsidP="00722885">
            <w:pPr>
              <w:pStyle w:val="Iauiue"/>
              <w:jc w:val="both"/>
              <w:rPr>
                <w:color w:val="000000" w:themeColor="text1"/>
                <w:sz w:val="16"/>
                <w:szCs w:val="16"/>
              </w:rPr>
            </w:pPr>
          </w:p>
        </w:tc>
      </w:tr>
      <w:tr w:rsidR="009B487A" w:rsidRPr="00722885" w14:paraId="556D53B6" w14:textId="77777777" w:rsidTr="00CC5360">
        <w:tc>
          <w:tcPr>
            <w:tcW w:w="1809" w:type="dxa"/>
          </w:tcPr>
          <w:p w14:paraId="246645E6" w14:textId="77777777" w:rsidR="00AE7191" w:rsidRPr="00722885" w:rsidRDefault="00AE7191" w:rsidP="00722885">
            <w:pPr>
              <w:pStyle w:val="Iauiue"/>
              <w:jc w:val="both"/>
              <w:rPr>
                <w:color w:val="000000" w:themeColor="text1"/>
                <w:sz w:val="16"/>
                <w:szCs w:val="16"/>
              </w:rPr>
            </w:pPr>
          </w:p>
        </w:tc>
        <w:tc>
          <w:tcPr>
            <w:tcW w:w="723" w:type="dxa"/>
          </w:tcPr>
          <w:p w14:paraId="02945CC7" w14:textId="77777777" w:rsidR="00AE7191" w:rsidRPr="00722885" w:rsidRDefault="00AE7191" w:rsidP="00722885">
            <w:pPr>
              <w:pStyle w:val="Iauiue"/>
              <w:jc w:val="both"/>
              <w:rPr>
                <w:color w:val="000000" w:themeColor="text1"/>
                <w:sz w:val="16"/>
                <w:szCs w:val="16"/>
              </w:rPr>
            </w:pPr>
          </w:p>
        </w:tc>
        <w:tc>
          <w:tcPr>
            <w:tcW w:w="862" w:type="dxa"/>
          </w:tcPr>
          <w:p w14:paraId="10B7F811" w14:textId="77777777" w:rsidR="00AE7191" w:rsidRPr="00722885" w:rsidRDefault="00AE7191" w:rsidP="00722885">
            <w:pPr>
              <w:pStyle w:val="Iauiue"/>
              <w:jc w:val="both"/>
              <w:rPr>
                <w:color w:val="000000" w:themeColor="text1"/>
                <w:sz w:val="16"/>
                <w:szCs w:val="16"/>
              </w:rPr>
            </w:pPr>
          </w:p>
        </w:tc>
        <w:tc>
          <w:tcPr>
            <w:tcW w:w="865" w:type="dxa"/>
          </w:tcPr>
          <w:p w14:paraId="7CB45960" w14:textId="77777777" w:rsidR="00AE7191" w:rsidRPr="00722885" w:rsidRDefault="00AE7191" w:rsidP="00722885">
            <w:pPr>
              <w:pStyle w:val="Iauiue"/>
              <w:jc w:val="both"/>
              <w:rPr>
                <w:color w:val="000000" w:themeColor="text1"/>
                <w:sz w:val="16"/>
                <w:szCs w:val="16"/>
              </w:rPr>
            </w:pPr>
          </w:p>
        </w:tc>
        <w:tc>
          <w:tcPr>
            <w:tcW w:w="692" w:type="dxa"/>
          </w:tcPr>
          <w:p w14:paraId="2DD5A75F" w14:textId="77777777" w:rsidR="00AE7191" w:rsidRPr="00722885" w:rsidRDefault="00AE7191" w:rsidP="00722885">
            <w:pPr>
              <w:pStyle w:val="Iauiue"/>
              <w:jc w:val="both"/>
              <w:rPr>
                <w:color w:val="000000" w:themeColor="text1"/>
                <w:sz w:val="16"/>
                <w:szCs w:val="16"/>
              </w:rPr>
            </w:pPr>
          </w:p>
        </w:tc>
        <w:tc>
          <w:tcPr>
            <w:tcW w:w="1371" w:type="dxa"/>
          </w:tcPr>
          <w:p w14:paraId="7882A5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1500 патронов</w:t>
            </w:r>
          </w:p>
        </w:tc>
        <w:tc>
          <w:tcPr>
            <w:tcW w:w="818" w:type="dxa"/>
          </w:tcPr>
          <w:p w14:paraId="471E9AF5" w14:textId="77777777" w:rsidR="00AE7191" w:rsidRPr="00722885" w:rsidRDefault="00AE7191" w:rsidP="00722885">
            <w:pPr>
              <w:pStyle w:val="Iauiue"/>
              <w:jc w:val="both"/>
              <w:rPr>
                <w:color w:val="000000" w:themeColor="text1"/>
                <w:sz w:val="16"/>
                <w:szCs w:val="16"/>
              </w:rPr>
            </w:pPr>
          </w:p>
        </w:tc>
        <w:tc>
          <w:tcPr>
            <w:tcW w:w="830" w:type="dxa"/>
          </w:tcPr>
          <w:p w14:paraId="7C2B96EC" w14:textId="77777777" w:rsidR="00AE7191" w:rsidRPr="00722885" w:rsidRDefault="00AE7191" w:rsidP="00722885">
            <w:pPr>
              <w:pStyle w:val="Iauiue"/>
              <w:jc w:val="both"/>
              <w:rPr>
                <w:color w:val="000000" w:themeColor="text1"/>
                <w:sz w:val="16"/>
                <w:szCs w:val="16"/>
              </w:rPr>
            </w:pPr>
          </w:p>
        </w:tc>
        <w:tc>
          <w:tcPr>
            <w:tcW w:w="829" w:type="dxa"/>
          </w:tcPr>
          <w:p w14:paraId="2F49C77C" w14:textId="77777777" w:rsidR="00AE7191" w:rsidRPr="00722885" w:rsidRDefault="00AE7191" w:rsidP="00722885">
            <w:pPr>
              <w:pStyle w:val="Iauiue"/>
              <w:jc w:val="both"/>
              <w:rPr>
                <w:color w:val="000000" w:themeColor="text1"/>
                <w:sz w:val="16"/>
                <w:szCs w:val="16"/>
              </w:rPr>
            </w:pPr>
          </w:p>
        </w:tc>
        <w:tc>
          <w:tcPr>
            <w:tcW w:w="968" w:type="dxa"/>
          </w:tcPr>
          <w:p w14:paraId="3C769B51" w14:textId="77777777" w:rsidR="00AE7191" w:rsidRPr="00722885" w:rsidRDefault="00AE7191" w:rsidP="00722885">
            <w:pPr>
              <w:pStyle w:val="Iauiue"/>
              <w:jc w:val="both"/>
              <w:rPr>
                <w:color w:val="000000" w:themeColor="text1"/>
                <w:sz w:val="16"/>
                <w:szCs w:val="16"/>
              </w:rPr>
            </w:pPr>
          </w:p>
        </w:tc>
        <w:tc>
          <w:tcPr>
            <w:tcW w:w="837" w:type="dxa"/>
          </w:tcPr>
          <w:p w14:paraId="2D313FE7" w14:textId="77777777" w:rsidR="00AE7191" w:rsidRPr="00722885" w:rsidRDefault="00AE7191" w:rsidP="00722885">
            <w:pPr>
              <w:pStyle w:val="Iauiue"/>
              <w:jc w:val="both"/>
              <w:rPr>
                <w:color w:val="000000" w:themeColor="text1"/>
                <w:sz w:val="16"/>
                <w:szCs w:val="16"/>
              </w:rPr>
            </w:pPr>
          </w:p>
        </w:tc>
      </w:tr>
      <w:tr w:rsidR="009B487A" w:rsidRPr="00722885" w14:paraId="0FFD74C5" w14:textId="77777777" w:rsidTr="00CC5360">
        <w:tc>
          <w:tcPr>
            <w:tcW w:w="1809" w:type="dxa"/>
          </w:tcPr>
          <w:p w14:paraId="5E3162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Двухместный</w:t>
            </w:r>
          </w:p>
        </w:tc>
        <w:tc>
          <w:tcPr>
            <w:tcW w:w="723" w:type="dxa"/>
          </w:tcPr>
          <w:p w14:paraId="279527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w:t>
            </w:r>
          </w:p>
        </w:tc>
        <w:tc>
          <w:tcPr>
            <w:tcW w:w="862" w:type="dxa"/>
          </w:tcPr>
          <w:p w14:paraId="20181E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865" w:type="dxa"/>
          </w:tcPr>
          <w:p w14:paraId="585060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700/1000</w:t>
            </w:r>
          </w:p>
        </w:tc>
        <w:tc>
          <w:tcPr>
            <w:tcW w:w="692" w:type="dxa"/>
          </w:tcPr>
          <w:p w14:paraId="1E8EE1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10000</w:t>
            </w:r>
          </w:p>
        </w:tc>
        <w:tc>
          <w:tcPr>
            <w:tcW w:w="1371" w:type="dxa"/>
          </w:tcPr>
          <w:p w14:paraId="6A69F6A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пушки</w:t>
            </w:r>
          </w:p>
        </w:tc>
        <w:tc>
          <w:tcPr>
            <w:tcW w:w="818" w:type="dxa"/>
          </w:tcPr>
          <w:p w14:paraId="7E28FE8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 в</w:t>
            </w:r>
          </w:p>
        </w:tc>
        <w:tc>
          <w:tcPr>
            <w:tcW w:w="830" w:type="dxa"/>
          </w:tcPr>
          <w:p w14:paraId="05BA2771" w14:textId="77777777" w:rsidR="00AE7191" w:rsidRPr="00722885" w:rsidRDefault="00AE7191" w:rsidP="00722885">
            <w:pPr>
              <w:pStyle w:val="Iauiue"/>
              <w:jc w:val="both"/>
              <w:rPr>
                <w:color w:val="000000" w:themeColor="text1"/>
                <w:sz w:val="16"/>
                <w:szCs w:val="16"/>
              </w:rPr>
            </w:pPr>
          </w:p>
        </w:tc>
        <w:tc>
          <w:tcPr>
            <w:tcW w:w="829" w:type="dxa"/>
          </w:tcPr>
          <w:p w14:paraId="5187C0CA" w14:textId="77777777" w:rsidR="00AE7191" w:rsidRPr="00722885" w:rsidRDefault="00AE7191" w:rsidP="00722885">
            <w:pPr>
              <w:pStyle w:val="Iauiue"/>
              <w:jc w:val="both"/>
              <w:rPr>
                <w:color w:val="000000" w:themeColor="text1"/>
                <w:sz w:val="16"/>
                <w:szCs w:val="16"/>
              </w:rPr>
            </w:pPr>
          </w:p>
        </w:tc>
        <w:tc>
          <w:tcPr>
            <w:tcW w:w="968" w:type="dxa"/>
          </w:tcPr>
          <w:p w14:paraId="5FFBDBB3" w14:textId="77777777" w:rsidR="00AE7191" w:rsidRPr="00722885" w:rsidRDefault="00AE7191" w:rsidP="00722885">
            <w:pPr>
              <w:pStyle w:val="Iauiue"/>
              <w:jc w:val="both"/>
              <w:rPr>
                <w:color w:val="000000" w:themeColor="text1"/>
                <w:sz w:val="16"/>
                <w:szCs w:val="16"/>
              </w:rPr>
            </w:pPr>
          </w:p>
        </w:tc>
        <w:tc>
          <w:tcPr>
            <w:tcW w:w="837" w:type="dxa"/>
          </w:tcPr>
          <w:p w14:paraId="5C284575" w14:textId="77777777" w:rsidR="00AE7191" w:rsidRPr="00722885" w:rsidRDefault="00AE7191" w:rsidP="00722885">
            <w:pPr>
              <w:pStyle w:val="Iauiue"/>
              <w:jc w:val="both"/>
              <w:rPr>
                <w:color w:val="000000" w:themeColor="text1"/>
                <w:sz w:val="16"/>
                <w:szCs w:val="16"/>
              </w:rPr>
            </w:pPr>
          </w:p>
        </w:tc>
      </w:tr>
      <w:tr w:rsidR="009B487A" w:rsidRPr="00722885" w14:paraId="214C1938" w14:textId="77777777" w:rsidTr="00CC5360">
        <w:tc>
          <w:tcPr>
            <w:tcW w:w="1809" w:type="dxa"/>
          </w:tcPr>
          <w:p w14:paraId="097566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бронированный</w:t>
            </w:r>
          </w:p>
        </w:tc>
        <w:tc>
          <w:tcPr>
            <w:tcW w:w="723" w:type="dxa"/>
          </w:tcPr>
          <w:p w14:paraId="77DDF0E3" w14:textId="77777777" w:rsidR="00AE7191" w:rsidRPr="00722885" w:rsidRDefault="00AE7191" w:rsidP="00722885">
            <w:pPr>
              <w:pStyle w:val="Iauiue"/>
              <w:jc w:val="both"/>
              <w:rPr>
                <w:color w:val="000000" w:themeColor="text1"/>
                <w:sz w:val="16"/>
                <w:szCs w:val="16"/>
              </w:rPr>
            </w:pPr>
          </w:p>
        </w:tc>
        <w:tc>
          <w:tcPr>
            <w:tcW w:w="862" w:type="dxa"/>
          </w:tcPr>
          <w:p w14:paraId="186F302D" w14:textId="77777777" w:rsidR="00AE7191" w:rsidRPr="00722885" w:rsidRDefault="00AE7191" w:rsidP="00722885">
            <w:pPr>
              <w:pStyle w:val="Iauiue"/>
              <w:jc w:val="both"/>
              <w:rPr>
                <w:color w:val="000000" w:themeColor="text1"/>
                <w:sz w:val="16"/>
                <w:szCs w:val="16"/>
              </w:rPr>
            </w:pPr>
          </w:p>
        </w:tc>
        <w:tc>
          <w:tcPr>
            <w:tcW w:w="865" w:type="dxa"/>
          </w:tcPr>
          <w:p w14:paraId="7C97DDA0" w14:textId="77777777" w:rsidR="00AE7191" w:rsidRPr="00722885" w:rsidRDefault="00AE7191" w:rsidP="00722885">
            <w:pPr>
              <w:pStyle w:val="Iauiue"/>
              <w:jc w:val="both"/>
              <w:rPr>
                <w:color w:val="000000" w:themeColor="text1"/>
                <w:sz w:val="16"/>
                <w:szCs w:val="16"/>
              </w:rPr>
            </w:pPr>
          </w:p>
        </w:tc>
        <w:tc>
          <w:tcPr>
            <w:tcW w:w="692" w:type="dxa"/>
          </w:tcPr>
          <w:p w14:paraId="691E3490" w14:textId="77777777" w:rsidR="00AE7191" w:rsidRPr="00722885" w:rsidRDefault="00AE7191" w:rsidP="00722885">
            <w:pPr>
              <w:pStyle w:val="Iauiue"/>
              <w:jc w:val="both"/>
              <w:rPr>
                <w:color w:val="000000" w:themeColor="text1"/>
                <w:sz w:val="16"/>
                <w:szCs w:val="16"/>
              </w:rPr>
            </w:pPr>
          </w:p>
        </w:tc>
        <w:tc>
          <w:tcPr>
            <w:tcW w:w="1371" w:type="dxa"/>
          </w:tcPr>
          <w:p w14:paraId="46D378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23 мм с</w:t>
            </w:r>
          </w:p>
        </w:tc>
        <w:tc>
          <w:tcPr>
            <w:tcW w:w="818" w:type="dxa"/>
          </w:tcPr>
          <w:p w14:paraId="39CEB1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перегр.</w:t>
            </w:r>
          </w:p>
        </w:tc>
        <w:tc>
          <w:tcPr>
            <w:tcW w:w="830" w:type="dxa"/>
          </w:tcPr>
          <w:p w14:paraId="496D48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10РО-132</w:t>
            </w:r>
          </w:p>
        </w:tc>
        <w:tc>
          <w:tcPr>
            <w:tcW w:w="829" w:type="dxa"/>
          </w:tcPr>
          <w:p w14:paraId="0072F6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968" w:type="dxa"/>
          </w:tcPr>
          <w:p w14:paraId="557A2B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15.I.43</w:t>
            </w:r>
          </w:p>
        </w:tc>
        <w:tc>
          <w:tcPr>
            <w:tcW w:w="837" w:type="dxa"/>
          </w:tcPr>
          <w:p w14:paraId="4AF482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15000</w:t>
            </w:r>
          </w:p>
        </w:tc>
      </w:tr>
      <w:tr w:rsidR="009B487A" w:rsidRPr="00722885" w14:paraId="33030A52" w14:textId="77777777" w:rsidTr="00CC5360">
        <w:tc>
          <w:tcPr>
            <w:tcW w:w="1809" w:type="dxa"/>
          </w:tcPr>
          <w:p w14:paraId="7F704C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штурмовик с</w:t>
            </w:r>
          </w:p>
        </w:tc>
        <w:tc>
          <w:tcPr>
            <w:tcW w:w="723" w:type="dxa"/>
          </w:tcPr>
          <w:p w14:paraId="1225CFE8" w14:textId="77777777" w:rsidR="00AE7191" w:rsidRPr="00722885" w:rsidRDefault="00AE7191" w:rsidP="00722885">
            <w:pPr>
              <w:pStyle w:val="Iauiue"/>
              <w:jc w:val="both"/>
              <w:rPr>
                <w:color w:val="000000" w:themeColor="text1"/>
                <w:sz w:val="16"/>
                <w:szCs w:val="16"/>
              </w:rPr>
            </w:pPr>
          </w:p>
        </w:tc>
        <w:tc>
          <w:tcPr>
            <w:tcW w:w="862" w:type="dxa"/>
          </w:tcPr>
          <w:p w14:paraId="4FA5AE0E" w14:textId="77777777" w:rsidR="00AE7191" w:rsidRPr="00722885" w:rsidRDefault="00AE7191" w:rsidP="00722885">
            <w:pPr>
              <w:pStyle w:val="Iauiue"/>
              <w:jc w:val="both"/>
              <w:rPr>
                <w:color w:val="000000" w:themeColor="text1"/>
                <w:sz w:val="16"/>
                <w:szCs w:val="16"/>
              </w:rPr>
            </w:pPr>
          </w:p>
        </w:tc>
        <w:tc>
          <w:tcPr>
            <w:tcW w:w="865" w:type="dxa"/>
          </w:tcPr>
          <w:p w14:paraId="22132076" w14:textId="77777777" w:rsidR="00AE7191" w:rsidRPr="00722885" w:rsidRDefault="00AE7191" w:rsidP="00722885">
            <w:pPr>
              <w:pStyle w:val="Iauiue"/>
              <w:jc w:val="both"/>
              <w:rPr>
                <w:color w:val="000000" w:themeColor="text1"/>
                <w:sz w:val="16"/>
                <w:szCs w:val="16"/>
              </w:rPr>
            </w:pPr>
          </w:p>
        </w:tc>
        <w:tc>
          <w:tcPr>
            <w:tcW w:w="692" w:type="dxa"/>
          </w:tcPr>
          <w:p w14:paraId="52D10C62" w14:textId="77777777" w:rsidR="00AE7191" w:rsidRPr="00722885" w:rsidRDefault="00AE7191" w:rsidP="00722885">
            <w:pPr>
              <w:pStyle w:val="Iauiue"/>
              <w:jc w:val="both"/>
              <w:rPr>
                <w:color w:val="000000" w:themeColor="text1"/>
                <w:sz w:val="16"/>
                <w:szCs w:val="16"/>
              </w:rPr>
            </w:pPr>
          </w:p>
        </w:tc>
        <w:tc>
          <w:tcPr>
            <w:tcW w:w="1371" w:type="dxa"/>
          </w:tcPr>
          <w:p w14:paraId="38D4EA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боезапасом</w:t>
            </w:r>
          </w:p>
        </w:tc>
        <w:tc>
          <w:tcPr>
            <w:tcW w:w="818" w:type="dxa"/>
          </w:tcPr>
          <w:p w14:paraId="5B2DC951" w14:textId="77777777" w:rsidR="00AE7191" w:rsidRPr="00722885" w:rsidRDefault="00AE7191" w:rsidP="00722885">
            <w:pPr>
              <w:pStyle w:val="Iauiue"/>
              <w:jc w:val="both"/>
              <w:rPr>
                <w:color w:val="000000" w:themeColor="text1"/>
                <w:sz w:val="16"/>
                <w:szCs w:val="16"/>
              </w:rPr>
            </w:pPr>
          </w:p>
        </w:tc>
        <w:tc>
          <w:tcPr>
            <w:tcW w:w="830" w:type="dxa"/>
          </w:tcPr>
          <w:p w14:paraId="0691027E" w14:textId="77777777" w:rsidR="00AE7191" w:rsidRPr="00722885" w:rsidRDefault="00AE7191" w:rsidP="00722885">
            <w:pPr>
              <w:pStyle w:val="Iauiue"/>
              <w:jc w:val="both"/>
              <w:rPr>
                <w:color w:val="000000" w:themeColor="text1"/>
                <w:sz w:val="16"/>
                <w:szCs w:val="16"/>
              </w:rPr>
            </w:pPr>
          </w:p>
        </w:tc>
        <w:tc>
          <w:tcPr>
            <w:tcW w:w="829" w:type="dxa"/>
          </w:tcPr>
          <w:p w14:paraId="04195BFE" w14:textId="77777777" w:rsidR="00AE7191" w:rsidRPr="00722885" w:rsidRDefault="00AE7191" w:rsidP="00722885">
            <w:pPr>
              <w:pStyle w:val="Iauiue"/>
              <w:jc w:val="both"/>
              <w:rPr>
                <w:color w:val="000000" w:themeColor="text1"/>
                <w:sz w:val="16"/>
                <w:szCs w:val="16"/>
              </w:rPr>
            </w:pPr>
          </w:p>
        </w:tc>
        <w:tc>
          <w:tcPr>
            <w:tcW w:w="968" w:type="dxa"/>
          </w:tcPr>
          <w:p w14:paraId="5BEAC5EF" w14:textId="77777777" w:rsidR="00AE7191" w:rsidRPr="00722885" w:rsidRDefault="00AE7191" w:rsidP="00722885">
            <w:pPr>
              <w:pStyle w:val="Iauiue"/>
              <w:jc w:val="both"/>
              <w:rPr>
                <w:color w:val="000000" w:themeColor="text1"/>
                <w:sz w:val="16"/>
                <w:szCs w:val="16"/>
              </w:rPr>
            </w:pPr>
          </w:p>
        </w:tc>
        <w:tc>
          <w:tcPr>
            <w:tcW w:w="837" w:type="dxa"/>
          </w:tcPr>
          <w:p w14:paraId="58B85789" w14:textId="77777777" w:rsidR="00AE7191" w:rsidRPr="00722885" w:rsidRDefault="00AE7191" w:rsidP="00722885">
            <w:pPr>
              <w:pStyle w:val="Iauiue"/>
              <w:jc w:val="both"/>
              <w:rPr>
                <w:color w:val="000000" w:themeColor="text1"/>
                <w:sz w:val="16"/>
                <w:szCs w:val="16"/>
              </w:rPr>
            </w:pPr>
          </w:p>
        </w:tc>
      </w:tr>
      <w:tr w:rsidR="009B487A" w:rsidRPr="00722885" w14:paraId="12A01EDD" w14:textId="77777777" w:rsidTr="00CC5360">
        <w:tc>
          <w:tcPr>
            <w:tcW w:w="1809" w:type="dxa"/>
          </w:tcPr>
          <w:p w14:paraId="16AFC6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двумя мот. М-71</w:t>
            </w:r>
          </w:p>
        </w:tc>
        <w:tc>
          <w:tcPr>
            <w:tcW w:w="723" w:type="dxa"/>
          </w:tcPr>
          <w:p w14:paraId="7065C159" w14:textId="77777777" w:rsidR="00AE7191" w:rsidRPr="00722885" w:rsidRDefault="00AE7191" w:rsidP="00722885">
            <w:pPr>
              <w:pStyle w:val="Iauiue"/>
              <w:jc w:val="both"/>
              <w:rPr>
                <w:color w:val="000000" w:themeColor="text1"/>
                <w:sz w:val="16"/>
                <w:szCs w:val="16"/>
              </w:rPr>
            </w:pPr>
          </w:p>
        </w:tc>
        <w:tc>
          <w:tcPr>
            <w:tcW w:w="862" w:type="dxa"/>
          </w:tcPr>
          <w:p w14:paraId="0AB75FC2" w14:textId="77777777" w:rsidR="00AE7191" w:rsidRPr="00722885" w:rsidRDefault="00AE7191" w:rsidP="00722885">
            <w:pPr>
              <w:pStyle w:val="Iauiue"/>
              <w:jc w:val="both"/>
              <w:rPr>
                <w:color w:val="000000" w:themeColor="text1"/>
                <w:sz w:val="16"/>
                <w:szCs w:val="16"/>
              </w:rPr>
            </w:pPr>
          </w:p>
        </w:tc>
        <w:tc>
          <w:tcPr>
            <w:tcW w:w="865" w:type="dxa"/>
          </w:tcPr>
          <w:p w14:paraId="37E142A9" w14:textId="77777777" w:rsidR="00AE7191" w:rsidRPr="00722885" w:rsidRDefault="00AE7191" w:rsidP="00722885">
            <w:pPr>
              <w:pStyle w:val="Iauiue"/>
              <w:jc w:val="both"/>
              <w:rPr>
                <w:color w:val="000000" w:themeColor="text1"/>
                <w:sz w:val="16"/>
                <w:szCs w:val="16"/>
              </w:rPr>
            </w:pPr>
          </w:p>
        </w:tc>
        <w:tc>
          <w:tcPr>
            <w:tcW w:w="692" w:type="dxa"/>
          </w:tcPr>
          <w:p w14:paraId="57C7152D" w14:textId="77777777" w:rsidR="00AE7191" w:rsidRPr="00722885" w:rsidRDefault="00AE7191" w:rsidP="00722885">
            <w:pPr>
              <w:pStyle w:val="Iauiue"/>
              <w:jc w:val="both"/>
              <w:rPr>
                <w:color w:val="000000" w:themeColor="text1"/>
                <w:sz w:val="16"/>
                <w:szCs w:val="16"/>
              </w:rPr>
            </w:pPr>
          </w:p>
        </w:tc>
        <w:tc>
          <w:tcPr>
            <w:tcW w:w="1371" w:type="dxa"/>
          </w:tcPr>
          <w:p w14:paraId="0B8439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 снаряд.</w:t>
            </w:r>
          </w:p>
        </w:tc>
        <w:tc>
          <w:tcPr>
            <w:tcW w:w="818" w:type="dxa"/>
          </w:tcPr>
          <w:p w14:paraId="6AA3F755" w14:textId="77777777" w:rsidR="00AE7191" w:rsidRPr="00722885" w:rsidRDefault="00AE7191" w:rsidP="00722885">
            <w:pPr>
              <w:pStyle w:val="Iauiue"/>
              <w:jc w:val="both"/>
              <w:rPr>
                <w:color w:val="000000" w:themeColor="text1"/>
                <w:sz w:val="16"/>
                <w:szCs w:val="16"/>
              </w:rPr>
            </w:pPr>
          </w:p>
        </w:tc>
        <w:tc>
          <w:tcPr>
            <w:tcW w:w="830" w:type="dxa"/>
          </w:tcPr>
          <w:p w14:paraId="2F545EE8" w14:textId="77777777" w:rsidR="00AE7191" w:rsidRPr="00722885" w:rsidRDefault="00AE7191" w:rsidP="00722885">
            <w:pPr>
              <w:pStyle w:val="Iauiue"/>
              <w:jc w:val="both"/>
              <w:rPr>
                <w:color w:val="000000" w:themeColor="text1"/>
                <w:sz w:val="16"/>
                <w:szCs w:val="16"/>
              </w:rPr>
            </w:pPr>
          </w:p>
        </w:tc>
        <w:tc>
          <w:tcPr>
            <w:tcW w:w="829" w:type="dxa"/>
          </w:tcPr>
          <w:p w14:paraId="52C9BAC1" w14:textId="77777777" w:rsidR="00AE7191" w:rsidRPr="00722885" w:rsidRDefault="00AE7191" w:rsidP="00722885">
            <w:pPr>
              <w:pStyle w:val="Iauiue"/>
              <w:jc w:val="both"/>
              <w:rPr>
                <w:color w:val="000000" w:themeColor="text1"/>
                <w:sz w:val="16"/>
                <w:szCs w:val="16"/>
              </w:rPr>
            </w:pPr>
          </w:p>
        </w:tc>
        <w:tc>
          <w:tcPr>
            <w:tcW w:w="968" w:type="dxa"/>
          </w:tcPr>
          <w:p w14:paraId="200E5B1A" w14:textId="77777777" w:rsidR="00AE7191" w:rsidRPr="00722885" w:rsidRDefault="00AE7191" w:rsidP="00722885">
            <w:pPr>
              <w:pStyle w:val="Iauiue"/>
              <w:jc w:val="both"/>
              <w:rPr>
                <w:color w:val="000000" w:themeColor="text1"/>
                <w:sz w:val="16"/>
                <w:szCs w:val="16"/>
              </w:rPr>
            </w:pPr>
          </w:p>
        </w:tc>
        <w:tc>
          <w:tcPr>
            <w:tcW w:w="837" w:type="dxa"/>
          </w:tcPr>
          <w:p w14:paraId="61C9B7E1" w14:textId="77777777" w:rsidR="00AE7191" w:rsidRPr="00722885" w:rsidRDefault="00AE7191" w:rsidP="00722885">
            <w:pPr>
              <w:pStyle w:val="Iauiue"/>
              <w:jc w:val="both"/>
              <w:rPr>
                <w:color w:val="000000" w:themeColor="text1"/>
                <w:sz w:val="16"/>
                <w:szCs w:val="16"/>
              </w:rPr>
            </w:pPr>
          </w:p>
        </w:tc>
      </w:tr>
      <w:tr w:rsidR="009B487A" w:rsidRPr="00722885" w14:paraId="079B91A8" w14:textId="77777777" w:rsidTr="00CC5360">
        <w:tc>
          <w:tcPr>
            <w:tcW w:w="1809" w:type="dxa"/>
          </w:tcPr>
          <w:p w14:paraId="23CCBB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Констр. Сухого</w:t>
            </w:r>
          </w:p>
        </w:tc>
        <w:tc>
          <w:tcPr>
            <w:tcW w:w="723" w:type="dxa"/>
          </w:tcPr>
          <w:p w14:paraId="00509E67" w14:textId="77777777" w:rsidR="00AE7191" w:rsidRPr="00722885" w:rsidRDefault="00AE7191" w:rsidP="00722885">
            <w:pPr>
              <w:pStyle w:val="Iauiue"/>
              <w:jc w:val="both"/>
              <w:rPr>
                <w:color w:val="000000" w:themeColor="text1"/>
                <w:sz w:val="16"/>
                <w:szCs w:val="16"/>
              </w:rPr>
            </w:pPr>
          </w:p>
        </w:tc>
        <w:tc>
          <w:tcPr>
            <w:tcW w:w="862" w:type="dxa"/>
          </w:tcPr>
          <w:p w14:paraId="2FD98BF8" w14:textId="77777777" w:rsidR="00AE7191" w:rsidRPr="00722885" w:rsidRDefault="00AE7191" w:rsidP="00722885">
            <w:pPr>
              <w:pStyle w:val="Iauiue"/>
              <w:jc w:val="both"/>
              <w:rPr>
                <w:color w:val="000000" w:themeColor="text1"/>
                <w:sz w:val="16"/>
                <w:szCs w:val="16"/>
              </w:rPr>
            </w:pPr>
          </w:p>
        </w:tc>
        <w:tc>
          <w:tcPr>
            <w:tcW w:w="865" w:type="dxa"/>
          </w:tcPr>
          <w:p w14:paraId="47DB6590" w14:textId="77777777" w:rsidR="00AE7191" w:rsidRPr="00722885" w:rsidRDefault="00AE7191" w:rsidP="00722885">
            <w:pPr>
              <w:pStyle w:val="Iauiue"/>
              <w:jc w:val="both"/>
              <w:rPr>
                <w:color w:val="000000" w:themeColor="text1"/>
                <w:sz w:val="16"/>
                <w:szCs w:val="16"/>
              </w:rPr>
            </w:pPr>
          </w:p>
        </w:tc>
        <w:tc>
          <w:tcPr>
            <w:tcW w:w="692" w:type="dxa"/>
          </w:tcPr>
          <w:p w14:paraId="46D41D94" w14:textId="77777777" w:rsidR="00AE7191" w:rsidRPr="00722885" w:rsidRDefault="00AE7191" w:rsidP="00722885">
            <w:pPr>
              <w:pStyle w:val="Iauiue"/>
              <w:jc w:val="both"/>
              <w:rPr>
                <w:color w:val="000000" w:themeColor="text1"/>
                <w:sz w:val="16"/>
                <w:szCs w:val="16"/>
              </w:rPr>
            </w:pPr>
          </w:p>
        </w:tc>
        <w:tc>
          <w:tcPr>
            <w:tcW w:w="1371" w:type="dxa"/>
          </w:tcPr>
          <w:p w14:paraId="527F8F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пулем.</w:t>
            </w:r>
          </w:p>
        </w:tc>
        <w:tc>
          <w:tcPr>
            <w:tcW w:w="818" w:type="dxa"/>
          </w:tcPr>
          <w:p w14:paraId="02B31DCC" w14:textId="77777777" w:rsidR="00AE7191" w:rsidRPr="00722885" w:rsidRDefault="00AE7191" w:rsidP="00722885">
            <w:pPr>
              <w:pStyle w:val="Iauiue"/>
              <w:jc w:val="both"/>
              <w:rPr>
                <w:color w:val="000000" w:themeColor="text1"/>
                <w:sz w:val="16"/>
                <w:szCs w:val="16"/>
              </w:rPr>
            </w:pPr>
          </w:p>
        </w:tc>
        <w:tc>
          <w:tcPr>
            <w:tcW w:w="830" w:type="dxa"/>
          </w:tcPr>
          <w:p w14:paraId="2C8ABB1B" w14:textId="77777777" w:rsidR="00AE7191" w:rsidRPr="00722885" w:rsidRDefault="00AE7191" w:rsidP="00722885">
            <w:pPr>
              <w:pStyle w:val="Iauiue"/>
              <w:jc w:val="both"/>
              <w:rPr>
                <w:color w:val="000000" w:themeColor="text1"/>
                <w:sz w:val="16"/>
                <w:szCs w:val="16"/>
              </w:rPr>
            </w:pPr>
          </w:p>
        </w:tc>
        <w:tc>
          <w:tcPr>
            <w:tcW w:w="829" w:type="dxa"/>
          </w:tcPr>
          <w:p w14:paraId="6138C3CA" w14:textId="77777777" w:rsidR="00AE7191" w:rsidRPr="00722885" w:rsidRDefault="00AE7191" w:rsidP="00722885">
            <w:pPr>
              <w:pStyle w:val="Iauiue"/>
              <w:jc w:val="both"/>
              <w:rPr>
                <w:color w:val="000000" w:themeColor="text1"/>
                <w:sz w:val="16"/>
                <w:szCs w:val="16"/>
              </w:rPr>
            </w:pPr>
          </w:p>
        </w:tc>
        <w:tc>
          <w:tcPr>
            <w:tcW w:w="968" w:type="dxa"/>
          </w:tcPr>
          <w:p w14:paraId="59BC0A14" w14:textId="77777777" w:rsidR="00AE7191" w:rsidRPr="00722885" w:rsidRDefault="00AE7191" w:rsidP="00722885">
            <w:pPr>
              <w:pStyle w:val="Iauiue"/>
              <w:jc w:val="both"/>
              <w:rPr>
                <w:color w:val="000000" w:themeColor="text1"/>
                <w:sz w:val="16"/>
                <w:szCs w:val="16"/>
              </w:rPr>
            </w:pPr>
          </w:p>
        </w:tc>
        <w:tc>
          <w:tcPr>
            <w:tcW w:w="837" w:type="dxa"/>
          </w:tcPr>
          <w:p w14:paraId="1DDB781C" w14:textId="77777777" w:rsidR="00AE7191" w:rsidRPr="00722885" w:rsidRDefault="00AE7191" w:rsidP="00722885">
            <w:pPr>
              <w:pStyle w:val="Iauiue"/>
              <w:jc w:val="both"/>
              <w:rPr>
                <w:color w:val="000000" w:themeColor="text1"/>
                <w:sz w:val="16"/>
                <w:szCs w:val="16"/>
              </w:rPr>
            </w:pPr>
          </w:p>
        </w:tc>
      </w:tr>
      <w:tr w:rsidR="009B487A" w:rsidRPr="00722885" w14:paraId="49C3AD76" w14:textId="77777777" w:rsidTr="00CC5360">
        <w:tc>
          <w:tcPr>
            <w:tcW w:w="1809" w:type="dxa"/>
          </w:tcPr>
          <w:p w14:paraId="762F9872" w14:textId="77777777" w:rsidR="00AE7191" w:rsidRPr="00722885" w:rsidRDefault="00AE7191" w:rsidP="00722885">
            <w:pPr>
              <w:pStyle w:val="Iauiue"/>
              <w:jc w:val="both"/>
              <w:rPr>
                <w:color w:val="000000" w:themeColor="text1"/>
                <w:sz w:val="16"/>
                <w:szCs w:val="16"/>
              </w:rPr>
            </w:pPr>
          </w:p>
        </w:tc>
        <w:tc>
          <w:tcPr>
            <w:tcW w:w="723" w:type="dxa"/>
          </w:tcPr>
          <w:p w14:paraId="1AF83305" w14:textId="77777777" w:rsidR="00AE7191" w:rsidRPr="00722885" w:rsidRDefault="00AE7191" w:rsidP="00722885">
            <w:pPr>
              <w:pStyle w:val="Iauiue"/>
              <w:jc w:val="both"/>
              <w:rPr>
                <w:color w:val="000000" w:themeColor="text1"/>
                <w:sz w:val="16"/>
                <w:szCs w:val="16"/>
              </w:rPr>
            </w:pPr>
          </w:p>
        </w:tc>
        <w:tc>
          <w:tcPr>
            <w:tcW w:w="862" w:type="dxa"/>
          </w:tcPr>
          <w:p w14:paraId="3ECA05FB" w14:textId="77777777" w:rsidR="00AE7191" w:rsidRPr="00722885" w:rsidRDefault="00AE7191" w:rsidP="00722885">
            <w:pPr>
              <w:pStyle w:val="Iauiue"/>
              <w:jc w:val="both"/>
              <w:rPr>
                <w:color w:val="000000" w:themeColor="text1"/>
                <w:sz w:val="16"/>
                <w:szCs w:val="16"/>
              </w:rPr>
            </w:pPr>
          </w:p>
        </w:tc>
        <w:tc>
          <w:tcPr>
            <w:tcW w:w="865" w:type="dxa"/>
          </w:tcPr>
          <w:p w14:paraId="67544CBE" w14:textId="77777777" w:rsidR="00AE7191" w:rsidRPr="00722885" w:rsidRDefault="00AE7191" w:rsidP="00722885">
            <w:pPr>
              <w:pStyle w:val="Iauiue"/>
              <w:jc w:val="both"/>
              <w:rPr>
                <w:color w:val="000000" w:themeColor="text1"/>
                <w:sz w:val="16"/>
                <w:szCs w:val="16"/>
              </w:rPr>
            </w:pPr>
          </w:p>
        </w:tc>
        <w:tc>
          <w:tcPr>
            <w:tcW w:w="692" w:type="dxa"/>
          </w:tcPr>
          <w:p w14:paraId="2810F7B5" w14:textId="77777777" w:rsidR="00AE7191" w:rsidRPr="00722885" w:rsidRDefault="00AE7191" w:rsidP="00722885">
            <w:pPr>
              <w:pStyle w:val="Iauiue"/>
              <w:jc w:val="both"/>
              <w:rPr>
                <w:color w:val="000000" w:themeColor="text1"/>
                <w:sz w:val="16"/>
                <w:szCs w:val="16"/>
              </w:rPr>
            </w:pPr>
          </w:p>
        </w:tc>
        <w:tc>
          <w:tcPr>
            <w:tcW w:w="1371" w:type="dxa"/>
          </w:tcPr>
          <w:p w14:paraId="2DFB96B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12,7 мм с</w:t>
            </w:r>
          </w:p>
        </w:tc>
        <w:tc>
          <w:tcPr>
            <w:tcW w:w="818" w:type="dxa"/>
          </w:tcPr>
          <w:p w14:paraId="27D1107E" w14:textId="77777777" w:rsidR="00AE7191" w:rsidRPr="00722885" w:rsidRDefault="00AE7191" w:rsidP="00722885">
            <w:pPr>
              <w:pStyle w:val="Iauiue"/>
              <w:jc w:val="both"/>
              <w:rPr>
                <w:color w:val="000000" w:themeColor="text1"/>
                <w:sz w:val="16"/>
                <w:szCs w:val="16"/>
              </w:rPr>
            </w:pPr>
          </w:p>
        </w:tc>
        <w:tc>
          <w:tcPr>
            <w:tcW w:w="830" w:type="dxa"/>
          </w:tcPr>
          <w:p w14:paraId="1A7285D8" w14:textId="77777777" w:rsidR="00AE7191" w:rsidRPr="00722885" w:rsidRDefault="00AE7191" w:rsidP="00722885">
            <w:pPr>
              <w:pStyle w:val="Iauiue"/>
              <w:jc w:val="both"/>
              <w:rPr>
                <w:color w:val="000000" w:themeColor="text1"/>
                <w:sz w:val="16"/>
                <w:szCs w:val="16"/>
              </w:rPr>
            </w:pPr>
          </w:p>
        </w:tc>
        <w:tc>
          <w:tcPr>
            <w:tcW w:w="829" w:type="dxa"/>
          </w:tcPr>
          <w:p w14:paraId="368581AA" w14:textId="77777777" w:rsidR="00AE7191" w:rsidRPr="00722885" w:rsidRDefault="00AE7191" w:rsidP="00722885">
            <w:pPr>
              <w:pStyle w:val="Iauiue"/>
              <w:jc w:val="both"/>
              <w:rPr>
                <w:color w:val="000000" w:themeColor="text1"/>
                <w:sz w:val="16"/>
                <w:szCs w:val="16"/>
              </w:rPr>
            </w:pPr>
          </w:p>
        </w:tc>
        <w:tc>
          <w:tcPr>
            <w:tcW w:w="968" w:type="dxa"/>
          </w:tcPr>
          <w:p w14:paraId="3ACC3A90" w14:textId="77777777" w:rsidR="00AE7191" w:rsidRPr="00722885" w:rsidRDefault="00AE7191" w:rsidP="00722885">
            <w:pPr>
              <w:pStyle w:val="Iauiue"/>
              <w:jc w:val="both"/>
              <w:rPr>
                <w:color w:val="000000" w:themeColor="text1"/>
                <w:sz w:val="16"/>
                <w:szCs w:val="16"/>
              </w:rPr>
            </w:pPr>
          </w:p>
        </w:tc>
        <w:tc>
          <w:tcPr>
            <w:tcW w:w="837" w:type="dxa"/>
          </w:tcPr>
          <w:p w14:paraId="47EF7E0E" w14:textId="77777777" w:rsidR="00AE7191" w:rsidRPr="00722885" w:rsidRDefault="00AE7191" w:rsidP="00722885">
            <w:pPr>
              <w:pStyle w:val="Iauiue"/>
              <w:jc w:val="both"/>
              <w:rPr>
                <w:color w:val="000000" w:themeColor="text1"/>
                <w:sz w:val="16"/>
                <w:szCs w:val="16"/>
              </w:rPr>
            </w:pPr>
          </w:p>
        </w:tc>
      </w:tr>
      <w:tr w:rsidR="009B487A" w:rsidRPr="00722885" w14:paraId="6C6397E3" w14:textId="77777777" w:rsidTr="00CC5360">
        <w:tc>
          <w:tcPr>
            <w:tcW w:w="1809" w:type="dxa"/>
          </w:tcPr>
          <w:p w14:paraId="72E2618E" w14:textId="77777777" w:rsidR="00AE7191" w:rsidRPr="00722885" w:rsidRDefault="00AE7191" w:rsidP="00722885">
            <w:pPr>
              <w:pStyle w:val="Iauiue"/>
              <w:jc w:val="both"/>
              <w:rPr>
                <w:color w:val="000000" w:themeColor="text1"/>
                <w:sz w:val="16"/>
                <w:szCs w:val="16"/>
              </w:rPr>
            </w:pPr>
          </w:p>
        </w:tc>
        <w:tc>
          <w:tcPr>
            <w:tcW w:w="723" w:type="dxa"/>
          </w:tcPr>
          <w:p w14:paraId="71C56EAF" w14:textId="77777777" w:rsidR="00AE7191" w:rsidRPr="00722885" w:rsidRDefault="00AE7191" w:rsidP="00722885">
            <w:pPr>
              <w:pStyle w:val="Iauiue"/>
              <w:jc w:val="both"/>
              <w:rPr>
                <w:color w:val="000000" w:themeColor="text1"/>
                <w:sz w:val="16"/>
                <w:szCs w:val="16"/>
              </w:rPr>
            </w:pPr>
          </w:p>
        </w:tc>
        <w:tc>
          <w:tcPr>
            <w:tcW w:w="862" w:type="dxa"/>
          </w:tcPr>
          <w:p w14:paraId="3E341135" w14:textId="77777777" w:rsidR="00AE7191" w:rsidRPr="00722885" w:rsidRDefault="00AE7191" w:rsidP="00722885">
            <w:pPr>
              <w:pStyle w:val="Iauiue"/>
              <w:jc w:val="both"/>
              <w:rPr>
                <w:color w:val="000000" w:themeColor="text1"/>
                <w:sz w:val="16"/>
                <w:szCs w:val="16"/>
              </w:rPr>
            </w:pPr>
          </w:p>
        </w:tc>
        <w:tc>
          <w:tcPr>
            <w:tcW w:w="865" w:type="dxa"/>
          </w:tcPr>
          <w:p w14:paraId="6E84EBCD" w14:textId="77777777" w:rsidR="00AE7191" w:rsidRPr="00722885" w:rsidRDefault="00AE7191" w:rsidP="00722885">
            <w:pPr>
              <w:pStyle w:val="Iauiue"/>
              <w:jc w:val="both"/>
              <w:rPr>
                <w:color w:val="000000" w:themeColor="text1"/>
                <w:sz w:val="16"/>
                <w:szCs w:val="16"/>
              </w:rPr>
            </w:pPr>
          </w:p>
        </w:tc>
        <w:tc>
          <w:tcPr>
            <w:tcW w:w="692" w:type="dxa"/>
          </w:tcPr>
          <w:p w14:paraId="7C571799" w14:textId="77777777" w:rsidR="00AE7191" w:rsidRPr="00722885" w:rsidRDefault="00AE7191" w:rsidP="00722885">
            <w:pPr>
              <w:pStyle w:val="Iauiue"/>
              <w:jc w:val="both"/>
              <w:rPr>
                <w:color w:val="000000" w:themeColor="text1"/>
                <w:sz w:val="16"/>
                <w:szCs w:val="16"/>
              </w:rPr>
            </w:pPr>
          </w:p>
        </w:tc>
        <w:tc>
          <w:tcPr>
            <w:tcW w:w="1371" w:type="dxa"/>
          </w:tcPr>
          <w:p w14:paraId="343139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боезапасом</w:t>
            </w:r>
          </w:p>
        </w:tc>
        <w:tc>
          <w:tcPr>
            <w:tcW w:w="818" w:type="dxa"/>
          </w:tcPr>
          <w:p w14:paraId="5F8332A1" w14:textId="77777777" w:rsidR="00AE7191" w:rsidRPr="00722885" w:rsidRDefault="00AE7191" w:rsidP="00722885">
            <w:pPr>
              <w:pStyle w:val="Iauiue"/>
              <w:jc w:val="both"/>
              <w:rPr>
                <w:color w:val="000000" w:themeColor="text1"/>
                <w:sz w:val="16"/>
                <w:szCs w:val="16"/>
              </w:rPr>
            </w:pPr>
          </w:p>
        </w:tc>
        <w:tc>
          <w:tcPr>
            <w:tcW w:w="830" w:type="dxa"/>
          </w:tcPr>
          <w:p w14:paraId="473A3D6E" w14:textId="77777777" w:rsidR="00AE7191" w:rsidRPr="00722885" w:rsidRDefault="00AE7191" w:rsidP="00722885">
            <w:pPr>
              <w:pStyle w:val="Iauiue"/>
              <w:jc w:val="both"/>
              <w:rPr>
                <w:color w:val="000000" w:themeColor="text1"/>
                <w:sz w:val="16"/>
                <w:szCs w:val="16"/>
              </w:rPr>
            </w:pPr>
          </w:p>
        </w:tc>
        <w:tc>
          <w:tcPr>
            <w:tcW w:w="829" w:type="dxa"/>
          </w:tcPr>
          <w:p w14:paraId="205370DE" w14:textId="77777777" w:rsidR="00AE7191" w:rsidRPr="00722885" w:rsidRDefault="00AE7191" w:rsidP="00722885">
            <w:pPr>
              <w:pStyle w:val="Iauiue"/>
              <w:jc w:val="both"/>
              <w:rPr>
                <w:color w:val="000000" w:themeColor="text1"/>
                <w:sz w:val="16"/>
                <w:szCs w:val="16"/>
              </w:rPr>
            </w:pPr>
          </w:p>
        </w:tc>
        <w:tc>
          <w:tcPr>
            <w:tcW w:w="968" w:type="dxa"/>
          </w:tcPr>
          <w:p w14:paraId="3C1DA833" w14:textId="77777777" w:rsidR="00AE7191" w:rsidRPr="00722885" w:rsidRDefault="00AE7191" w:rsidP="00722885">
            <w:pPr>
              <w:pStyle w:val="Iauiue"/>
              <w:jc w:val="both"/>
              <w:rPr>
                <w:color w:val="000000" w:themeColor="text1"/>
                <w:sz w:val="16"/>
                <w:szCs w:val="16"/>
              </w:rPr>
            </w:pPr>
          </w:p>
        </w:tc>
        <w:tc>
          <w:tcPr>
            <w:tcW w:w="837" w:type="dxa"/>
          </w:tcPr>
          <w:p w14:paraId="58CA852B" w14:textId="77777777" w:rsidR="00AE7191" w:rsidRPr="00722885" w:rsidRDefault="00AE7191" w:rsidP="00722885">
            <w:pPr>
              <w:pStyle w:val="Iauiue"/>
              <w:jc w:val="both"/>
              <w:rPr>
                <w:color w:val="000000" w:themeColor="text1"/>
                <w:sz w:val="16"/>
                <w:szCs w:val="16"/>
              </w:rPr>
            </w:pPr>
          </w:p>
        </w:tc>
      </w:tr>
      <w:tr w:rsidR="009B487A" w:rsidRPr="00722885" w14:paraId="66932E9F" w14:textId="77777777" w:rsidTr="00CC5360">
        <w:tc>
          <w:tcPr>
            <w:tcW w:w="1809" w:type="dxa"/>
          </w:tcPr>
          <w:p w14:paraId="43C6D46E" w14:textId="77777777" w:rsidR="00AE7191" w:rsidRPr="00722885" w:rsidRDefault="00AE7191" w:rsidP="00722885">
            <w:pPr>
              <w:pStyle w:val="Iauiue"/>
              <w:jc w:val="both"/>
              <w:rPr>
                <w:color w:val="000000" w:themeColor="text1"/>
                <w:sz w:val="16"/>
                <w:szCs w:val="16"/>
              </w:rPr>
            </w:pPr>
          </w:p>
        </w:tc>
        <w:tc>
          <w:tcPr>
            <w:tcW w:w="723" w:type="dxa"/>
          </w:tcPr>
          <w:p w14:paraId="3DD04844" w14:textId="77777777" w:rsidR="00AE7191" w:rsidRPr="00722885" w:rsidRDefault="00AE7191" w:rsidP="00722885">
            <w:pPr>
              <w:pStyle w:val="Iauiue"/>
              <w:jc w:val="both"/>
              <w:rPr>
                <w:color w:val="000000" w:themeColor="text1"/>
                <w:sz w:val="16"/>
                <w:szCs w:val="16"/>
              </w:rPr>
            </w:pPr>
          </w:p>
        </w:tc>
        <w:tc>
          <w:tcPr>
            <w:tcW w:w="862" w:type="dxa"/>
          </w:tcPr>
          <w:p w14:paraId="7A713D67" w14:textId="77777777" w:rsidR="00AE7191" w:rsidRPr="00722885" w:rsidRDefault="00AE7191" w:rsidP="00722885">
            <w:pPr>
              <w:pStyle w:val="Iauiue"/>
              <w:jc w:val="both"/>
              <w:rPr>
                <w:color w:val="000000" w:themeColor="text1"/>
                <w:sz w:val="16"/>
                <w:szCs w:val="16"/>
              </w:rPr>
            </w:pPr>
          </w:p>
        </w:tc>
        <w:tc>
          <w:tcPr>
            <w:tcW w:w="865" w:type="dxa"/>
          </w:tcPr>
          <w:p w14:paraId="654D9D6A" w14:textId="77777777" w:rsidR="00AE7191" w:rsidRPr="00722885" w:rsidRDefault="00AE7191" w:rsidP="00722885">
            <w:pPr>
              <w:pStyle w:val="Iauiue"/>
              <w:jc w:val="both"/>
              <w:rPr>
                <w:color w:val="000000" w:themeColor="text1"/>
                <w:sz w:val="16"/>
                <w:szCs w:val="16"/>
              </w:rPr>
            </w:pPr>
          </w:p>
        </w:tc>
        <w:tc>
          <w:tcPr>
            <w:tcW w:w="692" w:type="dxa"/>
          </w:tcPr>
          <w:p w14:paraId="6D9CD53B" w14:textId="77777777" w:rsidR="00AE7191" w:rsidRPr="00722885" w:rsidRDefault="00AE7191" w:rsidP="00722885">
            <w:pPr>
              <w:pStyle w:val="Iauiue"/>
              <w:jc w:val="both"/>
              <w:rPr>
                <w:color w:val="000000" w:themeColor="text1"/>
                <w:sz w:val="16"/>
                <w:szCs w:val="16"/>
              </w:rPr>
            </w:pPr>
          </w:p>
        </w:tc>
        <w:tc>
          <w:tcPr>
            <w:tcW w:w="1371" w:type="dxa"/>
          </w:tcPr>
          <w:p w14:paraId="34AD1D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 патрон.</w:t>
            </w:r>
          </w:p>
        </w:tc>
        <w:tc>
          <w:tcPr>
            <w:tcW w:w="818" w:type="dxa"/>
          </w:tcPr>
          <w:p w14:paraId="7054E5B8" w14:textId="77777777" w:rsidR="00AE7191" w:rsidRPr="00722885" w:rsidRDefault="00AE7191" w:rsidP="00722885">
            <w:pPr>
              <w:pStyle w:val="Iauiue"/>
              <w:jc w:val="both"/>
              <w:rPr>
                <w:color w:val="000000" w:themeColor="text1"/>
                <w:sz w:val="16"/>
                <w:szCs w:val="16"/>
              </w:rPr>
            </w:pPr>
          </w:p>
        </w:tc>
        <w:tc>
          <w:tcPr>
            <w:tcW w:w="830" w:type="dxa"/>
          </w:tcPr>
          <w:p w14:paraId="03FDC912" w14:textId="77777777" w:rsidR="00AE7191" w:rsidRPr="00722885" w:rsidRDefault="00AE7191" w:rsidP="00722885">
            <w:pPr>
              <w:pStyle w:val="Iauiue"/>
              <w:jc w:val="both"/>
              <w:rPr>
                <w:color w:val="000000" w:themeColor="text1"/>
                <w:sz w:val="16"/>
                <w:szCs w:val="16"/>
              </w:rPr>
            </w:pPr>
          </w:p>
        </w:tc>
        <w:tc>
          <w:tcPr>
            <w:tcW w:w="829" w:type="dxa"/>
          </w:tcPr>
          <w:p w14:paraId="3A176984" w14:textId="77777777" w:rsidR="00AE7191" w:rsidRPr="00722885" w:rsidRDefault="00AE7191" w:rsidP="00722885">
            <w:pPr>
              <w:pStyle w:val="Iauiue"/>
              <w:jc w:val="both"/>
              <w:rPr>
                <w:color w:val="000000" w:themeColor="text1"/>
                <w:sz w:val="16"/>
                <w:szCs w:val="16"/>
              </w:rPr>
            </w:pPr>
          </w:p>
        </w:tc>
        <w:tc>
          <w:tcPr>
            <w:tcW w:w="968" w:type="dxa"/>
          </w:tcPr>
          <w:p w14:paraId="2F37CCB6" w14:textId="77777777" w:rsidR="00AE7191" w:rsidRPr="00722885" w:rsidRDefault="00AE7191" w:rsidP="00722885">
            <w:pPr>
              <w:pStyle w:val="Iauiue"/>
              <w:jc w:val="both"/>
              <w:rPr>
                <w:color w:val="000000" w:themeColor="text1"/>
                <w:sz w:val="16"/>
                <w:szCs w:val="16"/>
              </w:rPr>
            </w:pPr>
          </w:p>
        </w:tc>
        <w:tc>
          <w:tcPr>
            <w:tcW w:w="837" w:type="dxa"/>
          </w:tcPr>
          <w:p w14:paraId="0AB54134" w14:textId="77777777" w:rsidR="00AE7191" w:rsidRPr="00722885" w:rsidRDefault="00AE7191" w:rsidP="00722885">
            <w:pPr>
              <w:pStyle w:val="Iauiue"/>
              <w:jc w:val="both"/>
              <w:rPr>
                <w:color w:val="000000" w:themeColor="text1"/>
                <w:sz w:val="16"/>
                <w:szCs w:val="16"/>
              </w:rPr>
            </w:pPr>
          </w:p>
        </w:tc>
      </w:tr>
      <w:tr w:rsidR="009B487A" w:rsidRPr="00722885" w14:paraId="7A35D8B8" w14:textId="77777777" w:rsidTr="00CC5360">
        <w:tc>
          <w:tcPr>
            <w:tcW w:w="1809" w:type="dxa"/>
          </w:tcPr>
          <w:p w14:paraId="37707596" w14:textId="77777777" w:rsidR="00AE7191" w:rsidRPr="00722885" w:rsidRDefault="00AE7191" w:rsidP="00722885">
            <w:pPr>
              <w:pStyle w:val="Iauiue"/>
              <w:jc w:val="both"/>
              <w:rPr>
                <w:color w:val="000000" w:themeColor="text1"/>
                <w:sz w:val="16"/>
                <w:szCs w:val="16"/>
              </w:rPr>
            </w:pPr>
          </w:p>
        </w:tc>
        <w:tc>
          <w:tcPr>
            <w:tcW w:w="723" w:type="dxa"/>
          </w:tcPr>
          <w:p w14:paraId="705BBD94" w14:textId="77777777" w:rsidR="00AE7191" w:rsidRPr="00722885" w:rsidRDefault="00AE7191" w:rsidP="00722885">
            <w:pPr>
              <w:pStyle w:val="Iauiue"/>
              <w:jc w:val="both"/>
              <w:rPr>
                <w:color w:val="000000" w:themeColor="text1"/>
                <w:sz w:val="16"/>
                <w:szCs w:val="16"/>
              </w:rPr>
            </w:pPr>
          </w:p>
        </w:tc>
        <w:tc>
          <w:tcPr>
            <w:tcW w:w="862" w:type="dxa"/>
          </w:tcPr>
          <w:p w14:paraId="0A84B88D" w14:textId="77777777" w:rsidR="00AE7191" w:rsidRPr="00722885" w:rsidRDefault="00AE7191" w:rsidP="00722885">
            <w:pPr>
              <w:pStyle w:val="Iauiue"/>
              <w:jc w:val="both"/>
              <w:rPr>
                <w:color w:val="000000" w:themeColor="text1"/>
                <w:sz w:val="16"/>
                <w:szCs w:val="16"/>
              </w:rPr>
            </w:pPr>
          </w:p>
        </w:tc>
        <w:tc>
          <w:tcPr>
            <w:tcW w:w="865" w:type="dxa"/>
          </w:tcPr>
          <w:p w14:paraId="20A8AE59" w14:textId="77777777" w:rsidR="00AE7191" w:rsidRPr="00722885" w:rsidRDefault="00AE7191" w:rsidP="00722885">
            <w:pPr>
              <w:pStyle w:val="Iauiue"/>
              <w:jc w:val="both"/>
              <w:rPr>
                <w:color w:val="000000" w:themeColor="text1"/>
                <w:sz w:val="16"/>
                <w:szCs w:val="16"/>
              </w:rPr>
            </w:pPr>
          </w:p>
        </w:tc>
        <w:tc>
          <w:tcPr>
            <w:tcW w:w="692" w:type="dxa"/>
          </w:tcPr>
          <w:p w14:paraId="02355DDC" w14:textId="77777777" w:rsidR="00AE7191" w:rsidRPr="00722885" w:rsidRDefault="00AE7191" w:rsidP="00722885">
            <w:pPr>
              <w:pStyle w:val="Iauiue"/>
              <w:jc w:val="both"/>
              <w:rPr>
                <w:color w:val="000000" w:themeColor="text1"/>
                <w:sz w:val="16"/>
                <w:szCs w:val="16"/>
              </w:rPr>
            </w:pPr>
          </w:p>
        </w:tc>
        <w:tc>
          <w:tcPr>
            <w:tcW w:w="1371" w:type="dxa"/>
          </w:tcPr>
          <w:p w14:paraId="545E66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пулем.</w:t>
            </w:r>
          </w:p>
        </w:tc>
        <w:tc>
          <w:tcPr>
            <w:tcW w:w="818" w:type="dxa"/>
          </w:tcPr>
          <w:p w14:paraId="447C578F" w14:textId="77777777" w:rsidR="00AE7191" w:rsidRPr="00722885" w:rsidRDefault="00AE7191" w:rsidP="00722885">
            <w:pPr>
              <w:pStyle w:val="Iauiue"/>
              <w:jc w:val="both"/>
              <w:rPr>
                <w:color w:val="000000" w:themeColor="text1"/>
                <w:sz w:val="16"/>
                <w:szCs w:val="16"/>
              </w:rPr>
            </w:pPr>
          </w:p>
        </w:tc>
        <w:tc>
          <w:tcPr>
            <w:tcW w:w="830" w:type="dxa"/>
          </w:tcPr>
          <w:p w14:paraId="7137EAF4" w14:textId="77777777" w:rsidR="00AE7191" w:rsidRPr="00722885" w:rsidRDefault="00AE7191" w:rsidP="00722885">
            <w:pPr>
              <w:pStyle w:val="Iauiue"/>
              <w:jc w:val="both"/>
              <w:rPr>
                <w:color w:val="000000" w:themeColor="text1"/>
                <w:sz w:val="16"/>
                <w:szCs w:val="16"/>
              </w:rPr>
            </w:pPr>
          </w:p>
        </w:tc>
        <w:tc>
          <w:tcPr>
            <w:tcW w:w="829" w:type="dxa"/>
          </w:tcPr>
          <w:p w14:paraId="093D82F6" w14:textId="77777777" w:rsidR="00AE7191" w:rsidRPr="00722885" w:rsidRDefault="00AE7191" w:rsidP="00722885">
            <w:pPr>
              <w:pStyle w:val="Iauiue"/>
              <w:jc w:val="both"/>
              <w:rPr>
                <w:color w:val="000000" w:themeColor="text1"/>
                <w:sz w:val="16"/>
                <w:szCs w:val="16"/>
              </w:rPr>
            </w:pPr>
          </w:p>
        </w:tc>
        <w:tc>
          <w:tcPr>
            <w:tcW w:w="968" w:type="dxa"/>
          </w:tcPr>
          <w:p w14:paraId="17D5D5A3" w14:textId="77777777" w:rsidR="00AE7191" w:rsidRPr="00722885" w:rsidRDefault="00AE7191" w:rsidP="00722885">
            <w:pPr>
              <w:pStyle w:val="Iauiue"/>
              <w:jc w:val="both"/>
              <w:rPr>
                <w:color w:val="000000" w:themeColor="text1"/>
                <w:sz w:val="16"/>
                <w:szCs w:val="16"/>
              </w:rPr>
            </w:pPr>
          </w:p>
        </w:tc>
        <w:tc>
          <w:tcPr>
            <w:tcW w:w="837" w:type="dxa"/>
          </w:tcPr>
          <w:p w14:paraId="01717F86" w14:textId="77777777" w:rsidR="00AE7191" w:rsidRPr="00722885" w:rsidRDefault="00AE7191" w:rsidP="00722885">
            <w:pPr>
              <w:pStyle w:val="Iauiue"/>
              <w:jc w:val="both"/>
              <w:rPr>
                <w:color w:val="000000" w:themeColor="text1"/>
                <w:sz w:val="16"/>
                <w:szCs w:val="16"/>
              </w:rPr>
            </w:pPr>
          </w:p>
        </w:tc>
      </w:tr>
      <w:tr w:rsidR="009B487A" w:rsidRPr="00722885" w14:paraId="2AE1238B" w14:textId="77777777" w:rsidTr="00CC5360">
        <w:tc>
          <w:tcPr>
            <w:tcW w:w="1809" w:type="dxa"/>
          </w:tcPr>
          <w:p w14:paraId="7EC80F04" w14:textId="77777777" w:rsidR="00AE7191" w:rsidRPr="00722885" w:rsidRDefault="00AE7191" w:rsidP="00722885">
            <w:pPr>
              <w:pStyle w:val="Iauiue"/>
              <w:jc w:val="both"/>
              <w:rPr>
                <w:color w:val="000000" w:themeColor="text1"/>
                <w:sz w:val="16"/>
                <w:szCs w:val="16"/>
              </w:rPr>
            </w:pPr>
          </w:p>
        </w:tc>
        <w:tc>
          <w:tcPr>
            <w:tcW w:w="723" w:type="dxa"/>
          </w:tcPr>
          <w:p w14:paraId="5BF501B7" w14:textId="77777777" w:rsidR="00AE7191" w:rsidRPr="00722885" w:rsidRDefault="00AE7191" w:rsidP="00722885">
            <w:pPr>
              <w:pStyle w:val="Iauiue"/>
              <w:jc w:val="both"/>
              <w:rPr>
                <w:color w:val="000000" w:themeColor="text1"/>
                <w:sz w:val="16"/>
                <w:szCs w:val="16"/>
              </w:rPr>
            </w:pPr>
          </w:p>
        </w:tc>
        <w:tc>
          <w:tcPr>
            <w:tcW w:w="862" w:type="dxa"/>
          </w:tcPr>
          <w:p w14:paraId="614FADA8" w14:textId="77777777" w:rsidR="00AE7191" w:rsidRPr="00722885" w:rsidRDefault="00AE7191" w:rsidP="00722885">
            <w:pPr>
              <w:pStyle w:val="Iauiue"/>
              <w:jc w:val="both"/>
              <w:rPr>
                <w:color w:val="000000" w:themeColor="text1"/>
                <w:sz w:val="16"/>
                <w:szCs w:val="16"/>
              </w:rPr>
            </w:pPr>
          </w:p>
        </w:tc>
        <w:tc>
          <w:tcPr>
            <w:tcW w:w="865" w:type="dxa"/>
          </w:tcPr>
          <w:p w14:paraId="48C6009D" w14:textId="77777777" w:rsidR="00AE7191" w:rsidRPr="00722885" w:rsidRDefault="00AE7191" w:rsidP="00722885">
            <w:pPr>
              <w:pStyle w:val="Iauiue"/>
              <w:jc w:val="both"/>
              <w:rPr>
                <w:color w:val="000000" w:themeColor="text1"/>
                <w:sz w:val="16"/>
                <w:szCs w:val="16"/>
              </w:rPr>
            </w:pPr>
          </w:p>
        </w:tc>
        <w:tc>
          <w:tcPr>
            <w:tcW w:w="692" w:type="dxa"/>
          </w:tcPr>
          <w:p w14:paraId="6F12672A" w14:textId="77777777" w:rsidR="00AE7191" w:rsidRPr="00722885" w:rsidRDefault="00AE7191" w:rsidP="00722885">
            <w:pPr>
              <w:pStyle w:val="Iauiue"/>
              <w:jc w:val="both"/>
              <w:rPr>
                <w:color w:val="000000" w:themeColor="text1"/>
                <w:sz w:val="16"/>
                <w:szCs w:val="16"/>
              </w:rPr>
            </w:pPr>
          </w:p>
        </w:tc>
        <w:tc>
          <w:tcPr>
            <w:tcW w:w="1371" w:type="dxa"/>
          </w:tcPr>
          <w:p w14:paraId="300CB8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7,62 мм с</w:t>
            </w:r>
          </w:p>
        </w:tc>
        <w:tc>
          <w:tcPr>
            <w:tcW w:w="818" w:type="dxa"/>
          </w:tcPr>
          <w:p w14:paraId="7302BBB6" w14:textId="77777777" w:rsidR="00AE7191" w:rsidRPr="00722885" w:rsidRDefault="00AE7191" w:rsidP="00722885">
            <w:pPr>
              <w:pStyle w:val="Iauiue"/>
              <w:jc w:val="both"/>
              <w:rPr>
                <w:color w:val="000000" w:themeColor="text1"/>
                <w:sz w:val="16"/>
                <w:szCs w:val="16"/>
              </w:rPr>
            </w:pPr>
          </w:p>
        </w:tc>
        <w:tc>
          <w:tcPr>
            <w:tcW w:w="830" w:type="dxa"/>
          </w:tcPr>
          <w:p w14:paraId="4AE830C0" w14:textId="77777777" w:rsidR="00AE7191" w:rsidRPr="00722885" w:rsidRDefault="00AE7191" w:rsidP="00722885">
            <w:pPr>
              <w:pStyle w:val="Iauiue"/>
              <w:jc w:val="both"/>
              <w:rPr>
                <w:color w:val="000000" w:themeColor="text1"/>
                <w:sz w:val="16"/>
                <w:szCs w:val="16"/>
              </w:rPr>
            </w:pPr>
          </w:p>
        </w:tc>
        <w:tc>
          <w:tcPr>
            <w:tcW w:w="829" w:type="dxa"/>
          </w:tcPr>
          <w:p w14:paraId="48A30480" w14:textId="77777777" w:rsidR="00AE7191" w:rsidRPr="00722885" w:rsidRDefault="00AE7191" w:rsidP="00722885">
            <w:pPr>
              <w:pStyle w:val="Iauiue"/>
              <w:jc w:val="both"/>
              <w:rPr>
                <w:color w:val="000000" w:themeColor="text1"/>
                <w:sz w:val="16"/>
                <w:szCs w:val="16"/>
              </w:rPr>
            </w:pPr>
          </w:p>
        </w:tc>
        <w:tc>
          <w:tcPr>
            <w:tcW w:w="968" w:type="dxa"/>
          </w:tcPr>
          <w:p w14:paraId="30F078AB" w14:textId="77777777" w:rsidR="00AE7191" w:rsidRPr="00722885" w:rsidRDefault="00AE7191" w:rsidP="00722885">
            <w:pPr>
              <w:pStyle w:val="Iauiue"/>
              <w:jc w:val="both"/>
              <w:rPr>
                <w:color w:val="000000" w:themeColor="text1"/>
                <w:sz w:val="16"/>
                <w:szCs w:val="16"/>
              </w:rPr>
            </w:pPr>
          </w:p>
        </w:tc>
        <w:tc>
          <w:tcPr>
            <w:tcW w:w="837" w:type="dxa"/>
          </w:tcPr>
          <w:p w14:paraId="14520D9E" w14:textId="77777777" w:rsidR="00AE7191" w:rsidRPr="00722885" w:rsidRDefault="00AE7191" w:rsidP="00722885">
            <w:pPr>
              <w:pStyle w:val="Iauiue"/>
              <w:jc w:val="both"/>
              <w:rPr>
                <w:color w:val="000000" w:themeColor="text1"/>
                <w:sz w:val="16"/>
                <w:szCs w:val="16"/>
              </w:rPr>
            </w:pPr>
          </w:p>
        </w:tc>
      </w:tr>
      <w:tr w:rsidR="009B487A" w:rsidRPr="00722885" w14:paraId="592CA1DF" w14:textId="77777777" w:rsidTr="00CC5360">
        <w:tc>
          <w:tcPr>
            <w:tcW w:w="1809" w:type="dxa"/>
          </w:tcPr>
          <w:p w14:paraId="1A1D475E" w14:textId="77777777" w:rsidR="00AE7191" w:rsidRPr="00722885" w:rsidRDefault="00AE7191" w:rsidP="00722885">
            <w:pPr>
              <w:pStyle w:val="Iauiue"/>
              <w:jc w:val="both"/>
              <w:rPr>
                <w:color w:val="000000" w:themeColor="text1"/>
                <w:sz w:val="16"/>
                <w:szCs w:val="16"/>
              </w:rPr>
            </w:pPr>
          </w:p>
        </w:tc>
        <w:tc>
          <w:tcPr>
            <w:tcW w:w="723" w:type="dxa"/>
          </w:tcPr>
          <w:p w14:paraId="704799A4" w14:textId="77777777" w:rsidR="00AE7191" w:rsidRPr="00722885" w:rsidRDefault="00AE7191" w:rsidP="00722885">
            <w:pPr>
              <w:pStyle w:val="Iauiue"/>
              <w:jc w:val="both"/>
              <w:rPr>
                <w:color w:val="000000" w:themeColor="text1"/>
                <w:sz w:val="16"/>
                <w:szCs w:val="16"/>
              </w:rPr>
            </w:pPr>
          </w:p>
        </w:tc>
        <w:tc>
          <w:tcPr>
            <w:tcW w:w="862" w:type="dxa"/>
          </w:tcPr>
          <w:p w14:paraId="05DE2723" w14:textId="77777777" w:rsidR="00AE7191" w:rsidRPr="00722885" w:rsidRDefault="00AE7191" w:rsidP="00722885">
            <w:pPr>
              <w:pStyle w:val="Iauiue"/>
              <w:jc w:val="both"/>
              <w:rPr>
                <w:color w:val="000000" w:themeColor="text1"/>
                <w:sz w:val="16"/>
                <w:szCs w:val="16"/>
              </w:rPr>
            </w:pPr>
          </w:p>
        </w:tc>
        <w:tc>
          <w:tcPr>
            <w:tcW w:w="865" w:type="dxa"/>
          </w:tcPr>
          <w:p w14:paraId="36901540" w14:textId="77777777" w:rsidR="00AE7191" w:rsidRPr="00722885" w:rsidRDefault="00AE7191" w:rsidP="00722885">
            <w:pPr>
              <w:pStyle w:val="Iauiue"/>
              <w:jc w:val="both"/>
              <w:rPr>
                <w:color w:val="000000" w:themeColor="text1"/>
                <w:sz w:val="16"/>
                <w:szCs w:val="16"/>
              </w:rPr>
            </w:pPr>
          </w:p>
        </w:tc>
        <w:tc>
          <w:tcPr>
            <w:tcW w:w="692" w:type="dxa"/>
          </w:tcPr>
          <w:p w14:paraId="508C002E" w14:textId="77777777" w:rsidR="00AE7191" w:rsidRPr="00722885" w:rsidRDefault="00AE7191" w:rsidP="00722885">
            <w:pPr>
              <w:pStyle w:val="Iauiue"/>
              <w:jc w:val="both"/>
              <w:rPr>
                <w:color w:val="000000" w:themeColor="text1"/>
                <w:sz w:val="16"/>
                <w:szCs w:val="16"/>
              </w:rPr>
            </w:pPr>
          </w:p>
        </w:tc>
        <w:tc>
          <w:tcPr>
            <w:tcW w:w="1371" w:type="dxa"/>
          </w:tcPr>
          <w:p w14:paraId="25EFCC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боезапасом</w:t>
            </w:r>
          </w:p>
        </w:tc>
        <w:tc>
          <w:tcPr>
            <w:tcW w:w="818" w:type="dxa"/>
          </w:tcPr>
          <w:p w14:paraId="7B95E010" w14:textId="77777777" w:rsidR="00AE7191" w:rsidRPr="00722885" w:rsidRDefault="00AE7191" w:rsidP="00722885">
            <w:pPr>
              <w:pStyle w:val="Iauiue"/>
              <w:jc w:val="both"/>
              <w:rPr>
                <w:color w:val="000000" w:themeColor="text1"/>
                <w:sz w:val="16"/>
                <w:szCs w:val="16"/>
              </w:rPr>
            </w:pPr>
          </w:p>
        </w:tc>
        <w:tc>
          <w:tcPr>
            <w:tcW w:w="830" w:type="dxa"/>
          </w:tcPr>
          <w:p w14:paraId="3FC1AD97" w14:textId="77777777" w:rsidR="00AE7191" w:rsidRPr="00722885" w:rsidRDefault="00AE7191" w:rsidP="00722885">
            <w:pPr>
              <w:pStyle w:val="Iauiue"/>
              <w:jc w:val="both"/>
              <w:rPr>
                <w:color w:val="000000" w:themeColor="text1"/>
                <w:sz w:val="16"/>
                <w:szCs w:val="16"/>
              </w:rPr>
            </w:pPr>
          </w:p>
        </w:tc>
        <w:tc>
          <w:tcPr>
            <w:tcW w:w="829" w:type="dxa"/>
          </w:tcPr>
          <w:p w14:paraId="042D435D" w14:textId="77777777" w:rsidR="00AE7191" w:rsidRPr="00722885" w:rsidRDefault="00AE7191" w:rsidP="00722885">
            <w:pPr>
              <w:pStyle w:val="Iauiue"/>
              <w:jc w:val="both"/>
              <w:rPr>
                <w:color w:val="000000" w:themeColor="text1"/>
                <w:sz w:val="16"/>
                <w:szCs w:val="16"/>
              </w:rPr>
            </w:pPr>
          </w:p>
        </w:tc>
        <w:tc>
          <w:tcPr>
            <w:tcW w:w="968" w:type="dxa"/>
          </w:tcPr>
          <w:p w14:paraId="577E0187" w14:textId="77777777" w:rsidR="00AE7191" w:rsidRPr="00722885" w:rsidRDefault="00AE7191" w:rsidP="00722885">
            <w:pPr>
              <w:pStyle w:val="Iauiue"/>
              <w:jc w:val="both"/>
              <w:rPr>
                <w:color w:val="000000" w:themeColor="text1"/>
                <w:sz w:val="16"/>
                <w:szCs w:val="16"/>
              </w:rPr>
            </w:pPr>
          </w:p>
        </w:tc>
        <w:tc>
          <w:tcPr>
            <w:tcW w:w="837" w:type="dxa"/>
          </w:tcPr>
          <w:p w14:paraId="180D8178" w14:textId="77777777" w:rsidR="00AE7191" w:rsidRPr="00722885" w:rsidRDefault="00AE7191" w:rsidP="00722885">
            <w:pPr>
              <w:pStyle w:val="Iauiue"/>
              <w:jc w:val="both"/>
              <w:rPr>
                <w:color w:val="000000" w:themeColor="text1"/>
                <w:sz w:val="16"/>
                <w:szCs w:val="16"/>
              </w:rPr>
            </w:pPr>
          </w:p>
        </w:tc>
      </w:tr>
      <w:tr w:rsidR="009B487A" w:rsidRPr="00722885" w14:paraId="492C4B47" w14:textId="77777777" w:rsidTr="00CC5360">
        <w:tc>
          <w:tcPr>
            <w:tcW w:w="1809" w:type="dxa"/>
          </w:tcPr>
          <w:p w14:paraId="204ADA94" w14:textId="77777777" w:rsidR="00AE7191" w:rsidRPr="00722885" w:rsidRDefault="00AE7191" w:rsidP="00722885">
            <w:pPr>
              <w:pStyle w:val="Iauiue"/>
              <w:jc w:val="both"/>
              <w:rPr>
                <w:color w:val="000000" w:themeColor="text1"/>
                <w:sz w:val="16"/>
                <w:szCs w:val="16"/>
              </w:rPr>
            </w:pPr>
          </w:p>
        </w:tc>
        <w:tc>
          <w:tcPr>
            <w:tcW w:w="723" w:type="dxa"/>
          </w:tcPr>
          <w:p w14:paraId="72B02F30" w14:textId="77777777" w:rsidR="00AE7191" w:rsidRPr="00722885" w:rsidRDefault="00AE7191" w:rsidP="00722885">
            <w:pPr>
              <w:pStyle w:val="Iauiue"/>
              <w:jc w:val="both"/>
              <w:rPr>
                <w:color w:val="000000" w:themeColor="text1"/>
                <w:sz w:val="16"/>
                <w:szCs w:val="16"/>
              </w:rPr>
            </w:pPr>
          </w:p>
        </w:tc>
        <w:tc>
          <w:tcPr>
            <w:tcW w:w="862" w:type="dxa"/>
          </w:tcPr>
          <w:p w14:paraId="6C0F32F4" w14:textId="77777777" w:rsidR="00AE7191" w:rsidRPr="00722885" w:rsidRDefault="00AE7191" w:rsidP="00722885">
            <w:pPr>
              <w:pStyle w:val="Iauiue"/>
              <w:jc w:val="both"/>
              <w:rPr>
                <w:color w:val="000000" w:themeColor="text1"/>
                <w:sz w:val="16"/>
                <w:szCs w:val="16"/>
              </w:rPr>
            </w:pPr>
          </w:p>
        </w:tc>
        <w:tc>
          <w:tcPr>
            <w:tcW w:w="865" w:type="dxa"/>
          </w:tcPr>
          <w:p w14:paraId="1E22B7D9" w14:textId="77777777" w:rsidR="00AE7191" w:rsidRPr="00722885" w:rsidRDefault="00AE7191" w:rsidP="00722885">
            <w:pPr>
              <w:pStyle w:val="Iauiue"/>
              <w:jc w:val="both"/>
              <w:rPr>
                <w:color w:val="000000" w:themeColor="text1"/>
                <w:sz w:val="16"/>
                <w:szCs w:val="16"/>
              </w:rPr>
            </w:pPr>
          </w:p>
        </w:tc>
        <w:tc>
          <w:tcPr>
            <w:tcW w:w="692" w:type="dxa"/>
          </w:tcPr>
          <w:p w14:paraId="34F3C764" w14:textId="77777777" w:rsidR="00AE7191" w:rsidRPr="00722885" w:rsidRDefault="00AE7191" w:rsidP="00722885">
            <w:pPr>
              <w:pStyle w:val="Iauiue"/>
              <w:jc w:val="both"/>
              <w:rPr>
                <w:color w:val="000000" w:themeColor="text1"/>
                <w:sz w:val="16"/>
                <w:szCs w:val="16"/>
              </w:rPr>
            </w:pPr>
          </w:p>
        </w:tc>
        <w:tc>
          <w:tcPr>
            <w:tcW w:w="1371" w:type="dxa"/>
          </w:tcPr>
          <w:p w14:paraId="07350C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5000 патрон.</w:t>
            </w:r>
          </w:p>
        </w:tc>
        <w:tc>
          <w:tcPr>
            <w:tcW w:w="818" w:type="dxa"/>
          </w:tcPr>
          <w:p w14:paraId="1935839A" w14:textId="77777777" w:rsidR="00AE7191" w:rsidRPr="00722885" w:rsidRDefault="00AE7191" w:rsidP="00722885">
            <w:pPr>
              <w:pStyle w:val="Iauiue"/>
              <w:jc w:val="both"/>
              <w:rPr>
                <w:color w:val="000000" w:themeColor="text1"/>
                <w:sz w:val="16"/>
                <w:szCs w:val="16"/>
              </w:rPr>
            </w:pPr>
          </w:p>
        </w:tc>
        <w:tc>
          <w:tcPr>
            <w:tcW w:w="830" w:type="dxa"/>
          </w:tcPr>
          <w:p w14:paraId="35066A7C" w14:textId="77777777" w:rsidR="00AE7191" w:rsidRPr="00722885" w:rsidRDefault="00AE7191" w:rsidP="00722885">
            <w:pPr>
              <w:pStyle w:val="Iauiue"/>
              <w:jc w:val="both"/>
              <w:rPr>
                <w:color w:val="000000" w:themeColor="text1"/>
                <w:sz w:val="16"/>
                <w:szCs w:val="16"/>
              </w:rPr>
            </w:pPr>
          </w:p>
        </w:tc>
        <w:tc>
          <w:tcPr>
            <w:tcW w:w="829" w:type="dxa"/>
          </w:tcPr>
          <w:p w14:paraId="522FF215" w14:textId="77777777" w:rsidR="00AE7191" w:rsidRPr="00722885" w:rsidRDefault="00AE7191" w:rsidP="00722885">
            <w:pPr>
              <w:pStyle w:val="Iauiue"/>
              <w:jc w:val="both"/>
              <w:rPr>
                <w:color w:val="000000" w:themeColor="text1"/>
                <w:sz w:val="16"/>
                <w:szCs w:val="16"/>
              </w:rPr>
            </w:pPr>
          </w:p>
        </w:tc>
        <w:tc>
          <w:tcPr>
            <w:tcW w:w="968" w:type="dxa"/>
          </w:tcPr>
          <w:p w14:paraId="14670412" w14:textId="77777777" w:rsidR="00AE7191" w:rsidRPr="00722885" w:rsidRDefault="00AE7191" w:rsidP="00722885">
            <w:pPr>
              <w:pStyle w:val="Iauiue"/>
              <w:jc w:val="both"/>
              <w:rPr>
                <w:color w:val="000000" w:themeColor="text1"/>
                <w:sz w:val="16"/>
                <w:szCs w:val="16"/>
              </w:rPr>
            </w:pPr>
          </w:p>
        </w:tc>
        <w:tc>
          <w:tcPr>
            <w:tcW w:w="837" w:type="dxa"/>
          </w:tcPr>
          <w:p w14:paraId="4F13E45B" w14:textId="77777777" w:rsidR="00AE7191" w:rsidRPr="00722885" w:rsidRDefault="00AE7191" w:rsidP="00722885">
            <w:pPr>
              <w:pStyle w:val="Iauiue"/>
              <w:jc w:val="both"/>
              <w:rPr>
                <w:color w:val="000000" w:themeColor="text1"/>
                <w:sz w:val="16"/>
                <w:szCs w:val="16"/>
              </w:rPr>
            </w:pPr>
          </w:p>
        </w:tc>
      </w:tr>
      <w:tr w:rsidR="009B487A" w:rsidRPr="00722885" w14:paraId="59B3AB6A" w14:textId="77777777" w:rsidTr="00CC5360">
        <w:tc>
          <w:tcPr>
            <w:tcW w:w="1809" w:type="dxa"/>
          </w:tcPr>
          <w:p w14:paraId="4350C2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Модификация</w:t>
            </w:r>
          </w:p>
        </w:tc>
        <w:tc>
          <w:tcPr>
            <w:tcW w:w="723" w:type="dxa"/>
          </w:tcPr>
          <w:p w14:paraId="0C52D9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420 с</w:t>
            </w:r>
          </w:p>
        </w:tc>
        <w:tc>
          <w:tcPr>
            <w:tcW w:w="862" w:type="dxa"/>
          </w:tcPr>
          <w:p w14:paraId="617500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865" w:type="dxa"/>
          </w:tcPr>
          <w:p w14:paraId="60AFCB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w:t>
            </w:r>
          </w:p>
        </w:tc>
        <w:tc>
          <w:tcPr>
            <w:tcW w:w="692" w:type="dxa"/>
          </w:tcPr>
          <w:p w14:paraId="532A27F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6500</w:t>
            </w:r>
          </w:p>
        </w:tc>
        <w:tc>
          <w:tcPr>
            <w:tcW w:w="1371" w:type="dxa"/>
          </w:tcPr>
          <w:p w14:paraId="134B83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пушки 23мм</w:t>
            </w:r>
          </w:p>
        </w:tc>
        <w:tc>
          <w:tcPr>
            <w:tcW w:w="818" w:type="dxa"/>
          </w:tcPr>
          <w:p w14:paraId="52F221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400/600</w:t>
            </w:r>
          </w:p>
        </w:tc>
        <w:tc>
          <w:tcPr>
            <w:tcW w:w="830" w:type="dxa"/>
          </w:tcPr>
          <w:p w14:paraId="2DEA623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8РО-132</w:t>
            </w:r>
          </w:p>
        </w:tc>
        <w:tc>
          <w:tcPr>
            <w:tcW w:w="829" w:type="dxa"/>
          </w:tcPr>
          <w:p w14:paraId="13C77D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tc>
        <w:tc>
          <w:tcPr>
            <w:tcW w:w="968" w:type="dxa"/>
          </w:tcPr>
          <w:p w14:paraId="671FB7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15.XII.42</w:t>
            </w:r>
          </w:p>
        </w:tc>
        <w:tc>
          <w:tcPr>
            <w:tcW w:w="837" w:type="dxa"/>
          </w:tcPr>
          <w:p w14:paraId="46D7A3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2500 для</w:t>
            </w:r>
          </w:p>
        </w:tc>
      </w:tr>
      <w:tr w:rsidR="009B487A" w:rsidRPr="00722885" w14:paraId="2C3C933A" w14:textId="77777777" w:rsidTr="00CC5360">
        <w:tc>
          <w:tcPr>
            <w:tcW w:w="1809" w:type="dxa"/>
          </w:tcPr>
          <w:p w14:paraId="5CC3E7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одноместного</w:t>
            </w:r>
          </w:p>
        </w:tc>
        <w:tc>
          <w:tcPr>
            <w:tcW w:w="723" w:type="dxa"/>
          </w:tcPr>
          <w:p w14:paraId="628EA24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8РО-132</w:t>
            </w:r>
          </w:p>
        </w:tc>
        <w:tc>
          <w:tcPr>
            <w:tcW w:w="862" w:type="dxa"/>
          </w:tcPr>
          <w:p w14:paraId="14F5A943" w14:textId="77777777" w:rsidR="00AE7191" w:rsidRPr="00722885" w:rsidRDefault="00AE7191" w:rsidP="00722885">
            <w:pPr>
              <w:pStyle w:val="Iauiue"/>
              <w:jc w:val="both"/>
              <w:rPr>
                <w:color w:val="000000" w:themeColor="text1"/>
                <w:sz w:val="16"/>
                <w:szCs w:val="16"/>
              </w:rPr>
            </w:pPr>
          </w:p>
        </w:tc>
        <w:tc>
          <w:tcPr>
            <w:tcW w:w="865" w:type="dxa"/>
          </w:tcPr>
          <w:p w14:paraId="2F6B2CC8" w14:textId="77777777" w:rsidR="00AE7191" w:rsidRPr="00722885" w:rsidRDefault="00AE7191" w:rsidP="00722885">
            <w:pPr>
              <w:pStyle w:val="Iauiue"/>
              <w:jc w:val="both"/>
              <w:rPr>
                <w:color w:val="000000" w:themeColor="text1"/>
                <w:sz w:val="16"/>
                <w:szCs w:val="16"/>
              </w:rPr>
            </w:pPr>
          </w:p>
        </w:tc>
        <w:tc>
          <w:tcPr>
            <w:tcW w:w="692" w:type="dxa"/>
          </w:tcPr>
          <w:p w14:paraId="3DA1CC66" w14:textId="77777777" w:rsidR="00AE7191" w:rsidRPr="00722885" w:rsidRDefault="00AE7191" w:rsidP="00722885">
            <w:pPr>
              <w:pStyle w:val="Iauiue"/>
              <w:jc w:val="both"/>
              <w:rPr>
                <w:color w:val="000000" w:themeColor="text1"/>
                <w:sz w:val="16"/>
                <w:szCs w:val="16"/>
              </w:rPr>
            </w:pPr>
          </w:p>
        </w:tc>
        <w:tc>
          <w:tcPr>
            <w:tcW w:w="1371" w:type="dxa"/>
          </w:tcPr>
          <w:p w14:paraId="032B33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боезапасом</w:t>
            </w:r>
          </w:p>
        </w:tc>
        <w:tc>
          <w:tcPr>
            <w:tcW w:w="818" w:type="dxa"/>
          </w:tcPr>
          <w:p w14:paraId="2B60DCA7" w14:textId="77777777" w:rsidR="00AE7191" w:rsidRPr="00722885" w:rsidRDefault="00AE7191" w:rsidP="00722885">
            <w:pPr>
              <w:pStyle w:val="Iauiue"/>
              <w:jc w:val="both"/>
              <w:rPr>
                <w:color w:val="000000" w:themeColor="text1"/>
                <w:sz w:val="16"/>
                <w:szCs w:val="16"/>
              </w:rPr>
            </w:pPr>
          </w:p>
        </w:tc>
        <w:tc>
          <w:tcPr>
            <w:tcW w:w="830" w:type="dxa"/>
          </w:tcPr>
          <w:p w14:paraId="3DFDB668" w14:textId="77777777" w:rsidR="00AE7191" w:rsidRPr="00722885" w:rsidRDefault="00AE7191" w:rsidP="00722885">
            <w:pPr>
              <w:pStyle w:val="Iauiue"/>
              <w:jc w:val="both"/>
              <w:rPr>
                <w:color w:val="000000" w:themeColor="text1"/>
                <w:sz w:val="16"/>
                <w:szCs w:val="16"/>
              </w:rPr>
            </w:pPr>
          </w:p>
        </w:tc>
        <w:tc>
          <w:tcPr>
            <w:tcW w:w="829" w:type="dxa"/>
          </w:tcPr>
          <w:p w14:paraId="494B860D" w14:textId="77777777" w:rsidR="00AE7191" w:rsidRPr="00722885" w:rsidRDefault="00AE7191" w:rsidP="00722885">
            <w:pPr>
              <w:pStyle w:val="Iauiue"/>
              <w:jc w:val="both"/>
              <w:rPr>
                <w:color w:val="000000" w:themeColor="text1"/>
                <w:sz w:val="16"/>
                <w:szCs w:val="16"/>
              </w:rPr>
            </w:pPr>
          </w:p>
        </w:tc>
        <w:tc>
          <w:tcPr>
            <w:tcW w:w="968" w:type="dxa"/>
          </w:tcPr>
          <w:p w14:paraId="71628B7E" w14:textId="77777777" w:rsidR="00AE7191" w:rsidRPr="00722885" w:rsidRDefault="00AE7191" w:rsidP="00722885">
            <w:pPr>
              <w:pStyle w:val="Iauiue"/>
              <w:jc w:val="both"/>
              <w:rPr>
                <w:color w:val="000000" w:themeColor="text1"/>
                <w:sz w:val="16"/>
                <w:szCs w:val="16"/>
              </w:rPr>
            </w:pPr>
          </w:p>
        </w:tc>
        <w:tc>
          <w:tcPr>
            <w:tcW w:w="837" w:type="dxa"/>
          </w:tcPr>
          <w:p w14:paraId="6C8E5A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отработки</w:t>
            </w:r>
          </w:p>
        </w:tc>
      </w:tr>
      <w:tr w:rsidR="009B487A" w:rsidRPr="00722885" w14:paraId="7CB8AFD6" w14:textId="77777777" w:rsidTr="00CC5360">
        <w:tc>
          <w:tcPr>
            <w:tcW w:w="1809" w:type="dxa"/>
          </w:tcPr>
          <w:p w14:paraId="2AE8EE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штурмовика Ил-2</w:t>
            </w:r>
          </w:p>
        </w:tc>
        <w:tc>
          <w:tcPr>
            <w:tcW w:w="723" w:type="dxa"/>
          </w:tcPr>
          <w:p w14:paraId="450B4F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460 без</w:t>
            </w:r>
          </w:p>
        </w:tc>
        <w:tc>
          <w:tcPr>
            <w:tcW w:w="862" w:type="dxa"/>
          </w:tcPr>
          <w:p w14:paraId="5DF6A710" w14:textId="77777777" w:rsidR="00AE7191" w:rsidRPr="00722885" w:rsidRDefault="00AE7191" w:rsidP="00722885">
            <w:pPr>
              <w:pStyle w:val="Iauiue"/>
              <w:jc w:val="both"/>
              <w:rPr>
                <w:color w:val="000000" w:themeColor="text1"/>
                <w:sz w:val="16"/>
                <w:szCs w:val="16"/>
              </w:rPr>
            </w:pPr>
          </w:p>
        </w:tc>
        <w:tc>
          <w:tcPr>
            <w:tcW w:w="865" w:type="dxa"/>
          </w:tcPr>
          <w:p w14:paraId="5A73F36B" w14:textId="77777777" w:rsidR="00AE7191" w:rsidRPr="00722885" w:rsidRDefault="00AE7191" w:rsidP="00722885">
            <w:pPr>
              <w:pStyle w:val="Iauiue"/>
              <w:jc w:val="both"/>
              <w:rPr>
                <w:color w:val="000000" w:themeColor="text1"/>
                <w:sz w:val="16"/>
                <w:szCs w:val="16"/>
              </w:rPr>
            </w:pPr>
          </w:p>
        </w:tc>
        <w:tc>
          <w:tcPr>
            <w:tcW w:w="692" w:type="dxa"/>
          </w:tcPr>
          <w:p w14:paraId="2D4E2B36" w14:textId="77777777" w:rsidR="00AE7191" w:rsidRPr="00722885" w:rsidRDefault="00AE7191" w:rsidP="00722885">
            <w:pPr>
              <w:pStyle w:val="Iauiue"/>
              <w:jc w:val="both"/>
              <w:rPr>
                <w:color w:val="000000" w:themeColor="text1"/>
                <w:sz w:val="16"/>
                <w:szCs w:val="16"/>
              </w:rPr>
            </w:pPr>
          </w:p>
        </w:tc>
        <w:tc>
          <w:tcPr>
            <w:tcW w:w="1371" w:type="dxa"/>
          </w:tcPr>
          <w:p w14:paraId="2ADC7A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300 снарядов</w:t>
            </w:r>
          </w:p>
        </w:tc>
        <w:tc>
          <w:tcPr>
            <w:tcW w:w="818" w:type="dxa"/>
          </w:tcPr>
          <w:p w14:paraId="6748F095" w14:textId="77777777" w:rsidR="00AE7191" w:rsidRPr="00722885" w:rsidRDefault="00AE7191" w:rsidP="00722885">
            <w:pPr>
              <w:pStyle w:val="Iauiue"/>
              <w:jc w:val="both"/>
              <w:rPr>
                <w:color w:val="000000" w:themeColor="text1"/>
                <w:sz w:val="16"/>
                <w:szCs w:val="16"/>
              </w:rPr>
            </w:pPr>
          </w:p>
        </w:tc>
        <w:tc>
          <w:tcPr>
            <w:tcW w:w="830" w:type="dxa"/>
          </w:tcPr>
          <w:p w14:paraId="74428035" w14:textId="77777777" w:rsidR="00AE7191" w:rsidRPr="00722885" w:rsidRDefault="00AE7191" w:rsidP="00722885">
            <w:pPr>
              <w:pStyle w:val="Iauiue"/>
              <w:jc w:val="both"/>
              <w:rPr>
                <w:color w:val="000000" w:themeColor="text1"/>
                <w:sz w:val="16"/>
                <w:szCs w:val="16"/>
              </w:rPr>
            </w:pPr>
          </w:p>
        </w:tc>
        <w:tc>
          <w:tcPr>
            <w:tcW w:w="829" w:type="dxa"/>
          </w:tcPr>
          <w:p w14:paraId="363D69AA" w14:textId="77777777" w:rsidR="00AE7191" w:rsidRPr="00722885" w:rsidRDefault="00AE7191" w:rsidP="00722885">
            <w:pPr>
              <w:pStyle w:val="Iauiue"/>
              <w:jc w:val="both"/>
              <w:rPr>
                <w:color w:val="000000" w:themeColor="text1"/>
                <w:sz w:val="16"/>
                <w:szCs w:val="16"/>
              </w:rPr>
            </w:pPr>
          </w:p>
        </w:tc>
        <w:tc>
          <w:tcPr>
            <w:tcW w:w="968" w:type="dxa"/>
          </w:tcPr>
          <w:p w14:paraId="6D0B74B3" w14:textId="77777777" w:rsidR="00AE7191" w:rsidRPr="00722885" w:rsidRDefault="00AE7191" w:rsidP="00722885">
            <w:pPr>
              <w:pStyle w:val="Iauiue"/>
              <w:jc w:val="both"/>
              <w:rPr>
                <w:color w:val="000000" w:themeColor="text1"/>
                <w:sz w:val="16"/>
                <w:szCs w:val="16"/>
              </w:rPr>
            </w:pPr>
          </w:p>
        </w:tc>
        <w:tc>
          <w:tcPr>
            <w:tcW w:w="837" w:type="dxa"/>
          </w:tcPr>
          <w:p w14:paraId="6B88DD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мотора</w:t>
            </w:r>
          </w:p>
        </w:tc>
      </w:tr>
      <w:tr w:rsidR="009B487A" w:rsidRPr="00722885" w14:paraId="7172A0AE" w14:textId="77777777" w:rsidTr="00CC5360">
        <w:tc>
          <w:tcPr>
            <w:tcW w:w="1809" w:type="dxa"/>
          </w:tcPr>
          <w:p w14:paraId="543E93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 мотор М-250</w:t>
            </w:r>
          </w:p>
        </w:tc>
        <w:tc>
          <w:tcPr>
            <w:tcW w:w="723" w:type="dxa"/>
          </w:tcPr>
          <w:p w14:paraId="7FBB47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РО</w:t>
            </w:r>
          </w:p>
        </w:tc>
        <w:tc>
          <w:tcPr>
            <w:tcW w:w="862" w:type="dxa"/>
          </w:tcPr>
          <w:p w14:paraId="4EA549AE" w14:textId="77777777" w:rsidR="00AE7191" w:rsidRPr="00722885" w:rsidRDefault="00AE7191" w:rsidP="00722885">
            <w:pPr>
              <w:pStyle w:val="Iauiue"/>
              <w:jc w:val="both"/>
              <w:rPr>
                <w:color w:val="000000" w:themeColor="text1"/>
                <w:sz w:val="16"/>
                <w:szCs w:val="16"/>
              </w:rPr>
            </w:pPr>
          </w:p>
        </w:tc>
        <w:tc>
          <w:tcPr>
            <w:tcW w:w="865" w:type="dxa"/>
          </w:tcPr>
          <w:p w14:paraId="36088023" w14:textId="77777777" w:rsidR="00AE7191" w:rsidRPr="00722885" w:rsidRDefault="00AE7191" w:rsidP="00722885">
            <w:pPr>
              <w:pStyle w:val="Iauiue"/>
              <w:jc w:val="both"/>
              <w:rPr>
                <w:color w:val="000000" w:themeColor="text1"/>
                <w:sz w:val="16"/>
                <w:szCs w:val="16"/>
              </w:rPr>
            </w:pPr>
          </w:p>
        </w:tc>
        <w:tc>
          <w:tcPr>
            <w:tcW w:w="692" w:type="dxa"/>
          </w:tcPr>
          <w:p w14:paraId="7F289614" w14:textId="77777777" w:rsidR="00AE7191" w:rsidRPr="00722885" w:rsidRDefault="00AE7191" w:rsidP="00722885">
            <w:pPr>
              <w:pStyle w:val="Iauiue"/>
              <w:jc w:val="both"/>
              <w:rPr>
                <w:color w:val="000000" w:themeColor="text1"/>
                <w:sz w:val="16"/>
                <w:szCs w:val="16"/>
              </w:rPr>
            </w:pPr>
          </w:p>
        </w:tc>
        <w:tc>
          <w:tcPr>
            <w:tcW w:w="1371" w:type="dxa"/>
          </w:tcPr>
          <w:p w14:paraId="531275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пулем. 7,62 мм</w:t>
            </w:r>
          </w:p>
        </w:tc>
        <w:tc>
          <w:tcPr>
            <w:tcW w:w="818" w:type="dxa"/>
          </w:tcPr>
          <w:p w14:paraId="0633840E" w14:textId="77777777" w:rsidR="00AE7191" w:rsidRPr="00722885" w:rsidRDefault="00AE7191" w:rsidP="00722885">
            <w:pPr>
              <w:pStyle w:val="Iauiue"/>
              <w:jc w:val="both"/>
              <w:rPr>
                <w:color w:val="000000" w:themeColor="text1"/>
                <w:sz w:val="16"/>
                <w:szCs w:val="16"/>
              </w:rPr>
            </w:pPr>
          </w:p>
        </w:tc>
        <w:tc>
          <w:tcPr>
            <w:tcW w:w="830" w:type="dxa"/>
          </w:tcPr>
          <w:p w14:paraId="015DAF8F" w14:textId="77777777" w:rsidR="00AE7191" w:rsidRPr="00722885" w:rsidRDefault="00AE7191" w:rsidP="00722885">
            <w:pPr>
              <w:pStyle w:val="Iauiue"/>
              <w:jc w:val="both"/>
              <w:rPr>
                <w:color w:val="000000" w:themeColor="text1"/>
                <w:sz w:val="16"/>
                <w:szCs w:val="16"/>
              </w:rPr>
            </w:pPr>
          </w:p>
        </w:tc>
        <w:tc>
          <w:tcPr>
            <w:tcW w:w="829" w:type="dxa"/>
          </w:tcPr>
          <w:p w14:paraId="0224A358" w14:textId="77777777" w:rsidR="00AE7191" w:rsidRPr="00722885" w:rsidRDefault="00AE7191" w:rsidP="00722885">
            <w:pPr>
              <w:pStyle w:val="Iauiue"/>
              <w:jc w:val="both"/>
              <w:rPr>
                <w:color w:val="000000" w:themeColor="text1"/>
                <w:sz w:val="16"/>
                <w:szCs w:val="16"/>
              </w:rPr>
            </w:pPr>
          </w:p>
        </w:tc>
        <w:tc>
          <w:tcPr>
            <w:tcW w:w="968" w:type="dxa"/>
          </w:tcPr>
          <w:p w14:paraId="529B28C2" w14:textId="77777777" w:rsidR="00AE7191" w:rsidRPr="00722885" w:rsidRDefault="00AE7191" w:rsidP="00722885">
            <w:pPr>
              <w:pStyle w:val="Iauiue"/>
              <w:jc w:val="both"/>
              <w:rPr>
                <w:color w:val="000000" w:themeColor="text1"/>
                <w:sz w:val="16"/>
                <w:szCs w:val="16"/>
              </w:rPr>
            </w:pPr>
          </w:p>
        </w:tc>
        <w:tc>
          <w:tcPr>
            <w:tcW w:w="837" w:type="dxa"/>
          </w:tcPr>
          <w:p w14:paraId="25776BE3" w14:textId="77777777" w:rsidR="00AE7191" w:rsidRPr="00722885" w:rsidRDefault="00AE7191" w:rsidP="00722885">
            <w:pPr>
              <w:pStyle w:val="Iauiue"/>
              <w:jc w:val="both"/>
              <w:rPr>
                <w:color w:val="000000" w:themeColor="text1"/>
                <w:sz w:val="16"/>
                <w:szCs w:val="16"/>
              </w:rPr>
            </w:pPr>
          </w:p>
        </w:tc>
      </w:tr>
      <w:tr w:rsidR="009B487A" w:rsidRPr="00722885" w14:paraId="6AB4607D" w14:textId="77777777" w:rsidTr="00CC5360">
        <w:tc>
          <w:tcPr>
            <w:tcW w:w="1809" w:type="dxa"/>
          </w:tcPr>
          <w:p w14:paraId="558B1C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констр. Ильюшина</w:t>
            </w:r>
          </w:p>
        </w:tc>
        <w:tc>
          <w:tcPr>
            <w:tcW w:w="723" w:type="dxa"/>
          </w:tcPr>
          <w:p w14:paraId="54CDC2E2" w14:textId="77777777" w:rsidR="00AE7191" w:rsidRPr="00722885" w:rsidRDefault="00AE7191" w:rsidP="00722885">
            <w:pPr>
              <w:pStyle w:val="Iauiue"/>
              <w:jc w:val="both"/>
              <w:rPr>
                <w:color w:val="000000" w:themeColor="text1"/>
                <w:sz w:val="16"/>
                <w:szCs w:val="16"/>
              </w:rPr>
            </w:pPr>
          </w:p>
        </w:tc>
        <w:tc>
          <w:tcPr>
            <w:tcW w:w="862" w:type="dxa"/>
          </w:tcPr>
          <w:p w14:paraId="74BA30AA" w14:textId="77777777" w:rsidR="00AE7191" w:rsidRPr="00722885" w:rsidRDefault="00AE7191" w:rsidP="00722885">
            <w:pPr>
              <w:pStyle w:val="Iauiue"/>
              <w:jc w:val="both"/>
              <w:rPr>
                <w:color w:val="000000" w:themeColor="text1"/>
                <w:sz w:val="16"/>
                <w:szCs w:val="16"/>
              </w:rPr>
            </w:pPr>
          </w:p>
        </w:tc>
        <w:tc>
          <w:tcPr>
            <w:tcW w:w="865" w:type="dxa"/>
          </w:tcPr>
          <w:p w14:paraId="25E9DE6C" w14:textId="77777777" w:rsidR="00AE7191" w:rsidRPr="00722885" w:rsidRDefault="00AE7191" w:rsidP="00722885">
            <w:pPr>
              <w:pStyle w:val="Iauiue"/>
              <w:jc w:val="both"/>
              <w:rPr>
                <w:color w:val="000000" w:themeColor="text1"/>
                <w:sz w:val="16"/>
                <w:szCs w:val="16"/>
              </w:rPr>
            </w:pPr>
          </w:p>
        </w:tc>
        <w:tc>
          <w:tcPr>
            <w:tcW w:w="692" w:type="dxa"/>
          </w:tcPr>
          <w:p w14:paraId="1806A808" w14:textId="77777777" w:rsidR="00AE7191" w:rsidRPr="00722885" w:rsidRDefault="00AE7191" w:rsidP="00722885">
            <w:pPr>
              <w:pStyle w:val="Iauiue"/>
              <w:jc w:val="both"/>
              <w:rPr>
                <w:color w:val="000000" w:themeColor="text1"/>
                <w:sz w:val="16"/>
                <w:szCs w:val="16"/>
              </w:rPr>
            </w:pPr>
          </w:p>
        </w:tc>
        <w:tc>
          <w:tcPr>
            <w:tcW w:w="1371" w:type="dxa"/>
          </w:tcPr>
          <w:p w14:paraId="526909B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боезапасом</w:t>
            </w:r>
          </w:p>
        </w:tc>
        <w:tc>
          <w:tcPr>
            <w:tcW w:w="818" w:type="dxa"/>
          </w:tcPr>
          <w:p w14:paraId="22A72812" w14:textId="77777777" w:rsidR="00AE7191" w:rsidRPr="00722885" w:rsidRDefault="00AE7191" w:rsidP="00722885">
            <w:pPr>
              <w:pStyle w:val="Iauiue"/>
              <w:jc w:val="both"/>
              <w:rPr>
                <w:color w:val="000000" w:themeColor="text1"/>
                <w:sz w:val="16"/>
                <w:szCs w:val="16"/>
              </w:rPr>
            </w:pPr>
          </w:p>
        </w:tc>
        <w:tc>
          <w:tcPr>
            <w:tcW w:w="830" w:type="dxa"/>
          </w:tcPr>
          <w:p w14:paraId="01B90BEA" w14:textId="77777777" w:rsidR="00AE7191" w:rsidRPr="00722885" w:rsidRDefault="00AE7191" w:rsidP="00722885">
            <w:pPr>
              <w:pStyle w:val="Iauiue"/>
              <w:jc w:val="both"/>
              <w:rPr>
                <w:color w:val="000000" w:themeColor="text1"/>
                <w:sz w:val="16"/>
                <w:szCs w:val="16"/>
              </w:rPr>
            </w:pPr>
          </w:p>
        </w:tc>
        <w:tc>
          <w:tcPr>
            <w:tcW w:w="829" w:type="dxa"/>
          </w:tcPr>
          <w:p w14:paraId="330ACD86" w14:textId="77777777" w:rsidR="00AE7191" w:rsidRPr="00722885" w:rsidRDefault="00AE7191" w:rsidP="00722885">
            <w:pPr>
              <w:pStyle w:val="Iauiue"/>
              <w:jc w:val="both"/>
              <w:rPr>
                <w:color w:val="000000" w:themeColor="text1"/>
                <w:sz w:val="16"/>
                <w:szCs w:val="16"/>
              </w:rPr>
            </w:pPr>
          </w:p>
        </w:tc>
        <w:tc>
          <w:tcPr>
            <w:tcW w:w="968" w:type="dxa"/>
          </w:tcPr>
          <w:p w14:paraId="407B6C64" w14:textId="77777777" w:rsidR="00AE7191" w:rsidRPr="00722885" w:rsidRDefault="00AE7191" w:rsidP="00722885">
            <w:pPr>
              <w:pStyle w:val="Iauiue"/>
              <w:jc w:val="both"/>
              <w:rPr>
                <w:color w:val="000000" w:themeColor="text1"/>
                <w:sz w:val="16"/>
                <w:szCs w:val="16"/>
              </w:rPr>
            </w:pPr>
          </w:p>
        </w:tc>
        <w:tc>
          <w:tcPr>
            <w:tcW w:w="837" w:type="dxa"/>
          </w:tcPr>
          <w:p w14:paraId="59FA1995" w14:textId="77777777" w:rsidR="00AE7191" w:rsidRPr="00722885" w:rsidRDefault="00AE7191" w:rsidP="00722885">
            <w:pPr>
              <w:pStyle w:val="Iauiue"/>
              <w:jc w:val="both"/>
              <w:rPr>
                <w:color w:val="000000" w:themeColor="text1"/>
                <w:sz w:val="16"/>
                <w:szCs w:val="16"/>
              </w:rPr>
            </w:pPr>
          </w:p>
        </w:tc>
      </w:tr>
      <w:tr w:rsidR="009B487A" w:rsidRPr="00722885" w14:paraId="7496913A" w14:textId="77777777" w:rsidTr="00CC5360">
        <w:tc>
          <w:tcPr>
            <w:tcW w:w="1809" w:type="dxa"/>
          </w:tcPr>
          <w:p w14:paraId="24E682D0" w14:textId="77777777" w:rsidR="00AE7191" w:rsidRPr="00722885" w:rsidRDefault="00AE7191" w:rsidP="00722885">
            <w:pPr>
              <w:pStyle w:val="Iauiue"/>
              <w:jc w:val="both"/>
              <w:rPr>
                <w:color w:val="000000" w:themeColor="text1"/>
                <w:sz w:val="16"/>
                <w:szCs w:val="16"/>
              </w:rPr>
            </w:pPr>
          </w:p>
        </w:tc>
        <w:tc>
          <w:tcPr>
            <w:tcW w:w="723" w:type="dxa"/>
          </w:tcPr>
          <w:p w14:paraId="3A353284" w14:textId="77777777" w:rsidR="00AE7191" w:rsidRPr="00722885" w:rsidRDefault="00AE7191" w:rsidP="00722885">
            <w:pPr>
              <w:pStyle w:val="Iauiue"/>
              <w:jc w:val="both"/>
              <w:rPr>
                <w:color w:val="000000" w:themeColor="text1"/>
                <w:sz w:val="16"/>
                <w:szCs w:val="16"/>
              </w:rPr>
            </w:pPr>
          </w:p>
        </w:tc>
        <w:tc>
          <w:tcPr>
            <w:tcW w:w="862" w:type="dxa"/>
          </w:tcPr>
          <w:p w14:paraId="25DFBA56" w14:textId="77777777" w:rsidR="00AE7191" w:rsidRPr="00722885" w:rsidRDefault="00AE7191" w:rsidP="00722885">
            <w:pPr>
              <w:pStyle w:val="Iauiue"/>
              <w:jc w:val="both"/>
              <w:rPr>
                <w:color w:val="000000" w:themeColor="text1"/>
                <w:sz w:val="16"/>
                <w:szCs w:val="16"/>
              </w:rPr>
            </w:pPr>
          </w:p>
        </w:tc>
        <w:tc>
          <w:tcPr>
            <w:tcW w:w="865" w:type="dxa"/>
          </w:tcPr>
          <w:p w14:paraId="12FC3A8E" w14:textId="77777777" w:rsidR="00AE7191" w:rsidRPr="00722885" w:rsidRDefault="00AE7191" w:rsidP="00722885">
            <w:pPr>
              <w:pStyle w:val="Iauiue"/>
              <w:jc w:val="both"/>
              <w:rPr>
                <w:color w:val="000000" w:themeColor="text1"/>
                <w:sz w:val="16"/>
                <w:szCs w:val="16"/>
              </w:rPr>
            </w:pPr>
          </w:p>
        </w:tc>
        <w:tc>
          <w:tcPr>
            <w:tcW w:w="692" w:type="dxa"/>
          </w:tcPr>
          <w:p w14:paraId="715F0DBC" w14:textId="77777777" w:rsidR="00AE7191" w:rsidRPr="00722885" w:rsidRDefault="00AE7191" w:rsidP="00722885">
            <w:pPr>
              <w:pStyle w:val="Iauiue"/>
              <w:jc w:val="both"/>
              <w:rPr>
                <w:color w:val="000000" w:themeColor="text1"/>
                <w:sz w:val="16"/>
                <w:szCs w:val="16"/>
              </w:rPr>
            </w:pPr>
          </w:p>
        </w:tc>
        <w:tc>
          <w:tcPr>
            <w:tcW w:w="1371" w:type="dxa"/>
          </w:tcPr>
          <w:p w14:paraId="669ECF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1500 патрон.</w:t>
            </w:r>
          </w:p>
        </w:tc>
        <w:tc>
          <w:tcPr>
            <w:tcW w:w="818" w:type="dxa"/>
          </w:tcPr>
          <w:p w14:paraId="75845786" w14:textId="77777777" w:rsidR="00AE7191" w:rsidRPr="00722885" w:rsidRDefault="00AE7191" w:rsidP="00722885">
            <w:pPr>
              <w:pStyle w:val="Iauiue"/>
              <w:jc w:val="both"/>
              <w:rPr>
                <w:color w:val="000000" w:themeColor="text1"/>
                <w:sz w:val="16"/>
                <w:szCs w:val="16"/>
              </w:rPr>
            </w:pPr>
          </w:p>
        </w:tc>
        <w:tc>
          <w:tcPr>
            <w:tcW w:w="830" w:type="dxa"/>
          </w:tcPr>
          <w:p w14:paraId="711EAE9B" w14:textId="77777777" w:rsidR="00AE7191" w:rsidRPr="00722885" w:rsidRDefault="00AE7191" w:rsidP="00722885">
            <w:pPr>
              <w:pStyle w:val="Iauiue"/>
              <w:jc w:val="both"/>
              <w:rPr>
                <w:color w:val="000000" w:themeColor="text1"/>
                <w:sz w:val="16"/>
                <w:szCs w:val="16"/>
              </w:rPr>
            </w:pPr>
          </w:p>
        </w:tc>
        <w:tc>
          <w:tcPr>
            <w:tcW w:w="829" w:type="dxa"/>
          </w:tcPr>
          <w:p w14:paraId="411D651F" w14:textId="77777777" w:rsidR="00AE7191" w:rsidRPr="00722885" w:rsidRDefault="00AE7191" w:rsidP="00722885">
            <w:pPr>
              <w:pStyle w:val="Iauiue"/>
              <w:jc w:val="both"/>
              <w:rPr>
                <w:color w:val="000000" w:themeColor="text1"/>
                <w:sz w:val="16"/>
                <w:szCs w:val="16"/>
              </w:rPr>
            </w:pPr>
          </w:p>
        </w:tc>
        <w:tc>
          <w:tcPr>
            <w:tcW w:w="968" w:type="dxa"/>
          </w:tcPr>
          <w:p w14:paraId="1FBD36FF" w14:textId="77777777" w:rsidR="00AE7191" w:rsidRPr="00722885" w:rsidRDefault="00AE7191" w:rsidP="00722885">
            <w:pPr>
              <w:pStyle w:val="Iauiue"/>
              <w:jc w:val="both"/>
              <w:rPr>
                <w:color w:val="000000" w:themeColor="text1"/>
                <w:sz w:val="16"/>
                <w:szCs w:val="16"/>
              </w:rPr>
            </w:pPr>
          </w:p>
        </w:tc>
        <w:tc>
          <w:tcPr>
            <w:tcW w:w="837" w:type="dxa"/>
          </w:tcPr>
          <w:p w14:paraId="38F39B38" w14:textId="77777777" w:rsidR="00AE7191" w:rsidRPr="00722885" w:rsidRDefault="00AE7191" w:rsidP="00722885">
            <w:pPr>
              <w:pStyle w:val="Iauiue"/>
              <w:jc w:val="both"/>
              <w:rPr>
                <w:color w:val="000000" w:themeColor="text1"/>
                <w:sz w:val="16"/>
                <w:szCs w:val="16"/>
              </w:rPr>
            </w:pPr>
          </w:p>
        </w:tc>
      </w:tr>
      <w:tr w:rsidR="009B487A" w:rsidRPr="00722885" w14:paraId="009131E0" w14:textId="77777777" w:rsidTr="00CC5360">
        <w:tc>
          <w:tcPr>
            <w:tcW w:w="1809" w:type="dxa"/>
          </w:tcPr>
          <w:p w14:paraId="4F4E4E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III. Бомбардировщики.</w:t>
            </w:r>
          </w:p>
        </w:tc>
        <w:tc>
          <w:tcPr>
            <w:tcW w:w="723" w:type="dxa"/>
          </w:tcPr>
          <w:p w14:paraId="0A306FE0" w14:textId="77777777" w:rsidR="00AE7191" w:rsidRPr="00722885" w:rsidRDefault="00AE7191" w:rsidP="00722885">
            <w:pPr>
              <w:pStyle w:val="Iauiue"/>
              <w:jc w:val="both"/>
              <w:rPr>
                <w:color w:val="000000" w:themeColor="text1"/>
                <w:sz w:val="16"/>
                <w:szCs w:val="16"/>
              </w:rPr>
            </w:pPr>
          </w:p>
        </w:tc>
        <w:tc>
          <w:tcPr>
            <w:tcW w:w="862" w:type="dxa"/>
          </w:tcPr>
          <w:p w14:paraId="7F40A077" w14:textId="77777777" w:rsidR="00AE7191" w:rsidRPr="00722885" w:rsidRDefault="00AE7191" w:rsidP="00722885">
            <w:pPr>
              <w:pStyle w:val="Iauiue"/>
              <w:jc w:val="both"/>
              <w:rPr>
                <w:color w:val="000000" w:themeColor="text1"/>
                <w:sz w:val="16"/>
                <w:szCs w:val="16"/>
              </w:rPr>
            </w:pPr>
          </w:p>
        </w:tc>
        <w:tc>
          <w:tcPr>
            <w:tcW w:w="865" w:type="dxa"/>
          </w:tcPr>
          <w:p w14:paraId="6D58E8FE" w14:textId="77777777" w:rsidR="00AE7191" w:rsidRPr="00722885" w:rsidRDefault="00AE7191" w:rsidP="00722885">
            <w:pPr>
              <w:pStyle w:val="Iauiue"/>
              <w:jc w:val="both"/>
              <w:rPr>
                <w:color w:val="000000" w:themeColor="text1"/>
                <w:sz w:val="16"/>
                <w:szCs w:val="16"/>
              </w:rPr>
            </w:pPr>
          </w:p>
        </w:tc>
        <w:tc>
          <w:tcPr>
            <w:tcW w:w="692" w:type="dxa"/>
          </w:tcPr>
          <w:p w14:paraId="06EF4A8B" w14:textId="77777777" w:rsidR="00AE7191" w:rsidRPr="00722885" w:rsidRDefault="00AE7191" w:rsidP="00722885">
            <w:pPr>
              <w:pStyle w:val="Iauiue"/>
              <w:jc w:val="both"/>
              <w:rPr>
                <w:color w:val="000000" w:themeColor="text1"/>
                <w:sz w:val="16"/>
                <w:szCs w:val="16"/>
              </w:rPr>
            </w:pPr>
          </w:p>
        </w:tc>
        <w:tc>
          <w:tcPr>
            <w:tcW w:w="1371" w:type="dxa"/>
          </w:tcPr>
          <w:p w14:paraId="250B6A20" w14:textId="77777777" w:rsidR="00AE7191" w:rsidRPr="00722885" w:rsidRDefault="00AE7191" w:rsidP="00722885">
            <w:pPr>
              <w:pStyle w:val="Iauiue"/>
              <w:jc w:val="both"/>
              <w:rPr>
                <w:color w:val="000000" w:themeColor="text1"/>
                <w:sz w:val="16"/>
                <w:szCs w:val="16"/>
              </w:rPr>
            </w:pPr>
          </w:p>
        </w:tc>
        <w:tc>
          <w:tcPr>
            <w:tcW w:w="818" w:type="dxa"/>
          </w:tcPr>
          <w:p w14:paraId="41F306DF" w14:textId="77777777" w:rsidR="00AE7191" w:rsidRPr="00722885" w:rsidRDefault="00AE7191" w:rsidP="00722885">
            <w:pPr>
              <w:pStyle w:val="Iauiue"/>
              <w:jc w:val="both"/>
              <w:rPr>
                <w:color w:val="000000" w:themeColor="text1"/>
                <w:sz w:val="16"/>
                <w:szCs w:val="16"/>
              </w:rPr>
            </w:pPr>
          </w:p>
        </w:tc>
        <w:tc>
          <w:tcPr>
            <w:tcW w:w="830" w:type="dxa"/>
          </w:tcPr>
          <w:p w14:paraId="235B6A29" w14:textId="77777777" w:rsidR="00AE7191" w:rsidRPr="00722885" w:rsidRDefault="00AE7191" w:rsidP="00722885">
            <w:pPr>
              <w:pStyle w:val="Iauiue"/>
              <w:jc w:val="both"/>
              <w:rPr>
                <w:color w:val="000000" w:themeColor="text1"/>
                <w:sz w:val="16"/>
                <w:szCs w:val="16"/>
              </w:rPr>
            </w:pPr>
          </w:p>
        </w:tc>
        <w:tc>
          <w:tcPr>
            <w:tcW w:w="829" w:type="dxa"/>
          </w:tcPr>
          <w:p w14:paraId="050475DF" w14:textId="77777777" w:rsidR="00AE7191" w:rsidRPr="00722885" w:rsidRDefault="00AE7191" w:rsidP="00722885">
            <w:pPr>
              <w:pStyle w:val="Iauiue"/>
              <w:jc w:val="both"/>
              <w:rPr>
                <w:color w:val="000000" w:themeColor="text1"/>
                <w:sz w:val="16"/>
                <w:szCs w:val="16"/>
              </w:rPr>
            </w:pPr>
          </w:p>
        </w:tc>
        <w:tc>
          <w:tcPr>
            <w:tcW w:w="968" w:type="dxa"/>
          </w:tcPr>
          <w:p w14:paraId="172AB0B9" w14:textId="77777777" w:rsidR="00AE7191" w:rsidRPr="00722885" w:rsidRDefault="00AE7191" w:rsidP="00722885">
            <w:pPr>
              <w:pStyle w:val="Iauiue"/>
              <w:jc w:val="both"/>
              <w:rPr>
                <w:color w:val="000000" w:themeColor="text1"/>
                <w:sz w:val="16"/>
                <w:szCs w:val="16"/>
              </w:rPr>
            </w:pPr>
          </w:p>
        </w:tc>
        <w:tc>
          <w:tcPr>
            <w:tcW w:w="837" w:type="dxa"/>
          </w:tcPr>
          <w:p w14:paraId="5BCA7256" w14:textId="77777777" w:rsidR="00AE7191" w:rsidRPr="00722885" w:rsidRDefault="00AE7191" w:rsidP="00722885">
            <w:pPr>
              <w:pStyle w:val="Iauiue"/>
              <w:jc w:val="both"/>
              <w:rPr>
                <w:color w:val="000000" w:themeColor="text1"/>
                <w:sz w:val="16"/>
                <w:szCs w:val="16"/>
              </w:rPr>
            </w:pPr>
          </w:p>
        </w:tc>
      </w:tr>
      <w:tr w:rsidR="009B487A" w:rsidRPr="00722885" w14:paraId="32CBFAAE" w14:textId="77777777" w:rsidTr="00CC5360">
        <w:tc>
          <w:tcPr>
            <w:tcW w:w="1809" w:type="dxa"/>
          </w:tcPr>
          <w:p w14:paraId="5D330FA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Двухмоторный</w:t>
            </w:r>
          </w:p>
        </w:tc>
        <w:tc>
          <w:tcPr>
            <w:tcW w:w="723" w:type="dxa"/>
          </w:tcPr>
          <w:p w14:paraId="0AED4D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420</w:t>
            </w:r>
          </w:p>
        </w:tc>
        <w:tc>
          <w:tcPr>
            <w:tcW w:w="862" w:type="dxa"/>
          </w:tcPr>
          <w:p w14:paraId="4CC78F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500/6000</w:t>
            </w:r>
          </w:p>
        </w:tc>
        <w:tc>
          <w:tcPr>
            <w:tcW w:w="865" w:type="dxa"/>
          </w:tcPr>
          <w:p w14:paraId="1EDF9B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4000/5000</w:t>
            </w:r>
          </w:p>
        </w:tc>
        <w:tc>
          <w:tcPr>
            <w:tcW w:w="692" w:type="dxa"/>
          </w:tcPr>
          <w:p w14:paraId="03517B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8500</w:t>
            </w:r>
          </w:p>
        </w:tc>
        <w:tc>
          <w:tcPr>
            <w:tcW w:w="1371" w:type="dxa"/>
          </w:tcPr>
          <w:p w14:paraId="67F1EE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Вперед: 2 пул.</w:t>
            </w:r>
          </w:p>
        </w:tc>
        <w:tc>
          <w:tcPr>
            <w:tcW w:w="818" w:type="dxa"/>
          </w:tcPr>
          <w:p w14:paraId="4759D9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3000/</w:t>
            </w:r>
          </w:p>
        </w:tc>
        <w:tc>
          <w:tcPr>
            <w:tcW w:w="830" w:type="dxa"/>
          </w:tcPr>
          <w:p w14:paraId="5CFA67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829" w:type="dxa"/>
          </w:tcPr>
          <w:p w14:paraId="0D5636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968" w:type="dxa"/>
          </w:tcPr>
          <w:p w14:paraId="3F6EA8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31.XII.42</w:t>
            </w:r>
          </w:p>
        </w:tc>
        <w:tc>
          <w:tcPr>
            <w:tcW w:w="837" w:type="dxa"/>
          </w:tcPr>
          <w:p w14:paraId="132FFB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8000</w:t>
            </w:r>
          </w:p>
        </w:tc>
      </w:tr>
      <w:tr w:rsidR="009B487A" w:rsidRPr="00722885" w14:paraId="3D69D5D9" w14:textId="77777777" w:rsidTr="00CC5360">
        <w:tc>
          <w:tcPr>
            <w:tcW w:w="1809" w:type="dxa"/>
          </w:tcPr>
          <w:p w14:paraId="565CA6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дальний бомбард.</w:t>
            </w:r>
          </w:p>
        </w:tc>
        <w:tc>
          <w:tcPr>
            <w:tcW w:w="723" w:type="dxa"/>
          </w:tcPr>
          <w:p w14:paraId="3B6871F1" w14:textId="77777777" w:rsidR="00AE7191" w:rsidRPr="00722885" w:rsidRDefault="00AE7191" w:rsidP="00722885">
            <w:pPr>
              <w:pStyle w:val="Iauiue"/>
              <w:jc w:val="both"/>
              <w:rPr>
                <w:color w:val="000000" w:themeColor="text1"/>
                <w:sz w:val="16"/>
                <w:szCs w:val="16"/>
              </w:rPr>
            </w:pPr>
          </w:p>
        </w:tc>
        <w:tc>
          <w:tcPr>
            <w:tcW w:w="862" w:type="dxa"/>
          </w:tcPr>
          <w:p w14:paraId="30E8110E" w14:textId="77777777" w:rsidR="00AE7191" w:rsidRPr="00722885" w:rsidRDefault="00AE7191" w:rsidP="00722885">
            <w:pPr>
              <w:pStyle w:val="Iauiue"/>
              <w:jc w:val="both"/>
              <w:rPr>
                <w:color w:val="000000" w:themeColor="text1"/>
                <w:sz w:val="16"/>
                <w:szCs w:val="16"/>
              </w:rPr>
            </w:pPr>
          </w:p>
        </w:tc>
        <w:tc>
          <w:tcPr>
            <w:tcW w:w="865" w:type="dxa"/>
          </w:tcPr>
          <w:p w14:paraId="51E30C25" w14:textId="77777777" w:rsidR="00AE7191" w:rsidRPr="00722885" w:rsidRDefault="00AE7191" w:rsidP="00722885">
            <w:pPr>
              <w:pStyle w:val="Iauiue"/>
              <w:jc w:val="both"/>
              <w:rPr>
                <w:color w:val="000000" w:themeColor="text1"/>
                <w:sz w:val="16"/>
                <w:szCs w:val="16"/>
              </w:rPr>
            </w:pPr>
          </w:p>
        </w:tc>
        <w:tc>
          <w:tcPr>
            <w:tcW w:w="692" w:type="dxa"/>
          </w:tcPr>
          <w:p w14:paraId="0E55BAEA" w14:textId="77777777" w:rsidR="00AE7191" w:rsidRPr="00722885" w:rsidRDefault="00AE7191" w:rsidP="00722885">
            <w:pPr>
              <w:pStyle w:val="Iauiue"/>
              <w:jc w:val="both"/>
              <w:rPr>
                <w:color w:val="000000" w:themeColor="text1"/>
                <w:sz w:val="16"/>
                <w:szCs w:val="16"/>
              </w:rPr>
            </w:pPr>
          </w:p>
        </w:tc>
        <w:tc>
          <w:tcPr>
            <w:tcW w:w="1371" w:type="dxa"/>
          </w:tcPr>
          <w:p w14:paraId="09F063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12,7 мм с</w:t>
            </w:r>
          </w:p>
        </w:tc>
        <w:tc>
          <w:tcPr>
            <w:tcW w:w="818" w:type="dxa"/>
          </w:tcPr>
          <w:p w14:paraId="66324D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2000</w:t>
            </w:r>
          </w:p>
        </w:tc>
        <w:tc>
          <w:tcPr>
            <w:tcW w:w="830" w:type="dxa"/>
          </w:tcPr>
          <w:p w14:paraId="32DBA0C6" w14:textId="77777777" w:rsidR="00AE7191" w:rsidRPr="00722885" w:rsidRDefault="00AE7191" w:rsidP="00722885">
            <w:pPr>
              <w:pStyle w:val="Iauiue"/>
              <w:jc w:val="both"/>
              <w:rPr>
                <w:color w:val="000000" w:themeColor="text1"/>
                <w:sz w:val="16"/>
                <w:szCs w:val="16"/>
              </w:rPr>
            </w:pPr>
          </w:p>
        </w:tc>
        <w:tc>
          <w:tcPr>
            <w:tcW w:w="829" w:type="dxa"/>
          </w:tcPr>
          <w:p w14:paraId="2EB3901E" w14:textId="77777777" w:rsidR="00AE7191" w:rsidRPr="00722885" w:rsidRDefault="00AE7191" w:rsidP="00722885">
            <w:pPr>
              <w:pStyle w:val="Iauiue"/>
              <w:jc w:val="both"/>
              <w:rPr>
                <w:color w:val="000000" w:themeColor="text1"/>
                <w:sz w:val="16"/>
                <w:szCs w:val="16"/>
              </w:rPr>
            </w:pPr>
          </w:p>
        </w:tc>
        <w:tc>
          <w:tcPr>
            <w:tcW w:w="968" w:type="dxa"/>
          </w:tcPr>
          <w:p w14:paraId="39AC8D9D" w14:textId="77777777" w:rsidR="00AE7191" w:rsidRPr="00722885" w:rsidRDefault="00AE7191" w:rsidP="00722885">
            <w:pPr>
              <w:pStyle w:val="Iauiue"/>
              <w:jc w:val="both"/>
              <w:rPr>
                <w:color w:val="000000" w:themeColor="text1"/>
                <w:sz w:val="16"/>
                <w:szCs w:val="16"/>
              </w:rPr>
            </w:pPr>
          </w:p>
        </w:tc>
        <w:tc>
          <w:tcPr>
            <w:tcW w:w="837" w:type="dxa"/>
          </w:tcPr>
          <w:p w14:paraId="2BC19B26" w14:textId="77777777" w:rsidR="00AE7191" w:rsidRPr="00722885" w:rsidRDefault="00AE7191" w:rsidP="00722885">
            <w:pPr>
              <w:pStyle w:val="Iauiue"/>
              <w:jc w:val="both"/>
              <w:rPr>
                <w:color w:val="000000" w:themeColor="text1"/>
                <w:sz w:val="16"/>
                <w:szCs w:val="16"/>
              </w:rPr>
            </w:pPr>
          </w:p>
        </w:tc>
      </w:tr>
      <w:tr w:rsidR="009B487A" w:rsidRPr="00722885" w14:paraId="4B14A88B" w14:textId="77777777" w:rsidTr="00CC5360">
        <w:tc>
          <w:tcPr>
            <w:tcW w:w="1809" w:type="dxa"/>
          </w:tcPr>
          <w:p w14:paraId="203DC5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смешанной констр.</w:t>
            </w:r>
          </w:p>
        </w:tc>
        <w:tc>
          <w:tcPr>
            <w:tcW w:w="723" w:type="dxa"/>
          </w:tcPr>
          <w:p w14:paraId="7CDD906B" w14:textId="77777777" w:rsidR="00AE7191" w:rsidRPr="00722885" w:rsidRDefault="00AE7191" w:rsidP="00722885">
            <w:pPr>
              <w:pStyle w:val="Iauiue"/>
              <w:jc w:val="both"/>
              <w:rPr>
                <w:color w:val="000000" w:themeColor="text1"/>
                <w:sz w:val="16"/>
                <w:szCs w:val="16"/>
              </w:rPr>
            </w:pPr>
          </w:p>
        </w:tc>
        <w:tc>
          <w:tcPr>
            <w:tcW w:w="862" w:type="dxa"/>
          </w:tcPr>
          <w:p w14:paraId="5AFA5BD8" w14:textId="77777777" w:rsidR="00AE7191" w:rsidRPr="00722885" w:rsidRDefault="00AE7191" w:rsidP="00722885">
            <w:pPr>
              <w:pStyle w:val="Iauiue"/>
              <w:jc w:val="both"/>
              <w:rPr>
                <w:color w:val="000000" w:themeColor="text1"/>
                <w:sz w:val="16"/>
                <w:szCs w:val="16"/>
              </w:rPr>
            </w:pPr>
          </w:p>
        </w:tc>
        <w:tc>
          <w:tcPr>
            <w:tcW w:w="865" w:type="dxa"/>
          </w:tcPr>
          <w:p w14:paraId="51A25ACA" w14:textId="77777777" w:rsidR="00AE7191" w:rsidRPr="00722885" w:rsidRDefault="00AE7191" w:rsidP="00722885">
            <w:pPr>
              <w:pStyle w:val="Iauiue"/>
              <w:jc w:val="both"/>
              <w:rPr>
                <w:color w:val="000000" w:themeColor="text1"/>
                <w:sz w:val="16"/>
                <w:szCs w:val="16"/>
              </w:rPr>
            </w:pPr>
          </w:p>
        </w:tc>
        <w:tc>
          <w:tcPr>
            <w:tcW w:w="692" w:type="dxa"/>
          </w:tcPr>
          <w:p w14:paraId="5C81D1BF" w14:textId="77777777" w:rsidR="00AE7191" w:rsidRPr="00722885" w:rsidRDefault="00AE7191" w:rsidP="00722885">
            <w:pPr>
              <w:pStyle w:val="Iauiue"/>
              <w:jc w:val="both"/>
              <w:rPr>
                <w:color w:val="000000" w:themeColor="text1"/>
                <w:sz w:val="16"/>
                <w:szCs w:val="16"/>
              </w:rPr>
            </w:pPr>
          </w:p>
        </w:tc>
        <w:tc>
          <w:tcPr>
            <w:tcW w:w="1371" w:type="dxa"/>
          </w:tcPr>
          <w:p w14:paraId="7B58687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боезапасом</w:t>
            </w:r>
          </w:p>
        </w:tc>
        <w:tc>
          <w:tcPr>
            <w:tcW w:w="818" w:type="dxa"/>
          </w:tcPr>
          <w:p w14:paraId="09ACCCDE" w14:textId="77777777" w:rsidR="00AE7191" w:rsidRPr="00722885" w:rsidRDefault="00AE7191" w:rsidP="00722885">
            <w:pPr>
              <w:pStyle w:val="Iauiue"/>
              <w:jc w:val="both"/>
              <w:rPr>
                <w:color w:val="000000" w:themeColor="text1"/>
                <w:sz w:val="16"/>
                <w:szCs w:val="16"/>
              </w:rPr>
            </w:pPr>
          </w:p>
        </w:tc>
        <w:tc>
          <w:tcPr>
            <w:tcW w:w="830" w:type="dxa"/>
          </w:tcPr>
          <w:p w14:paraId="453C0B22" w14:textId="77777777" w:rsidR="00AE7191" w:rsidRPr="00722885" w:rsidRDefault="00AE7191" w:rsidP="00722885">
            <w:pPr>
              <w:pStyle w:val="Iauiue"/>
              <w:jc w:val="both"/>
              <w:rPr>
                <w:color w:val="000000" w:themeColor="text1"/>
                <w:sz w:val="16"/>
                <w:szCs w:val="16"/>
              </w:rPr>
            </w:pPr>
          </w:p>
        </w:tc>
        <w:tc>
          <w:tcPr>
            <w:tcW w:w="829" w:type="dxa"/>
          </w:tcPr>
          <w:p w14:paraId="2B83F0D1" w14:textId="77777777" w:rsidR="00AE7191" w:rsidRPr="00722885" w:rsidRDefault="00AE7191" w:rsidP="00722885">
            <w:pPr>
              <w:pStyle w:val="Iauiue"/>
              <w:jc w:val="both"/>
              <w:rPr>
                <w:color w:val="000000" w:themeColor="text1"/>
                <w:sz w:val="16"/>
                <w:szCs w:val="16"/>
              </w:rPr>
            </w:pPr>
          </w:p>
        </w:tc>
        <w:tc>
          <w:tcPr>
            <w:tcW w:w="968" w:type="dxa"/>
          </w:tcPr>
          <w:p w14:paraId="7FBA571E" w14:textId="77777777" w:rsidR="00AE7191" w:rsidRPr="00722885" w:rsidRDefault="00AE7191" w:rsidP="00722885">
            <w:pPr>
              <w:pStyle w:val="Iauiue"/>
              <w:jc w:val="both"/>
              <w:rPr>
                <w:color w:val="000000" w:themeColor="text1"/>
                <w:sz w:val="16"/>
                <w:szCs w:val="16"/>
              </w:rPr>
            </w:pPr>
          </w:p>
        </w:tc>
        <w:tc>
          <w:tcPr>
            <w:tcW w:w="837" w:type="dxa"/>
          </w:tcPr>
          <w:p w14:paraId="2AAD07E5" w14:textId="77777777" w:rsidR="00AE7191" w:rsidRPr="00722885" w:rsidRDefault="00AE7191" w:rsidP="00722885">
            <w:pPr>
              <w:pStyle w:val="Iauiue"/>
              <w:jc w:val="both"/>
              <w:rPr>
                <w:color w:val="000000" w:themeColor="text1"/>
                <w:sz w:val="16"/>
                <w:szCs w:val="16"/>
              </w:rPr>
            </w:pPr>
          </w:p>
        </w:tc>
      </w:tr>
      <w:tr w:rsidR="009B487A" w:rsidRPr="00722885" w14:paraId="6383BD36" w14:textId="77777777" w:rsidTr="00CC5360">
        <w:tc>
          <w:tcPr>
            <w:tcW w:w="1809" w:type="dxa"/>
          </w:tcPr>
          <w:p w14:paraId="7292B9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мот. М-82 или</w:t>
            </w:r>
          </w:p>
        </w:tc>
        <w:tc>
          <w:tcPr>
            <w:tcW w:w="723" w:type="dxa"/>
          </w:tcPr>
          <w:p w14:paraId="01F0ECD7" w14:textId="77777777" w:rsidR="00AE7191" w:rsidRPr="00722885" w:rsidRDefault="00AE7191" w:rsidP="00722885">
            <w:pPr>
              <w:pStyle w:val="Iauiue"/>
              <w:jc w:val="both"/>
              <w:rPr>
                <w:color w:val="000000" w:themeColor="text1"/>
                <w:sz w:val="16"/>
                <w:szCs w:val="16"/>
              </w:rPr>
            </w:pPr>
          </w:p>
        </w:tc>
        <w:tc>
          <w:tcPr>
            <w:tcW w:w="862" w:type="dxa"/>
          </w:tcPr>
          <w:p w14:paraId="12BAA556" w14:textId="77777777" w:rsidR="00AE7191" w:rsidRPr="00722885" w:rsidRDefault="00AE7191" w:rsidP="00722885">
            <w:pPr>
              <w:pStyle w:val="Iauiue"/>
              <w:jc w:val="both"/>
              <w:rPr>
                <w:color w:val="000000" w:themeColor="text1"/>
                <w:sz w:val="16"/>
                <w:szCs w:val="16"/>
              </w:rPr>
            </w:pPr>
          </w:p>
        </w:tc>
        <w:tc>
          <w:tcPr>
            <w:tcW w:w="865" w:type="dxa"/>
          </w:tcPr>
          <w:p w14:paraId="1D6594AF" w14:textId="77777777" w:rsidR="00AE7191" w:rsidRPr="00722885" w:rsidRDefault="00AE7191" w:rsidP="00722885">
            <w:pPr>
              <w:pStyle w:val="Iauiue"/>
              <w:jc w:val="both"/>
              <w:rPr>
                <w:color w:val="000000" w:themeColor="text1"/>
                <w:sz w:val="16"/>
                <w:szCs w:val="16"/>
              </w:rPr>
            </w:pPr>
          </w:p>
        </w:tc>
        <w:tc>
          <w:tcPr>
            <w:tcW w:w="692" w:type="dxa"/>
          </w:tcPr>
          <w:p w14:paraId="5D05D025" w14:textId="77777777" w:rsidR="00AE7191" w:rsidRPr="00722885" w:rsidRDefault="00AE7191" w:rsidP="00722885">
            <w:pPr>
              <w:pStyle w:val="Iauiue"/>
              <w:jc w:val="both"/>
              <w:rPr>
                <w:color w:val="000000" w:themeColor="text1"/>
                <w:sz w:val="16"/>
                <w:szCs w:val="16"/>
              </w:rPr>
            </w:pPr>
          </w:p>
        </w:tc>
        <w:tc>
          <w:tcPr>
            <w:tcW w:w="1371" w:type="dxa"/>
          </w:tcPr>
          <w:p w14:paraId="430EFB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250 патрон.</w:t>
            </w:r>
          </w:p>
        </w:tc>
        <w:tc>
          <w:tcPr>
            <w:tcW w:w="818" w:type="dxa"/>
          </w:tcPr>
          <w:p w14:paraId="30DBD1B5" w14:textId="77777777" w:rsidR="00AE7191" w:rsidRPr="00722885" w:rsidRDefault="00AE7191" w:rsidP="00722885">
            <w:pPr>
              <w:pStyle w:val="Iauiue"/>
              <w:jc w:val="both"/>
              <w:rPr>
                <w:color w:val="000000" w:themeColor="text1"/>
                <w:sz w:val="16"/>
                <w:szCs w:val="16"/>
              </w:rPr>
            </w:pPr>
          </w:p>
        </w:tc>
        <w:tc>
          <w:tcPr>
            <w:tcW w:w="830" w:type="dxa"/>
          </w:tcPr>
          <w:p w14:paraId="7C08DD00" w14:textId="77777777" w:rsidR="00AE7191" w:rsidRPr="00722885" w:rsidRDefault="00AE7191" w:rsidP="00722885">
            <w:pPr>
              <w:pStyle w:val="Iauiue"/>
              <w:jc w:val="both"/>
              <w:rPr>
                <w:color w:val="000000" w:themeColor="text1"/>
                <w:sz w:val="16"/>
                <w:szCs w:val="16"/>
              </w:rPr>
            </w:pPr>
          </w:p>
        </w:tc>
        <w:tc>
          <w:tcPr>
            <w:tcW w:w="829" w:type="dxa"/>
          </w:tcPr>
          <w:p w14:paraId="7B133771" w14:textId="77777777" w:rsidR="00AE7191" w:rsidRPr="00722885" w:rsidRDefault="00AE7191" w:rsidP="00722885">
            <w:pPr>
              <w:pStyle w:val="Iauiue"/>
              <w:jc w:val="both"/>
              <w:rPr>
                <w:color w:val="000000" w:themeColor="text1"/>
                <w:sz w:val="16"/>
                <w:szCs w:val="16"/>
              </w:rPr>
            </w:pPr>
          </w:p>
        </w:tc>
        <w:tc>
          <w:tcPr>
            <w:tcW w:w="968" w:type="dxa"/>
          </w:tcPr>
          <w:p w14:paraId="2B42E05D" w14:textId="77777777" w:rsidR="00AE7191" w:rsidRPr="00722885" w:rsidRDefault="00AE7191" w:rsidP="00722885">
            <w:pPr>
              <w:pStyle w:val="Iauiue"/>
              <w:jc w:val="both"/>
              <w:rPr>
                <w:color w:val="000000" w:themeColor="text1"/>
                <w:sz w:val="16"/>
                <w:szCs w:val="16"/>
              </w:rPr>
            </w:pPr>
          </w:p>
        </w:tc>
        <w:tc>
          <w:tcPr>
            <w:tcW w:w="837" w:type="dxa"/>
          </w:tcPr>
          <w:p w14:paraId="3FA6226E" w14:textId="77777777" w:rsidR="00AE7191" w:rsidRPr="00722885" w:rsidRDefault="00AE7191" w:rsidP="00722885">
            <w:pPr>
              <w:pStyle w:val="Iauiue"/>
              <w:jc w:val="both"/>
              <w:rPr>
                <w:color w:val="000000" w:themeColor="text1"/>
                <w:sz w:val="16"/>
                <w:szCs w:val="16"/>
              </w:rPr>
            </w:pPr>
          </w:p>
        </w:tc>
      </w:tr>
      <w:tr w:rsidR="009B487A" w:rsidRPr="00722885" w14:paraId="4F2682D7" w14:textId="77777777" w:rsidTr="00CC5360">
        <w:tc>
          <w:tcPr>
            <w:tcW w:w="1809" w:type="dxa"/>
          </w:tcPr>
          <w:p w14:paraId="4FFEA5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М-71 констр.</w:t>
            </w:r>
          </w:p>
        </w:tc>
        <w:tc>
          <w:tcPr>
            <w:tcW w:w="723" w:type="dxa"/>
          </w:tcPr>
          <w:p w14:paraId="7732F842" w14:textId="77777777" w:rsidR="00AE7191" w:rsidRPr="00722885" w:rsidRDefault="00AE7191" w:rsidP="00722885">
            <w:pPr>
              <w:pStyle w:val="Iauiue"/>
              <w:jc w:val="both"/>
              <w:rPr>
                <w:color w:val="000000" w:themeColor="text1"/>
                <w:sz w:val="16"/>
                <w:szCs w:val="16"/>
              </w:rPr>
            </w:pPr>
          </w:p>
        </w:tc>
        <w:tc>
          <w:tcPr>
            <w:tcW w:w="862" w:type="dxa"/>
          </w:tcPr>
          <w:p w14:paraId="796AE6E5" w14:textId="77777777" w:rsidR="00AE7191" w:rsidRPr="00722885" w:rsidRDefault="00AE7191" w:rsidP="00722885">
            <w:pPr>
              <w:pStyle w:val="Iauiue"/>
              <w:jc w:val="both"/>
              <w:rPr>
                <w:color w:val="000000" w:themeColor="text1"/>
                <w:sz w:val="16"/>
                <w:szCs w:val="16"/>
              </w:rPr>
            </w:pPr>
          </w:p>
        </w:tc>
        <w:tc>
          <w:tcPr>
            <w:tcW w:w="865" w:type="dxa"/>
          </w:tcPr>
          <w:p w14:paraId="1528E730" w14:textId="77777777" w:rsidR="00AE7191" w:rsidRPr="00722885" w:rsidRDefault="00AE7191" w:rsidP="00722885">
            <w:pPr>
              <w:pStyle w:val="Iauiue"/>
              <w:jc w:val="both"/>
              <w:rPr>
                <w:color w:val="000000" w:themeColor="text1"/>
                <w:sz w:val="16"/>
                <w:szCs w:val="16"/>
              </w:rPr>
            </w:pPr>
          </w:p>
        </w:tc>
        <w:tc>
          <w:tcPr>
            <w:tcW w:w="692" w:type="dxa"/>
          </w:tcPr>
          <w:p w14:paraId="5D39E9FD" w14:textId="77777777" w:rsidR="00AE7191" w:rsidRPr="00722885" w:rsidRDefault="00AE7191" w:rsidP="00722885">
            <w:pPr>
              <w:pStyle w:val="Iauiue"/>
              <w:jc w:val="both"/>
              <w:rPr>
                <w:color w:val="000000" w:themeColor="text1"/>
                <w:sz w:val="16"/>
                <w:szCs w:val="16"/>
              </w:rPr>
            </w:pPr>
          </w:p>
        </w:tc>
        <w:tc>
          <w:tcPr>
            <w:tcW w:w="1371" w:type="dxa"/>
          </w:tcPr>
          <w:p w14:paraId="11D268A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Назад-вверх:</w:t>
            </w:r>
          </w:p>
        </w:tc>
        <w:tc>
          <w:tcPr>
            <w:tcW w:w="818" w:type="dxa"/>
          </w:tcPr>
          <w:p w14:paraId="50067F8D" w14:textId="77777777" w:rsidR="00AE7191" w:rsidRPr="00722885" w:rsidRDefault="00AE7191" w:rsidP="00722885">
            <w:pPr>
              <w:pStyle w:val="Iauiue"/>
              <w:jc w:val="both"/>
              <w:rPr>
                <w:color w:val="000000" w:themeColor="text1"/>
                <w:sz w:val="16"/>
                <w:szCs w:val="16"/>
              </w:rPr>
            </w:pPr>
          </w:p>
        </w:tc>
        <w:tc>
          <w:tcPr>
            <w:tcW w:w="830" w:type="dxa"/>
          </w:tcPr>
          <w:p w14:paraId="245821BC" w14:textId="77777777" w:rsidR="00AE7191" w:rsidRPr="00722885" w:rsidRDefault="00AE7191" w:rsidP="00722885">
            <w:pPr>
              <w:pStyle w:val="Iauiue"/>
              <w:jc w:val="both"/>
              <w:rPr>
                <w:color w:val="000000" w:themeColor="text1"/>
                <w:sz w:val="16"/>
                <w:szCs w:val="16"/>
              </w:rPr>
            </w:pPr>
          </w:p>
        </w:tc>
        <w:tc>
          <w:tcPr>
            <w:tcW w:w="829" w:type="dxa"/>
          </w:tcPr>
          <w:p w14:paraId="6412F725" w14:textId="77777777" w:rsidR="00AE7191" w:rsidRPr="00722885" w:rsidRDefault="00AE7191" w:rsidP="00722885">
            <w:pPr>
              <w:pStyle w:val="Iauiue"/>
              <w:jc w:val="both"/>
              <w:rPr>
                <w:color w:val="000000" w:themeColor="text1"/>
                <w:sz w:val="16"/>
                <w:szCs w:val="16"/>
              </w:rPr>
            </w:pPr>
          </w:p>
        </w:tc>
        <w:tc>
          <w:tcPr>
            <w:tcW w:w="968" w:type="dxa"/>
          </w:tcPr>
          <w:p w14:paraId="46A03C14" w14:textId="77777777" w:rsidR="00AE7191" w:rsidRPr="00722885" w:rsidRDefault="00AE7191" w:rsidP="00722885">
            <w:pPr>
              <w:pStyle w:val="Iauiue"/>
              <w:jc w:val="both"/>
              <w:rPr>
                <w:color w:val="000000" w:themeColor="text1"/>
                <w:sz w:val="16"/>
                <w:szCs w:val="16"/>
              </w:rPr>
            </w:pPr>
          </w:p>
        </w:tc>
        <w:tc>
          <w:tcPr>
            <w:tcW w:w="837" w:type="dxa"/>
          </w:tcPr>
          <w:p w14:paraId="0C2DABDA" w14:textId="77777777" w:rsidR="00AE7191" w:rsidRPr="00722885" w:rsidRDefault="00AE7191" w:rsidP="00722885">
            <w:pPr>
              <w:pStyle w:val="Iauiue"/>
              <w:jc w:val="both"/>
              <w:rPr>
                <w:color w:val="000000" w:themeColor="text1"/>
                <w:sz w:val="16"/>
                <w:szCs w:val="16"/>
              </w:rPr>
            </w:pPr>
          </w:p>
        </w:tc>
      </w:tr>
      <w:tr w:rsidR="009B487A" w:rsidRPr="00722885" w14:paraId="5D8F01A4" w14:textId="77777777" w:rsidTr="00CC5360">
        <w:tc>
          <w:tcPr>
            <w:tcW w:w="1809" w:type="dxa"/>
          </w:tcPr>
          <w:p w14:paraId="137658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Поликарпова</w:t>
            </w:r>
          </w:p>
        </w:tc>
        <w:tc>
          <w:tcPr>
            <w:tcW w:w="723" w:type="dxa"/>
          </w:tcPr>
          <w:p w14:paraId="3E23BF60" w14:textId="77777777" w:rsidR="00AE7191" w:rsidRPr="00722885" w:rsidRDefault="00AE7191" w:rsidP="00722885">
            <w:pPr>
              <w:pStyle w:val="Iauiue"/>
              <w:jc w:val="both"/>
              <w:rPr>
                <w:color w:val="000000" w:themeColor="text1"/>
                <w:sz w:val="16"/>
                <w:szCs w:val="16"/>
              </w:rPr>
            </w:pPr>
          </w:p>
        </w:tc>
        <w:tc>
          <w:tcPr>
            <w:tcW w:w="862" w:type="dxa"/>
          </w:tcPr>
          <w:p w14:paraId="7C71ADF2" w14:textId="77777777" w:rsidR="00AE7191" w:rsidRPr="00722885" w:rsidRDefault="00AE7191" w:rsidP="00722885">
            <w:pPr>
              <w:pStyle w:val="Iauiue"/>
              <w:jc w:val="both"/>
              <w:rPr>
                <w:color w:val="000000" w:themeColor="text1"/>
                <w:sz w:val="16"/>
                <w:szCs w:val="16"/>
              </w:rPr>
            </w:pPr>
          </w:p>
        </w:tc>
        <w:tc>
          <w:tcPr>
            <w:tcW w:w="865" w:type="dxa"/>
          </w:tcPr>
          <w:p w14:paraId="302B2895" w14:textId="77777777" w:rsidR="00AE7191" w:rsidRPr="00722885" w:rsidRDefault="00AE7191" w:rsidP="00722885">
            <w:pPr>
              <w:pStyle w:val="Iauiue"/>
              <w:jc w:val="both"/>
              <w:rPr>
                <w:color w:val="000000" w:themeColor="text1"/>
                <w:sz w:val="16"/>
                <w:szCs w:val="16"/>
              </w:rPr>
            </w:pPr>
          </w:p>
        </w:tc>
        <w:tc>
          <w:tcPr>
            <w:tcW w:w="692" w:type="dxa"/>
          </w:tcPr>
          <w:p w14:paraId="02C0A5CA" w14:textId="77777777" w:rsidR="00AE7191" w:rsidRPr="00722885" w:rsidRDefault="00AE7191" w:rsidP="00722885">
            <w:pPr>
              <w:pStyle w:val="Iauiue"/>
              <w:jc w:val="both"/>
              <w:rPr>
                <w:color w:val="000000" w:themeColor="text1"/>
                <w:sz w:val="16"/>
                <w:szCs w:val="16"/>
              </w:rPr>
            </w:pPr>
          </w:p>
        </w:tc>
        <w:tc>
          <w:tcPr>
            <w:tcW w:w="1371" w:type="dxa"/>
          </w:tcPr>
          <w:p w14:paraId="33A4D8B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пулем. 12,7 мм</w:t>
            </w:r>
          </w:p>
        </w:tc>
        <w:tc>
          <w:tcPr>
            <w:tcW w:w="818" w:type="dxa"/>
          </w:tcPr>
          <w:p w14:paraId="561A2C36" w14:textId="77777777" w:rsidR="00AE7191" w:rsidRPr="00722885" w:rsidRDefault="00AE7191" w:rsidP="00722885">
            <w:pPr>
              <w:pStyle w:val="Iauiue"/>
              <w:jc w:val="both"/>
              <w:rPr>
                <w:color w:val="000000" w:themeColor="text1"/>
                <w:sz w:val="16"/>
                <w:szCs w:val="16"/>
              </w:rPr>
            </w:pPr>
          </w:p>
        </w:tc>
        <w:tc>
          <w:tcPr>
            <w:tcW w:w="830" w:type="dxa"/>
          </w:tcPr>
          <w:p w14:paraId="451EF4A6" w14:textId="77777777" w:rsidR="00AE7191" w:rsidRPr="00722885" w:rsidRDefault="00AE7191" w:rsidP="00722885">
            <w:pPr>
              <w:pStyle w:val="Iauiue"/>
              <w:jc w:val="both"/>
              <w:rPr>
                <w:color w:val="000000" w:themeColor="text1"/>
                <w:sz w:val="16"/>
                <w:szCs w:val="16"/>
              </w:rPr>
            </w:pPr>
          </w:p>
        </w:tc>
        <w:tc>
          <w:tcPr>
            <w:tcW w:w="829" w:type="dxa"/>
          </w:tcPr>
          <w:p w14:paraId="4F9C66C3" w14:textId="77777777" w:rsidR="00AE7191" w:rsidRPr="00722885" w:rsidRDefault="00AE7191" w:rsidP="00722885">
            <w:pPr>
              <w:pStyle w:val="Iauiue"/>
              <w:jc w:val="both"/>
              <w:rPr>
                <w:color w:val="000000" w:themeColor="text1"/>
                <w:sz w:val="16"/>
                <w:szCs w:val="16"/>
              </w:rPr>
            </w:pPr>
          </w:p>
        </w:tc>
        <w:tc>
          <w:tcPr>
            <w:tcW w:w="968" w:type="dxa"/>
          </w:tcPr>
          <w:p w14:paraId="3E1F143E" w14:textId="77777777" w:rsidR="00AE7191" w:rsidRPr="00722885" w:rsidRDefault="00AE7191" w:rsidP="00722885">
            <w:pPr>
              <w:pStyle w:val="Iauiue"/>
              <w:jc w:val="both"/>
              <w:rPr>
                <w:color w:val="000000" w:themeColor="text1"/>
                <w:sz w:val="16"/>
                <w:szCs w:val="16"/>
              </w:rPr>
            </w:pPr>
          </w:p>
        </w:tc>
        <w:tc>
          <w:tcPr>
            <w:tcW w:w="837" w:type="dxa"/>
          </w:tcPr>
          <w:p w14:paraId="49585A5A" w14:textId="77777777" w:rsidR="00AE7191" w:rsidRPr="00722885" w:rsidRDefault="00AE7191" w:rsidP="00722885">
            <w:pPr>
              <w:pStyle w:val="Iauiue"/>
              <w:jc w:val="both"/>
              <w:rPr>
                <w:color w:val="000000" w:themeColor="text1"/>
                <w:sz w:val="16"/>
                <w:szCs w:val="16"/>
              </w:rPr>
            </w:pPr>
          </w:p>
        </w:tc>
      </w:tr>
      <w:tr w:rsidR="009B487A" w:rsidRPr="00722885" w14:paraId="25147931" w14:textId="77777777" w:rsidTr="00CC5360">
        <w:tc>
          <w:tcPr>
            <w:tcW w:w="1809" w:type="dxa"/>
          </w:tcPr>
          <w:p w14:paraId="523ECD57" w14:textId="77777777" w:rsidR="00AE7191" w:rsidRPr="00722885" w:rsidRDefault="00AE7191" w:rsidP="00722885">
            <w:pPr>
              <w:pStyle w:val="Iauiue"/>
              <w:jc w:val="both"/>
              <w:rPr>
                <w:color w:val="000000" w:themeColor="text1"/>
                <w:sz w:val="16"/>
                <w:szCs w:val="16"/>
              </w:rPr>
            </w:pPr>
          </w:p>
        </w:tc>
        <w:tc>
          <w:tcPr>
            <w:tcW w:w="723" w:type="dxa"/>
          </w:tcPr>
          <w:p w14:paraId="4E585780" w14:textId="77777777" w:rsidR="00AE7191" w:rsidRPr="00722885" w:rsidRDefault="00AE7191" w:rsidP="00722885">
            <w:pPr>
              <w:pStyle w:val="Iauiue"/>
              <w:jc w:val="both"/>
              <w:rPr>
                <w:color w:val="000000" w:themeColor="text1"/>
                <w:sz w:val="16"/>
                <w:szCs w:val="16"/>
              </w:rPr>
            </w:pPr>
          </w:p>
        </w:tc>
        <w:tc>
          <w:tcPr>
            <w:tcW w:w="862" w:type="dxa"/>
          </w:tcPr>
          <w:p w14:paraId="2E219B9F" w14:textId="77777777" w:rsidR="00AE7191" w:rsidRPr="00722885" w:rsidRDefault="00AE7191" w:rsidP="00722885">
            <w:pPr>
              <w:pStyle w:val="Iauiue"/>
              <w:jc w:val="both"/>
              <w:rPr>
                <w:color w:val="000000" w:themeColor="text1"/>
                <w:sz w:val="16"/>
                <w:szCs w:val="16"/>
              </w:rPr>
            </w:pPr>
          </w:p>
        </w:tc>
        <w:tc>
          <w:tcPr>
            <w:tcW w:w="865" w:type="dxa"/>
          </w:tcPr>
          <w:p w14:paraId="5A5BFF99" w14:textId="77777777" w:rsidR="00AE7191" w:rsidRPr="00722885" w:rsidRDefault="00AE7191" w:rsidP="00722885">
            <w:pPr>
              <w:pStyle w:val="Iauiue"/>
              <w:jc w:val="both"/>
              <w:rPr>
                <w:color w:val="000000" w:themeColor="text1"/>
                <w:sz w:val="16"/>
                <w:szCs w:val="16"/>
              </w:rPr>
            </w:pPr>
          </w:p>
        </w:tc>
        <w:tc>
          <w:tcPr>
            <w:tcW w:w="692" w:type="dxa"/>
          </w:tcPr>
          <w:p w14:paraId="16696C72" w14:textId="77777777" w:rsidR="00AE7191" w:rsidRPr="00722885" w:rsidRDefault="00AE7191" w:rsidP="00722885">
            <w:pPr>
              <w:pStyle w:val="Iauiue"/>
              <w:jc w:val="both"/>
              <w:rPr>
                <w:color w:val="000000" w:themeColor="text1"/>
                <w:sz w:val="16"/>
                <w:szCs w:val="16"/>
              </w:rPr>
            </w:pPr>
          </w:p>
        </w:tc>
        <w:tc>
          <w:tcPr>
            <w:tcW w:w="1371" w:type="dxa"/>
          </w:tcPr>
          <w:p w14:paraId="65721F6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боезапасом</w:t>
            </w:r>
          </w:p>
        </w:tc>
        <w:tc>
          <w:tcPr>
            <w:tcW w:w="818" w:type="dxa"/>
          </w:tcPr>
          <w:p w14:paraId="662C02B7" w14:textId="77777777" w:rsidR="00AE7191" w:rsidRPr="00722885" w:rsidRDefault="00AE7191" w:rsidP="00722885">
            <w:pPr>
              <w:pStyle w:val="Iauiue"/>
              <w:jc w:val="both"/>
              <w:rPr>
                <w:color w:val="000000" w:themeColor="text1"/>
                <w:sz w:val="16"/>
                <w:szCs w:val="16"/>
              </w:rPr>
            </w:pPr>
          </w:p>
        </w:tc>
        <w:tc>
          <w:tcPr>
            <w:tcW w:w="830" w:type="dxa"/>
          </w:tcPr>
          <w:p w14:paraId="4171252F" w14:textId="77777777" w:rsidR="00AE7191" w:rsidRPr="00722885" w:rsidRDefault="00AE7191" w:rsidP="00722885">
            <w:pPr>
              <w:pStyle w:val="Iauiue"/>
              <w:jc w:val="both"/>
              <w:rPr>
                <w:color w:val="000000" w:themeColor="text1"/>
                <w:sz w:val="16"/>
                <w:szCs w:val="16"/>
              </w:rPr>
            </w:pPr>
          </w:p>
        </w:tc>
        <w:tc>
          <w:tcPr>
            <w:tcW w:w="829" w:type="dxa"/>
          </w:tcPr>
          <w:p w14:paraId="2CAC5BD6" w14:textId="77777777" w:rsidR="00AE7191" w:rsidRPr="00722885" w:rsidRDefault="00AE7191" w:rsidP="00722885">
            <w:pPr>
              <w:pStyle w:val="Iauiue"/>
              <w:jc w:val="both"/>
              <w:rPr>
                <w:color w:val="000000" w:themeColor="text1"/>
                <w:sz w:val="16"/>
                <w:szCs w:val="16"/>
              </w:rPr>
            </w:pPr>
          </w:p>
        </w:tc>
        <w:tc>
          <w:tcPr>
            <w:tcW w:w="968" w:type="dxa"/>
          </w:tcPr>
          <w:p w14:paraId="6B4BD976" w14:textId="77777777" w:rsidR="00AE7191" w:rsidRPr="00722885" w:rsidRDefault="00AE7191" w:rsidP="00722885">
            <w:pPr>
              <w:pStyle w:val="Iauiue"/>
              <w:jc w:val="both"/>
              <w:rPr>
                <w:color w:val="000000" w:themeColor="text1"/>
                <w:sz w:val="16"/>
                <w:szCs w:val="16"/>
              </w:rPr>
            </w:pPr>
          </w:p>
        </w:tc>
        <w:tc>
          <w:tcPr>
            <w:tcW w:w="837" w:type="dxa"/>
          </w:tcPr>
          <w:p w14:paraId="57E270F6" w14:textId="77777777" w:rsidR="00AE7191" w:rsidRPr="00722885" w:rsidRDefault="00AE7191" w:rsidP="00722885">
            <w:pPr>
              <w:pStyle w:val="Iauiue"/>
              <w:jc w:val="both"/>
              <w:rPr>
                <w:color w:val="000000" w:themeColor="text1"/>
                <w:sz w:val="16"/>
                <w:szCs w:val="16"/>
              </w:rPr>
            </w:pPr>
          </w:p>
        </w:tc>
      </w:tr>
      <w:tr w:rsidR="009B487A" w:rsidRPr="00722885" w14:paraId="6841637A" w14:textId="77777777" w:rsidTr="00CC5360">
        <w:tc>
          <w:tcPr>
            <w:tcW w:w="1809" w:type="dxa"/>
          </w:tcPr>
          <w:p w14:paraId="1D7A0EE4" w14:textId="77777777" w:rsidR="00AE7191" w:rsidRPr="00722885" w:rsidRDefault="00AE7191" w:rsidP="00722885">
            <w:pPr>
              <w:pStyle w:val="Iauiue"/>
              <w:jc w:val="both"/>
              <w:rPr>
                <w:color w:val="000000" w:themeColor="text1"/>
                <w:sz w:val="16"/>
                <w:szCs w:val="16"/>
              </w:rPr>
            </w:pPr>
          </w:p>
        </w:tc>
        <w:tc>
          <w:tcPr>
            <w:tcW w:w="723" w:type="dxa"/>
          </w:tcPr>
          <w:p w14:paraId="6E99FC3E" w14:textId="77777777" w:rsidR="00AE7191" w:rsidRPr="00722885" w:rsidRDefault="00AE7191" w:rsidP="00722885">
            <w:pPr>
              <w:pStyle w:val="Iauiue"/>
              <w:jc w:val="both"/>
              <w:rPr>
                <w:color w:val="000000" w:themeColor="text1"/>
                <w:sz w:val="16"/>
                <w:szCs w:val="16"/>
              </w:rPr>
            </w:pPr>
          </w:p>
        </w:tc>
        <w:tc>
          <w:tcPr>
            <w:tcW w:w="862" w:type="dxa"/>
          </w:tcPr>
          <w:p w14:paraId="246ED84D" w14:textId="77777777" w:rsidR="00AE7191" w:rsidRPr="00722885" w:rsidRDefault="00AE7191" w:rsidP="00722885">
            <w:pPr>
              <w:pStyle w:val="Iauiue"/>
              <w:jc w:val="both"/>
              <w:rPr>
                <w:color w:val="000000" w:themeColor="text1"/>
                <w:sz w:val="16"/>
                <w:szCs w:val="16"/>
              </w:rPr>
            </w:pPr>
          </w:p>
        </w:tc>
        <w:tc>
          <w:tcPr>
            <w:tcW w:w="865" w:type="dxa"/>
          </w:tcPr>
          <w:p w14:paraId="4B6CCC87" w14:textId="77777777" w:rsidR="00AE7191" w:rsidRPr="00722885" w:rsidRDefault="00AE7191" w:rsidP="00722885">
            <w:pPr>
              <w:pStyle w:val="Iauiue"/>
              <w:jc w:val="both"/>
              <w:rPr>
                <w:color w:val="000000" w:themeColor="text1"/>
                <w:sz w:val="16"/>
                <w:szCs w:val="16"/>
              </w:rPr>
            </w:pPr>
          </w:p>
        </w:tc>
        <w:tc>
          <w:tcPr>
            <w:tcW w:w="692" w:type="dxa"/>
          </w:tcPr>
          <w:p w14:paraId="27EF269E" w14:textId="77777777" w:rsidR="00AE7191" w:rsidRPr="00722885" w:rsidRDefault="00AE7191" w:rsidP="00722885">
            <w:pPr>
              <w:pStyle w:val="Iauiue"/>
              <w:jc w:val="both"/>
              <w:rPr>
                <w:color w:val="000000" w:themeColor="text1"/>
                <w:sz w:val="16"/>
                <w:szCs w:val="16"/>
              </w:rPr>
            </w:pPr>
          </w:p>
        </w:tc>
        <w:tc>
          <w:tcPr>
            <w:tcW w:w="1371" w:type="dxa"/>
          </w:tcPr>
          <w:p w14:paraId="1CA951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 патрон.</w:t>
            </w:r>
          </w:p>
        </w:tc>
        <w:tc>
          <w:tcPr>
            <w:tcW w:w="818" w:type="dxa"/>
          </w:tcPr>
          <w:p w14:paraId="26A81D4D" w14:textId="77777777" w:rsidR="00AE7191" w:rsidRPr="00722885" w:rsidRDefault="00AE7191" w:rsidP="00722885">
            <w:pPr>
              <w:pStyle w:val="Iauiue"/>
              <w:jc w:val="both"/>
              <w:rPr>
                <w:color w:val="000000" w:themeColor="text1"/>
                <w:sz w:val="16"/>
                <w:szCs w:val="16"/>
              </w:rPr>
            </w:pPr>
          </w:p>
        </w:tc>
        <w:tc>
          <w:tcPr>
            <w:tcW w:w="830" w:type="dxa"/>
          </w:tcPr>
          <w:p w14:paraId="1A78D43D" w14:textId="77777777" w:rsidR="00AE7191" w:rsidRPr="00722885" w:rsidRDefault="00AE7191" w:rsidP="00722885">
            <w:pPr>
              <w:pStyle w:val="Iauiue"/>
              <w:jc w:val="both"/>
              <w:rPr>
                <w:color w:val="000000" w:themeColor="text1"/>
                <w:sz w:val="16"/>
                <w:szCs w:val="16"/>
              </w:rPr>
            </w:pPr>
          </w:p>
        </w:tc>
        <w:tc>
          <w:tcPr>
            <w:tcW w:w="829" w:type="dxa"/>
          </w:tcPr>
          <w:p w14:paraId="2872E3A8" w14:textId="77777777" w:rsidR="00AE7191" w:rsidRPr="00722885" w:rsidRDefault="00AE7191" w:rsidP="00722885">
            <w:pPr>
              <w:pStyle w:val="Iauiue"/>
              <w:jc w:val="both"/>
              <w:rPr>
                <w:color w:val="000000" w:themeColor="text1"/>
                <w:sz w:val="16"/>
                <w:szCs w:val="16"/>
              </w:rPr>
            </w:pPr>
          </w:p>
        </w:tc>
        <w:tc>
          <w:tcPr>
            <w:tcW w:w="968" w:type="dxa"/>
          </w:tcPr>
          <w:p w14:paraId="5A94600C" w14:textId="77777777" w:rsidR="00AE7191" w:rsidRPr="00722885" w:rsidRDefault="00AE7191" w:rsidP="00722885">
            <w:pPr>
              <w:pStyle w:val="Iauiue"/>
              <w:jc w:val="both"/>
              <w:rPr>
                <w:color w:val="000000" w:themeColor="text1"/>
                <w:sz w:val="16"/>
                <w:szCs w:val="16"/>
              </w:rPr>
            </w:pPr>
          </w:p>
        </w:tc>
        <w:tc>
          <w:tcPr>
            <w:tcW w:w="837" w:type="dxa"/>
          </w:tcPr>
          <w:p w14:paraId="09359929" w14:textId="77777777" w:rsidR="00AE7191" w:rsidRPr="00722885" w:rsidRDefault="00AE7191" w:rsidP="00722885">
            <w:pPr>
              <w:pStyle w:val="Iauiue"/>
              <w:jc w:val="both"/>
              <w:rPr>
                <w:color w:val="000000" w:themeColor="text1"/>
                <w:sz w:val="16"/>
                <w:szCs w:val="16"/>
              </w:rPr>
            </w:pPr>
          </w:p>
        </w:tc>
      </w:tr>
      <w:tr w:rsidR="009B487A" w:rsidRPr="00722885" w14:paraId="759483F1" w14:textId="77777777" w:rsidTr="00CC5360">
        <w:tc>
          <w:tcPr>
            <w:tcW w:w="1809" w:type="dxa"/>
          </w:tcPr>
          <w:p w14:paraId="2F923842" w14:textId="77777777" w:rsidR="00AE7191" w:rsidRPr="00722885" w:rsidRDefault="00AE7191" w:rsidP="00722885">
            <w:pPr>
              <w:pStyle w:val="Iauiue"/>
              <w:jc w:val="both"/>
              <w:rPr>
                <w:color w:val="000000" w:themeColor="text1"/>
                <w:sz w:val="16"/>
                <w:szCs w:val="16"/>
              </w:rPr>
            </w:pPr>
          </w:p>
        </w:tc>
        <w:tc>
          <w:tcPr>
            <w:tcW w:w="723" w:type="dxa"/>
          </w:tcPr>
          <w:p w14:paraId="1784F5E6" w14:textId="77777777" w:rsidR="00AE7191" w:rsidRPr="00722885" w:rsidRDefault="00AE7191" w:rsidP="00722885">
            <w:pPr>
              <w:pStyle w:val="Iauiue"/>
              <w:jc w:val="both"/>
              <w:rPr>
                <w:color w:val="000000" w:themeColor="text1"/>
                <w:sz w:val="16"/>
                <w:szCs w:val="16"/>
              </w:rPr>
            </w:pPr>
          </w:p>
        </w:tc>
        <w:tc>
          <w:tcPr>
            <w:tcW w:w="862" w:type="dxa"/>
          </w:tcPr>
          <w:p w14:paraId="62DA3BB0" w14:textId="77777777" w:rsidR="00AE7191" w:rsidRPr="00722885" w:rsidRDefault="00AE7191" w:rsidP="00722885">
            <w:pPr>
              <w:pStyle w:val="Iauiue"/>
              <w:jc w:val="both"/>
              <w:rPr>
                <w:color w:val="000000" w:themeColor="text1"/>
                <w:sz w:val="16"/>
                <w:szCs w:val="16"/>
              </w:rPr>
            </w:pPr>
          </w:p>
        </w:tc>
        <w:tc>
          <w:tcPr>
            <w:tcW w:w="865" w:type="dxa"/>
          </w:tcPr>
          <w:p w14:paraId="6930C58C" w14:textId="77777777" w:rsidR="00AE7191" w:rsidRPr="00722885" w:rsidRDefault="00AE7191" w:rsidP="00722885">
            <w:pPr>
              <w:pStyle w:val="Iauiue"/>
              <w:jc w:val="both"/>
              <w:rPr>
                <w:color w:val="000000" w:themeColor="text1"/>
                <w:sz w:val="16"/>
                <w:szCs w:val="16"/>
              </w:rPr>
            </w:pPr>
          </w:p>
        </w:tc>
        <w:tc>
          <w:tcPr>
            <w:tcW w:w="692" w:type="dxa"/>
          </w:tcPr>
          <w:p w14:paraId="0F177A4F" w14:textId="77777777" w:rsidR="00AE7191" w:rsidRPr="00722885" w:rsidRDefault="00AE7191" w:rsidP="00722885">
            <w:pPr>
              <w:pStyle w:val="Iauiue"/>
              <w:jc w:val="both"/>
              <w:rPr>
                <w:color w:val="000000" w:themeColor="text1"/>
                <w:sz w:val="16"/>
                <w:szCs w:val="16"/>
              </w:rPr>
            </w:pPr>
          </w:p>
        </w:tc>
        <w:tc>
          <w:tcPr>
            <w:tcW w:w="1371" w:type="dxa"/>
          </w:tcPr>
          <w:p w14:paraId="12BBD2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Люковая:</w:t>
            </w:r>
          </w:p>
        </w:tc>
        <w:tc>
          <w:tcPr>
            <w:tcW w:w="818" w:type="dxa"/>
          </w:tcPr>
          <w:p w14:paraId="4A794D59" w14:textId="77777777" w:rsidR="00AE7191" w:rsidRPr="00722885" w:rsidRDefault="00AE7191" w:rsidP="00722885">
            <w:pPr>
              <w:pStyle w:val="Iauiue"/>
              <w:jc w:val="both"/>
              <w:rPr>
                <w:color w:val="000000" w:themeColor="text1"/>
                <w:sz w:val="16"/>
                <w:szCs w:val="16"/>
              </w:rPr>
            </w:pPr>
          </w:p>
        </w:tc>
        <w:tc>
          <w:tcPr>
            <w:tcW w:w="830" w:type="dxa"/>
          </w:tcPr>
          <w:p w14:paraId="2A9937DC" w14:textId="77777777" w:rsidR="00AE7191" w:rsidRPr="00722885" w:rsidRDefault="00AE7191" w:rsidP="00722885">
            <w:pPr>
              <w:pStyle w:val="Iauiue"/>
              <w:jc w:val="both"/>
              <w:rPr>
                <w:color w:val="000000" w:themeColor="text1"/>
                <w:sz w:val="16"/>
                <w:szCs w:val="16"/>
              </w:rPr>
            </w:pPr>
          </w:p>
        </w:tc>
        <w:tc>
          <w:tcPr>
            <w:tcW w:w="829" w:type="dxa"/>
          </w:tcPr>
          <w:p w14:paraId="5300B54F" w14:textId="77777777" w:rsidR="00AE7191" w:rsidRPr="00722885" w:rsidRDefault="00AE7191" w:rsidP="00722885">
            <w:pPr>
              <w:pStyle w:val="Iauiue"/>
              <w:jc w:val="both"/>
              <w:rPr>
                <w:color w:val="000000" w:themeColor="text1"/>
                <w:sz w:val="16"/>
                <w:szCs w:val="16"/>
              </w:rPr>
            </w:pPr>
          </w:p>
        </w:tc>
        <w:tc>
          <w:tcPr>
            <w:tcW w:w="968" w:type="dxa"/>
          </w:tcPr>
          <w:p w14:paraId="5D386EFD" w14:textId="77777777" w:rsidR="00AE7191" w:rsidRPr="00722885" w:rsidRDefault="00AE7191" w:rsidP="00722885">
            <w:pPr>
              <w:pStyle w:val="Iauiue"/>
              <w:jc w:val="both"/>
              <w:rPr>
                <w:color w:val="000000" w:themeColor="text1"/>
                <w:sz w:val="16"/>
                <w:szCs w:val="16"/>
              </w:rPr>
            </w:pPr>
          </w:p>
        </w:tc>
        <w:tc>
          <w:tcPr>
            <w:tcW w:w="837" w:type="dxa"/>
          </w:tcPr>
          <w:p w14:paraId="5906D133" w14:textId="77777777" w:rsidR="00AE7191" w:rsidRPr="00722885" w:rsidRDefault="00AE7191" w:rsidP="00722885">
            <w:pPr>
              <w:pStyle w:val="Iauiue"/>
              <w:jc w:val="both"/>
              <w:rPr>
                <w:color w:val="000000" w:themeColor="text1"/>
                <w:sz w:val="16"/>
                <w:szCs w:val="16"/>
              </w:rPr>
            </w:pPr>
          </w:p>
        </w:tc>
      </w:tr>
      <w:tr w:rsidR="009B487A" w:rsidRPr="00722885" w14:paraId="786A37BD" w14:textId="77777777" w:rsidTr="00CC5360">
        <w:tc>
          <w:tcPr>
            <w:tcW w:w="1809" w:type="dxa"/>
          </w:tcPr>
          <w:p w14:paraId="5D969C66" w14:textId="77777777" w:rsidR="00AE7191" w:rsidRPr="00722885" w:rsidRDefault="00AE7191" w:rsidP="00722885">
            <w:pPr>
              <w:pStyle w:val="Iauiue"/>
              <w:jc w:val="both"/>
              <w:rPr>
                <w:color w:val="000000" w:themeColor="text1"/>
                <w:sz w:val="16"/>
                <w:szCs w:val="16"/>
              </w:rPr>
            </w:pPr>
          </w:p>
        </w:tc>
        <w:tc>
          <w:tcPr>
            <w:tcW w:w="723" w:type="dxa"/>
          </w:tcPr>
          <w:p w14:paraId="75FAEBF7" w14:textId="77777777" w:rsidR="00AE7191" w:rsidRPr="00722885" w:rsidRDefault="00AE7191" w:rsidP="00722885">
            <w:pPr>
              <w:pStyle w:val="Iauiue"/>
              <w:jc w:val="both"/>
              <w:rPr>
                <w:color w:val="000000" w:themeColor="text1"/>
                <w:sz w:val="16"/>
                <w:szCs w:val="16"/>
              </w:rPr>
            </w:pPr>
          </w:p>
        </w:tc>
        <w:tc>
          <w:tcPr>
            <w:tcW w:w="862" w:type="dxa"/>
          </w:tcPr>
          <w:p w14:paraId="363B46B0" w14:textId="77777777" w:rsidR="00AE7191" w:rsidRPr="00722885" w:rsidRDefault="00AE7191" w:rsidP="00722885">
            <w:pPr>
              <w:pStyle w:val="Iauiue"/>
              <w:jc w:val="both"/>
              <w:rPr>
                <w:color w:val="000000" w:themeColor="text1"/>
                <w:sz w:val="16"/>
                <w:szCs w:val="16"/>
              </w:rPr>
            </w:pPr>
          </w:p>
        </w:tc>
        <w:tc>
          <w:tcPr>
            <w:tcW w:w="865" w:type="dxa"/>
          </w:tcPr>
          <w:p w14:paraId="1B138D68" w14:textId="77777777" w:rsidR="00AE7191" w:rsidRPr="00722885" w:rsidRDefault="00AE7191" w:rsidP="00722885">
            <w:pPr>
              <w:pStyle w:val="Iauiue"/>
              <w:jc w:val="both"/>
              <w:rPr>
                <w:color w:val="000000" w:themeColor="text1"/>
                <w:sz w:val="16"/>
                <w:szCs w:val="16"/>
              </w:rPr>
            </w:pPr>
          </w:p>
        </w:tc>
        <w:tc>
          <w:tcPr>
            <w:tcW w:w="692" w:type="dxa"/>
          </w:tcPr>
          <w:p w14:paraId="58247C7D" w14:textId="77777777" w:rsidR="00AE7191" w:rsidRPr="00722885" w:rsidRDefault="00AE7191" w:rsidP="00722885">
            <w:pPr>
              <w:pStyle w:val="Iauiue"/>
              <w:jc w:val="both"/>
              <w:rPr>
                <w:color w:val="000000" w:themeColor="text1"/>
                <w:sz w:val="16"/>
                <w:szCs w:val="16"/>
              </w:rPr>
            </w:pPr>
          </w:p>
        </w:tc>
        <w:tc>
          <w:tcPr>
            <w:tcW w:w="1371" w:type="dxa"/>
          </w:tcPr>
          <w:p w14:paraId="0AC899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пулем. 12,7 мм</w:t>
            </w:r>
          </w:p>
        </w:tc>
        <w:tc>
          <w:tcPr>
            <w:tcW w:w="818" w:type="dxa"/>
          </w:tcPr>
          <w:p w14:paraId="4CB9B31D" w14:textId="77777777" w:rsidR="00AE7191" w:rsidRPr="00722885" w:rsidRDefault="00AE7191" w:rsidP="00722885">
            <w:pPr>
              <w:pStyle w:val="Iauiue"/>
              <w:jc w:val="both"/>
              <w:rPr>
                <w:color w:val="000000" w:themeColor="text1"/>
                <w:sz w:val="16"/>
                <w:szCs w:val="16"/>
              </w:rPr>
            </w:pPr>
          </w:p>
        </w:tc>
        <w:tc>
          <w:tcPr>
            <w:tcW w:w="830" w:type="dxa"/>
          </w:tcPr>
          <w:p w14:paraId="0B193748" w14:textId="77777777" w:rsidR="00AE7191" w:rsidRPr="00722885" w:rsidRDefault="00AE7191" w:rsidP="00722885">
            <w:pPr>
              <w:pStyle w:val="Iauiue"/>
              <w:jc w:val="both"/>
              <w:rPr>
                <w:color w:val="000000" w:themeColor="text1"/>
                <w:sz w:val="16"/>
                <w:szCs w:val="16"/>
              </w:rPr>
            </w:pPr>
          </w:p>
        </w:tc>
        <w:tc>
          <w:tcPr>
            <w:tcW w:w="829" w:type="dxa"/>
          </w:tcPr>
          <w:p w14:paraId="616A6D2B" w14:textId="77777777" w:rsidR="00AE7191" w:rsidRPr="00722885" w:rsidRDefault="00AE7191" w:rsidP="00722885">
            <w:pPr>
              <w:pStyle w:val="Iauiue"/>
              <w:jc w:val="both"/>
              <w:rPr>
                <w:color w:val="000000" w:themeColor="text1"/>
                <w:sz w:val="16"/>
                <w:szCs w:val="16"/>
              </w:rPr>
            </w:pPr>
          </w:p>
        </w:tc>
        <w:tc>
          <w:tcPr>
            <w:tcW w:w="968" w:type="dxa"/>
          </w:tcPr>
          <w:p w14:paraId="4AEAE44F" w14:textId="77777777" w:rsidR="00AE7191" w:rsidRPr="00722885" w:rsidRDefault="00AE7191" w:rsidP="00722885">
            <w:pPr>
              <w:pStyle w:val="Iauiue"/>
              <w:jc w:val="both"/>
              <w:rPr>
                <w:color w:val="000000" w:themeColor="text1"/>
                <w:sz w:val="16"/>
                <w:szCs w:val="16"/>
              </w:rPr>
            </w:pPr>
          </w:p>
        </w:tc>
        <w:tc>
          <w:tcPr>
            <w:tcW w:w="837" w:type="dxa"/>
          </w:tcPr>
          <w:p w14:paraId="304594CD" w14:textId="77777777" w:rsidR="00AE7191" w:rsidRPr="00722885" w:rsidRDefault="00AE7191" w:rsidP="00722885">
            <w:pPr>
              <w:pStyle w:val="Iauiue"/>
              <w:jc w:val="both"/>
              <w:rPr>
                <w:color w:val="000000" w:themeColor="text1"/>
                <w:sz w:val="16"/>
                <w:szCs w:val="16"/>
              </w:rPr>
            </w:pPr>
          </w:p>
        </w:tc>
      </w:tr>
      <w:tr w:rsidR="009B487A" w:rsidRPr="00722885" w14:paraId="36AB0429" w14:textId="77777777" w:rsidTr="00CC5360">
        <w:tc>
          <w:tcPr>
            <w:tcW w:w="1809" w:type="dxa"/>
          </w:tcPr>
          <w:p w14:paraId="1DE94180" w14:textId="77777777" w:rsidR="00AE7191" w:rsidRPr="00722885" w:rsidRDefault="00AE7191" w:rsidP="00722885">
            <w:pPr>
              <w:pStyle w:val="Iauiue"/>
              <w:jc w:val="both"/>
              <w:rPr>
                <w:color w:val="000000" w:themeColor="text1"/>
                <w:sz w:val="16"/>
                <w:szCs w:val="16"/>
              </w:rPr>
            </w:pPr>
          </w:p>
        </w:tc>
        <w:tc>
          <w:tcPr>
            <w:tcW w:w="723" w:type="dxa"/>
          </w:tcPr>
          <w:p w14:paraId="18829E73" w14:textId="77777777" w:rsidR="00AE7191" w:rsidRPr="00722885" w:rsidRDefault="00AE7191" w:rsidP="00722885">
            <w:pPr>
              <w:pStyle w:val="Iauiue"/>
              <w:jc w:val="both"/>
              <w:rPr>
                <w:color w:val="000000" w:themeColor="text1"/>
                <w:sz w:val="16"/>
                <w:szCs w:val="16"/>
              </w:rPr>
            </w:pPr>
          </w:p>
        </w:tc>
        <w:tc>
          <w:tcPr>
            <w:tcW w:w="862" w:type="dxa"/>
          </w:tcPr>
          <w:p w14:paraId="6605582C" w14:textId="77777777" w:rsidR="00AE7191" w:rsidRPr="00722885" w:rsidRDefault="00AE7191" w:rsidP="00722885">
            <w:pPr>
              <w:pStyle w:val="Iauiue"/>
              <w:jc w:val="both"/>
              <w:rPr>
                <w:color w:val="000000" w:themeColor="text1"/>
                <w:sz w:val="16"/>
                <w:szCs w:val="16"/>
              </w:rPr>
            </w:pPr>
          </w:p>
        </w:tc>
        <w:tc>
          <w:tcPr>
            <w:tcW w:w="865" w:type="dxa"/>
          </w:tcPr>
          <w:p w14:paraId="76148B3D" w14:textId="77777777" w:rsidR="00AE7191" w:rsidRPr="00722885" w:rsidRDefault="00AE7191" w:rsidP="00722885">
            <w:pPr>
              <w:pStyle w:val="Iauiue"/>
              <w:jc w:val="both"/>
              <w:rPr>
                <w:color w:val="000000" w:themeColor="text1"/>
                <w:sz w:val="16"/>
                <w:szCs w:val="16"/>
              </w:rPr>
            </w:pPr>
          </w:p>
        </w:tc>
        <w:tc>
          <w:tcPr>
            <w:tcW w:w="692" w:type="dxa"/>
          </w:tcPr>
          <w:p w14:paraId="0D2E9BA6" w14:textId="77777777" w:rsidR="00AE7191" w:rsidRPr="00722885" w:rsidRDefault="00AE7191" w:rsidP="00722885">
            <w:pPr>
              <w:pStyle w:val="Iauiue"/>
              <w:jc w:val="both"/>
              <w:rPr>
                <w:color w:val="000000" w:themeColor="text1"/>
                <w:sz w:val="16"/>
                <w:szCs w:val="16"/>
              </w:rPr>
            </w:pPr>
          </w:p>
        </w:tc>
        <w:tc>
          <w:tcPr>
            <w:tcW w:w="1371" w:type="dxa"/>
          </w:tcPr>
          <w:p w14:paraId="5015E5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боезапасом</w:t>
            </w:r>
          </w:p>
        </w:tc>
        <w:tc>
          <w:tcPr>
            <w:tcW w:w="818" w:type="dxa"/>
          </w:tcPr>
          <w:p w14:paraId="731CDF27" w14:textId="77777777" w:rsidR="00AE7191" w:rsidRPr="00722885" w:rsidRDefault="00AE7191" w:rsidP="00722885">
            <w:pPr>
              <w:pStyle w:val="Iauiue"/>
              <w:jc w:val="both"/>
              <w:rPr>
                <w:color w:val="000000" w:themeColor="text1"/>
                <w:sz w:val="16"/>
                <w:szCs w:val="16"/>
              </w:rPr>
            </w:pPr>
          </w:p>
        </w:tc>
        <w:tc>
          <w:tcPr>
            <w:tcW w:w="830" w:type="dxa"/>
          </w:tcPr>
          <w:p w14:paraId="35A9CF88" w14:textId="77777777" w:rsidR="00AE7191" w:rsidRPr="00722885" w:rsidRDefault="00AE7191" w:rsidP="00722885">
            <w:pPr>
              <w:pStyle w:val="Iauiue"/>
              <w:jc w:val="both"/>
              <w:rPr>
                <w:color w:val="000000" w:themeColor="text1"/>
                <w:sz w:val="16"/>
                <w:szCs w:val="16"/>
              </w:rPr>
            </w:pPr>
          </w:p>
        </w:tc>
        <w:tc>
          <w:tcPr>
            <w:tcW w:w="829" w:type="dxa"/>
          </w:tcPr>
          <w:p w14:paraId="4E8B71B1" w14:textId="77777777" w:rsidR="00AE7191" w:rsidRPr="00722885" w:rsidRDefault="00AE7191" w:rsidP="00722885">
            <w:pPr>
              <w:pStyle w:val="Iauiue"/>
              <w:jc w:val="both"/>
              <w:rPr>
                <w:color w:val="000000" w:themeColor="text1"/>
                <w:sz w:val="16"/>
                <w:szCs w:val="16"/>
              </w:rPr>
            </w:pPr>
          </w:p>
        </w:tc>
        <w:tc>
          <w:tcPr>
            <w:tcW w:w="968" w:type="dxa"/>
          </w:tcPr>
          <w:p w14:paraId="5695729C" w14:textId="77777777" w:rsidR="00AE7191" w:rsidRPr="00722885" w:rsidRDefault="00AE7191" w:rsidP="00722885">
            <w:pPr>
              <w:pStyle w:val="Iauiue"/>
              <w:jc w:val="both"/>
              <w:rPr>
                <w:color w:val="000000" w:themeColor="text1"/>
                <w:sz w:val="16"/>
                <w:szCs w:val="16"/>
              </w:rPr>
            </w:pPr>
          </w:p>
        </w:tc>
        <w:tc>
          <w:tcPr>
            <w:tcW w:w="837" w:type="dxa"/>
          </w:tcPr>
          <w:p w14:paraId="3E5AA64F" w14:textId="77777777" w:rsidR="00AE7191" w:rsidRPr="00722885" w:rsidRDefault="00AE7191" w:rsidP="00722885">
            <w:pPr>
              <w:pStyle w:val="Iauiue"/>
              <w:jc w:val="both"/>
              <w:rPr>
                <w:color w:val="000000" w:themeColor="text1"/>
                <w:sz w:val="16"/>
                <w:szCs w:val="16"/>
              </w:rPr>
            </w:pPr>
          </w:p>
        </w:tc>
      </w:tr>
      <w:tr w:rsidR="009B487A" w:rsidRPr="00722885" w14:paraId="727318DF" w14:textId="77777777" w:rsidTr="00CC5360">
        <w:tc>
          <w:tcPr>
            <w:tcW w:w="1809" w:type="dxa"/>
          </w:tcPr>
          <w:p w14:paraId="59CB5C1B" w14:textId="77777777" w:rsidR="00AE7191" w:rsidRPr="00722885" w:rsidRDefault="00AE7191" w:rsidP="00722885">
            <w:pPr>
              <w:pStyle w:val="Iauiue"/>
              <w:jc w:val="both"/>
              <w:rPr>
                <w:color w:val="000000" w:themeColor="text1"/>
                <w:sz w:val="16"/>
                <w:szCs w:val="16"/>
              </w:rPr>
            </w:pPr>
          </w:p>
        </w:tc>
        <w:tc>
          <w:tcPr>
            <w:tcW w:w="723" w:type="dxa"/>
          </w:tcPr>
          <w:p w14:paraId="69994F06" w14:textId="77777777" w:rsidR="00AE7191" w:rsidRPr="00722885" w:rsidRDefault="00AE7191" w:rsidP="00722885">
            <w:pPr>
              <w:pStyle w:val="Iauiue"/>
              <w:jc w:val="both"/>
              <w:rPr>
                <w:color w:val="000000" w:themeColor="text1"/>
                <w:sz w:val="16"/>
                <w:szCs w:val="16"/>
              </w:rPr>
            </w:pPr>
          </w:p>
        </w:tc>
        <w:tc>
          <w:tcPr>
            <w:tcW w:w="862" w:type="dxa"/>
          </w:tcPr>
          <w:p w14:paraId="39798381" w14:textId="77777777" w:rsidR="00AE7191" w:rsidRPr="00722885" w:rsidRDefault="00AE7191" w:rsidP="00722885">
            <w:pPr>
              <w:pStyle w:val="Iauiue"/>
              <w:jc w:val="both"/>
              <w:rPr>
                <w:color w:val="000000" w:themeColor="text1"/>
                <w:sz w:val="16"/>
                <w:szCs w:val="16"/>
              </w:rPr>
            </w:pPr>
          </w:p>
        </w:tc>
        <w:tc>
          <w:tcPr>
            <w:tcW w:w="865" w:type="dxa"/>
          </w:tcPr>
          <w:p w14:paraId="05B6BC0A" w14:textId="77777777" w:rsidR="00AE7191" w:rsidRPr="00722885" w:rsidRDefault="00AE7191" w:rsidP="00722885">
            <w:pPr>
              <w:pStyle w:val="Iauiue"/>
              <w:jc w:val="both"/>
              <w:rPr>
                <w:color w:val="000000" w:themeColor="text1"/>
                <w:sz w:val="16"/>
                <w:szCs w:val="16"/>
              </w:rPr>
            </w:pPr>
          </w:p>
        </w:tc>
        <w:tc>
          <w:tcPr>
            <w:tcW w:w="692" w:type="dxa"/>
          </w:tcPr>
          <w:p w14:paraId="4E588CBF" w14:textId="77777777" w:rsidR="00AE7191" w:rsidRPr="00722885" w:rsidRDefault="00AE7191" w:rsidP="00722885">
            <w:pPr>
              <w:pStyle w:val="Iauiue"/>
              <w:jc w:val="both"/>
              <w:rPr>
                <w:color w:val="000000" w:themeColor="text1"/>
                <w:sz w:val="16"/>
                <w:szCs w:val="16"/>
              </w:rPr>
            </w:pPr>
          </w:p>
        </w:tc>
        <w:tc>
          <w:tcPr>
            <w:tcW w:w="1371" w:type="dxa"/>
          </w:tcPr>
          <w:p w14:paraId="361C4F4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 патрон.</w:t>
            </w:r>
          </w:p>
        </w:tc>
        <w:tc>
          <w:tcPr>
            <w:tcW w:w="818" w:type="dxa"/>
          </w:tcPr>
          <w:p w14:paraId="771B4DF5" w14:textId="77777777" w:rsidR="00AE7191" w:rsidRPr="00722885" w:rsidRDefault="00AE7191" w:rsidP="00722885">
            <w:pPr>
              <w:pStyle w:val="Iauiue"/>
              <w:jc w:val="both"/>
              <w:rPr>
                <w:color w:val="000000" w:themeColor="text1"/>
                <w:sz w:val="16"/>
                <w:szCs w:val="16"/>
              </w:rPr>
            </w:pPr>
          </w:p>
        </w:tc>
        <w:tc>
          <w:tcPr>
            <w:tcW w:w="830" w:type="dxa"/>
          </w:tcPr>
          <w:p w14:paraId="6D8A9C0C" w14:textId="77777777" w:rsidR="00AE7191" w:rsidRPr="00722885" w:rsidRDefault="00AE7191" w:rsidP="00722885">
            <w:pPr>
              <w:pStyle w:val="Iauiue"/>
              <w:jc w:val="both"/>
              <w:rPr>
                <w:color w:val="000000" w:themeColor="text1"/>
                <w:sz w:val="16"/>
                <w:szCs w:val="16"/>
              </w:rPr>
            </w:pPr>
          </w:p>
        </w:tc>
        <w:tc>
          <w:tcPr>
            <w:tcW w:w="829" w:type="dxa"/>
          </w:tcPr>
          <w:p w14:paraId="799175DC" w14:textId="77777777" w:rsidR="00AE7191" w:rsidRPr="00722885" w:rsidRDefault="00AE7191" w:rsidP="00722885">
            <w:pPr>
              <w:pStyle w:val="Iauiue"/>
              <w:jc w:val="both"/>
              <w:rPr>
                <w:color w:val="000000" w:themeColor="text1"/>
                <w:sz w:val="16"/>
                <w:szCs w:val="16"/>
              </w:rPr>
            </w:pPr>
          </w:p>
        </w:tc>
        <w:tc>
          <w:tcPr>
            <w:tcW w:w="968" w:type="dxa"/>
          </w:tcPr>
          <w:p w14:paraId="5C6382B7" w14:textId="77777777" w:rsidR="00AE7191" w:rsidRPr="00722885" w:rsidRDefault="00AE7191" w:rsidP="00722885">
            <w:pPr>
              <w:pStyle w:val="Iauiue"/>
              <w:jc w:val="both"/>
              <w:rPr>
                <w:color w:val="000000" w:themeColor="text1"/>
                <w:sz w:val="16"/>
                <w:szCs w:val="16"/>
              </w:rPr>
            </w:pPr>
          </w:p>
        </w:tc>
        <w:tc>
          <w:tcPr>
            <w:tcW w:w="837" w:type="dxa"/>
          </w:tcPr>
          <w:p w14:paraId="709A81D1" w14:textId="77777777" w:rsidR="00AE7191" w:rsidRPr="00722885" w:rsidRDefault="00AE7191" w:rsidP="00722885">
            <w:pPr>
              <w:pStyle w:val="Iauiue"/>
              <w:jc w:val="both"/>
              <w:rPr>
                <w:color w:val="000000" w:themeColor="text1"/>
                <w:sz w:val="16"/>
                <w:szCs w:val="16"/>
              </w:rPr>
            </w:pPr>
          </w:p>
        </w:tc>
      </w:tr>
      <w:tr w:rsidR="009B487A" w:rsidRPr="00722885" w14:paraId="65B32BD9" w14:textId="77777777" w:rsidTr="00CC5360">
        <w:tc>
          <w:tcPr>
            <w:tcW w:w="1809" w:type="dxa"/>
          </w:tcPr>
          <w:p w14:paraId="448E1D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Двухмоторный</w:t>
            </w:r>
          </w:p>
        </w:tc>
        <w:tc>
          <w:tcPr>
            <w:tcW w:w="723" w:type="dxa"/>
          </w:tcPr>
          <w:p w14:paraId="1B03D1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w:t>
            </w:r>
          </w:p>
        </w:tc>
        <w:tc>
          <w:tcPr>
            <w:tcW w:w="862" w:type="dxa"/>
          </w:tcPr>
          <w:p w14:paraId="7C7896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510/7000</w:t>
            </w:r>
          </w:p>
        </w:tc>
        <w:tc>
          <w:tcPr>
            <w:tcW w:w="865" w:type="dxa"/>
          </w:tcPr>
          <w:p w14:paraId="39393D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3000/4000</w:t>
            </w:r>
          </w:p>
        </w:tc>
        <w:tc>
          <w:tcPr>
            <w:tcW w:w="692" w:type="dxa"/>
          </w:tcPr>
          <w:p w14:paraId="63F332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9500</w:t>
            </w:r>
          </w:p>
        </w:tc>
        <w:tc>
          <w:tcPr>
            <w:tcW w:w="1371" w:type="dxa"/>
          </w:tcPr>
          <w:p w14:paraId="03DFC1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Вперед:</w:t>
            </w:r>
          </w:p>
        </w:tc>
        <w:tc>
          <w:tcPr>
            <w:tcW w:w="818" w:type="dxa"/>
          </w:tcPr>
          <w:p w14:paraId="3A14C9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3000/</w:t>
            </w:r>
          </w:p>
        </w:tc>
        <w:tc>
          <w:tcPr>
            <w:tcW w:w="830" w:type="dxa"/>
          </w:tcPr>
          <w:p w14:paraId="4A7210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829" w:type="dxa"/>
          </w:tcPr>
          <w:p w14:paraId="14ED06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968" w:type="dxa"/>
          </w:tcPr>
          <w:p w14:paraId="641E713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1.III.43</w:t>
            </w:r>
          </w:p>
        </w:tc>
        <w:tc>
          <w:tcPr>
            <w:tcW w:w="837" w:type="dxa"/>
          </w:tcPr>
          <w:p w14:paraId="7EE9AD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10000</w:t>
            </w:r>
          </w:p>
        </w:tc>
      </w:tr>
      <w:tr w:rsidR="009B487A" w:rsidRPr="00722885" w14:paraId="08583875" w14:textId="77777777" w:rsidTr="00CC5360">
        <w:tc>
          <w:tcPr>
            <w:tcW w:w="1809" w:type="dxa"/>
          </w:tcPr>
          <w:p w14:paraId="25A5FD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дальний бомбард.</w:t>
            </w:r>
          </w:p>
        </w:tc>
        <w:tc>
          <w:tcPr>
            <w:tcW w:w="723" w:type="dxa"/>
          </w:tcPr>
          <w:p w14:paraId="6C0D00A3" w14:textId="77777777" w:rsidR="00AE7191" w:rsidRPr="00722885" w:rsidRDefault="00AE7191" w:rsidP="00722885">
            <w:pPr>
              <w:pStyle w:val="Iauiue"/>
              <w:jc w:val="both"/>
              <w:rPr>
                <w:color w:val="000000" w:themeColor="text1"/>
                <w:sz w:val="16"/>
                <w:szCs w:val="16"/>
              </w:rPr>
            </w:pPr>
          </w:p>
        </w:tc>
        <w:tc>
          <w:tcPr>
            <w:tcW w:w="862" w:type="dxa"/>
          </w:tcPr>
          <w:p w14:paraId="49DE5C7C" w14:textId="77777777" w:rsidR="00AE7191" w:rsidRPr="00722885" w:rsidRDefault="00AE7191" w:rsidP="00722885">
            <w:pPr>
              <w:pStyle w:val="Iauiue"/>
              <w:jc w:val="both"/>
              <w:rPr>
                <w:color w:val="000000" w:themeColor="text1"/>
                <w:sz w:val="16"/>
                <w:szCs w:val="16"/>
              </w:rPr>
            </w:pPr>
          </w:p>
        </w:tc>
        <w:tc>
          <w:tcPr>
            <w:tcW w:w="865" w:type="dxa"/>
          </w:tcPr>
          <w:p w14:paraId="728ED0D8" w14:textId="77777777" w:rsidR="00AE7191" w:rsidRPr="00722885" w:rsidRDefault="00AE7191" w:rsidP="00722885">
            <w:pPr>
              <w:pStyle w:val="Iauiue"/>
              <w:jc w:val="both"/>
              <w:rPr>
                <w:color w:val="000000" w:themeColor="text1"/>
                <w:sz w:val="16"/>
                <w:szCs w:val="16"/>
              </w:rPr>
            </w:pPr>
          </w:p>
        </w:tc>
        <w:tc>
          <w:tcPr>
            <w:tcW w:w="692" w:type="dxa"/>
          </w:tcPr>
          <w:p w14:paraId="6BEED977" w14:textId="77777777" w:rsidR="00AE7191" w:rsidRPr="00722885" w:rsidRDefault="00AE7191" w:rsidP="00722885">
            <w:pPr>
              <w:pStyle w:val="Iauiue"/>
              <w:jc w:val="both"/>
              <w:rPr>
                <w:color w:val="000000" w:themeColor="text1"/>
                <w:sz w:val="16"/>
                <w:szCs w:val="16"/>
              </w:rPr>
            </w:pPr>
          </w:p>
        </w:tc>
        <w:tc>
          <w:tcPr>
            <w:tcW w:w="1371" w:type="dxa"/>
          </w:tcPr>
          <w:p w14:paraId="451992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пулем. 12,7 мм</w:t>
            </w:r>
          </w:p>
        </w:tc>
        <w:tc>
          <w:tcPr>
            <w:tcW w:w="818" w:type="dxa"/>
          </w:tcPr>
          <w:p w14:paraId="011FDE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2000</w:t>
            </w:r>
          </w:p>
        </w:tc>
        <w:tc>
          <w:tcPr>
            <w:tcW w:w="830" w:type="dxa"/>
          </w:tcPr>
          <w:p w14:paraId="3EB87B73" w14:textId="77777777" w:rsidR="00AE7191" w:rsidRPr="00722885" w:rsidRDefault="00AE7191" w:rsidP="00722885">
            <w:pPr>
              <w:pStyle w:val="Iauiue"/>
              <w:jc w:val="both"/>
              <w:rPr>
                <w:color w:val="000000" w:themeColor="text1"/>
                <w:sz w:val="16"/>
                <w:szCs w:val="16"/>
              </w:rPr>
            </w:pPr>
          </w:p>
        </w:tc>
        <w:tc>
          <w:tcPr>
            <w:tcW w:w="829" w:type="dxa"/>
          </w:tcPr>
          <w:p w14:paraId="4664B196" w14:textId="77777777" w:rsidR="00AE7191" w:rsidRPr="00722885" w:rsidRDefault="00AE7191" w:rsidP="00722885">
            <w:pPr>
              <w:pStyle w:val="Iauiue"/>
              <w:jc w:val="both"/>
              <w:rPr>
                <w:color w:val="000000" w:themeColor="text1"/>
                <w:sz w:val="16"/>
                <w:szCs w:val="16"/>
              </w:rPr>
            </w:pPr>
          </w:p>
        </w:tc>
        <w:tc>
          <w:tcPr>
            <w:tcW w:w="968" w:type="dxa"/>
          </w:tcPr>
          <w:p w14:paraId="1FFD9F63" w14:textId="77777777" w:rsidR="00AE7191" w:rsidRPr="00722885" w:rsidRDefault="00AE7191" w:rsidP="00722885">
            <w:pPr>
              <w:pStyle w:val="Iauiue"/>
              <w:jc w:val="both"/>
              <w:rPr>
                <w:color w:val="000000" w:themeColor="text1"/>
                <w:sz w:val="16"/>
                <w:szCs w:val="16"/>
              </w:rPr>
            </w:pPr>
          </w:p>
        </w:tc>
        <w:tc>
          <w:tcPr>
            <w:tcW w:w="837" w:type="dxa"/>
          </w:tcPr>
          <w:p w14:paraId="5FD84EE9" w14:textId="77777777" w:rsidR="00AE7191" w:rsidRPr="00722885" w:rsidRDefault="00AE7191" w:rsidP="00722885">
            <w:pPr>
              <w:pStyle w:val="Iauiue"/>
              <w:jc w:val="both"/>
              <w:rPr>
                <w:color w:val="000000" w:themeColor="text1"/>
                <w:sz w:val="16"/>
                <w:szCs w:val="16"/>
              </w:rPr>
            </w:pPr>
          </w:p>
        </w:tc>
      </w:tr>
      <w:tr w:rsidR="009B487A" w:rsidRPr="00722885" w14:paraId="4A5731B2" w14:textId="77777777" w:rsidTr="00CC5360">
        <w:tc>
          <w:tcPr>
            <w:tcW w:w="1809" w:type="dxa"/>
          </w:tcPr>
          <w:p w14:paraId="3B7AA4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смешанной констр.</w:t>
            </w:r>
          </w:p>
        </w:tc>
        <w:tc>
          <w:tcPr>
            <w:tcW w:w="723" w:type="dxa"/>
          </w:tcPr>
          <w:p w14:paraId="6B18587F" w14:textId="77777777" w:rsidR="00AE7191" w:rsidRPr="00722885" w:rsidRDefault="00AE7191" w:rsidP="00722885">
            <w:pPr>
              <w:pStyle w:val="Iauiue"/>
              <w:jc w:val="both"/>
              <w:rPr>
                <w:color w:val="000000" w:themeColor="text1"/>
                <w:sz w:val="16"/>
                <w:szCs w:val="16"/>
              </w:rPr>
            </w:pPr>
          </w:p>
        </w:tc>
        <w:tc>
          <w:tcPr>
            <w:tcW w:w="862" w:type="dxa"/>
          </w:tcPr>
          <w:p w14:paraId="2007F121" w14:textId="77777777" w:rsidR="00AE7191" w:rsidRPr="00722885" w:rsidRDefault="00AE7191" w:rsidP="00722885">
            <w:pPr>
              <w:pStyle w:val="Iauiue"/>
              <w:jc w:val="both"/>
              <w:rPr>
                <w:color w:val="000000" w:themeColor="text1"/>
                <w:sz w:val="16"/>
                <w:szCs w:val="16"/>
              </w:rPr>
            </w:pPr>
          </w:p>
        </w:tc>
        <w:tc>
          <w:tcPr>
            <w:tcW w:w="865" w:type="dxa"/>
          </w:tcPr>
          <w:p w14:paraId="6BBA5587" w14:textId="77777777" w:rsidR="00AE7191" w:rsidRPr="00722885" w:rsidRDefault="00AE7191" w:rsidP="00722885">
            <w:pPr>
              <w:pStyle w:val="Iauiue"/>
              <w:jc w:val="both"/>
              <w:rPr>
                <w:color w:val="000000" w:themeColor="text1"/>
                <w:sz w:val="16"/>
                <w:szCs w:val="16"/>
              </w:rPr>
            </w:pPr>
          </w:p>
        </w:tc>
        <w:tc>
          <w:tcPr>
            <w:tcW w:w="692" w:type="dxa"/>
          </w:tcPr>
          <w:p w14:paraId="66701460" w14:textId="77777777" w:rsidR="00AE7191" w:rsidRPr="00722885" w:rsidRDefault="00AE7191" w:rsidP="00722885">
            <w:pPr>
              <w:pStyle w:val="Iauiue"/>
              <w:jc w:val="both"/>
              <w:rPr>
                <w:color w:val="000000" w:themeColor="text1"/>
                <w:sz w:val="16"/>
                <w:szCs w:val="16"/>
              </w:rPr>
            </w:pPr>
          </w:p>
        </w:tc>
        <w:tc>
          <w:tcPr>
            <w:tcW w:w="1371" w:type="dxa"/>
          </w:tcPr>
          <w:p w14:paraId="74CA9C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боезапасом</w:t>
            </w:r>
          </w:p>
        </w:tc>
        <w:tc>
          <w:tcPr>
            <w:tcW w:w="818" w:type="dxa"/>
          </w:tcPr>
          <w:p w14:paraId="1BDA8E90" w14:textId="77777777" w:rsidR="00AE7191" w:rsidRPr="00722885" w:rsidRDefault="00AE7191" w:rsidP="00722885">
            <w:pPr>
              <w:pStyle w:val="Iauiue"/>
              <w:jc w:val="both"/>
              <w:rPr>
                <w:color w:val="000000" w:themeColor="text1"/>
                <w:sz w:val="16"/>
                <w:szCs w:val="16"/>
              </w:rPr>
            </w:pPr>
          </w:p>
        </w:tc>
        <w:tc>
          <w:tcPr>
            <w:tcW w:w="830" w:type="dxa"/>
          </w:tcPr>
          <w:p w14:paraId="2A9BEF79" w14:textId="77777777" w:rsidR="00AE7191" w:rsidRPr="00722885" w:rsidRDefault="00AE7191" w:rsidP="00722885">
            <w:pPr>
              <w:pStyle w:val="Iauiue"/>
              <w:jc w:val="both"/>
              <w:rPr>
                <w:color w:val="000000" w:themeColor="text1"/>
                <w:sz w:val="16"/>
                <w:szCs w:val="16"/>
              </w:rPr>
            </w:pPr>
          </w:p>
        </w:tc>
        <w:tc>
          <w:tcPr>
            <w:tcW w:w="829" w:type="dxa"/>
          </w:tcPr>
          <w:p w14:paraId="3B3EC189" w14:textId="77777777" w:rsidR="00AE7191" w:rsidRPr="00722885" w:rsidRDefault="00AE7191" w:rsidP="00722885">
            <w:pPr>
              <w:pStyle w:val="Iauiue"/>
              <w:jc w:val="both"/>
              <w:rPr>
                <w:color w:val="000000" w:themeColor="text1"/>
                <w:sz w:val="16"/>
                <w:szCs w:val="16"/>
              </w:rPr>
            </w:pPr>
          </w:p>
        </w:tc>
        <w:tc>
          <w:tcPr>
            <w:tcW w:w="968" w:type="dxa"/>
          </w:tcPr>
          <w:p w14:paraId="719370AB" w14:textId="77777777" w:rsidR="00AE7191" w:rsidRPr="00722885" w:rsidRDefault="00AE7191" w:rsidP="00722885">
            <w:pPr>
              <w:pStyle w:val="Iauiue"/>
              <w:jc w:val="both"/>
              <w:rPr>
                <w:color w:val="000000" w:themeColor="text1"/>
                <w:sz w:val="16"/>
                <w:szCs w:val="16"/>
              </w:rPr>
            </w:pPr>
          </w:p>
        </w:tc>
        <w:tc>
          <w:tcPr>
            <w:tcW w:w="837" w:type="dxa"/>
          </w:tcPr>
          <w:p w14:paraId="40565066" w14:textId="77777777" w:rsidR="00AE7191" w:rsidRPr="00722885" w:rsidRDefault="00AE7191" w:rsidP="00722885">
            <w:pPr>
              <w:pStyle w:val="Iauiue"/>
              <w:jc w:val="both"/>
              <w:rPr>
                <w:color w:val="000000" w:themeColor="text1"/>
                <w:sz w:val="16"/>
                <w:szCs w:val="16"/>
              </w:rPr>
            </w:pPr>
          </w:p>
        </w:tc>
      </w:tr>
      <w:tr w:rsidR="009B487A" w:rsidRPr="00722885" w14:paraId="75900A8C" w14:textId="77777777" w:rsidTr="00CC5360">
        <w:tc>
          <w:tcPr>
            <w:tcW w:w="1809" w:type="dxa"/>
          </w:tcPr>
          <w:p w14:paraId="0E1A4E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мот. АМ-39</w:t>
            </w:r>
          </w:p>
        </w:tc>
        <w:tc>
          <w:tcPr>
            <w:tcW w:w="723" w:type="dxa"/>
          </w:tcPr>
          <w:p w14:paraId="2252F56D" w14:textId="77777777" w:rsidR="00AE7191" w:rsidRPr="00722885" w:rsidRDefault="00AE7191" w:rsidP="00722885">
            <w:pPr>
              <w:pStyle w:val="Iauiue"/>
              <w:jc w:val="both"/>
              <w:rPr>
                <w:color w:val="000000" w:themeColor="text1"/>
                <w:sz w:val="16"/>
                <w:szCs w:val="16"/>
              </w:rPr>
            </w:pPr>
          </w:p>
        </w:tc>
        <w:tc>
          <w:tcPr>
            <w:tcW w:w="862" w:type="dxa"/>
          </w:tcPr>
          <w:p w14:paraId="639E1ED4" w14:textId="77777777" w:rsidR="00AE7191" w:rsidRPr="00722885" w:rsidRDefault="00AE7191" w:rsidP="00722885">
            <w:pPr>
              <w:pStyle w:val="Iauiue"/>
              <w:jc w:val="both"/>
              <w:rPr>
                <w:color w:val="000000" w:themeColor="text1"/>
                <w:sz w:val="16"/>
                <w:szCs w:val="16"/>
              </w:rPr>
            </w:pPr>
          </w:p>
        </w:tc>
        <w:tc>
          <w:tcPr>
            <w:tcW w:w="865" w:type="dxa"/>
          </w:tcPr>
          <w:p w14:paraId="441188C0" w14:textId="77777777" w:rsidR="00AE7191" w:rsidRPr="00722885" w:rsidRDefault="00AE7191" w:rsidP="00722885">
            <w:pPr>
              <w:pStyle w:val="Iauiue"/>
              <w:jc w:val="both"/>
              <w:rPr>
                <w:color w:val="000000" w:themeColor="text1"/>
                <w:sz w:val="16"/>
                <w:szCs w:val="16"/>
              </w:rPr>
            </w:pPr>
          </w:p>
        </w:tc>
        <w:tc>
          <w:tcPr>
            <w:tcW w:w="692" w:type="dxa"/>
          </w:tcPr>
          <w:p w14:paraId="6FB81081" w14:textId="77777777" w:rsidR="00AE7191" w:rsidRPr="00722885" w:rsidRDefault="00AE7191" w:rsidP="00722885">
            <w:pPr>
              <w:pStyle w:val="Iauiue"/>
              <w:jc w:val="both"/>
              <w:rPr>
                <w:color w:val="000000" w:themeColor="text1"/>
                <w:sz w:val="16"/>
                <w:szCs w:val="16"/>
              </w:rPr>
            </w:pPr>
          </w:p>
        </w:tc>
        <w:tc>
          <w:tcPr>
            <w:tcW w:w="1371" w:type="dxa"/>
          </w:tcPr>
          <w:p w14:paraId="035E0E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225 патрон.</w:t>
            </w:r>
          </w:p>
        </w:tc>
        <w:tc>
          <w:tcPr>
            <w:tcW w:w="818" w:type="dxa"/>
          </w:tcPr>
          <w:p w14:paraId="4A51367F" w14:textId="77777777" w:rsidR="00AE7191" w:rsidRPr="00722885" w:rsidRDefault="00AE7191" w:rsidP="00722885">
            <w:pPr>
              <w:pStyle w:val="Iauiue"/>
              <w:jc w:val="both"/>
              <w:rPr>
                <w:color w:val="000000" w:themeColor="text1"/>
                <w:sz w:val="16"/>
                <w:szCs w:val="16"/>
              </w:rPr>
            </w:pPr>
          </w:p>
        </w:tc>
        <w:tc>
          <w:tcPr>
            <w:tcW w:w="830" w:type="dxa"/>
          </w:tcPr>
          <w:p w14:paraId="28A4818D" w14:textId="77777777" w:rsidR="00AE7191" w:rsidRPr="00722885" w:rsidRDefault="00AE7191" w:rsidP="00722885">
            <w:pPr>
              <w:pStyle w:val="Iauiue"/>
              <w:jc w:val="both"/>
              <w:rPr>
                <w:color w:val="000000" w:themeColor="text1"/>
                <w:sz w:val="16"/>
                <w:szCs w:val="16"/>
              </w:rPr>
            </w:pPr>
          </w:p>
        </w:tc>
        <w:tc>
          <w:tcPr>
            <w:tcW w:w="829" w:type="dxa"/>
          </w:tcPr>
          <w:p w14:paraId="4A0AC8C7" w14:textId="77777777" w:rsidR="00AE7191" w:rsidRPr="00722885" w:rsidRDefault="00AE7191" w:rsidP="00722885">
            <w:pPr>
              <w:pStyle w:val="Iauiue"/>
              <w:jc w:val="both"/>
              <w:rPr>
                <w:color w:val="000000" w:themeColor="text1"/>
                <w:sz w:val="16"/>
                <w:szCs w:val="16"/>
              </w:rPr>
            </w:pPr>
          </w:p>
        </w:tc>
        <w:tc>
          <w:tcPr>
            <w:tcW w:w="968" w:type="dxa"/>
          </w:tcPr>
          <w:p w14:paraId="1AC549DF" w14:textId="77777777" w:rsidR="00AE7191" w:rsidRPr="00722885" w:rsidRDefault="00AE7191" w:rsidP="00722885">
            <w:pPr>
              <w:pStyle w:val="Iauiue"/>
              <w:jc w:val="both"/>
              <w:rPr>
                <w:color w:val="000000" w:themeColor="text1"/>
                <w:sz w:val="16"/>
                <w:szCs w:val="16"/>
              </w:rPr>
            </w:pPr>
          </w:p>
        </w:tc>
        <w:tc>
          <w:tcPr>
            <w:tcW w:w="837" w:type="dxa"/>
          </w:tcPr>
          <w:p w14:paraId="1DAF9FBE" w14:textId="77777777" w:rsidR="00AE7191" w:rsidRPr="00722885" w:rsidRDefault="00AE7191" w:rsidP="00722885">
            <w:pPr>
              <w:pStyle w:val="Iauiue"/>
              <w:jc w:val="both"/>
              <w:rPr>
                <w:color w:val="000000" w:themeColor="text1"/>
                <w:sz w:val="16"/>
                <w:szCs w:val="16"/>
              </w:rPr>
            </w:pPr>
          </w:p>
        </w:tc>
      </w:tr>
      <w:tr w:rsidR="009B487A" w:rsidRPr="00722885" w14:paraId="4CAEDF9B" w14:textId="77777777" w:rsidTr="00CC5360">
        <w:tc>
          <w:tcPr>
            <w:tcW w:w="1809" w:type="dxa"/>
          </w:tcPr>
          <w:p w14:paraId="31F184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Констр. Ермолаева</w:t>
            </w:r>
          </w:p>
        </w:tc>
        <w:tc>
          <w:tcPr>
            <w:tcW w:w="723" w:type="dxa"/>
          </w:tcPr>
          <w:p w14:paraId="19746AFB" w14:textId="77777777" w:rsidR="00AE7191" w:rsidRPr="00722885" w:rsidRDefault="00AE7191" w:rsidP="00722885">
            <w:pPr>
              <w:pStyle w:val="Iauiue"/>
              <w:jc w:val="both"/>
              <w:rPr>
                <w:color w:val="000000" w:themeColor="text1"/>
                <w:sz w:val="16"/>
                <w:szCs w:val="16"/>
              </w:rPr>
            </w:pPr>
          </w:p>
        </w:tc>
        <w:tc>
          <w:tcPr>
            <w:tcW w:w="862" w:type="dxa"/>
          </w:tcPr>
          <w:p w14:paraId="2238E22C" w14:textId="77777777" w:rsidR="00AE7191" w:rsidRPr="00722885" w:rsidRDefault="00AE7191" w:rsidP="00722885">
            <w:pPr>
              <w:pStyle w:val="Iauiue"/>
              <w:jc w:val="both"/>
              <w:rPr>
                <w:color w:val="000000" w:themeColor="text1"/>
                <w:sz w:val="16"/>
                <w:szCs w:val="16"/>
              </w:rPr>
            </w:pPr>
          </w:p>
        </w:tc>
        <w:tc>
          <w:tcPr>
            <w:tcW w:w="865" w:type="dxa"/>
          </w:tcPr>
          <w:p w14:paraId="7B49744B" w14:textId="77777777" w:rsidR="00AE7191" w:rsidRPr="00722885" w:rsidRDefault="00AE7191" w:rsidP="00722885">
            <w:pPr>
              <w:pStyle w:val="Iauiue"/>
              <w:jc w:val="both"/>
              <w:rPr>
                <w:color w:val="000000" w:themeColor="text1"/>
                <w:sz w:val="16"/>
                <w:szCs w:val="16"/>
              </w:rPr>
            </w:pPr>
          </w:p>
        </w:tc>
        <w:tc>
          <w:tcPr>
            <w:tcW w:w="692" w:type="dxa"/>
          </w:tcPr>
          <w:p w14:paraId="4BFF57EF" w14:textId="77777777" w:rsidR="00AE7191" w:rsidRPr="00722885" w:rsidRDefault="00AE7191" w:rsidP="00722885">
            <w:pPr>
              <w:pStyle w:val="Iauiue"/>
              <w:jc w:val="both"/>
              <w:rPr>
                <w:color w:val="000000" w:themeColor="text1"/>
                <w:sz w:val="16"/>
                <w:szCs w:val="16"/>
              </w:rPr>
            </w:pPr>
          </w:p>
        </w:tc>
        <w:tc>
          <w:tcPr>
            <w:tcW w:w="1371" w:type="dxa"/>
          </w:tcPr>
          <w:p w14:paraId="1DDD3A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Назад-вверх:</w:t>
            </w:r>
          </w:p>
        </w:tc>
        <w:tc>
          <w:tcPr>
            <w:tcW w:w="818" w:type="dxa"/>
          </w:tcPr>
          <w:p w14:paraId="4B286F0D" w14:textId="77777777" w:rsidR="00AE7191" w:rsidRPr="00722885" w:rsidRDefault="00AE7191" w:rsidP="00722885">
            <w:pPr>
              <w:pStyle w:val="Iauiue"/>
              <w:jc w:val="both"/>
              <w:rPr>
                <w:color w:val="000000" w:themeColor="text1"/>
                <w:sz w:val="16"/>
                <w:szCs w:val="16"/>
              </w:rPr>
            </w:pPr>
          </w:p>
        </w:tc>
        <w:tc>
          <w:tcPr>
            <w:tcW w:w="830" w:type="dxa"/>
          </w:tcPr>
          <w:p w14:paraId="69393118" w14:textId="77777777" w:rsidR="00AE7191" w:rsidRPr="00722885" w:rsidRDefault="00AE7191" w:rsidP="00722885">
            <w:pPr>
              <w:pStyle w:val="Iauiue"/>
              <w:jc w:val="both"/>
              <w:rPr>
                <w:color w:val="000000" w:themeColor="text1"/>
                <w:sz w:val="16"/>
                <w:szCs w:val="16"/>
              </w:rPr>
            </w:pPr>
          </w:p>
        </w:tc>
        <w:tc>
          <w:tcPr>
            <w:tcW w:w="829" w:type="dxa"/>
          </w:tcPr>
          <w:p w14:paraId="521D4AB9" w14:textId="77777777" w:rsidR="00AE7191" w:rsidRPr="00722885" w:rsidRDefault="00AE7191" w:rsidP="00722885">
            <w:pPr>
              <w:pStyle w:val="Iauiue"/>
              <w:jc w:val="both"/>
              <w:rPr>
                <w:color w:val="000000" w:themeColor="text1"/>
                <w:sz w:val="16"/>
                <w:szCs w:val="16"/>
              </w:rPr>
            </w:pPr>
          </w:p>
        </w:tc>
        <w:tc>
          <w:tcPr>
            <w:tcW w:w="968" w:type="dxa"/>
          </w:tcPr>
          <w:p w14:paraId="48C86F5A" w14:textId="77777777" w:rsidR="00AE7191" w:rsidRPr="00722885" w:rsidRDefault="00AE7191" w:rsidP="00722885">
            <w:pPr>
              <w:pStyle w:val="Iauiue"/>
              <w:jc w:val="both"/>
              <w:rPr>
                <w:color w:val="000000" w:themeColor="text1"/>
                <w:sz w:val="16"/>
                <w:szCs w:val="16"/>
              </w:rPr>
            </w:pPr>
          </w:p>
        </w:tc>
        <w:tc>
          <w:tcPr>
            <w:tcW w:w="837" w:type="dxa"/>
          </w:tcPr>
          <w:p w14:paraId="4C64A8DC" w14:textId="77777777" w:rsidR="00AE7191" w:rsidRPr="00722885" w:rsidRDefault="00AE7191" w:rsidP="00722885">
            <w:pPr>
              <w:pStyle w:val="Iauiue"/>
              <w:jc w:val="both"/>
              <w:rPr>
                <w:color w:val="000000" w:themeColor="text1"/>
                <w:sz w:val="16"/>
                <w:szCs w:val="16"/>
              </w:rPr>
            </w:pPr>
          </w:p>
        </w:tc>
      </w:tr>
      <w:tr w:rsidR="009B487A" w:rsidRPr="00722885" w14:paraId="6E68BB69" w14:textId="77777777" w:rsidTr="00CC5360">
        <w:tc>
          <w:tcPr>
            <w:tcW w:w="1809" w:type="dxa"/>
          </w:tcPr>
          <w:p w14:paraId="6BC5156C" w14:textId="77777777" w:rsidR="00AE7191" w:rsidRPr="00722885" w:rsidRDefault="00AE7191" w:rsidP="00722885">
            <w:pPr>
              <w:pStyle w:val="Iauiue"/>
              <w:jc w:val="both"/>
              <w:rPr>
                <w:color w:val="000000" w:themeColor="text1"/>
                <w:sz w:val="16"/>
                <w:szCs w:val="16"/>
              </w:rPr>
            </w:pPr>
          </w:p>
        </w:tc>
        <w:tc>
          <w:tcPr>
            <w:tcW w:w="723" w:type="dxa"/>
          </w:tcPr>
          <w:p w14:paraId="02D3C175" w14:textId="77777777" w:rsidR="00AE7191" w:rsidRPr="00722885" w:rsidRDefault="00AE7191" w:rsidP="00722885">
            <w:pPr>
              <w:pStyle w:val="Iauiue"/>
              <w:jc w:val="both"/>
              <w:rPr>
                <w:color w:val="000000" w:themeColor="text1"/>
                <w:sz w:val="16"/>
                <w:szCs w:val="16"/>
              </w:rPr>
            </w:pPr>
          </w:p>
        </w:tc>
        <w:tc>
          <w:tcPr>
            <w:tcW w:w="862" w:type="dxa"/>
          </w:tcPr>
          <w:p w14:paraId="10B1444D" w14:textId="77777777" w:rsidR="00AE7191" w:rsidRPr="00722885" w:rsidRDefault="00AE7191" w:rsidP="00722885">
            <w:pPr>
              <w:pStyle w:val="Iauiue"/>
              <w:jc w:val="both"/>
              <w:rPr>
                <w:color w:val="000000" w:themeColor="text1"/>
                <w:sz w:val="16"/>
                <w:szCs w:val="16"/>
              </w:rPr>
            </w:pPr>
          </w:p>
        </w:tc>
        <w:tc>
          <w:tcPr>
            <w:tcW w:w="865" w:type="dxa"/>
          </w:tcPr>
          <w:p w14:paraId="7B960A8C" w14:textId="77777777" w:rsidR="00AE7191" w:rsidRPr="00722885" w:rsidRDefault="00AE7191" w:rsidP="00722885">
            <w:pPr>
              <w:pStyle w:val="Iauiue"/>
              <w:jc w:val="both"/>
              <w:rPr>
                <w:color w:val="000000" w:themeColor="text1"/>
                <w:sz w:val="16"/>
                <w:szCs w:val="16"/>
              </w:rPr>
            </w:pPr>
          </w:p>
        </w:tc>
        <w:tc>
          <w:tcPr>
            <w:tcW w:w="692" w:type="dxa"/>
          </w:tcPr>
          <w:p w14:paraId="461FA621" w14:textId="77777777" w:rsidR="00AE7191" w:rsidRPr="00722885" w:rsidRDefault="00AE7191" w:rsidP="00722885">
            <w:pPr>
              <w:pStyle w:val="Iauiue"/>
              <w:jc w:val="both"/>
              <w:rPr>
                <w:color w:val="000000" w:themeColor="text1"/>
                <w:sz w:val="16"/>
                <w:szCs w:val="16"/>
              </w:rPr>
            </w:pPr>
          </w:p>
        </w:tc>
        <w:tc>
          <w:tcPr>
            <w:tcW w:w="1371" w:type="dxa"/>
          </w:tcPr>
          <w:p w14:paraId="473510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пулем. 12,7 мм</w:t>
            </w:r>
          </w:p>
        </w:tc>
        <w:tc>
          <w:tcPr>
            <w:tcW w:w="818" w:type="dxa"/>
          </w:tcPr>
          <w:p w14:paraId="59D3BB35" w14:textId="77777777" w:rsidR="00AE7191" w:rsidRPr="00722885" w:rsidRDefault="00AE7191" w:rsidP="00722885">
            <w:pPr>
              <w:pStyle w:val="Iauiue"/>
              <w:jc w:val="both"/>
              <w:rPr>
                <w:color w:val="000000" w:themeColor="text1"/>
                <w:sz w:val="16"/>
                <w:szCs w:val="16"/>
              </w:rPr>
            </w:pPr>
          </w:p>
        </w:tc>
        <w:tc>
          <w:tcPr>
            <w:tcW w:w="830" w:type="dxa"/>
          </w:tcPr>
          <w:p w14:paraId="2AC1B573" w14:textId="77777777" w:rsidR="00AE7191" w:rsidRPr="00722885" w:rsidRDefault="00AE7191" w:rsidP="00722885">
            <w:pPr>
              <w:pStyle w:val="Iauiue"/>
              <w:jc w:val="both"/>
              <w:rPr>
                <w:color w:val="000000" w:themeColor="text1"/>
                <w:sz w:val="16"/>
                <w:szCs w:val="16"/>
              </w:rPr>
            </w:pPr>
          </w:p>
        </w:tc>
        <w:tc>
          <w:tcPr>
            <w:tcW w:w="829" w:type="dxa"/>
          </w:tcPr>
          <w:p w14:paraId="645AC468" w14:textId="77777777" w:rsidR="00AE7191" w:rsidRPr="00722885" w:rsidRDefault="00AE7191" w:rsidP="00722885">
            <w:pPr>
              <w:pStyle w:val="Iauiue"/>
              <w:jc w:val="both"/>
              <w:rPr>
                <w:color w:val="000000" w:themeColor="text1"/>
                <w:sz w:val="16"/>
                <w:szCs w:val="16"/>
              </w:rPr>
            </w:pPr>
          </w:p>
        </w:tc>
        <w:tc>
          <w:tcPr>
            <w:tcW w:w="968" w:type="dxa"/>
          </w:tcPr>
          <w:p w14:paraId="092DBC80" w14:textId="77777777" w:rsidR="00AE7191" w:rsidRPr="00722885" w:rsidRDefault="00AE7191" w:rsidP="00722885">
            <w:pPr>
              <w:pStyle w:val="Iauiue"/>
              <w:jc w:val="both"/>
              <w:rPr>
                <w:color w:val="000000" w:themeColor="text1"/>
                <w:sz w:val="16"/>
                <w:szCs w:val="16"/>
              </w:rPr>
            </w:pPr>
          </w:p>
        </w:tc>
        <w:tc>
          <w:tcPr>
            <w:tcW w:w="837" w:type="dxa"/>
          </w:tcPr>
          <w:p w14:paraId="3AA5317F" w14:textId="77777777" w:rsidR="00AE7191" w:rsidRPr="00722885" w:rsidRDefault="00AE7191" w:rsidP="00722885">
            <w:pPr>
              <w:pStyle w:val="Iauiue"/>
              <w:jc w:val="both"/>
              <w:rPr>
                <w:color w:val="000000" w:themeColor="text1"/>
                <w:sz w:val="16"/>
                <w:szCs w:val="16"/>
              </w:rPr>
            </w:pPr>
          </w:p>
        </w:tc>
      </w:tr>
      <w:tr w:rsidR="009B487A" w:rsidRPr="00722885" w14:paraId="53B6B81E" w14:textId="77777777" w:rsidTr="00CC5360">
        <w:tc>
          <w:tcPr>
            <w:tcW w:w="1809" w:type="dxa"/>
          </w:tcPr>
          <w:p w14:paraId="42EAA906" w14:textId="77777777" w:rsidR="00AE7191" w:rsidRPr="00722885" w:rsidRDefault="00AE7191" w:rsidP="00722885">
            <w:pPr>
              <w:pStyle w:val="Iauiue"/>
              <w:jc w:val="both"/>
              <w:rPr>
                <w:color w:val="000000" w:themeColor="text1"/>
                <w:sz w:val="16"/>
                <w:szCs w:val="16"/>
              </w:rPr>
            </w:pPr>
          </w:p>
        </w:tc>
        <w:tc>
          <w:tcPr>
            <w:tcW w:w="723" w:type="dxa"/>
          </w:tcPr>
          <w:p w14:paraId="3F632B03" w14:textId="77777777" w:rsidR="00AE7191" w:rsidRPr="00722885" w:rsidRDefault="00AE7191" w:rsidP="00722885">
            <w:pPr>
              <w:pStyle w:val="Iauiue"/>
              <w:jc w:val="both"/>
              <w:rPr>
                <w:color w:val="000000" w:themeColor="text1"/>
                <w:sz w:val="16"/>
                <w:szCs w:val="16"/>
              </w:rPr>
            </w:pPr>
          </w:p>
        </w:tc>
        <w:tc>
          <w:tcPr>
            <w:tcW w:w="862" w:type="dxa"/>
          </w:tcPr>
          <w:p w14:paraId="5A75F824" w14:textId="77777777" w:rsidR="00AE7191" w:rsidRPr="00722885" w:rsidRDefault="00AE7191" w:rsidP="00722885">
            <w:pPr>
              <w:pStyle w:val="Iauiue"/>
              <w:jc w:val="both"/>
              <w:rPr>
                <w:color w:val="000000" w:themeColor="text1"/>
                <w:sz w:val="16"/>
                <w:szCs w:val="16"/>
              </w:rPr>
            </w:pPr>
          </w:p>
        </w:tc>
        <w:tc>
          <w:tcPr>
            <w:tcW w:w="865" w:type="dxa"/>
          </w:tcPr>
          <w:p w14:paraId="7ABD660D" w14:textId="77777777" w:rsidR="00AE7191" w:rsidRPr="00722885" w:rsidRDefault="00AE7191" w:rsidP="00722885">
            <w:pPr>
              <w:pStyle w:val="Iauiue"/>
              <w:jc w:val="both"/>
              <w:rPr>
                <w:color w:val="000000" w:themeColor="text1"/>
                <w:sz w:val="16"/>
                <w:szCs w:val="16"/>
              </w:rPr>
            </w:pPr>
          </w:p>
        </w:tc>
        <w:tc>
          <w:tcPr>
            <w:tcW w:w="692" w:type="dxa"/>
          </w:tcPr>
          <w:p w14:paraId="4F00ECEB" w14:textId="77777777" w:rsidR="00AE7191" w:rsidRPr="00722885" w:rsidRDefault="00AE7191" w:rsidP="00722885">
            <w:pPr>
              <w:pStyle w:val="Iauiue"/>
              <w:jc w:val="both"/>
              <w:rPr>
                <w:color w:val="000000" w:themeColor="text1"/>
                <w:sz w:val="16"/>
                <w:szCs w:val="16"/>
              </w:rPr>
            </w:pPr>
          </w:p>
        </w:tc>
        <w:tc>
          <w:tcPr>
            <w:tcW w:w="1371" w:type="dxa"/>
          </w:tcPr>
          <w:p w14:paraId="718DD84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боезапасом</w:t>
            </w:r>
          </w:p>
        </w:tc>
        <w:tc>
          <w:tcPr>
            <w:tcW w:w="818" w:type="dxa"/>
          </w:tcPr>
          <w:p w14:paraId="69AFCF26" w14:textId="77777777" w:rsidR="00AE7191" w:rsidRPr="00722885" w:rsidRDefault="00AE7191" w:rsidP="00722885">
            <w:pPr>
              <w:pStyle w:val="Iauiue"/>
              <w:jc w:val="both"/>
              <w:rPr>
                <w:color w:val="000000" w:themeColor="text1"/>
                <w:sz w:val="16"/>
                <w:szCs w:val="16"/>
              </w:rPr>
            </w:pPr>
          </w:p>
        </w:tc>
        <w:tc>
          <w:tcPr>
            <w:tcW w:w="830" w:type="dxa"/>
          </w:tcPr>
          <w:p w14:paraId="18AAC23E" w14:textId="77777777" w:rsidR="00AE7191" w:rsidRPr="00722885" w:rsidRDefault="00AE7191" w:rsidP="00722885">
            <w:pPr>
              <w:pStyle w:val="Iauiue"/>
              <w:jc w:val="both"/>
              <w:rPr>
                <w:color w:val="000000" w:themeColor="text1"/>
                <w:sz w:val="16"/>
                <w:szCs w:val="16"/>
              </w:rPr>
            </w:pPr>
          </w:p>
        </w:tc>
        <w:tc>
          <w:tcPr>
            <w:tcW w:w="829" w:type="dxa"/>
          </w:tcPr>
          <w:p w14:paraId="69EA8B67" w14:textId="77777777" w:rsidR="00AE7191" w:rsidRPr="00722885" w:rsidRDefault="00AE7191" w:rsidP="00722885">
            <w:pPr>
              <w:pStyle w:val="Iauiue"/>
              <w:jc w:val="both"/>
              <w:rPr>
                <w:color w:val="000000" w:themeColor="text1"/>
                <w:sz w:val="16"/>
                <w:szCs w:val="16"/>
              </w:rPr>
            </w:pPr>
          </w:p>
        </w:tc>
        <w:tc>
          <w:tcPr>
            <w:tcW w:w="968" w:type="dxa"/>
          </w:tcPr>
          <w:p w14:paraId="65F2E82D" w14:textId="77777777" w:rsidR="00AE7191" w:rsidRPr="00722885" w:rsidRDefault="00AE7191" w:rsidP="00722885">
            <w:pPr>
              <w:pStyle w:val="Iauiue"/>
              <w:jc w:val="both"/>
              <w:rPr>
                <w:color w:val="000000" w:themeColor="text1"/>
                <w:sz w:val="16"/>
                <w:szCs w:val="16"/>
              </w:rPr>
            </w:pPr>
          </w:p>
        </w:tc>
        <w:tc>
          <w:tcPr>
            <w:tcW w:w="837" w:type="dxa"/>
          </w:tcPr>
          <w:p w14:paraId="32C1E68F" w14:textId="77777777" w:rsidR="00AE7191" w:rsidRPr="00722885" w:rsidRDefault="00AE7191" w:rsidP="00722885">
            <w:pPr>
              <w:pStyle w:val="Iauiue"/>
              <w:jc w:val="both"/>
              <w:rPr>
                <w:color w:val="000000" w:themeColor="text1"/>
                <w:sz w:val="16"/>
                <w:szCs w:val="16"/>
              </w:rPr>
            </w:pPr>
          </w:p>
        </w:tc>
      </w:tr>
      <w:tr w:rsidR="009B487A" w:rsidRPr="00722885" w14:paraId="03E67971" w14:textId="77777777" w:rsidTr="00CC5360">
        <w:tc>
          <w:tcPr>
            <w:tcW w:w="1809" w:type="dxa"/>
          </w:tcPr>
          <w:p w14:paraId="23C22B45" w14:textId="77777777" w:rsidR="00AE7191" w:rsidRPr="00722885" w:rsidRDefault="00AE7191" w:rsidP="00722885">
            <w:pPr>
              <w:pStyle w:val="Iauiue"/>
              <w:jc w:val="both"/>
              <w:rPr>
                <w:color w:val="000000" w:themeColor="text1"/>
                <w:sz w:val="16"/>
                <w:szCs w:val="16"/>
              </w:rPr>
            </w:pPr>
          </w:p>
        </w:tc>
        <w:tc>
          <w:tcPr>
            <w:tcW w:w="723" w:type="dxa"/>
          </w:tcPr>
          <w:p w14:paraId="6B02BDC5" w14:textId="77777777" w:rsidR="00AE7191" w:rsidRPr="00722885" w:rsidRDefault="00AE7191" w:rsidP="00722885">
            <w:pPr>
              <w:pStyle w:val="Iauiue"/>
              <w:jc w:val="both"/>
              <w:rPr>
                <w:color w:val="000000" w:themeColor="text1"/>
                <w:sz w:val="16"/>
                <w:szCs w:val="16"/>
              </w:rPr>
            </w:pPr>
          </w:p>
        </w:tc>
        <w:tc>
          <w:tcPr>
            <w:tcW w:w="862" w:type="dxa"/>
          </w:tcPr>
          <w:p w14:paraId="63372840" w14:textId="77777777" w:rsidR="00AE7191" w:rsidRPr="00722885" w:rsidRDefault="00AE7191" w:rsidP="00722885">
            <w:pPr>
              <w:pStyle w:val="Iauiue"/>
              <w:jc w:val="both"/>
              <w:rPr>
                <w:color w:val="000000" w:themeColor="text1"/>
                <w:sz w:val="16"/>
                <w:szCs w:val="16"/>
              </w:rPr>
            </w:pPr>
          </w:p>
        </w:tc>
        <w:tc>
          <w:tcPr>
            <w:tcW w:w="865" w:type="dxa"/>
          </w:tcPr>
          <w:p w14:paraId="560FF87D" w14:textId="77777777" w:rsidR="00AE7191" w:rsidRPr="00722885" w:rsidRDefault="00AE7191" w:rsidP="00722885">
            <w:pPr>
              <w:pStyle w:val="Iauiue"/>
              <w:jc w:val="both"/>
              <w:rPr>
                <w:color w:val="000000" w:themeColor="text1"/>
                <w:sz w:val="16"/>
                <w:szCs w:val="16"/>
              </w:rPr>
            </w:pPr>
          </w:p>
        </w:tc>
        <w:tc>
          <w:tcPr>
            <w:tcW w:w="692" w:type="dxa"/>
          </w:tcPr>
          <w:p w14:paraId="3DBCBA10" w14:textId="77777777" w:rsidR="00AE7191" w:rsidRPr="00722885" w:rsidRDefault="00AE7191" w:rsidP="00722885">
            <w:pPr>
              <w:pStyle w:val="Iauiue"/>
              <w:jc w:val="both"/>
              <w:rPr>
                <w:color w:val="000000" w:themeColor="text1"/>
                <w:sz w:val="16"/>
                <w:szCs w:val="16"/>
              </w:rPr>
            </w:pPr>
          </w:p>
        </w:tc>
        <w:tc>
          <w:tcPr>
            <w:tcW w:w="1371" w:type="dxa"/>
          </w:tcPr>
          <w:p w14:paraId="0C3ACB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600 патрон.</w:t>
            </w:r>
          </w:p>
        </w:tc>
        <w:tc>
          <w:tcPr>
            <w:tcW w:w="818" w:type="dxa"/>
          </w:tcPr>
          <w:p w14:paraId="46A98F6D" w14:textId="77777777" w:rsidR="00AE7191" w:rsidRPr="00722885" w:rsidRDefault="00AE7191" w:rsidP="00722885">
            <w:pPr>
              <w:pStyle w:val="Iauiue"/>
              <w:jc w:val="both"/>
              <w:rPr>
                <w:color w:val="000000" w:themeColor="text1"/>
                <w:sz w:val="16"/>
                <w:szCs w:val="16"/>
              </w:rPr>
            </w:pPr>
          </w:p>
        </w:tc>
        <w:tc>
          <w:tcPr>
            <w:tcW w:w="830" w:type="dxa"/>
          </w:tcPr>
          <w:p w14:paraId="71F03085" w14:textId="77777777" w:rsidR="00AE7191" w:rsidRPr="00722885" w:rsidRDefault="00AE7191" w:rsidP="00722885">
            <w:pPr>
              <w:pStyle w:val="Iauiue"/>
              <w:jc w:val="both"/>
              <w:rPr>
                <w:color w:val="000000" w:themeColor="text1"/>
                <w:sz w:val="16"/>
                <w:szCs w:val="16"/>
              </w:rPr>
            </w:pPr>
          </w:p>
        </w:tc>
        <w:tc>
          <w:tcPr>
            <w:tcW w:w="829" w:type="dxa"/>
          </w:tcPr>
          <w:p w14:paraId="26825C0C" w14:textId="77777777" w:rsidR="00AE7191" w:rsidRPr="00722885" w:rsidRDefault="00AE7191" w:rsidP="00722885">
            <w:pPr>
              <w:pStyle w:val="Iauiue"/>
              <w:jc w:val="both"/>
              <w:rPr>
                <w:color w:val="000000" w:themeColor="text1"/>
                <w:sz w:val="16"/>
                <w:szCs w:val="16"/>
              </w:rPr>
            </w:pPr>
          </w:p>
        </w:tc>
        <w:tc>
          <w:tcPr>
            <w:tcW w:w="968" w:type="dxa"/>
          </w:tcPr>
          <w:p w14:paraId="72120A67" w14:textId="77777777" w:rsidR="00AE7191" w:rsidRPr="00722885" w:rsidRDefault="00AE7191" w:rsidP="00722885">
            <w:pPr>
              <w:pStyle w:val="Iauiue"/>
              <w:jc w:val="both"/>
              <w:rPr>
                <w:color w:val="000000" w:themeColor="text1"/>
                <w:sz w:val="16"/>
                <w:szCs w:val="16"/>
              </w:rPr>
            </w:pPr>
          </w:p>
        </w:tc>
        <w:tc>
          <w:tcPr>
            <w:tcW w:w="837" w:type="dxa"/>
          </w:tcPr>
          <w:p w14:paraId="39260DA6" w14:textId="77777777" w:rsidR="00AE7191" w:rsidRPr="00722885" w:rsidRDefault="00AE7191" w:rsidP="00722885">
            <w:pPr>
              <w:pStyle w:val="Iauiue"/>
              <w:jc w:val="both"/>
              <w:rPr>
                <w:color w:val="000000" w:themeColor="text1"/>
                <w:sz w:val="16"/>
                <w:szCs w:val="16"/>
              </w:rPr>
            </w:pPr>
          </w:p>
        </w:tc>
      </w:tr>
      <w:tr w:rsidR="009B487A" w:rsidRPr="00722885" w14:paraId="0ABE5D2A" w14:textId="77777777" w:rsidTr="00CC5360">
        <w:tc>
          <w:tcPr>
            <w:tcW w:w="1809" w:type="dxa"/>
          </w:tcPr>
          <w:p w14:paraId="3BCD9940" w14:textId="77777777" w:rsidR="00AE7191" w:rsidRPr="00722885" w:rsidRDefault="00AE7191" w:rsidP="00722885">
            <w:pPr>
              <w:pStyle w:val="Iauiue"/>
              <w:jc w:val="both"/>
              <w:rPr>
                <w:color w:val="000000" w:themeColor="text1"/>
                <w:sz w:val="16"/>
                <w:szCs w:val="16"/>
              </w:rPr>
            </w:pPr>
          </w:p>
        </w:tc>
        <w:tc>
          <w:tcPr>
            <w:tcW w:w="723" w:type="dxa"/>
          </w:tcPr>
          <w:p w14:paraId="597D04BD" w14:textId="77777777" w:rsidR="00AE7191" w:rsidRPr="00722885" w:rsidRDefault="00AE7191" w:rsidP="00722885">
            <w:pPr>
              <w:pStyle w:val="Iauiue"/>
              <w:jc w:val="both"/>
              <w:rPr>
                <w:color w:val="000000" w:themeColor="text1"/>
                <w:sz w:val="16"/>
                <w:szCs w:val="16"/>
              </w:rPr>
            </w:pPr>
          </w:p>
        </w:tc>
        <w:tc>
          <w:tcPr>
            <w:tcW w:w="862" w:type="dxa"/>
          </w:tcPr>
          <w:p w14:paraId="2C2BB45B" w14:textId="77777777" w:rsidR="00AE7191" w:rsidRPr="00722885" w:rsidRDefault="00AE7191" w:rsidP="00722885">
            <w:pPr>
              <w:pStyle w:val="Iauiue"/>
              <w:jc w:val="both"/>
              <w:rPr>
                <w:color w:val="000000" w:themeColor="text1"/>
                <w:sz w:val="16"/>
                <w:szCs w:val="16"/>
              </w:rPr>
            </w:pPr>
          </w:p>
        </w:tc>
        <w:tc>
          <w:tcPr>
            <w:tcW w:w="865" w:type="dxa"/>
          </w:tcPr>
          <w:p w14:paraId="23B2DDE7" w14:textId="77777777" w:rsidR="00AE7191" w:rsidRPr="00722885" w:rsidRDefault="00AE7191" w:rsidP="00722885">
            <w:pPr>
              <w:pStyle w:val="Iauiue"/>
              <w:jc w:val="both"/>
              <w:rPr>
                <w:color w:val="000000" w:themeColor="text1"/>
                <w:sz w:val="16"/>
                <w:szCs w:val="16"/>
              </w:rPr>
            </w:pPr>
          </w:p>
        </w:tc>
        <w:tc>
          <w:tcPr>
            <w:tcW w:w="692" w:type="dxa"/>
          </w:tcPr>
          <w:p w14:paraId="1FF7AE67" w14:textId="77777777" w:rsidR="00AE7191" w:rsidRPr="00722885" w:rsidRDefault="00AE7191" w:rsidP="00722885">
            <w:pPr>
              <w:pStyle w:val="Iauiue"/>
              <w:jc w:val="both"/>
              <w:rPr>
                <w:color w:val="000000" w:themeColor="text1"/>
                <w:sz w:val="16"/>
                <w:szCs w:val="16"/>
              </w:rPr>
            </w:pPr>
          </w:p>
        </w:tc>
        <w:tc>
          <w:tcPr>
            <w:tcW w:w="1371" w:type="dxa"/>
          </w:tcPr>
          <w:p w14:paraId="7BEA63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Назад-вниз:</w:t>
            </w:r>
          </w:p>
        </w:tc>
        <w:tc>
          <w:tcPr>
            <w:tcW w:w="818" w:type="dxa"/>
          </w:tcPr>
          <w:p w14:paraId="6A04C7FB" w14:textId="77777777" w:rsidR="00AE7191" w:rsidRPr="00722885" w:rsidRDefault="00AE7191" w:rsidP="00722885">
            <w:pPr>
              <w:pStyle w:val="Iauiue"/>
              <w:jc w:val="both"/>
              <w:rPr>
                <w:color w:val="000000" w:themeColor="text1"/>
                <w:sz w:val="16"/>
                <w:szCs w:val="16"/>
              </w:rPr>
            </w:pPr>
          </w:p>
        </w:tc>
        <w:tc>
          <w:tcPr>
            <w:tcW w:w="830" w:type="dxa"/>
          </w:tcPr>
          <w:p w14:paraId="5478CDB6" w14:textId="77777777" w:rsidR="00AE7191" w:rsidRPr="00722885" w:rsidRDefault="00AE7191" w:rsidP="00722885">
            <w:pPr>
              <w:pStyle w:val="Iauiue"/>
              <w:jc w:val="both"/>
              <w:rPr>
                <w:color w:val="000000" w:themeColor="text1"/>
                <w:sz w:val="16"/>
                <w:szCs w:val="16"/>
              </w:rPr>
            </w:pPr>
          </w:p>
        </w:tc>
        <w:tc>
          <w:tcPr>
            <w:tcW w:w="829" w:type="dxa"/>
          </w:tcPr>
          <w:p w14:paraId="39789DAD" w14:textId="77777777" w:rsidR="00AE7191" w:rsidRPr="00722885" w:rsidRDefault="00AE7191" w:rsidP="00722885">
            <w:pPr>
              <w:pStyle w:val="Iauiue"/>
              <w:jc w:val="both"/>
              <w:rPr>
                <w:color w:val="000000" w:themeColor="text1"/>
                <w:sz w:val="16"/>
                <w:szCs w:val="16"/>
              </w:rPr>
            </w:pPr>
          </w:p>
        </w:tc>
        <w:tc>
          <w:tcPr>
            <w:tcW w:w="968" w:type="dxa"/>
          </w:tcPr>
          <w:p w14:paraId="6345D887" w14:textId="77777777" w:rsidR="00AE7191" w:rsidRPr="00722885" w:rsidRDefault="00AE7191" w:rsidP="00722885">
            <w:pPr>
              <w:pStyle w:val="Iauiue"/>
              <w:jc w:val="both"/>
              <w:rPr>
                <w:color w:val="000000" w:themeColor="text1"/>
                <w:sz w:val="16"/>
                <w:szCs w:val="16"/>
              </w:rPr>
            </w:pPr>
          </w:p>
        </w:tc>
        <w:tc>
          <w:tcPr>
            <w:tcW w:w="837" w:type="dxa"/>
          </w:tcPr>
          <w:p w14:paraId="0990955A" w14:textId="77777777" w:rsidR="00AE7191" w:rsidRPr="00722885" w:rsidRDefault="00AE7191" w:rsidP="00722885">
            <w:pPr>
              <w:pStyle w:val="Iauiue"/>
              <w:jc w:val="both"/>
              <w:rPr>
                <w:color w:val="000000" w:themeColor="text1"/>
                <w:sz w:val="16"/>
                <w:szCs w:val="16"/>
              </w:rPr>
            </w:pPr>
          </w:p>
        </w:tc>
      </w:tr>
      <w:tr w:rsidR="009B487A" w:rsidRPr="00722885" w14:paraId="36F5E5C9" w14:textId="77777777" w:rsidTr="00CC5360">
        <w:tc>
          <w:tcPr>
            <w:tcW w:w="1809" w:type="dxa"/>
          </w:tcPr>
          <w:p w14:paraId="4408C1F7" w14:textId="77777777" w:rsidR="00AE7191" w:rsidRPr="00722885" w:rsidRDefault="00AE7191" w:rsidP="00722885">
            <w:pPr>
              <w:pStyle w:val="Iauiue"/>
              <w:jc w:val="both"/>
              <w:rPr>
                <w:color w:val="000000" w:themeColor="text1"/>
                <w:sz w:val="16"/>
                <w:szCs w:val="16"/>
              </w:rPr>
            </w:pPr>
          </w:p>
        </w:tc>
        <w:tc>
          <w:tcPr>
            <w:tcW w:w="723" w:type="dxa"/>
          </w:tcPr>
          <w:p w14:paraId="1F05F2EE" w14:textId="77777777" w:rsidR="00AE7191" w:rsidRPr="00722885" w:rsidRDefault="00AE7191" w:rsidP="00722885">
            <w:pPr>
              <w:pStyle w:val="Iauiue"/>
              <w:jc w:val="both"/>
              <w:rPr>
                <w:color w:val="000000" w:themeColor="text1"/>
                <w:sz w:val="16"/>
                <w:szCs w:val="16"/>
              </w:rPr>
            </w:pPr>
          </w:p>
        </w:tc>
        <w:tc>
          <w:tcPr>
            <w:tcW w:w="862" w:type="dxa"/>
          </w:tcPr>
          <w:p w14:paraId="424551E7" w14:textId="77777777" w:rsidR="00AE7191" w:rsidRPr="00722885" w:rsidRDefault="00AE7191" w:rsidP="00722885">
            <w:pPr>
              <w:pStyle w:val="Iauiue"/>
              <w:jc w:val="both"/>
              <w:rPr>
                <w:color w:val="000000" w:themeColor="text1"/>
                <w:sz w:val="16"/>
                <w:szCs w:val="16"/>
              </w:rPr>
            </w:pPr>
          </w:p>
        </w:tc>
        <w:tc>
          <w:tcPr>
            <w:tcW w:w="865" w:type="dxa"/>
          </w:tcPr>
          <w:p w14:paraId="7863E2A8" w14:textId="77777777" w:rsidR="00AE7191" w:rsidRPr="00722885" w:rsidRDefault="00AE7191" w:rsidP="00722885">
            <w:pPr>
              <w:pStyle w:val="Iauiue"/>
              <w:jc w:val="both"/>
              <w:rPr>
                <w:color w:val="000000" w:themeColor="text1"/>
                <w:sz w:val="16"/>
                <w:szCs w:val="16"/>
              </w:rPr>
            </w:pPr>
          </w:p>
        </w:tc>
        <w:tc>
          <w:tcPr>
            <w:tcW w:w="692" w:type="dxa"/>
          </w:tcPr>
          <w:p w14:paraId="2AFB3BC5" w14:textId="77777777" w:rsidR="00AE7191" w:rsidRPr="00722885" w:rsidRDefault="00AE7191" w:rsidP="00722885">
            <w:pPr>
              <w:pStyle w:val="Iauiue"/>
              <w:jc w:val="both"/>
              <w:rPr>
                <w:color w:val="000000" w:themeColor="text1"/>
                <w:sz w:val="16"/>
                <w:szCs w:val="16"/>
              </w:rPr>
            </w:pPr>
          </w:p>
        </w:tc>
        <w:tc>
          <w:tcPr>
            <w:tcW w:w="1371" w:type="dxa"/>
          </w:tcPr>
          <w:p w14:paraId="0330CE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пулем. 12,7 мм</w:t>
            </w:r>
          </w:p>
        </w:tc>
        <w:tc>
          <w:tcPr>
            <w:tcW w:w="818" w:type="dxa"/>
          </w:tcPr>
          <w:p w14:paraId="026B3D75" w14:textId="77777777" w:rsidR="00AE7191" w:rsidRPr="00722885" w:rsidRDefault="00AE7191" w:rsidP="00722885">
            <w:pPr>
              <w:pStyle w:val="Iauiue"/>
              <w:jc w:val="both"/>
              <w:rPr>
                <w:color w:val="000000" w:themeColor="text1"/>
                <w:sz w:val="16"/>
                <w:szCs w:val="16"/>
              </w:rPr>
            </w:pPr>
          </w:p>
        </w:tc>
        <w:tc>
          <w:tcPr>
            <w:tcW w:w="830" w:type="dxa"/>
          </w:tcPr>
          <w:p w14:paraId="67216488" w14:textId="77777777" w:rsidR="00AE7191" w:rsidRPr="00722885" w:rsidRDefault="00AE7191" w:rsidP="00722885">
            <w:pPr>
              <w:pStyle w:val="Iauiue"/>
              <w:jc w:val="both"/>
              <w:rPr>
                <w:color w:val="000000" w:themeColor="text1"/>
                <w:sz w:val="16"/>
                <w:szCs w:val="16"/>
              </w:rPr>
            </w:pPr>
          </w:p>
        </w:tc>
        <w:tc>
          <w:tcPr>
            <w:tcW w:w="829" w:type="dxa"/>
          </w:tcPr>
          <w:p w14:paraId="071A9AA2" w14:textId="77777777" w:rsidR="00AE7191" w:rsidRPr="00722885" w:rsidRDefault="00AE7191" w:rsidP="00722885">
            <w:pPr>
              <w:pStyle w:val="Iauiue"/>
              <w:jc w:val="both"/>
              <w:rPr>
                <w:color w:val="000000" w:themeColor="text1"/>
                <w:sz w:val="16"/>
                <w:szCs w:val="16"/>
              </w:rPr>
            </w:pPr>
          </w:p>
        </w:tc>
        <w:tc>
          <w:tcPr>
            <w:tcW w:w="968" w:type="dxa"/>
          </w:tcPr>
          <w:p w14:paraId="22AAF3E6" w14:textId="77777777" w:rsidR="00AE7191" w:rsidRPr="00722885" w:rsidRDefault="00AE7191" w:rsidP="00722885">
            <w:pPr>
              <w:pStyle w:val="Iauiue"/>
              <w:jc w:val="both"/>
              <w:rPr>
                <w:color w:val="000000" w:themeColor="text1"/>
                <w:sz w:val="16"/>
                <w:szCs w:val="16"/>
              </w:rPr>
            </w:pPr>
          </w:p>
        </w:tc>
        <w:tc>
          <w:tcPr>
            <w:tcW w:w="837" w:type="dxa"/>
          </w:tcPr>
          <w:p w14:paraId="135B7721" w14:textId="77777777" w:rsidR="00AE7191" w:rsidRPr="00722885" w:rsidRDefault="00AE7191" w:rsidP="00722885">
            <w:pPr>
              <w:pStyle w:val="Iauiue"/>
              <w:jc w:val="both"/>
              <w:rPr>
                <w:color w:val="000000" w:themeColor="text1"/>
                <w:sz w:val="16"/>
                <w:szCs w:val="16"/>
              </w:rPr>
            </w:pPr>
          </w:p>
        </w:tc>
      </w:tr>
      <w:tr w:rsidR="009B487A" w:rsidRPr="00722885" w14:paraId="72132224" w14:textId="77777777" w:rsidTr="00CC5360">
        <w:tc>
          <w:tcPr>
            <w:tcW w:w="1809" w:type="dxa"/>
          </w:tcPr>
          <w:p w14:paraId="127D1DB9" w14:textId="77777777" w:rsidR="00AE7191" w:rsidRPr="00722885" w:rsidRDefault="00AE7191" w:rsidP="00722885">
            <w:pPr>
              <w:pStyle w:val="Iauiue"/>
              <w:jc w:val="both"/>
              <w:rPr>
                <w:color w:val="000000" w:themeColor="text1"/>
                <w:sz w:val="16"/>
                <w:szCs w:val="16"/>
              </w:rPr>
            </w:pPr>
          </w:p>
        </w:tc>
        <w:tc>
          <w:tcPr>
            <w:tcW w:w="723" w:type="dxa"/>
          </w:tcPr>
          <w:p w14:paraId="64EA038B" w14:textId="77777777" w:rsidR="00AE7191" w:rsidRPr="00722885" w:rsidRDefault="00AE7191" w:rsidP="00722885">
            <w:pPr>
              <w:pStyle w:val="Iauiue"/>
              <w:jc w:val="both"/>
              <w:rPr>
                <w:color w:val="000000" w:themeColor="text1"/>
                <w:sz w:val="16"/>
                <w:szCs w:val="16"/>
              </w:rPr>
            </w:pPr>
          </w:p>
        </w:tc>
        <w:tc>
          <w:tcPr>
            <w:tcW w:w="862" w:type="dxa"/>
          </w:tcPr>
          <w:p w14:paraId="0096D453" w14:textId="77777777" w:rsidR="00AE7191" w:rsidRPr="00722885" w:rsidRDefault="00AE7191" w:rsidP="00722885">
            <w:pPr>
              <w:pStyle w:val="Iauiue"/>
              <w:jc w:val="both"/>
              <w:rPr>
                <w:color w:val="000000" w:themeColor="text1"/>
                <w:sz w:val="16"/>
                <w:szCs w:val="16"/>
              </w:rPr>
            </w:pPr>
          </w:p>
        </w:tc>
        <w:tc>
          <w:tcPr>
            <w:tcW w:w="865" w:type="dxa"/>
          </w:tcPr>
          <w:p w14:paraId="355C2C0D" w14:textId="77777777" w:rsidR="00AE7191" w:rsidRPr="00722885" w:rsidRDefault="00AE7191" w:rsidP="00722885">
            <w:pPr>
              <w:pStyle w:val="Iauiue"/>
              <w:jc w:val="both"/>
              <w:rPr>
                <w:color w:val="000000" w:themeColor="text1"/>
                <w:sz w:val="16"/>
                <w:szCs w:val="16"/>
              </w:rPr>
            </w:pPr>
          </w:p>
        </w:tc>
        <w:tc>
          <w:tcPr>
            <w:tcW w:w="692" w:type="dxa"/>
          </w:tcPr>
          <w:p w14:paraId="2C12B588" w14:textId="77777777" w:rsidR="00AE7191" w:rsidRPr="00722885" w:rsidRDefault="00AE7191" w:rsidP="00722885">
            <w:pPr>
              <w:pStyle w:val="Iauiue"/>
              <w:jc w:val="both"/>
              <w:rPr>
                <w:color w:val="000000" w:themeColor="text1"/>
                <w:sz w:val="16"/>
                <w:szCs w:val="16"/>
              </w:rPr>
            </w:pPr>
          </w:p>
        </w:tc>
        <w:tc>
          <w:tcPr>
            <w:tcW w:w="1371" w:type="dxa"/>
          </w:tcPr>
          <w:p w14:paraId="64CAFA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боезапасом</w:t>
            </w:r>
          </w:p>
        </w:tc>
        <w:tc>
          <w:tcPr>
            <w:tcW w:w="818" w:type="dxa"/>
          </w:tcPr>
          <w:p w14:paraId="59F281DB" w14:textId="77777777" w:rsidR="00AE7191" w:rsidRPr="00722885" w:rsidRDefault="00AE7191" w:rsidP="00722885">
            <w:pPr>
              <w:pStyle w:val="Iauiue"/>
              <w:jc w:val="both"/>
              <w:rPr>
                <w:color w:val="000000" w:themeColor="text1"/>
                <w:sz w:val="16"/>
                <w:szCs w:val="16"/>
              </w:rPr>
            </w:pPr>
          </w:p>
        </w:tc>
        <w:tc>
          <w:tcPr>
            <w:tcW w:w="830" w:type="dxa"/>
          </w:tcPr>
          <w:p w14:paraId="476C912A" w14:textId="77777777" w:rsidR="00AE7191" w:rsidRPr="00722885" w:rsidRDefault="00AE7191" w:rsidP="00722885">
            <w:pPr>
              <w:pStyle w:val="Iauiue"/>
              <w:jc w:val="both"/>
              <w:rPr>
                <w:color w:val="000000" w:themeColor="text1"/>
                <w:sz w:val="16"/>
                <w:szCs w:val="16"/>
              </w:rPr>
            </w:pPr>
          </w:p>
        </w:tc>
        <w:tc>
          <w:tcPr>
            <w:tcW w:w="829" w:type="dxa"/>
          </w:tcPr>
          <w:p w14:paraId="2B09D399" w14:textId="77777777" w:rsidR="00AE7191" w:rsidRPr="00722885" w:rsidRDefault="00AE7191" w:rsidP="00722885">
            <w:pPr>
              <w:pStyle w:val="Iauiue"/>
              <w:jc w:val="both"/>
              <w:rPr>
                <w:color w:val="000000" w:themeColor="text1"/>
                <w:sz w:val="16"/>
                <w:szCs w:val="16"/>
              </w:rPr>
            </w:pPr>
          </w:p>
        </w:tc>
        <w:tc>
          <w:tcPr>
            <w:tcW w:w="968" w:type="dxa"/>
          </w:tcPr>
          <w:p w14:paraId="3307582B" w14:textId="77777777" w:rsidR="00AE7191" w:rsidRPr="00722885" w:rsidRDefault="00AE7191" w:rsidP="00722885">
            <w:pPr>
              <w:pStyle w:val="Iauiue"/>
              <w:jc w:val="both"/>
              <w:rPr>
                <w:color w:val="000000" w:themeColor="text1"/>
                <w:sz w:val="16"/>
                <w:szCs w:val="16"/>
              </w:rPr>
            </w:pPr>
          </w:p>
        </w:tc>
        <w:tc>
          <w:tcPr>
            <w:tcW w:w="837" w:type="dxa"/>
          </w:tcPr>
          <w:p w14:paraId="3BCE3D51" w14:textId="77777777" w:rsidR="00AE7191" w:rsidRPr="00722885" w:rsidRDefault="00AE7191" w:rsidP="00722885">
            <w:pPr>
              <w:pStyle w:val="Iauiue"/>
              <w:jc w:val="both"/>
              <w:rPr>
                <w:color w:val="000000" w:themeColor="text1"/>
                <w:sz w:val="16"/>
                <w:szCs w:val="16"/>
              </w:rPr>
            </w:pPr>
          </w:p>
        </w:tc>
      </w:tr>
      <w:tr w:rsidR="009B487A" w:rsidRPr="00722885" w14:paraId="2389A0C5" w14:textId="77777777" w:rsidTr="00CC5360">
        <w:tc>
          <w:tcPr>
            <w:tcW w:w="1809" w:type="dxa"/>
          </w:tcPr>
          <w:p w14:paraId="6311B77C" w14:textId="77777777" w:rsidR="00AE7191" w:rsidRPr="00722885" w:rsidRDefault="00AE7191" w:rsidP="00722885">
            <w:pPr>
              <w:pStyle w:val="Iauiue"/>
              <w:jc w:val="both"/>
              <w:rPr>
                <w:color w:val="000000" w:themeColor="text1"/>
                <w:sz w:val="16"/>
                <w:szCs w:val="16"/>
              </w:rPr>
            </w:pPr>
          </w:p>
        </w:tc>
        <w:tc>
          <w:tcPr>
            <w:tcW w:w="723" w:type="dxa"/>
          </w:tcPr>
          <w:p w14:paraId="39B90C5B" w14:textId="77777777" w:rsidR="00AE7191" w:rsidRPr="00722885" w:rsidRDefault="00AE7191" w:rsidP="00722885">
            <w:pPr>
              <w:pStyle w:val="Iauiue"/>
              <w:jc w:val="both"/>
              <w:rPr>
                <w:color w:val="000000" w:themeColor="text1"/>
                <w:sz w:val="16"/>
                <w:szCs w:val="16"/>
              </w:rPr>
            </w:pPr>
          </w:p>
        </w:tc>
        <w:tc>
          <w:tcPr>
            <w:tcW w:w="862" w:type="dxa"/>
          </w:tcPr>
          <w:p w14:paraId="0B1BBFA6" w14:textId="77777777" w:rsidR="00AE7191" w:rsidRPr="00722885" w:rsidRDefault="00AE7191" w:rsidP="00722885">
            <w:pPr>
              <w:pStyle w:val="Iauiue"/>
              <w:jc w:val="both"/>
              <w:rPr>
                <w:color w:val="000000" w:themeColor="text1"/>
                <w:sz w:val="16"/>
                <w:szCs w:val="16"/>
              </w:rPr>
            </w:pPr>
          </w:p>
        </w:tc>
        <w:tc>
          <w:tcPr>
            <w:tcW w:w="865" w:type="dxa"/>
          </w:tcPr>
          <w:p w14:paraId="42940CCF" w14:textId="77777777" w:rsidR="00AE7191" w:rsidRPr="00722885" w:rsidRDefault="00AE7191" w:rsidP="00722885">
            <w:pPr>
              <w:pStyle w:val="Iauiue"/>
              <w:jc w:val="both"/>
              <w:rPr>
                <w:color w:val="000000" w:themeColor="text1"/>
                <w:sz w:val="16"/>
                <w:szCs w:val="16"/>
              </w:rPr>
            </w:pPr>
          </w:p>
        </w:tc>
        <w:tc>
          <w:tcPr>
            <w:tcW w:w="692" w:type="dxa"/>
          </w:tcPr>
          <w:p w14:paraId="44BC424E" w14:textId="77777777" w:rsidR="00AE7191" w:rsidRPr="00722885" w:rsidRDefault="00AE7191" w:rsidP="00722885">
            <w:pPr>
              <w:pStyle w:val="Iauiue"/>
              <w:jc w:val="both"/>
              <w:rPr>
                <w:color w:val="000000" w:themeColor="text1"/>
                <w:sz w:val="16"/>
                <w:szCs w:val="16"/>
              </w:rPr>
            </w:pPr>
          </w:p>
        </w:tc>
        <w:tc>
          <w:tcPr>
            <w:tcW w:w="1371" w:type="dxa"/>
          </w:tcPr>
          <w:p w14:paraId="054893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 патрон.</w:t>
            </w:r>
          </w:p>
        </w:tc>
        <w:tc>
          <w:tcPr>
            <w:tcW w:w="818" w:type="dxa"/>
          </w:tcPr>
          <w:p w14:paraId="4C59691F" w14:textId="77777777" w:rsidR="00AE7191" w:rsidRPr="00722885" w:rsidRDefault="00AE7191" w:rsidP="00722885">
            <w:pPr>
              <w:pStyle w:val="Iauiue"/>
              <w:jc w:val="both"/>
              <w:rPr>
                <w:color w:val="000000" w:themeColor="text1"/>
                <w:sz w:val="16"/>
                <w:szCs w:val="16"/>
              </w:rPr>
            </w:pPr>
          </w:p>
        </w:tc>
        <w:tc>
          <w:tcPr>
            <w:tcW w:w="830" w:type="dxa"/>
          </w:tcPr>
          <w:p w14:paraId="1D229677" w14:textId="77777777" w:rsidR="00AE7191" w:rsidRPr="00722885" w:rsidRDefault="00AE7191" w:rsidP="00722885">
            <w:pPr>
              <w:pStyle w:val="Iauiue"/>
              <w:jc w:val="both"/>
              <w:rPr>
                <w:color w:val="000000" w:themeColor="text1"/>
                <w:sz w:val="16"/>
                <w:szCs w:val="16"/>
              </w:rPr>
            </w:pPr>
          </w:p>
        </w:tc>
        <w:tc>
          <w:tcPr>
            <w:tcW w:w="829" w:type="dxa"/>
          </w:tcPr>
          <w:p w14:paraId="52F322A7" w14:textId="77777777" w:rsidR="00AE7191" w:rsidRPr="00722885" w:rsidRDefault="00AE7191" w:rsidP="00722885">
            <w:pPr>
              <w:pStyle w:val="Iauiue"/>
              <w:jc w:val="both"/>
              <w:rPr>
                <w:color w:val="000000" w:themeColor="text1"/>
                <w:sz w:val="16"/>
                <w:szCs w:val="16"/>
              </w:rPr>
            </w:pPr>
          </w:p>
        </w:tc>
        <w:tc>
          <w:tcPr>
            <w:tcW w:w="968" w:type="dxa"/>
          </w:tcPr>
          <w:p w14:paraId="54854F30" w14:textId="77777777" w:rsidR="00AE7191" w:rsidRPr="00722885" w:rsidRDefault="00AE7191" w:rsidP="00722885">
            <w:pPr>
              <w:pStyle w:val="Iauiue"/>
              <w:jc w:val="both"/>
              <w:rPr>
                <w:color w:val="000000" w:themeColor="text1"/>
                <w:sz w:val="16"/>
                <w:szCs w:val="16"/>
              </w:rPr>
            </w:pPr>
          </w:p>
        </w:tc>
        <w:tc>
          <w:tcPr>
            <w:tcW w:w="837" w:type="dxa"/>
          </w:tcPr>
          <w:p w14:paraId="193BBB35" w14:textId="77777777" w:rsidR="00AE7191" w:rsidRPr="00722885" w:rsidRDefault="00AE7191" w:rsidP="00722885">
            <w:pPr>
              <w:pStyle w:val="Iauiue"/>
              <w:jc w:val="both"/>
              <w:rPr>
                <w:color w:val="000000" w:themeColor="text1"/>
                <w:sz w:val="16"/>
                <w:szCs w:val="16"/>
              </w:rPr>
            </w:pPr>
          </w:p>
        </w:tc>
      </w:tr>
      <w:tr w:rsidR="009B487A" w:rsidRPr="00722885" w14:paraId="0BB8B831" w14:textId="77777777" w:rsidTr="00CC5360">
        <w:tc>
          <w:tcPr>
            <w:tcW w:w="1809" w:type="dxa"/>
          </w:tcPr>
          <w:p w14:paraId="71E9681A" w14:textId="77777777" w:rsidR="00AE7191" w:rsidRPr="00722885" w:rsidRDefault="00AE7191" w:rsidP="00722885">
            <w:pPr>
              <w:pStyle w:val="Iauiue"/>
              <w:jc w:val="both"/>
              <w:rPr>
                <w:color w:val="000000" w:themeColor="text1"/>
                <w:sz w:val="16"/>
                <w:szCs w:val="16"/>
              </w:rPr>
            </w:pPr>
          </w:p>
        </w:tc>
        <w:tc>
          <w:tcPr>
            <w:tcW w:w="723" w:type="dxa"/>
          </w:tcPr>
          <w:p w14:paraId="224B92AD" w14:textId="77777777" w:rsidR="00AE7191" w:rsidRPr="00722885" w:rsidRDefault="00AE7191" w:rsidP="00722885">
            <w:pPr>
              <w:pStyle w:val="Iauiue"/>
              <w:jc w:val="both"/>
              <w:rPr>
                <w:color w:val="000000" w:themeColor="text1"/>
                <w:sz w:val="16"/>
                <w:szCs w:val="16"/>
              </w:rPr>
            </w:pPr>
          </w:p>
        </w:tc>
        <w:tc>
          <w:tcPr>
            <w:tcW w:w="862" w:type="dxa"/>
          </w:tcPr>
          <w:p w14:paraId="4846B99C" w14:textId="77777777" w:rsidR="00AE7191" w:rsidRPr="00722885" w:rsidRDefault="00AE7191" w:rsidP="00722885">
            <w:pPr>
              <w:pStyle w:val="Iauiue"/>
              <w:jc w:val="both"/>
              <w:rPr>
                <w:color w:val="000000" w:themeColor="text1"/>
                <w:sz w:val="16"/>
                <w:szCs w:val="16"/>
              </w:rPr>
            </w:pPr>
          </w:p>
        </w:tc>
        <w:tc>
          <w:tcPr>
            <w:tcW w:w="865" w:type="dxa"/>
          </w:tcPr>
          <w:p w14:paraId="5C4B6971" w14:textId="77777777" w:rsidR="00AE7191" w:rsidRPr="00722885" w:rsidRDefault="00AE7191" w:rsidP="00722885">
            <w:pPr>
              <w:pStyle w:val="Iauiue"/>
              <w:jc w:val="both"/>
              <w:rPr>
                <w:color w:val="000000" w:themeColor="text1"/>
                <w:sz w:val="16"/>
                <w:szCs w:val="16"/>
              </w:rPr>
            </w:pPr>
          </w:p>
        </w:tc>
        <w:tc>
          <w:tcPr>
            <w:tcW w:w="692" w:type="dxa"/>
          </w:tcPr>
          <w:p w14:paraId="5418F0BC" w14:textId="77777777" w:rsidR="00AE7191" w:rsidRPr="00722885" w:rsidRDefault="00AE7191" w:rsidP="00722885">
            <w:pPr>
              <w:pStyle w:val="Iauiue"/>
              <w:jc w:val="both"/>
              <w:rPr>
                <w:color w:val="000000" w:themeColor="text1"/>
                <w:sz w:val="16"/>
                <w:szCs w:val="16"/>
              </w:rPr>
            </w:pPr>
          </w:p>
        </w:tc>
        <w:tc>
          <w:tcPr>
            <w:tcW w:w="1371" w:type="dxa"/>
          </w:tcPr>
          <w:p w14:paraId="5BD850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Назад:</w:t>
            </w:r>
          </w:p>
        </w:tc>
        <w:tc>
          <w:tcPr>
            <w:tcW w:w="818" w:type="dxa"/>
          </w:tcPr>
          <w:p w14:paraId="149860BD" w14:textId="77777777" w:rsidR="00AE7191" w:rsidRPr="00722885" w:rsidRDefault="00AE7191" w:rsidP="00722885">
            <w:pPr>
              <w:pStyle w:val="Iauiue"/>
              <w:jc w:val="both"/>
              <w:rPr>
                <w:color w:val="000000" w:themeColor="text1"/>
                <w:sz w:val="16"/>
                <w:szCs w:val="16"/>
              </w:rPr>
            </w:pPr>
          </w:p>
        </w:tc>
        <w:tc>
          <w:tcPr>
            <w:tcW w:w="830" w:type="dxa"/>
          </w:tcPr>
          <w:p w14:paraId="34C3E8C2" w14:textId="77777777" w:rsidR="00AE7191" w:rsidRPr="00722885" w:rsidRDefault="00AE7191" w:rsidP="00722885">
            <w:pPr>
              <w:pStyle w:val="Iauiue"/>
              <w:jc w:val="both"/>
              <w:rPr>
                <w:color w:val="000000" w:themeColor="text1"/>
                <w:sz w:val="16"/>
                <w:szCs w:val="16"/>
              </w:rPr>
            </w:pPr>
          </w:p>
        </w:tc>
        <w:tc>
          <w:tcPr>
            <w:tcW w:w="829" w:type="dxa"/>
          </w:tcPr>
          <w:p w14:paraId="5AC539DC" w14:textId="77777777" w:rsidR="00AE7191" w:rsidRPr="00722885" w:rsidRDefault="00AE7191" w:rsidP="00722885">
            <w:pPr>
              <w:pStyle w:val="Iauiue"/>
              <w:jc w:val="both"/>
              <w:rPr>
                <w:color w:val="000000" w:themeColor="text1"/>
                <w:sz w:val="16"/>
                <w:szCs w:val="16"/>
              </w:rPr>
            </w:pPr>
          </w:p>
        </w:tc>
        <w:tc>
          <w:tcPr>
            <w:tcW w:w="968" w:type="dxa"/>
          </w:tcPr>
          <w:p w14:paraId="5B498F87" w14:textId="77777777" w:rsidR="00AE7191" w:rsidRPr="00722885" w:rsidRDefault="00AE7191" w:rsidP="00722885">
            <w:pPr>
              <w:pStyle w:val="Iauiue"/>
              <w:jc w:val="both"/>
              <w:rPr>
                <w:color w:val="000000" w:themeColor="text1"/>
                <w:sz w:val="16"/>
                <w:szCs w:val="16"/>
              </w:rPr>
            </w:pPr>
          </w:p>
        </w:tc>
        <w:tc>
          <w:tcPr>
            <w:tcW w:w="837" w:type="dxa"/>
          </w:tcPr>
          <w:p w14:paraId="30140962" w14:textId="77777777" w:rsidR="00AE7191" w:rsidRPr="00722885" w:rsidRDefault="00AE7191" w:rsidP="00722885">
            <w:pPr>
              <w:pStyle w:val="Iauiue"/>
              <w:jc w:val="both"/>
              <w:rPr>
                <w:color w:val="000000" w:themeColor="text1"/>
                <w:sz w:val="16"/>
                <w:szCs w:val="16"/>
              </w:rPr>
            </w:pPr>
          </w:p>
        </w:tc>
      </w:tr>
      <w:tr w:rsidR="009B487A" w:rsidRPr="00722885" w14:paraId="52FCD02D" w14:textId="77777777" w:rsidTr="00CC5360">
        <w:tc>
          <w:tcPr>
            <w:tcW w:w="1809" w:type="dxa"/>
          </w:tcPr>
          <w:p w14:paraId="487EDD22" w14:textId="77777777" w:rsidR="00AE7191" w:rsidRPr="00722885" w:rsidRDefault="00AE7191" w:rsidP="00722885">
            <w:pPr>
              <w:pStyle w:val="Iauiue"/>
              <w:jc w:val="both"/>
              <w:rPr>
                <w:color w:val="000000" w:themeColor="text1"/>
                <w:sz w:val="16"/>
                <w:szCs w:val="16"/>
              </w:rPr>
            </w:pPr>
          </w:p>
        </w:tc>
        <w:tc>
          <w:tcPr>
            <w:tcW w:w="723" w:type="dxa"/>
          </w:tcPr>
          <w:p w14:paraId="45F63712" w14:textId="77777777" w:rsidR="00AE7191" w:rsidRPr="00722885" w:rsidRDefault="00AE7191" w:rsidP="00722885">
            <w:pPr>
              <w:pStyle w:val="Iauiue"/>
              <w:jc w:val="both"/>
              <w:rPr>
                <w:color w:val="000000" w:themeColor="text1"/>
                <w:sz w:val="16"/>
                <w:szCs w:val="16"/>
              </w:rPr>
            </w:pPr>
          </w:p>
        </w:tc>
        <w:tc>
          <w:tcPr>
            <w:tcW w:w="862" w:type="dxa"/>
          </w:tcPr>
          <w:p w14:paraId="11AB7F97" w14:textId="77777777" w:rsidR="00AE7191" w:rsidRPr="00722885" w:rsidRDefault="00AE7191" w:rsidP="00722885">
            <w:pPr>
              <w:pStyle w:val="Iauiue"/>
              <w:jc w:val="both"/>
              <w:rPr>
                <w:color w:val="000000" w:themeColor="text1"/>
                <w:sz w:val="16"/>
                <w:szCs w:val="16"/>
              </w:rPr>
            </w:pPr>
          </w:p>
        </w:tc>
        <w:tc>
          <w:tcPr>
            <w:tcW w:w="865" w:type="dxa"/>
          </w:tcPr>
          <w:p w14:paraId="7B4A735B" w14:textId="77777777" w:rsidR="00AE7191" w:rsidRPr="00722885" w:rsidRDefault="00AE7191" w:rsidP="00722885">
            <w:pPr>
              <w:pStyle w:val="Iauiue"/>
              <w:jc w:val="both"/>
              <w:rPr>
                <w:color w:val="000000" w:themeColor="text1"/>
                <w:sz w:val="16"/>
                <w:szCs w:val="16"/>
              </w:rPr>
            </w:pPr>
          </w:p>
        </w:tc>
        <w:tc>
          <w:tcPr>
            <w:tcW w:w="692" w:type="dxa"/>
          </w:tcPr>
          <w:p w14:paraId="72387067" w14:textId="77777777" w:rsidR="00AE7191" w:rsidRPr="00722885" w:rsidRDefault="00AE7191" w:rsidP="00722885">
            <w:pPr>
              <w:pStyle w:val="Iauiue"/>
              <w:jc w:val="both"/>
              <w:rPr>
                <w:color w:val="000000" w:themeColor="text1"/>
                <w:sz w:val="16"/>
                <w:szCs w:val="16"/>
              </w:rPr>
            </w:pPr>
          </w:p>
        </w:tc>
        <w:tc>
          <w:tcPr>
            <w:tcW w:w="1371" w:type="dxa"/>
          </w:tcPr>
          <w:p w14:paraId="7A3D137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пулем. 12,7 мм</w:t>
            </w:r>
          </w:p>
        </w:tc>
        <w:tc>
          <w:tcPr>
            <w:tcW w:w="818" w:type="dxa"/>
          </w:tcPr>
          <w:p w14:paraId="14213D76" w14:textId="77777777" w:rsidR="00AE7191" w:rsidRPr="00722885" w:rsidRDefault="00AE7191" w:rsidP="00722885">
            <w:pPr>
              <w:pStyle w:val="Iauiue"/>
              <w:jc w:val="both"/>
              <w:rPr>
                <w:color w:val="000000" w:themeColor="text1"/>
                <w:sz w:val="16"/>
                <w:szCs w:val="16"/>
              </w:rPr>
            </w:pPr>
          </w:p>
        </w:tc>
        <w:tc>
          <w:tcPr>
            <w:tcW w:w="830" w:type="dxa"/>
          </w:tcPr>
          <w:p w14:paraId="5A3FA15F" w14:textId="77777777" w:rsidR="00AE7191" w:rsidRPr="00722885" w:rsidRDefault="00AE7191" w:rsidP="00722885">
            <w:pPr>
              <w:pStyle w:val="Iauiue"/>
              <w:jc w:val="both"/>
              <w:rPr>
                <w:color w:val="000000" w:themeColor="text1"/>
                <w:sz w:val="16"/>
                <w:szCs w:val="16"/>
              </w:rPr>
            </w:pPr>
          </w:p>
        </w:tc>
        <w:tc>
          <w:tcPr>
            <w:tcW w:w="829" w:type="dxa"/>
          </w:tcPr>
          <w:p w14:paraId="561E9A9E" w14:textId="77777777" w:rsidR="00AE7191" w:rsidRPr="00722885" w:rsidRDefault="00AE7191" w:rsidP="00722885">
            <w:pPr>
              <w:pStyle w:val="Iauiue"/>
              <w:jc w:val="both"/>
              <w:rPr>
                <w:color w:val="000000" w:themeColor="text1"/>
                <w:sz w:val="16"/>
                <w:szCs w:val="16"/>
              </w:rPr>
            </w:pPr>
          </w:p>
        </w:tc>
        <w:tc>
          <w:tcPr>
            <w:tcW w:w="968" w:type="dxa"/>
          </w:tcPr>
          <w:p w14:paraId="6F1E88D2" w14:textId="77777777" w:rsidR="00AE7191" w:rsidRPr="00722885" w:rsidRDefault="00AE7191" w:rsidP="00722885">
            <w:pPr>
              <w:pStyle w:val="Iauiue"/>
              <w:jc w:val="both"/>
              <w:rPr>
                <w:color w:val="000000" w:themeColor="text1"/>
                <w:sz w:val="16"/>
                <w:szCs w:val="16"/>
              </w:rPr>
            </w:pPr>
          </w:p>
        </w:tc>
        <w:tc>
          <w:tcPr>
            <w:tcW w:w="837" w:type="dxa"/>
          </w:tcPr>
          <w:p w14:paraId="0173CFF0" w14:textId="77777777" w:rsidR="00AE7191" w:rsidRPr="00722885" w:rsidRDefault="00AE7191" w:rsidP="00722885">
            <w:pPr>
              <w:pStyle w:val="Iauiue"/>
              <w:jc w:val="both"/>
              <w:rPr>
                <w:color w:val="000000" w:themeColor="text1"/>
                <w:sz w:val="16"/>
                <w:szCs w:val="16"/>
              </w:rPr>
            </w:pPr>
          </w:p>
        </w:tc>
      </w:tr>
      <w:tr w:rsidR="009B487A" w:rsidRPr="00722885" w14:paraId="4D0E1224" w14:textId="77777777" w:rsidTr="00CC5360">
        <w:tc>
          <w:tcPr>
            <w:tcW w:w="1809" w:type="dxa"/>
          </w:tcPr>
          <w:p w14:paraId="47CB2BB6" w14:textId="77777777" w:rsidR="00AE7191" w:rsidRPr="00722885" w:rsidRDefault="00AE7191" w:rsidP="00722885">
            <w:pPr>
              <w:pStyle w:val="Iauiue"/>
              <w:jc w:val="both"/>
              <w:rPr>
                <w:color w:val="000000" w:themeColor="text1"/>
                <w:sz w:val="16"/>
                <w:szCs w:val="16"/>
              </w:rPr>
            </w:pPr>
          </w:p>
        </w:tc>
        <w:tc>
          <w:tcPr>
            <w:tcW w:w="723" w:type="dxa"/>
          </w:tcPr>
          <w:p w14:paraId="5858B07E" w14:textId="77777777" w:rsidR="00AE7191" w:rsidRPr="00722885" w:rsidRDefault="00AE7191" w:rsidP="00722885">
            <w:pPr>
              <w:pStyle w:val="Iauiue"/>
              <w:jc w:val="both"/>
              <w:rPr>
                <w:color w:val="000000" w:themeColor="text1"/>
                <w:sz w:val="16"/>
                <w:szCs w:val="16"/>
              </w:rPr>
            </w:pPr>
          </w:p>
        </w:tc>
        <w:tc>
          <w:tcPr>
            <w:tcW w:w="862" w:type="dxa"/>
          </w:tcPr>
          <w:p w14:paraId="5D77C7A2" w14:textId="77777777" w:rsidR="00AE7191" w:rsidRPr="00722885" w:rsidRDefault="00AE7191" w:rsidP="00722885">
            <w:pPr>
              <w:pStyle w:val="Iauiue"/>
              <w:jc w:val="both"/>
              <w:rPr>
                <w:color w:val="000000" w:themeColor="text1"/>
                <w:sz w:val="16"/>
                <w:szCs w:val="16"/>
              </w:rPr>
            </w:pPr>
          </w:p>
        </w:tc>
        <w:tc>
          <w:tcPr>
            <w:tcW w:w="865" w:type="dxa"/>
          </w:tcPr>
          <w:p w14:paraId="57328757" w14:textId="77777777" w:rsidR="00AE7191" w:rsidRPr="00722885" w:rsidRDefault="00AE7191" w:rsidP="00722885">
            <w:pPr>
              <w:pStyle w:val="Iauiue"/>
              <w:jc w:val="both"/>
              <w:rPr>
                <w:color w:val="000000" w:themeColor="text1"/>
                <w:sz w:val="16"/>
                <w:szCs w:val="16"/>
              </w:rPr>
            </w:pPr>
          </w:p>
        </w:tc>
        <w:tc>
          <w:tcPr>
            <w:tcW w:w="692" w:type="dxa"/>
          </w:tcPr>
          <w:p w14:paraId="487EE740" w14:textId="77777777" w:rsidR="00AE7191" w:rsidRPr="00722885" w:rsidRDefault="00AE7191" w:rsidP="00722885">
            <w:pPr>
              <w:pStyle w:val="Iauiue"/>
              <w:jc w:val="both"/>
              <w:rPr>
                <w:color w:val="000000" w:themeColor="text1"/>
                <w:sz w:val="16"/>
                <w:szCs w:val="16"/>
              </w:rPr>
            </w:pPr>
          </w:p>
        </w:tc>
        <w:tc>
          <w:tcPr>
            <w:tcW w:w="1371" w:type="dxa"/>
          </w:tcPr>
          <w:p w14:paraId="477A69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боезапасом</w:t>
            </w:r>
          </w:p>
        </w:tc>
        <w:tc>
          <w:tcPr>
            <w:tcW w:w="818" w:type="dxa"/>
          </w:tcPr>
          <w:p w14:paraId="3E2E38E1" w14:textId="77777777" w:rsidR="00AE7191" w:rsidRPr="00722885" w:rsidRDefault="00AE7191" w:rsidP="00722885">
            <w:pPr>
              <w:pStyle w:val="Iauiue"/>
              <w:jc w:val="both"/>
              <w:rPr>
                <w:color w:val="000000" w:themeColor="text1"/>
                <w:sz w:val="16"/>
                <w:szCs w:val="16"/>
              </w:rPr>
            </w:pPr>
          </w:p>
        </w:tc>
        <w:tc>
          <w:tcPr>
            <w:tcW w:w="830" w:type="dxa"/>
          </w:tcPr>
          <w:p w14:paraId="0E48E05D" w14:textId="77777777" w:rsidR="00AE7191" w:rsidRPr="00722885" w:rsidRDefault="00AE7191" w:rsidP="00722885">
            <w:pPr>
              <w:pStyle w:val="Iauiue"/>
              <w:jc w:val="both"/>
              <w:rPr>
                <w:color w:val="000000" w:themeColor="text1"/>
                <w:sz w:val="16"/>
                <w:szCs w:val="16"/>
              </w:rPr>
            </w:pPr>
          </w:p>
        </w:tc>
        <w:tc>
          <w:tcPr>
            <w:tcW w:w="829" w:type="dxa"/>
          </w:tcPr>
          <w:p w14:paraId="1CD41459" w14:textId="77777777" w:rsidR="00AE7191" w:rsidRPr="00722885" w:rsidRDefault="00AE7191" w:rsidP="00722885">
            <w:pPr>
              <w:pStyle w:val="Iauiue"/>
              <w:jc w:val="both"/>
              <w:rPr>
                <w:color w:val="000000" w:themeColor="text1"/>
                <w:sz w:val="16"/>
                <w:szCs w:val="16"/>
              </w:rPr>
            </w:pPr>
          </w:p>
        </w:tc>
        <w:tc>
          <w:tcPr>
            <w:tcW w:w="968" w:type="dxa"/>
          </w:tcPr>
          <w:p w14:paraId="0F1D5587" w14:textId="77777777" w:rsidR="00AE7191" w:rsidRPr="00722885" w:rsidRDefault="00AE7191" w:rsidP="00722885">
            <w:pPr>
              <w:pStyle w:val="Iauiue"/>
              <w:jc w:val="both"/>
              <w:rPr>
                <w:color w:val="000000" w:themeColor="text1"/>
                <w:sz w:val="16"/>
                <w:szCs w:val="16"/>
              </w:rPr>
            </w:pPr>
          </w:p>
        </w:tc>
        <w:tc>
          <w:tcPr>
            <w:tcW w:w="837" w:type="dxa"/>
          </w:tcPr>
          <w:p w14:paraId="7366E28C" w14:textId="77777777" w:rsidR="00AE7191" w:rsidRPr="00722885" w:rsidRDefault="00AE7191" w:rsidP="00722885">
            <w:pPr>
              <w:pStyle w:val="Iauiue"/>
              <w:jc w:val="both"/>
              <w:rPr>
                <w:color w:val="000000" w:themeColor="text1"/>
                <w:sz w:val="16"/>
                <w:szCs w:val="16"/>
              </w:rPr>
            </w:pPr>
          </w:p>
        </w:tc>
      </w:tr>
      <w:tr w:rsidR="009B487A" w:rsidRPr="00722885" w14:paraId="043D1711" w14:textId="77777777" w:rsidTr="00CC5360">
        <w:tc>
          <w:tcPr>
            <w:tcW w:w="1809" w:type="dxa"/>
          </w:tcPr>
          <w:p w14:paraId="2FDABD88" w14:textId="77777777" w:rsidR="00AE7191" w:rsidRPr="00722885" w:rsidRDefault="00AE7191" w:rsidP="00722885">
            <w:pPr>
              <w:pStyle w:val="Iauiue"/>
              <w:jc w:val="both"/>
              <w:rPr>
                <w:color w:val="000000" w:themeColor="text1"/>
                <w:sz w:val="16"/>
                <w:szCs w:val="16"/>
              </w:rPr>
            </w:pPr>
          </w:p>
        </w:tc>
        <w:tc>
          <w:tcPr>
            <w:tcW w:w="723" w:type="dxa"/>
          </w:tcPr>
          <w:p w14:paraId="75A5C4B3" w14:textId="77777777" w:rsidR="00AE7191" w:rsidRPr="00722885" w:rsidRDefault="00AE7191" w:rsidP="00722885">
            <w:pPr>
              <w:pStyle w:val="Iauiue"/>
              <w:jc w:val="both"/>
              <w:rPr>
                <w:color w:val="000000" w:themeColor="text1"/>
                <w:sz w:val="16"/>
                <w:szCs w:val="16"/>
              </w:rPr>
            </w:pPr>
          </w:p>
        </w:tc>
        <w:tc>
          <w:tcPr>
            <w:tcW w:w="862" w:type="dxa"/>
          </w:tcPr>
          <w:p w14:paraId="7377ED00" w14:textId="77777777" w:rsidR="00AE7191" w:rsidRPr="00722885" w:rsidRDefault="00AE7191" w:rsidP="00722885">
            <w:pPr>
              <w:pStyle w:val="Iauiue"/>
              <w:jc w:val="both"/>
              <w:rPr>
                <w:color w:val="000000" w:themeColor="text1"/>
                <w:sz w:val="16"/>
                <w:szCs w:val="16"/>
              </w:rPr>
            </w:pPr>
          </w:p>
        </w:tc>
        <w:tc>
          <w:tcPr>
            <w:tcW w:w="865" w:type="dxa"/>
          </w:tcPr>
          <w:p w14:paraId="5ACC2171" w14:textId="77777777" w:rsidR="00AE7191" w:rsidRPr="00722885" w:rsidRDefault="00AE7191" w:rsidP="00722885">
            <w:pPr>
              <w:pStyle w:val="Iauiue"/>
              <w:jc w:val="both"/>
              <w:rPr>
                <w:color w:val="000000" w:themeColor="text1"/>
                <w:sz w:val="16"/>
                <w:szCs w:val="16"/>
              </w:rPr>
            </w:pPr>
          </w:p>
        </w:tc>
        <w:tc>
          <w:tcPr>
            <w:tcW w:w="692" w:type="dxa"/>
          </w:tcPr>
          <w:p w14:paraId="642BE369" w14:textId="77777777" w:rsidR="00AE7191" w:rsidRPr="00722885" w:rsidRDefault="00AE7191" w:rsidP="00722885">
            <w:pPr>
              <w:pStyle w:val="Iauiue"/>
              <w:jc w:val="both"/>
              <w:rPr>
                <w:color w:val="000000" w:themeColor="text1"/>
                <w:sz w:val="16"/>
                <w:szCs w:val="16"/>
              </w:rPr>
            </w:pPr>
          </w:p>
        </w:tc>
        <w:tc>
          <w:tcPr>
            <w:tcW w:w="1371" w:type="dxa"/>
          </w:tcPr>
          <w:p w14:paraId="02C01A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 патронов</w:t>
            </w:r>
          </w:p>
        </w:tc>
        <w:tc>
          <w:tcPr>
            <w:tcW w:w="818" w:type="dxa"/>
          </w:tcPr>
          <w:p w14:paraId="1EC739D0" w14:textId="77777777" w:rsidR="00AE7191" w:rsidRPr="00722885" w:rsidRDefault="00AE7191" w:rsidP="00722885">
            <w:pPr>
              <w:pStyle w:val="Iauiue"/>
              <w:jc w:val="both"/>
              <w:rPr>
                <w:color w:val="000000" w:themeColor="text1"/>
                <w:sz w:val="16"/>
                <w:szCs w:val="16"/>
              </w:rPr>
            </w:pPr>
          </w:p>
        </w:tc>
        <w:tc>
          <w:tcPr>
            <w:tcW w:w="830" w:type="dxa"/>
          </w:tcPr>
          <w:p w14:paraId="5C01A8F2" w14:textId="77777777" w:rsidR="00AE7191" w:rsidRPr="00722885" w:rsidRDefault="00AE7191" w:rsidP="00722885">
            <w:pPr>
              <w:pStyle w:val="Iauiue"/>
              <w:jc w:val="both"/>
              <w:rPr>
                <w:color w:val="000000" w:themeColor="text1"/>
                <w:sz w:val="16"/>
                <w:szCs w:val="16"/>
              </w:rPr>
            </w:pPr>
          </w:p>
        </w:tc>
        <w:tc>
          <w:tcPr>
            <w:tcW w:w="829" w:type="dxa"/>
          </w:tcPr>
          <w:p w14:paraId="46BB283A" w14:textId="77777777" w:rsidR="00AE7191" w:rsidRPr="00722885" w:rsidRDefault="00AE7191" w:rsidP="00722885">
            <w:pPr>
              <w:pStyle w:val="Iauiue"/>
              <w:jc w:val="both"/>
              <w:rPr>
                <w:color w:val="000000" w:themeColor="text1"/>
                <w:sz w:val="16"/>
                <w:szCs w:val="16"/>
              </w:rPr>
            </w:pPr>
          </w:p>
        </w:tc>
        <w:tc>
          <w:tcPr>
            <w:tcW w:w="968" w:type="dxa"/>
          </w:tcPr>
          <w:p w14:paraId="15030A85" w14:textId="77777777" w:rsidR="00AE7191" w:rsidRPr="00722885" w:rsidRDefault="00AE7191" w:rsidP="00722885">
            <w:pPr>
              <w:pStyle w:val="Iauiue"/>
              <w:jc w:val="both"/>
              <w:rPr>
                <w:color w:val="000000" w:themeColor="text1"/>
                <w:sz w:val="16"/>
                <w:szCs w:val="16"/>
              </w:rPr>
            </w:pPr>
          </w:p>
        </w:tc>
        <w:tc>
          <w:tcPr>
            <w:tcW w:w="837" w:type="dxa"/>
          </w:tcPr>
          <w:p w14:paraId="30B754CD" w14:textId="77777777" w:rsidR="00AE7191" w:rsidRPr="00722885" w:rsidRDefault="00AE7191" w:rsidP="00722885">
            <w:pPr>
              <w:pStyle w:val="Iauiue"/>
              <w:jc w:val="both"/>
              <w:rPr>
                <w:color w:val="000000" w:themeColor="text1"/>
                <w:sz w:val="16"/>
                <w:szCs w:val="16"/>
              </w:rPr>
            </w:pPr>
          </w:p>
        </w:tc>
      </w:tr>
      <w:tr w:rsidR="009B487A" w:rsidRPr="00722885" w14:paraId="235DCA65" w14:textId="77777777" w:rsidTr="00CC5360">
        <w:tc>
          <w:tcPr>
            <w:tcW w:w="1809" w:type="dxa"/>
          </w:tcPr>
          <w:p w14:paraId="36AA8B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Модификация</w:t>
            </w:r>
          </w:p>
        </w:tc>
        <w:tc>
          <w:tcPr>
            <w:tcW w:w="723" w:type="dxa"/>
          </w:tcPr>
          <w:p w14:paraId="47B444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862" w:type="dxa"/>
          </w:tcPr>
          <w:p w14:paraId="69B84D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575/6500</w:t>
            </w:r>
          </w:p>
        </w:tc>
        <w:tc>
          <w:tcPr>
            <w:tcW w:w="865" w:type="dxa"/>
          </w:tcPr>
          <w:p w14:paraId="5E761FB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1000/3000</w:t>
            </w:r>
          </w:p>
        </w:tc>
        <w:tc>
          <w:tcPr>
            <w:tcW w:w="692" w:type="dxa"/>
          </w:tcPr>
          <w:p w14:paraId="74AAFA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1371" w:type="dxa"/>
          </w:tcPr>
          <w:p w14:paraId="5E4AB7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Вперед:</w:t>
            </w:r>
          </w:p>
        </w:tc>
        <w:tc>
          <w:tcPr>
            <w:tcW w:w="818" w:type="dxa"/>
          </w:tcPr>
          <w:p w14:paraId="737273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w:t>
            </w:r>
          </w:p>
        </w:tc>
        <w:tc>
          <w:tcPr>
            <w:tcW w:w="830" w:type="dxa"/>
          </w:tcPr>
          <w:p w14:paraId="08BD26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10РО-82</w:t>
            </w:r>
          </w:p>
        </w:tc>
        <w:tc>
          <w:tcPr>
            <w:tcW w:w="829" w:type="dxa"/>
          </w:tcPr>
          <w:p w14:paraId="5B7E20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968" w:type="dxa"/>
          </w:tcPr>
          <w:p w14:paraId="10B2EB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15.Х.42</w:t>
            </w:r>
          </w:p>
        </w:tc>
        <w:tc>
          <w:tcPr>
            <w:tcW w:w="837" w:type="dxa"/>
          </w:tcPr>
          <w:p w14:paraId="3B07553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5000</w:t>
            </w:r>
          </w:p>
        </w:tc>
      </w:tr>
      <w:tr w:rsidR="009B487A" w:rsidRPr="00722885" w14:paraId="56982619" w14:textId="77777777" w:rsidTr="00CC5360">
        <w:tc>
          <w:tcPr>
            <w:tcW w:w="1809" w:type="dxa"/>
          </w:tcPr>
          <w:p w14:paraId="602A58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бомбардировщика</w:t>
            </w:r>
          </w:p>
        </w:tc>
        <w:tc>
          <w:tcPr>
            <w:tcW w:w="723" w:type="dxa"/>
          </w:tcPr>
          <w:p w14:paraId="5387E3F1" w14:textId="77777777" w:rsidR="00AE7191" w:rsidRPr="00722885" w:rsidRDefault="00AE7191" w:rsidP="00722885">
            <w:pPr>
              <w:pStyle w:val="Iauiue"/>
              <w:jc w:val="both"/>
              <w:rPr>
                <w:color w:val="000000" w:themeColor="text1"/>
                <w:sz w:val="16"/>
                <w:szCs w:val="16"/>
              </w:rPr>
            </w:pPr>
          </w:p>
        </w:tc>
        <w:tc>
          <w:tcPr>
            <w:tcW w:w="862" w:type="dxa"/>
          </w:tcPr>
          <w:p w14:paraId="1F406ED7" w14:textId="77777777" w:rsidR="00AE7191" w:rsidRPr="00722885" w:rsidRDefault="00AE7191" w:rsidP="00722885">
            <w:pPr>
              <w:pStyle w:val="Iauiue"/>
              <w:jc w:val="both"/>
              <w:rPr>
                <w:color w:val="000000" w:themeColor="text1"/>
                <w:sz w:val="16"/>
                <w:szCs w:val="16"/>
              </w:rPr>
            </w:pPr>
          </w:p>
        </w:tc>
        <w:tc>
          <w:tcPr>
            <w:tcW w:w="865" w:type="dxa"/>
          </w:tcPr>
          <w:p w14:paraId="05E9033A" w14:textId="77777777" w:rsidR="00AE7191" w:rsidRPr="00722885" w:rsidRDefault="00AE7191" w:rsidP="00722885">
            <w:pPr>
              <w:pStyle w:val="Iauiue"/>
              <w:jc w:val="both"/>
              <w:rPr>
                <w:color w:val="000000" w:themeColor="text1"/>
                <w:sz w:val="16"/>
                <w:szCs w:val="16"/>
              </w:rPr>
            </w:pPr>
          </w:p>
        </w:tc>
        <w:tc>
          <w:tcPr>
            <w:tcW w:w="692" w:type="dxa"/>
          </w:tcPr>
          <w:p w14:paraId="572D88BB" w14:textId="77777777" w:rsidR="00AE7191" w:rsidRPr="00722885" w:rsidRDefault="00AE7191" w:rsidP="00722885">
            <w:pPr>
              <w:pStyle w:val="Iauiue"/>
              <w:jc w:val="both"/>
              <w:rPr>
                <w:color w:val="000000" w:themeColor="text1"/>
                <w:sz w:val="16"/>
                <w:szCs w:val="16"/>
              </w:rPr>
            </w:pPr>
          </w:p>
        </w:tc>
        <w:tc>
          <w:tcPr>
            <w:tcW w:w="1371" w:type="dxa"/>
          </w:tcPr>
          <w:p w14:paraId="08E364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пушки 20 мм</w:t>
            </w:r>
          </w:p>
        </w:tc>
        <w:tc>
          <w:tcPr>
            <w:tcW w:w="818" w:type="dxa"/>
          </w:tcPr>
          <w:p w14:paraId="169DB6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3000</w:t>
            </w:r>
          </w:p>
        </w:tc>
        <w:tc>
          <w:tcPr>
            <w:tcW w:w="830" w:type="dxa"/>
          </w:tcPr>
          <w:p w14:paraId="3B712906" w14:textId="77777777" w:rsidR="00AE7191" w:rsidRPr="00722885" w:rsidRDefault="00AE7191" w:rsidP="00722885">
            <w:pPr>
              <w:pStyle w:val="Iauiue"/>
              <w:jc w:val="both"/>
              <w:rPr>
                <w:color w:val="000000" w:themeColor="text1"/>
                <w:sz w:val="16"/>
                <w:szCs w:val="16"/>
              </w:rPr>
            </w:pPr>
          </w:p>
        </w:tc>
        <w:tc>
          <w:tcPr>
            <w:tcW w:w="829" w:type="dxa"/>
          </w:tcPr>
          <w:p w14:paraId="7F3F90EF" w14:textId="77777777" w:rsidR="00AE7191" w:rsidRPr="00722885" w:rsidRDefault="00AE7191" w:rsidP="00722885">
            <w:pPr>
              <w:pStyle w:val="Iauiue"/>
              <w:jc w:val="both"/>
              <w:rPr>
                <w:color w:val="000000" w:themeColor="text1"/>
                <w:sz w:val="16"/>
                <w:szCs w:val="16"/>
              </w:rPr>
            </w:pPr>
          </w:p>
        </w:tc>
        <w:tc>
          <w:tcPr>
            <w:tcW w:w="968" w:type="dxa"/>
          </w:tcPr>
          <w:p w14:paraId="44A82526" w14:textId="77777777" w:rsidR="00AE7191" w:rsidRPr="00722885" w:rsidRDefault="00AE7191" w:rsidP="00722885">
            <w:pPr>
              <w:pStyle w:val="Iauiue"/>
              <w:jc w:val="both"/>
              <w:rPr>
                <w:color w:val="000000" w:themeColor="text1"/>
                <w:sz w:val="16"/>
                <w:szCs w:val="16"/>
              </w:rPr>
            </w:pPr>
          </w:p>
        </w:tc>
        <w:tc>
          <w:tcPr>
            <w:tcW w:w="837" w:type="dxa"/>
          </w:tcPr>
          <w:p w14:paraId="01A5F442" w14:textId="77777777" w:rsidR="00AE7191" w:rsidRPr="00722885" w:rsidRDefault="00AE7191" w:rsidP="00722885">
            <w:pPr>
              <w:pStyle w:val="Iauiue"/>
              <w:jc w:val="both"/>
              <w:rPr>
                <w:color w:val="000000" w:themeColor="text1"/>
                <w:sz w:val="16"/>
                <w:szCs w:val="16"/>
              </w:rPr>
            </w:pPr>
          </w:p>
        </w:tc>
      </w:tr>
      <w:tr w:rsidR="009B487A" w:rsidRPr="00722885" w14:paraId="03E310AB" w14:textId="77777777" w:rsidTr="00CC5360">
        <w:tc>
          <w:tcPr>
            <w:tcW w:w="1809" w:type="dxa"/>
          </w:tcPr>
          <w:p w14:paraId="25FA67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Ту-2 с двумя мот.</w:t>
            </w:r>
          </w:p>
        </w:tc>
        <w:tc>
          <w:tcPr>
            <w:tcW w:w="723" w:type="dxa"/>
          </w:tcPr>
          <w:p w14:paraId="12680795" w14:textId="77777777" w:rsidR="00AE7191" w:rsidRPr="00722885" w:rsidRDefault="00AE7191" w:rsidP="00722885">
            <w:pPr>
              <w:pStyle w:val="Iauiue"/>
              <w:jc w:val="both"/>
              <w:rPr>
                <w:color w:val="000000" w:themeColor="text1"/>
                <w:sz w:val="16"/>
                <w:szCs w:val="16"/>
              </w:rPr>
            </w:pPr>
          </w:p>
        </w:tc>
        <w:tc>
          <w:tcPr>
            <w:tcW w:w="862" w:type="dxa"/>
          </w:tcPr>
          <w:p w14:paraId="3BF7874B" w14:textId="77777777" w:rsidR="00AE7191" w:rsidRPr="00722885" w:rsidRDefault="00AE7191" w:rsidP="00722885">
            <w:pPr>
              <w:pStyle w:val="Iauiue"/>
              <w:jc w:val="both"/>
              <w:rPr>
                <w:color w:val="000000" w:themeColor="text1"/>
                <w:sz w:val="16"/>
                <w:szCs w:val="16"/>
              </w:rPr>
            </w:pPr>
          </w:p>
        </w:tc>
        <w:tc>
          <w:tcPr>
            <w:tcW w:w="865" w:type="dxa"/>
          </w:tcPr>
          <w:p w14:paraId="220E0983" w14:textId="77777777" w:rsidR="00AE7191" w:rsidRPr="00722885" w:rsidRDefault="00AE7191" w:rsidP="00722885">
            <w:pPr>
              <w:pStyle w:val="Iauiue"/>
              <w:jc w:val="both"/>
              <w:rPr>
                <w:color w:val="000000" w:themeColor="text1"/>
                <w:sz w:val="16"/>
                <w:szCs w:val="16"/>
              </w:rPr>
            </w:pPr>
          </w:p>
        </w:tc>
        <w:tc>
          <w:tcPr>
            <w:tcW w:w="692" w:type="dxa"/>
          </w:tcPr>
          <w:p w14:paraId="0F8FA216" w14:textId="77777777" w:rsidR="00AE7191" w:rsidRPr="00722885" w:rsidRDefault="00AE7191" w:rsidP="00722885">
            <w:pPr>
              <w:pStyle w:val="Iauiue"/>
              <w:jc w:val="both"/>
              <w:rPr>
                <w:color w:val="000000" w:themeColor="text1"/>
                <w:sz w:val="16"/>
                <w:szCs w:val="16"/>
              </w:rPr>
            </w:pPr>
          </w:p>
        </w:tc>
        <w:tc>
          <w:tcPr>
            <w:tcW w:w="1371" w:type="dxa"/>
          </w:tcPr>
          <w:p w14:paraId="1449E2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пулем.7,62 мм</w:t>
            </w:r>
          </w:p>
        </w:tc>
        <w:tc>
          <w:tcPr>
            <w:tcW w:w="818" w:type="dxa"/>
          </w:tcPr>
          <w:p w14:paraId="71705385" w14:textId="77777777" w:rsidR="00AE7191" w:rsidRPr="00722885" w:rsidRDefault="00AE7191" w:rsidP="00722885">
            <w:pPr>
              <w:pStyle w:val="Iauiue"/>
              <w:jc w:val="both"/>
              <w:rPr>
                <w:color w:val="000000" w:themeColor="text1"/>
                <w:sz w:val="16"/>
                <w:szCs w:val="16"/>
              </w:rPr>
            </w:pPr>
          </w:p>
        </w:tc>
        <w:tc>
          <w:tcPr>
            <w:tcW w:w="830" w:type="dxa"/>
          </w:tcPr>
          <w:p w14:paraId="7D410BA0" w14:textId="77777777" w:rsidR="00AE7191" w:rsidRPr="00722885" w:rsidRDefault="00AE7191" w:rsidP="00722885">
            <w:pPr>
              <w:pStyle w:val="Iauiue"/>
              <w:jc w:val="both"/>
              <w:rPr>
                <w:color w:val="000000" w:themeColor="text1"/>
                <w:sz w:val="16"/>
                <w:szCs w:val="16"/>
              </w:rPr>
            </w:pPr>
          </w:p>
        </w:tc>
        <w:tc>
          <w:tcPr>
            <w:tcW w:w="829" w:type="dxa"/>
          </w:tcPr>
          <w:p w14:paraId="4367F222" w14:textId="77777777" w:rsidR="00AE7191" w:rsidRPr="00722885" w:rsidRDefault="00AE7191" w:rsidP="00722885">
            <w:pPr>
              <w:pStyle w:val="Iauiue"/>
              <w:jc w:val="both"/>
              <w:rPr>
                <w:color w:val="000000" w:themeColor="text1"/>
                <w:sz w:val="16"/>
                <w:szCs w:val="16"/>
              </w:rPr>
            </w:pPr>
          </w:p>
        </w:tc>
        <w:tc>
          <w:tcPr>
            <w:tcW w:w="968" w:type="dxa"/>
          </w:tcPr>
          <w:p w14:paraId="05C0E9AE" w14:textId="77777777" w:rsidR="00AE7191" w:rsidRPr="00722885" w:rsidRDefault="00AE7191" w:rsidP="00722885">
            <w:pPr>
              <w:pStyle w:val="Iauiue"/>
              <w:jc w:val="both"/>
              <w:rPr>
                <w:color w:val="000000" w:themeColor="text1"/>
                <w:sz w:val="16"/>
                <w:szCs w:val="16"/>
              </w:rPr>
            </w:pPr>
          </w:p>
        </w:tc>
        <w:tc>
          <w:tcPr>
            <w:tcW w:w="837" w:type="dxa"/>
          </w:tcPr>
          <w:p w14:paraId="54D17E31" w14:textId="77777777" w:rsidR="00AE7191" w:rsidRPr="00722885" w:rsidRDefault="00AE7191" w:rsidP="00722885">
            <w:pPr>
              <w:pStyle w:val="Iauiue"/>
              <w:jc w:val="both"/>
              <w:rPr>
                <w:color w:val="000000" w:themeColor="text1"/>
                <w:sz w:val="16"/>
                <w:szCs w:val="16"/>
              </w:rPr>
            </w:pPr>
          </w:p>
        </w:tc>
      </w:tr>
      <w:tr w:rsidR="009B487A" w:rsidRPr="00722885" w14:paraId="02651D65" w14:textId="77777777" w:rsidTr="00CC5360">
        <w:tc>
          <w:tcPr>
            <w:tcW w:w="1809" w:type="dxa"/>
          </w:tcPr>
          <w:p w14:paraId="390335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М-82 под</w:t>
            </w:r>
          </w:p>
        </w:tc>
        <w:tc>
          <w:tcPr>
            <w:tcW w:w="723" w:type="dxa"/>
          </w:tcPr>
          <w:p w14:paraId="4B17381F" w14:textId="77777777" w:rsidR="00AE7191" w:rsidRPr="00722885" w:rsidRDefault="00AE7191" w:rsidP="00722885">
            <w:pPr>
              <w:pStyle w:val="Iauiue"/>
              <w:jc w:val="both"/>
              <w:rPr>
                <w:color w:val="000000" w:themeColor="text1"/>
                <w:sz w:val="16"/>
                <w:szCs w:val="16"/>
              </w:rPr>
            </w:pPr>
          </w:p>
        </w:tc>
        <w:tc>
          <w:tcPr>
            <w:tcW w:w="862" w:type="dxa"/>
          </w:tcPr>
          <w:p w14:paraId="54D0D587" w14:textId="77777777" w:rsidR="00AE7191" w:rsidRPr="00722885" w:rsidRDefault="00AE7191" w:rsidP="00722885">
            <w:pPr>
              <w:pStyle w:val="Iauiue"/>
              <w:jc w:val="both"/>
              <w:rPr>
                <w:color w:val="000000" w:themeColor="text1"/>
                <w:sz w:val="16"/>
                <w:szCs w:val="16"/>
              </w:rPr>
            </w:pPr>
          </w:p>
        </w:tc>
        <w:tc>
          <w:tcPr>
            <w:tcW w:w="865" w:type="dxa"/>
          </w:tcPr>
          <w:p w14:paraId="6A9C74D5" w14:textId="77777777" w:rsidR="00AE7191" w:rsidRPr="00722885" w:rsidRDefault="00AE7191" w:rsidP="00722885">
            <w:pPr>
              <w:pStyle w:val="Iauiue"/>
              <w:jc w:val="both"/>
              <w:rPr>
                <w:color w:val="000000" w:themeColor="text1"/>
                <w:sz w:val="16"/>
                <w:szCs w:val="16"/>
              </w:rPr>
            </w:pPr>
          </w:p>
        </w:tc>
        <w:tc>
          <w:tcPr>
            <w:tcW w:w="692" w:type="dxa"/>
          </w:tcPr>
          <w:p w14:paraId="0F3AF296" w14:textId="77777777" w:rsidR="00AE7191" w:rsidRPr="00722885" w:rsidRDefault="00AE7191" w:rsidP="00722885">
            <w:pPr>
              <w:pStyle w:val="Iauiue"/>
              <w:jc w:val="both"/>
              <w:rPr>
                <w:color w:val="000000" w:themeColor="text1"/>
                <w:sz w:val="16"/>
                <w:szCs w:val="16"/>
              </w:rPr>
            </w:pPr>
          </w:p>
        </w:tc>
        <w:tc>
          <w:tcPr>
            <w:tcW w:w="1371" w:type="dxa"/>
          </w:tcPr>
          <w:p w14:paraId="63792AD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Назад:</w:t>
            </w:r>
          </w:p>
        </w:tc>
        <w:tc>
          <w:tcPr>
            <w:tcW w:w="818" w:type="dxa"/>
          </w:tcPr>
          <w:p w14:paraId="3A6DB62D" w14:textId="77777777" w:rsidR="00AE7191" w:rsidRPr="00722885" w:rsidRDefault="00AE7191" w:rsidP="00722885">
            <w:pPr>
              <w:pStyle w:val="Iauiue"/>
              <w:jc w:val="both"/>
              <w:rPr>
                <w:color w:val="000000" w:themeColor="text1"/>
                <w:sz w:val="16"/>
                <w:szCs w:val="16"/>
              </w:rPr>
            </w:pPr>
          </w:p>
        </w:tc>
        <w:tc>
          <w:tcPr>
            <w:tcW w:w="830" w:type="dxa"/>
          </w:tcPr>
          <w:p w14:paraId="1DF2B30B" w14:textId="77777777" w:rsidR="00AE7191" w:rsidRPr="00722885" w:rsidRDefault="00AE7191" w:rsidP="00722885">
            <w:pPr>
              <w:pStyle w:val="Iauiue"/>
              <w:jc w:val="both"/>
              <w:rPr>
                <w:color w:val="000000" w:themeColor="text1"/>
                <w:sz w:val="16"/>
                <w:szCs w:val="16"/>
              </w:rPr>
            </w:pPr>
          </w:p>
        </w:tc>
        <w:tc>
          <w:tcPr>
            <w:tcW w:w="829" w:type="dxa"/>
          </w:tcPr>
          <w:p w14:paraId="02CB668C" w14:textId="77777777" w:rsidR="00AE7191" w:rsidRPr="00722885" w:rsidRDefault="00AE7191" w:rsidP="00722885">
            <w:pPr>
              <w:pStyle w:val="Iauiue"/>
              <w:jc w:val="both"/>
              <w:rPr>
                <w:color w:val="000000" w:themeColor="text1"/>
                <w:sz w:val="16"/>
                <w:szCs w:val="16"/>
              </w:rPr>
            </w:pPr>
          </w:p>
        </w:tc>
        <w:tc>
          <w:tcPr>
            <w:tcW w:w="968" w:type="dxa"/>
          </w:tcPr>
          <w:p w14:paraId="5029A927" w14:textId="77777777" w:rsidR="00AE7191" w:rsidRPr="00722885" w:rsidRDefault="00AE7191" w:rsidP="00722885">
            <w:pPr>
              <w:pStyle w:val="Iauiue"/>
              <w:jc w:val="both"/>
              <w:rPr>
                <w:color w:val="000000" w:themeColor="text1"/>
                <w:sz w:val="16"/>
                <w:szCs w:val="16"/>
              </w:rPr>
            </w:pPr>
          </w:p>
        </w:tc>
        <w:tc>
          <w:tcPr>
            <w:tcW w:w="837" w:type="dxa"/>
          </w:tcPr>
          <w:p w14:paraId="694B2206" w14:textId="77777777" w:rsidR="00AE7191" w:rsidRPr="00722885" w:rsidRDefault="00AE7191" w:rsidP="00722885">
            <w:pPr>
              <w:pStyle w:val="Iauiue"/>
              <w:jc w:val="both"/>
              <w:rPr>
                <w:color w:val="000000" w:themeColor="text1"/>
                <w:sz w:val="16"/>
                <w:szCs w:val="16"/>
              </w:rPr>
            </w:pPr>
          </w:p>
        </w:tc>
      </w:tr>
      <w:tr w:rsidR="009B487A" w:rsidRPr="00722885" w14:paraId="1207D4A5" w14:textId="77777777" w:rsidTr="00CC5360">
        <w:tc>
          <w:tcPr>
            <w:tcW w:w="1809" w:type="dxa"/>
          </w:tcPr>
          <w:p w14:paraId="7C255D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фоторазведчик</w:t>
            </w:r>
          </w:p>
        </w:tc>
        <w:tc>
          <w:tcPr>
            <w:tcW w:w="723" w:type="dxa"/>
          </w:tcPr>
          <w:p w14:paraId="408748E2" w14:textId="77777777" w:rsidR="00AE7191" w:rsidRPr="00722885" w:rsidRDefault="00AE7191" w:rsidP="00722885">
            <w:pPr>
              <w:pStyle w:val="Iauiue"/>
              <w:jc w:val="both"/>
              <w:rPr>
                <w:color w:val="000000" w:themeColor="text1"/>
                <w:sz w:val="16"/>
                <w:szCs w:val="16"/>
              </w:rPr>
            </w:pPr>
          </w:p>
        </w:tc>
        <w:tc>
          <w:tcPr>
            <w:tcW w:w="862" w:type="dxa"/>
          </w:tcPr>
          <w:p w14:paraId="2103D5E7" w14:textId="77777777" w:rsidR="00AE7191" w:rsidRPr="00722885" w:rsidRDefault="00AE7191" w:rsidP="00722885">
            <w:pPr>
              <w:pStyle w:val="Iauiue"/>
              <w:jc w:val="both"/>
              <w:rPr>
                <w:color w:val="000000" w:themeColor="text1"/>
                <w:sz w:val="16"/>
                <w:szCs w:val="16"/>
              </w:rPr>
            </w:pPr>
          </w:p>
        </w:tc>
        <w:tc>
          <w:tcPr>
            <w:tcW w:w="865" w:type="dxa"/>
          </w:tcPr>
          <w:p w14:paraId="2B31C38E" w14:textId="77777777" w:rsidR="00AE7191" w:rsidRPr="00722885" w:rsidRDefault="00AE7191" w:rsidP="00722885">
            <w:pPr>
              <w:pStyle w:val="Iauiue"/>
              <w:jc w:val="both"/>
              <w:rPr>
                <w:color w:val="000000" w:themeColor="text1"/>
                <w:sz w:val="16"/>
                <w:szCs w:val="16"/>
              </w:rPr>
            </w:pPr>
          </w:p>
        </w:tc>
        <w:tc>
          <w:tcPr>
            <w:tcW w:w="692" w:type="dxa"/>
          </w:tcPr>
          <w:p w14:paraId="2F27E0C0" w14:textId="77777777" w:rsidR="00AE7191" w:rsidRPr="00722885" w:rsidRDefault="00AE7191" w:rsidP="00722885">
            <w:pPr>
              <w:pStyle w:val="Iauiue"/>
              <w:jc w:val="both"/>
              <w:rPr>
                <w:color w:val="000000" w:themeColor="text1"/>
                <w:sz w:val="16"/>
                <w:szCs w:val="16"/>
              </w:rPr>
            </w:pPr>
          </w:p>
        </w:tc>
        <w:tc>
          <w:tcPr>
            <w:tcW w:w="1371" w:type="dxa"/>
          </w:tcPr>
          <w:p w14:paraId="27E5E8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пулем. 12,7 мм</w:t>
            </w:r>
          </w:p>
        </w:tc>
        <w:tc>
          <w:tcPr>
            <w:tcW w:w="818" w:type="dxa"/>
          </w:tcPr>
          <w:p w14:paraId="3A075E02" w14:textId="77777777" w:rsidR="00AE7191" w:rsidRPr="00722885" w:rsidRDefault="00AE7191" w:rsidP="00722885">
            <w:pPr>
              <w:pStyle w:val="Iauiue"/>
              <w:jc w:val="both"/>
              <w:rPr>
                <w:color w:val="000000" w:themeColor="text1"/>
                <w:sz w:val="16"/>
                <w:szCs w:val="16"/>
              </w:rPr>
            </w:pPr>
          </w:p>
        </w:tc>
        <w:tc>
          <w:tcPr>
            <w:tcW w:w="830" w:type="dxa"/>
          </w:tcPr>
          <w:p w14:paraId="47AE3DA8" w14:textId="77777777" w:rsidR="00AE7191" w:rsidRPr="00722885" w:rsidRDefault="00AE7191" w:rsidP="00722885">
            <w:pPr>
              <w:pStyle w:val="Iauiue"/>
              <w:jc w:val="both"/>
              <w:rPr>
                <w:color w:val="000000" w:themeColor="text1"/>
                <w:sz w:val="16"/>
                <w:szCs w:val="16"/>
              </w:rPr>
            </w:pPr>
          </w:p>
        </w:tc>
        <w:tc>
          <w:tcPr>
            <w:tcW w:w="829" w:type="dxa"/>
          </w:tcPr>
          <w:p w14:paraId="02802216" w14:textId="77777777" w:rsidR="00AE7191" w:rsidRPr="00722885" w:rsidRDefault="00AE7191" w:rsidP="00722885">
            <w:pPr>
              <w:pStyle w:val="Iauiue"/>
              <w:jc w:val="both"/>
              <w:rPr>
                <w:color w:val="000000" w:themeColor="text1"/>
                <w:sz w:val="16"/>
                <w:szCs w:val="16"/>
              </w:rPr>
            </w:pPr>
          </w:p>
        </w:tc>
        <w:tc>
          <w:tcPr>
            <w:tcW w:w="968" w:type="dxa"/>
          </w:tcPr>
          <w:p w14:paraId="08A8677C" w14:textId="77777777" w:rsidR="00AE7191" w:rsidRPr="00722885" w:rsidRDefault="00AE7191" w:rsidP="00722885">
            <w:pPr>
              <w:pStyle w:val="Iauiue"/>
              <w:jc w:val="both"/>
              <w:rPr>
                <w:color w:val="000000" w:themeColor="text1"/>
                <w:sz w:val="16"/>
                <w:szCs w:val="16"/>
              </w:rPr>
            </w:pPr>
          </w:p>
        </w:tc>
        <w:tc>
          <w:tcPr>
            <w:tcW w:w="837" w:type="dxa"/>
          </w:tcPr>
          <w:p w14:paraId="3F96AA16" w14:textId="77777777" w:rsidR="00AE7191" w:rsidRPr="00722885" w:rsidRDefault="00AE7191" w:rsidP="00722885">
            <w:pPr>
              <w:pStyle w:val="Iauiue"/>
              <w:jc w:val="both"/>
              <w:rPr>
                <w:color w:val="000000" w:themeColor="text1"/>
                <w:sz w:val="16"/>
                <w:szCs w:val="16"/>
              </w:rPr>
            </w:pPr>
          </w:p>
        </w:tc>
      </w:tr>
      <w:tr w:rsidR="009B487A" w:rsidRPr="00722885" w14:paraId="6D029E0A" w14:textId="77777777" w:rsidTr="00CC5360">
        <w:tc>
          <w:tcPr>
            <w:tcW w:w="1809" w:type="dxa"/>
          </w:tcPr>
          <w:p w14:paraId="51756D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констр. Туполева</w:t>
            </w:r>
          </w:p>
        </w:tc>
        <w:tc>
          <w:tcPr>
            <w:tcW w:w="723" w:type="dxa"/>
          </w:tcPr>
          <w:p w14:paraId="20E90EEB" w14:textId="77777777" w:rsidR="00AE7191" w:rsidRPr="00722885" w:rsidRDefault="00AE7191" w:rsidP="00722885">
            <w:pPr>
              <w:pStyle w:val="Iauiue"/>
              <w:jc w:val="both"/>
              <w:rPr>
                <w:color w:val="000000" w:themeColor="text1"/>
                <w:sz w:val="16"/>
                <w:szCs w:val="16"/>
              </w:rPr>
            </w:pPr>
          </w:p>
        </w:tc>
        <w:tc>
          <w:tcPr>
            <w:tcW w:w="862" w:type="dxa"/>
          </w:tcPr>
          <w:p w14:paraId="27EE051F" w14:textId="77777777" w:rsidR="00AE7191" w:rsidRPr="00722885" w:rsidRDefault="00AE7191" w:rsidP="00722885">
            <w:pPr>
              <w:pStyle w:val="Iauiue"/>
              <w:jc w:val="both"/>
              <w:rPr>
                <w:color w:val="000000" w:themeColor="text1"/>
                <w:sz w:val="16"/>
                <w:szCs w:val="16"/>
              </w:rPr>
            </w:pPr>
          </w:p>
        </w:tc>
        <w:tc>
          <w:tcPr>
            <w:tcW w:w="865" w:type="dxa"/>
          </w:tcPr>
          <w:p w14:paraId="71472F21" w14:textId="77777777" w:rsidR="00AE7191" w:rsidRPr="00722885" w:rsidRDefault="00AE7191" w:rsidP="00722885">
            <w:pPr>
              <w:pStyle w:val="Iauiue"/>
              <w:jc w:val="both"/>
              <w:rPr>
                <w:color w:val="000000" w:themeColor="text1"/>
                <w:sz w:val="16"/>
                <w:szCs w:val="16"/>
              </w:rPr>
            </w:pPr>
          </w:p>
        </w:tc>
        <w:tc>
          <w:tcPr>
            <w:tcW w:w="692" w:type="dxa"/>
          </w:tcPr>
          <w:p w14:paraId="52E80005" w14:textId="77777777" w:rsidR="00AE7191" w:rsidRPr="00722885" w:rsidRDefault="00AE7191" w:rsidP="00722885">
            <w:pPr>
              <w:pStyle w:val="Iauiue"/>
              <w:jc w:val="both"/>
              <w:rPr>
                <w:color w:val="000000" w:themeColor="text1"/>
                <w:sz w:val="16"/>
                <w:szCs w:val="16"/>
              </w:rPr>
            </w:pPr>
          </w:p>
        </w:tc>
        <w:tc>
          <w:tcPr>
            <w:tcW w:w="1371" w:type="dxa"/>
          </w:tcPr>
          <w:p w14:paraId="2955A3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пулем. 7,62 мм</w:t>
            </w:r>
          </w:p>
        </w:tc>
        <w:tc>
          <w:tcPr>
            <w:tcW w:w="818" w:type="dxa"/>
          </w:tcPr>
          <w:p w14:paraId="557002A2" w14:textId="77777777" w:rsidR="00AE7191" w:rsidRPr="00722885" w:rsidRDefault="00AE7191" w:rsidP="00722885">
            <w:pPr>
              <w:pStyle w:val="Iauiue"/>
              <w:jc w:val="both"/>
              <w:rPr>
                <w:color w:val="000000" w:themeColor="text1"/>
                <w:sz w:val="16"/>
                <w:szCs w:val="16"/>
              </w:rPr>
            </w:pPr>
          </w:p>
        </w:tc>
        <w:tc>
          <w:tcPr>
            <w:tcW w:w="830" w:type="dxa"/>
          </w:tcPr>
          <w:p w14:paraId="4521D359" w14:textId="77777777" w:rsidR="00AE7191" w:rsidRPr="00722885" w:rsidRDefault="00AE7191" w:rsidP="00722885">
            <w:pPr>
              <w:pStyle w:val="Iauiue"/>
              <w:jc w:val="both"/>
              <w:rPr>
                <w:color w:val="000000" w:themeColor="text1"/>
                <w:sz w:val="16"/>
                <w:szCs w:val="16"/>
              </w:rPr>
            </w:pPr>
          </w:p>
        </w:tc>
        <w:tc>
          <w:tcPr>
            <w:tcW w:w="829" w:type="dxa"/>
          </w:tcPr>
          <w:p w14:paraId="3DB5D6A6" w14:textId="77777777" w:rsidR="00AE7191" w:rsidRPr="00722885" w:rsidRDefault="00AE7191" w:rsidP="00722885">
            <w:pPr>
              <w:pStyle w:val="Iauiue"/>
              <w:jc w:val="both"/>
              <w:rPr>
                <w:color w:val="000000" w:themeColor="text1"/>
                <w:sz w:val="16"/>
                <w:szCs w:val="16"/>
              </w:rPr>
            </w:pPr>
          </w:p>
        </w:tc>
        <w:tc>
          <w:tcPr>
            <w:tcW w:w="968" w:type="dxa"/>
          </w:tcPr>
          <w:p w14:paraId="03F86591" w14:textId="77777777" w:rsidR="00AE7191" w:rsidRPr="00722885" w:rsidRDefault="00AE7191" w:rsidP="00722885">
            <w:pPr>
              <w:pStyle w:val="Iauiue"/>
              <w:jc w:val="both"/>
              <w:rPr>
                <w:color w:val="000000" w:themeColor="text1"/>
                <w:sz w:val="16"/>
                <w:szCs w:val="16"/>
              </w:rPr>
            </w:pPr>
          </w:p>
        </w:tc>
        <w:tc>
          <w:tcPr>
            <w:tcW w:w="837" w:type="dxa"/>
          </w:tcPr>
          <w:p w14:paraId="6B5D152F" w14:textId="77777777" w:rsidR="00AE7191" w:rsidRPr="00722885" w:rsidRDefault="00AE7191" w:rsidP="00722885">
            <w:pPr>
              <w:pStyle w:val="Iauiue"/>
              <w:jc w:val="both"/>
              <w:rPr>
                <w:color w:val="000000" w:themeColor="text1"/>
                <w:sz w:val="16"/>
                <w:szCs w:val="16"/>
              </w:rPr>
            </w:pPr>
          </w:p>
        </w:tc>
      </w:tr>
      <w:tr w:rsidR="009B487A" w:rsidRPr="00722885" w14:paraId="4886B2AE" w14:textId="77777777" w:rsidTr="00CC5360">
        <w:tc>
          <w:tcPr>
            <w:tcW w:w="1809" w:type="dxa"/>
          </w:tcPr>
          <w:p w14:paraId="1875CA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Модификация</w:t>
            </w:r>
          </w:p>
        </w:tc>
        <w:tc>
          <w:tcPr>
            <w:tcW w:w="723" w:type="dxa"/>
          </w:tcPr>
          <w:p w14:paraId="79D784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520</w:t>
            </w:r>
          </w:p>
        </w:tc>
        <w:tc>
          <w:tcPr>
            <w:tcW w:w="862" w:type="dxa"/>
          </w:tcPr>
          <w:p w14:paraId="5BFCD43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585/5000</w:t>
            </w:r>
          </w:p>
        </w:tc>
        <w:tc>
          <w:tcPr>
            <w:tcW w:w="865" w:type="dxa"/>
          </w:tcPr>
          <w:p w14:paraId="0D6667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1300</w:t>
            </w:r>
          </w:p>
        </w:tc>
        <w:tc>
          <w:tcPr>
            <w:tcW w:w="692" w:type="dxa"/>
          </w:tcPr>
          <w:p w14:paraId="2CA316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10000</w:t>
            </w:r>
          </w:p>
        </w:tc>
        <w:tc>
          <w:tcPr>
            <w:tcW w:w="1371" w:type="dxa"/>
          </w:tcPr>
          <w:p w14:paraId="079308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пушка 20 мм</w:t>
            </w:r>
          </w:p>
        </w:tc>
        <w:tc>
          <w:tcPr>
            <w:tcW w:w="818" w:type="dxa"/>
          </w:tcPr>
          <w:p w14:paraId="2EAAE3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830" w:type="dxa"/>
          </w:tcPr>
          <w:p w14:paraId="6CF5E4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829" w:type="dxa"/>
          </w:tcPr>
          <w:p w14:paraId="304E6B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968" w:type="dxa"/>
          </w:tcPr>
          <w:p w14:paraId="4B87FC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15.VIII.</w:t>
            </w:r>
          </w:p>
        </w:tc>
        <w:tc>
          <w:tcPr>
            <w:tcW w:w="837" w:type="dxa"/>
          </w:tcPr>
          <w:p w14:paraId="3AE399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2500</w:t>
            </w:r>
          </w:p>
        </w:tc>
      </w:tr>
      <w:tr w:rsidR="009B487A" w:rsidRPr="00722885" w14:paraId="35029B1C" w14:textId="77777777" w:rsidTr="00CC5360">
        <w:tc>
          <w:tcPr>
            <w:tcW w:w="1809" w:type="dxa"/>
          </w:tcPr>
          <w:p w14:paraId="72818B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одноместного</w:t>
            </w:r>
          </w:p>
        </w:tc>
        <w:tc>
          <w:tcPr>
            <w:tcW w:w="723" w:type="dxa"/>
          </w:tcPr>
          <w:p w14:paraId="6EDA92EC" w14:textId="77777777" w:rsidR="00AE7191" w:rsidRPr="00722885" w:rsidRDefault="00AE7191" w:rsidP="00722885">
            <w:pPr>
              <w:pStyle w:val="Iauiue"/>
              <w:jc w:val="both"/>
              <w:rPr>
                <w:color w:val="000000" w:themeColor="text1"/>
                <w:sz w:val="16"/>
                <w:szCs w:val="16"/>
              </w:rPr>
            </w:pPr>
          </w:p>
        </w:tc>
        <w:tc>
          <w:tcPr>
            <w:tcW w:w="862" w:type="dxa"/>
          </w:tcPr>
          <w:p w14:paraId="524349AA" w14:textId="77777777" w:rsidR="00AE7191" w:rsidRPr="00722885" w:rsidRDefault="00AE7191" w:rsidP="00722885">
            <w:pPr>
              <w:pStyle w:val="Iauiue"/>
              <w:jc w:val="both"/>
              <w:rPr>
                <w:color w:val="000000" w:themeColor="text1"/>
                <w:sz w:val="16"/>
                <w:szCs w:val="16"/>
              </w:rPr>
            </w:pPr>
          </w:p>
        </w:tc>
        <w:tc>
          <w:tcPr>
            <w:tcW w:w="865" w:type="dxa"/>
          </w:tcPr>
          <w:p w14:paraId="7A6DE82E" w14:textId="77777777" w:rsidR="00AE7191" w:rsidRPr="00722885" w:rsidRDefault="00AE7191" w:rsidP="00722885">
            <w:pPr>
              <w:pStyle w:val="Iauiue"/>
              <w:jc w:val="both"/>
              <w:rPr>
                <w:color w:val="000000" w:themeColor="text1"/>
                <w:sz w:val="16"/>
                <w:szCs w:val="16"/>
              </w:rPr>
            </w:pPr>
          </w:p>
        </w:tc>
        <w:tc>
          <w:tcPr>
            <w:tcW w:w="692" w:type="dxa"/>
          </w:tcPr>
          <w:p w14:paraId="65711C5A" w14:textId="77777777" w:rsidR="00AE7191" w:rsidRPr="00722885" w:rsidRDefault="00AE7191" w:rsidP="00722885">
            <w:pPr>
              <w:pStyle w:val="Iauiue"/>
              <w:jc w:val="both"/>
              <w:rPr>
                <w:color w:val="000000" w:themeColor="text1"/>
                <w:sz w:val="16"/>
                <w:szCs w:val="16"/>
              </w:rPr>
            </w:pPr>
          </w:p>
        </w:tc>
        <w:tc>
          <w:tcPr>
            <w:tcW w:w="1371" w:type="dxa"/>
          </w:tcPr>
          <w:p w14:paraId="3F599B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боезапасом</w:t>
            </w:r>
          </w:p>
        </w:tc>
        <w:tc>
          <w:tcPr>
            <w:tcW w:w="818" w:type="dxa"/>
          </w:tcPr>
          <w:p w14:paraId="6BABE881" w14:textId="77777777" w:rsidR="00AE7191" w:rsidRPr="00722885" w:rsidRDefault="00AE7191" w:rsidP="00722885">
            <w:pPr>
              <w:pStyle w:val="Iauiue"/>
              <w:jc w:val="both"/>
              <w:rPr>
                <w:color w:val="000000" w:themeColor="text1"/>
                <w:sz w:val="16"/>
                <w:szCs w:val="16"/>
              </w:rPr>
            </w:pPr>
          </w:p>
        </w:tc>
        <w:tc>
          <w:tcPr>
            <w:tcW w:w="830" w:type="dxa"/>
          </w:tcPr>
          <w:p w14:paraId="3D038324" w14:textId="77777777" w:rsidR="00AE7191" w:rsidRPr="00722885" w:rsidRDefault="00AE7191" w:rsidP="00722885">
            <w:pPr>
              <w:pStyle w:val="Iauiue"/>
              <w:jc w:val="both"/>
              <w:rPr>
                <w:color w:val="000000" w:themeColor="text1"/>
                <w:sz w:val="16"/>
                <w:szCs w:val="16"/>
              </w:rPr>
            </w:pPr>
          </w:p>
        </w:tc>
        <w:tc>
          <w:tcPr>
            <w:tcW w:w="829" w:type="dxa"/>
          </w:tcPr>
          <w:p w14:paraId="4ACAD3AB" w14:textId="77777777" w:rsidR="00AE7191" w:rsidRPr="00722885" w:rsidRDefault="00AE7191" w:rsidP="00722885">
            <w:pPr>
              <w:pStyle w:val="Iauiue"/>
              <w:jc w:val="both"/>
              <w:rPr>
                <w:color w:val="000000" w:themeColor="text1"/>
                <w:sz w:val="16"/>
                <w:szCs w:val="16"/>
              </w:rPr>
            </w:pPr>
          </w:p>
        </w:tc>
        <w:tc>
          <w:tcPr>
            <w:tcW w:w="968" w:type="dxa"/>
          </w:tcPr>
          <w:p w14:paraId="62272D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42</w:t>
            </w:r>
          </w:p>
        </w:tc>
        <w:tc>
          <w:tcPr>
            <w:tcW w:w="837" w:type="dxa"/>
          </w:tcPr>
          <w:p w14:paraId="141998AB" w14:textId="77777777" w:rsidR="00AE7191" w:rsidRPr="00722885" w:rsidRDefault="00AE7191" w:rsidP="00722885">
            <w:pPr>
              <w:pStyle w:val="Iauiue"/>
              <w:jc w:val="both"/>
              <w:rPr>
                <w:color w:val="000000" w:themeColor="text1"/>
                <w:sz w:val="16"/>
                <w:szCs w:val="16"/>
              </w:rPr>
            </w:pPr>
          </w:p>
        </w:tc>
      </w:tr>
      <w:tr w:rsidR="009B487A" w:rsidRPr="00722885" w14:paraId="693C66A4" w14:textId="77777777" w:rsidTr="00CC5360">
        <w:tc>
          <w:tcPr>
            <w:tcW w:w="1809" w:type="dxa"/>
          </w:tcPr>
          <w:p w14:paraId="400543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истребителя Як-7,</w:t>
            </w:r>
          </w:p>
        </w:tc>
        <w:tc>
          <w:tcPr>
            <w:tcW w:w="723" w:type="dxa"/>
          </w:tcPr>
          <w:p w14:paraId="24FABC5F" w14:textId="77777777" w:rsidR="00AE7191" w:rsidRPr="00722885" w:rsidRDefault="00AE7191" w:rsidP="00722885">
            <w:pPr>
              <w:pStyle w:val="Iauiue"/>
              <w:jc w:val="both"/>
              <w:rPr>
                <w:color w:val="000000" w:themeColor="text1"/>
                <w:sz w:val="16"/>
                <w:szCs w:val="16"/>
              </w:rPr>
            </w:pPr>
          </w:p>
        </w:tc>
        <w:tc>
          <w:tcPr>
            <w:tcW w:w="862" w:type="dxa"/>
          </w:tcPr>
          <w:p w14:paraId="42195790" w14:textId="77777777" w:rsidR="00AE7191" w:rsidRPr="00722885" w:rsidRDefault="00AE7191" w:rsidP="00722885">
            <w:pPr>
              <w:pStyle w:val="Iauiue"/>
              <w:jc w:val="both"/>
              <w:rPr>
                <w:color w:val="000000" w:themeColor="text1"/>
                <w:sz w:val="16"/>
                <w:szCs w:val="16"/>
              </w:rPr>
            </w:pPr>
          </w:p>
        </w:tc>
        <w:tc>
          <w:tcPr>
            <w:tcW w:w="865" w:type="dxa"/>
          </w:tcPr>
          <w:p w14:paraId="6140FAFD" w14:textId="77777777" w:rsidR="00AE7191" w:rsidRPr="00722885" w:rsidRDefault="00AE7191" w:rsidP="00722885">
            <w:pPr>
              <w:pStyle w:val="Iauiue"/>
              <w:jc w:val="both"/>
              <w:rPr>
                <w:color w:val="000000" w:themeColor="text1"/>
                <w:sz w:val="16"/>
                <w:szCs w:val="16"/>
              </w:rPr>
            </w:pPr>
          </w:p>
        </w:tc>
        <w:tc>
          <w:tcPr>
            <w:tcW w:w="692" w:type="dxa"/>
          </w:tcPr>
          <w:p w14:paraId="14E9A749" w14:textId="77777777" w:rsidR="00AE7191" w:rsidRPr="00722885" w:rsidRDefault="00AE7191" w:rsidP="00722885">
            <w:pPr>
              <w:pStyle w:val="Iauiue"/>
              <w:jc w:val="both"/>
              <w:rPr>
                <w:color w:val="000000" w:themeColor="text1"/>
                <w:sz w:val="16"/>
                <w:szCs w:val="16"/>
              </w:rPr>
            </w:pPr>
          </w:p>
        </w:tc>
        <w:tc>
          <w:tcPr>
            <w:tcW w:w="1371" w:type="dxa"/>
          </w:tcPr>
          <w:p w14:paraId="62C35A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120 снарядов</w:t>
            </w:r>
          </w:p>
        </w:tc>
        <w:tc>
          <w:tcPr>
            <w:tcW w:w="818" w:type="dxa"/>
          </w:tcPr>
          <w:p w14:paraId="7B66AB09" w14:textId="77777777" w:rsidR="00AE7191" w:rsidRPr="00722885" w:rsidRDefault="00AE7191" w:rsidP="00722885">
            <w:pPr>
              <w:pStyle w:val="Iauiue"/>
              <w:jc w:val="both"/>
              <w:rPr>
                <w:color w:val="000000" w:themeColor="text1"/>
                <w:sz w:val="16"/>
                <w:szCs w:val="16"/>
              </w:rPr>
            </w:pPr>
          </w:p>
        </w:tc>
        <w:tc>
          <w:tcPr>
            <w:tcW w:w="830" w:type="dxa"/>
          </w:tcPr>
          <w:p w14:paraId="2CBC77CD" w14:textId="77777777" w:rsidR="00AE7191" w:rsidRPr="00722885" w:rsidRDefault="00AE7191" w:rsidP="00722885">
            <w:pPr>
              <w:pStyle w:val="Iauiue"/>
              <w:jc w:val="both"/>
              <w:rPr>
                <w:color w:val="000000" w:themeColor="text1"/>
                <w:sz w:val="16"/>
                <w:szCs w:val="16"/>
              </w:rPr>
            </w:pPr>
          </w:p>
        </w:tc>
        <w:tc>
          <w:tcPr>
            <w:tcW w:w="829" w:type="dxa"/>
          </w:tcPr>
          <w:p w14:paraId="554CACF1" w14:textId="77777777" w:rsidR="00AE7191" w:rsidRPr="00722885" w:rsidRDefault="00AE7191" w:rsidP="00722885">
            <w:pPr>
              <w:pStyle w:val="Iauiue"/>
              <w:jc w:val="both"/>
              <w:rPr>
                <w:color w:val="000000" w:themeColor="text1"/>
                <w:sz w:val="16"/>
                <w:szCs w:val="16"/>
              </w:rPr>
            </w:pPr>
          </w:p>
        </w:tc>
        <w:tc>
          <w:tcPr>
            <w:tcW w:w="968" w:type="dxa"/>
          </w:tcPr>
          <w:p w14:paraId="79937F9A" w14:textId="77777777" w:rsidR="00AE7191" w:rsidRPr="00722885" w:rsidRDefault="00AE7191" w:rsidP="00722885">
            <w:pPr>
              <w:pStyle w:val="Iauiue"/>
              <w:jc w:val="both"/>
              <w:rPr>
                <w:color w:val="000000" w:themeColor="text1"/>
                <w:sz w:val="16"/>
                <w:szCs w:val="16"/>
              </w:rPr>
            </w:pPr>
          </w:p>
        </w:tc>
        <w:tc>
          <w:tcPr>
            <w:tcW w:w="837" w:type="dxa"/>
          </w:tcPr>
          <w:p w14:paraId="2A931FEC" w14:textId="77777777" w:rsidR="00AE7191" w:rsidRPr="00722885" w:rsidRDefault="00AE7191" w:rsidP="00722885">
            <w:pPr>
              <w:pStyle w:val="Iauiue"/>
              <w:jc w:val="both"/>
              <w:rPr>
                <w:color w:val="000000" w:themeColor="text1"/>
                <w:sz w:val="16"/>
                <w:szCs w:val="16"/>
              </w:rPr>
            </w:pPr>
          </w:p>
        </w:tc>
      </w:tr>
      <w:tr w:rsidR="009B487A" w:rsidRPr="00722885" w14:paraId="3AA9087B" w14:textId="77777777" w:rsidTr="00CC5360">
        <w:tc>
          <w:tcPr>
            <w:tcW w:w="1809" w:type="dxa"/>
          </w:tcPr>
          <w:p w14:paraId="4D3A8D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в варианте </w:t>
            </w:r>
          </w:p>
        </w:tc>
        <w:tc>
          <w:tcPr>
            <w:tcW w:w="723" w:type="dxa"/>
          </w:tcPr>
          <w:p w14:paraId="5A524A60" w14:textId="77777777" w:rsidR="00AE7191" w:rsidRPr="00722885" w:rsidRDefault="00AE7191" w:rsidP="00722885">
            <w:pPr>
              <w:pStyle w:val="Iauiue"/>
              <w:jc w:val="both"/>
              <w:rPr>
                <w:color w:val="000000" w:themeColor="text1"/>
                <w:sz w:val="16"/>
                <w:szCs w:val="16"/>
              </w:rPr>
            </w:pPr>
          </w:p>
        </w:tc>
        <w:tc>
          <w:tcPr>
            <w:tcW w:w="862" w:type="dxa"/>
          </w:tcPr>
          <w:p w14:paraId="21FC228A" w14:textId="77777777" w:rsidR="00AE7191" w:rsidRPr="00722885" w:rsidRDefault="00AE7191" w:rsidP="00722885">
            <w:pPr>
              <w:pStyle w:val="Iauiue"/>
              <w:jc w:val="both"/>
              <w:rPr>
                <w:color w:val="000000" w:themeColor="text1"/>
                <w:sz w:val="16"/>
                <w:szCs w:val="16"/>
              </w:rPr>
            </w:pPr>
          </w:p>
        </w:tc>
        <w:tc>
          <w:tcPr>
            <w:tcW w:w="865" w:type="dxa"/>
          </w:tcPr>
          <w:p w14:paraId="60C5BD8E" w14:textId="77777777" w:rsidR="00AE7191" w:rsidRPr="00722885" w:rsidRDefault="00AE7191" w:rsidP="00722885">
            <w:pPr>
              <w:pStyle w:val="Iauiue"/>
              <w:jc w:val="both"/>
              <w:rPr>
                <w:color w:val="000000" w:themeColor="text1"/>
                <w:sz w:val="16"/>
                <w:szCs w:val="16"/>
              </w:rPr>
            </w:pPr>
          </w:p>
        </w:tc>
        <w:tc>
          <w:tcPr>
            <w:tcW w:w="692" w:type="dxa"/>
          </w:tcPr>
          <w:p w14:paraId="1D05DDFC" w14:textId="77777777" w:rsidR="00AE7191" w:rsidRPr="00722885" w:rsidRDefault="00AE7191" w:rsidP="00722885">
            <w:pPr>
              <w:pStyle w:val="Iauiue"/>
              <w:jc w:val="both"/>
              <w:rPr>
                <w:color w:val="000000" w:themeColor="text1"/>
                <w:sz w:val="16"/>
                <w:szCs w:val="16"/>
              </w:rPr>
            </w:pPr>
          </w:p>
        </w:tc>
        <w:tc>
          <w:tcPr>
            <w:tcW w:w="1371" w:type="dxa"/>
          </w:tcPr>
          <w:p w14:paraId="0521C7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пулем.УБС</w:t>
            </w:r>
          </w:p>
        </w:tc>
        <w:tc>
          <w:tcPr>
            <w:tcW w:w="818" w:type="dxa"/>
          </w:tcPr>
          <w:p w14:paraId="7BEFEAEA" w14:textId="77777777" w:rsidR="00AE7191" w:rsidRPr="00722885" w:rsidRDefault="00AE7191" w:rsidP="00722885">
            <w:pPr>
              <w:pStyle w:val="Iauiue"/>
              <w:jc w:val="both"/>
              <w:rPr>
                <w:color w:val="000000" w:themeColor="text1"/>
                <w:sz w:val="16"/>
                <w:szCs w:val="16"/>
              </w:rPr>
            </w:pPr>
          </w:p>
        </w:tc>
        <w:tc>
          <w:tcPr>
            <w:tcW w:w="830" w:type="dxa"/>
          </w:tcPr>
          <w:p w14:paraId="3E141CA7" w14:textId="77777777" w:rsidR="00AE7191" w:rsidRPr="00722885" w:rsidRDefault="00AE7191" w:rsidP="00722885">
            <w:pPr>
              <w:pStyle w:val="Iauiue"/>
              <w:jc w:val="both"/>
              <w:rPr>
                <w:color w:val="000000" w:themeColor="text1"/>
                <w:sz w:val="16"/>
                <w:szCs w:val="16"/>
              </w:rPr>
            </w:pPr>
          </w:p>
        </w:tc>
        <w:tc>
          <w:tcPr>
            <w:tcW w:w="829" w:type="dxa"/>
          </w:tcPr>
          <w:p w14:paraId="249C0012" w14:textId="77777777" w:rsidR="00AE7191" w:rsidRPr="00722885" w:rsidRDefault="00AE7191" w:rsidP="00722885">
            <w:pPr>
              <w:pStyle w:val="Iauiue"/>
              <w:jc w:val="both"/>
              <w:rPr>
                <w:color w:val="000000" w:themeColor="text1"/>
                <w:sz w:val="16"/>
                <w:szCs w:val="16"/>
              </w:rPr>
            </w:pPr>
          </w:p>
        </w:tc>
        <w:tc>
          <w:tcPr>
            <w:tcW w:w="968" w:type="dxa"/>
          </w:tcPr>
          <w:p w14:paraId="0FBB7E5F" w14:textId="77777777" w:rsidR="00AE7191" w:rsidRPr="00722885" w:rsidRDefault="00AE7191" w:rsidP="00722885">
            <w:pPr>
              <w:pStyle w:val="Iauiue"/>
              <w:jc w:val="both"/>
              <w:rPr>
                <w:color w:val="000000" w:themeColor="text1"/>
                <w:sz w:val="16"/>
                <w:szCs w:val="16"/>
              </w:rPr>
            </w:pPr>
          </w:p>
        </w:tc>
        <w:tc>
          <w:tcPr>
            <w:tcW w:w="837" w:type="dxa"/>
          </w:tcPr>
          <w:p w14:paraId="26EBAF19" w14:textId="77777777" w:rsidR="00AE7191" w:rsidRPr="00722885" w:rsidRDefault="00AE7191" w:rsidP="00722885">
            <w:pPr>
              <w:pStyle w:val="Iauiue"/>
              <w:jc w:val="both"/>
              <w:rPr>
                <w:color w:val="000000" w:themeColor="text1"/>
                <w:sz w:val="16"/>
                <w:szCs w:val="16"/>
              </w:rPr>
            </w:pPr>
          </w:p>
        </w:tc>
      </w:tr>
      <w:tr w:rsidR="009B487A" w:rsidRPr="00722885" w14:paraId="1460C8B2" w14:textId="77777777" w:rsidTr="00CC5360">
        <w:tc>
          <w:tcPr>
            <w:tcW w:w="1809" w:type="dxa"/>
          </w:tcPr>
          <w:p w14:paraId="01B72B9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разведчика констр.</w:t>
            </w:r>
          </w:p>
        </w:tc>
        <w:tc>
          <w:tcPr>
            <w:tcW w:w="723" w:type="dxa"/>
          </w:tcPr>
          <w:p w14:paraId="6B0F9EE2" w14:textId="77777777" w:rsidR="00AE7191" w:rsidRPr="00722885" w:rsidRDefault="00AE7191" w:rsidP="00722885">
            <w:pPr>
              <w:pStyle w:val="Iauiue"/>
              <w:jc w:val="both"/>
              <w:rPr>
                <w:color w:val="000000" w:themeColor="text1"/>
                <w:sz w:val="16"/>
                <w:szCs w:val="16"/>
              </w:rPr>
            </w:pPr>
          </w:p>
        </w:tc>
        <w:tc>
          <w:tcPr>
            <w:tcW w:w="862" w:type="dxa"/>
          </w:tcPr>
          <w:p w14:paraId="514F474D" w14:textId="77777777" w:rsidR="00AE7191" w:rsidRPr="00722885" w:rsidRDefault="00AE7191" w:rsidP="00722885">
            <w:pPr>
              <w:pStyle w:val="Iauiue"/>
              <w:jc w:val="both"/>
              <w:rPr>
                <w:color w:val="000000" w:themeColor="text1"/>
                <w:sz w:val="16"/>
                <w:szCs w:val="16"/>
              </w:rPr>
            </w:pPr>
          </w:p>
        </w:tc>
        <w:tc>
          <w:tcPr>
            <w:tcW w:w="865" w:type="dxa"/>
          </w:tcPr>
          <w:p w14:paraId="696F47D6" w14:textId="77777777" w:rsidR="00AE7191" w:rsidRPr="00722885" w:rsidRDefault="00AE7191" w:rsidP="00722885">
            <w:pPr>
              <w:pStyle w:val="Iauiue"/>
              <w:jc w:val="both"/>
              <w:rPr>
                <w:color w:val="000000" w:themeColor="text1"/>
                <w:sz w:val="16"/>
                <w:szCs w:val="16"/>
              </w:rPr>
            </w:pPr>
          </w:p>
        </w:tc>
        <w:tc>
          <w:tcPr>
            <w:tcW w:w="692" w:type="dxa"/>
          </w:tcPr>
          <w:p w14:paraId="6D23C809" w14:textId="77777777" w:rsidR="00AE7191" w:rsidRPr="00722885" w:rsidRDefault="00AE7191" w:rsidP="00722885">
            <w:pPr>
              <w:pStyle w:val="Iauiue"/>
              <w:jc w:val="both"/>
              <w:rPr>
                <w:color w:val="000000" w:themeColor="text1"/>
                <w:sz w:val="16"/>
                <w:szCs w:val="16"/>
              </w:rPr>
            </w:pPr>
          </w:p>
        </w:tc>
        <w:tc>
          <w:tcPr>
            <w:tcW w:w="1371" w:type="dxa"/>
          </w:tcPr>
          <w:p w14:paraId="10BE05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боезапасом</w:t>
            </w:r>
          </w:p>
        </w:tc>
        <w:tc>
          <w:tcPr>
            <w:tcW w:w="818" w:type="dxa"/>
          </w:tcPr>
          <w:p w14:paraId="64EC4976" w14:textId="77777777" w:rsidR="00AE7191" w:rsidRPr="00722885" w:rsidRDefault="00AE7191" w:rsidP="00722885">
            <w:pPr>
              <w:pStyle w:val="Iauiue"/>
              <w:jc w:val="both"/>
              <w:rPr>
                <w:color w:val="000000" w:themeColor="text1"/>
                <w:sz w:val="16"/>
                <w:szCs w:val="16"/>
              </w:rPr>
            </w:pPr>
          </w:p>
        </w:tc>
        <w:tc>
          <w:tcPr>
            <w:tcW w:w="830" w:type="dxa"/>
          </w:tcPr>
          <w:p w14:paraId="57CB13A0" w14:textId="77777777" w:rsidR="00AE7191" w:rsidRPr="00722885" w:rsidRDefault="00AE7191" w:rsidP="00722885">
            <w:pPr>
              <w:pStyle w:val="Iauiue"/>
              <w:jc w:val="both"/>
              <w:rPr>
                <w:color w:val="000000" w:themeColor="text1"/>
                <w:sz w:val="16"/>
                <w:szCs w:val="16"/>
              </w:rPr>
            </w:pPr>
          </w:p>
        </w:tc>
        <w:tc>
          <w:tcPr>
            <w:tcW w:w="829" w:type="dxa"/>
          </w:tcPr>
          <w:p w14:paraId="24BCC036" w14:textId="77777777" w:rsidR="00AE7191" w:rsidRPr="00722885" w:rsidRDefault="00AE7191" w:rsidP="00722885">
            <w:pPr>
              <w:pStyle w:val="Iauiue"/>
              <w:jc w:val="both"/>
              <w:rPr>
                <w:color w:val="000000" w:themeColor="text1"/>
                <w:sz w:val="16"/>
                <w:szCs w:val="16"/>
              </w:rPr>
            </w:pPr>
          </w:p>
        </w:tc>
        <w:tc>
          <w:tcPr>
            <w:tcW w:w="968" w:type="dxa"/>
          </w:tcPr>
          <w:p w14:paraId="78269E59" w14:textId="77777777" w:rsidR="00AE7191" w:rsidRPr="00722885" w:rsidRDefault="00AE7191" w:rsidP="00722885">
            <w:pPr>
              <w:pStyle w:val="Iauiue"/>
              <w:jc w:val="both"/>
              <w:rPr>
                <w:color w:val="000000" w:themeColor="text1"/>
                <w:sz w:val="16"/>
                <w:szCs w:val="16"/>
              </w:rPr>
            </w:pPr>
          </w:p>
        </w:tc>
        <w:tc>
          <w:tcPr>
            <w:tcW w:w="837" w:type="dxa"/>
          </w:tcPr>
          <w:p w14:paraId="7C95A827" w14:textId="77777777" w:rsidR="00AE7191" w:rsidRPr="00722885" w:rsidRDefault="00AE7191" w:rsidP="00722885">
            <w:pPr>
              <w:pStyle w:val="Iauiue"/>
              <w:jc w:val="both"/>
              <w:rPr>
                <w:color w:val="000000" w:themeColor="text1"/>
                <w:sz w:val="16"/>
                <w:szCs w:val="16"/>
              </w:rPr>
            </w:pPr>
          </w:p>
        </w:tc>
      </w:tr>
      <w:tr w:rsidR="009B487A" w:rsidRPr="00722885" w14:paraId="1354888C" w14:textId="77777777" w:rsidTr="00CC5360">
        <w:tc>
          <w:tcPr>
            <w:tcW w:w="1809" w:type="dxa"/>
            <w:tcBorders>
              <w:bottom w:val="single" w:sz="12" w:space="0" w:color="auto"/>
            </w:tcBorders>
          </w:tcPr>
          <w:p w14:paraId="600017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Яковлева</w:t>
            </w:r>
          </w:p>
        </w:tc>
        <w:tc>
          <w:tcPr>
            <w:tcW w:w="723" w:type="dxa"/>
            <w:tcBorders>
              <w:bottom w:val="single" w:sz="12" w:space="0" w:color="auto"/>
            </w:tcBorders>
          </w:tcPr>
          <w:p w14:paraId="7E8404E2" w14:textId="77777777" w:rsidR="00AE7191" w:rsidRPr="00722885" w:rsidRDefault="00AE7191" w:rsidP="00722885">
            <w:pPr>
              <w:pStyle w:val="Iauiue"/>
              <w:jc w:val="both"/>
              <w:rPr>
                <w:color w:val="000000" w:themeColor="text1"/>
                <w:sz w:val="16"/>
                <w:szCs w:val="16"/>
              </w:rPr>
            </w:pPr>
          </w:p>
        </w:tc>
        <w:tc>
          <w:tcPr>
            <w:tcW w:w="862" w:type="dxa"/>
            <w:tcBorders>
              <w:bottom w:val="single" w:sz="12" w:space="0" w:color="auto"/>
            </w:tcBorders>
          </w:tcPr>
          <w:p w14:paraId="29BC3F46" w14:textId="77777777" w:rsidR="00AE7191" w:rsidRPr="00722885" w:rsidRDefault="00AE7191" w:rsidP="00722885">
            <w:pPr>
              <w:pStyle w:val="Iauiue"/>
              <w:jc w:val="both"/>
              <w:rPr>
                <w:color w:val="000000" w:themeColor="text1"/>
                <w:sz w:val="16"/>
                <w:szCs w:val="16"/>
              </w:rPr>
            </w:pPr>
          </w:p>
        </w:tc>
        <w:tc>
          <w:tcPr>
            <w:tcW w:w="865" w:type="dxa"/>
            <w:tcBorders>
              <w:bottom w:val="single" w:sz="12" w:space="0" w:color="auto"/>
            </w:tcBorders>
          </w:tcPr>
          <w:p w14:paraId="35D42CEF" w14:textId="77777777" w:rsidR="00AE7191" w:rsidRPr="00722885" w:rsidRDefault="00AE7191" w:rsidP="00722885">
            <w:pPr>
              <w:pStyle w:val="Iauiue"/>
              <w:jc w:val="both"/>
              <w:rPr>
                <w:color w:val="000000" w:themeColor="text1"/>
                <w:sz w:val="16"/>
                <w:szCs w:val="16"/>
              </w:rPr>
            </w:pPr>
          </w:p>
        </w:tc>
        <w:tc>
          <w:tcPr>
            <w:tcW w:w="692" w:type="dxa"/>
            <w:tcBorders>
              <w:bottom w:val="single" w:sz="12" w:space="0" w:color="auto"/>
            </w:tcBorders>
          </w:tcPr>
          <w:p w14:paraId="27CC91C3" w14:textId="77777777" w:rsidR="00AE7191" w:rsidRPr="00722885" w:rsidRDefault="00AE7191" w:rsidP="00722885">
            <w:pPr>
              <w:pStyle w:val="Iauiue"/>
              <w:jc w:val="both"/>
              <w:rPr>
                <w:color w:val="000000" w:themeColor="text1"/>
                <w:sz w:val="16"/>
                <w:szCs w:val="16"/>
              </w:rPr>
            </w:pPr>
          </w:p>
        </w:tc>
        <w:tc>
          <w:tcPr>
            <w:tcW w:w="1371" w:type="dxa"/>
            <w:tcBorders>
              <w:bottom w:val="single" w:sz="12" w:space="0" w:color="auto"/>
            </w:tcBorders>
          </w:tcPr>
          <w:p w14:paraId="6E009D8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 патрон (1633,212).</w:t>
            </w:r>
          </w:p>
        </w:tc>
        <w:tc>
          <w:tcPr>
            <w:tcW w:w="818" w:type="dxa"/>
            <w:tcBorders>
              <w:bottom w:val="single" w:sz="12" w:space="0" w:color="auto"/>
            </w:tcBorders>
          </w:tcPr>
          <w:p w14:paraId="28A782DB" w14:textId="77777777" w:rsidR="00AE7191" w:rsidRPr="00722885" w:rsidRDefault="00AE7191" w:rsidP="00722885">
            <w:pPr>
              <w:pStyle w:val="Iauiue"/>
              <w:jc w:val="both"/>
              <w:rPr>
                <w:color w:val="000000" w:themeColor="text1"/>
                <w:sz w:val="16"/>
                <w:szCs w:val="16"/>
              </w:rPr>
            </w:pPr>
          </w:p>
        </w:tc>
        <w:tc>
          <w:tcPr>
            <w:tcW w:w="830" w:type="dxa"/>
            <w:tcBorders>
              <w:bottom w:val="single" w:sz="12" w:space="0" w:color="auto"/>
            </w:tcBorders>
          </w:tcPr>
          <w:p w14:paraId="3D53E480" w14:textId="77777777" w:rsidR="00AE7191" w:rsidRPr="00722885" w:rsidRDefault="00AE7191" w:rsidP="00722885">
            <w:pPr>
              <w:pStyle w:val="Iauiue"/>
              <w:jc w:val="both"/>
              <w:rPr>
                <w:color w:val="000000" w:themeColor="text1"/>
                <w:sz w:val="16"/>
                <w:szCs w:val="16"/>
              </w:rPr>
            </w:pPr>
          </w:p>
        </w:tc>
        <w:tc>
          <w:tcPr>
            <w:tcW w:w="829" w:type="dxa"/>
            <w:tcBorders>
              <w:bottom w:val="single" w:sz="12" w:space="0" w:color="auto"/>
            </w:tcBorders>
          </w:tcPr>
          <w:p w14:paraId="5671CD47" w14:textId="77777777" w:rsidR="00AE7191" w:rsidRPr="00722885" w:rsidRDefault="00AE7191" w:rsidP="00722885">
            <w:pPr>
              <w:pStyle w:val="Iauiue"/>
              <w:jc w:val="both"/>
              <w:rPr>
                <w:color w:val="000000" w:themeColor="text1"/>
                <w:sz w:val="16"/>
                <w:szCs w:val="16"/>
              </w:rPr>
            </w:pPr>
          </w:p>
        </w:tc>
        <w:tc>
          <w:tcPr>
            <w:tcW w:w="968" w:type="dxa"/>
            <w:tcBorders>
              <w:bottom w:val="single" w:sz="12" w:space="0" w:color="auto"/>
            </w:tcBorders>
          </w:tcPr>
          <w:p w14:paraId="66DD0145" w14:textId="77777777" w:rsidR="00AE7191" w:rsidRPr="00722885" w:rsidRDefault="00AE7191" w:rsidP="00722885">
            <w:pPr>
              <w:pStyle w:val="Iauiue"/>
              <w:jc w:val="both"/>
              <w:rPr>
                <w:color w:val="000000" w:themeColor="text1"/>
                <w:sz w:val="16"/>
                <w:szCs w:val="16"/>
              </w:rPr>
            </w:pPr>
          </w:p>
        </w:tc>
        <w:tc>
          <w:tcPr>
            <w:tcW w:w="837" w:type="dxa"/>
            <w:tcBorders>
              <w:bottom w:val="single" w:sz="12" w:space="0" w:color="auto"/>
            </w:tcBorders>
          </w:tcPr>
          <w:p w14:paraId="4786A429" w14:textId="77777777" w:rsidR="00AE7191" w:rsidRPr="00722885" w:rsidRDefault="00AE7191" w:rsidP="00722885">
            <w:pPr>
              <w:pStyle w:val="Iauiue"/>
              <w:jc w:val="both"/>
              <w:rPr>
                <w:color w:val="000000" w:themeColor="text1"/>
                <w:sz w:val="16"/>
                <w:szCs w:val="16"/>
              </w:rPr>
            </w:pPr>
          </w:p>
        </w:tc>
      </w:tr>
    </w:tbl>
    <w:p w14:paraId="2D0719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Перечень опытных самолетов и модификаций, переходящих с плана 1941 года на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418"/>
        <w:gridCol w:w="919"/>
        <w:gridCol w:w="1207"/>
        <w:gridCol w:w="866"/>
        <w:gridCol w:w="3811"/>
      </w:tblGrid>
      <w:tr w:rsidR="009B487A" w:rsidRPr="00722885" w14:paraId="480B9827" w14:textId="77777777" w:rsidTr="00CC5360">
        <w:tc>
          <w:tcPr>
            <w:tcW w:w="2376" w:type="dxa"/>
            <w:tcBorders>
              <w:top w:val="single" w:sz="12" w:space="0" w:color="auto"/>
            </w:tcBorders>
          </w:tcPr>
          <w:p w14:paraId="046C4D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Наименование самолета</w:t>
            </w:r>
          </w:p>
        </w:tc>
        <w:tc>
          <w:tcPr>
            <w:tcW w:w="1418" w:type="dxa"/>
            <w:tcBorders>
              <w:top w:val="single" w:sz="12" w:space="0" w:color="auto"/>
            </w:tcBorders>
          </w:tcPr>
          <w:p w14:paraId="49E05D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Конструктор</w:t>
            </w:r>
          </w:p>
        </w:tc>
        <w:tc>
          <w:tcPr>
            <w:tcW w:w="919" w:type="dxa"/>
            <w:tcBorders>
              <w:top w:val="single" w:sz="12" w:space="0" w:color="auto"/>
            </w:tcBorders>
          </w:tcPr>
          <w:p w14:paraId="3F7754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Колич.</w:t>
            </w:r>
          </w:p>
        </w:tc>
        <w:tc>
          <w:tcPr>
            <w:tcW w:w="1207" w:type="dxa"/>
            <w:tcBorders>
              <w:top w:val="single" w:sz="12" w:space="0" w:color="auto"/>
            </w:tcBorders>
          </w:tcPr>
          <w:p w14:paraId="5FDE51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Срок</w:t>
            </w:r>
          </w:p>
        </w:tc>
        <w:tc>
          <w:tcPr>
            <w:tcW w:w="866" w:type="dxa"/>
            <w:tcBorders>
              <w:top w:val="single" w:sz="12" w:space="0" w:color="auto"/>
            </w:tcBorders>
          </w:tcPr>
          <w:p w14:paraId="6EF407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Затраты</w:t>
            </w:r>
          </w:p>
        </w:tc>
        <w:tc>
          <w:tcPr>
            <w:tcW w:w="3811" w:type="dxa"/>
            <w:tcBorders>
              <w:top w:val="single" w:sz="12" w:space="0" w:color="auto"/>
            </w:tcBorders>
          </w:tcPr>
          <w:p w14:paraId="22D45D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Примечание</w:t>
            </w:r>
          </w:p>
        </w:tc>
      </w:tr>
      <w:tr w:rsidR="009B487A" w:rsidRPr="00722885" w14:paraId="09EB9A46" w14:textId="77777777" w:rsidTr="00CC5360">
        <w:tc>
          <w:tcPr>
            <w:tcW w:w="2376" w:type="dxa"/>
          </w:tcPr>
          <w:p w14:paraId="7FD8F9D0" w14:textId="77777777" w:rsidR="00AE7191" w:rsidRPr="00722885" w:rsidRDefault="00AE7191" w:rsidP="00722885">
            <w:pPr>
              <w:pStyle w:val="Iauiue"/>
              <w:jc w:val="both"/>
              <w:rPr>
                <w:color w:val="000000" w:themeColor="text1"/>
                <w:sz w:val="16"/>
                <w:szCs w:val="16"/>
              </w:rPr>
            </w:pPr>
          </w:p>
        </w:tc>
        <w:tc>
          <w:tcPr>
            <w:tcW w:w="1418" w:type="dxa"/>
          </w:tcPr>
          <w:p w14:paraId="41F4A5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завода</w:t>
            </w:r>
          </w:p>
        </w:tc>
        <w:tc>
          <w:tcPr>
            <w:tcW w:w="919" w:type="dxa"/>
          </w:tcPr>
          <w:p w14:paraId="616F09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экз.</w:t>
            </w:r>
          </w:p>
        </w:tc>
        <w:tc>
          <w:tcPr>
            <w:tcW w:w="1207" w:type="dxa"/>
          </w:tcPr>
          <w:p w14:paraId="7BCA58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предъявлен.</w:t>
            </w:r>
          </w:p>
        </w:tc>
        <w:tc>
          <w:tcPr>
            <w:tcW w:w="866" w:type="dxa"/>
          </w:tcPr>
          <w:p w14:paraId="1CAA15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1942 г.</w:t>
            </w:r>
          </w:p>
        </w:tc>
        <w:tc>
          <w:tcPr>
            <w:tcW w:w="3811" w:type="dxa"/>
          </w:tcPr>
          <w:p w14:paraId="43F78665" w14:textId="77777777" w:rsidR="00AE7191" w:rsidRPr="00722885" w:rsidRDefault="00AE7191" w:rsidP="00722885">
            <w:pPr>
              <w:pStyle w:val="Iauiue"/>
              <w:jc w:val="both"/>
              <w:rPr>
                <w:color w:val="000000" w:themeColor="text1"/>
                <w:sz w:val="16"/>
                <w:szCs w:val="16"/>
              </w:rPr>
            </w:pPr>
          </w:p>
        </w:tc>
      </w:tr>
      <w:tr w:rsidR="009B487A" w:rsidRPr="00722885" w14:paraId="4F9B8E3F" w14:textId="77777777" w:rsidTr="00CC5360">
        <w:tc>
          <w:tcPr>
            <w:tcW w:w="2376" w:type="dxa"/>
          </w:tcPr>
          <w:p w14:paraId="2E8A3125" w14:textId="77777777" w:rsidR="00AE7191" w:rsidRPr="00722885" w:rsidRDefault="00AE7191" w:rsidP="00722885">
            <w:pPr>
              <w:pStyle w:val="Iauiue"/>
              <w:jc w:val="both"/>
              <w:rPr>
                <w:color w:val="000000" w:themeColor="text1"/>
                <w:sz w:val="16"/>
                <w:szCs w:val="16"/>
              </w:rPr>
            </w:pPr>
          </w:p>
        </w:tc>
        <w:tc>
          <w:tcPr>
            <w:tcW w:w="1418" w:type="dxa"/>
          </w:tcPr>
          <w:p w14:paraId="068C1763" w14:textId="77777777" w:rsidR="00AE7191" w:rsidRPr="00722885" w:rsidRDefault="00AE7191" w:rsidP="00722885">
            <w:pPr>
              <w:pStyle w:val="Iauiue"/>
              <w:jc w:val="both"/>
              <w:rPr>
                <w:color w:val="000000" w:themeColor="text1"/>
                <w:sz w:val="16"/>
                <w:szCs w:val="16"/>
              </w:rPr>
            </w:pPr>
          </w:p>
        </w:tc>
        <w:tc>
          <w:tcPr>
            <w:tcW w:w="919" w:type="dxa"/>
          </w:tcPr>
          <w:p w14:paraId="4769D442" w14:textId="77777777" w:rsidR="00AE7191" w:rsidRPr="00722885" w:rsidRDefault="00AE7191" w:rsidP="00722885">
            <w:pPr>
              <w:pStyle w:val="Iauiue"/>
              <w:jc w:val="both"/>
              <w:rPr>
                <w:color w:val="000000" w:themeColor="text1"/>
                <w:sz w:val="16"/>
                <w:szCs w:val="16"/>
              </w:rPr>
            </w:pPr>
          </w:p>
        </w:tc>
        <w:tc>
          <w:tcPr>
            <w:tcW w:w="1207" w:type="dxa"/>
          </w:tcPr>
          <w:p w14:paraId="4200B0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госиспыт.</w:t>
            </w:r>
          </w:p>
        </w:tc>
        <w:tc>
          <w:tcPr>
            <w:tcW w:w="866" w:type="dxa"/>
          </w:tcPr>
          <w:p w14:paraId="2F85FE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тыс. руб.</w:t>
            </w:r>
          </w:p>
        </w:tc>
        <w:tc>
          <w:tcPr>
            <w:tcW w:w="3811" w:type="dxa"/>
          </w:tcPr>
          <w:p w14:paraId="42764E03" w14:textId="77777777" w:rsidR="00AE7191" w:rsidRPr="00722885" w:rsidRDefault="00AE7191" w:rsidP="00722885">
            <w:pPr>
              <w:pStyle w:val="Iauiue"/>
              <w:jc w:val="both"/>
              <w:rPr>
                <w:color w:val="000000" w:themeColor="text1"/>
                <w:sz w:val="16"/>
                <w:szCs w:val="16"/>
              </w:rPr>
            </w:pPr>
          </w:p>
        </w:tc>
      </w:tr>
      <w:tr w:rsidR="009B487A" w:rsidRPr="00722885" w14:paraId="11158E3B" w14:textId="77777777" w:rsidTr="00CC5360">
        <w:tc>
          <w:tcPr>
            <w:tcW w:w="2376" w:type="dxa"/>
          </w:tcPr>
          <w:p w14:paraId="1DACF9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Истребители.</w:t>
            </w:r>
          </w:p>
        </w:tc>
        <w:tc>
          <w:tcPr>
            <w:tcW w:w="1418" w:type="dxa"/>
          </w:tcPr>
          <w:p w14:paraId="0FF905EC" w14:textId="77777777" w:rsidR="00AE7191" w:rsidRPr="00722885" w:rsidRDefault="00AE7191" w:rsidP="00722885">
            <w:pPr>
              <w:pStyle w:val="Iauiue"/>
              <w:jc w:val="both"/>
              <w:rPr>
                <w:color w:val="000000" w:themeColor="text1"/>
                <w:sz w:val="16"/>
                <w:szCs w:val="16"/>
              </w:rPr>
            </w:pPr>
          </w:p>
        </w:tc>
        <w:tc>
          <w:tcPr>
            <w:tcW w:w="919" w:type="dxa"/>
          </w:tcPr>
          <w:p w14:paraId="5F64E249" w14:textId="77777777" w:rsidR="00AE7191" w:rsidRPr="00722885" w:rsidRDefault="00AE7191" w:rsidP="00722885">
            <w:pPr>
              <w:pStyle w:val="Iauiue"/>
              <w:jc w:val="both"/>
              <w:rPr>
                <w:color w:val="000000" w:themeColor="text1"/>
                <w:sz w:val="16"/>
                <w:szCs w:val="16"/>
              </w:rPr>
            </w:pPr>
          </w:p>
        </w:tc>
        <w:tc>
          <w:tcPr>
            <w:tcW w:w="1207" w:type="dxa"/>
          </w:tcPr>
          <w:p w14:paraId="3C49E329" w14:textId="77777777" w:rsidR="00AE7191" w:rsidRPr="00722885" w:rsidRDefault="00AE7191" w:rsidP="00722885">
            <w:pPr>
              <w:pStyle w:val="Iauiue"/>
              <w:jc w:val="both"/>
              <w:rPr>
                <w:color w:val="000000" w:themeColor="text1"/>
                <w:sz w:val="16"/>
                <w:szCs w:val="16"/>
              </w:rPr>
            </w:pPr>
          </w:p>
        </w:tc>
        <w:tc>
          <w:tcPr>
            <w:tcW w:w="866" w:type="dxa"/>
          </w:tcPr>
          <w:p w14:paraId="799C7129" w14:textId="77777777" w:rsidR="00AE7191" w:rsidRPr="00722885" w:rsidRDefault="00AE7191" w:rsidP="00722885">
            <w:pPr>
              <w:pStyle w:val="Iauiue"/>
              <w:jc w:val="both"/>
              <w:rPr>
                <w:color w:val="000000" w:themeColor="text1"/>
                <w:sz w:val="16"/>
                <w:szCs w:val="16"/>
              </w:rPr>
            </w:pPr>
          </w:p>
        </w:tc>
        <w:tc>
          <w:tcPr>
            <w:tcW w:w="3811" w:type="dxa"/>
          </w:tcPr>
          <w:p w14:paraId="01AE26DD" w14:textId="77777777" w:rsidR="00AE7191" w:rsidRPr="00722885" w:rsidRDefault="00AE7191" w:rsidP="00722885">
            <w:pPr>
              <w:pStyle w:val="Iauiue"/>
              <w:jc w:val="both"/>
              <w:rPr>
                <w:color w:val="000000" w:themeColor="text1"/>
                <w:sz w:val="16"/>
                <w:szCs w:val="16"/>
              </w:rPr>
            </w:pPr>
          </w:p>
        </w:tc>
      </w:tr>
      <w:tr w:rsidR="009B487A" w:rsidRPr="00722885" w14:paraId="3455D000" w14:textId="77777777" w:rsidTr="00CC5360">
        <w:tc>
          <w:tcPr>
            <w:tcW w:w="2376" w:type="dxa"/>
          </w:tcPr>
          <w:p w14:paraId="02FE2B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истребителя</w:t>
            </w:r>
          </w:p>
        </w:tc>
        <w:tc>
          <w:tcPr>
            <w:tcW w:w="1418" w:type="dxa"/>
          </w:tcPr>
          <w:p w14:paraId="6BE240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Лавочкин</w:t>
            </w:r>
          </w:p>
        </w:tc>
        <w:tc>
          <w:tcPr>
            <w:tcW w:w="919" w:type="dxa"/>
          </w:tcPr>
          <w:p w14:paraId="61D3DB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178F68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1.Х.42</w:t>
            </w:r>
          </w:p>
        </w:tc>
        <w:tc>
          <w:tcPr>
            <w:tcW w:w="866" w:type="dxa"/>
          </w:tcPr>
          <w:p w14:paraId="73BB8EF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2500</w:t>
            </w:r>
          </w:p>
        </w:tc>
        <w:tc>
          <w:tcPr>
            <w:tcW w:w="3811" w:type="dxa"/>
          </w:tcPr>
          <w:p w14:paraId="7D68B0DB" w14:textId="77777777" w:rsidR="00AE7191" w:rsidRPr="00722885" w:rsidRDefault="00AE7191" w:rsidP="00722885">
            <w:pPr>
              <w:pStyle w:val="Iauiue"/>
              <w:jc w:val="both"/>
              <w:rPr>
                <w:color w:val="000000" w:themeColor="text1"/>
                <w:sz w:val="16"/>
                <w:szCs w:val="16"/>
              </w:rPr>
            </w:pPr>
          </w:p>
        </w:tc>
      </w:tr>
      <w:tr w:rsidR="009B487A" w:rsidRPr="00722885" w14:paraId="6C47A725" w14:textId="77777777" w:rsidTr="00CC5360">
        <w:tc>
          <w:tcPr>
            <w:tcW w:w="2376" w:type="dxa"/>
          </w:tcPr>
          <w:p w14:paraId="5B194F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Лагг-3 под мотор М-107</w:t>
            </w:r>
          </w:p>
        </w:tc>
        <w:tc>
          <w:tcPr>
            <w:tcW w:w="1418" w:type="dxa"/>
          </w:tcPr>
          <w:p w14:paraId="74F91D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21</w:t>
            </w:r>
          </w:p>
        </w:tc>
        <w:tc>
          <w:tcPr>
            <w:tcW w:w="919" w:type="dxa"/>
          </w:tcPr>
          <w:p w14:paraId="13DD4CD4" w14:textId="77777777" w:rsidR="00AE7191" w:rsidRPr="00722885" w:rsidRDefault="00AE7191" w:rsidP="00722885">
            <w:pPr>
              <w:pStyle w:val="Iauiue"/>
              <w:jc w:val="both"/>
              <w:rPr>
                <w:color w:val="000000" w:themeColor="text1"/>
                <w:sz w:val="16"/>
                <w:szCs w:val="16"/>
              </w:rPr>
            </w:pPr>
          </w:p>
        </w:tc>
        <w:tc>
          <w:tcPr>
            <w:tcW w:w="1207" w:type="dxa"/>
          </w:tcPr>
          <w:p w14:paraId="2BD91C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15.VII.42</w:t>
            </w:r>
          </w:p>
        </w:tc>
        <w:tc>
          <w:tcPr>
            <w:tcW w:w="866" w:type="dxa"/>
          </w:tcPr>
          <w:p w14:paraId="431EE9FF" w14:textId="77777777" w:rsidR="00AE7191" w:rsidRPr="00722885" w:rsidRDefault="00AE7191" w:rsidP="00722885">
            <w:pPr>
              <w:pStyle w:val="Iauiue"/>
              <w:jc w:val="both"/>
              <w:rPr>
                <w:color w:val="000000" w:themeColor="text1"/>
                <w:sz w:val="16"/>
                <w:szCs w:val="16"/>
              </w:rPr>
            </w:pPr>
          </w:p>
        </w:tc>
        <w:tc>
          <w:tcPr>
            <w:tcW w:w="3811" w:type="dxa"/>
          </w:tcPr>
          <w:p w14:paraId="1403AE6F" w14:textId="77777777" w:rsidR="00AE7191" w:rsidRPr="00722885" w:rsidRDefault="00AE7191" w:rsidP="00722885">
            <w:pPr>
              <w:pStyle w:val="Iauiue"/>
              <w:jc w:val="both"/>
              <w:rPr>
                <w:color w:val="000000" w:themeColor="text1"/>
                <w:sz w:val="16"/>
                <w:szCs w:val="16"/>
              </w:rPr>
            </w:pPr>
          </w:p>
        </w:tc>
      </w:tr>
      <w:tr w:rsidR="009B487A" w:rsidRPr="00722885" w14:paraId="5932B823" w14:textId="77777777" w:rsidTr="00CC5360">
        <w:tc>
          <w:tcPr>
            <w:tcW w:w="2376" w:type="dxa"/>
          </w:tcPr>
          <w:p w14:paraId="13E439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истребителя</w:t>
            </w:r>
          </w:p>
        </w:tc>
        <w:tc>
          <w:tcPr>
            <w:tcW w:w="1418" w:type="dxa"/>
          </w:tcPr>
          <w:p w14:paraId="358FA4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Лавочкин</w:t>
            </w:r>
          </w:p>
        </w:tc>
        <w:tc>
          <w:tcPr>
            <w:tcW w:w="919" w:type="dxa"/>
          </w:tcPr>
          <w:p w14:paraId="629358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49B667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1.ХП.42</w:t>
            </w:r>
          </w:p>
        </w:tc>
        <w:tc>
          <w:tcPr>
            <w:tcW w:w="866" w:type="dxa"/>
          </w:tcPr>
          <w:p w14:paraId="75B2A2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900</w:t>
            </w:r>
          </w:p>
        </w:tc>
        <w:tc>
          <w:tcPr>
            <w:tcW w:w="3811" w:type="dxa"/>
          </w:tcPr>
          <w:p w14:paraId="611E0F02" w14:textId="77777777" w:rsidR="00AE7191" w:rsidRPr="00722885" w:rsidRDefault="00AE7191" w:rsidP="00722885">
            <w:pPr>
              <w:pStyle w:val="Iauiue"/>
              <w:jc w:val="both"/>
              <w:rPr>
                <w:color w:val="000000" w:themeColor="text1"/>
                <w:sz w:val="16"/>
                <w:szCs w:val="16"/>
              </w:rPr>
            </w:pPr>
          </w:p>
        </w:tc>
      </w:tr>
      <w:tr w:rsidR="009B487A" w:rsidRPr="00722885" w14:paraId="6AFBDDAA" w14:textId="77777777" w:rsidTr="00CC5360">
        <w:tc>
          <w:tcPr>
            <w:tcW w:w="2376" w:type="dxa"/>
          </w:tcPr>
          <w:p w14:paraId="09CEEC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Лагг-3 под мотор М-82Ф</w:t>
            </w:r>
          </w:p>
        </w:tc>
        <w:tc>
          <w:tcPr>
            <w:tcW w:w="1418" w:type="dxa"/>
          </w:tcPr>
          <w:p w14:paraId="6256F0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21</w:t>
            </w:r>
          </w:p>
        </w:tc>
        <w:tc>
          <w:tcPr>
            <w:tcW w:w="919" w:type="dxa"/>
          </w:tcPr>
          <w:p w14:paraId="3C465629" w14:textId="77777777" w:rsidR="00AE7191" w:rsidRPr="00722885" w:rsidRDefault="00AE7191" w:rsidP="00722885">
            <w:pPr>
              <w:pStyle w:val="Iauiue"/>
              <w:jc w:val="both"/>
              <w:rPr>
                <w:color w:val="000000" w:themeColor="text1"/>
                <w:sz w:val="16"/>
                <w:szCs w:val="16"/>
              </w:rPr>
            </w:pPr>
          </w:p>
        </w:tc>
        <w:tc>
          <w:tcPr>
            <w:tcW w:w="1207" w:type="dxa"/>
          </w:tcPr>
          <w:p w14:paraId="716443A0" w14:textId="77777777" w:rsidR="00AE7191" w:rsidRPr="00722885" w:rsidRDefault="00AE7191" w:rsidP="00722885">
            <w:pPr>
              <w:pStyle w:val="Iauiue"/>
              <w:jc w:val="both"/>
              <w:rPr>
                <w:color w:val="000000" w:themeColor="text1"/>
                <w:sz w:val="16"/>
                <w:szCs w:val="16"/>
              </w:rPr>
            </w:pPr>
          </w:p>
        </w:tc>
        <w:tc>
          <w:tcPr>
            <w:tcW w:w="866" w:type="dxa"/>
          </w:tcPr>
          <w:p w14:paraId="2E833E12" w14:textId="77777777" w:rsidR="00AE7191" w:rsidRPr="00722885" w:rsidRDefault="00AE7191" w:rsidP="00722885">
            <w:pPr>
              <w:pStyle w:val="Iauiue"/>
              <w:jc w:val="both"/>
              <w:rPr>
                <w:color w:val="000000" w:themeColor="text1"/>
                <w:sz w:val="16"/>
                <w:szCs w:val="16"/>
              </w:rPr>
            </w:pPr>
          </w:p>
        </w:tc>
        <w:tc>
          <w:tcPr>
            <w:tcW w:w="3811" w:type="dxa"/>
          </w:tcPr>
          <w:p w14:paraId="7BF11692" w14:textId="77777777" w:rsidR="00AE7191" w:rsidRPr="00722885" w:rsidRDefault="00AE7191" w:rsidP="00722885">
            <w:pPr>
              <w:pStyle w:val="Iauiue"/>
              <w:jc w:val="both"/>
              <w:rPr>
                <w:color w:val="000000" w:themeColor="text1"/>
                <w:sz w:val="16"/>
                <w:szCs w:val="16"/>
              </w:rPr>
            </w:pPr>
          </w:p>
        </w:tc>
      </w:tr>
      <w:tr w:rsidR="009B487A" w:rsidRPr="00722885" w14:paraId="3C352FE8" w14:textId="77777777" w:rsidTr="00CC5360">
        <w:tc>
          <w:tcPr>
            <w:tcW w:w="2376" w:type="dxa"/>
          </w:tcPr>
          <w:p w14:paraId="5B73C2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истребителя</w:t>
            </w:r>
          </w:p>
        </w:tc>
        <w:tc>
          <w:tcPr>
            <w:tcW w:w="1418" w:type="dxa"/>
          </w:tcPr>
          <w:p w14:paraId="02E8AAA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Лавочкин</w:t>
            </w:r>
          </w:p>
        </w:tc>
        <w:tc>
          <w:tcPr>
            <w:tcW w:w="919" w:type="dxa"/>
          </w:tcPr>
          <w:p w14:paraId="32E827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0F34E1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15.ХП.42</w:t>
            </w:r>
          </w:p>
        </w:tc>
        <w:tc>
          <w:tcPr>
            <w:tcW w:w="866" w:type="dxa"/>
          </w:tcPr>
          <w:p w14:paraId="7AC9C24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900</w:t>
            </w:r>
          </w:p>
        </w:tc>
        <w:tc>
          <w:tcPr>
            <w:tcW w:w="3811" w:type="dxa"/>
          </w:tcPr>
          <w:p w14:paraId="2930478A" w14:textId="77777777" w:rsidR="00AE7191" w:rsidRPr="00722885" w:rsidRDefault="00AE7191" w:rsidP="00722885">
            <w:pPr>
              <w:pStyle w:val="Iauiue"/>
              <w:jc w:val="both"/>
              <w:rPr>
                <w:color w:val="000000" w:themeColor="text1"/>
                <w:sz w:val="16"/>
                <w:szCs w:val="16"/>
              </w:rPr>
            </w:pPr>
          </w:p>
        </w:tc>
      </w:tr>
      <w:tr w:rsidR="009B487A" w:rsidRPr="00722885" w14:paraId="63C2B2D1" w14:textId="77777777" w:rsidTr="00CC5360">
        <w:tc>
          <w:tcPr>
            <w:tcW w:w="2376" w:type="dxa"/>
          </w:tcPr>
          <w:p w14:paraId="5F7BA8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Лагг-3 под мотор М-105П</w:t>
            </w:r>
          </w:p>
        </w:tc>
        <w:tc>
          <w:tcPr>
            <w:tcW w:w="1418" w:type="dxa"/>
          </w:tcPr>
          <w:p w14:paraId="2601F2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21</w:t>
            </w:r>
          </w:p>
        </w:tc>
        <w:tc>
          <w:tcPr>
            <w:tcW w:w="919" w:type="dxa"/>
          </w:tcPr>
          <w:p w14:paraId="33C2C392" w14:textId="77777777" w:rsidR="00AE7191" w:rsidRPr="00722885" w:rsidRDefault="00AE7191" w:rsidP="00722885">
            <w:pPr>
              <w:pStyle w:val="Iauiue"/>
              <w:jc w:val="both"/>
              <w:rPr>
                <w:color w:val="000000" w:themeColor="text1"/>
                <w:sz w:val="16"/>
                <w:szCs w:val="16"/>
              </w:rPr>
            </w:pPr>
          </w:p>
        </w:tc>
        <w:tc>
          <w:tcPr>
            <w:tcW w:w="1207" w:type="dxa"/>
          </w:tcPr>
          <w:p w14:paraId="51D5824B" w14:textId="77777777" w:rsidR="00AE7191" w:rsidRPr="00722885" w:rsidRDefault="00AE7191" w:rsidP="00722885">
            <w:pPr>
              <w:pStyle w:val="Iauiue"/>
              <w:jc w:val="both"/>
              <w:rPr>
                <w:color w:val="000000" w:themeColor="text1"/>
                <w:sz w:val="16"/>
                <w:szCs w:val="16"/>
              </w:rPr>
            </w:pPr>
          </w:p>
        </w:tc>
        <w:tc>
          <w:tcPr>
            <w:tcW w:w="866" w:type="dxa"/>
          </w:tcPr>
          <w:p w14:paraId="06F45150" w14:textId="77777777" w:rsidR="00AE7191" w:rsidRPr="00722885" w:rsidRDefault="00AE7191" w:rsidP="00722885">
            <w:pPr>
              <w:pStyle w:val="Iauiue"/>
              <w:jc w:val="both"/>
              <w:rPr>
                <w:color w:val="000000" w:themeColor="text1"/>
                <w:sz w:val="16"/>
                <w:szCs w:val="16"/>
              </w:rPr>
            </w:pPr>
          </w:p>
        </w:tc>
        <w:tc>
          <w:tcPr>
            <w:tcW w:w="3811" w:type="dxa"/>
          </w:tcPr>
          <w:p w14:paraId="65E02A46" w14:textId="77777777" w:rsidR="00AE7191" w:rsidRPr="00722885" w:rsidRDefault="00AE7191" w:rsidP="00722885">
            <w:pPr>
              <w:pStyle w:val="Iauiue"/>
              <w:jc w:val="both"/>
              <w:rPr>
                <w:color w:val="000000" w:themeColor="text1"/>
                <w:sz w:val="16"/>
                <w:szCs w:val="16"/>
              </w:rPr>
            </w:pPr>
          </w:p>
        </w:tc>
      </w:tr>
      <w:tr w:rsidR="009B487A" w:rsidRPr="00722885" w14:paraId="44E0B20C" w14:textId="77777777" w:rsidTr="00CC5360">
        <w:tc>
          <w:tcPr>
            <w:tcW w:w="2376" w:type="dxa"/>
          </w:tcPr>
          <w:p w14:paraId="3F52F1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нагнетателем Трескина</w:t>
            </w:r>
          </w:p>
        </w:tc>
        <w:tc>
          <w:tcPr>
            <w:tcW w:w="1418" w:type="dxa"/>
          </w:tcPr>
          <w:p w14:paraId="6C0CE1C3" w14:textId="77777777" w:rsidR="00AE7191" w:rsidRPr="00722885" w:rsidRDefault="00AE7191" w:rsidP="00722885">
            <w:pPr>
              <w:pStyle w:val="Iauiue"/>
              <w:jc w:val="both"/>
              <w:rPr>
                <w:color w:val="000000" w:themeColor="text1"/>
                <w:sz w:val="16"/>
                <w:szCs w:val="16"/>
              </w:rPr>
            </w:pPr>
          </w:p>
        </w:tc>
        <w:tc>
          <w:tcPr>
            <w:tcW w:w="919" w:type="dxa"/>
          </w:tcPr>
          <w:p w14:paraId="453DF717" w14:textId="77777777" w:rsidR="00AE7191" w:rsidRPr="00722885" w:rsidRDefault="00AE7191" w:rsidP="00722885">
            <w:pPr>
              <w:pStyle w:val="Iauiue"/>
              <w:jc w:val="both"/>
              <w:rPr>
                <w:color w:val="000000" w:themeColor="text1"/>
                <w:sz w:val="16"/>
                <w:szCs w:val="16"/>
              </w:rPr>
            </w:pPr>
          </w:p>
        </w:tc>
        <w:tc>
          <w:tcPr>
            <w:tcW w:w="1207" w:type="dxa"/>
          </w:tcPr>
          <w:p w14:paraId="753D13EE" w14:textId="77777777" w:rsidR="00AE7191" w:rsidRPr="00722885" w:rsidRDefault="00AE7191" w:rsidP="00722885">
            <w:pPr>
              <w:pStyle w:val="Iauiue"/>
              <w:jc w:val="both"/>
              <w:rPr>
                <w:color w:val="000000" w:themeColor="text1"/>
                <w:sz w:val="16"/>
                <w:szCs w:val="16"/>
              </w:rPr>
            </w:pPr>
          </w:p>
        </w:tc>
        <w:tc>
          <w:tcPr>
            <w:tcW w:w="866" w:type="dxa"/>
          </w:tcPr>
          <w:p w14:paraId="433284DA" w14:textId="77777777" w:rsidR="00AE7191" w:rsidRPr="00722885" w:rsidRDefault="00AE7191" w:rsidP="00722885">
            <w:pPr>
              <w:pStyle w:val="Iauiue"/>
              <w:jc w:val="both"/>
              <w:rPr>
                <w:color w:val="000000" w:themeColor="text1"/>
                <w:sz w:val="16"/>
                <w:szCs w:val="16"/>
              </w:rPr>
            </w:pPr>
          </w:p>
        </w:tc>
        <w:tc>
          <w:tcPr>
            <w:tcW w:w="3811" w:type="dxa"/>
          </w:tcPr>
          <w:p w14:paraId="041F6E8C" w14:textId="77777777" w:rsidR="00AE7191" w:rsidRPr="00722885" w:rsidRDefault="00AE7191" w:rsidP="00722885">
            <w:pPr>
              <w:pStyle w:val="Iauiue"/>
              <w:jc w:val="both"/>
              <w:rPr>
                <w:color w:val="000000" w:themeColor="text1"/>
                <w:sz w:val="16"/>
                <w:szCs w:val="16"/>
              </w:rPr>
            </w:pPr>
          </w:p>
        </w:tc>
      </w:tr>
      <w:tr w:rsidR="009B487A" w:rsidRPr="00722885" w14:paraId="4048F383" w14:textId="77777777" w:rsidTr="00CC5360">
        <w:tc>
          <w:tcPr>
            <w:tcW w:w="2376" w:type="dxa"/>
          </w:tcPr>
          <w:p w14:paraId="7B1B51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истребителя сопровождения ДИС-200 под мотор М-82</w:t>
            </w:r>
          </w:p>
        </w:tc>
        <w:tc>
          <w:tcPr>
            <w:tcW w:w="1418" w:type="dxa"/>
          </w:tcPr>
          <w:p w14:paraId="6208C4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Микоян</w:t>
            </w:r>
          </w:p>
          <w:p w14:paraId="0562F6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155</w:t>
            </w:r>
          </w:p>
        </w:tc>
        <w:tc>
          <w:tcPr>
            <w:tcW w:w="919" w:type="dxa"/>
          </w:tcPr>
          <w:p w14:paraId="409307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tc>
        <w:tc>
          <w:tcPr>
            <w:tcW w:w="1207" w:type="dxa"/>
          </w:tcPr>
          <w:p w14:paraId="639114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15.Х1.42</w:t>
            </w:r>
          </w:p>
        </w:tc>
        <w:tc>
          <w:tcPr>
            <w:tcW w:w="866" w:type="dxa"/>
          </w:tcPr>
          <w:p w14:paraId="4FCC50E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1200</w:t>
            </w:r>
          </w:p>
        </w:tc>
        <w:tc>
          <w:tcPr>
            <w:tcW w:w="3811" w:type="dxa"/>
          </w:tcPr>
          <w:p w14:paraId="6C48CF63" w14:textId="77777777" w:rsidR="00AE7191" w:rsidRPr="00722885" w:rsidRDefault="00AE7191" w:rsidP="00722885">
            <w:pPr>
              <w:pStyle w:val="Iauiue"/>
              <w:jc w:val="both"/>
              <w:rPr>
                <w:color w:val="000000" w:themeColor="text1"/>
                <w:sz w:val="16"/>
                <w:szCs w:val="16"/>
              </w:rPr>
            </w:pPr>
          </w:p>
        </w:tc>
      </w:tr>
      <w:tr w:rsidR="009B487A" w:rsidRPr="00722885" w14:paraId="7C8C75FA" w14:textId="77777777" w:rsidTr="00CC5360">
        <w:tc>
          <w:tcPr>
            <w:tcW w:w="2376" w:type="dxa"/>
          </w:tcPr>
          <w:p w14:paraId="49B2CDD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истребителя МиГ-3 под мотор М-82</w:t>
            </w:r>
          </w:p>
        </w:tc>
        <w:tc>
          <w:tcPr>
            <w:tcW w:w="1418" w:type="dxa"/>
          </w:tcPr>
          <w:p w14:paraId="6B8EB3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Микоян</w:t>
            </w:r>
          </w:p>
          <w:p w14:paraId="5C9B4A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155</w:t>
            </w:r>
          </w:p>
        </w:tc>
        <w:tc>
          <w:tcPr>
            <w:tcW w:w="919" w:type="dxa"/>
          </w:tcPr>
          <w:p w14:paraId="4C8A96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7BC20C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15.УШ.42</w:t>
            </w:r>
          </w:p>
        </w:tc>
        <w:tc>
          <w:tcPr>
            <w:tcW w:w="866" w:type="dxa"/>
          </w:tcPr>
          <w:p w14:paraId="5E64E08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w:t>
            </w:r>
          </w:p>
        </w:tc>
        <w:tc>
          <w:tcPr>
            <w:tcW w:w="3811" w:type="dxa"/>
          </w:tcPr>
          <w:p w14:paraId="5F05CCBE" w14:textId="77777777" w:rsidR="00AE7191" w:rsidRPr="00722885" w:rsidRDefault="00AE7191" w:rsidP="00722885">
            <w:pPr>
              <w:pStyle w:val="Iauiue"/>
              <w:jc w:val="both"/>
              <w:rPr>
                <w:color w:val="000000" w:themeColor="text1"/>
                <w:sz w:val="16"/>
                <w:szCs w:val="16"/>
              </w:rPr>
            </w:pPr>
          </w:p>
        </w:tc>
      </w:tr>
      <w:tr w:rsidR="009B487A" w:rsidRPr="00722885" w14:paraId="4CA95107" w14:textId="77777777" w:rsidTr="00CC5360">
        <w:tc>
          <w:tcPr>
            <w:tcW w:w="2376" w:type="dxa"/>
          </w:tcPr>
          <w:p w14:paraId="3396F9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истребителя</w:t>
            </w:r>
          </w:p>
        </w:tc>
        <w:tc>
          <w:tcPr>
            <w:tcW w:w="1418" w:type="dxa"/>
          </w:tcPr>
          <w:p w14:paraId="41F50D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Яковлев</w:t>
            </w:r>
          </w:p>
        </w:tc>
        <w:tc>
          <w:tcPr>
            <w:tcW w:w="919" w:type="dxa"/>
          </w:tcPr>
          <w:p w14:paraId="7103B1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35AC12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15.VШ.42</w:t>
            </w:r>
          </w:p>
        </w:tc>
        <w:tc>
          <w:tcPr>
            <w:tcW w:w="866" w:type="dxa"/>
          </w:tcPr>
          <w:p w14:paraId="253E07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1800</w:t>
            </w:r>
          </w:p>
        </w:tc>
        <w:tc>
          <w:tcPr>
            <w:tcW w:w="3811" w:type="dxa"/>
          </w:tcPr>
          <w:p w14:paraId="57C571BD" w14:textId="77777777" w:rsidR="00AE7191" w:rsidRPr="00722885" w:rsidRDefault="00AE7191" w:rsidP="00722885">
            <w:pPr>
              <w:pStyle w:val="Iauiue"/>
              <w:jc w:val="both"/>
              <w:rPr>
                <w:color w:val="000000" w:themeColor="text1"/>
                <w:sz w:val="16"/>
                <w:szCs w:val="16"/>
              </w:rPr>
            </w:pPr>
          </w:p>
        </w:tc>
      </w:tr>
      <w:tr w:rsidR="009B487A" w:rsidRPr="00722885" w14:paraId="1C10E8A7" w14:textId="77777777" w:rsidTr="00CC5360">
        <w:tc>
          <w:tcPr>
            <w:tcW w:w="2376" w:type="dxa"/>
          </w:tcPr>
          <w:p w14:paraId="16964C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Як-7 под мотор М-105П с</w:t>
            </w:r>
          </w:p>
        </w:tc>
        <w:tc>
          <w:tcPr>
            <w:tcW w:w="1418" w:type="dxa"/>
          </w:tcPr>
          <w:p w14:paraId="1F0414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115</w:t>
            </w:r>
          </w:p>
        </w:tc>
        <w:tc>
          <w:tcPr>
            <w:tcW w:w="919" w:type="dxa"/>
          </w:tcPr>
          <w:p w14:paraId="7A81BAC4" w14:textId="77777777" w:rsidR="00AE7191" w:rsidRPr="00722885" w:rsidRDefault="00AE7191" w:rsidP="00722885">
            <w:pPr>
              <w:pStyle w:val="Iauiue"/>
              <w:jc w:val="both"/>
              <w:rPr>
                <w:color w:val="000000" w:themeColor="text1"/>
                <w:sz w:val="16"/>
                <w:szCs w:val="16"/>
              </w:rPr>
            </w:pPr>
          </w:p>
        </w:tc>
        <w:tc>
          <w:tcPr>
            <w:tcW w:w="1207" w:type="dxa"/>
          </w:tcPr>
          <w:p w14:paraId="5DE6EA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1.Х.42</w:t>
            </w:r>
          </w:p>
        </w:tc>
        <w:tc>
          <w:tcPr>
            <w:tcW w:w="866" w:type="dxa"/>
          </w:tcPr>
          <w:p w14:paraId="7EAE4133" w14:textId="77777777" w:rsidR="00AE7191" w:rsidRPr="00722885" w:rsidRDefault="00AE7191" w:rsidP="00722885">
            <w:pPr>
              <w:pStyle w:val="Iauiue"/>
              <w:jc w:val="both"/>
              <w:rPr>
                <w:color w:val="000000" w:themeColor="text1"/>
                <w:sz w:val="16"/>
                <w:szCs w:val="16"/>
              </w:rPr>
            </w:pPr>
          </w:p>
        </w:tc>
        <w:tc>
          <w:tcPr>
            <w:tcW w:w="3811" w:type="dxa"/>
          </w:tcPr>
          <w:p w14:paraId="7E08361D" w14:textId="77777777" w:rsidR="00AE7191" w:rsidRPr="00722885" w:rsidRDefault="00AE7191" w:rsidP="00722885">
            <w:pPr>
              <w:pStyle w:val="Iauiue"/>
              <w:jc w:val="both"/>
              <w:rPr>
                <w:color w:val="000000" w:themeColor="text1"/>
                <w:sz w:val="16"/>
                <w:szCs w:val="16"/>
              </w:rPr>
            </w:pPr>
          </w:p>
        </w:tc>
      </w:tr>
      <w:tr w:rsidR="009B487A" w:rsidRPr="00722885" w14:paraId="628D6064" w14:textId="77777777" w:rsidTr="00CC5360">
        <w:tc>
          <w:tcPr>
            <w:tcW w:w="2376" w:type="dxa"/>
          </w:tcPr>
          <w:p w14:paraId="4FBA1A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нагнетателем конструкции</w:t>
            </w:r>
          </w:p>
        </w:tc>
        <w:tc>
          <w:tcPr>
            <w:tcW w:w="1418" w:type="dxa"/>
          </w:tcPr>
          <w:p w14:paraId="319FECB2" w14:textId="77777777" w:rsidR="00AE7191" w:rsidRPr="00722885" w:rsidRDefault="00AE7191" w:rsidP="00722885">
            <w:pPr>
              <w:pStyle w:val="Iauiue"/>
              <w:jc w:val="both"/>
              <w:rPr>
                <w:color w:val="000000" w:themeColor="text1"/>
                <w:sz w:val="16"/>
                <w:szCs w:val="16"/>
              </w:rPr>
            </w:pPr>
          </w:p>
        </w:tc>
        <w:tc>
          <w:tcPr>
            <w:tcW w:w="919" w:type="dxa"/>
          </w:tcPr>
          <w:p w14:paraId="5F48390F" w14:textId="77777777" w:rsidR="00AE7191" w:rsidRPr="00722885" w:rsidRDefault="00AE7191" w:rsidP="00722885">
            <w:pPr>
              <w:pStyle w:val="Iauiue"/>
              <w:jc w:val="both"/>
              <w:rPr>
                <w:color w:val="000000" w:themeColor="text1"/>
                <w:sz w:val="16"/>
                <w:szCs w:val="16"/>
              </w:rPr>
            </w:pPr>
          </w:p>
        </w:tc>
        <w:tc>
          <w:tcPr>
            <w:tcW w:w="1207" w:type="dxa"/>
          </w:tcPr>
          <w:p w14:paraId="70C1F0D4" w14:textId="77777777" w:rsidR="00AE7191" w:rsidRPr="00722885" w:rsidRDefault="00AE7191" w:rsidP="00722885">
            <w:pPr>
              <w:pStyle w:val="Iauiue"/>
              <w:jc w:val="both"/>
              <w:rPr>
                <w:color w:val="000000" w:themeColor="text1"/>
                <w:sz w:val="16"/>
                <w:szCs w:val="16"/>
              </w:rPr>
            </w:pPr>
          </w:p>
        </w:tc>
        <w:tc>
          <w:tcPr>
            <w:tcW w:w="866" w:type="dxa"/>
          </w:tcPr>
          <w:p w14:paraId="5B40E2EF" w14:textId="77777777" w:rsidR="00AE7191" w:rsidRPr="00722885" w:rsidRDefault="00AE7191" w:rsidP="00722885">
            <w:pPr>
              <w:pStyle w:val="Iauiue"/>
              <w:jc w:val="both"/>
              <w:rPr>
                <w:color w:val="000000" w:themeColor="text1"/>
                <w:sz w:val="16"/>
                <w:szCs w:val="16"/>
              </w:rPr>
            </w:pPr>
          </w:p>
        </w:tc>
        <w:tc>
          <w:tcPr>
            <w:tcW w:w="3811" w:type="dxa"/>
          </w:tcPr>
          <w:p w14:paraId="634ED6A5" w14:textId="77777777" w:rsidR="00AE7191" w:rsidRPr="00722885" w:rsidRDefault="00AE7191" w:rsidP="00722885">
            <w:pPr>
              <w:pStyle w:val="Iauiue"/>
              <w:jc w:val="both"/>
              <w:rPr>
                <w:color w:val="000000" w:themeColor="text1"/>
                <w:sz w:val="16"/>
                <w:szCs w:val="16"/>
              </w:rPr>
            </w:pPr>
          </w:p>
        </w:tc>
      </w:tr>
      <w:tr w:rsidR="009B487A" w:rsidRPr="00722885" w14:paraId="16480CEA" w14:textId="77777777" w:rsidTr="00CC5360">
        <w:tc>
          <w:tcPr>
            <w:tcW w:w="2376" w:type="dxa"/>
          </w:tcPr>
          <w:p w14:paraId="64B7BE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Доллежаля и под мотор</w:t>
            </w:r>
          </w:p>
        </w:tc>
        <w:tc>
          <w:tcPr>
            <w:tcW w:w="1418" w:type="dxa"/>
          </w:tcPr>
          <w:p w14:paraId="78051395" w14:textId="77777777" w:rsidR="00AE7191" w:rsidRPr="00722885" w:rsidRDefault="00AE7191" w:rsidP="00722885">
            <w:pPr>
              <w:pStyle w:val="Iauiue"/>
              <w:jc w:val="both"/>
              <w:rPr>
                <w:color w:val="000000" w:themeColor="text1"/>
                <w:sz w:val="16"/>
                <w:szCs w:val="16"/>
              </w:rPr>
            </w:pPr>
          </w:p>
        </w:tc>
        <w:tc>
          <w:tcPr>
            <w:tcW w:w="919" w:type="dxa"/>
          </w:tcPr>
          <w:p w14:paraId="75CD2C0B" w14:textId="77777777" w:rsidR="00AE7191" w:rsidRPr="00722885" w:rsidRDefault="00AE7191" w:rsidP="00722885">
            <w:pPr>
              <w:pStyle w:val="Iauiue"/>
              <w:jc w:val="both"/>
              <w:rPr>
                <w:color w:val="000000" w:themeColor="text1"/>
                <w:sz w:val="16"/>
                <w:szCs w:val="16"/>
              </w:rPr>
            </w:pPr>
          </w:p>
        </w:tc>
        <w:tc>
          <w:tcPr>
            <w:tcW w:w="1207" w:type="dxa"/>
          </w:tcPr>
          <w:p w14:paraId="5B1F9802" w14:textId="77777777" w:rsidR="00AE7191" w:rsidRPr="00722885" w:rsidRDefault="00AE7191" w:rsidP="00722885">
            <w:pPr>
              <w:pStyle w:val="Iauiue"/>
              <w:jc w:val="both"/>
              <w:rPr>
                <w:color w:val="000000" w:themeColor="text1"/>
                <w:sz w:val="16"/>
                <w:szCs w:val="16"/>
              </w:rPr>
            </w:pPr>
          </w:p>
        </w:tc>
        <w:tc>
          <w:tcPr>
            <w:tcW w:w="866" w:type="dxa"/>
          </w:tcPr>
          <w:p w14:paraId="661761DC" w14:textId="77777777" w:rsidR="00AE7191" w:rsidRPr="00722885" w:rsidRDefault="00AE7191" w:rsidP="00722885">
            <w:pPr>
              <w:pStyle w:val="Iauiue"/>
              <w:jc w:val="both"/>
              <w:rPr>
                <w:color w:val="000000" w:themeColor="text1"/>
                <w:sz w:val="16"/>
                <w:szCs w:val="16"/>
              </w:rPr>
            </w:pPr>
          </w:p>
        </w:tc>
        <w:tc>
          <w:tcPr>
            <w:tcW w:w="3811" w:type="dxa"/>
          </w:tcPr>
          <w:p w14:paraId="2A122CA9" w14:textId="77777777" w:rsidR="00AE7191" w:rsidRPr="00722885" w:rsidRDefault="00AE7191" w:rsidP="00722885">
            <w:pPr>
              <w:pStyle w:val="Iauiue"/>
              <w:jc w:val="both"/>
              <w:rPr>
                <w:color w:val="000000" w:themeColor="text1"/>
                <w:sz w:val="16"/>
                <w:szCs w:val="16"/>
              </w:rPr>
            </w:pPr>
          </w:p>
        </w:tc>
      </w:tr>
      <w:tr w:rsidR="009B487A" w:rsidRPr="00722885" w14:paraId="576FBE65" w14:textId="77777777" w:rsidTr="00CC5360">
        <w:tc>
          <w:tcPr>
            <w:tcW w:w="2376" w:type="dxa"/>
          </w:tcPr>
          <w:p w14:paraId="652425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М-107Ф</w:t>
            </w:r>
          </w:p>
        </w:tc>
        <w:tc>
          <w:tcPr>
            <w:tcW w:w="1418" w:type="dxa"/>
          </w:tcPr>
          <w:p w14:paraId="36B9DE50" w14:textId="77777777" w:rsidR="00AE7191" w:rsidRPr="00722885" w:rsidRDefault="00AE7191" w:rsidP="00722885">
            <w:pPr>
              <w:pStyle w:val="Iauiue"/>
              <w:jc w:val="both"/>
              <w:rPr>
                <w:color w:val="000000" w:themeColor="text1"/>
                <w:sz w:val="16"/>
                <w:szCs w:val="16"/>
              </w:rPr>
            </w:pPr>
          </w:p>
        </w:tc>
        <w:tc>
          <w:tcPr>
            <w:tcW w:w="919" w:type="dxa"/>
          </w:tcPr>
          <w:p w14:paraId="13927D21" w14:textId="77777777" w:rsidR="00AE7191" w:rsidRPr="00722885" w:rsidRDefault="00AE7191" w:rsidP="00722885">
            <w:pPr>
              <w:pStyle w:val="Iauiue"/>
              <w:jc w:val="both"/>
              <w:rPr>
                <w:color w:val="000000" w:themeColor="text1"/>
                <w:sz w:val="16"/>
                <w:szCs w:val="16"/>
              </w:rPr>
            </w:pPr>
          </w:p>
        </w:tc>
        <w:tc>
          <w:tcPr>
            <w:tcW w:w="1207" w:type="dxa"/>
          </w:tcPr>
          <w:p w14:paraId="75D71B33" w14:textId="77777777" w:rsidR="00AE7191" w:rsidRPr="00722885" w:rsidRDefault="00AE7191" w:rsidP="00722885">
            <w:pPr>
              <w:pStyle w:val="Iauiue"/>
              <w:jc w:val="both"/>
              <w:rPr>
                <w:color w:val="000000" w:themeColor="text1"/>
                <w:sz w:val="16"/>
                <w:szCs w:val="16"/>
              </w:rPr>
            </w:pPr>
          </w:p>
        </w:tc>
        <w:tc>
          <w:tcPr>
            <w:tcW w:w="866" w:type="dxa"/>
          </w:tcPr>
          <w:p w14:paraId="583B66EA" w14:textId="77777777" w:rsidR="00AE7191" w:rsidRPr="00722885" w:rsidRDefault="00AE7191" w:rsidP="00722885">
            <w:pPr>
              <w:pStyle w:val="Iauiue"/>
              <w:jc w:val="both"/>
              <w:rPr>
                <w:color w:val="000000" w:themeColor="text1"/>
                <w:sz w:val="16"/>
                <w:szCs w:val="16"/>
              </w:rPr>
            </w:pPr>
          </w:p>
        </w:tc>
        <w:tc>
          <w:tcPr>
            <w:tcW w:w="3811" w:type="dxa"/>
          </w:tcPr>
          <w:p w14:paraId="79E814B8" w14:textId="77777777" w:rsidR="00AE7191" w:rsidRPr="00722885" w:rsidRDefault="00AE7191" w:rsidP="00722885">
            <w:pPr>
              <w:pStyle w:val="Iauiue"/>
              <w:jc w:val="both"/>
              <w:rPr>
                <w:color w:val="000000" w:themeColor="text1"/>
                <w:sz w:val="16"/>
                <w:szCs w:val="16"/>
              </w:rPr>
            </w:pPr>
          </w:p>
        </w:tc>
      </w:tr>
      <w:tr w:rsidR="009B487A" w:rsidRPr="00722885" w14:paraId="07BF78BD" w14:textId="77777777" w:rsidTr="00CC5360">
        <w:tc>
          <w:tcPr>
            <w:tcW w:w="2376" w:type="dxa"/>
          </w:tcPr>
          <w:p w14:paraId="74E803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истребителя</w:t>
            </w:r>
          </w:p>
        </w:tc>
        <w:tc>
          <w:tcPr>
            <w:tcW w:w="1418" w:type="dxa"/>
          </w:tcPr>
          <w:p w14:paraId="03E3EB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Яковлев</w:t>
            </w:r>
          </w:p>
        </w:tc>
        <w:tc>
          <w:tcPr>
            <w:tcW w:w="919" w:type="dxa"/>
          </w:tcPr>
          <w:p w14:paraId="59BB90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tc>
        <w:tc>
          <w:tcPr>
            <w:tcW w:w="1207" w:type="dxa"/>
          </w:tcPr>
          <w:p w14:paraId="0B924B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15.1Х.42</w:t>
            </w:r>
          </w:p>
        </w:tc>
        <w:tc>
          <w:tcPr>
            <w:tcW w:w="866" w:type="dxa"/>
          </w:tcPr>
          <w:p w14:paraId="065D61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w:t>
            </w:r>
          </w:p>
        </w:tc>
        <w:tc>
          <w:tcPr>
            <w:tcW w:w="3811" w:type="dxa"/>
          </w:tcPr>
          <w:p w14:paraId="476EFBD2" w14:textId="77777777" w:rsidR="00AE7191" w:rsidRPr="00722885" w:rsidRDefault="00AE7191" w:rsidP="00722885">
            <w:pPr>
              <w:pStyle w:val="Iauiue"/>
              <w:jc w:val="both"/>
              <w:rPr>
                <w:color w:val="000000" w:themeColor="text1"/>
                <w:sz w:val="16"/>
                <w:szCs w:val="16"/>
              </w:rPr>
            </w:pPr>
          </w:p>
        </w:tc>
      </w:tr>
      <w:tr w:rsidR="009B487A" w:rsidRPr="00722885" w14:paraId="18234CBA" w14:textId="77777777" w:rsidTr="00CC5360">
        <w:tc>
          <w:tcPr>
            <w:tcW w:w="2376" w:type="dxa"/>
          </w:tcPr>
          <w:p w14:paraId="5787AF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Як-7 под мотор М-82</w:t>
            </w:r>
          </w:p>
        </w:tc>
        <w:tc>
          <w:tcPr>
            <w:tcW w:w="1418" w:type="dxa"/>
          </w:tcPr>
          <w:p w14:paraId="0B56F9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153</w:t>
            </w:r>
          </w:p>
        </w:tc>
        <w:tc>
          <w:tcPr>
            <w:tcW w:w="919" w:type="dxa"/>
          </w:tcPr>
          <w:p w14:paraId="229C7289" w14:textId="77777777" w:rsidR="00AE7191" w:rsidRPr="00722885" w:rsidRDefault="00AE7191" w:rsidP="00722885">
            <w:pPr>
              <w:pStyle w:val="Iauiue"/>
              <w:jc w:val="both"/>
              <w:rPr>
                <w:color w:val="000000" w:themeColor="text1"/>
                <w:sz w:val="16"/>
                <w:szCs w:val="16"/>
              </w:rPr>
            </w:pPr>
          </w:p>
        </w:tc>
        <w:tc>
          <w:tcPr>
            <w:tcW w:w="1207" w:type="dxa"/>
          </w:tcPr>
          <w:p w14:paraId="66E2C84F" w14:textId="77777777" w:rsidR="00AE7191" w:rsidRPr="00722885" w:rsidRDefault="00AE7191" w:rsidP="00722885">
            <w:pPr>
              <w:pStyle w:val="Iauiue"/>
              <w:jc w:val="both"/>
              <w:rPr>
                <w:color w:val="000000" w:themeColor="text1"/>
                <w:sz w:val="16"/>
                <w:szCs w:val="16"/>
              </w:rPr>
            </w:pPr>
          </w:p>
        </w:tc>
        <w:tc>
          <w:tcPr>
            <w:tcW w:w="866" w:type="dxa"/>
          </w:tcPr>
          <w:p w14:paraId="252B7709" w14:textId="77777777" w:rsidR="00AE7191" w:rsidRPr="00722885" w:rsidRDefault="00AE7191" w:rsidP="00722885">
            <w:pPr>
              <w:pStyle w:val="Iauiue"/>
              <w:jc w:val="both"/>
              <w:rPr>
                <w:color w:val="000000" w:themeColor="text1"/>
                <w:sz w:val="16"/>
                <w:szCs w:val="16"/>
              </w:rPr>
            </w:pPr>
          </w:p>
        </w:tc>
        <w:tc>
          <w:tcPr>
            <w:tcW w:w="3811" w:type="dxa"/>
          </w:tcPr>
          <w:p w14:paraId="0F82632C" w14:textId="77777777" w:rsidR="00AE7191" w:rsidRPr="00722885" w:rsidRDefault="00AE7191" w:rsidP="00722885">
            <w:pPr>
              <w:pStyle w:val="Iauiue"/>
              <w:jc w:val="both"/>
              <w:rPr>
                <w:color w:val="000000" w:themeColor="text1"/>
                <w:sz w:val="16"/>
                <w:szCs w:val="16"/>
              </w:rPr>
            </w:pPr>
          </w:p>
        </w:tc>
      </w:tr>
      <w:tr w:rsidR="009B487A" w:rsidRPr="00722885" w14:paraId="02BA95B4" w14:textId="77777777" w:rsidTr="00CC5360">
        <w:tc>
          <w:tcPr>
            <w:tcW w:w="2376" w:type="dxa"/>
          </w:tcPr>
          <w:p w14:paraId="1D4348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Одноместный истребитель</w:t>
            </w:r>
          </w:p>
        </w:tc>
        <w:tc>
          <w:tcPr>
            <w:tcW w:w="1418" w:type="dxa"/>
          </w:tcPr>
          <w:p w14:paraId="394D848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Поликарпов</w:t>
            </w:r>
          </w:p>
        </w:tc>
        <w:tc>
          <w:tcPr>
            <w:tcW w:w="919" w:type="dxa"/>
          </w:tcPr>
          <w:p w14:paraId="6DE2A3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w:t>
            </w:r>
          </w:p>
        </w:tc>
        <w:tc>
          <w:tcPr>
            <w:tcW w:w="1207" w:type="dxa"/>
          </w:tcPr>
          <w:p w14:paraId="2AAE4C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866" w:type="dxa"/>
          </w:tcPr>
          <w:p w14:paraId="7BBCF2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3500</w:t>
            </w:r>
          </w:p>
        </w:tc>
        <w:tc>
          <w:tcPr>
            <w:tcW w:w="3811" w:type="dxa"/>
          </w:tcPr>
          <w:p w14:paraId="1AAD3A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Летные испытания и доводки.</w:t>
            </w:r>
          </w:p>
        </w:tc>
      </w:tr>
      <w:tr w:rsidR="009B487A" w:rsidRPr="00722885" w14:paraId="40D173D2" w14:textId="77777777" w:rsidTr="00CC5360">
        <w:tc>
          <w:tcPr>
            <w:tcW w:w="2376" w:type="dxa"/>
          </w:tcPr>
          <w:p w14:paraId="4B0DDA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И-185 под моторы М-71,</w:t>
            </w:r>
          </w:p>
        </w:tc>
        <w:tc>
          <w:tcPr>
            <w:tcW w:w="1418" w:type="dxa"/>
          </w:tcPr>
          <w:p w14:paraId="6D8B19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51</w:t>
            </w:r>
          </w:p>
        </w:tc>
        <w:tc>
          <w:tcPr>
            <w:tcW w:w="919" w:type="dxa"/>
          </w:tcPr>
          <w:p w14:paraId="0C52E87D" w14:textId="77777777" w:rsidR="00AE7191" w:rsidRPr="00722885" w:rsidRDefault="00AE7191" w:rsidP="00722885">
            <w:pPr>
              <w:pStyle w:val="Iauiue"/>
              <w:jc w:val="both"/>
              <w:rPr>
                <w:color w:val="000000" w:themeColor="text1"/>
                <w:sz w:val="16"/>
                <w:szCs w:val="16"/>
              </w:rPr>
            </w:pPr>
          </w:p>
        </w:tc>
        <w:tc>
          <w:tcPr>
            <w:tcW w:w="1207" w:type="dxa"/>
          </w:tcPr>
          <w:p w14:paraId="63ADBBFB" w14:textId="77777777" w:rsidR="00AE7191" w:rsidRPr="00722885" w:rsidRDefault="00AE7191" w:rsidP="00722885">
            <w:pPr>
              <w:pStyle w:val="Iauiue"/>
              <w:jc w:val="both"/>
              <w:rPr>
                <w:color w:val="000000" w:themeColor="text1"/>
                <w:sz w:val="16"/>
                <w:szCs w:val="16"/>
              </w:rPr>
            </w:pPr>
          </w:p>
        </w:tc>
        <w:tc>
          <w:tcPr>
            <w:tcW w:w="866" w:type="dxa"/>
          </w:tcPr>
          <w:p w14:paraId="1B116B58" w14:textId="77777777" w:rsidR="00AE7191" w:rsidRPr="00722885" w:rsidRDefault="00AE7191" w:rsidP="00722885">
            <w:pPr>
              <w:pStyle w:val="Iauiue"/>
              <w:jc w:val="both"/>
              <w:rPr>
                <w:color w:val="000000" w:themeColor="text1"/>
                <w:sz w:val="16"/>
                <w:szCs w:val="16"/>
              </w:rPr>
            </w:pPr>
          </w:p>
        </w:tc>
        <w:tc>
          <w:tcPr>
            <w:tcW w:w="3811" w:type="dxa"/>
          </w:tcPr>
          <w:p w14:paraId="064FDCAC" w14:textId="77777777" w:rsidR="00AE7191" w:rsidRPr="00722885" w:rsidRDefault="00AE7191" w:rsidP="00722885">
            <w:pPr>
              <w:pStyle w:val="Iauiue"/>
              <w:jc w:val="both"/>
              <w:rPr>
                <w:color w:val="000000" w:themeColor="text1"/>
                <w:sz w:val="16"/>
                <w:szCs w:val="16"/>
              </w:rPr>
            </w:pPr>
          </w:p>
        </w:tc>
      </w:tr>
      <w:tr w:rsidR="009B487A" w:rsidRPr="00722885" w14:paraId="68E86B5C" w14:textId="77777777" w:rsidTr="00CC5360">
        <w:tc>
          <w:tcPr>
            <w:tcW w:w="2376" w:type="dxa"/>
          </w:tcPr>
          <w:p w14:paraId="3E5528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М-82 и М-90</w:t>
            </w:r>
          </w:p>
        </w:tc>
        <w:tc>
          <w:tcPr>
            <w:tcW w:w="1418" w:type="dxa"/>
          </w:tcPr>
          <w:p w14:paraId="63F0BECB" w14:textId="77777777" w:rsidR="00AE7191" w:rsidRPr="00722885" w:rsidRDefault="00AE7191" w:rsidP="00722885">
            <w:pPr>
              <w:pStyle w:val="Iauiue"/>
              <w:jc w:val="both"/>
              <w:rPr>
                <w:color w:val="000000" w:themeColor="text1"/>
                <w:sz w:val="16"/>
                <w:szCs w:val="16"/>
              </w:rPr>
            </w:pPr>
          </w:p>
        </w:tc>
        <w:tc>
          <w:tcPr>
            <w:tcW w:w="919" w:type="dxa"/>
          </w:tcPr>
          <w:p w14:paraId="25D45EEB" w14:textId="77777777" w:rsidR="00AE7191" w:rsidRPr="00722885" w:rsidRDefault="00AE7191" w:rsidP="00722885">
            <w:pPr>
              <w:pStyle w:val="Iauiue"/>
              <w:jc w:val="both"/>
              <w:rPr>
                <w:color w:val="000000" w:themeColor="text1"/>
                <w:sz w:val="16"/>
                <w:szCs w:val="16"/>
              </w:rPr>
            </w:pPr>
          </w:p>
        </w:tc>
        <w:tc>
          <w:tcPr>
            <w:tcW w:w="1207" w:type="dxa"/>
          </w:tcPr>
          <w:p w14:paraId="5F4A29CC" w14:textId="77777777" w:rsidR="00AE7191" w:rsidRPr="00722885" w:rsidRDefault="00AE7191" w:rsidP="00722885">
            <w:pPr>
              <w:pStyle w:val="Iauiue"/>
              <w:jc w:val="both"/>
              <w:rPr>
                <w:color w:val="000000" w:themeColor="text1"/>
                <w:sz w:val="16"/>
                <w:szCs w:val="16"/>
              </w:rPr>
            </w:pPr>
          </w:p>
        </w:tc>
        <w:tc>
          <w:tcPr>
            <w:tcW w:w="866" w:type="dxa"/>
          </w:tcPr>
          <w:p w14:paraId="3B325B70" w14:textId="77777777" w:rsidR="00AE7191" w:rsidRPr="00722885" w:rsidRDefault="00AE7191" w:rsidP="00722885">
            <w:pPr>
              <w:pStyle w:val="Iauiue"/>
              <w:jc w:val="both"/>
              <w:rPr>
                <w:color w:val="000000" w:themeColor="text1"/>
                <w:sz w:val="16"/>
                <w:szCs w:val="16"/>
              </w:rPr>
            </w:pPr>
          </w:p>
        </w:tc>
        <w:tc>
          <w:tcPr>
            <w:tcW w:w="3811" w:type="dxa"/>
          </w:tcPr>
          <w:p w14:paraId="15EAB9D9" w14:textId="77777777" w:rsidR="00AE7191" w:rsidRPr="00722885" w:rsidRDefault="00AE7191" w:rsidP="00722885">
            <w:pPr>
              <w:pStyle w:val="Iauiue"/>
              <w:jc w:val="both"/>
              <w:rPr>
                <w:color w:val="000000" w:themeColor="text1"/>
                <w:sz w:val="16"/>
                <w:szCs w:val="16"/>
              </w:rPr>
            </w:pPr>
          </w:p>
        </w:tc>
      </w:tr>
      <w:tr w:rsidR="009B487A" w:rsidRPr="00722885" w14:paraId="4BEB5FC7" w14:textId="77777777" w:rsidTr="00CC5360">
        <w:tc>
          <w:tcPr>
            <w:tcW w:w="2376" w:type="dxa"/>
          </w:tcPr>
          <w:p w14:paraId="376B84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Одноместный тяжелый</w:t>
            </w:r>
          </w:p>
        </w:tc>
        <w:tc>
          <w:tcPr>
            <w:tcW w:w="1418" w:type="dxa"/>
          </w:tcPr>
          <w:p w14:paraId="32CFF1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Поликарпов</w:t>
            </w:r>
          </w:p>
        </w:tc>
        <w:tc>
          <w:tcPr>
            <w:tcW w:w="919" w:type="dxa"/>
          </w:tcPr>
          <w:p w14:paraId="6E79F0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571A75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15.1Х.42</w:t>
            </w:r>
          </w:p>
        </w:tc>
        <w:tc>
          <w:tcPr>
            <w:tcW w:w="866" w:type="dxa"/>
          </w:tcPr>
          <w:p w14:paraId="2D1E5F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2500</w:t>
            </w:r>
          </w:p>
        </w:tc>
        <w:tc>
          <w:tcPr>
            <w:tcW w:w="3811" w:type="dxa"/>
          </w:tcPr>
          <w:p w14:paraId="014840D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проходит испытания.</w:t>
            </w:r>
          </w:p>
        </w:tc>
      </w:tr>
      <w:tr w:rsidR="009B487A" w:rsidRPr="00722885" w14:paraId="5BD36979" w14:textId="77777777" w:rsidTr="00CC5360">
        <w:tc>
          <w:tcPr>
            <w:tcW w:w="2376" w:type="dxa"/>
          </w:tcPr>
          <w:p w14:paraId="1FC624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истребитель "ИТП" с </w:t>
            </w:r>
          </w:p>
        </w:tc>
        <w:tc>
          <w:tcPr>
            <w:tcW w:w="1418" w:type="dxa"/>
          </w:tcPr>
          <w:p w14:paraId="0F75BA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51</w:t>
            </w:r>
          </w:p>
        </w:tc>
        <w:tc>
          <w:tcPr>
            <w:tcW w:w="919" w:type="dxa"/>
          </w:tcPr>
          <w:p w14:paraId="32892233" w14:textId="77777777" w:rsidR="00AE7191" w:rsidRPr="00722885" w:rsidRDefault="00AE7191" w:rsidP="00722885">
            <w:pPr>
              <w:pStyle w:val="Iauiue"/>
              <w:jc w:val="both"/>
              <w:rPr>
                <w:color w:val="000000" w:themeColor="text1"/>
                <w:sz w:val="16"/>
                <w:szCs w:val="16"/>
              </w:rPr>
            </w:pPr>
          </w:p>
        </w:tc>
        <w:tc>
          <w:tcPr>
            <w:tcW w:w="1207" w:type="dxa"/>
          </w:tcPr>
          <w:p w14:paraId="51F1D3F2" w14:textId="77777777" w:rsidR="00AE7191" w:rsidRPr="00722885" w:rsidRDefault="00AE7191" w:rsidP="00722885">
            <w:pPr>
              <w:pStyle w:val="Iauiue"/>
              <w:jc w:val="both"/>
              <w:rPr>
                <w:color w:val="000000" w:themeColor="text1"/>
                <w:sz w:val="16"/>
                <w:szCs w:val="16"/>
              </w:rPr>
            </w:pPr>
          </w:p>
        </w:tc>
        <w:tc>
          <w:tcPr>
            <w:tcW w:w="866" w:type="dxa"/>
          </w:tcPr>
          <w:p w14:paraId="455CC773" w14:textId="77777777" w:rsidR="00AE7191" w:rsidRPr="00722885" w:rsidRDefault="00AE7191" w:rsidP="00722885">
            <w:pPr>
              <w:pStyle w:val="Iauiue"/>
              <w:jc w:val="both"/>
              <w:rPr>
                <w:color w:val="000000" w:themeColor="text1"/>
                <w:sz w:val="16"/>
                <w:szCs w:val="16"/>
              </w:rPr>
            </w:pPr>
          </w:p>
        </w:tc>
        <w:tc>
          <w:tcPr>
            <w:tcW w:w="3811" w:type="dxa"/>
          </w:tcPr>
          <w:p w14:paraId="135C6D22" w14:textId="77777777" w:rsidR="00AE7191" w:rsidRPr="00722885" w:rsidRDefault="00AE7191" w:rsidP="00722885">
            <w:pPr>
              <w:pStyle w:val="Iauiue"/>
              <w:jc w:val="both"/>
              <w:rPr>
                <w:color w:val="000000" w:themeColor="text1"/>
                <w:sz w:val="16"/>
                <w:szCs w:val="16"/>
              </w:rPr>
            </w:pPr>
          </w:p>
        </w:tc>
      </w:tr>
      <w:tr w:rsidR="009B487A" w:rsidRPr="00722885" w14:paraId="2A30C008" w14:textId="77777777" w:rsidTr="00CC5360">
        <w:tc>
          <w:tcPr>
            <w:tcW w:w="2376" w:type="dxa"/>
          </w:tcPr>
          <w:p w14:paraId="588222A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мотором М-107 и АМ-39</w:t>
            </w:r>
          </w:p>
        </w:tc>
        <w:tc>
          <w:tcPr>
            <w:tcW w:w="1418" w:type="dxa"/>
          </w:tcPr>
          <w:p w14:paraId="1378E08D" w14:textId="77777777" w:rsidR="00AE7191" w:rsidRPr="00722885" w:rsidRDefault="00AE7191" w:rsidP="00722885">
            <w:pPr>
              <w:pStyle w:val="Iauiue"/>
              <w:jc w:val="both"/>
              <w:rPr>
                <w:color w:val="000000" w:themeColor="text1"/>
                <w:sz w:val="16"/>
                <w:szCs w:val="16"/>
              </w:rPr>
            </w:pPr>
          </w:p>
        </w:tc>
        <w:tc>
          <w:tcPr>
            <w:tcW w:w="919" w:type="dxa"/>
          </w:tcPr>
          <w:p w14:paraId="1F4B4051" w14:textId="77777777" w:rsidR="00AE7191" w:rsidRPr="00722885" w:rsidRDefault="00AE7191" w:rsidP="00722885">
            <w:pPr>
              <w:pStyle w:val="Iauiue"/>
              <w:jc w:val="both"/>
              <w:rPr>
                <w:color w:val="000000" w:themeColor="text1"/>
                <w:sz w:val="16"/>
                <w:szCs w:val="16"/>
              </w:rPr>
            </w:pPr>
          </w:p>
        </w:tc>
        <w:tc>
          <w:tcPr>
            <w:tcW w:w="1207" w:type="dxa"/>
          </w:tcPr>
          <w:p w14:paraId="24EF14A8" w14:textId="77777777" w:rsidR="00AE7191" w:rsidRPr="00722885" w:rsidRDefault="00AE7191" w:rsidP="00722885">
            <w:pPr>
              <w:pStyle w:val="Iauiue"/>
              <w:jc w:val="both"/>
              <w:rPr>
                <w:color w:val="000000" w:themeColor="text1"/>
                <w:sz w:val="16"/>
                <w:szCs w:val="16"/>
              </w:rPr>
            </w:pPr>
          </w:p>
        </w:tc>
        <w:tc>
          <w:tcPr>
            <w:tcW w:w="866" w:type="dxa"/>
          </w:tcPr>
          <w:p w14:paraId="02F83179" w14:textId="77777777" w:rsidR="00AE7191" w:rsidRPr="00722885" w:rsidRDefault="00AE7191" w:rsidP="00722885">
            <w:pPr>
              <w:pStyle w:val="Iauiue"/>
              <w:jc w:val="both"/>
              <w:rPr>
                <w:color w:val="000000" w:themeColor="text1"/>
                <w:sz w:val="16"/>
                <w:szCs w:val="16"/>
              </w:rPr>
            </w:pPr>
          </w:p>
        </w:tc>
        <w:tc>
          <w:tcPr>
            <w:tcW w:w="3811" w:type="dxa"/>
          </w:tcPr>
          <w:p w14:paraId="068EAA87" w14:textId="77777777" w:rsidR="00AE7191" w:rsidRPr="00722885" w:rsidRDefault="00AE7191" w:rsidP="00722885">
            <w:pPr>
              <w:pStyle w:val="Iauiue"/>
              <w:jc w:val="both"/>
              <w:rPr>
                <w:color w:val="000000" w:themeColor="text1"/>
                <w:sz w:val="16"/>
                <w:szCs w:val="16"/>
              </w:rPr>
            </w:pPr>
          </w:p>
        </w:tc>
      </w:tr>
      <w:tr w:rsidR="009B487A" w:rsidRPr="00722885" w14:paraId="4CC76544" w14:textId="77777777" w:rsidTr="00CC5360">
        <w:tc>
          <w:tcPr>
            <w:tcW w:w="2376" w:type="dxa"/>
          </w:tcPr>
          <w:p w14:paraId="2B43CC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Тяжелый двухместный</w:t>
            </w:r>
          </w:p>
        </w:tc>
        <w:tc>
          <w:tcPr>
            <w:tcW w:w="1418" w:type="dxa"/>
          </w:tcPr>
          <w:p w14:paraId="62FE11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919" w:type="dxa"/>
          </w:tcPr>
          <w:p w14:paraId="4804FB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tc>
        <w:tc>
          <w:tcPr>
            <w:tcW w:w="1207" w:type="dxa"/>
          </w:tcPr>
          <w:p w14:paraId="022B85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15.IХ.42</w:t>
            </w:r>
          </w:p>
        </w:tc>
        <w:tc>
          <w:tcPr>
            <w:tcW w:w="866" w:type="dxa"/>
          </w:tcPr>
          <w:p w14:paraId="5AA04B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w:t>
            </w:r>
          </w:p>
        </w:tc>
        <w:tc>
          <w:tcPr>
            <w:tcW w:w="3811" w:type="dxa"/>
          </w:tcPr>
          <w:p w14:paraId="526D78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Летные испытания и доводки.</w:t>
            </w:r>
          </w:p>
        </w:tc>
      </w:tr>
      <w:tr w:rsidR="009B487A" w:rsidRPr="00722885" w14:paraId="0861BD65" w14:textId="77777777" w:rsidTr="00CC5360">
        <w:tc>
          <w:tcPr>
            <w:tcW w:w="2376" w:type="dxa"/>
          </w:tcPr>
          <w:p w14:paraId="1884B6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истребитель "ТИС" с двумя</w:t>
            </w:r>
          </w:p>
        </w:tc>
        <w:tc>
          <w:tcPr>
            <w:tcW w:w="1418" w:type="dxa"/>
          </w:tcPr>
          <w:p w14:paraId="3646DEBD" w14:textId="77777777" w:rsidR="00AE7191" w:rsidRPr="00722885" w:rsidRDefault="00AE7191" w:rsidP="00722885">
            <w:pPr>
              <w:pStyle w:val="Iauiue"/>
              <w:jc w:val="both"/>
              <w:rPr>
                <w:color w:val="000000" w:themeColor="text1"/>
                <w:sz w:val="16"/>
                <w:szCs w:val="16"/>
              </w:rPr>
            </w:pPr>
          </w:p>
        </w:tc>
        <w:tc>
          <w:tcPr>
            <w:tcW w:w="919" w:type="dxa"/>
          </w:tcPr>
          <w:p w14:paraId="57DBD01A" w14:textId="77777777" w:rsidR="00AE7191" w:rsidRPr="00722885" w:rsidRDefault="00AE7191" w:rsidP="00722885">
            <w:pPr>
              <w:pStyle w:val="Iauiue"/>
              <w:jc w:val="both"/>
              <w:rPr>
                <w:color w:val="000000" w:themeColor="text1"/>
                <w:sz w:val="16"/>
                <w:szCs w:val="16"/>
              </w:rPr>
            </w:pPr>
          </w:p>
        </w:tc>
        <w:tc>
          <w:tcPr>
            <w:tcW w:w="1207" w:type="dxa"/>
          </w:tcPr>
          <w:p w14:paraId="26CB4E50" w14:textId="77777777" w:rsidR="00AE7191" w:rsidRPr="00722885" w:rsidRDefault="00AE7191" w:rsidP="00722885">
            <w:pPr>
              <w:pStyle w:val="Iauiue"/>
              <w:jc w:val="both"/>
              <w:rPr>
                <w:color w:val="000000" w:themeColor="text1"/>
                <w:sz w:val="16"/>
                <w:szCs w:val="16"/>
              </w:rPr>
            </w:pPr>
          </w:p>
        </w:tc>
        <w:tc>
          <w:tcPr>
            <w:tcW w:w="866" w:type="dxa"/>
          </w:tcPr>
          <w:p w14:paraId="608816DF" w14:textId="77777777" w:rsidR="00AE7191" w:rsidRPr="00722885" w:rsidRDefault="00AE7191" w:rsidP="00722885">
            <w:pPr>
              <w:pStyle w:val="Iauiue"/>
              <w:jc w:val="both"/>
              <w:rPr>
                <w:color w:val="000000" w:themeColor="text1"/>
                <w:sz w:val="16"/>
                <w:szCs w:val="16"/>
              </w:rPr>
            </w:pPr>
          </w:p>
        </w:tc>
        <w:tc>
          <w:tcPr>
            <w:tcW w:w="3811" w:type="dxa"/>
          </w:tcPr>
          <w:p w14:paraId="5FE2519C" w14:textId="77777777" w:rsidR="00AE7191" w:rsidRPr="00722885" w:rsidRDefault="00AE7191" w:rsidP="00722885">
            <w:pPr>
              <w:pStyle w:val="Iauiue"/>
              <w:jc w:val="both"/>
              <w:rPr>
                <w:color w:val="000000" w:themeColor="text1"/>
                <w:sz w:val="16"/>
                <w:szCs w:val="16"/>
              </w:rPr>
            </w:pPr>
          </w:p>
        </w:tc>
      </w:tr>
      <w:tr w:rsidR="009B487A" w:rsidRPr="00722885" w14:paraId="070595B4" w14:textId="77777777" w:rsidTr="00CC5360">
        <w:tc>
          <w:tcPr>
            <w:tcW w:w="2376" w:type="dxa"/>
          </w:tcPr>
          <w:p w14:paraId="28AB78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моторами АМ-37</w:t>
            </w:r>
          </w:p>
        </w:tc>
        <w:tc>
          <w:tcPr>
            <w:tcW w:w="1418" w:type="dxa"/>
          </w:tcPr>
          <w:p w14:paraId="553A91CD" w14:textId="77777777" w:rsidR="00AE7191" w:rsidRPr="00722885" w:rsidRDefault="00AE7191" w:rsidP="00722885">
            <w:pPr>
              <w:pStyle w:val="Iauiue"/>
              <w:jc w:val="both"/>
              <w:rPr>
                <w:color w:val="000000" w:themeColor="text1"/>
                <w:sz w:val="16"/>
                <w:szCs w:val="16"/>
              </w:rPr>
            </w:pPr>
          </w:p>
        </w:tc>
        <w:tc>
          <w:tcPr>
            <w:tcW w:w="919" w:type="dxa"/>
          </w:tcPr>
          <w:p w14:paraId="42F8545E" w14:textId="77777777" w:rsidR="00AE7191" w:rsidRPr="00722885" w:rsidRDefault="00AE7191" w:rsidP="00722885">
            <w:pPr>
              <w:pStyle w:val="Iauiue"/>
              <w:jc w:val="both"/>
              <w:rPr>
                <w:color w:val="000000" w:themeColor="text1"/>
                <w:sz w:val="16"/>
                <w:szCs w:val="16"/>
              </w:rPr>
            </w:pPr>
          </w:p>
        </w:tc>
        <w:tc>
          <w:tcPr>
            <w:tcW w:w="1207" w:type="dxa"/>
          </w:tcPr>
          <w:p w14:paraId="4BC96D65" w14:textId="77777777" w:rsidR="00AE7191" w:rsidRPr="00722885" w:rsidRDefault="00AE7191" w:rsidP="00722885">
            <w:pPr>
              <w:pStyle w:val="Iauiue"/>
              <w:jc w:val="both"/>
              <w:rPr>
                <w:color w:val="000000" w:themeColor="text1"/>
                <w:sz w:val="16"/>
                <w:szCs w:val="16"/>
              </w:rPr>
            </w:pPr>
          </w:p>
        </w:tc>
        <w:tc>
          <w:tcPr>
            <w:tcW w:w="866" w:type="dxa"/>
          </w:tcPr>
          <w:p w14:paraId="09768DF7" w14:textId="77777777" w:rsidR="00AE7191" w:rsidRPr="00722885" w:rsidRDefault="00AE7191" w:rsidP="00722885">
            <w:pPr>
              <w:pStyle w:val="Iauiue"/>
              <w:jc w:val="both"/>
              <w:rPr>
                <w:color w:val="000000" w:themeColor="text1"/>
                <w:sz w:val="16"/>
                <w:szCs w:val="16"/>
              </w:rPr>
            </w:pPr>
          </w:p>
        </w:tc>
        <w:tc>
          <w:tcPr>
            <w:tcW w:w="3811" w:type="dxa"/>
          </w:tcPr>
          <w:p w14:paraId="24310124" w14:textId="77777777" w:rsidR="00AE7191" w:rsidRPr="00722885" w:rsidRDefault="00AE7191" w:rsidP="00722885">
            <w:pPr>
              <w:pStyle w:val="Iauiue"/>
              <w:jc w:val="both"/>
              <w:rPr>
                <w:color w:val="000000" w:themeColor="text1"/>
                <w:sz w:val="16"/>
                <w:szCs w:val="16"/>
              </w:rPr>
            </w:pPr>
          </w:p>
        </w:tc>
      </w:tr>
      <w:tr w:rsidR="009B487A" w:rsidRPr="00722885" w14:paraId="56C789B3" w14:textId="77777777" w:rsidTr="00CC5360">
        <w:tc>
          <w:tcPr>
            <w:tcW w:w="2376" w:type="dxa"/>
          </w:tcPr>
          <w:p w14:paraId="7C4CC2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Одноместный истребитель “110” с мотором М-107</w:t>
            </w:r>
          </w:p>
        </w:tc>
        <w:tc>
          <w:tcPr>
            <w:tcW w:w="1418" w:type="dxa"/>
          </w:tcPr>
          <w:p w14:paraId="27D922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Томашевич</w:t>
            </w:r>
          </w:p>
          <w:p w14:paraId="500BDE8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288</w:t>
            </w:r>
          </w:p>
        </w:tc>
        <w:tc>
          <w:tcPr>
            <w:tcW w:w="919" w:type="dxa"/>
          </w:tcPr>
          <w:p w14:paraId="726412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tc>
        <w:tc>
          <w:tcPr>
            <w:tcW w:w="1207" w:type="dxa"/>
          </w:tcPr>
          <w:p w14:paraId="042D04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1.1Х.42</w:t>
            </w:r>
          </w:p>
        </w:tc>
        <w:tc>
          <w:tcPr>
            <w:tcW w:w="866" w:type="dxa"/>
          </w:tcPr>
          <w:p w14:paraId="4E0385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3200</w:t>
            </w:r>
          </w:p>
        </w:tc>
        <w:tc>
          <w:tcPr>
            <w:tcW w:w="3811" w:type="dxa"/>
          </w:tcPr>
          <w:p w14:paraId="7832FAAC" w14:textId="77777777" w:rsidR="00AE7191" w:rsidRPr="00722885" w:rsidRDefault="00AE7191" w:rsidP="00722885">
            <w:pPr>
              <w:pStyle w:val="Iauiue"/>
              <w:jc w:val="both"/>
              <w:rPr>
                <w:color w:val="000000" w:themeColor="text1"/>
                <w:sz w:val="16"/>
                <w:szCs w:val="16"/>
              </w:rPr>
            </w:pPr>
          </w:p>
        </w:tc>
      </w:tr>
      <w:tr w:rsidR="009B487A" w:rsidRPr="00722885" w14:paraId="12127079" w14:textId="77777777" w:rsidTr="00CC5360">
        <w:tc>
          <w:tcPr>
            <w:tcW w:w="2376" w:type="dxa"/>
          </w:tcPr>
          <w:p w14:paraId="3FFA83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Одноместный бронированный штурмовик с мотором М-71</w:t>
            </w:r>
          </w:p>
        </w:tc>
        <w:tc>
          <w:tcPr>
            <w:tcW w:w="1418" w:type="dxa"/>
          </w:tcPr>
          <w:p w14:paraId="089584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Сухой</w:t>
            </w:r>
          </w:p>
          <w:p w14:paraId="6B1478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289</w:t>
            </w:r>
          </w:p>
        </w:tc>
        <w:tc>
          <w:tcPr>
            <w:tcW w:w="919" w:type="dxa"/>
          </w:tcPr>
          <w:p w14:paraId="0B5AD4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36A222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866" w:type="dxa"/>
          </w:tcPr>
          <w:p w14:paraId="050015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800</w:t>
            </w:r>
          </w:p>
        </w:tc>
        <w:tc>
          <w:tcPr>
            <w:tcW w:w="3811" w:type="dxa"/>
          </w:tcPr>
          <w:p w14:paraId="6F43AB6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Летные испытания и доводки.</w:t>
            </w:r>
          </w:p>
        </w:tc>
      </w:tr>
      <w:tr w:rsidR="009B487A" w:rsidRPr="00722885" w14:paraId="6235481E" w14:textId="77777777" w:rsidTr="00CC5360">
        <w:tc>
          <w:tcPr>
            <w:tcW w:w="2376" w:type="dxa"/>
          </w:tcPr>
          <w:p w14:paraId="687189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II. Бомбардировщики.</w:t>
            </w:r>
          </w:p>
        </w:tc>
        <w:tc>
          <w:tcPr>
            <w:tcW w:w="1418" w:type="dxa"/>
          </w:tcPr>
          <w:p w14:paraId="66AE3E45" w14:textId="77777777" w:rsidR="00AE7191" w:rsidRPr="00722885" w:rsidRDefault="00AE7191" w:rsidP="00722885">
            <w:pPr>
              <w:pStyle w:val="Iauiue"/>
              <w:jc w:val="both"/>
              <w:rPr>
                <w:color w:val="000000" w:themeColor="text1"/>
                <w:sz w:val="16"/>
                <w:szCs w:val="16"/>
              </w:rPr>
            </w:pPr>
          </w:p>
        </w:tc>
        <w:tc>
          <w:tcPr>
            <w:tcW w:w="919" w:type="dxa"/>
          </w:tcPr>
          <w:p w14:paraId="4597C657" w14:textId="77777777" w:rsidR="00AE7191" w:rsidRPr="00722885" w:rsidRDefault="00AE7191" w:rsidP="00722885">
            <w:pPr>
              <w:pStyle w:val="Iauiue"/>
              <w:jc w:val="both"/>
              <w:rPr>
                <w:color w:val="000000" w:themeColor="text1"/>
                <w:sz w:val="16"/>
                <w:szCs w:val="16"/>
              </w:rPr>
            </w:pPr>
          </w:p>
        </w:tc>
        <w:tc>
          <w:tcPr>
            <w:tcW w:w="1207" w:type="dxa"/>
          </w:tcPr>
          <w:p w14:paraId="6AA0D94F" w14:textId="77777777" w:rsidR="00AE7191" w:rsidRPr="00722885" w:rsidRDefault="00AE7191" w:rsidP="00722885">
            <w:pPr>
              <w:pStyle w:val="Iauiue"/>
              <w:jc w:val="both"/>
              <w:rPr>
                <w:color w:val="000000" w:themeColor="text1"/>
                <w:sz w:val="16"/>
                <w:szCs w:val="16"/>
              </w:rPr>
            </w:pPr>
          </w:p>
        </w:tc>
        <w:tc>
          <w:tcPr>
            <w:tcW w:w="866" w:type="dxa"/>
          </w:tcPr>
          <w:p w14:paraId="37BDA682" w14:textId="77777777" w:rsidR="00AE7191" w:rsidRPr="00722885" w:rsidRDefault="00AE7191" w:rsidP="00722885">
            <w:pPr>
              <w:pStyle w:val="Iauiue"/>
              <w:jc w:val="both"/>
              <w:rPr>
                <w:color w:val="000000" w:themeColor="text1"/>
                <w:sz w:val="16"/>
                <w:szCs w:val="16"/>
              </w:rPr>
            </w:pPr>
          </w:p>
        </w:tc>
        <w:tc>
          <w:tcPr>
            <w:tcW w:w="3811" w:type="dxa"/>
          </w:tcPr>
          <w:p w14:paraId="01A997E8" w14:textId="77777777" w:rsidR="00AE7191" w:rsidRPr="00722885" w:rsidRDefault="00AE7191" w:rsidP="00722885">
            <w:pPr>
              <w:pStyle w:val="Iauiue"/>
              <w:jc w:val="both"/>
              <w:rPr>
                <w:color w:val="000000" w:themeColor="text1"/>
                <w:sz w:val="16"/>
                <w:szCs w:val="16"/>
              </w:rPr>
            </w:pPr>
          </w:p>
        </w:tc>
      </w:tr>
      <w:tr w:rsidR="009B487A" w:rsidRPr="00722885" w14:paraId="7245E6EC" w14:textId="77777777" w:rsidTr="00CC5360">
        <w:tc>
          <w:tcPr>
            <w:tcW w:w="2376" w:type="dxa"/>
          </w:tcPr>
          <w:p w14:paraId="311C80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бомбардиров.</w:t>
            </w:r>
          </w:p>
        </w:tc>
        <w:tc>
          <w:tcPr>
            <w:tcW w:w="1418" w:type="dxa"/>
          </w:tcPr>
          <w:p w14:paraId="2D7B10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Путилов</w:t>
            </w:r>
          </w:p>
        </w:tc>
        <w:tc>
          <w:tcPr>
            <w:tcW w:w="919" w:type="dxa"/>
          </w:tcPr>
          <w:p w14:paraId="6528B8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6646BF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1.1Х.42</w:t>
            </w:r>
          </w:p>
        </w:tc>
        <w:tc>
          <w:tcPr>
            <w:tcW w:w="866" w:type="dxa"/>
          </w:tcPr>
          <w:p w14:paraId="433EDCE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3000</w:t>
            </w:r>
          </w:p>
        </w:tc>
        <w:tc>
          <w:tcPr>
            <w:tcW w:w="3811" w:type="dxa"/>
          </w:tcPr>
          <w:p w14:paraId="5DADDE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Моторы М-107 устанавлив. Вместо</w:t>
            </w:r>
          </w:p>
        </w:tc>
      </w:tr>
      <w:tr w:rsidR="009B487A" w:rsidRPr="00722885" w14:paraId="13A178B9" w14:textId="77777777" w:rsidTr="00CC5360">
        <w:tc>
          <w:tcPr>
            <w:tcW w:w="2376" w:type="dxa"/>
          </w:tcPr>
          <w:p w14:paraId="7EB8E0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Пе-2 под моторы М-107</w:t>
            </w:r>
          </w:p>
        </w:tc>
        <w:tc>
          <w:tcPr>
            <w:tcW w:w="1418" w:type="dxa"/>
          </w:tcPr>
          <w:p w14:paraId="1593DB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22</w:t>
            </w:r>
          </w:p>
        </w:tc>
        <w:tc>
          <w:tcPr>
            <w:tcW w:w="919" w:type="dxa"/>
          </w:tcPr>
          <w:p w14:paraId="64501A6B" w14:textId="77777777" w:rsidR="00AE7191" w:rsidRPr="00722885" w:rsidRDefault="00AE7191" w:rsidP="00722885">
            <w:pPr>
              <w:pStyle w:val="Iauiue"/>
              <w:jc w:val="both"/>
              <w:rPr>
                <w:color w:val="000000" w:themeColor="text1"/>
                <w:sz w:val="16"/>
                <w:szCs w:val="16"/>
              </w:rPr>
            </w:pPr>
          </w:p>
        </w:tc>
        <w:tc>
          <w:tcPr>
            <w:tcW w:w="1207" w:type="dxa"/>
          </w:tcPr>
          <w:p w14:paraId="70125CBA" w14:textId="77777777" w:rsidR="00AE7191" w:rsidRPr="00722885" w:rsidRDefault="00AE7191" w:rsidP="00722885">
            <w:pPr>
              <w:pStyle w:val="Iauiue"/>
              <w:jc w:val="both"/>
              <w:rPr>
                <w:color w:val="000000" w:themeColor="text1"/>
                <w:sz w:val="16"/>
                <w:szCs w:val="16"/>
              </w:rPr>
            </w:pPr>
          </w:p>
        </w:tc>
        <w:tc>
          <w:tcPr>
            <w:tcW w:w="866" w:type="dxa"/>
          </w:tcPr>
          <w:p w14:paraId="0B7C2DF4" w14:textId="77777777" w:rsidR="00AE7191" w:rsidRPr="00722885" w:rsidRDefault="00AE7191" w:rsidP="00722885">
            <w:pPr>
              <w:pStyle w:val="Iauiue"/>
              <w:jc w:val="both"/>
              <w:rPr>
                <w:color w:val="000000" w:themeColor="text1"/>
                <w:sz w:val="16"/>
                <w:szCs w:val="16"/>
              </w:rPr>
            </w:pPr>
          </w:p>
        </w:tc>
        <w:tc>
          <w:tcPr>
            <w:tcW w:w="3811" w:type="dxa"/>
          </w:tcPr>
          <w:p w14:paraId="35FBB0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моторов М-105Ф.</w:t>
            </w:r>
          </w:p>
        </w:tc>
      </w:tr>
      <w:tr w:rsidR="009B487A" w:rsidRPr="00722885" w14:paraId="1B73E4F1" w14:textId="77777777" w:rsidTr="00CC5360">
        <w:tc>
          <w:tcPr>
            <w:tcW w:w="2376" w:type="dxa"/>
          </w:tcPr>
          <w:p w14:paraId="34A11F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Модификация бомбардиров.</w:t>
            </w:r>
          </w:p>
        </w:tc>
        <w:tc>
          <w:tcPr>
            <w:tcW w:w="1418" w:type="dxa"/>
          </w:tcPr>
          <w:p w14:paraId="244850B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Путилов</w:t>
            </w:r>
          </w:p>
        </w:tc>
        <w:tc>
          <w:tcPr>
            <w:tcW w:w="919" w:type="dxa"/>
          </w:tcPr>
          <w:p w14:paraId="054C55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5C88D4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1.VII.42</w:t>
            </w:r>
          </w:p>
        </w:tc>
        <w:tc>
          <w:tcPr>
            <w:tcW w:w="866" w:type="dxa"/>
          </w:tcPr>
          <w:p w14:paraId="083A67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2800</w:t>
            </w:r>
          </w:p>
        </w:tc>
        <w:tc>
          <w:tcPr>
            <w:tcW w:w="3811" w:type="dxa"/>
          </w:tcPr>
          <w:p w14:paraId="439DE556" w14:textId="77777777" w:rsidR="00AE7191" w:rsidRPr="00722885" w:rsidRDefault="00AE7191" w:rsidP="00722885">
            <w:pPr>
              <w:pStyle w:val="Iauiue"/>
              <w:jc w:val="both"/>
              <w:rPr>
                <w:color w:val="000000" w:themeColor="text1"/>
                <w:sz w:val="16"/>
                <w:szCs w:val="16"/>
              </w:rPr>
            </w:pPr>
          </w:p>
        </w:tc>
      </w:tr>
      <w:tr w:rsidR="009B487A" w:rsidRPr="00722885" w14:paraId="098B67EB" w14:textId="77777777" w:rsidTr="00CC5360">
        <w:tc>
          <w:tcPr>
            <w:tcW w:w="2376" w:type="dxa"/>
          </w:tcPr>
          <w:p w14:paraId="4822BD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Пе-2 под моторы М-82</w:t>
            </w:r>
          </w:p>
        </w:tc>
        <w:tc>
          <w:tcPr>
            <w:tcW w:w="1418" w:type="dxa"/>
          </w:tcPr>
          <w:p w14:paraId="77BC85B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22</w:t>
            </w:r>
          </w:p>
        </w:tc>
        <w:tc>
          <w:tcPr>
            <w:tcW w:w="919" w:type="dxa"/>
          </w:tcPr>
          <w:p w14:paraId="16621147" w14:textId="77777777" w:rsidR="00AE7191" w:rsidRPr="00722885" w:rsidRDefault="00AE7191" w:rsidP="00722885">
            <w:pPr>
              <w:pStyle w:val="Iauiue"/>
              <w:jc w:val="both"/>
              <w:rPr>
                <w:color w:val="000000" w:themeColor="text1"/>
                <w:sz w:val="16"/>
                <w:szCs w:val="16"/>
              </w:rPr>
            </w:pPr>
          </w:p>
        </w:tc>
        <w:tc>
          <w:tcPr>
            <w:tcW w:w="1207" w:type="dxa"/>
          </w:tcPr>
          <w:p w14:paraId="4B3D7DF9" w14:textId="77777777" w:rsidR="00AE7191" w:rsidRPr="00722885" w:rsidRDefault="00AE7191" w:rsidP="00722885">
            <w:pPr>
              <w:pStyle w:val="Iauiue"/>
              <w:jc w:val="both"/>
              <w:rPr>
                <w:color w:val="000000" w:themeColor="text1"/>
                <w:sz w:val="16"/>
                <w:szCs w:val="16"/>
              </w:rPr>
            </w:pPr>
          </w:p>
        </w:tc>
        <w:tc>
          <w:tcPr>
            <w:tcW w:w="866" w:type="dxa"/>
          </w:tcPr>
          <w:p w14:paraId="1116A79B" w14:textId="77777777" w:rsidR="00AE7191" w:rsidRPr="00722885" w:rsidRDefault="00AE7191" w:rsidP="00722885">
            <w:pPr>
              <w:pStyle w:val="Iauiue"/>
              <w:jc w:val="both"/>
              <w:rPr>
                <w:color w:val="000000" w:themeColor="text1"/>
                <w:sz w:val="16"/>
                <w:szCs w:val="16"/>
              </w:rPr>
            </w:pPr>
          </w:p>
        </w:tc>
        <w:tc>
          <w:tcPr>
            <w:tcW w:w="3811" w:type="dxa"/>
          </w:tcPr>
          <w:p w14:paraId="2D28993C" w14:textId="77777777" w:rsidR="00AE7191" w:rsidRPr="00722885" w:rsidRDefault="00AE7191" w:rsidP="00722885">
            <w:pPr>
              <w:pStyle w:val="Iauiue"/>
              <w:jc w:val="both"/>
              <w:rPr>
                <w:color w:val="000000" w:themeColor="text1"/>
                <w:sz w:val="16"/>
                <w:szCs w:val="16"/>
              </w:rPr>
            </w:pPr>
          </w:p>
        </w:tc>
      </w:tr>
      <w:tr w:rsidR="009B487A" w:rsidRPr="00722885" w14:paraId="1C8AD5C6" w14:textId="77777777" w:rsidTr="00CC5360">
        <w:tc>
          <w:tcPr>
            <w:tcW w:w="2376" w:type="dxa"/>
          </w:tcPr>
          <w:p w14:paraId="441E63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бомбардиров.</w:t>
            </w:r>
          </w:p>
        </w:tc>
        <w:tc>
          <w:tcPr>
            <w:tcW w:w="1418" w:type="dxa"/>
          </w:tcPr>
          <w:p w14:paraId="5CCA20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919" w:type="dxa"/>
          </w:tcPr>
          <w:p w14:paraId="5156F60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tc>
        <w:tc>
          <w:tcPr>
            <w:tcW w:w="1207" w:type="dxa"/>
          </w:tcPr>
          <w:p w14:paraId="1028948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1.Х.42</w:t>
            </w:r>
          </w:p>
        </w:tc>
        <w:tc>
          <w:tcPr>
            <w:tcW w:w="866" w:type="dxa"/>
          </w:tcPr>
          <w:p w14:paraId="7FD6C4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1100</w:t>
            </w:r>
          </w:p>
        </w:tc>
        <w:tc>
          <w:tcPr>
            <w:tcW w:w="3811" w:type="dxa"/>
          </w:tcPr>
          <w:p w14:paraId="6D48CA6E" w14:textId="77777777" w:rsidR="00AE7191" w:rsidRPr="00722885" w:rsidRDefault="00AE7191" w:rsidP="00722885">
            <w:pPr>
              <w:pStyle w:val="Iauiue"/>
              <w:jc w:val="both"/>
              <w:rPr>
                <w:color w:val="000000" w:themeColor="text1"/>
                <w:sz w:val="16"/>
                <w:szCs w:val="16"/>
              </w:rPr>
            </w:pPr>
          </w:p>
        </w:tc>
      </w:tr>
      <w:tr w:rsidR="009B487A" w:rsidRPr="00722885" w14:paraId="7F1C759D" w14:textId="77777777" w:rsidTr="00CC5360">
        <w:tc>
          <w:tcPr>
            <w:tcW w:w="2376" w:type="dxa"/>
          </w:tcPr>
          <w:p w14:paraId="1537D1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Пе-2 с М-105 с деревян.</w:t>
            </w:r>
          </w:p>
        </w:tc>
        <w:tc>
          <w:tcPr>
            <w:tcW w:w="1418" w:type="dxa"/>
          </w:tcPr>
          <w:p w14:paraId="196C89F8" w14:textId="77777777" w:rsidR="00AE7191" w:rsidRPr="00722885" w:rsidRDefault="00AE7191" w:rsidP="00722885">
            <w:pPr>
              <w:pStyle w:val="Iauiue"/>
              <w:jc w:val="both"/>
              <w:rPr>
                <w:color w:val="000000" w:themeColor="text1"/>
                <w:sz w:val="16"/>
                <w:szCs w:val="16"/>
              </w:rPr>
            </w:pPr>
          </w:p>
        </w:tc>
        <w:tc>
          <w:tcPr>
            <w:tcW w:w="919" w:type="dxa"/>
          </w:tcPr>
          <w:p w14:paraId="73F5B599" w14:textId="77777777" w:rsidR="00AE7191" w:rsidRPr="00722885" w:rsidRDefault="00AE7191" w:rsidP="00722885">
            <w:pPr>
              <w:pStyle w:val="Iauiue"/>
              <w:jc w:val="both"/>
              <w:rPr>
                <w:color w:val="000000" w:themeColor="text1"/>
                <w:sz w:val="16"/>
                <w:szCs w:val="16"/>
              </w:rPr>
            </w:pPr>
          </w:p>
        </w:tc>
        <w:tc>
          <w:tcPr>
            <w:tcW w:w="1207" w:type="dxa"/>
          </w:tcPr>
          <w:p w14:paraId="3444ABDD" w14:textId="77777777" w:rsidR="00AE7191" w:rsidRPr="00722885" w:rsidRDefault="00AE7191" w:rsidP="00722885">
            <w:pPr>
              <w:pStyle w:val="Iauiue"/>
              <w:jc w:val="both"/>
              <w:rPr>
                <w:color w:val="000000" w:themeColor="text1"/>
                <w:sz w:val="16"/>
                <w:szCs w:val="16"/>
              </w:rPr>
            </w:pPr>
          </w:p>
        </w:tc>
        <w:tc>
          <w:tcPr>
            <w:tcW w:w="866" w:type="dxa"/>
          </w:tcPr>
          <w:p w14:paraId="49820BBC" w14:textId="77777777" w:rsidR="00AE7191" w:rsidRPr="00722885" w:rsidRDefault="00AE7191" w:rsidP="00722885">
            <w:pPr>
              <w:pStyle w:val="Iauiue"/>
              <w:jc w:val="both"/>
              <w:rPr>
                <w:color w:val="000000" w:themeColor="text1"/>
                <w:sz w:val="16"/>
                <w:szCs w:val="16"/>
              </w:rPr>
            </w:pPr>
          </w:p>
        </w:tc>
        <w:tc>
          <w:tcPr>
            <w:tcW w:w="3811" w:type="dxa"/>
          </w:tcPr>
          <w:p w14:paraId="1D090BF5" w14:textId="77777777" w:rsidR="00AE7191" w:rsidRPr="00722885" w:rsidRDefault="00AE7191" w:rsidP="00722885">
            <w:pPr>
              <w:pStyle w:val="Iauiue"/>
              <w:jc w:val="both"/>
              <w:rPr>
                <w:color w:val="000000" w:themeColor="text1"/>
                <w:sz w:val="16"/>
                <w:szCs w:val="16"/>
              </w:rPr>
            </w:pPr>
          </w:p>
        </w:tc>
      </w:tr>
      <w:tr w:rsidR="009B487A" w:rsidRPr="00722885" w14:paraId="740DB57D" w14:textId="77777777" w:rsidTr="00CC5360">
        <w:tc>
          <w:tcPr>
            <w:tcW w:w="2376" w:type="dxa"/>
          </w:tcPr>
          <w:p w14:paraId="01D910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консолями крыльев</w:t>
            </w:r>
          </w:p>
        </w:tc>
        <w:tc>
          <w:tcPr>
            <w:tcW w:w="1418" w:type="dxa"/>
          </w:tcPr>
          <w:p w14:paraId="7F572FBB" w14:textId="77777777" w:rsidR="00AE7191" w:rsidRPr="00722885" w:rsidRDefault="00AE7191" w:rsidP="00722885">
            <w:pPr>
              <w:pStyle w:val="Iauiue"/>
              <w:jc w:val="both"/>
              <w:rPr>
                <w:color w:val="000000" w:themeColor="text1"/>
                <w:sz w:val="16"/>
                <w:szCs w:val="16"/>
              </w:rPr>
            </w:pPr>
          </w:p>
        </w:tc>
        <w:tc>
          <w:tcPr>
            <w:tcW w:w="919" w:type="dxa"/>
          </w:tcPr>
          <w:p w14:paraId="4ECF23DA" w14:textId="77777777" w:rsidR="00AE7191" w:rsidRPr="00722885" w:rsidRDefault="00AE7191" w:rsidP="00722885">
            <w:pPr>
              <w:pStyle w:val="Iauiue"/>
              <w:jc w:val="both"/>
              <w:rPr>
                <w:color w:val="000000" w:themeColor="text1"/>
                <w:sz w:val="16"/>
                <w:szCs w:val="16"/>
              </w:rPr>
            </w:pPr>
          </w:p>
        </w:tc>
        <w:tc>
          <w:tcPr>
            <w:tcW w:w="1207" w:type="dxa"/>
          </w:tcPr>
          <w:p w14:paraId="7B9F49F8" w14:textId="77777777" w:rsidR="00AE7191" w:rsidRPr="00722885" w:rsidRDefault="00AE7191" w:rsidP="00722885">
            <w:pPr>
              <w:pStyle w:val="Iauiue"/>
              <w:jc w:val="both"/>
              <w:rPr>
                <w:color w:val="000000" w:themeColor="text1"/>
                <w:sz w:val="16"/>
                <w:szCs w:val="16"/>
              </w:rPr>
            </w:pPr>
          </w:p>
        </w:tc>
        <w:tc>
          <w:tcPr>
            <w:tcW w:w="866" w:type="dxa"/>
          </w:tcPr>
          <w:p w14:paraId="28E59EE3" w14:textId="77777777" w:rsidR="00AE7191" w:rsidRPr="00722885" w:rsidRDefault="00AE7191" w:rsidP="00722885">
            <w:pPr>
              <w:pStyle w:val="Iauiue"/>
              <w:jc w:val="both"/>
              <w:rPr>
                <w:color w:val="000000" w:themeColor="text1"/>
                <w:sz w:val="16"/>
                <w:szCs w:val="16"/>
              </w:rPr>
            </w:pPr>
          </w:p>
        </w:tc>
        <w:tc>
          <w:tcPr>
            <w:tcW w:w="3811" w:type="dxa"/>
          </w:tcPr>
          <w:p w14:paraId="0C0D449B" w14:textId="77777777" w:rsidR="00AE7191" w:rsidRPr="00722885" w:rsidRDefault="00AE7191" w:rsidP="00722885">
            <w:pPr>
              <w:pStyle w:val="Iauiue"/>
              <w:jc w:val="both"/>
              <w:rPr>
                <w:color w:val="000000" w:themeColor="text1"/>
                <w:sz w:val="16"/>
                <w:szCs w:val="16"/>
              </w:rPr>
            </w:pPr>
          </w:p>
        </w:tc>
      </w:tr>
      <w:tr w:rsidR="009B487A" w:rsidRPr="00722885" w14:paraId="0EFC6394" w14:textId="77777777" w:rsidTr="00CC5360">
        <w:tc>
          <w:tcPr>
            <w:tcW w:w="2376" w:type="dxa"/>
          </w:tcPr>
          <w:p w14:paraId="4CF86B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улучшенного профиля</w:t>
            </w:r>
          </w:p>
        </w:tc>
        <w:tc>
          <w:tcPr>
            <w:tcW w:w="1418" w:type="dxa"/>
          </w:tcPr>
          <w:p w14:paraId="7147C202" w14:textId="77777777" w:rsidR="00AE7191" w:rsidRPr="00722885" w:rsidRDefault="00AE7191" w:rsidP="00722885">
            <w:pPr>
              <w:pStyle w:val="Iauiue"/>
              <w:jc w:val="both"/>
              <w:rPr>
                <w:color w:val="000000" w:themeColor="text1"/>
                <w:sz w:val="16"/>
                <w:szCs w:val="16"/>
              </w:rPr>
            </w:pPr>
          </w:p>
        </w:tc>
        <w:tc>
          <w:tcPr>
            <w:tcW w:w="919" w:type="dxa"/>
          </w:tcPr>
          <w:p w14:paraId="68EAB1B9" w14:textId="77777777" w:rsidR="00AE7191" w:rsidRPr="00722885" w:rsidRDefault="00AE7191" w:rsidP="00722885">
            <w:pPr>
              <w:pStyle w:val="Iauiue"/>
              <w:jc w:val="both"/>
              <w:rPr>
                <w:color w:val="000000" w:themeColor="text1"/>
                <w:sz w:val="16"/>
                <w:szCs w:val="16"/>
              </w:rPr>
            </w:pPr>
          </w:p>
        </w:tc>
        <w:tc>
          <w:tcPr>
            <w:tcW w:w="1207" w:type="dxa"/>
          </w:tcPr>
          <w:p w14:paraId="0EB0EEBC" w14:textId="77777777" w:rsidR="00AE7191" w:rsidRPr="00722885" w:rsidRDefault="00AE7191" w:rsidP="00722885">
            <w:pPr>
              <w:pStyle w:val="Iauiue"/>
              <w:jc w:val="both"/>
              <w:rPr>
                <w:color w:val="000000" w:themeColor="text1"/>
                <w:sz w:val="16"/>
                <w:szCs w:val="16"/>
              </w:rPr>
            </w:pPr>
          </w:p>
        </w:tc>
        <w:tc>
          <w:tcPr>
            <w:tcW w:w="866" w:type="dxa"/>
          </w:tcPr>
          <w:p w14:paraId="34C364AF" w14:textId="77777777" w:rsidR="00AE7191" w:rsidRPr="00722885" w:rsidRDefault="00AE7191" w:rsidP="00722885">
            <w:pPr>
              <w:pStyle w:val="Iauiue"/>
              <w:jc w:val="both"/>
              <w:rPr>
                <w:color w:val="000000" w:themeColor="text1"/>
                <w:sz w:val="16"/>
                <w:szCs w:val="16"/>
              </w:rPr>
            </w:pPr>
          </w:p>
        </w:tc>
        <w:tc>
          <w:tcPr>
            <w:tcW w:w="3811" w:type="dxa"/>
          </w:tcPr>
          <w:p w14:paraId="46FA64DE" w14:textId="77777777" w:rsidR="00AE7191" w:rsidRPr="00722885" w:rsidRDefault="00AE7191" w:rsidP="00722885">
            <w:pPr>
              <w:pStyle w:val="Iauiue"/>
              <w:jc w:val="both"/>
              <w:rPr>
                <w:color w:val="000000" w:themeColor="text1"/>
                <w:sz w:val="16"/>
                <w:szCs w:val="16"/>
              </w:rPr>
            </w:pPr>
          </w:p>
        </w:tc>
      </w:tr>
      <w:tr w:rsidR="009B487A" w:rsidRPr="00722885" w14:paraId="69BD3142" w14:textId="77777777" w:rsidTr="00CC5360">
        <w:tc>
          <w:tcPr>
            <w:tcW w:w="2376" w:type="dxa"/>
          </w:tcPr>
          <w:p w14:paraId="0384F0D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бомбардиров.</w:t>
            </w:r>
          </w:p>
        </w:tc>
        <w:tc>
          <w:tcPr>
            <w:tcW w:w="1418" w:type="dxa"/>
          </w:tcPr>
          <w:p w14:paraId="1E1769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Ильюшин</w:t>
            </w:r>
          </w:p>
        </w:tc>
        <w:tc>
          <w:tcPr>
            <w:tcW w:w="919" w:type="dxa"/>
          </w:tcPr>
          <w:p w14:paraId="0341C7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0D96A7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15.1Х.42</w:t>
            </w:r>
          </w:p>
        </w:tc>
        <w:tc>
          <w:tcPr>
            <w:tcW w:w="866" w:type="dxa"/>
          </w:tcPr>
          <w:p w14:paraId="679DBC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800</w:t>
            </w:r>
          </w:p>
        </w:tc>
        <w:tc>
          <w:tcPr>
            <w:tcW w:w="3811" w:type="dxa"/>
          </w:tcPr>
          <w:p w14:paraId="294F7E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затраты включена стоимость работ</w:t>
            </w:r>
          </w:p>
        </w:tc>
      </w:tr>
      <w:tr w:rsidR="009B487A" w:rsidRPr="00722885" w14:paraId="356F8139" w14:textId="77777777" w:rsidTr="00CC5360">
        <w:tc>
          <w:tcPr>
            <w:tcW w:w="2376" w:type="dxa"/>
          </w:tcPr>
          <w:p w14:paraId="1A1797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Ил-4 с моторами М-82, с</w:t>
            </w:r>
          </w:p>
        </w:tc>
        <w:tc>
          <w:tcPr>
            <w:tcW w:w="1418" w:type="dxa"/>
          </w:tcPr>
          <w:p w14:paraId="1623AF5B" w14:textId="77777777" w:rsidR="00AE7191" w:rsidRPr="00722885" w:rsidRDefault="00AE7191" w:rsidP="00722885">
            <w:pPr>
              <w:pStyle w:val="Iauiue"/>
              <w:jc w:val="both"/>
              <w:rPr>
                <w:color w:val="000000" w:themeColor="text1"/>
                <w:sz w:val="16"/>
                <w:szCs w:val="16"/>
              </w:rPr>
            </w:pPr>
          </w:p>
        </w:tc>
        <w:tc>
          <w:tcPr>
            <w:tcW w:w="919" w:type="dxa"/>
          </w:tcPr>
          <w:p w14:paraId="720AFD2A" w14:textId="77777777" w:rsidR="00AE7191" w:rsidRPr="00722885" w:rsidRDefault="00AE7191" w:rsidP="00722885">
            <w:pPr>
              <w:pStyle w:val="Iauiue"/>
              <w:jc w:val="both"/>
              <w:rPr>
                <w:color w:val="000000" w:themeColor="text1"/>
                <w:sz w:val="16"/>
                <w:szCs w:val="16"/>
              </w:rPr>
            </w:pPr>
          </w:p>
        </w:tc>
        <w:tc>
          <w:tcPr>
            <w:tcW w:w="1207" w:type="dxa"/>
          </w:tcPr>
          <w:p w14:paraId="2A9F1C8F" w14:textId="77777777" w:rsidR="00AE7191" w:rsidRPr="00722885" w:rsidRDefault="00AE7191" w:rsidP="00722885">
            <w:pPr>
              <w:pStyle w:val="Iauiue"/>
              <w:jc w:val="both"/>
              <w:rPr>
                <w:color w:val="000000" w:themeColor="text1"/>
                <w:sz w:val="16"/>
                <w:szCs w:val="16"/>
              </w:rPr>
            </w:pPr>
          </w:p>
        </w:tc>
        <w:tc>
          <w:tcPr>
            <w:tcW w:w="866" w:type="dxa"/>
          </w:tcPr>
          <w:p w14:paraId="35176DCC" w14:textId="77777777" w:rsidR="00AE7191" w:rsidRPr="00722885" w:rsidRDefault="00AE7191" w:rsidP="00722885">
            <w:pPr>
              <w:pStyle w:val="Iauiue"/>
              <w:jc w:val="both"/>
              <w:rPr>
                <w:color w:val="000000" w:themeColor="text1"/>
                <w:sz w:val="16"/>
                <w:szCs w:val="16"/>
              </w:rPr>
            </w:pPr>
          </w:p>
        </w:tc>
        <w:tc>
          <w:tcPr>
            <w:tcW w:w="3811" w:type="dxa"/>
          </w:tcPr>
          <w:p w14:paraId="5EDBE8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ОКБ по проектиров. и испытаниям.</w:t>
            </w:r>
          </w:p>
        </w:tc>
      </w:tr>
      <w:tr w:rsidR="009B487A" w:rsidRPr="00722885" w14:paraId="1DCFE847" w14:textId="77777777" w:rsidTr="00CC5360">
        <w:tc>
          <w:tcPr>
            <w:tcW w:w="2376" w:type="dxa"/>
          </w:tcPr>
          <w:p w14:paraId="11BD3E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деревянным фюзеляжем и</w:t>
            </w:r>
          </w:p>
        </w:tc>
        <w:tc>
          <w:tcPr>
            <w:tcW w:w="1418" w:type="dxa"/>
          </w:tcPr>
          <w:p w14:paraId="240CCF18" w14:textId="77777777" w:rsidR="00AE7191" w:rsidRPr="00722885" w:rsidRDefault="00AE7191" w:rsidP="00722885">
            <w:pPr>
              <w:pStyle w:val="Iauiue"/>
              <w:jc w:val="both"/>
              <w:rPr>
                <w:color w:val="000000" w:themeColor="text1"/>
                <w:sz w:val="16"/>
                <w:szCs w:val="16"/>
              </w:rPr>
            </w:pPr>
          </w:p>
        </w:tc>
        <w:tc>
          <w:tcPr>
            <w:tcW w:w="919" w:type="dxa"/>
          </w:tcPr>
          <w:p w14:paraId="1A719680" w14:textId="77777777" w:rsidR="00AE7191" w:rsidRPr="00722885" w:rsidRDefault="00AE7191" w:rsidP="00722885">
            <w:pPr>
              <w:pStyle w:val="Iauiue"/>
              <w:jc w:val="both"/>
              <w:rPr>
                <w:color w:val="000000" w:themeColor="text1"/>
                <w:sz w:val="16"/>
                <w:szCs w:val="16"/>
              </w:rPr>
            </w:pPr>
          </w:p>
        </w:tc>
        <w:tc>
          <w:tcPr>
            <w:tcW w:w="1207" w:type="dxa"/>
          </w:tcPr>
          <w:p w14:paraId="12A76A9E" w14:textId="77777777" w:rsidR="00AE7191" w:rsidRPr="00722885" w:rsidRDefault="00AE7191" w:rsidP="00722885">
            <w:pPr>
              <w:pStyle w:val="Iauiue"/>
              <w:jc w:val="both"/>
              <w:rPr>
                <w:color w:val="000000" w:themeColor="text1"/>
                <w:sz w:val="16"/>
                <w:szCs w:val="16"/>
              </w:rPr>
            </w:pPr>
          </w:p>
        </w:tc>
        <w:tc>
          <w:tcPr>
            <w:tcW w:w="866" w:type="dxa"/>
          </w:tcPr>
          <w:p w14:paraId="3BB1F921" w14:textId="77777777" w:rsidR="00AE7191" w:rsidRPr="00722885" w:rsidRDefault="00AE7191" w:rsidP="00722885">
            <w:pPr>
              <w:pStyle w:val="Iauiue"/>
              <w:jc w:val="both"/>
              <w:rPr>
                <w:color w:val="000000" w:themeColor="text1"/>
                <w:sz w:val="16"/>
                <w:szCs w:val="16"/>
              </w:rPr>
            </w:pPr>
          </w:p>
        </w:tc>
        <w:tc>
          <w:tcPr>
            <w:tcW w:w="3811" w:type="dxa"/>
          </w:tcPr>
          <w:p w14:paraId="35AF36A3" w14:textId="77777777" w:rsidR="00AE7191" w:rsidRPr="00722885" w:rsidRDefault="00AE7191" w:rsidP="00722885">
            <w:pPr>
              <w:pStyle w:val="Iauiue"/>
              <w:jc w:val="both"/>
              <w:rPr>
                <w:color w:val="000000" w:themeColor="text1"/>
                <w:sz w:val="16"/>
                <w:szCs w:val="16"/>
              </w:rPr>
            </w:pPr>
          </w:p>
        </w:tc>
      </w:tr>
      <w:tr w:rsidR="009B487A" w:rsidRPr="00722885" w14:paraId="579BA573" w14:textId="77777777" w:rsidTr="00CC5360">
        <w:tc>
          <w:tcPr>
            <w:tcW w:w="2376" w:type="dxa"/>
          </w:tcPr>
          <w:p w14:paraId="4C0EB6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крыльями, с дальностью</w:t>
            </w:r>
          </w:p>
        </w:tc>
        <w:tc>
          <w:tcPr>
            <w:tcW w:w="1418" w:type="dxa"/>
          </w:tcPr>
          <w:p w14:paraId="6B70842A" w14:textId="77777777" w:rsidR="00AE7191" w:rsidRPr="00722885" w:rsidRDefault="00AE7191" w:rsidP="00722885">
            <w:pPr>
              <w:pStyle w:val="Iauiue"/>
              <w:jc w:val="both"/>
              <w:rPr>
                <w:color w:val="000000" w:themeColor="text1"/>
                <w:sz w:val="16"/>
                <w:szCs w:val="16"/>
              </w:rPr>
            </w:pPr>
          </w:p>
        </w:tc>
        <w:tc>
          <w:tcPr>
            <w:tcW w:w="919" w:type="dxa"/>
          </w:tcPr>
          <w:p w14:paraId="568B1D97" w14:textId="77777777" w:rsidR="00AE7191" w:rsidRPr="00722885" w:rsidRDefault="00AE7191" w:rsidP="00722885">
            <w:pPr>
              <w:pStyle w:val="Iauiue"/>
              <w:jc w:val="both"/>
              <w:rPr>
                <w:color w:val="000000" w:themeColor="text1"/>
                <w:sz w:val="16"/>
                <w:szCs w:val="16"/>
              </w:rPr>
            </w:pPr>
          </w:p>
        </w:tc>
        <w:tc>
          <w:tcPr>
            <w:tcW w:w="1207" w:type="dxa"/>
          </w:tcPr>
          <w:p w14:paraId="31FB1E12" w14:textId="77777777" w:rsidR="00AE7191" w:rsidRPr="00722885" w:rsidRDefault="00AE7191" w:rsidP="00722885">
            <w:pPr>
              <w:pStyle w:val="Iauiue"/>
              <w:jc w:val="both"/>
              <w:rPr>
                <w:color w:val="000000" w:themeColor="text1"/>
                <w:sz w:val="16"/>
                <w:szCs w:val="16"/>
              </w:rPr>
            </w:pPr>
          </w:p>
        </w:tc>
        <w:tc>
          <w:tcPr>
            <w:tcW w:w="866" w:type="dxa"/>
          </w:tcPr>
          <w:p w14:paraId="09BD67D1" w14:textId="77777777" w:rsidR="00AE7191" w:rsidRPr="00722885" w:rsidRDefault="00AE7191" w:rsidP="00722885">
            <w:pPr>
              <w:pStyle w:val="Iauiue"/>
              <w:jc w:val="both"/>
              <w:rPr>
                <w:color w:val="000000" w:themeColor="text1"/>
                <w:sz w:val="16"/>
                <w:szCs w:val="16"/>
              </w:rPr>
            </w:pPr>
          </w:p>
        </w:tc>
        <w:tc>
          <w:tcPr>
            <w:tcW w:w="3811" w:type="dxa"/>
          </w:tcPr>
          <w:p w14:paraId="42447725" w14:textId="77777777" w:rsidR="00AE7191" w:rsidRPr="00722885" w:rsidRDefault="00AE7191" w:rsidP="00722885">
            <w:pPr>
              <w:pStyle w:val="Iauiue"/>
              <w:jc w:val="both"/>
              <w:rPr>
                <w:color w:val="000000" w:themeColor="text1"/>
                <w:sz w:val="16"/>
                <w:szCs w:val="16"/>
              </w:rPr>
            </w:pPr>
          </w:p>
        </w:tc>
      </w:tr>
      <w:tr w:rsidR="009B487A" w:rsidRPr="00722885" w14:paraId="798EEE1E" w14:textId="77777777" w:rsidTr="00CC5360">
        <w:tc>
          <w:tcPr>
            <w:tcW w:w="2376" w:type="dxa"/>
          </w:tcPr>
          <w:p w14:paraId="092712E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увеличенной на 800 км</w:t>
            </w:r>
          </w:p>
        </w:tc>
        <w:tc>
          <w:tcPr>
            <w:tcW w:w="1418" w:type="dxa"/>
          </w:tcPr>
          <w:p w14:paraId="3B0D17DD" w14:textId="77777777" w:rsidR="00AE7191" w:rsidRPr="00722885" w:rsidRDefault="00AE7191" w:rsidP="00722885">
            <w:pPr>
              <w:pStyle w:val="Iauiue"/>
              <w:jc w:val="both"/>
              <w:rPr>
                <w:color w:val="000000" w:themeColor="text1"/>
                <w:sz w:val="16"/>
                <w:szCs w:val="16"/>
              </w:rPr>
            </w:pPr>
          </w:p>
        </w:tc>
        <w:tc>
          <w:tcPr>
            <w:tcW w:w="919" w:type="dxa"/>
          </w:tcPr>
          <w:p w14:paraId="00593B00" w14:textId="77777777" w:rsidR="00AE7191" w:rsidRPr="00722885" w:rsidRDefault="00AE7191" w:rsidP="00722885">
            <w:pPr>
              <w:pStyle w:val="Iauiue"/>
              <w:jc w:val="both"/>
              <w:rPr>
                <w:color w:val="000000" w:themeColor="text1"/>
                <w:sz w:val="16"/>
                <w:szCs w:val="16"/>
              </w:rPr>
            </w:pPr>
          </w:p>
        </w:tc>
        <w:tc>
          <w:tcPr>
            <w:tcW w:w="1207" w:type="dxa"/>
          </w:tcPr>
          <w:p w14:paraId="7A392DF0" w14:textId="77777777" w:rsidR="00AE7191" w:rsidRPr="00722885" w:rsidRDefault="00AE7191" w:rsidP="00722885">
            <w:pPr>
              <w:pStyle w:val="Iauiue"/>
              <w:jc w:val="both"/>
              <w:rPr>
                <w:color w:val="000000" w:themeColor="text1"/>
                <w:sz w:val="16"/>
                <w:szCs w:val="16"/>
              </w:rPr>
            </w:pPr>
          </w:p>
        </w:tc>
        <w:tc>
          <w:tcPr>
            <w:tcW w:w="866" w:type="dxa"/>
          </w:tcPr>
          <w:p w14:paraId="7EA44034" w14:textId="77777777" w:rsidR="00AE7191" w:rsidRPr="00722885" w:rsidRDefault="00AE7191" w:rsidP="00722885">
            <w:pPr>
              <w:pStyle w:val="Iauiue"/>
              <w:jc w:val="both"/>
              <w:rPr>
                <w:color w:val="000000" w:themeColor="text1"/>
                <w:sz w:val="16"/>
                <w:szCs w:val="16"/>
              </w:rPr>
            </w:pPr>
          </w:p>
        </w:tc>
        <w:tc>
          <w:tcPr>
            <w:tcW w:w="3811" w:type="dxa"/>
          </w:tcPr>
          <w:p w14:paraId="7E400864" w14:textId="77777777" w:rsidR="00AE7191" w:rsidRPr="00722885" w:rsidRDefault="00AE7191" w:rsidP="00722885">
            <w:pPr>
              <w:pStyle w:val="Iauiue"/>
              <w:jc w:val="both"/>
              <w:rPr>
                <w:color w:val="000000" w:themeColor="text1"/>
                <w:sz w:val="16"/>
                <w:szCs w:val="16"/>
              </w:rPr>
            </w:pPr>
          </w:p>
        </w:tc>
      </w:tr>
      <w:tr w:rsidR="009B487A" w:rsidRPr="00722885" w14:paraId="49213526" w14:textId="77777777" w:rsidTr="00CC5360">
        <w:tc>
          <w:tcPr>
            <w:tcW w:w="2376" w:type="dxa"/>
          </w:tcPr>
          <w:p w14:paraId="7B51F6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пикирующего</w:t>
            </w:r>
          </w:p>
        </w:tc>
        <w:tc>
          <w:tcPr>
            <w:tcW w:w="1418" w:type="dxa"/>
          </w:tcPr>
          <w:p w14:paraId="126E35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Туполев</w:t>
            </w:r>
          </w:p>
        </w:tc>
        <w:tc>
          <w:tcPr>
            <w:tcW w:w="919" w:type="dxa"/>
          </w:tcPr>
          <w:p w14:paraId="290B56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tc>
        <w:tc>
          <w:tcPr>
            <w:tcW w:w="1207" w:type="dxa"/>
          </w:tcPr>
          <w:p w14:paraId="32F0E2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866" w:type="dxa"/>
          </w:tcPr>
          <w:p w14:paraId="5E3E6C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800</w:t>
            </w:r>
          </w:p>
        </w:tc>
        <w:tc>
          <w:tcPr>
            <w:tcW w:w="3811" w:type="dxa"/>
          </w:tcPr>
          <w:p w14:paraId="1BD157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проходит испытания.</w:t>
            </w:r>
          </w:p>
        </w:tc>
      </w:tr>
      <w:tr w:rsidR="009B487A" w:rsidRPr="00722885" w14:paraId="42EC63A6" w14:textId="77777777" w:rsidTr="00CC5360">
        <w:tc>
          <w:tcPr>
            <w:tcW w:w="2376" w:type="dxa"/>
          </w:tcPr>
          <w:p w14:paraId="1A00D4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бомбардировщика Ту-2</w:t>
            </w:r>
          </w:p>
        </w:tc>
        <w:tc>
          <w:tcPr>
            <w:tcW w:w="1418" w:type="dxa"/>
          </w:tcPr>
          <w:p w14:paraId="2CD43A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166</w:t>
            </w:r>
          </w:p>
        </w:tc>
        <w:tc>
          <w:tcPr>
            <w:tcW w:w="919" w:type="dxa"/>
          </w:tcPr>
          <w:p w14:paraId="64E0FE99" w14:textId="77777777" w:rsidR="00AE7191" w:rsidRPr="00722885" w:rsidRDefault="00AE7191" w:rsidP="00722885">
            <w:pPr>
              <w:pStyle w:val="Iauiue"/>
              <w:jc w:val="both"/>
              <w:rPr>
                <w:color w:val="000000" w:themeColor="text1"/>
                <w:sz w:val="16"/>
                <w:szCs w:val="16"/>
              </w:rPr>
            </w:pPr>
          </w:p>
        </w:tc>
        <w:tc>
          <w:tcPr>
            <w:tcW w:w="1207" w:type="dxa"/>
          </w:tcPr>
          <w:p w14:paraId="269426E6" w14:textId="77777777" w:rsidR="00AE7191" w:rsidRPr="00722885" w:rsidRDefault="00AE7191" w:rsidP="00722885">
            <w:pPr>
              <w:pStyle w:val="Iauiue"/>
              <w:jc w:val="both"/>
              <w:rPr>
                <w:color w:val="000000" w:themeColor="text1"/>
                <w:sz w:val="16"/>
                <w:szCs w:val="16"/>
              </w:rPr>
            </w:pPr>
          </w:p>
        </w:tc>
        <w:tc>
          <w:tcPr>
            <w:tcW w:w="866" w:type="dxa"/>
          </w:tcPr>
          <w:p w14:paraId="1CA50DF0" w14:textId="77777777" w:rsidR="00AE7191" w:rsidRPr="00722885" w:rsidRDefault="00AE7191" w:rsidP="00722885">
            <w:pPr>
              <w:pStyle w:val="Iauiue"/>
              <w:jc w:val="both"/>
              <w:rPr>
                <w:color w:val="000000" w:themeColor="text1"/>
                <w:sz w:val="16"/>
                <w:szCs w:val="16"/>
              </w:rPr>
            </w:pPr>
          </w:p>
        </w:tc>
        <w:tc>
          <w:tcPr>
            <w:tcW w:w="3811" w:type="dxa"/>
          </w:tcPr>
          <w:p w14:paraId="03147580" w14:textId="77777777" w:rsidR="00AE7191" w:rsidRPr="00722885" w:rsidRDefault="00AE7191" w:rsidP="00722885">
            <w:pPr>
              <w:pStyle w:val="Iauiue"/>
              <w:jc w:val="both"/>
              <w:rPr>
                <w:color w:val="000000" w:themeColor="text1"/>
                <w:sz w:val="16"/>
                <w:szCs w:val="16"/>
              </w:rPr>
            </w:pPr>
          </w:p>
        </w:tc>
      </w:tr>
      <w:tr w:rsidR="009B487A" w:rsidRPr="00722885" w14:paraId="569BAE9C" w14:textId="77777777" w:rsidTr="00CC5360">
        <w:tc>
          <w:tcPr>
            <w:tcW w:w="2376" w:type="dxa"/>
          </w:tcPr>
          <w:p w14:paraId="01B7C1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 моторы М-82</w:t>
            </w:r>
          </w:p>
        </w:tc>
        <w:tc>
          <w:tcPr>
            <w:tcW w:w="1418" w:type="dxa"/>
          </w:tcPr>
          <w:p w14:paraId="0180A530" w14:textId="77777777" w:rsidR="00AE7191" w:rsidRPr="00722885" w:rsidRDefault="00AE7191" w:rsidP="00722885">
            <w:pPr>
              <w:pStyle w:val="Iauiue"/>
              <w:jc w:val="both"/>
              <w:rPr>
                <w:color w:val="000000" w:themeColor="text1"/>
                <w:sz w:val="16"/>
                <w:szCs w:val="16"/>
              </w:rPr>
            </w:pPr>
          </w:p>
        </w:tc>
        <w:tc>
          <w:tcPr>
            <w:tcW w:w="919" w:type="dxa"/>
          </w:tcPr>
          <w:p w14:paraId="3F4DC49C" w14:textId="77777777" w:rsidR="00AE7191" w:rsidRPr="00722885" w:rsidRDefault="00AE7191" w:rsidP="00722885">
            <w:pPr>
              <w:pStyle w:val="Iauiue"/>
              <w:jc w:val="both"/>
              <w:rPr>
                <w:color w:val="000000" w:themeColor="text1"/>
                <w:sz w:val="16"/>
                <w:szCs w:val="16"/>
              </w:rPr>
            </w:pPr>
          </w:p>
        </w:tc>
        <w:tc>
          <w:tcPr>
            <w:tcW w:w="1207" w:type="dxa"/>
          </w:tcPr>
          <w:p w14:paraId="257C588E" w14:textId="77777777" w:rsidR="00AE7191" w:rsidRPr="00722885" w:rsidRDefault="00AE7191" w:rsidP="00722885">
            <w:pPr>
              <w:pStyle w:val="Iauiue"/>
              <w:jc w:val="both"/>
              <w:rPr>
                <w:color w:val="000000" w:themeColor="text1"/>
                <w:sz w:val="16"/>
                <w:szCs w:val="16"/>
              </w:rPr>
            </w:pPr>
          </w:p>
        </w:tc>
        <w:tc>
          <w:tcPr>
            <w:tcW w:w="866" w:type="dxa"/>
          </w:tcPr>
          <w:p w14:paraId="2E5DF5B0" w14:textId="77777777" w:rsidR="00AE7191" w:rsidRPr="00722885" w:rsidRDefault="00AE7191" w:rsidP="00722885">
            <w:pPr>
              <w:pStyle w:val="Iauiue"/>
              <w:jc w:val="both"/>
              <w:rPr>
                <w:color w:val="000000" w:themeColor="text1"/>
                <w:sz w:val="16"/>
                <w:szCs w:val="16"/>
              </w:rPr>
            </w:pPr>
          </w:p>
        </w:tc>
        <w:tc>
          <w:tcPr>
            <w:tcW w:w="3811" w:type="dxa"/>
          </w:tcPr>
          <w:p w14:paraId="65A719F5" w14:textId="77777777" w:rsidR="00AE7191" w:rsidRPr="00722885" w:rsidRDefault="00AE7191" w:rsidP="00722885">
            <w:pPr>
              <w:pStyle w:val="Iauiue"/>
              <w:jc w:val="both"/>
              <w:rPr>
                <w:color w:val="000000" w:themeColor="text1"/>
                <w:sz w:val="16"/>
                <w:szCs w:val="16"/>
              </w:rPr>
            </w:pPr>
          </w:p>
        </w:tc>
      </w:tr>
      <w:tr w:rsidR="009B487A" w:rsidRPr="00722885" w14:paraId="4F0C7821" w14:textId="77777777" w:rsidTr="00CC5360">
        <w:tc>
          <w:tcPr>
            <w:tcW w:w="2376" w:type="dxa"/>
          </w:tcPr>
          <w:p w14:paraId="2D8672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тяжелого</w:t>
            </w:r>
          </w:p>
        </w:tc>
        <w:tc>
          <w:tcPr>
            <w:tcW w:w="1418" w:type="dxa"/>
          </w:tcPr>
          <w:p w14:paraId="19D0A0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Незваль</w:t>
            </w:r>
          </w:p>
        </w:tc>
        <w:tc>
          <w:tcPr>
            <w:tcW w:w="919" w:type="dxa"/>
          </w:tcPr>
          <w:p w14:paraId="73B0E0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tc>
        <w:tc>
          <w:tcPr>
            <w:tcW w:w="1207" w:type="dxa"/>
          </w:tcPr>
          <w:p w14:paraId="63A30A3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866" w:type="dxa"/>
          </w:tcPr>
          <w:p w14:paraId="00CBB2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3811" w:type="dxa"/>
          </w:tcPr>
          <w:p w14:paraId="21798C6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проходит совместные испытания.</w:t>
            </w:r>
          </w:p>
        </w:tc>
      </w:tr>
      <w:tr w:rsidR="009B487A" w:rsidRPr="00722885" w14:paraId="3AE5C507" w14:textId="77777777" w:rsidTr="00CC5360">
        <w:tc>
          <w:tcPr>
            <w:tcW w:w="2376" w:type="dxa"/>
          </w:tcPr>
          <w:p w14:paraId="2C6963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бомбардировщика ТБ-7</w:t>
            </w:r>
          </w:p>
        </w:tc>
        <w:tc>
          <w:tcPr>
            <w:tcW w:w="1418" w:type="dxa"/>
          </w:tcPr>
          <w:p w14:paraId="620C3E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22</w:t>
            </w:r>
          </w:p>
        </w:tc>
        <w:tc>
          <w:tcPr>
            <w:tcW w:w="919" w:type="dxa"/>
          </w:tcPr>
          <w:p w14:paraId="0AD5146F" w14:textId="77777777" w:rsidR="00AE7191" w:rsidRPr="00722885" w:rsidRDefault="00AE7191" w:rsidP="00722885">
            <w:pPr>
              <w:pStyle w:val="Iauiue"/>
              <w:jc w:val="both"/>
              <w:rPr>
                <w:color w:val="000000" w:themeColor="text1"/>
                <w:sz w:val="16"/>
                <w:szCs w:val="16"/>
              </w:rPr>
            </w:pPr>
          </w:p>
        </w:tc>
        <w:tc>
          <w:tcPr>
            <w:tcW w:w="1207" w:type="dxa"/>
          </w:tcPr>
          <w:p w14:paraId="2B7D9FDF" w14:textId="77777777" w:rsidR="00AE7191" w:rsidRPr="00722885" w:rsidRDefault="00AE7191" w:rsidP="00722885">
            <w:pPr>
              <w:pStyle w:val="Iauiue"/>
              <w:jc w:val="both"/>
              <w:rPr>
                <w:color w:val="000000" w:themeColor="text1"/>
                <w:sz w:val="16"/>
                <w:szCs w:val="16"/>
              </w:rPr>
            </w:pPr>
          </w:p>
        </w:tc>
        <w:tc>
          <w:tcPr>
            <w:tcW w:w="866" w:type="dxa"/>
          </w:tcPr>
          <w:p w14:paraId="0D6AF4AC" w14:textId="77777777" w:rsidR="00AE7191" w:rsidRPr="00722885" w:rsidRDefault="00AE7191" w:rsidP="00722885">
            <w:pPr>
              <w:pStyle w:val="Iauiue"/>
              <w:jc w:val="both"/>
              <w:rPr>
                <w:color w:val="000000" w:themeColor="text1"/>
                <w:sz w:val="16"/>
                <w:szCs w:val="16"/>
              </w:rPr>
            </w:pPr>
          </w:p>
        </w:tc>
        <w:tc>
          <w:tcPr>
            <w:tcW w:w="3811" w:type="dxa"/>
          </w:tcPr>
          <w:p w14:paraId="5B3928F9" w14:textId="77777777" w:rsidR="00AE7191" w:rsidRPr="00722885" w:rsidRDefault="00AE7191" w:rsidP="00722885">
            <w:pPr>
              <w:pStyle w:val="Iauiue"/>
              <w:jc w:val="both"/>
              <w:rPr>
                <w:color w:val="000000" w:themeColor="text1"/>
                <w:sz w:val="16"/>
                <w:szCs w:val="16"/>
              </w:rPr>
            </w:pPr>
          </w:p>
        </w:tc>
      </w:tr>
      <w:tr w:rsidR="009B487A" w:rsidRPr="00722885" w14:paraId="301C206B" w14:textId="77777777" w:rsidTr="00CC5360">
        <w:tc>
          <w:tcPr>
            <w:tcW w:w="2376" w:type="dxa"/>
          </w:tcPr>
          <w:p w14:paraId="1BC47E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 моторы М-82</w:t>
            </w:r>
          </w:p>
        </w:tc>
        <w:tc>
          <w:tcPr>
            <w:tcW w:w="1418" w:type="dxa"/>
          </w:tcPr>
          <w:p w14:paraId="5C470F36" w14:textId="77777777" w:rsidR="00AE7191" w:rsidRPr="00722885" w:rsidRDefault="00AE7191" w:rsidP="00722885">
            <w:pPr>
              <w:pStyle w:val="Iauiue"/>
              <w:jc w:val="both"/>
              <w:rPr>
                <w:color w:val="000000" w:themeColor="text1"/>
                <w:sz w:val="16"/>
                <w:szCs w:val="16"/>
              </w:rPr>
            </w:pPr>
          </w:p>
        </w:tc>
        <w:tc>
          <w:tcPr>
            <w:tcW w:w="919" w:type="dxa"/>
          </w:tcPr>
          <w:p w14:paraId="2D1F69C7" w14:textId="77777777" w:rsidR="00AE7191" w:rsidRPr="00722885" w:rsidRDefault="00AE7191" w:rsidP="00722885">
            <w:pPr>
              <w:pStyle w:val="Iauiue"/>
              <w:jc w:val="both"/>
              <w:rPr>
                <w:color w:val="000000" w:themeColor="text1"/>
                <w:sz w:val="16"/>
                <w:szCs w:val="16"/>
              </w:rPr>
            </w:pPr>
          </w:p>
        </w:tc>
        <w:tc>
          <w:tcPr>
            <w:tcW w:w="1207" w:type="dxa"/>
          </w:tcPr>
          <w:p w14:paraId="2929C4FF" w14:textId="77777777" w:rsidR="00AE7191" w:rsidRPr="00722885" w:rsidRDefault="00AE7191" w:rsidP="00722885">
            <w:pPr>
              <w:pStyle w:val="Iauiue"/>
              <w:jc w:val="both"/>
              <w:rPr>
                <w:color w:val="000000" w:themeColor="text1"/>
                <w:sz w:val="16"/>
                <w:szCs w:val="16"/>
              </w:rPr>
            </w:pPr>
          </w:p>
        </w:tc>
        <w:tc>
          <w:tcPr>
            <w:tcW w:w="866" w:type="dxa"/>
          </w:tcPr>
          <w:p w14:paraId="42772BF9" w14:textId="77777777" w:rsidR="00AE7191" w:rsidRPr="00722885" w:rsidRDefault="00AE7191" w:rsidP="00722885">
            <w:pPr>
              <w:pStyle w:val="Iauiue"/>
              <w:jc w:val="both"/>
              <w:rPr>
                <w:color w:val="000000" w:themeColor="text1"/>
                <w:sz w:val="16"/>
                <w:szCs w:val="16"/>
              </w:rPr>
            </w:pPr>
          </w:p>
        </w:tc>
        <w:tc>
          <w:tcPr>
            <w:tcW w:w="3811" w:type="dxa"/>
          </w:tcPr>
          <w:p w14:paraId="70DED847" w14:textId="77777777" w:rsidR="00AE7191" w:rsidRPr="00722885" w:rsidRDefault="00AE7191" w:rsidP="00722885">
            <w:pPr>
              <w:pStyle w:val="Iauiue"/>
              <w:jc w:val="both"/>
              <w:rPr>
                <w:color w:val="000000" w:themeColor="text1"/>
                <w:sz w:val="16"/>
                <w:szCs w:val="16"/>
              </w:rPr>
            </w:pPr>
          </w:p>
        </w:tc>
      </w:tr>
      <w:tr w:rsidR="009B487A" w:rsidRPr="00722885" w14:paraId="12288519" w14:textId="77777777" w:rsidTr="00CC5360">
        <w:tc>
          <w:tcPr>
            <w:tcW w:w="2376" w:type="dxa"/>
          </w:tcPr>
          <w:p w14:paraId="42146F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Дальний бомбардировщик</w:t>
            </w:r>
          </w:p>
        </w:tc>
        <w:tc>
          <w:tcPr>
            <w:tcW w:w="1418" w:type="dxa"/>
          </w:tcPr>
          <w:p w14:paraId="2512F2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Мясищев</w:t>
            </w:r>
          </w:p>
        </w:tc>
        <w:tc>
          <w:tcPr>
            <w:tcW w:w="919" w:type="dxa"/>
          </w:tcPr>
          <w:p w14:paraId="62E94F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2B9506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15.1Х.42</w:t>
            </w:r>
          </w:p>
        </w:tc>
        <w:tc>
          <w:tcPr>
            <w:tcW w:w="866" w:type="dxa"/>
          </w:tcPr>
          <w:p w14:paraId="0F163E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10500</w:t>
            </w:r>
          </w:p>
        </w:tc>
        <w:tc>
          <w:tcPr>
            <w:tcW w:w="3811" w:type="dxa"/>
          </w:tcPr>
          <w:p w14:paraId="6360C3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Проводятся летные испытания</w:t>
            </w:r>
          </w:p>
        </w:tc>
      </w:tr>
      <w:tr w:rsidR="009B487A" w:rsidRPr="00722885" w14:paraId="673FA4A6" w14:textId="77777777" w:rsidTr="00CC5360">
        <w:tc>
          <w:tcPr>
            <w:tcW w:w="2376" w:type="dxa"/>
          </w:tcPr>
          <w:p w14:paraId="3786D7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"102" с двумя моторами</w:t>
            </w:r>
          </w:p>
        </w:tc>
        <w:tc>
          <w:tcPr>
            <w:tcW w:w="1418" w:type="dxa"/>
          </w:tcPr>
          <w:p w14:paraId="4B0E53D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288</w:t>
            </w:r>
          </w:p>
        </w:tc>
        <w:tc>
          <w:tcPr>
            <w:tcW w:w="919" w:type="dxa"/>
          </w:tcPr>
          <w:p w14:paraId="7FB2EFBC" w14:textId="77777777" w:rsidR="00AE7191" w:rsidRPr="00722885" w:rsidRDefault="00AE7191" w:rsidP="00722885">
            <w:pPr>
              <w:pStyle w:val="Iauiue"/>
              <w:jc w:val="both"/>
              <w:rPr>
                <w:color w:val="000000" w:themeColor="text1"/>
                <w:sz w:val="16"/>
                <w:szCs w:val="16"/>
              </w:rPr>
            </w:pPr>
          </w:p>
        </w:tc>
        <w:tc>
          <w:tcPr>
            <w:tcW w:w="1207" w:type="dxa"/>
          </w:tcPr>
          <w:p w14:paraId="0EA40B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1.Ш.43</w:t>
            </w:r>
          </w:p>
        </w:tc>
        <w:tc>
          <w:tcPr>
            <w:tcW w:w="866" w:type="dxa"/>
          </w:tcPr>
          <w:p w14:paraId="466ACDC7" w14:textId="77777777" w:rsidR="00AE7191" w:rsidRPr="00722885" w:rsidRDefault="00AE7191" w:rsidP="00722885">
            <w:pPr>
              <w:pStyle w:val="Iauiue"/>
              <w:jc w:val="both"/>
              <w:rPr>
                <w:color w:val="000000" w:themeColor="text1"/>
                <w:sz w:val="16"/>
                <w:szCs w:val="16"/>
              </w:rPr>
            </w:pPr>
          </w:p>
        </w:tc>
        <w:tc>
          <w:tcPr>
            <w:tcW w:w="3811" w:type="dxa"/>
          </w:tcPr>
          <w:p w14:paraId="0A6532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винтомоторной группы 1-го эзз.</w:t>
            </w:r>
          </w:p>
        </w:tc>
      </w:tr>
      <w:tr w:rsidR="009B487A" w:rsidRPr="00722885" w14:paraId="4C9519E8" w14:textId="77777777" w:rsidTr="00CC5360">
        <w:tc>
          <w:tcPr>
            <w:tcW w:w="2376" w:type="dxa"/>
          </w:tcPr>
          <w:p w14:paraId="0F9C5D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М-120, М-71 и МБ-100</w:t>
            </w:r>
          </w:p>
        </w:tc>
        <w:tc>
          <w:tcPr>
            <w:tcW w:w="1418" w:type="dxa"/>
          </w:tcPr>
          <w:p w14:paraId="7CC1B857" w14:textId="77777777" w:rsidR="00AE7191" w:rsidRPr="00722885" w:rsidRDefault="00AE7191" w:rsidP="00722885">
            <w:pPr>
              <w:pStyle w:val="Iauiue"/>
              <w:jc w:val="both"/>
              <w:rPr>
                <w:color w:val="000000" w:themeColor="text1"/>
                <w:sz w:val="16"/>
                <w:szCs w:val="16"/>
              </w:rPr>
            </w:pPr>
          </w:p>
        </w:tc>
        <w:tc>
          <w:tcPr>
            <w:tcW w:w="919" w:type="dxa"/>
          </w:tcPr>
          <w:p w14:paraId="2EC9D84B" w14:textId="77777777" w:rsidR="00AE7191" w:rsidRPr="00722885" w:rsidRDefault="00AE7191" w:rsidP="00722885">
            <w:pPr>
              <w:pStyle w:val="Iauiue"/>
              <w:jc w:val="both"/>
              <w:rPr>
                <w:color w:val="000000" w:themeColor="text1"/>
                <w:sz w:val="16"/>
                <w:szCs w:val="16"/>
              </w:rPr>
            </w:pPr>
          </w:p>
        </w:tc>
        <w:tc>
          <w:tcPr>
            <w:tcW w:w="1207" w:type="dxa"/>
          </w:tcPr>
          <w:p w14:paraId="107B844C" w14:textId="77777777" w:rsidR="00AE7191" w:rsidRPr="00722885" w:rsidRDefault="00AE7191" w:rsidP="00722885">
            <w:pPr>
              <w:pStyle w:val="Iauiue"/>
              <w:jc w:val="both"/>
              <w:rPr>
                <w:color w:val="000000" w:themeColor="text1"/>
                <w:sz w:val="16"/>
                <w:szCs w:val="16"/>
              </w:rPr>
            </w:pPr>
          </w:p>
        </w:tc>
        <w:tc>
          <w:tcPr>
            <w:tcW w:w="866" w:type="dxa"/>
          </w:tcPr>
          <w:p w14:paraId="6D8F2349" w14:textId="77777777" w:rsidR="00AE7191" w:rsidRPr="00722885" w:rsidRDefault="00AE7191" w:rsidP="00722885">
            <w:pPr>
              <w:pStyle w:val="Iauiue"/>
              <w:jc w:val="both"/>
              <w:rPr>
                <w:color w:val="000000" w:themeColor="text1"/>
                <w:sz w:val="16"/>
                <w:szCs w:val="16"/>
              </w:rPr>
            </w:pPr>
          </w:p>
        </w:tc>
        <w:tc>
          <w:tcPr>
            <w:tcW w:w="3811" w:type="dxa"/>
          </w:tcPr>
          <w:p w14:paraId="274992E5" w14:textId="77777777" w:rsidR="00AE7191" w:rsidRPr="00722885" w:rsidRDefault="00AE7191" w:rsidP="00722885">
            <w:pPr>
              <w:pStyle w:val="Iauiue"/>
              <w:jc w:val="both"/>
              <w:rPr>
                <w:color w:val="000000" w:themeColor="text1"/>
                <w:sz w:val="16"/>
                <w:szCs w:val="16"/>
              </w:rPr>
            </w:pPr>
          </w:p>
        </w:tc>
      </w:tr>
      <w:tr w:rsidR="009B487A" w:rsidRPr="00722885" w14:paraId="556078E6" w14:textId="77777777" w:rsidTr="00CC5360">
        <w:tc>
          <w:tcPr>
            <w:tcW w:w="2376" w:type="dxa"/>
          </w:tcPr>
          <w:p w14:paraId="0F0FB4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дальнего</w:t>
            </w:r>
          </w:p>
        </w:tc>
        <w:tc>
          <w:tcPr>
            <w:tcW w:w="1418" w:type="dxa"/>
          </w:tcPr>
          <w:p w14:paraId="68885B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Ермолаев</w:t>
            </w:r>
          </w:p>
        </w:tc>
        <w:tc>
          <w:tcPr>
            <w:tcW w:w="919" w:type="dxa"/>
          </w:tcPr>
          <w:p w14:paraId="52341B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340A46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15.VШ.42</w:t>
            </w:r>
          </w:p>
        </w:tc>
        <w:tc>
          <w:tcPr>
            <w:tcW w:w="866" w:type="dxa"/>
          </w:tcPr>
          <w:p w14:paraId="094551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3500</w:t>
            </w:r>
          </w:p>
        </w:tc>
        <w:tc>
          <w:tcPr>
            <w:tcW w:w="3811" w:type="dxa"/>
          </w:tcPr>
          <w:p w14:paraId="434BFE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выпускается для отработки в</w:t>
            </w:r>
          </w:p>
        </w:tc>
      </w:tr>
      <w:tr w:rsidR="009B487A" w:rsidRPr="00722885" w14:paraId="3D6D67BE" w14:textId="77777777" w:rsidTr="00CC5360">
        <w:tc>
          <w:tcPr>
            <w:tcW w:w="2376" w:type="dxa"/>
          </w:tcPr>
          <w:p w14:paraId="710AEB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бомбардировщика Ер-2</w:t>
            </w:r>
          </w:p>
        </w:tc>
        <w:tc>
          <w:tcPr>
            <w:tcW w:w="1418" w:type="dxa"/>
          </w:tcPr>
          <w:p w14:paraId="4AFED5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240</w:t>
            </w:r>
          </w:p>
        </w:tc>
        <w:tc>
          <w:tcPr>
            <w:tcW w:w="919" w:type="dxa"/>
          </w:tcPr>
          <w:p w14:paraId="2D50C6E5" w14:textId="77777777" w:rsidR="00AE7191" w:rsidRPr="00722885" w:rsidRDefault="00AE7191" w:rsidP="00722885">
            <w:pPr>
              <w:pStyle w:val="Iauiue"/>
              <w:jc w:val="both"/>
              <w:rPr>
                <w:color w:val="000000" w:themeColor="text1"/>
                <w:sz w:val="16"/>
                <w:szCs w:val="16"/>
              </w:rPr>
            </w:pPr>
          </w:p>
        </w:tc>
        <w:tc>
          <w:tcPr>
            <w:tcW w:w="1207" w:type="dxa"/>
          </w:tcPr>
          <w:p w14:paraId="0EEB18A9" w14:textId="77777777" w:rsidR="00AE7191" w:rsidRPr="00722885" w:rsidRDefault="00AE7191" w:rsidP="00722885">
            <w:pPr>
              <w:pStyle w:val="Iauiue"/>
              <w:jc w:val="both"/>
              <w:rPr>
                <w:color w:val="000000" w:themeColor="text1"/>
                <w:sz w:val="16"/>
                <w:szCs w:val="16"/>
              </w:rPr>
            </w:pPr>
          </w:p>
        </w:tc>
        <w:tc>
          <w:tcPr>
            <w:tcW w:w="866" w:type="dxa"/>
          </w:tcPr>
          <w:p w14:paraId="6C1DBA39" w14:textId="77777777" w:rsidR="00AE7191" w:rsidRPr="00722885" w:rsidRDefault="00AE7191" w:rsidP="00722885">
            <w:pPr>
              <w:pStyle w:val="Iauiue"/>
              <w:jc w:val="both"/>
              <w:rPr>
                <w:color w:val="000000" w:themeColor="text1"/>
                <w:sz w:val="16"/>
                <w:szCs w:val="16"/>
              </w:rPr>
            </w:pPr>
          </w:p>
        </w:tc>
        <w:tc>
          <w:tcPr>
            <w:tcW w:w="3811" w:type="dxa"/>
          </w:tcPr>
          <w:p w14:paraId="4B7E0AB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полете дизель моторов.</w:t>
            </w:r>
          </w:p>
        </w:tc>
      </w:tr>
      <w:tr w:rsidR="009B487A" w:rsidRPr="00722885" w14:paraId="749829D3" w14:textId="77777777" w:rsidTr="00CC5360">
        <w:tc>
          <w:tcPr>
            <w:tcW w:w="2376" w:type="dxa"/>
          </w:tcPr>
          <w:p w14:paraId="2931C1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дизель-моторы М-30</w:t>
            </w:r>
          </w:p>
        </w:tc>
        <w:tc>
          <w:tcPr>
            <w:tcW w:w="1418" w:type="dxa"/>
          </w:tcPr>
          <w:p w14:paraId="74D4B2E0" w14:textId="77777777" w:rsidR="00AE7191" w:rsidRPr="00722885" w:rsidRDefault="00AE7191" w:rsidP="00722885">
            <w:pPr>
              <w:pStyle w:val="Iauiue"/>
              <w:jc w:val="both"/>
              <w:rPr>
                <w:color w:val="000000" w:themeColor="text1"/>
                <w:sz w:val="16"/>
                <w:szCs w:val="16"/>
              </w:rPr>
            </w:pPr>
          </w:p>
        </w:tc>
        <w:tc>
          <w:tcPr>
            <w:tcW w:w="919" w:type="dxa"/>
          </w:tcPr>
          <w:p w14:paraId="1EDF3942" w14:textId="77777777" w:rsidR="00AE7191" w:rsidRPr="00722885" w:rsidRDefault="00AE7191" w:rsidP="00722885">
            <w:pPr>
              <w:pStyle w:val="Iauiue"/>
              <w:jc w:val="both"/>
              <w:rPr>
                <w:color w:val="000000" w:themeColor="text1"/>
                <w:sz w:val="16"/>
                <w:szCs w:val="16"/>
              </w:rPr>
            </w:pPr>
          </w:p>
        </w:tc>
        <w:tc>
          <w:tcPr>
            <w:tcW w:w="1207" w:type="dxa"/>
          </w:tcPr>
          <w:p w14:paraId="74A45272" w14:textId="77777777" w:rsidR="00AE7191" w:rsidRPr="00722885" w:rsidRDefault="00AE7191" w:rsidP="00722885">
            <w:pPr>
              <w:pStyle w:val="Iauiue"/>
              <w:jc w:val="both"/>
              <w:rPr>
                <w:color w:val="000000" w:themeColor="text1"/>
                <w:sz w:val="16"/>
                <w:szCs w:val="16"/>
              </w:rPr>
            </w:pPr>
          </w:p>
        </w:tc>
        <w:tc>
          <w:tcPr>
            <w:tcW w:w="866" w:type="dxa"/>
          </w:tcPr>
          <w:p w14:paraId="5EFBC577" w14:textId="77777777" w:rsidR="00AE7191" w:rsidRPr="00722885" w:rsidRDefault="00AE7191" w:rsidP="00722885">
            <w:pPr>
              <w:pStyle w:val="Iauiue"/>
              <w:jc w:val="both"/>
              <w:rPr>
                <w:color w:val="000000" w:themeColor="text1"/>
                <w:sz w:val="16"/>
                <w:szCs w:val="16"/>
              </w:rPr>
            </w:pPr>
          </w:p>
        </w:tc>
        <w:tc>
          <w:tcPr>
            <w:tcW w:w="3811" w:type="dxa"/>
          </w:tcPr>
          <w:p w14:paraId="7BD34F5A" w14:textId="77777777" w:rsidR="00AE7191" w:rsidRPr="00722885" w:rsidRDefault="00AE7191" w:rsidP="00722885">
            <w:pPr>
              <w:pStyle w:val="Iauiue"/>
              <w:jc w:val="both"/>
              <w:rPr>
                <w:color w:val="000000" w:themeColor="text1"/>
                <w:sz w:val="16"/>
                <w:szCs w:val="16"/>
              </w:rPr>
            </w:pPr>
          </w:p>
        </w:tc>
      </w:tr>
      <w:tr w:rsidR="009B487A" w:rsidRPr="00722885" w14:paraId="28CE21B8" w14:textId="77777777" w:rsidTr="00CC5360">
        <w:tc>
          <w:tcPr>
            <w:tcW w:w="2376" w:type="dxa"/>
          </w:tcPr>
          <w:p w14:paraId="0C8986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бомбардиров.</w:t>
            </w:r>
          </w:p>
        </w:tc>
        <w:tc>
          <w:tcPr>
            <w:tcW w:w="1418" w:type="dxa"/>
          </w:tcPr>
          <w:p w14:paraId="130735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Сухой</w:t>
            </w:r>
          </w:p>
        </w:tc>
        <w:tc>
          <w:tcPr>
            <w:tcW w:w="919" w:type="dxa"/>
          </w:tcPr>
          <w:p w14:paraId="168E2E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tc>
        <w:tc>
          <w:tcPr>
            <w:tcW w:w="1207" w:type="dxa"/>
          </w:tcPr>
          <w:p w14:paraId="6793D8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15.V.42</w:t>
            </w:r>
          </w:p>
        </w:tc>
        <w:tc>
          <w:tcPr>
            <w:tcW w:w="866" w:type="dxa"/>
          </w:tcPr>
          <w:p w14:paraId="2DF408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300</w:t>
            </w:r>
          </w:p>
        </w:tc>
        <w:tc>
          <w:tcPr>
            <w:tcW w:w="3811" w:type="dxa"/>
          </w:tcPr>
          <w:p w14:paraId="05F526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выпускается для отработки мотора</w:t>
            </w:r>
          </w:p>
        </w:tc>
      </w:tr>
      <w:tr w:rsidR="009B487A" w:rsidRPr="00722885" w14:paraId="52FEBA97" w14:textId="77777777" w:rsidTr="00CC5360">
        <w:tc>
          <w:tcPr>
            <w:tcW w:w="2376" w:type="dxa"/>
          </w:tcPr>
          <w:p w14:paraId="06F058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Су-2 под мотор М-90</w:t>
            </w:r>
          </w:p>
        </w:tc>
        <w:tc>
          <w:tcPr>
            <w:tcW w:w="1418" w:type="dxa"/>
          </w:tcPr>
          <w:p w14:paraId="4D7E0D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289</w:t>
            </w:r>
          </w:p>
        </w:tc>
        <w:tc>
          <w:tcPr>
            <w:tcW w:w="919" w:type="dxa"/>
          </w:tcPr>
          <w:p w14:paraId="77EB976C" w14:textId="77777777" w:rsidR="00AE7191" w:rsidRPr="00722885" w:rsidRDefault="00AE7191" w:rsidP="00722885">
            <w:pPr>
              <w:pStyle w:val="Iauiue"/>
              <w:jc w:val="both"/>
              <w:rPr>
                <w:color w:val="000000" w:themeColor="text1"/>
                <w:sz w:val="16"/>
                <w:szCs w:val="16"/>
              </w:rPr>
            </w:pPr>
          </w:p>
        </w:tc>
        <w:tc>
          <w:tcPr>
            <w:tcW w:w="1207" w:type="dxa"/>
          </w:tcPr>
          <w:p w14:paraId="241CF562" w14:textId="77777777" w:rsidR="00AE7191" w:rsidRPr="00722885" w:rsidRDefault="00AE7191" w:rsidP="00722885">
            <w:pPr>
              <w:pStyle w:val="Iauiue"/>
              <w:jc w:val="both"/>
              <w:rPr>
                <w:color w:val="000000" w:themeColor="text1"/>
                <w:sz w:val="16"/>
                <w:szCs w:val="16"/>
              </w:rPr>
            </w:pPr>
          </w:p>
        </w:tc>
        <w:tc>
          <w:tcPr>
            <w:tcW w:w="866" w:type="dxa"/>
          </w:tcPr>
          <w:p w14:paraId="05FE80DB" w14:textId="77777777" w:rsidR="00AE7191" w:rsidRPr="00722885" w:rsidRDefault="00AE7191" w:rsidP="00722885">
            <w:pPr>
              <w:pStyle w:val="Iauiue"/>
              <w:jc w:val="both"/>
              <w:rPr>
                <w:color w:val="000000" w:themeColor="text1"/>
                <w:sz w:val="16"/>
                <w:szCs w:val="16"/>
              </w:rPr>
            </w:pPr>
          </w:p>
        </w:tc>
        <w:tc>
          <w:tcPr>
            <w:tcW w:w="3811" w:type="dxa"/>
          </w:tcPr>
          <w:p w14:paraId="0FA1F3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М-90 в полете.</w:t>
            </w:r>
          </w:p>
        </w:tc>
      </w:tr>
      <w:tr w:rsidR="009B487A" w:rsidRPr="00722885" w14:paraId="2E963E65" w14:textId="77777777" w:rsidTr="00CC5360">
        <w:tc>
          <w:tcPr>
            <w:tcW w:w="2376" w:type="dxa"/>
          </w:tcPr>
          <w:p w14:paraId="11491D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Морской дальний</w:t>
            </w:r>
          </w:p>
        </w:tc>
        <w:tc>
          <w:tcPr>
            <w:tcW w:w="1418" w:type="dxa"/>
          </w:tcPr>
          <w:p w14:paraId="3D0B1C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И.В.Четвериков</w:t>
            </w:r>
          </w:p>
        </w:tc>
        <w:tc>
          <w:tcPr>
            <w:tcW w:w="919" w:type="dxa"/>
          </w:tcPr>
          <w:p w14:paraId="6E59A7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007F49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15.V.42</w:t>
            </w:r>
          </w:p>
        </w:tc>
        <w:tc>
          <w:tcPr>
            <w:tcW w:w="866" w:type="dxa"/>
          </w:tcPr>
          <w:p w14:paraId="2E33F1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3800</w:t>
            </w:r>
          </w:p>
        </w:tc>
        <w:tc>
          <w:tcPr>
            <w:tcW w:w="3811" w:type="dxa"/>
          </w:tcPr>
          <w:p w14:paraId="19C8273E" w14:textId="77777777" w:rsidR="00AE7191" w:rsidRPr="00722885" w:rsidRDefault="00AE7191" w:rsidP="00722885">
            <w:pPr>
              <w:pStyle w:val="Iauiue"/>
              <w:jc w:val="both"/>
              <w:rPr>
                <w:color w:val="000000" w:themeColor="text1"/>
                <w:sz w:val="16"/>
                <w:szCs w:val="16"/>
              </w:rPr>
            </w:pPr>
          </w:p>
        </w:tc>
      </w:tr>
      <w:tr w:rsidR="009B487A" w:rsidRPr="00722885" w14:paraId="7C344FA2" w14:textId="77777777" w:rsidTr="00CC5360">
        <w:tc>
          <w:tcPr>
            <w:tcW w:w="2376" w:type="dxa"/>
          </w:tcPr>
          <w:p w14:paraId="54E461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разведчик с двумя</w:t>
            </w:r>
          </w:p>
        </w:tc>
        <w:tc>
          <w:tcPr>
            <w:tcW w:w="1418" w:type="dxa"/>
          </w:tcPr>
          <w:p w14:paraId="5886D5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 458</w:t>
            </w:r>
          </w:p>
        </w:tc>
        <w:tc>
          <w:tcPr>
            <w:tcW w:w="919" w:type="dxa"/>
          </w:tcPr>
          <w:p w14:paraId="47BF7A87" w14:textId="77777777" w:rsidR="00AE7191" w:rsidRPr="00722885" w:rsidRDefault="00AE7191" w:rsidP="00722885">
            <w:pPr>
              <w:pStyle w:val="Iauiue"/>
              <w:jc w:val="both"/>
              <w:rPr>
                <w:color w:val="000000" w:themeColor="text1"/>
                <w:sz w:val="16"/>
                <w:szCs w:val="16"/>
              </w:rPr>
            </w:pPr>
          </w:p>
        </w:tc>
        <w:tc>
          <w:tcPr>
            <w:tcW w:w="1207" w:type="dxa"/>
          </w:tcPr>
          <w:p w14:paraId="17CC67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1.1У.43</w:t>
            </w:r>
          </w:p>
        </w:tc>
        <w:tc>
          <w:tcPr>
            <w:tcW w:w="866" w:type="dxa"/>
          </w:tcPr>
          <w:p w14:paraId="17AABCBE" w14:textId="77777777" w:rsidR="00AE7191" w:rsidRPr="00722885" w:rsidRDefault="00AE7191" w:rsidP="00722885">
            <w:pPr>
              <w:pStyle w:val="Iauiue"/>
              <w:jc w:val="both"/>
              <w:rPr>
                <w:color w:val="000000" w:themeColor="text1"/>
                <w:sz w:val="16"/>
                <w:szCs w:val="16"/>
              </w:rPr>
            </w:pPr>
          </w:p>
        </w:tc>
        <w:tc>
          <w:tcPr>
            <w:tcW w:w="3811" w:type="dxa"/>
          </w:tcPr>
          <w:p w14:paraId="0C177D73" w14:textId="77777777" w:rsidR="00AE7191" w:rsidRPr="00722885" w:rsidRDefault="00AE7191" w:rsidP="00722885">
            <w:pPr>
              <w:pStyle w:val="Iauiue"/>
              <w:jc w:val="both"/>
              <w:rPr>
                <w:color w:val="000000" w:themeColor="text1"/>
                <w:sz w:val="16"/>
                <w:szCs w:val="16"/>
              </w:rPr>
            </w:pPr>
          </w:p>
        </w:tc>
      </w:tr>
      <w:tr w:rsidR="009B487A" w:rsidRPr="00722885" w14:paraId="2E80B9A4" w14:textId="77777777" w:rsidTr="00CC5360">
        <w:tc>
          <w:tcPr>
            <w:tcW w:w="2376" w:type="dxa"/>
          </w:tcPr>
          <w:p w14:paraId="7DDFF62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моторами М-105 и 107</w:t>
            </w:r>
          </w:p>
        </w:tc>
        <w:tc>
          <w:tcPr>
            <w:tcW w:w="1418" w:type="dxa"/>
          </w:tcPr>
          <w:p w14:paraId="13F34390" w14:textId="77777777" w:rsidR="00AE7191" w:rsidRPr="00722885" w:rsidRDefault="00AE7191" w:rsidP="00722885">
            <w:pPr>
              <w:pStyle w:val="Iauiue"/>
              <w:jc w:val="both"/>
              <w:rPr>
                <w:color w:val="000000" w:themeColor="text1"/>
                <w:sz w:val="16"/>
                <w:szCs w:val="16"/>
              </w:rPr>
            </w:pPr>
          </w:p>
        </w:tc>
        <w:tc>
          <w:tcPr>
            <w:tcW w:w="919" w:type="dxa"/>
          </w:tcPr>
          <w:p w14:paraId="7673957E" w14:textId="77777777" w:rsidR="00AE7191" w:rsidRPr="00722885" w:rsidRDefault="00AE7191" w:rsidP="00722885">
            <w:pPr>
              <w:pStyle w:val="Iauiue"/>
              <w:jc w:val="both"/>
              <w:rPr>
                <w:color w:val="000000" w:themeColor="text1"/>
                <w:sz w:val="16"/>
                <w:szCs w:val="16"/>
              </w:rPr>
            </w:pPr>
          </w:p>
        </w:tc>
        <w:tc>
          <w:tcPr>
            <w:tcW w:w="1207" w:type="dxa"/>
          </w:tcPr>
          <w:p w14:paraId="4B3B0D17" w14:textId="77777777" w:rsidR="00AE7191" w:rsidRPr="00722885" w:rsidRDefault="00AE7191" w:rsidP="00722885">
            <w:pPr>
              <w:pStyle w:val="Iauiue"/>
              <w:jc w:val="both"/>
              <w:rPr>
                <w:color w:val="000000" w:themeColor="text1"/>
                <w:sz w:val="16"/>
                <w:szCs w:val="16"/>
              </w:rPr>
            </w:pPr>
          </w:p>
        </w:tc>
        <w:tc>
          <w:tcPr>
            <w:tcW w:w="866" w:type="dxa"/>
          </w:tcPr>
          <w:p w14:paraId="3372112F" w14:textId="77777777" w:rsidR="00AE7191" w:rsidRPr="00722885" w:rsidRDefault="00AE7191" w:rsidP="00722885">
            <w:pPr>
              <w:pStyle w:val="Iauiue"/>
              <w:jc w:val="both"/>
              <w:rPr>
                <w:color w:val="000000" w:themeColor="text1"/>
                <w:sz w:val="16"/>
                <w:szCs w:val="16"/>
              </w:rPr>
            </w:pPr>
          </w:p>
        </w:tc>
        <w:tc>
          <w:tcPr>
            <w:tcW w:w="3811" w:type="dxa"/>
          </w:tcPr>
          <w:p w14:paraId="3A0A0C25" w14:textId="77777777" w:rsidR="00AE7191" w:rsidRPr="00722885" w:rsidRDefault="00AE7191" w:rsidP="00722885">
            <w:pPr>
              <w:pStyle w:val="Iauiue"/>
              <w:jc w:val="both"/>
              <w:rPr>
                <w:color w:val="000000" w:themeColor="text1"/>
                <w:sz w:val="16"/>
                <w:szCs w:val="16"/>
              </w:rPr>
            </w:pPr>
          </w:p>
        </w:tc>
      </w:tr>
      <w:tr w:rsidR="009B487A" w:rsidRPr="00722885" w14:paraId="29E65A28" w14:textId="77777777" w:rsidTr="00CC5360">
        <w:tc>
          <w:tcPr>
            <w:tcW w:w="2376" w:type="dxa"/>
          </w:tcPr>
          <w:p w14:paraId="1B5E86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III. Экспериментальные.</w:t>
            </w:r>
          </w:p>
        </w:tc>
        <w:tc>
          <w:tcPr>
            <w:tcW w:w="1418" w:type="dxa"/>
          </w:tcPr>
          <w:p w14:paraId="1448458F" w14:textId="77777777" w:rsidR="00AE7191" w:rsidRPr="00722885" w:rsidRDefault="00AE7191" w:rsidP="00722885">
            <w:pPr>
              <w:pStyle w:val="Iauiue"/>
              <w:jc w:val="both"/>
              <w:rPr>
                <w:color w:val="000000" w:themeColor="text1"/>
                <w:sz w:val="16"/>
                <w:szCs w:val="16"/>
              </w:rPr>
            </w:pPr>
          </w:p>
        </w:tc>
        <w:tc>
          <w:tcPr>
            <w:tcW w:w="919" w:type="dxa"/>
          </w:tcPr>
          <w:p w14:paraId="33A14D53" w14:textId="77777777" w:rsidR="00AE7191" w:rsidRPr="00722885" w:rsidRDefault="00AE7191" w:rsidP="00722885">
            <w:pPr>
              <w:pStyle w:val="Iauiue"/>
              <w:jc w:val="both"/>
              <w:rPr>
                <w:color w:val="000000" w:themeColor="text1"/>
                <w:sz w:val="16"/>
                <w:szCs w:val="16"/>
              </w:rPr>
            </w:pPr>
          </w:p>
        </w:tc>
        <w:tc>
          <w:tcPr>
            <w:tcW w:w="1207" w:type="dxa"/>
          </w:tcPr>
          <w:p w14:paraId="4E2042D7" w14:textId="77777777" w:rsidR="00AE7191" w:rsidRPr="00722885" w:rsidRDefault="00AE7191" w:rsidP="00722885">
            <w:pPr>
              <w:pStyle w:val="Iauiue"/>
              <w:jc w:val="both"/>
              <w:rPr>
                <w:color w:val="000000" w:themeColor="text1"/>
                <w:sz w:val="16"/>
                <w:szCs w:val="16"/>
              </w:rPr>
            </w:pPr>
          </w:p>
        </w:tc>
        <w:tc>
          <w:tcPr>
            <w:tcW w:w="866" w:type="dxa"/>
          </w:tcPr>
          <w:p w14:paraId="46B11C34" w14:textId="77777777" w:rsidR="00AE7191" w:rsidRPr="00722885" w:rsidRDefault="00AE7191" w:rsidP="00722885">
            <w:pPr>
              <w:pStyle w:val="Iauiue"/>
              <w:jc w:val="both"/>
              <w:rPr>
                <w:color w:val="000000" w:themeColor="text1"/>
                <w:sz w:val="16"/>
                <w:szCs w:val="16"/>
              </w:rPr>
            </w:pPr>
          </w:p>
        </w:tc>
        <w:tc>
          <w:tcPr>
            <w:tcW w:w="3811" w:type="dxa"/>
          </w:tcPr>
          <w:p w14:paraId="1393D886" w14:textId="77777777" w:rsidR="00AE7191" w:rsidRPr="00722885" w:rsidRDefault="00AE7191" w:rsidP="00722885">
            <w:pPr>
              <w:pStyle w:val="Iauiue"/>
              <w:jc w:val="both"/>
              <w:rPr>
                <w:color w:val="000000" w:themeColor="text1"/>
                <w:sz w:val="16"/>
                <w:szCs w:val="16"/>
              </w:rPr>
            </w:pPr>
          </w:p>
        </w:tc>
      </w:tr>
      <w:tr w:rsidR="009B487A" w:rsidRPr="00722885" w14:paraId="11DF2D02" w14:textId="77777777" w:rsidTr="00CC5360">
        <w:tc>
          <w:tcPr>
            <w:tcW w:w="2376" w:type="dxa"/>
          </w:tcPr>
          <w:p w14:paraId="051D83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Одноместный истребитель</w:t>
            </w:r>
          </w:p>
        </w:tc>
        <w:tc>
          <w:tcPr>
            <w:tcW w:w="1418" w:type="dxa"/>
          </w:tcPr>
          <w:p w14:paraId="5843FC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Гудков</w:t>
            </w:r>
          </w:p>
        </w:tc>
        <w:tc>
          <w:tcPr>
            <w:tcW w:w="919" w:type="dxa"/>
          </w:tcPr>
          <w:p w14:paraId="433472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4E22B4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1.Х.42</w:t>
            </w:r>
          </w:p>
        </w:tc>
        <w:tc>
          <w:tcPr>
            <w:tcW w:w="866" w:type="dxa"/>
          </w:tcPr>
          <w:p w14:paraId="246F6A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3000</w:t>
            </w:r>
          </w:p>
        </w:tc>
        <w:tc>
          <w:tcPr>
            <w:tcW w:w="3811" w:type="dxa"/>
          </w:tcPr>
          <w:p w14:paraId="615841BF" w14:textId="77777777" w:rsidR="00AE7191" w:rsidRPr="00722885" w:rsidRDefault="00AE7191" w:rsidP="00722885">
            <w:pPr>
              <w:pStyle w:val="Iauiue"/>
              <w:jc w:val="both"/>
              <w:rPr>
                <w:color w:val="000000" w:themeColor="text1"/>
                <w:sz w:val="16"/>
                <w:szCs w:val="16"/>
              </w:rPr>
            </w:pPr>
          </w:p>
        </w:tc>
      </w:tr>
      <w:tr w:rsidR="009B487A" w:rsidRPr="00722885" w14:paraId="20FCA8AE" w14:textId="77777777" w:rsidTr="00CC5360">
        <w:tc>
          <w:tcPr>
            <w:tcW w:w="2376" w:type="dxa"/>
          </w:tcPr>
          <w:p w14:paraId="39CE59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мотором АМ-37 типа</w:t>
            </w:r>
          </w:p>
        </w:tc>
        <w:tc>
          <w:tcPr>
            <w:tcW w:w="1418" w:type="dxa"/>
          </w:tcPr>
          <w:p w14:paraId="3C4991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301</w:t>
            </w:r>
          </w:p>
        </w:tc>
        <w:tc>
          <w:tcPr>
            <w:tcW w:w="919" w:type="dxa"/>
          </w:tcPr>
          <w:p w14:paraId="6D53385F" w14:textId="77777777" w:rsidR="00AE7191" w:rsidRPr="00722885" w:rsidRDefault="00AE7191" w:rsidP="00722885">
            <w:pPr>
              <w:pStyle w:val="Iauiue"/>
              <w:jc w:val="both"/>
              <w:rPr>
                <w:color w:val="000000" w:themeColor="text1"/>
                <w:sz w:val="16"/>
                <w:szCs w:val="16"/>
              </w:rPr>
            </w:pPr>
          </w:p>
        </w:tc>
        <w:tc>
          <w:tcPr>
            <w:tcW w:w="1207" w:type="dxa"/>
          </w:tcPr>
          <w:p w14:paraId="2CA68A3A" w14:textId="77777777" w:rsidR="00AE7191" w:rsidRPr="00722885" w:rsidRDefault="00AE7191" w:rsidP="00722885">
            <w:pPr>
              <w:pStyle w:val="Iauiue"/>
              <w:jc w:val="both"/>
              <w:rPr>
                <w:color w:val="000000" w:themeColor="text1"/>
                <w:sz w:val="16"/>
                <w:szCs w:val="16"/>
              </w:rPr>
            </w:pPr>
          </w:p>
        </w:tc>
        <w:tc>
          <w:tcPr>
            <w:tcW w:w="866" w:type="dxa"/>
          </w:tcPr>
          <w:p w14:paraId="0C119456" w14:textId="77777777" w:rsidR="00AE7191" w:rsidRPr="00722885" w:rsidRDefault="00AE7191" w:rsidP="00722885">
            <w:pPr>
              <w:pStyle w:val="Iauiue"/>
              <w:jc w:val="both"/>
              <w:rPr>
                <w:color w:val="000000" w:themeColor="text1"/>
                <w:sz w:val="16"/>
                <w:szCs w:val="16"/>
              </w:rPr>
            </w:pPr>
          </w:p>
        </w:tc>
        <w:tc>
          <w:tcPr>
            <w:tcW w:w="3811" w:type="dxa"/>
          </w:tcPr>
          <w:p w14:paraId="197462BD" w14:textId="77777777" w:rsidR="00AE7191" w:rsidRPr="00722885" w:rsidRDefault="00AE7191" w:rsidP="00722885">
            <w:pPr>
              <w:pStyle w:val="Iauiue"/>
              <w:jc w:val="both"/>
              <w:rPr>
                <w:color w:val="000000" w:themeColor="text1"/>
                <w:sz w:val="16"/>
                <w:szCs w:val="16"/>
              </w:rPr>
            </w:pPr>
          </w:p>
        </w:tc>
      </w:tr>
      <w:tr w:rsidR="009B487A" w:rsidRPr="00722885" w14:paraId="5C001AF1" w14:textId="77777777" w:rsidTr="00CC5360">
        <w:tc>
          <w:tcPr>
            <w:tcW w:w="2376" w:type="dxa"/>
          </w:tcPr>
          <w:p w14:paraId="17DFE1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"Аэрокобра"</w:t>
            </w:r>
          </w:p>
        </w:tc>
        <w:tc>
          <w:tcPr>
            <w:tcW w:w="1418" w:type="dxa"/>
          </w:tcPr>
          <w:p w14:paraId="02E046E5" w14:textId="77777777" w:rsidR="00AE7191" w:rsidRPr="00722885" w:rsidRDefault="00AE7191" w:rsidP="00722885">
            <w:pPr>
              <w:pStyle w:val="Iauiue"/>
              <w:jc w:val="both"/>
              <w:rPr>
                <w:color w:val="000000" w:themeColor="text1"/>
                <w:sz w:val="16"/>
                <w:szCs w:val="16"/>
              </w:rPr>
            </w:pPr>
          </w:p>
        </w:tc>
        <w:tc>
          <w:tcPr>
            <w:tcW w:w="919" w:type="dxa"/>
          </w:tcPr>
          <w:p w14:paraId="710C6B65" w14:textId="77777777" w:rsidR="00AE7191" w:rsidRPr="00722885" w:rsidRDefault="00AE7191" w:rsidP="00722885">
            <w:pPr>
              <w:pStyle w:val="Iauiue"/>
              <w:jc w:val="both"/>
              <w:rPr>
                <w:color w:val="000000" w:themeColor="text1"/>
                <w:sz w:val="16"/>
                <w:szCs w:val="16"/>
              </w:rPr>
            </w:pPr>
          </w:p>
        </w:tc>
        <w:tc>
          <w:tcPr>
            <w:tcW w:w="1207" w:type="dxa"/>
          </w:tcPr>
          <w:p w14:paraId="04810858" w14:textId="77777777" w:rsidR="00AE7191" w:rsidRPr="00722885" w:rsidRDefault="00AE7191" w:rsidP="00722885">
            <w:pPr>
              <w:pStyle w:val="Iauiue"/>
              <w:jc w:val="both"/>
              <w:rPr>
                <w:color w:val="000000" w:themeColor="text1"/>
                <w:sz w:val="16"/>
                <w:szCs w:val="16"/>
              </w:rPr>
            </w:pPr>
          </w:p>
        </w:tc>
        <w:tc>
          <w:tcPr>
            <w:tcW w:w="866" w:type="dxa"/>
          </w:tcPr>
          <w:p w14:paraId="6529CBBE" w14:textId="77777777" w:rsidR="00AE7191" w:rsidRPr="00722885" w:rsidRDefault="00AE7191" w:rsidP="00722885">
            <w:pPr>
              <w:pStyle w:val="Iauiue"/>
              <w:jc w:val="both"/>
              <w:rPr>
                <w:color w:val="000000" w:themeColor="text1"/>
                <w:sz w:val="16"/>
                <w:szCs w:val="16"/>
              </w:rPr>
            </w:pPr>
          </w:p>
        </w:tc>
        <w:tc>
          <w:tcPr>
            <w:tcW w:w="3811" w:type="dxa"/>
          </w:tcPr>
          <w:p w14:paraId="0F7A2592" w14:textId="77777777" w:rsidR="00AE7191" w:rsidRPr="00722885" w:rsidRDefault="00AE7191" w:rsidP="00722885">
            <w:pPr>
              <w:pStyle w:val="Iauiue"/>
              <w:jc w:val="both"/>
              <w:rPr>
                <w:color w:val="000000" w:themeColor="text1"/>
                <w:sz w:val="16"/>
                <w:szCs w:val="16"/>
              </w:rPr>
            </w:pPr>
          </w:p>
        </w:tc>
      </w:tr>
      <w:tr w:rsidR="009B487A" w:rsidRPr="00722885" w14:paraId="2FC5ED64" w14:textId="77777777" w:rsidTr="00CC5360">
        <w:tc>
          <w:tcPr>
            <w:tcW w:w="2376" w:type="dxa"/>
          </w:tcPr>
          <w:p w14:paraId="0B1685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Одноместный истребитель</w:t>
            </w:r>
          </w:p>
        </w:tc>
        <w:tc>
          <w:tcPr>
            <w:tcW w:w="1418" w:type="dxa"/>
          </w:tcPr>
          <w:p w14:paraId="7A11A2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Болховитинов</w:t>
            </w:r>
          </w:p>
        </w:tc>
        <w:tc>
          <w:tcPr>
            <w:tcW w:w="919" w:type="dxa"/>
          </w:tcPr>
          <w:p w14:paraId="118A11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w:t>
            </w:r>
          </w:p>
        </w:tc>
        <w:tc>
          <w:tcPr>
            <w:tcW w:w="1207" w:type="dxa"/>
          </w:tcPr>
          <w:p w14:paraId="78C187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25.IV.42</w:t>
            </w:r>
          </w:p>
        </w:tc>
        <w:tc>
          <w:tcPr>
            <w:tcW w:w="866" w:type="dxa"/>
          </w:tcPr>
          <w:p w14:paraId="336A7F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2500</w:t>
            </w:r>
          </w:p>
        </w:tc>
        <w:tc>
          <w:tcPr>
            <w:tcW w:w="3811" w:type="dxa"/>
          </w:tcPr>
          <w:p w14:paraId="179E52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Летные испытания и доводки</w:t>
            </w:r>
          </w:p>
        </w:tc>
      </w:tr>
      <w:tr w:rsidR="009B487A" w:rsidRPr="00722885" w14:paraId="1D6FA609" w14:textId="77777777" w:rsidTr="00CC5360">
        <w:tc>
          <w:tcPr>
            <w:tcW w:w="2376" w:type="dxa"/>
          </w:tcPr>
          <w:p w14:paraId="5730D9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перехватчик с реактивным</w:t>
            </w:r>
          </w:p>
        </w:tc>
        <w:tc>
          <w:tcPr>
            <w:tcW w:w="1418" w:type="dxa"/>
          </w:tcPr>
          <w:p w14:paraId="0806FC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293</w:t>
            </w:r>
          </w:p>
        </w:tc>
        <w:tc>
          <w:tcPr>
            <w:tcW w:w="919" w:type="dxa"/>
          </w:tcPr>
          <w:p w14:paraId="0F0A78C9" w14:textId="77777777" w:rsidR="00AE7191" w:rsidRPr="00722885" w:rsidRDefault="00AE7191" w:rsidP="00722885">
            <w:pPr>
              <w:pStyle w:val="Iauiue"/>
              <w:jc w:val="both"/>
              <w:rPr>
                <w:color w:val="000000" w:themeColor="text1"/>
                <w:sz w:val="16"/>
                <w:szCs w:val="16"/>
              </w:rPr>
            </w:pPr>
          </w:p>
        </w:tc>
        <w:tc>
          <w:tcPr>
            <w:tcW w:w="1207" w:type="dxa"/>
          </w:tcPr>
          <w:p w14:paraId="1FC863D4" w14:textId="77777777" w:rsidR="00AE7191" w:rsidRPr="00722885" w:rsidRDefault="00AE7191" w:rsidP="00722885">
            <w:pPr>
              <w:pStyle w:val="Iauiue"/>
              <w:jc w:val="both"/>
              <w:rPr>
                <w:color w:val="000000" w:themeColor="text1"/>
                <w:sz w:val="16"/>
                <w:szCs w:val="16"/>
              </w:rPr>
            </w:pPr>
          </w:p>
        </w:tc>
        <w:tc>
          <w:tcPr>
            <w:tcW w:w="866" w:type="dxa"/>
          </w:tcPr>
          <w:p w14:paraId="65AA8751" w14:textId="77777777" w:rsidR="00AE7191" w:rsidRPr="00722885" w:rsidRDefault="00AE7191" w:rsidP="00722885">
            <w:pPr>
              <w:pStyle w:val="Iauiue"/>
              <w:jc w:val="both"/>
              <w:rPr>
                <w:color w:val="000000" w:themeColor="text1"/>
                <w:sz w:val="16"/>
                <w:szCs w:val="16"/>
              </w:rPr>
            </w:pPr>
          </w:p>
        </w:tc>
        <w:tc>
          <w:tcPr>
            <w:tcW w:w="3811" w:type="dxa"/>
          </w:tcPr>
          <w:p w14:paraId="5A161D52" w14:textId="77777777" w:rsidR="00AE7191" w:rsidRPr="00722885" w:rsidRDefault="00AE7191" w:rsidP="00722885">
            <w:pPr>
              <w:pStyle w:val="Iauiue"/>
              <w:jc w:val="both"/>
              <w:rPr>
                <w:color w:val="000000" w:themeColor="text1"/>
                <w:sz w:val="16"/>
                <w:szCs w:val="16"/>
              </w:rPr>
            </w:pPr>
          </w:p>
        </w:tc>
      </w:tr>
      <w:tr w:rsidR="009B487A" w:rsidRPr="00722885" w14:paraId="067B9475" w14:textId="77777777" w:rsidTr="00CC5360">
        <w:tc>
          <w:tcPr>
            <w:tcW w:w="2376" w:type="dxa"/>
          </w:tcPr>
          <w:p w14:paraId="5F4179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двигателем</w:t>
            </w:r>
          </w:p>
        </w:tc>
        <w:tc>
          <w:tcPr>
            <w:tcW w:w="1418" w:type="dxa"/>
          </w:tcPr>
          <w:p w14:paraId="6DE08DE7" w14:textId="77777777" w:rsidR="00AE7191" w:rsidRPr="00722885" w:rsidRDefault="00AE7191" w:rsidP="00722885">
            <w:pPr>
              <w:pStyle w:val="Iauiue"/>
              <w:jc w:val="both"/>
              <w:rPr>
                <w:color w:val="000000" w:themeColor="text1"/>
                <w:sz w:val="16"/>
                <w:szCs w:val="16"/>
              </w:rPr>
            </w:pPr>
          </w:p>
        </w:tc>
        <w:tc>
          <w:tcPr>
            <w:tcW w:w="919" w:type="dxa"/>
          </w:tcPr>
          <w:p w14:paraId="5AB0D0E6" w14:textId="77777777" w:rsidR="00AE7191" w:rsidRPr="00722885" w:rsidRDefault="00AE7191" w:rsidP="00722885">
            <w:pPr>
              <w:pStyle w:val="Iauiue"/>
              <w:jc w:val="both"/>
              <w:rPr>
                <w:color w:val="000000" w:themeColor="text1"/>
                <w:sz w:val="16"/>
                <w:szCs w:val="16"/>
              </w:rPr>
            </w:pPr>
          </w:p>
        </w:tc>
        <w:tc>
          <w:tcPr>
            <w:tcW w:w="1207" w:type="dxa"/>
          </w:tcPr>
          <w:p w14:paraId="4C4AFCAB" w14:textId="77777777" w:rsidR="00AE7191" w:rsidRPr="00722885" w:rsidRDefault="00AE7191" w:rsidP="00722885">
            <w:pPr>
              <w:pStyle w:val="Iauiue"/>
              <w:jc w:val="both"/>
              <w:rPr>
                <w:color w:val="000000" w:themeColor="text1"/>
                <w:sz w:val="16"/>
                <w:szCs w:val="16"/>
              </w:rPr>
            </w:pPr>
          </w:p>
        </w:tc>
        <w:tc>
          <w:tcPr>
            <w:tcW w:w="866" w:type="dxa"/>
          </w:tcPr>
          <w:p w14:paraId="73CC0249" w14:textId="77777777" w:rsidR="00AE7191" w:rsidRPr="00722885" w:rsidRDefault="00AE7191" w:rsidP="00722885">
            <w:pPr>
              <w:pStyle w:val="Iauiue"/>
              <w:jc w:val="both"/>
              <w:rPr>
                <w:color w:val="000000" w:themeColor="text1"/>
                <w:sz w:val="16"/>
                <w:szCs w:val="16"/>
              </w:rPr>
            </w:pPr>
          </w:p>
        </w:tc>
        <w:tc>
          <w:tcPr>
            <w:tcW w:w="3811" w:type="dxa"/>
          </w:tcPr>
          <w:p w14:paraId="7480A660" w14:textId="77777777" w:rsidR="00AE7191" w:rsidRPr="00722885" w:rsidRDefault="00AE7191" w:rsidP="00722885">
            <w:pPr>
              <w:pStyle w:val="Iauiue"/>
              <w:jc w:val="both"/>
              <w:rPr>
                <w:color w:val="000000" w:themeColor="text1"/>
                <w:sz w:val="16"/>
                <w:szCs w:val="16"/>
              </w:rPr>
            </w:pPr>
          </w:p>
        </w:tc>
      </w:tr>
      <w:tr w:rsidR="009B487A" w:rsidRPr="00722885" w14:paraId="21F86B5C" w14:textId="77777777" w:rsidTr="00CC5360">
        <w:tc>
          <w:tcPr>
            <w:tcW w:w="2376" w:type="dxa"/>
          </w:tcPr>
          <w:p w14:paraId="4DFB0F6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Пе-2 со</w:t>
            </w:r>
          </w:p>
        </w:tc>
        <w:tc>
          <w:tcPr>
            <w:tcW w:w="1418" w:type="dxa"/>
          </w:tcPr>
          <w:p w14:paraId="338B37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Надирадзе</w:t>
            </w:r>
          </w:p>
        </w:tc>
        <w:tc>
          <w:tcPr>
            <w:tcW w:w="919" w:type="dxa"/>
          </w:tcPr>
          <w:p w14:paraId="7ED20D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tc>
        <w:tc>
          <w:tcPr>
            <w:tcW w:w="1207" w:type="dxa"/>
          </w:tcPr>
          <w:p w14:paraId="5B59DD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1.VII.42</w:t>
            </w:r>
          </w:p>
        </w:tc>
        <w:tc>
          <w:tcPr>
            <w:tcW w:w="866" w:type="dxa"/>
          </w:tcPr>
          <w:p w14:paraId="218A95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700</w:t>
            </w:r>
          </w:p>
        </w:tc>
        <w:tc>
          <w:tcPr>
            <w:tcW w:w="3811" w:type="dxa"/>
          </w:tcPr>
          <w:p w14:paraId="5CA0DAD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Летные испытания и доводки</w:t>
            </w:r>
          </w:p>
        </w:tc>
      </w:tr>
      <w:tr w:rsidR="009B487A" w:rsidRPr="00722885" w14:paraId="357ABBD0" w14:textId="77777777" w:rsidTr="00CC5360">
        <w:tc>
          <w:tcPr>
            <w:tcW w:w="2376" w:type="dxa"/>
          </w:tcPr>
          <w:p w14:paraId="523B68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специальными</w:t>
            </w:r>
          </w:p>
        </w:tc>
        <w:tc>
          <w:tcPr>
            <w:tcW w:w="1418" w:type="dxa"/>
          </w:tcPr>
          <w:p w14:paraId="4C2722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Ефремов</w:t>
            </w:r>
          </w:p>
        </w:tc>
        <w:tc>
          <w:tcPr>
            <w:tcW w:w="919" w:type="dxa"/>
          </w:tcPr>
          <w:p w14:paraId="145E69FC" w14:textId="77777777" w:rsidR="00AE7191" w:rsidRPr="00722885" w:rsidRDefault="00AE7191" w:rsidP="00722885">
            <w:pPr>
              <w:pStyle w:val="Iauiue"/>
              <w:jc w:val="both"/>
              <w:rPr>
                <w:color w:val="000000" w:themeColor="text1"/>
                <w:sz w:val="16"/>
                <w:szCs w:val="16"/>
              </w:rPr>
            </w:pPr>
          </w:p>
        </w:tc>
        <w:tc>
          <w:tcPr>
            <w:tcW w:w="1207" w:type="dxa"/>
          </w:tcPr>
          <w:p w14:paraId="0514A95D" w14:textId="77777777" w:rsidR="00AE7191" w:rsidRPr="00722885" w:rsidRDefault="00AE7191" w:rsidP="00722885">
            <w:pPr>
              <w:pStyle w:val="Iauiue"/>
              <w:jc w:val="both"/>
              <w:rPr>
                <w:color w:val="000000" w:themeColor="text1"/>
                <w:sz w:val="16"/>
                <w:szCs w:val="16"/>
              </w:rPr>
            </w:pPr>
          </w:p>
        </w:tc>
        <w:tc>
          <w:tcPr>
            <w:tcW w:w="866" w:type="dxa"/>
          </w:tcPr>
          <w:p w14:paraId="04B20CD6" w14:textId="77777777" w:rsidR="00AE7191" w:rsidRPr="00722885" w:rsidRDefault="00AE7191" w:rsidP="00722885">
            <w:pPr>
              <w:pStyle w:val="Iauiue"/>
              <w:jc w:val="both"/>
              <w:rPr>
                <w:color w:val="000000" w:themeColor="text1"/>
                <w:sz w:val="16"/>
                <w:szCs w:val="16"/>
              </w:rPr>
            </w:pPr>
          </w:p>
        </w:tc>
        <w:tc>
          <w:tcPr>
            <w:tcW w:w="3811" w:type="dxa"/>
          </w:tcPr>
          <w:p w14:paraId="3DA31C20" w14:textId="77777777" w:rsidR="00AE7191" w:rsidRPr="00722885" w:rsidRDefault="00AE7191" w:rsidP="00722885">
            <w:pPr>
              <w:pStyle w:val="Iauiue"/>
              <w:jc w:val="both"/>
              <w:rPr>
                <w:color w:val="000000" w:themeColor="text1"/>
                <w:sz w:val="16"/>
                <w:szCs w:val="16"/>
              </w:rPr>
            </w:pPr>
          </w:p>
        </w:tc>
      </w:tr>
      <w:tr w:rsidR="009B487A" w:rsidRPr="00722885" w14:paraId="3174DE64" w14:textId="77777777" w:rsidTr="00CC5360">
        <w:tc>
          <w:tcPr>
            <w:tcW w:w="2376" w:type="dxa"/>
          </w:tcPr>
          <w:p w14:paraId="4083D94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взлетно-посадочными</w:t>
            </w:r>
          </w:p>
        </w:tc>
        <w:tc>
          <w:tcPr>
            <w:tcW w:w="1418" w:type="dxa"/>
          </w:tcPr>
          <w:p w14:paraId="1D3353E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з-д 22</w:t>
            </w:r>
          </w:p>
        </w:tc>
        <w:tc>
          <w:tcPr>
            <w:tcW w:w="919" w:type="dxa"/>
          </w:tcPr>
          <w:p w14:paraId="5526C053" w14:textId="77777777" w:rsidR="00AE7191" w:rsidRPr="00722885" w:rsidRDefault="00AE7191" w:rsidP="00722885">
            <w:pPr>
              <w:pStyle w:val="Iauiue"/>
              <w:jc w:val="both"/>
              <w:rPr>
                <w:color w:val="000000" w:themeColor="text1"/>
                <w:sz w:val="16"/>
                <w:szCs w:val="16"/>
              </w:rPr>
            </w:pPr>
          </w:p>
        </w:tc>
        <w:tc>
          <w:tcPr>
            <w:tcW w:w="1207" w:type="dxa"/>
          </w:tcPr>
          <w:p w14:paraId="4AAD1036" w14:textId="77777777" w:rsidR="00AE7191" w:rsidRPr="00722885" w:rsidRDefault="00AE7191" w:rsidP="00722885">
            <w:pPr>
              <w:pStyle w:val="Iauiue"/>
              <w:jc w:val="both"/>
              <w:rPr>
                <w:color w:val="000000" w:themeColor="text1"/>
                <w:sz w:val="16"/>
                <w:szCs w:val="16"/>
              </w:rPr>
            </w:pPr>
          </w:p>
        </w:tc>
        <w:tc>
          <w:tcPr>
            <w:tcW w:w="866" w:type="dxa"/>
          </w:tcPr>
          <w:p w14:paraId="6C53BC35" w14:textId="77777777" w:rsidR="00AE7191" w:rsidRPr="00722885" w:rsidRDefault="00AE7191" w:rsidP="00722885">
            <w:pPr>
              <w:pStyle w:val="Iauiue"/>
              <w:jc w:val="both"/>
              <w:rPr>
                <w:color w:val="000000" w:themeColor="text1"/>
                <w:sz w:val="16"/>
                <w:szCs w:val="16"/>
              </w:rPr>
            </w:pPr>
          </w:p>
        </w:tc>
        <w:tc>
          <w:tcPr>
            <w:tcW w:w="3811" w:type="dxa"/>
          </w:tcPr>
          <w:p w14:paraId="6368403A" w14:textId="77777777" w:rsidR="00AE7191" w:rsidRPr="00722885" w:rsidRDefault="00AE7191" w:rsidP="00722885">
            <w:pPr>
              <w:pStyle w:val="Iauiue"/>
              <w:jc w:val="both"/>
              <w:rPr>
                <w:color w:val="000000" w:themeColor="text1"/>
                <w:sz w:val="16"/>
                <w:szCs w:val="16"/>
              </w:rPr>
            </w:pPr>
          </w:p>
        </w:tc>
      </w:tr>
      <w:tr w:rsidR="009B487A" w:rsidRPr="00722885" w14:paraId="7B2F310B" w14:textId="77777777" w:rsidTr="00CC5360">
        <w:tc>
          <w:tcPr>
            <w:tcW w:w="2376" w:type="dxa"/>
          </w:tcPr>
          <w:p w14:paraId="6B847CB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приспособлениями</w:t>
            </w:r>
          </w:p>
        </w:tc>
        <w:tc>
          <w:tcPr>
            <w:tcW w:w="1418" w:type="dxa"/>
          </w:tcPr>
          <w:p w14:paraId="54B06E63" w14:textId="77777777" w:rsidR="00AE7191" w:rsidRPr="00722885" w:rsidRDefault="00AE7191" w:rsidP="00722885">
            <w:pPr>
              <w:pStyle w:val="Iauiue"/>
              <w:jc w:val="both"/>
              <w:rPr>
                <w:color w:val="000000" w:themeColor="text1"/>
                <w:sz w:val="16"/>
                <w:szCs w:val="16"/>
              </w:rPr>
            </w:pPr>
          </w:p>
        </w:tc>
        <w:tc>
          <w:tcPr>
            <w:tcW w:w="919" w:type="dxa"/>
          </w:tcPr>
          <w:p w14:paraId="0F87AEF3" w14:textId="77777777" w:rsidR="00AE7191" w:rsidRPr="00722885" w:rsidRDefault="00AE7191" w:rsidP="00722885">
            <w:pPr>
              <w:pStyle w:val="Iauiue"/>
              <w:jc w:val="both"/>
              <w:rPr>
                <w:color w:val="000000" w:themeColor="text1"/>
                <w:sz w:val="16"/>
                <w:szCs w:val="16"/>
              </w:rPr>
            </w:pPr>
          </w:p>
        </w:tc>
        <w:tc>
          <w:tcPr>
            <w:tcW w:w="1207" w:type="dxa"/>
          </w:tcPr>
          <w:p w14:paraId="634F51BA" w14:textId="77777777" w:rsidR="00AE7191" w:rsidRPr="00722885" w:rsidRDefault="00AE7191" w:rsidP="00722885">
            <w:pPr>
              <w:pStyle w:val="Iauiue"/>
              <w:jc w:val="both"/>
              <w:rPr>
                <w:color w:val="000000" w:themeColor="text1"/>
                <w:sz w:val="16"/>
                <w:szCs w:val="16"/>
              </w:rPr>
            </w:pPr>
          </w:p>
        </w:tc>
        <w:tc>
          <w:tcPr>
            <w:tcW w:w="866" w:type="dxa"/>
          </w:tcPr>
          <w:p w14:paraId="74FF4846" w14:textId="77777777" w:rsidR="00AE7191" w:rsidRPr="00722885" w:rsidRDefault="00AE7191" w:rsidP="00722885">
            <w:pPr>
              <w:pStyle w:val="Iauiue"/>
              <w:jc w:val="both"/>
              <w:rPr>
                <w:color w:val="000000" w:themeColor="text1"/>
                <w:sz w:val="16"/>
                <w:szCs w:val="16"/>
              </w:rPr>
            </w:pPr>
          </w:p>
        </w:tc>
        <w:tc>
          <w:tcPr>
            <w:tcW w:w="3811" w:type="dxa"/>
          </w:tcPr>
          <w:p w14:paraId="0084A15E" w14:textId="77777777" w:rsidR="00AE7191" w:rsidRPr="00722885" w:rsidRDefault="00AE7191" w:rsidP="00722885">
            <w:pPr>
              <w:pStyle w:val="Iauiue"/>
              <w:jc w:val="both"/>
              <w:rPr>
                <w:color w:val="000000" w:themeColor="text1"/>
                <w:sz w:val="16"/>
                <w:szCs w:val="16"/>
              </w:rPr>
            </w:pPr>
          </w:p>
        </w:tc>
      </w:tr>
      <w:tr w:rsidR="009B487A" w:rsidRPr="00722885" w14:paraId="177E0E46" w14:textId="77777777" w:rsidTr="00CC5360">
        <w:tc>
          <w:tcPr>
            <w:tcW w:w="2376" w:type="dxa"/>
          </w:tcPr>
          <w:p w14:paraId="5C795F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Геликоптер с двумя</w:t>
            </w:r>
          </w:p>
        </w:tc>
        <w:tc>
          <w:tcPr>
            <w:tcW w:w="1418" w:type="dxa"/>
          </w:tcPr>
          <w:p w14:paraId="37400B8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Братухин</w:t>
            </w:r>
          </w:p>
        </w:tc>
        <w:tc>
          <w:tcPr>
            <w:tcW w:w="919" w:type="dxa"/>
          </w:tcPr>
          <w:p w14:paraId="2F070E6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07" w:type="dxa"/>
          </w:tcPr>
          <w:p w14:paraId="3CC0C0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1.УШ.42 на летные испытания</w:t>
            </w:r>
          </w:p>
        </w:tc>
        <w:tc>
          <w:tcPr>
            <w:tcW w:w="866" w:type="dxa"/>
          </w:tcPr>
          <w:p w14:paraId="499AD1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700</w:t>
            </w:r>
          </w:p>
        </w:tc>
        <w:tc>
          <w:tcPr>
            <w:tcW w:w="3811" w:type="dxa"/>
          </w:tcPr>
          <w:p w14:paraId="535C5036" w14:textId="77777777" w:rsidR="00AE7191" w:rsidRPr="00722885" w:rsidRDefault="00AE7191" w:rsidP="00722885">
            <w:pPr>
              <w:pStyle w:val="Iauiue"/>
              <w:jc w:val="both"/>
              <w:rPr>
                <w:color w:val="000000" w:themeColor="text1"/>
                <w:sz w:val="16"/>
                <w:szCs w:val="16"/>
              </w:rPr>
            </w:pPr>
          </w:p>
        </w:tc>
      </w:tr>
      <w:tr w:rsidR="009B487A" w:rsidRPr="00722885" w14:paraId="44B1E8DB" w14:textId="77777777" w:rsidTr="00CC5360">
        <w:tc>
          <w:tcPr>
            <w:tcW w:w="2376" w:type="dxa"/>
          </w:tcPr>
          <w:p w14:paraId="59F641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моторами МВ-6</w:t>
            </w:r>
          </w:p>
        </w:tc>
        <w:tc>
          <w:tcPr>
            <w:tcW w:w="1418" w:type="dxa"/>
          </w:tcPr>
          <w:p w14:paraId="572ACE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МАИ</w:t>
            </w:r>
          </w:p>
        </w:tc>
        <w:tc>
          <w:tcPr>
            <w:tcW w:w="919" w:type="dxa"/>
          </w:tcPr>
          <w:p w14:paraId="202F3D90" w14:textId="77777777" w:rsidR="00AE7191" w:rsidRPr="00722885" w:rsidRDefault="00AE7191" w:rsidP="00722885">
            <w:pPr>
              <w:pStyle w:val="Iauiue"/>
              <w:jc w:val="both"/>
              <w:rPr>
                <w:color w:val="000000" w:themeColor="text1"/>
                <w:sz w:val="16"/>
                <w:szCs w:val="16"/>
              </w:rPr>
            </w:pPr>
          </w:p>
        </w:tc>
        <w:tc>
          <w:tcPr>
            <w:tcW w:w="1207" w:type="dxa"/>
          </w:tcPr>
          <w:p w14:paraId="4F596E51" w14:textId="77777777" w:rsidR="00AE7191" w:rsidRPr="00722885" w:rsidRDefault="00AE7191" w:rsidP="00722885">
            <w:pPr>
              <w:pStyle w:val="Iauiue"/>
              <w:jc w:val="both"/>
              <w:rPr>
                <w:color w:val="000000" w:themeColor="text1"/>
                <w:sz w:val="16"/>
                <w:szCs w:val="16"/>
              </w:rPr>
            </w:pPr>
          </w:p>
        </w:tc>
        <w:tc>
          <w:tcPr>
            <w:tcW w:w="866" w:type="dxa"/>
          </w:tcPr>
          <w:p w14:paraId="34E9EB53" w14:textId="77777777" w:rsidR="00AE7191" w:rsidRPr="00722885" w:rsidRDefault="00AE7191" w:rsidP="00722885">
            <w:pPr>
              <w:pStyle w:val="Iauiue"/>
              <w:jc w:val="both"/>
              <w:rPr>
                <w:color w:val="000000" w:themeColor="text1"/>
                <w:sz w:val="16"/>
                <w:szCs w:val="16"/>
              </w:rPr>
            </w:pPr>
          </w:p>
        </w:tc>
        <w:tc>
          <w:tcPr>
            <w:tcW w:w="3811" w:type="dxa"/>
          </w:tcPr>
          <w:p w14:paraId="0CF59716" w14:textId="77777777" w:rsidR="00AE7191" w:rsidRPr="00722885" w:rsidRDefault="00AE7191" w:rsidP="00722885">
            <w:pPr>
              <w:pStyle w:val="Iauiue"/>
              <w:jc w:val="both"/>
              <w:rPr>
                <w:color w:val="000000" w:themeColor="text1"/>
                <w:sz w:val="16"/>
                <w:szCs w:val="16"/>
              </w:rPr>
            </w:pPr>
          </w:p>
        </w:tc>
      </w:tr>
      <w:tr w:rsidR="009B487A" w:rsidRPr="00722885" w14:paraId="3C0505FC" w14:textId="77777777" w:rsidTr="00CC5360">
        <w:tc>
          <w:tcPr>
            <w:tcW w:w="2376" w:type="dxa"/>
          </w:tcPr>
          <w:p w14:paraId="783EE6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Автожир АК, взлетающий без разбега</w:t>
            </w:r>
          </w:p>
        </w:tc>
        <w:tc>
          <w:tcPr>
            <w:tcW w:w="1418" w:type="dxa"/>
          </w:tcPr>
          <w:p w14:paraId="201B18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Камов</w:t>
            </w:r>
          </w:p>
          <w:p w14:paraId="4A7866F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290</w:t>
            </w:r>
          </w:p>
        </w:tc>
        <w:tc>
          <w:tcPr>
            <w:tcW w:w="919" w:type="dxa"/>
          </w:tcPr>
          <w:p w14:paraId="081259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tc>
        <w:tc>
          <w:tcPr>
            <w:tcW w:w="1207" w:type="dxa"/>
          </w:tcPr>
          <w:p w14:paraId="42FBEE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15Х1ю42</w:t>
            </w:r>
          </w:p>
        </w:tc>
        <w:tc>
          <w:tcPr>
            <w:tcW w:w="866" w:type="dxa"/>
          </w:tcPr>
          <w:p w14:paraId="55E74BD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w:t>
            </w:r>
          </w:p>
        </w:tc>
        <w:tc>
          <w:tcPr>
            <w:tcW w:w="3811" w:type="dxa"/>
          </w:tcPr>
          <w:p w14:paraId="2554A9DB" w14:textId="77777777" w:rsidR="00AE7191" w:rsidRPr="00722885" w:rsidRDefault="00AE7191" w:rsidP="00722885">
            <w:pPr>
              <w:pStyle w:val="Iauiue"/>
              <w:jc w:val="both"/>
              <w:rPr>
                <w:color w:val="000000" w:themeColor="text1"/>
                <w:sz w:val="16"/>
                <w:szCs w:val="16"/>
              </w:rPr>
            </w:pPr>
          </w:p>
        </w:tc>
      </w:tr>
      <w:tr w:rsidR="009B487A" w:rsidRPr="00722885" w14:paraId="1DE71B77" w14:textId="77777777" w:rsidTr="00CC5360">
        <w:tc>
          <w:tcPr>
            <w:tcW w:w="2376" w:type="dxa"/>
            <w:tcBorders>
              <w:bottom w:val="single" w:sz="12" w:space="0" w:color="auto"/>
            </w:tcBorders>
          </w:tcPr>
          <w:p w14:paraId="27C35CB4" w14:textId="77777777" w:rsidR="00AE7191" w:rsidRPr="00722885" w:rsidRDefault="00AE7191" w:rsidP="00722885">
            <w:pPr>
              <w:pStyle w:val="Iauiue"/>
              <w:jc w:val="both"/>
              <w:rPr>
                <w:color w:val="000000" w:themeColor="text1"/>
                <w:sz w:val="16"/>
                <w:szCs w:val="16"/>
              </w:rPr>
            </w:pPr>
          </w:p>
        </w:tc>
        <w:tc>
          <w:tcPr>
            <w:tcW w:w="1418" w:type="dxa"/>
            <w:tcBorders>
              <w:bottom w:val="single" w:sz="12" w:space="0" w:color="auto"/>
            </w:tcBorders>
          </w:tcPr>
          <w:p w14:paraId="0CC83C29" w14:textId="77777777" w:rsidR="00AE7191" w:rsidRPr="00722885" w:rsidRDefault="00AE7191" w:rsidP="00722885">
            <w:pPr>
              <w:pStyle w:val="Iauiue"/>
              <w:jc w:val="both"/>
              <w:rPr>
                <w:color w:val="000000" w:themeColor="text1"/>
                <w:sz w:val="16"/>
                <w:szCs w:val="16"/>
              </w:rPr>
            </w:pPr>
          </w:p>
        </w:tc>
        <w:tc>
          <w:tcPr>
            <w:tcW w:w="919" w:type="dxa"/>
            <w:tcBorders>
              <w:bottom w:val="single" w:sz="12" w:space="0" w:color="auto"/>
            </w:tcBorders>
          </w:tcPr>
          <w:p w14:paraId="78B8B168" w14:textId="77777777" w:rsidR="00AE7191" w:rsidRPr="00722885" w:rsidRDefault="00AE7191" w:rsidP="00722885">
            <w:pPr>
              <w:pStyle w:val="Iauiue"/>
              <w:jc w:val="both"/>
              <w:rPr>
                <w:color w:val="000000" w:themeColor="text1"/>
                <w:sz w:val="16"/>
                <w:szCs w:val="16"/>
              </w:rPr>
            </w:pPr>
          </w:p>
        </w:tc>
        <w:tc>
          <w:tcPr>
            <w:tcW w:w="1207" w:type="dxa"/>
            <w:tcBorders>
              <w:bottom w:val="single" w:sz="12" w:space="0" w:color="auto"/>
            </w:tcBorders>
          </w:tcPr>
          <w:p w14:paraId="607ACBAE" w14:textId="77777777" w:rsidR="00AE7191" w:rsidRPr="00722885" w:rsidRDefault="00AE7191" w:rsidP="00722885">
            <w:pPr>
              <w:pStyle w:val="Iauiue"/>
              <w:jc w:val="both"/>
              <w:rPr>
                <w:color w:val="000000" w:themeColor="text1"/>
                <w:sz w:val="16"/>
                <w:szCs w:val="16"/>
              </w:rPr>
            </w:pPr>
          </w:p>
        </w:tc>
        <w:tc>
          <w:tcPr>
            <w:tcW w:w="866" w:type="dxa"/>
            <w:tcBorders>
              <w:bottom w:val="single" w:sz="12" w:space="0" w:color="auto"/>
            </w:tcBorders>
          </w:tcPr>
          <w:p w14:paraId="61E4B770" w14:textId="77777777" w:rsidR="00AE7191" w:rsidRPr="00722885" w:rsidRDefault="00AE7191" w:rsidP="00722885">
            <w:pPr>
              <w:pStyle w:val="Iauiue"/>
              <w:jc w:val="both"/>
              <w:rPr>
                <w:color w:val="000000" w:themeColor="text1"/>
                <w:sz w:val="16"/>
                <w:szCs w:val="16"/>
              </w:rPr>
            </w:pPr>
          </w:p>
        </w:tc>
        <w:tc>
          <w:tcPr>
            <w:tcW w:w="3811" w:type="dxa"/>
            <w:tcBorders>
              <w:bottom w:val="single" w:sz="12" w:space="0" w:color="auto"/>
            </w:tcBorders>
          </w:tcPr>
          <w:p w14:paraId="1E5E2CBD" w14:textId="77777777" w:rsidR="00AE7191" w:rsidRPr="00722885" w:rsidRDefault="00AE7191" w:rsidP="00722885">
            <w:pPr>
              <w:pStyle w:val="Iauiue"/>
              <w:jc w:val="both"/>
              <w:rPr>
                <w:color w:val="000000" w:themeColor="text1"/>
                <w:sz w:val="16"/>
                <w:szCs w:val="16"/>
              </w:rPr>
            </w:pPr>
          </w:p>
        </w:tc>
      </w:tr>
    </w:tbl>
    <w:p w14:paraId="46155EA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Перечень</w:t>
      </w:r>
    </w:p>
    <w:p w14:paraId="3CDDE0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опытных самолетов и модификаций, прекращаемых</w:t>
      </w:r>
    </w:p>
    <w:p w14:paraId="26F682D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строительством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5601"/>
        <w:gridCol w:w="2977"/>
      </w:tblGrid>
      <w:tr w:rsidR="009B487A" w:rsidRPr="00722885" w14:paraId="5EBE7749" w14:textId="77777777" w:rsidTr="00CC5360">
        <w:tc>
          <w:tcPr>
            <w:tcW w:w="1878" w:type="dxa"/>
            <w:tcBorders>
              <w:top w:val="single" w:sz="12" w:space="0" w:color="auto"/>
            </w:tcBorders>
          </w:tcPr>
          <w:p w14:paraId="5A057C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Конструктор</w:t>
            </w:r>
          </w:p>
        </w:tc>
        <w:tc>
          <w:tcPr>
            <w:tcW w:w="5601" w:type="dxa"/>
            <w:tcBorders>
              <w:top w:val="single" w:sz="12" w:space="0" w:color="auto"/>
            </w:tcBorders>
          </w:tcPr>
          <w:p w14:paraId="1F98F9C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Наименование самолета</w:t>
            </w:r>
          </w:p>
        </w:tc>
        <w:tc>
          <w:tcPr>
            <w:tcW w:w="2977" w:type="dxa"/>
            <w:tcBorders>
              <w:top w:val="single" w:sz="12" w:space="0" w:color="auto"/>
            </w:tcBorders>
          </w:tcPr>
          <w:p w14:paraId="4AB361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w:t>
            </w:r>
          </w:p>
        </w:tc>
      </w:tr>
      <w:tr w:rsidR="009B487A" w:rsidRPr="00722885" w14:paraId="11C468A6" w14:textId="77777777" w:rsidTr="00CC5360">
        <w:tc>
          <w:tcPr>
            <w:tcW w:w="1878" w:type="dxa"/>
          </w:tcPr>
          <w:p w14:paraId="4BF30C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Сухой П.О.</w:t>
            </w:r>
          </w:p>
        </w:tc>
        <w:tc>
          <w:tcPr>
            <w:tcW w:w="5601" w:type="dxa"/>
          </w:tcPr>
          <w:p w14:paraId="462420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Модификация одномоторного</w:t>
            </w:r>
          </w:p>
        </w:tc>
        <w:tc>
          <w:tcPr>
            <w:tcW w:w="2977" w:type="dxa"/>
          </w:tcPr>
          <w:p w14:paraId="72FDE84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20.1-41 и</w:t>
            </w:r>
          </w:p>
        </w:tc>
      </w:tr>
      <w:tr w:rsidR="009B487A" w:rsidRPr="00722885" w14:paraId="67A26D6F" w14:textId="77777777" w:rsidTr="00CC5360">
        <w:tc>
          <w:tcPr>
            <w:tcW w:w="1878" w:type="dxa"/>
          </w:tcPr>
          <w:p w14:paraId="36EF6A2B" w14:textId="77777777" w:rsidR="00AE7191" w:rsidRPr="00722885" w:rsidRDefault="00AE7191" w:rsidP="00722885">
            <w:pPr>
              <w:pStyle w:val="Iauiue"/>
              <w:jc w:val="both"/>
              <w:rPr>
                <w:color w:val="000000" w:themeColor="text1"/>
                <w:sz w:val="16"/>
                <w:szCs w:val="16"/>
              </w:rPr>
            </w:pPr>
          </w:p>
        </w:tc>
        <w:tc>
          <w:tcPr>
            <w:tcW w:w="5601" w:type="dxa"/>
          </w:tcPr>
          <w:p w14:paraId="19C8C0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бомбардировщика Су-2 с мотором</w:t>
            </w:r>
          </w:p>
        </w:tc>
        <w:tc>
          <w:tcPr>
            <w:tcW w:w="2977" w:type="dxa"/>
          </w:tcPr>
          <w:p w14:paraId="458DAFE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15.V-41 за</w:t>
            </w:r>
          </w:p>
        </w:tc>
      </w:tr>
      <w:tr w:rsidR="009B487A" w:rsidRPr="00722885" w14:paraId="70A71E1F" w14:textId="77777777" w:rsidTr="00CC5360">
        <w:tc>
          <w:tcPr>
            <w:tcW w:w="1878" w:type="dxa"/>
          </w:tcPr>
          <w:p w14:paraId="5D4D3BD3" w14:textId="77777777" w:rsidR="00AE7191" w:rsidRPr="00722885" w:rsidRDefault="00AE7191" w:rsidP="00722885">
            <w:pPr>
              <w:pStyle w:val="Iauiue"/>
              <w:jc w:val="both"/>
              <w:rPr>
                <w:color w:val="000000" w:themeColor="text1"/>
                <w:sz w:val="16"/>
                <w:szCs w:val="16"/>
              </w:rPr>
            </w:pPr>
          </w:p>
        </w:tc>
        <w:tc>
          <w:tcPr>
            <w:tcW w:w="5601" w:type="dxa"/>
          </w:tcPr>
          <w:p w14:paraId="76FCFB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М-89 с непосредственным</w:t>
            </w:r>
          </w:p>
        </w:tc>
        <w:tc>
          <w:tcPr>
            <w:tcW w:w="2977" w:type="dxa"/>
          </w:tcPr>
          <w:p w14:paraId="623D9C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N 1334-547</w:t>
            </w:r>
          </w:p>
        </w:tc>
      </w:tr>
      <w:tr w:rsidR="009B487A" w:rsidRPr="00722885" w14:paraId="6C04438A" w14:textId="77777777" w:rsidTr="00CC5360">
        <w:tc>
          <w:tcPr>
            <w:tcW w:w="1878" w:type="dxa"/>
          </w:tcPr>
          <w:p w14:paraId="563B7642" w14:textId="77777777" w:rsidR="00AE7191" w:rsidRPr="00722885" w:rsidRDefault="00AE7191" w:rsidP="00722885">
            <w:pPr>
              <w:pStyle w:val="Iauiue"/>
              <w:jc w:val="both"/>
              <w:rPr>
                <w:color w:val="000000" w:themeColor="text1"/>
                <w:sz w:val="16"/>
                <w:szCs w:val="16"/>
              </w:rPr>
            </w:pPr>
          </w:p>
        </w:tc>
        <w:tc>
          <w:tcPr>
            <w:tcW w:w="5601" w:type="dxa"/>
          </w:tcPr>
          <w:p w14:paraId="4234AA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впрыском.</w:t>
            </w:r>
          </w:p>
        </w:tc>
        <w:tc>
          <w:tcPr>
            <w:tcW w:w="2977" w:type="dxa"/>
          </w:tcPr>
          <w:p w14:paraId="797DD93F" w14:textId="77777777" w:rsidR="00AE7191" w:rsidRPr="00722885" w:rsidRDefault="00AE7191" w:rsidP="00722885">
            <w:pPr>
              <w:pStyle w:val="Iauiue"/>
              <w:jc w:val="both"/>
              <w:rPr>
                <w:color w:val="000000" w:themeColor="text1"/>
                <w:sz w:val="16"/>
                <w:szCs w:val="16"/>
              </w:rPr>
            </w:pPr>
          </w:p>
        </w:tc>
      </w:tr>
      <w:tr w:rsidR="009B487A" w:rsidRPr="00722885" w14:paraId="0E9DC7E6" w14:textId="77777777" w:rsidTr="00CC5360">
        <w:tc>
          <w:tcPr>
            <w:tcW w:w="1878" w:type="dxa"/>
          </w:tcPr>
          <w:p w14:paraId="7A9FF67F" w14:textId="77777777" w:rsidR="00AE7191" w:rsidRPr="00722885" w:rsidRDefault="00AE7191" w:rsidP="00722885">
            <w:pPr>
              <w:pStyle w:val="Iauiue"/>
              <w:jc w:val="both"/>
              <w:rPr>
                <w:color w:val="000000" w:themeColor="text1"/>
                <w:sz w:val="16"/>
                <w:szCs w:val="16"/>
              </w:rPr>
            </w:pPr>
          </w:p>
        </w:tc>
        <w:tc>
          <w:tcPr>
            <w:tcW w:w="5601" w:type="dxa"/>
          </w:tcPr>
          <w:p w14:paraId="65C05F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Модификация одномоторного</w:t>
            </w:r>
          </w:p>
        </w:tc>
        <w:tc>
          <w:tcPr>
            <w:tcW w:w="2977" w:type="dxa"/>
          </w:tcPr>
          <w:p w14:paraId="202034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9-10.V.41</w:t>
            </w:r>
          </w:p>
        </w:tc>
      </w:tr>
      <w:tr w:rsidR="009B487A" w:rsidRPr="00722885" w14:paraId="71116BBF" w14:textId="77777777" w:rsidTr="00CC5360">
        <w:tc>
          <w:tcPr>
            <w:tcW w:w="1878" w:type="dxa"/>
          </w:tcPr>
          <w:p w14:paraId="560A6AF1" w14:textId="77777777" w:rsidR="00AE7191" w:rsidRPr="00722885" w:rsidRDefault="00AE7191" w:rsidP="00722885">
            <w:pPr>
              <w:pStyle w:val="Iauiue"/>
              <w:jc w:val="both"/>
              <w:rPr>
                <w:color w:val="000000" w:themeColor="text1"/>
                <w:sz w:val="16"/>
                <w:szCs w:val="16"/>
              </w:rPr>
            </w:pPr>
          </w:p>
        </w:tc>
        <w:tc>
          <w:tcPr>
            <w:tcW w:w="5601" w:type="dxa"/>
          </w:tcPr>
          <w:p w14:paraId="68B575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бомбардировщика Су-2 с мотором</w:t>
            </w:r>
          </w:p>
        </w:tc>
        <w:tc>
          <w:tcPr>
            <w:tcW w:w="2977" w:type="dxa"/>
          </w:tcPr>
          <w:p w14:paraId="1471E957" w14:textId="77777777" w:rsidR="00AE7191" w:rsidRPr="00722885" w:rsidRDefault="00AE7191" w:rsidP="00722885">
            <w:pPr>
              <w:pStyle w:val="Iauiue"/>
              <w:jc w:val="both"/>
              <w:rPr>
                <w:color w:val="000000" w:themeColor="text1"/>
                <w:sz w:val="16"/>
                <w:szCs w:val="16"/>
              </w:rPr>
            </w:pPr>
          </w:p>
        </w:tc>
      </w:tr>
      <w:tr w:rsidR="009B487A" w:rsidRPr="00722885" w14:paraId="786EC555" w14:textId="77777777" w:rsidTr="00CC5360">
        <w:tc>
          <w:tcPr>
            <w:tcW w:w="1878" w:type="dxa"/>
          </w:tcPr>
          <w:p w14:paraId="445F609E" w14:textId="77777777" w:rsidR="00AE7191" w:rsidRPr="00722885" w:rsidRDefault="00AE7191" w:rsidP="00722885">
            <w:pPr>
              <w:pStyle w:val="Iauiue"/>
              <w:jc w:val="both"/>
              <w:rPr>
                <w:color w:val="000000" w:themeColor="text1"/>
                <w:sz w:val="16"/>
                <w:szCs w:val="16"/>
              </w:rPr>
            </w:pPr>
          </w:p>
        </w:tc>
        <w:tc>
          <w:tcPr>
            <w:tcW w:w="5601" w:type="dxa"/>
          </w:tcPr>
          <w:p w14:paraId="1A0A6C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М-82</w:t>
            </w:r>
          </w:p>
        </w:tc>
        <w:tc>
          <w:tcPr>
            <w:tcW w:w="2977" w:type="dxa"/>
          </w:tcPr>
          <w:p w14:paraId="1CEAD80A" w14:textId="77777777" w:rsidR="00AE7191" w:rsidRPr="00722885" w:rsidRDefault="00AE7191" w:rsidP="00722885">
            <w:pPr>
              <w:pStyle w:val="Iauiue"/>
              <w:jc w:val="both"/>
              <w:rPr>
                <w:color w:val="000000" w:themeColor="text1"/>
                <w:sz w:val="16"/>
                <w:szCs w:val="16"/>
              </w:rPr>
            </w:pPr>
          </w:p>
        </w:tc>
      </w:tr>
      <w:tr w:rsidR="009B487A" w:rsidRPr="00722885" w14:paraId="1AECB7B5" w14:textId="77777777" w:rsidTr="00CC5360">
        <w:tc>
          <w:tcPr>
            <w:tcW w:w="1878" w:type="dxa"/>
          </w:tcPr>
          <w:p w14:paraId="4C953594" w14:textId="77777777" w:rsidR="00AE7191" w:rsidRPr="00722885" w:rsidRDefault="00AE7191" w:rsidP="00722885">
            <w:pPr>
              <w:pStyle w:val="Iauiue"/>
              <w:jc w:val="both"/>
              <w:rPr>
                <w:color w:val="000000" w:themeColor="text1"/>
                <w:sz w:val="16"/>
                <w:szCs w:val="16"/>
              </w:rPr>
            </w:pPr>
          </w:p>
        </w:tc>
        <w:tc>
          <w:tcPr>
            <w:tcW w:w="5601" w:type="dxa"/>
          </w:tcPr>
          <w:p w14:paraId="133557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Модификация того же самолета</w:t>
            </w:r>
          </w:p>
        </w:tc>
        <w:tc>
          <w:tcPr>
            <w:tcW w:w="2977" w:type="dxa"/>
          </w:tcPr>
          <w:p w14:paraId="006E1A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25.1-1941</w:t>
            </w:r>
          </w:p>
        </w:tc>
      </w:tr>
      <w:tr w:rsidR="009B487A" w:rsidRPr="00722885" w14:paraId="5AFAAC74" w14:textId="77777777" w:rsidTr="00CC5360">
        <w:tc>
          <w:tcPr>
            <w:tcW w:w="1878" w:type="dxa"/>
          </w:tcPr>
          <w:p w14:paraId="06506730" w14:textId="77777777" w:rsidR="00AE7191" w:rsidRPr="00722885" w:rsidRDefault="00AE7191" w:rsidP="00722885">
            <w:pPr>
              <w:pStyle w:val="Iauiue"/>
              <w:jc w:val="both"/>
              <w:rPr>
                <w:color w:val="000000" w:themeColor="text1"/>
                <w:sz w:val="16"/>
                <w:szCs w:val="16"/>
              </w:rPr>
            </w:pPr>
          </w:p>
        </w:tc>
        <w:tc>
          <w:tcPr>
            <w:tcW w:w="5601" w:type="dxa"/>
          </w:tcPr>
          <w:p w14:paraId="55933F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 мотор АМ-37</w:t>
            </w:r>
          </w:p>
        </w:tc>
        <w:tc>
          <w:tcPr>
            <w:tcW w:w="2977" w:type="dxa"/>
          </w:tcPr>
          <w:p w14:paraId="0CF981F1" w14:textId="77777777" w:rsidR="00AE7191" w:rsidRPr="00722885" w:rsidRDefault="00AE7191" w:rsidP="00722885">
            <w:pPr>
              <w:pStyle w:val="Iauiue"/>
              <w:jc w:val="both"/>
              <w:rPr>
                <w:color w:val="000000" w:themeColor="text1"/>
                <w:sz w:val="16"/>
                <w:szCs w:val="16"/>
              </w:rPr>
            </w:pPr>
          </w:p>
        </w:tc>
      </w:tr>
      <w:tr w:rsidR="009B487A" w:rsidRPr="00722885" w14:paraId="242F88AA" w14:textId="77777777" w:rsidTr="00CC5360">
        <w:tc>
          <w:tcPr>
            <w:tcW w:w="1878" w:type="dxa"/>
          </w:tcPr>
          <w:p w14:paraId="5DB6B6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Поликарпов Н.Н.</w:t>
            </w:r>
          </w:p>
        </w:tc>
        <w:tc>
          <w:tcPr>
            <w:tcW w:w="5601" w:type="dxa"/>
          </w:tcPr>
          <w:p w14:paraId="4594AB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Тяжелый двухместный истреб.</w:t>
            </w:r>
          </w:p>
        </w:tc>
        <w:tc>
          <w:tcPr>
            <w:tcW w:w="2977" w:type="dxa"/>
          </w:tcPr>
          <w:p w14:paraId="738A85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N 431 от 25.XI-1940</w:t>
            </w:r>
          </w:p>
        </w:tc>
      </w:tr>
      <w:tr w:rsidR="009B487A" w:rsidRPr="00722885" w14:paraId="08F0E57B" w14:textId="77777777" w:rsidTr="00CC5360">
        <w:tc>
          <w:tcPr>
            <w:tcW w:w="1878" w:type="dxa"/>
          </w:tcPr>
          <w:p w14:paraId="4E9AB899" w14:textId="77777777" w:rsidR="00AE7191" w:rsidRPr="00722885" w:rsidRDefault="00AE7191" w:rsidP="00722885">
            <w:pPr>
              <w:pStyle w:val="Iauiue"/>
              <w:jc w:val="both"/>
              <w:rPr>
                <w:color w:val="000000" w:themeColor="text1"/>
                <w:sz w:val="16"/>
                <w:szCs w:val="16"/>
              </w:rPr>
            </w:pPr>
          </w:p>
        </w:tc>
        <w:tc>
          <w:tcPr>
            <w:tcW w:w="5601" w:type="dxa"/>
          </w:tcPr>
          <w:p w14:paraId="20A8B3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сопровождения "ТИС" с двумя</w:t>
            </w:r>
          </w:p>
        </w:tc>
        <w:tc>
          <w:tcPr>
            <w:tcW w:w="2977" w:type="dxa"/>
          </w:tcPr>
          <w:p w14:paraId="02F84161" w14:textId="77777777" w:rsidR="00AE7191" w:rsidRPr="00722885" w:rsidRDefault="00AE7191" w:rsidP="00722885">
            <w:pPr>
              <w:pStyle w:val="Iauiue"/>
              <w:jc w:val="both"/>
              <w:rPr>
                <w:color w:val="000000" w:themeColor="text1"/>
                <w:sz w:val="16"/>
                <w:szCs w:val="16"/>
              </w:rPr>
            </w:pPr>
          </w:p>
        </w:tc>
      </w:tr>
      <w:tr w:rsidR="009B487A" w:rsidRPr="00722885" w14:paraId="503B4E40" w14:textId="77777777" w:rsidTr="00CC5360">
        <w:tc>
          <w:tcPr>
            <w:tcW w:w="1878" w:type="dxa"/>
          </w:tcPr>
          <w:p w14:paraId="1CA05EDA" w14:textId="77777777" w:rsidR="00AE7191" w:rsidRPr="00722885" w:rsidRDefault="00AE7191" w:rsidP="00722885">
            <w:pPr>
              <w:pStyle w:val="Iauiue"/>
              <w:jc w:val="both"/>
              <w:rPr>
                <w:color w:val="000000" w:themeColor="text1"/>
                <w:sz w:val="16"/>
                <w:szCs w:val="16"/>
              </w:rPr>
            </w:pPr>
          </w:p>
        </w:tc>
        <w:tc>
          <w:tcPr>
            <w:tcW w:w="5601" w:type="dxa"/>
          </w:tcPr>
          <w:p w14:paraId="4F63A0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моторами АМ-37, 2-й и 3-й экз.</w:t>
            </w:r>
          </w:p>
        </w:tc>
        <w:tc>
          <w:tcPr>
            <w:tcW w:w="2977" w:type="dxa"/>
          </w:tcPr>
          <w:p w14:paraId="3C0CC055" w14:textId="77777777" w:rsidR="00AE7191" w:rsidRPr="00722885" w:rsidRDefault="00AE7191" w:rsidP="00722885">
            <w:pPr>
              <w:pStyle w:val="Iauiue"/>
              <w:jc w:val="both"/>
              <w:rPr>
                <w:color w:val="000000" w:themeColor="text1"/>
                <w:sz w:val="16"/>
                <w:szCs w:val="16"/>
              </w:rPr>
            </w:pPr>
          </w:p>
        </w:tc>
      </w:tr>
      <w:tr w:rsidR="009B487A" w:rsidRPr="00722885" w14:paraId="06AB1239" w14:textId="77777777" w:rsidTr="00CC5360">
        <w:tc>
          <w:tcPr>
            <w:tcW w:w="1878" w:type="dxa"/>
          </w:tcPr>
          <w:p w14:paraId="0E35D1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Микоян А.И.</w:t>
            </w:r>
          </w:p>
        </w:tc>
        <w:tc>
          <w:tcPr>
            <w:tcW w:w="5601" w:type="dxa"/>
          </w:tcPr>
          <w:p w14:paraId="41A4BDB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Одноместный истребитель</w:t>
            </w:r>
          </w:p>
        </w:tc>
        <w:tc>
          <w:tcPr>
            <w:tcW w:w="2977" w:type="dxa"/>
          </w:tcPr>
          <w:p w14:paraId="680E464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N 430сс от 25.XI.1940</w:t>
            </w:r>
          </w:p>
        </w:tc>
      </w:tr>
      <w:tr w:rsidR="009B487A" w:rsidRPr="00722885" w14:paraId="217E1EFE" w14:textId="77777777" w:rsidTr="00CC5360">
        <w:tc>
          <w:tcPr>
            <w:tcW w:w="1878" w:type="dxa"/>
          </w:tcPr>
          <w:p w14:paraId="6BE6D4EB" w14:textId="77777777" w:rsidR="00AE7191" w:rsidRPr="00722885" w:rsidRDefault="00AE7191" w:rsidP="00722885">
            <w:pPr>
              <w:pStyle w:val="Iauiue"/>
              <w:jc w:val="both"/>
              <w:rPr>
                <w:color w:val="000000" w:themeColor="text1"/>
                <w:sz w:val="16"/>
                <w:szCs w:val="16"/>
              </w:rPr>
            </w:pPr>
          </w:p>
        </w:tc>
        <w:tc>
          <w:tcPr>
            <w:tcW w:w="5601" w:type="dxa"/>
          </w:tcPr>
          <w:p w14:paraId="11832E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сопровождения ДИС-200 с двумя</w:t>
            </w:r>
          </w:p>
        </w:tc>
        <w:tc>
          <w:tcPr>
            <w:tcW w:w="2977" w:type="dxa"/>
          </w:tcPr>
          <w:p w14:paraId="70A5BE30" w14:textId="77777777" w:rsidR="00AE7191" w:rsidRPr="00722885" w:rsidRDefault="00AE7191" w:rsidP="00722885">
            <w:pPr>
              <w:pStyle w:val="Iauiue"/>
              <w:jc w:val="both"/>
              <w:rPr>
                <w:color w:val="000000" w:themeColor="text1"/>
                <w:sz w:val="16"/>
                <w:szCs w:val="16"/>
              </w:rPr>
            </w:pPr>
          </w:p>
        </w:tc>
      </w:tr>
      <w:tr w:rsidR="009B487A" w:rsidRPr="00722885" w14:paraId="692C4F55" w14:textId="77777777" w:rsidTr="00CC5360">
        <w:tc>
          <w:tcPr>
            <w:tcW w:w="1878" w:type="dxa"/>
          </w:tcPr>
          <w:p w14:paraId="7E77AAF2" w14:textId="77777777" w:rsidR="00AE7191" w:rsidRPr="00722885" w:rsidRDefault="00AE7191" w:rsidP="00722885">
            <w:pPr>
              <w:pStyle w:val="Iauiue"/>
              <w:jc w:val="both"/>
              <w:rPr>
                <w:color w:val="000000" w:themeColor="text1"/>
                <w:sz w:val="16"/>
                <w:szCs w:val="16"/>
              </w:rPr>
            </w:pPr>
          </w:p>
        </w:tc>
        <w:tc>
          <w:tcPr>
            <w:tcW w:w="5601" w:type="dxa"/>
          </w:tcPr>
          <w:p w14:paraId="4FE5FA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моторами АМ-37 - 3 экз.</w:t>
            </w:r>
          </w:p>
        </w:tc>
        <w:tc>
          <w:tcPr>
            <w:tcW w:w="2977" w:type="dxa"/>
          </w:tcPr>
          <w:p w14:paraId="44C23306" w14:textId="77777777" w:rsidR="00AE7191" w:rsidRPr="00722885" w:rsidRDefault="00AE7191" w:rsidP="00722885">
            <w:pPr>
              <w:pStyle w:val="Iauiue"/>
              <w:jc w:val="both"/>
              <w:rPr>
                <w:color w:val="000000" w:themeColor="text1"/>
                <w:sz w:val="16"/>
                <w:szCs w:val="16"/>
              </w:rPr>
            </w:pPr>
          </w:p>
        </w:tc>
      </w:tr>
      <w:tr w:rsidR="009B487A" w:rsidRPr="00722885" w14:paraId="08EAAEBE" w14:textId="77777777" w:rsidTr="00CC5360">
        <w:tc>
          <w:tcPr>
            <w:tcW w:w="1878" w:type="dxa"/>
          </w:tcPr>
          <w:p w14:paraId="63EC6E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Гудков М.И.</w:t>
            </w:r>
          </w:p>
        </w:tc>
        <w:tc>
          <w:tcPr>
            <w:tcW w:w="5601" w:type="dxa"/>
          </w:tcPr>
          <w:p w14:paraId="0049EAA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Модификация истребителя ЛаГГ-3 под пушку ОКБ-16 калибра 37мм - 3 экз.</w:t>
            </w:r>
          </w:p>
        </w:tc>
        <w:tc>
          <w:tcPr>
            <w:tcW w:w="2977" w:type="dxa"/>
          </w:tcPr>
          <w:p w14:paraId="2EBC4D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430сс от 25.Х1.40</w:t>
            </w:r>
          </w:p>
        </w:tc>
      </w:tr>
      <w:tr w:rsidR="009B487A" w:rsidRPr="00722885" w14:paraId="4410710F" w14:textId="77777777" w:rsidTr="00CC5360">
        <w:tc>
          <w:tcPr>
            <w:tcW w:w="1878" w:type="dxa"/>
          </w:tcPr>
          <w:p w14:paraId="2E3E71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Грушин П.Д.</w:t>
            </w:r>
          </w:p>
        </w:tc>
        <w:tc>
          <w:tcPr>
            <w:tcW w:w="5601" w:type="dxa"/>
          </w:tcPr>
          <w:p w14:paraId="2C9A400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Двухмоторный одноместный истребитель сопровождения с моторами АМ-37 - 2 экз.</w:t>
            </w:r>
          </w:p>
        </w:tc>
        <w:tc>
          <w:tcPr>
            <w:tcW w:w="2977" w:type="dxa"/>
          </w:tcPr>
          <w:p w14:paraId="3497F1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16.1У.41 за № 1021 - 416сс</w:t>
            </w:r>
          </w:p>
        </w:tc>
      </w:tr>
      <w:tr w:rsidR="009B487A" w:rsidRPr="00722885" w14:paraId="5FD2345F" w14:textId="77777777" w:rsidTr="00CC5360">
        <w:tc>
          <w:tcPr>
            <w:tcW w:w="1878" w:type="dxa"/>
          </w:tcPr>
          <w:p w14:paraId="45CE29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Лавочкин С.А.</w:t>
            </w:r>
          </w:p>
        </w:tc>
        <w:tc>
          <w:tcPr>
            <w:tcW w:w="5601" w:type="dxa"/>
          </w:tcPr>
          <w:p w14:paraId="1123F0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Модификация истребителя</w:t>
            </w:r>
          </w:p>
        </w:tc>
        <w:tc>
          <w:tcPr>
            <w:tcW w:w="2977" w:type="dxa"/>
          </w:tcPr>
          <w:p w14:paraId="2AD245F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16.IV.1941</w:t>
            </w:r>
          </w:p>
        </w:tc>
      </w:tr>
      <w:tr w:rsidR="009B487A" w:rsidRPr="00722885" w14:paraId="2D7B39F1" w14:textId="77777777" w:rsidTr="00CC5360">
        <w:tc>
          <w:tcPr>
            <w:tcW w:w="1878" w:type="dxa"/>
          </w:tcPr>
          <w:p w14:paraId="1E300A17" w14:textId="77777777" w:rsidR="00AE7191" w:rsidRPr="00722885" w:rsidRDefault="00AE7191" w:rsidP="00722885">
            <w:pPr>
              <w:pStyle w:val="Iauiue"/>
              <w:jc w:val="both"/>
              <w:rPr>
                <w:color w:val="000000" w:themeColor="text1"/>
                <w:sz w:val="16"/>
                <w:szCs w:val="16"/>
              </w:rPr>
            </w:pPr>
          </w:p>
        </w:tc>
        <w:tc>
          <w:tcPr>
            <w:tcW w:w="5601" w:type="dxa"/>
          </w:tcPr>
          <w:p w14:paraId="33FFC53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Лагг-3 под мотор М-105П с</w:t>
            </w:r>
          </w:p>
        </w:tc>
        <w:tc>
          <w:tcPr>
            <w:tcW w:w="2977" w:type="dxa"/>
          </w:tcPr>
          <w:p w14:paraId="763D6C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 N 1017-412сс</w:t>
            </w:r>
          </w:p>
        </w:tc>
      </w:tr>
      <w:tr w:rsidR="009B487A" w:rsidRPr="00722885" w14:paraId="529BB6DD" w14:textId="77777777" w:rsidTr="00CC5360">
        <w:tc>
          <w:tcPr>
            <w:tcW w:w="1878" w:type="dxa"/>
          </w:tcPr>
          <w:p w14:paraId="6B6A93D0" w14:textId="77777777" w:rsidR="00AE7191" w:rsidRPr="00722885" w:rsidRDefault="00AE7191" w:rsidP="00722885">
            <w:pPr>
              <w:pStyle w:val="Iauiue"/>
              <w:jc w:val="both"/>
              <w:rPr>
                <w:color w:val="000000" w:themeColor="text1"/>
                <w:sz w:val="16"/>
                <w:szCs w:val="16"/>
              </w:rPr>
            </w:pPr>
          </w:p>
        </w:tc>
        <w:tc>
          <w:tcPr>
            <w:tcW w:w="5601" w:type="dxa"/>
          </w:tcPr>
          <w:p w14:paraId="72B574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нагнетателем Трескина - 1 экз.</w:t>
            </w:r>
          </w:p>
        </w:tc>
        <w:tc>
          <w:tcPr>
            <w:tcW w:w="2977" w:type="dxa"/>
          </w:tcPr>
          <w:p w14:paraId="36400F67" w14:textId="77777777" w:rsidR="00AE7191" w:rsidRPr="00722885" w:rsidRDefault="00AE7191" w:rsidP="00722885">
            <w:pPr>
              <w:pStyle w:val="Iauiue"/>
              <w:jc w:val="both"/>
              <w:rPr>
                <w:color w:val="000000" w:themeColor="text1"/>
                <w:sz w:val="16"/>
                <w:szCs w:val="16"/>
              </w:rPr>
            </w:pPr>
          </w:p>
        </w:tc>
      </w:tr>
      <w:tr w:rsidR="009B487A" w:rsidRPr="00722885" w14:paraId="363AFC04" w14:textId="77777777" w:rsidTr="00CC5360">
        <w:tc>
          <w:tcPr>
            <w:tcW w:w="1878" w:type="dxa"/>
          </w:tcPr>
          <w:p w14:paraId="3AC30AF6" w14:textId="77777777" w:rsidR="00AE7191" w:rsidRPr="00722885" w:rsidRDefault="00AE7191" w:rsidP="00722885">
            <w:pPr>
              <w:pStyle w:val="Iauiue"/>
              <w:jc w:val="both"/>
              <w:rPr>
                <w:color w:val="000000" w:themeColor="text1"/>
                <w:sz w:val="16"/>
                <w:szCs w:val="16"/>
              </w:rPr>
            </w:pPr>
          </w:p>
        </w:tc>
        <w:tc>
          <w:tcPr>
            <w:tcW w:w="5601" w:type="dxa"/>
          </w:tcPr>
          <w:p w14:paraId="67884E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 герметической кабиной - 1-й экз.</w:t>
            </w:r>
          </w:p>
        </w:tc>
        <w:tc>
          <w:tcPr>
            <w:tcW w:w="2977" w:type="dxa"/>
          </w:tcPr>
          <w:p w14:paraId="733AEA4A" w14:textId="77777777" w:rsidR="00AE7191" w:rsidRPr="00722885" w:rsidRDefault="00AE7191" w:rsidP="00722885">
            <w:pPr>
              <w:pStyle w:val="Iauiue"/>
              <w:jc w:val="both"/>
              <w:rPr>
                <w:color w:val="000000" w:themeColor="text1"/>
                <w:sz w:val="16"/>
                <w:szCs w:val="16"/>
              </w:rPr>
            </w:pPr>
          </w:p>
        </w:tc>
      </w:tr>
      <w:tr w:rsidR="009B487A" w:rsidRPr="00722885" w14:paraId="62F188B0" w14:textId="77777777" w:rsidTr="00CC5360">
        <w:tc>
          <w:tcPr>
            <w:tcW w:w="1878" w:type="dxa"/>
          </w:tcPr>
          <w:p w14:paraId="0FE2E4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Ермолаев В.Г.</w:t>
            </w:r>
          </w:p>
        </w:tc>
        <w:tc>
          <w:tcPr>
            <w:tcW w:w="5601" w:type="dxa"/>
          </w:tcPr>
          <w:p w14:paraId="0E74DF7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Модификация дальнего</w:t>
            </w:r>
          </w:p>
        </w:tc>
        <w:tc>
          <w:tcPr>
            <w:tcW w:w="2977" w:type="dxa"/>
          </w:tcPr>
          <w:p w14:paraId="34ACC440" w14:textId="77777777" w:rsidR="00AE7191" w:rsidRPr="00722885" w:rsidRDefault="00AE7191" w:rsidP="00722885">
            <w:pPr>
              <w:pStyle w:val="Iauiue"/>
              <w:jc w:val="both"/>
              <w:rPr>
                <w:color w:val="000000" w:themeColor="text1"/>
                <w:sz w:val="16"/>
                <w:szCs w:val="16"/>
              </w:rPr>
            </w:pPr>
          </w:p>
        </w:tc>
      </w:tr>
      <w:tr w:rsidR="009B487A" w:rsidRPr="00722885" w14:paraId="27497EA1" w14:textId="77777777" w:rsidTr="00CC5360">
        <w:tc>
          <w:tcPr>
            <w:tcW w:w="1878" w:type="dxa"/>
          </w:tcPr>
          <w:p w14:paraId="6715C60A" w14:textId="77777777" w:rsidR="00AE7191" w:rsidRPr="00722885" w:rsidRDefault="00AE7191" w:rsidP="00722885">
            <w:pPr>
              <w:pStyle w:val="Iauiue"/>
              <w:jc w:val="both"/>
              <w:rPr>
                <w:color w:val="000000" w:themeColor="text1"/>
                <w:sz w:val="16"/>
                <w:szCs w:val="16"/>
              </w:rPr>
            </w:pPr>
          </w:p>
        </w:tc>
        <w:tc>
          <w:tcPr>
            <w:tcW w:w="5601" w:type="dxa"/>
          </w:tcPr>
          <w:p w14:paraId="495B62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бомбардировщика Ер-2 с двумя</w:t>
            </w:r>
          </w:p>
        </w:tc>
        <w:tc>
          <w:tcPr>
            <w:tcW w:w="2977" w:type="dxa"/>
          </w:tcPr>
          <w:p w14:paraId="51D9B033" w14:textId="77777777" w:rsidR="00AE7191" w:rsidRPr="00722885" w:rsidRDefault="00AE7191" w:rsidP="00722885">
            <w:pPr>
              <w:pStyle w:val="Iauiue"/>
              <w:jc w:val="both"/>
              <w:rPr>
                <w:color w:val="000000" w:themeColor="text1"/>
                <w:sz w:val="16"/>
                <w:szCs w:val="16"/>
              </w:rPr>
            </w:pPr>
          </w:p>
        </w:tc>
      </w:tr>
      <w:tr w:rsidR="009B487A" w:rsidRPr="00722885" w14:paraId="27C5CA84" w14:textId="77777777" w:rsidTr="00CC5360">
        <w:tc>
          <w:tcPr>
            <w:tcW w:w="1878" w:type="dxa"/>
          </w:tcPr>
          <w:p w14:paraId="498BA1C2" w14:textId="77777777" w:rsidR="00AE7191" w:rsidRPr="00722885" w:rsidRDefault="00AE7191" w:rsidP="00722885">
            <w:pPr>
              <w:pStyle w:val="Iauiue"/>
              <w:jc w:val="both"/>
              <w:rPr>
                <w:color w:val="000000" w:themeColor="text1"/>
                <w:sz w:val="16"/>
                <w:szCs w:val="16"/>
              </w:rPr>
            </w:pPr>
          </w:p>
        </w:tc>
        <w:tc>
          <w:tcPr>
            <w:tcW w:w="5601" w:type="dxa"/>
          </w:tcPr>
          <w:p w14:paraId="0CC95CF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моторами Ам-37 1 экз.</w:t>
            </w:r>
          </w:p>
        </w:tc>
        <w:tc>
          <w:tcPr>
            <w:tcW w:w="2977" w:type="dxa"/>
          </w:tcPr>
          <w:p w14:paraId="23FFCF70" w14:textId="77777777" w:rsidR="00AE7191" w:rsidRPr="00722885" w:rsidRDefault="00AE7191" w:rsidP="00722885">
            <w:pPr>
              <w:pStyle w:val="Iauiue"/>
              <w:jc w:val="both"/>
              <w:rPr>
                <w:color w:val="000000" w:themeColor="text1"/>
                <w:sz w:val="16"/>
                <w:szCs w:val="16"/>
              </w:rPr>
            </w:pPr>
          </w:p>
        </w:tc>
      </w:tr>
      <w:tr w:rsidR="009B487A" w:rsidRPr="00722885" w14:paraId="7FC547AB" w14:textId="77777777" w:rsidTr="00CC5360">
        <w:tc>
          <w:tcPr>
            <w:tcW w:w="1878" w:type="dxa"/>
          </w:tcPr>
          <w:p w14:paraId="69F6E0B9" w14:textId="77777777" w:rsidR="00AE7191" w:rsidRPr="00722885" w:rsidRDefault="00AE7191" w:rsidP="00722885">
            <w:pPr>
              <w:pStyle w:val="Iauiue"/>
              <w:jc w:val="both"/>
              <w:rPr>
                <w:color w:val="000000" w:themeColor="text1"/>
                <w:sz w:val="16"/>
                <w:szCs w:val="16"/>
              </w:rPr>
            </w:pPr>
          </w:p>
        </w:tc>
        <w:tc>
          <w:tcPr>
            <w:tcW w:w="5601" w:type="dxa"/>
          </w:tcPr>
          <w:p w14:paraId="3F1810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Модификация дальнего</w:t>
            </w:r>
          </w:p>
        </w:tc>
        <w:tc>
          <w:tcPr>
            <w:tcW w:w="2977" w:type="dxa"/>
          </w:tcPr>
          <w:p w14:paraId="194ED16F" w14:textId="77777777" w:rsidR="00AE7191" w:rsidRPr="00722885" w:rsidRDefault="00AE7191" w:rsidP="00722885">
            <w:pPr>
              <w:pStyle w:val="Iauiue"/>
              <w:jc w:val="both"/>
              <w:rPr>
                <w:color w:val="000000" w:themeColor="text1"/>
                <w:sz w:val="16"/>
                <w:szCs w:val="16"/>
              </w:rPr>
            </w:pPr>
          </w:p>
        </w:tc>
      </w:tr>
      <w:tr w:rsidR="009B487A" w:rsidRPr="00722885" w14:paraId="637D6BEF" w14:textId="77777777" w:rsidTr="00CC5360">
        <w:tc>
          <w:tcPr>
            <w:tcW w:w="1878" w:type="dxa"/>
          </w:tcPr>
          <w:p w14:paraId="4E5B5BBD" w14:textId="77777777" w:rsidR="00AE7191" w:rsidRPr="00722885" w:rsidRDefault="00AE7191" w:rsidP="00722885">
            <w:pPr>
              <w:pStyle w:val="Iauiue"/>
              <w:jc w:val="both"/>
              <w:rPr>
                <w:color w:val="000000" w:themeColor="text1"/>
                <w:sz w:val="16"/>
                <w:szCs w:val="16"/>
              </w:rPr>
            </w:pPr>
          </w:p>
        </w:tc>
        <w:tc>
          <w:tcPr>
            <w:tcW w:w="5601" w:type="dxa"/>
          </w:tcPr>
          <w:p w14:paraId="21DB3B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бомбардировщика Ер-2 с</w:t>
            </w:r>
          </w:p>
        </w:tc>
        <w:tc>
          <w:tcPr>
            <w:tcW w:w="2977" w:type="dxa"/>
          </w:tcPr>
          <w:p w14:paraId="7291EEA7" w14:textId="77777777" w:rsidR="00AE7191" w:rsidRPr="00722885" w:rsidRDefault="00AE7191" w:rsidP="00722885">
            <w:pPr>
              <w:pStyle w:val="Iauiue"/>
              <w:jc w:val="both"/>
              <w:rPr>
                <w:color w:val="000000" w:themeColor="text1"/>
                <w:sz w:val="16"/>
                <w:szCs w:val="16"/>
              </w:rPr>
            </w:pPr>
          </w:p>
        </w:tc>
      </w:tr>
      <w:tr w:rsidR="009B487A" w:rsidRPr="00722885" w14:paraId="73B32890" w14:textId="77777777" w:rsidTr="00CC5360">
        <w:tc>
          <w:tcPr>
            <w:tcW w:w="1878" w:type="dxa"/>
          </w:tcPr>
          <w:p w14:paraId="5DA2A5FC" w14:textId="77777777" w:rsidR="00AE7191" w:rsidRPr="00722885" w:rsidRDefault="00AE7191" w:rsidP="00722885">
            <w:pPr>
              <w:pStyle w:val="Iauiue"/>
              <w:jc w:val="both"/>
              <w:rPr>
                <w:color w:val="000000" w:themeColor="text1"/>
                <w:sz w:val="16"/>
                <w:szCs w:val="16"/>
              </w:rPr>
            </w:pPr>
          </w:p>
        </w:tc>
        <w:tc>
          <w:tcPr>
            <w:tcW w:w="5601" w:type="dxa"/>
          </w:tcPr>
          <w:p w14:paraId="43C69F8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дизельмоторами М-40ф - 1 экз.</w:t>
            </w:r>
          </w:p>
        </w:tc>
        <w:tc>
          <w:tcPr>
            <w:tcW w:w="2977" w:type="dxa"/>
          </w:tcPr>
          <w:p w14:paraId="35E38006" w14:textId="77777777" w:rsidR="00AE7191" w:rsidRPr="00722885" w:rsidRDefault="00AE7191" w:rsidP="00722885">
            <w:pPr>
              <w:pStyle w:val="Iauiue"/>
              <w:jc w:val="both"/>
              <w:rPr>
                <w:color w:val="000000" w:themeColor="text1"/>
                <w:sz w:val="16"/>
                <w:szCs w:val="16"/>
              </w:rPr>
            </w:pPr>
          </w:p>
        </w:tc>
      </w:tr>
      <w:tr w:rsidR="009B487A" w:rsidRPr="00722885" w14:paraId="032CAD2E" w14:textId="77777777" w:rsidTr="00CC5360">
        <w:tc>
          <w:tcPr>
            <w:tcW w:w="1878" w:type="dxa"/>
          </w:tcPr>
          <w:p w14:paraId="3B2819F8" w14:textId="77777777" w:rsidR="00AE7191" w:rsidRPr="00722885" w:rsidRDefault="00AE7191" w:rsidP="00722885">
            <w:pPr>
              <w:pStyle w:val="Iauiue"/>
              <w:jc w:val="both"/>
              <w:rPr>
                <w:color w:val="000000" w:themeColor="text1"/>
                <w:sz w:val="16"/>
                <w:szCs w:val="16"/>
              </w:rPr>
            </w:pPr>
          </w:p>
        </w:tc>
        <w:tc>
          <w:tcPr>
            <w:tcW w:w="5601" w:type="dxa"/>
          </w:tcPr>
          <w:p w14:paraId="0C790A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Тот же самолет с двумя</w:t>
            </w:r>
          </w:p>
        </w:tc>
        <w:tc>
          <w:tcPr>
            <w:tcW w:w="2977" w:type="dxa"/>
          </w:tcPr>
          <w:p w14:paraId="1A85341B" w14:textId="77777777" w:rsidR="00AE7191" w:rsidRPr="00722885" w:rsidRDefault="00AE7191" w:rsidP="00722885">
            <w:pPr>
              <w:pStyle w:val="Iauiue"/>
              <w:jc w:val="both"/>
              <w:rPr>
                <w:color w:val="000000" w:themeColor="text1"/>
                <w:sz w:val="16"/>
                <w:szCs w:val="16"/>
              </w:rPr>
            </w:pPr>
          </w:p>
        </w:tc>
      </w:tr>
      <w:tr w:rsidR="009B487A" w:rsidRPr="00722885" w14:paraId="0179814E" w14:textId="77777777" w:rsidTr="00CC5360">
        <w:tc>
          <w:tcPr>
            <w:tcW w:w="1878" w:type="dxa"/>
          </w:tcPr>
          <w:p w14:paraId="63FC681E" w14:textId="77777777" w:rsidR="00AE7191" w:rsidRPr="00722885" w:rsidRDefault="00AE7191" w:rsidP="00722885">
            <w:pPr>
              <w:pStyle w:val="Iauiue"/>
              <w:jc w:val="both"/>
              <w:rPr>
                <w:color w:val="000000" w:themeColor="text1"/>
                <w:sz w:val="16"/>
                <w:szCs w:val="16"/>
              </w:rPr>
            </w:pPr>
          </w:p>
        </w:tc>
        <w:tc>
          <w:tcPr>
            <w:tcW w:w="5601" w:type="dxa"/>
          </w:tcPr>
          <w:p w14:paraId="65333FC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дизельмоторами М-40ф или М-30</w:t>
            </w:r>
          </w:p>
        </w:tc>
        <w:tc>
          <w:tcPr>
            <w:tcW w:w="2977" w:type="dxa"/>
          </w:tcPr>
          <w:p w14:paraId="7A21E5CA" w14:textId="77777777" w:rsidR="00AE7191" w:rsidRPr="00722885" w:rsidRDefault="00AE7191" w:rsidP="00722885">
            <w:pPr>
              <w:pStyle w:val="Iauiue"/>
              <w:jc w:val="both"/>
              <w:rPr>
                <w:color w:val="000000" w:themeColor="text1"/>
                <w:sz w:val="16"/>
                <w:szCs w:val="16"/>
              </w:rPr>
            </w:pPr>
          </w:p>
        </w:tc>
      </w:tr>
      <w:tr w:rsidR="009B487A" w:rsidRPr="00722885" w14:paraId="1D1EA37B" w14:textId="77777777" w:rsidTr="00CC5360">
        <w:tc>
          <w:tcPr>
            <w:tcW w:w="1878" w:type="dxa"/>
          </w:tcPr>
          <w:p w14:paraId="2D6237D2" w14:textId="77777777" w:rsidR="00AE7191" w:rsidRPr="00722885" w:rsidRDefault="00AE7191" w:rsidP="00722885">
            <w:pPr>
              <w:pStyle w:val="Iauiue"/>
              <w:jc w:val="both"/>
              <w:rPr>
                <w:color w:val="000000" w:themeColor="text1"/>
                <w:sz w:val="16"/>
                <w:szCs w:val="16"/>
              </w:rPr>
            </w:pPr>
          </w:p>
        </w:tc>
        <w:tc>
          <w:tcPr>
            <w:tcW w:w="5601" w:type="dxa"/>
          </w:tcPr>
          <w:p w14:paraId="2C044CC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экз. (5-й экземпляр)</w:t>
            </w:r>
          </w:p>
        </w:tc>
        <w:tc>
          <w:tcPr>
            <w:tcW w:w="2977" w:type="dxa"/>
          </w:tcPr>
          <w:p w14:paraId="3C0168CF" w14:textId="77777777" w:rsidR="00AE7191" w:rsidRPr="00722885" w:rsidRDefault="00AE7191" w:rsidP="00722885">
            <w:pPr>
              <w:pStyle w:val="Iauiue"/>
              <w:jc w:val="both"/>
              <w:rPr>
                <w:color w:val="000000" w:themeColor="text1"/>
                <w:sz w:val="16"/>
                <w:szCs w:val="16"/>
              </w:rPr>
            </w:pPr>
          </w:p>
        </w:tc>
      </w:tr>
      <w:tr w:rsidR="009B487A" w:rsidRPr="00722885" w14:paraId="155195BC" w14:textId="77777777" w:rsidTr="00CC5360">
        <w:tc>
          <w:tcPr>
            <w:tcW w:w="1878" w:type="dxa"/>
          </w:tcPr>
          <w:p w14:paraId="3B7272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Путилов А.И.</w:t>
            </w:r>
          </w:p>
        </w:tc>
        <w:tc>
          <w:tcPr>
            <w:tcW w:w="5601" w:type="dxa"/>
          </w:tcPr>
          <w:p w14:paraId="309BFF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Высотный бомбардировщик</w:t>
            </w:r>
          </w:p>
        </w:tc>
        <w:tc>
          <w:tcPr>
            <w:tcW w:w="2977" w:type="dxa"/>
          </w:tcPr>
          <w:p w14:paraId="6BB838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5.VI-41</w:t>
            </w:r>
          </w:p>
        </w:tc>
      </w:tr>
      <w:tr w:rsidR="009B487A" w:rsidRPr="00722885" w14:paraId="7C44180E" w14:textId="77777777" w:rsidTr="00CC5360">
        <w:tc>
          <w:tcPr>
            <w:tcW w:w="1878" w:type="dxa"/>
          </w:tcPr>
          <w:p w14:paraId="75EA1B98" w14:textId="77777777" w:rsidR="00AE7191" w:rsidRPr="00722885" w:rsidRDefault="00AE7191" w:rsidP="00722885">
            <w:pPr>
              <w:pStyle w:val="Iauiue"/>
              <w:jc w:val="both"/>
              <w:rPr>
                <w:color w:val="000000" w:themeColor="text1"/>
                <w:sz w:val="16"/>
                <w:szCs w:val="16"/>
              </w:rPr>
            </w:pPr>
          </w:p>
        </w:tc>
        <w:tc>
          <w:tcPr>
            <w:tcW w:w="5601" w:type="dxa"/>
          </w:tcPr>
          <w:p w14:paraId="31318F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ВБ-100 с двумя моторами М-105ф</w:t>
            </w:r>
          </w:p>
        </w:tc>
        <w:tc>
          <w:tcPr>
            <w:tcW w:w="2977" w:type="dxa"/>
          </w:tcPr>
          <w:p w14:paraId="55536B31" w14:textId="77777777" w:rsidR="00AE7191" w:rsidRPr="00722885" w:rsidRDefault="00AE7191" w:rsidP="00722885">
            <w:pPr>
              <w:pStyle w:val="Iauiue"/>
              <w:jc w:val="both"/>
              <w:rPr>
                <w:color w:val="000000" w:themeColor="text1"/>
                <w:sz w:val="16"/>
                <w:szCs w:val="16"/>
              </w:rPr>
            </w:pPr>
          </w:p>
        </w:tc>
      </w:tr>
      <w:tr w:rsidR="009B487A" w:rsidRPr="00722885" w14:paraId="3B919403" w14:textId="77777777" w:rsidTr="00CC5360">
        <w:tc>
          <w:tcPr>
            <w:tcW w:w="1878" w:type="dxa"/>
          </w:tcPr>
          <w:p w14:paraId="5B5BC872" w14:textId="77777777" w:rsidR="00AE7191" w:rsidRPr="00722885" w:rsidRDefault="00AE7191" w:rsidP="00722885">
            <w:pPr>
              <w:pStyle w:val="Iauiue"/>
              <w:jc w:val="both"/>
              <w:rPr>
                <w:color w:val="000000" w:themeColor="text1"/>
                <w:sz w:val="16"/>
                <w:szCs w:val="16"/>
              </w:rPr>
            </w:pPr>
          </w:p>
        </w:tc>
        <w:tc>
          <w:tcPr>
            <w:tcW w:w="5601" w:type="dxa"/>
          </w:tcPr>
          <w:p w14:paraId="6B25A4E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герметической кабиной,</w:t>
            </w:r>
          </w:p>
        </w:tc>
        <w:tc>
          <w:tcPr>
            <w:tcW w:w="2977" w:type="dxa"/>
          </w:tcPr>
          <w:p w14:paraId="1E3392C0" w14:textId="77777777" w:rsidR="00AE7191" w:rsidRPr="00722885" w:rsidRDefault="00AE7191" w:rsidP="00722885">
            <w:pPr>
              <w:pStyle w:val="Iauiue"/>
              <w:jc w:val="both"/>
              <w:rPr>
                <w:color w:val="000000" w:themeColor="text1"/>
                <w:sz w:val="16"/>
                <w:szCs w:val="16"/>
              </w:rPr>
            </w:pPr>
          </w:p>
        </w:tc>
      </w:tr>
      <w:tr w:rsidR="009B487A" w:rsidRPr="00722885" w14:paraId="0EE939B5" w14:textId="77777777" w:rsidTr="00CC5360">
        <w:tc>
          <w:tcPr>
            <w:tcW w:w="1878" w:type="dxa"/>
          </w:tcPr>
          <w:p w14:paraId="5AE7FCC6" w14:textId="77777777" w:rsidR="00AE7191" w:rsidRPr="00722885" w:rsidRDefault="00AE7191" w:rsidP="00722885">
            <w:pPr>
              <w:pStyle w:val="Iauiue"/>
              <w:jc w:val="both"/>
              <w:rPr>
                <w:color w:val="000000" w:themeColor="text1"/>
                <w:sz w:val="16"/>
                <w:szCs w:val="16"/>
              </w:rPr>
            </w:pPr>
          </w:p>
        </w:tc>
        <w:tc>
          <w:tcPr>
            <w:tcW w:w="5601" w:type="dxa"/>
          </w:tcPr>
          <w:p w14:paraId="10D90E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самолета Пе-2</w:t>
            </w:r>
          </w:p>
        </w:tc>
        <w:tc>
          <w:tcPr>
            <w:tcW w:w="2977" w:type="dxa"/>
          </w:tcPr>
          <w:p w14:paraId="721E4926" w14:textId="77777777" w:rsidR="00AE7191" w:rsidRPr="00722885" w:rsidRDefault="00AE7191" w:rsidP="00722885">
            <w:pPr>
              <w:pStyle w:val="Iauiue"/>
              <w:jc w:val="both"/>
              <w:rPr>
                <w:color w:val="000000" w:themeColor="text1"/>
                <w:sz w:val="16"/>
                <w:szCs w:val="16"/>
              </w:rPr>
            </w:pPr>
          </w:p>
        </w:tc>
      </w:tr>
      <w:tr w:rsidR="009B487A" w:rsidRPr="00722885" w14:paraId="25069ED2" w14:textId="77777777" w:rsidTr="00CC5360">
        <w:tc>
          <w:tcPr>
            <w:tcW w:w="1878" w:type="dxa"/>
          </w:tcPr>
          <w:p w14:paraId="245794D2" w14:textId="77777777" w:rsidR="00AE7191" w:rsidRPr="00722885" w:rsidRDefault="00AE7191" w:rsidP="00722885">
            <w:pPr>
              <w:pStyle w:val="Iauiue"/>
              <w:jc w:val="both"/>
              <w:rPr>
                <w:color w:val="000000" w:themeColor="text1"/>
                <w:sz w:val="16"/>
                <w:szCs w:val="16"/>
              </w:rPr>
            </w:pPr>
          </w:p>
        </w:tc>
        <w:tc>
          <w:tcPr>
            <w:tcW w:w="5601" w:type="dxa"/>
          </w:tcPr>
          <w:p w14:paraId="4EF4FB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экз.</w:t>
            </w:r>
          </w:p>
        </w:tc>
        <w:tc>
          <w:tcPr>
            <w:tcW w:w="2977" w:type="dxa"/>
          </w:tcPr>
          <w:p w14:paraId="275C8FD5" w14:textId="77777777" w:rsidR="00AE7191" w:rsidRPr="00722885" w:rsidRDefault="00AE7191" w:rsidP="00722885">
            <w:pPr>
              <w:pStyle w:val="Iauiue"/>
              <w:jc w:val="both"/>
              <w:rPr>
                <w:color w:val="000000" w:themeColor="text1"/>
                <w:sz w:val="16"/>
                <w:szCs w:val="16"/>
              </w:rPr>
            </w:pPr>
          </w:p>
        </w:tc>
      </w:tr>
      <w:tr w:rsidR="009B487A" w:rsidRPr="00722885" w14:paraId="2AF20A54" w14:textId="77777777" w:rsidTr="00CC5360">
        <w:tc>
          <w:tcPr>
            <w:tcW w:w="1878" w:type="dxa"/>
          </w:tcPr>
          <w:p w14:paraId="0A0799DC" w14:textId="77777777" w:rsidR="00AE7191" w:rsidRPr="00722885" w:rsidRDefault="00AE7191" w:rsidP="00722885">
            <w:pPr>
              <w:pStyle w:val="Iauiue"/>
              <w:jc w:val="both"/>
              <w:rPr>
                <w:color w:val="000000" w:themeColor="text1"/>
                <w:sz w:val="16"/>
                <w:szCs w:val="16"/>
              </w:rPr>
            </w:pPr>
          </w:p>
        </w:tc>
        <w:tc>
          <w:tcPr>
            <w:tcW w:w="5601" w:type="dxa"/>
          </w:tcPr>
          <w:p w14:paraId="60A64F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 Высотный истребитель</w:t>
            </w:r>
          </w:p>
        </w:tc>
        <w:tc>
          <w:tcPr>
            <w:tcW w:w="2977" w:type="dxa"/>
          </w:tcPr>
          <w:p w14:paraId="67545F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7327922D" w14:textId="77777777" w:rsidTr="00CC5360">
        <w:tc>
          <w:tcPr>
            <w:tcW w:w="1878" w:type="dxa"/>
          </w:tcPr>
          <w:p w14:paraId="22830791" w14:textId="77777777" w:rsidR="00AE7191" w:rsidRPr="00722885" w:rsidRDefault="00AE7191" w:rsidP="00722885">
            <w:pPr>
              <w:pStyle w:val="Iauiue"/>
              <w:jc w:val="both"/>
              <w:rPr>
                <w:color w:val="000000" w:themeColor="text1"/>
                <w:sz w:val="16"/>
                <w:szCs w:val="16"/>
              </w:rPr>
            </w:pPr>
          </w:p>
        </w:tc>
        <w:tc>
          <w:tcPr>
            <w:tcW w:w="5601" w:type="dxa"/>
          </w:tcPr>
          <w:p w14:paraId="17C611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ВИ-100 с двумя моторами М-105ф</w:t>
            </w:r>
          </w:p>
        </w:tc>
        <w:tc>
          <w:tcPr>
            <w:tcW w:w="2977" w:type="dxa"/>
          </w:tcPr>
          <w:p w14:paraId="24949512" w14:textId="77777777" w:rsidR="00AE7191" w:rsidRPr="00722885" w:rsidRDefault="00AE7191" w:rsidP="00722885">
            <w:pPr>
              <w:pStyle w:val="Iauiue"/>
              <w:jc w:val="both"/>
              <w:rPr>
                <w:color w:val="000000" w:themeColor="text1"/>
                <w:sz w:val="16"/>
                <w:szCs w:val="16"/>
              </w:rPr>
            </w:pPr>
          </w:p>
        </w:tc>
      </w:tr>
      <w:tr w:rsidR="009B487A" w:rsidRPr="00722885" w14:paraId="174FE8FD" w14:textId="77777777" w:rsidTr="00CC5360">
        <w:tc>
          <w:tcPr>
            <w:tcW w:w="1878" w:type="dxa"/>
          </w:tcPr>
          <w:p w14:paraId="501FC2DB" w14:textId="77777777" w:rsidR="00AE7191" w:rsidRPr="00722885" w:rsidRDefault="00AE7191" w:rsidP="00722885">
            <w:pPr>
              <w:pStyle w:val="Iauiue"/>
              <w:jc w:val="both"/>
              <w:rPr>
                <w:color w:val="000000" w:themeColor="text1"/>
                <w:sz w:val="16"/>
                <w:szCs w:val="16"/>
              </w:rPr>
            </w:pPr>
          </w:p>
        </w:tc>
        <w:tc>
          <w:tcPr>
            <w:tcW w:w="5601" w:type="dxa"/>
          </w:tcPr>
          <w:p w14:paraId="6D8324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герметическими кабинами,</w:t>
            </w:r>
          </w:p>
        </w:tc>
        <w:tc>
          <w:tcPr>
            <w:tcW w:w="2977" w:type="dxa"/>
          </w:tcPr>
          <w:p w14:paraId="5B278CC3" w14:textId="77777777" w:rsidR="00AE7191" w:rsidRPr="00722885" w:rsidRDefault="00AE7191" w:rsidP="00722885">
            <w:pPr>
              <w:pStyle w:val="Iauiue"/>
              <w:jc w:val="both"/>
              <w:rPr>
                <w:color w:val="000000" w:themeColor="text1"/>
                <w:sz w:val="16"/>
                <w:szCs w:val="16"/>
              </w:rPr>
            </w:pPr>
          </w:p>
        </w:tc>
      </w:tr>
      <w:tr w:rsidR="009B487A" w:rsidRPr="00722885" w14:paraId="56A11C94" w14:textId="77777777" w:rsidTr="00CC5360">
        <w:tc>
          <w:tcPr>
            <w:tcW w:w="1878" w:type="dxa"/>
          </w:tcPr>
          <w:p w14:paraId="6FA9E4B5" w14:textId="77777777" w:rsidR="00AE7191" w:rsidRPr="00722885" w:rsidRDefault="00AE7191" w:rsidP="00722885">
            <w:pPr>
              <w:pStyle w:val="Iauiue"/>
              <w:jc w:val="both"/>
              <w:rPr>
                <w:color w:val="000000" w:themeColor="text1"/>
                <w:sz w:val="16"/>
                <w:szCs w:val="16"/>
              </w:rPr>
            </w:pPr>
          </w:p>
        </w:tc>
        <w:tc>
          <w:tcPr>
            <w:tcW w:w="5601" w:type="dxa"/>
          </w:tcPr>
          <w:p w14:paraId="63B7F9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модификация самолета Пе-2</w:t>
            </w:r>
          </w:p>
        </w:tc>
        <w:tc>
          <w:tcPr>
            <w:tcW w:w="2977" w:type="dxa"/>
          </w:tcPr>
          <w:p w14:paraId="23F705AA" w14:textId="77777777" w:rsidR="00AE7191" w:rsidRPr="00722885" w:rsidRDefault="00AE7191" w:rsidP="00722885">
            <w:pPr>
              <w:pStyle w:val="Iauiue"/>
              <w:jc w:val="both"/>
              <w:rPr>
                <w:color w:val="000000" w:themeColor="text1"/>
                <w:sz w:val="16"/>
                <w:szCs w:val="16"/>
              </w:rPr>
            </w:pPr>
          </w:p>
        </w:tc>
      </w:tr>
      <w:tr w:rsidR="009B487A" w:rsidRPr="00722885" w14:paraId="220879DE" w14:textId="77777777" w:rsidTr="00CC5360">
        <w:tc>
          <w:tcPr>
            <w:tcW w:w="1878" w:type="dxa"/>
          </w:tcPr>
          <w:p w14:paraId="7DD24117" w14:textId="77777777" w:rsidR="00AE7191" w:rsidRPr="00722885" w:rsidRDefault="00AE7191" w:rsidP="00722885">
            <w:pPr>
              <w:pStyle w:val="Iauiue"/>
              <w:jc w:val="both"/>
              <w:rPr>
                <w:color w:val="000000" w:themeColor="text1"/>
                <w:sz w:val="16"/>
                <w:szCs w:val="16"/>
              </w:rPr>
            </w:pPr>
          </w:p>
        </w:tc>
        <w:tc>
          <w:tcPr>
            <w:tcW w:w="5601" w:type="dxa"/>
          </w:tcPr>
          <w:p w14:paraId="0617FB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экземпляров</w:t>
            </w:r>
          </w:p>
        </w:tc>
        <w:tc>
          <w:tcPr>
            <w:tcW w:w="2977" w:type="dxa"/>
          </w:tcPr>
          <w:p w14:paraId="611FF50A" w14:textId="77777777" w:rsidR="00AE7191" w:rsidRPr="00722885" w:rsidRDefault="00AE7191" w:rsidP="00722885">
            <w:pPr>
              <w:pStyle w:val="Iauiue"/>
              <w:jc w:val="both"/>
              <w:rPr>
                <w:color w:val="000000" w:themeColor="text1"/>
                <w:sz w:val="16"/>
                <w:szCs w:val="16"/>
              </w:rPr>
            </w:pPr>
          </w:p>
        </w:tc>
      </w:tr>
      <w:tr w:rsidR="009B487A" w:rsidRPr="00722885" w14:paraId="026D5A19" w14:textId="77777777" w:rsidTr="00CC5360">
        <w:tc>
          <w:tcPr>
            <w:tcW w:w="1878" w:type="dxa"/>
          </w:tcPr>
          <w:p w14:paraId="3A380F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Ильюшин С.В.</w:t>
            </w:r>
          </w:p>
        </w:tc>
        <w:tc>
          <w:tcPr>
            <w:tcW w:w="5601" w:type="dxa"/>
          </w:tcPr>
          <w:p w14:paraId="13B53B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 Дальний бомбардировщик</w:t>
            </w:r>
          </w:p>
        </w:tc>
        <w:tc>
          <w:tcPr>
            <w:tcW w:w="2977" w:type="dxa"/>
          </w:tcPr>
          <w:p w14:paraId="2AA7CC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7.VШ-40</w:t>
            </w:r>
          </w:p>
        </w:tc>
      </w:tr>
      <w:tr w:rsidR="009B487A" w:rsidRPr="00722885" w14:paraId="6031581C" w14:textId="77777777" w:rsidTr="00CC5360">
        <w:tc>
          <w:tcPr>
            <w:tcW w:w="1878" w:type="dxa"/>
          </w:tcPr>
          <w:p w14:paraId="382614D3" w14:textId="77777777" w:rsidR="00AE7191" w:rsidRPr="00722885" w:rsidRDefault="00AE7191" w:rsidP="00722885">
            <w:pPr>
              <w:pStyle w:val="Iauiue"/>
              <w:jc w:val="both"/>
              <w:rPr>
                <w:color w:val="000000" w:themeColor="text1"/>
                <w:sz w:val="16"/>
                <w:szCs w:val="16"/>
              </w:rPr>
            </w:pPr>
          </w:p>
        </w:tc>
        <w:tc>
          <w:tcPr>
            <w:tcW w:w="5601" w:type="dxa"/>
          </w:tcPr>
          <w:p w14:paraId="27F9AEC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ДБ-4 с двумя моторами АМ-37</w:t>
            </w:r>
          </w:p>
        </w:tc>
        <w:tc>
          <w:tcPr>
            <w:tcW w:w="2977" w:type="dxa"/>
          </w:tcPr>
          <w:p w14:paraId="30B30E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 N 226сс</w:t>
            </w:r>
          </w:p>
        </w:tc>
      </w:tr>
      <w:tr w:rsidR="009B487A" w:rsidRPr="00722885" w14:paraId="289FB090" w14:textId="77777777" w:rsidTr="00CC5360">
        <w:tc>
          <w:tcPr>
            <w:tcW w:w="1878" w:type="dxa"/>
          </w:tcPr>
          <w:p w14:paraId="600E0163" w14:textId="77777777" w:rsidR="00AE7191" w:rsidRPr="00722885" w:rsidRDefault="00AE7191" w:rsidP="00722885">
            <w:pPr>
              <w:pStyle w:val="Iauiue"/>
              <w:jc w:val="both"/>
              <w:rPr>
                <w:color w:val="000000" w:themeColor="text1"/>
                <w:sz w:val="16"/>
                <w:szCs w:val="16"/>
              </w:rPr>
            </w:pPr>
          </w:p>
        </w:tc>
        <w:tc>
          <w:tcPr>
            <w:tcW w:w="5601" w:type="dxa"/>
          </w:tcPr>
          <w:p w14:paraId="14581D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экз.</w:t>
            </w:r>
          </w:p>
        </w:tc>
        <w:tc>
          <w:tcPr>
            <w:tcW w:w="2977" w:type="dxa"/>
          </w:tcPr>
          <w:p w14:paraId="1368700F" w14:textId="77777777" w:rsidR="00AE7191" w:rsidRPr="00722885" w:rsidRDefault="00AE7191" w:rsidP="00722885">
            <w:pPr>
              <w:pStyle w:val="Iauiue"/>
              <w:jc w:val="both"/>
              <w:rPr>
                <w:color w:val="000000" w:themeColor="text1"/>
                <w:sz w:val="16"/>
                <w:szCs w:val="16"/>
              </w:rPr>
            </w:pPr>
          </w:p>
        </w:tc>
      </w:tr>
      <w:tr w:rsidR="009B487A" w:rsidRPr="00722885" w14:paraId="47AECA58" w14:textId="77777777" w:rsidTr="00CC5360">
        <w:tc>
          <w:tcPr>
            <w:tcW w:w="1878" w:type="dxa"/>
          </w:tcPr>
          <w:p w14:paraId="114558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Кочеригин С.А.</w:t>
            </w:r>
          </w:p>
        </w:tc>
        <w:tc>
          <w:tcPr>
            <w:tcW w:w="5601" w:type="dxa"/>
          </w:tcPr>
          <w:p w14:paraId="2C56BA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 Одноместный пикирующий</w:t>
            </w:r>
          </w:p>
        </w:tc>
        <w:tc>
          <w:tcPr>
            <w:tcW w:w="2977" w:type="dxa"/>
          </w:tcPr>
          <w:p w14:paraId="162C97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4.VIII.40</w:t>
            </w:r>
          </w:p>
        </w:tc>
      </w:tr>
      <w:tr w:rsidR="009B487A" w:rsidRPr="00722885" w14:paraId="555892AE" w14:textId="77777777" w:rsidTr="00CC5360">
        <w:tc>
          <w:tcPr>
            <w:tcW w:w="1878" w:type="dxa"/>
          </w:tcPr>
          <w:p w14:paraId="17956764" w14:textId="77777777" w:rsidR="00AE7191" w:rsidRPr="00722885" w:rsidRDefault="00AE7191" w:rsidP="00722885">
            <w:pPr>
              <w:pStyle w:val="Iauiue"/>
              <w:jc w:val="both"/>
              <w:rPr>
                <w:color w:val="000000" w:themeColor="text1"/>
                <w:sz w:val="16"/>
                <w:szCs w:val="16"/>
              </w:rPr>
            </w:pPr>
          </w:p>
        </w:tc>
        <w:tc>
          <w:tcPr>
            <w:tcW w:w="5601" w:type="dxa"/>
          </w:tcPr>
          <w:p w14:paraId="59AC1D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бомбардировщик с мотором М-90</w:t>
            </w:r>
          </w:p>
        </w:tc>
        <w:tc>
          <w:tcPr>
            <w:tcW w:w="2977" w:type="dxa"/>
          </w:tcPr>
          <w:p w14:paraId="3AF49D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 N 342сс</w:t>
            </w:r>
          </w:p>
        </w:tc>
      </w:tr>
      <w:tr w:rsidR="009B487A" w:rsidRPr="00722885" w14:paraId="275A0BED" w14:textId="77777777" w:rsidTr="00CC5360">
        <w:tc>
          <w:tcPr>
            <w:tcW w:w="1878" w:type="dxa"/>
          </w:tcPr>
          <w:p w14:paraId="41FFF8EC" w14:textId="77777777" w:rsidR="00AE7191" w:rsidRPr="00722885" w:rsidRDefault="00AE7191" w:rsidP="00722885">
            <w:pPr>
              <w:pStyle w:val="Iauiue"/>
              <w:jc w:val="both"/>
              <w:rPr>
                <w:color w:val="000000" w:themeColor="text1"/>
                <w:sz w:val="16"/>
                <w:szCs w:val="16"/>
              </w:rPr>
            </w:pPr>
          </w:p>
        </w:tc>
        <w:tc>
          <w:tcPr>
            <w:tcW w:w="5601" w:type="dxa"/>
          </w:tcPr>
          <w:p w14:paraId="13FD5C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экз.</w:t>
            </w:r>
          </w:p>
        </w:tc>
        <w:tc>
          <w:tcPr>
            <w:tcW w:w="2977" w:type="dxa"/>
          </w:tcPr>
          <w:p w14:paraId="79C57658" w14:textId="77777777" w:rsidR="00AE7191" w:rsidRPr="00722885" w:rsidRDefault="00AE7191" w:rsidP="00722885">
            <w:pPr>
              <w:pStyle w:val="Iauiue"/>
              <w:jc w:val="both"/>
              <w:rPr>
                <w:color w:val="000000" w:themeColor="text1"/>
                <w:sz w:val="16"/>
                <w:szCs w:val="16"/>
              </w:rPr>
            </w:pPr>
          </w:p>
        </w:tc>
      </w:tr>
      <w:tr w:rsidR="009B487A" w:rsidRPr="00722885" w14:paraId="3480A7C1" w14:textId="77777777" w:rsidTr="00CC5360">
        <w:tc>
          <w:tcPr>
            <w:tcW w:w="1878" w:type="dxa"/>
          </w:tcPr>
          <w:p w14:paraId="448843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Архангельский</w:t>
            </w:r>
          </w:p>
        </w:tc>
        <w:tc>
          <w:tcPr>
            <w:tcW w:w="5601" w:type="dxa"/>
          </w:tcPr>
          <w:p w14:paraId="3A96A0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 Двухмоторный бомбардировщик</w:t>
            </w:r>
          </w:p>
        </w:tc>
        <w:tc>
          <w:tcPr>
            <w:tcW w:w="2977" w:type="dxa"/>
          </w:tcPr>
          <w:p w14:paraId="3F9AE64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N 108 сс от 4.III.40</w:t>
            </w:r>
          </w:p>
        </w:tc>
      </w:tr>
      <w:tr w:rsidR="009B487A" w:rsidRPr="00722885" w14:paraId="5B1B8D28" w14:textId="77777777" w:rsidTr="00CC5360">
        <w:tc>
          <w:tcPr>
            <w:tcW w:w="1878" w:type="dxa"/>
          </w:tcPr>
          <w:p w14:paraId="46B063EA" w14:textId="77777777" w:rsidR="00AE7191" w:rsidRPr="00722885" w:rsidRDefault="00AE7191" w:rsidP="00722885">
            <w:pPr>
              <w:pStyle w:val="Iauiue"/>
              <w:jc w:val="both"/>
              <w:rPr>
                <w:color w:val="000000" w:themeColor="text1"/>
                <w:sz w:val="16"/>
                <w:szCs w:val="16"/>
              </w:rPr>
            </w:pPr>
          </w:p>
        </w:tc>
        <w:tc>
          <w:tcPr>
            <w:tcW w:w="5601" w:type="dxa"/>
          </w:tcPr>
          <w:p w14:paraId="77F5E8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СБ "Б" с моторами М-105 ТК 1 экз.</w:t>
            </w:r>
          </w:p>
        </w:tc>
        <w:tc>
          <w:tcPr>
            <w:tcW w:w="2977" w:type="dxa"/>
          </w:tcPr>
          <w:p w14:paraId="2FF1677A" w14:textId="77777777" w:rsidR="00AE7191" w:rsidRPr="00722885" w:rsidRDefault="00AE7191" w:rsidP="00722885">
            <w:pPr>
              <w:pStyle w:val="Iauiue"/>
              <w:jc w:val="both"/>
              <w:rPr>
                <w:color w:val="000000" w:themeColor="text1"/>
                <w:sz w:val="16"/>
                <w:szCs w:val="16"/>
              </w:rPr>
            </w:pPr>
          </w:p>
        </w:tc>
      </w:tr>
      <w:tr w:rsidR="009B487A" w:rsidRPr="00722885" w14:paraId="293E0C2C" w14:textId="77777777" w:rsidTr="00CC5360">
        <w:tc>
          <w:tcPr>
            <w:tcW w:w="1878" w:type="dxa"/>
          </w:tcPr>
          <w:p w14:paraId="4B032F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Мосолов И.П.</w:t>
            </w:r>
          </w:p>
        </w:tc>
        <w:tc>
          <w:tcPr>
            <w:tcW w:w="5601" w:type="dxa"/>
          </w:tcPr>
          <w:p w14:paraId="5444A7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Модификация самолета ПС-84</w:t>
            </w:r>
          </w:p>
        </w:tc>
        <w:tc>
          <w:tcPr>
            <w:tcW w:w="2977" w:type="dxa"/>
          </w:tcPr>
          <w:p w14:paraId="68CA05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18.III.41</w:t>
            </w:r>
          </w:p>
        </w:tc>
      </w:tr>
      <w:tr w:rsidR="009B487A" w:rsidRPr="00722885" w14:paraId="03BA2337" w14:textId="77777777" w:rsidTr="00CC5360">
        <w:tc>
          <w:tcPr>
            <w:tcW w:w="1878" w:type="dxa"/>
          </w:tcPr>
          <w:p w14:paraId="4C65BFF6" w14:textId="77777777" w:rsidR="00AE7191" w:rsidRPr="00722885" w:rsidRDefault="00AE7191" w:rsidP="00722885">
            <w:pPr>
              <w:pStyle w:val="Iauiue"/>
              <w:jc w:val="both"/>
              <w:rPr>
                <w:color w:val="000000" w:themeColor="text1"/>
                <w:sz w:val="16"/>
                <w:szCs w:val="16"/>
              </w:rPr>
            </w:pPr>
          </w:p>
        </w:tc>
        <w:tc>
          <w:tcPr>
            <w:tcW w:w="5601" w:type="dxa"/>
          </w:tcPr>
          <w:p w14:paraId="768221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дизель моторами М-30 в варианте</w:t>
            </w:r>
          </w:p>
        </w:tc>
        <w:tc>
          <w:tcPr>
            <w:tcW w:w="2977" w:type="dxa"/>
          </w:tcPr>
          <w:p w14:paraId="794268C4" w14:textId="77777777" w:rsidR="00AE7191" w:rsidRPr="00722885" w:rsidRDefault="00AE7191" w:rsidP="00722885">
            <w:pPr>
              <w:pStyle w:val="Iauiue"/>
              <w:jc w:val="both"/>
              <w:rPr>
                <w:color w:val="000000" w:themeColor="text1"/>
                <w:sz w:val="16"/>
                <w:szCs w:val="16"/>
              </w:rPr>
            </w:pPr>
          </w:p>
        </w:tc>
      </w:tr>
      <w:tr w:rsidR="009B487A" w:rsidRPr="00722885" w14:paraId="02468626" w14:textId="77777777" w:rsidTr="00CC5360">
        <w:tc>
          <w:tcPr>
            <w:tcW w:w="1878" w:type="dxa"/>
          </w:tcPr>
          <w:p w14:paraId="16E599C6" w14:textId="77777777" w:rsidR="00AE7191" w:rsidRPr="00722885" w:rsidRDefault="00AE7191" w:rsidP="00722885">
            <w:pPr>
              <w:pStyle w:val="Iauiue"/>
              <w:jc w:val="both"/>
              <w:rPr>
                <w:color w:val="000000" w:themeColor="text1"/>
                <w:sz w:val="16"/>
                <w:szCs w:val="16"/>
              </w:rPr>
            </w:pPr>
          </w:p>
        </w:tc>
        <w:tc>
          <w:tcPr>
            <w:tcW w:w="5601" w:type="dxa"/>
          </w:tcPr>
          <w:p w14:paraId="0148FB8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бомбардировщика - 2 экз. (2178,181)</w:t>
            </w:r>
          </w:p>
        </w:tc>
        <w:tc>
          <w:tcPr>
            <w:tcW w:w="2977" w:type="dxa"/>
          </w:tcPr>
          <w:p w14:paraId="67E61F2A" w14:textId="77777777" w:rsidR="00AE7191" w:rsidRPr="00722885" w:rsidRDefault="00AE7191" w:rsidP="00722885">
            <w:pPr>
              <w:pStyle w:val="Iauiue"/>
              <w:jc w:val="both"/>
              <w:rPr>
                <w:color w:val="000000" w:themeColor="text1"/>
                <w:sz w:val="16"/>
                <w:szCs w:val="16"/>
              </w:rPr>
            </w:pPr>
          </w:p>
        </w:tc>
      </w:tr>
      <w:tr w:rsidR="009B487A" w:rsidRPr="00722885" w14:paraId="15511C79" w14:textId="77777777" w:rsidTr="00CC5360">
        <w:tc>
          <w:tcPr>
            <w:tcW w:w="1878" w:type="dxa"/>
            <w:tcBorders>
              <w:bottom w:val="single" w:sz="12" w:space="0" w:color="auto"/>
            </w:tcBorders>
          </w:tcPr>
          <w:p w14:paraId="669510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Яковлев А.С.</w:t>
            </w:r>
          </w:p>
        </w:tc>
        <w:tc>
          <w:tcPr>
            <w:tcW w:w="5601" w:type="dxa"/>
            <w:tcBorders>
              <w:bottom w:val="single" w:sz="12" w:space="0" w:color="auto"/>
            </w:tcBorders>
          </w:tcPr>
          <w:p w14:paraId="7FA167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Одноместный тяжелый истребитель с мотором МБ-100 - 2 экз.</w:t>
            </w:r>
          </w:p>
        </w:tc>
        <w:tc>
          <w:tcPr>
            <w:tcW w:w="2977" w:type="dxa"/>
            <w:tcBorders>
              <w:bottom w:val="single" w:sz="12" w:space="0" w:color="auto"/>
            </w:tcBorders>
          </w:tcPr>
          <w:p w14:paraId="6E1ACDA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16.1У.41 за № 1022-417сс (1633,216).</w:t>
            </w:r>
          </w:p>
        </w:tc>
      </w:tr>
    </w:tbl>
    <w:p w14:paraId="63BE1177" w14:textId="77777777" w:rsidR="00AE7191" w:rsidRPr="00722885" w:rsidRDefault="00AE7191" w:rsidP="00722885">
      <w:pPr>
        <w:pStyle w:val="Iauiue"/>
        <w:jc w:val="both"/>
        <w:rPr>
          <w:color w:val="000000" w:themeColor="text1"/>
          <w:sz w:val="16"/>
          <w:szCs w:val="16"/>
        </w:rPr>
      </w:pPr>
    </w:p>
    <w:p w14:paraId="0DB0F5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1942 года вышел приказ НКАП № 589с во исполнение Постановления ГОКО № 2134 от 3 августа 1942 года, которыми завод № 39 получил задание осовить и запустить в серийное производство машину ИЛ-4.</w:t>
      </w:r>
    </w:p>
    <w:p w14:paraId="58C024A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5E4A06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58DB2C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6B3EBA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608EFD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Головную машину ТУ-2 завод выпустил 30 июня 1947 года.</w:t>
      </w:r>
    </w:p>
    <w:p w14:paraId="68921A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ТУ-2 завод выпускал в течение 1947-1949 гг.</w:t>
      </w:r>
    </w:p>
    <w:p w14:paraId="48014B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74C747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1C0EF5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04FBA6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453566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И.о. директора – Гордин</w:t>
      </w:r>
    </w:p>
    <w:p w14:paraId="2CB4C1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Иркутская область, п/я 411</w:t>
      </w:r>
    </w:p>
    <w:p w14:paraId="2D7AAED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Производственный профиль – самолетостроение</w:t>
      </w:r>
    </w:p>
    <w:p w14:paraId="5691FC6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398D62F2" w14:textId="77777777" w:rsidR="00AE7191" w:rsidRPr="00722885" w:rsidRDefault="00AE7191" w:rsidP="00722885">
      <w:pPr>
        <w:pStyle w:val="Iauiue"/>
        <w:jc w:val="both"/>
        <w:rPr>
          <w:color w:val="000000" w:themeColor="text1"/>
          <w:sz w:val="16"/>
          <w:szCs w:val="16"/>
        </w:rPr>
      </w:pPr>
    </w:p>
    <w:p w14:paraId="0019C21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августа 1942 г. по приказу НКАП № 589с от завода № 39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  г. Иркутск/ /664020  г. Иркутск ул. Новаторов, 3 ИАПО: тел. 42-11-68, -58; «Иркут»: 32-29-09/ /Московское представительство: ул. Б. Молчановка, 30/7 стр. 2 тел. 290-34-04; 121019 Б. Афанасьевский пер., 15 тел. 291-41-66/) производство Пе-2 требовалось прекратить, сосредоточившись на выпуске Ил-4. Последний Пе-2 был выпущен 22.08.1942 г. С 10.1942 г. начался выпуск Ил-4. Последние выпущены в 07.1944 г. (11982).</w:t>
      </w:r>
    </w:p>
    <w:p w14:paraId="7737E6E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6A365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1942 состоялся первый полет ЛаГГ-3 N 3123173 с двумя ПВРД ВРД-1 конструкции НИИ ГВФ и ИХФ М.М.Бондарюка. Потом в 6 полетах отработали подачу горючего, регулировку состава смеси и системы зажигания, проверку пуска и работы на различных высотах и скоростях. В 7 полетах испытали пусковые качества и эффективность ПВРД и до 16 августа к Мищенко выполнил 14 полетов (2448,8).</w:t>
      </w:r>
    </w:p>
    <w:p w14:paraId="3572E410" w14:textId="77777777" w:rsidR="00AE7191" w:rsidRPr="00722885" w:rsidRDefault="00AE7191" w:rsidP="00722885">
      <w:pPr>
        <w:pStyle w:val="Iauiue"/>
        <w:jc w:val="both"/>
        <w:rPr>
          <w:color w:val="000000" w:themeColor="text1"/>
          <w:sz w:val="16"/>
          <w:szCs w:val="16"/>
        </w:rPr>
      </w:pPr>
    </w:p>
    <w:p w14:paraId="13A41B86"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августа в 1942 году первый полет </w:t>
      </w:r>
      <w:hyperlink r:id="rId60" w:tgtFrame="_blank" w:history="1">
        <w:r w:rsidRPr="00722885">
          <w:rPr>
            <w:rFonts w:ascii="Times New Roman" w:hAnsi="Times New Roman"/>
            <w:color w:val="000000" w:themeColor="text1"/>
            <w:sz w:val="16"/>
            <w:szCs w:val="16"/>
          </w:rPr>
          <w:t xml:space="preserve">«ЛаГГ-3» </w:t>
        </w:r>
      </w:hyperlink>
      <w:r w:rsidRPr="00722885">
        <w:rPr>
          <w:rFonts w:ascii="Times New Roman" w:hAnsi="Times New Roman"/>
          <w:color w:val="000000" w:themeColor="text1"/>
          <w:sz w:val="16"/>
          <w:szCs w:val="16"/>
        </w:rPr>
        <w:t>с ПВРД «ВРД-1». Первый полет предназначался для проверки крепления ПВРД. Затем в шести последующих провели отработку подачи горючего, регулировку состава смеси и системы зажигания, проверку запуска и работы «ВРД-1» на различных высотах и скоростях В семи полетах исследовались пусковые качества и эффективность двигателей, а также была определена потеря максимальной скорости при наличии и отсутствии обтекателей узлов подвески. Всего до 16 августа на «ЛаГГ-3» с «ВРД-1» летчик-испытатель капитан Мишенко совершил 14 полетов. Полученный абсолютный прирост максимальной скорости (по отношению к скорости полета с выключенными ПВРД) на высоте 1500 м составил 12-15 км/ч Сами двигатели вместе с обтекателями узлов подвески имели большое аэродинамическое сопротивление и снижали максимальную скорость на 35-40 км/ч Хотя процесс горения в «ВРД-1» не отрегулировали, полученный прирост скорости от расчетной величины отличался незначительно Согласно проведенным расчетам при полете «ЛаГГ-3» № 31213173 с мотором «М-105ПФ» увеличение максимальной скорости от включения ускорителей должно было составить 23 км/ч на высоте 4000 метров и 17 км/ч на высоте 1500 м для нормального варианта и, соответственно, 49 и 40 км/ч -для форсированного Правда, последний вариант из-за недостаточной производительности насоса «ВНК-10» не испытывался (14974).</w:t>
      </w:r>
    </w:p>
    <w:p w14:paraId="19C091C3"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0BA4B485" w14:textId="77777777" w:rsidR="004C71FA" w:rsidRPr="00722885" w:rsidRDefault="004C71FA" w:rsidP="00722885">
      <w:pPr>
        <w:pStyle w:val="ae"/>
        <w:shd w:val="clear" w:color="auto" w:fill="FFFFFF"/>
        <w:spacing w:before="0" w:after="0"/>
        <w:jc w:val="both"/>
        <w:rPr>
          <w:color w:val="000000" w:themeColor="text1"/>
          <w:sz w:val="16"/>
          <w:szCs w:val="16"/>
        </w:rPr>
      </w:pPr>
      <w:r w:rsidRPr="00722885">
        <w:rPr>
          <w:color w:val="000000" w:themeColor="text1"/>
          <w:sz w:val="16"/>
          <w:szCs w:val="16"/>
        </w:rPr>
        <w:t>5 августа 1942 года состоялся первый полет с целью проверить крепление ВРД-1 к крыльям. Далее было проведе но шесть полетов для отработки системы подачи топлива, ре гулировки состава смеси и системы зажигания, проверки за ЕВТНФЬЕВ пуска и работы ВРД-1 на различных высотах и скоростях. В се ми полетах исследовали пусковые качества и эффективность двигателей, определили потерю максимальной скорости при наличии и отсутствии обтекателей узлов подвески. До 16 ав густа 1942 г. на ЛаГГ-3 с ВРД-1 летал летчик-испытатель ка питан Мищенко, который совершил всего 14 полетов.</w:t>
      </w:r>
    </w:p>
    <w:p w14:paraId="48ADFB27" w14:textId="77777777" w:rsidR="004C71FA" w:rsidRPr="00722885" w:rsidRDefault="004C71FA"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Прирост скорости по отношению к скорости полета с вык люченными ВРД-1 на высоте 1500 м составил 12...15 км/ч.</w:t>
      </w:r>
    </w:p>
    <w:p w14:paraId="5588E0C8" w14:textId="77777777" w:rsidR="004C71FA" w:rsidRPr="00722885" w:rsidRDefault="004C71FA" w:rsidP="00722885">
      <w:pPr>
        <w:pStyle w:val="ae"/>
        <w:shd w:val="clear" w:color="auto" w:fill="FFFFFF"/>
        <w:spacing w:before="0" w:after="0"/>
        <w:jc w:val="both"/>
        <w:rPr>
          <w:color w:val="000000" w:themeColor="text1"/>
          <w:sz w:val="16"/>
          <w:szCs w:val="16"/>
        </w:rPr>
      </w:pPr>
      <w:r w:rsidRPr="00722885">
        <w:rPr>
          <w:color w:val="000000" w:themeColor="text1"/>
          <w:sz w:val="16"/>
          <w:szCs w:val="16"/>
        </w:rPr>
        <w:t>Аэродинамическое сопротивление ВРД-1 с узлами подвески снижало скорость на 35...40 км/ч. Процесс горения в ВРД- стабилизировать не удалось. Расчетным путем было установ лено, что при полете ЛаГГ-3 № 31213173 с ПД М-105ПФ уве личение максимальной скорости от включенных ВРД-1 долж но было составить 23 км/ч на высоте 4000 м и 17 км/ч на вы соте 1500 м для нормального варианта. Для форсированного варианта 49 и 40 км/ч соответственно. Так как производитель ность бензонасоса БНК-10 была недостаточна, форсированный I вариант не стали проверять. По результатам летных испыта ний было сделано заключение, что необходимо форсировать работы по улучшению режима горения, запуску на большой высоте, автоматическому регулированию состава смеси и кон струированию рациональных форм подвески и ВРД, обеспечи вающих более органичную связь с самолетом (19686).</w:t>
      </w:r>
    </w:p>
    <w:p w14:paraId="7F243BC8" w14:textId="77777777" w:rsidR="004C71FA" w:rsidRPr="00722885" w:rsidRDefault="004C71FA" w:rsidP="00722885">
      <w:pPr>
        <w:pStyle w:val="ae"/>
        <w:shd w:val="clear" w:color="auto" w:fill="FFFFFF"/>
        <w:spacing w:before="0" w:after="0"/>
        <w:jc w:val="both"/>
        <w:rPr>
          <w:color w:val="000000" w:themeColor="text1"/>
          <w:sz w:val="16"/>
          <w:szCs w:val="16"/>
        </w:rPr>
      </w:pPr>
      <w:r w:rsidRPr="00722885">
        <w:rPr>
          <w:color w:val="000000" w:themeColor="text1"/>
          <w:sz w:val="16"/>
          <w:szCs w:val="16"/>
        </w:rPr>
        <w:lastRenderedPageBreak/>
        <w:t>Основные тактико-технические характеристики самолета ЛаГГ-3 с ПВРД ВРД-1 представлены в табл. 11 прил. 1.</w:t>
      </w:r>
    </w:p>
    <w:p w14:paraId="2C1673C6" w14:textId="77777777" w:rsidR="004C71FA" w:rsidRPr="00722885" w:rsidRDefault="004C71FA" w:rsidP="00722885">
      <w:pPr>
        <w:pStyle w:val="ae"/>
        <w:shd w:val="clear" w:color="auto" w:fill="FFFFFF"/>
        <w:spacing w:before="0" w:after="0"/>
        <w:jc w:val="both"/>
        <w:rPr>
          <w:color w:val="000000" w:themeColor="text1"/>
          <w:sz w:val="16"/>
          <w:szCs w:val="16"/>
        </w:rPr>
      </w:pPr>
    </w:p>
    <w:p w14:paraId="746440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1942 закончились гос. испытания Як-7ДИ с М-105ПФ, которые велись с 18 июля 1942. Летал К.А.Груздев, ви был Г.А.Седов по самолету, и по вооружению А.Г.Аронов, и по ВМГ А.И.Хвостовский, и по спецоборудованию А.И.Красовский, т В.Ф.Сбитнев. Оценка - испытания прошел удовлетворительно и он то и стал Як-9 (65,107).</w:t>
      </w:r>
    </w:p>
    <w:p w14:paraId="44FF08F7" w14:textId="77777777" w:rsidR="00AE7191" w:rsidRPr="00722885" w:rsidRDefault="00AE7191" w:rsidP="00722885">
      <w:pPr>
        <w:pStyle w:val="Iauiue"/>
        <w:jc w:val="both"/>
        <w:rPr>
          <w:color w:val="000000" w:themeColor="text1"/>
          <w:sz w:val="16"/>
          <w:szCs w:val="16"/>
        </w:rPr>
      </w:pPr>
    </w:p>
    <w:p w14:paraId="0707C712"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августа в 1942 году завершились (с 18 июля) государственные испытания </w:t>
      </w:r>
      <w:hyperlink r:id="rId61" w:tgtFrame="_blank" w:history="1">
        <w:r w:rsidRPr="00722885">
          <w:rPr>
            <w:rFonts w:ascii="Times New Roman" w:hAnsi="Times New Roman"/>
            <w:color w:val="000000" w:themeColor="text1"/>
            <w:sz w:val="16"/>
            <w:szCs w:val="16"/>
          </w:rPr>
          <w:t xml:space="preserve">«Як-7ДИ» </w:t>
        </w:r>
      </w:hyperlink>
      <w:r w:rsidRPr="00722885">
        <w:rPr>
          <w:rFonts w:ascii="Times New Roman" w:hAnsi="Times New Roman"/>
          <w:color w:val="000000" w:themeColor="text1"/>
          <w:sz w:val="16"/>
          <w:szCs w:val="16"/>
        </w:rPr>
        <w:t>(60 полетов, 40 ч 15 мин). Он проходил заводские испытания с 26 июня по 16 июля 1942 года (13 полетов общей продолжительностью 10 ч 20 мин) (14974).</w:t>
      </w:r>
    </w:p>
    <w:p w14:paraId="506CC120"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7739BC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1942 произошла катастрофа Як-7 N 2315348 с М-105-3-302 л П.Г.Пищенко из-за разрушения крыла в воздухе (2130).</w:t>
      </w:r>
    </w:p>
    <w:p w14:paraId="7CFA6B81" w14:textId="77777777" w:rsidR="00AE7191" w:rsidRPr="00722885" w:rsidRDefault="00AE7191" w:rsidP="00722885">
      <w:pPr>
        <w:pStyle w:val="Iauiue"/>
        <w:jc w:val="both"/>
        <w:rPr>
          <w:color w:val="000000" w:themeColor="text1"/>
          <w:sz w:val="16"/>
          <w:szCs w:val="16"/>
        </w:rPr>
      </w:pPr>
    </w:p>
    <w:p w14:paraId="2DFB2C46" w14:textId="77777777" w:rsidR="00AE7191" w:rsidRPr="00722885" w:rsidRDefault="00AE7191" w:rsidP="00722885">
      <w:pPr>
        <w:shd w:val="clear" w:color="auto" w:fill="FFFFFF"/>
        <w:spacing w:after="0" w:line="240" w:lineRule="auto"/>
        <w:jc w:val="both"/>
        <w:rPr>
          <w:rFonts w:ascii="Times New Roman" w:hAnsi="Times New Roman"/>
          <w:iCs/>
          <w:color w:val="000000" w:themeColor="text1"/>
          <w:sz w:val="16"/>
          <w:szCs w:val="16"/>
        </w:rPr>
      </w:pPr>
      <w:r w:rsidRPr="00722885">
        <w:rPr>
          <w:rFonts w:ascii="Times New Roman" w:hAnsi="Times New Roman"/>
          <w:color w:val="000000" w:themeColor="text1"/>
          <w:sz w:val="16"/>
          <w:szCs w:val="16"/>
        </w:rPr>
        <w:t>5 авгус</w:t>
      </w:r>
      <w:r w:rsidRPr="00722885">
        <w:rPr>
          <w:rFonts w:ascii="Times New Roman" w:hAnsi="Times New Roman"/>
          <w:color w:val="000000" w:themeColor="text1"/>
          <w:sz w:val="16"/>
          <w:szCs w:val="16"/>
        </w:rPr>
        <w:softHyphen/>
        <w:t>та 1942 г. закончились государственные испыта</w:t>
      </w:r>
      <w:r w:rsidRPr="00722885">
        <w:rPr>
          <w:rFonts w:ascii="Times New Roman" w:hAnsi="Times New Roman"/>
          <w:color w:val="000000" w:themeColor="text1"/>
          <w:sz w:val="16"/>
          <w:szCs w:val="16"/>
        </w:rPr>
        <w:softHyphen/>
        <w:t>ния Як-7ДИ, которые были проведены всего за 18 календарных дней Они прошли без ка</w:t>
      </w:r>
      <w:r w:rsidRPr="00722885">
        <w:rPr>
          <w:rFonts w:ascii="Times New Roman" w:hAnsi="Times New Roman"/>
          <w:color w:val="000000" w:themeColor="text1"/>
          <w:sz w:val="16"/>
          <w:szCs w:val="16"/>
        </w:rPr>
        <w:softHyphen/>
        <w:t>ких-либо осложнений и се</w:t>
      </w:r>
      <w:r w:rsidRPr="00722885">
        <w:rPr>
          <w:rFonts w:ascii="Times New Roman" w:hAnsi="Times New Roman"/>
          <w:color w:val="000000" w:themeColor="text1"/>
          <w:sz w:val="16"/>
          <w:szCs w:val="16"/>
        </w:rPr>
        <w:softHyphen/>
        <w:t>рьезных замечаний со сторо</w:t>
      </w:r>
      <w:r w:rsidRPr="00722885">
        <w:rPr>
          <w:rFonts w:ascii="Times New Roman" w:hAnsi="Times New Roman"/>
          <w:color w:val="000000" w:themeColor="text1"/>
          <w:sz w:val="16"/>
          <w:szCs w:val="16"/>
        </w:rPr>
        <w:softHyphen/>
        <w:t xml:space="preserve">ны военных, которые отметили, что </w:t>
      </w:r>
      <w:r w:rsidRPr="00722885">
        <w:rPr>
          <w:rFonts w:ascii="Times New Roman" w:hAnsi="Times New Roman"/>
          <w:iCs/>
          <w:color w:val="000000" w:themeColor="text1"/>
          <w:sz w:val="16"/>
          <w:szCs w:val="16"/>
        </w:rPr>
        <w:t>«возможность использования Як-7ДИ в том или ином варианте и наличие превосходных летных данных выдвигают его на первое место среди отечественных серийных самолетов ... Не</w:t>
      </w:r>
      <w:r w:rsidRPr="00722885">
        <w:rPr>
          <w:rFonts w:ascii="Times New Roman" w:hAnsi="Times New Roman"/>
          <w:iCs/>
          <w:color w:val="000000" w:themeColor="text1"/>
          <w:sz w:val="16"/>
          <w:szCs w:val="16"/>
        </w:rPr>
        <w:softHyphen/>
        <w:t>обходимо рекомендовать его к немедленному запуску в серийное производство» (10712).</w:t>
      </w:r>
    </w:p>
    <w:p w14:paraId="17DE4F6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697D67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1942 вышел приказ НКАП N 590с о производстве ремонта деревянных агрегатов боевых самолетов и изготовлении запчастей из древесины на заводе 490 в Сталинграде и производстве там БДП Н.Н.П. (2503,16).</w:t>
      </w:r>
    </w:p>
    <w:p w14:paraId="4A0B5CBC" w14:textId="77777777" w:rsidR="00AE7191" w:rsidRPr="00722885" w:rsidRDefault="00AE7191" w:rsidP="00722885">
      <w:pPr>
        <w:pStyle w:val="Iauiue"/>
        <w:jc w:val="both"/>
        <w:rPr>
          <w:color w:val="000000" w:themeColor="text1"/>
          <w:sz w:val="16"/>
          <w:szCs w:val="16"/>
        </w:rPr>
      </w:pPr>
    </w:p>
    <w:p w14:paraId="30F179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1942 года.приказом по НКАП № 307 был утвержден утвержден Устав завода № 124 в Москве (9434).</w:t>
      </w:r>
    </w:p>
    <w:p w14:paraId="3ACB4DD8" w14:textId="77777777" w:rsidR="00AE7191" w:rsidRPr="00722885" w:rsidRDefault="00AE7191" w:rsidP="00722885">
      <w:pPr>
        <w:pStyle w:val="Iauiue"/>
        <w:jc w:val="both"/>
        <w:rPr>
          <w:color w:val="000000" w:themeColor="text1"/>
          <w:sz w:val="16"/>
          <w:szCs w:val="16"/>
        </w:rPr>
      </w:pPr>
    </w:p>
    <w:p w14:paraId="247620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августа 1942 г. в соответствии с решением № ГОКО-1543сс и приказом № 269сс от 10.04.1942 г. создан новый приборный завод № 122 5ГУ НКАП. Сначала осуществлял ремонт приборов и работы по авиаоборудованию.</w:t>
      </w:r>
    </w:p>
    <w:p w14:paraId="62D331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площадке завода (корпус «В») в 1944 г. образован ЦКБ-17 НКАП. </w:t>
      </w:r>
    </w:p>
    <w:p w14:paraId="5B302D1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21с от 28.01.1946 г. в течение нескольких месяцев на завод переведены с завода № 213 700 человек рабочих и ИТР с частью гироскопического производства.</w:t>
      </w:r>
    </w:p>
    <w:p w14:paraId="623DAD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ВОВ деятельность завода значительно расширена: разрабатывались автопилоты, датчики первичной информации (датчики воздушных скоростей), авиагоризонты, гировертикали, далее ИНС, ПНК, датчики угловых и линейных ускорений, терморегуляторы.</w:t>
      </w:r>
    </w:p>
    <w:p w14:paraId="732F6CA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1991 г. вошел в ЗАО «Авиаприбор». По решению правительства № 22-р от 9.01.2004 г. ОАО вошло в перечень стратегических предприятий.</w:t>
      </w:r>
    </w:p>
    <w:p w14:paraId="7D67DCD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(-1951 г.-)- М.И. Комиссаров, (-1959-66 г.-)- А.И. Солдатов.</w:t>
      </w:r>
    </w:p>
    <w:p w14:paraId="148F26E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 (1940-е- 50-е г.)- Е.Ф. Антипов. </w:t>
      </w:r>
    </w:p>
    <w:p w14:paraId="52D431D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Работали: Ольман, (1940-е г.)- Р.Г. Чачикян (системы управления, затем- в НИИ-1 МАП).</w:t>
      </w:r>
    </w:p>
    <w:p w14:paraId="318857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терморегуляторы 842МСБ-5; рулевые машинки для РС-2-УС; автопилоты: АП-73 для Ла-17М, АП-5 для Ту-4, АП-15.</w:t>
      </w:r>
    </w:p>
    <w:p w14:paraId="5693854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122 им. В.А. Казакова НКАП, МАП, Первый Московский Приборостроительный завод (1-й МПЗ) им. В.А. Казакова, АООТ, ОАО «1-й МПЗ им. В.А. Казакова»</w:t>
      </w:r>
    </w:p>
    <w:p w14:paraId="746CD27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Москва, Кутузовский пр., 10 (1947 г.)</w:t>
      </w:r>
    </w:p>
    <w:p w14:paraId="0DD287E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121170 г. Москва, Кутузовский пр., 36 тел. 249-68-10</w:t>
      </w:r>
    </w:p>
    <w:p w14:paraId="60B57C9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ОКБ-122 НКАП, МАП, ОКБ-7 завода № 122 МАП </w:t>
      </w:r>
    </w:p>
    <w:p w14:paraId="2D78AEF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Москва</w:t>
      </w:r>
    </w:p>
    <w:p w14:paraId="09DD80A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Действовало при заводе в 5ГУ НКАП. Разработка пилотажных и гироскопических приборов.</w:t>
      </w:r>
    </w:p>
    <w:p w14:paraId="119DDD6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НКАП № 643с от 25.12.43 г. в состав ОКБ-122 влито ОКБ-214 НКАП (г. Свердловск)</w:t>
      </w:r>
    </w:p>
    <w:p w14:paraId="7043F5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НКАП № 641с от 5.11.44 г. в ОКБ-122 влито ОКБ-213 НКАП (г. Энгельс).</w:t>
      </w:r>
    </w:p>
    <w:p w14:paraId="7A26D4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постановлением СМ СССР от 9.06.1955 г. образован филиал ОКБ-122 для разработки астронавигационных систем управления (далее- МОКБ «Марс»).</w:t>
      </w:r>
    </w:p>
    <w:p w14:paraId="3EB9F02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(1940-е-55 г.-)- Е.Ф. Антипов.</w:t>
      </w:r>
    </w:p>
    <w:p w14:paraId="7E3ED30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4B3252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ОКБ-1 при заводе № 122 НКАП </w:t>
      </w:r>
    </w:p>
    <w:p w14:paraId="648AC0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Москва, Кутузовский пр.</w:t>
      </w:r>
    </w:p>
    <w:p w14:paraId="3A064C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соответствии с постановлением ГКО № 4290с от 8.10.1943 г. и по приказу НКАП № 643с от 28.10.43 г. ОКБ-214 5ГУ НКАП гл. конструктора В.Э. Соркина реэвакуировано в Москву из Свердловска на территорию завода № 122 НКАП с присвоением наименования ОКБ-1 9ГУ НКАП. </w:t>
      </w:r>
    </w:p>
    <w:p w14:paraId="1EBE325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1943-45 г. коллективом ОКБ создано 10 образцов автопилотов. Начаты работы по электрическому АП-5 для Ту-4 (копия американского С-1).</w:t>
      </w:r>
    </w:p>
    <w:p w14:paraId="019D03F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11.1945 г. для продолжения работ по приборам автоматического самолетовождения ОКБ-1 НКАП гл. конструктора В.Э. Соркина перебазировано с завода № 122 на территорию опытного завода № 118 НКАП в полном составе, где в 02.1946 г. на базе завода № 118 и ОКБ-1 был образован ГС опытный завод № 118 НКАП по разработке и изготовлению систем и приборов автоматического управления и гироскопических приборов.</w:t>
      </w:r>
    </w:p>
    <w:p w14:paraId="7FAE4A4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Создано: автопилоты: АП-1У и АП-4 для "10Х". </w:t>
      </w:r>
    </w:p>
    <w:p w14:paraId="5C64C2C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ОКБ-122 МАП, Московское ОКБ «Марс», ФГУП «МОКБ «Марс» ФКА</w:t>
      </w:r>
    </w:p>
    <w:p w14:paraId="20909B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103030 г. Москва 1-й Щемиловский пер., 16 тел. 288-64-44</w:t>
      </w:r>
    </w:p>
    <w:p w14:paraId="66BC268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постановлением СМ СССР от 9.06.1955 г. образован филиал ОКБ-122 на площадях МАТИ (ранее- это территория «б» завода № 119 НКАП) для разработки астронавигационных систем управления (САН). С 1964 г. ОКБ стало филиалом МИЭА (или ОКБ-923).</w:t>
      </w:r>
    </w:p>
    <w:p w14:paraId="5B1DD92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Разработка системы управления на высотах менее 20 км для ОК «Буран» (1970-80-е г.). Принимало участие в работах по комплексу «Бурлак» (1990-е г.). </w:t>
      </w:r>
    </w:p>
    <w:p w14:paraId="2321D4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1990-е г.: разработка: систем управления и навигации для пилотируемых и беспилотных ЛА и КР; систем имитационного моделирования для отработки программных средств СУ и навигации; стендов для отработки авиационных, космических систем и подготовки экипажей; вычислительных комплексов для медицины.</w:t>
      </w:r>
    </w:p>
    <w:p w14:paraId="63DCCA0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ОКБ имеется опытное производство.</w:t>
      </w:r>
    </w:p>
    <w:p w14:paraId="283F4B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2000 г.: ОКР «ВЭУ» по созданию безредукторной ветроэнергетической установки «Радуга-016»; ОКР «РЕМАТЕРП-1» по разработке и изготовлению модернизированного аппарата структурно-резонансной электромагнитной терапии «РЕМАТЕРП-1».</w:t>
      </w:r>
    </w:p>
    <w:p w14:paraId="1F2D44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6B335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(2005 г.)- А.С. Сыров.</w:t>
      </w:r>
    </w:p>
    <w:p w14:paraId="442B2C9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(-1999-2005 г.-)- А.С. Сыров.</w:t>
      </w:r>
    </w:p>
    <w:p w14:paraId="475B46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(1996 г.)- В.И. Шувалов.</w:t>
      </w:r>
    </w:p>
    <w:p w14:paraId="13B115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САН: для КР «Буря» (1959), для КА Е-6, «Луна»; СУ для разгонного блока «Бриз-М» (10776).</w:t>
      </w:r>
    </w:p>
    <w:p w14:paraId="0B90FF3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49BFFC1"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FAF64FA" w14:textId="77777777" w:rsidR="00AE7191" w:rsidRPr="00722885" w:rsidRDefault="00AE7191" w:rsidP="00722885">
      <w:pPr>
        <w:pStyle w:val="Iauiue"/>
        <w:jc w:val="both"/>
        <w:rPr>
          <w:iCs/>
          <w:color w:val="000000" w:themeColor="text1"/>
          <w:sz w:val="16"/>
          <w:szCs w:val="16"/>
        </w:rPr>
      </w:pPr>
    </w:p>
    <w:p w14:paraId="06C1D1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августа 1942 года технологическая подготовка производства новой коробки передач на заводе № 183 была завершена, а 19 августа её чертежи были разосланы по всем остальным заводам. 5 августа ГКО принял решение о производстве новой коробки передач на Кировском заводе, который в июле 1943 года стал считаться головным по этому агрегату.</w:t>
      </w:r>
    </w:p>
    <w:p w14:paraId="54822C5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Приказы наркома танковой промышленности и решения конференции по качеству танка Т-34 указали основные направления по улучшению надежности танка: более строгий контроль за соблюдением техпроцессов, усовершенствования технологии и совершенствование конструкции. Основным центром совершенствования танка Т-34 стал завод № 183, наиболее крупный их производитель, чья технология считалась образцом для остальных. Немало пришлось поработать над улучшением своего танка главному конструктору завода А. А. Морозову и всему конструкторскому отделу. В 1942 году они разработали новый воздухоочиститель, обеспечивавший более высокую степень очистки воздуха. Летом 1942 года были завершены разработка и испытания новой 5- скоростной коробки передач с улучшенными динамическими характеристиками (РГАЭ. Ф. 8798. Оп. 4. Д. 15. Л. 143). Важной особенностью её конструкции было применение зубчатых муфт, благодаря которым стало значительно легче переключать передачи и уменьшился износ зубьев (12290).</w:t>
      </w:r>
    </w:p>
    <w:p w14:paraId="20EB2D7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93CFD3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5 августа 1942 г. было подготовлено СОПРОВОДИТЕЛЬНОЕ ПИСЬМО В ГАБТУ И ПРОГРАММА ИСПЫТАНИЙ АВТОМАШИНЫ «ШЕВРОЛЕ» СО СМОНТИРОВАННОЙ УСТАНОВКОЙ М-13</w:t>
      </w:r>
    </w:p>
    <w:p w14:paraId="33CBC50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Препровождаю программу испытаний автомашины «Шевроле» со смонтированной на ней уста</w:t>
      </w:r>
      <w:r w:rsidRPr="00722885">
        <w:rPr>
          <w:rFonts w:ascii="Times New Roman" w:hAnsi="Times New Roman"/>
          <w:color w:val="000000" w:themeColor="text1"/>
          <w:sz w:val="16"/>
          <w:szCs w:val="16"/>
        </w:rPr>
        <w:softHyphen/>
        <w:t>новкой М-13. Программа утверждена командованием АТУ ГАБТУ КА и ГУВГМЧ СВГК КА.</w:t>
      </w:r>
    </w:p>
    <w:p w14:paraId="2B53976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Ваших указаний начальнику НИ полигона ГАБТУ о производстве испытаний в период 6-10 августа, кроме того, для работы в комиссии прошу выслать 7.8.1942 г. начальника 1 отделения 3 от</w:t>
      </w:r>
      <w:r w:rsidRPr="00722885">
        <w:rPr>
          <w:rFonts w:ascii="Times New Roman" w:hAnsi="Times New Roman"/>
          <w:color w:val="000000" w:themeColor="text1"/>
          <w:sz w:val="16"/>
          <w:szCs w:val="16"/>
        </w:rPr>
        <w:softHyphen/>
        <w:t>дела ГУВГМЧ т. Копылова, военинженера 3 ранга т. Хальфан, представителя НИ полигона ГАБТУ ин</w:t>
      </w:r>
      <w:r w:rsidRPr="00722885">
        <w:rPr>
          <w:rFonts w:ascii="Times New Roman" w:hAnsi="Times New Roman"/>
          <w:color w:val="000000" w:themeColor="text1"/>
          <w:sz w:val="16"/>
          <w:szCs w:val="16"/>
        </w:rPr>
        <w:softHyphen/>
        <w:t>женер-майора т. Казанского.</w:t>
      </w:r>
    </w:p>
    <w:p w14:paraId="40E44B2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 упомянутое на 3 листах.</w:t>
      </w:r>
    </w:p>
    <w:p w14:paraId="1123A68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ГУВГМЧ СВГК КА инженер-полковник Кузнецов</w:t>
      </w:r>
    </w:p>
    <w:p w14:paraId="1FB86BF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3 отдела ГУВГМЧ СВГК военинженер 1 ранга Виноградов</w:t>
      </w:r>
    </w:p>
    <w:p w14:paraId="01121A2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w:t>
      </w:r>
    </w:p>
    <w:p w14:paraId="2E81171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ПРОГРАММА</w:t>
      </w:r>
    </w:p>
    <w:p w14:paraId="295FA28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испытаний установок М-13, смонтированных на шасси автомобилей:</w:t>
      </w:r>
    </w:p>
    <w:p w14:paraId="54EBCE5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«Шевроле» (рама и рессоры фирменные) — 3 автомашины.</w:t>
      </w:r>
    </w:p>
    <w:p w14:paraId="7558540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«Шевроле» (рама и рессоры усиленные) — 3 автомашины.</w:t>
      </w:r>
    </w:p>
    <w:p w14:paraId="589DA14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Задачи испытаний</w:t>
      </w:r>
    </w:p>
    <w:p w14:paraId="32404AB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Проверить возможность нормальной эксплуатации в полевых условиях автомашин под на</w:t>
      </w:r>
      <w:r w:rsidRPr="00722885">
        <w:rPr>
          <w:rFonts w:ascii="Times New Roman" w:hAnsi="Times New Roman"/>
          <w:color w:val="000000" w:themeColor="text1"/>
          <w:sz w:val="16"/>
          <w:szCs w:val="16"/>
        </w:rPr>
        <w:softHyphen/>
        <w:t>грузкой от установки, боекомплекта и орудийного расчета.</w:t>
      </w:r>
    </w:p>
    <w:p w14:paraId="677E9A2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Установить допустимость монтирования установок на шасси вышеуказанных автомобилей.</w:t>
      </w:r>
    </w:p>
    <w:p w14:paraId="7EEDB8C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Определить величину нагрузки и соответствие ее расчетным данным, распределение по осям автомашины и влияние на работу двигателя, ходовую часть и другие агрегаты машины. Желательно для испытания представить машины, бывшие в эксплуатации.</w:t>
      </w:r>
    </w:p>
    <w:p w14:paraId="00D714A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Перечень работ по испытанию</w:t>
      </w:r>
    </w:p>
    <w:p w14:paraId="5640C48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Подготовить технические характеристики автомашин по прейскурантам данным НАТИ и ГАБТУ КА.</w:t>
      </w:r>
    </w:p>
    <w:p w14:paraId="0DC14CA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Произвести взвешивание машин:</w:t>
      </w:r>
    </w:p>
    <w:p w14:paraId="4BA6C2D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 кузовом;</w:t>
      </w:r>
    </w:p>
    <w:p w14:paraId="578E7F7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без кузова</w:t>
      </w:r>
    </w:p>
    <w:p w14:paraId="10BCB04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определить распределение веса на заднюю и переднюю оси машины.</w:t>
      </w:r>
    </w:p>
    <w:p w14:paraId="31C3688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Произвести взвешивание установок и распределение веса по осям:</w:t>
      </w:r>
    </w:p>
    <w:p w14:paraId="308E3A5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 боекомплектом и арт. расчетом;</w:t>
      </w:r>
    </w:p>
    <w:p w14:paraId="5B601A8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 боекомплектом без расчета;</w:t>
      </w:r>
    </w:p>
    <w:p w14:paraId="10E5A1F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без боекомплекта и расчета.</w:t>
      </w:r>
    </w:p>
    <w:p w14:paraId="5483C8D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Перед испытанием произвести технический осмотр машин (особое внимание обратить на со</w:t>
      </w:r>
      <w:r w:rsidRPr="00722885">
        <w:rPr>
          <w:rFonts w:ascii="Times New Roman" w:hAnsi="Times New Roman"/>
          <w:color w:val="000000" w:themeColor="text1"/>
          <w:sz w:val="16"/>
          <w:szCs w:val="16"/>
        </w:rPr>
        <w:softHyphen/>
        <w:t>стояние ходовой части). Произвести замер стрелы прогиба передних, задних и дополнительных рес</w:t>
      </w:r>
      <w:r w:rsidRPr="00722885">
        <w:rPr>
          <w:rFonts w:ascii="Times New Roman" w:hAnsi="Times New Roman"/>
          <w:color w:val="000000" w:themeColor="text1"/>
          <w:sz w:val="16"/>
          <w:szCs w:val="16"/>
        </w:rPr>
        <w:softHyphen/>
        <w:t>сор, лонжеронов шасси:</w:t>
      </w:r>
    </w:p>
    <w:p w14:paraId="5EBDA657"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а) при незагруженной машине (установки и кузова);</w:t>
      </w:r>
    </w:p>
    <w:p w14:paraId="2CA3529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на боевой машине с б/комплектом и орудийным расчетом;</w:t>
      </w:r>
    </w:p>
    <w:p w14:paraId="10A33AE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 боевой машине без б/комплекта и орудийного расчета;</w:t>
      </w:r>
    </w:p>
    <w:p w14:paraId="61185D0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на боевой машине с б/комплектом, но без орудийного расчета.</w:t>
      </w:r>
    </w:p>
    <w:p w14:paraId="7EB6BC7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Произвести пробег по проселочным дорогам и бездорожью общим протяжением 1200 км всех 6 боевых машин, нагруженных согласно пунктов «б», «в» и «г» кадографа 4.</w:t>
      </w:r>
    </w:p>
    <w:p w14:paraId="436863D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Определить способность машин преодолевать дорожные препятствия, подъемы, спуски, за</w:t>
      </w:r>
      <w:r w:rsidRPr="00722885">
        <w:rPr>
          <w:rFonts w:ascii="Times New Roman" w:hAnsi="Times New Roman"/>
          <w:color w:val="000000" w:themeColor="text1"/>
          <w:sz w:val="16"/>
          <w:szCs w:val="16"/>
        </w:rPr>
        <w:softHyphen/>
        <w:t>грязненные (заболоченные) участки дороги.</w:t>
      </w:r>
    </w:p>
    <w:p w14:paraId="16CBF84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Движение производить с предельными скоростями соответственно качеству дороги.</w:t>
      </w:r>
    </w:p>
    <w:p w14:paraId="2A00208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В течение всего пробега наблюдать за режимом работы двигателя и ходовой части (особенно рессор и рамы шасси). Фиксировать все случаи вынужденного включения демультипликатора. Фиксировать все случаи неисправностей и поломок с выявлением причин их вызывающих.</w:t>
      </w:r>
    </w:p>
    <w:p w14:paraId="61EC63A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После пробега произвести тщательный технический осмотр автомашин с целью выявления поломок, остаточных деформаций и нарушения регулировки механизмов. Замерить стрелы прогиба рессор и лонжеронов шасси.</w:t>
      </w:r>
    </w:p>
    <w:p w14:paraId="44B81FF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Определить средний расход ГСМ.</w:t>
      </w:r>
    </w:p>
    <w:p w14:paraId="66AF0AD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Дать заключение о пригодности испытываемых машин для монтирования на них установок М-13.</w:t>
      </w:r>
    </w:p>
    <w:p w14:paraId="643FB83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Организация и порядок проведения испытаний</w:t>
      </w:r>
    </w:p>
    <w:p w14:paraId="7B8AF53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Организация и проведение испытаний возлагается на 3 отдел ГУВГМЧ.</w:t>
      </w:r>
    </w:p>
    <w:p w14:paraId="1CEE13A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Для испытания берутся установки на автомашинах, имеющих максимальный срок эксплуатации.</w:t>
      </w:r>
    </w:p>
    <w:p w14:paraId="7474AB0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Для проведения испытания назначается комиссия в составе:</w:t>
      </w:r>
    </w:p>
    <w:p w14:paraId="3AD2490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председателя: начальника отделения ГУВГМЧ СВГК КА военинженера 2 ранга т. Копылова.</w:t>
      </w:r>
    </w:p>
    <w:p w14:paraId="3048FDA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членов: представителя ГУВГМЧ СВГК КА майора т. Евгеньева,</w:t>
      </w:r>
    </w:p>
    <w:p w14:paraId="7B3763D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представителя АТУ ГАБТУ КА военинженера 3 ранга т. Хальфан,</w:t>
      </w:r>
    </w:p>
    <w:p w14:paraId="16FDA16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представителя НИ полигона ГАБТУ инженер-майора т. Казанского,</w:t>
      </w:r>
    </w:p>
    <w:p w14:paraId="1B25706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представителя завода «Компрессор» т. Васильева В.М.</w:t>
      </w:r>
    </w:p>
    <w:p w14:paraId="065577D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Испытания производить на НИ полигоне ГАБТУ КА (ст. Кубинка) с выездом на трассы, с уча</w:t>
      </w:r>
      <w:r w:rsidRPr="00722885">
        <w:rPr>
          <w:rFonts w:ascii="Times New Roman" w:hAnsi="Times New Roman"/>
          <w:color w:val="000000" w:themeColor="text1"/>
          <w:sz w:val="16"/>
          <w:szCs w:val="16"/>
        </w:rPr>
        <w:softHyphen/>
        <w:t>стием работников полигона и под их руководством.</w:t>
      </w:r>
    </w:p>
    <w:p w14:paraId="17E3E9F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Обеспечение материальной частью, ГСМ, инструментом и водительским составом возлагает</w:t>
      </w:r>
      <w:r w:rsidRPr="00722885">
        <w:rPr>
          <w:rFonts w:ascii="Times New Roman" w:hAnsi="Times New Roman"/>
          <w:color w:val="000000" w:themeColor="text1"/>
          <w:sz w:val="16"/>
          <w:szCs w:val="16"/>
        </w:rPr>
        <w:softHyphen/>
        <w:t>ся на начальника техотдела ГУВГМЧ военинженера 2 ранга т. Белопольского.</w:t>
      </w:r>
    </w:p>
    <w:p w14:paraId="1D94A28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Каждая машина укомплектовывается 2 водителями средней квалификации.</w:t>
      </w:r>
    </w:p>
    <w:p w14:paraId="6A2B9BB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3 отдела ГУВГМЧ военинженер 2 ранга Мрыкин</w:t>
      </w:r>
    </w:p>
    <w:p w14:paraId="26017554"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Начальник 5 отдела АТУ ГАБТУ инженер-полковник Лебедев</w:t>
      </w:r>
    </w:p>
    <w:p w14:paraId="20FED3A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 отделения 3 отдела ГУВГМЧ военинженер 2 ранга Копылов</w:t>
      </w:r>
    </w:p>
    <w:p w14:paraId="6B0BB4F1"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11386. Д. 138. Л. 184-187. Подлинник (11211).</w:t>
      </w:r>
    </w:p>
    <w:p w14:paraId="3B296F9F" w14:textId="77777777" w:rsidR="00AE7191" w:rsidRPr="00722885" w:rsidRDefault="00AE7191" w:rsidP="00722885">
      <w:pPr>
        <w:pStyle w:val="afff2"/>
        <w:jc w:val="both"/>
        <w:rPr>
          <w:i w:val="0"/>
          <w:iCs w:val="0"/>
          <w:color w:val="000000" w:themeColor="text1"/>
          <w:spacing w:val="0"/>
          <w:kern w:val="0"/>
          <w:position w:val="0"/>
          <w:sz w:val="16"/>
          <w:szCs w:val="16"/>
        </w:rPr>
      </w:pPr>
    </w:p>
    <w:p w14:paraId="3FABFA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1942 года была подготовлена справка:</w:t>
      </w:r>
    </w:p>
    <w:p w14:paraId="43A8B0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8ф НКВ – Подлипки Мытищинского района (9265).</w:t>
      </w:r>
    </w:p>
    <w:p w14:paraId="39912531" w14:textId="77777777" w:rsidR="00AE7191" w:rsidRPr="00722885" w:rsidRDefault="00AE7191" w:rsidP="00722885">
      <w:pPr>
        <w:pStyle w:val="Iauiue"/>
        <w:jc w:val="both"/>
        <w:rPr>
          <w:color w:val="000000" w:themeColor="text1"/>
          <w:sz w:val="16"/>
          <w:szCs w:val="16"/>
        </w:rPr>
      </w:pPr>
    </w:p>
    <w:p w14:paraId="104C9D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августа 1942 катеростроители передали флоту 7 катеров типа КМ-5 (10671).</w:t>
      </w:r>
    </w:p>
    <w:p w14:paraId="663668B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05B219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325AA00" w14:textId="77777777" w:rsidR="00AE7191" w:rsidRPr="00722885" w:rsidRDefault="00AE7191" w:rsidP="00722885">
      <w:pPr>
        <w:pStyle w:val="Iauiue"/>
        <w:jc w:val="both"/>
        <w:rPr>
          <w:iCs/>
          <w:color w:val="000000" w:themeColor="text1"/>
          <w:sz w:val="16"/>
          <w:szCs w:val="16"/>
        </w:rPr>
      </w:pPr>
    </w:p>
    <w:p w14:paraId="66F7A8A6"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августа в 1942 году утреннее сообщение Совинформбюро:</w:t>
      </w:r>
    </w:p>
    <w:p w14:paraId="460DE2AA"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5 августа наши войска вели бои с противником в районах Клетская, Цымлянская, Белая Глина, Кущевская.</w:t>
      </w:r>
    </w:p>
    <w:p w14:paraId="1DBD5EFD"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04F1D17A"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упорные бои против немецко-фашистских войск. Н-ская часть отразила четыре атаки противника и уничтожила 6 немецких танков и 450 гитлеровцев. Наши танкисты совместно с пехотой в результате ожесточённого боя нанесли большие потери живой силе и технике противника. Подтянув резервы, немцы предприняли несколько контратак, которые также были отбиты нашими частями.</w:t>
      </w:r>
    </w:p>
    <w:p w14:paraId="4BFDE65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Цымлянской наши войска вели оборонительные бои с танками и мотопехотой противника. После упорных боёв наши части на одном участке отошли на новые позиции. Активно действует наша авиация. Советские истребители и штурмовики днём и ночью наносят непрерывные удары по войскам противника.</w:t>
      </w:r>
    </w:p>
    <w:p w14:paraId="6679D00C"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Белой Глины наши войска вели тяжёлые бои с прорвавшимися танками и моторизованными частями противника. По приказу командования наши части отошли на новые оборонительные позиции.</w:t>
      </w:r>
    </w:p>
    <w:p w14:paraId="6A2F4AA7"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Кущевской наши войска отбивают атаки превосходящих сил противника и наносят ему тяжёлые потери. Только одно наше пехотное соединение уничтожило 6 немецких танков, 14 орудий, 22 пулемёта, 17 миномётов и до 550 вражеских солдат и офицеров. На другом участке наши кавалеристы внезапно атаковали противника. По предварительным и неполным данным, в этих боях уничтожено до 3.000 солдат и офицеров противника.</w:t>
      </w:r>
    </w:p>
    <w:p w14:paraId="334FD0E5"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Воронежском фронте велась редкая артиллерийская и ружейно-пулемётнаяперестрелка. Наша разведывательная группа, переправившись на западный берег реки Дон, вступила в бой с противником и уничтожила 60 немецких солдат, 3 офицеров и захватила пленных. Действиями нашей авиации уничтожено 24 немецких автомашины, 4 зенитных орудия, 2 речных переправы и истреблено до взвода немецкой пехоты.</w:t>
      </w:r>
    </w:p>
    <w:p w14:paraId="180DAE12"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Волховском фронте огнём нашей артиллерии, миномётов и снайперов уничтожено свыше 300 гитлеровцев. Противник отвечал беспорядочным ружейно-пулемётным и миномётным огнём.</w:t>
      </w:r>
    </w:p>
    <w:p w14:paraId="5FDBA9F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тов. С, действующий в одном из районов Сумской области, напал на роту гестаповцев. Партизаны истребили 98 солдат и 5 офицеров противника, уничтожили 3 автомашины с военным имуществом, склад с боеприпасами и захватили трофеи.</w:t>
      </w:r>
    </w:p>
    <w:p w14:paraId="0913BF13"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Новограде-Волынском партизаны сожгли недавно восстановленный немцами завод.</w:t>
      </w:r>
    </w:p>
    <w:p w14:paraId="5595EFAD"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Пробравшийся из немецкого тыла в расположение наших войск советский гражданин Бобцов Г. Я. рассказал: «В гор. Слуцке, Ленинградской области, осталось очень мало населения. Немцы замучили и расстреляли большинство жителей, а многих угнали в глубокий тыл. Фашистские бандиты разрушили и полностью разграбили Павловский дворец. Ценности, картины, вазы и статуи грабители вывезли в Германию. Деревья великолепного парка вырублены. В городе свирепствует голод. На улицах можно видеть трупы людей, умерших от истощения. В Слуцком концентрационном лагере томятся сотни мирных жителей, обречённых на смерть. Им изредка приносят отбросы из солдатских кухонь. Ежедневно из лагеря выносят несколько трупов умерших от голода».</w:t>
      </w:r>
    </w:p>
    <w:p w14:paraId="7418AD64"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гавани Остенде (Бельгия) произошли взрывы на двух немецких сторожевых судах. Одно судно вскоре затонуло. Там же взорван немецкий военный склад. Немецкие оккупационные власти произвели аресты среди бельгийских грузчиков.</w:t>
      </w:r>
    </w:p>
    <w:p w14:paraId="71C0C498"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одной текстильной фабрике в Пабьяницах (Польша) эсэсовцы повесили в цехе 8 поляков за протест против произвола и бесчинств немецкой администрации. Три дня висели трупы повешенных. Возмущённые этим неслыханным издевательством польские рабочие поломали оборудование, разгромили контору и бросили работу.» (14974).</w:t>
      </w:r>
    </w:p>
    <w:p w14:paraId="0B42F162"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22330150"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августа в 1942 году вечернее сообщение Совинформбюро:</w:t>
      </w:r>
    </w:p>
    <w:p w14:paraId="19C62332"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5 августа наши войска вели ожесточённые бои в районах Клетская, Котельниково, южнее Белая Глина и южнее Кущевская.</w:t>
      </w:r>
    </w:p>
    <w:p w14:paraId="6140F36E"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13C79AA1"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4 августа частями нашей авиации на различных участках фронта уничтожено или повреждено до 40 немецких танков, более 200 автомашин с войсками и грузами, до 100 повозок с боеприпасами, 4 автоцистерны с горючим, взорвано 4 склада боеприпасов и склад горючего, подавлен огонь 20 батарей полевой и зенитной артиллерии, рассеяно и частью уничтожено до четырёх рот пехоты противника.</w:t>
      </w:r>
    </w:p>
    <w:p w14:paraId="6B83D9E5"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бои с противником. Немецкая пехота при поддержке танков и бронемашин несколько раз атаковала наши позиции. Наши бойцы стойко выдержали удары немцев и отбили их атаки. Противник потерял в этих боях 8 танков и до 1.200 солдат и офицеров. Южнее Клетской произошёл танковый бой, в ходе которого советские танкисты сожгли и подбили 13 немецких танков.</w:t>
      </w:r>
    </w:p>
    <w:p w14:paraId="3C4B0401"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Ожесточённые бои происходили в районе Котельникова. Сосредоточив крупные силы, противник непрерывно атакует наши позиции. Ценой больших потерь ему удалось несколько продвинуться вперёд. У одного населённого пункта завязался упорный бой. Пункт несколько раз переходил из рук в руки. По неполным данным, на этом участке уничтожено 12 танков, 28 автомашин и свыше 400 гитлеровцев.</w:t>
      </w:r>
    </w:p>
    <w:p w14:paraId="24E55DBA"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Белой Глины наши войска вели напряжённые оборонительные бои с танками и мотопехотой противника. На одном из участков после упорного боя наши части отошли на новые рубежи. На другом участке крупный отряд автоматчиков противника прорвался в тыл нашей части. Быстро принятыми мерами немецкие автоматчики были окружены и полностью уничтожены. В районе южнее Кущевской наши войска отбивали многочисленные атаки противника. Только на участке Н-ской части уничтожено 6 немецких танков, 4 орудия и 26 пулемётов. На поле боя осталось свыше 600 трупов солдат и офицеров противника.</w:t>
      </w:r>
    </w:p>
    <w:p w14:paraId="0E49675D"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действия авиации и редкая артиллерийская перестрелка. Семь скоростных советских бомбардировщиков под руководством тов. Перлика разрушили переправу противника через реку. Группа лётчиков во главе с тов. Артёмовым совершила налёт на вражеский аэродром. В результате налёта взорван склад с боеприпасами и возникло 18 очагов пожаров. В воздушных боях сбито 2 немецких самолёта.</w:t>
      </w:r>
    </w:p>
    <w:p w14:paraId="310F1681"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Карельском фронте группа лётчиков части, где командиром тов. Белоусов, произвела внезапный налёт на аэродром противника. Уничтожено 14 немецких самолётов. Несколько позднее лётчики этой же части совместно с лётчиками командира тов. Фомина совершили ещё один налёт на аэродром противника, на котором находилось 12 «Мессершмиттов-109». Два немецких самолёта, пытавшиеся подняться, были сбиты пилотами тт. Чебичковым и Бакулиным. Всего во время этого налёта было уничтожено 7 немецких истребителей.</w:t>
      </w:r>
    </w:p>
    <w:p w14:paraId="2ADF23CA"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из отряда тов. Т., действующего в Ленинградской области, пустила под откос немецкий воинский эшелон. Полностью разбито 14 пассажирских и 10 товарных вагонов. На протяжении 150 метров повреждён железнодорожный путь. Убито и ранено свыше 300 немецко-фашистских оккупантов.</w:t>
      </w:r>
    </w:p>
    <w:p w14:paraId="4D6CB674"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лётчик 4 немецкой истребительной эскадры унтер-офицер Вилли Треттер рассказал: «Я только на днях прибыл на фронт. Русские лётчики сбили меня в первом же воздушном бою. Наши старые лётчики говорят, что сражаться с русскими лётчиками становится всё труднее. Нам всё время говорили, что авиация русских уничтожена. Сообщения о налётах советских самолётов на Кёнигсберг произвели поэтому очень сильное впечатление. Говорят, что русские бомбардировщики причинили большие разрушения военным объектам».</w:t>
      </w:r>
    </w:p>
    <w:p w14:paraId="5EA05136"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Немецкому солдату Вальтеру Шерпену пишет Курт Геренленг из Саарской области: «Война высасывает из нас все соки. Работать приходится до тех пор, пока не сломится хребет, а жрать нечего. Всё, что у крестьян есть, у них отняли, но жаловаться нельзя. Горе тому, кто сболтнёт что-нибудь лишнее. Его назовут критиканом, и тогда он пропал».</w:t>
      </w:r>
    </w:p>
    <w:p w14:paraId="475872FD"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патриоты вывели из строя большой прокатный стан и три мартеновские печи на сталелитейном заводе в окрестностях города Ирсон. На суконной фабрике в Камбрэ неизвестными был подожжён склад готовой продукции. Огнём уничтожено 30 тысяч метров ткани, подготовленной к отправке в Германию.» (14974).</w:t>
      </w:r>
    </w:p>
    <w:p w14:paraId="27401CBE"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619B6DC7" w14:textId="77777777" w:rsidR="00907F56" w:rsidRPr="00722885" w:rsidRDefault="00907F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августа в 1942 году Ставка ВГК разделила Сталинградский фронт на Сталинградский и Юго-Восточный фронты (28 сентября они соответственно переименованы в Донской и Сталинградский фронты). 9 августа Ставка ВГК подчинила командующему Юго-Восточным фронтом Сталинградский фронт, передала в его оперативное подчинение Волжскую военную флотилию, а 15-16 августа - также Сталинградский ВО и Сталинградский корпусной район ПВО. Командующий - генерал-полковник А.И.Еременко, члены Военного совета - бригадный комиссар В.М.Лайок (август 1942), Н.С.Хрущев (август - сентябрь 1942), начальник штаба - генерал-майор Г.Ф.Захаров. Советские войска оставили город Ставрополь.Из района Котельниковский советские войска отошли на северный берег реки Аксай. Перейдя в наступление (4 августа), войска Западного фронта к исходу дня расширили прорыв главной полосы обороны противника до 30 км по фронту и 25 км в глубину (14974).</w:t>
      </w:r>
    </w:p>
    <w:p w14:paraId="22CF5372" w14:textId="77777777" w:rsidR="00907F56" w:rsidRPr="00722885" w:rsidRDefault="00907F56" w:rsidP="00722885">
      <w:pPr>
        <w:spacing w:after="0" w:line="240" w:lineRule="auto"/>
        <w:jc w:val="both"/>
        <w:rPr>
          <w:rFonts w:ascii="Times New Roman" w:hAnsi="Times New Roman"/>
          <w:color w:val="000000" w:themeColor="text1"/>
          <w:sz w:val="16"/>
          <w:szCs w:val="16"/>
        </w:rPr>
      </w:pPr>
    </w:p>
    <w:p w14:paraId="06C102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1940 Верховное главнокомандование разделило СталинградскийФ на два: СФ и Ю-ВФ. 8ВА вошла в состав Ю-ВФ, а для СФ решили сформировать 16ВА (сначала командовал П.С.Степанов, а с 28 сентября - С.И.Руденко) (340,93).</w:t>
      </w:r>
    </w:p>
    <w:p w14:paraId="3582EFB0" w14:textId="77777777" w:rsidR="00AE7191" w:rsidRPr="00722885" w:rsidRDefault="00AE7191" w:rsidP="00722885">
      <w:pPr>
        <w:pStyle w:val="Iauiue"/>
        <w:jc w:val="both"/>
        <w:rPr>
          <w:color w:val="000000" w:themeColor="text1"/>
          <w:sz w:val="16"/>
          <w:szCs w:val="16"/>
        </w:rPr>
      </w:pPr>
    </w:p>
    <w:p w14:paraId="7B31FBFD"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5 августа 1942 немцы взяли Ворошиловск (Ставрополь) (4962).</w:t>
      </w:r>
    </w:p>
    <w:p w14:paraId="479D1CEF" w14:textId="77777777" w:rsidR="00AE7191" w:rsidRPr="00722885" w:rsidRDefault="00AE7191" w:rsidP="00722885">
      <w:pPr>
        <w:pStyle w:val="Iauiue"/>
        <w:tabs>
          <w:tab w:val="left" w:pos="11199"/>
        </w:tabs>
        <w:jc w:val="both"/>
        <w:rPr>
          <w:color w:val="000000" w:themeColor="text1"/>
          <w:sz w:val="16"/>
          <w:szCs w:val="16"/>
        </w:rPr>
      </w:pPr>
    </w:p>
    <w:p w14:paraId="1B17744F"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августа 1942 г.</w:t>
      </w:r>
    </w:p>
    <w:p w14:paraId="6DD5C3C0"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КОМАНДУЮЩЕГО ВОЕННО-ВОЗДУШНЫМИ СИЛАМИ КРАСНОЙ АРМИИ № 0148 ОТ 5 АВГУСТА 1942 г. О ПОДГОТОВКЕ ВОЕННО-ВОЗДУШНЫХ СИЛ КРАСНОЙ АРМИИ К ЗИМЕ</w:t>
      </w:r>
    </w:p>
    <w:p w14:paraId="3CC3A0C6"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37FBA7DE"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ВОЕННО-ВОЗДУШНЫМ СИЛАМ КРАСНОЙ АРМИИ № 0148</w:t>
      </w:r>
    </w:p>
    <w:p w14:paraId="4C63C49E"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августа 1942 г.</w:t>
      </w:r>
      <w:r w:rsidRPr="00722885">
        <w:rPr>
          <w:rFonts w:ascii="Times New Roman" w:hAnsi="Times New Roman"/>
          <w:color w:val="0070C0"/>
          <w:sz w:val="16"/>
          <w:szCs w:val="16"/>
        </w:rPr>
        <w:tab/>
        <w:t>г. М о с к в а</w:t>
      </w:r>
    </w:p>
    <w:p w14:paraId="2A7ABA7D"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Содержание. О "подготовке Военно-воздушных сил Красной Армии для работы в зимних условиях.</w:t>
      </w:r>
    </w:p>
    <w:p w14:paraId="41512620"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обеспечения работы частей Военно-воздушных сил Красной Армии в зимних условиях ПРИКАЗЫВАЮ:</w:t>
      </w:r>
    </w:p>
    <w:p w14:paraId="613075DC"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Командующим воздушными армиями, военно-воздушными силами фронтов, округов и [командирам] отдельных авиационных дивизий Главного Командования по получении настоящего приказа немедленно приступить к подготовке частей военно-воздушных сил к зимней эксплуатации, для чего:</w:t>
      </w:r>
    </w:p>
    <w:p w14:paraId="1B2669C4"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Проверить обеспеченность частей зимним летным и техническим обмундированием, готовность его к носке, как требовала директива Начальника тыла Военно-воздушных сил Красной Армии № 423415с от 11 марта 1942 г.</w:t>
      </w:r>
    </w:p>
    <w:p w14:paraId="2BB44CCF"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Ремонт полностью закончить к 1 сентября 1942 г.</w:t>
      </w:r>
    </w:p>
    <w:p w14:paraId="3EF37B6A"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На аэродромах базирования и запасных аэродромах подготовить отапливаемые землянки для жилья и обогрева летного и технического состава, для мелких ремонтных работ, материальной части, подготовки оружия и боеприпасов к бою, для хранения технического имущества, портящегося при низких температурах.</w:t>
      </w:r>
    </w:p>
    <w:p w14:paraId="1DD25FA9"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Особое внимание обратить на подготовку летных полей к осенне-зимней эксплуатации в соответствии с указаниями начальника Управления аэродромного строительства Военно-воздушных сил Красной Армии № 3327 от 30 июня 1942 г.</w:t>
      </w:r>
    </w:p>
    <w:p w14:paraId="2AAC9B2E"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Привести в полную исправность средства механизации по подготовке аэродромов к эксплуатации самолетов на колесах в зимнее время;</w:t>
      </w:r>
    </w:p>
    <w:p w14:paraId="3ACA03CF"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недостающие катки, гладилки и другие механизмы изготовить своими средствами. Отремонтировать весь наличный тракторный парк.</w:t>
      </w:r>
    </w:p>
    <w:p w14:paraId="7300FCB4"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Подготовить к осенней распутице подъездные пути к аэродромам, бензохранилищам и складам, а также подготовить средства для очистки э4их путей от снега в зимнее время. Срок [исполнения] 1 сентября 1942 г.</w:t>
      </w:r>
    </w:p>
    <w:p w14:paraId="07EB83CC"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Привести в полный порядок и подготовить к эксплуатации стационарные водомаслогрейки.</w:t>
      </w:r>
    </w:p>
    <w:p w14:paraId="712BED11"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Проверить обеспеченность частей водомаслозаправщиками, маслозаправщиками, бензозаправщиками и бензоцистернами, гончарками, автостартерами, зарядно-аккумуляторными станциями, средствами подогрева моторов на самолетах. Подобрать и укомплектовать [лампами] АПЛ-1, трубами подачи теплого воздуха по типам самолетов и проверить подгонку этих труб к самолетам. Прекратить эксплуатацию водомаслозаправщиков и маслозаправщиков до наступления холодов. Неисправные средства заправки, запуска и подогрева отремонтировать, испытать и распределить по [авиационным] полкам. Гончарки 1 установить на лыжи.</w:t>
      </w:r>
    </w:p>
    <w:p w14:paraId="3D329BB6"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Особое внимание обращаю на тщательную подготовку средств подогрева моторов к импортным самолетам.</w:t>
      </w:r>
    </w:p>
    <w:p w14:paraId="598C7CBE"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 наличии и состоянии указанного выше имущества донести через Начальника тыла Военно-воздушных сил Красной Армии к 10 сентября 1942 г. по состоянию на 1 сентября 1942 г.</w:t>
      </w:r>
    </w:p>
    <w:p w14:paraId="7D9A66E0"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Выделить в каждом [авиационном] полку и [в каждом] батальоне аэродромного обслуживания из наличного состава специальных людей для содержания и подготовки средств к действию, а также ухода за ними, обучив и натренировав личный состав в подготовке к действию и управлению этими средствами.</w:t>
      </w:r>
    </w:p>
    <w:p w14:paraId="2769A81F"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батальонах аэродромного обслуживания подготовить водительский состав к зимней эксплуатации спецмашин, обратив особое внимание на тренировку личного состава по безаварийному обслуживанию материальной части.</w:t>
      </w:r>
    </w:p>
    <w:p w14:paraId="1B6373C6"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Проверить наличие зимних чехлов для моторов, аккумуляторов и аэрофотоаппаратов. Неисправные чехлы отремонтировать и доукомплектовать до полного удовлетворения потребности частей.</w:t>
      </w:r>
    </w:p>
    <w:p w14:paraId="515D237C"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Подготовить самолеты, моторы, вооружение и специальное оборудование к зимней эксплуатации в соответствии с указаниями Управления технической эксплуатации Военно-воздушных сил Красной Армии по каждому типу самолетов.</w:t>
      </w:r>
    </w:p>
    <w:p w14:paraId="7D271A7E"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Начальнику Управления технической эксплуатации Военно-воздушных сил Красной Армии разработать указания об эксплуатации материальной части в зимних условиях и разослать в части к 1 сентября 1942 г.</w:t>
      </w:r>
    </w:p>
    <w:p w14:paraId="60305ACB"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Проверить состояние лыж, неисправные отремонтировать и доукомплектовать недостающими деталями.</w:t>
      </w:r>
    </w:p>
    <w:p w14:paraId="3A1803E0"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В донесениях о лыжах (по состоянию на 1 сентября 1942 г.), представляемых по моему приказу № 086, указать, сколько комплектов лыж полностью укомплектовано, сколько не укомплектовано и чего недостает для их укомплектования. Указать обеспеченность лыжами и зимними чехлами по отношению к самолетному парку по типам самолетов.</w:t>
      </w:r>
    </w:p>
    <w:p w14:paraId="465971F4"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Для обеспечения ремонта материальной части в полевых условиях придать каждому ПАРМ-1 по одной отепленной палатке.</w:t>
      </w:r>
    </w:p>
    <w:p w14:paraId="707585B7"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Заготовить потребное количество пускового топлива, антифриза, зимних масел и низкозастывающих смесей для амортизационных стоек гидросистем.</w:t>
      </w:r>
    </w:p>
    <w:p w14:paraId="6797A2C8"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Подготовить средства зимней маскировки самолетов. Маскировку производить в зависимости от выпадения снега согласно инструкции Военно-воздушных сил Красной Армии но маскировке самолетов в зимнее время.</w:t>
      </w:r>
    </w:p>
    <w:p w14:paraId="3F4CC2AD"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Срок подготовки к эксплуатации материальной части самолетов в зимних условиях для северных и западных фронтов и округов и для 1-й воздушной армии, а также для Дальневосточного и Забайкальского фронта и Сибирского военного округа — 1 октября 1942 г., для остальных фронтов и округов — 10 октября 1942 г.</w:t>
      </w:r>
    </w:p>
    <w:p w14:paraId="7ED52F86"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Произвести ремонт и тщательную подготовку овощехранилищ для закладки овощей, а также подготовить жилые и служебные здания</w:t>
      </w:r>
    </w:p>
    <w:p w14:paraId="538D2F39"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зимы. Срок [исполнения] 1 сентября 1942 г.</w:t>
      </w:r>
    </w:p>
    <w:p w14:paraId="6A598E2C"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16. Закончить заготовку топлива на зимний период к 10 октября 1942 г.</w:t>
      </w:r>
    </w:p>
    <w:p w14:paraId="08B0207A"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Начальнику тыла Военно-воздушных сил Красной Армии, Главному инженеру ц начальнику Главного Управления заказов и технического снабжения принять все необходимые меры к обеспечению боевых действий авиации в зимних условиях.</w:t>
      </w:r>
    </w:p>
    <w:p w14:paraId="67DAB0C6"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 ходе выполнения настоящего приказа докладывать мне ежемесячно 30 числа.</w:t>
      </w:r>
    </w:p>
    <w:p w14:paraId="4BBC8E92"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Временно исполняющий должность Командующего Военно-воздушными силами Красной Армии генерал-лейтенант авиации</w:t>
      </w:r>
    </w:p>
    <w:p w14:paraId="1BB64D6F"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ФАЛАЛЕЕВ</w:t>
      </w:r>
    </w:p>
    <w:p w14:paraId="3BC55F5C"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Член Военного Совета Военно-воздушных сил Красной Армии дивизионный комиссар</w:t>
      </w:r>
    </w:p>
    <w:p w14:paraId="1DE82391"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РУДЕНКО</w:t>
      </w:r>
    </w:p>
    <w:p w14:paraId="6DA92EAA"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Временно исполняющий должность Начальника штаба Военно-воздушных сил Красной Армии генерал-майор авиации</w:t>
      </w:r>
    </w:p>
    <w:p w14:paraId="0E702A6B"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Короленко</w:t>
      </w:r>
    </w:p>
    <w:p w14:paraId="00180BB0" w14:textId="77777777" w:rsidR="001E4C3E" w:rsidRPr="00722885" w:rsidRDefault="001E4C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Архив МО. Ф. 35, оп. 30807сс, д. 22, лл. 95—96 (20614).</w:t>
      </w:r>
    </w:p>
    <w:p w14:paraId="358516FC" w14:textId="77777777" w:rsidR="001E4C3E" w:rsidRPr="00722885" w:rsidRDefault="001E4C3E" w:rsidP="00722885">
      <w:pPr>
        <w:spacing w:after="0" w:line="240" w:lineRule="auto"/>
        <w:jc w:val="both"/>
        <w:rPr>
          <w:rFonts w:ascii="Times New Roman" w:hAnsi="Times New Roman"/>
          <w:color w:val="0070C0"/>
          <w:sz w:val="16"/>
          <w:szCs w:val="16"/>
        </w:rPr>
      </w:pPr>
    </w:p>
    <w:p w14:paraId="716BD8C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16785CF" w14:textId="77777777" w:rsidR="00AE7191" w:rsidRPr="00722885" w:rsidRDefault="00AE7191" w:rsidP="00722885">
      <w:pPr>
        <w:pStyle w:val="Iauiue"/>
        <w:jc w:val="both"/>
        <w:rPr>
          <w:iCs/>
          <w:color w:val="000000" w:themeColor="text1"/>
          <w:sz w:val="16"/>
          <w:szCs w:val="16"/>
        </w:rPr>
      </w:pPr>
    </w:p>
    <w:p w14:paraId="0B852F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августа 1942 Англия отменила мюнхенское соглашение (3481).</w:t>
      </w:r>
    </w:p>
    <w:p w14:paraId="0F79C258" w14:textId="77777777" w:rsidR="00AE7191" w:rsidRPr="00722885" w:rsidRDefault="00AE7191" w:rsidP="00722885">
      <w:pPr>
        <w:pStyle w:val="Iauiue"/>
        <w:jc w:val="both"/>
        <w:rPr>
          <w:color w:val="000000" w:themeColor="text1"/>
          <w:sz w:val="16"/>
          <w:szCs w:val="16"/>
        </w:rPr>
      </w:pPr>
    </w:p>
    <w:p w14:paraId="4D21579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32A7A2D" w14:textId="77777777" w:rsidR="00AE7191" w:rsidRPr="00722885" w:rsidRDefault="00AE7191" w:rsidP="00722885">
      <w:pPr>
        <w:pStyle w:val="Iauiue"/>
        <w:jc w:val="both"/>
        <w:rPr>
          <w:iCs/>
          <w:color w:val="000000" w:themeColor="text1"/>
          <w:sz w:val="16"/>
          <w:szCs w:val="16"/>
        </w:rPr>
      </w:pPr>
    </w:p>
    <w:p w14:paraId="5F9DD1E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года было подготовлено письмо:</w:t>
      </w:r>
    </w:p>
    <w:p w14:paraId="448AAF0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КОМАНДУЮЩЕМУ ВВС КРАСНОЙ АРМИИ Генерал-лейтенанту т» НОВИКОВУ</w:t>
      </w:r>
    </w:p>
    <w:p w14:paraId="1768D7F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время бесед с летчиками и командирами авиа</w:t>
      </w:r>
      <w:r w:rsidRPr="00722885">
        <w:rPr>
          <w:rFonts w:ascii="Times New Roman" w:hAnsi="Times New Roman"/>
          <w:color w:val="000000" w:themeColor="text1"/>
          <w:sz w:val="16"/>
          <w:szCs w:val="16"/>
        </w:rPr>
        <w:softHyphen/>
        <w:t>частей, а также при посещениях аэродромов - было выявлено, что в самолетах Як-1 и Ил-2 имеется ряд заводских недочетов, устранение которых возможно и необходимо для повышения летно-тактических качеств этих самолетов.</w:t>
      </w:r>
    </w:p>
    <w:p w14:paraId="2C32CCD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Направляю Вам вжсказанные летчиками пожелания об устранении наиболее заметных заводских недочетов</w:t>
      </w:r>
    </w:p>
    <w:p w14:paraId="33E93C5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п/п.</w:t>
      </w:r>
    </w:p>
    <w:p w14:paraId="15BC55C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(БУЛГАНИН)</w:t>
      </w:r>
    </w:p>
    <w:p w14:paraId="7532B4E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КОПИЯ ВЕРНА:</w:t>
      </w:r>
    </w:p>
    <w:p w14:paraId="35525842" w14:textId="77777777" w:rsidR="00AE7191" w:rsidRPr="00722885" w:rsidRDefault="00AE7191" w:rsidP="00722885">
      <w:pPr>
        <w:shd w:val="clear" w:color="auto" w:fill="FFFFFF"/>
        <w:spacing w:after="0" w:line="240" w:lineRule="auto"/>
        <w:jc w:val="both"/>
        <w:rPr>
          <w:rFonts w:ascii="Times New Roman" w:hAnsi="Times New Roman"/>
          <w:smallCaps/>
          <w:color w:val="000000" w:themeColor="text1"/>
          <w:sz w:val="16"/>
          <w:szCs w:val="16"/>
        </w:rPr>
      </w:pPr>
      <w:r w:rsidRPr="00722885">
        <w:rPr>
          <w:rFonts w:ascii="Times New Roman" w:hAnsi="Times New Roman"/>
          <w:color w:val="000000" w:themeColor="text1"/>
          <w:sz w:val="16"/>
          <w:szCs w:val="16"/>
        </w:rPr>
        <w:t>Инженер- 1-го Отдела Управления Технич.3ксплоат. ВВС КА (Черемных) (1633,227)</w:t>
      </w:r>
    </w:p>
    <w:p w14:paraId="3310B6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года была подготовлена справка:</w:t>
      </w:r>
    </w:p>
    <w:p w14:paraId="232764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Заводские дефекты по штурмовикам и истребителям</w:t>
      </w:r>
    </w:p>
    <w:p w14:paraId="393742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Из опроса летчиков и командиров частей</w:t>
      </w:r>
    </w:p>
    <w:p w14:paraId="180051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выявлен ряд недочетов в самолетах</w:t>
      </w:r>
    </w:p>
    <w:p w14:paraId="5F4332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самолету Як-1</w:t>
      </w:r>
    </w:p>
    <w:p w14:paraId="3000CF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У самолета Як-1 желательно иметь разъемные плоскости, сделав это по типу И-16 или МИГ-3, усилить боковые капоты, изменить защелки на капотах, так как бывают случаи, когда во время пикирования слетают капоты.</w:t>
      </w:r>
    </w:p>
    <w:p w14:paraId="2A169A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Усилить фонарь, так как во время скорости 500 км в 1 час фонарь иногда срывается, самолет желательно обеспечить связью.</w:t>
      </w:r>
    </w:p>
    <w:p w14:paraId="40294A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У Як-1 плохо просматривается задняя полусфера, надо правее прицела поставить опускающееся и поднимающееся зеркало, чтобы можно было видеть хвост самолета.</w:t>
      </w:r>
    </w:p>
    <w:p w14:paraId="0B120C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У Як-1 плохая воздушная система, целесообразно взять типовой образец с ЛАГГ и перенести на Як-1.</w:t>
      </w:r>
    </w:p>
    <w:p w14:paraId="4E6565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Поднять качество монтажа самолета, желательно взять систему ЛАГГ. Монтаж Саратовского завода плохой.</w:t>
      </w:r>
    </w:p>
    <w:p w14:paraId="22F8A4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Летный состав ставит вопрос о снятии с самолетов Як-7 кислородных баллонов, так как полеты ведутся не выше 3-4 тысяч метров, а баллоны увеличивают вес самолета и опасны вследствие возможности взрыва их в боевой обстановке.</w:t>
      </w:r>
    </w:p>
    <w:p w14:paraId="37CED2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На машинах Як-7 установлены зимние радиаторы, имеющие толстые стенки и крупные соты, в результате чего греются моторы часто до 100 градусов.</w:t>
      </w:r>
    </w:p>
    <w:p w14:paraId="147ADB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Неудобный подвод питания к правому пулемету ШКАС, от чего происходят задержки, набегание, заклинивание ленты.</w:t>
      </w:r>
    </w:p>
    <w:p w14:paraId="484A01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Пневмоперезарядка пушки ШВАК (перекрывной клапан) отказывает, летят прокладки и т.д.</w:t>
      </w:r>
    </w:p>
    <w:p w14:paraId="5A3B43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Пневмоперезарядка пулеметов ШКАС неудовлетворительна. Не обеспечивает перезарядку при заряженных пулеметах. Трубочки подвода воздуха к пулемету лучше сделать эластичными.</w:t>
      </w:r>
    </w:p>
    <w:p w14:paraId="2E88BC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Недоработана конструкция включения и выключения синхронизатора, тросовая проводка в бауденах болтается, ролики и рычаги создают свободные хода. Желательна электромагнитная система включения и выключения синхронизатора.</w:t>
      </w:r>
    </w:p>
    <w:p w14:paraId="4EA875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Очень часто отказывает механизм пневмопуска, нет регулятора давления воздуха.</w:t>
      </w:r>
    </w:p>
    <w:p w14:paraId="2FB25C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самолету Ил-2.</w:t>
      </w:r>
    </w:p>
    <w:p w14:paraId="68889A7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Немедленно устранить недостатки в замке Дер-31, которые при подвеске на них ФАБ-100 от электропуска срабатывают на все (электромагниты замка не притягивают к себе якорь, который в свою очередь не освобождает поддерживающий бомбу рычаг. Бомба с самолета не сбрасывается).</w:t>
      </w:r>
    </w:p>
    <w:p w14:paraId="5B99F9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2. Замок бомбодержателя Дер-21 во время пикирования работает только в момент окончательного выхода самолета из пике, а надо, чтобы он срабатывал в момент пике под углом 30-35 градусов. В 606 ШАП"е его переделали и перестановкой винта, ограничивающего вращение несущего рычага, достигли положения, что бомба отрывается от машины в момент, когда это требуется.</w:t>
      </w:r>
    </w:p>
    <w:p w14:paraId="3D1501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Сверку центроплана над пиропистолетом бомбодержателя ДЕР-31, необходимо сделать люк для удобства съемки пиропистолета и завертывания гайки затвора.</w:t>
      </w:r>
    </w:p>
    <w:p w14:paraId="69F07B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Установить специальный прицел, так как имеющийся, во время пикирования, цели не показывает, она закрывается мотором.</w:t>
      </w:r>
    </w:p>
    <w:p w14:paraId="49CF7C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Определить точнее угол пикирования Ил-2 для внутренних и внешних подвесок отдельно.</w:t>
      </w:r>
    </w:p>
    <w:p w14:paraId="37EB24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Изменить предохранительную стенку люка, так как о стенку во время сбрасывания 100 кг бомбы, может удариться и смяться ветряк, отчего не произойдет взрыва.</w:t>
      </w:r>
    </w:p>
    <w:p w14:paraId="52D736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Сделать Ил-2 двухместным самолетом, бак с бензином, который занимает второе место, переконструировать в центроплан.</w:t>
      </w:r>
    </w:p>
    <w:p w14:paraId="254ECA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Слабое место Ил-2 - хвост. Нельзя ли поставить 1-2 пулемета, чтобы можно было стрелять через хвост.</w:t>
      </w:r>
    </w:p>
    <w:p w14:paraId="5AB7F2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Продумать вопрос о броне самолета, т.к. сегодняшнюю бронь пробивает пуля.</w:t>
      </w:r>
    </w:p>
    <w:p w14:paraId="5DDC99C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Вместо броневого железа кабины ставить небьющееся стекло, что увеличит обзор как воздушного, так и наземного противника.</w:t>
      </w:r>
    </w:p>
    <w:p w14:paraId="7304B1D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На Ил-2 установлены зимние жиклеры. Это дает увеличение расхода горючего на 30-40 кг в час на 1 мотор, чем сокращается время пребывания самолета в воздухе и радиус его действия. Запасные жиклеры также зимние.</w:t>
      </w:r>
    </w:p>
    <w:p w14:paraId="1626C4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Установить на самолетах приспособление, изобретенное инженером Кривицким для самоперезарядки пушки Волкова-Ярцева при задержках - неотдача без участия летчика.</w:t>
      </w:r>
    </w:p>
    <w:p w14:paraId="684DE6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 На затыльнике пушки Волкова-Ярцева раззенковку для штифта затыльника делать с обеих сторон, что даст возможность снимать затыльник без снятия пушки с установки.</w:t>
      </w:r>
    </w:p>
    <w:p w14:paraId="0F8801F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моторам.</w:t>
      </w:r>
    </w:p>
    <w:p w14:paraId="6FC048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Моторы на Ил-2 и Як-7 по единодушному отзыву летного и технического состава - низкого качества и часто выходят из строя.</w:t>
      </w:r>
    </w:p>
    <w:p w14:paraId="3E9EED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Основные дефекты: плохое качество металла блоков, быстрое изнашивание бронзовых шестерен распределительных валиков, выхлопных и всасывающих клапанов, завальцовка цилиндров (1633,228).</w:t>
      </w:r>
    </w:p>
    <w:p w14:paraId="71FD9B9B" w14:textId="77777777" w:rsidR="00AE7191" w:rsidRPr="00722885" w:rsidRDefault="00AE7191" w:rsidP="00722885">
      <w:pPr>
        <w:pStyle w:val="Iauiue"/>
        <w:jc w:val="both"/>
        <w:rPr>
          <w:color w:val="000000" w:themeColor="text1"/>
          <w:sz w:val="16"/>
          <w:szCs w:val="16"/>
        </w:rPr>
      </w:pPr>
    </w:p>
    <w:p w14:paraId="294775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вышел приказ НКАП N 593сс во исполнение постановления ГКО N 2092 от 25 июля 1942:</w:t>
      </w:r>
    </w:p>
    <w:p w14:paraId="356DFB3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Директору завода 23 Кузину и ГИ С.В.И.:</w:t>
      </w:r>
    </w:p>
    <w:p w14:paraId="574AB6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закончить немедленно 2-ве деревянных консоли к самолету ДБ-3Ф с М-88, установить на самолет и закончить летные испытания к 20 августа 1942</w:t>
      </w:r>
    </w:p>
    <w:p w14:paraId="6856D0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ГК С.В.И. установить деревянные консоли на самолет ДБ-3Ф с М-82 к 10 августа и закончить заводские испытания к 1 сентября 1942" (1581,56).</w:t>
      </w:r>
    </w:p>
    <w:p w14:paraId="658599CA" w14:textId="77777777" w:rsidR="00AE7191" w:rsidRPr="00722885" w:rsidRDefault="00AE7191" w:rsidP="00722885">
      <w:pPr>
        <w:pStyle w:val="Iauiue"/>
        <w:jc w:val="both"/>
        <w:rPr>
          <w:color w:val="000000" w:themeColor="text1"/>
          <w:sz w:val="16"/>
          <w:szCs w:val="16"/>
        </w:rPr>
      </w:pPr>
    </w:p>
    <w:p w14:paraId="5169D8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вышло постановление ГКО N 2144сс "О средствах обеспечения самолетовождения" (1580,10).</w:t>
      </w:r>
    </w:p>
    <w:p w14:paraId="649782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Там было и о выпуске Пе-2 оборудованному АК-1 (1778,229).</w:t>
      </w:r>
    </w:p>
    <w:p w14:paraId="236EAE26" w14:textId="77777777" w:rsidR="00AE7191" w:rsidRPr="00722885" w:rsidRDefault="00AE7191" w:rsidP="00722885">
      <w:pPr>
        <w:pStyle w:val="Iauiue"/>
        <w:jc w:val="both"/>
        <w:rPr>
          <w:color w:val="000000" w:themeColor="text1"/>
          <w:sz w:val="16"/>
          <w:szCs w:val="16"/>
        </w:rPr>
      </w:pPr>
    </w:p>
    <w:p w14:paraId="681BAA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вышло постановление ГКО N 2145сс, которым был принят на вооружение ВВС прошедший гос. испытания самолет Як-7 с М-105ПФ. Самолету Як-7 увеличенной дальности присвоили наименование Як-9 (1580,10).</w:t>
      </w:r>
    </w:p>
    <w:p w14:paraId="0857315B" w14:textId="77777777" w:rsidR="00AE7191" w:rsidRPr="00722885" w:rsidRDefault="00AE7191" w:rsidP="00722885">
      <w:pPr>
        <w:pStyle w:val="Iauiue"/>
        <w:jc w:val="both"/>
        <w:rPr>
          <w:color w:val="000000" w:themeColor="text1"/>
          <w:sz w:val="16"/>
          <w:szCs w:val="16"/>
        </w:rPr>
      </w:pPr>
    </w:p>
    <w:p w14:paraId="140D1C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года зам. нач. секретариата наркома Фирсаев писал письмо N К-7/742 начальнику 7-го гл. управления Шишкину.</w:t>
      </w:r>
    </w:p>
    <w:p w14:paraId="56193BF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Направляю Вам заявление Якушкина в котором он просит сообщить, что сделано с его предложением - о новой системе вооружения боевых самолетов.</w:t>
      </w:r>
    </w:p>
    <w:p w14:paraId="211DC8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Прошу сообщить в секретариат Ваше мнение о предложении Якушкина (1684,150).</w:t>
      </w:r>
    </w:p>
    <w:p w14:paraId="0E95133C" w14:textId="77777777" w:rsidR="00AE7191" w:rsidRPr="00722885" w:rsidRDefault="00AE7191" w:rsidP="00722885">
      <w:pPr>
        <w:pStyle w:val="Iauiue"/>
        <w:jc w:val="both"/>
        <w:rPr>
          <w:color w:val="000000" w:themeColor="text1"/>
          <w:sz w:val="16"/>
          <w:szCs w:val="16"/>
        </w:rPr>
      </w:pPr>
    </w:p>
    <w:p w14:paraId="080F90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Нач. 11 ГУ И.Куликов писал А.И.Ш. письмо N 478:</w:t>
      </w:r>
    </w:p>
    <w:p w14:paraId="582F34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"Командование Ю-ЗФ считает целесообразным организовать на заводе 490 в Сталинграде производство ремонта деревянных агрегатов боевых самолетов и изготовление запчастей из древесины...</w:t>
      </w:r>
    </w:p>
    <w:p w14:paraId="25F102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связи с этим прошу Вашего решения:</w:t>
      </w:r>
    </w:p>
    <w:p w14:paraId="2A0840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В связи с организацией ремонта деревянных агрегатов самолетов прекратить на заводе 490 с августа производство планеров БДП-2...</w:t>
      </w:r>
    </w:p>
    <w:p w14:paraId="199ED19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Разрешить произвести переброску с завода 490 на завод 51 техдокументации, задела по дереву и металла, приспособлений, плазов, шаблонов, эталонов и пр. изделий по БДП-2..." (2503,16).</w:t>
      </w:r>
    </w:p>
    <w:p w14:paraId="7CDAF041" w14:textId="77777777" w:rsidR="00AE7191" w:rsidRPr="00722885" w:rsidRDefault="00AE7191" w:rsidP="00722885">
      <w:pPr>
        <w:pStyle w:val="Iauiue"/>
        <w:jc w:val="both"/>
        <w:rPr>
          <w:color w:val="000000" w:themeColor="text1"/>
          <w:sz w:val="16"/>
          <w:szCs w:val="16"/>
        </w:rPr>
      </w:pPr>
    </w:p>
    <w:p w14:paraId="763FF7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была подготовлена копия письма, которое Булганин писал письмо Ком. ВВС Новикову:</w:t>
      </w:r>
    </w:p>
    <w:p w14:paraId="0F060B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6 августа по 6 октября 1942 в рамках совместных гос. и заводских испытаний БИ конструкции Болховитинова производства завода 293 с ЖРД Д-1-А-1100 конструкции НИИ-3, которые начались 2 августа 1942 на аэродроме НИИ ВВС Кольцово под Свердловском, по настоянию завода 293 проводились огневые испытания двигателя Д-1-А-1100. Это были испытания БИ-2 и БИ-3, которые летали 11 и 12 января и 11 и 14 марта (БИ-2) и 21 и 27 марта (БИ-3). 10/11 июня 1943 Зам. Командующего ВВС и НКАП утвердили акт N 837 и отчет (2928,16).</w:t>
      </w:r>
    </w:p>
    <w:p w14:paraId="7603EEF0" w14:textId="77777777" w:rsidR="00AE7191" w:rsidRPr="00722885" w:rsidRDefault="00AE7191" w:rsidP="00722885">
      <w:pPr>
        <w:pStyle w:val="Iauiue"/>
        <w:jc w:val="both"/>
        <w:rPr>
          <w:color w:val="000000" w:themeColor="text1"/>
          <w:sz w:val="16"/>
          <w:szCs w:val="16"/>
        </w:rPr>
      </w:pPr>
    </w:p>
    <w:p w14:paraId="0FF272B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2141 О мероприятиях по обеспечению нормальной работы Уральского алюминиевого завода в августе 1942 года и доведению производства алюминия в сентябре на полную мощность завода. РГАНИР, Фонд ГКО, д. 50, лл. 29-31, 32-50 (11012).</w:t>
      </w:r>
    </w:p>
    <w:p w14:paraId="63277DF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D18625D"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6 августа 1942 вышло Постановление ГКО № 2142 [О передаче самолетов, получаемых с завода № 31, в Распоряжение ГКО командованию ЗФ.] (7048, 51).</w:t>
      </w:r>
    </w:p>
    <w:p w14:paraId="2B8290BC" w14:textId="77777777" w:rsidR="00AE7191" w:rsidRPr="00722885" w:rsidRDefault="00AE7191" w:rsidP="00722885">
      <w:pPr>
        <w:pStyle w:val="Iauiue"/>
        <w:tabs>
          <w:tab w:val="left" w:pos="11199"/>
        </w:tabs>
        <w:jc w:val="both"/>
        <w:rPr>
          <w:color w:val="000000" w:themeColor="text1"/>
          <w:sz w:val="16"/>
          <w:szCs w:val="16"/>
        </w:rPr>
      </w:pPr>
    </w:p>
    <w:p w14:paraId="4AF7350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2143 О графике выпуска самолетов и моторов заводами Наркомавиапрома в августе 1942 г. РГАНИР, Фонд ГКО, д. 50, лл. 52, 53-57 (11012).</w:t>
      </w:r>
    </w:p>
    <w:p w14:paraId="08B9C78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A2931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2144 О средствах обеспечения самолетовождения. РГАНИР, Фонд ГКО, д. 50, лл. 58-60 (11012).</w:t>
      </w:r>
    </w:p>
    <w:p w14:paraId="7963C8A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415DD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2145 О самолете Як-7 с увеличенной дальностью. РГАНИР, Фонд ГКО, д. 50, лл. 61 (11012).</w:t>
      </w:r>
    </w:p>
    <w:p w14:paraId="55D2E2D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654FD44" w14:textId="77777777" w:rsidR="00B52727" w:rsidRPr="00722885" w:rsidRDefault="00B52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2145 О самолете Як-7 с увеличенной дальностью</w:t>
      </w:r>
    </w:p>
    <w:p w14:paraId="5584E528" w14:textId="77777777" w:rsidR="00B52727" w:rsidRPr="00722885" w:rsidRDefault="00B52727" w:rsidP="00722885">
      <w:pPr>
        <w:tabs>
          <w:tab w:val="left" w:pos="79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Принять на вооружение ВВС Красной Армии прошедвиЛ государственные испытания самолет Як-7 с мотором М105ЙФ со следующими данными:</w:t>
      </w:r>
    </w:p>
    <w:p w14:paraId="665805FF" w14:textId="77777777" w:rsidR="00B52727" w:rsidRPr="00722885" w:rsidRDefault="00B52727" w:rsidP="00722885">
      <w:pPr>
        <w:tabs>
          <w:tab w:val="left" w:pos="79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полетныл вес самолета с полным запасом горючего 3035 кгр. (серийный Як-7 - ЗОЮ кгр.);</w:t>
      </w:r>
    </w:p>
    <w:p w14:paraId="59EAF901" w14:textId="77777777" w:rsidR="00B52727" w:rsidRPr="00722885" w:rsidRDefault="00B52727" w:rsidP="00722885">
      <w:pPr>
        <w:tabs>
          <w:tab w:val="left" w:pos="81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запас горючего - 500 кгр.(серийный - 305 кгр.);</w:t>
      </w:r>
    </w:p>
    <w:p w14:paraId="265F6E63" w14:textId="77777777" w:rsidR="00B52727" w:rsidRPr="00722885" w:rsidRDefault="00B52727" w:rsidP="00722885">
      <w:pPr>
        <w:tabs>
          <w:tab w:val="left" w:pos="81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дальность полета на высоте 1000 м. при скорости 340 км. час, на оборотах мотора 2250 об/мин, при полном вы</w:t>
      </w:r>
      <w:r w:rsidRPr="00722885">
        <w:rPr>
          <w:rFonts w:ascii="Times New Roman" w:hAnsi="Times New Roman"/>
          <w:color w:val="000000" w:themeColor="text1"/>
          <w:sz w:val="16"/>
          <w:szCs w:val="16"/>
        </w:rPr>
        <w:softHyphen/>
        <w:t xml:space="preserve">горании горючего - </w:t>
      </w:r>
      <w:r w:rsidRPr="00722885">
        <w:rPr>
          <w:rStyle w:val="-1pt"/>
          <w:rFonts w:ascii="Times New Roman" w:hAnsi="Times New Roman" w:cs="Times New Roman"/>
          <w:color w:val="000000" w:themeColor="text1"/>
          <w:spacing w:val="0"/>
          <w:sz w:val="16"/>
          <w:szCs w:val="16"/>
        </w:rPr>
        <w:t xml:space="preserve">1310 </w:t>
      </w:r>
      <w:r w:rsidRPr="00722885">
        <w:rPr>
          <w:rStyle w:val="1pt"/>
          <w:rFonts w:ascii="Times New Roman" w:hAnsi="Times New Roman" w:cs="Times New Roman"/>
          <w:color w:val="000000" w:themeColor="text1"/>
          <w:spacing w:val="0"/>
          <w:sz w:val="16"/>
          <w:szCs w:val="16"/>
        </w:rPr>
        <w:t>км.,</w:t>
      </w:r>
      <w:r w:rsidRPr="00722885">
        <w:rPr>
          <w:rFonts w:ascii="Times New Roman" w:hAnsi="Times New Roman"/>
          <w:color w:val="000000" w:themeColor="text1"/>
          <w:sz w:val="16"/>
          <w:szCs w:val="16"/>
        </w:rPr>
        <w:t xml:space="preserve"> а при </w:t>
      </w:r>
      <w:r w:rsidRPr="00722885">
        <w:rPr>
          <w:rStyle w:val="-1pt"/>
          <w:rFonts w:ascii="Times New Roman" w:hAnsi="Times New Roman" w:cs="Times New Roman"/>
          <w:color w:val="000000" w:themeColor="text1"/>
          <w:spacing w:val="0"/>
          <w:sz w:val="16"/>
          <w:szCs w:val="16"/>
        </w:rPr>
        <w:t>10%'</w:t>
      </w:r>
      <w:r w:rsidRPr="00722885">
        <w:rPr>
          <w:rFonts w:ascii="Times New Roman" w:hAnsi="Times New Roman"/>
          <w:color w:val="000000" w:themeColor="text1"/>
          <w:sz w:val="16"/>
          <w:szCs w:val="16"/>
        </w:rPr>
        <w:t xml:space="preserve"> запасе горючего- </w:t>
      </w:r>
      <w:r w:rsidRPr="00722885">
        <w:rPr>
          <w:rStyle w:val="-1pt"/>
          <w:rFonts w:ascii="Times New Roman" w:hAnsi="Times New Roman" w:cs="Times New Roman"/>
          <w:color w:val="000000" w:themeColor="text1"/>
          <w:spacing w:val="0"/>
          <w:sz w:val="16"/>
          <w:szCs w:val="16"/>
        </w:rPr>
        <w:t>1180</w:t>
      </w:r>
      <w:r w:rsidRPr="00722885">
        <w:rPr>
          <w:rFonts w:ascii="Times New Roman" w:hAnsi="Times New Roman"/>
          <w:color w:val="000000" w:themeColor="text1"/>
          <w:sz w:val="16"/>
          <w:szCs w:val="16"/>
        </w:rPr>
        <w:t xml:space="preserve"> км. (Серийный самолет Як-7 соответственно имеет даль</w:t>
      </w:r>
      <w:r w:rsidRPr="00722885">
        <w:rPr>
          <w:rFonts w:ascii="Times New Roman" w:hAnsi="Times New Roman"/>
          <w:color w:val="000000" w:themeColor="text1"/>
          <w:sz w:val="16"/>
          <w:szCs w:val="16"/>
        </w:rPr>
        <w:softHyphen/>
        <w:t xml:space="preserve">ность - 750 км. и с </w:t>
      </w:r>
      <w:r w:rsidRPr="00722885">
        <w:rPr>
          <w:rStyle w:val="-1pt"/>
          <w:rFonts w:ascii="Times New Roman" w:hAnsi="Times New Roman" w:cs="Times New Roman"/>
          <w:color w:val="000000" w:themeColor="text1"/>
          <w:spacing w:val="0"/>
          <w:sz w:val="16"/>
          <w:szCs w:val="16"/>
        </w:rPr>
        <w:t>10%</w:t>
      </w:r>
      <w:r w:rsidRPr="00722885">
        <w:rPr>
          <w:rFonts w:ascii="Times New Roman" w:hAnsi="Times New Roman"/>
          <w:color w:val="000000" w:themeColor="text1"/>
          <w:sz w:val="16"/>
          <w:szCs w:val="16"/>
        </w:rPr>
        <w:t xml:space="preserve"> запасом горючего 675 </w:t>
      </w:r>
      <w:r w:rsidRPr="00722885">
        <w:rPr>
          <w:rStyle w:val="1pt"/>
          <w:rFonts w:ascii="Times New Roman" w:hAnsi="Times New Roman" w:cs="Times New Roman"/>
          <w:color w:val="000000" w:themeColor="text1"/>
          <w:spacing w:val="0"/>
          <w:sz w:val="16"/>
          <w:szCs w:val="16"/>
        </w:rPr>
        <w:t>ш.);</w:t>
      </w:r>
    </w:p>
    <w:p w14:paraId="361A8955" w14:textId="77777777" w:rsidR="00B52727" w:rsidRPr="00722885" w:rsidRDefault="00B52727" w:rsidP="00722885">
      <w:pPr>
        <w:tabs>
          <w:tab w:val="left" w:pos="80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скорость и потолок самолета аналогичны давнш серий</w:t>
      </w:r>
      <w:r w:rsidRPr="00722885">
        <w:rPr>
          <w:rFonts w:ascii="Times New Roman" w:hAnsi="Times New Roman"/>
          <w:color w:val="000000" w:themeColor="text1"/>
          <w:sz w:val="16"/>
          <w:szCs w:val="16"/>
        </w:rPr>
        <w:softHyphen/>
        <w:t>ного самолета Як-7;</w:t>
      </w:r>
    </w:p>
    <w:p w14:paraId="331352A7" w14:textId="77777777" w:rsidR="00B52727" w:rsidRPr="00722885" w:rsidRDefault="00B52727" w:rsidP="00722885">
      <w:pPr>
        <w:tabs>
          <w:tab w:val="left" w:pos="81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вооружение и оборудование:</w:t>
      </w:r>
    </w:p>
    <w:p w14:paraId="0756A32B" w14:textId="77777777" w:rsidR="00B52727" w:rsidRPr="00722885" w:rsidRDefault="00B52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пушка 20 мм. с боезапасом </w:t>
      </w:r>
      <w:r w:rsidRPr="00722885">
        <w:rPr>
          <w:rStyle w:val="-1pt"/>
          <w:rFonts w:ascii="Times New Roman" w:hAnsi="Times New Roman" w:cs="Times New Roman"/>
          <w:color w:val="000000" w:themeColor="text1"/>
          <w:spacing w:val="0"/>
          <w:sz w:val="16"/>
          <w:szCs w:val="16"/>
        </w:rPr>
        <w:t>120</w:t>
      </w:r>
      <w:r w:rsidRPr="00722885">
        <w:rPr>
          <w:rFonts w:ascii="Times New Roman" w:hAnsi="Times New Roman"/>
          <w:color w:val="000000" w:themeColor="text1"/>
          <w:sz w:val="16"/>
          <w:szCs w:val="16"/>
        </w:rPr>
        <w:t xml:space="preserve"> снарядов, 1 пулемет 12,7 мм. с боезапасом 200 патронов, радиостанция РСИ-4;</w:t>
      </w:r>
    </w:p>
    <w:p w14:paraId="21BE5B93" w14:textId="77777777" w:rsidR="00B52727" w:rsidRPr="00722885" w:rsidRDefault="00B52727" w:rsidP="00722885">
      <w:pPr>
        <w:tabs>
          <w:tab w:val="left" w:pos="81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 облегчение самолета достигнуто за счет перехода от цельнодеревянного крыла к крылу смешанной конструкции (лон</w:t>
      </w:r>
      <w:r w:rsidRPr="00722885">
        <w:rPr>
          <w:rFonts w:ascii="Times New Roman" w:hAnsi="Times New Roman"/>
          <w:color w:val="000000" w:themeColor="text1"/>
          <w:sz w:val="16"/>
          <w:szCs w:val="16"/>
        </w:rPr>
        <w:softHyphen/>
        <w:t>жероны дюралевые, нервюры и обшивка - деревянные) и снятия одного пулемета УБ с боезапасом 200 шт. патронов.</w:t>
      </w:r>
    </w:p>
    <w:p w14:paraId="1ECBDDA9" w14:textId="77777777" w:rsidR="00B52727" w:rsidRPr="00722885" w:rsidRDefault="00B52727" w:rsidP="00722885">
      <w:pPr>
        <w:tabs>
          <w:tab w:val="left" w:pos="79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Присвоить самолету Як-7 с увеличенной дальностью наименование Як-9.</w:t>
      </w:r>
    </w:p>
    <w:p w14:paraId="0E036C45" w14:textId="77777777" w:rsidR="00B52727" w:rsidRPr="00722885" w:rsidRDefault="00B52727" w:rsidP="00722885">
      <w:pPr>
        <w:tabs>
          <w:tab w:val="left" w:pos="79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народного комиссара авиационной промышленно</w:t>
      </w:r>
      <w:r w:rsidRPr="00722885">
        <w:rPr>
          <w:rFonts w:ascii="Times New Roman" w:hAnsi="Times New Roman"/>
          <w:color w:val="000000" w:themeColor="text1"/>
          <w:sz w:val="16"/>
          <w:szCs w:val="16"/>
        </w:rPr>
        <w:softHyphen/>
        <w:t xml:space="preserve">сти т.Шахурина и директора завода № </w:t>
      </w:r>
      <w:r w:rsidRPr="00722885">
        <w:rPr>
          <w:rStyle w:val="-1pt"/>
          <w:rFonts w:ascii="Times New Roman" w:hAnsi="Times New Roman" w:cs="Times New Roman"/>
          <w:color w:val="000000" w:themeColor="text1"/>
          <w:spacing w:val="0"/>
          <w:sz w:val="16"/>
          <w:szCs w:val="16"/>
        </w:rPr>
        <w:t>153</w:t>
      </w:r>
      <w:r w:rsidRPr="00722885">
        <w:rPr>
          <w:rFonts w:ascii="Times New Roman" w:hAnsi="Times New Roman"/>
          <w:color w:val="000000" w:themeColor="text1"/>
          <w:sz w:val="16"/>
          <w:szCs w:val="16"/>
        </w:rPr>
        <w:t xml:space="preserve"> т.Романова поставить производство самолетов Як-9 по образцу, прошедшему государ</w:t>
      </w:r>
      <w:r w:rsidRPr="00722885">
        <w:rPr>
          <w:rFonts w:ascii="Times New Roman" w:hAnsi="Times New Roman"/>
          <w:color w:val="000000" w:themeColor="text1"/>
          <w:sz w:val="16"/>
          <w:szCs w:val="16"/>
        </w:rPr>
        <w:softHyphen/>
        <w:t xml:space="preserve">ственные испытания в НИИ ВВС с тем, чтобы в августе таких самолетов выпустить 3 </w:t>
      </w:r>
      <w:r w:rsidRPr="00722885">
        <w:rPr>
          <w:rStyle w:val="1pt"/>
          <w:rFonts w:ascii="Times New Roman" w:hAnsi="Times New Roman" w:cs="Times New Roman"/>
          <w:color w:val="000000" w:themeColor="text1"/>
          <w:spacing w:val="0"/>
          <w:sz w:val="16"/>
          <w:szCs w:val="16"/>
        </w:rPr>
        <w:t>шт.,</w:t>
      </w:r>
      <w:r w:rsidRPr="00722885">
        <w:rPr>
          <w:rFonts w:ascii="Times New Roman" w:hAnsi="Times New Roman"/>
          <w:color w:val="000000" w:themeColor="text1"/>
          <w:sz w:val="16"/>
          <w:szCs w:val="16"/>
        </w:rPr>
        <w:t xml:space="preserve"> в сентябре - 20 штук и в октябре - 60 штук.</w:t>
      </w:r>
    </w:p>
    <w:p w14:paraId="345D5EAC" w14:textId="77777777" w:rsidR="00B52727" w:rsidRPr="00722885" w:rsidRDefault="00B52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Программу дальнейшего выпуска самолетов Як-9 на заводе </w:t>
      </w:r>
      <w:r w:rsidRPr="00722885">
        <w:rPr>
          <w:rStyle w:val="-1pt"/>
          <w:rFonts w:ascii="Times New Roman" w:hAnsi="Times New Roman" w:cs="Times New Roman"/>
          <w:color w:val="000000" w:themeColor="text1"/>
          <w:spacing w:val="0"/>
          <w:sz w:val="16"/>
          <w:szCs w:val="16"/>
        </w:rPr>
        <w:t>% 153</w:t>
      </w:r>
      <w:r w:rsidRPr="00722885">
        <w:rPr>
          <w:rFonts w:ascii="Times New Roman" w:hAnsi="Times New Roman"/>
          <w:color w:val="000000" w:themeColor="text1"/>
          <w:sz w:val="16"/>
          <w:szCs w:val="16"/>
        </w:rPr>
        <w:t xml:space="preserve"> наркому авиационной промышленности т.Щахуряну включить квартала я представить для утверждения ГОКО (19353).</w:t>
      </w:r>
    </w:p>
    <w:p w14:paraId="7D05AA86" w14:textId="77777777" w:rsidR="00B52727" w:rsidRPr="00722885" w:rsidRDefault="00B52727" w:rsidP="00722885">
      <w:pPr>
        <w:spacing w:after="0" w:line="240" w:lineRule="auto"/>
        <w:jc w:val="both"/>
        <w:rPr>
          <w:rFonts w:ascii="Times New Roman" w:hAnsi="Times New Roman"/>
          <w:color w:val="000000" w:themeColor="text1"/>
          <w:sz w:val="16"/>
          <w:szCs w:val="16"/>
        </w:rPr>
      </w:pPr>
    </w:p>
    <w:p w14:paraId="5D6BBFCD"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6 августа 1942 вышло Постановление ГКО № 2146 Об организации производства авиационных моноблоков и деталей для магнето на заводе № 705 Наркомрезинпрома в г. Свердловске. (7048, 62-64,65-70).</w:t>
      </w:r>
    </w:p>
    <w:p w14:paraId="09AA15AF" w14:textId="77777777" w:rsidR="00AE7191" w:rsidRPr="00722885" w:rsidRDefault="00AE7191" w:rsidP="00722885">
      <w:pPr>
        <w:pStyle w:val="Iauiue"/>
        <w:tabs>
          <w:tab w:val="left" w:pos="11199"/>
        </w:tabs>
        <w:jc w:val="both"/>
        <w:rPr>
          <w:color w:val="000000" w:themeColor="text1"/>
          <w:sz w:val="16"/>
          <w:szCs w:val="16"/>
        </w:rPr>
      </w:pPr>
    </w:p>
    <w:p w14:paraId="5D0E97D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6 августа 1942 г. в соответствии с пост. ГКО № 2146 на заводе № 705 Наркомрезинпрома организовано производство авиационных моноблоков и деталей для магнето. 11.03.1944 г. вышло распоряжение ГКО № 5353 о мерах по обеспечению своевременного окончания строительства и ввода в строй цеха по производству эбонитовых баков для аккумуляторов. 14.07.1944 г. вышло постановление ГКО № 6195 о мерах неотложной помощи по восстановлению завода (11982).</w:t>
      </w:r>
    </w:p>
    <w:p w14:paraId="13E4E975" w14:textId="77777777" w:rsidR="00014545" w:rsidRPr="00722885" w:rsidRDefault="00014545" w:rsidP="00722885">
      <w:pPr>
        <w:pStyle w:val="27"/>
        <w:shd w:val="clear" w:color="auto" w:fill="auto"/>
        <w:spacing w:after="0" w:line="240" w:lineRule="auto"/>
        <w:ind w:firstLine="0"/>
        <w:rPr>
          <w:rFonts w:ascii="Times New Roman" w:cs="Times New Roman"/>
          <w:color w:val="000000" w:themeColor="text1"/>
          <w:spacing w:val="0"/>
        </w:rPr>
      </w:pPr>
    </w:p>
    <w:p w14:paraId="4FDCDDC2" w14:textId="77777777" w:rsidR="00AE7191" w:rsidRPr="00722885" w:rsidRDefault="00AE719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 6 августа 1942 г. в целом успешно завершились полигонные испытания про</w:t>
      </w:r>
      <w:r w:rsidRPr="00722885">
        <w:rPr>
          <w:rFonts w:ascii="Times New Roman" w:cs="Times New Roman"/>
          <w:color w:val="000000" w:themeColor="text1"/>
          <w:spacing w:val="0"/>
        </w:rPr>
        <w:softHyphen/>
        <w:t>тотипа куммулятивной бомбы. Основные результаты первых экспери</w:t>
      </w:r>
      <w:r w:rsidRPr="00722885">
        <w:rPr>
          <w:rFonts w:ascii="Times New Roman" w:cs="Times New Roman"/>
          <w:color w:val="000000" w:themeColor="text1"/>
          <w:spacing w:val="0"/>
        </w:rPr>
        <w:softHyphen/>
        <w:t>ментов с кумулятивными бомбами своди</w:t>
      </w:r>
      <w:r w:rsidRPr="00722885">
        <w:rPr>
          <w:rFonts w:ascii="Times New Roman" w:cs="Times New Roman"/>
          <w:color w:val="000000" w:themeColor="text1"/>
          <w:spacing w:val="0"/>
        </w:rPr>
        <w:softHyphen/>
        <w:t>лись к следующему. Отмечалось, что при весе взрывчатого вещества массой всего 100 г, боеприпасы пробивали в цементи</w:t>
      </w:r>
      <w:r w:rsidRPr="00722885">
        <w:rPr>
          <w:rFonts w:ascii="Times New Roman" w:cs="Times New Roman"/>
          <w:color w:val="000000" w:themeColor="text1"/>
          <w:spacing w:val="0"/>
        </w:rPr>
        <w:softHyphen/>
        <w:t>рованной броне толщиной 30 мм сквозное отверстие диаметром около 50 мм. При увеличении заряда в два раза толщина пробиваемой брони возрастала до 40 мм. Основная проблема заключалась в созда</w:t>
      </w:r>
      <w:r w:rsidRPr="00722885">
        <w:rPr>
          <w:rFonts w:ascii="Times New Roman" w:cs="Times New Roman"/>
          <w:color w:val="000000" w:themeColor="text1"/>
          <w:spacing w:val="0"/>
        </w:rPr>
        <w:softHyphen/>
        <w:t>нии для бомбы донного взрывателя мгно</w:t>
      </w:r>
      <w:r w:rsidRPr="00722885">
        <w:rPr>
          <w:rFonts w:ascii="Times New Roman" w:cs="Times New Roman"/>
          <w:color w:val="000000" w:themeColor="text1"/>
          <w:spacing w:val="0"/>
        </w:rPr>
        <w:softHyphen/>
        <w:t>венного действия с высокой чувствительно</w:t>
      </w:r>
      <w:r w:rsidRPr="00722885">
        <w:rPr>
          <w:rFonts w:ascii="Times New Roman" w:cs="Times New Roman"/>
          <w:color w:val="000000" w:themeColor="text1"/>
          <w:spacing w:val="0"/>
        </w:rPr>
        <w:softHyphen/>
        <w:t>стью ударного механизма. Дело в том, что взэыватель должен был обеспечивать своевременное срабатывание при соударении головной части бомбы с броневым покрыти</w:t>
      </w:r>
      <w:r w:rsidRPr="00722885">
        <w:rPr>
          <w:rFonts w:ascii="Times New Roman" w:cs="Times New Roman"/>
          <w:color w:val="000000" w:themeColor="text1"/>
          <w:spacing w:val="0"/>
        </w:rPr>
        <w:softHyphen/>
        <w:t>ем а значит, формирование кумулятивной струи на оптимальном расстоянии от брони. При этом взрыватель должен был обеспе</w:t>
      </w:r>
      <w:r w:rsidRPr="00722885">
        <w:rPr>
          <w:rFonts w:ascii="Times New Roman" w:cs="Times New Roman"/>
          <w:color w:val="000000" w:themeColor="text1"/>
          <w:spacing w:val="0"/>
        </w:rPr>
        <w:softHyphen/>
        <w:t>чить безопасность бомб при обслуживании (снаряжение, транспортировка, загрузка в самолет) и боевом применении (растряска в полете, безопасный сброс).</w:t>
      </w:r>
    </w:p>
    <w:p w14:paraId="6734346A" w14:textId="77777777" w:rsidR="00AE7191" w:rsidRPr="00722885" w:rsidRDefault="00AE719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Отметим, что к этому времени на НИП АВ ВВС в целом успешно прошел испыта</w:t>
      </w:r>
      <w:r w:rsidRPr="00722885">
        <w:rPr>
          <w:rFonts w:ascii="Times New Roman" w:cs="Times New Roman"/>
          <w:color w:val="000000" w:themeColor="text1"/>
          <w:spacing w:val="0"/>
        </w:rPr>
        <w:softHyphen/>
        <w:t>ния (25 и 26 июля) ракетный бронебойный снаряд с кумулятивной боевой частью ка</w:t>
      </w:r>
      <w:r w:rsidRPr="00722885">
        <w:rPr>
          <w:rFonts w:ascii="Times New Roman" w:cs="Times New Roman"/>
          <w:color w:val="000000" w:themeColor="text1"/>
          <w:spacing w:val="0"/>
        </w:rPr>
        <w:softHyphen/>
        <w:t>либра 82 мм - РБСК-82. Снаряд был раз</w:t>
      </w:r>
      <w:r w:rsidRPr="00722885">
        <w:rPr>
          <w:rFonts w:ascii="Times New Roman" w:cs="Times New Roman"/>
          <w:color w:val="000000" w:themeColor="text1"/>
          <w:spacing w:val="0"/>
        </w:rPr>
        <w:softHyphen/>
        <w:t>работан совместными усилиями НИИ-3 и НИИ-6. Немецкую танковую броню толщи</w:t>
      </w:r>
      <w:r w:rsidRPr="00722885">
        <w:rPr>
          <w:rFonts w:ascii="Times New Roman" w:cs="Times New Roman"/>
          <w:color w:val="000000" w:themeColor="text1"/>
          <w:spacing w:val="0"/>
        </w:rPr>
        <w:softHyphen/>
        <w:t>ной 30 мм боеприпас разрушал при любых углах встречи, а 50-мм броню - при нор</w:t>
      </w:r>
      <w:r w:rsidRPr="00722885">
        <w:rPr>
          <w:rFonts w:ascii="Times New Roman" w:cs="Times New Roman"/>
          <w:color w:val="000000" w:themeColor="text1"/>
          <w:spacing w:val="0"/>
        </w:rPr>
        <w:softHyphen/>
        <w:t>мальном попадании. Делался вывод, что «РБСК-82 - более эффективен по танкам, чем штатный РС-82». Рассеивание куму</w:t>
      </w:r>
      <w:r w:rsidRPr="00722885">
        <w:rPr>
          <w:rFonts w:ascii="Times New Roman" w:cs="Times New Roman"/>
          <w:color w:val="000000" w:themeColor="text1"/>
          <w:spacing w:val="0"/>
        </w:rPr>
        <w:softHyphen/>
        <w:t>лятивного снаряда не отличалось от та</w:t>
      </w:r>
      <w:r w:rsidRPr="00722885">
        <w:rPr>
          <w:rFonts w:ascii="Times New Roman" w:cs="Times New Roman"/>
          <w:color w:val="000000" w:themeColor="text1"/>
          <w:spacing w:val="0"/>
        </w:rPr>
        <w:softHyphen/>
        <w:t>кового для РС-82. Основным недостатком считалась малая вероятность попадания в танк и ограниченное их количество - всего 8 снарядов, на самолете Ил-2.</w:t>
      </w:r>
    </w:p>
    <w:p w14:paraId="58CBB7A6" w14:textId="77777777" w:rsidR="00AE7191" w:rsidRPr="00722885" w:rsidRDefault="00AE719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период с 15 октября по 24 ноября 1942 г. РБСК-82 прошел на НИП АВ по</w:t>
      </w:r>
      <w:r w:rsidRPr="00722885">
        <w:rPr>
          <w:rFonts w:ascii="Times New Roman" w:cs="Times New Roman"/>
          <w:color w:val="000000" w:themeColor="text1"/>
          <w:spacing w:val="0"/>
        </w:rPr>
        <w:softHyphen/>
        <w:t>вторные полигонные испытания. По ре</w:t>
      </w:r>
      <w:r w:rsidRPr="00722885">
        <w:rPr>
          <w:rFonts w:ascii="Times New Roman" w:cs="Times New Roman"/>
          <w:color w:val="000000" w:themeColor="text1"/>
          <w:spacing w:val="0"/>
        </w:rPr>
        <w:softHyphen/>
        <w:t>зультатам стрельб специалисты полиго</w:t>
      </w:r>
      <w:r w:rsidRPr="00722885">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1A513FC9" w14:textId="77777777" w:rsidR="00AE7191" w:rsidRPr="00722885" w:rsidRDefault="00AE7191" w:rsidP="00722885">
      <w:pPr>
        <w:pStyle w:val="27"/>
        <w:shd w:val="clear" w:color="auto" w:fill="auto"/>
        <w:spacing w:after="0" w:line="240" w:lineRule="auto"/>
        <w:ind w:firstLine="0"/>
        <w:rPr>
          <w:rFonts w:ascii="Times New Roman" w:cs="Times New Roman"/>
          <w:color w:val="000000" w:themeColor="text1"/>
          <w:spacing w:val="0"/>
        </w:rPr>
      </w:pPr>
    </w:p>
    <w:p w14:paraId="3A08CBC0" w14:textId="77777777" w:rsidR="000D1F16" w:rsidRPr="00722885" w:rsidRDefault="000D1F1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6 августа 1942 г. в целом успешно завершились заводские испытания прототипа противотанковой ку</w:t>
      </w:r>
      <w:r w:rsidRPr="00722885">
        <w:rPr>
          <w:color w:val="000000" w:themeColor="text1"/>
          <w:sz w:val="16"/>
          <w:szCs w:val="16"/>
        </w:rPr>
        <w:softHyphen/>
        <w:t>мулятивной авиабомбы, которую предложил И. А. Ларионов..</w:t>
      </w:r>
    </w:p>
    <w:p w14:paraId="7E7D5465" w14:textId="77777777" w:rsidR="000D1F16" w:rsidRPr="00722885" w:rsidRDefault="000D1F1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Основные результаты первых экспериментов с кумулятивными бомбами сводились к следующе</w:t>
      </w:r>
      <w:r w:rsidRPr="00722885">
        <w:rPr>
          <w:color w:val="000000" w:themeColor="text1"/>
          <w:sz w:val="16"/>
          <w:szCs w:val="16"/>
        </w:rPr>
        <w:softHyphen/>
        <w:t>му. Получалось, что при весе взрывчатого вещества 0,1 кг боеприпасы пробивали в цементированной броне толщиной 30 мм сквозное отверстие диа</w:t>
      </w:r>
      <w:r w:rsidRPr="00722885">
        <w:rPr>
          <w:color w:val="000000" w:themeColor="text1"/>
          <w:sz w:val="16"/>
          <w:szCs w:val="16"/>
        </w:rPr>
        <w:softHyphen/>
        <w:t>метром около 50 мм. При увеличении заряда в два раза толщина пробиваемой брони возрастала до 40 мм. Основная проблема заключалась в созда</w:t>
      </w:r>
      <w:r w:rsidRPr="00722885">
        <w:rPr>
          <w:color w:val="000000" w:themeColor="text1"/>
          <w:sz w:val="16"/>
          <w:szCs w:val="16"/>
        </w:rPr>
        <w:softHyphen/>
        <w:t>нии для бомбы донного взрывателя мгновенного действия с высокой чувствительностью ударного механизма. Дело в том, что взрыватель должен был обеспечивать своевременное срабатывание при соударении головной части бомбы с броневым по</w:t>
      </w:r>
      <w:r w:rsidRPr="00722885">
        <w:rPr>
          <w:color w:val="000000" w:themeColor="text1"/>
          <w:sz w:val="16"/>
          <w:szCs w:val="16"/>
        </w:rPr>
        <w:softHyphen/>
        <w:t>крытием, а значит, формирование кумулятивной струи на оптимальном расстоянии от брони и од</w:t>
      </w:r>
      <w:r w:rsidRPr="00722885">
        <w:rPr>
          <w:color w:val="000000" w:themeColor="text1"/>
          <w:sz w:val="16"/>
          <w:szCs w:val="16"/>
        </w:rPr>
        <w:softHyphen/>
        <w:t>новременно безопасность бомб при обслуживании(снаряжение, транспортировка, загрузка в самолет) и боевом применении (растряска в полете, безо</w:t>
      </w:r>
      <w:r w:rsidRPr="00722885">
        <w:rPr>
          <w:color w:val="000000" w:themeColor="text1"/>
          <w:sz w:val="16"/>
          <w:szCs w:val="16"/>
        </w:rPr>
        <w:softHyphen/>
        <w:t>пасный сброс) (17500).</w:t>
      </w:r>
    </w:p>
    <w:p w14:paraId="291BAA1E" w14:textId="77777777" w:rsidR="000D1F16" w:rsidRPr="00722885" w:rsidRDefault="000D1F16" w:rsidP="00722885">
      <w:pPr>
        <w:spacing w:after="0" w:line="240" w:lineRule="auto"/>
        <w:jc w:val="both"/>
        <w:rPr>
          <w:rFonts w:ascii="Times New Roman" w:eastAsia="Times New Roman" w:hAnsi="Times New Roman"/>
          <w:color w:val="000000" w:themeColor="text1"/>
          <w:sz w:val="16"/>
          <w:szCs w:val="16"/>
          <w:lang w:eastAsia="ru-RU"/>
        </w:rPr>
      </w:pPr>
    </w:p>
    <w:p w14:paraId="255A0B7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A7630B8" w14:textId="77777777" w:rsidR="00AE7191" w:rsidRPr="00722885" w:rsidRDefault="00AE7191" w:rsidP="00722885">
      <w:pPr>
        <w:pStyle w:val="Iauiue"/>
        <w:jc w:val="both"/>
        <w:rPr>
          <w:iCs/>
          <w:color w:val="000000" w:themeColor="text1"/>
          <w:sz w:val="16"/>
          <w:szCs w:val="16"/>
        </w:rPr>
      </w:pPr>
    </w:p>
    <w:p w14:paraId="7337B292" w14:textId="77777777" w:rsidR="00EC7BF5" w:rsidRPr="00722885" w:rsidRDefault="00EC7BF5" w:rsidP="00722885">
      <w:pPr>
        <w:pStyle w:val="ae"/>
        <w:spacing w:before="0" w:after="0"/>
        <w:jc w:val="both"/>
        <w:textAlignment w:val="baseline"/>
        <w:rPr>
          <w:color w:val="000000" w:themeColor="text1"/>
          <w:sz w:val="16"/>
          <w:szCs w:val="16"/>
        </w:rPr>
      </w:pPr>
      <w:r w:rsidRPr="00722885">
        <w:rPr>
          <w:color w:val="000000" w:themeColor="text1"/>
          <w:sz w:val="16"/>
          <w:szCs w:val="16"/>
        </w:rPr>
        <w:t>6 августа 1942 года была утверждена программа работ основного разработчика ручных гранат КБ-30:</w:t>
      </w:r>
    </w:p>
    <w:p w14:paraId="3ACA7FEE" w14:textId="77777777" w:rsidR="00EC7BF5" w:rsidRPr="00722885" w:rsidRDefault="00EC7BF5"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«Для повышения бронепробивающей способности ручных противотанковых гранат, повышение эффекта за счёт увеличения количества и качества ВВ, является экономически невыгодным решением, а также этому ставит предел и ручное метание. Повышение эффекта может быть достигнуто за счёт применения кумулятивных свойств, являющихся следствием геометрической формы заряда ВВ, его расположения относительно плоскости брони, формы, размеров и расположения детонатора и других причин» (18876).</w:t>
      </w:r>
    </w:p>
    <w:p w14:paraId="059A8EBA" w14:textId="77777777" w:rsidR="00EC7BF5" w:rsidRPr="00722885" w:rsidRDefault="00EC7BF5" w:rsidP="00722885">
      <w:pPr>
        <w:pStyle w:val="ae"/>
        <w:spacing w:before="0" w:after="0"/>
        <w:jc w:val="both"/>
        <w:textAlignment w:val="baseline"/>
        <w:rPr>
          <w:iCs/>
          <w:color w:val="000000" w:themeColor="text1"/>
          <w:sz w:val="16"/>
          <w:szCs w:val="16"/>
        </w:rPr>
      </w:pPr>
    </w:p>
    <w:p w14:paraId="1562311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августа 1942 г. Приказом Наркомата цветной металлургии СССР Научно-исследовательский институт по золоту и спутникам "Гинзолото", созданный 27 апреля 1932 г. постановлением Наркомата тяжелой промышленности СССР в результате преобразования Сибирского отделения Центрального государственного научно-исследовательского института цветных металлов, золота и платины, был преобразован в Завод N 172, который приказом Министерства цветной металлургии СССР от 31 мая 1946 г. был преобразован в Иркутский государственный научно-исследовательский институт редких и цветных металлов "Иргиредмет" (12102). </w:t>
      </w:r>
    </w:p>
    <w:p w14:paraId="73011531" w14:textId="77777777" w:rsidR="00014545" w:rsidRPr="00722885" w:rsidRDefault="00014545" w:rsidP="00722885">
      <w:pPr>
        <w:spacing w:after="0" w:line="240" w:lineRule="auto"/>
        <w:jc w:val="both"/>
        <w:rPr>
          <w:rFonts w:ascii="Times New Roman" w:hAnsi="Times New Roman"/>
          <w:color w:val="000000" w:themeColor="text1"/>
          <w:sz w:val="16"/>
          <w:szCs w:val="16"/>
        </w:rPr>
      </w:pPr>
    </w:p>
    <w:p w14:paraId="0B96E5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2147 Об отпуске продовольственных пайков для Красной Армии, Военно-Морского Флота и войск НКВД СССР в августе 1942 г. РГАНИР, Фонд ГКО, д. 50, лл. 71-74, 75-776 (11012).</w:t>
      </w:r>
    </w:p>
    <w:p w14:paraId="36F2EE8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0B5A9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2148 О производстве минных танковых тралов. РГАНИР, Фонд ГКО, д. 50, лл. 77 (11012).</w:t>
      </w:r>
    </w:p>
    <w:p w14:paraId="7446BC1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8AB1AF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Распоряжение ГКО № 2149 Об организации дублированного производства гироскопических компасов на заводе N252 в Сталинске. РГАНИР, Фонд ГКО, д. 50, лл. 78 (11012).</w:t>
      </w:r>
    </w:p>
    <w:p w14:paraId="3735862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B68C15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6 августа 1942 вышло Постановление ГКО № 2150 О поставке Наркомвоенморфлоту электромагнитных тралов. (7048, 79-80,81-82).</w:t>
      </w:r>
    </w:p>
    <w:p w14:paraId="1CCDF668" w14:textId="77777777" w:rsidR="00AE7191" w:rsidRPr="00722885" w:rsidRDefault="00AE7191" w:rsidP="00722885">
      <w:pPr>
        <w:pStyle w:val="Iauiue"/>
        <w:tabs>
          <w:tab w:val="left" w:pos="11199"/>
        </w:tabs>
        <w:jc w:val="both"/>
        <w:rPr>
          <w:color w:val="000000" w:themeColor="text1"/>
          <w:sz w:val="16"/>
          <w:szCs w:val="16"/>
        </w:rPr>
      </w:pPr>
    </w:p>
    <w:p w14:paraId="2472B86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2151 О строительстве Челябинской ТЭЦ. РГАНИР, Фонд ГКО, д. 50, лл. 83-85, 86-91 (11012).</w:t>
      </w:r>
    </w:p>
    <w:p w14:paraId="6019A30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29052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2152 О плане производства металла на август 1942 г. РГАНИР, Фонд ГКО, д. 50, лл. 92-105 (11012).</w:t>
      </w:r>
    </w:p>
    <w:p w14:paraId="05BFCE5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A5B111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2153 О мероприятиях по обеспечению добычи нефти и выработке нефтепродуктов на август 1942 г. РГАНИР, Фонд ГКО, д. 50, лл. 106-113, 114-116 (11012).</w:t>
      </w:r>
    </w:p>
    <w:p w14:paraId="02AB1EA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9C4E10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2154 Об ускорении строительства и ввода в действие нефтеперерабатывающих заводов в Молотове, Сызрани, Бугуруслане, Орске, Ишимбаеве, Красноводске и Комсомольске. РГАНИР, Фонд ГКО, д. 50, лл. 117-123, 124-126 (11012).</w:t>
      </w:r>
    </w:p>
    <w:p w14:paraId="10FAF33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6514BA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вышло Постановление ГКО № 2155 О создании запасов сырья и топлива на заводах Hаркомчермета на зиму 1942-43 гг. РГАНИР, Фонд ГКО, д. 50, лл. 127-131, 132-162 (11012).</w:t>
      </w:r>
    </w:p>
    <w:p w14:paraId="77CF911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0FD25B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A9DF1DE" w14:textId="77777777" w:rsidR="00AE7191" w:rsidRPr="00722885" w:rsidRDefault="00AE7191" w:rsidP="00722885">
      <w:pPr>
        <w:pStyle w:val="Iauiue"/>
        <w:jc w:val="both"/>
        <w:rPr>
          <w:iCs/>
          <w:color w:val="000000" w:themeColor="text1"/>
          <w:sz w:val="16"/>
          <w:szCs w:val="16"/>
        </w:rPr>
      </w:pPr>
    </w:p>
    <w:p w14:paraId="5854B7A0"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в 1942 году утреннее сообщение Совинформбюро:</w:t>
      </w:r>
    </w:p>
    <w:p w14:paraId="45155722"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6 августа наши войска вели бои с противником в районах Клетская, Котельниково, южнее Белая Глина и южнее Кущевская.</w:t>
      </w:r>
    </w:p>
    <w:p w14:paraId="5EBC7D4E"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001FFDE5"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отбили ряд атак противника и прочно удерживали занятые рубежи. В бою за населённый пункт Н-ская часть уничтожила немецкий танк, 3 орудия и до 300 гитлеровцев. Наши танкисты на одном из участков совершили рейд по тылам врага и разгромили автоколонну с войсками и боеприпасами противника. Уничтожено 38 автомашин и не менее 250 немецких солдат и офицеров.</w:t>
      </w:r>
    </w:p>
    <w:p w14:paraId="665BE486"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Белой Глины шли непрерывные ожесточённые бои с наступающими танковыми и мотопехотными частями противника. Ваши войска с боями отошли на новые рубежи. Южнее Кущевской наша противотанковая артиллерия и бронебойщики уничтожили 8 немецких танков, 4 бронемашины и 21 автомашину. На другом участке кубанские казаки совершили ночной налёт на населённый пункт, только что захваченный гитлеровцами. Смелые конники порубили свыше 600 солдат и офицеров противника.</w:t>
      </w:r>
    </w:p>
    <w:p w14:paraId="6E5ADA92"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происходили столкновения с мелкими группами противника. Бойцы одной нашей части атаковали неприятеля и ворвались в занятый им населённыйпункт. В уличном бою уничтожено свыше 100 солдат и офицеров противника. Ночью разведчики под руководством тов. Холодного пробрались к немецкому укреплённому узлу. Разведчики взорвали гранатами 2 ДЗОТа, 4 блиндажа и уничтожили 40 гитлеровцев.</w:t>
      </w:r>
    </w:p>
    <w:p w14:paraId="2E7FFEDD"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Совинформбюро 20 июля сообщало о героическом подвиге экипажа самолёта под командованием тов. Дивиченко. Лётчики, участвовавшие в операции, видели, как горящий самолёт тов. Дивиченко направился на колонну немецких автоцистерн с горючим, и считали, что экипаж погиб. Сегодня получены новые сведения о судьбе экипажа самолёта: после обстрела и поджога вражеских автоцистерн объятыйпламенем самолёт тов. Дивиченко пролетел ещё два километра и совершил посадку на территории, занятой противником. Самолёт сгорел, лётчики получили сильные ожоги. Стрелок-радист тов. Ешов погиб. Тов. Дивиченко, штурман Журавлёв, стрелок-радист Мысиков в конце концов добрались до расположения наших войск. В настоящее время они находятся в госпитале. Советские патриоты заявили: «Мы были в </w:t>
      </w:r>
      <w:r w:rsidRPr="00722885">
        <w:rPr>
          <w:rFonts w:ascii="Times New Roman" w:hAnsi="Times New Roman"/>
          <w:color w:val="000000" w:themeColor="text1"/>
          <w:sz w:val="16"/>
          <w:szCs w:val="16"/>
        </w:rPr>
        <w:lastRenderedPageBreak/>
        <w:t>лапах смерти, но остались живы. Мы снова будем сражаться с ненавистным врагом. Будем драться с гитлеровцами до тех пор, пока в наших жилах течёт кровь. Наша жизнь принадлежит родине!»</w:t>
      </w:r>
    </w:p>
    <w:p w14:paraId="7F612671"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оккупированных немцами районов Белоруссии, совершил налёт на крупную железнодорожную станцию. В бою, продолжавшемся около часа, партизаны уничтожили 40 оккупантов и несколько десятков полицейских. Советские патриоты сожгли вокзал, здание комендатуры, 4 салон-вагона, в которых жили немецкие офицеры, 42 товарных вагона с грузом и взорвали железнодорожные стрелки.</w:t>
      </w:r>
    </w:p>
    <w:p w14:paraId="4D0CCC2A"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в плен солдат 111 полка 35 немецкой пехотной дивизии Вильгельм Б. рассказал: «Официальные данные немецкого командования о потерях германских войск на Восточном фронте раздражают население. Никто не верит этим цифрам. Оснований для такого недоверия очень много. Все госпитали Германии и оккупированных ею стран переполнены ранеными. Ежедневно десятки семейств любого небольшого посёлка получают извещения о гибели их близких и родных. Я из Филлингена. Население этого городка составляло 8 тысяч человек. Из жителей этого города 350 человек убиты в России. Многие ранены, некоторые вернулись калеками. А сколько пропало без вести. Война кое-кому открыла глаза и показала, что гитлеровский режим несет германскому народу. Но пока еще многие боятся сказать что-либо открыто. Опору Гитлера составляют эсэсовцы и штурмовики. Это хладнокровные убийцы, которые сегодня убивают русских, поляков, чехов и готовы весь мир залить кровью. Их надо уничтожить потому, что это не люди, а палачи».</w:t>
      </w:r>
    </w:p>
    <w:p w14:paraId="7F013EB2"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ведут успешные бои против итальянских и немецких захватчиков. После кровопролитного сражения патриоты заняли в Хорватии город Ключ и несколько окрестных деревень. Уничтожено 70 и ранено свыше 100 итальянских солдат. Захвачено 100 винтовок, 3 миномёта, 300 мин, 5.000 патронов и другое вооружение. В бою у горы Грмич партизаны отбили атаку оккупантов и нанесли им большие потери. На стороне партизан действовали 2 бомбардировщика «Юнкерс-88», которые были захвачены ими при разгроме немецкого аэродрома.» (14975).</w:t>
      </w:r>
    </w:p>
    <w:p w14:paraId="6DCF31E4" w14:textId="77777777" w:rsidR="00014545" w:rsidRPr="00722885" w:rsidRDefault="00014545" w:rsidP="00722885">
      <w:pPr>
        <w:spacing w:after="0" w:line="240" w:lineRule="auto"/>
        <w:jc w:val="both"/>
        <w:rPr>
          <w:rFonts w:ascii="Times New Roman" w:hAnsi="Times New Roman"/>
          <w:color w:val="000000" w:themeColor="text1"/>
          <w:sz w:val="16"/>
          <w:szCs w:val="16"/>
        </w:rPr>
      </w:pPr>
    </w:p>
    <w:p w14:paraId="40B9E227"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в 1942 году вечернее сообщение Совинформбюро:</w:t>
      </w:r>
    </w:p>
    <w:p w14:paraId="3625C26B"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6 августа наши войска вели ожесточённые бои в районах Клетская, Котельниково, южнее Белая Глина и южнее Кущевская.</w:t>
      </w:r>
    </w:p>
    <w:p w14:paraId="61A04AF3"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5D684270"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5 августа частями нашей авиации на различных участках фронта уничтожено или повреждено до 50 немецких танков, 5 бронемашин, до 400 автомашин с войсками и грузами, 50 повозок с боеприпасами, взорвано 4 склада боеприпасов, подавлен огонь 10 батарей полевой и зенитной артиллерии, разбит железнодорожный состав, рассеяно и частью уничтожено до трёх батальонов пехоты противника.</w:t>
      </w:r>
    </w:p>
    <w:p w14:paraId="03C9ADB0"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и южнее этого пункта продолжались упорные бои. На отдельных участках наши войска наносили контрудары по войскам противника. Полк немецкой пехоты при поддержке 30 танков атаковал одну нашу часть. Пулемётным огнём с флангов советские бойцы отсекли вражескую пехоту от танков. Огнём артиллерии было уничтожено 9 немецких танков. В это время наши бойцы перешли в контратаку, в результате которой гитлеровцы отступили. На поле боя осталось 550 солдат и офицеров противника. Южнее Клетской Н-ская часть, взаимодействуя с танковым подразделением, потеснила противника и заняла более выгодные рубежи. Захвачены пленные.</w:t>
      </w:r>
    </w:p>
    <w:p w14:paraId="6B18FB19"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Котельникова на одном узком участке гитлеровцы предприняли несколько ожесточённых танковых атак. Противнику удалось вклиниться в нашу оборону. Наши части после ожесточённого боя отошли на новый оборонительный рубеж. В этом бою уничтожено 10 немецких танков и до 400 солдат и офицеров противника.</w:t>
      </w:r>
    </w:p>
    <w:p w14:paraId="3865D6D5"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Белой Глины наши войска вели напряжённые оборонительные бои с наступающими танками и мотопехотой противника. На ряде участков наши части с боями отошли на новые рубежи. Немцы пытались выбросить воздушный десант в тылу наших войск. В одном из пунктов приземлилось 9 транспортных самолётов «Юнкерс-52» с автоматчиками противника. Советские лётчики немедленно атаковали посадочную площадку, сожгли 6 и повредили 3 немецких самолёта. Остатки десанта уничтожены или захвачены наземными войсками. В районе южнее Кущевской наши войска отбивали атаки неприятеля. Донские и кубанские казаки несколько раз врубались в боевые порядки немецко-фашистских войск и нанесли им большие потери.</w:t>
      </w:r>
    </w:p>
    <w:p w14:paraId="35EF80D2"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Снайперы Н-ской части, действующей на Ленинградском фронте, за один день истребили 79 гитлеровцев.</w:t>
      </w:r>
    </w:p>
    <w:p w14:paraId="402DD128"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Орловские партизаны за последние дни организовали несколько крушений железнодорожных эшелонов немецко-фашистских оккупантов. Около одной станции они пустили под откос 40 вагонов и платформ с танками, автомашинами и тракторами. Все немецкие солдаты, сопровождавшие этот эшелон, были уничтожены. В другом месте партизаны подорвали воинский поезд. В результате крушения убито и ранено большое число гитлеровцев.</w:t>
      </w:r>
    </w:p>
    <w:p w14:paraId="38BDAF58"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устанавливают в захваченных советских районах крепостное право. В селе Александровка, Полтавской области, немецкий комендант обязал всех колхозников по три дня в неделю работать в хозяйстве немецкого помещика Шварца. Этот новоявленный барон держит отряд полицейских; которые насильно сгоняют крестьян на работу. Женщин впрягают в повозки и заставляют возить снопы с поля на гумно.</w:t>
      </w:r>
    </w:p>
    <w:p w14:paraId="5FFC8534"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авиационном заводе в предместье Парижа вспыхнула забастовка. Французские рабочие потребовали убрать с завода всех мастеров-немцев. Администрация отказалась вступить в переговоры с бастующими. Эсэсовцы арестовали и увезли в концлагерь 400 французов. Несмотря на жестокие преследования, гитлеровцам не удалось сломить волю рабочих. Забастовка продолжается.» (14975).</w:t>
      </w:r>
    </w:p>
    <w:p w14:paraId="758F0B9B" w14:textId="77777777" w:rsidR="00014545" w:rsidRPr="00722885" w:rsidRDefault="00014545" w:rsidP="00722885">
      <w:pPr>
        <w:spacing w:after="0" w:line="240" w:lineRule="auto"/>
        <w:jc w:val="both"/>
        <w:rPr>
          <w:rFonts w:ascii="Times New Roman" w:hAnsi="Times New Roman"/>
          <w:color w:val="000000" w:themeColor="text1"/>
          <w:sz w:val="16"/>
          <w:szCs w:val="16"/>
        </w:rPr>
      </w:pPr>
    </w:p>
    <w:p w14:paraId="0BBD32D9"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в 1942 году главные силы 4-й немецкой танковой армии вышли в район Абганерово. Войска Северо-Кавказского фронта фронта (Маршал Советского Союза С.М.Будённый) вели бои с главными силами 1-й немецкой танковой армии (наносила удар на Майкоп, форсировала р. Кубань в районе Армавира) и 17-й армии (наступала на Краснодар). Началась Армавиро-Майкопская обронительная операция войск Северо-Кавказского фронта (12, 18, 56-я армии, 1-й отдельный стрелковый корпус, 17-й кавалерийский корпус, 5-я воздушная армия), продолжавшаяся до 17 августа (14975).</w:t>
      </w:r>
    </w:p>
    <w:p w14:paraId="745453EB" w14:textId="77777777" w:rsidR="00014545" w:rsidRPr="00722885" w:rsidRDefault="00014545" w:rsidP="00722885">
      <w:pPr>
        <w:spacing w:after="0" w:line="240" w:lineRule="auto"/>
        <w:jc w:val="both"/>
        <w:rPr>
          <w:rFonts w:ascii="Times New Roman" w:hAnsi="Times New Roman"/>
          <w:color w:val="000000" w:themeColor="text1"/>
          <w:sz w:val="16"/>
          <w:szCs w:val="16"/>
        </w:rPr>
      </w:pPr>
    </w:p>
    <w:p w14:paraId="62245B33"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в 1942 году под угрозой потери ржевского выступа командование группы армий "Центр" предприняло контрудар из районов Сычевки и Карманово в общем направлении на Погорелое Городище (14975).</w:t>
      </w:r>
    </w:p>
    <w:p w14:paraId="27CBA50C" w14:textId="77777777" w:rsidR="00014545" w:rsidRPr="00722885" w:rsidRDefault="00014545" w:rsidP="00722885">
      <w:pPr>
        <w:spacing w:after="0" w:line="240" w:lineRule="auto"/>
        <w:jc w:val="both"/>
        <w:rPr>
          <w:rFonts w:ascii="Times New Roman" w:hAnsi="Times New Roman"/>
          <w:color w:val="000000" w:themeColor="text1"/>
          <w:sz w:val="16"/>
          <w:szCs w:val="16"/>
        </w:rPr>
      </w:pPr>
    </w:p>
    <w:p w14:paraId="4A8777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л 183 иап к М.Д.Баранов на подступах к Сталинграду в одном бою сбил 4 самолета, причем последний - таранил. Спустился на парашюте. Это была 24 и вскоре стал ГСС (438,854).</w:t>
      </w:r>
    </w:p>
    <w:p w14:paraId="4A11A721" w14:textId="77777777" w:rsidR="00AE7191" w:rsidRPr="00722885" w:rsidRDefault="00AE7191" w:rsidP="00722885">
      <w:pPr>
        <w:pStyle w:val="Iauiue"/>
        <w:jc w:val="both"/>
        <w:rPr>
          <w:color w:val="000000" w:themeColor="text1"/>
          <w:sz w:val="16"/>
          <w:szCs w:val="16"/>
        </w:rPr>
      </w:pPr>
    </w:p>
    <w:p w14:paraId="22456E8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 воздушном бою под Котельниковом звено Як-1 под командованием командира звена 183-го иап старшего лейтенанта М.Д. Баранова сражалось с 25 Bf. 109, прикрывавшими Юнкерсы Ju-87. Тогда он лично сбил три Bf. 109 (один из них тараном) и один Ju-87 (плюс в предыдущем вылете один Bf. 109 и два Bf. 109 днем раньше). За эти бои он был удостоен звания Героя Советского Союза. Менее чем за год летчиком было уничтожено 24 вражеских самолета (12048).</w:t>
      </w:r>
    </w:p>
    <w:p w14:paraId="5CAD630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2BD7378"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6, 1942: Units of 1.Panzerarmee (von Kleist) cross the Kuban river at Armavir. General Dwight D. Eisenhower is appointed commander-in-chief of Allied forces preparing to invade North Africa (3819).</w:t>
      </w:r>
    </w:p>
    <w:p w14:paraId="3903673C" w14:textId="77777777" w:rsidR="00AE7191" w:rsidRPr="00722885" w:rsidRDefault="00AE7191" w:rsidP="00722885">
      <w:pPr>
        <w:pStyle w:val="Iauiue"/>
        <w:jc w:val="both"/>
        <w:rPr>
          <w:color w:val="000000" w:themeColor="text1"/>
          <w:sz w:val="16"/>
          <w:szCs w:val="16"/>
          <w:lang w:val="en-US"/>
        </w:rPr>
      </w:pPr>
    </w:p>
    <w:p w14:paraId="529C3BD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части 1ТГ (фон Клейст) форсировали Кубань у Армавира (3819).</w:t>
      </w:r>
    </w:p>
    <w:p w14:paraId="4EAFBBA8" w14:textId="77777777" w:rsidR="00AE7191" w:rsidRPr="00722885" w:rsidRDefault="00AE7191" w:rsidP="00722885">
      <w:pPr>
        <w:pStyle w:val="Iauiue"/>
        <w:jc w:val="both"/>
        <w:rPr>
          <w:color w:val="000000" w:themeColor="text1"/>
          <w:sz w:val="16"/>
          <w:szCs w:val="16"/>
        </w:rPr>
      </w:pPr>
    </w:p>
    <w:p w14:paraId="46BF0A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немцы захватили Воронеж (2100).</w:t>
      </w:r>
    </w:p>
    <w:p w14:paraId="29F35AC4" w14:textId="77777777" w:rsidR="00AE7191" w:rsidRPr="00722885" w:rsidRDefault="00AE7191" w:rsidP="00722885">
      <w:pPr>
        <w:pStyle w:val="Iauiue"/>
        <w:jc w:val="both"/>
        <w:rPr>
          <w:color w:val="000000" w:themeColor="text1"/>
          <w:sz w:val="16"/>
          <w:szCs w:val="16"/>
        </w:rPr>
      </w:pPr>
    </w:p>
    <w:p w14:paraId="77EDEA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6 - 17 августа 1942 прошла Армавиро-Майкопская операция по обороне и прикрытию района Майкопа и дороги Майкоп-Туапсе в ходе битвы за Кавказ. Сковали силы немцев и это позволило своевременно занять оборону по Тереку, Баксану и на перевалах, прикрывая Грозный, Тбилиси, Баку и Орджоникидзе (2438,62).</w:t>
      </w:r>
    </w:p>
    <w:p w14:paraId="7D47D7B3" w14:textId="77777777" w:rsidR="00AE7191" w:rsidRPr="00722885" w:rsidRDefault="00AE7191" w:rsidP="00722885">
      <w:pPr>
        <w:pStyle w:val="Iauiue"/>
        <w:jc w:val="both"/>
        <w:rPr>
          <w:color w:val="000000" w:themeColor="text1"/>
          <w:sz w:val="16"/>
          <w:szCs w:val="16"/>
        </w:rPr>
      </w:pPr>
    </w:p>
    <w:p w14:paraId="482AE889"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6 августа 1942 немецкие войска форсировали Кубань (4962).</w:t>
      </w:r>
    </w:p>
    <w:p w14:paraId="3127A903" w14:textId="77777777" w:rsidR="00AE7191" w:rsidRPr="00722885" w:rsidRDefault="00AE7191" w:rsidP="00722885">
      <w:pPr>
        <w:pStyle w:val="Iauiue"/>
        <w:tabs>
          <w:tab w:val="left" w:pos="11199"/>
        </w:tabs>
        <w:jc w:val="both"/>
        <w:rPr>
          <w:color w:val="000000" w:themeColor="text1"/>
          <w:sz w:val="16"/>
          <w:szCs w:val="16"/>
        </w:rPr>
      </w:pPr>
    </w:p>
    <w:p w14:paraId="598B986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августа 1942 Военный совет Сталинградского фронта принял постановление «О мероприятиях по противовоздушному обеспечению судоходства на Волге от Астрахани до Саратова». Согласно ему из Сталинградского корпусного района ПВО для вооружения речных судов выделили девять 37-мм орудий, 58 пулеметов и 311 винтовок. Для прикрытия судов были назначены 16 истребителей, базировавшихся во Владимировке и Дубовке. Постановление обязывало на эти же цели выделить не позже 9 августа еще  66 орудий, 170 пулеметов и 30 истребителей. Однако всего этого было недостаточно для ПВО такого большого района. Тем временем бомбардировщики атаковали волжские пристани и корабли, двигавшиеся по реке. Николай Ермаков – в 1942 г. штурман парохода – вспоминал:  «Когда мы пришли в Сталинград, нас хотели поставить под элеватор для загрузки зерном. По потом пришел приказ: перевезти, то есть эвакуировать аэродром. Пас стояло три парохода: „Тургенев“, „Лядов“ и наш. Погрузились мы, и надо было отплывать, но двигатели на нашем пароходе заглохли, и, как мы ни бились, завести не могли. „Тургенев“ и „Лядов“ ушли без нас, а мы заночевали. Утром капитан пришел из радиорубки. Мы смотрим – он белый, как полотно. Спрашиваем его: </w:t>
      </w:r>
    </w:p>
    <w:p w14:paraId="5B61953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Что с тобой? </w:t>
      </w:r>
    </w:p>
    <w:p w14:paraId="49A6EA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Взорвался «Лядов»… </w:t>
      </w:r>
    </w:p>
    <w:p w14:paraId="236CD0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Но вот двигатели нашего парохода заработали, и мы пошли. Стали подходить к месту взрыва парохода «Лядов». Капитан сбавил ход… Все были очень взволнованы и напряжены. Свободные от вахты вышли на палубу. Пароход наш идет очень медленно, мы смотрим по сторонам. Каждую минуту ожидаем взрыва, беспокойство </w:t>
      </w:r>
      <w:r w:rsidRPr="00722885">
        <w:rPr>
          <w:rFonts w:ascii="Times New Roman" w:hAnsi="Times New Roman"/>
          <w:color w:val="000000" w:themeColor="text1"/>
          <w:sz w:val="16"/>
          <w:szCs w:val="16"/>
        </w:rPr>
        <w:lastRenderedPageBreak/>
        <w:t xml:space="preserve">растет. По все же проскочили благополучно. Доплыли до Владимировки – места назначения груза – и тут же занялись разгрузкой. Работали без отдыха: целыми днями разгружали, а ночью скрывались». </w:t>
      </w:r>
    </w:p>
    <w:p w14:paraId="2078732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небе часто доносился гул моторов и гремели взрывы. После разгрузки пароход, на котором плавал Ермаков, вернулся в Сталинград и пришвартовался у Речного вокзала. Когда погрузка пшеницы была в самом разгаре, начался налет немецкой авиации на город. Одна фугасная бомба взорвалась в 50 м от порта. Далее Ермаков вспоминал:  «Когда кончилась погрузка, директор зернохранилища сказал нам: "Не знаю, какая ваша судьба. Пять пароходов погрузили, и от мин и вражеских бомб все пошли на дно с пшеницей и людьми "». Естественно, подобная информация не улучшила настроения речникам, но вечером судно вновь отправилось вверх по Волге. Корабль дважды подвергался налетам, но все же добрался до места назначения.</w:t>
      </w:r>
    </w:p>
    <w:p w14:paraId="47E7573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Другим судам повезло меньше. В эти дни подорвался на мине и затонул пассажирский пароход «Коммунистка» с четырьмя сотнями пассажиров на борту. Корабль ушел под воду столь стремительно, что большинство людей не успели даже покинуть каюты. В итоге спастись и добраться до берега удалось лишь каждому пятому. Также погибли теплоход «Ильич», грузовой теплоход «Татария» и др. Всего с 25 июля по 10 августа по заминированному участку Волги прошли 302 судна речного флота, из которых 69 подорвались на минах либо были потоплены самолетами, в т.ч. 12 больших пароходов и 19 нефтеналивных судов. Таким образом, затонул каждый четвертый корабль. При этом погибли сотни людей, ушло под воду значительное количество грузов, по реке разлились 115 тыс. т нефтепродуктов! Это был очевидный успех бомбардировочной авиации Люфтваффе (11774).</w:t>
      </w:r>
    </w:p>
    <w:p w14:paraId="110AD3D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76CE12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в 02.35 немецкие бомбардировщики совершили налет на железнодорожный узел Балашов. На станцию и прилегающие объекты были сброшены 100 фугасных и осколочных, а также около 200 зажигательных бомб всех калибров. В результате были разрушены вокзал, больница и несколько жилых домов, повреждены железнодорожные пути. Были убиты и ранены 32 человека.</w:t>
      </w:r>
    </w:p>
    <w:p w14:paraId="5706620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Регулярно наносились удары по железнодорожным линиям в Кистендейском, Аркадакском и Салтыковском районах, расположенных в треугольнике Балашов – Ртищево – Аткарск. Руководство Юго-Восточной железной дороги и органы военных сообщений Сталинградского фронта оказались в кризисном положении. Магистрали, и без того имевшие небольшую пропускную способность, были всюду забиты пробками из сотен вагонов и цистерн. Грузооборот увеличивался с каждым днем, и некоторые эшелоны передвигались в среднем по 15—20 км в сутки!</w:t>
      </w:r>
    </w:p>
    <w:p w14:paraId="2AEC27C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Лишь благодаря тому, что как раз в это время железнодорожные войска и спецформирования Наркомата путей сообщения героическими усилиями достроили 150-километровую ветку Петров Вал – Иловля, протянувшуюся вдоль правого берега Волги, обстановка несколько разрядилась. Это позволило организовать круговое одностороннее движение эшелонов по маршруту Балашов – Поворино – Иловля – Петров Вал – Балашов. Теперь, несмотря на регулярные налеты, по этой линии могли проходить по 30—40 поездов в сутки.</w:t>
      </w:r>
    </w:p>
    <w:p w14:paraId="40BEA0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Самолеты-разведчики Люфтваффе быстро зафиксировали это изменение. Сразу же изменилась и тактика бомбардировщиков. Немецкие самолеты стали наносить удары не только по узловым станциям, но и по всему участку дороги от Арчеды до Качалино протяженностью 100 км. Налеты производились с одинаковыми интервалами через каждые 36—48 часов. Восстановление поврежденных сразу во многих местах путей занимало, несмотря на привлечение большого количества людей и техники, не менее 10—12 часов. В результате все это время эшелоны простаивали и вновь создавались большие пробки.</w:t>
      </w:r>
    </w:p>
    <w:p w14:paraId="6C1AC38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Железнодорожники были вынуждены строить вдоль всего полотна укрытия, окопы и землянки для ремонтных бригад, сваливать запасы рельсов, шпал, скреплений. На расстоянии 100 м от дороги в зарослях укрывали строительную технику: трактора, тягачи, автокраны. Кроме постоянных налетов, на работе транспорта сказывались и технические трудности. 273-километровая линия Балашов – Камышин была однопутной и находилась в запущенном состоянии. Старые рельсы, ветхие гнилые шпалы позволяли поездам двигаться со скоростью не более 15—20 км/ч. Постоянно происходили аварии, вагоны то и дело сходили с рельсов. Кроме того, местность вокруг дороги была малонаселенной, на редких станциях отсутствовали тупиковые пути и погрузочные платформы. Поэтому сошедшие с путей вагоны и вышедшие из строя паровозы приходилось просто сталкивать в кювет. Зато машинисты, проезжая по этому участку, могли перевести дух, т.к. немецкие самолеты пока появлялись здесь достаточно редко.</w:t>
      </w:r>
    </w:p>
    <w:p w14:paraId="59CD327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Северо-восточнее, по западному берегу Волги, спешно строились еще две железнодорожных ветки: Сызрань – Саратов и далее от Саратова до Петрова Вала. Одновременно с этим на юге была спешно введена в строй еще одна, почти 350-километровая, железнодорожная ветка Кизляр – Астрахань. Однопутную линию проложили по берегу Каспийского моря с целью ускорить вывоз грозненской нефти в центральные районы СССР. Поскольку мост через Волгу в Астрахани построить не успели, пришлось организовать здесь паромную переправу, а затем и наплавной железнодорожный мост.</w:t>
      </w:r>
    </w:p>
    <w:p w14:paraId="3016FB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временем удары авиации следовали каждый день. 15 августа около 07.00 по берлинскому времени «Хейнкели» из II./KG27 совершили налет на железнодорожную линию Поворино – Иловля. При этом 6-я эскадрилья атаковала станцию Фролово, а 5-я эскадрилья – станцию Раковка. «Хейнкели» были атакованы «восьмеркой» И-16, и в результате два Не-111H-6 – «1G+FP»h «1G+JN» – получили попадания, два члена их экипажей – обер-ефрейтор Курт Лауэр и унтер-офицер Вилли Хей – были ранены. Тем не менее в 10.25 все самолеты благополучно приземлились в Кутейниково. Согласно немецким данным, огнем бортстрелков были сбиты два истребителя. На следующий день группа совершила налет на ж/д станцию Михайловка. Бомбардировщики снова встретились с советскими истребителями, и на Не-111H-6 «1G+KM» из 4-й эскадрильи был ранен бортмеханик обер-фельдфебель Ханс Хаас.</w:t>
      </w:r>
    </w:p>
    <w:p w14:paraId="7CAF647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20 августа «Хейнкели» из II./KG27, взлетев с аэродрома в Кутейниково и преодолев расстояние в 450 км, атаковали железнодорожную линию Иловля – Камышин. При этом Не-11 Ш-6 «1G+HP» из 6-й эскадрильи был сбит огнем зенитной артиллерии и упал в шести километрах северо-восточнее Иловли. О дальнейшей судьбе пяти членов его экипажа во главе с фельдфебелем Фритцем Гарбенсом ничего не известно, и они считаются пропавшими без вести.</w:t>
      </w:r>
    </w:p>
    <w:p w14:paraId="6FADDEA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На следующий день налет повторился. На сей раз «Хейнкели» были атакованы группой из восьми – десяти истребителей МиГ-3, которым удалось обстрелять бомбардировщик лейтенанта Эдуарда Скрципека из 5./KG27. В результате пилот и штурман унтер-офицер Эрнст Гольдхаммер получили ранения, однако им все же удалось оторваться от преследователей и вернуться на аэродром.</w:t>
      </w:r>
    </w:p>
    <w:p w14:paraId="7C439A2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бомбардировке подверглась железнодорожная линия Балашов – Камышин. В результате были частично разрушены станции Елань и Самойловка. «Хейнкели» из III./KG27 сбрасывали бомбы с малой высоты, и в результате один самолет был сильно поврежден зенитным огнем, но все же смог дотянуть до аэродрома в Курске и благополучно приземлиться (11774).</w:t>
      </w:r>
    </w:p>
    <w:p w14:paraId="487D191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238623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81DCB06" w14:textId="77777777" w:rsidR="00AE7191" w:rsidRPr="00722885" w:rsidRDefault="00AE7191" w:rsidP="00722885">
      <w:pPr>
        <w:pStyle w:val="Iauiue"/>
        <w:jc w:val="both"/>
        <w:rPr>
          <w:iCs/>
          <w:color w:val="000000" w:themeColor="text1"/>
          <w:sz w:val="16"/>
          <w:szCs w:val="16"/>
        </w:rPr>
      </w:pPr>
    </w:p>
    <w:p w14:paraId="3A02919B"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6 августа 1942 Англия официально разорвала Мюнхенские соглашения (4962).</w:t>
      </w:r>
    </w:p>
    <w:p w14:paraId="0F98AB6C" w14:textId="77777777" w:rsidR="00AE7191" w:rsidRPr="00722885" w:rsidRDefault="00AE7191" w:rsidP="00722885">
      <w:pPr>
        <w:pStyle w:val="Iauiue"/>
        <w:tabs>
          <w:tab w:val="left" w:pos="11199"/>
        </w:tabs>
        <w:jc w:val="both"/>
        <w:rPr>
          <w:color w:val="000000" w:themeColor="text1"/>
          <w:sz w:val="16"/>
          <w:szCs w:val="16"/>
        </w:rPr>
      </w:pPr>
    </w:p>
    <w:p w14:paraId="6EF505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г Эйзенхауэр был назначен главнокомандующим союзными силами в операции Торч (3186).</w:t>
      </w:r>
    </w:p>
    <w:p w14:paraId="48F34D6B" w14:textId="77777777" w:rsidR="00AE7191" w:rsidRPr="00722885" w:rsidRDefault="00AE7191" w:rsidP="00722885">
      <w:pPr>
        <w:pStyle w:val="Iauiue"/>
        <w:jc w:val="both"/>
        <w:rPr>
          <w:color w:val="000000" w:themeColor="text1"/>
          <w:sz w:val="16"/>
          <w:szCs w:val="16"/>
        </w:rPr>
      </w:pPr>
    </w:p>
    <w:p w14:paraId="38EDD69E"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74F2F96" w14:textId="77777777" w:rsidR="00AE7191" w:rsidRPr="00722885" w:rsidRDefault="00AE7191" w:rsidP="00722885">
      <w:pPr>
        <w:pStyle w:val="Iauiue"/>
        <w:jc w:val="both"/>
        <w:rPr>
          <w:iCs/>
          <w:color w:val="000000" w:themeColor="text1"/>
          <w:sz w:val="16"/>
          <w:szCs w:val="16"/>
        </w:rPr>
      </w:pPr>
    </w:p>
    <w:p w14:paraId="53E14C3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августа 1942 бригинженер П.Я. Федрови по поручению на</w:t>
      </w:r>
      <w:r w:rsidRPr="00722885">
        <w:rPr>
          <w:rFonts w:ascii="Times New Roman" w:hAnsi="Times New Roman"/>
          <w:color w:val="000000" w:themeColor="text1"/>
          <w:sz w:val="16"/>
          <w:szCs w:val="16"/>
        </w:rPr>
        <w:softHyphen/>
        <w:t>чальник Инспекции ВВС КА полков</w:t>
      </w:r>
      <w:r w:rsidRPr="00722885">
        <w:rPr>
          <w:rFonts w:ascii="Times New Roman" w:hAnsi="Times New Roman"/>
          <w:color w:val="000000" w:themeColor="text1"/>
          <w:sz w:val="16"/>
          <w:szCs w:val="16"/>
        </w:rPr>
        <w:softHyphen/>
        <w:t>ника В.И. Сталин докладывал:</w:t>
      </w:r>
    </w:p>
    <w:p w14:paraId="0535685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«Облетанный мною в 434 полку на Люберецком аэродроме серийный самолет ЛАГ-5 М-82 является более устойчивым и улучшенным по техни</w:t>
      </w:r>
      <w:r w:rsidRPr="00722885">
        <w:rPr>
          <w:rFonts w:ascii="Times New Roman" w:hAnsi="Times New Roman"/>
          <w:color w:val="000000" w:themeColor="text1"/>
          <w:sz w:val="16"/>
          <w:szCs w:val="16"/>
        </w:rPr>
        <w:softHyphen/>
        <w:t>ке пилотирования в сравнении с само</w:t>
      </w:r>
      <w:r w:rsidRPr="00722885">
        <w:rPr>
          <w:rFonts w:ascii="Times New Roman" w:hAnsi="Times New Roman"/>
          <w:color w:val="000000" w:themeColor="text1"/>
          <w:sz w:val="16"/>
          <w:szCs w:val="16"/>
        </w:rPr>
        <w:softHyphen/>
        <w:t>летом ЛАГГ-3 М-105 и имеет более высокие скорости.</w:t>
      </w:r>
    </w:p>
    <w:p w14:paraId="6CF1B33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Осмотром и облетом самолета ЛАГ-5 установлено, что наряду с улуч</w:t>
      </w:r>
      <w:r w:rsidRPr="00722885">
        <w:rPr>
          <w:rFonts w:ascii="Times New Roman" w:hAnsi="Times New Roman"/>
          <w:color w:val="000000" w:themeColor="text1"/>
          <w:sz w:val="16"/>
          <w:szCs w:val="16"/>
        </w:rPr>
        <w:softHyphen/>
        <w:t>шением самолет имеет крупные кон</w:t>
      </w:r>
      <w:r w:rsidRPr="00722885">
        <w:rPr>
          <w:rFonts w:ascii="Times New Roman" w:hAnsi="Times New Roman"/>
          <w:color w:val="000000" w:themeColor="text1"/>
          <w:sz w:val="16"/>
          <w:szCs w:val="16"/>
        </w:rPr>
        <w:softHyphen/>
        <w:t>структивные и производственные де</w:t>
      </w:r>
      <w:r w:rsidRPr="00722885">
        <w:rPr>
          <w:rFonts w:ascii="Times New Roman" w:hAnsi="Times New Roman"/>
          <w:color w:val="000000" w:themeColor="text1"/>
          <w:sz w:val="16"/>
          <w:szCs w:val="16"/>
        </w:rPr>
        <w:softHyphen/>
        <w:t>фекты, которые характеризуют само</w:t>
      </w:r>
      <w:r w:rsidRPr="00722885">
        <w:rPr>
          <w:rFonts w:ascii="Times New Roman" w:hAnsi="Times New Roman"/>
          <w:color w:val="000000" w:themeColor="text1"/>
          <w:sz w:val="16"/>
          <w:szCs w:val="16"/>
        </w:rPr>
        <w:softHyphen/>
        <w:t>лет ЛАГ-5 М-82, как недоведенный до степени нормальной эксплоатации.</w:t>
      </w:r>
    </w:p>
    <w:p w14:paraId="0F743ED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Качество производственного выпол</w:t>
      </w:r>
      <w:r w:rsidRPr="00722885">
        <w:rPr>
          <w:rFonts w:ascii="Times New Roman" w:hAnsi="Times New Roman"/>
          <w:color w:val="000000" w:themeColor="text1"/>
          <w:sz w:val="16"/>
          <w:szCs w:val="16"/>
        </w:rPr>
        <w:softHyphen/>
        <w:t>нения самолета, подгонка и отладка отдельных агрегатов стоят не на дол</w:t>
      </w:r>
      <w:r w:rsidRPr="00722885">
        <w:rPr>
          <w:rFonts w:ascii="Times New Roman" w:hAnsi="Times New Roman"/>
          <w:color w:val="000000" w:themeColor="text1"/>
          <w:sz w:val="16"/>
          <w:szCs w:val="16"/>
        </w:rPr>
        <w:softHyphen/>
        <w:t>жной высоте и затрудняют эксплоа-тацию самолета, тем самым понижая его боеспособность.</w:t>
      </w:r>
    </w:p>
    <w:p w14:paraId="799C52A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Совершенно неудовлетворительный монтаж рычагов управления мотором, шасси, закрылков, юбками капота мо</w:t>
      </w:r>
      <w:r w:rsidRPr="00722885">
        <w:rPr>
          <w:rFonts w:ascii="Times New Roman" w:hAnsi="Times New Roman"/>
          <w:color w:val="000000" w:themeColor="text1"/>
          <w:sz w:val="16"/>
          <w:szCs w:val="16"/>
        </w:rPr>
        <w:softHyphen/>
        <w:t>тора, триммером руля высоты, надвиж</w:t>
      </w:r>
      <w:r w:rsidRPr="00722885">
        <w:rPr>
          <w:rFonts w:ascii="Times New Roman" w:hAnsi="Times New Roman"/>
          <w:color w:val="000000" w:themeColor="text1"/>
          <w:sz w:val="16"/>
          <w:szCs w:val="16"/>
        </w:rPr>
        <w:softHyphen/>
        <w:t>ного фонаря, которые обременяют летчика, требуют от него повышенно</w:t>
      </w:r>
      <w:r w:rsidRPr="00722885">
        <w:rPr>
          <w:rFonts w:ascii="Times New Roman" w:hAnsi="Times New Roman"/>
          <w:color w:val="000000" w:themeColor="text1"/>
          <w:sz w:val="16"/>
          <w:szCs w:val="16"/>
        </w:rPr>
        <w:softHyphen/>
        <w:t>го внимания, а кнопки механизма вы</w:t>
      </w:r>
      <w:r w:rsidRPr="00722885">
        <w:rPr>
          <w:rFonts w:ascii="Times New Roman" w:hAnsi="Times New Roman"/>
          <w:color w:val="000000" w:themeColor="text1"/>
          <w:sz w:val="16"/>
          <w:szCs w:val="16"/>
        </w:rPr>
        <w:softHyphen/>
        <w:t>пуска шасси и закрылков принужда</w:t>
      </w:r>
      <w:r w:rsidRPr="00722885">
        <w:rPr>
          <w:rFonts w:ascii="Times New Roman" w:hAnsi="Times New Roman"/>
          <w:color w:val="000000" w:themeColor="text1"/>
          <w:sz w:val="16"/>
          <w:szCs w:val="16"/>
        </w:rPr>
        <w:softHyphen/>
        <w:t>ют летчика брать с собой в полет инструмент (плоскогубцы или рекомен</w:t>
      </w:r>
      <w:r w:rsidRPr="00722885">
        <w:rPr>
          <w:rFonts w:ascii="Times New Roman" w:hAnsi="Times New Roman"/>
          <w:color w:val="000000" w:themeColor="text1"/>
          <w:sz w:val="16"/>
          <w:szCs w:val="16"/>
        </w:rPr>
        <w:softHyphen/>
        <w:t>дованную заводом отмычку} для уст</w:t>
      </w:r>
      <w:r w:rsidRPr="00722885">
        <w:rPr>
          <w:rFonts w:ascii="Times New Roman" w:hAnsi="Times New Roman"/>
          <w:color w:val="000000" w:themeColor="text1"/>
          <w:sz w:val="16"/>
          <w:szCs w:val="16"/>
        </w:rPr>
        <w:softHyphen/>
        <w:t>ранения заедания в гнездах кнопок управления этими агрегатами в воз</w:t>
      </w:r>
      <w:r w:rsidRPr="00722885">
        <w:rPr>
          <w:rFonts w:ascii="Times New Roman" w:hAnsi="Times New Roman"/>
          <w:color w:val="000000" w:themeColor="text1"/>
          <w:sz w:val="16"/>
          <w:szCs w:val="16"/>
        </w:rPr>
        <w:softHyphen/>
        <w:t>духе.</w:t>
      </w:r>
    </w:p>
    <w:p w14:paraId="7D1C2E4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Сектора управления мотором на взлете и при скорости выше сред</w:t>
      </w:r>
      <w:r w:rsidRPr="00722885">
        <w:rPr>
          <w:rFonts w:ascii="Times New Roman" w:hAnsi="Times New Roman"/>
          <w:color w:val="000000" w:themeColor="text1"/>
          <w:sz w:val="16"/>
          <w:szCs w:val="16"/>
        </w:rPr>
        <w:softHyphen/>
        <w:t>ней произвольно отходят назад, а зас</w:t>
      </w:r>
      <w:r w:rsidRPr="00722885">
        <w:rPr>
          <w:rFonts w:ascii="Times New Roman" w:hAnsi="Times New Roman"/>
          <w:color w:val="000000" w:themeColor="text1"/>
          <w:sz w:val="16"/>
          <w:szCs w:val="16"/>
        </w:rPr>
        <w:softHyphen/>
        <w:t>лонка карбюратора прикрывается независимо от желания летчика.</w:t>
      </w:r>
    </w:p>
    <w:p w14:paraId="3D294B9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Закрылки работают ненадежно, а посадка без закрылков является бо</w:t>
      </w:r>
      <w:r w:rsidRPr="00722885">
        <w:rPr>
          <w:rFonts w:ascii="Times New Roman" w:hAnsi="Times New Roman"/>
          <w:color w:val="000000" w:themeColor="text1"/>
          <w:sz w:val="16"/>
          <w:szCs w:val="16"/>
        </w:rPr>
        <w:softHyphen/>
        <w:t>лее тяжелой и нежелательной для самолета.</w:t>
      </w:r>
    </w:p>
    <w:p w14:paraId="7444BC6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на малом газе, во время планирования, работает неустойчиво, на посадке и пробеге, независимо от летчика, мотор имеет повышенные обороты.</w:t>
      </w:r>
    </w:p>
    <w:p w14:paraId="0BFDE87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Низкое качество производственного выполнения самолета подтверждает</w:t>
      </w:r>
      <w:r w:rsidRPr="00722885">
        <w:rPr>
          <w:rFonts w:ascii="Times New Roman" w:hAnsi="Times New Roman"/>
          <w:color w:val="000000" w:themeColor="text1"/>
          <w:sz w:val="16"/>
          <w:szCs w:val="16"/>
        </w:rPr>
        <w:softHyphen/>
        <w:t>ся тем, что за короткий (2-3 дня) пери</w:t>
      </w:r>
      <w:r w:rsidRPr="00722885">
        <w:rPr>
          <w:rFonts w:ascii="Times New Roman" w:hAnsi="Times New Roman"/>
          <w:color w:val="000000" w:themeColor="text1"/>
          <w:sz w:val="16"/>
          <w:szCs w:val="16"/>
        </w:rPr>
        <w:softHyphen/>
        <w:t>од эксплоатации у самолета разбол</w:t>
      </w:r>
      <w:r w:rsidRPr="00722885">
        <w:rPr>
          <w:rFonts w:ascii="Times New Roman" w:hAnsi="Times New Roman"/>
          <w:color w:val="000000" w:themeColor="text1"/>
          <w:sz w:val="16"/>
          <w:szCs w:val="16"/>
        </w:rPr>
        <w:softHyphen/>
        <w:t>тался фонарь, остекление и потрес</w:t>
      </w:r>
      <w:r w:rsidRPr="00722885">
        <w:rPr>
          <w:rFonts w:ascii="Times New Roman" w:hAnsi="Times New Roman"/>
          <w:color w:val="000000" w:themeColor="text1"/>
          <w:sz w:val="16"/>
          <w:szCs w:val="16"/>
        </w:rPr>
        <w:softHyphen/>
        <w:t>кались капоты, хотя полетов на боль</w:t>
      </w:r>
      <w:r w:rsidRPr="00722885">
        <w:rPr>
          <w:rFonts w:ascii="Times New Roman" w:hAnsi="Times New Roman"/>
          <w:color w:val="000000" w:themeColor="text1"/>
          <w:sz w:val="16"/>
          <w:szCs w:val="16"/>
        </w:rPr>
        <w:softHyphen/>
        <w:t>ших скоростях еще не было, а также появляется ряд мелких дефектов, из-за которых прекращаются полеты.</w:t>
      </w:r>
    </w:p>
    <w:p w14:paraId="26CBAD5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летном отношении самолет ЛАГ-5, хотя и имеет по сравнению с ЛАГГ-3 улучшения, но боевые свойства его, маневренность и управляемость на</w:t>
      </w:r>
      <w:r w:rsidRPr="00722885">
        <w:rPr>
          <w:rFonts w:ascii="Times New Roman" w:hAnsi="Times New Roman"/>
          <w:color w:val="000000" w:themeColor="text1"/>
          <w:sz w:val="16"/>
          <w:szCs w:val="16"/>
        </w:rPr>
        <w:softHyphen/>
        <w:t>ходятся не выше уровня, чем у само</w:t>
      </w:r>
      <w:r w:rsidRPr="00722885">
        <w:rPr>
          <w:rFonts w:ascii="Times New Roman" w:hAnsi="Times New Roman"/>
          <w:color w:val="000000" w:themeColor="text1"/>
          <w:sz w:val="16"/>
          <w:szCs w:val="16"/>
        </w:rPr>
        <w:softHyphen/>
        <w:t>лета МИГ.</w:t>
      </w:r>
    </w:p>
    <w:p w14:paraId="6EC5BE7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скоростям и скороподъемности ЛАГ-5 М-82 имеет небольшое пре</w:t>
      </w:r>
      <w:r w:rsidRPr="00722885">
        <w:rPr>
          <w:rFonts w:ascii="Times New Roman" w:hAnsi="Times New Roman"/>
          <w:color w:val="000000" w:themeColor="text1"/>
          <w:sz w:val="16"/>
          <w:szCs w:val="16"/>
        </w:rPr>
        <w:softHyphen/>
        <w:t>имущество перед ЯК-7 М-105Ф, но горизонтальная и вертикальная ма</w:t>
      </w:r>
      <w:r w:rsidRPr="00722885">
        <w:rPr>
          <w:rFonts w:ascii="Times New Roman" w:hAnsi="Times New Roman"/>
          <w:color w:val="000000" w:themeColor="text1"/>
          <w:sz w:val="16"/>
          <w:szCs w:val="16"/>
        </w:rPr>
        <w:softHyphen/>
        <w:t>невренность значительно ниже пос</w:t>
      </w:r>
      <w:r w:rsidRPr="00722885">
        <w:rPr>
          <w:rFonts w:ascii="Times New Roman" w:hAnsi="Times New Roman"/>
          <w:color w:val="000000" w:themeColor="text1"/>
          <w:sz w:val="16"/>
          <w:szCs w:val="16"/>
        </w:rPr>
        <w:softHyphen/>
        <w:t>леднего. Следует отметить, что снять максимальную скорость в маневрен</w:t>
      </w:r>
      <w:r w:rsidRPr="00722885">
        <w:rPr>
          <w:rFonts w:ascii="Times New Roman" w:hAnsi="Times New Roman"/>
          <w:color w:val="000000" w:themeColor="text1"/>
          <w:sz w:val="16"/>
          <w:szCs w:val="16"/>
        </w:rPr>
        <w:softHyphen/>
        <w:t>ном полете весьма затруднительно, так как для этого следует прикрыть юбки капота мотора, управление которыми очень тяжелое.</w:t>
      </w:r>
    </w:p>
    <w:p w14:paraId="3328CF9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Во время полета с полностью зак</w:t>
      </w:r>
      <w:r w:rsidRPr="00722885">
        <w:rPr>
          <w:rFonts w:ascii="Times New Roman" w:hAnsi="Times New Roman"/>
          <w:color w:val="000000" w:themeColor="text1"/>
          <w:sz w:val="16"/>
          <w:szCs w:val="16"/>
        </w:rPr>
        <w:softHyphen/>
        <w:t>рытой юбкой капота мотора и зас</w:t>
      </w:r>
      <w:r w:rsidRPr="00722885">
        <w:rPr>
          <w:rFonts w:ascii="Times New Roman" w:hAnsi="Times New Roman"/>
          <w:color w:val="000000" w:themeColor="text1"/>
          <w:sz w:val="16"/>
          <w:szCs w:val="16"/>
        </w:rPr>
        <w:softHyphen/>
        <w:t>лонкой маслорадиатора, горизонталь</w:t>
      </w:r>
      <w:r w:rsidRPr="00722885">
        <w:rPr>
          <w:rFonts w:ascii="Times New Roman" w:hAnsi="Times New Roman"/>
          <w:color w:val="000000" w:themeColor="text1"/>
          <w:sz w:val="16"/>
          <w:szCs w:val="16"/>
        </w:rPr>
        <w:softHyphen/>
        <w:t>ная скорость у земли по прибору не превышает 460-465 км/ч. Набор вы</w:t>
      </w:r>
      <w:r w:rsidRPr="00722885">
        <w:rPr>
          <w:rFonts w:ascii="Times New Roman" w:hAnsi="Times New Roman"/>
          <w:color w:val="000000" w:themeColor="text1"/>
          <w:sz w:val="16"/>
          <w:szCs w:val="16"/>
        </w:rPr>
        <w:softHyphen/>
        <w:t>соты на боевом развороте с макси</w:t>
      </w:r>
      <w:r w:rsidRPr="00722885">
        <w:rPr>
          <w:rFonts w:ascii="Times New Roman" w:hAnsi="Times New Roman"/>
          <w:color w:val="000000" w:themeColor="text1"/>
          <w:sz w:val="16"/>
          <w:szCs w:val="16"/>
        </w:rPr>
        <w:softHyphen/>
        <w:t>мально-горизонтальной до эволютив-ной (250 км/ч) скоростей достигает 800 метров. Время виража - 23-24 сек, а восьмерки 52-54 сек.</w:t>
      </w:r>
    </w:p>
    <w:p w14:paraId="3FB0D78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Предкрылки работают удовлетво</w:t>
      </w:r>
      <w:r w:rsidRPr="00722885">
        <w:rPr>
          <w:rFonts w:ascii="Times New Roman" w:hAnsi="Times New Roman"/>
          <w:color w:val="000000" w:themeColor="text1"/>
          <w:sz w:val="16"/>
          <w:szCs w:val="16"/>
        </w:rPr>
        <w:softHyphen/>
        <w:t>рительно, хотя на парашютировании и открываются не одновременно: правый на скорости 220 км/ч, а ле</w:t>
      </w:r>
      <w:r w:rsidRPr="00722885">
        <w:rPr>
          <w:rFonts w:ascii="Times New Roman" w:hAnsi="Times New Roman"/>
          <w:color w:val="000000" w:themeColor="text1"/>
          <w:sz w:val="16"/>
          <w:szCs w:val="16"/>
        </w:rPr>
        <w:softHyphen/>
        <w:t>вый на 200 км/ч.</w:t>
      </w:r>
    </w:p>
    <w:p w14:paraId="7E484F2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парашютировании с прикрытым мотором доводилась до 170 км/ч, и при этом срыва в штопор или сваливания на крыло не наблю</w:t>
      </w:r>
      <w:r w:rsidRPr="00722885">
        <w:rPr>
          <w:rFonts w:ascii="Times New Roman" w:hAnsi="Times New Roman"/>
          <w:color w:val="000000" w:themeColor="text1"/>
          <w:sz w:val="16"/>
          <w:szCs w:val="16"/>
        </w:rPr>
        <w:softHyphen/>
        <w:t>далась (тряска мотора на малом газе не позволяла уменьшить скорость парашютирования до срыва).</w:t>
      </w:r>
    </w:p>
    <w:p w14:paraId="3712269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на планировании при от</w:t>
      </w:r>
      <w:r w:rsidRPr="00722885">
        <w:rPr>
          <w:rFonts w:ascii="Times New Roman" w:hAnsi="Times New Roman"/>
          <w:color w:val="000000" w:themeColor="text1"/>
          <w:sz w:val="16"/>
          <w:szCs w:val="16"/>
        </w:rPr>
        <w:softHyphen/>
        <w:t>крытых закрылках и при закрытых ве</w:t>
      </w:r>
      <w:r w:rsidRPr="00722885">
        <w:rPr>
          <w:rFonts w:ascii="Times New Roman" w:hAnsi="Times New Roman"/>
          <w:color w:val="000000" w:themeColor="text1"/>
          <w:sz w:val="16"/>
          <w:szCs w:val="16"/>
        </w:rPr>
        <w:softHyphen/>
        <w:t>дет себя нормально. Открытие зак</w:t>
      </w:r>
      <w:r w:rsidRPr="00722885">
        <w:rPr>
          <w:rFonts w:ascii="Times New Roman" w:hAnsi="Times New Roman"/>
          <w:color w:val="000000" w:themeColor="text1"/>
          <w:sz w:val="16"/>
          <w:szCs w:val="16"/>
        </w:rPr>
        <w:softHyphen/>
        <w:t>рылков вызывает пикирующий момент (самолет опускает нос и висит на ручке).</w:t>
      </w:r>
    </w:p>
    <w:p w14:paraId="4E60814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Приземление и посадка самолета не сложны, особенностей не имеют, а пробег при торможении колес отно</w:t>
      </w:r>
      <w:r w:rsidRPr="00722885">
        <w:rPr>
          <w:rFonts w:ascii="Times New Roman" w:hAnsi="Times New Roman"/>
          <w:color w:val="000000" w:themeColor="text1"/>
          <w:sz w:val="16"/>
          <w:szCs w:val="16"/>
        </w:rPr>
        <w:softHyphen/>
        <w:t>сительно небольшой.</w:t>
      </w:r>
    </w:p>
    <w:p w14:paraId="674D0AC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11A3BA7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ЛАГ-5 М-82 по сравне</w:t>
      </w:r>
      <w:r w:rsidRPr="00722885">
        <w:rPr>
          <w:rFonts w:ascii="Times New Roman" w:hAnsi="Times New Roman"/>
          <w:color w:val="000000" w:themeColor="text1"/>
          <w:sz w:val="16"/>
          <w:szCs w:val="16"/>
        </w:rPr>
        <w:softHyphen/>
        <w:t>нию с самолетом ЛАГГ-3 М-105 име</w:t>
      </w:r>
      <w:r w:rsidRPr="00722885">
        <w:rPr>
          <w:rFonts w:ascii="Times New Roman" w:hAnsi="Times New Roman"/>
          <w:color w:val="000000" w:themeColor="text1"/>
          <w:sz w:val="16"/>
          <w:szCs w:val="16"/>
        </w:rPr>
        <w:softHyphen/>
        <w:t>ет более лучшие летно-тактические данные.</w:t>
      </w:r>
    </w:p>
    <w:p w14:paraId="5135C50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Винтомоторная группа, механизмы управления шасси и закрылками до условий нормальной эксплоатации не доведены. Самолет имеет много про</w:t>
      </w:r>
      <w:r w:rsidRPr="00722885">
        <w:rPr>
          <w:rFonts w:ascii="Times New Roman" w:hAnsi="Times New Roman"/>
          <w:color w:val="000000" w:themeColor="text1"/>
          <w:sz w:val="16"/>
          <w:szCs w:val="16"/>
        </w:rPr>
        <w:softHyphen/>
        <w:t>изводственных и конструктивных де</w:t>
      </w:r>
      <w:r w:rsidRPr="00722885">
        <w:rPr>
          <w:rFonts w:ascii="Times New Roman" w:hAnsi="Times New Roman"/>
          <w:color w:val="000000" w:themeColor="text1"/>
          <w:sz w:val="16"/>
          <w:szCs w:val="16"/>
        </w:rPr>
        <w:softHyphen/>
        <w:t>фектов, требующих немедленного ус</w:t>
      </w:r>
      <w:r w:rsidRPr="00722885">
        <w:rPr>
          <w:rFonts w:ascii="Times New Roman" w:hAnsi="Times New Roman"/>
          <w:color w:val="000000" w:themeColor="text1"/>
          <w:sz w:val="16"/>
          <w:szCs w:val="16"/>
        </w:rPr>
        <w:softHyphen/>
        <w:t>транения.</w:t>
      </w:r>
    </w:p>
    <w:p w14:paraId="16D41D7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ЛАГ-5 М-82 в сравнении с самолетом ЯК-7 М-105Ф имеет по</w:t>
      </w:r>
      <w:r w:rsidRPr="00722885">
        <w:rPr>
          <w:rFonts w:ascii="Times New Roman" w:hAnsi="Times New Roman"/>
          <w:color w:val="000000" w:themeColor="text1"/>
          <w:sz w:val="16"/>
          <w:szCs w:val="16"/>
        </w:rPr>
        <w:softHyphen/>
        <w:t>чти одинаковые скорости, но значи</w:t>
      </w:r>
      <w:r w:rsidRPr="00722885">
        <w:rPr>
          <w:rFonts w:ascii="Times New Roman" w:hAnsi="Times New Roman"/>
          <w:color w:val="000000" w:themeColor="text1"/>
          <w:sz w:val="16"/>
          <w:szCs w:val="16"/>
        </w:rPr>
        <w:softHyphen/>
        <w:t>тельно уступает последнему в верти</w:t>
      </w:r>
      <w:r w:rsidRPr="00722885">
        <w:rPr>
          <w:rFonts w:ascii="Times New Roman" w:hAnsi="Times New Roman"/>
          <w:color w:val="000000" w:themeColor="text1"/>
          <w:sz w:val="16"/>
          <w:szCs w:val="16"/>
        </w:rPr>
        <w:softHyphen/>
        <w:t>кальной и горизонтальной маневрен</w:t>
      </w:r>
      <w:r w:rsidRPr="00722885">
        <w:rPr>
          <w:rFonts w:ascii="Times New Roman" w:hAnsi="Times New Roman"/>
          <w:color w:val="000000" w:themeColor="text1"/>
          <w:sz w:val="16"/>
          <w:szCs w:val="16"/>
        </w:rPr>
        <w:softHyphen/>
        <w:t>ности. Управляемость самолета ЯК-7 М-105Ф значительно лучше.</w:t>
      </w:r>
    </w:p>
    <w:p w14:paraId="627B577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ЛАГ-5 для освоения лет</w:t>
      </w:r>
      <w:r w:rsidRPr="00722885">
        <w:rPr>
          <w:rFonts w:ascii="Times New Roman" w:hAnsi="Times New Roman"/>
          <w:color w:val="000000" w:themeColor="text1"/>
          <w:sz w:val="16"/>
          <w:szCs w:val="16"/>
        </w:rPr>
        <w:softHyphen/>
        <w:t>ным составом требует значительной тренировки.</w:t>
      </w:r>
    </w:p>
    <w:p w14:paraId="30D7460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Летчики, летавшие на самолетах ЛАГГ-3, должны быстрее освоить са</w:t>
      </w:r>
      <w:r w:rsidRPr="00722885">
        <w:rPr>
          <w:rFonts w:ascii="Times New Roman" w:hAnsi="Times New Roman"/>
          <w:color w:val="000000" w:themeColor="text1"/>
          <w:sz w:val="16"/>
          <w:szCs w:val="16"/>
        </w:rPr>
        <w:softHyphen/>
        <w:t>молет ЛАГ-5 М-82 и дать ему луч</w:t>
      </w:r>
      <w:r w:rsidRPr="00722885">
        <w:rPr>
          <w:rFonts w:ascii="Times New Roman" w:hAnsi="Times New Roman"/>
          <w:color w:val="000000" w:themeColor="text1"/>
          <w:sz w:val="16"/>
          <w:szCs w:val="16"/>
        </w:rPr>
        <w:softHyphen/>
        <w:t>шую оценку, чем летчики, летающие на других истребителях, которые от</w:t>
      </w:r>
      <w:r w:rsidRPr="00722885">
        <w:rPr>
          <w:rFonts w:ascii="Times New Roman" w:hAnsi="Times New Roman"/>
          <w:color w:val="000000" w:themeColor="text1"/>
          <w:sz w:val="16"/>
          <w:szCs w:val="16"/>
        </w:rPr>
        <w:softHyphen/>
        <w:t>рицательно отзовутся об этом само</w:t>
      </w:r>
      <w:r w:rsidRPr="00722885">
        <w:rPr>
          <w:rFonts w:ascii="Times New Roman" w:hAnsi="Times New Roman"/>
          <w:color w:val="000000" w:themeColor="text1"/>
          <w:sz w:val="16"/>
          <w:szCs w:val="16"/>
        </w:rPr>
        <w:softHyphen/>
        <w:t>лете».</w:t>
      </w:r>
    </w:p>
    <w:p w14:paraId="4DA62D3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Такая «рекомендация» сделала свое дело, и элитный 434-й ИАП пе</w:t>
      </w:r>
      <w:r w:rsidRPr="00722885">
        <w:rPr>
          <w:rFonts w:ascii="Times New Roman" w:hAnsi="Times New Roman"/>
          <w:color w:val="000000" w:themeColor="text1"/>
          <w:sz w:val="16"/>
          <w:szCs w:val="16"/>
        </w:rPr>
        <w:softHyphen/>
        <w:t>ред отправкой под Сталинград был вооружен самолетами Як. Вместо него ЛаГГ-5 2-й и 3-й се</w:t>
      </w:r>
      <w:r w:rsidRPr="00722885">
        <w:rPr>
          <w:rFonts w:ascii="Times New Roman" w:hAnsi="Times New Roman"/>
          <w:color w:val="000000" w:themeColor="text1"/>
          <w:sz w:val="16"/>
          <w:szCs w:val="16"/>
        </w:rPr>
        <w:softHyphen/>
        <w:t>рий с моторами М-82 2-й серии по</w:t>
      </w:r>
      <w:r w:rsidRPr="00722885">
        <w:rPr>
          <w:rFonts w:ascii="Times New Roman" w:hAnsi="Times New Roman"/>
          <w:color w:val="000000" w:themeColor="text1"/>
          <w:sz w:val="16"/>
          <w:szCs w:val="16"/>
        </w:rPr>
        <w:softHyphen/>
        <w:t>лучили 297, 27, 240, 437, 15-й истреби</w:t>
      </w:r>
      <w:r w:rsidRPr="00722885">
        <w:rPr>
          <w:rFonts w:ascii="Times New Roman" w:hAnsi="Times New Roman"/>
          <w:color w:val="000000" w:themeColor="text1"/>
          <w:sz w:val="16"/>
          <w:szCs w:val="16"/>
        </w:rPr>
        <w:softHyphen/>
        <w:t>тельные полки, вошедшие в состав 287-й ИАД 8ВА Сталинградского фронта (10699).</w:t>
      </w:r>
    </w:p>
    <w:p w14:paraId="7B20A8E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EFCD301"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начале августа 1942 бригинженер П.Я. Федрови докладывал начальнику Инспекции ВВС КА полковнику В.И. Сталин по использованию ЛаГГ-5 в 434 иап майора И.И. Клещева:</w:t>
      </w:r>
    </w:p>
    <w:p w14:paraId="3437979E"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«Облётанный мною в 434 полку на Люберецком аэродроме серийный самолет ЛАГ-5 М-82 является более устойчивым и улучшенным по технике пилотирования в сравнении с самолётом ЛАГГ-3 М-105 и имеет более высокие скорости.</w:t>
      </w:r>
    </w:p>
    <w:p w14:paraId="53C06276"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Осмотром и облетом самолёта ЛАГ-5 установлено, что наряду с улучшением само</w:t>
      </w:r>
      <w:r w:rsidRPr="00722885">
        <w:rPr>
          <w:rFonts w:ascii="Times New Roman" w:cs="Times New Roman"/>
          <w:color w:val="000000" w:themeColor="text1"/>
          <w:spacing w:val="0"/>
        </w:rPr>
        <w:softHyphen/>
        <w:t>лёт имеет крупные конструктивные и производственные дефекты, которые характери</w:t>
      </w:r>
      <w:r w:rsidRPr="00722885">
        <w:rPr>
          <w:rFonts w:ascii="Times New Roman" w:cs="Times New Roman"/>
          <w:color w:val="000000" w:themeColor="text1"/>
          <w:spacing w:val="0"/>
        </w:rPr>
        <w:softHyphen/>
        <w:t>зуют самолёт ЛАГ-5 М-82, как недоведенный до степени нормальной эксплуатации.</w:t>
      </w:r>
    </w:p>
    <w:p w14:paraId="168E2F72"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Качество производственного выполнения самолёта, подгонка и отладка отдельных аг</w:t>
      </w:r>
      <w:r w:rsidRPr="00722885">
        <w:rPr>
          <w:rFonts w:ascii="Times New Roman" w:cs="Times New Roman"/>
          <w:color w:val="000000" w:themeColor="text1"/>
          <w:spacing w:val="0"/>
        </w:rPr>
        <w:softHyphen/>
        <w:t>регатов стоят не на должной высоте и затрудняют эксплуатацию самолёта, тем самым понижая его боеспособность. Совершенно неудовлетворительный монтаж рычагов уп</w:t>
      </w:r>
      <w:r w:rsidRPr="00722885">
        <w:rPr>
          <w:rFonts w:ascii="Times New Roman" w:cs="Times New Roman"/>
          <w:color w:val="000000" w:themeColor="text1"/>
          <w:spacing w:val="0"/>
        </w:rPr>
        <w:softHyphen/>
        <w:t>равления мотором, шасси, закрылков, юбками капота мотора, триммером руля высо</w:t>
      </w:r>
      <w:r w:rsidRPr="00722885">
        <w:rPr>
          <w:rFonts w:ascii="Times New Roman" w:cs="Times New Roman"/>
          <w:color w:val="000000" w:themeColor="text1"/>
          <w:spacing w:val="0"/>
        </w:rPr>
        <w:softHyphen/>
        <w:t>ты, надвижного фонаря, которые обременяют лётчика, требуют от него повышенного внимания, а кнопки механизма выпуска шасси и закрылков принуждают лётчика брать с собой в полёт инструмент (плоскогубцы или рекомендованную заводом отмычку) для устранения заедания в гнездах кнопок управления этими агрегатами в воздухе.</w:t>
      </w:r>
    </w:p>
    <w:p w14:paraId="67BEF570"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Сектора управления мотором на взлёте и при скорости выше средней произвольно от</w:t>
      </w:r>
      <w:r w:rsidRPr="00722885">
        <w:rPr>
          <w:rFonts w:ascii="Times New Roman" w:cs="Times New Roman"/>
          <w:color w:val="000000" w:themeColor="text1"/>
          <w:spacing w:val="0"/>
        </w:rPr>
        <w:softHyphen/>
        <w:t>ходят назад, а заслонка карбюратора прикрывается независимо от желания лётчика.</w:t>
      </w:r>
    </w:p>
    <w:p w14:paraId="23DABF67"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Закрылки работают ненадежно, а посадка без закрылков является более тяжёлой и нежелательной для самолёта.</w:t>
      </w:r>
    </w:p>
    <w:p w14:paraId="19ED939C"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Мотор на малом газе, во время планирования, работает неустойчиво, на посадке и пробеге, независимо от лётчика, мотор имеет повышенные обороты.</w:t>
      </w:r>
    </w:p>
    <w:p w14:paraId="4A447C32"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Низкое качество производственного выполнения самолёта подтверждается тем, что за короткий (2-3 дня) период,эксплуатации у самолёта разболтался фонарь, остекление и потрескались капоты, хотя полётов на больших скоростях ещё не было, а также появля</w:t>
      </w:r>
      <w:r w:rsidRPr="00722885">
        <w:rPr>
          <w:rFonts w:ascii="Times New Roman" w:cs="Times New Roman"/>
          <w:color w:val="000000" w:themeColor="text1"/>
          <w:spacing w:val="0"/>
        </w:rPr>
        <w:softHyphen/>
        <w:t>ется ряд мелких дефектов, из-за которых прекращаются полёты.</w:t>
      </w:r>
    </w:p>
    <w:p w14:paraId="405D70AB"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лётном отношении самолёт ЛАГ-5, хотя и имеет по сравнению с ЛАГГ-3 улучшения, но боевые свойства его, маневренность и управляемость находятся не выше уровня, чем у самолёта МИГ.</w:t>
      </w:r>
    </w:p>
    <w:p w14:paraId="5BB8162D"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скоростям и скороподъёмности ЛАГ-5 М-82 имеет небольшое преимущество пе</w:t>
      </w:r>
      <w:r w:rsidRPr="00722885">
        <w:rPr>
          <w:rFonts w:ascii="Times New Roman" w:cs="Times New Roman"/>
          <w:color w:val="000000" w:themeColor="text1"/>
          <w:spacing w:val="0"/>
        </w:rPr>
        <w:softHyphen/>
        <w:t>ред ЯК-7 М-105Ф, но горизонтальная и вертикальная маневренность значительно ниже последнего. Следует отметить, что снять максимальную скорость в маневренном полёте весьма затруднительно, так как для этого следует прикрыть юбки капота мотора, управ</w:t>
      </w:r>
      <w:r w:rsidRPr="00722885">
        <w:rPr>
          <w:rFonts w:ascii="Times New Roman" w:cs="Times New Roman"/>
          <w:color w:val="000000" w:themeColor="text1"/>
          <w:spacing w:val="0"/>
        </w:rPr>
        <w:softHyphen/>
        <w:t>ление которыми очень тяжёлое.</w:t>
      </w:r>
    </w:p>
    <w:p w14:paraId="4037B62E"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Во время полёта с полностью закрытой юбкой капота мотора и заслонкой маслорадиатора, горизонтальная скорость у земли по прибору не превышает 460-465 км/ч. Набор высоты на боевом развороте с максимально-горизонтальной до эволютивной (250 км/ч) скоростей достигает 800 метров. Время виража — 23-24 сек, а восьмёрки 52-54 сек.</w:t>
      </w:r>
    </w:p>
    <w:p w14:paraId="3454E9E3"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Предкрылки работают удовлетворительно, хотя на парашютировании и открываются не одновременно: правый на скорости 220 км/ч, а левый на 200 км/ч.</w:t>
      </w:r>
    </w:p>
    <w:p w14:paraId="389D87E0"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Скорость на парашютировании с прикрытым мотором доводилась до 170 км/ч, и при этом срыва в штопор или сваливания на крыло не наблюдалась (тряска мотора на ма</w:t>
      </w:r>
      <w:r w:rsidRPr="00722885">
        <w:rPr>
          <w:rFonts w:ascii="Times New Roman" w:cs="Times New Roman"/>
          <w:color w:val="000000" w:themeColor="text1"/>
          <w:spacing w:val="0"/>
        </w:rPr>
        <w:softHyphen/>
        <w:t>лом газе не позволяла уменьшить скорость парашютирования до срыва).</w:t>
      </w:r>
    </w:p>
    <w:p w14:paraId="0E72711F"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Самолёт на планировании при открытых закрылках и при закрытых ведет себя нор</w:t>
      </w:r>
      <w:r w:rsidRPr="00722885">
        <w:rPr>
          <w:rFonts w:ascii="Times New Roman" w:cs="Times New Roman"/>
          <w:color w:val="000000" w:themeColor="text1"/>
          <w:spacing w:val="0"/>
        </w:rPr>
        <w:softHyphen/>
        <w:t>мально. Открытие закрылков вызывает пикирующий момент (самолёт опускает нос и висит на ручке). Приземление и посадка самолёта не сложны, особенностей не име</w:t>
      </w:r>
      <w:r w:rsidRPr="00722885">
        <w:rPr>
          <w:rFonts w:ascii="Times New Roman" w:cs="Times New Roman"/>
          <w:color w:val="000000" w:themeColor="text1"/>
          <w:spacing w:val="0"/>
        </w:rPr>
        <w:softHyphen/>
        <w:t>ют, а пробег при торможении колес относительно небольшой.</w:t>
      </w:r>
    </w:p>
    <w:p w14:paraId="576A7672"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Заключение: Самолёт ЛАГ-5 М-82 по сравнению с самолётом ЛАГГ-3 М-105 имеет более лучшие лётно-тактические данные.</w:t>
      </w:r>
    </w:p>
    <w:p w14:paraId="2A4ED87E"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Винтомоторная группа, механизмы управления шасси и закрылками до условий нор</w:t>
      </w:r>
      <w:r w:rsidRPr="00722885">
        <w:rPr>
          <w:rFonts w:ascii="Times New Roman" w:cs="Times New Roman"/>
          <w:color w:val="000000" w:themeColor="text1"/>
          <w:spacing w:val="0"/>
        </w:rPr>
        <w:softHyphen/>
        <w:t>мальной эксплуатации не доведены. Самолёт имеет много производственных и конст</w:t>
      </w:r>
      <w:r w:rsidRPr="00722885">
        <w:rPr>
          <w:rFonts w:ascii="Times New Roman" w:cs="Times New Roman"/>
          <w:color w:val="000000" w:themeColor="text1"/>
          <w:spacing w:val="0"/>
        </w:rPr>
        <w:softHyphen/>
        <w:t>руктивных дефектов, требующих немедленного устранения.</w:t>
      </w:r>
    </w:p>
    <w:p w14:paraId="2DD434E3"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Самолёт ЛАГ-5 М-82 в сравнении с самолётом ЯК-7 М-105Ф имеет почти одинако</w:t>
      </w:r>
      <w:r w:rsidRPr="00722885">
        <w:rPr>
          <w:rFonts w:ascii="Times New Roman" w:cs="Times New Roman"/>
          <w:color w:val="000000" w:themeColor="text1"/>
          <w:spacing w:val="0"/>
        </w:rPr>
        <w:softHyphen/>
        <w:t>вые скорости, но значительно уступает последнему в вертикальной и горизонтальной маневренности. Управляемость самолёта ЯК-7 М-105Ф значительно лучше.</w:t>
      </w:r>
    </w:p>
    <w:p w14:paraId="40FDBD82"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Самолёт ЛАГ-5 для освоения лётным составом требует значительной тренировки.</w:t>
      </w:r>
    </w:p>
    <w:p w14:paraId="615C0448"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Лётчики, летавшие на самолётах ЛАГГ-3, должны быстрее освоить самолёт ЛАГ-5 М-82 и дать ему лучшую оценку, чем лётчики, летающие на других истребителях, ко</w:t>
      </w:r>
      <w:r w:rsidRPr="00722885">
        <w:rPr>
          <w:rFonts w:ascii="Times New Roman" w:cs="Times New Roman"/>
          <w:color w:val="000000" w:themeColor="text1"/>
          <w:spacing w:val="0"/>
        </w:rPr>
        <w:softHyphen/>
        <w:t>торые отрицательно отзовутся об этом самолёте».</w:t>
      </w:r>
    </w:p>
    <w:p w14:paraId="221D391E"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Такая «рекомендация» сделала свое дело, и элитный 434-й иап перед отправкой под Сталинград вооружили самолётами «Як» (15813).</w:t>
      </w:r>
    </w:p>
    <w:p w14:paraId="5624EA25"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p>
    <w:p w14:paraId="61377AC3"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начале и середине августа 1942 ЛаГГ-5 2-й и 3-й серий с моторами М-82 2-й серии получили 297-й, 27-й, 240-й, 437-й и 15-й истребительные полки, вошедшие в состав 287-й иад 8-й ВА Сталинградского фронта и немедленно отправленные под Сталинград. 20 августа 1942 первые из них уже вступили в бой. К этому времени гос</w:t>
      </w:r>
      <w:r w:rsidRPr="00722885">
        <w:rPr>
          <w:rFonts w:ascii="Times New Roman" w:cs="Times New Roman"/>
          <w:color w:val="000000" w:themeColor="text1"/>
          <w:spacing w:val="0"/>
        </w:rPr>
        <w:softHyphen/>
        <w:t>подство в воздухе полностью было на стороне люфтваффе. Нашу авиацию прижали к своим аэродромам, все они находились под контролем немецких истребителей, и ни один вылет не проходил не замеченным противником. При взлёте наших истребите</w:t>
      </w:r>
      <w:r w:rsidRPr="00722885">
        <w:rPr>
          <w:rFonts w:ascii="Times New Roman" w:cs="Times New Roman"/>
          <w:color w:val="000000" w:themeColor="text1"/>
          <w:spacing w:val="0"/>
        </w:rPr>
        <w:softHyphen/>
        <w:t xml:space="preserve">лей над аэродромом появлялись 4—6—12 </w:t>
      </w:r>
      <w:r w:rsidRPr="00722885">
        <w:rPr>
          <w:rFonts w:ascii="Times New Roman" w:cs="Times New Roman"/>
          <w:color w:val="000000" w:themeColor="text1"/>
          <w:spacing w:val="0"/>
          <w:lang w:val="en-US"/>
        </w:rPr>
        <w:t>Bf</w:t>
      </w:r>
      <w:r w:rsidRPr="00722885">
        <w:rPr>
          <w:rFonts w:ascii="Times New Roman" w:cs="Times New Roman"/>
          <w:color w:val="000000" w:themeColor="text1"/>
          <w:spacing w:val="0"/>
        </w:rPr>
        <w:t xml:space="preserve"> 109</w:t>
      </w:r>
      <w:r w:rsidRPr="00722885">
        <w:rPr>
          <w:rFonts w:ascii="Times New Roman" w:cs="Times New Roman"/>
          <w:color w:val="000000" w:themeColor="text1"/>
          <w:spacing w:val="0"/>
          <w:lang w:val="en-US"/>
        </w:rPr>
        <w:t>F</w:t>
      </w:r>
      <w:r w:rsidRPr="00722885">
        <w:rPr>
          <w:rFonts w:ascii="Times New Roman" w:cs="Times New Roman"/>
          <w:color w:val="000000" w:themeColor="text1"/>
          <w:spacing w:val="0"/>
        </w:rPr>
        <w:t xml:space="preserve"> и связывали их воздушным боем.</w:t>
      </w:r>
    </w:p>
    <w:p w14:paraId="286D6535"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таких тяжелейших условиях наспех подготовленные полки несли большие потери. Так, 297 иап с 20 по 25 августа сбил 6 самолётов противника, потеряв 4 своих. 437 иап с 22 по 26 августа сбил 3 и потерял 5, 27 иап с 20 по 26 августа сбил 12 и потерял 7, 240 иап с 20 по 27 августа сбил 10 и потерял 7 самолётов. 2 сентября 1942 г. началь</w:t>
      </w:r>
      <w:r w:rsidRPr="00722885">
        <w:rPr>
          <w:rFonts w:ascii="Times New Roman" w:cs="Times New Roman"/>
          <w:color w:val="000000" w:themeColor="text1"/>
          <w:spacing w:val="0"/>
        </w:rPr>
        <w:softHyphen/>
        <w:t>ник воздушно-стрелковой службы ВВС КА генерал-майор Рафалович докладывал за</w:t>
      </w:r>
      <w:r w:rsidRPr="00722885">
        <w:rPr>
          <w:rFonts w:ascii="Times New Roman" w:cs="Times New Roman"/>
          <w:color w:val="000000" w:themeColor="text1"/>
          <w:spacing w:val="0"/>
        </w:rPr>
        <w:softHyphen/>
        <w:t>местителю командующего ВВС КА генерал-лейтенанту Г.А. Ворожейкину:</w:t>
      </w:r>
    </w:p>
    <w:p w14:paraId="07D057FB"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«Несмотря на большие зарегистрированные победы лётчиков 287 авиадивизии, их мож</w:t>
      </w:r>
      <w:r w:rsidRPr="00722885">
        <w:rPr>
          <w:rFonts w:ascii="Times New Roman" w:cs="Times New Roman"/>
          <w:color w:val="000000" w:themeColor="text1"/>
          <w:spacing w:val="0"/>
        </w:rPr>
        <w:softHyphen/>
        <w:t>но было бы иметь больше и меньше нести своих потерь, при условии лучшего освоения лётным составом боевого применения самолёта ЛАГ-5, организованно вступать и вы</w:t>
      </w:r>
      <w:r w:rsidRPr="00722885">
        <w:rPr>
          <w:rFonts w:ascii="Times New Roman" w:cs="Times New Roman"/>
          <w:color w:val="000000" w:themeColor="text1"/>
          <w:spacing w:val="0"/>
        </w:rPr>
        <w:softHyphen/>
        <w:t>ходить из воздушного боя, поддерживать товарищей, не выходить из боя одиночным порядком и наладить лучше радиосвязь между самолётами и самолётов с землей» (15813).</w:t>
      </w:r>
    </w:p>
    <w:p w14:paraId="5ECBF4B9" w14:textId="77777777" w:rsidR="005D2990" w:rsidRPr="00722885" w:rsidRDefault="005D2990" w:rsidP="00722885">
      <w:pPr>
        <w:pStyle w:val="27"/>
        <w:shd w:val="clear" w:color="auto" w:fill="auto"/>
        <w:spacing w:after="0" w:line="240" w:lineRule="auto"/>
        <w:ind w:firstLine="0"/>
        <w:rPr>
          <w:rFonts w:ascii="Times New Roman" w:cs="Times New Roman"/>
          <w:color w:val="000000" w:themeColor="text1"/>
          <w:spacing w:val="0"/>
        </w:rPr>
      </w:pPr>
    </w:p>
    <w:p w14:paraId="5178546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w:t>
      </w:r>
      <w:r w:rsidRPr="00722885">
        <w:rPr>
          <w:rFonts w:ascii="Times New Roman" w:hAnsi="Times New Roman"/>
          <w:color w:val="000000" w:themeColor="text1"/>
          <w:sz w:val="16"/>
          <w:szCs w:val="16"/>
        </w:rPr>
        <w:softHyphen/>
        <w:t>ле и середине августа 1942 297, 27, 240, 437, 15-й истреби</w:t>
      </w:r>
      <w:r w:rsidRPr="00722885">
        <w:rPr>
          <w:rFonts w:ascii="Times New Roman" w:hAnsi="Times New Roman"/>
          <w:color w:val="000000" w:themeColor="text1"/>
          <w:sz w:val="16"/>
          <w:szCs w:val="16"/>
        </w:rPr>
        <w:softHyphen/>
        <w:t>тельные полки получали самолеты Ла-5 и немедленно отправлялись под Сталинград. 20 ав</w:t>
      </w:r>
      <w:r w:rsidRPr="00722885">
        <w:rPr>
          <w:rFonts w:ascii="Times New Roman" w:hAnsi="Times New Roman"/>
          <w:color w:val="000000" w:themeColor="text1"/>
          <w:sz w:val="16"/>
          <w:szCs w:val="16"/>
        </w:rPr>
        <w:softHyphen/>
        <w:t>густа первые из них уже вступили в бой. К этому времени господство в воздухе полностью было на стороне люфтваффе. Наша авиация была при</w:t>
      </w:r>
      <w:r w:rsidRPr="00722885">
        <w:rPr>
          <w:rFonts w:ascii="Times New Roman" w:hAnsi="Times New Roman"/>
          <w:color w:val="000000" w:themeColor="text1"/>
          <w:sz w:val="16"/>
          <w:szCs w:val="16"/>
        </w:rPr>
        <w:softHyphen/>
        <w:t>жата к своим аэродромам, все они находились под контролем немецких истребителей, и ни один вылет не проходил не замеченным противни</w:t>
      </w:r>
      <w:r w:rsidRPr="00722885">
        <w:rPr>
          <w:rFonts w:ascii="Times New Roman" w:hAnsi="Times New Roman"/>
          <w:color w:val="000000" w:themeColor="text1"/>
          <w:sz w:val="16"/>
          <w:szCs w:val="16"/>
        </w:rPr>
        <w:softHyphen/>
        <w:t>ком. При взлете наших истребите</w:t>
      </w:r>
      <w:r w:rsidRPr="00722885">
        <w:rPr>
          <w:rFonts w:ascii="Times New Roman" w:hAnsi="Times New Roman"/>
          <w:color w:val="000000" w:themeColor="text1"/>
          <w:sz w:val="16"/>
          <w:szCs w:val="16"/>
        </w:rPr>
        <w:softHyphen/>
        <w:t>лей над аэродромом появлялись 4-6-12 109Ф и связывали их воздуш</w:t>
      </w:r>
      <w:r w:rsidRPr="00722885">
        <w:rPr>
          <w:rFonts w:ascii="Times New Roman" w:hAnsi="Times New Roman"/>
          <w:color w:val="000000" w:themeColor="text1"/>
          <w:sz w:val="16"/>
          <w:szCs w:val="16"/>
        </w:rPr>
        <w:softHyphen/>
        <w:t>ным боем. В таких тяжелейших условиях на</w:t>
      </w:r>
      <w:r w:rsidRPr="00722885">
        <w:rPr>
          <w:rFonts w:ascii="Times New Roman" w:hAnsi="Times New Roman"/>
          <w:color w:val="000000" w:themeColor="text1"/>
          <w:sz w:val="16"/>
          <w:szCs w:val="16"/>
        </w:rPr>
        <w:softHyphen/>
        <w:t>спех подготовленные полки несли большие потери. Так, 297 ИАП с 20 по 25 августа сбил 6 самолетов про</w:t>
      </w:r>
      <w:r w:rsidRPr="00722885">
        <w:rPr>
          <w:rFonts w:ascii="Times New Roman" w:hAnsi="Times New Roman"/>
          <w:color w:val="000000" w:themeColor="text1"/>
          <w:sz w:val="16"/>
          <w:szCs w:val="16"/>
        </w:rPr>
        <w:softHyphen/>
        <w:t>тивника, потеряв 4 своих. 437 ИАП с 22 по 26 августа сбил 3 и потерял 5, 27 ИАП с 20 по 26 августа сбил 12 и потерял 7, 240 ИАП с 20 по 27 авгус</w:t>
      </w:r>
      <w:r w:rsidRPr="00722885">
        <w:rPr>
          <w:rFonts w:ascii="Times New Roman" w:hAnsi="Times New Roman"/>
          <w:color w:val="000000" w:themeColor="text1"/>
          <w:sz w:val="16"/>
          <w:szCs w:val="16"/>
        </w:rPr>
        <w:softHyphen/>
        <w:t>та сбил 10 и потерял 7 самолетов (10699).</w:t>
      </w:r>
    </w:p>
    <w:p w14:paraId="104B665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7A1C670" w14:textId="77777777" w:rsidR="000C324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4467E51" w14:textId="77777777" w:rsidR="000C324B" w:rsidRPr="00722885" w:rsidRDefault="000C324B" w:rsidP="00722885">
      <w:pPr>
        <w:pStyle w:val="Iauiue"/>
        <w:jc w:val="both"/>
        <w:rPr>
          <w:iCs/>
          <w:color w:val="000000" w:themeColor="text1"/>
          <w:sz w:val="16"/>
          <w:szCs w:val="16"/>
        </w:rPr>
      </w:pPr>
    </w:p>
    <w:p w14:paraId="2F68DC24" w14:textId="77777777" w:rsidR="000C324B" w:rsidRPr="00722885" w:rsidRDefault="000C324B"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lastRenderedPageBreak/>
        <w:t>В начале августа 1942 года КБ завода № 8 представило проект установ</w:t>
      </w:r>
      <w:r w:rsidRPr="00722885">
        <w:rPr>
          <w:rFonts w:eastAsia="Calibri"/>
          <w:color w:val="000000" w:themeColor="text1"/>
          <w:sz w:val="16"/>
          <w:szCs w:val="16"/>
        </w:rPr>
        <w:softHyphen/>
        <w:t>ки 25-мм ЗСУ на шасси СУ-31, получивший индекс ЗИК-5. Тогда же был представлен и проект САУ на базе СУ-32, получивший индекс ЗИК-7-</w:t>
      </w:r>
      <w:r w:rsidRPr="00722885">
        <w:rPr>
          <w:rFonts w:eastAsia="Calibri"/>
          <w:color w:val="000000" w:themeColor="text1"/>
          <w:sz w:val="16"/>
          <w:szCs w:val="16"/>
          <w:lang w:val="en-US"/>
        </w:rPr>
        <w:t>II</w:t>
      </w:r>
      <w:r w:rsidRPr="00722885">
        <w:rPr>
          <w:rFonts w:eastAsia="Calibri"/>
          <w:color w:val="000000" w:themeColor="text1"/>
          <w:sz w:val="16"/>
          <w:szCs w:val="16"/>
        </w:rPr>
        <w:t>, отличавшийся лишь рубкой и установкой 76-мм пушки ЗИС-5 (как на БГС-5). Оба проекта так и остались нереализованными (17485).</w:t>
      </w:r>
    </w:p>
    <w:p w14:paraId="64D22E70" w14:textId="77777777" w:rsidR="000C324B" w:rsidRPr="00722885" w:rsidRDefault="000C324B" w:rsidP="00722885">
      <w:pPr>
        <w:spacing w:after="0" w:line="240" w:lineRule="auto"/>
        <w:jc w:val="both"/>
        <w:rPr>
          <w:rFonts w:ascii="Times New Roman" w:hAnsi="Times New Roman"/>
          <w:color w:val="000000" w:themeColor="text1"/>
          <w:sz w:val="16"/>
          <w:szCs w:val="16"/>
        </w:rPr>
      </w:pPr>
    </w:p>
    <w:p w14:paraId="6E4C64F6" w14:textId="77777777" w:rsidR="000C324B" w:rsidRPr="00722885" w:rsidRDefault="000C324B"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В начале августа 1942 года работы по теме самоходных зенитных установок возобновились. Связано это было с тем, что существовав</w:t>
      </w:r>
      <w:r w:rsidRPr="00722885">
        <w:rPr>
          <w:rFonts w:eastAsia="Calibri"/>
          <w:color w:val="000000" w:themeColor="text1"/>
          <w:sz w:val="16"/>
          <w:szCs w:val="16"/>
        </w:rPr>
        <w:softHyphen/>
        <w:t>шие на тот момент зенитные установки, придаваемые танковым бри</w:t>
      </w:r>
      <w:r w:rsidRPr="00722885">
        <w:rPr>
          <w:rFonts w:eastAsia="Calibri"/>
          <w:color w:val="000000" w:themeColor="text1"/>
          <w:sz w:val="16"/>
          <w:szCs w:val="16"/>
        </w:rPr>
        <w:softHyphen/>
        <w:t>гадам, имели ограниченную подвижность и не могли обеспечить защи</w:t>
      </w:r>
      <w:r w:rsidRPr="00722885">
        <w:rPr>
          <w:rFonts w:eastAsia="Calibri"/>
          <w:color w:val="000000" w:themeColor="text1"/>
          <w:sz w:val="16"/>
          <w:szCs w:val="16"/>
        </w:rPr>
        <w:softHyphen/>
        <w:t xml:space="preserve">ту танков на пересеченной местности. Кроме того, 26 июня 1942 года на Юго-Западном фронте был сбит немецкий военно-транспортный самолет </w:t>
      </w:r>
      <w:r w:rsidRPr="00722885">
        <w:rPr>
          <w:rFonts w:eastAsia="Calibri"/>
          <w:color w:val="000000" w:themeColor="text1"/>
          <w:sz w:val="16"/>
          <w:szCs w:val="16"/>
          <w:lang w:val="en-US"/>
        </w:rPr>
        <w:t>Ju</w:t>
      </w:r>
      <w:r w:rsidRPr="00722885">
        <w:rPr>
          <w:rFonts w:eastAsia="Calibri"/>
          <w:color w:val="000000" w:themeColor="text1"/>
          <w:sz w:val="16"/>
          <w:szCs w:val="16"/>
        </w:rPr>
        <w:t>-52. В сбитом самолете были обнаружены различные доку</w:t>
      </w:r>
      <w:r w:rsidRPr="00722885">
        <w:rPr>
          <w:rFonts w:eastAsia="Calibri"/>
          <w:color w:val="000000" w:themeColor="text1"/>
          <w:sz w:val="16"/>
          <w:szCs w:val="16"/>
        </w:rPr>
        <w:softHyphen/>
        <w:t xml:space="preserve">менты, включая отчет о боевом применении новейшего штурмовика </w:t>
      </w:r>
      <w:r w:rsidRPr="00722885">
        <w:rPr>
          <w:rFonts w:eastAsia="Calibri"/>
          <w:color w:val="000000" w:themeColor="text1"/>
          <w:sz w:val="16"/>
          <w:szCs w:val="16"/>
          <w:lang w:val="en-US"/>
        </w:rPr>
        <w:t>HenschelHs</w:t>
      </w:r>
      <w:r w:rsidRPr="00722885">
        <w:rPr>
          <w:rFonts w:eastAsia="Calibri"/>
          <w:color w:val="000000" w:themeColor="text1"/>
          <w:sz w:val="16"/>
          <w:szCs w:val="16"/>
        </w:rPr>
        <w:t>.129, оснащенного 30-мм автоматической пушкой ВК-101. Самолет испытали стрельбой по тяжелому танку КВ-1, из 12 попада</w:t>
      </w:r>
      <w:r w:rsidRPr="00722885">
        <w:rPr>
          <w:rFonts w:eastAsia="Calibri"/>
          <w:color w:val="000000" w:themeColor="text1"/>
          <w:sz w:val="16"/>
          <w:szCs w:val="16"/>
        </w:rPr>
        <w:softHyphen/>
        <w:t>ний 3 оказались с пробитием брони. Согласно переписке главного инженера завода № 37 Н. Н. Козырева с Афониным,</w:t>
      </w:r>
      <w:r w:rsidRPr="00722885">
        <w:rPr>
          <w:rStyle w:val="BodytextItalic"/>
          <w:i w:val="0"/>
          <w:color w:val="000000" w:themeColor="text1"/>
          <w:sz w:val="16"/>
          <w:szCs w:val="16"/>
        </w:rPr>
        <w:t xml:space="preserve"> «заместителем народного комиссара танковой промышленности тов. Котиным Ж. Я. поручено в весьма короткий срок провести опытные работы по зенит</w:t>
      </w:r>
      <w:r w:rsidRPr="00722885">
        <w:rPr>
          <w:rStyle w:val="BodytextItalic"/>
          <w:i w:val="0"/>
          <w:color w:val="000000" w:themeColor="text1"/>
          <w:sz w:val="16"/>
          <w:szCs w:val="16"/>
        </w:rPr>
        <w:softHyphen/>
        <w:t>ной установке пулеметов ДШК в башнях машин Т-60 и Т-70». К 16 ав</w:t>
      </w:r>
      <w:r w:rsidRPr="00722885">
        <w:rPr>
          <w:rStyle w:val="BodytextItalic"/>
          <w:i w:val="0"/>
          <w:color w:val="000000" w:themeColor="text1"/>
          <w:sz w:val="16"/>
          <w:szCs w:val="16"/>
        </w:rPr>
        <w:softHyphen/>
        <w:t>густа 1942 года были составлены тактико-технические требования на разработку спаренной установки 12,7-мм пулеметов ДШК на танки Т-60 и Т-70:</w:t>
      </w:r>
    </w:p>
    <w:p w14:paraId="03CA2F40"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«Целевая установка.</w:t>
      </w:r>
    </w:p>
    <w:p w14:paraId="7E8363B7"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Создать зенитную спаренную установку под 12,7-мм пулеметы ДШК для обороны мотомеханизированных колонн при воздушном нападении про</w:t>
      </w:r>
      <w:r w:rsidRPr="00722885">
        <w:rPr>
          <w:rFonts w:ascii="Times New Roman" w:hAnsi="Times New Roman"/>
          <w:color w:val="000000" w:themeColor="text1"/>
          <w:sz w:val="16"/>
          <w:szCs w:val="16"/>
        </w:rPr>
        <w:softHyphen/>
        <w:t>тивника.</w:t>
      </w:r>
    </w:p>
    <w:p w14:paraId="11956FE6" w14:textId="77777777" w:rsidR="000C324B" w:rsidRPr="00722885" w:rsidRDefault="000C324B" w:rsidP="00722885">
      <w:pPr>
        <w:pStyle w:val="Bodytext590"/>
        <w:shd w:val="clear" w:color="auto" w:fill="auto"/>
        <w:spacing w:before="0" w:after="0"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&lt;...&gt;</w:t>
      </w:r>
    </w:p>
    <w:p w14:paraId="2CF28D51"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Требования к установке танка Т-60</w:t>
      </w:r>
    </w:p>
    <w:p w14:paraId="70243031"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Установка монтируется с использованием штатной башни Т-60. До</w:t>
      </w:r>
      <w:r w:rsidRPr="00722885">
        <w:rPr>
          <w:rFonts w:ascii="Times New Roman" w:hAnsi="Times New Roman"/>
          <w:color w:val="000000" w:themeColor="text1"/>
          <w:sz w:val="16"/>
          <w:szCs w:val="16"/>
        </w:rPr>
        <w:softHyphen/>
        <w:t>пускаются следующие изменения в башне.</w:t>
      </w:r>
    </w:p>
    <w:p w14:paraId="3759CADA" w14:textId="77777777" w:rsidR="000C324B" w:rsidRPr="00722885" w:rsidRDefault="000C324B" w:rsidP="00722885">
      <w:pPr>
        <w:tabs>
          <w:tab w:val="left" w:pos="52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Лобовой лист башни заменить на лист простейшей формы с амбра</w:t>
      </w:r>
      <w:r w:rsidRPr="00722885">
        <w:rPr>
          <w:rFonts w:ascii="Times New Roman" w:hAnsi="Times New Roman"/>
          <w:color w:val="000000" w:themeColor="text1"/>
          <w:sz w:val="16"/>
          <w:szCs w:val="16"/>
        </w:rPr>
        <w:softHyphen/>
        <w:t>зурами, позволяющими придавать углы склонения установке.</w:t>
      </w:r>
    </w:p>
    <w:p w14:paraId="0AC7DB33" w14:textId="77777777" w:rsidR="000C324B" w:rsidRPr="00722885" w:rsidRDefault="000C324B" w:rsidP="00722885">
      <w:pPr>
        <w:tabs>
          <w:tab w:val="left" w:pos="54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Установка должна быть открытой без крыши.</w:t>
      </w:r>
    </w:p>
    <w:p w14:paraId="3030EA60" w14:textId="77777777" w:rsidR="000C324B" w:rsidRPr="00722885" w:rsidRDefault="000C324B" w:rsidP="00722885">
      <w:pPr>
        <w:tabs>
          <w:tab w:val="left" w:pos="56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Питание пулеметов магазинное, емкость 42 патрона каждый ма</w:t>
      </w:r>
      <w:r w:rsidRPr="00722885">
        <w:rPr>
          <w:rFonts w:ascii="Times New Roman" w:hAnsi="Times New Roman"/>
          <w:color w:val="000000" w:themeColor="text1"/>
          <w:sz w:val="16"/>
          <w:szCs w:val="16"/>
        </w:rPr>
        <w:softHyphen/>
        <w:t>газин» '.</w:t>
      </w:r>
    </w:p>
    <w:p w14:paraId="5F9C3D37" w14:textId="77777777" w:rsidR="000C324B" w:rsidRPr="00722885" w:rsidRDefault="000C324B"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На заводе № 37 работы по созданию зенитных Т-60 и Т-70 куриро</w:t>
      </w:r>
      <w:r w:rsidRPr="00722885">
        <w:rPr>
          <w:rFonts w:eastAsia="Calibri"/>
          <w:color w:val="000000" w:themeColor="text1"/>
          <w:sz w:val="16"/>
          <w:szCs w:val="16"/>
        </w:rPr>
        <w:softHyphen/>
        <w:t>вал Савин, который к тому моменту стал руководителем группы само</w:t>
      </w:r>
      <w:r w:rsidRPr="00722885">
        <w:rPr>
          <w:rFonts w:eastAsia="Calibri"/>
          <w:color w:val="000000" w:themeColor="text1"/>
          <w:sz w:val="16"/>
          <w:szCs w:val="16"/>
        </w:rPr>
        <w:softHyphen/>
        <w:t>ходных зенитных машин ОГК НКТП. Примерно в то же время с ини</w:t>
      </w:r>
      <w:r w:rsidRPr="00722885">
        <w:rPr>
          <w:rFonts w:eastAsia="Calibri"/>
          <w:color w:val="000000" w:themeColor="text1"/>
          <w:sz w:val="16"/>
          <w:szCs w:val="16"/>
        </w:rPr>
        <w:softHyphen/>
        <w:t>циативой разработки зенитного танка на базе Т-70 обратился ГАЗ. Уже к началу сентября, согласно переписке, опытный образец установки был изготовлен на ГАЗ (17485).</w:t>
      </w:r>
    </w:p>
    <w:p w14:paraId="07E546BE" w14:textId="77777777" w:rsidR="000C324B" w:rsidRPr="00722885" w:rsidRDefault="000C324B" w:rsidP="00722885">
      <w:pPr>
        <w:spacing w:after="0" w:line="240" w:lineRule="auto"/>
        <w:jc w:val="both"/>
        <w:rPr>
          <w:rFonts w:ascii="Times New Roman" w:hAnsi="Times New Roman"/>
          <w:color w:val="000000" w:themeColor="text1"/>
          <w:sz w:val="16"/>
          <w:szCs w:val="16"/>
        </w:rPr>
      </w:pPr>
    </w:p>
    <w:p w14:paraId="01D79FC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818291E" w14:textId="77777777" w:rsidR="00AE7191" w:rsidRPr="00722885" w:rsidRDefault="00AE7191" w:rsidP="00722885">
      <w:pPr>
        <w:pStyle w:val="Iauiue"/>
        <w:jc w:val="both"/>
        <w:rPr>
          <w:iCs/>
          <w:color w:val="000000" w:themeColor="text1"/>
          <w:sz w:val="16"/>
          <w:szCs w:val="16"/>
        </w:rPr>
      </w:pPr>
    </w:p>
    <w:p w14:paraId="61EE4F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начале августа 1942 движение группы армий А замедлилось, что создавало угрозу правому флангу группы армий Б, шедшей на Сталинград. Поэтому в Берлине на Кавказ перенацелили 40-й танковый корпус группы “Б”, которому следовало ворваться в Сталинград с юга. Он повернул на Кубань, совершил рейд по Сельским степям (в обход зоны действия ПМГ) и оказался на подступах к Армавиру и Ставрополю. Это вынудило командование Северо-Кавказского фронта разделить ПМГ: одну часть ее бросили на армавиро-ставропольское направление, другая прикрывала Краснодар и Майкоп. За бои под Майкопом (но не за победы в степях) Москвина наградили орденом Ленина. Год спустя он будет смертельно ранен под станицей Крымской...(9632).</w:t>
      </w:r>
    </w:p>
    <w:p w14:paraId="0E75454D" w14:textId="77777777" w:rsidR="00AE7191" w:rsidRPr="00722885" w:rsidRDefault="00AE7191" w:rsidP="00722885">
      <w:pPr>
        <w:pStyle w:val="Iauiue"/>
        <w:jc w:val="both"/>
        <w:rPr>
          <w:color w:val="000000" w:themeColor="text1"/>
          <w:sz w:val="16"/>
          <w:szCs w:val="16"/>
        </w:rPr>
      </w:pPr>
    </w:p>
    <w:p w14:paraId="54CE4137" w14:textId="77777777" w:rsidR="00B40455" w:rsidRPr="00722885" w:rsidRDefault="00B4045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начале августа 1942 силами Управления аэродромного строительства НКВД на восточном берегу Волги были спешно подготовлены девятнадцать полевых аэродромов, на которые и перебазировалось большинство авиаполков 8</w:t>
      </w:r>
      <w:r w:rsidRPr="00722885">
        <w:rPr>
          <w:rFonts w:ascii="Times New Roman" w:hAnsi="Times New Roman"/>
          <w:color w:val="0070C0"/>
          <w:sz w:val="16"/>
          <w:szCs w:val="16"/>
        </w:rPr>
        <w:noBreakHyphen/>
        <w:t>й воздушной армии. С этого момента Волга стала зримым рубежом борьбы воздушных противников. Перетянул обратно за реку, значит, точно на своей территории.</w:t>
      </w:r>
    </w:p>
    <w:p w14:paraId="07A8D019" w14:textId="77777777" w:rsidR="00B40455" w:rsidRPr="00722885" w:rsidRDefault="00B4045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Тем временем люфтваффе, напротив, переносили свои места базирования все ближе к Сталинграду. Так, 10 августа на аэродром Тусов, расположенный северо</w:t>
      </w:r>
      <w:r w:rsidRPr="00722885">
        <w:rPr>
          <w:rFonts w:ascii="Times New Roman" w:hAnsi="Times New Roman"/>
          <w:color w:val="0070C0"/>
          <w:sz w:val="16"/>
          <w:szCs w:val="16"/>
        </w:rPr>
        <w:noBreakHyphen/>
        <w:t>западнее города Калач</w:t>
      </w:r>
      <w:r w:rsidRPr="00722885">
        <w:rPr>
          <w:rFonts w:ascii="Times New Roman" w:hAnsi="Times New Roman"/>
          <w:color w:val="0070C0"/>
          <w:sz w:val="16"/>
          <w:szCs w:val="16"/>
        </w:rPr>
        <w:noBreakHyphen/>
        <w:t>на</w:t>
      </w:r>
      <w:r w:rsidRPr="00722885">
        <w:rPr>
          <w:rFonts w:ascii="Times New Roman" w:hAnsi="Times New Roman"/>
          <w:color w:val="0070C0"/>
          <w:sz w:val="16"/>
          <w:szCs w:val="16"/>
        </w:rPr>
        <w:noBreakHyphen/>
        <w:t>Дону, перебазировались Bf</w:t>
      </w:r>
      <w:r w:rsidRPr="00722885">
        <w:rPr>
          <w:rFonts w:ascii="Times New Roman" w:hAnsi="Times New Roman"/>
          <w:color w:val="0070C0"/>
          <w:sz w:val="16"/>
          <w:szCs w:val="16"/>
        </w:rPr>
        <w:noBreakHyphen/>
        <w:t>109F из I./JG53 «Пик Ас» и JG3 «Удет». Оборудование взлетных полос и стоянок в этом степном районе не представляло особых сложностей, нужно было просто найти ровное место и разметить его.</w:t>
      </w:r>
    </w:p>
    <w:p w14:paraId="7243FEE2" w14:textId="77777777" w:rsidR="00B40455" w:rsidRPr="00722885" w:rsidRDefault="00B4045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Неподалеку на такие же площадки в степи перебазировались и другие авиагруппы, в том числе штурмовики и ближние разведчики. Все это не осталось незамеченным для русской воздушной разведки. Только на аэродроме около железнодорожной станции Обливская, согласно данным аэрофотосъемки, базировалось «более 100 самолетов Ю</w:t>
      </w:r>
      <w:r w:rsidRPr="00722885">
        <w:rPr>
          <w:rFonts w:ascii="Times New Roman" w:hAnsi="Times New Roman"/>
          <w:color w:val="0070C0"/>
          <w:sz w:val="16"/>
          <w:szCs w:val="16"/>
        </w:rPr>
        <w:noBreakHyphen/>
        <w:t>88 и Me</w:t>
      </w:r>
      <w:r w:rsidRPr="00722885">
        <w:rPr>
          <w:rFonts w:ascii="Times New Roman" w:hAnsi="Times New Roman"/>
          <w:color w:val="0070C0"/>
          <w:sz w:val="16"/>
          <w:szCs w:val="16"/>
        </w:rPr>
        <w:noBreakHyphen/>
        <w:t>109» (23199).</w:t>
      </w:r>
    </w:p>
    <w:p w14:paraId="35961FF6" w14:textId="77777777" w:rsidR="00B40455" w:rsidRPr="00722885" w:rsidRDefault="00B40455" w:rsidP="00722885">
      <w:pPr>
        <w:spacing w:after="0" w:line="240" w:lineRule="auto"/>
        <w:jc w:val="both"/>
        <w:rPr>
          <w:rFonts w:ascii="Times New Roman" w:hAnsi="Times New Roman"/>
          <w:color w:val="0070C0"/>
          <w:sz w:val="16"/>
          <w:szCs w:val="16"/>
        </w:rPr>
      </w:pPr>
    </w:p>
    <w:p w14:paraId="43F04D5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августа 1942 года, по опыту боев в ходе операции «Блау», командованием 23-й танковой дивизии вермахта составило доклад о тактическом применении немецких и советских танковых частей:</w:t>
      </w:r>
    </w:p>
    <w:p w14:paraId="74D3456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Опыт применения германских танковых частей.</w:t>
      </w:r>
    </w:p>
    <w:p w14:paraId="6819D7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Тактика.</w:t>
      </w:r>
    </w:p>
    <w:p w14:paraId="4278E8F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 бою «танк против танка» нужно всегда стараться нанести удар противнику во фланг. Этому помогает и хороший обзор изнутри наших танков (отличная оптика, командирские башенки). В бою «лоб в лоб» противник всегда будет иметь превосходство, потому что русские танки имеют вооружение и бронирование лучшие, чем у немецких танков.</w:t>
      </w:r>
    </w:p>
    <w:p w14:paraId="338DC0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противник атакует: Отступите навстречу друг другу, образуя «клеши», и, когда противник окажется между вами, поражайте его в бортовые проекции...</w:t>
      </w:r>
    </w:p>
    <w:p w14:paraId="6029F1A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Применение боеприпасов и бро- непробиваемость снарядов.</w:t>
      </w:r>
    </w:p>
    <w:p w14:paraId="44287F9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...Бронепробиваемость снарядов длинноствольного танкового орудия 5-см К^КЬ/бС. ,</w:t>
      </w:r>
    </w:p>
    <w:p w14:paraId="60B2A6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Рапгегдгапа1е 38 (бронебойный снаряд обр.38 года) против Т-34:</w:t>
      </w:r>
    </w:p>
    <w:p w14:paraId="40B3319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Борт башни и подбашенная коробка - поражается на дистанциях до 400 м</w:t>
      </w:r>
    </w:p>
    <w:p w14:paraId="358270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Лоб башни - поражается на дистанциях до 400 м</w:t>
      </w:r>
    </w:p>
    <w:p w14:paraId="680FC3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Лоб корпуса - неэффективен, в некоторых случаях может пробить люк механика-водителя.</w:t>
      </w:r>
    </w:p>
    <w:p w14:paraId="3FD5CAC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Рапгег§гапа!е 40:</w:t>
      </w:r>
    </w:p>
    <w:p w14:paraId="07D23F2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Рап2ег§гапа!ра1гопе 40 (унитарный патрон с бронебойным снарядом обр. 40 года) не должен более использоваться, так как его гильза может разорваться в стволе орудия или застрять в нем, и тогда ее придется извлекать банником. Разрывы гильзы в стволе бывают и при Рапге§гапа!е 38</w:t>
      </w:r>
    </w:p>
    <w:p w14:paraId="27CE118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Бронепробиваемость снаряда Рапгег§гапа!е 39 длинноствольного 7,5 см орудия ЕдаК.40 Ь/43 против Т-34.</w:t>
      </w:r>
    </w:p>
    <w:p w14:paraId="2783A8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Т-34 поражается под любым углом в любую проекцию, если огонь ведется с дистанции не более 1,2 км. В бою бывали проблемы, когда гильза снаряда не экстрактируется, а остается в стволе орудия. В таких случаях ее можно выбить лишь банником, прочищая спереди ствол орудия. Это обстоятельство очень сильно ограничивает огневую мощь.</w:t>
      </w:r>
    </w:p>
    <w:p w14:paraId="00E27B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Использование русскими танковых частей.</w:t>
      </w:r>
    </w:p>
    <w:p w14:paraId="0BB165A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прошлом году русские понесли огромные потери в танках, так как применяли их немассированно, в этом году противник вводит в бой массы танков.</w:t>
      </w:r>
    </w:p>
    <w:p w14:paraId="2F94FA9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Русские танки сосредотачиваются часто на открытой, плоской местности. Атакуя, русские танки упорно двигаются вперед. Часто желание атаковать у русских исчезает, если немцы сумеют подбить головные русские танки.</w:t>
      </w:r>
    </w:p>
    <w:p w14:paraId="015EC9D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Русские танки часами остаются на одном месте.</w:t>
      </w:r>
    </w:p>
    <w:p w14:paraId="2C72F24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Случается, что русские танки сильным ударом вклиниваются в позиции нашей пехоты, нанося ей потери, но дальнейший успех они развить, как правило, не могут.</w:t>
      </w:r>
    </w:p>
    <w:p w14:paraId="50C628F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При атаке или выдвижении немецких танков русские ставят свои танки в естественных или рукотворных укрытиях так, что наружу торчат только башни, подпускают немецкие танки поближе и поражают их с коротких дистанций. Огонь русских танков наносит значительные потери и с больших дистанций.</w:t>
      </w:r>
    </w:p>
    <w:p w14:paraId="5D1F314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Т-34: этот танк превосходил все немецкие танки до появления весной 1942 года немецких длинноствольных танковых орудий 5 см КлК Ь/60 и 7.5 см КгеК Ь/43, теперь уступая им.</w:t>
      </w:r>
    </w:p>
    <w:p w14:paraId="10B3241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Русские Т-34 в нескольких танковых сражениях, атаковав немецкие танки и понеся тяжелые потери, напоровшись на огонь новых орудий, теперь предпочитают при возможности отойти, не вступая в бой.</w:t>
      </w:r>
    </w:p>
    <w:p w14:paraId="437BC33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Фантастический боевой дух русских танкистов: некоторые танки теряют ход, получают 5-6 прямых попаданий, но их экипажи не сдаются и продолжают вести огонь. Для уничтожения таких машин приходится посылать специальные группы саперов-подрывников. Русские сражаются до последнего снаряда и патрона.</w:t>
      </w:r>
    </w:p>
    <w:p w14:paraId="7DFD1EC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Огонь немецкой артиллерии или атаки пикирующих бомбардировщиков редко вынуждают русских оставить позиции, хотя они и несут незначительные потери. Массированный удар «Лювтваффе» может уничтожить место, где группируются мощные танковые части русских, и сорвать их запланированную атаку на открытый фланг немецких частей.</w:t>
      </w:r>
    </w:p>
    <w:p w14:paraId="72926D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Достоинства тяжелых русских танков: мощное основное орудие, мощная броня, хорошая проходимость по пересеченной местности, большой радиус действий.</w:t>
      </w:r>
    </w:p>
    <w:p w14:paraId="7673D3E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Достоинства немецких танков: хороший обзор изнутри, отличная оптика и радиооборудование, что ведет к контролю тактической ситуации» (12217).</w:t>
      </w:r>
    </w:p>
    <w:p w14:paraId="5496374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1D3E60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92C73B5" w14:textId="77777777" w:rsidR="00AE7191" w:rsidRPr="00722885" w:rsidRDefault="00AE7191" w:rsidP="00722885">
      <w:pPr>
        <w:pStyle w:val="Iauiue"/>
        <w:jc w:val="both"/>
        <w:rPr>
          <w:iCs/>
          <w:color w:val="000000" w:themeColor="text1"/>
          <w:sz w:val="16"/>
          <w:szCs w:val="16"/>
        </w:rPr>
      </w:pPr>
    </w:p>
    <w:p w14:paraId="195FC671" w14:textId="77777777" w:rsidR="000D1F16" w:rsidRPr="00722885" w:rsidRDefault="000D1F1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7 августа 1942 генерал-майор Солдатов также официально обратился по вопросу поставки Ш-37 непосред</w:t>
      </w:r>
      <w:r w:rsidRPr="00722885">
        <w:rPr>
          <w:color w:val="000000" w:themeColor="text1"/>
          <w:sz w:val="16"/>
          <w:szCs w:val="16"/>
        </w:rPr>
        <w:softHyphen/>
        <w:t>ственно к наркому вооружения Устинову и в письме отмечал: «Завод № 18 НКАП должен срочно изготовить 20 самолетов Ил-2, вооружен</w:t>
      </w:r>
      <w:r w:rsidRPr="00722885">
        <w:rPr>
          <w:color w:val="000000" w:themeColor="text1"/>
          <w:sz w:val="16"/>
          <w:szCs w:val="16"/>
        </w:rPr>
        <w:softHyphen/>
        <w:t>ных крыльевыми пушками калибра 37 мм системы Шпитального, для фронта. /.../ Прошу Ваших ука</w:t>
      </w:r>
      <w:r w:rsidRPr="00722885">
        <w:rPr>
          <w:color w:val="000000" w:themeColor="text1"/>
          <w:sz w:val="16"/>
          <w:szCs w:val="16"/>
        </w:rPr>
        <w:softHyphen/>
        <w:t>заний директору завода № 74 т. Иванову срочно изготовить и подать заводу № 18 40 крыльевых пу</w:t>
      </w:r>
      <w:r w:rsidRPr="00722885">
        <w:rPr>
          <w:color w:val="000000" w:themeColor="text1"/>
          <w:sz w:val="16"/>
          <w:szCs w:val="16"/>
        </w:rPr>
        <w:softHyphen/>
        <w:t>шек калибра 37 мм с магазинным боекомплектом 40 патронов»».</w:t>
      </w:r>
    </w:p>
    <w:p w14:paraId="0A4C8ECF" w14:textId="77777777" w:rsidR="000D1F16" w:rsidRPr="00722885" w:rsidRDefault="000D1F1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Судя по всему, ответа на это письмо не последо</w:t>
      </w:r>
      <w:r w:rsidRPr="00722885">
        <w:rPr>
          <w:color w:val="000000" w:themeColor="text1"/>
          <w:sz w:val="16"/>
          <w:szCs w:val="16"/>
        </w:rPr>
        <w:softHyphen/>
        <w:t>вало, поскольку 12 августа генерал-майор Солдатов вторично обращается к Устинову за содействием, но при этом уже ссылается на постановление ГКО № 967сс от 26 ноября 1941 г. Только после этого Устинов также решил «обозначить тему» и слегка «подтолкнул» завод № 74. Вскоре на самолетный завод № 18 НКАП поступило еще 14 комплектных пушек Ш-37. Но на этом все и закончилось. Для проведения войсковых испытаний и фор</w:t>
      </w:r>
      <w:r w:rsidRPr="00722885">
        <w:rPr>
          <w:color w:val="000000" w:themeColor="text1"/>
          <w:sz w:val="16"/>
          <w:szCs w:val="16"/>
        </w:rPr>
        <w:softHyphen/>
        <w:t>мального выполнения постановления ГКО от 26 ноября 1941 г. ВВС сочли вполне достаточным 10 противотанковых Ил-2. Тем более что по результатам полигон</w:t>
      </w:r>
      <w:r w:rsidRPr="00722885">
        <w:rPr>
          <w:color w:val="000000" w:themeColor="text1"/>
          <w:sz w:val="16"/>
          <w:szCs w:val="16"/>
        </w:rPr>
        <w:softHyphen/>
        <w:t>ных испытаний готовилось решение о вы</w:t>
      </w:r>
      <w:r w:rsidRPr="00722885">
        <w:rPr>
          <w:color w:val="000000" w:themeColor="text1"/>
          <w:sz w:val="16"/>
          <w:szCs w:val="16"/>
        </w:rPr>
        <w:softHyphen/>
        <w:t>пуске войсковой серии Ил-2 с пушками 11П ОКБ-16 (17500).</w:t>
      </w:r>
    </w:p>
    <w:p w14:paraId="360F3FB1" w14:textId="77777777" w:rsidR="000D1F16" w:rsidRPr="00722885" w:rsidRDefault="000D1F16" w:rsidP="00722885">
      <w:pPr>
        <w:spacing w:after="0" w:line="240" w:lineRule="auto"/>
        <w:jc w:val="both"/>
        <w:rPr>
          <w:rFonts w:ascii="Times New Roman" w:eastAsia="Times New Roman" w:hAnsi="Times New Roman"/>
          <w:color w:val="000000" w:themeColor="text1"/>
          <w:sz w:val="16"/>
          <w:szCs w:val="16"/>
          <w:lang w:eastAsia="ru-RU"/>
        </w:rPr>
      </w:pPr>
    </w:p>
    <w:p w14:paraId="020B2E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августа 1942 вышел приказ НКАП N 398а/с</w:t>
      </w:r>
    </w:p>
    <w:p w14:paraId="01FF51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Представленные на утверждение чертежи фильтра ЦАГИ для установки на самолет Ил-2, отработанные заводом 18 утверждаю</w:t>
      </w:r>
    </w:p>
    <w:p w14:paraId="3AE944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Представленные на утверждение ГК С.В.И. чертежи усиленной деревянной части фюзеляжа Ил-2 утверждаю</w:t>
      </w:r>
    </w:p>
    <w:p w14:paraId="21F2FA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Директорам заводов 18, 1, 30 запустить в серийное производство удлиненную деревянную хвостовую часть по утвержденным чертежам по 40 машин.</w:t>
      </w:r>
    </w:p>
    <w:p w14:paraId="0172DC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Представленные на утверждение чертежи механизма установки щитков на взлетный угол, отработанные заводом 18, в соответствии с приказом НЕАП N 307а/с от 21 апреля 1942 - утверждаю</w:t>
      </w:r>
    </w:p>
    <w:p w14:paraId="2E75341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Директору завода 18 Белянскому А.А. до 1 сентября 1942 оборудовать одну машину механизмом установки щитков на взлетный угол и предъявить ее на гос. испытания в НИИ ВВС</w:t>
      </w:r>
    </w:p>
    <w:p w14:paraId="615C21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Представленные на утверждение чертежи установки обратного клапана в систему охлаждения мотора на самолете Ил-2 - утверждаю</w:t>
      </w:r>
    </w:p>
    <w:p w14:paraId="2678A4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Директорам заводов 18, 1, 30 и 381 с 20 августа 1942 выпускать машины, оборудованные обратным клапаном в системе охлаждения мотора (1581,180).</w:t>
      </w:r>
    </w:p>
    <w:p w14:paraId="7D5CA3E3" w14:textId="77777777" w:rsidR="00AE7191" w:rsidRPr="00722885" w:rsidRDefault="00AE7191" w:rsidP="00722885">
      <w:pPr>
        <w:pStyle w:val="Iauiue"/>
        <w:jc w:val="both"/>
        <w:rPr>
          <w:color w:val="000000" w:themeColor="text1"/>
          <w:sz w:val="16"/>
          <w:szCs w:val="16"/>
        </w:rPr>
      </w:pPr>
    </w:p>
    <w:p w14:paraId="660842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августа 1942 ВРИО Нач. ГУЭ ВВС Курин писал письмо N 416703с НКАП А.И.Ш. (копия: Зам. НКАП А.С.Я., Нач. ГУЗ и ТС Селезневу и Зам. Нач. НИИ ВВС Федорову):</w:t>
      </w:r>
    </w:p>
    <w:p w14:paraId="65F414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 сем представляю Вам копии пожеланий летчиков об устранении наиболее заметных недочетов по Як-1 и Ил-2, присланных т Булганиным на имя Ком. ВВС КА." (1633,226).</w:t>
      </w:r>
    </w:p>
    <w:p w14:paraId="5FCB66B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августа 1942 года было подготовлено письмо:</w:t>
      </w:r>
    </w:p>
    <w:p w14:paraId="1930DAE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КОМАНДУЮЩЕМУ ВВС КРАСНОЙ АРМИИ Генерал-лейтенанту т» НОВИКОВУ</w:t>
      </w:r>
    </w:p>
    <w:p w14:paraId="024A373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время бесед с летчиками и командирами авиа</w:t>
      </w:r>
      <w:r w:rsidRPr="00722885">
        <w:rPr>
          <w:rFonts w:ascii="Times New Roman" w:hAnsi="Times New Roman"/>
          <w:color w:val="000000" w:themeColor="text1"/>
          <w:sz w:val="16"/>
          <w:szCs w:val="16"/>
        </w:rPr>
        <w:softHyphen/>
        <w:t>частей, а также при посещениях аэродромов - было выявлено, что в самолетах Як-1 и Ил-2 имеется ряд заводских недочетов, устранение которых возможно и необходимо для повышения летно-тактических качеств этих самолетов.</w:t>
      </w:r>
    </w:p>
    <w:p w14:paraId="74342EE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Направляю Вам вжсказанные летчиками пожелания об устранении наиболее заметных заводских недочетов</w:t>
      </w:r>
    </w:p>
    <w:p w14:paraId="10F79D6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п/п.</w:t>
      </w:r>
    </w:p>
    <w:p w14:paraId="065D2D7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(БУЛГАНИН)</w:t>
      </w:r>
    </w:p>
    <w:p w14:paraId="3FA4F90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КОПИЯ ВЕРНА:</w:t>
      </w:r>
    </w:p>
    <w:p w14:paraId="36F35FFC" w14:textId="77777777" w:rsidR="00AE7191" w:rsidRPr="00722885" w:rsidRDefault="00AE7191" w:rsidP="00722885">
      <w:pPr>
        <w:shd w:val="clear" w:color="auto" w:fill="FFFFFF"/>
        <w:spacing w:after="0" w:line="240" w:lineRule="auto"/>
        <w:jc w:val="both"/>
        <w:rPr>
          <w:rFonts w:ascii="Times New Roman" w:hAnsi="Times New Roman"/>
          <w:smallCaps/>
          <w:color w:val="000000" w:themeColor="text1"/>
          <w:sz w:val="16"/>
          <w:szCs w:val="16"/>
        </w:rPr>
      </w:pPr>
      <w:r w:rsidRPr="00722885">
        <w:rPr>
          <w:rFonts w:ascii="Times New Roman" w:hAnsi="Times New Roman"/>
          <w:color w:val="000000" w:themeColor="text1"/>
          <w:sz w:val="16"/>
          <w:szCs w:val="16"/>
        </w:rPr>
        <w:t>Инженер- 1-го Отдела Управления Технич.3ксплоат. ВВС КА (Черемных) (1633,227)</w:t>
      </w:r>
    </w:p>
    <w:p w14:paraId="31B60E7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августа 1942 года была подготовлена справка:</w:t>
      </w:r>
    </w:p>
    <w:p w14:paraId="305646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Заводские дефекты по штурмовикам и истребителям</w:t>
      </w:r>
    </w:p>
    <w:p w14:paraId="78DD35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Из опроса летчиков и командиров частей</w:t>
      </w:r>
    </w:p>
    <w:p w14:paraId="596355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выявлен ряд недочетов в самолетах</w:t>
      </w:r>
    </w:p>
    <w:p w14:paraId="52C383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самолету Як-1</w:t>
      </w:r>
    </w:p>
    <w:p w14:paraId="31950D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У самолета Як-1 желательно иметь разъемные плоскости, сделав это по типу И-16 или МИГ-3, усилить боковые капоты, изменить защелки на капотах, так как бывают случаи, когда во время пикирования слетают капоты.</w:t>
      </w:r>
    </w:p>
    <w:p w14:paraId="3E42A6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Усилить фонарь, так как во время скорости 500 км в 1 час фонарь иногда срывается, самолет желательно обеспечить связью.</w:t>
      </w:r>
    </w:p>
    <w:p w14:paraId="1E0942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У Як-1 плохо просматривается задняя полусфера, надо правее прицела поставить опускающееся и поднимающееся зеркало, чтобы можно было видеть хвост самолета.</w:t>
      </w:r>
    </w:p>
    <w:p w14:paraId="6439F8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У Як-1 плохая воздушная система, целесообразно взять типовой образец с ЛАГГ и перенести на Як-1.</w:t>
      </w:r>
    </w:p>
    <w:p w14:paraId="1EFA4A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Поднять качество монтажа самолета, желательно взять систему ЛАГГ. Монтаж Саратовского завода плохой.</w:t>
      </w:r>
    </w:p>
    <w:p w14:paraId="030134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Летный состав ставит вопрос о снятии с самолетов Як-7 кислородных баллонов, так как полеты ведутся не выше 3-4 тысяч метров, а баллоны увеличивают вес самолета и опасны вследствие возможности взрыва их в боевой обстановке.</w:t>
      </w:r>
    </w:p>
    <w:p w14:paraId="6039AC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На машинах Як-7 установлены зимние радиаторы, имеющие толстые стенки и крупные соты, в результате чего греются моторы часто до 100 градусов.</w:t>
      </w:r>
    </w:p>
    <w:p w14:paraId="1FA54E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Неудобный подвод питания к правому пулемету ШКАС, от чего происходят задержки, набегание, заклинивание ленты.</w:t>
      </w:r>
    </w:p>
    <w:p w14:paraId="23D43FD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Пневмоперезарядка пушки ШВАК (перекрывной клапан) отказывает, летят прокладки и т.д.</w:t>
      </w:r>
    </w:p>
    <w:p w14:paraId="20A0EA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Пневмоперезарядка пулеметов ШКАС неудовлетворительна. Не обеспечивает перезарядку при заряженных пулеметах. Трубочки подвода воздуха к пулемету лучше сделать эластичными.</w:t>
      </w:r>
    </w:p>
    <w:p w14:paraId="5859A5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Недоработана конструкция включения и выключения синхронизатора, тросовая проводка в бауденах болтается, ролики и рычаги создают свободные хода. Желательна электромагнитная система включения и выключения синхронизатора.</w:t>
      </w:r>
    </w:p>
    <w:p w14:paraId="021EE3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Очень часто отказывает механизм пневмопуска, нет регулятора давления воздуха.</w:t>
      </w:r>
    </w:p>
    <w:p w14:paraId="7604F3E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самолету Ил-2.</w:t>
      </w:r>
    </w:p>
    <w:p w14:paraId="370D90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Немедленно устранить недостатки в замке Дер-31, которые при подвеске на них ФАБ-100 от электропуска срабатывают на все (электромагниты замка не притягивают к себе якорь, который в свою очередь не освобождает поддерживающий бомбу рычаг. Бомба с самолета не сбрасывается).</w:t>
      </w:r>
    </w:p>
    <w:p w14:paraId="1E62F1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Замок бомбодержателя Дер-21 во время пикирования работает только в момент окончательного выхода самолета из пике, а надо, чтобы он срабатывал в момент пике под углом 30-35 градусов. В 606 ШАП"е его переделали и перестановкой винта, ограничивающего вращение несущего рычага, достигли положения, что бомба отрывается от машины в момент, когда это требуется.</w:t>
      </w:r>
    </w:p>
    <w:p w14:paraId="54D907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Сверку центроплана над пиропистолетом бомбодержателя ДЕР-31, необходимо сделать люк для удобства съемки пиропистолета и завертывания гайки затвора.</w:t>
      </w:r>
    </w:p>
    <w:p w14:paraId="24F85D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Установить специальный прицел, так как имеющийся, во время пикирования, цели не показывает, она закрывается мотором.</w:t>
      </w:r>
    </w:p>
    <w:p w14:paraId="673327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Определить точнее угол пикирования Ил-2 для внутренних и внешних подвесок отдельно.</w:t>
      </w:r>
    </w:p>
    <w:p w14:paraId="307AD7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Изменить предохранительную стенку люка, так как о стенку во время сбрасывания 100 кг бомбы, может удариться и смяться ветряк, отчего не произойдет взрыва.</w:t>
      </w:r>
    </w:p>
    <w:p w14:paraId="73A4A8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Сделать Ил-2 двухместным самолетом, бак с бензином, который занимает второе место, переконструировать в центроплан.</w:t>
      </w:r>
    </w:p>
    <w:p w14:paraId="0EDF67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Слабое место Ил-2 - хвост. Нельзя ли поставить 1-2 пулемета, чтобы можно было стрелять через хвост.</w:t>
      </w:r>
    </w:p>
    <w:p w14:paraId="2B9808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Продумать вопрос о броне самолета, т.к. сегодняшнюю бронь пробивает пуля.</w:t>
      </w:r>
    </w:p>
    <w:p w14:paraId="0285FF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Вместо броневого железа кабины ставить небьющееся стекло, что увеличит обзор как воздушного, так и наземного противника.</w:t>
      </w:r>
    </w:p>
    <w:p w14:paraId="69B231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На Ил-2 установлены зимние жиклеры. Это дает увеличение расхода горючего на 30-40 кг в час на 1 мотор, чем сокращается время пребывания самолета в воздухе и радиус его действия. Запасные жиклеры также зимние.</w:t>
      </w:r>
    </w:p>
    <w:p w14:paraId="74318F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Установить на самолетах приспособление, изобретенное инженером Кривицким для самоперезарядки пушки Волкова-Ярцева при задержках - неотдача без участия летчика.</w:t>
      </w:r>
    </w:p>
    <w:p w14:paraId="2C598E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 На затыльнике пушки Волкова-Ярцева раззенковку для штифта затыльника делать с обеих сторон, что даст возможность снимать затыльник без снятия пушки с установки.</w:t>
      </w:r>
    </w:p>
    <w:p w14:paraId="02B1A0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моторам.</w:t>
      </w:r>
    </w:p>
    <w:p w14:paraId="736C39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Моторы на Ил-2 и Як-7 по единодушному отзыву летного и технического состава - низкого качества и часто выходят из строя.</w:t>
      </w:r>
    </w:p>
    <w:p w14:paraId="19EF44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Основные дефекты: плохое качество металла блоков, быстрое изнашивание бронзовых шестерен распределительных валиков, выхлопных и всасывающих клапанов, завальцовка цилиндров (1633,228).</w:t>
      </w:r>
    </w:p>
    <w:p w14:paraId="0B10A405" w14:textId="77777777" w:rsidR="00AE7191" w:rsidRPr="00722885" w:rsidRDefault="00AE7191" w:rsidP="00722885">
      <w:pPr>
        <w:pStyle w:val="Iauiue"/>
        <w:jc w:val="both"/>
        <w:rPr>
          <w:color w:val="000000" w:themeColor="text1"/>
          <w:sz w:val="16"/>
          <w:szCs w:val="16"/>
        </w:rPr>
      </w:pPr>
    </w:p>
    <w:p w14:paraId="18711C8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августа 1942 на</w:t>
      </w:r>
      <w:r w:rsidRPr="00722885">
        <w:rPr>
          <w:rFonts w:ascii="Times New Roman" w:hAnsi="Times New Roman"/>
          <w:color w:val="000000" w:themeColor="text1"/>
          <w:sz w:val="16"/>
          <w:szCs w:val="16"/>
        </w:rPr>
        <w:softHyphen/>
        <w:t>чальник 12-го Управления заказов вооружения и боеприпасов ВВС генерал-майору Солдатову обратил</w:t>
      </w:r>
      <w:r w:rsidRPr="00722885">
        <w:rPr>
          <w:rFonts w:ascii="Times New Roman" w:hAnsi="Times New Roman"/>
          <w:color w:val="000000" w:themeColor="text1"/>
          <w:sz w:val="16"/>
          <w:szCs w:val="16"/>
        </w:rPr>
        <w:softHyphen/>
        <w:t>ся к наркому вооружения Устинову с просьбой дать указания «директору завода № 74 т. Иванову срочно изготовить и подать заводу № 18 40 крыльевых пушек калибра 37 мм с магазином под боекомплект 40 патронов». После вмешательства Устинова дело сдвинулось с места. Еше в марте 1942 г. выпуск противотанковых Ил-2 АМ-38 пору</w:t>
      </w:r>
      <w:r w:rsidRPr="00722885">
        <w:rPr>
          <w:rFonts w:ascii="Times New Roman" w:hAnsi="Times New Roman"/>
          <w:color w:val="000000" w:themeColor="text1"/>
          <w:sz w:val="16"/>
          <w:szCs w:val="16"/>
        </w:rPr>
        <w:softHyphen/>
        <w:t xml:space="preserve">чили только что созданному московскому заводу № 30, но и он не смог выполнить задание. Разворачивание производства штурмовиков в отсутствие достаточного количества станков и </w:t>
      </w:r>
      <w:r w:rsidRPr="00722885">
        <w:rPr>
          <w:rFonts w:ascii="Times New Roman" w:hAnsi="Times New Roman"/>
          <w:color w:val="000000" w:themeColor="text1"/>
          <w:sz w:val="16"/>
          <w:szCs w:val="16"/>
        </w:rPr>
        <w:lastRenderedPageBreak/>
        <w:t>квалифицированной рабочей силы шло очень медленными темпами. Тогда программу войсковой серии Ил-2 с 37-мм пушками вновь «перебросили» на завод № 18. К этому време</w:t>
      </w:r>
      <w:r w:rsidRPr="00722885">
        <w:rPr>
          <w:rFonts w:ascii="Times New Roman" w:hAnsi="Times New Roman"/>
          <w:color w:val="000000" w:themeColor="text1"/>
          <w:sz w:val="16"/>
          <w:szCs w:val="16"/>
        </w:rPr>
        <w:softHyphen/>
        <w:t>ни кризис производства на куйбышевских заводах в целом уже был преодолен, но сроки все равно были сорваны. Завод № 74 наркомата вооружения не поставил пушки. По состоянию на 2 августа 18-й авиазавод получил всего шесть комплектных пу</w:t>
      </w:r>
      <w:r w:rsidRPr="00722885">
        <w:rPr>
          <w:rFonts w:ascii="Times New Roman" w:hAnsi="Times New Roman"/>
          <w:color w:val="000000" w:themeColor="text1"/>
          <w:sz w:val="16"/>
          <w:szCs w:val="16"/>
        </w:rPr>
        <w:softHyphen/>
        <w:t>шек ШФК-37 вместо 40. «Такое положение приводит к тому, что 20 самолетов Ил-2, которые должны быть вооружены крыльевыми пушками, не</w:t>
      </w:r>
      <w:r w:rsidRPr="00722885">
        <w:rPr>
          <w:rFonts w:ascii="Times New Roman" w:hAnsi="Times New Roman"/>
          <w:color w:val="000000" w:themeColor="text1"/>
          <w:sz w:val="16"/>
          <w:szCs w:val="16"/>
        </w:rPr>
        <w:softHyphen/>
        <w:t>известно когда будут готовы. По этой же причине нельзя предъявить никаких требований НКАП, так как пушки ему не поданы», — докладывал начальник Управления опытного строительства ГУ ИАС ВВС бригадный инженер Лешуков на</w:t>
      </w:r>
      <w:r w:rsidRPr="00722885">
        <w:rPr>
          <w:rFonts w:ascii="Times New Roman" w:hAnsi="Times New Roman"/>
          <w:color w:val="000000" w:themeColor="text1"/>
          <w:sz w:val="16"/>
          <w:szCs w:val="16"/>
        </w:rPr>
        <w:softHyphen/>
        <w:t>чальнику 12-го Управления заказов вооружения и боеприпасов ВВС генерал-майору Солдатову (11474,321).</w:t>
      </w:r>
    </w:p>
    <w:p w14:paraId="465F155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8C1B4D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августа 1942 вышел приказ НКАП N 599с "О внедрении в серийное производство ультрафиолетового облучения приборных досок вместо существующего подсвета" (1581,186).</w:t>
      </w:r>
    </w:p>
    <w:p w14:paraId="4A42A173" w14:textId="77777777" w:rsidR="00AE7191" w:rsidRPr="00722885" w:rsidRDefault="00AE7191" w:rsidP="00722885">
      <w:pPr>
        <w:pStyle w:val="Iauiue"/>
        <w:jc w:val="both"/>
        <w:rPr>
          <w:color w:val="000000" w:themeColor="text1"/>
          <w:sz w:val="16"/>
          <w:szCs w:val="16"/>
        </w:rPr>
      </w:pPr>
    </w:p>
    <w:p w14:paraId="793885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7 августа по 2 сентября 1942 под Москвой состоялись летные испытания КТ (А-40) О.К.Антонова для Т-60. Несколько подлетов и один полет за ТБ-3 (АНТ-6) с АМ-34РН. Вода закипела, хотя танк был без башни и 100 л горючего. Посадили на Быковском аэродроме - все разбежались (112,175).</w:t>
      </w:r>
    </w:p>
    <w:p w14:paraId="0860BFF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Летал С.Н.Анохин. Полетная масса - 6710 кг, т.е. на 1094 меньше расчетного. Танк мог возить планер со скоростью до 15 км/час, а на большей - перегревался. Сначала сделали несколько пробежек на скоростях 10, 65, 85 и 100 км/час, в т.ч. четыре по грунту и три по бетону. Определили, что эффективность рулей достаточна, но управления тяжеловато. Гусеницы работали нормально, амортизации хватало. Мощности АМ-34ФР оказалось недостаточно. С.Н.Анохину приказали отцепиться. Он сел и не отцепляя крыльев поехал к КП. Чуть-чуть не расстреляли из зениток (94,91).</w:t>
      </w:r>
    </w:p>
    <w:p w14:paraId="02B11A5C" w14:textId="77777777" w:rsidR="00AE7191" w:rsidRPr="00722885" w:rsidRDefault="00AE7191" w:rsidP="00722885">
      <w:pPr>
        <w:pStyle w:val="Iauiue"/>
        <w:jc w:val="both"/>
        <w:rPr>
          <w:color w:val="000000" w:themeColor="text1"/>
          <w:sz w:val="16"/>
          <w:szCs w:val="16"/>
        </w:rPr>
      </w:pPr>
    </w:p>
    <w:p w14:paraId="5F4CF4A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с 7 августа по 2 сентября 1942 г. под Мо</w:t>
      </w:r>
      <w:r w:rsidRPr="00722885">
        <w:rPr>
          <w:rFonts w:ascii="Times New Roman" w:hAnsi="Times New Roman"/>
          <w:color w:val="000000" w:themeColor="text1"/>
          <w:sz w:val="16"/>
          <w:szCs w:val="16"/>
        </w:rPr>
        <w:softHyphen/>
        <w:t>сквой проходили летные испытания ЛТ. Летал известный летчик-планерист Сергей Анохин, который в своих воспоминаниях упоминал и «Летающий танк». Для общей проверки планера «танк» решили облег</w:t>
      </w:r>
      <w:r w:rsidRPr="00722885">
        <w:rPr>
          <w:rFonts w:ascii="Times New Roman" w:hAnsi="Times New Roman"/>
          <w:color w:val="000000" w:themeColor="text1"/>
          <w:sz w:val="16"/>
          <w:szCs w:val="16"/>
        </w:rPr>
        <w:softHyphen/>
        <w:t>чить — с него сняли башню, убра</w:t>
      </w:r>
      <w:r w:rsidRPr="00722885">
        <w:rPr>
          <w:rFonts w:ascii="Times New Roman" w:hAnsi="Times New Roman"/>
          <w:color w:val="000000" w:themeColor="text1"/>
          <w:sz w:val="16"/>
          <w:szCs w:val="16"/>
        </w:rPr>
        <w:softHyphen/>
        <w:t>ли все лишнее и сделали неполную заправку горючим. В результате взлетный вес удалось снизить до 6,7 т. В качестве буксировщика использовали бомбардировщик ТБ-3 с форсированными моторами АМ-34РН. Сначала были сделаны скоростные пробежки, потом вы</w:t>
      </w:r>
      <w:r w:rsidRPr="00722885">
        <w:rPr>
          <w:rFonts w:ascii="Times New Roman" w:hAnsi="Times New Roman"/>
          <w:color w:val="000000" w:themeColor="text1"/>
          <w:sz w:val="16"/>
          <w:szCs w:val="16"/>
        </w:rPr>
        <w:softHyphen/>
        <w:t>полнили три подлета на высоту до 4 м. Планер вел себя устойчиво и нормально слушался рулей. Пер</w:t>
      </w:r>
      <w:r w:rsidRPr="00722885">
        <w:rPr>
          <w:rFonts w:ascii="Times New Roman" w:hAnsi="Times New Roman"/>
          <w:color w:val="000000" w:themeColor="text1"/>
          <w:sz w:val="16"/>
          <w:szCs w:val="16"/>
        </w:rPr>
        <w:softHyphen/>
        <w:t>вый и единственный полет выпол</w:t>
      </w:r>
      <w:r w:rsidRPr="00722885">
        <w:rPr>
          <w:rFonts w:ascii="Times New Roman" w:hAnsi="Times New Roman"/>
          <w:color w:val="000000" w:themeColor="text1"/>
          <w:sz w:val="16"/>
          <w:szCs w:val="16"/>
        </w:rPr>
        <w:softHyphen/>
        <w:t>нили 2 сентября 1942 г. Взлет про</w:t>
      </w:r>
      <w:r w:rsidRPr="00722885">
        <w:rPr>
          <w:rFonts w:ascii="Times New Roman" w:hAnsi="Times New Roman"/>
          <w:color w:val="000000" w:themeColor="text1"/>
          <w:sz w:val="16"/>
          <w:szCs w:val="16"/>
        </w:rPr>
        <w:softHyphen/>
        <w:t>шел нормально, но вскоре моторы ТБ-3 стали перегреваться — мощно</w:t>
      </w:r>
      <w:r w:rsidRPr="00722885">
        <w:rPr>
          <w:rFonts w:ascii="Times New Roman" w:hAnsi="Times New Roman"/>
          <w:color w:val="000000" w:themeColor="text1"/>
          <w:sz w:val="16"/>
          <w:szCs w:val="16"/>
        </w:rPr>
        <w:softHyphen/>
        <w:t>сти для буксировки явно не хватало. По команде старшего лейтенанта Павла Еремеева, пилота ТБ, Анохин отцепился и пошел на вынужденную посадку на ближайший аэродром в Быково. Вскоре работы по А-40 прекратили, в основном из-за отсутствия подходящего буксировщика, да и ВДВ не проявили должного инте</w:t>
      </w:r>
      <w:r w:rsidRPr="00722885">
        <w:rPr>
          <w:rFonts w:ascii="Times New Roman" w:hAnsi="Times New Roman"/>
          <w:color w:val="000000" w:themeColor="text1"/>
          <w:sz w:val="16"/>
          <w:szCs w:val="16"/>
        </w:rPr>
        <w:softHyphen/>
        <w:t>реса к данному проекту. А в довершение всего в кон</w:t>
      </w:r>
      <w:r w:rsidRPr="00722885">
        <w:rPr>
          <w:rFonts w:ascii="Times New Roman" w:hAnsi="Times New Roman"/>
          <w:color w:val="000000" w:themeColor="text1"/>
          <w:sz w:val="16"/>
          <w:szCs w:val="16"/>
        </w:rPr>
        <w:softHyphen/>
        <w:t>це года сняли с производства танк Т-60 (12300).</w:t>
      </w:r>
    </w:p>
    <w:p w14:paraId="2653154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C63DE0B"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августа в 1942 году с пробежек облегченного танка по грунтовой взлетно-посадочной полосе и бетонке начались под Москвой в Летно-исследовательском институте (ЛИИ) испытания планера </w:t>
      </w:r>
      <w:hyperlink r:id="rId62" w:tgtFrame="_blank" w:history="1">
        <w:r w:rsidRPr="00722885">
          <w:rPr>
            <w:rFonts w:ascii="Times New Roman" w:hAnsi="Times New Roman"/>
            <w:color w:val="000000" w:themeColor="text1"/>
            <w:sz w:val="16"/>
            <w:szCs w:val="16"/>
          </w:rPr>
          <w:t xml:space="preserve">А-40». </w:t>
        </w:r>
      </w:hyperlink>
      <w:r w:rsidRPr="00722885">
        <w:rPr>
          <w:rFonts w:ascii="Times New Roman" w:hAnsi="Times New Roman"/>
          <w:color w:val="000000" w:themeColor="text1"/>
          <w:sz w:val="16"/>
          <w:szCs w:val="16"/>
        </w:rPr>
        <w:t>При этом целью ставилось узнать, выдержит ли ходовая часть машины скорость 110-115 км/ч (скорость «Т-60» составляла 45 км/ч). Затем были выполнены три подлета "КТ" на высоте 4 м, в которых опробовали систему управления. Планер изготовили в апреле 1942 года в Тюмени, куда было эвакуировано КБ Антонова. В конце 1941 года Олег Константинович Антонов задумал создать некий гибрид танка и десантного планера, отказавшись от единой силовой установки. Работы над планером, получившим индекс «А-40» (или «КТ» - крылья танка), начались в самый трудный период начала войны - в декабре 1941 г. Для испытаний был предоставлен серийный легкий танк «Т-60» (14976).</w:t>
      </w:r>
    </w:p>
    <w:p w14:paraId="7E4A2E00" w14:textId="77777777" w:rsidR="00014545" w:rsidRPr="00722885" w:rsidRDefault="00014545" w:rsidP="00722885">
      <w:pPr>
        <w:spacing w:after="0" w:line="240" w:lineRule="auto"/>
        <w:jc w:val="both"/>
        <w:rPr>
          <w:rFonts w:ascii="Times New Roman" w:hAnsi="Times New Roman"/>
          <w:color w:val="000000" w:themeColor="text1"/>
          <w:sz w:val="16"/>
          <w:szCs w:val="16"/>
        </w:rPr>
      </w:pPr>
    </w:p>
    <w:p w14:paraId="7ED3A65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8A0560F" w14:textId="77777777" w:rsidR="00AE7191" w:rsidRPr="00722885" w:rsidRDefault="00AE7191" w:rsidP="00722885">
      <w:pPr>
        <w:pStyle w:val="Iauiue"/>
        <w:jc w:val="both"/>
        <w:rPr>
          <w:iCs/>
          <w:color w:val="000000" w:themeColor="text1"/>
          <w:sz w:val="16"/>
          <w:szCs w:val="16"/>
        </w:rPr>
      </w:pPr>
    </w:p>
    <w:p w14:paraId="58F92B62" w14:textId="77777777" w:rsidR="00BE1824" w:rsidRPr="00722885" w:rsidRDefault="00BE1824"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С 7 августа по 17 сентября 1942 года орудие ЧК испытывалось на Гороховецком АНИОП, за это время было выполнено 590 выстрелов. Результаты испытаний оказались более успешными, хотя было выявлено около 20 дефектов, часть из которых было однозначно производственными. Максимальная скорострельность достигла 20-25 выстрелов в минуту, а практическая - 9-12. В целом орудие признали перспективным, хотя испытания оно не выдержало (20126).</w:t>
      </w:r>
    </w:p>
    <w:p w14:paraId="6A0226DD" w14:textId="77777777" w:rsidR="00BE1824" w:rsidRPr="00722885" w:rsidRDefault="00BE1824"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5A122ED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7 по 31 августа 1942 г. опытный образец танка КВ-1К с установкой КАРСТ-1 прошел испытания на Чебаркульском научно-исследовательском полигоне стрелкового вооружения РККА. По результатам было сделано заключение о возможности установки КАРСТ-1 на любом типе танка (тяжелом, среднем, легком) в качестве мощного дополнительного ору</w:t>
      </w:r>
      <w:r w:rsidRPr="00722885">
        <w:rPr>
          <w:rFonts w:ascii="Times New Roman" w:hAnsi="Times New Roman"/>
          <w:color w:val="000000" w:themeColor="text1"/>
          <w:sz w:val="16"/>
          <w:szCs w:val="16"/>
        </w:rPr>
        <w:softHyphen/>
        <w:t>жия. Сама ракетная система с учетом изменений была рекомендована для серийного производства и установки на танк КВ-1 С. Несмотря на то, что в декабре 1942 г. даже был разработан проект инструкции по эксплу</w:t>
      </w:r>
      <w:r w:rsidRPr="00722885">
        <w:rPr>
          <w:rFonts w:ascii="Times New Roman" w:hAnsi="Times New Roman"/>
          <w:color w:val="000000" w:themeColor="text1"/>
          <w:sz w:val="16"/>
          <w:szCs w:val="16"/>
        </w:rPr>
        <w:softHyphen/>
        <w:t>атации КАРСТ-1, дальнейшие работы по монтажу на танк реактивных установок в качестве дополнительного оружия развития не получили. КАРСТ-1 была установлена на серийный танк КВ-1 обр. 1941 г. про</w:t>
      </w:r>
      <w:r w:rsidRPr="00722885">
        <w:rPr>
          <w:rFonts w:ascii="Times New Roman" w:hAnsi="Times New Roman"/>
          <w:color w:val="000000" w:themeColor="text1"/>
          <w:sz w:val="16"/>
          <w:szCs w:val="16"/>
        </w:rPr>
        <w:softHyphen/>
        <w:t>изводства ЧКЗ и представляла собой четыре орудия, которые монтиро</w:t>
      </w:r>
      <w:r w:rsidRPr="00722885">
        <w:rPr>
          <w:rFonts w:ascii="Times New Roman" w:hAnsi="Times New Roman"/>
          <w:color w:val="000000" w:themeColor="text1"/>
          <w:sz w:val="16"/>
          <w:szCs w:val="16"/>
        </w:rPr>
        <w:softHyphen/>
        <w:t>вались на надгусеничных полках - по два орудия со стороны каждого борта танка. Основное оружие танка и его боекомплект по сравнению с базовой машиной остались без изменений. Экипаж танка состоял из пя</w:t>
      </w:r>
      <w:r w:rsidRPr="00722885">
        <w:rPr>
          <w:rFonts w:ascii="Times New Roman" w:hAnsi="Times New Roman"/>
          <w:color w:val="000000" w:themeColor="text1"/>
          <w:sz w:val="16"/>
          <w:szCs w:val="16"/>
        </w:rPr>
        <w:softHyphen/>
        <w:t>ти человек. Корпус каждого орудия, сваренный из 10- и 30-мм броневых листов, имел прямоугольную форму в поперечном сечении и трапецевидную -в продольном. В корпусе орудия были установлены направляющие для двух 132-мм реактивных осколочно-фугасных снарядов М-13, исполь</w:t>
      </w:r>
      <w:r w:rsidRPr="00722885">
        <w:rPr>
          <w:rFonts w:ascii="Times New Roman" w:hAnsi="Times New Roman"/>
          <w:color w:val="000000" w:themeColor="text1"/>
          <w:sz w:val="16"/>
          <w:szCs w:val="16"/>
        </w:rPr>
        <w:softHyphen/>
        <w:t>зуемых из боевого комплекта боевой машины БМ-13 ("Катюша"). Пе</w:t>
      </w:r>
      <w:r w:rsidRPr="00722885">
        <w:rPr>
          <w:rFonts w:ascii="Times New Roman" w:hAnsi="Times New Roman"/>
          <w:color w:val="000000" w:themeColor="text1"/>
          <w:sz w:val="16"/>
          <w:szCs w:val="16"/>
        </w:rPr>
        <w:softHyphen/>
        <w:t>редние орудия имели угол возвышения +3°, а кормовые - +4°. Выстрел производился с помощью электрозапала. Из кормовых орудий стрельбу можно было вести только при положении башни с пушкой, располагав</w:t>
      </w:r>
      <w:r w:rsidRPr="00722885">
        <w:rPr>
          <w:rFonts w:ascii="Times New Roman" w:hAnsi="Times New Roman"/>
          <w:color w:val="000000" w:themeColor="text1"/>
          <w:sz w:val="16"/>
          <w:szCs w:val="16"/>
        </w:rPr>
        <w:softHyphen/>
        <w:t>шейся вдоль продольной оси танка (10703).</w:t>
      </w:r>
    </w:p>
    <w:p w14:paraId="069B496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E5B5B0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августа 1942 вышло Постановление ГКО № 2157 Об оставлении завода № 592. в системе НКВ. РГАНИР, Фонд ГКО, д. 50, лл. 164 (11012).</w:t>
      </w:r>
    </w:p>
    <w:p w14:paraId="61BF928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D660C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августа 1942 вышло Постановление № 2158 ГКО О постройке деревянного корпуса механического цеха на заводе № 8. НКВ..РГАНИР, Фонд ГКО, д. 50, лл. 165 (11012).</w:t>
      </w:r>
    </w:p>
    <w:p w14:paraId="1F07FB0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0365B1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августа 1942 вышло Постановление ГКО № 2159 О назначении т. Белахова л. Ю. уполномоченным ГКО по морским перевозкам в Астрахани и Гурьеве. (7048, 166).</w:t>
      </w:r>
    </w:p>
    <w:p w14:paraId="10506A01" w14:textId="77777777" w:rsidR="00AE7191" w:rsidRPr="00722885" w:rsidRDefault="00AE7191" w:rsidP="00722885">
      <w:pPr>
        <w:pStyle w:val="Iauiue"/>
        <w:tabs>
          <w:tab w:val="left" w:pos="11199"/>
        </w:tabs>
        <w:jc w:val="both"/>
        <w:rPr>
          <w:color w:val="000000" w:themeColor="text1"/>
          <w:sz w:val="16"/>
          <w:szCs w:val="16"/>
        </w:rPr>
      </w:pPr>
    </w:p>
    <w:p w14:paraId="77FF5F22"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С 7 августа 1942 года во всех официальных документах вместо Бакальского завода появляется Челябинский металлургический завод и, соответственно, Челябметаллургстрой. Строительство с начала 1942 годом также велось Востокметаллургстроем и Востокметаллургмонтажем. Основной рабочей силой ударной стройки, которую планировали завершить в рекордно короткие сроки, были - помимо мобилизованных рабочих и эвакуированных специалистов - "трудармейцы" и заключенные Бакаллага (действовал с января 1942 года, в августе 1942 года был переименован в Челяблаг при Бакалстрое Челябметаллургстроя НКВД СССР). Всего на конец 1942 года в этом лагере числилось 4600 зэков. К 1 января 1944 года их число выросло до 11,5 тыс. человек. Лагерь входил в систему Главпромстроя НКВД СССР, в 40-е годы у него было 8 основных объектов на Урале. На конец 1942 года в Главпромстрое НКВД на Урале числилось до 80 тыс. зэков (более 52% от их общей численности по стране в этом управлении). На 1 мая на Урале зэков Главпромстроя числилось около 55 тыс. человек. "Трудармейцами" в большинстве своем были репрессированные большевиками советские немцы и их статус, а также существование ничем не отличались от того, что было у "подопечных" системы ГУЛАГа (тем более, что трудармейцы располагались в лагпунктах ГУЛАГа и также охранялись) (11572).</w:t>
      </w:r>
    </w:p>
    <w:p w14:paraId="1AF19317" w14:textId="77777777" w:rsidR="00AE7191" w:rsidRPr="00722885" w:rsidRDefault="00AE7191" w:rsidP="00722885">
      <w:pPr>
        <w:pStyle w:val="afff2"/>
        <w:jc w:val="both"/>
        <w:rPr>
          <w:i w:val="0"/>
          <w:iCs w:val="0"/>
          <w:color w:val="000000" w:themeColor="text1"/>
          <w:spacing w:val="0"/>
          <w:kern w:val="0"/>
          <w:position w:val="0"/>
          <w:sz w:val="16"/>
          <w:szCs w:val="16"/>
        </w:rPr>
      </w:pPr>
    </w:p>
    <w:p w14:paraId="40A4970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5428777" w14:textId="77777777" w:rsidR="00AE7191" w:rsidRPr="00722885" w:rsidRDefault="00AE7191" w:rsidP="00722885">
      <w:pPr>
        <w:pStyle w:val="Iauiue"/>
        <w:jc w:val="both"/>
        <w:rPr>
          <w:iCs/>
          <w:color w:val="000000" w:themeColor="text1"/>
          <w:sz w:val="16"/>
          <w:szCs w:val="16"/>
        </w:rPr>
      </w:pPr>
    </w:p>
    <w:p w14:paraId="6453A23E"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августа в 1942 году утреннее сообщение Совинформбюро:</w:t>
      </w:r>
    </w:p>
    <w:p w14:paraId="7783FF55"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7 августа наши войска вели бои с противником в районах Клетская, Котельниково, южнее Белая Глина и южнее Кущевская.</w:t>
      </w:r>
    </w:p>
    <w:p w14:paraId="1DE765C7"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51384D8C"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колонна немецких танков пыталась прорвать линию нашейобороны. Не доходя до наших позиций, три танка противника подорвались на минном поле. Огнём с коротких дистанций наши артиллеристы и бронебойщики подбили и сожгли 5 вражеских машин. Затем в бой вступило подразделение советских тяжёлых танков. Огнём и тараном отважные танкисты уничтожили ещё 14 немецких танков. Остальные танки противника вышли из боя и быстро скрылись. Южнее Клетской наши войска предприняли несколько контратак и потеснили противника. В ходе боёв уничтожено 9 немецких танков и до 800 гитлеровцев.</w:t>
      </w:r>
    </w:p>
    <w:p w14:paraId="7803CDEC"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Котельникова гитлеровцы с целью сломить нашу оборону бросают в бой значительное число танков. Наши части отбили эти атаки противника. Лишь на одном участке 10 немецких танков и значительная группа автоматчиков вклинились в расположение советских частей. В завязавшемся бою уничтожено 4 танка и свыше 200 немецких автоматчиков. Активно действует советская авиация. В течение суток нашилётчики несколько раз бомбили танковые части противника и нанесли им серьёзные потери. В воздушных боях сбито 18 и повреждено 13 немецких самолётов.</w:t>
      </w:r>
    </w:p>
    <w:p w14:paraId="44FFBD50"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Белой Глины наши войска вели тяжёлые оборонительные бои станками и мотопехотой противника. На одном из участков после упорных боёв противнику удалось несколько продвинуться вперёд. В районе южнее Кущевскойнемецко-фашистские войска вели неоднократные атаки наших позиций. Атаки гитлеровцев отбиты с большими для них потерями. Бойцы Н-ского соединения сожгли 9 немецких танков, 60 автомашин и истребили до 700 солдат и офицеров противника.</w:t>
      </w:r>
    </w:p>
    <w:p w14:paraId="220E732A"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Волховском фронте происходили столкновения с небольшими группами противника и редкая артиллерийская и ружейная перестрелка. Наш отряд внезапным ударом ворвался в небольшой населённый пункт и выбил из него немцев. Захвачено орудие и два пулемёта.</w:t>
      </w:r>
    </w:p>
    <w:p w14:paraId="1F64E894"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происходили действия разведывательных групп. Разведчики во главе с лейтенантами Вахрушевым, Юсуповым и старшим политруком Александровым совершили смелый налёт на укрепления противника. Внезапно ворвавшись в ходы сообщения и ДЗОТы, они уничтожили свыше 40 гитлеровцев, захватили станковый пулемёт и взяли в плен немецкого обер-ефрейтора.</w:t>
      </w:r>
    </w:p>
    <w:p w14:paraId="7D3B32D4"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Ленинградской области, действующие на коммуникациях противника, за истекшие две недели пустили под откос 12 немецких железнодорожных эшелонов с живой силой и военными грузами. Советские патриоты сожгли транспортный самолёт «Юнкерс-52», сделавший вынужденную посадку, и огнём пехотного оружия сбили немецкий бомбардировщик.</w:t>
      </w:r>
    </w:p>
    <w:p w14:paraId="6319F0A4"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записной книжки солдата 9 роты 44 венгерского полка Иштвана Киша: «Проехали много сёл и городов... От города Белая Церковь осталась груда развалин. Здесь видна немецкая работа. Целые улицы сравнены с землёй. В деревнях такая же картина. Везде разрушенные дома...</w:t>
      </w:r>
    </w:p>
    <w:p w14:paraId="7531A6B5"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Целый день готовились к бою с партизанами. В Носовке обшарили все дома, но ни одного партизана не нашли. При обысках отнимаем всё, что нам нужно. Поймали старого учителя. Немедленно допросили и тут же вздёрнули его на виселицу. Командир отделения отрубил ему уши. Это нужно для устрашения...</w:t>
      </w:r>
    </w:p>
    <w:p w14:paraId="0CD55383"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Трудный ночной марш. Недалеко от села Уланова мы неожиданно очутились под градом пуль. Партизаны стреляли из пулемётов, автоматических пистолетов и автоматических винтовок. Батальон потерял больше половины людей... Нас подло обманули. Говорили, что с партизанами будет очень легко разделаться, а на самом деле они не уступают регулярным войскам. Они действуют из засад и всегда неожиданно. Боишься на каждом шагу, так как в любом месте могут всадить пулю».</w:t>
      </w:r>
    </w:p>
    <w:p w14:paraId="6EF16F7A"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Вооружённая группа молодых бельгийцев совершила нападение на штаб эсэсовских войск в Брюсселе. Ручными гранатами уничтожено больше 30 гитлеровцев. Отважные патриоты проникли в тюрьму, освободили несколько десятков бельгийских заложников и скрылись.» (14976).</w:t>
      </w:r>
    </w:p>
    <w:p w14:paraId="3F4E7F93" w14:textId="77777777" w:rsidR="00014545" w:rsidRPr="00722885" w:rsidRDefault="00014545" w:rsidP="00722885">
      <w:pPr>
        <w:spacing w:after="0" w:line="240" w:lineRule="auto"/>
        <w:jc w:val="both"/>
        <w:rPr>
          <w:rFonts w:ascii="Times New Roman" w:hAnsi="Times New Roman"/>
          <w:color w:val="000000" w:themeColor="text1"/>
          <w:sz w:val="16"/>
          <w:szCs w:val="16"/>
        </w:rPr>
      </w:pPr>
    </w:p>
    <w:p w14:paraId="418105BD"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августа в 1942 году вечернее сообщение Совинформбюро:</w:t>
      </w:r>
    </w:p>
    <w:p w14:paraId="0DC60D9D"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7 августа наши войска вели ожесточённые бои в районах Клетская, севернее Котельниково, Армавир и южнее Кущевская.</w:t>
      </w:r>
    </w:p>
    <w:p w14:paraId="0204ED5F"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121304DF"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 корабль в Балтийском море потопил транспорт противника водоизмещением в 10.000 тонн.</w:t>
      </w:r>
    </w:p>
    <w:p w14:paraId="7EAE8AB2"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6 августа частями нашей авиации на различных участках фронта уничтожено или повреждено до 50 немецких танков и бронемашин, до 200 автомашин с войсками и грузами, 50 повозок с боеприпасами, 6 автоцистерн с горючим, подавлен огонь 10 батарей полевой и зенитной артиллерии, взорвано 5 складов боеприпасов, разбит железнодорожный состав, рассеяно и частью уничтожено до двух батальонов пехоты противника.</w:t>
      </w:r>
    </w:p>
    <w:p w14:paraId="090BBB8A"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отбили несколько атак немцев. Только перед оборонительными рубежами Н-ской части гитлеровцы потеряли 8 танков и 350 солдат и офицеров. Упорные бои развернулись южнее Клетской на участке Н-ского гвардейского соединения. В течение последних дней гвардейцы отразили 17 танковых атак противника и уничтожили более 100 немецких танков. Лишь за один день огнём артиллерии и стрелковых подразделений истреблено 500 гитлеровцев.</w:t>
      </w:r>
    </w:p>
    <w:p w14:paraId="22264DC3"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севернее Котельникова продолжались ожесточённые бои с танкам и автоматчиками противника, вклинившимися в нашу оборону. В бою за один населённый пункт подбито 8 танков и истреблено свыше 300 немецких автоматчиков. Подтянув резервы, немцы предприняли на этом участке вторую танковую атаку. К этому времени подошли советские танки и сразу же нанесли контрудар. Гитлеровцы понесли большие потери.</w:t>
      </w:r>
    </w:p>
    <w:p w14:paraId="32820742"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Белой Глины наши войска в течение нескольких дней вели тяжёлые оборонительные бои против наступающих немецко-фашистских войск. На участке Н-ского соединения вражеские колонны танков и мотопехоты были встречены артиллерийским и миномётным огнём. Неприятель потерял до 40 танков и более 1.000 солдат и офицеров. Подтянув новые силы, немцы снова атаковали наши позиции. После кровопролитных боёв с численно превосходящими силами противника наши части отошли на новый оборонительный рубеж в направлении Армавира.</w:t>
      </w:r>
    </w:p>
    <w:p w14:paraId="415D4B83"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наши части форсировали реку Дон. Советские бойцы заняли два крупных населённых пункта. Бои идут на улицах нескольких других населённых пунктов. Разгромлен полк седьмой венгерской дивизии. Захвачены 12 орудий и другие трофеи.</w:t>
      </w:r>
    </w:p>
    <w:p w14:paraId="3326C6F1"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Карельском фронте происходили столкновения с разведывательными группами противника. В районе части, где командиром тов. Гришин, около роты вражеских солдат подошло к нашему боевому охранению. Бойцы подпустили немцев на близкое расстояние и открыли ружейно-пулемётный огонь. Потеряв несколько десятков убитыми, гитлеровцы отступили.</w:t>
      </w:r>
    </w:p>
    <w:p w14:paraId="71AAEA08"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наших лётчиков во главе с командиром подразделения тов. Книжником атаковала вражеский аэродром. Уничтожено 6 немецких самолётов, взорван склад с боеприпасами. Наши самолёты без потерь вернулись на свой аэродром.</w:t>
      </w:r>
    </w:p>
    <w:p w14:paraId="44E136FB"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тов. С. действующий в одном из районов Сумской области, организовал крушение воинского эшелона противника. Разбито 50 вагонов. Убито и ранено свыше тысячи немецко-фашистских оккупантов.</w:t>
      </w:r>
    </w:p>
    <w:p w14:paraId="0F07219D"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августа на сторону Красной Армии перелетели три немецких лётчика на самолётах «Мессершмитт-109». Сдавшиеся в плен лейтенант Бодо Хельме, унтер-офицер Курт Филипп и рядовой Вернер Шумхер совершили посадку на одной из площадок в районе нашей линии обороны. Пленные заявили, что еще в пути на фронт они сговорились между собой о переходе на сторону русских. Бодо Хельме, Курт Филипп и Вернер Шумхер обратились к немецким солдатам с призывом сдаваться в плен и тем самым сохранить себе жизнь в этой преступной войне, затеянной Гитлером и его кликой.</w:t>
      </w:r>
    </w:p>
    <w:p w14:paraId="1FA14321"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обрекают население Советской Эстонии на голодную смерть. Всё продовольствие гитлеровцы вывозят в Германию. Жители эстонских городов получают по 170 граммов суррогатного хлеба. Подавляющее большинство фабрик бездействует.</w:t>
      </w:r>
    </w:p>
    <w:p w14:paraId="0898FA38"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Грызня между румынскими и венгерскими подручными Гитлера нередко переходит в открытую драку. В июле на участке венгерско-румынской границы между Клужем и Тыргу-Мурешем произошли кровавые столкновения. У пункта Салонта недавно рота румынских солдат перешла границу и напала на венгерскую пограничную стражу.» (14976).</w:t>
      </w:r>
    </w:p>
    <w:p w14:paraId="6FC3F6C8" w14:textId="77777777" w:rsidR="00014545" w:rsidRPr="00722885" w:rsidRDefault="00014545" w:rsidP="00722885">
      <w:pPr>
        <w:spacing w:after="0" w:line="240" w:lineRule="auto"/>
        <w:jc w:val="both"/>
        <w:rPr>
          <w:rFonts w:ascii="Times New Roman" w:hAnsi="Times New Roman"/>
          <w:color w:val="000000" w:themeColor="text1"/>
          <w:sz w:val="16"/>
          <w:szCs w:val="16"/>
        </w:rPr>
      </w:pPr>
    </w:p>
    <w:p w14:paraId="4BDF3896" w14:textId="77777777" w:rsidR="00EC7BF5" w:rsidRPr="00722885" w:rsidRDefault="00EC7BF5" w:rsidP="00722885">
      <w:pPr>
        <w:pStyle w:val="ae"/>
        <w:spacing w:before="0" w:after="0"/>
        <w:jc w:val="both"/>
        <w:textAlignment w:val="baseline"/>
        <w:rPr>
          <w:color w:val="000000" w:themeColor="text1"/>
          <w:sz w:val="16"/>
          <w:szCs w:val="16"/>
        </w:rPr>
      </w:pPr>
      <w:r w:rsidRPr="00722885">
        <w:rPr>
          <w:color w:val="000000" w:themeColor="text1"/>
          <w:sz w:val="16"/>
          <w:szCs w:val="16"/>
        </w:rPr>
        <w:t>7 августа 1942 группа Илов во главе с командиром 622-го шап майором Владимиром Землянским атаковала танковую колонну, обнаруженную в районе разъезда № 74 Светлоярского района Сталинградской области. В ходе одного из заходов штурмовик ведущего был подбит огнем зениток. 35-летний пилот приказал по радио принять командование группой своему заместителю, а сам спикировал на немецкие танки. На сей раз командованию показалось мало «Знамени», и Землянского представили к званию Героя Советского Союза, которое и было ему присвоено 5 ноября того же года (19522).</w:t>
      </w:r>
    </w:p>
    <w:p w14:paraId="4D8ABBEA" w14:textId="77777777" w:rsidR="00EC7BF5" w:rsidRPr="00722885" w:rsidRDefault="00EC7BF5" w:rsidP="00722885">
      <w:pPr>
        <w:pStyle w:val="ae"/>
        <w:spacing w:before="0" w:after="0"/>
        <w:jc w:val="both"/>
        <w:textAlignment w:val="baseline"/>
        <w:rPr>
          <w:color w:val="000000" w:themeColor="text1"/>
          <w:sz w:val="16"/>
          <w:szCs w:val="16"/>
        </w:rPr>
      </w:pPr>
    </w:p>
    <w:p w14:paraId="5E57EF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7 августа 1942 погиб командир 622-го </w:t>
      </w:r>
      <w:r w:rsidRPr="00722885">
        <w:rPr>
          <w:iCs/>
          <w:color w:val="000000" w:themeColor="text1"/>
          <w:sz w:val="16"/>
          <w:szCs w:val="16"/>
        </w:rPr>
        <w:t xml:space="preserve">шап </w:t>
      </w:r>
      <w:r w:rsidRPr="00722885">
        <w:rPr>
          <w:color w:val="000000" w:themeColor="text1"/>
          <w:sz w:val="16"/>
          <w:szCs w:val="16"/>
        </w:rPr>
        <w:t>м-р В.В.Землянский. Во время бомбоштурмового удара по немецкой бронетехнике на южном фасе внешнего оборо</w:t>
      </w:r>
      <w:r w:rsidRPr="00722885">
        <w:rPr>
          <w:color w:val="000000" w:themeColor="text1"/>
          <w:sz w:val="16"/>
          <w:szCs w:val="16"/>
        </w:rPr>
        <w:softHyphen/>
        <w:t>нительного обвода Сталинграда Землянский, выводя летчиков полка в атаку, по</w:t>
      </w:r>
      <w:r w:rsidRPr="00722885">
        <w:rPr>
          <w:color w:val="000000" w:themeColor="text1"/>
          <w:sz w:val="16"/>
          <w:szCs w:val="16"/>
        </w:rPr>
        <w:softHyphen/>
        <w:t>пал под сосредоточенный огонь немец</w:t>
      </w:r>
      <w:r w:rsidRPr="00722885">
        <w:rPr>
          <w:color w:val="000000" w:themeColor="text1"/>
          <w:sz w:val="16"/>
          <w:szCs w:val="16"/>
        </w:rPr>
        <w:softHyphen/>
        <w:t>кой батареи МЗА. В результате его Ил-2 превратился в рванину и загорелся. Передав управление своему заместите</w:t>
      </w:r>
      <w:r w:rsidRPr="00722885">
        <w:rPr>
          <w:color w:val="000000" w:themeColor="text1"/>
          <w:sz w:val="16"/>
          <w:szCs w:val="16"/>
        </w:rPr>
        <w:softHyphen/>
        <w:t>лю, В.В.Землянский направил горящую машину на скопление танков и броне</w:t>
      </w:r>
      <w:r w:rsidRPr="00722885">
        <w:rPr>
          <w:color w:val="000000" w:themeColor="text1"/>
          <w:sz w:val="16"/>
          <w:szCs w:val="16"/>
        </w:rPr>
        <w:softHyphen/>
        <w:t>машин... Посмертно В.В.Землянскому Указом Президиума Верховного Совета СССР от 5 ноября 1942 г. было присво</w:t>
      </w:r>
      <w:r w:rsidRPr="00722885">
        <w:rPr>
          <w:color w:val="000000" w:themeColor="text1"/>
          <w:sz w:val="16"/>
          <w:szCs w:val="16"/>
        </w:rPr>
        <w:softHyphen/>
        <w:t>ено звание Героя Советского Союза (6467).</w:t>
      </w:r>
    </w:p>
    <w:p w14:paraId="6E91A5DE" w14:textId="77777777" w:rsidR="00AE7191" w:rsidRPr="00722885" w:rsidRDefault="00AE7191" w:rsidP="00722885">
      <w:pPr>
        <w:pStyle w:val="Iauiue"/>
        <w:jc w:val="both"/>
        <w:rPr>
          <w:color w:val="000000" w:themeColor="text1"/>
          <w:sz w:val="16"/>
          <w:szCs w:val="16"/>
        </w:rPr>
      </w:pPr>
    </w:p>
    <w:p w14:paraId="64952B6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августа 1942 погиб командир 622-го шап майор Землянский. Во время бомбоштурмового удара по немецкой бронетехнике на южном фасе внешнего оборонительного обвода Сталинграда Землянский, выводя летчиков полка в атаку, попал под сосредоточенный огонь батареи зенитных автоматов. В результате его Ил-2 загорелся. Передав управление группой своему заместителю, Землянский направил горящую машину на скопление танков и бронемашин... Посмертно В. В. Землянскому Указом Президиума Верховного Совета СССР от 5 ноября 1942 г. было присвоено звание Героя Советского Союза.</w:t>
      </w:r>
    </w:p>
    <w:p w14:paraId="49B02FD8" w14:textId="77777777" w:rsidR="00AE7191" w:rsidRPr="00722885" w:rsidRDefault="00AE7191" w:rsidP="00722885">
      <w:pPr>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 xml:space="preserve">Через три дня подвиг Землянского повторил молодой летчик 673-го шап ст. сержант Рогальский, который в своем первом боевом вылете был подбит зенитным огнем над целью в районе р. Малая-Тин гута. Штурмовик загорелся. В результате падения Ил-2 Рогальского на скопление автомашин с грузами наблюдались сильные взрывы... </w:t>
      </w:r>
      <w:r w:rsidRPr="00722885">
        <w:rPr>
          <w:rFonts w:ascii="Times New Roman" w:hAnsi="Times New Roman"/>
          <w:color w:val="000000" w:themeColor="text1"/>
          <w:sz w:val="16"/>
          <w:szCs w:val="16"/>
          <w:lang w:val="en-US"/>
        </w:rPr>
        <w:t>(12020).</w:t>
      </w:r>
    </w:p>
    <w:p w14:paraId="0728483D" w14:textId="77777777" w:rsidR="00AE7191" w:rsidRPr="00722885" w:rsidRDefault="00AE7191" w:rsidP="00722885">
      <w:pPr>
        <w:spacing w:after="0" w:line="240" w:lineRule="auto"/>
        <w:jc w:val="both"/>
        <w:rPr>
          <w:rFonts w:ascii="Times New Roman" w:hAnsi="Times New Roman"/>
          <w:color w:val="000000" w:themeColor="text1"/>
          <w:sz w:val="16"/>
          <w:szCs w:val="16"/>
          <w:lang w:val="en-US"/>
        </w:rPr>
      </w:pPr>
    </w:p>
    <w:p w14:paraId="2F680CAD"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7, 1942: Units of the 6.Armee (von Paulus) cross the Don river at Kalach in their advance toward Stalingrad (3819).</w:t>
      </w:r>
    </w:p>
    <w:p w14:paraId="45BB0B62" w14:textId="77777777" w:rsidR="00AE7191" w:rsidRPr="00722885" w:rsidRDefault="00AE7191" w:rsidP="00722885">
      <w:pPr>
        <w:pStyle w:val="Iauiue"/>
        <w:jc w:val="both"/>
        <w:rPr>
          <w:color w:val="000000" w:themeColor="text1"/>
          <w:sz w:val="16"/>
          <w:szCs w:val="16"/>
          <w:lang w:val="en-US"/>
        </w:rPr>
      </w:pPr>
    </w:p>
    <w:p w14:paraId="33B093D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августа 1942 части 6А (фон Паулюс) форсировали Дон у Калача (3819).</w:t>
      </w:r>
    </w:p>
    <w:p w14:paraId="18241511" w14:textId="77777777" w:rsidR="00AE7191" w:rsidRPr="00722885" w:rsidRDefault="00AE7191" w:rsidP="00722885">
      <w:pPr>
        <w:pStyle w:val="Iauiue"/>
        <w:jc w:val="both"/>
        <w:rPr>
          <w:color w:val="000000" w:themeColor="text1"/>
          <w:sz w:val="16"/>
          <w:szCs w:val="16"/>
        </w:rPr>
      </w:pPr>
    </w:p>
    <w:p w14:paraId="3B48F9F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августа 1942 вышло Постановление ГКО № 2156 [О пополнении Волховского фронта.] (7048, 163).</w:t>
      </w:r>
    </w:p>
    <w:p w14:paraId="79AACCA0" w14:textId="77777777" w:rsidR="00AE7191" w:rsidRPr="00722885" w:rsidRDefault="00AE7191" w:rsidP="00722885">
      <w:pPr>
        <w:pStyle w:val="Iauiue"/>
        <w:tabs>
          <w:tab w:val="left" w:pos="11199"/>
        </w:tabs>
        <w:jc w:val="both"/>
        <w:rPr>
          <w:color w:val="000000" w:themeColor="text1"/>
          <w:sz w:val="16"/>
          <w:szCs w:val="16"/>
        </w:rPr>
      </w:pPr>
    </w:p>
    <w:p w14:paraId="28790A0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682FB79" w14:textId="77777777" w:rsidR="00AE7191" w:rsidRPr="00722885" w:rsidRDefault="00AE7191" w:rsidP="00722885">
      <w:pPr>
        <w:pStyle w:val="Iauiue"/>
        <w:jc w:val="both"/>
        <w:rPr>
          <w:iCs/>
          <w:color w:val="000000" w:themeColor="text1"/>
          <w:sz w:val="16"/>
          <w:szCs w:val="16"/>
        </w:rPr>
      </w:pPr>
    </w:p>
    <w:p w14:paraId="29F622A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августа 1942 у Каира немцами подбит самолет, на котором летел генерал Уильям Готт, за сутки до этого назначенный командующим 8-й английской армией в Северной Африке (4962).</w:t>
      </w:r>
    </w:p>
    <w:p w14:paraId="629B53E0" w14:textId="77777777" w:rsidR="00AE7191" w:rsidRPr="00722885" w:rsidRDefault="00AE7191" w:rsidP="00722885">
      <w:pPr>
        <w:pStyle w:val="Iauiue"/>
        <w:tabs>
          <w:tab w:val="left" w:pos="11199"/>
        </w:tabs>
        <w:jc w:val="both"/>
        <w:rPr>
          <w:color w:val="000000" w:themeColor="text1"/>
          <w:sz w:val="16"/>
          <w:szCs w:val="16"/>
        </w:rPr>
      </w:pPr>
    </w:p>
    <w:p w14:paraId="7BEDACF6"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августа в 1942 году у Каира немцы подбивают самолет, на котором летит генерал Уильям Готт, за сутки до этого назначенный командующим 8-й английской армией в Северной Африке (14976).</w:t>
      </w:r>
    </w:p>
    <w:p w14:paraId="68114B7B" w14:textId="77777777" w:rsidR="00014545" w:rsidRPr="00722885" w:rsidRDefault="00014545" w:rsidP="00722885">
      <w:pPr>
        <w:spacing w:after="0" w:line="240" w:lineRule="auto"/>
        <w:jc w:val="both"/>
        <w:rPr>
          <w:rFonts w:ascii="Times New Roman" w:hAnsi="Times New Roman"/>
          <w:color w:val="000000" w:themeColor="text1"/>
          <w:sz w:val="16"/>
          <w:szCs w:val="16"/>
        </w:rPr>
      </w:pPr>
    </w:p>
    <w:p w14:paraId="7A89A019" w14:textId="77777777" w:rsidR="00014545" w:rsidRPr="00722885" w:rsidRDefault="00014545" w:rsidP="00722885">
      <w:pPr>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7 августа в 1942 году военный кабинет Великобритании утвердил изменения в структуре командования войсками на Среднем Востоке. ГлавнокомандующимназначенгенералГ</w:t>
      </w:r>
      <w:r w:rsidRPr="00722885">
        <w:rPr>
          <w:rFonts w:ascii="Times New Roman" w:hAnsi="Times New Roman"/>
          <w:color w:val="000000" w:themeColor="text1"/>
          <w:sz w:val="16"/>
          <w:szCs w:val="16"/>
          <w:lang w:val="en-US"/>
        </w:rPr>
        <w:t>.</w:t>
      </w:r>
      <w:r w:rsidRPr="00722885">
        <w:rPr>
          <w:rFonts w:ascii="Times New Roman" w:hAnsi="Times New Roman"/>
          <w:color w:val="000000" w:themeColor="text1"/>
          <w:sz w:val="16"/>
          <w:szCs w:val="16"/>
        </w:rPr>
        <w:t>Александер</w:t>
      </w:r>
      <w:r w:rsidRPr="00722885">
        <w:rPr>
          <w:rFonts w:ascii="Times New Roman" w:hAnsi="Times New Roman"/>
          <w:color w:val="000000" w:themeColor="text1"/>
          <w:sz w:val="16"/>
          <w:szCs w:val="16"/>
          <w:lang w:val="en-US"/>
        </w:rPr>
        <w:t xml:space="preserve"> (14976).</w:t>
      </w:r>
    </w:p>
    <w:p w14:paraId="0CCFC6F0" w14:textId="77777777" w:rsidR="00014545" w:rsidRPr="00722885" w:rsidRDefault="00014545" w:rsidP="00722885">
      <w:pPr>
        <w:spacing w:after="0" w:line="240" w:lineRule="auto"/>
        <w:jc w:val="both"/>
        <w:rPr>
          <w:rFonts w:ascii="Times New Roman" w:hAnsi="Times New Roman"/>
          <w:color w:val="000000" w:themeColor="text1"/>
          <w:sz w:val="16"/>
          <w:szCs w:val="16"/>
          <w:lang w:val="en-US"/>
        </w:rPr>
      </w:pPr>
    </w:p>
    <w:p w14:paraId="1A0F8F60"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7 1942 British General Bernard Montgomery takes command of Eighth Army in North Africa (1050).</w:t>
      </w:r>
    </w:p>
    <w:p w14:paraId="61FC1377" w14:textId="77777777" w:rsidR="00AE7191" w:rsidRPr="00722885" w:rsidRDefault="00AE7191" w:rsidP="00722885">
      <w:pPr>
        <w:pStyle w:val="Iauiue"/>
        <w:jc w:val="both"/>
        <w:rPr>
          <w:color w:val="000000" w:themeColor="text1"/>
          <w:sz w:val="16"/>
          <w:szCs w:val="16"/>
          <w:lang w:val="en-US"/>
        </w:rPr>
      </w:pPr>
    </w:p>
    <w:p w14:paraId="1E83A1E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августа 1942 английский г Монтгомери принял командование 8 армией в Северной Африке (1050).</w:t>
      </w:r>
    </w:p>
    <w:p w14:paraId="3AE72DC7" w14:textId="77777777" w:rsidR="00AE7191" w:rsidRPr="00722885" w:rsidRDefault="00AE7191" w:rsidP="00722885">
      <w:pPr>
        <w:pStyle w:val="Iauiue"/>
        <w:jc w:val="both"/>
        <w:rPr>
          <w:color w:val="000000" w:themeColor="text1"/>
          <w:sz w:val="16"/>
          <w:szCs w:val="16"/>
        </w:rPr>
      </w:pPr>
    </w:p>
    <w:p w14:paraId="51D405BB"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августа 1942 на Ближнем Востоке англичанами создан Палестинский полк с отдельными еврейскими и арабскими батальонами (4962).</w:t>
      </w:r>
    </w:p>
    <w:p w14:paraId="4DECB9FD" w14:textId="77777777" w:rsidR="00AE7191" w:rsidRPr="00722885" w:rsidRDefault="00AE7191" w:rsidP="00722885">
      <w:pPr>
        <w:pStyle w:val="Iauiue"/>
        <w:tabs>
          <w:tab w:val="left" w:pos="11199"/>
        </w:tabs>
        <w:jc w:val="both"/>
        <w:rPr>
          <w:color w:val="000000" w:themeColor="text1"/>
          <w:sz w:val="16"/>
          <w:szCs w:val="16"/>
        </w:rPr>
      </w:pPr>
    </w:p>
    <w:p w14:paraId="0DA7FDB3"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августа 1942 началась битва американцев с японцами за Гвадалканал (Соломоновы острова) (4962).</w:t>
      </w:r>
    </w:p>
    <w:p w14:paraId="00BC66E4" w14:textId="77777777" w:rsidR="00AE7191" w:rsidRPr="00722885" w:rsidRDefault="00AE7191" w:rsidP="00722885">
      <w:pPr>
        <w:pStyle w:val="Iauiue"/>
        <w:tabs>
          <w:tab w:val="left" w:pos="11199"/>
        </w:tabs>
        <w:jc w:val="both"/>
        <w:rPr>
          <w:color w:val="000000" w:themeColor="text1"/>
          <w:sz w:val="16"/>
          <w:szCs w:val="16"/>
        </w:rPr>
      </w:pPr>
    </w:p>
    <w:p w14:paraId="56C3E868"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7 1942 - February 1943 1942 Capture of Guadalcanal 1942 Air support for the U.S Marines' first amphibious landing of World War II was provided by three carriers of Air Support Force (Rear Admiral L. Noyes), and by Navy, Marine, and Army units of Aircraft, South Pacific (Rear Admiral J. S. McCain) operating from bases on New Caledonia and in the New Hebrides. Carrier forces withdrew from direct support (9 Aug) but remained in the area to give overall support to the campaign during which they participated in several of the naval engagements fought over the island. Saratoga sank the Japanese light carrier Ryujo in the Battle of the Eastern Solomons (23-25 Aug); Enterprise was hit by carrier-based bombers (24 Aug) and forced to retire; Saratoga was damaged by a submarine torpedo (31 Aug) and forced to retire; and Wasp was sunk by a submarine (15 Sep) while escorting a troop convoy to Guadalcanal. Hornet, in Task Group 17 (Rear Admiral G. D. Murray), hit targets in the Buin-Tonolei-Faisi area (5 Oct); attacked beached Japanese transports and supply dumps on Guadalcanal; destroyed a concentration of seaplanes at Rekata Bay (16 Oct); and, with the Enterprise, fought in the Battle of Santa Cruz (26-27 Oct) in which she was sunk by air attack. In final carrier actions of the campaign, the Enterprise took part in the last stages of the Naval Battle for Guadalcanal (12-15 Nov), assisting in sinking 89,000 tons of war and cargo ships, and in the Battle of Rennel Island (29-30 Jan) in which two escort carriers also participated. Ashore, air forces in great variety provided direct support. Navy patrol squadrons flew search, rescue, and offensive missions from sheltered coves and harbors. Marine Fighter Squadron 223 and Scout Bombing Squadron 232, delivered by the escort carrier Long Island, initiated operations from Henderson Field on Guadalcanal (20 Aug) and were joined within a week by AAF fighter elements and dive bombers from the Enterprise, and by other elements as the campaign progressed. Until the island was secure (9 Feb), these forces flew interceptor patrols, offensive missions against shipping, and close air support for the Marines and for Army troops relieving them (13 Oct). Marine air units carrying the major air support burden accounted for 427 enemy aircraft during the campaign (1090).</w:t>
      </w:r>
    </w:p>
    <w:p w14:paraId="34B7C4BC" w14:textId="77777777" w:rsidR="00AE7191" w:rsidRPr="00722885" w:rsidRDefault="00AE7191" w:rsidP="00722885">
      <w:pPr>
        <w:pStyle w:val="Iauiue"/>
        <w:jc w:val="both"/>
        <w:rPr>
          <w:color w:val="000000" w:themeColor="text1"/>
          <w:sz w:val="16"/>
          <w:szCs w:val="16"/>
          <w:lang w:val="en-US"/>
        </w:rPr>
      </w:pPr>
    </w:p>
    <w:p w14:paraId="73B0B98C" w14:textId="547BC487" w:rsidR="00BE1824" w:rsidRPr="00722885" w:rsidRDefault="00BE182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августа 1942 начинается операция «Сторожевая башня» - вторжение США на Гуадалканал, Тулаги, Гавуту и Танамбого. Авианосцы USS Enterprise (CV-6) и USS Saratoga (CV-3) прикрывают высадку авиаударами, а самолеты армии США Boeing B-17 Flying Fortress бомбят японские аэродромы в Рабауле. Базирующиеся в Рабауле японские самолеты атакуют американские транспорты и их эскорт у Гуадалканала, после чего происходят воздушные бои с самолетами из Энтерпрайза и Саратоги (20793).</w:t>
      </w:r>
    </w:p>
    <w:p w14:paraId="5DCB1F47" w14:textId="77777777" w:rsidR="00BE1824" w:rsidRPr="00722885" w:rsidRDefault="00BE1824" w:rsidP="00722885">
      <w:pPr>
        <w:spacing w:after="0" w:line="240" w:lineRule="auto"/>
        <w:jc w:val="both"/>
        <w:rPr>
          <w:rFonts w:ascii="Times New Roman" w:hAnsi="Times New Roman"/>
          <w:color w:val="0070C0"/>
          <w:sz w:val="16"/>
          <w:szCs w:val="16"/>
        </w:rPr>
      </w:pPr>
    </w:p>
    <w:p w14:paraId="090335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августа 1942 американцы высадились на Гвадалканале (2245,7) и бои шли до 7 февраля 1943 (3907,236).</w:t>
      </w:r>
    </w:p>
    <w:p w14:paraId="5B1F4ACB" w14:textId="77777777" w:rsidR="00AE7191" w:rsidRPr="00722885" w:rsidRDefault="00AE7191" w:rsidP="00722885">
      <w:pPr>
        <w:pStyle w:val="Iauiue"/>
        <w:jc w:val="both"/>
        <w:rPr>
          <w:color w:val="000000" w:themeColor="text1"/>
          <w:sz w:val="16"/>
          <w:szCs w:val="16"/>
        </w:rPr>
      </w:pPr>
    </w:p>
    <w:p w14:paraId="5A852676"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августа в 1942 году американские войска начали операцию "Watchtower"(сторожевая башня) - высадку на остров Гуадаканал. В этот день на остров высадились 11 000 человек из 1-й дивизии морской пехоты. Части американской армии захватывают аэродром на острове Гуадалканал (известный как аэродром Гендерсона) и удерживают его, отбив несколько японских контратак (бои будут продолжаться до 7 февраля 1943).</w:t>
      </w:r>
    </w:p>
    <w:p w14:paraId="4121591B"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Утром 7 августа американские корабли, незаметно приблизившиеся к месту проведения операции под прикрытием палубной авиации, начали высадку на Гуадалканале и в Тулаги. На Гуадалканале части морской пехоты США, не встретив значительного сопротивления, уже 8 августа захватили аэродором со всеми постройками и значительным количеством припасов и амуниции. На северном участке операция протекала не столь успешно. Здесь союзникам пришлось столкнуться с ожесточенным сопротивлением японского гарнизона, умело использующего рельеф местности, однако к 9 августа база в Тулаги была также захвачена.</w:t>
      </w:r>
    </w:p>
    <w:p w14:paraId="37642B4A"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Японское командование отреагировало оперативно и уже начиная с 13:00 7 августа американские соединения подверглись первому авиационному налету. В ходе последующих атак 7 и 8 августа японским летчикам удалось уничтожить один транспорт и повредить торпедой эсминец «Джарвис», который на следующий день был потоплен при переходе на ремонт в Сидней. В то же время японское командование направило к Гуадалканалу отряд крейсеров под командованием адмирала Микавы. Вслед за ними была отправлена группа десантных судов, имевших задачу осуществить высадку на острове. Эта группа была атакована американской подводной лодкой, и потеряв один транспорт была вынуждена вернуться в Рабаул. Ночью, 8 августа Микаве буквально чудом удалось провести свои корабли незамеченными между эсминцами радиолокационного обнаружения и совершить неожиданную ночную атаку на корабли союзников, прикрывающие высадку. В результате происшедшего избиения союзники потеряли крейсера «Куинси», «Винсеннес», «Астория» и «Канберра». Несмотря на достигнутый успех Микава не выполнил своей задачи — уничтожения транспортных кораблей союзников. Потери японцев в этом бою были незначительными, но уходящие с места боя корабли подверглись атаке американской подводной лодки «S-44», в результате которой был потоплен крейсер «Како». 18 августа японцам удалось высадить немногочисленный десант на Гуадалканал, где они столкнулись с подавляющим превосходством противника и понесли большие потери. Японской ставкой было принято решение высадить на острове более крупные силы, для чего началось стягивание в район боевых действий значительных сил флота и десантных соединений. Подготовка противника к высадке на остров была замечена американским командованием. Для противодействия японским силам в район боевых действий были стянуты 4 авианосца, 2 линкора и большое количество меньших кораблей. Морские силы японцев были представлены двумя тяжелыми и легким авианосцем, двумя линкорами, множеством крейсеров, эсминцев и подводных лодок. 24 августа началось сражение у восточных Соломоновых островов. В ходе сражения ударами палубной и базовой авиации был потоплен легкий авианосец, а также эсминец и транспорт из отряда десантных сил. Ввиду таких потерь было принято решение отменить высадку. Ответными атаками японских самолетов был серьёзно поврежден авианосец «Энтерпрайз», понеся значительные потери.</w:t>
      </w:r>
    </w:p>
    <w:p w14:paraId="18DD7E7E" w14:textId="77777777" w:rsidR="00014545" w:rsidRPr="00722885" w:rsidRDefault="0001454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Конец августа был отмечен борьбой за господство в воздухе, где японцы несли гораздо большие потери, в том числе в палубной авиации. В автобиографии Сабуро Сакаи (Сакаи Сабуро Самурай Легендарный летчик Императорского военно-морского флота Японии 1938-1945 Москва "Центрполиграф" 2005г.) - одного из самых известных, а главное, выживших японских асов говориться что потери самолетов японскими войсками сильно преувеличены американскими историками. Находясь в части дислоцированной в Лаэ он ежедневно встречался в воздухе на своем устаревшем "Зеро" с американскими летчиками, наращивавшими свой потенциал. Он писал о том как тяжело(практически невозможно) было сбивать "летающие крепости" «В-17», как сравнительно легко было воевать против «Р-39» и «Р-40» и каким крахом для японской авиации оказался выпуск более совершенных американских истребителей, штурмовиков и бомбардировщиков. Но это было позже. Кстати, он приводит интересные данные о том что в сражении у Гуадалканала погибла вся флотилия летающих японских лодок. Битва за Гуадалканал часто называется переломным событием в боевых действиях на Тихом океане, поскольку она ознаменовала окончательную утрату Японией стратегической инициативы и переход союзников от обороны к наступлению (14976).</w:t>
      </w:r>
    </w:p>
    <w:p w14:paraId="044A5BA1" w14:textId="77777777" w:rsidR="00014545" w:rsidRPr="00722885" w:rsidRDefault="00014545" w:rsidP="00722885">
      <w:pPr>
        <w:spacing w:after="0" w:line="240" w:lineRule="auto"/>
        <w:jc w:val="both"/>
        <w:rPr>
          <w:rFonts w:ascii="Times New Roman" w:hAnsi="Times New Roman"/>
          <w:color w:val="000000" w:themeColor="text1"/>
          <w:sz w:val="16"/>
          <w:szCs w:val="16"/>
        </w:rPr>
      </w:pPr>
    </w:p>
    <w:p w14:paraId="33A9D74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5B48394" w14:textId="77777777" w:rsidR="00AE7191" w:rsidRPr="00722885" w:rsidRDefault="00AE7191" w:rsidP="00722885">
      <w:pPr>
        <w:pStyle w:val="Iauiue"/>
        <w:jc w:val="both"/>
        <w:rPr>
          <w:iCs/>
          <w:color w:val="000000" w:themeColor="text1"/>
          <w:sz w:val="16"/>
          <w:szCs w:val="16"/>
        </w:rPr>
      </w:pPr>
    </w:p>
    <w:p w14:paraId="492894DD" w14:textId="77777777" w:rsidR="00EC7BF5" w:rsidRPr="00722885"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8 августа 1942 г. командующий ВВС КА генерал-лейтенант Новиков и член Военного Совета ВВС дивизионный комиссар Руденко обратились к наркому авиапромышленности Шахуринус просьбой «дать указание Главному Конструктору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w:t>
      </w:r>
    </w:p>
    <w:p w14:paraId="34E3C2CB" w14:textId="77777777" w:rsidR="00EC7BF5" w:rsidRPr="00722885"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Отмечалось, что: «Опыт боевой работы штурмовой авиации доказывает необходимость защиты задней полусферы самолета Ил-2 размещением стрелка и установки пулемета Березина во 2-й кабине. Фронт требует также разведыва</w:t>
      </w:r>
      <w:r w:rsidRPr="00722885">
        <w:rPr>
          <w:rFonts w:ascii="Times New Roman" w:hAnsi="Times New Roman" w:cs="Times New Roman"/>
          <w:color w:val="000000" w:themeColor="text1"/>
          <w:sz w:val="16"/>
          <w:szCs w:val="16"/>
        </w:rPr>
        <w:softHyphen/>
        <w:t>тельных самолетов и самолетов коррек</w:t>
      </w:r>
      <w:r w:rsidRPr="00722885">
        <w:rPr>
          <w:rFonts w:ascii="Times New Roman" w:hAnsi="Times New Roman" w:cs="Times New Roman"/>
          <w:color w:val="000000" w:themeColor="text1"/>
          <w:sz w:val="16"/>
          <w:szCs w:val="16"/>
        </w:rPr>
        <w:softHyphen/>
        <w:t>тировщиков артогня. Оборудованный для этих целей двухместный самолет Ил-2 удовлетворит и это требование фронта».</w:t>
      </w:r>
    </w:p>
    <w:p w14:paraId="20B4BDCA" w14:textId="77777777" w:rsidR="00EC7BF5" w:rsidRPr="00722885"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Письмо Новикова с резолюцией Шахурина было переправлено Ильюшину, который сообщил, что если создание двухместного штурмового варианта Ил-2 АМ-38 вполне реально, то вариант разведчика и корректировщика артил</w:t>
      </w:r>
      <w:r w:rsidRPr="00722885">
        <w:rPr>
          <w:rFonts w:ascii="Times New Roman" w:hAnsi="Times New Roman" w:cs="Times New Roman"/>
          <w:color w:val="000000" w:themeColor="text1"/>
          <w:sz w:val="16"/>
          <w:szCs w:val="16"/>
        </w:rPr>
        <w:softHyphen/>
        <w:t>лерийского огня можно реализовать лишь на базе двухместного Ил-2 М-82. Приспособить для целей разведки и корректировки двухместный самолет Ил-2 АМ-38, по его мнению, возможным не представлялось. Дело в том, что согласно ТТТ к «следопыту» кабина штурмана-наблюдателя должна быть полностью бронированной, оснащаться подвижной установкой под пулемет УБТ, мощной радиостанцией, средствами навигации и самолетовождения, а также универсальной установкой под аэро</w:t>
      </w:r>
      <w:r w:rsidRPr="00722885">
        <w:rPr>
          <w:rFonts w:ascii="Times New Roman" w:hAnsi="Times New Roman" w:cs="Times New Roman"/>
          <w:color w:val="000000" w:themeColor="text1"/>
          <w:sz w:val="16"/>
          <w:szCs w:val="16"/>
        </w:rPr>
        <w:softHyphen/>
        <w:t>фотоаппараты различного типа. Все это утяжеляло самолет. Но главное, центровка самолета смещалась назад настолько, что полеты становились опасными. В этой связи Ильюшин предлагал запустить в серийное производство прошедший государственные испытания двухместный Ил-2 М-82 в вариантах штурмовика и «следопыта».</w:t>
      </w:r>
    </w:p>
    <w:p w14:paraId="50E1B244" w14:textId="77777777" w:rsidR="00EC7BF5" w:rsidRPr="00722885"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Однако Сталин потребовал от на</w:t>
      </w:r>
      <w:r w:rsidRPr="00722885">
        <w:rPr>
          <w:rFonts w:ascii="Times New Roman" w:hAnsi="Times New Roman" w:cs="Times New Roman"/>
          <w:color w:val="000000" w:themeColor="text1"/>
          <w:sz w:val="16"/>
          <w:szCs w:val="16"/>
        </w:rPr>
        <w:softHyphen/>
        <w:t>ркома Шахурина и Ильюшина разрабо</w:t>
      </w:r>
      <w:r w:rsidRPr="00722885">
        <w:rPr>
          <w:rFonts w:ascii="Times New Roman" w:hAnsi="Times New Roman" w:cs="Times New Roman"/>
          <w:color w:val="000000" w:themeColor="text1"/>
          <w:sz w:val="16"/>
          <w:szCs w:val="16"/>
        </w:rPr>
        <w:softHyphen/>
        <w:t>тать такое решение, которое обеспечит переход в массовом производстве к двухместному варианту без сокращения ежемесячного выпуска самолетов Ил-2. При этом первоочередной задачей счи</w:t>
      </w:r>
      <w:r w:rsidRPr="00722885">
        <w:rPr>
          <w:rFonts w:ascii="Times New Roman" w:hAnsi="Times New Roman" w:cs="Times New Roman"/>
          <w:color w:val="000000" w:themeColor="text1"/>
          <w:sz w:val="16"/>
          <w:szCs w:val="16"/>
        </w:rPr>
        <w:softHyphen/>
        <w:t>тался штурмовой вариант с воздушным стрелком. А уже потом на его основе предполагалось отработать разведчик- корректировщик.</w:t>
      </w:r>
    </w:p>
    <w:p w14:paraId="7D80CA45" w14:textId="77777777" w:rsidR="00EC7BF5" w:rsidRPr="00722885"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lastRenderedPageBreak/>
        <w:t>Как следует из документов, Ильюшин и директор завода № 30 Шапиро полу</w:t>
      </w:r>
      <w:r w:rsidRPr="00722885">
        <w:rPr>
          <w:rFonts w:ascii="Times New Roman" w:hAnsi="Times New Roman" w:cs="Times New Roman"/>
          <w:color w:val="000000" w:themeColor="text1"/>
          <w:sz w:val="16"/>
          <w:szCs w:val="16"/>
        </w:rPr>
        <w:softHyphen/>
        <w:t>чили задание к концу сентября 1942 г. построить 20 двухместных самолетов Ил-2 в штурмовом варианте с оборо</w:t>
      </w:r>
      <w:r w:rsidRPr="00722885">
        <w:rPr>
          <w:rFonts w:ascii="Times New Roman" w:hAnsi="Times New Roman" w:cs="Times New Roman"/>
          <w:color w:val="000000" w:themeColor="text1"/>
          <w:sz w:val="16"/>
          <w:szCs w:val="16"/>
        </w:rPr>
        <w:softHyphen/>
        <w:t>нительным пулеметом УБТ. По расчетам полетный вес двухместного варианта Ил-2 «будет на 200-225 кгр.тяжелее серийного». При этом центровка самолета смещалась назад примерно на 3% САХ (до 31% САХ), что вполне обеспечивало безопасность полетов. Первый экземпляр такого самолета планировалось поднять в воздух не позже 19 сентября.</w:t>
      </w:r>
    </w:p>
    <w:p w14:paraId="50DCA4AA" w14:textId="77777777" w:rsidR="00EC7BF5" w:rsidRPr="00722885"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Одновременно по инициативе Илью</w:t>
      </w:r>
      <w:r w:rsidRPr="00722885">
        <w:rPr>
          <w:rFonts w:ascii="Times New Roman" w:hAnsi="Times New Roman" w:cs="Times New Roman"/>
          <w:color w:val="000000" w:themeColor="text1"/>
          <w:sz w:val="16"/>
          <w:szCs w:val="16"/>
        </w:rPr>
        <w:softHyphen/>
        <w:t>шина завод начал строить два самолета Ил-2 с оборонительным пулеметом ШКАС. Летные данные и пилотажные качества штурмовиков ожидались выше, чем у двухместного Ил-2 с УБТ. Лучше должны были быть углы обстрела и маневрен</w:t>
      </w:r>
      <w:r w:rsidRPr="00722885">
        <w:rPr>
          <w:rFonts w:ascii="Times New Roman" w:hAnsi="Times New Roman" w:cs="Times New Roman"/>
          <w:color w:val="000000" w:themeColor="text1"/>
          <w:sz w:val="16"/>
          <w:szCs w:val="16"/>
        </w:rPr>
        <w:softHyphen/>
        <w:t>ность установки.</w:t>
      </w:r>
    </w:p>
    <w:p w14:paraId="3BA5E14E" w14:textId="77777777" w:rsidR="00EC7BF5" w:rsidRPr="00722885" w:rsidRDefault="00EC7BF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Один Ил-2 с пулеметом ШКАС рассма</w:t>
      </w:r>
      <w:r w:rsidRPr="00722885">
        <w:rPr>
          <w:rFonts w:ascii="Times New Roman" w:hAnsi="Times New Roman"/>
          <w:color w:val="000000" w:themeColor="text1"/>
          <w:sz w:val="16"/>
          <w:szCs w:val="16"/>
        </w:rPr>
        <w:softHyphen/>
        <w:t>тривался как эталон для возможной серии и строился в счет заказанных 20 машин, а второй - как «фронтовой вариант» (или «ремонтный вариант») для оборудования серийных одноместных Ил-2 кабиной воздушного стрелка непосредственно на фронте силами технического состава строевых частей и ПАРМ.</w:t>
      </w:r>
    </w:p>
    <w:p w14:paraId="65C1351E" w14:textId="77777777" w:rsidR="00EC7BF5" w:rsidRPr="00722885"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Серьезным недостатком этих машин являлась откровенно слабая бронезащита воздушного стрелка, которая заключалась лишь в бронещитке толщиной 6 мм, прикрывавшим его от огня лишь со стороны хвоста. С боков и снизу стрелок был «голым». Но усилить защиту стрелка возможности не представлялось,так как центровка самолета «уходила» назад. К тому же военные настаивали на организации войсковой серии самолета Су-6 М-71 с лучшими летными данными и возможностями для развития. С учетом этого Шахурин и Ильюшин сочли нелиш</w:t>
      </w:r>
      <w:r w:rsidRPr="00722885">
        <w:rPr>
          <w:rFonts w:ascii="Times New Roman" w:hAnsi="Times New Roman" w:cs="Times New Roman"/>
          <w:color w:val="000000" w:themeColor="text1"/>
          <w:sz w:val="16"/>
          <w:szCs w:val="16"/>
        </w:rPr>
        <w:softHyphen/>
        <w:t>ним подстраховаться (19111).</w:t>
      </w:r>
    </w:p>
    <w:p w14:paraId="401F9A30" w14:textId="77777777" w:rsidR="00EC7BF5" w:rsidRPr="00722885"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708B7F27" w14:textId="77777777" w:rsidR="00BE1824" w:rsidRPr="00722885" w:rsidRDefault="00BE1824" w:rsidP="00722885">
      <w:pPr>
        <w:pStyle w:val="Default"/>
        <w:jc w:val="both"/>
        <w:rPr>
          <w:color w:val="0070C0"/>
          <w:sz w:val="16"/>
          <w:szCs w:val="16"/>
        </w:rPr>
      </w:pPr>
      <w:r w:rsidRPr="00722885">
        <w:rPr>
          <w:rStyle w:val="375"/>
          <w:rFonts w:ascii="Times New Roman" w:hAnsi="Times New Roman" w:cs="Times New Roman"/>
          <w:i w:val="0"/>
          <w:iCs w:val="0"/>
          <w:color w:val="0070C0"/>
          <w:w w:val="100"/>
          <w:sz w:val="16"/>
          <w:szCs w:val="16"/>
        </w:rPr>
        <w:t>8 августа 1942 г. командующий ВВС КА генерал-лейтенант Новиков и член Военного совета ВВС дивизионный комиссар Руденко обратились к наркому авиапромышленности Шахурину с просьбой</w:t>
      </w:r>
      <w:r w:rsidRPr="00722885">
        <w:rPr>
          <w:color w:val="0070C0"/>
          <w:sz w:val="16"/>
          <w:szCs w:val="16"/>
        </w:rPr>
        <w:t xml:space="preserve"> «дать указание Глав</w:t>
      </w:r>
      <w:r w:rsidRPr="00722885">
        <w:rPr>
          <w:color w:val="0070C0"/>
          <w:sz w:val="16"/>
          <w:szCs w:val="16"/>
        </w:rPr>
        <w:softHyphen/>
        <w:t>ному Конструктору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 Отмечалось, что «опыт боевой ра</w:t>
      </w:r>
      <w:r w:rsidRPr="00722885">
        <w:rPr>
          <w:color w:val="0070C0"/>
          <w:sz w:val="16"/>
          <w:szCs w:val="16"/>
        </w:rPr>
        <w:softHyphen/>
        <w:t>боты штурмовой авиации доказывает необхо</w:t>
      </w:r>
      <w:r w:rsidRPr="00722885">
        <w:rPr>
          <w:color w:val="0070C0"/>
          <w:sz w:val="16"/>
          <w:szCs w:val="16"/>
        </w:rPr>
        <w:softHyphen/>
        <w:t>димость защиты задней полусферы самолета Ил-2 размещением стрелка и установки пуле</w:t>
      </w:r>
      <w:r w:rsidRPr="00722885">
        <w:rPr>
          <w:color w:val="0070C0"/>
          <w:sz w:val="16"/>
          <w:szCs w:val="16"/>
        </w:rPr>
        <w:softHyphen/>
        <w:t>мета Березина во 2-й кабине».</w:t>
      </w:r>
    </w:p>
    <w:p w14:paraId="3299DEF9" w14:textId="77777777" w:rsidR="00BE1824" w:rsidRPr="00722885" w:rsidRDefault="00BE1824" w:rsidP="00722885">
      <w:pPr>
        <w:pStyle w:val="5f"/>
        <w:shd w:val="clear" w:color="auto" w:fill="auto"/>
        <w:spacing w:line="240" w:lineRule="auto"/>
        <w:jc w:val="both"/>
        <w:rPr>
          <w:rFonts w:ascii="Times New Roman" w:hAnsi="Times New Roman" w:cs="Times New Roman"/>
          <w:color w:val="0070C0"/>
          <w:sz w:val="16"/>
          <w:szCs w:val="16"/>
          <w:lang w:val="ru-RU"/>
        </w:rPr>
      </w:pPr>
      <w:r w:rsidRPr="00722885">
        <w:rPr>
          <w:rFonts w:ascii="Times New Roman" w:hAnsi="Times New Roman" w:cs="Times New Roman"/>
          <w:color w:val="0070C0"/>
          <w:sz w:val="16"/>
          <w:szCs w:val="16"/>
          <w:lang w:val="ru-RU"/>
        </w:rPr>
        <w:t>Данное письмо с резолюцией Шахурина переправили С.В. Ильюшину, который сообщил, что если создание двухместного штурмового варианта Ил-2 АМ-38 вполне реально, то ва</w:t>
      </w:r>
      <w:r w:rsidRPr="00722885">
        <w:rPr>
          <w:rFonts w:ascii="Times New Roman" w:hAnsi="Times New Roman" w:cs="Times New Roman"/>
          <w:color w:val="0070C0"/>
          <w:sz w:val="16"/>
          <w:szCs w:val="16"/>
          <w:lang w:val="ru-RU"/>
        </w:rPr>
        <w:softHyphen/>
        <w:t>риант разведчика и корректировщика артил</w:t>
      </w:r>
      <w:r w:rsidRPr="00722885">
        <w:rPr>
          <w:rFonts w:ascii="Times New Roman" w:hAnsi="Times New Roman" w:cs="Times New Roman"/>
          <w:color w:val="0070C0"/>
          <w:sz w:val="16"/>
          <w:szCs w:val="16"/>
          <w:lang w:val="ru-RU"/>
        </w:rPr>
        <w:softHyphen/>
        <w:t>лерийского огня можно реализовать лишь на базе двухместного Ил-2 с мотором М-82. По его мнению, приспособить для целей разведки и корректировки двухместный Ил-2 АМ-38 не представлялось возможным. Согласно ТТТ к «следопыту», кабина штурмана-наблюдателя должна была быть полностью бронирован</w:t>
      </w:r>
      <w:r w:rsidRPr="00722885">
        <w:rPr>
          <w:rFonts w:ascii="Times New Roman" w:hAnsi="Times New Roman" w:cs="Times New Roman"/>
          <w:color w:val="0070C0"/>
          <w:sz w:val="16"/>
          <w:szCs w:val="16"/>
          <w:lang w:val="ru-RU"/>
        </w:rPr>
        <w:softHyphen/>
        <w:t>ной, оснащаться подвижной установкой под пулемет УБТ, мощной радиостанцией, средст</w:t>
      </w:r>
      <w:r w:rsidRPr="00722885">
        <w:rPr>
          <w:rFonts w:ascii="Times New Roman" w:hAnsi="Times New Roman" w:cs="Times New Roman"/>
          <w:color w:val="0070C0"/>
          <w:sz w:val="16"/>
          <w:szCs w:val="16"/>
          <w:lang w:val="ru-RU"/>
        </w:rPr>
        <w:softHyphen/>
        <w:t>вами навигации и самолетовождения, а также универсальной установкой под аэрофотоап</w:t>
      </w:r>
      <w:r w:rsidRPr="00722885">
        <w:rPr>
          <w:rFonts w:ascii="Times New Roman" w:hAnsi="Times New Roman" w:cs="Times New Roman"/>
          <w:color w:val="0070C0"/>
          <w:sz w:val="16"/>
          <w:szCs w:val="16"/>
          <w:lang w:val="ru-RU"/>
        </w:rPr>
        <w:softHyphen/>
        <w:t>параты различного типа. Все это утяжеляло самолет. Но главное, его центровка смещалась назад настолько, что полеты становились про</w:t>
      </w:r>
      <w:r w:rsidRPr="00722885">
        <w:rPr>
          <w:rFonts w:ascii="Times New Roman" w:hAnsi="Times New Roman" w:cs="Times New Roman"/>
          <w:color w:val="0070C0"/>
          <w:sz w:val="16"/>
          <w:szCs w:val="16"/>
          <w:lang w:val="ru-RU"/>
        </w:rPr>
        <w:softHyphen/>
        <w:t>сто опасными. Требовалось перекомпоновать Ил-2 и разработать новое крыло. В этой связи Ильюшин предлагал запустить в серийное производство прошедший государственные испытания двухместный Ил-2 с М-82 в вари</w:t>
      </w:r>
      <w:r w:rsidRPr="00722885">
        <w:rPr>
          <w:rFonts w:ascii="Times New Roman" w:hAnsi="Times New Roman" w:cs="Times New Roman"/>
          <w:color w:val="0070C0"/>
          <w:sz w:val="16"/>
          <w:szCs w:val="16"/>
          <w:lang w:val="ru-RU"/>
        </w:rPr>
        <w:softHyphen/>
        <w:t>антах штурмовика и разведчика.</w:t>
      </w:r>
    </w:p>
    <w:p w14:paraId="540BCE32" w14:textId="77777777" w:rsidR="00BE1824" w:rsidRPr="00722885" w:rsidRDefault="00BE1824" w:rsidP="00722885">
      <w:pPr>
        <w:pStyle w:val="5f"/>
        <w:shd w:val="clear" w:color="auto" w:fill="auto"/>
        <w:spacing w:line="240" w:lineRule="auto"/>
        <w:jc w:val="both"/>
        <w:rPr>
          <w:rFonts w:ascii="Times New Roman" w:hAnsi="Times New Roman" w:cs="Times New Roman"/>
          <w:color w:val="0070C0"/>
          <w:sz w:val="16"/>
          <w:szCs w:val="16"/>
          <w:lang w:val="ru-RU"/>
        </w:rPr>
      </w:pPr>
      <w:r w:rsidRPr="00722885">
        <w:rPr>
          <w:rFonts w:ascii="Times New Roman" w:hAnsi="Times New Roman" w:cs="Times New Roman"/>
          <w:color w:val="0070C0"/>
          <w:sz w:val="16"/>
          <w:szCs w:val="16"/>
          <w:lang w:val="ru-RU"/>
        </w:rPr>
        <w:t>Однако И.В. Сталин потребовал от Шахурина и Ильюшина подготовить такое реше</w:t>
      </w:r>
      <w:r w:rsidRPr="00722885">
        <w:rPr>
          <w:rFonts w:ascii="Times New Roman" w:hAnsi="Times New Roman" w:cs="Times New Roman"/>
          <w:color w:val="0070C0"/>
          <w:sz w:val="16"/>
          <w:szCs w:val="16"/>
          <w:lang w:val="ru-RU"/>
        </w:rPr>
        <w:softHyphen/>
        <w:t>ние, которое обеспечит переход в массовом производстве к двухместному варианту без сокращения ежемесячного выпуска Ил-2. При этом первоочередной задачей считался выпуск штурмового варианта с воздушным стрелком. Затем на его основе предполагалось отработать разведчик-корректировщик.</w:t>
      </w:r>
    </w:p>
    <w:p w14:paraId="63F248E7" w14:textId="77777777" w:rsidR="00BE1824" w:rsidRPr="00722885" w:rsidRDefault="00BE1824" w:rsidP="00722885">
      <w:pPr>
        <w:pStyle w:val="5f"/>
        <w:shd w:val="clear" w:color="auto" w:fill="auto"/>
        <w:spacing w:line="240" w:lineRule="auto"/>
        <w:jc w:val="both"/>
        <w:rPr>
          <w:rFonts w:ascii="Times New Roman" w:hAnsi="Times New Roman" w:cs="Times New Roman"/>
          <w:color w:val="0070C0"/>
          <w:sz w:val="16"/>
          <w:szCs w:val="16"/>
          <w:lang w:val="ru-RU"/>
        </w:rPr>
      </w:pPr>
      <w:r w:rsidRPr="00722885">
        <w:rPr>
          <w:rFonts w:ascii="Times New Roman" w:hAnsi="Times New Roman" w:cs="Times New Roman"/>
          <w:color w:val="0070C0"/>
          <w:sz w:val="16"/>
          <w:szCs w:val="16"/>
          <w:lang w:val="ru-RU"/>
        </w:rPr>
        <w:t>Ильюшин и директор завода №30 Н.А. Шапиро получили задание к концу сентя</w:t>
      </w:r>
      <w:r w:rsidRPr="00722885">
        <w:rPr>
          <w:rFonts w:ascii="Times New Roman" w:hAnsi="Times New Roman" w:cs="Times New Roman"/>
          <w:color w:val="0070C0"/>
          <w:sz w:val="16"/>
          <w:szCs w:val="16"/>
          <w:lang w:val="ru-RU"/>
        </w:rPr>
        <w:softHyphen/>
        <w:t>бря 1942 г. построить 20 двухместных Ил-2 в штурмовом варианте с оборонительным пу</w:t>
      </w:r>
      <w:r w:rsidRPr="00722885">
        <w:rPr>
          <w:rFonts w:ascii="Times New Roman" w:hAnsi="Times New Roman" w:cs="Times New Roman"/>
          <w:color w:val="0070C0"/>
          <w:sz w:val="16"/>
          <w:szCs w:val="16"/>
          <w:lang w:val="ru-RU"/>
        </w:rPr>
        <w:softHyphen/>
        <w:t>леметом УБТ калибра 12,7 мм на подвижной установке. По расчетам, полетный вес такого Ил-2 «будет на 200-225 кгр.</w:t>
      </w:r>
      <w:r w:rsidRPr="00722885">
        <w:rPr>
          <w:rStyle w:val="5800"/>
          <w:rFonts w:ascii="Times New Roman" w:hAnsi="Times New Roman" w:cs="Times New Roman"/>
          <w:color w:val="0070C0"/>
          <w:w w:val="100"/>
          <w:sz w:val="16"/>
          <w:szCs w:val="16"/>
          <w:lang w:val="ru-RU"/>
        </w:rPr>
        <w:t xml:space="preserve"> тяжелее серий</w:t>
      </w:r>
      <w:r w:rsidRPr="00722885">
        <w:rPr>
          <w:rStyle w:val="5800"/>
          <w:rFonts w:ascii="Times New Roman" w:hAnsi="Times New Roman" w:cs="Times New Roman"/>
          <w:color w:val="0070C0"/>
          <w:w w:val="100"/>
          <w:sz w:val="16"/>
          <w:szCs w:val="16"/>
          <w:lang w:val="ru-RU"/>
        </w:rPr>
        <w:softHyphen/>
        <w:t>ного».</w:t>
      </w:r>
      <w:r w:rsidRPr="00722885">
        <w:rPr>
          <w:rFonts w:ascii="Times New Roman" w:hAnsi="Times New Roman" w:cs="Times New Roman"/>
          <w:color w:val="0070C0"/>
          <w:sz w:val="16"/>
          <w:szCs w:val="16"/>
          <w:lang w:val="ru-RU"/>
        </w:rPr>
        <w:t xml:space="preserve"> При этом его центровка смещалась назад примерно на 3% САХ (до 31% САХ), что вполне гарантировало безопасность полетов. Первый экземпляр самолета планировалось сдать на летно-испытательную станцию за</w:t>
      </w:r>
      <w:r w:rsidRPr="00722885">
        <w:rPr>
          <w:rFonts w:ascii="Times New Roman" w:hAnsi="Times New Roman" w:cs="Times New Roman"/>
          <w:color w:val="0070C0"/>
          <w:sz w:val="16"/>
          <w:szCs w:val="16"/>
          <w:lang w:val="ru-RU"/>
        </w:rPr>
        <w:softHyphen/>
        <w:t>вода не позже 19 сентября.</w:t>
      </w:r>
    </w:p>
    <w:p w14:paraId="60E39F9B" w14:textId="77777777" w:rsidR="00BE1824" w:rsidRPr="00722885" w:rsidRDefault="00BE1824"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Одновременно по инициативе Ильюшина завод начал строить два самолета с пулеметом ШКАС на подвижной оборонительной установке. Летные данные и пилотажные ка</w:t>
      </w:r>
      <w:r w:rsidRPr="00722885">
        <w:rPr>
          <w:rFonts w:ascii="Times New Roman" w:hAnsi="Times New Roman"/>
          <w:color w:val="0070C0"/>
          <w:sz w:val="16"/>
          <w:szCs w:val="16"/>
        </w:rPr>
        <w:softHyphen/>
        <w:t>чества штурмовиков ожидались выше, чем у двухместного Ил-2 с УБТ. Лучше должны были стать углы обстрела и маневренность уста</w:t>
      </w:r>
      <w:r w:rsidRPr="00722885">
        <w:rPr>
          <w:rFonts w:ascii="Times New Roman" w:hAnsi="Times New Roman"/>
          <w:color w:val="0070C0"/>
          <w:sz w:val="16"/>
          <w:szCs w:val="16"/>
        </w:rPr>
        <w:softHyphen/>
        <w:t>новки.</w:t>
      </w:r>
    </w:p>
    <w:p w14:paraId="176EE769" w14:textId="77777777" w:rsidR="00BE1824" w:rsidRPr="00722885" w:rsidRDefault="00BE1824" w:rsidP="00722885">
      <w:pPr>
        <w:pStyle w:val="95"/>
        <w:shd w:val="clear" w:color="auto" w:fill="auto"/>
        <w:spacing w:after="0" w:line="240" w:lineRule="auto"/>
        <w:ind w:firstLine="0"/>
        <w:jc w:val="both"/>
        <w:rPr>
          <w:color w:val="0070C0"/>
          <w:sz w:val="16"/>
          <w:szCs w:val="16"/>
        </w:rPr>
      </w:pPr>
      <w:r w:rsidRPr="00722885">
        <w:rPr>
          <w:color w:val="0070C0"/>
          <w:sz w:val="16"/>
          <w:szCs w:val="16"/>
        </w:rPr>
        <w:t>Один Ил-2 с пулеметом ШКАС рассматри</w:t>
      </w:r>
      <w:r w:rsidRPr="00722885">
        <w:rPr>
          <w:color w:val="0070C0"/>
          <w:sz w:val="16"/>
          <w:szCs w:val="16"/>
        </w:rPr>
        <w:softHyphen/>
        <w:t>вался как эталон для возможной серии и стро</w:t>
      </w:r>
      <w:r w:rsidRPr="00722885">
        <w:rPr>
          <w:color w:val="0070C0"/>
          <w:sz w:val="16"/>
          <w:szCs w:val="16"/>
        </w:rPr>
        <w:softHyphen/>
        <w:t>ился в счет заказанных 20 машин, а второй - как «фронтовой вариант» (или «ремонтный вариант») для оборудования серийных одно</w:t>
      </w:r>
      <w:r w:rsidRPr="00722885">
        <w:rPr>
          <w:color w:val="0070C0"/>
          <w:sz w:val="16"/>
          <w:szCs w:val="16"/>
        </w:rPr>
        <w:softHyphen/>
        <w:t>местных Ил-2 кабиной воздушного стрелка непосредственно на фронте силами техниче</w:t>
      </w:r>
      <w:r w:rsidRPr="00722885">
        <w:rPr>
          <w:color w:val="0070C0"/>
          <w:sz w:val="16"/>
          <w:szCs w:val="16"/>
        </w:rPr>
        <w:softHyphen/>
        <w:t>ского состава строевых частей и ПАРМ.</w:t>
      </w:r>
    </w:p>
    <w:p w14:paraId="14B0626A" w14:textId="77777777" w:rsidR="00BE1824" w:rsidRPr="00722885" w:rsidRDefault="00BE1824" w:rsidP="00722885">
      <w:pPr>
        <w:pStyle w:val="95"/>
        <w:shd w:val="clear" w:color="auto" w:fill="auto"/>
        <w:spacing w:after="0" w:line="240" w:lineRule="auto"/>
        <w:ind w:firstLine="0"/>
        <w:jc w:val="both"/>
        <w:rPr>
          <w:color w:val="0070C0"/>
          <w:sz w:val="16"/>
          <w:szCs w:val="16"/>
        </w:rPr>
      </w:pPr>
      <w:r w:rsidRPr="00722885">
        <w:rPr>
          <w:color w:val="0070C0"/>
          <w:sz w:val="16"/>
          <w:szCs w:val="16"/>
        </w:rPr>
        <w:t>Серьезным недостатком этих машин явля</w:t>
      </w:r>
      <w:r w:rsidRPr="00722885">
        <w:rPr>
          <w:color w:val="0070C0"/>
          <w:sz w:val="16"/>
          <w:szCs w:val="16"/>
        </w:rPr>
        <w:softHyphen/>
        <w:t>лась откровенно слабая защита стрелка, кото</w:t>
      </w:r>
      <w:r w:rsidRPr="00722885">
        <w:rPr>
          <w:color w:val="0070C0"/>
          <w:sz w:val="16"/>
          <w:szCs w:val="16"/>
        </w:rPr>
        <w:softHyphen/>
        <w:t>рая состояла лишь из бронещитка толщиной 6 мм, прикрывавшего от огня почти строго со стороны хвоста, т.е. с боков и снизу он оказы</w:t>
      </w:r>
      <w:r w:rsidRPr="00722885">
        <w:rPr>
          <w:color w:val="0070C0"/>
          <w:sz w:val="16"/>
          <w:szCs w:val="16"/>
        </w:rPr>
        <w:softHyphen/>
        <w:t>вался «голым». Но усилить защиту возмож</w:t>
      </w:r>
      <w:r w:rsidRPr="00722885">
        <w:rPr>
          <w:color w:val="0070C0"/>
          <w:sz w:val="16"/>
          <w:szCs w:val="16"/>
        </w:rPr>
        <w:softHyphen/>
        <w:t>ности не представлялось, так как центровка самолета «уходила» назад. К тому же военные настаивали на организации войсковой серии самолета Су-6 М-71 с лучшими летными дан</w:t>
      </w:r>
      <w:r w:rsidRPr="00722885">
        <w:rPr>
          <w:color w:val="0070C0"/>
          <w:sz w:val="16"/>
          <w:szCs w:val="16"/>
        </w:rPr>
        <w:softHyphen/>
        <w:t>ными и с перспективой его развития. С учетом этого Шахурин и Ильюшин сочли нелишним подстраховаться.</w:t>
      </w:r>
    </w:p>
    <w:p w14:paraId="4DBC49FC" w14:textId="77777777" w:rsidR="00BE1824" w:rsidRPr="00722885" w:rsidRDefault="00BE1824" w:rsidP="00722885">
      <w:pPr>
        <w:pStyle w:val="95"/>
        <w:shd w:val="clear" w:color="auto" w:fill="auto"/>
        <w:spacing w:after="0" w:line="240" w:lineRule="auto"/>
        <w:ind w:firstLine="0"/>
        <w:jc w:val="both"/>
        <w:rPr>
          <w:color w:val="0070C0"/>
          <w:sz w:val="16"/>
          <w:szCs w:val="16"/>
        </w:rPr>
      </w:pPr>
      <w:r w:rsidRPr="00722885">
        <w:rPr>
          <w:color w:val="0070C0"/>
          <w:sz w:val="16"/>
          <w:szCs w:val="16"/>
        </w:rPr>
        <w:t>3 сентября 1942 вышел приказ НКАП №674с, обязывающий Ильюшина</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«произвести ра</w:t>
      </w:r>
      <w:r w:rsidRPr="00722885">
        <w:rPr>
          <w:rStyle w:val="aff6"/>
          <w:rFonts w:ascii="Times New Roman" w:hAnsi="Times New Roman" w:cs="Times New Roman"/>
          <w:i w:val="0"/>
          <w:iCs w:val="0"/>
          <w:color w:val="0070C0"/>
        </w:rPr>
        <w:softHyphen/>
        <w:t>боты по бронированию мотора на двухмест</w:t>
      </w:r>
      <w:r w:rsidRPr="00722885">
        <w:rPr>
          <w:rStyle w:val="aff6"/>
          <w:rFonts w:ascii="Times New Roman" w:hAnsi="Times New Roman" w:cs="Times New Roman"/>
          <w:i w:val="0"/>
          <w:iCs w:val="0"/>
          <w:color w:val="0070C0"/>
        </w:rPr>
        <w:softHyphen/>
        <w:t>ном штурмовике Ил-2 с мотором М-82 и вы</w:t>
      </w:r>
      <w:r w:rsidRPr="00722885">
        <w:rPr>
          <w:rStyle w:val="aff6"/>
          <w:rFonts w:ascii="Times New Roman" w:hAnsi="Times New Roman" w:cs="Times New Roman"/>
          <w:i w:val="0"/>
          <w:iCs w:val="0"/>
          <w:color w:val="0070C0"/>
        </w:rPr>
        <w:softHyphen/>
        <w:t>пустить его в полет 10.10.42 г.»</w:t>
      </w:r>
      <w:r w:rsidRPr="00722885">
        <w:rPr>
          <w:color w:val="0070C0"/>
          <w:sz w:val="16"/>
          <w:szCs w:val="16"/>
        </w:rPr>
        <w:t xml:space="preserve"> К этому же сроку требовалось разработать чертежи</w:t>
      </w:r>
      <w:r w:rsidRPr="00722885">
        <w:rPr>
          <w:rStyle w:val="aff6"/>
          <w:rFonts w:ascii="Times New Roman" w:hAnsi="Times New Roman" w:cs="Times New Roman"/>
          <w:color w:val="0070C0"/>
        </w:rPr>
        <w:t xml:space="preserve"> «для спуска в серийное производство».</w:t>
      </w:r>
      <w:r w:rsidRPr="00722885">
        <w:rPr>
          <w:color w:val="0070C0"/>
          <w:sz w:val="16"/>
          <w:szCs w:val="16"/>
        </w:rPr>
        <w:t xml:space="preserve"> В то же время каких-либо документов, подтвержда</w:t>
      </w:r>
      <w:r w:rsidRPr="00722885">
        <w:rPr>
          <w:color w:val="0070C0"/>
          <w:sz w:val="16"/>
          <w:szCs w:val="16"/>
        </w:rPr>
        <w:softHyphen/>
        <w:t>ющих установку бронированного капота на Ил-2 зав. №1864714 с мотором М-82, пока найти не удалось.</w:t>
      </w:r>
    </w:p>
    <w:p w14:paraId="4B6F1B58" w14:textId="77777777" w:rsidR="00BE1824" w:rsidRPr="00722885" w:rsidRDefault="00BE1824" w:rsidP="00722885">
      <w:pPr>
        <w:pStyle w:val="95"/>
        <w:shd w:val="clear" w:color="auto" w:fill="auto"/>
        <w:spacing w:after="0" w:line="240" w:lineRule="auto"/>
        <w:ind w:firstLine="0"/>
        <w:jc w:val="both"/>
        <w:rPr>
          <w:color w:val="0070C0"/>
          <w:sz w:val="16"/>
          <w:szCs w:val="16"/>
        </w:rPr>
      </w:pPr>
      <w:r w:rsidRPr="00722885">
        <w:rPr>
          <w:color w:val="0070C0"/>
          <w:sz w:val="16"/>
          <w:szCs w:val="16"/>
        </w:rPr>
        <w:t>Самолеты Ил-2 АМ-38 с кабиной воздуш</w:t>
      </w:r>
      <w:r w:rsidRPr="00722885">
        <w:rPr>
          <w:color w:val="0070C0"/>
          <w:sz w:val="16"/>
          <w:szCs w:val="16"/>
        </w:rPr>
        <w:softHyphen/>
        <w:t>ного стрелка планировалось после сокращен</w:t>
      </w:r>
      <w:r w:rsidRPr="00722885">
        <w:rPr>
          <w:color w:val="0070C0"/>
          <w:sz w:val="16"/>
          <w:szCs w:val="16"/>
        </w:rPr>
        <w:softHyphen/>
        <w:t>ных заводских испытаний сразу поставить на поток и направить в строевые части для проведения войсковых испытаний. И только по инициативе помощника начальника 1-го отдела Управления опытного строительства ГУ ИАС ВВС инженер-капитана Бобровского 18 сентября последовал доклад начальника управления бригинженера Лешукова по этому вопросу на имя главного инженера ВВС КА генерал-лейтенанта Репина. Спустя сутки в адрес начальника НИИ ВВС генерал-майора Лосюкова ушло распоряжение Репина</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«при</w:t>
      </w:r>
      <w:r w:rsidRPr="00722885">
        <w:rPr>
          <w:rStyle w:val="aff6"/>
          <w:rFonts w:ascii="Times New Roman" w:hAnsi="Times New Roman" w:cs="Times New Roman"/>
          <w:i w:val="0"/>
          <w:iCs w:val="0"/>
          <w:color w:val="0070C0"/>
        </w:rPr>
        <w:softHyphen/>
        <w:t>нять на испытания с завода №30 самолеты Ил-2 с АМ-38 в двухместном варианте и про</w:t>
      </w:r>
      <w:r w:rsidRPr="00722885">
        <w:rPr>
          <w:rStyle w:val="aff6"/>
          <w:rFonts w:ascii="Times New Roman" w:hAnsi="Times New Roman" w:cs="Times New Roman"/>
          <w:i w:val="0"/>
          <w:iCs w:val="0"/>
          <w:color w:val="0070C0"/>
        </w:rPr>
        <w:softHyphen/>
        <w:t>вести их в кратчайший срок с целью внесения возможных изменений в изготовлявшуюся вой</w:t>
      </w:r>
      <w:r w:rsidRPr="00722885">
        <w:rPr>
          <w:rStyle w:val="aff6"/>
          <w:rFonts w:ascii="Times New Roman" w:hAnsi="Times New Roman" w:cs="Times New Roman"/>
          <w:i w:val="0"/>
          <w:iCs w:val="0"/>
          <w:color w:val="0070C0"/>
        </w:rPr>
        <w:softHyphen/>
        <w:t>сковую серию этих самолетов»</w:t>
      </w:r>
      <w:r w:rsidRPr="00722885">
        <w:rPr>
          <w:color w:val="0070C0"/>
          <w:sz w:val="16"/>
          <w:szCs w:val="16"/>
        </w:rPr>
        <w:t xml:space="preserve"> (19877).</w:t>
      </w:r>
    </w:p>
    <w:p w14:paraId="0078CDCC" w14:textId="77777777" w:rsidR="00BE1824" w:rsidRPr="00722885" w:rsidRDefault="00BE1824" w:rsidP="00722885">
      <w:pPr>
        <w:pStyle w:val="95"/>
        <w:shd w:val="clear" w:color="auto" w:fill="auto"/>
        <w:spacing w:after="0" w:line="240" w:lineRule="auto"/>
        <w:ind w:firstLine="0"/>
        <w:jc w:val="both"/>
        <w:rPr>
          <w:color w:val="0070C0"/>
          <w:sz w:val="16"/>
          <w:szCs w:val="16"/>
        </w:rPr>
      </w:pPr>
    </w:p>
    <w:p w14:paraId="176AF8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и 8 августа 1942 заводом 22 совместно с ЛИИ НКАП, были сняты скорости по высотам с 2-х серийных самолетов, взятых прямо из производства. Самолеты были оборудованы тяжелой стрелковой установкой. Оба самолета с нефорсированными моторами дали максимум 517 км/час. Считая по данным ЛИИ НКАП, что стрелковая установка снимает 6-8 км/час скорости и недобор высотности моторов, что установлено и признано заводом 16, получили макс. скорость 527 км/час... (1685,58).</w:t>
      </w:r>
    </w:p>
    <w:p w14:paraId="7DCE469C" w14:textId="77777777" w:rsidR="00AE7191" w:rsidRPr="00722885" w:rsidRDefault="00AE7191" w:rsidP="00722885">
      <w:pPr>
        <w:pStyle w:val="Iauiue"/>
        <w:jc w:val="both"/>
        <w:rPr>
          <w:color w:val="000000" w:themeColor="text1"/>
          <w:sz w:val="16"/>
          <w:szCs w:val="16"/>
        </w:rPr>
      </w:pPr>
    </w:p>
    <w:p w14:paraId="6D77C58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августа 1942 Нач. 3 отделения Опытного отдела НИП АВ ВВС Галкин писал Нач. ГУЗ и ТС письмо:</w:t>
      </w:r>
    </w:p>
    <w:p w14:paraId="26E0E9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"Предъявленный на испытание самолет Ил-2 N 30000 с модернизированным бомбардировочно-химическим вооружением показал возможность использования бомбоотсеков для загрузки и сбрасывания мелких бомб и ампул без применения КМБ-Ил-2.</w:t>
      </w:r>
    </w:p>
    <w:p w14:paraId="1D6566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Замена наружных бомбодержателей замками ДЗ-40 значительно улучшает эксплуатацию наружной подвески бомб и химприборов, значительно упрощает производство бомбардировочно-химического вооружения за счет изъятия кассет КМБ-Ил-2, поясной наружной подвески и спецбалок." (1632,10).</w:t>
      </w:r>
    </w:p>
    <w:p w14:paraId="560FD048" w14:textId="77777777" w:rsidR="00AE7191" w:rsidRPr="00722885" w:rsidRDefault="00AE7191" w:rsidP="00722885">
      <w:pPr>
        <w:pStyle w:val="Iauiue"/>
        <w:jc w:val="both"/>
        <w:rPr>
          <w:color w:val="000000" w:themeColor="text1"/>
          <w:sz w:val="16"/>
          <w:szCs w:val="16"/>
        </w:rPr>
      </w:pPr>
    </w:p>
    <w:p w14:paraId="37B634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августа 1942 вышел приказ НКАП N 605сс "О средствах обеспечения самолетовождения" в исполнение постановления ГКО N 2144сс от 6 августа 1942:</w:t>
      </w:r>
    </w:p>
    <w:p w14:paraId="64124E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"Нач. ПГУ Шиц, 10 ГУ Тарасевич, директорам заводов 1 Третьякову, 18 Белянскому, 21 Гостинцеву, 22 Окулову, 31 Агаджанову, 30 Шапиро, 39 Иосиловичу, 84 Ярунину, 82 Бугрову, 153 Романову, 292 Левину, 126 Тимофееву и 381 Журавлеву обеспечить выпуск серийных самолетов со следующими изменениями в дополнительном оборудовании средствами самолетовождения:</w:t>
      </w:r>
    </w:p>
    <w:p w14:paraId="2D47C5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по самолету Як-1</w:t>
      </w:r>
    </w:p>
    <w:p w14:paraId="358399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 20 августа 1942 на все устанавливать радиоприемники РСИ-4</w:t>
      </w:r>
    </w:p>
    <w:p w14:paraId="14A8C4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 20 августа на каждый 5-й, а с 1 октября на каждый 3-й - приемопередающую станцию РСИ-4, а остальные оборудовать для возможной установки этих станций</w:t>
      </w:r>
    </w:p>
    <w:p w14:paraId="2989F9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 1 октября на каждый 3 ставить РПК-10</w:t>
      </w:r>
    </w:p>
    <w:p w14:paraId="2D27CD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по самолету Як-7</w:t>
      </w:r>
    </w:p>
    <w:p w14:paraId="6B0AE3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 15 сентября 1942 на каждый 3-1 устанавливать приемо-передающую станцию РСИ-4</w:t>
      </w:r>
    </w:p>
    <w:p w14:paraId="1BC899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 15 августа на каждый 5-й, а с 15 сентября на каждый 3-й - ставить РПК-10</w:t>
      </w:r>
    </w:p>
    <w:p w14:paraId="79C01D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по самолету ЛаГГ-3</w:t>
      </w:r>
    </w:p>
    <w:p w14:paraId="5A2605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 10 августа 1942 на все устанавливать радиоприемники РСИ-4</w:t>
      </w:r>
    </w:p>
    <w:p w14:paraId="7FA86B4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 1 октября на каждый 3-й - приемопередающую станцию РСИ-4</w:t>
      </w:r>
    </w:p>
    <w:p w14:paraId="7B280F8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 20 августа на заводе 21 и с 20 сентября 1942 на 31 на каждый 5 ставить РПК-10 и оснащать остальные под возможность установки</w:t>
      </w:r>
    </w:p>
    <w:p w14:paraId="4AE8A9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 1 октября на 21 и 31 - все с РПК-10</w:t>
      </w:r>
    </w:p>
    <w:p w14:paraId="5AC500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 по самолету ЛаГГ-5</w:t>
      </w:r>
    </w:p>
    <w:p w14:paraId="52ACED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 10 августа 1942 на все устанавливать радиоприемники РСИ-4</w:t>
      </w:r>
    </w:p>
    <w:p w14:paraId="4F2A78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 10 августа на каждый 3-й - приемопередающую станцию РСИ-4</w:t>
      </w:r>
    </w:p>
    <w:p w14:paraId="2B5FBF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 10 августа каждый 3 ставить РПК-10 и оснащать остальные под возможность установки</w:t>
      </w:r>
    </w:p>
    <w:p w14:paraId="1336B2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 по самолету Ил-2</w:t>
      </w:r>
    </w:p>
    <w:p w14:paraId="346376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 1 октября на каждый 3-й - приемопередающую станцию РСИ-4</w:t>
      </w:r>
    </w:p>
    <w:p w14:paraId="66B422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 15 августа каждый 5-й, а с 1 октября на каждый 3-й ставить РПК-10 и оснащать остальные под возможность установки</w:t>
      </w:r>
    </w:p>
    <w:p w14:paraId="279653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е) по самолету Ил-4</w:t>
      </w:r>
    </w:p>
    <w:p w14:paraId="4CFECA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1. 60 самолетов выпуска 1942 оборудовать автопилотами 3-х стабилизаций</w:t>
      </w:r>
    </w:p>
    <w:p w14:paraId="65B37F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На 100 самолетах выпуска 1942 установить аппаратуру слепой посадки Ночь-1</w:t>
      </w:r>
    </w:p>
    <w:p w14:paraId="323A09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 15 августа в кабине радиста устанавливать авиачасы АЧО</w:t>
      </w:r>
    </w:p>
    <w:p w14:paraId="778878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К 1 сентября 1942 изготовить эталон самолета с термическим антиобледенителем для плоскостей и хвостового оперения и после испытаний внедрить их в 4 кв. 1942 в серийное производство</w:t>
      </w:r>
    </w:p>
    <w:p w14:paraId="4980178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ж) по самолету Пе-2</w:t>
      </w:r>
    </w:p>
    <w:p w14:paraId="5212951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 15 августа на каждый 2-й ставить РПК-10, а с 1 октября - на все</w:t>
      </w:r>
    </w:p>
    <w:p w14:paraId="2DEE7C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 20 августа на все самолеты в разведывательном варианте ставить автомат курса АК-1</w:t>
      </w:r>
    </w:p>
    <w:p w14:paraId="31276E9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 15 августа в кабине радиста ставить АЧО</w:t>
      </w:r>
    </w:p>
    <w:p w14:paraId="50CA2A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 по самолету Пе-3</w:t>
      </w:r>
    </w:p>
    <w:p w14:paraId="76DE06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 1 сентября на все ставить радиостанцию бомбардировочного тиап РСБ-3бис вместо РСИ-4</w:t>
      </w:r>
    </w:p>
    <w:p w14:paraId="3EB55A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 15 августа в кабине радиста ставить АЧО</w:t>
      </w:r>
    </w:p>
    <w:p w14:paraId="4E5AD2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 1 сентября 1942 на все разведчики ставить АК-1</w:t>
      </w:r>
    </w:p>
    <w:p w14:paraId="0D48713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 15 августа 1942 антиобледенители кроме винтов ставить на смотровые стекла кабин (1580,55).</w:t>
      </w:r>
    </w:p>
    <w:p w14:paraId="2F2C83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 по самолету ПС-84</w:t>
      </w:r>
    </w:p>
    <w:p w14:paraId="59C47A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 1 декабря перейти на приемопередатчик РСР-1</w:t>
      </w:r>
    </w:p>
    <w:p w14:paraId="619229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 15 августа на каждом 2-м ставить автопилот 3-х стабилизаций, а с 1 октября - на все</w:t>
      </w:r>
    </w:p>
    <w:p w14:paraId="3F48A4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На 100 выпуска 1942 установить оборудование слепой посадки Ночь-1</w:t>
      </w:r>
    </w:p>
    <w:p w14:paraId="60D7ED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К 1 сентября изготовить эталон самолета с термическими антиобледенителями для плоскостей и хвостового оперения, внедрив после испытаний в 4 кв.. в серию</w:t>
      </w:r>
    </w:p>
    <w:p w14:paraId="56B722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по самолету ТБ-7</w:t>
      </w:r>
    </w:p>
    <w:p w14:paraId="4AC5844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К 1 сентября изготовить эталон самолета с термическими антиобледенителями для плоскостей и хвостового оперения, внедрив после испытаний в 4 кв.. в серию</w:t>
      </w:r>
    </w:p>
    <w:p w14:paraId="167129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К 15 ноября 1942 выпустить 5 автоштурманов АШ-1 и установить на ТБ-7 в частях ВВС (1580,55).</w:t>
      </w:r>
    </w:p>
    <w:p w14:paraId="0E49888D" w14:textId="77777777" w:rsidR="00AE7191" w:rsidRPr="00722885" w:rsidRDefault="00AE7191" w:rsidP="00722885">
      <w:pPr>
        <w:pStyle w:val="Iauiue"/>
        <w:jc w:val="both"/>
        <w:rPr>
          <w:color w:val="000000" w:themeColor="text1"/>
          <w:sz w:val="16"/>
          <w:szCs w:val="16"/>
        </w:rPr>
      </w:pPr>
    </w:p>
    <w:p w14:paraId="360831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августа 1942 вышел приказ НКАП N 602сс:</w:t>
      </w:r>
    </w:p>
    <w:p w14:paraId="734FE4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ГКО N 2145сс от 6 августа 1942 принят на вооружение ВВС прошедший гос. испытания самолет Як-7 с М-105ПФ. Самолету Як-7 увеличенной дальности присвоить наименование Як-9. В исполнение постановления:</w:t>
      </w:r>
    </w:p>
    <w:p w14:paraId="5B073F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Директору завода 153 Романову поставить производство самолетов Як-9 по образцу, прошедшему гос. испытания в НИИ ВВС с тем, чтобы в августе таких самолетов выпустить 3 шт., в сентябре 20, в октябре - 60 (1580,10).</w:t>
      </w:r>
    </w:p>
    <w:p w14:paraId="4016B3D1" w14:textId="77777777" w:rsidR="00AE7191" w:rsidRPr="00722885" w:rsidRDefault="00AE7191" w:rsidP="00722885">
      <w:pPr>
        <w:pStyle w:val="Iauiue"/>
        <w:jc w:val="both"/>
        <w:rPr>
          <w:color w:val="000000" w:themeColor="text1"/>
          <w:sz w:val="16"/>
          <w:szCs w:val="16"/>
        </w:rPr>
      </w:pPr>
    </w:p>
    <w:p w14:paraId="41FD3B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августа 1942 л завода 301 Н.А.Балашев совершил аварию при испытаниях ЛаГГ-3, т.к. при посадке выскочил с полосы и налетел на Як-7 (2108).</w:t>
      </w:r>
    </w:p>
    <w:p w14:paraId="2ADBEC01" w14:textId="77777777" w:rsidR="00AE7191" w:rsidRPr="00722885" w:rsidRDefault="00AE7191" w:rsidP="00722885">
      <w:pPr>
        <w:pStyle w:val="Iauiue"/>
        <w:jc w:val="both"/>
        <w:rPr>
          <w:color w:val="000000" w:themeColor="text1"/>
          <w:sz w:val="16"/>
          <w:szCs w:val="16"/>
        </w:rPr>
      </w:pPr>
    </w:p>
    <w:p w14:paraId="51F9AE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 приказом НКАП летчиком-испытателем ЛаГГ-3 с М-107П назначили Г.А. Мищенко. До конца года успели определить летные характеристики до высоты 4500 м. С оснащением ЛаГГ-3 мотором М-107 явно поторопились, поскольку двигатель работал в очень напряженном тепловом режиме, а для его охлаждения не хватало площади ни водяных, ни масляных радиаторов. Более того, обнаружился задир поршней и ряд других дефектов самого мотора. К лету 1942 г. стало ясно, что двигатель еще нужно доводить, и все работы по установке М-107 на самолеты отложили до лучших времен (11983).</w:t>
      </w:r>
    </w:p>
    <w:p w14:paraId="729C60B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4385C2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 г. Отчет по испытаниям с-та Ту-2 № 100308.</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398"/>
        <w:gridCol w:w="1697"/>
        <w:gridCol w:w="1785"/>
        <w:gridCol w:w="3995"/>
      </w:tblGrid>
      <w:tr w:rsidR="009B487A" w:rsidRPr="00722885" w14:paraId="30F84EF7"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3133F2D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Винт АВ-5-167.    Производство завода № 35.    Конструктор Жданов.</w:t>
            </w:r>
          </w:p>
        </w:tc>
      </w:tr>
      <w:tr w:rsidR="009B487A" w:rsidRPr="00722885" w14:paraId="6348EE0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0FA35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9DB56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E9B57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Предназначен для</w:t>
            </w:r>
          </w:p>
          <w:p w14:paraId="388B82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B0B806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Ту-2 с 2М-82</w:t>
            </w:r>
          </w:p>
        </w:tc>
      </w:tr>
      <w:tr w:rsidR="009B487A" w:rsidRPr="00722885" w14:paraId="72C970C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FDFF50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4DC8FF9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0308AC"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67071C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62D4730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F75BF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08F70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69CFC564"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5F63C21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B4CD9D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E4EA7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A77577A"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68F4C28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11A570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A89A3D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D5FA2C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59391D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0D76F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3E85B7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408EDB1"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899A11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4FC12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63B19DE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004861C"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A543A4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8C4A1D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2A8112A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Clark-Y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4B4E223"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2DF5DA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C4C55F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789AF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80F6D42"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94898FB"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E17F5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Минимальный установочный угол</w:t>
            </w:r>
          </w:p>
          <w:p w14:paraId="183EA8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36C0B82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A64D4E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0947FF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121A0B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21F43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46F657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F073E8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BFEED1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DDB7A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7F4A26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A49DFE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3F6BD9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BD385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CC485B3"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6B505F5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F1F330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AF651E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0,687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6B14FD4"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23D1B1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56678F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73AF5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BE111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Состояние</w:t>
            </w:r>
          </w:p>
          <w:p w14:paraId="445A81B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F2E3C5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 испытания прошел удовлетворительно</w:t>
            </w:r>
          </w:p>
          <w:p w14:paraId="0BCCC12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совместо с самолетом Ту-2 с 2М-82.</w:t>
            </w:r>
          </w:p>
          <w:p w14:paraId="491B955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Находится в эксплоатации и в серийном производстве.</w:t>
            </w:r>
          </w:p>
        </w:tc>
      </w:tr>
      <w:tr w:rsidR="009B487A" w:rsidRPr="00722885" w14:paraId="5F3BB84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44740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06241F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2D3FF1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ECDF3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5325537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119C60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4CEB78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63D711"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3E67E9"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62B184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FF3BB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FA2CCA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1390D43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Источник сведений: Отчет по испытаниям с-та Ту-2 № 100308 от 8.12.42 г.</w:t>
            </w:r>
          </w:p>
        </w:tc>
      </w:tr>
    </w:tbl>
    <w:p w14:paraId="2E4E45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(12227).</w:t>
      </w:r>
    </w:p>
    <w:p w14:paraId="0BC3F86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81D51D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 приказом по НКАП № 605с уже с 10 августа на каж</w:t>
      </w:r>
      <w:r w:rsidRPr="00722885">
        <w:rPr>
          <w:rFonts w:ascii="Times New Roman" w:hAnsi="Times New Roman"/>
          <w:color w:val="000000" w:themeColor="text1"/>
          <w:sz w:val="16"/>
          <w:szCs w:val="16"/>
        </w:rPr>
        <w:softHyphen/>
        <w:t>дый Ла-5 требовалось установить радиоприемник РСИ-4, а на каж</w:t>
      </w:r>
      <w:r w:rsidRPr="00722885">
        <w:rPr>
          <w:rFonts w:ascii="Times New Roman" w:hAnsi="Times New Roman"/>
          <w:color w:val="000000" w:themeColor="text1"/>
          <w:sz w:val="16"/>
          <w:szCs w:val="16"/>
        </w:rPr>
        <w:softHyphen/>
        <w:t>дый третий — и передатчик, а также радиополукомпас РПК-10. Хо</w:t>
      </w:r>
      <w:r w:rsidRPr="00722885">
        <w:rPr>
          <w:rFonts w:ascii="Times New Roman" w:hAnsi="Times New Roman"/>
          <w:color w:val="000000" w:themeColor="text1"/>
          <w:sz w:val="16"/>
          <w:szCs w:val="16"/>
        </w:rPr>
        <w:softHyphen/>
        <w:t>тя в установленные сроки (за 2 дня!) уложиться не удалось, все же дело сдвинулось, и советские истребители стали получать средст</w:t>
      </w:r>
      <w:r w:rsidRPr="00722885">
        <w:rPr>
          <w:rFonts w:ascii="Times New Roman" w:hAnsi="Times New Roman"/>
          <w:color w:val="000000" w:themeColor="text1"/>
          <w:sz w:val="16"/>
          <w:szCs w:val="16"/>
        </w:rPr>
        <w:softHyphen/>
        <w:t>ва радионавигации и связи (11123).</w:t>
      </w:r>
    </w:p>
    <w:p w14:paraId="17D8CD4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3486E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августа 1942 г. заместитель начальника 7-го Главного Управления НКАП Алексеев направил в секретариат наркома записку следующего содержания:</w:t>
      </w:r>
    </w:p>
    <w:p w14:paraId="3CB928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"Группа тов. Люлька в составе 15 человек с 1 июля 1942 г. переведена на постоянную работу в конструкторское бюро тов. Болховитинова, где используется по специальности". Заметим, что Люлька представлял список на 23 человека (9016).</w:t>
      </w:r>
    </w:p>
    <w:p w14:paraId="2644F5B8" w14:textId="77777777" w:rsidR="00AE7191" w:rsidRPr="00722885" w:rsidRDefault="00AE7191" w:rsidP="00722885">
      <w:pPr>
        <w:pStyle w:val="Iauiue"/>
        <w:jc w:val="both"/>
        <w:rPr>
          <w:color w:val="000000" w:themeColor="text1"/>
          <w:sz w:val="16"/>
          <w:szCs w:val="16"/>
        </w:rPr>
      </w:pPr>
    </w:p>
    <w:p w14:paraId="3E93601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 г., заместитель на</w:t>
      </w:r>
      <w:r w:rsidRPr="00722885">
        <w:rPr>
          <w:rFonts w:ascii="Times New Roman" w:hAnsi="Times New Roman"/>
          <w:color w:val="000000" w:themeColor="text1"/>
          <w:sz w:val="16"/>
          <w:szCs w:val="16"/>
        </w:rPr>
        <w:softHyphen/>
        <w:t>чальника 7-го Главного Управления НКАП Алексеев направил в секретариат нар</w:t>
      </w:r>
      <w:r w:rsidRPr="00722885">
        <w:rPr>
          <w:rFonts w:ascii="Times New Roman" w:hAnsi="Times New Roman"/>
          <w:color w:val="000000" w:themeColor="text1"/>
          <w:sz w:val="16"/>
          <w:szCs w:val="16"/>
        </w:rPr>
        <w:softHyphen/>
        <w:t>кома записку следующего содержания:</w:t>
      </w:r>
    </w:p>
    <w:p w14:paraId="36DB5BA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тов.Люльки в составе 15 человек с 1 июля 1942 г. переведена на постоянную работу в конструктор</w:t>
      </w:r>
      <w:r w:rsidRPr="00722885">
        <w:rPr>
          <w:rFonts w:ascii="Times New Roman" w:hAnsi="Times New Roman"/>
          <w:color w:val="000000" w:themeColor="text1"/>
          <w:sz w:val="16"/>
          <w:szCs w:val="16"/>
        </w:rPr>
        <w:softHyphen/>
        <w:t>ское бюро тов.Болховитинова, где ис</w:t>
      </w:r>
      <w:r w:rsidRPr="00722885">
        <w:rPr>
          <w:rFonts w:ascii="Times New Roman" w:hAnsi="Times New Roman"/>
          <w:color w:val="000000" w:themeColor="text1"/>
          <w:sz w:val="16"/>
          <w:szCs w:val="16"/>
        </w:rPr>
        <w:softHyphen/>
        <w:t>пользуется по специальности».</w:t>
      </w:r>
    </w:p>
    <w:p w14:paraId="1858001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Заметим, что Люлька представлял список на 23 человека.</w:t>
      </w:r>
    </w:p>
    <w:p w14:paraId="0307635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Болховитинов был талантливым конструктором и очень доброжелатель</w:t>
      </w:r>
      <w:r w:rsidRPr="00722885">
        <w:rPr>
          <w:rFonts w:ascii="Times New Roman" w:hAnsi="Times New Roman"/>
          <w:color w:val="000000" w:themeColor="text1"/>
          <w:sz w:val="16"/>
          <w:szCs w:val="16"/>
        </w:rPr>
        <w:softHyphen/>
        <w:t>ным человеком, но производственная база его ОКБ, ориентированная на со</w:t>
      </w:r>
      <w:r w:rsidRPr="00722885">
        <w:rPr>
          <w:rFonts w:ascii="Times New Roman" w:hAnsi="Times New Roman"/>
          <w:color w:val="000000" w:themeColor="text1"/>
          <w:sz w:val="16"/>
          <w:szCs w:val="16"/>
        </w:rPr>
        <w:softHyphen/>
        <w:t>здание опытных самолетов, не могла обеспечить изготовление ряда агрега</w:t>
      </w:r>
      <w:r w:rsidRPr="00722885">
        <w:rPr>
          <w:rFonts w:ascii="Times New Roman" w:hAnsi="Times New Roman"/>
          <w:color w:val="000000" w:themeColor="text1"/>
          <w:sz w:val="16"/>
          <w:szCs w:val="16"/>
        </w:rPr>
        <w:softHyphen/>
        <w:t>тов и узлов столь необычного для того времени «изделия», каким являлся ТРД. Лопатки для компрессоров и турбин, основные детали газогенератора дви</w:t>
      </w:r>
      <w:r w:rsidRPr="00722885">
        <w:rPr>
          <w:rFonts w:ascii="Times New Roman" w:hAnsi="Times New Roman"/>
          <w:color w:val="000000" w:themeColor="text1"/>
          <w:sz w:val="16"/>
          <w:szCs w:val="16"/>
        </w:rPr>
        <w:softHyphen/>
        <w:t>гателя требовали применения специ</w:t>
      </w:r>
      <w:r w:rsidRPr="00722885">
        <w:rPr>
          <w:rFonts w:ascii="Times New Roman" w:hAnsi="Times New Roman"/>
          <w:color w:val="000000" w:themeColor="text1"/>
          <w:sz w:val="16"/>
          <w:szCs w:val="16"/>
        </w:rPr>
        <w:softHyphen/>
        <w:t>ального технологического оборудова</w:t>
      </w:r>
      <w:r w:rsidRPr="00722885">
        <w:rPr>
          <w:rFonts w:ascii="Times New Roman" w:hAnsi="Times New Roman"/>
          <w:color w:val="000000" w:themeColor="text1"/>
          <w:sz w:val="16"/>
          <w:szCs w:val="16"/>
        </w:rPr>
        <w:softHyphen/>
        <w:t xml:space="preserve">ния. Нужно было не просто собрать </w:t>
      </w:r>
      <w:r w:rsidRPr="00722885">
        <w:rPr>
          <w:rFonts w:ascii="Times New Roman" w:hAnsi="Times New Roman"/>
          <w:color w:val="000000" w:themeColor="text1"/>
          <w:sz w:val="16"/>
          <w:szCs w:val="16"/>
        </w:rPr>
        <w:lastRenderedPageBreak/>
        <w:t>конструкторов под одной крышей, но в первую очередь создать для группы Люльки хотя бы элементарную, но спе</w:t>
      </w:r>
      <w:r w:rsidRPr="00722885">
        <w:rPr>
          <w:rFonts w:ascii="Times New Roman" w:hAnsi="Times New Roman"/>
          <w:color w:val="000000" w:themeColor="text1"/>
          <w:sz w:val="16"/>
          <w:szCs w:val="16"/>
        </w:rPr>
        <w:softHyphen/>
        <w:t>циализированную производственную базу. Однако в этом направлении со стороны наркомата авиапромышленно</w:t>
      </w:r>
      <w:r w:rsidRPr="00722885">
        <w:rPr>
          <w:rFonts w:ascii="Times New Roman" w:hAnsi="Times New Roman"/>
          <w:color w:val="000000" w:themeColor="text1"/>
          <w:sz w:val="16"/>
          <w:szCs w:val="16"/>
        </w:rPr>
        <w:softHyphen/>
        <w:t>сти практически ничего не делалось (11158).</w:t>
      </w:r>
    </w:p>
    <w:p w14:paraId="4D79FDC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C09B5F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1942г. по приказу НКАП № 608сс на базе института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 передаваемого из 5ГУ в 7ГУ, началось формирование специализированного НИИ по разработке и изготовлению опытных образцов и малых серий оборудования для самолетов с реактивными двигателями. Директором нового НИИ назначен Н.И. Петров. Однако, вскоре приказом № 888с от 15.12.1942г. предыдущий приказ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7B96296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4ABE62F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04E7EAA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5022271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4941909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7353D8E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1944г. создан универсальный регулятор температуры авиамоторов УРТ-НИСО.</w:t>
      </w:r>
    </w:p>
    <w:p w14:paraId="72B4E1A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722885">
        <w:rPr>
          <w:rFonts w:ascii="Times New Roman" w:hAnsi="Times New Roman"/>
          <w:color w:val="000000" w:themeColor="text1"/>
          <w:sz w:val="16"/>
          <w:szCs w:val="16"/>
          <w:lang w:val="en-US"/>
        </w:rPr>
        <w:t>PJI</w:t>
      </w:r>
      <w:r w:rsidRPr="00722885">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20424F8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2AF222B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1955г. НИСО передан из 7ГУ в 11ГУ МАП.</w:t>
      </w:r>
    </w:p>
    <w:p w14:paraId="2629DE0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Воссоздан в 1982г. как НИИАО (авиационного оборудования) из филиала ЛИИ.</w:t>
      </w:r>
    </w:p>
    <w:p w14:paraId="2F37AA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электрооборудованию для РКТ.</w:t>
      </w:r>
    </w:p>
    <w:p w14:paraId="05A068C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75E00F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(1955г.)- Н.Д. Рязанцев.</w:t>
      </w:r>
    </w:p>
    <w:p w14:paraId="2FBCBB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(1930-е)- Г.А. Левин, (1947г.-)- Н.Д. Рязанцев.</w:t>
      </w:r>
    </w:p>
    <w:p w14:paraId="767EE8A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ОКБ - А.С. Абрамов.</w:t>
      </w:r>
    </w:p>
    <w:p w14:paraId="7DB0BF7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сектора (-1937г.)- Л.М. Кофман (11982).</w:t>
      </w:r>
    </w:p>
    <w:p w14:paraId="00AEF07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24B8E7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 г. по приказу № 606с планировалось передать завод № 296 (ГС Завод № 296 им. Дзержинского НКАП, Бердский радиозавод</w:t>
      </w:r>
      <w:r w:rsidRPr="00722885">
        <w:rPr>
          <w:rFonts w:ascii="Times New Roman" w:hAnsi="Times New Roman"/>
          <w:smallCaps/>
          <w:color w:val="000000" w:themeColor="text1"/>
          <w:sz w:val="16"/>
          <w:szCs w:val="16"/>
        </w:rPr>
        <w:t xml:space="preserve"> (брз) мрп, </w:t>
      </w:r>
      <w:r w:rsidRPr="00722885">
        <w:rPr>
          <w:rFonts w:ascii="Times New Roman" w:hAnsi="Times New Roman"/>
          <w:color w:val="000000" w:themeColor="text1"/>
          <w:sz w:val="16"/>
          <w:szCs w:val="16"/>
        </w:rPr>
        <w:t>А-1764, ПО «Вега», ООО «Бердский радиозавод» /г. Харьков, 54;  г. Бердск-2 Новосибирской обл. а/я 1 «Магнит»/ /633011  г. Бердск Новосибирской обл. ул. Линейная (Ленина), 5/7/) в систему НКВ. Однако, в соответствии с пост. ГКО № 2445сс от 23.10.1942 г. и приказом № 806/546с от 28.10.1942 г. в НКВ передано лишь выделенное из состава завода № 296 оптико-механическое производство.</w:t>
      </w:r>
    </w:p>
    <w:p w14:paraId="37A492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11.1942 г. в Бердске началась организация производства агрегатов НВ.</w:t>
      </w:r>
    </w:p>
    <w:p w14:paraId="3F8FF5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часть завода № 296 НКАП (оборудование, кадры) по электродрелям переведена на завод № 500 в Тушино.</w:t>
      </w:r>
    </w:p>
    <w:p w14:paraId="10BB58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оказания помощи моторным заводам приказом № 491с от 17.08.1943 г. образован заводской Базовый эксплуатационный ремонтный отдел на территории завода № 315 НКАП. Начальник отдела- А.Я. Асеев, кадры сформированы переводом специалистов с заводов № 315, № 132, № 33 и ОКБ-132.</w:t>
      </w:r>
    </w:p>
    <w:p w14:paraId="7E51BA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673с от 10.11.1943 г. заводу переданы все сооружения расформированного завода № 9 ОАП НКАП.</w:t>
      </w:r>
    </w:p>
    <w:p w14:paraId="207168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679с от 15.11.1943 г. на площадке эвакуированного завода в Харькове организованы мастерские по ремонту моторных агрегатов.</w:t>
      </w:r>
    </w:p>
    <w:p w14:paraId="39BD82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612с от 9.09.1946 г. завод реэвакуирован на старую площадку в Харьков (где, вероятно, образован новый завод № 897 МАП). Часть специалистов завода остались в Бердске и составили основу коллектива нового завода. На базе оставшегося в Бердске завода решением правительства от 10.10.1946 г. организован Бердский радиозавод. Официальной датой рождения завода считается 14.10.1946 г. В 09.1947 г. выпущена первая партия радиоприемников.</w:t>
      </w:r>
      <w:r w:rsidRPr="00722885">
        <w:rPr>
          <w:rFonts w:ascii="Times New Roman" w:hAnsi="Times New Roman"/>
          <w:color w:val="000000" w:themeColor="text1"/>
          <w:sz w:val="16"/>
          <w:szCs w:val="16"/>
          <w:vertAlign w:val="superscript"/>
        </w:rPr>
        <w:t>108</w:t>
      </w:r>
    </w:p>
    <w:p w14:paraId="363E13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smallCaps/>
          <w:color w:val="000000" w:themeColor="text1"/>
          <w:sz w:val="16"/>
          <w:szCs w:val="16"/>
        </w:rPr>
        <w:t>в</w:t>
      </w:r>
      <w:r w:rsidRPr="00722885">
        <w:rPr>
          <w:rFonts w:ascii="Times New Roman" w:hAnsi="Times New Roman"/>
          <w:color w:val="000000" w:themeColor="text1"/>
          <w:sz w:val="16"/>
          <w:szCs w:val="16"/>
        </w:rPr>
        <w:t xml:space="preserve"> 1960-е  г. - в ведении Управления радиотехнической и электронной промышленности Западно-Сибирского совнархоза.</w:t>
      </w:r>
      <w:r w:rsidRPr="00722885">
        <w:rPr>
          <w:rFonts w:ascii="Times New Roman" w:hAnsi="Times New Roman"/>
          <w:color w:val="000000" w:themeColor="text1"/>
          <w:sz w:val="16"/>
          <w:szCs w:val="16"/>
          <w:vertAlign w:val="superscript"/>
        </w:rPr>
        <w:t>80</w:t>
      </w:r>
      <w:r w:rsidRPr="00722885">
        <w:rPr>
          <w:rFonts w:ascii="Times New Roman" w:hAnsi="Times New Roman"/>
          <w:color w:val="000000" w:themeColor="text1"/>
          <w:sz w:val="16"/>
          <w:szCs w:val="16"/>
        </w:rPr>
        <w:t xml:space="preserve"> В 1973 г. - в ведении 5ГУ МРП. Далее - ПО «Вега».</w:t>
      </w:r>
    </w:p>
    <w:p w14:paraId="0672A1C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имел (1973 г.) 3 промплощадки: № 1 - новую, № 2 - старую, № 3 - цеха № 7. В составе завода цехи: окончательной сборки, сборки «Веги», пластмассовый, штамповочный, автоматно-механический, сборки футляров, гальванический, сборки трансформаторов, сборки динамиков, литейный; СКБ.</w:t>
      </w:r>
    </w:p>
    <w:p w14:paraId="76B62A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(1973 г.)- 1935 ед. (в т.ч. металлорежущего- 622 ед.).</w:t>
      </w:r>
    </w:p>
    <w:p w14:paraId="4583F3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общая (1973 г.)- 56,68 га; площадки № 1 (1973 г.)- 10,5га; № 2 (1973 г.)- 14,2 га; № 3 (1973 г.)- 5,2 га; застройки (1973 г.)- 260700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20FF5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(1972 г.)- 7806 чел., (1973 г.)- 8208 чел.</w:t>
      </w:r>
    </w:p>
    <w:p w14:paraId="6942013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Директор (-01.1941-50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Берман, (1973 г.)- А. Сарычев.</w:t>
      </w:r>
    </w:p>
    <w:p w14:paraId="24361D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экономист (1973 г.)- Высоцкий.</w:t>
      </w:r>
    </w:p>
    <w:p w14:paraId="4B0D4B3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ОКС (1973 г.)- А. Валяев.</w:t>
      </w:r>
    </w:p>
    <w:p w14:paraId="580C29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(ВОВ) агрегаты НВ: НБ-ЗУ для </w:t>
      </w:r>
      <w:r w:rsidRPr="00722885">
        <w:rPr>
          <w:rFonts w:ascii="Times New Roman" w:hAnsi="Times New Roman"/>
          <w:color w:val="000000" w:themeColor="text1"/>
          <w:sz w:val="16"/>
          <w:szCs w:val="16"/>
          <w:lang w:val="en-US"/>
        </w:rPr>
        <w:t>JIa</w:t>
      </w:r>
      <w:r w:rsidRPr="00722885">
        <w:rPr>
          <w:rFonts w:ascii="Times New Roman" w:hAnsi="Times New Roman"/>
          <w:color w:val="000000" w:themeColor="text1"/>
          <w:sz w:val="16"/>
          <w:szCs w:val="16"/>
        </w:rPr>
        <w:t xml:space="preserve">-5, </w:t>
      </w:r>
      <w:r w:rsidRPr="00722885">
        <w:rPr>
          <w:rFonts w:ascii="Times New Roman" w:hAnsi="Times New Roman"/>
          <w:color w:val="000000" w:themeColor="text1"/>
          <w:sz w:val="16"/>
          <w:szCs w:val="16"/>
          <w:lang w:val="en-US"/>
        </w:rPr>
        <w:t>Jla</w:t>
      </w:r>
      <w:r w:rsidRPr="00722885">
        <w:rPr>
          <w:rFonts w:ascii="Times New Roman" w:hAnsi="Times New Roman"/>
          <w:color w:val="000000" w:themeColor="text1"/>
          <w:sz w:val="16"/>
          <w:szCs w:val="16"/>
        </w:rPr>
        <w:t>-7; артпанорамы «ПГ», перископ «ТР», винтовочные оптические прицелы «ПУ» (1941-42)- 22.786;</w:t>
      </w:r>
      <w:r w:rsidRPr="00722885">
        <w:rPr>
          <w:rFonts w:ascii="Times New Roman" w:hAnsi="Times New Roman"/>
          <w:color w:val="000000" w:themeColor="text1"/>
          <w:sz w:val="16"/>
          <w:szCs w:val="16"/>
          <w:vertAlign w:val="superscript"/>
        </w:rPr>
        <w:t>4</w:t>
      </w:r>
      <w:r w:rsidRPr="00722885">
        <w:rPr>
          <w:rFonts w:ascii="Times New Roman" w:hAnsi="Times New Roman"/>
          <w:color w:val="000000" w:themeColor="text1"/>
          <w:sz w:val="16"/>
          <w:szCs w:val="16"/>
        </w:rPr>
        <w:t xml:space="preserve"> селектор гармоник возбудителя «Бот»;</w:t>
      </w:r>
      <w:r w:rsidRPr="00722885">
        <w:rPr>
          <w:rFonts w:ascii="Times New Roman" w:hAnsi="Times New Roman"/>
          <w:iCs/>
          <w:color w:val="000000" w:themeColor="text1"/>
          <w:sz w:val="16"/>
          <w:szCs w:val="16"/>
        </w:rPr>
        <w:t xml:space="preserve"> радиоприемники:</w:t>
      </w:r>
      <w:r w:rsidRPr="00722885">
        <w:rPr>
          <w:rFonts w:ascii="Times New Roman" w:hAnsi="Times New Roman"/>
          <w:color w:val="000000" w:themeColor="text1"/>
          <w:sz w:val="16"/>
          <w:szCs w:val="16"/>
        </w:rPr>
        <w:t xml:space="preserve"> «Рекорд- 46 (1947-), -47, -52, -53», «Донец» (1954-), «Байкал» (1956-), «Вега» (1968-), «Вега-402 (1972-73-), -404 (1978-), - 407, -340, РП-341, -342, РП-240, РП-241 (1990-), РП-242, РП-243, РП-245 (1993-), РП-246, РП-247», «Радиоколокол» (1979-);</w:t>
      </w:r>
      <w:r w:rsidRPr="00722885">
        <w:rPr>
          <w:rFonts w:ascii="Times New Roman" w:hAnsi="Times New Roman"/>
          <w:iCs/>
          <w:color w:val="000000" w:themeColor="text1"/>
          <w:sz w:val="16"/>
          <w:szCs w:val="16"/>
        </w:rPr>
        <w:t xml:space="preserve"> радиолы:</w:t>
      </w:r>
      <w:r w:rsidRPr="00722885">
        <w:rPr>
          <w:rFonts w:ascii="Times New Roman" w:hAnsi="Times New Roman"/>
          <w:color w:val="000000" w:themeColor="text1"/>
          <w:sz w:val="16"/>
          <w:szCs w:val="16"/>
        </w:rPr>
        <w:t xml:space="preserve"> «Рекорд-50 (1950-), -51, -53, -60, -61, -65, -66, -68, -69, -310, -311 (1973), -314», «Байкал» (1957-), «Сибирь», «Фиалка», «Фиалка-2», «Вега-001, -002, -003, -300, -ЗОЮ, -312С (1974-), -313, -315, - 319С (1974-), -321С, -323С (1979-)»;</w:t>
      </w:r>
      <w:r w:rsidRPr="00722885">
        <w:rPr>
          <w:rFonts w:ascii="Times New Roman" w:hAnsi="Times New Roman"/>
          <w:iCs/>
          <w:color w:val="000000" w:themeColor="text1"/>
          <w:sz w:val="16"/>
          <w:szCs w:val="16"/>
        </w:rPr>
        <w:t xml:space="preserve"> магнитолы:</w:t>
      </w:r>
      <w:r w:rsidRPr="00722885">
        <w:rPr>
          <w:rFonts w:ascii="Times New Roman" w:hAnsi="Times New Roman"/>
          <w:color w:val="000000" w:themeColor="text1"/>
          <w:sz w:val="16"/>
          <w:szCs w:val="16"/>
        </w:rPr>
        <w:t xml:space="preserve"> «Фиалка» (1968-), «Фиалка-2» (1969-), «Рекорд-64 (1965-), -301 (1973)», «Вега-114С, -115С (1978-), -117С (1979-), -118С, -119С. -125С, -320, -324, -325С, -326 (1977-), -328С, -331, -332С, -335С, РМ-338С, РМ-235С, РМ-238, РМ-250С, РМ-251С, РМ-252С (1993-), РМ-255С»; магнитоэлектрофон «Вега-121С»;</w:t>
      </w:r>
      <w:r w:rsidRPr="00722885">
        <w:rPr>
          <w:rFonts w:ascii="Times New Roman" w:hAnsi="Times New Roman"/>
          <w:iCs/>
          <w:color w:val="000000" w:themeColor="text1"/>
          <w:sz w:val="16"/>
          <w:szCs w:val="16"/>
        </w:rPr>
        <w:t xml:space="preserve"> электрофоны:</w:t>
      </w:r>
      <w:r w:rsidRPr="00722885">
        <w:rPr>
          <w:rFonts w:ascii="Times New Roman" w:hAnsi="Times New Roman"/>
          <w:color w:val="000000" w:themeColor="text1"/>
          <w:sz w:val="16"/>
          <w:szCs w:val="16"/>
        </w:rPr>
        <w:t xml:space="preserve"> «Арктур-ООЗС, -004С», «Вега-101С (1972-73-), -103С, -104С, -109С»; </w:t>
      </w:r>
      <w:r w:rsidRPr="00722885">
        <w:rPr>
          <w:rFonts w:ascii="Times New Roman" w:hAnsi="Times New Roman"/>
          <w:iCs/>
          <w:color w:val="000000" w:themeColor="text1"/>
          <w:sz w:val="16"/>
          <w:szCs w:val="16"/>
        </w:rPr>
        <w:t>проигрыватели:</w:t>
      </w:r>
      <w:r w:rsidRPr="00722885">
        <w:rPr>
          <w:rFonts w:ascii="Times New Roman" w:hAnsi="Times New Roman"/>
          <w:color w:val="000000" w:themeColor="text1"/>
          <w:sz w:val="16"/>
          <w:szCs w:val="16"/>
        </w:rPr>
        <w:t xml:space="preserve"> «Вега-106С (1976-), -108С, -110С, ЭП-110С, ЭП-120С, ЭП-122С, -206С», «Арктур-ООбС (1983-)»; </w:t>
      </w:r>
      <w:r w:rsidRPr="00722885">
        <w:rPr>
          <w:rFonts w:ascii="Times New Roman" w:hAnsi="Times New Roman"/>
          <w:iCs/>
          <w:color w:val="000000" w:themeColor="text1"/>
          <w:sz w:val="16"/>
          <w:szCs w:val="16"/>
        </w:rPr>
        <w:t>тюнеры:</w:t>
      </w:r>
      <w:r w:rsidRPr="00722885">
        <w:rPr>
          <w:rFonts w:ascii="Times New Roman" w:hAnsi="Times New Roman"/>
          <w:color w:val="000000" w:themeColor="text1"/>
          <w:sz w:val="16"/>
          <w:szCs w:val="16"/>
        </w:rPr>
        <w:t xml:space="preserve"> «Вега Т-124С, -004С»;</w:t>
      </w:r>
      <w:r w:rsidRPr="00722885">
        <w:rPr>
          <w:rFonts w:ascii="Times New Roman" w:hAnsi="Times New Roman"/>
          <w:iCs/>
          <w:color w:val="000000" w:themeColor="text1"/>
          <w:sz w:val="16"/>
          <w:szCs w:val="16"/>
        </w:rPr>
        <w:t xml:space="preserve"> усилители:</w:t>
      </w:r>
      <w:r w:rsidRPr="00722885">
        <w:rPr>
          <w:rFonts w:ascii="Times New Roman" w:hAnsi="Times New Roman"/>
          <w:color w:val="000000" w:themeColor="text1"/>
          <w:sz w:val="16"/>
          <w:szCs w:val="16"/>
        </w:rPr>
        <w:t xml:space="preserve"> «Вега» 10У-120С, 25УС-122, 50У-122С, 50У-124С, «Арктур-</w:t>
      </w:r>
      <w:r w:rsidRPr="00722885">
        <w:rPr>
          <w:rFonts w:ascii="Times New Roman" w:hAnsi="Times New Roman"/>
          <w:color w:val="000000" w:themeColor="text1"/>
          <w:sz w:val="16"/>
          <w:szCs w:val="16"/>
          <w:lang w:val="en-US"/>
        </w:rPr>
        <w:t>OOlC</w:t>
      </w:r>
      <w:r w:rsidRPr="00722885">
        <w:rPr>
          <w:rFonts w:ascii="Times New Roman" w:hAnsi="Times New Roman"/>
          <w:color w:val="000000" w:themeColor="text1"/>
          <w:sz w:val="16"/>
          <w:szCs w:val="16"/>
        </w:rPr>
        <w:t>, -- 002С, -101С»; магнитофон «Вега» М-420 (1992-); музыкальный центр «Арктур-005С»; проигрыватели компакт- дисков: «Вега» ПКД-122С, ПКД-124С, ЛП-007; акустические системы 15КЗ-1 (1973), 10МАС-10 (1973), 10МАС- 1М (1974-); динамические головки: 1ГД-40, ЗГД-31, 4ГД-53А, 4ГДШ-3, 5ГДШ-2, 6ГД-6, 10ГД-30;-</w:t>
      </w:r>
      <w:r w:rsidRPr="00722885">
        <w:rPr>
          <w:rFonts w:ascii="Times New Roman" w:hAnsi="Times New Roman"/>
          <w:color w:val="000000" w:themeColor="text1"/>
          <w:sz w:val="16"/>
          <w:szCs w:val="16"/>
          <w:vertAlign w:val="superscript"/>
        </w:rPr>
        <w:t>108</w:t>
      </w:r>
      <w:r w:rsidRPr="00722885">
        <w:rPr>
          <w:rFonts w:ascii="Times New Roman" w:hAnsi="Times New Roman"/>
          <w:color w:val="000000" w:themeColor="text1"/>
          <w:sz w:val="16"/>
          <w:szCs w:val="16"/>
        </w:rPr>
        <w:t xml:space="preserve"> возбудитель БОТ (1973).</w:t>
      </w:r>
      <w:r w:rsidRPr="00722885">
        <w:rPr>
          <w:rFonts w:ascii="Times New Roman" w:hAnsi="Times New Roman"/>
          <w:color w:val="000000" w:themeColor="text1"/>
          <w:sz w:val="16"/>
          <w:szCs w:val="16"/>
          <w:vertAlign w:val="superscript"/>
        </w:rPr>
        <w:t>135</w:t>
      </w:r>
    </w:p>
    <w:p w14:paraId="65B2DB8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 ОКБ завода № 296 НКАП, ОКБ-296 НКАП /г. Харьков;  г. Бердск Новосибирской обл./</w:t>
      </w:r>
    </w:p>
    <w:p w14:paraId="199C61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насосов «НВ» для авиамоторов.</w:t>
      </w:r>
    </w:p>
    <w:p w14:paraId="1F5AD91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 г. ОКБ эвакуировано на самостоятельную площадку в  г. Бердск. По приказу № 1066с от 13.10.1941 г. для организации опытной базы по агрегатам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7B476BF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агрегатам топливопитания и регулирования авиационных поршневых моторов (НБ-ЗУ для АШ- 82ФН).</w:t>
      </w:r>
    </w:p>
    <w:p w14:paraId="7E060BC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1946 г. ОКБ-296 ( г. Бердск) объединено с заводом</w:t>
      </w:r>
      <w:r w:rsidRPr="00722885">
        <w:rPr>
          <w:rFonts w:ascii="Times New Roman" w:hAnsi="Times New Roman"/>
          <w:iCs/>
          <w:color w:val="000000" w:themeColor="text1"/>
          <w:sz w:val="16"/>
          <w:szCs w:val="16"/>
        </w:rPr>
        <w:t xml:space="preserve"> № 296.</w:t>
      </w:r>
      <w:r w:rsidRPr="00722885">
        <w:rPr>
          <w:rFonts w:ascii="Times New Roman" w:hAnsi="Times New Roman"/>
          <w:color w:val="000000" w:themeColor="text1"/>
          <w:sz w:val="16"/>
          <w:szCs w:val="16"/>
        </w:rPr>
        <w:t xml:space="preserve"> Далее, в 04.1946 г. ОКБ-296 переведено в Воронеж и получило название ОКБ-154 МАП. В 1947 г. при заводе № 154 действовало единое ОКБ-154-296.</w:t>
      </w:r>
    </w:p>
    <w:p w14:paraId="48FE560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(10.1941 -04.1946 г.)- С.А. Косбер г.</w:t>
      </w:r>
    </w:p>
    <w:p w14:paraId="60369C0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(1941 г.-)- Д.Н. Рудин.</w:t>
      </w:r>
    </w:p>
    <w:p w14:paraId="2A0C00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Бердского радиозавода, В-2197 / г. Бердск-2 Новосибирской обл./</w:t>
      </w:r>
    </w:p>
    <w:p w14:paraId="2981A6D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 в ведении 5ГУ МРП, имело наименование «п/я В-2197» (1973 г.).</w:t>
      </w:r>
    </w:p>
    <w:p w14:paraId="6DE9507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(1973 г.)- 264 чел.</w:t>
      </w:r>
    </w:p>
    <w:p w14:paraId="2AC14D2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(1973 г.)- В. Цариков.</w:t>
      </w:r>
    </w:p>
    <w:p w14:paraId="54B8F21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экспериментального цеха (1973 г.)- А.А. Друйкин.</w:t>
      </w:r>
    </w:p>
    <w:p w14:paraId="562BFC9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бюро МТС (1973 г.)- В.В. Торопчин (11982).</w:t>
      </w:r>
    </w:p>
    <w:p w14:paraId="7085714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A57EE3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A5A6EA7" w14:textId="77777777" w:rsidR="00AE7191" w:rsidRPr="00722885" w:rsidRDefault="00AE7191" w:rsidP="00722885">
      <w:pPr>
        <w:pStyle w:val="Iauiue"/>
        <w:jc w:val="both"/>
        <w:rPr>
          <w:iCs/>
          <w:color w:val="000000" w:themeColor="text1"/>
          <w:sz w:val="16"/>
          <w:szCs w:val="16"/>
        </w:rPr>
      </w:pPr>
    </w:p>
    <w:p w14:paraId="6A53B8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 г. пущен в эксплуатацию третий корпус завода (Завод № 313 НКВ, Завод «Амурлитмаш» Минстанкопрома, ОАО «Амурлитмаш» /681008  г. Комсомольск-на-Амуре Хабаровского кр. ул. Культурная, 1/) с механосборочным производством и кузницей, этот день стал днем рождения ремонтно-механического завода № 313 НКВ. Завод начал строиться военными строителями в 1940 г. 25.07.1942 г. вышло постановление ГКО № 2094 об окончании строительства завода и организации производства 82-мм минометов. Первой продукцией завода были минометы, мины, винтовки, ракетницы. Завод обслуживал строительство железной дороги Совгавань - Комсомольск-на-Амуре: ремонтировал станки и строительные механизмы, производил запчасти и инструменты. Основу коллектива завода до 1955 г. составляли заключенные, кроме того, работали демобилизованные красноармейцы и молодежь из школ ФЗО.</w:t>
      </w:r>
    </w:p>
    <w:p w14:paraId="28E3DE3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1955 г. завод передан в ведение Минстанкопрома, получил наименование завод «Амурлитмаш» и перешел на производство формовочного, смесеприготовительного и очистного литейного оборудования. В 1976 г. завод стал специализированным предприятием (единственным в стране) по разработке и производству очистного и выбивного оборудования (для выбивки и очистки штамповок, поковок, металлоконструкций, наружной поверхности труб).</w:t>
      </w:r>
    </w:p>
    <w:p w14:paraId="48D1BC5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завод «Амурлитмаш» преобразован в АООТ, затем- ОАО «Амурлитмаш». 14.12.2005 г. предприятие признано банкротом, в 2009 г. являлось банкротом.</w:t>
      </w:r>
    </w:p>
    <w:p w14:paraId="31339BA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(2009 г.): кузнечный цех.</w:t>
      </w:r>
    </w:p>
    <w:p w14:paraId="23E6BF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- 800 чел.</w:t>
      </w:r>
    </w:p>
    <w:p w14:paraId="6647417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(1993-2002 г.)- В.Н. Жук, (2007 г.)- В. Г. Матюшенко.</w:t>
      </w:r>
    </w:p>
    <w:p w14:paraId="56A89D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(2002 г.)- В. Г. Матюшенко.</w:t>
      </w:r>
    </w:p>
    <w:p w14:paraId="1DB3B9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цеха: (-1965 г.)- А.И. Сухой (11982).</w:t>
      </w:r>
    </w:p>
    <w:p w14:paraId="12E3FE72"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4FA5296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 г. завод (Завод № 577 НКБ, п/я 5, ФГУП «Соликамский завод «Урал» Росбоеприпаса /г. Соликамск п/я 5 «Искра» (1943 г.)/ /618554  г. Соликамск-14 Пермской обл. тел. 30-007/) пущен в эксплуатацию, этот день стал днем рождения. К этому времени были построены здания нитрации, стабилизации, хранилище кислот, нитроузел, производства пороховой массы и трубчатых порохов. 6.12.1942 г. вышло постановление ГКО № 2583 об увеличении мощности завода по производству нитроглицериновых порохов. В начале 1943 г. сдан комплекс мастерских по производству коллоксилина. Проектная мощность на 1.01.1943 г.- 650 т пороха в месяц. 21.04.1943 г. вышло постановление ГКО № 3216 о мероприятиях по обеспечению строительства 2-й очереди завода. Приказом НКБ № 1054с от 15.11.1943 г. заводу предписано ввести в строй коллоксилиновое производство с выпуском в 11.1943 г. 200 т коллоксилина, для этого с других заводов НКБ на завод переведено 4 специалиста. К началу 1944 г. завод вышел на проектную мощность в 1100 т в месяц. За годы войны выпущено зарядов: 2655, 6 тыс. для М-13 «Катюша», 192,6 тыс. к 100-мм пушке, 11.871,5 тыс. к 82-мм миномету, 1592,4 тыс. для 120-мм миномета.</w:t>
      </w:r>
    </w:p>
    <w:p w14:paraId="0E32A4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12.1942-11.1943 г. -в ведении ЗГУ НКБ. Имел обозначение «п/я 5» (1943 г.).</w:t>
      </w:r>
    </w:p>
    <w:p w14:paraId="47E5FF2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цехи (1943 г.): основные: № 1 кислотный, № 2 минометных порохов, № 3 коллоксилиновый, № 4 пороховой, № 5 зарядный; вспомогательные: полигон, ЦЗЛ, ремонтно-механический № 7, электроцех, паросиловой, тарная мастерская.</w:t>
      </w:r>
    </w:p>
    <w:p w14:paraId="5D7B8D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наращивал производственные мощности, освоено производство новых видов порохов и зарядов- к пушке 2А28, минометам 82БМ, 120ПМ, 160-мм и 240-мм минометам. В 1960-е-70-е  г. значительно увеличена номенклатура выпускаемых изделий, освоена более безопасная технология производства порохов; построены новые производства: зарядов для РСЗО «Град», крупнейшее в стране производство сферических порохов для стрелкового оружия; зарядов для катапультных кресел. В конце 1980-х  г. освоен выпуск зарядов для САУ «Мета». К 1992 г. завод стал одним из крупнейших в СССР: выпускал около 40% порохов и зарядов. В 1990- е  г. получило развитие производство гражданской продукции - резинотехнических изделий и лакокрасочной продукции.</w:t>
      </w:r>
    </w:p>
    <w:p w14:paraId="67FD03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707AB2F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(1943 г.): производственная- 35645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вспомогательная- 11058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2E3073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(1.01.1945 г.)- 2978 чел.</w:t>
      </w:r>
    </w:p>
    <w:p w14:paraId="13BFE0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(09.1941-42 г.)- В.В. Мейпариани, (11.1942-04.1943 г.-)- С.С. Качалов. Начальник (-10.1943-44 г.-&gt; С.С. Качалов. Директор (1946-48 г.)- В.Я. Кайда, (1948-59 г.)- Н.Н. Григорьев, (1959-60 г.)- А.Н. Соколов, (1960- 63 г.)- С.И. Гришин, (1963-68 Г.)- Л.Л. Гиндин, (1968-88 г.)-  Г.М. Даниличев, (1988-2005 г.-&gt; А.И. Пашков.</w:t>
      </w:r>
      <w:r w:rsidRPr="00722885">
        <w:rPr>
          <w:rFonts w:ascii="Times New Roman" w:hAnsi="Times New Roman"/>
          <w:color w:val="000000" w:themeColor="text1"/>
          <w:sz w:val="16"/>
          <w:szCs w:val="16"/>
          <w:vertAlign w:val="superscript"/>
        </w:rPr>
        <w:t>101</w:t>
      </w:r>
    </w:p>
    <w:p w14:paraId="432626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(09.1941 г.-)- Н.П. Потапов, (04.1943 г.)- И.Д. Козловский, (10.1943 г.)- Артюшенко.</w:t>
      </w:r>
    </w:p>
    <w:p w14:paraId="299124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технологи: (1941 г.-)- И.А. Батайский, (1941 г.-)- Н.И. Икоников.</w:t>
      </w:r>
    </w:p>
    <w:p w14:paraId="402636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производства: № 3 (ВОВ)- Н.В. Россомагин; № 4 (ВОВ)- И.И. Шатохин, (ВОВ)- Ф.Я. Грищенко; № 5 (ВОВ)- О.П. Алещенко; нитроузла (ВОВ)- Н.А. Кравченко.</w:t>
      </w:r>
    </w:p>
    <w:p w14:paraId="150E6FF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ЦЗЛ (ВОВ)- М. Г. Шарабрина.</w:t>
      </w:r>
      <w:r w:rsidRPr="00722885">
        <w:rPr>
          <w:rFonts w:ascii="Times New Roman" w:hAnsi="Times New Roman"/>
          <w:color w:val="000000" w:themeColor="text1"/>
          <w:sz w:val="16"/>
          <w:szCs w:val="16"/>
          <w:vertAlign w:val="superscript"/>
        </w:rPr>
        <w:t>55</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vertAlign w:val="superscript"/>
        </w:rPr>
        <w:t>56</w:t>
      </w:r>
    </w:p>
    <w:p w14:paraId="65EAFE6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заряды для М-13, минометов 82-мм, 120-мм; порох ленточка, коллксилин (1943) (11982).</w:t>
      </w:r>
    </w:p>
    <w:p w14:paraId="032E5F7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510BB2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 г. было подготовлено ЗАКЛЮЧЕНИЕ ПО ОТЧЕТУ НИ ПОЛИГОНА ГАБТУ КА ОБ ИСПЫТАНИИ ИМПОРТНЫХ АВТОМОБИЛЕЙ: «ФОРД: WOT8», «ДОДЖ» И «ШЕВРОЛЕ» БУКСИРОВКОЙ АРТСИСТЕМ</w:t>
      </w:r>
    </w:p>
    <w:p w14:paraId="0DE8DB7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утвержденной программе для данных испытаний в § 1 «Цель испытаний» указано, что в ре</w:t>
      </w:r>
      <w:r w:rsidRPr="00722885">
        <w:rPr>
          <w:rFonts w:ascii="Times New Roman" w:hAnsi="Times New Roman"/>
          <w:color w:val="000000" w:themeColor="text1"/>
          <w:sz w:val="16"/>
          <w:szCs w:val="16"/>
        </w:rPr>
        <w:softHyphen/>
        <w:t>зультате испытаний должна быть составлена подробная техническая характеристика автомобилей и должна быть определена надежность работы агрегатов, механизмов и прицепных устройств.</w:t>
      </w:r>
    </w:p>
    <w:p w14:paraId="3937CD8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Первая из поставленных задач не выполнена, так как приведенная в отчете характеристика да</w:t>
      </w:r>
      <w:r w:rsidRPr="00722885">
        <w:rPr>
          <w:rFonts w:ascii="Times New Roman" w:hAnsi="Times New Roman"/>
          <w:color w:val="000000" w:themeColor="text1"/>
          <w:sz w:val="16"/>
          <w:szCs w:val="16"/>
        </w:rPr>
        <w:softHyphen/>
        <w:t>леко не полна и, кроме того, имеет ряд неточностей.</w:t>
      </w:r>
    </w:p>
    <w:p w14:paraId="2CD48C7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Например, вместо обозначения модели автомобиля проставлена марка, обозначения 2x2 даны неправильно — следует обозначать 4x4, модель армейского грузовика «Шевроле: С-7107», а не ТМ-10-1127 как указано в характеристике (это обозначение каталога запчастей и инструкции). Мощность двигателя Форд-8 не 90 л.с., а95л.с. Мощность двигателя Додж Т-203-В не 100 л.с., а 85 л.с. Ряд данных, приведенных в характеристике, не совпадает с таковыми, помещенными в памятках по этим машинам, разработанным НИ полигоном.</w:t>
      </w:r>
    </w:p>
    <w:p w14:paraId="711D4B3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Вторая задача, то есть определение надежности агрегатов и механизмов, можно считать, также не решена, ибо вместо намеченного километража пробеговых испытаний в 1500 км в программе бы</w:t>
      </w:r>
      <w:r w:rsidRPr="00722885">
        <w:rPr>
          <w:rFonts w:ascii="Times New Roman" w:hAnsi="Times New Roman"/>
          <w:color w:val="000000" w:themeColor="text1"/>
          <w:sz w:val="16"/>
          <w:szCs w:val="16"/>
        </w:rPr>
        <w:softHyphen/>
        <w:t>ло утверждено 250 км, а в действительности пройдено 350 км (100 км по шоссе и 250 км по грунту).</w:t>
      </w:r>
    </w:p>
    <w:p w14:paraId="0BDBF16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Естественно, что такой общий километраж совершенно недостаточен, чтобы сделать сколько-нибудь надежные выводы в отношении поставленной задачи.</w:t>
      </w:r>
    </w:p>
    <w:p w14:paraId="0FC89D5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Тот факт, что у автомобиля «Форд WOT88» из-за перекосов кабины и ненадежности ее креп</w:t>
      </w:r>
      <w:r w:rsidRPr="00722885">
        <w:rPr>
          <w:rFonts w:ascii="Times New Roman" w:hAnsi="Times New Roman"/>
          <w:color w:val="000000" w:themeColor="text1"/>
          <w:sz w:val="16"/>
          <w:szCs w:val="16"/>
        </w:rPr>
        <w:softHyphen/>
        <w:t>ления к раме вырвало шпильку крепления радиатора к кабине, что повлекло за собой некоторые повреждения в системе охлаждения, позволяет сделать вывод, что для данной машины и 350 км пробега в тяжелых дорожных условиях достаточны для того, чтобы выявить ее некоторые сла</w:t>
      </w:r>
      <w:r w:rsidRPr="00722885">
        <w:rPr>
          <w:rFonts w:ascii="Times New Roman" w:hAnsi="Times New Roman"/>
          <w:color w:val="000000" w:themeColor="text1"/>
          <w:sz w:val="16"/>
          <w:szCs w:val="16"/>
        </w:rPr>
        <w:softHyphen/>
        <w:t>бые стороны.</w:t>
      </w:r>
    </w:p>
    <w:p w14:paraId="1E47D5F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других испытанных машин этот километраж, по-видимому, слишком недостаточен.</w:t>
      </w:r>
    </w:p>
    <w:p w14:paraId="44E723C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следует также забывать, что, например, для автомобиля «Шевроле» - мод. С-7107 (4x4) макси</w:t>
      </w:r>
      <w:r w:rsidRPr="00722885">
        <w:rPr>
          <w:rFonts w:ascii="Times New Roman" w:hAnsi="Times New Roman"/>
          <w:color w:val="000000" w:themeColor="text1"/>
          <w:sz w:val="16"/>
          <w:szCs w:val="16"/>
        </w:rPr>
        <w:softHyphen/>
        <w:t>мальный вес буксируемого груза, по данным фирменной инструкции, составляет 1816 кг (4000 фн.). Примерно такого порядка будут величины максимально буксируемого груза для других машин.</w:t>
      </w:r>
    </w:p>
    <w:p w14:paraId="7254E0C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можно предполагать, что длительная эксплуатация рассматриваемых машин с буксировкой артсистем около 3 тонн может вызвать некоторые ненормальности (в части усиленных износов, а возможно, и поломок в наиболее слабых местах) в работе данных машин.</w:t>
      </w:r>
    </w:p>
    <w:p w14:paraId="3D40682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ВЫВОДЫ:</w:t>
      </w:r>
    </w:p>
    <w:p w14:paraId="6AE8274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 пределах установленного километража пробеговых испытаний работа НИ полигона прове</w:t>
      </w:r>
      <w:r w:rsidRPr="00722885">
        <w:rPr>
          <w:rFonts w:ascii="Times New Roman" w:hAnsi="Times New Roman"/>
          <w:color w:val="000000" w:themeColor="text1"/>
          <w:sz w:val="16"/>
          <w:szCs w:val="16"/>
        </w:rPr>
        <w:softHyphen/>
        <w:t>дена вполне удовлетворительно.</w:t>
      </w:r>
    </w:p>
    <w:p w14:paraId="6737FF2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Получены ответы на ряд важных и конкретных вопросов, характеризующих тяговые возмож</w:t>
      </w:r>
      <w:r w:rsidRPr="00722885">
        <w:rPr>
          <w:rFonts w:ascii="Times New Roman" w:hAnsi="Times New Roman"/>
          <w:color w:val="000000" w:themeColor="text1"/>
          <w:sz w:val="16"/>
          <w:szCs w:val="16"/>
        </w:rPr>
        <w:softHyphen/>
        <w:t>ности, проходимость и технико-экономические показатели испытанных машин.</w:t>
      </w:r>
    </w:p>
    <w:p w14:paraId="6A452B4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Ряд полученных данных может быть использован как инструктивный материал для войсковых частей, использующих данные автомобили (например, указания, на каких передачах в главной и раз</w:t>
      </w:r>
      <w:r w:rsidRPr="00722885">
        <w:rPr>
          <w:rFonts w:ascii="Times New Roman" w:hAnsi="Times New Roman"/>
          <w:color w:val="000000" w:themeColor="text1"/>
          <w:sz w:val="16"/>
          <w:szCs w:val="16"/>
        </w:rPr>
        <w:softHyphen/>
        <w:t>даточной коробках преодолевались те или иные участки дорог, использование стального троса для извлечения буксируемых систем при их застревании на слабых грунтах и т. д.).</w:t>
      </w:r>
    </w:p>
    <w:p w14:paraId="7A9B0D8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Полученные в результате проведенных кратковременных испытаний данные следует рассма</w:t>
      </w:r>
      <w:r w:rsidRPr="00722885">
        <w:rPr>
          <w:rFonts w:ascii="Times New Roman" w:hAnsi="Times New Roman"/>
          <w:color w:val="000000" w:themeColor="text1"/>
          <w:sz w:val="16"/>
          <w:szCs w:val="16"/>
        </w:rPr>
        <w:softHyphen/>
        <w:t>тривать как предельные возможности испытанных машин, подлежащие уточнению в дальнейшей войсковой эксплуатации.</w:t>
      </w:r>
    </w:p>
    <w:p w14:paraId="2962C4BE"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5. Отмечается некоторая небрежность в исполнении части работы, относящейся к составлению технических характеристик машин.</w:t>
      </w:r>
    </w:p>
    <w:p w14:paraId="4D2278A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Необходимо проведение дополнительных испытаний по специальной программе для выявле</w:t>
      </w:r>
      <w:r w:rsidRPr="00722885">
        <w:rPr>
          <w:rFonts w:ascii="Times New Roman" w:hAnsi="Times New Roman"/>
          <w:color w:val="000000" w:themeColor="text1"/>
          <w:sz w:val="16"/>
          <w:szCs w:val="16"/>
        </w:rPr>
        <w:softHyphen/>
        <w:t>ния надежности работы агрегатов машин при буксировании ими систем весом до 3 тонн.</w:t>
      </w:r>
    </w:p>
    <w:p w14:paraId="3E7A768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 инженер 5 отдела АТУ ГАБТУ КА военинженер 3 ранга Хальфан</w:t>
      </w:r>
    </w:p>
    <w:p w14:paraId="7B22022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5 отдела АТУ ГАБТУ КА инженер-подполковник Лебедев</w:t>
      </w:r>
    </w:p>
    <w:p w14:paraId="62B9FF6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11386. Д. 138. Л. 117-119. Подлинник (11211).</w:t>
      </w:r>
    </w:p>
    <w:p w14:paraId="14877C2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1B8802B" w14:textId="77777777" w:rsidR="00C5464C" w:rsidRPr="00722885" w:rsidRDefault="00C5464C"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 xml:space="preserve">8 августа 1942 года были запущены работы по созданию "зенитной спаренной установки под 12,7-мм пулеметы ДШК, смонтированные в танках Т-60 и Т-70". Согласно тактико-техническим требованиям, появившимся чуть позже, предполагалось создать ЗСУ на базе Т-60, которая использовала бы конструкцию штатной башни </w:t>
      </w:r>
      <w:r w:rsidRPr="00722885">
        <w:rPr>
          <w:rFonts w:ascii="Times New Roman" w:eastAsia="Times New Roman" w:hAnsi="Times New Roman"/>
          <w:color w:val="0070C0"/>
          <w:sz w:val="16"/>
          <w:szCs w:val="16"/>
          <w:lang w:eastAsia="ru-RU"/>
        </w:rPr>
        <w:lastRenderedPageBreak/>
        <w:t>данного танка. Именно такой путь выбрал конструктор И.В. Савин, который возглавил создание Т-60-З и Т-70-З на заводе №37. ЗСУ на базе Т-70 он также создавал с использованием штатной башни танка, переделав ее под установку спарки пулеметов ДШКТ. Как показали испытания, прошедшие в первой половине декабря 1942 года, идея оказалась неправильной. Обе ЗСУ получились слишком тесными. Более удачной получилась конструкция Т-90, зенитной самоходной установки, созданной на ГАЗ им. Молотова. В.С. Соловьёв, ведущий инженер машины, выбрал путь создания новой башни и рационального использования ее внутреннего пространства. В результате именно Т-90 явно выбилась в фавориты. Казалось бы, самое время запускать Т-90 в серию, но в ГАБТУ КА посчитали иначе (21261).</w:t>
      </w:r>
    </w:p>
    <w:p w14:paraId="0E19BF2D" w14:textId="77777777" w:rsidR="00C5464C" w:rsidRPr="00722885" w:rsidRDefault="00C5464C"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2CB3331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 вышло Постановление ГКО № 2160 Об изготовлении опытной партии броненагрудников. РГАНИР, Фонд ГКО, д. 51, лл. 1 (11012).</w:t>
      </w:r>
    </w:p>
    <w:p w14:paraId="71BCFA4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9D9B9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 вышло Постановление ГКО № 2161 О восстановлении и развитии заводов электровакуумной промышленности Наркомэлектропрома. РГАНИР, Фонд ГКО, д. 51, лл. 3-15, 16-25 (11012).</w:t>
      </w:r>
    </w:p>
    <w:p w14:paraId="30B02E9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1F72A2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8 августа 1942 вышло Постановление ГКО № 2162 Об обеспечении производства войсковых радиостанций. (7049, 26-34,35-41).</w:t>
      </w:r>
    </w:p>
    <w:p w14:paraId="3218B37F" w14:textId="77777777" w:rsidR="00AE7191" w:rsidRPr="00722885" w:rsidRDefault="00AE7191" w:rsidP="00722885">
      <w:pPr>
        <w:pStyle w:val="Iauiue"/>
        <w:tabs>
          <w:tab w:val="left" w:pos="11199"/>
        </w:tabs>
        <w:jc w:val="both"/>
        <w:rPr>
          <w:color w:val="000000" w:themeColor="text1"/>
          <w:sz w:val="16"/>
          <w:szCs w:val="16"/>
        </w:rPr>
      </w:pPr>
    </w:p>
    <w:p w14:paraId="78AAD1E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8 августа 1942 вышло Постановление ГКО № 2163 О вводе в действие дополнительных мощностей по производству алюминия в 1942 г. (7049, 42-46,47-132).</w:t>
      </w:r>
    </w:p>
    <w:p w14:paraId="4C433853" w14:textId="77777777" w:rsidR="00AE7191" w:rsidRPr="00722885" w:rsidRDefault="00AE7191" w:rsidP="00722885">
      <w:pPr>
        <w:pStyle w:val="Iauiue"/>
        <w:tabs>
          <w:tab w:val="left" w:pos="11199"/>
        </w:tabs>
        <w:jc w:val="both"/>
        <w:rPr>
          <w:color w:val="000000" w:themeColor="text1"/>
          <w:sz w:val="16"/>
          <w:szCs w:val="16"/>
        </w:rPr>
      </w:pPr>
    </w:p>
    <w:p w14:paraId="49D4A4F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DCA59C5" w14:textId="77777777" w:rsidR="00AE7191" w:rsidRPr="00722885" w:rsidRDefault="00AE7191" w:rsidP="00722885">
      <w:pPr>
        <w:pStyle w:val="Iauiue"/>
        <w:jc w:val="both"/>
        <w:rPr>
          <w:iCs/>
          <w:color w:val="000000" w:themeColor="text1"/>
          <w:sz w:val="16"/>
          <w:szCs w:val="16"/>
        </w:rPr>
      </w:pPr>
    </w:p>
    <w:p w14:paraId="56E2CEEE"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в 1942 году утреннее сообщение Совинформбюро:</w:t>
      </w:r>
    </w:p>
    <w:p w14:paraId="56295DBF"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8 августа наши войска вели бои с противником в районах Клетская, севернее Котельниково, Армавир и южнее Кущевская.</w:t>
      </w:r>
    </w:p>
    <w:p w14:paraId="0BFE47B3"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3511534D"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в районе Клетской бойцы нашей части, перейдя в контратаку, заняли населённый пункт. Уничтожено 280 немецких солдат и офицеров. Сожжено 4 немецких танка и захвачены трофеи. На другом участке произошёл танковый бой. Советские танкисты уничтожили 11 танков противника. Н-ское соединение в ожесточенных боях с противником в течение трёх дней уничтожило свыше 1.500 гитлеровцев. Нашими бойцами огнём из пехотного оружия сбит немецкий самолёт «Юнкерс-88».</w:t>
      </w:r>
    </w:p>
    <w:p w14:paraId="74B5906E"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Армавира наши войска вели напряжённые оборонительные бои с танками и мотопехотой противника. В ходе боя с прорвавшейся группировкой противника уничтожено 17 немецких танков и 48 автомашин. Южнее Кущевской советские танкисты и кавалеристы разгромили два батальона немецкой пехоты.</w:t>
      </w:r>
    </w:p>
    <w:p w14:paraId="7472B588"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наши части, переправившиеся через Дон, заняли ещё несколько населённых пунктов. В одном из населённых пунктов была окружена и уничтожена венгерская пехотная часть. Захвачены трофеи и пленные. На соседнем участке наши бойцы истребили батальон гитлеровцев.</w:t>
      </w:r>
    </w:p>
    <w:p w14:paraId="6FAB200F"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происходили столкновения с небольшими отрядами противника.На одном из участков немцы атаковали наше боевое охранение, возглавляемое лейтенантом Шевалдиным. Атака противника была отбита. На поле боя гитлеровцы оставили 130 трупов солдат и офицеров. В числе убитых оказались два обер-лейтенанта и 6 фельдфебелей. Захвачены два миномёта, 2 пулемёта, автоматы и винтовки. Шесть советских лётчиков под руководством лейтенанта Симонова уничтожили 10 немецких танков и 25 автомашин с пехотой и боеприпасами.</w:t>
      </w:r>
    </w:p>
    <w:p w14:paraId="12F9D0D2"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местного значения. Подразделение части, где командиром тов. Яковлев, окружило просочившуюся в расположение наших войск группу противника численностью около 150 человек. Огнём из пулемётов гитлеровцы были рассеяны и за исключением нескольких человек, сдавшихся в плен, уничтожены.</w:t>
      </w:r>
    </w:p>
    <w:p w14:paraId="14CCB50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могилёвских партизан под командованием тов. К. за полтора месяца боевых действий истребил свыше тысячи немецко-фашистских оккупантов. За это же время партизаны пустили под откос 7 воинских эшелонов противника, взорвали танк и 5 автомашин с грузом.</w:t>
      </w:r>
    </w:p>
    <w:p w14:paraId="0C496B85"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в плен солдат 268 полка 113 немецкой пехотной дивизии Карл Т. рассказал: «За первые две недели боёв наш полк понёс тяжёлые потери в людях иматериальной части. Он лишился всей артиллерии». Далее пленный заявил: «По дороге на фронт я видел, как бесчинствуют немецкие военные власти, как они притесняют население оккупированных районов, издеваются над жителями. В селе Сосновка солдаты 42 немецкого запасного батальона отобрали у крестьян весь скот. Крестьяне, особенно женщины, потребовали вернуть им скот. Тогда по приказу начальника гарнизона солдаты схватили 60 человек крестьян, жестоко избили их и каждого третьего расстреляли. Мы проезжали много сёл. Везде я видел незасеянные поля. Лишь изредка попадались небольшие клочки засеянной земли. Лошадей в деревнях почти нет, а машин тем более. Эти жалкие полоски крестьяне обрабатывали с помощью лопат».</w:t>
      </w:r>
    </w:p>
    <w:p w14:paraId="77AE739A"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Немецкому солдату Вернеру пишет некая Эдит из Берлина: «Все больницы переполнены больными скарлатиной и дифтеритом. Ожидая врача, в приёмной видишьтак много несчастных людей, что просто страшно делается. Даже если есть угроза для жизни больного, его всё равно не принимают в больницу, потому что нет мест. Уже несколько дней в больницах идёт чистка. Больных безжалостно выгоняют. Родным заявили, что нужно разместить раненых солдат, прибывающих из России».</w:t>
      </w:r>
    </w:p>
    <w:p w14:paraId="7A95D42D"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Патриоты Чехословакии ни на один день не прекращают самоотверженной борьбы против гитлеровских захватчиков. Недавно был убит начальник гестапо Моравского округа. В цехах сталелитейного завода в Кладно только в июле произошло 6 аварий. В результате саботажа выпуск продукции на заводе снизился на 40 процентов.» (14977).</w:t>
      </w:r>
    </w:p>
    <w:p w14:paraId="60F9BEA7"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6813F3B1"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в 1942 году вечернее сообщение Совинформбюро:</w:t>
      </w:r>
    </w:p>
    <w:p w14:paraId="6078C423"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8 августа наши войска вели ожесточённые бои в районах Клетская, северо-восточнее Котельниково, а также в районах Армавир и Кропоткин.</w:t>
      </w:r>
    </w:p>
    <w:p w14:paraId="14094FB4"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44436FD3"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7 августа частями нашей авиации на различных участках фронта уничтожено или повреждено до 30 немецких танков, 150 автомашин с войсками и грузами, свыше 80 повозок с боеприпасами, подавлен огонь 10 батарей полевой и зенитной артиллерии, взорвано 5 складов боеприпасов, разбит железнодорожный состав, рассеяно и частью уничтожено до трёх батальонов пехоты и эскадрон конницы противника.</w:t>
      </w:r>
    </w:p>
    <w:p w14:paraId="6A25DDC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упорную борьбу против немецко-фашистских войск. Противник, стремясь вернуть занятый нашей частью населённый пункт, предпринял несколько контратак. Потеряв 7 танков и свыше 600 солдат и офицеров, гитлеровцы отступили на исходные позиции. Ожесточённые бои продолжались южнее Клетской. На одном узком участке гитлеровцы сосредоточили и бросили в атаку свыше сотни танков. В течение дня наши пехотинцы и артиллеристы отражали танковую атаку и нанесли неприятелю большие потери. Лишь около населённого пункта О. после упорного боя наша часть отошла на новые позиции.</w:t>
      </w:r>
    </w:p>
    <w:p w14:paraId="49B9D2E4"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продолжались бои с танками и автоматчиками противника, вклинившимися в нашу оборону. Бои происходили спеременным успехом.</w:t>
      </w:r>
    </w:p>
    <w:p w14:paraId="78DC461F"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Армавира наши войска вели напряжённые оборонительные бои с танками и мотопехотой противника. На отдельных участках наши части предприняли ряд контратак, истребив несколько сот немцев. На участке Н-ского соединения после ожесточённого боя, в ходе которого уничтожено 14 танков и до 500 солдат и офицеров противника, наши части отошли на новые оборонительные рубежи. Отбивая атаки гитлеровцев, донские и кубанские казаки наносят противнику большой урон. Только одна казачья часть за сутки порубила свыше 400 гитлеровцев.</w:t>
      </w:r>
    </w:p>
    <w:p w14:paraId="357B1689"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гитлеровцы, подтянув резервы, безуспешно пытались вернуть ряд населённых пунктов, на днях занятых нашими частями. В ходе этих боёв противник понёс новые большие потери в живой силе. Кроме того, нашими бойцами захвачено до 50 полевых орудий.</w:t>
      </w:r>
    </w:p>
    <w:p w14:paraId="4E1C6899"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Волховском фронте происходили бои местного значения. Наша часть заняла один завод, который гитлеровцы превратили в укреплённый пункт. В этом бою уничтожено до 300 немецких солдат и офицеров. На другом участке советские танки внезапно атаковали батальон противника и нанесли ему серьёзные потери. Взяты пленные.</w:t>
      </w:r>
    </w:p>
    <w:p w14:paraId="32E5A5D3"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уже сообщалось ранее, части Ленинградского фронта за последние дни выбили противника из двух укреплённых населённых пунктов. В этих боях немцы потеряли только убитыми свыше 900 солдат и офицеров. Наши части захватили 14 орудий разных калибров, 34 пулемёта, 13 миномётов, 28 автоматов, свыше 5.000 мин, до 100.000 патронов, радиостанцию и другое военное имущество.</w:t>
      </w:r>
    </w:p>
    <w:p w14:paraId="2F176D3D"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Партизанские отряды, действующие в оккупированных районах Ленинградской области, за последние три дня пустили под откос 5 железнодорожных эшелонов неприятеля. Разбито около 60 вагонов с боеприпасами и техникой. Много вагонов повреждено и выведено из строя.»</w:t>
      </w:r>
    </w:p>
    <w:p w14:paraId="30C691FB"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акта о чудовищных зверствах немецко-фашистскихзахватчиков над пленными красноармейцами:</w:t>
      </w:r>
    </w:p>
    <w:p w14:paraId="4CDB155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занятии нашими войсками деревни Ивановка, Курской области, были обнаружены 30 трупов красноармейцев, замученных гитлеровцами. Личности погибших установить не удалось. Трупы носят следы самых зверских пыток. Многим пленным красноармейцам немцы вывернули и обрубили руки. После всего этого фашистские мерзавцы облили свои жертвы горючей жидкостью и заживо сожгли». Акт подписали: лейтенант Шеховцев, старший политрук Соколкин, военврач 3 ранга Циммер, политрук Курочкин.»</w:t>
      </w:r>
    </w:p>
    <w:p w14:paraId="0BCE6534"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«Станкоконструкция», завоевавший в июле переходящее Красное Знамя Государственного Комитета Обороны, выпустил агрегатные станки. Каждый такой станок заменяет четыре больших токарных станка. Конструирование станков было проведено под руководством лауреата Сталинской премии В.И.Дикушина. Коллектив завода за два с половиной месяца провёл работу, на которую обычно затрачивалось не менее 8—10 месяцев.» (14977).</w:t>
      </w:r>
    </w:p>
    <w:p w14:paraId="080D3105"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7D1E37F9"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8 августа в 1942 году была сформирована 16-я воздушная армия, начавшая свой боевой путь в сентябре на сталинградском направлении. В 1943 г. Принимала участие в Курской битве, в 1944 г. была задействована в освобождении Белоруссии и восточных районов Польши, принимала участие в битве за Берлин. Летчики армии совершили около 280 тысяч самолето-вылетов, 30 соединений и частей стали гвардейскими; более 200 человек удостоены звания Героя Советского Союза, летчики В.М.Голубев, А.Е.Боровых, Е.Я.Савицкий удостоены этого звания дважды, а И.Н.Кожедуб - трижды. В июне 1998 г. была расформирована и преобразована в 16-й смешанный авиакорпус. Возрождена указом Президента Российской Федерации от 2 февраля 2002 г. В настоящее время входит в состав Московского округа ВВС и ПВО</w:t>
      </w:r>
    </w:p>
    <w:p w14:paraId="0B563D47"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06797C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один из дней 8-11 августа 1942 8 Ил-2 228 шад при ударе по аэродрому Обливская вывели из строя 40 самолетов из 90, находившихся там (341,101).</w:t>
      </w:r>
    </w:p>
    <w:p w14:paraId="7DBC2E6D" w14:textId="77777777" w:rsidR="00AE7191" w:rsidRPr="00722885" w:rsidRDefault="00AE7191" w:rsidP="00722885">
      <w:pPr>
        <w:pStyle w:val="Iauiue"/>
        <w:jc w:val="both"/>
        <w:rPr>
          <w:color w:val="000000" w:themeColor="text1"/>
          <w:sz w:val="16"/>
          <w:szCs w:val="16"/>
        </w:rPr>
      </w:pPr>
    </w:p>
    <w:p w14:paraId="3B591C97" w14:textId="77777777" w:rsidR="00C5464C" w:rsidRPr="00722885" w:rsidRDefault="00C546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ночь с 7 на 8 августа 1942 полк бомбил аэро</w:t>
      </w:r>
      <w:r w:rsidRPr="00722885">
        <w:rPr>
          <w:rFonts w:ascii="Times New Roman" w:hAnsi="Times New Roman"/>
          <w:color w:val="0070C0"/>
          <w:sz w:val="16"/>
          <w:szCs w:val="16"/>
        </w:rPr>
        <w:softHyphen/>
        <w:t>дром Смоленск, железнодорожный узел Вязьма и г. Гжатск. Самолет №42066, коман</w:t>
      </w:r>
      <w:r w:rsidRPr="00722885">
        <w:rPr>
          <w:rFonts w:ascii="Times New Roman" w:hAnsi="Times New Roman"/>
          <w:color w:val="0070C0"/>
          <w:sz w:val="16"/>
          <w:szCs w:val="16"/>
        </w:rPr>
        <w:softHyphen/>
        <w:t>дир корабля Пусэп, получил две пробоины: одну в капот мотора, вторую в носовой фонарь. Следующей ночью с 8 на 9 полк бом</w:t>
      </w:r>
      <w:r w:rsidRPr="00722885">
        <w:rPr>
          <w:rFonts w:ascii="Times New Roman" w:hAnsi="Times New Roman"/>
          <w:color w:val="0070C0"/>
          <w:sz w:val="16"/>
          <w:szCs w:val="16"/>
        </w:rPr>
        <w:softHyphen/>
        <w:t>бардировал основную цель аэродром Смо</w:t>
      </w:r>
      <w:r w:rsidRPr="00722885">
        <w:rPr>
          <w:rFonts w:ascii="Times New Roman" w:hAnsi="Times New Roman"/>
          <w:color w:val="0070C0"/>
          <w:sz w:val="16"/>
          <w:szCs w:val="16"/>
        </w:rPr>
        <w:softHyphen/>
        <w:t>ленск и железнодорожный узел Смоленск. ТБ-7 №42066 получил три пробоины, отказал автопилот (19936).</w:t>
      </w:r>
    </w:p>
    <w:p w14:paraId="64AAAD96" w14:textId="77777777" w:rsidR="00C5464C" w:rsidRPr="00722885" w:rsidRDefault="00C5464C" w:rsidP="00722885">
      <w:pPr>
        <w:spacing w:after="0" w:line="240" w:lineRule="auto"/>
        <w:jc w:val="both"/>
        <w:rPr>
          <w:rFonts w:ascii="Times New Roman" w:hAnsi="Times New Roman"/>
          <w:color w:val="0070C0"/>
          <w:sz w:val="16"/>
          <w:szCs w:val="16"/>
        </w:rPr>
      </w:pPr>
    </w:p>
    <w:p w14:paraId="02D24071" w14:textId="77777777" w:rsidR="00C5464C" w:rsidRPr="00722885" w:rsidRDefault="00C5464C" w:rsidP="00722885">
      <w:pPr>
        <w:pStyle w:val="7f"/>
        <w:shd w:val="clear" w:color="auto" w:fill="auto"/>
        <w:spacing w:after="0" w:line="240" w:lineRule="auto"/>
        <w:rPr>
          <w:rFonts w:ascii="Times New Roman" w:hAnsi="Times New Roman" w:cs="Times New Roman"/>
          <w:color w:val="0070C0"/>
          <w:spacing w:val="0"/>
          <w:sz w:val="16"/>
          <w:szCs w:val="16"/>
        </w:rPr>
      </w:pPr>
      <w:r w:rsidRPr="00722885">
        <w:rPr>
          <w:rFonts w:ascii="Times New Roman" w:hAnsi="Times New Roman" w:cs="Times New Roman"/>
          <w:color w:val="0070C0"/>
          <w:spacing w:val="0"/>
          <w:sz w:val="16"/>
          <w:szCs w:val="16"/>
        </w:rPr>
        <w:t>8 августа 1942 г. из-за ошибки лет</w:t>
      </w:r>
      <w:r w:rsidRPr="00722885">
        <w:rPr>
          <w:rFonts w:ascii="Times New Roman" w:hAnsi="Times New Roman" w:cs="Times New Roman"/>
          <w:color w:val="0070C0"/>
          <w:spacing w:val="0"/>
          <w:sz w:val="16"/>
          <w:szCs w:val="16"/>
        </w:rPr>
        <w:softHyphen/>
        <w:t>чика при взлете в Геленджикской бухте летающая лодка МТБ-2 не смогла набрать вы</w:t>
      </w:r>
      <w:r w:rsidRPr="00722885">
        <w:rPr>
          <w:rFonts w:ascii="Times New Roman" w:hAnsi="Times New Roman" w:cs="Times New Roman"/>
          <w:color w:val="0070C0"/>
          <w:spacing w:val="0"/>
          <w:sz w:val="16"/>
          <w:szCs w:val="16"/>
        </w:rPr>
        <w:softHyphen/>
        <w:t>соту и разбилась. В катастрофе уце</w:t>
      </w:r>
      <w:r w:rsidRPr="00722885">
        <w:rPr>
          <w:rFonts w:ascii="Times New Roman" w:hAnsi="Times New Roman" w:cs="Times New Roman"/>
          <w:color w:val="0070C0"/>
          <w:spacing w:val="0"/>
          <w:sz w:val="16"/>
          <w:szCs w:val="16"/>
        </w:rPr>
        <w:softHyphen/>
        <w:t>лел только пилот капитан Н.А.Наумов. Остальные члены экипажа: штурман звена капитан Иван Павлович Грязных, второй пилот старший лейтенант Ми</w:t>
      </w:r>
      <w:r w:rsidRPr="00722885">
        <w:rPr>
          <w:rFonts w:ascii="Times New Roman" w:hAnsi="Times New Roman" w:cs="Times New Roman"/>
          <w:color w:val="0070C0"/>
          <w:spacing w:val="0"/>
          <w:sz w:val="16"/>
          <w:szCs w:val="16"/>
        </w:rPr>
        <w:softHyphen/>
        <w:t>хаил Андреевич Чибряков, бортмеханик старший техник-лейтенант Александр Андреевич Чайка, воздушный стрелок- радист младший командир запаса Афа</w:t>
      </w:r>
      <w:r w:rsidRPr="00722885">
        <w:rPr>
          <w:rFonts w:ascii="Times New Roman" w:hAnsi="Times New Roman" w:cs="Times New Roman"/>
          <w:color w:val="0070C0"/>
          <w:spacing w:val="0"/>
          <w:sz w:val="16"/>
          <w:szCs w:val="16"/>
        </w:rPr>
        <w:softHyphen/>
        <w:t>насий Ульянович Кашпор, воздушный стрелок-бомбардир старший сержант Михаил Михайлович Дубинка и меха</w:t>
      </w:r>
      <w:r w:rsidRPr="00722885">
        <w:rPr>
          <w:rFonts w:ascii="Times New Roman" w:hAnsi="Times New Roman" w:cs="Times New Roman"/>
          <w:color w:val="0070C0"/>
          <w:spacing w:val="0"/>
          <w:sz w:val="16"/>
          <w:szCs w:val="16"/>
        </w:rPr>
        <w:softHyphen/>
        <w:t>ник по радиосвязи техник-лейтенант Ни</w:t>
      </w:r>
      <w:r w:rsidRPr="00722885">
        <w:rPr>
          <w:rFonts w:ascii="Times New Roman" w:hAnsi="Times New Roman" w:cs="Times New Roman"/>
          <w:color w:val="0070C0"/>
          <w:spacing w:val="0"/>
          <w:sz w:val="16"/>
          <w:szCs w:val="16"/>
        </w:rPr>
        <w:softHyphen/>
        <w:t>колай Константинович Назаров - погибли. Имеющая хождение в отечествен</w:t>
      </w:r>
      <w:r w:rsidRPr="00722885">
        <w:rPr>
          <w:rFonts w:ascii="Times New Roman" w:hAnsi="Times New Roman" w:cs="Times New Roman"/>
          <w:color w:val="0070C0"/>
          <w:spacing w:val="0"/>
          <w:sz w:val="16"/>
          <w:szCs w:val="16"/>
        </w:rPr>
        <w:softHyphen/>
        <w:t>ной литературе версия атаки немецкого истребителя не имеет под собой ника</w:t>
      </w:r>
      <w:r w:rsidRPr="00722885">
        <w:rPr>
          <w:rFonts w:ascii="Times New Roman" w:hAnsi="Times New Roman" w:cs="Times New Roman"/>
          <w:color w:val="0070C0"/>
          <w:spacing w:val="0"/>
          <w:sz w:val="16"/>
          <w:szCs w:val="16"/>
        </w:rPr>
        <w:softHyphen/>
        <w:t>ких оснований (19852).</w:t>
      </w:r>
    </w:p>
    <w:p w14:paraId="56FEE692" w14:textId="77777777" w:rsidR="00C5464C" w:rsidRPr="00722885" w:rsidRDefault="00C5464C" w:rsidP="00722885">
      <w:pPr>
        <w:pStyle w:val="7f"/>
        <w:shd w:val="clear" w:color="auto" w:fill="auto"/>
        <w:spacing w:after="0" w:line="240" w:lineRule="auto"/>
        <w:rPr>
          <w:rFonts w:ascii="Times New Roman" w:hAnsi="Times New Roman" w:cs="Times New Roman"/>
          <w:color w:val="0070C0"/>
          <w:spacing w:val="0"/>
          <w:sz w:val="16"/>
          <w:szCs w:val="16"/>
        </w:rPr>
      </w:pPr>
    </w:p>
    <w:p w14:paraId="374E00D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8 августа 1942 за № 0217 утверждены:</w:t>
      </w:r>
    </w:p>
    <w:p w14:paraId="4683DC1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КОМАНДУЮЩИМ ВОЕННО-ВОЗДУШНЫМИ СИЛАМИ АРМИЙ, КОМАНДИРАМ 47-й, 46-й, 43-й, 23-й и 31-й АВИАЦИОННЫХ ДИВИЗИЙ, КОМАНДИРАМ 1-го ТЯЖЕЛОГО АВИАЦИОННОГО ПОЛКА, 314-го ОТДЕЛЬНОГО РАЗВЕДЫВАТЕЛЬНОГО АВИАЦИОННОГО ПОЛКА, 39-й РАЗВЕДЫВАТЕЛЬНОЙ АВИАЦИОННОЙ ЭСКАДРИЛЬИ</w:t>
      </w:r>
    </w:p>
    <w:p w14:paraId="4B9FA5A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УКАЗАНИЯ</w:t>
      </w:r>
    </w:p>
    <w:p w14:paraId="46A34AE4"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ПО ИСПОЛЬЗОВАНИЮ ВОЕННО-ВОЗДУШНЫХ СИЛ ВО ВЗАИМОДЕЙСТВИИ С НАЗЕМНЫМИ ВОЙСКАМИ В ОБЩЕВОЙСКОВОМ БОЮ</w:t>
      </w:r>
    </w:p>
    <w:p w14:paraId="017CE86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Итоги боевых действий военно-воздушных сил Западного фронта за период с 26.7 по 31.7 показали, что части не сумели достигнуть должного взаимодействия с войсками в общевойсковом бою и тем самым не смогли своими усилиями эффективно влиять на его исход и в достаточной степени облегчить положение наземных войск. Как правило, организация боевых действий авиации не обеспечивает полностью взаимодействия с наземными войсками. Наша авиация до сего времени действует без полного учета конкретных запросов войск, будучи слабо с ними связана. несмотря на то, что авиационные дивизии и авиационные группы приданы для обеспечения действий определенных армий и армейских групп.</w:t>
      </w:r>
    </w:p>
    <w:p w14:paraId="2FEC1CD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Основными недостатками в работе частей военно-воздушных сил Западного фронта, отрицательно влияющими на тесное и эффективное взаимодействие в общевойсковом бою, считаю:</w:t>
      </w:r>
    </w:p>
    <w:p w14:paraId="101A6BA0"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 Части военно-воздушных сил действуют с основных базовых аэродромов, удаленных на 80 - 100 км от линии фронта, что сильно удлиняет время с момента постановки задачи до удара по цели; уменьшает радиус действий авиации, особенно истребителей, у которых часто время нахождения и боевых действий в районе цели сокращается до 15 - 20 минут. Такой малый отрезок времени не может обеспечить должного прикрытия истребителями ни войск, ни наших бомбардировщиков, ни разведчиков поля боя. При всей ненормальности такого положения командиры авиационных соединений и частей неохотно идут на приближение своих авиационных частей к линии фронта, мотивируя это трудностями организации связи, управления, материального обеспечения и прямо боязнью быть уничтоженными авиацией противника на земле.</w:t>
      </w:r>
    </w:p>
    <w:p w14:paraId="609F951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С 28.7.41 г. согласно моему приказу группы 47-й смешанной авиационной дивизии, 43-й истребительной авиационной дивизии и Зотова взаимодействующие с войсками, были переброшены для ведения боевых действий на передовые площадки: Мартынишино, Кулешовка, Богдановщина, отстоящие от линии фронта на 30 - 40км (что также очень далеко). Эти группы обеспечили хорошее взаимодействие с наземными войсками.</w:t>
      </w:r>
    </w:p>
    <w:p w14:paraId="652802F0"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Следует учитывать, что противник, взаимодействуя с войсками, как правило, производит полеты исключительно с аэродромов, расположенных в непосредственной близости от линии фронта.</w:t>
      </w:r>
    </w:p>
    <w:p w14:paraId="4B05965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 Вторым крупным нашим недочетом является то, что командиры авиационных соединений не имеют и не стремятся иметь постоянный личный контакт с командирами общевойсковых соединений. Командиры авиационных дивизий или их заместители не бывают и не считают нужным бывать на командных пунктах общевойсковых командиров в периоды тесного тактического взаимодействия авиации с наземными войсками.</w:t>
      </w:r>
    </w:p>
    <w:p w14:paraId="306569B0"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Поэтому командиры авиационных соединений, как правило,ставязадачу на вылет подразделения, сами детально не знают обстановки на фронте. Не располагают точными данными, где и к какому часу проходила линия фронта, о положении и задачах своих войск и положении противника. Отсюда постановка задач бывает общей (“действовать по району”), что дает очень слабый боевой эффект.</w:t>
      </w:r>
    </w:p>
    <w:p w14:paraId="3D9455D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Следует помнить, что хороший авиационный удар по противнику в интересах наземных войск будет достигнут лишь в том случае, если он будет четко согласован по месту и времени. Между тем из-за того, что на командных пунктах общевойсковых командиров нет представителей от авиации, происходит исключительно нетерпимая задержка передачи боевых распоряжений, исходящих от командования наземных войск для авиации, выражающаяся временем от трех часов до суток и даже более, Такое положение явно исключает всякую возможность согласованных действий авиации и наземных войск.</w:t>
      </w:r>
    </w:p>
    <w:p w14:paraId="7EAEB95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Опыт показывает, что наличие авторитетных представителей от авиации (командира или его заместителя) на командном пункте общевойскового командира дает весьма положительный результат. Так, например, с 28.7 моим приказом командиры авиационных дивизий с начальниками связи и рациями были высланы на командные пункты групп Рокоссовского и Калинина, а авиация перебазирована на передовые площадки: Мартынишино, Кулешовка, Богдановщина. Удалось полностью и быстро ликвидировать наметившийся прорыв танков противника 30.7.41 г. на участке: Ветлицы, Устье. Удар авиации наносился точно по указанной цели. Время от момента постановки задач общевойсковым командиром до удара авиации занимало не более 30 минут (что в современных условиях надо считать слишком большим и его можно значительно сократить).</w:t>
      </w:r>
    </w:p>
    <w:p w14:paraId="1009A92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3. Следующим крупным недочетом в действиях военно-воздушных сил необходимо считать исключительно слабое использование радиосвязи. Авиационные штабы не занимаются совместно с общевойсковыми штабами вопросами выработки общих кодовых таблиц, общей кодировки карт, отработкой коротких командных радиосигналов и сигналов целеуказаний. Слабой же работой штабов и отсутствием личного контакта между командирами взаимодействующих авиационных и общевойсковых соединений объясняется плохое знание войсками типов наших самолетов, опознавательных сигналов авиации и неприменение войсками своих опознавательных сигналов.</w:t>
      </w:r>
    </w:p>
    <w:p w14:paraId="5DAA458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4. В тактике действий авиационных частей отмечаются крупные недостатки. Наиболее яркие из них следующие: выбор бомб для поражения цели производится без достаточного учета объекта удара и цели действий, что в значительной степени снижает эффективность удара, а иногда и просто не дает никакого результата. На аэродромах не имеется комбинированных боевых комплектов бомб, что часто задерживает вылеты. (Например, в 47-й смешанной авиационной дивизии по этой причине был задержан вылет бомбардировочной группы на 3 часа.) Выход на цель часто производится прямо без маневра; бомбы подчас сбрасываются по площади и не отыскиваются важные цели. После сбрасывания бомб экипажи стараются скорее уйти, плохо наблюдая результаты бомбометания.</w:t>
      </w:r>
    </w:p>
    <w:p w14:paraId="683962FE"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При заходе на цель слабо используется обстановка для маскировки и для маневра. В частности мало практикуется как маневр для маскировки заход на цель со стороны солнца. Неумело используется для маскировки облачность.</w:t>
      </w:r>
    </w:p>
    <w:p w14:paraId="7C979126"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Особенно неумело применяются штурмовики (Ил-2), которые, боясь поражения, неразумно подчас используют бреющий полет на всем маршруте, в результате чего бывают потери ориентировки и невыполнение задания. Во многих соединениях при атаке противника часто повторяются одни и те же приемы, что облегчает противодействие с его стороны. Необходимо способы атаки противника разнообразить, не повторяя их. Необходимо изменять маршруты следования к цели и обратно и менять высоты.</w:t>
      </w:r>
    </w:p>
    <w:p w14:paraId="5DA847B4"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5. Мало четкости в работе и слаба требовательность командиров авиационных соединений и частей, следствием чего бывают частые случаи потери ориентировки, вынужденные посадки, поломки и катастрофы, невозвращение на свои аэродромы.</w:t>
      </w:r>
    </w:p>
    <w:p w14:paraId="1BD3A99F"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Молодой летный состав, слабо ознакомленный с районом действий, выпускается в полет без достаточной подготовки к нему. Часто не указывается командиру вылетающей группы маршрут полета. Маршрут полета летным составом полностью не отрабатывается, характерные ориентиры для восстановления ориентировки не указываются и не изучаются. Неумело втягивается в боевые действия молодой летный состав. Им не передается в достаточной мере опыт летчиков, имеющих большое количество боевых вылетов.</w:t>
      </w:r>
    </w:p>
    <w:p w14:paraId="221EFB73"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 целях улучшения взаимодействия авиации с войсками для повышения боевой эффективности действий нашей авиации и уменьшения потерь как боевых, так и не боевых, командующим военно-воздушными силами армий, командирам авиационных дивизий и авиационных полков немедленно устранить отмеченные недостатки и принять к руководству следующие мероприятия:</w:t>
      </w:r>
    </w:p>
    <w:p w14:paraId="19A1379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 xml:space="preserve">1. Для сокращения времени от постановки задач до удара по цели в дальнейшем боевые действия авиации при взаимодействии с войсками проводить с передовых </w:t>
      </w:r>
      <w:r w:rsidRPr="00722885">
        <w:rPr>
          <w:color w:val="000000" w:themeColor="text1"/>
          <w:sz w:val="16"/>
          <w:szCs w:val="16"/>
        </w:rPr>
        <w:lastRenderedPageBreak/>
        <w:t>площадок. На площадки следует выделять небольшие группы бомбардировщиков и штурмовиков с одним - двумя звеньями истребителей для прикрытия площадок и действий бомбардировщиков и штурмовиков. Площадки должны быть в удалении 15 - 20 км от линии фронта. Командиры авиационных соединений и командующие военно-воздушными силами армий должны подготовить в районе действий своих частей запасные площадки дли маневра. На площадках самолеты должны быть тщательно замаскированы, рассредоточены и расставлены так, чтобы можно было всегда немедленно взлететь с места по боевой тревоге. На площадках должно быть организовано постоянное наблюдениезавоздухом средствами самих частей. Площадки должны иметь связь с основным аэродромом и с командными пунктами общевойсковых соединений. Основной вид связи — радио.</w:t>
      </w:r>
    </w:p>
    <w:p w14:paraId="58DE099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На основных аэродромах необходимо бомбардировщики базировать совместно с истребителями. Аэродромы истребительных частей должны располагаться впереди аэродромов штурмовиков и бомбардировщиков.</w:t>
      </w:r>
    </w:p>
    <w:p w14:paraId="592219F4"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 На командные пункты командиров общевойсковых соединений необходимо выезжать самим командирам соединений или их заместителям с начальниками связи, с одним из оперативных работников и с рацией. Организуя взаимодействие, штабы авиационных дивизий совместносо штабами обслуживаемых общевойсковых соединений должны каждый раз для данной операции отрабатывать и устанавливать общую кодированную карту, кодовую таблицу, командные сигналы и сигналы целеуказаний.</w:t>
      </w:r>
    </w:p>
    <w:p w14:paraId="0C4A7F68"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Особое внимание должно быть уделено вопросу обозначения положения своих передовых частей наземных войск. Для быстрого вызова авиации на поле боя необходимо разработать командные радиосигналы. Кроме того, для уточнения задачи целесообразно организовать вблизи командного пункта контрольно-пропускной пункт с постом воздушной связи (ПВС), на котором при помощи полотнища “попхема” или сигнальных полотнищ можно было бы уточнить положение цели к моменту удара бомбардировщиков.</w:t>
      </w:r>
    </w:p>
    <w:p w14:paraId="2106837D"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3. Бомбардировочные группы, вылетающие на задание, должны короткой кодовой фразой по радио сообщить на командный пункт время своего взлета. По получении этого сообщения с командного пункта общевойскового командира должно быть немедленно передано на командные пункты передовых батальонов распоряжение — обозначить себя при появлении наших самолетов.</w:t>
      </w:r>
    </w:p>
    <w:p w14:paraId="11EF098F"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4. Повысить требовательность и четкость в организации как всей боевой деятельности, так и отдельных боевых вылетов. Боевые вылеты бомбардировщиков и штурмовиков необходимо прикрывать истребителями. КАТЕГОРИЧЕСКИ ЗАПРЕТИТЬ повторение полетов по одному и тому же маршруту. Возвращение от цели и каждый следующий полет должны быть по новому маршруту. Необходимо тщательно продумывать организацию взаимодействия бомбардировщиков и штурмовиков с истребителями. Как правило, встреча бомбардировщиков и штурмовиков с истребителями должна проводиться по зрячему над аэродромом истребителей, на точно указанной высоте и в точно указанное время. При организации встречи в районе цели истребителям необходимо указывать точное место, время и высоту появления бомбардировщиков над целью. Причем бомбардировщики должны фактическое время и количество взлетевших бомбардировщиков немедленно сообщать радиосигналом на аэродром истребителей. Необходимо потребовать от всего летного состава тщательного изучения района своих действий. Запретить вылеты экипажей, не изучивших район действий, рассматривая такие вылеты, как невыполнение боевой задачи. Штурманам частей и соединений установить тщательный контроль за изучением летным составом района действий и за соблюдением правил навигационно-штурманской службы.</w:t>
      </w:r>
    </w:p>
    <w:p w14:paraId="1A4E80CD"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Командиры авиационных полков должны указывать командирам групп, вылетающих на боевое задание, ось маршрута полета с указанием ориентиров для быстрого восстановления ориентировки. Летный состав должен изучить маршрут в такой степени, чтобы на память знать ориентиры по маршруту и у цели, знать курсы и расстояние от них до цели и до своего аэродрома.</w:t>
      </w:r>
    </w:p>
    <w:p w14:paraId="50B007BF"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5. Особенно тщательное изучение района действий должно быть организовано в частях штурмовой авиации. При выборе маршрута для штурмовиков необходимо указывать надежные линейные ориентиры справа и слева полосы полета, должны указываться надежные опорные ориентиры, с какой высоты и как выглядят они, курсовые углы и расстояния от них до цели, до своего и ближайшего аэродрома. Штурмовикам обязательно указывать, кроме оси маршрута, и профиль полета. Молодой летный состав штурмовых частей, не изучивший твердорайона боевых действий, ни в коем случае не допускать к бреющим начетам, а давать высоту полета по маршруту 400 - 500 м, сопровождаяих лидером и истребителями.</w:t>
      </w:r>
    </w:p>
    <w:p w14:paraId="0C260AF9"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6. Для уменьшения небоевых потерь на земле повысить ответственность командиров всех степеней за ввод в строй молодого летного состава. В этих целях необходимо в первые боевые вылеты молодой летный состав назначать так, чтобы в составе группы было большинство летчиков, имеющих боевой опыт. В тех же частях, где мало старого летного состава, молодых летчиков нужно допускать к боевым действиям под руководством наиболее опытных командиров звеньев и эскадрилий ().</w:t>
      </w:r>
    </w:p>
    <w:p w14:paraId="2A7FAB1B" w14:textId="77777777" w:rsidR="00AE7191" w:rsidRPr="00722885" w:rsidRDefault="00AE7191" w:rsidP="00722885">
      <w:pPr>
        <w:pStyle w:val="Iauiue"/>
        <w:tabs>
          <w:tab w:val="left" w:pos="11199"/>
        </w:tabs>
        <w:jc w:val="both"/>
        <w:rPr>
          <w:rStyle w:val="a7"/>
          <w:b w:val="0"/>
          <w:bCs w:val="0"/>
          <w:color w:val="000000" w:themeColor="text1"/>
          <w:sz w:val="16"/>
          <w:szCs w:val="16"/>
        </w:rPr>
      </w:pPr>
      <w:r w:rsidRPr="00722885">
        <w:rPr>
          <w:rStyle w:val="a7"/>
          <w:b w:val="0"/>
          <w:bCs w:val="0"/>
          <w:color w:val="000000" w:themeColor="text1"/>
          <w:sz w:val="16"/>
          <w:szCs w:val="16"/>
        </w:rPr>
        <w:t>Командующий военно-воздушными силами Западного фронта полковник НАУМЕНКО</w:t>
      </w:r>
    </w:p>
    <w:p w14:paraId="7ED3EA92" w14:textId="77777777" w:rsidR="00AE7191" w:rsidRPr="00722885" w:rsidRDefault="00AE7191" w:rsidP="00722885">
      <w:pPr>
        <w:pStyle w:val="Iauiue"/>
        <w:tabs>
          <w:tab w:val="left" w:pos="11199"/>
        </w:tabs>
        <w:jc w:val="both"/>
        <w:rPr>
          <w:rStyle w:val="a7"/>
          <w:b w:val="0"/>
          <w:bCs w:val="0"/>
          <w:color w:val="000000" w:themeColor="text1"/>
          <w:sz w:val="16"/>
          <w:szCs w:val="16"/>
        </w:rPr>
      </w:pPr>
      <w:r w:rsidRPr="00722885">
        <w:rPr>
          <w:rStyle w:val="a7"/>
          <w:b w:val="0"/>
          <w:bCs w:val="0"/>
          <w:color w:val="000000" w:themeColor="text1"/>
          <w:sz w:val="16"/>
          <w:szCs w:val="16"/>
        </w:rPr>
        <w:t>Военный комиссар военно-воздушных сил Западного фронта бригадный комиссар КЛОКОВ</w:t>
      </w:r>
    </w:p>
    <w:p w14:paraId="22DAD2FC" w14:textId="77777777" w:rsidR="00AE7191" w:rsidRPr="00722885" w:rsidRDefault="00AE7191" w:rsidP="00722885">
      <w:pPr>
        <w:pStyle w:val="Iauiue"/>
        <w:tabs>
          <w:tab w:val="left" w:pos="11199"/>
        </w:tabs>
        <w:jc w:val="both"/>
        <w:rPr>
          <w:rStyle w:val="a7"/>
          <w:b w:val="0"/>
          <w:bCs w:val="0"/>
          <w:color w:val="000000" w:themeColor="text1"/>
          <w:sz w:val="16"/>
          <w:szCs w:val="16"/>
        </w:rPr>
      </w:pPr>
      <w:r w:rsidRPr="00722885">
        <w:rPr>
          <w:rStyle w:val="a7"/>
          <w:b w:val="0"/>
          <w:bCs w:val="0"/>
          <w:color w:val="000000" w:themeColor="text1"/>
          <w:sz w:val="16"/>
          <w:szCs w:val="16"/>
        </w:rPr>
        <w:t>Начальник штаба военно-воздушных сил Западного фронта полковник ХУДЯКОВ (4964).</w:t>
      </w:r>
    </w:p>
    <w:p w14:paraId="3FDCCF69" w14:textId="77777777" w:rsidR="00AE7191" w:rsidRPr="00722885" w:rsidRDefault="00AE7191" w:rsidP="00722885">
      <w:pPr>
        <w:pStyle w:val="Iauiue"/>
        <w:tabs>
          <w:tab w:val="left" w:pos="11199"/>
        </w:tabs>
        <w:jc w:val="both"/>
        <w:rPr>
          <w:rStyle w:val="a7"/>
          <w:b w:val="0"/>
          <w:bCs w:val="0"/>
          <w:color w:val="000000" w:themeColor="text1"/>
          <w:sz w:val="16"/>
          <w:szCs w:val="16"/>
        </w:rPr>
      </w:pPr>
    </w:p>
    <w:p w14:paraId="150DBC0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AF2F397" w14:textId="77777777" w:rsidR="00AE7191" w:rsidRPr="00722885" w:rsidRDefault="00AE7191" w:rsidP="00722885">
      <w:pPr>
        <w:pStyle w:val="Iauiue"/>
        <w:jc w:val="both"/>
        <w:rPr>
          <w:iCs/>
          <w:color w:val="000000" w:themeColor="text1"/>
          <w:sz w:val="16"/>
          <w:szCs w:val="16"/>
        </w:rPr>
      </w:pPr>
    </w:p>
    <w:p w14:paraId="6577D7A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в 1942 году фирма «Republic» в результате несчастного случая в Лонг Айленде разбила опытный «XP-47B» (14977).</w:t>
      </w:r>
    </w:p>
    <w:p w14:paraId="4198D572"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1F413D99"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в 1942 году первая атака японских камикадзе на Гуадалканале, 2 пикировщика «Aichi» «D3A1»» type 99» «Model 11» «Val» вывели из строя американский десантный корабль;</w:t>
      </w:r>
    </w:p>
    <w:p w14:paraId="24E4DF7D"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745D634D" w14:textId="77777777" w:rsidR="00C5464C" w:rsidRPr="00722885" w:rsidRDefault="00C546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августа 1942 морские пехотинцы США захватывают частично завершенную японскую взлетно-посадочную полосу на Гуадалканале. Они переименуют его в Хендерсон-Филд, и он станет центром шестимесячной кампании на Гуадалканале. В открытом море японские самолеты, базирующиеся в Рабауле, повредили транспорт США, что вскоре стало полной его потерей (20793).</w:t>
      </w:r>
    </w:p>
    <w:p w14:paraId="3DB76A2C" w14:textId="77777777" w:rsidR="00C5464C" w:rsidRPr="00722885" w:rsidRDefault="00C5464C" w:rsidP="00722885">
      <w:pPr>
        <w:spacing w:after="0" w:line="240" w:lineRule="auto"/>
        <w:jc w:val="both"/>
        <w:rPr>
          <w:rFonts w:ascii="Times New Roman" w:hAnsi="Times New Roman"/>
          <w:color w:val="0070C0"/>
          <w:sz w:val="16"/>
          <w:szCs w:val="16"/>
        </w:rPr>
      </w:pPr>
    </w:p>
    <w:p w14:paraId="7B5E8E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августа 1942 был бой между флотами Японии и США у о Саво (3186).</w:t>
      </w:r>
    </w:p>
    <w:p w14:paraId="757F9261" w14:textId="77777777" w:rsidR="00AE7191" w:rsidRPr="00722885" w:rsidRDefault="00AE7191" w:rsidP="00722885">
      <w:pPr>
        <w:pStyle w:val="Iauiue"/>
        <w:jc w:val="both"/>
        <w:rPr>
          <w:color w:val="000000" w:themeColor="text1"/>
          <w:sz w:val="16"/>
          <w:szCs w:val="16"/>
        </w:rPr>
      </w:pPr>
    </w:p>
    <w:p w14:paraId="3A1F7F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августа 1942 в Бомбее на сессии Индийского национального конгресса Махатма Ганди и Д. Неру потребовали от английского правительства создания национального правительства и в противном случае обещали компанию неповиновения. Англичане сразу же арестовали 60000 чел. (3481). По другим сведениям потребовали немедленного ухода Великобритании из Индии (3907,237).</w:t>
      </w:r>
    </w:p>
    <w:p w14:paraId="657CC96C" w14:textId="77777777" w:rsidR="00AE7191" w:rsidRPr="00722885" w:rsidRDefault="00AE7191" w:rsidP="00722885">
      <w:pPr>
        <w:pStyle w:val="Iauiue"/>
        <w:jc w:val="both"/>
        <w:rPr>
          <w:color w:val="000000" w:themeColor="text1"/>
          <w:sz w:val="16"/>
          <w:szCs w:val="16"/>
        </w:rPr>
      </w:pPr>
    </w:p>
    <w:p w14:paraId="7F4811E4"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в 1942 году в Бомбее на сессии исполкома Индийского национального конгресса лидеры партии Махатма Ганди и Джавахарлал Неру требуют от английского правительства немедленного создания национального правительства, обещая в противном случае начать кампанию гражданского неповиновения. Сразу же после этой декларации британские власти арестуют весь исполком партии, свыше 60 тысяч участников начавшихся антиаглийских выступлений будут брошены в тюрьмы, а несколько сот человек будут убиты и ранены (14977).</w:t>
      </w:r>
    </w:p>
    <w:p w14:paraId="0AE359FB"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4EFFB94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374342F" w14:textId="77777777" w:rsidR="00AE7191" w:rsidRPr="00722885" w:rsidRDefault="00AE7191" w:rsidP="00722885">
      <w:pPr>
        <w:pStyle w:val="Iauiue"/>
        <w:jc w:val="both"/>
        <w:rPr>
          <w:iCs/>
          <w:color w:val="000000" w:themeColor="text1"/>
          <w:sz w:val="16"/>
          <w:szCs w:val="16"/>
        </w:rPr>
      </w:pPr>
    </w:p>
    <w:p w14:paraId="5C02C2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августа 1942 М-82Ф форсированный был поставлен на длительные заводские испытания (1684,191).</w:t>
      </w:r>
    </w:p>
    <w:p w14:paraId="70FC9506" w14:textId="77777777" w:rsidR="00AE7191" w:rsidRPr="00722885" w:rsidRDefault="00AE7191" w:rsidP="00722885">
      <w:pPr>
        <w:pStyle w:val="Iauiue"/>
        <w:jc w:val="both"/>
        <w:rPr>
          <w:color w:val="000000" w:themeColor="text1"/>
          <w:sz w:val="16"/>
          <w:szCs w:val="16"/>
        </w:rPr>
      </w:pPr>
    </w:p>
    <w:p w14:paraId="24EDF75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836E806" w14:textId="77777777" w:rsidR="00AE7191" w:rsidRPr="00722885" w:rsidRDefault="00AE7191" w:rsidP="00722885">
      <w:pPr>
        <w:pStyle w:val="Iauiue"/>
        <w:jc w:val="both"/>
        <w:rPr>
          <w:iCs/>
          <w:color w:val="000000" w:themeColor="text1"/>
          <w:sz w:val="16"/>
          <w:szCs w:val="16"/>
        </w:rPr>
      </w:pPr>
    </w:p>
    <w:p w14:paraId="4D700E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августа 1942 года в 10 часов в районе церкви Старо Паново было первое боевое применение МТВ-280. Стрельба велась батареей отдельного минометного дивизиона 21 СД, в залпе было 64 мины. Снаряды легли в районе цели, результаты стрельбы на момент применения PC не были известны. При стрельбе не сошло с рам две мины, у одной вырвало сопло, причины отказа другой на месте не были выяснены, ее отправили для изучения на АНИОП (6403, 42).</w:t>
      </w:r>
    </w:p>
    <w:p w14:paraId="5ED94F03" w14:textId="77777777" w:rsidR="00AE7191" w:rsidRPr="00722885" w:rsidRDefault="00AE7191" w:rsidP="00722885">
      <w:pPr>
        <w:pStyle w:val="Iauiue"/>
        <w:jc w:val="both"/>
        <w:rPr>
          <w:color w:val="000000" w:themeColor="text1"/>
          <w:sz w:val="16"/>
          <w:szCs w:val="16"/>
        </w:rPr>
      </w:pPr>
    </w:p>
    <w:p w14:paraId="51B90AF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9 по 16 августа 1942 г. Т-34 с командирской башенкой прошел испы</w:t>
      </w:r>
      <w:r w:rsidRPr="00722885">
        <w:rPr>
          <w:rFonts w:ascii="Times New Roman" w:hAnsi="Times New Roman"/>
          <w:color w:val="000000" w:themeColor="text1"/>
          <w:sz w:val="16"/>
          <w:szCs w:val="16"/>
        </w:rPr>
        <w:softHyphen/>
        <w:t>тания на артиллерийском полигоне в Нижней Тагиле. На вооружение танк не принимался и в серийном производстве не состоял (10703).</w:t>
      </w:r>
    </w:p>
    <w:p w14:paraId="42E5AC1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00902A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9 августа 1942 вышло Постановление ГКО № 2164 Об организации прямой телефонной связи Москвы с Красноводском. (7049, 133-134,135).</w:t>
      </w:r>
    </w:p>
    <w:p w14:paraId="74B8390D" w14:textId="77777777" w:rsidR="00AE7191" w:rsidRPr="00722885" w:rsidRDefault="00AE7191" w:rsidP="00722885">
      <w:pPr>
        <w:pStyle w:val="Iauiue"/>
        <w:tabs>
          <w:tab w:val="left" w:pos="11199"/>
        </w:tabs>
        <w:jc w:val="both"/>
        <w:rPr>
          <w:color w:val="000000" w:themeColor="text1"/>
          <w:sz w:val="16"/>
          <w:szCs w:val="16"/>
        </w:rPr>
      </w:pPr>
    </w:p>
    <w:p w14:paraId="5A71AD3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6102560" w14:textId="77777777" w:rsidR="00AE7191" w:rsidRPr="00722885" w:rsidRDefault="00AE7191" w:rsidP="00722885">
      <w:pPr>
        <w:pStyle w:val="Iauiue"/>
        <w:jc w:val="both"/>
        <w:rPr>
          <w:iCs/>
          <w:color w:val="000000" w:themeColor="text1"/>
          <w:sz w:val="16"/>
          <w:szCs w:val="16"/>
        </w:rPr>
      </w:pPr>
    </w:p>
    <w:p w14:paraId="4476A56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августа в 1942 году утреннее сообщение Совинформбюро:</w:t>
      </w:r>
    </w:p>
    <w:p w14:paraId="16B40583"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9 августа наша войска вели бои с противником в районах Клетская, северо-восточнее Котельниково, а также в районах Армавир и Кропоткин.</w:t>
      </w:r>
    </w:p>
    <w:p w14:paraId="134422B2"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37F3D1AB"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Клетской наши части отбили несколько атак противника. Немцы потеряли 3 танка и 200 человек убитыми и ранеными. Южнее Клетской гитлеровцы пытались прорвать нашу оборону. Бойцы части, где командиром тов. Трунин, отражая одну атаку за другой, уничтожили до 500 солдат и офицеров противника.</w:t>
      </w:r>
    </w:p>
    <w:p w14:paraId="1FBF6025"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Армавира продолжались ожесточённые бои с танками и мотопехотой противника. На одном из участков немецкие танки были встречены огнём нашей артиллерии и бронебойщиков. Противник потерял в этом бою 12 танков и 3 бронемашины. В районе Кропоткина наше соединение, отбивая атаки противника, уничтожило 9 немецких танков, 29 автомашин, 17 миномётов и до 700 гитлеровцев.</w:t>
      </w:r>
    </w:p>
    <w:p w14:paraId="0BD828D0"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местного значения. Миномётная батарея, где командиром старший лейтенант тов. Куликов, истребила более 100 немецких солдат и офицеров, пытавшихся навести переправу через реку. Группа разведчиков из подразделения, где командиром тов. Беловашев, из засады уничтожила 30 немцев. Разведчики захватили пленных.</w:t>
      </w:r>
    </w:p>
    <w:p w14:paraId="7EA25DF8"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полесских партизан под командованием тов. К. организовал крушение трёх железнодорожных составов с войсками и техникой противника. Партизаны этого же отряда пустили под откос немецкий бронепоезд.</w:t>
      </w:r>
    </w:p>
    <w:p w14:paraId="35FBEBF4"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Второго августа на Ленинградском фронте был убит капитан немецких войск «СС» Гофман. У убитого найден объёмистый дневник. Этот отъявленный бандит позволял себе записывать в дневник то, о чём гитлеровцы вслух не говорят. Гофман пишет: «Германец—извечный враг славянина. Нам необходимо до конца освободиться от всего того, что называют человечностью, гуманизмом. Разговоры о «новом порядке» в Европе— это сказки для доверчивых людей, еще не порвавших окончательно с прошлым. Главное же заключается в том, что Германия должна стать господином Европы, а потом и всего мира».</w:t>
      </w:r>
    </w:p>
    <w:p w14:paraId="1C97C908"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Весной Гофман попал на советско-германский фронт. Ниже публикуются выдержкииз его дневника:</w:t>
      </w:r>
    </w:p>
    <w:p w14:paraId="06080623"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апреля. Сегодня наш батальон впервые участвует в бою. Правда, мы сражались только с партизанами, но бой был не из лёгких. Партизаны чертовски активны в нашем тылу. Полковник Штольце убит. Много раненых.</w:t>
      </w:r>
    </w:p>
    <w:p w14:paraId="7CE0121A"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мая. Русские подкрадываются вплотную к нашим пулемётным позициям и открывают огонь. Надо признать храбрость русских.</w:t>
      </w:r>
    </w:p>
    <w:p w14:paraId="3B2361C9"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июня. Русские противотанковые орудия стреляют удивительно точно. Эти русские — замечательные стрелки. Их бесстрашие достойно удивления.</w:t>
      </w:r>
    </w:p>
    <w:p w14:paraId="576B3D0D"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июня. Бой в болотистом лесу. 84 батальон больше не существует. Мы получаем форму «СС».</w:t>
      </w:r>
    </w:p>
    <w:p w14:paraId="4811FE2E"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Лейтенанту Лютгарду пуля попала в голову. Опять потери. Русские снайперы не дают и шагу сделать. Мы цепляемся за землю. Неужели придётся всё это отдать...»</w:t>
      </w:r>
    </w:p>
    <w:p w14:paraId="7550F81C"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французских автомобильных заводах брак достигает огромных размеров.Французские патриоты всячески саботируют и срывают немецкие заказы. В июле месяце немецкая комиссия, принимая 1.500 грузовиков, установила, что более 1.200 машин имеют серьёзные дефекты и не могут быть отправлены на фронт.»</w:t>
      </w:r>
    </w:p>
    <w:p w14:paraId="3E4B3C5D"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67578EBB"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августа в 1942 году утреннее сообщение Совинформбюро:</w:t>
      </w:r>
    </w:p>
    <w:p w14:paraId="250B78B2"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9 августа наши войска вели ожесточённые бои в районах Клетская, северо-восточнее Котельниково, а также в районах Армавир и Кропоткин.</w:t>
      </w:r>
    </w:p>
    <w:p w14:paraId="4422198F"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6B3B5511"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2 по 8 августа включительно, в воздушных боях, на аэродромах и огнём зенитной артиллерии уничтожено до 400 немецких самолётов. Наши потери — 205 самолётов.</w:t>
      </w:r>
    </w:p>
    <w:p w14:paraId="5E3B7060"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8 августа частями нашей авиации на различных участках фронта уничтожено или повреждено до 30 немецких танков, 200 автомашин с войсками и грузами, более 60 повозок с боеприпасами, подавлен огонь 8 батарей полевой и зенитной артиллерии, взорвано 2 склада боеприпасов и 2 склада горючего, потоплен сторожевой корабль, рассеяно и частью уничтожено до трёх батальонов пехоты противника.</w:t>
      </w:r>
    </w:p>
    <w:p w14:paraId="2952EED0"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гитлеровцы предприняли атаки против наших частей. Противнику удалось вклиниться в передний край обороны. Наши бойцы перешли в контратаку и ударами с флангов уничтожили 6 танков и 450 солдат и офицеров противника. Упорные бои продолжались в районе южнее Клетской. Наши бойцы самоотверженно отстаивают каждый метр родной земли. Командир пулемётной роты лейтенант Тропин уничтожил два взвода немцев. Группа автоматчиков во главе со старшиной Потаповым сдерживала наступление батальона гитлеровцев. Бойцы не отступили ни на шаг и метким огнём отбили атаку противника. Красноармеец Мифтахов Заким, выполняя один обязанности наводчика, заряжающего и замкового, истребил не менее сотни гитлеровцев.</w:t>
      </w:r>
    </w:p>
    <w:p w14:paraId="6DA07687"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вели упорные бои с танками и автоматчиками противника, вклинившимися в нашу оборону. Советские танкисты нанесли гитлеровцам несколько контрударов. Уничтожено 12 танков и до 200 немецких автоматчиков.</w:t>
      </w:r>
    </w:p>
    <w:p w14:paraId="3FF0187F"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Армавира наши войска вели тяжёлые оборонительные бои с немецко-фашистскими войсками. Части Н-ского соединения, отбивая атаки гитлеровцев, уничтожили 7 немецких танков, более 300 солдат и офицеров противника. На другом участке наши бойцы вели ожесточённые бои с прорвавшимися танками и мотопехотой противника. В районе Кропоткина гитлеровцы ввели в бой танковые и пехотные резервы и потеснили наши части.</w:t>
      </w:r>
    </w:p>
    <w:p w14:paraId="78E898EC"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происходили артиллерийская перестрелка и поиски разведывательных групп. Активными действиями наших разведчиков истреблено до 200 гитлеровцев, уничтожено 3 противотанковых орудия, несколько пулемётов и автомашин с боеприпасами. В бою на одном из участков уничтожено 50 солдат так называемого «Добровольческого голландского легиона».</w:t>
      </w:r>
    </w:p>
    <w:p w14:paraId="0E3F9F4E"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«Красный онежец», действующий в тылу белофинских войск, за последнее время уничтожил 80 солдат и офицеров неприятеля. Кроме того, партизаны сожгли 2 воинских склада, уничтожили несколько автомашин, 2 трактора и во многих местах нарушили телефонно-телеграфную связь.</w:t>
      </w:r>
    </w:p>
    <w:p w14:paraId="39CF39B2"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Получены сообщения о кровавых злодеяниях, совершённых немецко-фашистскими мерзавцами в городе Минске. В ночь на 5 мая гитлеровцы организовали на улицах города массовую резню мирных жителей. На Советской и Ленинской улицах, на площади Свободы и у вокзала были повешены 50 мирных жителей. Немцы учинили чудовищную расправу над заключёнными в минском лагере военнопленными и советскими гражданами, в большинстве своём женщинами. Фашистские бандиты расстреляли в этом лагере несколько тысяч советских граждан.» (14978).</w:t>
      </w:r>
    </w:p>
    <w:p w14:paraId="5DE52AA5"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3BA1D2A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августа 1942 г. первыми успеха в торпедометании с самолетов добились морские летчики Заполярья. Экипажи пары Ил-4 из 2-го смешанного Гв.КАП после возвращения из крейсерского полета к берегам противника доложили о потоплении неприятельского транспорта водоизмещением в 6000 т. Атака была произведена в точке с координатами 70°58'сш. 26°30'вд. По документам противника, противолодочный отряд в составе трех сторожевых кораблей вечером этого дня в р-не Сверхольдта был внезапно атакован со стороны берега на небольшой высоте двумя самолетами-торпедоносцами, которые были определены как "Бристоль" (?). Сторожевик У6113 "Гот" в 17.16 получил попадание торпеды в центральную часть и потерял ход. Вторая торпеда прошла мимо. Другому сторожевику из этого отряда -У5905 - удалось отбуксировать аварийный корабль с затопленным машинным отделением в порт Хоннингс-вааг, но в строй его так и не ввели (2570,39).</w:t>
      </w:r>
    </w:p>
    <w:p w14:paraId="4A1A70C2" w14:textId="77777777" w:rsidR="00AE7191" w:rsidRPr="00722885" w:rsidRDefault="00AE7191" w:rsidP="00722885">
      <w:pPr>
        <w:pStyle w:val="Iauiue"/>
        <w:jc w:val="both"/>
        <w:rPr>
          <w:color w:val="000000" w:themeColor="text1"/>
          <w:sz w:val="16"/>
          <w:szCs w:val="16"/>
        </w:rPr>
      </w:pPr>
    </w:p>
    <w:p w14:paraId="7364AF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августа 1942 л ВВС ЧМФ мл.л. М.Борисов в бою под Новороссийском был подбит и направил горящую машину на Не-111 и сбил, потом при падении - ударил по другому, сбил, но погиб (438,854).</w:t>
      </w:r>
    </w:p>
    <w:p w14:paraId="78AD7FFD" w14:textId="77777777" w:rsidR="00AE7191" w:rsidRPr="00722885" w:rsidRDefault="00AE7191" w:rsidP="00722885">
      <w:pPr>
        <w:pStyle w:val="Iauiue"/>
        <w:jc w:val="both"/>
        <w:rPr>
          <w:color w:val="000000" w:themeColor="text1"/>
          <w:sz w:val="16"/>
          <w:szCs w:val="16"/>
        </w:rPr>
      </w:pPr>
    </w:p>
    <w:p w14:paraId="3313F9A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августа 1942 г. над озером Ильмень старший лейтенант Аркадий Суков на ЛаГГ-3 из 41-го ИАП сбил Bf 109 обер-лейтенанта Макса -Хельмута Остерманна (102 победы), Остерманн погиб (4707).</w:t>
      </w:r>
    </w:p>
    <w:p w14:paraId="205C84E9" w14:textId="77777777" w:rsidR="00AE7191" w:rsidRPr="00722885" w:rsidRDefault="00AE7191" w:rsidP="00722885">
      <w:pPr>
        <w:pStyle w:val="Iauiue"/>
        <w:jc w:val="both"/>
        <w:rPr>
          <w:color w:val="000000" w:themeColor="text1"/>
          <w:sz w:val="16"/>
          <w:szCs w:val="16"/>
        </w:rPr>
      </w:pPr>
    </w:p>
    <w:p w14:paraId="186395F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27 августа и 20 сентября 1942 состоялись вылеты 1-го ГМТАП на свободную охоту. Видимый успех был достигнут только 27 августа, когда пара Ил-4 в сопровождении 10 «Харрикейнов» атаковала «три транспорта» в Нарвском заливе и наблюдала потопление одного (реально не подтверждается). Регулярными полеты на «свободную охоту» стали только с 8 октября уже при новом командире полка Герое Советского Союза майоре Н.В.Челнокове (сменил Е.Н.Преображенского 9 августа). Почти каждый день на поиск вылетала пара торпедоносцев, зачастую возвращавшаяся из-за плохой погоды или неисправностей материальной части (9965).</w:t>
      </w:r>
    </w:p>
    <w:p w14:paraId="3F7C1A5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70B42A4"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августа в 1942 году Ставка ВГК подчинила командующему Юго-Восточным фронтом Сталинградский фронт. Войска 62-й армии оставили район большой излучины Дона и переправились на восточный берег реки (отдельные части и подразделения продолжали борьбу в тылу противника). Войска Юго-Восточного фронта нанесли контрудар в районе Абганерово и вынудили 4-ю танковую армию противника перейти к обороне (14978).</w:t>
      </w:r>
    </w:p>
    <w:p w14:paraId="2608488C"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26D3FAD4"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9, 1942: Units of German 1.Panzerarmee (von Kleist) capture Maikop (3819).</w:t>
      </w:r>
    </w:p>
    <w:p w14:paraId="2D4A53EF" w14:textId="77777777" w:rsidR="00AE7191" w:rsidRPr="00722885" w:rsidRDefault="00AE7191" w:rsidP="00722885">
      <w:pPr>
        <w:pStyle w:val="Iauiue"/>
        <w:jc w:val="both"/>
        <w:rPr>
          <w:color w:val="000000" w:themeColor="text1"/>
          <w:sz w:val="16"/>
          <w:szCs w:val="16"/>
          <w:lang w:val="en-US"/>
        </w:rPr>
      </w:pPr>
    </w:p>
    <w:p w14:paraId="1782C52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августа 1942 части 1ТГ (фон Клейст) захватили Майкоп (3819).</w:t>
      </w:r>
    </w:p>
    <w:p w14:paraId="0ED22E08" w14:textId="77777777" w:rsidR="00AE7191" w:rsidRPr="00722885" w:rsidRDefault="00AE7191" w:rsidP="00722885">
      <w:pPr>
        <w:pStyle w:val="Iauiue"/>
        <w:jc w:val="both"/>
        <w:rPr>
          <w:color w:val="000000" w:themeColor="text1"/>
          <w:sz w:val="16"/>
          <w:szCs w:val="16"/>
        </w:rPr>
      </w:pPr>
    </w:p>
    <w:p w14:paraId="303C999C"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9 1942 Germans penetrate northern foothills of the Caucasus (1037).</w:t>
      </w:r>
    </w:p>
    <w:p w14:paraId="1FDDD210" w14:textId="77777777" w:rsidR="00AE7191" w:rsidRPr="00722885" w:rsidRDefault="00AE7191" w:rsidP="00722885">
      <w:pPr>
        <w:pStyle w:val="Iauiue"/>
        <w:jc w:val="both"/>
        <w:rPr>
          <w:color w:val="000000" w:themeColor="text1"/>
          <w:sz w:val="16"/>
          <w:szCs w:val="16"/>
          <w:lang w:val="en-US"/>
        </w:rPr>
      </w:pPr>
    </w:p>
    <w:p w14:paraId="1BD061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августа 1942 немцы подошли к подножью Кавказа (1037).</w:t>
      </w:r>
    </w:p>
    <w:p w14:paraId="24474204" w14:textId="77777777" w:rsidR="00AE7191" w:rsidRPr="00722885" w:rsidRDefault="00AE7191" w:rsidP="00722885">
      <w:pPr>
        <w:pStyle w:val="Iauiue"/>
        <w:jc w:val="both"/>
        <w:rPr>
          <w:color w:val="000000" w:themeColor="text1"/>
          <w:sz w:val="16"/>
          <w:szCs w:val="16"/>
        </w:rPr>
      </w:pPr>
    </w:p>
    <w:p w14:paraId="5CBC480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августа 1942 немцы достигли нефтепромыслов в Майкопе (1037) и захватили Краснодар и Майкоп (2261).</w:t>
      </w:r>
    </w:p>
    <w:p w14:paraId="3E250831" w14:textId="77777777" w:rsidR="00AE7191" w:rsidRPr="00722885" w:rsidRDefault="00AE7191" w:rsidP="00722885">
      <w:pPr>
        <w:pStyle w:val="Iauiue"/>
        <w:jc w:val="both"/>
        <w:rPr>
          <w:color w:val="000000" w:themeColor="text1"/>
          <w:sz w:val="16"/>
          <w:szCs w:val="16"/>
        </w:rPr>
      </w:pPr>
    </w:p>
    <w:p w14:paraId="2DB8281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lastRenderedPageBreak/>
        <w:t>9 августа 1942 немцами взяты Краснодар и Майкоп (4962).</w:t>
      </w:r>
    </w:p>
    <w:p w14:paraId="0CE7414B" w14:textId="77777777" w:rsidR="00AE7191" w:rsidRPr="00722885" w:rsidRDefault="00AE7191" w:rsidP="00722885">
      <w:pPr>
        <w:pStyle w:val="Iauiue"/>
        <w:tabs>
          <w:tab w:val="left" w:pos="11199"/>
        </w:tabs>
        <w:jc w:val="both"/>
        <w:rPr>
          <w:color w:val="000000" w:themeColor="text1"/>
          <w:sz w:val="16"/>
          <w:szCs w:val="16"/>
        </w:rPr>
      </w:pPr>
    </w:p>
    <w:p w14:paraId="1EC0978A"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августа в 1942 году немцы захватывают Краснодар, Майкоп, Ейск и Пятигорск (14978).</w:t>
      </w:r>
    </w:p>
    <w:p w14:paraId="5D8252F0"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6BB497C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августа 1942 был совершен беспокоящий налет на Астрахань. В это же время немецкие самолеты-разведчики впервые появились над западными районами Казахстана и в районе Аральского моря. Проводились аэрофотосъемка железной дороги Саратов – Уральск – Актюбинск – Кзыл-Орда, а также заброска диверсантов в среднеазиатские районы СССР. Однако центр тяжести действий бомбардировочной авиации все больше смещался к Сталинграду. К августу в составе Сталинградского корпусного района ПВО под командованием полковника Е. А. Райнина насчитывались 566 зенитных орудий, 470 зенитных пулеметов, 81 аэростат заграждения. 102-я ИАД ПВО полковника Красноюрченко располагала 60 истребителями. Ни один другой город Поволжья не мог и мечтать о таком количестве оружия. Кроме того, вокруг Сталинграда располагались пять радиолокационных станций, обеспечивавших сплошное поле наблюдения. Зенитная оборона делилась на семь секторов, каждый из которых прикрывался одним полком. В то же время условия противовоздушной обороны значительно ухудшились. Глубина системы ВНОС на подступах к городу сократилась с 250 до 50 км. Чтобы увеличить возможности системы наблюдения за небом, посты наблюдателей были размещены на крышах наиболее высоких зданий и на господствующих высотах. Кроме того, в городе действовали около 500 групп самозащиты, в подвалах каменных зданий были оборудованы более 300 бомбоубежищ, а также сотни щелей. В них в общей сложности могли укрыться 180 тыс. человек, однако это удовлетворяло потребности только наполовину. Траншеи были вырыты повсюду: во дворах, в парках и скверах, у трамвайных остановок, на рынках, между заводских цехов. В распоряжении начальника МПВО Сталинграда Пигалева находились 30 военизированных пожарных команд общим числом в две тысячи бойцов. Из техники имелись несколько десятков автонасосов ЗиС, два пожарных поезда и два парохода. Тем временем командующий 4-м воздушным флотом Вольфрам фон Рихтхофен все более усиливал 8-й авиакорпус, нацеленный на Сталинград. В начале месяца на аэродром Россошь перебазировались штаб и I./KG27. Затем 9—10 августа на недавно освоенный аэродром Тацинская в полном составе перелетела 76-я бомбардировочная эскадра под командованием оберста Эрнста Борманна.  Остальные эскадры пока продолжали действовать с дальних баз в Донбассе. Аэродромы истребителей Люфтваффе также все ближе придвигались к Волге. С этого дня налеты на Сталинград и прилегающие объекты стали практически непрерывными и усиливались с каждым днем.</w:t>
      </w:r>
    </w:p>
    <w:p w14:paraId="0A3092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Утром 9 августа группа из двенадцати Не-111 совершила налет на поселок Красноармейск, сбросив бомбы на пристани и железнодорожную станцию Сарепта. Цель для атаки была выбрана на редкость удачно, т.к. на путях в тот момент находились около 500 вагонов со снарядами, два эшелона с танками и 280 вагонов с орудиями! Несколько составов мгновенно взлетели на воздух, одновременно с этим в затоне взорвались баржи с боеприпасами. Сила взрыва была такой, что грохот докатился до тракторного завода, находившегося в 30 км от эпицентра. Затем люди со сталинградских улиц увидели, как над Красноармейском взметнулся огромнейший столб дыма, огня и пыли. Все поняли, что в поселке произошло нечто ужасное… И действительно, пожары, вызванные бомбежками и взрывами, быстро достигли огромных масштабов. Пламя перекинулось на жилые дома и хозяйственные постройки, во все стороны разлетались и взрывались артиллерийские снаряды и ракеты для «Катюш». Перепуганные и контуженные жители метались из стороны в сторону, пытаясь спастись от огня и осколков. Первый секретарь обкома Чуянов в это время находился в управлении НКВД у Воронина. Услышав взрывы, он сразу позвонил в Кировский райком партии. Узнав страшные подробности катастрофы, Чуянов немедленно отдал приказ направить в Красноармейск городские пожарные автонасосы и суда. Через полчаса, рассекая форштевнем нефтяные пятна, к месту, напоминавшему ад, уже подходили пароходы «Самара» и «Гаситель». Капитан последнего П. В. Воробьев позднее вспоминал:  «Когда мы пришли в затон, кругом все пылало, и сильные взрывы чуть было не сбросили меня с капитанского мостика. На „Гасителе“ полопались все стекла. Часы и барометр сорвало. Мы подошли к берегу, протянули три линии рукавов, начали тушить баржи и вагоны с боеприпасами. Взрывавшиеся снаряды летели через нас».  Пока прибывшие пожарные команды пытались бороться с огнем, уцелевшие машинисты, сцепщики, составители и стрелочники спасали сохранившиеся грузы и сумели вывезти из зоны поражения 13 паровозов с вагонами. Пламя полыхало весь день и вечер и лишь поздней ночью очаги огня удалось локализовать. Последствия налета оказались поистине ужасающими. Были разбиты все причалы и дебаркадеры, сгорели сотни вагонов и различная техника. В результате Сталинградский фронт в критический момент лишился большей части запаса артбоекомплектов. Поселок выгорел на 80%, при этом погибли и получили ранения сотни жителей. Станция Сарепта была практически стерта с лица земли (11774).</w:t>
      </w:r>
    </w:p>
    <w:p w14:paraId="047BA72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6C821E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6C8ED70" w14:textId="77777777" w:rsidR="00AE7191" w:rsidRPr="00722885" w:rsidRDefault="00AE7191" w:rsidP="00722885">
      <w:pPr>
        <w:pStyle w:val="Iauiue"/>
        <w:jc w:val="both"/>
        <w:rPr>
          <w:iCs/>
          <w:color w:val="000000" w:themeColor="text1"/>
          <w:sz w:val="16"/>
          <w:szCs w:val="16"/>
        </w:rPr>
      </w:pPr>
    </w:p>
    <w:p w14:paraId="3549B1B6" w14:textId="77777777" w:rsidR="00151541" w:rsidRPr="00722885" w:rsidRDefault="001515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августа 1942. Из справки Управления коменданта г. Москвы: "С 20 октября прошлого рода по 1 июля с. г. задержано 830 060 человек. На месте расстреляно за антисоветскую агитацию 13 человек. Так, например, комендантом военной прокуратуры Пролетарского района был расстрелян Власов Е. В. за распространение контрреволюционных слухов на Крестьянской заставе. В Бауманском районе на площади Разгуляй красноармейцем Малаховым за антисоветскую агитацию был расстрелян на месте неизвестный. Шпионов и диверсантов разоблачено 84. За распространение контрреволюционных слухов задержано 906 [человек]. За грабежи, убийства и расхищение социалистической собственности задержано 13 022 человека. Дезертиров разоблачено - 10 610 человек. Выявлено уклоняющихся от несения воинской службы - 24 651. Привлечено к административной ответственности 233 279 человек. Отобраны подписки о выезде из Москвы у 123 025 человек. Направлены в маршевые роты через московский военно-пересылочный пункт 125 579 человек. Приговорены к высшей меРе наказания - расстрелу - 887. Осуждены к тюремному заключению на разные сро-Ки Военными трибуналами - 44 168... Нарушение режима осадного положения выразилось.главным образом, в хождении граждан и военнослужащих по улицам города после 24.00. Таких нарушителей было задержано 116 520 человек" (18696).</w:t>
      </w:r>
    </w:p>
    <w:p w14:paraId="67336CA8" w14:textId="77777777" w:rsidR="00151541" w:rsidRPr="00722885" w:rsidRDefault="00151541" w:rsidP="00722885">
      <w:pPr>
        <w:spacing w:after="0" w:line="240" w:lineRule="auto"/>
        <w:jc w:val="both"/>
        <w:rPr>
          <w:rFonts w:ascii="Times New Roman" w:hAnsi="Times New Roman"/>
          <w:color w:val="000000" w:themeColor="text1"/>
          <w:sz w:val="16"/>
          <w:szCs w:val="16"/>
        </w:rPr>
      </w:pPr>
    </w:p>
    <w:p w14:paraId="3ADC4532"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августа в 1942 году в оккупированном гитлеровцами Киеве состоялся знаменитый футбольный </w:t>
      </w:r>
      <w:hyperlink r:id="rId63" w:tgtFrame="_blank" w:history="1">
        <w:r w:rsidRPr="00722885">
          <w:rPr>
            <w:rFonts w:ascii="Times New Roman" w:hAnsi="Times New Roman"/>
            <w:color w:val="000000" w:themeColor="text1"/>
            <w:sz w:val="16"/>
            <w:szCs w:val="16"/>
          </w:rPr>
          <w:t xml:space="preserve">«матч смерти». </w:t>
        </w:r>
      </w:hyperlink>
      <w:r w:rsidRPr="00722885">
        <w:rPr>
          <w:rFonts w:ascii="Times New Roman" w:hAnsi="Times New Roman"/>
          <w:color w:val="000000" w:themeColor="text1"/>
          <w:sz w:val="16"/>
          <w:szCs w:val="16"/>
        </w:rPr>
        <w:t>О нем еще в 1943 г. писал Лев Кассиль, и с его легкой руки киевские динамовцы, победившие немецкую команду «Флакелф» и позже расстрелянные за это, казалось, навсегда вошли в историю как яркий пример стойкости и самоотверженности. Об этом «матче смерти» был снят фильм, написано несколько книг. Но после перестройки вдруг оказалось, что героев в нашей стране практически нет. Спустя 60 лет из «Комсомолки» страна узнала, что футбол к гибели спортсменов в Киеве не имел никакого отношения (14978).</w:t>
      </w:r>
    </w:p>
    <w:p w14:paraId="2F5752AD"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440B8393"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августа в 1942 году знаменитое исполнение Седьмой («Ленинградской») симфонии Дмитрия Шостаковича в осажденном Ленинграде. За дирижерским пультом в Большом зале филармонии стоял главный дирижер оркестра Ленинградского радио Карл Ильич Элиасберг. Он был болен дистрофией, и любое движение отнимало частицу его жизни. Музыкантов вызывали с фронта, чтобы сформировать оркестр. Все уличные репродукторы были включены. Ленинград слушал симфонию, созданную композитором в родном городе. Во время исполнения симфонии на город не упал ни один вражеский снаряд, ни одна фашистская бомба. По приказу командующего Ленинградским фронтом маршала Говорова все вражеские точки были заблаговременно подавлены. Пушки молчали, пока звучала музыка Шостаковича (14978).</w:t>
      </w:r>
    </w:p>
    <w:p w14:paraId="08C3783F"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4DE8B432" w14:textId="77777777" w:rsidR="00B779A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355BB8D" w14:textId="77777777" w:rsidR="00B779AB" w:rsidRPr="00722885" w:rsidRDefault="00B779AB" w:rsidP="00722885">
      <w:pPr>
        <w:pStyle w:val="Iauiue"/>
        <w:jc w:val="both"/>
        <w:rPr>
          <w:iCs/>
          <w:color w:val="000000" w:themeColor="text1"/>
          <w:sz w:val="16"/>
          <w:szCs w:val="16"/>
        </w:rPr>
      </w:pPr>
    </w:p>
    <w:p w14:paraId="3B0904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августа 1942 года</w:t>
      </w:r>
    </w:p>
    <w:p w14:paraId="640A6B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Ф. РУЗВЕЛЬТ И. В. СТАЛИНУ *</w:t>
      </w:r>
    </w:p>
    <w:p w14:paraId="7EC3CE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Был бы весьма признателен за Ваше искреннее мнение по поводу следующего плана, который, как мне кажется, может быть полезным.</w:t>
      </w:r>
    </w:p>
    <w:p w14:paraId="38D226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Главным образом с целью объяснения Правительствам Ирана, Ирака, Турции, Сирии, Саудовской Аравии и Египта опасности, которой они подвергнутся в случае победы Германии, а также того, что их величайшие надежды на будущее заключаются в сокрушении нацистского господства над районами Ближнего и Среднего Востока, я командирую г-на Уэнделла Уилки для посещения правительств этих стран.</w:t>
      </w:r>
    </w:p>
    <w:p w14:paraId="71142C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совершенно другой целью г-н Уилки очень хотел бы посетить Советский Союз. Помимо того, что он сам увидит бессмертное единодушие в отражении захватчика и великие жертвы, которые Вы все приносите, он хочет побольше узнать об удивительном прогрессе, достигнутом русским народом.</w:t>
      </w:r>
    </w:p>
    <w:p w14:paraId="2DFE93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Как Вам известно, г-н Уилки был моим соперником на выборах 1940 года и в настоящее время он возглавляет партию меньшинства. Он полностью согласен с линией внешней политики моего Правительства, заключающейся в сопротивлении нацизму и в действительной дружбе с Вашим Правительством, и оказывает мне большую помощь в работе, связанной с войной. В интересах настоящего и будущего я лично полагаю, что визит г-на Уилки в Советский Союз был бы хорошим делом. Г-н Уилки отправился бы в Советский Союз самолетом в первой половине сентября.</w:t>
      </w:r>
    </w:p>
    <w:p w14:paraId="1A6544D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 был бы благодарен, если бы Вы конфиденциально и искренне сообщили бы мне, будете ли Вы приветствовать его очень краткий визит (7430).</w:t>
      </w:r>
    </w:p>
    <w:p w14:paraId="3A0EC678" w14:textId="77777777" w:rsidR="00AE7191" w:rsidRPr="00722885" w:rsidRDefault="00AE7191" w:rsidP="00722885">
      <w:pPr>
        <w:pStyle w:val="Iauiue"/>
        <w:jc w:val="both"/>
        <w:rPr>
          <w:color w:val="000000" w:themeColor="text1"/>
          <w:sz w:val="16"/>
          <w:szCs w:val="16"/>
        </w:rPr>
      </w:pPr>
    </w:p>
    <w:p w14:paraId="63E0C5AE"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10C871E" w14:textId="77777777" w:rsidR="00AE7191" w:rsidRPr="00722885" w:rsidRDefault="00AE7191" w:rsidP="00722885">
      <w:pPr>
        <w:pStyle w:val="Iauiue"/>
        <w:jc w:val="both"/>
        <w:rPr>
          <w:iCs/>
          <w:color w:val="000000" w:themeColor="text1"/>
          <w:sz w:val="16"/>
          <w:szCs w:val="16"/>
        </w:rPr>
      </w:pPr>
    </w:p>
    <w:p w14:paraId="18A85A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августа 1942 японские крейсера уничтожили 4 крейсера союзников у острова Салва (1037).</w:t>
      </w:r>
    </w:p>
    <w:p w14:paraId="0DAE2ADB" w14:textId="77777777" w:rsidR="00AE7191" w:rsidRPr="00722885" w:rsidRDefault="00AE7191" w:rsidP="00722885">
      <w:pPr>
        <w:pStyle w:val="Iauiue"/>
        <w:jc w:val="both"/>
        <w:rPr>
          <w:color w:val="000000" w:themeColor="text1"/>
          <w:sz w:val="16"/>
          <w:szCs w:val="16"/>
        </w:rPr>
      </w:pPr>
    </w:p>
    <w:p w14:paraId="6DAEC263"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августа в 1942 году английские власти отказались предоставить Индии независимость и произвели аресты руководителей Индийского национального конгресса (14978).</w:t>
      </w:r>
    </w:p>
    <w:p w14:paraId="64643DF5"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74A9D2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9 августа 1942 Ганди и его последователи по комитету </w:t>
      </w:r>
      <w:r w:rsidR="00B779AB" w:rsidRPr="00722885">
        <w:rPr>
          <w:color w:val="000000" w:themeColor="text1"/>
          <w:sz w:val="16"/>
          <w:szCs w:val="16"/>
        </w:rPr>
        <w:t>«</w:t>
      </w:r>
      <w:r w:rsidRPr="00722885">
        <w:rPr>
          <w:color w:val="000000" w:themeColor="text1"/>
          <w:sz w:val="16"/>
          <w:szCs w:val="16"/>
        </w:rPr>
        <w:t>Покиньте Индию</w:t>
      </w:r>
      <w:r w:rsidR="00B779AB" w:rsidRPr="00722885">
        <w:rPr>
          <w:color w:val="000000" w:themeColor="text1"/>
          <w:sz w:val="16"/>
          <w:szCs w:val="16"/>
        </w:rPr>
        <w:t>»</w:t>
      </w:r>
      <w:r w:rsidRPr="00722885">
        <w:rPr>
          <w:color w:val="000000" w:themeColor="text1"/>
          <w:sz w:val="16"/>
          <w:szCs w:val="16"/>
        </w:rPr>
        <w:t xml:space="preserve"> были посажены в тюрьму (2245,8).</w:t>
      </w:r>
    </w:p>
    <w:p w14:paraId="3205BA35" w14:textId="77777777" w:rsidR="00AE7191" w:rsidRPr="00722885" w:rsidRDefault="00AE7191" w:rsidP="00722885">
      <w:pPr>
        <w:pStyle w:val="Iauiue"/>
        <w:jc w:val="both"/>
        <w:rPr>
          <w:color w:val="000000" w:themeColor="text1"/>
          <w:sz w:val="16"/>
          <w:szCs w:val="16"/>
        </w:rPr>
      </w:pPr>
    </w:p>
    <w:p w14:paraId="20C5435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9 августа 1942 англичанами арестован лидер индусов Махатма Ганди (выпущен лишь в 1944 г.) (4962).</w:t>
      </w:r>
    </w:p>
    <w:p w14:paraId="4AB45FE1" w14:textId="77777777" w:rsidR="00AE7191" w:rsidRPr="00722885" w:rsidRDefault="00AE7191" w:rsidP="00722885">
      <w:pPr>
        <w:pStyle w:val="Iauiue"/>
        <w:tabs>
          <w:tab w:val="left" w:pos="11199"/>
        </w:tabs>
        <w:jc w:val="both"/>
        <w:rPr>
          <w:color w:val="000000" w:themeColor="text1"/>
          <w:sz w:val="16"/>
          <w:szCs w:val="16"/>
        </w:rPr>
      </w:pPr>
    </w:p>
    <w:p w14:paraId="04CF1255"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6FF0752" w14:textId="77777777" w:rsidR="00AE7191" w:rsidRPr="00722885" w:rsidRDefault="00AE7191" w:rsidP="00722885">
      <w:pPr>
        <w:pStyle w:val="Iauiue"/>
        <w:jc w:val="both"/>
        <w:rPr>
          <w:iCs/>
          <w:color w:val="000000" w:themeColor="text1"/>
          <w:sz w:val="16"/>
          <w:szCs w:val="16"/>
        </w:rPr>
      </w:pPr>
    </w:p>
    <w:p w14:paraId="50C890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1942 ЦАГИ провел исследования причин снижения скорости и других летных качеств Ил-2 (182,241). Судя по фото Ил-2 одноместного в натурной трубе это было 10 августа 1942. На машине заделали все отверстия (включая оба воздухозаборника и входные и выходные жабры и отверстия для патрубков), а щели - замазали. На кабине не было брони сверху, но над баком, похоже, была. был антенный ввод, но не было стойки.</w:t>
      </w:r>
    </w:p>
    <w:p w14:paraId="3956DC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13 и 17 августа 1942 состоялось заседание комиссии для рассмотрения бронирования серийных самолетов, созданной согласно приказу НКАП и ВВС N 559а/с/032 от 24 июля 1942 (1587,12).</w:t>
      </w:r>
    </w:p>
    <w:p w14:paraId="54526A75" w14:textId="77777777" w:rsidR="00AE7191" w:rsidRPr="00722885" w:rsidRDefault="00AE7191" w:rsidP="00722885">
      <w:pPr>
        <w:pStyle w:val="Iauiue"/>
        <w:jc w:val="both"/>
        <w:rPr>
          <w:color w:val="000000" w:themeColor="text1"/>
          <w:sz w:val="16"/>
          <w:szCs w:val="16"/>
        </w:rPr>
      </w:pPr>
    </w:p>
    <w:p w14:paraId="78CADA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августа 1942 Су-2 с установленным на нем М-82НВ, который удовлетворительно прошел 100 часовые официальные испытания на станке 28 июня 1942, совершил 2 полета до высоты 5400 м. Отметили рост скорости по сравнению с М-82 (1684,192).</w:t>
      </w:r>
    </w:p>
    <w:p w14:paraId="1939C611" w14:textId="77777777" w:rsidR="00AE7191" w:rsidRPr="00722885" w:rsidRDefault="00AE7191" w:rsidP="00722885">
      <w:pPr>
        <w:pStyle w:val="Iauiue"/>
        <w:jc w:val="both"/>
        <w:rPr>
          <w:color w:val="000000" w:themeColor="text1"/>
          <w:sz w:val="16"/>
          <w:szCs w:val="16"/>
        </w:rPr>
      </w:pPr>
    </w:p>
    <w:p w14:paraId="587045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августа 1942 года Яковлев писал письмо Шахурину.</w:t>
      </w:r>
    </w:p>
    <w:p w14:paraId="663787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Как Вам известно в этом году проведен ряд работ по улучшению самолетов Як-1 и Як-7:</w:t>
      </w:r>
    </w:p>
    <w:p w14:paraId="7B53B4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Повышение скорости обоих истребителей на 25 км в час у земли за счет форсирования мотора 105П.</w:t>
      </w:r>
    </w:p>
    <w:p w14:paraId="554319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Замена пулеметов ШКАС на пулеметы БС у самолета Як-7.</w:t>
      </w:r>
    </w:p>
    <w:p w14:paraId="0A3858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Обеспечение кругового обзора обоих самолетов.</w:t>
      </w:r>
    </w:p>
    <w:p w14:paraId="2EAB8A4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Увеличение дальности полета самолета Як-7 почти вдвое.</w:t>
      </w:r>
    </w:p>
    <w:p w14:paraId="05E55F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Установка пушки 37 мм на самолете Як-7.</w:t>
      </w:r>
    </w:p>
    <w:p w14:paraId="4B9150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Все перечисленные улучшения получили положительную оценку ВВС, утверждены правительством и, в настоящий момент, первые два уже осуществлены в серии, а остальные внедряются.</w:t>
      </w:r>
    </w:p>
    <w:p w14:paraId="20BE38F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Кроме того в Чкалове заканчиваются постройкой первые три экземпляра двухмоторного, маломощного, бомбардировочно-учебного самолета Як-6.</w:t>
      </w:r>
    </w:p>
    <w:p w14:paraId="3C9B91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ускорения внедряющихся в Новосибирске на заводе 153 улучшений самолета Як-7, дальнейшего повышения его боеспособности и для руководства испытаниями Як-6, прошу Вашего разрешения вылететь в г.г. Чкалов и Новосибирск.</w:t>
      </w:r>
    </w:p>
    <w:p w14:paraId="37202F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Постараюсь использовать свое пребывание в Новосибирске помимо решения чисто конструкторских задач, также и для увеличения выпуска самолетов Як-7 на заводе N 153 (2761,177).</w:t>
      </w:r>
    </w:p>
    <w:p w14:paraId="68C44C48" w14:textId="77777777" w:rsidR="00AE7191" w:rsidRPr="00722885" w:rsidRDefault="00AE7191" w:rsidP="00722885">
      <w:pPr>
        <w:pStyle w:val="Iauiue"/>
        <w:jc w:val="both"/>
        <w:rPr>
          <w:color w:val="000000" w:themeColor="text1"/>
          <w:sz w:val="16"/>
          <w:szCs w:val="16"/>
        </w:rPr>
      </w:pPr>
    </w:p>
    <w:p w14:paraId="4DAF4AC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10 августа 1942 г. на возобновившихся заводских испытаниях И-185 «эталона для серии» удалось достичь высоких по тому времени характеристик: максимальной ско</w:t>
      </w:r>
      <w:r w:rsidRPr="00722885">
        <w:rPr>
          <w:rFonts w:ascii="Times New Roman" w:hAnsi="Times New Roman"/>
          <w:color w:val="000000" w:themeColor="text1"/>
          <w:sz w:val="16"/>
          <w:szCs w:val="16"/>
        </w:rPr>
        <w:softHyphen/>
        <w:t>рости у земли 537 км/ч и 577 км/ч на форсаже, на высоте 6100 м - 667 км/ч. Высоту 5000 м истребитель набирал за 4,7 мин, время виража на высоте 1000 м составляло 21-22 с. Полетный вес достигал 3650 кг. В перегрузку под крылом самолет мог нести две бомбы весом по 250 кг. Такая бомбовая нагрузка была вполне сопоставима с на</w:t>
      </w:r>
      <w:r w:rsidRPr="00722885">
        <w:rPr>
          <w:rFonts w:ascii="Times New Roman" w:hAnsi="Times New Roman"/>
          <w:color w:val="000000" w:themeColor="text1"/>
          <w:sz w:val="16"/>
          <w:szCs w:val="16"/>
        </w:rPr>
        <w:softHyphen/>
        <w:t>грузкой некоторых наших бомбардировщиков, напри</w:t>
      </w:r>
      <w:r w:rsidRPr="00722885">
        <w:rPr>
          <w:rFonts w:ascii="Times New Roman" w:hAnsi="Times New Roman"/>
          <w:color w:val="000000" w:themeColor="text1"/>
          <w:sz w:val="16"/>
          <w:szCs w:val="16"/>
        </w:rPr>
        <w:softHyphen/>
        <w:t>мер Пе-2, и значительно превышала нагрузку отечест</w:t>
      </w:r>
      <w:r w:rsidRPr="00722885">
        <w:rPr>
          <w:rFonts w:ascii="Times New Roman" w:hAnsi="Times New Roman"/>
          <w:color w:val="000000" w:themeColor="text1"/>
          <w:sz w:val="16"/>
          <w:szCs w:val="16"/>
        </w:rPr>
        <w:softHyphen/>
        <w:t>венных одноместных истребителей той поры. В отчете по заводским испытаниям записано, что И-185 «по своим летным данным стоит выше серийных отечественных и иностранных самолетов, по технике пилотирования прост и доступен летчикам средней ква</w:t>
      </w:r>
      <w:r w:rsidRPr="00722885">
        <w:rPr>
          <w:rFonts w:ascii="Times New Roman" w:hAnsi="Times New Roman"/>
          <w:color w:val="000000" w:themeColor="text1"/>
          <w:sz w:val="16"/>
          <w:szCs w:val="16"/>
        </w:rPr>
        <w:softHyphen/>
        <w:t>лификации», что эксплуатация его возможна на полевых аэродромах, что пилотажные свойства, маневренность и управляемость хорошие, на всех режимах самолет легко балансируется управляемыми триммерами» (10667).</w:t>
      </w:r>
    </w:p>
    <w:p w14:paraId="58D4D8A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8899F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августа 1942 года зам. начальника 7-го гл. управления НКАП Алексеев писал письмо N 26/631 начальнику секретариата НКАП Фирсаеву.</w:t>
      </w:r>
    </w:p>
    <w:p w14:paraId="52B2D0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письму наркома ВМФ адмирала Кузнецова, на имя секретаря ЦК ВКП(б) Маленкова сообщаю следующее:</w:t>
      </w:r>
    </w:p>
    <w:p w14:paraId="31004C0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В проекте плана 1942 г. И.В.Четверикову предусмотрена модификация опытного морского дальнего разведчика МДР6Б-2М105 под моторы М-107 по тактико-техническим требованиям УА ВМФ.</w:t>
      </w:r>
    </w:p>
    <w:p w14:paraId="73711A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От УА ВМФ получены тактико-технические требования на проектирование тяжелого двухмоторного дальнего разведчика.</w:t>
      </w:r>
    </w:p>
    <w:p w14:paraId="55168E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целях выяснения производственных возможностей для выполнения указанного задания, запрошен директор завода N 288 Кутепов.</w:t>
      </w:r>
    </w:p>
    <w:p w14:paraId="5D6163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Приложение: на 2-х листах вх. 1534 (2728,24).</w:t>
      </w:r>
    </w:p>
    <w:p w14:paraId="7C2C4E8D" w14:textId="77777777" w:rsidR="00AE7191" w:rsidRPr="00722885" w:rsidRDefault="00AE7191" w:rsidP="00722885">
      <w:pPr>
        <w:pStyle w:val="Iauiue"/>
        <w:jc w:val="both"/>
        <w:rPr>
          <w:color w:val="000000" w:themeColor="text1"/>
          <w:sz w:val="16"/>
          <w:szCs w:val="16"/>
        </w:rPr>
      </w:pPr>
    </w:p>
    <w:p w14:paraId="4ACE6A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августа 1942 года зам. начальника 7-го гл. управления Алексеев писал письмо в секретариат НКАП Фирсаеву.</w:t>
      </w:r>
    </w:p>
    <w:p w14:paraId="6BD9F8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вх. N 6938 от 3.VI.42 г.</w:t>
      </w:r>
    </w:p>
    <w:p w14:paraId="242285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Группа Люлька в составе 15 человек с 1 июля 1942 г. переведена на постоянную работу в конструкторское бюро Болховитинова, где используется по специальности (2728,18).</w:t>
      </w:r>
    </w:p>
    <w:p w14:paraId="5B5A3FE4" w14:textId="77777777" w:rsidR="00AE7191" w:rsidRPr="00722885" w:rsidRDefault="00AE7191" w:rsidP="00722885">
      <w:pPr>
        <w:pStyle w:val="Iauiue"/>
        <w:jc w:val="both"/>
        <w:rPr>
          <w:color w:val="000000" w:themeColor="text1"/>
          <w:sz w:val="16"/>
          <w:szCs w:val="16"/>
        </w:rPr>
      </w:pPr>
    </w:p>
    <w:p w14:paraId="3052062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5C34828" w14:textId="77777777" w:rsidR="00AE7191" w:rsidRPr="00722885" w:rsidRDefault="00AE7191" w:rsidP="00722885">
      <w:pPr>
        <w:pStyle w:val="Iauiue"/>
        <w:jc w:val="both"/>
        <w:rPr>
          <w:iCs/>
          <w:color w:val="000000" w:themeColor="text1"/>
          <w:sz w:val="16"/>
          <w:szCs w:val="16"/>
        </w:rPr>
      </w:pPr>
    </w:p>
    <w:p w14:paraId="3FB40AA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1942 г. была подготовлена ДОКЛАДНАЯ ЗАПИСКА НАЧАЛЬНИКА ГАБТУ КА ЗАМПРЕДУ ГКО СССР ОБ УСТАНОВКЕ ДЫМОВЫХ ШАШЕК НА ТАНКАХ</w:t>
      </w:r>
    </w:p>
    <w:p w14:paraId="7908DC7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 году НАТИ был изготовлен и испытан прибор для использования 40-килограммовых мор</w:t>
      </w:r>
      <w:r w:rsidRPr="00722885">
        <w:rPr>
          <w:rFonts w:ascii="Times New Roman" w:hAnsi="Times New Roman"/>
          <w:color w:val="000000" w:themeColor="text1"/>
          <w:sz w:val="16"/>
          <w:szCs w:val="16"/>
        </w:rPr>
        <w:softHyphen/>
        <w:t>ских дымовых шашек (МДШ) на танках Т-34 и КВ.</w:t>
      </w:r>
    </w:p>
    <w:p w14:paraId="63FEA57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Конструкция прибора простая, дешевая в изготовлении и позволяет производить дымопуск из шашек при движении танка (подвижные дымовые завесы), а также сбрасывание дымовых шашек на ходу (неподвижные дымовые завесы).</w:t>
      </w:r>
    </w:p>
    <w:p w14:paraId="3B1F616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каждом танке может быть установлено по две дымовых шашки.</w:t>
      </w:r>
    </w:p>
    <w:p w14:paraId="3DE7D68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одновременном горении обоих дымовых шашек время дымопуска 9-10 минут. Длина не просматриваемой дымовой волны 300-400 метров.</w:t>
      </w:r>
    </w:p>
    <w:p w14:paraId="021EB2E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Считаю целесообразным устанавливать по две дымовых шашки на каждый танк Т-34 и КВ и ис</w:t>
      </w:r>
      <w:r w:rsidRPr="00722885">
        <w:rPr>
          <w:rFonts w:ascii="Times New Roman" w:hAnsi="Times New Roman"/>
          <w:color w:val="000000" w:themeColor="text1"/>
          <w:sz w:val="16"/>
          <w:szCs w:val="16"/>
        </w:rPr>
        <w:softHyphen/>
        <w:t>пользовать их как для постановки нейтральных, так и ядовитых дымовых завес.</w:t>
      </w:r>
    </w:p>
    <w:p w14:paraId="6EC2B71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Прилагая проект постановления ГОКО, прошу его утвердить.</w:t>
      </w:r>
    </w:p>
    <w:p w14:paraId="3EF6BF6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 проект постановления ГОКО СССР на « » листах.</w:t>
      </w:r>
    </w:p>
    <w:p w14:paraId="1B19BF4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ГАБТУ КА генерал-лейтенант танковых войск Федоренко</w:t>
      </w:r>
    </w:p>
    <w:p w14:paraId="45CC50C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комиссар ГАБТУ КА армейский комиссар 2 ранга Бирюков</w:t>
      </w:r>
    </w:p>
    <w:p w14:paraId="4A4496EC"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11355. Д. 676. Л. 32-34. Копия (11211).</w:t>
      </w:r>
    </w:p>
    <w:p w14:paraId="445EBC64" w14:textId="77777777" w:rsidR="00AE7191" w:rsidRPr="00722885" w:rsidRDefault="00AE7191" w:rsidP="00722885">
      <w:pPr>
        <w:pStyle w:val="afff2"/>
        <w:jc w:val="both"/>
        <w:rPr>
          <w:i w:val="0"/>
          <w:iCs w:val="0"/>
          <w:color w:val="000000" w:themeColor="text1"/>
          <w:spacing w:val="0"/>
          <w:kern w:val="0"/>
          <w:position w:val="0"/>
          <w:sz w:val="16"/>
          <w:szCs w:val="16"/>
        </w:rPr>
      </w:pPr>
    </w:p>
    <w:p w14:paraId="016E2E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1942 вышло Постановление ГКО № 2165 О демонтаже резервных агрегатов на Сталинградской ГРЭС. РГАНИР, Фонд ГКО, д. 51, лл. 136 (11012).</w:t>
      </w:r>
    </w:p>
    <w:p w14:paraId="7AF3485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22B21E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BC14AE7" w14:textId="77777777" w:rsidR="00AE7191" w:rsidRPr="00722885" w:rsidRDefault="00AE7191" w:rsidP="00722885">
      <w:pPr>
        <w:pStyle w:val="Iauiue"/>
        <w:jc w:val="both"/>
        <w:rPr>
          <w:iCs/>
          <w:color w:val="000000" w:themeColor="text1"/>
          <w:sz w:val="16"/>
          <w:szCs w:val="16"/>
        </w:rPr>
      </w:pPr>
    </w:p>
    <w:p w14:paraId="31635689"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в 1942 году утреннее сообщение Совинформбюро:</w:t>
      </w:r>
    </w:p>
    <w:p w14:paraId="4AFB9EB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10 августа наши войска вели бои с противником в районах Клетская, северо-восточнее Котельниково, а также в районах Армавир и Кропоткин.</w:t>
      </w:r>
    </w:p>
    <w:p w14:paraId="320476E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705213AB"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части отбили несколько атак противника. На поле боя немцы оставили свыше 250 трупов. Бронебойщики одной части уничтожили 6 немецких танков. Южнее Клетской продолжались ожесточённые бои против танков и мотопехоты противника. В течение суток уничтожено 15 немецких танков и свыше 400 солдат и офицеров противника.</w:t>
      </w:r>
    </w:p>
    <w:p w14:paraId="17C97737"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продолжались упорные бои. На одном изучастков наши части разгромили 2 батальона немецкой пехоты и уничтожили 20 танков. На другом участке наши войска атаковали противника и в результате боя захватили 11 орудий, несколько пулемётов и миномётов. Н-ская кавалерийская часть совершила рейд по вражеским тылам. Кавалеристы уничтожили 3 склада, разгромили штаб немецкого полка и уничтожили свыше 350 гитлеровцев.</w:t>
      </w:r>
    </w:p>
    <w:p w14:paraId="26EF48A2"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Армавира противник стремится пробиться вперёд. После кровопролитного боя, во время которого уничтожено 5 немецких танков, наши части отошли на новый оборонительный рубеж. На соседнем участке продолжались ожесточённые бои с прорвавшейся группировкой противника. В районе Кропоткина наши войска </w:t>
      </w:r>
      <w:r w:rsidRPr="00722885">
        <w:rPr>
          <w:rFonts w:ascii="Times New Roman" w:hAnsi="Times New Roman"/>
          <w:color w:val="000000" w:themeColor="text1"/>
          <w:sz w:val="16"/>
          <w:szCs w:val="16"/>
        </w:rPr>
        <w:lastRenderedPageBreak/>
        <w:t>вели напряжённые бои с танками и пехотой противника. Танковый экипаж лейтенанта Алексея Шельгаса за один день уничтожил 8 немецких танков, 4 противотанковых орудия и до 300 солдат и офицеров противника.</w:t>
      </w:r>
    </w:p>
    <w:p w14:paraId="44C2258D"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Воронежском фронте наши войска заняли несколько населённых пунктов, уничтожив при этом свыше 1.000 немецких солдат и офицеров. Наши части, переправившиеся на западный берег Дона, отбили несколько атак противника и уничтожили 12 немецких танков.</w:t>
      </w:r>
    </w:p>
    <w:p w14:paraId="67275CA0"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имени Ворошилова, действующий в одном из районов Орловскойобласти, в течение нескольких дней вёл бой с крупным отрядом оккупантов, действовавших при поддержке танков. В этом бою партизаны истребили до 200 гитлеровцев и уничтожили два немецких танка.</w:t>
      </w:r>
    </w:p>
    <w:p w14:paraId="6C194E20"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транспортной колонны 218 немецкой пехотной дивизии Эрнст Риман рассказал: «Наша транспортная колонна везла на фронт артиллерийские боеприпасы. По пути к нам примкнули солдаты и повозки из других частей. В лесу головные повозки наскочили на мины и подорвались. В это время партизаны из леса открыли сильный пулемётный огонь. В нас полетели ручные гранаты. Весь обоз был полностью уничтожен. Убито около 100 человек. В живых остались только я и ещё два солдата, сдавшихся в плен».</w:t>
      </w:r>
    </w:p>
    <w:p w14:paraId="21D6FFF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истребили население деревни Лютино, Кличевского района, Белорусской ССР. Недавно гитлеровцы загнали всех жителей деревни в помещение школы. Немецкий офицер потребовал указать местонахождение партизан, но ничего не добился. По его приказу солдаты жестоко избили арестованных, но они продолжали молчать. Палачи долго пытали несчастных, глумились над ними, а затем сожгли школу вместе с заключёнными в ней людьми. Сгорело 74 человека.</w:t>
      </w:r>
    </w:p>
    <w:p w14:paraId="50264E38"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Париже состоялась демонстрация женщин. Демонстранты несли плакаты с лозунгами: «Долой Гитлера! Долой предателя Лаваля! Верните наших братьев и мужей из плена!»</w:t>
      </w:r>
    </w:p>
    <w:p w14:paraId="6893899E"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Югославии на днях отбили у оккупантов ещё один город. В боях за этот город партизаны истребили несколько сот оккупантов и их пособников. Захвачены трофеи: один броневик, 12 пулемётов, 2 миномёта, много взрывчатки и 70.000 патронов. Из городской тюрьмы освобождено 50 югославских патриотов, которые были приговорены к расстрелу. Население с радостью встретило партизан и оказывает им помощь в преследовании оккупантов.» (14979).</w:t>
      </w:r>
    </w:p>
    <w:p w14:paraId="7F1352FA"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23634632"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в 1942 году вечернее сообщение Совинформбюро:</w:t>
      </w:r>
    </w:p>
    <w:p w14:paraId="3288ABEE"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10 августа наши войска вели ожесточённые бои в районах Клетская, северо-восточнее Котельниково, а также в районах Армавир, Краснодар, Майкоп.</w:t>
      </w:r>
    </w:p>
    <w:p w14:paraId="4038930A"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556DCEB5"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Баренцевом и Чёрном морях потоплено два транспорта противника водоизмещением в 12.000 тонн.</w:t>
      </w:r>
    </w:p>
    <w:p w14:paraId="709FDB0E"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9 августа частями нашей авиации на различных участках фронта уничтожено или повреждено до 60 немецких танков, около 400 автомашин с войсками и грузами, 20 автоцистерн с горючим, взорвано 2 склада боеприпасов и 2 склада горючего, подавлен огонь 14 батарей полевой и зенитной артиллерии, рассеяно и частью уничтожено до трёх полков пехоты и эскадрон конницы противника.</w:t>
      </w:r>
    </w:p>
    <w:p w14:paraId="3FA3981B"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бои с немецко-фашистскими войсками. В районе действий Н-ской части уничтожено 3 немецких танка и 280 гитлеровцев. Южнее Клетской наши танкисты истребили до 500 солдат и офицеров противника. Бомбардировочная и штурмовая авиация продолжала активные операции против танков и мотомехвойск противника. За день наши лётчики уничтожили 27 немецких танков, до 60 автомашин с пехотой и грузами, 2 зенитные батареи, 4 автоцистерны с горючим. В воздушных боях сбито до 30 немецких самолётов.</w:t>
      </w:r>
    </w:p>
    <w:p w14:paraId="020F0C91"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вели ожесточённые бои с противником. Сражение носит чрезвычайно упорный характер. Одна железнодорожная станция в течение дня несколько раз переходила из рук в руки и к вечеру была занята нашими частями. Н-ская часть, отбивая атаки противника, уничтожила свыше 900 гитлеровцев. Ликвидирована также группа немецких автоматчиков, проникшая в тыл наших частей.</w:t>
      </w:r>
    </w:p>
    <w:p w14:paraId="1661D877"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шли тяжёлые бои с наступающими танками и мотопехотой противника. На одном из участков советские конники во взаимодействии с авиацией и танками нанесли большой урон колонне войск противника. Подбито 11 танков, уничтожено 8 орудий, 4 бронемашины и около 30 автомашин. Разгромлены 2 эскадронарумынской кавалерии и батальон немецкой мотопехоты. На другом участке после упорного боя с превосходящими силами противника наши части отошли на новые рубежи. В районе Армавира противник предпринял ряд атак и несколько продвинулся вперёд. В ходе боёв сожжено 8 немецких танков и истреблено свыше 600 гитлеровцев.</w:t>
      </w:r>
    </w:p>
    <w:p w14:paraId="42BA1324"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противник после артиллерийской и миномётной подготовки атаковал наши позиции. К исходу дня атака немцев была отбита и неприятель отброшен с большими для него потерями.</w:t>
      </w:r>
    </w:p>
    <w:p w14:paraId="777D289D"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происходила активная деятельность разведывательных отрядов. Двадцать девять бойцов во главе с младшим лейтенантом Силиным, преодолев проволочные заграждения, пробрались к укреплениям противника. Разведчики забросали гранатами огневые точки немцев, а затем стремительным броском ворвались в их траншеи. В завязавшейся схватке наши бойцы уничтожили 40 гитлеровцев, взорвали 3 землянки, одну противотанковую пушку, захватили пленного и трофеи.</w:t>
      </w:r>
    </w:p>
    <w:p w14:paraId="178BF564"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Снайпер тов. Николаев из части, где командиром тов. Кутятин, истребил 211 немцев. Снайпер этой же части тов. Добрик истребил 216 гитлеровцев.</w:t>
      </w:r>
    </w:p>
    <w:p w14:paraId="6F51B599"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Три партизанских отряда, действующие в одном из районов Минской области, в течение месяца истребили 270 немецких солдат и 5 офицеров. Партизаны уничтожили 15 автомашин и взорвали 38 мостов. Отряд под командованием тов. К. пустил под откос 3 железнодорожных эшелона и уничтожил легковую машину с находившимися в ней немецким генералом и офицером.»</w:t>
      </w:r>
    </w:p>
    <w:p w14:paraId="2CB0983C"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приводим выдержку из акта о чудовищных зверствах немецко-фашистскихзахватчиков над пленными красноармейцами и командирами:</w:t>
      </w:r>
    </w:p>
    <w:p w14:paraId="0DCCEDC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Брянского фронта в немецком окопе обнаружены трупы наших бойцов, зверски замученных гитлеровскими мерзавцами. Младшему политруку А.И.Козлову немецкие изверги отрезали нос и губы, выкололи глаза и вспороли живот. Красноармейца Баймугамбетова гитлеровские людоеды искололи штыками, перебили ноги и руки и вырвали лёгкие и сердце. Лейтенанта К.Николаенко, младшего командира Логинова и красноармейца Асадова немцы облили бензином и заживо сожгли». Акт подписали: лейтенант Ковалёв, воентехник Дерега, старший политрук Швейкин, младший политрук Миментов, военфельдшер Юхнов, красноармейцы Мамедов и Волошин.</w:t>
      </w:r>
    </w:p>
    <w:p w14:paraId="09CA6C58"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угольных шахтах в районе Монса (Бельгия) в связи с актами саботажа резкосократилась добыча угля. Некоторые шахты серьёзно повреждены и совсем прекратили работу.» (14979).</w:t>
      </w:r>
    </w:p>
    <w:p w14:paraId="35AB3447"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04014623" w14:textId="77777777" w:rsidR="00151541" w:rsidRPr="00722885" w:rsidRDefault="00151541" w:rsidP="00722885">
      <w:pPr>
        <w:pStyle w:val="ae"/>
        <w:spacing w:before="0" w:after="0"/>
        <w:jc w:val="both"/>
        <w:textAlignment w:val="baseline"/>
        <w:rPr>
          <w:color w:val="000000" w:themeColor="text1"/>
          <w:sz w:val="16"/>
          <w:szCs w:val="16"/>
        </w:rPr>
      </w:pPr>
      <w:r w:rsidRPr="00722885">
        <w:rPr>
          <w:color w:val="000000" w:themeColor="text1"/>
          <w:sz w:val="16"/>
          <w:szCs w:val="16"/>
        </w:rPr>
        <w:t>10 августа 1942 «горбатые» из 673-го шап выполняли задание в районе реки Малая Тингута. Среди пилотов был старший сержант В. А. Рогальский, для которого это был первый боевой вылет. Когда в его Ил-2 попал зенитный снаряд, то молодой пилот, соответствующе обработанный пропагандой, сразу же решил совершить огненный таран. Вместо того чтобы попытаться дотянуть до своего аэродрома или же в крайнем случае совершить вынужденную посадку и вернуться в полк уже по земле, Рогальский некоторое время спокойно летел, видимо высматривая подходящую цель. В конце концов его штурмовик пошел вниз. По возвращении оставшиеся летчики доложили, что на месте падения самолета они наблюдали «несколько горящих немецких танков» (19522).</w:t>
      </w:r>
    </w:p>
    <w:p w14:paraId="3FEC64FC" w14:textId="77777777" w:rsidR="00151541" w:rsidRPr="00722885" w:rsidRDefault="00151541" w:rsidP="00722885">
      <w:pPr>
        <w:pStyle w:val="ae"/>
        <w:spacing w:before="0" w:after="0"/>
        <w:jc w:val="both"/>
        <w:textAlignment w:val="baseline"/>
        <w:rPr>
          <w:color w:val="000000" w:themeColor="text1"/>
          <w:sz w:val="16"/>
          <w:szCs w:val="16"/>
        </w:rPr>
      </w:pPr>
    </w:p>
    <w:p w14:paraId="2A31C639" w14:textId="77777777" w:rsidR="00C5464C" w:rsidRPr="00722885" w:rsidRDefault="00C546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10 августа 1942 в полку, помимо боевых доне</w:t>
      </w:r>
      <w:r w:rsidRPr="00722885">
        <w:rPr>
          <w:rFonts w:ascii="Times New Roman" w:hAnsi="Times New Roman"/>
          <w:color w:val="0070C0"/>
          <w:sz w:val="16"/>
          <w:szCs w:val="16"/>
        </w:rPr>
        <w:softHyphen/>
        <w:t>сений, начали подробно записывать отчеты о боевых вылетах в журнале боевых действий, что позволяет точно установить боевую работу ТБ-7 под командованием майора Э.К. Пусэпа и разных штурманов. В ночь с 10 на 11 августа полк в течение ночи два раза бомбил аэродром совхоза Дугино, ТБ-7 №42066 также совершил два боевых вылета в течение этой ночи, сбросив 8 ФАБ-250,16 ЗАБ-ЮОцк, 2 САБ-25. Время взлета 20.09, время бомбо</w:t>
      </w:r>
      <w:r w:rsidRPr="00722885">
        <w:rPr>
          <w:rFonts w:ascii="Times New Roman" w:hAnsi="Times New Roman"/>
          <w:color w:val="0070C0"/>
          <w:sz w:val="16"/>
          <w:szCs w:val="16"/>
        </w:rPr>
        <w:softHyphen/>
        <w:t>метания 21.40-21.54, время посадки 23.34. С высоты 3500-3800 м наблюдали.разрывы бомб в юго-восточной, юго-западной и цент</w:t>
      </w:r>
      <w:r w:rsidRPr="00722885">
        <w:rPr>
          <w:rFonts w:ascii="Times New Roman" w:hAnsi="Times New Roman"/>
          <w:color w:val="0070C0"/>
          <w:sz w:val="16"/>
          <w:szCs w:val="16"/>
        </w:rPr>
        <w:softHyphen/>
        <w:t>ральной части аэродрома. Возникло 8 очагов пожаров. Следующей ночью 11.08.42 г. ТБ-7 №42066 опять участвовал в налете на аэро</w:t>
      </w:r>
      <w:r w:rsidRPr="00722885">
        <w:rPr>
          <w:rFonts w:ascii="Times New Roman" w:hAnsi="Times New Roman"/>
          <w:color w:val="0070C0"/>
          <w:sz w:val="16"/>
          <w:szCs w:val="16"/>
        </w:rPr>
        <w:softHyphen/>
        <w:t>дром совхоза Дугино, сбросив 24 ФАБ-100, 2 РРАБ-2 (А0-25=36, ЗАБ-2,5=80) с высоты 3000 м. Время взлета 2.00, время бомбомета</w:t>
      </w:r>
      <w:r w:rsidRPr="00722885">
        <w:rPr>
          <w:rFonts w:ascii="Times New Roman" w:hAnsi="Times New Roman"/>
          <w:color w:val="0070C0"/>
          <w:sz w:val="16"/>
          <w:szCs w:val="16"/>
        </w:rPr>
        <w:softHyphen/>
        <w:t>ния 3.25-3.36, время посадки 4.56. Разрывы бомб наблюдали в юго-восточной, юго- западной и северо-западной части аэродро</w:t>
      </w:r>
      <w:r w:rsidRPr="00722885">
        <w:rPr>
          <w:rFonts w:ascii="Times New Roman" w:hAnsi="Times New Roman"/>
          <w:color w:val="0070C0"/>
          <w:sz w:val="16"/>
          <w:szCs w:val="16"/>
        </w:rPr>
        <w:softHyphen/>
        <w:t>ма. В северо-западной части на опушке леса возник пожар.</w:t>
      </w:r>
    </w:p>
    <w:p w14:paraId="528E49B4" w14:textId="77777777" w:rsidR="00C5464C" w:rsidRPr="00722885" w:rsidRDefault="00C546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12.08.42. Экипаж Пусэп, Легкоступ. Цель - бомбардирование аэродрома города Смо</w:t>
      </w:r>
      <w:r w:rsidRPr="00722885">
        <w:rPr>
          <w:rFonts w:ascii="Times New Roman" w:hAnsi="Times New Roman"/>
          <w:color w:val="0070C0"/>
          <w:sz w:val="16"/>
          <w:szCs w:val="16"/>
        </w:rPr>
        <w:softHyphen/>
        <w:t xml:space="preserve">ленск. Сброшено 8 ФАБ-250, 2 РРАБ-2 (А0- 15 </w:t>
      </w:r>
      <w:r w:rsidRPr="00722885">
        <w:rPr>
          <w:rStyle w:val="423"/>
          <w:rFonts w:ascii="Times New Roman" w:hAnsi="Times New Roman" w:cs="Times New Roman"/>
          <w:color w:val="0070C0"/>
          <w:sz w:val="16"/>
          <w:szCs w:val="16"/>
        </w:rPr>
        <w:t xml:space="preserve">- </w:t>
      </w:r>
      <w:r w:rsidRPr="00722885">
        <w:rPr>
          <w:rFonts w:ascii="Times New Roman" w:hAnsi="Times New Roman"/>
          <w:color w:val="0070C0"/>
          <w:sz w:val="16"/>
          <w:szCs w:val="16"/>
        </w:rPr>
        <w:t>80) с высоты 6000 м. Время взлета 20.17, время бомбометания 22.21, время посадки 00.10. Отмечено попадание бомб в юго-вос</w:t>
      </w:r>
      <w:r w:rsidRPr="00722885">
        <w:rPr>
          <w:rFonts w:ascii="Times New Roman" w:hAnsi="Times New Roman"/>
          <w:color w:val="0070C0"/>
          <w:sz w:val="16"/>
          <w:szCs w:val="16"/>
        </w:rPr>
        <w:softHyphen/>
        <w:t>точную часть аэродрома. В результате воз</w:t>
      </w:r>
      <w:r w:rsidRPr="00722885">
        <w:rPr>
          <w:rFonts w:ascii="Times New Roman" w:hAnsi="Times New Roman"/>
          <w:color w:val="0070C0"/>
          <w:sz w:val="16"/>
          <w:szCs w:val="16"/>
        </w:rPr>
        <w:softHyphen/>
        <w:t>никло два пожара и был уничтожен один про</w:t>
      </w:r>
      <w:r w:rsidRPr="00722885">
        <w:rPr>
          <w:rFonts w:ascii="Times New Roman" w:hAnsi="Times New Roman"/>
          <w:color w:val="0070C0"/>
          <w:sz w:val="16"/>
          <w:szCs w:val="16"/>
        </w:rPr>
        <w:softHyphen/>
        <w:t>жектор.</w:t>
      </w:r>
    </w:p>
    <w:p w14:paraId="37AE65CB" w14:textId="77777777" w:rsidR="00C5464C" w:rsidRPr="00722885" w:rsidRDefault="00C546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13.08.42. Экипаж Пусэп, Легкоступ. Цель - бомбардирование аэродрома Сеща. Сбро</w:t>
      </w:r>
      <w:r w:rsidRPr="00722885">
        <w:rPr>
          <w:rFonts w:ascii="Times New Roman" w:hAnsi="Times New Roman"/>
          <w:color w:val="0070C0"/>
          <w:sz w:val="16"/>
          <w:szCs w:val="16"/>
        </w:rPr>
        <w:softHyphen/>
        <w:t xml:space="preserve">шено 4 ФАБ 500,2 РРАБ-2 (А0-15 </w:t>
      </w:r>
      <w:r w:rsidRPr="00722885">
        <w:rPr>
          <w:rStyle w:val="433"/>
          <w:rFonts w:ascii="Times New Roman" w:hAnsi="Times New Roman" w:cs="Times New Roman"/>
          <w:color w:val="0070C0"/>
          <w:sz w:val="16"/>
          <w:szCs w:val="16"/>
        </w:rPr>
        <w:t xml:space="preserve">- </w:t>
      </w:r>
      <w:r w:rsidRPr="00722885">
        <w:rPr>
          <w:rFonts w:ascii="Times New Roman" w:hAnsi="Times New Roman"/>
          <w:color w:val="0070C0"/>
          <w:sz w:val="16"/>
          <w:szCs w:val="16"/>
        </w:rPr>
        <w:t>80) с 4200 м. Время взлета 20.18, время бомбометания 21.43, время посадки 23.38. Разрывы бомб в юго-западной и центральной части аэродро</w:t>
      </w:r>
      <w:r w:rsidRPr="00722885">
        <w:rPr>
          <w:rFonts w:ascii="Times New Roman" w:hAnsi="Times New Roman"/>
          <w:color w:val="0070C0"/>
          <w:sz w:val="16"/>
          <w:szCs w:val="16"/>
        </w:rPr>
        <w:softHyphen/>
        <w:t>ма, возникло два пожара.</w:t>
      </w:r>
    </w:p>
    <w:p w14:paraId="3883E9B3" w14:textId="77777777" w:rsidR="00C5464C" w:rsidRPr="00722885" w:rsidRDefault="00C546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14.08.42. Экипаж Пусэп, Легкоступ. Цель - бомбардирование аэродрома Шаталово. Сброшено 8 ФАБ 250, 2 РРАБ-2 (А0-10 </w:t>
      </w:r>
      <w:r w:rsidRPr="00722885">
        <w:rPr>
          <w:rStyle w:val="433"/>
          <w:rFonts w:ascii="Times New Roman" w:hAnsi="Times New Roman" w:cs="Times New Roman"/>
          <w:color w:val="0070C0"/>
          <w:sz w:val="16"/>
          <w:szCs w:val="16"/>
        </w:rPr>
        <w:t xml:space="preserve">- </w:t>
      </w:r>
      <w:r w:rsidRPr="00722885">
        <w:rPr>
          <w:rFonts w:ascii="Times New Roman" w:hAnsi="Times New Roman"/>
          <w:color w:val="0070C0"/>
          <w:sz w:val="16"/>
          <w:szCs w:val="16"/>
        </w:rPr>
        <w:t xml:space="preserve">105, ЗАБ-2,5 </w:t>
      </w:r>
      <w:r w:rsidRPr="00722885">
        <w:rPr>
          <w:rStyle w:val="423"/>
          <w:rFonts w:ascii="Times New Roman" w:hAnsi="Times New Roman" w:cs="Times New Roman"/>
          <w:color w:val="0070C0"/>
          <w:sz w:val="16"/>
          <w:szCs w:val="16"/>
        </w:rPr>
        <w:t xml:space="preserve">- </w:t>
      </w:r>
      <w:r w:rsidRPr="00722885">
        <w:rPr>
          <w:rFonts w:ascii="Times New Roman" w:hAnsi="Times New Roman"/>
          <w:color w:val="0070C0"/>
          <w:sz w:val="16"/>
          <w:szCs w:val="16"/>
        </w:rPr>
        <w:t>40), 2 САБ-25 с высоты 3000 м. Время взлета 20.10, время бомбометания 22.08, время посадки 00.10. Наблюдали раз</w:t>
      </w:r>
      <w:r w:rsidRPr="00722885">
        <w:rPr>
          <w:rFonts w:ascii="Times New Roman" w:hAnsi="Times New Roman"/>
          <w:color w:val="0070C0"/>
          <w:sz w:val="16"/>
          <w:szCs w:val="16"/>
        </w:rPr>
        <w:softHyphen/>
        <w:t>рывы бомб в юго-западной части аэродрома и перекрыта РРАБами южная часть аэродро</w:t>
      </w:r>
      <w:r w:rsidRPr="00722885">
        <w:rPr>
          <w:rFonts w:ascii="Times New Roman" w:hAnsi="Times New Roman"/>
          <w:color w:val="0070C0"/>
          <w:sz w:val="16"/>
          <w:szCs w:val="16"/>
        </w:rPr>
        <w:softHyphen/>
        <w:t>ма. В результате бомбометания возникло три пожара, два из них крупных (19936).</w:t>
      </w:r>
    </w:p>
    <w:p w14:paraId="37A94069" w14:textId="77777777" w:rsidR="00C5464C" w:rsidRPr="00722885" w:rsidRDefault="00C5464C" w:rsidP="00722885">
      <w:pPr>
        <w:spacing w:after="0" w:line="240" w:lineRule="auto"/>
        <w:jc w:val="both"/>
        <w:rPr>
          <w:rFonts w:ascii="Times New Roman" w:hAnsi="Times New Roman"/>
          <w:color w:val="0070C0"/>
          <w:sz w:val="16"/>
          <w:szCs w:val="16"/>
        </w:rPr>
      </w:pPr>
    </w:p>
    <w:p w14:paraId="6AEB0132"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в 1942 году в СССР немецкая армия захватывает Майкоп и начинает наступление на Грозный и Баку (14979).</w:t>
      </w:r>
    </w:p>
    <w:p w14:paraId="5499B959"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2868719C"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в 1942 году немецкие войска заняли Кисловодск (14979).</w:t>
      </w:r>
    </w:p>
    <w:p w14:paraId="49DB4530"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7BFA2244"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10 августа в 1942 году разгром войск 62-й общевойсковой и 1-й танковой армий, прикрывавших Сталинград в Большой излучине Дона. Разбито девять стрелковых дивизий и семь танковых бригад, пленены 57 тысяч красноармейцев, потеряна тысяча танков. Советские войска отошли на правый берег Дона и заняли оборону (14979).</w:t>
      </w:r>
    </w:p>
    <w:p w14:paraId="4601971E"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460F430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в 1942 году войска Юго-Восточного фронта нанесли контрудар в районе Абганерово и вынудили 4-ю танковую армию противника перейти к обороне (14979).</w:t>
      </w:r>
    </w:p>
    <w:p w14:paraId="528B10F3"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3C1616F7"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в 1942 году войска противника захватили Майкоп, Белореченскую (в ее районе плацдарм на левом берегу реки Белой) и вышли к реке Кубань (14979).</w:t>
      </w:r>
    </w:p>
    <w:p w14:paraId="367BCFA8"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46DA36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августа 1942 звено и ВВС ЧМФ л Д.В.Зюзина, патрулируя над Туапсе, встретила 30 б и атаковала. Зюзин сбил ведущего, потом еще один Не-111 и стал ГСС (438,855).</w:t>
      </w:r>
    </w:p>
    <w:p w14:paraId="3C60F7E4" w14:textId="77777777" w:rsidR="00AE7191" w:rsidRPr="00722885" w:rsidRDefault="00AE7191" w:rsidP="00722885">
      <w:pPr>
        <w:pStyle w:val="Iauiue"/>
        <w:jc w:val="both"/>
        <w:rPr>
          <w:color w:val="000000" w:themeColor="text1"/>
          <w:sz w:val="16"/>
          <w:szCs w:val="16"/>
        </w:rPr>
      </w:pPr>
    </w:p>
    <w:p w14:paraId="6F12C53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августа 1942 на взлете в Геленджике была подбита и погибла АНТ-44 (1794,20).</w:t>
      </w:r>
    </w:p>
    <w:p w14:paraId="3E248B39" w14:textId="77777777" w:rsidR="00AE7191" w:rsidRPr="00722885" w:rsidRDefault="00AE7191" w:rsidP="00722885">
      <w:pPr>
        <w:pStyle w:val="Iauiue"/>
        <w:jc w:val="both"/>
        <w:rPr>
          <w:color w:val="000000" w:themeColor="text1"/>
          <w:sz w:val="16"/>
          <w:szCs w:val="16"/>
        </w:rPr>
      </w:pPr>
    </w:p>
    <w:p w14:paraId="1AFDE5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1942 г. МТБ подготовили к вылету - подвесили 12 ФАБ-250. Стоял штиль, поэтому с первого, и даже со второго раза, тяжело нагруженный самолет оторваться от воды не смог. В третьей попытке, в момент отрыва от поверхности бухты, взлетающий МТБ-2 атаковали два истребителя Ме-110 (или Ме-109) и он врезался в воду. В живых остался только командир корабля капитан Наумов - его выбросило из кабины и, по его личному свидетельству, он даже не успел ничего понять. Погибли штурман капитан И.П.Грязных, второй пилот ст. лейтенант А.А.Чайка, радиотехник лейтенант Н.К.Назаров, стрелок ст. сержант М.М.Дубина, стрелок-радист младший сержант А.У.Кошнар.</w:t>
      </w:r>
    </w:p>
    <w:p w14:paraId="1948C0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Расследование инцидента было коротким: виновником гибели экипажа и самолета объявили капитана Наумова: якобы он рано начал разворот на взлете и задел крылом воду, далее последовала катастрофа. Позднее Наумова перевели для продолжения службы на Северный флот.</w:t>
      </w:r>
    </w:p>
    <w:p w14:paraId="171ED79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Останки МТБ-2 более сорока лет пролежали в море, на глубине 10-12 метров на выходе из Ге- ленджикской бухты у Толстого мыса. В 1988- 1989 гг. место падения самолета обследовали водолазы самодеятельной группы "Поиск" на предмет возможности подъема его на поверхность. Однако осмотр показал, что обломки машины перемешаны с неразорвавшимися бомбами (теми самыми, с которыми МТБ уходил в боевой полет). Операция по подъему была отложена, а затем вызванные из Севастополя саперы подорвали опасную находку прямо на дне. </w:t>
      </w:r>
    </w:p>
    <w:p w14:paraId="1542516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Основные технические характеристики и летные данные АНТ-44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37"/>
        <w:gridCol w:w="3437"/>
        <w:gridCol w:w="3437"/>
      </w:tblGrid>
      <w:tr w:rsidR="009B487A" w:rsidRPr="00722885" w14:paraId="79358E59" w14:textId="77777777" w:rsidTr="00CC5360">
        <w:tc>
          <w:tcPr>
            <w:tcW w:w="3437" w:type="dxa"/>
            <w:tcBorders>
              <w:top w:val="single" w:sz="12" w:space="0" w:color="auto"/>
            </w:tcBorders>
          </w:tcPr>
          <w:p w14:paraId="2C393B6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3437" w:type="dxa"/>
            <w:tcBorders>
              <w:top w:val="single" w:sz="12" w:space="0" w:color="auto"/>
            </w:tcBorders>
          </w:tcPr>
          <w:p w14:paraId="2AA7A7B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АНТ-44</w:t>
            </w:r>
          </w:p>
        </w:tc>
        <w:tc>
          <w:tcPr>
            <w:tcW w:w="3437" w:type="dxa"/>
            <w:tcBorders>
              <w:top w:val="single" w:sz="12" w:space="0" w:color="auto"/>
            </w:tcBorders>
          </w:tcPr>
          <w:p w14:paraId="7CDB040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АНТ-44Д</w:t>
            </w:r>
          </w:p>
        </w:tc>
      </w:tr>
      <w:tr w:rsidR="009B487A" w:rsidRPr="00722885" w14:paraId="0EC51ED3" w14:textId="77777777" w:rsidTr="00CC5360">
        <w:tc>
          <w:tcPr>
            <w:tcW w:w="3437" w:type="dxa"/>
          </w:tcPr>
          <w:p w14:paraId="16A2F3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Двигатели</w:t>
            </w:r>
          </w:p>
        </w:tc>
        <w:tc>
          <w:tcPr>
            <w:tcW w:w="3437" w:type="dxa"/>
          </w:tcPr>
          <w:p w14:paraId="046189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М-85</w:t>
            </w:r>
          </w:p>
        </w:tc>
        <w:tc>
          <w:tcPr>
            <w:tcW w:w="3437" w:type="dxa"/>
          </w:tcPr>
          <w:p w14:paraId="2CE9574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М-87</w:t>
            </w:r>
          </w:p>
        </w:tc>
      </w:tr>
      <w:tr w:rsidR="009B487A" w:rsidRPr="00722885" w14:paraId="2682C0BA" w14:textId="77777777" w:rsidTr="00CC5360">
        <w:tc>
          <w:tcPr>
            <w:tcW w:w="3437" w:type="dxa"/>
          </w:tcPr>
          <w:p w14:paraId="3B3C3FB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в линии полета (м)</w:t>
            </w:r>
          </w:p>
        </w:tc>
        <w:tc>
          <w:tcPr>
            <w:tcW w:w="3437" w:type="dxa"/>
          </w:tcPr>
          <w:p w14:paraId="11646E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21,15</w:t>
            </w:r>
          </w:p>
        </w:tc>
        <w:tc>
          <w:tcPr>
            <w:tcW w:w="3437" w:type="dxa"/>
          </w:tcPr>
          <w:p w14:paraId="54F3C2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21,94</w:t>
            </w:r>
          </w:p>
        </w:tc>
      </w:tr>
      <w:tr w:rsidR="009B487A" w:rsidRPr="00722885" w14:paraId="41E23BD8" w14:textId="77777777" w:rsidTr="00CC5360">
        <w:tc>
          <w:tcPr>
            <w:tcW w:w="3437" w:type="dxa"/>
          </w:tcPr>
          <w:p w14:paraId="012860E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в линии полета (м)</w:t>
            </w:r>
          </w:p>
        </w:tc>
        <w:tc>
          <w:tcPr>
            <w:tcW w:w="3437" w:type="dxa"/>
          </w:tcPr>
          <w:p w14:paraId="051A8D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7,875</w:t>
            </w:r>
          </w:p>
        </w:tc>
        <w:tc>
          <w:tcPr>
            <w:tcW w:w="3437" w:type="dxa"/>
          </w:tcPr>
          <w:p w14:paraId="66A4231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8,300</w:t>
            </w:r>
          </w:p>
        </w:tc>
      </w:tr>
      <w:tr w:rsidR="009B487A" w:rsidRPr="00722885" w14:paraId="664296E8" w14:textId="77777777" w:rsidTr="00CC5360">
        <w:tc>
          <w:tcPr>
            <w:tcW w:w="3437" w:type="dxa"/>
          </w:tcPr>
          <w:p w14:paraId="1F1EA0F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w:t>
            </w:r>
          </w:p>
        </w:tc>
        <w:tc>
          <w:tcPr>
            <w:tcW w:w="3437" w:type="dxa"/>
          </w:tcPr>
          <w:p w14:paraId="7510FE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35,450</w:t>
            </w:r>
          </w:p>
        </w:tc>
        <w:tc>
          <w:tcPr>
            <w:tcW w:w="3437" w:type="dxa"/>
          </w:tcPr>
          <w:p w14:paraId="27FB14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36,450</w:t>
            </w:r>
          </w:p>
        </w:tc>
      </w:tr>
      <w:tr w:rsidR="009B487A" w:rsidRPr="00722885" w14:paraId="3F60DD6C" w14:textId="77777777" w:rsidTr="00CC5360">
        <w:tc>
          <w:tcPr>
            <w:tcW w:w="3437" w:type="dxa"/>
          </w:tcPr>
          <w:p w14:paraId="23A42C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(мг)</w:t>
            </w:r>
          </w:p>
        </w:tc>
        <w:tc>
          <w:tcPr>
            <w:tcW w:w="3437" w:type="dxa"/>
          </w:tcPr>
          <w:p w14:paraId="6C58A61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143,5</w:t>
            </w:r>
          </w:p>
        </w:tc>
        <w:tc>
          <w:tcPr>
            <w:tcW w:w="3437" w:type="dxa"/>
          </w:tcPr>
          <w:p w14:paraId="1FE8C1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146,7</w:t>
            </w:r>
          </w:p>
        </w:tc>
      </w:tr>
      <w:tr w:rsidR="009B487A" w:rsidRPr="00722885" w14:paraId="543BC5E1" w14:textId="77777777" w:rsidTr="00CC5360">
        <w:tc>
          <w:tcPr>
            <w:tcW w:w="3437" w:type="dxa"/>
          </w:tcPr>
          <w:p w14:paraId="021B584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пустого (кг)</w:t>
            </w:r>
          </w:p>
        </w:tc>
        <w:tc>
          <w:tcPr>
            <w:tcW w:w="3437" w:type="dxa"/>
          </w:tcPr>
          <w:p w14:paraId="6E1709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11528</w:t>
            </w:r>
          </w:p>
        </w:tc>
        <w:tc>
          <w:tcPr>
            <w:tcW w:w="3437" w:type="dxa"/>
          </w:tcPr>
          <w:p w14:paraId="04E159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11249</w:t>
            </w:r>
          </w:p>
        </w:tc>
      </w:tr>
      <w:tr w:rsidR="009B487A" w:rsidRPr="00722885" w14:paraId="5899F43B" w14:textId="77777777" w:rsidTr="00CC5360">
        <w:tc>
          <w:tcPr>
            <w:tcW w:w="3437" w:type="dxa"/>
          </w:tcPr>
          <w:p w14:paraId="142321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(кг)</w:t>
            </w:r>
          </w:p>
        </w:tc>
        <w:tc>
          <w:tcPr>
            <w:tcW w:w="3437" w:type="dxa"/>
          </w:tcPr>
          <w:p w14:paraId="22B5FC2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17540*</w:t>
            </w:r>
          </w:p>
        </w:tc>
        <w:tc>
          <w:tcPr>
            <w:tcW w:w="3437" w:type="dxa"/>
          </w:tcPr>
          <w:p w14:paraId="3A9747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18500</w:t>
            </w:r>
          </w:p>
        </w:tc>
      </w:tr>
      <w:tr w:rsidR="009B487A" w:rsidRPr="00722885" w14:paraId="2E34802A" w14:textId="77777777" w:rsidTr="00CC5360">
        <w:tc>
          <w:tcPr>
            <w:tcW w:w="3437" w:type="dxa"/>
          </w:tcPr>
          <w:p w14:paraId="253B6AC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Максимальный полетный вес(кг)</w:t>
            </w:r>
          </w:p>
        </w:tc>
        <w:tc>
          <w:tcPr>
            <w:tcW w:w="3437" w:type="dxa"/>
          </w:tcPr>
          <w:p w14:paraId="737C2A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21000</w:t>
            </w:r>
          </w:p>
        </w:tc>
        <w:tc>
          <w:tcPr>
            <w:tcW w:w="3437" w:type="dxa"/>
          </w:tcPr>
          <w:p w14:paraId="7D89E57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22000</w:t>
            </w:r>
          </w:p>
        </w:tc>
      </w:tr>
      <w:tr w:rsidR="009B487A" w:rsidRPr="00722885" w14:paraId="39FDF348" w14:textId="77777777" w:rsidTr="00CC5360">
        <w:tc>
          <w:tcPr>
            <w:tcW w:w="3437" w:type="dxa"/>
          </w:tcPr>
          <w:p w14:paraId="2F2589D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Нагрузка на крыло (кг/мг)</w:t>
            </w:r>
          </w:p>
        </w:tc>
        <w:tc>
          <w:tcPr>
            <w:tcW w:w="3437" w:type="dxa"/>
          </w:tcPr>
          <w:p w14:paraId="4E2530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122-146</w:t>
            </w:r>
          </w:p>
        </w:tc>
        <w:tc>
          <w:tcPr>
            <w:tcW w:w="3437" w:type="dxa"/>
          </w:tcPr>
          <w:p w14:paraId="03CF12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126-150</w:t>
            </w:r>
          </w:p>
        </w:tc>
      </w:tr>
      <w:tr w:rsidR="009B487A" w:rsidRPr="00722885" w14:paraId="292F8F73" w14:textId="77777777" w:rsidTr="00CC5360">
        <w:tc>
          <w:tcPr>
            <w:tcW w:w="3437" w:type="dxa"/>
          </w:tcPr>
          <w:p w14:paraId="5E6AEC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макс, у земли (км/ч)</w:t>
            </w:r>
          </w:p>
        </w:tc>
        <w:tc>
          <w:tcPr>
            <w:tcW w:w="3437" w:type="dxa"/>
          </w:tcPr>
          <w:p w14:paraId="470B07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285</w:t>
            </w:r>
          </w:p>
        </w:tc>
        <w:tc>
          <w:tcPr>
            <w:tcW w:w="3437" w:type="dxa"/>
          </w:tcPr>
          <w:p w14:paraId="0D203F7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295</w:t>
            </w:r>
          </w:p>
        </w:tc>
      </w:tr>
      <w:tr w:rsidR="009B487A" w:rsidRPr="00722885" w14:paraId="77325B7A" w14:textId="77777777" w:rsidTr="00CC5360">
        <w:tc>
          <w:tcPr>
            <w:tcW w:w="3437" w:type="dxa"/>
          </w:tcPr>
          <w:p w14:paraId="209EF2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макс, на высоте 3000 м (км/ч)</w:t>
            </w:r>
          </w:p>
        </w:tc>
        <w:tc>
          <w:tcPr>
            <w:tcW w:w="3437" w:type="dxa"/>
          </w:tcPr>
          <w:p w14:paraId="0CD30C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326**</w:t>
            </w:r>
          </w:p>
        </w:tc>
        <w:tc>
          <w:tcPr>
            <w:tcW w:w="3437" w:type="dxa"/>
          </w:tcPr>
          <w:p w14:paraId="17A02E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355</w:t>
            </w:r>
          </w:p>
        </w:tc>
      </w:tr>
      <w:tr w:rsidR="009B487A" w:rsidRPr="00722885" w14:paraId="0809D0B7" w14:textId="77777777" w:rsidTr="00CC5360">
        <w:tc>
          <w:tcPr>
            <w:tcW w:w="3437" w:type="dxa"/>
          </w:tcPr>
          <w:p w14:paraId="61EC41F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посадочная (км/ч)</w:t>
            </w:r>
          </w:p>
        </w:tc>
        <w:tc>
          <w:tcPr>
            <w:tcW w:w="3437" w:type="dxa"/>
          </w:tcPr>
          <w:p w14:paraId="3FAAA6A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w:t>
            </w:r>
          </w:p>
        </w:tc>
        <w:tc>
          <w:tcPr>
            <w:tcW w:w="3437" w:type="dxa"/>
          </w:tcPr>
          <w:p w14:paraId="10C8F27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w:t>
            </w:r>
          </w:p>
        </w:tc>
      </w:tr>
      <w:tr w:rsidR="009B487A" w:rsidRPr="00722885" w14:paraId="13CACB93" w14:textId="77777777" w:rsidTr="00CC5360">
        <w:tc>
          <w:tcPr>
            <w:tcW w:w="3437" w:type="dxa"/>
          </w:tcPr>
          <w:p w14:paraId="7B98B3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(мин)</w:t>
            </w:r>
          </w:p>
        </w:tc>
        <w:tc>
          <w:tcPr>
            <w:tcW w:w="3437" w:type="dxa"/>
          </w:tcPr>
          <w:p w14:paraId="2C18F6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28,3</w:t>
            </w:r>
          </w:p>
        </w:tc>
        <w:tc>
          <w:tcPr>
            <w:tcW w:w="3437" w:type="dxa"/>
          </w:tcPr>
          <w:p w14:paraId="54B08A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25,5</w:t>
            </w:r>
          </w:p>
        </w:tc>
      </w:tr>
      <w:tr w:rsidR="009B487A" w:rsidRPr="00722885" w14:paraId="212C2C42" w14:textId="77777777" w:rsidTr="00CC5360">
        <w:tc>
          <w:tcPr>
            <w:tcW w:w="3437" w:type="dxa"/>
          </w:tcPr>
          <w:p w14:paraId="65F070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Потолок практический (м)</w:t>
            </w:r>
          </w:p>
        </w:tc>
        <w:tc>
          <w:tcPr>
            <w:tcW w:w="3437" w:type="dxa"/>
          </w:tcPr>
          <w:p w14:paraId="5421CE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6600</w:t>
            </w:r>
          </w:p>
        </w:tc>
        <w:tc>
          <w:tcPr>
            <w:tcW w:w="3437" w:type="dxa"/>
          </w:tcPr>
          <w:p w14:paraId="2FEFE4E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7500</w:t>
            </w:r>
          </w:p>
        </w:tc>
      </w:tr>
      <w:tr w:rsidR="009B487A" w:rsidRPr="00722885" w14:paraId="204E333F" w14:textId="77777777" w:rsidTr="00CC5360">
        <w:tc>
          <w:tcPr>
            <w:tcW w:w="3437" w:type="dxa"/>
          </w:tcPr>
          <w:p w14:paraId="36AAB3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разбега с весом 18000 кг (м)</w:t>
            </w:r>
          </w:p>
        </w:tc>
        <w:tc>
          <w:tcPr>
            <w:tcW w:w="3437" w:type="dxa"/>
          </w:tcPr>
          <w:p w14:paraId="4DB023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800-900</w:t>
            </w:r>
          </w:p>
        </w:tc>
        <w:tc>
          <w:tcPr>
            <w:tcW w:w="3437" w:type="dxa"/>
          </w:tcPr>
          <w:p w14:paraId="79572C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6233350" w14:textId="77777777" w:rsidTr="00CC5360">
        <w:tc>
          <w:tcPr>
            <w:tcW w:w="3437" w:type="dxa"/>
          </w:tcPr>
          <w:p w14:paraId="7310BF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полета нормальная (км)</w:t>
            </w:r>
          </w:p>
        </w:tc>
        <w:tc>
          <w:tcPr>
            <w:tcW w:w="3437" w:type="dxa"/>
          </w:tcPr>
          <w:p w14:paraId="6498BD4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2080</w:t>
            </w:r>
          </w:p>
        </w:tc>
        <w:tc>
          <w:tcPr>
            <w:tcW w:w="3437" w:type="dxa"/>
          </w:tcPr>
          <w:p w14:paraId="52A244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r>
      <w:tr w:rsidR="009B487A" w:rsidRPr="00722885" w14:paraId="54242FEE" w14:textId="77777777" w:rsidTr="00CC5360">
        <w:tc>
          <w:tcPr>
            <w:tcW w:w="3437" w:type="dxa"/>
            <w:tcBorders>
              <w:bottom w:val="single" w:sz="12" w:space="0" w:color="auto"/>
            </w:tcBorders>
          </w:tcPr>
          <w:p w14:paraId="7F7448C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полета максимальная (км)</w:t>
            </w:r>
          </w:p>
        </w:tc>
        <w:tc>
          <w:tcPr>
            <w:tcW w:w="3437" w:type="dxa"/>
            <w:tcBorders>
              <w:bottom w:val="single" w:sz="12" w:space="0" w:color="auto"/>
            </w:tcBorders>
          </w:tcPr>
          <w:p w14:paraId="2B189D1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4390</w:t>
            </w:r>
          </w:p>
        </w:tc>
        <w:tc>
          <w:tcPr>
            <w:tcW w:w="3437" w:type="dxa"/>
            <w:tcBorders>
              <w:bottom w:val="single" w:sz="12" w:space="0" w:color="auto"/>
            </w:tcBorders>
          </w:tcPr>
          <w:p w14:paraId="6A4E2D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4400</w:t>
            </w:r>
          </w:p>
        </w:tc>
      </w:tr>
    </w:tbl>
    <w:p w14:paraId="0B4FAB3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 бомбами 2000 кг и запасом горючего 1800 кг. Максимальный взлетный вес 21000 кг, без бомб, с запасом горючего 6800 кг.</w:t>
      </w:r>
    </w:p>
    <w:p w14:paraId="0A68D43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 двигателями М-87 максимальная скорость 355 км/ч на высоте 3750 м, с М-87А 364 км/ч на высоте 5000 м (11962).</w:t>
      </w:r>
    </w:p>
    <w:p w14:paraId="72A3383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AB1AE0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1942 г. вышло РАСПОРЯЖЕНИЕ ЗАМЕСТИТЕЛЯ НАРКОМА ОБОРОНЫ СССР В ВОЕННЫЙ СОВЕТ 22-й АРМИИ В СВЯЗИ С БОЛЬШИМИ ПОТЕРЯМИ ТАНКОВ</w:t>
      </w:r>
    </w:p>
    <w:p w14:paraId="0D6E97D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Танковые соединения Калининского фронта за период с 2 по 13.07.1942 г. понесли большие по</w:t>
      </w:r>
      <w:r w:rsidRPr="00722885">
        <w:rPr>
          <w:rFonts w:ascii="Times New Roman" w:hAnsi="Times New Roman"/>
          <w:color w:val="000000" w:themeColor="text1"/>
          <w:sz w:val="16"/>
          <w:szCs w:val="16"/>
        </w:rPr>
        <w:softHyphen/>
        <w:t>тери. Причинами потерь служит грубое, преступное нарушение приказов Ставки № 057, 0455.</w:t>
      </w:r>
    </w:p>
    <w:p w14:paraId="66C4D83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Практическое взаимодействие танков с другими родами войск на поле боя было организовано плохо. Разведка огневых средств и сил противника, особенно его противотанковой обороны прово</w:t>
      </w:r>
      <w:r w:rsidRPr="00722885">
        <w:rPr>
          <w:rFonts w:ascii="Times New Roman" w:hAnsi="Times New Roman"/>
          <w:color w:val="000000" w:themeColor="text1"/>
          <w:sz w:val="16"/>
          <w:szCs w:val="16"/>
        </w:rPr>
        <w:softHyphen/>
        <w:t>дилась слабо, местность не разведывалась. Танковые части в обороне и наступлении распылялись.</w:t>
      </w:r>
    </w:p>
    <w:p w14:paraId="28A7BB8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5.07 81 тбр была брошена в ночной бой после 160 км марша. Бригада была не готова для боя, вопро</w:t>
      </w:r>
      <w:r w:rsidRPr="00722885">
        <w:rPr>
          <w:rFonts w:ascii="Times New Roman" w:hAnsi="Times New Roman"/>
          <w:color w:val="000000" w:themeColor="text1"/>
          <w:sz w:val="16"/>
          <w:szCs w:val="16"/>
        </w:rPr>
        <w:softHyphen/>
        <w:t>сы разведки и взаимодействия не были отработаны. Танки ночью самостоятельно вести бой не могут.</w:t>
      </w:r>
    </w:p>
    <w:p w14:paraId="45D1119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такого преступного использования танков бригада потеряла 23 танка.</w:t>
      </w:r>
    </w:p>
    <w:p w14:paraId="009BA90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Действия 104, 148 тбр с 5 по 9.07.1942г. совершенно не были поддержаны частями 179 сд, НЗсбр. Пехота за танками не шла, несмотря на успех боя, больше того, части 179 сд ушли с поля боя, не пре</w:t>
      </w:r>
      <w:r w:rsidRPr="00722885">
        <w:rPr>
          <w:rFonts w:ascii="Times New Roman" w:hAnsi="Times New Roman"/>
          <w:color w:val="000000" w:themeColor="text1"/>
          <w:sz w:val="16"/>
          <w:szCs w:val="16"/>
        </w:rPr>
        <w:softHyphen/>
        <w:t>дупредив танки, пути отхода бригады заминировали, а в районе дер. Прилушки сделали лесные зава</w:t>
      </w:r>
      <w:r w:rsidRPr="00722885">
        <w:rPr>
          <w:rFonts w:ascii="Times New Roman" w:hAnsi="Times New Roman"/>
          <w:color w:val="000000" w:themeColor="text1"/>
          <w:sz w:val="16"/>
          <w:szCs w:val="16"/>
        </w:rPr>
        <w:softHyphen/>
        <w:t>лы, вследствии чего бригада потеряла на минах 13 танков.</w:t>
      </w:r>
    </w:p>
    <w:p w14:paraId="6EAFC0E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Донести мне конкретных виновников подобного преступного использования танков и какие приняты меры к ним.</w:t>
      </w:r>
    </w:p>
    <w:p w14:paraId="6788AF4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Заместитель народного комиссара обороны Союза ССР генерал-лейтенант танковых войск Федоренко</w:t>
      </w:r>
    </w:p>
    <w:p w14:paraId="01B8BC6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11353. Д. 14. Л. 95-96. Подлинник (11211).</w:t>
      </w:r>
    </w:p>
    <w:p w14:paraId="2720F9E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71F48F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августа 1942 закончилась оборона Сталинграда на дальних подступах (340,92).</w:t>
      </w:r>
    </w:p>
    <w:p w14:paraId="463F11DC" w14:textId="77777777" w:rsidR="00AE7191" w:rsidRPr="00722885" w:rsidRDefault="00AE7191" w:rsidP="00722885">
      <w:pPr>
        <w:pStyle w:val="Iauiue"/>
        <w:jc w:val="both"/>
        <w:rPr>
          <w:color w:val="000000" w:themeColor="text1"/>
          <w:sz w:val="16"/>
          <w:szCs w:val="16"/>
        </w:rPr>
      </w:pPr>
    </w:p>
    <w:p w14:paraId="7C9CEE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августа 1942 года, когда бои уже перекинулись в район предгорий Кавказа, жаркие воздушные бои разгорались над Новороссийском. Немцы бросили на город 59 бомбардировщиков и 20 истребителей, в то время как советская сторона отправила на перехват машины 7-го и 62-го ИАП. Оба полка заявили 6 Не-111 и 3 Вf109, потеряв 2 ЛаГГ-3. Неожиданно разворачивался бой с участием младшего лейтенанта М. Борисова из 62-го ИАП. Он сбил один Не-111, но и его ЛаГГ получил попадание. Падающий истребитель врезался в шедший рядом немецкий бомбардировщик, а разлетевшиеся обломки накрыли еще один немецкий бомбовоз. 23 года спустя Борисова посмертно представили к Золотой Звезде Героя (2691).</w:t>
      </w:r>
    </w:p>
    <w:p w14:paraId="2B768C94" w14:textId="77777777" w:rsidR="00AE7191" w:rsidRPr="00722885" w:rsidRDefault="00AE7191" w:rsidP="00722885">
      <w:pPr>
        <w:pStyle w:val="Iauiue"/>
        <w:jc w:val="both"/>
        <w:rPr>
          <w:color w:val="000000" w:themeColor="text1"/>
          <w:sz w:val="16"/>
          <w:szCs w:val="16"/>
        </w:rPr>
      </w:pPr>
    </w:p>
    <w:p w14:paraId="7DFBC8C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августа 1942 в 08.00 девять «Хейнкелей» на высоте 40—50 м снова незамеченными подошли к Сталинграду и группами по три самолета атаковали аэродромы Воропоново и Центральный, сбросив на них осколочные бомбы. В результате были уничтожены множество советских истребителей и других самолетов. Были убиты генерал-лейтенант артиллерии Мешков, два полковника и еще несколько офицеров, оказавшихся в момент налета на взлетной полосе. А уже в 08.15 Ju-88 из KG76 с пикирования атаковали станцию Воропоново. Вследствие прямых попаданий взорвался эшелон с боеприпасами, и над поселком взметнулся огромный столб пламени. Грохот взрыва снова пронесся по улицам Сталинграда, повергнув жителей в панику. Во второй половине дня 10 августа налеты германской авиации возобновились. На этот раз «Юнкерсы» бомбили позиции зенитных батарей в южной части Сталинграда и на подступах к нему. Бомбардировщики, невзирая на отчаянный зенитный огонь, действовали на малых высотах, в результате чего, по воспоминаниям зенитчицы Матвеевой, один Ju-88 был подбит 8-й батареей 748-го ЗенАП, задымил и стал снижаться. При этом пилот, видимо, пытался развернуть машину на запад. Пролетев над городом, оставляя толстый дымный след, «Юнкере» ушел за Волгу и там рухнул на землю. Одновременно с этим над Сталинградом происходили и многочисленные воздушные бои с участием истребителей. 11 августа группа МиГ-3 из 439-го ИАП ПВО патрулировала на небольшой высоте в районе Сталинграда, когда их внезапно со стороны солнца атаковала пара «Мессершмиттов». Самолет старшего лейтенанта Погребяка вспыхнул и начал падать. Пилот, получив ранения в ноги и руки, все же смог покинуть горящий «МиГ» и опустился на парашюте. Что </w:t>
      </w:r>
      <w:r w:rsidRPr="00722885">
        <w:rPr>
          <w:rFonts w:ascii="Times New Roman" w:hAnsi="Times New Roman"/>
          <w:color w:val="000000" w:themeColor="text1"/>
          <w:sz w:val="16"/>
          <w:szCs w:val="16"/>
        </w:rPr>
        <w:lastRenderedPageBreak/>
        <w:t>удивительно: остальные советские пилоты даже не заметили атаку противника и падающий самолет своего товарища, продолжив патрулирование, не меняя ни скорости, ни высоты! Впрочем, «сталинских соколов» частично оправдывает полное отсутствие у них радиосвязи (11774).</w:t>
      </w:r>
    </w:p>
    <w:p w14:paraId="3F52714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8D09B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10 августа 1942 через три дня подвиг Землянского повторил молодой летчик-штурмовик 673-го </w:t>
      </w:r>
      <w:r w:rsidRPr="00722885">
        <w:rPr>
          <w:iCs/>
          <w:color w:val="000000" w:themeColor="text1"/>
          <w:sz w:val="16"/>
          <w:szCs w:val="16"/>
        </w:rPr>
        <w:t>шап</w:t>
      </w:r>
      <w:r w:rsidRPr="00722885">
        <w:rPr>
          <w:color w:val="000000" w:themeColor="text1"/>
          <w:sz w:val="16"/>
          <w:szCs w:val="16"/>
        </w:rPr>
        <w:t xml:space="preserve"> ст. с-т В.А.Рогальский, кото</w:t>
      </w:r>
      <w:r w:rsidRPr="00722885">
        <w:rPr>
          <w:color w:val="000000" w:themeColor="text1"/>
          <w:sz w:val="16"/>
          <w:szCs w:val="16"/>
        </w:rPr>
        <w:softHyphen/>
        <w:t>рый в своем первом боевом вылете был подбит огнем зенитной артиллерии над целью в районе р. Малая-Тингута. Штур</w:t>
      </w:r>
      <w:r w:rsidRPr="00722885">
        <w:rPr>
          <w:color w:val="000000" w:themeColor="text1"/>
          <w:sz w:val="16"/>
          <w:szCs w:val="16"/>
        </w:rPr>
        <w:softHyphen/>
        <w:t>мовик загорелся. В результате падения Ил-2 Рогальского на скопление автома</w:t>
      </w:r>
      <w:r w:rsidRPr="00722885">
        <w:rPr>
          <w:color w:val="000000" w:themeColor="text1"/>
          <w:sz w:val="16"/>
          <w:szCs w:val="16"/>
        </w:rPr>
        <w:softHyphen/>
        <w:t>шин с грузами наблюдались сильные взрывы...(6467).</w:t>
      </w:r>
    </w:p>
    <w:p w14:paraId="55F29D09" w14:textId="77777777" w:rsidR="00AE7191" w:rsidRPr="00722885" w:rsidRDefault="00AE7191" w:rsidP="00722885">
      <w:pPr>
        <w:pStyle w:val="Iauiue"/>
        <w:jc w:val="both"/>
        <w:rPr>
          <w:color w:val="000000" w:themeColor="text1"/>
          <w:sz w:val="16"/>
          <w:szCs w:val="16"/>
        </w:rPr>
      </w:pPr>
    </w:p>
    <w:p w14:paraId="577F4F2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4A0BEEFF" w14:textId="77777777" w:rsidR="00AE7191" w:rsidRPr="00722885" w:rsidRDefault="00AE7191" w:rsidP="00722885">
      <w:pPr>
        <w:pStyle w:val="Iauiue"/>
        <w:jc w:val="both"/>
        <w:rPr>
          <w:iCs/>
          <w:color w:val="000000" w:themeColor="text1"/>
          <w:sz w:val="16"/>
          <w:szCs w:val="16"/>
        </w:rPr>
      </w:pPr>
    </w:p>
    <w:p w14:paraId="46DC7B1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в 1942 году СНК СССР принял постановление "О порядке привлечения граждан к трудовой повинности в военное время". Трудовая повинность вводилась каждый раз по постановлению СНК СССР, а в объявленных на военном положении местностях — также военными властями; объявлялась для выполнения оборонных работ и других военных надобностей, заготовок топлива, спец. строит, работ, охраны путей сообщения, сооружений, средств связи, электростанций, электросетей, для борьбы с пожарами, эпидемиями и стих, бедствиями и др.; граждане привлекались к трудовой повинности на срок до 2 месяцев (14979).</w:t>
      </w:r>
    </w:p>
    <w:p w14:paraId="136ADBA7"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057955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августа 1942 г. вышло ПОСТАНОВЛЕНИЕ СОВЕТА НАРОДНЫХ КОМИССАРОВ СССР О ПОРЯДКЕ ПРИВЛЕЧЕНИЯ ГРАЖДАН К ТРУДОВОЙ ПОВИННОСТИ В ВОЕННОЕ ВРЕМЯ</w:t>
      </w:r>
    </w:p>
    <w:p w14:paraId="1AC98D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Совет Народных Комиссаров Союза ССР постановляет: Установить следующий порядок привлечения граждан к трудовой повинности в военное время:</w:t>
      </w:r>
    </w:p>
    <w:p w14:paraId="41394E3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Трудовая повинность граждан вводится каждый раз по постановлению Совета Народных Комиссаров Союза ССР, а в местностях, объявленных на военном положении, также военными властями в соответствии со статьей 3 Указа Президиума Верховного Совета СССР от 22 июня 1941 г. “О военном положении”.</w:t>
      </w:r>
    </w:p>
    <w:p w14:paraId="4E7A52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Трудовая повинность может объявляться:</w:t>
      </w:r>
    </w:p>
    <w:p w14:paraId="45AF32A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для выполнения оборонных работ и других военных надобностей;</w:t>
      </w:r>
    </w:p>
    <w:p w14:paraId="6D382F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для заготовок топлива;</w:t>
      </w:r>
    </w:p>
    <w:p w14:paraId="1F73D5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для выполнения специальных строительных работ и других важнейших государственных заданий;</w:t>
      </w:r>
    </w:p>
    <w:p w14:paraId="39E106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 для охраны путей сообщений, сооружений, средств связи, электростанций, электросетей и других важнейших объектов;</w:t>
      </w:r>
    </w:p>
    <w:p w14:paraId="08B247D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 для борьбы с пожарами, эпидемиями и стихийными бедствиями.</w:t>
      </w:r>
    </w:p>
    <w:p w14:paraId="3A79D2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Примечание. Привлечение граждан к трудовой повинности для борьбы со стихийными бедствиями (наводнения, снежные заносы, пожары и т. д.) допускается также в порядке, установленном Постановлением ВЦИК и СНК РСФСР от 18 июля 1927 г. и законодательством других союзных республик.</w:t>
      </w:r>
    </w:p>
    <w:p w14:paraId="6E930D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Установить, что привлечение граждан к трудовой повинности в военное время допускается на срок до 2 месяцев с продолжительностью рабочего времени в размере 8 часов в день и 3 часов обязательных сверхурочных.</w:t>
      </w:r>
    </w:p>
    <w:p w14:paraId="1A6EA17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К трудовой повинности не привлекаются:</w:t>
      </w:r>
    </w:p>
    <w:p w14:paraId="21352B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лица, не достигшие 16-летнего возраста, а также мужчины старше 55 лет и женщины старше 45 лет;</w:t>
      </w:r>
    </w:p>
    <w:p w14:paraId="0FDD00B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беременные женщины, начиная с 5 месяцев беременности;</w:t>
      </w:r>
    </w:p>
    <w:p w14:paraId="2C71C97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женщины, имеющие грудных детей, а также женщины, имеющие детей в возрасте до 8 лет, в случае отсутствия других членов семьи, обеспечивающих уход за ними;</w:t>
      </w:r>
    </w:p>
    <w:p w14:paraId="2449E7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 лица, временно утратившие трудоспособность, на срок до ее восстановления и инвалиды первой и второй групп.</w:t>
      </w:r>
    </w:p>
    <w:p w14:paraId="423529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постановлению органов власти (ст. 1) от привлечения к трудовой повинности могут быть освобождены и другие категории граждан в зависимости от местных условий.</w:t>
      </w:r>
    </w:p>
    <w:p w14:paraId="0C95EE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Оплата труда граждан, выполняющих в порядке трудовой повинности оборонные и другие работы, производится учреждениями и организациями, для которых выполняются работы, по действующим нормам оплаты труда, установленным для данных работ.</w:t>
      </w:r>
    </w:p>
    <w:p w14:paraId="6ED9F5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 рабочими и служащими государственных предприятий, учреждений и общественных организаций, а также за членами промысловых артелей, привлекаемыми на работы в порядке трудовой повинности, может быть сохранена в каждом отдельном случае по решению Совнаркома СССР оплата по месту их постоянной работы, но не свыше 50 % ставки заработной платы, получаемой'ими в предприятиях или учреждениях.</w:t>
      </w:r>
    </w:p>
    <w:p w14:paraId="3AA7A5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Примечание. При мобилизации на оборонительные работы</w:t>
      </w:r>
    </w:p>
    <w:p w14:paraId="4C7914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зарплата по месту постоянной работы не сохраняется.</w:t>
      </w:r>
    </w:p>
    <w:p w14:paraId="5C1657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Колхозникам, привлеченным к трудовой повинности, начисляется за счет колхоза 25 % среднего количества трудодней, выработанных за данный период другими колхозниками той же квалификации и специальности.</w:t>
      </w:r>
    </w:p>
    <w:p w14:paraId="602A10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Лица, привлекаемые к трудовой повинности, могут быть использованы на работе как в месте их постоянного жительства, так и вне его.</w:t>
      </w:r>
    </w:p>
    <w:p w14:paraId="48BC22A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 рабочими и служащими, привлеченными к трудовой повинности, сохраняется место их постоянной работы, занимаемая должность, а также их жилая площадь.</w:t>
      </w:r>
    </w:p>
    <w:p w14:paraId="748B69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При направлении в другую местность лиц, привлеченных к трудовой повинности, средства передвижения предоставляются бесплатно той организацией, в распоряжение которой эти лица направлены.</w:t>
      </w:r>
    </w:p>
    <w:p w14:paraId="235054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Если привлечение к трудовой повинности связано с временной переменой местожительства и переездом на расстояние свыше 25 километров, то организации, для которых производятся работы, обязаны выплачивать привлекаемым к трудовой повинности следующие компенсации:</w:t>
      </w:r>
    </w:p>
    <w:p w14:paraId="5BC38D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лицам, работающим в предприятиях и учреждениях, выплачивается за время нахождения в пути заработная плата из расчета тарифной ставки (должностного оклада) по месту основной работы, но не ниже 5 рублей в сутки;</w:t>
      </w:r>
    </w:p>
    <w:p w14:paraId="781363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лицам, не работающим в предприятиях и учреждениях, выплачиваются за время нахождения в пути суточные в размере 5 рублей.</w:t>
      </w:r>
    </w:p>
    <w:p w14:paraId="1ACBFF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Колхозникам за время нахождения в пути начисляется за счет колхоза среднее количество трудодней, которое за это время начисляется другим колхозникам той же квалификации и специальности.</w:t>
      </w:r>
    </w:p>
    <w:p w14:paraId="1F1015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Все указанные выше компенсации выплачиваются за время нахождения в пути в оба конца, т. е. к месту работы и обратно.</w:t>
      </w:r>
    </w:p>
    <w:p w14:paraId="47235D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Организации, в распоряжение которых направляются лица, привлеченные к трудовой повинности, обязаны обеспечить их питанием за плату как на месте работы, так и в пути, а также предоставить бесплатно на месте работы жилье.</w:t>
      </w:r>
    </w:p>
    <w:p w14:paraId="32C8F9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Лица, выполняющие работы в порядке трудовой повинности, социальному страхованию на этих работах не подлежат.</w:t>
      </w:r>
    </w:p>
    <w:p w14:paraId="63098F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случае инвалидности или смерти от увечья, полученного при выполнении работы в порядке трудовой повинности, эти лица или их семьи обеспечиваются пенсиями в порядке социального обеспечения согласно действующим законам и правилам.</w:t>
      </w:r>
    </w:p>
    <w:p w14:paraId="00E328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В случае временной нетрудоспособности лиц, выполняющих работы в порядке трудовой повинности, за ними сохраняются две трети среднего заработка по месту выполнения работы, но не свыше срока окончания трудовой повинности.</w:t>
      </w:r>
    </w:p>
    <w:p w14:paraId="25835F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истечение этого срока лица, которые до привлечения к трудовой повинности работали в качестве рабочих и служащих, обеспечиваются пособием по временной нетрудоспособности в соответствии с Постановлением Совнаркома СССР, ЦК ВКП(б) и ВЦСПС от 28 декабря 1938 г. (СП СССР 1939 г.; № 1, ст. 1).</w:t>
      </w:r>
    </w:p>
    <w:p w14:paraId="3BF271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Лица, привлекаемые к трудовой повинности, не освобождаются от призыва в Красную Армию.</w:t>
      </w:r>
    </w:p>
    <w:p w14:paraId="5EE64D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 Виновные в отказе или уклонении от трудовой повинности, а также в задержке лиц, работающих в предприятиях и учреждениях и привлекаемых к трудовой повинности, подлежат уголовной ответственности по законам военного времени.</w:t>
      </w:r>
    </w:p>
    <w:p w14:paraId="4427D746" w14:textId="77777777" w:rsidR="00AE7191" w:rsidRPr="00722885" w:rsidRDefault="00AE7191" w:rsidP="00722885">
      <w:pPr>
        <w:pStyle w:val="Iauiue"/>
        <w:jc w:val="both"/>
        <w:rPr>
          <w:iCs/>
          <w:color w:val="000000" w:themeColor="text1"/>
          <w:sz w:val="16"/>
          <w:szCs w:val="16"/>
        </w:rPr>
      </w:pPr>
      <w:r w:rsidRPr="00722885">
        <w:rPr>
          <w:iCs/>
          <w:color w:val="000000" w:themeColor="text1"/>
          <w:sz w:val="16"/>
          <w:szCs w:val="16"/>
        </w:rPr>
        <w:t>Председатель Совета Народных Комиссаров СССР И. СТАЛИН</w:t>
      </w:r>
    </w:p>
    <w:p w14:paraId="477A7E8F"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Управляющий делами Совета Народных Комиссаров СССР Я. ЧАДАЕВ </w:t>
      </w:r>
      <w:r w:rsidRPr="00722885">
        <w:rPr>
          <w:color w:val="000000" w:themeColor="text1"/>
          <w:sz w:val="16"/>
          <w:szCs w:val="16"/>
        </w:rPr>
        <w:t>(9844).</w:t>
      </w:r>
    </w:p>
    <w:p w14:paraId="4155FD87" w14:textId="77777777" w:rsidR="00AE7191" w:rsidRPr="00722885" w:rsidRDefault="00AE7191" w:rsidP="00722885">
      <w:pPr>
        <w:pStyle w:val="Iauiue"/>
        <w:jc w:val="both"/>
        <w:rPr>
          <w:color w:val="000000" w:themeColor="text1"/>
          <w:sz w:val="16"/>
          <w:szCs w:val="16"/>
        </w:rPr>
      </w:pPr>
    </w:p>
    <w:p w14:paraId="1AEC0C1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C99C033" w14:textId="77777777" w:rsidR="00AE7191" w:rsidRPr="00722885" w:rsidRDefault="00AE7191" w:rsidP="00722885">
      <w:pPr>
        <w:pStyle w:val="Iauiue"/>
        <w:jc w:val="both"/>
        <w:rPr>
          <w:iCs/>
          <w:color w:val="000000" w:themeColor="text1"/>
          <w:sz w:val="16"/>
          <w:szCs w:val="16"/>
        </w:rPr>
      </w:pPr>
    </w:p>
    <w:p w14:paraId="616F548B"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августа в 1942 году массированный авианалет британских ВВС на Дюссельдорф (14979).</w:t>
      </w:r>
    </w:p>
    <w:p w14:paraId="070B479E"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56C73A2F"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rPr>
        <w:t>C 10 по 13 августа 1942 проходила английская операция Pedestal по снабжению Мальтыпоморю</w:t>
      </w:r>
      <w:r w:rsidRPr="00722885">
        <w:rPr>
          <w:color w:val="000000" w:themeColor="text1"/>
          <w:sz w:val="16"/>
          <w:szCs w:val="16"/>
          <w:lang w:val="en-US"/>
        </w:rPr>
        <w:t xml:space="preserve"> (2245,8).</w:t>
      </w:r>
    </w:p>
    <w:p w14:paraId="34100959" w14:textId="77777777" w:rsidR="00AE7191" w:rsidRPr="00722885" w:rsidRDefault="00AE7191" w:rsidP="00722885">
      <w:pPr>
        <w:pStyle w:val="Iauiue"/>
        <w:jc w:val="both"/>
        <w:rPr>
          <w:color w:val="000000" w:themeColor="text1"/>
          <w:sz w:val="16"/>
          <w:szCs w:val="16"/>
          <w:lang w:val="en-US"/>
        </w:rPr>
      </w:pPr>
    </w:p>
    <w:p w14:paraId="664360DD"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10, 1942: German and Italian U-boats savage a British convoy to Malta in the Mediterranean (3819).</w:t>
      </w:r>
    </w:p>
    <w:p w14:paraId="41E7EDB4" w14:textId="77777777" w:rsidR="00AE7191" w:rsidRPr="00722885" w:rsidRDefault="00AE7191" w:rsidP="00722885">
      <w:pPr>
        <w:pStyle w:val="Iauiue"/>
        <w:jc w:val="both"/>
        <w:rPr>
          <w:color w:val="000000" w:themeColor="text1"/>
          <w:sz w:val="16"/>
          <w:szCs w:val="16"/>
          <w:lang w:val="en-US"/>
        </w:rPr>
      </w:pPr>
    </w:p>
    <w:p w14:paraId="7996F0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августа 1942 германские и итальянские подлодки уничтожили британский конвой, направлявшийся к Мальте (3819).</w:t>
      </w:r>
    </w:p>
    <w:p w14:paraId="2E83FE83" w14:textId="77777777" w:rsidR="00AE7191" w:rsidRPr="00722885" w:rsidRDefault="00AE7191" w:rsidP="00722885">
      <w:pPr>
        <w:pStyle w:val="Iauiue"/>
        <w:jc w:val="both"/>
        <w:rPr>
          <w:color w:val="000000" w:themeColor="text1"/>
          <w:sz w:val="16"/>
          <w:szCs w:val="16"/>
        </w:rPr>
      </w:pPr>
    </w:p>
    <w:p w14:paraId="18C7AEB3"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10 августа 1942 у Соломоновых островов американской подлодкой потоплен японский тяжелый крейсер “Како” (4962).</w:t>
      </w:r>
    </w:p>
    <w:p w14:paraId="3F85CAF7" w14:textId="77777777" w:rsidR="00AE7191" w:rsidRPr="00722885" w:rsidRDefault="00AE7191" w:rsidP="00722885">
      <w:pPr>
        <w:pStyle w:val="Iauiue"/>
        <w:tabs>
          <w:tab w:val="left" w:pos="11199"/>
        </w:tabs>
        <w:jc w:val="both"/>
        <w:rPr>
          <w:color w:val="000000" w:themeColor="text1"/>
          <w:sz w:val="16"/>
          <w:szCs w:val="16"/>
        </w:rPr>
      </w:pPr>
    </w:p>
    <w:p w14:paraId="0AC83994"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10 августа в 1942 году японский флот потопил 4 крейсера США и Великобритании близ Гуадалканала. Однако японский флот отступил (14979).</w:t>
      </w:r>
    </w:p>
    <w:p w14:paraId="3E55A00F"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75EA294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33D793B" w14:textId="77777777" w:rsidR="00AE7191" w:rsidRPr="00722885" w:rsidRDefault="00AE7191" w:rsidP="00722885">
      <w:pPr>
        <w:pStyle w:val="Iauiue"/>
        <w:jc w:val="both"/>
        <w:rPr>
          <w:iCs/>
          <w:color w:val="000000" w:themeColor="text1"/>
          <w:sz w:val="16"/>
          <w:szCs w:val="16"/>
        </w:rPr>
      </w:pPr>
    </w:p>
    <w:p w14:paraId="5860A5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августа 1942 года директор завода N 39 В.И. Абрамов, зам. гл. инженера по экспериментальным работам К.А. Петров писали письмо N 2899/53 Маленкову и Шахурину.</w:t>
      </w:r>
    </w:p>
    <w:p w14:paraId="0EB51E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N 39 обязан начать выпуск самолетов ДБ-3ф и полностью прекратить постройку самолетов Пе-2 и Пе-3бис.</w:t>
      </w:r>
    </w:p>
    <w:p w14:paraId="5565D1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Учитывая настоятельные требования представителей войсковых частей фронта, коллектив завода N 39, по особому заказу старшего военпреда ВВС завода, дооборудовал самолет Пе-3бис специальной установкой под спаренные фотоаппараты АФА-1 и, вместо радиостанции "Орел-Мамотка" с малым радиусом действия, установил на самолет радиостанцию "РСБ" (Двина); в результате чего получился сильно вооруженный в части самозащиты с большим радиусом действия и связи самолет разведчик.</w:t>
      </w:r>
    </w:p>
    <w:p w14:paraId="3E1568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Командиры отдельных авиаполков, прибывавшие с фронта за получением по данным им нарядам самолетов Пе-2, настоятельно требовали выдачи им самолетов Пе-3бис.</w:t>
      </w:r>
    </w:p>
    <w:p w14:paraId="56581F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Объективно сравнивая по летно-боевым качествам самолет Пе-3бис в варианте ли разведчика или самолета сопровождения с аналогичными отечественными самолетами, имеющимися у нас на вооружении, приходишь к заключению, что самолет Пе-3бис является единственным разведчиком, вполне современным, отвечающим на сегодня всем требованиям предъявленным ему строевыми частями.</w:t>
      </w:r>
    </w:p>
    <w:p w14:paraId="0DBA28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Учитывая, что с переходом на постройку машины ДБ-3ф, завод N 39 снимает все стапели и оборудование чем полностью будут сняты с производства самолеты Пе-3бис на заводе N 39 и тем самым совершенно прекратиться снабжение армии самолетами этого типа.</w:t>
      </w:r>
    </w:p>
    <w:p w14:paraId="39C123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 совей стороны полагаем, что производство этой необходимой, по нашему мнению, для фронта машины должно быть сохранено на заводе N 39 и в случае затруднений со снабжением моторами, хотя бы даже за счет завода 22 где будут продолжать строить самолеты Пе-2.</w:t>
      </w:r>
    </w:p>
    <w:p w14:paraId="417150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Коллектив конструкторов завода 39, который в свое время по заданию ГКО в весьма короткий срок дал самолет Пе-3, непрерывно продолжает следить за качеством и дальнейшим усовершенствованием этой машины, постоянно увязывает свою работу с производством, тем самым обеспечивает бесперебойный выпуск этой машины.</w:t>
      </w:r>
    </w:p>
    <w:p w14:paraId="3319A0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данное время на заводе N 39 ведутся большие работы по постройке деревянных агрегатов этой машины как хвостовая часть фюзеляжа Ф-3 и хвостовое оперение - опытные экземпляры которых будут готовы в ближайшее время.</w:t>
      </w:r>
    </w:p>
    <w:p w14:paraId="793D7F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этому необходимо добавить, что конструкторский коллектив завода 39 по вашему приказу сможет выполнить в ближайшее же время ряд работ в части дальнейшего повышения летно-боевых качеств самолета Пе-3бис как-то:</w:t>
      </w:r>
    </w:p>
    <w:p w14:paraId="4743C3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Облегчение веса его за счет пересмотра отдельных агрегатов или снятия их как оставшихся от самолета Пе-2.</w:t>
      </w:r>
    </w:p>
    <w:p w14:paraId="0DAEDD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Замену моторов М 105-РА на М-82 или какой другой по вашему указанию.</w:t>
      </w:r>
    </w:p>
    <w:p w14:paraId="087D5A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По изысканию увеличения скорости самолета за счет внешнего облагораживания машины (1778,45).</w:t>
      </w:r>
    </w:p>
    <w:p w14:paraId="4C150F15" w14:textId="77777777" w:rsidR="00AE7191" w:rsidRPr="00722885" w:rsidRDefault="00AE7191" w:rsidP="00722885">
      <w:pPr>
        <w:pStyle w:val="Iauiue"/>
        <w:jc w:val="both"/>
        <w:rPr>
          <w:color w:val="000000" w:themeColor="text1"/>
          <w:sz w:val="16"/>
          <w:szCs w:val="16"/>
        </w:rPr>
      </w:pPr>
    </w:p>
    <w:p w14:paraId="5EF077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1942 вышло Постановление ГКО № 2169 Об увеличении выпуска самолетов Як-7 на заводе № 82 (г. Москва). РГАНИР, Фонд ГКО, д. 52, лл. 6 (11012).</w:t>
      </w:r>
    </w:p>
    <w:p w14:paraId="4A194F1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7FD1434" w14:textId="77777777" w:rsidR="003F1491" w:rsidRPr="00722885" w:rsidRDefault="003F14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1942 вышло Постановление ГКО № 2169 Об увеличении выпуска самолетов Як-7 на заводе № 82 (г. Москва)</w:t>
      </w:r>
    </w:p>
    <w:p w14:paraId="52FCF4B8" w14:textId="77777777" w:rsidR="003F1491" w:rsidRPr="00722885" w:rsidRDefault="003F14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Комитет Обороны постановляет:</w:t>
      </w:r>
    </w:p>
    <w:p w14:paraId="4D450AEA" w14:textId="77777777" w:rsidR="003F1491" w:rsidRPr="00722885" w:rsidRDefault="003F1491" w:rsidP="00722885">
      <w:pPr>
        <w:tabs>
          <w:tab w:val="left" w:pos="591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Наркомавиапром - т.Шахурина и директора за</w:t>
      </w:r>
      <w:r w:rsidRPr="00722885">
        <w:rPr>
          <w:rFonts w:ascii="Times New Roman" w:hAnsi="Times New Roman"/>
          <w:color w:val="000000" w:themeColor="text1"/>
          <w:sz w:val="16"/>
          <w:szCs w:val="16"/>
        </w:rPr>
        <w:softHyphen/>
        <w:t>вода 82 т.Бугрова обеспечить выпуск на заводе № 82 из агре</w:t>
      </w:r>
      <w:r w:rsidRPr="00722885">
        <w:rPr>
          <w:rFonts w:ascii="Times New Roman" w:hAnsi="Times New Roman"/>
          <w:color w:val="000000" w:themeColor="text1"/>
          <w:sz w:val="16"/>
          <w:szCs w:val="16"/>
        </w:rPr>
        <w:softHyphen/>
        <w:t xml:space="preserve">гатов завода № </w:t>
      </w:r>
      <w:r w:rsidRPr="00722885">
        <w:rPr>
          <w:rStyle w:val="0pt"/>
          <w:rFonts w:ascii="Times New Roman" w:hAnsi="Times New Roman" w:cs="Times New Roman"/>
          <w:color w:val="000000" w:themeColor="text1"/>
          <w:spacing w:val="0"/>
          <w:sz w:val="16"/>
          <w:szCs w:val="16"/>
        </w:rPr>
        <w:t>153</w:t>
      </w:r>
      <w:r w:rsidRPr="00722885">
        <w:rPr>
          <w:rFonts w:ascii="Times New Roman" w:hAnsi="Times New Roman"/>
          <w:color w:val="000000" w:themeColor="text1"/>
          <w:sz w:val="16"/>
          <w:szCs w:val="16"/>
        </w:rPr>
        <w:t xml:space="preserve"> и собственного производства следующего количества самолетов, начиная с 25 августа - по 3 самолета в день, с 5 сентября - по 4 самолета е день, с 15 сентября - по 5 самолетов в день, с 30 сентября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olor w:val="000000" w:themeColor="text1"/>
          <w:sz w:val="16"/>
          <w:szCs w:val="16"/>
        </w:rPr>
        <w:t xml:space="preserve"> года - по б само</w:t>
      </w:r>
      <w:r w:rsidRPr="00722885">
        <w:rPr>
          <w:rFonts w:ascii="Times New Roman" w:hAnsi="Times New Roman"/>
          <w:color w:val="000000" w:themeColor="text1"/>
          <w:sz w:val="16"/>
          <w:szCs w:val="16"/>
        </w:rPr>
        <w:softHyphen/>
        <w:t>летов в день.</w:t>
      </w:r>
    </w:p>
    <w:p w14:paraId="6CC08534" w14:textId="77777777" w:rsidR="003F1491" w:rsidRPr="00722885" w:rsidRDefault="003F14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Наркомавиапром - т.Шахурина, директора заво</w:t>
      </w:r>
      <w:r w:rsidRPr="00722885">
        <w:rPr>
          <w:rStyle w:val="0pt"/>
          <w:rFonts w:ascii="Times New Roman" w:hAnsi="Times New Roman" w:cs="Times New Roman"/>
          <w:color w:val="000000" w:themeColor="text1"/>
          <w:spacing w:val="0"/>
          <w:sz w:val="16"/>
          <w:szCs w:val="16"/>
        </w:rPr>
        <w:t xml:space="preserve">да </w:t>
      </w:r>
      <w:r w:rsidRPr="00722885">
        <w:rPr>
          <w:rStyle w:val="0pt"/>
          <w:rFonts w:ascii="Times New Roman" w:eastAsia="Calibri" w:hAnsi="Times New Roman" w:cs="Times New Roman"/>
          <w:color w:val="000000" w:themeColor="text1"/>
          <w:spacing w:val="0"/>
          <w:sz w:val="16"/>
          <w:szCs w:val="16"/>
        </w:rPr>
        <w:t>№</w:t>
      </w:r>
      <w:r w:rsidRPr="00722885">
        <w:rPr>
          <w:rStyle w:val="0pt"/>
          <w:rFonts w:ascii="Times New Roman" w:hAnsi="Times New Roman" w:cs="Times New Roman"/>
          <w:color w:val="000000" w:themeColor="text1"/>
          <w:spacing w:val="0"/>
          <w:sz w:val="16"/>
          <w:szCs w:val="16"/>
        </w:rPr>
        <w:t xml:space="preserve"> 153</w:t>
      </w:r>
      <w:r w:rsidRPr="00722885">
        <w:rPr>
          <w:rFonts w:ascii="Times New Roman" w:hAnsi="Times New Roman"/>
          <w:color w:val="000000" w:themeColor="text1"/>
          <w:sz w:val="16"/>
          <w:szCs w:val="16"/>
        </w:rPr>
        <w:t xml:space="preserve"> т.Романова и главного инженера - т.Тер-Маркаряна обеспечить отправку в августе 90 самолетов Як-7 (в агрегатах комплектно) для сборки на эаводе 82 (Москва) в следующие сроки: 30 самолетов - 15 августа, 30 самолетов - 22 августа и 30 самолетов - 30 августа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olor w:val="000000" w:themeColor="text1"/>
          <w:sz w:val="16"/>
          <w:szCs w:val="16"/>
        </w:rPr>
        <w:t xml:space="preserve"> года.</w:t>
      </w:r>
    </w:p>
    <w:p w14:paraId="30C2FFB2" w14:textId="77777777" w:rsidR="003F1491" w:rsidRPr="00722885" w:rsidRDefault="003F14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Засчитать указанное количество самолетов в программу завода № </w:t>
      </w:r>
      <w:r w:rsidRPr="00722885">
        <w:rPr>
          <w:rStyle w:val="0pt"/>
          <w:rFonts w:ascii="Times New Roman" w:hAnsi="Times New Roman" w:cs="Times New Roman"/>
          <w:color w:val="000000" w:themeColor="text1"/>
          <w:spacing w:val="0"/>
          <w:sz w:val="16"/>
          <w:szCs w:val="16"/>
        </w:rPr>
        <w:t>153,</w:t>
      </w:r>
      <w:r w:rsidRPr="00722885">
        <w:rPr>
          <w:rFonts w:ascii="Times New Roman" w:hAnsi="Times New Roman"/>
          <w:color w:val="000000" w:themeColor="text1"/>
          <w:sz w:val="16"/>
          <w:szCs w:val="16"/>
        </w:rPr>
        <w:t xml:space="preserve"> в связи с чем на август месяц утвердить для завода № </w:t>
      </w:r>
      <w:r w:rsidRPr="00722885">
        <w:rPr>
          <w:rStyle w:val="0pt"/>
          <w:rFonts w:ascii="Times New Roman" w:hAnsi="Times New Roman" w:cs="Times New Roman"/>
          <w:color w:val="000000" w:themeColor="text1"/>
          <w:spacing w:val="0"/>
          <w:sz w:val="16"/>
          <w:szCs w:val="16"/>
        </w:rPr>
        <w:t>153</w:t>
      </w:r>
      <w:r w:rsidRPr="00722885">
        <w:rPr>
          <w:rFonts w:ascii="Times New Roman" w:hAnsi="Times New Roman"/>
          <w:color w:val="000000" w:themeColor="text1"/>
          <w:sz w:val="16"/>
          <w:szCs w:val="16"/>
        </w:rPr>
        <w:t xml:space="preserve"> следующую программу: </w:t>
      </w:r>
      <w:r w:rsidRPr="00722885">
        <w:rPr>
          <w:rStyle w:val="0pt"/>
          <w:rFonts w:ascii="Times New Roman" w:hAnsi="Times New Roman" w:cs="Times New Roman"/>
          <w:color w:val="000000" w:themeColor="text1"/>
          <w:spacing w:val="0"/>
          <w:sz w:val="16"/>
          <w:szCs w:val="16"/>
        </w:rPr>
        <w:t>210</w:t>
      </w:r>
      <w:r w:rsidRPr="00722885">
        <w:rPr>
          <w:rFonts w:ascii="Times New Roman" w:hAnsi="Times New Roman"/>
          <w:color w:val="000000" w:themeColor="text1"/>
          <w:sz w:val="16"/>
          <w:szCs w:val="16"/>
        </w:rPr>
        <w:t xml:space="preserve"> самолетов со сборкой и сдачей готовыми к бою на заводе № </w:t>
      </w:r>
      <w:r w:rsidRPr="00722885">
        <w:rPr>
          <w:rStyle w:val="0pt"/>
          <w:rFonts w:ascii="Times New Roman" w:hAnsi="Times New Roman" w:cs="Times New Roman"/>
          <w:color w:val="000000" w:themeColor="text1"/>
          <w:spacing w:val="0"/>
          <w:sz w:val="16"/>
          <w:szCs w:val="16"/>
        </w:rPr>
        <w:t>153</w:t>
      </w:r>
      <w:r w:rsidRPr="00722885">
        <w:rPr>
          <w:rFonts w:ascii="Times New Roman" w:hAnsi="Times New Roman"/>
          <w:color w:val="000000" w:themeColor="text1"/>
          <w:sz w:val="16"/>
          <w:szCs w:val="16"/>
        </w:rPr>
        <w:t xml:space="preserve"> и </w:t>
      </w:r>
      <w:r w:rsidRPr="00722885">
        <w:rPr>
          <w:rStyle w:val="0pt"/>
          <w:rFonts w:ascii="Times New Roman" w:hAnsi="Times New Roman" w:cs="Times New Roman"/>
          <w:color w:val="000000" w:themeColor="text1"/>
          <w:spacing w:val="0"/>
          <w:sz w:val="16"/>
          <w:szCs w:val="16"/>
        </w:rPr>
        <w:t>90</w:t>
      </w:r>
      <w:r w:rsidRPr="00722885">
        <w:rPr>
          <w:rFonts w:ascii="Times New Roman" w:hAnsi="Times New Roman"/>
          <w:color w:val="000000" w:themeColor="text1"/>
          <w:sz w:val="16"/>
          <w:szCs w:val="16"/>
        </w:rPr>
        <w:t xml:space="preserve"> самолетов для сборки на заводе № </w:t>
      </w:r>
      <w:r w:rsidRPr="00722885">
        <w:rPr>
          <w:rStyle w:val="0pt"/>
          <w:rFonts w:ascii="Times New Roman" w:hAnsi="Times New Roman" w:cs="Times New Roman"/>
          <w:color w:val="000000" w:themeColor="text1"/>
          <w:spacing w:val="0"/>
          <w:sz w:val="16"/>
          <w:szCs w:val="16"/>
        </w:rPr>
        <w:t>82.</w:t>
      </w:r>
      <w:r w:rsidRPr="00722885">
        <w:rPr>
          <w:rFonts w:ascii="Times New Roman" w:hAnsi="Times New Roman"/>
          <w:color w:val="000000" w:themeColor="text1"/>
          <w:sz w:val="16"/>
          <w:szCs w:val="16"/>
        </w:rPr>
        <w:t xml:space="preserve"> Всего </w:t>
      </w:r>
      <w:r w:rsidRPr="00722885">
        <w:rPr>
          <w:rStyle w:val="0pt"/>
          <w:rFonts w:ascii="Times New Roman" w:hAnsi="Times New Roman" w:cs="Times New Roman"/>
          <w:color w:val="000000" w:themeColor="text1"/>
          <w:spacing w:val="0"/>
          <w:sz w:val="16"/>
          <w:szCs w:val="16"/>
        </w:rPr>
        <w:t>300</w:t>
      </w:r>
      <w:r w:rsidRPr="00722885">
        <w:rPr>
          <w:rFonts w:ascii="Times New Roman" w:hAnsi="Times New Roman"/>
          <w:color w:val="000000" w:themeColor="text1"/>
          <w:sz w:val="16"/>
          <w:szCs w:val="16"/>
        </w:rPr>
        <w:t xml:space="preserve"> самолетов в месяц.</w:t>
      </w:r>
    </w:p>
    <w:p w14:paraId="43D82768" w14:textId="77777777" w:rsidR="003F1491" w:rsidRPr="00722885" w:rsidRDefault="003F14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Установить следующую программы по выпуску самолетов Як-7 для завода № 153 на сентябрь месяц 1942 года: </w:t>
      </w:r>
      <w:r w:rsidRPr="00722885">
        <w:rPr>
          <w:rStyle w:val="0pt"/>
          <w:rFonts w:ascii="Times New Roman" w:eastAsia="Calibri" w:hAnsi="Times New Roman" w:cs="Times New Roman"/>
          <w:color w:val="000000" w:themeColor="text1"/>
          <w:spacing w:val="0"/>
          <w:sz w:val="16"/>
          <w:szCs w:val="16"/>
        </w:rPr>
        <w:t>180</w:t>
      </w:r>
      <w:r w:rsidRPr="00722885">
        <w:rPr>
          <w:rFonts w:ascii="Times New Roman" w:hAnsi="Times New Roman"/>
          <w:color w:val="000000" w:themeColor="text1"/>
          <w:sz w:val="16"/>
          <w:szCs w:val="16"/>
        </w:rPr>
        <w:t xml:space="preserve"> самолетов со сборкой и сдачей готовыми к бою на заводе № </w:t>
      </w:r>
      <w:r w:rsidRPr="00722885">
        <w:rPr>
          <w:rStyle w:val="0pt"/>
          <w:rFonts w:ascii="Times New Roman" w:hAnsi="Times New Roman" w:cs="Times New Roman"/>
          <w:color w:val="000000" w:themeColor="text1"/>
          <w:spacing w:val="0"/>
          <w:sz w:val="16"/>
          <w:szCs w:val="16"/>
        </w:rPr>
        <w:t>153</w:t>
      </w:r>
      <w:r w:rsidRPr="00722885">
        <w:rPr>
          <w:rFonts w:ascii="Times New Roman" w:hAnsi="Times New Roman"/>
          <w:color w:val="000000" w:themeColor="text1"/>
          <w:sz w:val="16"/>
          <w:szCs w:val="16"/>
        </w:rPr>
        <w:t xml:space="preserve"> и 140 самолетов для отправки равными партиями в течение месяца для сборки на заводе № </w:t>
      </w:r>
      <w:r w:rsidRPr="00722885">
        <w:rPr>
          <w:rStyle w:val="0pt3"/>
          <w:rFonts w:ascii="Times New Roman" w:hAnsi="Times New Roman" w:cs="Times New Roman"/>
          <w:color w:val="000000" w:themeColor="text1"/>
          <w:spacing w:val="0"/>
          <w:sz w:val="16"/>
          <w:szCs w:val="16"/>
        </w:rPr>
        <w:t>82.</w:t>
      </w:r>
      <w:r w:rsidRPr="00722885">
        <w:rPr>
          <w:rFonts w:ascii="Times New Roman" w:hAnsi="Times New Roman"/>
          <w:color w:val="000000" w:themeColor="text1"/>
          <w:sz w:val="16"/>
          <w:szCs w:val="16"/>
        </w:rPr>
        <w:t xml:space="preserve"> Всего </w:t>
      </w:r>
      <w:r w:rsidRPr="00722885">
        <w:rPr>
          <w:rStyle w:val="0pt3"/>
          <w:rFonts w:ascii="Times New Roman" w:hAnsi="Times New Roman" w:cs="Times New Roman"/>
          <w:color w:val="000000" w:themeColor="text1"/>
          <w:spacing w:val="0"/>
          <w:sz w:val="16"/>
          <w:szCs w:val="16"/>
        </w:rPr>
        <w:t>320</w:t>
      </w:r>
      <w:r w:rsidRPr="00722885">
        <w:rPr>
          <w:rFonts w:ascii="Times New Roman" w:hAnsi="Times New Roman"/>
          <w:color w:val="000000" w:themeColor="text1"/>
          <w:sz w:val="16"/>
          <w:szCs w:val="16"/>
        </w:rPr>
        <w:t xml:space="preserve"> самолетов.</w:t>
      </w:r>
    </w:p>
    <w:p w14:paraId="566C8F28" w14:textId="77777777" w:rsidR="003F1491" w:rsidRPr="00722885" w:rsidRDefault="003F14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Обязать Наркомавиапром - т.Шахурина предусмотреть в заданиях заводу № </w:t>
      </w:r>
      <w:r w:rsidRPr="00722885">
        <w:rPr>
          <w:rStyle w:val="0pt"/>
          <w:rFonts w:ascii="Times New Roman" w:hAnsi="Times New Roman" w:cs="Times New Roman"/>
          <w:color w:val="000000" w:themeColor="text1"/>
          <w:spacing w:val="0"/>
          <w:sz w:val="16"/>
          <w:szCs w:val="16"/>
        </w:rPr>
        <w:t>153</w:t>
      </w:r>
      <w:r w:rsidRPr="00722885">
        <w:rPr>
          <w:rFonts w:ascii="Times New Roman" w:hAnsi="Times New Roman"/>
          <w:color w:val="000000" w:themeColor="text1"/>
          <w:sz w:val="16"/>
          <w:szCs w:val="16"/>
        </w:rPr>
        <w:t xml:space="preserve"> на октябрь и последующие месяцы обеспечение выпуска заводом № 82 6 самолетов Як-7 в день з</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 xml:space="preserve"> счет сборки самолетов из агрегатов эавода № </w:t>
      </w:r>
      <w:r w:rsidRPr="00722885">
        <w:rPr>
          <w:rStyle w:val="0pt"/>
          <w:rFonts w:ascii="Times New Roman" w:hAnsi="Times New Roman" w:cs="Times New Roman"/>
          <w:color w:val="000000" w:themeColor="text1"/>
          <w:spacing w:val="0"/>
          <w:sz w:val="16"/>
          <w:szCs w:val="16"/>
        </w:rPr>
        <w:t>153</w:t>
      </w:r>
      <w:r w:rsidRPr="00722885">
        <w:rPr>
          <w:rFonts w:ascii="Times New Roman" w:hAnsi="Times New Roman"/>
          <w:color w:val="000000" w:themeColor="text1"/>
          <w:sz w:val="16"/>
          <w:szCs w:val="16"/>
        </w:rPr>
        <w:t xml:space="preserve"> и за счет производства завода </w:t>
      </w:r>
      <w:r w:rsidRPr="00722885">
        <w:rPr>
          <w:rStyle w:val="0pt"/>
          <w:rFonts w:ascii="Times New Roman" w:hAnsi="Times New Roman" w:cs="Times New Roman"/>
          <w:color w:val="000000" w:themeColor="text1"/>
          <w:spacing w:val="0"/>
          <w:sz w:val="16"/>
          <w:szCs w:val="16"/>
        </w:rPr>
        <w:t>82.</w:t>
      </w:r>
    </w:p>
    <w:p w14:paraId="1DBCCB39" w14:textId="77777777" w:rsidR="003F1491" w:rsidRPr="00722885" w:rsidRDefault="003F14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Обязать НКПС - т.Хрулева обеспечить подачу к указан</w:t>
      </w:r>
      <w:r w:rsidRPr="00722885">
        <w:rPr>
          <w:rFonts w:ascii="Times New Roman" w:hAnsi="Times New Roman"/>
          <w:color w:val="000000" w:themeColor="text1"/>
          <w:sz w:val="16"/>
          <w:szCs w:val="16"/>
        </w:rPr>
        <w:softHyphen/>
        <w:t>ным в п.1 срокам эшелоны под самолеты для завода № 82 и продвиэения эшелонов из Новосибирска в Москву в тече</w:t>
      </w:r>
      <w:r w:rsidRPr="00722885">
        <w:rPr>
          <w:rFonts w:ascii="Times New Roman" w:hAnsi="Times New Roman"/>
          <w:color w:val="000000" w:themeColor="text1"/>
          <w:sz w:val="16"/>
          <w:szCs w:val="16"/>
        </w:rPr>
        <w:softHyphen/>
        <w:t>ние пяти дней (19354).</w:t>
      </w:r>
    </w:p>
    <w:p w14:paraId="6ECD0D71" w14:textId="77777777" w:rsidR="003F1491" w:rsidRPr="00722885" w:rsidRDefault="003F1491" w:rsidP="00722885">
      <w:pPr>
        <w:spacing w:after="0" w:line="240" w:lineRule="auto"/>
        <w:jc w:val="both"/>
        <w:rPr>
          <w:rFonts w:ascii="Times New Roman" w:hAnsi="Times New Roman"/>
          <w:color w:val="000000" w:themeColor="text1"/>
          <w:sz w:val="16"/>
          <w:szCs w:val="16"/>
        </w:rPr>
      </w:pPr>
    </w:p>
    <w:p w14:paraId="4B8989A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1942 вышло Постановление ГКО № 2170 О серийном производстве улучшенных самолетов Як-1. РГАНИР, Фонд ГКО, д. 52, лл. 7-8 (11012).</w:t>
      </w:r>
    </w:p>
    <w:p w14:paraId="7673CC1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36AC163" w14:textId="77777777" w:rsidR="008B38FB" w:rsidRPr="00722885" w:rsidRDefault="008B38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1942 вышло Постановление ГКО № 2170 О серийном производстве улучшенных самолетов Як-1</w:t>
      </w:r>
    </w:p>
    <w:p w14:paraId="4189E42F" w14:textId="77777777" w:rsidR="008B38FB" w:rsidRPr="00722885" w:rsidRDefault="008B38FB"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Государственный Комитет Обороны постановляет:</w:t>
      </w:r>
    </w:p>
    <w:p w14:paraId="6203A428" w14:textId="77777777" w:rsidR="008B38FB" w:rsidRPr="00722885" w:rsidRDefault="008B38FB" w:rsidP="00722885">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1. Обязать Наркомавкапром т.Шахурина и директора завода </w:t>
      </w:r>
      <w:r w:rsidRPr="00722885">
        <w:rPr>
          <w:rStyle w:val="TrebuchetMS0pt"/>
          <w:rFonts w:ascii="Times New Roman" w:hAnsi="Times New Roman" w:cs="Times New Roman"/>
          <w:color w:val="000000" w:themeColor="text1"/>
          <w:sz w:val="16"/>
          <w:szCs w:val="16"/>
        </w:rPr>
        <w:t>№ 292</w:t>
      </w:r>
      <w:r w:rsidRPr="00722885">
        <w:rPr>
          <w:rFonts w:ascii="Times New Roman" w:hAnsi="Times New Roman" w:cs="Times New Roman"/>
          <w:color w:val="000000" w:themeColor="text1"/>
          <w:spacing w:val="0"/>
          <w:sz w:val="16"/>
          <w:szCs w:val="16"/>
        </w:rPr>
        <w:t xml:space="preserve"> т.Левина внедрить в серийное производство на заводе </w:t>
      </w:r>
      <w:r w:rsidRPr="00722885">
        <w:rPr>
          <w:rStyle w:val="0pt"/>
          <w:rFonts w:ascii="Times New Roman" w:hAnsi="Times New Roman" w:cs="Times New Roman"/>
          <w:color w:val="000000" w:themeColor="text1"/>
          <w:spacing w:val="0"/>
          <w:sz w:val="16"/>
          <w:szCs w:val="16"/>
        </w:rPr>
        <w:t>292</w:t>
      </w:r>
      <w:r w:rsidRPr="00722885">
        <w:rPr>
          <w:rFonts w:ascii="Times New Roman" w:hAnsi="Times New Roman" w:cs="Times New Roman"/>
          <w:color w:val="000000" w:themeColor="text1"/>
          <w:spacing w:val="0"/>
          <w:sz w:val="16"/>
          <w:szCs w:val="16"/>
        </w:rPr>
        <w:t xml:space="preserve"> самолет Як-1 со следующими изменениями:</w:t>
      </w:r>
    </w:p>
    <w:p w14:paraId="40BD7E81" w14:textId="77777777" w:rsidR="008B38FB" w:rsidRPr="00722885" w:rsidRDefault="008B38FB" w:rsidP="00722885">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а) изменить конструкцию фонаря пилота, верхнего гаргрота и установить зеркало-обэора задней полусферы;</w:t>
      </w:r>
    </w:p>
    <w:p w14:paraId="40AAEAE3" w14:textId="77777777" w:rsidR="008B38FB" w:rsidRPr="00722885" w:rsidRDefault="008B38FB" w:rsidP="00722885">
      <w:pPr>
        <w:pStyle w:val="7f"/>
        <w:shd w:val="clear" w:color="auto" w:fill="auto"/>
        <w:tabs>
          <w:tab w:val="left" w:pos="1258"/>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б) установить один пулемет Березина </w:t>
      </w:r>
      <w:r w:rsidRPr="00722885">
        <w:rPr>
          <w:rStyle w:val="0pt"/>
          <w:rFonts w:ascii="Times New Roman" w:hAnsi="Times New Roman" w:cs="Times New Roman"/>
          <w:color w:val="000000" w:themeColor="text1"/>
          <w:spacing w:val="0"/>
          <w:sz w:val="16"/>
          <w:szCs w:val="16"/>
        </w:rPr>
        <w:t>12,7</w:t>
      </w:r>
      <w:r w:rsidRPr="00722885">
        <w:rPr>
          <w:rFonts w:ascii="Times New Roman" w:hAnsi="Times New Roman" w:cs="Times New Roman"/>
          <w:color w:val="000000" w:themeColor="text1"/>
          <w:spacing w:val="0"/>
          <w:sz w:val="16"/>
          <w:szCs w:val="16"/>
        </w:rPr>
        <w:t xml:space="preserve"> мм с боекомплек</w:t>
      </w:r>
      <w:r w:rsidRPr="00722885">
        <w:rPr>
          <w:rFonts w:ascii="Times New Roman" w:hAnsi="Times New Roman" w:cs="Times New Roman"/>
          <w:color w:val="000000" w:themeColor="text1"/>
          <w:spacing w:val="0"/>
          <w:sz w:val="16"/>
          <w:szCs w:val="16"/>
        </w:rPr>
        <w:softHyphen/>
        <w:t xml:space="preserve">том </w:t>
      </w:r>
      <w:r w:rsidRPr="00722885">
        <w:rPr>
          <w:rStyle w:val="0pt"/>
          <w:rFonts w:ascii="Times New Roman" w:hAnsi="Times New Roman" w:cs="Times New Roman"/>
          <w:color w:val="000000" w:themeColor="text1"/>
          <w:spacing w:val="0"/>
          <w:sz w:val="16"/>
          <w:szCs w:val="16"/>
        </w:rPr>
        <w:t xml:space="preserve">в </w:t>
      </w:r>
      <w:r w:rsidRPr="00722885">
        <w:rPr>
          <w:rStyle w:val="0pt"/>
          <w:rFonts w:ascii="Times New Roman" w:eastAsia="MS Mincho" w:hAnsi="Times New Roman" w:cs="Times New Roman"/>
          <w:color w:val="000000" w:themeColor="text1"/>
          <w:spacing w:val="0"/>
          <w:sz w:val="16"/>
          <w:szCs w:val="16"/>
        </w:rPr>
        <w:t>2</w:t>
      </w:r>
      <w:r w:rsidRPr="00722885">
        <w:rPr>
          <w:rStyle w:val="0pt"/>
          <w:rFonts w:ascii="Times New Roman" w:hAnsi="Times New Roman" w:cs="Times New Roman"/>
          <w:color w:val="000000" w:themeColor="text1"/>
          <w:spacing w:val="0"/>
          <w:sz w:val="16"/>
          <w:szCs w:val="16"/>
        </w:rPr>
        <w:t>00</w:t>
      </w:r>
      <w:r w:rsidRPr="00722885">
        <w:rPr>
          <w:rFonts w:ascii="Times New Roman" w:hAnsi="Times New Roman" w:cs="Times New Roman"/>
          <w:color w:val="000000" w:themeColor="text1"/>
          <w:spacing w:val="0"/>
          <w:sz w:val="16"/>
          <w:szCs w:val="16"/>
        </w:rPr>
        <w:t xml:space="preserve"> патрон вместо </w:t>
      </w:r>
      <w:r w:rsidRPr="00722885">
        <w:rPr>
          <w:rStyle w:val="0pt"/>
          <w:rFonts w:ascii="Times New Roman" w:hAnsi="Times New Roman" w:cs="Times New Roman"/>
          <w:color w:val="000000" w:themeColor="text1"/>
          <w:spacing w:val="0"/>
          <w:sz w:val="16"/>
          <w:szCs w:val="16"/>
        </w:rPr>
        <w:t>2-х</w:t>
      </w:r>
      <w:r w:rsidRPr="00722885">
        <w:rPr>
          <w:rFonts w:ascii="Times New Roman" w:hAnsi="Times New Roman" w:cs="Times New Roman"/>
          <w:color w:val="000000" w:themeColor="text1"/>
          <w:spacing w:val="0"/>
          <w:sz w:val="16"/>
          <w:szCs w:val="16"/>
        </w:rPr>
        <w:t xml:space="preserve"> пулеметов Шкас и одну пушку Швак 20 мм с боекомплектом в </w:t>
      </w:r>
      <w:r w:rsidRPr="00722885">
        <w:rPr>
          <w:rStyle w:val="0pt"/>
          <w:rFonts w:ascii="Times New Roman" w:hAnsi="Times New Roman" w:cs="Times New Roman"/>
          <w:color w:val="000000" w:themeColor="text1"/>
          <w:spacing w:val="0"/>
          <w:sz w:val="16"/>
          <w:szCs w:val="16"/>
        </w:rPr>
        <w:t>120</w:t>
      </w:r>
      <w:r w:rsidRPr="00722885">
        <w:rPr>
          <w:rFonts w:ascii="Times New Roman" w:hAnsi="Times New Roman" w:cs="Times New Roman"/>
          <w:color w:val="000000" w:themeColor="text1"/>
          <w:spacing w:val="0"/>
          <w:sz w:val="16"/>
          <w:szCs w:val="16"/>
        </w:rPr>
        <w:t xml:space="preserve"> патрон, сняв пневмопереварядку пушки;</w:t>
      </w:r>
    </w:p>
    <w:p w14:paraId="7801E000" w14:textId="77777777" w:rsidR="008B38FB" w:rsidRPr="00722885" w:rsidRDefault="008B38FB" w:rsidP="00722885">
      <w:pPr>
        <w:pStyle w:val="7f"/>
        <w:shd w:val="clear" w:color="auto" w:fill="auto"/>
        <w:tabs>
          <w:tab w:val="left" w:pos="1250"/>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 изменить бронеспинку, срезав верхнюю часть, поставить переднее и заднее бронестекла и броню для левой руки пилота;</w:t>
      </w:r>
    </w:p>
    <w:p w14:paraId="7AFB6286" w14:textId="77777777" w:rsidR="008B38FB" w:rsidRPr="00722885" w:rsidRDefault="008B38FB" w:rsidP="00722885">
      <w:pPr>
        <w:pStyle w:val="7f"/>
        <w:shd w:val="clear" w:color="auto" w:fill="auto"/>
        <w:tabs>
          <w:tab w:val="left" w:pos="1238"/>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г) установить маслорадиатор типа самолета Як-7;</w:t>
      </w:r>
    </w:p>
    <w:p w14:paraId="18FF98B5" w14:textId="77777777" w:rsidR="008B38FB" w:rsidRPr="00722885" w:rsidRDefault="008B38FB" w:rsidP="00722885">
      <w:pPr>
        <w:pStyle w:val="7f"/>
        <w:shd w:val="clear" w:color="auto" w:fill="auto"/>
        <w:tabs>
          <w:tab w:val="left" w:pos="1238"/>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д) установить винт </w:t>
      </w:r>
      <w:r w:rsidRPr="00722885">
        <w:rPr>
          <w:rStyle w:val="0pt"/>
          <w:rFonts w:ascii="Times New Roman" w:hAnsi="Times New Roman" w:cs="Times New Roman"/>
          <w:color w:val="000000" w:themeColor="text1"/>
          <w:spacing w:val="0"/>
          <w:sz w:val="16"/>
          <w:szCs w:val="16"/>
        </w:rPr>
        <w:t>ВИШ-105;</w:t>
      </w:r>
    </w:p>
    <w:p w14:paraId="20920C22" w14:textId="77777777" w:rsidR="008B38FB" w:rsidRPr="00722885" w:rsidRDefault="008B38FB" w:rsidP="00722885">
      <w:pPr>
        <w:pStyle w:val="7f"/>
        <w:shd w:val="clear" w:color="auto" w:fill="auto"/>
        <w:tabs>
          <w:tab w:val="left" w:pos="1235"/>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е) установить всасывающий патрубок с фильтром конструк</w:t>
      </w:r>
      <w:r w:rsidRPr="00722885">
        <w:rPr>
          <w:rFonts w:ascii="Times New Roman" w:hAnsi="Times New Roman" w:cs="Times New Roman"/>
          <w:color w:val="000000" w:themeColor="text1"/>
          <w:spacing w:val="0"/>
          <w:sz w:val="16"/>
          <w:szCs w:val="16"/>
        </w:rPr>
        <w:softHyphen/>
        <w:t>ции ЦАГИ;</w:t>
      </w:r>
    </w:p>
    <w:p w14:paraId="1DE8268E" w14:textId="77777777" w:rsidR="008B38FB" w:rsidRPr="00722885" w:rsidRDefault="008B38FB" w:rsidP="00722885">
      <w:pPr>
        <w:pStyle w:val="7f"/>
        <w:shd w:val="clear" w:color="auto" w:fill="auto"/>
        <w:tabs>
          <w:tab w:val="left" w:pos="1238"/>
        </w:tabs>
        <w:spacing w:after="0" w:line="240" w:lineRule="auto"/>
        <w:rPr>
          <w:rFonts w:ascii="Times New Roman" w:hAnsi="Times New Roman" w:cs="Times New Roman"/>
          <w:color w:val="000000" w:themeColor="text1"/>
          <w:spacing w:val="0"/>
          <w:sz w:val="16"/>
          <w:szCs w:val="16"/>
        </w:rPr>
      </w:pPr>
      <w:r w:rsidRPr="00722885">
        <w:rPr>
          <w:rStyle w:val="0pt66"/>
          <w:rFonts w:ascii="Times New Roman" w:hAnsi="Times New Roman" w:cs="Times New Roman"/>
          <w:b w:val="0"/>
          <w:color w:val="000000" w:themeColor="text1"/>
          <w:w w:val="100"/>
          <w:sz w:val="16"/>
          <w:szCs w:val="16"/>
        </w:rPr>
        <w:t xml:space="preserve">ж) </w:t>
      </w:r>
      <w:r w:rsidRPr="00722885">
        <w:rPr>
          <w:rFonts w:ascii="Times New Roman" w:hAnsi="Times New Roman" w:cs="Times New Roman"/>
          <w:color w:val="000000" w:themeColor="text1"/>
          <w:spacing w:val="0"/>
          <w:sz w:val="16"/>
          <w:szCs w:val="16"/>
        </w:rPr>
        <w:t>установить убирающийся в полете костыль.</w:t>
      </w:r>
    </w:p>
    <w:p w14:paraId="6E1BE3E2" w14:textId="77777777" w:rsidR="008B38FB" w:rsidRPr="00722885" w:rsidRDefault="008B38FB" w:rsidP="00722885">
      <w:pPr>
        <w:pStyle w:val="7f"/>
        <w:shd w:val="clear" w:color="auto" w:fill="auto"/>
        <w:tabs>
          <w:tab w:val="left" w:pos="1235"/>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2. Установить следующие сроки внедрения и выпуска улуч</w:t>
      </w:r>
      <w:r w:rsidRPr="00722885">
        <w:rPr>
          <w:rFonts w:ascii="Times New Roman" w:hAnsi="Times New Roman" w:cs="Times New Roman"/>
          <w:color w:val="000000" w:themeColor="text1"/>
          <w:spacing w:val="0"/>
          <w:sz w:val="16"/>
          <w:szCs w:val="16"/>
        </w:rPr>
        <w:softHyphen/>
        <w:t>шенного самолета Як-1:</w:t>
      </w:r>
    </w:p>
    <w:p w14:paraId="3F024E30" w14:textId="77777777" w:rsidR="008B38FB" w:rsidRPr="00722885" w:rsidRDefault="008B38FB"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 сентябре - 10 самолетов</w:t>
      </w:r>
    </w:p>
    <w:p w14:paraId="567E4F4B" w14:textId="77777777" w:rsidR="008B38FB" w:rsidRPr="00722885" w:rsidRDefault="008B38FB" w:rsidP="00722885">
      <w:pPr>
        <w:pStyle w:val="7f"/>
        <w:shd w:val="clear" w:color="auto" w:fill="auto"/>
        <w:tabs>
          <w:tab w:val="left" w:pos="4963"/>
        </w:tabs>
        <w:spacing w:after="0" w:line="240" w:lineRule="auto"/>
        <w:rPr>
          <w:rStyle w:val="0pt"/>
          <w:rFonts w:ascii="Times New Roman" w:eastAsia="MS Mincho"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в октябре - </w:t>
      </w:r>
      <w:r w:rsidRPr="00722885">
        <w:rPr>
          <w:rStyle w:val="0pt"/>
          <w:rFonts w:ascii="Times New Roman" w:hAnsi="Times New Roman" w:cs="Times New Roman"/>
          <w:color w:val="000000" w:themeColor="text1"/>
          <w:spacing w:val="0"/>
          <w:sz w:val="16"/>
          <w:szCs w:val="16"/>
        </w:rPr>
        <w:t>100</w:t>
      </w:r>
    </w:p>
    <w:p w14:paraId="46B4D181" w14:textId="77777777" w:rsidR="008B38FB" w:rsidRPr="00722885" w:rsidRDefault="008B38FB" w:rsidP="00722885">
      <w:pPr>
        <w:pStyle w:val="7f"/>
        <w:shd w:val="clear" w:color="auto" w:fill="auto"/>
        <w:tabs>
          <w:tab w:val="left" w:pos="4963"/>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и начиная с 1-го нояб</w:t>
      </w:r>
      <w:r w:rsidRPr="00722885">
        <w:rPr>
          <w:rFonts w:ascii="Times New Roman" w:hAnsi="Times New Roman" w:cs="Times New Roman"/>
          <w:color w:val="000000" w:themeColor="text1"/>
          <w:spacing w:val="0"/>
          <w:sz w:val="16"/>
          <w:szCs w:val="16"/>
        </w:rPr>
        <w:softHyphen/>
      </w:r>
      <w:r w:rsidRPr="00722885">
        <w:rPr>
          <w:rStyle w:val="0pt"/>
          <w:rFonts w:ascii="Times New Roman" w:hAnsi="Times New Roman" w:cs="Times New Roman"/>
          <w:color w:val="000000" w:themeColor="text1"/>
          <w:spacing w:val="0"/>
          <w:sz w:val="16"/>
          <w:szCs w:val="16"/>
        </w:rPr>
        <w:t>ря 1942</w:t>
      </w:r>
      <w:r w:rsidRPr="00722885">
        <w:rPr>
          <w:rFonts w:ascii="Times New Roman" w:hAnsi="Times New Roman" w:cs="Times New Roman"/>
          <w:color w:val="000000" w:themeColor="text1"/>
          <w:spacing w:val="0"/>
          <w:sz w:val="16"/>
          <w:szCs w:val="16"/>
        </w:rPr>
        <w:t xml:space="preserve"> года все выпускаемые заводом самолеты.</w:t>
      </w:r>
    </w:p>
    <w:p w14:paraId="21D612DD" w14:textId="77777777" w:rsidR="008B38FB" w:rsidRPr="00722885" w:rsidRDefault="008B38FB" w:rsidP="00722885">
      <w:pPr>
        <w:pStyle w:val="7f"/>
        <w:shd w:val="clear" w:color="auto" w:fill="auto"/>
        <w:tabs>
          <w:tab w:val="left" w:pos="1253"/>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3. Обяэать Главного Конструктора т.Яковлева:</w:t>
      </w:r>
    </w:p>
    <w:p w14:paraId="2C9E6953" w14:textId="77777777" w:rsidR="008B38FB" w:rsidRPr="00722885" w:rsidRDefault="008B38FB" w:rsidP="00722885">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а) передать заводу № </w:t>
      </w:r>
      <w:r w:rsidRPr="00722885">
        <w:rPr>
          <w:rStyle w:val="0pt"/>
          <w:rFonts w:ascii="Times New Roman" w:hAnsi="Times New Roman" w:cs="Times New Roman"/>
          <w:color w:val="000000" w:themeColor="text1"/>
          <w:spacing w:val="0"/>
          <w:sz w:val="16"/>
          <w:szCs w:val="16"/>
        </w:rPr>
        <w:t>292</w:t>
      </w:r>
      <w:r w:rsidRPr="00722885">
        <w:rPr>
          <w:rFonts w:ascii="Times New Roman" w:hAnsi="Times New Roman" w:cs="Times New Roman"/>
          <w:color w:val="000000" w:themeColor="text1"/>
          <w:spacing w:val="0"/>
          <w:sz w:val="16"/>
          <w:szCs w:val="16"/>
        </w:rPr>
        <w:t xml:space="preserve"> чертежи на утвержденные настоя</w:t>
      </w:r>
      <w:r w:rsidRPr="00722885">
        <w:rPr>
          <w:rFonts w:ascii="Times New Roman" w:hAnsi="Times New Roman" w:cs="Times New Roman"/>
          <w:color w:val="000000" w:themeColor="text1"/>
          <w:spacing w:val="0"/>
          <w:sz w:val="16"/>
          <w:szCs w:val="16"/>
        </w:rPr>
        <w:softHyphen/>
        <w:t>щим постановлением изменения конструкции не поэднее 12 авгу</w:t>
      </w:r>
      <w:r w:rsidRPr="00722885">
        <w:rPr>
          <w:rFonts w:ascii="Times New Roman" w:hAnsi="Times New Roman" w:cs="Times New Roman"/>
          <w:color w:val="000000" w:themeColor="text1"/>
          <w:spacing w:val="0"/>
          <w:sz w:val="16"/>
          <w:szCs w:val="16"/>
        </w:rPr>
        <w:softHyphen/>
        <w:t xml:space="preserve">ста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s="Times New Roman"/>
          <w:color w:val="000000" w:themeColor="text1"/>
          <w:spacing w:val="0"/>
          <w:sz w:val="16"/>
          <w:szCs w:val="16"/>
        </w:rPr>
        <w:t xml:space="preserve"> года;</w:t>
      </w:r>
    </w:p>
    <w:p w14:paraId="543B621A" w14:textId="77777777" w:rsidR="008B38FB" w:rsidRPr="00722885" w:rsidRDefault="008B38FB" w:rsidP="00722885">
      <w:pPr>
        <w:pStyle w:val="7f"/>
        <w:shd w:val="clear" w:color="auto" w:fill="auto"/>
        <w:tabs>
          <w:tab w:val="left" w:pos="1273"/>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б) передать заводу № </w:t>
      </w:r>
      <w:r w:rsidRPr="00722885">
        <w:rPr>
          <w:rStyle w:val="0pt"/>
          <w:rFonts w:ascii="Times New Roman" w:hAnsi="Times New Roman" w:cs="Times New Roman"/>
          <w:color w:val="000000" w:themeColor="text1"/>
          <w:spacing w:val="0"/>
          <w:sz w:val="16"/>
          <w:szCs w:val="16"/>
        </w:rPr>
        <w:t>292</w:t>
      </w:r>
      <w:r w:rsidRPr="00722885">
        <w:rPr>
          <w:rFonts w:ascii="Times New Roman" w:hAnsi="Times New Roman" w:cs="Times New Roman"/>
          <w:color w:val="000000" w:themeColor="text1"/>
          <w:spacing w:val="0"/>
          <w:sz w:val="16"/>
          <w:szCs w:val="16"/>
        </w:rPr>
        <w:t xml:space="preserve"> образец улучшенного самолета Як-1 к 20 августа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s="Times New Roman"/>
          <w:color w:val="000000" w:themeColor="text1"/>
          <w:spacing w:val="0"/>
          <w:sz w:val="16"/>
          <w:szCs w:val="16"/>
        </w:rPr>
        <w:t xml:space="preserve"> года;</w:t>
      </w:r>
    </w:p>
    <w:p w14:paraId="052F6E31" w14:textId="77777777" w:rsidR="008B38FB" w:rsidRPr="00722885" w:rsidRDefault="008B38FB" w:rsidP="00722885">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 разработать конструкцию нового деревянного хвостово</w:t>
      </w:r>
      <w:r w:rsidRPr="00722885">
        <w:rPr>
          <w:rFonts w:ascii="Times New Roman" w:hAnsi="Times New Roman" w:cs="Times New Roman"/>
          <w:color w:val="000000" w:themeColor="text1"/>
          <w:spacing w:val="0"/>
          <w:sz w:val="16"/>
          <w:szCs w:val="16"/>
        </w:rPr>
        <w:softHyphen/>
        <w:t>го оперения для улучшенного самолета Як-1 и, после проведения испытаний, передать заводу №</w:t>
      </w:r>
      <w:r w:rsidRPr="00722885">
        <w:rPr>
          <w:rStyle w:val="TrebuchetMS0pt"/>
          <w:rFonts w:ascii="Times New Roman" w:hAnsi="Times New Roman" w:cs="Times New Roman"/>
          <w:color w:val="000000" w:themeColor="text1"/>
          <w:sz w:val="16"/>
          <w:szCs w:val="16"/>
        </w:rPr>
        <w:t xml:space="preserve"> 292</w:t>
      </w:r>
      <w:r w:rsidRPr="00722885">
        <w:rPr>
          <w:rFonts w:ascii="Times New Roman" w:hAnsi="Times New Roman" w:cs="Times New Roman"/>
          <w:color w:val="000000" w:themeColor="text1"/>
          <w:spacing w:val="0"/>
          <w:sz w:val="16"/>
          <w:szCs w:val="16"/>
        </w:rPr>
        <w:t xml:space="preserve"> для внедрения в серию.</w:t>
      </w:r>
    </w:p>
    <w:p w14:paraId="07A3131D" w14:textId="77777777" w:rsidR="008B38FB" w:rsidRPr="00722885" w:rsidRDefault="008B38FB" w:rsidP="00722885">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4. Наркомхимпром т.Первухину и Наркомстройматериалов - т.Соснину обеспечить поставку эаводу </w:t>
      </w:r>
      <w:r w:rsidRPr="00722885">
        <w:rPr>
          <w:rFonts w:ascii="Times New Roman" w:hAnsi="Times New Roman" w:cs="Times New Roman"/>
          <w:color w:val="000000" w:themeColor="text1"/>
          <w:spacing w:val="0"/>
          <w:sz w:val="16"/>
          <w:szCs w:val="16"/>
          <w:lang w:val="en-US"/>
        </w:rPr>
        <w:t>JP</w:t>
      </w:r>
      <w:r w:rsidRPr="00722885">
        <w:rPr>
          <w:rFonts w:ascii="Times New Roman" w:hAnsi="Times New Roman" w:cs="Times New Roman"/>
          <w:color w:val="000000" w:themeColor="text1"/>
          <w:spacing w:val="0"/>
          <w:sz w:val="16"/>
          <w:szCs w:val="16"/>
        </w:rPr>
        <w:t xml:space="preserve"> </w:t>
      </w:r>
      <w:r w:rsidRPr="00722885">
        <w:rPr>
          <w:rStyle w:val="0pt"/>
          <w:rFonts w:ascii="Times New Roman" w:hAnsi="Times New Roman" w:cs="Times New Roman"/>
          <w:color w:val="000000" w:themeColor="text1"/>
          <w:spacing w:val="0"/>
          <w:sz w:val="16"/>
          <w:szCs w:val="16"/>
        </w:rPr>
        <w:t>292</w:t>
      </w:r>
      <w:r w:rsidRPr="00722885">
        <w:rPr>
          <w:rFonts w:ascii="Times New Roman" w:hAnsi="Times New Roman" w:cs="Times New Roman"/>
          <w:color w:val="000000" w:themeColor="text1"/>
          <w:spacing w:val="0"/>
          <w:sz w:val="16"/>
          <w:szCs w:val="16"/>
        </w:rPr>
        <w:t xml:space="preserve"> по его чертежам бронестекол:</w:t>
      </w:r>
    </w:p>
    <w:p w14:paraId="1620F3B0" w14:textId="77777777" w:rsidR="008B38FB" w:rsidRPr="00722885" w:rsidRDefault="008B38FB"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в сентябре - </w:t>
      </w:r>
      <w:r w:rsidRPr="00722885">
        <w:rPr>
          <w:rStyle w:val="0pt"/>
          <w:rFonts w:ascii="Times New Roman" w:hAnsi="Times New Roman" w:cs="Times New Roman"/>
          <w:color w:val="000000" w:themeColor="text1"/>
          <w:spacing w:val="0"/>
          <w:sz w:val="16"/>
          <w:szCs w:val="16"/>
        </w:rPr>
        <w:t>100</w:t>
      </w:r>
      <w:r w:rsidRPr="00722885">
        <w:rPr>
          <w:rFonts w:ascii="Times New Roman" w:hAnsi="Times New Roman" w:cs="Times New Roman"/>
          <w:color w:val="000000" w:themeColor="text1"/>
          <w:spacing w:val="0"/>
          <w:sz w:val="16"/>
          <w:szCs w:val="16"/>
        </w:rPr>
        <w:t xml:space="preserve"> комплектов</w:t>
      </w:r>
    </w:p>
    <w:p w14:paraId="09316A9A" w14:textId="77777777" w:rsidR="008B38FB" w:rsidRPr="00722885" w:rsidRDefault="008B38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октябре - </w:t>
      </w:r>
      <w:r w:rsidRPr="00722885">
        <w:rPr>
          <w:rStyle w:val="0pt"/>
          <w:rFonts w:ascii="Times New Roman" w:hAnsi="Times New Roman" w:cs="Times New Roman"/>
          <w:color w:val="000000" w:themeColor="text1"/>
          <w:spacing w:val="0"/>
          <w:sz w:val="16"/>
          <w:szCs w:val="16"/>
        </w:rPr>
        <w:t>300</w:t>
      </w:r>
      <w:r w:rsidRPr="00722885">
        <w:rPr>
          <w:rFonts w:ascii="Times New Roman" w:hAnsi="Times New Roman"/>
          <w:color w:val="000000" w:themeColor="text1"/>
          <w:sz w:val="16"/>
          <w:szCs w:val="16"/>
        </w:rPr>
        <w:t xml:space="preserve"> комплектов и, начиная с ноября месяца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olor w:val="000000" w:themeColor="text1"/>
          <w:sz w:val="16"/>
          <w:szCs w:val="16"/>
        </w:rPr>
        <w:t xml:space="preserve"> года, по </w:t>
      </w:r>
      <w:r w:rsidRPr="00722885">
        <w:rPr>
          <w:rStyle w:val="0pt"/>
          <w:rFonts w:ascii="Times New Roman" w:hAnsi="Times New Roman" w:cs="Times New Roman"/>
          <w:color w:val="000000" w:themeColor="text1"/>
          <w:spacing w:val="0"/>
          <w:sz w:val="16"/>
          <w:szCs w:val="16"/>
        </w:rPr>
        <w:t>350</w:t>
      </w:r>
      <w:r w:rsidRPr="00722885">
        <w:rPr>
          <w:rFonts w:ascii="Times New Roman" w:hAnsi="Times New Roman"/>
          <w:color w:val="000000" w:themeColor="text1"/>
          <w:sz w:val="16"/>
          <w:szCs w:val="16"/>
        </w:rPr>
        <w:t xml:space="preserve"> комплектов</w:t>
      </w:r>
    </w:p>
    <w:p w14:paraId="47D34A3F" w14:textId="77777777" w:rsidR="008B38FB" w:rsidRPr="00722885" w:rsidRDefault="008B38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Наркомхимпрому (т.Первухину) и Наркомнефти (т.Седину) в 10-дневный срок внести на рассмотрение ГОКО предложения об организации производства изопропилового спирта на Уфимском крекинг-заводе и переработки спирта в ацетон на заводе № 34 Наркомхимпрома в г.Челябинске.</w:t>
      </w:r>
    </w:p>
    <w:p w14:paraId="0FD4247D" w14:textId="77777777" w:rsidR="008B38FB" w:rsidRPr="00722885" w:rsidRDefault="008B38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Наркомвооружения т.Устинову обеспечить поставку заводу № 292:</w:t>
      </w:r>
    </w:p>
    <w:p w14:paraId="58887B78" w14:textId="77777777" w:rsidR="008B38FB" w:rsidRPr="00722885" w:rsidRDefault="008B38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деталей горячей штамповки с эавода № 614 по 100 тонн ежеквартально, начиная с Ш-го квартала текущего года;</w:t>
      </w:r>
    </w:p>
    <w:p w14:paraId="06F57CF2" w14:textId="77777777" w:rsidR="008B38FB" w:rsidRPr="00722885" w:rsidRDefault="008B38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пулеметов системы Беревина (УБС) калибра 12,7 мм эа счет сокращения поставок синхронных пулеметов Шкас.</w:t>
      </w:r>
    </w:p>
    <w:p w14:paraId="12C6F4EF" w14:textId="77777777" w:rsidR="008B38FB" w:rsidRPr="00722885" w:rsidRDefault="008B38FB" w:rsidP="00722885">
      <w:pPr>
        <w:tabs>
          <w:tab w:val="left" w:pos="107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Наркомхимпром - т.Первухину обеспечить освоение и по</w:t>
      </w:r>
      <w:r w:rsidRPr="00722885">
        <w:rPr>
          <w:rFonts w:ascii="Times New Roman" w:hAnsi="Times New Roman"/>
          <w:color w:val="000000" w:themeColor="text1"/>
          <w:sz w:val="16"/>
          <w:szCs w:val="16"/>
        </w:rPr>
        <w:softHyphen/>
        <w:t xml:space="preserve">ставку заводу № </w:t>
      </w:r>
      <w:r w:rsidRPr="00722885">
        <w:rPr>
          <w:rStyle w:val="0pt"/>
          <w:rFonts w:ascii="Times New Roman" w:hAnsi="Times New Roman" w:cs="Times New Roman"/>
          <w:color w:val="000000" w:themeColor="text1"/>
          <w:spacing w:val="0"/>
          <w:sz w:val="16"/>
          <w:szCs w:val="16"/>
        </w:rPr>
        <w:t>292</w:t>
      </w:r>
      <w:r w:rsidRPr="00722885">
        <w:rPr>
          <w:rFonts w:ascii="Times New Roman" w:hAnsi="Times New Roman"/>
          <w:color w:val="000000" w:themeColor="text1"/>
          <w:sz w:val="16"/>
          <w:szCs w:val="16"/>
        </w:rPr>
        <w:t xml:space="preserve"> в счет фондов Наркомавиапрома листовой плексиглас толщиной </w:t>
      </w:r>
      <w:r w:rsidRPr="00722885">
        <w:rPr>
          <w:rStyle w:val="0pt"/>
          <w:rFonts w:ascii="Times New Roman" w:hAnsi="Times New Roman" w:cs="Times New Roman"/>
          <w:color w:val="000000" w:themeColor="text1"/>
          <w:spacing w:val="0"/>
          <w:sz w:val="16"/>
          <w:szCs w:val="16"/>
        </w:rPr>
        <w:t>4-5</w:t>
      </w:r>
      <w:r w:rsidRPr="00722885">
        <w:rPr>
          <w:rFonts w:ascii="Times New Roman" w:hAnsi="Times New Roman"/>
          <w:color w:val="000000" w:themeColor="text1"/>
          <w:sz w:val="16"/>
          <w:szCs w:val="16"/>
        </w:rPr>
        <w:t xml:space="preserve"> мм в габаритах по чертежам завода № </w:t>
      </w:r>
      <w:r w:rsidRPr="00722885">
        <w:rPr>
          <w:rStyle w:val="0pt"/>
          <w:rFonts w:ascii="Times New Roman" w:hAnsi="Times New Roman" w:cs="Times New Roman"/>
          <w:color w:val="000000" w:themeColor="text1"/>
          <w:spacing w:val="0"/>
          <w:sz w:val="16"/>
          <w:szCs w:val="16"/>
        </w:rPr>
        <w:t>292:</w:t>
      </w:r>
    </w:p>
    <w:p w14:paraId="75AF1DF5" w14:textId="77777777" w:rsidR="008B38FB" w:rsidRPr="00722885" w:rsidRDefault="008B38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сентябре - </w:t>
      </w:r>
      <w:r w:rsidRPr="00722885">
        <w:rPr>
          <w:rStyle w:val="0pt"/>
          <w:rFonts w:ascii="Times New Roman" w:hAnsi="Times New Roman" w:cs="Times New Roman"/>
          <w:color w:val="000000" w:themeColor="text1"/>
          <w:spacing w:val="0"/>
          <w:sz w:val="16"/>
          <w:szCs w:val="16"/>
        </w:rPr>
        <w:t>120</w:t>
      </w:r>
      <w:r w:rsidRPr="00722885">
        <w:rPr>
          <w:rFonts w:ascii="Times New Roman" w:hAnsi="Times New Roman"/>
          <w:color w:val="000000" w:themeColor="text1"/>
          <w:sz w:val="16"/>
          <w:szCs w:val="16"/>
        </w:rPr>
        <w:t xml:space="preserve"> листов</w:t>
      </w:r>
    </w:p>
    <w:p w14:paraId="5A1D357D" w14:textId="77777777" w:rsidR="008B38FB" w:rsidRPr="00722885" w:rsidRDefault="008B38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октябре - </w:t>
      </w:r>
      <w:r w:rsidRPr="00722885">
        <w:rPr>
          <w:rStyle w:val="0pt"/>
          <w:rFonts w:ascii="Times New Roman" w:hAnsi="Times New Roman" w:cs="Times New Roman"/>
          <w:color w:val="000000" w:themeColor="text1"/>
          <w:spacing w:val="0"/>
          <w:sz w:val="16"/>
          <w:szCs w:val="16"/>
        </w:rPr>
        <w:t>350</w:t>
      </w:r>
      <w:r w:rsidRPr="00722885">
        <w:rPr>
          <w:rFonts w:ascii="Times New Roman" w:hAnsi="Times New Roman"/>
          <w:color w:val="000000" w:themeColor="text1"/>
          <w:sz w:val="16"/>
          <w:szCs w:val="16"/>
        </w:rPr>
        <w:t xml:space="preserve"> листов и, начиная с ноября, по </w:t>
      </w:r>
      <w:r w:rsidRPr="00722885">
        <w:rPr>
          <w:rStyle w:val="0pt"/>
          <w:rFonts w:ascii="Times New Roman" w:hAnsi="Times New Roman" w:cs="Times New Roman"/>
          <w:color w:val="000000" w:themeColor="text1"/>
          <w:spacing w:val="0"/>
          <w:sz w:val="16"/>
          <w:szCs w:val="16"/>
        </w:rPr>
        <w:t>400</w:t>
      </w:r>
      <w:r w:rsidRPr="00722885">
        <w:rPr>
          <w:rFonts w:ascii="Times New Roman" w:hAnsi="Times New Roman"/>
          <w:color w:val="000000" w:themeColor="text1"/>
          <w:sz w:val="16"/>
          <w:szCs w:val="16"/>
        </w:rPr>
        <w:t xml:space="preserve"> листов ежемесячно</w:t>
      </w:r>
    </w:p>
    <w:p w14:paraId="2D99F56C" w14:textId="77777777" w:rsidR="008B38FB" w:rsidRPr="00722885" w:rsidRDefault="008B38FB" w:rsidP="00722885">
      <w:pPr>
        <w:tabs>
          <w:tab w:val="left" w:pos="104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Наркомстройматериалов - т.Соснину обеспечить освоение и поставку заводу № </w:t>
      </w:r>
      <w:r w:rsidRPr="00722885">
        <w:rPr>
          <w:rStyle w:val="0pt"/>
          <w:rFonts w:ascii="Times New Roman" w:hAnsi="Times New Roman" w:cs="Times New Roman"/>
          <w:color w:val="000000" w:themeColor="text1"/>
          <w:spacing w:val="0"/>
          <w:sz w:val="16"/>
          <w:szCs w:val="16"/>
        </w:rPr>
        <w:t>292</w:t>
      </w:r>
      <w:r w:rsidRPr="00722885">
        <w:rPr>
          <w:rFonts w:ascii="Times New Roman" w:hAnsi="Times New Roman"/>
          <w:color w:val="000000" w:themeColor="text1"/>
          <w:sz w:val="16"/>
          <w:szCs w:val="16"/>
        </w:rPr>
        <w:t xml:space="preserve"> зеркал обзора по чертежам эавода № </w:t>
      </w:r>
      <w:r w:rsidRPr="00722885">
        <w:rPr>
          <w:rStyle w:val="0pt"/>
          <w:rFonts w:ascii="Times New Roman" w:hAnsi="Times New Roman" w:cs="Times New Roman"/>
          <w:color w:val="000000" w:themeColor="text1"/>
          <w:spacing w:val="0"/>
          <w:sz w:val="16"/>
          <w:szCs w:val="16"/>
        </w:rPr>
        <w:t>115:</w:t>
      </w:r>
    </w:p>
    <w:p w14:paraId="0668F120" w14:textId="77777777" w:rsidR="008B38FB" w:rsidRPr="00722885" w:rsidRDefault="008B38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в сентябре - </w:t>
      </w:r>
      <w:r w:rsidRPr="00722885">
        <w:rPr>
          <w:rStyle w:val="0pt"/>
          <w:rFonts w:ascii="Times New Roman" w:hAnsi="Times New Roman" w:cs="Times New Roman"/>
          <w:color w:val="000000" w:themeColor="text1"/>
          <w:spacing w:val="0"/>
          <w:sz w:val="16"/>
          <w:szCs w:val="16"/>
        </w:rPr>
        <w:t>120</w:t>
      </w:r>
      <w:r w:rsidRPr="00722885">
        <w:rPr>
          <w:rFonts w:ascii="Times New Roman" w:hAnsi="Times New Roman"/>
          <w:color w:val="000000" w:themeColor="text1"/>
          <w:sz w:val="16"/>
          <w:szCs w:val="16"/>
        </w:rPr>
        <w:t xml:space="preserve"> штук</w:t>
      </w:r>
    </w:p>
    <w:p w14:paraId="02F717A5" w14:textId="77777777" w:rsidR="008B38FB" w:rsidRPr="00722885" w:rsidRDefault="008B38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октябре - </w:t>
      </w:r>
      <w:r w:rsidRPr="00722885">
        <w:rPr>
          <w:rStyle w:val="0pt"/>
          <w:rFonts w:ascii="Times New Roman" w:hAnsi="Times New Roman" w:cs="Times New Roman"/>
          <w:color w:val="000000" w:themeColor="text1"/>
          <w:spacing w:val="0"/>
          <w:sz w:val="16"/>
          <w:szCs w:val="16"/>
        </w:rPr>
        <w:t>350</w:t>
      </w:r>
      <w:r w:rsidRPr="00722885">
        <w:rPr>
          <w:rFonts w:ascii="Times New Roman" w:hAnsi="Times New Roman"/>
          <w:color w:val="000000" w:themeColor="text1"/>
          <w:sz w:val="16"/>
          <w:szCs w:val="16"/>
        </w:rPr>
        <w:t xml:space="preserve"> штук и, начиная с ноября месяца, </w:t>
      </w:r>
      <w:r w:rsidRPr="00722885">
        <w:rPr>
          <w:rStyle w:val="0pt"/>
          <w:rFonts w:ascii="Times New Roman" w:hAnsi="Times New Roman" w:cs="Times New Roman"/>
          <w:color w:val="000000" w:themeColor="text1"/>
          <w:spacing w:val="0"/>
          <w:sz w:val="16"/>
          <w:szCs w:val="16"/>
        </w:rPr>
        <w:t>по 400</w:t>
      </w:r>
      <w:r w:rsidRPr="00722885">
        <w:rPr>
          <w:rFonts w:ascii="Times New Roman" w:hAnsi="Times New Roman"/>
          <w:color w:val="000000" w:themeColor="text1"/>
          <w:sz w:val="16"/>
          <w:szCs w:val="16"/>
        </w:rPr>
        <w:t xml:space="preserve"> штук ежемесячно,</w:t>
      </w:r>
    </w:p>
    <w:p w14:paraId="5C52BF33" w14:textId="77777777" w:rsidR="008B38FB" w:rsidRPr="00722885" w:rsidRDefault="008B38FB" w:rsidP="00722885">
      <w:pPr>
        <w:tabs>
          <w:tab w:val="left" w:pos="108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Обяэать Наркомтанкопром т.Зальцмана на эаводах № </w:t>
      </w:r>
      <w:r w:rsidRPr="00722885">
        <w:rPr>
          <w:rStyle w:val="0pt"/>
          <w:rFonts w:ascii="Times New Roman" w:hAnsi="Times New Roman" w:cs="Times New Roman"/>
          <w:color w:val="000000" w:themeColor="text1"/>
          <w:spacing w:val="0"/>
          <w:sz w:val="16"/>
          <w:szCs w:val="16"/>
        </w:rPr>
        <w:t>264 и 183</w:t>
      </w:r>
      <w:r w:rsidRPr="00722885">
        <w:rPr>
          <w:rFonts w:ascii="Times New Roman" w:hAnsi="Times New Roman"/>
          <w:color w:val="000000" w:themeColor="text1"/>
          <w:sz w:val="16"/>
          <w:szCs w:val="16"/>
        </w:rPr>
        <w:t xml:space="preserve"> Наркомтанкопрома обеспечить освоение и поставку заводу №</w:t>
      </w:r>
      <w:r w:rsidRPr="00722885">
        <w:rPr>
          <w:rStyle w:val="0pt"/>
          <w:rFonts w:ascii="Times New Roman" w:hAnsi="Times New Roman" w:cs="Times New Roman"/>
          <w:color w:val="000000" w:themeColor="text1"/>
          <w:spacing w:val="0"/>
          <w:sz w:val="16"/>
          <w:szCs w:val="16"/>
        </w:rPr>
        <w:t xml:space="preserve"> 292</w:t>
      </w:r>
      <w:r w:rsidRPr="00722885">
        <w:rPr>
          <w:rFonts w:ascii="Times New Roman" w:hAnsi="Times New Roman"/>
          <w:color w:val="000000" w:themeColor="text1"/>
          <w:sz w:val="16"/>
          <w:szCs w:val="16"/>
        </w:rPr>
        <w:t xml:space="preserve"> измененной бронеспинки и брони для защиты левой руки пилота по чертежам завода № </w:t>
      </w:r>
      <w:r w:rsidRPr="00722885">
        <w:rPr>
          <w:rStyle w:val="0pt"/>
          <w:rFonts w:ascii="Times New Roman" w:hAnsi="Times New Roman" w:cs="Times New Roman"/>
          <w:color w:val="000000" w:themeColor="text1"/>
          <w:spacing w:val="0"/>
          <w:sz w:val="16"/>
          <w:szCs w:val="16"/>
        </w:rPr>
        <w:t>292:</w:t>
      </w:r>
    </w:p>
    <w:p w14:paraId="6D7DF273" w14:textId="77777777" w:rsidR="008B38FB" w:rsidRPr="00722885" w:rsidRDefault="008B38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сентябре - </w:t>
      </w:r>
      <w:r w:rsidRPr="00722885">
        <w:rPr>
          <w:rStyle w:val="0pt"/>
          <w:rFonts w:ascii="Times New Roman" w:hAnsi="Times New Roman" w:cs="Times New Roman"/>
          <w:color w:val="000000" w:themeColor="text1"/>
          <w:spacing w:val="0"/>
          <w:sz w:val="16"/>
          <w:szCs w:val="16"/>
        </w:rPr>
        <w:t>100</w:t>
      </w:r>
      <w:r w:rsidRPr="00722885">
        <w:rPr>
          <w:rFonts w:ascii="Times New Roman" w:hAnsi="Times New Roman"/>
          <w:color w:val="000000" w:themeColor="text1"/>
          <w:sz w:val="16"/>
          <w:szCs w:val="16"/>
        </w:rPr>
        <w:t xml:space="preserve"> комплектов в октябре - </w:t>
      </w:r>
      <w:r w:rsidRPr="00722885">
        <w:rPr>
          <w:rStyle w:val="0pt"/>
          <w:rFonts w:ascii="Times New Roman" w:hAnsi="Times New Roman" w:cs="Times New Roman"/>
          <w:color w:val="000000" w:themeColor="text1"/>
          <w:spacing w:val="0"/>
          <w:sz w:val="16"/>
          <w:szCs w:val="16"/>
        </w:rPr>
        <w:t>300</w:t>
      </w:r>
      <w:r w:rsidRPr="00722885">
        <w:rPr>
          <w:rFonts w:ascii="Times New Roman" w:hAnsi="Times New Roman"/>
          <w:color w:val="000000" w:themeColor="text1"/>
          <w:sz w:val="16"/>
          <w:szCs w:val="16"/>
        </w:rPr>
        <w:t xml:space="preserve"> комплектов и,начиная с 1-го ноября, по </w:t>
      </w:r>
      <w:r w:rsidRPr="00722885">
        <w:rPr>
          <w:rStyle w:val="0pt"/>
          <w:rFonts w:ascii="Times New Roman" w:hAnsi="Times New Roman" w:cs="Times New Roman"/>
          <w:color w:val="000000" w:themeColor="text1"/>
          <w:spacing w:val="0"/>
          <w:sz w:val="16"/>
          <w:szCs w:val="16"/>
        </w:rPr>
        <w:t>350</w:t>
      </w:r>
      <w:r w:rsidRPr="00722885">
        <w:rPr>
          <w:rFonts w:ascii="Times New Roman" w:hAnsi="Times New Roman"/>
          <w:color w:val="000000" w:themeColor="text1"/>
          <w:sz w:val="16"/>
          <w:szCs w:val="16"/>
        </w:rPr>
        <w:t xml:space="preserve"> комплектов ежемесячно (19355).</w:t>
      </w:r>
    </w:p>
    <w:p w14:paraId="13CB1E57" w14:textId="77777777" w:rsidR="008C1CA6" w:rsidRPr="00722885" w:rsidRDefault="008C1CA6" w:rsidP="00722885">
      <w:pPr>
        <w:spacing w:after="0" w:line="240" w:lineRule="auto"/>
        <w:jc w:val="both"/>
        <w:rPr>
          <w:rFonts w:ascii="Times New Roman" w:hAnsi="Times New Roman"/>
          <w:color w:val="000000" w:themeColor="text1"/>
          <w:sz w:val="16"/>
          <w:szCs w:val="16"/>
        </w:rPr>
      </w:pPr>
    </w:p>
    <w:p w14:paraId="7257AD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августа 1942 постановление ГКО поручило 292 заводу внедрить Як-1б с ноября 1942 полностью (198,50). На самом деле начали на 292 заводе с сентября (10 машин), а с октября 1942 перешли полностью (65,66).</w:t>
      </w:r>
    </w:p>
    <w:p w14:paraId="28995CF9" w14:textId="77777777" w:rsidR="00AE7191" w:rsidRPr="00722885" w:rsidRDefault="00AE7191" w:rsidP="00722885">
      <w:pPr>
        <w:pStyle w:val="Iauiue"/>
        <w:jc w:val="both"/>
        <w:rPr>
          <w:color w:val="000000" w:themeColor="text1"/>
          <w:sz w:val="16"/>
          <w:szCs w:val="16"/>
        </w:rPr>
      </w:pPr>
    </w:p>
    <w:p w14:paraId="1E9086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августа 1942 вышло постановление ГКО N 2169сс "О серийном производстве улучшенных самолетов Як-1" (1578,3).</w:t>
      </w:r>
    </w:p>
    <w:p w14:paraId="298CCE2F" w14:textId="77777777" w:rsidR="00AE7191" w:rsidRPr="00722885" w:rsidRDefault="00AE7191" w:rsidP="00722885">
      <w:pPr>
        <w:pStyle w:val="Iauiue"/>
        <w:jc w:val="both"/>
        <w:rPr>
          <w:color w:val="000000" w:themeColor="text1"/>
          <w:sz w:val="16"/>
          <w:szCs w:val="16"/>
        </w:rPr>
      </w:pPr>
    </w:p>
    <w:p w14:paraId="19CEA1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августа 1942 вышло постановление ГКО N 2170сс "Об увеличении выпуска самолетов Як-7 на заводе 82" (1578,3).</w:t>
      </w:r>
    </w:p>
    <w:p w14:paraId="270E60E9" w14:textId="77777777" w:rsidR="00AE7191" w:rsidRPr="00722885" w:rsidRDefault="00AE7191" w:rsidP="00722885">
      <w:pPr>
        <w:pStyle w:val="Iauiue"/>
        <w:jc w:val="both"/>
        <w:rPr>
          <w:color w:val="000000" w:themeColor="text1"/>
          <w:sz w:val="16"/>
          <w:szCs w:val="16"/>
        </w:rPr>
      </w:pPr>
    </w:p>
    <w:p w14:paraId="6DA899FE"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11 августа 1942 г. 49-й киап в 2-х эскадрильном составе убыл на фронт и вошел в состав 234-й иад Западного фрон</w:t>
      </w:r>
      <w:r w:rsidRPr="00722885">
        <w:rPr>
          <w:rFonts w:ascii="Times New Roman" w:cs="Times New Roman"/>
          <w:color w:val="000000" w:themeColor="text1"/>
          <w:spacing w:val="0"/>
        </w:rPr>
        <w:softHyphen/>
        <w:t>та, который в тяжёлых боях совместно с Калининским фронтом пытался «срезать» Ржев</w:t>
      </w:r>
      <w:r w:rsidRPr="00722885">
        <w:rPr>
          <w:rFonts w:ascii="Times New Roman" w:cs="Times New Roman"/>
          <w:color w:val="000000" w:themeColor="text1"/>
          <w:spacing w:val="0"/>
        </w:rPr>
        <w:softHyphen/>
        <w:t>ский выступ. Для помощи в эксплуатации матчасти и проведения войсковых испытаний к полку прикомандировали механика 19-го завода Чистякова и бригаду 21-го завода, а также группу от НИИ ВВС во главе с помощником ведущего инженера 4-го отдела ин- женер-капитаном А.Г. Терентьевым и старшим инженером 5-го отдела военинженером 3 ранга Ф.Ф. Бабаниным.</w:t>
      </w:r>
    </w:p>
    <w:p w14:paraId="78288CD2"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Полк вёл боевую работу с 14 августа по 15 сентября 1942 г., выполняя задания по со</w:t>
      </w:r>
      <w:r w:rsidRPr="00722885">
        <w:rPr>
          <w:rFonts w:ascii="Times New Roman" w:cs="Times New Roman"/>
          <w:color w:val="000000" w:themeColor="text1"/>
          <w:spacing w:val="0"/>
        </w:rPr>
        <w:softHyphen/>
        <w:t>провождению бомбардировщиков, прикрытию наземных войск и уничтожению авиации противника. За этот период сделано 369 боевых вылетов, с общей наработкой моторов 335 час 22 мин. В зачёт войсковых испытаний самолёта Ла-5 приняли боевую работу с 28 августа по 15 сентября. Всего полком с начала эксплуатации на Ла-5 с М-82 сдела</w:t>
      </w:r>
      <w:r w:rsidRPr="00722885">
        <w:rPr>
          <w:rFonts w:ascii="Times New Roman" w:cs="Times New Roman"/>
          <w:color w:val="000000" w:themeColor="text1"/>
          <w:spacing w:val="0"/>
        </w:rPr>
        <w:softHyphen/>
        <w:t>но 1093 полёта с общей наработкой моторов 762 час 55 мин, из них 593 час 49 мин в воздухе и 169 час 06 мин на земле.</w:t>
      </w:r>
    </w:p>
    <w:p w14:paraId="46AF55B1"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Войсковые испытания проходили самолёты Ла-5 1-й серии (имелись также 3 машины 2-й серии) с моторами М-82 1-й и 2-й серий и винтами ВИШ-105. Моторы снабжались карбюраторами серии А-2 и воздушным самопуском.</w:t>
      </w:r>
    </w:p>
    <w:p w14:paraId="4F773573"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процессе боевой работы использовалось топливо с октановым числом 94-95 — 4Б-78, 3.2Б-78 с импортной присадкой Р-9 и импортное 1Б-95, а также масло МК и МС. По характеру боевой работы моторы большую часть времени полёта работали на номи</w:t>
      </w:r>
      <w:r w:rsidRPr="00722885">
        <w:rPr>
          <w:rFonts w:ascii="Times New Roman" w:cs="Times New Roman"/>
          <w:color w:val="000000" w:themeColor="text1"/>
          <w:spacing w:val="0"/>
        </w:rPr>
        <w:softHyphen/>
        <w:t>нальном режиме. Во время воздушного боя в некоторых случаях включался форсаж пе</w:t>
      </w:r>
      <w:r w:rsidRPr="00722885">
        <w:rPr>
          <w:rFonts w:ascii="Times New Roman" w:cs="Times New Roman"/>
          <w:color w:val="000000" w:themeColor="text1"/>
          <w:spacing w:val="0"/>
        </w:rPr>
        <w:softHyphen/>
        <w:t>риодами по 3-5 минут. Максимальная отмеченная продолжительность работы на номи</w:t>
      </w:r>
      <w:r w:rsidRPr="00722885">
        <w:rPr>
          <w:rFonts w:ascii="Times New Roman" w:cs="Times New Roman"/>
          <w:color w:val="000000" w:themeColor="text1"/>
          <w:spacing w:val="0"/>
        </w:rPr>
        <w:softHyphen/>
        <w:t>нальном режиме — 50 мин и на форсаже — 13 мин (капитан Коломинов П.И.).</w:t>
      </w:r>
    </w:p>
    <w:p w14:paraId="2B4A67ED"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На большинстве моторов после наработки 18-20 часов появлялась тряска при рабо</w:t>
      </w:r>
      <w:r w:rsidRPr="00722885">
        <w:rPr>
          <w:rFonts w:ascii="Times New Roman" w:cs="Times New Roman"/>
          <w:color w:val="000000" w:themeColor="text1"/>
          <w:spacing w:val="0"/>
        </w:rPr>
        <w:softHyphen/>
        <w:t>те на Р</w:t>
      </w:r>
      <w:r w:rsidRPr="00722885">
        <w:rPr>
          <w:rFonts w:ascii="Times New Roman" w:cs="Times New Roman"/>
          <w:color w:val="000000" w:themeColor="text1"/>
          <w:spacing w:val="0"/>
          <w:vertAlign w:val="subscript"/>
        </w:rPr>
        <w:t>к</w:t>
      </w:r>
      <w:r w:rsidRPr="00722885">
        <w:rPr>
          <w:rFonts w:ascii="Times New Roman" w:cs="Times New Roman"/>
          <w:color w:val="000000" w:themeColor="text1"/>
          <w:spacing w:val="0"/>
        </w:rPr>
        <w:t>=800-950 мм рт.ст. из-за отказа свечей. После замены их тряска устранялась.</w:t>
      </w:r>
    </w:p>
    <w:p w14:paraId="6081BF32"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В период испытаний работу моторов проверили на всех режимах, включая и форсаж, до высоты 6000 м — выше боевые действия практически не велись. Моторы на всех ре</w:t>
      </w:r>
      <w:r w:rsidRPr="00722885">
        <w:rPr>
          <w:rFonts w:ascii="Times New Roman" w:cs="Times New Roman"/>
          <w:color w:val="000000" w:themeColor="text1"/>
          <w:spacing w:val="0"/>
        </w:rPr>
        <w:softHyphen/>
        <w:t>жимах работали нормально...</w:t>
      </w:r>
    </w:p>
    <w:p w14:paraId="6C90C1AB"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М-82 в боевой эксплуатации показал живучесть и надежность. Во время воздушных боев имелось несколько случаев попадания пуль и снарядов в мотор. Во всех случаях моторы не требовали съёмки с самолёта и после небольшого ремонта продолжали работать.</w:t>
      </w:r>
    </w:p>
    <w:p w14:paraId="0862BB87"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Примеры: 18 августа во время воздушного боя на самолёте № 37210201, мотор № 6501150 (ст. политрук Гайдамак В.П.) пуля пробила всасывающий и выхлопной пат</w:t>
      </w:r>
      <w:r w:rsidRPr="00722885">
        <w:rPr>
          <w:rFonts w:ascii="Times New Roman" w:cs="Times New Roman"/>
          <w:color w:val="000000" w:themeColor="text1"/>
          <w:spacing w:val="0"/>
        </w:rPr>
        <w:softHyphen/>
        <w:t>рубки цилиндра № 5, имелся удар в гильзу цилиндра № 12. Мотор работал нормально и лётчик, имея ранения, вернулся на свой аэродром на расстоянии 40 км от места боя.</w:t>
      </w:r>
    </w:p>
    <w:p w14:paraId="4EC0EE01"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23 августа во время воздушного боя над линией фронта на самолёте № 37210107, мотор № 6502263 (ст. л-т Клименко А.Ф.) были пробиты: всасывающее сопло карбю</w:t>
      </w:r>
      <w:r w:rsidRPr="00722885">
        <w:rPr>
          <w:rFonts w:ascii="Times New Roman" w:cs="Times New Roman"/>
          <w:color w:val="000000" w:themeColor="text1"/>
          <w:spacing w:val="0"/>
        </w:rPr>
        <w:softHyphen/>
        <w:t>ратора, крышка клапанной коробки цилиндра № 1, выхлопной и всасывающий патруб</w:t>
      </w:r>
      <w:r w:rsidRPr="00722885">
        <w:rPr>
          <w:rFonts w:ascii="Times New Roman" w:cs="Times New Roman"/>
          <w:color w:val="000000" w:themeColor="text1"/>
          <w:spacing w:val="0"/>
        </w:rPr>
        <w:softHyphen/>
        <w:t>ки цилиндра № 2, от осколков снаряда имелись вмятины картера редуктора и пере</w:t>
      </w:r>
      <w:r w:rsidRPr="00722885">
        <w:rPr>
          <w:rFonts w:ascii="Times New Roman" w:cs="Times New Roman"/>
          <w:color w:val="000000" w:themeColor="text1"/>
          <w:spacing w:val="0"/>
        </w:rPr>
        <w:softHyphen/>
        <w:t>биты тросы управления Р-7. Мотор продолжал работать нормально, и лётчик вернул</w:t>
      </w:r>
      <w:r w:rsidRPr="00722885">
        <w:rPr>
          <w:rFonts w:ascii="Times New Roman" w:cs="Times New Roman"/>
          <w:color w:val="000000" w:themeColor="text1"/>
          <w:spacing w:val="0"/>
        </w:rPr>
        <w:softHyphen/>
        <w:t>ся на свой аэродром. Эксплуатация мотора в дальнейшем, после соответствующего ремонта, продолжалась нормально.</w:t>
      </w:r>
    </w:p>
    <w:p w14:paraId="5A776C89"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3 сентября на самолёте № 37210110, мотор № 6502273 (л-т Ходун И.А.) один снаряд пробил всасывающее сопло и разорвался над дроссельными секторами карбюратора (имелось значительное количество ударов в дроссельные сектора и форсунку). В ре</w:t>
      </w:r>
      <w:r w:rsidRPr="00722885">
        <w:rPr>
          <w:rFonts w:ascii="Times New Roman" w:cs="Times New Roman"/>
          <w:color w:val="000000" w:themeColor="text1"/>
          <w:spacing w:val="0"/>
        </w:rPr>
        <w:softHyphen/>
        <w:t>зультате ударов сектора заклинились. Наддув при этом был 800 мм. Другой снаряд про</w:t>
      </w:r>
      <w:r w:rsidRPr="00722885">
        <w:rPr>
          <w:rFonts w:ascii="Times New Roman" w:cs="Times New Roman"/>
          <w:color w:val="000000" w:themeColor="text1"/>
          <w:spacing w:val="0"/>
        </w:rPr>
        <w:softHyphen/>
        <w:t>бил крышку клапанной коробки цилиндра № 13, разорвался и осколками пробил всасы</w:t>
      </w:r>
      <w:r w:rsidRPr="00722885">
        <w:rPr>
          <w:rFonts w:ascii="Times New Roman" w:cs="Times New Roman"/>
          <w:color w:val="000000" w:themeColor="text1"/>
          <w:spacing w:val="0"/>
        </w:rPr>
        <w:softHyphen/>
        <w:t>вающий и выхлопной патрубки цилиндров №№ 11, 12, 13, 14. Третий снаряд пробил па</w:t>
      </w:r>
      <w:r w:rsidRPr="00722885">
        <w:rPr>
          <w:rFonts w:ascii="Times New Roman" w:cs="Times New Roman"/>
          <w:color w:val="000000" w:themeColor="text1"/>
          <w:spacing w:val="0"/>
        </w:rPr>
        <w:softHyphen/>
        <w:t>тронный ящик, всасывающий патрубок цилиндра № 10 и, ударившись о ребра цилинд</w:t>
      </w:r>
      <w:r w:rsidRPr="00722885">
        <w:rPr>
          <w:rFonts w:ascii="Times New Roman" w:cs="Times New Roman"/>
          <w:color w:val="000000" w:themeColor="text1"/>
          <w:spacing w:val="0"/>
        </w:rPr>
        <w:softHyphen/>
        <w:t>ра № 11, потерял пробивную способность. Мотор работал нормально, и лётчик прилетел на свой аэродром на расстояние 80 км от места боя.</w:t>
      </w:r>
    </w:p>
    <w:p w14:paraId="328BAB3F"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Всего за время испытаний произошло 4 случая попадания пушечных снарядов в мотор, и во всех этих случаях моторы работали безотказно. При выполнении боевых заданий лётный состав всегда был уверен в надёжной работе мотора. Если бы на месте М-82 был жидкостный мотор, лётчикам пришлось бы немедленно производить вынужденную посад</w:t>
      </w:r>
      <w:r w:rsidRPr="00722885">
        <w:rPr>
          <w:rFonts w:ascii="Times New Roman" w:cs="Times New Roman"/>
          <w:color w:val="000000" w:themeColor="text1"/>
          <w:spacing w:val="0"/>
        </w:rPr>
        <w:softHyphen/>
        <w:t>ку или даже покидать самолёт с парашютом.</w:t>
      </w:r>
    </w:p>
    <w:p w14:paraId="333563CF"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Карбюраторы АК-82БП серии А-2 всё время находились под неусыпным вниманием и периодически подрегулировывались. С 1 по 15 сентября на шести оставшихся в полку са</w:t>
      </w:r>
      <w:r w:rsidRPr="00722885">
        <w:rPr>
          <w:rFonts w:ascii="Times New Roman" w:cs="Times New Roman"/>
          <w:color w:val="000000" w:themeColor="text1"/>
          <w:spacing w:val="0"/>
        </w:rPr>
        <w:softHyphen/>
        <w:t>молётах карбюраторы работали без регулировки удовлетворительно, за исключением одного случая обогащения смеси на самолёте № 37210102. Вместе с тем отмечалось, что техсостав полка эксплуатацию карбюратора не освоил из-за его сложности и трудности регулировки, а также незначительного (2-3 месяца) срока эксплуатации.</w:t>
      </w:r>
    </w:p>
    <w:p w14:paraId="2242C076"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Альфометры на истребители не устанавливались, и регулировать качество смеси мо</w:t>
      </w:r>
      <w:r w:rsidRPr="00722885">
        <w:rPr>
          <w:rFonts w:ascii="Times New Roman" w:cs="Times New Roman"/>
          <w:color w:val="000000" w:themeColor="text1"/>
          <w:spacing w:val="0"/>
        </w:rPr>
        <w:softHyphen/>
        <w:t>жно было только «на глаз», «на слух» и «на ощупь» — т.е. по характеру работы мотора, по выхлопу и по температуре головок цилиндров. Это могли делать только опытные мо</w:t>
      </w:r>
      <w:r w:rsidRPr="00722885">
        <w:rPr>
          <w:rFonts w:ascii="Times New Roman" w:cs="Times New Roman"/>
          <w:color w:val="000000" w:themeColor="text1"/>
          <w:spacing w:val="0"/>
        </w:rPr>
        <w:softHyphen/>
        <w:t>тористы, которые всегда были в дефиците в строевых частях. ...</w:t>
      </w:r>
    </w:p>
    <w:p w14:paraId="75DE348C"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целом самолёт Ла-5, несмотря на наличие различных дефектов, свойственных пер</w:t>
      </w:r>
      <w:r w:rsidRPr="00722885">
        <w:rPr>
          <w:rFonts w:ascii="Times New Roman" w:cs="Times New Roman"/>
          <w:color w:val="000000" w:themeColor="text1"/>
          <w:spacing w:val="0"/>
        </w:rPr>
        <w:softHyphen/>
        <w:t>вой серии, по результатам боевой работы в 49 киап был оценён достаточно высоко:</w:t>
      </w:r>
    </w:p>
    <w:p w14:paraId="6892DC36"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 В боях с истребителями противника самолёт Ла-5 показал, что при работе мо</w:t>
      </w:r>
      <w:r w:rsidRPr="00722885">
        <w:rPr>
          <w:rFonts w:ascii="Times New Roman" w:cs="Times New Roman"/>
          <w:color w:val="000000" w:themeColor="text1"/>
          <w:spacing w:val="0"/>
        </w:rPr>
        <w:softHyphen/>
        <w:t>тора на номинальном режиме на высотах от 3500 м и выше он по горизонтальной ско</w:t>
      </w:r>
      <w:r w:rsidRPr="00722885">
        <w:rPr>
          <w:rFonts w:ascii="Times New Roman" w:cs="Times New Roman"/>
          <w:color w:val="000000" w:themeColor="text1"/>
          <w:spacing w:val="0"/>
        </w:rPr>
        <w:softHyphen/>
        <w:t>рости не уступает самолёту Ме-109Ф, а на высотах ниже 3500 м горизонтальные скорости Ла-5 и Ме-109Ф равны при пользовании форсажем.</w:t>
      </w:r>
    </w:p>
    <w:p w14:paraId="6516FF79" w14:textId="77777777" w:rsidR="00B779AB" w:rsidRPr="00722885" w:rsidRDefault="00B779AB" w:rsidP="00722885">
      <w:pPr>
        <w:pStyle w:val="27"/>
        <w:shd w:val="clear" w:color="auto" w:fill="auto"/>
        <w:tabs>
          <w:tab w:val="left" w:pos="438"/>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 На виражах на самолёте Ла-5 вести воздушный бой с Ме-109Ф можно хорошо, но, как правило, самолёт Ме-109Ф от боя на виражах уклоняется.</w:t>
      </w:r>
    </w:p>
    <w:p w14:paraId="3E53A876" w14:textId="77777777" w:rsidR="00B779AB" w:rsidRPr="00722885" w:rsidRDefault="00B779AB" w:rsidP="00722885">
      <w:pPr>
        <w:pStyle w:val="27"/>
        <w:shd w:val="clear" w:color="auto" w:fill="auto"/>
        <w:tabs>
          <w:tab w:val="left" w:pos="42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3. При переходе на вертикаль из любого равного с Ме-109Ф положения (и скоростям) самолёт Ла-5 отстает от Ме-109Ф. Для получения максимальной вертикальной скоро</w:t>
      </w:r>
      <w:r w:rsidRPr="00722885">
        <w:rPr>
          <w:rFonts w:ascii="Times New Roman" w:cs="Times New Roman"/>
          <w:color w:val="000000" w:themeColor="text1"/>
          <w:spacing w:val="0"/>
        </w:rPr>
        <w:softHyphen/>
        <w:t>сти самолёт Ла-5 в силу своей инертности (из-за большого веса) требует большего времени для разгона, особенно это сказывается при выходе на вертикаль из виража.</w:t>
      </w:r>
    </w:p>
    <w:p w14:paraId="2A72991A" w14:textId="77777777" w:rsidR="00B779AB" w:rsidRPr="00722885" w:rsidRDefault="00B779AB" w:rsidP="00722885">
      <w:pPr>
        <w:pStyle w:val="27"/>
        <w:shd w:val="clear" w:color="auto" w:fill="auto"/>
        <w:tabs>
          <w:tab w:val="left" w:pos="445"/>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4. При пикировании скорости самолётов Ла-5 и Ме-109Ф равны.</w:t>
      </w:r>
    </w:p>
    <w:p w14:paraId="096832F2" w14:textId="77777777" w:rsidR="00B779AB" w:rsidRPr="00722885" w:rsidRDefault="00B779AB" w:rsidP="00722885">
      <w:pPr>
        <w:pStyle w:val="27"/>
        <w:shd w:val="clear" w:color="auto" w:fill="auto"/>
        <w:tabs>
          <w:tab w:val="left" w:pos="418"/>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5. Все боевые полёты производились с открытым колпаком, вследствие того, что от</w:t>
      </w:r>
      <w:r w:rsidRPr="00722885">
        <w:rPr>
          <w:rFonts w:ascii="Times New Roman" w:cs="Times New Roman"/>
          <w:color w:val="000000" w:themeColor="text1"/>
          <w:spacing w:val="0"/>
        </w:rPr>
        <w:softHyphen/>
        <w:t>крытие колпака в полёте невозможно.</w:t>
      </w:r>
    </w:p>
    <w:p w14:paraId="7D771FBD" w14:textId="77777777" w:rsidR="00B779AB" w:rsidRPr="00722885" w:rsidRDefault="00B779AB" w:rsidP="00722885">
      <w:pPr>
        <w:pStyle w:val="27"/>
        <w:shd w:val="clear" w:color="auto" w:fill="auto"/>
        <w:tabs>
          <w:tab w:val="left" w:pos="418"/>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6. Управление самолётом: поперечное (элеронами) — нормальное, продольное (руля</w:t>
      </w:r>
      <w:r w:rsidRPr="00722885">
        <w:rPr>
          <w:rFonts w:ascii="Times New Roman" w:cs="Times New Roman"/>
          <w:color w:val="000000" w:themeColor="text1"/>
          <w:spacing w:val="0"/>
        </w:rPr>
        <w:softHyphen/>
        <w:t>ми глубины) от скоростей 400 км/ч и выше, при вводе (свыше 40 кг) и выводе из пики</w:t>
      </w:r>
      <w:r w:rsidRPr="00722885">
        <w:rPr>
          <w:rFonts w:ascii="Times New Roman" w:cs="Times New Roman"/>
          <w:color w:val="000000" w:themeColor="text1"/>
          <w:spacing w:val="0"/>
        </w:rPr>
        <w:softHyphen/>
        <w:t>рования — тяжёлое, требует обязательного пользования триммером руля высоты. Ножное управление — нормальное.</w:t>
      </w:r>
    </w:p>
    <w:p w14:paraId="5E098DD8" w14:textId="77777777" w:rsidR="00B779AB" w:rsidRPr="00722885" w:rsidRDefault="00B779AB" w:rsidP="00722885">
      <w:pPr>
        <w:pStyle w:val="27"/>
        <w:shd w:val="clear" w:color="auto" w:fill="auto"/>
        <w:tabs>
          <w:tab w:val="left" w:pos="42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7. Самолет устойчив, прост при выполнении техники пилотирования, при резких выво</w:t>
      </w:r>
      <w:r w:rsidRPr="00722885">
        <w:rPr>
          <w:rFonts w:ascii="Times New Roman" w:cs="Times New Roman"/>
          <w:color w:val="000000" w:themeColor="text1"/>
          <w:spacing w:val="0"/>
        </w:rPr>
        <w:softHyphen/>
        <w:t>дах из фигур особой тенденции к сваливанию в штопор не имеет, при посадке допуска</w:t>
      </w:r>
      <w:r w:rsidRPr="00722885">
        <w:rPr>
          <w:rFonts w:ascii="Times New Roman" w:cs="Times New Roman"/>
          <w:color w:val="000000" w:themeColor="text1"/>
          <w:spacing w:val="0"/>
        </w:rPr>
        <w:softHyphen/>
        <w:t>ет грубые ошибки. Доступен для лётчиков-истребителей, выпущенных из лётных школ.</w:t>
      </w:r>
    </w:p>
    <w:p w14:paraId="2F937ECC" w14:textId="77777777" w:rsidR="00B779AB" w:rsidRPr="00722885" w:rsidRDefault="00B779AB" w:rsidP="00722885">
      <w:pPr>
        <w:pStyle w:val="27"/>
        <w:shd w:val="clear" w:color="auto" w:fill="auto"/>
        <w:tabs>
          <w:tab w:val="left" w:pos="418"/>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8. Самолёт Ла-5 показал в боевых условиях живучесть, надежность и хорошую огне</w:t>
      </w:r>
      <w:r w:rsidRPr="00722885">
        <w:rPr>
          <w:rFonts w:ascii="Times New Roman" w:cs="Times New Roman"/>
          <w:color w:val="000000" w:themeColor="text1"/>
          <w:spacing w:val="0"/>
        </w:rPr>
        <w:softHyphen/>
        <w:t>стойкость...</w:t>
      </w:r>
    </w:p>
    <w:p w14:paraId="48741E18"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25. Самолёт Ла-5 с мотором М-82 является хорошим современным отечественным скоростным истребителем и при устранении вышеуказанных недостатков по боевым качествам будет превосходить истребители противника»  (15813).</w:t>
      </w:r>
    </w:p>
    <w:p w14:paraId="29B34B39" w14:textId="77777777" w:rsidR="00B779AB" w:rsidRPr="00722885" w:rsidRDefault="00B779AB" w:rsidP="00722885">
      <w:pPr>
        <w:pStyle w:val="27"/>
        <w:shd w:val="clear" w:color="auto" w:fill="auto"/>
        <w:spacing w:after="0" w:line="240" w:lineRule="auto"/>
        <w:ind w:firstLine="0"/>
        <w:rPr>
          <w:rFonts w:ascii="Times New Roman" w:cs="Times New Roman"/>
          <w:color w:val="000000" w:themeColor="text1"/>
          <w:spacing w:val="0"/>
        </w:rPr>
      </w:pPr>
    </w:p>
    <w:p w14:paraId="5E598E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августа 1942 заводом N 81 были отправлены на полигон для проведения испытаний 2 самолета Бостон, переоборудованных под отечественное оружие. Оба самолета перевооружены под отечественное оружие. Оба самолета перевооружены по следующей схеме:</w:t>
      </w:r>
    </w:p>
    <w:p w14:paraId="2CC207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по бокам фюзеляжа для стрельбы вперед по одному пулемету УБК-12,7 вместо 2-х пулеметов 7,62;</w:t>
      </w:r>
    </w:p>
    <w:p w14:paraId="2AAAEA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турель УТК-1 с пулеметом УБТ-12,7 вместо пулемета 7,2;</w:t>
      </w:r>
    </w:p>
    <w:p w14:paraId="79EB64C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люковая установка с пулеметом УБТ-12,7 вместо пулемета 7,62.</w:t>
      </w:r>
    </w:p>
    <w:p w14:paraId="568570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носовой и люковой установке предъявлены 2 варианта: один конструкции ОКБ завода N 43, а другой конструкции завода N 81.</w:t>
      </w:r>
    </w:p>
    <w:p w14:paraId="582842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Одновременно на этих самолетах ОКБ N 43 предъявляет упрощенный вариант переделки бомбардировочного вооружения, при котором используются балки и замки, имеющиеся на самолетах, а также не требуется изменение схемы подъема бомб и перестановка баллонов (1684,129).</w:t>
      </w:r>
    </w:p>
    <w:p w14:paraId="1B9455D4" w14:textId="77777777" w:rsidR="00AE7191" w:rsidRPr="00722885" w:rsidRDefault="00AE7191" w:rsidP="00722885">
      <w:pPr>
        <w:pStyle w:val="Iauiue"/>
        <w:jc w:val="both"/>
        <w:rPr>
          <w:color w:val="000000" w:themeColor="text1"/>
          <w:sz w:val="16"/>
          <w:szCs w:val="16"/>
        </w:rPr>
      </w:pPr>
    </w:p>
    <w:p w14:paraId="24AD565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1942 года в письме Морозову Камов объясня</w:t>
      </w:r>
      <w:r w:rsidRPr="00722885">
        <w:rPr>
          <w:rFonts w:ascii="Times New Roman" w:hAnsi="Times New Roman"/>
          <w:color w:val="000000" w:themeColor="text1"/>
          <w:sz w:val="16"/>
          <w:szCs w:val="16"/>
        </w:rPr>
        <w:softHyphen/>
        <w:t>ет причины аварий А-7 тем, что неопытные летчики при взлете «передирают» машину, отчего она не получает достаточной скорости и «проваливается»:</w:t>
      </w:r>
    </w:p>
    <w:p w14:paraId="28D64DE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нас совершенно ясно, что все неприятности произошли из-за того, что: а) машина не получает достаточной скорости при отрыве и идет в воз</w:t>
      </w:r>
      <w:r w:rsidRPr="00722885">
        <w:rPr>
          <w:rFonts w:ascii="Times New Roman" w:hAnsi="Times New Roman"/>
          <w:color w:val="000000" w:themeColor="text1"/>
          <w:sz w:val="16"/>
          <w:szCs w:val="16"/>
        </w:rPr>
        <w:softHyphen/>
        <w:t>дух со скоростью ниже 70 км/час, что считаю недопустимым, б) при недо</w:t>
      </w:r>
      <w:r w:rsidRPr="00722885">
        <w:rPr>
          <w:rFonts w:ascii="Times New Roman" w:hAnsi="Times New Roman"/>
          <w:color w:val="000000" w:themeColor="text1"/>
          <w:sz w:val="16"/>
          <w:szCs w:val="16"/>
        </w:rPr>
        <w:softHyphen/>
        <w:t>статочной скорости при отрыве пилот дает машине такой угол, при кото</w:t>
      </w:r>
      <w:r w:rsidRPr="00722885">
        <w:rPr>
          <w:rFonts w:ascii="Times New Roman" w:hAnsi="Times New Roman"/>
          <w:color w:val="000000" w:themeColor="text1"/>
          <w:sz w:val="16"/>
          <w:szCs w:val="16"/>
        </w:rPr>
        <w:softHyphen/>
        <w:t>ром парализуется возможность машины набрать скорость для совершения набора высоты и даже для возможности совершить горизонтальный полет. В случае, если машина пошла горизонтально, то ее настолько передирают (желая набрать высоту), что она снова начинает проваливаться...».</w:t>
      </w:r>
    </w:p>
    <w:p w14:paraId="4076776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«Мы здесь все убеждены, что мнение некоторых военных, что машины стали хуже, — наглая брехня из-за желания под благовидным предлогом от</w:t>
      </w:r>
      <w:r w:rsidRPr="00722885">
        <w:rPr>
          <w:rFonts w:ascii="Times New Roman" w:hAnsi="Times New Roman"/>
          <w:color w:val="000000" w:themeColor="text1"/>
          <w:sz w:val="16"/>
          <w:szCs w:val="16"/>
        </w:rPr>
        <w:softHyphen/>
        <w:t>делаться от выполнения воинского долга после года околачивания по тылам...» (10224,56).</w:t>
      </w:r>
    </w:p>
    <w:p w14:paraId="1BCF428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938BB1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1942 вышло Постановление ГКО № 2171 Об обеспечении ВВС КА и ВВС НКВМФ в августе-сентябре 1942 г. заправочным и пусковым оборудованием. РГАНИР, Фонд ГКО, д. 52, лл. 9, 10-16 (11012).</w:t>
      </w:r>
    </w:p>
    <w:p w14:paraId="106D5C9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E859F1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73407F8" w14:textId="77777777" w:rsidR="00AE7191" w:rsidRPr="00722885" w:rsidRDefault="00AE7191" w:rsidP="00722885">
      <w:pPr>
        <w:pStyle w:val="Iauiue"/>
        <w:jc w:val="both"/>
        <w:rPr>
          <w:iCs/>
          <w:color w:val="000000" w:themeColor="text1"/>
          <w:sz w:val="16"/>
          <w:szCs w:val="16"/>
        </w:rPr>
      </w:pPr>
    </w:p>
    <w:p w14:paraId="2222A9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1942 года на полигоне в районе Нижнего Тагила завершились Государственные испытания нововведений на трех танках Т-34, которые шли с 22 июля.</w:t>
      </w:r>
    </w:p>
    <w:p w14:paraId="26C04B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испытания новой коробки передач и башни с башенкой была создана специальная государственная комиссия. Завод № 183 представил на испытания два танка Т-34 с обычными башнями, 5-скоростной коробкой перемены передач и натяжными механизмами двух вариантов - с треугольной и трапециодальной резьбой (в документах эти машины иногда именуются Т-34С - «скоростной») и один танк с новой башней, оснащенной командирской башенкой, но с 4-скоростной коробкой.</w:t>
      </w:r>
    </w:p>
    <w:p w14:paraId="3A15DF2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за семь ходовых дней машины прошли более 1500 километров.</w:t>
      </w:r>
    </w:p>
    <w:p w14:paraId="741DCF2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танк Т-34 с 5-скоростной коробкой поступил на испытания 22 июля 1942 года, до этого прошел 430 километров. Второй Т-34 был представлен госкомиссии 31 июля, к этому моменту пробег машины составлял 2500 километров.</w:t>
      </w:r>
    </w:p>
    <w:p w14:paraId="369FEC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Серийная машина Т-34 с новой башней поступила 9 августа 1942 года. Новая башня представляла собой литую конструкцию, выполненную за одно целое с командирской башенкой и с серийным погоном 1420 мм. Ее масса составляла 4300 килограмм, что на 100 килограмм было больше, чем серийная башня тридцатьчетверки. В командирской башенке, расположенной по центру в задней части крыши, имелось 5 прорезей, в которые вставлялись призматические смотровые приборы. Каждая кассета с призмой при помощи специального рычага могла опускаться. Углы обзора из командирской башенки составляли вниз 20 градусов и вверх 9 градусов, по горизонту обеспечивался круговой обзор, мертвое пространство составляло 7 метров. Командир, наблюдающий из башенки, размещался на сиденье в нише башни. Ноги он ставил на специальные подножки, закрепленные на кронштейнах сидений наводчика и заряжающего, а для защиты от возможного удара гильзами при их экстракции во время стрельбы перед командиром имелся откидной металлический щиток.</w:t>
      </w:r>
    </w:p>
    <w:p w14:paraId="30341D0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испытаний 5-скоростные коробки перемены передач показали свои преимущества перед 4-скоростной и доказали свою полную надежность:</w:t>
      </w:r>
    </w:p>
    <w:p w14:paraId="5A4AE6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«Новая 5-скоростная коробка являясь полностью взаимозаменаямой со старой 4-скоростной коробкой, обеспечила лучшую динамическую характеристику танка Т-34 и в то же время, благодаря отсутствию скосов на торцах шестерен и большей длине зуба, напряженность шестерен уменьшилась, что обеспечило более продолжительную их работу на танке. Одновременно с этим управление 5-скоростной коробкой благодаря наличию специальных зубчатых муфт значительно упростилось и стало доступно даже мало подготовленному механику-водителю. Как показала практика эксплуатации танка Т-34, при наличии 5-скоростной коробки перемены передач средние скорости движения танка заметно возросли при одновременном снижении количества горючего».</w:t>
      </w:r>
    </w:p>
    <w:p w14:paraId="0671A70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командирской башенке отмечался ряд недостатков, но и она, и новые коробки передач были рекомендованы государственной комиссией для серийного производства.</w:t>
      </w:r>
    </w:p>
    <w:p w14:paraId="5121CB4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Пятискоростные коробки перемены передач первым стал осваивать Уральский завод тяжелого машиностроения (УЗТМ) в Свердловске - летом 1942 года, в связи с угрозой немцев Сталинграду и СТЗ, постановлением ГКО к производству танков Т-34 подключали УЗТМ и Челябинский Кировский завод (ЧКЗ). Большая часть тридцатьчетверок, выпушенная на УЗТМ до конца 1942 года, получила новые коробки перемены передач. В конце года к производству новых коробок подключился и ЧКЗ, а затем заводы № 112 и № 174. Причем последний с 1943 года становится головным по выпуску 5-скоростных коробок передач.</w:t>
      </w:r>
    </w:p>
    <w:p w14:paraId="18812A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завода № 183, то он так и не освоил выпуск своего детища. Не помогли ни различные письма, ни приказы. Дело в том, что в Нижнем Тагиле имелся большой дефицит зуборезных станков, а бывшие в наличии с трудом обеспечивали текущее производства танков, причем работали они чуть ли не круглосуточно. А в новой коробке передач было пусть на немного (примерно на 8%), но больше шестерен, что при масштабах производства танков на заводе № 183 привело бы к нехватке КПП. Тем не менее, Нижний Тагил все же ставил 5-скоростные коробки на Т-34, получая их с других заводов, например, с ЧКЗ. Кстати, конструкторы новой КПП Я. Баран и А. Шпайхлер за ее создание получили Сталинскую премию (12217).</w:t>
      </w:r>
    </w:p>
    <w:p w14:paraId="2E40CA4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69DCF4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11 августа 1942 вышло Постановление ГКО № 2166 [Об освобождении от призыва в КА ИТР 1924 г. рождения, работающих на предприятиях HКЧМ.] (7050, 1).</w:t>
      </w:r>
    </w:p>
    <w:p w14:paraId="6F24BDF0" w14:textId="77777777" w:rsidR="00AE7191" w:rsidRPr="00722885" w:rsidRDefault="00AE7191" w:rsidP="00722885">
      <w:pPr>
        <w:pStyle w:val="Iauiue"/>
        <w:tabs>
          <w:tab w:val="left" w:pos="11199"/>
        </w:tabs>
        <w:jc w:val="both"/>
        <w:rPr>
          <w:color w:val="000000" w:themeColor="text1"/>
          <w:sz w:val="16"/>
          <w:szCs w:val="16"/>
        </w:rPr>
      </w:pPr>
    </w:p>
    <w:p w14:paraId="6F978B6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1942 вышло Постановление ГКО № 2167 О вывозе ценного оборудования и материалов, а также неполностью загруженных установок Грознефтекомбината. РГАНИР, Фонд ГКО, д. 52, лл. 2-4 (11012).</w:t>
      </w:r>
    </w:p>
    <w:p w14:paraId="23CC124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6E65D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1942 вышло Постановление ГКО № 2168 Об эвакуации цинково-электролитного производства завода "Электроцинк" Наркомцветмета из г. Орджоникидзе. РГАНИР, Фонд ГКО, д. 52, лл. 5 (11012).</w:t>
      </w:r>
    </w:p>
    <w:p w14:paraId="2EAF0E8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CCDA7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августа 1942 года была подготовлена справка:</w:t>
      </w:r>
    </w:p>
    <w:p w14:paraId="4890DB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69 - директор Котляр</w:t>
      </w:r>
    </w:p>
    <w:p w14:paraId="783BE1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92 – директор Герой Социалистического Труда Елян</w:t>
      </w:r>
    </w:p>
    <w:p w14:paraId="2C3512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Артиллерийские и стрелковые предприятия</w:t>
      </w:r>
    </w:p>
    <w:p w14:paraId="0B08192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172 – директор Герой Социалистического Труда Быховский</w:t>
      </w:r>
    </w:p>
    <w:p w14:paraId="50B9B2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221 – директор Гонор</w:t>
      </w:r>
    </w:p>
    <w:p w14:paraId="7F0F2C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8 – директор Фраткин</w:t>
      </w:r>
    </w:p>
    <w:p w14:paraId="041F02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614 – директор Чарский</w:t>
      </w:r>
    </w:p>
    <w:p w14:paraId="34BD68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535 – директор Карпов</w:t>
      </w:r>
    </w:p>
    <w:p w14:paraId="614F47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Патронные и оптические заводы</w:t>
      </w:r>
    </w:p>
    <w:p w14:paraId="39665C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3 – директор Бутузов</w:t>
      </w:r>
    </w:p>
    <w:p w14:paraId="26E52DE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237 – директор Соловьев</w:t>
      </w:r>
    </w:p>
    <w:p w14:paraId="411E6A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188 – директор Штанин</w:t>
      </w:r>
    </w:p>
    <w:p w14:paraId="46DF25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38 – директор Азаров</w:t>
      </w:r>
    </w:p>
    <w:p w14:paraId="799DD4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357 – директор Манин (9268)</w:t>
      </w:r>
    </w:p>
    <w:p w14:paraId="36F84A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Директор завода № 526 освобожден, назначен Дубасов</w:t>
      </w:r>
    </w:p>
    <w:p w14:paraId="6E3BEA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621 – директор Макарущенко</w:t>
      </w:r>
    </w:p>
    <w:p w14:paraId="0B9828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385 – директор Щекин</w:t>
      </w:r>
    </w:p>
    <w:p w14:paraId="675A38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536 – директор Агафонов</w:t>
      </w:r>
    </w:p>
    <w:p w14:paraId="0B24DC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314 – директор Кузьмичев</w:t>
      </w:r>
    </w:p>
    <w:p w14:paraId="202296C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235 – директор Золотарев</w:t>
      </w:r>
    </w:p>
    <w:p w14:paraId="69FF697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4 – директор Шифрин</w:t>
      </w:r>
    </w:p>
    <w:p w14:paraId="067D1E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106 – директор Чеботарев</w:t>
      </w:r>
    </w:p>
    <w:p w14:paraId="091141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367 – директор Исаков</w:t>
      </w:r>
    </w:p>
    <w:p w14:paraId="75FE59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524 – директор Дубовой</w:t>
      </w:r>
    </w:p>
    <w:p w14:paraId="39C045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66 – директор Томилин</w:t>
      </w:r>
    </w:p>
    <w:p w14:paraId="202DC6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541 – директор Алешин</w:t>
      </w:r>
    </w:p>
    <w:p w14:paraId="172208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539 – директор Шевченко</w:t>
      </w:r>
    </w:p>
    <w:p w14:paraId="0F9CE8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537 – директор Стрекопытов</w:t>
      </w:r>
    </w:p>
    <w:p w14:paraId="118576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46 – директор Володин</w:t>
      </w:r>
    </w:p>
    <w:p w14:paraId="483205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540 – директор Дольнов</w:t>
      </w:r>
    </w:p>
    <w:p w14:paraId="41F6A2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543 – директор Игнатович</w:t>
      </w:r>
    </w:p>
    <w:p w14:paraId="2DD6F9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529 – директор Аристов</w:t>
      </w:r>
    </w:p>
    <w:p w14:paraId="2B28FC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44 – директор Токарев</w:t>
      </w:r>
    </w:p>
    <w:p w14:paraId="5E5EA48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545 – директор Фролов</w:t>
      </w:r>
    </w:p>
    <w:p w14:paraId="6FD9F3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71 – директор Остроушко</w:t>
      </w:r>
    </w:p>
    <w:p w14:paraId="175E90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54 – директор Малолеткин</w:t>
      </w:r>
    </w:p>
    <w:p w14:paraId="21E897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Завод № 217 – директор Сафонов</w:t>
      </w:r>
    </w:p>
    <w:p w14:paraId="72F97C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297 – директор Баранов</w:t>
      </w:r>
    </w:p>
    <w:p w14:paraId="683CC6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393 – директор Колычев</w:t>
      </w:r>
    </w:p>
    <w:p w14:paraId="7EA1DA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350 – директор Ступельман</w:t>
      </w:r>
    </w:p>
    <w:p w14:paraId="2235A7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355 – директор Песков</w:t>
      </w:r>
    </w:p>
    <w:p w14:paraId="7F6C1C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74 – директор Иванов</w:t>
      </w:r>
    </w:p>
    <w:p w14:paraId="717D46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13 – директор Куранов</w:t>
      </w:r>
    </w:p>
    <w:p w14:paraId="6DF798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17 – директор Соломко</w:t>
      </w:r>
    </w:p>
    <w:p w14:paraId="4E99E2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60 – директор Тарасенко (9268).</w:t>
      </w:r>
    </w:p>
    <w:p w14:paraId="00968C02" w14:textId="77777777" w:rsidR="00AE7191" w:rsidRPr="00722885" w:rsidRDefault="00AE7191" w:rsidP="00722885">
      <w:pPr>
        <w:pStyle w:val="Iauiue"/>
        <w:jc w:val="both"/>
        <w:rPr>
          <w:color w:val="000000" w:themeColor="text1"/>
          <w:sz w:val="16"/>
          <w:szCs w:val="16"/>
        </w:rPr>
      </w:pPr>
    </w:p>
    <w:p w14:paraId="2A85D15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ABCBB50" w14:textId="77777777" w:rsidR="00AE7191" w:rsidRPr="00722885" w:rsidRDefault="00AE7191" w:rsidP="00722885">
      <w:pPr>
        <w:pStyle w:val="Iauiue"/>
        <w:jc w:val="both"/>
        <w:rPr>
          <w:iCs/>
          <w:color w:val="000000" w:themeColor="text1"/>
          <w:sz w:val="16"/>
          <w:szCs w:val="16"/>
        </w:rPr>
      </w:pPr>
    </w:p>
    <w:p w14:paraId="656AE70E"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в 1942 году утреннее сообщение Совинформбюро:</w:t>
      </w:r>
    </w:p>
    <w:p w14:paraId="512EF753"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11 августа наши войска вели бои с противником в районах Клетская, северо-восточнее Котельниково, а также в районах Армавир, Краснодар, Майкоп.</w:t>
      </w:r>
    </w:p>
    <w:p w14:paraId="11D312EE"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6989FDE3"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отбили несколько атак гитлеровцев. Южнее Клетской Н-ская часть вела бои с прорвавшимися танками и пехотой противника и истребила до 300 гитлеровцев. На другом участке бойцы роты под командованием старшего лейтенанта тов. Попова вели бой с превосходящими силами противника, отбили несколько атак и уничтожили не менее 125 гитлеровцев. Частями нашей авиации в воздушных боях сбито 15 немецких самолётов.</w:t>
      </w:r>
    </w:p>
    <w:p w14:paraId="6DDDEDF7"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Н-ская танковая часть нанесла противнику внезапный удар. В ожесточённом бою наши танкисты уничтожили 17 немецких танков, 9 противотанковых и 3 самоходных орудия, 15 автомашин и не менее 350 солдат и офицеров противника. Немцы были вынуждены перейти к обороне.</w:t>
      </w:r>
    </w:p>
    <w:p w14:paraId="75FF0A46"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продолжаются ожесточённые бои. Бойцы одной нашей части отбили пять атак немцев, сожгли 7 танков и истребили до 500 гитлеровцев. На другом участке советские артиллеристы и бронебойщики уничтожили 9 танков и 14 немецких автомашин. В районе Армавира наши части после упорных боёв отошли на новые позиции.</w:t>
      </w:r>
    </w:p>
    <w:p w14:paraId="543A0ED9"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гитлеровцы атаковали рубеж обороны одной нашей части. Отбив атаку, наши бойцы на плечах отступающего противника ворвались в населённый пункт и ведут в нём уличные бой. Южнее Воронежа на западном берегу Дона неприятель непрерывно атакует наши части, стремясь занять ряд населённых пунктов. Все атаки гитлеровцев отбиты с большими для них потерями. В этих боях уничтожено 14 танков и бронемашин и до 1.000 солдат и офицеров противника.</w:t>
      </w:r>
    </w:p>
    <w:p w14:paraId="52587891"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активные действия разведывательных отрядов. Группа разведчиков совершила внезапный налёт на расположение противника и уничтожила 80 немецких солдат и офицеров. Снайперы Н-ской части за два дня истребили 60 гитлеровцев.</w:t>
      </w:r>
    </w:p>
    <w:p w14:paraId="2716356F"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тов. И., действующий в одном из районов Сумской области, за время своей боевой деятельности истребил свыше тысячи немецких солдат и офицеров, взорвал 10 складов, 5 мостов, уничтожил 21 автомашину и 77 подвод с боеприпасами. Партизаны захватили 7 миномётов, 24 пулемёта, 190 винтовок, 260 тысяч патронов и другие трофеи.</w:t>
      </w:r>
    </w:p>
    <w:p w14:paraId="1A0CA63D"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солдат 577 полка 305 немецкой пехотной дивизии Антон Ш. рассказал: «Несколько дней назад русские лётчики подвергли наши подразделения ожесточённой бомбардировке. Воспользовавшись суматохой, я ушёл из расположения части и, проделав путь в 30 километров, сдался в плен. 305 дивизия выехала из Франции на Восточный фронт в мае месяце. За это время дивизия потеряла уже около половины личного состава. Некоторые подразделения окончательно разбиты. Так, в 10 роте было 230 человек, а теперь осталось не больше полусотни. Солдаты говорят между собой: «Мы наверное все погибнем в России».</w:t>
      </w:r>
    </w:p>
    <w:p w14:paraId="72522D80"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месяце немецко-фашистские мерзавцы замучили и расстреляли 800 мирных жителей города Борисова, Белорусской ССР.</w:t>
      </w:r>
    </w:p>
    <w:p w14:paraId="55A8824E"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лагерях в провинции Гессен (Германия) томятся десятки тысяч французских военнопленных. Пленных заставляют работать по 14—16 часов в сутки. Они питаются похлёбкой из гнилой крупы и очень часто не получают ни куска хлеба. Среди пленных много больных, которым не оказывают никакой медицинской помощи. В лагере близ города Шлиц ежедневно умирает 10—15 военнопленных французов.» (14981).</w:t>
      </w:r>
    </w:p>
    <w:p w14:paraId="3C9BDF73" w14:textId="77777777" w:rsidR="00031901" w:rsidRPr="00722885" w:rsidRDefault="00031901" w:rsidP="00722885">
      <w:pPr>
        <w:spacing w:after="0" w:line="240" w:lineRule="auto"/>
        <w:jc w:val="both"/>
        <w:rPr>
          <w:rFonts w:ascii="Times New Roman" w:hAnsi="Times New Roman"/>
          <w:color w:val="000000" w:themeColor="text1"/>
          <w:sz w:val="16"/>
          <w:szCs w:val="16"/>
        </w:rPr>
      </w:pPr>
    </w:p>
    <w:p w14:paraId="42D814F2"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в 1942 году вечернее сообщение Совинформбюро:</w:t>
      </w:r>
    </w:p>
    <w:p w14:paraId="76A85D67"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11 августа наши войска вели ожесточённые бои в районах Клетская, северо-восточнее Котельниково, а также в районах Черкесск, Майкоп и Краснодар.</w:t>
      </w:r>
    </w:p>
    <w:p w14:paraId="34144249"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083FCCC1"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10 августа частями нашей авиации на различных участках фронта уничтожено или повреждено до 40 немецких танков, 200 автомашин с войсками и грузами, 30 повозок с боеприпасами, 7 автоцистерн с горючим, взорвано 3 склада боеприпасов, подавлен огонь 12 батарей полевой и зенитной артиллерии, рассеяно и частью уничтожено до четырёх батальонов пехоты и эскадрон конницы противника.</w:t>
      </w:r>
    </w:p>
    <w:p w14:paraId="129EC09D"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Клетской наши войска вели упорные бои с танками и мотопехотой противника. Немцы несут огромные потери, но, подтягивая резервы, пытаются прорваться к Дону. Гвардейцы-миномётчики совершили интенсивный огневой налёт на скопление немецких танков и автомашин с пехотой, сосредоточенных для атаки. Группировка гитлеровцев была рассеяна.</w:t>
      </w:r>
    </w:p>
    <w:p w14:paraId="6F4FF8DC"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продолжались бои, в которых с обеих сторон участвуют силы всех родов войск. Крупный танковый бой разгорелся в районе железнодорожной станции, занятой накануне советскими войсками. Наши танкисты при поддержке авиации и артиллерии в течение дня несколько раз атаковали противника, перешедшего на этом участке к обороне. Уничтожены 21 немецкий танк, 7 самоходныхи 12 противотанковых орудий, 47 автомашин. Подавлен огонь 3 артиллерийских и 4миномётных батарей, истреблено свыше 800 гитлеровцев.</w:t>
      </w:r>
    </w:p>
    <w:p w14:paraId="6A0B081B"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происходили напряжённые бои с прорвавшимися танками и мотопехотой противника. Н-ское соединение заняло новые рубежи обороны и встретило врага прицельным огнём. Группе немецких танков удалось прорваться в глубину нашей обороны. Наши танкисты и казачьи части контратакой с флангов отрезали прорвавшуюся группу гитлеровцев. В этом бою выведено из строя 19 немецких танков, уничтожено 37 автомашин, 40 мотоциклов. На поле боя осталось свыше 700 трупов солдат и офицеров противника.</w:t>
      </w:r>
    </w:p>
    <w:p w14:paraId="4442DB23"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Черкесска и Майкопа наши войска вели тяжёлые оборонительные бои с наступающими войсками противника.</w:t>
      </w:r>
    </w:p>
    <w:p w14:paraId="53DD93B2"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советские войска удерживают занятые на днях населённые пункты на западном берегу Дона. Наши бойцы в течение дня отразили несколько атак вражеской пехоты, действовавшей при поддержке сотни танков. Гитлеровцы потеряли только убитыми 450 человек. Подбито 9 немецких танков. Взяты пленные, оказавшиеся солдатами 14 венгерской пехотной дивизии, только что прибывшей на фронт. Эта дивизия прибыла на смену разгромленной 7 венгерской пехотной дивизии. По показаниям военнопленных, остатки 7 венгерской дивизии бежали с поля боя и были расстреляны немцами.</w:t>
      </w:r>
    </w:p>
    <w:p w14:paraId="76780687"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происходили активные действия разведчиков и столкновения с небольшими отрядами противника. На одном из участков немцы атаковали рубеж, оборонявшийся подразделением старшего лейтенанта Цюпко. Ружейно-пулемётным огнём наших бойцов атака неприятеля была отбита. На другом участке огнём нашей артиллерии уничтожено до 200 гитлеровцев, 3 противотанковых орудия, 4 миномёта и разрушено 13 немецких ДЗОТов и блиндажей.</w:t>
      </w:r>
    </w:p>
    <w:p w14:paraId="759F5456"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Белорусские патриоты срывают мероприятия немецко-фашистских захватчиков и их ставленников. Партизаны перехватили донесение начальника Березинского района начальнику полевой комендатуры в город Могилёв. Перетрусивший гитлеровец в этом донесении умоляет прислать в район карательную экспедицию против партизан. В донесении говорится: «В связи с заражением района партизанами нормальная работа прекратилась. Приказы не выполняются. Налоги от населения не поступают, и таким образом управа не имеет никаких средств. До ликвидации партизанских отрядов взыскание налогов с населения не представляется возможным... Мы живём, как на вулкане, и ежедневно подвергаемся смертельной опасности...»</w:t>
      </w:r>
    </w:p>
    <w:p w14:paraId="7C736BA3"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3 артполка 3 немецкой мотодивизии О.Кацевский рассказал: «Когда мы занимаем населённый пункт, солдатам и офицерам предоставляется полное право брать у жителей всё, что угодно, начиная от кур, свиней и кончая ценностями. Никаких запретов не было и нет. Через занятый город или село обычно проходит много войск: танкисты, артиллеристы, мотоциклисты, пехота. Каждый раз, когда вступает та или иная часть, начинается новый грабёж. Кто не хочет добровольно расстаться со своим имуществом или выказывает непочтительное отношение к немецким солдатам, тот расплачивается за это своей жизнью.</w:t>
      </w:r>
    </w:p>
    <w:p w14:paraId="72F54AEA"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Офицеры поощряют такой грабёж, считая, что солдаты будут стремиться идти вперёд, чтобы приобрести ценные вещи. Они и сами прибирают к рукам ценности».</w:t>
      </w:r>
    </w:p>
    <w:p w14:paraId="4747F934"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Польские патриоты в районе Сандомир—Кельце в течение месяца истребили 140 оккупантов. За это же время партизаны пустили под откос 3 эшелона с военными грузами, следовавшими на советско-германский фронт, и потопили на реке Висле две баржи с хлебом. В начале августа партизаны напали на отряд эсэсовцев, который приехал конфисковать хлеб нового урожая. Убито 10 гитлеровцев. Партизаны захватили пулемёт и 8 автоматов.» (14981).</w:t>
      </w:r>
    </w:p>
    <w:p w14:paraId="2F302605" w14:textId="77777777" w:rsidR="00031901" w:rsidRPr="00722885" w:rsidRDefault="00031901" w:rsidP="00722885">
      <w:pPr>
        <w:spacing w:after="0" w:line="240" w:lineRule="auto"/>
        <w:jc w:val="both"/>
        <w:rPr>
          <w:rFonts w:ascii="Times New Roman" w:hAnsi="Times New Roman"/>
          <w:color w:val="000000" w:themeColor="text1"/>
          <w:sz w:val="16"/>
          <w:szCs w:val="16"/>
        </w:rPr>
      </w:pPr>
    </w:p>
    <w:p w14:paraId="652F576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с 11 августа по 16 сентября 1942 эскадрилья в составе восьми Нз 129В-1/Й2 на центральном участке советско-герман</w:t>
      </w:r>
      <w:r w:rsidRPr="00722885">
        <w:rPr>
          <w:rFonts w:ascii="Times New Roman" w:hAnsi="Times New Roman"/>
          <w:color w:val="000000" w:themeColor="text1"/>
          <w:sz w:val="16"/>
          <w:szCs w:val="16"/>
        </w:rPr>
        <w:softHyphen/>
        <w:t>ского фронта в районе Ржева выполнила 73 боевых вылетов, в которых по докладам пилотов было уничтожено 29 советских танков.</w:t>
      </w:r>
    </w:p>
    <w:p w14:paraId="6438A5C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по всей видимости, реальные ре</w:t>
      </w:r>
      <w:r w:rsidRPr="00722885">
        <w:rPr>
          <w:rFonts w:ascii="Times New Roman" w:hAnsi="Times New Roman"/>
          <w:color w:val="000000" w:themeColor="text1"/>
          <w:sz w:val="16"/>
          <w:szCs w:val="16"/>
        </w:rPr>
        <w:softHyphen/>
        <w:t>зультаты боевого применения Нз129В-1 /Я2 из и&lt;351 были все же далеки от заявленных пилотами побед и явно не устраивали не</w:t>
      </w:r>
      <w:r w:rsidRPr="00722885">
        <w:rPr>
          <w:rFonts w:ascii="Times New Roman" w:hAnsi="Times New Roman"/>
          <w:color w:val="000000" w:themeColor="text1"/>
          <w:sz w:val="16"/>
          <w:szCs w:val="16"/>
        </w:rPr>
        <w:softHyphen/>
        <w:t>мецкое командование, потому как уже в конце сентября пилоты «хеншелей» были выведены из боя и под руководством спе</w:t>
      </w:r>
      <w:r w:rsidRPr="00722885">
        <w:rPr>
          <w:rFonts w:ascii="Times New Roman" w:hAnsi="Times New Roman"/>
          <w:color w:val="000000" w:themeColor="text1"/>
          <w:sz w:val="16"/>
          <w:szCs w:val="16"/>
        </w:rPr>
        <w:softHyphen/>
        <w:t xml:space="preserve">циалистов инспекций генерального </w:t>
      </w:r>
      <w:r w:rsidRPr="00722885">
        <w:rPr>
          <w:rFonts w:ascii="Times New Roman" w:hAnsi="Times New Roman"/>
          <w:color w:val="000000" w:themeColor="text1"/>
          <w:sz w:val="16"/>
          <w:szCs w:val="16"/>
        </w:rPr>
        <w:lastRenderedPageBreak/>
        <w:t>штаба люфтваффе приступили к усиленным тре</w:t>
      </w:r>
      <w:r w:rsidRPr="00722885">
        <w:rPr>
          <w:rFonts w:ascii="Times New Roman" w:hAnsi="Times New Roman"/>
          <w:color w:val="000000" w:themeColor="text1"/>
          <w:sz w:val="16"/>
          <w:szCs w:val="16"/>
        </w:rPr>
        <w:softHyphen/>
        <w:t>нировкам на полигоне стрельбой по маке</w:t>
      </w:r>
      <w:r w:rsidRPr="00722885">
        <w:rPr>
          <w:rFonts w:ascii="Times New Roman" w:hAnsi="Times New Roman"/>
          <w:color w:val="000000" w:themeColor="text1"/>
          <w:sz w:val="16"/>
          <w:szCs w:val="16"/>
        </w:rPr>
        <w:softHyphen/>
        <w:t>там советских танков. Лишь после того, как точность стрельбы достигла приемлемого уровня, эскадрилья в конце ноября 1942 г. вновь вернулась к боевым действиям.</w:t>
      </w:r>
    </w:p>
    <w:p w14:paraId="6C3C358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временем в связи с успешным контрнаступлением Красной Армии под Сталинградом для немецких войск созда</w:t>
      </w:r>
      <w:r w:rsidRPr="00722885">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722885">
        <w:rPr>
          <w:rFonts w:ascii="Times New Roman" w:hAnsi="Times New Roman"/>
          <w:color w:val="000000" w:themeColor="text1"/>
          <w:sz w:val="16"/>
          <w:szCs w:val="16"/>
        </w:rPr>
        <w:softHyphen/>
        <w:t>но переброшена на средний Дон.</w:t>
      </w:r>
    </w:p>
    <w:p w14:paraId="5CDD85E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3965F7D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7E274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августа 1942 г. летчики 3-го Гиап авиации Балтийского флота Каберов и Костылев несли воздушное дежурство на истребителях “Харрикейн”. На подходе к своему аэродрому они заметили И-153, идущий со стороны Финского залива, приняли его за вражеский и атаковали. Как выяснилось впоследствии, командир эскадрильи 71 иап майор Бискуп облетывал свою “Чайку” после ремонта и совершенно не ожидал нападения. Хотя в этом случае обошлось без жертв отважный майор Бискуп летать на “Чайках” после этого не любил (6592).</w:t>
      </w:r>
    </w:p>
    <w:p w14:paraId="65A43006" w14:textId="77777777" w:rsidR="00AE7191" w:rsidRPr="00722885" w:rsidRDefault="00AE7191" w:rsidP="00722885">
      <w:pPr>
        <w:pStyle w:val="Iauiue"/>
        <w:jc w:val="both"/>
        <w:rPr>
          <w:color w:val="000000" w:themeColor="text1"/>
          <w:sz w:val="16"/>
          <w:szCs w:val="16"/>
        </w:rPr>
      </w:pPr>
    </w:p>
    <w:p w14:paraId="66D3421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1942 года 49-й КИАП в 2-х эскадрильном составе убыл на фронт и вошел в состав 234 ИАД Западного фронта, который совместно с Калининским фронтом в тяжелых боях пытался «сре</w:t>
      </w:r>
      <w:r w:rsidRPr="00722885">
        <w:rPr>
          <w:rFonts w:ascii="Times New Roman" w:hAnsi="Times New Roman"/>
          <w:color w:val="000000" w:themeColor="text1"/>
          <w:sz w:val="16"/>
          <w:szCs w:val="16"/>
        </w:rPr>
        <w:softHyphen/>
        <w:t>зать» Ржевский выступ. Для помощи в эксплуатации матчасти и проведе</w:t>
      </w:r>
      <w:r w:rsidRPr="00722885">
        <w:rPr>
          <w:rFonts w:ascii="Times New Roman" w:hAnsi="Times New Roman"/>
          <w:color w:val="000000" w:themeColor="text1"/>
          <w:sz w:val="16"/>
          <w:szCs w:val="16"/>
        </w:rPr>
        <w:softHyphen/>
        <w:t>ния войсковых испытаний к полку были прикомандированы механик 19-го завода Чистяков и бригада 21-го завода, а также группа от НИИ ВВС во главе с помощником ведущего ин</w:t>
      </w:r>
      <w:r w:rsidRPr="00722885">
        <w:rPr>
          <w:rFonts w:ascii="Times New Roman" w:hAnsi="Times New Roman"/>
          <w:color w:val="000000" w:themeColor="text1"/>
          <w:sz w:val="16"/>
          <w:szCs w:val="16"/>
        </w:rPr>
        <w:softHyphen/>
        <w:t>женера 4 отдела инженер-капитаном А.Г. Терентьевым и старшим инжене</w:t>
      </w:r>
      <w:r w:rsidRPr="00722885">
        <w:rPr>
          <w:rFonts w:ascii="Times New Roman" w:hAnsi="Times New Roman"/>
          <w:color w:val="000000" w:themeColor="text1"/>
          <w:sz w:val="16"/>
          <w:szCs w:val="16"/>
        </w:rPr>
        <w:softHyphen/>
        <w:t>ром 5 отдела военинженером 3 ран</w:t>
      </w:r>
      <w:r w:rsidRPr="00722885">
        <w:rPr>
          <w:rFonts w:ascii="Times New Roman" w:hAnsi="Times New Roman"/>
          <w:color w:val="000000" w:themeColor="text1"/>
          <w:sz w:val="16"/>
          <w:szCs w:val="16"/>
        </w:rPr>
        <w:softHyphen/>
        <w:t>га Ф.Ф. Бабаниным (10699).</w:t>
      </w:r>
    </w:p>
    <w:p w14:paraId="519AC25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91DA173"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 августа в 1942 году подводная лодка Северного флота "Щ-403" потопила в Варангер-фьорде транспорт противника "Георг Л.М.Русе" (14981). </w:t>
      </w:r>
    </w:p>
    <w:p w14:paraId="40C79491" w14:textId="77777777" w:rsidR="00031901" w:rsidRPr="00722885" w:rsidRDefault="00031901" w:rsidP="00722885">
      <w:pPr>
        <w:spacing w:after="0" w:line="240" w:lineRule="auto"/>
        <w:jc w:val="both"/>
        <w:rPr>
          <w:rFonts w:ascii="Times New Roman" w:hAnsi="Times New Roman"/>
          <w:color w:val="000000" w:themeColor="text1"/>
          <w:sz w:val="16"/>
          <w:szCs w:val="16"/>
        </w:rPr>
      </w:pPr>
    </w:p>
    <w:p w14:paraId="439B45B5"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августа в 1942 году 2-я танковая армия (в резерве 9-я и 17-я танковые дивизии, 73-й мп и 19-й иптд 19-й танковой дивизии) Группы Армий "Центр" начала наступление против частей 16-й и 61-й армий Западного Фронта - операция "Wirbelwind". Противник частями 53-го армейского корпуса (11-я и 20-я танковые дивизии, 35-й танковый полк 4-й танковой дивизии, 119-й мп 25-й мд, 26, 56, 134-я и 296-я пехотные дивизии) к концу дня прорвал на всю глубину оборону 346-й стрелковой дивизии 61-й армии, передовая немецкая 11-я танковая дивизия с 119-м мп 25-й мд вышла в тыл правому крылу 61-й армии (387, 350 и 346-я стрелковые дивизии), заняв Старица. Части 41-го танкового корпуса (19-я танковая дивизия (без 73-го мп и 19-го иптд) с 52-й и 211-й пехотной дивизии) к концу дня были отброшены контратакой 1-го гвардейского кавалерийского корпуса с 2-м танковым батальоном 6-й гвардейской танковой бригады и 322-й стрелковой дивизии за реку Рессета, на исходные позиции.</w:t>
      </w:r>
    </w:p>
    <w:p w14:paraId="36CE1216"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Противник, углубившись в оборону советских войск на 30 км, был вынужден прекратить операцию 22 августа 1942 в связи с контрударом 16, 61-й армии и 3-й танковой армии.</w:t>
      </w:r>
    </w:p>
    <w:p w14:paraId="1A98ADF6"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Операция, начавшаяся 11 августа под Сухиничами, «стала для Клюге маленьким Верденом, и ее провал, несмотря на то, что было введено 400 танков, эхом отозвался на всем германском фронте». В декабре 1942 г. Гитлер признал, что наступление на Сухиничи было «главной ошибкой этого года» (14981).</w:t>
      </w:r>
    </w:p>
    <w:p w14:paraId="6E567348" w14:textId="77777777" w:rsidR="00031901" w:rsidRPr="00722885" w:rsidRDefault="00031901" w:rsidP="00722885">
      <w:pPr>
        <w:pStyle w:val="Iauiue"/>
        <w:jc w:val="both"/>
        <w:rPr>
          <w:iCs/>
          <w:color w:val="000000" w:themeColor="text1"/>
          <w:sz w:val="16"/>
          <w:szCs w:val="16"/>
        </w:rPr>
      </w:pPr>
    </w:p>
    <w:p w14:paraId="059184D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AA23DB1" w14:textId="77777777" w:rsidR="00AE7191" w:rsidRPr="00722885" w:rsidRDefault="00AE7191" w:rsidP="00722885">
      <w:pPr>
        <w:pStyle w:val="Iauiue"/>
        <w:jc w:val="both"/>
        <w:rPr>
          <w:iCs/>
          <w:color w:val="000000" w:themeColor="text1"/>
          <w:sz w:val="16"/>
          <w:szCs w:val="16"/>
        </w:rPr>
      </w:pPr>
    </w:p>
    <w:p w14:paraId="7D2586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августа 1942 немецкая подводная лодка U-73 атаковала британский конвой, снабжающий Мальту, и потопила Игл - один из первых в мире авианосцев (2100).</w:t>
      </w:r>
    </w:p>
    <w:p w14:paraId="23A0A089" w14:textId="77777777" w:rsidR="00AE7191" w:rsidRPr="00722885" w:rsidRDefault="00AE7191" w:rsidP="00722885">
      <w:pPr>
        <w:pStyle w:val="Iauiue"/>
        <w:jc w:val="both"/>
        <w:rPr>
          <w:color w:val="000000" w:themeColor="text1"/>
          <w:sz w:val="16"/>
          <w:szCs w:val="16"/>
        </w:rPr>
      </w:pPr>
    </w:p>
    <w:p w14:paraId="643B80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августа 1942 был внезапный налет на конвой, следовавший на Мальту и потопили Eagle (2261).</w:t>
      </w:r>
    </w:p>
    <w:p w14:paraId="59B451AC" w14:textId="77777777" w:rsidR="00AE7191" w:rsidRPr="00722885" w:rsidRDefault="00AE7191" w:rsidP="00722885">
      <w:pPr>
        <w:pStyle w:val="Iauiue"/>
        <w:jc w:val="both"/>
        <w:rPr>
          <w:color w:val="000000" w:themeColor="text1"/>
          <w:sz w:val="16"/>
          <w:szCs w:val="16"/>
        </w:rPr>
      </w:pPr>
    </w:p>
    <w:p w14:paraId="08140ACE" w14:textId="77777777" w:rsidR="00C5464C" w:rsidRPr="00722885" w:rsidRDefault="00C546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августа 1942 было противостояние в ходе операции «Пьедестал» - конвоя союзников с доставкой на Мальту в сопровождении британских авианосцев HMS Victorious , HMS Indomitable и HMS Eagle, против которых было задействовано 1000 самолетов Оси, собранных на Сицилии и Сардинии. Началось с поражения немецкой подводной лодкой авианосуа Игл четырьмя торпедами в Средиземном море примерно в 80 морских милях (141 км) к северу от Алжира. Eagle тонет за восемь минут, при этом погиб 131 член экипажа и 16 истребителей Sea Hurricane. Немецкие самолеты-торпедоносцы наносят неэффективные удары по конвоям, а удар Королевских ВВС Bristol Beaufighter уничтожает пять и повреждает 14 немецких самолетов на земле после их возвращения на базу (20793).</w:t>
      </w:r>
    </w:p>
    <w:p w14:paraId="03EF44F3" w14:textId="77777777" w:rsidR="00C5464C" w:rsidRPr="00722885" w:rsidRDefault="00C5464C" w:rsidP="00722885">
      <w:pPr>
        <w:spacing w:after="0" w:line="240" w:lineRule="auto"/>
        <w:jc w:val="both"/>
        <w:rPr>
          <w:rFonts w:ascii="Times New Roman" w:hAnsi="Times New Roman"/>
          <w:color w:val="0070C0"/>
          <w:sz w:val="16"/>
          <w:szCs w:val="16"/>
        </w:rPr>
      </w:pPr>
    </w:p>
    <w:p w14:paraId="75AE0A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августа 1942 был торпедирован и потоплен английский авианосец Игл (3481).</w:t>
      </w:r>
    </w:p>
    <w:p w14:paraId="30CF0000" w14:textId="77777777" w:rsidR="00AE7191" w:rsidRPr="00722885" w:rsidRDefault="00AE7191" w:rsidP="00722885">
      <w:pPr>
        <w:pStyle w:val="Iauiue"/>
        <w:jc w:val="both"/>
        <w:rPr>
          <w:color w:val="000000" w:themeColor="text1"/>
          <w:sz w:val="16"/>
          <w:szCs w:val="16"/>
        </w:rPr>
      </w:pPr>
    </w:p>
    <w:p w14:paraId="103FBE9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11 августа 1942 Германия освободила первых французских военнопленных (4962).</w:t>
      </w:r>
    </w:p>
    <w:p w14:paraId="787E8DD9" w14:textId="77777777" w:rsidR="00AE7191" w:rsidRPr="00722885" w:rsidRDefault="00AE7191" w:rsidP="00722885">
      <w:pPr>
        <w:pStyle w:val="Iauiue"/>
        <w:tabs>
          <w:tab w:val="left" w:pos="11199"/>
        </w:tabs>
        <w:jc w:val="both"/>
        <w:rPr>
          <w:color w:val="000000" w:themeColor="text1"/>
          <w:sz w:val="16"/>
          <w:szCs w:val="16"/>
        </w:rPr>
      </w:pPr>
    </w:p>
    <w:p w14:paraId="2A14C17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94F6B10" w14:textId="77777777" w:rsidR="00AE7191" w:rsidRPr="00722885" w:rsidRDefault="00AE7191" w:rsidP="00722885">
      <w:pPr>
        <w:pStyle w:val="Iauiue"/>
        <w:jc w:val="both"/>
        <w:rPr>
          <w:iCs/>
          <w:color w:val="000000" w:themeColor="text1"/>
          <w:sz w:val="16"/>
          <w:szCs w:val="16"/>
        </w:rPr>
      </w:pPr>
    </w:p>
    <w:p w14:paraId="76CB4DC7" w14:textId="77777777" w:rsidR="007F2741" w:rsidRPr="00722885" w:rsidRDefault="007F274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12 августа 1942 генерал-майор Солдатов вторично обращается к Устинову за содействием, но при этом уже ссылается на постановление ГКО № 967сс от 26 ноября 1941 г. Только после этого Устинов также решил «обозначить тему» и слегка «подтолкнул» завод № 74. Вскоре на самолетный завод № 18 НКАП поступило еще 14 комплектных пушек Ш-37. Но на этом все и закончилось. Для проведения войсковых испытаний и фор</w:t>
      </w:r>
      <w:r w:rsidRPr="00722885">
        <w:rPr>
          <w:color w:val="000000" w:themeColor="text1"/>
          <w:sz w:val="16"/>
          <w:szCs w:val="16"/>
        </w:rPr>
        <w:softHyphen/>
        <w:t>мального выполнения постановления ГКО от 26 ноября 1941 г. ВВС сочли вполне достаточным 10 противотанковых Ил-2. Тем более что по результатам полигон</w:t>
      </w:r>
      <w:r w:rsidRPr="00722885">
        <w:rPr>
          <w:color w:val="000000" w:themeColor="text1"/>
          <w:sz w:val="16"/>
          <w:szCs w:val="16"/>
        </w:rPr>
        <w:softHyphen/>
        <w:t>ных испытаний готовилось решение о вы</w:t>
      </w:r>
      <w:r w:rsidRPr="00722885">
        <w:rPr>
          <w:color w:val="000000" w:themeColor="text1"/>
          <w:sz w:val="16"/>
          <w:szCs w:val="16"/>
        </w:rPr>
        <w:softHyphen/>
        <w:t>пуске войсковой серии Ил-2 с пушками 11П ОКБ-16 (17500).</w:t>
      </w:r>
    </w:p>
    <w:p w14:paraId="7073CCFE" w14:textId="77777777" w:rsidR="007F2741" w:rsidRPr="00722885" w:rsidRDefault="007F2741" w:rsidP="00722885">
      <w:pPr>
        <w:spacing w:after="0" w:line="240" w:lineRule="auto"/>
        <w:jc w:val="both"/>
        <w:rPr>
          <w:rFonts w:ascii="Times New Roman" w:eastAsia="Times New Roman" w:hAnsi="Times New Roman"/>
          <w:color w:val="000000" w:themeColor="text1"/>
          <w:sz w:val="16"/>
          <w:szCs w:val="16"/>
          <w:lang w:eastAsia="ru-RU"/>
        </w:rPr>
      </w:pPr>
    </w:p>
    <w:p w14:paraId="258C16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вышел приказ НКАП N 621сс "О серийном производстве улучшенных самолетов Як-1" в исполнение постановления ГКО от 11 августа 1942 N 2170сс:</w:t>
      </w:r>
    </w:p>
    <w:p w14:paraId="0A403C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И.о. нач. ПГУ Шиц и директору завода 292 Левину внедрить в серийное производство на заводе 292 самолет Як-1 с изменениями.</w:t>
      </w:r>
    </w:p>
    <w:p w14:paraId="5D57FAE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Установить следующие сроки внедрения и выпуска: в сентябре 10, в октябре 100 и начиная с 1 ноября 1942 - все (1578,3).</w:t>
      </w:r>
    </w:p>
    <w:p w14:paraId="134117DC" w14:textId="77777777" w:rsidR="00AE7191" w:rsidRPr="00722885" w:rsidRDefault="00AE7191" w:rsidP="00722885">
      <w:pPr>
        <w:pStyle w:val="Iauiue"/>
        <w:jc w:val="both"/>
        <w:rPr>
          <w:color w:val="000000" w:themeColor="text1"/>
          <w:sz w:val="16"/>
          <w:szCs w:val="16"/>
        </w:rPr>
      </w:pPr>
    </w:p>
    <w:p w14:paraId="433CFF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вышел приказ НКАП N 622сс "Об увеличении выпуска самолетов Як-7 на заводе 22 (Москва) в исполнение постановления ГКО от 11 августа 1942 N 2169сс:</w:t>
      </w:r>
    </w:p>
    <w:p w14:paraId="161A350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И.о. нач. ПГУ Шиц и директору завода 82 Бугрову обеспечить выпуск на заводе 82 из агрегатов завода 153 и собственного производства следующих количестве самолета: начиная с 29 августа - по 3 в день, с 25 сентября - 6</w:t>
      </w:r>
    </w:p>
    <w:p w14:paraId="067095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И.о. нач. ПГУ Шиц, директору завода 153 Романову и ГИ Тер-Маркоряну обеспечить отправку в августе 90 самолетов Як-7 (в агрегатах комплектно) для сборки на заводе 82 выпуск.</w:t>
      </w:r>
    </w:p>
    <w:p w14:paraId="281E48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Установить след. программу по выпуску Як-7 на заводе 153 на сентябрь - 180 для сборки на заводе и 140 для отправки на 82, всего 320 (1578,15).</w:t>
      </w:r>
    </w:p>
    <w:p w14:paraId="2CC9A5EB" w14:textId="77777777" w:rsidR="00AE7191" w:rsidRPr="00722885" w:rsidRDefault="00AE7191" w:rsidP="00722885">
      <w:pPr>
        <w:pStyle w:val="Iauiue"/>
        <w:jc w:val="both"/>
        <w:rPr>
          <w:color w:val="000000" w:themeColor="text1"/>
          <w:sz w:val="16"/>
          <w:szCs w:val="16"/>
        </w:rPr>
      </w:pPr>
    </w:p>
    <w:p w14:paraId="4EEEF5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была подготовлена Справка об уменьшении максимальных скоростей Пе-2 (1678,28).</w:t>
      </w:r>
    </w:p>
    <w:p w14:paraId="40463989" w14:textId="77777777" w:rsidR="00AE7191" w:rsidRPr="00722885" w:rsidRDefault="00AE7191" w:rsidP="00722885">
      <w:pPr>
        <w:pStyle w:val="Iauiue"/>
        <w:jc w:val="both"/>
        <w:rPr>
          <w:color w:val="000000" w:themeColor="text1"/>
          <w:sz w:val="16"/>
          <w:szCs w:val="16"/>
        </w:rPr>
      </w:pPr>
    </w:p>
    <w:p w14:paraId="611A02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года была подготовлена справка Об уменьшении максимальных скоростей самолета Пе-2.</w:t>
      </w:r>
    </w:p>
    <w:p w14:paraId="3DCE93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марте 1941 года в НИИ ВВС прошел гос. испытания опытный экземпляр самолета Пе-2 с винтами ВИШ-61Б. На этих испытаниях была получена максимальная скорость на Н=5000 м Vmax=540 км/час.</w:t>
      </w:r>
    </w:p>
    <w:p w14:paraId="390823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 самолета состояло из 4-х пулеметов Шкас. Замки и упоры наружной подвески были сняты. При обработке этих испытаний не учитывалась поправка на сжимаемость воздуха. Во всех последующих испытаниях серийных самолетов эта поправка, равная примерно 5 км/час на расчетной высоте вводилась; поэтому для первого опытного экземпляра следует считать Vmax=535 км/час на Н=5000 м.</w:t>
      </w:r>
    </w:p>
    <w:p w14:paraId="083FB51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Испытания серийных самолетов показали снижение максимальных скоростей. Снижение скоростей объясняется как конструктивными изменениями, внесенными в самолет, так и ухудшением качества внешней отделки.</w:t>
      </w:r>
    </w:p>
    <w:p w14:paraId="0F1304F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Снижение скоростей за счет конструктивных изменений.</w:t>
      </w:r>
    </w:p>
    <w:p w14:paraId="67B1D7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первых серий сам. ПЕ-2, выпускаемых заводом N 22, правой носовой и нижней люковой Шкас"ы заменены на пулеметы Березина. При этом значительно ухудшилась форма нижнего люка. При испытании первых серийных самолетов в НИИ ВВС (август 1941 г. сам. N 10(35) и в ЛИИ НКАП (октябрь 1941 г. сам. N 15(37) показали максимальную скорость макс. =530-531 км/час на Н=5000 м. Следовательно, для дальнейшего сравнения следует считать максимальную скорость серийного самолета Vmax=530 км/час на Н=5000 м с винтами АВ5-ЛВ.</w:t>
      </w:r>
    </w:p>
    <w:p w14:paraId="2C9453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дальнейшем на самолете Пе-2 была введена новая стрелковая точка Шкас в боковом окне стрелка радиста, потеря скорости 2 км/час.</w:t>
      </w:r>
    </w:p>
    <w:p w14:paraId="514717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последующих сериях штурманский Шкас заменен на Березина (установка ФТ), потеря скорости 7-8 км/час.</w:t>
      </w:r>
    </w:p>
    <w:p w14:paraId="2F54A7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Увеличение веса серийного самолета по сравнению с опытным на 200-250 кг дает, согласно подсчета, потерю скорости 1 км/час. Снижение высотности самолета с 5000 м до 4700 м дает примерно 4-5 км/час.</w:t>
      </w:r>
    </w:p>
    <w:p w14:paraId="5DBB249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Перечисленными выше потерями исчерпываются все потери от конструктивных изменений.</w:t>
      </w:r>
    </w:p>
    <w:p w14:paraId="6F7761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Следовательно для серийных самолетов Пе-2, выпускаемых в настоящее время, максимальная скорость должна быть порядка Vmax=515-517 км/час с винтами АВ5-ЛВ.</w:t>
      </w:r>
    </w:p>
    <w:p w14:paraId="51D662F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Снижение скорости за счет ухудшения качества отделки.</w:t>
      </w:r>
    </w:p>
    <w:p w14:paraId="289F834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Самолеты последних серий выпускаются с заметным улучшением качества внешней отделки по сравнению с самолетами июньских серий.</w:t>
      </w:r>
    </w:p>
    <w:p w14:paraId="0A7B59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Однако, следует отметить, что по сравнению с самолетами первых серий, выпускаемых заводом N 22 в Москве, качество внешней отделки и окраска настоящих самолетов ниже. В результате чего на самолетах июльских серий за счет некачественной отделки и окраски имели потерю максимальных скоростей порядка 10-12 км/час.</w:t>
      </w:r>
    </w:p>
    <w:p w14:paraId="3926BF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 испытании самолета N 18/106 (из последних серий) получено: максимальная скорость Vmax=504 км/час с винтами АВ5-ЛВ, с установкой "ФТ".</w:t>
      </w:r>
    </w:p>
    <w:p w14:paraId="1E8B81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Заключение</w:t>
      </w:r>
    </w:p>
    <w:p w14:paraId="68E3E8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Сравнение результатов летных испытаний июльских серий, сам. N 18/106 показывает, что завод N 22 добился улучшения качества отделки, в результате чего получен прирост скорости.</w:t>
      </w:r>
    </w:p>
    <w:p w14:paraId="0A59A4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Однако этого недостаточно. Необходимо усиление борьбы за качество, чтобы увеличить прирост еще на 10-12 км/час, т.е. получить скорость порядка 515-517 км/час скорости, которые должны иметь самолеты ПЕ-2 с качественной отделкой не хуже самолетов первых московских серий с учетом введенным конструктивных изменений (1778,229).</w:t>
      </w:r>
    </w:p>
    <w:p w14:paraId="2C0B6D9A" w14:textId="77777777" w:rsidR="00AE7191" w:rsidRPr="00722885" w:rsidRDefault="00AE7191" w:rsidP="00722885">
      <w:pPr>
        <w:pStyle w:val="Iauiue"/>
        <w:jc w:val="both"/>
        <w:rPr>
          <w:color w:val="000000" w:themeColor="text1"/>
          <w:sz w:val="16"/>
          <w:szCs w:val="16"/>
        </w:rPr>
      </w:pPr>
    </w:p>
    <w:p w14:paraId="4D786A63"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1942 г. Письмо старшего инженера 150-го бомбардировочного авиационного полка инженер-капитана Авсеева директору завода № 22 В. А. Окулову о результатах боевой эксплуатации самолетов Пе-2</w:t>
      </w:r>
    </w:p>
    <w:p w14:paraId="1F962FB5"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Ваш запрос об эксплуатации в боевых условиях материальной части самолетов Пе-2 сообщаю:</w:t>
      </w:r>
    </w:p>
    <w:p w14:paraId="5FB10121"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 самолетах завода № 22, выпущенных в июне месяце 1942 г., т. е. 83-84 серии, было произведено переобучение летного состава в дневных и ночных условиях.</w:t>
      </w:r>
    </w:p>
    <w:p w14:paraId="248528AE"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 действующей армии произведено 240 боевых самолето-вылетов днем и ночью, которые показали, что самолеты полностью отвечают своему назначению, как пикирующие бомбардировщики, на которых можно успешно выполнять боевые задания в условиях дня и ночи.</w:t>
      </w:r>
    </w:p>
    <w:p w14:paraId="23765EF3"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За период июня-июля месяцев материальная часть самолетов работала безотказно, и по вине завода № 22 не было случаев срыва боевых заданий.</w:t>
      </w:r>
    </w:p>
    <w:p w14:paraId="0F254B8D"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 процессе работы материальной части 150-му АП со стороны завода № 22 была оказана большая помощь по восстановлению поврежденных самолетов после боевых заданий и поломок по вине эксплуатации.</w:t>
      </w:r>
    </w:p>
    <w:p w14:paraId="24D00756"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Основным недостатком в эксплуатации самолетов следует считать качество моторов, т. к. за период работы 2-х месяцев заменено 14 моторов.</w:t>
      </w:r>
    </w:p>
    <w:p w14:paraId="5BB64109"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Старший инженер 150-го БАП инженер-капитан Авсеев (15494).</w:t>
      </w:r>
    </w:p>
    <w:p w14:paraId="79E9EB74"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1DFAC4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вышел приказ НКАП N 616сс в исполнение постановления ГКО от 26 июня 1942 N 2105сс о постройке реактивного истребителя-перехватчика конструкции Костикова:</w:t>
      </w:r>
    </w:p>
    <w:p w14:paraId="385699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Организовать на базе бывшего Всесоюзного института с/х машиностроения опытный самолетный завод и именовать его N 55</w:t>
      </w:r>
    </w:p>
    <w:p w14:paraId="6D3966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55 подчинить 7 ГУ</w:t>
      </w:r>
    </w:p>
    <w:p w14:paraId="4E0BF5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Назначить:</w:t>
      </w:r>
    </w:p>
    <w:p w14:paraId="3BC7E4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ГК завода 55 А.Г.Костикова</w:t>
      </w:r>
    </w:p>
    <w:p w14:paraId="7E84CA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Зам. ГК М.Р.Бисноват</w:t>
      </w:r>
    </w:p>
    <w:p w14:paraId="475D1D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Обязать Костикова и Бисноват спроектировать и построить реактивный самолет-перехватчик в 5 экз. со след.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417"/>
      </w:tblGrid>
      <w:tr w:rsidR="009B487A" w:rsidRPr="00722885" w14:paraId="15F3B429" w14:textId="77777777" w:rsidTr="00CC5360">
        <w:tc>
          <w:tcPr>
            <w:tcW w:w="4219" w:type="dxa"/>
            <w:tcBorders>
              <w:top w:val="single" w:sz="12" w:space="0" w:color="auto"/>
            </w:tcBorders>
          </w:tcPr>
          <w:p w14:paraId="5A3EFA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Макс. скорость у земли и на высоте 8000 м </w:t>
            </w:r>
          </w:p>
        </w:tc>
        <w:tc>
          <w:tcPr>
            <w:tcW w:w="1417" w:type="dxa"/>
            <w:tcBorders>
              <w:top w:val="single" w:sz="12" w:space="0" w:color="auto"/>
            </w:tcBorders>
          </w:tcPr>
          <w:p w14:paraId="3D2380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- 720 км/час</w:t>
            </w:r>
          </w:p>
        </w:tc>
      </w:tr>
      <w:tr w:rsidR="009B487A" w:rsidRPr="00722885" w14:paraId="461DFDFC" w14:textId="77777777" w:rsidTr="00CC5360">
        <w:tc>
          <w:tcPr>
            <w:tcW w:w="4219" w:type="dxa"/>
          </w:tcPr>
          <w:p w14:paraId="415349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форсажем</w:t>
            </w:r>
          </w:p>
        </w:tc>
        <w:tc>
          <w:tcPr>
            <w:tcW w:w="1417" w:type="dxa"/>
          </w:tcPr>
          <w:p w14:paraId="3325A4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- 820 км/час</w:t>
            </w:r>
          </w:p>
        </w:tc>
      </w:tr>
      <w:tr w:rsidR="009B487A" w:rsidRPr="00722885" w14:paraId="6AD4C824" w14:textId="77777777" w:rsidTr="00CC5360">
        <w:tc>
          <w:tcPr>
            <w:tcW w:w="4219" w:type="dxa"/>
          </w:tcPr>
          <w:p w14:paraId="07A593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Время набора высоты 5000 м</w:t>
            </w:r>
          </w:p>
        </w:tc>
        <w:tc>
          <w:tcPr>
            <w:tcW w:w="1417" w:type="dxa"/>
          </w:tcPr>
          <w:p w14:paraId="7620FE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- 1.9 мин.</w:t>
            </w:r>
          </w:p>
        </w:tc>
      </w:tr>
      <w:tr w:rsidR="009B487A" w:rsidRPr="00722885" w14:paraId="3FF7E1C4" w14:textId="77777777" w:rsidTr="00CC5360">
        <w:tc>
          <w:tcPr>
            <w:tcW w:w="4219" w:type="dxa"/>
          </w:tcPr>
          <w:p w14:paraId="000EF7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Продолжительность полета на скорости</w:t>
            </w:r>
          </w:p>
        </w:tc>
        <w:tc>
          <w:tcPr>
            <w:tcW w:w="1417" w:type="dxa"/>
          </w:tcPr>
          <w:p w14:paraId="59417A26" w14:textId="77777777" w:rsidR="00AE7191" w:rsidRPr="00722885" w:rsidRDefault="00AE7191" w:rsidP="00722885">
            <w:pPr>
              <w:pStyle w:val="Iauiue"/>
              <w:jc w:val="both"/>
              <w:rPr>
                <w:color w:val="000000" w:themeColor="text1"/>
                <w:sz w:val="16"/>
                <w:szCs w:val="16"/>
              </w:rPr>
            </w:pPr>
          </w:p>
        </w:tc>
      </w:tr>
      <w:tr w:rsidR="009B487A" w:rsidRPr="00722885" w14:paraId="41A0FB13" w14:textId="77777777" w:rsidTr="00CC5360">
        <w:tc>
          <w:tcPr>
            <w:tcW w:w="4219" w:type="dxa"/>
          </w:tcPr>
          <w:p w14:paraId="239CFB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800 км/час на 8000 м</w:t>
            </w:r>
          </w:p>
        </w:tc>
        <w:tc>
          <w:tcPr>
            <w:tcW w:w="1417" w:type="dxa"/>
          </w:tcPr>
          <w:p w14:paraId="585B4C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- 20 мин.</w:t>
            </w:r>
          </w:p>
        </w:tc>
      </w:tr>
      <w:tr w:rsidR="009B487A" w:rsidRPr="00722885" w14:paraId="5BFF96D3" w14:textId="77777777" w:rsidTr="00CC5360">
        <w:tc>
          <w:tcPr>
            <w:tcW w:w="4219" w:type="dxa"/>
          </w:tcPr>
          <w:p w14:paraId="57CCEF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Потолок практический</w:t>
            </w:r>
          </w:p>
        </w:tc>
        <w:tc>
          <w:tcPr>
            <w:tcW w:w="1417" w:type="dxa"/>
          </w:tcPr>
          <w:p w14:paraId="6C10CF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- 10000 м</w:t>
            </w:r>
          </w:p>
        </w:tc>
      </w:tr>
      <w:tr w:rsidR="009B487A" w:rsidRPr="00722885" w14:paraId="7767A786" w14:textId="77777777" w:rsidTr="00CC5360">
        <w:tc>
          <w:tcPr>
            <w:tcW w:w="4219" w:type="dxa"/>
            <w:tcBorders>
              <w:bottom w:val="single" w:sz="12" w:space="0" w:color="auto"/>
            </w:tcBorders>
          </w:tcPr>
          <w:p w14:paraId="774A09F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Посадочная скорость</w:t>
            </w:r>
          </w:p>
        </w:tc>
        <w:tc>
          <w:tcPr>
            <w:tcW w:w="1417" w:type="dxa"/>
            <w:tcBorders>
              <w:bottom w:val="single" w:sz="12" w:space="0" w:color="auto"/>
            </w:tcBorders>
          </w:tcPr>
          <w:p w14:paraId="6E6D6FD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- 130 км/час</w:t>
            </w:r>
          </w:p>
        </w:tc>
      </w:tr>
    </w:tbl>
    <w:p w14:paraId="5E92B0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w:t>
      </w:r>
    </w:p>
    <w:p w14:paraId="3C8DAD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неподвижные пушки 20 мм с боезапасом 340 снарядов</w:t>
      </w:r>
    </w:p>
    <w:p w14:paraId="223B8D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построить с 2 вариантами ВРД по 2 экз. каждого и 1 для стат. испытаний.</w:t>
      </w:r>
    </w:p>
    <w:p w14:paraId="61B00B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Срок предъявления на совм. испытания: 1-го - 15 марта 1943, 2-го - 15 мая 1943 (1579,48).</w:t>
      </w:r>
    </w:p>
    <w:p w14:paraId="39B79522" w14:textId="77777777" w:rsidR="00AE7191" w:rsidRPr="00722885" w:rsidRDefault="00AE7191" w:rsidP="00722885">
      <w:pPr>
        <w:pStyle w:val="Iauiue"/>
        <w:jc w:val="both"/>
        <w:rPr>
          <w:color w:val="000000" w:themeColor="text1"/>
          <w:sz w:val="16"/>
          <w:szCs w:val="16"/>
        </w:rPr>
      </w:pPr>
    </w:p>
    <w:p w14:paraId="52E117A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1942 г. по приказу НКАП № 616сс в соответствии с пост. ГКО № 2105сс от 26.07.1942 г. на базе частично выделенных для НИИ-3 НКАП (расположенного рядом) производственных мастерских ВИСХОМ юыл образован опытный завод № 55 в 7ГУ специально для постройки самолета «302». Оборудование для нового завода было передано из НИИ-3 и бывшего ОКБ-28 НКАП ( г. Красногорск), кадры- с заводов № 153 НКАП, № 490 НКАП и др. Работы по самолету «302» начались в 09.1942 г. Самолет строился в кооперации: крыло, центроплан и оперение- на заводе № 464 НКАП; стойки шасси- на заводе № 119 НКАП; лыжи- на заводе № 164 НКАП; агрегаты- на заводе № 462 НКАП.</w:t>
      </w:r>
    </w:p>
    <w:p w14:paraId="205688B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ОКБ-55 (или отдел № 4, т.е. КБ завода) образовано одновременно с заводом (теми же приказами). Создан самолет «302».</w:t>
      </w:r>
    </w:p>
    <w:p w14:paraId="32C79C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(1942-44 г.)- А. Г. Костиков, (1944-46 г.)- М.Р. Бисноват (затем- гл. конструктор ОКБ-293). (есть информация, что в 1944-45 г. Бисноват был начальником КО завода № 125 в Подольске)</w:t>
      </w:r>
    </w:p>
    <w:p w14:paraId="2ED6AF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(1942-44 г.)- М.Р. Бисноват.</w:t>
      </w:r>
    </w:p>
    <w:p w14:paraId="7D202A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(1942 г.)- М.Р. Бисноват, (1942 г.)- А.А. Андреев.</w:t>
      </w:r>
    </w:p>
    <w:p w14:paraId="561863C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(1942 г.)- А.А. Андреев (11982).</w:t>
      </w:r>
    </w:p>
    <w:p w14:paraId="00B7C174" w14:textId="77777777" w:rsidR="00AE7191" w:rsidRPr="00722885" w:rsidRDefault="00AE7191" w:rsidP="00722885">
      <w:pPr>
        <w:pStyle w:val="Iauiue"/>
        <w:jc w:val="both"/>
        <w:rPr>
          <w:color w:val="000000" w:themeColor="text1"/>
          <w:sz w:val="16"/>
          <w:szCs w:val="16"/>
        </w:rPr>
      </w:pPr>
    </w:p>
    <w:p w14:paraId="248526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вышел приказ НКАП N 618сс "О выделении ведущего завода 11 ГУ по планерам О.К.А.:</w:t>
      </w:r>
    </w:p>
    <w:p w14:paraId="2324DDE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целью упорядочения и сосредоточения всей работы по улучшению серийных планеров А-7 и А-2, разработке новых видов их применения и доводке опытных объектов конструкции О.К.А.:</w:t>
      </w:r>
    </w:p>
    <w:p w14:paraId="586164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Возложить на завод 464 функции ведущего ао А-7 и А-2, а также разработке новых видов применения этих планеров</w:t>
      </w:r>
    </w:p>
    <w:p w14:paraId="2B4774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Перевести с завода 241 на 464 в Тушино ОКБ О.К.А. (1579,68).</w:t>
      </w:r>
    </w:p>
    <w:p w14:paraId="6F413F89" w14:textId="77777777" w:rsidR="00AE7191" w:rsidRPr="00722885" w:rsidRDefault="00AE7191" w:rsidP="00722885">
      <w:pPr>
        <w:pStyle w:val="Iauiue"/>
        <w:jc w:val="both"/>
        <w:rPr>
          <w:color w:val="000000" w:themeColor="text1"/>
          <w:sz w:val="16"/>
          <w:szCs w:val="16"/>
        </w:rPr>
      </w:pPr>
    </w:p>
    <w:p w14:paraId="352F4C6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1942 г. Приказом НКАП №618 завод №464 был определен ведущим по производству планеров типа А-7 и А-2 и по их дальнейшей модификации, для этого ОКБ О.К.Антонова было переведено с завода №241 НКАП (10777).</w:t>
      </w:r>
    </w:p>
    <w:p w14:paraId="7292D8F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69A7BD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1942 г. по приказу № 618с завод № 464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  г. Тюмень;  г. Долгопрудный Московской обл./ /141700  г. Долгопрудный Московской обл. пл. Собина, 1 тел. 408-34-22/) был определен ведущим по производству А-7 и А-2 и по их модификации. Для этого ОКБ Антонова переведено с завода № 241 в Тушино для продолжения работ по планерам.</w:t>
      </w:r>
    </w:p>
    <w:p w14:paraId="6F8E71C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707с от 16.09.1942 г. в состав завода № 464 влиты заводы № 388 и № 457 НКАП. Профиль завода изменен: вместо А-7 началось производство самолета Як-6.</w:t>
      </w:r>
    </w:p>
    <w:p w14:paraId="46AFA4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789с от 19.10.1942 г. при заводе № 464 образована группа ПМ (пластмасс), в ее состав переведен коллектив ОКБ завода № 294 НКАП гл. конструктора Д.А. Михайлова.</w:t>
      </w:r>
    </w:p>
    <w:p w14:paraId="5B41E2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174с от 27.03.1943 г. заводу № 464 переданы часть личного состава, оборудования и материалы завода № 445 НКАП.</w:t>
      </w:r>
    </w:p>
    <w:p w14:paraId="09AE2E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7A3E74E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4916B8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1944 г. выпущена экспериментальная партия высокоточных планирующих бомб.</w:t>
      </w:r>
      <w:r w:rsidRPr="00722885">
        <w:rPr>
          <w:rFonts w:ascii="Times New Roman" w:hAnsi="Times New Roman"/>
          <w:color w:val="000000" w:themeColor="text1"/>
          <w:sz w:val="16"/>
          <w:szCs w:val="16"/>
          <w:vertAlign w:val="superscript"/>
        </w:rPr>
        <w:t>104</w:t>
      </w:r>
    </w:p>
    <w:p w14:paraId="07B69B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036A579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21AF3F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5B2F96A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03.1958 г. при заводе создано ОКБ.</w:t>
      </w:r>
    </w:p>
    <w:p w14:paraId="4BB3762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01.1964 г. началось освоение производства Ан-2М.</w:t>
      </w:r>
    </w:p>
    <w:p w14:paraId="3EC9CA0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5E58706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722885">
        <w:rPr>
          <w:rFonts w:ascii="Times New Roman" w:hAnsi="Times New Roman"/>
          <w:color w:val="000000" w:themeColor="text1"/>
          <w:sz w:val="16"/>
          <w:szCs w:val="16"/>
          <w:vertAlign w:val="superscript"/>
        </w:rPr>
        <w:t>58</w:t>
      </w:r>
      <w:r w:rsidRPr="00722885">
        <w:rPr>
          <w:rFonts w:ascii="Times New Roman" w:hAnsi="Times New Roman"/>
          <w:color w:val="000000" w:themeColor="text1"/>
          <w:sz w:val="16"/>
          <w:szCs w:val="16"/>
        </w:rPr>
        <w:t xml:space="preserve"> (1999-2006 г.-)-  Г.П. Ежов.</w:t>
      </w:r>
    </w:p>
    <w:p w14:paraId="01DCA43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08949D7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 (07.1941 г.-)- </w:t>
      </w:r>
      <w:r w:rsidRPr="00722885">
        <w:rPr>
          <w:rFonts w:ascii="Times New Roman" w:hAnsi="Times New Roman"/>
          <w:color w:val="000000" w:themeColor="text1"/>
          <w:sz w:val="16"/>
          <w:szCs w:val="16"/>
          <w:lang w:val="en-US"/>
        </w:rPr>
        <w:t>O</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K</w:t>
      </w:r>
      <w:r w:rsidRPr="00722885">
        <w:rPr>
          <w:rFonts w:ascii="Times New Roman" w:hAnsi="Times New Roman"/>
          <w:color w:val="000000" w:themeColor="text1"/>
          <w:sz w:val="16"/>
          <w:szCs w:val="16"/>
        </w:rPr>
        <w:t>. Антонов, (07.1946-47 г.)- А.С. Яковлев. Ген. конструктор (-1999-2004 г.-)- В.П. Эктов.</w:t>
      </w:r>
      <w:r w:rsidRPr="00722885">
        <w:rPr>
          <w:rFonts w:ascii="Times New Roman" w:hAnsi="Times New Roman"/>
          <w:color w:val="000000" w:themeColor="text1"/>
          <w:sz w:val="16"/>
          <w:szCs w:val="16"/>
          <w:vertAlign w:val="superscript"/>
        </w:rPr>
        <w:t>69</w:t>
      </w:r>
    </w:p>
    <w:p w14:paraId="486881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(2004 г.)- А.П. Коробов.</w:t>
      </w:r>
    </w:p>
    <w:p w14:paraId="6C482AB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(2004 г.)- В.В. Кононов.</w:t>
      </w:r>
    </w:p>
    <w:p w14:paraId="279C9C0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Ведущие конструкторы: (2004 г.)- А.П. Булашевич, (2004 г.)- В.В. Соков.</w:t>
      </w:r>
    </w:p>
    <w:p w14:paraId="3E1BA79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планер А-7 (1941-42);</w:t>
      </w:r>
      <w:r w:rsidRPr="00722885">
        <w:rPr>
          <w:rFonts w:ascii="Times New Roman" w:hAnsi="Times New Roman"/>
          <w:iCs/>
          <w:color w:val="000000" w:themeColor="text1"/>
          <w:sz w:val="16"/>
          <w:szCs w:val="16"/>
        </w:rPr>
        <w:t xml:space="preserve"> самолеты:</w:t>
      </w:r>
      <w:r w:rsidRPr="00722885">
        <w:rPr>
          <w:rFonts w:ascii="Times New Roman" w:hAnsi="Times New Roman"/>
          <w:color w:val="000000" w:themeColor="text1"/>
          <w:sz w:val="16"/>
          <w:szCs w:val="16"/>
        </w:rPr>
        <w:t xml:space="preserve"> Як-6 (1942-43)- 50, У-2 (1943-45)- 1364, Як-14, Як-10 (1946)- 2, Як-12 (1948-51), Як-15УТ, Як-16, Ан-2М (1966-71)- 506;</w:t>
      </w:r>
      <w:r w:rsidRPr="00722885">
        <w:rPr>
          <w:rFonts w:ascii="Times New Roman" w:hAnsi="Times New Roman"/>
          <w:iCs/>
          <w:color w:val="000000" w:themeColor="text1"/>
          <w:sz w:val="16"/>
          <w:szCs w:val="16"/>
        </w:rPr>
        <w:t xml:space="preserve"> ЗУР:</w:t>
      </w:r>
      <w:r w:rsidRPr="00722885">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722885">
        <w:rPr>
          <w:rFonts w:ascii="Times New Roman" w:hAnsi="Times New Roman"/>
          <w:iCs/>
          <w:color w:val="000000" w:themeColor="text1"/>
          <w:sz w:val="16"/>
          <w:szCs w:val="16"/>
        </w:rPr>
        <w:t xml:space="preserve"> УР:</w:t>
      </w:r>
      <w:r w:rsidRPr="00722885">
        <w:rPr>
          <w:rFonts w:ascii="Times New Roman" w:hAnsi="Times New Roman"/>
          <w:color w:val="000000" w:themeColor="text1"/>
          <w:sz w:val="16"/>
          <w:szCs w:val="16"/>
        </w:rPr>
        <w:t xml:space="preserve"> Р-33 (1981-);</w:t>
      </w:r>
      <w:r w:rsidRPr="00722885">
        <w:rPr>
          <w:rFonts w:ascii="Times New Roman" w:hAnsi="Times New Roman"/>
          <w:iCs/>
          <w:color w:val="000000" w:themeColor="text1"/>
          <w:sz w:val="16"/>
          <w:szCs w:val="16"/>
        </w:rPr>
        <w:t xml:space="preserve"> противоракеты:</w:t>
      </w:r>
      <w:r w:rsidRPr="00722885">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722885">
        <w:rPr>
          <w:rFonts w:ascii="Times New Roman" w:hAnsi="Times New Roman"/>
          <w:color w:val="000000" w:themeColor="text1"/>
          <w:sz w:val="16"/>
          <w:szCs w:val="16"/>
          <w:lang w:val="en-US"/>
        </w:rPr>
        <w:t>II</w:t>
      </w:r>
      <w:r w:rsidRPr="00722885">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722885">
        <w:rPr>
          <w:rFonts w:ascii="Times New Roman" w:hAnsi="Times New Roman"/>
          <w:color w:val="000000" w:themeColor="text1"/>
          <w:sz w:val="16"/>
          <w:szCs w:val="16"/>
          <w:vertAlign w:val="superscript"/>
        </w:rPr>
        <w:t>101</w:t>
      </w:r>
      <w:r w:rsidRPr="00722885">
        <w:rPr>
          <w:rFonts w:ascii="Times New Roman" w:hAnsi="Times New Roman"/>
          <w:color w:val="000000" w:themeColor="text1"/>
          <w:sz w:val="16"/>
          <w:szCs w:val="16"/>
        </w:rPr>
        <w:t xml:space="preserve"> пассажирские кресла для ж/д вагонов (2009).</w:t>
      </w:r>
    </w:p>
    <w:p w14:paraId="45FA2CC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Ремонт:</w:t>
      </w:r>
      <w:r w:rsidRPr="00722885">
        <w:rPr>
          <w:rFonts w:ascii="Times New Roman" w:hAnsi="Times New Roman"/>
          <w:color w:val="000000" w:themeColor="text1"/>
          <w:sz w:val="16"/>
          <w:szCs w:val="16"/>
        </w:rPr>
        <w:t xml:space="preserve"> Як-6 (1943-).</w:t>
      </w:r>
    </w:p>
    <w:p w14:paraId="2994494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Заводской №:</w:t>
      </w:r>
      <w:r w:rsidRPr="00722885">
        <w:rPr>
          <w:rFonts w:ascii="Times New Roman" w:hAnsi="Times New Roman"/>
          <w:color w:val="000000" w:themeColor="text1"/>
          <w:sz w:val="16"/>
          <w:szCs w:val="16"/>
        </w:rPr>
        <w:t xml:space="preserve"> Ан-2М</w:t>
      </w:r>
      <w:r w:rsidRPr="00722885">
        <w:rPr>
          <w:rFonts w:ascii="Times New Roman" w:hAnsi="Times New Roman"/>
          <w:iCs/>
          <w:color w:val="000000" w:themeColor="text1"/>
          <w:sz w:val="16"/>
          <w:szCs w:val="16"/>
        </w:rPr>
        <w:t xml:space="preserve"> № 600810:</w:t>
      </w:r>
      <w:r w:rsidRPr="00722885">
        <w:rPr>
          <w:rFonts w:ascii="Times New Roman" w:hAnsi="Times New Roman"/>
          <w:color w:val="000000" w:themeColor="text1"/>
          <w:sz w:val="16"/>
          <w:szCs w:val="16"/>
        </w:rPr>
        <w:t xml:space="preserve"> 6- год выпуска, 008- серия, 10- № самолета в серии.</w:t>
      </w:r>
    </w:p>
    <w:p w14:paraId="38CBD5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ОКБ завода № 464 гл. конструктора </w:t>
      </w:r>
      <w:r w:rsidRPr="00722885">
        <w:rPr>
          <w:rFonts w:ascii="Times New Roman" w:hAnsi="Times New Roman"/>
          <w:color w:val="000000" w:themeColor="text1"/>
          <w:sz w:val="16"/>
          <w:szCs w:val="16"/>
          <w:lang w:val="en-US"/>
        </w:rPr>
        <w:t>O</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K</w:t>
      </w:r>
      <w:r w:rsidRPr="00722885">
        <w:rPr>
          <w:rFonts w:ascii="Times New Roman" w:hAnsi="Times New Roman"/>
          <w:color w:val="000000" w:themeColor="text1"/>
          <w:sz w:val="16"/>
          <w:szCs w:val="16"/>
        </w:rPr>
        <w:t>. Антонова</w:t>
      </w:r>
    </w:p>
    <w:p w14:paraId="7ED3FFF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2610739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602E2F7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«ПМ» при заводе № 464 НКАП</w:t>
      </w:r>
    </w:p>
    <w:p w14:paraId="66DF74A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258BA3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7917ED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завода № 464</w:t>
      </w:r>
    </w:p>
    <w:p w14:paraId="2610747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10.03.1958 г. для разработки и внедрения в серию ЗУР для систем ПВО и ПРО.</w:t>
      </w:r>
    </w:p>
    <w:p w14:paraId="6051F1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42A2BD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7840A65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633A318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(2005 г.): разработка ракет 9МЗ17М, 9МЗ17А, 9МЗ17МА.</w:t>
      </w:r>
    </w:p>
    <w:p w14:paraId="4A8A93F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(1958-61 г.)- Л. Г. Головин (снят).</w:t>
      </w:r>
    </w:p>
    <w:p w14:paraId="415AF34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(-1961 г.)- Л. Г. Головин, (1961 г.-)- М.А. Любомудров.</w:t>
      </w:r>
    </w:p>
    <w:p w14:paraId="5933930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В.П. Эктов (9М317).</w:t>
      </w:r>
    </w:p>
    <w:p w14:paraId="2A9C62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 ЗУР:</w:t>
      </w:r>
      <w:r w:rsidRPr="00722885">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4C6DB67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27FD3C8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390816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Кнмовский завод металлоизделий /г. Кимовск Тульской обл./</w:t>
      </w:r>
    </w:p>
    <w:p w14:paraId="065AF2E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Входил в ОАО «ДНПП» (2002 г.) (11982).</w:t>
      </w:r>
    </w:p>
    <w:p w14:paraId="6A25F5D0"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4D5421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1942 г. по приказу № 618с ОКБ Антонова переведено с завода № 241 в Тушино на завод № 464 НКАП для продолжения работ по планерам (11982).</w:t>
      </w:r>
    </w:p>
    <w:p w14:paraId="2F99E02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D38C5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1942 г. по приказу № 618с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45EC8D3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09.1942 г. работы по планерам приостановлены. Антонов в 1943-46 г. работал в ОКБ Яковлева (11982).</w:t>
      </w:r>
    </w:p>
    <w:p w14:paraId="1EF25CB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2DC65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вышел приказ НКАП № 613с О ликвидации деятельности бывшего з-да 458 (Баку).</w:t>
      </w:r>
    </w:p>
    <w:p w14:paraId="6C2AD0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Шахурин (1579, 26).</w:t>
      </w:r>
    </w:p>
    <w:p w14:paraId="4188AFF1" w14:textId="77777777" w:rsidR="00AE7191" w:rsidRPr="00722885" w:rsidRDefault="00AE7191" w:rsidP="00722885">
      <w:pPr>
        <w:pStyle w:val="Iauiue"/>
        <w:jc w:val="both"/>
        <w:rPr>
          <w:color w:val="000000" w:themeColor="text1"/>
          <w:sz w:val="16"/>
          <w:szCs w:val="16"/>
        </w:rPr>
      </w:pPr>
    </w:p>
    <w:p w14:paraId="33D28BE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1943 директор завода № 600 В.С.Еськов писал:</w:t>
      </w:r>
    </w:p>
    <w:p w14:paraId="2F4D6D6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СЕКРЕТНО</w:t>
      </w:r>
    </w:p>
    <w:p w14:paraId="486B4F3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НАРОДНОМУ КОМИССАРУ АВИАЦИОННОЙ ПРОМЫШЛЕН</w:t>
      </w:r>
      <w:r w:rsidRPr="00722885">
        <w:rPr>
          <w:rFonts w:ascii="Times New Roman" w:hAnsi="Times New Roman"/>
          <w:color w:val="000000" w:themeColor="text1"/>
          <w:sz w:val="16"/>
          <w:szCs w:val="16"/>
        </w:rPr>
        <w:softHyphen/>
        <w:t>НОСТИ СОЮЗА ССР тов. ШАХУРИНУА. И.</w:t>
      </w:r>
    </w:p>
    <w:p w14:paraId="57CA539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ДОКЛАДНАЯ ЗАПИСКА о ходе эвакуации завода № 600</w:t>
      </w:r>
    </w:p>
    <w:p w14:paraId="07F659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основании Вашего телеграфного распоряжения от 7-го мая 1943 года, завод немедленно приступил к демонтажу и упаковке оборудования в последовательности, указанной Вами. До 1 -го июня с.г. полностью был произведён демонтаж оборудования основного производства и подготовлен инструмент для отправки в Советский Союз. В течение июня м-ца произведён демонтаж и упаковка общезаводского оборудования, а также одновременно производилась погрузка и отправка имущества завода в Советский Союз. В мае и начале июня м-цев с завода была направлена группа работников завода, имеющих заграничные паспорта в гор. Алма-Ата и ст. Сары-Озек. Остальные работники в течение мая и июня месяцев были заняты на демонтаже оборудования и упаковке заводского имущества. После Вашего указания об эвакуации завода заводской транспорт немедленно приступил к перевозкам оборудования и работников в Сов. Союз. С 25-го мая с.г. приступила к вывозке оборудования воинская часть 8285, которая до 12 июля подала под заводской груз 1108 трёхтонных и пятитонных автомашин. К 12 июля, в основном, было вывезено всё заводское имущество, исключая тяжеловесы и длинномеры, которые до сего времени не вывозит воинская часть № 8285.</w:t>
      </w:r>
    </w:p>
    <w:p w14:paraId="10DCBDB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моменту ликвидации завода на последнем находилось около 1000 командированных работников с членами семей, в том числе 350 «упрощенцев», не имеющих загранпаспортов, а также около 800 местных жителей, подлежащих, согласно указанию товарища Молотова, вывозу в Союз. Командированные начали выезжать в Союз в конце мая, т.е. после получения Вашего указания об этом. До второй половины июля «упрощенны» не могли выезжать в Союз, т.к. местные власти не давали им выездные визы.</w:t>
      </w:r>
    </w:p>
    <w:p w14:paraId="7F66CF1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июля нам удалось неле</w:t>
      </w:r>
      <w:r w:rsidRPr="00722885">
        <w:rPr>
          <w:rFonts w:ascii="Times New Roman" w:hAnsi="Times New Roman"/>
          <w:color w:val="000000" w:themeColor="text1"/>
          <w:sz w:val="16"/>
          <w:szCs w:val="16"/>
        </w:rPr>
        <w:softHyphen/>
        <w:t>гально от местных властей вывезти со спецкараваном 42 «упрощенца» - одиноч</w:t>
      </w:r>
      <w:r w:rsidRPr="00722885">
        <w:rPr>
          <w:rFonts w:ascii="Times New Roman" w:hAnsi="Times New Roman"/>
          <w:color w:val="000000" w:themeColor="text1"/>
          <w:sz w:val="16"/>
          <w:szCs w:val="16"/>
        </w:rPr>
        <w:softHyphen/>
        <w:t>ки. Остальная часть «упрощенцев» нача</w:t>
      </w:r>
      <w:r w:rsidRPr="00722885">
        <w:rPr>
          <w:rFonts w:ascii="Times New Roman" w:hAnsi="Times New Roman"/>
          <w:color w:val="000000" w:themeColor="text1"/>
          <w:sz w:val="16"/>
          <w:szCs w:val="16"/>
        </w:rPr>
        <w:softHyphen/>
        <w:t>ла выезжать в Союз во второй половине июля. Сейчас «упрощенцев» на заводе всего лишь несколько человек.</w:t>
      </w:r>
    </w:p>
    <w:p w14:paraId="2623E61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Первый самолёт с местными рабочими завода вылетел в Союз только 25.УП.1943 г. С 1.УШ. с.г. местные рабо</w:t>
      </w:r>
      <w:r w:rsidRPr="00722885">
        <w:rPr>
          <w:rFonts w:ascii="Times New Roman" w:hAnsi="Times New Roman"/>
          <w:color w:val="000000" w:themeColor="text1"/>
          <w:sz w:val="16"/>
          <w:szCs w:val="16"/>
        </w:rPr>
        <w:softHyphen/>
        <w:t>чие вывозятся только одним самолётом ТБ-3. По состоянию на 13.УШ. с.г вывезено всего лишь 321 человек местных жителей.</w:t>
      </w:r>
    </w:p>
    <w:p w14:paraId="4A3E214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основании вышеуказанного, про</w:t>
      </w:r>
      <w:r w:rsidRPr="00722885">
        <w:rPr>
          <w:rFonts w:ascii="Times New Roman" w:hAnsi="Times New Roman"/>
          <w:color w:val="000000" w:themeColor="text1"/>
          <w:sz w:val="16"/>
          <w:szCs w:val="16"/>
        </w:rPr>
        <w:softHyphen/>
        <w:t>шу Вашего указания о немедленном вы</w:t>
      </w:r>
      <w:r w:rsidRPr="00722885">
        <w:rPr>
          <w:rFonts w:ascii="Times New Roman" w:hAnsi="Times New Roman"/>
          <w:color w:val="000000" w:themeColor="text1"/>
          <w:sz w:val="16"/>
          <w:szCs w:val="16"/>
        </w:rPr>
        <w:softHyphen/>
        <w:t>делении дополнительно двух самолётов для переброски местных жителей, а так</w:t>
      </w:r>
      <w:r w:rsidRPr="00722885">
        <w:rPr>
          <w:rFonts w:ascii="Times New Roman" w:hAnsi="Times New Roman"/>
          <w:color w:val="000000" w:themeColor="text1"/>
          <w:sz w:val="16"/>
          <w:szCs w:val="16"/>
        </w:rPr>
        <w:softHyphen/>
        <w:t>же ускорить решение о немедленном вывозе длинномеров и тяжеловесов</w:t>
      </w:r>
    </w:p>
    <w:p w14:paraId="4C8F410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ЗАВОДА (В.ЕСЬКОВ) 12 августа 1943 г. (</w:t>
      </w:r>
      <w:r w:rsidRPr="00722885">
        <w:rPr>
          <w:rFonts w:ascii="Times New Roman" w:hAnsi="Times New Roman"/>
          <w:iCs/>
          <w:color w:val="000000" w:themeColor="text1"/>
          <w:sz w:val="16"/>
          <w:szCs w:val="16"/>
        </w:rPr>
        <w:t>Публикация документов Юлии БЕЛЬЧИЧ</w:t>
      </w:r>
      <w:r w:rsidRPr="00722885">
        <w:rPr>
          <w:rFonts w:ascii="Times New Roman" w:hAnsi="Times New Roman"/>
          <w:color w:val="000000" w:themeColor="text1"/>
          <w:sz w:val="16"/>
          <w:szCs w:val="16"/>
        </w:rPr>
        <w:t xml:space="preserve"> // Техника-Молодежи, 2009, № 8. с. 51).</w:t>
      </w:r>
    </w:p>
    <w:p w14:paraId="2EBDEDF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75F5A26"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1942</w:t>
      </w:r>
    </w:p>
    <w:p w14:paraId="301244D7"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Ленинградского горкома ВКП(б) Капустин</w:t>
      </w:r>
    </w:p>
    <w:p w14:paraId="47E7A833"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ГК ВКП(б) по оборонной промышленности Басов.</w:t>
      </w:r>
    </w:p>
    <w:p w14:paraId="1D2C79EE"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Секретарям Ленинградского Горкома ВКП(б)</w:t>
      </w:r>
    </w:p>
    <w:p w14:paraId="4E4E6B4A"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Тов. Жданову А. А.</w:t>
      </w:r>
    </w:p>
    <w:p w14:paraId="3176C8D4"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Тов. Кузнецову А. А.</w:t>
      </w:r>
    </w:p>
    <w:p w14:paraId="350349C7"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Тов. Капустину Я. Ф.</w:t>
      </w:r>
    </w:p>
    <w:p w14:paraId="5A322C2F" w14:textId="77777777" w:rsidR="00B779AB" w:rsidRPr="00722885" w:rsidRDefault="00B779AB" w:rsidP="00722885">
      <w:pPr>
        <w:shd w:val="clear" w:color="auto" w:fill="FFFFFF"/>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Справка о результатах испытания МТВ-280 и МТВ-320 на АНИОПе</w:t>
      </w:r>
    </w:p>
    <w:p w14:paraId="51D5FF8F"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Сегодня 12 августа на АНИОПе был проведены очередные испытания МТВ-280 и МТВ-320 в количестве 8 штук, снаряженные заводом №522 следующими составами:</w:t>
      </w:r>
    </w:p>
    <w:p w14:paraId="19B9EDCA"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шт. МТВ-320 жидкостным зажигательным составом;</w:t>
      </w:r>
    </w:p>
    <w:p w14:paraId="0CE413E3"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шт. МТВ-320 и 1 шт МТВ-280 термитными сегментами;</w:t>
      </w:r>
    </w:p>
    <w:p w14:paraId="24DB931B"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шт. МТВ-280 (фугасные) тротилом.</w:t>
      </w:r>
    </w:p>
    <w:p w14:paraId="16A729A9"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показали, что:</w:t>
      </w:r>
    </w:p>
    <w:p w14:paraId="25F5EA60"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Выпущенные 3 мины МТВ-320, снаряженные жидкостным зажигательным составом (смесь нитроклетчатки с бензином, соляровым маслом и бертолетовой солью), показали хороший результат воспламенения жидкости с большим поражением площади горящей смесью. Огнём была охвачена площадь, насчитывающая до 50 и больше очагов зажигания. Все три мины сработали хорошо и показали удовлетворительные результаты.</w:t>
      </w:r>
    </w:p>
    <w:p w14:paraId="662D1E45"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Мины МТВ, снаряженные термитными сегментами, являются комбинированными минами фугасно-зажигательного действия. Выпущенные 2 шт. МТВ-320 и 1 шт. МТВ-280 сработали хорошо и дали большой разброс горящих термитных сегментов, образовав большое количество пожаров на местности. Отдельные сегменты разбрасывались от места взрыва до 300 метров. При разрыве мины образовалась воронка до 1 метра глубиной и 2 метров в диаметре.</w:t>
      </w:r>
    </w:p>
    <w:p w14:paraId="6BEF1C26"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 целью получения повышенной дальности мин МТВ-280 заводом №522 был изменён метод снаряжения, заливка мины тротилом заменена засыпкой, что облегчило её вес до 17 кг.</w:t>
      </w:r>
    </w:p>
    <w:p w14:paraId="4F17CAE6"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Результаты стрельбы показали: дальность полёта 1 мины – 3100 метров и 2 мины – 3400 метров. По величине образовавшихся воронок можно судить, что сила взрыва немногим уступает минам, снаряженным путём заливки. Таким образом, испытание показало возможность резкого увеличения дальности полёта мин МТВ-280, не вводя никаких конструктивных изменений.</w:t>
      </w:r>
    </w:p>
    <w:p w14:paraId="5ECFC560"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Заводу и полигону дано указание немедленно приступить к окончательной отработке технологии снаряжения и составления таблицы стрельбы на дальние дистанции.</w:t>
      </w:r>
    </w:p>
    <w:p w14:paraId="63D3DC53"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Подробные результаты испытаний будут представлены АНИОПом особо.</w:t>
      </w:r>
    </w:p>
    <w:p w14:paraId="51B83DEF"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ГК ВКП(б) по оборонной промышленности Басов (подпись)</w:t>
      </w:r>
    </w:p>
    <w:p w14:paraId="242CD53D"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 Отделом оборонной промышленности ГК ВКП(б) Корочин.</w:t>
      </w:r>
    </w:p>
    <w:p w14:paraId="66FD4FB6"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Боевое применение</w:t>
      </w:r>
    </w:p>
    <w:p w14:paraId="1EE7EF0F" w14:textId="77777777" w:rsidR="00B779AB" w:rsidRPr="00722885" w:rsidRDefault="00B779AB"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Всего в блокированном Ленинграде за период с мая по ноябрь 1942 г. было произведено 9380 реактивных снарядов нового образца, из них снарядить успели 5078 штук. Параллельно, в 1942 г., всё же началось и постепенное развёртывание производства снаряда М-30. Но в течение всего 1942 г. основным тяжёлым реактивным снарядом, выпускавшимся в Ленинграде, оставался М-28 (17107).</w:t>
      </w:r>
    </w:p>
    <w:p w14:paraId="42CAC22E" w14:textId="77777777" w:rsidR="00B779AB" w:rsidRPr="00722885" w:rsidRDefault="00B779AB" w:rsidP="00722885">
      <w:pPr>
        <w:shd w:val="clear" w:color="auto" w:fill="FFFFFF"/>
        <w:spacing w:after="0" w:line="240" w:lineRule="auto"/>
        <w:jc w:val="both"/>
        <w:rPr>
          <w:rFonts w:ascii="Times New Roman" w:hAnsi="Times New Roman"/>
          <w:color w:val="000000" w:themeColor="text1"/>
          <w:sz w:val="16"/>
          <w:szCs w:val="16"/>
        </w:rPr>
      </w:pPr>
    </w:p>
    <w:p w14:paraId="77882D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года на АПИОПе были произведены испытания реактивных мин с позиции 7,4 км при угле возвышения пусковой рамы в 42 градуса. Все три мины вышли из упаковочных ящиков без замечаний, их полет прошел хорошо. Результаты испытаний показали, что действие 280-мм мины более эффективное, чем 320-мм мин. 320-мм мины показали неудовлетворительный результат. Начальник полигона военинженер 1 ранга Оглоблин рекомендовал заводу №522 изготовить партию снарядов 280-мм калибра и представить их на испытания на АНИОП для уточнения результатов. Кроме завода №522 снаряжением мин зажигательным составом занимался ГИПХ (6403, 42).</w:t>
      </w:r>
    </w:p>
    <w:p w14:paraId="3E3C3E6C" w14:textId="77777777" w:rsidR="00AE7191" w:rsidRPr="00722885" w:rsidRDefault="00AE7191" w:rsidP="00722885">
      <w:pPr>
        <w:pStyle w:val="Iauiue"/>
        <w:jc w:val="both"/>
        <w:rPr>
          <w:color w:val="000000" w:themeColor="text1"/>
          <w:sz w:val="16"/>
          <w:szCs w:val="16"/>
        </w:rPr>
      </w:pPr>
    </w:p>
    <w:p w14:paraId="6C4A5695" w14:textId="77777777" w:rsidR="00C5464C" w:rsidRPr="00722885" w:rsidRDefault="00C5464C"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AE88B23" w14:textId="77777777" w:rsidR="00C5464C" w:rsidRPr="00722885" w:rsidRDefault="00C5464C" w:rsidP="00722885">
      <w:pPr>
        <w:pStyle w:val="Iauiue"/>
        <w:jc w:val="both"/>
        <w:rPr>
          <w:iCs/>
          <w:color w:val="000000" w:themeColor="text1"/>
          <w:sz w:val="16"/>
          <w:szCs w:val="16"/>
        </w:rPr>
      </w:pPr>
    </w:p>
    <w:p w14:paraId="04D54E2E" w14:textId="77777777" w:rsidR="00C5464C" w:rsidRPr="00722885" w:rsidRDefault="00C5464C"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12 августа 1942 года пришел ответ на запрос "Танкистов" в ГУ ВВС, откуда сообщили, что Ш-37 на вооружение не принята, хотя испытания пушка выдержала (20346).</w:t>
      </w:r>
    </w:p>
    <w:p w14:paraId="0624F7EE" w14:textId="77777777" w:rsidR="00C5464C" w:rsidRPr="00722885" w:rsidRDefault="00C5464C" w:rsidP="00722885">
      <w:pPr>
        <w:pStyle w:val="article-renderblock"/>
        <w:shd w:val="clear" w:color="auto" w:fill="FFFFFF"/>
        <w:spacing w:before="0" w:beforeAutospacing="0" w:after="0" w:afterAutospacing="0"/>
        <w:jc w:val="both"/>
        <w:rPr>
          <w:color w:val="0070C0"/>
          <w:sz w:val="16"/>
          <w:szCs w:val="16"/>
        </w:rPr>
      </w:pPr>
    </w:p>
    <w:p w14:paraId="2833972B"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E3B0F9B" w14:textId="77777777" w:rsidR="00AE7191" w:rsidRPr="00722885" w:rsidRDefault="00AE7191" w:rsidP="00722885">
      <w:pPr>
        <w:pStyle w:val="Iauiue"/>
        <w:jc w:val="both"/>
        <w:rPr>
          <w:iCs/>
          <w:color w:val="000000" w:themeColor="text1"/>
          <w:sz w:val="16"/>
          <w:szCs w:val="16"/>
        </w:rPr>
      </w:pPr>
    </w:p>
    <w:p w14:paraId="1AD295FC"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в 1942 году утреннее сообщение Совинформбюро:</w:t>
      </w:r>
    </w:p>
    <w:p w14:paraId="1BD0B4DF"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12 августа наши войска вели бои с противником в районах Клетская, северо-восточнее Котельниково, а также в районах Черкесск, Майкоп и Краснодар.</w:t>
      </w:r>
    </w:p>
    <w:p w14:paraId="30B79E10"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0F37977E"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упорные бои с противником. Гвардейцы миномётной части за 9 дней истребили до 2.000 гитлеровцев, уничтожили 7 немецких танков, 130 автомашин и взорвали 4 склада с боеприпасами. Южнее Клетской наши подразделения уничтожили 4 немецких танка, миномётную батарею и 250 солдат и офицеров противника.</w:t>
      </w:r>
    </w:p>
    <w:p w14:paraId="62BB81C8"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Н-ская мотострелковая часть при поддержке танков и артиллерии с марша атаковала колонну мотопехоты противника. Навязав немцам встречный бой, наши бойцы не выпускали инициативы из своих рук и нанесли гитлеровцам большие потери. На поле боя немцы оставили свыше 400 трупов. Уничтожено 15 автомашин и 7 немецких танков.</w:t>
      </w:r>
    </w:p>
    <w:p w14:paraId="4E6EBAA9"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наши войска вели оборонительные бои с численно превосходящими силами противника. Особенно ожесточённый бой происходит у переправ через один водный рубеж. Немцы пытаются любой ценой проникнуть на южный берег реки. Наши части при поддержке авиации уничтожили на переправах 12 танков, 36 автомашин и свыше 1.000 гитлеровцев. Противник вводит в бой новые резервы и, несмотря на огромные потери, ведёт одну атаку за другой.</w:t>
      </w:r>
    </w:p>
    <w:p w14:paraId="08FBB98B"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Черкесска и Майкопа наши части вели напряжённые бои с танками и мотопехотой противника.</w:t>
      </w:r>
    </w:p>
    <w:p w14:paraId="3C09BC4C"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наши части выбили немцев из двух населённых пунктов. Гитлеровцы предприняли несколько контратак, которые были отбиты нашими бойцами. Потеряв только убитыми свыше 200 солдат и офицеров, немцы отступили на исходные позиции. Наша авиация бомбила скопления танков и мотопехоты противника. Уничтожено 14 немецких танков, 40 автомашин, 12 повозок, и взорван склад с боеприпасами.</w:t>
      </w:r>
    </w:p>
    <w:p w14:paraId="5C898F4B"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Волховском фронте происходили бои местного значения. На одном участке гитлеровцы пытались вернуть оборонительный рубеж, занятый накануне нашими бойцами. После интенсивной огневой подготовки неприятель бросил в контратаку до трёх батальонов пехоты. Контратака противника была отбита. Немцы потеряли в этом бою 200 солдат и офицеров. В воздушных боях лётчики частей, где командирами майор Ячменев и майор Боровой, сбили 6 немецких самолётов.</w:t>
      </w:r>
    </w:p>
    <w:p w14:paraId="244B085D"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Объединённые партизанские отряды под командованием тт. В. и О., действующие в оккупированных немцами районах Ленинградской области, совершили налёт на три гарнизона оккупантов. Народные мстители истребили 150 немецких солдат и офицеров, захватили 6 пулемётов, винтовки и боеприпасы. Партизаны пустили под откос два немецких воинских эшелона. Разбито 32 товарных и классных вагона с войсками и боевой техникой.</w:t>
      </w:r>
    </w:p>
    <w:p w14:paraId="6D8CA2A3"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солдат 687 полка 336 немецкой пехотной дивизии Альберт П. рассказал: «Наша дивизия всё время находилась во Франции. Когда стало известно, что нас отправляют в Россию, несколько солдат покончили самоубийством. В 6 роте покончил с собой обер-ефрейтор Майер, в 9 роте застрелился солдат Миллер. Русские сильно потрепали нашу дивизию. Она потеряла уже до половины личного состава. Каждый день офицеры запугивают нас ужасами предстоящей зимы. Они говорят: «Мы должны во что бы то ни стало окончить поход до осени, иначе нам будет плохо». Офицеры заставляют солдат, несмотря ни на какие потери, очертя голову лезть вперёд».</w:t>
      </w:r>
    </w:p>
    <w:p w14:paraId="474832A9"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последний месяц гитлеровцы и их лакеи из правительства Виши закрыли в Парижском районе свыше 60 предприятий. Рабочих выбросили на улицу и лишили продовольственных карточек. Им предложили пройти регистрацию на вербовочном пункте и отправиться на работу в Германию. Несмотря на безработицу, французские рабочие отказываются поехать на каторжные работы в Германию.» (14981).</w:t>
      </w:r>
    </w:p>
    <w:p w14:paraId="37CC6984"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37F8CAEA"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в 1942 году вечернее сообщение Совинформбюро:</w:t>
      </w:r>
    </w:p>
    <w:p w14:paraId="5E8D444E"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12 августа наши войска вели бои в районах Клетская, северо-восточнее Котельниково, а также в районах Черкесск, Майкоп и Краснодар.</w:t>
      </w:r>
    </w:p>
    <w:p w14:paraId="6C82413F"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других участках фронта существенных изменений не произошло.</w:t>
      </w:r>
    </w:p>
    <w:p w14:paraId="5C0DF0B7"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11 августа частями нашей авиации на различных участках фронта уничтожено или повреждено 20 немецких танков, до 100 автомашин с войсками и грузами, 5 автоцистерн с горючим, взорваны 4 склада боеприпасов и склад горючего, подавлен огонь 7 артиллерийских батарей, разбит железнодорожный эшелон, рассеяно и частью уничтожено до батальона пехоты противника.</w:t>
      </w:r>
    </w:p>
    <w:p w14:paraId="1DD88CCD"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Клетской наши части отбивали атаки немецко-фашистских войск. На одном участке Н-ская часть перешла в контратаку. В бою за населённый пункт истреблено свыше 200 гитлеровцев. На другом участке наши бойцы в течение, дня уничтожили 250 немецких солдат и офицеров, 3 танка, 2 орудия и 7 пулемётов.</w:t>
      </w:r>
    </w:p>
    <w:p w14:paraId="179E52AA"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Котельниково происходили упорные бои. На некоторых участках противник перешёл к обороне. Наши части предприняли ряд успешных атаки, изматывая врага, не давали ему возможности закрепляться. Советские танкисты при поддержке авиации и артиллерии атаковали колонну гитлеровцев и нанесли противнику большой урон в живой силе и технике. Истреблено свыше 700 гитлеровцев. Уничтожено 16 танков, 3 бронемашины, 14 орудий и 17 пулемётных точек.</w:t>
      </w:r>
    </w:p>
    <w:p w14:paraId="2FD61475"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наши части вели напряжённые оборонительные бои с численно превосходящими силами противника. На одном водном рубеже днём и ночью продолжались бои за переправы. Штурмовыми налётами нашей авиации, огнём артиллерии и минометов уничтожены три переправы, наведённые немцами. За день подбито и сожжено 10 танков, 20 автомашин и уничтожено до трёх рот немецкой пехоты. Артиллерия дальнего действия и бомбардировщики нанесли большие потери подходящим резервам противника.</w:t>
      </w:r>
    </w:p>
    <w:p w14:paraId="42DB9808"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Черкесска наши части отошли на новые позиции.</w:t>
      </w:r>
    </w:p>
    <w:p w14:paraId="7D644857"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 западном берегу Дона, советские бойцы за два дня уничтожили до 500 немецких солдат и офицеров. Захвачено несколько орудий, много винтовок и автоматов. Взяты пленные. На соседнем участке происходили уличные бои в населённом пункте. Поддерживая действия наземных войск, наши лётчики уничтожили несколько немецких танков, 37 автомашин, 2 бензоцистерны и подавили огонь 2 артиллерийских батарей. В воздушных боях сбито 2 самолёта противника.</w:t>
      </w:r>
    </w:p>
    <w:p w14:paraId="0B381EDB"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Карельском фронте лётчики частей, где командирами тт. Гальченко, Белоусов, Краснолуцкий и Фомин, совершили успешный налёт на финский аэродром. Преодолев заградительный огонь зенитной артиллерии, наши самолёты вышли на цель и сбросили на аэродром большое количество бомб. Аэрофотосъёмкой установлено, что на земле уничтожены 10 вражеских бомбардировщиков и истребителей, а также ремонтно-механические мастерские аэродрома.</w:t>
      </w:r>
    </w:p>
    <w:p w14:paraId="030464BF"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Ж., действующий в оккупированных немцами районах Орловской области, пустил под откос 4 железнодорожных эшелона с живой силой, техникой и боеприпасами противника. Всполошившиеся гитлеровцы арестовали 15 офицеров железнодорожной охраны, а солдат отправили на фронт.</w:t>
      </w:r>
    </w:p>
    <w:p w14:paraId="5A9994CE"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начальника немецкого тылового района усилена охрана железной дороги. Специальные команды вырубают лес на 500 метров по обе стороны железнодорожного пути. Но число аварий и катастроф не уменьшается. Поезда по-прежнему летят под откос.</w:t>
      </w:r>
    </w:p>
    <w:p w14:paraId="50EE7D20"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письма немецкого солдата Герберта родителям: «Мы с ужасом думаем о том, что нам придётся здесь воевать вторую зиму. Командование двинуло нас в тыл для очистки и завоевания лесов. Партизаны действуют в союзе с населением и всегда выскальзывают из кольца, которое мы пытаемся образовать вокруг них. В тылу имеются не только деревни, которые заняты партизанами, но даже несколько городов. При нашем приближении жители скрываются и уходят в леса... Днём и ночью горят поджигаемые нами деревни. Всё съедобное здесь давно уничтожено».</w:t>
      </w:r>
    </w:p>
    <w:p w14:paraId="684320BF" w14:textId="77777777" w:rsidR="00B779AB" w:rsidRPr="00722885" w:rsidRDefault="00B779A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финской армии участились случаи открытого отказа солдат выполнять распоряжения офицеров. За последнюю неделю через станцию Пори направлено в военные тюрьмы Финляндии свыше 600 солдат, категорически отказавшихся идти в бой.» (14981).</w:t>
      </w:r>
    </w:p>
    <w:p w14:paraId="724C1D58" w14:textId="77777777" w:rsidR="00B779AB" w:rsidRPr="00722885" w:rsidRDefault="00B779AB" w:rsidP="00722885">
      <w:pPr>
        <w:spacing w:after="0" w:line="240" w:lineRule="auto"/>
        <w:jc w:val="both"/>
        <w:rPr>
          <w:rFonts w:ascii="Times New Roman" w:hAnsi="Times New Roman"/>
          <w:color w:val="000000" w:themeColor="text1"/>
          <w:sz w:val="16"/>
          <w:szCs w:val="16"/>
        </w:rPr>
      </w:pPr>
    </w:p>
    <w:p w14:paraId="6D0EB0A0" w14:textId="77777777" w:rsidR="00151541" w:rsidRPr="00722885" w:rsidRDefault="00151541" w:rsidP="00722885">
      <w:pPr>
        <w:pStyle w:val="ae"/>
        <w:spacing w:before="0" w:after="0"/>
        <w:jc w:val="both"/>
        <w:textAlignment w:val="baseline"/>
        <w:rPr>
          <w:color w:val="000000" w:themeColor="text1"/>
          <w:sz w:val="16"/>
          <w:szCs w:val="16"/>
        </w:rPr>
      </w:pPr>
      <w:r w:rsidRPr="00722885">
        <w:rPr>
          <w:color w:val="000000" w:themeColor="text1"/>
          <w:sz w:val="16"/>
          <w:szCs w:val="16"/>
        </w:rPr>
        <w:t>12 августа 1942 в 4.30 штурмовики из 206-й, 226-й и 228-й шад 8 ВА генерал-майора Тимофея Хрюкина попытались нанести удары одновременно по трем немецким аэродромам. Первая атакующая группа насчитывала восемь Ил-2, которых прикрывали семнадцать Як-1 и ЛаГГ-3, вторая — тринадцать штурмовиков и двадцать пять истребителей сопровождения. Однако, несмотря на раннее время, достичь внезапности не удалось.</w:t>
      </w:r>
    </w:p>
    <w:p w14:paraId="679AED79" w14:textId="77777777" w:rsidR="00151541" w:rsidRPr="00722885" w:rsidRDefault="00151541" w:rsidP="00722885">
      <w:pPr>
        <w:pStyle w:val="ae"/>
        <w:spacing w:before="0" w:after="0"/>
        <w:jc w:val="both"/>
        <w:textAlignment w:val="baseline"/>
        <w:rPr>
          <w:color w:val="000000" w:themeColor="text1"/>
          <w:sz w:val="16"/>
          <w:szCs w:val="16"/>
        </w:rPr>
      </w:pPr>
      <w:r w:rsidRPr="00722885">
        <w:rPr>
          <w:color w:val="000000" w:themeColor="text1"/>
          <w:sz w:val="16"/>
          <w:szCs w:val="16"/>
        </w:rPr>
        <w:t>Часть «Мессершмиттов» уже находилась в воздухе, и, увидев приближающиеся самолеты, пилоты люфтваффе немедленно атаковали их. Тем временем начали взлетать и другие истребители. В результате русским удалось атаковать только аэродром Обливская. На подступах же к Тусову «горбатые» нарушили боевой порядок, стали разворачиваться и уходить, лишь несколько бомб упало рядом с аэродромом.</w:t>
      </w:r>
    </w:p>
    <w:p w14:paraId="3D9524D5" w14:textId="77777777" w:rsidR="00151541" w:rsidRPr="00722885" w:rsidRDefault="00151541" w:rsidP="00722885">
      <w:pPr>
        <w:pStyle w:val="ae"/>
        <w:spacing w:before="0" w:after="0"/>
        <w:jc w:val="both"/>
        <w:textAlignment w:val="baseline"/>
        <w:rPr>
          <w:color w:val="000000" w:themeColor="text1"/>
          <w:sz w:val="16"/>
          <w:szCs w:val="16"/>
        </w:rPr>
      </w:pPr>
      <w:r w:rsidRPr="00722885">
        <w:rPr>
          <w:color w:val="000000" w:themeColor="text1"/>
          <w:sz w:val="16"/>
          <w:szCs w:val="16"/>
        </w:rPr>
        <w:t>Вскоре начался большой воздушный бой, растянувшийся на десятки километров над степью. В свете восходящего солнца то и дело пролетали горящие обломки самолетов, срывались в штопор сбитые машины, то тут, то там раскрывались белые купола парашютов. Затем пилотам «Мессершмиттов» засчитали 28 воздушных побед, из них большинство — летчикам I./JG53. По три самолета сбили командир 1-й эскадрильи обер-лейтенант Фридрих-Карл Мюллер и фельдфебель Вильгельм Криниус из той же эскадрильи.</w:t>
      </w:r>
    </w:p>
    <w:p w14:paraId="1DB2CC1C" w14:textId="77777777" w:rsidR="00151541" w:rsidRPr="00722885" w:rsidRDefault="00151541" w:rsidP="00722885">
      <w:pPr>
        <w:pStyle w:val="ae"/>
        <w:spacing w:before="0" w:after="0"/>
        <w:jc w:val="both"/>
        <w:textAlignment w:val="baseline"/>
        <w:rPr>
          <w:color w:val="000000" w:themeColor="text1"/>
          <w:sz w:val="16"/>
          <w:szCs w:val="16"/>
        </w:rPr>
      </w:pPr>
      <w:r w:rsidRPr="00722885">
        <w:rPr>
          <w:color w:val="000000" w:themeColor="text1"/>
          <w:sz w:val="16"/>
          <w:szCs w:val="16"/>
        </w:rPr>
        <w:t>Советские потери действительно были тяжелыми. Так, только 686-й шап и приданные ему истребители прикрытия потеряли пятнадцать самолетов, причем среди них был и Ил-2 командира полка майора П. И. Зотова. Получив сильные ожоги лица, летчик все же сумел выпрыгнуть на парашюте и через пять суток вернулся в полк. Потери же люфтваффе составили один Bf-109G-2 из JG3 «Удет».</w:t>
      </w:r>
    </w:p>
    <w:p w14:paraId="6F4D01A5" w14:textId="77777777" w:rsidR="00151541" w:rsidRPr="00722885" w:rsidRDefault="00151541" w:rsidP="00722885">
      <w:pPr>
        <w:pStyle w:val="ae"/>
        <w:spacing w:before="0" w:after="0"/>
        <w:jc w:val="both"/>
        <w:textAlignment w:val="baseline"/>
        <w:rPr>
          <w:color w:val="000000" w:themeColor="text1"/>
          <w:sz w:val="16"/>
          <w:szCs w:val="16"/>
        </w:rPr>
      </w:pPr>
      <w:r w:rsidRPr="00722885">
        <w:rPr>
          <w:color w:val="000000" w:themeColor="text1"/>
          <w:sz w:val="16"/>
          <w:szCs w:val="16"/>
        </w:rPr>
        <w:t>Несмотря на явный провал ударов по аэродромам, вернувшиеся летчики-штурмовики отчитались о 89 якобы уничтоженных их пушечным огнем самолетах. Все это являлось «большим преувеличением», если не сказать пожестче.</w:t>
      </w:r>
    </w:p>
    <w:p w14:paraId="78450EF9" w14:textId="77777777" w:rsidR="00151541" w:rsidRPr="00722885" w:rsidRDefault="00151541" w:rsidP="00722885">
      <w:pPr>
        <w:pStyle w:val="ae"/>
        <w:spacing w:before="0" w:after="0"/>
        <w:jc w:val="both"/>
        <w:textAlignment w:val="baseline"/>
        <w:rPr>
          <w:color w:val="000000" w:themeColor="text1"/>
          <w:sz w:val="16"/>
          <w:szCs w:val="16"/>
        </w:rPr>
      </w:pPr>
      <w:r w:rsidRPr="00722885">
        <w:rPr>
          <w:color w:val="000000" w:themeColor="text1"/>
          <w:sz w:val="16"/>
          <w:szCs w:val="16"/>
        </w:rPr>
        <w:t>Надо отметить, что 8-я воздушная армия вообще отличалась склонностью к фантазированию по части своих боевых достижений. И чтобы не быть тут же обвиненными очередными рьяными горе-патриотами в очернительстве «непобедимой и легендарной», сошлемся на секретный приказ № 332309с от 20 июня 1942 г., который подписали заместитель начальника штаба ВВС Красной армии генерал-майор Кроленко, военный комиссар того же штаба бригадный комиссар Никулин и начальник оперативного управления штаба ВВС генерал-майор Журавлев.</w:t>
      </w:r>
    </w:p>
    <w:p w14:paraId="0C5C665D" w14:textId="77777777" w:rsidR="00151541" w:rsidRPr="00722885" w:rsidRDefault="00151541" w:rsidP="00722885">
      <w:pPr>
        <w:pStyle w:val="ae"/>
        <w:spacing w:before="0" w:after="0"/>
        <w:jc w:val="both"/>
        <w:textAlignment w:val="baseline"/>
        <w:rPr>
          <w:color w:val="000000" w:themeColor="text1"/>
          <w:sz w:val="16"/>
          <w:szCs w:val="16"/>
        </w:rPr>
      </w:pPr>
      <w:r w:rsidRPr="00722885">
        <w:rPr>
          <w:color w:val="000000" w:themeColor="text1"/>
          <w:sz w:val="16"/>
          <w:szCs w:val="16"/>
        </w:rPr>
        <w:t>Вот что в нем говорилось:</w:t>
      </w:r>
    </w:p>
    <w:p w14:paraId="4FCFB3A8" w14:textId="77777777" w:rsidR="00151541" w:rsidRPr="00722885" w:rsidRDefault="00151541"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«Неправдивость донесений — крупнейший недочет в работе штабов. Неправдивость же столь велика, что порой граничит с неправдоподобностью. Примером таких неправдоподобных донесений может служить такой факт. По донесениям штаба 8-й воздушной армии (Юго-Западный фронт) получилось, что частями этой армии за период с 10 по 14.06.1942 г. было повреждено и уничтожено 202 танка наступавшего противника, что составляло до 40 % от численности всех танков противника, действовавших на Харьковском направлении. Если учесть, что и наземные наши войска в это же время также уничтожали танки противника, и притом не меньше, а больше, чем уничтожала их наша авиация, то, казалось бы, что из-за больших потерь в танках, близких к 90–100 %, наступление противника должно было бы остановиться. Между тем танковое наступление противника на этом направлении 14.06 продолжалось, из чего наглядно видна неправдоподобность донесений штаба 8-й воздушной армии»[43].</w:t>
      </w:r>
    </w:p>
    <w:p w14:paraId="6E2C24DF" w14:textId="77777777" w:rsidR="00151541" w:rsidRPr="00722885" w:rsidRDefault="00151541" w:rsidP="00722885">
      <w:pPr>
        <w:pStyle w:val="ae"/>
        <w:spacing w:before="0" w:after="0"/>
        <w:jc w:val="both"/>
        <w:textAlignment w:val="baseline"/>
        <w:rPr>
          <w:color w:val="000000" w:themeColor="text1"/>
          <w:sz w:val="16"/>
          <w:szCs w:val="16"/>
        </w:rPr>
      </w:pPr>
      <w:r w:rsidRPr="00722885">
        <w:rPr>
          <w:color w:val="000000" w:themeColor="text1"/>
          <w:sz w:val="16"/>
          <w:szCs w:val="16"/>
        </w:rPr>
        <w:t>Далее в том же приказе начальникам штабов всех степеней предписывалось «организовать поступление информации точно в установленные сроки, добиваясь при этом полноты и правдивости сведений. Все случаи неправдивой информации тщательно расследовать и виновных привлекать к строгой ответственности».</w:t>
      </w:r>
    </w:p>
    <w:p w14:paraId="2E8F6DFB" w14:textId="77777777" w:rsidR="00151541" w:rsidRPr="00722885" w:rsidRDefault="00151541" w:rsidP="00722885">
      <w:pPr>
        <w:pStyle w:val="ae"/>
        <w:spacing w:before="0" w:after="0"/>
        <w:jc w:val="both"/>
        <w:textAlignment w:val="baseline"/>
        <w:rPr>
          <w:color w:val="000000" w:themeColor="text1"/>
          <w:sz w:val="16"/>
          <w:szCs w:val="16"/>
        </w:rPr>
      </w:pPr>
      <w:r w:rsidRPr="00722885">
        <w:rPr>
          <w:color w:val="000000" w:themeColor="text1"/>
          <w:sz w:val="16"/>
          <w:szCs w:val="16"/>
        </w:rPr>
        <w:t>Однако в штабе Хрюкина в приказ № 332309с, видимо, не особо вчитывались. Во всяком случае, уверовав в успех своих штурмовых ударов по вражеским аэродромам, командование 8-й воздушной армии решило повторить их на следующий день, задействовав еще большие силы. Так сказать, для закрепления достигнутых результатов (19522).</w:t>
      </w:r>
    </w:p>
    <w:p w14:paraId="4F7B1079" w14:textId="77777777" w:rsidR="00151541" w:rsidRPr="00722885" w:rsidRDefault="00151541" w:rsidP="00722885">
      <w:pPr>
        <w:pStyle w:val="ae"/>
        <w:spacing w:before="0" w:after="0"/>
        <w:jc w:val="both"/>
        <w:textAlignment w:val="baseline"/>
        <w:rPr>
          <w:color w:val="000000" w:themeColor="text1"/>
          <w:sz w:val="16"/>
          <w:szCs w:val="16"/>
        </w:rPr>
      </w:pPr>
    </w:p>
    <w:p w14:paraId="3F33C7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с целью снижения актив</w:t>
      </w:r>
      <w:r w:rsidRPr="00722885">
        <w:rPr>
          <w:color w:val="000000" w:themeColor="text1"/>
          <w:sz w:val="16"/>
          <w:szCs w:val="16"/>
        </w:rPr>
        <w:softHyphen/>
        <w:t>ности Люфтваффе "ильюшины" 8-й ВА нанесли сосредоточенные бомбоштурмовые удары по трем основным аэро</w:t>
      </w:r>
      <w:r w:rsidRPr="00722885">
        <w:rPr>
          <w:color w:val="000000" w:themeColor="text1"/>
          <w:sz w:val="16"/>
          <w:szCs w:val="16"/>
        </w:rPr>
        <w:softHyphen/>
        <w:t>дромам противника - Ольховское, Подольховское и Обливское, на которых базировалось до 180 немецких самолетов. Первый удар был нанесен на рассве</w:t>
      </w:r>
      <w:r w:rsidRPr="00722885">
        <w:rPr>
          <w:color w:val="000000" w:themeColor="text1"/>
          <w:sz w:val="16"/>
          <w:szCs w:val="16"/>
        </w:rPr>
        <w:softHyphen/>
        <w:t xml:space="preserve">те силами 13 Ил-2 226-й и 228-й </w:t>
      </w:r>
      <w:r w:rsidRPr="00722885">
        <w:rPr>
          <w:iCs/>
          <w:color w:val="000000" w:themeColor="text1"/>
          <w:sz w:val="16"/>
          <w:szCs w:val="16"/>
        </w:rPr>
        <w:t xml:space="preserve">шад </w:t>
      </w:r>
      <w:r w:rsidRPr="00722885">
        <w:rPr>
          <w:color w:val="000000" w:themeColor="text1"/>
          <w:sz w:val="16"/>
          <w:szCs w:val="16"/>
        </w:rPr>
        <w:t>под прикрытием истребителей по аэро</w:t>
      </w:r>
      <w:r w:rsidRPr="00722885">
        <w:rPr>
          <w:color w:val="000000" w:themeColor="text1"/>
          <w:sz w:val="16"/>
          <w:szCs w:val="16"/>
        </w:rPr>
        <w:softHyphen/>
        <w:t>дрому Обливское, на котором немцы сосредоточили до 100 Ju88 и Bf109. К аэродрому "ильюшины" вышли на самой малой высоте и с "горки" атако</w:t>
      </w:r>
      <w:r w:rsidRPr="00722885">
        <w:rPr>
          <w:color w:val="000000" w:themeColor="text1"/>
          <w:sz w:val="16"/>
          <w:szCs w:val="16"/>
        </w:rPr>
        <w:softHyphen/>
        <w:t>вали самолеты противника на стоянках, построенных, как на параде, в одну ли</w:t>
      </w:r>
      <w:r w:rsidRPr="00722885">
        <w:rPr>
          <w:color w:val="000000" w:themeColor="text1"/>
          <w:sz w:val="16"/>
          <w:szCs w:val="16"/>
        </w:rPr>
        <w:softHyphen/>
        <w:t>нию - промахнуться было сложно. Удар был настолько неожиданным, что немец</w:t>
      </w:r>
      <w:r w:rsidRPr="00722885">
        <w:rPr>
          <w:color w:val="000000" w:themeColor="text1"/>
          <w:sz w:val="16"/>
          <w:szCs w:val="16"/>
        </w:rPr>
        <w:softHyphen/>
        <w:t>кие зенитчики открыли огонь только пос</w:t>
      </w:r>
      <w:r w:rsidRPr="00722885">
        <w:rPr>
          <w:color w:val="000000" w:themeColor="text1"/>
          <w:sz w:val="16"/>
          <w:szCs w:val="16"/>
        </w:rPr>
        <w:softHyphen/>
        <w:t>ле первого захода "Илов", а истребите</w:t>
      </w:r>
      <w:r w:rsidRPr="00722885">
        <w:rPr>
          <w:color w:val="000000" w:themeColor="text1"/>
          <w:sz w:val="16"/>
          <w:szCs w:val="16"/>
        </w:rPr>
        <w:softHyphen/>
        <w:t>ли так и не смогли взлететь для отра</w:t>
      </w:r>
      <w:r w:rsidRPr="00722885">
        <w:rPr>
          <w:color w:val="000000" w:themeColor="text1"/>
          <w:sz w:val="16"/>
          <w:szCs w:val="16"/>
        </w:rPr>
        <w:softHyphen/>
        <w:t>жения атаки. Расстреляв боезапас, Ил-2 без потерь вернулись на свой аэродром.</w:t>
      </w:r>
    </w:p>
    <w:p w14:paraId="40690A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Несколько позже 8 Ил-2 686-го </w:t>
      </w:r>
      <w:r w:rsidRPr="00722885">
        <w:rPr>
          <w:iCs/>
          <w:color w:val="000000" w:themeColor="text1"/>
          <w:sz w:val="16"/>
          <w:szCs w:val="16"/>
        </w:rPr>
        <w:t xml:space="preserve">шап </w:t>
      </w:r>
      <w:r w:rsidRPr="00722885">
        <w:rPr>
          <w:color w:val="000000" w:themeColor="text1"/>
          <w:sz w:val="16"/>
          <w:szCs w:val="16"/>
        </w:rPr>
        <w:t xml:space="preserve">206-й </w:t>
      </w:r>
      <w:r w:rsidRPr="00722885">
        <w:rPr>
          <w:iCs/>
          <w:color w:val="000000" w:themeColor="text1"/>
          <w:sz w:val="16"/>
          <w:szCs w:val="16"/>
        </w:rPr>
        <w:t>шад</w:t>
      </w:r>
      <w:r w:rsidRPr="00722885">
        <w:rPr>
          <w:color w:val="000000" w:themeColor="text1"/>
          <w:sz w:val="16"/>
          <w:szCs w:val="16"/>
        </w:rPr>
        <w:t xml:space="preserve"> под прикрытием 12 Як-1 из 269-й </w:t>
      </w:r>
      <w:r w:rsidRPr="00722885">
        <w:rPr>
          <w:iCs/>
          <w:color w:val="000000" w:themeColor="text1"/>
          <w:sz w:val="16"/>
          <w:szCs w:val="16"/>
        </w:rPr>
        <w:t>иад</w:t>
      </w:r>
      <w:r w:rsidRPr="00722885">
        <w:rPr>
          <w:color w:val="000000" w:themeColor="text1"/>
          <w:sz w:val="16"/>
          <w:szCs w:val="16"/>
        </w:rPr>
        <w:t xml:space="preserve"> и 5 ЛаГГ-3 из 235-й </w:t>
      </w:r>
      <w:r w:rsidRPr="00722885">
        <w:rPr>
          <w:iCs/>
          <w:color w:val="000000" w:themeColor="text1"/>
          <w:sz w:val="16"/>
          <w:szCs w:val="16"/>
        </w:rPr>
        <w:t>иад</w:t>
      </w:r>
      <w:r w:rsidRPr="00722885">
        <w:rPr>
          <w:color w:val="000000" w:themeColor="text1"/>
          <w:sz w:val="16"/>
          <w:szCs w:val="16"/>
        </w:rPr>
        <w:t xml:space="preserve"> на</w:t>
      </w:r>
      <w:r w:rsidRPr="00722885">
        <w:rPr>
          <w:color w:val="000000" w:themeColor="text1"/>
          <w:sz w:val="16"/>
          <w:szCs w:val="16"/>
        </w:rPr>
        <w:softHyphen/>
        <w:t>несли бомбоштурмовые удары по аэро</w:t>
      </w:r>
      <w:r w:rsidRPr="00722885">
        <w:rPr>
          <w:color w:val="000000" w:themeColor="text1"/>
          <w:sz w:val="16"/>
          <w:szCs w:val="16"/>
        </w:rPr>
        <w:softHyphen/>
        <w:t>дромам Ольховский и Подольховский. Этот удар закончился для советских летчиков трагически. Противник был начеку - Ил-2 были встречены плотным зенитным огнем. Пробившись через сте</w:t>
      </w:r>
      <w:r w:rsidRPr="00722885">
        <w:rPr>
          <w:color w:val="000000" w:themeColor="text1"/>
          <w:sz w:val="16"/>
          <w:szCs w:val="16"/>
        </w:rPr>
        <w:softHyphen/>
        <w:t>ну огня, "ильюшины" ударили по стоян</w:t>
      </w:r>
      <w:r w:rsidRPr="00722885">
        <w:rPr>
          <w:color w:val="000000" w:themeColor="text1"/>
          <w:sz w:val="16"/>
          <w:szCs w:val="16"/>
        </w:rPr>
        <w:softHyphen/>
        <w:t>кам немецких самолетов. На втором за</w:t>
      </w:r>
      <w:r w:rsidRPr="00722885">
        <w:rPr>
          <w:color w:val="000000" w:themeColor="text1"/>
          <w:sz w:val="16"/>
          <w:szCs w:val="16"/>
        </w:rPr>
        <w:softHyphen/>
        <w:t>ходе "Илы" были атакованы 30 (!) Вт109, однако последних связали боем истре</w:t>
      </w:r>
      <w:r w:rsidRPr="00722885">
        <w:rPr>
          <w:color w:val="000000" w:themeColor="text1"/>
          <w:sz w:val="16"/>
          <w:szCs w:val="16"/>
        </w:rPr>
        <w:softHyphen/>
        <w:t>бители прикрытия, что дало возможность штурмовикам спокойно отработать над целью.</w:t>
      </w:r>
    </w:p>
    <w:p w14:paraId="18D51C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 отходе от цели "мессершмиттам" все же удалось прорваться к Ил-2. В первой же атаке был сбит ведущий груп</w:t>
      </w:r>
      <w:r w:rsidRPr="00722885">
        <w:rPr>
          <w:color w:val="000000" w:themeColor="text1"/>
          <w:sz w:val="16"/>
          <w:szCs w:val="16"/>
        </w:rPr>
        <w:softHyphen/>
        <w:t>пы командир полка м-р П.И.Зотов (че</w:t>
      </w:r>
      <w:r w:rsidRPr="00722885">
        <w:rPr>
          <w:color w:val="000000" w:themeColor="text1"/>
          <w:sz w:val="16"/>
          <w:szCs w:val="16"/>
        </w:rPr>
        <w:softHyphen/>
        <w:t>рез 5 суток с обожженным лицом ком</w:t>
      </w:r>
      <w:r w:rsidRPr="00722885">
        <w:rPr>
          <w:color w:val="000000" w:themeColor="text1"/>
          <w:sz w:val="16"/>
          <w:szCs w:val="16"/>
        </w:rPr>
        <w:softHyphen/>
        <w:t>полка вернулся в родной полк). В завя</w:t>
      </w:r>
      <w:r w:rsidRPr="00722885">
        <w:rPr>
          <w:color w:val="000000" w:themeColor="text1"/>
          <w:sz w:val="16"/>
          <w:szCs w:val="16"/>
        </w:rPr>
        <w:softHyphen/>
        <w:t>завшемся воздушном бою мл.л-т И. И. Кисельков, применяя маневр "нож</w:t>
      </w:r>
      <w:r w:rsidRPr="00722885">
        <w:rPr>
          <w:color w:val="000000" w:themeColor="text1"/>
          <w:sz w:val="16"/>
          <w:szCs w:val="16"/>
        </w:rPr>
        <w:softHyphen/>
        <w:t>ницы", сбил 2 Bf109, однако от пулеметно-пушечной очереди в упор его Ил-2 получил повреждения. Кисельков был ранен в голову, но все-таки сумел дотя</w:t>
      </w:r>
      <w:r w:rsidRPr="00722885">
        <w:rPr>
          <w:color w:val="000000" w:themeColor="text1"/>
          <w:sz w:val="16"/>
          <w:szCs w:val="16"/>
        </w:rPr>
        <w:softHyphen/>
        <w:t>нуть до своей территории и посадить самолет на фюзеляж в районе сх. Буденный. После пяти попаданий снаря</w:t>
      </w:r>
      <w:r w:rsidRPr="00722885">
        <w:rPr>
          <w:color w:val="000000" w:themeColor="text1"/>
          <w:sz w:val="16"/>
          <w:szCs w:val="16"/>
        </w:rPr>
        <w:softHyphen/>
        <w:t>дов потерял управление Ил-2 команди</w:t>
      </w:r>
      <w:r w:rsidRPr="00722885">
        <w:rPr>
          <w:color w:val="000000" w:themeColor="text1"/>
          <w:sz w:val="16"/>
          <w:szCs w:val="16"/>
        </w:rPr>
        <w:softHyphen/>
        <w:t>ра звена л-та М.С.Небольсина, который совершил вынужденную посадку на сво</w:t>
      </w:r>
      <w:r w:rsidRPr="00722885">
        <w:rPr>
          <w:color w:val="000000" w:themeColor="text1"/>
          <w:sz w:val="16"/>
          <w:szCs w:val="16"/>
        </w:rPr>
        <w:softHyphen/>
        <w:t>ей территории в районе н.п. Подстепное (прибыл в полк на третьи сутки). Был подбит и сел на вынужденную замести</w:t>
      </w:r>
      <w:r w:rsidRPr="00722885">
        <w:rPr>
          <w:color w:val="000000" w:themeColor="text1"/>
          <w:sz w:val="16"/>
          <w:szCs w:val="16"/>
        </w:rPr>
        <w:softHyphen/>
        <w:t>тель командира эскадрильи ст.л-т Я.Н. Топорков (вернулся в полк на вторые сутки). В неравном воздушном бою с истребителями Люфтваффе геройски погибли командир эскадрильи к-н П.Е. Батрак, с-т В.А.Мухин, с-т С.К.Смоляков.</w:t>
      </w:r>
    </w:p>
    <w:p w14:paraId="42C3D9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Таким образом, 686-му полку удалось выполнить поставленную боевую зада</w:t>
      </w:r>
      <w:r w:rsidRPr="00722885">
        <w:rPr>
          <w:color w:val="000000" w:themeColor="text1"/>
          <w:sz w:val="16"/>
          <w:szCs w:val="16"/>
        </w:rPr>
        <w:softHyphen/>
        <w:t>чу ценой потери 8 Ил-2 и трех летчи</w:t>
      </w:r>
      <w:r w:rsidRPr="00722885">
        <w:rPr>
          <w:color w:val="000000" w:themeColor="text1"/>
          <w:sz w:val="16"/>
          <w:szCs w:val="16"/>
        </w:rPr>
        <w:softHyphen/>
        <w:t>ков. Воздушный бой истребителей при</w:t>
      </w:r>
      <w:r w:rsidRPr="00722885">
        <w:rPr>
          <w:color w:val="000000" w:themeColor="text1"/>
          <w:sz w:val="16"/>
          <w:szCs w:val="16"/>
        </w:rPr>
        <w:softHyphen/>
        <w:t>крытия с "мессерами" закончился в пользу пилотов Люфтваффе - 7:3. На счет штурмовиков были записаны 2 Bf109, сбитых мл.лейтенантом Кисельновым.</w:t>
      </w:r>
    </w:p>
    <w:p w14:paraId="6E87C3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По данным агентурной разведки и докладам экипажей в результате бомбоштурмовых ударов Ил-2 8-й ВА по аэродромам противника было уничтоже</w:t>
      </w:r>
      <w:r w:rsidRPr="00722885">
        <w:rPr>
          <w:color w:val="000000" w:themeColor="text1"/>
          <w:sz w:val="16"/>
          <w:szCs w:val="16"/>
        </w:rPr>
        <w:softHyphen/>
        <w:t>но и выведено из строя 89 самолетов Люфтваффе.</w:t>
      </w:r>
    </w:p>
    <w:p w14:paraId="6976F9C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самом деле, как показывают оцен</w:t>
      </w:r>
      <w:r w:rsidRPr="00722885">
        <w:rPr>
          <w:color w:val="000000" w:themeColor="text1"/>
          <w:sz w:val="16"/>
          <w:szCs w:val="16"/>
        </w:rPr>
        <w:softHyphen/>
        <w:t>ки, основанные на результатах полигон</w:t>
      </w:r>
      <w:r w:rsidRPr="00722885">
        <w:rPr>
          <w:color w:val="000000" w:themeColor="text1"/>
          <w:sz w:val="16"/>
          <w:szCs w:val="16"/>
        </w:rPr>
        <w:softHyphen/>
        <w:t>ных испытаний и анализа опыта боево</w:t>
      </w:r>
      <w:r w:rsidRPr="00722885">
        <w:rPr>
          <w:color w:val="000000" w:themeColor="text1"/>
          <w:sz w:val="16"/>
          <w:szCs w:val="16"/>
        </w:rPr>
        <w:softHyphen/>
        <w:t xml:space="preserve">го применения Ил-2, экипажи 226-й и 228-й </w:t>
      </w:r>
      <w:r w:rsidRPr="00722885">
        <w:rPr>
          <w:iCs/>
          <w:color w:val="000000" w:themeColor="text1"/>
          <w:sz w:val="16"/>
          <w:szCs w:val="16"/>
        </w:rPr>
        <w:t>шад</w:t>
      </w:r>
      <w:r w:rsidRPr="00722885">
        <w:rPr>
          <w:color w:val="000000" w:themeColor="text1"/>
          <w:sz w:val="16"/>
          <w:szCs w:val="16"/>
        </w:rPr>
        <w:t xml:space="preserve"> могли уничтожить и повре</w:t>
      </w:r>
      <w:r w:rsidRPr="00722885">
        <w:rPr>
          <w:color w:val="000000" w:themeColor="text1"/>
          <w:sz w:val="16"/>
          <w:szCs w:val="16"/>
        </w:rPr>
        <w:softHyphen/>
        <w:t>дить на всех трех аэродромах не более 20 самолетов противника (6467).</w:t>
      </w:r>
    </w:p>
    <w:p w14:paraId="14586584" w14:textId="77777777" w:rsidR="00AE7191" w:rsidRPr="00722885" w:rsidRDefault="00AE7191" w:rsidP="00722885">
      <w:pPr>
        <w:pStyle w:val="Iauiue"/>
        <w:jc w:val="both"/>
        <w:rPr>
          <w:color w:val="000000" w:themeColor="text1"/>
          <w:sz w:val="16"/>
          <w:szCs w:val="16"/>
        </w:rPr>
      </w:pPr>
    </w:p>
    <w:p w14:paraId="2948B3D3" w14:textId="77777777" w:rsidR="00AE3C43" w:rsidRPr="00722885" w:rsidRDefault="00AE3C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августа 1942 в 4.30 штурмовики из 206</w:t>
      </w:r>
      <w:r w:rsidRPr="00722885">
        <w:rPr>
          <w:rFonts w:ascii="Times New Roman" w:hAnsi="Times New Roman"/>
          <w:color w:val="0070C0"/>
          <w:sz w:val="16"/>
          <w:szCs w:val="16"/>
        </w:rPr>
        <w:noBreakHyphen/>
        <w:t>й, 226</w:t>
      </w:r>
      <w:r w:rsidRPr="00722885">
        <w:rPr>
          <w:rFonts w:ascii="Times New Roman" w:hAnsi="Times New Roman"/>
          <w:color w:val="0070C0"/>
          <w:sz w:val="16"/>
          <w:szCs w:val="16"/>
        </w:rPr>
        <w:noBreakHyphen/>
        <w:t>й и 228</w:t>
      </w:r>
      <w:r w:rsidRPr="00722885">
        <w:rPr>
          <w:rFonts w:ascii="Times New Roman" w:hAnsi="Times New Roman"/>
          <w:color w:val="0070C0"/>
          <w:sz w:val="16"/>
          <w:szCs w:val="16"/>
        </w:rPr>
        <w:noBreakHyphen/>
        <w:t>й шад попытались нанести удары одновременно по трем немецким аэродромам. Первая атакующая группа насчитывала восемь Ил</w:t>
      </w:r>
      <w:r w:rsidRPr="00722885">
        <w:rPr>
          <w:rFonts w:ascii="Times New Roman" w:hAnsi="Times New Roman"/>
          <w:color w:val="0070C0"/>
          <w:sz w:val="16"/>
          <w:szCs w:val="16"/>
        </w:rPr>
        <w:noBreakHyphen/>
        <w:t>2, которых прикрывали семнадцать Як</w:t>
      </w:r>
      <w:r w:rsidRPr="00722885">
        <w:rPr>
          <w:rFonts w:ascii="Times New Roman" w:hAnsi="Times New Roman"/>
          <w:color w:val="0070C0"/>
          <w:sz w:val="16"/>
          <w:szCs w:val="16"/>
        </w:rPr>
        <w:noBreakHyphen/>
        <w:t>1 и ЛаГГ</w:t>
      </w:r>
      <w:r w:rsidRPr="00722885">
        <w:rPr>
          <w:rFonts w:ascii="Times New Roman" w:hAnsi="Times New Roman"/>
          <w:color w:val="0070C0"/>
          <w:sz w:val="16"/>
          <w:szCs w:val="16"/>
        </w:rPr>
        <w:noBreakHyphen/>
        <w:t>3, вторая – тринадцать штурмовиков и двадцать пять истребителей сопровождения. Однако, несмотря на раннее время, достичь внезапности не удалось.</w:t>
      </w:r>
    </w:p>
    <w:p w14:paraId="65275F1F" w14:textId="77777777" w:rsidR="00AE3C43" w:rsidRPr="00722885" w:rsidRDefault="00AE3C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Часть «Мессершмиттов» уже находилась в воздухе, и, увидев приближающиеся самолеты, пилоты люфтваффе немедленно атаковали их. Тем временем начали взлетать и другие истребители. В результате русским удалось атаковать только аэродром Обливская. На подступах же к Тусову «горбатые» нарушили боевой порядок, стали разворачиваться и уходить, лишь несколько бомб упало рядом с аэродромом.</w:t>
      </w:r>
    </w:p>
    <w:p w14:paraId="32790E51" w14:textId="77777777" w:rsidR="00AE3C43" w:rsidRPr="00722885" w:rsidRDefault="00AE3C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Вскоре начался большой воздушный бой, растянувшийся на десятки километров над степью. В свете восходящего солнца то и дело пролетали горящие обломки самолетов, срывались в штопор сбитые машины, то тут, то там раскрывались белые купола парашютов. Затем пилотам «Мессершмиттов» засчитали 28 воздушных побед, из них большинство – летчикам I./JG53. По три самолета сбили командир 1</w:t>
      </w:r>
      <w:r w:rsidRPr="00722885">
        <w:rPr>
          <w:rFonts w:ascii="Times New Roman" w:hAnsi="Times New Roman"/>
          <w:color w:val="0070C0"/>
          <w:sz w:val="16"/>
          <w:szCs w:val="16"/>
        </w:rPr>
        <w:noBreakHyphen/>
        <w:t>й эскадрильи обер</w:t>
      </w:r>
      <w:r w:rsidRPr="00722885">
        <w:rPr>
          <w:rFonts w:ascii="Times New Roman" w:hAnsi="Times New Roman"/>
          <w:color w:val="0070C0"/>
          <w:sz w:val="16"/>
          <w:szCs w:val="16"/>
        </w:rPr>
        <w:noBreakHyphen/>
        <w:t>лейтенант Фридрих</w:t>
      </w:r>
      <w:r w:rsidRPr="00722885">
        <w:rPr>
          <w:rFonts w:ascii="Times New Roman" w:hAnsi="Times New Roman"/>
          <w:color w:val="0070C0"/>
          <w:sz w:val="16"/>
          <w:szCs w:val="16"/>
        </w:rPr>
        <w:noBreakHyphen/>
        <w:t>Карл Мюллер и фельдфебель Вильгельм Криниус из той же эскадрильи.</w:t>
      </w:r>
    </w:p>
    <w:p w14:paraId="6926FC09" w14:textId="77777777" w:rsidR="00AE3C43" w:rsidRPr="00722885" w:rsidRDefault="00AE3C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Советские потери действительно были тяжелыми. Так, только 686</w:t>
      </w:r>
      <w:r w:rsidRPr="00722885">
        <w:rPr>
          <w:rFonts w:ascii="Times New Roman" w:hAnsi="Times New Roman"/>
          <w:color w:val="0070C0"/>
          <w:sz w:val="16"/>
          <w:szCs w:val="16"/>
        </w:rPr>
        <w:noBreakHyphen/>
        <w:t>й шап и приданные ему истребители прикрытия потеряли пятнадцать самолетов, причем среди них был и Ил</w:t>
      </w:r>
      <w:r w:rsidRPr="00722885">
        <w:rPr>
          <w:rFonts w:ascii="Times New Roman" w:hAnsi="Times New Roman"/>
          <w:color w:val="0070C0"/>
          <w:sz w:val="16"/>
          <w:szCs w:val="16"/>
        </w:rPr>
        <w:noBreakHyphen/>
        <w:t>2 командира полка майора П.И. Зотова. Получив сильные ожоги лица, летчик все же сумел выпрыгнуть на парашюте и через пять суток вернулся в полк. Потери же люфтваффе составили один Bf</w:t>
      </w:r>
      <w:r w:rsidRPr="00722885">
        <w:rPr>
          <w:rFonts w:ascii="Times New Roman" w:hAnsi="Times New Roman"/>
          <w:color w:val="0070C0"/>
          <w:sz w:val="16"/>
          <w:szCs w:val="16"/>
        </w:rPr>
        <w:noBreakHyphen/>
        <w:t>109G</w:t>
      </w:r>
      <w:r w:rsidRPr="00722885">
        <w:rPr>
          <w:rFonts w:ascii="Times New Roman" w:hAnsi="Times New Roman"/>
          <w:color w:val="0070C0"/>
          <w:sz w:val="16"/>
          <w:szCs w:val="16"/>
        </w:rPr>
        <w:noBreakHyphen/>
        <w:t>2 из JG3 «Удет».</w:t>
      </w:r>
    </w:p>
    <w:p w14:paraId="179FD178" w14:textId="77777777" w:rsidR="00AE3C43" w:rsidRPr="00722885" w:rsidRDefault="00AE3C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Несмотря на явный провал ударов по аэродромам, вернувшиеся летчики</w:t>
      </w:r>
      <w:r w:rsidRPr="00722885">
        <w:rPr>
          <w:rFonts w:ascii="Times New Roman" w:hAnsi="Times New Roman"/>
          <w:color w:val="0070C0"/>
          <w:sz w:val="16"/>
          <w:szCs w:val="16"/>
        </w:rPr>
        <w:noBreakHyphen/>
        <w:t>штурмовики отчитались о 89 якобы уничтоженных их пушечным огнем самолетах. Все это являлось «большим преувеличением», если не сказать пожестче (23199).</w:t>
      </w:r>
    </w:p>
    <w:p w14:paraId="6933A728" w14:textId="77777777" w:rsidR="00AE3C43" w:rsidRPr="00722885" w:rsidRDefault="00AE3C43" w:rsidP="00722885">
      <w:pPr>
        <w:spacing w:after="0" w:line="240" w:lineRule="auto"/>
        <w:jc w:val="both"/>
        <w:rPr>
          <w:rFonts w:ascii="Times New Roman" w:hAnsi="Times New Roman"/>
          <w:color w:val="0070C0"/>
          <w:sz w:val="16"/>
          <w:szCs w:val="16"/>
        </w:rPr>
      </w:pPr>
    </w:p>
    <w:p w14:paraId="1E3B2A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Ил-2 8-й ВА штурмовали аэродромы противника - в районах Ольховское, Подольховское и Обливское.</w:t>
      </w:r>
    </w:p>
    <w:p w14:paraId="5EE7EC5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удар был нанесен на рассвете в 4.00 силами 13 Ил-2 от 226-й и 228-й шад под прикрытием 2 Як-1 от 220-й иад по аэродрому Обливское, на котором немцы сосредоточили 126 боевых самолетов.</w:t>
      </w:r>
    </w:p>
    <w:p w14:paraId="0262F58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Штурмовики вышли к аэродрому на самой малой высоте и с горки атаковали самолеты на стоянках. Немецкие зенитчики открыли огонь только после первого захода Ил-2, а истребители так и не смогли взлететь для отражения атаки. Расстреляв боезапас, Ил-2 без потерь вернулись на свой аэродром.</w:t>
      </w:r>
    </w:p>
    <w:p w14:paraId="2972757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Несколько позже 8 Ил-2 от 686-го шап 206-й шад под прикрытием 12 Як-1 от 269-й иад и 5 ЛаГГ-3 от 235-й иад нанесли удары по аэродромам Ольховский и Подоль- ховский.</w:t>
      </w:r>
    </w:p>
    <w:p w14:paraId="27122B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боевой вылет закончился для советских летчиков трагически. Противник был начеку - Ил-2 были встречены плотным зенитным огнем. Пробившись сквозь стену огня, штурмовики ударили по стоянкам самолетов. На втором заходе, Ил-2 были атакованы 30 (!) Bf 109, однако их связали боем истребители прикрытия, что дало возможность штурмовикам спокойно отработать над целью.</w:t>
      </w:r>
    </w:p>
    <w:p w14:paraId="7F2578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отходе от аэродрома "мессерам" все же удалось прорваться к Ил-2. В первой же атаке был сбит ведущий группы командир полка майор Зотов (через 5 суток с обожженным лицом комполка вернулся в полк). В завязавшемся воздушном бою мл. лейтенант Кисельков, применяя маневр ножницы, сбил 2 Bf 109, однако от пулеметно-пушеч- ной очереди в упор его Ил-2 получил повреждения. Несмотря на серьезное ранение в голову, Кисельков все-таки сумел дотянуть до своей территории и посадить самолет на фюзеляж в районе свх. Буденный. После пяти попаданий снарядов потерял управление Ил-2 командира звена лейтенанта Небольсина, который совершил вынужденную посадку на своей территории в районе Подстепное. Был подбит и сел на вынужденную посадку заместитель командира эскадрильи ст. лейтенант Топорков. В неравном воздушном бою с истребителями Люфтваффе геройски погибли командир эскадрильи капитан Батрак и сержанты Мухин и Смоляков.</w:t>
      </w:r>
    </w:p>
    <w:p w14:paraId="5B98740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Воздушный бой истребителей прикрытия с "мессерами" закончился в пользу пилотов Люфтваффе - 7:3.</w:t>
      </w:r>
    </w:p>
    <w:p w14:paraId="02A8918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Опираясь на данные агентурной разведки и доклады экипажей, штаб 8-й ВА доложил, что в результате налетов на аэродромы противника было уничтожено и выведено из строя 89 самолетов Люфтваффе.</w:t>
      </w:r>
    </w:p>
    <w:p w14:paraId="17E4B9F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самом деле, как показывают оценки, основанные на результатах полигонных испытаний и анализа опыта боевого применения Ил-2 на фронте, экипажи штурмовиков могли уничтожить и повредить на всех трех аэродромах не более 20-25 самолетов.</w:t>
      </w:r>
    </w:p>
    <w:p w14:paraId="3CBF4094" w14:textId="77777777" w:rsidR="00AE7191" w:rsidRPr="00722885" w:rsidRDefault="00AE7191" w:rsidP="00722885">
      <w:pPr>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 xml:space="preserve">Попавший в плен 14 августа унтер-офицер Р.Хольцер из 16-й разведгруппы 3-го разведотряда, находившийся на аэродроме около Обливское в момент удара советских штурмовиков 12 августа, на допросе показал: "Налет был настолько внезапен, что ни один из наших истребителей не успел подняться в воздух, а зенитчики опоздали с открытием огня. В результате корпус понес значительные потери. Только в нашей группе из 27 самолетов 16 было уничтожено. Точные цифры о потерях других групп мне неизвестны, но они несколько меньше наших, так как основной удар пришелся по нашему участку. Немедленно по окончанию атаки был отдан приказ подготовиться к вылету. Начальники всех групп были вызваны к командованию, и через некоторое время все самолеты, кроме оставшихся у нас 11 машин, улетели... Настроение летного состава нашего подразделения, бодрое в первые дни после нашего прибытия на фронт, резко снизилось после 12 августа - дня налета русских самолетов. Во-первых, большинство экипажей остались без машин... Во-вторых, всем стало ясно, что война в России - это отнюдь не прогулка, и потери несут не только наземные части, но и воздушные..." </w:t>
      </w:r>
      <w:r w:rsidRPr="00722885">
        <w:rPr>
          <w:rFonts w:ascii="Times New Roman" w:hAnsi="Times New Roman"/>
          <w:color w:val="000000" w:themeColor="text1"/>
          <w:sz w:val="16"/>
          <w:szCs w:val="16"/>
          <w:lang w:val="en-US"/>
        </w:rPr>
        <w:t>(12020).</w:t>
      </w:r>
    </w:p>
    <w:p w14:paraId="101D4450" w14:textId="77777777" w:rsidR="00AE7191" w:rsidRPr="00722885" w:rsidRDefault="00AE7191" w:rsidP="00722885">
      <w:pPr>
        <w:spacing w:after="0" w:line="240" w:lineRule="auto"/>
        <w:jc w:val="both"/>
        <w:rPr>
          <w:rFonts w:ascii="Times New Roman" w:hAnsi="Times New Roman"/>
          <w:color w:val="000000" w:themeColor="text1"/>
          <w:sz w:val="16"/>
          <w:szCs w:val="16"/>
          <w:lang w:val="en-US"/>
        </w:rPr>
      </w:pPr>
    </w:p>
    <w:p w14:paraId="4DD25CAC"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12, 1942: In their advance south toward the Grozny oilfields, units of Heeresgruppe A (List) capture Elista near the Caspian Sea (3819).</w:t>
      </w:r>
    </w:p>
    <w:p w14:paraId="1A3A0163" w14:textId="77777777" w:rsidR="00AE7191" w:rsidRPr="00722885" w:rsidRDefault="00AE7191" w:rsidP="00722885">
      <w:pPr>
        <w:pStyle w:val="Iauiue"/>
        <w:jc w:val="both"/>
        <w:rPr>
          <w:color w:val="000000" w:themeColor="text1"/>
          <w:sz w:val="16"/>
          <w:szCs w:val="16"/>
          <w:lang w:val="en-US"/>
        </w:rPr>
      </w:pPr>
    </w:p>
    <w:p w14:paraId="3E53F0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в ходе наступления на нефтепромыслы Грозного Группа А захватила Элисту (3819).</w:t>
      </w:r>
    </w:p>
    <w:p w14:paraId="35461D02" w14:textId="77777777" w:rsidR="00AE7191" w:rsidRPr="00722885" w:rsidRDefault="00AE7191" w:rsidP="00722885">
      <w:pPr>
        <w:pStyle w:val="Iauiue"/>
        <w:jc w:val="both"/>
        <w:rPr>
          <w:color w:val="000000" w:themeColor="text1"/>
          <w:sz w:val="16"/>
          <w:szCs w:val="16"/>
        </w:rPr>
      </w:pPr>
    </w:p>
    <w:p w14:paraId="5DD393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в Сталинград прибыл Г.М.М. от ЦК и А.М.Василевский от Ставки. От авиации был сам А.А.Новиков (340,93).</w:t>
      </w:r>
    </w:p>
    <w:p w14:paraId="18D2EF97" w14:textId="77777777" w:rsidR="00AE7191" w:rsidRPr="00722885" w:rsidRDefault="00AE7191" w:rsidP="00722885">
      <w:pPr>
        <w:pStyle w:val="Iauiue"/>
        <w:jc w:val="both"/>
        <w:rPr>
          <w:color w:val="000000" w:themeColor="text1"/>
          <w:sz w:val="16"/>
          <w:szCs w:val="16"/>
        </w:rPr>
      </w:pPr>
    </w:p>
    <w:p w14:paraId="6F3E298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1942 мотопехота при поддержке легких танков захватила г. Элисту и продолжила продвижение на восток к Улан-Эрге. До Астрахани оставалось 280 км. Над самым южным поволжским городом нависала серьезная угроза. На подступах к Астрахани началось лихорадочное возведение оборонительных сооружений. На западном берегу Волги широкой полосой создавались, вернее, воссоздавались, два обвода: внешний и внутренний. Правый фланг оборонительного обвода севернее Астрахани пересекал с запада на восток Волгу и упирался в железную дорогу южнее села Сеитовка; левый фланг юго-западнее Астрахани упирался в правый берег Волги ниже населенного пункта Оранжерейный. Они должно были прикрыть город и дельту Волги от прорыва бронемашин и пехоты противника, как со стороны Сталинграда по дороге Красноармейск – Черный Яр – Енотаевск – Кануково, так и со стороны Элисты по дороге Улан-Эрге – Яшкуль – Хулхута – Красный Худуки – Николаевка. В эти дни севернее в Сталинграде нарастал кризис. Никто не знал, где именно находится фронт, но все понимали – немцы подходят к городу. Налеты авиации происходили уже каждый день и каждую ночь. Среди кварталов и промышленных зон появлялись все новые разрушенные здания, на улицах зияли воронки, россыпью лежало битое стекло. Усиливалась паника. Все чаще стал выходить из строя водопровод, целые кварталы и районы сутками оставались без воды. Система распределения продуктов практически перестала нормально функционировать. Очереди в магазинах все чаще перерастали в драки и побоища с убитыми и ранеными, работа городских рынков также стала невозможной. Тысячи сталинградцев бросали работу и отсиживались дома, охраняя свое имущество. Другие пытались разными способами переправиться на восточный берег Волги или бежать на север к Камышину (11774).</w:t>
      </w:r>
    </w:p>
    <w:p w14:paraId="3ECB15C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0102E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г. вышел ПРИКАЗ НКО № 244 О ВЫДАЧЕ НЕКУРЯЩИМ ЖЕНЩИНАМ ШОКОЛАДА ИЛИ КОНФЕТ ВЗАМЕН ТАБАЧНОГО ДОВОЛЬСТВИЯ</w:t>
      </w:r>
    </w:p>
    <w:p w14:paraId="57D55E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соответствии с Постановлением Государственного Комитета Обороны от 6 августа 1942 г. установить с 16 августа 1942 г. выдачу некурящим женщинам, призванным в действующую армию и получающим продовольственные пайки по нормам № 1 и 2 приказа НКО 1941 г. № 312*, взамен табачного довольствия по 200 граммов шоколада или 300 граммов конфет в месяц.</w:t>
      </w:r>
    </w:p>
    <w:p w14:paraId="2F846DAF"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Заместитель Народного комиссара обороны СССР генерал-лейтенант интендантской службы А. ХРУЛЕВ </w:t>
      </w:r>
      <w:r w:rsidRPr="00722885">
        <w:rPr>
          <w:color w:val="000000" w:themeColor="text1"/>
          <w:sz w:val="16"/>
          <w:szCs w:val="16"/>
        </w:rPr>
        <w:t>(9844).</w:t>
      </w:r>
    </w:p>
    <w:p w14:paraId="0670AF30" w14:textId="77777777" w:rsidR="00AE7191" w:rsidRPr="00722885" w:rsidRDefault="00AE7191" w:rsidP="00722885">
      <w:pPr>
        <w:pStyle w:val="Iauiue"/>
        <w:jc w:val="both"/>
        <w:rPr>
          <w:color w:val="000000" w:themeColor="text1"/>
          <w:sz w:val="16"/>
          <w:szCs w:val="16"/>
        </w:rPr>
      </w:pPr>
    </w:p>
    <w:p w14:paraId="2BFD8B65"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38D97C0E" w14:textId="77777777" w:rsidR="00AE7191" w:rsidRPr="00722885" w:rsidRDefault="00AE7191" w:rsidP="00722885">
      <w:pPr>
        <w:pStyle w:val="Iauiue"/>
        <w:jc w:val="both"/>
        <w:rPr>
          <w:iCs/>
          <w:color w:val="000000" w:themeColor="text1"/>
          <w:sz w:val="16"/>
          <w:szCs w:val="16"/>
        </w:rPr>
      </w:pPr>
    </w:p>
    <w:p w14:paraId="0A79012D" w14:textId="77777777" w:rsidR="00031901" w:rsidRPr="00722885" w:rsidRDefault="0003190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в 1942 году в Москве проходит конференция с участием Гарримана (США), Черчилля (Великобритания) и Сталина (до 15 августа). Западные союзники заявили, что второй фронт не будет открыт в 1942 (14981).</w:t>
      </w:r>
    </w:p>
    <w:p w14:paraId="5F2ED7E3" w14:textId="77777777" w:rsidR="00031901" w:rsidRPr="00722885" w:rsidRDefault="00031901" w:rsidP="00722885">
      <w:pPr>
        <w:spacing w:after="0" w:line="240" w:lineRule="auto"/>
        <w:jc w:val="both"/>
        <w:rPr>
          <w:rFonts w:ascii="Times New Roman" w:hAnsi="Times New Roman"/>
          <w:color w:val="000000" w:themeColor="text1"/>
          <w:sz w:val="16"/>
          <w:szCs w:val="16"/>
        </w:rPr>
      </w:pPr>
    </w:p>
    <w:p w14:paraId="231D16AE"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12 августа 1942 в Москве состоялась встреча И. Сталина и У. Черчилля (4962).</w:t>
      </w:r>
    </w:p>
    <w:p w14:paraId="2DFBC450" w14:textId="77777777" w:rsidR="00AE7191" w:rsidRPr="00722885" w:rsidRDefault="00AE7191" w:rsidP="00722885">
      <w:pPr>
        <w:pStyle w:val="Iauiue"/>
        <w:tabs>
          <w:tab w:val="left" w:pos="11199"/>
        </w:tabs>
        <w:jc w:val="both"/>
        <w:rPr>
          <w:color w:val="000000" w:themeColor="text1"/>
          <w:sz w:val="16"/>
          <w:szCs w:val="16"/>
        </w:rPr>
      </w:pPr>
    </w:p>
    <w:p w14:paraId="2EA706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12-16 августа 1942 Черчилль провел со Сталиным. Переговоры не сняли принципиальных требований Сталина, но, как и надеялся Черчилль, установили личный </w:t>
      </w:r>
      <w:r w:rsidRPr="00722885">
        <w:rPr>
          <w:color w:val="000000" w:themeColor="text1"/>
          <w:sz w:val="16"/>
          <w:szCs w:val="16"/>
        </w:rPr>
        <w:lastRenderedPageBreak/>
        <w:t>контакт и ослабили взаимную подозрительность. Вместе с тем Сталин укрепился в мысли, что союзники ждут, пока Германия будет измотана в борьбе с Советским Союзом, чтобы затем вступить в войну на европейском континенте на последнем этапе.</w:t>
      </w:r>
    </w:p>
    <w:p w14:paraId="58A7D9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Черчилль пообещал второй фронт в 1943 г. и разрушительные бомбардировки Германии уже в 1942 г. Сталин оживился и, как доносил Рузвельту присутствовавший на встрече Гарриман, "скоро они вдвоем уничтожили почти все крупные промышленные центры Германии". Черчилль перешел к планируемой экспедиции в Северной Африке, которая, по его словам, должна была представлять серьезную угрозу Германии. Вся Северная Африка должна была оказаться под британско-американским контролем к концу 1942 г., что в сочетании с высадкой во Франции в 1943 г. обещало нанести тяжелый удар по рейху. Британский премьер назвал Северную Африку мягким подбрюшьем гитлеровской Европы. Черчилль заявил, что Великобритания, самостоятельно или вместе с США, может послать военно-воздушные силы на южную оконечность советско-германского фронта. Сталин принял разъяснения Черчилля с воодушевлением.</w:t>
      </w:r>
    </w:p>
    <w:p w14:paraId="3A5402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Однако на другой день Сталин, следуя своей излюбленной тактике контрастных переговоров, когда он сбивал с толку партнеров, переходя от любезностей к оскорблениям, резко атаковал союзников за отказ открыть второй фронт немедленно. Сталин отказался рассматривать высадку в Северной Африке как открытие второго фронта. Сталин не замедлил также посетовать на то, что поставки из США и Великобритании зачастую бывали сорваны, и СССР так и не получил того, в чем так нуждался и что ему было обещано. Черчилль отвечал, что никто не гарантировал Сталину доставку грузов, гарантировалось лишь их поступление в британские порты. Северные конвои, циркулировавшие между Великобританией и СССР, подвергались жестоким атакам германских подлодок и авиации; из последнего, 17-го, конвоя, напомнил Черчилль, только треть кораблей дошла до советских берегов. Сталин этого объяснения не принял и намекнул, что союзники, вероятно, недостаточно ценят значимость советских военных усилий и слишком боятся потерь.</w:t>
      </w:r>
    </w:p>
    <w:p w14:paraId="43DE7D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Тем не менее встреча закончилась на дружественной ноте. Разговор зашел о необходимости встречи Рузвельта и Сталина или всей Большой Тройки. Однако ни к какому окончательному решению Сталин и Черчилль не пришли.</w:t>
      </w:r>
    </w:p>
    <w:p w14:paraId="4982FD69" w14:textId="77777777" w:rsidR="00AE7191" w:rsidRPr="00722885" w:rsidRDefault="00AE7191" w:rsidP="00722885">
      <w:pPr>
        <w:pStyle w:val="Iauiue"/>
        <w:jc w:val="both"/>
        <w:rPr>
          <w:color w:val="000000" w:themeColor="text1"/>
          <w:sz w:val="16"/>
          <w:szCs w:val="16"/>
        </w:rPr>
      </w:pPr>
    </w:p>
    <w:p w14:paraId="41407CA9"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12 August 1942 First Moscow conference - Churchill and Stalin meet (270).</w:t>
      </w:r>
    </w:p>
    <w:p w14:paraId="61FB3F3A" w14:textId="77777777" w:rsidR="00AE7191" w:rsidRPr="00722885" w:rsidRDefault="00AE7191" w:rsidP="00722885">
      <w:pPr>
        <w:pStyle w:val="Iauiue"/>
        <w:jc w:val="both"/>
        <w:rPr>
          <w:color w:val="000000" w:themeColor="text1"/>
          <w:sz w:val="16"/>
          <w:szCs w:val="16"/>
          <w:lang w:val="en-US"/>
        </w:rPr>
      </w:pPr>
    </w:p>
    <w:p w14:paraId="7EB57A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состоялась первая Московская конференция (2261).</w:t>
      </w:r>
    </w:p>
    <w:p w14:paraId="131AE03D" w14:textId="77777777" w:rsidR="00AE7191" w:rsidRPr="00722885" w:rsidRDefault="00AE7191" w:rsidP="00722885">
      <w:pPr>
        <w:pStyle w:val="Iauiue"/>
        <w:jc w:val="both"/>
        <w:rPr>
          <w:color w:val="000000" w:themeColor="text1"/>
          <w:sz w:val="16"/>
          <w:szCs w:val="16"/>
        </w:rPr>
      </w:pPr>
    </w:p>
    <w:p w14:paraId="09194A12" w14:textId="77777777" w:rsidR="002C7978" w:rsidRPr="00722885" w:rsidRDefault="002C79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12-15 августа 1942. Московское совещание глав правительств СССР и Великобритании и представителя президента США по военным и политическим вопросам-*</w:t>
      </w:r>
    </w:p>
    <w:p w14:paraId="2A3B5A13" w14:textId="77777777" w:rsidR="002C7978" w:rsidRPr="00722885" w:rsidRDefault="002C79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Переводчик В. М. Бережков вспоминал: "Во второй половине дня 12 августа 1942 года в Центральном аэропорту на Ленинградском проспекте собралась, как обычно в таких случаях, группа советских руководителей во главе с Молотовым. Среди встречавших находился также начальник Генерального штаба Красной Армии маршал Шапошников. Было жарко и безветренно. Все расположились под навесом небольшого здания аэровокзала. В воздухе ощущался аромат разогретой полыни, слышалось жужжание пчел, щебетание птиц. Но эта казавшаяся безмятежной картина не настраивала присутствовавших на беззаботный лад. Шел второй год жестокой войны, которую советский народ вел фактически один против сильного и беспощадного врага... В небе появилась черная точка. Очерчивая большой полукруг, она быстро увеличивалась и вскоре приняла очертание самолета. Проскользнув под крышами домов, он коснулся бетонной дорожки и, притормозив, съехал на траву. Плавно покачиваясь, пересек зеленое поле и остановился неподалеку от нас. Самолет казался необычно грузным, фюзеляж чуть ли не касался земли. Я ожидал, что в борту откроется дверца. Но вместо этого из люка в брюхе самолета спустили на траву металлическую лесенку, и по ней сразу же стали спускаться ноги в тяжелых ботинках и изрядно помятых брюках. Ноги как бы присели, дав возможность объемистому туловищу выбраться из кабины. Вот и голова Черчилля. Придерживая рукой шляпу, он настороженно огляделся вокруг, как бы оценивая ситуацию. Нешуточное дело! Он впервые оказался в стране большевиков, которую после Октябрьской революции пытался "задушить в колыбели* против которой организовал интервенцию держав Антанты... К тому времени, как Черчилль выбрался из-под фюзеляжа, перед ним уже стоял Молотов. Они поздоровались как старые знакомые. Нарком представил премьеру маршала Шапошникова. Черчилль тут же пояснил, что не может сейчас познакомить маршала со своими военными экспертами, так как самолет, на котором они вылетели из Тегерана, вынужден был из-за неисправности вернуться обратно. И они, так же как и находившийся в этом самолете постоянный заместитель министра иностранных дел Кадоган, прибудут только завтра. Вместе с Черчиллем находился Гарриман в качестве личного представителя президента Рузвельта... Оркестр исполнил гимн Великобритании и советский гимн "Интернационал". Черчилль и Молотов обошли строй почетного караула. Солдаты в стальных шлемах и полной выкладке стояли не шелохнувшись, лишь поворачивая головы вслед за премьером, который пристально всматривался в их лица, словно хотел удостовериться в их стойкости.</w:t>
      </w:r>
    </w:p>
    <w:p w14:paraId="41FB53F5" w14:textId="77777777" w:rsidR="002C7978" w:rsidRPr="00722885" w:rsidRDefault="002C79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аэродрома Черчилля доставили в отведенную ему резиденцию в Кунцеве. Гарриману был предоставлен особняк на улице Островского. Остальные члены делегации разместились в гостинице "Националь" Черчилля поразили удобства этой виллы, чего он никак не ожидал в осажденной Москве...</w:t>
      </w:r>
    </w:p>
    <w:p w14:paraId="61D0BBAA" w14:textId="77777777" w:rsidR="002C7978" w:rsidRPr="00722885" w:rsidRDefault="002C79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Вскоре после семи часов машина Черчилля, миновав Красную площадь, въехала через Спасские ворота в Кремль..." В прошедшей беседе Черчилль и Гарриман на вопросы Сталина, будет ли открыт в 1942 году второй фронт в Северной Франции, ответили отрицательно".</w:t>
      </w:r>
    </w:p>
    <w:p w14:paraId="1FBC448C" w14:textId="77777777" w:rsidR="002C7978" w:rsidRPr="00722885" w:rsidRDefault="002C79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Уинстон Черчилль писал в книге своих мемуаров: "Примерно в пять часов показались шпили и купола Москвы. Мы кружились вокруг города по тщательно указанным маршрутам, вдоль которых все батареи были предупреждены, и приземлились на аэродроме, на котором мне предстояло побывать еще раз во время войны. Здесь находился Молотов во главе группы русских генералов и весь дипломатический корпус, а также, как и всегда в подобных случаях, много фотографов и репортеров. Был произведен смотр большого почетного караула, безупречного в отношении одежды и выправки. Он прошел перед нами после того, как оркестр исполнил национальные гимны трех великих держав, единство которых решило судьбу Гитлера, Меня подвели к микрофону, и я произнес короткую речь. Аверелл Гарриман говорил от имени Соединенных Штатов. Он должен был остановиться в американском посольстве. Молотов доставил меня в своей машине в предназначенную для меня резиденцию, находящуюся в восьми ми лях от Москвы, - в государственную дачу - 7. Когда мы проезжали по улицам Москвы, которые казались очень пустынными, я опустил стекло, чтобы дать доступ воздуху, и, к моему удивлению, обнаружил, что стекла толщиной более двух дюймов1. Эта превосходило- все известные мне рекорды. "Министр говорит, что это более надежно" "сказал переводчик Павлов. Через полчаса с небольшим мы прибыли на дачу...'</w:t>
      </w:r>
    </w:p>
    <w:p w14:paraId="149E75E5" w14:textId="77777777" w:rsidR="002C7978" w:rsidRPr="00722885" w:rsidRDefault="002C79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всех необходимых погружений и омовений нас угощали в столовой всевозможными отборными блюдами и напитками, в том числе, конечно, икрой и водкой Но, кроме того, было много других блюд к вин из Франции и Германии, гораздо больше, чем мы могли или хотели съесть. К тому же у нас оставалось мало времени до отъезда в Москву. Я сказал Молотову, что я буду готов встретиться со Сталиным этим вечером, и он предложил, чтобы встреча произошла! семь часов.</w:t>
      </w:r>
    </w:p>
    <w:p w14:paraId="1E1D8D2A" w14:textId="77777777" w:rsidR="002C7978" w:rsidRPr="00722885" w:rsidRDefault="002C79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 прибыл в Кремль и впервые встретился с великим революционным вождем и мудрым русским государственным деятелем и воином, с которым в течение следующих трех лет мне предстояло поддерживать близкие, суровые, но всегда волнующие, а иногда даже сердечные отношении Наше совещание продолжалось около четырех часов. Поскольку наш второй самолет, в котором находились Брук, Уэйвелл и Кадоган, не прибыл, присутствовали только Сталин, Молотов, Ворошилову, Гарриман.! также наш посол и переводчики... Первые два часа были унылыми и мрачными. Я о* зу же начал с вопроса о втором фронте, зивив, что хочу говорить откровенно, и хотел бы, чтобы Сталин тоже проявил полную откровенность... Сталин, мрачное настроение которого к этому времени значительно усилилось, сказал, что, Насколько он понимает, мы не можем создать второго фронта со сколько-нибудь сильными силами, и не хотим* даже высадить шесть дивизий. Я сказал, что дело обстоит так... В конце концов Сталин сказал, что если мы не можем произвести высадку во Франции в этом году, он не вправе требовать этого или настаивать на этом, но он должен сказать, что он не согласен с моими доводами".</w:t>
      </w:r>
    </w:p>
    <w:p w14:paraId="6EBD35DC" w14:textId="77777777" w:rsidR="002C7978" w:rsidRPr="00722885" w:rsidRDefault="002C79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августа. Уинстон Черчилль писал в книге своих мемуаров: "Этим вечером мы были на официальном обеде в Кремле, на котором присутствовало около сорока человек, в том числе некоторые высокопоставленные военные, члены Политбюро и другие высшие официальные лица. Сталин и Молотов радушно принимали гостей. Такие обеды продолжаются долго, и с самого начала было произнесено в форме очень коротких речей много тостов и ответов на них. Распространялись глупые истории о том, что эти советские обеды превращаются в попойки. В этом нет ни доли правды. Маршал и его коллеги неизменно пили после тостов из крошечных рюмок, делая в каждом случае лишь маленький глоток" (18696).</w:t>
      </w:r>
    </w:p>
    <w:p w14:paraId="6BC81C33" w14:textId="77777777" w:rsidR="002C7978" w:rsidRPr="00722885" w:rsidRDefault="002C7978" w:rsidP="00722885">
      <w:pPr>
        <w:spacing w:after="0" w:line="240" w:lineRule="auto"/>
        <w:jc w:val="both"/>
        <w:rPr>
          <w:rFonts w:ascii="Times New Roman" w:hAnsi="Times New Roman"/>
          <w:color w:val="000000" w:themeColor="text1"/>
          <w:sz w:val="16"/>
          <w:szCs w:val="16"/>
        </w:rPr>
      </w:pPr>
    </w:p>
    <w:p w14:paraId="76EEC44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0ED3D26" w14:textId="77777777" w:rsidR="00AE7191" w:rsidRPr="00722885" w:rsidRDefault="00AE7191" w:rsidP="00722885">
      <w:pPr>
        <w:pStyle w:val="Iauiue"/>
        <w:jc w:val="both"/>
        <w:rPr>
          <w:iCs/>
          <w:color w:val="000000" w:themeColor="text1"/>
          <w:sz w:val="16"/>
          <w:szCs w:val="16"/>
        </w:rPr>
      </w:pPr>
    </w:p>
    <w:p w14:paraId="684FB4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августа 1942 состоялась неудачная высадка английского десанта в районе Дьепа с целью разведки береговой обороны, уничтожения батарей и аэрподрома, РЛС и портовых сооружений. 6 тыс. чел., 237 корабле1, 55 танков и 780 самолетов. Задачу выполнили (2438,223).</w:t>
      </w:r>
    </w:p>
    <w:p w14:paraId="54D7AF5B" w14:textId="77777777" w:rsidR="00AE7191" w:rsidRPr="00722885" w:rsidRDefault="00AE7191" w:rsidP="00722885">
      <w:pPr>
        <w:pStyle w:val="Iauiue"/>
        <w:jc w:val="both"/>
        <w:rPr>
          <w:color w:val="000000" w:themeColor="text1"/>
          <w:sz w:val="16"/>
          <w:szCs w:val="16"/>
        </w:rPr>
      </w:pPr>
    </w:p>
    <w:p w14:paraId="0D24EDB5"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12 августа 1942 первый американский самолет-амфибия PBY-5A Catalina ВМС США приземляется на аэродроме Гуадалканала Хендерсон – Филд. Базирующиеся там самолеты станут называться « Воздушные силы Кактус» (20793). </w:t>
      </w:r>
    </w:p>
    <w:p w14:paraId="5CBFF90A" w14:textId="77777777" w:rsidR="00F51760" w:rsidRPr="00722885" w:rsidRDefault="00F51760" w:rsidP="00722885">
      <w:pPr>
        <w:spacing w:after="0" w:line="240" w:lineRule="auto"/>
        <w:jc w:val="both"/>
        <w:rPr>
          <w:rFonts w:ascii="Times New Roman" w:hAnsi="Times New Roman"/>
          <w:color w:val="0070C0"/>
          <w:sz w:val="16"/>
          <w:szCs w:val="16"/>
        </w:rPr>
      </w:pPr>
    </w:p>
    <w:p w14:paraId="4BC1EEFE"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августа 1942 немецкие и итальянские самолеты атакуют конвой Pedestal в Средиземном море, повредив HMS Indomitable , потопив эсминец и торговый грузовой корабль и, возможно, нанеся смертельный удар двум другим грузовым кораблям. Итальянские самолеты впервые используют три новых вида оружия: мотобомбы, новую бомбу, сбрасываемую истребителями Re.2001 и предназначенную для нанесения максимального ущерба полетным палубам авианосца, и беспилотный бомбардировщик Savoia-Marchetti SM.79 с взрывчаткой, управляемый как управляемая ракета с гидросамолета CANT гидросамолета. В motobomba не попадает, летно-палубные бомбы не упала на палубу HMS Победоносца, а разрушились и не взорвались, а беспилотная SM.79 теряет управление и летит внутрь страны и взрывается в Алжире (20793).</w:t>
      </w:r>
    </w:p>
    <w:p w14:paraId="69FA5180" w14:textId="77777777" w:rsidR="00F51760" w:rsidRPr="00722885" w:rsidRDefault="00F51760" w:rsidP="00722885">
      <w:pPr>
        <w:spacing w:after="0" w:line="240" w:lineRule="auto"/>
        <w:jc w:val="both"/>
        <w:rPr>
          <w:rFonts w:ascii="Times New Roman" w:hAnsi="Times New Roman"/>
          <w:color w:val="0070C0"/>
          <w:sz w:val="16"/>
          <w:szCs w:val="16"/>
        </w:rPr>
      </w:pPr>
    </w:p>
    <w:p w14:paraId="716F073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Авиапромышленность:</w:t>
      </w:r>
    </w:p>
    <w:p w14:paraId="4B744B3A" w14:textId="77777777" w:rsidR="00AE7191" w:rsidRPr="00722885" w:rsidRDefault="00AE7191" w:rsidP="00722885">
      <w:pPr>
        <w:pStyle w:val="Iauiue"/>
        <w:jc w:val="both"/>
        <w:rPr>
          <w:iCs/>
          <w:color w:val="000000" w:themeColor="text1"/>
          <w:sz w:val="16"/>
          <w:szCs w:val="16"/>
        </w:rPr>
      </w:pPr>
    </w:p>
    <w:p w14:paraId="4776DB4B" w14:textId="77777777" w:rsidR="00DF0DDA" w:rsidRPr="00722885" w:rsidRDefault="00DF0DDA" w:rsidP="00722885">
      <w:pPr>
        <w:pStyle w:val="27"/>
        <w:shd w:val="clear" w:color="auto" w:fill="auto"/>
        <w:spacing w:after="0" w:line="240" w:lineRule="auto"/>
        <w:ind w:firstLine="0"/>
        <w:rPr>
          <w:rStyle w:val="aff6"/>
          <w:rFonts w:ascii="Times New Roman" w:eastAsia="Arial Narrow" w:hAnsi="Times New Roman" w:cs="Times New Roman"/>
          <w:i w:val="0"/>
          <w:color w:val="000000" w:themeColor="text1"/>
          <w:spacing w:val="0"/>
        </w:rPr>
      </w:pPr>
      <w:r w:rsidRPr="00722885">
        <w:rPr>
          <w:rFonts w:ascii="Times New Roman" w:cs="Times New Roman"/>
          <w:color w:val="000000" w:themeColor="text1"/>
          <w:spacing w:val="0"/>
        </w:rPr>
        <w:t>13 августа «1942 г. командую</w:t>
      </w:r>
      <w:r w:rsidRPr="00722885">
        <w:rPr>
          <w:rFonts w:ascii="Times New Roman" w:cs="Times New Roman"/>
          <w:color w:val="000000" w:themeColor="text1"/>
          <w:spacing w:val="0"/>
        </w:rPr>
        <w:softHyphen/>
        <w:t>щий ВВС КАА.А. Новиков в связи с по</w:t>
      </w:r>
      <w:r w:rsidRPr="00722885">
        <w:rPr>
          <w:rFonts w:ascii="Times New Roman" w:cs="Times New Roman"/>
          <w:color w:val="000000" w:themeColor="text1"/>
          <w:spacing w:val="0"/>
        </w:rPr>
        <w:softHyphen/>
        <w:t>ложительным опытом применения в июне-июле 1942 г. самолетов Ил-2У (с мотором АМ-38) для корректиров</w:t>
      </w:r>
      <w:r w:rsidRPr="00722885">
        <w:rPr>
          <w:rFonts w:ascii="Times New Roman" w:cs="Times New Roman"/>
          <w:color w:val="000000" w:themeColor="text1"/>
          <w:spacing w:val="0"/>
        </w:rPr>
        <w:softHyphen/>
        <w:t>ки артиллерийского огня, обратил</w:t>
      </w:r>
      <w:r w:rsidRPr="00722885">
        <w:rPr>
          <w:rFonts w:ascii="Times New Roman" w:cs="Times New Roman"/>
          <w:color w:val="000000" w:themeColor="text1"/>
          <w:spacing w:val="0"/>
        </w:rPr>
        <w:softHyphen/>
        <w:t>ся к наркому авиапромышленности А.И. Шахурину с просьбой создать на базе штурмовика Ил-2 разведчик-кор</w:t>
      </w:r>
      <w:r w:rsidRPr="00722885">
        <w:rPr>
          <w:rFonts w:ascii="Times New Roman" w:cs="Times New Roman"/>
          <w:color w:val="000000" w:themeColor="text1"/>
          <w:spacing w:val="0"/>
        </w:rPr>
        <w:softHyphen/>
        <w:t>ректировщик артиллерийского огня: «Фронт</w:t>
      </w:r>
      <w:r w:rsidRPr="00722885">
        <w:rPr>
          <w:rStyle w:val="aff6"/>
          <w:rFonts w:ascii="Times New Roman" w:eastAsia="Arial Narrow" w:hAnsi="Times New Roman" w:cs="Times New Roman"/>
          <w:i w:val="0"/>
          <w:color w:val="000000" w:themeColor="text1"/>
          <w:spacing w:val="0"/>
        </w:rPr>
        <w:t xml:space="preserve"> требует также разведыватель</w:t>
      </w:r>
      <w:r w:rsidRPr="00722885">
        <w:rPr>
          <w:rStyle w:val="aff6"/>
          <w:rFonts w:ascii="Times New Roman" w:eastAsia="Arial Narrow" w:hAnsi="Times New Roman" w:cs="Times New Roman"/>
          <w:i w:val="0"/>
          <w:color w:val="000000" w:themeColor="text1"/>
          <w:spacing w:val="0"/>
        </w:rPr>
        <w:softHyphen/>
        <w:t>ных самолетов и самолетов-корректи- ровщиков артогня. Оборудованный для этих целей двухместный самолет Ил-2 удовлетворит и это требование фронта. Прошу Вашего указания Гпавному кон</w:t>
      </w:r>
      <w:r w:rsidRPr="00722885">
        <w:rPr>
          <w:rStyle w:val="aff6"/>
          <w:rFonts w:ascii="Times New Roman" w:eastAsia="Arial Narrow" w:hAnsi="Times New Roman" w:cs="Times New Roman"/>
          <w:i w:val="0"/>
          <w:color w:val="000000" w:themeColor="text1"/>
          <w:spacing w:val="0"/>
        </w:rPr>
        <w:softHyphen/>
        <w:t>структору тов. Ильюшину срочно разра</w:t>
      </w:r>
      <w:r w:rsidRPr="00722885">
        <w:rPr>
          <w:rStyle w:val="aff6"/>
          <w:rFonts w:ascii="Times New Roman" w:eastAsia="Arial Narrow" w:hAnsi="Times New Roman" w:cs="Times New Roman"/>
          <w:i w:val="0"/>
          <w:color w:val="000000" w:themeColor="text1"/>
          <w:spacing w:val="0"/>
        </w:rPr>
        <w:softHyphen/>
        <w:t>ботать и изготовить опытные образцы двухместного самолета Ил-2 в вариан</w:t>
      </w:r>
      <w:r w:rsidRPr="00722885">
        <w:rPr>
          <w:rStyle w:val="aff6"/>
          <w:rFonts w:ascii="Times New Roman" w:eastAsia="Arial Narrow" w:hAnsi="Times New Roman" w:cs="Times New Roman"/>
          <w:i w:val="0"/>
          <w:color w:val="000000" w:themeColor="text1"/>
          <w:spacing w:val="0"/>
        </w:rPr>
        <w:softHyphen/>
        <w:t>тах штурмовика, разведчика и корректи</w:t>
      </w:r>
      <w:r w:rsidRPr="00722885">
        <w:rPr>
          <w:rStyle w:val="aff6"/>
          <w:rFonts w:ascii="Times New Roman" w:eastAsia="Arial Narrow" w:hAnsi="Times New Roman" w:cs="Times New Roman"/>
          <w:i w:val="0"/>
          <w:color w:val="000000" w:themeColor="text1"/>
          <w:spacing w:val="0"/>
        </w:rPr>
        <w:softHyphen/>
        <w:t>ровщика артогня» (15762).</w:t>
      </w:r>
    </w:p>
    <w:p w14:paraId="35C7A350"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p>
    <w:p w14:paraId="46D11073"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13 августа в 1942 году командующий ВВС КА А.А.Новиков, в связи с положительным опытом применения в июне-июле 42-го </w:t>
      </w:r>
      <w:hyperlink r:id="rId64" w:tgtFrame="_blank" w:history="1">
        <w:r w:rsidRPr="00722885">
          <w:rPr>
            <w:rFonts w:ascii="Times New Roman" w:hAnsi="Times New Roman"/>
            <w:color w:val="000000" w:themeColor="text1"/>
            <w:sz w:val="16"/>
            <w:szCs w:val="16"/>
          </w:rPr>
          <w:t xml:space="preserve">«Ил-2У» </w:t>
        </w:r>
      </w:hyperlink>
      <w:r w:rsidRPr="00722885">
        <w:rPr>
          <w:rFonts w:ascii="Times New Roman" w:hAnsi="Times New Roman"/>
          <w:color w:val="000000" w:themeColor="text1"/>
          <w:sz w:val="16"/>
          <w:szCs w:val="16"/>
        </w:rPr>
        <w:t>«АМ-38» для целей корректировки артиллерийского огня, обратился к Наркому авиапромышленности А.И.Шахурину (письмо № 376269) с просьбой создать на базе штурмовика «Ил-2» разведчик-корректировщик артиллерийского огня: "... Фронт требует также разведывательных самолетов и самолетов-корректировщиков артогня. Оборудованный для этих целей двухместный самолет «Ил-2» удовлетворит и это требование фронта. Прошу Вашего указания Главному конструктору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 Письмо А.А.Новикова с необходимой резолюцией А.И.Шахурина было переправлено С.В.Ильюшину, который в своем ответе на него сообщил, что создание такого самолета возможно лишь на базе двухместного «Ил-2» с «М-82», приспособить же для этой цели двухместный "Ил" с «АМ-38», по его мнению, возможным не представлялось. Утверждение С.В.Ильюшина было признано не убедительным. К тому же 8 января 1943 г. вышло "Положение о корректировочной авиации". Поэтому 7 февраля 1943 г. ГКО своим Постановлением № 2841 обязал Ильюшина "...до окончательной отработки самолета-корректировщика приспособить существующий двухместный самолет «Ил-2» с «АМ-38ф», установив радиостанцию РСБ и фотоустановку". На снимке устранение дефектов мотора самолета «Ил-2КР» после боевого вылета. На бронекапоте мотора видны визирные штыри, предназначенные для бомбометания (14982).</w:t>
      </w:r>
    </w:p>
    <w:p w14:paraId="5D70E431"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638D4518" w14:textId="77777777" w:rsidR="00F51760" w:rsidRPr="00722885" w:rsidRDefault="00F51760" w:rsidP="00722885">
      <w:pPr>
        <w:pStyle w:val="36"/>
        <w:shd w:val="clear" w:color="auto" w:fill="auto"/>
        <w:spacing w:after="0" w:line="240" w:lineRule="auto"/>
        <w:jc w:val="both"/>
        <w:rPr>
          <w:rFonts w:ascii="Times New Roman" w:cs="Times New Roman"/>
          <w:color w:val="0070C0"/>
          <w:spacing w:val="0"/>
          <w:sz w:val="16"/>
          <w:szCs w:val="16"/>
        </w:rPr>
      </w:pPr>
      <w:r w:rsidRPr="00722885">
        <w:rPr>
          <w:rFonts w:ascii="Times New Roman" w:cs="Times New Roman"/>
          <w:color w:val="0070C0"/>
          <w:spacing w:val="0"/>
          <w:sz w:val="16"/>
          <w:szCs w:val="16"/>
        </w:rPr>
        <w:t>13 августа 1942 г. командующий ВВС А.А. Новиков в обращении к наркому А.И. Шахурину писал:</w:t>
      </w:r>
    </w:p>
    <w:p w14:paraId="3DA09CF5" w14:textId="77777777" w:rsidR="00F51760" w:rsidRPr="00722885" w:rsidRDefault="00F51760" w:rsidP="00722885">
      <w:pPr>
        <w:pStyle w:val="36"/>
        <w:shd w:val="clear" w:color="auto" w:fill="auto"/>
        <w:spacing w:after="0" w:line="240" w:lineRule="auto"/>
        <w:jc w:val="both"/>
        <w:rPr>
          <w:rStyle w:val="1pt1"/>
          <w:rFonts w:ascii="Times New Roman" w:hAnsi="Times New Roman" w:cs="Times New Roman"/>
          <w:i w:val="0"/>
          <w:iCs w:val="0"/>
          <w:color w:val="0070C0"/>
          <w:spacing w:val="0"/>
          <w:sz w:val="16"/>
          <w:szCs w:val="16"/>
        </w:rPr>
      </w:pPr>
      <w:r w:rsidRPr="00722885">
        <w:rPr>
          <w:rStyle w:val="1pt1"/>
          <w:rFonts w:ascii="Times New Roman" w:hAnsi="Times New Roman" w:cs="Times New Roman"/>
          <w:i w:val="0"/>
          <w:iCs w:val="0"/>
          <w:color w:val="0070C0"/>
          <w:spacing w:val="0"/>
          <w:sz w:val="16"/>
          <w:szCs w:val="16"/>
        </w:rPr>
        <w:t>«Прошу Вашего указания Главному кон</w:t>
      </w:r>
      <w:r w:rsidRPr="00722885">
        <w:rPr>
          <w:rStyle w:val="1pt1"/>
          <w:rFonts w:ascii="Times New Roman" w:hAnsi="Times New Roman" w:cs="Times New Roman"/>
          <w:i w:val="0"/>
          <w:iCs w:val="0"/>
          <w:color w:val="0070C0"/>
          <w:spacing w:val="0"/>
          <w:sz w:val="16"/>
          <w:szCs w:val="16"/>
        </w:rPr>
        <w:softHyphen/>
        <w:t>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w:t>
      </w:r>
    </w:p>
    <w:p w14:paraId="55B24AC7" w14:textId="77777777" w:rsidR="00F51760" w:rsidRPr="00722885" w:rsidRDefault="00F51760" w:rsidP="00722885">
      <w:pPr>
        <w:pStyle w:val="36"/>
        <w:shd w:val="clear" w:color="auto" w:fill="auto"/>
        <w:spacing w:after="0" w:line="240" w:lineRule="auto"/>
        <w:jc w:val="both"/>
        <w:rPr>
          <w:rFonts w:ascii="Times New Roman" w:cs="Times New Roman"/>
          <w:color w:val="0070C0"/>
          <w:spacing w:val="0"/>
          <w:sz w:val="16"/>
          <w:szCs w:val="16"/>
        </w:rPr>
      </w:pPr>
      <w:r w:rsidRPr="00722885">
        <w:rPr>
          <w:rFonts w:ascii="Times New Roman" w:cs="Times New Roman"/>
          <w:color w:val="0070C0"/>
          <w:spacing w:val="0"/>
          <w:sz w:val="16"/>
          <w:szCs w:val="16"/>
        </w:rPr>
        <w:t>Хотя тот и дал соответствующее рас</w:t>
      </w:r>
      <w:r w:rsidRPr="00722885">
        <w:rPr>
          <w:rFonts w:ascii="Times New Roman" w:cs="Times New Roman"/>
          <w:color w:val="0070C0"/>
          <w:spacing w:val="0"/>
          <w:sz w:val="16"/>
          <w:szCs w:val="16"/>
        </w:rPr>
        <w:softHyphen/>
        <w:t>поряжение, однако полгода дело пробуксовывало. Наконец-то 7 февраля 1943 г. ГКО обязал Ильюшина</w:t>
      </w:r>
      <w:r w:rsidRPr="00722885">
        <w:rPr>
          <w:rStyle w:val="1pt1"/>
          <w:rFonts w:ascii="Times New Roman" w:hAnsi="Times New Roman" w:cs="Times New Roman"/>
          <w:i w:val="0"/>
          <w:iCs w:val="0"/>
          <w:color w:val="0070C0"/>
          <w:spacing w:val="0"/>
          <w:sz w:val="16"/>
          <w:szCs w:val="16"/>
        </w:rPr>
        <w:t xml:space="preserve"> «приспособить суще</w:t>
      </w:r>
      <w:r w:rsidRPr="00722885">
        <w:rPr>
          <w:rStyle w:val="1pt1"/>
          <w:rFonts w:ascii="Times New Roman" w:hAnsi="Times New Roman" w:cs="Times New Roman"/>
          <w:i w:val="0"/>
          <w:iCs w:val="0"/>
          <w:color w:val="0070C0"/>
          <w:spacing w:val="0"/>
          <w:sz w:val="16"/>
          <w:szCs w:val="16"/>
        </w:rPr>
        <w:softHyphen/>
        <w:t>ствующий двухместный самолет Ил-2 с АМ-38ф»</w:t>
      </w:r>
      <w:r w:rsidRPr="00722885">
        <w:rPr>
          <w:rFonts w:ascii="Times New Roman" w:cs="Times New Roman"/>
          <w:color w:val="0070C0"/>
          <w:spacing w:val="0"/>
          <w:sz w:val="16"/>
          <w:szCs w:val="16"/>
        </w:rPr>
        <w:t xml:space="preserve"> для ведения разведки и корректировки артогня (19854).</w:t>
      </w:r>
    </w:p>
    <w:p w14:paraId="33EBA416" w14:textId="77777777" w:rsidR="00F51760" w:rsidRPr="00722885" w:rsidRDefault="00F51760" w:rsidP="00722885">
      <w:pPr>
        <w:pStyle w:val="36"/>
        <w:shd w:val="clear" w:color="auto" w:fill="auto"/>
        <w:spacing w:after="0" w:line="240" w:lineRule="auto"/>
        <w:jc w:val="both"/>
        <w:rPr>
          <w:rFonts w:ascii="Times New Roman" w:cs="Times New Roman"/>
          <w:color w:val="0070C0"/>
          <w:spacing w:val="0"/>
          <w:sz w:val="16"/>
          <w:szCs w:val="16"/>
        </w:rPr>
      </w:pPr>
    </w:p>
    <w:p w14:paraId="4EEF128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13 и 17 августа 1942 состоялось заседание комиссии для рассмотрения бронирования серийных самолетов, созданной согласно приказу НКАП и ВВС N 559а/с/032 от 24 июля 1942 (1587,12):</w:t>
      </w:r>
    </w:p>
    <w:p w14:paraId="44A6A00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Комиссия рассмотрела следующие вопросы:</w:t>
      </w:r>
    </w:p>
    <w:p w14:paraId="475533D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О санитарных потерях на современных боевых самолетах</w:t>
      </w:r>
    </w:p>
    <w:p w14:paraId="2AB25A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Отчет НИИ ВВС по подбору типа и толщины брони для защиты от немецкого авиационного оружия калибра 15 и 20 мм</w:t>
      </w:r>
    </w:p>
    <w:p w14:paraId="174D99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Проект усиления бронирования серийных самолетов ВВС, представленный НИИ ВВС</w:t>
      </w:r>
    </w:p>
    <w:p w14:paraId="16F591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Доклад Флагманского врача ВВС Ротгауза:</w:t>
      </w:r>
    </w:p>
    <w:p w14:paraId="65E4EF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Анализ потерь летного состава на самолетах, состоящих на вооружении ВВС, показывает, что основная масса ранений падает на верхние и нижние конечности (55.7%) и на голову (31.3%).</w:t>
      </w:r>
    </w:p>
    <w:p w14:paraId="1AD16E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Распределение ранений неодинаково у различных категорий летного состава: у л-и и у стрелков-радистов на бомбардировщиках поражаются гл. образом, нижние конечности (42%), у штурмовиков - голова (51.4%).</w:t>
      </w:r>
    </w:p>
    <w:p w14:paraId="6F8E15C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Наибольшее количество ранений - в левую половину тела (66.7%), меньше в правую (25%) и еще меньше сзади (4.15%) и снизу (4.15%). Ранений спереди не зарегистрировано.</w:t>
      </w:r>
    </w:p>
    <w:p w14:paraId="38E6D7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Летчики, летающие на самолетах разных марок, имеют различное распределение ранений. Так у л на самолетах Як-1 очень велик процент ранений ног (50.7%), на МиГ-3 чаще ранения головы (44.2%).</w:t>
      </w:r>
    </w:p>
    <w:p w14:paraId="0AE714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 можно констатировать, что броневая защита боевых самолетов ВВС недостаточная по площади и углам и на некоторых самолетах оставляет особо уязвимые места (левая рука, голова, нижние конечности).</w:t>
      </w:r>
    </w:p>
    <w:p w14:paraId="5E02F2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Рассмотрение отчетов НИИ ВВС по подбору типа и толщины брони для защиты от оружия 15 и 20 мм</w:t>
      </w:r>
    </w:p>
    <w:p w14:paraId="3218C7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Из отчета НИИ ВВС по обстрелу брони из немецкого пулемета-пушки МГ-151 калибра 15 и 20 мм следует, что для защиты от немецких бронебойных пуль калибра 15 мм, в случае самых жестких условий обстрела - по нормали (поперечная броня) требуется с дистанций: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3475"/>
        <w:gridCol w:w="2693"/>
      </w:tblGrid>
      <w:tr w:rsidR="009B487A" w:rsidRPr="00722885" w14:paraId="1DE6FC59" w14:textId="77777777" w:rsidTr="00CC5360">
        <w:tc>
          <w:tcPr>
            <w:tcW w:w="1878" w:type="dxa"/>
            <w:tcBorders>
              <w:top w:val="single" w:sz="12" w:space="0" w:color="auto"/>
            </w:tcBorders>
          </w:tcPr>
          <w:p w14:paraId="7BAC70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50-100 м</w:t>
            </w:r>
          </w:p>
        </w:tc>
        <w:tc>
          <w:tcPr>
            <w:tcW w:w="3475" w:type="dxa"/>
            <w:tcBorders>
              <w:top w:val="single" w:sz="12" w:space="0" w:color="auto"/>
            </w:tcBorders>
          </w:tcPr>
          <w:p w14:paraId="2160BC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гомогенная броня толщиной</w:t>
            </w:r>
          </w:p>
        </w:tc>
        <w:tc>
          <w:tcPr>
            <w:tcW w:w="2693" w:type="dxa"/>
            <w:tcBorders>
              <w:top w:val="single" w:sz="12" w:space="0" w:color="auto"/>
            </w:tcBorders>
          </w:tcPr>
          <w:p w14:paraId="172913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мм</w:t>
            </w:r>
          </w:p>
        </w:tc>
      </w:tr>
      <w:tr w:rsidR="009B487A" w:rsidRPr="00722885" w14:paraId="32AFC52E" w14:textId="77777777" w:rsidTr="00CC5360">
        <w:tc>
          <w:tcPr>
            <w:tcW w:w="1878" w:type="dxa"/>
          </w:tcPr>
          <w:p w14:paraId="416BAF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200-250 м</w:t>
            </w:r>
          </w:p>
        </w:tc>
        <w:tc>
          <w:tcPr>
            <w:tcW w:w="3475" w:type="dxa"/>
          </w:tcPr>
          <w:p w14:paraId="5B2A8C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 </w:t>
            </w:r>
          </w:p>
        </w:tc>
        <w:tc>
          <w:tcPr>
            <w:tcW w:w="2693" w:type="dxa"/>
          </w:tcPr>
          <w:p w14:paraId="0A4FCE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 20 мм</w:t>
            </w:r>
          </w:p>
        </w:tc>
      </w:tr>
      <w:tr w:rsidR="009B487A" w:rsidRPr="00722885" w14:paraId="1430A866" w14:textId="77777777" w:rsidTr="00CC5360">
        <w:tc>
          <w:tcPr>
            <w:tcW w:w="1878" w:type="dxa"/>
            <w:tcBorders>
              <w:bottom w:val="single" w:sz="12" w:space="0" w:color="auto"/>
            </w:tcBorders>
          </w:tcPr>
          <w:p w14:paraId="1C2C40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350-400 м</w:t>
            </w:r>
          </w:p>
        </w:tc>
        <w:tc>
          <w:tcPr>
            <w:tcW w:w="3475" w:type="dxa"/>
            <w:tcBorders>
              <w:bottom w:val="single" w:sz="12" w:space="0" w:color="auto"/>
            </w:tcBorders>
          </w:tcPr>
          <w:p w14:paraId="68B0000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w:t>
            </w:r>
          </w:p>
        </w:tc>
        <w:tc>
          <w:tcPr>
            <w:tcW w:w="2693" w:type="dxa"/>
            <w:tcBorders>
              <w:bottom w:val="single" w:sz="12" w:space="0" w:color="auto"/>
            </w:tcBorders>
          </w:tcPr>
          <w:p w14:paraId="42FD8DA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 16 мм</w:t>
            </w:r>
          </w:p>
        </w:tc>
      </w:tr>
    </w:tbl>
    <w:p w14:paraId="29B90B4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деталей, расположенных параллельно горизонтальной оси самолета (продольная броня) при углах обстрела от 70 гр. и выше с дистанции 100 м достаточная гомогенная броня пониженной твердости - 8-10 мм</w:t>
      </w:r>
    </w:p>
    <w:p w14:paraId="3AF25B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Вывод:</w:t>
      </w:r>
    </w:p>
    <w:p w14:paraId="7EAABD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Существующая на отечественных серийных самолетах броня не обеспечивает надежной защиты летного состава от поражений существующим у противника оружием калибра 15-20 мм</w:t>
      </w:r>
    </w:p>
    <w:p w14:paraId="7740C48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Комиссия рассмотрела проект усиления бронирования серийных самолетов ВВС, представленный НИИ ВВС в виде схем и внесла следующие изменения:</w:t>
      </w:r>
    </w:p>
    <w:p w14:paraId="0ABF711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По самолету Пе-2 - верхнюю броню стрелка-радиста разместить с таким расчетом, чтобы она не закрывала бортовых окон радиста</w:t>
      </w:r>
    </w:p>
    <w:p w14:paraId="6D624C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По самолету Ил-4 - в случае использования этого самолета в качестве ночного бомбардировщика оставить существующую схему броневой защиты. Для дневного варианта бомбардировщика необходимо увеличение толщины брони, согласно новой схемы.</w:t>
      </w:r>
    </w:p>
    <w:p w14:paraId="6F163B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том и другом случае установить дополнительный подлокотник слева от пилота.</w:t>
      </w:r>
    </w:p>
    <w:p w14:paraId="42E55A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По самолету Ту-2 в связи с уменьшением ширины бронеспинки пилота, дополнительно установить сзади штурмана справа поперечную плиту толщиной 15 мм из расчета обеспечения угловой защиты л справа-сзади до 25 гр." (1587,12).</w:t>
      </w:r>
    </w:p>
    <w:p w14:paraId="73BDE684" w14:textId="77777777" w:rsidR="00AE7191" w:rsidRPr="00722885" w:rsidRDefault="00AE7191" w:rsidP="00722885">
      <w:pPr>
        <w:pStyle w:val="Iauiue"/>
        <w:jc w:val="both"/>
        <w:rPr>
          <w:color w:val="000000" w:themeColor="text1"/>
          <w:sz w:val="16"/>
          <w:szCs w:val="16"/>
        </w:rPr>
      </w:pPr>
    </w:p>
    <w:p w14:paraId="57413EB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 августа 1942 Нач. 8 ГУ Поликовский писал НКАП А.И.Ш. письмо N 126/688 о том, что свечи на Ам-38 и М-82 быстро выходят из строя не из-за снижения качества, а из-за освинцевания от свинца в горючем при снижении содержания бромистого эфира 9выносителя свинца) в топливе (1684,265).</w:t>
      </w:r>
    </w:p>
    <w:p w14:paraId="7D0F56D4" w14:textId="77777777" w:rsidR="00AE7191" w:rsidRPr="00722885" w:rsidRDefault="00AE7191" w:rsidP="00722885">
      <w:pPr>
        <w:pStyle w:val="Iauiue"/>
        <w:jc w:val="both"/>
        <w:rPr>
          <w:color w:val="000000" w:themeColor="text1"/>
          <w:sz w:val="16"/>
          <w:szCs w:val="16"/>
        </w:rPr>
      </w:pPr>
    </w:p>
    <w:p w14:paraId="5083023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августа 1942 г. командующий ВВС КА генерал-полков</w:t>
      </w:r>
      <w:r w:rsidRPr="00722885">
        <w:rPr>
          <w:rFonts w:ascii="Times New Roman" w:hAnsi="Times New Roman"/>
          <w:color w:val="000000" w:themeColor="text1"/>
          <w:sz w:val="16"/>
          <w:szCs w:val="16"/>
        </w:rPr>
        <w:softHyphen/>
        <w:t>ник А.А. Новиков в связи с положительным опытом примене</w:t>
      </w:r>
      <w:r w:rsidRPr="00722885">
        <w:rPr>
          <w:rFonts w:ascii="Times New Roman" w:hAnsi="Times New Roman"/>
          <w:color w:val="000000" w:themeColor="text1"/>
          <w:sz w:val="16"/>
          <w:szCs w:val="16"/>
        </w:rPr>
        <w:softHyphen/>
        <w:t>ния УИл-2 с АМ-38 для целей корректировки артогня, обра</w:t>
      </w:r>
      <w:r w:rsidRPr="00722885">
        <w:rPr>
          <w:rFonts w:ascii="Times New Roman" w:hAnsi="Times New Roman"/>
          <w:color w:val="000000" w:themeColor="text1"/>
          <w:sz w:val="16"/>
          <w:szCs w:val="16"/>
        </w:rPr>
        <w:softHyphen/>
        <w:t>тился к наркому авиапромышленности А.И. Шахурину с просьбой создать на базе штурмовика Ил-2 разведчик-коррек</w:t>
      </w:r>
      <w:r w:rsidRPr="00722885">
        <w:rPr>
          <w:rFonts w:ascii="Times New Roman" w:hAnsi="Times New Roman"/>
          <w:color w:val="000000" w:themeColor="text1"/>
          <w:sz w:val="16"/>
          <w:szCs w:val="16"/>
        </w:rPr>
        <w:softHyphen/>
        <w:t>тировщик артиллерийского огня: «...Фронт требует также раз</w:t>
      </w:r>
      <w:r w:rsidRPr="00722885">
        <w:rPr>
          <w:rFonts w:ascii="Times New Roman" w:hAnsi="Times New Roman"/>
          <w:color w:val="000000" w:themeColor="text1"/>
          <w:sz w:val="16"/>
          <w:szCs w:val="16"/>
        </w:rPr>
        <w:softHyphen/>
        <w:t>ведывательных самолетов и самолетов-корректировщиков арт</w:t>
      </w:r>
      <w:r w:rsidRPr="00722885">
        <w:rPr>
          <w:rFonts w:ascii="Times New Roman" w:hAnsi="Times New Roman"/>
          <w:color w:val="000000" w:themeColor="text1"/>
          <w:sz w:val="16"/>
          <w:szCs w:val="16"/>
        </w:rPr>
        <w:softHyphen/>
        <w:t>огня. Оборудованный для этих целей двухместный самолет Ил-2 удовлетворит и это требование фронта. Прошу Вашего указания Главному конструктору тов. Ильюшину срочно раз</w:t>
      </w:r>
      <w:r w:rsidRPr="00722885">
        <w:rPr>
          <w:rFonts w:ascii="Times New Roman" w:hAnsi="Times New Roman"/>
          <w:color w:val="000000" w:themeColor="text1"/>
          <w:sz w:val="16"/>
          <w:szCs w:val="16"/>
        </w:rPr>
        <w:softHyphen/>
        <w:t>работать и изготовить опытные образцы двухместного самоле</w:t>
      </w:r>
      <w:r w:rsidRPr="00722885">
        <w:rPr>
          <w:rFonts w:ascii="Times New Roman" w:hAnsi="Times New Roman"/>
          <w:color w:val="000000" w:themeColor="text1"/>
          <w:sz w:val="16"/>
          <w:szCs w:val="16"/>
        </w:rPr>
        <w:softHyphen/>
        <w:t>та Ил-2 в вариантах штурмовика, разведчика и корректиров</w:t>
      </w:r>
      <w:r w:rsidRPr="00722885">
        <w:rPr>
          <w:rFonts w:ascii="Times New Roman" w:hAnsi="Times New Roman"/>
          <w:color w:val="000000" w:themeColor="text1"/>
          <w:sz w:val="16"/>
          <w:szCs w:val="16"/>
        </w:rPr>
        <w:softHyphen/>
        <w:t>щика артогня».</w:t>
      </w:r>
    </w:p>
    <w:p w14:paraId="4CF9EED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Письмо Новикова с необходимой резолюцией Шахурина бы</w:t>
      </w:r>
      <w:r w:rsidRPr="00722885">
        <w:rPr>
          <w:rFonts w:ascii="Times New Roman" w:hAnsi="Times New Roman"/>
          <w:color w:val="000000" w:themeColor="text1"/>
          <w:sz w:val="16"/>
          <w:szCs w:val="16"/>
        </w:rPr>
        <w:softHyphen/>
        <w:t>ло переправлено Ильюшину, который в своем ответе сообщил, что создание разведчика-корректировщика артиллерийского ог</w:t>
      </w:r>
      <w:r w:rsidRPr="00722885">
        <w:rPr>
          <w:rFonts w:ascii="Times New Roman" w:hAnsi="Times New Roman"/>
          <w:color w:val="000000" w:themeColor="text1"/>
          <w:sz w:val="16"/>
          <w:szCs w:val="16"/>
        </w:rPr>
        <w:softHyphen/>
        <w:t>ня возможно лишь на базе двухместного Ил-2 с мотором М-82, приспособить же для этой цели двухместный Ил-2 с мотором АМ-38, по его мнению, возможным не представлялось.</w:t>
      </w:r>
    </w:p>
    <w:p w14:paraId="2B4CCB0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Доводы С.В. Ильюшина сочли неубедительными. Государ</w:t>
      </w:r>
      <w:r w:rsidRPr="00722885">
        <w:rPr>
          <w:rFonts w:ascii="Times New Roman" w:hAnsi="Times New Roman"/>
          <w:color w:val="000000" w:themeColor="text1"/>
          <w:sz w:val="16"/>
          <w:szCs w:val="16"/>
        </w:rPr>
        <w:softHyphen/>
        <w:t>ственный Комитет обороны 7 февраля 1943 г. своим Постанов</w:t>
      </w:r>
      <w:r w:rsidRPr="00722885">
        <w:rPr>
          <w:rFonts w:ascii="Times New Roman" w:hAnsi="Times New Roman"/>
          <w:color w:val="000000" w:themeColor="text1"/>
          <w:sz w:val="16"/>
          <w:szCs w:val="16"/>
        </w:rPr>
        <w:softHyphen/>
        <w:t>лением обязал завод № 240 и «...Главного конструктора Илью</w:t>
      </w:r>
      <w:r w:rsidRPr="00722885">
        <w:rPr>
          <w:rFonts w:ascii="Times New Roman" w:hAnsi="Times New Roman"/>
          <w:color w:val="000000" w:themeColor="text1"/>
          <w:sz w:val="16"/>
          <w:szCs w:val="16"/>
        </w:rPr>
        <w:softHyphen/>
        <w:t>шина до окончательной отработки самолета-корректировщика (имелся в виду самолет Ил-2 в варианте разведчика и коррек</w:t>
      </w:r>
      <w:r w:rsidRPr="00722885">
        <w:rPr>
          <w:rFonts w:ascii="Times New Roman" w:hAnsi="Times New Roman"/>
          <w:color w:val="000000" w:themeColor="text1"/>
          <w:sz w:val="16"/>
          <w:szCs w:val="16"/>
        </w:rPr>
        <w:softHyphen/>
        <w:t xml:space="preserve">тировщика с более мощным мотором АМ-42. — </w:t>
      </w:r>
      <w:r w:rsidRPr="00722885">
        <w:rPr>
          <w:rFonts w:ascii="Times New Roman" w:hAnsi="Times New Roman"/>
          <w:iCs/>
          <w:color w:val="000000" w:themeColor="text1"/>
          <w:sz w:val="16"/>
          <w:szCs w:val="16"/>
        </w:rPr>
        <w:t xml:space="preserve">Авт.) </w:t>
      </w:r>
      <w:r w:rsidRPr="00722885">
        <w:rPr>
          <w:rFonts w:ascii="Times New Roman" w:hAnsi="Times New Roman"/>
          <w:color w:val="000000" w:themeColor="text1"/>
          <w:sz w:val="16"/>
          <w:szCs w:val="16"/>
        </w:rPr>
        <w:t>приспо</w:t>
      </w:r>
      <w:r w:rsidRPr="00722885">
        <w:rPr>
          <w:rFonts w:ascii="Times New Roman" w:hAnsi="Times New Roman"/>
          <w:color w:val="000000" w:themeColor="text1"/>
          <w:sz w:val="16"/>
          <w:szCs w:val="16"/>
        </w:rPr>
        <w:softHyphen/>
        <w:t>собить существующий двухместный самолет Ил-2 с АМ-38ф». На самолете требовалось предусмотреть установку рации РСБ и СПУ, аэрофотоаппарата АФА-1, а также навигационных приборов. Опытный самолет-корректировщик необходимо было выпустить на испытания к 15 марта 1943 г. (11474,387).</w:t>
      </w:r>
    </w:p>
    <w:p w14:paraId="3C14CCD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50328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 августа 1942 Нач. 10 ГУ Тарасевич писал письмо N п/816 НКАП А.И.Ш.:</w:t>
      </w:r>
    </w:p>
    <w:p w14:paraId="652358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"Согласно Вашего указания по телеграмме Шихарева и Тимофеева направляю проект Постановления ГКО по вопросу замены моторов М-87 на М-88Б на 175 самолетах ДБ-3, находящихся в частях ВВС ДВФ и ЗАБВО.</w:t>
      </w:r>
    </w:p>
    <w:p w14:paraId="18129C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Работа по замене моторов будет проведена заводом 126 после окончания работ по замене моторов на самолетах ВВС ВМФ, т.е. в октябре-декабре 1942.</w:t>
      </w:r>
    </w:p>
    <w:p w14:paraId="1D0B71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Для выполнения этой работы заводу 126 необходимо будет поставить 350 моторов М-88Б, 350 винтов ВИШ-23 и 350 радиаторов ВМС-8..." Прилагался проект </w:t>
      </w:r>
      <w:r w:rsidRPr="00722885">
        <w:rPr>
          <w:color w:val="000000" w:themeColor="text1"/>
          <w:sz w:val="16"/>
          <w:szCs w:val="16"/>
        </w:rPr>
        <w:lastRenderedPageBreak/>
        <w:t>постановления КО (1685,97).</w:t>
      </w:r>
    </w:p>
    <w:p w14:paraId="5B06B91E" w14:textId="77777777" w:rsidR="00AE7191" w:rsidRPr="00722885" w:rsidRDefault="00AE7191" w:rsidP="00722885">
      <w:pPr>
        <w:pStyle w:val="Iauiue"/>
        <w:jc w:val="both"/>
        <w:rPr>
          <w:color w:val="000000" w:themeColor="text1"/>
          <w:sz w:val="16"/>
          <w:szCs w:val="16"/>
        </w:rPr>
      </w:pPr>
    </w:p>
    <w:p w14:paraId="2BF890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13 по 29 августа 1942 проходили войсковые испытания в боевых условиях М-82 на Ла-5 (1315,65).</w:t>
      </w:r>
    </w:p>
    <w:p w14:paraId="79C9D8AC" w14:textId="77777777" w:rsidR="00AE7191" w:rsidRPr="00722885" w:rsidRDefault="00AE7191" w:rsidP="00722885">
      <w:pPr>
        <w:pStyle w:val="Iauiue"/>
        <w:jc w:val="both"/>
        <w:rPr>
          <w:color w:val="000000" w:themeColor="text1"/>
          <w:sz w:val="16"/>
          <w:szCs w:val="16"/>
        </w:rPr>
      </w:pPr>
    </w:p>
    <w:p w14:paraId="4F8A435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13 августа 1942 г. по приказу № 627с деревообрабатывающие цеха завода № 169 </w:t>
      </w:r>
      <w:r w:rsidRPr="00722885">
        <w:rPr>
          <w:rFonts w:ascii="Times New Roman" w:hAnsi="Times New Roman"/>
          <w:color w:val="000000" w:themeColor="text1"/>
          <w:sz w:val="16"/>
          <w:szCs w:val="16"/>
          <w:lang w:val="en-US"/>
        </w:rPr>
        <w:t>HKAII</w:t>
      </w:r>
      <w:r w:rsidRPr="00722885">
        <w:rPr>
          <w:rFonts w:ascii="Times New Roman" w:hAnsi="Times New Roman"/>
          <w:color w:val="000000" w:themeColor="text1"/>
          <w:sz w:val="16"/>
          <w:szCs w:val="16"/>
        </w:rPr>
        <w:t xml:space="preserve"> (бывшая мебельная фабрика № 3 НКлеса) переданы в качестве филиала № 2 заводу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  г. Москва 1-й Боткинский пр., 7 тел. 252-81-41,207-04-76/) для изготовления деревянных частей самолетов и переведены из 6ГУ в ЮГУ. В соответствии с пост. СМ СССР № 1612с от 5.07.1945 г. и приказом № 306с/203пс от 24.07.1945 г. Филиал № 2 передан обратно со всем оборудованием и личным составом в НК леса (11982).</w:t>
      </w:r>
    </w:p>
    <w:p w14:paraId="0645EFA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4083A2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августа 1942 г. по приказу № 627с завод № 169 НКАП был разделен: деревообрабатывающие цеха (бывшая мебельная фабрика) переданы в качестве филиала заводу № 30 для изготовления деревянных частей самолетов и переведены из 6ГУ в 10ГУ; механические цеха оставлены в 6ГУ (планировалось передать их заводу № 482 НКАП).</w:t>
      </w:r>
    </w:p>
    <w:p w14:paraId="0AABCB8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(12.1941 г.-)- А.А. Ткаченко (11982).</w:t>
      </w:r>
    </w:p>
    <w:p w14:paraId="7BAAC57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166498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C1EF3FE" w14:textId="77777777" w:rsidR="00AE7191" w:rsidRPr="00722885" w:rsidRDefault="00AE7191" w:rsidP="00722885">
      <w:pPr>
        <w:pStyle w:val="Iauiue"/>
        <w:jc w:val="both"/>
        <w:rPr>
          <w:iCs/>
          <w:color w:val="000000" w:themeColor="text1"/>
          <w:sz w:val="16"/>
          <w:szCs w:val="16"/>
        </w:rPr>
      </w:pPr>
    </w:p>
    <w:p w14:paraId="3A83231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августа 1942 г. вышел ПРИКАЗ ПО АТУ ГАБТУ КА И ГЛАВТРАНСМАШУ НКСМ О НАЗНАЧЕНИИ КОМИССИИ ПО ИСПЫТАНИЯМ № 78/9</w:t>
      </w:r>
    </w:p>
    <w:p w14:paraId="53E66F6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исполнение распоряжения Совета народных комиссаров СССР от 6.08.1942 года № 14662-р в периоде 16.08.1942 г. по 1.09.1942 г. провести испытания опытных образцов автоприцепов с деревян</w:t>
      </w:r>
      <w:r w:rsidRPr="00722885">
        <w:rPr>
          <w:rFonts w:ascii="Times New Roman" w:hAnsi="Times New Roman"/>
          <w:color w:val="000000" w:themeColor="text1"/>
          <w:sz w:val="16"/>
          <w:szCs w:val="16"/>
        </w:rPr>
        <w:softHyphen/>
        <w:t>ной рамой на Ирбитском заводе автоприцепов № 1 Главтрансмаша НКСМ СССР.</w:t>
      </w:r>
    </w:p>
    <w:p w14:paraId="4A4C2C1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проведения испытаний назначить комиссию в составе:</w:t>
      </w:r>
    </w:p>
    <w:p w14:paraId="6744433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комиссии — ст. инженер НИБ Главтрансмаша СССР т. Баритко.</w:t>
      </w:r>
    </w:p>
    <w:p w14:paraId="40D4C05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члены комиссии:</w:t>
      </w:r>
    </w:p>
    <w:p w14:paraId="3CE4D95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АТУ ГАБТУ КА — военпред ГАБТУ КА на Ирбитском заводе автоприцепов т. Беляев;</w:t>
      </w:r>
    </w:p>
    <w:p w14:paraId="3273073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ГУ ВВС КА — по назначению ГУ ВВС Красной Армии;</w:t>
      </w:r>
    </w:p>
    <w:p w14:paraId="01E7D72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УСГ КА — по назначению УСГ Красной Армии;</w:t>
      </w:r>
    </w:p>
    <w:p w14:paraId="3636437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завода автоприцепов № 1 — главный инженер завода т. Герцев,</w:t>
      </w:r>
    </w:p>
    <w:p w14:paraId="5AC72AE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главный конструктор т. Воробьев.</w:t>
      </w:r>
    </w:p>
    <w:p w14:paraId="25C7099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Материальное обеспечение испытаний возложить на автоприцепный завод № 1.</w:t>
      </w:r>
    </w:p>
    <w:p w14:paraId="5FC7958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прицепов провести по прилагаемой программе.</w:t>
      </w:r>
    </w:p>
    <w:p w14:paraId="06BF8A2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 программа испытаний.</w:t>
      </w:r>
    </w:p>
    <w:p w14:paraId="7D23992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АТУ ГАБТУ КА генерал-майор технических войск Тягунов</w:t>
      </w:r>
    </w:p>
    <w:p w14:paraId="59B8A7E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комиссар АТУ ГАБТУ КА полковой комиссар Лозовский</w:t>
      </w:r>
    </w:p>
    <w:p w14:paraId="1C0EC85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И.о. начальника Главтрансмаша НКСМ СССР Драйчик</w:t>
      </w:r>
    </w:p>
    <w:p w14:paraId="7E28E05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w:t>
      </w:r>
    </w:p>
    <w:p w14:paraId="0133339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УТВЕРЖДАЮ</w:t>
      </w:r>
    </w:p>
    <w:p w14:paraId="244DD99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АТУ ГАБТУ КА</w:t>
      </w:r>
    </w:p>
    <w:p w14:paraId="59A0DA6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генерал-майор технических войск полковой комиссар Тягунов</w:t>
      </w:r>
    </w:p>
    <w:p w14:paraId="0AE8A73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августа 1942 г.</w:t>
      </w:r>
    </w:p>
    <w:p w14:paraId="1A646EE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УТВЕРЖДАЮ Военком АТУ ГАБТУ КА Митькин</w:t>
      </w:r>
    </w:p>
    <w:p w14:paraId="1A007AE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августа 1942 г.</w:t>
      </w:r>
    </w:p>
    <w:p w14:paraId="1F77AC9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УТВЕРЖДАЮ Зам. народного комиссара среднего машиностроения СССР Митькин Лозовский </w:t>
      </w:r>
    </w:p>
    <w:p w14:paraId="4D25BB7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августа 1942 г.</w:t>
      </w:r>
    </w:p>
    <w:p w14:paraId="3B9548B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ПРОГРАММА</w:t>
      </w:r>
    </w:p>
    <w:p w14:paraId="6913DD8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испытаний автотракторных прицепов на деревянной раме 1. Объект испытания</w:t>
      </w:r>
    </w:p>
    <w:p w14:paraId="3A25D18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Испытанию подвергаются опытные образцы двухосных, трехтонных автотракторных прицепов, изготовленные Ирбитским автоприцепным заводом № 1 в соответствии с распоряжением СНК СССР № 14662-р по эскизному проекту, утвержденному АТУ ГАБТУ КА и Главтрансмашем.</w:t>
      </w:r>
    </w:p>
    <w:p w14:paraId="57E48B0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Цель испытания</w:t>
      </w:r>
    </w:p>
    <w:p w14:paraId="75B5601B"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1. Проверить прочность и надежность отдельных узлов и всего прицепа в целом в условиях его эксплуатации при статической нагрузке с перегрузом 50% (4500 кг) и при динамической нагрузке с перегрузом 25% (3750 кг).</w:t>
      </w:r>
    </w:p>
    <w:p w14:paraId="4A34D53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Определить возможность:</w:t>
      </w:r>
    </w:p>
    <w:p w14:paraId="67E5282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использования данного типа прицепа в эксплуатации за автомобилем и трактором в условиях войсковых частей Красной Армии при перевозке грузов общевойскового и специального назначения;</w:t>
      </w:r>
    </w:p>
    <w:p w14:paraId="5D42335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монтажа на шасси прицепа бензоцистерн и других спецустановок.</w:t>
      </w:r>
    </w:p>
    <w:p w14:paraId="4FB85BE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Порядок и объем испытаний 1. Полный километраж пробеговых испытаний — 1000 км за автомашиной и трактором, из них:</w:t>
      </w:r>
    </w:p>
    <w:p w14:paraId="6EAAC22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600 км по шоссейным, грунтовым и булыжным дорогам за автомашиной под нагрузкой;</w:t>
      </w:r>
    </w:p>
    <w:p w14:paraId="27E80B9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100 км за автомашиной на предельной скорости, без нагрузки;</w:t>
      </w:r>
    </w:p>
    <w:p w14:paraId="0C11989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300 км по пересеченной местности с преодолением препятствий (рвы, канавы, ухабы и т.п.) за трактором, под нагрузкой, в сцепе не менее 2 прицепов.</w:t>
      </w:r>
    </w:p>
    <w:p w14:paraId="1A16BE0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Испытания пробегом производить на максимальных скоростях, допускаемых дорожными условиями и мощностью тягачей.</w:t>
      </w:r>
    </w:p>
    <w:p w14:paraId="7585EE9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 процессе испытания выяснить:</w:t>
      </w:r>
    </w:p>
    <w:p w14:paraId="2E1EBF9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прочность и надежность отдельных узлов рамы, подвесок с рессорой, переднего и заднего сцепных устройств и других узлов, мягкость и прочность подвески, периодичность подтяжки крепления;</w:t>
      </w:r>
    </w:p>
    <w:p w14:paraId="6CA9E30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влияние прицепки на буксирующую машину (динамическое и по экономическим показателям);</w:t>
      </w:r>
    </w:p>
    <w:p w14:paraId="4C78043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устойчивость прицепа на наклонных дорогах и поворотах под различной нагрузкой; определить допустимые и предельные углы наклона; дать соображения о высоте рамы для монтажа спецустановок;</w:t>
      </w:r>
    </w:p>
    <w:p w14:paraId="3347CA6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минимальные радиусы поворота автомобиля и трактора с прицепом;</w:t>
      </w:r>
    </w:p>
    <w:p w14:paraId="642D231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удобство сцепки и расцепки прицепа с буксирующими автомашиной и трактором одним че</w:t>
      </w:r>
      <w:r w:rsidRPr="00722885">
        <w:rPr>
          <w:rFonts w:ascii="Times New Roman" w:hAnsi="Times New Roman"/>
          <w:color w:val="000000" w:themeColor="text1"/>
          <w:sz w:val="16"/>
          <w:szCs w:val="16"/>
        </w:rPr>
        <w:softHyphen/>
        <w:t>ловеком; удобство развертывания поезда на шоссейных дорогах, гибкость поезда;</w:t>
      </w:r>
    </w:p>
    <w:p w14:paraId="32A725D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 удобство обслуживания, загрузки и выгрузки прицепа;</w:t>
      </w:r>
    </w:p>
    <w:p w14:paraId="516424D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 поведение прицепа в продольной качке (галопирование);</w:t>
      </w:r>
    </w:p>
    <w:p w14:paraId="09E7181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 предельные и допустимые углы подъема при движении за автомашиной и трактором.</w:t>
      </w:r>
    </w:p>
    <w:p w14:paraId="0194E49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Произвести взвешивание порожнего прицепа и замеры (дать техническую характеристику), а именно:</w:t>
      </w:r>
    </w:p>
    <w:p w14:paraId="4812E08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размеры между лонжеронами;</w:t>
      </w:r>
    </w:p>
    <w:p w14:paraId="173B98A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расстояние между колесами (колея, продольная и поперечная база);</w:t>
      </w:r>
    </w:p>
    <w:p w14:paraId="645CBB5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погрузочная высота;</w:t>
      </w:r>
    </w:p>
    <w:p w14:paraId="548B4BD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обмер сечений лонжеронов, брусьев рамы и консолей;</w:t>
      </w:r>
    </w:p>
    <w:p w14:paraId="7EEA995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размер стрелы прогиба рессор под грузом 3000 кг, 3750 кг и 4500 кг. 5. Проверить правильность сборки и крепления узлов.</w:t>
      </w:r>
    </w:p>
    <w:p w14:paraId="090A0EC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Выводы</w:t>
      </w:r>
    </w:p>
    <w:p w14:paraId="61E4BBB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 основании проведенных испытаний составить отчет по всем вопросам программы испыта</w:t>
      </w:r>
      <w:r w:rsidRPr="00722885">
        <w:rPr>
          <w:rFonts w:ascii="Times New Roman" w:hAnsi="Times New Roman"/>
          <w:color w:val="000000" w:themeColor="text1"/>
          <w:sz w:val="16"/>
          <w:szCs w:val="16"/>
        </w:rPr>
        <w:softHyphen/>
        <w:t>ния, отметить отступления от чертежей и дефекты сборки, влияющие на прочность прицепа, зафиксировать результаты осмотра во время пробега и после него.</w:t>
      </w:r>
    </w:p>
    <w:p w14:paraId="1F02E8E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Отчет по испытаниям представить в Главтрансмаш и АТУ ГАБТУ КА.</w:t>
      </w:r>
    </w:p>
    <w:p w14:paraId="4DAE867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3 отдела АТУ ГАБТУ КА инженер-полковник Дацюк</w:t>
      </w:r>
    </w:p>
    <w:p w14:paraId="3B69702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И.о. начальника Главтрансмаша НКСМ СССР Драйчик</w:t>
      </w:r>
    </w:p>
    <w:p w14:paraId="57014C3B"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11386. Д. 140. Л. 151-154. Подлинник (11211).</w:t>
      </w:r>
    </w:p>
    <w:p w14:paraId="67D66420" w14:textId="77777777" w:rsidR="00AE7191" w:rsidRPr="00722885" w:rsidRDefault="00AE7191" w:rsidP="00722885">
      <w:pPr>
        <w:pStyle w:val="afff2"/>
        <w:jc w:val="both"/>
        <w:rPr>
          <w:i w:val="0"/>
          <w:iCs w:val="0"/>
          <w:color w:val="000000" w:themeColor="text1"/>
          <w:spacing w:val="0"/>
          <w:kern w:val="0"/>
          <w:position w:val="0"/>
          <w:sz w:val="16"/>
          <w:szCs w:val="16"/>
        </w:rPr>
      </w:pPr>
    </w:p>
    <w:p w14:paraId="26CC00A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Армия:</w:t>
      </w:r>
    </w:p>
    <w:p w14:paraId="7B420F7C" w14:textId="77777777" w:rsidR="00AE7191" w:rsidRPr="00722885" w:rsidRDefault="00AE7191" w:rsidP="00722885">
      <w:pPr>
        <w:pStyle w:val="Iauiue"/>
        <w:jc w:val="both"/>
        <w:rPr>
          <w:iCs/>
          <w:color w:val="000000" w:themeColor="text1"/>
          <w:sz w:val="16"/>
          <w:szCs w:val="16"/>
        </w:rPr>
      </w:pPr>
    </w:p>
    <w:p w14:paraId="3058FBD0"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августа в 1942 году утреннее сообщение Совинформбюро:</w:t>
      </w:r>
    </w:p>
    <w:p w14:paraId="60C12677"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13 августа наши войска вели бои с противником в районах Клетская, северо-восточнее Котельниково, а также в районах Черкесск, Майкоп и Краснодар.</w:t>
      </w:r>
    </w:p>
    <w:p w14:paraId="6CED7D24"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6DE6CD14"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Клетской продолжались упорные бои. На смену обескровленным частям противник бросает в бой свежие резервы. Н-ская стрелковая часть отбила шесть атак и нанесла противнику большой урон. В этом бою уничтожено 18 немецких танков, 3 бронемашины, 23 автомашины, 15 орудий и свыше 900 гитлеровцев. На другом участке противнику удалось несколько продвинуться вперёд.</w:t>
      </w:r>
    </w:p>
    <w:p w14:paraId="4A5673F9"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части атаковали противника и улучшили свои позиции. У одного населённого пункта завязался упорный бой. Этот пункт несколько раз переходил из рук в руки. По неполным данным, наши части в течение суток уничтожили 11 танков и до 500 солдат и офицеров противника.</w:t>
      </w:r>
    </w:p>
    <w:p w14:paraId="71ABED19"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наши войска вели тяжёлые оборонительные бои против наступающих войск противника. Перед фронтом обороны одной нашей части уничтожены 5 танков, 21 автомашина и истреблено свыше 400 гитлеровцев. Действиями артиллерии и бомбардировочной авиации разрушены две переправы, наведённые немцами через один водный рубеж. Противник понёс большие потери.</w:t>
      </w:r>
    </w:p>
    <w:p w14:paraId="6BB3C985"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районах Майкопа и Черкесска наши части вели напряжённые бои с танками и мотопехотой противника.</w:t>
      </w:r>
    </w:p>
    <w:p w14:paraId="6B46F3D1"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наши войска, преодолевая сопротивление противника, продолжают теснить вражеские войска. Населённый пункт К. очищен от немецких войск. Гитлеровцы, засевшие в каменных домах, полностью уничтожены. На другом участке отбиты ожесточённые контратаки противника. Уничтожено 400 гитлеровцев. Захваченов плен 170 немецких солдат и офицеров.</w:t>
      </w:r>
    </w:p>
    <w:p w14:paraId="1C04868C"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велись активные боевые действия. На одном из участков наши части заняли населённый пункт. Немцы пытались снова завладеть этим пунктом и в течение суток предприняли 15 контратак. Все атаки противника отбиты с большими для него потерями. Наши бойцы прочно удерживают захваченные позиции. По неполным данным, немцы потеряли только убитыми около 300 солдат и офицеров. На другом участке бойцы части, где командиром тов. Свиридов, в двухдневных боях истребили 560 гитлеровцев. Захвачены трофеи: 21 пулемёт, 4 орудия, 9 миномётов, 1.000 снарядов, 3.000 мин, 6 противотанковых ружей и большое количество винтовок.</w:t>
      </w:r>
    </w:p>
    <w:p w14:paraId="74AA78CE"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Карело-финский партизанский отряд под командованием тов. Г. совершил ночной налёт на гарнизон противника. Застигнув неприятеля врасплох, партизаны истребили 150 гитлеровцев и захватили 45 винтовок, 6 автоматов и радиостанцию.</w:t>
      </w:r>
    </w:p>
    <w:p w14:paraId="4AE96FC5"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Г., действующий в одном из районов Калининской области, пустил под откос эшелон противника с продовольствием. Партизаны этого же отряда подорвали бронепоезд оккупантов. Уничтожены паровоз и две бронеплощадки.</w:t>
      </w:r>
    </w:p>
    <w:p w14:paraId="7871B8FF"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немецкого солдата Иозефа найдено неотправленное письмо к сестре Сабине. В письме говорится: «Сегодня мы организовали себе 20 кур и 10 коров. Мы уводим из деревень всё население — взрослых и детей. Не помогают никакие мольбы. Мы умеем быть безжалостными. Если кто-нибудь не хочет идти, его приканчивают. Недавно в одной деревне группа жителей заупрямилась и ни за что не хотела уходить. Мы пришли в бешенство и тут же перестреляли их. А дальше произошло что-то страшное. Несколько русских женщин закололи вилами двух немецких солдат... Нас здесь ненавидят. Никто на родине не может себе представить, какая ярость у русских против нас».</w:t>
      </w:r>
    </w:p>
    <w:p w14:paraId="3DD30613"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людоеды сожгли дотла деревни Костричи, Козуличи, Кострицкую Слободку, Ореховку, Осиновку, Подстружье и Борки, Кировского района, Белорусской ССР. В этих деревнях гитлеровские палачи замучили и расстреляли свыше 600 советских жителей.</w:t>
      </w:r>
    </w:p>
    <w:p w14:paraId="639CCF0E"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крупной электростанции Тюссефальден (Норвегия) норвежские патриоты вывели из строя мощную турбину. На алюминиевом заводе «Норск Алюминиум» в районе Хардангер-фиорда пожаром уничтожено два цеха.» (14982).</w:t>
      </w:r>
    </w:p>
    <w:p w14:paraId="11C04938"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18C5A9DC"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августа в 1942 году вечернее сообщение Совинформбюро:</w:t>
      </w:r>
    </w:p>
    <w:p w14:paraId="72121F75"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13 августа наши войска вели бои в районах Клетская, северо-восточнее Котельниково, а также в районах Минеральные Воды, Черкесск, Майкоп и Краснодар.</w:t>
      </w:r>
    </w:p>
    <w:p w14:paraId="3C4DB0BC"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0B81DF10"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Финском заливе потоплена подводная лодка противника. В Баренцевом море потоплено три транспорта противника общим водоизмещением в 28.000 тонн.</w:t>
      </w:r>
    </w:p>
    <w:p w14:paraId="10571639"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12 августа частями нашей авиации на различных участках фронта уничтожено или повреждено до 60 немецких танков, более 200 автомашин с войсками и грузами, 45 повозок, 5 автоцистерн с горючим, взорвано 8 складов боеприпасов и 3 склада горючего, подавлен огонь 11 батарей полевой и зенитной артиллерии, рассеяно и частью уничтожено до 3 батальонов пехоты противника.</w:t>
      </w:r>
    </w:p>
    <w:p w14:paraId="77FC3F07"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Клетской происходили бои с численно превосходящими силами противника. Советские бойцы под командованием старшего лейтенанта Милюкова атаковали и опрокинули батальон вражеской пехоты. Уничтожено l50 немецких солдат и офицеров. Захвачены трофеи. На одном из участков самоотверженно сражался пулемётчик тов. Деркач. Он был ранен осколками мины в обе ноги, но продолжалвести огонь до последнего патрона. В этом бою тов. Деркач уничтожил 45 немцев. В течение дня советские лётчики в воздушных боях сбили 7 и уничтожили на аэродромах 13 немецких самолётов.</w:t>
      </w:r>
    </w:p>
    <w:p w14:paraId="230AE3D5"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вели упорные бои с противником. В боях за населённый пункт М. сводный отряд под командованием тов. Макарчука отбил атаку противника силою до батальона, а затем, перейдя в контратаку, обратил гитлеровцев в бегство. На поле боя осталось больше сотни вражеских трупов. Танкисты Н-ской части за пять дней боевых действий уничтожили 47 немецких танков, 14 автомашин с пехотой, 10 мотоциклов и до 300 гитлеровцев.</w:t>
      </w:r>
    </w:p>
    <w:p w14:paraId="73D3389E"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наши войска отбивали ожесточённые атаки противника. Огневыми налётами нашей артиллерии уничтожено до 70 вражеских танков, 75 автомашин и до 2.000 немецких солдат и офицеров, На участке Н-ской части за день уничтожено свыше 400 гитлеровцев, 5 орудий, 11 миномётов и 9 автомашин. Миномётным огнём разрушены две переправы неприятеля через реку. Большой урон нанесён скоплению автомашин и пехоты немцев, сосредоточенных для форсирования водного рубежа.</w:t>
      </w:r>
    </w:p>
    <w:p w14:paraId="0930083A"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Минеральных Вод и Черкесска наши части вели напряжённые оборонительные бои с численно превосходящими силами противника.</w:t>
      </w:r>
    </w:p>
    <w:p w14:paraId="12B8523E"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овладели одним населённым пунктом и разгромили 222 пехотный полк 75 немецкой пехотной дивизии. Советские лётчики в течение дня уничтожили до батальона пехоты, 8 танков, 36 автомашин, взорвали склад с боеприпасами и подавили огонь 5 артиллерийских и 4 миномётных батарей противника.</w:t>
      </w:r>
    </w:p>
    <w:p w14:paraId="4437DEB4"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Брянского фронта наши части во взаимодействии с танками после авиационной и артиллерийской подготовки атаковали врага. Сломив сопротивление немцев, наши подразделения форсировали реку и заняли несколько населённых пунктов. Продвигаясь вперёд, наши танкисты уничтожили 56 ДЗОТов и захватили 6 исправных немецких танков вместе с их экипажами.</w:t>
      </w:r>
    </w:p>
    <w:p w14:paraId="2E67727D"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Ленинградской области ведут ожесточённые бои с немецкимиоккупантами. Немецкое командование бросило против партизан крупные силы мотопехоты, танки и бронемашины. Объединённые партизанские отряды под командованием тов. В. за два дня боёв истребили до 500 гитлеровцев, подбили и сожгли 8 немецких танков и бронемашин.</w:t>
      </w:r>
    </w:p>
    <w:p w14:paraId="519FE9BE"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обер-ефрейтор 695 полка 340 немецкой пехотной дивизии Вальтер Гудер рассказал: «340 дивизия прибыла на советско-германский фронт в июле 1942 года. Деревня, которую занял наш полк, накануне была оставлена Красной Армией. Когда мы входили в деревню, на улице еще догорали десять немецких танков. Нам приказано было занять оборону и любой ценой не пропустить русских. Однако русские танки прорвались совсем с другой стороны. Солдаты в панике побежали назад. Командир роты удрал раньше всех. Обер-фельдфебель Штейдель из автомата расстреливал убегавших солдат, пытаясь их остановить. Когда я сбежал с возвышенности, там уже были русские, и я сдался без сопротивления. В этом бою мы понесли очень большие потери, так как весь полк был окружён русской пехотой и танками».</w:t>
      </w:r>
    </w:p>
    <w:p w14:paraId="7ED71109"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превращают жителей оккупированных советских районов в бесправных рабов. Совхоз «Искра», Ленинградской области, гитлеровцы объявили немецким «образцовым хозяйством» и передали барону Шауэру. Оккупанты заставляют крестьян окрестных деревень работать на барона по 15—16 часов в сутки. Никакого вознаграждения за каторжный труд крестьяне не получают. На день им выдают лишь 300 граммов овсяной муки. Недавно гитлеровские изверги согнали всех крестьян в совхоз и на центральной усадьбе публично выпороли 11 женщин и девушек. 55-летнюю колхозницу Кузьмину Елену Федоровну палачи запороли до смерти.</w:t>
      </w:r>
    </w:p>
    <w:p w14:paraId="1BB57F82"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норвежских партизан, действующий в районе Нарвика, за последние дни совершил несколько смелых налётов на немецкие патрули. Партизаны истребили 30 гитлеровцев, захватили 18 автоматов и много патронов. На дороге между Нарвиком и Эльвенесом на минах подорвано 3 немецких грузовика с боеприпасами.</w:t>
      </w:r>
    </w:p>
    <w:p w14:paraId="1CE94DCF"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Трудящиеся Таджикской ССР собрали и отправили защитникам Ленинграда большое количество подарков. На фронт бойцам, командирам и политработникам было доставлено 50 вагонов муки, риса, мяса, сушёных фруктов, мясных и овощных консервов.» (14982).</w:t>
      </w:r>
    </w:p>
    <w:p w14:paraId="3D5ABECA"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5D5614E3" w14:textId="77777777" w:rsidR="002C7978" w:rsidRPr="00722885" w:rsidRDefault="002C7978" w:rsidP="00722885">
      <w:pPr>
        <w:pStyle w:val="ae"/>
        <w:spacing w:before="0" w:after="0"/>
        <w:jc w:val="both"/>
        <w:textAlignment w:val="baseline"/>
        <w:rPr>
          <w:color w:val="000000" w:themeColor="text1"/>
          <w:sz w:val="16"/>
          <w:szCs w:val="16"/>
        </w:rPr>
      </w:pPr>
      <w:r w:rsidRPr="00722885">
        <w:rPr>
          <w:color w:val="000000" w:themeColor="text1"/>
          <w:sz w:val="16"/>
          <w:szCs w:val="16"/>
        </w:rPr>
        <w:t xml:space="preserve">13 августа 1942 на аэродроме Тусов в 17.40 по берлинскому времени объявили тревогу. По докладам постов наблюдения, к нему с востока приближалось около тридцати «цементбомберов», которых сопровождали примерно шестьдесят истребителей. Сразу же по взлетной полосе один за другим, поднимая большие клубы </w:t>
      </w:r>
      <w:r w:rsidRPr="00722885">
        <w:rPr>
          <w:color w:val="000000" w:themeColor="text1"/>
          <w:sz w:val="16"/>
          <w:szCs w:val="16"/>
        </w:rPr>
        <w:lastRenderedPageBreak/>
        <w:t>пыли, помчались «Мессершмитты».</w:t>
      </w:r>
    </w:p>
    <w:p w14:paraId="4A6C2992" w14:textId="77777777" w:rsidR="002C7978" w:rsidRPr="00722885" w:rsidRDefault="002C7978" w:rsidP="00722885">
      <w:pPr>
        <w:pStyle w:val="ae"/>
        <w:spacing w:before="0" w:after="0"/>
        <w:jc w:val="both"/>
        <w:textAlignment w:val="baseline"/>
        <w:rPr>
          <w:color w:val="000000" w:themeColor="text1"/>
          <w:sz w:val="16"/>
          <w:szCs w:val="16"/>
        </w:rPr>
      </w:pPr>
      <w:r w:rsidRPr="00722885">
        <w:rPr>
          <w:color w:val="000000" w:themeColor="text1"/>
          <w:sz w:val="16"/>
          <w:szCs w:val="16"/>
        </w:rPr>
        <w:t>Надо сказать, что противовоздушная оборона аэродромов люфтваффе была продумана очень тщательно. На наиболее вероятных направлениях полета штурмовиков Ил-2 немцы создавали многослойный барьер заградительного зенитного огня. Как правило, непосредственно аэродром прикрывали шесть-семь батарей. Каждая из них имела либо четыре 88-мм пушки и два 20-мм автомата, либо девять — двенадцать 20-мм или 37-мм автоматических пушек, а также четыре пулеметные точки, три звукоулавливателя и два прожектора. При этом все они располагались так, чтобы защитить стоянки самолетов и в то же время вести огонь в любом направлении. Посты наблюдения и оповещения имели отличную организацию и связь, вследствие чего работали чрезвычайно эффективно. Они эшелонировались в глубину своей территории, и расстояние между ними не превышало десяти километров. В силу всего этого «горбатым» нанести внезапный удар по аэродрому, как правило, не удавалось.</w:t>
      </w:r>
    </w:p>
    <w:p w14:paraId="3283AF77" w14:textId="77777777" w:rsidR="002C7978" w:rsidRPr="00722885" w:rsidRDefault="002C7978" w:rsidP="00722885">
      <w:pPr>
        <w:pStyle w:val="ae"/>
        <w:spacing w:before="0" w:after="0"/>
        <w:jc w:val="both"/>
        <w:textAlignment w:val="baseline"/>
        <w:rPr>
          <w:color w:val="000000" w:themeColor="text1"/>
          <w:sz w:val="16"/>
          <w:szCs w:val="16"/>
        </w:rPr>
      </w:pPr>
      <w:r w:rsidRPr="00722885">
        <w:rPr>
          <w:color w:val="000000" w:themeColor="text1"/>
          <w:sz w:val="16"/>
          <w:szCs w:val="16"/>
        </w:rPr>
        <w:t>Единственное, что могли этому противопоставить командиры штурмовых полков и дивизий, — это ставшие традиционными удары с бреющего полета. Полет на малой высоте и сброс бомб с высоты 20–30 метров позволяли в некоторых случаях достичь тактической внезапности. Однако, по признанию самих летчиков-штурмовиков, подобная тактика имела и множество недостатков. Александр Николаевич Ефимов, ставший в годы войны дважды Героем Советского Союза, вспоминал:</w:t>
      </w:r>
    </w:p>
    <w:p w14:paraId="00EF3184" w14:textId="77777777" w:rsidR="002C7978" w:rsidRPr="00722885" w:rsidRDefault="002C7978"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«Удар с малых высот не позволял летчикам полностью использовать боевые возможности штурмовика. Бомбы при этом приходилось сбрасывать с замедленным взрывом, чтобы не поразить осколками свой самолет. Существенно снижалась точность бомбометания и от рикошетирования бомб. Стрельба из пушек и пулеметов тоже была затруднена, и это эффективное оружие зачастую не использовалось … Резко ухудшались в бреющем полете условия ведения ориентировки и поиска цели. Штурмовики вынуждены были летать вдоль какого-то линейного ориентира или привязываться к хорошо заметным площадным, чтобы точно выйти в район расположения цели».</w:t>
      </w:r>
    </w:p>
    <w:p w14:paraId="734B3ACA" w14:textId="77777777" w:rsidR="002C7978" w:rsidRPr="00722885" w:rsidRDefault="002C7978" w:rsidP="00722885">
      <w:pPr>
        <w:pStyle w:val="ae"/>
        <w:spacing w:before="0" w:after="0"/>
        <w:jc w:val="both"/>
        <w:textAlignment w:val="baseline"/>
        <w:rPr>
          <w:color w:val="000000" w:themeColor="text1"/>
          <w:sz w:val="16"/>
          <w:szCs w:val="16"/>
        </w:rPr>
      </w:pPr>
      <w:r w:rsidRPr="00722885">
        <w:rPr>
          <w:color w:val="000000" w:themeColor="text1"/>
          <w:sz w:val="16"/>
          <w:szCs w:val="16"/>
        </w:rPr>
        <w:t>Вот и 13 августа, получив вовремя предупреждение, немецкие истребители успели взлететь до начала атаки хорошо знакомых им «цементбомберов». На подходе к аэродрому завязался большой воздушный бой. Согласно данным люфтваффе, пилоты JG3 сбили 11 самолетов, а летчики I./JG53 — 22. Отличился командир 2-й эскадрильи JG53 лейтенант Вальтер Целлот, одержавший сразу три победы. Общие потери советской авиации составили 50 самолетов, и по степи вокруг аэродрома и дальше к линии фронта были разбросаны дымящиеся останки десятков Ил-2, ЛаГГ-3 и МиГ-1.</w:t>
      </w:r>
    </w:p>
    <w:p w14:paraId="281B4D2C" w14:textId="77777777" w:rsidR="002C7978" w:rsidRPr="00722885" w:rsidRDefault="002C7978" w:rsidP="00722885">
      <w:pPr>
        <w:pStyle w:val="ae"/>
        <w:spacing w:before="0" w:after="0"/>
        <w:jc w:val="both"/>
        <w:textAlignment w:val="baseline"/>
        <w:rPr>
          <w:color w:val="000000" w:themeColor="text1"/>
          <w:sz w:val="16"/>
          <w:szCs w:val="16"/>
        </w:rPr>
      </w:pPr>
      <w:r w:rsidRPr="00722885">
        <w:rPr>
          <w:color w:val="000000" w:themeColor="text1"/>
          <w:sz w:val="16"/>
          <w:szCs w:val="16"/>
        </w:rPr>
        <w:t>Разгром над Тусовом заставил советское командование на время отказаться от штурмовых ударов по немецким аэродромам. События 12–13 августа 1942 г. наглядно продемонстрировали слабое планирование воздушных операций, шаблонность тактики штурмовых атак и недостаточную обученность летчиков.</w:t>
      </w:r>
    </w:p>
    <w:p w14:paraId="3A6C64AE" w14:textId="77777777" w:rsidR="002C7978" w:rsidRPr="00722885" w:rsidRDefault="002C7978" w:rsidP="00722885">
      <w:pPr>
        <w:pStyle w:val="ae"/>
        <w:spacing w:before="0" w:after="0"/>
        <w:jc w:val="both"/>
        <w:textAlignment w:val="baseline"/>
        <w:rPr>
          <w:color w:val="000000" w:themeColor="text1"/>
          <w:sz w:val="16"/>
          <w:szCs w:val="16"/>
        </w:rPr>
      </w:pPr>
      <w:r w:rsidRPr="00722885">
        <w:rPr>
          <w:color w:val="000000" w:themeColor="text1"/>
          <w:sz w:val="16"/>
          <w:szCs w:val="16"/>
        </w:rPr>
        <w:t>Не случайно уже через десять дней — 22 августа — начальник штаба ВВС Красной армии генерал-лейтенант Фалалеев подписал секретный приказ № 332597с, адресованный командующим воздушными армиями и касающийся штурмовой авиации. В нем, в частности, констатировалось:</w:t>
      </w:r>
    </w:p>
    <w:p w14:paraId="6B5F3CED" w14:textId="77777777" w:rsidR="002C7978" w:rsidRPr="00722885" w:rsidRDefault="002C7978"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w:t>
      </w:r>
    </w:p>
    <w:p w14:paraId="3FB14882" w14:textId="77777777" w:rsidR="002C7978" w:rsidRPr="00722885" w:rsidRDefault="002C7978"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 окна фонаря, по шасси, по хвосту и управлению.</w:t>
      </w:r>
    </w:p>
    <w:p w14:paraId="0F37792C" w14:textId="77777777" w:rsidR="002C7978" w:rsidRPr="00722885" w:rsidRDefault="002C7978"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5E304D92" w14:textId="77777777" w:rsidR="002C7978" w:rsidRPr="00722885" w:rsidRDefault="002C7978"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…бреющий полет усложняет ориентировку, летный состав, особенно молодой, часто теряет ее и нередко делает вынужденные посадки вне аэродрома, надолго выводя при этом самолеты из строя» (19522).</w:t>
      </w:r>
    </w:p>
    <w:p w14:paraId="7E1CC9E7" w14:textId="77777777" w:rsidR="002C7978" w:rsidRPr="00722885" w:rsidRDefault="002C7978" w:rsidP="00722885">
      <w:pPr>
        <w:pStyle w:val="ae"/>
        <w:spacing w:before="0" w:after="0"/>
        <w:jc w:val="both"/>
        <w:textAlignment w:val="baseline"/>
        <w:rPr>
          <w:iCs/>
          <w:color w:val="000000" w:themeColor="text1"/>
          <w:sz w:val="16"/>
          <w:szCs w:val="16"/>
          <w:bdr w:val="none" w:sz="0" w:space="0" w:color="auto" w:frame="1"/>
        </w:rPr>
      </w:pPr>
    </w:p>
    <w:p w14:paraId="3F0658DF" w14:textId="77777777" w:rsidR="00AE3C43" w:rsidRPr="00722885" w:rsidRDefault="00AE3C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августа 1942 на аэродроме Тусов в 17.40 по берлинскому времени объявили тревогу. По докладам постов наблюдения, к нему с востока приближалось около тридцати «цементбомберов», которых сопровождали примерно шестьдесят истребителей. Сразу же по взлетной полосе один за другим, поднимая большие клубы пыли, помчались «Мессершмитты».</w:t>
      </w:r>
    </w:p>
    <w:p w14:paraId="718C38CD" w14:textId="77777777" w:rsidR="00AE3C43" w:rsidRPr="00722885" w:rsidRDefault="00AE3C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Противовоздушная оборона аэродромов люфтваффе была продумана очень тщательно. На наиболее вероятных направлениях полета штурмовиков Ил</w:t>
      </w:r>
      <w:r w:rsidRPr="00722885">
        <w:rPr>
          <w:rFonts w:ascii="Times New Roman" w:hAnsi="Times New Roman"/>
          <w:color w:val="0070C0"/>
          <w:sz w:val="16"/>
          <w:szCs w:val="16"/>
        </w:rPr>
        <w:noBreakHyphen/>
        <w:t>2 немцы создавали многослойный барьер заградительного зенитного огня. Как правило, непосредственно аэродром прикрывали шесть</w:t>
      </w:r>
      <w:r w:rsidRPr="00722885">
        <w:rPr>
          <w:rFonts w:ascii="Times New Roman" w:hAnsi="Times New Roman"/>
          <w:color w:val="0070C0"/>
          <w:sz w:val="16"/>
          <w:szCs w:val="16"/>
        </w:rPr>
        <w:noBreakHyphen/>
        <w:t>семь батарей. Каждая из них имела либо четыре 88</w:t>
      </w:r>
      <w:r w:rsidRPr="00722885">
        <w:rPr>
          <w:rFonts w:ascii="Times New Roman" w:hAnsi="Times New Roman"/>
          <w:color w:val="0070C0"/>
          <w:sz w:val="16"/>
          <w:szCs w:val="16"/>
        </w:rPr>
        <w:noBreakHyphen/>
        <w:t>мм пушки и два 20</w:t>
      </w:r>
      <w:r w:rsidRPr="00722885">
        <w:rPr>
          <w:rFonts w:ascii="Times New Roman" w:hAnsi="Times New Roman"/>
          <w:color w:val="0070C0"/>
          <w:sz w:val="16"/>
          <w:szCs w:val="16"/>
        </w:rPr>
        <w:noBreakHyphen/>
        <w:t>мм автомата, либо девять – двенадцать 20</w:t>
      </w:r>
      <w:r w:rsidRPr="00722885">
        <w:rPr>
          <w:rFonts w:ascii="Times New Roman" w:hAnsi="Times New Roman"/>
          <w:color w:val="0070C0"/>
          <w:sz w:val="16"/>
          <w:szCs w:val="16"/>
        </w:rPr>
        <w:noBreakHyphen/>
        <w:t>мм или 37</w:t>
      </w:r>
      <w:r w:rsidRPr="00722885">
        <w:rPr>
          <w:rFonts w:ascii="Times New Roman" w:hAnsi="Times New Roman"/>
          <w:color w:val="0070C0"/>
          <w:sz w:val="16"/>
          <w:szCs w:val="16"/>
        </w:rPr>
        <w:noBreakHyphen/>
        <w:t>мм автоматических пушек, а также четыре пулеметные точки, три звукоулавливателя и два прожектора. При этом все они располагались так, чтобы защитить стоянки самолетов и в то же время вести огонь в любом направлении. Посты наблюдения и оповещения имели отличную организацию и связь, вследствие чего работали чрезвычайно эффективно. Они эшелонировались в глубину своей территории, и расстояние между ними не превышало десяти километров. В силу всего этого «горбатым» нанести внезапный удар по аэродрому, как правило, не удавалось.</w:t>
      </w:r>
    </w:p>
    <w:p w14:paraId="2B6C0FDA" w14:textId="77777777" w:rsidR="00AE3C43" w:rsidRPr="00722885" w:rsidRDefault="00AE3C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Единственное, что могли этому противопоставить командиры штурмовых полков и дивизий, – это ставшие традиционными удары с бреющего полета. Полет на малой высоте и сброс бомб с высоты 20–30 метров позволяли в некоторых случаях достичь тактической внезапности. Однако, по признанию самих летчиков</w:t>
      </w:r>
      <w:r w:rsidRPr="00722885">
        <w:rPr>
          <w:rFonts w:ascii="Times New Roman" w:hAnsi="Times New Roman"/>
          <w:color w:val="0070C0"/>
          <w:sz w:val="16"/>
          <w:szCs w:val="16"/>
        </w:rPr>
        <w:noBreakHyphen/>
        <w:t>штурмовиков, подобная тактика имела и множество недостатков. Александр Николаевич Ефимов, ставший в годы войны дважды Героем Советского Союза, вспоминал: «Удар с малых высот не позволял летчикам полностью использовать боевые возможности штурмовика. Бомбы при этом приходилось сбрасывать с замедленным взрывом, чтобы не поразить осколками свой самолет. Существенно снижалась точность бомбометания и от рикошетирования бомб. Стрельба из пушек и пулеметов тоже была затруднена, и это эффективное оружие зачастую не использовалось … Резко ухудшались в бреющем полете условия ведения ориентировки и поиска цели. Штурмовики вынуждены были летать вдоль какого</w:t>
      </w:r>
      <w:r w:rsidRPr="00722885">
        <w:rPr>
          <w:rFonts w:ascii="Times New Roman" w:hAnsi="Times New Roman"/>
          <w:color w:val="0070C0"/>
          <w:sz w:val="16"/>
          <w:szCs w:val="16"/>
        </w:rPr>
        <w:noBreakHyphen/>
        <w:t>то линейного ориентира или привязываться к хорошо заметным площадным, чтобы точно выйти в район расположения цели» [44] .</w:t>
      </w:r>
    </w:p>
    <w:p w14:paraId="6BA8EFF1" w14:textId="77777777" w:rsidR="00AE3C43" w:rsidRPr="00722885" w:rsidRDefault="00AE3C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Вот и 13 августа, получив вовремя предупреждение, немецкие истребители успели взлететь до начала атаки хорошо знакомых им «цементбомберов». На подходе к аэродрому завязался большой воздушный бой. Согласно данным люфтваффе, пилоты JG3 сбили 11 самолетов, а летчики I./JG53 – 22. Отличился командир 2</w:t>
      </w:r>
      <w:r w:rsidRPr="00722885">
        <w:rPr>
          <w:rFonts w:ascii="Times New Roman" w:hAnsi="Times New Roman"/>
          <w:color w:val="0070C0"/>
          <w:sz w:val="16"/>
          <w:szCs w:val="16"/>
        </w:rPr>
        <w:noBreakHyphen/>
        <w:t>й эскадрильи JG53 лейтенант Вальтер Целлот, одержавший сразу три победы. Общие потери советской авиации составили 50 самолетов, и по степи вокруг аэродрома и дальше к линии фронта были разбросаны дымящиеся останки десятков Ил</w:t>
      </w:r>
      <w:r w:rsidRPr="00722885">
        <w:rPr>
          <w:rFonts w:ascii="Times New Roman" w:hAnsi="Times New Roman"/>
          <w:color w:val="0070C0"/>
          <w:sz w:val="16"/>
          <w:szCs w:val="16"/>
        </w:rPr>
        <w:noBreakHyphen/>
        <w:t>2, ЛаГГ</w:t>
      </w:r>
      <w:r w:rsidRPr="00722885">
        <w:rPr>
          <w:rFonts w:ascii="Times New Roman" w:hAnsi="Times New Roman"/>
          <w:color w:val="0070C0"/>
          <w:sz w:val="16"/>
          <w:szCs w:val="16"/>
        </w:rPr>
        <w:noBreakHyphen/>
        <w:t>3 и МиГ</w:t>
      </w:r>
      <w:r w:rsidRPr="00722885">
        <w:rPr>
          <w:rFonts w:ascii="Times New Roman" w:hAnsi="Times New Roman"/>
          <w:color w:val="0070C0"/>
          <w:sz w:val="16"/>
          <w:szCs w:val="16"/>
        </w:rPr>
        <w:noBreakHyphen/>
        <w:t>1.</w:t>
      </w:r>
    </w:p>
    <w:p w14:paraId="4B09D0E9" w14:textId="77777777" w:rsidR="00AE3C43" w:rsidRPr="00722885" w:rsidRDefault="00AE3C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Разгром над Тусовом заставил советское командование на время отказаться от штурмовых ударов по немецким аэродромам. События 12–13 августа 1942 г. наглядно продемонстрировали слабое планирование воздушных операций, шаблонность тактики штурмовых атак и недостаточную обученность летчиков (23199).</w:t>
      </w:r>
    </w:p>
    <w:p w14:paraId="52A044E6" w14:textId="77777777" w:rsidR="00AE3C43" w:rsidRPr="00722885" w:rsidRDefault="00AE3C43" w:rsidP="00722885">
      <w:pPr>
        <w:spacing w:after="0" w:line="240" w:lineRule="auto"/>
        <w:jc w:val="both"/>
        <w:rPr>
          <w:rFonts w:ascii="Times New Roman" w:hAnsi="Times New Roman"/>
          <w:color w:val="0070C0"/>
          <w:sz w:val="16"/>
          <w:szCs w:val="16"/>
        </w:rPr>
      </w:pPr>
    </w:p>
    <w:p w14:paraId="317AAA6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августа 1942 г. в 49-й Краснознаменный ИАП прибыли первые Ла-5 М-82А — полку поставили задачу провести войсковые испыта</w:t>
      </w:r>
      <w:r w:rsidRPr="00722885">
        <w:rPr>
          <w:rFonts w:ascii="Times New Roman" w:hAnsi="Times New Roman"/>
          <w:color w:val="000000" w:themeColor="text1"/>
          <w:sz w:val="16"/>
          <w:szCs w:val="16"/>
        </w:rPr>
        <w:softHyphen/>
        <w:t>ния (ВИ) нового истребителя. Самолет вызвал настороженное отно</w:t>
      </w:r>
      <w:r w:rsidRPr="00722885">
        <w:rPr>
          <w:rFonts w:ascii="Times New Roman" w:hAnsi="Times New Roman"/>
          <w:color w:val="000000" w:themeColor="text1"/>
          <w:sz w:val="16"/>
          <w:szCs w:val="16"/>
        </w:rPr>
        <w:softHyphen/>
        <w:t>шение: фамильное сходство с ЛаГГ-3 было не лучшей рекоменда</w:t>
      </w:r>
      <w:r w:rsidRPr="00722885">
        <w:rPr>
          <w:rFonts w:ascii="Times New Roman" w:hAnsi="Times New Roman"/>
          <w:color w:val="000000" w:themeColor="text1"/>
          <w:sz w:val="16"/>
          <w:szCs w:val="16"/>
        </w:rPr>
        <w:softHyphen/>
        <w:t>цией, мощный мотор — это хорошо, но как он покажет себя в бою? Вопрос был далеко не праздный. Уже было известно, что командо</w:t>
      </w:r>
      <w:r w:rsidRPr="00722885">
        <w:rPr>
          <w:rFonts w:ascii="Times New Roman" w:hAnsi="Times New Roman"/>
          <w:color w:val="000000" w:themeColor="text1"/>
          <w:sz w:val="16"/>
          <w:szCs w:val="16"/>
        </w:rPr>
        <w:softHyphen/>
        <w:t>вание ВВС планировало среди прочих перевооружить на Ла-5 один из лучших авиаполков — 434-й ИАП, но несколько летчиков поле</w:t>
      </w:r>
      <w:r w:rsidRPr="00722885">
        <w:rPr>
          <w:rFonts w:ascii="Times New Roman" w:hAnsi="Times New Roman"/>
          <w:color w:val="000000" w:themeColor="text1"/>
          <w:sz w:val="16"/>
          <w:szCs w:val="16"/>
        </w:rPr>
        <w:softHyphen/>
        <w:t>тали на новом самолете, дали отрицательный отзыв, и комполка В.И. Сталин добился, чтобы его часть перевооружили на Як-9 (11123).</w:t>
      </w:r>
    </w:p>
    <w:p w14:paraId="49E7816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15BA2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 августа 1942 немцы наступали на Кавказ (2261).</w:t>
      </w:r>
    </w:p>
    <w:p w14:paraId="437A06E0" w14:textId="77777777" w:rsidR="00AE7191" w:rsidRPr="00722885" w:rsidRDefault="00AE7191" w:rsidP="00722885">
      <w:pPr>
        <w:pStyle w:val="Iauiue"/>
        <w:jc w:val="both"/>
        <w:rPr>
          <w:color w:val="000000" w:themeColor="text1"/>
          <w:sz w:val="16"/>
          <w:szCs w:val="16"/>
        </w:rPr>
      </w:pPr>
    </w:p>
    <w:p w14:paraId="3B668EC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688116A0" w14:textId="77777777" w:rsidR="00AE7191" w:rsidRPr="00722885" w:rsidRDefault="00AE7191" w:rsidP="00722885">
      <w:pPr>
        <w:pStyle w:val="Iauiue"/>
        <w:jc w:val="both"/>
        <w:rPr>
          <w:iCs/>
          <w:color w:val="000000" w:themeColor="text1"/>
          <w:sz w:val="16"/>
          <w:szCs w:val="16"/>
        </w:rPr>
      </w:pPr>
    </w:p>
    <w:p w14:paraId="3B4DF5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 августа 1942 года</w:t>
      </w:r>
    </w:p>
    <w:p w14:paraId="38C6A5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ПРЕМЬЕРА СТАЛИНА</w:t>
      </w:r>
    </w:p>
    <w:p w14:paraId="37C795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ИНФОРМАЦИОННОЕ СООБЩЕНИЕ Конвой на Мальту</w:t>
      </w:r>
    </w:p>
    <w:p w14:paraId="7EB7DC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Самые последние сообщения говорят о том, что мы понесли следующие потери:</w:t>
      </w:r>
    </w:p>
    <w:p w14:paraId="6EA359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a) потоплены: авианосец “Игл”, 5 транспортов;</w:t>
      </w:r>
    </w:p>
    <w:p w14:paraId="0B9FD3C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b) наскочили на мину или торпедированы, но состояние неизвестно: 3 крейсера — “Нигерия”, “Кения”, “Каир”;</w:t>
      </w:r>
    </w:p>
    <w:p w14:paraId="0D8B81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c) повреждены: авианосец “Индомитэбл” — в результате воздушного нападения, эсминец “Форсайт” — в результате торпедирования.</w:t>
      </w:r>
    </w:p>
    <w:p w14:paraId="3C047A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Потери противника, согласно полученным сообщениям, следующие: две подводные лодки протаранены и потоплены, и одна подводная лодка почти наверняка потоплена в результате воздушного нападения (еще одна подводная лодка потоплена в Атлантическом океане 3 августа и одна — 10 августа в Средиземном море).</w:t>
      </w:r>
    </w:p>
    <w:p w14:paraId="12CD0D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Противник сконцентрировал большое количество авиации, и считают, что наши истребители, действуя с авианосцев, работали очень хорошо и одержали крупную победу.</w:t>
      </w:r>
    </w:p>
    <w:p w14:paraId="5F98B5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Сегодня утром (в четверг) может произойти сражение с крейсерами противника. Противник располагает также линейным кораблем в открытом море.</w:t>
      </w:r>
    </w:p>
    <w:p w14:paraId="0069FD3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5. Как мы предполагали, этот конвой, направлявшийся к указанному важному форпосту в Средиземном море, должен был проложить себе путь с боями, преодолевая </w:t>
      </w:r>
      <w:r w:rsidRPr="00722885">
        <w:rPr>
          <w:color w:val="000000" w:themeColor="text1"/>
          <w:sz w:val="16"/>
          <w:szCs w:val="16"/>
        </w:rPr>
        <w:lastRenderedPageBreak/>
        <w:t>весьма сильное сопротивление, и какая его часть достигнет места назначения, пока неизвестно.</w:t>
      </w:r>
    </w:p>
    <w:p w14:paraId="7D2430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Налеты авиации</w:t>
      </w:r>
    </w:p>
    <w:p w14:paraId="706D17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ночь с 11 на 12 августа мы выслали в общей сложности 427 бомбардировщиков; 220 бомбардировщиков направились на Майнц, где были отмечены очень большие пожары, а 154 — на Гавр. Остальные самолеты минировали море и т. д.</w:t>
      </w:r>
    </w:p>
    <w:p w14:paraId="24249A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Потери составили 16 бомбардировщиков, и 3 бомбардировщика разбились на обратном пути.</w:t>
      </w:r>
    </w:p>
    <w:p w14:paraId="2B4248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 Ч. (7430).</w:t>
      </w:r>
    </w:p>
    <w:p w14:paraId="28DFC1B4" w14:textId="77777777" w:rsidR="00AE7191" w:rsidRPr="00722885" w:rsidRDefault="00AE7191" w:rsidP="00722885">
      <w:pPr>
        <w:pStyle w:val="Iauiue"/>
        <w:jc w:val="both"/>
        <w:rPr>
          <w:color w:val="000000" w:themeColor="text1"/>
          <w:sz w:val="16"/>
          <w:szCs w:val="16"/>
        </w:rPr>
      </w:pPr>
    </w:p>
    <w:p w14:paraId="2B16D1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 августа 1942 года</w:t>
      </w:r>
    </w:p>
    <w:p w14:paraId="25760D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 В. СТАЛИН У. ЧЕРЧИЛЛЮ *</w:t>
      </w:r>
    </w:p>
    <w:p w14:paraId="3CFEF6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МЕМОРАНДУМ</w:t>
      </w:r>
    </w:p>
    <w:p w14:paraId="1C4F32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результате обмена мнений в Москве, имевшего место 12 августа с. г., я установил, что Премьер-Министр Великобритании г. Черчилль считает невозможной организацию второго фронта в Европе в 1942 году.</w:t>
      </w:r>
    </w:p>
    <w:p w14:paraId="253EED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Как известно, организация второго фронта в Европе в 1942 году была предрешена во время посещения Молотовым Лондона и она была отражена в согласованном англо-советском коммюнике, опубликованном 12 июня с. г.</w:t>
      </w:r>
    </w:p>
    <w:p w14:paraId="7A230D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Известно также, что организация второго фронта в Европе имела своей целью отвлечение немецких сил с восточного фронта на Запад, создание на Западе серьезной базы сопротивления немецко-фашистским силам и облегчение таким образом положения советских войск на советско-германском фронте в 1942 году.</w:t>
      </w:r>
    </w:p>
    <w:p w14:paraId="2DD52E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Вполне понятно, что Советское Командование строило план своих летних и осенних операций в расчете на создание второго фронта в Европе в 1942 году.</w:t>
      </w:r>
    </w:p>
    <w:p w14:paraId="66787EB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Легко понять, что отказ Правительства Великобритании от создания второго фронта в 1942 году в Европе наносит моральный удар всей советской общественности, рассчитывающей на создание второго фронта, осложняет положение Красной Армии на фронте и наносит ущерб планам Советского Командования.</w:t>
      </w:r>
    </w:p>
    <w:p w14:paraId="37A143E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 уже не говорю о том, что затруднения для Красной Армии, создающиеся в результате отказа от создания второго фронта в 1942 году, несомненно, должны будут ухудшить военное положение Англии и всех остальных союзников.</w:t>
      </w:r>
    </w:p>
    <w:p w14:paraId="40B631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Мне и моим коллегам кажется, что 1942 год представляет наиболее благоприятные условия для создания второго фронта в Европе, так как почти все силы немецких войск, и притом лучшие силы, отвлечены на восточный фронт, а в Европе оставлено незначительное количество сил, и притом худших сил. Неизвестно, будет ли представлять 1943 год такие же благоприятные условия для создания второго фронта, как 1942 год. Мы считаем поэтому, что именно в 1942 году возможно и следует создать второй фронт в Европе. Но мне, к сожалению, не удалось убедить в этом господина Премьер-Министра Великобритании, а г. Гарриман, представитель Президента США при переговорах в Москве, целиком поддержал господина Премьер-Министра.</w:t>
      </w:r>
    </w:p>
    <w:p w14:paraId="289249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 СТАЛИН (7430).</w:t>
      </w:r>
    </w:p>
    <w:p w14:paraId="0F237ACE" w14:textId="77777777" w:rsidR="00AE7191" w:rsidRPr="00722885" w:rsidRDefault="00AE7191" w:rsidP="00722885">
      <w:pPr>
        <w:pStyle w:val="Iauiue"/>
        <w:jc w:val="both"/>
        <w:rPr>
          <w:color w:val="000000" w:themeColor="text1"/>
          <w:sz w:val="16"/>
          <w:szCs w:val="16"/>
        </w:rPr>
      </w:pPr>
    </w:p>
    <w:p w14:paraId="5F2AEB94" w14:textId="77777777" w:rsidR="00DF0DDA"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C9C7631" w14:textId="77777777" w:rsidR="00DF0DDA" w:rsidRPr="00722885" w:rsidRDefault="00DF0DDA" w:rsidP="00722885">
      <w:pPr>
        <w:pStyle w:val="Iauiue"/>
        <w:jc w:val="both"/>
        <w:rPr>
          <w:iCs/>
          <w:color w:val="000000" w:themeColor="text1"/>
          <w:sz w:val="16"/>
          <w:szCs w:val="16"/>
        </w:rPr>
      </w:pPr>
    </w:p>
    <w:p w14:paraId="696EFF14"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13 августа в 1942 году во время операции </w:t>
      </w:r>
      <w:hyperlink r:id="rId65" w:tgtFrame="_blank" w:history="1">
        <w:r w:rsidRPr="00722885">
          <w:rPr>
            <w:rFonts w:ascii="Times New Roman" w:hAnsi="Times New Roman"/>
            <w:color w:val="000000" w:themeColor="text1"/>
            <w:sz w:val="16"/>
            <w:szCs w:val="16"/>
          </w:rPr>
          <w:t xml:space="preserve">«Пьедестал» </w:t>
        </w:r>
      </w:hyperlink>
      <w:r w:rsidRPr="00722885">
        <w:rPr>
          <w:rFonts w:ascii="Times New Roman" w:hAnsi="Times New Roman"/>
          <w:color w:val="000000" w:themeColor="text1"/>
          <w:sz w:val="16"/>
          <w:szCs w:val="16"/>
        </w:rPr>
        <w:t xml:space="preserve">потоплен крейсер потоплен крейсер </w:t>
      </w:r>
      <w:hyperlink r:id="rId66" w:anchor="102505" w:tgtFrame="_blank" w:history="1">
        <w:r w:rsidRPr="00722885">
          <w:rPr>
            <w:rFonts w:ascii="Times New Roman" w:hAnsi="Times New Roman"/>
            <w:color w:val="000000" w:themeColor="text1"/>
            <w:sz w:val="16"/>
            <w:szCs w:val="16"/>
          </w:rPr>
          <w:t>«Манчестер» («Manchester»).</w:t>
        </w:r>
      </w:hyperlink>
    </w:p>
    <w:p w14:paraId="623C94D4"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4E29A48B"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августа 1942, атакуя конвой «Пьедестал», самолеты Оси потопили еще два грузовых корабля и нанесли дополнительный урон танкеру (20793).</w:t>
      </w:r>
    </w:p>
    <w:p w14:paraId="2E9A4290" w14:textId="77777777" w:rsidR="00F51760" w:rsidRPr="00722885" w:rsidRDefault="00F51760" w:rsidP="00722885">
      <w:pPr>
        <w:spacing w:after="0" w:line="240" w:lineRule="auto"/>
        <w:jc w:val="both"/>
        <w:rPr>
          <w:rFonts w:ascii="Times New Roman" w:hAnsi="Times New Roman"/>
          <w:color w:val="0070C0"/>
          <w:sz w:val="16"/>
          <w:szCs w:val="16"/>
        </w:rPr>
      </w:pPr>
    </w:p>
    <w:p w14:paraId="49267ECD"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августа в 1942 году в США официально утвержден проект работ по созданию атомной бомбы - знаменитый Манхеттенсткий проект. Все работы были переданы в ведение специально созданного подразделения округа инженерных войск. Все необходимые для работы кадры ученых, помещения, лаборатории промышленные установки и органы по обеспечению охраны и безопсности были подчинены руководителю проекта - бригадному генералу инженерных войск Л.Гровсу (14982).</w:t>
      </w:r>
    </w:p>
    <w:p w14:paraId="64DB6CFD"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50F1230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DDA1D82" w14:textId="77777777" w:rsidR="00AE7191" w:rsidRPr="00722885" w:rsidRDefault="00AE7191" w:rsidP="00722885">
      <w:pPr>
        <w:pStyle w:val="Iauiue"/>
        <w:jc w:val="both"/>
        <w:rPr>
          <w:iCs/>
          <w:color w:val="000000" w:themeColor="text1"/>
          <w:sz w:val="16"/>
          <w:szCs w:val="16"/>
        </w:rPr>
      </w:pPr>
    </w:p>
    <w:p w14:paraId="43AAED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 августа 1942 года зам. наркома НКАП Воронин писал письмо N Н 36/3203 командующему АДД генерал-лейтенанту авиации Голованову, нач-ку заказов и ТС ВВС генерал-майору инж. авиац. службы Селезневу.</w:t>
      </w:r>
    </w:p>
    <w:p w14:paraId="0F57C9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вопросу: о замене авиагоризонта АГП-1 на самолетах ИЛ-4.</w:t>
      </w:r>
    </w:p>
    <w:p w14:paraId="35E799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вопросу о работе авиагоризонтов АГП-1 установленных на самолетах ИЛ-4 и о замене их на авиагоризонты другого типа сообщаю:</w:t>
      </w:r>
    </w:p>
    <w:p w14:paraId="10EED2B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Замена авиагоризонта АГП-1 на авиагоризонт другого типа не дает эффекта, так как авиагоризонты всех типов выпуска 42 года по своим качествам одинаковы.</w:t>
      </w:r>
    </w:p>
    <w:p w14:paraId="35158A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Необходимые меры к улучшению качества авиагоризонтов АГП-1 Наркоматом приняты, путем повышения требования и технологии изготовления и сборки прибора.</w:t>
      </w:r>
    </w:p>
    <w:p w14:paraId="16788E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окончательного решения по данному вопросу прошу ускорить представление в НКАП подробных материалов характеризующих работу приборов в боевых условиях (1633,253).</w:t>
      </w:r>
    </w:p>
    <w:p w14:paraId="2A1066F4" w14:textId="77777777" w:rsidR="00AE7191" w:rsidRPr="00722885" w:rsidRDefault="00AE7191" w:rsidP="00722885">
      <w:pPr>
        <w:pStyle w:val="Iauiue"/>
        <w:jc w:val="both"/>
        <w:rPr>
          <w:color w:val="000000" w:themeColor="text1"/>
          <w:sz w:val="16"/>
          <w:szCs w:val="16"/>
        </w:rPr>
      </w:pPr>
    </w:p>
    <w:p w14:paraId="524A69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 августа 1942 Воронин писал командующему АДД Голованову письмо N 729:</w:t>
      </w:r>
    </w:p>
    <w:p w14:paraId="0BB832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вопросу о работе авиагоризонтов АГП-1, установленных на самолете Ил-4 и о замене их на АГ др. типа сообщаю:</w:t>
      </w:r>
    </w:p>
    <w:p w14:paraId="347566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Замена АГП-1 на АГ других типов не дает эффекта, т.к. АГ всех типов выпуска 1942 по свои качествам одинаковы (1633,253).</w:t>
      </w:r>
    </w:p>
    <w:p w14:paraId="16EB650C" w14:textId="77777777" w:rsidR="00AE7191" w:rsidRPr="00722885" w:rsidRDefault="00AE7191" w:rsidP="00722885">
      <w:pPr>
        <w:pStyle w:val="Iauiue"/>
        <w:jc w:val="both"/>
        <w:rPr>
          <w:color w:val="000000" w:themeColor="text1"/>
          <w:sz w:val="16"/>
          <w:szCs w:val="16"/>
        </w:rPr>
      </w:pPr>
    </w:p>
    <w:p w14:paraId="5F9037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 августа 1942 Нач. ГУЗ и ТС ВВС и-м иас Селезнев и военком ГУЗ и ТС Шаповалов писали Дементьеву письмо N 376244:</w:t>
      </w:r>
    </w:p>
    <w:p w14:paraId="3AB107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"Сообщаю Вам, что до настоящего времени самолет Ту-2 с М-82 не доведен." (1315,2).</w:t>
      </w:r>
    </w:p>
    <w:p w14:paraId="34841D0F" w14:textId="77777777" w:rsidR="00AE7191" w:rsidRPr="00722885" w:rsidRDefault="00AE7191" w:rsidP="00722885">
      <w:pPr>
        <w:pStyle w:val="Iauiue"/>
        <w:jc w:val="both"/>
        <w:rPr>
          <w:color w:val="000000" w:themeColor="text1"/>
          <w:sz w:val="16"/>
          <w:szCs w:val="16"/>
        </w:rPr>
      </w:pPr>
    </w:p>
    <w:p w14:paraId="4B5B92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 августа 1942 Нач. 8 ГУ НКАП В.Поликовский подготовил для А.И.Ш. Справку О состоянии опытных работ на 10 августа 1942 по моторостроительным заводам N 19, 29, 26, 24, 16, 500 и ОКБ-250. АМ-38Ф в рамках отчета 24 завода - упоминался кратко - что никаких существенных изменений не произошло, но говорилось о том, что один из АМ-39 направлен С.В.И., а один - А.И.М. (1684,191).</w:t>
      </w:r>
    </w:p>
    <w:p w14:paraId="12FDFE9F" w14:textId="77777777" w:rsidR="00AE7191" w:rsidRPr="00722885" w:rsidRDefault="00AE7191" w:rsidP="00722885">
      <w:pPr>
        <w:pStyle w:val="Iauiue"/>
        <w:jc w:val="both"/>
        <w:rPr>
          <w:color w:val="000000" w:themeColor="text1"/>
          <w:sz w:val="16"/>
          <w:szCs w:val="16"/>
        </w:rPr>
      </w:pPr>
    </w:p>
    <w:p w14:paraId="351DD8B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августа 1942 А.И.Микоян предложил руководству НИИ ВВС испытать один из самолетов для условий работы на больших высотах. МиГ—3 зав. № 4486 ока</w:t>
      </w:r>
      <w:r w:rsidRPr="00722885">
        <w:rPr>
          <w:rFonts w:ascii="Times New Roman" w:hAnsi="Times New Roman"/>
          <w:color w:val="000000" w:themeColor="text1"/>
          <w:sz w:val="16"/>
          <w:szCs w:val="16"/>
        </w:rPr>
        <w:softHyphen/>
        <w:t>зался несколько тяжелее «облегченного», поскольку на нем сохранили исходное вооружение из двух БС с суммарным боезапасом в 500 патронов. С полетной массой 3252 кг самолет достиг практического потол</w:t>
      </w:r>
      <w:r w:rsidRPr="00722885">
        <w:rPr>
          <w:rFonts w:ascii="Times New Roman" w:hAnsi="Times New Roman"/>
          <w:color w:val="000000" w:themeColor="text1"/>
          <w:sz w:val="16"/>
          <w:szCs w:val="16"/>
        </w:rPr>
        <w:softHyphen/>
        <w:t>ка 11000 м за 34,3 мин; на набор 5000 м уходило 8,1 мин. В заключении по испытаниям заместитель начальника НИИ ВВС генерал П.И. Федоров указал, что годом ранее практический потолок МиГ—3 зав. № 3809, равный 11500 м, получен «экстраполяцией» графика вертикальной скорости; в действительности истребитель тогда не поднялся выше 8000 м. Результаты не могли удовлетворить командова</w:t>
      </w:r>
      <w:r w:rsidRPr="00722885">
        <w:rPr>
          <w:rFonts w:ascii="Times New Roman" w:hAnsi="Times New Roman"/>
          <w:color w:val="000000" w:themeColor="text1"/>
          <w:sz w:val="16"/>
          <w:szCs w:val="16"/>
        </w:rPr>
        <w:softHyphen/>
        <w:t>ние — высотные разведчики противника действова</w:t>
      </w:r>
      <w:r w:rsidRPr="00722885">
        <w:rPr>
          <w:rFonts w:ascii="Times New Roman" w:hAnsi="Times New Roman"/>
          <w:color w:val="000000" w:themeColor="text1"/>
          <w:sz w:val="16"/>
          <w:szCs w:val="16"/>
        </w:rPr>
        <w:softHyphen/>
        <w:t>ли заметно выше практического потолка нашего ис</w:t>
      </w:r>
      <w:r w:rsidRPr="00722885">
        <w:rPr>
          <w:rFonts w:ascii="Times New Roman" w:hAnsi="Times New Roman"/>
          <w:color w:val="000000" w:themeColor="text1"/>
          <w:sz w:val="16"/>
          <w:szCs w:val="16"/>
        </w:rPr>
        <w:softHyphen/>
        <w:t>требителя. Тем не менее, МиГ—3 продолжали рассматривать как весьма перспективный истреби</w:t>
      </w:r>
      <w:r w:rsidRPr="00722885">
        <w:rPr>
          <w:rFonts w:ascii="Times New Roman" w:hAnsi="Times New Roman"/>
          <w:color w:val="000000" w:themeColor="text1"/>
          <w:sz w:val="16"/>
          <w:szCs w:val="16"/>
        </w:rPr>
        <w:softHyphen/>
        <w:t>тель для ведения борьбы с неприятельскими маши</w:t>
      </w:r>
      <w:r w:rsidRPr="00722885">
        <w:rPr>
          <w:rFonts w:ascii="Times New Roman" w:hAnsi="Times New Roman"/>
          <w:color w:val="000000" w:themeColor="text1"/>
          <w:sz w:val="16"/>
          <w:szCs w:val="16"/>
        </w:rPr>
        <w:softHyphen/>
        <w:t>нами на больших высотах (9984).</w:t>
      </w:r>
    </w:p>
    <w:p w14:paraId="550F3B0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459040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14 ав</w:t>
      </w:r>
      <w:r w:rsidRPr="00722885">
        <w:rPr>
          <w:rFonts w:ascii="Times New Roman" w:hAnsi="Times New Roman"/>
          <w:color w:val="000000" w:themeColor="text1"/>
          <w:sz w:val="16"/>
          <w:szCs w:val="16"/>
        </w:rPr>
        <w:softHyphen/>
        <w:t>густа по 15 сентября 1942 года 49-й Краснознаменный ИАП (коман</w:t>
      </w:r>
      <w:r w:rsidRPr="00722885">
        <w:rPr>
          <w:rFonts w:ascii="Times New Roman" w:hAnsi="Times New Roman"/>
          <w:color w:val="000000" w:themeColor="text1"/>
          <w:sz w:val="16"/>
          <w:szCs w:val="16"/>
        </w:rPr>
        <w:softHyphen/>
        <w:t>дир майор Л.И. Сорокин, военком батальонный комиссар В.Е. Лукьянов) вел боевую работу первым на ЛА-5, вы</w:t>
      </w:r>
      <w:r w:rsidRPr="00722885">
        <w:rPr>
          <w:rFonts w:ascii="Times New Roman" w:hAnsi="Times New Roman"/>
          <w:color w:val="000000" w:themeColor="text1"/>
          <w:sz w:val="16"/>
          <w:szCs w:val="16"/>
        </w:rPr>
        <w:softHyphen/>
        <w:t>полняя задания по сопровождению бомбардировщиков, прикрытию на</w:t>
      </w:r>
      <w:r w:rsidRPr="00722885">
        <w:rPr>
          <w:rFonts w:ascii="Times New Roman" w:hAnsi="Times New Roman"/>
          <w:color w:val="000000" w:themeColor="text1"/>
          <w:sz w:val="16"/>
          <w:szCs w:val="16"/>
        </w:rPr>
        <w:softHyphen/>
        <w:t>земных войск и уничтожению авиа</w:t>
      </w:r>
      <w:r w:rsidRPr="00722885">
        <w:rPr>
          <w:rFonts w:ascii="Times New Roman" w:hAnsi="Times New Roman"/>
          <w:color w:val="000000" w:themeColor="text1"/>
          <w:sz w:val="16"/>
          <w:szCs w:val="16"/>
        </w:rPr>
        <w:softHyphen/>
        <w:t>ции противника. За этот период им было сделано 369 боевых вылетов, с общей нара</w:t>
      </w:r>
      <w:r w:rsidRPr="00722885">
        <w:rPr>
          <w:rFonts w:ascii="Times New Roman" w:hAnsi="Times New Roman"/>
          <w:color w:val="000000" w:themeColor="text1"/>
          <w:sz w:val="16"/>
          <w:szCs w:val="16"/>
        </w:rPr>
        <w:softHyphen/>
        <w:t>боткой моторов 335 ч 22 мин. В за</w:t>
      </w:r>
      <w:r w:rsidRPr="00722885">
        <w:rPr>
          <w:rFonts w:ascii="Times New Roman" w:hAnsi="Times New Roman"/>
          <w:color w:val="000000" w:themeColor="text1"/>
          <w:sz w:val="16"/>
          <w:szCs w:val="16"/>
        </w:rPr>
        <w:softHyphen/>
        <w:t>чет войсковых испытаний самолета Ла-5 была принята боевая работа с 28 августа по 15 сентября (10699). Всего полком с начала эксплуата</w:t>
      </w:r>
      <w:r w:rsidRPr="00722885">
        <w:rPr>
          <w:rFonts w:ascii="Times New Roman" w:hAnsi="Times New Roman"/>
          <w:color w:val="000000" w:themeColor="text1"/>
          <w:sz w:val="16"/>
          <w:szCs w:val="16"/>
        </w:rPr>
        <w:softHyphen/>
        <w:t>ции на Ла-5 с М-82 было сделано 1093 полета с общей наработкой моторов 762 ч 55 мин, из них 593 ч 49 мин в воздухе и 169 ч 06 мин на земле. Войсковые испытания проходили самолеты Ла-5 1-й серии (было так</w:t>
      </w:r>
      <w:r w:rsidRPr="00722885">
        <w:rPr>
          <w:rFonts w:ascii="Times New Roman" w:hAnsi="Times New Roman"/>
          <w:color w:val="000000" w:themeColor="text1"/>
          <w:sz w:val="16"/>
          <w:szCs w:val="16"/>
        </w:rPr>
        <w:softHyphen/>
        <w:t>же 3 машины 2-й серии) с моторами М-82 1-й и 2-й серии и винтами ВИШ-105. Моторы были снабжены карбю</w:t>
      </w:r>
      <w:r w:rsidRPr="00722885">
        <w:rPr>
          <w:rFonts w:ascii="Times New Roman" w:hAnsi="Times New Roman"/>
          <w:color w:val="000000" w:themeColor="text1"/>
          <w:sz w:val="16"/>
          <w:szCs w:val="16"/>
        </w:rPr>
        <w:softHyphen/>
        <w:t>раторами серии А-2 и воздушным самопуском. В процессе боевой работы исполь</w:t>
      </w:r>
      <w:r w:rsidRPr="00722885">
        <w:rPr>
          <w:rFonts w:ascii="Times New Roman" w:hAnsi="Times New Roman"/>
          <w:color w:val="000000" w:themeColor="text1"/>
          <w:sz w:val="16"/>
          <w:szCs w:val="16"/>
        </w:rPr>
        <w:softHyphen/>
        <w:t>зовалось топливо с октановым чис</w:t>
      </w:r>
      <w:r w:rsidRPr="00722885">
        <w:rPr>
          <w:rFonts w:ascii="Times New Roman" w:hAnsi="Times New Roman"/>
          <w:color w:val="000000" w:themeColor="text1"/>
          <w:sz w:val="16"/>
          <w:szCs w:val="16"/>
        </w:rPr>
        <w:softHyphen/>
        <w:t>лом 94-95 - 4Б-78, 3,2Б-78 с импорт</w:t>
      </w:r>
      <w:r w:rsidRPr="00722885">
        <w:rPr>
          <w:rFonts w:ascii="Times New Roman" w:hAnsi="Times New Roman"/>
          <w:color w:val="000000" w:themeColor="text1"/>
          <w:sz w:val="16"/>
          <w:szCs w:val="16"/>
        </w:rPr>
        <w:softHyphen/>
        <w:t>ной присадкой Р-9 и импортное 1Б-95, и масло МК и МС. По характеру боевой работы моторы большую часть времени полета работали на номи</w:t>
      </w:r>
      <w:r w:rsidRPr="00722885">
        <w:rPr>
          <w:rFonts w:ascii="Times New Roman" w:hAnsi="Times New Roman"/>
          <w:color w:val="000000" w:themeColor="text1"/>
          <w:sz w:val="16"/>
          <w:szCs w:val="16"/>
        </w:rPr>
        <w:softHyphen/>
        <w:t>нальном режиме. Во время воздуш</w:t>
      </w:r>
      <w:r w:rsidRPr="00722885">
        <w:rPr>
          <w:rFonts w:ascii="Times New Roman" w:hAnsi="Times New Roman"/>
          <w:color w:val="000000" w:themeColor="text1"/>
          <w:sz w:val="16"/>
          <w:szCs w:val="16"/>
        </w:rPr>
        <w:softHyphen/>
        <w:t>ного боя в некоторых случаях вклю</w:t>
      </w:r>
      <w:r w:rsidRPr="00722885">
        <w:rPr>
          <w:rFonts w:ascii="Times New Roman" w:hAnsi="Times New Roman"/>
          <w:color w:val="000000" w:themeColor="text1"/>
          <w:sz w:val="16"/>
          <w:szCs w:val="16"/>
        </w:rPr>
        <w:softHyphen/>
        <w:t>чался форсаж периодами по 3-5 ми</w:t>
      </w:r>
      <w:r w:rsidRPr="00722885">
        <w:rPr>
          <w:rFonts w:ascii="Times New Roman" w:hAnsi="Times New Roman"/>
          <w:color w:val="000000" w:themeColor="text1"/>
          <w:sz w:val="16"/>
          <w:szCs w:val="16"/>
        </w:rPr>
        <w:softHyphen/>
        <w:t>нут. Максимальная отмеченная про</w:t>
      </w:r>
      <w:r w:rsidRPr="00722885">
        <w:rPr>
          <w:rFonts w:ascii="Times New Roman" w:hAnsi="Times New Roman"/>
          <w:color w:val="000000" w:themeColor="text1"/>
          <w:sz w:val="16"/>
          <w:szCs w:val="16"/>
        </w:rPr>
        <w:softHyphen/>
        <w:t>должительность работы на номиналь</w:t>
      </w:r>
      <w:r w:rsidRPr="00722885">
        <w:rPr>
          <w:rFonts w:ascii="Times New Roman" w:hAnsi="Times New Roman"/>
          <w:color w:val="000000" w:themeColor="text1"/>
          <w:sz w:val="16"/>
          <w:szCs w:val="16"/>
        </w:rPr>
        <w:softHyphen/>
        <w:t>ном режиме — 50 мин и на форсаже - 13 мин (капитан Коломинов П.И.). На большинстве моторов после наработки 18-20 часов появлялась тряска при работе на Рк=800-950 мм рт. ст. из-за отказа свечей. После замены их тряска устранялась. Имелись 2 случая разрушения втулки главного шатуна вследствие масляного голодания мотора из-за недоработки маслосистемы самоле</w:t>
      </w:r>
      <w:r w:rsidRPr="00722885">
        <w:rPr>
          <w:rFonts w:ascii="Times New Roman" w:hAnsi="Times New Roman"/>
          <w:color w:val="000000" w:themeColor="text1"/>
          <w:sz w:val="16"/>
          <w:szCs w:val="16"/>
        </w:rPr>
        <w:softHyphen/>
        <w:t>та (выбивание масла и недостаточ</w:t>
      </w:r>
      <w:r w:rsidRPr="00722885">
        <w:rPr>
          <w:rFonts w:ascii="Times New Roman" w:hAnsi="Times New Roman"/>
          <w:color w:val="000000" w:themeColor="text1"/>
          <w:sz w:val="16"/>
          <w:szCs w:val="16"/>
        </w:rPr>
        <w:softHyphen/>
        <w:t>ный запас его - 18-19 л при наличии большого невырабатываемого остат</w:t>
      </w:r>
      <w:r w:rsidRPr="00722885">
        <w:rPr>
          <w:rFonts w:ascii="Times New Roman" w:hAnsi="Times New Roman"/>
          <w:color w:val="000000" w:themeColor="text1"/>
          <w:sz w:val="16"/>
          <w:szCs w:val="16"/>
        </w:rPr>
        <w:softHyphen/>
        <w:t>ка в маслобаке). На 7 самолетах имело место пере</w:t>
      </w:r>
      <w:r w:rsidRPr="00722885">
        <w:rPr>
          <w:rFonts w:ascii="Times New Roman" w:hAnsi="Times New Roman"/>
          <w:color w:val="000000" w:themeColor="text1"/>
          <w:sz w:val="16"/>
          <w:szCs w:val="16"/>
        </w:rPr>
        <w:softHyphen/>
        <w:t>полнение картера мотора маслом при работе на малых оборотах (800-1000 об/мин). Этот дефект имел место только на земле, в момент запуска и в момент руления после посадки. Дефект объяснялся неудовлетвори</w:t>
      </w:r>
      <w:r w:rsidRPr="00722885">
        <w:rPr>
          <w:rFonts w:ascii="Times New Roman" w:hAnsi="Times New Roman"/>
          <w:color w:val="000000" w:themeColor="text1"/>
          <w:sz w:val="16"/>
          <w:szCs w:val="16"/>
        </w:rPr>
        <w:softHyphen/>
        <w:t>тельной откачкой помпой МШ-5 при работе на малых оборотах при отно</w:t>
      </w:r>
      <w:r w:rsidRPr="00722885">
        <w:rPr>
          <w:rFonts w:ascii="Times New Roman" w:hAnsi="Times New Roman"/>
          <w:color w:val="000000" w:themeColor="text1"/>
          <w:sz w:val="16"/>
          <w:szCs w:val="16"/>
        </w:rPr>
        <w:softHyphen/>
        <w:t>сительно большом сопротивлении (при этих оборотах) фетрового фильтра, а также недостаточным рабочим запа</w:t>
      </w:r>
      <w:r w:rsidRPr="00722885">
        <w:rPr>
          <w:rFonts w:ascii="Times New Roman" w:hAnsi="Times New Roman"/>
          <w:color w:val="000000" w:themeColor="text1"/>
          <w:sz w:val="16"/>
          <w:szCs w:val="16"/>
        </w:rPr>
        <w:softHyphen/>
        <w:t>сом масла в баке (18-19 л). Запуск мотора производился кар</w:t>
      </w:r>
      <w:r w:rsidRPr="00722885">
        <w:rPr>
          <w:rFonts w:ascii="Times New Roman" w:hAnsi="Times New Roman"/>
          <w:color w:val="000000" w:themeColor="text1"/>
          <w:sz w:val="16"/>
          <w:szCs w:val="16"/>
        </w:rPr>
        <w:softHyphen/>
        <w:t>бюрированной смесью при помощи насоса ПН-1 и воздухораспредели</w:t>
      </w:r>
      <w:r w:rsidRPr="00722885">
        <w:rPr>
          <w:rFonts w:ascii="Times New Roman" w:hAnsi="Times New Roman"/>
          <w:color w:val="000000" w:themeColor="text1"/>
          <w:sz w:val="16"/>
          <w:szCs w:val="16"/>
        </w:rPr>
        <w:softHyphen/>
        <w:t>теля. Запуск автостартером был в редких случаях. Моторы в летних ус</w:t>
      </w:r>
      <w:r w:rsidRPr="00722885">
        <w:rPr>
          <w:rFonts w:ascii="Times New Roman" w:hAnsi="Times New Roman"/>
          <w:color w:val="000000" w:themeColor="text1"/>
          <w:sz w:val="16"/>
          <w:szCs w:val="16"/>
        </w:rPr>
        <w:softHyphen/>
        <w:t>ловиях при помощи воздуха и кар</w:t>
      </w:r>
      <w:r w:rsidRPr="00722885">
        <w:rPr>
          <w:rFonts w:ascii="Times New Roman" w:hAnsi="Times New Roman"/>
          <w:color w:val="000000" w:themeColor="text1"/>
          <w:sz w:val="16"/>
          <w:szCs w:val="16"/>
        </w:rPr>
        <w:softHyphen/>
        <w:t xml:space="preserve">бюрированной смеси запускались хорошо - как правило, с 1-й попытки. Запуск мотора при температуре </w:t>
      </w:r>
      <w:r w:rsidRPr="00722885">
        <w:rPr>
          <w:rFonts w:ascii="Times New Roman" w:hAnsi="Times New Roman"/>
          <w:color w:val="000000" w:themeColor="text1"/>
          <w:sz w:val="16"/>
          <w:szCs w:val="16"/>
        </w:rPr>
        <w:lastRenderedPageBreak/>
        <w:t>+5...0 °С был затруднен и требовал 2-3 по</w:t>
      </w:r>
      <w:r w:rsidRPr="00722885">
        <w:rPr>
          <w:rFonts w:ascii="Times New Roman" w:hAnsi="Times New Roman"/>
          <w:color w:val="000000" w:themeColor="text1"/>
          <w:sz w:val="16"/>
          <w:szCs w:val="16"/>
        </w:rPr>
        <w:softHyphen/>
        <w:t>пыток или запуска автостартером. Перезаливка мотора ухудшала запуск. В период испытаний работа мото</w:t>
      </w:r>
      <w:r w:rsidRPr="00722885">
        <w:rPr>
          <w:rFonts w:ascii="Times New Roman" w:hAnsi="Times New Roman"/>
          <w:color w:val="000000" w:themeColor="text1"/>
          <w:sz w:val="16"/>
          <w:szCs w:val="16"/>
        </w:rPr>
        <w:softHyphen/>
        <w:t>ров была проверена на всех режи</w:t>
      </w:r>
      <w:r w:rsidRPr="00722885">
        <w:rPr>
          <w:rFonts w:ascii="Times New Roman" w:hAnsi="Times New Roman"/>
          <w:color w:val="000000" w:themeColor="text1"/>
          <w:sz w:val="16"/>
          <w:szCs w:val="16"/>
        </w:rPr>
        <w:softHyphen/>
        <w:t>мах, включая и форсаж, до высоты 6000 м — выше боевые действия практи</w:t>
      </w:r>
      <w:r w:rsidRPr="00722885">
        <w:rPr>
          <w:rFonts w:ascii="Times New Roman" w:hAnsi="Times New Roman"/>
          <w:color w:val="000000" w:themeColor="text1"/>
          <w:sz w:val="16"/>
          <w:szCs w:val="16"/>
        </w:rPr>
        <w:softHyphen/>
        <w:t>чески не велись. Моторы на всех режимах работали нормально. На 2-й скорости нагнетателя с Н=3600-3800 м мотор работал удовлетворительно, без пользования ручным высотным корректором. Тряски и дымления при этом не наблюдалось. Ручным высот</w:t>
      </w:r>
      <w:r w:rsidRPr="00722885">
        <w:rPr>
          <w:rFonts w:ascii="Times New Roman" w:hAnsi="Times New Roman"/>
          <w:color w:val="000000" w:themeColor="text1"/>
          <w:sz w:val="16"/>
          <w:szCs w:val="16"/>
        </w:rPr>
        <w:softHyphen/>
        <w:t>ным корректором пользовались в бо</w:t>
      </w:r>
      <w:r w:rsidRPr="00722885">
        <w:rPr>
          <w:rFonts w:ascii="Times New Roman" w:hAnsi="Times New Roman"/>
          <w:color w:val="000000" w:themeColor="text1"/>
          <w:sz w:val="16"/>
          <w:szCs w:val="16"/>
        </w:rPr>
        <w:softHyphen/>
        <w:t>евых полетах в исключительно редких случаях и только наиболее опытные летчики для уменьшения расхода го</w:t>
      </w:r>
      <w:r w:rsidRPr="00722885">
        <w:rPr>
          <w:rFonts w:ascii="Times New Roman" w:hAnsi="Times New Roman"/>
          <w:color w:val="000000" w:themeColor="text1"/>
          <w:sz w:val="16"/>
          <w:szCs w:val="16"/>
        </w:rPr>
        <w:softHyphen/>
        <w:t>рючего. Температурный режим головок ци</w:t>
      </w:r>
      <w:r w:rsidRPr="00722885">
        <w:rPr>
          <w:rFonts w:ascii="Times New Roman" w:hAnsi="Times New Roman"/>
          <w:color w:val="000000" w:themeColor="text1"/>
          <w:sz w:val="16"/>
          <w:szCs w:val="16"/>
        </w:rPr>
        <w:softHyphen/>
        <w:t>линдров при работе мотора на зем</w:t>
      </w:r>
      <w:r w:rsidRPr="00722885">
        <w:rPr>
          <w:rFonts w:ascii="Times New Roman" w:hAnsi="Times New Roman"/>
          <w:color w:val="000000" w:themeColor="text1"/>
          <w:sz w:val="16"/>
          <w:szCs w:val="16"/>
        </w:rPr>
        <w:softHyphen/>
        <w:t>ле и в горизонтальном полете нахо</w:t>
      </w:r>
      <w:r w:rsidRPr="00722885">
        <w:rPr>
          <w:rFonts w:ascii="Times New Roman" w:hAnsi="Times New Roman"/>
          <w:color w:val="000000" w:themeColor="text1"/>
          <w:sz w:val="16"/>
          <w:szCs w:val="16"/>
        </w:rPr>
        <w:softHyphen/>
        <w:t>дился в пределах 160-230 °С. При работе на форсаже в течение более 5 мин и при непрерывном наборе высоты до 5000 м (при температуре головок цилиндров перед взлетом 200-210 °С), а также в воздушном бою температура головок цилиндров до</w:t>
      </w:r>
      <w:r w:rsidRPr="00722885">
        <w:rPr>
          <w:rFonts w:ascii="Times New Roman" w:hAnsi="Times New Roman"/>
          <w:color w:val="000000" w:themeColor="text1"/>
          <w:sz w:val="16"/>
          <w:szCs w:val="16"/>
        </w:rPr>
        <w:softHyphen/>
        <w:t>ходила до верхнего предела, т.е. до 250 °С, при полностью открытых створ</w:t>
      </w:r>
      <w:r w:rsidRPr="00722885">
        <w:rPr>
          <w:rFonts w:ascii="Times New Roman" w:hAnsi="Times New Roman"/>
          <w:color w:val="000000" w:themeColor="text1"/>
          <w:sz w:val="16"/>
          <w:szCs w:val="16"/>
        </w:rPr>
        <w:softHyphen/>
        <w:t>ках капота. Взлет производился через 1,5-2 мин после запуска, вследствие чего моторы достаточно не прогревались. Перед взлетом температура масла была 40-60 °С и температура голо</w:t>
      </w:r>
      <w:r w:rsidRPr="00722885">
        <w:rPr>
          <w:rFonts w:ascii="Times New Roman" w:hAnsi="Times New Roman"/>
          <w:color w:val="000000" w:themeColor="text1"/>
          <w:sz w:val="16"/>
          <w:szCs w:val="16"/>
        </w:rPr>
        <w:softHyphen/>
        <w:t>вок цилиндров - 120-150 °С. Пере</w:t>
      </w:r>
      <w:r w:rsidRPr="00722885">
        <w:rPr>
          <w:rFonts w:ascii="Times New Roman" w:hAnsi="Times New Roman"/>
          <w:color w:val="000000" w:themeColor="text1"/>
          <w:sz w:val="16"/>
          <w:szCs w:val="16"/>
        </w:rPr>
        <w:softHyphen/>
        <w:t>боев при этом в работе мотора не было. М-82 в боевой эксплуатации пока</w:t>
      </w:r>
      <w:r w:rsidRPr="00722885">
        <w:rPr>
          <w:rFonts w:ascii="Times New Roman" w:hAnsi="Times New Roman"/>
          <w:color w:val="000000" w:themeColor="text1"/>
          <w:sz w:val="16"/>
          <w:szCs w:val="16"/>
        </w:rPr>
        <w:softHyphen/>
        <w:t>зал живучесть и надежность. Во вре</w:t>
      </w:r>
      <w:r w:rsidRPr="00722885">
        <w:rPr>
          <w:rFonts w:ascii="Times New Roman" w:hAnsi="Times New Roman"/>
          <w:color w:val="000000" w:themeColor="text1"/>
          <w:sz w:val="16"/>
          <w:szCs w:val="16"/>
        </w:rPr>
        <w:softHyphen/>
        <w:t>мя воздушных боев имелось несколь</w:t>
      </w:r>
      <w:r w:rsidRPr="00722885">
        <w:rPr>
          <w:rFonts w:ascii="Times New Roman" w:hAnsi="Times New Roman"/>
          <w:color w:val="000000" w:themeColor="text1"/>
          <w:sz w:val="16"/>
          <w:szCs w:val="16"/>
        </w:rPr>
        <w:softHyphen/>
        <w:t>ко случаев попадания пуль и снаря</w:t>
      </w:r>
      <w:r w:rsidRPr="00722885">
        <w:rPr>
          <w:rFonts w:ascii="Times New Roman" w:hAnsi="Times New Roman"/>
          <w:color w:val="000000" w:themeColor="text1"/>
          <w:sz w:val="16"/>
          <w:szCs w:val="16"/>
        </w:rPr>
        <w:softHyphen/>
        <w:t>дов в мотор. Во всех случаях моторы не требовали съемки с самолета и после небольшого ремонта продол</w:t>
      </w:r>
      <w:r w:rsidRPr="00722885">
        <w:rPr>
          <w:rFonts w:ascii="Times New Roman" w:hAnsi="Times New Roman"/>
          <w:color w:val="000000" w:themeColor="text1"/>
          <w:sz w:val="16"/>
          <w:szCs w:val="16"/>
        </w:rPr>
        <w:softHyphen/>
        <w:t>жали работать. Примеры: 18 августа во время воз</w:t>
      </w:r>
      <w:r w:rsidRPr="00722885">
        <w:rPr>
          <w:rFonts w:ascii="Times New Roman" w:hAnsi="Times New Roman"/>
          <w:color w:val="000000" w:themeColor="text1"/>
          <w:sz w:val="16"/>
          <w:szCs w:val="16"/>
        </w:rPr>
        <w:softHyphen/>
        <w:t>душного боя на самолете №37210201, мотор №6501150 (ст. политрук Гай</w:t>
      </w:r>
      <w:r w:rsidRPr="00722885">
        <w:rPr>
          <w:rFonts w:ascii="Times New Roman" w:hAnsi="Times New Roman"/>
          <w:color w:val="000000" w:themeColor="text1"/>
          <w:sz w:val="16"/>
          <w:szCs w:val="16"/>
        </w:rPr>
        <w:softHyphen/>
        <w:t>дамак В.П.) пулей были пробиты вса</w:t>
      </w:r>
      <w:r w:rsidRPr="00722885">
        <w:rPr>
          <w:rFonts w:ascii="Times New Roman" w:hAnsi="Times New Roman"/>
          <w:color w:val="000000" w:themeColor="text1"/>
          <w:sz w:val="16"/>
          <w:szCs w:val="16"/>
        </w:rPr>
        <w:softHyphen/>
        <w:t>сывающий и выхлопной патрубки ци</w:t>
      </w:r>
      <w:r w:rsidRPr="00722885">
        <w:rPr>
          <w:rFonts w:ascii="Times New Roman" w:hAnsi="Times New Roman"/>
          <w:color w:val="000000" w:themeColor="text1"/>
          <w:sz w:val="16"/>
          <w:szCs w:val="16"/>
        </w:rPr>
        <w:softHyphen/>
        <w:t>линдра №5, имелся удар в гильзу ци</w:t>
      </w:r>
      <w:r w:rsidRPr="00722885">
        <w:rPr>
          <w:rFonts w:ascii="Times New Roman" w:hAnsi="Times New Roman"/>
          <w:color w:val="000000" w:themeColor="text1"/>
          <w:sz w:val="16"/>
          <w:szCs w:val="16"/>
        </w:rPr>
        <w:softHyphen/>
        <w:t>линдра №12. Мотор работал нор</w:t>
      </w:r>
      <w:r w:rsidRPr="00722885">
        <w:rPr>
          <w:rFonts w:ascii="Times New Roman" w:hAnsi="Times New Roman"/>
          <w:color w:val="000000" w:themeColor="text1"/>
          <w:sz w:val="16"/>
          <w:szCs w:val="16"/>
        </w:rPr>
        <w:softHyphen/>
        <w:t>мально и летчик, имея ранения, вер нулся на свой аэродром на расстоя</w:t>
      </w:r>
      <w:r w:rsidRPr="00722885">
        <w:rPr>
          <w:rFonts w:ascii="Times New Roman" w:hAnsi="Times New Roman"/>
          <w:color w:val="000000" w:themeColor="text1"/>
          <w:sz w:val="16"/>
          <w:szCs w:val="16"/>
        </w:rPr>
        <w:softHyphen/>
        <w:t>ние 40 км от места боя. 23 августа во время воздушного боя над линией фронта на самолете №37210107, мотор №6502263 (ст. л-т Клименко А.Ф.) были пробиты: вса</w:t>
      </w:r>
      <w:r w:rsidRPr="00722885">
        <w:rPr>
          <w:rFonts w:ascii="Times New Roman" w:hAnsi="Times New Roman"/>
          <w:color w:val="000000" w:themeColor="text1"/>
          <w:sz w:val="16"/>
          <w:szCs w:val="16"/>
        </w:rPr>
        <w:softHyphen/>
        <w:t>сывающее сопло карбюратора, крышка клапанной коробки цилиндра №1, выхлопной и всасывающий патрубки цилиндра №2, от осколков снаряда имелись вмятины картера редуктора и перебиты тросы управления Р-7. Мотор продолжал работать нормаль</w:t>
      </w:r>
      <w:r w:rsidRPr="00722885">
        <w:rPr>
          <w:rFonts w:ascii="Times New Roman" w:hAnsi="Times New Roman"/>
          <w:color w:val="000000" w:themeColor="text1"/>
          <w:sz w:val="16"/>
          <w:szCs w:val="16"/>
        </w:rPr>
        <w:softHyphen/>
        <w:t>но, и летчик вернулся на свой аэро</w:t>
      </w:r>
      <w:r w:rsidRPr="00722885">
        <w:rPr>
          <w:rFonts w:ascii="Times New Roman" w:hAnsi="Times New Roman"/>
          <w:color w:val="000000" w:themeColor="text1"/>
          <w:sz w:val="16"/>
          <w:szCs w:val="16"/>
        </w:rPr>
        <w:softHyphen/>
        <w:t>дром. Эксплуатация мотора в даль</w:t>
      </w:r>
      <w:r w:rsidRPr="00722885">
        <w:rPr>
          <w:rFonts w:ascii="Times New Roman" w:hAnsi="Times New Roman"/>
          <w:color w:val="000000" w:themeColor="text1"/>
          <w:sz w:val="16"/>
          <w:szCs w:val="16"/>
        </w:rPr>
        <w:softHyphen/>
        <w:t>нейшем, после соответствующего ре</w:t>
      </w:r>
      <w:r w:rsidRPr="00722885">
        <w:rPr>
          <w:rFonts w:ascii="Times New Roman" w:hAnsi="Times New Roman"/>
          <w:color w:val="000000" w:themeColor="text1"/>
          <w:sz w:val="16"/>
          <w:szCs w:val="16"/>
        </w:rPr>
        <w:softHyphen/>
        <w:t>монта, продолжалась нормально. 3 сентября на самолете №37210110, мотор №6502273 (л-т Ходун И.А.) один снаряд пробил всасывающее сопло и разорвался над дроссельными секто</w:t>
      </w:r>
      <w:r w:rsidRPr="00722885">
        <w:rPr>
          <w:rFonts w:ascii="Times New Roman" w:hAnsi="Times New Roman"/>
          <w:color w:val="000000" w:themeColor="text1"/>
          <w:sz w:val="16"/>
          <w:szCs w:val="16"/>
        </w:rPr>
        <w:softHyphen/>
        <w:t>рами карбюратора (имелось значи</w:t>
      </w:r>
      <w:r w:rsidRPr="00722885">
        <w:rPr>
          <w:rFonts w:ascii="Times New Roman" w:hAnsi="Times New Roman"/>
          <w:color w:val="000000" w:themeColor="text1"/>
          <w:sz w:val="16"/>
          <w:szCs w:val="16"/>
        </w:rPr>
        <w:softHyphen/>
        <w:t>тельное количество ударов в дрос</w:t>
      </w:r>
      <w:r w:rsidRPr="00722885">
        <w:rPr>
          <w:rFonts w:ascii="Times New Roman" w:hAnsi="Times New Roman"/>
          <w:color w:val="000000" w:themeColor="text1"/>
          <w:sz w:val="16"/>
          <w:szCs w:val="16"/>
        </w:rPr>
        <w:softHyphen/>
        <w:t>сельные сектора и форсунку). В ре</w:t>
      </w:r>
      <w:r w:rsidRPr="00722885">
        <w:rPr>
          <w:rFonts w:ascii="Times New Roman" w:hAnsi="Times New Roman"/>
          <w:color w:val="000000" w:themeColor="text1"/>
          <w:sz w:val="16"/>
          <w:szCs w:val="16"/>
        </w:rPr>
        <w:softHyphen/>
        <w:t>зультате ударов сектора заклинились. Наддув при этом был 800 мм. Другой снаряд пробил крышку клапанной коробки цилиндра №13, разорвался и осколками пробил всасывающий и выхлопной патрубки цилиндров №11, 12, 13, 14. Третий снаряд пробил пат</w:t>
      </w:r>
      <w:r w:rsidRPr="00722885">
        <w:rPr>
          <w:rFonts w:ascii="Times New Roman" w:hAnsi="Times New Roman"/>
          <w:color w:val="000000" w:themeColor="text1"/>
          <w:sz w:val="16"/>
          <w:szCs w:val="16"/>
        </w:rPr>
        <w:softHyphen/>
        <w:t>ронный ящик, всасывающий патрубок цилиндра №10 и, ударившись о реб</w:t>
      </w:r>
      <w:r w:rsidRPr="00722885">
        <w:rPr>
          <w:rFonts w:ascii="Times New Roman" w:hAnsi="Times New Roman"/>
          <w:color w:val="000000" w:themeColor="text1"/>
          <w:sz w:val="16"/>
          <w:szCs w:val="16"/>
        </w:rPr>
        <w:softHyphen/>
        <w:t>ра цилиндра №11, потерял пробив</w:t>
      </w:r>
      <w:r w:rsidRPr="00722885">
        <w:rPr>
          <w:rFonts w:ascii="Times New Roman" w:hAnsi="Times New Roman"/>
          <w:color w:val="000000" w:themeColor="text1"/>
          <w:sz w:val="16"/>
          <w:szCs w:val="16"/>
        </w:rPr>
        <w:softHyphen/>
        <w:t>ную способность. Мотор работал нормально, и летчик прилетел на свой аэродром на расстояние 80 км от места боя. Всего за время испытаний было 4 случая попадания пушечных снарядов в мотор, и во всех этих случаях мото</w:t>
      </w:r>
      <w:r w:rsidRPr="00722885">
        <w:rPr>
          <w:rFonts w:ascii="Times New Roman" w:hAnsi="Times New Roman"/>
          <w:color w:val="000000" w:themeColor="text1"/>
          <w:sz w:val="16"/>
          <w:szCs w:val="16"/>
        </w:rPr>
        <w:softHyphen/>
        <w:t>ры работали безотказно. При выпол</w:t>
      </w:r>
      <w:r w:rsidRPr="00722885">
        <w:rPr>
          <w:rFonts w:ascii="Times New Roman" w:hAnsi="Times New Roman"/>
          <w:color w:val="000000" w:themeColor="text1"/>
          <w:sz w:val="16"/>
          <w:szCs w:val="16"/>
        </w:rPr>
        <w:softHyphen/>
        <w:t>нении боевых заданий летный состав всегда был уверен в надежной рабо</w:t>
      </w:r>
      <w:r w:rsidRPr="00722885">
        <w:rPr>
          <w:rFonts w:ascii="Times New Roman" w:hAnsi="Times New Roman"/>
          <w:color w:val="000000" w:themeColor="text1"/>
          <w:sz w:val="16"/>
          <w:szCs w:val="16"/>
        </w:rPr>
        <w:softHyphen/>
        <w:t>те мотора. Если бы на месте М-82 был жидкостный мотор, летчикам при</w:t>
      </w:r>
      <w:r w:rsidRPr="00722885">
        <w:rPr>
          <w:rFonts w:ascii="Times New Roman" w:hAnsi="Times New Roman"/>
          <w:color w:val="000000" w:themeColor="text1"/>
          <w:sz w:val="16"/>
          <w:szCs w:val="16"/>
        </w:rPr>
        <w:softHyphen/>
        <w:t>шлось бы немедленно производить вынужденную посадку или даже по</w:t>
      </w:r>
      <w:r w:rsidRPr="00722885">
        <w:rPr>
          <w:rFonts w:ascii="Times New Roman" w:hAnsi="Times New Roman"/>
          <w:color w:val="000000" w:themeColor="text1"/>
          <w:sz w:val="16"/>
          <w:szCs w:val="16"/>
        </w:rPr>
        <w:softHyphen/>
        <w:t>кидать самолет с парашютом. Карбюраторы АК-82БП серии А-2 всё время находились под неусыпным вниманием и периодически подрегулировывались. С 1 по 15 сентября на 6-ти оставшихся в полку самолетах карбюраторы работали без регули</w:t>
      </w:r>
      <w:r w:rsidRPr="00722885">
        <w:rPr>
          <w:rFonts w:ascii="Times New Roman" w:hAnsi="Times New Roman"/>
          <w:color w:val="000000" w:themeColor="text1"/>
          <w:sz w:val="16"/>
          <w:szCs w:val="16"/>
        </w:rPr>
        <w:softHyphen/>
        <w:t>ровки удовлетворительно, за исклю</w:t>
      </w:r>
      <w:r w:rsidRPr="00722885">
        <w:rPr>
          <w:rFonts w:ascii="Times New Roman" w:hAnsi="Times New Roman"/>
          <w:color w:val="000000" w:themeColor="text1"/>
          <w:sz w:val="16"/>
          <w:szCs w:val="16"/>
        </w:rPr>
        <w:softHyphen/>
        <w:t>чением одного случая обогащения смеси на самолете №37210102. Вме</w:t>
      </w:r>
      <w:r w:rsidRPr="00722885">
        <w:rPr>
          <w:rFonts w:ascii="Times New Roman" w:hAnsi="Times New Roman"/>
          <w:color w:val="000000" w:themeColor="text1"/>
          <w:sz w:val="16"/>
          <w:szCs w:val="16"/>
        </w:rPr>
        <w:softHyphen/>
        <w:t>сте с тем отмечалось, что техсоста-вом полка эксплуатация карбюрато</w:t>
      </w:r>
      <w:r w:rsidRPr="00722885">
        <w:rPr>
          <w:rFonts w:ascii="Times New Roman" w:hAnsi="Times New Roman"/>
          <w:color w:val="000000" w:themeColor="text1"/>
          <w:sz w:val="16"/>
          <w:szCs w:val="16"/>
        </w:rPr>
        <w:softHyphen/>
        <w:t>ра не освоена из-за его сложности и трудности регулировки, а также не</w:t>
      </w:r>
      <w:r w:rsidRPr="00722885">
        <w:rPr>
          <w:rFonts w:ascii="Times New Roman" w:hAnsi="Times New Roman"/>
          <w:color w:val="000000" w:themeColor="text1"/>
          <w:sz w:val="16"/>
          <w:szCs w:val="16"/>
        </w:rPr>
        <w:softHyphen/>
        <w:t>значительного (2-3 месяца) срока экс</w:t>
      </w:r>
      <w:r w:rsidRPr="00722885">
        <w:rPr>
          <w:rFonts w:ascii="Times New Roman" w:hAnsi="Times New Roman"/>
          <w:color w:val="000000" w:themeColor="text1"/>
          <w:sz w:val="16"/>
          <w:szCs w:val="16"/>
        </w:rPr>
        <w:softHyphen/>
        <w:t>плуатации. Альфометры на истребители не устанавливались, и регулировать ка</w:t>
      </w:r>
      <w:r w:rsidRPr="00722885">
        <w:rPr>
          <w:rFonts w:ascii="Times New Roman" w:hAnsi="Times New Roman"/>
          <w:color w:val="000000" w:themeColor="text1"/>
          <w:sz w:val="16"/>
          <w:szCs w:val="16"/>
        </w:rPr>
        <w:softHyphen/>
        <w:t>чество смеси можно было только «на глаз», «на слух» и «на ощупь» - т.е. по характеру работы мотора, по выхлопу и по температуре головок цилиндров. Это могли делать только опытные мо</w:t>
      </w:r>
      <w:r w:rsidRPr="00722885">
        <w:rPr>
          <w:rFonts w:ascii="Times New Roman" w:hAnsi="Times New Roman"/>
          <w:color w:val="000000" w:themeColor="text1"/>
          <w:sz w:val="16"/>
          <w:szCs w:val="16"/>
        </w:rPr>
        <w:softHyphen/>
        <w:t>тористы, которые всегда были в дефи</w:t>
      </w:r>
      <w:r w:rsidRPr="00722885">
        <w:rPr>
          <w:rFonts w:ascii="Times New Roman" w:hAnsi="Times New Roman"/>
          <w:color w:val="000000" w:themeColor="text1"/>
          <w:sz w:val="16"/>
          <w:szCs w:val="16"/>
        </w:rPr>
        <w:softHyphen/>
        <w:t>ците в строевых частях. Так, повышение температуры головок цилиндров свидетельствовало о работе на обедненной смеси (недо</w:t>
      </w:r>
      <w:r w:rsidRPr="00722885">
        <w:rPr>
          <w:rFonts w:ascii="Times New Roman" w:hAnsi="Times New Roman"/>
          <w:color w:val="000000" w:themeColor="text1"/>
          <w:sz w:val="16"/>
          <w:szCs w:val="16"/>
        </w:rPr>
        <w:softHyphen/>
        <w:t>статочное охлаждение топливо-воз</w:t>
      </w:r>
      <w:r w:rsidRPr="00722885">
        <w:rPr>
          <w:rFonts w:ascii="Times New Roman" w:hAnsi="Times New Roman"/>
          <w:color w:val="000000" w:themeColor="text1"/>
          <w:sz w:val="16"/>
          <w:szCs w:val="16"/>
        </w:rPr>
        <w:softHyphen/>
        <w:t>душной смеси из-за малого количе</w:t>
      </w:r>
      <w:r w:rsidRPr="00722885">
        <w:rPr>
          <w:rFonts w:ascii="Times New Roman" w:hAnsi="Times New Roman"/>
          <w:color w:val="000000" w:themeColor="text1"/>
          <w:sz w:val="16"/>
          <w:szCs w:val="16"/>
        </w:rPr>
        <w:softHyphen/>
        <w:t>ства испаряющегося бензина), при этом повышался износ цилиндропор-шневой группы, и мотор не додавал мощности. При обогащении смеси температура головок понижалась (хо</w:t>
      </w:r>
      <w:r w:rsidRPr="00722885">
        <w:rPr>
          <w:rFonts w:ascii="Times New Roman" w:hAnsi="Times New Roman"/>
          <w:color w:val="000000" w:themeColor="text1"/>
          <w:sz w:val="16"/>
          <w:szCs w:val="16"/>
        </w:rPr>
        <w:softHyphen/>
        <w:t>рошее охлаждение испарением из</w:t>
      </w:r>
      <w:r w:rsidRPr="00722885">
        <w:rPr>
          <w:rFonts w:ascii="Times New Roman" w:hAnsi="Times New Roman"/>
          <w:color w:val="000000" w:themeColor="text1"/>
          <w:sz w:val="16"/>
          <w:szCs w:val="16"/>
        </w:rPr>
        <w:softHyphen/>
        <w:t>бытка горючего), но появлялось дым-ление на выхлопе, нагар в цилиндрах, что снижало ресурс, повышался рас</w:t>
      </w:r>
      <w:r w:rsidRPr="00722885">
        <w:rPr>
          <w:rFonts w:ascii="Times New Roman" w:hAnsi="Times New Roman"/>
          <w:color w:val="000000" w:themeColor="text1"/>
          <w:sz w:val="16"/>
          <w:szCs w:val="16"/>
        </w:rPr>
        <w:softHyphen/>
        <w:t>ход горючего, а мощность при этом также снижалась. Но этим приемом часто пользовались на самолетных заводах при сдаче самолетов военп</w:t>
      </w:r>
      <w:r w:rsidRPr="00722885">
        <w:rPr>
          <w:rFonts w:ascii="Times New Roman" w:hAnsi="Times New Roman"/>
          <w:color w:val="000000" w:themeColor="text1"/>
          <w:sz w:val="16"/>
          <w:szCs w:val="16"/>
        </w:rPr>
        <w:softHyphen/>
        <w:t>редам, если те отмечали повышенный температурный режим ВМГ.</w:t>
      </w:r>
    </w:p>
    <w:p w14:paraId="25FCD4D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Отмечались также массовые слу</w:t>
      </w:r>
      <w:r w:rsidRPr="00722885">
        <w:rPr>
          <w:rFonts w:ascii="Times New Roman" w:hAnsi="Times New Roman"/>
          <w:color w:val="000000" w:themeColor="text1"/>
          <w:sz w:val="16"/>
          <w:szCs w:val="16"/>
        </w:rPr>
        <w:softHyphen/>
        <w:t>чаи прогара медноасбестовых прокла</w:t>
      </w:r>
      <w:r w:rsidRPr="00722885">
        <w:rPr>
          <w:rFonts w:ascii="Times New Roman" w:hAnsi="Times New Roman"/>
          <w:color w:val="000000" w:themeColor="text1"/>
          <w:sz w:val="16"/>
          <w:szCs w:val="16"/>
        </w:rPr>
        <w:softHyphen/>
        <w:t>док и выхлопных патрубков по отбор-товке. Трудность устранения этого дефекта заключалась в том, что под</w:t>
      </w:r>
      <w:r w:rsidRPr="00722885">
        <w:rPr>
          <w:rFonts w:ascii="Times New Roman" w:hAnsi="Times New Roman"/>
          <w:color w:val="000000" w:themeColor="text1"/>
          <w:sz w:val="16"/>
          <w:szCs w:val="16"/>
        </w:rPr>
        <w:softHyphen/>
        <w:t>ходы для постановки коллекторов были неудобны, а запасные коллекторы, как правило, не стандартны и требовали индивидуальной подгонки их, занима</w:t>
      </w:r>
      <w:r w:rsidRPr="00722885">
        <w:rPr>
          <w:rFonts w:ascii="Times New Roman" w:hAnsi="Times New Roman"/>
          <w:color w:val="000000" w:themeColor="text1"/>
          <w:sz w:val="16"/>
          <w:szCs w:val="16"/>
        </w:rPr>
        <w:softHyphen/>
        <w:t>ющей много времени. В целом самолет Ла-5, несмотря на наличие различных дефектов, свой</w:t>
      </w:r>
      <w:r w:rsidRPr="00722885">
        <w:rPr>
          <w:rFonts w:ascii="Times New Roman" w:hAnsi="Times New Roman"/>
          <w:color w:val="000000" w:themeColor="text1"/>
          <w:sz w:val="16"/>
          <w:szCs w:val="16"/>
        </w:rPr>
        <w:softHyphen/>
        <w:t>ственных первой серии, по результа</w:t>
      </w:r>
      <w:r w:rsidRPr="00722885">
        <w:rPr>
          <w:rFonts w:ascii="Times New Roman" w:hAnsi="Times New Roman"/>
          <w:color w:val="000000" w:themeColor="text1"/>
          <w:sz w:val="16"/>
          <w:szCs w:val="16"/>
        </w:rPr>
        <w:softHyphen/>
        <w:t>там боевой работы 49 КИАП был оце</w:t>
      </w:r>
      <w:r w:rsidRPr="00722885">
        <w:rPr>
          <w:rFonts w:ascii="Times New Roman" w:hAnsi="Times New Roman"/>
          <w:color w:val="000000" w:themeColor="text1"/>
          <w:sz w:val="16"/>
          <w:szCs w:val="16"/>
        </w:rPr>
        <w:softHyphen/>
        <w:t>нен достаточно высоко:</w:t>
      </w:r>
    </w:p>
    <w:p w14:paraId="6F7D1FF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 боях с истребителями про</w:t>
      </w:r>
      <w:r w:rsidRPr="00722885">
        <w:rPr>
          <w:rFonts w:ascii="Times New Roman" w:hAnsi="Times New Roman"/>
          <w:color w:val="000000" w:themeColor="text1"/>
          <w:sz w:val="16"/>
          <w:szCs w:val="16"/>
        </w:rPr>
        <w:softHyphen/>
        <w:t>тивника самолет Ла-5 показал, что при работе мотора на номинальном ре</w:t>
      </w:r>
      <w:r w:rsidRPr="00722885">
        <w:rPr>
          <w:rFonts w:ascii="Times New Roman" w:hAnsi="Times New Roman"/>
          <w:color w:val="000000" w:themeColor="text1"/>
          <w:sz w:val="16"/>
          <w:szCs w:val="16"/>
        </w:rPr>
        <w:softHyphen/>
        <w:t>жиме на высотах от 3500 м и выше он по горизонтальной скорости не уступает самолету Ме-109Ф, а на высотах ниже 3500 м горизонталь</w:t>
      </w:r>
      <w:r w:rsidRPr="00722885">
        <w:rPr>
          <w:rFonts w:ascii="Times New Roman" w:hAnsi="Times New Roman"/>
          <w:color w:val="000000" w:themeColor="text1"/>
          <w:sz w:val="16"/>
          <w:szCs w:val="16"/>
        </w:rPr>
        <w:softHyphen/>
        <w:t>ные скорости Ла-5 и Ме-109Ф равны при пользовании форсажем.</w:t>
      </w:r>
    </w:p>
    <w:p w14:paraId="2E3FBF2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 виражах на самолете Ла-5 вести воздушный бой с Ме-109Ф можно хорошо, но, как правило, само</w:t>
      </w:r>
      <w:r w:rsidRPr="00722885">
        <w:rPr>
          <w:rFonts w:ascii="Times New Roman" w:hAnsi="Times New Roman"/>
          <w:color w:val="000000" w:themeColor="text1"/>
          <w:sz w:val="16"/>
          <w:szCs w:val="16"/>
        </w:rPr>
        <w:softHyphen/>
        <w:t>лет Ме-109Ф от боя на виражах ук</w:t>
      </w:r>
      <w:r w:rsidRPr="00722885">
        <w:rPr>
          <w:rFonts w:ascii="Times New Roman" w:hAnsi="Times New Roman"/>
          <w:color w:val="000000" w:themeColor="text1"/>
          <w:sz w:val="16"/>
          <w:szCs w:val="16"/>
        </w:rPr>
        <w:softHyphen/>
        <w:t>лоняется.</w:t>
      </w:r>
    </w:p>
    <w:p w14:paraId="5E957AE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При переходе на вертикаль из любого равного с Ме-109Ф положе</w:t>
      </w:r>
      <w:r w:rsidRPr="00722885">
        <w:rPr>
          <w:rFonts w:ascii="Times New Roman" w:hAnsi="Times New Roman"/>
          <w:color w:val="000000" w:themeColor="text1"/>
          <w:sz w:val="16"/>
          <w:szCs w:val="16"/>
        </w:rPr>
        <w:softHyphen/>
        <w:t>ния (и скоростям) самолет Ла-5 от</w:t>
      </w:r>
      <w:r w:rsidRPr="00722885">
        <w:rPr>
          <w:rFonts w:ascii="Times New Roman" w:hAnsi="Times New Roman"/>
          <w:color w:val="000000" w:themeColor="text1"/>
          <w:sz w:val="16"/>
          <w:szCs w:val="16"/>
        </w:rPr>
        <w:softHyphen/>
        <w:t>стает от Ме-109Ф. Для получения максимальной вертикальной скорос</w:t>
      </w:r>
      <w:r w:rsidRPr="00722885">
        <w:rPr>
          <w:rFonts w:ascii="Times New Roman" w:hAnsi="Times New Roman"/>
          <w:color w:val="000000" w:themeColor="text1"/>
          <w:sz w:val="16"/>
          <w:szCs w:val="16"/>
        </w:rPr>
        <w:softHyphen/>
        <w:t>ти самолет Ла-5 в силу своей инерт</w:t>
      </w:r>
      <w:r w:rsidRPr="00722885">
        <w:rPr>
          <w:rFonts w:ascii="Times New Roman" w:hAnsi="Times New Roman"/>
          <w:color w:val="000000" w:themeColor="text1"/>
          <w:sz w:val="16"/>
          <w:szCs w:val="16"/>
        </w:rPr>
        <w:softHyphen/>
        <w:t>ности (из-за большого веса) требует большего времени для разгона, осо</w:t>
      </w:r>
      <w:r w:rsidRPr="00722885">
        <w:rPr>
          <w:rFonts w:ascii="Times New Roman" w:hAnsi="Times New Roman"/>
          <w:color w:val="000000" w:themeColor="text1"/>
          <w:sz w:val="16"/>
          <w:szCs w:val="16"/>
        </w:rPr>
        <w:softHyphen/>
        <w:t>бенно это сказывается при выходе на вертикаль из виража.</w:t>
      </w:r>
    </w:p>
    <w:p w14:paraId="27990F8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При пикировании скорости са</w:t>
      </w:r>
      <w:r w:rsidRPr="00722885">
        <w:rPr>
          <w:rFonts w:ascii="Times New Roman" w:hAnsi="Times New Roman"/>
          <w:color w:val="000000" w:themeColor="text1"/>
          <w:sz w:val="16"/>
          <w:szCs w:val="16"/>
        </w:rPr>
        <w:softHyphen/>
        <w:t>молетов Ла-5 и Ме-109Ф равны.</w:t>
      </w:r>
    </w:p>
    <w:p w14:paraId="35F510B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Все боевые полеты производи</w:t>
      </w:r>
      <w:r w:rsidRPr="00722885">
        <w:rPr>
          <w:rFonts w:ascii="Times New Roman" w:hAnsi="Times New Roman"/>
          <w:color w:val="000000" w:themeColor="text1"/>
          <w:sz w:val="16"/>
          <w:szCs w:val="16"/>
        </w:rPr>
        <w:softHyphen/>
        <w:t>лись с открытым колпаком, вследствие того, что открытие колпака в полете невозможно.</w:t>
      </w:r>
    </w:p>
    <w:p w14:paraId="1590486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Управление самолетом: попереч</w:t>
      </w:r>
      <w:r w:rsidRPr="00722885">
        <w:rPr>
          <w:rFonts w:ascii="Times New Roman" w:hAnsi="Times New Roman"/>
          <w:color w:val="000000" w:themeColor="text1"/>
          <w:sz w:val="16"/>
          <w:szCs w:val="16"/>
        </w:rPr>
        <w:softHyphen/>
        <w:t>ное (элеронами) - нормальное, продоль</w:t>
      </w:r>
      <w:r w:rsidRPr="00722885">
        <w:rPr>
          <w:rFonts w:ascii="Times New Roman" w:hAnsi="Times New Roman"/>
          <w:color w:val="000000" w:themeColor="text1"/>
          <w:sz w:val="16"/>
          <w:szCs w:val="16"/>
        </w:rPr>
        <w:softHyphen/>
        <w:t>ное (рулями глубины) от скоростей 400 км/ч и выше, при вводе (свыше 40 кг) и выводе из пикирования - тяжелое, требует обязательного пользования триммером руля высоты. Ножное уп</w:t>
      </w:r>
      <w:r w:rsidRPr="00722885">
        <w:rPr>
          <w:rFonts w:ascii="Times New Roman" w:hAnsi="Times New Roman"/>
          <w:color w:val="000000" w:themeColor="text1"/>
          <w:sz w:val="16"/>
          <w:szCs w:val="16"/>
        </w:rPr>
        <w:softHyphen/>
        <w:t>равление - нормальное.</w:t>
      </w:r>
    </w:p>
    <w:p w14:paraId="5B36692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Самолет устойчив, прост при выполнении техники пилотирования, при резких выводах из фигур особой тенденции к сваливанию в штопор не имеет, при посадке допускает гру</w:t>
      </w:r>
      <w:r w:rsidRPr="00722885">
        <w:rPr>
          <w:rFonts w:ascii="Times New Roman" w:hAnsi="Times New Roman"/>
          <w:color w:val="000000" w:themeColor="text1"/>
          <w:sz w:val="16"/>
          <w:szCs w:val="16"/>
        </w:rPr>
        <w:softHyphen/>
        <w:t>бые ошибки. Доступен для летчиков истребителей, выпущенных из летных школ.</w:t>
      </w:r>
    </w:p>
    <w:p w14:paraId="516D509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Самолет Ла-5 показал в боевых условиях живучесть, надежность и хо</w:t>
      </w:r>
      <w:r w:rsidRPr="00722885">
        <w:rPr>
          <w:rFonts w:ascii="Times New Roman" w:hAnsi="Times New Roman"/>
          <w:color w:val="000000" w:themeColor="text1"/>
          <w:sz w:val="16"/>
          <w:szCs w:val="16"/>
        </w:rPr>
        <w:softHyphen/>
        <w:t>рошую огнестойкость...</w:t>
      </w:r>
    </w:p>
    <w:p w14:paraId="69BA878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Самолет Ла-5 с мотором М-82 является хорошим современным оте</w:t>
      </w:r>
      <w:r w:rsidRPr="00722885">
        <w:rPr>
          <w:rFonts w:ascii="Times New Roman" w:hAnsi="Times New Roman"/>
          <w:color w:val="000000" w:themeColor="text1"/>
          <w:sz w:val="16"/>
          <w:szCs w:val="16"/>
        </w:rPr>
        <w:softHyphen/>
        <w:t>чественным скоростным истребителем и при устранении вышеуказанных недостатков по боевым качествам будет превосходить истребители про</w:t>
      </w:r>
      <w:r w:rsidRPr="00722885">
        <w:rPr>
          <w:rFonts w:ascii="Times New Roman" w:hAnsi="Times New Roman"/>
          <w:color w:val="000000" w:themeColor="text1"/>
          <w:sz w:val="16"/>
          <w:szCs w:val="16"/>
        </w:rPr>
        <w:softHyphen/>
        <w:t>тивника».</w:t>
      </w:r>
    </w:p>
    <w:p w14:paraId="33ED2BF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эту, в целом положи</w:t>
      </w:r>
      <w:r w:rsidRPr="00722885">
        <w:rPr>
          <w:rFonts w:ascii="Times New Roman" w:hAnsi="Times New Roman"/>
          <w:color w:val="000000" w:themeColor="text1"/>
          <w:sz w:val="16"/>
          <w:szCs w:val="16"/>
        </w:rPr>
        <w:softHyphen/>
        <w:t>тельную, оценку самолета Ла-5, рабо</w:t>
      </w:r>
      <w:r w:rsidRPr="00722885">
        <w:rPr>
          <w:rFonts w:ascii="Times New Roman" w:hAnsi="Times New Roman"/>
          <w:color w:val="000000" w:themeColor="text1"/>
          <w:sz w:val="16"/>
          <w:szCs w:val="16"/>
        </w:rPr>
        <w:softHyphen/>
        <w:t>та истребительной авиации ВВС КА летом и осенью 1942 года подверга</w:t>
      </w:r>
      <w:r w:rsidRPr="00722885">
        <w:rPr>
          <w:rFonts w:ascii="Times New Roman" w:hAnsi="Times New Roman"/>
          <w:color w:val="000000" w:themeColor="text1"/>
          <w:sz w:val="16"/>
          <w:szCs w:val="16"/>
        </w:rPr>
        <w:softHyphen/>
        <w:t>лась резкой критике. Как только где-то начинались решительные бои, асы немецких люфтваффе легко перехва</w:t>
      </w:r>
      <w:r w:rsidRPr="00722885">
        <w:rPr>
          <w:rFonts w:ascii="Times New Roman" w:hAnsi="Times New Roman"/>
          <w:color w:val="000000" w:themeColor="text1"/>
          <w:sz w:val="16"/>
          <w:szCs w:val="16"/>
        </w:rPr>
        <w:softHyphen/>
        <w:t>тывали инициативу, а наши летчики могли только обороняться. Наземные войска высказывали серьезное недо</w:t>
      </w:r>
      <w:r w:rsidRPr="00722885">
        <w:rPr>
          <w:rFonts w:ascii="Times New Roman" w:hAnsi="Times New Roman"/>
          <w:color w:val="000000" w:themeColor="text1"/>
          <w:sz w:val="16"/>
          <w:szCs w:val="16"/>
        </w:rPr>
        <w:softHyphen/>
        <w:t>вольство действиями истребителей. Не стал исключением и 49-й КИАП, понесший большие потери и вскоре потерявший боеспособность (10699).</w:t>
      </w:r>
    </w:p>
    <w:p w14:paraId="2CBD77B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BA70D3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14 по 24 августа 1942 19 Ла-5 49-го Краснознаменного иап 234-й иад 1-й воздушной армии, в которой проходили войсковые испытания, совершили 180 боевых вылетов с налетом 130 часов. В 27 воздушных боях летчики полка сбили 16 самолетов противника, при этом свои потери составили десять машин и пять пилотов. Если быть точным, то полк потерял сбитыми пять истребителей, два не вернулись (самолеты № 37310104 и № 37210208), четыре потерпели аварию, будучи подбиты в воздушных боях, один потерпел аварию из-за разрушения втулки главного шатуна двигателя и один из летчиков (фамилия не установлена) 22 августа 1942 года таранил немецкий Ju 88, но при этом разбил и свой самолет.</w:t>
      </w:r>
    </w:p>
    <w:p w14:paraId="52B2A7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отзывам летчиков 49-го Краснознаменного иап ЛаГГ-5 в боевых условиях показал хорошие результаты, а высокие потери связаны с недостаточным освоением материальной части и неполным использованием боевых качеств машины. Например, вторая скорость приводного центробежного нагнетателя мотора включалась на высоте 3800 м, а воевать приходилось преимущественно на высоте 2000-3000 м. Прикрытие бомбардировочной и штурмовой авиации, а также наземных войск осуществлялось одной группой и, по выражению командования полка, было безграмотным.</w:t>
      </w:r>
    </w:p>
    <w:p w14:paraId="2ABDE2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воздушных боях при наборе высоты на больших скоростях Bfl09F от ЛаГГ-5 не отрывался, а на малых скоростях из-за большего веса ЛаГТ-5 в первый момент отставал, а затем сравнивался с ним по скороподъемности. На виражах наш истребитель заходил в хвост Bf 109F, так как радиус виража последнего был больше. Горизонтальная скорость нашего и немецкого самолетов были одинаковы, но на пикировании ЛаГГ-5 летел быстрее. Вооружение, как выяснилось, вполне устраивало воздушных бойцов.</w:t>
      </w:r>
    </w:p>
    <w:p w14:paraId="519B9CA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усложнившейся техники пилотирования истребителя из-за большого веса (3300 кг) и недостаточных компенсаторов рулей по сравнению с ЛаГГ-3 и Як-1, выявились и конструктивные недостатки. Например, отмечены два случая срыва моторных и боковых капотов, не полностью выпускалось костыльное колесо, случались течи бензиновых и масляных баков по сварным швам, после 20-ти часов работы прогорали выхлопные коллекторы. Существенным преимуществом ЛаГГ-5 перед ЛаГГ-3 и Як-1 была защита передней полусферы звездообразным мотором воздушного охлаждения. Живучесть самолета увеличилась.</w:t>
      </w:r>
    </w:p>
    <w:p w14:paraId="59D4F87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Отмечались три случая, когда в воздушном бою пушечным огнем противника были пробиты всасывающий и выхлопнои патрубки одного цилиндра и крышки клапанных коробок, воздушный винт и погнуты ребра цилиндров. Самолет в таком виде благополучно произвел посадку на своем аэродроме, а мотор вскоре восстановили.</w:t>
      </w:r>
    </w:p>
    <w:p w14:paraId="5A4C287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 выполнении боевых заданий моторы в основном работали на номинальном и форсированном режиме, причем на последнем, порой, до 10-13 минут, в то время, как инструкцией допускалось не более 5 минут. Но практически все двигатели работали нормально. В выводах доклада руководства НИИ ВВС главному инженеру ВВС А. К. Репину отмечалось: </w:t>
      </w:r>
    </w:p>
    <w:p w14:paraId="36B880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опыт эксплуатации моторов М-82 в боевых условиях на самолетах- истребителях показывает удовлетворительные результаты. Летный и технический состав дают положительную оценку самолету ЛаГ-5 с мотором М-82 как по надежности работы мотора, так и по уходу и эксплуатации мотора на земле..." (12032).</w:t>
      </w:r>
    </w:p>
    <w:p w14:paraId="5F39797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AF5F1B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846123C" w14:textId="77777777" w:rsidR="00AE7191" w:rsidRPr="00722885" w:rsidRDefault="00AE7191" w:rsidP="00722885">
      <w:pPr>
        <w:pStyle w:val="Iauiue"/>
        <w:jc w:val="both"/>
        <w:rPr>
          <w:iCs/>
          <w:color w:val="000000" w:themeColor="text1"/>
          <w:sz w:val="16"/>
          <w:szCs w:val="16"/>
        </w:rPr>
      </w:pPr>
    </w:p>
    <w:p w14:paraId="03362FBD" w14:textId="77777777" w:rsidR="009F0796" w:rsidRPr="00722885" w:rsidRDefault="009F07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14 августа 1942 г. советник посольства СССР в США А. Громыко в своем письме в НКИД СССР отмечал следующее: «Тринитротолуола производится (в США) в 5 раз больше... по сравнению с ноябрем 1941 г.» (19151).</w:t>
      </w:r>
    </w:p>
    <w:p w14:paraId="50D21204" w14:textId="77777777" w:rsidR="009F0796" w:rsidRPr="00722885" w:rsidRDefault="009F0796" w:rsidP="00722885">
      <w:pPr>
        <w:spacing w:after="0" w:line="240" w:lineRule="auto"/>
        <w:jc w:val="both"/>
        <w:rPr>
          <w:rFonts w:ascii="Times New Roman" w:hAnsi="Times New Roman"/>
          <w:color w:val="000000" w:themeColor="text1"/>
          <w:sz w:val="16"/>
          <w:szCs w:val="16"/>
        </w:rPr>
      </w:pPr>
    </w:p>
    <w:p w14:paraId="260A11AD" w14:textId="77777777" w:rsidR="000C324B" w:rsidRPr="00722885" w:rsidRDefault="000C324B" w:rsidP="00722885">
      <w:pPr>
        <w:pStyle w:val="a3"/>
        <w:rPr>
          <w:color w:val="000000" w:themeColor="text1"/>
          <w:lang w:val="ru-RU"/>
        </w:rPr>
      </w:pPr>
      <w:r w:rsidRPr="00722885">
        <w:rPr>
          <w:color w:val="000000" w:themeColor="text1"/>
          <w:lang w:val="ru-RU"/>
        </w:rPr>
        <w:t>14 августа 1942 года в адрес Яковлева было направлено письмо от Хохлова:</w:t>
      </w:r>
    </w:p>
    <w:p w14:paraId="6B54EBBE" w14:textId="77777777" w:rsidR="000C324B" w:rsidRPr="00722885" w:rsidRDefault="000C324B"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 xml:space="preserve">«По плану опытных работ Артиллерийского комитета ГАУ КА в 1942 году надлежит отработать установку 152 мм гаубицы пушки обр. 1937года на самоходе из агрегатов танка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- 7.</w:t>
      </w:r>
    </w:p>
    <w:p w14:paraId="33E4C652" w14:textId="77777777" w:rsidR="000C324B" w:rsidRPr="00722885" w:rsidRDefault="000C324B"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Наркомат Вооружения и Наркомтанкопром эти работы приняты к исполнению и выданы задания заводы №8 (г. Свердловск) и Кировскому заводу (г. Челябинск).</w:t>
      </w:r>
    </w:p>
    <w:p w14:paraId="6A98F9A6" w14:textId="77777777" w:rsidR="000C324B" w:rsidRPr="00722885" w:rsidRDefault="000C324B"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Работы по проектированию в настоящее время заканчиваются.</w:t>
      </w:r>
    </w:p>
    <w:p w14:paraId="09AE488C" w14:textId="77777777" w:rsidR="000C324B" w:rsidRPr="00722885" w:rsidRDefault="000C324B"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Для изготовления опытного образца 152мм самоходной гаубицы прошу Вашего распоряжения Начальнику УСАВ ГАУ КА Генерал-майору артил</w:t>
      </w:r>
      <w:r w:rsidRPr="00722885">
        <w:rPr>
          <w:rStyle w:val="Bodytext145"/>
          <w:i w:val="0"/>
          <w:iCs w:val="0"/>
          <w:color w:val="000000" w:themeColor="text1"/>
          <w:sz w:val="16"/>
          <w:szCs w:val="16"/>
        </w:rPr>
        <w:softHyphen/>
        <w:t>лерии тов. Соколову об отправке к 1 сентября сего года в адрес завода №100(г. Челябинск) одной 152мм гаубицы-пушки обр. 1937года без перед</w:t>
      </w:r>
      <w:r w:rsidRPr="00722885">
        <w:rPr>
          <w:rStyle w:val="Bodytext145"/>
          <w:i w:val="0"/>
          <w:iCs w:val="0"/>
          <w:color w:val="000000" w:themeColor="text1"/>
          <w:sz w:val="16"/>
          <w:szCs w:val="16"/>
        </w:rPr>
        <w:softHyphen/>
        <w:t>ка, с орудийным и батарейным ЗИП-ом».</w:t>
      </w:r>
    </w:p>
    <w:p w14:paraId="7E21E445"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Подобные распоряжения, впрочем, были явно преждевременны</w:t>
      </w:r>
      <w:r w:rsidRPr="00722885">
        <w:rPr>
          <w:rFonts w:ascii="Times New Roman" w:hAnsi="Times New Roman"/>
          <w:color w:val="000000" w:themeColor="text1"/>
          <w:sz w:val="16"/>
          <w:szCs w:val="16"/>
        </w:rPr>
        <w:softHyphen/>
        <w:t>ми. Во-первых, первые чертежи ЗИК-20 были готовы лишь в начале сентября и ждали рассмотрения Арткома ГАУ КА. Во-вторых, выри</w:t>
      </w:r>
      <w:r w:rsidRPr="00722885">
        <w:rPr>
          <w:rFonts w:ascii="Times New Roman" w:hAnsi="Times New Roman"/>
          <w:color w:val="000000" w:themeColor="text1"/>
          <w:sz w:val="16"/>
          <w:szCs w:val="16"/>
        </w:rPr>
        <w:softHyphen/>
        <w:t>совывающийся истребитель ДОТов значительно отличался от У-18 как конструкцией боевого отделения, так и установленным орудием (17484).</w:t>
      </w:r>
    </w:p>
    <w:p w14:paraId="753F1ADB" w14:textId="77777777" w:rsidR="000C324B" w:rsidRPr="00722885" w:rsidRDefault="000C324B" w:rsidP="00722885">
      <w:pPr>
        <w:spacing w:after="0" w:line="240" w:lineRule="auto"/>
        <w:jc w:val="both"/>
        <w:rPr>
          <w:rFonts w:ascii="Times New Roman" w:hAnsi="Times New Roman"/>
          <w:color w:val="000000" w:themeColor="text1"/>
          <w:sz w:val="16"/>
          <w:szCs w:val="16"/>
        </w:rPr>
      </w:pPr>
    </w:p>
    <w:p w14:paraId="10F64410"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14 августа 1942 вышло Постановление ГКО № 2172 Об усилении погрузки угля железным дорогам в августе месяце 1942 г. (7050, 17-18,19).</w:t>
      </w:r>
    </w:p>
    <w:p w14:paraId="529DE112" w14:textId="77777777" w:rsidR="00AE7191" w:rsidRPr="00722885" w:rsidRDefault="00AE7191" w:rsidP="00722885">
      <w:pPr>
        <w:pStyle w:val="Iauiue"/>
        <w:tabs>
          <w:tab w:val="left" w:pos="11199"/>
        </w:tabs>
        <w:jc w:val="both"/>
        <w:rPr>
          <w:color w:val="000000" w:themeColor="text1"/>
          <w:sz w:val="16"/>
          <w:szCs w:val="16"/>
        </w:rPr>
      </w:pPr>
    </w:p>
    <w:p w14:paraId="0DD03F6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августа 1942 вышло Постановление ГКО № 2173 О специальных подготовительных мероприятиях. по Бакинской нефтяной промышленности. РГАНИР, Фонд ГКО, д. 52, лл. 20 (11012).</w:t>
      </w:r>
    </w:p>
    <w:p w14:paraId="091D911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E54C39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августа 1942 вышло Постановление ГКО № 2174 Об интенсификации Кировоградского сернокислотного завода Наркомхимпрома. РГАНИР, Фонд ГКО, д. 52, лл. 21, 22-25 (11012).</w:t>
      </w:r>
    </w:p>
    <w:p w14:paraId="24DFC78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7F659D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0E05D41" w14:textId="77777777" w:rsidR="00AE7191" w:rsidRPr="00722885" w:rsidRDefault="00AE7191" w:rsidP="00722885">
      <w:pPr>
        <w:pStyle w:val="Iauiue"/>
        <w:jc w:val="both"/>
        <w:rPr>
          <w:iCs/>
          <w:color w:val="000000" w:themeColor="text1"/>
          <w:sz w:val="16"/>
          <w:szCs w:val="16"/>
        </w:rPr>
      </w:pPr>
    </w:p>
    <w:p w14:paraId="3A662E2D"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августа в 1942 году утреннее сообщение Совинформбюро:</w:t>
      </w:r>
    </w:p>
    <w:p w14:paraId="7D064A96"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14 августа наши войска вели бои с противником в районах Клетская, северо-восточнее Котельниково, а также в районах Минеральные Воды, Черкесск, Майкоп и Краснодар.</w:t>
      </w:r>
    </w:p>
    <w:p w14:paraId="75686AC7"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41D55219"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Клетской наши войска вели оборонительные бои. Закрепившись на промежуточном рубеже, наша стрелковая часть при поддержке артиллерии и танков отбила несколько атак противника и уничтожила до двух рот немцев, 7 танков, 11 орудий и 17 автомашин.</w:t>
      </w:r>
    </w:p>
    <w:p w14:paraId="2FBB6206"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продолжались упорные бои. Огневыми налётами нашей артиллерии на одном из участков уничтожено до 100 немецких танков, 35 бронемашин, 350 автомашин и до 600 солдат и офицеров противника. У населённого пункта Б. советские танкисты и пехота атаковали гитлеровцев. Экипаж тяжёлого танка сержанта Куликова подбил 2 вражеские танкетки, раздавил противотанковое орудие и разрушил 4 землянки. Командир тяжёлого танка лейтенант Гудков уничтожил тяжёлый и средний немецкие танки, одну танкетку и 40 гитлеровцев. Наводчик станкового пулемёта тов. Бойченко метким огнём истребил до 200 немецких солдат и офицеров.</w:t>
      </w:r>
    </w:p>
    <w:p w14:paraId="42AC4AF5"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наши войска вели напряжённые оборонительные бои. На одном из участков крупные силы танков и пехоты неприятеля, прорвав первую линию нашей обороны, пытались вклиниться вглубь и развить успех. После упорных боёв гитлеровцы были остановлены и отброшены на исходные позиции. На поле боя осталось свыше 300 вражеских трупов. На другом участке наши части под давлением превосходящих сил противника отошли на новый рубеж обороны.</w:t>
      </w:r>
    </w:p>
    <w:p w14:paraId="66C47D7B"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бойцы части, где командиром тов. Зыков, истребили 650 немецких солдат и офицеров. Огнём артиллерии и миномётов уничтожено до 3 рот пехоты противника. Южнее Воронежа, на западном берегу Дона, наши части отбили несколько атак гитлеровцев и прочно удерживали захваченные рубежи.</w:t>
      </w:r>
    </w:p>
    <w:p w14:paraId="1B0EC7C7"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наши части в течение двух дней боевых действий уничтожили более 3.000 солдат и офицеров противника. Лётчики подразделения, где командиром Александр Носов, атаковали 20 немецких транспортных самолётов, летевших под прикрытием 4-х «Мессершмиттов-109». Наши лётчики врезались в строй гитлеровцев и в воздушном бою сбили 6 немецких самолётов. Орудийные расчёты зенитной артиллерии, где командирами тт. Булавин и Пшеничный, сбили 9 транспортных самолётов «Юнкерс-52».</w:t>
      </w:r>
    </w:p>
    <w:p w14:paraId="2112ECF2"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С., действующий в Смоленской области, за три недели боёв истребил 230 оккупантов, уничтожил 18 грузовых и 5 легковых автомашин. В одном из населённых пунктов партизаны захватили 2 пулемёта, патроны и продовольственный склад гитлеровцев.</w:t>
      </w:r>
    </w:p>
    <w:p w14:paraId="6E18B69C"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записной книжки солдата 2 роты 45 венгерского пехотного полка Франца Больдижара: «У Дубовичей партизаны обстреляли нашу колонну. Это было первое крупное нападение партизан. В первой роте — 9 убитых, 22 раненых, во второй роте — 11 убитых и 29 раненых, в третьей роте — 13 убитых и 28 раненых... Мы вынуждены были отступить. По дороге сожгли село. Партизаны, засевшие в местечке, стреляли из пулемётов и миномётов. После продолжительного боя мы всё же заняли местечко. Нам опять разрешили беспрепятственно грабить и поджигать. Бери, что хочешь. Первые три дома я сам поджёг. Мужчин, женщин идетей — убили, а местечко сожгли и пошли дальше».</w:t>
      </w:r>
    </w:p>
    <w:p w14:paraId="45226F70"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Немецкому солдату Карлу Бишофу пишет его сестра из Крумбаха (Баден): «Уже десять дней, как у нас находятся 30 русских в возрасте от 15 до 47 дет. Они носят рваную одежду и деревянные башмаки. Каждому из них на спину пришили особые знаки. Эти парни худы и изнурены, от них остались только кости да кожа. Они так ослабли, что не могут работать сколько-нибудь продолжительное время. Один часовой мне рассказывал, что в лагере этих пленных кормили негодным клевером».</w:t>
      </w:r>
    </w:p>
    <w:p w14:paraId="551A03C3"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металлургическом заводе в городе Серен (Бельгия) неизвестными выведены из строя две мартеновские печи и компрессор. Гестаповцы произвели на заводе массовые обыски и арестовали 40 рабочих. В окрестностях Льежа бельгийские патриоты совершили нападение на военный аэродром, истребили 16 гитлеровцев и подожгли 4 немецких самолёта.» (14983).</w:t>
      </w:r>
    </w:p>
    <w:p w14:paraId="620F3524"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7C769618"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августа в 1942 году вечернее сообщение Совинформбюро:</w:t>
      </w:r>
    </w:p>
    <w:p w14:paraId="6C6905C3"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14 августа наши войска вели бои в районах Клетская, северо-восточнее Котельниково, а также в районах Минеральные Воды, Черкесск, Майкоп и Краснодар.</w:t>
      </w:r>
    </w:p>
    <w:p w14:paraId="140EEB2D"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1B60CF07"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13 августа частями нашей авиации на различных участках фронта уничтожено или повреждено 50 немецких танков, 260 автомашин с войсками и грузами, 150 повозок с боеприпасами, 7 автоцистерн с горючим, взорваны 6 складов боеприпасов и склад горючего, подавлен огонь 8 батарей полевой и зенитной артиллерии, разбит железнодорожный состав, рассеяно и частью уничтожено до двух батальонов пехоты противника.</w:t>
      </w:r>
    </w:p>
    <w:p w14:paraId="6BF3036D"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 участке Н-ской части противник бросил в атаку значительные силы танков и мотопехоты. Артиллеристы и бронебойщики расстроили боевые порядки гитлеровцев и уничтожили 11 немецких танков. Затем в бой вступили советские танкисты и пехотинцы. Немцы потеряли в этом бою свыше 800 человек убитыми, и отошли на исходные рубежи. Южнее Клетской наши части вели ожесточённые бои против прорвавшейся к реке группировки противника. На одном участке окружено и истреблено до 700 гитлеровцев. Наши лётчики совершили налёты на два вражеских аэродрома. На одном аэродроме разрушено и сожжено до 40 бомбардировщиков и истребителей противника. Кроме того, в воздушных боях сбито11 немецких самолётов.</w:t>
      </w:r>
    </w:p>
    <w:p w14:paraId="64D75C2A"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происходили упорные бои. Наши войска на ряде участков атаковали перешедшего к обороне противника. Подразделения одной нашей части в течение дня уничтожили 5 немецких танков и свыше 350 солдат и офицеров противника. На соседнем участке огнём артиллерии рассеяно скопление танков и мотопехоты противника.</w:t>
      </w:r>
    </w:p>
    <w:p w14:paraId="34F7A2EE"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наши войска вели напряжённые оборонительные бои с численно превосходящими силами противника. На одном участке танкам и мотопехоте неприятеля ценой больших потерь удалось вклиниться в глубину нашей обороны. В течение дня в результате ожесточённых боёв Н-ская стрелковая часть уничтожила 2 роты немецкой пехоты, эскадрон румынской кавалерии и вывела из строя 9 танков и 2 бронемашины противника. Кроме того, огнём нашей артиллерии уничтожено 3 немецких танка, 5 орудий, 13 автомашин с боеприпасами и рассеяно до батальона вражеской пехоты.</w:t>
      </w:r>
    </w:p>
    <w:p w14:paraId="1B325EFA"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Минеральных Вод продолжались тяжёлые бои с танками и мотопехотой противника. Н-ское соединение отбило несколько атак немцев и уничтожило 15 танков и до 700 гитлеровцев.</w:t>
      </w:r>
    </w:p>
    <w:p w14:paraId="7672607A"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происходила артиллерийская и ружейная перестрелка.Активными действиями снайперов и разведчиков отдельных подразделений уничтоженодо 400 вражеских солдат и офицеров. Только снайперами подразделений тов.Черепанова за один день истреблено 168 гитлеровцев.</w:t>
      </w:r>
    </w:p>
    <w:p w14:paraId="1CEC2959"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августа на одном из участков фронта между нашей и вражеской линиями обороны совершил вынужденную посадку немецкий самолёт. Самолёт отбуксирован на нашу территорию.</w:t>
      </w:r>
    </w:p>
    <w:p w14:paraId="2AFB0D15"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Белоруссии, в боях с крупным немецким гарнизоном уничтожил до 300 гитлеровцев. Группа партизан этого отряда взорвала железнодорожный мост через реку.</w:t>
      </w:r>
    </w:p>
    <w:p w14:paraId="7C31989F"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У убитого немецкого солдата Руди найдено неотправленное письмо, в котором говорится: «...Я отчаиваюсь, силы покидают меня. Часть солдат уже разочаровалась и утратила веру в счастливый исход войны. Еще недавно многие из нас надеялись увидеть родину и своих близких, однако их надежды не сбылись. Сегодня они лежат похороненными в лесу, одинокие и покинутые. Да, жизнь немецкого солдата похожа здесь на горящую свечу, которую в любой момент могут потушить».</w:t>
      </w:r>
    </w:p>
    <w:p w14:paraId="15B8FC3B"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Чудовищные преступления творят немецко-фашистские захватчики в оккупированных районах Ленинградской области. В Гдовском районе гитлеровцы отняли у колхозников всё продовольствие, скот, птицу и обрекли их на голодную смерть. В деревне Дубок гитлеровские мерзавцы заперли в хлев жену красноармейца Евстафьеву и трёхмалолетних детей и сожгли их живьём. Около деревни Залесье была повреждена линия полевой связи. Немецкие палачи согнали население деревни и на глазах у всех повесили 16 стариков и подростков.» (14983).</w:t>
      </w:r>
    </w:p>
    <w:p w14:paraId="74B12FA2"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4C7D4FA3"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 августа в 1942 году в районе Урдозера был сбит самолет, тип которого едва ли мог быть известен советским летчикам. Сначала в донесениях его называли "Гамбург-140", затем – «Не-113». Советские солдаты, вытащившие его на отмель, после обследования установили, что этот самолет имел тактический номер NH + AM, указывавший на его принадлежность к 10 поисково-спасательному отряду. Лишь после войны стало ясно, что был редкий образец </w:t>
      </w:r>
      <w:hyperlink r:id="rId67" w:tgtFrame="_blank" w:history="1">
        <w:r w:rsidRPr="00722885">
          <w:rPr>
            <w:rFonts w:ascii="Times New Roman" w:hAnsi="Times New Roman"/>
            <w:color w:val="000000" w:themeColor="text1"/>
            <w:sz w:val="16"/>
            <w:szCs w:val="16"/>
          </w:rPr>
          <w:t xml:space="preserve">«Ar 199V-2». </w:t>
        </w:r>
      </w:hyperlink>
      <w:r w:rsidRPr="00722885">
        <w:rPr>
          <w:rFonts w:ascii="Times New Roman" w:hAnsi="Times New Roman"/>
          <w:color w:val="000000" w:themeColor="text1"/>
          <w:sz w:val="16"/>
          <w:szCs w:val="16"/>
        </w:rPr>
        <w:t>Таких машин было построено всего три, две из которых участвовали в боевых действиях на советском Севере. «Ar.199» проектировался как учебно-тренировочный гидросамолет. Согласно проекту это должен был быть цельнометаллический двухпоплавковый низкоплан. Кабина рассчитывалась на трех человек: рядом друг с другом сидели инструктор и курсант, сзади размещалось сиденье штурмана или радиооператора. Характерным было сложное рамное крепление поплавков к фюзеляжу. Машина оснащалась 12-цилиндровым двигателем «Аргус» «As 410C» воздушного охлаждени мощностью 450 л. с. Первый прототип совершил полет в 1939 году. В серию самолет не пошел и были изготовлены только опытные экземпляры, «Ar 199V-1» и «V-2». О судьбе одной машины, «Аr 199V-2» (серийный номер 3673), уже было рассказано; вторая также находилась в составе поисково-спасательной службы 5 Воздушного флота и, вероятно, была эвакуирована из Норвегии с немецкими частями в 1944 году (14983).</w:t>
      </w:r>
    </w:p>
    <w:p w14:paraId="7E650EBB"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05F31911"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14, 1942: German forces cross the upper Kuban river at Krasnodar in the Caucasus (3819).</w:t>
      </w:r>
    </w:p>
    <w:p w14:paraId="5A1561D6" w14:textId="77777777" w:rsidR="00AE7191" w:rsidRPr="00722885" w:rsidRDefault="00AE7191" w:rsidP="00722885">
      <w:pPr>
        <w:pStyle w:val="Iauiue"/>
        <w:jc w:val="both"/>
        <w:rPr>
          <w:color w:val="000000" w:themeColor="text1"/>
          <w:sz w:val="16"/>
          <w:szCs w:val="16"/>
          <w:lang w:val="en-US"/>
        </w:rPr>
      </w:pPr>
    </w:p>
    <w:p w14:paraId="0157459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 августа 1942 немецкие части форсировали Кубань у Краснодара (3819).</w:t>
      </w:r>
    </w:p>
    <w:p w14:paraId="0C151BC1" w14:textId="77777777" w:rsidR="00AE7191" w:rsidRPr="00722885" w:rsidRDefault="00AE7191" w:rsidP="00722885">
      <w:pPr>
        <w:pStyle w:val="Iauiue"/>
        <w:jc w:val="both"/>
        <w:rPr>
          <w:color w:val="000000" w:themeColor="text1"/>
          <w:sz w:val="16"/>
          <w:szCs w:val="16"/>
        </w:rPr>
      </w:pPr>
    </w:p>
    <w:p w14:paraId="20D67E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ночь с 14 на 15 августа 1942 в Азовском море произошел бой четырех торпедных катеров (№94, 124, 134, и 154), которые у мыса Казантип атаковали три немецких БДБ. По оценке самих катерников, их действия оказались безрезультатными, поскольку одна торпеда затонула, а вторая прошла мимо цели. Тогда в дело пустили установку PC, но все 10 выпущенных снарядов легли с перелетом. Но сами немцы (справочник Гренера) подтверждают гибель в это время и в этом месте БДБ “F-138”, приписывая ее потопление действиям советской авиации. Отечественные же источники утверждают, что наши самолеты ни 14, ни 15 августа никаких атак в указанном районе не предпринимали! Остается предположить, что десантное баржа или получила попадание невзорвавшейся торпедой, или реактивные снаряды все же нашли цель. В последнем случае ее потопление оказывается особенно примечательным. Спустя некоторое время немцы подняли “F-138”, но при буксировке на ремонт в оккупированный Севастополь она подорвалась на немецкой мине и была окончательно списана (6002).</w:t>
      </w:r>
    </w:p>
    <w:p w14:paraId="5FC1B87B" w14:textId="77777777" w:rsidR="00AE7191" w:rsidRPr="00722885" w:rsidRDefault="00AE7191" w:rsidP="00722885">
      <w:pPr>
        <w:pStyle w:val="Iauiue"/>
        <w:jc w:val="both"/>
        <w:rPr>
          <w:color w:val="000000" w:themeColor="text1"/>
          <w:sz w:val="16"/>
          <w:szCs w:val="16"/>
        </w:rPr>
      </w:pPr>
    </w:p>
    <w:p w14:paraId="25CF334B"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18EF95EC" w14:textId="77777777" w:rsidR="00AE7191" w:rsidRPr="00722885" w:rsidRDefault="00AE7191" w:rsidP="00722885">
      <w:pPr>
        <w:pStyle w:val="Iauiue"/>
        <w:jc w:val="both"/>
        <w:rPr>
          <w:iCs/>
          <w:color w:val="000000" w:themeColor="text1"/>
          <w:sz w:val="16"/>
          <w:szCs w:val="16"/>
        </w:rPr>
      </w:pPr>
    </w:p>
    <w:p w14:paraId="3A5731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 августа 1942 года</w:t>
      </w:r>
    </w:p>
    <w:p w14:paraId="3E1CD4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 ЧЕРЧИЛЛЬ И. В. СТАЛИНУ *</w:t>
      </w:r>
    </w:p>
    <w:p w14:paraId="73005B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СТРОГО СЕКРЕТНО ПАМЯТНАЯ ЗАПИСКА</w:t>
      </w:r>
    </w:p>
    <w:p w14:paraId="6FD385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ответ на меморандум Премьера Сталина от 13 августа Премьер-Министр Великобритании заявляет:</w:t>
      </w:r>
    </w:p>
    <w:p w14:paraId="20B2FA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 Самым лучшим видом второго фронта в 1942 году, единственно возможной значительной по масштабу операцией со стороны Атлантического океана является “Факел” </w:t>
      </w:r>
      <w:r w:rsidRPr="00722885">
        <w:rPr>
          <w:color w:val="000000" w:themeColor="text1"/>
          <w:sz w:val="16"/>
          <w:szCs w:val="16"/>
          <w:vertAlign w:val="superscript"/>
        </w:rPr>
        <w:t>24</w:t>
      </w:r>
      <w:r w:rsidRPr="00722885">
        <w:rPr>
          <w:color w:val="000000" w:themeColor="text1"/>
          <w:sz w:val="16"/>
          <w:szCs w:val="16"/>
        </w:rPr>
        <w:t>. Если эта операция сможет быть осуществлена в октябре, она окажет больше помощи России, чем всякий иной план. Эта операция подготовляет также путь на 1943 год и обладает четырьмя преимуществами, о которых упоминал Премьер Сталин в беседе 12 августа. Британское Правительство и Правительство Соединенных Штатов приняли решение об этом, и все приготовления идут самым ускоренным темпом.</w:t>
      </w:r>
    </w:p>
    <w:p w14:paraId="0D4947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По сравнению с “Факелом” нападение шести или восьми англо-американских дивизий на полуостров Шербур и на острова Канала</w:t>
      </w:r>
      <w:r w:rsidRPr="00722885">
        <w:rPr>
          <w:color w:val="000000" w:themeColor="text1"/>
          <w:sz w:val="16"/>
          <w:szCs w:val="16"/>
          <w:vertAlign w:val="superscript"/>
        </w:rPr>
        <w:t>25</w:t>
      </w:r>
      <w:r w:rsidRPr="00722885">
        <w:rPr>
          <w:color w:val="000000" w:themeColor="text1"/>
          <w:sz w:val="16"/>
          <w:szCs w:val="16"/>
        </w:rPr>
        <w:t xml:space="preserve"> было бы рискованной и бесплодной операцией. Немцы располагают на Западе достаточным количеством войск, чтобы блокировать нас на этом узком полуострове при помощи укрепленных линий, и они сконцентрировали бы в этом месте все свои военно-воздушные силы, имеющиеся у них на Западе. По мнению всех британских военно-морских, военных и воздушных органов, операция могла бы окончиться лишь катастрофой. Если бы даже удалось создать предмостное укрепление, то это не отвлекло бы ни одной дивизии из России. Это было бы также гораздо более кровоточащей раной для нас, чем для противника, и на это были бы расточительно и бесцельно израсходованы опытные кадры и десантные средства, необходимые для настоящих операций в 1943 году. Такова наша окончательная точка зрения. Начальник Имперского генерального штаба обсудит детали с русскими командующими в любой степени, которая может быть желательной.</w:t>
      </w:r>
    </w:p>
    <w:p w14:paraId="4F4402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3. Ни Великобритания, ни Соединенные Штаты не нарушили никакого обещания. Я обращаю внимание на пункт 5 моего меморандума, врученного г-ну Молотову 10 июня 1942 года </w:t>
      </w:r>
      <w:r w:rsidRPr="00722885">
        <w:rPr>
          <w:color w:val="000000" w:themeColor="text1"/>
          <w:sz w:val="16"/>
          <w:szCs w:val="16"/>
          <w:vertAlign w:val="superscript"/>
        </w:rPr>
        <w:t>26</w:t>
      </w:r>
      <w:r w:rsidRPr="00722885">
        <w:rPr>
          <w:color w:val="000000" w:themeColor="text1"/>
          <w:sz w:val="16"/>
          <w:szCs w:val="16"/>
        </w:rPr>
        <w:t>, в котором отчетливо сказано: “Поэтому мы не можем дать никакого обещания”. Этот меморандум явился результатом длительных переговоров, в которых было исчерпывающим образом разъяснено, что существуют весьма малые шансы на принятие подобного плана. Некоторые из бесед, в которых были даны эти разъяснения, записаны.</w:t>
      </w:r>
    </w:p>
    <w:p w14:paraId="7F16F2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4. Однако все разговоры относительно англо-американского вторжения во Францию в этом году ввели противника в заблуждение и сковали его значительные военно-воздушные и сухопутные силы на французском побережье Канала. Общим интересам, в особенности русским интересам, был бы нанесен ущерб, если бы возникли какие-либо публичные споры, при которых Британское Правительство было бы вынуждено раскрыть народу убийственный аргумент, которым, по его мнению, оно располагает против операции “Кузнечный молот” </w:t>
      </w:r>
      <w:r w:rsidRPr="00722885">
        <w:rPr>
          <w:color w:val="000000" w:themeColor="text1"/>
          <w:sz w:val="16"/>
          <w:szCs w:val="16"/>
          <w:vertAlign w:val="superscript"/>
        </w:rPr>
        <w:t>27</w:t>
      </w:r>
      <w:r w:rsidRPr="00722885">
        <w:rPr>
          <w:color w:val="000000" w:themeColor="text1"/>
          <w:sz w:val="16"/>
          <w:szCs w:val="16"/>
        </w:rPr>
        <w:t>. Были бы значительно обескуражены русские армии, которые были обнадежены по этому поводу, и противник смог бы свободно оттянуть дальнейшие силы с Запада. Самым разумным методом было бы использовать “Кузнечный молот” в качестве прикрытия для “Факела” и провозгласить “Факел”, когда он начнется, как второй фронт. Это то, что мы намереваемся сделать.</w:t>
      </w:r>
    </w:p>
    <w:p w14:paraId="2E6584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Мы не можем согласиться с тем, что переговоры с г-ном Молотовым о втором фронте, поскольку они были ограничены как устными, так и письменными оговорками, дали бы какое-либо основание для изменения стратегических планов русского верховного командования.</w:t>
      </w:r>
    </w:p>
    <w:p w14:paraId="079A7B6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Мы вновь подтверждаем нашу решимость оказывать нашим русским союзникам помощь всеми возможными средствами.</w:t>
      </w:r>
    </w:p>
    <w:p w14:paraId="4C7BD2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 Ч. (7430).</w:t>
      </w:r>
    </w:p>
    <w:p w14:paraId="453A6941" w14:textId="77777777" w:rsidR="00AE7191" w:rsidRPr="00722885" w:rsidRDefault="00AE7191" w:rsidP="00722885">
      <w:pPr>
        <w:pStyle w:val="Iauiue"/>
        <w:jc w:val="both"/>
        <w:rPr>
          <w:color w:val="000000" w:themeColor="text1"/>
          <w:sz w:val="16"/>
          <w:szCs w:val="16"/>
        </w:rPr>
      </w:pPr>
    </w:p>
    <w:p w14:paraId="6CE4AD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 августа 1942 года</w:t>
      </w:r>
    </w:p>
    <w:p w14:paraId="1BEDF9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 ЧЕРЧИЛЛЬ И. В. СТАЛИНУ *</w:t>
      </w:r>
    </w:p>
    <w:p w14:paraId="13777F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Уважаемый Премьер Сталин,</w:t>
      </w:r>
    </w:p>
    <w:p w14:paraId="6A5D52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 Ниже следует сообщение о результате битвы за конвой на Мальту. Только три торговых парохода из четырнадцати достигли Мальты. Еще два буксируются и, возможно, достигнут места назначения. Три, находящиеся там, доставили снабжение на период от двух до трех месяцев. Таким образом, крепость, которая имеет большое значение для положения на всем Средиземном море, может держаться до тех пор, пока не произойдут неизбежное сражение в Западной пустыне Египта и “Факел” </w:t>
      </w:r>
      <w:r w:rsidRPr="00722885">
        <w:rPr>
          <w:color w:val="000000" w:themeColor="text1"/>
          <w:sz w:val="16"/>
          <w:szCs w:val="16"/>
          <w:vertAlign w:val="superscript"/>
        </w:rPr>
        <w:t>24</w:t>
      </w:r>
      <w:r w:rsidRPr="00722885">
        <w:rPr>
          <w:color w:val="000000" w:themeColor="text1"/>
          <w:sz w:val="16"/>
          <w:szCs w:val="16"/>
        </w:rPr>
        <w:t>.</w:t>
      </w:r>
    </w:p>
    <w:p w14:paraId="192732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За это мы дорого заплатили. Авианосец “Игл” потоплен, а авианосец “Индомитэбл” серьезно поврежден тремя бомбами и тремя близкими разрывами; два хороших крейсера потоплены, один поврежден, а участь другого неизвестна; один эсминец потоплен вместе с девятью или, возможно, одиннадцатью быстроходными пароходами, и, таким образом, уцелели немногие. “Родней” также был слегка поврежден близким разрывом бомбы.</w:t>
      </w:r>
    </w:p>
    <w:p w14:paraId="0FC2F5D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Я придерживаюсь той точки зрения, что эту цену стоило уплатить. Другой стороной было то печальное обстоятельство, что военные корабли действовали среди всех этих самолетов противника, базирующихся на суше. Мы потопили три подводные лодки и, очевидно, нанесли серьезный ущерб нападающим воздушным силам. Итальянский крейсер и линкор не рискнули совершить нападение на остатки конвоя, когда он попал под зонтик воздушной обороны Мальты. Противник, без сомнения, распишет это как большую победу на море, и это так и было бы, если бы не стратегическое значение Мальты в разрезе будущих планов.</w:t>
      </w:r>
    </w:p>
    <w:p w14:paraId="455E28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Искренне Ваш</w:t>
      </w:r>
    </w:p>
    <w:p w14:paraId="4850F9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Уинстон ЧЕРЧИЛЛЬ Москва (7430).</w:t>
      </w:r>
    </w:p>
    <w:p w14:paraId="658CDEF4" w14:textId="77777777" w:rsidR="00AE7191" w:rsidRPr="00722885" w:rsidRDefault="00AE7191" w:rsidP="00722885">
      <w:pPr>
        <w:pStyle w:val="Iauiue"/>
        <w:jc w:val="both"/>
        <w:rPr>
          <w:color w:val="000000" w:themeColor="text1"/>
          <w:sz w:val="16"/>
          <w:szCs w:val="16"/>
        </w:rPr>
      </w:pPr>
    </w:p>
    <w:p w14:paraId="68522588" w14:textId="77777777" w:rsidR="00DF0DDA"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276CC04" w14:textId="77777777" w:rsidR="00DF0DDA" w:rsidRPr="00722885" w:rsidRDefault="00DF0DDA" w:rsidP="00722885">
      <w:pPr>
        <w:pStyle w:val="Iauiue"/>
        <w:jc w:val="both"/>
        <w:rPr>
          <w:iCs/>
          <w:color w:val="000000" w:themeColor="text1"/>
          <w:sz w:val="16"/>
          <w:szCs w:val="16"/>
        </w:rPr>
      </w:pPr>
    </w:p>
    <w:p w14:paraId="127D87BA"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 августа в 1942 году второй лейтенант Э.Шахан из 27 FS (Fighter Squadron - истребительная эскадрилья) одержал первую победу в воздухе на </w:t>
      </w:r>
      <w:hyperlink r:id="rId68" w:tgtFrame="_blank" w:history="1">
        <w:r w:rsidRPr="00722885">
          <w:rPr>
            <w:rFonts w:ascii="Times New Roman" w:hAnsi="Times New Roman"/>
            <w:color w:val="000000" w:themeColor="text1"/>
            <w:sz w:val="16"/>
            <w:szCs w:val="16"/>
          </w:rPr>
          <w:t xml:space="preserve">«P-38D» </w:t>
        </w:r>
      </w:hyperlink>
      <w:r w:rsidRPr="00722885">
        <w:rPr>
          <w:rFonts w:ascii="Times New Roman" w:hAnsi="Times New Roman"/>
          <w:color w:val="000000" w:themeColor="text1"/>
          <w:sz w:val="16"/>
          <w:szCs w:val="16"/>
        </w:rPr>
        <w:t>на Европейском театре военных действий. Он отправил на дно Северного моря поврежденный пилотом «Р-39» немецкий четырехмоторный самолет-разведчик «FW200» "Кондор" (14983).</w:t>
      </w:r>
    </w:p>
    <w:p w14:paraId="74CCAEFA"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01CAA7E4"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августа 1942, управляя истребителем Lockheed P-38 Lightning из 27-й истребительной эскадрильи, лейтенант Эльза Шахам становится первым пилотом ВВС США, который одержал воздушную победу в Европе во время Второй мировой войны, сбив немецкий Focke-Wulf Fw 200 С-3 Кондор (20793).</w:t>
      </w:r>
    </w:p>
    <w:p w14:paraId="56979704" w14:textId="77777777" w:rsidR="00F51760" w:rsidRPr="00722885" w:rsidRDefault="00F51760" w:rsidP="00722885">
      <w:pPr>
        <w:spacing w:after="0" w:line="240" w:lineRule="auto"/>
        <w:jc w:val="both"/>
        <w:rPr>
          <w:rFonts w:ascii="Times New Roman" w:hAnsi="Times New Roman"/>
          <w:color w:val="0070C0"/>
          <w:sz w:val="16"/>
          <w:szCs w:val="16"/>
        </w:rPr>
      </w:pPr>
    </w:p>
    <w:p w14:paraId="6B61A6C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C48FB97" w14:textId="77777777" w:rsidR="00AE7191" w:rsidRPr="00722885" w:rsidRDefault="00AE7191" w:rsidP="00722885">
      <w:pPr>
        <w:pStyle w:val="Iauiue"/>
        <w:jc w:val="both"/>
        <w:rPr>
          <w:iCs/>
          <w:color w:val="000000" w:themeColor="text1"/>
          <w:sz w:val="16"/>
          <w:szCs w:val="16"/>
        </w:rPr>
      </w:pPr>
    </w:p>
    <w:p w14:paraId="36E87F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 августа 1942 Зам. начальника 7 гл. управления Залесский писал нач-ку отдела изобретения Управления опытного строительства Гу ВВС инженер-майору Савуся.</w:t>
      </w:r>
    </w:p>
    <w:p w14:paraId="10792B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предложению о дополнительном вооружении истребителей и штурмовиков огневыми средствами для стрельбы назад сообщаю:</w:t>
      </w:r>
    </w:p>
    <w:p w14:paraId="139090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Идея этого предложения не нова. В 1939 г. на НИПАВ"е был испытан истребитель со стрелковой установкой аналогичного назначения. Позднее данный принцип проверялся на штурмовиках. Однако, в обоих случаях указанные установки не дали ожидаемых результатов и не нашли дальнейшего применения.</w:t>
      </w:r>
    </w:p>
    <w:p w14:paraId="2C122A8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Утяжеление серийных самолетов, изменение центровки и ухудшение обзора вперед, как у истребителя, так и у штурмовика недопустимо.</w:t>
      </w:r>
    </w:p>
    <w:p w14:paraId="4FF658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Основное назначение истребителя - наступательный бой. Именно поэтому огневая мощь вооружения рассчитана на сочетание огня и маневра. Дополнительное оборонительное вооружение отвлекло бы летчика от выполнения основной задачи - непрерывное изыскание возможностей нападения на противника. Надежда на оборонительное вооружение привела бы к пассивному маневру, что дало бы возможность противнику чаще занимать выгодные положения и пользоваться преимуществом переднего огня (пушечный огонь эффективнее огня пулеметов нормального калибра).</w:t>
      </w:r>
    </w:p>
    <w:p w14:paraId="38A96B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Для улучшения обзора назад автор предлагает разработать перископический прибор обладающий рядом принципиальных недостатков, отмеченных спецалистами-прицельщиками Наркомата вооружения, в их заключении, выписку из которого при сем прилагаю.</w:t>
      </w:r>
    </w:p>
    <w:p w14:paraId="5681E4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Предложение Якушкина неприемлемо и Наркоматом Авиапрома не может быть использовано.</w:t>
      </w:r>
    </w:p>
    <w:p w14:paraId="5019C2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Материал направляется отделу изобретений ГУ ВВС для сведения.</w:t>
      </w:r>
    </w:p>
    <w:p w14:paraId="0736FE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Приложение: а) выписка из заключения НКВ от 4.6.42 г. на 1 листе мк N 1165.</w:t>
      </w:r>
    </w:p>
    <w:p w14:paraId="63D196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конспект доклада на 21 лист. только отделу изобретений ГУ ВВС вх. N 248.</w:t>
      </w:r>
    </w:p>
    <w:p w14:paraId="7A8227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Заключение</w:t>
      </w:r>
    </w:p>
    <w:p w14:paraId="6E2E8E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прицельной части предложения Якушкина</w:t>
      </w:r>
    </w:p>
    <w:p w14:paraId="0B1A0C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Автор в своем описании по существу лишь ставит задачу разработки прицела для заднего неподвижного вооружения одноместных самолетов, а не дает технического решения ее.</w:t>
      </w:r>
    </w:p>
    <w:p w14:paraId="015EEA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Поэтому судить приходится о возможностях создания такого прицела и его размещения на машинах и предполагаемых тактико-технических свойствах его.</w:t>
      </w:r>
    </w:p>
    <w:p w14:paraId="315B478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Автор имеет ввиду, по-видимому, двойной перископический прицел, представляющий собой две телескопические системы с независимым наблюдением двумя глазами через два окуляра.</w:t>
      </w:r>
    </w:p>
    <w:p w14:paraId="15D3CC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Такой прибор будет обладать всеми недостатками телескопических прицелов, а именно: ограниченное небольшое поле зрения, необходимость попадать глазом в выходной зрачок прибора, громоздкость и сложность прибора, значительные потери света. По изложенным причинам на всех наших и иностранных машинах применяются сейчас коллиматорные прицелы.</w:t>
      </w:r>
    </w:p>
    <w:p w14:paraId="794FA0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Кроме того, будучи расположенным перед глазами летчика прицел этот своими окулярами, налобником и двумя трубами будет сильно ограничивать и без того небольшой обзор передней полусферы.</w:t>
      </w:r>
    </w:p>
    <w:p w14:paraId="7EC00C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Большой трудностью для пилота (учитывая координату времени) будет являться необходимость при переходе от наблюдения вперед к наблюдению назад, наклониться к окулярам и попасть глазами в выходные зрачки прибора.</w:t>
      </w:r>
    </w:p>
    <w:p w14:paraId="289D94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 время работы с задним прицелом пилот вовсе лишен возможности наблюдения вперед и нападению отсюда для него становится неожиданным.</w:t>
      </w:r>
    </w:p>
    <w:p w14:paraId="404C00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Выступающие из фонаря части труб (объективы) будут неизбежно ухудшать обтекаемость кабины пилота. (зам. начальника 2-го гл. управления Фрейберг, гл. технолог 2-го гл. управления Михайлов) (1684,148).</w:t>
      </w:r>
    </w:p>
    <w:p w14:paraId="3EBD5997" w14:textId="77777777" w:rsidR="00AE7191" w:rsidRPr="00722885" w:rsidRDefault="00AE7191" w:rsidP="00722885">
      <w:pPr>
        <w:pStyle w:val="Iauiue"/>
        <w:jc w:val="both"/>
        <w:rPr>
          <w:color w:val="000000" w:themeColor="text1"/>
          <w:sz w:val="16"/>
          <w:szCs w:val="16"/>
        </w:rPr>
      </w:pPr>
    </w:p>
    <w:p w14:paraId="0122DD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 августа 1942 С.В.И. писал А.С.Я. письмо N 399с:</w:t>
      </w:r>
    </w:p>
    <w:p w14:paraId="318C1A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текущем году как в предыдущие годы мы производим работы по окончанию тех. помощи заводам, внедряющим в серию самолеты Ил-2 и Ил-4 непосредственно на заводах 1, 18, 23, 30 и 126, где работает до 60 чел. наших конструкторов и руководителей групп, что дает возможность на месте быстро решать все неувязки, возникающие в серийном производстве и способствует быстрейшему выпуску освоенной продукции и без задержки для нужд фронта.</w:t>
      </w:r>
    </w:p>
    <w:p w14:paraId="66D07DF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Кроме того, осуществляются работы по самолетам Ил-2 и Ил-4 на нашем заводе (240) по запросам фронта и замене материалов в соответствии с приказом НКАП N 893 от 11 декабря 1941</w:t>
      </w:r>
    </w:p>
    <w:p w14:paraId="677CCA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Вышеуказанные работы в план финансирования по госбюджету на 1942 не включены и на основании письма зам. нач. 7 ГУ Доминского N 66/656 от 12 августа 1942 должны быть немедленно прекращены или на них должны быть заключены договора с серийными заводами и УВВС.</w:t>
      </w:r>
    </w:p>
    <w:p w14:paraId="396127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Считаю заключение договоров с серийными заводами и УВВС на производство работ, возникающих в связи с запросами и предложениями фронта, консультации и контроль за изменениями и заменой материалов на серийных заводах совершенно невозможным требованием и прошу утвердить за счет госбюджета израсходованные на выше указанные работы в 1 полугодии 234 тыс. руб. и выделить на 3 и 4 кв. 550 тыс. руб. (1680,157).</w:t>
      </w:r>
    </w:p>
    <w:p w14:paraId="5F370E3C" w14:textId="77777777" w:rsidR="00AE7191" w:rsidRPr="00722885" w:rsidRDefault="00AE7191" w:rsidP="00722885">
      <w:pPr>
        <w:pStyle w:val="Iauiue"/>
        <w:jc w:val="both"/>
        <w:rPr>
          <w:color w:val="000000" w:themeColor="text1"/>
          <w:sz w:val="16"/>
          <w:szCs w:val="16"/>
        </w:rPr>
      </w:pPr>
    </w:p>
    <w:p w14:paraId="6674BA7C"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15 августа 1942 г. из-за нехватки радиополукомпасов их стали ставить только на каждый второй Пе-2, а затем и на каждый третий, но другое оборудование улучшалось.</w:t>
      </w:r>
    </w:p>
    <w:p w14:paraId="27231C16"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 175-й серии начали ставить рацию РСБ-3бис вместо РСБ-бис с новой антенной, значительно увеличив дальность связи, но, по-видимому, это полезное усовершенствование в своем окончательном виде утвердилось на Пе-2 только в следующем 1943 г. с серии 265. Положительно были оценены более мощная система пневмозапуска моторов и кран разжижения масла бензином, позволявший отказаться от его долива вручную (22928).</w:t>
      </w:r>
    </w:p>
    <w:p w14:paraId="08F94732" w14:textId="77777777" w:rsidR="00F51760" w:rsidRPr="00722885" w:rsidRDefault="00F51760" w:rsidP="00722885">
      <w:pPr>
        <w:spacing w:after="0" w:line="240" w:lineRule="auto"/>
        <w:jc w:val="both"/>
        <w:rPr>
          <w:rFonts w:ascii="Times New Roman" w:hAnsi="Times New Roman"/>
          <w:color w:val="0070C0"/>
          <w:sz w:val="16"/>
          <w:szCs w:val="16"/>
        </w:rPr>
      </w:pPr>
    </w:p>
    <w:p w14:paraId="5E29EE9C" w14:textId="77777777" w:rsidR="00DF0DDA" w:rsidRPr="00722885" w:rsidRDefault="00DF0DDA" w:rsidP="00722885">
      <w:pPr>
        <w:pStyle w:val="36"/>
        <w:shd w:val="clear" w:color="auto" w:fill="auto"/>
        <w:tabs>
          <w:tab w:val="left" w:pos="285"/>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15 августа 1942 после того, как решением комиссии проект НИИ ВВС по усилению бронирования серийных самолетов был утвержден, это решение было утверждено заместителем наркома авиапромышленности А.С. Яковлевым, а 20 августа - заместителем коман</w:t>
      </w:r>
      <w:r w:rsidRPr="00722885">
        <w:rPr>
          <w:rFonts w:ascii="Times New Roman" w:cs="Times New Roman"/>
          <w:color w:val="000000" w:themeColor="text1"/>
          <w:spacing w:val="0"/>
          <w:sz w:val="16"/>
          <w:szCs w:val="16"/>
        </w:rPr>
        <w:softHyphen/>
        <w:t>дующего ВВС КА генералом А.К. Ре</w:t>
      </w:r>
      <w:r w:rsidRPr="00722885">
        <w:rPr>
          <w:rFonts w:ascii="Times New Roman" w:cs="Times New Roman"/>
          <w:color w:val="000000" w:themeColor="text1"/>
          <w:spacing w:val="0"/>
          <w:sz w:val="16"/>
          <w:szCs w:val="16"/>
        </w:rPr>
        <w:softHyphen/>
        <w:t>пиным. Совместный приказ по ВВС и НКАП по усилению бронирования серийных самолетов за №662с/035, закрепляющий основные положения решения комиссии, вышел 26 августа (16776).</w:t>
      </w:r>
    </w:p>
    <w:p w14:paraId="09B3B636"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4E61D9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 августа 1942 лауреат Сталинской премии, ГИ НАТИ Слонимский написал письмо N 9486 в тех. с-т ОБ ЦК ВКП(б) в адрес пред. ГКО И.В.С. о создании летающего танка-автожира. 7 ГУ дало отрицательное заключение (1684,188).</w:t>
      </w:r>
    </w:p>
    <w:p w14:paraId="1ADF4A6C" w14:textId="77777777" w:rsidR="00AE7191" w:rsidRPr="00722885" w:rsidRDefault="00AE7191" w:rsidP="00722885">
      <w:pPr>
        <w:pStyle w:val="Iauiue"/>
        <w:jc w:val="both"/>
        <w:rPr>
          <w:color w:val="000000" w:themeColor="text1"/>
          <w:sz w:val="16"/>
          <w:szCs w:val="16"/>
        </w:rPr>
      </w:pPr>
    </w:p>
    <w:p w14:paraId="0336D593"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9AC0EB0" w14:textId="77777777" w:rsidR="00AE7191" w:rsidRPr="00722885" w:rsidRDefault="00AE7191" w:rsidP="00722885">
      <w:pPr>
        <w:pStyle w:val="Iauiue"/>
        <w:jc w:val="both"/>
        <w:rPr>
          <w:iCs/>
          <w:color w:val="000000" w:themeColor="text1"/>
          <w:sz w:val="16"/>
          <w:szCs w:val="16"/>
        </w:rPr>
      </w:pPr>
    </w:p>
    <w:p w14:paraId="08BC6F2D"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15 августа 1942 г. (с момента зарождения идеи) до 20 октября 1942 г. М.Л. Миль и СВ. Пасхин разработали, создали и провели огневые испытания трех различных вариантов своего СРГ. «Эти испытания показали необходимость доводки образцов, которая сейчас производится», - говорилось в документе, датированном 28 ноября 1942 г. Там же упоминается, что 15 августа полное описание изобретения уже было послано в отдел военных изобретений ГКО, т.е. «идея созрела» намного раньше.</w:t>
      </w:r>
    </w:p>
    <w:p w14:paraId="4001D7C8"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вариант установки Миля-Пасхина, названный МП82-1-1, был выполнен на легком с</w:t>
      </w:r>
      <w:hyperlink r:id="rId69"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е в виде треноги. Общая масса СРГ — 14,4 кг, прицел — простейший кольцевой, с шариковой мушкой (аналогичной авиационной флюгер-мушке) на конце силовой балки орудия - не учитывал изменений в дистанции стрельбы. То есть, он был рассчитан на стрельбу с расстояния 150-200 м. Прицеливание осуществлялось через оргстекло окна в защитном щитке. Заряжание СРГ было организовано с дульной части, для чего на боевой позиции второму номеру расчета с боекомплектом следовало располагаться спереди-сбоку «в отдельно отрытом окопчике» или просто лежать на земле. После выстрела стрелок должен был опустить и отвести ствол ракетного орудия в сторону лежащего рядом второго номера расчета. Пока тот заряжал снаряд в направляющую, стрелок перезаряжал пиропистолет.</w:t>
      </w:r>
    </w:p>
    <w:p w14:paraId="21BFE39B"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Второй вариант этой установки назывался МП82-2-1. Он был выполнен на колесном с</w:t>
      </w:r>
      <w:hyperlink r:id="rId70"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е, который при необходимости можно было поставить на лыжи, и весил 20,4 кг. Прицел — с металлическим ограждением мушки, в большей степени отвечал специфике эксплуатации оружия в пехотных частях. Этим же требованиям отвечали и колеса большого диаметра у с</w:t>
      </w:r>
      <w:hyperlink r:id="rId71"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обладавшие лучшей «проходимостью» при его перевозке по полю боя в распутицу. Щиток был доработан и частично прикрывал голову стрелка. Для лучшего удержания при выстреле орудие было дополнено одной вертикальной рукояткой, как у с</w:t>
      </w:r>
      <w:hyperlink r:id="rId72"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пулеметов. Теперь стрелок правой рукой обхватывал шейку приклада, а левой держался за рукоятку. Длина СРГ - 2050 мм, наибольшая ширина (по сошнику) - 1000 мм, высота по щитку - 590 мм, линия огня проходила в 250 мм параллельно земле.</w:t>
      </w:r>
    </w:p>
    <w:p w14:paraId="598B83E1"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особенности конструкции не позволяли выполнить сошник с</w:t>
      </w:r>
      <w:hyperlink r:id="rId73"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складным, и легкий СРГ из-за этого производил впечатление чересчур громоздкого. Кроме того, в общей массе гранатомета не учитывался аккумулятор для питания цепи воспламенения пиропатрона (малогабаритных источников питания напряжением минимум 6 В, необходимых для срабатывания пиропатрона, тогда еще делать не умели), а он добавил бы еще 5-7 кг. Исправить это положение могла бы замена щелочного аккумулятора вдвое более легкой подрывной машинкой, но о ней у конструкторов речи не шло...</w:t>
      </w:r>
    </w:p>
    <w:p w14:paraId="584F2F05"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Более поздний вариант этой установки, чертежи которого датированы 20 октября 1942 г., был доработан в отношении снижения массы конструкции и повышения ее компактности. Так, сошник с</w:t>
      </w:r>
      <w:hyperlink r:id="rId74"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был спроектирован складным, в рукоятку вмонтировали механизм вертикальной наводки ракетного орудия, соединения основных узлов СРГ пришлось упрочнить (очевидно, по результатам первых пробных стрельб). Все это, вне сомнения, утяжелило конструкцию. Чтобы остаться в прежних весовых пределах, Миль и Пасхин уменьшили диаметр колес с</w:t>
      </w:r>
      <w:hyperlink r:id="rId75"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и габариты щитка, за счет чего общая высота установки уменьшилась до 500 мм. Ширина лобовой части щитка существенно уменьшилась, и застекленное смотровое окно в нем превратилось в узкую вертикальную щель.</w:t>
      </w:r>
    </w:p>
    <w:p w14:paraId="70CBBC50"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Третий вариант СРГ МП82-2-46 с перезарядкой с казенной части и барабаном револьверного типа на пиропистолете с «ударными пиропатронами», судя по маркировке, также относился ко второму варианту установки. Однако недоработанные чертежи и отсутствие упоминаний об этом варианте СРГ в отчетах по стрельбе наводят на мысль, что данная установка не была реализована в металле и считалась лишь концепт-проектом. В ее конструкции были полностью исключены тяжелый и громоздкий аккумулятор и электроцепи запуска реактивного снаряда. Ствол пиропистолета был соединен с барабаном револьвера, который заряжали холостыми патронами, что позволяло полностью отказаться от электрической части СРГ.</w:t>
      </w:r>
    </w:p>
    <w:p w14:paraId="53043FAC"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вариант гранатомета был в максимальной степени ориентирован на сокращение численности обслуживающего персонала. То есть, по мнению разработчиков, второй номер расчета теперь не требовался. Для перезаряжания ракетного орудия с казенной части Миль и Пасхин предложили выполнить нижнюю часть защитного щитка, а также пиропистолет откидными, с приводом от рукоятки вертикальной наводки ружья. На их чертеже это отражено лишь декларативно, и более подробные проработки на уровне сборочного чертежа отсутствуют. Очень похоже, что МП82-2-46 и был третьим вариантом СРГ, поскольку его чертежей и описаний не сохранилось, не упоминается о нем и в переписке.</w:t>
      </w:r>
    </w:p>
    <w:p w14:paraId="650B9800"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тем «милевский» концепт-проект МП82-2-46 был технически очень сложным: откидная часть защитного щитка мешала зарядке пиропистолета.</w:t>
      </w:r>
    </w:p>
    <w:p w14:paraId="08D33522"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Возможно, выходом из положения они видели вариант СРГ с повернутыми вверх полозками ракетного орудия. Чертежей такой установки нет, но о ней упоминается в письме М.Л. Миля, датированном 28 ноября 1942 г. и адресованном Военному Совету Уральского военного округа, «...балка может быть расположена полозками вниз или вверх или вращающаяся на продольной оси с целью удобства заряжания ружья с казенной части».</w:t>
      </w:r>
    </w:p>
    <w:p w14:paraId="29AA19DE"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Четвертый вариант СРГ под названием МП82-4-1 был выполнен с оптическим прицелом, на лыжном с</w:t>
      </w:r>
      <w:hyperlink r:id="rId76"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е и с винтовочным затвором для применения холостых винтовочных патронов (или авиационных капсюльных ПП-1) для запуска реактивных снарядов. Именно эту установку использовали с целью демонстрации возможностей однозарядного СРГ Миля-Пасхина на сравнительных испытаниях 14-18 декабря 1942 г. Высота линии огня от земли — 250 мм, высота всей установки - 540 мм, длина гранатомета - 2,0 м, масса ружья со щитком - 11 кг, общая масса установки - 21 кг. В этом варианте установки для транспортировки ружье со щитком легко снимались со с</w:t>
      </w:r>
      <w:hyperlink r:id="rId77"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w:t>
      </w:r>
    </w:p>
    <w:p w14:paraId="7DAF1C2E"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Правда, в отличие от проекта, на испытаниях она была оснащена аккумулятором и электрической частью с боевой кнопкой. При стрельбе из этой, а также других установок были отмечены случаи разрывов пиропатронов внутри пиропистолета, случай обрыва электропроводки при выстреле, а также один случай разрыва пиропистолета. Поэтому размещение пиропистолета в непосредственной близости от лица стреляющего конструкторы в дальнейшем посчитали недопустимым.</w:t>
      </w:r>
    </w:p>
    <w:p w14:paraId="41D91C4D"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Обрывы проводов при выстреле здесь выглядят довольно странными. При эксплуатации аналогичных ракетных орудий под крылом самолетов ВВС Красной Армии обрыв проводов также не являлся редкостью, но там электропроводка не закрывалась щитком. А разрывов пиропатронов в стволе пиропистолета или разрывов самого пиропистолета, выполненного на ранних моделях орудия из литого силумина, а на поздних — из жаропрочной стали, в ВВС не было отмечено ни разу.</w:t>
      </w:r>
    </w:p>
    <w:p w14:paraId="411F9F19"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этой установки на прицельность проходили в виде стрельбы по щиту размером 6× 4,5 м. В его центре было нарисовано яблоко диаметром 250 мм. Стреляли в середине декабря с дистанции 100 м на полигоне в Билимбае после тщательной холодной пристрелки. Оружие было снабжено прицелом выпуска 1941 г. для снайперской винтовки.</w:t>
      </w:r>
    </w:p>
    <w:p w14:paraId="752755D9"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трехзарядный вариант гранатомета МП82 рабочих чертежей не сохранилось, не упоминается и его полное наименование, но имеются эскизы и наброски, а также описание установки. Судя по всему, это и был пятый вариант СРГ. Фотографии установки и отчет по стрельбе свидетельствуют, что этот гранатомет также был реализован в металле.</w:t>
      </w:r>
    </w:p>
    <w:p w14:paraId="011568E3"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стволе этого СРГ был на подшипниках закреплен барабан с тремя однозарядными пусковыми РО-82. Стрельбу из них вели последовательно, что, по утверждению создателей, «обеспечивало большую скорострельность и тем увеличивало вероятность поражения </w:t>
      </w:r>
      <w:hyperlink r:id="rId78"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Ствольная часть была легкосъемной и вместо приклада оснащена ручками, как у с</w:t>
      </w:r>
      <w:hyperlink r:id="rId79"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пулеметов (на эскизах он прорабатывался с прикладом). Стрельбой управляли от кнопки, инициируя срабатывание пиропатрона от аккумулятора. Поскольку мушку на такой конструкции установить было проблематично, на испытаниях приспособили коллиматорный авиационный прицел. Высота линии огня - 250 мм, высота общая СРГ - 590 мм, длина всей установки -2,4 м, ширина - 700 мм, масса ствольной части — 18 кг, с</w:t>
      </w:r>
      <w:hyperlink r:id="rId80"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 30 кг, общая масса - 48 кг.</w:t>
      </w:r>
    </w:p>
    <w:p w14:paraId="2D65741A"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отличие от однозарядного варианта, щиток был неподвижен и выполнял роль несущей конструкции рамного типа, обшитой стальными листами. К сожалению, вид сверху отсутствует, и можно только предполагать, что правое и левое крылья щитка были симметричными, поскольку на реализованном образце СРГ клинья сошника располагались внутри щитка. Защитное стекло щитка на проекте располагалось под углом к потоку продуктов горения ракетных зарядов боеприпасов, но на реальном образце его установили под прямым углом. Это было сделано с целью избежать появления бликов при оснащении СРГ коллиматорным прицелом. То есть, здесь пригодился «авиационный опыт».</w:t>
      </w:r>
    </w:p>
    <w:p w14:paraId="2823E6A9"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трехзарядной установки на сравнительных испытаниях 14-18 декабря 1942 г. было выполнено четыре выстрела реактивными снарядами РОС-82 (один выстрел — с дистанционным управлением и три - стрелком). Данная установка продемонстрировала удовлетворительную устойчивость и безопасность. «Прицельность установки» не отрабатывали из-за ограниченного количества боеприпасов (15595).</w:t>
      </w:r>
    </w:p>
    <w:p w14:paraId="04549EE1"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3D5FBF6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1942 г. были подготовлены ПРЕДЛОЖЕНИЕ КОНСТРУКТОРА АНИКИНА М.Г. ПРЕДСЕДАТЕЛЮ ГКО О СОЗДАНИИ ТАНКА-ИСТРЕБИТЕЛЯ С БОЛЬШОЙ СКОРОСТЬЮ ПЕРЕДВИЖЕНИЯ</w:t>
      </w:r>
    </w:p>
    <w:p w14:paraId="1D3F4B5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Вторично вынужден к Вам обратиться за помощью, так как первое письмо, видимо, к Вам не по</w:t>
      </w:r>
      <w:r w:rsidRPr="00722885">
        <w:rPr>
          <w:rFonts w:ascii="Times New Roman" w:hAnsi="Times New Roman"/>
          <w:color w:val="000000" w:themeColor="text1"/>
          <w:sz w:val="16"/>
          <w:szCs w:val="16"/>
        </w:rPr>
        <w:softHyphen/>
        <w:t>пало, (правда, я в том письме ничего описательного не писал из-за осторожности и это, возможно, послужило к тому, чтобы не придать должного внимания моей просьбе со стороны аппарата).</w:t>
      </w:r>
    </w:p>
    <w:p w14:paraId="203B2F1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Личная просьба обоснована следующая:</w:t>
      </w:r>
    </w:p>
    <w:p w14:paraId="1989517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Мною запроектирован (вчерне) танк-истребитель с большой скоростью передвижения.</w:t>
      </w:r>
    </w:p>
    <w:p w14:paraId="4406A46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Мой танк-истребитель управляется одним человеком, который находится в танке в лежачем по</w:t>
      </w:r>
      <w:r w:rsidRPr="00722885">
        <w:rPr>
          <w:rFonts w:ascii="Times New Roman" w:hAnsi="Times New Roman"/>
          <w:color w:val="000000" w:themeColor="text1"/>
          <w:sz w:val="16"/>
          <w:szCs w:val="16"/>
        </w:rPr>
        <w:softHyphen/>
        <w:t>ложении, ногами он ведет управление движения танка, а руками ведет управление огнем и управле</w:t>
      </w:r>
      <w:r w:rsidRPr="00722885">
        <w:rPr>
          <w:rFonts w:ascii="Times New Roman" w:hAnsi="Times New Roman"/>
          <w:color w:val="000000" w:themeColor="text1"/>
          <w:sz w:val="16"/>
          <w:szCs w:val="16"/>
        </w:rPr>
        <w:softHyphen/>
        <w:t>ние скоростью движения (в основу управления танка положено управление самолетом).</w:t>
      </w:r>
    </w:p>
    <w:p w14:paraId="4DDE1EB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танка — не превышает 500 мм, это и большая скорость дает танку моей конструкции по</w:t>
      </w:r>
      <w:r w:rsidRPr="00722885">
        <w:rPr>
          <w:rFonts w:ascii="Times New Roman" w:hAnsi="Times New Roman"/>
          <w:color w:val="000000" w:themeColor="text1"/>
          <w:sz w:val="16"/>
          <w:szCs w:val="16"/>
        </w:rPr>
        <w:softHyphen/>
        <w:t>являться не замечено к танкам противника, а особенно в траве и ночью. Кроме этого, он имеет ма</w:t>
      </w:r>
      <w:r w:rsidRPr="00722885">
        <w:rPr>
          <w:rFonts w:ascii="Times New Roman" w:hAnsi="Times New Roman"/>
          <w:color w:val="000000" w:themeColor="text1"/>
          <w:sz w:val="16"/>
          <w:szCs w:val="16"/>
        </w:rPr>
        <w:softHyphen/>
        <w:t>лую степень уязвимости как по форме расположения брони, так и по двум первым причинам.</w:t>
      </w:r>
    </w:p>
    <w:p w14:paraId="5D4E4D9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танка — 2 пулемета типа Шкас (авиационного) и торпеда большой мощности раз</w:t>
      </w:r>
      <w:r w:rsidRPr="00722885">
        <w:rPr>
          <w:rFonts w:ascii="Times New Roman" w:hAnsi="Times New Roman"/>
          <w:color w:val="000000" w:themeColor="text1"/>
          <w:sz w:val="16"/>
          <w:szCs w:val="16"/>
        </w:rPr>
        <w:softHyphen/>
        <w:t>рушения, которая выпускается вражескому танку на встречу без выстрела.</w:t>
      </w:r>
    </w:p>
    <w:p w14:paraId="2004842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 как конструктор, глубоко убежден, что мой танк-истребитель в ходе нашей войны против фа</w:t>
      </w:r>
      <w:r w:rsidRPr="00722885">
        <w:rPr>
          <w:rFonts w:ascii="Times New Roman" w:hAnsi="Times New Roman"/>
          <w:color w:val="000000" w:themeColor="text1"/>
          <w:sz w:val="16"/>
          <w:szCs w:val="16"/>
        </w:rPr>
        <w:softHyphen/>
        <w:t>шизма займет почетное место и окажет не малую помощь нашим бесстрашным бойцам в части унич</w:t>
      </w:r>
      <w:r w:rsidRPr="00722885">
        <w:rPr>
          <w:rFonts w:ascii="Times New Roman" w:hAnsi="Times New Roman"/>
          <w:color w:val="000000" w:themeColor="text1"/>
          <w:sz w:val="16"/>
          <w:szCs w:val="16"/>
        </w:rPr>
        <w:softHyphen/>
        <w:t>тожения бронетанковых сил врага, а также и живой силы.</w:t>
      </w:r>
    </w:p>
    <w:p w14:paraId="684DEF1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Ваших решений и дальнейшего указания в части осуществления.</w:t>
      </w:r>
    </w:p>
    <w:p w14:paraId="10DAC81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для осуществления технического проекта мне необходима следующая помощь:</w:t>
      </w:r>
    </w:p>
    <w:p w14:paraId="343AAF5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Рабочие чертежи на автомотор малолитражки КИМ и авто М-1 и их агрегаты как-то: магнето, радиатор, вентилятор и т.д.</w:t>
      </w:r>
    </w:p>
    <w:p w14:paraId="4A654AB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2.5-6 человек конструкторов и одного конструктора на прочность, так как сам лично очень занят на заводе, да и, кроме того, одному мне придется затратить очень много времени, чего делать нельзя по сложности войны.</w:t>
      </w:r>
    </w:p>
    <w:p w14:paraId="2AEF109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После утверждения технического проекта Вами и специальной комиссией прошу дать право на изготовление первых несколько штук для опробования в условиях полигона и учебы.</w:t>
      </w:r>
    </w:p>
    <w:p w14:paraId="305D263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цеха № 12 Госавиазавода № 27 конструктор Аникин М.Г.</w:t>
      </w:r>
    </w:p>
    <w:p w14:paraId="0090A56A"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11355. Д. 936. Л. 272. Подлинник (11211).</w:t>
      </w:r>
    </w:p>
    <w:p w14:paraId="48269046" w14:textId="77777777" w:rsidR="00AE7191" w:rsidRPr="00722885" w:rsidRDefault="00AE7191" w:rsidP="00722885">
      <w:pPr>
        <w:pStyle w:val="afff2"/>
        <w:jc w:val="both"/>
        <w:rPr>
          <w:i w:val="0"/>
          <w:iCs w:val="0"/>
          <w:color w:val="000000" w:themeColor="text1"/>
          <w:spacing w:val="0"/>
          <w:kern w:val="0"/>
          <w:position w:val="0"/>
          <w:sz w:val="16"/>
          <w:szCs w:val="16"/>
        </w:rPr>
      </w:pPr>
    </w:p>
    <w:p w14:paraId="0A79B3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15 августа 1942 из запланированных 225 не было сдано ни одной ТО-34, что вызывало недовольство у руководства ГАБТУ КА:</w:t>
      </w:r>
    </w:p>
    <w:p w14:paraId="79DBEAA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«Танковые заводы при наличии у них достаточного количества огнеметов АТО-41 не выполняют программу выпуска огнеметных танков и из месяца в месяц срывают план формирования огнеметных танковых частей.</w:t>
      </w:r>
    </w:p>
    <w:p w14:paraId="04C563E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Невыполнение заводами Нар комтанкопрома программы выпуска огнеметных танков не дает возможности проверить эффективность действия огнеметных батальонов, так, как формирование их из-за отсутствия танков задерживается».</w:t>
      </w:r>
    </w:p>
    <w:p w14:paraId="2395818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видно из документа, огнеметные танки поступали на вооружение отдельных огнеметных танковых батальонов, имевших 500-е номере. По штату, каждый такой батальон насчитывал 21 танк - 10 огнеметных КВ-8, 9 ТО-34 и 3 линейны» Т-34 (12217).</w:t>
      </w:r>
    </w:p>
    <w:p w14:paraId="3997339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8A32B5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1942 по донесению дирекции СТЗ в Наркомтанкопром, "заводом проделана большая работа по улучшению конструкции АТО-41» и в конструкцию огнемета внесены изменения, улучшающие его качества (12217).</w:t>
      </w:r>
    </w:p>
    <w:p w14:paraId="26C3136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4CD46F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1942 г. вышел приказ № 47 Главмотовелопрома НКСМ, который устанавливался следующий порядок поставок мотоциклов с колясками. На ГМЗ и других мотозаводах следо</w:t>
      </w:r>
      <w:r w:rsidRPr="00722885">
        <w:rPr>
          <w:rFonts w:ascii="Times New Roman" w:hAnsi="Times New Roman"/>
          <w:color w:val="000000" w:themeColor="text1"/>
          <w:sz w:val="16"/>
          <w:szCs w:val="16"/>
        </w:rPr>
        <w:softHyphen/>
        <w:t>вало хранить ограниченное количество колясок к мотоциклам М-72. Каждый М-72 с коляской в полной комплектации предъ</w:t>
      </w:r>
      <w:r w:rsidRPr="00722885">
        <w:rPr>
          <w:rFonts w:ascii="Times New Roman" w:hAnsi="Times New Roman"/>
          <w:color w:val="000000" w:themeColor="text1"/>
          <w:sz w:val="16"/>
          <w:szCs w:val="16"/>
        </w:rPr>
        <w:softHyphen/>
        <w:t>являли представителю Заказчика (офицеру ГБТУ, в просторе</w:t>
      </w:r>
      <w:r w:rsidRPr="00722885">
        <w:rPr>
          <w:rFonts w:ascii="Times New Roman" w:hAnsi="Times New Roman"/>
          <w:color w:val="000000" w:themeColor="text1"/>
          <w:sz w:val="16"/>
          <w:szCs w:val="16"/>
        </w:rPr>
        <w:softHyphen/>
        <w:t>чии - военпреду). Затем коляску сдавали на хранение в складе завода-изготовителя, а мотоцикл в полной комплектности, но без коляски, отправляли на ММЗ. Туда же с ГАЗа доставляли мотоциклетные коляски. На ММЗ к мотоциклам, поступав</w:t>
      </w:r>
      <w:r w:rsidRPr="00722885">
        <w:rPr>
          <w:rFonts w:ascii="Times New Roman" w:hAnsi="Times New Roman"/>
          <w:color w:val="000000" w:themeColor="text1"/>
          <w:sz w:val="16"/>
          <w:szCs w:val="16"/>
        </w:rPr>
        <w:softHyphen/>
        <w:t>шим с мотозаводов, если требовалось, крепили коляски, и предъявляли военпреду, а затем передавали в распоряжение ГБТУ [5.29]. Введенный порядок упростил поставки мотоцик</w:t>
      </w:r>
      <w:r w:rsidRPr="00722885">
        <w:rPr>
          <w:rFonts w:ascii="Times New Roman" w:hAnsi="Times New Roman"/>
          <w:color w:val="000000" w:themeColor="text1"/>
          <w:sz w:val="16"/>
          <w:szCs w:val="16"/>
        </w:rPr>
        <w:softHyphen/>
        <w:t>лов с колясками, ограниченное количество которых хранили на мотозаводах. ГАЗ, в основном, отправлял коляски только на ММЗ. Для ведения широкомасштабных боевых действий в 1942 г. Красной Армии требовалось гораздо большее количество мотоциклов, в сравнении с изготавливаемыми на ГМЗ. Поэтому НКСМ и Главмотовелопром стремились быстрее ввести в экс</w:t>
      </w:r>
      <w:r w:rsidRPr="00722885">
        <w:rPr>
          <w:rFonts w:ascii="Times New Roman" w:hAnsi="Times New Roman"/>
          <w:color w:val="000000" w:themeColor="text1"/>
          <w:sz w:val="16"/>
          <w:szCs w:val="16"/>
        </w:rPr>
        <w:softHyphen/>
        <w:t>плуатацию мотозаводы в Ирбите и Тюмени (11429).</w:t>
      </w:r>
    </w:p>
    <w:p w14:paraId="7229448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437E3F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1942 г. по приказу НКЭП № МК-325 завод «Сибкабель» переименован в ГС завод № 631 (ГС завод № 631 НКЭП, ГС кабельный завод «Сибкабель» НКЭП, Томский кабельный завод («Томкабель») МЭТП /634059  г. Томск ул. Смирнова, 3/). 12.06.1954 г. завод № 631 переименован в Томский кабельный завод «Томкабель» МЭТП.</w:t>
      </w:r>
    </w:p>
    <w:p w14:paraId="5F312F4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04.1952 г. на базе завода создан НИИ кабельной промышленности.</w:t>
      </w:r>
    </w:p>
    <w:p w14:paraId="7CEEB71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1955 г. в состав завода влит завод № 673. С 07.1957 г. «Томкабель»- в ведении Томского СНХ, с 03.1963 г. - в ведении Управления электротехнической промышленности Западно-Сибирского совнархоза.</w:t>
      </w:r>
      <w:r w:rsidRPr="00722885">
        <w:rPr>
          <w:rFonts w:ascii="Times New Roman" w:hAnsi="Times New Roman"/>
          <w:color w:val="000000" w:themeColor="text1"/>
          <w:sz w:val="16"/>
          <w:szCs w:val="16"/>
          <w:vertAlign w:val="superscript"/>
        </w:rPr>
        <w:t>80</w:t>
      </w:r>
      <w:r w:rsidRPr="00722885">
        <w:rPr>
          <w:rFonts w:ascii="Times New Roman" w:hAnsi="Times New Roman"/>
          <w:color w:val="000000" w:themeColor="text1"/>
          <w:sz w:val="16"/>
          <w:szCs w:val="16"/>
        </w:rPr>
        <w:t xml:space="preserve"> С 1966 г.- вновь в ведении МЭТП.</w:t>
      </w:r>
    </w:p>
    <w:p w14:paraId="6CF3BFF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1971 г. на базе заводов «Томкабель», «Эмальпровод», «Металлист» ( г. Колпашево Томской обл.) и НИИ кабельной промышленности с опытным производством создано ПО «Сибкабель» МЭТП.</w:t>
      </w:r>
    </w:p>
    <w:p w14:paraId="5E17ED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кабели: силовые, шахтные, морские; электропровод.</w:t>
      </w:r>
    </w:p>
    <w:p w14:paraId="5701021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НИИ Кабельной промышленности МЭТП</w:t>
      </w:r>
    </w:p>
    <w:p w14:paraId="5CB99A8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 в 04.1952 г. на базе завода «Томкабель». В 1971 г. НИИ с опытным производством вошел в состав ПО «Сибкабель». Был в 2002 г.</w:t>
      </w:r>
    </w:p>
    <w:p w14:paraId="5769D7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«Сибкабель» МЭТП, НПО, АППО, АОЗТ, ЗАО «Сибкабель» /643003  г. Томск ул. Пушкина, 46/ /Московское представительство:  г. Москва ш. Энтузиастов, 5/</w:t>
      </w:r>
    </w:p>
    <w:p w14:paraId="1283EF4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«Сибкабель» МЭТП создано в 1971 г. на базе заводов «Томкабель», «Эмальпровод», «Металлист» ( г. Колпашево Томской обл.) и НИИ кабельной промышленности с опытным производством. В 1992 г. предприятие преобразовано в АОЗТ «Сибкабель» (11982).</w:t>
      </w:r>
    </w:p>
    <w:p w14:paraId="6A7E373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7188E4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416D8BD" w14:textId="77777777" w:rsidR="00AE7191" w:rsidRPr="00722885" w:rsidRDefault="00AE7191" w:rsidP="00722885">
      <w:pPr>
        <w:pStyle w:val="Iauiue"/>
        <w:jc w:val="both"/>
        <w:rPr>
          <w:iCs/>
          <w:color w:val="000000" w:themeColor="text1"/>
          <w:sz w:val="16"/>
          <w:szCs w:val="16"/>
        </w:rPr>
      </w:pPr>
    </w:p>
    <w:p w14:paraId="0B85A52D"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в 1942 году утреннее сообщение Совинформбюро:</w:t>
      </w:r>
    </w:p>
    <w:p w14:paraId="211E7303"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15 августа наши войска вели бои с противником в районах Клетская, северо-восточнее Котельниково, а также в районах Минеральные Воды, Черкесск, Майкоп и Краснодар.</w:t>
      </w:r>
    </w:p>
    <w:p w14:paraId="282EEE64"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2B7C43ED"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отбили несколько атак противника. Перед передним краем обороны Н-ской части немцы оставили 2 подбитых танка и свыше 200 трупов. Южнее Клетской продолжались ожесточённые бои против прорвавшейся в глубину нашей обороны вражеской группировки. В ходе боёв немцы несут большие потери.</w:t>
      </w:r>
    </w:p>
    <w:p w14:paraId="5946AD84"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противнику удалось прорваться на окраину одного села. Наши бойцы смелым контрударом отбросили гитлеровцев. В тотже день немцы предприняли вторую атаку, бросив в наступление пехоту при поддержке 15 танков. Артиллеристы Н-ской части встретили неприятеля огнем с открытых позиций и подбили 6 немецких танков. Воспользовавшись замешательством гитлеровцев, наши бойцы бросились в контратаку и разгромили немецкий батальон. Южнее Котельникова на одном участке наши части под давлением превосходящих сил противника несколько отошли и закрепились на выгодных рубежах.</w:t>
      </w:r>
    </w:p>
    <w:p w14:paraId="077B99AB"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происходили ожесточённые бои. Под прикрытием артиллерийского огня и авиации гитлеровцы пытались перебросить на южный берег Кубани крупную группировку танков и мотопехоты. Наша штурмовая и истребительная авиация разрушила наведённую переправу и нанесла удар по скоплению вражеских войск. Уничтожено 16 танков. 20 автомашин, 17 орудий, рассеяно до 3 батальонов немецкой пехоты и эскадрон кавалерии. На другом участке ночью автоматчикам противника удалось небольшими силами форсировать реку. Идут бои по уничтожению переправившихся на южный берег немецких автоматчиков.</w:t>
      </w:r>
    </w:p>
    <w:p w14:paraId="2BC2DA23"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одна наша часть успешно атаковала противника и заняла выгодную высоту. Гитлеровцы предприняли контратаку. Наши бойцы во главе с политруком Купаевым, несмотря на превосходство сил противника, отбили атаку гитлеровцев. Потеряв до 100 солдат убитыми, немцы отступили. Наши лётчики в воздушных боях сбили 10 немецких самолётов.</w:t>
      </w:r>
    </w:p>
    <w:p w14:paraId="6D374036"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Б., действующий в одном из районов Украины, за несколько месяцев истребил 600 немецких солдат и 62 офицера. Советские патриоты разгромили два штаба немецких частей, пустили под откос 5 железнодорожных эшелонов, взорвали 13 мостов, уничтожили 17 автомашин и сожгли самолёт противника.</w:t>
      </w:r>
    </w:p>
    <w:p w14:paraId="7BA74D1A"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Немецкий обер-ефрейтор Иозеф Кельшель писал 3 августа жене Анне Кельшель в Карлсруэ: «Обратно в Россию мы ехали очень долго. Между Смоленском и Вязьмой поезд сошёл с рельс. Три вагона, переполненных солдатами, сгорели.</w:t>
      </w:r>
    </w:p>
    <w:p w14:paraId="5C45D774"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Много было убитых и ещё больше раненых... За последние два дня мне пришлось пережить то, чего я не переживал еще за всё время войны. Четыре товарища, которые вместе со мной недавно вернулись из командировки, уже погибли в бою... Наверное, скоро придёт и моя очередь. Живым из России не выберешься».</w:t>
      </w:r>
    </w:p>
    <w:p w14:paraId="7E676477"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села Ильинское, Калининской области, составили акт о зверствах немецко-фашистских захватчиков. В акте говорится: «Немецкие бандиты ворвались в село в конце прошлого года. Они дочиста ограбили население, забрали всё продовольствие, запретили выходить за околицу села. Крестьяне были обречены на голодную смерть. Немцы хозяйничали в Ильинском 7 месяцев. За это время в селе от голода умерло 265 человек. Многих жителей гитлеровские мерзавцы расстреляли. Фашисты запрещали хоронить расстрелянных и умерших, сваливали все трупы в колхозную силосную яму». Акт подписали: жители села Ильинское Червяков С.Г.,Сизикова Е.Н., Сизикова Н.В., Широкова М.И. и другие.</w:t>
      </w:r>
    </w:p>
    <w:p w14:paraId="5F861593"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лагере французских военнопленных близ Штеттина (Германия) более шестисот человек отказались выйти на работу и потребовали отправить их на родину Эсэсовцы ворвались в лагерь и устроили кровавую резню. Гитлеровские палачи огнём из автоматов и пулемётов расстреляли 96 военнопленных, 112 человек тяжело ранено.» (14984).</w:t>
      </w:r>
    </w:p>
    <w:p w14:paraId="35F69B6B"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50B52ABE"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в 1942 году вечернее сообщение Совинформбюро:</w:t>
      </w:r>
    </w:p>
    <w:p w14:paraId="513590D1"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15 августа наши войска вели бои в районах юго-восточнее Клетская, северо-восточнее Котельниково, а также в районах Минеральные Воды, Черкесск, Майкоп и Краснодар.</w:t>
      </w:r>
    </w:p>
    <w:p w14:paraId="0F017AF2"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46D6414C"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14 августа частями нашей авиации на различных участках фронта уничтожено или повреждено до 20 немецких танков и бронемашин, до 200 автомашин с войсками и грузами, 70 повозок, взорваны 4 склада боеприпасов и склад горючего, подавлен огонь 12 батарей полевой и зенитной артиллерии, разбит железнодорожный состав, рассеяно и частью уничтожено до полка пехоты противника.</w:t>
      </w:r>
    </w:p>
    <w:p w14:paraId="2493E0F8"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Клетской немцы предприняли несколько ожесточённых атак. Атаки противника отбивались с большими для него потерями. Только на участке Н-ской части уничтожено 4 танка и 370 гитлеровцев. Советские бойцы самоотверженно борются против немецко-фашистских захватчиков. Разведчики части, где командиром тов. Серебрянников, младшие сержанты Котолидзе и Ханыков, а также радисты Рыбин и Артемьев пробрались в тыл противника и по радио корректировали огонь своей артиллерийской батареи. С помощью смельчаков наши артиллеристы уничтожили миномётную батарею, несколько орудий и до роты пехоты противника.</w:t>
      </w:r>
    </w:p>
    <w:p w14:paraId="582A5432"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Н-ская часть вела упорный бой за овладение двумя выгодными высотами. Понеся большие потери, противник был вынужден отступить. Стремясь вернуть потерянные позиции, немцы бросили в атаку до 30 танков. Наши бойцы огнём из орудий и противотанковых ружей подбили пять танков и закрепились на захваченных высотах.</w:t>
      </w:r>
    </w:p>
    <w:p w14:paraId="6AECF4A7"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продолжались упорные бои. Наши части отбили несколько атак немецко-фашистских войск. Уничтожено 8 танков и свыше 400 солдат и офицеров противника. Отражались попытки гитлеровцев переправиться через реку. Мощным артиллерийским огнём и бомбёжкой с воздуха разрушено 3 переправы, уничтожено или повреждено 17 немецких танков, 37 автомашин, 11 орудий и до 500 гитлеровцев.</w:t>
      </w:r>
    </w:p>
    <w:p w14:paraId="1F72997D"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Минеральных Вод продолжались напряжённые оборонительные бои с танками и мотопехотой противника.</w:t>
      </w:r>
    </w:p>
    <w:p w14:paraId="0A771CC4"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противник после сильной артиллерийской и миномётной подготовки атаковал и несколько потеснил наши части. Контрударом советские бойцыотбросили немцев и принудили их к отступлению. Часть, которой командует тов. Черняховский, уничтожила свыше 300 немецких солдат и офицеров. Подбито два самоходных орудия. На западном берегу Дона бойцы части, которой командует тов. Попов, уничтожили свыше 600 венгерских солдат и офицеров. Группа солдат 14 венгерского пехотного полка перешла на сторону Красной Армии.</w:t>
      </w:r>
    </w:p>
    <w:p w14:paraId="16974234"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Ленинградском фронте бойцы Н-ской части за последние дни уничтожили 280 белофиннов, 2 противотанковых орудия, разрушили несколько дзотов и землянок противника. Казах Отомрат Очелеп истребил 21 белофинна. Ефрейтор Тенишев из противотанкового ружья сбил немецкий самолёт.</w:t>
      </w:r>
    </w:p>
    <w:p w14:paraId="43D384CE"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орловских партизан под командованием тов. О. за месяц боевых действий уничтожил 185 немецко-фашистских оккупантов, 8 автомашин и разрушил железнодорожную станцию. Партизаны пустили под откос 2 воинских эшелона противника.</w:t>
      </w:r>
    </w:p>
    <w:p w14:paraId="249AAA5B"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Добровольно сдавшийся в плен санитар 280 полка 95 немецкой пехотной дивизии Рудольф К. рассказал: «В сентябре прошлого года я подобрал на поле боя тяжело раненного красноармейца, сделал ему перевязку и доставил его на медпункт. В тот же День меня арестовали, отправили в тыл и бросили в тюрьму. Меня обвинили в том, что я нарушил приказ Гитлера, запрещающий оказывать какую бы то ни былопомощь попавшим в плен раненым русским солдатам. На допросах меня ругали и всячески поносили за то, что я проявил мягкотелость к врагу. На одном из допросов мне заявили, что мой отец заключён в концлагерь за то, что одобрительно отозвался о моём поведении. Я просидел в Гаузенской тюрьме до 17 апреля 1942 года. В этой тюрьме находилось до двух тысяч солдат, осуждённых за дезертирство, членовредительство и за невыполнение приказов. Весной меня послали на Восточный фронт. За последние месяцы наша дивизия потеряла 70—80 процентов личного состава. Я добровольно сдался в плен вовсе не потому, что боюсь смерти. Нет! Я ушёл из немецкой армии потому, что она ведёт преступную войну. Я убеждён, что, несмотря на временные успехи немецкой армии, она неизбежно катится к своей гибели».</w:t>
      </w:r>
    </w:p>
    <w:p w14:paraId="5C861E87"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истребляют мирное население оккупированныхрайонов Орловской области. В селе Невдольск гитлеровцы загнали в болото72-летнего старика Ксенкова Н., 63-летнего Бибикова Т., 67-летнего Данфошенкова и шестилетнего Митю Свиридова и всех их утопили. Гитлеровские палачи расстреляли колхозниц Ловриневскую А., Коренкову А., Бычкову Н. и её трёхлетнюю дочь и насильно угнали на запад 120 мирных жителей деревни.</w:t>
      </w:r>
    </w:p>
    <w:p w14:paraId="204E0719"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Клер (Франция) неизвестные убили 7 немецких солдат и одного офицера. На перегоне Ла-Като—Гюиз потерпел крушение немецкий воинский поезд. Разбиты 28 вагонов и паровоз.</w:t>
      </w:r>
    </w:p>
    <w:p w14:paraId="6C730CB1" w14:textId="77777777" w:rsidR="00DF0DDA" w:rsidRPr="00722885" w:rsidRDefault="00DF0DDA" w:rsidP="00722885">
      <w:pPr>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 xml:space="preserve">Завод, где директором тов. Левин, добился новых успехов. За первую декаду августа завод дал фронту несколько боевых машин сверх плана.» </w:t>
      </w:r>
      <w:r w:rsidRPr="00722885">
        <w:rPr>
          <w:rFonts w:ascii="Times New Roman" w:hAnsi="Times New Roman"/>
          <w:color w:val="000000" w:themeColor="text1"/>
          <w:sz w:val="16"/>
          <w:szCs w:val="16"/>
          <w:lang w:val="en-US"/>
        </w:rPr>
        <w:t>(14984).</w:t>
      </w:r>
    </w:p>
    <w:p w14:paraId="14BACE80" w14:textId="77777777" w:rsidR="00DF0DDA" w:rsidRPr="00722885" w:rsidRDefault="00DF0DDA" w:rsidP="00722885">
      <w:pPr>
        <w:spacing w:after="0" w:line="240" w:lineRule="auto"/>
        <w:jc w:val="both"/>
        <w:rPr>
          <w:rFonts w:ascii="Times New Roman" w:hAnsi="Times New Roman"/>
          <w:color w:val="000000" w:themeColor="text1"/>
          <w:sz w:val="16"/>
          <w:szCs w:val="16"/>
          <w:lang w:val="en-US"/>
        </w:rPr>
      </w:pPr>
    </w:p>
    <w:p w14:paraId="26B34977" w14:textId="77777777" w:rsidR="00812207" w:rsidRPr="00722885" w:rsidRDefault="00812207" w:rsidP="00722885">
      <w:pPr>
        <w:spacing w:after="0" w:line="240" w:lineRule="auto"/>
        <w:jc w:val="both"/>
        <w:rPr>
          <w:rFonts w:ascii="Times New Roman" w:hAnsi="Times New Roman"/>
          <w:color w:val="0070C0"/>
          <w:sz w:val="16"/>
          <w:szCs w:val="16"/>
          <w:lang w:val="en-US"/>
        </w:rPr>
      </w:pPr>
      <w:r w:rsidRPr="00722885">
        <w:rPr>
          <w:rFonts w:ascii="Times New Roman" w:hAnsi="Times New Roman"/>
          <w:color w:val="0070C0"/>
          <w:sz w:val="16"/>
          <w:szCs w:val="16"/>
        </w:rPr>
        <w:t>15 августа 1942 г. три Ил</w:t>
      </w:r>
      <w:r w:rsidRPr="00722885">
        <w:rPr>
          <w:rFonts w:ascii="Times New Roman" w:hAnsi="Times New Roman"/>
          <w:color w:val="0070C0"/>
          <w:sz w:val="16"/>
          <w:szCs w:val="16"/>
        </w:rPr>
        <w:noBreakHyphen/>
        <w:t>2 из 57</w:t>
      </w:r>
      <w:r w:rsidRPr="00722885">
        <w:rPr>
          <w:rFonts w:ascii="Times New Roman" w:hAnsi="Times New Roman"/>
          <w:color w:val="0070C0"/>
          <w:sz w:val="16"/>
          <w:szCs w:val="16"/>
        </w:rPr>
        <w:noBreakHyphen/>
        <w:t>го пшап вылетели на свободную охоту в район островов Гогланд, Большой Тютерс и Лавансаари, где, по данным авиаразведки, находились вражеские суда. Осматривая море, экипажи обнаружили три транспорта, которые шли курсом на порт Усть</w:t>
      </w:r>
      <w:r w:rsidRPr="00722885">
        <w:rPr>
          <w:rFonts w:ascii="Times New Roman" w:hAnsi="Times New Roman"/>
          <w:color w:val="0070C0"/>
          <w:sz w:val="16"/>
          <w:szCs w:val="16"/>
        </w:rPr>
        <w:noBreakHyphen/>
        <w:t>Луга в Лужской губе. Ведущий штурмовиков командир звена капитан Нельсон Степанян отдал приказ атаковать среднее судно и сам с высоты 700 метров перешел в пологое пикирование. За ним последовали и ведомые. Согласно донесению летчиков, в корабль попали четыре сброшенные ими бомбы, и тот затонул. Но</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затем</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и</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эти</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данные</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не</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подтвердились</w:t>
      </w:r>
      <w:r w:rsidRPr="00722885">
        <w:rPr>
          <w:rFonts w:ascii="Times New Roman" w:hAnsi="Times New Roman"/>
          <w:color w:val="0070C0"/>
          <w:sz w:val="16"/>
          <w:szCs w:val="16"/>
          <w:lang w:val="en-US"/>
        </w:rPr>
        <w:t xml:space="preserve"> (23199).</w:t>
      </w:r>
    </w:p>
    <w:p w14:paraId="471620AA" w14:textId="77777777" w:rsidR="00812207" w:rsidRPr="00722885" w:rsidRDefault="00812207" w:rsidP="00722885">
      <w:pPr>
        <w:spacing w:after="0" w:line="240" w:lineRule="auto"/>
        <w:jc w:val="both"/>
        <w:rPr>
          <w:rFonts w:ascii="Times New Roman" w:hAnsi="Times New Roman"/>
          <w:color w:val="0070C0"/>
          <w:sz w:val="16"/>
          <w:szCs w:val="16"/>
          <w:lang w:val="en-US"/>
        </w:rPr>
      </w:pPr>
    </w:p>
    <w:p w14:paraId="5D90C310"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15, 1942: Start of the final drive of 6.Armee (von Paulus) from its Don bridgeheads toward Stalingrad (3819).</w:t>
      </w:r>
    </w:p>
    <w:p w14:paraId="1598305B" w14:textId="77777777" w:rsidR="00AE7191" w:rsidRPr="00722885" w:rsidRDefault="00AE7191" w:rsidP="00722885">
      <w:pPr>
        <w:pStyle w:val="Iauiue"/>
        <w:jc w:val="both"/>
        <w:rPr>
          <w:color w:val="000000" w:themeColor="text1"/>
          <w:sz w:val="16"/>
          <w:szCs w:val="16"/>
          <w:lang w:val="en-US"/>
        </w:rPr>
      </w:pPr>
    </w:p>
    <w:p w14:paraId="0A83C9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 августа 1942 6А начала наступление с Дона на Сталинград (3819).</w:t>
      </w:r>
    </w:p>
    <w:p w14:paraId="7CE8817D" w14:textId="77777777" w:rsidR="00AE7191" w:rsidRPr="00722885" w:rsidRDefault="00AE7191" w:rsidP="00722885">
      <w:pPr>
        <w:pStyle w:val="Iauiue"/>
        <w:jc w:val="both"/>
        <w:rPr>
          <w:color w:val="000000" w:themeColor="text1"/>
          <w:sz w:val="16"/>
          <w:szCs w:val="16"/>
        </w:rPr>
      </w:pPr>
    </w:p>
    <w:p w14:paraId="7EBC9A6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1942 бюро Сталинградского обкома ВКП(б) совместно с исполкомом областного Совета депутатов трудящихся наконец приняли постановление «О частичной разгрузке г. Сталинграда». Согласно ему намечалось вывезти из города в Куйбышевскую область 15 тыс. неработающих женщин с детьми и 8—10 тыс. разместить в заволжских районах. На следующий день вышло постановление «Об эвакуации гражданского населения из районов боевых действий Красной Армии». В пункте № 1 этого документа говорилось:  «На основании постановления Военного совета 62-й армии до 22 августа с. г. эвакуировать все гражданское население из населенных пунктов районов боевых действий в полосе от станицы Паншино, Дмитриевки, Мариновки, Ср.-Царицынского, Н.-Царицынского и левого берега Дона».  18 августа бюро обкома принимает решение о срочной эвакуации за пределы Сталинградской области детских домов. Но некоторые чиновники, видимо, все же верили, что война не дойдет до города, либо писали постановления, не вдумываясь в их содержание. Так, в тот же день, 18 августа, вышло постановление обкома о работе средних школ в 1942/43 учебном году в городах Сталинград и Астрахань (11774).</w:t>
      </w:r>
    </w:p>
    <w:p w14:paraId="247C8DA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9541677"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в 1942 году немецкие войска захватили некоторые перевалы в центральной части Главного Кавказского хребта (14984).</w:t>
      </w:r>
    </w:p>
    <w:p w14:paraId="09EEAD4C"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247AFCD3"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в 1942 году создан Волжско-уральский легион в составе вермахта (также именовавшийся «Идель-Урал»), в состав которого вошли представители не только татар, но и башкир, марийцев, мордвы, чувашей и удмуртов (14984).</w:t>
      </w:r>
    </w:p>
    <w:p w14:paraId="1D41F7AE"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06C79D90" w14:textId="77777777" w:rsidR="00DF0DDA"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32F45E80" w14:textId="77777777" w:rsidR="00DF0DDA" w:rsidRPr="00722885" w:rsidRDefault="00DF0DDA" w:rsidP="00722885">
      <w:pPr>
        <w:pStyle w:val="Iauiue"/>
        <w:jc w:val="both"/>
        <w:rPr>
          <w:iCs/>
          <w:color w:val="000000" w:themeColor="text1"/>
          <w:sz w:val="16"/>
          <w:szCs w:val="16"/>
        </w:rPr>
      </w:pPr>
    </w:p>
    <w:p w14:paraId="63DA2F63"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в 1942 году заканчивается Московское совещание глав правительств СССР, Великобритании и представителя президента США (14984).</w:t>
      </w:r>
    </w:p>
    <w:p w14:paraId="4458CF78"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1E1BF4A7" w14:textId="77777777" w:rsidR="009F0796" w:rsidRPr="00722885" w:rsidRDefault="009F07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1942. Последняя встреча Сталина с Черчиллем перед отлетом английского премьера из Москвы. Черчилль пообещал высадить войска в Северной Африке.</w:t>
      </w:r>
    </w:p>
    <w:p w14:paraId="31857E24" w14:textId="77777777" w:rsidR="009F0796" w:rsidRPr="00722885" w:rsidRDefault="009F07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О6 этой встрече на следующий день Уинстон Черчилль отправил отчет военному кабинету своей страны и президенту Рузвельту: "Я отправился попрощаться с г-ном Сталиным вчера в семь часов вечера, и мы имели приятную беседу, в ходе которой он дал мне полный отчет о положении русских, которое казалось весьма отрадным. Он, безусловно, весьма уверенно говорит о том, что удержится до зимы. В 8 ч. 30 мин. вечера, ко-ВДа я собирался уходить, он спросил, когда он увидит меня в следующий раз. Я ответил, что уезжаю на рассвете. Тогда он сказал: "Почему бы вам не зайти ко мне на квартиру в Кремле и не выпить немного" Я отправился к нему и остался на-обед, на который был приглашен также г-н Молотов. Г-н Сталин представил меня своей дочери, славной девушке, которая робко поцеловала его, но которой не было разрешено остаться на обед. Обед и редактирование коммюнике продолжалось до трех часов утра. У меня был очень хороший переводчик, и я имел возможность говорить более свободно. Преобладала атмосфера особенной доброжелательности, и мы впервые установили непринужденные и дружелюбные отношения" (18696).</w:t>
      </w:r>
    </w:p>
    <w:p w14:paraId="6944EBE4" w14:textId="77777777" w:rsidR="009F0796" w:rsidRPr="00722885" w:rsidRDefault="009F0796" w:rsidP="00722885">
      <w:pPr>
        <w:spacing w:after="0" w:line="240" w:lineRule="auto"/>
        <w:jc w:val="both"/>
        <w:rPr>
          <w:rFonts w:ascii="Times New Roman" w:hAnsi="Times New Roman"/>
          <w:color w:val="000000" w:themeColor="text1"/>
          <w:sz w:val="16"/>
          <w:szCs w:val="16"/>
        </w:rPr>
      </w:pPr>
    </w:p>
    <w:p w14:paraId="141A683E" w14:textId="77777777" w:rsidR="00DF0DDA"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41DC0E7" w14:textId="77777777" w:rsidR="00DF0DDA" w:rsidRPr="00722885" w:rsidRDefault="00DF0DDA" w:rsidP="00722885">
      <w:pPr>
        <w:pStyle w:val="Iauiue"/>
        <w:jc w:val="both"/>
        <w:rPr>
          <w:iCs/>
          <w:color w:val="000000" w:themeColor="text1"/>
          <w:sz w:val="16"/>
          <w:szCs w:val="16"/>
        </w:rPr>
      </w:pPr>
    </w:p>
    <w:p w14:paraId="147E4878"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августа в 1942 году польское эмигрантское правительство издало приказ о включении всех подпольных военных организаций Польши в состав Армии Крайовой. Однако из-за разногласий между руководителями этих отрядов приказ не был выполнен (14984).</w:t>
      </w:r>
    </w:p>
    <w:p w14:paraId="4BAEE24F"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0F2CCBD1"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493BF9B" w14:textId="77777777" w:rsidR="00AE7191" w:rsidRPr="00722885" w:rsidRDefault="00AE7191" w:rsidP="00722885">
      <w:pPr>
        <w:pStyle w:val="Iauiue"/>
        <w:jc w:val="both"/>
        <w:rPr>
          <w:iCs/>
          <w:color w:val="000000" w:themeColor="text1"/>
          <w:sz w:val="16"/>
          <w:szCs w:val="16"/>
        </w:rPr>
      </w:pPr>
    </w:p>
    <w:p w14:paraId="732A7D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середине августа 1942 г. одноместный Ил-2 М-82ИР ус</w:t>
      </w:r>
      <w:r w:rsidRPr="00722885">
        <w:rPr>
          <w:color w:val="000000" w:themeColor="text1"/>
          <w:sz w:val="16"/>
          <w:szCs w:val="16"/>
        </w:rPr>
        <w:softHyphen/>
        <w:t>пешно прошел заводские ис</w:t>
      </w:r>
      <w:r w:rsidRPr="00722885">
        <w:rPr>
          <w:color w:val="000000" w:themeColor="text1"/>
          <w:sz w:val="16"/>
          <w:szCs w:val="16"/>
        </w:rPr>
        <w:softHyphen/>
        <w:t>пытания (отчет по испытаниям утвержден 18.08.42 г.), однако на государственные испытания штурмовик не передавался и в дальнейшем все работы по нему были прекращены (6467).</w:t>
      </w:r>
    </w:p>
    <w:p w14:paraId="401853BE" w14:textId="77777777" w:rsidR="00AE7191" w:rsidRPr="00722885" w:rsidRDefault="00AE7191" w:rsidP="00722885">
      <w:pPr>
        <w:pStyle w:val="Iauiue"/>
        <w:jc w:val="both"/>
        <w:rPr>
          <w:color w:val="000000" w:themeColor="text1"/>
          <w:sz w:val="16"/>
          <w:szCs w:val="16"/>
        </w:rPr>
      </w:pPr>
    </w:p>
    <w:p w14:paraId="33B55A59" w14:textId="77777777" w:rsidR="00F51760" w:rsidRPr="00722885" w:rsidRDefault="00F51760"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 xml:space="preserve">К середине августа </w:t>
      </w:r>
      <w:r w:rsidRPr="00722885">
        <w:rPr>
          <w:rFonts w:ascii="Times New Roman" w:hAnsi="Times New Roman" w:cs="Times New Roman"/>
          <w:color w:val="0070C0"/>
          <w:w w:val="100"/>
          <w:sz w:val="16"/>
          <w:szCs w:val="16"/>
          <w:lang w:val="ru-RU"/>
        </w:rPr>
        <w:t xml:space="preserve">1942 </w:t>
      </w:r>
      <w:r w:rsidRPr="00722885">
        <w:rPr>
          <w:rFonts w:ascii="Times New Roman" w:hAnsi="Times New Roman" w:cs="Times New Roman"/>
          <w:color w:val="0070C0"/>
          <w:w w:val="100"/>
          <w:sz w:val="16"/>
          <w:szCs w:val="16"/>
        </w:rPr>
        <w:t>в 243-й шад 6-й ВА оборонительной огневой точкой под пуле</w:t>
      </w:r>
      <w:r w:rsidRPr="00722885">
        <w:rPr>
          <w:rFonts w:ascii="Times New Roman" w:hAnsi="Times New Roman" w:cs="Times New Roman"/>
          <w:color w:val="0070C0"/>
          <w:w w:val="100"/>
          <w:sz w:val="16"/>
          <w:szCs w:val="16"/>
        </w:rPr>
        <w:softHyphen/>
        <w:t>мет ШКАС оснастили 19 Ил-2. Одновременно один штурмовик вооружили пулеметом УБТ, но установка</w:t>
      </w:r>
      <w:r w:rsidRPr="00722885">
        <w:rPr>
          <w:rStyle w:val="800"/>
          <w:rFonts w:ascii="Times New Roman" w:hAnsi="Times New Roman" w:cs="Times New Roman"/>
          <w:i w:val="0"/>
          <w:iCs w:val="0"/>
          <w:color w:val="0070C0"/>
          <w:w w:val="100"/>
          <w:sz w:val="16"/>
          <w:szCs w:val="16"/>
        </w:rPr>
        <w:t xml:space="preserve"> «была забракована ввиду ее гро</w:t>
      </w:r>
      <w:r w:rsidRPr="00722885">
        <w:rPr>
          <w:rStyle w:val="800"/>
          <w:rFonts w:ascii="Times New Roman" w:hAnsi="Times New Roman" w:cs="Times New Roman"/>
          <w:i w:val="0"/>
          <w:iCs w:val="0"/>
          <w:color w:val="0070C0"/>
          <w:w w:val="100"/>
          <w:sz w:val="16"/>
          <w:szCs w:val="16"/>
        </w:rPr>
        <w:softHyphen/>
        <w:t>моздкости и не удобством управления воздуш</w:t>
      </w:r>
      <w:r w:rsidRPr="00722885">
        <w:rPr>
          <w:rStyle w:val="800"/>
          <w:rFonts w:ascii="Times New Roman" w:hAnsi="Times New Roman" w:cs="Times New Roman"/>
          <w:i w:val="0"/>
          <w:iCs w:val="0"/>
          <w:color w:val="0070C0"/>
          <w:w w:val="100"/>
          <w:sz w:val="16"/>
          <w:szCs w:val="16"/>
        </w:rPr>
        <w:softHyphen/>
        <w:t>ным стрелком».</w:t>
      </w:r>
      <w:r w:rsidRPr="00722885">
        <w:rPr>
          <w:rFonts w:ascii="Times New Roman" w:hAnsi="Times New Roman" w:cs="Times New Roman"/>
          <w:color w:val="0070C0"/>
          <w:w w:val="100"/>
          <w:sz w:val="16"/>
          <w:szCs w:val="16"/>
        </w:rPr>
        <w:t xml:space="preserve"> Для связи воздушного стрелка и летчика самолеты оборудовались перего</w:t>
      </w:r>
      <w:r w:rsidRPr="00722885">
        <w:rPr>
          <w:rFonts w:ascii="Times New Roman" w:hAnsi="Times New Roman" w:cs="Times New Roman"/>
          <w:color w:val="0070C0"/>
          <w:w w:val="100"/>
          <w:sz w:val="16"/>
          <w:szCs w:val="16"/>
        </w:rPr>
        <w:softHyphen/>
        <w:t>ворным устройством СПУ-2 и трехцветной световой сигнализацией.</w:t>
      </w:r>
    </w:p>
    <w:p w14:paraId="4F57C639" w14:textId="77777777" w:rsidR="00F51760" w:rsidRPr="00722885" w:rsidRDefault="00F51760"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 отзывам воздушных стрелков, управ</w:t>
      </w:r>
      <w:r w:rsidRPr="00722885">
        <w:rPr>
          <w:rFonts w:ascii="Times New Roman" w:hAnsi="Times New Roman"/>
          <w:color w:val="0070C0"/>
          <w:sz w:val="16"/>
          <w:szCs w:val="16"/>
        </w:rPr>
        <w:softHyphen/>
        <w:t>ление установкой и ведение огня из пулемета ШКАС в воздухе вполне отвечали требова</w:t>
      </w:r>
      <w:r w:rsidRPr="00722885">
        <w:rPr>
          <w:rFonts w:ascii="Times New Roman" w:hAnsi="Times New Roman"/>
          <w:color w:val="0070C0"/>
          <w:sz w:val="16"/>
          <w:szCs w:val="16"/>
        </w:rPr>
        <w:softHyphen/>
        <w:t>ниям боя. В свою очередь, летчики указывали, что оборонительная установка заметного вли</w:t>
      </w:r>
      <w:r w:rsidRPr="00722885">
        <w:rPr>
          <w:rFonts w:ascii="Times New Roman" w:hAnsi="Times New Roman"/>
          <w:color w:val="0070C0"/>
          <w:sz w:val="16"/>
          <w:szCs w:val="16"/>
        </w:rPr>
        <w:softHyphen/>
        <w:t>яния на управление самолетом и скорость полета не оказывала. Установка с пулеметом ШКАС обеспечивала значительные углы об</w:t>
      </w:r>
      <w:r w:rsidRPr="00722885">
        <w:rPr>
          <w:rFonts w:ascii="Times New Roman" w:hAnsi="Times New Roman"/>
          <w:color w:val="0070C0"/>
          <w:sz w:val="16"/>
          <w:szCs w:val="16"/>
        </w:rPr>
        <w:softHyphen/>
        <w:t>стрела: по горизонту - влево и вправо по 60°, вверх - до 75° и вниз - по 30° по борту слева и справа.</w:t>
      </w:r>
    </w:p>
    <w:p w14:paraId="755C53E4" w14:textId="77777777" w:rsidR="00F51760" w:rsidRPr="00722885" w:rsidRDefault="00F51760" w:rsidP="00722885">
      <w:pPr>
        <w:shd w:val="clear" w:color="auto" w:fill="FFFFFF"/>
        <w:spacing w:after="0" w:line="240" w:lineRule="auto"/>
        <w:jc w:val="both"/>
        <w:rPr>
          <w:rFonts w:ascii="Times New Roman" w:hAnsi="Times New Roman"/>
          <w:color w:val="0070C0"/>
          <w:sz w:val="16"/>
          <w:szCs w:val="16"/>
        </w:rPr>
      </w:pPr>
    </w:p>
    <w:p w14:paraId="015F4411"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середине августа 1942 в 243-й шад 6 ВА оборонительной огневой точкой под пулемет ШKAC были оснащены 19 Ил-2. Одновременно один Ил-2 был оборудован пулеметом УБТ, но установка «была забракована ввиду ее громоздкости и неудобством управления воздушным стрелком». Доработки выполнялись по приказу командира 243 шад подполковника Дельнова (21180).</w:t>
      </w:r>
    </w:p>
    <w:p w14:paraId="3EC2FB72" w14:textId="77777777" w:rsidR="00F51760" w:rsidRPr="00722885" w:rsidRDefault="00F51760" w:rsidP="00722885">
      <w:pPr>
        <w:spacing w:after="0" w:line="240" w:lineRule="auto"/>
        <w:jc w:val="both"/>
        <w:rPr>
          <w:rFonts w:ascii="Times New Roman" w:hAnsi="Times New Roman"/>
          <w:color w:val="0070C0"/>
          <w:sz w:val="16"/>
          <w:szCs w:val="16"/>
        </w:rPr>
      </w:pPr>
    </w:p>
    <w:p w14:paraId="00517CB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августа 1942 года Командование фрон</w:t>
      </w:r>
      <w:r w:rsidRPr="00722885">
        <w:rPr>
          <w:rFonts w:ascii="Times New Roman" w:hAnsi="Times New Roman"/>
          <w:color w:val="000000" w:themeColor="text1"/>
          <w:sz w:val="16"/>
          <w:szCs w:val="16"/>
        </w:rPr>
        <w:softHyphen/>
        <w:t>та на Сталинградском направлении просило укрепить авиацию наибо</w:t>
      </w:r>
      <w:r w:rsidRPr="00722885">
        <w:rPr>
          <w:rFonts w:ascii="Times New Roman" w:hAnsi="Times New Roman"/>
          <w:color w:val="000000" w:themeColor="text1"/>
          <w:sz w:val="16"/>
          <w:szCs w:val="16"/>
        </w:rPr>
        <w:softHyphen/>
        <w:t>лее подготовленными полками на луч</w:t>
      </w:r>
      <w:r w:rsidRPr="00722885">
        <w:rPr>
          <w:rFonts w:ascii="Times New Roman" w:hAnsi="Times New Roman"/>
          <w:color w:val="000000" w:themeColor="text1"/>
          <w:sz w:val="16"/>
          <w:szCs w:val="16"/>
        </w:rPr>
        <w:softHyphen/>
        <w:t>шей матчасги. Штаб ВВС КА срочно готовил к переброске под Сталинг</w:t>
      </w:r>
      <w:r w:rsidRPr="00722885">
        <w:rPr>
          <w:rFonts w:ascii="Times New Roman" w:hAnsi="Times New Roman"/>
          <w:color w:val="000000" w:themeColor="text1"/>
          <w:sz w:val="16"/>
          <w:szCs w:val="16"/>
        </w:rPr>
        <w:softHyphen/>
        <w:t>рад всех, кого имел в резерве. Одним из таких полков являлся 434 ИАП майора И.И. Клещева, комплек</w:t>
      </w:r>
      <w:r w:rsidRPr="00722885">
        <w:rPr>
          <w:rFonts w:ascii="Times New Roman" w:hAnsi="Times New Roman"/>
          <w:color w:val="000000" w:themeColor="text1"/>
          <w:sz w:val="16"/>
          <w:szCs w:val="16"/>
        </w:rPr>
        <w:softHyphen/>
        <w:t>товал и оснащал который лично на</w:t>
      </w:r>
      <w:r w:rsidRPr="00722885">
        <w:rPr>
          <w:rFonts w:ascii="Times New Roman" w:hAnsi="Times New Roman"/>
          <w:color w:val="000000" w:themeColor="text1"/>
          <w:sz w:val="16"/>
          <w:szCs w:val="16"/>
        </w:rPr>
        <w:softHyphen/>
        <w:t>чальник Инспекции ВВС КА полков</w:t>
      </w:r>
      <w:r w:rsidRPr="00722885">
        <w:rPr>
          <w:rFonts w:ascii="Times New Roman" w:hAnsi="Times New Roman"/>
          <w:color w:val="000000" w:themeColor="text1"/>
          <w:sz w:val="16"/>
          <w:szCs w:val="16"/>
        </w:rPr>
        <w:softHyphen/>
        <w:t>ник В.И. Сталин. По его поручению бригинженер П.Я. Федрови в начале августа докладывал:</w:t>
      </w:r>
    </w:p>
    <w:p w14:paraId="512A200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«Облетанный мною в 434 полку на Люберецком аэродроме серийный самолет ЛАГ-5 М-82 является более устойчивым и улучшенным по техни</w:t>
      </w:r>
      <w:r w:rsidRPr="00722885">
        <w:rPr>
          <w:rFonts w:ascii="Times New Roman" w:hAnsi="Times New Roman"/>
          <w:color w:val="000000" w:themeColor="text1"/>
          <w:sz w:val="16"/>
          <w:szCs w:val="16"/>
        </w:rPr>
        <w:softHyphen/>
        <w:t>ке пилотирования в сравнении с само</w:t>
      </w:r>
      <w:r w:rsidRPr="00722885">
        <w:rPr>
          <w:rFonts w:ascii="Times New Roman" w:hAnsi="Times New Roman"/>
          <w:color w:val="000000" w:themeColor="text1"/>
          <w:sz w:val="16"/>
          <w:szCs w:val="16"/>
        </w:rPr>
        <w:softHyphen/>
        <w:t>летом ЛАГГ-3 М-105 и имеет более высокие скорости.</w:t>
      </w:r>
    </w:p>
    <w:p w14:paraId="581C1C3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Осмотром и облетом самолета ЛАГ-5 установлено, что наряду с улуч</w:t>
      </w:r>
      <w:r w:rsidRPr="00722885">
        <w:rPr>
          <w:rFonts w:ascii="Times New Roman" w:hAnsi="Times New Roman"/>
          <w:color w:val="000000" w:themeColor="text1"/>
          <w:sz w:val="16"/>
          <w:szCs w:val="16"/>
        </w:rPr>
        <w:softHyphen/>
        <w:t>шением самолет имеет крупные кон</w:t>
      </w:r>
      <w:r w:rsidRPr="00722885">
        <w:rPr>
          <w:rFonts w:ascii="Times New Roman" w:hAnsi="Times New Roman"/>
          <w:color w:val="000000" w:themeColor="text1"/>
          <w:sz w:val="16"/>
          <w:szCs w:val="16"/>
        </w:rPr>
        <w:softHyphen/>
        <w:t>структивные и производственные де</w:t>
      </w:r>
      <w:r w:rsidRPr="00722885">
        <w:rPr>
          <w:rFonts w:ascii="Times New Roman" w:hAnsi="Times New Roman"/>
          <w:color w:val="000000" w:themeColor="text1"/>
          <w:sz w:val="16"/>
          <w:szCs w:val="16"/>
        </w:rPr>
        <w:softHyphen/>
        <w:t>фекты, которые характеризуют само</w:t>
      </w:r>
      <w:r w:rsidRPr="00722885">
        <w:rPr>
          <w:rFonts w:ascii="Times New Roman" w:hAnsi="Times New Roman"/>
          <w:color w:val="000000" w:themeColor="text1"/>
          <w:sz w:val="16"/>
          <w:szCs w:val="16"/>
        </w:rPr>
        <w:softHyphen/>
        <w:t>лет ЛАГ-5 М-82, как недоведенный до степени нормальной эксплоатации.</w:t>
      </w:r>
    </w:p>
    <w:p w14:paraId="49743B0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Качество производственного выпол</w:t>
      </w:r>
      <w:r w:rsidRPr="00722885">
        <w:rPr>
          <w:rFonts w:ascii="Times New Roman" w:hAnsi="Times New Roman"/>
          <w:color w:val="000000" w:themeColor="text1"/>
          <w:sz w:val="16"/>
          <w:szCs w:val="16"/>
        </w:rPr>
        <w:softHyphen/>
        <w:t>нения самолета, подгонка и отладка отдельных агрегатов стоят не на дол</w:t>
      </w:r>
      <w:r w:rsidRPr="00722885">
        <w:rPr>
          <w:rFonts w:ascii="Times New Roman" w:hAnsi="Times New Roman"/>
          <w:color w:val="000000" w:themeColor="text1"/>
          <w:sz w:val="16"/>
          <w:szCs w:val="16"/>
        </w:rPr>
        <w:softHyphen/>
        <w:t>жной высоте и затрудняют эксплоа-тацию самолета, тем самым понижая его боеспособность.</w:t>
      </w:r>
    </w:p>
    <w:p w14:paraId="0B08965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Совершенно неудовлетворительный монтаж рычагов управления мотором, шасси, закрылков, юбками капота мо</w:t>
      </w:r>
      <w:r w:rsidRPr="00722885">
        <w:rPr>
          <w:rFonts w:ascii="Times New Roman" w:hAnsi="Times New Roman"/>
          <w:color w:val="000000" w:themeColor="text1"/>
          <w:sz w:val="16"/>
          <w:szCs w:val="16"/>
        </w:rPr>
        <w:softHyphen/>
        <w:t>тора, триммером руля высоты, надвиж</w:t>
      </w:r>
      <w:r w:rsidRPr="00722885">
        <w:rPr>
          <w:rFonts w:ascii="Times New Roman" w:hAnsi="Times New Roman"/>
          <w:color w:val="000000" w:themeColor="text1"/>
          <w:sz w:val="16"/>
          <w:szCs w:val="16"/>
        </w:rPr>
        <w:softHyphen/>
        <w:t>ного фонаря, которые обременяют летчика, требуют от него повышенно</w:t>
      </w:r>
      <w:r w:rsidRPr="00722885">
        <w:rPr>
          <w:rFonts w:ascii="Times New Roman" w:hAnsi="Times New Roman"/>
          <w:color w:val="000000" w:themeColor="text1"/>
          <w:sz w:val="16"/>
          <w:szCs w:val="16"/>
        </w:rPr>
        <w:softHyphen/>
        <w:t>го внимания, а кнопки механизма вы</w:t>
      </w:r>
      <w:r w:rsidRPr="00722885">
        <w:rPr>
          <w:rFonts w:ascii="Times New Roman" w:hAnsi="Times New Roman"/>
          <w:color w:val="000000" w:themeColor="text1"/>
          <w:sz w:val="16"/>
          <w:szCs w:val="16"/>
        </w:rPr>
        <w:softHyphen/>
        <w:t>пуска шасси и закрылков принужда</w:t>
      </w:r>
      <w:r w:rsidRPr="00722885">
        <w:rPr>
          <w:rFonts w:ascii="Times New Roman" w:hAnsi="Times New Roman"/>
          <w:color w:val="000000" w:themeColor="text1"/>
          <w:sz w:val="16"/>
          <w:szCs w:val="16"/>
        </w:rPr>
        <w:softHyphen/>
        <w:t>ют летчика брать с собой в полет инструмент (плоскогубцы или рекомен</w:t>
      </w:r>
      <w:r w:rsidRPr="00722885">
        <w:rPr>
          <w:rFonts w:ascii="Times New Roman" w:hAnsi="Times New Roman"/>
          <w:color w:val="000000" w:themeColor="text1"/>
          <w:sz w:val="16"/>
          <w:szCs w:val="16"/>
        </w:rPr>
        <w:softHyphen/>
        <w:t>дованную заводом отмычку} для уст</w:t>
      </w:r>
      <w:r w:rsidRPr="00722885">
        <w:rPr>
          <w:rFonts w:ascii="Times New Roman" w:hAnsi="Times New Roman"/>
          <w:color w:val="000000" w:themeColor="text1"/>
          <w:sz w:val="16"/>
          <w:szCs w:val="16"/>
        </w:rPr>
        <w:softHyphen/>
        <w:t>ранения заедания в гнездах кнопок управления этими агрегатами в воз</w:t>
      </w:r>
      <w:r w:rsidRPr="00722885">
        <w:rPr>
          <w:rFonts w:ascii="Times New Roman" w:hAnsi="Times New Roman"/>
          <w:color w:val="000000" w:themeColor="text1"/>
          <w:sz w:val="16"/>
          <w:szCs w:val="16"/>
        </w:rPr>
        <w:softHyphen/>
        <w:t>духе.</w:t>
      </w:r>
    </w:p>
    <w:p w14:paraId="637B6C0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Сектора управления мотором на взлете и при скорости выше сред</w:t>
      </w:r>
      <w:r w:rsidRPr="00722885">
        <w:rPr>
          <w:rFonts w:ascii="Times New Roman" w:hAnsi="Times New Roman"/>
          <w:color w:val="000000" w:themeColor="text1"/>
          <w:sz w:val="16"/>
          <w:szCs w:val="16"/>
        </w:rPr>
        <w:softHyphen/>
        <w:t>ней произвольно отходят назад, а зас</w:t>
      </w:r>
      <w:r w:rsidRPr="00722885">
        <w:rPr>
          <w:rFonts w:ascii="Times New Roman" w:hAnsi="Times New Roman"/>
          <w:color w:val="000000" w:themeColor="text1"/>
          <w:sz w:val="16"/>
          <w:szCs w:val="16"/>
        </w:rPr>
        <w:softHyphen/>
        <w:t>лонка карбюратора прикрывается независимо от желания летчика.</w:t>
      </w:r>
    </w:p>
    <w:p w14:paraId="10ED2BA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Закрылки работают ненадежно, а посадка без закрылков является бо</w:t>
      </w:r>
      <w:r w:rsidRPr="00722885">
        <w:rPr>
          <w:rFonts w:ascii="Times New Roman" w:hAnsi="Times New Roman"/>
          <w:color w:val="000000" w:themeColor="text1"/>
          <w:sz w:val="16"/>
          <w:szCs w:val="16"/>
        </w:rPr>
        <w:softHyphen/>
        <w:t>лее тяжелой и нежелательной для самолета.</w:t>
      </w:r>
    </w:p>
    <w:p w14:paraId="75AF917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на малом газе, во время планирования, работает неустойчиво, на посадке и пробеге, независимо от летчика, мотор имеет повышенные обороты.</w:t>
      </w:r>
    </w:p>
    <w:p w14:paraId="6B6C2AC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Низкое качество производственного выполнения самолета подтверждает</w:t>
      </w:r>
      <w:r w:rsidRPr="00722885">
        <w:rPr>
          <w:rFonts w:ascii="Times New Roman" w:hAnsi="Times New Roman"/>
          <w:color w:val="000000" w:themeColor="text1"/>
          <w:sz w:val="16"/>
          <w:szCs w:val="16"/>
        </w:rPr>
        <w:softHyphen/>
        <w:t>ся тем, что за короткий (2-3 дня) пери</w:t>
      </w:r>
      <w:r w:rsidRPr="00722885">
        <w:rPr>
          <w:rFonts w:ascii="Times New Roman" w:hAnsi="Times New Roman"/>
          <w:color w:val="000000" w:themeColor="text1"/>
          <w:sz w:val="16"/>
          <w:szCs w:val="16"/>
        </w:rPr>
        <w:softHyphen/>
        <w:t>од эксплоатации у самолета разбол</w:t>
      </w:r>
      <w:r w:rsidRPr="00722885">
        <w:rPr>
          <w:rFonts w:ascii="Times New Roman" w:hAnsi="Times New Roman"/>
          <w:color w:val="000000" w:themeColor="text1"/>
          <w:sz w:val="16"/>
          <w:szCs w:val="16"/>
        </w:rPr>
        <w:softHyphen/>
        <w:t>тался фонарь, остекление и потрес</w:t>
      </w:r>
      <w:r w:rsidRPr="00722885">
        <w:rPr>
          <w:rFonts w:ascii="Times New Roman" w:hAnsi="Times New Roman"/>
          <w:color w:val="000000" w:themeColor="text1"/>
          <w:sz w:val="16"/>
          <w:szCs w:val="16"/>
        </w:rPr>
        <w:softHyphen/>
        <w:t>кались капоты, хотя полетов на боль</w:t>
      </w:r>
      <w:r w:rsidRPr="00722885">
        <w:rPr>
          <w:rFonts w:ascii="Times New Roman" w:hAnsi="Times New Roman"/>
          <w:color w:val="000000" w:themeColor="text1"/>
          <w:sz w:val="16"/>
          <w:szCs w:val="16"/>
        </w:rPr>
        <w:softHyphen/>
        <w:t>ших скоростях еще не было, а также появляется ряд мелких дефектов, из-за которых прекращаются полеты.</w:t>
      </w:r>
    </w:p>
    <w:p w14:paraId="2FB1856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летном отношении самолет ЛАГ-5, хотя и имеет по сравнению с ЛАГГ-3 улучшения, но боевые свойства его, маневренность и управляемость на</w:t>
      </w:r>
      <w:r w:rsidRPr="00722885">
        <w:rPr>
          <w:rFonts w:ascii="Times New Roman" w:hAnsi="Times New Roman"/>
          <w:color w:val="000000" w:themeColor="text1"/>
          <w:sz w:val="16"/>
          <w:szCs w:val="16"/>
        </w:rPr>
        <w:softHyphen/>
        <w:t>ходятся не выше уровня, чем у само</w:t>
      </w:r>
      <w:r w:rsidRPr="00722885">
        <w:rPr>
          <w:rFonts w:ascii="Times New Roman" w:hAnsi="Times New Roman"/>
          <w:color w:val="000000" w:themeColor="text1"/>
          <w:sz w:val="16"/>
          <w:szCs w:val="16"/>
        </w:rPr>
        <w:softHyphen/>
        <w:t>лета МИГ.</w:t>
      </w:r>
    </w:p>
    <w:p w14:paraId="4856D4E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скоростям и скороподъемности ЛАГ-5 М-82 имеет небольшое пре</w:t>
      </w:r>
      <w:r w:rsidRPr="00722885">
        <w:rPr>
          <w:rFonts w:ascii="Times New Roman" w:hAnsi="Times New Roman"/>
          <w:color w:val="000000" w:themeColor="text1"/>
          <w:sz w:val="16"/>
          <w:szCs w:val="16"/>
        </w:rPr>
        <w:softHyphen/>
        <w:t>имущество перед ЯК-7 М-105Ф, но горизонтальная и вертикальная ма</w:t>
      </w:r>
      <w:r w:rsidRPr="00722885">
        <w:rPr>
          <w:rFonts w:ascii="Times New Roman" w:hAnsi="Times New Roman"/>
          <w:color w:val="000000" w:themeColor="text1"/>
          <w:sz w:val="16"/>
          <w:szCs w:val="16"/>
        </w:rPr>
        <w:softHyphen/>
        <w:t>невренность значительно ниже пос</w:t>
      </w:r>
      <w:r w:rsidRPr="00722885">
        <w:rPr>
          <w:rFonts w:ascii="Times New Roman" w:hAnsi="Times New Roman"/>
          <w:color w:val="000000" w:themeColor="text1"/>
          <w:sz w:val="16"/>
          <w:szCs w:val="16"/>
        </w:rPr>
        <w:softHyphen/>
        <w:t>леднего. Следует отметить, что снять максимальную скорость в маневрен</w:t>
      </w:r>
      <w:r w:rsidRPr="00722885">
        <w:rPr>
          <w:rFonts w:ascii="Times New Roman" w:hAnsi="Times New Roman"/>
          <w:color w:val="000000" w:themeColor="text1"/>
          <w:sz w:val="16"/>
          <w:szCs w:val="16"/>
        </w:rPr>
        <w:softHyphen/>
        <w:t>ном полете весьма затруднительно, так как для этого следует прикрыть юбки капота мотора, управление которыми очень тяжелое.</w:t>
      </w:r>
    </w:p>
    <w:p w14:paraId="46323C4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время полета с полностью зак</w:t>
      </w:r>
      <w:r w:rsidRPr="00722885">
        <w:rPr>
          <w:rFonts w:ascii="Times New Roman" w:hAnsi="Times New Roman"/>
          <w:color w:val="000000" w:themeColor="text1"/>
          <w:sz w:val="16"/>
          <w:szCs w:val="16"/>
        </w:rPr>
        <w:softHyphen/>
        <w:t>рытой юбкой капота мотора и зас</w:t>
      </w:r>
      <w:r w:rsidRPr="00722885">
        <w:rPr>
          <w:rFonts w:ascii="Times New Roman" w:hAnsi="Times New Roman"/>
          <w:color w:val="000000" w:themeColor="text1"/>
          <w:sz w:val="16"/>
          <w:szCs w:val="16"/>
        </w:rPr>
        <w:softHyphen/>
        <w:t>лонкой маслорадиатора, горизонталь</w:t>
      </w:r>
      <w:r w:rsidRPr="00722885">
        <w:rPr>
          <w:rFonts w:ascii="Times New Roman" w:hAnsi="Times New Roman"/>
          <w:color w:val="000000" w:themeColor="text1"/>
          <w:sz w:val="16"/>
          <w:szCs w:val="16"/>
        </w:rPr>
        <w:softHyphen/>
        <w:t>ная скорость у земли по прибору не превышает 460-465 км/ч. Набор вы</w:t>
      </w:r>
      <w:r w:rsidRPr="00722885">
        <w:rPr>
          <w:rFonts w:ascii="Times New Roman" w:hAnsi="Times New Roman"/>
          <w:color w:val="000000" w:themeColor="text1"/>
          <w:sz w:val="16"/>
          <w:szCs w:val="16"/>
        </w:rPr>
        <w:softHyphen/>
        <w:t>соты на боевом развороте с макси</w:t>
      </w:r>
      <w:r w:rsidRPr="00722885">
        <w:rPr>
          <w:rFonts w:ascii="Times New Roman" w:hAnsi="Times New Roman"/>
          <w:color w:val="000000" w:themeColor="text1"/>
          <w:sz w:val="16"/>
          <w:szCs w:val="16"/>
        </w:rPr>
        <w:softHyphen/>
        <w:t>мально-горизонтальной до эволютив-ной (250 км/ч) скоростей достигает 800 метров. Время виража - 23-24 сек, а восьмерки 52-54 сек.</w:t>
      </w:r>
    </w:p>
    <w:p w14:paraId="103FE0B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Предкрылки работают удовлетво</w:t>
      </w:r>
      <w:r w:rsidRPr="00722885">
        <w:rPr>
          <w:rFonts w:ascii="Times New Roman" w:hAnsi="Times New Roman"/>
          <w:color w:val="000000" w:themeColor="text1"/>
          <w:sz w:val="16"/>
          <w:szCs w:val="16"/>
        </w:rPr>
        <w:softHyphen/>
        <w:t>рительно, хотя на парашютировании и открываются не одновременно: правый на скорости 220 км/ч, а ле</w:t>
      </w:r>
      <w:r w:rsidRPr="00722885">
        <w:rPr>
          <w:rFonts w:ascii="Times New Roman" w:hAnsi="Times New Roman"/>
          <w:color w:val="000000" w:themeColor="text1"/>
          <w:sz w:val="16"/>
          <w:szCs w:val="16"/>
        </w:rPr>
        <w:softHyphen/>
        <w:t>вый на 200 км/ч.</w:t>
      </w:r>
    </w:p>
    <w:p w14:paraId="7D9B98C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парашютировании с прикрытым мотором доводилась до 170 км/ч, и при этом срыва в штопор или сваливания на крыло не наблю</w:t>
      </w:r>
      <w:r w:rsidRPr="00722885">
        <w:rPr>
          <w:rFonts w:ascii="Times New Roman" w:hAnsi="Times New Roman"/>
          <w:color w:val="000000" w:themeColor="text1"/>
          <w:sz w:val="16"/>
          <w:szCs w:val="16"/>
        </w:rPr>
        <w:softHyphen/>
        <w:t>далась (тряска мотора на малом газе не позволяла уменьшить скорость парашютирования до срыва).</w:t>
      </w:r>
    </w:p>
    <w:p w14:paraId="5541DAA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на планировании при от</w:t>
      </w:r>
      <w:r w:rsidRPr="00722885">
        <w:rPr>
          <w:rFonts w:ascii="Times New Roman" w:hAnsi="Times New Roman"/>
          <w:color w:val="000000" w:themeColor="text1"/>
          <w:sz w:val="16"/>
          <w:szCs w:val="16"/>
        </w:rPr>
        <w:softHyphen/>
        <w:t>крытых закрылках и при закрытых ве</w:t>
      </w:r>
      <w:r w:rsidRPr="00722885">
        <w:rPr>
          <w:rFonts w:ascii="Times New Roman" w:hAnsi="Times New Roman"/>
          <w:color w:val="000000" w:themeColor="text1"/>
          <w:sz w:val="16"/>
          <w:szCs w:val="16"/>
        </w:rPr>
        <w:softHyphen/>
        <w:t>дет себя нормально. Открытие зак</w:t>
      </w:r>
      <w:r w:rsidRPr="00722885">
        <w:rPr>
          <w:rFonts w:ascii="Times New Roman" w:hAnsi="Times New Roman"/>
          <w:color w:val="000000" w:themeColor="text1"/>
          <w:sz w:val="16"/>
          <w:szCs w:val="16"/>
        </w:rPr>
        <w:softHyphen/>
        <w:t>рылков вызывает пикирующий момент (самолет опускает нос и висит на ручке).</w:t>
      </w:r>
    </w:p>
    <w:p w14:paraId="5A6DD49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Приземление и посадка самолета не сложны, особенностей не имеют, а пробег при торможении колес отно</w:t>
      </w:r>
      <w:r w:rsidRPr="00722885">
        <w:rPr>
          <w:rFonts w:ascii="Times New Roman" w:hAnsi="Times New Roman"/>
          <w:color w:val="000000" w:themeColor="text1"/>
          <w:sz w:val="16"/>
          <w:szCs w:val="16"/>
        </w:rPr>
        <w:softHyphen/>
        <w:t>сительно небольшой.</w:t>
      </w:r>
    </w:p>
    <w:p w14:paraId="428281B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23B7654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ЛАГ-5 М-82 по сравне</w:t>
      </w:r>
      <w:r w:rsidRPr="00722885">
        <w:rPr>
          <w:rFonts w:ascii="Times New Roman" w:hAnsi="Times New Roman"/>
          <w:color w:val="000000" w:themeColor="text1"/>
          <w:sz w:val="16"/>
          <w:szCs w:val="16"/>
        </w:rPr>
        <w:softHyphen/>
        <w:t>нию с самолетом ЛАГГ-3 М-105 име</w:t>
      </w:r>
      <w:r w:rsidRPr="00722885">
        <w:rPr>
          <w:rFonts w:ascii="Times New Roman" w:hAnsi="Times New Roman"/>
          <w:color w:val="000000" w:themeColor="text1"/>
          <w:sz w:val="16"/>
          <w:szCs w:val="16"/>
        </w:rPr>
        <w:softHyphen/>
        <w:t>ет более лучшие летно-тактические данные.</w:t>
      </w:r>
    </w:p>
    <w:p w14:paraId="4DB460A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Винтомоторная группа, механизмы управления шасси и закрылками до условий нормальной эксплоатации не доведены. Самолет имеет много про</w:t>
      </w:r>
      <w:r w:rsidRPr="00722885">
        <w:rPr>
          <w:rFonts w:ascii="Times New Roman" w:hAnsi="Times New Roman"/>
          <w:color w:val="000000" w:themeColor="text1"/>
          <w:sz w:val="16"/>
          <w:szCs w:val="16"/>
        </w:rPr>
        <w:softHyphen/>
        <w:t>изводственных и конструктивных де</w:t>
      </w:r>
      <w:r w:rsidRPr="00722885">
        <w:rPr>
          <w:rFonts w:ascii="Times New Roman" w:hAnsi="Times New Roman"/>
          <w:color w:val="000000" w:themeColor="text1"/>
          <w:sz w:val="16"/>
          <w:szCs w:val="16"/>
        </w:rPr>
        <w:softHyphen/>
        <w:t>фектов, требующих немедленного ус</w:t>
      </w:r>
      <w:r w:rsidRPr="00722885">
        <w:rPr>
          <w:rFonts w:ascii="Times New Roman" w:hAnsi="Times New Roman"/>
          <w:color w:val="000000" w:themeColor="text1"/>
          <w:sz w:val="16"/>
          <w:szCs w:val="16"/>
        </w:rPr>
        <w:softHyphen/>
        <w:t>транения.</w:t>
      </w:r>
    </w:p>
    <w:p w14:paraId="1BECD20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ЛАГ-5 М-82 в сравнении с самолетом ЯК-7 М-105Ф имеет по</w:t>
      </w:r>
      <w:r w:rsidRPr="00722885">
        <w:rPr>
          <w:rFonts w:ascii="Times New Roman" w:hAnsi="Times New Roman"/>
          <w:color w:val="000000" w:themeColor="text1"/>
          <w:sz w:val="16"/>
          <w:szCs w:val="16"/>
        </w:rPr>
        <w:softHyphen/>
        <w:t>чти одинаковые скорости, но значи</w:t>
      </w:r>
      <w:r w:rsidRPr="00722885">
        <w:rPr>
          <w:rFonts w:ascii="Times New Roman" w:hAnsi="Times New Roman"/>
          <w:color w:val="000000" w:themeColor="text1"/>
          <w:sz w:val="16"/>
          <w:szCs w:val="16"/>
        </w:rPr>
        <w:softHyphen/>
        <w:t>тельно уступает последнему в верти</w:t>
      </w:r>
      <w:r w:rsidRPr="00722885">
        <w:rPr>
          <w:rFonts w:ascii="Times New Roman" w:hAnsi="Times New Roman"/>
          <w:color w:val="000000" w:themeColor="text1"/>
          <w:sz w:val="16"/>
          <w:szCs w:val="16"/>
        </w:rPr>
        <w:softHyphen/>
        <w:t>кальной и горизонтальной маневрен</w:t>
      </w:r>
      <w:r w:rsidRPr="00722885">
        <w:rPr>
          <w:rFonts w:ascii="Times New Roman" w:hAnsi="Times New Roman"/>
          <w:color w:val="000000" w:themeColor="text1"/>
          <w:sz w:val="16"/>
          <w:szCs w:val="16"/>
        </w:rPr>
        <w:softHyphen/>
        <w:t>ности. Управляемость самолета ЯК-7 М-105Ф значительно лучше.</w:t>
      </w:r>
    </w:p>
    <w:p w14:paraId="6742AEA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ЛАГ-5 для освоения лет</w:t>
      </w:r>
      <w:r w:rsidRPr="00722885">
        <w:rPr>
          <w:rFonts w:ascii="Times New Roman" w:hAnsi="Times New Roman"/>
          <w:color w:val="000000" w:themeColor="text1"/>
          <w:sz w:val="16"/>
          <w:szCs w:val="16"/>
        </w:rPr>
        <w:softHyphen/>
        <w:t>ным составом требует значительной тренировки.</w:t>
      </w:r>
    </w:p>
    <w:p w14:paraId="0432775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Летчики, летавшие на самолетах ЛАГГ-3, должны быстрее освоить са</w:t>
      </w:r>
      <w:r w:rsidRPr="00722885">
        <w:rPr>
          <w:rFonts w:ascii="Times New Roman" w:hAnsi="Times New Roman"/>
          <w:color w:val="000000" w:themeColor="text1"/>
          <w:sz w:val="16"/>
          <w:szCs w:val="16"/>
        </w:rPr>
        <w:softHyphen/>
        <w:t>молет ЛАГ-5 М-82 и дать ему луч</w:t>
      </w:r>
      <w:r w:rsidRPr="00722885">
        <w:rPr>
          <w:rFonts w:ascii="Times New Roman" w:hAnsi="Times New Roman"/>
          <w:color w:val="000000" w:themeColor="text1"/>
          <w:sz w:val="16"/>
          <w:szCs w:val="16"/>
        </w:rPr>
        <w:softHyphen/>
        <w:t>шую оценку, чем летчики, летающие на других истребителях, которые от</w:t>
      </w:r>
      <w:r w:rsidRPr="00722885">
        <w:rPr>
          <w:rFonts w:ascii="Times New Roman" w:hAnsi="Times New Roman"/>
          <w:color w:val="000000" w:themeColor="text1"/>
          <w:sz w:val="16"/>
          <w:szCs w:val="16"/>
        </w:rPr>
        <w:softHyphen/>
        <w:t>рицательно отзовутся об этом само</w:t>
      </w:r>
      <w:r w:rsidRPr="00722885">
        <w:rPr>
          <w:rFonts w:ascii="Times New Roman" w:hAnsi="Times New Roman"/>
          <w:color w:val="000000" w:themeColor="text1"/>
          <w:sz w:val="16"/>
          <w:szCs w:val="16"/>
        </w:rPr>
        <w:softHyphen/>
        <w:t>лете».</w:t>
      </w:r>
    </w:p>
    <w:p w14:paraId="1F19DD9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Такая «рекомендация» сделала свое дело, и элитный 434-й ИАП пе</w:t>
      </w:r>
      <w:r w:rsidRPr="00722885">
        <w:rPr>
          <w:rFonts w:ascii="Times New Roman" w:hAnsi="Times New Roman"/>
          <w:color w:val="000000" w:themeColor="text1"/>
          <w:sz w:val="16"/>
          <w:szCs w:val="16"/>
        </w:rPr>
        <w:softHyphen/>
        <w:t>ред отправкой под Сталинград был вооружен самолетами Як. Вместо него ЛаГГ-5 2-й и 3-й се</w:t>
      </w:r>
      <w:r w:rsidRPr="00722885">
        <w:rPr>
          <w:rFonts w:ascii="Times New Roman" w:hAnsi="Times New Roman"/>
          <w:color w:val="000000" w:themeColor="text1"/>
          <w:sz w:val="16"/>
          <w:szCs w:val="16"/>
        </w:rPr>
        <w:softHyphen/>
        <w:t>рий с моторами М-82 2-й серии по</w:t>
      </w:r>
      <w:r w:rsidRPr="00722885">
        <w:rPr>
          <w:rFonts w:ascii="Times New Roman" w:hAnsi="Times New Roman"/>
          <w:color w:val="000000" w:themeColor="text1"/>
          <w:sz w:val="16"/>
          <w:szCs w:val="16"/>
        </w:rPr>
        <w:softHyphen/>
        <w:t>лучили 297, 27, 240, 437, 15-й истреби</w:t>
      </w:r>
      <w:r w:rsidRPr="00722885">
        <w:rPr>
          <w:rFonts w:ascii="Times New Roman" w:hAnsi="Times New Roman"/>
          <w:color w:val="000000" w:themeColor="text1"/>
          <w:sz w:val="16"/>
          <w:szCs w:val="16"/>
        </w:rPr>
        <w:softHyphen/>
        <w:t>тельные полки, вошедшие в состав 287-й ИАД 8ВА Сталинградского фронта. Полки получали самолеты в нача</w:t>
      </w:r>
      <w:r w:rsidRPr="00722885">
        <w:rPr>
          <w:rFonts w:ascii="Times New Roman" w:hAnsi="Times New Roman"/>
          <w:color w:val="000000" w:themeColor="text1"/>
          <w:sz w:val="16"/>
          <w:szCs w:val="16"/>
        </w:rPr>
        <w:softHyphen/>
        <w:t>ле и середине августа и немедленно отправлялись под Сталинград. 20 ав</w:t>
      </w:r>
      <w:r w:rsidRPr="00722885">
        <w:rPr>
          <w:rFonts w:ascii="Times New Roman" w:hAnsi="Times New Roman"/>
          <w:color w:val="000000" w:themeColor="text1"/>
          <w:sz w:val="16"/>
          <w:szCs w:val="16"/>
        </w:rPr>
        <w:softHyphen/>
        <w:t>густа первые из них уже вступили в бой. К этому времени господство в воздухе полностью было на стороне люфтваффе. Наша авиация была при</w:t>
      </w:r>
      <w:r w:rsidRPr="00722885">
        <w:rPr>
          <w:rFonts w:ascii="Times New Roman" w:hAnsi="Times New Roman"/>
          <w:color w:val="000000" w:themeColor="text1"/>
          <w:sz w:val="16"/>
          <w:szCs w:val="16"/>
        </w:rPr>
        <w:softHyphen/>
        <w:t>жата к своим аэродромам, все они находились под контролем немецких истребителей, и ни один вылет не проходил не замеченным противни</w:t>
      </w:r>
      <w:r w:rsidRPr="00722885">
        <w:rPr>
          <w:rFonts w:ascii="Times New Roman" w:hAnsi="Times New Roman"/>
          <w:color w:val="000000" w:themeColor="text1"/>
          <w:sz w:val="16"/>
          <w:szCs w:val="16"/>
        </w:rPr>
        <w:softHyphen/>
        <w:t>ком. При взлете наших истребите</w:t>
      </w:r>
      <w:r w:rsidRPr="00722885">
        <w:rPr>
          <w:rFonts w:ascii="Times New Roman" w:hAnsi="Times New Roman"/>
          <w:color w:val="000000" w:themeColor="text1"/>
          <w:sz w:val="16"/>
          <w:szCs w:val="16"/>
        </w:rPr>
        <w:softHyphen/>
        <w:t>лей над аэродромом появлялись 4-6-12 В{ 109Р и связывали их воздуш</w:t>
      </w:r>
      <w:r w:rsidRPr="00722885">
        <w:rPr>
          <w:rFonts w:ascii="Times New Roman" w:hAnsi="Times New Roman"/>
          <w:color w:val="000000" w:themeColor="text1"/>
          <w:sz w:val="16"/>
          <w:szCs w:val="16"/>
        </w:rPr>
        <w:softHyphen/>
        <w:t>ным боем (10699).</w:t>
      </w:r>
    </w:p>
    <w:p w14:paraId="3E56A32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1CBECD7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середине августа 1942 Зам. начальника 7 гл. управления Залесский писал С.Шахурину:</w:t>
      </w:r>
    </w:p>
    <w:p w14:paraId="5EDD19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Докладываю:</w:t>
      </w:r>
    </w:p>
    <w:p w14:paraId="631826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августа заводом N 81 отправлены на полигон для проведения испытаний 2 самолета Бостон, переоборудованных под отечественное оружие. Оба самолета перевооружены под отечественное оружие. Оба самолета перевооружены по следующей схеме:</w:t>
      </w:r>
    </w:p>
    <w:p w14:paraId="307992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по бокам фюзеляжа для стрельбы вперед по одному пулемету УБК-12,7 вместо 2-х пулеметов 7,62;</w:t>
      </w:r>
    </w:p>
    <w:p w14:paraId="43046B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турель УТК-1 с пулеметом УБТ-12,7 вместо пулемета 7,2;</w:t>
      </w:r>
    </w:p>
    <w:p w14:paraId="1B9901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люковая установка с пулеметом УБТ-12,7 вместо пулемета 7,62.</w:t>
      </w:r>
    </w:p>
    <w:p w14:paraId="57DF00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носовой и люковой установке предъявлены 2 варианта: один конструкции ОКБ завода N 43, а другой конструкции завода N 81.</w:t>
      </w:r>
    </w:p>
    <w:p w14:paraId="211E73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Одновременно на этих самолетах ОКБ N 43 предъявляет упрощенный вариант переделки бомбардировочного вооружения, при котором используются балки и замки, имеющиеся на самолетах, а также не требуется изменение схемы подъема бомб и перестановка баллонов (1684,129).</w:t>
      </w:r>
    </w:p>
    <w:p w14:paraId="2832EC43" w14:textId="77777777" w:rsidR="00AE7191" w:rsidRPr="00722885" w:rsidRDefault="00AE7191" w:rsidP="00722885">
      <w:pPr>
        <w:pStyle w:val="Iauiue"/>
        <w:jc w:val="both"/>
        <w:rPr>
          <w:color w:val="000000" w:themeColor="text1"/>
          <w:sz w:val="16"/>
          <w:szCs w:val="16"/>
        </w:rPr>
      </w:pPr>
    </w:p>
    <w:p w14:paraId="449EA0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середине августа 1942 г. военные действия велись уже в районе Большого Кавказа. На стороне немцев были господство в воздухе и подавляющий перевес в минометах и горной артиллерии. А РККА за два месяца непрерывного отступления потеряла большую часть орудий, сравнительно хорошо сохранились лишь ГМЧ Черноморской группы войск Северо-Кавказского фронта. В нее входили семь дивизионов и отдельная батарея БМ-13, два (позже четыре) дивизиона БМ-8. Сила грозная – примерно с такой Нестеренко остановил в Сальских степях немецкие танки. Однако БМ-13 монтировали на обычных грузовиках, а часть БМ-8 на шасси легких танков, что обеспечивало частям маневренность и подвижность на дорогах. Но в горах – больше тропы. Они-то и остались без прикрытия. Даже там, где автодороги проходили близко к передовой, не обошлось без сложностей. При нормальном положении направляющих удавалось поражать лишь “лицевые” склоны гор, при максимальном (45°) – рассеивание снарядов получалось чрезмерным, а немцы, закрепившиеся на обратных склонах, оставались вне обстрела. Попробовали углублять задние колеса установок, увеличивая углы возвышения направляющих, но часть снарядов попадала в кроны деревьев на вершинах. Решить проблему можно было, перейдя на стрельбу по мортирному, с углами возвышения более 45°, но БМ-13 и БМ-8 не предназначались для этого.</w:t>
      </w:r>
    </w:p>
    <w:p w14:paraId="1473D6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Тогда-то начальник передвижных ремонтных мастерских Алферов предложил Нестеренко создать горные установки под снаряды М-8 калибром 82 мм. Работали над ними в мастерских санатория “Кавказская Ривьера” в Сочи, вообще-то предназначенных для починки автомобилей и лифтов. Любопытно, что большую часть первой установки сделали из водопроводных труб. Она весила 68 кг, как станковый пулемет, и легко разбиралась на составляющие: пакет из восьми направляющих от БМ-8, ферма с поворотным кругом и станок, представлявший собой опорный круг с четырьмя откидными “паучьими” ногами. После того случая, когда на испытаниях установка опрокинулась, в “лапах” проделали отверстия, в которые для сцепления с грунтом вставляли штыри. Каждый элемент весил 22 – 23 кг – меньше, чем составные части тяжелого миномета, что позволяло перемещать установку во вьюках или силами расчета. В “катюшах” выстрел производился электроимпульсом от аккумулятора автомобиля-носителя. И тут попробовали применить аккумуляторы, но их не хватило даже для одной батареи.</w:t>
      </w:r>
    </w:p>
    <w:p w14:paraId="3AF446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Алферов предложил запускать снаряды выстрелом холостого винтовочного патрона. Придумали особые патронники с ударниками, их спускали, выдергивая чеку. Чтобы не ставить их на каждый снаряд, применили схему “огневой связи” – воспламеняли один патрон на нижних или верхних направляющих, а пороховые газы по дугообразным трубкам воздействовали на остальные. Для надежности бездымный порох заменили черным охотничьим.</w:t>
      </w:r>
    </w:p>
    <w:p w14:paraId="48544C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Первые стрельбы устроили из санаторного парка в сторону моря, причем сочинские зенитчики сочли их за налет немецкой авиации. Следующие провели в ущелье Георгиевское близ Туапсе. На них присутствовал командующий Северо-Кавказским фронтом маршал С.М. Буденный. Увиденное произвело на него сильное впечатление, и он обещал помочь изобретателям. А в бою горные “катюши” побывали у Гойтхского перевала, стрельбой руководил сам Нестеренко.</w:t>
      </w:r>
    </w:p>
    <w:p w14:paraId="650796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мастерских “Кавказской Ривьеры” сделали 58 установок, из них 48 (12 батарей) отправили на фронт, и былое превосходство немцев в минометах и горной артиллерии сошло на нет. Остальными вооружили дрезины, курсировавшие по железной дороге между Туапсе и Сочи. Восемь поставили на тральщик “Скумбрия”, ставший первым в мире кораблем-ракетоносцем – один залп состоял из 96 снарядов М-8. “Скумбрия” оказывала поддержку десантникам на “Малой земле”. В боях на плацдарме под Новороссийском отличились и чисто горные установки. К тому времени из них сформировали три дивизиона, 2-й и 3-й сражались на “Малой земле”, а из 1-го выделили батарею, которую по воздуху перебросили в Крым, к партизанам, находившимся в Зуйских лесах. Под ее ударами оказались немецкие коммуникации, и, после разгрома нескольких автоколонн, противник бросил на батарейцев карателей. На горе Колан-Биар близ Симферополя бойцы старшего лейтенанта П.П. Авдюкова приняли последний бой. Это единственный достоверный случай участия “катюш” в партизанской войне.</w:t>
      </w:r>
    </w:p>
    <w:p w14:paraId="6F1C07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После битвы за Кавказ 2-й и 3-й дивизионы воевали на Керченском плацдарме, под Севастополем. Перед боями в Карпатах их смонтировали на легковых вездеходах “Виллис”, что позволило сочетать высокую маневренность с возможностью применять снятые установки в качестве горно-вьючных. После операций 2-й дивизион был удостоен ордена Богдана Хмельницкого, 3-й – благодарности командования 1-го Чехословацкого армейского корпуса, оба получили почетное наименование “Карпатских” (9632).</w:t>
      </w:r>
    </w:p>
    <w:p w14:paraId="215C0CBD" w14:textId="77777777" w:rsidR="00AE7191" w:rsidRPr="00722885" w:rsidRDefault="00AE7191" w:rsidP="00722885">
      <w:pPr>
        <w:pStyle w:val="Iauiue"/>
        <w:jc w:val="both"/>
        <w:rPr>
          <w:color w:val="000000" w:themeColor="text1"/>
          <w:sz w:val="16"/>
          <w:szCs w:val="16"/>
        </w:rPr>
      </w:pPr>
    </w:p>
    <w:p w14:paraId="6361834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авгус</w:t>
      </w:r>
      <w:r w:rsidRPr="00722885">
        <w:rPr>
          <w:rFonts w:ascii="Times New Roman" w:hAnsi="Times New Roman"/>
          <w:color w:val="000000" w:themeColor="text1"/>
          <w:sz w:val="16"/>
          <w:szCs w:val="16"/>
        </w:rPr>
        <w:softHyphen/>
        <w:t>та 1942 г. начались испытания двигателей ДМ-4с в трубе АТ-2. Диаметр двигателя ДМ-4с был равен 500 мм, длина -2430 мм. Три съемных диффузора имели диаметры входного сечения 230, 280 и 330 мм. Съемные сопла имели диаметры выходного сучения 300, 340 и 360 мм. Первый этап проводимых испытаний состоял в опробова</w:t>
      </w:r>
      <w:r w:rsidRPr="00722885">
        <w:rPr>
          <w:rFonts w:ascii="Times New Roman" w:hAnsi="Times New Roman"/>
          <w:color w:val="000000" w:themeColor="text1"/>
          <w:sz w:val="16"/>
          <w:szCs w:val="16"/>
        </w:rPr>
        <w:softHyphen/>
        <w:t>нии двигателей в работе после выпуска их с производства, подгон</w:t>
      </w:r>
      <w:r w:rsidRPr="00722885">
        <w:rPr>
          <w:rFonts w:ascii="Times New Roman" w:hAnsi="Times New Roman"/>
          <w:color w:val="000000" w:themeColor="text1"/>
          <w:sz w:val="16"/>
          <w:szCs w:val="16"/>
        </w:rPr>
        <w:softHyphen/>
        <w:t>ке и проверке в работе всего комплекса варьируемых агрегатов и устранении производственных дефектов, главным образом, течи бен</w:t>
      </w:r>
      <w:r w:rsidRPr="00722885">
        <w:rPr>
          <w:rFonts w:ascii="Times New Roman" w:hAnsi="Times New Roman"/>
          <w:color w:val="000000" w:themeColor="text1"/>
          <w:sz w:val="16"/>
          <w:szCs w:val="16"/>
        </w:rPr>
        <w:softHyphen/>
        <w:t>зина в-сварных швах и штуцерах и протекания газов в местах сты</w:t>
      </w:r>
      <w:r w:rsidRPr="00722885">
        <w:rPr>
          <w:rFonts w:ascii="Times New Roman" w:hAnsi="Times New Roman"/>
          <w:color w:val="000000" w:themeColor="text1"/>
          <w:sz w:val="16"/>
          <w:szCs w:val="16"/>
        </w:rPr>
        <w:softHyphen/>
        <w:t>ковки съемных головок с корпусом. Большое внимание было уделено испытаниям и отработке системы зажигания дополнительных моторов. Параллельно проводилось опробование в работе вновь установленной на трубе измерительной аппаратуры. Характер первых испытаний иллюстрируют сохранившимися актами, один из которых приводится:</w:t>
      </w:r>
    </w:p>
    <w:p w14:paraId="2EF5313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u w:val="single"/>
        </w:rPr>
        <w:t>А К Т № 1</w:t>
      </w:r>
    </w:p>
    <w:p w14:paraId="0F6E450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Настоящий акт составлен Комиссией в составе: начальника испытательной станции Чарного И.А., ст.инженера испытательной станции Асадчиковп Е.А.. инженера Николаевского Б.А. в той, что двигатель ДМ-4с № 14 был установлен в аэродинамической трубе АТ-2 17 августа 1942 г. с целью испытания зажигания и горения.</w:t>
      </w:r>
    </w:p>
    <w:p w14:paraId="145AF7E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первого воспламенения горючего двигатель был выклю</w:t>
      </w:r>
      <w:r w:rsidRPr="00722885">
        <w:rPr>
          <w:rFonts w:ascii="Times New Roman" w:hAnsi="Times New Roman"/>
          <w:color w:val="000000" w:themeColor="text1"/>
          <w:sz w:val="16"/>
          <w:szCs w:val="16"/>
        </w:rPr>
        <w:softHyphen/>
        <w:t>чен и осмотрен. Обнаружены подтеки горючего под наружный кольцом.</w:t>
      </w:r>
    </w:p>
    <w:p w14:paraId="00E55B5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вторичном пуске двигателя со святим наружным коль</w:t>
      </w:r>
      <w:r w:rsidRPr="00722885">
        <w:rPr>
          <w:rFonts w:ascii="Times New Roman" w:hAnsi="Times New Roman"/>
          <w:color w:val="000000" w:themeColor="text1"/>
          <w:sz w:val="16"/>
          <w:szCs w:val="16"/>
        </w:rPr>
        <w:softHyphen/>
        <w:t>цом, замечено пламя под конусом корпуса двигателя, вслед</w:t>
      </w:r>
      <w:r w:rsidRPr="00722885">
        <w:rPr>
          <w:rFonts w:ascii="Times New Roman" w:hAnsi="Times New Roman"/>
          <w:color w:val="000000" w:themeColor="text1"/>
          <w:sz w:val="16"/>
          <w:szCs w:val="16"/>
        </w:rPr>
        <w:softHyphen/>
        <w:t>ствие этого двигатель был выключен.</w:t>
      </w:r>
    </w:p>
    <w:p w14:paraId="79EF080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Установлено протекание горючего в полость под конусом корпуса по причине негерметичности сварных швов корпуса.</w:t>
      </w:r>
    </w:p>
    <w:p w14:paraId="6214D1E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Без устранения этого дефекта дальнейшие испытания не могут продолжаться.</w:t>
      </w:r>
    </w:p>
    <w:p w14:paraId="53C6A2E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Воспламенение топлива в двигателях в первом и втором случае происходило нормально" (11081).</w:t>
      </w:r>
    </w:p>
    <w:p w14:paraId="0664530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1D22EF3"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середине августа 1942 г. начались испытания двигателя ДМ-4С Бондарюка в трубе АТ-2. Первый этап проводимых испытаний состоял в опробовании двигателей в работе после выпуска их с произ водства, подгонке и проверке в работе всего комплекса варьируемых агрегатов и устранения производственных дефектов, главным образом, течи бензина в сварных швах и штуцерах и протекание газов в местах стыковки съемных головок с кор пусом. Большое внимание было уделено испытаниям и отра ботке систем зажигания ПВРД. Параллельно производилось опробование в работе вновь установленной на трубе измерительной аппаратуры (19586).</w:t>
      </w:r>
    </w:p>
    <w:p w14:paraId="07600057"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8F9B7D7" w14:textId="77777777" w:rsidR="00DF0DDA"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F0E695A" w14:textId="77777777" w:rsidR="00DF0DDA" w:rsidRPr="00722885" w:rsidRDefault="00DF0DDA" w:rsidP="00722885">
      <w:pPr>
        <w:pStyle w:val="Iauiue"/>
        <w:jc w:val="both"/>
        <w:rPr>
          <w:iCs/>
          <w:color w:val="000000" w:themeColor="text1"/>
          <w:sz w:val="16"/>
          <w:szCs w:val="16"/>
        </w:rPr>
      </w:pPr>
    </w:p>
    <w:p w14:paraId="16EC8F05" w14:textId="77777777" w:rsidR="00DF0DDA" w:rsidRPr="00722885" w:rsidRDefault="00DF0D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середины августа 1942 г. на 290-м авиазаводе удалось за три месяца не только спроектировать и создать опытные экземпляры противо</w:t>
      </w:r>
      <w:hyperlink r:id="rId81"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установок, но и провести их испытания стрельбой. Сначала молодым инженерам М.Л. Милю и Н.И. Камову казалось, что решение непрофильной технической проблемы, как говорится, «лежало на поверхности», поскольку автожир в качестве штатного вооружения требовалось оснастить ракетными орудиями для стрельбы реактивными снарядами калибра 82 мм в переднюю и заднюю полусферы. Но им также было ясно, что при подобной организации работ их автожир поднимется в воздух не скоро (что поделать: хорошие инженеры — далеко не сразу становятся и талантливыми организаторами). Во всех документах М.Л. Миль постоянно упоминает имя своего соавтора по разработке противо</w:t>
      </w:r>
      <w:hyperlink r:id="rId82"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ового ружья — С.В. Пасхина. В более поздних документах, датированных (15595).</w:t>
      </w:r>
    </w:p>
    <w:p w14:paraId="0C3766E5" w14:textId="77777777" w:rsidR="00DF0DDA" w:rsidRPr="00722885" w:rsidRDefault="00DF0DDA" w:rsidP="00722885">
      <w:pPr>
        <w:spacing w:after="0" w:line="240" w:lineRule="auto"/>
        <w:jc w:val="both"/>
        <w:rPr>
          <w:rFonts w:ascii="Times New Roman" w:hAnsi="Times New Roman"/>
          <w:color w:val="000000" w:themeColor="text1"/>
          <w:sz w:val="16"/>
          <w:szCs w:val="16"/>
        </w:rPr>
      </w:pPr>
    </w:p>
    <w:p w14:paraId="44731BE2" w14:textId="77777777" w:rsidR="00716A6B" w:rsidRPr="00722885" w:rsidRDefault="00716A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середине августа 1942 года Проектная документация на ЗИК-7-II была готова. Материалы отправились в Артком ГАУ КА, откуда 15 октября пришел ответ, мягко говоря, не вселявший оптимизма. Для начала, уже к августу КБ завода №8 с проектом опоздало, поскольку КБ УЗТМ спроектировало, а завод №37 построил установку орудия ЗИС-3 на шасси СУ-32. Еще одно орудие уже не было столь необходимо. В ходе испытаний СУ-32 показала себя хуже, чем СУ-31. Таким образом, заводскому КБ предлагалось переделать ЗИК-7-II под установку в СУ-31. Неудивительно, что эта система в результате тоже так и осталась «бумажной».</w:t>
      </w:r>
    </w:p>
    <w:p w14:paraId="0F018BE4" w14:textId="77777777" w:rsidR="00716A6B" w:rsidRPr="00722885" w:rsidRDefault="00716A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Примерно в то же время, когда шли работы по разработке ЗИК-7-II, КБ завода №8 приступило к разработке еще одной орудийной системы. На сей раз в качестве базы было решено использовать «шасси 31». Система получила индекс ЗИК-5, вместо штурмовой САУ теперь разрабатывалась ЗСУ. Может показаться, что началась конкуренция между КБ УЗТМ и КБ завода №8, но это не так. Дело в том, что КБ УЗТМ разрабатывало ЗСУ с использованием 37-мм автоматической пушки 61-К. Что же касается ЗИК-5, то там использовалось другое орудие – 25-мм автоматическая пушка 72-К.</w:t>
      </w:r>
    </w:p>
    <w:p w14:paraId="496054B0" w14:textId="77777777" w:rsidR="00716A6B" w:rsidRPr="00722885" w:rsidRDefault="00716A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целом проект ЗИК-5 базировался на наработках по теме СУ-31. Отчасти похожим оказалось и броневое прикрытие боевого отделения, в основном различия появились из-за меньшего размера 72-К. Сама зенитная пушка устанавливалась без каких-либо существенных изменений, мелкие переделки вносились лишь в случае крайней необходимости. В боевом отделении находились двое наводчиков и один заряжающий (17683).</w:t>
      </w:r>
    </w:p>
    <w:p w14:paraId="0F9DB9E2" w14:textId="77777777" w:rsidR="00716A6B" w:rsidRPr="00722885" w:rsidRDefault="00716A6B" w:rsidP="00722885">
      <w:pPr>
        <w:spacing w:after="0" w:line="240" w:lineRule="auto"/>
        <w:jc w:val="both"/>
        <w:rPr>
          <w:rFonts w:ascii="Times New Roman" w:eastAsia="Times New Roman" w:hAnsi="Times New Roman"/>
          <w:color w:val="000000" w:themeColor="text1"/>
          <w:sz w:val="16"/>
          <w:szCs w:val="16"/>
          <w:lang w:eastAsia="ru-RU"/>
        </w:rPr>
      </w:pPr>
    </w:p>
    <w:p w14:paraId="30F0D3B1"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1F5F6CF" w14:textId="77777777" w:rsidR="00AE7191" w:rsidRPr="00722885" w:rsidRDefault="00AE7191" w:rsidP="00722885">
      <w:pPr>
        <w:pStyle w:val="Iauiue"/>
        <w:jc w:val="both"/>
        <w:rPr>
          <w:iCs/>
          <w:color w:val="000000" w:themeColor="text1"/>
          <w:sz w:val="16"/>
          <w:szCs w:val="16"/>
        </w:rPr>
      </w:pPr>
    </w:p>
    <w:p w14:paraId="740A1DF1" w14:textId="77777777" w:rsidR="009F0796" w:rsidRPr="00722885" w:rsidRDefault="009F0796" w:rsidP="00722885">
      <w:pPr>
        <w:pStyle w:val="ae"/>
        <w:spacing w:before="0" w:after="0"/>
        <w:jc w:val="both"/>
        <w:textAlignment w:val="baseline"/>
        <w:rPr>
          <w:color w:val="000000" w:themeColor="text1"/>
          <w:sz w:val="16"/>
          <w:szCs w:val="16"/>
        </w:rPr>
      </w:pPr>
      <w:r w:rsidRPr="00722885">
        <w:rPr>
          <w:color w:val="000000" w:themeColor="text1"/>
          <w:sz w:val="16"/>
          <w:szCs w:val="16"/>
        </w:rPr>
        <w:t>К середине августа 1942 8-я воздушная армия 32-летнего генерал-майора Тимофея Хрюкина получила значительные пополнения в виде тринадцати истребительных, девяти штурмовых и восьми бомбардировочных полков. Теперь на Сталинградском направлении советские ВВС, включая авиацию ПВО, имели 738 самолетов, в том числе 241 штурмовик, 313 истребителей, 113 дневных бомбардировщиков и 71 ночной бомбардировщик[42].</w:t>
      </w:r>
    </w:p>
    <w:p w14:paraId="432B8FFA" w14:textId="77777777" w:rsidR="009F0796" w:rsidRPr="00722885" w:rsidRDefault="009F0796" w:rsidP="00722885">
      <w:pPr>
        <w:pStyle w:val="ae"/>
        <w:spacing w:before="0" w:after="0"/>
        <w:jc w:val="both"/>
        <w:textAlignment w:val="baseline"/>
        <w:rPr>
          <w:color w:val="000000" w:themeColor="text1"/>
          <w:sz w:val="16"/>
          <w:szCs w:val="16"/>
        </w:rPr>
      </w:pPr>
      <w:r w:rsidRPr="00722885">
        <w:rPr>
          <w:color w:val="000000" w:themeColor="text1"/>
          <w:sz w:val="16"/>
          <w:szCs w:val="16"/>
        </w:rPr>
        <w:t>В начале августа силами Управления аэродромного строительства НКВД на восточном берегу Волги были спешно подготовлены девятнадцать полевых аэродромов, на которые и перебазировалось большинство авиаполков 8-й воздушной армии. С этого момента Волга стала зримым рубежом борьбы воздушных противников. Перетянул обратно за реку, значит, точно на своей территории.</w:t>
      </w:r>
    </w:p>
    <w:p w14:paraId="793F332C" w14:textId="77777777" w:rsidR="009F0796" w:rsidRPr="00722885" w:rsidRDefault="009F0796" w:rsidP="00722885">
      <w:pPr>
        <w:pStyle w:val="ae"/>
        <w:spacing w:before="0" w:after="0"/>
        <w:jc w:val="both"/>
        <w:textAlignment w:val="baseline"/>
        <w:rPr>
          <w:color w:val="000000" w:themeColor="text1"/>
          <w:sz w:val="16"/>
          <w:szCs w:val="16"/>
        </w:rPr>
      </w:pPr>
      <w:r w:rsidRPr="00722885">
        <w:rPr>
          <w:color w:val="000000" w:themeColor="text1"/>
          <w:sz w:val="16"/>
          <w:szCs w:val="16"/>
        </w:rPr>
        <w:t>Тем временем люфтваффе, напротив, переносили свои места базирования все ближе к Сталинграду. Так, 10 августа на аэродром Тусов, расположенный северо-западнее города Калач-на-Дону, перебазировались Bf-109F из I./JG53 «Пик Ас» и JG3 «Удет». Оборудование взлетных полос и стоянок в этом степном районе не представляло особых сложностей, нужно было просто найти ровное место и разметить его.</w:t>
      </w:r>
    </w:p>
    <w:p w14:paraId="089B1886" w14:textId="77777777" w:rsidR="009F0796" w:rsidRPr="00722885" w:rsidRDefault="009F0796" w:rsidP="00722885">
      <w:pPr>
        <w:pStyle w:val="ae"/>
        <w:spacing w:before="0" w:after="0"/>
        <w:jc w:val="both"/>
        <w:textAlignment w:val="baseline"/>
        <w:rPr>
          <w:color w:val="000000" w:themeColor="text1"/>
          <w:sz w:val="16"/>
          <w:szCs w:val="16"/>
        </w:rPr>
      </w:pPr>
      <w:r w:rsidRPr="00722885">
        <w:rPr>
          <w:color w:val="000000" w:themeColor="text1"/>
          <w:sz w:val="16"/>
          <w:szCs w:val="16"/>
        </w:rPr>
        <w:t>Неподалеку на такие же площадки в степи перебазировались и другие авиагруппы, в том числе штурмовики и ближние разведчики. Все это не осталось незамеченным для русской воздушной разведки. Только на аэродроме около железнодорожной станции Обливская, согласно данным аэрофотосъемки, базировалось «более 100 самолетов Ю-88 и Me-109» (19522).</w:t>
      </w:r>
    </w:p>
    <w:p w14:paraId="410871C5" w14:textId="77777777" w:rsidR="009F0796" w:rsidRPr="00722885" w:rsidRDefault="009F0796" w:rsidP="00722885">
      <w:pPr>
        <w:pStyle w:val="ae"/>
        <w:spacing w:before="0" w:after="0"/>
        <w:jc w:val="both"/>
        <w:textAlignment w:val="baseline"/>
        <w:rPr>
          <w:color w:val="000000" w:themeColor="text1"/>
          <w:sz w:val="16"/>
          <w:szCs w:val="16"/>
        </w:rPr>
      </w:pPr>
    </w:p>
    <w:p w14:paraId="2859419B" w14:textId="77777777" w:rsidR="00F51760" w:rsidRPr="00722885" w:rsidRDefault="00F51760"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середины августа 1942 и до середины сентяб</w:t>
      </w:r>
      <w:r w:rsidRPr="00722885">
        <w:rPr>
          <w:rFonts w:ascii="Times New Roman" w:hAnsi="Times New Roman"/>
          <w:color w:val="0070C0"/>
          <w:sz w:val="16"/>
          <w:szCs w:val="16"/>
        </w:rPr>
        <w:softHyphen/>
        <w:t>ря авиация дальнего действия провела ряд налетов на крупные индустриальные города Германии и оккупированной ею Европы.</w:t>
      </w:r>
    </w:p>
    <w:p w14:paraId="0336AF0E"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Также было проведено несколько налетов на Берлин и столицы союзников Германии. ТБ-7 №42066 принял участие во всех вылетах 746 АПДД.</w:t>
      </w:r>
    </w:p>
    <w:p w14:paraId="63E65419"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18.08.42. Экипаж Пусэп, Лебедев. Цель </w:t>
      </w:r>
      <w:r w:rsidRPr="00722885">
        <w:rPr>
          <w:rStyle w:val="443"/>
          <w:rFonts w:ascii="Times New Roman" w:eastAsiaTheme="minorHAnsi" w:hAnsi="Times New Roman" w:cs="Times New Roman"/>
          <w:color w:val="0070C0"/>
          <w:sz w:val="16"/>
          <w:szCs w:val="16"/>
          <w:lang w:val="ru"/>
        </w:rPr>
        <w:t>-</w:t>
      </w:r>
      <w:r w:rsidRPr="00722885">
        <w:rPr>
          <w:rStyle w:val="451"/>
          <w:rFonts w:ascii="Times New Roman" w:eastAsiaTheme="minorHAnsi" w:hAnsi="Times New Roman" w:cs="Times New Roman"/>
          <w:color w:val="0070C0"/>
          <w:sz w:val="16"/>
          <w:szCs w:val="16"/>
          <w:lang w:val="ru"/>
        </w:rPr>
        <w:t xml:space="preserve"> </w:t>
      </w:r>
      <w:r w:rsidRPr="00722885">
        <w:rPr>
          <w:rFonts w:ascii="Times New Roman" w:hAnsi="Times New Roman"/>
          <w:color w:val="0070C0"/>
          <w:sz w:val="16"/>
          <w:szCs w:val="16"/>
        </w:rPr>
        <w:t>бомбардирование города Данциг. Сброшено ФАБ 2000,2 ФАБ-250тга, 2 САБ-100 с 6400 м. Время взлета 19.40, время бомбометания 00.15, время посадки 4.50. В результате бом</w:t>
      </w:r>
      <w:r w:rsidRPr="00722885">
        <w:rPr>
          <w:rFonts w:ascii="Times New Roman" w:hAnsi="Times New Roman"/>
          <w:color w:val="0070C0"/>
          <w:sz w:val="16"/>
          <w:szCs w:val="16"/>
        </w:rPr>
        <w:softHyphen/>
        <w:t>бометания возник большой очаг пожара, который при отходе разгорался и виден был на расстоянии 60 км.</w:t>
      </w:r>
    </w:p>
    <w:p w14:paraId="16351CC7"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20.08.42. Экипаж Пусэп, Романов. Цель </w:t>
      </w:r>
      <w:r w:rsidRPr="00722885">
        <w:rPr>
          <w:rStyle w:val="443"/>
          <w:rFonts w:ascii="Times New Roman" w:eastAsiaTheme="minorHAnsi" w:hAnsi="Times New Roman" w:cs="Times New Roman"/>
          <w:color w:val="0070C0"/>
          <w:sz w:val="16"/>
          <w:szCs w:val="16"/>
          <w:lang w:val="ru"/>
        </w:rPr>
        <w:t>-</w:t>
      </w:r>
      <w:r w:rsidRPr="00722885">
        <w:rPr>
          <w:rStyle w:val="451"/>
          <w:rFonts w:ascii="Times New Roman" w:eastAsiaTheme="minorHAnsi" w:hAnsi="Times New Roman" w:cs="Times New Roman"/>
          <w:color w:val="0070C0"/>
          <w:sz w:val="16"/>
          <w:szCs w:val="16"/>
          <w:lang w:val="ru"/>
        </w:rPr>
        <w:t xml:space="preserve"> </w:t>
      </w:r>
      <w:r w:rsidRPr="00722885">
        <w:rPr>
          <w:rFonts w:ascii="Times New Roman" w:hAnsi="Times New Roman"/>
          <w:color w:val="0070C0"/>
          <w:sz w:val="16"/>
          <w:szCs w:val="16"/>
        </w:rPr>
        <w:t>бомбардирование города Варшава. Сброше</w:t>
      </w:r>
      <w:r w:rsidRPr="00722885">
        <w:rPr>
          <w:rFonts w:ascii="Times New Roman" w:hAnsi="Times New Roman"/>
          <w:color w:val="0070C0"/>
          <w:sz w:val="16"/>
          <w:szCs w:val="16"/>
        </w:rPr>
        <w:softHyphen/>
        <w:t>но 4 ФАБ-500тга, 2 ФАБ-250тга, 2 САБ-100 с 7100 м. Время взлета 20.17, время бомбоме</w:t>
      </w:r>
      <w:r w:rsidRPr="00722885">
        <w:rPr>
          <w:rFonts w:ascii="Times New Roman" w:hAnsi="Times New Roman"/>
          <w:color w:val="0070C0"/>
          <w:sz w:val="16"/>
          <w:szCs w:val="16"/>
        </w:rPr>
        <w:softHyphen/>
        <w:t>тания 00.10, время посадки 4.37. Отмечено прямое попадание бомб в центральную часть города. В результате бомбометания возник один пожар, наблюдавшийся экипажем при уходе от цели.</w:t>
      </w:r>
    </w:p>
    <w:p w14:paraId="0E9DB2AC"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23.08.42. Экипаж Пусэп, Штепенко. Цель - бомбардирование аэродрома Сеща. Сбро</w:t>
      </w:r>
      <w:r w:rsidRPr="00722885">
        <w:rPr>
          <w:rFonts w:ascii="Times New Roman" w:hAnsi="Times New Roman"/>
          <w:color w:val="0070C0"/>
          <w:sz w:val="16"/>
          <w:szCs w:val="16"/>
        </w:rPr>
        <w:softHyphen/>
        <w:t>шено 4 ФАБ 500, 2 РРАБ-2 (А0-10=105, ЗАБ- 2,5=40) и две САБ-100 с 5000 м. Время взлета 19.29, время бомбометания 20.57-21.05, время посадки 22.42. Отмечено попадание и разрыв бомб на летном поле и в северной части аэродрома, возник один пожар.</w:t>
      </w:r>
    </w:p>
    <w:p w14:paraId="52DC22AF"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24.08.42. Экипаж Пусэп, Штепенко. Цель - бомбардирование аэродрома Боровское. Сброшено 4 ФАБ 500, 2 РРАБ-2 (А0-8-100, ЗАБ-2,5=80), 1 САБ-100 с 4200 м. Время взле</w:t>
      </w:r>
      <w:r w:rsidRPr="00722885">
        <w:rPr>
          <w:rFonts w:ascii="Times New Roman" w:hAnsi="Times New Roman"/>
          <w:color w:val="0070C0"/>
          <w:sz w:val="16"/>
          <w:szCs w:val="16"/>
        </w:rPr>
        <w:softHyphen/>
        <w:t>та 20.20, время бомбометания 22.08-22.37, время посадки 00.19. Бомбометание про</w:t>
      </w:r>
      <w:r w:rsidRPr="00722885">
        <w:rPr>
          <w:rFonts w:ascii="Times New Roman" w:hAnsi="Times New Roman"/>
          <w:color w:val="0070C0"/>
          <w:sz w:val="16"/>
          <w:szCs w:val="16"/>
        </w:rPr>
        <w:softHyphen/>
        <w:t>изводилось по ст. Энгельгардовская по аэро</w:t>
      </w:r>
      <w:r w:rsidRPr="00722885">
        <w:rPr>
          <w:rFonts w:ascii="Times New Roman" w:hAnsi="Times New Roman"/>
          <w:color w:val="0070C0"/>
          <w:sz w:val="16"/>
          <w:szCs w:val="16"/>
        </w:rPr>
        <w:softHyphen/>
        <w:t>дрому Шаталово и Боровское. Наблюдали разрывы бомб, после бомбометания пожаров не возникло.</w:t>
      </w:r>
    </w:p>
    <w:p w14:paraId="622B883C"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26.08.42. Экипаж Пусэп, Романов. Цель </w:t>
      </w:r>
      <w:r w:rsidRPr="00722885">
        <w:rPr>
          <w:rStyle w:val="443"/>
          <w:rFonts w:ascii="Times New Roman" w:eastAsiaTheme="minorHAnsi" w:hAnsi="Times New Roman" w:cs="Times New Roman"/>
          <w:color w:val="0070C0"/>
          <w:sz w:val="16"/>
          <w:szCs w:val="16"/>
          <w:lang w:val="ru"/>
        </w:rPr>
        <w:t>-</w:t>
      </w:r>
      <w:r w:rsidRPr="00722885">
        <w:rPr>
          <w:rStyle w:val="451"/>
          <w:rFonts w:ascii="Times New Roman" w:eastAsiaTheme="minorHAnsi" w:hAnsi="Times New Roman" w:cs="Times New Roman"/>
          <w:color w:val="0070C0"/>
          <w:sz w:val="16"/>
          <w:szCs w:val="16"/>
          <w:lang w:val="ru"/>
        </w:rPr>
        <w:t xml:space="preserve"> </w:t>
      </w:r>
      <w:r w:rsidRPr="00722885">
        <w:rPr>
          <w:rFonts w:ascii="Times New Roman" w:hAnsi="Times New Roman"/>
          <w:color w:val="0070C0"/>
          <w:sz w:val="16"/>
          <w:szCs w:val="16"/>
        </w:rPr>
        <w:t>бомбардирование города Берлин. Сброшено 2 ФАБ-1000тга. Время взлета 18.58, время бомбометания 01.20, время посадки 6.13. Из- за невозможности соблюдения режима поле</w:t>
      </w:r>
      <w:r w:rsidRPr="00722885">
        <w:rPr>
          <w:rFonts w:ascii="Times New Roman" w:hAnsi="Times New Roman"/>
          <w:color w:val="0070C0"/>
          <w:sz w:val="16"/>
          <w:szCs w:val="16"/>
        </w:rPr>
        <w:softHyphen/>
        <w:t>та по метеусловиям к основной цели не дошел и с высоты 7000 м бомбардировал г Штеттин. Разрывы бомб в центральной части города, возникло два больших пожара.</w:t>
      </w:r>
    </w:p>
    <w:p w14:paraId="3B165EE2"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29.08.42. Экипаж Пусэп, Штепенко. Цель - бомбардирование города Берлин. Сброше</w:t>
      </w:r>
      <w:r w:rsidRPr="00722885">
        <w:rPr>
          <w:rFonts w:ascii="Times New Roman" w:hAnsi="Times New Roman"/>
          <w:color w:val="0070C0"/>
          <w:sz w:val="16"/>
          <w:szCs w:val="16"/>
        </w:rPr>
        <w:softHyphen/>
        <w:t>но 2 ФАБ-1000тга с 7900 м. Время взлета 18.45, время бомбометания 01.18, время посадки 6.20. Наблюдали разрывы бомб в восточной части аэродрома, возник один очаг пожара.</w:t>
      </w:r>
    </w:p>
    <w:p w14:paraId="6442CBF5"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1.09.42. Экипаж Пусэп, Штепенко. Цель - бомбардирование города Варшава. Сброше</w:t>
      </w:r>
      <w:r w:rsidRPr="00722885">
        <w:rPr>
          <w:rFonts w:ascii="Times New Roman" w:hAnsi="Times New Roman"/>
          <w:color w:val="0070C0"/>
          <w:sz w:val="16"/>
          <w:szCs w:val="16"/>
        </w:rPr>
        <w:softHyphen/>
        <w:t>но 2 ФАБ-1000тга, 2 ФАБ-500тга, 1 САБ-100 с 5000 м. Время взлета 19.12, время бомбоме</w:t>
      </w:r>
      <w:r w:rsidRPr="00722885">
        <w:rPr>
          <w:rFonts w:ascii="Times New Roman" w:hAnsi="Times New Roman"/>
          <w:color w:val="0070C0"/>
          <w:sz w:val="16"/>
          <w:szCs w:val="16"/>
        </w:rPr>
        <w:softHyphen/>
        <w:t>тания 0.15-0.20, время посадки 4.38. Бомбы разорвались в западной части города, возник один очаг пожара.</w:t>
      </w:r>
    </w:p>
    <w:p w14:paraId="71975742"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4.09.42. Экипаж Пусэп, Штепенко. Цель - бомбардирование города Будапешт. Сброше</w:t>
      </w:r>
      <w:r w:rsidRPr="00722885">
        <w:rPr>
          <w:rFonts w:ascii="Times New Roman" w:hAnsi="Times New Roman"/>
          <w:color w:val="0070C0"/>
          <w:sz w:val="16"/>
          <w:szCs w:val="16"/>
        </w:rPr>
        <w:softHyphen/>
        <w:t>но 2 ФАБ-1000тга с 7000 м. Время взлета 19.15, время бомбометания 0.50, время посадки 6.00. Бомбы разорвались в центре западной части города, возник один пожар. В этом вылете в состав экипажа входили командир корабля майор Э.К. Пусэп, штурман майор А.П. Штепенко, второй летчик подпол</w:t>
      </w:r>
      <w:r w:rsidRPr="00722885">
        <w:rPr>
          <w:rFonts w:ascii="Times New Roman" w:hAnsi="Times New Roman"/>
          <w:color w:val="0070C0"/>
          <w:sz w:val="16"/>
          <w:szCs w:val="16"/>
        </w:rPr>
        <w:softHyphen/>
        <w:t>ковник Счетчиков, стрелок-бомбардир лейте</w:t>
      </w:r>
      <w:r w:rsidRPr="00722885">
        <w:rPr>
          <w:rFonts w:ascii="Times New Roman" w:hAnsi="Times New Roman"/>
          <w:color w:val="0070C0"/>
          <w:sz w:val="16"/>
          <w:szCs w:val="16"/>
        </w:rPr>
        <w:softHyphen/>
        <w:t>нант И.П. Гончаров, борттехник инженер- капитан С.Н. Дмитриев, помощник борттехника инженер-капитан Давыдов, радист стар</w:t>
      </w:r>
      <w:r w:rsidRPr="00722885">
        <w:rPr>
          <w:rFonts w:ascii="Times New Roman" w:hAnsi="Times New Roman"/>
          <w:color w:val="0070C0"/>
          <w:sz w:val="16"/>
          <w:szCs w:val="16"/>
        </w:rPr>
        <w:softHyphen/>
        <w:t>шина Бородай, воздушный стрелок централь</w:t>
      </w:r>
      <w:r w:rsidRPr="00722885">
        <w:rPr>
          <w:rFonts w:ascii="Times New Roman" w:hAnsi="Times New Roman"/>
          <w:color w:val="0070C0"/>
          <w:sz w:val="16"/>
          <w:szCs w:val="16"/>
        </w:rPr>
        <w:softHyphen/>
        <w:t>ной стрелковой установки старший сержант Д.М. Кожин, стрелок кормовой установки старший сержант Глобенко, стрелки шассий- ных установок старшие сержанты В.И. Смир</w:t>
      </w:r>
      <w:r w:rsidRPr="00722885">
        <w:rPr>
          <w:rFonts w:ascii="Times New Roman" w:hAnsi="Times New Roman"/>
          <w:color w:val="0070C0"/>
          <w:sz w:val="16"/>
          <w:szCs w:val="16"/>
        </w:rPr>
        <w:softHyphen/>
        <w:t>нов и П.В. Сальников. Состав экипажа остал</w:t>
      </w:r>
      <w:r w:rsidRPr="00722885">
        <w:rPr>
          <w:rFonts w:ascii="Times New Roman" w:hAnsi="Times New Roman"/>
          <w:color w:val="0070C0"/>
          <w:sz w:val="16"/>
          <w:szCs w:val="16"/>
        </w:rPr>
        <w:softHyphen/>
        <w:t>ся почти таким же, как при полете в Англию и США, за исключением второго пилота (под</w:t>
      </w:r>
      <w:r w:rsidRPr="00722885">
        <w:rPr>
          <w:rFonts w:ascii="Times New Roman" w:hAnsi="Times New Roman"/>
          <w:color w:val="0070C0"/>
          <w:sz w:val="16"/>
          <w:szCs w:val="16"/>
        </w:rPr>
        <w:softHyphen/>
        <w:t>полковник Счетчиков был заместителем командира 45 АД ДД и в этом полете был контролирующим командиром, в задачу кото</w:t>
      </w:r>
      <w:r w:rsidRPr="00722885">
        <w:rPr>
          <w:rFonts w:ascii="Times New Roman" w:hAnsi="Times New Roman"/>
          <w:color w:val="0070C0"/>
          <w:sz w:val="16"/>
          <w:szCs w:val="16"/>
        </w:rPr>
        <w:softHyphen/>
        <w:t xml:space="preserve">рого входил контроль за тем как отбомбились другие экипажи), помощника борттехника, радиста и стрелка кормовой </w:t>
      </w:r>
      <w:r w:rsidRPr="00722885">
        <w:rPr>
          <w:rFonts w:ascii="Times New Roman" w:hAnsi="Times New Roman"/>
          <w:color w:val="0070C0"/>
          <w:sz w:val="16"/>
          <w:szCs w:val="16"/>
        </w:rPr>
        <w:lastRenderedPageBreak/>
        <w:t>установки. Все остальные члены экипажа остались прежни</w:t>
      </w:r>
      <w:r w:rsidRPr="00722885">
        <w:rPr>
          <w:rFonts w:ascii="Times New Roman" w:hAnsi="Times New Roman"/>
          <w:color w:val="0070C0"/>
          <w:sz w:val="16"/>
          <w:szCs w:val="16"/>
        </w:rPr>
        <w:softHyphen/>
        <w:t>ми. Подполковник Счетчиков в своем отчете по этому вылету указал, что самолет майора Пусэпа, окрашенный снизу в черный цвет, над целью не был пойман лучами прожекторов, несмотря на то, что по нему дважды скольз</w:t>
      </w:r>
      <w:r w:rsidRPr="00722885">
        <w:rPr>
          <w:rFonts w:ascii="Times New Roman" w:hAnsi="Times New Roman"/>
          <w:color w:val="0070C0"/>
          <w:sz w:val="16"/>
          <w:szCs w:val="16"/>
        </w:rPr>
        <w:softHyphen/>
        <w:t>нул луч прожектора. Подполковник требовал ускорить окраску самолетов дивизии АДД в черный цвет.</w:t>
      </w:r>
    </w:p>
    <w:p w14:paraId="55FB7656"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9.09.42. Экипаж Пусэп, Штепенко. Цель - бомбардирование города Будапешт. Сброше</w:t>
      </w:r>
      <w:r w:rsidRPr="00722885">
        <w:rPr>
          <w:rFonts w:ascii="Times New Roman" w:hAnsi="Times New Roman"/>
          <w:color w:val="0070C0"/>
          <w:sz w:val="16"/>
          <w:szCs w:val="16"/>
        </w:rPr>
        <w:softHyphen/>
        <w:t>но 2 ФАБ-1000тга, 18 ЗАБ-1Э, 18 ЗАБ-2,5 с 7000 м. Время взлета 19.26, время бомбоме</w:t>
      </w:r>
      <w:r w:rsidRPr="00722885">
        <w:rPr>
          <w:rFonts w:ascii="Times New Roman" w:hAnsi="Times New Roman"/>
          <w:color w:val="0070C0"/>
          <w:sz w:val="16"/>
          <w:szCs w:val="16"/>
        </w:rPr>
        <w:softHyphen/>
        <w:t>тания 00.40, время посадки 6.01. Отмечено попадание бомб в западную и центральную часть города у набережной, возникло 2 боль</w:t>
      </w:r>
      <w:r w:rsidRPr="00722885">
        <w:rPr>
          <w:rFonts w:ascii="Times New Roman" w:hAnsi="Times New Roman"/>
          <w:color w:val="0070C0"/>
          <w:sz w:val="16"/>
          <w:szCs w:val="16"/>
        </w:rPr>
        <w:softHyphen/>
        <w:t>ших и 5 малых пожаров.</w:t>
      </w:r>
    </w:p>
    <w:p w14:paraId="2AF7A8B8"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13.09.42. Экипаж Пусэп, Егоров, Штепен</w:t>
      </w:r>
      <w:r w:rsidRPr="00722885">
        <w:rPr>
          <w:rFonts w:ascii="Times New Roman" w:hAnsi="Times New Roman"/>
          <w:color w:val="0070C0"/>
          <w:sz w:val="16"/>
          <w:szCs w:val="16"/>
        </w:rPr>
        <w:softHyphen/>
        <w:t>ко. Цель - бомбардирование города Буха</w:t>
      </w:r>
      <w:r w:rsidRPr="00722885">
        <w:rPr>
          <w:rFonts w:ascii="Times New Roman" w:hAnsi="Times New Roman"/>
          <w:color w:val="0070C0"/>
          <w:sz w:val="16"/>
          <w:szCs w:val="16"/>
        </w:rPr>
        <w:softHyphen/>
        <w:t xml:space="preserve">рест. Сброшено 2 ФАБ-1000тга, 30 ЗАБ-1Э, 10 ЗАБ-2,5, 1 САБ-100 с 6000 м. Время взлета </w:t>
      </w:r>
      <w:r w:rsidRPr="00722885">
        <w:rPr>
          <w:rStyle w:val="482"/>
          <w:rFonts w:ascii="Times New Roman" w:hAnsi="Times New Roman" w:cs="Times New Roman"/>
          <w:color w:val="0070C0"/>
          <w:sz w:val="16"/>
          <w:szCs w:val="16"/>
        </w:rPr>
        <w:t xml:space="preserve">18.50, </w:t>
      </w:r>
      <w:r w:rsidRPr="00722885">
        <w:rPr>
          <w:rFonts w:ascii="Times New Roman" w:hAnsi="Times New Roman"/>
          <w:color w:val="0070C0"/>
          <w:sz w:val="16"/>
          <w:szCs w:val="16"/>
        </w:rPr>
        <w:t>время бомбометания 23.57, время посадки 5.05. Разрывы бомб в юго-западной части города и в центре, возник один боль</w:t>
      </w:r>
      <w:r w:rsidRPr="00722885">
        <w:rPr>
          <w:rFonts w:ascii="Times New Roman" w:hAnsi="Times New Roman"/>
          <w:color w:val="0070C0"/>
          <w:sz w:val="16"/>
          <w:szCs w:val="16"/>
        </w:rPr>
        <w:softHyphen/>
        <w:t>шой пожар и два малых.</w:t>
      </w:r>
    </w:p>
    <w:p w14:paraId="7A106EC3"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17.09.42. Экипаж Пусэп, Штепенко. Цель - уничтожить матчасть и личный состав авиа</w:t>
      </w:r>
      <w:r w:rsidRPr="00722885">
        <w:rPr>
          <w:rFonts w:ascii="Times New Roman" w:hAnsi="Times New Roman"/>
          <w:color w:val="0070C0"/>
          <w:sz w:val="16"/>
          <w:szCs w:val="16"/>
        </w:rPr>
        <w:softHyphen/>
        <w:t xml:space="preserve">ции противника на аэродроме северо-восточной окраины ст. Тузов в 25 км от г. Калач. Сброшено 4 ФАБ-500, 2 РРАБ-2 (А0-Ю=84, ЗАБ-2,5=80), </w:t>
      </w:r>
      <w:r w:rsidRPr="00722885">
        <w:rPr>
          <w:rStyle w:val="482"/>
          <w:rFonts w:ascii="Times New Roman" w:hAnsi="Times New Roman" w:cs="Times New Roman"/>
          <w:color w:val="0070C0"/>
          <w:sz w:val="16"/>
          <w:szCs w:val="16"/>
        </w:rPr>
        <w:t xml:space="preserve">1 </w:t>
      </w:r>
      <w:r w:rsidRPr="00722885">
        <w:rPr>
          <w:rFonts w:ascii="Times New Roman" w:hAnsi="Times New Roman"/>
          <w:color w:val="0070C0"/>
          <w:sz w:val="16"/>
          <w:szCs w:val="16"/>
        </w:rPr>
        <w:t>САБ-100, 40 ЗАБ-1Э с 3600 м. Сброшено 100 тыс. листовок. Время взлета 17.28, время бомбометания 22.05-22.13- 22.18, время посадки 0.03. В течение 50 минут проискали цель, признаков аэродрома Тузов не обнаружено. Бомбардировали аэро</w:t>
      </w:r>
      <w:r w:rsidRPr="00722885">
        <w:rPr>
          <w:rFonts w:ascii="Times New Roman" w:hAnsi="Times New Roman"/>
          <w:color w:val="0070C0"/>
          <w:sz w:val="16"/>
          <w:szCs w:val="16"/>
        </w:rPr>
        <w:softHyphen/>
        <w:t>дром восточнее станицы Голубинский. Отмечено попадание двух ФАБ-500 между ст. Голубинской и Доном, две ФАБ-500 попали на южный берег реки Дон. Разрывами РРАБов перекрыта площадь между ст. Голубинский и Доном. При поиске цели аэродрома Тузов в период 21.40-22.05 сброшено 40 ЗАБ-1Э в районе Тузов, Осиновка, Зрянинский. В результате бомбометания возникло до 10 мелких пожаров красного цвета. Эти пожары наблюдались другими экипажами, прибыв</w:t>
      </w:r>
      <w:r w:rsidRPr="00722885">
        <w:rPr>
          <w:rFonts w:ascii="Times New Roman" w:hAnsi="Times New Roman"/>
          <w:color w:val="0070C0"/>
          <w:sz w:val="16"/>
          <w:szCs w:val="16"/>
        </w:rPr>
        <w:softHyphen/>
        <w:t>шими в этот район последними. Стрелки эки</w:t>
      </w:r>
      <w:r w:rsidRPr="00722885">
        <w:rPr>
          <w:rFonts w:ascii="Times New Roman" w:hAnsi="Times New Roman"/>
          <w:color w:val="0070C0"/>
          <w:sz w:val="16"/>
          <w:szCs w:val="16"/>
        </w:rPr>
        <w:softHyphen/>
        <w:t>пажа Пусэп вели огонь по прожекторам и зенитным точкам в районе ст. Голубинский. Израсходовано 80 снарядов пушки ШВАК. При ведении огня из пушек прожектора вре</w:t>
      </w:r>
      <w:r w:rsidRPr="00722885">
        <w:rPr>
          <w:rFonts w:ascii="Times New Roman" w:hAnsi="Times New Roman"/>
          <w:color w:val="0070C0"/>
          <w:sz w:val="16"/>
          <w:szCs w:val="16"/>
        </w:rPr>
        <w:softHyphen/>
        <w:t>менами работу прекращали.</w:t>
      </w:r>
    </w:p>
    <w:p w14:paraId="63761976"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19.09.42. Экипаж Пусэп, Штепенко. Цель - бомбардирование аэродрома Сталино. Сброшено 12 ФАБ-100,10 ЗАБ-100цк, 2 РРАБ- 2(А0-10=108, ЗАБ-1Э=40), 2 САБ-100 с 3700 м. Время взлета 17.45, время бомбометания 21.39-21.44-21-50 время посадки 1.45. Наблюдали разрывы бомб в восточной части аэродрома. РРАБами перекрыта западная часть аэродрома. В результате бомбометания на аэродроме возникло 2 пожара от первого захода и от 2 и 3 захода облако дыма.</w:t>
      </w:r>
    </w:p>
    <w:p w14:paraId="44BBAFFD"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20.09.42. Экипаж Пусэп, Штепенко. Цель - Уничтожение живой силы и техники в укреп</w:t>
      </w:r>
      <w:r w:rsidRPr="00722885">
        <w:rPr>
          <w:rFonts w:ascii="Times New Roman" w:hAnsi="Times New Roman"/>
          <w:color w:val="0070C0"/>
          <w:sz w:val="16"/>
          <w:szCs w:val="16"/>
        </w:rPr>
        <w:softHyphen/>
        <w:t>ленном узле в дер. Бородкин, разъезд Кон</w:t>
      </w:r>
      <w:r w:rsidRPr="00722885">
        <w:rPr>
          <w:rFonts w:ascii="Times New Roman" w:hAnsi="Times New Roman"/>
          <w:color w:val="0070C0"/>
          <w:sz w:val="16"/>
          <w:szCs w:val="16"/>
        </w:rPr>
        <w:softHyphen/>
        <w:t>ный, дер. Новая Надежда. Сброшено 2 ФАБ- 1000, 2 РРАБ-2 (А0-8=Ю0, ЗАБ-1Э=1Ю), 2 САБ-100 с 3500 м. Время взлета 23.18, время бомбометания 3.01, время посадки 6.59. Наблюдали разрывы бомб в северной части д. Новая Надежда. Пожаров не возникало.</w:t>
      </w:r>
    </w:p>
    <w:p w14:paraId="6F5B5ADE" w14:textId="77777777" w:rsidR="00F51760" w:rsidRPr="00722885" w:rsidRDefault="00F51760"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Это был последний вылет, в котором командиром корабля №42066 был Э.К. Пусэп. Он ушел на повышение, став командиром 890 АП ДД. Командиром бомбардировщика был назначен капитан Зеленский. На следующий день после этого полета корабль, привыкший к своему старому командиру, «отказался» лететь на боевое задание. 21.09.42. Зелен</w:t>
      </w:r>
      <w:r w:rsidRPr="00722885">
        <w:rPr>
          <w:rFonts w:ascii="Times New Roman" w:hAnsi="Times New Roman"/>
          <w:color w:val="0070C0"/>
          <w:sz w:val="16"/>
          <w:szCs w:val="16"/>
        </w:rPr>
        <w:softHyphen/>
        <w:t>ский, Штепенко. Цель - уничтожение живой силы и техники в районе разъезд Конный, совхоз Опытное поле, разъезд Деревянный вал. Время взлета 23.38, время посадки 23.46. Через 10 минут полета упало давление бензина на третьем моторе и наддув на чет</w:t>
      </w:r>
      <w:r w:rsidRPr="00722885">
        <w:rPr>
          <w:rFonts w:ascii="Times New Roman" w:hAnsi="Times New Roman"/>
          <w:color w:val="0070C0"/>
          <w:sz w:val="16"/>
          <w:szCs w:val="16"/>
        </w:rPr>
        <w:softHyphen/>
        <w:t>вертом моторе, самолет вернулся с маршрута и произвел посадку с бомбами на своем аэро</w:t>
      </w:r>
      <w:r w:rsidRPr="00722885">
        <w:rPr>
          <w:rFonts w:ascii="Times New Roman" w:hAnsi="Times New Roman"/>
          <w:color w:val="0070C0"/>
          <w:sz w:val="16"/>
          <w:szCs w:val="16"/>
        </w:rPr>
        <w:softHyphen/>
        <w:t>дроме благополучно.</w:t>
      </w:r>
    </w:p>
    <w:p w14:paraId="1EB9EE50"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ночь с 29 на 30 сентября полк в течение ночи два раза бомбил железнодорожный узел Смоленск центральная, №42066 также совершил два боевых вылета в течение этой ночи.</w:t>
      </w:r>
    </w:p>
    <w:p w14:paraId="5DF829AF"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29.09.42. Экипаж Зеленский, Штепенко. Цель - бомбардирование железнодорожного узла Смоленск Центральная. Сброшено 2 ФАБ-500,12 ФАБ-100тга, 12 ЗАБ-100цк с 6000 м. Время взлета 18.54, время бомбометания 20.30, время посадки 22.34. Наблюдали раз</w:t>
      </w:r>
      <w:r w:rsidRPr="00722885">
        <w:rPr>
          <w:rFonts w:ascii="Times New Roman" w:hAnsi="Times New Roman"/>
          <w:color w:val="0070C0"/>
          <w:sz w:val="16"/>
          <w:szCs w:val="16"/>
        </w:rPr>
        <w:softHyphen/>
        <w:t>рывы бомб среди путей восточной части железнодорожного узла Смоленск Централь</w:t>
      </w:r>
      <w:r w:rsidRPr="00722885">
        <w:rPr>
          <w:rFonts w:ascii="Times New Roman" w:hAnsi="Times New Roman"/>
          <w:color w:val="0070C0"/>
          <w:sz w:val="16"/>
          <w:szCs w:val="16"/>
        </w:rPr>
        <w:softHyphen/>
        <w:t>ная. В результате бомбометания возникло 5 пожаров, из них три большой силы.</w:t>
      </w:r>
    </w:p>
    <w:p w14:paraId="14640860"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30.09.42. Экипаж Зеленский, Штепенко. Цель - бомбардирование железнодорожного узла Смоленск Центральная. Сброшено 2 ФАБ-500,12 ФАБ-100тга, 2 ЗАБ-100цк, 2 САБ- 100 с 6300 м. Время взлета 1.36, время бом</w:t>
      </w:r>
      <w:r w:rsidRPr="00722885">
        <w:rPr>
          <w:rFonts w:ascii="Times New Roman" w:hAnsi="Times New Roman"/>
          <w:color w:val="0070C0"/>
          <w:sz w:val="16"/>
          <w:szCs w:val="16"/>
        </w:rPr>
        <w:softHyphen/>
        <w:t>бометания 3.08-3.15, время посадки 5.09.</w:t>
      </w:r>
    </w:p>
    <w:p w14:paraId="5CA210A2"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Отмечено попадание бомб в центральную часть ст. Смоленск и по городу. В результате бомбометания возникло 5 средних пожаров.</w:t>
      </w:r>
    </w:p>
    <w:p w14:paraId="5064F4D0"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течение следующей ночи с 30 сентября на 1 октября полк два раза бомбил железно</w:t>
      </w:r>
      <w:r w:rsidRPr="00722885">
        <w:rPr>
          <w:rFonts w:ascii="Times New Roman" w:hAnsi="Times New Roman"/>
          <w:color w:val="0070C0"/>
          <w:sz w:val="16"/>
          <w:szCs w:val="16"/>
        </w:rPr>
        <w:softHyphen/>
        <w:t>дорожный узел Смоленск и железнодорож</w:t>
      </w:r>
      <w:r w:rsidRPr="00722885">
        <w:rPr>
          <w:rFonts w:ascii="Times New Roman" w:hAnsi="Times New Roman"/>
          <w:color w:val="0070C0"/>
          <w:sz w:val="16"/>
          <w:szCs w:val="16"/>
        </w:rPr>
        <w:softHyphen/>
        <w:t>ный узел Рославль, №42066 участвовал толь</w:t>
      </w:r>
      <w:r w:rsidRPr="00722885">
        <w:rPr>
          <w:rFonts w:ascii="Times New Roman" w:hAnsi="Times New Roman"/>
          <w:color w:val="0070C0"/>
          <w:sz w:val="16"/>
          <w:szCs w:val="16"/>
        </w:rPr>
        <w:softHyphen/>
        <w:t>ко в одном вылете - на Рославль. В этом вылете экипаж выполнял роль осветителя цели, сбросив с 4500 м 16 ФАБ-ЮОтга, 16 ФАБ-100, 10 САБ-100. Время взлета 1.29, время бомбометания 3.10-3.42, время посад</w:t>
      </w:r>
      <w:r w:rsidRPr="00722885">
        <w:rPr>
          <w:rFonts w:ascii="Times New Roman" w:hAnsi="Times New Roman"/>
          <w:color w:val="0070C0"/>
          <w:sz w:val="16"/>
          <w:szCs w:val="16"/>
        </w:rPr>
        <w:softHyphen/>
        <w:t>ки 5.12. Наблюдали разрывы бомб в городе и за чертой города. В результате бомбометания возник один большой и несколько малых оча</w:t>
      </w:r>
      <w:r w:rsidRPr="00722885">
        <w:rPr>
          <w:rFonts w:ascii="Times New Roman" w:hAnsi="Times New Roman"/>
          <w:color w:val="0070C0"/>
          <w:sz w:val="16"/>
          <w:szCs w:val="16"/>
        </w:rPr>
        <w:softHyphen/>
        <w:t>гов пожаров.</w:t>
      </w:r>
    </w:p>
    <w:p w14:paraId="4C10A0DC"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Вечером ТБ-7 №42066 и его экипаж уча</w:t>
      </w:r>
      <w:r w:rsidRPr="00722885">
        <w:rPr>
          <w:rFonts w:ascii="Times New Roman" w:hAnsi="Times New Roman"/>
          <w:color w:val="0070C0"/>
          <w:sz w:val="16"/>
          <w:szCs w:val="16"/>
        </w:rPr>
        <w:softHyphen/>
        <w:t xml:space="preserve">ствовали в новом вылете. 1.10.42. Экипаж Зеленский, Штепенко. Цель </w:t>
      </w:r>
      <w:r w:rsidRPr="00722885">
        <w:rPr>
          <w:rStyle w:val="491"/>
          <w:rFonts w:ascii="Times New Roman" w:hAnsi="Times New Roman" w:cs="Times New Roman"/>
          <w:color w:val="0070C0"/>
          <w:sz w:val="16"/>
          <w:szCs w:val="16"/>
        </w:rPr>
        <w:t xml:space="preserve">- </w:t>
      </w:r>
      <w:r w:rsidRPr="00722885">
        <w:rPr>
          <w:rFonts w:ascii="Times New Roman" w:hAnsi="Times New Roman"/>
          <w:color w:val="0070C0"/>
          <w:sz w:val="16"/>
          <w:szCs w:val="16"/>
        </w:rPr>
        <w:t>бомбардирова</w:t>
      </w:r>
      <w:r w:rsidRPr="00722885">
        <w:rPr>
          <w:rFonts w:ascii="Times New Roman" w:hAnsi="Times New Roman"/>
          <w:color w:val="0070C0"/>
          <w:sz w:val="16"/>
          <w:szCs w:val="16"/>
        </w:rPr>
        <w:softHyphen/>
        <w:t>ние железнодорожного узла Смоленск Цент</w:t>
      </w:r>
      <w:r w:rsidRPr="00722885">
        <w:rPr>
          <w:rFonts w:ascii="Times New Roman" w:hAnsi="Times New Roman"/>
          <w:color w:val="0070C0"/>
          <w:sz w:val="16"/>
          <w:szCs w:val="16"/>
        </w:rPr>
        <w:softHyphen/>
        <w:t>ральная. Сброшено 4 ФАБ-250, 9 ФАБ-100, 9 ЗАБ-100цк, 6 САБ-100, 6 САБ-50 с 5500 м. Время взлета 23.50, время бомбометания 1.30-1.45-1.52, время посадки 3.37. Наблю</w:t>
      </w:r>
      <w:r w:rsidRPr="00722885">
        <w:rPr>
          <w:rFonts w:ascii="Times New Roman" w:hAnsi="Times New Roman"/>
          <w:color w:val="0070C0"/>
          <w:sz w:val="16"/>
          <w:szCs w:val="16"/>
        </w:rPr>
        <w:softHyphen/>
        <w:t>дали разрывы бомб в центральной части железнодорожного узла. В результате бом</w:t>
      </w:r>
      <w:r w:rsidRPr="00722885">
        <w:rPr>
          <w:rFonts w:ascii="Times New Roman" w:hAnsi="Times New Roman"/>
          <w:color w:val="0070C0"/>
          <w:sz w:val="16"/>
          <w:szCs w:val="16"/>
        </w:rPr>
        <w:softHyphen/>
        <w:t>бометания возникло 4 пожара, один из них сопровождался взрывами. В этом вылете 42066 был также самолетом-осветителем и поджигателем цели.</w:t>
      </w:r>
    </w:p>
    <w:p w14:paraId="34F7F4D5"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4.10.42. Экипаж Зеленский, Штепенко. Цель - бомбардирование железнодорожно</w:t>
      </w:r>
      <w:r w:rsidRPr="00722885">
        <w:rPr>
          <w:rFonts w:ascii="Times New Roman" w:hAnsi="Times New Roman"/>
          <w:color w:val="0070C0"/>
          <w:sz w:val="16"/>
          <w:szCs w:val="16"/>
        </w:rPr>
        <w:softHyphen/>
        <w:t>го узла Орша. Сброшено 2 ФАБ-1000, 8 ФАБ- 250тга, 2 САБ-100 с 5200 м. Время взлета 1.23, время бомбометания 3.42-3.51, время посадки 5.53. Разрывы бомб на железнодо</w:t>
      </w:r>
      <w:r w:rsidRPr="00722885">
        <w:rPr>
          <w:rFonts w:ascii="Times New Roman" w:hAnsi="Times New Roman"/>
          <w:color w:val="0070C0"/>
          <w:sz w:val="16"/>
          <w:szCs w:val="16"/>
        </w:rPr>
        <w:softHyphen/>
        <w:t>рожном пути ст. пассажирская в районе вок</w:t>
      </w:r>
      <w:r w:rsidRPr="00722885">
        <w:rPr>
          <w:rFonts w:ascii="Times New Roman" w:hAnsi="Times New Roman"/>
          <w:color w:val="0070C0"/>
          <w:sz w:val="16"/>
          <w:szCs w:val="16"/>
        </w:rPr>
        <w:softHyphen/>
        <w:t>зала. В результате бомбометания возникло 4 пожара.</w:t>
      </w:r>
    </w:p>
    <w:p w14:paraId="27787236" w14:textId="77777777" w:rsidR="00F51760" w:rsidRPr="00722885" w:rsidRDefault="00F5176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6.10.42.Экипаж Зеленский, Штепенко. Цель - бомбардирование железнодорожного узла Полоцк. Сброшено 8 ФАБ-250тга, 2 ФАБ- 1000, 1 САБ-100 с 2600 м. Время взлета 17.32, время бомбометания 22.16-22.25, время посадки 23.42. Из-за плохих метеоусловий основной цели не нашли и бомбардировали запасную цель аэродром Дугино. Наблюдали разрывы бомб. Результатов бомбометания не наблюдали из-за плохих метеоусловий.</w:t>
      </w:r>
    </w:p>
    <w:p w14:paraId="52C24B7F" w14:textId="77777777" w:rsidR="00F51760" w:rsidRPr="00722885" w:rsidRDefault="00F51760"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на следующий день случилось несчастье. 7.10.42 г. все тот же экипаж под командованием Зеленского и Штепенко вылетел на бомбардировку железнодорож</w:t>
      </w:r>
      <w:r w:rsidRPr="00722885">
        <w:rPr>
          <w:rFonts w:ascii="Times New Roman" w:hAnsi="Times New Roman"/>
          <w:color w:val="0070C0"/>
          <w:sz w:val="16"/>
          <w:szCs w:val="16"/>
        </w:rPr>
        <w:softHyphen/>
        <w:t>ного узла Полоцк. После взлета на высоте около 50 м при наборе высоты отказал вто</w:t>
      </w:r>
      <w:r w:rsidRPr="00722885">
        <w:rPr>
          <w:rFonts w:ascii="Times New Roman" w:hAnsi="Times New Roman"/>
          <w:color w:val="0070C0"/>
          <w:sz w:val="16"/>
          <w:szCs w:val="16"/>
        </w:rPr>
        <w:softHyphen/>
        <w:t>рой мотор и самолет стал терять высоту. Бомбы 16 ФАБ-100тга и 18 ЗАБ-100цк сбро</w:t>
      </w:r>
      <w:r w:rsidRPr="00722885">
        <w:rPr>
          <w:rFonts w:ascii="Times New Roman" w:hAnsi="Times New Roman"/>
          <w:color w:val="0070C0"/>
          <w:sz w:val="16"/>
          <w:szCs w:val="16"/>
        </w:rPr>
        <w:softHyphen/>
        <w:t>шены на пассив в р. Москва, часть бомб взо</w:t>
      </w:r>
      <w:r w:rsidRPr="00722885">
        <w:rPr>
          <w:rFonts w:ascii="Times New Roman" w:hAnsi="Times New Roman"/>
          <w:color w:val="0070C0"/>
          <w:sz w:val="16"/>
          <w:szCs w:val="16"/>
        </w:rPr>
        <w:softHyphen/>
        <w:t>рвалась, поразив осколками бензобаки левой плоскости, в результате чего на само</w:t>
      </w:r>
      <w:r w:rsidRPr="00722885">
        <w:rPr>
          <w:rFonts w:ascii="Times New Roman" w:hAnsi="Times New Roman"/>
          <w:color w:val="0070C0"/>
          <w:sz w:val="16"/>
          <w:szCs w:val="16"/>
        </w:rPr>
        <w:softHyphen/>
        <w:t>лете в воздухе возник пожар. Горящий самолет с поврежденными рулями управле</w:t>
      </w:r>
      <w:r w:rsidRPr="00722885">
        <w:rPr>
          <w:rFonts w:ascii="Times New Roman" w:hAnsi="Times New Roman"/>
          <w:color w:val="0070C0"/>
          <w:sz w:val="16"/>
          <w:szCs w:val="16"/>
        </w:rPr>
        <w:softHyphen/>
        <w:t>ния был посажен на луг в 2 км южнее аэр. Быково. Из состава экипажа получили ожоги 1-й и 2-й степени к-р корабля капитан Зеленский, штурман майор Штепенко, лет</w:t>
      </w:r>
      <w:r w:rsidRPr="00722885">
        <w:rPr>
          <w:rFonts w:ascii="Times New Roman" w:hAnsi="Times New Roman"/>
          <w:color w:val="0070C0"/>
          <w:sz w:val="16"/>
          <w:szCs w:val="16"/>
        </w:rPr>
        <w:softHyphen/>
        <w:t>чик старший лейтенант Хорошилов, борттехник инж. капитан Дмитриев. На земле само</w:t>
      </w:r>
      <w:r w:rsidRPr="00722885">
        <w:rPr>
          <w:rFonts w:ascii="Times New Roman" w:hAnsi="Times New Roman"/>
          <w:color w:val="0070C0"/>
          <w:sz w:val="16"/>
          <w:szCs w:val="16"/>
        </w:rPr>
        <w:softHyphen/>
        <w:t>лет полностью сгорел и восстановлению не подлежал (19936).</w:t>
      </w:r>
    </w:p>
    <w:p w14:paraId="02D724BA" w14:textId="77777777" w:rsidR="00F51760" w:rsidRPr="00722885" w:rsidRDefault="00F51760" w:rsidP="00722885">
      <w:pPr>
        <w:shd w:val="clear" w:color="auto" w:fill="FFFFFF"/>
        <w:spacing w:after="0" w:line="240" w:lineRule="auto"/>
        <w:jc w:val="both"/>
        <w:rPr>
          <w:rFonts w:ascii="Times New Roman" w:hAnsi="Times New Roman"/>
          <w:color w:val="0070C0"/>
          <w:sz w:val="16"/>
          <w:szCs w:val="16"/>
        </w:rPr>
      </w:pPr>
    </w:p>
    <w:p w14:paraId="7C016908"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середине августа 1942 г. обстановка под Сталинградом стала критической — немцы при интенсивной поддержке люфтваффе начали штурм города. Командование фронта просило укрепить авиацию наиболее подготовленными полками на лучшей матчасти. Штаб ВВС КА сроч</w:t>
      </w:r>
      <w:r w:rsidRPr="00722885">
        <w:rPr>
          <w:rFonts w:ascii="Times New Roman" w:cs="Times New Roman"/>
          <w:color w:val="000000" w:themeColor="text1"/>
          <w:spacing w:val="0"/>
        </w:rPr>
        <w:softHyphen/>
        <w:t>но готовил к переброске под Сталинград всех, кого имел в резерве.</w:t>
      </w:r>
    </w:p>
    <w:p w14:paraId="5D274945"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Одним из таких полков являлся 434 иап майора И.И. Клещева, его комплектовал и оснащал лично начальник Инспекции ВВС КА полковник В.И. Сталин. По его поруче</w:t>
      </w:r>
      <w:r w:rsidRPr="00722885">
        <w:rPr>
          <w:rFonts w:ascii="Times New Roman" w:cs="Times New Roman"/>
          <w:color w:val="000000" w:themeColor="text1"/>
          <w:spacing w:val="0"/>
        </w:rPr>
        <w:softHyphen/>
        <w:t>нию бригинженер П.Я. Федрови в начале августа докладывал:</w:t>
      </w:r>
    </w:p>
    <w:p w14:paraId="4732D586"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«Облётанный мною в 434 полку на Люберецком аэродроме серийный самолет ЛАГ-5 М-82 является более устойчивым и улучшенным по технике пилотирования в сравнении с самолётом ЛАГГ-3 М-105 и имеет более высокие скорости.</w:t>
      </w:r>
    </w:p>
    <w:p w14:paraId="04366062"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Осмотром и облетом самолёта ЛАГ-5 установлено, что наряду с улучшением само</w:t>
      </w:r>
      <w:r w:rsidRPr="00722885">
        <w:rPr>
          <w:rFonts w:ascii="Times New Roman" w:cs="Times New Roman"/>
          <w:color w:val="000000" w:themeColor="text1"/>
          <w:spacing w:val="0"/>
        </w:rPr>
        <w:softHyphen/>
        <w:t>лёт имеет крупные конструктивные и производственные дефекты, которые характери</w:t>
      </w:r>
      <w:r w:rsidRPr="00722885">
        <w:rPr>
          <w:rFonts w:ascii="Times New Roman" w:cs="Times New Roman"/>
          <w:color w:val="000000" w:themeColor="text1"/>
          <w:spacing w:val="0"/>
        </w:rPr>
        <w:softHyphen/>
        <w:t>зуют самолёт ЛАГ-5 М-82, как недоведенный до степени нормальной эксплуатации.</w:t>
      </w:r>
    </w:p>
    <w:p w14:paraId="351C35E4"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Качество производственного выполнения самолёта, подгонка и отладка отдельных аг</w:t>
      </w:r>
      <w:r w:rsidRPr="00722885">
        <w:rPr>
          <w:rFonts w:ascii="Times New Roman" w:cs="Times New Roman"/>
          <w:color w:val="000000" w:themeColor="text1"/>
          <w:spacing w:val="0"/>
        </w:rPr>
        <w:softHyphen/>
        <w:t>регатов стоят не на должной высоте и затрудняют эксплуатацию самолёта, тем самым понижая его боеспособность. Совершенно неудовлетворительный монтаж рычагов уп</w:t>
      </w:r>
      <w:r w:rsidRPr="00722885">
        <w:rPr>
          <w:rFonts w:ascii="Times New Roman" w:cs="Times New Roman"/>
          <w:color w:val="000000" w:themeColor="text1"/>
          <w:spacing w:val="0"/>
        </w:rPr>
        <w:softHyphen/>
        <w:t>равления мотором, шасси, закрылков, юбками капота мотора, триммером руля высо</w:t>
      </w:r>
      <w:r w:rsidRPr="00722885">
        <w:rPr>
          <w:rFonts w:ascii="Times New Roman" w:cs="Times New Roman"/>
          <w:color w:val="000000" w:themeColor="text1"/>
          <w:spacing w:val="0"/>
        </w:rPr>
        <w:softHyphen/>
        <w:t>ты, надвижного фонаря, которые обременяют лётчика, требуют от него повышенного внимания, а кнопки механизма выпуска шасси и закрылков принуждают лётчика брать с собой в полёт инструмент (плоскогубцы или рекомендованную заводом отмычку) для устранения заедания в гнездах кнопок управления этими агрегатами в воздухе.</w:t>
      </w:r>
    </w:p>
    <w:p w14:paraId="164C3EB4"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Сектора управления мотором на взлёте и при скорости выше средней произвольно от</w:t>
      </w:r>
      <w:r w:rsidRPr="00722885">
        <w:rPr>
          <w:rFonts w:ascii="Times New Roman" w:cs="Times New Roman"/>
          <w:color w:val="000000" w:themeColor="text1"/>
          <w:spacing w:val="0"/>
        </w:rPr>
        <w:softHyphen/>
        <w:t>ходят назад, а заслонка карбюратора прикрывается независимо от желания лётчика.</w:t>
      </w:r>
    </w:p>
    <w:p w14:paraId="060E2ED3"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Закрылки работают ненадежно, а посадка без закрылков является более тяжёлой и нежелательной для самолёта.</w:t>
      </w:r>
    </w:p>
    <w:p w14:paraId="6927074D"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Мотор на малом газе, во время планирования, работает неустойчиво, на посадке и пробеге, независимо от лётчика, мотор имеет повышенные обороты.</w:t>
      </w:r>
    </w:p>
    <w:p w14:paraId="19500D16"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Низкое качество производственного выполнения самолёта подтверждается тем, что за короткий (2-3 дня) период,эксплуатации у самолёта разболтался фонарь, остекление и потрескались капоты, хотя полётов на больших скоростях ещё не было, а также появля</w:t>
      </w:r>
      <w:r w:rsidRPr="00722885">
        <w:rPr>
          <w:rFonts w:ascii="Times New Roman" w:cs="Times New Roman"/>
          <w:color w:val="000000" w:themeColor="text1"/>
          <w:spacing w:val="0"/>
        </w:rPr>
        <w:softHyphen/>
        <w:t>ется ряд мелких дефектов, из-за которых прекращаются полёты.</w:t>
      </w:r>
    </w:p>
    <w:p w14:paraId="2F12BEFD"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лётном отношении самолёт ЛАГ-5, хотя и имеет по сравнению с ЛАГГ-3 улучшения, но боевые свойства его, маневренность и управляемость находятся не выше уровня, чем у самолёта МИГ.</w:t>
      </w:r>
    </w:p>
    <w:p w14:paraId="7D35BA03"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скоростям и скороподъёмности ЛАГ-5 М-82 имеет небольшое преимущество пе</w:t>
      </w:r>
      <w:r w:rsidRPr="00722885">
        <w:rPr>
          <w:rFonts w:ascii="Times New Roman" w:cs="Times New Roman"/>
          <w:color w:val="000000" w:themeColor="text1"/>
          <w:spacing w:val="0"/>
        </w:rPr>
        <w:softHyphen/>
        <w:t>ред ЯК-7 М-105Ф, но горизонтальная и вертикальная маневренность значительно ниже последнего. Следует отметить, что снять максимальную скорость в маневренном полёте весьма затруднительно, так как для этого следует прикрыть юбки капота мотора, управ</w:t>
      </w:r>
      <w:r w:rsidRPr="00722885">
        <w:rPr>
          <w:rFonts w:ascii="Times New Roman" w:cs="Times New Roman"/>
          <w:color w:val="000000" w:themeColor="text1"/>
          <w:spacing w:val="0"/>
        </w:rPr>
        <w:softHyphen/>
        <w:t>ление которыми очень тяжёлое.</w:t>
      </w:r>
    </w:p>
    <w:p w14:paraId="112DF795"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Во время полёта с полностью закрытой юбкой капота мотора и заслонкой маслорадиатора, горизонтальная скорость у земли по прибору не превышает 460-465 км/ч. Набор высоты на боевом развороте с максимально-горизонтальной до эволютивной (250 км/ч) скоростей достигает 800 метров. Время виража — 23-24 сек, а восьмёрки 52-54 сек.</w:t>
      </w:r>
    </w:p>
    <w:p w14:paraId="2B7FD796"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Предкрылки работают удовлетворительно, хотя на парашютировании и открываются не одновременно: правый на скорости 220 км/ч, а левый на 200 км/ч.</w:t>
      </w:r>
    </w:p>
    <w:p w14:paraId="627E61C4"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lastRenderedPageBreak/>
        <w:t>Скорость на парашютировании с прикрытым мотором доводилась до 170 км/ч, и при этом срыва в штопор или сваливания на крыло не наблюдалась (тряска мотора на ма</w:t>
      </w:r>
      <w:r w:rsidRPr="00722885">
        <w:rPr>
          <w:rFonts w:ascii="Times New Roman" w:cs="Times New Roman"/>
          <w:color w:val="000000" w:themeColor="text1"/>
          <w:spacing w:val="0"/>
        </w:rPr>
        <w:softHyphen/>
        <w:t>лом газе не позволяла уменьшить скорость парашютирования до срыва).</w:t>
      </w:r>
    </w:p>
    <w:p w14:paraId="257998F6"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Самолёт на планировании при открытых закрылках и при закрытых ведет себя нор</w:t>
      </w:r>
      <w:r w:rsidRPr="00722885">
        <w:rPr>
          <w:rFonts w:ascii="Times New Roman" w:cs="Times New Roman"/>
          <w:color w:val="000000" w:themeColor="text1"/>
          <w:spacing w:val="0"/>
        </w:rPr>
        <w:softHyphen/>
        <w:t>мально. Открытие закрылков вызывает пикирующий момент (самолёт опускает нос и висит на ручке). Приземление и посадка самолёта не сложны, особенностей не име</w:t>
      </w:r>
      <w:r w:rsidRPr="00722885">
        <w:rPr>
          <w:rFonts w:ascii="Times New Roman" w:cs="Times New Roman"/>
          <w:color w:val="000000" w:themeColor="text1"/>
          <w:spacing w:val="0"/>
        </w:rPr>
        <w:softHyphen/>
        <w:t>ют, а пробег при торможении колес относительно небольшой.</w:t>
      </w:r>
    </w:p>
    <w:p w14:paraId="44EDD967"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Заключение: Самолёт ЛАГ-5 М-82 по сравнению с самолётом ЛАГГ-3 М-105 имеет более лучшие лётно-тактические данные.</w:t>
      </w:r>
    </w:p>
    <w:p w14:paraId="73BA1B8F"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Винтомоторная группа, механизмы управления шасси и закрылками до условий нор</w:t>
      </w:r>
      <w:r w:rsidRPr="00722885">
        <w:rPr>
          <w:rFonts w:ascii="Times New Roman" w:cs="Times New Roman"/>
          <w:color w:val="000000" w:themeColor="text1"/>
          <w:spacing w:val="0"/>
        </w:rPr>
        <w:softHyphen/>
        <w:t>мальной эксплуатации не доведены. Самолёт имеет много производственных и конст</w:t>
      </w:r>
      <w:r w:rsidRPr="00722885">
        <w:rPr>
          <w:rFonts w:ascii="Times New Roman" w:cs="Times New Roman"/>
          <w:color w:val="000000" w:themeColor="text1"/>
          <w:spacing w:val="0"/>
        </w:rPr>
        <w:softHyphen/>
        <w:t>руктивных дефектов, требующих немедленного устранения.</w:t>
      </w:r>
    </w:p>
    <w:p w14:paraId="45C0204E"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Самолёт ЛАГ-5 М-82 в сравнении с самолётом ЯК-7 М-105Ф имеет почти одинако</w:t>
      </w:r>
      <w:r w:rsidRPr="00722885">
        <w:rPr>
          <w:rFonts w:ascii="Times New Roman" w:cs="Times New Roman"/>
          <w:color w:val="000000" w:themeColor="text1"/>
          <w:spacing w:val="0"/>
        </w:rPr>
        <w:softHyphen/>
        <w:t>вые скорости, но значительно уступает последнему в вертикальной и горизонтальной маневренности. Управляемость самолёта ЯК-7 М-105Ф значительно лучше.</w:t>
      </w:r>
    </w:p>
    <w:p w14:paraId="76A424C7"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Самолёт ЛАГ-5 для освоения лётным составом требует значительной тренировки.</w:t>
      </w:r>
    </w:p>
    <w:p w14:paraId="1223DB56"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Лётчики, летавшие на самолётах ЛАГГ-3, должны быстрее освоить самолёт ЛАГ-5 М-82 и дать ему лучшую оценку, чем лётчики, летающие на других истребителях, ко</w:t>
      </w:r>
      <w:r w:rsidRPr="00722885">
        <w:rPr>
          <w:rFonts w:ascii="Times New Roman" w:cs="Times New Roman"/>
          <w:color w:val="000000" w:themeColor="text1"/>
          <w:spacing w:val="0"/>
        </w:rPr>
        <w:softHyphen/>
        <w:t>торые отрицательно отзовутся об этом самолёте».</w:t>
      </w:r>
    </w:p>
    <w:p w14:paraId="04A21B3B"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Такая «рекомендация» сделала свое дело, и элитный 434-й иап перед отправкой под Сталинград вооружили самолётами «Як» (15813).</w:t>
      </w:r>
    </w:p>
    <w:p w14:paraId="59FB679F" w14:textId="77777777" w:rsidR="00DF0DDA" w:rsidRPr="00722885" w:rsidRDefault="00DF0DDA" w:rsidP="00722885">
      <w:pPr>
        <w:pStyle w:val="27"/>
        <w:shd w:val="clear" w:color="auto" w:fill="auto"/>
        <w:spacing w:after="0" w:line="240" w:lineRule="auto"/>
        <w:ind w:firstLine="0"/>
        <w:rPr>
          <w:rFonts w:ascii="Times New Roman" w:cs="Times New Roman"/>
          <w:color w:val="000000" w:themeColor="text1"/>
          <w:spacing w:val="0"/>
        </w:rPr>
      </w:pPr>
    </w:p>
    <w:p w14:paraId="1CC319A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середины августа 1942 «война с нефтью», начатая Люфтваффе, стала давать первые результаты. Первыми нехватку топлива ощутили сами речники. В Саратове и Куйбышеве, а затем и в других городах Верхнего Поволжья мазут стали выдавать только судам, выполнявшим воинские и санитарные перевозки. Остальные вынуждены были простаивать в портах. Угля также не хватало. В связи с этим Наркомат речного флота принял решение о переводе значительной части волжского флота на дровяное топливо. Однако осуществить это мероприятие оказалось непросто. Систематическую заготовку дров проводить было некому, посему матросам пришлось самим валить около пристаней деревья и наспех загружать сырое «топливо» на борт. Естественно, значительно снизились скоростные характеристики кораблей. А немецкие самолеты продолжали минировать Нижнюю Волгу. В ночь на 12 августа «Хейнкели» забросали минами участок в 18 км от Верхне-Шишкинского переката до Черного Яра. Несмотря на то что почти все места падения мин были зафиксированы наблюдательными постами, движение судов резко замедлилось. Длинным караванам из пароходов, буксиров, понтонов и барж приходилось буквально лавировать между импровизированными ограждениями и мелями. Матросы проявляли чудеса ловкости, но один пароход все же подорвался и погиб со всей командой. 14 августа в Ахтубе, недалеко от Сталинграда, была потоплена баржа с десятью тысячами автоматов для фронта. Подвергаясь постоянным ударам авиации, многочисленные переправы через Волгу работали все более напряженно. Судов и буксиров не хватало, а грузы все прибывали, скот огромными стадами толпился вдоль берега, люди ночевали прямо на земле. Наркомречфлот направил в Южное Поволжье подкрепления из 20 буксиров, 10 пассажирских катеров и 35 барже Оки, Камы и Верхней Волги. Были организованы дополнительные переправы в Черном Яре, Соленом Займище и Никольском. Несмотря на регулярное траление фарватера, суда продолжали подрываться на минах. Для усиления наблюдения за рекой на участке от Камышина до Астрахани были созданы уже свыше 400 наблюдательных постов, состоявших из местных жителей и моряков Волжской военной флотилии. Было организовано размагничивание корпусов кораблей. Однако в силу общей ухудшающейся ситуации все эти меры предпринимались в спешке и зачастую хаотично. Выставляемые бакенщиками заграждения сносились течением, светомаскировка привела к резкому увеличению аварийности. Пароходы и баржи то и дело садились на мели, врезались в берег, сталкивались друг с другом. Все это значительно снизило интенсивность судоходства. В то же время немецкие самолеты все чаще появлялись над Волгой, как в ночное, так и в дневное время. Атакам подвергались даже небольшие лодки. Так, на рассвете 16 августа бакенщики И. Михайлов и Л. Харьков, увидев, как в фарватер на парашютах опустились мины, сели в лодку и погребли к месту падения для того, чтобы установить ограждение. Однако вскоре бомбардировщики вернулись и на бреющем полете обстреляли их из пулеметов. При этом Михайлов получил ранение, а днище их лодки было прострелено. Тем не менее речникам удалось, одновременно вычерпывая воду, наспех установить временное ограждение и уже потом вернуться на берег. Бакенщик НВРП И. Игольников вспоминал:  «Ночью я услышал гул вражеского самолета и разглядел, как на парашютах упали в судовой ход две мины. Приметив место падения, мы с женой выехали на лодке, чтобы поставить минное ограждение. Но только успели это сделать, как прилетел второй самолет и тоже сбросил две мины. Занималась заря, за вторым минным ограждением съездить времени уже не было, а сверху шли караваны. Причалив лодку к минному ограждению, я начал махать красным флажком, капитан заметил мой сигнал и остановился. Потом мы этот караван провели по другому ходу». 18 августа теплоход «10 лет Октября» следовал по Каспийскому морю в Астрахань, имея на буксире две баржи с бензином. В районе острова Искусственный появились три немецких самолета. Матросы открыли огонь из скорострельной зенитной пушки, в результате бомбардировщики не стали снижаться и сбросили бомбы с большой высоты. Взрывы прогремели по левому борту. 21 августа немецкие бомбардировщики в районе Черного Яра, в 120 км к юго-западу от Сталинграда, атаковали большой нефтекараван и потопили пять нефтебарж. Одновременно с этим в 40 км южнее был совершен массированный налет на переправу около села Никольское. Здесь были разбиты причалы и потоплены несколько паромов, погибло большое количество скота и людей (11774).</w:t>
      </w:r>
    </w:p>
    <w:p w14:paraId="03BBDBD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8EC5A4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E4F6971" w14:textId="77777777" w:rsidR="00AE7191" w:rsidRPr="00722885" w:rsidRDefault="00AE7191" w:rsidP="00722885">
      <w:pPr>
        <w:pStyle w:val="Iauiue"/>
        <w:jc w:val="both"/>
        <w:rPr>
          <w:iCs/>
          <w:color w:val="000000" w:themeColor="text1"/>
          <w:sz w:val="16"/>
          <w:szCs w:val="16"/>
        </w:rPr>
      </w:pPr>
    </w:p>
    <w:p w14:paraId="478D21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середине августа 1942 У.Черчиль лично направился в Москву в сопровождении Гарримана чтобы сообщить о том, что второго фронта в этом году не будет. Это была первая личная встреча И.В.С. с У.Черчилем (2070,141).</w:t>
      </w:r>
    </w:p>
    <w:p w14:paraId="0C4E7C58" w14:textId="77777777" w:rsidR="00AE7191" w:rsidRPr="00722885" w:rsidRDefault="00AE7191" w:rsidP="00722885">
      <w:pPr>
        <w:pStyle w:val="Iauiue"/>
        <w:jc w:val="both"/>
        <w:rPr>
          <w:color w:val="000000" w:themeColor="text1"/>
          <w:sz w:val="16"/>
          <w:szCs w:val="16"/>
        </w:rPr>
      </w:pPr>
    </w:p>
    <w:p w14:paraId="3A04F15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AAA96DA" w14:textId="77777777" w:rsidR="00AE7191" w:rsidRPr="00722885" w:rsidRDefault="00AE7191" w:rsidP="00722885">
      <w:pPr>
        <w:pStyle w:val="Iauiue"/>
        <w:jc w:val="both"/>
        <w:rPr>
          <w:iCs/>
          <w:color w:val="000000" w:themeColor="text1"/>
          <w:sz w:val="16"/>
          <w:szCs w:val="16"/>
        </w:rPr>
      </w:pPr>
    </w:p>
    <w:p w14:paraId="2D6A0E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 августа 1942 Нач. 3 отд. опытного отдела НИИ АВ ВВС Галкин писал письмо Нач. ГУЗ и ТС ВВС Селезневу:</w:t>
      </w:r>
    </w:p>
    <w:p w14:paraId="58C0CDE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"Предъявленный на испытания самолет Ил-2 N 30000 с модифицированным бомбардировочно-химическим вооружением показал возможность использования бомбоотсеков для загрузки и сбрасывания мелких бомб и ампул без применения кассет КМБ-Ил-2</w:t>
      </w:r>
    </w:p>
    <w:p w14:paraId="77A7B0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Замена наружных бомбодержателей замками ДЗ-40 значительно улучшает эксплуатацию наружной подвески бомб и химприборов, значительно упрощает производство бомбардировочно-химического вооружения за счет изъятия кассет КМБ-Ил-2, поясной наружной подвески и спецбалок (1632,10).</w:t>
      </w:r>
    </w:p>
    <w:p w14:paraId="773DE234" w14:textId="77777777" w:rsidR="00AE7191" w:rsidRPr="00722885" w:rsidRDefault="00AE7191" w:rsidP="00722885">
      <w:pPr>
        <w:pStyle w:val="Iauiue"/>
        <w:jc w:val="both"/>
        <w:rPr>
          <w:color w:val="000000" w:themeColor="text1"/>
          <w:sz w:val="16"/>
          <w:szCs w:val="16"/>
        </w:rPr>
      </w:pPr>
    </w:p>
    <w:p w14:paraId="1C1BCE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 августа 1942 в Новосибирске прошла макетная комиссия по НБ Н.Н.П. Представили вариант с М-82А и ожидали скорость 472 км/час у земли и 525 на 6250 м. Дальность - 4000 км с 2 т бомб. Сделали много замечаний и макет был утвержден 8 сентября (4621, 21).</w:t>
      </w:r>
    </w:p>
    <w:p w14:paraId="71C6C2C7" w14:textId="77777777" w:rsidR="00AE7191" w:rsidRPr="00722885" w:rsidRDefault="00AE7191" w:rsidP="00722885">
      <w:pPr>
        <w:pStyle w:val="Iauiue"/>
        <w:jc w:val="both"/>
        <w:rPr>
          <w:color w:val="000000" w:themeColor="text1"/>
          <w:sz w:val="16"/>
          <w:szCs w:val="16"/>
        </w:rPr>
      </w:pPr>
    </w:p>
    <w:p w14:paraId="712B45D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1942 состоялось заседание макетной комиссии по переработанному НБ (Т). С мотором М-82А самолет должен был иметь у земли максимальную скорость 472 км/ч, 525 км/ч - на высоте 6250 м. Практический потолок составлял 8000 м, даль</w:t>
      </w:r>
      <w:r w:rsidRPr="00722885">
        <w:rPr>
          <w:rFonts w:ascii="Times New Roman" w:hAnsi="Times New Roman"/>
          <w:color w:val="000000" w:themeColor="text1"/>
          <w:sz w:val="16"/>
          <w:szCs w:val="16"/>
        </w:rPr>
        <w:softHyphen/>
        <w:t>ность - 4000 км при бомбовой нагрузке 2000 кг. При уменьшении дальности вес бомб, расположенных на внутренней подвеске, мог увеличиться до 4000 кг. 8 сен</w:t>
      </w:r>
      <w:r w:rsidRPr="00722885">
        <w:rPr>
          <w:rFonts w:ascii="Times New Roman" w:hAnsi="Times New Roman"/>
          <w:color w:val="000000" w:themeColor="text1"/>
          <w:sz w:val="16"/>
          <w:szCs w:val="16"/>
        </w:rPr>
        <w:softHyphen/>
        <w:t>тября комиссия приняла проект и утвердила макет (10667).</w:t>
      </w:r>
    </w:p>
    <w:p w14:paraId="2422A17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F994F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 августа 1942 закончились полеты ЛаГГ-3 N 3123173 с двумя ПВРД ВРД-1 конструкции НИИ ГВФ и ИХФ М.М.Бондарюка, которые шли с 5 августа 1942. В 7 полетах отработали подачу горючего, регулировку состава смеси и системы зажигания, проверку пуска и работы на различных высотах и скоростных. В 7 полетах испытали пусковые качества и эффективность ПВРД и всего к Мищенко выполнил 14 полетов. Прирост скорости был 12-15 км/час, но повышенное сопротивления снимало 25-40 км/час (2448,8).</w:t>
      </w:r>
    </w:p>
    <w:p w14:paraId="177DC3B0" w14:textId="77777777" w:rsidR="00AE7191" w:rsidRPr="00722885" w:rsidRDefault="00AE7191" w:rsidP="00722885">
      <w:pPr>
        <w:pStyle w:val="Iauiue"/>
        <w:jc w:val="both"/>
        <w:rPr>
          <w:color w:val="000000" w:themeColor="text1"/>
          <w:sz w:val="16"/>
          <w:szCs w:val="16"/>
        </w:rPr>
      </w:pPr>
    </w:p>
    <w:p w14:paraId="4EC905D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0F1C6D9" w14:textId="77777777" w:rsidR="00AE7191" w:rsidRPr="00722885" w:rsidRDefault="00AE7191" w:rsidP="00722885">
      <w:pPr>
        <w:pStyle w:val="Iauiue"/>
        <w:jc w:val="both"/>
        <w:rPr>
          <w:iCs/>
          <w:color w:val="000000" w:themeColor="text1"/>
          <w:sz w:val="16"/>
          <w:szCs w:val="16"/>
        </w:rPr>
      </w:pPr>
    </w:p>
    <w:p w14:paraId="266640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1942 года на Софринском артиллерийском полигоне закончились полигонные испытания опытного образца СГ-122 в объеме 234 выстрела и 50 километров пробега, которые шли по инициативе ГАУ КА с 25 июля. В целом отмечалось, что кучность и скорострельность (при малых углах возвышения — 11–12 выстрелов в минуту, при больших — 5 выстрелов в минуту) у СГ-122 вполне удовлетворительные и практически соответствующие таковым для 122-мм полевой гаубицы М-30. В процессе ходовых испытаний отмечался недостаточный обзор с места механика-водителя (особенно вправо по ходу) и трудность вождения самоходки по пересеченной местности из-за смешения центра тяжести машины вперёд.</w:t>
      </w:r>
    </w:p>
    <w:p w14:paraId="3BB549E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изготовлении новых образцов СГ-122 комиссия, испытывавшая опытный образец, рекомендовала смонтировать откидные сиденья для экипажа и установить защиту панорамы гаубицы (в виде секторного броневого колпака).</w:t>
      </w:r>
    </w:p>
    <w:p w14:paraId="34E03E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нежелание (в общем-то обоснованное) ГАБТУ КА заниматься СГ-122, руководство ГАУ КА и наркомата вооружения сумело «пробить» свою машину на самом верху (12688).</w:t>
      </w:r>
    </w:p>
    <w:p w14:paraId="19C278E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D8EEDFC" w14:textId="77777777" w:rsidR="004C1168" w:rsidRPr="00722885" w:rsidRDefault="004C1168"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 xml:space="preserve">К 16 августа 1942 были подготовлены тактико-техническим требованиям ГАБТУ КА, согласно которым предполагалось получить открытую сверху зенитную установку. По концепции зенитная башня Т-70 должна была несколько напоминать башню БА-64. Внутри размещался вертлюг-тумба, по типу БА-64 или немецких установок Sd.Kfz.221/222. Установка предполагалась одноместной, с круговым вращением и углами вертикальной наводки от -7 до +85 градусов. Для прицеливания </w:t>
      </w:r>
      <w:r w:rsidRPr="00722885">
        <w:rPr>
          <w:rFonts w:ascii="Times New Roman" w:eastAsia="Times New Roman" w:hAnsi="Times New Roman"/>
          <w:color w:val="0070C0"/>
          <w:sz w:val="16"/>
          <w:szCs w:val="16"/>
          <w:lang w:eastAsia="ru-RU"/>
        </w:rPr>
        <w:lastRenderedPageBreak/>
        <w:t>предполагался авиационный коллиматорный прицел К-8Т. В случае с зенитной башней Т-60 использовалась переделанная штатная башня. Питание пулеметов предполагалось при помощи магазинов ёмкостью 42 патрона. Требования на сразу два типа зенитных танков объяснялось тем, что Т-60, уже снятый с производства, предполагался как база для переделки. Основным же явно считался Т-70, как находящийся в валовом производстве, а также предполагающий более просторное боевое отделение. Кроме того, зенитными башнями для Т-60 сильно интересовался Наркомфлот. Они хорошо подходили для вооружения бронекатеров (21193).</w:t>
      </w:r>
    </w:p>
    <w:p w14:paraId="2F4CC29A" w14:textId="77777777" w:rsidR="004C1168" w:rsidRPr="00722885" w:rsidRDefault="004C1168"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54A4C52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16 августа 1942 вышло Постановление ГКО № 2175 О переводе в состав Северного флота пяти подводных лодок типа М, строящихся на заводе № 112 HКТП в г. Горьком. (7050, 26).</w:t>
      </w:r>
    </w:p>
    <w:p w14:paraId="502B57F5" w14:textId="77777777" w:rsidR="00AE7191" w:rsidRPr="00722885" w:rsidRDefault="00AE7191" w:rsidP="00722885">
      <w:pPr>
        <w:pStyle w:val="Iauiue"/>
        <w:tabs>
          <w:tab w:val="left" w:pos="11199"/>
        </w:tabs>
        <w:jc w:val="both"/>
        <w:rPr>
          <w:color w:val="000000" w:themeColor="text1"/>
          <w:sz w:val="16"/>
          <w:szCs w:val="16"/>
        </w:rPr>
      </w:pPr>
    </w:p>
    <w:p w14:paraId="29DA2B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1942 вышло Постановление ГКО № 2176 О строительстве двух электропечей на заводе № 174 Наркомтанкопрома. РГАНИР, Фонд ГКО, д. 52, лл. 27 (11012).</w:t>
      </w:r>
    </w:p>
    <w:p w14:paraId="31B4106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3E74E8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1942 вышло Постановление ГКО № 2177 О производстве сотовых радиаторов к танкам Т-70 на заводе № 469 Наркомавиапрома. РГАНИР, Фонд ГКО, д. 52, лл. 28 (11012).</w:t>
      </w:r>
    </w:p>
    <w:p w14:paraId="3BBDB4C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7CD985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1942 вышло Постановление ГКО № 2179 О строительстве в г. Кустанае Казахской ССР завода № 507-а Наркомтекстиля СССР по производству вискозно-минометных порохов. РГАНИР, Фонд ГКО, д. 52, лл. 32-34, 35 (11012).</w:t>
      </w:r>
    </w:p>
    <w:p w14:paraId="255A8EE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E294EC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1942 вышло Постановление ГКО № 2180 О восстановлении военной приемки ГАУ КА на заводе № 92. Наркомвооружения. РГАНИР, Фонд ГКО, д. 52, лл. 36 (11012).</w:t>
      </w:r>
    </w:p>
    <w:p w14:paraId="31C0ACE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7B59D4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D600065" w14:textId="77777777" w:rsidR="00AE7191" w:rsidRPr="00722885" w:rsidRDefault="00AE7191" w:rsidP="00722885">
      <w:pPr>
        <w:pStyle w:val="Iauiue"/>
        <w:jc w:val="both"/>
        <w:rPr>
          <w:iCs/>
          <w:color w:val="000000" w:themeColor="text1"/>
          <w:sz w:val="16"/>
          <w:szCs w:val="16"/>
        </w:rPr>
      </w:pPr>
    </w:p>
    <w:p w14:paraId="06FBD45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в 1942 году утреннее сообщение Совинформбюро:</w:t>
      </w:r>
    </w:p>
    <w:p w14:paraId="060F0467"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16 августа наши войска вели бои с противником в районах юго-восточнее Клетская, северо-восточнее Котельниково, а также в районах Минеральные Воды, Черкесск, Майкоп и Краснодар.</w:t>
      </w:r>
    </w:p>
    <w:p w14:paraId="09288643"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изменении не произошло.</w:t>
      </w:r>
    </w:p>
    <w:p w14:paraId="72B37D92"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Клетской наши войска отбивали многочисленные атаки противника. Большой урон гитлеровцам наносят советские артиллеристы. На одном участке в расположение наших войск прорвались 5 немецких танков. Расчёт под командованием младшего лейтенанта т. Гуськова выкатил орудие на открытую огневую позицию. Тов. Гуськов сам стал за наводчика и несколькими выстрелами поджёг три немецких танка. Наводчик другого орудия тов. Володин заметил приближающуюся автоколонну с пехотой противника. Первыми выстрелами он поджёг головную и заднюю машины. Продолжая обстреливать гитлеровцев, тов. Володин уничтожил 26 автомашин и повозок с пехотой противника.</w:t>
      </w:r>
    </w:p>
    <w:p w14:paraId="6AE543F2"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немцы под прикрытием авиации и артиллерии пытались навести переправы через реку Жубань. Советские лётчики разрушили переправы и нанесли удары по танкам и мотопехоте противника. Переправившиеся через реку 150 немецких автоматчиков окружены и уничтожены.</w:t>
      </w:r>
    </w:p>
    <w:p w14:paraId="786C8921"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Майкопа наши войска отбили атаку противника и уничтожили 11 немецких танков, 24 автомашины и свыше 400 гитлеровцев.</w:t>
      </w:r>
    </w:p>
    <w:p w14:paraId="76D5BEAE"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Минеральных Вод численно превосходящие силы противника потеснилиодну нашу часть. В ходе боёв уничтожено 6 танков и более 250 немецких солдат и офицеров.</w:t>
      </w:r>
    </w:p>
    <w:p w14:paraId="0101179E"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части вели активные боевые действия и продвинулись вперёд. Уничтожено до 1.200 немецких солдат и офицеров. На западном берегу реки Дон после двухчасовой артиллерийской подготовки два батальона пьяных венгров перешли в контратаку на пункт Г. Встреченные миномётным и пулемётным огнём наших бойцов венгры были рассеяны. Они отступили, потеряв убитыми и ранеными несколько сот солдат и офицеров.</w:t>
      </w:r>
    </w:p>
    <w:p w14:paraId="21F3CC5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пехотный полк и мотострелковый батальон противника атаковали наши позиции. Советские части перешли в контратаку и к исходу дня выбили гитлеровцев из одного населённого пункта. Взятые в плен немецкие солдаты сообщили, что в результате огромных потерь 541 и 542 немецкие пехотные полки сведены в один полк. В 543 полку осталось меньше половины личного состава.</w:t>
      </w:r>
    </w:p>
    <w:p w14:paraId="20F3B59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дня в воздушных боях и огнём зенитной артиллерии сбито 8 и подбито 3 немецких самолёта. Кроме того, наши лётчики уничтожили до 20 немецких танков, 85 автомашин и 8 орудий.</w:t>
      </w:r>
    </w:p>
    <w:p w14:paraId="408A7B32"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Мурманска две группы немецких самолётов пытались прорваться к городу. Наши истребители на подступах к городу рассеяли самолёты противника. Сбито 4 немецких самолёта.</w:t>
      </w:r>
    </w:p>
    <w:p w14:paraId="1BA50FB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бросили против партизан Ленинградской области крупную карательную экспедицию в составе 2.000 солдат и офицеров, 10 танков, 2 бронемашин и группы самолётов. Перед карателями была поставлена задача разгромить партизанские отряды под командованием тт. В. и О. Советские патриоты проявили исключительную стойкость в борьбе с врагом. В ходе боёв партизаны уничтожили 6 немецких танков и истребили до 500 гитлеровцев.</w:t>
      </w:r>
    </w:p>
    <w:p w14:paraId="265963E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Немецкий ефрейтор Сепп Кнейдль писал сестре Терезе в Мюнхен: «С 28 июля я болею дизентерией, но командир роты не пустил меня в лазарет. Он заявил, что остро нуждается в людях и не может отпускать ни одного человека. Мне пришлось идти в окопы. Больных тут довольно много, но нам говорят, что надо забыть о болезнях. Это очень несправедливо, но ничего нельзя сделать».</w:t>
      </w:r>
    </w:p>
    <w:p w14:paraId="4E5B89F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насильно отправляют на принудительные работы в Германию население оккупированных советских районов. Из деревень Струго-Красненского района, Ленинградской области, гитлеровцы угнали больше 300 женщин и девушек в возрасте от 15 до 45 лет. В селе Обод 11 девушек заявили, что они никуда не поедут со своей родины. Фашистские мерзавцы их зверски избили и повесили на улице села.</w:t>
      </w:r>
    </w:p>
    <w:p w14:paraId="28C9714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Хельсинки (Финляндия) толпа голодных женщин разгромила несколько продовольственных магазинов. В окрестностях Турку скрывающиеся в лесах дезертиры из финской армии отбили у немцев 4 грузовика с консервами и несколько подвод с мукой. Пять немецких солдат, оказавших сопротивление, были убиты.» (14985).</w:t>
      </w:r>
    </w:p>
    <w:p w14:paraId="530C47E6"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192F33D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в 1942 году вечернее сообщение Совинформбюро:</w:t>
      </w:r>
    </w:p>
    <w:p w14:paraId="42E4D7E2"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16 августа наши войска вели бои в районах юго-восточнее Клетская, северо-восточнее Котельниково, а также в районах Минеральные Воды и Краснодар.</w:t>
      </w:r>
    </w:p>
    <w:p w14:paraId="603AE0F3"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оставили город Майкоп. Оборудование майкопских нефтепромыслов и все наличные запасы нефти своевременно вывезены, а сами нефтепромыслы приведеныв полную негодность. Немецкие фашисты, рассчитывавшие то взятием Майкопа поживиться за счёт советской нефти, просчитались: советской нефти они не получили и не получат.</w:t>
      </w:r>
    </w:p>
    <w:p w14:paraId="4DD4C10A"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75FE72A6"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9 по 15 августа включительно, в воздушных боях, на аэродромах и огнём зенитной артиллерии уничтожено 369 немецких самолётов. Наши потери за этот же период 241 самолёт.</w:t>
      </w:r>
    </w:p>
    <w:p w14:paraId="3D81383A"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15 августа частями нашей авиации на различных участках фронта уничтожено или повреждено до 30 немецких танков и бронемашин, до 200 автомашин с войсками и грузами, 60 повозок, взорвано 4 склада боеприпасов, подавлен огонь 6 батарей полевой и зенитной артиллерии, разбит железнодорожный состав, потоплен транспорт водоизмещением в 3.000 тонн, рассеяно и частью уничтожено до двух батальонов пехоты и эскадрон конницы противника.</w:t>
      </w:r>
    </w:p>
    <w:p w14:paraId="2156CE88"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Клетской наши войска вели напряжённые оборонительные бои с противником. На участке Н-ского стрелкового полка немцы предприняли несколько атак. Наши бойцы встретили врага артиллерийским и ружейно-пулемётным огнём. Ценой больших потерь гитлеровцам удалось вклиниться в передний край нашей обороны. На другом участке наша разведка обнаружила колонну немецких танков иследовавшую за ней пехоту. Артиллеристы открыли мощный огонь по колонне и уничтожили 14 немецких танков и несколько сот гитлеровцев.</w:t>
      </w:r>
    </w:p>
    <w:p w14:paraId="1A3DF97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Н-ская стрелковая часть отбила несколько атак противника и, перейдя в контратаку, разгромила румынский полк. Захвачено свыше сотни пленных и трофеи. Отвагу и мужество проявили бойцы стрелкового взвода под командованием лейтенанта Соловьёва. Они в течение нескольких часов сдерживали сильный натиск противника и уничтожили не менее 150 гитлеровцев. Когда на помощь взводу подошли бойцы другой части, смельчаки первыми бросились в контратаку и потеснили гитлеровцев.</w:t>
      </w:r>
    </w:p>
    <w:p w14:paraId="5699388E"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наши войска отбивали ожесточённые атаки танков и мотопехоты противника. На участке Н-ского соединения уничтожено 9 танков, 12 автомашин, 5 орудии, из них 2 самоходных, и свыше 300 немецких солдат иофицеров. Огнём артиллерии и миномётов разрушена переправа через реку и рассеяно скопление танков и мотопехоты неприятеля.</w:t>
      </w:r>
    </w:p>
    <w:p w14:paraId="4F1B7AF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Минеральных Вод наши части под давлением численно превосходящих сил врага с боями отошли на новые позиции.</w:t>
      </w:r>
    </w:p>
    <w:p w14:paraId="6C4A798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отражали атаки противника, стремившегося вернуть оборонительные рубежи, потерянные им в предыдущих боях. На западном берегу реки Дон крупные силы противника перешли в наступление и ворвались в населённый пункт. Идут упорные уличные бои.</w:t>
      </w:r>
    </w:p>
    <w:p w14:paraId="00260C2A"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Действиями нашей авиации за день уничтожено 4 немецких танка, 20 автомашин, подавлен огонь артиллерийской батареи, рассеяно и частью уничтожено до двух рот пехоты противника.</w:t>
      </w:r>
    </w:p>
    <w:p w14:paraId="4EAD5723"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Отряд ленинградских партизан под командованием тов. З. совершил нападение на гарнизон противника, расположенный в деревне И. Партизаны истребили 55 немецких солдат, двух офицеров и захватили штабные документы.</w:t>
      </w:r>
    </w:p>
    <w:p w14:paraId="6AF4B62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сторону Красной Армии перешла группа поляков — солдат 489 полка 269 немецкой пехотной дивизии. Пленные сообщили, что в связи с огромными людскими потерями немецких войск на советско-германском фронте Гитлер еще весной провёл мобилизацию поляков в германскую армию. Перебежчик Н. заявил: «В казармах и на фронте обер-лейтенант Шреде и другие офицеры нам говорили: «Теперь вы все немцы. Нет больше поляков». Эти тупые гитлеровцы думали, что можно одним приказом превратить всех поляков в покорных рабов.</w:t>
      </w:r>
    </w:p>
    <w:p w14:paraId="48FDCA1E"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усиленный надзор из 1 батальона в течение нескольких дней сбежало к русским 6 человек. Командир батальона собрал всех солдат-поляков и сказал: «За последние дни 6 солдат-поляков перешли к русским. Что же будет через месяц? Вы, наверное, все удерёте к русским? Поэтому вы до особого распоряжения отводитесь втыл». Нас разоружили, дали нам лопаты и послали ремонтировать дороги. Но и из тыла нам удалось уйти от гитлеровцев».</w:t>
      </w:r>
    </w:p>
    <w:p w14:paraId="4B3FBEC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истребляют мирное население оккупированных районов Украины. В гор. Николаеве гестаповцы 27 июля обнаружили труп убитого немецкого офицера. Это послужило поводом к новой зверской расправе над мирным населением. За одну ночь гитлеровские бандиты арестовали больше 120 человек, вывезли их за город и всех расстреляли.</w:t>
      </w:r>
    </w:p>
    <w:p w14:paraId="6786EF5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польских патриотов истребил в Люблинских лесах свыше 100 оккупантов и взорвал на железнодорожной станции эшелон с горючим.» (14985).</w:t>
      </w:r>
    </w:p>
    <w:p w14:paraId="3E990A5D"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102F743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1942 вышло Постановление ГКО № 2178 О восстановлении 8 воздушно-десантных корпусов и 5 воздушно-десантных маневренных бригаРГАНИР, Фонд ГКО, д. РГАНИР, Фонд ГКО, д. 52, лл. 29-30, 31 (11012).</w:t>
      </w:r>
    </w:p>
    <w:p w14:paraId="078B3BE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386BEE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1942 Издание приказа Ставки Верховного Главнокомандования «О недостатках в организации управления войсками». август—декабрь Поступление в войска радиостанции 13Р (11072).</w:t>
      </w:r>
    </w:p>
    <w:p w14:paraId="63575D0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9994B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1941 немецкие бомбардировщики совершили налет на Сталинградскую ГРЭС в пос. Бекетовка, сбросив на нее тяжелые фугасные бомбы. Одна из них разорвалась над турбиной № 3, полностью разрушив помещение машинного зала, вторая попала в помещение углеподачи. Погиб слесарь турбинного цеха А.В. Парамонов и получил тяжелые ранения ученик слесаря Н. Сердюков. Германская авиация продолжала наращивать свои силы на Сталинградском направлении. Генерал-оберст фон Рихтхофен издал приказ:  «Борьба за Сталинград, красную твердыню, разгорается. Люфтваффе должны с помощью уничтожающих ударов привести эту битву к решению. Я жду от командиров частей и соединений 4-го воздушного флота в воздухе и на земле, на фронте и в тыловых районах последней самоотдачи и твердой воли к победе» (11774).</w:t>
      </w:r>
    </w:p>
    <w:p w14:paraId="78FC265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C58DC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 августа 1942 НКВМФ Н.Г.Кузнецов выпустил директиву N 8/193 об активизации действий авиации КБФ (2120).</w:t>
      </w:r>
    </w:p>
    <w:p w14:paraId="78150FAF" w14:textId="77777777" w:rsidR="00AE7191" w:rsidRPr="00722885" w:rsidRDefault="00AE7191" w:rsidP="00722885">
      <w:pPr>
        <w:pStyle w:val="Iauiue"/>
        <w:jc w:val="both"/>
        <w:rPr>
          <w:color w:val="000000" w:themeColor="text1"/>
          <w:sz w:val="16"/>
          <w:szCs w:val="16"/>
        </w:rPr>
      </w:pPr>
    </w:p>
    <w:p w14:paraId="5B07AEE0"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в 1942 году в соответствии с директивой, подписанной начальником Генерального штаба германских сухопутных войск Ф.Гальдером все подразделения и части, сформированные из советских граждан, стали называться восточными войсками, а их военнослужащие — добровольцами (14985).</w:t>
      </w:r>
    </w:p>
    <w:p w14:paraId="50CC9C6B"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549994EE"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в 1942 году (16-30 августа) рейд немецкого крейсера «Адмирал Шеер» в Карское море (14985).</w:t>
      </w:r>
    </w:p>
    <w:p w14:paraId="22F3430F"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69604CB2"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в 1942 году противник захватил Клухорский перевал Главного Кавказского хребта (14985).</w:t>
      </w:r>
    </w:p>
    <w:p w14:paraId="2E6B35FC"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6202DEE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32E6CBC" w14:textId="77777777" w:rsidR="00AE7191" w:rsidRPr="00722885" w:rsidRDefault="00AE7191" w:rsidP="00722885">
      <w:pPr>
        <w:pStyle w:val="Iauiue"/>
        <w:jc w:val="both"/>
        <w:rPr>
          <w:iCs/>
          <w:color w:val="000000" w:themeColor="text1"/>
          <w:sz w:val="16"/>
          <w:szCs w:val="16"/>
        </w:rPr>
      </w:pPr>
    </w:p>
    <w:p w14:paraId="470E24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1942 года было проведено второе испытание «А-4». Сначала все шло хорошо, и в тот день «А-4» стала первой в мире ракетой, преодолевшей скорость звука. Однако в полете у нее оторвало носовой конус и «А-4» разрушилась, не выполнив программу.</w:t>
      </w:r>
    </w:p>
    <w:p w14:paraId="04A81CF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Неудачи с двумя первыми ракетами «А-4» заставили инженеров и ученых разработать и провести серию всевозможных стеновых испытаний, прежде чем запускать третью ракету (11688).</w:t>
      </w:r>
    </w:p>
    <w:p w14:paraId="406B961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A6A5F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августа 1942 года дирижабль L-8 с базы флота воздушных кораблей Сан-Франциско стартовал для патрулирования побережья Калифорнии. Стояла прекрасная погода. Через два часа после начала выполнения боевой задачи база получила радиосообщение от командира корабля, что на поверхности моря в пяти милях к востоку от Фараллонских островов («Бермудский треугольник») обнаружено большое нефтяное пятно и команда приступает к его исследованию. Через 15 минут база запросила по радио L-8, но не получила ответа. Повторные вызовы дирижабля ни к чему не привели. Была объявлена тревога, и на поиск замолчавшего воздушного корабля отправились два поисковых самолета. В течение нескольких часов они тщательно обследовали акваторию Фараллонских островов. Никаких результатов. Около полудня из одного из пригородов Сан-Франциско в Калифорнии [466] пришло сообщение, что на центральную улицу приземлился какой-то дирижабль. Собравшаяся толпа жителей города удерживала корабль, пока не прибыла полиция и пожарные. Вскоре появились и спасатели. Они сразу определили, что это был L-8. Поднявшись на борт дирижабля, спасатели были поражены — экипаж отсутствовал. В кабине остались все личные вещи команды, парашюты и спасательный плот. Радиопередатчик был в полной исправности, а на столике командира стояла полупустая чашка кофе. Двигатели были в порядке, топливные баки заполнены горючим, оболочка корпуса повреждений не имела. И никаких признаков экипажа. В течение нескольких дней велся поиск исчезнувшей команды. Даже если бы они все выбросились в море и утонули, спасательные жилеты, которые не снимались в течение всего полета, удерживали бы тела на плаву. Никакого логического объяснения этому таинственному случаю не найдено до сих пор (11324).</w:t>
      </w:r>
    </w:p>
    <w:p w14:paraId="5DCB70F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0BAB2FD"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16 августа 1942 в Египте впервые против немцев вступили в бой американские самолеты (4962).</w:t>
      </w:r>
    </w:p>
    <w:p w14:paraId="75717145" w14:textId="77777777" w:rsidR="00AE7191" w:rsidRPr="00722885" w:rsidRDefault="00AE7191" w:rsidP="00722885">
      <w:pPr>
        <w:pStyle w:val="Iauiue"/>
        <w:tabs>
          <w:tab w:val="left" w:pos="11199"/>
        </w:tabs>
        <w:jc w:val="both"/>
        <w:rPr>
          <w:color w:val="000000" w:themeColor="text1"/>
          <w:sz w:val="16"/>
          <w:szCs w:val="16"/>
        </w:rPr>
      </w:pPr>
    </w:p>
    <w:p w14:paraId="1C134A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 августа 1942 ВВС США бомбили немцев в африканской пустыне (2261).</w:t>
      </w:r>
    </w:p>
    <w:p w14:paraId="2B17E990" w14:textId="77777777" w:rsidR="00AE7191" w:rsidRPr="00722885" w:rsidRDefault="00AE7191" w:rsidP="00722885">
      <w:pPr>
        <w:pStyle w:val="Iauiue"/>
        <w:jc w:val="both"/>
        <w:rPr>
          <w:color w:val="000000" w:themeColor="text1"/>
          <w:sz w:val="16"/>
          <w:szCs w:val="16"/>
        </w:rPr>
      </w:pPr>
    </w:p>
    <w:p w14:paraId="53525C82" w14:textId="77777777" w:rsidR="004C1168" w:rsidRPr="00722885" w:rsidRDefault="004C116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16 августа 1942 во время обычного противолодочного патрулирования над Тихим океаном у побережья Калифорнии экипаж из двух человек дирижабля L-8 ВМС США исчезает. Затем беспилотный дирижабль пролетает над Калифорнией и в конечном итоге разбивается на улице в Дейли-Сити, Калифорния. В ходе расследования ВМС США пришли к выводу, что экипаж добровольно покинул дирижабль без парашютов , но не определяет причин, по которым они это сделали. L-8 отремонтирован и возвращается в строй, но никаких следов двух пропавших без вести членов экипажа так и не найдено (20793).</w:t>
      </w:r>
    </w:p>
    <w:p w14:paraId="19B3BE72" w14:textId="77777777" w:rsidR="004C1168" w:rsidRPr="00722885" w:rsidRDefault="004C1168" w:rsidP="00722885">
      <w:pPr>
        <w:spacing w:after="0" w:line="240" w:lineRule="auto"/>
        <w:jc w:val="both"/>
        <w:rPr>
          <w:rFonts w:ascii="Times New Roman" w:hAnsi="Times New Roman"/>
          <w:color w:val="0070C0"/>
          <w:sz w:val="16"/>
          <w:szCs w:val="16"/>
        </w:rPr>
      </w:pPr>
    </w:p>
    <w:p w14:paraId="4F67F9C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2E51CAE" w14:textId="77777777" w:rsidR="00AE7191" w:rsidRPr="00722885" w:rsidRDefault="00AE7191" w:rsidP="00722885">
      <w:pPr>
        <w:pStyle w:val="Iauiue"/>
        <w:jc w:val="both"/>
        <w:rPr>
          <w:iCs/>
          <w:color w:val="000000" w:themeColor="text1"/>
          <w:sz w:val="16"/>
          <w:szCs w:val="16"/>
        </w:rPr>
      </w:pPr>
    </w:p>
    <w:p w14:paraId="0A8A28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августа 1942 Нач. ГУЗ и ТС Алексеев писал Зам. НКАП П.Воронину письмо N 376287 по вопросу модернизации вооружения Ил-2:</w:t>
      </w:r>
    </w:p>
    <w:p w14:paraId="7142DE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"Препровождаю вам копию заключения НИП АВ ВВС КА по испытаниям Ил-2 постройки завода 30 с модернизированным бомбардировочно-химическим вооружением.</w:t>
      </w:r>
    </w:p>
    <w:p w14:paraId="2D6370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Прошу указаний директорам заводов 1, 18, 30, 381 ввести в серию на самолетах Ил-2 приспособления для загрузки и сбрасывания мелких бомб и ампул без применения кассет КМБ-Ил-2 и замену наружных бомбодержателей замками ДЗ-40." (1532,9).</w:t>
      </w:r>
    </w:p>
    <w:p w14:paraId="5ADDBAD3" w14:textId="77777777" w:rsidR="00AE7191" w:rsidRPr="00722885" w:rsidRDefault="00AE7191" w:rsidP="00722885">
      <w:pPr>
        <w:pStyle w:val="Iauiue"/>
        <w:jc w:val="both"/>
        <w:rPr>
          <w:color w:val="000000" w:themeColor="text1"/>
          <w:sz w:val="16"/>
          <w:szCs w:val="16"/>
        </w:rPr>
      </w:pPr>
    </w:p>
    <w:p w14:paraId="075522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августа 1942 Командующий ВВС Новиков и Чл. Военсовета Руденко написали А.И.Ш. письмо N 376269:</w:t>
      </w:r>
    </w:p>
    <w:p w14:paraId="6820CB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"Опыт боевой работы штурмовой авиации доказывает необходимость защиты задней полусферы самолета Ил-2 размещением стрелка и установкой п Березина во 2-й кабине. Фронт требует также разведывательных самолетов и самолетов корректировщиков артогня. Оборудование для этих целей 2-х местных самолетов Ил-2 удовлетворит это требование фронта.</w:t>
      </w:r>
    </w:p>
    <w:p w14:paraId="4D326A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Прошу Вашего указания ГК С.В.И. срочно разработать и изготовить опытные образцы 2-х местного самолета Ил-2 в варианте штурмовика, разведчика и корректировщика (1632,297).</w:t>
      </w:r>
    </w:p>
    <w:p w14:paraId="222C118F" w14:textId="77777777" w:rsidR="00AE7191" w:rsidRPr="00722885" w:rsidRDefault="00AE7191" w:rsidP="00722885">
      <w:pPr>
        <w:pStyle w:val="Iauiue"/>
        <w:jc w:val="both"/>
        <w:rPr>
          <w:color w:val="000000" w:themeColor="text1"/>
          <w:sz w:val="16"/>
          <w:szCs w:val="16"/>
        </w:rPr>
      </w:pPr>
    </w:p>
    <w:p w14:paraId="0FAA4D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августа 1942 Дементьев писал Репину письмо N Н-36/2757</w:t>
      </w:r>
    </w:p>
    <w:p w14:paraId="13759E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"Прошу Вашего разрешения на выпуск заводом 30 самолетов Ил-2 с лонжеронами рулей из клепаных труб из имеющегося на 16 июля с.г. задела по сборочному цеху.</w:t>
      </w:r>
    </w:p>
    <w:p w14:paraId="224BE0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Проведенными статиспытаниями и эксплуатацией самолетов завода 30 установлено, что клепаные трубы лонжеронов имеют значительный запас прочности и допускают нормальную эксплуатацию рулей (1633,168).</w:t>
      </w:r>
    </w:p>
    <w:p w14:paraId="53EE19E7" w14:textId="77777777" w:rsidR="00AE7191" w:rsidRPr="00722885" w:rsidRDefault="00AE7191" w:rsidP="00722885">
      <w:pPr>
        <w:pStyle w:val="Iauiue"/>
        <w:jc w:val="both"/>
        <w:rPr>
          <w:color w:val="000000" w:themeColor="text1"/>
          <w:sz w:val="16"/>
          <w:szCs w:val="16"/>
        </w:rPr>
      </w:pPr>
    </w:p>
    <w:p w14:paraId="70649E5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 17 августа 1942 общий налет Ил-2 М-82, проходившего испытания на аэродроме НИИ ВВС в Кольцово, составил 6 ч 6 мин (8 полетов). В течение августа — сентября 1942 на аэродроме НИИ ВВС в Колъцово доводился и проходили заводские испытания Ил-2 М-82 адноместного, постройки завода № 381 28 авпреля 1942. Самолет летал с полной загрузкой горючим и маслом, безбомб и боеприпасов. В воздухе самолет вел себя устойчиво. Макси</w:t>
      </w:r>
      <w:r w:rsidRPr="00722885">
        <w:rPr>
          <w:rFonts w:ascii="Times New Roman" w:hAnsi="Times New Roman"/>
          <w:color w:val="000000" w:themeColor="text1"/>
          <w:sz w:val="16"/>
          <w:szCs w:val="16"/>
        </w:rPr>
        <w:softHyphen/>
        <w:t>мальная скорость у земли достигала 375 км/ч. Мотор работал хо</w:t>
      </w:r>
      <w:r w:rsidRPr="00722885">
        <w:rPr>
          <w:rFonts w:ascii="Times New Roman" w:hAnsi="Times New Roman"/>
          <w:color w:val="000000" w:themeColor="text1"/>
          <w:sz w:val="16"/>
          <w:szCs w:val="16"/>
        </w:rPr>
        <w:softHyphen/>
        <w:t>рошо. Однако после каждого полета появлялись трещины на сек</w:t>
      </w:r>
      <w:r w:rsidRPr="00722885">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722885">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722885">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722885">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5F1C41C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A137F93" w14:textId="77777777" w:rsidR="009F0796" w:rsidRPr="00722885" w:rsidRDefault="009F0796" w:rsidP="00722885">
      <w:pPr>
        <w:pStyle w:val="ae"/>
        <w:spacing w:before="0" w:after="0"/>
        <w:jc w:val="both"/>
        <w:textAlignment w:val="baseline"/>
        <w:rPr>
          <w:color w:val="000000" w:themeColor="text1"/>
          <w:sz w:val="16"/>
          <w:szCs w:val="16"/>
        </w:rPr>
      </w:pPr>
      <w:r w:rsidRPr="00722885">
        <w:rPr>
          <w:color w:val="000000" w:themeColor="text1"/>
          <w:sz w:val="16"/>
          <w:szCs w:val="16"/>
        </w:rPr>
        <w:t>17 августа 1942 г. над Куйбышевом пролетал Ju-88D из 2-й эскадрильи. Бортрадист фельдфебель Макс Лагода, участвовавший в этом сверхдальнем вылете, продолжительностью свыше восьми часов, вспоминал:</w:t>
      </w:r>
    </w:p>
    <w:p w14:paraId="39120AE9" w14:textId="77777777" w:rsidR="009F0796" w:rsidRPr="00722885" w:rsidRDefault="009F0796"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«Первое из этих заданий, длившееся 480 минут, проходило над Куйбышевом, Саратовом, Сталинградом и устьем Волги в районе Астрахани. Я побывал над резиденцией русского правительства в Куйбышеве на реке Волге. Здесь были сосредоточены крупные промышленные предприятия и особенно авиационные и авиамоторные заводы»[6].</w:t>
      </w:r>
    </w:p>
    <w:p w14:paraId="043964B0" w14:textId="77777777" w:rsidR="009F0796" w:rsidRPr="00722885" w:rsidRDefault="009F0796" w:rsidP="00722885">
      <w:pPr>
        <w:pStyle w:val="ae"/>
        <w:spacing w:before="0" w:after="0"/>
        <w:jc w:val="both"/>
        <w:textAlignment w:val="baseline"/>
        <w:rPr>
          <w:color w:val="000000" w:themeColor="text1"/>
          <w:sz w:val="16"/>
          <w:szCs w:val="16"/>
        </w:rPr>
      </w:pPr>
      <w:r w:rsidRPr="00722885">
        <w:rPr>
          <w:color w:val="000000" w:themeColor="text1"/>
          <w:sz w:val="16"/>
          <w:szCs w:val="16"/>
        </w:rPr>
        <w:t>Только за июль — август над территорией Куйбышевского корпусного района ПВО было зафиксировано 39 самолето-пролетов. Истребители базировавшейся здесь 141-й иад ПВО много раз поднимались на перехват, но всякий раз безуспешно.</w:t>
      </w:r>
    </w:p>
    <w:p w14:paraId="28D877D3" w14:textId="77777777" w:rsidR="009F0796" w:rsidRPr="00722885" w:rsidRDefault="009F0796" w:rsidP="00722885">
      <w:pPr>
        <w:pStyle w:val="ae"/>
        <w:spacing w:before="0" w:after="0"/>
        <w:jc w:val="both"/>
        <w:textAlignment w:val="baseline"/>
        <w:rPr>
          <w:color w:val="000000" w:themeColor="text1"/>
          <w:sz w:val="16"/>
          <w:szCs w:val="16"/>
        </w:rPr>
      </w:pPr>
      <w:r w:rsidRPr="00722885">
        <w:rPr>
          <w:color w:val="000000" w:themeColor="text1"/>
          <w:sz w:val="16"/>
          <w:szCs w:val="16"/>
        </w:rPr>
        <w:t>немцы знали обо всех стратегических объектах, расположенных здесь. На аэрофотоснимках и картах обозначены авиамоторный завод № 24, авиазаводы № 1 и 18, аэродром 1-й заб и т. д. Разведданных было вполне достаточно, чтобы понять, что большинство Ил-2 строятся на берегах Волги. Хотя Куйбышев и отделяло от линии фронта свыше семисот километров, город и его окрестности находились в зоне досягаемости двухмоторных бомбардировщиков. Однако приказ о налете на крупнейший в СССР авиазавод так и не поступил. В результате рабочие могли спокойно трудиться, увеличивая из месяца в месяц выпуск штурмовиков (19522).</w:t>
      </w:r>
    </w:p>
    <w:p w14:paraId="1379A2DC" w14:textId="77777777" w:rsidR="009F0796" w:rsidRPr="00722885" w:rsidRDefault="009F0796" w:rsidP="00722885">
      <w:pPr>
        <w:pStyle w:val="ae"/>
        <w:spacing w:before="0" w:after="0"/>
        <w:jc w:val="both"/>
        <w:textAlignment w:val="baseline"/>
        <w:rPr>
          <w:color w:val="000000" w:themeColor="text1"/>
          <w:sz w:val="16"/>
          <w:szCs w:val="16"/>
        </w:rPr>
      </w:pPr>
    </w:p>
    <w:p w14:paraId="3C699728" w14:textId="77777777" w:rsidR="00716A6B" w:rsidRPr="00722885" w:rsidRDefault="00716A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17 августа 1942 г. 37-мм пушка 11П № 2 ОКБ-16 в пе</w:t>
      </w:r>
      <w:r w:rsidRPr="00722885">
        <w:rPr>
          <w:color w:val="000000" w:themeColor="text1"/>
          <w:sz w:val="16"/>
          <w:szCs w:val="16"/>
        </w:rPr>
        <w:softHyphen/>
        <w:t>риод успешно прошла повторные летные полигонные испытания на самолете ЛаГГ-3 зав. № 312197, которые начались 21 июля. Отчет по испы</w:t>
      </w:r>
      <w:r w:rsidRPr="00722885">
        <w:rPr>
          <w:color w:val="000000" w:themeColor="text1"/>
          <w:sz w:val="16"/>
          <w:szCs w:val="16"/>
        </w:rPr>
        <w:softHyphen/>
        <w:t>таниям был утвержден главным инженером ВВС КА генерал-лейтенантом Репиным 26 августа.</w:t>
      </w:r>
    </w:p>
    <w:p w14:paraId="39D8AD14" w14:textId="77777777" w:rsidR="00716A6B" w:rsidRPr="00722885" w:rsidRDefault="00716A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Испытания проводились филиалом НИП АВ ВВС в Ногинске. Ведущим инженером по испытаниям был назначен инженер-майор Филиппов, помощ</w:t>
      </w:r>
      <w:r w:rsidRPr="00722885">
        <w:rPr>
          <w:color w:val="000000" w:themeColor="text1"/>
          <w:sz w:val="16"/>
          <w:szCs w:val="16"/>
        </w:rPr>
        <w:softHyphen/>
        <w:t>ником ведущего инженера — старший техник-лей</w:t>
      </w:r>
      <w:r w:rsidRPr="00722885">
        <w:rPr>
          <w:color w:val="000000" w:themeColor="text1"/>
          <w:sz w:val="16"/>
          <w:szCs w:val="16"/>
        </w:rPr>
        <w:softHyphen/>
        <w:t>тенант Гурьев. Испытания обеспечивала бригада в составе техников-испытателей сержантов Филип</w:t>
      </w:r>
      <w:r w:rsidRPr="00722885">
        <w:rPr>
          <w:color w:val="000000" w:themeColor="text1"/>
          <w:sz w:val="16"/>
          <w:szCs w:val="16"/>
        </w:rPr>
        <w:softHyphen/>
        <w:t>пова и Ярулина, младшего специалиста сержанта Лубышева, техника-расчетчика — Хитровой, авиа</w:t>
      </w:r>
      <w:r w:rsidRPr="00722885">
        <w:rPr>
          <w:color w:val="000000" w:themeColor="text1"/>
          <w:sz w:val="16"/>
          <w:szCs w:val="16"/>
        </w:rPr>
        <w:softHyphen/>
        <w:t>механика техника-лейтенанта Василевского, авиа</w:t>
      </w:r>
      <w:r w:rsidRPr="00722885">
        <w:rPr>
          <w:color w:val="000000" w:themeColor="text1"/>
          <w:sz w:val="16"/>
          <w:szCs w:val="16"/>
        </w:rPr>
        <w:softHyphen/>
        <w:t>механика старшины Шалагинова. Летал летчик-ис</w:t>
      </w:r>
      <w:r w:rsidRPr="00722885">
        <w:rPr>
          <w:color w:val="000000" w:themeColor="text1"/>
          <w:sz w:val="16"/>
          <w:szCs w:val="16"/>
        </w:rPr>
        <w:softHyphen/>
        <w:t>пытатель капитан Кравченко. Позже техника-рас</w:t>
      </w:r>
      <w:r w:rsidRPr="00722885">
        <w:rPr>
          <w:color w:val="000000" w:themeColor="text1"/>
          <w:sz w:val="16"/>
          <w:szCs w:val="16"/>
        </w:rPr>
        <w:softHyphen/>
        <w:t>четчика Хитрову заменили техником-лейтенантом Громовым.</w:t>
      </w:r>
    </w:p>
    <w:p w14:paraId="4874A00C" w14:textId="77777777" w:rsidR="00716A6B" w:rsidRPr="00722885" w:rsidRDefault="00716A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доработки под штатный патрон, на пушке 11П № 2 была изменена конструкция заще</w:t>
      </w:r>
      <w:r w:rsidRPr="00722885">
        <w:rPr>
          <w:color w:val="000000" w:themeColor="text1"/>
          <w:sz w:val="16"/>
          <w:szCs w:val="16"/>
        </w:rPr>
        <w:softHyphen/>
        <w:t>лок затвора (что привело к упрощению формы за</w:t>
      </w:r>
      <w:r w:rsidRPr="00722885">
        <w:rPr>
          <w:color w:val="000000" w:themeColor="text1"/>
          <w:sz w:val="16"/>
          <w:szCs w:val="16"/>
        </w:rPr>
        <w:softHyphen/>
        <w:t>твора), бойка (с целью повышения его живучести и улучшения конструктивной формы ударника) и стопора затыльника. Изготовлено новое звено с измененной формой шарнира, увеличенной жест</w:t>
      </w:r>
      <w:r w:rsidRPr="00722885">
        <w:rPr>
          <w:color w:val="000000" w:themeColor="text1"/>
          <w:sz w:val="16"/>
          <w:szCs w:val="16"/>
        </w:rPr>
        <w:softHyphen/>
        <w:t>кости и более простое в производстве. Патронная коробка теперь состояла из двух частей. Это по</w:t>
      </w:r>
      <w:r w:rsidRPr="00722885">
        <w:rPr>
          <w:color w:val="000000" w:themeColor="text1"/>
          <w:sz w:val="16"/>
          <w:szCs w:val="16"/>
        </w:rPr>
        <w:softHyphen/>
        <w:t>зволяло снимать и ставить патронную коробку без демонтажа пулеметов БС. Улучшен подвод ленты в рукава к приемнику. Поставлен предохранитель на кнопку электропневмопуска. Переделаны кон</w:t>
      </w:r>
      <w:r w:rsidRPr="00722885">
        <w:rPr>
          <w:color w:val="000000" w:themeColor="text1"/>
          <w:sz w:val="16"/>
          <w:szCs w:val="16"/>
        </w:rPr>
        <w:softHyphen/>
        <w:t>струкции звеньеотвода, заднего поддерживающе</w:t>
      </w:r>
      <w:r w:rsidRPr="00722885">
        <w:rPr>
          <w:color w:val="000000" w:themeColor="text1"/>
          <w:sz w:val="16"/>
          <w:szCs w:val="16"/>
        </w:rPr>
        <w:softHyphen/>
        <w:t>го крепления пушки, гашеток пневмоперезарядки пушки, гильзозвеньесборника. Сделан отсос газов из гильзозвеньесборника. Боекомплект к пушке со</w:t>
      </w:r>
      <w:r w:rsidRPr="00722885">
        <w:rPr>
          <w:color w:val="000000" w:themeColor="text1"/>
          <w:sz w:val="16"/>
          <w:szCs w:val="16"/>
        </w:rPr>
        <w:softHyphen/>
        <w:t>ставил 36 снарядов.</w:t>
      </w:r>
    </w:p>
    <w:p w14:paraId="3D2CC6A6" w14:textId="77777777" w:rsidR="00716A6B" w:rsidRPr="00722885" w:rsidRDefault="00716A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испытаниях пушка продемонстрировала вы</w:t>
      </w:r>
      <w:r w:rsidRPr="00722885">
        <w:rPr>
          <w:color w:val="000000" w:themeColor="text1"/>
          <w:sz w:val="16"/>
          <w:szCs w:val="16"/>
        </w:rPr>
        <w:softHyphen/>
        <w:t>сокую надежность в работе, дав всего 0,54% задер</w:t>
      </w:r>
      <w:r w:rsidRPr="00722885">
        <w:rPr>
          <w:color w:val="000000" w:themeColor="text1"/>
          <w:sz w:val="16"/>
          <w:szCs w:val="16"/>
        </w:rPr>
        <w:softHyphen/>
        <w:t>жек. Из 3359 выстрелов (в том числе 492 — в за</w:t>
      </w:r>
      <w:r w:rsidRPr="00722885">
        <w:rPr>
          <w:color w:val="000000" w:themeColor="text1"/>
          <w:sz w:val="16"/>
          <w:szCs w:val="16"/>
        </w:rPr>
        <w:softHyphen/>
        <w:t>водских условиях), произведенных на испытаниях, 1314 выстрелов было выполнено в воздухе в 42 по</w:t>
      </w:r>
      <w:r w:rsidRPr="00722885">
        <w:rPr>
          <w:color w:val="000000" w:themeColor="text1"/>
          <w:sz w:val="16"/>
          <w:szCs w:val="16"/>
        </w:rPr>
        <w:softHyphen/>
        <w:t>летах, остальные — на земле. Причем в 27 полетах боекомплект был расстрелян полностью без задер жек. Живучесть пушки лимитировалась поломкой затыльника после 1657 выстрелов и хвостовика ударника после 2231 выстрела.</w:t>
      </w:r>
    </w:p>
    <w:p w14:paraId="79CDA36C" w14:textId="77777777" w:rsidR="00716A6B" w:rsidRPr="00722885" w:rsidRDefault="00716A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Установка пушки на самолете обеспечила впол</w:t>
      </w:r>
      <w:r w:rsidRPr="00722885">
        <w:rPr>
          <w:color w:val="000000" w:themeColor="text1"/>
          <w:sz w:val="16"/>
          <w:szCs w:val="16"/>
        </w:rPr>
        <w:softHyphen/>
        <w:t>не нормальную работу пушки при выполнении 2802 выстрелов. Слабым местом оказался опор</w:t>
      </w:r>
      <w:r w:rsidRPr="00722885">
        <w:rPr>
          <w:color w:val="000000" w:themeColor="text1"/>
          <w:sz w:val="16"/>
          <w:szCs w:val="16"/>
        </w:rPr>
        <w:softHyphen/>
        <w:t>ный подшипник ствола в храповике винта, кото</w:t>
      </w:r>
      <w:r w:rsidRPr="00722885">
        <w:rPr>
          <w:color w:val="000000" w:themeColor="text1"/>
          <w:sz w:val="16"/>
          <w:szCs w:val="16"/>
        </w:rPr>
        <w:softHyphen/>
        <w:t>рый сломался после 2094 выстрелов. Основное силовое крепление пушки к мотору — передний суппорт, воспринимающий усилие отдачи, вы</w:t>
      </w:r>
      <w:r w:rsidRPr="00722885">
        <w:rPr>
          <w:color w:val="000000" w:themeColor="text1"/>
          <w:sz w:val="16"/>
          <w:szCs w:val="16"/>
        </w:rPr>
        <w:softHyphen/>
        <w:t>держал 4256 выстрелов и свою живучесть не ис</w:t>
      </w:r>
      <w:r w:rsidRPr="00722885">
        <w:rPr>
          <w:color w:val="000000" w:themeColor="text1"/>
          <w:sz w:val="16"/>
          <w:szCs w:val="16"/>
        </w:rPr>
        <w:softHyphen/>
        <w:t>черпал (учтено количество выстрелов, произве</w:t>
      </w:r>
      <w:r w:rsidRPr="00722885">
        <w:rPr>
          <w:color w:val="000000" w:themeColor="text1"/>
          <w:sz w:val="16"/>
          <w:szCs w:val="16"/>
        </w:rPr>
        <w:softHyphen/>
        <w:t>денных при первых полигонных испытаниях пуш</w:t>
      </w:r>
      <w:r w:rsidRPr="00722885">
        <w:rPr>
          <w:color w:val="000000" w:themeColor="text1"/>
          <w:sz w:val="16"/>
          <w:szCs w:val="16"/>
        </w:rPr>
        <w:softHyphen/>
        <w:t>ки 11П № 1).</w:t>
      </w:r>
    </w:p>
    <w:p w14:paraId="61034D42" w14:textId="77777777" w:rsidR="00716A6B" w:rsidRPr="00722885" w:rsidRDefault="00716A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заключению капитана Кравченко, техника пилотирования самолетом по сравнению с серий</w:t>
      </w:r>
      <w:r w:rsidRPr="00722885">
        <w:rPr>
          <w:color w:val="000000" w:themeColor="text1"/>
          <w:sz w:val="16"/>
          <w:szCs w:val="16"/>
        </w:rPr>
        <w:softHyphen/>
        <w:t>ными машинами не изменилась. Вести стрельбу длинными очередями не рекомендовалось, так как уже после 4—5 выстрелов самолет начинает раска</w:t>
      </w:r>
      <w:r w:rsidRPr="00722885">
        <w:rPr>
          <w:color w:val="000000" w:themeColor="text1"/>
          <w:sz w:val="16"/>
          <w:szCs w:val="16"/>
        </w:rPr>
        <w:softHyphen/>
        <w:t>чиваться и наводка на цель сбивается.</w:t>
      </w:r>
    </w:p>
    <w:p w14:paraId="56B7D3E3" w14:textId="77777777" w:rsidR="00716A6B" w:rsidRPr="00722885" w:rsidRDefault="00716A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заключении акта по испытаниям отмечалось, что «предъявленная ОКБ-16 НКВ 37-мм авиаци</w:t>
      </w:r>
      <w:r w:rsidRPr="00722885">
        <w:rPr>
          <w:color w:val="000000" w:themeColor="text1"/>
          <w:sz w:val="16"/>
          <w:szCs w:val="16"/>
        </w:rPr>
        <w:softHyphen/>
        <w:t>онная пушка 11-П № 2, установленная в развале мотора М-105П самолета ЛаГГ-3, повторные полигонные испытания выдержала».</w:t>
      </w:r>
    </w:p>
    <w:p w14:paraId="65488F6B" w14:textId="77777777" w:rsidR="00716A6B" w:rsidRPr="00722885" w:rsidRDefault="00716A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результатам стрельб госу</w:t>
      </w:r>
      <w:r w:rsidRPr="00722885">
        <w:rPr>
          <w:color w:val="000000" w:themeColor="text1"/>
          <w:sz w:val="16"/>
          <w:szCs w:val="16"/>
        </w:rPr>
        <w:softHyphen/>
        <w:t>дарственной комиссией был сделан вывод, что «...из двух систем 37-мм пушек (ОКБ-15 и ОКБ-16) лучшей системой, по данным полигонных испытаний, является 37-мм пушка ОКБ-16 НКВ».</w:t>
      </w:r>
    </w:p>
    <w:p w14:paraId="2BB2E18D" w14:textId="77777777" w:rsidR="00716A6B" w:rsidRPr="00722885" w:rsidRDefault="00716A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Пушка 11П имела явные пре</w:t>
      </w:r>
      <w:r w:rsidRPr="00722885">
        <w:rPr>
          <w:color w:val="000000" w:themeColor="text1"/>
          <w:sz w:val="16"/>
          <w:szCs w:val="16"/>
        </w:rPr>
        <w:softHyphen/>
        <w:t>имущества по весу и количеству деталей самой пушки и пушечных установок на самолетах ЛаГГ-3 и Ил-2, а также по размеру боеком</w:t>
      </w:r>
      <w:r w:rsidRPr="00722885">
        <w:rPr>
          <w:color w:val="000000" w:themeColor="text1"/>
          <w:sz w:val="16"/>
          <w:szCs w:val="16"/>
        </w:rPr>
        <w:softHyphen/>
        <w:t>плекта и темпу стрельбы. К тому же пушка 11П допускала неподвижное крепление на самолете вместе с па</w:t>
      </w:r>
      <w:r w:rsidRPr="00722885">
        <w:rPr>
          <w:color w:val="000000" w:themeColor="text1"/>
          <w:sz w:val="16"/>
          <w:szCs w:val="16"/>
        </w:rPr>
        <w:softHyphen/>
        <w:t>тронным ящиком, что значительно упрощало конструкцию установки. При этом поскольку автоматика пушки построена на принципе от</w:t>
      </w:r>
      <w:r w:rsidRPr="00722885">
        <w:rPr>
          <w:color w:val="000000" w:themeColor="text1"/>
          <w:sz w:val="16"/>
          <w:szCs w:val="16"/>
        </w:rPr>
        <w:softHyphen/>
        <w:t>дачи ствола с коротким ходом, то она была малочувствительна к за</w:t>
      </w:r>
      <w:r w:rsidRPr="00722885">
        <w:rPr>
          <w:color w:val="000000" w:themeColor="text1"/>
          <w:sz w:val="16"/>
          <w:szCs w:val="16"/>
        </w:rPr>
        <w:softHyphen/>
        <w:t>грязнению. В ходе повторных испытаний пушка нормально работала без чистки и смазки в течение 7 суток, за время которых произведен 1201 вы</w:t>
      </w:r>
      <w:r w:rsidRPr="00722885">
        <w:rPr>
          <w:color w:val="000000" w:themeColor="text1"/>
          <w:sz w:val="16"/>
          <w:szCs w:val="16"/>
        </w:rPr>
        <w:softHyphen/>
        <w:t>стрел, при периодической чистке только запира</w:t>
      </w:r>
      <w:r w:rsidRPr="00722885">
        <w:rPr>
          <w:color w:val="000000" w:themeColor="text1"/>
          <w:sz w:val="16"/>
          <w:szCs w:val="16"/>
        </w:rPr>
        <w:softHyphen/>
        <w:t>ющего механизма. Кроме того, пушку 11П ОКБ-16 по плану опытного строительства ВВС КА на 1942 г. предполагалось установить в крыле двухмотор</w:t>
      </w:r>
      <w:r w:rsidRPr="00722885">
        <w:rPr>
          <w:color w:val="000000" w:themeColor="text1"/>
          <w:sz w:val="16"/>
          <w:szCs w:val="16"/>
        </w:rPr>
        <w:softHyphen/>
        <w:t>ных штурмовиков. Тогда как пушку ОКБ-15 внутри крыла из-за больших габаритов разместить невоз</w:t>
      </w:r>
      <w:r w:rsidRPr="00722885">
        <w:rPr>
          <w:color w:val="000000" w:themeColor="text1"/>
          <w:sz w:val="16"/>
          <w:szCs w:val="16"/>
        </w:rPr>
        <w:softHyphen/>
        <w:t>можно.</w:t>
      </w:r>
    </w:p>
    <w:p w14:paraId="0883A45C" w14:textId="77777777" w:rsidR="00716A6B" w:rsidRPr="00722885" w:rsidRDefault="00716A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решении Управления опытного строительства ГУ ИАС ВВС по результатам испытаний предлага</w:t>
      </w:r>
      <w:r w:rsidRPr="00722885">
        <w:rPr>
          <w:color w:val="000000" w:themeColor="text1"/>
          <w:sz w:val="16"/>
          <w:szCs w:val="16"/>
        </w:rPr>
        <w:softHyphen/>
        <w:t>лось: «2. Просить Народного Комиссара вооруже</w:t>
      </w:r>
      <w:r w:rsidRPr="00722885">
        <w:rPr>
          <w:color w:val="000000" w:themeColor="text1"/>
          <w:sz w:val="16"/>
          <w:szCs w:val="16"/>
        </w:rPr>
        <w:softHyphen/>
        <w:t>ния СССР — изготовить в 1942 г. 60 шт. 37-мм пушек ОКБ-16. 3. Просить Народного Комиссара авиаци</w:t>
      </w:r>
      <w:r w:rsidRPr="00722885">
        <w:rPr>
          <w:color w:val="000000" w:themeColor="text1"/>
          <w:sz w:val="16"/>
          <w:szCs w:val="16"/>
        </w:rPr>
        <w:softHyphen/>
        <w:t>онной промышленности СССР вооружить в 1942 г. 37-мм пушками ОКБ-16 20 самолетов ЛаГГ-3 и 20 са</w:t>
      </w:r>
      <w:r w:rsidRPr="00722885">
        <w:rPr>
          <w:color w:val="000000" w:themeColor="text1"/>
          <w:sz w:val="16"/>
          <w:szCs w:val="16"/>
        </w:rPr>
        <w:softHyphen/>
        <w:t>молетов Ил-2 в счет программы выпускаемых само</w:t>
      </w:r>
      <w:r w:rsidRPr="00722885">
        <w:rPr>
          <w:color w:val="000000" w:themeColor="text1"/>
          <w:sz w:val="16"/>
          <w:szCs w:val="16"/>
        </w:rPr>
        <w:softHyphen/>
        <w:t>летов для ВВС Красной Армии. /.../ 5. Учитывая, что наиболее эффективным снарядом в авиации для борьбы с танками является снаряд калибра 37 мм и что в настоящее время удовлетворение запросов фронта по этому калибру можно быстро осуще ствить путем восстановления налаженного произ</w:t>
      </w:r>
      <w:r w:rsidRPr="00722885">
        <w:rPr>
          <w:color w:val="000000" w:themeColor="text1"/>
          <w:sz w:val="16"/>
          <w:szCs w:val="16"/>
        </w:rPr>
        <w:softHyphen/>
        <w:t>водства 37-мм пушек ОКБ-15, Управление опытного строительства ГУ ИАС ВВС КА считает необходимым продолжать производство пушек ОКБ-15. 6. Вопрос о вводе на вооружение ВВС КА пушек калибра 37 мм решить после сравнения результатов боево</w:t>
      </w:r>
      <w:r w:rsidRPr="00722885">
        <w:rPr>
          <w:color w:val="000000" w:themeColor="text1"/>
          <w:sz w:val="16"/>
          <w:szCs w:val="16"/>
        </w:rPr>
        <w:softHyphen/>
        <w:t>го применения пушек ОКБ-15 и ОКБ-16» (17500).</w:t>
      </w:r>
    </w:p>
    <w:p w14:paraId="3D45117F" w14:textId="77777777" w:rsidR="00716A6B" w:rsidRPr="00722885" w:rsidRDefault="00716A6B" w:rsidP="00722885">
      <w:pPr>
        <w:spacing w:after="0" w:line="240" w:lineRule="auto"/>
        <w:jc w:val="both"/>
        <w:rPr>
          <w:rFonts w:ascii="Times New Roman" w:hAnsi="Times New Roman"/>
          <w:color w:val="000000" w:themeColor="text1"/>
          <w:sz w:val="16"/>
          <w:szCs w:val="16"/>
        </w:rPr>
      </w:pPr>
    </w:p>
    <w:p w14:paraId="1DBD1832" w14:textId="77777777" w:rsidR="009F0796" w:rsidRPr="00722885" w:rsidRDefault="009F0796"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17 августа 1942 успешно завершились испытания переконстру</w:t>
      </w:r>
      <w:r w:rsidRPr="00722885">
        <w:rPr>
          <w:rFonts w:ascii="Times New Roman" w:hAnsi="Times New Roman" w:cs="Times New Roman"/>
          <w:color w:val="000000" w:themeColor="text1"/>
          <w:sz w:val="16"/>
          <w:szCs w:val="16"/>
        </w:rPr>
        <w:softHyphen/>
        <w:t>ированной 11 П. В ходе сорока двух полетов было выполнено 1314 выстрелов. Процент отказов и задержек составил 0,54. Этот результат привел к прекращению производства Ш-37, ко</w:t>
      </w:r>
      <w:r w:rsidRPr="00722885">
        <w:rPr>
          <w:rFonts w:ascii="Times New Roman" w:hAnsi="Times New Roman" w:cs="Times New Roman"/>
          <w:color w:val="000000" w:themeColor="text1"/>
          <w:sz w:val="16"/>
          <w:szCs w:val="16"/>
        </w:rPr>
        <w:softHyphen/>
        <w:t>торых успели выпустить 188 экземпляров. На сей раз Шпитальному не помогли письма в высокие инстанции с жалобами на фальсификацию итогов испытаний пушки конкурентов и просьбами провести расследование. Похоже, что его чрезмер</w:t>
      </w:r>
      <w:r w:rsidRPr="00722885">
        <w:rPr>
          <w:rFonts w:ascii="Times New Roman" w:hAnsi="Times New Roman" w:cs="Times New Roman"/>
          <w:color w:val="000000" w:themeColor="text1"/>
          <w:sz w:val="16"/>
          <w:szCs w:val="16"/>
        </w:rPr>
        <w:softHyphen/>
        <w:t>ная активность, не подкрепленная новыми реальными успеха</w:t>
      </w:r>
      <w:r w:rsidRPr="00722885">
        <w:rPr>
          <w:rFonts w:ascii="Times New Roman" w:hAnsi="Times New Roman" w:cs="Times New Roman"/>
          <w:color w:val="000000" w:themeColor="text1"/>
          <w:sz w:val="16"/>
          <w:szCs w:val="16"/>
        </w:rPr>
        <w:softHyphen/>
        <w:t>ми, надоела и «самому». Больше ни одна из созданных им си</w:t>
      </w:r>
      <w:r w:rsidRPr="00722885">
        <w:rPr>
          <w:rFonts w:ascii="Times New Roman" w:hAnsi="Times New Roman" w:cs="Times New Roman"/>
          <w:color w:val="000000" w:themeColor="text1"/>
          <w:sz w:val="16"/>
          <w:szCs w:val="16"/>
        </w:rPr>
        <w:softHyphen/>
        <w:t>стем не была принята на вооружение (19106).</w:t>
      </w:r>
    </w:p>
    <w:p w14:paraId="7A55EE95" w14:textId="77777777" w:rsidR="009F0796" w:rsidRPr="00722885" w:rsidRDefault="009F0796" w:rsidP="00722885">
      <w:pPr>
        <w:pStyle w:val="5f2"/>
        <w:shd w:val="clear" w:color="auto" w:fill="auto"/>
        <w:spacing w:before="0" w:after="0" w:line="240" w:lineRule="auto"/>
        <w:rPr>
          <w:rFonts w:ascii="Times New Roman" w:hAnsi="Times New Roman" w:cs="Times New Roman"/>
          <w:color w:val="000000" w:themeColor="text1"/>
          <w:sz w:val="16"/>
          <w:szCs w:val="16"/>
        </w:rPr>
      </w:pPr>
    </w:p>
    <w:p w14:paraId="4DAEC1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августа 1942 вышел приказ НКАП N 631с:</w:t>
      </w:r>
    </w:p>
    <w:p w14:paraId="444A5F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обеспечения эксплуатации самолетов ДБ-3 в строевых частях ВВС ВМФ:</w:t>
      </w:r>
    </w:p>
    <w:p w14:paraId="743B99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Нач. 10 ГУ Тарасевичу и директору завода 126 Тимофееву произвести до 15 октября 1942 замену моторов М-87 и М-87Б на М-88 на 125 самолетах ДБ-3 ВМФ" (1577,3).</w:t>
      </w:r>
    </w:p>
    <w:p w14:paraId="2D708FF2" w14:textId="77777777" w:rsidR="00AE7191" w:rsidRPr="00722885" w:rsidRDefault="00AE7191" w:rsidP="00722885">
      <w:pPr>
        <w:pStyle w:val="Iauiue"/>
        <w:jc w:val="both"/>
        <w:rPr>
          <w:color w:val="000000" w:themeColor="text1"/>
          <w:sz w:val="16"/>
          <w:szCs w:val="16"/>
        </w:rPr>
      </w:pPr>
    </w:p>
    <w:p w14:paraId="524EF1B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августа 1942 ЛИИ НКАП в Казани приступил к проверочным испытаниям, переданного ему заводом 22 самолета Пе-2, переданного из серийного производства." (1685,58).</w:t>
      </w:r>
    </w:p>
    <w:p w14:paraId="399C8354" w14:textId="77777777" w:rsidR="00AE7191" w:rsidRPr="00722885" w:rsidRDefault="00AE7191" w:rsidP="00722885">
      <w:pPr>
        <w:pStyle w:val="Iauiue"/>
        <w:jc w:val="both"/>
        <w:rPr>
          <w:color w:val="000000" w:themeColor="text1"/>
          <w:sz w:val="16"/>
          <w:szCs w:val="16"/>
        </w:rPr>
      </w:pPr>
    </w:p>
    <w:p w14:paraId="4466F2A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августа 1942 состоялись испытания ПВРД ДМ-4с N 14 конструкции И.А.Меркулова для Як-7 в аэродинамической трубе. Диаметр - 500 мм, длинна 2430 мм. С 22 августа испытывался второй двигатель N 15 (367,54).</w:t>
      </w:r>
    </w:p>
    <w:p w14:paraId="3C78A36D" w14:textId="77777777" w:rsidR="00AE7191" w:rsidRPr="00722885" w:rsidRDefault="00AE7191" w:rsidP="00722885">
      <w:pPr>
        <w:pStyle w:val="Iauiue"/>
        <w:jc w:val="both"/>
        <w:rPr>
          <w:color w:val="000000" w:themeColor="text1"/>
          <w:sz w:val="16"/>
          <w:szCs w:val="16"/>
        </w:rPr>
      </w:pPr>
    </w:p>
    <w:p w14:paraId="7B22587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u w:val="single"/>
        </w:rPr>
      </w:pPr>
      <w:r w:rsidRPr="00722885">
        <w:rPr>
          <w:rFonts w:ascii="Times New Roman" w:hAnsi="Times New Roman"/>
          <w:color w:val="000000" w:themeColor="text1"/>
          <w:sz w:val="16"/>
          <w:szCs w:val="16"/>
        </w:rPr>
        <w:t>17 августа 1942 г. были проведены испытания в трубе АТ-2 двигателей Меркулова ДМ-4с с целью испытания зажигания и горения</w:t>
      </w:r>
    </w:p>
    <w:p w14:paraId="6FAA006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К Т № 1</w:t>
      </w:r>
    </w:p>
    <w:p w14:paraId="67DEBB2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Настоящий акт составлен Комиссией в составе: начальника испытательной станции Чарного И.А., ст.инженера испытательной станции Асадчиковп Е.А.. инженера Николаевского Б.А. в той, что двигатель ДМ-4с № 14 был установлен в аэродинамической трубе АТ-2 17 августа 1942 г. с целью испытания зажигания и горения.</w:t>
      </w:r>
    </w:p>
    <w:p w14:paraId="66BE762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первого воспламенения горючего двигатель был выклю</w:t>
      </w:r>
      <w:r w:rsidRPr="00722885">
        <w:rPr>
          <w:rFonts w:ascii="Times New Roman" w:hAnsi="Times New Roman"/>
          <w:color w:val="000000" w:themeColor="text1"/>
          <w:sz w:val="16"/>
          <w:szCs w:val="16"/>
        </w:rPr>
        <w:softHyphen/>
        <w:t>чен и осмотрен. Обнаружены подтеки горючего под наружный кольцом.</w:t>
      </w:r>
    </w:p>
    <w:p w14:paraId="33C7656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вторичном пуске двигателя со святим наружным коль</w:t>
      </w:r>
      <w:r w:rsidRPr="00722885">
        <w:rPr>
          <w:rFonts w:ascii="Times New Roman" w:hAnsi="Times New Roman"/>
          <w:color w:val="000000" w:themeColor="text1"/>
          <w:sz w:val="16"/>
          <w:szCs w:val="16"/>
        </w:rPr>
        <w:softHyphen/>
        <w:t>цом, замечено пламя под конусом корпуса двигателя, вслед</w:t>
      </w:r>
      <w:r w:rsidRPr="00722885">
        <w:rPr>
          <w:rFonts w:ascii="Times New Roman" w:hAnsi="Times New Roman"/>
          <w:color w:val="000000" w:themeColor="text1"/>
          <w:sz w:val="16"/>
          <w:szCs w:val="16"/>
        </w:rPr>
        <w:softHyphen/>
        <w:t>ствие этого двигатель был выключен.</w:t>
      </w:r>
    </w:p>
    <w:p w14:paraId="0388D7F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Установлено протекание горючего в полость под конусом корпуса по причине негерметичности сварных швов корпуса.</w:t>
      </w:r>
    </w:p>
    <w:p w14:paraId="33D2BCA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Без устранения этого дефекта дальнейшие испытания не могут продолжаться.</w:t>
      </w:r>
    </w:p>
    <w:p w14:paraId="369C584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Воспламенение топлива в двигателях в первом и втором случае происходило нормально" (11081).</w:t>
      </w:r>
    </w:p>
    <w:p w14:paraId="26F2FD6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2EF0917"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17 августа 1942 г. двигатель ДМ-4С № 14 был уста новлен в аэродинамической трубе АТ-2 с це лью испытания зажигания и горения.</w:t>
      </w:r>
    </w:p>
    <w:p w14:paraId="373CA08E"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После первого воспламенения горючего двигатель был вык лючен и осмотрен. Обнаружены подтеки горючего под наруж ным кольцом.</w:t>
      </w:r>
    </w:p>
    <w:p w14:paraId="2BE84253"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При втором пуске двигателя со снятым наружным коль цом, замечено пламя под конусом корпуса двигателя, вслед ствие этого двигатель был выключен.</w:t>
      </w:r>
    </w:p>
    <w:p w14:paraId="084542B9"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Установлено протекание горючего в полость под конусом корпуса по причине негерметичности сварных швов корпуса.</w:t>
      </w:r>
    </w:p>
    <w:p w14:paraId="641D5B24"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Без устранения этого дефекта дальнейшие испытания не могут продолжаться.</w:t>
      </w:r>
    </w:p>
    <w:p w14:paraId="553E6D29"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Воспламенение топлива в двигателях в первом и втором случае происходило нормально».</w:t>
      </w:r>
    </w:p>
    <w:p w14:paraId="56EEAC1D"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Дефекты устранялись собственными силами. 22 августа 1942 г. в AT был поставлен второй двигатель ДМ-4С № 15.</w:t>
      </w:r>
    </w:p>
    <w:p w14:paraId="1D4DB5CB"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При первых четырех запусках отказывало зажигание. После наладки электроприбора зажигание двигателя в трех попыт ках не включалось из-за засорения расходомера, через кото рый поступал бензин. 29 августа испытания двигателя № 15 были продолжены. Двигатель включился в работу нор мально. Горение бензина происходило по всему сечению каме ры. Резко выделялись три языка пламени, центрами ко торых являлись штуцеры, подводящие бензин к горелке. При скорости потока воздуха в рабочей части трубы 47 м/с и при подаче горючего в количестве 120 см3/с длина факела доходи ла до 1...1,5 м. Продолжительность работы двигателя на раз личных расходах бензина от 50 до 150 см3/с составила 3 мин.</w:t>
      </w:r>
    </w:p>
    <w:p w14:paraId="4943FDBE"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31 августа 1942 г. провели п я т ь опытов. При первом аз них двигатель не заработал, а четыре последующих прошла нормально.</w:t>
      </w:r>
    </w:p>
    <w:p w14:paraId="506A496C"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Так, день за днем проводились доводка и исследование ПВРД ДМ-4С в СЭИГ МАИ.</w:t>
      </w:r>
    </w:p>
    <w:p w14:paraId="188FA78D"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Проведенные при первых опытах измерения и визуальные наблюдения позволили определить характер пламени в каме рах сгорания при различных горелках и внести уточнения в распределение форсунок по трубкам горелок.</w:t>
      </w:r>
    </w:p>
    <w:p w14:paraId="5A1B949A"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Испытания проводились на двух экземплярах № 14, № с целью — выявить необходимые исправления и окончатель ные варианты арматуры и системы распределения форсунок внести в предназначенные для летных испытаний экземпля ры ДМ-4С № 16, № 17, избежав на летных экземплярах про межуточных переделок.</w:t>
      </w:r>
    </w:p>
    <w:p w14:paraId="6F20C39D"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окончании первого этапа испытаний были исследованы рабочие характеристики реактивных двигателей.</w:t>
      </w:r>
    </w:p>
    <w:p w14:paraId="56FD5EE9" w14:textId="77777777" w:rsidR="009F0796" w:rsidRPr="00722885"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результате проведения всех испытаний в AT и выполне н и я доводочных работ была установлена безопасность двига телей ДМ-4С в эксплуатации, проверена жаропрочность всех элементов их конструкции и достигнута надежная работа дви гателей. Таким образом, совместной работой МАИ и СКВ ПВРД ДМ-4С были подготовлены к летным испытаниям на самоле те Як-7Б.</w:t>
      </w:r>
    </w:p>
    <w:p w14:paraId="512EFAAB" w14:textId="77777777" w:rsidR="009F0796" w:rsidRPr="00722885" w:rsidRDefault="009F0796"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то же время исследования этих двигателей показали, что температура газов в камере сгорания и скорость их истечения оказались несколько ниже расчетных величин.</w:t>
      </w:r>
    </w:p>
    <w:p w14:paraId="12534CCA" w14:textId="77777777" w:rsidR="009F0796" w:rsidRPr="00722885" w:rsidRDefault="009F0796"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Первоначально ДМ-4С были установлены и опробованы в работе на находящемся в 12 Гвардейском истребительно-авиа ционном полку ПВО Москвы опытном экземпляре учебно-тре нировочного истребителя УТИ-26—2 конструкции А.С. Яков лева. Эта попытка оказалась неудачной, так к а к подвеска дви гателя под крыло смещала центровку самолета недопустимо вперед,.а также не были приняты меры к обеспечению проти вопожарной безопасности (непротектированные бензобаки из за вызываемой двигателями вибрации часто текли).</w:t>
      </w:r>
    </w:p>
    <w:p w14:paraId="20B58C9E" w14:textId="77777777" w:rsidR="009F0796" w:rsidRPr="00722885" w:rsidRDefault="009F0796"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Вслед за наземными испытаниями ПВРД в 1944 г. были проведены работы по оборудованию самолета Як-7Б для уста новки на него ДМ-4С (19596).</w:t>
      </w:r>
    </w:p>
    <w:p w14:paraId="6FE05BD1" w14:textId="77777777" w:rsidR="009F0796" w:rsidRPr="00722885" w:rsidRDefault="009F0796" w:rsidP="00722885">
      <w:pPr>
        <w:spacing w:after="0" w:line="240" w:lineRule="auto"/>
        <w:jc w:val="both"/>
        <w:rPr>
          <w:rFonts w:ascii="Times New Roman" w:hAnsi="Times New Roman"/>
          <w:color w:val="000000" w:themeColor="text1"/>
          <w:sz w:val="16"/>
          <w:szCs w:val="16"/>
        </w:rPr>
      </w:pPr>
    </w:p>
    <w:p w14:paraId="0D2F59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августа 1942 закончились повторные испытания пушки 11-П N 2, установленной на самолете ЛаГГ-3 N 312197, проводимые с 21 июля 1942 (263,170).</w:t>
      </w:r>
    </w:p>
    <w:p w14:paraId="6C8E8DAA" w14:textId="77777777" w:rsidR="00AE7191" w:rsidRPr="00722885" w:rsidRDefault="00AE7191" w:rsidP="00722885">
      <w:pPr>
        <w:pStyle w:val="Iauiue"/>
        <w:jc w:val="both"/>
        <w:rPr>
          <w:color w:val="000000" w:themeColor="text1"/>
          <w:sz w:val="16"/>
          <w:szCs w:val="16"/>
        </w:rPr>
      </w:pPr>
    </w:p>
    <w:p w14:paraId="33DDAF9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AA5FF02" w14:textId="77777777" w:rsidR="00AE7191" w:rsidRPr="00722885" w:rsidRDefault="00AE7191" w:rsidP="00722885">
      <w:pPr>
        <w:pStyle w:val="Iauiue"/>
        <w:jc w:val="both"/>
        <w:rPr>
          <w:iCs/>
          <w:color w:val="000000" w:themeColor="text1"/>
          <w:sz w:val="16"/>
          <w:szCs w:val="16"/>
        </w:rPr>
      </w:pPr>
    </w:p>
    <w:p w14:paraId="2D34D0A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августа в 1942 году утреннее сообщение Совинформбюро:</w:t>
      </w:r>
    </w:p>
    <w:p w14:paraId="5E36A50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17 августа наши войска вели бои с противником в районах юго-восточнее Клетская, северо-восточнее Котельниково, а также в районах Минеральные Воды и Краснодар.</w:t>
      </w:r>
    </w:p>
    <w:p w14:paraId="71672855"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1D8336B3"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Клетской наши войска вели напряжённые оборонительные бои. На участке, который обороняет одно наше соединение, противник перешёл в наступление, стараясь прорваться в глубину нашей обороны. Фланговыми ударами наши бойцы нанесли немцам большой урон. Уничтожено 6 танков и более 250 немецких автоматчиков.</w:t>
      </w:r>
    </w:p>
    <w:p w14:paraId="4DD62135"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отбили несколько атак немцев и прочно удерживают занятые рубежи. В последних боях противник понёс большие потери и спешно подтягивает резервы. Одно наше танковое подразделение совершило рейд по тылам врага. Танкисты уничтожили 2 немецких танка, 11 автомашин и 18 повозок с боеприпасами, взорвали склад с горючим и истребили свыше ста гитлеровцев.</w:t>
      </w:r>
    </w:p>
    <w:p w14:paraId="2AC4C03A"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наши части отбивали атаки крупных сил немецко-фашистских войск. На одном участке отряд казаков внезапным налётом разгромил группу противника, переправившуюся на южный берег реки. Зарублено и потоплено в реке до 200 гитлеровцев.</w:t>
      </w:r>
    </w:p>
    <w:p w14:paraId="590F3FF8"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Минеральных Вод наши войска вели тяжёлые бои с танками и мотопехотой противника. В ходе этих боёв уничтожено 3 немецких танка, 17 автомашин и не менее 250 гитлеровцев.</w:t>
      </w:r>
    </w:p>
    <w:p w14:paraId="3915F133"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происходили бои местного значения. На одном участке наши части разгромили батальон противника и заняли более выгодные рубежи. Взвод танков, которым командует гвардии старший лейтенант Жуков, вклинился в оборону гитлеровцев. Танкисты уничтожили две миномётные батареи, 5 орудий, один танк и истребили 270 немецких солдат и офицеров.</w:t>
      </w:r>
    </w:p>
    <w:p w14:paraId="19D2FEC8"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уточнённым данным, в бою южнее Воронежа, о котором сообщалось 13 августа, наши части разгромили 694 пехотный немецкий полк. Противник потерял толькоубитыми 1.450 солдат и офицеров. Уничтожено 75 ДЗОТов, 2 немецких танка, 16 противотанковых орудий, два шестиствольных миномёта. Нашими бойцами захвачены склад со снарядами, 2 орудия, 2 радиостанции и другое вооружение и военное имущество.</w:t>
      </w:r>
    </w:p>
    <w:p w14:paraId="4E84FC8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в течение двух дней наши разведывательные группы, снайперы, артиллеристы и миномётчики вывели из строя не менее 600 солдат и офицеров противника.</w:t>
      </w:r>
    </w:p>
    <w:p w14:paraId="5ED9620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Немецкий унтер-офицер Конрад Граупнер писал на днях ефрейтору Гельмуту Дитмару, находящемуся в одном из госпиталей в Вене: «Вчера мы участвовали в бою и потеряли много танков и людей. Русские захватили 5 танков вместе с их экипажами. Каждый километр стоит нам очень много крови. Сможет ли страна прислать нам новые подкрепления на помощь? Сегодня я наблюдал, как стаскивали в кучи наших убитых. После этого зрелища у меня очень паршивое настроение. Танков и солдат в полку с каждым днём становится всё меньше и меньше. Начали мы поход 1941 года на танках, а кончили год на санках. У меня есть опасения, что всё это может опять повториться».</w:t>
      </w:r>
    </w:p>
    <w:p w14:paraId="5493425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июля немцы ворвались в село Кокаревка, Орловской области. Гитлеровцы ограбили население, отняли у колхозников всё, что только можно было взять. Фашистские изверги замучили и расстреляли 12 жителей села, в том числе76-летнего Качанова Андрея Петровича и 8-летнего Моргунова Колю. У колхозницы Путимцевой гитлеровский бандит заколол штыком восьмимесячного ребёнка. Немцы сожгли все жилые дома и хозяйственные постройки колхозников. Огнём уничтожены 529 домов, 3 школы, больница и другие общественные здания.</w:t>
      </w:r>
    </w:p>
    <w:p w14:paraId="30661273"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железнодорожной станции близ Гронингена (Голландия) произошла крупная катастрофа. Один немецкий воинский эшелон с боеприпасами на полном ходу наскочилна другой железнодорожный состав. Движение поездов по этой линии прекращено.» (14986).</w:t>
      </w:r>
    </w:p>
    <w:p w14:paraId="56DE9ABF"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34E36A7A"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августа в 1942 году вечернее сообщение Совинформбюро:</w:t>
      </w:r>
    </w:p>
    <w:p w14:paraId="1378A30A"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17 августа наши войска вели бои в районах юго-восточнее Клетская, северо-восточнее Котельниково, а также в районах Минеральные Воды и Краснодар.</w:t>
      </w:r>
    </w:p>
    <w:p w14:paraId="16136C82"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023681B6"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16 августа частями нашей авиации на различных участках фронта уничтожено или повреждено более 30 немецких танков и бронемашин, 100 автомашин с войсками и грузами, взорваны склад боеприпасов и склад горючего, подавлен огонь 3 батарей полевой и зенитной артиллерии, рассеяно и частью уничтожено до батальона пехоты противника.</w:t>
      </w:r>
    </w:p>
    <w:p w14:paraId="001AC55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Клетской наши войска вели напряжённые оборонительные бои с танками и мотопехотой противника. На участок, который обороняет Н-ская часть, немцы бросили крупные силы пехоты, поддержанные 100 танками и авиацией. В ходе боёв врагу нанесён большой урон в живой силе и технике. За последние дни на этом участке уничтожено 30 танков и до 5.000 солдат и офицеров противника. Ружейно-пулемётным огнём сбито 3 немецких самолёта.</w:t>
      </w:r>
    </w:p>
    <w:p w14:paraId="1E1234A4"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одно наше танковое подразделениеуничтожило 7 немецких танков. В бою за населённый пункт К. наши бойцы истребили250 гитлеровцев. Захвачено у немцев: орудие, 5 пулемётов, 2 миномёта, 20автоматов, много винтовок и боеприпасов.</w:t>
      </w:r>
    </w:p>
    <w:p w14:paraId="3B7A365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продолжались бои. Особенно упорные бои развернулись удвух населенных пунктов, где немцам удалось форсировать реку Кубань. Н-ская кавалерийская часть во взаимодействии с танкистами внезапно атаковала колонну немецкой мотопехоты. В результате ожесточённого боя уничтожено 20 танков, 20 автомашин и до двух батальонов пехоты противника. На другом участке наша часть, отбив атаку противника, уничтожила 400 немецких солдат и офицеров. Захвачены трофеи и пленные.</w:t>
      </w:r>
    </w:p>
    <w:p w14:paraId="5A845F9B"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Минеральных Вод наши войска вели оборонительные бои, отбивая атаки противника.</w:t>
      </w:r>
    </w:p>
    <w:p w14:paraId="2354A4A3"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 западном берегу реки Дон, продолжались уличные бои в одном населённом пункте. Немцы подтянули сюда крупные силы. Наши части наносят противнику большой урон.</w:t>
      </w:r>
    </w:p>
    <w:p w14:paraId="013CC734"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днях немецкая авиация пыталась совершить массированный налёт на одну из советских военно-морских баз на Чёрном море. Бомбардировщики и истребители противника были встречены лётчиками части, которой командует тов. Душин. В воздушном бою на подступах к базе сбито 7 «Хейнкелей-111», 7 «Юнкерсов-88», 3 «Мессершмитта-110» и 3 «Мессершмитта-109». Кроме того, огнём зенитной артиллерии уничтожено 3 и подбито 5 «Хейнкелей-111». Всего уничтожено 23 и подбито 5 немецких самолётов. Беспорядочно сброшенными бомбами причинён некоторый ущерб гражданскому населению. Военные объекты не пострадали.</w:t>
      </w:r>
    </w:p>
    <w:p w14:paraId="13B2BC08"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6 роты 227 полка 100 немецкой пехотной дивизии Иоганн Аумайер рассказал: «Наша дивизия понесла очень крупные потери. Я слышал, как один офицер говорил другому, что 54 пехотный полк дивизии разбит и уничтожен. От него осталась только одна и то неполная рота. Позднее это подтвердили и связные от батальонов и полков, которые обычно в курсе всех событий. В последнем бою наша рота была разгромлена. После того, как прорвались русские танки, никто уже не мог удрать. Все, кто остался в живых, оказались в плену».</w:t>
      </w:r>
    </w:p>
    <w:p w14:paraId="4AE443D7"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немецкого ефрейтора Алоиза Фрама найдено неотправленное письмо к отцу Иосифу Фраму в Грац. В письме говорится: «Партизаны причиняют нам большой ущерб и доставляют массу хлопот. Каждый день в тылу взлетают на воздух либо мост, либо поезд. Сейчас против партизан брошено много войск. Уже месяц мы охотимся за ними в белорусском лесу.</w:t>
      </w:r>
    </w:p>
    <w:p w14:paraId="320B78A5"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их поймать нельзя. Они знают каждую тропинку. Однажды нам удалось довольно близко подойти к ним, но пока мы осторожно пробирались сквозь кустарник, они открыли бешеный огонь. Здесь всё выглядит ужасно. Русские так могут сопротивляться много лет».</w:t>
      </w:r>
    </w:p>
    <w:p w14:paraId="7D201287"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и венгерские оккупанты учинили зверскую расправу над жителями села Новая Слобода, Сумской области. Фашистские палачи вырезали поголовно целые семьи, замучили и расстреляли 580 советских граждан, в том числе женщин и детей. Оккупанты сожгли 670 жилых домов и много других построек.</w:t>
      </w:r>
    </w:p>
    <w:p w14:paraId="5273B4E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Гитлеровцы глумятся над французскими военнопленными, морят их голодом изаставляют выполнять непосильные работы. За последнее время немецкие власти освободили группу французских военнопленных. Подавляющее большинство из них, будучи в плену, полностью потеряло трудоспособность. Все 50 военнопленных, возвратившихся в город Лилль, инвалиды или тяжело больные.»</w:t>
      </w:r>
    </w:p>
    <w:p w14:paraId="3BF02FD4"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Итоги трёхмесячных боёв на советско-германском фронте (с 15 мая по 15августа).</w:t>
      </w:r>
    </w:p>
    <w:p w14:paraId="0867A20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«Красная Армия вела и ведёт ныне в районе Воронежа, в излучине Дона и на Юге непрерывные кровопролитные бои против наступающих немецко-фашистских войск. Эти бои носят крайне ожесточённый характер.</w:t>
      </w:r>
    </w:p>
    <w:p w14:paraId="0AC06B86"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началу лета германское командование сосредоточило на южных участках фронта большое количество войск, тысячи танков и самолётов. Оно очистило под метёлку многие гарнизоны во Франции, Бельгии, Голландии. Только за последние два месяца оттуда было переброшено на советско-германский фронт 22 дивизии, в том числе 2 танковых, не считая ранее переброшенных. В вассальных странах — в Италии, Румынии, Венгрии, Словакии Гитлер мобилизовал до 70 дивизий и бригад, не считая финских войск на севере, и бросил их на советско-германский фронт. Действуя угрозой и подкупом, гитлеровцы вербуют также отряды из преступников и любителей чужого добра во Франции, в Бельгии, Дании, Голландии, Испании. Кроме того, гитлеровцы провели насильственную мобилизацию в Польше и в Чехословакии. Собрав всю эту дань солдатами, а также подтянув все свои основные силы и резервы, немцы создали на южных участках значительный перевес в количестве войск и технике, серьёзно потеснили наши войска и захватили ряд важных для советской страны районов и городов. Немецко-фашистские оккупанты захватили в районе Дона и на Кубани большую территорию и важные в промышленном отношении города —Ворошиловград, Новочеркасск, Шахты, Ростов, Армавир, Майкоп. Хотя большая часть населения занятых немцами районов была эвакуирована, хлеб и оборудование заводов вывезены, а частично уничтожены при отходе, Советский Союз понёс за это время значительные материальные потери.</w:t>
      </w:r>
    </w:p>
    <w:p w14:paraId="12E999E5"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то, что противник ввёл в бой все основные свои людские резервы и огромное количество техники, наступательные операции немцев развивались только на Воронежском и Южном направлениях и притом значительно медленнее, чем это было в первый период войны. Достаточно сказать, что на Воронежском участке немцы топчутся на месте вот уже полтора месяца, причём за последнее время на этом участке фронта местами инициативу взяли в руки советские войска. В излучине Дона в течение ряда недель Красная Армия отбивает бешеные атаки немецко-фашистских войск и перемалывает живую силу и технику противника. И только на юге немцам ценой величайших потерь удалось значительно продвинуться вперёд. Что же касается других фронтов, то немецкие войска не только не были в состоянии вести там наступательные операции, а наоборот, активные боевые действия на Брянском, Западном, Калининском и Северо-Западном фронтах ведут советские войска, истребляя в этих боях десятки тысяч немцев.</w:t>
      </w:r>
    </w:p>
    <w:p w14:paraId="26C1B218"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истекшие месяцы ожесточённых боёв на советско-германском фронте Красная Армия в упорных боях нанесла немецким, итальянским, румынским и венгерскимз ахватническим войскам огромный урон в людях и боевой технике.За три месяца активных боевых действий летом этого года, с 15 мая по 15 августа, немцы потеряли 1.250.000 солдат и офицеров, из них убитыми не менее 480.000. Они потеряли кроме того 3.390 танков, до 4.000 орудий всех калибров и не менее 4.000 самолётов.</w:t>
      </w:r>
    </w:p>
    <w:p w14:paraId="6FDA1CA1"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Потери советских войск с 15 мая по 15 августа составляют: убитыми, ранеными и пропавшими без вести 606.000 человек, 2.240 танков, 3.162 орудия всех калибров, 2.198 самолётов.</w:t>
      </w:r>
    </w:p>
    <w:p w14:paraId="1D894B7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Неуклюжими фальшивками и смехотворными измышлениями гитлеровская клика вновь пытается скрыть свои потери на советско-германском фронте.</w:t>
      </w:r>
    </w:p>
    <w:p w14:paraId="3721F61E"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Набивши руку на фальшивках, гитлеровцы жонглируют головокружительными лживыми цифрами. Так, 12 августа с. г. немцы опубликовали сообщение об итогах весенне-летних боёв этого года. Гитлеровцы утверждают, что немецкие войска за этот период якобы взяли 1.044.241 пленного, захватили или уничтожили 10.131 орудие, 6.271 танк и 6.056 самолётов! Опубликованные Совинформбюро фактические данные о потерях Красной Армии начисто отметают лживые сообщения гитлеровцев. Армии Гитлера и его союзников в Европе несут огромные потери. Именно этим и объясняется, почему немецкое командование несёт такую несусветную чушь о советских потерях, тщательно скрывая в то же время потери своих собственных войск. Странное дело. Советские потери гитлеровцы умудряются подсчитать до последнего человека, о своих же потерях, которые им куда виднее, упорно молчат,— как в рот воды набрали. А между тем эти потери немцев за последние три месяца медленно, но неуклонно подготавливают почву для грядущего разгрома немецких войск.» (14986).</w:t>
      </w:r>
    </w:p>
    <w:p w14:paraId="2CEBB278"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692A69B4"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августа в 1942 году завершилась Армавиро-Майкопская операция: войска Северо-Кавказского фронта остановили наступление 1-й танковой и 17-й полевой немецких армий на рубеже Самурская, Хадыженская, южнее Ключевой и Ставропольской. Противник продвинулся на 100—120 км (14986).</w:t>
      </w:r>
    </w:p>
    <w:p w14:paraId="1B25FC81"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1B5499B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августа в 1942 году 4-я танковая армия отошла за Дон и организовала оборону на участке от устья реки Иловля до Вертячего; на рубеже Кременская, Сиротинская, река Иловля наступление противника остановлено, попытка врага захватить Сталинград с ходу сорвана. За месяц боёв противник продвинулся лишь на 60-80 км. Советские войска организовали оборону на внешнем оборонительном обводе Сталинграда по рубежу от устья реки Иловля до района севернее Вертячего, до Ляпечева и далее от Логовского до Плодовитого (14986).</w:t>
      </w:r>
    </w:p>
    <w:p w14:paraId="179A95F8"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20780850" w14:textId="77777777" w:rsidR="00055325" w:rsidRPr="00722885" w:rsidRDefault="00055325" w:rsidP="00722885">
      <w:pPr>
        <w:pStyle w:val="Iauiue"/>
        <w:jc w:val="both"/>
        <w:rPr>
          <w:color w:val="000000" w:themeColor="text1"/>
          <w:sz w:val="16"/>
          <w:szCs w:val="16"/>
        </w:rPr>
      </w:pPr>
      <w:r w:rsidRPr="00722885">
        <w:rPr>
          <w:color w:val="000000" w:themeColor="text1"/>
          <w:sz w:val="16"/>
          <w:szCs w:val="16"/>
        </w:rPr>
        <w:t>17 августа 1942 немцы начали форсирование Дона. Пробовали остановить авиацией. Сформировали группы по 10-30 Пе-2 и Ил-2, которые прикрывались 10-15 Як-1 и Ла-5. Ил-2 делали до 3 вылетов в день и с 18 по 22 августа выполнили 1000 вылетов (340,94).</w:t>
      </w:r>
    </w:p>
    <w:p w14:paraId="37E3A7E6" w14:textId="77777777" w:rsidR="00055325" w:rsidRPr="00722885" w:rsidRDefault="00055325" w:rsidP="00722885">
      <w:pPr>
        <w:pStyle w:val="Iauiue"/>
        <w:jc w:val="both"/>
        <w:rPr>
          <w:color w:val="000000" w:themeColor="text1"/>
          <w:sz w:val="16"/>
          <w:szCs w:val="16"/>
        </w:rPr>
      </w:pPr>
    </w:p>
    <w:p w14:paraId="33ACFD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августа 1942 был создан Новороссийский оборонительный район (3186).</w:t>
      </w:r>
    </w:p>
    <w:p w14:paraId="0E7DFED1" w14:textId="77777777" w:rsidR="00AE7191" w:rsidRPr="00722885" w:rsidRDefault="00AE7191" w:rsidP="00722885">
      <w:pPr>
        <w:pStyle w:val="Iauiue"/>
        <w:jc w:val="both"/>
        <w:rPr>
          <w:color w:val="000000" w:themeColor="text1"/>
          <w:sz w:val="16"/>
          <w:szCs w:val="16"/>
        </w:rPr>
      </w:pPr>
    </w:p>
    <w:p w14:paraId="12A53FDE"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августа в 1942 году образован Новороссийский оборонительный район (расформирован 12 апреля 1943), в состав которого входили корабли Азовской военной флотилии (с 5 сентября), силы Темрюкской, Керченской, Новороссийской военно-морских баз и части территории Таманского полуострова. Командующий - генерал-майор Г.П.Котов (август - сентябрь 1942), генерал-майор А.А.Гречко (сентябрь - октябрь 1942), генерал-лейтенант Ф.В.Камков (с 9 октября 1942) (14986).</w:t>
      </w:r>
    </w:p>
    <w:p w14:paraId="688FD401"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70C5189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17 августа 1942 немецкие войска захватили Ессентуки и Пятигорск (4962).</w:t>
      </w:r>
    </w:p>
    <w:p w14:paraId="544CED63" w14:textId="77777777" w:rsidR="00AE7191" w:rsidRPr="00722885" w:rsidRDefault="00AE7191" w:rsidP="00722885">
      <w:pPr>
        <w:pStyle w:val="Iauiue"/>
        <w:tabs>
          <w:tab w:val="left" w:pos="11199"/>
        </w:tabs>
        <w:jc w:val="both"/>
        <w:rPr>
          <w:color w:val="000000" w:themeColor="text1"/>
          <w:sz w:val="16"/>
          <w:szCs w:val="16"/>
        </w:rPr>
      </w:pPr>
    </w:p>
    <w:p w14:paraId="263BC0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августа 1942 немцы начали Очередное наступление на Сталинг</w:t>
      </w:r>
      <w:r w:rsidRPr="00722885">
        <w:rPr>
          <w:color w:val="000000" w:themeColor="text1"/>
          <w:sz w:val="16"/>
          <w:szCs w:val="16"/>
        </w:rPr>
        <w:softHyphen/>
        <w:t>рад силами 6-й полевой (из района южнее Сиротинская) и 4-й танковой (из района Абганерово) армий. Разгорелись жестокие бои на ближних подступах к городу. "Ильюшины" фронта штурмовали войска и технику противника, переправ</w:t>
      </w:r>
      <w:r w:rsidRPr="00722885">
        <w:rPr>
          <w:color w:val="000000" w:themeColor="text1"/>
          <w:sz w:val="16"/>
          <w:szCs w:val="16"/>
        </w:rPr>
        <w:softHyphen/>
        <w:t>лявшиеся на участках Нижний Гераси</w:t>
      </w:r>
      <w:r w:rsidRPr="00722885">
        <w:rPr>
          <w:color w:val="000000" w:themeColor="text1"/>
          <w:sz w:val="16"/>
          <w:szCs w:val="16"/>
        </w:rPr>
        <w:softHyphen/>
        <w:t>мов, Перепольный, Лученский, Малонаба-товский. Противник нес значительные потери.</w:t>
      </w:r>
    </w:p>
    <w:p w14:paraId="5D45E782" w14:textId="77777777" w:rsidR="00AE7191" w:rsidRPr="00722885" w:rsidRDefault="00AE7191" w:rsidP="00722885">
      <w:pPr>
        <w:pStyle w:val="Iauiue"/>
        <w:jc w:val="both"/>
        <w:rPr>
          <w:iCs/>
          <w:color w:val="000000" w:themeColor="text1"/>
          <w:sz w:val="16"/>
          <w:szCs w:val="16"/>
        </w:rPr>
      </w:pPr>
    </w:p>
    <w:p w14:paraId="5DCF514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56EC01A" w14:textId="77777777" w:rsidR="00AE7191" w:rsidRPr="00722885" w:rsidRDefault="00AE7191" w:rsidP="00722885">
      <w:pPr>
        <w:pStyle w:val="Iauiue"/>
        <w:jc w:val="both"/>
        <w:rPr>
          <w:iCs/>
          <w:color w:val="000000" w:themeColor="text1"/>
          <w:sz w:val="16"/>
          <w:szCs w:val="16"/>
        </w:rPr>
      </w:pPr>
    </w:p>
    <w:p w14:paraId="34CC8A13"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17 августа в 1942 году впервые взлетел прототип «Р1767» английского торпедоносца </w:t>
      </w:r>
      <w:hyperlink r:id="rId83" w:tgtFrame="_blank" w:history="1">
        <w:r w:rsidRPr="00722885">
          <w:rPr>
            <w:rFonts w:ascii="Times New Roman" w:hAnsi="Times New Roman"/>
            <w:color w:val="000000" w:themeColor="text1"/>
            <w:sz w:val="16"/>
            <w:szCs w:val="16"/>
          </w:rPr>
          <w:t xml:space="preserve">«Fairey Barracuda» </w:t>
        </w:r>
      </w:hyperlink>
      <w:r w:rsidRPr="00722885">
        <w:rPr>
          <w:rFonts w:ascii="Times New Roman" w:hAnsi="Times New Roman"/>
          <w:color w:val="000000" w:themeColor="text1"/>
          <w:sz w:val="16"/>
          <w:szCs w:val="16"/>
        </w:rPr>
        <w:t>с двигателем Мерлин 32 (1640 л.с. при 3000 об/мин). В полетах машина хорошие характеристики и стала прототипом «Барракуды II» (14986).</w:t>
      </w:r>
    </w:p>
    <w:p w14:paraId="25D9D2A5"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3072D25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17 августа 1942 американский самолеты бомбили Руан (первый рейд ВВС США в Европе) (4962).</w:t>
      </w:r>
    </w:p>
    <w:p w14:paraId="3FFB471E" w14:textId="77777777" w:rsidR="00AE7191" w:rsidRPr="00722885" w:rsidRDefault="00AE7191" w:rsidP="00722885">
      <w:pPr>
        <w:pStyle w:val="Iauiue"/>
        <w:tabs>
          <w:tab w:val="left" w:pos="11199"/>
        </w:tabs>
        <w:jc w:val="both"/>
        <w:rPr>
          <w:color w:val="000000" w:themeColor="text1"/>
          <w:sz w:val="16"/>
          <w:szCs w:val="16"/>
        </w:rPr>
      </w:pPr>
    </w:p>
    <w:p w14:paraId="25E40D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lang w:val="en-US"/>
        </w:rPr>
        <w:t xml:space="preserve">17 August 1942 First US daylight bombing raid over Europe (270). </w:t>
      </w:r>
      <w:r w:rsidRPr="00722885">
        <w:rPr>
          <w:color w:val="000000" w:themeColor="text1"/>
          <w:sz w:val="16"/>
          <w:szCs w:val="16"/>
        </w:rPr>
        <w:t>First all-American air attack in Europe (1050).</w:t>
      </w:r>
    </w:p>
    <w:p w14:paraId="38EBE17C" w14:textId="77777777" w:rsidR="00AE7191" w:rsidRPr="00722885" w:rsidRDefault="00AE7191" w:rsidP="00722885">
      <w:pPr>
        <w:pStyle w:val="Iauiue"/>
        <w:jc w:val="both"/>
        <w:rPr>
          <w:color w:val="000000" w:themeColor="text1"/>
          <w:sz w:val="16"/>
          <w:szCs w:val="16"/>
        </w:rPr>
      </w:pPr>
    </w:p>
    <w:p w14:paraId="6FF3BD56" w14:textId="77777777" w:rsidR="004C1168" w:rsidRPr="00722885" w:rsidRDefault="004C116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17 августа 1942 тяжелые бомбардировщики Восьмой армии ВВС США проводят свой первый налет - нападение на железнодорожный сортировочный узел в Руане, Франция (20793).</w:t>
      </w:r>
    </w:p>
    <w:p w14:paraId="74B37297" w14:textId="77777777" w:rsidR="004C1168" w:rsidRPr="00722885" w:rsidRDefault="004C1168" w:rsidP="00722885">
      <w:pPr>
        <w:spacing w:after="0" w:line="240" w:lineRule="auto"/>
        <w:jc w:val="both"/>
        <w:rPr>
          <w:rFonts w:ascii="Times New Roman" w:hAnsi="Times New Roman"/>
          <w:color w:val="0070C0"/>
          <w:sz w:val="16"/>
          <w:szCs w:val="16"/>
        </w:rPr>
      </w:pPr>
    </w:p>
    <w:p w14:paraId="23400FDB" w14:textId="77777777" w:rsidR="004C1168" w:rsidRPr="00722885" w:rsidRDefault="004C116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августа 1942 – Американские самолёты совершили налет на железнодорожный узел в г.Соттевиль-ле-Руан в северо-западной части Франции. (первый рейд 12 бомбардировщиков B-17 8-й армии ВВС США в Европе) (22396).</w:t>
      </w:r>
    </w:p>
    <w:p w14:paraId="6BAD07EB" w14:textId="77777777" w:rsidR="004C1168" w:rsidRPr="00722885" w:rsidRDefault="004C1168" w:rsidP="00722885">
      <w:pPr>
        <w:spacing w:after="0" w:line="240" w:lineRule="auto"/>
        <w:jc w:val="both"/>
        <w:rPr>
          <w:rFonts w:ascii="Times New Roman" w:hAnsi="Times New Roman"/>
          <w:color w:val="0070C0"/>
          <w:sz w:val="16"/>
          <w:szCs w:val="16"/>
        </w:rPr>
      </w:pPr>
    </w:p>
    <w:p w14:paraId="6815A786" w14:textId="77777777" w:rsidR="004C1168" w:rsidRPr="00722885" w:rsidRDefault="004C116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августа 1942 года несколько «фортов» 97th BG полковника Фрэнка Армстронга впервые нанесли удар по объекту на территории Европы — железнодорожной станции Руан-Сотевиль. Немецкая ПВО не была готова к дневной атаке, и американцы отбомбились без помех, но результат оказался слабым (22838).</w:t>
      </w:r>
    </w:p>
    <w:p w14:paraId="21C8A1EA" w14:textId="77777777" w:rsidR="004C1168" w:rsidRPr="00722885" w:rsidRDefault="004C1168" w:rsidP="00722885">
      <w:pPr>
        <w:spacing w:after="0" w:line="240" w:lineRule="auto"/>
        <w:jc w:val="both"/>
        <w:rPr>
          <w:rFonts w:ascii="Times New Roman" w:hAnsi="Times New Roman"/>
          <w:color w:val="0070C0"/>
          <w:sz w:val="16"/>
          <w:szCs w:val="16"/>
        </w:rPr>
      </w:pPr>
    </w:p>
    <w:p w14:paraId="4C361F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августа 1942 состоялся первый дневной налет американцев на железнодорожную станцию во Франции (270). Полностью американский (1050) на 12 В-17, но в сопровождении Спитфайров. Первые В-24 Либерейторы прибыли только в сентябре 1942 (2245,8).</w:t>
      </w:r>
    </w:p>
    <w:p w14:paraId="53642A79" w14:textId="77777777" w:rsidR="00AE7191" w:rsidRPr="00722885" w:rsidRDefault="00AE7191" w:rsidP="00722885">
      <w:pPr>
        <w:pStyle w:val="Iauiue"/>
        <w:jc w:val="both"/>
        <w:rPr>
          <w:color w:val="000000" w:themeColor="text1"/>
          <w:sz w:val="16"/>
          <w:szCs w:val="16"/>
        </w:rPr>
      </w:pPr>
    </w:p>
    <w:p w14:paraId="44BE59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 августа 1942 англичане и канадцы выполнили рейд на Дьеп (2261).</w:t>
      </w:r>
    </w:p>
    <w:p w14:paraId="556EBD94" w14:textId="77777777" w:rsidR="00AE7191" w:rsidRPr="00722885" w:rsidRDefault="00AE7191" w:rsidP="00722885">
      <w:pPr>
        <w:pStyle w:val="Iauiue"/>
        <w:jc w:val="both"/>
        <w:rPr>
          <w:color w:val="000000" w:themeColor="text1"/>
          <w:sz w:val="16"/>
          <w:szCs w:val="16"/>
        </w:rPr>
      </w:pPr>
    </w:p>
    <w:p w14:paraId="3EF306BB" w14:textId="77777777" w:rsidR="004C1168" w:rsidRPr="00722885" w:rsidRDefault="004C116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17 августа 1942 бор</w:t>
      </w:r>
      <w:r w:rsidRPr="00722885">
        <w:rPr>
          <w:rFonts w:ascii="Times New Roman" w:hAnsi="Times New Roman"/>
          <w:color w:val="0070C0"/>
          <w:sz w:val="16"/>
          <w:szCs w:val="16"/>
          <w:lang w:eastAsia="ru-RU" w:bidi="ru-RU"/>
        </w:rPr>
        <w:softHyphen/>
        <w:t xml:space="preserve">товой самолет </w:t>
      </w:r>
      <w:r w:rsidRPr="00722885">
        <w:rPr>
          <w:rFonts w:ascii="Times New Roman" w:hAnsi="Times New Roman"/>
          <w:color w:val="0070C0"/>
          <w:sz w:val="16"/>
          <w:szCs w:val="16"/>
          <w:lang w:val="en-US" w:bidi="en-US"/>
        </w:rPr>
        <w:t>E</w:t>
      </w:r>
      <w:r w:rsidRPr="00722885">
        <w:rPr>
          <w:rFonts w:ascii="Times New Roman" w:hAnsi="Times New Roman"/>
          <w:color w:val="0070C0"/>
          <w:sz w:val="16"/>
          <w:szCs w:val="16"/>
          <w:lang w:bidi="en-US"/>
        </w:rPr>
        <w:t>14</w:t>
      </w:r>
      <w:r w:rsidRPr="00722885">
        <w:rPr>
          <w:rFonts w:ascii="Times New Roman" w:hAnsi="Times New Roman"/>
          <w:color w:val="0070C0"/>
          <w:sz w:val="16"/>
          <w:szCs w:val="16"/>
          <w:lang w:val="en-US" w:bidi="en-US"/>
        </w:rPr>
        <w:t>Y</w:t>
      </w:r>
      <w:r w:rsidRPr="00722885">
        <w:rPr>
          <w:rFonts w:ascii="Times New Roman" w:hAnsi="Times New Roman"/>
          <w:color w:val="0070C0"/>
          <w:sz w:val="16"/>
          <w:szCs w:val="16"/>
          <w:lang w:bidi="en-US"/>
        </w:rPr>
        <w:t xml:space="preserve"> японской п/л 1</w:t>
      </w:r>
      <w:r w:rsidRPr="00722885">
        <w:rPr>
          <w:rFonts w:ascii="Times New Roman" w:hAnsi="Times New Roman"/>
          <w:color w:val="0070C0"/>
          <w:sz w:val="16"/>
          <w:szCs w:val="16"/>
          <w:lang w:eastAsia="ru-RU" w:bidi="ru-RU"/>
        </w:rPr>
        <w:t>1-25</w:t>
      </w:r>
      <w:r w:rsidRPr="00722885">
        <w:rPr>
          <w:rFonts w:ascii="Times New Roman" w:hAnsi="Times New Roman"/>
          <w:color w:val="0070C0"/>
          <w:sz w:val="16"/>
          <w:szCs w:val="16"/>
          <w:lang w:bidi="en-US"/>
        </w:rPr>
        <w:t xml:space="preserve">, </w:t>
      </w:r>
      <w:r w:rsidRPr="00722885">
        <w:rPr>
          <w:rFonts w:ascii="Times New Roman" w:hAnsi="Times New Roman"/>
          <w:color w:val="0070C0"/>
          <w:sz w:val="16"/>
          <w:szCs w:val="16"/>
          <w:lang w:eastAsia="ru-RU" w:bidi="ru-RU"/>
        </w:rPr>
        <w:t>под управлением мичмана Фудзиты впервые произвел воздушную бомбардировку террито</w:t>
      </w:r>
      <w:r w:rsidRPr="00722885">
        <w:rPr>
          <w:rFonts w:ascii="Times New Roman" w:hAnsi="Times New Roman"/>
          <w:color w:val="0070C0"/>
          <w:sz w:val="16"/>
          <w:szCs w:val="16"/>
          <w:lang w:eastAsia="ru-RU" w:bidi="ru-RU"/>
        </w:rPr>
        <w:softHyphen/>
        <w:t>рии США. Залетев на 50 миль вглубь материка, самолет сбросил две зажи</w:t>
      </w:r>
      <w:r w:rsidRPr="00722885">
        <w:rPr>
          <w:rFonts w:ascii="Times New Roman" w:hAnsi="Times New Roman"/>
          <w:color w:val="0070C0"/>
          <w:sz w:val="16"/>
          <w:szCs w:val="16"/>
          <w:lang w:eastAsia="ru-RU" w:bidi="ru-RU"/>
        </w:rPr>
        <w:softHyphen/>
        <w:t>гательные бомбы в лесном массиве штата Орегон. Такой, оригинальный на первый взгляд, выбор цели был вы</w:t>
      </w:r>
      <w:r w:rsidRPr="00722885">
        <w:rPr>
          <w:rFonts w:ascii="Times New Roman" w:hAnsi="Times New Roman"/>
          <w:color w:val="0070C0"/>
          <w:sz w:val="16"/>
          <w:szCs w:val="16"/>
          <w:lang w:eastAsia="ru-RU" w:bidi="ru-RU"/>
        </w:rPr>
        <w:softHyphen/>
        <w:t xml:space="preserve">зван тем, что две 76 кг бомбы (которые только и мог поднять </w:t>
      </w:r>
      <w:r w:rsidRPr="00722885">
        <w:rPr>
          <w:rFonts w:ascii="Times New Roman" w:hAnsi="Times New Roman"/>
          <w:color w:val="0070C0"/>
          <w:sz w:val="16"/>
          <w:szCs w:val="16"/>
          <w:lang w:val="en-US" w:bidi="en-US"/>
        </w:rPr>
        <w:t>E</w:t>
      </w:r>
      <w:r w:rsidRPr="00722885">
        <w:rPr>
          <w:rFonts w:ascii="Times New Roman" w:hAnsi="Times New Roman"/>
          <w:color w:val="0070C0"/>
          <w:sz w:val="16"/>
          <w:szCs w:val="16"/>
          <w:lang w:bidi="en-US"/>
        </w:rPr>
        <w:t>14</w:t>
      </w:r>
      <w:r w:rsidRPr="00722885">
        <w:rPr>
          <w:rFonts w:ascii="Times New Roman" w:hAnsi="Times New Roman"/>
          <w:color w:val="0070C0"/>
          <w:sz w:val="16"/>
          <w:szCs w:val="16"/>
          <w:lang w:val="en-US" w:bidi="en-US"/>
        </w:rPr>
        <w:t>Y</w:t>
      </w:r>
      <w:r w:rsidRPr="00722885">
        <w:rPr>
          <w:rFonts w:ascii="Times New Roman" w:hAnsi="Times New Roman"/>
          <w:color w:val="0070C0"/>
          <w:sz w:val="16"/>
          <w:szCs w:val="16"/>
          <w:lang w:bidi="en-US"/>
        </w:rPr>
        <w:t xml:space="preserve">1) </w:t>
      </w:r>
      <w:r w:rsidRPr="00722885">
        <w:rPr>
          <w:rFonts w:ascii="Times New Roman" w:hAnsi="Times New Roman"/>
          <w:color w:val="0070C0"/>
          <w:sz w:val="16"/>
          <w:szCs w:val="16"/>
          <w:lang w:eastAsia="ru-RU" w:bidi="ru-RU"/>
        </w:rPr>
        <w:t>не были в состоянии нанести сколько-нибудь су</w:t>
      </w:r>
      <w:r w:rsidRPr="00722885">
        <w:rPr>
          <w:rFonts w:ascii="Times New Roman" w:hAnsi="Times New Roman"/>
          <w:color w:val="0070C0"/>
          <w:sz w:val="16"/>
          <w:szCs w:val="16"/>
          <w:lang w:eastAsia="ru-RU" w:bidi="ru-RU"/>
        </w:rPr>
        <w:softHyphen/>
        <w:t>щественный ущерб промышленному объекту или городу, поэтому японцы надеялись вызвать крупный лесной пожар. Возникшая при этом паника, помогла бы до</w:t>
      </w:r>
      <w:r w:rsidRPr="00722885">
        <w:rPr>
          <w:rFonts w:ascii="Times New Roman" w:hAnsi="Times New Roman"/>
          <w:color w:val="0070C0"/>
          <w:sz w:val="16"/>
          <w:szCs w:val="16"/>
          <w:lang w:eastAsia="ru-RU" w:bidi="ru-RU"/>
        </w:rPr>
        <w:softHyphen/>
        <w:t>биться серьезного пропаган</w:t>
      </w:r>
      <w:r w:rsidRPr="00722885">
        <w:rPr>
          <w:rFonts w:ascii="Times New Roman" w:hAnsi="Times New Roman"/>
          <w:color w:val="0070C0"/>
          <w:sz w:val="16"/>
          <w:szCs w:val="16"/>
          <w:lang w:eastAsia="ru-RU" w:bidi="ru-RU"/>
        </w:rPr>
        <w:softHyphen/>
        <w:t>дистского успеха, показав, что японская авиация способна наносить удары по Америке. В результате этой бомбарди</w:t>
      </w:r>
      <w:r w:rsidRPr="00722885">
        <w:rPr>
          <w:rFonts w:ascii="Times New Roman" w:hAnsi="Times New Roman"/>
          <w:color w:val="0070C0"/>
          <w:sz w:val="16"/>
          <w:szCs w:val="16"/>
          <w:lang w:eastAsia="ru-RU" w:bidi="ru-RU"/>
        </w:rPr>
        <w:softHyphen/>
        <w:t>ровки в лесах Орегона дейс</w:t>
      </w:r>
      <w:r w:rsidRPr="00722885">
        <w:rPr>
          <w:rFonts w:ascii="Times New Roman" w:hAnsi="Times New Roman"/>
          <w:color w:val="0070C0"/>
          <w:sz w:val="16"/>
          <w:szCs w:val="16"/>
          <w:lang w:eastAsia="ru-RU" w:bidi="ru-RU"/>
        </w:rPr>
        <w:softHyphen/>
        <w:t>твительно возник обширный пожар. На обратном пути са</w:t>
      </w:r>
      <w:r w:rsidRPr="00722885">
        <w:rPr>
          <w:rFonts w:ascii="Times New Roman" w:hAnsi="Times New Roman"/>
          <w:color w:val="0070C0"/>
          <w:sz w:val="16"/>
          <w:szCs w:val="16"/>
          <w:lang w:eastAsia="ru-RU" w:bidi="ru-RU"/>
        </w:rPr>
        <w:softHyphen/>
        <w:t>молет Фудзиты был замечен с проходивших рядом торговых судов, флот и авиация США бросились на поиски субмари</w:t>
      </w:r>
      <w:r w:rsidRPr="00722885">
        <w:rPr>
          <w:rFonts w:ascii="Times New Roman" w:hAnsi="Times New Roman"/>
          <w:color w:val="0070C0"/>
          <w:sz w:val="16"/>
          <w:szCs w:val="16"/>
          <w:lang w:eastAsia="ru-RU" w:bidi="ru-RU"/>
        </w:rPr>
        <w:softHyphen/>
        <w:t>ны, однако 1-25 удалось уйти от преследования, и направиться вдоль западного побережья США на юг (22807).</w:t>
      </w:r>
    </w:p>
    <w:p w14:paraId="0C560768" w14:textId="77777777" w:rsidR="004C1168" w:rsidRPr="00722885" w:rsidRDefault="004C1168" w:rsidP="00722885">
      <w:pPr>
        <w:spacing w:after="0" w:line="240" w:lineRule="auto"/>
        <w:jc w:val="both"/>
        <w:rPr>
          <w:rFonts w:ascii="Times New Roman" w:hAnsi="Times New Roman"/>
          <w:color w:val="0070C0"/>
          <w:sz w:val="16"/>
          <w:szCs w:val="16"/>
        </w:rPr>
      </w:pPr>
    </w:p>
    <w:p w14:paraId="146BA82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11E2A99" w14:textId="77777777" w:rsidR="00AE7191" w:rsidRPr="00722885" w:rsidRDefault="00AE7191" w:rsidP="00722885">
      <w:pPr>
        <w:pStyle w:val="Iauiue"/>
        <w:jc w:val="both"/>
        <w:rPr>
          <w:iCs/>
          <w:color w:val="000000" w:themeColor="text1"/>
          <w:sz w:val="16"/>
          <w:szCs w:val="16"/>
        </w:rPr>
      </w:pPr>
    </w:p>
    <w:p w14:paraId="7D54E7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были получены следующие ЛТД Ил-2 с АМ-38Ф: N = 1760 л.с., Вес пустого 4321 кг, Вес полетный - 5873 кг, Максимальная скорость у земли - 372 км/час, Максимальная скорость на высоте 1750 м - 391 км/час, время подъема на высоту 5000 м - 21 мин., Практический потолок - 5500 м, запас горючего - 530 кг, длинна разбега с использованием щитков - 375 м, без щитков - 470 м (462,23-24).</w:t>
      </w:r>
    </w:p>
    <w:p w14:paraId="3D525FB7" w14:textId="77777777" w:rsidR="00AE7191" w:rsidRPr="00722885" w:rsidRDefault="00AE7191" w:rsidP="00722885">
      <w:pPr>
        <w:pStyle w:val="Iauiue"/>
        <w:jc w:val="both"/>
        <w:rPr>
          <w:color w:val="000000" w:themeColor="text1"/>
          <w:sz w:val="16"/>
          <w:szCs w:val="16"/>
        </w:rPr>
      </w:pPr>
    </w:p>
    <w:p w14:paraId="1C2ED52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полеты Ил-2 с АМ-38ф в ходе контрольных испы</w:t>
      </w:r>
      <w:r w:rsidRPr="00722885">
        <w:rPr>
          <w:rFonts w:ascii="Times New Roman" w:hAnsi="Times New Roman"/>
          <w:color w:val="000000" w:themeColor="text1"/>
          <w:sz w:val="16"/>
          <w:szCs w:val="16"/>
        </w:rPr>
        <w:softHyphen/>
        <w:t>таний в НИИ ВВС, которые в целом подтвердили результа</w:t>
      </w:r>
      <w:r w:rsidRPr="00722885">
        <w:rPr>
          <w:rFonts w:ascii="Times New Roman" w:hAnsi="Times New Roman"/>
          <w:color w:val="000000" w:themeColor="text1"/>
          <w:sz w:val="16"/>
          <w:szCs w:val="16"/>
        </w:rPr>
        <w:softHyphen/>
        <w:t>ты заводских испытаний, были прекращены и самолет возвращен на завод № 18 для устранения обнаруженных дефектов и доводки вин</w:t>
      </w:r>
      <w:r w:rsidRPr="00722885">
        <w:rPr>
          <w:rFonts w:ascii="Times New Roman" w:hAnsi="Times New Roman"/>
          <w:color w:val="000000" w:themeColor="text1"/>
          <w:sz w:val="16"/>
          <w:szCs w:val="16"/>
        </w:rPr>
        <w:softHyphen/>
        <w:t>томоторной группы до требуемого уровня надежности. Неудовлетвори</w:t>
      </w:r>
      <w:r w:rsidRPr="00722885">
        <w:rPr>
          <w:rFonts w:ascii="Times New Roman" w:hAnsi="Times New Roman"/>
          <w:color w:val="000000" w:themeColor="text1"/>
          <w:sz w:val="16"/>
          <w:szCs w:val="16"/>
        </w:rPr>
        <w:softHyphen/>
        <w:t>тельная работа мотора привела к томку, что про</w:t>
      </w:r>
      <w:r w:rsidRPr="00722885">
        <w:rPr>
          <w:rFonts w:ascii="Times New Roman" w:hAnsi="Times New Roman"/>
          <w:color w:val="000000" w:themeColor="text1"/>
          <w:sz w:val="16"/>
          <w:szCs w:val="16"/>
        </w:rPr>
        <w:softHyphen/>
        <w:t>грамму летных испытаний в полном объеме выполнить не удалось.</w:t>
      </w:r>
    </w:p>
    <w:p w14:paraId="4BB44C0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доводке АМ-38ф проходили достаточно успеш</w:t>
      </w:r>
      <w:r w:rsidRPr="00722885">
        <w:rPr>
          <w:rFonts w:ascii="Times New Roman" w:hAnsi="Times New Roman"/>
          <w:color w:val="000000" w:themeColor="text1"/>
          <w:sz w:val="16"/>
          <w:szCs w:val="16"/>
        </w:rPr>
        <w:softHyphen/>
        <w:t>но, и уже в сентябре 1942 г. были проведены повторные 50-ча</w:t>
      </w:r>
      <w:r w:rsidRPr="00722885">
        <w:rPr>
          <w:rFonts w:ascii="Times New Roman" w:hAnsi="Times New Roman"/>
          <w:color w:val="000000" w:themeColor="text1"/>
          <w:sz w:val="16"/>
          <w:szCs w:val="16"/>
        </w:rPr>
        <w:softHyphen/>
        <w:t>совые специальные летные испытания мотора на самолете Ил-2. За время испытаний мотор и его агрегаты работали на</w:t>
      </w:r>
      <w:r w:rsidRPr="00722885">
        <w:rPr>
          <w:rFonts w:ascii="Times New Roman" w:hAnsi="Times New Roman"/>
          <w:color w:val="000000" w:themeColor="text1"/>
          <w:sz w:val="16"/>
          <w:szCs w:val="16"/>
        </w:rPr>
        <w:softHyphen/>
        <w:t>дежно и дефектов не имели. Наработка мотора на взлетном ре</w:t>
      </w:r>
      <w:r w:rsidRPr="00722885">
        <w:rPr>
          <w:rFonts w:ascii="Times New Roman" w:hAnsi="Times New Roman"/>
          <w:color w:val="000000" w:themeColor="text1"/>
          <w:sz w:val="16"/>
          <w:szCs w:val="16"/>
        </w:rPr>
        <w:softHyphen/>
        <w:t>жиме составила 2 ч 5 мин., а на номинальном и 0,5 от номи</w:t>
      </w:r>
      <w:r w:rsidRPr="00722885">
        <w:rPr>
          <w:rFonts w:ascii="Times New Roman" w:hAnsi="Times New Roman"/>
          <w:color w:val="000000" w:themeColor="text1"/>
          <w:sz w:val="16"/>
          <w:szCs w:val="16"/>
        </w:rPr>
        <w:softHyphen/>
        <w:t>нального — 43 ч 14 мин. (11474,300).</w:t>
      </w:r>
    </w:p>
    <w:p w14:paraId="5ED582F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00EBA3D" w14:textId="77777777" w:rsidR="00FA7E38" w:rsidRPr="00722885" w:rsidRDefault="00FA7E3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г. был утвержден отчет о заводских испытаниях одноместного Ил-2 М-82ИР, который успешно прошел их к середине августа 1942 года, однако на государственные испытания штурмо- вик не передавался и в дальнейшем все работы по нему были прекращены (19535).</w:t>
      </w:r>
    </w:p>
    <w:p w14:paraId="100B94F3" w14:textId="77777777" w:rsidR="00FA7E38" w:rsidRPr="00722885" w:rsidRDefault="00FA7E38" w:rsidP="00722885">
      <w:pPr>
        <w:spacing w:after="0" w:line="240" w:lineRule="auto"/>
        <w:jc w:val="both"/>
        <w:rPr>
          <w:rFonts w:ascii="Times New Roman" w:hAnsi="Times New Roman"/>
          <w:color w:val="000000" w:themeColor="text1"/>
          <w:sz w:val="16"/>
          <w:szCs w:val="16"/>
        </w:rPr>
      </w:pPr>
    </w:p>
    <w:p w14:paraId="275DD9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Нач. управления заказов самолетов и моторов ГУЗ и ПС ВВС Алексеев писал Воронину письмо N 376287:</w:t>
      </w:r>
    </w:p>
    <w:p w14:paraId="565FE9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"Препровождаю Вам копию заключения:</w:t>
      </w:r>
    </w:p>
    <w:p w14:paraId="3893B8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Прошу указаний директорам заводов 1, 18, 30 и 381 ввести в серию на самолетах Ил-2 приспособления для загрузки и сбрасывания мелких бомб и ампул без применения кассет КМБ-Ил-2 и замену наружных бомбодержателей замками ДЗ-40 (1632,9).</w:t>
      </w:r>
    </w:p>
    <w:p w14:paraId="162C650E" w14:textId="77777777" w:rsidR="00AE7191" w:rsidRPr="00722885" w:rsidRDefault="00AE7191" w:rsidP="00722885">
      <w:pPr>
        <w:pStyle w:val="Iauiue"/>
        <w:jc w:val="both"/>
        <w:rPr>
          <w:color w:val="000000" w:themeColor="text1"/>
          <w:sz w:val="16"/>
          <w:szCs w:val="16"/>
        </w:rPr>
      </w:pPr>
    </w:p>
    <w:p w14:paraId="402D84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А.И.Ш. писал Нач. ГУ заказов и техснабжения Селезневу письмо N 1503 вг:</w:t>
      </w:r>
    </w:p>
    <w:p w14:paraId="2D4DA2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 15 октября 1942 самолеты Ил-2 будут выпускаться с модернизированными бомбоотсеками центроплана, благодаря чему каждый самолет может быть использован для загрузки мелкими бомбами без применения спец. кассет" (1632,76).</w:t>
      </w:r>
    </w:p>
    <w:p w14:paraId="165D9255" w14:textId="77777777" w:rsidR="00AE7191" w:rsidRPr="00722885" w:rsidRDefault="00AE7191" w:rsidP="00722885">
      <w:pPr>
        <w:pStyle w:val="Iauiue"/>
        <w:jc w:val="both"/>
        <w:rPr>
          <w:color w:val="000000" w:themeColor="text1"/>
          <w:sz w:val="16"/>
          <w:szCs w:val="16"/>
        </w:rPr>
      </w:pPr>
    </w:p>
    <w:p w14:paraId="1EC393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г. был утвержден отчет по заводским испытаниям одноместного Ил-2 М-82ИР, однако на государственные испытания штурмовик не передавался и в дальнейшем все работы по нему были прекращены (6467).</w:t>
      </w:r>
    </w:p>
    <w:p w14:paraId="4FEE5C0D" w14:textId="77777777" w:rsidR="00AE7191" w:rsidRPr="00722885" w:rsidRDefault="00AE7191" w:rsidP="00722885">
      <w:pPr>
        <w:pStyle w:val="Iauiue"/>
        <w:jc w:val="both"/>
        <w:rPr>
          <w:color w:val="000000" w:themeColor="text1"/>
          <w:sz w:val="16"/>
          <w:szCs w:val="16"/>
        </w:rPr>
      </w:pPr>
    </w:p>
    <w:p w14:paraId="064E4D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г.С.В.Ильюшин утвердил чертеж общего вида новой машины, Ил-6 (9528). По сравнению с Ил-4 и ДБ-4 усиливалось оборонительное вооружение, которое по требованию заказчика должно было быть таким же, как и на немецких самолетах Хейнкель Не-111 Н-11. Однако в отличие от наружной подвески бомб на Не-111 Н-11, самолет Ил-6 должен был нести нормальный бомбовый груз в 2000 кг из авиабомб большого калибра на внутренней подвеске в фюзеляжном бомбоотсеке (9528).</w:t>
      </w:r>
    </w:p>
    <w:p w14:paraId="04F61A4B" w14:textId="77777777" w:rsidR="00AE7191" w:rsidRPr="00722885" w:rsidRDefault="00AE7191" w:rsidP="00722885">
      <w:pPr>
        <w:pStyle w:val="Iauiue"/>
        <w:jc w:val="both"/>
        <w:rPr>
          <w:color w:val="000000" w:themeColor="text1"/>
          <w:sz w:val="16"/>
          <w:szCs w:val="16"/>
        </w:rPr>
      </w:pPr>
    </w:p>
    <w:p w14:paraId="705B6F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г. С.В.Ильюшин утвердил чертеж общего вида нового бомбардировщика Ил-6, эскизный проект Ил-6 был закончен осенью, а 25 ноября начальник НИИ ВВС подписал заключение с положительной оценкой проектных данных самолета Ил-6 2М-71. Однако руководство ВВС высказало сомнение относительно увеличения дальности полета с максимальной бомбовой нагрузкой и предложило заменить бензиновые звездообразные моторы М-71, которые нуждались в длительной доводке, двумя рядными дизелями АЧ-30Б.</w:t>
      </w:r>
    </w:p>
    <w:p w14:paraId="7EDB4E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Целесообразность установки на Ил-6 дизельных двигателей определялась их высокой экономичностью и возможностью использования: они расходовали примерно 40% меньше топлива, чем бензиновые двигатели и вместо высокооктанового бензина потребляли более дешевый керосин, который к тому же обеспечивал лучшую взрыво- и пожаро- безопасность.</w:t>
      </w:r>
    </w:p>
    <w:p w14:paraId="3E5A9E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Расчеты показали, что экономичность дизеля делает выгодной его установку на самолете, имеющем продолжительность полета более 5 ч. Совершая налеты на Берлин с подмосковных аэродромов, Ил-6 с дизелями могли бы нести примерно в два раза больше бомб, чем в варианте с бензиновыми М-71.</w:t>
      </w:r>
    </w:p>
    <w:p w14:paraId="3570349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установки на Ил-6 предназначался АЧ-30БФ - форсированный вариант с взлетной мощностью 1900 л.с. и более высоким уровнем надежности. Проектные размеры самолета Ил-6 с дизельными двигателями пришлось пересмотреть: увеличить площадь крыла и взлетную массу самолета. Эскизный проект самолета с дизельными двигателями был закончен в декабре 1942 г. (12037).</w:t>
      </w:r>
    </w:p>
    <w:p w14:paraId="2C9D98C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4FC19E3" w14:textId="77777777" w:rsidR="00055325" w:rsidRPr="00722885" w:rsidRDefault="00055325"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18-го августа 1942 года С.В. Ильюшин утвердил чертеж общего вида нового бомбардировщика Ил-6. Рабочие чертежи ИЛ-6 были готовы в начале 1943 года. Две опытные машины решили строить в Иркутске. Можно предположить, что заказ на постройку был получен не без участия С.В. Ильюшина, который прекрасно знал возможности специалистов московского завода, на котором он до недавнего времени работал главным конструктором. Согласно Постановлению ГКО № 29999сс от 7-го марта 1943 года, первый опытный экземпляр Ил-6 необходимо было передать на летные испытания 25-го июня, а второй – 10-го июля (15223).</w:t>
      </w:r>
    </w:p>
    <w:p w14:paraId="4679E764" w14:textId="77777777" w:rsidR="00055325" w:rsidRPr="00722885" w:rsidRDefault="00055325" w:rsidP="00722885">
      <w:pPr>
        <w:shd w:val="clear" w:color="auto" w:fill="FFFFFF"/>
        <w:spacing w:after="0" w:line="240" w:lineRule="auto"/>
        <w:jc w:val="both"/>
        <w:rPr>
          <w:rFonts w:ascii="Times New Roman" w:hAnsi="Times New Roman"/>
          <w:color w:val="000000" w:themeColor="text1"/>
          <w:sz w:val="16"/>
          <w:szCs w:val="16"/>
        </w:rPr>
      </w:pPr>
    </w:p>
    <w:p w14:paraId="4DAEBD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на 29 заводе произошла авария ДБ-3Ф N 391005 с М-88Б (2131) транспортного л П.Г.Демченко. Из-за течи бензина начался пожар в воздухе. Экипаж спася (2108).</w:t>
      </w:r>
    </w:p>
    <w:p w14:paraId="43AB6680" w14:textId="77777777" w:rsidR="00AE7191" w:rsidRPr="00722885" w:rsidRDefault="00AE7191" w:rsidP="00722885">
      <w:pPr>
        <w:pStyle w:val="Iauiue"/>
        <w:jc w:val="both"/>
        <w:rPr>
          <w:color w:val="000000" w:themeColor="text1"/>
          <w:sz w:val="16"/>
          <w:szCs w:val="16"/>
        </w:rPr>
      </w:pPr>
    </w:p>
    <w:p w14:paraId="21881BE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Нач. СИМ ГУЗ и ТС ВВС и-п Алексеев писал письмо N 376280 Воронину:</w:t>
      </w:r>
    </w:p>
    <w:p w14:paraId="7DA28FB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"Самолеты ЛаГГ-3 выпускаемые заводами 21 и 31 различаются по конструкции и монтажам.</w:t>
      </w:r>
    </w:p>
    <w:p w14:paraId="606FEE1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Это ведет к нарушению взаимозаменяемости и создает путаницу в снабжении запчастями.</w:t>
      </w:r>
    </w:p>
    <w:p w14:paraId="410DD2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ГК заводов 21 С.А.Л. и 31 Горбунов создают такую же путаницу по Ла-5 М-82.</w:t>
      </w:r>
    </w:p>
    <w:p w14:paraId="4A4CAD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Прошу обязать ГК завода 21 С.А.Л. возглавить работы по доводке и отработке самолетов ЛаГГ-3 и Ла-5 на обоих заводах и обеспечить полную взаимозаменяемость всех деталей и агрегатов самолетов, выпускаемых этими заводами." (1315,11).</w:t>
      </w:r>
    </w:p>
    <w:p w14:paraId="7AB84883" w14:textId="77777777" w:rsidR="00AE7191" w:rsidRPr="00722885" w:rsidRDefault="00AE7191" w:rsidP="00722885">
      <w:pPr>
        <w:pStyle w:val="Iauiue"/>
        <w:jc w:val="both"/>
        <w:rPr>
          <w:color w:val="000000" w:themeColor="text1"/>
          <w:sz w:val="16"/>
          <w:szCs w:val="16"/>
        </w:rPr>
      </w:pPr>
    </w:p>
    <w:p w14:paraId="0AC2C2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года Шахурин писал письмо Маленкову.</w:t>
      </w:r>
    </w:p>
    <w:p w14:paraId="6CA7AF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вопросу: Организации производства санитарных самолетов С-2.</w:t>
      </w:r>
    </w:p>
    <w:p w14:paraId="77F9E9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При вторичной проработке вопроса, Наркомавиапром считает нецелесообразной организацию производства санитарных самолетов С-2 по следующим причинам:</w:t>
      </w:r>
    </w:p>
    <w:p w14:paraId="496FC0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Самолет С-2 конструктивно отличается от самолета У-2 и его производство потребует организации параллельного потока, что осуществить на заводе N 387 не представляется возможным из-за недостатка сборочных площадей.</w:t>
      </w:r>
    </w:p>
    <w:p w14:paraId="5F3E30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Трудоемкость самолета С-2 в два раза больше трудоемкости самолета У-2 и потребует значительного увеличения числа рабочих и механического оборудования.</w:t>
      </w:r>
    </w:p>
    <w:p w14:paraId="6FDFAD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Оснастка самолета С-2 отсутствует.</w:t>
      </w:r>
    </w:p>
    <w:p w14:paraId="731D68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Организация производства самолетов С-2 потребует на подготовку производства и изготовление специальной оснастки не менее 2,5-3 месяцев и расходов свыше 2000 тыс. рублей.</w:t>
      </w:r>
    </w:p>
    <w:p w14:paraId="4A2E7FB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увеличения парка санитарных самолетов Наркомавиапром может, в счет утвержденной ГОКО программы, поставлять Военно-санитарному управлению самолеты У-2, оборудованные санитарными кабинами Бакшаева.</w:t>
      </w:r>
    </w:p>
    <w:p w14:paraId="74E554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Это даст возможность сохранить количественный выпуск самолетов У-2 и пополнить санитарную авиацию новыми самолетами (2728,137).</w:t>
      </w:r>
    </w:p>
    <w:p w14:paraId="1CDD5EB6" w14:textId="77777777" w:rsidR="00AE7191" w:rsidRPr="00722885" w:rsidRDefault="00AE7191" w:rsidP="00722885">
      <w:pPr>
        <w:pStyle w:val="Iauiue"/>
        <w:jc w:val="both"/>
        <w:rPr>
          <w:color w:val="000000" w:themeColor="text1"/>
          <w:sz w:val="16"/>
          <w:szCs w:val="16"/>
        </w:rPr>
      </w:pPr>
    </w:p>
    <w:p w14:paraId="7387289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в 14:15 л Расторгуев совершил аварию на планере ЛС в Казани из-за конструктивных дефектов планера (2130). Это был экспериментально-исследовательский планер, созданный А.А.Сеньковым по инициативе Г.П.Свищева для проведения летных испытаний ламинарных профилей еще до войны и эвакуированный в Казань (5488, 20).</w:t>
      </w:r>
    </w:p>
    <w:p w14:paraId="232CCC60" w14:textId="77777777" w:rsidR="00AE7191" w:rsidRPr="00722885" w:rsidRDefault="00AE7191" w:rsidP="00722885">
      <w:pPr>
        <w:pStyle w:val="Iauiue"/>
        <w:jc w:val="both"/>
        <w:rPr>
          <w:color w:val="000000" w:themeColor="text1"/>
          <w:sz w:val="16"/>
          <w:szCs w:val="16"/>
        </w:rPr>
      </w:pPr>
    </w:p>
    <w:p w14:paraId="08A936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Нач. 10 ГУ Тарасевич писал письмо N 876 на письмо N 484604с от 25 июня 1942 Нач. Управления опытного строительства ГУ и ИАС ВВС КА бригинженеру Лешукову:</w:t>
      </w:r>
    </w:p>
    <w:p w14:paraId="5E92F1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"Сообщаю о мероприятиях, проведенных на заводе 22 для повышения качества выпускаемых Пе-2...</w:t>
      </w:r>
    </w:p>
    <w:p w14:paraId="464D09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результате проведенных на заводе 22 мероприятий качество выпускаемых самолетов Пе-2 значительно улучшено.</w:t>
      </w:r>
    </w:p>
    <w:p w14:paraId="147FD1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и 8 августа 1942 заводом 22 совместно с ЛИИ НКАП, были сняты скорости по высотам с 2-х серийных самолетов, взятых прямо из производства.</w:t>
      </w:r>
    </w:p>
    <w:p w14:paraId="06A45F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Самолеты были оборудованы тяжелой стрелковой установкой.</w:t>
      </w:r>
    </w:p>
    <w:p w14:paraId="6AEB41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Оба самолета с нефорсированными моторами дали максимум 517 км/час.</w:t>
      </w:r>
    </w:p>
    <w:p w14:paraId="5E3B1B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Считая по данным ЛИИ НКАП, что стрелковая установка снимает 6-8 км/час скорости и недобор высотности моторов, что установлено и признано заводом 16, получаем макс. скорость 527 км/час...</w:t>
      </w:r>
    </w:p>
    <w:p w14:paraId="1C8A34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Нач. ГУЗ и ТС Селезнев и Военком Шаповалов писали письмо N 376349 Зам. НКАП П.Воронину о том, что сравнительными испытаниями Пе-2 в НИИ ВВС КА, а также данными, поступающими из строевых частей показывают, что серийные Пе-2 выпуска апреля-мая 1942 имеют меньшие макс. скорости в сравнении с серийными самолетами выпуска августа-сентября 1941 главным образом за счет неудовлетворительной отделки." (1632,15).</w:t>
      </w:r>
    </w:p>
    <w:p w14:paraId="7D1AEC61" w14:textId="77777777" w:rsidR="00AE7191" w:rsidRPr="00722885" w:rsidRDefault="00AE7191" w:rsidP="00722885">
      <w:pPr>
        <w:pStyle w:val="Iauiue"/>
        <w:jc w:val="both"/>
        <w:rPr>
          <w:color w:val="000000" w:themeColor="text1"/>
          <w:sz w:val="16"/>
          <w:szCs w:val="16"/>
        </w:rPr>
      </w:pPr>
    </w:p>
    <w:p w14:paraId="0CEB4D3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л завода 22 С.С.Стрельников совершил катастрофу при испытаниях Пе-2, т.к. сдал правый мотор и машина не дотянула до аэродрома. Погибли л и бортмеханик (2108).</w:t>
      </w:r>
    </w:p>
    <w:p w14:paraId="39FEC459" w14:textId="77777777" w:rsidR="00AE7191" w:rsidRPr="00722885" w:rsidRDefault="00AE7191" w:rsidP="00722885">
      <w:pPr>
        <w:pStyle w:val="Iauiue"/>
        <w:jc w:val="both"/>
        <w:rPr>
          <w:color w:val="000000" w:themeColor="text1"/>
          <w:sz w:val="16"/>
          <w:szCs w:val="16"/>
        </w:rPr>
      </w:pPr>
    </w:p>
    <w:p w14:paraId="7DBF64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18 августа 1942 г. филиал завода № 23 (бывшая Нотнопечатная фабрика) был передан заводу № 482 НКАП. Существовал действовавший в 10ГУ (10776). </w:t>
      </w:r>
    </w:p>
    <w:p w14:paraId="326FDDC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89C459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г. по приказу № 633с в состав завода № 482 (ГС Завод № 482 НКСП /г. Москва Ново-Владыкино; Ленинградское ш., 55 (1944 г.-)/) был передан из 10ГУ филиал завода № 23 НКАП (бывшая Нотнопечатная фабрика) для организации производства запчастей ремонтируемых самолетов. В 1942 г. заводу № 482 планировалось передать механические цеха завода № 169 НКАП (бывший завод № 45). По приказу № 798с от 23.10.1942 г. филиал завода № 482 (механические мастерские) передан заводу № 301 НКАП для ремонта и изготовления плоскостей самолета Як-7.</w:t>
      </w:r>
    </w:p>
    <w:p w14:paraId="6E27202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655с от 11.11.1943 г. завод № 482 передан из 6ГУ в 7ГУ (в опытные). Работы по ремонту и выпуску запчастей переданы на другие заводы 6ГУ.</w:t>
      </w:r>
    </w:p>
    <w:p w14:paraId="6E085D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завода с 06.1943 г.- В.М. Мясищев (одновременно он- гл. конструктор и руководитель ОКБ-22 завода № 22 НКАП в Казани).</w:t>
      </w:r>
    </w:p>
    <w:p w14:paraId="51EA0F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 на заводе № 482 образован филиал ОКБ-22.</w:t>
      </w:r>
    </w:p>
    <w:p w14:paraId="1B5287B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имел свой аэродром на Ходынке (1943  г.).</w:t>
      </w:r>
    </w:p>
    <w:p w14:paraId="482CD8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Существовал филиал завода № 482 в Москве. Приказом № 277с от 7.05.1943 г. помещения филиала переданы под размещение НИСО.</w:t>
      </w:r>
    </w:p>
    <w:p w14:paraId="7B84788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424с от 5.07.1944 г.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2411662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4A89CB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23620FE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0409F1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0C80E0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(04.1941 г.-)- А.И. Меркулов.</w:t>
      </w:r>
    </w:p>
    <w:p w14:paraId="473A4D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(1941-06.1943 г.)- А.Я. Щербаков, (06.1943-46 г.)- В.М. Мясищев.</w:t>
      </w:r>
    </w:p>
    <w:p w14:paraId="22C9C8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(1946 г.-)- Е.П. Шекунов.</w:t>
      </w:r>
    </w:p>
    <w:p w14:paraId="321590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(04.1941 г.-)- А.И. Меркулов.</w:t>
      </w:r>
    </w:p>
    <w:p w14:paraId="0060109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гл. конструктора А.Я. Щербакова при заводе № 482 НКАП</w:t>
      </w:r>
    </w:p>
    <w:p w14:paraId="006932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5ECB89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416F4D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660FEE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0C434D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722885">
        <w:rPr>
          <w:rFonts w:ascii="Times New Roman" w:hAnsi="Times New Roman"/>
          <w:color w:val="000000" w:themeColor="text1"/>
          <w:sz w:val="16"/>
          <w:szCs w:val="16"/>
          <w:lang w:val="en-US"/>
        </w:rPr>
        <w:t>JIa</w:t>
      </w:r>
      <w:r w:rsidRPr="00722885">
        <w:rPr>
          <w:rFonts w:ascii="Times New Roman" w:hAnsi="Times New Roman"/>
          <w:color w:val="000000" w:themeColor="text1"/>
          <w:sz w:val="16"/>
          <w:szCs w:val="16"/>
        </w:rPr>
        <w:t>-5 и Пе-2ВИ.</w:t>
      </w:r>
    </w:p>
    <w:p w14:paraId="0CF8FAC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46BA926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ОКБ завода № 22 гл. конструктора В.М. Мясищева, ОКБ-482 НКАП, МАП /г. Москва/</w:t>
      </w:r>
    </w:p>
    <w:p w14:paraId="7E8EF3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4D14C27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30745DD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7B41C7F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25A04E8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11F1732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76DA638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(1944-46 г.)- В.М. Мясищев.</w:t>
      </w:r>
    </w:p>
    <w:p w14:paraId="3329D2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Ведущие конструкторы: (1944-01.1946 г.)- Л.Л. Селяков (ДВБ-202, -302, РБ-17), (1945 г.)- М.К. Янгель (ВБ- 109) (11982).</w:t>
      </w:r>
    </w:p>
    <w:p w14:paraId="6675586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ECCE9AB" w14:textId="77777777" w:rsidR="00AE7191" w:rsidRPr="00722885" w:rsidRDefault="00AE7191" w:rsidP="00722885">
      <w:pPr>
        <w:pStyle w:val="Pa6"/>
        <w:spacing w:line="240" w:lineRule="auto"/>
        <w:jc w:val="both"/>
        <w:rPr>
          <w:rStyle w:val="A40"/>
          <w:color w:val="000000" w:themeColor="text1"/>
          <w:sz w:val="16"/>
          <w:szCs w:val="16"/>
        </w:rPr>
      </w:pPr>
      <w:r w:rsidRPr="00722885">
        <w:rPr>
          <w:rStyle w:val="A40"/>
          <w:color w:val="000000" w:themeColor="text1"/>
          <w:sz w:val="16"/>
          <w:szCs w:val="16"/>
        </w:rPr>
        <w:t>18 августа 1942 г. была «Выписка из протокола заседания заводского комитета профсоюза за</w:t>
      </w:r>
      <w:r w:rsidRPr="00722885">
        <w:rPr>
          <w:rStyle w:val="A40"/>
          <w:color w:val="000000" w:themeColor="text1"/>
          <w:sz w:val="16"/>
          <w:szCs w:val="16"/>
        </w:rPr>
        <w:softHyphen/>
        <w:t>вода № 29 имени П. И. Баранова» (Омск), согласно которой обсуждался вопрос о поло</w:t>
      </w:r>
      <w:r w:rsidRPr="00722885">
        <w:rPr>
          <w:rStyle w:val="A40"/>
          <w:color w:val="000000" w:themeColor="text1"/>
          <w:sz w:val="16"/>
          <w:szCs w:val="16"/>
        </w:rPr>
        <w:softHyphen/>
        <w:t>жении подростков. Выяснилось, что в нару</w:t>
      </w:r>
      <w:r w:rsidRPr="00722885">
        <w:rPr>
          <w:rStyle w:val="A40"/>
          <w:color w:val="000000" w:themeColor="text1"/>
          <w:sz w:val="16"/>
          <w:szCs w:val="16"/>
        </w:rPr>
        <w:softHyphen/>
        <w:t>шение приказов наркома и директора завода в цехе № 1 из 21 человека в ночные смены работали 16; в цехе № 12 из 42 подростков в ночные смены работали все 42 подростка; в цехе № 13 из 33 подростков 19 выходили в ночные смены, 12 человек работали более 8 часов в день; в цехе № 27 из 35 подростков работали 35 человек (ГАРФ. Ф. Р-5451. Оп. 3. Д. 1. Л. 41.).</w:t>
      </w:r>
    </w:p>
    <w:p w14:paraId="562D09D4" w14:textId="77777777" w:rsidR="00AE7191" w:rsidRPr="00722885" w:rsidRDefault="00AE7191" w:rsidP="00722885">
      <w:pPr>
        <w:pStyle w:val="Default"/>
        <w:jc w:val="both"/>
        <w:rPr>
          <w:color w:val="000000" w:themeColor="text1"/>
          <w:sz w:val="16"/>
          <w:szCs w:val="16"/>
        </w:rPr>
      </w:pPr>
    </w:p>
    <w:p w14:paraId="18DEF983" w14:textId="77777777" w:rsidR="00055325" w:rsidRPr="00722885" w:rsidRDefault="00055325"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С 18 августа 1942 по 20 октября 1942 в соответствии со спецзаданием ВСЧФ опытно-конструкторская разработка и рабочие чертежи РПУ-6 для ТК и для МО-2 были выполнены в КБ Технического отдела ЧФ. Рабочие чертежи в сентябре-октябре 1942 г. были переданы в цеха Артремзавода (АРЗ) для срочного изготовления шести РПУ-6 для ТК и одной для МО-2.</w:t>
      </w:r>
    </w:p>
    <w:p w14:paraId="3D16D4DB" w14:textId="77777777" w:rsidR="00055325" w:rsidRPr="00722885" w:rsidRDefault="00055325"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Шесть РПУ-6 были изготовлены на АРЗ и смонтированы на шести ТК типа Г-5 в Поти. Приемка каждой РПУ-6 оформлялась секретным актом с подписями: командира и механика катера, конструктора РПУ-6 и мастера-сборщика АРЗ, монтировавшего РПУ-6 на катере (15985).</w:t>
      </w:r>
    </w:p>
    <w:p w14:paraId="2FF0AD3A" w14:textId="77777777" w:rsidR="00055325" w:rsidRPr="00722885" w:rsidRDefault="00055325" w:rsidP="00722885">
      <w:pPr>
        <w:spacing w:after="0" w:line="240" w:lineRule="auto"/>
        <w:jc w:val="both"/>
        <w:rPr>
          <w:rFonts w:ascii="Times New Roman" w:eastAsia="Times New Roman" w:hAnsi="Times New Roman"/>
          <w:color w:val="000000" w:themeColor="text1"/>
          <w:sz w:val="16"/>
          <w:szCs w:val="16"/>
        </w:rPr>
      </w:pPr>
    </w:p>
    <w:p w14:paraId="3F32517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86C9322" w14:textId="77777777" w:rsidR="00AE7191" w:rsidRPr="00722885" w:rsidRDefault="00AE7191" w:rsidP="00722885">
      <w:pPr>
        <w:pStyle w:val="Iauiue"/>
        <w:jc w:val="both"/>
        <w:rPr>
          <w:iCs/>
          <w:color w:val="000000" w:themeColor="text1"/>
          <w:sz w:val="16"/>
          <w:szCs w:val="16"/>
        </w:rPr>
      </w:pPr>
    </w:p>
    <w:p w14:paraId="485542B6" w14:textId="77777777" w:rsidR="008C5A3D" w:rsidRPr="00722885"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18 августа 1942 на Софринском артиллерийском полигоне, прошли демонстрационные стрельбы из СУ-31 и СУ-32. 21 августа 1942 в Кубинке на полигоне Научно-исследовательского института бронетанковой техники (НИИБТ Полигоне) приступили к официальной программе ходовых испытаний СУ-31 и СУ-32. Всего с 21 августа по 3 сентября СУ-31 и СУ-32 прошли 630 и 524 километра соответственно. Было произведено 490 выстрелов из 61-К и 205 выстрелов из ЗИС-3.</w:t>
      </w:r>
    </w:p>
    <w:p w14:paraId="09ED2546" w14:textId="77777777" w:rsidR="008C5A3D" w:rsidRPr="00722885"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Для соответствия весовым характеристикам СУ-32 на испытаниях догрузили до боевой массы с проектной толщиной брони. В ходе испытаний у обеих самоходок наблюдались частые разрывы гусеничных лент. Решить эту проблему предполагалось модернизацией ходовой части по типу Т-70Б, название это условное, поскольку в документах Т-70 с усиленной ходовой частью так не называется. Также ходовые испытания выявили серьёзные проблемы системы охлаждения двигателя СУ-32, на СУ-31 подобного не наблюдалось. Отмечалось неудобное размещение боекомплекта, в результате чего скорострельность (по сравнению со штатной ЗИС-3) оказалась снижена. На угле возвышения 25 градусов орудийный щит закрывал обзор панорамы, в результате прицеливание становилось невозможным. Кроме того, установка бронекожуха увеличила усилия на маховики механизма наведения.</w:t>
      </w:r>
    </w:p>
    <w:p w14:paraId="69BBAA25" w14:textId="77777777" w:rsidR="008C5A3D" w:rsidRPr="00722885"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результатам сравнительных испытаний был сделан следующий вывод:</w:t>
      </w:r>
    </w:p>
    <w:p w14:paraId="5F7B44BA" w14:textId="77777777" w:rsidR="008C5A3D" w:rsidRPr="00722885"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«Испытания пробегом показали, что машина (СУ-32) имеет кроме слабых тормозов и траков следующие дефекты:</w:t>
      </w:r>
    </w:p>
    <w:p w14:paraId="17087401" w14:textId="77777777" w:rsidR="008C5A3D" w:rsidRPr="00722885"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а) Перегрев двигателя.</w:t>
      </w:r>
    </w:p>
    <w:p w14:paraId="3A571B70" w14:textId="77777777" w:rsidR="008C5A3D" w:rsidRPr="00722885"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б) Слабое крепление коробки перемены передач.</w:t>
      </w:r>
    </w:p>
    <w:p w14:paraId="3AC45FB2" w14:textId="77777777" w:rsidR="008C5A3D" w:rsidRPr="00722885"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в) Наличие указанных дефектов не даёт возможности рекомендовать шасси со спаренной установкой двигателя для принятия на вооружение Красной Армии.</w:t>
      </w:r>
    </w:p>
    <w:p w14:paraId="1A97F87F" w14:textId="77777777" w:rsidR="008C5A3D" w:rsidRPr="00722885"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Учитывая, что компоновка 76 мм пушки на самоходной установке в основном работает удовлетворительно, комиссия считает целесообразным одновременно с выпуском опытной серии 37 мм зенитных самоходных установок, выпустить для проведения испытаний в частях действующей Красной Армии опытной серии в количестве 6–10 штук 76 мм штурмовых самоходных установок на шасси с параллельным расположением двигателей, рекомендованном для 37 мм зенитной самоходной установки».</w:t>
      </w:r>
    </w:p>
    <w:p w14:paraId="5324E8E4" w14:textId="77777777" w:rsidR="008C5A3D" w:rsidRPr="00722885" w:rsidRDefault="008C5A3D" w:rsidP="00722885">
      <w:pPr>
        <w:spacing w:after="0" w:line="240" w:lineRule="auto"/>
        <w:jc w:val="both"/>
        <w:rPr>
          <w:rFonts w:ascii="Times New Roman" w:hAnsi="Times New Roman"/>
          <w:color w:val="000000" w:themeColor="text1"/>
          <w:sz w:val="16"/>
          <w:szCs w:val="16"/>
        </w:rPr>
      </w:pPr>
      <w:r w:rsidRPr="00722885">
        <w:rPr>
          <w:rFonts w:ascii="Times New Roman" w:eastAsia="Times New Roman" w:hAnsi="Times New Roman"/>
          <w:color w:val="000000" w:themeColor="text1"/>
          <w:sz w:val="16"/>
          <w:szCs w:val="16"/>
          <w:lang w:eastAsia="ru-RU"/>
        </w:rPr>
        <w:t>Продолжения работ по теме СУ-31 и СУ-32 на заводе №37 не последовало (17668).</w:t>
      </w:r>
    </w:p>
    <w:p w14:paraId="4A075AFA" w14:textId="77777777" w:rsidR="008C5A3D" w:rsidRPr="00722885" w:rsidRDefault="008C5A3D" w:rsidP="00722885">
      <w:pPr>
        <w:spacing w:after="0" w:line="240" w:lineRule="auto"/>
        <w:jc w:val="both"/>
        <w:rPr>
          <w:rFonts w:ascii="Times New Roman" w:hAnsi="Times New Roman"/>
          <w:color w:val="000000" w:themeColor="text1"/>
          <w:sz w:val="16"/>
          <w:szCs w:val="16"/>
        </w:rPr>
      </w:pPr>
    </w:p>
    <w:p w14:paraId="78C63121" w14:textId="77777777" w:rsidR="004C1168" w:rsidRPr="00722885" w:rsidRDefault="004C1168"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18 августа 1942 года на Софринском Полигоне прошел первый этап испытаний СУ-32. Основным же местом испытаний стал филиал НИБТ Полигона в Кубинке (сам полигон осенью 1941 года эвакуировали под Казань). Всего в период с 21 августа по 3 сентября СУ-32 прошла 524 километра, из них 292 по шоссе и 197 км по проселку. Остальной километраж проходил по целине и в ходе специспытаний. Средняя скорость по шоссе составила 25,5 км/ч, по проселку 17,8 км/ч, максимальная же скорость составила 45 км/ч. В принципе, очень похоже на Т-70, но с рядом нюансов. Прежде всего, проблема заключалась в запредельной температуре в системе охлаждения. Она достигала 100 градусов для воды, а для масла - 110-120 градусов. Отмечалось неудобство работы с боекомплектом, недостаточная прочность тормозов, имелись проблемы с проходимостью на специспытаниях. Также отмечался разрыв гусеничных лент.</w:t>
      </w:r>
    </w:p>
    <w:p w14:paraId="6657B9F2" w14:textId="77777777" w:rsidR="004C1168" w:rsidRPr="00722885" w:rsidRDefault="004C1168"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lang w:eastAsia="ru-RU"/>
        </w:rPr>
        <w:t xml:space="preserve">Часть недостатков, выявленных на СУ-32, не являлись чем-то новым. Недостаточная прочность траков являлась проблемой и на Т-70, да и система охлаждения машины не работала идеально. Собственно говоря, уже шли работы по модернизации ходовой части базового танка, с октября 1942 года его запустили в серию как Т-70Б. Другой вопрос, что в случае с самоходами имелась заинтересованная сторона. А именно С.А. Гинзбург. Как явный лоббист системы с параллельным расположением мотора, он сделал так, что СУ-31 признали оптимальным шасси. Впрочем, и этой машине не суждено было стать серийной. Завод №37 уже производил Т-34, так что новым местом разработки стал завод №38 (г. Киров), куда и направили разработки по обеим машинам. В результате родилась СУ-12, в которой совместили шасси на агрегатах Т-70Б и систему моторно-трансмиссионной группы от СУ-31 </w:t>
      </w:r>
      <w:r w:rsidRPr="00722885">
        <w:rPr>
          <w:rFonts w:ascii="Times New Roman" w:hAnsi="Times New Roman"/>
          <w:color w:val="0070C0"/>
          <w:sz w:val="16"/>
          <w:szCs w:val="16"/>
        </w:rPr>
        <w:t>(21099).</w:t>
      </w:r>
    </w:p>
    <w:p w14:paraId="4E85559A" w14:textId="77777777" w:rsidR="004C1168" w:rsidRPr="00722885" w:rsidRDefault="004C1168" w:rsidP="00722885">
      <w:pPr>
        <w:spacing w:after="0" w:line="240" w:lineRule="auto"/>
        <w:jc w:val="both"/>
        <w:rPr>
          <w:rFonts w:ascii="Times New Roman" w:hAnsi="Times New Roman"/>
          <w:color w:val="0070C0"/>
          <w:sz w:val="16"/>
          <w:szCs w:val="16"/>
        </w:rPr>
      </w:pPr>
    </w:p>
    <w:p w14:paraId="6C31C2DE" w14:textId="77777777" w:rsidR="004C1168" w:rsidRPr="00722885" w:rsidRDefault="004C1168"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18 августа 1942 года СУ-31 и СУ-32 прошли испытания стрельбой на Софринском полигоне, а 21 августа начались ходовые испытания на филиале НИБТ Полигона в Кубинке (на тот момент головным был полигон под Казанью). К 3 сентября СУ-31 преодолела 630 километров, из них 277 по проселку и 10 по целине. Одновременно испытания проходил и Т-70, с ним у ЗСУ была очная ставка. Выяснилось, что на наиболее сложных участках болотистой местности СУ-31 имеет ряд преимуществ. Кроме того, по тепловому режиму двигателей СУ-31 превосходила и Т-70, и СУ-32.</w:t>
      </w:r>
    </w:p>
    <w:p w14:paraId="4C0DBB41" w14:textId="77777777" w:rsidR="004C1168" w:rsidRPr="00722885" w:rsidRDefault="004C1168"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По результатам испытаний комиссия рекомендовала принять СУ-31 на вооружение Красной Армии и изготовить 10-20 машин пробной партии. В ходе испытаний объем дефектов оказался небольшим: требовалось усилить тормоза и крепление щитового прикрытия, а также улучшить качество гусеничных лент. Дело в том, что во время ходовых испытаний имело место разрушение траков. А еще был первый звоночек по поводу мудреной системы параллельного размещения моторов. Под конец испытаний разрушилась шестерня первой передачи промежуточного вала. Списали этот дефект на заводской брак. В реальности дело оказалось в компоновочной схеме трансмиссии. Об этом тогда не думали, а вот для Гинзбурга затикал механизм, который сработал весной 1943 года.</w:t>
      </w:r>
    </w:p>
    <w:p w14:paraId="45D58926" w14:textId="77777777" w:rsidR="004C1168" w:rsidRPr="00722885" w:rsidRDefault="004C1168"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lang w:eastAsia="ru-RU"/>
        </w:rPr>
        <w:t xml:space="preserve">Несмотря на решение комиссии, ни о каком серийном производстве СУ-31 речь уже не шла. Во-первых, производство Т-60 закончилось. Во-вторых, уже планировалось производство Т-70Б с усиленной ходовой частью. Поэтому СУ-31 рассматривалась теперь как носитель технологий. Далее наработки по теме легких САУ передали на завод №38. Там СУ-31 превратилась в СУ-11, судьба которой оказалась куда менее удачной. Ну а СУ-32 превратилась в СУ-12, серийную машину, ставшую последней разработкой С.А. Гинзбурга </w:t>
      </w:r>
      <w:r w:rsidRPr="00722885">
        <w:rPr>
          <w:rFonts w:ascii="Times New Roman" w:hAnsi="Times New Roman"/>
          <w:color w:val="0070C0"/>
          <w:sz w:val="16"/>
          <w:szCs w:val="16"/>
        </w:rPr>
        <w:t>(21063).</w:t>
      </w:r>
    </w:p>
    <w:p w14:paraId="2BFB5D29" w14:textId="77777777" w:rsidR="004C1168" w:rsidRPr="00722885" w:rsidRDefault="004C1168" w:rsidP="00722885">
      <w:pPr>
        <w:spacing w:after="0" w:line="240" w:lineRule="auto"/>
        <w:jc w:val="both"/>
        <w:rPr>
          <w:rFonts w:ascii="Times New Roman" w:hAnsi="Times New Roman"/>
          <w:color w:val="0070C0"/>
          <w:sz w:val="16"/>
          <w:szCs w:val="16"/>
        </w:rPr>
      </w:pPr>
    </w:p>
    <w:p w14:paraId="173A151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г. Постановление ГОКО №2181сс, которое обязы</w:t>
      </w:r>
      <w:r w:rsidRPr="00722885">
        <w:rPr>
          <w:rFonts w:ascii="Times New Roman" w:hAnsi="Times New Roman"/>
          <w:color w:val="000000" w:themeColor="text1"/>
          <w:sz w:val="16"/>
          <w:szCs w:val="16"/>
        </w:rPr>
        <w:softHyphen/>
        <w:t>вало ОКБ ВЭИ изготовить 25 комплектов приборов для ночного вождения танков.</w:t>
      </w:r>
    </w:p>
    <w:p w14:paraId="2A47FF4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указанные приборы были изготовлены и в количестве 24 комплектов установ</w:t>
      </w:r>
      <w:r w:rsidRPr="00722885">
        <w:rPr>
          <w:rFonts w:ascii="Times New Roman" w:hAnsi="Times New Roman"/>
          <w:color w:val="000000" w:themeColor="text1"/>
          <w:sz w:val="16"/>
          <w:szCs w:val="16"/>
        </w:rPr>
        <w:softHyphen/>
        <w:t>лены для испытаний в танках Т-34 в 16-й и 17-й танковых бригадах 1-го гвардейского Донского кор</w:t>
      </w:r>
      <w:r w:rsidRPr="00722885">
        <w:rPr>
          <w:rFonts w:ascii="Times New Roman" w:hAnsi="Times New Roman"/>
          <w:color w:val="000000" w:themeColor="text1"/>
          <w:sz w:val="16"/>
          <w:szCs w:val="16"/>
        </w:rPr>
        <w:softHyphen/>
        <w:t>пуса.</w:t>
      </w:r>
    </w:p>
    <w:p w14:paraId="271829A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1943 г. ГОИ совместно с ОКБ ВЭИ изготовили и представили на испытания два ком</w:t>
      </w:r>
      <w:r w:rsidRPr="00722885">
        <w:rPr>
          <w:rFonts w:ascii="Times New Roman" w:hAnsi="Times New Roman"/>
          <w:color w:val="000000" w:themeColor="text1"/>
          <w:sz w:val="16"/>
          <w:szCs w:val="16"/>
        </w:rPr>
        <w:softHyphen/>
        <w:t>плекта танковых ночных прицелов ПЦТ-8, которые проходили испытания на НИБТ полигоне ГБТУКА.</w:t>
      </w:r>
    </w:p>
    <w:p w14:paraId="650362C8" w14:textId="77777777" w:rsidR="00055325"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 (11420).</w:t>
      </w:r>
    </w:p>
    <w:p w14:paraId="4DF16E71" w14:textId="77777777" w:rsidR="00055325" w:rsidRPr="00722885" w:rsidRDefault="00055325" w:rsidP="00722885">
      <w:pPr>
        <w:shd w:val="clear" w:color="auto" w:fill="FFFFFF"/>
        <w:spacing w:after="0" w:line="240" w:lineRule="auto"/>
        <w:jc w:val="both"/>
        <w:rPr>
          <w:rFonts w:ascii="Times New Roman" w:hAnsi="Times New Roman"/>
          <w:color w:val="000000" w:themeColor="text1"/>
          <w:sz w:val="16"/>
          <w:szCs w:val="16"/>
        </w:rPr>
      </w:pPr>
    </w:p>
    <w:p w14:paraId="4226D272" w14:textId="77777777" w:rsidR="00055325" w:rsidRPr="00722885" w:rsidRDefault="00AE7191" w:rsidP="00722885">
      <w:pPr>
        <w:shd w:val="clear" w:color="auto" w:fill="FFFFFF"/>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18 августа 1942 вышло:</w:t>
      </w:r>
    </w:p>
    <w:p w14:paraId="666440BE" w14:textId="77777777" w:rsidR="00055325" w:rsidRPr="00722885" w:rsidRDefault="00AE7191" w:rsidP="00722885">
      <w:pPr>
        <w:shd w:val="clear" w:color="auto" w:fill="FFFFFF"/>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ГОСУДАРСТВЕННЫЙ КОМИТЕТ ОБОРОНЫ ПОСТАНОВЛЕНИЕ № 2181сс</w:t>
      </w:r>
    </w:p>
    <w:p w14:paraId="2F14B75B" w14:textId="77777777" w:rsidR="00AE7191" w:rsidRPr="00722885" w:rsidRDefault="00AE7191" w:rsidP="00722885">
      <w:pPr>
        <w:shd w:val="clear" w:color="auto" w:fill="FFFFFF"/>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Об изготовлении опытной партии приборов для ночного вождения танков</w:t>
      </w:r>
    </w:p>
    <w:p w14:paraId="48CADAF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Комитет Обороны ПОСТАНОВЛЯЕТ:</w:t>
      </w:r>
    </w:p>
    <w:p w14:paraId="293F762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Наркомэлектропром т. Кабанова и начальника особого конструкторского бюро Всесоюзного электротехнического института т. Бирюкова изготовить опытную партию приборов для ночного вождения танков в количестве 25 комплектов, из них к 20 сентября 1942 г. - 10 комплектов и к 1 октября 1942 г. - 15 комплектов. При изготовлении вышеуказанных приборов устранить недостатки, выявленные во время полигонных испытаний опытного образца.</w:t>
      </w:r>
    </w:p>
    <w:p w14:paraId="02A454A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Наркомвооружения т. Устинова изготовить и поставить Наркомэлектропрому 30 комплектов оптических систем БИС-26, из них к 10 сентября — 10 комплектов и к 20 сентября — 20 комплектов.</w:t>
      </w:r>
    </w:p>
    <w:p w14:paraId="7550D4D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Наркомлегпром СССР т. Лукина изготовить и поставить Наркомэлектропрому 150 штук светофильтров КС-13, из них к 10 сентября — 50 штук и к 20 сентября — 100 штук.</w:t>
      </w:r>
    </w:p>
    <w:p w14:paraId="39017F0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Обязать Наркомрезинпром т. Митрохина изготовить и поставить к 10 сентября 1942 г. Наркомэлектропрому — 70 штук наглазников из губчатой резины Б-13 (СБ-32) деталь 345 и 50 кг круглого и листового эбонита по спецификациям Наркомэлектропрома.</w:t>
      </w:r>
    </w:p>
    <w:p w14:paraId="097392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Обязать ГАБТУ КА т. Федоренко установить приборы для ночного вождения на танки и проверить возможность практического их использования на марше танковой колонны и в бою. </w:t>
      </w:r>
    </w:p>
    <w:p w14:paraId="31B6DA6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Предложения о внедрении приборов для ночного вождения танков на серийное производство представить Государственному Комитету Обороны к 10 октября 1942 года </w:t>
      </w:r>
    </w:p>
    <w:p w14:paraId="4EE4BD6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 (11813).</w:t>
      </w:r>
    </w:p>
    <w:p w14:paraId="38426C5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743E6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вышло Постановление ГКО № 2181 Об изготовлении опытной партии приборов для ночного вождения танков. РГАНИР, Фонд ГКО, д. 52, лл. 37 (11012).</w:t>
      </w:r>
    </w:p>
    <w:p w14:paraId="32F8521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B71AC8B"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18 августа 1942 года вышел приказ № 608с НКБ</w:t>
      </w:r>
    </w:p>
    <w:p w14:paraId="52F5442F"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Организовать в составе завода № 184 на базе опытного отдела этого завода КБ гильзовой промышленности (5909, 50).</w:t>
      </w:r>
    </w:p>
    <w:p w14:paraId="2645AA4C" w14:textId="77777777" w:rsidR="00AE7191" w:rsidRPr="00722885" w:rsidRDefault="00AE7191" w:rsidP="00722885">
      <w:pPr>
        <w:pStyle w:val="Iauiue"/>
        <w:tabs>
          <w:tab w:val="left" w:pos="11199"/>
        </w:tabs>
        <w:jc w:val="both"/>
        <w:rPr>
          <w:color w:val="000000" w:themeColor="text1"/>
          <w:sz w:val="16"/>
          <w:szCs w:val="16"/>
        </w:rPr>
      </w:pPr>
    </w:p>
    <w:p w14:paraId="59A2FC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вышло Постановление ГКО № 2182 О неотложных мерах помощи Сталинградским заводам СТЗ и № 264 Наркомтанкопрома. РГАНИР, Фонд ГКО, д. 52, лл. 38-41 (11012).</w:t>
      </w:r>
    </w:p>
    <w:p w14:paraId="5CC4553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306B736" w14:textId="77777777" w:rsidR="00055325"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вышло Постановление ГКО № 2183 О командировании Малышева В.А. в Сталинград на 15 дней для налаживания кооперации между заводами. РГАНИР, Фонд ГКО, д. 52, лл. 42 (11012).</w:t>
      </w:r>
    </w:p>
    <w:p w14:paraId="63AF7958"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5DCF0001" w14:textId="77777777" w:rsidR="00055325" w:rsidRPr="00722885" w:rsidRDefault="00AE7191"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18 августа 1942 вышло:</w:t>
      </w:r>
    </w:p>
    <w:p w14:paraId="69401ACD" w14:textId="77777777" w:rsidR="00055325" w:rsidRPr="00722885" w:rsidRDefault="00AE7191"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ПОСТАНОВЛЕНИЕ ГОСУДАРСТВЕННОГО КОМИТЕТА ОБОРОНЫ № 2183 от 18.08.1942г.</w:t>
      </w:r>
    </w:p>
    <w:p w14:paraId="5B510EA7" w14:textId="77777777" w:rsidR="00AE7191" w:rsidRPr="00722885" w:rsidRDefault="00AE7191"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[о мероприятиях по обеспечению бесперебойной работы военной промышленности Сталинграда ]</w:t>
      </w:r>
    </w:p>
    <w:p w14:paraId="4FABF0E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Командировать сроком на 15 дней в г.Сталинград Зам. Председателя Совнаркома Союза ССР тов.Малышева, поручив ему обеспечить бесперебойную работу военной промышленности Сталинграда и наладить на месте необходимую кооперацию между заводами, в соответствии с постановлением ГОКО от 18 августа №2182сс.</w:t>
      </w:r>
    </w:p>
    <w:p w14:paraId="124514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Для обеспечения указанного выше, разрешить тов.Малышеву издавать от имени Совнаркома Союза ССР необходимые указания и распоряжения, обязательные для исполнения всеми партийными, советскими, хозяйственными и общественными организациями. </w:t>
      </w:r>
    </w:p>
    <w:p w14:paraId="7F340D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 (11813).</w:t>
      </w:r>
    </w:p>
    <w:p w14:paraId="0AE91CE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C07C43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г. на базе ликвидированных Экспериментально-конструкторского института химического машиностроения "Экихиммаш", Государственного института химического и бумажного машиностроения "Гипрохимбуммаш" и Конструкторского бюро Киевского завода "Большевик" приказом Наркомата минометного вооружения СССР был создан Научно-исследовательский институт химического машиностроения "НИИхиммаш" в г. Свердловске. Приказом Наркомата минометного вооружения СССР от 16 сентября 1943 г. переведен в г. Москву. Приказом Министерства машиностроения и приборостроения СССР от 17 мая 1946 г. переименован во Всесоюзный научно-исследовательский институт химического машиностроения "НИИхиммаш". С 6 марта 1952 г. называется Всесоюзный научно-исследовательский и конструкторский институт химического машиностроения "НИИхиммаш". В1943 - 1953 гг. институт возглавлял академик АН СССР, лауреат Ленинской премии и Государственных премий СССР Н. А. Доллежаль (12102).</w:t>
      </w:r>
    </w:p>
    <w:p w14:paraId="40FFE93E"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34A3D94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вышло Постановление ГКО № 2184 О строительстве мартеновской печи № 5 на Уралмашзаводе Наркомтанкопрома. РГАНИР, Фонд ГКО, д. 52, лл. 43 (11012).</w:t>
      </w:r>
    </w:p>
    <w:p w14:paraId="0CD22B0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5CA00B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вышло Постановление ГКО № 2185 О вывозе светлых нефтепродуктов из Баку и Грозного через Гурьев. РГАНИР, Фонд ГКО, д. 52, лл. 44-49, 50 (11012).</w:t>
      </w:r>
    </w:p>
    <w:p w14:paraId="618A3D6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F6278D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вышло Постановление ГКО № 2186 О т.т. Моллаеве С.К., Даниялове А.РГАНИР, Фонд ГКО, д. , Кулове К.РГАНИР, Фонд ГКО, д. и Кумехове З.РГАНИР, Фонд ГКО, д. РГАНИР, Фонд ГКО, д. 52, лл. 51 (11012).</w:t>
      </w:r>
    </w:p>
    <w:p w14:paraId="4FC3144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9ED63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 вышло Постановление ГКО № 2187 Об обеспечении фронтовых правительственных связей специальной аппаратурой для телефонных и радиотелефонных разговоров. РГАНИР, Фонд ГКО, д. 52, лл. 52-54, 55 (11012).</w:t>
      </w:r>
    </w:p>
    <w:p w14:paraId="72FE98B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C362D0E"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18 августа 1942 вышло Постановление ГКО № 2188 Об увеличении сбора и выплавки вторичного алюминия и алюминиевых сплавов в 1942 г. (7050, 56-61).</w:t>
      </w:r>
    </w:p>
    <w:p w14:paraId="356B33F3" w14:textId="77777777" w:rsidR="00AE7191" w:rsidRPr="00722885" w:rsidRDefault="00AE7191" w:rsidP="00722885">
      <w:pPr>
        <w:pStyle w:val="Iauiue"/>
        <w:tabs>
          <w:tab w:val="left" w:pos="11199"/>
        </w:tabs>
        <w:jc w:val="both"/>
        <w:rPr>
          <w:color w:val="000000" w:themeColor="text1"/>
          <w:sz w:val="16"/>
          <w:szCs w:val="16"/>
        </w:rPr>
      </w:pPr>
    </w:p>
    <w:p w14:paraId="6CB4BE2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18 августа 1942 вышло Постановление ГКО № 2189 Об увеличении производства магния на двух действующих сериях Соликамского магниевого завода. (7050, 62-65,66-78).</w:t>
      </w:r>
    </w:p>
    <w:p w14:paraId="6CEFC5F1" w14:textId="77777777" w:rsidR="00AE7191" w:rsidRPr="00722885" w:rsidRDefault="00AE7191" w:rsidP="00722885">
      <w:pPr>
        <w:pStyle w:val="Iauiue"/>
        <w:tabs>
          <w:tab w:val="left" w:pos="11199"/>
        </w:tabs>
        <w:jc w:val="both"/>
        <w:rPr>
          <w:color w:val="000000" w:themeColor="text1"/>
          <w:sz w:val="16"/>
          <w:szCs w:val="16"/>
        </w:rPr>
      </w:pPr>
    </w:p>
    <w:p w14:paraId="45899E6B"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18 августа 1942 вышло Постановление ГКО № 2190 О вводе в действие дополнительных мощностей по производству магния в 1942 году. (7050, 79-83,84-118).</w:t>
      </w:r>
    </w:p>
    <w:p w14:paraId="4B8F500D" w14:textId="77777777" w:rsidR="00AE7191" w:rsidRPr="00722885" w:rsidRDefault="00AE7191" w:rsidP="00722885">
      <w:pPr>
        <w:pStyle w:val="Iauiue"/>
        <w:tabs>
          <w:tab w:val="left" w:pos="11199"/>
        </w:tabs>
        <w:jc w:val="both"/>
        <w:rPr>
          <w:color w:val="000000" w:themeColor="text1"/>
          <w:sz w:val="16"/>
          <w:szCs w:val="16"/>
        </w:rPr>
      </w:pPr>
    </w:p>
    <w:p w14:paraId="53FEF31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6C18B0E" w14:textId="77777777" w:rsidR="00AE7191" w:rsidRPr="00722885" w:rsidRDefault="00AE7191" w:rsidP="00722885">
      <w:pPr>
        <w:pStyle w:val="Iauiue"/>
        <w:jc w:val="both"/>
        <w:rPr>
          <w:iCs/>
          <w:color w:val="000000" w:themeColor="text1"/>
          <w:sz w:val="16"/>
          <w:szCs w:val="16"/>
        </w:rPr>
      </w:pPr>
    </w:p>
    <w:p w14:paraId="7A008B06"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в 1942 году утреннее сообщение Совинформбюро:</w:t>
      </w:r>
    </w:p>
    <w:p w14:paraId="01E2579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18 августа наши войска вели бои с противником в районах юго-восточнее Клетская, северо-восточнее Котельниково, а также в районах Минеральные Воды и Краснодар.</w:t>
      </w:r>
    </w:p>
    <w:p w14:paraId="63474A24"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40F444C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Клетской наши войска продолжали вести напряжённые оборонительные бои. Большой урон врагу наносит советская артиллерия. За несколько дней боёв артиллеристы одного подразделения уничтожили до 5 рот немецкой пехоты, 12 орудий с прислугой, 4 миномётные батареи и наблюдательный пункт. Бойцы Н-ской стрелковой части ведут упорные бои с превосходящими силами противника, вклинившимися в нашу оборону. В течение суток они отбили четыре атаки неприятеля и уничтожили более 1.500 гитлеровцев.</w:t>
      </w:r>
    </w:p>
    <w:p w14:paraId="7600A21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в бою у одного населённого пункта разгромлен батальон румынской пехоты. Наши бойцы захватили пленных и трофеи. На другом участке Н-ская часть истребила свыше 300 гитлеровцев. Огнём артиллерии подбито и уничтожено 6 немецких танков.</w:t>
      </w:r>
    </w:p>
    <w:p w14:paraId="11577E50"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наши войска вели бои с танками и мотопехотой противника. На одном участке наши артиллеристы и бронебойщики отбили атаку неприятеля. Подбито 12 танков. На другом участке танкисты Н-ской части в ожесточённом бою уничтожили до 600 гитлеровцев и 20 танков противника. В районе Минеральных Вод наши части отбили атаки войск противника.</w:t>
      </w:r>
    </w:p>
    <w:p w14:paraId="649585D2"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местного значения. Части под командованием тов. Свиридова предприняли несколько атак и нанесли немцам урон в живой силе и технике. Красноармейцы Латкин и Васильев во время атаки вражеских блиндажей закололи 14 немцев. Старший сержант Догадин из противотанкового ружья сбил немецкий транспортный самолёт «Юнкерс-52».</w:t>
      </w:r>
    </w:p>
    <w:p w14:paraId="573BC36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Брянские партизаны пустили под откос три железнодорожных эшелона с живой силой и техникой противника. На одной из шоссейных дорог партизаны сожгли мост, в связи с чем затормозили движение автотранспорта противника.</w:t>
      </w:r>
    </w:p>
    <w:p w14:paraId="2AC4E2E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обер-ефрейтор 14 роты 227 немецкого пехотного полка Рудольф Циглер рассказал: «В последнее время офицеры нам говорили, что есть приказ командования, предлагающий командирам частей на месте добывать продовольствие для снабжения солдат. Офицеры при этом указывали, что Германия, где нормы потребления из месяца в месяц сокращаются, не может снабжать фронт. Наоборот, командование требует, чтобы фронт снабжал тыл хлебом, мясом и другими продуктами. После таких бесед начался ещё более усиленный грабёж населения. Специально выделенные группы шныряют по деревням и берут всё, что им попадётся под руки».</w:t>
      </w:r>
    </w:p>
    <w:p w14:paraId="5E4245A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Польский партизанский отряд, действующий в районе Кракова, истребил 70 гитлеровцев. На линии Краков—Мехув партизаны в трёх местах разрушили железнодорожное полотно. Движение поездов на этом участке было прекращено в течение двух дней.» (14987).</w:t>
      </w:r>
    </w:p>
    <w:p w14:paraId="2F773AA3"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0C115BAE"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в 1942 году вечернее сообщение Совинформбюро:</w:t>
      </w:r>
    </w:p>
    <w:p w14:paraId="10F6DB3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18 августа наши войска вели бои с противником в районахюго-восточнее Клетская, северо-восточнее Котельниково, а также в районах Пятигорск и Краснодар.</w:t>
      </w:r>
    </w:p>
    <w:p w14:paraId="6945490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220FDFF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 17 августа частями нашей авиации на различных участках фронта уничтожено или повреждено до 30 немецких танков и бронемашин, свыше 200 автомашин с войсками и грузами, 6 автоцистерн с горючим, взорван склад боеприпасов и склад горючего, подавлен огонь 20 батарей полевой и зенитной артиллерии, потоплен один катер, рассеяно и частью уничтожено до двух батальонов пехоты противника.</w:t>
      </w:r>
    </w:p>
    <w:p w14:paraId="5610170B"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Клетской наши войска вели напряжённые оборонительные бои с танками и пехотой противника. На участке Н-ского соединения крупные силы немцев перешли в наступление. После кровопролитного боя, в ходе которого было уничтожено 10 немецких танков и до 800 гитлеровцев, наши части отошли на новые оборонительные рубежи. Да другом участке наша стрелковая часть продолжала вести бой с превосходящими силами противника, вклинившимися в нашу оборону. Уничтожено 4 танка и до 700 немецких солдат и офицеров.</w:t>
      </w:r>
    </w:p>
    <w:p w14:paraId="4250D4B1"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вели бои с перешедшими в наступление войсками противника. Около населённого пункта Б. произошёл ожесточённый бой, в результате которого немцы потеряли только убитыми до 600 солдат и офицеров. Внезапным огневым налётом нашей артиллерии на скопление противника уничтожено 8 танков и 20 автомашин с пехотой.</w:t>
      </w:r>
    </w:p>
    <w:p w14:paraId="31FC6005"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наши войска вели бои с группировкой противника, переправившейся через реку Кубань. Н-ское подразделение предприняло контратаку и разгромило батальон гитлеровцев. Подбито 4 немецких танка.</w:t>
      </w:r>
    </w:p>
    <w:p w14:paraId="39FC71D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Пятигорска советские войска отбивали ожесточённые атаки неприятеля.Только на одном участке истреблено свыше 300 солдат и офицеров противника.</w:t>
      </w:r>
    </w:p>
    <w:p w14:paraId="24A90128"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наши части вели упорные уличные бои с противником в населённомпункте К. Гитлеровцы понесли в этих боях большие потери в живой силе. Захвачены пленные.</w:t>
      </w:r>
    </w:p>
    <w:p w14:paraId="029E1528"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Волховском фронте происходили активные действия разведывательных отрядов. Бойцы подразделения старшего лейтенанта Наума Пресса пробрались к немецкому ДЗОТу. Красноармеец Корнев вырвал из амбразуры пулемёт и бросил в ДЗОТ гранату. Другие разведчики открыли огонь и истребили бежавших немцев. Восемь разведчиков во главе со старшим лейтенантом Ивановым в лесу встретили 25 гитлеровцев. Наши бойцы огнём из автоматов уничтожили 24 немца, а одного немецкого солдата взяли в плен.</w:t>
      </w:r>
    </w:p>
    <w:p w14:paraId="059E46C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тов. К., действующий в одном из районов Витебской области, в течение июля месяца истребил 106 гитлеровцев, разрушил 8 мостов и сжёг несколько складов немецких оккупантов. Партизаны отряда обстреляли из пулемётов и автоматов 5 железнодорожных поездов с живой силой противника.</w:t>
      </w:r>
    </w:p>
    <w:p w14:paraId="240EBA7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2 роты 685 полка 336 немецкой пехотной дивизии Франц Рейнгольд рассказал: «Наша дивизия находилась во Франции, в Нанте и Ренне. Французское население ненавидит немцев и ожидает лишь случая, чтобы отомстить нам. Именно поэтому некоторые офицеры и солдаты считали, что Францию надо рассматривать как фронт, который если не сегодня, то завтра потребует много сил и жертв. В июне 1942 года мы выехали на Восточный фронт. Отправка нашей дивизии в Россию вызвала недоумение и недовольство. Многие при этом исходили из чисто шкурных соображений. Никому не хотелось уезжать из Франции, расстаться с хорошей, спокойной жизнью и ехать в Россию на верную смерть».</w:t>
      </w:r>
    </w:p>
    <w:p w14:paraId="6414DE42"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изгнания немцев из села Большая Верейка, Воронежской области, группа бойцов и командиров Н-ской части обнаружила в овраге труп красноармейца, зверски замученного гитлеровцами. Фашистские изверги подвергли пленного нечеловеческим пыткам. Они отрезали красноармейцу уши, нос, губы, содрали с черепа кожу и бросили труп в овраг.</w:t>
      </w:r>
    </w:p>
    <w:p w14:paraId="0F9F75EA"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прядильной фабрике в Куртре (Бельгия) патриоты подожгли склады. Огнём уничтожено до 150 тонн пряжи, которую намечено было отправить в Германию.» (14987).</w:t>
      </w:r>
    </w:p>
    <w:p w14:paraId="737B4B66"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5C088D80" w14:textId="77777777" w:rsidR="00FA7E38" w:rsidRPr="00722885" w:rsidRDefault="00FA7E38" w:rsidP="00722885">
      <w:pPr>
        <w:pStyle w:val="ae"/>
        <w:spacing w:before="0" w:after="0"/>
        <w:jc w:val="both"/>
        <w:textAlignment w:val="baseline"/>
        <w:rPr>
          <w:color w:val="000000" w:themeColor="text1"/>
          <w:sz w:val="16"/>
          <w:szCs w:val="16"/>
        </w:rPr>
      </w:pPr>
      <w:r w:rsidRPr="00722885">
        <w:rPr>
          <w:color w:val="000000" w:themeColor="text1"/>
          <w:sz w:val="16"/>
          <w:szCs w:val="16"/>
        </w:rPr>
        <w:t>19 августа 1942 пять Ил-2 из 7-го гв. пшап в сопровождении 11 «Харрикейнов» в очередной раз вылетели на поиск кораблей противника в Финском заливе. В 5.05 вблизи острова Большой Тютерс пилоты «горбатых» увидели два транспорта, шедшие под охраной пяти сторожевых кораблей. Зная, что наибольшие потери от зенитного огня штурмовики обычно несли при выходе из атаки, ведущий на сей раз решил применить тактическую «новинку». Он повел пятерку в обход, чтобы ударить по транспортам с севера и выйти из атаки на восток, в направлении на солнце.</w:t>
      </w:r>
    </w:p>
    <w:p w14:paraId="4F2954AB" w14:textId="77777777" w:rsidR="00FA7E38" w:rsidRPr="00722885" w:rsidRDefault="00FA7E38" w:rsidP="00722885">
      <w:pPr>
        <w:pStyle w:val="ae"/>
        <w:spacing w:before="0" w:after="0"/>
        <w:jc w:val="both"/>
        <w:textAlignment w:val="baseline"/>
        <w:rPr>
          <w:color w:val="000000" w:themeColor="text1"/>
          <w:sz w:val="16"/>
          <w:szCs w:val="16"/>
        </w:rPr>
      </w:pPr>
      <w:r w:rsidRPr="00722885">
        <w:rPr>
          <w:color w:val="000000" w:themeColor="text1"/>
          <w:sz w:val="16"/>
          <w:szCs w:val="16"/>
        </w:rPr>
        <w:t>Это был опрометчивый и необдуманный, если не сказать глупый, шаг. На выходе в атаку пилоты И лов оказались сами ослеплены яркими солнечными лучами и не смогли точно прицелиться. В результате все сброшенные бомбы и выпущенные «эрэсы» легли мимо цели. При этом огонь корабельных зениток, несмотря на примененную атакующими «тактическую хитрость», оказался организованным и сосредоточенным, и один Ил-2 был сбит (19522).</w:t>
      </w:r>
    </w:p>
    <w:p w14:paraId="7FA216E8" w14:textId="77777777" w:rsidR="00FA7E38" w:rsidRPr="00722885" w:rsidRDefault="00FA7E38" w:rsidP="00722885">
      <w:pPr>
        <w:pStyle w:val="ae"/>
        <w:spacing w:before="0" w:after="0"/>
        <w:jc w:val="both"/>
        <w:textAlignment w:val="baseline"/>
        <w:rPr>
          <w:color w:val="000000" w:themeColor="text1"/>
          <w:sz w:val="16"/>
          <w:szCs w:val="16"/>
        </w:rPr>
      </w:pPr>
    </w:p>
    <w:p w14:paraId="0855CCFA" w14:textId="77777777" w:rsidR="00FA7E38" w:rsidRPr="00722885" w:rsidRDefault="00FA7E38" w:rsidP="00722885">
      <w:pPr>
        <w:pStyle w:val="ae"/>
        <w:spacing w:before="0" w:after="0"/>
        <w:jc w:val="both"/>
        <w:textAlignment w:val="baseline"/>
        <w:rPr>
          <w:color w:val="000000" w:themeColor="text1"/>
          <w:sz w:val="16"/>
          <w:szCs w:val="16"/>
        </w:rPr>
      </w:pPr>
      <w:r w:rsidRPr="00722885">
        <w:rPr>
          <w:color w:val="000000" w:themeColor="text1"/>
          <w:sz w:val="16"/>
          <w:szCs w:val="16"/>
        </w:rPr>
        <w:t>19 августа 1942 третий подряд огненный таран совершили летчики 622-го шап. На сей раз старший сержант Михаил Пресняков направил свой Ил-2 на переправу, наведенную немцами через Дон. Через три дня на таран наземной цели пошел младший лейтенант И. С. Богачев из 688-го шап(19522).</w:t>
      </w:r>
    </w:p>
    <w:p w14:paraId="5EA54EB0" w14:textId="77777777" w:rsidR="00FA7E38" w:rsidRPr="00722885" w:rsidRDefault="00FA7E38" w:rsidP="00722885">
      <w:pPr>
        <w:pStyle w:val="ae"/>
        <w:spacing w:before="0" w:after="0"/>
        <w:jc w:val="both"/>
        <w:textAlignment w:val="baseline"/>
        <w:rPr>
          <w:color w:val="000000" w:themeColor="text1"/>
          <w:sz w:val="16"/>
          <w:szCs w:val="16"/>
        </w:rPr>
      </w:pPr>
    </w:p>
    <w:p w14:paraId="63DE08AF" w14:textId="77777777" w:rsidR="004C1168" w:rsidRPr="00722885" w:rsidRDefault="004C116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августа 1942 целью экипажей АДД стал Данциг. Для нанесения удара от монинской группы 24-й ад дд вылетели десять экипажей. Из них по основной цели отбомбились шесть самолетов, остальные по разным причинам нанесли удар по Кенигсбергу, Тильзиту, Двинску. От 36-й ад дд по основной цели отработало восемь машин, один экипаж бомбил Мемель, один - железнодорожную станцию Подшивалово 138 км южнее Пскова. Из рейда не вернулся экипаж капитана И.И. Горбунова. Наибольшее число самолетов традиционно выделила 17-я дивизия. 25 из них отбомбились по цели, еще два сбросили бомбы на Кенигсберг. К сожалению, был потерян экипаж старшего лейтенанта М.М. Михалева. По немецким данным, в результате удара по Данцигу были уничтожены три здания, сильно повреждены девять и незначительно 22, убито шесть (в том числе один военнослужащий СС) и ранено пять человек. Повреждена линия электропередач на Эльбинг, подача электроэнергии прервана на полтора часа. Одна бомба взорвалась недалеко от Кенигсберга, две на окраине Мемеля (22728).</w:t>
      </w:r>
    </w:p>
    <w:p w14:paraId="58000707" w14:textId="77777777" w:rsidR="004C1168" w:rsidRPr="00722885" w:rsidRDefault="004C1168" w:rsidP="00722885">
      <w:pPr>
        <w:spacing w:after="0" w:line="240" w:lineRule="auto"/>
        <w:jc w:val="both"/>
        <w:rPr>
          <w:rFonts w:ascii="Times New Roman" w:hAnsi="Times New Roman"/>
          <w:color w:val="0070C0"/>
          <w:sz w:val="16"/>
          <w:szCs w:val="16"/>
        </w:rPr>
      </w:pPr>
    </w:p>
    <w:p w14:paraId="06C894C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в 1942 году начались бои советских войск с противником, пытавшимся захватить плацдарм на восточном берегу Дона в районе Вертячий, Калач, Нижне-Чирская. Начались бои войск 46-й армии Закавказского фронта за перевалы центральной части Главного Кавказского хребта против частей 49-го горнострелкового корпуса противника на Сухумском направлении (14987).</w:t>
      </w:r>
    </w:p>
    <w:p w14:paraId="58012E4D"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405A11CB"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в 1942 году Адольф Гитлер издает приказ о полном уничтожении партизан в СССР (14987).</w:t>
      </w:r>
    </w:p>
    <w:p w14:paraId="5A698012"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1C631EE3"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в 1942 году создание советской Новоземельской военно-морской базы (14987).</w:t>
      </w:r>
    </w:p>
    <w:p w14:paraId="21A4B6F8"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470C0D07"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в 1942 году немецкие войска вышли к Эльбрусу (14987).</w:t>
      </w:r>
    </w:p>
    <w:p w14:paraId="345CA394"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60FC3D08"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в 1942 году немецкие войска заняли Будённовск (14987).</w:t>
      </w:r>
    </w:p>
    <w:p w14:paraId="47BE34B2"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66F873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приказом НКО N 250 пять лучших полков АДД - 1, 81, 250, 748 и 750 были преобразованы в гвардейские (556,223).</w:t>
      </w:r>
    </w:p>
    <w:p w14:paraId="6481F85E" w14:textId="77777777" w:rsidR="00AE7191" w:rsidRPr="00722885" w:rsidRDefault="00AE7191" w:rsidP="00722885">
      <w:pPr>
        <w:pStyle w:val="Iauiue"/>
        <w:jc w:val="both"/>
        <w:rPr>
          <w:color w:val="000000" w:themeColor="text1"/>
          <w:sz w:val="16"/>
          <w:szCs w:val="16"/>
        </w:rPr>
      </w:pPr>
    </w:p>
    <w:p w14:paraId="69221D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приказом N 250 НКО пять лучших полков ДА - 1, 18, 250, 748 и 750 стали гвардейскими (556,223).</w:t>
      </w:r>
    </w:p>
    <w:p w14:paraId="5CD24177" w14:textId="77777777" w:rsidR="00AE7191" w:rsidRPr="00722885" w:rsidRDefault="00AE7191" w:rsidP="00722885">
      <w:pPr>
        <w:pStyle w:val="Iauiue"/>
        <w:jc w:val="both"/>
        <w:rPr>
          <w:color w:val="000000" w:themeColor="text1"/>
          <w:sz w:val="16"/>
          <w:szCs w:val="16"/>
        </w:rPr>
      </w:pPr>
    </w:p>
    <w:p w14:paraId="092652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была создана Новоземельская ВМ база (3186).</w:t>
      </w:r>
    </w:p>
    <w:p w14:paraId="1E29F5BD" w14:textId="77777777" w:rsidR="00AE7191" w:rsidRPr="00722885" w:rsidRDefault="00AE7191" w:rsidP="00722885">
      <w:pPr>
        <w:pStyle w:val="Iauiue"/>
        <w:jc w:val="both"/>
        <w:rPr>
          <w:color w:val="000000" w:themeColor="text1"/>
          <w:sz w:val="16"/>
          <w:szCs w:val="16"/>
        </w:rPr>
      </w:pPr>
    </w:p>
    <w:p w14:paraId="4AC512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18 августа 1942 в указаниях командую</w:t>
      </w:r>
      <w:r w:rsidRPr="00722885">
        <w:rPr>
          <w:color w:val="000000" w:themeColor="text1"/>
          <w:sz w:val="16"/>
          <w:szCs w:val="16"/>
        </w:rPr>
        <w:softHyphen/>
        <w:t>щего 8-й ВА генерала Т.Т.Хрюкина от 18.08.42 г. (исх. № 00295) сообщалось о фактах в действиях истребительной авиации на сталинградском направле</w:t>
      </w:r>
      <w:r w:rsidRPr="00722885">
        <w:rPr>
          <w:color w:val="000000" w:themeColor="text1"/>
          <w:sz w:val="16"/>
          <w:szCs w:val="16"/>
        </w:rPr>
        <w:softHyphen/>
        <w:t>нии, когда штурмовики оставались без прикрытия (6467).</w:t>
      </w:r>
    </w:p>
    <w:p w14:paraId="05562861" w14:textId="77777777" w:rsidR="00AE7191" w:rsidRPr="00722885" w:rsidRDefault="00AE7191" w:rsidP="00722885">
      <w:pPr>
        <w:pStyle w:val="Iauiue"/>
        <w:jc w:val="both"/>
        <w:rPr>
          <w:color w:val="000000" w:themeColor="text1"/>
          <w:sz w:val="16"/>
          <w:szCs w:val="16"/>
        </w:rPr>
      </w:pPr>
    </w:p>
    <w:p w14:paraId="5557CC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18 августа 1942 в 13.40 семерка Ил-2 686-го </w:t>
      </w:r>
      <w:r w:rsidRPr="00722885">
        <w:rPr>
          <w:iCs/>
          <w:color w:val="000000" w:themeColor="text1"/>
          <w:sz w:val="16"/>
          <w:szCs w:val="16"/>
        </w:rPr>
        <w:t>шап</w:t>
      </w:r>
      <w:r w:rsidRPr="00722885">
        <w:rPr>
          <w:color w:val="000000" w:themeColor="text1"/>
          <w:sz w:val="16"/>
          <w:szCs w:val="16"/>
        </w:rPr>
        <w:t xml:space="preserve"> уничтожила и повре</w:t>
      </w:r>
      <w:r w:rsidRPr="00722885">
        <w:rPr>
          <w:color w:val="000000" w:themeColor="text1"/>
          <w:sz w:val="16"/>
          <w:szCs w:val="16"/>
        </w:rPr>
        <w:softHyphen/>
        <w:t>дила до 80 автомашин и подавила 5 ми</w:t>
      </w:r>
      <w:r w:rsidRPr="00722885">
        <w:rPr>
          <w:color w:val="000000" w:themeColor="text1"/>
          <w:sz w:val="16"/>
          <w:szCs w:val="16"/>
        </w:rPr>
        <w:softHyphen/>
        <w:t>нометных батарей. Эффективность дей</w:t>
      </w:r>
      <w:r w:rsidRPr="00722885">
        <w:rPr>
          <w:color w:val="000000" w:themeColor="text1"/>
          <w:sz w:val="16"/>
          <w:szCs w:val="16"/>
        </w:rPr>
        <w:softHyphen/>
        <w:t>ствия штурмовиков была подтверждена штабом Сталинградского фронта (6467).</w:t>
      </w:r>
    </w:p>
    <w:p w14:paraId="2444C518" w14:textId="77777777" w:rsidR="00AE7191" w:rsidRPr="00722885" w:rsidRDefault="00AE7191" w:rsidP="00722885">
      <w:pPr>
        <w:pStyle w:val="Iauiue"/>
        <w:jc w:val="both"/>
        <w:rPr>
          <w:color w:val="000000" w:themeColor="text1"/>
          <w:sz w:val="16"/>
          <w:szCs w:val="16"/>
        </w:rPr>
      </w:pPr>
    </w:p>
    <w:p w14:paraId="7D49E283"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18 августа 1942 Гитлер издал приказ о полном уничтожении партизан в СССР (4962).</w:t>
      </w:r>
    </w:p>
    <w:p w14:paraId="1683AFA8" w14:textId="77777777" w:rsidR="00AE7191" w:rsidRPr="00722885" w:rsidRDefault="00AE7191" w:rsidP="00722885">
      <w:pPr>
        <w:pStyle w:val="Iauiue"/>
        <w:tabs>
          <w:tab w:val="left" w:pos="11199"/>
        </w:tabs>
        <w:jc w:val="both"/>
        <w:rPr>
          <w:color w:val="000000" w:themeColor="text1"/>
          <w:sz w:val="16"/>
          <w:szCs w:val="16"/>
        </w:rPr>
      </w:pPr>
    </w:p>
    <w:p w14:paraId="0C1A9C6F" w14:textId="0E2EFB5A" w:rsidR="004C1168" w:rsidRPr="00722885" w:rsidRDefault="004C1168" w:rsidP="00722885">
      <w:pPr>
        <w:pStyle w:val="Iauiue"/>
        <w:jc w:val="both"/>
        <w:rPr>
          <w:i/>
          <w:iCs/>
          <w:color w:val="000000" w:themeColor="text1"/>
          <w:sz w:val="16"/>
          <w:szCs w:val="16"/>
        </w:rPr>
      </w:pPr>
      <w:r w:rsidRPr="00722885">
        <w:rPr>
          <w:i/>
          <w:iCs/>
          <w:color w:val="000000" w:themeColor="text1"/>
          <w:sz w:val="16"/>
          <w:szCs w:val="16"/>
        </w:rPr>
        <w:t>За рубежом:</w:t>
      </w:r>
    </w:p>
    <w:p w14:paraId="5BBB0D89" w14:textId="77777777" w:rsidR="004C1168" w:rsidRPr="00722885" w:rsidRDefault="004C1168" w:rsidP="00722885">
      <w:pPr>
        <w:pStyle w:val="Iauiue"/>
        <w:jc w:val="both"/>
        <w:rPr>
          <w:i/>
          <w:iCs/>
          <w:color w:val="000000" w:themeColor="text1"/>
          <w:sz w:val="16"/>
          <w:szCs w:val="16"/>
        </w:rPr>
      </w:pPr>
    </w:p>
    <w:p w14:paraId="3B6D6218" w14:textId="77777777" w:rsidR="004C1168" w:rsidRPr="00722885" w:rsidRDefault="004C116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18-19 (ночь) августа 1942 Pathfinder Force Royal Air Force Bomber Command вылетает на свою первую миссию с 31 самолетом Pathfinder, пытающихся пометить цель - немецкую базу подводных лодок в Фленсбург - для основных сил 87 бомбардировщиков. Рейд завершился полным провалом; Фленсбург нетронут, а самолеты разбрасывают бомбы над городами Сённерборг и Обенраа в Дании. Один самолет Pathfinder и три других бомбардировщика не возвращаются (20793).</w:t>
      </w:r>
    </w:p>
    <w:p w14:paraId="6E59079C" w14:textId="77777777" w:rsidR="004C1168" w:rsidRPr="00722885" w:rsidRDefault="004C1168" w:rsidP="00722885">
      <w:pPr>
        <w:spacing w:after="0" w:line="240" w:lineRule="auto"/>
        <w:jc w:val="both"/>
        <w:rPr>
          <w:rFonts w:ascii="Times New Roman" w:hAnsi="Times New Roman"/>
          <w:color w:val="0070C0"/>
          <w:sz w:val="16"/>
          <w:szCs w:val="16"/>
        </w:rPr>
      </w:pPr>
    </w:p>
    <w:p w14:paraId="54F68171" w14:textId="73F010A2"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FD0BBD9" w14:textId="77777777" w:rsidR="00AE7191" w:rsidRPr="00722885" w:rsidRDefault="00AE7191" w:rsidP="00722885">
      <w:pPr>
        <w:pStyle w:val="Iauiue"/>
        <w:jc w:val="both"/>
        <w:rPr>
          <w:iCs/>
          <w:color w:val="000000" w:themeColor="text1"/>
          <w:sz w:val="16"/>
          <w:szCs w:val="16"/>
        </w:rPr>
      </w:pPr>
    </w:p>
    <w:p w14:paraId="55C327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19 августа 1942 Кузнецов писал Тарасевичу и С.В.И. письмо N 5696</w:t>
      </w:r>
    </w:p>
    <w:p w14:paraId="3AD352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"Настоятельная просьба летного состава 1 ВА для повышения живучести и боеспособности Ил-2 желательно произвести следующее:</w:t>
      </w:r>
    </w:p>
    <w:p w14:paraId="581E64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Установить дублированное управление рулями высоты (хотя бы тросовое).</w:t>
      </w:r>
    </w:p>
    <w:p w14:paraId="2100F8F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Для защиты хвоста самолета установить кинжальный пулемет</w:t>
      </w:r>
    </w:p>
    <w:p w14:paraId="3D5B8CAC" w14:textId="77777777" w:rsidR="00AE7191" w:rsidRPr="00722885" w:rsidRDefault="00AE7191" w:rsidP="00722885">
      <w:pPr>
        <w:pStyle w:val="Iauiue"/>
        <w:numPr>
          <w:ilvl w:val="0"/>
          <w:numId w:val="7"/>
        </w:numPr>
        <w:ind w:left="0" w:firstLine="0"/>
        <w:jc w:val="both"/>
        <w:rPr>
          <w:color w:val="000000" w:themeColor="text1"/>
          <w:sz w:val="16"/>
          <w:szCs w:val="16"/>
        </w:rPr>
      </w:pPr>
      <w:r w:rsidRPr="00722885">
        <w:rPr>
          <w:color w:val="000000" w:themeColor="text1"/>
          <w:sz w:val="16"/>
          <w:szCs w:val="16"/>
        </w:rPr>
        <w:t>Необходимо дать указание частям, с какого номера самолета надо усиливать фюзеляжи (1685,59).</w:t>
      </w:r>
    </w:p>
    <w:p w14:paraId="7C3068C4" w14:textId="77777777" w:rsidR="00AE7191" w:rsidRPr="00722885" w:rsidRDefault="00AE7191" w:rsidP="00722885">
      <w:pPr>
        <w:pStyle w:val="Iauiue"/>
        <w:jc w:val="both"/>
        <w:rPr>
          <w:color w:val="000000" w:themeColor="text1"/>
          <w:sz w:val="16"/>
          <w:szCs w:val="16"/>
        </w:rPr>
      </w:pPr>
    </w:p>
    <w:p w14:paraId="68300F9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w:t>
      </w:r>
      <w:r w:rsidRPr="00722885">
        <w:rPr>
          <w:rFonts w:ascii="Times New Roman" w:hAnsi="Times New Roman"/>
          <w:color w:val="000000" w:themeColor="text1"/>
          <w:sz w:val="16"/>
          <w:szCs w:val="16"/>
        </w:rPr>
        <w:softHyphen/>
        <w:t>ста 1942 Замнаркома авиапромышленности П.В. Дементьев писал начальнику 10-го Главного управления НКАП Б.Н. Тарасевичу, ведавшему выдачей разрешений на внесение изменений в конструкцию всех серийных самолетов, следующее: «Настоятельная просьба летного состава 1-й ВА для повышения живучести самолета Ил-2 установить дублированное управление рулем высоты (хотя бы тросовое), для защиты хвоста установить «кинжальный» пулемет» (11474,253).</w:t>
      </w:r>
    </w:p>
    <w:p w14:paraId="16D27BA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3DE9C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19 августа 1942 г. В. Кузнецов писал письмо зам. наркома Яковлеву.</w:t>
      </w:r>
    </w:p>
    <w:p w14:paraId="2E1A0A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 эксплуатации самолетов Як-1 и Лагг-3 в частях первой воздушной армии отмечены следующие дефекты этих самолетов. Прошу Вас дать указание директорам самолетных заводов об устранении ниже перечисленных дефектов:</w:t>
      </w:r>
    </w:p>
    <w:p w14:paraId="38001B7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Ось патрубков водяного радиатора (лебединая шейка) не совпадает с осью подводящих водяных труб вследствие перекоса от вибрации ломаются. Предложение технического состава поставить гибкий шланг или соединение на штуцерах.</w:t>
      </w:r>
    </w:p>
    <w:p w14:paraId="772A8B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Был случай отлетела нога шасси вследствие поломки на месте перехода конусного болта крепления ноги. Предложение сделать фаску в месте перехода.</w:t>
      </w:r>
    </w:p>
    <w:p w14:paraId="3632F3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Во время подъема самолета очень часто в кабину летчика поднимается пыль и песок. Для очистки от мусора кабины летчика устроить под сиденьем летчика лючок.</w:t>
      </w:r>
    </w:p>
    <w:p w14:paraId="5BA8738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Просьба летного состава к существующей броне спинки сделать наголовник (как у Ме-109).</w:t>
      </w:r>
    </w:p>
    <w:p w14:paraId="686586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Плексиглас непрактичен, дает большое искажение. На последних выпусках самолетов Як-7 плексиглас хороший.</w:t>
      </w:r>
    </w:p>
    <w:p w14:paraId="19D439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Фонарь плохо открывается. Пожелание летного состава сделать как на Ил-2.</w:t>
      </w:r>
    </w:p>
    <w:p w14:paraId="7D9E69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Пожелание летного состава установить еще один пулемет Березина.</w:t>
      </w:r>
    </w:p>
    <w:p w14:paraId="412F93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Для управления боем и наведения на цель желательно на самолетах Як устанавливать приемники и передатчики.</w:t>
      </w:r>
    </w:p>
    <w:p w14:paraId="593A4F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Усилить костыльное колесо. Дутики выдерживают 15-20 посадок.</w:t>
      </w:r>
    </w:p>
    <w:p w14:paraId="2CFFE5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Вместо совков, установленных на радиаторах, желательно сделать жалюзи.</w:t>
      </w:r>
    </w:p>
    <w:p w14:paraId="701929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Бомбодержатели позволяют только подвешивать 50 кг бомбы, другие калибры бомб не подходят.</w:t>
      </w:r>
    </w:p>
    <w:p w14:paraId="106C49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12. На новых машинах травить воздушные системы.</w:t>
      </w:r>
    </w:p>
    <w:p w14:paraId="254D23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13. Плохо видно показание бензиномера.</w:t>
      </w:r>
    </w:p>
    <w:p w14:paraId="1B6310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 Пересмотреть конструкцию стопора костыля.</w:t>
      </w:r>
    </w:p>
    <w:p w14:paraId="428055A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Предложение технического состава сделать как у Лагг-3.</w:t>
      </w:r>
    </w:p>
    <w:p w14:paraId="50620D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 Много случаев на Лагг-3 лопаются качалки управлением щитками.</w:t>
      </w:r>
    </w:p>
    <w:p w14:paraId="5CAB00A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 На самолетах Як-1 температура воды очень высокая сверхдопустимая т-е 105-112 градусов (2761,135).</w:t>
      </w:r>
    </w:p>
    <w:p w14:paraId="27457EAF" w14:textId="77777777" w:rsidR="00AE7191" w:rsidRPr="00722885" w:rsidRDefault="00AE7191" w:rsidP="00722885">
      <w:pPr>
        <w:pStyle w:val="Iauiue"/>
        <w:jc w:val="both"/>
        <w:rPr>
          <w:color w:val="000000" w:themeColor="text1"/>
          <w:sz w:val="16"/>
          <w:szCs w:val="16"/>
        </w:rPr>
      </w:pPr>
    </w:p>
    <w:p w14:paraId="3019BBE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августа 1942 г. по инициативе командования 6-го иак ПВО были проведены импрови</w:t>
      </w:r>
      <w:r w:rsidRPr="00722885">
        <w:rPr>
          <w:rFonts w:ascii="Times New Roman" w:hAnsi="Times New Roman"/>
          <w:color w:val="000000" w:themeColor="text1"/>
          <w:sz w:val="16"/>
          <w:szCs w:val="16"/>
        </w:rPr>
        <w:softHyphen/>
        <w:t>зированные испытания по определению скороподъ</w:t>
      </w:r>
      <w:r w:rsidRPr="00722885">
        <w:rPr>
          <w:rFonts w:ascii="Times New Roman" w:hAnsi="Times New Roman"/>
          <w:color w:val="000000" w:themeColor="text1"/>
          <w:sz w:val="16"/>
          <w:szCs w:val="16"/>
        </w:rPr>
        <w:softHyphen/>
        <w:t>емности и практического потолка нескольких ма</w:t>
      </w:r>
      <w:r w:rsidRPr="00722885">
        <w:rPr>
          <w:rFonts w:ascii="Times New Roman" w:hAnsi="Times New Roman"/>
          <w:color w:val="000000" w:themeColor="text1"/>
          <w:sz w:val="16"/>
          <w:szCs w:val="16"/>
        </w:rPr>
        <w:softHyphen/>
        <w:t>шин, находившихся на вооружении корпуса. Результаты откровенно разочаровывали: прибли</w:t>
      </w:r>
      <w:r w:rsidRPr="00722885">
        <w:rPr>
          <w:rFonts w:ascii="Times New Roman" w:hAnsi="Times New Roman"/>
          <w:color w:val="000000" w:themeColor="text1"/>
          <w:sz w:val="16"/>
          <w:szCs w:val="16"/>
        </w:rPr>
        <w:softHyphen/>
        <w:t>зиться к 10000 м смогли только импортные машины, а отечественные заметно уступали. Лишь один МиГ—3 (взлетной массой 3248 кг) смог набрать высоту 9000 м, остальные заканчивали набор на 500—1000 м ниже, а для подъема на практический потолок уходило почти по 40 минут. При этом МиГ—3 обладали наихудшими данными по сравнению с другими истребителями; их практический потолок определили всего в 8600 м (в среднем). Прибывшие в 6-й иак специалисты НИИ ВВС провели соответствующие испытания по разработан</w:t>
      </w:r>
      <w:r w:rsidRPr="00722885">
        <w:rPr>
          <w:rFonts w:ascii="Times New Roman" w:hAnsi="Times New Roman"/>
          <w:color w:val="000000" w:themeColor="text1"/>
          <w:sz w:val="16"/>
          <w:szCs w:val="16"/>
        </w:rPr>
        <w:softHyphen/>
        <w:t>ной программе. Они определили, что фронтовые лет</w:t>
      </w:r>
      <w:r w:rsidRPr="00722885">
        <w:rPr>
          <w:rFonts w:ascii="Times New Roman" w:hAnsi="Times New Roman"/>
          <w:color w:val="000000" w:themeColor="text1"/>
          <w:sz w:val="16"/>
          <w:szCs w:val="16"/>
        </w:rPr>
        <w:softHyphen/>
        <w:t>чики имели весьма приблизительное представление о методиках набора предельной высоты и не пред</w:t>
      </w:r>
      <w:r w:rsidRPr="00722885">
        <w:rPr>
          <w:rFonts w:ascii="Times New Roman" w:hAnsi="Times New Roman"/>
          <w:color w:val="000000" w:themeColor="text1"/>
          <w:sz w:val="16"/>
          <w:szCs w:val="16"/>
        </w:rPr>
        <w:softHyphen/>
        <w:t>ставляли условий, при которых можно получить наи</w:t>
      </w:r>
      <w:r w:rsidRPr="00722885">
        <w:rPr>
          <w:rFonts w:ascii="Times New Roman" w:hAnsi="Times New Roman"/>
          <w:color w:val="000000" w:themeColor="text1"/>
          <w:sz w:val="16"/>
          <w:szCs w:val="16"/>
        </w:rPr>
        <w:softHyphen/>
        <w:t>лучшие характеристики своих боевых самолетов. Так, большинство пилотов МиГ—3 не знали, что для достижения наивыгоднейшей скороподъемности следовало поддерживать приборную скорость в 260—270 км/ч, а затем немного уменьшать ее так, чтобы к 6000—7000 м она снизилась на 5—7 км/ч. На практике некоторые летчики начинали наби</w:t>
      </w:r>
      <w:r w:rsidRPr="00722885">
        <w:rPr>
          <w:rFonts w:ascii="Times New Roman" w:hAnsi="Times New Roman"/>
          <w:color w:val="000000" w:themeColor="text1"/>
          <w:sz w:val="16"/>
          <w:szCs w:val="16"/>
        </w:rPr>
        <w:softHyphen/>
        <w:t>рать высоту при скорости 300 км/ч, полагая, будто иначе возможен непроизвольный срыв в штопор. Но ведь в этом случае даже совершенно новый и исправ</w:t>
      </w:r>
      <w:r w:rsidRPr="00722885">
        <w:rPr>
          <w:rFonts w:ascii="Times New Roman" w:hAnsi="Times New Roman"/>
          <w:color w:val="000000" w:themeColor="text1"/>
          <w:sz w:val="16"/>
          <w:szCs w:val="16"/>
        </w:rPr>
        <w:softHyphen/>
        <w:t>ный МиГ—3 не мог достигнуть 10000 м. Кроме того, многие машины имели «нештатные» щели и отвер</w:t>
      </w:r>
      <w:r w:rsidRPr="00722885">
        <w:rPr>
          <w:rFonts w:ascii="Times New Roman" w:hAnsi="Times New Roman"/>
          <w:color w:val="000000" w:themeColor="text1"/>
          <w:sz w:val="16"/>
          <w:szCs w:val="16"/>
        </w:rPr>
        <w:softHyphen/>
        <w:t>стия в моторном отсеке, которые увеличивали со</w:t>
      </w:r>
      <w:r w:rsidRPr="00722885">
        <w:rPr>
          <w:rFonts w:ascii="Times New Roman" w:hAnsi="Times New Roman"/>
          <w:color w:val="000000" w:themeColor="text1"/>
          <w:sz w:val="16"/>
          <w:szCs w:val="16"/>
        </w:rPr>
        <w:softHyphen/>
        <w:t>противление. Плохое состояние поверхностей МиГов, недостаточная подгонка после ремонта щит</w:t>
      </w:r>
      <w:r w:rsidRPr="00722885">
        <w:rPr>
          <w:rFonts w:ascii="Times New Roman" w:hAnsi="Times New Roman"/>
          <w:color w:val="000000" w:themeColor="text1"/>
          <w:sz w:val="16"/>
          <w:szCs w:val="16"/>
        </w:rPr>
        <w:softHyphen/>
        <w:t>ков и лючков, плохо сбалансированные винты силь</w:t>
      </w:r>
      <w:r w:rsidRPr="00722885">
        <w:rPr>
          <w:rFonts w:ascii="Times New Roman" w:hAnsi="Times New Roman"/>
          <w:color w:val="000000" w:themeColor="text1"/>
          <w:sz w:val="16"/>
          <w:szCs w:val="16"/>
        </w:rPr>
        <w:softHyphen/>
        <w:t>но снижали боевые возможности истребителей, в том числе и на высоте. А о трудностях, связанных с обеспечением надежной и равномерной работы мо</w:t>
      </w:r>
      <w:r w:rsidRPr="00722885">
        <w:rPr>
          <w:rFonts w:ascii="Times New Roman" w:hAnsi="Times New Roman"/>
          <w:color w:val="000000" w:themeColor="text1"/>
          <w:sz w:val="16"/>
          <w:szCs w:val="16"/>
        </w:rPr>
        <w:softHyphen/>
        <w:t>тора, уже достаточно говорилось. Из ранее проведенных испытаний было известно, что тщательно отрегулированный МиГ—3, пилотиру</w:t>
      </w:r>
      <w:r w:rsidRPr="00722885">
        <w:rPr>
          <w:rFonts w:ascii="Times New Roman" w:hAnsi="Times New Roman"/>
          <w:color w:val="000000" w:themeColor="text1"/>
          <w:sz w:val="16"/>
          <w:szCs w:val="16"/>
        </w:rPr>
        <w:softHyphen/>
        <w:t>емый опытным летчиком, при условии выполнения всех требований инструкции по эксплуатации самолета и мотора, мог достигнуть высоты 11500 м за 26 минут. Это при полетной массе, типичной для МиГ—3 выпуска второй половины 1941 г., — 3299 кг. ОКБ Микояна предприняло попытку облегчить са</w:t>
      </w:r>
      <w:r w:rsidRPr="00722885">
        <w:rPr>
          <w:rFonts w:ascii="Times New Roman" w:hAnsi="Times New Roman"/>
          <w:color w:val="000000" w:themeColor="text1"/>
          <w:sz w:val="16"/>
          <w:szCs w:val="16"/>
        </w:rPr>
        <w:softHyphen/>
        <w:t>молет, для чего с него сняли часть оборудования (на</w:t>
      </w:r>
      <w:r w:rsidRPr="00722885">
        <w:rPr>
          <w:rFonts w:ascii="Times New Roman" w:hAnsi="Times New Roman"/>
          <w:color w:val="000000" w:themeColor="text1"/>
          <w:sz w:val="16"/>
          <w:szCs w:val="16"/>
        </w:rPr>
        <w:softHyphen/>
        <w:t>пример, протекторы бензобаков, а оптический при</w:t>
      </w:r>
      <w:r w:rsidRPr="00722885">
        <w:rPr>
          <w:rFonts w:ascii="Times New Roman" w:hAnsi="Times New Roman"/>
          <w:color w:val="000000" w:themeColor="text1"/>
          <w:sz w:val="16"/>
          <w:szCs w:val="16"/>
        </w:rPr>
        <w:softHyphen/>
        <w:t>цел ПБП—1а заменили простейшим визиром ВВ—1), демонтировали два пулемета ШКАС и патронные ящики. Расчеты показывали, что при взлетной массе 3218 кг практический потолок «облегченного» МиГ—3 мог увеличиться на 400 м (9984).</w:t>
      </w:r>
    </w:p>
    <w:p w14:paraId="6649FC2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F5A8A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19 августа по 1 сентября 1942 проходили заводские испытания транспортного варианта Як-6 (4657, 16).</w:t>
      </w:r>
    </w:p>
    <w:p w14:paraId="0F73DAC9" w14:textId="77777777" w:rsidR="00AE7191" w:rsidRPr="00722885" w:rsidRDefault="00AE7191" w:rsidP="00722885">
      <w:pPr>
        <w:pStyle w:val="Iauiue"/>
        <w:jc w:val="both"/>
        <w:rPr>
          <w:color w:val="000000" w:themeColor="text1"/>
          <w:sz w:val="16"/>
          <w:szCs w:val="16"/>
        </w:rPr>
      </w:pPr>
    </w:p>
    <w:p w14:paraId="6A9CFCDA"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19 августа в 1942 году начались и завершились 1 сентября заводские испытания транспортного экземпляра самолета </w:t>
      </w:r>
      <w:hyperlink r:id="rId84" w:tgtFrame="_blank" w:history="1">
        <w:r w:rsidRPr="00722885">
          <w:rPr>
            <w:rFonts w:ascii="Times New Roman" w:hAnsi="Times New Roman"/>
            <w:color w:val="000000" w:themeColor="text1"/>
            <w:sz w:val="16"/>
            <w:szCs w:val="16"/>
          </w:rPr>
          <w:t>«Як-6».</w:t>
        </w:r>
      </w:hyperlink>
    </w:p>
    <w:p w14:paraId="239D1B00"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5D21A6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19 августа 1942 года Поликовский писал Шахурину.</w:t>
      </w:r>
    </w:p>
    <w:p w14:paraId="6F0695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Справка</w:t>
      </w:r>
    </w:p>
    <w:p w14:paraId="6A9E43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вопросу о турбореакторе "ТР" конструкции</w:t>
      </w:r>
    </w:p>
    <w:p w14:paraId="5499BA3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А.А. Микулина.</w:t>
      </w:r>
    </w:p>
    <w:p w14:paraId="2888F8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Термином "Турбореактор" обозначен агрегат, состоящий из газовой турбины и реактивного насадка на ней.</w:t>
      </w:r>
    </w:p>
    <w:p w14:paraId="29BC40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 Мощность газовой турбины непосредственно передается на вал мотора, в отличие от обычной схемы использования энергии выхлопных газов в газовой турбине, служащей приводом нагнетателя (турбокомпрессор "ТК").</w:t>
      </w:r>
    </w:p>
    <w:p w14:paraId="360581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Попытка объединения газовой турбины и реактивного насадка А.А. Микулину не удалась (хотя принципиально такая схема вполне возможна) и в настоящее время предлагаемый им турбореактор представляет собой по схеме обычную газовую турбину, отдающую мощность на вал мотора. Выхлопные газы после турбины собираются в выхлопной коллектор, что позволяет, несмотря на отсутствие специального реактивного насадка, частично использовать и реактивный эффект выхлопа.</w:t>
      </w:r>
    </w:p>
    <w:p w14:paraId="0C374D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расчетам главного конструктора (проверенным ЦИАМ) установка турбореактора позволяет на высоте 5000-6000 м повысить мощность двигателя до 40% и на малых высотах на 8-10% без дополнительного расхода горючего. Земными испытаниями указанные данные подтверждаются.</w:t>
      </w:r>
    </w:p>
    <w:p w14:paraId="40A77C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Отказ от нормальной схемы использования газовой турбины в качестве привода нагнетателя вызвана тремя причинами:</w:t>
      </w:r>
    </w:p>
    <w:p w14:paraId="7454D0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Мощность газовой турбины может быть получена значительно большей, чем требуется для нагнетателя.</w:t>
      </w:r>
    </w:p>
    <w:p w14:paraId="74CF90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Приемистость моторов с ТК хуже, чем приемистость моторов с приводными центробежными нагнетателями.</w:t>
      </w:r>
    </w:p>
    <w:p w14:paraId="59F1C0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Наличие на носке вала мотора турбореактора и на другом конце вала нагнетателя позволяет передавать через сам коленчатый вал меньшую мощность. Поскольку коленчатый вал является одной из наиболее нагруженных деталей мотора, такая силовая схема весьма целесообразна с точки зрения прочности, веса и надежности двигателя.</w:t>
      </w:r>
    </w:p>
    <w:p w14:paraId="2A725D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Заслуживает внимания разработанный А.А. Микулиным технологический процесс обработки ротора газовой турбины, при котором лопатки выфрезовываются из самого диска, т.к. этот метод на много упрощает и удешевляет изготовление ротора, снижает тепловую напряженность венца и делает газовую турбину несравнимо более надежной, чем общепринятая во всем мире схема вставных лопаток.</w:t>
      </w:r>
    </w:p>
    <w:p w14:paraId="00683C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Конструктивно разработанная А.А. Микулиным схема использования мощности выхлопных газов в газовой турбине, непосредственно передающей дополнительную мощность на вал двигателя, позволяет внедрение ее без внесения существенных изменений в серийное производство моторов; применение моторов с турбо реакторами на самолетах также не требует существенных изменений в капотировании мотора и винтомоторной группе в целом (1684,256).</w:t>
      </w:r>
    </w:p>
    <w:p w14:paraId="39E4C0C1" w14:textId="77777777" w:rsidR="00AE7191" w:rsidRPr="00722885" w:rsidRDefault="00AE7191" w:rsidP="00722885">
      <w:pPr>
        <w:pStyle w:val="Iauiue"/>
        <w:jc w:val="both"/>
        <w:rPr>
          <w:color w:val="000000" w:themeColor="text1"/>
          <w:sz w:val="16"/>
          <w:szCs w:val="16"/>
        </w:rPr>
      </w:pPr>
    </w:p>
    <w:p w14:paraId="17C37AF1"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15034B6" w14:textId="77777777" w:rsidR="00AE7191" w:rsidRPr="00722885" w:rsidRDefault="00AE7191" w:rsidP="00722885">
      <w:pPr>
        <w:pStyle w:val="Iauiue"/>
        <w:jc w:val="both"/>
        <w:rPr>
          <w:iCs/>
          <w:color w:val="000000" w:themeColor="text1"/>
          <w:sz w:val="16"/>
          <w:szCs w:val="16"/>
        </w:rPr>
      </w:pPr>
    </w:p>
    <w:p w14:paraId="3D02F6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19 августа 1942 года войсковые испытания 76-мм пушки обр. 1927/1942 г. были прекращены. Согласно заключению комиссии 76-мм полковая пушка обр. 1927/1942 г. войсковые испытания не выдержала. Кроме того, с принятием на вооружение 76-мм кумулятивных снарядов отпала необходимость в увеличении их начальной скорости.</w:t>
      </w:r>
    </w:p>
    <w:p w14:paraId="35BED6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76-мм полковая пушка обр. 1927 г. устарела еде до принятия ее на вооружение. Малый угол возвышения +25° был атавизмом XIX века, когда основным снарядом была шрапнель. Кроме того, баллистические данные 76-мм пушки обр. 1927 г. заставляли желать лучшего в случае дальности стрельбы, а главное, плохой бронепробиваемости. До появления кумулятивных снарядов пушка обр. 1927 г. могла бороться только с легкими танками. Мал был и угол горизонтального наведения (3861).</w:t>
      </w:r>
    </w:p>
    <w:p w14:paraId="753A5296" w14:textId="77777777" w:rsidR="00AE7191" w:rsidRPr="00722885" w:rsidRDefault="00AE7191" w:rsidP="00722885">
      <w:pPr>
        <w:pStyle w:val="Iauiue"/>
        <w:jc w:val="both"/>
        <w:rPr>
          <w:color w:val="000000" w:themeColor="text1"/>
          <w:sz w:val="16"/>
          <w:szCs w:val="16"/>
        </w:rPr>
      </w:pPr>
    </w:p>
    <w:p w14:paraId="597F43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19 августа 1942 вышло Постановление Сталинградского Городского Комитета Обороны о спецмероприятиях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402"/>
        <w:gridCol w:w="3119"/>
      </w:tblGrid>
      <w:tr w:rsidR="009B487A" w:rsidRPr="00722885" w14:paraId="338C09BA" w14:textId="77777777" w:rsidTr="00CC5360">
        <w:tc>
          <w:tcPr>
            <w:tcW w:w="3402" w:type="dxa"/>
            <w:tcBorders>
              <w:top w:val="single" w:sz="12" w:space="0" w:color="auto"/>
              <w:bottom w:val="single" w:sz="12" w:space="0" w:color="auto"/>
            </w:tcBorders>
          </w:tcPr>
          <w:p w14:paraId="024D347C"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399. Совершенно секретно.</w:t>
            </w:r>
            <w:r w:rsidRPr="00722885">
              <w:rPr>
                <w:iCs/>
                <w:color w:val="000000" w:themeColor="text1"/>
                <w:sz w:val="16"/>
                <w:szCs w:val="16"/>
              </w:rPr>
              <w:br/>
              <w:t xml:space="preserve">Сталинград, Первомайская, 28 </w:t>
            </w:r>
          </w:p>
        </w:tc>
        <w:tc>
          <w:tcPr>
            <w:tcW w:w="3119" w:type="dxa"/>
            <w:tcBorders>
              <w:top w:val="single" w:sz="12" w:space="0" w:color="auto"/>
              <w:bottom w:val="single" w:sz="12" w:space="0" w:color="auto"/>
            </w:tcBorders>
          </w:tcPr>
          <w:p w14:paraId="66E32840"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19 августа 1942 г. </w:t>
            </w:r>
          </w:p>
        </w:tc>
      </w:tr>
    </w:tbl>
    <w:p w14:paraId="1E5DF3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Общее руководство проведением спецмероприятий по городу Сталинграду возложить на центральную тройку в составе: тов. Бондарь (председатель), тов. Коненкова (НКВД), майора Артемьева (Ю.В.Ф.).</w:t>
      </w:r>
    </w:p>
    <w:p w14:paraId="154C66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Утвердить план работы тройки.</w:t>
      </w:r>
    </w:p>
    <w:p w14:paraId="2F169A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Для обеспечения оперативного руководства и связи выделить в распоряжения тройки одну грузовую и одну легковую машину.</w:t>
      </w:r>
    </w:p>
    <w:p w14:paraId="1131DD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Обязать тов. Куксова в двухдневный срок отмобилизовать их из народного хозяйства и направить в распоряжение тройки.</w:t>
      </w:r>
    </w:p>
    <w:p w14:paraId="4110BE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Также закрепить за специальной тройкой катер лесозавода им. Куйбышева, моторную лодку консервного завода, моторную лодку ОСВОДа и глиссер консервного завода.</w:t>
      </w:r>
    </w:p>
    <w:p w14:paraId="3A74EA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Обязать руководителей вышеуказанных предприятий содержать выделенный транспорт в полной готовности с водительским составом. (Использование транспорта допускается по письменному распоряжению центральной тройки).</w:t>
      </w:r>
    </w:p>
    <w:p w14:paraId="324419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Для обеспечения устройства минных заграждений на подступах к городу просить Инженерное управление Ю.В.Ф. выделить необходимое количество изолированного провода.</w:t>
      </w:r>
    </w:p>
    <w:p w14:paraId="79987A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 же поручить Областному управлению НКВД (тов. Коненкову) в трехдневный срок изыскать возможности приобретения 80 километров изолированного провода из местных ресурсов.</w:t>
      </w:r>
    </w:p>
    <w:p w14:paraId="699C82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Обязать местные тройки подготовиться к переводу исполнителей спецмероприятий на казарменное положение. Инструкторов Ю.В.Ф. обеспечить питанием и жильем.</w:t>
      </w:r>
    </w:p>
    <w:p w14:paraId="3442AF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Просить Военный Совет Ю.В.Ф. разрешить местным тройкам по проведению спецмероприятий, на случай непосредственной угрозы объектам, действовать самостоятельно по согласованию с командованием действующих в районе подразделений.</w:t>
      </w:r>
    </w:p>
    <w:p w14:paraId="7D59B9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Также просить Военный Совет Ю.В.Ф. на случай угрожаемого положения дать указание центральной тройке на приведение в действие спецмероприятий.</w:t>
      </w:r>
    </w:p>
    <w:p w14:paraId="763C3A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Просить Военный Совет Ю.В.Ф. дать указание Облвоенкомату о закреплении за заводами необходимого количества авто и водного транспорта для использования на случай непосредственной угрозы объектам.</w:t>
      </w:r>
    </w:p>
    <w:p w14:paraId="7F9B9F59" w14:textId="77777777" w:rsidR="00AE7191" w:rsidRPr="00722885" w:rsidRDefault="00AE7191" w:rsidP="00722885">
      <w:pPr>
        <w:pStyle w:val="Iauiue"/>
        <w:jc w:val="both"/>
        <w:rPr>
          <w:iCs/>
          <w:color w:val="000000" w:themeColor="text1"/>
          <w:sz w:val="16"/>
          <w:szCs w:val="16"/>
        </w:rPr>
      </w:pPr>
      <w:r w:rsidRPr="00722885">
        <w:rPr>
          <w:iCs/>
          <w:color w:val="000000" w:themeColor="text1"/>
          <w:sz w:val="16"/>
          <w:szCs w:val="16"/>
        </w:rPr>
        <w:t xml:space="preserve">Председатель Сталинградского </w:t>
      </w:r>
    </w:p>
    <w:p w14:paraId="103D1B7C" w14:textId="77777777" w:rsidR="00AE7191" w:rsidRPr="00722885" w:rsidRDefault="00AE7191" w:rsidP="00722885">
      <w:pPr>
        <w:pStyle w:val="Iauiue"/>
        <w:jc w:val="both"/>
        <w:rPr>
          <w:iCs/>
          <w:color w:val="000000" w:themeColor="text1"/>
          <w:sz w:val="16"/>
          <w:szCs w:val="16"/>
        </w:rPr>
      </w:pPr>
      <w:r w:rsidRPr="00722885">
        <w:rPr>
          <w:iCs/>
          <w:color w:val="000000" w:themeColor="text1"/>
          <w:sz w:val="16"/>
          <w:szCs w:val="16"/>
        </w:rPr>
        <w:t xml:space="preserve">Городского Комитета Обороны </w:t>
      </w:r>
    </w:p>
    <w:p w14:paraId="13542B28"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А. Чуянов.</w:t>
      </w:r>
    </w:p>
    <w:p w14:paraId="1F085F78" w14:textId="77777777" w:rsidR="00AE7191" w:rsidRPr="00722885" w:rsidRDefault="00AE7191" w:rsidP="00722885">
      <w:pPr>
        <w:pStyle w:val="Iauiue"/>
        <w:jc w:val="both"/>
        <w:rPr>
          <w:iCs/>
          <w:color w:val="000000" w:themeColor="text1"/>
          <w:sz w:val="16"/>
          <w:szCs w:val="16"/>
        </w:rPr>
      </w:pPr>
      <w:r w:rsidRPr="00722885">
        <w:rPr>
          <w:iCs/>
          <w:color w:val="000000" w:themeColor="text1"/>
          <w:sz w:val="16"/>
          <w:szCs w:val="16"/>
        </w:rPr>
        <w:t>Постановление разослано 21 августа 1942года т.т. Бондарь, Воронину, Коненкову, Артемьеву – Ю.В.Ф., ЦК ВКП(б), Военный Совет Ю.В.Ф.</w:t>
      </w:r>
    </w:p>
    <w:p w14:paraId="1F435271" w14:textId="77777777" w:rsidR="00AE7191" w:rsidRPr="00722885" w:rsidRDefault="00AE7191" w:rsidP="00722885">
      <w:pPr>
        <w:pStyle w:val="Iauiue"/>
        <w:jc w:val="both"/>
        <w:rPr>
          <w:iCs/>
          <w:color w:val="000000" w:themeColor="text1"/>
          <w:sz w:val="16"/>
          <w:szCs w:val="16"/>
        </w:rPr>
      </w:pPr>
      <w:r w:rsidRPr="00722885">
        <w:rPr>
          <w:iCs/>
          <w:color w:val="000000" w:themeColor="text1"/>
          <w:sz w:val="16"/>
          <w:szCs w:val="16"/>
        </w:rPr>
        <w:t>ЦДНИВО, ФОНД 171, дело 14, лист 97. Подлинник (9818).</w:t>
      </w:r>
    </w:p>
    <w:p w14:paraId="74BE76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Приложение к Постановлению Сталинградского Городского Комитета Обороны № 399 сс от 19 августа 1942 г.</w:t>
      </w:r>
    </w:p>
    <w:tbl>
      <w:tblPr>
        <w:tblW w:w="0" w:type="auto"/>
        <w:tblLayout w:type="fixed"/>
        <w:tblCellMar>
          <w:left w:w="0" w:type="dxa"/>
          <w:right w:w="0" w:type="dxa"/>
        </w:tblCellMar>
        <w:tblLook w:val="0000" w:firstRow="0" w:lastRow="0" w:firstColumn="0" w:lastColumn="0" w:noHBand="0" w:noVBand="0"/>
      </w:tblPr>
      <w:tblGrid>
        <w:gridCol w:w="3828"/>
        <w:gridCol w:w="2551"/>
      </w:tblGrid>
      <w:tr w:rsidR="009B487A" w:rsidRPr="00722885" w14:paraId="5A03BCAB" w14:textId="77777777" w:rsidTr="00CC5360">
        <w:tc>
          <w:tcPr>
            <w:tcW w:w="3828" w:type="dxa"/>
            <w:tcBorders>
              <w:top w:val="nil"/>
              <w:left w:val="nil"/>
              <w:bottom w:val="nil"/>
              <w:right w:val="nil"/>
            </w:tcBorders>
          </w:tcPr>
          <w:p w14:paraId="49CED7C6"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1. Совершенно секретно. (Особой важности).</w:t>
            </w:r>
          </w:p>
        </w:tc>
        <w:tc>
          <w:tcPr>
            <w:tcW w:w="2551" w:type="dxa"/>
            <w:tcBorders>
              <w:top w:val="nil"/>
              <w:left w:val="nil"/>
              <w:bottom w:val="nil"/>
              <w:right w:val="nil"/>
            </w:tcBorders>
          </w:tcPr>
          <w:p w14:paraId="1F389DA0"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19 августа 1942 г.</w:t>
            </w:r>
          </w:p>
        </w:tc>
      </w:tr>
    </w:tbl>
    <w:p w14:paraId="5C69D9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План проведения спецмероприятий по промышленным и другим объектам города Сталинграда</w:t>
      </w:r>
    </w:p>
    <w:p w14:paraId="63BC1E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I. Разрушению и минированию подлежат:</w:t>
      </w:r>
    </w:p>
    <w:p w14:paraId="42FB7D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 промпредприятия в первую очередь военные </w:t>
      </w:r>
    </w:p>
    <w:p w14:paraId="44F87D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2. узлы связи </w:t>
      </w:r>
    </w:p>
    <w:p w14:paraId="0BEC45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3. энергетическое хозяйство </w:t>
      </w:r>
    </w:p>
    <w:p w14:paraId="021FC9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4. нефтебензохранилище </w:t>
      </w:r>
    </w:p>
    <w:p w14:paraId="188D64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5. водопровод и водоснабжение </w:t>
      </w:r>
    </w:p>
    <w:p w14:paraId="036140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6. водный транспорт и его производ.предприятия </w:t>
      </w:r>
    </w:p>
    <w:p w14:paraId="4503B7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7. железно-дорожный транспорт </w:t>
      </w:r>
    </w:p>
    <w:p w14:paraId="3A9EFF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8. дороги и мосты в черте города </w:t>
      </w:r>
    </w:p>
    <w:p w14:paraId="00C7FC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отдельные здания в городе.</w:t>
      </w:r>
    </w:p>
    <w:p w14:paraId="1337D1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Перечень объектов, объем работы и сроки выполнения подготовительных работ и списки ответственных исполнителей по участкам прилагаются к настоящему плану.</w:t>
      </w:r>
    </w:p>
    <w:p w14:paraId="5F682D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II. Подготовку и приведение в действие спецмероприятий проводит: УНКВД – по объектам указанным в п.п. 1-6; железно-дорожная бригада ВОСО – по железнодорожному хозяйству; инженерные части фронта – по дорогам, мостам и отдельным зданиям.</w:t>
      </w:r>
    </w:p>
    <w:p w14:paraId="3A9C48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Общее руководство проведением всех спецмероприятий осуществляется центральной тройкой в составе: представителей Обкома ВКП(б), УНКВД и ЮВФ.</w:t>
      </w:r>
    </w:p>
    <w:p w14:paraId="189915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Ответственность за проведение спецмероприятий на объектах возлагается на местные тройки (директор предприятия, секретарь парторганизации, уполномоченный НКВД).</w:t>
      </w:r>
    </w:p>
    <w:p w14:paraId="43DEAB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Команды исполнителей создаются из проверенных работников предприятия. Техническое руководство, обучение исполнителей осуществляется саперами-минерами выделяемых из инж.частей ЮВФ и ВОСО.</w:t>
      </w:r>
    </w:p>
    <w:p w14:paraId="5073D4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Местные тройки работают по оперпланам утвердженным начальниками соответствующих управлений (НКВД, инж.управ. ЮВФ, ВОСО).</w:t>
      </w:r>
    </w:p>
    <w:p w14:paraId="06AC8B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Сигнал на приведение спецмероприятий в действие подается центральной тройкой.</w:t>
      </w:r>
    </w:p>
    <w:p w14:paraId="24679C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Связь – техническая и через делегатов связи на автомашинах.</w:t>
      </w:r>
    </w:p>
    <w:p w14:paraId="35E02AF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III. Объект может быть подвергнут в момент отхода полному разрушению или минированию МЗД.</w:t>
      </w:r>
    </w:p>
    <w:p w14:paraId="73DD28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Полному уничтожению в момент отхода путем подрыва, сжигания или механического разрушения подвергаются:</w:t>
      </w:r>
    </w:p>
    <w:p w14:paraId="067285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 энерго-силовые узлы предприятий </w:t>
      </w:r>
    </w:p>
    <w:p w14:paraId="728401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2. отдельные агрегаты </w:t>
      </w:r>
    </w:p>
    <w:p w14:paraId="4D2C524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3. узлы связи </w:t>
      </w:r>
    </w:p>
    <w:p w14:paraId="385CB7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4. нефтебензохранилище </w:t>
      </w:r>
    </w:p>
    <w:p w14:paraId="57EBDC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5. мосты </w:t>
      </w:r>
    </w:p>
    <w:p w14:paraId="0E84E7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Минированию МЗД подвергаются:</w:t>
      </w:r>
    </w:p>
    <w:p w14:paraId="1BC02AD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 дороги и мосты (для повторного их разрушения после восстановления) </w:t>
      </w:r>
    </w:p>
    <w:p w14:paraId="3637F8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2. водопроводное хозяйство </w:t>
      </w:r>
    </w:p>
    <w:p w14:paraId="1C465A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3. высоковольтные линии </w:t>
      </w:r>
    </w:p>
    <w:p w14:paraId="52057D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4. отдельные здания в городе </w:t>
      </w:r>
    </w:p>
    <w:p w14:paraId="37A3B7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5. отдельные станки и цеха на объектах </w:t>
      </w:r>
    </w:p>
    <w:p w14:paraId="1ED4D7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IV. Срок подготовки всех объектов к разрушению и минированию 1 сентября 1942г.</w:t>
      </w:r>
    </w:p>
    <w:p w14:paraId="664C8A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V. Материальное обеспечение объектов ВВ и спец.минами через инженерное управление ЮВФ.</w:t>
      </w:r>
    </w:p>
    <w:p w14:paraId="215E1E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VI. Местные тройки действуют по сигналу центральной тройки. Письменное разрешение на приведение спецмероприятий в действие вручается пакетом через связного. Центральная тройка действует по указанию Военного Совета ЮВФ.</w:t>
      </w:r>
    </w:p>
    <w:p w14:paraId="32C2A813" w14:textId="77777777" w:rsidR="00AE7191" w:rsidRPr="00722885" w:rsidRDefault="00AE7191" w:rsidP="00722885">
      <w:pPr>
        <w:pStyle w:val="Iauiue"/>
        <w:jc w:val="both"/>
        <w:rPr>
          <w:iCs/>
          <w:color w:val="000000" w:themeColor="text1"/>
          <w:sz w:val="16"/>
          <w:szCs w:val="16"/>
        </w:rPr>
      </w:pPr>
      <w:r w:rsidRPr="00722885">
        <w:rPr>
          <w:iCs/>
          <w:color w:val="000000" w:themeColor="text1"/>
          <w:sz w:val="16"/>
          <w:szCs w:val="16"/>
        </w:rPr>
        <w:t>ЦДНИВО, фонд 171, опись 14, листы 90-91 (9818).</w:t>
      </w:r>
    </w:p>
    <w:p w14:paraId="70B69E4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Расчетная таблица на проведение спецмероприятий по городу Сталинграду</w:t>
      </w:r>
    </w:p>
    <w:tbl>
      <w:tblPr>
        <w:tblW w:w="0" w:type="auto"/>
        <w:jc w:val="center"/>
        <w:tblLayout w:type="fixed"/>
        <w:tblCellMar>
          <w:left w:w="0" w:type="dxa"/>
          <w:right w:w="0" w:type="dxa"/>
        </w:tblCellMar>
        <w:tblLook w:val="0000" w:firstRow="0" w:lastRow="0" w:firstColumn="0" w:lastColumn="0" w:noHBand="0" w:noVBand="0"/>
      </w:tblPr>
      <w:tblGrid>
        <w:gridCol w:w="835"/>
        <w:gridCol w:w="1253"/>
        <w:gridCol w:w="835"/>
        <w:gridCol w:w="939"/>
        <w:gridCol w:w="939"/>
        <w:gridCol w:w="835"/>
        <w:gridCol w:w="835"/>
        <w:gridCol w:w="835"/>
        <w:gridCol w:w="625"/>
        <w:gridCol w:w="592"/>
        <w:gridCol w:w="592"/>
        <w:gridCol w:w="730"/>
        <w:gridCol w:w="592"/>
      </w:tblGrid>
      <w:tr w:rsidR="009B487A" w:rsidRPr="00722885" w14:paraId="6F15F806"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28E28D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пп</w:t>
            </w:r>
          </w:p>
        </w:tc>
        <w:tc>
          <w:tcPr>
            <w:tcW w:w="1253" w:type="dxa"/>
            <w:tcBorders>
              <w:top w:val="single" w:sz="6" w:space="0" w:color="auto"/>
              <w:left w:val="single" w:sz="6" w:space="0" w:color="auto"/>
              <w:bottom w:val="single" w:sz="6" w:space="0" w:color="auto"/>
              <w:right w:val="single" w:sz="6" w:space="0" w:color="auto"/>
            </w:tcBorders>
          </w:tcPr>
          <w:p w14:paraId="166843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Характер и тип объектов</w:t>
            </w:r>
          </w:p>
        </w:tc>
        <w:tc>
          <w:tcPr>
            <w:tcW w:w="835" w:type="dxa"/>
            <w:tcBorders>
              <w:top w:val="single" w:sz="6" w:space="0" w:color="auto"/>
              <w:left w:val="single" w:sz="6" w:space="0" w:color="auto"/>
              <w:bottom w:val="single" w:sz="6" w:space="0" w:color="auto"/>
              <w:right w:val="single" w:sz="6" w:space="0" w:color="auto"/>
            </w:tcBorders>
          </w:tcPr>
          <w:p w14:paraId="38FC04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Число объектов или объем работ</w:t>
            </w:r>
          </w:p>
        </w:tc>
        <w:tc>
          <w:tcPr>
            <w:tcW w:w="939" w:type="dxa"/>
            <w:gridSpan w:val="4"/>
            <w:tcBorders>
              <w:top w:val="single" w:sz="6" w:space="0" w:color="auto"/>
              <w:left w:val="single" w:sz="6" w:space="0" w:color="auto"/>
              <w:bottom w:val="single" w:sz="6" w:space="0" w:color="auto"/>
              <w:right w:val="single" w:sz="6" w:space="0" w:color="auto"/>
            </w:tcBorders>
          </w:tcPr>
          <w:p w14:paraId="373259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Силы</w:t>
            </w:r>
          </w:p>
        </w:tc>
        <w:tc>
          <w:tcPr>
            <w:tcW w:w="835" w:type="dxa"/>
            <w:tcBorders>
              <w:top w:val="single" w:sz="6" w:space="0" w:color="auto"/>
              <w:left w:val="single" w:sz="6" w:space="0" w:color="auto"/>
              <w:bottom w:val="single" w:sz="6" w:space="0" w:color="auto"/>
              <w:right w:val="single" w:sz="6" w:space="0" w:color="auto"/>
            </w:tcBorders>
          </w:tcPr>
          <w:p w14:paraId="219BAE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Срок подго-товки</w:t>
            </w:r>
          </w:p>
        </w:tc>
        <w:tc>
          <w:tcPr>
            <w:tcW w:w="625" w:type="dxa"/>
            <w:gridSpan w:val="5"/>
            <w:tcBorders>
              <w:top w:val="single" w:sz="6" w:space="0" w:color="auto"/>
              <w:left w:val="single" w:sz="6" w:space="0" w:color="auto"/>
              <w:bottom w:val="single" w:sz="6" w:space="0" w:color="auto"/>
              <w:right w:val="single" w:sz="6" w:space="0" w:color="auto"/>
            </w:tcBorders>
          </w:tcPr>
          <w:p w14:paraId="6C9018D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Средства</w:t>
            </w:r>
          </w:p>
        </w:tc>
      </w:tr>
      <w:tr w:rsidR="009B487A" w:rsidRPr="00722885" w14:paraId="7711B617"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38D8EB33" w14:textId="77777777" w:rsidR="00AE7191" w:rsidRPr="00722885" w:rsidRDefault="00AE7191" w:rsidP="00722885">
            <w:pPr>
              <w:pStyle w:val="Iauiue"/>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74C3E874"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B99DAF"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E2F9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Общее руковод-ство</w:t>
            </w:r>
          </w:p>
        </w:tc>
        <w:tc>
          <w:tcPr>
            <w:tcW w:w="939" w:type="dxa"/>
            <w:tcBorders>
              <w:top w:val="single" w:sz="6" w:space="0" w:color="auto"/>
              <w:left w:val="single" w:sz="6" w:space="0" w:color="auto"/>
              <w:bottom w:val="single" w:sz="6" w:space="0" w:color="auto"/>
              <w:right w:val="single" w:sz="6" w:space="0" w:color="auto"/>
            </w:tcBorders>
          </w:tcPr>
          <w:p w14:paraId="67901C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Исполни-тели</w:t>
            </w:r>
          </w:p>
        </w:tc>
        <w:tc>
          <w:tcPr>
            <w:tcW w:w="835" w:type="dxa"/>
            <w:gridSpan w:val="2"/>
            <w:tcBorders>
              <w:top w:val="single" w:sz="6" w:space="0" w:color="auto"/>
              <w:left w:val="single" w:sz="6" w:space="0" w:color="auto"/>
              <w:bottom w:val="single" w:sz="6" w:space="0" w:color="auto"/>
              <w:right w:val="single" w:sz="6" w:space="0" w:color="auto"/>
            </w:tcBorders>
          </w:tcPr>
          <w:p w14:paraId="1E9630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Инструктора</w:t>
            </w:r>
          </w:p>
        </w:tc>
        <w:tc>
          <w:tcPr>
            <w:tcW w:w="835" w:type="dxa"/>
            <w:tcBorders>
              <w:top w:val="single" w:sz="6" w:space="0" w:color="auto"/>
              <w:left w:val="single" w:sz="6" w:space="0" w:color="auto"/>
              <w:bottom w:val="single" w:sz="6" w:space="0" w:color="auto"/>
              <w:right w:val="single" w:sz="6" w:space="0" w:color="auto"/>
            </w:tcBorders>
          </w:tcPr>
          <w:p w14:paraId="02DC3B97" w14:textId="77777777" w:rsidR="00AE7191" w:rsidRPr="00722885" w:rsidRDefault="00AE7191" w:rsidP="00722885">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55E6CC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ВВ тн.</w:t>
            </w:r>
          </w:p>
        </w:tc>
        <w:tc>
          <w:tcPr>
            <w:tcW w:w="592" w:type="dxa"/>
            <w:tcBorders>
              <w:top w:val="single" w:sz="6" w:space="0" w:color="auto"/>
              <w:left w:val="single" w:sz="6" w:space="0" w:color="auto"/>
              <w:bottom w:val="single" w:sz="6" w:space="0" w:color="auto"/>
              <w:right w:val="single" w:sz="6" w:space="0" w:color="auto"/>
            </w:tcBorders>
          </w:tcPr>
          <w:p w14:paraId="122DD6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МЗД шт.</w:t>
            </w:r>
          </w:p>
        </w:tc>
        <w:tc>
          <w:tcPr>
            <w:tcW w:w="592" w:type="dxa"/>
            <w:tcBorders>
              <w:top w:val="single" w:sz="6" w:space="0" w:color="auto"/>
              <w:left w:val="single" w:sz="6" w:space="0" w:color="auto"/>
              <w:bottom w:val="single" w:sz="6" w:space="0" w:color="auto"/>
              <w:right w:val="single" w:sz="6" w:space="0" w:color="auto"/>
            </w:tcBorders>
          </w:tcPr>
          <w:p w14:paraId="038CBD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Про-вод</w:t>
            </w:r>
          </w:p>
        </w:tc>
        <w:tc>
          <w:tcPr>
            <w:tcW w:w="730" w:type="dxa"/>
            <w:tcBorders>
              <w:top w:val="single" w:sz="6" w:space="0" w:color="auto"/>
              <w:left w:val="single" w:sz="6" w:space="0" w:color="auto"/>
              <w:bottom w:val="single" w:sz="6" w:space="0" w:color="auto"/>
              <w:right w:val="single" w:sz="6" w:space="0" w:color="auto"/>
            </w:tcBorders>
          </w:tcPr>
          <w:p w14:paraId="495F44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ДШ мт.</w:t>
            </w:r>
          </w:p>
        </w:tc>
        <w:tc>
          <w:tcPr>
            <w:tcW w:w="592" w:type="dxa"/>
            <w:tcBorders>
              <w:top w:val="single" w:sz="6" w:space="0" w:color="auto"/>
              <w:left w:val="single" w:sz="6" w:space="0" w:color="auto"/>
              <w:bottom w:val="single" w:sz="6" w:space="0" w:color="auto"/>
              <w:right w:val="single" w:sz="6" w:space="0" w:color="auto"/>
            </w:tcBorders>
          </w:tcPr>
          <w:p w14:paraId="66C38D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ТМ-35</w:t>
            </w:r>
          </w:p>
        </w:tc>
      </w:tr>
      <w:tr w:rsidR="009B487A" w:rsidRPr="00722885" w14:paraId="7F49AC76"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7D8383BE" w14:textId="77777777" w:rsidR="00AE7191" w:rsidRPr="00722885" w:rsidRDefault="00AE7191" w:rsidP="00722885">
            <w:pPr>
              <w:pStyle w:val="Iauiue"/>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396205BD"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082E4ED"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951397"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1D6A3D"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58178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коли-чество</w:t>
            </w:r>
          </w:p>
        </w:tc>
        <w:tc>
          <w:tcPr>
            <w:tcW w:w="835" w:type="dxa"/>
            <w:tcBorders>
              <w:top w:val="single" w:sz="6" w:space="0" w:color="auto"/>
              <w:left w:val="single" w:sz="6" w:space="0" w:color="auto"/>
              <w:bottom w:val="single" w:sz="6" w:space="0" w:color="auto"/>
              <w:right w:val="single" w:sz="6" w:space="0" w:color="auto"/>
            </w:tcBorders>
          </w:tcPr>
          <w:p w14:paraId="32E79F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часть или подряд</w:t>
            </w:r>
          </w:p>
        </w:tc>
        <w:tc>
          <w:tcPr>
            <w:tcW w:w="835" w:type="dxa"/>
            <w:tcBorders>
              <w:top w:val="single" w:sz="6" w:space="0" w:color="auto"/>
              <w:left w:val="single" w:sz="6" w:space="0" w:color="auto"/>
              <w:bottom w:val="single" w:sz="6" w:space="0" w:color="auto"/>
              <w:right w:val="single" w:sz="6" w:space="0" w:color="auto"/>
            </w:tcBorders>
          </w:tcPr>
          <w:p w14:paraId="7ADA3476" w14:textId="77777777" w:rsidR="00AE7191" w:rsidRPr="00722885" w:rsidRDefault="00AE7191" w:rsidP="00722885">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201B861C"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5AF4A1BC"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75ED80A9" w14:textId="77777777" w:rsidR="00AE7191" w:rsidRPr="00722885"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36DCBA8"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162AB40A" w14:textId="77777777" w:rsidR="00AE7191" w:rsidRPr="00722885" w:rsidRDefault="00AE7191" w:rsidP="00722885">
            <w:pPr>
              <w:pStyle w:val="Iauiue"/>
              <w:jc w:val="both"/>
              <w:rPr>
                <w:color w:val="000000" w:themeColor="text1"/>
                <w:sz w:val="16"/>
                <w:szCs w:val="16"/>
              </w:rPr>
            </w:pPr>
          </w:p>
        </w:tc>
      </w:tr>
      <w:tr w:rsidR="009B487A" w:rsidRPr="00722885" w14:paraId="37081AF1"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486A19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1.</w:t>
            </w:r>
          </w:p>
        </w:tc>
        <w:tc>
          <w:tcPr>
            <w:tcW w:w="1253" w:type="dxa"/>
            <w:tcBorders>
              <w:top w:val="single" w:sz="6" w:space="0" w:color="auto"/>
              <w:left w:val="single" w:sz="6" w:space="0" w:color="auto"/>
              <w:bottom w:val="single" w:sz="6" w:space="0" w:color="auto"/>
              <w:right w:val="single" w:sz="6" w:space="0" w:color="auto"/>
            </w:tcBorders>
          </w:tcPr>
          <w:p w14:paraId="2973C0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Пром.пред-приятия и энергет. хо-зяйство:</w:t>
            </w:r>
            <w:r w:rsidRPr="00722885">
              <w:rPr>
                <w:color w:val="000000" w:themeColor="text1"/>
                <w:sz w:val="16"/>
                <w:szCs w:val="16"/>
              </w:rPr>
              <w:br/>
              <w:t>I очередь</w:t>
            </w:r>
            <w:r w:rsidRPr="00722885">
              <w:rPr>
                <w:color w:val="000000" w:themeColor="text1"/>
                <w:sz w:val="16"/>
                <w:szCs w:val="16"/>
              </w:rPr>
              <w:br/>
              <w:t xml:space="preserve">II очередь </w:t>
            </w:r>
          </w:p>
        </w:tc>
        <w:tc>
          <w:tcPr>
            <w:tcW w:w="835" w:type="dxa"/>
            <w:tcBorders>
              <w:top w:val="single" w:sz="6" w:space="0" w:color="auto"/>
              <w:left w:val="single" w:sz="6" w:space="0" w:color="auto"/>
              <w:bottom w:val="single" w:sz="6" w:space="0" w:color="auto"/>
              <w:right w:val="single" w:sz="6" w:space="0" w:color="auto"/>
            </w:tcBorders>
          </w:tcPr>
          <w:p w14:paraId="58B738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 об.</w:t>
            </w:r>
            <w:r w:rsidRPr="00722885">
              <w:rPr>
                <w:color w:val="000000" w:themeColor="text1"/>
                <w:sz w:val="16"/>
                <w:szCs w:val="16"/>
              </w:rPr>
              <w:br/>
              <w:t xml:space="preserve">11 </w:t>
            </w:r>
          </w:p>
        </w:tc>
        <w:tc>
          <w:tcPr>
            <w:tcW w:w="939" w:type="dxa"/>
            <w:tcBorders>
              <w:top w:val="single" w:sz="6" w:space="0" w:color="auto"/>
              <w:left w:val="single" w:sz="6" w:space="0" w:color="auto"/>
              <w:bottom w:val="single" w:sz="6" w:space="0" w:color="auto"/>
              <w:right w:val="single" w:sz="6" w:space="0" w:color="auto"/>
            </w:tcBorders>
          </w:tcPr>
          <w:p w14:paraId="080B1E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УНКВД тов. Ко-ненков </w:t>
            </w:r>
          </w:p>
        </w:tc>
        <w:tc>
          <w:tcPr>
            <w:tcW w:w="939" w:type="dxa"/>
            <w:tcBorders>
              <w:top w:val="single" w:sz="6" w:space="0" w:color="auto"/>
              <w:left w:val="single" w:sz="6" w:space="0" w:color="auto"/>
              <w:bottom w:val="single" w:sz="6" w:space="0" w:color="auto"/>
              <w:right w:val="single" w:sz="6" w:space="0" w:color="auto"/>
            </w:tcBorders>
          </w:tcPr>
          <w:p w14:paraId="2DA2367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Команды из работ-ников предпри-ятий</w:t>
            </w:r>
          </w:p>
        </w:tc>
        <w:tc>
          <w:tcPr>
            <w:tcW w:w="835" w:type="dxa"/>
            <w:tcBorders>
              <w:top w:val="single" w:sz="6" w:space="0" w:color="auto"/>
              <w:left w:val="single" w:sz="6" w:space="0" w:color="auto"/>
              <w:bottom w:val="single" w:sz="6" w:space="0" w:color="auto"/>
              <w:right w:val="single" w:sz="6" w:space="0" w:color="auto"/>
            </w:tcBorders>
          </w:tcPr>
          <w:p w14:paraId="43104D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60 ч.</w:t>
            </w:r>
          </w:p>
        </w:tc>
        <w:tc>
          <w:tcPr>
            <w:tcW w:w="835" w:type="dxa"/>
            <w:tcBorders>
              <w:top w:val="single" w:sz="6" w:space="0" w:color="auto"/>
              <w:left w:val="single" w:sz="6" w:space="0" w:color="auto"/>
              <w:bottom w:val="single" w:sz="6" w:space="0" w:color="auto"/>
              <w:right w:val="single" w:sz="6" w:space="0" w:color="auto"/>
            </w:tcBorders>
          </w:tcPr>
          <w:p w14:paraId="6374FCB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сан. бат. 516а</w:t>
            </w:r>
          </w:p>
        </w:tc>
        <w:tc>
          <w:tcPr>
            <w:tcW w:w="835" w:type="dxa"/>
            <w:tcBorders>
              <w:top w:val="single" w:sz="6" w:space="0" w:color="auto"/>
              <w:left w:val="single" w:sz="6" w:space="0" w:color="auto"/>
              <w:bottom w:val="single" w:sz="6" w:space="0" w:color="auto"/>
              <w:right w:val="single" w:sz="6" w:space="0" w:color="auto"/>
            </w:tcBorders>
          </w:tcPr>
          <w:p w14:paraId="1A0F01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20.8.42</w:t>
            </w:r>
            <w:r w:rsidRPr="00722885">
              <w:rPr>
                <w:color w:val="000000" w:themeColor="text1"/>
                <w:sz w:val="16"/>
                <w:szCs w:val="16"/>
              </w:rPr>
              <w:br/>
              <w:t xml:space="preserve">25.8.42 </w:t>
            </w:r>
          </w:p>
        </w:tc>
        <w:tc>
          <w:tcPr>
            <w:tcW w:w="625" w:type="dxa"/>
            <w:tcBorders>
              <w:top w:val="single" w:sz="6" w:space="0" w:color="auto"/>
              <w:left w:val="single" w:sz="6" w:space="0" w:color="auto"/>
              <w:bottom w:val="single" w:sz="6" w:space="0" w:color="auto"/>
              <w:right w:val="single" w:sz="6" w:space="0" w:color="auto"/>
            </w:tcBorders>
          </w:tcPr>
          <w:p w14:paraId="4CBC0D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80 т.</w:t>
            </w:r>
          </w:p>
        </w:tc>
        <w:tc>
          <w:tcPr>
            <w:tcW w:w="592" w:type="dxa"/>
            <w:tcBorders>
              <w:top w:val="single" w:sz="6" w:space="0" w:color="auto"/>
              <w:left w:val="single" w:sz="6" w:space="0" w:color="auto"/>
              <w:bottom w:val="single" w:sz="6" w:space="0" w:color="auto"/>
              <w:right w:val="single" w:sz="6" w:space="0" w:color="auto"/>
            </w:tcBorders>
          </w:tcPr>
          <w:p w14:paraId="6568D5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230</w:t>
            </w:r>
          </w:p>
        </w:tc>
        <w:tc>
          <w:tcPr>
            <w:tcW w:w="592" w:type="dxa"/>
            <w:tcBorders>
              <w:top w:val="single" w:sz="6" w:space="0" w:color="auto"/>
              <w:left w:val="single" w:sz="6" w:space="0" w:color="auto"/>
              <w:bottom w:val="single" w:sz="6" w:space="0" w:color="auto"/>
              <w:right w:val="single" w:sz="6" w:space="0" w:color="auto"/>
            </w:tcBorders>
          </w:tcPr>
          <w:p w14:paraId="01E1924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250</w:t>
            </w:r>
          </w:p>
        </w:tc>
        <w:tc>
          <w:tcPr>
            <w:tcW w:w="730" w:type="dxa"/>
            <w:tcBorders>
              <w:top w:val="single" w:sz="6" w:space="0" w:color="auto"/>
              <w:left w:val="single" w:sz="6" w:space="0" w:color="auto"/>
              <w:bottom w:val="single" w:sz="6" w:space="0" w:color="auto"/>
              <w:right w:val="single" w:sz="6" w:space="0" w:color="auto"/>
            </w:tcBorders>
          </w:tcPr>
          <w:p w14:paraId="45B62F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8000</w:t>
            </w:r>
          </w:p>
        </w:tc>
        <w:tc>
          <w:tcPr>
            <w:tcW w:w="592" w:type="dxa"/>
            <w:tcBorders>
              <w:top w:val="single" w:sz="6" w:space="0" w:color="auto"/>
              <w:left w:val="single" w:sz="6" w:space="0" w:color="auto"/>
              <w:bottom w:val="single" w:sz="6" w:space="0" w:color="auto"/>
              <w:right w:val="single" w:sz="6" w:space="0" w:color="auto"/>
            </w:tcBorders>
          </w:tcPr>
          <w:p w14:paraId="794DC193" w14:textId="77777777" w:rsidR="00AE7191" w:rsidRPr="00722885" w:rsidRDefault="00AE7191" w:rsidP="00722885">
            <w:pPr>
              <w:pStyle w:val="Iauiue"/>
              <w:jc w:val="both"/>
              <w:rPr>
                <w:color w:val="000000" w:themeColor="text1"/>
                <w:sz w:val="16"/>
                <w:szCs w:val="16"/>
              </w:rPr>
            </w:pPr>
          </w:p>
        </w:tc>
      </w:tr>
      <w:tr w:rsidR="009B487A" w:rsidRPr="00722885" w14:paraId="5949229F"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4CFE50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tc>
        <w:tc>
          <w:tcPr>
            <w:tcW w:w="1253" w:type="dxa"/>
            <w:tcBorders>
              <w:top w:val="single" w:sz="6" w:space="0" w:color="auto"/>
              <w:left w:val="single" w:sz="6" w:space="0" w:color="auto"/>
              <w:bottom w:val="single" w:sz="6" w:space="0" w:color="auto"/>
              <w:right w:val="single" w:sz="6" w:space="0" w:color="auto"/>
            </w:tcBorders>
          </w:tcPr>
          <w:p w14:paraId="536F1D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Узлы связи </w:t>
            </w:r>
          </w:p>
        </w:tc>
        <w:tc>
          <w:tcPr>
            <w:tcW w:w="835" w:type="dxa"/>
            <w:tcBorders>
              <w:top w:val="single" w:sz="6" w:space="0" w:color="auto"/>
              <w:left w:val="single" w:sz="6" w:space="0" w:color="auto"/>
              <w:bottom w:val="single" w:sz="6" w:space="0" w:color="auto"/>
              <w:right w:val="single" w:sz="6" w:space="0" w:color="auto"/>
            </w:tcBorders>
          </w:tcPr>
          <w:p w14:paraId="68C87440"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20A80B"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DBA450"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3B3D58"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AD4039"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58589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22.8.42 </w:t>
            </w:r>
          </w:p>
        </w:tc>
        <w:tc>
          <w:tcPr>
            <w:tcW w:w="625" w:type="dxa"/>
            <w:tcBorders>
              <w:top w:val="single" w:sz="6" w:space="0" w:color="auto"/>
              <w:left w:val="single" w:sz="6" w:space="0" w:color="auto"/>
              <w:bottom w:val="single" w:sz="6" w:space="0" w:color="auto"/>
              <w:right w:val="single" w:sz="6" w:space="0" w:color="auto"/>
            </w:tcBorders>
          </w:tcPr>
          <w:p w14:paraId="0F014ED5"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403A05F0"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0D02A9BF" w14:textId="77777777" w:rsidR="00AE7191" w:rsidRPr="00722885"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A36CAE5"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63128A1B" w14:textId="77777777" w:rsidR="00AE7191" w:rsidRPr="00722885" w:rsidRDefault="00AE7191" w:rsidP="00722885">
            <w:pPr>
              <w:pStyle w:val="Iauiue"/>
              <w:jc w:val="both"/>
              <w:rPr>
                <w:color w:val="000000" w:themeColor="text1"/>
                <w:sz w:val="16"/>
                <w:szCs w:val="16"/>
              </w:rPr>
            </w:pPr>
          </w:p>
        </w:tc>
      </w:tr>
      <w:tr w:rsidR="009B487A" w:rsidRPr="00722885" w14:paraId="734E29CA"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65C20E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w:t>
            </w:r>
          </w:p>
        </w:tc>
        <w:tc>
          <w:tcPr>
            <w:tcW w:w="1253" w:type="dxa"/>
            <w:tcBorders>
              <w:top w:val="single" w:sz="6" w:space="0" w:color="auto"/>
              <w:left w:val="single" w:sz="6" w:space="0" w:color="auto"/>
              <w:bottom w:val="single" w:sz="6" w:space="0" w:color="auto"/>
              <w:right w:val="single" w:sz="6" w:space="0" w:color="auto"/>
            </w:tcBorders>
          </w:tcPr>
          <w:p w14:paraId="60B004D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Водопровод и водоснаб-жение </w:t>
            </w:r>
          </w:p>
        </w:tc>
        <w:tc>
          <w:tcPr>
            <w:tcW w:w="835" w:type="dxa"/>
            <w:tcBorders>
              <w:top w:val="single" w:sz="6" w:space="0" w:color="auto"/>
              <w:left w:val="single" w:sz="6" w:space="0" w:color="auto"/>
              <w:bottom w:val="single" w:sz="6" w:space="0" w:color="auto"/>
              <w:right w:val="single" w:sz="6" w:space="0" w:color="auto"/>
            </w:tcBorders>
          </w:tcPr>
          <w:p w14:paraId="5BB6DAD6"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F63410"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380801"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097DF10"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553457"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C5CB0B" w14:textId="77777777" w:rsidR="00AE7191" w:rsidRPr="00722885" w:rsidRDefault="00AE7191" w:rsidP="00722885">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170B2BE2"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229F2A23"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4F203A8F" w14:textId="77777777" w:rsidR="00AE7191" w:rsidRPr="00722885"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273627B"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3F95DD0E" w14:textId="77777777" w:rsidR="00AE7191" w:rsidRPr="00722885" w:rsidRDefault="00AE7191" w:rsidP="00722885">
            <w:pPr>
              <w:pStyle w:val="Iauiue"/>
              <w:jc w:val="both"/>
              <w:rPr>
                <w:color w:val="000000" w:themeColor="text1"/>
                <w:sz w:val="16"/>
                <w:szCs w:val="16"/>
              </w:rPr>
            </w:pPr>
          </w:p>
        </w:tc>
      </w:tr>
      <w:tr w:rsidR="009B487A" w:rsidRPr="00722885" w14:paraId="65229177"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18A624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w:t>
            </w:r>
          </w:p>
        </w:tc>
        <w:tc>
          <w:tcPr>
            <w:tcW w:w="1253" w:type="dxa"/>
            <w:tcBorders>
              <w:top w:val="single" w:sz="6" w:space="0" w:color="auto"/>
              <w:left w:val="single" w:sz="6" w:space="0" w:color="auto"/>
              <w:bottom w:val="single" w:sz="6" w:space="0" w:color="auto"/>
              <w:right w:val="single" w:sz="6" w:space="0" w:color="auto"/>
            </w:tcBorders>
          </w:tcPr>
          <w:p w14:paraId="38C279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Жел.дор.хо-зяйство </w:t>
            </w:r>
          </w:p>
        </w:tc>
        <w:tc>
          <w:tcPr>
            <w:tcW w:w="835" w:type="dxa"/>
            <w:tcBorders>
              <w:top w:val="single" w:sz="6" w:space="0" w:color="auto"/>
              <w:left w:val="single" w:sz="6" w:space="0" w:color="auto"/>
              <w:bottom w:val="single" w:sz="6" w:space="0" w:color="auto"/>
              <w:right w:val="single" w:sz="6" w:space="0" w:color="auto"/>
            </w:tcBorders>
          </w:tcPr>
          <w:p w14:paraId="17B8BE2A"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63FE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ВОСО </w:t>
            </w:r>
          </w:p>
        </w:tc>
        <w:tc>
          <w:tcPr>
            <w:tcW w:w="939" w:type="dxa"/>
            <w:tcBorders>
              <w:top w:val="single" w:sz="6" w:space="0" w:color="auto"/>
              <w:left w:val="single" w:sz="6" w:space="0" w:color="auto"/>
              <w:bottom w:val="single" w:sz="6" w:space="0" w:color="auto"/>
              <w:right w:val="single" w:sz="6" w:space="0" w:color="auto"/>
            </w:tcBorders>
          </w:tcPr>
          <w:p w14:paraId="08363C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ж.д.бри-гада</w:t>
            </w:r>
          </w:p>
        </w:tc>
        <w:tc>
          <w:tcPr>
            <w:tcW w:w="835" w:type="dxa"/>
            <w:tcBorders>
              <w:top w:val="single" w:sz="6" w:space="0" w:color="auto"/>
              <w:left w:val="single" w:sz="6" w:space="0" w:color="auto"/>
              <w:bottom w:val="single" w:sz="6" w:space="0" w:color="auto"/>
              <w:right w:val="single" w:sz="6" w:space="0" w:color="auto"/>
            </w:tcBorders>
          </w:tcPr>
          <w:p w14:paraId="23AACD03"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87C374"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5623166" w14:textId="77777777" w:rsidR="00AE7191" w:rsidRPr="00722885" w:rsidRDefault="00AE7191" w:rsidP="00722885">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530E0459"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5BC9B28E"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63D3E4D3" w14:textId="77777777" w:rsidR="00AE7191" w:rsidRPr="00722885"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2FE5A6D"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02DFF765" w14:textId="77777777" w:rsidR="00AE7191" w:rsidRPr="00722885" w:rsidRDefault="00AE7191" w:rsidP="00722885">
            <w:pPr>
              <w:pStyle w:val="Iauiue"/>
              <w:jc w:val="both"/>
              <w:rPr>
                <w:color w:val="000000" w:themeColor="text1"/>
                <w:sz w:val="16"/>
                <w:szCs w:val="16"/>
              </w:rPr>
            </w:pPr>
          </w:p>
        </w:tc>
      </w:tr>
      <w:tr w:rsidR="009B487A" w:rsidRPr="00722885" w14:paraId="5219B728"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7A336F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w:t>
            </w:r>
          </w:p>
        </w:tc>
        <w:tc>
          <w:tcPr>
            <w:tcW w:w="1253" w:type="dxa"/>
            <w:tcBorders>
              <w:top w:val="single" w:sz="6" w:space="0" w:color="auto"/>
              <w:left w:val="single" w:sz="6" w:space="0" w:color="auto"/>
              <w:bottom w:val="single" w:sz="6" w:space="0" w:color="auto"/>
              <w:right w:val="single" w:sz="6" w:space="0" w:color="auto"/>
            </w:tcBorders>
          </w:tcPr>
          <w:p w14:paraId="225405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Дороги </w:t>
            </w:r>
          </w:p>
        </w:tc>
        <w:tc>
          <w:tcPr>
            <w:tcW w:w="835" w:type="dxa"/>
            <w:tcBorders>
              <w:top w:val="single" w:sz="6" w:space="0" w:color="auto"/>
              <w:left w:val="single" w:sz="6" w:space="0" w:color="auto"/>
              <w:bottom w:val="single" w:sz="6" w:space="0" w:color="auto"/>
              <w:right w:val="single" w:sz="6" w:space="0" w:color="auto"/>
            </w:tcBorders>
          </w:tcPr>
          <w:p w14:paraId="0C5862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70 кл. </w:t>
            </w:r>
          </w:p>
        </w:tc>
        <w:tc>
          <w:tcPr>
            <w:tcW w:w="939" w:type="dxa"/>
            <w:tcBorders>
              <w:top w:val="single" w:sz="6" w:space="0" w:color="auto"/>
              <w:left w:val="single" w:sz="6" w:space="0" w:color="auto"/>
              <w:bottom w:val="single" w:sz="6" w:space="0" w:color="auto"/>
              <w:right w:val="single" w:sz="6" w:space="0" w:color="auto"/>
            </w:tcBorders>
          </w:tcPr>
          <w:p w14:paraId="35C979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инж.час-ти ЮВФ майор Артемьев </w:t>
            </w:r>
          </w:p>
        </w:tc>
        <w:tc>
          <w:tcPr>
            <w:tcW w:w="939" w:type="dxa"/>
            <w:tcBorders>
              <w:top w:val="single" w:sz="6" w:space="0" w:color="auto"/>
              <w:left w:val="single" w:sz="6" w:space="0" w:color="auto"/>
              <w:bottom w:val="single" w:sz="6" w:space="0" w:color="auto"/>
              <w:right w:val="single" w:sz="6" w:space="0" w:color="auto"/>
            </w:tcBorders>
          </w:tcPr>
          <w:p w14:paraId="0D4F27B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саперы инж. ба-тальона</w:t>
            </w:r>
          </w:p>
        </w:tc>
        <w:tc>
          <w:tcPr>
            <w:tcW w:w="835" w:type="dxa"/>
            <w:tcBorders>
              <w:top w:val="single" w:sz="6" w:space="0" w:color="auto"/>
              <w:left w:val="single" w:sz="6" w:space="0" w:color="auto"/>
              <w:bottom w:val="single" w:sz="6" w:space="0" w:color="auto"/>
              <w:right w:val="single" w:sz="6" w:space="0" w:color="auto"/>
            </w:tcBorders>
          </w:tcPr>
          <w:p w14:paraId="30B26C58"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F34AE7"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B8D5F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1.9.42 </w:t>
            </w:r>
          </w:p>
        </w:tc>
        <w:tc>
          <w:tcPr>
            <w:tcW w:w="625" w:type="dxa"/>
            <w:tcBorders>
              <w:top w:val="single" w:sz="6" w:space="0" w:color="auto"/>
              <w:left w:val="single" w:sz="6" w:space="0" w:color="auto"/>
              <w:bottom w:val="single" w:sz="6" w:space="0" w:color="auto"/>
              <w:right w:val="single" w:sz="6" w:space="0" w:color="auto"/>
            </w:tcBorders>
          </w:tcPr>
          <w:p w14:paraId="59854FF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тн.</w:t>
            </w:r>
          </w:p>
        </w:tc>
        <w:tc>
          <w:tcPr>
            <w:tcW w:w="592" w:type="dxa"/>
            <w:tcBorders>
              <w:top w:val="single" w:sz="6" w:space="0" w:color="auto"/>
              <w:left w:val="single" w:sz="6" w:space="0" w:color="auto"/>
              <w:bottom w:val="single" w:sz="6" w:space="0" w:color="auto"/>
              <w:right w:val="single" w:sz="6" w:space="0" w:color="auto"/>
            </w:tcBorders>
          </w:tcPr>
          <w:p w14:paraId="6A599E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400</w:t>
            </w:r>
          </w:p>
        </w:tc>
        <w:tc>
          <w:tcPr>
            <w:tcW w:w="592" w:type="dxa"/>
            <w:tcBorders>
              <w:top w:val="single" w:sz="6" w:space="0" w:color="auto"/>
              <w:left w:val="single" w:sz="6" w:space="0" w:color="auto"/>
              <w:bottom w:val="single" w:sz="6" w:space="0" w:color="auto"/>
              <w:right w:val="single" w:sz="6" w:space="0" w:color="auto"/>
            </w:tcBorders>
          </w:tcPr>
          <w:p w14:paraId="0B1FCACA" w14:textId="77777777" w:rsidR="00AE7191" w:rsidRPr="00722885"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DB35F47"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455B13F7" w14:textId="77777777" w:rsidR="00AE7191" w:rsidRPr="00722885" w:rsidRDefault="00AE7191" w:rsidP="00722885">
            <w:pPr>
              <w:pStyle w:val="Iauiue"/>
              <w:jc w:val="both"/>
              <w:rPr>
                <w:color w:val="000000" w:themeColor="text1"/>
                <w:sz w:val="16"/>
                <w:szCs w:val="16"/>
              </w:rPr>
            </w:pPr>
          </w:p>
        </w:tc>
      </w:tr>
      <w:tr w:rsidR="009B487A" w:rsidRPr="00722885" w14:paraId="74B19BCD"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3F945D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w:t>
            </w:r>
          </w:p>
        </w:tc>
        <w:tc>
          <w:tcPr>
            <w:tcW w:w="1253" w:type="dxa"/>
            <w:tcBorders>
              <w:top w:val="single" w:sz="6" w:space="0" w:color="auto"/>
              <w:left w:val="single" w:sz="6" w:space="0" w:color="auto"/>
              <w:bottom w:val="single" w:sz="6" w:space="0" w:color="auto"/>
              <w:right w:val="single" w:sz="6" w:space="0" w:color="auto"/>
            </w:tcBorders>
          </w:tcPr>
          <w:p w14:paraId="39E1A3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Мосты </w:t>
            </w:r>
          </w:p>
        </w:tc>
        <w:tc>
          <w:tcPr>
            <w:tcW w:w="835" w:type="dxa"/>
            <w:tcBorders>
              <w:top w:val="single" w:sz="6" w:space="0" w:color="auto"/>
              <w:left w:val="single" w:sz="6" w:space="0" w:color="auto"/>
              <w:bottom w:val="single" w:sz="6" w:space="0" w:color="auto"/>
              <w:right w:val="single" w:sz="6" w:space="0" w:color="auto"/>
            </w:tcBorders>
          </w:tcPr>
          <w:p w14:paraId="203A0E29"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3DF0D7"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4D5FEA"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657E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w:t>
            </w:r>
          </w:p>
        </w:tc>
        <w:tc>
          <w:tcPr>
            <w:tcW w:w="835" w:type="dxa"/>
            <w:tcBorders>
              <w:top w:val="single" w:sz="6" w:space="0" w:color="auto"/>
              <w:left w:val="single" w:sz="6" w:space="0" w:color="auto"/>
              <w:bottom w:val="single" w:sz="6" w:space="0" w:color="auto"/>
              <w:right w:val="single" w:sz="6" w:space="0" w:color="auto"/>
            </w:tcBorders>
          </w:tcPr>
          <w:p w14:paraId="38C35205"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2E50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25.8.42 </w:t>
            </w:r>
          </w:p>
        </w:tc>
        <w:tc>
          <w:tcPr>
            <w:tcW w:w="625" w:type="dxa"/>
            <w:tcBorders>
              <w:top w:val="single" w:sz="6" w:space="0" w:color="auto"/>
              <w:left w:val="single" w:sz="6" w:space="0" w:color="auto"/>
              <w:bottom w:val="single" w:sz="6" w:space="0" w:color="auto"/>
              <w:right w:val="single" w:sz="6" w:space="0" w:color="auto"/>
            </w:tcBorders>
          </w:tcPr>
          <w:p w14:paraId="63CC57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 тн. </w:t>
            </w:r>
          </w:p>
        </w:tc>
        <w:tc>
          <w:tcPr>
            <w:tcW w:w="592" w:type="dxa"/>
            <w:tcBorders>
              <w:top w:val="single" w:sz="6" w:space="0" w:color="auto"/>
              <w:left w:val="single" w:sz="6" w:space="0" w:color="auto"/>
              <w:bottom w:val="single" w:sz="6" w:space="0" w:color="auto"/>
              <w:right w:val="single" w:sz="6" w:space="0" w:color="auto"/>
            </w:tcBorders>
          </w:tcPr>
          <w:p w14:paraId="31351B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50 </w:t>
            </w:r>
          </w:p>
        </w:tc>
        <w:tc>
          <w:tcPr>
            <w:tcW w:w="592" w:type="dxa"/>
            <w:tcBorders>
              <w:top w:val="single" w:sz="6" w:space="0" w:color="auto"/>
              <w:left w:val="single" w:sz="6" w:space="0" w:color="auto"/>
              <w:bottom w:val="single" w:sz="6" w:space="0" w:color="auto"/>
              <w:right w:val="single" w:sz="6" w:space="0" w:color="auto"/>
            </w:tcBorders>
          </w:tcPr>
          <w:p w14:paraId="5D7F99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w:t>
            </w:r>
          </w:p>
        </w:tc>
        <w:tc>
          <w:tcPr>
            <w:tcW w:w="730" w:type="dxa"/>
            <w:tcBorders>
              <w:top w:val="single" w:sz="6" w:space="0" w:color="auto"/>
              <w:left w:val="single" w:sz="6" w:space="0" w:color="auto"/>
              <w:bottom w:val="single" w:sz="6" w:space="0" w:color="auto"/>
              <w:right w:val="single" w:sz="6" w:space="0" w:color="auto"/>
            </w:tcBorders>
          </w:tcPr>
          <w:p w14:paraId="033335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2000</w:t>
            </w:r>
          </w:p>
        </w:tc>
        <w:tc>
          <w:tcPr>
            <w:tcW w:w="592" w:type="dxa"/>
            <w:tcBorders>
              <w:top w:val="single" w:sz="6" w:space="0" w:color="auto"/>
              <w:left w:val="single" w:sz="6" w:space="0" w:color="auto"/>
              <w:bottom w:val="single" w:sz="6" w:space="0" w:color="auto"/>
              <w:right w:val="single" w:sz="6" w:space="0" w:color="auto"/>
            </w:tcBorders>
          </w:tcPr>
          <w:p w14:paraId="5E9E29AC" w14:textId="77777777" w:rsidR="00AE7191" w:rsidRPr="00722885" w:rsidRDefault="00AE7191" w:rsidP="00722885">
            <w:pPr>
              <w:pStyle w:val="Iauiue"/>
              <w:jc w:val="both"/>
              <w:rPr>
                <w:color w:val="000000" w:themeColor="text1"/>
                <w:sz w:val="16"/>
                <w:szCs w:val="16"/>
              </w:rPr>
            </w:pPr>
          </w:p>
        </w:tc>
      </w:tr>
      <w:tr w:rsidR="009B487A" w:rsidRPr="00722885" w14:paraId="58F61F68"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5CB303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w:t>
            </w:r>
          </w:p>
        </w:tc>
        <w:tc>
          <w:tcPr>
            <w:tcW w:w="1253" w:type="dxa"/>
            <w:tcBorders>
              <w:top w:val="single" w:sz="6" w:space="0" w:color="auto"/>
              <w:left w:val="single" w:sz="6" w:space="0" w:color="auto"/>
              <w:bottom w:val="single" w:sz="6" w:space="0" w:color="auto"/>
              <w:right w:val="single" w:sz="6" w:space="0" w:color="auto"/>
            </w:tcBorders>
          </w:tcPr>
          <w:p w14:paraId="5A8811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Отд. жилые здания </w:t>
            </w:r>
          </w:p>
        </w:tc>
        <w:tc>
          <w:tcPr>
            <w:tcW w:w="835" w:type="dxa"/>
            <w:tcBorders>
              <w:top w:val="single" w:sz="6" w:space="0" w:color="auto"/>
              <w:left w:val="single" w:sz="6" w:space="0" w:color="auto"/>
              <w:bottom w:val="single" w:sz="6" w:space="0" w:color="auto"/>
              <w:right w:val="single" w:sz="6" w:space="0" w:color="auto"/>
            </w:tcBorders>
          </w:tcPr>
          <w:p w14:paraId="311887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50 об. </w:t>
            </w:r>
          </w:p>
        </w:tc>
        <w:tc>
          <w:tcPr>
            <w:tcW w:w="939" w:type="dxa"/>
            <w:tcBorders>
              <w:top w:val="single" w:sz="6" w:space="0" w:color="auto"/>
              <w:left w:val="single" w:sz="6" w:space="0" w:color="auto"/>
              <w:bottom w:val="single" w:sz="6" w:space="0" w:color="auto"/>
              <w:right w:val="single" w:sz="6" w:space="0" w:color="auto"/>
            </w:tcBorders>
          </w:tcPr>
          <w:p w14:paraId="150D874D"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0C5543"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B2FBF56"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CC1179"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C710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1.9.42 </w:t>
            </w:r>
          </w:p>
        </w:tc>
        <w:tc>
          <w:tcPr>
            <w:tcW w:w="625" w:type="dxa"/>
            <w:tcBorders>
              <w:top w:val="single" w:sz="6" w:space="0" w:color="auto"/>
              <w:left w:val="single" w:sz="6" w:space="0" w:color="auto"/>
              <w:bottom w:val="single" w:sz="6" w:space="0" w:color="auto"/>
              <w:right w:val="single" w:sz="6" w:space="0" w:color="auto"/>
            </w:tcBorders>
          </w:tcPr>
          <w:p w14:paraId="4BD195A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0,5</w:t>
            </w:r>
          </w:p>
        </w:tc>
        <w:tc>
          <w:tcPr>
            <w:tcW w:w="592" w:type="dxa"/>
            <w:tcBorders>
              <w:top w:val="single" w:sz="6" w:space="0" w:color="auto"/>
              <w:left w:val="single" w:sz="6" w:space="0" w:color="auto"/>
              <w:bottom w:val="single" w:sz="6" w:space="0" w:color="auto"/>
              <w:right w:val="single" w:sz="6" w:space="0" w:color="auto"/>
            </w:tcBorders>
          </w:tcPr>
          <w:p w14:paraId="4268437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w:t>
            </w:r>
          </w:p>
        </w:tc>
        <w:tc>
          <w:tcPr>
            <w:tcW w:w="592" w:type="dxa"/>
            <w:tcBorders>
              <w:top w:val="single" w:sz="6" w:space="0" w:color="auto"/>
              <w:left w:val="single" w:sz="6" w:space="0" w:color="auto"/>
              <w:bottom w:val="single" w:sz="6" w:space="0" w:color="auto"/>
              <w:right w:val="single" w:sz="6" w:space="0" w:color="auto"/>
            </w:tcBorders>
          </w:tcPr>
          <w:p w14:paraId="34F1022D" w14:textId="77777777" w:rsidR="00AE7191" w:rsidRPr="00722885"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CED38F0"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53AE18B1" w14:textId="77777777" w:rsidR="00AE7191" w:rsidRPr="00722885" w:rsidRDefault="00AE7191" w:rsidP="00722885">
            <w:pPr>
              <w:pStyle w:val="Iauiue"/>
              <w:jc w:val="both"/>
              <w:rPr>
                <w:color w:val="000000" w:themeColor="text1"/>
                <w:sz w:val="16"/>
                <w:szCs w:val="16"/>
              </w:rPr>
            </w:pPr>
          </w:p>
        </w:tc>
      </w:tr>
      <w:tr w:rsidR="009B487A" w:rsidRPr="00722885" w14:paraId="599519E6"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751FC2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w:t>
            </w:r>
          </w:p>
        </w:tc>
        <w:tc>
          <w:tcPr>
            <w:tcW w:w="1253" w:type="dxa"/>
            <w:tcBorders>
              <w:top w:val="single" w:sz="6" w:space="0" w:color="auto"/>
              <w:left w:val="single" w:sz="6" w:space="0" w:color="auto"/>
              <w:bottom w:val="single" w:sz="6" w:space="0" w:color="auto"/>
              <w:right w:val="single" w:sz="6" w:space="0" w:color="auto"/>
            </w:tcBorders>
          </w:tcPr>
          <w:p w14:paraId="5E6A34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Управляемые и табельные противотанко-вые поля на окраинах </w:t>
            </w:r>
          </w:p>
        </w:tc>
        <w:tc>
          <w:tcPr>
            <w:tcW w:w="835" w:type="dxa"/>
            <w:tcBorders>
              <w:top w:val="single" w:sz="6" w:space="0" w:color="auto"/>
              <w:left w:val="single" w:sz="6" w:space="0" w:color="auto"/>
              <w:bottom w:val="single" w:sz="6" w:space="0" w:color="auto"/>
              <w:right w:val="single" w:sz="6" w:space="0" w:color="auto"/>
            </w:tcBorders>
          </w:tcPr>
          <w:p w14:paraId="2B6E38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40 кл. </w:t>
            </w:r>
          </w:p>
        </w:tc>
        <w:tc>
          <w:tcPr>
            <w:tcW w:w="939" w:type="dxa"/>
            <w:tcBorders>
              <w:top w:val="single" w:sz="6" w:space="0" w:color="auto"/>
              <w:left w:val="single" w:sz="6" w:space="0" w:color="auto"/>
              <w:bottom w:val="single" w:sz="6" w:space="0" w:color="auto"/>
              <w:right w:val="single" w:sz="6" w:space="0" w:color="auto"/>
            </w:tcBorders>
          </w:tcPr>
          <w:p w14:paraId="3E6BDA9F" w14:textId="77777777" w:rsidR="00AE7191" w:rsidRPr="00722885"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AEEC0A"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3A21326"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BC578A3" w14:textId="77777777" w:rsidR="00AE7191" w:rsidRPr="00722885"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1B1EB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5.9.42 </w:t>
            </w:r>
          </w:p>
        </w:tc>
        <w:tc>
          <w:tcPr>
            <w:tcW w:w="625" w:type="dxa"/>
            <w:tcBorders>
              <w:top w:val="single" w:sz="6" w:space="0" w:color="auto"/>
              <w:left w:val="single" w:sz="6" w:space="0" w:color="auto"/>
              <w:bottom w:val="single" w:sz="6" w:space="0" w:color="auto"/>
              <w:right w:val="single" w:sz="6" w:space="0" w:color="auto"/>
            </w:tcBorders>
          </w:tcPr>
          <w:p w14:paraId="719B78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тн.</w:t>
            </w:r>
          </w:p>
        </w:tc>
        <w:tc>
          <w:tcPr>
            <w:tcW w:w="592" w:type="dxa"/>
            <w:tcBorders>
              <w:top w:val="single" w:sz="6" w:space="0" w:color="auto"/>
              <w:left w:val="single" w:sz="6" w:space="0" w:color="auto"/>
              <w:bottom w:val="single" w:sz="6" w:space="0" w:color="auto"/>
              <w:right w:val="single" w:sz="6" w:space="0" w:color="auto"/>
            </w:tcBorders>
          </w:tcPr>
          <w:p w14:paraId="747730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w:t>
            </w:r>
          </w:p>
        </w:tc>
        <w:tc>
          <w:tcPr>
            <w:tcW w:w="592" w:type="dxa"/>
            <w:tcBorders>
              <w:top w:val="single" w:sz="6" w:space="0" w:color="auto"/>
              <w:left w:val="single" w:sz="6" w:space="0" w:color="auto"/>
              <w:bottom w:val="single" w:sz="6" w:space="0" w:color="auto"/>
              <w:right w:val="single" w:sz="6" w:space="0" w:color="auto"/>
            </w:tcBorders>
          </w:tcPr>
          <w:p w14:paraId="1B976B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w:t>
            </w:r>
          </w:p>
        </w:tc>
        <w:tc>
          <w:tcPr>
            <w:tcW w:w="730" w:type="dxa"/>
            <w:tcBorders>
              <w:top w:val="single" w:sz="6" w:space="0" w:color="auto"/>
              <w:left w:val="single" w:sz="6" w:space="0" w:color="auto"/>
              <w:bottom w:val="single" w:sz="6" w:space="0" w:color="auto"/>
              <w:right w:val="single" w:sz="6" w:space="0" w:color="auto"/>
            </w:tcBorders>
          </w:tcPr>
          <w:p w14:paraId="1B118C80" w14:textId="77777777" w:rsidR="00AE7191" w:rsidRPr="00722885"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0B47B9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5000</w:t>
            </w:r>
          </w:p>
        </w:tc>
      </w:tr>
      <w:tr w:rsidR="009B487A" w:rsidRPr="00722885" w14:paraId="30C7D5CB" w14:textId="77777777" w:rsidTr="00CC5360">
        <w:trPr>
          <w:cantSplit/>
          <w:jc w:val="center"/>
        </w:trPr>
        <w:tc>
          <w:tcPr>
            <w:tcW w:w="835" w:type="dxa"/>
            <w:gridSpan w:val="8"/>
            <w:tcBorders>
              <w:top w:val="single" w:sz="6" w:space="0" w:color="auto"/>
              <w:left w:val="single" w:sz="6" w:space="0" w:color="auto"/>
              <w:bottom w:val="single" w:sz="6" w:space="0" w:color="auto"/>
              <w:right w:val="single" w:sz="6" w:space="0" w:color="auto"/>
            </w:tcBorders>
          </w:tcPr>
          <w:p w14:paraId="480F65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Всего:</w:t>
            </w:r>
          </w:p>
        </w:tc>
        <w:tc>
          <w:tcPr>
            <w:tcW w:w="625" w:type="dxa"/>
            <w:tcBorders>
              <w:top w:val="single" w:sz="6" w:space="0" w:color="auto"/>
              <w:left w:val="single" w:sz="6" w:space="0" w:color="auto"/>
              <w:bottom w:val="single" w:sz="6" w:space="0" w:color="auto"/>
              <w:right w:val="single" w:sz="6" w:space="0" w:color="auto"/>
            </w:tcBorders>
          </w:tcPr>
          <w:p w14:paraId="11ACE4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111,5</w:t>
            </w:r>
          </w:p>
        </w:tc>
        <w:tc>
          <w:tcPr>
            <w:tcW w:w="592" w:type="dxa"/>
            <w:tcBorders>
              <w:top w:val="single" w:sz="6" w:space="0" w:color="auto"/>
              <w:left w:val="single" w:sz="6" w:space="0" w:color="auto"/>
              <w:bottom w:val="single" w:sz="6" w:space="0" w:color="auto"/>
              <w:right w:val="single" w:sz="6" w:space="0" w:color="auto"/>
            </w:tcBorders>
          </w:tcPr>
          <w:p w14:paraId="30BF4ED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800</w:t>
            </w:r>
          </w:p>
        </w:tc>
        <w:tc>
          <w:tcPr>
            <w:tcW w:w="592" w:type="dxa"/>
            <w:tcBorders>
              <w:top w:val="single" w:sz="6" w:space="0" w:color="auto"/>
              <w:left w:val="single" w:sz="6" w:space="0" w:color="auto"/>
              <w:bottom w:val="single" w:sz="6" w:space="0" w:color="auto"/>
              <w:right w:val="single" w:sz="6" w:space="0" w:color="auto"/>
            </w:tcBorders>
          </w:tcPr>
          <w:p w14:paraId="363F70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285</w:t>
            </w:r>
          </w:p>
        </w:tc>
        <w:tc>
          <w:tcPr>
            <w:tcW w:w="730" w:type="dxa"/>
            <w:tcBorders>
              <w:top w:val="single" w:sz="6" w:space="0" w:color="auto"/>
              <w:left w:val="single" w:sz="6" w:space="0" w:color="auto"/>
              <w:bottom w:val="single" w:sz="6" w:space="0" w:color="auto"/>
              <w:right w:val="single" w:sz="6" w:space="0" w:color="auto"/>
            </w:tcBorders>
          </w:tcPr>
          <w:p w14:paraId="3ACCEB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10000</w:t>
            </w:r>
          </w:p>
        </w:tc>
        <w:tc>
          <w:tcPr>
            <w:tcW w:w="592" w:type="dxa"/>
            <w:tcBorders>
              <w:top w:val="single" w:sz="6" w:space="0" w:color="auto"/>
              <w:left w:val="single" w:sz="6" w:space="0" w:color="auto"/>
              <w:bottom w:val="single" w:sz="6" w:space="0" w:color="auto"/>
              <w:right w:val="single" w:sz="6" w:space="0" w:color="auto"/>
            </w:tcBorders>
          </w:tcPr>
          <w:p w14:paraId="627800E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5000</w:t>
            </w:r>
          </w:p>
        </w:tc>
      </w:tr>
    </w:tbl>
    <w:p w14:paraId="7D619CD7" w14:textId="77777777" w:rsidR="00AE7191" w:rsidRPr="00722885" w:rsidRDefault="00AE7191" w:rsidP="00722885">
      <w:pPr>
        <w:pStyle w:val="Iauiue"/>
        <w:jc w:val="both"/>
        <w:rPr>
          <w:iCs/>
          <w:color w:val="000000" w:themeColor="text1"/>
          <w:sz w:val="16"/>
          <w:szCs w:val="16"/>
        </w:rPr>
      </w:pPr>
      <w:r w:rsidRPr="00722885">
        <w:rPr>
          <w:iCs/>
          <w:color w:val="000000" w:themeColor="text1"/>
          <w:sz w:val="16"/>
          <w:szCs w:val="16"/>
        </w:rPr>
        <w:t>ЦДНИВО, фонд 171, опись 1, дело 14, лист 92. Подлинник (9818).</w:t>
      </w:r>
    </w:p>
    <w:p w14:paraId="24CAEA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Приложение к Постановлению Сталинградского Городского Комитета Обороны № 399 сс от 19 августа 1942 г </w:t>
      </w:r>
    </w:p>
    <w:tbl>
      <w:tblPr>
        <w:tblW w:w="0" w:type="auto"/>
        <w:jc w:val="center"/>
        <w:tblLayout w:type="fixed"/>
        <w:tblCellMar>
          <w:left w:w="0" w:type="dxa"/>
          <w:right w:w="0" w:type="dxa"/>
        </w:tblCellMar>
        <w:tblLook w:val="0000" w:firstRow="0" w:lastRow="0" w:firstColumn="0" w:lastColumn="0" w:noHBand="0" w:noVBand="0"/>
      </w:tblPr>
      <w:tblGrid>
        <w:gridCol w:w="5202"/>
        <w:gridCol w:w="4772"/>
      </w:tblGrid>
      <w:tr w:rsidR="009B487A" w:rsidRPr="00722885" w14:paraId="17264B31" w14:textId="77777777" w:rsidTr="00CC5360">
        <w:trPr>
          <w:cantSplit/>
          <w:jc w:val="center"/>
        </w:trPr>
        <w:tc>
          <w:tcPr>
            <w:tcW w:w="5202" w:type="dxa"/>
            <w:tcBorders>
              <w:top w:val="nil"/>
              <w:left w:val="nil"/>
              <w:bottom w:val="nil"/>
              <w:right w:val="nil"/>
            </w:tcBorders>
          </w:tcPr>
          <w:p w14:paraId="17A550DD"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2. Строго секретно.</w:t>
            </w:r>
          </w:p>
        </w:tc>
        <w:tc>
          <w:tcPr>
            <w:tcW w:w="4772" w:type="dxa"/>
            <w:tcBorders>
              <w:top w:val="nil"/>
              <w:left w:val="nil"/>
              <w:bottom w:val="nil"/>
              <w:right w:val="nil"/>
            </w:tcBorders>
          </w:tcPr>
          <w:p w14:paraId="3C1BF22C"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19 августа 1942 г.</w:t>
            </w:r>
          </w:p>
        </w:tc>
      </w:tr>
    </w:tbl>
    <w:p w14:paraId="331F5C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Перечень объектов, подлежащих выводу из строя по гор. Сталинграду I очередь.</w:t>
      </w:r>
    </w:p>
    <w:tbl>
      <w:tblPr>
        <w:tblW w:w="0" w:type="auto"/>
        <w:jc w:val="center"/>
        <w:tblLayout w:type="fixed"/>
        <w:tblCellMar>
          <w:left w:w="0" w:type="dxa"/>
          <w:right w:w="0" w:type="dxa"/>
        </w:tblCellMar>
        <w:tblLook w:val="0000" w:firstRow="0" w:lastRow="0" w:firstColumn="0" w:lastColumn="0" w:noHBand="0" w:noVBand="0"/>
      </w:tblPr>
      <w:tblGrid>
        <w:gridCol w:w="3759"/>
        <w:gridCol w:w="3235"/>
        <w:gridCol w:w="3445"/>
      </w:tblGrid>
      <w:tr w:rsidR="009B487A" w:rsidRPr="00722885" w14:paraId="2B09E631"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51A98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Наименование объекта</w:t>
            </w:r>
          </w:p>
        </w:tc>
        <w:tc>
          <w:tcPr>
            <w:tcW w:w="3235" w:type="dxa"/>
            <w:tcBorders>
              <w:top w:val="single" w:sz="6" w:space="0" w:color="auto"/>
              <w:left w:val="single" w:sz="6" w:space="0" w:color="auto"/>
              <w:bottom w:val="single" w:sz="6" w:space="0" w:color="auto"/>
              <w:right w:val="single" w:sz="6" w:space="0" w:color="auto"/>
            </w:tcBorders>
          </w:tcPr>
          <w:p w14:paraId="786551B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Характер разрушений</w:t>
            </w:r>
          </w:p>
        </w:tc>
        <w:tc>
          <w:tcPr>
            <w:tcW w:w="3445" w:type="dxa"/>
            <w:tcBorders>
              <w:top w:val="single" w:sz="6" w:space="0" w:color="auto"/>
              <w:left w:val="single" w:sz="6" w:space="0" w:color="auto"/>
              <w:bottom w:val="single" w:sz="6" w:space="0" w:color="auto"/>
              <w:right w:val="single" w:sz="6" w:space="0" w:color="auto"/>
            </w:tcBorders>
          </w:tcPr>
          <w:p w14:paraId="61FC67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Технический руководитель по подготовке спецмероприятия</w:t>
            </w:r>
          </w:p>
        </w:tc>
      </w:tr>
      <w:tr w:rsidR="009B487A" w:rsidRPr="00722885" w14:paraId="219A47AE" w14:textId="77777777" w:rsidTr="00CC5360">
        <w:trPr>
          <w:cantSplit/>
          <w:jc w:val="center"/>
        </w:trPr>
        <w:tc>
          <w:tcPr>
            <w:tcW w:w="3759" w:type="dxa"/>
            <w:gridSpan w:val="3"/>
            <w:tcBorders>
              <w:top w:val="single" w:sz="6" w:space="0" w:color="auto"/>
              <w:left w:val="single" w:sz="6" w:space="0" w:color="auto"/>
              <w:bottom w:val="single" w:sz="6" w:space="0" w:color="auto"/>
              <w:right w:val="single" w:sz="6" w:space="0" w:color="auto"/>
            </w:tcBorders>
          </w:tcPr>
          <w:p w14:paraId="35D0AD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I группа</w:t>
            </w:r>
          </w:p>
        </w:tc>
      </w:tr>
      <w:tr w:rsidR="009B487A" w:rsidRPr="00722885" w14:paraId="28C04D92"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36BC953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СТЗ</w:t>
            </w:r>
          </w:p>
        </w:tc>
        <w:tc>
          <w:tcPr>
            <w:tcW w:w="3235" w:type="dxa"/>
            <w:tcBorders>
              <w:top w:val="single" w:sz="6" w:space="0" w:color="auto"/>
              <w:left w:val="single" w:sz="6" w:space="0" w:color="auto"/>
              <w:bottom w:val="single" w:sz="6" w:space="0" w:color="auto"/>
              <w:right w:val="single" w:sz="6" w:space="0" w:color="auto"/>
            </w:tcBorders>
          </w:tcPr>
          <w:p w14:paraId="7BB4F88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подрывание</w:t>
            </w:r>
            <w:r w:rsidRPr="00722885">
              <w:rPr>
                <w:color w:val="000000" w:themeColor="text1"/>
                <w:sz w:val="16"/>
                <w:szCs w:val="16"/>
              </w:rPr>
              <w:br/>
              <w:t xml:space="preserve">минирование сжигание </w:t>
            </w:r>
          </w:p>
        </w:tc>
        <w:tc>
          <w:tcPr>
            <w:tcW w:w="3445" w:type="dxa"/>
            <w:tcBorders>
              <w:top w:val="single" w:sz="6" w:space="0" w:color="auto"/>
              <w:left w:val="single" w:sz="6" w:space="0" w:color="auto"/>
              <w:bottom w:val="single" w:sz="6" w:space="0" w:color="auto"/>
              <w:right w:val="single" w:sz="6" w:space="0" w:color="auto"/>
            </w:tcBorders>
          </w:tcPr>
          <w:p w14:paraId="68AF50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майор Гольдберг</w:t>
            </w:r>
          </w:p>
        </w:tc>
      </w:tr>
      <w:tr w:rsidR="009B487A" w:rsidRPr="00722885" w14:paraId="58411019"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746C99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221</w:t>
            </w:r>
          </w:p>
        </w:tc>
        <w:tc>
          <w:tcPr>
            <w:tcW w:w="3235" w:type="dxa"/>
            <w:tcBorders>
              <w:top w:val="single" w:sz="6" w:space="0" w:color="auto"/>
              <w:left w:val="single" w:sz="6" w:space="0" w:color="auto"/>
              <w:bottom w:val="single" w:sz="6" w:space="0" w:color="auto"/>
              <w:right w:val="single" w:sz="6" w:space="0" w:color="auto"/>
            </w:tcBorders>
          </w:tcPr>
          <w:p w14:paraId="05525D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43DB89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5FE4E29B"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3137E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“Красный Октябрь”</w:t>
            </w:r>
          </w:p>
        </w:tc>
        <w:tc>
          <w:tcPr>
            <w:tcW w:w="3235" w:type="dxa"/>
            <w:tcBorders>
              <w:top w:val="single" w:sz="6" w:space="0" w:color="auto"/>
              <w:left w:val="single" w:sz="6" w:space="0" w:color="auto"/>
              <w:bottom w:val="single" w:sz="6" w:space="0" w:color="auto"/>
              <w:right w:val="single" w:sz="6" w:space="0" w:color="auto"/>
            </w:tcBorders>
          </w:tcPr>
          <w:p w14:paraId="2DE8D2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57D34A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5B90E65C"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AD635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264</w:t>
            </w:r>
          </w:p>
        </w:tc>
        <w:tc>
          <w:tcPr>
            <w:tcW w:w="3235" w:type="dxa"/>
            <w:tcBorders>
              <w:top w:val="single" w:sz="6" w:space="0" w:color="auto"/>
              <w:left w:val="single" w:sz="6" w:space="0" w:color="auto"/>
              <w:bottom w:val="single" w:sz="6" w:space="0" w:color="auto"/>
              <w:right w:val="single" w:sz="6" w:space="0" w:color="auto"/>
            </w:tcBorders>
          </w:tcPr>
          <w:p w14:paraId="36D4AC8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подрывание</w:t>
            </w:r>
          </w:p>
        </w:tc>
        <w:tc>
          <w:tcPr>
            <w:tcW w:w="3445" w:type="dxa"/>
            <w:tcBorders>
              <w:top w:val="single" w:sz="6" w:space="0" w:color="auto"/>
              <w:left w:val="single" w:sz="6" w:space="0" w:color="auto"/>
              <w:bottom w:val="single" w:sz="6" w:space="0" w:color="auto"/>
              <w:right w:val="single" w:sz="6" w:space="0" w:color="auto"/>
            </w:tcBorders>
          </w:tcPr>
          <w:p w14:paraId="17EC33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41ABC2A5"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0E23A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91</w:t>
            </w:r>
          </w:p>
        </w:tc>
        <w:tc>
          <w:tcPr>
            <w:tcW w:w="3235" w:type="dxa"/>
            <w:tcBorders>
              <w:top w:val="single" w:sz="6" w:space="0" w:color="auto"/>
              <w:left w:val="single" w:sz="6" w:space="0" w:color="auto"/>
              <w:bottom w:val="single" w:sz="6" w:space="0" w:color="auto"/>
              <w:right w:val="single" w:sz="6" w:space="0" w:color="auto"/>
            </w:tcBorders>
          </w:tcPr>
          <w:p w14:paraId="61E759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035728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3BAA4D85"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75571E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Сталэнергокомбинат</w:t>
            </w:r>
          </w:p>
        </w:tc>
        <w:tc>
          <w:tcPr>
            <w:tcW w:w="3235" w:type="dxa"/>
            <w:tcBorders>
              <w:top w:val="single" w:sz="6" w:space="0" w:color="auto"/>
              <w:left w:val="single" w:sz="6" w:space="0" w:color="auto"/>
              <w:bottom w:val="single" w:sz="6" w:space="0" w:color="auto"/>
              <w:right w:val="single" w:sz="6" w:space="0" w:color="auto"/>
            </w:tcBorders>
          </w:tcPr>
          <w:p w14:paraId="2A36A6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подрывание</w:t>
            </w:r>
            <w:r w:rsidRPr="00722885">
              <w:rPr>
                <w:color w:val="000000" w:themeColor="text1"/>
                <w:sz w:val="16"/>
                <w:szCs w:val="16"/>
              </w:rPr>
              <w:br/>
              <w:t xml:space="preserve">минирование </w:t>
            </w:r>
          </w:p>
        </w:tc>
        <w:tc>
          <w:tcPr>
            <w:tcW w:w="3445" w:type="dxa"/>
            <w:tcBorders>
              <w:top w:val="single" w:sz="6" w:space="0" w:color="auto"/>
              <w:left w:val="single" w:sz="6" w:space="0" w:color="auto"/>
              <w:bottom w:val="single" w:sz="6" w:space="0" w:color="auto"/>
              <w:right w:val="single" w:sz="6" w:space="0" w:color="auto"/>
            </w:tcBorders>
          </w:tcPr>
          <w:p w14:paraId="0DA2DA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5AECFBBD"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F6CCAE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Нефтебаза</w:t>
            </w:r>
            <w:r w:rsidRPr="00722885">
              <w:rPr>
                <w:color w:val="000000" w:themeColor="text1"/>
                <w:sz w:val="16"/>
                <w:szCs w:val="16"/>
              </w:rPr>
              <w:br/>
              <w:t>и масломазеваренный завод</w:t>
            </w:r>
          </w:p>
        </w:tc>
        <w:tc>
          <w:tcPr>
            <w:tcW w:w="3235" w:type="dxa"/>
            <w:tcBorders>
              <w:top w:val="single" w:sz="6" w:space="0" w:color="auto"/>
              <w:left w:val="single" w:sz="6" w:space="0" w:color="auto"/>
              <w:bottom w:val="single" w:sz="6" w:space="0" w:color="auto"/>
              <w:right w:val="single" w:sz="6" w:space="0" w:color="auto"/>
            </w:tcBorders>
          </w:tcPr>
          <w:p w14:paraId="5BB09C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сжигание подрывание</w:t>
            </w:r>
          </w:p>
        </w:tc>
        <w:tc>
          <w:tcPr>
            <w:tcW w:w="3445" w:type="dxa"/>
            <w:tcBorders>
              <w:top w:val="single" w:sz="6" w:space="0" w:color="auto"/>
              <w:left w:val="single" w:sz="6" w:space="0" w:color="auto"/>
              <w:bottom w:val="single" w:sz="6" w:space="0" w:color="auto"/>
              <w:right w:val="single" w:sz="6" w:space="0" w:color="auto"/>
            </w:tcBorders>
          </w:tcPr>
          <w:p w14:paraId="216C83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476D2DB1"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08276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Объекты связи</w:t>
            </w:r>
          </w:p>
        </w:tc>
        <w:tc>
          <w:tcPr>
            <w:tcW w:w="3235" w:type="dxa"/>
            <w:tcBorders>
              <w:top w:val="single" w:sz="6" w:space="0" w:color="auto"/>
              <w:left w:val="single" w:sz="6" w:space="0" w:color="auto"/>
              <w:bottom w:val="single" w:sz="6" w:space="0" w:color="auto"/>
              <w:right w:val="single" w:sz="6" w:space="0" w:color="auto"/>
            </w:tcBorders>
          </w:tcPr>
          <w:p w14:paraId="380220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подрывание минирование</w:t>
            </w:r>
            <w:r w:rsidRPr="00722885">
              <w:rPr>
                <w:color w:val="000000" w:themeColor="text1"/>
                <w:sz w:val="16"/>
                <w:szCs w:val="16"/>
              </w:rPr>
              <w:br/>
              <w:t xml:space="preserve">сжигание </w:t>
            </w:r>
          </w:p>
        </w:tc>
        <w:tc>
          <w:tcPr>
            <w:tcW w:w="3445" w:type="dxa"/>
            <w:tcBorders>
              <w:top w:val="single" w:sz="6" w:space="0" w:color="auto"/>
              <w:left w:val="single" w:sz="6" w:space="0" w:color="auto"/>
              <w:bottom w:val="single" w:sz="6" w:space="0" w:color="auto"/>
              <w:right w:val="single" w:sz="6" w:space="0" w:color="auto"/>
            </w:tcBorders>
          </w:tcPr>
          <w:p w14:paraId="44B3F9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113E3B03" w14:textId="77777777" w:rsidTr="00CC5360">
        <w:trPr>
          <w:cantSplit/>
          <w:jc w:val="center"/>
        </w:trPr>
        <w:tc>
          <w:tcPr>
            <w:tcW w:w="3759" w:type="dxa"/>
            <w:gridSpan w:val="3"/>
            <w:tcBorders>
              <w:top w:val="single" w:sz="6" w:space="0" w:color="auto"/>
              <w:left w:val="single" w:sz="6" w:space="0" w:color="auto"/>
              <w:bottom w:val="single" w:sz="6" w:space="0" w:color="auto"/>
              <w:right w:val="single" w:sz="6" w:space="0" w:color="auto"/>
            </w:tcBorders>
          </w:tcPr>
          <w:p w14:paraId="427EB04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II группа</w:t>
            </w:r>
          </w:p>
        </w:tc>
      </w:tr>
      <w:tr w:rsidR="009B487A" w:rsidRPr="00722885" w14:paraId="17F8F460"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B6AAF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Лесозавод им. Куйбышева</w:t>
            </w:r>
          </w:p>
        </w:tc>
        <w:tc>
          <w:tcPr>
            <w:tcW w:w="3235" w:type="dxa"/>
            <w:tcBorders>
              <w:top w:val="single" w:sz="6" w:space="0" w:color="auto"/>
              <w:left w:val="single" w:sz="6" w:space="0" w:color="auto"/>
              <w:bottom w:val="single" w:sz="6" w:space="0" w:color="auto"/>
              <w:right w:val="single" w:sz="6" w:space="0" w:color="auto"/>
            </w:tcBorders>
          </w:tcPr>
          <w:p w14:paraId="66CA016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сжигание подрывание</w:t>
            </w:r>
          </w:p>
        </w:tc>
        <w:tc>
          <w:tcPr>
            <w:tcW w:w="3445" w:type="dxa"/>
            <w:tcBorders>
              <w:top w:val="single" w:sz="6" w:space="0" w:color="auto"/>
              <w:left w:val="single" w:sz="6" w:space="0" w:color="auto"/>
              <w:bottom w:val="single" w:sz="6" w:space="0" w:color="auto"/>
              <w:right w:val="single" w:sz="6" w:space="0" w:color="auto"/>
            </w:tcBorders>
          </w:tcPr>
          <w:p w14:paraId="6EA3AB8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майор Забавников</w:t>
            </w:r>
          </w:p>
        </w:tc>
      </w:tr>
      <w:tr w:rsidR="009B487A" w:rsidRPr="00722885" w14:paraId="3027DB28"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44C3CA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490 (планерный)</w:t>
            </w:r>
          </w:p>
        </w:tc>
        <w:tc>
          <w:tcPr>
            <w:tcW w:w="3235" w:type="dxa"/>
            <w:tcBorders>
              <w:top w:val="single" w:sz="6" w:space="0" w:color="auto"/>
              <w:left w:val="single" w:sz="6" w:space="0" w:color="auto"/>
              <w:bottom w:val="single" w:sz="6" w:space="0" w:color="auto"/>
              <w:right w:val="single" w:sz="6" w:space="0" w:color="auto"/>
            </w:tcBorders>
          </w:tcPr>
          <w:p w14:paraId="263DC4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2AA5A7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50BA242E"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40F5F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Гидролизный завод</w:t>
            </w:r>
          </w:p>
        </w:tc>
        <w:tc>
          <w:tcPr>
            <w:tcW w:w="3235" w:type="dxa"/>
            <w:tcBorders>
              <w:top w:val="single" w:sz="6" w:space="0" w:color="auto"/>
              <w:left w:val="single" w:sz="6" w:space="0" w:color="auto"/>
              <w:bottom w:val="single" w:sz="6" w:space="0" w:color="auto"/>
              <w:right w:val="single" w:sz="6" w:space="0" w:color="auto"/>
            </w:tcBorders>
          </w:tcPr>
          <w:p w14:paraId="5CDE06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подрывание</w:t>
            </w:r>
          </w:p>
        </w:tc>
        <w:tc>
          <w:tcPr>
            <w:tcW w:w="3445" w:type="dxa"/>
            <w:tcBorders>
              <w:top w:val="single" w:sz="6" w:space="0" w:color="auto"/>
              <w:left w:val="single" w:sz="6" w:space="0" w:color="auto"/>
              <w:bottom w:val="single" w:sz="6" w:space="0" w:color="auto"/>
              <w:right w:val="single" w:sz="6" w:space="0" w:color="auto"/>
            </w:tcBorders>
          </w:tcPr>
          <w:p w14:paraId="4C9D7C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047A6CE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00ACB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687 (массив. шин)</w:t>
            </w:r>
          </w:p>
        </w:tc>
        <w:tc>
          <w:tcPr>
            <w:tcW w:w="3235" w:type="dxa"/>
            <w:tcBorders>
              <w:top w:val="single" w:sz="6" w:space="0" w:color="auto"/>
              <w:left w:val="single" w:sz="6" w:space="0" w:color="auto"/>
              <w:bottom w:val="single" w:sz="6" w:space="0" w:color="auto"/>
              <w:right w:val="single" w:sz="6" w:space="0" w:color="auto"/>
            </w:tcBorders>
          </w:tcPr>
          <w:p w14:paraId="092849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подрывание</w:t>
            </w:r>
          </w:p>
        </w:tc>
        <w:tc>
          <w:tcPr>
            <w:tcW w:w="3445" w:type="dxa"/>
            <w:tcBorders>
              <w:top w:val="single" w:sz="6" w:space="0" w:color="auto"/>
              <w:left w:val="single" w:sz="6" w:space="0" w:color="auto"/>
              <w:bottom w:val="single" w:sz="6" w:space="0" w:color="auto"/>
              <w:right w:val="single" w:sz="6" w:space="0" w:color="auto"/>
            </w:tcBorders>
          </w:tcPr>
          <w:p w14:paraId="699141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376C1D6E"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7B02B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Консервный завод</w:t>
            </w:r>
          </w:p>
        </w:tc>
        <w:tc>
          <w:tcPr>
            <w:tcW w:w="3235" w:type="dxa"/>
            <w:tcBorders>
              <w:top w:val="single" w:sz="6" w:space="0" w:color="auto"/>
              <w:left w:val="single" w:sz="6" w:space="0" w:color="auto"/>
              <w:bottom w:val="single" w:sz="6" w:space="0" w:color="auto"/>
              <w:right w:val="single" w:sz="6" w:space="0" w:color="auto"/>
            </w:tcBorders>
          </w:tcPr>
          <w:p w14:paraId="6C7D56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сжигание подрывание</w:t>
            </w:r>
          </w:p>
        </w:tc>
        <w:tc>
          <w:tcPr>
            <w:tcW w:w="3445" w:type="dxa"/>
            <w:tcBorders>
              <w:top w:val="single" w:sz="6" w:space="0" w:color="auto"/>
              <w:left w:val="single" w:sz="6" w:space="0" w:color="auto"/>
              <w:bottom w:val="single" w:sz="6" w:space="0" w:color="auto"/>
              <w:right w:val="single" w:sz="6" w:space="0" w:color="auto"/>
            </w:tcBorders>
          </w:tcPr>
          <w:p w14:paraId="1F6D19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391741A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49B1DA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Силикатный завод</w:t>
            </w:r>
          </w:p>
        </w:tc>
        <w:tc>
          <w:tcPr>
            <w:tcW w:w="3235" w:type="dxa"/>
            <w:tcBorders>
              <w:top w:val="single" w:sz="6" w:space="0" w:color="auto"/>
              <w:left w:val="single" w:sz="6" w:space="0" w:color="auto"/>
              <w:bottom w:val="single" w:sz="6" w:space="0" w:color="auto"/>
              <w:right w:val="single" w:sz="6" w:space="0" w:color="auto"/>
            </w:tcBorders>
          </w:tcPr>
          <w:p w14:paraId="471397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подрывание сжигание</w:t>
            </w:r>
          </w:p>
        </w:tc>
        <w:tc>
          <w:tcPr>
            <w:tcW w:w="3445" w:type="dxa"/>
            <w:tcBorders>
              <w:top w:val="single" w:sz="6" w:space="0" w:color="auto"/>
              <w:left w:val="single" w:sz="6" w:space="0" w:color="auto"/>
              <w:bottom w:val="single" w:sz="6" w:space="0" w:color="auto"/>
              <w:right w:val="single" w:sz="6" w:space="0" w:color="auto"/>
            </w:tcBorders>
          </w:tcPr>
          <w:p w14:paraId="55B26D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382BDCC3"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4C3E0C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Спирто-водочный завод</w:t>
            </w:r>
          </w:p>
        </w:tc>
        <w:tc>
          <w:tcPr>
            <w:tcW w:w="3235" w:type="dxa"/>
            <w:tcBorders>
              <w:top w:val="single" w:sz="6" w:space="0" w:color="auto"/>
              <w:left w:val="single" w:sz="6" w:space="0" w:color="auto"/>
              <w:bottom w:val="single" w:sz="6" w:space="0" w:color="auto"/>
              <w:right w:val="single" w:sz="6" w:space="0" w:color="auto"/>
            </w:tcBorders>
          </w:tcPr>
          <w:p w14:paraId="036A59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подрывание сжигание</w:t>
            </w:r>
          </w:p>
        </w:tc>
        <w:tc>
          <w:tcPr>
            <w:tcW w:w="3445" w:type="dxa"/>
            <w:tcBorders>
              <w:top w:val="single" w:sz="6" w:space="0" w:color="auto"/>
              <w:left w:val="single" w:sz="6" w:space="0" w:color="auto"/>
              <w:bottom w:val="single" w:sz="6" w:space="0" w:color="auto"/>
              <w:right w:val="single" w:sz="6" w:space="0" w:color="auto"/>
            </w:tcBorders>
          </w:tcPr>
          <w:p w14:paraId="21F1112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bl>
    <w:p w14:paraId="05C0E548"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ЦДНИВО, фонд 171, опись 1, дело 14, лист 93. Подлинник (9818/)</w:t>
      </w:r>
    </w:p>
    <w:p w14:paraId="5428B6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Приложение к Постановлению Сталинградского Городского Комитета Обороны № 399 сс от 19 августа 1942 г </w:t>
      </w:r>
    </w:p>
    <w:tbl>
      <w:tblPr>
        <w:tblW w:w="0" w:type="auto"/>
        <w:jc w:val="center"/>
        <w:tblLayout w:type="fixed"/>
        <w:tblCellMar>
          <w:left w:w="0" w:type="dxa"/>
          <w:right w:w="0" w:type="dxa"/>
        </w:tblCellMar>
        <w:tblLook w:val="0000" w:firstRow="0" w:lastRow="0" w:firstColumn="0" w:lastColumn="0" w:noHBand="0" w:noVBand="0"/>
      </w:tblPr>
      <w:tblGrid>
        <w:gridCol w:w="5202"/>
        <w:gridCol w:w="4772"/>
      </w:tblGrid>
      <w:tr w:rsidR="009B487A" w:rsidRPr="00722885" w14:paraId="2F1F0AAA" w14:textId="77777777" w:rsidTr="00CC5360">
        <w:trPr>
          <w:cantSplit/>
          <w:jc w:val="center"/>
        </w:trPr>
        <w:tc>
          <w:tcPr>
            <w:tcW w:w="5202" w:type="dxa"/>
            <w:tcBorders>
              <w:top w:val="nil"/>
              <w:left w:val="nil"/>
              <w:bottom w:val="nil"/>
              <w:right w:val="nil"/>
            </w:tcBorders>
          </w:tcPr>
          <w:p w14:paraId="38F6C08F"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3. Строго секретно.</w:t>
            </w:r>
          </w:p>
        </w:tc>
        <w:tc>
          <w:tcPr>
            <w:tcW w:w="4772" w:type="dxa"/>
            <w:tcBorders>
              <w:top w:val="nil"/>
              <w:left w:val="nil"/>
              <w:bottom w:val="nil"/>
              <w:right w:val="nil"/>
            </w:tcBorders>
          </w:tcPr>
          <w:p w14:paraId="6D45F042"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19 августа 1942 г.</w:t>
            </w:r>
          </w:p>
        </w:tc>
      </w:tr>
    </w:tbl>
    <w:p w14:paraId="54E8EA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Перечень объектов, подлежащих выводу из строя по гор. Сталинграду II очередь.</w:t>
      </w:r>
    </w:p>
    <w:tbl>
      <w:tblPr>
        <w:tblW w:w="0" w:type="auto"/>
        <w:jc w:val="center"/>
        <w:tblLayout w:type="fixed"/>
        <w:tblCellMar>
          <w:left w:w="0" w:type="dxa"/>
          <w:right w:w="0" w:type="dxa"/>
        </w:tblCellMar>
        <w:tblLook w:val="0000" w:firstRow="0" w:lastRow="0" w:firstColumn="0" w:lastColumn="0" w:noHBand="0" w:noVBand="0"/>
      </w:tblPr>
      <w:tblGrid>
        <w:gridCol w:w="3759"/>
        <w:gridCol w:w="3235"/>
        <w:gridCol w:w="3445"/>
      </w:tblGrid>
      <w:tr w:rsidR="009B487A" w:rsidRPr="00722885" w14:paraId="4A7C3A79"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684D2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Наименование объекта</w:t>
            </w:r>
          </w:p>
        </w:tc>
        <w:tc>
          <w:tcPr>
            <w:tcW w:w="3235" w:type="dxa"/>
            <w:tcBorders>
              <w:top w:val="single" w:sz="6" w:space="0" w:color="auto"/>
              <w:left w:val="single" w:sz="6" w:space="0" w:color="auto"/>
              <w:bottom w:val="single" w:sz="6" w:space="0" w:color="auto"/>
              <w:right w:val="single" w:sz="6" w:space="0" w:color="auto"/>
            </w:tcBorders>
          </w:tcPr>
          <w:p w14:paraId="309AC6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Характер разрушений</w:t>
            </w:r>
          </w:p>
        </w:tc>
        <w:tc>
          <w:tcPr>
            <w:tcW w:w="3445" w:type="dxa"/>
            <w:tcBorders>
              <w:top w:val="single" w:sz="6" w:space="0" w:color="auto"/>
              <w:left w:val="single" w:sz="6" w:space="0" w:color="auto"/>
              <w:bottom w:val="single" w:sz="6" w:space="0" w:color="auto"/>
              <w:right w:val="single" w:sz="6" w:space="0" w:color="auto"/>
            </w:tcBorders>
          </w:tcPr>
          <w:p w14:paraId="3CC772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Технический руководитель по подготовке спецмероприятия</w:t>
            </w:r>
          </w:p>
        </w:tc>
      </w:tr>
      <w:tr w:rsidR="009B487A" w:rsidRPr="00722885" w14:paraId="18B60EC3"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ADC0D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Метизный завод</w:t>
            </w:r>
          </w:p>
        </w:tc>
        <w:tc>
          <w:tcPr>
            <w:tcW w:w="3235" w:type="dxa"/>
            <w:tcBorders>
              <w:top w:val="single" w:sz="6" w:space="0" w:color="auto"/>
              <w:left w:val="single" w:sz="6" w:space="0" w:color="auto"/>
              <w:bottom w:val="single" w:sz="6" w:space="0" w:color="auto"/>
              <w:right w:val="single" w:sz="6" w:space="0" w:color="auto"/>
            </w:tcBorders>
          </w:tcPr>
          <w:p w14:paraId="06F03DF3" w14:textId="77777777" w:rsidR="00AE7191" w:rsidRPr="00722885"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49854508" w14:textId="77777777" w:rsidR="00AE7191" w:rsidRPr="00722885" w:rsidRDefault="00AE7191" w:rsidP="00722885">
            <w:pPr>
              <w:pStyle w:val="Iauiue"/>
              <w:jc w:val="both"/>
              <w:rPr>
                <w:color w:val="000000" w:themeColor="text1"/>
                <w:sz w:val="16"/>
                <w:szCs w:val="16"/>
              </w:rPr>
            </w:pPr>
          </w:p>
        </w:tc>
      </w:tr>
      <w:tr w:rsidR="009B487A" w:rsidRPr="00722885" w14:paraId="64B22ED5"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B6113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Кислородный завод</w:t>
            </w:r>
          </w:p>
        </w:tc>
        <w:tc>
          <w:tcPr>
            <w:tcW w:w="3235" w:type="dxa"/>
            <w:tcBorders>
              <w:top w:val="single" w:sz="6" w:space="0" w:color="auto"/>
              <w:left w:val="single" w:sz="6" w:space="0" w:color="auto"/>
              <w:bottom w:val="single" w:sz="6" w:space="0" w:color="auto"/>
              <w:right w:val="single" w:sz="6" w:space="0" w:color="auto"/>
            </w:tcBorders>
          </w:tcPr>
          <w:p w14:paraId="764630B4" w14:textId="77777777" w:rsidR="00AE7191" w:rsidRPr="00722885"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7DC75F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Капитан Дворников</w:t>
            </w:r>
          </w:p>
        </w:tc>
      </w:tr>
      <w:tr w:rsidR="009B487A" w:rsidRPr="00722885" w14:paraId="14CC6A2F"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22BB7D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“Сакко и Ванцетти”</w:t>
            </w:r>
          </w:p>
        </w:tc>
        <w:tc>
          <w:tcPr>
            <w:tcW w:w="3235" w:type="dxa"/>
            <w:tcBorders>
              <w:top w:val="single" w:sz="6" w:space="0" w:color="auto"/>
              <w:left w:val="single" w:sz="6" w:space="0" w:color="auto"/>
              <w:bottom w:val="single" w:sz="6" w:space="0" w:color="auto"/>
              <w:right w:val="single" w:sz="6" w:space="0" w:color="auto"/>
            </w:tcBorders>
          </w:tcPr>
          <w:p w14:paraId="0DCEE0E1" w14:textId="77777777" w:rsidR="00AE7191" w:rsidRPr="00722885"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5495E0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044D3A02"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1125B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Нефтемашстрой и завод</w:t>
            </w:r>
            <w:r w:rsidRPr="00722885">
              <w:rPr>
                <w:color w:val="000000" w:themeColor="text1"/>
                <w:sz w:val="16"/>
                <w:szCs w:val="16"/>
              </w:rPr>
              <w:br/>
              <w:t>им. Петрова</w:t>
            </w:r>
          </w:p>
        </w:tc>
        <w:tc>
          <w:tcPr>
            <w:tcW w:w="3235" w:type="dxa"/>
            <w:tcBorders>
              <w:top w:val="single" w:sz="6" w:space="0" w:color="auto"/>
              <w:left w:val="single" w:sz="6" w:space="0" w:color="auto"/>
              <w:bottom w:val="single" w:sz="6" w:space="0" w:color="auto"/>
              <w:right w:val="single" w:sz="6" w:space="0" w:color="auto"/>
            </w:tcBorders>
          </w:tcPr>
          <w:p w14:paraId="384284DB" w14:textId="77777777" w:rsidR="00AE7191" w:rsidRPr="00722885"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AEF95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49147C42"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21B7087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“Красная застава”</w:t>
            </w:r>
          </w:p>
        </w:tc>
        <w:tc>
          <w:tcPr>
            <w:tcW w:w="3235" w:type="dxa"/>
            <w:tcBorders>
              <w:top w:val="single" w:sz="6" w:space="0" w:color="auto"/>
              <w:left w:val="single" w:sz="6" w:space="0" w:color="auto"/>
              <w:bottom w:val="single" w:sz="6" w:space="0" w:color="auto"/>
              <w:right w:val="single" w:sz="6" w:space="0" w:color="auto"/>
            </w:tcBorders>
          </w:tcPr>
          <w:p w14:paraId="05CC7761" w14:textId="77777777" w:rsidR="00AE7191" w:rsidRPr="00722885"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100C75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6C9CE7AA"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31EFB9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Цех боеприпасов Упр.</w:t>
            </w:r>
            <w:r w:rsidRPr="00722885">
              <w:rPr>
                <w:color w:val="000000" w:themeColor="text1"/>
                <w:sz w:val="16"/>
                <w:szCs w:val="16"/>
              </w:rPr>
              <w:br/>
              <w:t>Трамвайного треста</w:t>
            </w:r>
          </w:p>
        </w:tc>
        <w:tc>
          <w:tcPr>
            <w:tcW w:w="3235" w:type="dxa"/>
            <w:tcBorders>
              <w:top w:val="single" w:sz="6" w:space="0" w:color="auto"/>
              <w:left w:val="single" w:sz="6" w:space="0" w:color="auto"/>
              <w:bottom w:val="single" w:sz="6" w:space="0" w:color="auto"/>
              <w:right w:val="single" w:sz="6" w:space="0" w:color="auto"/>
            </w:tcBorders>
          </w:tcPr>
          <w:p w14:paraId="54A0054F" w14:textId="77777777" w:rsidR="00AE7191" w:rsidRPr="00722885"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19F87B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2A11AF8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A7065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Водопровод</w:t>
            </w:r>
          </w:p>
        </w:tc>
        <w:tc>
          <w:tcPr>
            <w:tcW w:w="3235" w:type="dxa"/>
            <w:tcBorders>
              <w:top w:val="single" w:sz="6" w:space="0" w:color="auto"/>
              <w:left w:val="single" w:sz="6" w:space="0" w:color="auto"/>
              <w:bottom w:val="single" w:sz="6" w:space="0" w:color="auto"/>
              <w:right w:val="single" w:sz="6" w:space="0" w:color="auto"/>
            </w:tcBorders>
          </w:tcPr>
          <w:p w14:paraId="24EF4257" w14:textId="77777777" w:rsidR="00AE7191" w:rsidRPr="00722885"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09D0CB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12C32D48"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38711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Мельзаводы № 4 и № 9</w:t>
            </w:r>
          </w:p>
        </w:tc>
        <w:tc>
          <w:tcPr>
            <w:tcW w:w="3235" w:type="dxa"/>
            <w:tcBorders>
              <w:top w:val="single" w:sz="6" w:space="0" w:color="auto"/>
              <w:left w:val="single" w:sz="6" w:space="0" w:color="auto"/>
              <w:bottom w:val="single" w:sz="6" w:space="0" w:color="auto"/>
              <w:right w:val="single" w:sz="6" w:space="0" w:color="auto"/>
            </w:tcBorders>
          </w:tcPr>
          <w:p w14:paraId="6FC87D8D" w14:textId="77777777" w:rsidR="00AE7191" w:rsidRPr="00722885"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798588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71A55E0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4ACE2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Хлебозаводы</w:t>
            </w:r>
          </w:p>
        </w:tc>
        <w:tc>
          <w:tcPr>
            <w:tcW w:w="3235" w:type="dxa"/>
            <w:tcBorders>
              <w:top w:val="single" w:sz="6" w:space="0" w:color="auto"/>
              <w:left w:val="single" w:sz="6" w:space="0" w:color="auto"/>
              <w:bottom w:val="single" w:sz="6" w:space="0" w:color="auto"/>
              <w:right w:val="single" w:sz="6" w:space="0" w:color="auto"/>
            </w:tcBorders>
          </w:tcPr>
          <w:p w14:paraId="578A4150" w14:textId="77777777" w:rsidR="00AE7191" w:rsidRPr="00722885"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DF882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39ADD7D9"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7014AF7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Мясокомбинат</w:t>
            </w:r>
          </w:p>
        </w:tc>
        <w:tc>
          <w:tcPr>
            <w:tcW w:w="3235" w:type="dxa"/>
            <w:tcBorders>
              <w:top w:val="single" w:sz="6" w:space="0" w:color="auto"/>
              <w:left w:val="single" w:sz="6" w:space="0" w:color="auto"/>
              <w:bottom w:val="single" w:sz="6" w:space="0" w:color="auto"/>
              <w:right w:val="single" w:sz="6" w:space="0" w:color="auto"/>
            </w:tcBorders>
          </w:tcPr>
          <w:p w14:paraId="649C7DB6" w14:textId="77777777" w:rsidR="00AE7191" w:rsidRPr="00722885"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28F97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r w:rsidR="009B487A" w:rsidRPr="00722885" w14:paraId="1D09D9DC"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D3E61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Холодильник</w:t>
            </w:r>
          </w:p>
        </w:tc>
        <w:tc>
          <w:tcPr>
            <w:tcW w:w="3235" w:type="dxa"/>
            <w:tcBorders>
              <w:top w:val="single" w:sz="6" w:space="0" w:color="auto"/>
              <w:left w:val="single" w:sz="6" w:space="0" w:color="auto"/>
              <w:bottom w:val="single" w:sz="6" w:space="0" w:color="auto"/>
              <w:right w:val="single" w:sz="6" w:space="0" w:color="auto"/>
            </w:tcBorders>
          </w:tcPr>
          <w:p w14:paraId="3D257751" w14:textId="77777777" w:rsidR="00AE7191" w:rsidRPr="00722885"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15F38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тоже</w:t>
            </w:r>
          </w:p>
        </w:tc>
      </w:tr>
    </w:tbl>
    <w:p w14:paraId="1DF795D4"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ЦДНИВО, фонд 171, опись 1, дело 14, лист 94. Подлинник. (9818)</w:t>
      </w:r>
    </w:p>
    <w:p w14:paraId="3E3BB5BD" w14:textId="77777777" w:rsidR="00AE7191" w:rsidRPr="00722885" w:rsidRDefault="00AE7191" w:rsidP="00722885">
      <w:pPr>
        <w:pStyle w:val="Iauiue"/>
        <w:jc w:val="both"/>
        <w:rPr>
          <w:iCs/>
          <w:color w:val="000000" w:themeColor="text1"/>
          <w:sz w:val="16"/>
          <w:szCs w:val="16"/>
        </w:rPr>
      </w:pPr>
    </w:p>
    <w:p w14:paraId="13B7F7B1"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19 августа 1942 года представитель ГАБТУ КА полков</w:t>
      </w:r>
      <w:r w:rsidRPr="00722885">
        <w:rPr>
          <w:rFonts w:ascii="Times New Roman" w:cs="Times New Roman"/>
          <w:color w:val="000000" w:themeColor="text1"/>
          <w:spacing w:val="0"/>
        </w:rPr>
        <w:softHyphen/>
        <w:t>ник С. Афонин докладывал об этом замести</w:t>
      </w:r>
      <w:r w:rsidRPr="00722885">
        <w:rPr>
          <w:rFonts w:ascii="Times New Roman" w:cs="Times New Roman"/>
          <w:color w:val="000000" w:themeColor="text1"/>
          <w:spacing w:val="0"/>
        </w:rPr>
        <w:softHyphen/>
        <w:t>телю председателя ГКО В. Малышеву:</w:t>
      </w:r>
    </w:p>
    <w:p w14:paraId="13A60796"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«Кировский завод, изменив конструкцию башни танка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стал перед фактом, что ог</w:t>
      </w:r>
      <w:r w:rsidRPr="00722885">
        <w:rPr>
          <w:rFonts w:ascii="Times New Roman" w:cs="Times New Roman"/>
          <w:color w:val="000000" w:themeColor="text1"/>
          <w:spacing w:val="0"/>
        </w:rPr>
        <w:softHyphen/>
        <w:t>немет АТО-41 в новую башню не помеща</w:t>
      </w:r>
      <w:r w:rsidRPr="00722885">
        <w:rPr>
          <w:rFonts w:ascii="Times New Roman" w:cs="Times New Roman"/>
          <w:color w:val="000000" w:themeColor="text1"/>
          <w:spacing w:val="0"/>
        </w:rPr>
        <w:softHyphen/>
        <w:t>ется. Завод решил огнеметные танки делать со старой башней, а это ведет к тому, что вес танка не укладывается в 42500 кг.</w:t>
      </w:r>
    </w:p>
    <w:p w14:paraId="637DC781"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данном случае я должен приостановить приемку танков КВ-8 впредь до решения это</w:t>
      </w:r>
      <w:r w:rsidRPr="00722885">
        <w:rPr>
          <w:rFonts w:ascii="Times New Roman" w:cs="Times New Roman"/>
          <w:color w:val="000000" w:themeColor="text1"/>
          <w:spacing w:val="0"/>
        </w:rPr>
        <w:softHyphen/>
        <w:t>го вопроса в Правительстве» (15226).</w:t>
      </w:r>
    </w:p>
    <w:p w14:paraId="6B5B7AAD"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p>
    <w:p w14:paraId="2F7E1E6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августа 1942 вышло Постановление ГКО № 2191 Об окончании строительства Новосибирского завода тяжелых станков и восстановлении производства крупных гидропрессов Наркомата станкостроения. РГАНИР, Фонд ГКО, д. 52, лл. 119-128, 129-141 (11012).</w:t>
      </w:r>
    </w:p>
    <w:p w14:paraId="14605FD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04A2E9F"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19 августа 1942 года вышел приказ № 609/105с НКБ и Наркомата стройматериалов</w:t>
      </w:r>
    </w:p>
    <w:p w14:paraId="48EB705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распоряжением СНК № 15542 – рс от 17 августа 1942 года в систему НКБ передается завод Силикатного кирпича в г. Люберцы (5909, 53).</w:t>
      </w:r>
    </w:p>
    <w:p w14:paraId="0B4186A3" w14:textId="77777777" w:rsidR="00AE7191" w:rsidRPr="00722885" w:rsidRDefault="00AE7191" w:rsidP="00722885">
      <w:pPr>
        <w:pStyle w:val="Iauiue"/>
        <w:tabs>
          <w:tab w:val="left" w:pos="11199"/>
        </w:tabs>
        <w:jc w:val="both"/>
        <w:rPr>
          <w:color w:val="000000" w:themeColor="text1"/>
          <w:sz w:val="16"/>
          <w:szCs w:val="16"/>
        </w:rPr>
      </w:pPr>
    </w:p>
    <w:p w14:paraId="6BD6C433"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931C014" w14:textId="77777777" w:rsidR="00AE7191" w:rsidRPr="00722885" w:rsidRDefault="00AE7191" w:rsidP="00722885">
      <w:pPr>
        <w:pStyle w:val="Iauiue"/>
        <w:jc w:val="both"/>
        <w:rPr>
          <w:iCs/>
          <w:color w:val="000000" w:themeColor="text1"/>
          <w:sz w:val="16"/>
          <w:szCs w:val="16"/>
        </w:rPr>
      </w:pPr>
    </w:p>
    <w:p w14:paraId="74A29A4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августа в 1942 году утреннее сообщение Совинформбюро:</w:t>
      </w:r>
    </w:p>
    <w:p w14:paraId="1D06706A"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19 августа наши войска вели бои с противником в районах юго-восточнее Клетская, северо-восточнее Котельниково, а также в районах Пятигорск и Краснодар.</w:t>
      </w:r>
    </w:p>
    <w:p w14:paraId="1B13507A"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4F03141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Клетской наши войска продолжали вести упорные бои. Н-ская часть в течение дня отбила три атаки численно превосходящих сил противника. На поле боя немцы оставили 4 подбитых танка и более 300 трупов солдат и офицеров. Нашими бойцами захвачены несколько пулемётов, автоматы, винтовки и боеприпасы. На другом участке у населённого пункта наше подразделение уничтожило свыше 100 немецких автоматчиков.</w:t>
      </w:r>
    </w:p>
    <w:p w14:paraId="4427746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Командир подразделения лётчиков-истребителей старший лейтенант Козлов в воздушном бою сбил три немецких бомбардировщика. Тов. Козлов всего сбил уже 13 немецких самолётов и вместе с другими лётчиками 5 самолётов.</w:t>
      </w:r>
    </w:p>
    <w:p w14:paraId="38AA55E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разведывательные группы совершили ночной налёт на ближние тылы противника. Уничтожены 7 автомашин с военными грузами, прожекторная установка, 2 зенитных орудия и около 70 гитлеровцев, Н-ское подразделение, обороняющее населённый пункт, отбило атаку противника и уничтожило 150 немецких солдат и офицеров.</w:t>
      </w:r>
    </w:p>
    <w:p w14:paraId="79AE9D17"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Краснодара наши войска отбили несколько ожесточённых атак гитлеровцев. Разгромлен мотопехотный полк противника. Уничтожено много автомашини 7 немецких танков. На другом участке советская часть вела тяжелые бои спехотой и танками противника.</w:t>
      </w:r>
    </w:p>
    <w:p w14:paraId="3ACD6634"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Пятигорска наши войска вели бои с наступающим противником. Немцам удалось несколько потеснить наши войска. Внезапным налётом казаки нанесли гитлеровцам значительный урон, порубив до 300 немецких солдат и офицеров. Противник спешно подтягивает в этот район новые резервы.</w:t>
      </w:r>
    </w:p>
    <w:p w14:paraId="74D6B3A0"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происходила артиллерийская перестрелка. Артиллерийская батарея, которой командует старший лейтенант тов. Мокеев, отбила 8 атак противника, уничтожила немецкий танк, 3 миномётные и одну артиллерийскую батареи и разрушила переправу через реку. Огнём артиллеристов истреблено не менее 500 немцев.</w:t>
      </w:r>
    </w:p>
    <w:p w14:paraId="6BB6000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ефрейтор 96 немецкого артиллерийского полка Август П. заявил: «Мне хочется рассказать о нескольких фактах, свидетелем которых я был. Немецкие солдаты не просят и не берут, а отнимают у населения силой продукты и вещи. В селе Балаклея солдаты только одной батареи во главе собер-фельдфебелем Грюнбихлером отобрали у крестьян 59 голов рогатого скота. В одном колхозе солдаты ограбили всех жителей и избили многих крестьян до полусмерти за то, что они негостеприимно их встретили. 10 июня 1942 года врайоне Гракова в канаве мы нашли двух тяжело раненных красноармейцев. ЛейтенантКлейст приказал немедленно расстрелять их. На наших глазах обер-ефрейтор Фюрст прикончил их из пистолета. 28 июля я видел, как группа немецких солдат расстреляла 8 раненых и 6 здоровых русских военнопленных».</w:t>
      </w:r>
    </w:p>
    <w:p w14:paraId="402CE78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Ефрейтор 7 роты 63 полка 17 немецкой танковой дивизии Алоиз Майер писал унтер-офицеру Якобу Шнейдеру: «Тони нет уже среди нас. Его настигла партизанская пуля... Мы больше двух месяцев воюем с партизанами, но до сих пор не имели никакого успеха. Смерть подстерегает нас на каждом шагу. Мы пережили очень тяжёлые дни и расстались со многими товарищами. Моя рота много раз пополнялась и за год потеряла свыше 300 человек».</w:t>
      </w:r>
    </w:p>
    <w:p w14:paraId="15BB5381"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угнали из села Николаевки, Курской области, на принудительные работы в Германию больше 100 мужчин и женщин. Жену красноармейца Любимцеву Пелагею Ивановну бандиты расстреляли только за то, что она отказалась поехать из родного села и бросить на произвол судьбы свою малолетнюю дочь.</w:t>
      </w:r>
    </w:p>
    <w:p w14:paraId="4E7F4272"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Получены новые сведения о деятельности партизанского отряда известного норвежского патриота Ларсена. Группа партизан этого отряда ночью ворвалась в штаб немецкой части. Патриоты перебили 10 офицеров, захватили их оружие, документы и скрылись. Несколько дней спустя отряд Ларсена пустил под откос железнодорожный поезд с немецкими и финскими солдатами. Когда поезд сошёл с рельсов, партизаны из пулемёта обстреляли выбегавших из вагонов гитлеровцев. Во время этой операции уничтожено свыше 150 вражеских солдат и офицеров.» (14988).</w:t>
      </w:r>
    </w:p>
    <w:p w14:paraId="0324ED4E"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3AB06D4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августа в 1942 году вечернее сообщение Совинформбюро:</w:t>
      </w:r>
    </w:p>
    <w:p w14:paraId="1D5E0402"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19 августа наши войска вели бои в районах юго-восточнее Клетская, северо-восточнее Котельниково, а также в районе Пятигорск. После упорных боёв, в ходе которых противнику нанесены большие потери в людях и технике, наши войска оставили город Краснодар.</w:t>
      </w:r>
    </w:p>
    <w:p w14:paraId="3ACC93D3"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554FC9F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18 августа частями нашей авиации на различных участках фронта уничтожено или повреждено 25 немецких танков и бронемашин, свыше 150 автомашин с войсками и грузами, до 60 повозок, 8 автоцистерн с горючим, взорваны 6 складов боеприпасови склад горючего, подавлен огонь 12 батарей полевой и зенитной артиллерии, разбито два железнодорожных эшелона, рассеяно и частью уничтожено до двух батальонов пехоты противника.</w:t>
      </w:r>
    </w:p>
    <w:p w14:paraId="7104BB8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Клетской наши войска отбивали многочисленные атаки танков и пехоты противника. На участке Н-ского соединения немцы сосредоточили свыше сотни танков, действия которых непрерывно поддерживала авиация. В тяжёлых боях с врагом наши бойцы уничтожили 9 немецких танков, 11 орудий, 25 автомашин с войсками и истребили до 400 гитлеровцев. Кроме того, бойцы подразделения противотанковых ружей сожгли и вывели из строя 22 немецких танка.</w:t>
      </w:r>
    </w:p>
    <w:p w14:paraId="5D9C562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вели упорные бои против наступающих немецко-фашистских войск. Бойцы Н-ской части, отбивая атаку гитлеровцев, уничтожили 4 танка и свыше 200 солдат и офицеров противника. Около одной железнодорожной станции противнику силою до батальона удалось просочиться в тыл советским частям. Наши танкисты и автоматчики окружили и полностью истребили проникших в тыл гитлеровцев. Н-ское артиллерийское подразделение в течение дня уничтожило 2 немецких танка, 6 орудий и до 150 гитлеровцев.</w:t>
      </w:r>
    </w:p>
    <w:p w14:paraId="51A31F04"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наши войска вели оборонительные бои. На участке Н-ского подразделения уничтожено 7 немецких танков и до 250 гитлеровцев. Успешно действовала одна кавалерийская часть. Советские конники предприняли несколько контратак и истребили до 300 немецких солдат и офицеров.</w:t>
      </w:r>
    </w:p>
    <w:p w14:paraId="79E9C367"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Пятигорска огнём, нашей артиллерии уничтожено 2 немецких танка, 3 броневика и свыше 100 солдат и офицеров противника.</w:t>
      </w:r>
    </w:p>
    <w:p w14:paraId="17FA364A"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происходили бои местного значения. Активными действиями наших подразделений истреблено больше 200 немецких солдат и офицеров, уничтожено 3 орудия и 4 станковых пулемёта. Взяты пленные. Огнём артиллерии разрушено 8 немецких ДЗОТов, 9 блиндажей и землянок и несколько огневых точек. Сержанты Демьяненко и Поляков и красноармейцы тт. Матвеев, Рыбаков и Ладыгин форсировали реку и ворвались в немецкую траншею. Уничтожив нескольких солдат и офицеров, бойцы захватили пленных и благополучно вернулись в своё подразделение.</w:t>
      </w:r>
    </w:p>
    <w:p w14:paraId="75016FB3"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Волховского фронта противник пытался переправиться через реку. Огнём нашей артиллерии немцы были отброшены с большими для них потерями. Зенитной артиллерией сбит немецкий самолёт «Хеншель-126». Экипаж самолёта взят в плен.</w:t>
      </w:r>
    </w:p>
    <w:p w14:paraId="5327166B"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из отряда тов. Л., действующего в одном из районов Калининской области, убили двух немецких солдат, охранявших железнодорожный участок. Гитлеровцы устроили похороны убитых. Партизаны обстреляли похоронную процессию и истребили ещё 18 немецко-фашистских оккупантов.</w:t>
      </w:r>
    </w:p>
    <w:p w14:paraId="1D93F265"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Немецкий ефрейтор Мартин Покле писал недавно солдату Вальтеру Веберу: «Придём ли мы когда-нибудь к нашей цели? Мне кажется, что мы всё больше от неё отдаляемся. Это приводит меня в отчаяние. Иногда просто трудно поверить, до чего упорны и настойчивы эти русские. Они организовали настоящую войну позади фронта, в нашем тылу. Благодаря огромным лесам и помощи населения партизаны имеют большие преимущества».</w:t>
      </w:r>
    </w:p>
    <w:p w14:paraId="4FC6D944"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Немецко-венгерский отряд учинил кровавую расправу над мирными жителями деревни Подгородняя Слободка, Орловской области. Немецкие и венгерские палачи закололи штыками и расстреляли 25 женщин, детей и стариков. Среди расстрелянных 87-летняя Дукачёва Екатерина, 70-летняя Репина Марфа Евтеевна, 67-летний Репин Федот и другие. Фашистские изверги убили колхозницу Хроменкову Пелагею Фёдоровну 36 лет, её дочь Наташу 9 лет, сыновей — Валю 11 лет, Колю 7 лет и Ваню 2 лет.</w:t>
      </w:r>
    </w:p>
    <w:p w14:paraId="1A89F7F9"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окрестностях города Пардубице (Чехословакия) чешские патриоты истребили 18 эсэсовцев, которые производили в деревнях обыски.» (14988).</w:t>
      </w:r>
    </w:p>
    <w:p w14:paraId="39FABF02"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637E885D"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августа в 1942 году началась героическая оборона Новороссийска. Противник выделил для захвата города 5 дивизий. Войска Новороссийского оборонительного района (НОР), созданного 17 августа (генерал-майор А.А.Гречко), уступали противнику в численности: по людям - в 4 раза, по орудиям и минометам - в 7 раз, по танкам и самолетам - в 2 раза. 19 августа немецко-фашистские войска начали наступление из района Краснодара на станицу Крымскую и на следующий день подошли к передовому рубежу НОР. Несмотря на превосходство противника в силах и средствах, войска 47-й армии (генерал-майор Г.П.Котов, с 8 сентября генерал-майор А.А.Гречко) и части морской пехоты, отразив атаки, не дали ему прорваться к городу и 25 августа остановили его наступление. Усилив наступающую группировку, противник к 10 сентября занял западную часть города. В ожесточенных боях советские войска 11 сентября остановили врага в юго-восточной части города. Несмотря на все усилия, врагу не удавалось прорваться в Закавказье по Черноморскому побережью. Указом Президиума Верховного Совета СССР от 14 сентября 1973 г. Новороссийску было присвоено почетное звание «Город-герой» и вручен орден Ленина и медаль «Золотая Звезда» (14988).</w:t>
      </w:r>
    </w:p>
    <w:p w14:paraId="0842536C"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7386FE78"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августа в 1942 году началась Синявинская наступательная операция войск Ленинградского (генерал-лейтенант артиллерии Л.А.Говоров) и Волховского (генерал армии К.А.Мерецков) фронтов при содействии сил Балтийского флота и Ладожской военной флотилии. Невская оперативная группа перешла в наступление на Синявино, 55-я армия — на Тосно (14988).</w:t>
      </w:r>
    </w:p>
    <w:p w14:paraId="1CDD3031"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14FE7548" w14:textId="77777777" w:rsidR="004A33F1" w:rsidRPr="00722885" w:rsidRDefault="004A33F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19 августа 1942 началась неудачная попытка разорвать блокаду Ленинграда в Синявино при поддержке ВВС -  советской 14 воздушной армии. Хотя 14-я воздушная армия имеет численное превосходство над противостоящими силами Люфтваффе два к одному, немцы сохраняют превосходство в воздухе в этом районе до тех пор, пока наступление не закончится 10 октября (20793).</w:t>
      </w:r>
    </w:p>
    <w:p w14:paraId="00E60801" w14:textId="77777777" w:rsidR="004A33F1" w:rsidRPr="00722885" w:rsidRDefault="004A33F1" w:rsidP="00722885">
      <w:pPr>
        <w:spacing w:after="0" w:line="240" w:lineRule="auto"/>
        <w:jc w:val="both"/>
        <w:rPr>
          <w:rFonts w:ascii="Times New Roman" w:hAnsi="Times New Roman"/>
          <w:color w:val="0070C0"/>
          <w:sz w:val="16"/>
          <w:szCs w:val="16"/>
        </w:rPr>
      </w:pPr>
    </w:p>
    <w:p w14:paraId="13CDAE5C" w14:textId="77777777" w:rsidR="004A33F1" w:rsidRPr="00722885" w:rsidRDefault="004A33F1"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В специальной директиве командующего ВВС РККА от 19.08.42 г. на имя генерала Т.Т. Хрюкина требовалось: «Все усилия авиации - штурмовой, истребительной и бомбардировочной направить на выполнение задачи - не допустить переправы противника через реку Дон на участке Задоно-Авиловский, Перепольный» (ЦАМО РФ, ф. 327, оп. 4999, д. 38, л. 92) (20186).</w:t>
      </w:r>
    </w:p>
    <w:p w14:paraId="54A6C867" w14:textId="77777777" w:rsidR="004A33F1" w:rsidRPr="00722885" w:rsidRDefault="004A33F1" w:rsidP="00722885">
      <w:pPr>
        <w:shd w:val="clear" w:color="auto" w:fill="FFFFFF"/>
        <w:spacing w:after="0" w:line="240" w:lineRule="auto"/>
        <w:jc w:val="both"/>
        <w:rPr>
          <w:rFonts w:ascii="Times New Roman" w:hAnsi="Times New Roman"/>
          <w:color w:val="0070C0"/>
          <w:sz w:val="16"/>
          <w:szCs w:val="16"/>
        </w:rPr>
      </w:pPr>
    </w:p>
    <w:p w14:paraId="6C8E7F2C"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августа в 1942 году немецкие войска возобновили наступление на сталинградском направлении, стремясь овладеть городом одновременными ударами с запада и юго-запада (14988).</w:t>
      </w:r>
    </w:p>
    <w:p w14:paraId="31B19DBE"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05FD4517"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августа в 1942 году ударная группировка противника (5-й немецкая армия и 7-й румынский кавалерийский корпус 17-й армии группы армий "А") перешла в наступление, нанося главный удар на Новороссийск и Анапу, вспомогательный — на Темрюк и Таманский полуостров (14988).</w:t>
      </w:r>
    </w:p>
    <w:p w14:paraId="60502645"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7DD917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19 августа 1942 в специальной директиве командую</w:t>
      </w:r>
      <w:r w:rsidRPr="00722885">
        <w:rPr>
          <w:color w:val="000000" w:themeColor="text1"/>
          <w:sz w:val="16"/>
          <w:szCs w:val="16"/>
        </w:rPr>
        <w:softHyphen/>
        <w:t>щего ВВС КА на имя гене</w:t>
      </w:r>
      <w:r w:rsidRPr="00722885">
        <w:rPr>
          <w:color w:val="000000" w:themeColor="text1"/>
          <w:sz w:val="16"/>
          <w:szCs w:val="16"/>
        </w:rPr>
        <w:softHyphen/>
        <w:t xml:space="preserve">рала Т.Т.Хрюкина требовалось: </w:t>
      </w:r>
      <w:r w:rsidRPr="00722885">
        <w:rPr>
          <w:iCs/>
          <w:color w:val="000000" w:themeColor="text1"/>
          <w:sz w:val="16"/>
          <w:szCs w:val="16"/>
        </w:rPr>
        <w:t>"Все уси</w:t>
      </w:r>
      <w:r w:rsidRPr="00722885">
        <w:rPr>
          <w:iCs/>
          <w:color w:val="000000" w:themeColor="text1"/>
          <w:sz w:val="16"/>
          <w:szCs w:val="16"/>
        </w:rPr>
        <w:softHyphen/>
        <w:t>лия авиации - штурмовой, истребитель</w:t>
      </w:r>
      <w:r w:rsidRPr="00722885">
        <w:rPr>
          <w:iCs/>
          <w:color w:val="000000" w:themeColor="text1"/>
          <w:sz w:val="16"/>
          <w:szCs w:val="16"/>
        </w:rPr>
        <w:softHyphen/>
        <w:t>ной и бомбардировочной направить на выполнение задачи - не допустить пе</w:t>
      </w:r>
      <w:r w:rsidRPr="00722885">
        <w:rPr>
          <w:iCs/>
          <w:color w:val="000000" w:themeColor="text1"/>
          <w:sz w:val="16"/>
          <w:szCs w:val="16"/>
        </w:rPr>
        <w:softHyphen/>
        <w:t>реправы противника через реку Дон на участке Задоно-Авиловский, Переполь</w:t>
      </w:r>
      <w:r w:rsidRPr="00722885">
        <w:rPr>
          <w:iCs/>
          <w:color w:val="000000" w:themeColor="text1"/>
          <w:sz w:val="16"/>
          <w:szCs w:val="16"/>
        </w:rPr>
        <w:softHyphen/>
        <w:t xml:space="preserve">ный" </w:t>
      </w:r>
      <w:r w:rsidRPr="00722885">
        <w:rPr>
          <w:color w:val="000000" w:themeColor="text1"/>
          <w:sz w:val="16"/>
          <w:szCs w:val="16"/>
        </w:rPr>
        <w:t>(6467).</w:t>
      </w:r>
    </w:p>
    <w:p w14:paraId="0C6C7147" w14:textId="77777777" w:rsidR="00AE7191" w:rsidRPr="00722885" w:rsidRDefault="00AE7191" w:rsidP="00722885">
      <w:pPr>
        <w:pStyle w:val="Iauiue"/>
        <w:jc w:val="both"/>
        <w:rPr>
          <w:color w:val="000000" w:themeColor="text1"/>
          <w:sz w:val="16"/>
          <w:szCs w:val="16"/>
        </w:rPr>
      </w:pPr>
    </w:p>
    <w:p w14:paraId="374278F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19 августа 1942 г Паулюс отдал приказ по 6 армии о наступлении на Сталинград и его захвате (2261).</w:t>
      </w:r>
    </w:p>
    <w:p w14:paraId="0C26D90C" w14:textId="77777777" w:rsidR="00AE7191" w:rsidRPr="00722885" w:rsidRDefault="00AE7191" w:rsidP="00722885">
      <w:pPr>
        <w:pStyle w:val="Iauiue"/>
        <w:jc w:val="both"/>
        <w:rPr>
          <w:color w:val="000000" w:themeColor="text1"/>
          <w:sz w:val="16"/>
          <w:szCs w:val="16"/>
        </w:rPr>
      </w:pPr>
    </w:p>
    <w:p w14:paraId="496161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C 19 августа по 26 сентября 1942 состоялась Новороссийская операция - совместная операция войск СКФ, ЗКФ и ЧФ - часть Битвы за Кавказ. Здесь и остановили (2438,457).</w:t>
      </w:r>
    </w:p>
    <w:p w14:paraId="37F490EA" w14:textId="77777777" w:rsidR="00AE7191" w:rsidRPr="00722885" w:rsidRDefault="00AE7191" w:rsidP="00722885">
      <w:pPr>
        <w:pStyle w:val="Iauiue"/>
        <w:jc w:val="both"/>
        <w:rPr>
          <w:color w:val="000000" w:themeColor="text1"/>
          <w:sz w:val="16"/>
          <w:szCs w:val="16"/>
        </w:rPr>
      </w:pPr>
    </w:p>
    <w:p w14:paraId="3C681F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19 августа 1942 началась оборона Новороссийска СКФ, ЧМФ и АВФ. Новороссийский оборонительный район, созданный 17 августа, обороняли войска, уступавшие 2П и 3КД немцев по численности - в 4 раза, танкам и самолетам - 2 раза, орудиям и минометам - 7 раз. Остановили наступление 25 августа, однако 10 сентября немцы заняли западную часть города. далее 47А (А.А.Гречко) не пустила (3398,295).</w:t>
      </w:r>
    </w:p>
    <w:p w14:paraId="019B9711" w14:textId="77777777" w:rsidR="00AE7191" w:rsidRPr="00722885" w:rsidRDefault="00AE7191" w:rsidP="00722885">
      <w:pPr>
        <w:pStyle w:val="Iauiue"/>
        <w:jc w:val="both"/>
        <w:rPr>
          <w:color w:val="000000" w:themeColor="text1"/>
          <w:sz w:val="16"/>
          <w:szCs w:val="16"/>
        </w:rPr>
      </w:pPr>
    </w:p>
    <w:p w14:paraId="48FF0D9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19 августа по 26 сентября 1942 была оборона Новороссийска. </w:t>
      </w:r>
    </w:p>
    <w:p w14:paraId="7BBA20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Войска Красной Армии, срывая планы немецко-фашистского командования прорваться в Закавказье и овладеть нефтеносными районами, в жестоких оборонительных боях остановили противника на новороссийском направлении. Новороссийская оборонительная операция, в которой участвовали войска Северо-Кавказского фронта, силы ЧФ и АВФ, явилась частью битвы за Кавказ. </w:t>
      </w:r>
    </w:p>
    <w:p w14:paraId="2E8AD77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Для объединения усилий сухопутных войск, авиации и флота в целях обороны Новороссийска и Тамани Ставкой ВГК 17.8 был создан Новороссийский оборонительный район (НОР). В его состав вошли войска 47-й армии (командующий генерал-майор Г. П. Котов, с 8.9 генерал-майор А. А. Гречко — командующий НОР), корабли и части АВФ (командующий контр-адмирал С. Г. Горшков — заместитель командующего НОР по морской части), силы Темрюкской, Керченской и Новороссийской ВМБ, сводная авиагруппа ЧФ, [315] а также 216-я стрелковая дивизия 56-й армии. В задачу НОР входило не допустить прорыва противника в Новороссийск ни с суши, ни с моря. Границы НОР: Анапа — станицы Крымская (Крымск), Абинская (Абинск) — Шапсугская — Фальшивый Геленджик. В его составе было около 15 тыс. человек. </w:t>
      </w:r>
    </w:p>
    <w:p w14:paraId="1F7981C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 началу наступления немецко-фашистских войск строительство оборонительных рубежей еще не было закончено, оно продолжалось во время боевых действий. Передовой рубеж проходил по левому берегу р. Кубань в 40–60 км от города, основной рубеж — в 25– 35 км и упирался флангами в море у Анапы и м. Дооб. Тыловой рубеж был в 10–24 км от города, рубеж прикрытия проходил по окраинам. </w:t>
      </w:r>
    </w:p>
    <w:p w14:paraId="137529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Противник выделил для захвата Новороссийска 2 пехотные и 3 кавалерийские дивизии. Войска НОР уступали противнику в численности: по людям — в 4 раза, по орудиям и минометам — в 7, по танкам и самолетам — в 2 раза. </w:t>
      </w:r>
    </w:p>
    <w:p w14:paraId="10B6BAE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19.8 немецко-фашистские войска начали наступление из района Краснодара на Крымскую и на следующий день подошли к передовому рубежу НОР. Несмотря на превосходство противника в силах и средствах, войска 47-й армии и части морской пехоты, отразив атаки, не дали ему прорваться к городу и 25.8 приостановили его наступление. </w:t>
      </w:r>
    </w:p>
    <w:p w14:paraId="4D2D6F2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Перебросив часть сил с туапсинского направления, противник возобновил наступление на левом фланге, 31.8 наши войска были вынуждены оставить Анапу. Отрезанные от основных сил части морской пехоты оказывали героическое сопротивление в районах Темрюка, Варениковской, Красного Октября. Усилив наступающую группировку, противник занял часть Новороссийска. В ночь на 10.9 основные силы НОР отошли на восточную окраину города. Новороссийская ВМБ была переведена в Геленджик. В ожесточенных боях наши войска 11.9 остановили врага в юго-восточной части города, в районе цементных заводов и на рубеже гора Долгая, Адамовича Балка. Бои продолжались до 26.9, затем враг вынужден был перейти к обороне. </w:t>
      </w:r>
    </w:p>
    <w:p w14:paraId="630D5A2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 отражении наступления противника отличились 83-я отдельная морская стрелковая бригада, 1-я (с 18.9 255-я) бригада и батальоны морской пехоты. Большую огневую поддержку войскам НОР оказывали [316] корабли, береговая артиллерия и авиагруппа ЧФ. С 19.8 по 11.9 береговой артиллерией было произведено более 280 стрельб. В боях принимала активное участие и зенитная артиллерия. Авиагруппа НОР (112 самолетов) систематически наносила бомбоштурмовые удары по противнику, его кораблям и плавсредствам, отражала многочисленные налеты авиации на Новороссийск. Корабли и авиация ЧФ обеспечивали перевозки личного состава и воинских грузов к линии фронта. Действия кораблей и береговой артиллерии ЧФ с восточного побережья Цемесской бухты лишили противника возможности использовать Новороссийский порт для базирования кораблей и транспортов. </w:t>
      </w:r>
    </w:p>
    <w:p w14:paraId="1249164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период операции было выведено из строя 14 тыс. солдат и офицеров противника, уничтожено 47 танков, 25 самолетов, 95 орудий и минометов, 320 автомашин и др. В результате героических действий Красной Армии и ВМФ наступление немецко-фашистских войск в районе Новороссийска было остановлено. Несмотря на все усилия, врагу не удалось прорваться в Закавказье по Черноморскому побережью (11712).</w:t>
      </w:r>
    </w:p>
    <w:p w14:paraId="18E7DEB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25896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C 19 августа по 10 октября 1942 была Синявинская операция с целью прорыва блокады Ленинграда. Не смогли, но сорвали немецкое наступление (2443,124).</w:t>
      </w:r>
    </w:p>
    <w:p w14:paraId="6B8C1205" w14:textId="77777777" w:rsidR="00AE7191" w:rsidRPr="00722885" w:rsidRDefault="00AE7191" w:rsidP="00722885">
      <w:pPr>
        <w:pStyle w:val="Iauiue"/>
        <w:jc w:val="both"/>
        <w:rPr>
          <w:color w:val="000000" w:themeColor="text1"/>
          <w:sz w:val="16"/>
          <w:szCs w:val="16"/>
        </w:rPr>
      </w:pPr>
    </w:p>
    <w:p w14:paraId="779C2D2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19 августа по 14 сентября 1942 АДД по решению Ставки наносила удары по столицам Германии (27 и 30 августа и 10 сентября), Венгрии (5 и 10 сентября) и Румынии (14 сентября). Бомбили и Данциг, Варшаву, Кенигсберг, Штецин, Тильзит, Плоешти и др. (340,94).</w:t>
      </w:r>
    </w:p>
    <w:p w14:paraId="3D7DC56E" w14:textId="77777777" w:rsidR="00AE7191" w:rsidRPr="00722885" w:rsidRDefault="00AE7191" w:rsidP="00722885">
      <w:pPr>
        <w:pStyle w:val="Iauiue"/>
        <w:jc w:val="both"/>
        <w:rPr>
          <w:color w:val="000000" w:themeColor="text1"/>
          <w:sz w:val="16"/>
          <w:szCs w:val="16"/>
        </w:rPr>
      </w:pPr>
    </w:p>
    <w:p w14:paraId="1D0BDB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19 августа 1942 Летчик Б.И.Кавзан совершил свой четвертый таран (274).</w:t>
      </w:r>
    </w:p>
    <w:p w14:paraId="6AF8AB48" w14:textId="77777777" w:rsidR="00AE7191" w:rsidRPr="00722885" w:rsidRDefault="00AE7191" w:rsidP="00722885">
      <w:pPr>
        <w:pStyle w:val="Iauiue"/>
        <w:jc w:val="both"/>
        <w:rPr>
          <w:color w:val="000000" w:themeColor="text1"/>
          <w:sz w:val="16"/>
          <w:szCs w:val="16"/>
        </w:rPr>
      </w:pPr>
    </w:p>
    <w:p w14:paraId="60CFE5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19 августа 1942 НКВМФ Н.Г.Кузнецов выпустил директиву N 518/НШ об использовании авиации ЧФ для прикрытия коммуникаций (2120).</w:t>
      </w:r>
    </w:p>
    <w:p w14:paraId="229187AC" w14:textId="77777777" w:rsidR="00AE7191" w:rsidRPr="00722885" w:rsidRDefault="00AE7191" w:rsidP="00722885">
      <w:pPr>
        <w:pStyle w:val="Iauiue"/>
        <w:jc w:val="both"/>
        <w:rPr>
          <w:color w:val="000000" w:themeColor="text1"/>
          <w:sz w:val="16"/>
          <w:szCs w:val="16"/>
        </w:rPr>
      </w:pPr>
    </w:p>
    <w:p w14:paraId="440E945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E5CE886" w14:textId="77777777" w:rsidR="00AE7191" w:rsidRPr="00722885" w:rsidRDefault="00AE7191" w:rsidP="00722885">
      <w:pPr>
        <w:pStyle w:val="Iauiue"/>
        <w:jc w:val="both"/>
        <w:rPr>
          <w:iCs/>
          <w:color w:val="000000" w:themeColor="text1"/>
          <w:sz w:val="16"/>
          <w:szCs w:val="16"/>
        </w:rPr>
      </w:pPr>
    </w:p>
    <w:p w14:paraId="4D515B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19 августа 1942 года было получено:</w:t>
      </w:r>
    </w:p>
    <w:p w14:paraId="45343E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Ф. РУЗВЕЛЬТ И. В. СТАЛИНУ *</w:t>
      </w:r>
    </w:p>
    <w:p w14:paraId="00400B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 весьма сожалею, что я не смог принять участие с Вами и г-ном Черчиллем в совещаниях, которые недавно происходили в Москве. Неотложные нужды военного положения, в особенности поскольку речь идет о советско-германском фронте, хорошо мне известны.</w:t>
      </w:r>
    </w:p>
    <w:p w14:paraId="34161C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Я считаю, что японцам будет трудно вытеснить нас с удобного пункта, который мы захватили в юго-западном районе Тихого океана. Хотя потери наших военно-морских сил в этом районе были значительными, успех, которого мы добились, оправдает их, и я могу заверить Вас, что мы будем развивать его энергичным образом. С другой стороны, я хорошо понимаю, что настоящим врагом обеих наших стран является Германия и что, возможно, в самом скором времени нашим обеим странам будет необходимо применить против Гитлера нашу мощь и силу. Вы можете быть уверены, что, как только в человеческих силах окажется возможным собрать транспортные средства, это будет сделано.</w:t>
      </w:r>
    </w:p>
    <w:p w14:paraId="4F4A64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Тем временем в течение августа из Соединенных Штатов в Советский Союз будет отправлено свыше тысячи танков, и в то же самое время отправляются другие стратегические материалы, включая самолеты.</w:t>
      </w:r>
    </w:p>
    <w:p w14:paraId="73F835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Соединенные Штаты хорошо понимают тот факт, что Советский Союз несет основную тяжесть борьбы и самые большие потери на протяжении 1942 года, и я могу сообщить, что мы весьма восхищены великолепным сопротивлением, которое продемонстрировала Ваша страна. Мы придем к Вам на помощь по возможности скорее и по возможности большими силами, как только сможем это сделать, и я надеюсь, что Вы верите мне, когда я сообщаю Вам об этом (7430).</w:t>
      </w:r>
    </w:p>
    <w:p w14:paraId="143A64AD" w14:textId="77777777" w:rsidR="00AE7191" w:rsidRPr="00722885" w:rsidRDefault="00AE7191" w:rsidP="00722885">
      <w:pPr>
        <w:pStyle w:val="Iauiue"/>
        <w:jc w:val="both"/>
        <w:rPr>
          <w:color w:val="000000" w:themeColor="text1"/>
          <w:sz w:val="16"/>
          <w:szCs w:val="16"/>
        </w:rPr>
      </w:pPr>
    </w:p>
    <w:p w14:paraId="1F34F9B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E5CDC83" w14:textId="77777777" w:rsidR="00AE7191" w:rsidRPr="00722885" w:rsidRDefault="00AE7191" w:rsidP="00722885">
      <w:pPr>
        <w:pStyle w:val="Iauiue"/>
        <w:jc w:val="both"/>
        <w:rPr>
          <w:iCs/>
          <w:color w:val="000000" w:themeColor="text1"/>
          <w:sz w:val="16"/>
          <w:szCs w:val="16"/>
        </w:rPr>
      </w:pPr>
    </w:p>
    <w:p w14:paraId="5B84712B" w14:textId="77777777" w:rsidR="00AE7191" w:rsidRPr="00722885" w:rsidRDefault="00AE7191" w:rsidP="00722885">
      <w:pPr>
        <w:pStyle w:val="Iauiue"/>
        <w:tabs>
          <w:tab w:val="left" w:pos="11199"/>
        </w:tabs>
        <w:jc w:val="both"/>
        <w:rPr>
          <w:color w:val="000000" w:themeColor="text1"/>
          <w:sz w:val="16"/>
          <w:szCs w:val="16"/>
          <w:lang w:val="en-US"/>
        </w:rPr>
      </w:pPr>
      <w:r w:rsidRPr="00722885">
        <w:rPr>
          <w:color w:val="000000" w:themeColor="text1"/>
          <w:sz w:val="16"/>
          <w:szCs w:val="16"/>
        </w:rPr>
        <w:t>19 августа 1942 5-тысячный отряд канадцев попытался высадиться в Дьеппе (Франция), но был уничтожен фашистами, после чего идея открытия “второго фронта” была отложена (4962). Однако</w:t>
      </w:r>
      <w:r w:rsidRPr="00722885">
        <w:rPr>
          <w:color w:val="000000" w:themeColor="text1"/>
          <w:sz w:val="16"/>
          <w:szCs w:val="16"/>
          <w:lang w:val="en-US"/>
        </w:rPr>
        <w:t xml:space="preserve">, </w:t>
      </w:r>
      <w:r w:rsidRPr="00722885">
        <w:rPr>
          <w:color w:val="000000" w:themeColor="text1"/>
          <w:sz w:val="16"/>
          <w:szCs w:val="16"/>
        </w:rPr>
        <w:t>взорвали</w:t>
      </w:r>
      <w:r w:rsidRPr="00722885">
        <w:rPr>
          <w:color w:val="000000" w:themeColor="text1"/>
          <w:sz w:val="16"/>
          <w:szCs w:val="16"/>
          <w:lang w:val="en-US"/>
        </w:rPr>
        <w:t xml:space="preserve"> 356 </w:t>
      </w:r>
      <w:r w:rsidRPr="00722885">
        <w:rPr>
          <w:color w:val="000000" w:themeColor="text1"/>
          <w:sz w:val="16"/>
          <w:szCs w:val="16"/>
        </w:rPr>
        <w:t>ммпушки</w:t>
      </w:r>
      <w:r w:rsidRPr="00722885">
        <w:rPr>
          <w:color w:val="000000" w:themeColor="text1"/>
          <w:sz w:val="16"/>
          <w:szCs w:val="16"/>
          <w:lang w:val="en-US"/>
        </w:rPr>
        <w:t xml:space="preserve">, </w:t>
      </w:r>
      <w:r w:rsidRPr="00722885">
        <w:rPr>
          <w:color w:val="000000" w:themeColor="text1"/>
          <w:sz w:val="16"/>
          <w:szCs w:val="16"/>
        </w:rPr>
        <w:t>предназначенныедляобстрелаАнглии</w:t>
      </w:r>
      <w:r w:rsidRPr="00722885">
        <w:rPr>
          <w:color w:val="000000" w:themeColor="text1"/>
          <w:sz w:val="16"/>
          <w:szCs w:val="16"/>
          <w:lang w:val="en-US"/>
        </w:rPr>
        <w:t xml:space="preserve"> (3961, 275).</w:t>
      </w:r>
    </w:p>
    <w:p w14:paraId="02F667D3" w14:textId="77777777" w:rsidR="00AE7191" w:rsidRPr="00722885" w:rsidRDefault="00AE7191" w:rsidP="00722885">
      <w:pPr>
        <w:pStyle w:val="Iauiue"/>
        <w:tabs>
          <w:tab w:val="left" w:pos="11199"/>
        </w:tabs>
        <w:jc w:val="both"/>
        <w:rPr>
          <w:color w:val="000000" w:themeColor="text1"/>
          <w:sz w:val="16"/>
          <w:szCs w:val="16"/>
          <w:lang w:val="en-US"/>
        </w:rPr>
      </w:pPr>
    </w:p>
    <w:p w14:paraId="41F9BE07"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19 August 1942 Allied forces raid at Dieppe and are forced to withdraw after heavy casualties (50%) (270).</w:t>
      </w:r>
    </w:p>
    <w:p w14:paraId="24FBEB1D" w14:textId="77777777" w:rsidR="00AE7191" w:rsidRPr="00722885" w:rsidRDefault="00AE7191" w:rsidP="00722885">
      <w:pPr>
        <w:pStyle w:val="Iauiue"/>
        <w:jc w:val="both"/>
        <w:rPr>
          <w:color w:val="000000" w:themeColor="text1"/>
          <w:sz w:val="16"/>
          <w:szCs w:val="16"/>
          <w:lang w:val="en-US"/>
        </w:rPr>
      </w:pPr>
    </w:p>
    <w:p w14:paraId="6F7776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19 августа 1942 союзники (англичане и канадцы) высадились в Диеппе, но были вынуждены отступить с тяжелыми потерями (270) и несмотря на поддержку танков всех захватили в плен (2245,8).</w:t>
      </w:r>
    </w:p>
    <w:p w14:paraId="5508EFF9" w14:textId="77777777" w:rsidR="00AE7191" w:rsidRPr="00722885" w:rsidRDefault="00AE7191" w:rsidP="00722885">
      <w:pPr>
        <w:pStyle w:val="Iauiue"/>
        <w:jc w:val="both"/>
        <w:rPr>
          <w:color w:val="000000" w:themeColor="text1"/>
          <w:sz w:val="16"/>
          <w:szCs w:val="16"/>
        </w:rPr>
      </w:pPr>
    </w:p>
    <w:p w14:paraId="52EB1293" w14:textId="77777777" w:rsidR="00FA7E38" w:rsidRPr="00722885" w:rsidRDefault="00FA7E3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августа 1942 г. канадские части и английские десантные отряды «коммандос» общей численностью в 6000 тыс. чел. высадились на побережье Франции в районе г. Дьеппа, где и находились в течение суток (16). В 1943 г. на проходившей в Вашингтоне с 12 по 15 мая конференции «Трайдент» руководители США и Великобритании вообще приняли решение о переносе начала операции на весну 1944 г. Примерно тогда данная операция («Оверлорд») и началась - 1 июня 1944 г. (19151).</w:t>
      </w:r>
    </w:p>
    <w:p w14:paraId="1F34798E" w14:textId="77777777" w:rsidR="00FA7E38" w:rsidRPr="00722885" w:rsidRDefault="00FA7E38" w:rsidP="00722885">
      <w:pPr>
        <w:spacing w:after="0" w:line="240" w:lineRule="auto"/>
        <w:jc w:val="both"/>
        <w:rPr>
          <w:rFonts w:ascii="Times New Roman" w:hAnsi="Times New Roman"/>
          <w:color w:val="000000" w:themeColor="text1"/>
          <w:sz w:val="16"/>
          <w:szCs w:val="16"/>
        </w:rPr>
      </w:pPr>
    </w:p>
    <w:p w14:paraId="3B28027F"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августа в 1942 году войска союзников высадили тактический десант на северном побереже Франции в районе города Дъепп. В задачу десанта входило разведать береговую оборону, захватить и уничтожить несколько береговых артиллерийских батарей, станции РЛС и аэродром. В операции участвовали 237 кораблей и десантных судов , с воздуха высадку прикрывали 780 самолётов. На берег были высажены 5000 солдат 1-й канадской пехотной дивизии и 2000 британских солдат. Кроме того в тылу немецких войск были высажены около 50 американских рейнджеров и бойцов "Свободной Франции". Общее командование сухопутными частями десанта осуществлял канадский генерал Джон Робертс. Вследствии отсутствия внезапности (десант был высажен на пару часов позже запланированного (высадка проишодила уже после рассвета) десант понёс тяжёлые потери и не смог полностью выполнить поставленные перед ним задачи. После почти 9-и часового боя остатки десанта были эвакуированы в Англию. Потери союзников составили 3600 человек убитыми и пленными, 106 самолётов, 30 танков, эсминец и 33 десантных суда (14988).</w:t>
      </w:r>
    </w:p>
    <w:p w14:paraId="08F487AD"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28059A8B" w14:textId="77777777" w:rsidR="00055325" w:rsidRPr="00722885" w:rsidRDefault="000553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августа в 1942 году немецкие власти ввели в Эльзасе и Лотарингию всеобщую воинскую повинность (14988).</w:t>
      </w:r>
    </w:p>
    <w:p w14:paraId="7A067DCA" w14:textId="77777777" w:rsidR="00055325" w:rsidRPr="00722885" w:rsidRDefault="00055325" w:rsidP="00722885">
      <w:pPr>
        <w:spacing w:after="0" w:line="240" w:lineRule="auto"/>
        <w:jc w:val="both"/>
        <w:rPr>
          <w:rFonts w:ascii="Times New Roman" w:hAnsi="Times New Roman"/>
          <w:color w:val="000000" w:themeColor="text1"/>
          <w:sz w:val="16"/>
          <w:szCs w:val="16"/>
        </w:rPr>
      </w:pPr>
    </w:p>
    <w:p w14:paraId="6614B0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19 августа 1942 г Мантгомери был назначен командующим 8 армией в Северной Африке (3907,237).</w:t>
      </w:r>
    </w:p>
    <w:p w14:paraId="42C53EE0" w14:textId="77777777" w:rsidR="00AE7191" w:rsidRPr="00722885" w:rsidRDefault="00AE7191" w:rsidP="00722885">
      <w:pPr>
        <w:pStyle w:val="Iauiue"/>
        <w:jc w:val="both"/>
        <w:rPr>
          <w:color w:val="000000" w:themeColor="text1"/>
          <w:sz w:val="16"/>
          <w:szCs w:val="16"/>
        </w:rPr>
      </w:pPr>
    </w:p>
    <w:p w14:paraId="2409FFAD"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19 августа 1942 нацистский лидер Мартин Борман заявил, что славяне могут быть только рабами (4962).</w:t>
      </w:r>
    </w:p>
    <w:p w14:paraId="2EA263B2" w14:textId="77777777" w:rsidR="00AE7191" w:rsidRPr="00722885" w:rsidRDefault="00AE7191" w:rsidP="00722885">
      <w:pPr>
        <w:pStyle w:val="Iauiue"/>
        <w:tabs>
          <w:tab w:val="left" w:pos="11199"/>
        </w:tabs>
        <w:jc w:val="both"/>
        <w:rPr>
          <w:color w:val="000000" w:themeColor="text1"/>
          <w:sz w:val="16"/>
          <w:szCs w:val="16"/>
        </w:rPr>
      </w:pPr>
    </w:p>
    <w:p w14:paraId="26D760F5" w14:textId="77777777" w:rsidR="008B6F1B" w:rsidRPr="00722885" w:rsidRDefault="008B6F1B"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FAF60CF" w14:textId="77777777" w:rsidR="008B6F1B" w:rsidRPr="00722885" w:rsidRDefault="008B6F1B" w:rsidP="00722885">
      <w:pPr>
        <w:pStyle w:val="Iauiue"/>
        <w:jc w:val="both"/>
        <w:rPr>
          <w:iCs/>
          <w:color w:val="000000" w:themeColor="text1"/>
          <w:sz w:val="16"/>
          <w:szCs w:val="16"/>
        </w:rPr>
      </w:pPr>
    </w:p>
    <w:p w14:paraId="7621BBD0" w14:textId="77777777" w:rsidR="008B6F1B" w:rsidRPr="00722885" w:rsidRDefault="008B6F1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20-м числам августа 1942 началась сборка первых КВ-1с. Таким образом, требование ГКО о переходе к 1 сентября на «КВ с командирскими башенками» удалось выполнить.</w:t>
      </w:r>
    </w:p>
    <w:p w14:paraId="072F19DF" w14:textId="77777777" w:rsidR="008B6F1B" w:rsidRPr="00722885" w:rsidRDefault="008B6F1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Самые первые серийные КВ-1с практически полностью копировали танк 15002, за исключением тех пунктов, которые требовалось исправить по итогам испытаний. Впрочем, внутри эти танки все же отличались. Дело в том, что согласно постановлению ГКО №1878 первые 25 КВ-1с предполагалось выпустить с 5-скоростными коробками передач. По факту же их было построено не меньше 39 штук (в это число входят и несколько КВ-1). Внешне эти танки от машин с 8-скоростными коробками передач не отличить.</w:t>
      </w:r>
    </w:p>
    <w:p w14:paraId="35002481" w14:textId="77777777" w:rsidR="008B6F1B" w:rsidRPr="00722885" w:rsidRDefault="008B6F1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Но с конца августа с конвейера стали сходить машины, которые явно отличались от второго опытного образца. В виду большого процента литьевого брака ЧКЗ был вынужден вместо облегченных опорных катков ставить на КВ-1с катки от КВ-1. Это поднимало боевую массу на 390 килограмм. Об этом Малышеву, который после понижения в должности остался в Государственном комитете обороны, 19 августа сообщили из Главного автобронетанкового управления Красной Армии (ГАБТУ КА). Кроме того, с сентября на танках перестали устанавливать поручни. Всего за август удалось выпустить 34 КВ-1с, а за сентябрь – 176 штук.</w:t>
      </w:r>
    </w:p>
    <w:p w14:paraId="61852DF2" w14:textId="77777777" w:rsidR="008B6F1B" w:rsidRPr="00722885" w:rsidRDefault="008B6F1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Проблемы с опорными катками вынудили СКБ-2 разработать опорные катки иной конструкции. Придумывать велосипед не стали: за основу был взят опорный каток, разработанный для КВ-13. Несмотря на то, что работы по КВ-13 официально были заморожены, по факту отдельные узлы перспективного танка не только продолжали проектироваться, но даже испытывались. Как раз в июле-августе 1942 года катки КВ-13 испытывали на одном из КВ-1. Переделав конструкцию опорного катка, уже осенью 1942 года его стали ставить на КВ-1с (17682).</w:t>
      </w:r>
    </w:p>
    <w:p w14:paraId="4D4088E3" w14:textId="77777777" w:rsidR="008B6F1B" w:rsidRPr="00722885" w:rsidRDefault="008B6F1B" w:rsidP="00722885">
      <w:pPr>
        <w:spacing w:after="0" w:line="240" w:lineRule="auto"/>
        <w:jc w:val="both"/>
        <w:rPr>
          <w:rFonts w:ascii="Times New Roman" w:hAnsi="Times New Roman"/>
          <w:color w:val="000000" w:themeColor="text1"/>
          <w:sz w:val="16"/>
          <w:szCs w:val="16"/>
        </w:rPr>
      </w:pPr>
    </w:p>
    <w:p w14:paraId="3FD03C7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2AD60F3" w14:textId="77777777" w:rsidR="00AE7191" w:rsidRPr="00722885" w:rsidRDefault="00AE7191" w:rsidP="00722885">
      <w:pPr>
        <w:pStyle w:val="Iauiue"/>
        <w:jc w:val="both"/>
        <w:rPr>
          <w:iCs/>
          <w:color w:val="000000" w:themeColor="text1"/>
          <w:sz w:val="16"/>
          <w:szCs w:val="16"/>
        </w:rPr>
      </w:pPr>
    </w:p>
    <w:p w14:paraId="406D267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были подготовлены "Выводы” и "Заключение" по проведению госиспытаний Пе-Збис № 40143900 завода № 39 в НИИ ВВС:</w:t>
      </w:r>
    </w:p>
    <w:p w14:paraId="3668809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ы в о д ы</w:t>
      </w:r>
    </w:p>
    <w:p w14:paraId="6218E10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Максимальные скорости серийного самолета Пе-Збис № 40143900 завода № 39 на 2-ой граница высотности 5080 метров равны:</w:t>
      </w:r>
    </w:p>
    <w:p w14:paraId="6F7E167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без аэродинамического компенсатора и без нарощений на кили </w:t>
      </w:r>
      <w:r w:rsidRPr="00722885">
        <w:rPr>
          <w:rFonts w:ascii="Times New Roman" w:hAnsi="Times New Roman"/>
          <w:color w:val="000000" w:themeColor="text1"/>
          <w:sz w:val="16"/>
          <w:szCs w:val="16"/>
        </w:rPr>
        <w:tab/>
        <w:t>530 км/ч</w:t>
      </w:r>
    </w:p>
    <w:p w14:paraId="5330F1A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 аэродинамическим компенсатором и с нарощенными килями</w:t>
      </w:r>
      <w:r w:rsidRPr="00722885">
        <w:rPr>
          <w:rFonts w:ascii="Times New Roman" w:hAnsi="Times New Roman"/>
          <w:color w:val="000000" w:themeColor="text1"/>
          <w:sz w:val="16"/>
          <w:szCs w:val="16"/>
        </w:rPr>
        <w:tab/>
        <w:t>527 км/ч</w:t>
      </w:r>
    </w:p>
    <w:p w14:paraId="17B2870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Максимальные скорости у земли соответствеино равны </w:t>
      </w:r>
      <w:r w:rsidRPr="00722885">
        <w:rPr>
          <w:rFonts w:ascii="Times New Roman" w:hAnsi="Times New Roman"/>
          <w:color w:val="000000" w:themeColor="text1"/>
          <w:sz w:val="16"/>
          <w:szCs w:val="16"/>
        </w:rPr>
        <w:tab/>
        <w:t>438-435 км/ч</w:t>
      </w:r>
    </w:p>
    <w:p w14:paraId="36F2F3B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Потерь в максимальных скоростях по сравнению с испытанным в октябре месяце 1941 года самолетом Пе-Збис № 392207 завода № 39 - НЕТ</w:t>
      </w:r>
    </w:p>
    <w:p w14:paraId="217C2A4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Скороподъемность, практический потолок, время набора высоты 5000 метров практически одинаковы в сравнении с самолётом Пе-Збис № 392207.</w:t>
      </w:r>
    </w:p>
    <w:p w14:paraId="336E3F6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Техническая дальность самолета при пол</w:t>
      </w:r>
      <w:r w:rsidRPr="00722885">
        <w:rPr>
          <w:rFonts w:ascii="Times New Roman" w:hAnsi="Times New Roman"/>
          <w:color w:val="000000" w:themeColor="text1"/>
          <w:sz w:val="16"/>
          <w:szCs w:val="16"/>
        </w:rPr>
        <w:softHyphen/>
        <w:t>ном выгорании горючего на высоте 5000 метров по прибору (Н ст. = 5220 м; на 0;8 максимальной скорости с закрытым высотным корректором получилась равной 1500 км.</w:t>
      </w:r>
    </w:p>
    <w:p w14:paraId="278438C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Длины пробегов полученные при испытании превышают длины пробегов испытанного ранее самолета Пе-Збис № 392207, что об"ясняется недостаточной эффективностью тормозов.</w:t>
      </w:r>
    </w:p>
    <w:p w14:paraId="1683E22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Самолет имеет удовлетворительную продольную устойчивость на всех режимах полета за исключением на</w:t>
      </w:r>
      <w:r w:rsidRPr="00722885">
        <w:rPr>
          <w:rFonts w:ascii="Times New Roman" w:hAnsi="Times New Roman"/>
          <w:color w:val="000000" w:themeColor="text1"/>
          <w:sz w:val="16"/>
          <w:szCs w:val="16"/>
        </w:rPr>
        <w:softHyphen/>
        <w:t>бора высоты с бомбами в мотогондолах.</w:t>
      </w:r>
    </w:p>
    <w:p w14:paraId="5C877ED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Поперечная устойчивость самолета достаточна. Путевая устойчивость ниже чем у самолетов с хорошей путевой устойчивостью: Ме-110, ДБ3ф, СБ-РК, 103-У.</w:t>
      </w:r>
    </w:p>
    <w:p w14:paraId="55197F9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Увеличение площади вертикального оперения (килей) на 16% с "уменьшавшем" удлинения устойчивость путя практически не изменило.</w:t>
      </w:r>
    </w:p>
    <w:p w14:paraId="4E41291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 руля высоты на предельно передней цен</w:t>
      </w:r>
      <w:r w:rsidRPr="00722885">
        <w:rPr>
          <w:rFonts w:ascii="Times New Roman" w:hAnsi="Times New Roman"/>
          <w:color w:val="000000" w:themeColor="text1"/>
          <w:sz w:val="16"/>
          <w:szCs w:val="16"/>
        </w:rPr>
        <w:softHyphen/>
        <w:t>тровке (16,7%) мал. Необходимо регулировку руля высоты про</w:t>
      </w:r>
      <w:r w:rsidRPr="00722885">
        <w:rPr>
          <w:rFonts w:ascii="Times New Roman" w:hAnsi="Times New Roman"/>
          <w:color w:val="000000" w:themeColor="text1"/>
          <w:sz w:val="16"/>
          <w:szCs w:val="16"/>
        </w:rPr>
        <w:softHyphen/>
        <w:t>изводить; вверх - 30 , вниз 18-20</w:t>
      </w:r>
    </w:p>
    <w:p w14:paraId="34D116C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Предварительные исследования работы пред</w:t>
      </w:r>
      <w:r w:rsidRPr="00722885">
        <w:rPr>
          <w:rFonts w:ascii="Times New Roman" w:hAnsi="Times New Roman"/>
          <w:color w:val="000000" w:themeColor="text1"/>
          <w:sz w:val="16"/>
          <w:szCs w:val="16"/>
        </w:rPr>
        <w:softHyphen/>
        <w:t>крылков, показывают, что на самолете Пе-Збис они работают недостаточно эффективно.</w:t>
      </w:r>
    </w:p>
    <w:p w14:paraId="5464244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Взлетно-посадочные свойства улучшились нез</w:t>
      </w:r>
      <w:r w:rsidRPr="00722885">
        <w:rPr>
          <w:rFonts w:ascii="Times New Roman" w:hAnsi="Times New Roman"/>
          <w:color w:val="000000" w:themeColor="text1"/>
          <w:sz w:val="16"/>
          <w:szCs w:val="16"/>
        </w:rPr>
        <w:softHyphen/>
        <w:t>начительно.</w:t>
      </w:r>
    </w:p>
    <w:p w14:paraId="20D0193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Минимальные скорости полета остались без изменений.</w:t>
      </w:r>
    </w:p>
    <w:p w14:paraId="6A64755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Срывы потока и тряска хвоста начинаются практически на одинаковых скоростях.</w:t>
      </w:r>
    </w:p>
    <w:p w14:paraId="2AF6C8C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отзывам летчиков предкрылки облегчают пи</w:t>
      </w:r>
      <w:r w:rsidRPr="00722885">
        <w:rPr>
          <w:rFonts w:ascii="Times New Roman" w:hAnsi="Times New Roman"/>
          <w:color w:val="000000" w:themeColor="text1"/>
          <w:sz w:val="16"/>
          <w:szCs w:val="16"/>
        </w:rPr>
        <w:softHyphen/>
        <w:t>лотирование на планировании на скоростях в диапазоне 230-240 км/час по прибору.</w:t>
      </w:r>
    </w:p>
    <w:p w14:paraId="58812DE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Установка конструкции завода № 39 под 2 крупнокалиберных пулемета УБК испытание выдержала удов</w:t>
      </w:r>
      <w:r w:rsidRPr="00722885">
        <w:rPr>
          <w:rFonts w:ascii="Times New Roman" w:hAnsi="Times New Roman"/>
          <w:color w:val="000000" w:themeColor="text1"/>
          <w:sz w:val="16"/>
          <w:szCs w:val="16"/>
        </w:rPr>
        <w:softHyphen/>
        <w:t>летворительно.</w:t>
      </w:r>
    </w:p>
    <w:p w14:paraId="6ECB6FF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Турельная установка под крупнокалиберный пулемет штурмана конструктора ТОРОПОВА обеспечивает углы обстрела прицедьным огнем, как вправо, так и влево только по 30-35.</w:t>
      </w:r>
    </w:p>
    <w:p w14:paraId="0D93C15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больших углах вести прицельным огонь из-за тесноты в кабине нельзя.</w:t>
      </w:r>
    </w:p>
    <w:p w14:paraId="786CA8E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углах больших 40-45°, из-за встречного потока воздуха, турель развернуть невозможно. Аэродинамический компенсатор турели усилий не снимает.</w:t>
      </w:r>
    </w:p>
    <w:p w14:paraId="7B997E2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Необходимо доработать компенсаторы установки Торопова на самолете Пе-3бис для использования в полете всего диапазона углов обстрела, допускаемых самой установкой.</w:t>
      </w:r>
    </w:p>
    <w:p w14:paraId="4A88F03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самолете Пе-Збис не предусмотрено химвооружение. Заводу № 39 необходимо обеспечить подвеску химприборов на наружные замки бомбодержателей по типу самолета Пе-2.</w:t>
      </w:r>
    </w:p>
    <w:p w14:paraId="027520D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Обзор штурману вперед и в низ отсутствует. Обзор влево и назад ограничен из-за большой тесноты в кабине.</w:t>
      </w:r>
    </w:p>
    <w:p w14:paraId="62789E6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Приборы: указатель высоты и скорости штурма</w:t>
      </w:r>
      <w:r w:rsidRPr="00722885">
        <w:rPr>
          <w:rFonts w:ascii="Times New Roman" w:hAnsi="Times New Roman"/>
          <w:color w:val="000000" w:themeColor="text1"/>
          <w:sz w:val="16"/>
          <w:szCs w:val="16"/>
        </w:rPr>
        <w:softHyphen/>
        <w:t>ну не видны.</w:t>
      </w:r>
    </w:p>
    <w:p w14:paraId="4862DE1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Необходимо произвести перекомпановку приборов, согласно схемы предлагаемой в отчете.</w:t>
      </w:r>
    </w:p>
    <w:p w14:paraId="13F014E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обеспечения самолетовождения» в сложных метеоусловиях нужно установись РПК-10.</w:t>
      </w:r>
    </w:p>
    <w:p w14:paraId="7C5F440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Серийное размещение радиостанции РСИ-4 обеспе</w:t>
      </w:r>
      <w:r w:rsidRPr="00722885">
        <w:rPr>
          <w:rFonts w:ascii="Times New Roman" w:hAnsi="Times New Roman"/>
          <w:color w:val="000000" w:themeColor="text1"/>
          <w:sz w:val="16"/>
          <w:szCs w:val="16"/>
        </w:rPr>
        <w:softHyphen/>
        <w:t>чивает дальность связи на высоте 1000 метров только 65-70 км.</w:t>
      </w:r>
    </w:p>
    <w:p w14:paraId="6DC287E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размещение РСИ-4 в хвосте фюзеляжа повысило дальность до 110-120 км на той же высоте.</w:t>
      </w:r>
    </w:p>
    <w:p w14:paraId="5AE4996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10. Производственное выполнение самолета в основ</w:t>
      </w:r>
      <w:r w:rsidRPr="00722885">
        <w:rPr>
          <w:rFonts w:ascii="Times New Roman" w:hAnsi="Times New Roman"/>
          <w:color w:val="000000" w:themeColor="text1"/>
          <w:sz w:val="16"/>
          <w:szCs w:val="16"/>
        </w:rPr>
        <w:softHyphen/>
        <w:t>ном удовлетворительно.</w:t>
      </w:r>
    </w:p>
    <w:p w14:paraId="0EDD372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В процессе испытаний выявлен ряд дефектов. Основных из них:</w:t>
      </w:r>
    </w:p>
    <w:p w14:paraId="579A3C0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разрушение подшипников нагнетателя мотора (массовое явление);</w:t>
      </w:r>
    </w:p>
    <w:p w14:paraId="52FE608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течь бензобаков № 3 и 1 4 в верхней части по сварке;</w:t>
      </w:r>
    </w:p>
    <w:p w14:paraId="03C97EB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засвинцовываются электроды свечей при работе на горючем с продуктом В-20 (массовый дефект), за все время испытаний заменено 60 свечей;</w:t>
      </w:r>
    </w:p>
    <w:p w14:paraId="640F3FB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течь водорадиатора;</w:t>
      </w:r>
    </w:p>
    <w:p w14:paraId="380C5EB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отказ приемников термометра воды (3 случая);</w:t>
      </w:r>
    </w:p>
    <w:p w14:paraId="4D9B844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 отказ динамок тахометров (массовый дефект - 4 раза);</w:t>
      </w:r>
    </w:p>
    <w:p w14:paraId="622D744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 отказ бензиномеров;</w:t>
      </w:r>
    </w:p>
    <w:p w14:paraId="04D37AC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 остаточная девиация магнитного компаса превышает допустимые пределы;</w:t>
      </w:r>
    </w:p>
    <w:p w14:paraId="4019DEB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при перезарядке пушки обрывается троссы перезарядки,</w:t>
      </w:r>
    </w:p>
    <w:p w14:paraId="3B82C63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отсутствует механическая перезарядка пушки;</w:t>
      </w:r>
    </w:p>
    <w:p w14:paraId="22FADF6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л) дренажный кран </w:t>
      </w:r>
      <w:r w:rsidRPr="00722885">
        <w:rPr>
          <w:rFonts w:ascii="Times New Roman" w:hAnsi="Times New Roman"/>
          <w:smallCaps/>
          <w:color w:val="000000" w:themeColor="text1"/>
          <w:sz w:val="16"/>
          <w:szCs w:val="16"/>
        </w:rPr>
        <w:t xml:space="preserve">системы </w:t>
      </w:r>
      <w:r w:rsidRPr="00722885">
        <w:rPr>
          <w:rFonts w:ascii="Times New Roman" w:hAnsi="Times New Roman"/>
          <w:color w:val="000000" w:themeColor="text1"/>
          <w:sz w:val="16"/>
          <w:szCs w:val="16"/>
        </w:rPr>
        <w:t>нейтрального газа работает неудовлетворительно:</w:t>
      </w:r>
    </w:p>
    <w:p w14:paraId="0D587D4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положении сектора "ГАЗ" система не всегда включается;</w:t>
      </w:r>
    </w:p>
    <w:p w14:paraId="16CBF6D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положении "ДРЕНАЖ" газ поступает как в баки, так и в атмосферу,</w:t>
      </w:r>
    </w:p>
    <w:p w14:paraId="29C9B0A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Велико избыточное давление газов»в бензоба</w:t>
      </w:r>
      <w:r w:rsidRPr="00722885">
        <w:rPr>
          <w:rFonts w:ascii="Times New Roman" w:hAnsi="Times New Roman"/>
          <w:color w:val="000000" w:themeColor="text1"/>
          <w:sz w:val="16"/>
          <w:szCs w:val="16"/>
        </w:rPr>
        <w:softHyphen/>
        <w:t>ках. Необходимо уменьшить давление по 100-120 мм ртутного столба.</w:t>
      </w:r>
    </w:p>
    <w:p w14:paraId="398BF8D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smallCaps/>
          <w:color w:val="000000" w:themeColor="text1"/>
          <w:sz w:val="16"/>
          <w:szCs w:val="16"/>
        </w:rPr>
        <w:t xml:space="preserve">Ведущий </w:t>
      </w:r>
      <w:r w:rsidRPr="00722885">
        <w:rPr>
          <w:rFonts w:ascii="Times New Roman" w:hAnsi="Times New Roman"/>
          <w:color w:val="000000" w:themeColor="text1"/>
          <w:sz w:val="16"/>
          <w:szCs w:val="16"/>
        </w:rPr>
        <w:t xml:space="preserve">и н ж е н е р </w:t>
      </w:r>
      <w:r w:rsidRPr="00722885">
        <w:rPr>
          <w:rFonts w:ascii="Times New Roman" w:hAnsi="Times New Roman"/>
          <w:smallCaps/>
          <w:color w:val="000000" w:themeColor="text1"/>
          <w:sz w:val="16"/>
          <w:szCs w:val="16"/>
        </w:rPr>
        <w:t>-шжЕнер - полковник сафронов</w:t>
      </w:r>
    </w:p>
    <w:p w14:paraId="49D67D6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44962A8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Государственные контрольные испытания серийный самолет Пе-Збис № 40143900, производства завода 39, выдержал удовлетворительно,</w:t>
      </w:r>
    </w:p>
    <w:p w14:paraId="4FE9F01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Просить Н К А П:</w:t>
      </w:r>
    </w:p>
    <w:p w14:paraId="5CAC1F3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принять меры к устранению дефектов, выявленных на испытании, согласно выводов и прилагаемой ведомости дефектов;</w:t>
      </w:r>
    </w:p>
    <w:p w14:paraId="52361C5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дать указания заводу № 32 срочно отрабо</w:t>
      </w:r>
      <w:r w:rsidRPr="00722885">
        <w:rPr>
          <w:rFonts w:ascii="Times New Roman" w:hAnsi="Times New Roman"/>
          <w:color w:val="000000" w:themeColor="text1"/>
          <w:sz w:val="16"/>
          <w:szCs w:val="16"/>
        </w:rPr>
        <w:softHyphen/>
        <w:t>тать и установить на турель конструкции ТОРОПОВА компенса</w:t>
      </w:r>
      <w:r w:rsidRPr="00722885">
        <w:rPr>
          <w:rFonts w:ascii="Times New Roman" w:hAnsi="Times New Roman"/>
          <w:color w:val="000000" w:themeColor="text1"/>
          <w:sz w:val="16"/>
          <w:szCs w:val="16"/>
        </w:rPr>
        <w:softHyphen/>
        <w:t>торы, которые позволили бы получить углы обстрела в воздухе, допускаемые конструкцией установки;</w:t>
      </w:r>
    </w:p>
    <w:p w14:paraId="00E9A7D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срочно провести исследование в ЦАГИ по повышению эффективности предкрылков на самолете Пе-Збис."</w:t>
      </w:r>
    </w:p>
    <w:p w14:paraId="1ED7ECF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ЗАВОДА № 39 (В.И.АБРАМОВ)</w:t>
      </w:r>
    </w:p>
    <w:p w14:paraId="5CA9C89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 Л, ИНЖЕНЕРА ПО ЭКСПЕРИМЕНТАЛЬНЫМ РАБОТАМ (К.А.ПЕТРОВ) (1678,51).</w:t>
      </w:r>
    </w:p>
    <w:p w14:paraId="78815BE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D2A5EC3" w14:textId="77777777" w:rsidR="004A33F1" w:rsidRPr="00722885" w:rsidRDefault="004A33F1"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20 августа 1942 все самолеты Пе-2 получали автомат курса АК-1 (22828).</w:t>
      </w:r>
    </w:p>
    <w:p w14:paraId="2D8213F7" w14:textId="77777777" w:rsidR="004A33F1" w:rsidRPr="00722885" w:rsidRDefault="004A33F1" w:rsidP="00722885">
      <w:pPr>
        <w:shd w:val="clear" w:color="auto" w:fill="FFFFFF"/>
        <w:spacing w:after="0" w:line="240" w:lineRule="auto"/>
        <w:jc w:val="both"/>
        <w:rPr>
          <w:rFonts w:ascii="Times New Roman" w:hAnsi="Times New Roman"/>
          <w:color w:val="0070C0"/>
          <w:sz w:val="16"/>
          <w:szCs w:val="16"/>
        </w:rPr>
      </w:pPr>
    </w:p>
    <w:p w14:paraId="15AF85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 августа 1942 г. утвержден протокол макетной комиссии. Между тем в опытном производстве начали изготовление машины для статиспытаний и первого летного экземпляра. Однако из-за отсутствия двигателя АМ-39 на самолет, получивший заводское наименование И-220 и шифр "А", разрешили первоначально установить мотор АМ-38Ф для проведения первого этапа испытаний и получения предварительных результатов с последующей заменой на АМ-39. Истребитель И-220 предназначался для ведения активного воздушного боя на всех высотах. В целях получения максимальной горизонтальной скорости все радиаторы были убраны в крыло. Забор воздуха осуществлялся с передней кромки центроплана. Выход туннеля маслорадиатора разместили в нижней части центроплана, а водора-диаторов - в верхней. Самолет имел шасси с рычажной подвеской колес и впервые в отечественной авиации на нем были установлены мягкие топливные баки. Винт АВ-5Л-126А диаметром 3,2 м. Вооружение состояло из двух синхронных 20-мм пушек ШВАК (СП-20) с боезапасом по 150 патронов. Кроме того, на основании решения макетной комиссии в перегрузку предусмотрели установку еще двух пушек ШВАК с таким же боезапасом (5669).</w:t>
      </w:r>
    </w:p>
    <w:p w14:paraId="09A67418" w14:textId="77777777" w:rsidR="00AE7191" w:rsidRPr="00722885" w:rsidRDefault="00AE7191" w:rsidP="00722885">
      <w:pPr>
        <w:pStyle w:val="Iauiue"/>
        <w:jc w:val="both"/>
        <w:rPr>
          <w:color w:val="000000" w:themeColor="text1"/>
          <w:sz w:val="16"/>
          <w:szCs w:val="16"/>
        </w:rPr>
      </w:pPr>
    </w:p>
    <w:p w14:paraId="51C060D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w:t>
      </w:r>
      <w:r w:rsidRPr="00722885">
        <w:rPr>
          <w:rFonts w:ascii="Times New Roman" w:hAnsi="Times New Roman"/>
          <w:color w:val="000000" w:themeColor="text1"/>
          <w:sz w:val="16"/>
          <w:szCs w:val="16"/>
        </w:rPr>
        <w:softHyphen/>
        <w:t>та 1942 г., спустя месяц после принятия решения о за</w:t>
      </w:r>
      <w:r w:rsidRPr="00722885">
        <w:rPr>
          <w:rFonts w:ascii="Times New Roman" w:hAnsi="Times New Roman"/>
          <w:color w:val="000000" w:themeColor="text1"/>
          <w:sz w:val="16"/>
          <w:szCs w:val="16"/>
        </w:rPr>
        <w:softHyphen/>
        <w:t>пуске И-185 с М-82А в серийное производство, начальник НИИ ВВС Красной Армии генерал-майор Лосюков подписал замечания к заключе</w:t>
      </w:r>
      <w:r w:rsidRPr="00722885">
        <w:rPr>
          <w:rFonts w:ascii="Times New Roman" w:hAnsi="Times New Roman"/>
          <w:color w:val="000000" w:themeColor="text1"/>
          <w:sz w:val="16"/>
          <w:szCs w:val="16"/>
        </w:rPr>
        <w:softHyphen/>
        <w:t>нию по результатам испытаний. В них говорилось:</w:t>
      </w:r>
    </w:p>
    <w:p w14:paraId="5C4FBA5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«п.п.2 и 3 Заключения считаю возможным принять в следующей редакции:</w:t>
      </w:r>
    </w:p>
    <w:p w14:paraId="79ACC28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Полученные летно-тактические данные И-185 М-82 соответствуют т.т.т. ВВС Красной Армии только к само</w:t>
      </w:r>
      <w:r w:rsidRPr="00722885">
        <w:rPr>
          <w:rFonts w:ascii="Times New Roman" w:hAnsi="Times New Roman"/>
          <w:color w:val="000000" w:themeColor="text1"/>
          <w:sz w:val="16"/>
          <w:szCs w:val="16"/>
        </w:rPr>
        <w:softHyphen/>
        <w:t>летам серийной постройки 1942 г.</w:t>
      </w:r>
    </w:p>
    <w:p w14:paraId="73B0430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Самолет И-185 М-82 рекомендовать в серийную постройку нецелесообразно, так как с этим же мотором и с аналогичными летно-тактическими данными само</w:t>
      </w:r>
      <w:r w:rsidRPr="00722885">
        <w:rPr>
          <w:rFonts w:ascii="Times New Roman" w:hAnsi="Times New Roman"/>
          <w:color w:val="000000" w:themeColor="text1"/>
          <w:sz w:val="16"/>
          <w:szCs w:val="16"/>
        </w:rPr>
        <w:softHyphen/>
        <w:t>лет в серийной постройке есть (ЛаГ-5)».</w:t>
      </w:r>
    </w:p>
    <w:p w14:paraId="4C078EF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такой трактовкой согласились и заместитель ко</w:t>
      </w:r>
      <w:r w:rsidRPr="00722885">
        <w:rPr>
          <w:rFonts w:ascii="Times New Roman" w:hAnsi="Times New Roman"/>
          <w:color w:val="000000" w:themeColor="text1"/>
          <w:sz w:val="16"/>
          <w:szCs w:val="16"/>
        </w:rPr>
        <w:softHyphen/>
        <w:t>мандующего ВВС КА главный инженер ВВС генерал-лейтенант ИАС Репин, и нарком авиационной про</w:t>
      </w:r>
      <w:r w:rsidRPr="00722885">
        <w:rPr>
          <w:rFonts w:ascii="Times New Roman" w:hAnsi="Times New Roman"/>
          <w:color w:val="000000" w:themeColor="text1"/>
          <w:sz w:val="16"/>
          <w:szCs w:val="16"/>
        </w:rPr>
        <w:softHyphen/>
        <w:t>мышленности Шахурин.</w:t>
      </w:r>
    </w:p>
    <w:p w14:paraId="5903D76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Оценки отечественных самолетов проводились в НИИ ВВС по результатам учебных воздушных боев с трофейными истребителями, захваченными после вы</w:t>
      </w:r>
      <w:r w:rsidRPr="00722885">
        <w:rPr>
          <w:rFonts w:ascii="Times New Roman" w:hAnsi="Times New Roman"/>
          <w:color w:val="000000" w:themeColor="text1"/>
          <w:sz w:val="16"/>
          <w:szCs w:val="16"/>
        </w:rPr>
        <w:softHyphen/>
        <w:t>нужденной посадки на нашей территории (основной ис</w:t>
      </w:r>
      <w:r w:rsidRPr="00722885">
        <w:rPr>
          <w:rFonts w:ascii="Times New Roman" w:hAnsi="Times New Roman"/>
          <w:color w:val="000000" w:themeColor="text1"/>
          <w:sz w:val="16"/>
          <w:szCs w:val="16"/>
        </w:rPr>
        <w:softHyphen/>
        <w:t>точник поступления трофейной техники в первый период войны). Однако при этом картина складывалась не всегда объективной: часто восстановленные двига</w:t>
      </w:r>
      <w:r w:rsidRPr="00722885">
        <w:rPr>
          <w:rFonts w:ascii="Times New Roman" w:hAnsi="Times New Roman"/>
          <w:color w:val="000000" w:themeColor="text1"/>
          <w:sz w:val="16"/>
          <w:szCs w:val="16"/>
        </w:rPr>
        <w:softHyphen/>
        <w:t>тельные установки не додавали мощности, а поэтому ха</w:t>
      </w:r>
      <w:r w:rsidRPr="00722885">
        <w:rPr>
          <w:rFonts w:ascii="Times New Roman" w:hAnsi="Times New Roman"/>
          <w:color w:val="000000" w:themeColor="text1"/>
          <w:sz w:val="16"/>
          <w:szCs w:val="16"/>
        </w:rPr>
        <w:softHyphen/>
        <w:t>рактеристики немецких машин являлись заниженными.</w:t>
      </w:r>
    </w:p>
    <w:p w14:paraId="036C073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Отсюда делался оптимистичный вывод о безуслов</w:t>
      </w:r>
      <w:r w:rsidRPr="00722885">
        <w:rPr>
          <w:rFonts w:ascii="Times New Roman" w:hAnsi="Times New Roman"/>
          <w:color w:val="000000" w:themeColor="text1"/>
          <w:sz w:val="16"/>
          <w:szCs w:val="16"/>
        </w:rPr>
        <w:softHyphen/>
        <w:t>ном превосходстве наших самолетов (в том числе Ла-5)</w:t>
      </w:r>
    </w:p>
    <w:p w14:paraId="625E10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над самолетами противника. Уверения НИИ ВВС, что у Ла-5 характеристики аналогичны И-185 с тем же мото</w:t>
      </w:r>
      <w:r w:rsidRPr="00722885">
        <w:rPr>
          <w:rFonts w:ascii="Times New Roman" w:hAnsi="Times New Roman"/>
          <w:color w:val="000000" w:themeColor="text1"/>
          <w:sz w:val="16"/>
          <w:szCs w:val="16"/>
        </w:rPr>
        <w:softHyphen/>
        <w:t>ром, также не выдерживают критики (10667).</w:t>
      </w:r>
    </w:p>
    <w:p w14:paraId="4DA6A6E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D5D29E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20 августа по 13 сентября в 15-й, 27-й, 240-й, 297-й и 437-й истребительные авиаполки 8-й ВА на Сталинградском фронте также проходили войсковые испытания Ла-5. Руководил испытаниями в 287-й иад инженер-полковник Фролов, находившийся на аэродроме Верхняя Ахтуба. В состав бригады НИИ ВВС входили также инженеры-капита- ны В.И. Алексеенко, Зюскевич, Бабанин и Хвостовский, старшие техники- лейтенанты Ефанов (по вооружению) и Самозванцев (по спецоборудованию).</w:t>
      </w:r>
    </w:p>
    <w:p w14:paraId="4A1D822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Войсковые испытания проходили Ла-5 второй и третьей серий завода № 21 с моторами М-82 второй серии завода № 19 и винтами В И III-105 диаметром 3,1 м. На самолетах были установлены две пушки 111 ВАК с боезапасом по 170 патронов на ствол, двумя замками ДЗ-40 под крылом для подвески бомб калибра до 100 кг.</w:t>
      </w:r>
    </w:p>
    <w:p w14:paraId="6916AF9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20 августа по 13 сентября 1942 года летчики 287-й иад выполнили 226 самолето-вылетов на разведку войск противника. Разведка производилась парами с бреющего полета, 571 самолето-вылет на прикрытие войск и перехват самолетов противника.</w:t>
      </w:r>
    </w:p>
    <w:p w14:paraId="265C02A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воздушных боев сбили 51 бомбардировщик противника и 36 истребителей Bf 109, включая 17 Bf 109F.</w:t>
      </w:r>
    </w:p>
    <w:p w14:paraId="32DDF09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Сталинградском фронте самолеты Ла-5 вели воздушные бои с немецкими истребителями Bf 109F-4 и Bf 109G-2, а также с бомбардировщиками Ju 88, Ju 87, Bf 110 и Не 111.В воздушных боях с Bf I09F-4 и Bf 109G-2 самолет Ла-5 значительно уступал как по вертикальной маневренности, так и по горизонтальной скорости. В результате Ла-5 не мог вести с немецкими истребителями активный воздушный бой и вынужден был обороняться. В воздушном бою с Ju 88, Bf 110 и Не 111 самолет Ла-5 отвечал всем требованиям современного истребителя по скорости, маневру и мощности огня.</w:t>
      </w:r>
    </w:p>
    <w:p w14:paraId="0762E43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Ла-5 использовали также для разведки войск противника, причем на высотах от 100 м до бреющего полета это было затруднительно вследствие недостаточного обзора вперед-вниз из-за широкого капота мотора.</w:t>
      </w:r>
    </w:p>
    <w:p w14:paraId="77D9B6E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Камуфляж Ла-5, как и остальных отечественных истребителей, подобран неудовлетворительно и в сравнении с истребителями противника своей окраской в воздухе резко выделяется на фоне чистого неба и облаков, что облегчало неприятелю обнаружение наших самолетов. С воздуха, на стоянке, окраска наших самолетов резко выделялась на фоне земли.</w:t>
      </w:r>
    </w:p>
    <w:p w14:paraId="764B44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управления самолетом, то на элеронах на средних скоростях нагрузки были нормальные, но на скоростях выше 450 км/ч по прибору нагрузки значительно возрастали. На руле глубины при пользовании триммером на скорости 300-320 км/ч нагрузки снимались полностью.</w:t>
      </w:r>
    </w:p>
    <w:p w14:paraId="4086B7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пикировании на скорости около 500 км/ч по прибору большие нагрузки затрудняли вывод самолета из пикирования и приходилось пользоваться триммером.</w:t>
      </w:r>
    </w:p>
    <w:p w14:paraId="0B4BB7A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Управление рулем поворота на больших скоростях было тяжелое. Вообще управление самолета требовало от летчика хорошей координации движений рулями.</w:t>
      </w:r>
    </w:p>
    <w:p w14:paraId="72D0408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правом вираже самолет стремился опустить нос и приходилось поддерживать его левой ногой. Ручка управления самолета удобна, но управление тормозами расположено неудачно. Нагрузки при торможении большие. Вследствие чего летчик натирал на ладоне и среднем пальце правой руки мозоли.</w:t>
      </w:r>
    </w:p>
    <w:p w14:paraId="3A4764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Сектор был недоработан.</w:t>
      </w:r>
    </w:p>
    <w:p w14:paraId="5FE212F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Ход сектора нормального газа проходил с рывками, а при слабой затяжке гайки стремился занять среднее положение. Малый газ на планировании приходилось держать с силой, иначе он уходил в среднее положение.</w:t>
      </w:r>
    </w:p>
    <w:p w14:paraId="7EFF272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Кнопки управления шасси и крыльевыми щитками нуждались в лучшей герметизации и повышении плавного хода.</w:t>
      </w:r>
    </w:p>
    <w:p w14:paraId="1D8E330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Обзор из кабины, при закрытом фонаре, вперед считался удовлетворительным, а в стороны - хорошим. Но что творилось сзади - летчик не видел. Фонарь кабины невозможно было открыть на больших скоростях, а на планировании он закрывался сам.</w:t>
      </w:r>
    </w:p>
    <w:p w14:paraId="7348530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Высокое расположение прицела (голова летчика упиралась в фонарь) мешало прицеливанию при закрытом фонаре. Поэтому полеты на Jla-5 в боевых условиях производились только с открытым фонарем. В кабине было душно и жарко, а вентиляция не позволяла лететь без очков (12032).</w:t>
      </w:r>
    </w:p>
    <w:p w14:paraId="38A547C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7C02F75"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lastRenderedPageBreak/>
        <w:t>С 20 августа по 13 сентября 1942 года в ходе вторых войсковых испытаний ЛаГГ-5 частями 287 ИАД выполнено 226 самолёто-вылетов на разведку войск противника и 571 самолёто-вылет на прикрытие войск и перехват самолётов противника. В результате воздушных боев сбито: бом</w:t>
      </w:r>
      <w:r w:rsidRPr="00722885">
        <w:rPr>
          <w:rFonts w:ascii="Times New Roman" w:cs="Times New Roman"/>
          <w:color w:val="000000" w:themeColor="text1"/>
          <w:spacing w:val="0"/>
        </w:rPr>
        <w:softHyphen/>
        <w:t xml:space="preserve">бардировщиков — 51, истребителей </w:t>
      </w:r>
      <w:r w:rsidRPr="00722885">
        <w:rPr>
          <w:rFonts w:ascii="Times New Roman" w:cs="Times New Roman"/>
          <w:color w:val="000000" w:themeColor="text1"/>
          <w:spacing w:val="0"/>
          <w:lang w:val="en-US"/>
        </w:rPr>
        <w:t>Me</w:t>
      </w:r>
      <w:r w:rsidRPr="00722885">
        <w:rPr>
          <w:rFonts w:ascii="Times New Roman" w:cs="Times New Roman"/>
          <w:color w:val="000000" w:themeColor="text1"/>
          <w:spacing w:val="0"/>
        </w:rPr>
        <w:t>-109 — 19 и Ме-109Ф — 17.</w:t>
      </w:r>
    </w:p>
    <w:p w14:paraId="62E966E1"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На Сталинградском фронте самолёты Ла-5 с М-82 вели бои с немецкими истреби</w:t>
      </w:r>
      <w:r w:rsidRPr="00722885">
        <w:rPr>
          <w:rFonts w:ascii="Times New Roman" w:cs="Times New Roman"/>
          <w:color w:val="000000" w:themeColor="text1"/>
          <w:spacing w:val="0"/>
        </w:rPr>
        <w:softHyphen/>
        <w:t>телями Ме-109Ф-4 с мотором ДБ-601Е и Ме-109Г-2 с мотором ДБ-605А1, а также с бомбардировщиками Ю-88, Ю-87, Ме-110, Хе-111.</w:t>
      </w:r>
    </w:p>
    <w:p w14:paraId="2F1CBB9A"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воздушном бою с немецкими самолётами Ме-109Ф-4 и Ме-109Г-2 самолёт Ла-5 значительно уступает им как по вертикальному маневру, так и по горизонтальной скоро</w:t>
      </w:r>
      <w:r w:rsidRPr="00722885">
        <w:rPr>
          <w:rFonts w:ascii="Times New Roman" w:cs="Times New Roman"/>
          <w:color w:val="000000" w:themeColor="text1"/>
          <w:spacing w:val="0"/>
        </w:rPr>
        <w:softHyphen/>
        <w:t>сти. В результате чего Ла-5 не может вести с немецкими истребителями Ме-109Ф-4 и Ме-109Г-2 активного воздушного боя, а вынужден вести оборонительный бой.</w:t>
      </w:r>
    </w:p>
    <w:p w14:paraId="7C55D211"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воздушном бою с немецкими самолётами Ю-88, Ме-110 и Хе-111 самолёт Ла-5 отвечает всем требованиям современного истребителя по скорости и маневру. Воо</w:t>
      </w:r>
      <w:r w:rsidRPr="00722885">
        <w:rPr>
          <w:rFonts w:ascii="Times New Roman" w:cs="Times New Roman"/>
          <w:color w:val="000000" w:themeColor="text1"/>
          <w:spacing w:val="0"/>
        </w:rPr>
        <w:softHyphen/>
        <w:t>ружение требует усиления мощности огня...</w:t>
      </w:r>
    </w:p>
    <w:p w14:paraId="0368CF30"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Моторы М-82 в процессе боевой работы эксплуатировались на топливе 4Б-78 и ма</w:t>
      </w:r>
      <w:r w:rsidRPr="00722885">
        <w:rPr>
          <w:rFonts w:ascii="Times New Roman" w:cs="Times New Roman"/>
          <w:color w:val="000000" w:themeColor="text1"/>
          <w:spacing w:val="0"/>
        </w:rPr>
        <w:softHyphen/>
        <w:t>сле МК. По характеру боевой работы (разведка с бреющего полёта, воздушный бой с бомбардировщиками и истребителями и патрулирование) моторы большую часть вре</w:t>
      </w:r>
      <w:r w:rsidRPr="00722885">
        <w:rPr>
          <w:rFonts w:ascii="Times New Roman" w:cs="Times New Roman"/>
          <w:color w:val="000000" w:themeColor="text1"/>
          <w:spacing w:val="0"/>
        </w:rPr>
        <w:softHyphen/>
        <w:t>мени работали на номинальном режиме... Течь масла из-под крышек клапанных коро</w:t>
      </w:r>
      <w:r w:rsidRPr="00722885">
        <w:rPr>
          <w:rFonts w:ascii="Times New Roman" w:cs="Times New Roman"/>
          <w:color w:val="000000" w:themeColor="text1"/>
          <w:spacing w:val="0"/>
        </w:rPr>
        <w:softHyphen/>
        <w:t>бок, из подшипника оси коромысел, из-под гайки кожухов тяг толкателей. Выбивание масла из-под агрегатов задней крышки мотора и в соединениях маслосистемы. Из-за этого возвращались с боевого задания, так как козырек весь забрызгивает маслом, и самолёт становится слепым...»</w:t>
      </w:r>
    </w:p>
    <w:p w14:paraId="66E12566"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результате сделали вывод, что: «Самолёт Ла-5 с мотором М-82 вследствие боль</w:t>
      </w:r>
      <w:r w:rsidRPr="00722885">
        <w:rPr>
          <w:rFonts w:ascii="Times New Roman" w:cs="Times New Roman"/>
          <w:color w:val="000000" w:themeColor="text1"/>
          <w:spacing w:val="0"/>
        </w:rPr>
        <w:softHyphen/>
        <w:t xml:space="preserve">шой удельной нагрузки на крыло значительно уступает в воздушном бою немецким истребителям </w:t>
      </w:r>
      <w:r w:rsidRPr="00722885">
        <w:rPr>
          <w:rFonts w:ascii="Times New Roman" w:cs="Times New Roman"/>
          <w:color w:val="000000" w:themeColor="text1"/>
          <w:spacing w:val="0"/>
          <w:lang w:val="en-US"/>
        </w:rPr>
        <w:t>Me</w:t>
      </w:r>
      <w:r w:rsidRPr="00722885">
        <w:rPr>
          <w:rFonts w:ascii="Times New Roman" w:cs="Times New Roman"/>
          <w:color w:val="000000" w:themeColor="text1"/>
          <w:spacing w:val="0"/>
        </w:rPr>
        <w:t>-109</w:t>
      </w:r>
      <w:r w:rsidRPr="00722885">
        <w:rPr>
          <w:rFonts w:ascii="Times New Roman" w:cs="Times New Roman"/>
          <w:color w:val="000000" w:themeColor="text1"/>
          <w:spacing w:val="0"/>
          <w:lang w:val="en-US"/>
        </w:rPr>
        <w:t>F</w:t>
      </w:r>
      <w:r w:rsidRPr="00722885">
        <w:rPr>
          <w:rFonts w:ascii="Times New Roman" w:cs="Times New Roman"/>
          <w:color w:val="000000" w:themeColor="text1"/>
          <w:spacing w:val="0"/>
        </w:rPr>
        <w:t xml:space="preserve">-4 и </w:t>
      </w:r>
      <w:r w:rsidRPr="00722885">
        <w:rPr>
          <w:rFonts w:ascii="Times New Roman" w:cs="Times New Roman"/>
          <w:color w:val="000000" w:themeColor="text1"/>
          <w:spacing w:val="0"/>
          <w:lang w:val="en-US"/>
        </w:rPr>
        <w:t>Me</w:t>
      </w:r>
      <w:r w:rsidRPr="00722885">
        <w:rPr>
          <w:rFonts w:ascii="Times New Roman" w:cs="Times New Roman"/>
          <w:color w:val="000000" w:themeColor="text1"/>
          <w:spacing w:val="0"/>
        </w:rPr>
        <w:t>-109</w:t>
      </w:r>
      <w:r w:rsidRPr="00722885">
        <w:rPr>
          <w:rFonts w:ascii="Times New Roman" w:cs="Times New Roman"/>
          <w:color w:val="000000" w:themeColor="text1"/>
          <w:spacing w:val="0"/>
          <w:lang w:val="en-US"/>
        </w:rPr>
        <w:t>G</w:t>
      </w:r>
      <w:r w:rsidRPr="00722885">
        <w:rPr>
          <w:rFonts w:ascii="Times New Roman" w:cs="Times New Roman"/>
          <w:color w:val="000000" w:themeColor="text1"/>
          <w:spacing w:val="0"/>
        </w:rPr>
        <w:t>-2 как по вертикальному маневру, так и по гори</w:t>
      </w:r>
      <w:r w:rsidRPr="00722885">
        <w:rPr>
          <w:rFonts w:ascii="Times New Roman" w:cs="Times New Roman"/>
          <w:color w:val="000000" w:themeColor="text1"/>
          <w:spacing w:val="0"/>
        </w:rPr>
        <w:softHyphen/>
        <w:t>зонтальной скорости.</w:t>
      </w:r>
    </w:p>
    <w:p w14:paraId="6664A666"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Самолёт Ла-5 может вести воздушный бой с указанными немецкими истребителя</w:t>
      </w:r>
      <w:r w:rsidRPr="00722885">
        <w:rPr>
          <w:rFonts w:ascii="Times New Roman" w:cs="Times New Roman"/>
          <w:color w:val="000000" w:themeColor="text1"/>
          <w:spacing w:val="0"/>
        </w:rPr>
        <w:softHyphen/>
        <w:t>ми — только оборонительный, так как, имея превосходство в горизонтальной скорости и вертикальном маневре истребители противника имеют большое преимущество в вы</w:t>
      </w:r>
      <w:r w:rsidRPr="00722885">
        <w:rPr>
          <w:rFonts w:ascii="Times New Roman" w:cs="Times New Roman"/>
          <w:color w:val="000000" w:themeColor="text1"/>
          <w:spacing w:val="0"/>
        </w:rPr>
        <w:softHyphen/>
        <w:t>боре наивыгоднейших позиций для атаки, что дает возможность их численно меньшей группе сковывать численно превосходящую группу самолётов Ла-5 и навязывать ей бой на выгодных для себя условиях...» (15813).</w:t>
      </w:r>
    </w:p>
    <w:p w14:paraId="3E5089EC"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p>
    <w:p w14:paraId="32C7E7AB"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20 августа 1942 первые из полков (297-й, 27-й, 240-й, 437-й и 15-й истребительные полки, вошедшие в состав 287-й иад 8-й ВА Сталинградского фронта), получивших ЛаГГ-5 в июле-августе 1942, уже вступили в бой. К этому времени гос</w:t>
      </w:r>
      <w:r w:rsidRPr="00722885">
        <w:rPr>
          <w:rFonts w:ascii="Times New Roman" w:cs="Times New Roman"/>
          <w:color w:val="000000" w:themeColor="text1"/>
          <w:spacing w:val="0"/>
        </w:rPr>
        <w:softHyphen/>
        <w:t>подство в воздухе полностью было на стороне люфтваффе. Нашу авиацию прижали к своим аэродромам, все они находились под контролем немецких истребителей, и ни один вылет не проходил не замеченным противником. При взлёте наших истребите</w:t>
      </w:r>
      <w:r w:rsidRPr="00722885">
        <w:rPr>
          <w:rFonts w:ascii="Times New Roman" w:cs="Times New Roman"/>
          <w:color w:val="000000" w:themeColor="text1"/>
          <w:spacing w:val="0"/>
        </w:rPr>
        <w:softHyphen/>
        <w:t xml:space="preserve">лей над аэродромом появлялись 4—6—12 </w:t>
      </w:r>
      <w:r w:rsidRPr="00722885">
        <w:rPr>
          <w:rFonts w:ascii="Times New Roman" w:cs="Times New Roman"/>
          <w:color w:val="000000" w:themeColor="text1"/>
          <w:spacing w:val="0"/>
          <w:lang w:val="en-US"/>
        </w:rPr>
        <w:t>Bf</w:t>
      </w:r>
      <w:r w:rsidRPr="00722885">
        <w:rPr>
          <w:rFonts w:ascii="Times New Roman" w:cs="Times New Roman"/>
          <w:color w:val="000000" w:themeColor="text1"/>
          <w:spacing w:val="0"/>
        </w:rPr>
        <w:t xml:space="preserve"> 109</w:t>
      </w:r>
      <w:r w:rsidRPr="00722885">
        <w:rPr>
          <w:rFonts w:ascii="Times New Roman" w:cs="Times New Roman"/>
          <w:color w:val="000000" w:themeColor="text1"/>
          <w:spacing w:val="0"/>
          <w:lang w:val="en-US"/>
        </w:rPr>
        <w:t>F</w:t>
      </w:r>
      <w:r w:rsidRPr="00722885">
        <w:rPr>
          <w:rFonts w:ascii="Times New Roman" w:cs="Times New Roman"/>
          <w:color w:val="000000" w:themeColor="text1"/>
          <w:spacing w:val="0"/>
        </w:rPr>
        <w:t xml:space="preserve"> и связывали их воздушным боем.</w:t>
      </w:r>
    </w:p>
    <w:p w14:paraId="3A0F6928"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таких тяжелейших условиях наспех подготовленные полки несли большие потери. Так, 297 иап с 20 по 25 августа сбил 6 самолётов противника, потеряв 4 своих. 437 иап с 22 по 26 августа сбил 3 и потерял 5, 27 иап с 20 по 26 августа сбил 12 и потерял 7, 240 иап с 20 по 27 августа сбил 10 и потерял 7 самолётов. 2 сентября 1942 г. началь</w:t>
      </w:r>
      <w:r w:rsidRPr="00722885">
        <w:rPr>
          <w:rFonts w:ascii="Times New Roman" w:cs="Times New Roman"/>
          <w:color w:val="000000" w:themeColor="text1"/>
          <w:spacing w:val="0"/>
        </w:rPr>
        <w:softHyphen/>
        <w:t>ник воздушно-стрелковой службы ВВС КА генерал-майор Рафалович докладывал за</w:t>
      </w:r>
      <w:r w:rsidRPr="00722885">
        <w:rPr>
          <w:rFonts w:ascii="Times New Roman" w:cs="Times New Roman"/>
          <w:color w:val="000000" w:themeColor="text1"/>
          <w:spacing w:val="0"/>
        </w:rPr>
        <w:softHyphen/>
        <w:t>местителю командующего ВВС КА генерал-лейтенанту Г.А. Ворожейкину:</w:t>
      </w:r>
    </w:p>
    <w:p w14:paraId="7C41FBCB"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«Несмотря на большие зарегистрированные победы лётчиков 287 авиадивизии, их мож</w:t>
      </w:r>
      <w:r w:rsidRPr="00722885">
        <w:rPr>
          <w:rFonts w:ascii="Times New Roman" w:cs="Times New Roman"/>
          <w:color w:val="000000" w:themeColor="text1"/>
          <w:spacing w:val="0"/>
        </w:rPr>
        <w:softHyphen/>
        <w:t>но было бы иметь больше и меньше нести своих потерь, при условии лучшего освоения лётным составом боевого применения самолёта ЛАГ-5, организованно вступать и вы</w:t>
      </w:r>
      <w:r w:rsidRPr="00722885">
        <w:rPr>
          <w:rFonts w:ascii="Times New Roman" w:cs="Times New Roman"/>
          <w:color w:val="000000" w:themeColor="text1"/>
          <w:spacing w:val="0"/>
        </w:rPr>
        <w:softHyphen/>
        <w:t>ходить из воздушного боя, поддерживать товарищей, не выходить из боя одиночным порядком и наладить лучше радиосвязь между самолётами и самолётов с землей» (15813).</w:t>
      </w:r>
    </w:p>
    <w:p w14:paraId="0A6599E7" w14:textId="77777777" w:rsidR="00055325" w:rsidRPr="00722885" w:rsidRDefault="00055325" w:rsidP="00722885">
      <w:pPr>
        <w:pStyle w:val="27"/>
        <w:shd w:val="clear" w:color="auto" w:fill="auto"/>
        <w:spacing w:after="0" w:line="240" w:lineRule="auto"/>
        <w:ind w:firstLine="0"/>
        <w:rPr>
          <w:rFonts w:ascii="Times New Roman" w:cs="Times New Roman"/>
          <w:color w:val="000000" w:themeColor="text1"/>
          <w:spacing w:val="0"/>
        </w:rPr>
      </w:pPr>
    </w:p>
    <w:p w14:paraId="76CDEF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20 августа 1942 г. на всех Як-1 стали устанавливать радиоприемник PC И-4, а на каждом пятом (с 1 октября на каждом четном) радиопередатчика РСИ -3, что улучшило тактические свойства машины.</w:t>
      </w:r>
    </w:p>
    <w:p w14:paraId="5576B21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ЛИИ НКАП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459A21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9B487A" w:rsidRPr="00722885" w14:paraId="74245B13" w14:textId="77777777" w:rsidTr="00CC5360">
        <w:tc>
          <w:tcPr>
            <w:tcW w:w="2802" w:type="dxa"/>
            <w:tcBorders>
              <w:top w:val="single" w:sz="12" w:space="0" w:color="auto"/>
            </w:tcBorders>
          </w:tcPr>
          <w:p w14:paraId="45001D1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данные</w:t>
            </w:r>
          </w:p>
        </w:tc>
        <w:tc>
          <w:tcPr>
            <w:tcW w:w="2802" w:type="dxa"/>
            <w:tcBorders>
              <w:top w:val="single" w:sz="12" w:space="0" w:color="auto"/>
            </w:tcBorders>
          </w:tcPr>
          <w:p w14:paraId="306A0A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2898</w:t>
            </w:r>
          </w:p>
        </w:tc>
        <w:tc>
          <w:tcPr>
            <w:tcW w:w="2802" w:type="dxa"/>
            <w:tcBorders>
              <w:top w:val="single" w:sz="12" w:space="0" w:color="auto"/>
            </w:tcBorders>
          </w:tcPr>
          <w:p w14:paraId="6F275A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53D02B9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1699</w:t>
            </w:r>
          </w:p>
        </w:tc>
      </w:tr>
      <w:tr w:rsidR="009B487A" w:rsidRPr="00722885" w14:paraId="59EF3536" w14:textId="77777777" w:rsidTr="00CC5360">
        <w:tc>
          <w:tcPr>
            <w:tcW w:w="2802" w:type="dxa"/>
          </w:tcPr>
          <w:p w14:paraId="31C6DC5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кг</w:t>
            </w:r>
          </w:p>
        </w:tc>
        <w:tc>
          <w:tcPr>
            <w:tcW w:w="2802" w:type="dxa"/>
          </w:tcPr>
          <w:p w14:paraId="34FFD9E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2940</w:t>
            </w:r>
          </w:p>
        </w:tc>
        <w:tc>
          <w:tcPr>
            <w:tcW w:w="2802" w:type="dxa"/>
          </w:tcPr>
          <w:p w14:paraId="565887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2780</w:t>
            </w:r>
          </w:p>
        </w:tc>
        <w:tc>
          <w:tcPr>
            <w:tcW w:w="2802" w:type="dxa"/>
          </w:tcPr>
          <w:p w14:paraId="1D65801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2920</w:t>
            </w:r>
          </w:p>
        </w:tc>
      </w:tr>
      <w:tr w:rsidR="009B487A" w:rsidRPr="00722885" w14:paraId="596416D0" w14:textId="77777777" w:rsidTr="00CC5360">
        <w:tc>
          <w:tcPr>
            <w:tcW w:w="2802" w:type="dxa"/>
          </w:tcPr>
          <w:p w14:paraId="48D950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км/ч у земли</w:t>
            </w:r>
          </w:p>
        </w:tc>
        <w:tc>
          <w:tcPr>
            <w:tcW w:w="2802" w:type="dxa"/>
          </w:tcPr>
          <w:p w14:paraId="53EF507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516</w:t>
            </w:r>
          </w:p>
        </w:tc>
        <w:tc>
          <w:tcPr>
            <w:tcW w:w="2802" w:type="dxa"/>
          </w:tcPr>
          <w:p w14:paraId="1EEE000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526</w:t>
            </w:r>
          </w:p>
        </w:tc>
        <w:tc>
          <w:tcPr>
            <w:tcW w:w="2802" w:type="dxa"/>
          </w:tcPr>
          <w:p w14:paraId="2B82F0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524</w:t>
            </w:r>
          </w:p>
        </w:tc>
      </w:tr>
      <w:tr w:rsidR="009B487A" w:rsidRPr="00722885" w14:paraId="3B9E57DC" w14:textId="77777777" w:rsidTr="00CC5360">
        <w:tc>
          <w:tcPr>
            <w:tcW w:w="2802" w:type="dxa"/>
          </w:tcPr>
          <w:p w14:paraId="6FCC21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053D437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566</w:t>
            </w:r>
          </w:p>
        </w:tc>
        <w:tc>
          <w:tcPr>
            <w:tcW w:w="2802" w:type="dxa"/>
          </w:tcPr>
          <w:p w14:paraId="1A519D5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586</w:t>
            </w:r>
          </w:p>
        </w:tc>
        <w:tc>
          <w:tcPr>
            <w:tcW w:w="2802" w:type="dxa"/>
          </w:tcPr>
          <w:p w14:paraId="480D27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584</w:t>
            </w:r>
          </w:p>
        </w:tc>
      </w:tr>
      <w:tr w:rsidR="009B487A" w:rsidRPr="00722885" w14:paraId="55EFE862" w14:textId="77777777" w:rsidTr="00CC5360">
        <w:tc>
          <w:tcPr>
            <w:tcW w:w="2802" w:type="dxa"/>
          </w:tcPr>
          <w:p w14:paraId="449D6E7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66A4638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569</w:t>
            </w:r>
          </w:p>
        </w:tc>
        <w:tc>
          <w:tcPr>
            <w:tcW w:w="2802" w:type="dxa"/>
          </w:tcPr>
          <w:p w14:paraId="4B8B6C7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592</w:t>
            </w:r>
          </w:p>
        </w:tc>
        <w:tc>
          <w:tcPr>
            <w:tcW w:w="2802" w:type="dxa"/>
          </w:tcPr>
          <w:p w14:paraId="3ECCE813"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9F096D4" w14:textId="77777777" w:rsidTr="00CC5360">
        <w:tc>
          <w:tcPr>
            <w:tcW w:w="2802" w:type="dxa"/>
            <w:tcBorders>
              <w:bottom w:val="single" w:sz="12" w:space="0" w:color="auto"/>
            </w:tcBorders>
          </w:tcPr>
          <w:p w14:paraId="6FB2DC6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3BBD5A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w:t>
            </w:r>
          </w:p>
        </w:tc>
        <w:tc>
          <w:tcPr>
            <w:tcW w:w="2802" w:type="dxa"/>
            <w:tcBorders>
              <w:bottom w:val="single" w:sz="12" w:space="0" w:color="auto"/>
            </w:tcBorders>
          </w:tcPr>
          <w:p w14:paraId="6A52CFA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2802" w:type="dxa"/>
            <w:tcBorders>
              <w:bottom w:val="single" w:sz="12" w:space="0" w:color="auto"/>
            </w:tcBorders>
          </w:tcPr>
          <w:p w14:paraId="05F4586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r>
    </w:tbl>
    <w:p w14:paraId="6DD6FEF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Войсковые испытания самолетов Як-16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6BFFE2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52ADD98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27EC2EB"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в 1942 году с этого дня на всех «Як-1» устанавливались радиоприемники «РСИ-4», а на каждом пятом (с 1 октября на каждом четном) - радиопередатчики «РСИ-3». Одновременно были проведены мероприятия по частичному облегчению конструкции серийных самолетов. По постановлению ГКО от 22 сентября 1942 года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концевой выключатель на секторе газа. Этим же постановлением предписывалось устанавливать на самолетах ночное светооборудование, фару, вариометр и «РПК-10» только по особому заказу для самолетов ПВО (14989).</w:t>
      </w:r>
    </w:p>
    <w:p w14:paraId="04089807" w14:textId="77777777" w:rsidR="008319D5" w:rsidRPr="00722885" w:rsidRDefault="008319D5" w:rsidP="00722885">
      <w:pPr>
        <w:spacing w:after="0" w:line="240" w:lineRule="auto"/>
        <w:jc w:val="both"/>
        <w:rPr>
          <w:rFonts w:ascii="Times New Roman" w:hAnsi="Times New Roman"/>
          <w:color w:val="000000" w:themeColor="text1"/>
          <w:sz w:val="16"/>
          <w:szCs w:val="16"/>
        </w:rPr>
      </w:pPr>
    </w:p>
    <w:p w14:paraId="58BCF253"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3A93351" w14:textId="77777777" w:rsidR="00AE7191" w:rsidRPr="00722885" w:rsidRDefault="00AE7191" w:rsidP="00722885">
      <w:pPr>
        <w:pStyle w:val="Iauiue"/>
        <w:jc w:val="both"/>
        <w:rPr>
          <w:iCs/>
          <w:color w:val="000000" w:themeColor="text1"/>
          <w:sz w:val="16"/>
          <w:szCs w:val="16"/>
        </w:rPr>
      </w:pPr>
    </w:p>
    <w:p w14:paraId="6D228A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вышло Постановление ГКО № 2199 Об эвакуации оборудования, материалов, а также рабочих, ИТР и служащих завода № 565 Наркомбоеприпасов из г. Орджоникидзе. РГАНИР, Фонд ГКО, д. 52, лл. 153 (11012).</w:t>
      </w:r>
    </w:p>
    <w:p w14:paraId="61192C4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DC4DD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г. на площадку завода (Завод № 610 НКБ /Азербайджан  г. Баку/) в соответствии с пост. ГКО № 2199 было эвакуировано снаряжение бомб АО-8- 10 и ФАБ-100 завода № 565 из Орджоникидзе, в 10.1942 г. прибывшее оборудование введено в строй. Снаряжательный завод. В 12.1942-11.1943 г. - в ведении 1ГУ НКБ.</w:t>
      </w:r>
    </w:p>
    <w:p w14:paraId="247B60B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(12.1942 г.)- 1928 чел.</w:t>
      </w:r>
    </w:p>
    <w:p w14:paraId="2C3B44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снаряжение: ручная граната РГД-33 (ВОВ), бомбы АО-8, ФАБ-100 (1942-) (11982).</w:t>
      </w:r>
    </w:p>
    <w:p w14:paraId="78D2BAA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74FBEEF" w14:textId="77777777" w:rsidR="008319D5" w:rsidRPr="00722885" w:rsidRDefault="008319D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20 августа 1942 года, постановлением Государственного Комите</w:t>
      </w:r>
      <w:r w:rsidRPr="00722885">
        <w:rPr>
          <w:rFonts w:ascii="Times New Roman" w:cs="Times New Roman"/>
          <w:color w:val="000000" w:themeColor="text1"/>
          <w:spacing w:val="0"/>
        </w:rPr>
        <w:softHyphen/>
        <w:t>та Обороны № 2192 «О выпуске улучшен</w:t>
      </w:r>
      <w:r w:rsidRPr="00722885">
        <w:rPr>
          <w:rFonts w:ascii="Times New Roman" w:cs="Times New Roman"/>
          <w:color w:val="000000" w:themeColor="text1"/>
          <w:spacing w:val="0"/>
        </w:rPr>
        <w:softHyphen/>
        <w:t xml:space="preserve">ных танков КВ-1 и Т-34»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принимался на вооружение Красной Армии с организа</w:t>
      </w:r>
      <w:r w:rsidRPr="00722885">
        <w:rPr>
          <w:rFonts w:ascii="Times New Roman" w:cs="Times New Roman"/>
          <w:color w:val="000000" w:themeColor="text1"/>
          <w:spacing w:val="0"/>
        </w:rPr>
        <w:softHyphen/>
        <w:t>цией его производства на Челябинском Ки</w:t>
      </w:r>
      <w:r w:rsidRPr="00722885">
        <w:rPr>
          <w:rFonts w:ascii="Times New Roman" w:cs="Times New Roman"/>
          <w:color w:val="000000" w:themeColor="text1"/>
          <w:spacing w:val="0"/>
        </w:rPr>
        <w:softHyphen/>
        <w:t>ровском заводе (15226).</w:t>
      </w:r>
    </w:p>
    <w:p w14:paraId="595CB30F" w14:textId="77777777" w:rsidR="008319D5" w:rsidRPr="00722885" w:rsidRDefault="008319D5" w:rsidP="00722885">
      <w:pPr>
        <w:pStyle w:val="27"/>
        <w:shd w:val="clear" w:color="auto" w:fill="auto"/>
        <w:spacing w:after="0" w:line="240" w:lineRule="auto"/>
        <w:ind w:firstLine="0"/>
        <w:rPr>
          <w:rFonts w:ascii="Times New Roman" w:cs="Times New Roman"/>
          <w:color w:val="000000" w:themeColor="text1"/>
          <w:spacing w:val="0"/>
        </w:rPr>
      </w:pPr>
    </w:p>
    <w:p w14:paraId="544E37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 августа 1942 на вооружение был принят КВ-1С, облегченный до 42.5 т, с новой коробкой передач и пушкой, и на Кировском заводе в Челябинске началась серия, которая прекратилась в сентябре 1943 после выпуска 1106 танков. Летом 1942 в Челябинске стальные радиаторы испытывали в большой морозильной камере в Челябинске. Машину показали англичанам и потом ее испытали в США на Абердингском полигоне (3828,32).</w:t>
      </w:r>
    </w:p>
    <w:p w14:paraId="57AC00DA" w14:textId="77777777" w:rsidR="00AE7191" w:rsidRPr="00722885" w:rsidRDefault="00AE7191" w:rsidP="00722885">
      <w:pPr>
        <w:pStyle w:val="Iauiue"/>
        <w:jc w:val="both"/>
        <w:rPr>
          <w:color w:val="000000" w:themeColor="text1"/>
          <w:sz w:val="16"/>
          <w:szCs w:val="16"/>
        </w:rPr>
      </w:pPr>
    </w:p>
    <w:p w14:paraId="7CA9856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w:t>
      </w:r>
      <w:r w:rsidRPr="00722885">
        <w:rPr>
          <w:rFonts w:ascii="Times New Roman" w:hAnsi="Times New Roman"/>
          <w:color w:val="000000" w:themeColor="text1"/>
          <w:sz w:val="16"/>
          <w:szCs w:val="16"/>
        </w:rPr>
        <w:softHyphen/>
        <w:t>та 1942 новый танк КВ-1 С был принят на вооружение Красной Армии. Он в самом деле оправдывал свое название, ибо его масса снизилась до 42,3 тонны, а максимальная ско</w:t>
      </w:r>
      <w:r w:rsidRPr="00722885">
        <w:rPr>
          <w:rFonts w:ascii="Times New Roman" w:hAnsi="Times New Roman"/>
          <w:color w:val="000000" w:themeColor="text1"/>
          <w:sz w:val="16"/>
          <w:szCs w:val="16"/>
        </w:rPr>
        <w:softHyphen/>
        <w:t>рость возросла до 43 км/ч по шоссе. Однако это было достигнуто за счет снижения броне</w:t>
      </w:r>
      <w:r w:rsidRPr="00722885">
        <w:rPr>
          <w:rFonts w:ascii="Times New Roman" w:hAnsi="Times New Roman"/>
          <w:color w:val="000000" w:themeColor="text1"/>
          <w:sz w:val="16"/>
          <w:szCs w:val="16"/>
        </w:rPr>
        <w:softHyphen/>
        <w:t>вой защиты танка, и если летом-осенью такое решение еще могло быть оправданным, то к лету 1942 г. ситуация изме</w:t>
      </w:r>
      <w:r w:rsidRPr="00722885">
        <w:rPr>
          <w:rFonts w:ascii="Times New Roman" w:hAnsi="Times New Roman"/>
          <w:color w:val="000000" w:themeColor="text1"/>
          <w:sz w:val="16"/>
          <w:szCs w:val="16"/>
        </w:rPr>
        <w:softHyphen/>
        <w:t>нилась. Теперь в вермахт начали поступать новые 75-мм противотанковые пушки Рак 40, танки Т Ш и Т 1У стали вооружаться длинноствольными 50- и 75-мм орудиями. Повсеместно вводились кумулятивные и подкалиберные боеприпасы. Все это привело к тому, что танк КВ утратил часть своих боевых качеств и в целом сравнялся с Т-34 (10782).</w:t>
      </w:r>
    </w:p>
    <w:p w14:paraId="0E6FDB4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43CB77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20 августа 1942 года начался серийный выпуск танков КВ-1с. Всего до апреля 1943 было выпущено 1370 танков КВ-1с. На базе КВ-1с строился огнеметный танк КВ-8с, также он послужил базой для создания КВ-85, а шасси КВ-1с использовалось для выпуска самоходок СУ-152. (3862).</w:t>
      </w:r>
    </w:p>
    <w:p w14:paraId="58574DA9" w14:textId="77777777" w:rsidR="00AE7191" w:rsidRPr="00722885" w:rsidRDefault="00AE7191" w:rsidP="00722885">
      <w:pPr>
        <w:pStyle w:val="Iauiue"/>
        <w:jc w:val="both"/>
        <w:rPr>
          <w:color w:val="000000" w:themeColor="text1"/>
          <w:sz w:val="16"/>
          <w:szCs w:val="16"/>
        </w:rPr>
      </w:pPr>
    </w:p>
    <w:p w14:paraId="284B28E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г. Танк КВ-1С был принят на вооружение РККА и выпускался на ЧКЗ серийно до сентября 1943 г. Всего было выпущено 1083 танка (624 машины в 1942 г. и 459 машин в 1943 г.) данной модификации, которые широко применялись на фронтах Великой Отечественной войны. Танк КВ-1С был разработан на базе танка КВ-1 обр. 1941 г. и отли</w:t>
      </w:r>
      <w:r w:rsidRPr="00722885">
        <w:rPr>
          <w:rFonts w:ascii="Times New Roman" w:hAnsi="Times New Roman"/>
          <w:color w:val="000000" w:themeColor="text1"/>
          <w:sz w:val="16"/>
          <w:szCs w:val="16"/>
        </w:rPr>
        <w:softHyphen/>
        <w:t>чался от последнего уменьшенной толщиной бортовых листов и листов днища корпуса, литой башней измененной формы, а также размещени</w:t>
      </w:r>
      <w:r w:rsidRPr="00722885">
        <w:rPr>
          <w:rFonts w:ascii="Times New Roman" w:hAnsi="Times New Roman"/>
          <w:color w:val="000000" w:themeColor="text1"/>
          <w:sz w:val="16"/>
          <w:szCs w:val="16"/>
        </w:rPr>
        <w:softHyphen/>
        <w:t>ем членов экипажа в башне и установкой более совершенной коробки передач. Машина имела классическую схему общей компоновки. Забро</w:t>
      </w:r>
      <w:r w:rsidRPr="00722885">
        <w:rPr>
          <w:rFonts w:ascii="Times New Roman" w:hAnsi="Times New Roman"/>
          <w:color w:val="000000" w:themeColor="text1"/>
          <w:sz w:val="16"/>
          <w:szCs w:val="16"/>
        </w:rPr>
        <w:softHyphen/>
        <w:t>нированный объем боевого и транс</w:t>
      </w:r>
      <w:r w:rsidRPr="00722885">
        <w:rPr>
          <w:rFonts w:ascii="Times New Roman" w:hAnsi="Times New Roman"/>
          <w:color w:val="000000" w:themeColor="text1"/>
          <w:sz w:val="16"/>
          <w:szCs w:val="16"/>
        </w:rPr>
        <w:softHyphen/>
        <w:t>миссионного отделений машины был сокращен за счет уменьшения размеров башни и уменьшения вы</w:t>
      </w:r>
      <w:r w:rsidRPr="00722885">
        <w:rPr>
          <w:rFonts w:ascii="Times New Roman" w:hAnsi="Times New Roman"/>
          <w:color w:val="000000" w:themeColor="text1"/>
          <w:sz w:val="16"/>
          <w:szCs w:val="16"/>
        </w:rPr>
        <w:softHyphen/>
        <w:t>соты кормовой части корпуса. Кро</w:t>
      </w:r>
      <w:r w:rsidRPr="00722885">
        <w:rPr>
          <w:rFonts w:ascii="Times New Roman" w:hAnsi="Times New Roman"/>
          <w:color w:val="000000" w:themeColor="text1"/>
          <w:sz w:val="16"/>
          <w:szCs w:val="16"/>
        </w:rPr>
        <w:softHyphen/>
        <w:t>ме того, была снижена масса узлов и агрегатов трансмиссии и ходовой части танка (10703).</w:t>
      </w:r>
    </w:p>
    <w:p w14:paraId="666E18D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8BAC2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года на смену КВ-1 пришел принятый на вооружение танк КВ-1С, существенно отличавшийся от своего предшественника. В числе принципиальных отличий были усовершенствованная система охлаждения и новая коробка передач. Но настоящим прорывом в вопросе надёжности стало создание танка ИС в 1943 году (12290).</w:t>
      </w:r>
    </w:p>
    <w:p w14:paraId="1FB3221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62EF2F8" w14:textId="77777777" w:rsidR="00AE7191" w:rsidRPr="00722885" w:rsidRDefault="00AE7191" w:rsidP="00722885">
      <w:pPr>
        <w:pStyle w:val="a3"/>
        <w:rPr>
          <w:color w:val="000000" w:themeColor="text1"/>
          <w:lang w:val="ru-RU"/>
        </w:rPr>
      </w:pPr>
      <w:r w:rsidRPr="00722885">
        <w:rPr>
          <w:color w:val="000000" w:themeColor="text1"/>
          <w:lang w:val="ru-RU"/>
        </w:rPr>
        <w:t>20 августа 1942 г. постановлением ГКО танк КВ-1С приняли к серийному производ</w:t>
      </w:r>
      <w:r w:rsidRPr="00722885">
        <w:rPr>
          <w:color w:val="000000" w:themeColor="text1"/>
          <w:lang w:val="ru-RU"/>
        </w:rPr>
        <w:softHyphen/>
        <w:t>ству. Но, как показали дальнейшие события, существенного изменения в расстановку сил на фронте это не внесло. По боевым возмож</w:t>
      </w:r>
      <w:r w:rsidRPr="00722885">
        <w:rPr>
          <w:color w:val="000000" w:themeColor="text1"/>
          <w:lang w:val="ru-RU"/>
        </w:rPr>
        <w:softHyphen/>
        <w:t>ностям (главным образом — по броневой защите) могущество КВ несколько снизилось, а показатели подвижности (проходимости, скорости) — повысились. Но в целом техни</w:t>
      </w:r>
      <w:r w:rsidRPr="00722885">
        <w:rPr>
          <w:color w:val="000000" w:themeColor="text1"/>
          <w:lang w:val="ru-RU"/>
        </w:rPr>
        <w:softHyphen/>
        <w:t>ческий уровень модернизированного танка остался практически прежним, хотя качество изготовления КВ-1С было выше, чем у пред</w:t>
      </w:r>
      <w:r w:rsidRPr="00722885">
        <w:rPr>
          <w:color w:val="000000" w:themeColor="text1"/>
          <w:lang w:val="ru-RU"/>
        </w:rPr>
        <w:softHyphen/>
        <w:t>шественника.</w:t>
      </w:r>
    </w:p>
    <w:p w14:paraId="422BD32F" w14:textId="77777777" w:rsidR="00AE7191" w:rsidRPr="00722885" w:rsidRDefault="00AE7191" w:rsidP="00722885">
      <w:pPr>
        <w:pStyle w:val="a3"/>
        <w:rPr>
          <w:color w:val="000000" w:themeColor="text1"/>
          <w:lang w:val="ru-RU"/>
        </w:rPr>
      </w:pPr>
      <w:r w:rsidRPr="00722885">
        <w:rPr>
          <w:color w:val="000000" w:themeColor="text1"/>
          <w:lang w:val="ru-RU"/>
        </w:rPr>
        <w:t>Конструктивные недостатки КВ были хорошо известны конструкторам ЧКЗ. Поэтому еще летом, в ходе работ по КВ-13, в СКБ-2 под руководством заместителя главного конструк</w:t>
      </w:r>
      <w:r w:rsidRPr="00722885">
        <w:rPr>
          <w:color w:val="000000" w:themeColor="text1"/>
          <w:lang w:val="ru-RU"/>
        </w:rPr>
        <w:softHyphen/>
        <w:t>тора Н.Л. Духова началось проектирование новой модификации тяжелого танка КВ.</w:t>
      </w:r>
    </w:p>
    <w:p w14:paraId="265189AB" w14:textId="77777777" w:rsidR="00AE7191" w:rsidRPr="00722885" w:rsidRDefault="00AE7191" w:rsidP="00722885">
      <w:pPr>
        <w:pStyle w:val="a3"/>
        <w:rPr>
          <w:color w:val="000000" w:themeColor="text1"/>
          <w:lang w:val="ru-RU"/>
        </w:rPr>
      </w:pPr>
      <w:r w:rsidRPr="00722885">
        <w:rPr>
          <w:color w:val="000000" w:themeColor="text1"/>
          <w:lang w:val="ru-RU"/>
        </w:rPr>
        <w:t>Этот танк, получивший обозначение КВ-1С, характеризовался уменьшенной тол</w:t>
      </w:r>
      <w:r w:rsidRPr="00722885">
        <w:rPr>
          <w:color w:val="000000" w:themeColor="text1"/>
          <w:lang w:val="ru-RU"/>
        </w:rPr>
        <w:softHyphen/>
        <w:t>щиной брони борта и днища. Конфигурация машины была изменена за счет уменьшения размеров башни и высоты корпуса в кормовой части. Конструктивные решения узлов и дета</w:t>
      </w:r>
      <w:r w:rsidRPr="00722885">
        <w:rPr>
          <w:color w:val="000000" w:themeColor="text1"/>
          <w:lang w:val="ru-RU"/>
        </w:rPr>
        <w:softHyphen/>
        <w:t>лей трансмиссии и ходовой части также пере</w:t>
      </w:r>
      <w:r w:rsidRPr="00722885">
        <w:rPr>
          <w:color w:val="000000" w:themeColor="text1"/>
          <w:lang w:val="ru-RU"/>
        </w:rPr>
        <w:softHyphen/>
        <w:t>смотрели в сторону уменьшения их размеров и массы. Пятиступенчатая коробка передач, как ненадежная и морально устаревшая, под</w:t>
      </w:r>
      <w:r w:rsidRPr="00722885">
        <w:rPr>
          <w:color w:val="000000" w:themeColor="text1"/>
          <w:lang w:val="ru-RU"/>
        </w:rPr>
        <w:softHyphen/>
        <w:t>лежала замене на 8-скоростную (как на КВ-13). Изменили главный фрикцион и опорные катки, уменьшили ширину гусеницы. Кроме того, в гусеничной ленте устанавливались траки (через один) с гребнями и без них. Двигатель остался прежний — В-2К.</w:t>
      </w:r>
    </w:p>
    <w:p w14:paraId="211B2590" w14:textId="77777777" w:rsidR="00AE7191" w:rsidRPr="00722885" w:rsidRDefault="00AE7191" w:rsidP="00722885">
      <w:pPr>
        <w:pStyle w:val="a3"/>
        <w:rPr>
          <w:color w:val="000000" w:themeColor="text1"/>
          <w:lang w:val="ru-RU"/>
        </w:rPr>
      </w:pPr>
      <w:r w:rsidRPr="00722885">
        <w:rPr>
          <w:color w:val="000000" w:themeColor="text1"/>
          <w:lang w:val="ru-RU"/>
        </w:rPr>
        <w:t>Компоновка боевого отделения подвер</w:t>
      </w:r>
      <w:r w:rsidRPr="00722885">
        <w:rPr>
          <w:color w:val="000000" w:themeColor="text1"/>
          <w:lang w:val="ru-RU"/>
        </w:rPr>
        <w:softHyphen/>
        <w:t>глась существенным изменениям. Эту важ</w:t>
      </w:r>
      <w:r w:rsidRPr="00722885">
        <w:rPr>
          <w:color w:val="000000" w:themeColor="text1"/>
          <w:lang w:val="ru-RU"/>
        </w:rPr>
        <w:softHyphen/>
        <w:t>ную работу выполнял Григорий Николаевич Москвин. В танке КВ-1 наводчик размещался слева от пушки, командир и заряжающий — справа. В КВ-1С место командира танка пере</w:t>
      </w:r>
      <w:r w:rsidRPr="00722885">
        <w:rPr>
          <w:color w:val="000000" w:themeColor="text1"/>
          <w:lang w:val="ru-RU"/>
        </w:rPr>
        <w:softHyphen/>
        <w:t>несли на левую сторону башни и над ним (на крыше башни) установили неподвижную командирскую башенку с пятью зеркаль</w:t>
      </w:r>
      <w:r w:rsidRPr="00722885">
        <w:rPr>
          <w:color w:val="000000" w:themeColor="text1"/>
          <w:lang w:val="ru-RU"/>
        </w:rPr>
        <w:softHyphen/>
        <w:t>ными смотровыми приборами для кругового обзора.</w:t>
      </w:r>
    </w:p>
    <w:p w14:paraId="297CC0E2" w14:textId="77777777" w:rsidR="00AE7191" w:rsidRPr="00722885" w:rsidRDefault="00AE7191" w:rsidP="00722885">
      <w:pPr>
        <w:pStyle w:val="a3"/>
        <w:rPr>
          <w:color w:val="000000" w:themeColor="text1"/>
          <w:lang w:val="ru-RU"/>
        </w:rPr>
      </w:pPr>
      <w:r w:rsidRPr="00722885">
        <w:rPr>
          <w:color w:val="000000" w:themeColor="text1"/>
          <w:lang w:val="ru-RU"/>
        </w:rPr>
        <w:t>В танке КВ-1 монтаж пушки осуществлялся через окно в передней стенке башни. Сначала внутрь башни заводилась казенная часть орудия, а затем корытообразная бронировка, закрывающая переднюю часть установки пушки и спаренного с ней пулемета, крепилась изнутри башни болтами по периметру окна.</w:t>
      </w:r>
    </w:p>
    <w:p w14:paraId="32006117" w14:textId="77777777" w:rsidR="00AE7191" w:rsidRPr="00722885" w:rsidRDefault="00AE7191" w:rsidP="00722885">
      <w:pPr>
        <w:pStyle w:val="a3"/>
        <w:rPr>
          <w:color w:val="000000" w:themeColor="text1"/>
          <w:lang w:val="ru-RU"/>
        </w:rPr>
      </w:pPr>
      <w:r w:rsidRPr="00722885">
        <w:rPr>
          <w:color w:val="000000" w:themeColor="text1"/>
          <w:lang w:val="ru-RU"/>
        </w:rPr>
        <w:t>В КВ-1 С орудие на стенде с помощью цапф устанавливалось непосредственно в броне</w:t>
      </w:r>
      <w:r w:rsidRPr="00722885">
        <w:rPr>
          <w:color w:val="000000" w:themeColor="text1"/>
          <w:lang w:val="ru-RU"/>
        </w:rPr>
        <w:softHyphen/>
        <w:t>вом корыте на двух приваренных щеках. Далее броневое корыто вместе с пушкой крепилось к башне с помощью болтов. Это намного сокра</w:t>
      </w:r>
      <w:r w:rsidRPr="00722885">
        <w:rPr>
          <w:color w:val="000000" w:themeColor="text1"/>
          <w:lang w:val="ru-RU"/>
        </w:rPr>
        <w:softHyphen/>
        <w:t>щало время монтажа пушки в башне.</w:t>
      </w:r>
    </w:p>
    <w:p w14:paraId="539971AB" w14:textId="77777777" w:rsidR="00AE7191" w:rsidRPr="00722885" w:rsidRDefault="00AE7191" w:rsidP="00722885">
      <w:pPr>
        <w:pStyle w:val="a3"/>
        <w:rPr>
          <w:color w:val="000000" w:themeColor="text1"/>
          <w:lang w:val="ru-RU"/>
        </w:rPr>
      </w:pPr>
      <w:r w:rsidRPr="00722885">
        <w:rPr>
          <w:color w:val="000000" w:themeColor="text1"/>
          <w:lang w:val="ru-RU"/>
        </w:rPr>
        <w:t>За новаторское выполнение проекта танка КВ-1С Г.Н. Москвина наградили орденом «Знак Почета».</w:t>
      </w:r>
    </w:p>
    <w:p w14:paraId="40AA7D72" w14:textId="77777777" w:rsidR="00AE7191" w:rsidRPr="00722885" w:rsidRDefault="00AE7191" w:rsidP="00722885">
      <w:pPr>
        <w:pStyle w:val="a3"/>
        <w:rPr>
          <w:color w:val="000000" w:themeColor="text1"/>
          <w:lang w:val="ru-RU"/>
        </w:rPr>
      </w:pPr>
      <w:r w:rsidRPr="00722885">
        <w:rPr>
          <w:color w:val="000000" w:themeColor="text1"/>
          <w:lang w:val="ru-RU"/>
        </w:rPr>
        <w:t>В результате проведенных мероприя</w:t>
      </w:r>
      <w:r w:rsidRPr="00722885">
        <w:rPr>
          <w:color w:val="000000" w:themeColor="text1"/>
          <w:lang w:val="ru-RU"/>
        </w:rPr>
        <w:softHyphen/>
        <w:t>тий боевая масса танка КВ-1С снизилась до 42,5 т (вместо 47,5 т у КВ-1), а максимальная скорость возросла с 35 до 43 км/ч. Но достиг</w:t>
      </w:r>
      <w:r w:rsidRPr="00722885">
        <w:rPr>
          <w:color w:val="000000" w:themeColor="text1"/>
          <w:lang w:val="ru-RU"/>
        </w:rPr>
        <w:softHyphen/>
        <w:t>нуто это было в основном за счет снижения уровня броневой защиты.</w:t>
      </w:r>
    </w:p>
    <w:p w14:paraId="679B4D76" w14:textId="77777777" w:rsidR="00AE7191" w:rsidRPr="00722885" w:rsidRDefault="00AE7191" w:rsidP="00722885">
      <w:pPr>
        <w:pStyle w:val="a3"/>
        <w:rPr>
          <w:color w:val="000000" w:themeColor="text1"/>
          <w:lang w:val="ru-RU"/>
        </w:rPr>
      </w:pPr>
      <w:r w:rsidRPr="00722885">
        <w:rPr>
          <w:color w:val="000000" w:themeColor="text1"/>
          <w:lang w:val="ru-RU"/>
        </w:rPr>
        <w:t>На фронте в период боев на Курской дуге основу вооружения танковых частей и соединений Красной Армии составляли танки Т-34-76 и даже легкие Т-70 с пушками калибра 45 мм. В небольшом количестве в боях прини</w:t>
      </w:r>
      <w:r w:rsidRPr="00722885">
        <w:rPr>
          <w:color w:val="000000" w:themeColor="text1"/>
          <w:lang w:val="ru-RU"/>
        </w:rPr>
        <w:softHyphen/>
        <w:t xml:space="preserve">мали участие также английские тяжелые танки Мк </w:t>
      </w:r>
      <w:r w:rsidRPr="00722885">
        <w:rPr>
          <w:color w:val="000000" w:themeColor="text1"/>
        </w:rPr>
        <w:t>IV</w:t>
      </w:r>
      <w:r w:rsidRPr="00722885">
        <w:rPr>
          <w:color w:val="000000" w:themeColor="text1"/>
          <w:lang w:val="ru-RU"/>
        </w:rPr>
        <w:t xml:space="preserve"> «Черчилль», поставленные по ленд-лизу.</w:t>
      </w:r>
    </w:p>
    <w:p w14:paraId="4BF799E8" w14:textId="77777777" w:rsidR="00AE7191" w:rsidRPr="00722885" w:rsidRDefault="00AE7191" w:rsidP="00722885">
      <w:pPr>
        <w:pStyle w:val="a3"/>
        <w:rPr>
          <w:color w:val="000000" w:themeColor="text1"/>
          <w:lang w:val="ru-RU"/>
        </w:rPr>
      </w:pPr>
      <w:r w:rsidRPr="00722885">
        <w:rPr>
          <w:color w:val="000000" w:themeColor="text1"/>
          <w:lang w:val="ru-RU"/>
        </w:rPr>
        <w:t>Количество новых тяжелых танков КВ-1 С и самоходных установок СУ-152 (на базе КВ-1С), вооруженных 152,4-мм пушками-гаубицами, было еще незначительным. Однако эффект от их применения был достаточно внушительный, особенно — СУ-152 (12617).</w:t>
      </w:r>
    </w:p>
    <w:p w14:paraId="74D844A7" w14:textId="77777777" w:rsidR="00AE7191" w:rsidRPr="00722885" w:rsidRDefault="00AE7191" w:rsidP="00722885">
      <w:pPr>
        <w:pStyle w:val="a3"/>
        <w:rPr>
          <w:color w:val="000000" w:themeColor="text1"/>
          <w:lang w:val="ru-RU"/>
        </w:rPr>
      </w:pPr>
    </w:p>
    <w:p w14:paraId="27CE9FA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вышло Постановление ГКО № 2192 О выпуске улучшенных танков КВ-1 и Т-34. РГАНИР, Фонд ГКО, д. 52, лл. 142 (11012).</w:t>
      </w:r>
    </w:p>
    <w:p w14:paraId="3CD05DA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0A4C2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вышло Постановление ГКО № 2193 Об эвакуации оборудования и кадров торпедоминного производства завода № 182 Наркомсудпрома. РГАНИР, Фонд ГКО, д. 52, лл. 143-144 (11012).</w:t>
      </w:r>
    </w:p>
    <w:p w14:paraId="6BCC605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A9934D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г. вышло постановление ГКО № 2193 об эвакуации оборудования и кадров торпедо-минного производства завода № 182 НКСП; завод эвакуирован в Алма-Ату на завод № 175 (основная часть) и в Петропавловск.</w:t>
      </w:r>
    </w:p>
    <w:p w14:paraId="028BDA6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895 от 13.11.1941 г. на заводе № 182 НКСП организовано производство 50-мм минометов и ППШ.</w:t>
      </w:r>
    </w:p>
    <w:p w14:paraId="4A46FFF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Махачкалу в конце 1941 г. эвакуированы: завод № 175 НКСП; часть феодосийского филиала завода № 181 НКСП; часть ОКБ завода № 231 НКСП, образовав ОКБ-182. Продолжены работы по торпедам.</w:t>
      </w:r>
    </w:p>
    <w:p w14:paraId="20D61F9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29.01.1943 г. вышло постановление ГКО №2794 о мерах по восстановлению завода № 182 НКСП.</w:t>
      </w:r>
    </w:p>
    <w:p w14:paraId="5187B11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годы ВОВ- производство дизелей; торпед 53-39 (1943). В 1942 г. выпущена опытная партия мин АМД-500 и АМД-1000.</w:t>
      </w:r>
      <w:r w:rsidRPr="00722885">
        <w:rPr>
          <w:rFonts w:ascii="Times New Roman" w:hAnsi="Times New Roman"/>
          <w:color w:val="000000" w:themeColor="text1"/>
          <w:sz w:val="16"/>
          <w:szCs w:val="16"/>
          <w:vertAlign w:val="superscript"/>
        </w:rPr>
        <w:t>61</w:t>
      </w:r>
      <w:r w:rsidRPr="00722885">
        <w:rPr>
          <w:rFonts w:ascii="Times New Roman" w:hAnsi="Times New Roman"/>
          <w:color w:val="000000" w:themeColor="text1"/>
          <w:sz w:val="16"/>
          <w:szCs w:val="16"/>
        </w:rPr>
        <w:t xml:space="preserve"> 15.12.1943 г. вышло распоряжение ГКО № 4788 о мерах по обеспечению производства на заводе 13 комплектов тралов «Оропеза». В соответствии с распоряжением ГКО № 7031 от 1.12.1944 г. на завод в Махачкалу в 4-м квартале 1944 г. и 1-м квартале 1945 г. направлено 500 военнослужащих, не годных к строевой службе.</w:t>
      </w:r>
    </w:p>
    <w:p w14:paraId="5DA0834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Участвовал в работах по РАТ-52; патроны ФКПС с фосфором (1959 г.). Производство П-35, КСЩ.</w:t>
      </w:r>
    </w:p>
    <w:p w14:paraId="71D9648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(-1936-13.01.1937 г.)- К.К. Пога, (13.01.1937-26.07.1938 г.)- Е.М. Равикович (снят); и.о. (27.07- 08.1938 г.)- И.Н. Антонов; (14.08-11.12.1938 г.)- И.Н. Антонов, (11.12.1938 г.-)- В.И. Алферов.</w:t>
      </w:r>
    </w:p>
    <w:p w14:paraId="3BF192A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 строительства (-193б-37 г.-)- К.К. Пога. 1-й зам. директора (29.11.1937 г.-)- И.С. Кизельштейн. Зам. директора: по строительству (1.02.1937-26.07.1938 г.)- К.К. Пога (снят); по коммерческой части (07.1937 г.)-  Г. Г. Лещинский. Помощник директора по найму и увольнению (14.08.1938 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Толмачев.</w:t>
      </w:r>
    </w:p>
    <w:p w14:paraId="3D94498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Технический директор (7-25.09.193 7 г.)- П.М. Кнышев.</w:t>
      </w:r>
    </w:p>
    <w:p w14:paraId="7CD52AE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(1930-е)- Ломанов; и.о. (01.1937 г.)- Ермольчик; (29.11.1937-21.11.1938 г.)- И.С. Кизельштейн (снят).</w:t>
      </w:r>
    </w:p>
    <w:p w14:paraId="18DC24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инженера (-1936 г.)- Благовещенский (репрессирован).</w:t>
      </w:r>
    </w:p>
    <w:p w14:paraId="5069A15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 1 (01.1937 г.)- Неженцев. Начальник ТЭЦ (1.02.1937 г.-)- Е.А. Джапаридзе.</w:t>
      </w:r>
    </w:p>
    <w:p w14:paraId="7F5EB09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планового (1936 г.)- Маневич; транспортного (1937 г.)- Максимов; кадров (09.1937 г.-)- И.М. Богословский.</w:t>
      </w:r>
    </w:p>
    <w:p w14:paraId="6EA9569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КБ (02.1937 г.)- Гусев.</w:t>
      </w:r>
    </w:p>
    <w:p w14:paraId="716CA31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торпеды Т-533 (-1938), Т-53-38 (1938-)- 13.</w:t>
      </w:r>
      <w:r w:rsidRPr="00722885">
        <w:rPr>
          <w:rFonts w:ascii="Times New Roman" w:hAnsi="Times New Roman"/>
          <w:color w:val="000000" w:themeColor="text1"/>
          <w:sz w:val="16"/>
          <w:szCs w:val="16"/>
          <w:vertAlign w:val="superscript"/>
        </w:rPr>
        <w:t>139</w:t>
      </w:r>
    </w:p>
    <w:p w14:paraId="6FB8C1E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ОКБ-182 НКСП /г. Каспийск/</w:t>
      </w:r>
    </w:p>
    <w:p w14:paraId="1DF2B49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Образовано в 1942 г. из части эвакуированного ОКБ завода № 231 НКСП для работ по торпедному оружию. В 1944 г. ликвидировано, в связи с созданием НИИ-400.</w:t>
      </w:r>
    </w:p>
    <w:p w14:paraId="03062B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Вновь действовало в Каспийске в 1950-е  г. Работы по реактивной кавитирующей торпеде РКТ-45 (1950-е  г., с НИИ-1 МСХМ) (11982).</w:t>
      </w:r>
    </w:p>
    <w:p w14:paraId="1EB2DA34" w14:textId="77777777" w:rsidR="008319D5" w:rsidRPr="00722885" w:rsidRDefault="008319D5" w:rsidP="00722885">
      <w:pPr>
        <w:spacing w:after="0" w:line="240" w:lineRule="auto"/>
        <w:jc w:val="both"/>
        <w:rPr>
          <w:rFonts w:ascii="Times New Roman" w:hAnsi="Times New Roman"/>
          <w:color w:val="000000" w:themeColor="text1"/>
          <w:sz w:val="16"/>
          <w:szCs w:val="16"/>
        </w:rPr>
      </w:pPr>
    </w:p>
    <w:p w14:paraId="4E69BE9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вышло Постановление ГКО № 2194 Об эвакуации оборудования и материалов, а также рабочих, ИТР и служащих Докшукинского ацетонобутилового завода. Наркомпищепрома СССР. РГАНИР, Фонд ГКО, д. 52, лл. 145 (11012).</w:t>
      </w:r>
    </w:p>
    <w:p w14:paraId="49C2164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5DC7C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вышло Постановление ГКО № 2195 Об эвакуации оборудования, материалов, а также рабочих, ИТР и служащих Беслановского маисового комбината. и Орджоникидзевского стеклотарного завода. РГАНИР, Фонд ГКО, д. 52, лл. 146-147 (11012).</w:t>
      </w:r>
    </w:p>
    <w:p w14:paraId="6695A06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53723C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февраля 1942 вышло Постановление ГКО № 2196 Об эвакуации оборудования, материалов, а также рабочих, ИТР и служащих Hальчикского мясокомбината и Грозненского холодильника. РГАНИР, Фонд ГКО, д. 52, лл. 148 (11012).</w:t>
      </w:r>
    </w:p>
    <w:p w14:paraId="7F65328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8507B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вышло Постановление ГКО № 2197 О размещении населения, эвакуируемого из прифронтовой полосы. РГАНИР, Фонд ГКО, д. 52, лл. 149 (11012).</w:t>
      </w:r>
    </w:p>
    <w:p w14:paraId="728D6E1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6C4AC4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1942 вышло Постановление ГКО № 2198 Об эвакуации оборудования, готовой продукции, а также рабочих, ИТР и служащих предприятий Наркомпищепрома СССР из Кабардино-Балкарской, Северо-Осетинской и Чечено-Ингушской АССР. РГАНИР, Фонд ГКО, д. 52, лл. 150, 151-152 (11012).</w:t>
      </w:r>
    </w:p>
    <w:p w14:paraId="32116CC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18680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20 августа 1942 г. в соответствии с пост. ГКО № 2199 завод № 565 1ГУ НКБ (Завод № 565 НКБ /Северная Осетия  г. Орджоникидзе/) (оборудование, материалы и кадры) 27.08-4.09.1942 г. эвакуирован: снаряжение 50-мм мин - в Тбилиси на завод № 316; снаряжение АО-8-Ю и ФАБ- 100 - в Баку на завод № 610 НКБ (11982).</w:t>
      </w:r>
    </w:p>
    <w:p w14:paraId="000284A0" w14:textId="77777777" w:rsidR="008319D5" w:rsidRPr="00722885" w:rsidRDefault="008319D5" w:rsidP="00722885">
      <w:pPr>
        <w:pStyle w:val="Iauiue"/>
        <w:jc w:val="both"/>
        <w:rPr>
          <w:iCs/>
          <w:color w:val="000000" w:themeColor="text1"/>
          <w:sz w:val="16"/>
          <w:szCs w:val="16"/>
        </w:rPr>
      </w:pPr>
    </w:p>
    <w:p w14:paraId="7BA6AE8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483AC3F" w14:textId="77777777" w:rsidR="00AE7191" w:rsidRPr="00722885" w:rsidRDefault="00AE7191" w:rsidP="00722885">
      <w:pPr>
        <w:pStyle w:val="Iauiue"/>
        <w:jc w:val="both"/>
        <w:rPr>
          <w:iCs/>
          <w:color w:val="000000" w:themeColor="text1"/>
          <w:sz w:val="16"/>
          <w:szCs w:val="16"/>
        </w:rPr>
      </w:pPr>
    </w:p>
    <w:p w14:paraId="0A73BDBD"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в 1942 году утреннее сообщение Совинформбюро:</w:t>
      </w:r>
    </w:p>
    <w:p w14:paraId="1542AEC4"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20 августа наши войска вели бои с противником в района хюго-восточнее Клетская, северо-восточнее Котельниково, а также в районе Пятигорск.</w:t>
      </w:r>
    </w:p>
    <w:p w14:paraId="3A374409"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7539D4E6"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предприняли несколько контратак. В ходе боёв уничтожено 7 танков и разгромлен батальон немецкой пехоты. Юго-восточнее Клетской прорвавшиеся части неприятеля переправились через Дон, где встретили упорное сопротивление советских войск и были полностью истреблены. Только на одном из участков уничтожено 18 вражеских танков и свыше 500 гитлеровцев.</w:t>
      </w:r>
    </w:p>
    <w:p w14:paraId="46A96E45"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продолжались ожесточённые бои. Наши пехотинцы н танкисты нанесли контрудар наступающим немецким войскам. Крупный бой идёт у железнодорожной станции, которая несколько раз переходила из рук в руки. Н-ское танковое подразделение уничтожило 4 танка, 7 противотанковых орудий и истребило свыше 150 солдат и офицеров противника.</w:t>
      </w:r>
    </w:p>
    <w:p w14:paraId="6CF82A80"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наши войска вели напряжённые оборонительные бои с танками и мотопехотой противника. Немцы предприняли несколько ожесточённых атак и потеснили наши части. Артиллеристы Н-ского подразделения подбили и сожгли 5 немецких танков.</w:t>
      </w:r>
    </w:p>
    <w:p w14:paraId="07835DC0"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Пятигорска наши войска окружили и уничтожили колонну противника. На поле боя осталось 350 вражеских трупов, 6 сожжённых танков и 13 автомашин.</w:t>
      </w:r>
    </w:p>
    <w:p w14:paraId="55B03BEE"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за последние пять дней уничтожено до 5.500 немецких солдат и офицеров, 27 танков и бронемашин, 21 самолёт, 169 автомашин, 2 орудия, 11 складов с боеприпасами и горючим. Взяты пленные. На одном из участков огневым налётом нашей артиллерии уничтожено до батальона вражеской пехоты.</w:t>
      </w:r>
    </w:p>
    <w:p w14:paraId="64F8079B"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берегу реки Дон продолжаются упорные бои на улицах населённого пункта. Вчера вечером противник силой до четырёх батальонов пехоты, поддержанных танками, перешёл в контратаку, которая была отбита нашими частями.</w:t>
      </w:r>
    </w:p>
    <w:p w14:paraId="1A489F9A"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Четыре партизана тт. Я., О., Е. и А. в одном из районов Ленинградской области взорвали железнодорожный мост в то время, когда по нему проходил воинский эшелон противника. Уничтожены паровоз и 8 вагонов. Погибло не менее 150 гитлеровцев. При отходе партизаны попали в засаду и в завязавшемся бою уничтожили ещё 20 оккупантов.</w:t>
      </w:r>
    </w:p>
    <w:p w14:paraId="6F1F85B3"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обер-ефрейтор 323 полка 218 немецкой пехотной дивизии Ганс Шредер рассказал: «Германское командование обманывает нас и скрывает правду о потерях немецких войск на Восточном фронте. Любой солдат, участвовавший в боях, знает,что мы несли и несём колоссальные потери. Несколько месяцев назад верховное командование опубликовало цифры о количестве немецких солдат, убитых за год. Ни один здравомыслящий человек на фронте и в тылу не верит этим цифрам. Солдаты их зло и ядовито высмеивают. Они говорят: бестия Геббельс очень неудачно сострил, очевидно считая нас за круглых дураков».</w:t>
      </w:r>
    </w:p>
    <w:p w14:paraId="27590B0E"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красноармейцев и командиров Н-ской части, действующей в районе южнее Воронежа, составила акт о зверствах немецко-фашистских мерзавцев над советскими военнопленными. В акте говорится: «В отбитой у немцев роще были обнаружены и опознаны два трупа наших бойцов, замученных немцами. Красноармейцу Огневу М.К.гитлеровцы отрезали нос, отрубили кисть левой руки и перерезали горло. Старшего сержанта Корнева В.П. фашисты привязали колючей проволокой к дереву и подвергли чудовищным пыткам. Они отрезали пленному советскому командиру уши, выкололи глаза, а на лбу вырезали пятиконечную звезду. Затем гитлеровские мерзавцы пригвоздили Корнева штыком к стволу дерева». Акт подписали: старший лейтенант Петров П.И., политрук Ломов З.Н., красноармейцы Нечаев Г.В., Ахмедов К.Г. и Зимин А.И.</w:t>
      </w:r>
    </w:p>
    <w:p w14:paraId="1E09E8A3"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партизанские отряды полностью уничтожили итальянский гарнизон в пункте Нова Штифта и пустили под откос воинский поезд близ станции Кочевье. Занесколько дней боёв в этом районе итальянцы потеряли 320 человек убитыми и свыше 500 ранеными. Партизанские отряды, действующие на островах, истребили несколько отрядов итальянских жандармов и захватили много оружия. В руки партизан попали большие немецкие склады с продовольствием, которое распределено среди голодающего югославского населения.» (14989).</w:t>
      </w:r>
    </w:p>
    <w:p w14:paraId="7D2E72CD" w14:textId="77777777" w:rsidR="008319D5" w:rsidRPr="00722885" w:rsidRDefault="008319D5" w:rsidP="00722885">
      <w:pPr>
        <w:spacing w:after="0" w:line="240" w:lineRule="auto"/>
        <w:jc w:val="both"/>
        <w:rPr>
          <w:rFonts w:ascii="Times New Roman" w:hAnsi="Times New Roman"/>
          <w:color w:val="000000" w:themeColor="text1"/>
          <w:sz w:val="16"/>
          <w:szCs w:val="16"/>
        </w:rPr>
      </w:pPr>
    </w:p>
    <w:p w14:paraId="79F72E83"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в 1942 году вечернее сообщение Совинформбюро:</w:t>
      </w:r>
    </w:p>
    <w:p w14:paraId="1AC0442A"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20 августа наши войска вели бои в районах юго-восточнее Клетская, северо-восточнее Котельниково, а также юго-восточнее Пятигорска и южнее Краснодара.</w:t>
      </w:r>
    </w:p>
    <w:p w14:paraId="5D03BA60"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7311DAC6"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Чёрном море потоплен транспорт противника водоизмещением в 6.000 тонн.</w:t>
      </w:r>
    </w:p>
    <w:p w14:paraId="0F02DF56"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19 августа частями нашей авиации на различных участках фронта уничтожено или повреждено 13 немецких танков, 35 бронемашин, до 200 автомашин с войсками и грузами, 10 автоцистерн с горючим, подавлен огонь 5 батарей полевой и зенитной артиллерии, рассеяно и частью уничтожено до двух рот пехоты противника.</w:t>
      </w:r>
    </w:p>
    <w:p w14:paraId="7C3E8E07"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активные бои против немецко-фашистских войск. В течение дня гитлеровцы несколько раз переходили в атаки. Все атаки противника отбиты с большими для него потерями. Только на участке Н-ского соединения уничтожено 17 немецких танков и истреблено свыше 250 гитлеровцев. Юго-восточнее Клетской советские части вели ожесточённые бои с крупными силами противника, стремящимися переправиться через Дон. В упорном бою наши пехотинцы и танкисты почти полностью уничтожили группу противника, форсировавшую реку. Уничтожено свыше 500 немецких солдат и офицеров.</w:t>
      </w:r>
    </w:p>
    <w:p w14:paraId="06DB8DB2"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продолжались ожесточённые бои. Советские войска оказывают упорное сопротивление наступающим танкам и мотопехоте противника. Особенно кровопролитное сражение произошло в районе одной железнодорожной станции. Немцам вначале удалось продвинуться вперёд и вклиниться в боевые порядки наших войск. Контратаками наши бойцы отбросили противника и нанесли ему большой урон. На поле боя гитлеровцы оставили сотни убитых солдат и офицеров, уничтожено свыше 20 немецких танков, много орудий, пулемётов и автомашин.</w:t>
      </w:r>
    </w:p>
    <w:p w14:paraId="2FD78F8D"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наши части вели оборонительные бои с крупными силами противника. Отстаивая важный рубеж, бойцы Н-ской части отбили три атаки гитлеровцев. Повреждено 5 и уничтожено 9 немецких танков, 9 орудий, 22 миномёта, истреблено до 700 солдат и офицеров противника. На другом участке наши части под давлением превосходящих сил противника с боями отошли на новые позиции.</w:t>
      </w:r>
    </w:p>
    <w:p w14:paraId="7BAADC4D"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Пятигорска на одном участке ценою больших потерь немцам удалось несколько продвинуться вперёд. Идут упорные бои с просочившимися в расположение наших войск автоматчиками противника.</w:t>
      </w:r>
    </w:p>
    <w:p w14:paraId="64D26C22"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Ленинградского фронта наши части вели активные боевые действия. После мощной огневой подготовки бойцы Н-ской части перешли в наступление. Преодолевая упорное сопротивление неприятеля, наши бойцы переправились через реку и выбили гитлеровцев из одного населённого пункта. В другом населённом пункте происходят уличные бои.</w:t>
      </w:r>
    </w:p>
    <w:p w14:paraId="778B3F6C"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Партизанские отряды под командованием тт. В. и К., действующие в одном изоккупированных немцами районов Ленинградской области, на днях разгромили гарнизоны гитлеровцев в двух населённых пунктах. Партизаны истребили 80 немецких оккупантов и захватили трофеи.</w:t>
      </w:r>
    </w:p>
    <w:p w14:paraId="340D01BB"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поле боя подобран дневник немецкого офицера. Ниже публикуются выдержки из этого дневника:</w:t>
      </w:r>
    </w:p>
    <w:p w14:paraId="72082132"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июня 1942 года... Лейтенант Людвиг и переводчик привели одного русского.Это бывший сторож колхоза. Ему 55 лет, он отец семерых детей. Старик оскорблял немецких солдат руганью и жестами. Русскому выносится наказание: 30 ударов плетью. Согнали всех жителей. Солдаты раздели русского и высекли плетьми. Он не мог встать. Приказали бросить его в погреб и три дня не давать никакой пищи.</w:t>
      </w:r>
    </w:p>
    <w:p w14:paraId="3CEE7932"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июля. Среди населения царит голод. Все запасы продуктов давно конфискованы. Крестьяне пекут хлеб из травы. Они должны сдавать нам яйца, которые несут уцелевшие каким-то чудом немногие куры.</w:t>
      </w:r>
    </w:p>
    <w:p w14:paraId="23AC3AB9"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августа. Ночью русские совершили крупный воздушный налёт на наш район.</w:t>
      </w:r>
    </w:p>
    <w:p w14:paraId="21559098"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Зенитки бьют, как бешеные, но безуспешно. Позже налёт повторяется с ещё большей силой. Бомбы падают на железнодорожную станцию. Всю ночь горели склады и составы».</w:t>
      </w:r>
    </w:p>
    <w:p w14:paraId="6A98D256"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в районе северо-восточнее Котельникова немецко-фашистские мерзавцы загнали на минированное поле толпу крестьян. Нам инах подорвалось более 150 мирных советских граждан, среди которых было много женщин.</w:t>
      </w:r>
    </w:p>
    <w:p w14:paraId="03CA1326"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Итало-фашистские мерзавцы разграбили и сожгли югославский город Содражица. В результате зверской расправы итальянских бандитов в этом городе было расстрелянои погибло в огне более 1.500 жителей. Оккупанты сожгли также все словенские деревни в районе Любляна—Гросулье.» (14989).</w:t>
      </w:r>
    </w:p>
    <w:p w14:paraId="7A4D4D7A" w14:textId="77777777" w:rsidR="008319D5" w:rsidRPr="00722885" w:rsidRDefault="008319D5" w:rsidP="00722885">
      <w:pPr>
        <w:spacing w:after="0" w:line="240" w:lineRule="auto"/>
        <w:jc w:val="both"/>
        <w:rPr>
          <w:rFonts w:ascii="Times New Roman" w:hAnsi="Times New Roman"/>
          <w:color w:val="000000" w:themeColor="text1"/>
          <w:sz w:val="16"/>
          <w:szCs w:val="16"/>
        </w:rPr>
      </w:pPr>
    </w:p>
    <w:p w14:paraId="02A235C3" w14:textId="77777777" w:rsidR="00FA7E38" w:rsidRPr="00722885" w:rsidRDefault="00FA7E38" w:rsidP="00722885">
      <w:pPr>
        <w:pStyle w:val="ae"/>
        <w:spacing w:before="0" w:after="0"/>
        <w:jc w:val="both"/>
        <w:textAlignment w:val="baseline"/>
        <w:rPr>
          <w:color w:val="000000" w:themeColor="text1"/>
          <w:sz w:val="16"/>
          <w:szCs w:val="16"/>
        </w:rPr>
      </w:pPr>
      <w:r w:rsidRPr="00722885">
        <w:rPr>
          <w:color w:val="000000" w:themeColor="text1"/>
          <w:sz w:val="16"/>
          <w:szCs w:val="16"/>
        </w:rPr>
        <w:t>20–22 августа 1942 по приказу Гитлера Рихтгофен перевел большинство самолетов 4-го воздушного флота на Сталинградское направление. Эта небывалая для люфтваффе концентрация сил позволила совершать почти беспрерывные налеты на различные цели в районе города на Волге. При планировании атак штаб 8-го авиакорпуса Мартина Фибига использовал крупномасштабную карту местности, на которой был отмечен почти каждый дом. 23 августа немецкие самолеты совершили самый массированный налет на Сталинград, сбросив на него тысячу тонн бомб всех калибров в ходе 1600 боевых вылетов. Город был практически разрушен, погибли десятки тысяч жителей и беженцев. Сухопутные части при поддержке орудий 9-й зенитной дивизии люфтваффе начали штурм города (19522).</w:t>
      </w:r>
    </w:p>
    <w:p w14:paraId="23F537CF" w14:textId="77777777" w:rsidR="00FA7E38" w:rsidRPr="00722885" w:rsidRDefault="00FA7E38" w:rsidP="00722885">
      <w:pPr>
        <w:pStyle w:val="ae"/>
        <w:spacing w:before="0" w:after="0"/>
        <w:jc w:val="both"/>
        <w:textAlignment w:val="baseline"/>
        <w:rPr>
          <w:color w:val="000000" w:themeColor="text1"/>
          <w:sz w:val="16"/>
          <w:szCs w:val="16"/>
        </w:rPr>
      </w:pPr>
    </w:p>
    <w:p w14:paraId="0136361C" w14:textId="77777777" w:rsidR="00A802F8" w:rsidRPr="00722885" w:rsidRDefault="00A802F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20–22 августа 1942 по приказу Гитлера в течение Рихтгофен перевел большинство самолетов 4</w:t>
      </w:r>
      <w:r w:rsidRPr="00722885">
        <w:rPr>
          <w:rFonts w:ascii="Times New Roman" w:hAnsi="Times New Roman"/>
          <w:color w:val="0070C0"/>
          <w:sz w:val="16"/>
          <w:szCs w:val="16"/>
        </w:rPr>
        <w:noBreakHyphen/>
        <w:t>го воздушного флота на Сталинградское направление. Эта небывалая для люфтваффе концентрация сил позволила совершать почти беспрерывные налеты на различные цели в районе города на Волге. При планировании атак штаб 8</w:t>
      </w:r>
      <w:r w:rsidRPr="00722885">
        <w:rPr>
          <w:rFonts w:ascii="Times New Roman" w:hAnsi="Times New Roman"/>
          <w:color w:val="0070C0"/>
          <w:sz w:val="16"/>
          <w:szCs w:val="16"/>
        </w:rPr>
        <w:noBreakHyphen/>
        <w:t>го авиакорпуса Мартина Фибига использовал крупномасштабную карту местности, на которой был отмечен почти каждый дом. 23 августа немецкие самолеты совершили самый массированный налет на Сталинград, сбросив на него тысячу тонн бомб всех калибров в ходе 1600 боевых вылетов. Город был практически разрушен, погибли десятки тысяч жителей и беженцев. Сухопутные части при поддержке орудий 9</w:t>
      </w:r>
      <w:r w:rsidRPr="00722885">
        <w:rPr>
          <w:rFonts w:ascii="Times New Roman" w:hAnsi="Times New Roman"/>
          <w:color w:val="0070C0"/>
          <w:sz w:val="16"/>
          <w:szCs w:val="16"/>
        </w:rPr>
        <w:noBreakHyphen/>
        <w:t>й зенитной дивизии люфтваффе начали штурм города.</w:t>
      </w:r>
    </w:p>
    <w:p w14:paraId="17C69257" w14:textId="77777777" w:rsidR="00A802F8" w:rsidRPr="00722885" w:rsidRDefault="00A802F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результате опустошительных небесных боев в 8</w:t>
      </w:r>
      <w:r w:rsidRPr="00722885">
        <w:rPr>
          <w:rFonts w:ascii="Times New Roman" w:hAnsi="Times New Roman"/>
          <w:color w:val="0070C0"/>
          <w:sz w:val="16"/>
          <w:szCs w:val="16"/>
        </w:rPr>
        <w:noBreakHyphen/>
        <w:t>й воздушной армии стала остро ощущаться нехватка истребителей. Хотя 28–29 августа из тыла поступило пополнение в виде четырех истребительных и двух штурмовых авиаполков, на 1 сентября в армии насчитывалось всего 97 исправных машин. Все это заставило Хрюкина полностью отказаться от эскортирования штурмовиков и бомбардировщиков. И если экипажам Пе</w:t>
      </w:r>
      <w:r w:rsidRPr="00722885">
        <w:rPr>
          <w:rFonts w:ascii="Times New Roman" w:hAnsi="Times New Roman"/>
          <w:color w:val="0070C0"/>
          <w:sz w:val="16"/>
          <w:szCs w:val="16"/>
        </w:rPr>
        <w:noBreakHyphen/>
        <w:t>2 просто приказали бомбить с высоты 8000 метров, то штурмовикам пришлось рассчитывать исключительно на везение. Впрочем, от истребительного прикрытия и так было мало толку. Штаб 8</w:t>
      </w:r>
      <w:r w:rsidRPr="00722885">
        <w:rPr>
          <w:rFonts w:ascii="Times New Roman" w:hAnsi="Times New Roman"/>
          <w:color w:val="0070C0"/>
          <w:sz w:val="16"/>
          <w:szCs w:val="16"/>
        </w:rPr>
        <w:noBreakHyphen/>
        <w:t>й воздушной армии в качестве рекомендаций предложил пилотам Илов производить заходы на цели со стороны солнца, использовать для скрытого подхода облачность и дым от пожарищ (23199).</w:t>
      </w:r>
    </w:p>
    <w:p w14:paraId="37E8C6A0" w14:textId="77777777" w:rsidR="00A802F8" w:rsidRPr="00722885" w:rsidRDefault="00A802F8" w:rsidP="00722885">
      <w:pPr>
        <w:spacing w:after="0" w:line="240" w:lineRule="auto"/>
        <w:jc w:val="both"/>
        <w:rPr>
          <w:rFonts w:ascii="Times New Roman" w:hAnsi="Times New Roman"/>
          <w:color w:val="0070C0"/>
          <w:sz w:val="16"/>
          <w:szCs w:val="16"/>
        </w:rPr>
      </w:pPr>
    </w:p>
    <w:p w14:paraId="116ABB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 августа 1942 согласно графику боевой работы 8-й ВА с 5.00 до 19.00 по перепра</w:t>
      </w:r>
      <w:r w:rsidRPr="00722885">
        <w:rPr>
          <w:color w:val="000000" w:themeColor="text1"/>
          <w:sz w:val="16"/>
          <w:szCs w:val="16"/>
        </w:rPr>
        <w:softHyphen/>
        <w:t>вам противника через Дон на участке Трехостровская, Нижний Акатов, Нижний Герасимов должны были действовать группы по 10-18 самолетов Ил-2 и 18-27 Пе-2 под прикрытием 10-15 истре</w:t>
      </w:r>
      <w:r w:rsidRPr="00722885">
        <w:rPr>
          <w:color w:val="000000" w:themeColor="text1"/>
          <w:sz w:val="16"/>
          <w:szCs w:val="16"/>
        </w:rPr>
        <w:softHyphen/>
        <w:t>бителей Як-1 или Ла-5, при этом штур</w:t>
      </w:r>
      <w:r w:rsidRPr="00722885">
        <w:rPr>
          <w:color w:val="000000" w:themeColor="text1"/>
          <w:sz w:val="16"/>
          <w:szCs w:val="16"/>
        </w:rPr>
        <w:softHyphen/>
        <w:t>мовики армии должны были выполнить 112 самолето-вылетов, "пешки" - 90, а истребители - 180 боевых вылетов (6467).</w:t>
      </w:r>
    </w:p>
    <w:p w14:paraId="46BAEE2B" w14:textId="77777777" w:rsidR="00AE7191" w:rsidRPr="00722885" w:rsidRDefault="00AE7191" w:rsidP="00722885">
      <w:pPr>
        <w:pStyle w:val="Iauiue"/>
        <w:jc w:val="both"/>
        <w:rPr>
          <w:color w:val="000000" w:themeColor="text1"/>
          <w:sz w:val="16"/>
          <w:szCs w:val="16"/>
        </w:rPr>
      </w:pPr>
    </w:p>
    <w:p w14:paraId="0C4FBA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20 августа 1942 ближе к Сталинграду перебазировали 5 ад АДД под командованием самого А.Е.Голованова (340,93).</w:t>
      </w:r>
    </w:p>
    <w:p w14:paraId="69C0A8EB" w14:textId="77777777" w:rsidR="00AE7191" w:rsidRPr="00722885" w:rsidRDefault="00AE7191" w:rsidP="00722885">
      <w:pPr>
        <w:pStyle w:val="Iauiue"/>
        <w:jc w:val="both"/>
        <w:rPr>
          <w:color w:val="000000" w:themeColor="text1"/>
          <w:sz w:val="16"/>
          <w:szCs w:val="16"/>
        </w:rPr>
      </w:pPr>
    </w:p>
    <w:p w14:paraId="0558C3B9" w14:textId="77777777" w:rsidR="004A33F1" w:rsidRPr="00722885" w:rsidRDefault="004A33F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 августа и 1 сентября 1942 были налеты АДД на оккупированную Варшаву и ее пригород Прагу. В ночь с 20 на 21 августа для удара по столице Генерал-губернаторства вылетели 23 экипажа из 17-й ад дд. Все они донесли о выполнении задания. От 36-й ад дд в налете приняли участие десять машин, еще три бомбили запасные цели. Отбомбились по основной цели и десять экипажей 24-й ад дд. Еще два самолета из-за неисправности материальной части бомбили запасные цели, в том числе Вильнюс (22728).</w:t>
      </w:r>
    </w:p>
    <w:p w14:paraId="39593BD1" w14:textId="77777777" w:rsidR="004A33F1" w:rsidRPr="00722885" w:rsidRDefault="004A33F1" w:rsidP="00722885">
      <w:pPr>
        <w:spacing w:after="0" w:line="240" w:lineRule="auto"/>
        <w:jc w:val="both"/>
        <w:rPr>
          <w:rFonts w:ascii="Times New Roman" w:hAnsi="Times New Roman"/>
          <w:color w:val="0070C0"/>
          <w:sz w:val="16"/>
          <w:szCs w:val="16"/>
        </w:rPr>
      </w:pPr>
    </w:p>
    <w:p w14:paraId="1F1D2A2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20 августа 1942 под Сталинградом погиб вице-регент Венгрии Стефан Хорти (4962).</w:t>
      </w:r>
    </w:p>
    <w:p w14:paraId="3CE6A110" w14:textId="77777777" w:rsidR="00AE7191" w:rsidRPr="00722885" w:rsidRDefault="00AE7191" w:rsidP="00722885">
      <w:pPr>
        <w:pStyle w:val="Iauiue"/>
        <w:tabs>
          <w:tab w:val="left" w:pos="11199"/>
        </w:tabs>
        <w:jc w:val="both"/>
        <w:rPr>
          <w:color w:val="000000" w:themeColor="text1"/>
          <w:sz w:val="16"/>
          <w:szCs w:val="16"/>
        </w:rPr>
      </w:pPr>
    </w:p>
    <w:p w14:paraId="76BDB18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20—22 августа 1941 концентрация сил авиации позволила немцам совершать почти беспрерывные налеты на различные цели в районе Сталинграда. 19 августа на аэродроме Тацинская, где уже были «Юнкерсы» из 76-й эскадры, приземлились Ju-88 из I. и III./KG51 «Эдельвейс». На следующее утро в Обливскую на короткое время прибыла штурмовая авиагруппа I./StG77 гауптмана Хельмута Брука. Группами по 20—30 самолетов, в сопровождении истребителей Bf-109, немцы бомбили советские укрепления, промышленные объекты в городе, железнодорожные станции, переправы через Волгу, позиции зенитных батарей и аэродромы. 20 августа Люфтваффе произвели на Сталинград три массированных налета, 21 августа – четыре. 22 августа произошли с небольшими интервалами еще пять налетов на город. В результате в его южной части были разрушены целые кварталы рабочих поселков, дым от пожарищ заволок все небо. Несколько бомб упали около СталГРЭС, в результате чего были разрушены здание прачечной и бани коммунального отдела станции. При этом был убит плотник коммунального отдела А. И. Меркулов. В самом Сталинграде нарастал хаос, усугублявшийся тем, что со всех сторон сюда нескончаемым потоком стекались толпы дезертиров, красноармейцев, потерявших свои части, и беженцев. Только в течение 21 и 22 августа заградпосты НКВД задержали 1077 человек. Отчаянно пытаясь остановить продвижение противника, советское командование после многокилометровых маршей по жаре с ходу бросало в бой плохо вооруженные дивизии. Рядовой Я. А. Трутников писал к себе домой:  «Наше подразделение в 120 человек было вооружено десятью винтовками, осталось в резерве, но попали в окружение танков и чуть не погибли, удалось выбраться». Но самое сильное деморализующее воздействие на солдат оказывало безраздельное господство немецкой авиации. Штурмовики, истребители и бомбардировщики целыми днями кружили над степью, беспрепятственно атакуя любые цели, гоняясь даже за отдельными бойцами и автомашинами. Напуганные беспрерывными налетами красноармейцы в отчаянии писали своим родным:  «Сегодня весь день авиация немчуры не давала никакого покоя, хоть зарывайся на 100– 1000м, а достанет. Наших самолетов не видно было целый день, и это не только сегодня, но было вчера и будет завтра. Нет никакого сопротивления, что хотят, то творят с наземными войсками… Немецкие самолеты обстреливают наши войска и мирное население в тылу. Они летают так низко, как хозяева, а наших почему-то нет, а если появляются, то очень редко, а когда надо, их нет…» Доходило даже до того, что немецкие летчики, идя на бреющем полете, открывали кабины и стреляли по пехоте из пистолетов! (11774).</w:t>
      </w:r>
    </w:p>
    <w:p w14:paraId="6651B77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7F8BF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 августа 1942 5А (Л.А.Говоров) освободила Можайск (3398,297).</w:t>
      </w:r>
    </w:p>
    <w:p w14:paraId="4CD0C498" w14:textId="77777777" w:rsidR="00AE7191" w:rsidRPr="00722885" w:rsidRDefault="00AE7191" w:rsidP="00722885">
      <w:pPr>
        <w:pStyle w:val="Iauiue"/>
        <w:jc w:val="both"/>
        <w:rPr>
          <w:color w:val="000000" w:themeColor="text1"/>
          <w:sz w:val="16"/>
          <w:szCs w:val="16"/>
        </w:rPr>
      </w:pPr>
    </w:p>
    <w:p w14:paraId="0012D536"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в 1942 году противник захватил плацдарм на левом берегу Дона в районе станицы Нижне-Чирская (14989).</w:t>
      </w:r>
    </w:p>
    <w:p w14:paraId="6D8A31DC" w14:textId="77777777" w:rsidR="008319D5" w:rsidRPr="00722885" w:rsidRDefault="008319D5" w:rsidP="00722885">
      <w:pPr>
        <w:spacing w:after="0" w:line="240" w:lineRule="auto"/>
        <w:jc w:val="both"/>
        <w:rPr>
          <w:rFonts w:ascii="Times New Roman" w:hAnsi="Times New Roman"/>
          <w:color w:val="000000" w:themeColor="text1"/>
          <w:sz w:val="16"/>
          <w:szCs w:val="16"/>
        </w:rPr>
      </w:pPr>
    </w:p>
    <w:p w14:paraId="69A7BC6F"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в 1942 году в катастрофе «Re.2000» («V-421») погиб 38-летний сын главы Венгрии Иштван Хорти. Это произошло над аэродромом Иловское, на оккупированной территории Советского Союза, из-за недостаточной квалификации пилота не справившегося с управлением и угодившим в штопор на малой высоте. В течение августа вторая румынская эскадрилья 2/1 "Keresztes Pok" (Паук-крестовик) потеряла четыре «Re.2000» сбитыми и шесть «Re.2000» поврежденными, хотя их удалось вернуть в строй (14989).</w:t>
      </w:r>
    </w:p>
    <w:p w14:paraId="62F4CB02" w14:textId="77777777" w:rsidR="008319D5" w:rsidRPr="00722885" w:rsidRDefault="008319D5" w:rsidP="00722885">
      <w:pPr>
        <w:spacing w:after="0" w:line="240" w:lineRule="auto"/>
        <w:jc w:val="both"/>
        <w:rPr>
          <w:rFonts w:ascii="Times New Roman" w:hAnsi="Times New Roman"/>
          <w:color w:val="000000" w:themeColor="text1"/>
          <w:sz w:val="16"/>
          <w:szCs w:val="16"/>
        </w:rPr>
      </w:pPr>
    </w:p>
    <w:p w14:paraId="641D0003" w14:textId="77777777" w:rsidR="008319D5"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47966FB2" w14:textId="77777777" w:rsidR="008319D5" w:rsidRPr="00722885" w:rsidRDefault="008319D5" w:rsidP="00722885">
      <w:pPr>
        <w:pStyle w:val="Iauiue"/>
        <w:jc w:val="both"/>
        <w:rPr>
          <w:iCs/>
          <w:color w:val="000000" w:themeColor="text1"/>
          <w:sz w:val="16"/>
          <w:szCs w:val="16"/>
        </w:rPr>
      </w:pPr>
    </w:p>
    <w:p w14:paraId="7147DC1F" w14:textId="77777777" w:rsidR="008319D5" w:rsidRPr="00722885" w:rsidRDefault="008319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августа в 1942 году объединенные чеченские банды Шерипова, Бадаева, Магомадова и других главарей (всего до 1, 5 тысяч боевиков) окружили райцентр Итум-Кале, однако взять село не смогли. Находившийся там небольшой гарнизон отбил все атаки, а подошедшие две роты обратили повстанцев в бегство (14989).</w:t>
      </w:r>
    </w:p>
    <w:p w14:paraId="6CD49702" w14:textId="77777777" w:rsidR="008319D5" w:rsidRPr="00722885" w:rsidRDefault="008319D5" w:rsidP="00722885">
      <w:pPr>
        <w:spacing w:after="0" w:line="240" w:lineRule="auto"/>
        <w:jc w:val="both"/>
        <w:rPr>
          <w:rFonts w:ascii="Times New Roman" w:hAnsi="Times New Roman"/>
          <w:color w:val="000000" w:themeColor="text1"/>
          <w:sz w:val="16"/>
          <w:szCs w:val="16"/>
        </w:rPr>
      </w:pPr>
    </w:p>
    <w:p w14:paraId="32B20A6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3461A29" w14:textId="77777777" w:rsidR="00AE7191" w:rsidRPr="00722885" w:rsidRDefault="00AE7191" w:rsidP="00722885">
      <w:pPr>
        <w:pStyle w:val="Iauiue"/>
        <w:jc w:val="both"/>
        <w:rPr>
          <w:iCs/>
          <w:color w:val="000000" w:themeColor="text1"/>
          <w:sz w:val="16"/>
          <w:szCs w:val="16"/>
        </w:rPr>
      </w:pPr>
    </w:p>
    <w:p w14:paraId="54BC60BA" w14:textId="77777777" w:rsidR="004A33F1" w:rsidRPr="00722885" w:rsidRDefault="004A33F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 августа 1942 ВВС армии США активируют Двенадцатую воздушную армию (20793).</w:t>
      </w:r>
    </w:p>
    <w:p w14:paraId="59D7A3E6" w14:textId="77777777" w:rsidR="004A33F1" w:rsidRPr="00722885" w:rsidRDefault="004A33F1" w:rsidP="00722885">
      <w:pPr>
        <w:spacing w:after="0" w:line="240" w:lineRule="auto"/>
        <w:jc w:val="both"/>
        <w:rPr>
          <w:rFonts w:ascii="Times New Roman" w:hAnsi="Times New Roman"/>
          <w:color w:val="0070C0"/>
          <w:sz w:val="16"/>
          <w:szCs w:val="16"/>
        </w:rPr>
      </w:pPr>
    </w:p>
    <w:p w14:paraId="636683B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 августа 1942 Ф.Рузвельт разрешил интернирование японцев, живущих на восточном побережье США (2100).</w:t>
      </w:r>
    </w:p>
    <w:p w14:paraId="6ED6ED3F" w14:textId="77777777" w:rsidR="00AE7191" w:rsidRPr="00722885" w:rsidRDefault="00AE7191" w:rsidP="00722885">
      <w:pPr>
        <w:pStyle w:val="Iauiue"/>
        <w:jc w:val="both"/>
        <w:rPr>
          <w:color w:val="000000" w:themeColor="text1"/>
          <w:sz w:val="16"/>
          <w:szCs w:val="16"/>
        </w:rPr>
      </w:pPr>
    </w:p>
    <w:p w14:paraId="465882D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C9F92B9" w14:textId="77777777" w:rsidR="00AE7191" w:rsidRPr="00722885" w:rsidRDefault="00AE7191" w:rsidP="00722885">
      <w:pPr>
        <w:pStyle w:val="Iauiue"/>
        <w:jc w:val="both"/>
        <w:rPr>
          <w:iCs/>
          <w:color w:val="000000" w:themeColor="text1"/>
          <w:sz w:val="16"/>
          <w:szCs w:val="16"/>
        </w:rPr>
      </w:pPr>
    </w:p>
    <w:p w14:paraId="20CC94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21 августа 1942 вышел приказ НКАП N 641с о мероприятиях по обеспечению постановки производства самолета Ил-4 на заводе 39 (1576,3).</w:t>
      </w:r>
    </w:p>
    <w:p w14:paraId="636156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ГК С.В.И. своим извещением N 350 от 21 августа 1942 санкционировал введение следующих деревянных агрегатов в серию без статиспытаний:</w:t>
      </w:r>
    </w:p>
    <w:p w14:paraId="2833521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Передняя часть фюзеляжа</w:t>
      </w:r>
    </w:p>
    <w:p w14:paraId="53E105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Пол пилота</w:t>
      </w:r>
    </w:p>
    <w:p w14:paraId="7A8DEB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Хвостовой кок</w:t>
      </w:r>
    </w:p>
    <w:p w14:paraId="318995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Что даст экономию 169 кг металла на машину (1685,184).</w:t>
      </w:r>
    </w:p>
    <w:p w14:paraId="06284C6D" w14:textId="77777777" w:rsidR="00AE7191" w:rsidRPr="00722885" w:rsidRDefault="00AE7191" w:rsidP="00722885">
      <w:pPr>
        <w:pStyle w:val="Iauiue"/>
        <w:jc w:val="both"/>
        <w:rPr>
          <w:color w:val="000000" w:themeColor="text1"/>
          <w:sz w:val="16"/>
          <w:szCs w:val="16"/>
        </w:rPr>
      </w:pPr>
    </w:p>
    <w:p w14:paraId="53089B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21 августа 1942 С.В.И. писал директору завода 23 и нач. 10 ГУ письмо N 107:</w:t>
      </w:r>
    </w:p>
    <w:p w14:paraId="0C390C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"Посылаем Вам чертежи по замене дефицитного дюраля на дерево и болинит для запуска в серию:</w:t>
      </w:r>
    </w:p>
    <w:p w14:paraId="03A200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1-й серийный фюзеляж предъявить нам для стат. испытаний.</w:t>
      </w:r>
    </w:p>
    <w:p w14:paraId="78EB42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Деревянную носовую часть, хвостовой кок и пол пилота разрешается внедрить в серию не дожидаясь стат. испытаний фюзеляжа, проверив увязку на 2-х машинах и предъявив их ГК (1685,185).</w:t>
      </w:r>
    </w:p>
    <w:p w14:paraId="745F82DE" w14:textId="77777777" w:rsidR="00AE7191" w:rsidRPr="00722885" w:rsidRDefault="00AE7191" w:rsidP="00722885">
      <w:pPr>
        <w:pStyle w:val="Iauiue"/>
        <w:jc w:val="both"/>
        <w:rPr>
          <w:color w:val="000000" w:themeColor="text1"/>
          <w:sz w:val="16"/>
          <w:szCs w:val="16"/>
        </w:rPr>
      </w:pPr>
    </w:p>
    <w:p w14:paraId="0F2C7E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21 августа 1942 ГИ ВВС Репин писал письмо N 416756с НКАП А.И.Ш. о том, что за сравнительно короткий срок эксплуатации Ла-5 М-82 выявлен ряд чрезвычайно серьезных дефектов, которые по своему характеру настолько серьезны, что являются причинами аварий и поломок самолетов...(1632,13).</w:t>
      </w:r>
    </w:p>
    <w:p w14:paraId="390B42F1" w14:textId="77777777" w:rsidR="00AE7191" w:rsidRPr="00722885" w:rsidRDefault="00AE7191" w:rsidP="00722885">
      <w:pPr>
        <w:pStyle w:val="Iauiue"/>
        <w:jc w:val="both"/>
        <w:rPr>
          <w:color w:val="000000" w:themeColor="text1"/>
          <w:sz w:val="16"/>
          <w:szCs w:val="16"/>
        </w:rPr>
      </w:pPr>
    </w:p>
    <w:p w14:paraId="0013F7E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августа 1942 г. по приказу № 643с/0112с, в связи с организацией в Красноярске Центральной авиаремонтной базы Управления Полярной авиации ГУСМП, завод № 477 был освобожден от работ по ремонту самолетов и моторов для УПА ГУСМП. Соответствующее оборудование и кадры были переданы в УПА ГУСМП.</w:t>
      </w:r>
    </w:p>
    <w:p w14:paraId="191A6F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соответствии с пост. ГКО № 2643с от 20.12.1942 г. и приказом № 904с/479с от 23.12.1942 г. завод № 477 в Лаптево передан в ведение Главуглемаша НКугля (может быть, имеется в виду площадка завода). В начале 1942 г. в Красноярске был завод № 477бис.)</w:t>
      </w:r>
    </w:p>
    <w:p w14:paraId="263DE4E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267с от 3.05.1943 г. на площадку завода перебазируется ОКБ Бериева (окончание в 06.1943 г.). Бериев назначен гл. конструктором завода. С 1.05.1943 г., в связи с организацией производства Бе-4, завод передан из 6ГУ в ЮГУ.</w:t>
      </w:r>
    </w:p>
    <w:p w14:paraId="2F8261D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441с/Р258с от 13.11.1945 г. завод № 477 со всем оборудованием и кадрами передан ГУСМП. ОКБ Бериева в конце декабря возвращается в Таганрог на завод № 86.</w:t>
      </w:r>
    </w:p>
    <w:p w14:paraId="37F0AED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1950 г. завод перепрофилирован на судостроение.</w:t>
      </w:r>
    </w:p>
    <w:p w14:paraId="2770C60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(1941 г.-)- Ф. Г. Нестеров, (01.1943 г.)- П.П. Смирнов, (-05.1943-11.1945 г.-)- ИЛ. Рехтман.</w:t>
      </w:r>
    </w:p>
    <w:p w14:paraId="2C6AA6E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(05.1943 г.-)-  Г.М. Бериев.</w:t>
      </w:r>
    </w:p>
    <w:p w14:paraId="1292D9D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.летающие лодки: КОР-2 (1944-45)- 38, ЛЛ-143 (1945)- 1.</w:t>
      </w:r>
    </w:p>
    <w:p w14:paraId="26BCF89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Заводской № 4770305.</w:t>
      </w:r>
    </w:p>
    <w:p w14:paraId="3A994B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Красноярский Ремонтный завод им. Побежимова ГУСМП / г. Красноярск/</w:t>
      </w:r>
    </w:p>
    <w:p w14:paraId="25EA239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Авиаремонтный завод основан в 1934 г. на базе бывших мастерских по ремонту катеров Главсевморпути, строительство начато 10.08.1935 г. Введен в эксплуатацию в 1940 г.</w:t>
      </w:r>
    </w:p>
    <w:p w14:paraId="2263F2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01.1942 г. влит в состав эвакуированного на его площадку по приказу № 1050сс от 8.10.1941 г. завода № 477 НКАП.</w:t>
      </w:r>
    </w:p>
    <w:p w14:paraId="6F6797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ОКБ-477 НКАП гл. конструктора  Г.М. Бериева</w:t>
      </w:r>
    </w:p>
    <w:p w14:paraId="7438F1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267с от 3.05.1943 г. для организации производства Бе-4 ОКБ-288 гл. конструктора  Г.М. Бериева переведено в Красноярск на завод № 477, где действовало под названием ОКБ-477.</w:t>
      </w:r>
    </w:p>
    <w:p w14:paraId="47906A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 морской самолет-разведчик ЛЛ-143 (првый полет 6.09.1945 г.).</w:t>
      </w:r>
    </w:p>
    <w:p w14:paraId="0A43684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57031BF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Полярной авиации</w:t>
      </w:r>
    </w:p>
    <w:p w14:paraId="2D53CB5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02AC737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М.А. Мостовой (11982).</w:t>
      </w:r>
    </w:p>
    <w:p w14:paraId="2CD6722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9E6E8F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A831FB1" w14:textId="77777777" w:rsidR="00AE7191" w:rsidRPr="00722885" w:rsidRDefault="00AE7191" w:rsidP="00722885">
      <w:pPr>
        <w:pStyle w:val="Iauiue"/>
        <w:jc w:val="both"/>
        <w:rPr>
          <w:iCs/>
          <w:color w:val="000000" w:themeColor="text1"/>
          <w:sz w:val="16"/>
          <w:szCs w:val="16"/>
        </w:rPr>
      </w:pPr>
    </w:p>
    <w:p w14:paraId="4363C7B4" w14:textId="77777777" w:rsidR="004119B8" w:rsidRPr="00722885" w:rsidRDefault="004119B8"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21 августа 1942 года, согласно доклада старшего военпреда ЧКЗ инженер-майора Скрибцова, направленного в ГБТУ КА:</w:t>
      </w:r>
    </w:p>
    <w:p w14:paraId="65F12EA3" w14:textId="77777777" w:rsidR="004119B8" w:rsidRPr="00722885" w:rsidRDefault="004119B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«Программа по танкам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 xml:space="preserve"> и КВ-1С за 20 дней выполнена всего лишь на 35%. Та-</w:t>
      </w:r>
    </w:p>
    <w:p w14:paraId="709712C8" w14:textId="77777777" w:rsidR="004119B8" w:rsidRPr="00722885" w:rsidRDefault="004119B8" w:rsidP="00722885">
      <w:pPr>
        <w:pStyle w:val="27"/>
        <w:shd w:val="clear" w:color="auto" w:fill="auto"/>
        <w:tabs>
          <w:tab w:val="left" w:pos="442"/>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 основных цехов на выпуск Т-34 и это с одной стороны отвлекало внимание руко</w:t>
      </w:r>
      <w:r w:rsidRPr="00722885">
        <w:rPr>
          <w:rFonts w:ascii="Times New Roman" w:cs="Times New Roman"/>
          <w:color w:val="000000" w:themeColor="text1"/>
          <w:spacing w:val="0"/>
        </w:rPr>
        <w:softHyphen/>
        <w:t xml:space="preserve">водства завода от выпуска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и с другой, было снято основное оборудование в цехе </w:t>
      </w:r>
      <w:r w:rsidRPr="00722885">
        <w:rPr>
          <w:rFonts w:ascii="Times New Roman" w:cs="Times New Roman"/>
          <w:color w:val="000000" w:themeColor="text1"/>
          <w:spacing w:val="0"/>
          <w:lang w:val="en-US"/>
        </w:rPr>
        <w:t>MX</w:t>
      </w:r>
      <w:r w:rsidRPr="00722885">
        <w:rPr>
          <w:rFonts w:ascii="Times New Roman" w:cs="Times New Roman"/>
          <w:color w:val="000000" w:themeColor="text1"/>
          <w:spacing w:val="0"/>
        </w:rPr>
        <w:t xml:space="preserve">-1, который поставлял для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всю начин</w:t>
      </w:r>
      <w:r w:rsidRPr="00722885">
        <w:rPr>
          <w:rFonts w:ascii="Times New Roman" w:cs="Times New Roman"/>
          <w:color w:val="000000" w:themeColor="text1"/>
          <w:spacing w:val="0"/>
        </w:rPr>
        <w:softHyphen/>
        <w:t>ку КПП, шестерни бортредуктора и всю хо</w:t>
      </w:r>
      <w:r w:rsidRPr="00722885">
        <w:rPr>
          <w:rFonts w:ascii="Times New Roman" w:cs="Times New Roman"/>
          <w:color w:val="000000" w:themeColor="text1"/>
          <w:spacing w:val="0"/>
        </w:rPr>
        <w:softHyphen/>
        <w:t>довую часть. Сейчас эти узлы и детали пере</w:t>
      </w:r>
      <w:r w:rsidRPr="00722885">
        <w:rPr>
          <w:rFonts w:ascii="Times New Roman" w:cs="Times New Roman"/>
          <w:color w:val="000000" w:themeColor="text1"/>
          <w:spacing w:val="0"/>
        </w:rPr>
        <w:softHyphen/>
        <w:t>даны для изготовления в цех МХ-2 совместно с частью оборудования, которое уже частич</w:t>
      </w:r>
      <w:r w:rsidRPr="00722885">
        <w:rPr>
          <w:rFonts w:ascii="Times New Roman" w:cs="Times New Roman"/>
          <w:color w:val="000000" w:themeColor="text1"/>
          <w:spacing w:val="0"/>
        </w:rPr>
        <w:softHyphen/>
        <w:t>но установлено, частично еще нет.</w:t>
      </w:r>
    </w:p>
    <w:p w14:paraId="6EB86E40" w14:textId="77777777" w:rsidR="004119B8" w:rsidRPr="00722885" w:rsidRDefault="004119B8" w:rsidP="00722885">
      <w:pPr>
        <w:pStyle w:val="27"/>
        <w:shd w:val="clear" w:color="auto" w:fill="auto"/>
        <w:tabs>
          <w:tab w:val="left" w:pos="42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 Благодаря упущению Дирекции завода цеха-заготовители (кузнечный и литейный) с большими перебоями подают поковки, штамповки и литье для КВ. Таким образом, сборочный цех СБ-2 не может собирать тре</w:t>
      </w:r>
      <w:r w:rsidRPr="00722885">
        <w:rPr>
          <w:rFonts w:ascii="Times New Roman" w:cs="Times New Roman"/>
          <w:color w:val="000000" w:themeColor="text1"/>
          <w:spacing w:val="0"/>
        </w:rPr>
        <w:softHyphen/>
        <w:t xml:space="preserve">буемого количества танков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из-за отсут</w:t>
      </w:r>
      <w:r w:rsidRPr="00722885">
        <w:rPr>
          <w:rFonts w:ascii="Times New Roman" w:cs="Times New Roman"/>
          <w:color w:val="000000" w:themeColor="text1"/>
          <w:spacing w:val="0"/>
        </w:rPr>
        <w:softHyphen/>
        <w:t>ствия КПП, бортредукторов, гусениц, ниж</w:t>
      </w:r>
      <w:r w:rsidRPr="00722885">
        <w:rPr>
          <w:rFonts w:ascii="Times New Roman" w:cs="Times New Roman"/>
          <w:color w:val="000000" w:themeColor="text1"/>
          <w:spacing w:val="0"/>
        </w:rPr>
        <w:softHyphen/>
        <w:t>них катков, которые не подает МХ-2 на сбор</w:t>
      </w:r>
      <w:r w:rsidRPr="00722885">
        <w:rPr>
          <w:rFonts w:ascii="Times New Roman" w:cs="Times New Roman"/>
          <w:color w:val="000000" w:themeColor="text1"/>
          <w:spacing w:val="0"/>
        </w:rPr>
        <w:softHyphen/>
        <w:t>ку по вышеперечисленным причинам.</w:t>
      </w:r>
    </w:p>
    <w:p w14:paraId="346A8729" w14:textId="77777777" w:rsidR="004119B8" w:rsidRPr="00722885" w:rsidRDefault="004119B8"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3. В августе перед всем коллективом завода была поставлена основная задача на август - освоение Т-34, и мы считаем, это правиль</w:t>
      </w:r>
      <w:r w:rsidRPr="00722885">
        <w:rPr>
          <w:rFonts w:ascii="Times New Roman" w:cs="Times New Roman"/>
          <w:color w:val="000000" w:themeColor="text1"/>
          <w:spacing w:val="0"/>
        </w:rPr>
        <w:softHyphen/>
        <w:t>но. Но цехами и их начальниками это было понято так, что освоение Т-34 это есть един</w:t>
      </w:r>
      <w:r w:rsidRPr="00722885">
        <w:rPr>
          <w:rFonts w:ascii="Times New Roman" w:cs="Times New Roman"/>
          <w:color w:val="000000" w:themeColor="text1"/>
          <w:spacing w:val="0"/>
        </w:rPr>
        <w:softHyphen/>
        <w:t>ственная задача, которая перед ними постав</w:t>
      </w:r>
      <w:r w:rsidRPr="00722885">
        <w:rPr>
          <w:rFonts w:ascii="Times New Roman" w:cs="Times New Roman"/>
          <w:color w:val="000000" w:themeColor="text1"/>
          <w:spacing w:val="0"/>
        </w:rPr>
        <w:softHyphen/>
        <w:t xml:space="preserve">лена, и поэтому изготовление деталей для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выпало из их внимания.</w:t>
      </w:r>
    </w:p>
    <w:p w14:paraId="75CFF7BF" w14:textId="77777777" w:rsidR="004119B8" w:rsidRPr="00722885" w:rsidRDefault="004119B8"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4. Все начальники цехов на вопрос — почему цех не дает деталей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отвечают, что цех за</w:t>
      </w:r>
      <w:r w:rsidRPr="00722885">
        <w:rPr>
          <w:rFonts w:ascii="Times New Roman" w:cs="Times New Roman"/>
          <w:color w:val="000000" w:themeColor="text1"/>
          <w:spacing w:val="0"/>
        </w:rPr>
        <w:softHyphen/>
        <w:t>нимается освоением Т-34. Выполнение про</w:t>
      </w:r>
      <w:r w:rsidRPr="00722885">
        <w:rPr>
          <w:rFonts w:ascii="Times New Roman" w:cs="Times New Roman"/>
          <w:color w:val="000000" w:themeColor="text1"/>
          <w:spacing w:val="0"/>
        </w:rPr>
        <w:softHyphen/>
        <w:t xml:space="preserve">граммы по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в текущем месяце будет за</w:t>
      </w:r>
      <w:r w:rsidRPr="00722885">
        <w:rPr>
          <w:rFonts w:ascii="Times New Roman" w:cs="Times New Roman"/>
          <w:color w:val="000000" w:themeColor="text1"/>
          <w:spacing w:val="0"/>
        </w:rPr>
        <w:softHyphen/>
        <w:t>висеть от того, насколько быстро сможет наладить свою работу цех МХ-2, как его обе</w:t>
      </w:r>
      <w:r w:rsidRPr="00722885">
        <w:rPr>
          <w:rFonts w:ascii="Times New Roman" w:cs="Times New Roman"/>
          <w:color w:val="000000" w:themeColor="text1"/>
          <w:spacing w:val="0"/>
        </w:rPr>
        <w:softHyphen/>
        <w:t>спечат поковками, штамповками и литьем цеха-заготовители, и насколько быстро будет прекращено прикрывательство в части сры</w:t>
      </w:r>
      <w:r w:rsidRPr="00722885">
        <w:rPr>
          <w:rFonts w:ascii="Times New Roman" w:cs="Times New Roman"/>
          <w:color w:val="000000" w:themeColor="text1"/>
          <w:spacing w:val="0"/>
        </w:rPr>
        <w:softHyphen/>
        <w:t xml:space="preserve">ва всеми цехами завода изготовление деталей по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освоением Т-34.</w:t>
      </w:r>
    </w:p>
    <w:p w14:paraId="46606202" w14:textId="77777777" w:rsidR="004119B8" w:rsidRPr="00722885" w:rsidRDefault="004119B8"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Все эти вопросы нами поставлены перед дирекцией завода и, судя по принимаемым мероприятиям, программа по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с большим напряжением, но может быть выполнена».</w:t>
      </w:r>
    </w:p>
    <w:p w14:paraId="7A9CB7DF" w14:textId="77777777" w:rsidR="004119B8" w:rsidRPr="00722885" w:rsidRDefault="004119B8"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Однако, несмотря на принятые меры, вы</w:t>
      </w:r>
      <w:r w:rsidRPr="00722885">
        <w:rPr>
          <w:rFonts w:ascii="Times New Roman" w:cs="Times New Roman"/>
          <w:color w:val="000000" w:themeColor="text1"/>
          <w:spacing w:val="0"/>
        </w:rPr>
        <w:softHyphen/>
        <w:t>полнить августовский план по тяжелым тан</w:t>
      </w:r>
      <w:r w:rsidRPr="00722885">
        <w:rPr>
          <w:rFonts w:ascii="Times New Roman" w:cs="Times New Roman"/>
          <w:color w:val="000000" w:themeColor="text1"/>
          <w:spacing w:val="0"/>
        </w:rPr>
        <w:softHyphen/>
        <w:t xml:space="preserve">кам (150 машин) не удалось - за месяц ЧКЗ изготовил 104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из них 34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В это число вошли две машины, которые поступи</w:t>
      </w:r>
      <w:r w:rsidRPr="00722885">
        <w:rPr>
          <w:rFonts w:ascii="Times New Roman" w:cs="Times New Roman"/>
          <w:color w:val="000000" w:themeColor="text1"/>
          <w:spacing w:val="0"/>
        </w:rPr>
        <w:softHyphen/>
        <w:t xml:space="preserve">ли на государственные испытания 28 июля — танки № 15001 и 15002. При этом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по</w:t>
      </w:r>
      <w:r w:rsidRPr="00722885">
        <w:rPr>
          <w:rFonts w:ascii="Times New Roman" w:cs="Times New Roman"/>
          <w:color w:val="000000" w:themeColor="text1"/>
          <w:spacing w:val="0"/>
        </w:rPr>
        <w:softHyphen/>
        <w:t>лучили гусеницу от КВ-1 - изготовление уз</w:t>
      </w:r>
      <w:r w:rsidRPr="00722885">
        <w:rPr>
          <w:rFonts w:ascii="Times New Roman" w:cs="Times New Roman"/>
          <w:color w:val="000000" w:themeColor="text1"/>
          <w:spacing w:val="0"/>
        </w:rPr>
        <w:softHyphen/>
        <w:t>кой наладить не смогли (15226).</w:t>
      </w:r>
    </w:p>
    <w:p w14:paraId="6946DB59" w14:textId="77777777" w:rsidR="004119B8" w:rsidRPr="00722885" w:rsidRDefault="004119B8" w:rsidP="00722885">
      <w:pPr>
        <w:pStyle w:val="27"/>
        <w:shd w:val="clear" w:color="auto" w:fill="auto"/>
        <w:spacing w:after="0" w:line="240" w:lineRule="auto"/>
        <w:ind w:firstLine="0"/>
        <w:rPr>
          <w:rFonts w:ascii="Times New Roman" w:cs="Times New Roman"/>
          <w:color w:val="000000" w:themeColor="text1"/>
          <w:spacing w:val="0"/>
        </w:rPr>
      </w:pPr>
    </w:p>
    <w:p w14:paraId="5E59D08E" w14:textId="77777777" w:rsidR="000C324B" w:rsidRPr="00722885" w:rsidRDefault="000C324B"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С 21 августа по 3 сентября 1942 испытывались обе САУ завода № 37: СУ-31 и СУ-32, причем СУ-31 показала себя с лучшей стороны, в то время как у СУ-32 наблюдался перегрев двигателей. Впрочем, к тому моменту, когда машины вышли на испы</w:t>
      </w:r>
      <w:r w:rsidRPr="00722885">
        <w:rPr>
          <w:rFonts w:eastAsia="Calibri"/>
          <w:color w:val="000000" w:themeColor="text1"/>
          <w:sz w:val="16"/>
          <w:szCs w:val="16"/>
        </w:rPr>
        <w:softHyphen/>
        <w:t>тания, завод № 37 уже объединился с Уралмашем и о серийном произ</w:t>
      </w:r>
      <w:r w:rsidRPr="00722885">
        <w:rPr>
          <w:rFonts w:eastAsia="Calibri"/>
          <w:color w:val="000000" w:themeColor="text1"/>
          <w:sz w:val="16"/>
          <w:szCs w:val="16"/>
        </w:rPr>
        <w:softHyphen/>
        <w:t>водстве легких САУ в Свердловске речь не шла (17485).</w:t>
      </w:r>
    </w:p>
    <w:p w14:paraId="36A2AEA7" w14:textId="77777777" w:rsidR="000C324B" w:rsidRPr="00722885" w:rsidRDefault="000C324B" w:rsidP="00722885">
      <w:pPr>
        <w:spacing w:after="0" w:line="240" w:lineRule="auto"/>
        <w:jc w:val="both"/>
        <w:rPr>
          <w:rFonts w:ascii="Times New Roman" w:hAnsi="Times New Roman"/>
          <w:color w:val="000000" w:themeColor="text1"/>
          <w:sz w:val="16"/>
          <w:szCs w:val="16"/>
        </w:rPr>
      </w:pPr>
    </w:p>
    <w:p w14:paraId="11A79415" w14:textId="77777777" w:rsidR="004A33F1" w:rsidRPr="00722885" w:rsidRDefault="004A33F1"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период с 21 августа по 3 сентября 1942 на филиале НИБТ Полигона в Кубинке (сам полигон осенью 1941 года эвакуировали под Казань) СУ-32 прошла 524 километра, из них 292 по шоссе и 197 км по проселку. Остальной километраж проходил по целине и в ходе специспытаний. Средняя скорость по шоссе составила 25,5 км/ч, по проселку 17,8 км/ч, максимальная же скорость составила 45 км/ч. В принципе, очень похоже на Т-70, но с рядом нюансов. Прежде всего, проблема заключалась в запредельной температуре в системе охлаждения. Она достигала 100 градусов для воды, а для масла - 110-120 градусов. Отмечалось неудобство работы с боекомплектом, недостаточная прочность тормозов, имелись проблемы с проходимостью на специспытаниях. Также отмечался разрыв гусеничных лент.</w:t>
      </w:r>
    </w:p>
    <w:p w14:paraId="64E8AE1D" w14:textId="77777777" w:rsidR="004A33F1" w:rsidRPr="00722885" w:rsidRDefault="004A33F1"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lang w:eastAsia="ru-RU"/>
        </w:rPr>
        <w:t xml:space="preserve">Часть недостатков, выявленных на СУ-32, не являлись чем-то новым. Недостаточная прочность траков являлась проблемой и на Т-70, да и система охлаждения машины не работала идеально. Собственно говоря, уже шли работы по модернизации ходовой части базового танка, с октября 1942 года его запустили в серию как Т-70Б. Другой вопрос, что в случае с самоходами имелась заинтересованная сторона. А именно С.А. Гинзбург. Как явный лоббист системы с параллельным расположением мотора, он сделал так, что СУ-31 признали оптимальным шасси. Впрочем, и этой машине не суждено было стать серийной. Завод №37 уже производил Т-34, так что новым местом разработки стал завод №38 (г. Киров), куда и направили разработки по обеим машинам. В результате родилась СУ-12, в которой совместили шасси на агрегатах Т-70Б и систему моторно-трансмиссионной группы от СУ-31 </w:t>
      </w:r>
      <w:r w:rsidRPr="00722885">
        <w:rPr>
          <w:rFonts w:ascii="Times New Roman" w:hAnsi="Times New Roman"/>
          <w:color w:val="0070C0"/>
          <w:sz w:val="16"/>
          <w:szCs w:val="16"/>
        </w:rPr>
        <w:t>(21099).</w:t>
      </w:r>
    </w:p>
    <w:p w14:paraId="4D6C691F" w14:textId="77777777" w:rsidR="004A33F1" w:rsidRPr="00722885" w:rsidRDefault="004A33F1" w:rsidP="00722885">
      <w:pPr>
        <w:spacing w:after="0" w:line="240" w:lineRule="auto"/>
        <w:jc w:val="both"/>
        <w:rPr>
          <w:rFonts w:ascii="Times New Roman" w:hAnsi="Times New Roman"/>
          <w:color w:val="0070C0"/>
          <w:sz w:val="16"/>
          <w:szCs w:val="16"/>
        </w:rPr>
      </w:pPr>
    </w:p>
    <w:p w14:paraId="1A13190F" w14:textId="77777777" w:rsidR="004135CC" w:rsidRPr="00722885"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21 августа 1942 в Кубинке на полигоне Научно-исследовательского института бронетанковой техники (НИИБТ Полигоне) приступили к официальной программе ходовых испытаний СУ-31 и СУ-32. Ещё раньше, 18 августа, прошли демонстрационные стрельбы на Софринском артиллерийском полигоне. Всего с 21 августа по 3 сентября СУ-31 и СУ-32 прошли 630 и 524 километра соответственно. Было произведено 490 выстрелов из 61-К и 205 выстрелов из ЗИС-3.</w:t>
      </w:r>
    </w:p>
    <w:p w14:paraId="69B50680" w14:textId="77777777" w:rsidR="004135CC" w:rsidRPr="00722885"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Для соответствия весовым характеристикам СУ-32 на испытаниях догрузили до боевой массы с проектной толщиной брони. В ходе испытаний у обеих самоходок наблюдались частые разрывы гусеничных лент. Решить эту проблему предполагалось модернизацией ходовой части по типу Т-70Б, название это условное, поскольку в документах Т-70 с усиленной ходовой частью так не называется. Также ходовые испытания выявили серьёзные проблемы системы охлаждения двигателя СУ-32, на СУ-31 подобного не наблюдалось. Отмечалось неудобное размещение боекомплекта, в результате чего скорострельность (по сравнению со штатной ЗИС-3) оказалась снижена. На угле возвышения 25 градусов орудийный щит закрывал обзор панорамы, в результате прицеливание становилось невозможным. Кроме того, установка бронекожуха увеличила усилия на маховики механизма наведения.</w:t>
      </w:r>
    </w:p>
    <w:p w14:paraId="60C7433A" w14:textId="77777777" w:rsidR="004135CC" w:rsidRPr="00722885"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результатам сравнительных испытаний был сделан следующий вывод:</w:t>
      </w:r>
    </w:p>
    <w:p w14:paraId="576AE308" w14:textId="77777777" w:rsidR="004135CC" w:rsidRPr="00722885"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«Испытания пробегом показали, что машина (СУ-32) имеет кроме слабых тормозов и траков следующие дефекты:</w:t>
      </w:r>
    </w:p>
    <w:p w14:paraId="3A949761" w14:textId="77777777" w:rsidR="004135CC" w:rsidRPr="00722885"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а) Перегрев двигателя.</w:t>
      </w:r>
    </w:p>
    <w:p w14:paraId="7180262C" w14:textId="77777777" w:rsidR="004135CC" w:rsidRPr="00722885"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б) Слабое крепление коробки перемены передач.</w:t>
      </w:r>
    </w:p>
    <w:p w14:paraId="5C456031" w14:textId="77777777" w:rsidR="004135CC" w:rsidRPr="00722885"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в) Наличие указанных дефектов не даёт возможности рекомендовать шасси со спаренной установкой двигателя для принятия на вооружение Красной Армии.</w:t>
      </w:r>
    </w:p>
    <w:p w14:paraId="6C881B87" w14:textId="77777777" w:rsidR="004135CC" w:rsidRPr="00722885"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Учитывая, что компоновка 76 мм пушки на самоходной установке в основном работает удовлетворительно, комиссия считает целесообразным одновременно с выпуском опытной серии 37 мм зенитных самоходных установок, выпустить для проведения испытаний в частях действующей Красной Армии опытной серии в количестве 6–10 штук 76 мм штурмовых самоходных установок на шасси с параллельным расположением двигателей, рекомендованном для 37 мм зенитной самоходной установки».</w:t>
      </w:r>
    </w:p>
    <w:p w14:paraId="3C95012E" w14:textId="77777777" w:rsidR="004135CC" w:rsidRPr="00722885" w:rsidRDefault="004135CC" w:rsidP="00722885">
      <w:pPr>
        <w:spacing w:after="0" w:line="240" w:lineRule="auto"/>
        <w:jc w:val="both"/>
        <w:rPr>
          <w:rFonts w:ascii="Times New Roman" w:hAnsi="Times New Roman"/>
          <w:color w:val="000000" w:themeColor="text1"/>
          <w:sz w:val="16"/>
          <w:szCs w:val="16"/>
        </w:rPr>
      </w:pPr>
      <w:r w:rsidRPr="00722885">
        <w:rPr>
          <w:rFonts w:ascii="Times New Roman" w:eastAsia="Times New Roman" w:hAnsi="Times New Roman"/>
          <w:color w:val="000000" w:themeColor="text1"/>
          <w:sz w:val="16"/>
          <w:szCs w:val="16"/>
          <w:lang w:eastAsia="ru-RU"/>
        </w:rPr>
        <w:t>Продолжения работ по теме СУ-31 и СУ-32 на заводе №37 не последовало (17668).</w:t>
      </w:r>
    </w:p>
    <w:p w14:paraId="3B5B145C" w14:textId="77777777" w:rsidR="004135CC" w:rsidRPr="00722885" w:rsidRDefault="004135CC" w:rsidP="00722885">
      <w:pPr>
        <w:spacing w:after="0" w:line="240" w:lineRule="auto"/>
        <w:jc w:val="both"/>
        <w:rPr>
          <w:rFonts w:ascii="Times New Roman" w:hAnsi="Times New Roman"/>
          <w:color w:val="000000" w:themeColor="text1"/>
          <w:sz w:val="16"/>
          <w:szCs w:val="16"/>
        </w:rPr>
      </w:pPr>
    </w:p>
    <w:p w14:paraId="3028CE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21 августа 1942 г. вышло постановление Государственного комитета обороны СССР об эвакуации оборонного завода № 91 (г. Сталинград).</w:t>
      </w:r>
    </w:p>
    <w:p w14:paraId="287F9214" w14:textId="77777777" w:rsidR="00AE7191" w:rsidRPr="00722885" w:rsidRDefault="00AE7191" w:rsidP="00722885">
      <w:pPr>
        <w:pStyle w:val="Iauiue"/>
        <w:jc w:val="both"/>
        <w:rPr>
          <w:color w:val="000000" w:themeColor="text1"/>
          <w:sz w:val="16"/>
          <w:szCs w:val="16"/>
        </w:rPr>
      </w:pPr>
    </w:p>
    <w:p w14:paraId="4113D9E4" w14:textId="77777777" w:rsidR="004119B8"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19AC464" w14:textId="77777777" w:rsidR="004119B8" w:rsidRPr="00722885" w:rsidRDefault="004119B8" w:rsidP="00722885">
      <w:pPr>
        <w:pStyle w:val="Iauiue"/>
        <w:jc w:val="both"/>
        <w:rPr>
          <w:iCs/>
          <w:color w:val="000000" w:themeColor="text1"/>
          <w:sz w:val="16"/>
          <w:szCs w:val="16"/>
        </w:rPr>
      </w:pPr>
    </w:p>
    <w:p w14:paraId="196CEB8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августа в 1942 году утреннее сообщение Совинформбюро:</w:t>
      </w:r>
    </w:p>
    <w:p w14:paraId="02943A3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21 августа наши войска вели бои с противником в районах юго-восточнее Клетская, северо-восточнее Котельниково, а также юго-восточнее Пятигорска и южнее Краснодара.</w:t>
      </w:r>
    </w:p>
    <w:p w14:paraId="0B891A5C"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25C4E38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Н-ское подразделение внезапно атаковало готовившегося к наступлению противника. В ожесточённом сражении наши бойцы уничтожили 5 немецких танков, 8 противотанковых орудий, 11 пулемётов, 7 миномётов и истребили 350 гитлеровцев. Юго-восточнее Клетской продолжаются упорные бои с противником. Бойцы одной нашей части отбили атаку немецкой мотопехоты, наступавшей при поддержке танков. Подбито 8 танков, и разгромлен батальон пехоты противника.</w:t>
      </w:r>
    </w:p>
    <w:p w14:paraId="0D58E9E2"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продолжали вести оборонительные бои. Контратаками советские части изматывают немцев и наносят им значительный урон. Только в районе действий Н-ской части неприятель потерял 3 танка, 9 орудий, 5 автомашин и 350 солдат и офицеров. Разведывательный отряд ночью пробрался в расположение противника. Наши разведчики подожгли несколько немецких танков и автомашин и истребили до 100 гитлеровцев.</w:t>
      </w:r>
    </w:p>
    <w:p w14:paraId="27112A67"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соединение под командованием тов. Аршинцева в трёхдневных боях уничтожило свыше 2.500 немецких солдат и офицеров, 14 танков, 7 бронемашин, 103 автомашины, много орудий и пулемётов. Советские бойцы самоотверженно борются против численно превосходящих сил врага. Пулемётчики тт.Дзилунов и Пирущак уничтожили 90 немецких автоматчиков. Командир батальона капитан Бедашвили огнём из станкового пулемёта уничтожил шесть немецких мотоциклов и свыше 40 гитлеровцев. Бронебойщик старший сержант Катаев метко брошенной противотанковой гранатой подбил немецкий танк и машину с пехотой.</w:t>
      </w:r>
    </w:p>
    <w:p w14:paraId="5894827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Пятигорска продолжались ожесточённые бои, в ходе которых противнику нанесены большие потери.</w:t>
      </w:r>
    </w:p>
    <w:p w14:paraId="545D73D8"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происходили бои местного значения. На одном из участков несколько подразделений командира тов. Свиридова предприняли наступление. Преодолев упорное сопротивление врага, наши бойцы заняли важный оборонительный рубеж. Два батальона немецкой пехоты пытались вернуть потерянные позиции, но их атаки были отбиты. За два дня боёв, по неполным данным, истреблено свыше 1.000 немецких солдат и офицеров, уничтожено 10 пулемётов, 3 миномёта, сожжён немецкий танк, взорвано 2 склада с боеприпасами. Огнём нашей артиллерии подавлен огонь 7 артиллерийских батарей противника.</w:t>
      </w:r>
    </w:p>
    <w:p w14:paraId="20320395"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разведывательного отряда военно-воздушных сил германской армии Герберт Риттер рассказал: «Наш отряд прибыл в Россию из Антверпена (Бельгия) в июне этого года. Вслед за нами прибыли другие авиационные части из Бельгии, а также из Франции. Совершая разведывательный полёт, я встретился с советским истребителем и хотел было уклониться от боя. Однако русский лётчик преследовал меня и подбил мою машину. У нас существует всеобщее мнение, что русские лётчики — это искусные мастера своего дела. Многих немецких лётчиков пугает русская зима. По их мнению, вторую русскую зиму германская армия не выдержит. Они говорят, что если война не будет скоро закончена, то Германия потерпит поражение».</w:t>
      </w:r>
    </w:p>
    <w:p w14:paraId="39C0240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деревне Басино, Ленинградской области, немецко-фашистские мерзавцы схватили колхозницу Наумову и потребовали, чтобы она указала местонахождение партизан. Наумова ответила, что она не знает, где находятся партизаны. Тогда фашистские палачи подвергли её пыткам. Не добившись от Наумовой ни единого слова, немецкие изверги растерзали её.</w:t>
      </w:r>
    </w:p>
    <w:p w14:paraId="1B31E8AC"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Польский партизанский отряд, действующий в районе С. (Польша), уничтожил 40 гитлеровцев. Польские патриоты взорвали 6 мостов и уничтожили 8 немецких грузовиков.» (14995).</w:t>
      </w:r>
    </w:p>
    <w:p w14:paraId="64B7CBB3"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7A0E7B39"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августа в 1942 году вечернее сообщение Совинформбюро:</w:t>
      </w:r>
    </w:p>
    <w:p w14:paraId="189A3AD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21 августа наши войска вели бои с противником в районах юго-восточнее Клетская, северо-восточнее Котельниково, юго-восточнее Пятигорска и южнее Краснодара.</w:t>
      </w:r>
    </w:p>
    <w:p w14:paraId="6FCEEFD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существенных изменений не произошло.</w:t>
      </w:r>
    </w:p>
    <w:p w14:paraId="70D3E05F"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Баренцевом море потоплены минный заградитель и два сторожевых корабля противника.</w:t>
      </w:r>
    </w:p>
    <w:p w14:paraId="0B5391A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 корабль в Балтийском море потопил немецкий танкер водоизмещением в 15 тысяч тонн.</w:t>
      </w:r>
    </w:p>
    <w:p w14:paraId="20067D5F"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20 августа частями нашей авиации на различных участках фронта уничтожено или повреждено 18 немецких танков и бронемашин, 140 автомашин с войсками и грузами, подавлен огонь 10 батарей полевой и зенитной артиллерии, рассеяно и частью уничтожено до батальона пехоты противника.</w:t>
      </w:r>
    </w:p>
    <w:p w14:paraId="34045B9C"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Клетской наши войска отбивали ожесточённые атаки противника. Бойцы Н-ской части нанесли немцам контрудар и уничтожили 450 гитлеровцев, захватили 4 орудия, 162 винтовки, 2.000 гранат и 15.000 патронов. Взяты пленные. На участке одной нашей гвардейской части противник бросил в атаку большие группы танков, поддержанных авиацией. Гвардейцы отбили все атаки гитлеровцев, подбили и уничтожили до 40 немецких танков. На поле боя остались сотни вражеских трупов.</w:t>
      </w:r>
    </w:p>
    <w:p w14:paraId="263B4F0F"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вели оборонительные бои против танков и мотопехоты противника. Неоднократные атаки немцев отбивались с большими для них потерями. Только на участке Н-ского подразделения уничтожено 7 танков и свыше 300 гитлеровцев.</w:t>
      </w:r>
    </w:p>
    <w:p w14:paraId="4C54AEB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другом участке противник предпринял атаку крупными силами, действовавшими при поддержке более сотни танков. Лишь небольшой группе немецких танков удалось прорваться через наши позиции. Пехота противника отрезана от танков. Наши части ведут упорные бои по уничтожению этой группировки противника.</w:t>
      </w:r>
    </w:p>
    <w:p w14:paraId="67BE97A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происходили ожесточённые бои. Часть под командованием тов. Ковалёва за три дня уничтожила свыше 2.000 немецких солдат и офицеров, 5 танков, 2 бронемашины, 18 грузовых и 14 легковых автомашин. На одномиз участков после кровопролитного боя наши части отошли на новые позиции.</w:t>
      </w:r>
    </w:p>
    <w:p w14:paraId="15CC322B"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Пятигорска наши войска отбивали атаки немецко-фашистских войск. Бойцы одной стрелковой части уничтожили 70 немецких автоматчиков, просочившихся за передний край нашей обороны.</w:t>
      </w:r>
    </w:p>
    <w:p w14:paraId="55AD48F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 западном берегу реки Дон, происходили бои на улицах населённого пункта. Гитлеровцы рано утром предприняли атаку силами до двух батальонов, но были отброшены на исходные позиции, потеряв только убитыми до 200 солдат и офицеров.</w:t>
      </w:r>
    </w:p>
    <w:p w14:paraId="73D48E5B"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Карельском фронте пять самолётов противника пытались разрушить наши переправы через реку. Пять советских истребителей атаковали врага. В завязавшемся воздушном бою лётчики тт. Бубнов, Князев и Клименко сбили по одному самолёту противника. Кроме того, лётчики тт. Клименко и Кузнецов совместно сбили ещё один вражеский самолёт. Наши истребители потерь не имели.</w:t>
      </w:r>
    </w:p>
    <w:p w14:paraId="3C663178"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ленинградских партизан под командованием тов. Б. за последние три месяца истребил 315 немецких солдат и офицеров, разрушил 150 метров железнодорожного полотна и пустил под откос паровоз, 16 вагонов с боеприпасами и 2 цистерны с горючим.</w:t>
      </w:r>
    </w:p>
    <w:p w14:paraId="37849E8A"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7 роты 282 полка 98 немецкой пехотной дивизии Бернгардт Вонс сообщил: «В июне я в составе 98 маршевого батальона прибыл на фронт. К нам приехал командир дивизии Гарейс и произнёс речь. Он сказал, что 98 дивизия понесла тяжёлые потери, многие роты совершенно обескровлены, в них осталось по 15—20 человек. Теперь прибывает пополнение, и дивизия опять пойдёт в дело. Солдаты угрюмо молчали, они в душе понимали, что их привезли на убой.</w:t>
      </w:r>
    </w:p>
    <w:p w14:paraId="75C2D4B8"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Один чёрт знает, кому удастся выбраться отсюда? Я один из счастливых: через месяц попал в плен и теперь буду только ожидать конца войны».</w:t>
      </w:r>
    </w:p>
    <w:p w14:paraId="4E6786B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 Калининского фронта составила акт о зверствах немецко-фашистских мерзавцев над пленными красноармейцами и командирами. В акте говорится: «Недалеко от деревень Дружево и Шалы нами обнаружено 17 трупов советских бойцов и труп женщины, зверски замученных немцами. Личность погибших установить не удалось. Все трупы носят следы нечеловеческих пыток. Пленным гитлеровцы выкололи глаза, отрубили руки и ноги». Акт подписали: военный фельдшер Вощева, батальонный комиссар Кулаков, младший политрук Конаков, младший сержант Рогачёв.» (14995).</w:t>
      </w:r>
    </w:p>
    <w:p w14:paraId="74A7D54C"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65AEB50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августа в 1942 году передовые частям немецкой 4-ой танковой армии форсировали Дон в районе Калача и захватили плацдарм на его левом берегу (14995).</w:t>
      </w:r>
    </w:p>
    <w:p w14:paraId="7A62AC85"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32F16781" w14:textId="77777777" w:rsidR="004A33F1" w:rsidRPr="00722885" w:rsidRDefault="004A33F1" w:rsidP="00722885">
      <w:pPr>
        <w:pStyle w:val="36"/>
        <w:shd w:val="clear" w:color="auto" w:fill="auto"/>
        <w:spacing w:after="0" w:line="240" w:lineRule="auto"/>
        <w:jc w:val="both"/>
        <w:rPr>
          <w:rFonts w:ascii="Times New Roman" w:cs="Times New Roman"/>
          <w:color w:val="0070C0"/>
          <w:spacing w:val="0"/>
          <w:sz w:val="16"/>
          <w:szCs w:val="16"/>
        </w:rPr>
      </w:pPr>
      <w:r w:rsidRPr="00722885">
        <w:rPr>
          <w:rFonts w:ascii="Times New Roman" w:cs="Times New Roman"/>
          <w:color w:val="0070C0"/>
          <w:spacing w:val="0"/>
          <w:sz w:val="16"/>
          <w:szCs w:val="16"/>
        </w:rPr>
        <w:t>21 августа 1942 г. 18 Ил-2 в сопровож</w:t>
      </w:r>
      <w:r w:rsidRPr="00722885">
        <w:rPr>
          <w:rFonts w:ascii="Times New Roman" w:cs="Times New Roman"/>
          <w:color w:val="0070C0"/>
          <w:spacing w:val="0"/>
          <w:sz w:val="16"/>
          <w:szCs w:val="16"/>
        </w:rPr>
        <w:softHyphen/>
        <w:t>дении 16-ти истребителей провели налет на аэродром Сеща. Штурмовики шли тремя группами по 6 машин, и первая должна была подавить зенитную артил</w:t>
      </w:r>
      <w:r w:rsidRPr="00722885">
        <w:rPr>
          <w:rFonts w:ascii="Times New Roman" w:cs="Times New Roman"/>
          <w:color w:val="0070C0"/>
          <w:spacing w:val="0"/>
          <w:sz w:val="16"/>
          <w:szCs w:val="16"/>
        </w:rPr>
        <w:softHyphen/>
        <w:t>лерию. Это удалось: после двух заходов замолчали до 15 зе</w:t>
      </w:r>
      <w:r w:rsidRPr="00722885">
        <w:rPr>
          <w:rFonts w:ascii="Times New Roman" w:cs="Times New Roman"/>
          <w:color w:val="0070C0"/>
          <w:spacing w:val="0"/>
          <w:sz w:val="16"/>
          <w:szCs w:val="16"/>
        </w:rPr>
        <w:softHyphen/>
        <w:t>нитных установок, что обеспечило остальным группам выпол</w:t>
      </w:r>
      <w:r w:rsidRPr="00722885">
        <w:rPr>
          <w:rFonts w:ascii="Times New Roman" w:cs="Times New Roman"/>
          <w:color w:val="0070C0"/>
          <w:spacing w:val="0"/>
          <w:sz w:val="16"/>
          <w:szCs w:val="16"/>
        </w:rPr>
        <w:softHyphen/>
        <w:t>нение основной задачи (19854).</w:t>
      </w:r>
    </w:p>
    <w:p w14:paraId="721C8EC3" w14:textId="77777777" w:rsidR="004A33F1" w:rsidRPr="00722885" w:rsidRDefault="004A33F1" w:rsidP="00722885">
      <w:pPr>
        <w:pStyle w:val="36"/>
        <w:shd w:val="clear" w:color="auto" w:fill="auto"/>
        <w:spacing w:after="0" w:line="240" w:lineRule="auto"/>
        <w:jc w:val="both"/>
        <w:rPr>
          <w:rFonts w:ascii="Times New Roman" w:cs="Times New Roman"/>
          <w:color w:val="0070C0"/>
          <w:spacing w:val="0"/>
          <w:sz w:val="16"/>
          <w:szCs w:val="16"/>
        </w:rPr>
      </w:pPr>
    </w:p>
    <w:p w14:paraId="36815D42" w14:textId="77777777" w:rsidR="004119B8" w:rsidRPr="00722885" w:rsidRDefault="004119B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августа 1942 четыре катера с «катюшами» во взаимодействии со сторожевыми кораблями «Шторм» и «Шквал» произвели огненный налет по анапскому аэродрому, вызвав взрывы и пожары. А спустя трое суток эти же катера в дозоре вели бои с немецкими торпедными катерами. Перехитрив фашистов, заставив их сомкнуть строй, И.П.Шенгур нанес по ним удар сразу девятью десятками ракет. Гитлеровцы даже не отстреливаясь бросились наутек. Экипажи катеров Анатолия Крылова и Нестора Котова успели на ходу установить еще 12 ракет и выпустить их в середину сгрудившихся вражеских катеров. А в это время катера Михаила Матвиенко и Владимира Пилипенко, заряжая свои установки, отстали. Эта случайная задержка оказалась как нельзя кстати: с юга подошли еще три больших катера противника. Командиры не сговариваясь одновременно пошли им навстречу, с дистанции 600-8—метров накрыли их «катюшами», а подошедшие три сторожевых катера Сипягина огнем из пушек и пулеметов отогнали их совсем (15985).</w:t>
      </w:r>
    </w:p>
    <w:p w14:paraId="1BE37908" w14:textId="77777777" w:rsidR="004119B8" w:rsidRPr="00722885" w:rsidRDefault="004119B8" w:rsidP="00722885">
      <w:pPr>
        <w:spacing w:after="0" w:line="240" w:lineRule="auto"/>
        <w:jc w:val="both"/>
        <w:rPr>
          <w:rFonts w:ascii="Times New Roman" w:hAnsi="Times New Roman"/>
          <w:color w:val="000000" w:themeColor="text1"/>
          <w:sz w:val="16"/>
          <w:szCs w:val="16"/>
        </w:rPr>
      </w:pPr>
    </w:p>
    <w:p w14:paraId="00A6E96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E549818" w14:textId="77777777" w:rsidR="00AE7191" w:rsidRPr="00722885" w:rsidRDefault="00AE7191" w:rsidP="00722885">
      <w:pPr>
        <w:pStyle w:val="Iauiue"/>
        <w:jc w:val="both"/>
        <w:rPr>
          <w:iCs/>
          <w:color w:val="000000" w:themeColor="text1"/>
          <w:sz w:val="16"/>
          <w:szCs w:val="16"/>
        </w:rPr>
      </w:pPr>
    </w:p>
    <w:p w14:paraId="7BF421C1" w14:textId="77777777" w:rsidR="004A33F1" w:rsidRPr="00722885" w:rsidRDefault="004A33F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21 августа 1942, управляя Grumman F4F Wildcat, майор морской пехоты США Джон Л. Смит одерживает первую победу в воздухе, используя самолет, базирующийся в Хендерсон-Филд, сбив Mitsubishi A6M Zero над Гуадалканалом (20793).</w:t>
      </w:r>
    </w:p>
    <w:p w14:paraId="5FBFD95B" w14:textId="77777777" w:rsidR="004A33F1" w:rsidRPr="00722885" w:rsidRDefault="004A33F1" w:rsidP="00722885">
      <w:pPr>
        <w:spacing w:after="0" w:line="240" w:lineRule="auto"/>
        <w:jc w:val="both"/>
        <w:rPr>
          <w:rFonts w:ascii="Times New Roman" w:hAnsi="Times New Roman"/>
          <w:color w:val="0070C0"/>
          <w:sz w:val="16"/>
          <w:szCs w:val="16"/>
        </w:rPr>
      </w:pPr>
    </w:p>
    <w:p w14:paraId="5E0255CB" w14:textId="77777777" w:rsidR="004A33F1" w:rsidRPr="00722885" w:rsidRDefault="004A33F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21 августа 1942 Барон Карл-Август фон Габленц, основатель Deutsche Luft Hansa, находится среди двух человек, погибших в результате механической поломки и крушения Siebel Si 204, который он пилотирует, в Мюльберге , Германия (20793).</w:t>
      </w:r>
    </w:p>
    <w:p w14:paraId="1AA22F81" w14:textId="77777777" w:rsidR="004A33F1" w:rsidRPr="00722885" w:rsidRDefault="004A33F1" w:rsidP="00722885">
      <w:pPr>
        <w:spacing w:after="0" w:line="240" w:lineRule="auto"/>
        <w:jc w:val="both"/>
        <w:rPr>
          <w:rFonts w:ascii="Times New Roman" w:hAnsi="Times New Roman"/>
          <w:color w:val="0070C0"/>
          <w:sz w:val="16"/>
          <w:szCs w:val="16"/>
        </w:rPr>
      </w:pPr>
    </w:p>
    <w:p w14:paraId="2E5B8060"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21 августа 1942 флаг со свастикой установлен на вершине Эльбруса (4962).</w:t>
      </w:r>
    </w:p>
    <w:p w14:paraId="0758B5F0" w14:textId="77777777" w:rsidR="00AE7191" w:rsidRPr="00722885" w:rsidRDefault="00AE7191" w:rsidP="00722885">
      <w:pPr>
        <w:pStyle w:val="Iauiue"/>
        <w:tabs>
          <w:tab w:val="left" w:pos="11199"/>
        </w:tabs>
        <w:jc w:val="both"/>
        <w:rPr>
          <w:color w:val="000000" w:themeColor="text1"/>
          <w:sz w:val="16"/>
          <w:szCs w:val="16"/>
        </w:rPr>
      </w:pPr>
    </w:p>
    <w:p w14:paraId="714865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21 августа 1942 немцы водрузили флаг над Эльбрусом (1348,224).</w:t>
      </w:r>
    </w:p>
    <w:p w14:paraId="01786475" w14:textId="77777777" w:rsidR="00AE7191" w:rsidRPr="00722885" w:rsidRDefault="00AE7191" w:rsidP="00722885">
      <w:pPr>
        <w:pStyle w:val="Iauiue"/>
        <w:jc w:val="both"/>
        <w:rPr>
          <w:color w:val="000000" w:themeColor="text1"/>
          <w:sz w:val="16"/>
          <w:szCs w:val="16"/>
        </w:rPr>
      </w:pPr>
    </w:p>
    <w:p w14:paraId="02B288F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августа в 1942 году немецкими солдатами дивизии «Эдельвейс» установлен флаг со свастикой на вершине Эльбруса в ходе Битвы за Кавказ. Зимой 1944 года его снимет команда альпинистов под руководством Гусева и водрузит советский стяг (14995).</w:t>
      </w:r>
    </w:p>
    <w:p w14:paraId="163C2E04"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1DBE11B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FBAD597" w14:textId="77777777" w:rsidR="00AE7191" w:rsidRPr="00722885" w:rsidRDefault="00AE7191" w:rsidP="00722885">
      <w:pPr>
        <w:pStyle w:val="Iauiue"/>
        <w:jc w:val="both"/>
        <w:rPr>
          <w:iCs/>
          <w:color w:val="000000" w:themeColor="text1"/>
          <w:sz w:val="16"/>
          <w:szCs w:val="16"/>
        </w:rPr>
      </w:pPr>
    </w:p>
    <w:p w14:paraId="5DA0C8D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1942 г. был приказ начальника штаба ВВС КА генерал-лейтенанта авиации фалалеева командующим Воздушными Армиями и ВВС фронтов, на</w:t>
      </w:r>
      <w:r w:rsidRPr="00722885">
        <w:rPr>
          <w:rFonts w:ascii="Times New Roman" w:hAnsi="Times New Roman"/>
          <w:color w:val="000000" w:themeColor="text1"/>
          <w:sz w:val="16"/>
          <w:szCs w:val="16"/>
        </w:rPr>
        <w:softHyphen/>
        <w:t>чальнику Военной академии командно-штурманского состава ВВС КА, начальнику Липецких курсов усовершенствования: «Наши штурмовики Ил-2 применяют преимущественно два способа действий: атаку с бреющего полета и атаку с выскакиванием перед целью на высоту 150-250 м. Эти способы действий позволяют штурмовикам при наличии благоприятного рельефа местности относительно внезапно появляться над целью...</w:t>
      </w:r>
    </w:p>
    <w:p w14:paraId="7C461DD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...Нужно повысить эффективность их ударов и практиковать такие способы, которые обеспечивали бы эффективное использование огне</w:t>
      </w:r>
      <w:r w:rsidRPr="00722885">
        <w:rPr>
          <w:rFonts w:ascii="Times New Roman" w:hAnsi="Times New Roman"/>
          <w:color w:val="000000" w:themeColor="text1"/>
          <w:sz w:val="16"/>
          <w:szCs w:val="16"/>
        </w:rPr>
        <w:softHyphen/>
        <w:t>вых возможностей самолетов Ил-2 и затруднили бы противнику органи</w:t>
      </w:r>
      <w:r w:rsidRPr="00722885">
        <w:rPr>
          <w:rFonts w:ascii="Times New Roman" w:hAnsi="Times New Roman"/>
          <w:color w:val="000000" w:themeColor="text1"/>
          <w:sz w:val="16"/>
          <w:szCs w:val="16"/>
        </w:rPr>
        <w:softHyphen/>
        <w:t>зацию борьбы с ними... Атака с пикирования. В первых атаках цель по</w:t>
      </w:r>
      <w:r w:rsidRPr="00722885">
        <w:rPr>
          <w:rFonts w:ascii="Times New Roman" w:hAnsi="Times New Roman"/>
          <w:color w:val="000000" w:themeColor="text1"/>
          <w:sz w:val="16"/>
          <w:szCs w:val="16"/>
        </w:rPr>
        <w:softHyphen/>
        <w:t>ражается бомбами и реактивными снарядами, в последующих атаках применяются реактивные снаряды, пушечный и пулеметный огонь»...(11402).</w:t>
      </w:r>
    </w:p>
    <w:p w14:paraId="28F46E2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4333B2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1942 г. было письмо:</w:t>
      </w:r>
    </w:p>
    <w:p w14:paraId="7C71A8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Докладываю по существу вопроса о списании с 45 ад аварийных самолетов: ТБ-7 №4224 (Кашино), 4226 (Иваново) и 42096 (район аэродрома завода №22).</w:t>
      </w:r>
    </w:p>
    <w:p w14:paraId="2F5651B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Восстановление означенных самолетов заводом № 22 НКАП в данное время осуществлено быть не может, так как ряд основных деталей: крылья, Ф-3, центроплан, а также мелкие детали оборудования самолетов заводом использованы для выпуска серийных машин.</w:t>
      </w:r>
    </w:p>
    <w:p w14:paraId="1D8961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например, на самолет ТБ-7 №42048 установлены крылья и центроплан самолета №42096, Ф-3 с самолета №4226 используется для ремонта самолета №42076. Прошу самолеты ТБ-7 №4224, 4226 и 42096 с 746 Ап 45 АД списать и выслать инспекторское свидетельство.</w:t>
      </w:r>
    </w:p>
    <w:p w14:paraId="3A7F6EE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Пом командира 45 аддд по иас инженер-майор Ануров" (12025). </w:t>
      </w:r>
    </w:p>
    <w:p w14:paraId="45CEACF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4CF90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1942 был утвержден итоговый отчет по войсковым испытаниям Ту-2 завода № 166, проходившим с 17 мая по конец июля 1942.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49D40FE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F300D9B" w14:textId="77777777" w:rsidR="00A01B2C" w:rsidRPr="00722885" w:rsidRDefault="00A01B2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22 августа 1942 был утвержден итоговый отчет по первому этапу войсковых испытаний Ту-2. Выводы испытателей в целом были одобрительными. В заключении от</w:t>
      </w:r>
      <w:r w:rsidRPr="00722885">
        <w:rPr>
          <w:rFonts w:ascii="Times New Roman" w:hAnsi="Times New Roman"/>
          <w:color w:val="0070C0"/>
          <w:sz w:val="16"/>
          <w:szCs w:val="16"/>
          <w:lang w:eastAsia="ru-RU" w:bidi="ru-RU"/>
        </w:rPr>
        <w:softHyphen/>
        <w:t>чета записали: «Серийные самолеты Ту-2 постройки завода №166 по своим лет</w:t>
      </w:r>
      <w:r w:rsidRPr="00722885">
        <w:rPr>
          <w:rFonts w:ascii="Times New Roman" w:hAnsi="Times New Roman"/>
          <w:color w:val="0070C0"/>
          <w:sz w:val="16"/>
          <w:szCs w:val="16"/>
          <w:lang w:eastAsia="ru-RU" w:bidi="ru-RU"/>
        </w:rPr>
        <w:softHyphen/>
        <w:t>ным свойствам, надежности работы мото</w:t>
      </w:r>
      <w:r w:rsidRPr="00722885">
        <w:rPr>
          <w:rFonts w:ascii="Times New Roman" w:hAnsi="Times New Roman"/>
          <w:color w:val="0070C0"/>
          <w:sz w:val="16"/>
          <w:szCs w:val="16"/>
          <w:lang w:eastAsia="ru-RU" w:bidi="ru-RU"/>
        </w:rPr>
        <w:softHyphen/>
        <w:t>ров и вооружению могут быть использо</w:t>
      </w:r>
      <w:r w:rsidRPr="00722885">
        <w:rPr>
          <w:rFonts w:ascii="Times New Roman" w:hAnsi="Times New Roman"/>
          <w:color w:val="0070C0"/>
          <w:sz w:val="16"/>
          <w:szCs w:val="16"/>
          <w:lang w:eastAsia="ru-RU" w:bidi="ru-RU"/>
        </w:rPr>
        <w:softHyphen/>
        <w:t>ваны в боевой работе...» Но вместе с тем высоту полета ограничили 5000 м (до ко</w:t>
      </w:r>
      <w:r w:rsidRPr="00722885">
        <w:rPr>
          <w:rFonts w:ascii="Times New Roman" w:hAnsi="Times New Roman"/>
          <w:color w:val="0070C0"/>
          <w:sz w:val="16"/>
          <w:szCs w:val="16"/>
          <w:lang w:eastAsia="ru-RU" w:bidi="ru-RU"/>
        </w:rPr>
        <w:softHyphen/>
        <w:t>торой нормально работало БСМ-14). Ис</w:t>
      </w:r>
      <w:r w:rsidRPr="00722885">
        <w:rPr>
          <w:rFonts w:ascii="Times New Roman" w:hAnsi="Times New Roman"/>
          <w:color w:val="0070C0"/>
          <w:sz w:val="16"/>
          <w:szCs w:val="16"/>
          <w:lang w:eastAsia="ru-RU" w:bidi="ru-RU"/>
        </w:rPr>
        <w:softHyphen/>
        <w:t>пользованию самолета в качестве пики</w:t>
      </w:r>
      <w:r w:rsidRPr="00722885">
        <w:rPr>
          <w:rFonts w:ascii="Times New Roman" w:hAnsi="Times New Roman"/>
          <w:color w:val="0070C0"/>
          <w:sz w:val="16"/>
          <w:szCs w:val="16"/>
          <w:lang w:eastAsia="ru-RU" w:bidi="ru-RU"/>
        </w:rPr>
        <w:softHyphen/>
        <w:t>ровщика препятствовала перераскрутка винтов. Рекомендовали доработать не</w:t>
      </w:r>
      <w:r w:rsidRPr="00722885">
        <w:rPr>
          <w:rFonts w:ascii="Times New Roman" w:hAnsi="Times New Roman"/>
          <w:color w:val="0070C0"/>
          <w:sz w:val="16"/>
          <w:szCs w:val="16"/>
          <w:lang w:eastAsia="ru-RU" w:bidi="ru-RU"/>
        </w:rPr>
        <w:softHyphen/>
        <w:t>надежные тормоза колес, а также уси</w:t>
      </w:r>
      <w:r w:rsidRPr="00722885">
        <w:rPr>
          <w:rFonts w:ascii="Times New Roman" w:hAnsi="Times New Roman"/>
          <w:color w:val="0070C0"/>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722885">
        <w:rPr>
          <w:rFonts w:ascii="Times New Roman" w:hAnsi="Times New Roman"/>
          <w:color w:val="0070C0"/>
          <w:sz w:val="16"/>
          <w:szCs w:val="16"/>
          <w:lang w:eastAsia="ru-RU" w:bidi="ru-RU"/>
        </w:rPr>
        <w:softHyphen/>
        <w:t>рующем бомбардировщике Пе-2 еще ле</w:t>
      </w:r>
      <w:r w:rsidRPr="00722885">
        <w:rPr>
          <w:rFonts w:ascii="Times New Roman" w:hAnsi="Times New Roman"/>
          <w:color w:val="0070C0"/>
          <w:sz w:val="16"/>
          <w:szCs w:val="16"/>
          <w:lang w:eastAsia="ru-RU" w:bidi="ru-RU"/>
        </w:rPr>
        <w:softHyphen/>
        <w:t>том 1941 г. смонтировали два 12,7-мм пу</w:t>
      </w:r>
      <w:r w:rsidRPr="00722885">
        <w:rPr>
          <w:rFonts w:ascii="Times New Roman" w:hAnsi="Times New Roman"/>
          <w:color w:val="0070C0"/>
          <w:sz w:val="16"/>
          <w:szCs w:val="16"/>
          <w:lang w:eastAsia="ru-RU" w:bidi="ru-RU"/>
        </w:rPr>
        <w:softHyphen/>
        <w:t>лемета - один неподвижный в носу фю</w:t>
      </w:r>
      <w:r w:rsidRPr="00722885">
        <w:rPr>
          <w:rFonts w:ascii="Times New Roman" w:hAnsi="Times New Roman"/>
          <w:color w:val="0070C0"/>
          <w:sz w:val="16"/>
          <w:szCs w:val="16"/>
          <w:lang w:eastAsia="ru-RU" w:bidi="ru-RU"/>
        </w:rPr>
        <w:softHyphen/>
        <w:t>зеляжа, а второй - в люковой установке, стрелявшей вниз-назад. Позже к ним до</w:t>
      </w:r>
      <w:r w:rsidRPr="00722885">
        <w:rPr>
          <w:rFonts w:ascii="Times New Roman" w:hAnsi="Times New Roman"/>
          <w:color w:val="0070C0"/>
          <w:sz w:val="16"/>
          <w:szCs w:val="16"/>
          <w:lang w:eastAsia="ru-RU" w:bidi="ru-RU"/>
        </w:rPr>
        <w:softHyphen/>
        <w:t>бавили еще один крупнокалиберный пу</w:t>
      </w:r>
      <w:r w:rsidRPr="00722885">
        <w:rPr>
          <w:rFonts w:ascii="Times New Roman" w:hAnsi="Times New Roman"/>
          <w:color w:val="0070C0"/>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722885">
        <w:rPr>
          <w:rFonts w:ascii="Times New Roman" w:hAnsi="Times New Roman"/>
          <w:color w:val="0070C0"/>
          <w:sz w:val="16"/>
          <w:szCs w:val="16"/>
          <w:lang w:eastAsia="ru-RU" w:bidi="ru-RU"/>
        </w:rPr>
        <w:softHyphen/>
        <w:t>телям близко подходить к бомбардиров</w:t>
      </w:r>
      <w:r w:rsidRPr="00722885">
        <w:rPr>
          <w:rFonts w:ascii="Times New Roman" w:hAnsi="Times New Roman"/>
          <w:color w:val="0070C0"/>
          <w:sz w:val="16"/>
          <w:szCs w:val="16"/>
          <w:lang w:eastAsia="ru-RU" w:bidi="ru-RU"/>
        </w:rPr>
        <w:softHyphen/>
        <w:t>щику. Усиление неподвижного вооруже</w:t>
      </w:r>
      <w:r w:rsidRPr="00722885">
        <w:rPr>
          <w:rFonts w:ascii="Times New Roman" w:hAnsi="Times New Roman"/>
          <w:color w:val="0070C0"/>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722885">
        <w:rPr>
          <w:rFonts w:ascii="Times New Roman" w:hAnsi="Times New Roman"/>
          <w:color w:val="0070C0"/>
          <w:sz w:val="16"/>
          <w:szCs w:val="16"/>
          <w:lang w:eastAsia="ru-RU" w:bidi="ru-RU"/>
        </w:rPr>
        <w:softHyphen/>
        <w:t>довали поставить 12,7-мм пулеметы УБТ на обеих верхних установках - у штур</w:t>
      </w:r>
      <w:r w:rsidRPr="00722885">
        <w:rPr>
          <w:rFonts w:ascii="Times New Roman" w:hAnsi="Times New Roman"/>
          <w:color w:val="0070C0"/>
          <w:sz w:val="16"/>
          <w:szCs w:val="16"/>
          <w:lang w:eastAsia="ru-RU" w:bidi="ru-RU"/>
        </w:rPr>
        <w:softHyphen/>
        <w:t>мана и стрелка-радиста.</w:t>
      </w:r>
    </w:p>
    <w:p w14:paraId="6186AE6D" w14:textId="77777777" w:rsidR="00A01B2C" w:rsidRPr="00722885" w:rsidRDefault="00A01B2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Недостатки тормозной системы не</w:t>
      </w:r>
      <w:r w:rsidRPr="00722885">
        <w:rPr>
          <w:rFonts w:ascii="Times New Roman" w:hAnsi="Times New Roman"/>
          <w:color w:val="0070C0"/>
          <w:sz w:val="16"/>
          <w:szCs w:val="16"/>
          <w:lang w:eastAsia="ru-RU" w:bidi="ru-RU"/>
        </w:rPr>
        <w:softHyphen/>
        <w:t>однократно приводили к неуправляе</w:t>
      </w:r>
      <w:r w:rsidRPr="00722885">
        <w:rPr>
          <w:rFonts w:ascii="Times New Roman" w:hAnsi="Times New Roman"/>
          <w:color w:val="0070C0"/>
          <w:sz w:val="16"/>
          <w:szCs w:val="16"/>
          <w:lang w:eastAsia="ru-RU" w:bidi="ru-RU"/>
        </w:rPr>
        <w:softHyphen/>
        <w:t>мому развороту на посадке. Так, при сдаточных испытаниях два раза под</w:t>
      </w:r>
      <w:r w:rsidRPr="00722885">
        <w:rPr>
          <w:rFonts w:ascii="Times New Roman" w:hAnsi="Times New Roman"/>
          <w:color w:val="0070C0"/>
          <w:sz w:val="16"/>
          <w:szCs w:val="16"/>
          <w:lang w:eastAsia="ru-RU" w:bidi="ru-RU"/>
        </w:rPr>
        <w:softHyphen/>
        <w:t>ряд, 7 и 16 июля, потерпели аварии но</w:t>
      </w:r>
      <w:r w:rsidRPr="00722885">
        <w:rPr>
          <w:rFonts w:ascii="Times New Roman" w:hAnsi="Times New Roman"/>
          <w:color w:val="0070C0"/>
          <w:sz w:val="16"/>
          <w:szCs w:val="16"/>
          <w:lang w:eastAsia="ru-RU" w:bidi="ru-RU"/>
        </w:rPr>
        <w:softHyphen/>
        <w:t>венькие бомбардировщики. Экипажи (летчиков Котякова и Бакина) не постра</w:t>
      </w:r>
      <w:r w:rsidRPr="00722885">
        <w:rPr>
          <w:rFonts w:ascii="Times New Roman" w:hAnsi="Times New Roman"/>
          <w:color w:val="0070C0"/>
          <w:sz w:val="16"/>
          <w:szCs w:val="16"/>
          <w:lang w:eastAsia="ru-RU" w:bidi="ru-RU"/>
        </w:rPr>
        <w:softHyphen/>
        <w:t>дали. Например, у майора В.Д. Бакина машину №100303 вывернуло вправо, что привело к поломке стойки шасси. Бы</w:t>
      </w:r>
      <w:r w:rsidRPr="00722885">
        <w:rPr>
          <w:rFonts w:ascii="Times New Roman" w:hAnsi="Times New Roman"/>
          <w:color w:val="0070C0"/>
          <w:sz w:val="16"/>
          <w:szCs w:val="16"/>
          <w:lang w:eastAsia="ru-RU" w:bidi="ru-RU"/>
        </w:rPr>
        <w:softHyphen/>
        <w:t>вали случаи, когда бомбардировщик де</w:t>
      </w:r>
      <w:r w:rsidRPr="00722885">
        <w:rPr>
          <w:rFonts w:ascii="Times New Roman" w:hAnsi="Times New Roman"/>
          <w:color w:val="0070C0"/>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722885">
        <w:rPr>
          <w:rFonts w:ascii="Times New Roman" w:hAnsi="Times New Roman"/>
          <w:color w:val="0070C0"/>
          <w:sz w:val="16"/>
          <w:szCs w:val="16"/>
          <w:lang w:eastAsia="ru-RU" w:bidi="ru-RU"/>
        </w:rPr>
        <w:softHyphen/>
        <w:t>молет летчика Полевого после посадки с разворотом вспыхнул; экипаж успел выбраться и отбежать.</w:t>
      </w:r>
    </w:p>
    <w:p w14:paraId="06DE7181" w14:textId="77777777" w:rsidR="00A01B2C" w:rsidRPr="00722885" w:rsidRDefault="00A01B2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Дефекты серийных Ту-2 вызвали рас</w:t>
      </w:r>
      <w:r w:rsidRPr="00722885">
        <w:rPr>
          <w:rFonts w:ascii="Times New Roman" w:hAnsi="Times New Roman"/>
          <w:color w:val="0070C0"/>
          <w:sz w:val="16"/>
          <w:szCs w:val="16"/>
          <w:lang w:eastAsia="ru-RU" w:bidi="ru-RU"/>
        </w:rPr>
        <w:softHyphen/>
        <w:t>поряжение командования ВВС прекра</w:t>
      </w:r>
      <w:r w:rsidRPr="00722885">
        <w:rPr>
          <w:rFonts w:ascii="Times New Roman" w:hAnsi="Times New Roman"/>
          <w:color w:val="0070C0"/>
          <w:sz w:val="16"/>
          <w:szCs w:val="16"/>
          <w:lang w:eastAsia="ru-RU" w:bidi="ru-RU"/>
        </w:rPr>
        <w:softHyphen/>
        <w:t>тить приемку бомбардировщиков. НКАП направил на завод авторитетную комис</w:t>
      </w:r>
      <w:r w:rsidRPr="00722885">
        <w:rPr>
          <w:rFonts w:ascii="Times New Roman" w:hAnsi="Times New Roman"/>
          <w:color w:val="0070C0"/>
          <w:sz w:val="16"/>
          <w:szCs w:val="16"/>
          <w:lang w:eastAsia="ru-RU" w:bidi="ru-RU"/>
        </w:rPr>
        <w:softHyphen/>
        <w:t>сию во главе с известным авиаконструк</w:t>
      </w:r>
      <w:r w:rsidRPr="00722885">
        <w:rPr>
          <w:rFonts w:ascii="Times New Roman" w:hAnsi="Times New Roman"/>
          <w:color w:val="0070C0"/>
          <w:sz w:val="16"/>
          <w:szCs w:val="16"/>
          <w:lang w:eastAsia="ru-RU" w:bidi="ru-RU"/>
        </w:rPr>
        <w:softHyphen/>
        <w:t>тором Н.Н. Поликарповым. Члены комис</w:t>
      </w:r>
      <w:r w:rsidRPr="00722885">
        <w:rPr>
          <w:rFonts w:ascii="Times New Roman" w:hAnsi="Times New Roman"/>
          <w:color w:val="0070C0"/>
          <w:sz w:val="16"/>
          <w:szCs w:val="16"/>
          <w:lang w:eastAsia="ru-RU" w:bidi="ru-RU"/>
        </w:rPr>
        <w:softHyphen/>
        <w:t>сии согласились с заводскими испытате</w:t>
      </w:r>
      <w:r w:rsidRPr="00722885">
        <w:rPr>
          <w:rFonts w:ascii="Times New Roman" w:hAnsi="Times New Roman"/>
          <w:color w:val="0070C0"/>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722885">
        <w:rPr>
          <w:rFonts w:ascii="Times New Roman" w:hAnsi="Times New Roman"/>
          <w:color w:val="0070C0"/>
          <w:sz w:val="16"/>
          <w:szCs w:val="16"/>
          <w:lang w:eastAsia="ru-RU" w:bidi="ru-RU"/>
        </w:rPr>
        <w:softHyphen/>
        <w:t>ложено было заменить тормозную гидро</w:t>
      </w:r>
      <w:r w:rsidRPr="00722885">
        <w:rPr>
          <w:rFonts w:ascii="Times New Roman" w:hAnsi="Times New Roman"/>
          <w:color w:val="0070C0"/>
          <w:sz w:val="16"/>
          <w:szCs w:val="16"/>
          <w:lang w:eastAsia="ru-RU" w:bidi="ru-RU"/>
        </w:rPr>
        <w:softHyphen/>
        <w:t>систему, скопированную туполевцами по настоянию ВВС с немецкого бомбарди</w:t>
      </w:r>
      <w:r w:rsidRPr="00722885">
        <w:rPr>
          <w:rFonts w:ascii="Times New Roman" w:hAnsi="Times New Roman"/>
          <w:color w:val="0070C0"/>
          <w:sz w:val="16"/>
          <w:szCs w:val="16"/>
          <w:lang w:eastAsia="ru-RU" w:bidi="ru-RU"/>
        </w:rPr>
        <w:softHyphen/>
        <w:t xml:space="preserve">ровщика </w:t>
      </w:r>
      <w:r w:rsidRPr="00722885">
        <w:rPr>
          <w:rFonts w:ascii="Times New Roman" w:hAnsi="Times New Roman"/>
          <w:color w:val="0070C0"/>
          <w:sz w:val="16"/>
          <w:szCs w:val="16"/>
          <w:lang w:val="en-US" w:bidi="en-US"/>
        </w:rPr>
        <w:t>Ju</w:t>
      </w:r>
      <w:r w:rsidRPr="00722885">
        <w:rPr>
          <w:rFonts w:ascii="Times New Roman" w:hAnsi="Times New Roman"/>
          <w:color w:val="0070C0"/>
          <w:sz w:val="16"/>
          <w:szCs w:val="16"/>
          <w:lang w:bidi="en-US"/>
        </w:rPr>
        <w:t xml:space="preserve"> </w:t>
      </w:r>
      <w:r w:rsidRPr="00722885">
        <w:rPr>
          <w:rFonts w:ascii="Times New Roman" w:hAnsi="Times New Roman"/>
          <w:color w:val="0070C0"/>
          <w:sz w:val="16"/>
          <w:szCs w:val="16"/>
          <w:lang w:eastAsia="ru-RU" w:bidi="ru-RU"/>
        </w:rPr>
        <w:t>88А, на более надежную, при</w:t>
      </w:r>
      <w:r w:rsidRPr="00722885">
        <w:rPr>
          <w:rFonts w:ascii="Times New Roman" w:hAnsi="Times New Roman"/>
          <w:color w:val="0070C0"/>
          <w:sz w:val="16"/>
          <w:szCs w:val="16"/>
          <w:lang w:eastAsia="ru-RU" w:bidi="ru-RU"/>
        </w:rPr>
        <w:softHyphen/>
        <w:t>менявшуюся на самолетах фирмы «Дуг</w:t>
      </w:r>
      <w:r w:rsidRPr="00722885">
        <w:rPr>
          <w:rFonts w:ascii="Times New Roman" w:hAnsi="Times New Roman"/>
          <w:color w:val="0070C0"/>
          <w:sz w:val="16"/>
          <w:szCs w:val="16"/>
          <w:lang w:eastAsia="ru-RU" w:bidi="ru-RU"/>
        </w:rPr>
        <w:softHyphen/>
        <w:t>лас». В качестве же временного решения попробовали на пробеге стопорить хво</w:t>
      </w:r>
      <w:r w:rsidRPr="00722885">
        <w:rPr>
          <w:rFonts w:ascii="Times New Roman" w:hAnsi="Times New Roman"/>
          <w:color w:val="0070C0"/>
          <w:sz w:val="16"/>
          <w:szCs w:val="16"/>
          <w:lang w:eastAsia="ru-RU" w:bidi="ru-RU"/>
        </w:rPr>
        <w:softHyphen/>
        <w:t>стовое колесо. На Ту-2 имелся автомати</w:t>
      </w:r>
      <w:r w:rsidRPr="00722885">
        <w:rPr>
          <w:rFonts w:ascii="Times New Roman" w:hAnsi="Times New Roman"/>
          <w:color w:val="0070C0"/>
          <w:sz w:val="16"/>
          <w:szCs w:val="16"/>
          <w:lang w:eastAsia="ru-RU" w:bidi="ru-RU"/>
        </w:rPr>
        <w:softHyphen/>
        <w:t>ческий стопор, который должен был фик</w:t>
      </w:r>
      <w:r w:rsidRPr="00722885">
        <w:rPr>
          <w:rFonts w:ascii="Times New Roman" w:hAnsi="Times New Roman"/>
          <w:color w:val="0070C0"/>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722885">
        <w:rPr>
          <w:rFonts w:ascii="Times New Roman" w:hAnsi="Times New Roman"/>
          <w:color w:val="0070C0"/>
          <w:sz w:val="16"/>
          <w:szCs w:val="16"/>
          <w:lang w:eastAsia="ru-RU" w:bidi="ru-RU"/>
        </w:rPr>
        <w:softHyphen/>
        <w:t>леса. Управляемость машины на пробеге значительно улучшилась.</w:t>
      </w:r>
    </w:p>
    <w:p w14:paraId="1EB5168A" w14:textId="77777777" w:rsidR="00A01B2C" w:rsidRPr="00722885" w:rsidRDefault="00A01B2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Еще одной серьезной проблемой яв</w:t>
      </w:r>
      <w:r w:rsidRPr="00722885">
        <w:rPr>
          <w:rFonts w:ascii="Times New Roman" w:hAnsi="Times New Roman"/>
          <w:color w:val="0070C0"/>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722885">
        <w:rPr>
          <w:rFonts w:ascii="Times New Roman" w:hAnsi="Times New Roman"/>
          <w:color w:val="0070C0"/>
          <w:sz w:val="16"/>
          <w:szCs w:val="16"/>
          <w:lang w:eastAsia="ru-RU" w:bidi="ru-RU"/>
        </w:rPr>
        <w:softHyphen/>
        <w:t>дали значительными вибрациями и рас</w:t>
      </w:r>
      <w:r w:rsidRPr="00722885">
        <w:rPr>
          <w:rFonts w:ascii="Times New Roman" w:hAnsi="Times New Roman"/>
          <w:color w:val="0070C0"/>
          <w:sz w:val="16"/>
          <w:szCs w:val="16"/>
          <w:lang w:eastAsia="ru-RU" w:bidi="ru-RU"/>
        </w:rPr>
        <w:softHyphen/>
        <w:t>ходовали много масла. Хотя за это отве</w:t>
      </w:r>
      <w:r w:rsidRPr="00722885">
        <w:rPr>
          <w:rFonts w:ascii="Times New Roman" w:hAnsi="Times New Roman"/>
          <w:color w:val="0070C0"/>
          <w:sz w:val="16"/>
          <w:szCs w:val="16"/>
          <w:lang w:eastAsia="ru-RU" w:bidi="ru-RU"/>
        </w:rPr>
        <w:softHyphen/>
        <w:t>чал их конструктор А.Д. Швецов и завод №19, дефекты мотоустановки сильно ска</w:t>
      </w:r>
      <w:r w:rsidRPr="00722885">
        <w:rPr>
          <w:rFonts w:ascii="Times New Roman" w:hAnsi="Times New Roman"/>
          <w:color w:val="0070C0"/>
          <w:sz w:val="16"/>
          <w:szCs w:val="16"/>
          <w:lang w:eastAsia="ru-RU" w:bidi="ru-RU"/>
        </w:rPr>
        <w:softHyphen/>
        <w:t>зывались на летных и эксплуатационных характеристиках Ту-2.</w:t>
      </w:r>
    </w:p>
    <w:p w14:paraId="242E7A36" w14:textId="77777777" w:rsidR="00A01B2C" w:rsidRPr="00722885" w:rsidRDefault="00A01B2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Кроме того, комиссия подвергла кри</w:t>
      </w:r>
      <w:r w:rsidRPr="00722885">
        <w:rPr>
          <w:rFonts w:ascii="Times New Roman" w:hAnsi="Times New Roman"/>
          <w:color w:val="0070C0"/>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722885">
        <w:rPr>
          <w:rFonts w:ascii="Times New Roman" w:hAnsi="Times New Roman"/>
          <w:color w:val="0070C0"/>
          <w:sz w:val="16"/>
          <w:szCs w:val="16"/>
          <w:lang w:eastAsia="ru-RU" w:bidi="ru-RU"/>
        </w:rPr>
        <w:softHyphen/>
        <w:t>кого же класса она составляла около 30%. Это была плата за возможность бомбить с крутого пикирования.</w:t>
      </w:r>
    </w:p>
    <w:p w14:paraId="2613276F" w14:textId="77777777" w:rsidR="00A01B2C" w:rsidRPr="00722885" w:rsidRDefault="00A01B2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Но в целом Поликарпов и его кол</w:t>
      </w:r>
      <w:r w:rsidRPr="00722885">
        <w:rPr>
          <w:rFonts w:ascii="Times New Roman" w:hAnsi="Times New Roman"/>
          <w:color w:val="0070C0"/>
          <w:sz w:val="16"/>
          <w:szCs w:val="16"/>
          <w:lang w:eastAsia="ru-RU" w:bidi="ru-RU"/>
        </w:rPr>
        <w:softHyphen/>
        <w:t>леги поддержали Туполева. В Москву от</w:t>
      </w:r>
      <w:r w:rsidRPr="00722885">
        <w:rPr>
          <w:rFonts w:ascii="Times New Roman" w:hAnsi="Times New Roman"/>
          <w:color w:val="0070C0"/>
          <w:sz w:val="16"/>
          <w:szCs w:val="16"/>
          <w:lang w:eastAsia="ru-RU" w:bidi="ru-RU"/>
        </w:rPr>
        <w:softHyphen/>
        <w:t>правили документ, в котором, в частно</w:t>
      </w:r>
      <w:r w:rsidRPr="00722885">
        <w:rPr>
          <w:rFonts w:ascii="Times New Roman" w:hAnsi="Times New Roman"/>
          <w:color w:val="0070C0"/>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722885">
        <w:rPr>
          <w:rFonts w:ascii="Times New Roman" w:hAnsi="Times New Roman"/>
          <w:color w:val="0070C0"/>
          <w:sz w:val="16"/>
          <w:szCs w:val="16"/>
          <w:lang w:eastAsia="ru-RU" w:bidi="ru-RU"/>
        </w:rPr>
        <w:softHyphen/>
        <w:t>граничные бомбардировщики». Комиссия сочла, что при устранении основных де</w:t>
      </w:r>
      <w:r w:rsidRPr="00722885">
        <w:rPr>
          <w:rFonts w:ascii="Times New Roman" w:hAnsi="Times New Roman"/>
          <w:color w:val="0070C0"/>
          <w:sz w:val="16"/>
          <w:szCs w:val="16"/>
          <w:lang w:eastAsia="ru-RU" w:bidi="ru-RU"/>
        </w:rPr>
        <w:softHyphen/>
        <w:t>фектов самолет сможет успешно выпол</w:t>
      </w:r>
      <w:r w:rsidRPr="00722885">
        <w:rPr>
          <w:rFonts w:ascii="Times New Roman" w:hAnsi="Times New Roman"/>
          <w:color w:val="0070C0"/>
          <w:sz w:val="16"/>
          <w:szCs w:val="16"/>
          <w:lang w:eastAsia="ru-RU" w:bidi="ru-RU"/>
        </w:rPr>
        <w:softHyphen/>
        <w:t>нять боевые задачи.</w:t>
      </w:r>
    </w:p>
    <w:p w14:paraId="47DCA18B" w14:textId="77777777" w:rsidR="00A01B2C" w:rsidRPr="00722885" w:rsidRDefault="00A01B2C"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lang w:eastAsia="ru-RU" w:bidi="ru-RU"/>
        </w:rPr>
        <w:t>Приемка бомбардировщиков возоб</w:t>
      </w:r>
      <w:r w:rsidRPr="00722885">
        <w:rPr>
          <w:rFonts w:ascii="Times New Roman" w:hAnsi="Times New Roman"/>
          <w:color w:val="0070C0"/>
          <w:sz w:val="16"/>
          <w:szCs w:val="16"/>
          <w:lang w:eastAsia="ru-RU" w:bidi="ru-RU"/>
        </w:rPr>
        <w:softHyphen/>
        <w:t>новилась. Реагируя на требования воен</w:t>
      </w:r>
      <w:r w:rsidRPr="00722885">
        <w:rPr>
          <w:rFonts w:ascii="Times New Roman" w:hAnsi="Times New Roman"/>
          <w:color w:val="0070C0"/>
          <w:sz w:val="16"/>
          <w:szCs w:val="16"/>
          <w:lang w:eastAsia="ru-RU" w:bidi="ru-RU"/>
        </w:rPr>
        <w:softHyphen/>
        <w:t>ных, завод вносил изменения в строящи</w:t>
      </w:r>
      <w:r w:rsidRPr="00722885">
        <w:rPr>
          <w:rFonts w:ascii="Times New Roman" w:hAnsi="Times New Roman"/>
          <w:color w:val="0070C0"/>
          <w:sz w:val="16"/>
          <w:szCs w:val="16"/>
          <w:lang w:eastAsia="ru-RU" w:bidi="ru-RU"/>
        </w:rPr>
        <w:softHyphen/>
        <w:t>еся бомбардировщики. С 5-й серии (июль- август 1942 г.) внедрили тормоза типа «Дуглас» окончательно снявшие про</w:t>
      </w:r>
      <w:r w:rsidRPr="00722885">
        <w:rPr>
          <w:rFonts w:ascii="Times New Roman" w:hAnsi="Times New Roman"/>
          <w:color w:val="0070C0"/>
          <w:sz w:val="16"/>
          <w:szCs w:val="16"/>
          <w:lang w:eastAsia="ru-RU" w:bidi="ru-RU"/>
        </w:rPr>
        <w:softHyphen/>
        <w:t>блемы с неуправляемым разворотом на посадке. Одновременно изменили управ</w:t>
      </w:r>
      <w:r w:rsidRPr="00722885">
        <w:rPr>
          <w:rFonts w:ascii="Times New Roman" w:hAnsi="Times New Roman"/>
          <w:color w:val="0070C0"/>
          <w:sz w:val="16"/>
          <w:szCs w:val="16"/>
          <w:lang w:eastAsia="ru-RU" w:bidi="ru-RU"/>
        </w:rPr>
        <w:softHyphen/>
        <w:t>ление пуском реактивных снарядов. Ра</w:t>
      </w:r>
      <w:r w:rsidRPr="00722885">
        <w:rPr>
          <w:rFonts w:ascii="Times New Roman" w:hAnsi="Times New Roman"/>
          <w:color w:val="0070C0"/>
          <w:sz w:val="16"/>
          <w:szCs w:val="16"/>
          <w:lang w:eastAsia="ru-RU" w:bidi="ru-RU"/>
        </w:rPr>
        <w:softHyphen/>
        <w:t>нее стрельба РС-82 велась с помощью бомбосбрасывателя ЭСБР-6, переклю</w:t>
      </w:r>
      <w:r w:rsidRPr="00722885">
        <w:rPr>
          <w:rFonts w:ascii="Times New Roman" w:hAnsi="Times New Roman"/>
          <w:color w:val="0070C0"/>
          <w:sz w:val="16"/>
          <w:szCs w:val="16"/>
          <w:lang w:eastAsia="ru-RU" w:bidi="ru-RU"/>
        </w:rPr>
        <w:softHyphen/>
        <w:t>чавшегося на другой режим. Бомбы при этом сбрасывать было нельзя. С 5-й серии пуск ракет осуществлялся независимым устройством.</w:t>
      </w:r>
    </w:p>
    <w:p w14:paraId="762E31A0" w14:textId="77777777" w:rsidR="00A01B2C" w:rsidRPr="00722885" w:rsidRDefault="00A01B2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Часть бомбардировщиков еще на за</w:t>
      </w:r>
      <w:r w:rsidRPr="00722885">
        <w:rPr>
          <w:rFonts w:ascii="Times New Roman" w:hAnsi="Times New Roman"/>
          <w:color w:val="0070C0"/>
          <w:sz w:val="16"/>
          <w:szCs w:val="16"/>
          <w:lang w:eastAsia="ru-RU" w:bidi="ru-RU"/>
        </w:rPr>
        <w:softHyphen/>
        <w:t>воде перевооружили. Во всяком случае, на фронт попали омские самолеты либо с двумя, либо с тремя 12,7-мм пулеме</w:t>
      </w:r>
      <w:r w:rsidRPr="00722885">
        <w:rPr>
          <w:rFonts w:ascii="Times New Roman" w:hAnsi="Times New Roman"/>
          <w:color w:val="0070C0"/>
          <w:sz w:val="16"/>
          <w:szCs w:val="16"/>
          <w:lang w:eastAsia="ru-RU" w:bidi="ru-RU"/>
        </w:rPr>
        <w:softHyphen/>
        <w:t>тами УБТ. Поскольку на установке ТСС-1 этот пулемет не мог быть смонтирован, то, по-видимому, вариант с двумя УБТ пред</w:t>
      </w:r>
      <w:r w:rsidRPr="00722885">
        <w:rPr>
          <w:rFonts w:ascii="Times New Roman" w:hAnsi="Times New Roman"/>
          <w:color w:val="0070C0"/>
          <w:sz w:val="16"/>
          <w:szCs w:val="16"/>
          <w:lang w:eastAsia="ru-RU" w:bidi="ru-RU"/>
        </w:rPr>
        <w:softHyphen/>
        <w:t>усматривал один пулемет на несколько доработанной установке БУШ у штурмана и второй - на люковой ЛУ-УБТ. При этом на ТСС-1 оставался ШКАС. Вообще Тупо</w:t>
      </w:r>
      <w:r w:rsidRPr="00722885">
        <w:rPr>
          <w:rFonts w:ascii="Times New Roman" w:hAnsi="Times New Roman"/>
          <w:color w:val="0070C0"/>
          <w:sz w:val="16"/>
          <w:szCs w:val="16"/>
          <w:lang w:eastAsia="ru-RU" w:bidi="ru-RU"/>
        </w:rPr>
        <w:softHyphen/>
        <w:t>лев рассматривал несколько возможных вариантов перевооружения Ту-2, в том чи</w:t>
      </w:r>
      <w:r w:rsidRPr="00722885">
        <w:rPr>
          <w:rFonts w:ascii="Times New Roman" w:hAnsi="Times New Roman"/>
          <w:color w:val="0070C0"/>
          <w:sz w:val="16"/>
          <w:szCs w:val="16"/>
          <w:lang w:eastAsia="ru-RU" w:bidi="ru-RU"/>
        </w:rPr>
        <w:softHyphen/>
        <w:t>сле один - с установкой четырех пуско</w:t>
      </w:r>
      <w:r w:rsidRPr="00722885">
        <w:rPr>
          <w:rFonts w:ascii="Times New Roman" w:hAnsi="Times New Roman"/>
          <w:color w:val="0070C0"/>
          <w:sz w:val="16"/>
          <w:szCs w:val="16"/>
          <w:lang w:eastAsia="ru-RU" w:bidi="ru-RU"/>
        </w:rPr>
        <w:softHyphen/>
        <w:t>вых балок для РС-82 на фюзеляже для стрельбы назад.</w:t>
      </w:r>
    </w:p>
    <w:p w14:paraId="6532C90C" w14:textId="77777777" w:rsidR="00A01B2C" w:rsidRPr="00722885" w:rsidRDefault="00A01B2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Занятие немцами значительной ча</w:t>
      </w:r>
      <w:r w:rsidRPr="00722885">
        <w:rPr>
          <w:rFonts w:ascii="Times New Roman" w:hAnsi="Times New Roman"/>
          <w:color w:val="0070C0"/>
          <w:sz w:val="16"/>
          <w:szCs w:val="16"/>
          <w:lang w:eastAsia="ru-RU" w:bidi="ru-RU"/>
        </w:rPr>
        <w:softHyphen/>
        <w:t>сти территории СССР привело к сокра</w:t>
      </w:r>
      <w:r w:rsidRPr="00722885">
        <w:rPr>
          <w:rFonts w:ascii="Times New Roman" w:hAnsi="Times New Roman"/>
          <w:color w:val="0070C0"/>
          <w:sz w:val="16"/>
          <w:szCs w:val="16"/>
          <w:lang w:eastAsia="ru-RU" w:bidi="ru-RU"/>
        </w:rPr>
        <w:softHyphen/>
        <w:t>щению производства алюминия в стране. Потребности же в нем резко возросли. Алюминий в листах и чушках везли из США и Канады, но его все равно не хва</w:t>
      </w:r>
      <w:r w:rsidRPr="00722885">
        <w:rPr>
          <w:rFonts w:ascii="Times New Roman" w:hAnsi="Times New Roman"/>
          <w:color w:val="0070C0"/>
          <w:sz w:val="16"/>
          <w:szCs w:val="16"/>
          <w:lang w:eastAsia="ru-RU" w:bidi="ru-RU"/>
        </w:rPr>
        <w:softHyphen/>
        <w:t>тало. Всем самолетостроительным кон</w:t>
      </w:r>
      <w:r w:rsidRPr="00722885">
        <w:rPr>
          <w:rFonts w:ascii="Times New Roman" w:hAnsi="Times New Roman"/>
          <w:color w:val="0070C0"/>
          <w:sz w:val="16"/>
          <w:szCs w:val="16"/>
          <w:lang w:eastAsia="ru-RU" w:bidi="ru-RU"/>
        </w:rPr>
        <w:softHyphen/>
        <w:t>структорским бюро было предложено по</w:t>
      </w:r>
      <w:r w:rsidRPr="00722885">
        <w:rPr>
          <w:rFonts w:ascii="Times New Roman" w:hAnsi="Times New Roman"/>
          <w:color w:val="0070C0"/>
          <w:sz w:val="16"/>
          <w:szCs w:val="16"/>
          <w:lang w:eastAsia="ru-RU" w:bidi="ru-RU"/>
        </w:rPr>
        <w:softHyphen/>
        <w:t>искать возможности применения узлов из дерева. Это сократило бы расход де</w:t>
      </w:r>
      <w:r w:rsidRPr="00722885">
        <w:rPr>
          <w:rFonts w:ascii="Times New Roman" w:hAnsi="Times New Roman"/>
          <w:color w:val="0070C0"/>
          <w:sz w:val="16"/>
          <w:szCs w:val="16"/>
          <w:lang w:eastAsia="ru-RU" w:bidi="ru-RU"/>
        </w:rPr>
        <w:softHyphen/>
        <w:t>фицитного алюминия и дало возможность привлечь к постройке самолетов дерево</w:t>
      </w:r>
      <w:r w:rsidRPr="00722885">
        <w:rPr>
          <w:rFonts w:ascii="Times New Roman" w:hAnsi="Times New Roman"/>
          <w:color w:val="0070C0"/>
          <w:sz w:val="16"/>
          <w:szCs w:val="16"/>
          <w:lang w:eastAsia="ru-RU" w:bidi="ru-RU"/>
        </w:rPr>
        <w:softHyphen/>
        <w:t>обрабатывающие предприятия (21061).</w:t>
      </w:r>
    </w:p>
    <w:p w14:paraId="6857D05C" w14:textId="77777777" w:rsidR="00A01B2C" w:rsidRPr="00722885" w:rsidRDefault="00A01B2C" w:rsidP="00722885">
      <w:pPr>
        <w:spacing w:after="0" w:line="240" w:lineRule="auto"/>
        <w:jc w:val="both"/>
        <w:rPr>
          <w:rFonts w:ascii="Times New Roman" w:hAnsi="Times New Roman"/>
          <w:color w:val="0070C0"/>
          <w:sz w:val="16"/>
          <w:szCs w:val="16"/>
        </w:rPr>
      </w:pPr>
    </w:p>
    <w:p w14:paraId="67735B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был подготовлен проект Постановление ГКО "Об изготовлении самолетов из черных металлов"</w:t>
      </w:r>
    </w:p>
    <w:p w14:paraId="4F8B03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ГКО постановляет:</w:t>
      </w:r>
    </w:p>
    <w:p w14:paraId="23129E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1. Обязать НКАП - Шахурина:</w:t>
      </w:r>
    </w:p>
    <w:p w14:paraId="1C5CE2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обеспечить изготовление пяти самолетов-истребителей целиком из черных металлов по проекту инж. Мельникова со сдачей на летные испытания в следующие сроки:</w:t>
      </w:r>
    </w:p>
    <w:p w14:paraId="326C27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первый самолет без вооружения - в трехмесячный срок;</w:t>
      </w:r>
    </w:p>
    <w:p w14:paraId="7A3118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четыре последующих самолета с вооружением - в четырехмесячный срок;</w:t>
      </w:r>
    </w:p>
    <w:p w14:paraId="48913D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создать специальное конструкторское бюро по проектированию и производству самолетов из черных металлов, использовав мастерские Московского авиационного института в качестве производственной базы этого СКБ;</w:t>
      </w:r>
    </w:p>
    <w:p w14:paraId="06F6E6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обеспечить СКБ кадрами, оборудованием, материалами, автотранспортом, кооперированными изделиями и финансированием.</w:t>
      </w:r>
    </w:p>
    <w:p w14:paraId="48FECD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Обязать Наркомсредмаш - Акопова и директора автозавода им. Сталина Лихачева оказать СКБ НКАП техническую помощь в изготовлении самолетов.</w:t>
      </w:r>
    </w:p>
    <w:p w14:paraId="722E10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Обязать Наркомчермет - Тевосяна и директора завода "Серп и Молот" Ильина в месячный срок изготовить и сдать Наркомавиапрому 20 тонн тонколистового проката по техническим условиям СКБ НКАП (2728,99).</w:t>
      </w:r>
    </w:p>
    <w:p w14:paraId="6C429D0E" w14:textId="77777777" w:rsidR="00AE7191" w:rsidRPr="00722885" w:rsidRDefault="00AE7191" w:rsidP="00722885">
      <w:pPr>
        <w:pStyle w:val="Iauiue"/>
        <w:jc w:val="both"/>
        <w:rPr>
          <w:color w:val="000000" w:themeColor="text1"/>
          <w:sz w:val="16"/>
          <w:szCs w:val="16"/>
        </w:rPr>
      </w:pPr>
    </w:p>
    <w:p w14:paraId="529004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А.И.Шахурин подготовил письмо Г.М.Маленкову.</w:t>
      </w:r>
    </w:p>
    <w:p w14:paraId="7A0DF5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предложению Мельникова и Ислентьева, о строительстве нового опытного самолета целиком из черных металлов, докладываю:</w:t>
      </w:r>
    </w:p>
    <w:p w14:paraId="049D2E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дальнейшего развития работ Мельникова и Ислентьева, по применению черных металлов в конструкции самолета, Наркомавиапром считает целесообразным изготовление отдельных агрегатов серийных самолетов из прилагаемой листовой стали и после проверки прочностных и весовых характеристик этих агрегатов, а также проверки их в эксплуатации, решить вопрос о широком внедрении в серию.</w:t>
      </w:r>
    </w:p>
    <w:p w14:paraId="1D0010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этой целью Мельникову и Ислентьеву выдается задание на проектирование и изготовление из черных металлов стабилизатора с шайбами на самолет Пе-2, в количестве трех комплектов.</w:t>
      </w:r>
    </w:p>
    <w:p w14:paraId="2690FC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До проведения указанных работ, строительство нового опытного самолета целиком из черных металлов Наркомавиапром считает преждевременным (2728,135).</w:t>
      </w:r>
    </w:p>
    <w:p w14:paraId="234437B7" w14:textId="77777777" w:rsidR="00AE7191" w:rsidRPr="00722885" w:rsidRDefault="00AE7191" w:rsidP="00722885">
      <w:pPr>
        <w:pStyle w:val="Iauiue"/>
        <w:jc w:val="both"/>
        <w:rPr>
          <w:color w:val="000000" w:themeColor="text1"/>
          <w:sz w:val="16"/>
          <w:szCs w:val="16"/>
        </w:rPr>
      </w:pPr>
    </w:p>
    <w:p w14:paraId="0B1A27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закончились гос. испытания 103В с М-82. В процессе испытаний самолет был заменен на серийный 103ВС N 100308 (4,179). Первый полет состоялся 15 декабря 1941 (1835,18).</w:t>
      </w:r>
    </w:p>
    <w:p w14:paraId="056EC4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Скорость на 3200 м была только 528 км/час, а у земли - 460 км/час. В ходе испытаний вниз поставили БС и для обороны задней полусферы поставили неподвижно 4 РС-82 (1835,18).</w:t>
      </w:r>
    </w:p>
    <w:p w14:paraId="05817FC3" w14:textId="77777777" w:rsidR="00AE7191" w:rsidRPr="00722885" w:rsidRDefault="00AE7191" w:rsidP="00722885">
      <w:pPr>
        <w:pStyle w:val="Iauiue"/>
        <w:jc w:val="both"/>
        <w:rPr>
          <w:color w:val="000000" w:themeColor="text1"/>
          <w:sz w:val="16"/>
          <w:szCs w:val="16"/>
        </w:rPr>
      </w:pPr>
    </w:p>
    <w:p w14:paraId="540F1C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был утвержден отчет НИИ ВВС о результатах эксплуатационно-технических испытаний Ту-2 2М-82 в НИИ ВВС как первого этапа войсковых испытаний - это и есть формальная дата окончания совместных испытаний (1835,20).</w:t>
      </w:r>
    </w:p>
    <w:p w14:paraId="62CB11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заключении к отчету НИИ ВВС говорилось:</w:t>
      </w:r>
    </w:p>
    <w:p w14:paraId="235B01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"Серийные самолеты Ту-2 постройки завода 166 по своим летным свойствам, надежности работы моторов и вооружению могут быть использованы в боевой работе для выполнения задач дневного бомбометания с горизонтального полета по ближним тылам врага с ограниченной до 5000 м высотой полета.</w:t>
      </w:r>
    </w:p>
    <w:p w14:paraId="754294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Предложить заводу 19 поставить для установки на самолет Ту-2 моторы М-82, обеспечивающие нормальную эксплуатацию самолета на всех высотах до потолка и устранить недостатки, отмеченные в "выводах" и дефектной ведомости.</w:t>
      </w:r>
    </w:p>
    <w:p w14:paraId="163F26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Предложить заводу 166 на всех самолетах Ту-2 поставить на верхних стрелковых точках крупнокалиберные пулеметы для усиления огневой мощи задней полусферы, а также устранить недостатки, перечисленные в дефектной ведомости, и в первую очередь улучшить тормозную систему (1835,21).</w:t>
      </w:r>
    </w:p>
    <w:p w14:paraId="0FB5246B" w14:textId="77777777" w:rsidR="00AE7191" w:rsidRPr="00722885" w:rsidRDefault="00AE7191" w:rsidP="00722885">
      <w:pPr>
        <w:pStyle w:val="Iauiue"/>
        <w:jc w:val="both"/>
        <w:rPr>
          <w:color w:val="000000" w:themeColor="text1"/>
          <w:sz w:val="16"/>
          <w:szCs w:val="16"/>
        </w:rPr>
      </w:pPr>
    </w:p>
    <w:p w14:paraId="3342D2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испытывался второй двигатель ПВРД ДМ-4с N 15 на Як-7 в аэродинамической трубе (367,54).</w:t>
      </w:r>
    </w:p>
    <w:p w14:paraId="25931441" w14:textId="77777777" w:rsidR="00AE7191" w:rsidRPr="00722885" w:rsidRDefault="00AE7191" w:rsidP="00722885">
      <w:pPr>
        <w:pStyle w:val="Iauiue"/>
        <w:jc w:val="both"/>
        <w:rPr>
          <w:color w:val="000000" w:themeColor="text1"/>
          <w:sz w:val="16"/>
          <w:szCs w:val="16"/>
        </w:rPr>
      </w:pPr>
    </w:p>
    <w:p w14:paraId="167CD6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л ЛИИ в Новосибирске П.М.Попельнушенко совершил аварию ЛаГГ-3 в ходе испытаний из-за вынужденной посадки вне аэродрома, т.к. запас горючего был определен неправильно (2108).</w:t>
      </w:r>
    </w:p>
    <w:p w14:paraId="4E40EB38" w14:textId="77777777" w:rsidR="00AE7191" w:rsidRPr="00722885" w:rsidRDefault="00AE7191" w:rsidP="00722885">
      <w:pPr>
        <w:pStyle w:val="Iauiue"/>
        <w:jc w:val="both"/>
        <w:rPr>
          <w:color w:val="000000" w:themeColor="text1"/>
          <w:sz w:val="16"/>
          <w:szCs w:val="16"/>
        </w:rPr>
      </w:pPr>
    </w:p>
    <w:p w14:paraId="2B8C9C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в 11:07 произошла авария ЛаГГ-3 N 0715328 под управлением л П.М.Попельнушенко из-за ошибке в приятии решения о вынужденной посадке (2130).</w:t>
      </w:r>
    </w:p>
    <w:p w14:paraId="4C4BC7AF" w14:textId="77777777" w:rsidR="00AE7191" w:rsidRPr="00722885" w:rsidRDefault="00AE7191" w:rsidP="00722885">
      <w:pPr>
        <w:pStyle w:val="Iauiue"/>
        <w:jc w:val="both"/>
        <w:rPr>
          <w:color w:val="000000" w:themeColor="text1"/>
          <w:sz w:val="16"/>
          <w:szCs w:val="16"/>
        </w:rPr>
      </w:pPr>
    </w:p>
    <w:p w14:paraId="1238756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1942 в аэродинамической трубе СЭИГ МАИ был установлен вто</w:t>
      </w:r>
      <w:r w:rsidRPr="00722885">
        <w:rPr>
          <w:rFonts w:ascii="Times New Roman" w:hAnsi="Times New Roman"/>
          <w:color w:val="000000" w:themeColor="text1"/>
          <w:sz w:val="16"/>
          <w:szCs w:val="16"/>
        </w:rPr>
        <w:softHyphen/>
        <w:t>рой ПВРД ДМ-4с № 15. При первых четырех запусках отказыва</w:t>
      </w:r>
      <w:r w:rsidRPr="00722885">
        <w:rPr>
          <w:rFonts w:ascii="Times New Roman" w:hAnsi="Times New Roman"/>
          <w:color w:val="000000" w:themeColor="text1"/>
          <w:sz w:val="16"/>
          <w:szCs w:val="16"/>
        </w:rPr>
        <w:softHyphen/>
        <w:t>ло зажигание. После наладки электроприбора зажигания при трех попытках не вклшался в работу двигатель, как потом было уста</w:t>
      </w:r>
      <w:r w:rsidRPr="00722885">
        <w:rPr>
          <w:rFonts w:ascii="Times New Roman" w:hAnsi="Times New Roman"/>
          <w:color w:val="000000" w:themeColor="text1"/>
          <w:sz w:val="16"/>
          <w:szCs w:val="16"/>
        </w:rPr>
        <w:softHyphen/>
        <w:t>новлено, вследствие засорения расходомера, через который посту</w:t>
      </w:r>
      <w:r w:rsidRPr="00722885">
        <w:rPr>
          <w:rFonts w:ascii="Times New Roman" w:hAnsi="Times New Roman"/>
          <w:color w:val="000000" w:themeColor="text1"/>
          <w:sz w:val="16"/>
          <w:szCs w:val="16"/>
        </w:rPr>
        <w:softHyphen/>
        <w:t>пал бензин (11081).</w:t>
      </w:r>
    </w:p>
    <w:p w14:paraId="1AFD527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351EC8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8EC11EB" w14:textId="77777777" w:rsidR="00AE7191" w:rsidRPr="00722885" w:rsidRDefault="00AE7191" w:rsidP="00722885">
      <w:pPr>
        <w:pStyle w:val="Iauiue"/>
        <w:jc w:val="both"/>
        <w:rPr>
          <w:iCs/>
          <w:color w:val="000000" w:themeColor="text1"/>
          <w:sz w:val="16"/>
          <w:szCs w:val="16"/>
        </w:rPr>
      </w:pPr>
    </w:p>
    <w:p w14:paraId="13784F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первые "тридцатьчетверки" покинули цеха ЧКЗ. В марте 1944 года их выпуск на этом предприятии прекратили (3862).</w:t>
      </w:r>
    </w:p>
    <w:p w14:paraId="098F887F" w14:textId="77777777" w:rsidR="00AE7191" w:rsidRPr="00722885" w:rsidRDefault="00AE7191" w:rsidP="00722885">
      <w:pPr>
        <w:pStyle w:val="Iauiue"/>
        <w:jc w:val="both"/>
        <w:rPr>
          <w:color w:val="000000" w:themeColor="text1"/>
          <w:sz w:val="16"/>
          <w:szCs w:val="16"/>
        </w:rPr>
      </w:pPr>
    </w:p>
    <w:p w14:paraId="6274282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1942 г. на ЧКЗ был собран Первый танк Т-34. Выпуск тан</w:t>
      </w:r>
      <w:r w:rsidRPr="00722885">
        <w:rPr>
          <w:rFonts w:ascii="Times New Roman" w:hAnsi="Times New Roman"/>
          <w:color w:val="000000" w:themeColor="text1"/>
          <w:sz w:val="16"/>
          <w:szCs w:val="16"/>
        </w:rPr>
        <w:softHyphen/>
        <w:t>ков Т-34 на ЧКЗ был прекращен 15 марта 1944 г. на основании поста</w:t>
      </w:r>
      <w:r w:rsidRPr="00722885">
        <w:rPr>
          <w:rFonts w:ascii="Times New Roman" w:hAnsi="Times New Roman"/>
          <w:color w:val="000000" w:themeColor="text1"/>
          <w:sz w:val="16"/>
          <w:szCs w:val="16"/>
        </w:rPr>
        <w:softHyphen/>
        <w:t>новления ГКО, согласно которому все силы завода должны были быть сконцентрированы на производстве только тяжелых танков ИС-2. С ав</w:t>
      </w:r>
      <w:r w:rsidRPr="00722885">
        <w:rPr>
          <w:rFonts w:ascii="Times New Roman" w:hAnsi="Times New Roman"/>
          <w:color w:val="000000" w:themeColor="text1"/>
          <w:sz w:val="16"/>
          <w:szCs w:val="16"/>
        </w:rPr>
        <w:softHyphen/>
        <w:t>густа 1942 г. по апрель 1944 г. ЧКЗ выпустил 5094 танка Т-34 (10703).</w:t>
      </w:r>
    </w:p>
    <w:p w14:paraId="1D3667D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B39A779"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в 1942 году в Челябинске Кировский завод начал выпуск танков «Т-34» (14990).</w:t>
      </w:r>
    </w:p>
    <w:p w14:paraId="7DDAB208"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49ECDE6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1942 вышло Постановление ГКО № 2200 Об организации производства ксилитана на строящемся Красноярском гидролизном заводе. РГАНИР, Фонд ГКО, д. 53, лл. 1-5, 6-12 (11012).</w:t>
      </w:r>
    </w:p>
    <w:p w14:paraId="1F1C2AA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69CDC0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22 августа 1942 года вышел приказ № 620с НКБ</w:t>
      </w:r>
    </w:p>
    <w:p w14:paraId="1AB0C099"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Постановлением ГОКО № 2199-сс от 20 августа 1942 года:</w:t>
      </w:r>
    </w:p>
    <w:p w14:paraId="09D963D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Начальнику 1 Гл. управления и директору завода № 565 приступить к эвакуации из г. Орджоникидзе в г. Баку на завод № 610 (5909, 93).</w:t>
      </w:r>
    </w:p>
    <w:p w14:paraId="73D7A955" w14:textId="77777777" w:rsidR="00AE7191" w:rsidRPr="00722885" w:rsidRDefault="00AE7191" w:rsidP="00722885">
      <w:pPr>
        <w:pStyle w:val="Iauiue"/>
        <w:tabs>
          <w:tab w:val="left" w:pos="11199"/>
        </w:tabs>
        <w:jc w:val="both"/>
        <w:rPr>
          <w:color w:val="000000" w:themeColor="text1"/>
          <w:sz w:val="16"/>
          <w:szCs w:val="16"/>
        </w:rPr>
      </w:pPr>
    </w:p>
    <w:p w14:paraId="3388229B"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8A4708D" w14:textId="77777777" w:rsidR="00AE7191" w:rsidRPr="00722885" w:rsidRDefault="00AE7191" w:rsidP="00722885">
      <w:pPr>
        <w:pStyle w:val="Iauiue"/>
        <w:jc w:val="both"/>
        <w:rPr>
          <w:iCs/>
          <w:color w:val="000000" w:themeColor="text1"/>
          <w:sz w:val="16"/>
          <w:szCs w:val="16"/>
        </w:rPr>
      </w:pPr>
    </w:p>
    <w:p w14:paraId="277E7557"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в 1942 году утреннее сообщение Совинформбюро:</w:t>
      </w:r>
    </w:p>
    <w:p w14:paraId="3968533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22 августа наши войска вели бои с противником в районах юго-восточнее Клетская, северо-восточнее Котельниково, юго-восточнее Пятигорска и южнее Краснодара.</w:t>
      </w:r>
    </w:p>
    <w:p w14:paraId="724D18D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12BE7188"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наша часть ночью нанесла немцам внезапный удар. После ожесточённой рукопашной схватки противник отступил, оставив на поле боя 200 трупов, 2 орудия, 8 пулемётов, 13 автомашин с боеприпасами и радиостанцию. Юго-восточнее Клетской продолжались упорные бои с наступающими войсками противника. Н-ское подразделение отбило три атаки неприятеля. Уничтожено свыше 250 гитлеровцев, танк и 2 бронемашины. Немцы пытались ударить нашим бойцам во фланг, но наскочили на пулемётную засаду и потеряли ещё до 60 автоматчиков.</w:t>
      </w:r>
    </w:p>
    <w:p w14:paraId="2F16334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вели напряжённые бои с танками и мотопехотой противника. За последние дни немцы понесли на этом участке большие потери. Они спешно подтягивают резервы и бросают их в бой. 50 немецких танков и пехота атаковали участок, который обороняют бойцы Н-ской части. Бой длился несколько часов. Наши бойцы не дрогнули и отбили атаку гитлеровцев. Подбито 3 и сожжено 9 немецких танков. Уничтожено до 300 солдат и офицеров противника.</w:t>
      </w:r>
    </w:p>
    <w:p w14:paraId="01B98EC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наши части вели оборонительные бои. Миномётчики части, где командиром тов. Нестеренко, за 3 дня уничтожили свыше 1.000 немецких солдат и офицеров, 12 танков и много автомашин. Активно действует наша авиация. Лётчики Н-ской части за 5 дней сбили 34 немецких самолёта. Лётчик лейтенант Норжинский в течение одного дня сбил 3 немецких бомбардировщика.</w:t>
      </w:r>
    </w:p>
    <w:p w14:paraId="46A6F7F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Пятигорска наши части окружили в горах и уничтожили прорвавшиеся вперёд отряды противника. На другом участке наши войска отошли на новый оборонительный рубеж.</w:t>
      </w:r>
    </w:p>
    <w:p w14:paraId="0E83241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Северо-Западном фронте наши подразделения выбили немцев из одного населённого пункта. В ходе боя уничтожено несколько сот гитлеровцев и подбито 6 немецких танков. Батарея тов. Арсентьева подбила 2 вражеских танка. Артиллерийская батарея тов. Кондратенко, двигаясь вместе с наступающей пехотой, разбила 4 вражеских ДЗОТа, уничтожила миномётную батарею и 3 пулемётные точки противника.</w:t>
      </w:r>
    </w:p>
    <w:p w14:paraId="580B2AD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К. взорвал железнодорожный мост через реку О. До взрыва немцы восстанавливали мост в течение 38 дней. При взрыве моста уничтожено 5 гитлеровцев из немецкой охраны.</w:t>
      </w:r>
    </w:p>
    <w:p w14:paraId="3F7665D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в плен унтер-офицер 257 полка 83 немецкой пехотной дивизии Ганс Ш.рассказал: «257 полк понёс очень тяжёлые потери. Только в боях за пункт В. Он потерял половину личного состава. От третьего батальона осталась жалкая горстка. 5-я рота второго батальона полностью уничтожена. Сейчас полк получил пополнение. Однако настроение солдат резко ухудшилось. Они с беспокойством думают о предстоящей зиме и очень боятся её».</w:t>
      </w:r>
    </w:p>
    <w:p w14:paraId="3C2D179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неотправленном письме немецкого обер-ефрейтора Фридриха Нундля к некоему Иозефу говорится: «... Я теперь ездовой. Поглядел бы ты на мою повозку. В ней много разного барахла, организованного у русских. Тут всякая всячина: мужская и женская и даже детская одежда, посуда и продукты».</w:t>
      </w:r>
    </w:p>
    <w:p w14:paraId="28EE975B"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нескольких дней гитлеровские бандиты замучили, расстреляли и повесили несколько сот жителей города Старый Оскол. 36 семейств немецкие людоеды вырезали целиком. Среди жертв гитлеровцев — Изюмова Анастасия Петровна и её 3-летняя внучка Лида. Учеников 5 класса Пашу Курносова и Колю Васильева немцы повесили только за то, что они отказались указать им дорогу в соседнее село.</w:t>
      </w:r>
    </w:p>
    <w:p w14:paraId="64314AEF"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Датские патриоты портят продукты, которые гитлеровцы насильно забрали у населения. На консервном заводе в Копенгагене забраковано 120.000 банок мясных консервов, изготовленных для Германии. В них обнаружены мелкие металлические стружки.</w:t>
      </w:r>
    </w:p>
    <w:p w14:paraId="52149A99"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Кичигинский, Митогинский, Кихчикский и ряд других рыбокомбинатов ДальнегоВостока, а также многие рыболовецкие колхозы уже добыли рыбы значительно больше, чем было предусмотрено годовым заданием.» (14990).</w:t>
      </w:r>
    </w:p>
    <w:p w14:paraId="7B7BCF5F"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57CF700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в 1942 году вечернее сообщение Совинформбюро:</w:t>
      </w:r>
    </w:p>
    <w:p w14:paraId="4C0910B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22 августа наши войска вели бои в районах юго-восточнее Клетская, северо-восточнее Котельниково, юго-восточнее Пятигорска и южнее Краснодара. Нa других участках фронта существенных изменений не произошло.</w:t>
      </w:r>
    </w:p>
    <w:p w14:paraId="12D2E5FE"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21 августа частями нашей авиации на различных участках фронта уничтожено или повреждено 15 немецких танков, 5 бронемашин, до 100 автомашин с войсками игрузами, подавлен огонь 8 батарей полевой и зенитной артиллерии, взорван склад боеприпасов, рассеяно и частью уничтожено до батальона пехоты противника.</w:t>
      </w:r>
    </w:p>
    <w:p w14:paraId="3FCE0CE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Днём 21 августа соединения нашей авиации произвели массированный удар по аэродромам противника, на которых было сосредоточено до 400 бомбардировщиков и истребителей. В результате этой операции уничтожено более 100 немецких самолётов. 13 наших самолётов не вернулись на свои базы.</w:t>
      </w:r>
    </w:p>
    <w:p w14:paraId="5ED0D1C7"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активные боевые действия против немецко-фашистских войск. На отдельных участках наши части перешли в контратакии выбили противника из ряда опорных пунктов. Гвардейская часть, где командиром тов. Грязнов, захватила 25 пулемётов, 15 миномётов, 500 гранат, 125.000 патронов, другие трофеи и пленных. Стремясь вернуть потерянные позиции, противник предпринял несколько контратак, во время которых потерял убитыми и ранеными до 400 солдат и офицеров. Юго-восточнее Клетской продолжались ожесточённые бои с противником, пытающимся переправиться на восточный берег Дона. Наши войска нанесли тяжёлые потери группировке неприятеля, переправившейся в одном месте через реку.</w:t>
      </w:r>
    </w:p>
    <w:p w14:paraId="0C0CA86C"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гитлеровцы перешли в наступление, сосредоточив на одном участке значительные силы. В течение дня нашими частями подбито и уничтожено до 60 немецких танков. В одном месте врагу удалось вклиниться в расположение советских войск. Наши части ведут напряжённые бои с противником. На другом участке два румынских полка атаковали расположение наших войск. Атака была отбита с большими для противника потерями. Пулемётно-миномётным огнём уничтожено не менее батальона румынской пехоты.</w:t>
      </w:r>
    </w:p>
    <w:p w14:paraId="5CA5E4A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наши части вели оборонительные бои с танками и мотопехотой противника. Н-ское соединение отбило три атаки немцев и нанесло им большие потери. Захвачено 33 автомашины, 6 мотоциклов и много боеприпасов. На другом участке после упорных боёв с противником наши части отошли на новые позиции.</w:t>
      </w:r>
    </w:p>
    <w:p w14:paraId="6341444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Пятигорска бойцы Н-ской части уничтожили 8 немецких танка, 9 автомашин и истребили свыше 200 гитлеровцев.</w:t>
      </w:r>
    </w:p>
    <w:p w14:paraId="59E4B2A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 одном из участков наши войска продолжали вести активные боевые действия. Подразделение старшего лейтенанта Михайлина решительным броском ворвалось в немецкие траншеи. Штыками и гранатами наши бойцы уничтожили до двух взводов вражеской пехоты.</w:t>
      </w:r>
    </w:p>
    <w:p w14:paraId="35A5A0BB"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местного значения. Не считаясь с большими потерями, немцы пытались отбить населённый пункт, занятый на днях нашими войсками. По предварительным данным, в этих боях уничтожено до двух батальонов немецкой пехоты.</w:t>
      </w:r>
    </w:p>
    <w:p w14:paraId="2E14026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под командованием тов. Х. за последние два месяца истребил около тысячи немецко-фашистских оккупантов. Партизаны пустили под откос 5 железнодорожных эшелонов, один из них с танками. За это же время партизаны захватили у немцев одно орудие, 508 винтовок, 12 миномётов, 14 станковых и 16 ручных пулемётов.</w:t>
      </w:r>
    </w:p>
    <w:p w14:paraId="50ACBC1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в плен солдат 3 итальянской пехотной дивизии шофёр Марио П. рассказал: «В последних боях мы понесли кровавые потери. Солдаты утверждают, что в дивизии осталось не более 40 процентов личного состава. Тяжёлые потери произвели угнетающее впечатление не только на солдат, но и на офицеров. Я слышал, как один капитан из штаба дивизии заявил: «Дорого обходится Италии дружба Муссолини с Гитлером. Безумно проливать свою кровь за немцев. Всё равно они оставят нас в дураках».</w:t>
      </w:r>
    </w:p>
    <w:p w14:paraId="0DB8078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обер-ефрейтор 9 роты 234 полка 56 немецкой пехотной дивизии Иосиф Пшибиляк показал: «Я немец, родом из города Бохума, Рурской области. На Восточном фронте нахожусь с 15 февраля 1942 года. За это время я насмотрелся, как мучают и убивают русских военнопленных. С того момента, как советский солдат попал вплен, он обречён и его судьба решена. Допрашивая пленных, офицеры жестоко пытают их, часто на глазах пленных расстреливают несколько человек, а затем продолжают допрос тех, кто остался в живых. В апреле капитан Вайзе из 171 полка допрашивал в лесу двух пленных красноармейцев. После допроса он собственноручно их расстрелял. В тот же день по приказу командира 56 дивизии генерала фон Офена расстреляли ещё 4 пленных красноармейцев. Некоторое время спустя фон Офен, проезжая на своей машине, увидел, что солдат Гофман охраняет 5 раненых советских пленных. Генерал приказал солдату немедленно расстрелять пленных и отправиться в свою роту. Фон Офен сам наблюдал, как Гофман расстреливал раненых, и только после этого уехал.</w:t>
      </w:r>
    </w:p>
    <w:p w14:paraId="6804E19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Такая жестокость немецких офицеров поощряет солдат. Унтер-офицер Кир и ефрейтор Фрич целый день издевались над пленным красноармейцем. Они придумывали для него самые жестокие пытки. К вечеру они штыками прокололи ему горло. Жизнь русского военнопленного висит на волоске. Его каждую минуту могут убить. Если его не расстреляют, он умрёт от побоев, от пыток или от голода» (14990).</w:t>
      </w:r>
    </w:p>
    <w:p w14:paraId="1E4E3B43"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3A444D09" w14:textId="77777777" w:rsidR="00FA7E38" w:rsidRPr="00722885" w:rsidRDefault="00FA7E38" w:rsidP="00722885">
      <w:pPr>
        <w:pStyle w:val="ae"/>
        <w:spacing w:before="0" w:after="0"/>
        <w:jc w:val="both"/>
        <w:textAlignment w:val="baseline"/>
        <w:rPr>
          <w:color w:val="000000" w:themeColor="text1"/>
          <w:sz w:val="16"/>
          <w:szCs w:val="16"/>
        </w:rPr>
      </w:pPr>
      <w:r w:rsidRPr="00722885">
        <w:rPr>
          <w:color w:val="000000" w:themeColor="text1"/>
          <w:sz w:val="16"/>
          <w:szCs w:val="16"/>
        </w:rPr>
        <w:t>22 августа 1942 — начальник штаба ВВС Красной армии генерал-лейтенант Фалалеев подписал секретный приказ № 332597с, адресованный командующим воздушными армиями и касающийся штурмовой авиации. В нем, в частности, констатировалось:</w:t>
      </w:r>
    </w:p>
    <w:p w14:paraId="694C27FC" w14:textId="77777777" w:rsidR="00FA7E38" w:rsidRPr="00722885" w:rsidRDefault="00FA7E38"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w:t>
      </w:r>
    </w:p>
    <w:p w14:paraId="29A6E6F5" w14:textId="77777777" w:rsidR="00FA7E38" w:rsidRPr="00722885" w:rsidRDefault="00FA7E38"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 окна фонаря, по шасси, по хвосту и управлению.</w:t>
      </w:r>
    </w:p>
    <w:p w14:paraId="02F71AE0" w14:textId="77777777" w:rsidR="00FA7E38" w:rsidRPr="00722885" w:rsidRDefault="00FA7E38"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5CCEBCFE" w14:textId="77777777" w:rsidR="00FA7E38" w:rsidRPr="00722885" w:rsidRDefault="00FA7E38"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…бреющий полет усложняет ориентировку, летный состав, особенно молодой, часто теряет ее и нередко делает вынужденные посадки вне аэродрома, надолго выводя при этом самолеты из строя» (19522).</w:t>
      </w:r>
    </w:p>
    <w:p w14:paraId="02355045" w14:textId="77777777" w:rsidR="00FA7E38" w:rsidRPr="00722885" w:rsidRDefault="00FA7E38" w:rsidP="00722885">
      <w:pPr>
        <w:pStyle w:val="ae"/>
        <w:spacing w:before="0" w:after="0"/>
        <w:jc w:val="both"/>
        <w:textAlignment w:val="baseline"/>
        <w:rPr>
          <w:iCs/>
          <w:color w:val="000000" w:themeColor="text1"/>
          <w:sz w:val="16"/>
          <w:szCs w:val="16"/>
          <w:bdr w:val="none" w:sz="0" w:space="0" w:color="auto" w:frame="1"/>
        </w:rPr>
      </w:pPr>
    </w:p>
    <w:p w14:paraId="5255121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в 1942 году группа советских самолетов нанесла бомбовые удары по военно-промышленным объектам в Варшаве (14990).</w:t>
      </w:r>
    </w:p>
    <w:p w14:paraId="24A346C9"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26DF5C5F"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в 1942 году советские войска ликвидировали немецкий десант, высадившийся в тылу под Сталинградом (14990).</w:t>
      </w:r>
    </w:p>
    <w:p w14:paraId="61E769B3"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05CED2EB"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в 1942 году создан Туапсинский оборонительный район (расформирован 26 января 1943) из частей Черноморской группы войск Закавказского фронта и Туапсинской военно-морской базы. Командующий — контр-адмирал Г.В.Жуков (14990).</w:t>
      </w:r>
    </w:p>
    <w:p w14:paraId="6A7E4182"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08A404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г. специальный приказ по ВВС (24,272) потребовал применения Ил-2 для разрушения ДОТов с использованием фугасных бомб. Некоторые летчики по опыту упомянутого выше Пстыго стали брать в перегрузку до 700 кг бомб, а один из них под Сталинградом - еще больше (24,272).</w:t>
      </w:r>
    </w:p>
    <w:p w14:paraId="175327C7" w14:textId="77777777" w:rsidR="00AE7191" w:rsidRPr="00722885" w:rsidRDefault="00AE7191" w:rsidP="00722885">
      <w:pPr>
        <w:pStyle w:val="Iauiue"/>
        <w:jc w:val="both"/>
        <w:rPr>
          <w:color w:val="000000" w:themeColor="text1"/>
          <w:sz w:val="16"/>
          <w:szCs w:val="16"/>
        </w:rPr>
      </w:pPr>
    </w:p>
    <w:p w14:paraId="6C29BE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22 августа 1942 г. в директиве командования ВВС от признавалось, что действия штурмовиков с "бреющего" полета не позволяют полностью использовать ударную мощь ИЛ-2. Запоздало констатировалось, что подобная тактика ограничивает боевые возможности самолета. Снижается точность бомбометания из-за рикошетирования бомб. Не оправдал себя расчет (вспомним письмо Ильюшина - В.С.) на повышение живучести машины только за счет бронирования и полетов на малой высоте. В директиве настоятельно рекомендовалось увеличить высоты бомбометания, освоить атаки с пикирования и новые боевые порядки. Бомбометание осуществлять последовательно. После первого удара и сброса бомб повторять атаки с огнем реактивными снарядами, пушками, пулеметами - бомбы признавались главным огневым средством. </w:t>
      </w:r>
    </w:p>
    <w:p w14:paraId="186EF03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Ил-2 оформился в легкий тактический бомбардировщик, для действий по скоплениям техники и живой силы на марше, в местах сосредоточения в ближнем и среднем тылу, реже - по передовым позициям (точность бомбометания невысока для работы по точечным целям), со скромным бомбовым вооружением. </w:t>
      </w:r>
    </w:p>
    <w:p w14:paraId="730269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Полная бомбовая нагрузка составляла 600 кг, но действуя с полевых аэродромов, нельзя было поднимать одновременно 8 ракет и полную бомбовую нагрузку (11224).</w:t>
      </w:r>
    </w:p>
    <w:p w14:paraId="3E865B8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372A25C" w14:textId="77777777" w:rsidR="00AE7191" w:rsidRPr="00722885" w:rsidRDefault="00AE7191" w:rsidP="00722885">
      <w:pPr>
        <w:pStyle w:val="Blockquote"/>
        <w:widowControl/>
        <w:tabs>
          <w:tab w:val="left" w:pos="11199"/>
        </w:tabs>
        <w:spacing w:before="0" w:after="0"/>
        <w:ind w:left="0" w:right="0"/>
        <w:jc w:val="both"/>
        <w:rPr>
          <w:rStyle w:val="a7"/>
          <w:b w:val="0"/>
          <w:bCs w:val="0"/>
          <w:color w:val="000000" w:themeColor="text1"/>
          <w:sz w:val="16"/>
          <w:szCs w:val="16"/>
          <w:lang w:val="ru-RU"/>
        </w:rPr>
      </w:pPr>
      <w:r w:rsidRPr="00722885">
        <w:rPr>
          <w:color w:val="000000" w:themeColor="text1"/>
          <w:sz w:val="16"/>
          <w:szCs w:val="16"/>
          <w:lang w:val="ru-RU"/>
        </w:rPr>
        <w:t xml:space="preserve">22 августа 1942 г. за исх. № 0672 был направлен приказ </w:t>
      </w:r>
      <w:r w:rsidRPr="00722885">
        <w:rPr>
          <w:rStyle w:val="a7"/>
          <w:b w:val="0"/>
          <w:bCs w:val="0"/>
          <w:color w:val="000000" w:themeColor="text1"/>
          <w:sz w:val="16"/>
          <w:szCs w:val="16"/>
          <w:lang w:val="ru-RU"/>
        </w:rPr>
        <w:t>Начальника штаба Военно-воздушных сил Красной Армии генерал-лейтенанта авиации ФАЛАЛЕЕВА:</w:t>
      </w:r>
    </w:p>
    <w:p w14:paraId="1FCB8C79"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КОМАНДУЮЩИМ ВОЗДУШНЫМИ АРМИЯМИ И ВОЕННО-ВОЗДУШНЫМИ СИЛАМИ ФРОНТОВ, НАЧАЛЬНИКУ ВОЕННОЙ АКАДЕМИИ КОМАНДНО-ШТУРМАНСКОГО СОСТАВА ВОЕННО-ВОЗДУШНЫХ СИЛ КРАСНОЙ АРМИИ, НАЧАЛЬНИКУ ЛИПЕЦКИХ КУРСОВ УСОВЕРШЕНСТВОВАНИЯ</w:t>
      </w:r>
    </w:p>
    <w:p w14:paraId="5ED8CAC2"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Наши штурмовики Ил-2 применяют преимущественно два способа действий: атаку с бреющего полета и атаку с выскакиванием перед целью на высоту 150 - 250 м.</w:t>
      </w:r>
    </w:p>
    <w:p w14:paraId="3DE75549"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Эти способы действий позволяют штурмовикам при наличии благоприятного рельефа местности относительно внезапно появляться над целью. Наряду с достоинствами подобного рода тактика штурмовиков на Ил-2 имеет ряд серьезных недостатков.</w:t>
      </w:r>
    </w:p>
    <w:p w14:paraId="6EBF9F11"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 Подход и атака с бреющего полета не позволяют достаточно полно и эффективно использовать огневые возможности самолетов Ил-2: бомбы приходится сбрасывать со взрывателями АВ-1, а за время замедления танки и автомашины успевают отъехать на безопасное расстояние, люди — спрятаться в укрытия. Кроме того, бомбы со взрывателями замедленного действия, сброшенные с бреющего полета, сильно рикошетируют, вследствие чего резко снижается точность бомбометания и эффективность действия. Бомбы ФАБ-250 с установкой взрывателя АПУВ на мгновенное действие совершенно не применяются даже при атаках штурмовиков с выскакивания из-за опасности поражения своих самолетов.</w:t>
      </w:r>
    </w:p>
    <w:p w14:paraId="48464F4E"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Выбор необходимых целей при атаках с бреющего полета затруднён, поэтому наиболее важные цели чаще всего остаются непораженным. Близость земли затрудняет точное прицеливание. Последнее осуществляется наводкой носовой части самолета без применения прицела, вследствие чего обстрел из пушек, пулеметов и реактивных снарядов не даёт должного эффекта.</w:t>
      </w:r>
    </w:p>
    <w:p w14:paraId="4C5D2E30"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2. Сложность ориентировки на самолете Ил-2 на высоте бреющего полета часто вынуждает лететь вдоль линейных ориентиров, вследствие чего внезапность удара в значительной мере утрачивается. Истребители, непосредственно сопровождающие самолеты Ил-2, следуют обычно на высоте в несколько сот метров и тем самым сводят на нет внезапность, которая могла бы быть достигнута применением бреющего полета.</w:t>
      </w:r>
    </w:p>
    <w:p w14:paraId="2DC1D2E3"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3. 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 На вероятных направлениях полета самолетов Ил-2 создаются мощные завесы зенитного огня, для чего используются все виды оружия, вплоть до минометов, огнеметов, фугасов, танковых и противотанковых пушек, в результате чего наши штурмовики несут значительные потери.</w:t>
      </w:r>
    </w:p>
    <w:p w14:paraId="7FC41412"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4. Очень серьезным обстоятельством является и то, что штурмовики Ил-2 на высотах бреющего полета не могут вести достаточно успешного оборонительного боя с истребителями противника. Опыт показывает, что надежное прикрытие истребителями штурмовиков, летающих на бреющем полете, трудно осуществимо: истребители, следуя значительно выше штурмовиков, часто теряют их из вида. 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боковыеокна фонаря, по шасси, по хвосту и управлению.</w:t>
      </w:r>
    </w:p>
    <w:p w14:paraId="2042ECEE"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428819A3"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5. Наконец, нужно отметить, что бреющий полет усложняет ориентировку, летный состав, особенно молодой, часто теряет ее и нередко делает вынужденные посадки вне аэродрома, надолго выводя при этом самолеты из строя.</w:t>
      </w:r>
    </w:p>
    <w:p w14:paraId="7A4C5E60"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Перечисленные недостатки настоятельно требуют изменений в тактике штурмовиков Ил-2. Нужно повысить эффективность их ударов и практиковать такие способы, которые обеспечивали бы эффективное использование огневых возможностей самолетов Ил-2 и затруднили бы противнику организацию борьбы с ними. Многие штурмовые части наряду с атаками с бреющего полета особенно широко и с большим успехом применяют атаки с пикирования под углами 20 - 35°, а также бомбометание с горизонтального полета с высот 400 - 1000 м.</w:t>
      </w:r>
    </w:p>
    <w:p w14:paraId="5ECD72BF"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Атака с пикирования. Группа самолетов Ил-2 подходит к цели в боевом порядке змейки из пар на высоте 800 - 1200 м, а атаку производит в зависимости от характера цели и ее расположения на местности из растянутого строя “змейки” или “пеленга”. Атаки должны обеспечиваться специально выделенными штурмовиками и истребителями, которые подавляют зенитные средства противника. Нападение выполняется последовательными атаками отдельных самолетов, пикирующих один за другим, либо по сигналу ведущего “все вдруг”, передаваемому по радио или эволюциями самолета. Каждый самолет делает разворот в сторону цели на 30 - 45°, после чего все самолеты одновременно переходят в пикирование. После первой атаки самолеты на повышенной скорости уходят от цели за пределы огня зенитной артиллерии и, развернувшись, повторяют атаки самолет за самолетом из строя “круг”. В первых атаках цель поражается бомбами и реактивными снарядами, в последующих атаках применяются реактивные снаряды, пушечный и пулеметный огонь. Такой способ действий позволяет применять бомбы калибра до 250 кг включительно с установкой взрывателя АПУВ на мгновенное действие. Бомбы ФАБ-250 следует сбрасывать с высоты не ниже 500 м, а 50 - 100 кг бомбы можно сбрасывать и с высот 250 - 300 м. Стрельба из пушек и пулеметов ведется с пологого пикирования под углами 20 - 30°. Огонь открывается с высоты 300 - 400 м и доводится до высоты 100 - 150 м, дистанция стрельбы при этом колеблется в пределах 800 - 300 м.</w:t>
      </w:r>
    </w:p>
    <w:p w14:paraId="0AB7FC8E"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Достоинства этого способа нападения заключаются в том, что облегчается обеспечение штурмовиков истребителями. Штурмовики могут использовать все типы бомб с взрывателями мгновенного действия. Повышается точность бомбометания и огня, улучшается ориентировка, обеспечивается точный выход на объект и выбор нужных целей. После штурмовых атак необходимо оставлять 45- 60 снарядов на пушку и 150 - 200 патронов на пулемет на случай ведения воздушного боя с истребителями противника.</w:t>
      </w:r>
    </w:p>
    <w:p w14:paraId="4F608E08"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Штурмовой удар с бреющего полета. Штурмовой удар с бреющего полета или с выскакиванием перед целью на высоту 300 м следует применять в тех случаях, когда нужно получить наибольшую внезапность выхода на цель, и при нападении на цели значительных размеров. Этот же способ действий надлежит применять и при низкой облачности в районе цели, когда метеорологические условия исключают возможность действий с пикирования. Отличное знание района действий и расположения цели является необходимым условием. При действиях с высот бреющего полета применяются бомбы со взрывателями замедленного действия, а при действиях с выскакиванием на высоту до 300 м допустимо применение бомб не свыше 100 кг со взрывателями мгновенного действия. Чтобы избежать рикошетирования бомб со взрывателями замедленного действия, таковые следует сбрасывать под углами пикирования в 15 - 20°.</w:t>
      </w:r>
    </w:p>
    <w:p w14:paraId="46359675"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Бомбометание с горизонтального полета. При действиях по целям, имеющим значительные линейные размеры по длине и ширине (скопление войск в лесу и населенных пунктах, аэродромы, железнодорожные узлы и т. п.), целесообразно производить бомбометание с высот 400 м и выше.</w:t>
      </w:r>
    </w:p>
    <w:p w14:paraId="10D9E045"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Оборонительный воздушный бой самолетов Ил-2 с истребителями противника. Организованный уход от цели и быстрый сбор штурмовиков является одним из основных условий успешного отражения нападения истребителей противника. Для ведения воздушного оборонительного боя группа Ил-2 строит замкнутый “круг”, вытягивая его в направлении своей территории. Для построения “круга” количество самолетов в группе должно быть не менее 6 машин; дистанция между самолетами на кругу должна быть в пределах 300 - 400 м, высота — не ниже 300 м, а крены при разворотах допускаются от 15 до 40°.</w:t>
      </w:r>
    </w:p>
    <w:p w14:paraId="117D81C6"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Каждый из экипажей, находясь в кругу, несет полную ответственность за защиту впереди идущего самолета и не имеет права оставлять своего места. В целях отражения атак экипажи имеют право и обязан маневрировать по горизонту разворотами влево и вправо до 45°, а по вертикали кабрированием и планированием под углом до 30°.</w:t>
      </w:r>
    </w:p>
    <w:p w14:paraId="16E84014"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Если штурмовики следуют под прикрытием истребителей, то они не должны отрываться от них при встрече с противником, а, приняв оборонительный порядок “круг” ниже своих истребителей, взаимодействовать с ними по отражению атак противника. Небольшие группы штурмовиков в 2 - 4 самолета должны включаться в этом случае в боевой порядок истребителей и совместно с ними вести воздушный бой.</w:t>
      </w:r>
    </w:p>
    <w:p w14:paraId="66EF0D1D"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В соответствии с изложенным ПРИКАЗЫВАЮ:</w:t>
      </w:r>
    </w:p>
    <w:p w14:paraId="7BD7072B"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 Командирам всех степеней обучить своих подчиненных атакам с пикирования и широко применять этот способ нападения.</w:t>
      </w:r>
    </w:p>
    <w:p w14:paraId="033B0392"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2. Атаки с бреющего полета и бомбометание с горизонтального полета применять в комбинации с атаками с пикирования в условиях низкой облачности и при нападении на цели значительных размеров.</w:t>
      </w:r>
    </w:p>
    <w:p w14:paraId="0A04B0C3"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3. Полеты на штурмовые действия производить с полной бомбовой нагрузкой. Командирам полков, эскадрилий и инженерам установить строгий контроль за знанием летным составом боевых свойств авиационных бомб и различных взрывателей к ним, а также научить подчиненных порядку их применения.</w:t>
      </w:r>
    </w:p>
    <w:p w14:paraId="70FDEF92"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lastRenderedPageBreak/>
        <w:t>4. При постановке задач штурмовикам подробно указывать порядок атаки, ухода от цели, сбора, ведения воздушного боя с истребителями противника и взаимодействия с прикрывающими истребителями.</w:t>
      </w:r>
    </w:p>
    <w:p w14:paraId="58DCB6DA"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5. Включить в программу подготовки запасных полков штурмовой авиации обучение летного состава атакам с пикирования, бомбометанию с горизонтального полета, а также воздушному бою с истребителями (4964).</w:t>
      </w:r>
    </w:p>
    <w:p w14:paraId="265FBFCF"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p>
    <w:p w14:paraId="424E30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w:t>
      </w:r>
    </w:p>
    <w:p w14:paraId="4C9F09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Секретно</w:t>
      </w:r>
    </w:p>
    <w:p w14:paraId="0C4DC0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КОМАНДУЮЩИМ ВОЗДУШНЫМИ АРМИЯМИ И ВОЕННО-ВОЗДУШНЫМИ СИЛАМИ ФРОНТОВ,</w:t>
      </w:r>
    </w:p>
    <w:p w14:paraId="1DE415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НАЧАЛЬНИКУ ВОЕННОЙ АКАДЕМИИ КОМАНДНО-ШТУРМАНСКОГО СОСТАВА ВОЕННО-ВОЗДУШНЫХ СИЛ КРАСНОЙ АРМИИ,</w:t>
      </w:r>
    </w:p>
    <w:p w14:paraId="5222DC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НАЧАЛЬНИКУ ЛИПЕЦКИХ КУРСОВ УСОВЕРШЕНСТВОВАНИЯ</w:t>
      </w:r>
    </w:p>
    <w:p w14:paraId="1E6E7F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Наши штурмовики Ил-2 применяют преимущественно два способа действий: атаку с бреющего полета и атаку с выскакиванием перед целью на высоту 150 - 250 м. Эти способы действий позволяют штурмовикам при наличии благоприятного рельефа местности относительно внезапно появляться над целью. Наряду с достоинствами подобного рода тактика штурмовиков на Ил-2 имеет ряд серьезных недостатков.</w:t>
      </w:r>
    </w:p>
    <w:p w14:paraId="101BB6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Подход и атака с бреющего полета не позволяют достаточно полно и эффективно использовать огневые возможности самолетов Ил-2: бомбы приходится сбрасывать со взрывателями АВ-1, а за время замедления танки и автомашины успевают отъехать на безопасное расстояние, люди — спрятаться в укрытия. Кроме того, бомбы со взрывателями замедленного действия, сброшенные с бреющего полета, сильно рикошетируют, вследствие чего резко снижается точность бомбометания и эффективность действия.</w:t>
      </w:r>
    </w:p>
    <w:p w14:paraId="123997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Бомбы ФАБ-250 с установкой взрывателя АПУВ на мгновенное действие совершенно не применяются даже при атаках штурмовиков с выскакивания из-за опасности поражения своих самолетов. Выбор необходимых целей при атаках с бреющего полета затруднён, поэтому наиболее важные цели чаще всего остаются непораженным. Близость земли затрудняет точное прицеливание. Последнее осуществляется наводкой носовой части самолета без применения прицела, вследствие чего обстрел из пушек, пулеметов и реактивных снарядов не даёт должного эффекта.</w:t>
      </w:r>
    </w:p>
    <w:p w14:paraId="4673FE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Сложность ориентировки на самолете Ил-2 на высоте бреющего полета часто вынуждает лететь вдоль линейных ориентиров, вследствие чего внезапность удара в значительной мере утрачивается. Истребители, непосредственно сопровождающие самолеты Ил-2, следуют обычно на высоте в несколько сот метров и тем самым сводят на нет внезапность, которая могла бы быть достигнута применением бреющего полета.</w:t>
      </w:r>
    </w:p>
    <w:p w14:paraId="6AFC36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 На вероятных направлениях полета самолетов Ил-2 создаются мощные завесы зенитного огня, для чего используются все виды оружия, вплоть до минометов, огнеметов, фугасов, танковых и противотанковых пушек, в результате чего наши штурмовики несут значительные потери.</w:t>
      </w:r>
    </w:p>
    <w:p w14:paraId="68D2787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Очень серьезным обстоятельством является и то, что штурмовики Ил-2 на высотах бреющего полета не могут вести достаточно успешного оборонительного боя с истребителями противника. Опыт показывает, что надежное прикрытие истребителями штурмовиков, летающих на бреющем полете, трудно осуществимо: истребители, следуя значительно выше штурмовиков, часто теряют их из вида. 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 окна фонаря, по шасси, по хвосту и управлению. 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6D64F4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Наконец, нужно отметить, что бреющий полет усложняет ориентировку, летный состав, особенно молодой, часто теряет ее и нередко делает вынужденные посадки вне аэродрома, надолго выводя при этом самолеты из строя.</w:t>
      </w:r>
    </w:p>
    <w:p w14:paraId="5508A3B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Перечисленные недостатки настоятельно требуют изменений в тактике штурмовиков Ил-2. Нужно повысить эффективность их ударов и практиковать такие способы, которые обеспечивали бы эффективное использование огневых возможностей самолетов Ил-2 и затруднили бы противнику организацию борьбы с ними. Многие штурмовые части наряду с атаками с бреющего полета особенно широко и с большим успехом применяют атаки с пикирования под углами 20 - 35°, а также бомбометание с горизонтального полета с высот 400 - 1000 м.</w:t>
      </w:r>
    </w:p>
    <w:p w14:paraId="477C9E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Атака с пикирования. Группа самолетов Ил-2 подходит к цели в боевом порядке змейки из пар на высоте 800 - 1200 м, а атаку производит в зависимости от характера цели и ее расположения на местности из растянутого строя “змейки” или “пеленга”. Атаки должны обеспечиваться специально выделенными штурмовиками и истребителями, которые подавляют зенитные средства противника. Нападение выполняется последовательными атаками отдельных самолетов, пикирующих один за другим, либо по сигналу ведущего “все вдруг”, передаваемому по радио или эволюциями самолета.</w:t>
      </w:r>
    </w:p>
    <w:p w14:paraId="12EA04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Каждый самолет делает разворот в сторону цели на 30 - 45°, после чего все самолеты одновременно переходят в пикирование. После первой атаки самолеты на повышенной скорости уходят от цели за пределы огня зенитной артиллерии и, развернувшись, повторяют атаки самолет за самолетом из строя “круг”. В первых атаках цель поражается бомбами и реактивными снарядами, в последующих атаках применяются реактивные снаряды, пушечный и пулеметный огонь. Такой способ действий позволяет применять бомбы калибра до 250 кг включительно с установкой взрывателя АПУВ на мгновенное действие. Бомбы ФАБ-250 следует сбрасывать с высоты не ниже 500 м, а 50 - 100 кг бомбы можно сбрасывать и с высот 250 - 300 м.</w:t>
      </w:r>
    </w:p>
    <w:p w14:paraId="36B3D0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Стрельба из пушек и пулеметов ведется с пологого пикирования под углами 20 - 30°. Огонь открывается с высоты 300 - 400 м и доводится до высоты 100 - 150 м, дистанция стрельбы при этом колеблется в пределах 800 - 300 м.</w:t>
      </w:r>
    </w:p>
    <w:p w14:paraId="2B5CE4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Достоинства этого способа нападения заключаются в том, что облегчается обеспечение штурмовиков истребителями.</w:t>
      </w:r>
    </w:p>
    <w:p w14:paraId="25B2AD7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Штурмовики могут использовать все типы бомб с взрывателями мгновенного действия. Повышается точность бомбометания и огня, улучшается ориентировка, обеспечивается точный выход на объект и выбор нужных целей. После штурмовых атак необходимо оставлять 45- 60 снарядов на пушку и 150 - 200 патронов на пулемет на случай ведения воздушного боя с истребителями противника.</w:t>
      </w:r>
    </w:p>
    <w:p w14:paraId="52B57F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Штурмовой удар с бреющего полета. Штурмовой удар с бреющего полета или с выскакиванием перед целью на высоту 300 м следует применять в тех случаях, когда нужно получить наибольшую внезапность выхода на цель, и при нападении на цели значительных размеров. Этот же способ действий надлежит применять и при низкой облачности в районе цели, когда метеорологические условия исключают возможность действий с пикирования. Отличное знание района действий и расположения цели является необходимым условием. При действиях с высот бреющего полета применяются бомбы со взрывателями замедленного действия, а при действиях с выскакиванием на высоту до 300 м допустимо применение бомб не свыше 100 кг со взрывателями мгновенного действия. Чтобы избежать рикошетирования бомб со взрывателями замедленного действия, таковые следует сбрасывать под углами пикирования в 15 - 20°.</w:t>
      </w:r>
    </w:p>
    <w:p w14:paraId="17ED1A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Бомбометание с горизонтального полета. При действиях по целям, имеющим значительные линейные размеры по длине и ширине (скопление войск в лесу и населенных пунктах, аэродромы, железнодорожные узлы и т. п.), целесообразно производить бомбометание с высот 400 м и выше.</w:t>
      </w:r>
    </w:p>
    <w:p w14:paraId="7E2AEF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Оборонительный воздушный бой самолетов Ил-2 с истребителями противника. Организованный уход от цели и быстрый сбор штурмовиков является одним из основных условий успешного отражения нападения истребителей противника. Для ведения воздушного оборонительного боя группа Ил-2 строит замкнутый “круг”, вытягивая его в направлении своей территории. Для построения “круга” количество самолетов в группе должно быть не менее 6 машин; дистанция между самолетами на кругу должна быть в пределах 300 - 400 м, высота — не ниже 300 м, а крены при разворотах допускаются от 15 до 40°.</w:t>
      </w:r>
    </w:p>
    <w:p w14:paraId="502D8D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Каждый из экипажей, находясь в кругу, несет полную ответственность за защиту впереди идущего самолета и не имеет права оставлять своего места. В целях отражения атак экипажи имеют право и обязан маневрировать по горизонту разворотами влево и вправо до 45°, а по вертикали кабрированием и планированием под углом до 30°.</w:t>
      </w:r>
    </w:p>
    <w:p w14:paraId="7E8892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Если штурмовики следуют под прикрытием истребителей, то они не должны отрываться от них при встрече с противником, а, приняв оборонительный порядок “круг” ниже своих истребителей, взаимодействовать с ними по отражению атак противника. Небольшие группы штурмовиков в 2 - 4 самолета должны включаться в этом случае в боевой порядок истребителей и совместно с ними вести воздушный бой. В соответствии с изложенным ПРИКАЗЫВАЮ:</w:t>
      </w:r>
    </w:p>
    <w:p w14:paraId="58737D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Командирам всех степеней обучить своих подчиненных атакам с пикирования и широко применять этот способ нападения.</w:t>
      </w:r>
    </w:p>
    <w:p w14:paraId="61938A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Атаки с бреющего полета и бомбометание с горизонтального полета применять в комбинации с атаками с пикирования в условиях низкой облачности и при нападении на цели значительных размеров.</w:t>
      </w:r>
    </w:p>
    <w:p w14:paraId="7438A0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Полеты на штурмовые действия производить с полной бомбовой нагрузкой. Командирам полков, эскадрилий и инженерам установить строгий контроль за знанием летным составом боевых свойств авиационных бомб и различных взрывателей к ним, а также научить подчиненных порядку их применения.</w:t>
      </w:r>
    </w:p>
    <w:p w14:paraId="3B72C3BE" w14:textId="77777777" w:rsidR="00AE7191" w:rsidRPr="00722885" w:rsidRDefault="00AE7191" w:rsidP="00722885">
      <w:pPr>
        <w:pStyle w:val="Iniiaiieoaeno"/>
        <w:widowControl/>
        <w:rPr>
          <w:color w:val="000000" w:themeColor="text1"/>
        </w:rPr>
      </w:pPr>
      <w:r w:rsidRPr="00722885">
        <w:rPr>
          <w:color w:val="000000" w:themeColor="text1"/>
        </w:rPr>
        <w:t>4. При постановке задач штурмовикам подробно указывать порядок атаки, ухода от цели, сбора, ведения воздушного боя с истребителями противника и взаимодействия с прикрывающими истребителями.</w:t>
      </w:r>
    </w:p>
    <w:p w14:paraId="3CCC17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Включить в программу подготовки запасных полков штурмовой авиации обучение летного состава атакам с пикирования, бомбометанию с горизонтального полета, а также воздушному бою с истребителями.</w:t>
      </w:r>
    </w:p>
    <w:p w14:paraId="7CA035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Начальник штаба</w:t>
      </w:r>
    </w:p>
    <w:p w14:paraId="29292BB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Военно-воздушных сил Красной Армии</w:t>
      </w:r>
    </w:p>
    <w:p w14:paraId="2B7F62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генерал-лейтенант авиации ФАЛАЛЕЕВ</w:t>
      </w:r>
    </w:p>
    <w:p w14:paraId="50EAF4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22.8.42 г.</w:t>
      </w:r>
    </w:p>
    <w:p w14:paraId="60BC15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332597с (7751).</w:t>
      </w:r>
    </w:p>
    <w:p w14:paraId="2AA0586B" w14:textId="77777777" w:rsidR="00AE7191" w:rsidRPr="00722885" w:rsidRDefault="00AE7191" w:rsidP="00722885">
      <w:pPr>
        <w:pStyle w:val="Iauiue"/>
        <w:jc w:val="both"/>
        <w:rPr>
          <w:color w:val="000000" w:themeColor="text1"/>
          <w:sz w:val="16"/>
          <w:szCs w:val="16"/>
        </w:rPr>
      </w:pPr>
    </w:p>
    <w:p w14:paraId="646CC8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г. вышла директива командующего ВВС КА А. А. Новикова № 332597с, в которой указывалось, что продолжающаяся до сих пор в некоторых штурмовых авиаполках практика применения всего двух способов штурмовых атак - с бреющего и с выскакиванием перед целью на высоту 150-200 м, не позволяет использовать все огневые возможности самолета Ил-2.</w:t>
      </w:r>
    </w:p>
    <w:p w14:paraId="3C4669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Командующий потребовал от всех командиров и летного состава штурмовых авиачастей повышения высот бомбометания, освоения атак с пикирования и изменения боевых порядков штурмовиков. Этой же директивой в программу боевой подготовки запасных полков вводилось обучение летного состава атакам с пикирования, бомбометанию с горизонтального полета, а также воздушному бою с истребителями (8687).</w:t>
      </w:r>
    </w:p>
    <w:p w14:paraId="74580EE3" w14:textId="77777777" w:rsidR="00AE7191" w:rsidRPr="00722885" w:rsidRDefault="00AE7191" w:rsidP="00722885">
      <w:pPr>
        <w:pStyle w:val="Iauiue"/>
        <w:jc w:val="both"/>
        <w:rPr>
          <w:color w:val="000000" w:themeColor="text1"/>
          <w:sz w:val="16"/>
          <w:szCs w:val="16"/>
        </w:rPr>
      </w:pPr>
    </w:p>
    <w:p w14:paraId="713FFE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из Иванова из 6-й запасной бригады полковника Шумова отправили пять Р-51 "Мустанг". Две машины попали в 5-й гвардейский истребительный полк, вооруженный ЛаГТ-3. Летал на американских самолетах в основном командир полка дважды Герой Советского Союза В.А.Зайцев, но попробовали эти машины также летчики Попков (впоследствии тоже дважды Герой) и Онуфриенко. По воспоминаниям Попкова, впечатление от американских истребителей было резко отрицательным. Хотя машина и отличалась высокой скоростью, но была "тяжела, как утюг". Маневренность ее оставляла желать много лучшего. Не понравился и затянутый взлет. Ни одного боевого вылета на "Мустангах" не сделали. Вскоре на обоих истребителях повредили винты и, за неимением запасных, самолеты сдали назад. Один "Мустанг" достался учебному полку Военно-воздушной академии им. Жуковского. Он эксплуатировался еще в 1946 году, а потом служил как экспонат. Еще одна машина находилась в экспозиции Бюро новой техники ЦАГИ (3457,87).</w:t>
      </w:r>
    </w:p>
    <w:p w14:paraId="3F2173C6" w14:textId="77777777" w:rsidR="00AE7191" w:rsidRPr="00722885" w:rsidRDefault="00AE7191" w:rsidP="00722885">
      <w:pPr>
        <w:pStyle w:val="Iauiue"/>
        <w:jc w:val="both"/>
        <w:rPr>
          <w:color w:val="000000" w:themeColor="text1"/>
          <w:sz w:val="16"/>
          <w:szCs w:val="16"/>
        </w:rPr>
      </w:pPr>
    </w:p>
    <w:p w14:paraId="016346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был создан Туапсинский оборонительный район (3186).</w:t>
      </w:r>
    </w:p>
    <w:p w14:paraId="589EFD95" w14:textId="77777777" w:rsidR="00AE7191" w:rsidRPr="00722885" w:rsidRDefault="00AE7191" w:rsidP="00722885">
      <w:pPr>
        <w:pStyle w:val="Iauiue"/>
        <w:jc w:val="both"/>
        <w:rPr>
          <w:color w:val="000000" w:themeColor="text1"/>
          <w:sz w:val="16"/>
          <w:szCs w:val="16"/>
        </w:rPr>
      </w:pPr>
    </w:p>
    <w:p w14:paraId="66732D4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22 августа 1942 советские войска ликвидировали немецкий десант, высадившийся в тылу под Сталинградом (4962).</w:t>
      </w:r>
    </w:p>
    <w:p w14:paraId="6B9D9EB0" w14:textId="77777777" w:rsidR="00AE7191" w:rsidRPr="00722885" w:rsidRDefault="00AE7191" w:rsidP="00722885">
      <w:pPr>
        <w:pStyle w:val="Iauiue"/>
        <w:tabs>
          <w:tab w:val="left" w:pos="11199"/>
        </w:tabs>
        <w:jc w:val="both"/>
        <w:rPr>
          <w:color w:val="000000" w:themeColor="text1"/>
          <w:sz w:val="16"/>
          <w:szCs w:val="16"/>
        </w:rPr>
      </w:pPr>
    </w:p>
    <w:p w14:paraId="18DDBD3A"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22, 1942: The advance of 17.Armee (Ruoff) toward the Black Sea port of Suchum west of the Caucasus bogs down. A platoon of 1.Gebirgs-Division hoists the German war flag on the top of Mt. Elbrus, the highest peak in the Caucasus (3819).</w:t>
      </w:r>
    </w:p>
    <w:p w14:paraId="0DB11425" w14:textId="77777777" w:rsidR="00AE7191" w:rsidRPr="00722885" w:rsidRDefault="00AE7191" w:rsidP="00722885">
      <w:pPr>
        <w:pStyle w:val="Iauiue"/>
        <w:jc w:val="both"/>
        <w:rPr>
          <w:color w:val="000000" w:themeColor="text1"/>
          <w:sz w:val="16"/>
          <w:szCs w:val="16"/>
          <w:lang w:val="en-US"/>
        </w:rPr>
      </w:pPr>
    </w:p>
    <w:p w14:paraId="5D5E7A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остановилось наступление 17А (Руоф) на Сухуми. 1 горная дивизия водрузила флаг на Эльбрусе (3819).</w:t>
      </w:r>
    </w:p>
    <w:p w14:paraId="0C80F22D" w14:textId="77777777" w:rsidR="00AE7191" w:rsidRPr="00722885" w:rsidRDefault="00AE7191" w:rsidP="00722885">
      <w:pPr>
        <w:pStyle w:val="Iauiue"/>
        <w:jc w:val="both"/>
        <w:rPr>
          <w:color w:val="000000" w:themeColor="text1"/>
          <w:sz w:val="16"/>
          <w:szCs w:val="16"/>
        </w:rPr>
      </w:pPr>
    </w:p>
    <w:p w14:paraId="49D7712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691DBA77" w14:textId="77777777" w:rsidR="00AE7191" w:rsidRPr="00722885" w:rsidRDefault="00AE7191" w:rsidP="00722885">
      <w:pPr>
        <w:pStyle w:val="Iauiue"/>
        <w:jc w:val="both"/>
        <w:rPr>
          <w:iCs/>
          <w:color w:val="000000" w:themeColor="text1"/>
          <w:sz w:val="16"/>
          <w:szCs w:val="16"/>
        </w:rPr>
      </w:pPr>
    </w:p>
    <w:p w14:paraId="34874F6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22 августа 1942 вышло Распоряжение ГКО № 2201 [Об отгрузке угля Москве.] (7051, 13).</w:t>
      </w:r>
    </w:p>
    <w:p w14:paraId="45FD2882" w14:textId="77777777" w:rsidR="00AE7191" w:rsidRPr="00722885" w:rsidRDefault="00AE7191" w:rsidP="00722885">
      <w:pPr>
        <w:pStyle w:val="Iauiue"/>
        <w:tabs>
          <w:tab w:val="left" w:pos="11199"/>
        </w:tabs>
        <w:jc w:val="both"/>
        <w:rPr>
          <w:color w:val="000000" w:themeColor="text1"/>
          <w:sz w:val="16"/>
          <w:szCs w:val="16"/>
        </w:rPr>
      </w:pPr>
    </w:p>
    <w:p w14:paraId="1C07EF2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76D67AD" w14:textId="77777777" w:rsidR="00AE7191" w:rsidRPr="00722885" w:rsidRDefault="00AE7191" w:rsidP="00722885">
      <w:pPr>
        <w:pStyle w:val="Iauiue"/>
        <w:jc w:val="both"/>
        <w:rPr>
          <w:iCs/>
          <w:color w:val="000000" w:themeColor="text1"/>
          <w:sz w:val="16"/>
          <w:szCs w:val="16"/>
        </w:rPr>
      </w:pPr>
    </w:p>
    <w:p w14:paraId="3B2F5B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года было отправлено:</w:t>
      </w:r>
    </w:p>
    <w:p w14:paraId="22E455F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 В. СТАЛИН Ф. РУЗВЕЛЬТУ *</w:t>
      </w:r>
    </w:p>
    <w:p w14:paraId="2CC220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Получил Ваше послание от 19 августа. Я также выражаю сожаление, что Вы не смогли принять участие в беседах, которые я недавно имел с господином Черчиллем.</w:t>
      </w:r>
    </w:p>
    <w:p w14:paraId="2E5BE9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связи с Вашим замечанием об отправке в августе месяце из Соединенных Штатов танков и военных материалов я хотел бы подчеркнуть нашу особую заинтересованность в данное время в получении из США самолетов и других видов вооружения, а также грузовиков в возможно большем количестве. Вместе с тем я надеюсь, что будут приняты все меры для обеспечения быстрейшей доставки грузов в Советский Союз, особенно северным морским путем (7430).</w:t>
      </w:r>
    </w:p>
    <w:p w14:paraId="172BF48A" w14:textId="77777777" w:rsidR="00AE7191" w:rsidRPr="00722885" w:rsidRDefault="00AE7191" w:rsidP="00722885">
      <w:pPr>
        <w:pStyle w:val="Iauiue"/>
        <w:jc w:val="both"/>
        <w:rPr>
          <w:color w:val="000000" w:themeColor="text1"/>
          <w:sz w:val="16"/>
          <w:szCs w:val="16"/>
        </w:rPr>
      </w:pPr>
    </w:p>
    <w:p w14:paraId="0C51080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BACFF35" w14:textId="77777777" w:rsidR="00AE7191" w:rsidRPr="00722885" w:rsidRDefault="00AE7191" w:rsidP="00722885">
      <w:pPr>
        <w:pStyle w:val="Iauiue"/>
        <w:jc w:val="both"/>
        <w:rPr>
          <w:iCs/>
          <w:color w:val="000000" w:themeColor="text1"/>
          <w:sz w:val="16"/>
          <w:szCs w:val="16"/>
        </w:rPr>
      </w:pPr>
    </w:p>
    <w:p w14:paraId="56C75CD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22 августа 1942 Бразилия объявила войну Германии и Италии (4962).</w:t>
      </w:r>
    </w:p>
    <w:p w14:paraId="39423E23" w14:textId="77777777" w:rsidR="00AE7191" w:rsidRPr="00722885" w:rsidRDefault="00AE7191" w:rsidP="00722885">
      <w:pPr>
        <w:pStyle w:val="Iauiue"/>
        <w:tabs>
          <w:tab w:val="left" w:pos="11199"/>
        </w:tabs>
        <w:jc w:val="both"/>
        <w:rPr>
          <w:color w:val="000000" w:themeColor="text1"/>
          <w:sz w:val="16"/>
          <w:szCs w:val="16"/>
        </w:rPr>
      </w:pPr>
    </w:p>
    <w:p w14:paraId="3D5692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Бразилия объявила войну Германии и Италии (2245,8).</w:t>
      </w:r>
    </w:p>
    <w:p w14:paraId="3D4D136F" w14:textId="77777777" w:rsidR="00AE7191" w:rsidRPr="00722885" w:rsidRDefault="00AE7191" w:rsidP="00722885">
      <w:pPr>
        <w:pStyle w:val="Iauiue"/>
        <w:jc w:val="both"/>
        <w:rPr>
          <w:color w:val="000000" w:themeColor="text1"/>
          <w:sz w:val="16"/>
          <w:szCs w:val="16"/>
        </w:rPr>
      </w:pPr>
    </w:p>
    <w:p w14:paraId="50EF59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 августа 1942 Бразилия объявила войну Германии и стала одной из 6 южноамериканских стран, пославших войска в Европу (2100).</w:t>
      </w:r>
    </w:p>
    <w:p w14:paraId="094664BF" w14:textId="77777777" w:rsidR="00AE7191" w:rsidRPr="00722885" w:rsidRDefault="00AE7191" w:rsidP="00722885">
      <w:pPr>
        <w:pStyle w:val="Iauiue"/>
        <w:jc w:val="both"/>
        <w:rPr>
          <w:color w:val="000000" w:themeColor="text1"/>
          <w:sz w:val="16"/>
          <w:szCs w:val="16"/>
        </w:rPr>
      </w:pPr>
    </w:p>
    <w:p w14:paraId="6C93A51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730410F" w14:textId="77777777" w:rsidR="00AE7191" w:rsidRPr="00722885" w:rsidRDefault="00AE7191" w:rsidP="00722885">
      <w:pPr>
        <w:pStyle w:val="Iauiue"/>
        <w:jc w:val="both"/>
        <w:rPr>
          <w:iCs/>
          <w:color w:val="000000" w:themeColor="text1"/>
          <w:sz w:val="16"/>
          <w:szCs w:val="16"/>
        </w:rPr>
      </w:pPr>
    </w:p>
    <w:p w14:paraId="113CCC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1942 г. на основании приказа зам. наркома авиационной промышленности П. В. Дементьева строительство завода № 130 со всеми зданиями, сооружениями и оборудованием было передано на баланс завода № 126. На директора завода № 126 Д.А. Тимофееева возлагалась эксплуатация и достройка завода № 130 (12211).</w:t>
      </w:r>
    </w:p>
    <w:p w14:paraId="647160D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C9DF6EB"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3168026" w14:textId="77777777" w:rsidR="00AE7191" w:rsidRPr="00722885" w:rsidRDefault="00AE7191" w:rsidP="00722885">
      <w:pPr>
        <w:pStyle w:val="Iauiue"/>
        <w:jc w:val="both"/>
        <w:rPr>
          <w:iCs/>
          <w:color w:val="000000" w:themeColor="text1"/>
          <w:sz w:val="16"/>
          <w:szCs w:val="16"/>
        </w:rPr>
      </w:pPr>
    </w:p>
    <w:p w14:paraId="113EDF2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1942 г., когда фронт вплотную приблизился к Сталинграду, продолжалось производство танков на СТЗ, несмотря на авиационные налеты. Всего на СТЗ в 1942 г. до остановки производства было изготовлено 2553 танко</w:t>
      </w:r>
      <w:r w:rsidRPr="00722885">
        <w:rPr>
          <w:rFonts w:ascii="Times New Roman" w:hAnsi="Times New Roman"/>
          <w:color w:val="000000" w:themeColor="text1"/>
          <w:sz w:val="16"/>
          <w:szCs w:val="16"/>
        </w:rPr>
        <w:softHyphen/>
        <w:t>вых дизеля. До 5 октября 1942 г., когда бои еще не шли непосредствен</w:t>
      </w:r>
      <w:r w:rsidRPr="00722885">
        <w:rPr>
          <w:rFonts w:ascii="Times New Roman" w:hAnsi="Times New Roman"/>
          <w:color w:val="000000" w:themeColor="text1"/>
          <w:sz w:val="16"/>
          <w:szCs w:val="16"/>
        </w:rPr>
        <w:softHyphen/>
        <w:t>но на территории цехов, завод производил ремонтные работы по восста</w:t>
      </w:r>
      <w:r w:rsidRPr="00722885">
        <w:rPr>
          <w:rFonts w:ascii="Times New Roman" w:hAnsi="Times New Roman"/>
          <w:color w:val="000000" w:themeColor="text1"/>
          <w:sz w:val="16"/>
          <w:szCs w:val="16"/>
        </w:rPr>
        <w:softHyphen/>
        <w:t>новлению танков. Уцелевшие оборудование и производственные кадры были эвакуированы в Барнаул, где строился завод по производству тан</w:t>
      </w:r>
      <w:r w:rsidRPr="00722885">
        <w:rPr>
          <w:rFonts w:ascii="Times New Roman" w:hAnsi="Times New Roman"/>
          <w:color w:val="000000" w:themeColor="text1"/>
          <w:sz w:val="16"/>
          <w:szCs w:val="16"/>
        </w:rPr>
        <w:softHyphen/>
        <w:t>ковых дизелей. К выпуску дизелей В-2 Сталинградский тракторный за</w:t>
      </w:r>
      <w:r w:rsidRPr="00722885">
        <w:rPr>
          <w:rFonts w:ascii="Times New Roman" w:hAnsi="Times New Roman"/>
          <w:color w:val="000000" w:themeColor="text1"/>
          <w:sz w:val="16"/>
          <w:szCs w:val="16"/>
        </w:rPr>
        <w:softHyphen/>
        <w:t>вод вернулся в 1943 г. после окончания сражения за Сталинград и вос</w:t>
      </w:r>
      <w:r w:rsidRPr="00722885">
        <w:rPr>
          <w:rFonts w:ascii="Times New Roman" w:hAnsi="Times New Roman"/>
          <w:color w:val="000000" w:themeColor="text1"/>
          <w:sz w:val="16"/>
          <w:szCs w:val="16"/>
        </w:rPr>
        <w:softHyphen/>
        <w:t>становления разрушенных цехов (10703).</w:t>
      </w:r>
    </w:p>
    <w:p w14:paraId="3403177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5A6E6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23 августа по 1 сентября 1942 года, по докладу о работе СТЗ в 1942 году, подписанному директором завода Задорожным, было передано Красной Армии: танков 119, изготовлено арттягачей - 24, выпущено дизель-моторов - 55, отремонтировано танков - 14. В сентябре совместно с ПРБ было выпущено новых танков - 16, отремонтировано - 91 и 40 моторов».</w:t>
      </w:r>
    </w:p>
    <w:p w14:paraId="1EE0BD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Есть и другие документы о работе завода за сентябрь 1942 года. Например, отчет о работе корпуса № 5 о работе с 23 августа по 12 сентября, направленный на имя заместителя наркома танковой промышленности А. Горегляда:</w:t>
      </w:r>
    </w:p>
    <w:p w14:paraId="2ED976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момента подхода немецких войск к заводу, бомбежек и обстрелов, корпусом № 5 проделана [следующая работа] работа:</w:t>
      </w:r>
    </w:p>
    <w:p w14:paraId="67ACB87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новых танков - 68 штук, отремонтировано - 23. Кроме этого оказана помощь Красной Армии в ремонте путем посылки рабочих в ремонтные бригады, а также выдачей запчастей и различным оборудованием. Работа протекала во фронтовых условиях под бомбежкой и обстрелом. Хорошие образцы работы показали старшие мастера Сафонов М.И., Пастухов, Шамурин, Москвичев. Козлов. За промежуток указанного времени в корпус попало 6 фугасных бомб, около 154 зажигательных бомб и один снаряд. Сгорело газойль хранилище, разрушена в двух шестах крыша. Работа в цехе в настоящее время по ремонту танков производится с прибывающими на завод танковыми экипажами».</w:t>
      </w:r>
    </w:p>
    <w:p w14:paraId="682D0F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видно из приведенных документов, данные о выпуске тридцатьчетверок на СТЗ в августе - сентябре 1942 года довольно сильно разняться. Дело в том, что часть из принятых военпредом 250 Т-34, показанных в сведениях за август, доделы- аалась и окончательно передавалась заказчику позже, в первой половине сентября, а в некоторых документах завода эти уже принятые машины проходили как новые. Последние 14 танков Т-34, собранных на СТЗ в сентябре, фигурируют в докладе Задорожного.</w:t>
      </w:r>
    </w:p>
    <w:p w14:paraId="23C35D1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Окончательно работы на Сталинградском тракторном заводе были прекращены приказом наркомтан- копрома от 5 октября 1942 года:</w:t>
      </w:r>
    </w:p>
    <w:p w14:paraId="18D762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«Развертывание боевых действий в непосредственной близости к заводу, систематические и непрерывные бомбардировки, минометный и артиллерийский обстрел не позволяют производить на СТЗ каких бы то ни было работ. В связи с этим Наркомат танковой промышленности СССР считает нецелесообразным дальнейшее пребывание на территории завода оставшихся там высококвалифицированных рабочих завода и отзывает их для использования на других предприятиях НКТП» (12217).</w:t>
      </w:r>
    </w:p>
    <w:p w14:paraId="19DA2C2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1DC7E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1942 вышло Постановление ГКО № 2202 О загрузке заготовительных цехов танковых заводов. РГАНИР, Фонд ГКО, д. 53, лл. 14-15, 16-43 (11012).</w:t>
      </w:r>
    </w:p>
    <w:p w14:paraId="62FF259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152E31B"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23 августа 1942 вышло Постановление ГКО № 2204 [О возвращении судов, переданных для эвакуации раненых и больных, Наркомречфлоту.] (7051, 46,47).</w:t>
      </w:r>
    </w:p>
    <w:p w14:paraId="13DF724E" w14:textId="77777777" w:rsidR="00AE7191" w:rsidRPr="00722885" w:rsidRDefault="00AE7191" w:rsidP="00722885">
      <w:pPr>
        <w:pStyle w:val="Iauiue"/>
        <w:tabs>
          <w:tab w:val="left" w:pos="11199"/>
        </w:tabs>
        <w:jc w:val="both"/>
        <w:rPr>
          <w:color w:val="000000" w:themeColor="text1"/>
          <w:sz w:val="16"/>
          <w:szCs w:val="16"/>
        </w:rPr>
      </w:pPr>
    </w:p>
    <w:p w14:paraId="7E30D89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1942 вышло Постановление ГКО № 2205 О закладке в запас теплых вещей для обеспечения Красной Армии на зиму 1942-43 гг. РГАНИР, Фонд ГКО, д. 53, лл. 48, 49 (11012).</w:t>
      </w:r>
    </w:p>
    <w:p w14:paraId="32F2639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7E44598"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23 августа 1942 вышло Постановление ГКО № 2207 О подготовке и проведении снегоборьбы на железнодорожном транспорте в зиму 1942-1943 гг. (7051, 70-72).</w:t>
      </w:r>
    </w:p>
    <w:p w14:paraId="2B4E9D9B" w14:textId="77777777" w:rsidR="00AE7191" w:rsidRPr="00722885" w:rsidRDefault="00AE7191" w:rsidP="00722885">
      <w:pPr>
        <w:pStyle w:val="Iauiue"/>
        <w:tabs>
          <w:tab w:val="left" w:pos="11199"/>
        </w:tabs>
        <w:jc w:val="both"/>
        <w:rPr>
          <w:color w:val="000000" w:themeColor="text1"/>
          <w:sz w:val="16"/>
          <w:szCs w:val="16"/>
        </w:rPr>
      </w:pPr>
    </w:p>
    <w:p w14:paraId="0200FE6E"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23 августа 1942 вышло Постановление ГКО № 2208 О мероприятиях по сокращению груженого парка вагонов и ускорению продвижения грузов по сети железных дорог. (7051, 73-74).</w:t>
      </w:r>
    </w:p>
    <w:p w14:paraId="7B2D817F" w14:textId="77777777" w:rsidR="00AE7191" w:rsidRPr="00722885" w:rsidRDefault="00AE7191" w:rsidP="00722885">
      <w:pPr>
        <w:pStyle w:val="Iauiue"/>
        <w:tabs>
          <w:tab w:val="left" w:pos="11199"/>
        </w:tabs>
        <w:jc w:val="both"/>
        <w:rPr>
          <w:color w:val="000000" w:themeColor="text1"/>
          <w:sz w:val="16"/>
          <w:szCs w:val="16"/>
        </w:rPr>
      </w:pPr>
    </w:p>
    <w:p w14:paraId="1BCDE68B"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5122136" w14:textId="77777777" w:rsidR="00AE7191" w:rsidRPr="00722885" w:rsidRDefault="00AE7191" w:rsidP="00722885">
      <w:pPr>
        <w:pStyle w:val="Iauiue"/>
        <w:jc w:val="both"/>
        <w:rPr>
          <w:iCs/>
          <w:color w:val="000000" w:themeColor="text1"/>
          <w:sz w:val="16"/>
          <w:szCs w:val="16"/>
        </w:rPr>
      </w:pPr>
    </w:p>
    <w:p w14:paraId="6390EFBA"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в 1942 году утреннее сообщение Совинформбюро:</w:t>
      </w:r>
    </w:p>
    <w:p w14:paraId="4A49ADFA"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23 августа наши войска вели бои с противником в районах юго-восточнее Клетская, северо-восточнее Котельниково, юго-восточнее Пятигорска и южнее Краснодара.</w:t>
      </w:r>
    </w:p>
    <w:p w14:paraId="07A42FE2"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40CD9F55"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активные боевые действия. В ходе этих боёв немцы потеряли убитыми до 800 солдат и офицеров, 14 танков и много другого вооружения. Захвачены пленные. Юго-восточнее Клетской противник предпринял ряд попыток переправиться через Дон и закрепиться на восточном берегу реки. Наши части отбивают атаки гитлеровцев и наносят им большие потери. Группа бойцов под командованием политрука Егошина пробралась в населённый пункт, где расположилась итальянская часть, и внезапно ударила по врагу. На улицах этого населённого пункта осталось свыше 200 убитых итальянцев. Младшие командиры Лысаков и Солдатенко из противотанкового ружья подбили два немецких танка. Младший лейтенант Озеров с пятью автоматчиками уничтожил до взвода гитлеровцев.</w:t>
      </w:r>
    </w:p>
    <w:p w14:paraId="2B665C7E"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продолжались напряжённые бои. На участке части, где командиром тов. Смольянов, немцы бросили в наступление значительные силы пехоты и танков. Наши бойцы отбили атаку гитлеровцев и истребили несколько сот вражеских солдат. Подбито 8 немецких танков.</w:t>
      </w:r>
    </w:p>
    <w:p w14:paraId="10F714BC"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наши войска вели оборонительные бои против немецко-фашистских войск. Бойцы Н-ской части совершили ночную вылазку в расположение противника и уничтожили не менее 150 румынских солдат и офицеров. Взорвано 2 орудия, 7 автомашин, и захвачены трофеи. На другом участке наши войска были потеснены численно превосходящими силами противника.</w:t>
      </w:r>
    </w:p>
    <w:p w14:paraId="71E3244B"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Пятигорска наступающая колонна противника была накрыта огнём нашей артиллерии. Уничтожено не менее 300 гитлеровцев, 3 бронемашины, 25 автомашин и 17 миномётов.</w:t>
      </w:r>
    </w:p>
    <w:p w14:paraId="31F453B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 западном берегу Дона, наши части вели уличные бои в одном населённом пункте. Подброшенные на этот участок венгерские части вчера перешли в наступление. Массированным пулемётным и миномётным огнём противник был отброшен в исходное положение. В последних боях наши войска нанесли серьёзный урон действующей здесь венгерской пехотной дивизии, потерявшей половину своего личного состава.</w:t>
      </w:r>
    </w:p>
    <w:p w14:paraId="053BB6A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черниговских партизан под командованием тов. Ф., за месяц боевых действий истребил 150 гитлеровцев, взорвал 6 мостов и уничтожил 2 автомашины. Партизаны захватили 90 винтовок, 8 пулемётов и 8.000 патронов.</w:t>
      </w:r>
    </w:p>
    <w:p w14:paraId="5EDAAFC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5 роты 187 полка 87 немецкой пехотной дивизии Эрих Вейхельд рассказал: «В начале войны против России немецкие газеты и радио твердили, что немцы воюют якобы для того, чтобы защитить свою родину. Теперь солдатам прямо заявляют: мы воюем за Украину и Прибалтику, за Крым и Кавказ, за Дон и Кубань и другие плодородные земли. Офицеров и даже рядовых солдат подгоняют всевозможными посулами. Нам обещают землю, сельскохозяйственные машины, автомобиль и другие блага. Многих это прельщает, и они лезут очертя голову. Но русские упорно сражаются и без боя ничего не уступают. Особенно тяжёлые опустошения производят в наших рядах советские миномёты. В минуты, когда они действуют, даже отъявленные нацисты перестают думать об имениях и должностях. Каждый старается спасти свою шкуру. В последнем бою от нашей роты сохранилось только несколько человек, а все остальные погибли».</w:t>
      </w:r>
    </w:p>
    <w:p w14:paraId="06957AD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деревни Новая Трупня, Калининской области, составили акт о зверствах немецко-фашистских мерзавцев. В акте говорится: «10 месяцев немцы бесчинствовалив нашем селе. За это время они отобрали у крестьян всё продовольствие, скот, одежду и обувь. Всё население было обречено на голодную смерть. Немцы замучили, расстреляли или повесили колхозников Сергеева А.А., Баханову М.П., Сморгина И.С., Строгову А.Т., Строгову М.П. и многих других».</w:t>
      </w:r>
    </w:p>
    <w:p w14:paraId="2F959FDC"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Бельгийские патриоты сожгли в окрестностях Жюме два склада с хлебом, предназначенным для отправки в Германию. Близ Филиппвиля в казарму эсэсовцевб ыло брошено 3 гранаты. Убито 7 и ранено 9 гитлеровцев.» (14991).</w:t>
      </w:r>
    </w:p>
    <w:p w14:paraId="1A227F09"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3870340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в 1942 году вечернее сообщение Совинформбюро:</w:t>
      </w:r>
    </w:p>
    <w:p w14:paraId="43885CB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23 августа наши войска вели бои в районах юго-восточнее Клетская, северо-восточнее Котельниково, юго-восточнее Пятигорска и южнее Краснодара.</w:t>
      </w:r>
    </w:p>
    <w:p w14:paraId="6158A09B"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20163DE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16 по 22 августа включительно, в воздушных боях, на аэродромах противника и огнём зенитной артиллерии уничтожено 347 немецких самолётов. Наши потери за этот же период— 194 самолёта.</w:t>
      </w:r>
    </w:p>
    <w:p w14:paraId="105116AB"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22 августа частями нашей авиации на различных участках фронта уничтожено или повреждено до 30 немецких танков, свыше 200 автомашин с войсками и грузами, до 30 подвод с боеприпасами, 4 бензозаправщика, подавлен огонь 10 батарей полевой и зенитной артиллерии, взорвано 3 склада боеприпасов и 2 склада горючего, рассеяно и частью уничтожено до двух батальонов пехоты противника.</w:t>
      </w:r>
    </w:p>
    <w:p w14:paraId="11DF528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активные боевые действия и улучшили свои позиции. Гвардейцы Н-ской части выбили немцев из нескольких населённых пунктов. Уничтожено 11 немецких танков, 20 автомашин и сбито ружейно-пулемётным огнём 4 самолёта противника. В районе юго-восточнее Клетской продолжались ожесточённые бои за переправы на Дону. На одном участке противнику удалось переправить через реку войска и танки. Наши войска ведут с этой группой противника ожесточённый бой. На другом участке происходит ожесточённое сражение с итальянской дивизией «Челере». Наша пехота и танки нанесли наёмникам Гитлера крепкие удары и перебили не менее половины личного состава этой дивизии.</w:t>
      </w:r>
    </w:p>
    <w:p w14:paraId="3F6CAAB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вели напряжённые бои с крупными силами танков и пехоты противника. На отдельных участках немцам ценою огромных потерь удалось продвинуться вперёд. На позиции Н-ской части наступало до двух полков пехоты и до 70 немецких танков. Наши бойцы встретили врага артиллерийским огнём и уничтожили несколько сот гитлеровцев и 16 танков. На другом участке подразделение противотанковых ружей вывело из строя 8 немецких танков. Зенитчики Н-ского полка противовоздушной обороны за 6 дней сбили 12 немецких самолётов.</w:t>
      </w:r>
    </w:p>
    <w:p w14:paraId="46DD89B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происходили ожесточённые бои с противником. Бойцы Н-ского соединения отбили сильную атаку немцев и нанесли им значительный урон. На поле боя осталось 4 подбитых немецких танка, уничтожено 15 автомашин и до 200 гитлеровцев.</w:t>
      </w:r>
    </w:p>
    <w:p w14:paraId="3BF81E0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Пятигорска наши части вели оборонительные бои с танками и мотопехотой противника.</w:t>
      </w:r>
    </w:p>
    <w:p w14:paraId="38A49409"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Волховском фронте происходили столкновения с небольшими группами противника. На одном участке небольшая группа бойцов, возглавляемая младшим лейтенантом Ториным, стремительным ударом захватила укреплённый рубеж немцев. Противник предпринял ожесточённую контратаку, которая была отбита нашими бойцами. Разведчики под руководством лейтенанта Узина проникли в расположение противника, забросали немецкие блиндажи гранатами и уничтожили 17 гитлеровцев. Разведчики захватили 2 ручных пулемёта, несколько винтовок и пленных.</w:t>
      </w:r>
    </w:p>
    <w:p w14:paraId="1CCFFE87"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ленинградских партизан под командованием тов. У. совершил налёт на гарнизон противника. Истреблено 85 немецко-фашистских оккупантов. Партизаны захватили 6 пулемётов, 2 автомата, много винтовок и патронов.</w:t>
      </w:r>
    </w:p>
    <w:p w14:paraId="7264520A"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лётчик-ефрейтор самолёта связи Альвин Гойбер рассказал: «Я пробыл на Восточном фронте около месяца. На днях в воздушном бою русские сбили мой самолёт, и я сдался в плен. Я побывал в Польше, Голландии, Дании, Норвегии, Чехии и других странах. Везде, даже в Австрии, все к нам относятся недоброжелательно. Проездом на фронт я несколько дней прожил в Берлине. Недавно в городе снова уменьшили норму выдачи хлеба. Теперь житель Берлина получает в день только 200 граммов суррогатного хлеба».</w:t>
      </w:r>
    </w:p>
    <w:p w14:paraId="0DAC310A"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Сервии (Греция) отряд греческих патриотов совершил нападение на концентрационный лагерь. Партизаны перебили 18 гитлеровцев и освободили более 200 греков, насильно согнанных в этот лагерь для отправки их на работу в Германию.» (14991).</w:t>
      </w:r>
    </w:p>
    <w:p w14:paraId="21E1F339"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29D4FF86" w14:textId="77777777" w:rsidR="00873549" w:rsidRPr="00722885" w:rsidRDefault="0087354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23 августа 1942 - Массовый налет Люфтваффе на Сталинград. При этом задача, поставленная директивой Гитлера от 23 июля, была полностью выполнена. Сталинград, как город и промышленный центр, был уничтожен. Сухая жаркая погода, длительное интенсивное бомбометание, применение немцами большого количества различных зажигательных бомб – все это дало огромный разрушительный эффект. Были полностью выведены из строя такие важные для страны предприятия, как завод «Красный Октябрь» и артиллерийский завод «Баррикады». По неизвестно откуда взявшимся данным, в результате бомбежки погибли свыше 40 тыс. жителей, </w:t>
      </w:r>
      <w:r w:rsidRPr="00722885">
        <w:rPr>
          <w:rFonts w:ascii="Times New Roman" w:hAnsi="Times New Roman"/>
          <w:color w:val="0070C0"/>
          <w:sz w:val="16"/>
          <w:szCs w:val="16"/>
        </w:rPr>
        <w:lastRenderedPageBreak/>
        <w:t>ещё около 150 тыс. получили ранения. На самом деле подсчётом жертв никто всерьёз не занимался. Равно как и не было известно число мирного населения, находившегося в тот момент в городе. Поэтому говорить о какой-то конкретной цифре невозможно, ясно лишь, что погибших были десятки тысяч (22389).</w:t>
      </w:r>
    </w:p>
    <w:p w14:paraId="6B5B9317" w14:textId="77777777" w:rsidR="00873549" w:rsidRPr="00722885" w:rsidRDefault="00873549" w:rsidP="00722885">
      <w:pPr>
        <w:spacing w:after="0" w:line="240" w:lineRule="auto"/>
        <w:jc w:val="both"/>
        <w:rPr>
          <w:rFonts w:ascii="Times New Roman" w:hAnsi="Times New Roman"/>
          <w:color w:val="0070C0"/>
          <w:sz w:val="16"/>
          <w:szCs w:val="16"/>
        </w:rPr>
      </w:pPr>
    </w:p>
    <w:p w14:paraId="743C9A1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в 1942 году 14-й танковый корпус 6-й немецкой армии прорвался к Волге севернее Сталинграда в районе Ерзовка. Советские войска отразили удар противника на Сталинград с севера вдоль Волги. Авиация противника совершила на город около 2 тысяч самолёто-вылетов. Противник прорвал оборону войск Юго-Восточного фронта и вклинился в расположение советских войск между железной дорогой Сальск-Красноармейск и озером Цаца на глубину до 25 км (14991).</w:t>
      </w:r>
    </w:p>
    <w:p w14:paraId="53F029AA"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3F7B3959"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в 1942 году 14-й танковый корпус 6-й немецкой армии прорвался к Волге севернее Сталинграда. Противник попытался захватить город ударом с севера вдоль Волги. В отражении этого удара важную роль сыграли части Сталинградского корпусного района ПВО. В течение дня авиация противка совершила на город около 2 тысяч самолето-вылетов (90 самолетов сбито). В результате бомбардировок погибло свыше 40 тысяч жителей, свыше 150 тысяч ранено (14991).</w:t>
      </w:r>
    </w:p>
    <w:p w14:paraId="7553D5F5"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2C4414E9"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в 1942 году городской комитет обороны Сталинграда принял решение о приведении в полную боевую готовность отрядов народного ополчения (80 тысяч человек); началось формирование рабочих отрядов (14991).</w:t>
      </w:r>
    </w:p>
    <w:p w14:paraId="4AE300B1"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019E5C2C"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в 1942 году войска Западного фронта освободили города Зубцов, Карманово. Завершилась Ржевско-Сычевская операция: советские войска продвинулись на 30-45 км, ликвидировали плацдарм противника на левом берегу Волги в районе Ржева, сковали крупные силы группы армий "Центр" и вынудили противника перебросить в район операции 12 дивизий с других участков советско-германского фронта (в том числе с юга) (14991).</w:t>
      </w:r>
    </w:p>
    <w:p w14:paraId="3342BD9B"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2270B0F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в 1942 году готовившиеся к переброске на сталинградское направление 3 танковых и несколько пехотных дивизий группы армий "Центр" потеряли в боях много личного состава и боевых машин (14991).</w:t>
      </w:r>
    </w:p>
    <w:p w14:paraId="5840AD0F"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443BEDAE"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в 1942 году противник прорвал оборону войск Юго-Восточного фронта и вклинился в расположение советских войск между железной дорогой Сальск - Красноармейск и озером Цаца на глубину до 25 км (14991).</w:t>
      </w:r>
    </w:p>
    <w:p w14:paraId="4A1A0A78"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64108A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Утром 23 августа 1942 г. войска не</w:t>
      </w:r>
      <w:r w:rsidRPr="00722885">
        <w:rPr>
          <w:color w:val="000000" w:themeColor="text1"/>
          <w:sz w:val="16"/>
          <w:szCs w:val="16"/>
        </w:rPr>
        <w:softHyphen/>
        <w:t>мецкой 6-й полевой армии при масси</w:t>
      </w:r>
      <w:r w:rsidRPr="00722885">
        <w:rPr>
          <w:color w:val="000000" w:themeColor="text1"/>
          <w:sz w:val="16"/>
          <w:szCs w:val="16"/>
        </w:rPr>
        <w:softHyphen/>
        <w:t>рованной поддержке Люфтваффе про</w:t>
      </w:r>
      <w:r w:rsidRPr="00722885">
        <w:rPr>
          <w:color w:val="000000" w:themeColor="text1"/>
          <w:sz w:val="16"/>
          <w:szCs w:val="16"/>
        </w:rPr>
        <w:softHyphen/>
        <w:t>рвали оборону Сталинградского фрон</w:t>
      </w:r>
      <w:r w:rsidRPr="00722885">
        <w:rPr>
          <w:color w:val="000000" w:themeColor="text1"/>
          <w:sz w:val="16"/>
          <w:szCs w:val="16"/>
        </w:rPr>
        <w:softHyphen/>
        <w:t>та на стыке 4-й танковой и 62-й армий и развернули наступление в направле</w:t>
      </w:r>
      <w:r w:rsidRPr="00722885">
        <w:rPr>
          <w:color w:val="000000" w:themeColor="text1"/>
          <w:sz w:val="16"/>
          <w:szCs w:val="16"/>
        </w:rPr>
        <w:softHyphen/>
        <w:t>нии на разъезд 564 километра, Рынок. Уже в 16.00 14-й танковый корпус гене</w:t>
      </w:r>
      <w:r w:rsidRPr="00722885">
        <w:rPr>
          <w:color w:val="000000" w:themeColor="text1"/>
          <w:sz w:val="16"/>
          <w:szCs w:val="16"/>
        </w:rPr>
        <w:softHyphen/>
        <w:t>рала фон Виттерсгейма вышел к реке Волге на участке Ерзовка-Рынок, разре</w:t>
      </w:r>
      <w:r w:rsidRPr="00722885">
        <w:rPr>
          <w:color w:val="000000" w:themeColor="text1"/>
          <w:sz w:val="16"/>
          <w:szCs w:val="16"/>
        </w:rPr>
        <w:softHyphen/>
        <w:t>зав восьмикилометровым коридором войска фронта на две части. Выйдя к Волге, немцы повернули на юг - на Ста</w:t>
      </w:r>
      <w:r w:rsidRPr="00722885">
        <w:rPr>
          <w:color w:val="000000" w:themeColor="text1"/>
          <w:sz w:val="16"/>
          <w:szCs w:val="16"/>
        </w:rPr>
        <w:softHyphen/>
        <w:t>линград. Из-за отсутствия воздушной развед</w:t>
      </w:r>
      <w:r w:rsidRPr="00722885">
        <w:rPr>
          <w:color w:val="000000" w:themeColor="text1"/>
          <w:sz w:val="16"/>
          <w:szCs w:val="16"/>
        </w:rPr>
        <w:softHyphen/>
        <w:t xml:space="preserve">ки район и время выхода противника к Волге своевременно установлены не были. Только в 17.30 генерал Т.Т.Хрюкин отдал командирам 228-й и 206-й штурмовых и </w:t>
      </w:r>
      <w:r w:rsidRPr="00722885">
        <w:rPr>
          <w:iCs/>
          <w:color w:val="000000" w:themeColor="text1"/>
          <w:sz w:val="16"/>
          <w:szCs w:val="16"/>
        </w:rPr>
        <w:t>270-и</w:t>
      </w:r>
      <w:r w:rsidRPr="00722885">
        <w:rPr>
          <w:color w:val="000000" w:themeColor="text1"/>
          <w:sz w:val="16"/>
          <w:szCs w:val="16"/>
        </w:rPr>
        <w:t xml:space="preserve"> бомбардировочной авиадивизий боевое распоряжение на уничтожение прорвавшейся немецкой группировки: </w:t>
      </w:r>
      <w:r w:rsidRPr="00722885">
        <w:rPr>
          <w:iCs/>
          <w:color w:val="000000" w:themeColor="text1"/>
          <w:sz w:val="16"/>
          <w:szCs w:val="16"/>
        </w:rPr>
        <w:t>"Противник большой ко</w:t>
      </w:r>
      <w:r w:rsidRPr="00722885">
        <w:rPr>
          <w:iCs/>
          <w:color w:val="000000" w:themeColor="text1"/>
          <w:sz w:val="16"/>
          <w:szCs w:val="16"/>
        </w:rPr>
        <w:softHyphen/>
        <w:t>лонной танков и мотопехоты в движе</w:t>
      </w:r>
      <w:r w:rsidRPr="00722885">
        <w:rPr>
          <w:iCs/>
          <w:color w:val="000000" w:themeColor="text1"/>
          <w:sz w:val="16"/>
          <w:szCs w:val="16"/>
        </w:rPr>
        <w:softHyphen/>
        <w:t>нии из Ерзовки на Сталинград. Немед</w:t>
      </w:r>
      <w:r w:rsidRPr="00722885">
        <w:rPr>
          <w:iCs/>
          <w:color w:val="000000" w:themeColor="text1"/>
          <w:sz w:val="16"/>
          <w:szCs w:val="16"/>
        </w:rPr>
        <w:softHyphen/>
        <w:t>ленно поднимите в воздух части с зада</w:t>
      </w:r>
      <w:r w:rsidRPr="00722885">
        <w:rPr>
          <w:iCs/>
          <w:color w:val="000000" w:themeColor="text1"/>
          <w:sz w:val="16"/>
          <w:szCs w:val="16"/>
        </w:rPr>
        <w:softHyphen/>
        <w:t>чей уничтожить колонну, не допустить ее продвижение к Сталинграду. Бить до темноты".</w:t>
      </w:r>
      <w:r w:rsidRPr="00722885">
        <w:rPr>
          <w:color w:val="000000" w:themeColor="text1"/>
          <w:sz w:val="16"/>
          <w:szCs w:val="16"/>
        </w:rPr>
        <w:t xml:space="preserve"> Штурмовики Ил-2 почти пол</w:t>
      </w:r>
      <w:r w:rsidRPr="00722885">
        <w:rPr>
          <w:color w:val="000000" w:themeColor="text1"/>
          <w:sz w:val="16"/>
          <w:szCs w:val="16"/>
        </w:rPr>
        <w:softHyphen/>
        <w:t>ностью переключились на действия по немецким танкам и мотопехоте в райо</w:t>
      </w:r>
      <w:r w:rsidRPr="00722885">
        <w:rPr>
          <w:color w:val="000000" w:themeColor="text1"/>
          <w:sz w:val="16"/>
          <w:szCs w:val="16"/>
        </w:rPr>
        <w:softHyphen/>
        <w:t>нах Ерзовка, Рынок, Орловка - танки и мотопехота вермахта остановились.</w:t>
      </w:r>
    </w:p>
    <w:p w14:paraId="69A84D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сожалению, нарушение проводной связи между некоторыми авиадивизия</w:t>
      </w:r>
      <w:r w:rsidRPr="00722885">
        <w:rPr>
          <w:color w:val="000000" w:themeColor="text1"/>
          <w:sz w:val="16"/>
          <w:szCs w:val="16"/>
        </w:rPr>
        <w:softHyphen/>
        <w:t>ми и штабом 8-й ВА, находившимся в Сталинграде, и отсутствие точных дан</w:t>
      </w:r>
      <w:r w:rsidRPr="00722885">
        <w:rPr>
          <w:color w:val="000000" w:themeColor="text1"/>
          <w:sz w:val="16"/>
          <w:szCs w:val="16"/>
        </w:rPr>
        <w:softHyphen/>
        <w:t>ных о районе и времени выхода про</w:t>
      </w:r>
      <w:r w:rsidRPr="00722885">
        <w:rPr>
          <w:color w:val="000000" w:themeColor="text1"/>
          <w:sz w:val="16"/>
          <w:szCs w:val="16"/>
        </w:rPr>
        <w:softHyphen/>
        <w:t xml:space="preserve">тивника к Волге привела к трагическим последствиям. 23 августа в период 19.20-19.54 семерка Ил-2 206-й </w:t>
      </w:r>
      <w:r w:rsidRPr="00722885">
        <w:rPr>
          <w:iCs/>
          <w:color w:val="000000" w:themeColor="text1"/>
          <w:sz w:val="16"/>
          <w:szCs w:val="16"/>
        </w:rPr>
        <w:t xml:space="preserve">шад </w:t>
      </w:r>
      <w:r w:rsidRPr="00722885">
        <w:rPr>
          <w:color w:val="000000" w:themeColor="text1"/>
          <w:sz w:val="16"/>
          <w:szCs w:val="16"/>
        </w:rPr>
        <w:t>весьма эффективно "отработала" по району Ерзовка, где находились части 23-го танкового корпуса генерал-майора А.М.Хасина 4-й танковой армии. Были потери и довольно ощутимые... Полу</w:t>
      </w:r>
      <w:r w:rsidRPr="00722885">
        <w:rPr>
          <w:color w:val="000000" w:themeColor="text1"/>
          <w:sz w:val="16"/>
          <w:szCs w:val="16"/>
        </w:rPr>
        <w:softHyphen/>
        <w:t xml:space="preserve">ченная же вскоре после удара "Илов" телеграмма командира 272-й </w:t>
      </w:r>
      <w:r w:rsidRPr="00722885">
        <w:rPr>
          <w:iCs/>
          <w:color w:val="000000" w:themeColor="text1"/>
          <w:sz w:val="16"/>
          <w:szCs w:val="16"/>
        </w:rPr>
        <w:t>нбад</w:t>
      </w:r>
      <w:r w:rsidRPr="00722885">
        <w:rPr>
          <w:color w:val="000000" w:themeColor="text1"/>
          <w:sz w:val="16"/>
          <w:szCs w:val="16"/>
        </w:rPr>
        <w:t xml:space="preserve"> п-ка П.О.Кузнецова об ударе штурмовиков по населенному пункту, в котором находи</w:t>
      </w:r>
      <w:r w:rsidRPr="00722885">
        <w:rPr>
          <w:color w:val="000000" w:themeColor="text1"/>
          <w:sz w:val="16"/>
          <w:szCs w:val="16"/>
        </w:rPr>
        <w:softHyphen/>
        <w:t>лись свои же войска, не была своевре</w:t>
      </w:r>
      <w:r w:rsidRPr="00722885">
        <w:rPr>
          <w:color w:val="000000" w:themeColor="text1"/>
          <w:sz w:val="16"/>
          <w:szCs w:val="16"/>
        </w:rPr>
        <w:softHyphen/>
        <w:t>менно доложена командующему 8-й ВА генералу Т.Т.Хрюкину. В результате ко</w:t>
      </w:r>
      <w:r w:rsidRPr="00722885">
        <w:rPr>
          <w:color w:val="000000" w:themeColor="text1"/>
          <w:sz w:val="16"/>
          <w:szCs w:val="16"/>
        </w:rPr>
        <w:softHyphen/>
        <w:t xml:space="preserve">мандиру 206-й </w:t>
      </w:r>
      <w:r w:rsidRPr="00722885">
        <w:rPr>
          <w:iCs/>
          <w:color w:val="000000" w:themeColor="text1"/>
          <w:sz w:val="16"/>
          <w:szCs w:val="16"/>
        </w:rPr>
        <w:t>шад</w:t>
      </w:r>
      <w:r w:rsidRPr="00722885">
        <w:rPr>
          <w:color w:val="000000" w:themeColor="text1"/>
          <w:sz w:val="16"/>
          <w:szCs w:val="16"/>
        </w:rPr>
        <w:t xml:space="preserve"> п-ку В.А.Срывкину была вторично поставлена задача, нане</w:t>
      </w:r>
      <w:r w:rsidRPr="00722885">
        <w:rPr>
          <w:color w:val="000000" w:themeColor="text1"/>
          <w:sz w:val="16"/>
          <w:szCs w:val="16"/>
        </w:rPr>
        <w:softHyphen/>
        <w:t>сти бомбоштурмовой удар по району Ер</w:t>
      </w:r>
      <w:r w:rsidRPr="00722885">
        <w:rPr>
          <w:color w:val="000000" w:themeColor="text1"/>
          <w:sz w:val="16"/>
          <w:szCs w:val="16"/>
        </w:rPr>
        <w:softHyphen/>
        <w:t>зовка. По счастью, удар был вовремя отменен...(6467).</w:t>
      </w:r>
    </w:p>
    <w:p w14:paraId="78B6FDD0" w14:textId="77777777" w:rsidR="00AE7191" w:rsidRPr="00722885" w:rsidRDefault="00AE7191" w:rsidP="00722885">
      <w:pPr>
        <w:pStyle w:val="Iauiue"/>
        <w:jc w:val="both"/>
        <w:rPr>
          <w:color w:val="000000" w:themeColor="text1"/>
          <w:sz w:val="16"/>
          <w:szCs w:val="16"/>
        </w:rPr>
      </w:pPr>
    </w:p>
    <w:p w14:paraId="1F341D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1942 только в 17.30 генерал Хрюкин отдал командирам 228 и 206-й штурмовых и 270-й бомбардировочной авиадивизий боевое распоряжение на уничтожение прорвавшейся немецкой группировки: "Противник большой колонной танков и мотопехоты в движении из Ер- зовки на Сталинград. Немедленно поднимите в воздух части с задачей уничтожить колонну, не допустить ее продвижение к Сталинграду. Бить до темноты".</w:t>
      </w:r>
    </w:p>
    <w:p w14:paraId="2D4C86A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Утром 23 августа немецкие войска при массированной поддержке Люфтваффе прорвали оборону Сталинградского фронта на стыке 4 ТА и 62А и развернули наступление в направлении на разъезд 564 километра, Рынок. Уже в 16.00 немецкий 14-й танковый корпус на участке Ерзовка-Рынок вышел к реке Волге, разрезав восьмикилометровым коридором советские войска на две части. Выйдя к Волге, немцы повернули на юг - на Сталинград. Из-за отсутствия воздушной разведки район и время выхода противника к Волге своевременно установлен не был.</w:t>
      </w:r>
    </w:p>
    <w:p w14:paraId="6BD738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Штурмовики Ил-2 полностью переключились на действия по немецким танкам и мотопехоте в районах Ерзовка, Рынок, Орловка, проявляя при этом героизм и самопожертвование.</w:t>
      </w:r>
    </w:p>
    <w:p w14:paraId="3A9A5D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в ходе штурмовики немецких танков и мотопехоты в районе Рынок заместитель командира эскадрильи 766-го шап мл. лейтенант Шевченко направил свой подбитый Ил-2 на скопление вражеской техники.</w:t>
      </w:r>
    </w:p>
    <w:p w14:paraId="4F0A212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нарушение проводной связи между некоторыми авиадивизиями и штабом 8-й ВА привело к трагическим последствиям. В период 19.20-19.54 7 Ил-2 от 206-й шад отработали по району Ерзовка, где находились части 23-го танкового корпуса генерала Хасина. Были потери и довольно ощутимые. Полученная же вскоре после удара Ил-2 телеграмма командира 272-й нбад полковника Кузнецова об ударе штурмовиков по населенному пункту, в котором находились свои войска, не была своевременно доложена генералу Хрюкину. В результате командиру 206-й шад полковнику Срывкину была вторично поставлена задача, нанести удар по району Ерзовка. По счастью удар был вовремя отменен (12020).</w:t>
      </w:r>
    </w:p>
    <w:p w14:paraId="52A6AFA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FAE90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23 августа 1942 во время бомбар</w:t>
      </w:r>
      <w:r w:rsidRPr="00722885">
        <w:rPr>
          <w:color w:val="000000" w:themeColor="text1"/>
          <w:sz w:val="16"/>
          <w:szCs w:val="16"/>
        </w:rPr>
        <w:softHyphen/>
        <w:t>дировки Сталинграда, силами почти все</w:t>
      </w:r>
      <w:r w:rsidRPr="00722885">
        <w:rPr>
          <w:color w:val="000000" w:themeColor="text1"/>
          <w:sz w:val="16"/>
          <w:szCs w:val="16"/>
        </w:rPr>
        <w:softHyphen/>
        <w:t>го 4-го воздушного флота, Люфтваффе только над городом совершили свыше 2000 (!) самолето-пролетов, 8-я ВА ВВС КА смогла в этот день противопоставить лишь 511 самолето-вылетов... В сред</w:t>
      </w:r>
      <w:r w:rsidRPr="00722885">
        <w:rPr>
          <w:color w:val="000000" w:themeColor="text1"/>
          <w:sz w:val="16"/>
          <w:szCs w:val="16"/>
        </w:rPr>
        <w:softHyphen/>
        <w:t>нем авиация 8-й ВА совершала в нача</w:t>
      </w:r>
      <w:r w:rsidRPr="00722885">
        <w:rPr>
          <w:color w:val="000000" w:themeColor="text1"/>
          <w:sz w:val="16"/>
          <w:szCs w:val="16"/>
        </w:rPr>
        <w:softHyphen/>
        <w:t>ле августа максимум от 300 до 600 само</w:t>
      </w:r>
      <w:r w:rsidRPr="00722885">
        <w:rPr>
          <w:color w:val="000000" w:themeColor="text1"/>
          <w:sz w:val="16"/>
          <w:szCs w:val="16"/>
        </w:rPr>
        <w:softHyphen/>
        <w:t>лето-вылетов ежесуточно, а начиная с 9-10 августа - от 200 до 500 (в конце ме</w:t>
      </w:r>
      <w:r w:rsidRPr="00722885">
        <w:rPr>
          <w:color w:val="000000" w:themeColor="text1"/>
          <w:sz w:val="16"/>
          <w:szCs w:val="16"/>
        </w:rPr>
        <w:softHyphen/>
        <w:t>сяца) боевых вылетов. При этом истре</w:t>
      </w:r>
      <w:r w:rsidRPr="00722885">
        <w:rPr>
          <w:color w:val="000000" w:themeColor="text1"/>
          <w:sz w:val="16"/>
          <w:szCs w:val="16"/>
        </w:rPr>
        <w:softHyphen/>
        <w:t>бителями армии выполнялось от 140 до 270 самолето-вылетов в сутки, что объяс</w:t>
      </w:r>
      <w:r w:rsidRPr="00722885">
        <w:rPr>
          <w:color w:val="000000" w:themeColor="text1"/>
          <w:sz w:val="16"/>
          <w:szCs w:val="16"/>
        </w:rPr>
        <w:softHyphen/>
        <w:t>няется весьма небольшим их количе</w:t>
      </w:r>
      <w:r w:rsidRPr="00722885">
        <w:rPr>
          <w:color w:val="000000" w:themeColor="text1"/>
          <w:sz w:val="16"/>
          <w:szCs w:val="16"/>
        </w:rPr>
        <w:softHyphen/>
        <w:t>ством в авиаполках.</w:t>
      </w:r>
    </w:p>
    <w:p w14:paraId="46E028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Нехватка истребителей прикрытия не давала возможности с полным напря</w:t>
      </w:r>
      <w:r w:rsidRPr="00722885">
        <w:rPr>
          <w:color w:val="000000" w:themeColor="text1"/>
          <w:sz w:val="16"/>
          <w:szCs w:val="16"/>
        </w:rPr>
        <w:softHyphen/>
        <w:t>жением действовать даже тому неболь</w:t>
      </w:r>
      <w:r w:rsidRPr="00722885">
        <w:rPr>
          <w:color w:val="000000" w:themeColor="text1"/>
          <w:sz w:val="16"/>
          <w:szCs w:val="16"/>
        </w:rPr>
        <w:softHyphen/>
        <w:t>шому количеству бомбардировщиков и штурмовиков, которое имелось в соста</w:t>
      </w:r>
      <w:r w:rsidRPr="00722885">
        <w:rPr>
          <w:color w:val="000000" w:themeColor="text1"/>
          <w:sz w:val="16"/>
          <w:szCs w:val="16"/>
        </w:rPr>
        <w:softHyphen/>
        <w:t>ве воздушной армии, - Ил-2 совершали в этот период в среднем от 41 (в нача</w:t>
      </w:r>
      <w:r w:rsidRPr="00722885">
        <w:rPr>
          <w:color w:val="000000" w:themeColor="text1"/>
          <w:sz w:val="16"/>
          <w:szCs w:val="16"/>
        </w:rPr>
        <w:softHyphen/>
        <w:t>ле августа) до 68 (с середины августа) боевых самолето-вылетов. Причем в период с середины августа и до сере</w:t>
      </w:r>
      <w:r w:rsidRPr="00722885">
        <w:rPr>
          <w:color w:val="000000" w:themeColor="text1"/>
          <w:sz w:val="16"/>
          <w:szCs w:val="16"/>
        </w:rPr>
        <w:softHyphen/>
        <w:t>дины сентября "горбатые" вылетали на боевые задания в среднем в 2,2 раза чаще, чем дневные бомбардировщики.</w:t>
      </w:r>
    </w:p>
    <w:p w14:paraId="207D087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Бои в воздухе достигли особенного ожесточения. Буквально каждый боевой вылет штурмовиков Ил-2 сопровождал</w:t>
      </w:r>
      <w:r w:rsidRPr="00722885">
        <w:rPr>
          <w:color w:val="000000" w:themeColor="text1"/>
          <w:sz w:val="16"/>
          <w:szCs w:val="16"/>
        </w:rPr>
        <w:softHyphen/>
        <w:t>ся кровопролитными боями с истреби</w:t>
      </w:r>
      <w:r w:rsidRPr="00722885">
        <w:rPr>
          <w:color w:val="000000" w:themeColor="text1"/>
          <w:sz w:val="16"/>
          <w:szCs w:val="16"/>
        </w:rPr>
        <w:softHyphen/>
        <w:t>телями Люфтваффе и тяжелыми поте</w:t>
      </w:r>
      <w:r w:rsidRPr="00722885">
        <w:rPr>
          <w:color w:val="000000" w:themeColor="text1"/>
          <w:sz w:val="16"/>
          <w:szCs w:val="16"/>
        </w:rPr>
        <w:softHyphen/>
        <w:t>рями в летном составе и технике (6467).</w:t>
      </w:r>
    </w:p>
    <w:p w14:paraId="77BA8FA6" w14:textId="77777777" w:rsidR="00AE7191" w:rsidRPr="00722885" w:rsidRDefault="00AE7191" w:rsidP="00722885">
      <w:pPr>
        <w:pStyle w:val="Iauiue"/>
        <w:jc w:val="both"/>
        <w:rPr>
          <w:color w:val="000000" w:themeColor="text1"/>
          <w:sz w:val="16"/>
          <w:szCs w:val="16"/>
        </w:rPr>
      </w:pPr>
    </w:p>
    <w:p w14:paraId="4B25CC0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23 августа 1942 состоялось большое воздушное сражение над Сталинградом. Немцы выполнили 2 тыс. вылетов и у нас было 107 истребителей 8ВА и 102 иад ПВО, которые в групповых боях сбили 90 (518,91).</w:t>
      </w:r>
    </w:p>
    <w:p w14:paraId="041080E9" w14:textId="77777777" w:rsidR="00AE7191" w:rsidRPr="00722885" w:rsidRDefault="00AE7191" w:rsidP="00722885">
      <w:pPr>
        <w:pStyle w:val="Iauiue"/>
        <w:jc w:val="both"/>
        <w:rPr>
          <w:color w:val="000000" w:themeColor="text1"/>
          <w:sz w:val="16"/>
          <w:szCs w:val="16"/>
        </w:rPr>
      </w:pPr>
    </w:p>
    <w:p w14:paraId="082E1A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23 августа 1942 немцы прорвались к Волге севернее Сталинграда и 400 самолетами разбомбил город сделав до 2000 вылетов. Сбили 120 (340,95).</w:t>
      </w:r>
    </w:p>
    <w:p w14:paraId="6BC502C0" w14:textId="77777777" w:rsidR="00AE7191" w:rsidRPr="00722885" w:rsidRDefault="00AE7191" w:rsidP="00722885">
      <w:pPr>
        <w:pStyle w:val="Iauiue"/>
        <w:jc w:val="both"/>
        <w:rPr>
          <w:color w:val="000000" w:themeColor="text1"/>
          <w:sz w:val="16"/>
          <w:szCs w:val="16"/>
        </w:rPr>
      </w:pPr>
    </w:p>
    <w:p w14:paraId="000779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August 23 1942 Massive German air raid on Stalingrad (1050).</w:t>
      </w:r>
    </w:p>
    <w:p w14:paraId="39BEF115" w14:textId="77777777" w:rsidR="00AE7191" w:rsidRPr="00722885" w:rsidRDefault="00AE7191" w:rsidP="00722885">
      <w:pPr>
        <w:pStyle w:val="Iauiue"/>
        <w:jc w:val="both"/>
        <w:rPr>
          <w:color w:val="000000" w:themeColor="text1"/>
          <w:sz w:val="16"/>
          <w:szCs w:val="16"/>
        </w:rPr>
      </w:pPr>
    </w:p>
    <w:p w14:paraId="6D3383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23 августа 1942 был массированный авианалет на Сталинград (1050).</w:t>
      </w:r>
    </w:p>
    <w:p w14:paraId="6C44E68C" w14:textId="77777777" w:rsidR="00AE7191" w:rsidRPr="00722885" w:rsidRDefault="00AE7191" w:rsidP="00722885">
      <w:pPr>
        <w:pStyle w:val="Iauiue"/>
        <w:jc w:val="both"/>
        <w:rPr>
          <w:color w:val="000000" w:themeColor="text1"/>
          <w:sz w:val="16"/>
          <w:szCs w:val="16"/>
        </w:rPr>
      </w:pPr>
    </w:p>
    <w:p w14:paraId="2A4D8AD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23 августа 1942. Солнце, взошедшее из-за казахской степи, все ярче освещало прифронтовой город и его окрестности. В самом Сталинграде утро началось как обычно. Во многих районах города поднимались клубы дыма от незатушенных пожаров, инженерные батальоны МПВО разгребали многочисленные завалы, по пыльным улицам набитые битком санитарные полуторки, объезжая кучи кирпичей и противотанковые препятствия, везли пострадавших в переполненные больницы и госпитали. Рабочие дневной смены спешили на работу, поскольку все предприятия, несмотря на бомбежки, продолжали работать. Неокрашенные танки Т-34 регулярно выезжали из цехов тракторного завода и, лязгая гусеницами, сразу отправлялись на фронт. В порту шла спешная погрузка эвакуируемого оборудования, в утренней дымке корабли и паромы неуклюже шныряли между левым и правым берегом. Толпы беженцев, ночевавшие прямо на склонах берега, просыпались в ожидании погрузки на пароходы. На западе, где горизонт еще темнел, слышался отдаленный грохот артиллерийской канонады. Сталинградцы уже месяц жили в постоянном напряжении, но никто не подозревал, что именно в эти часы над городом нависает страшная угроза. Еще в 06.30 утра, по московскому времени, немецкие танки, ночью переправившиеся через Дон, на полной скорости ринулись через степь прямо к Волге. Ревя моторами и поднимая тучи пыли, бронированные машины мчались вперед, не обращая внимания на разбегающиеся тыловые подразделения Красной Армии. До Сталинграда оставалось около 40 км. «Юнкерсы» и «Хейнкели» </w:t>
      </w:r>
      <w:r w:rsidRPr="00722885">
        <w:rPr>
          <w:rFonts w:ascii="Times New Roman" w:hAnsi="Times New Roman"/>
          <w:color w:val="000000" w:themeColor="text1"/>
          <w:sz w:val="16"/>
          <w:szCs w:val="16"/>
        </w:rPr>
        <w:lastRenderedPageBreak/>
        <w:t>нанесли очередные удары по советским укреплениям на подступах к городу. В то же время на аэродромы бомбардировочной авиации прибывало пополнение. В Морозовской приземлились Не-111 из штабного звена KG55, а также авиагруппа I./KG100 «Викинг». Это было связано с тем, что командование 4-го воздушного флота в ближайшие часы готовило массированные налеты на Сталинград. В полдень, когда августовская жара была в самом разгаре, Люфтваффе совершили новый массированный налет на советские позиции. Танкисты генерала Хубе, катившие по безлюдной степи, не встречая сопротивления, высовывались из люков и видели тучи самолетов, летящих на восток. Черные тени покрыли степь, а воздух наполнился воем сирен. Вскоре в небе затрещали пулеметы и показались дымные следы падающих машин. Две группы 51-й бомбардировочной эскадры выполняли уже второй вылет на поддержку наступления 4-й танковой армии, продвигавшейся с юго-запада вдоль железной дороги Сальск – Сталинград. В 13.00 по берлинскому времени Ju-88 командира III./KG51 майора Эрнста фон Бибры в ходе бомбометания с пикирования был подбит зенитной артиллерией и совершил вынужденную посадку в степи вблизи советских позиций нар. Чир. Увидев это, пилот одного из «Юнкерсов» из 7-й эскадрильи тут же произвел посадку, и все члены экипажа сбитого самолета быстро перебрались в него. После этого бомбардировщик, битком набитый людьми, взлетел под огнем русских пехотинцев и взял курс на аэродром. Приземлившись в Тацинской, фон Бибра тут же взял новый Ju-88 с тем, чтобы немедленно участвовать в следующих вылетах. Вокруг тем временем шла кропотливая работа. Механики заправляли самолеты горючим, устраняли мелкие неполадки, оружейники подвешивали к самолетам фугасные и тяжелые зажигательные бомбы. Следующей мишенью был непосредственно город Сталина. Чтобы окончательно разрушить основную инженерную и транспортную инфраструктуру города, не допустить организованного сопротивления в городских кварталах и деморализовать отходящие советские войска, Вольфрам фон Рихтхофен решил задействовать в налете все имеющиеся в его распоряжении силы бомбардировочной и штурмовой авиации из 4-го и 8-го авиакорпусов, бросив их на Сталинград непрерывно сменяющими друг друга волнами. Каждая эскадра и группа получила конкретный сектор, на который нужно было сбросить фугасные, зажигательные и осколочные бомбы. Крупные объекты (заводы, фабрики, вокзалы и большие здания) были поделены между эскадрильями, причем каждый штурман получил подробный аэрофотоснимок города. Основными целями были водозаборные станции на Волге, заводы: тракторный им. Дзержинского, «Красный Октябрь», «Баррикады», фабрика «Лазурь», а также нефтехранилища на берегу Волги. Маршруты полета и эшелоны атаки также были определены индивидуально для каждой авиагруппы. В 16.00 по московскому времени вся степь в районе Сталинграда наполнилась зловещим гулом авиационных моторов. В налете участвовали Не-111 из KG27 «Бельке», III./KG4 «Генерал Вефер», I./KG100 «Викинг», I. и III./KG55 «Грайф»; Ju-88 из I. и III./KG51 «Эдельвейс» и KG76; Ju-87 из II./StGl, StG2 «Иммельман» и I./StG77. Их сопровождали «Мессершмитты» Bf-109 из I./JG53 «Пик Ac», JG3 «Удет» и III./JG52.</w:t>
      </w:r>
    </w:p>
    <w:p w14:paraId="7BD4F97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Зенитчица 748-го ЗенАП М. И. Матвеева вспоминала:</w:t>
      </w:r>
    </w:p>
    <w:p w14:paraId="3472C7A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«Слышу гул, отличный от того, что доносится с севера. Идут! </w:t>
      </w:r>
    </w:p>
    <w:p w14:paraId="326357D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Воздух! Курс 90, массовый шум самолетов! Ольга толкает меня в бок: </w:t>
      </w:r>
    </w:p>
    <w:p w14:paraId="282CE59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Ты что! Это же курсом 180! </w:t>
      </w:r>
    </w:p>
    <w:p w14:paraId="5D6F89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Их уже видно. И курсом 90, и курсом 180, и 45, и 125, и… со всех сторон. «Хейнкели». Эти выше всех. «Дорнъе»  [99]  . Тоже высоко. За ними –  ниже еще, и еще, и еще. «Юнкерсы-88», «Юнкерсы-87» –  весь альбом немецких самолетов, по которому мы когда-то изучали их». </w:t>
      </w:r>
    </w:p>
    <w:p w14:paraId="1B0351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16.20 в Сталинграде в очередной раз была объявлена воздушная тревога, надрывно загрохотали зенитки, и вскоре в небе появились первые бомбардировщики. Рабочие не имели права покидать цеха без разрешения директора и, услышав гудки воздушной тревоги, продолжали трудиться. Многие пытались сохранять спокойствие, кто-то все же паниковал, другие тихонько молились о спасении. Вскоре на фоне глухих хлопков зениток послышался ужасающий вой авиационных сирен и моторов, а потом леденящий кровь свист падающих бомб. На металлургическом заводе «Красный Октябрь» продолжалась работа, когда девять Ju-88, зайдя со стороны Волги, с пикирования сбросили бомбы на его корпуса. Мощные взрывы вздыбили крыши цехов, взметнув в небо столбы огня и дыма. Затем «Юнкерсы» с воем пронеслись над крышами домов, выходя из пике. На заводе начался кромешный ад. В литейном корпусе № 3 прямо на рабочих с грохотом повалились многотонные швеллера и балки, фрагменты крыши. Взрывной волной из доменных печей выбросило пламя, на пол хлынули потоки жидкого металла, из пробитых трубопроводов потек горящий мазут. Те, кто еще не был придавлен или разорван в клочья, тотчас вспыхнули и с неистовыми криками носились в дыму. Рабочие, которым посчастливилось не оказаться в очагах поражения, уже не дожидаясь «официального приказа», бросились бежать на улицу. Одни запрыгивали в вырытые поблизости щели, другие мчались прочь подальше от цехов.</w:t>
      </w:r>
    </w:p>
    <w:p w14:paraId="696700C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Сталинградцы, которых бомбежка застала дома, не сразу оценили масштаб происходящего. Те, кто боялся за свое имущество, оставались в квартире, нервно поглядывая в окна, другие спускались в подвал или в щели. Тысячи горожан налет застал в транспорте или просто на улице. После первых взрывов все они, взглянув на небо, увидели, как из-за реки, с юга и с запада, со всех сторон приближались следующие группы бомбардировщиков. Столбы огня и дыма поднимались уже и в северной части города над тракторным заводом и где-то на юге. Добравшись до укрытий, зачастую представлявших собой простые окопы, сталинградцы со страхом смотрели наверх. Было видно, как из идущих ровным строем самолетов вываливаются и тотчас рассыпаются веерами серебристо-белые предметы. Вскоре они превратились в огромные «зонты», так что все небо вскоре стало молочно-белым. Это и были особые зажигательные бомбы Люфтваффе, которые советская служба МПВО называла «зажигательными листочками». Десятки тысяч полосок обмазанной фосфором фольги, вспыхивая при соприкосновении с воздухом, медленно опускались на центр города и прилегающие кварталы. Словно завороженные сталинградцы смотрели вверх, в оцепенении наблюдая, как огненный листопад приближается к крышам домов. При соприкосновении с поверхностью «листочки» начинали пылать яростным сине-белым пламенем огромной температуры. И за считанные минуты по всему городу возникли уже сотни пожаров.</w:t>
      </w:r>
    </w:p>
    <w:p w14:paraId="2F9535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через некоторое время появляются новые группы «Хейнкелей» и «Юнкерсов». От них отделяется множество черных точек. Это уже фугасные и осколочные бомбы. Протяжный свист, потом глухие звуки взрывов, комья земли, осколки, битое стекло, дым…. Те, кто не погиб, вздыхают с облегчением и молятся, чтобы следующая серия адских машин не упала на них. Чуянов потом вспоминал:  «Горят дома, рушатся здания Дворцов культуры, школ, институтов, театров и многих учреждений. Город превращается в кромешный ад… Пожарные и бойцы противовоздушной обороны делают все возможное: растаскивают горящие крыши, извлекают людей из-под обломков… А с почерневшего от дыма неба продолжают сыпаться бомбы… Центральная часть города объята пламенем невероятно больших масштабов. От перегрева воздуха и сотрясений поднялся небывалой силы ветер, он удлиняет огненные крылья пожаров, и теперь кажется, воспламеняется небо и все пространство – от горизонта до горизонта». Вследствие многочисленных взрывов фугасных бомб работа водозаборных станций в 16.42 была полностью парализована, и тушение массовых пожаров оказалось практически невозможным. Во всех районах вышла из строя телефонная связь, прекратилась подача электроэнергии. Умолкли даже громкоговорители, монотонно талдычившие «Граждане! Воздушная тревога!» А бомбардировщики тем временем волна за волной снова заходили на город. Несколько бомб упали на территорию городского зоопарка. Напуганная слониха, в мирное время являвшаяся его основным экспонатом, преодолела ограду и принялась носиться по улицам, дополняя жуткую картину апокалипсиса…</w:t>
      </w:r>
    </w:p>
    <w:p w14:paraId="0A2D53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Возвращаясь на аэродромы в Морозовскую и Тацинскую, немецкие самолеты заправлялись горючим, загружались новыми бомбами и опять поднимались в небо. Когда в штабе 8-й воздушной армии Т. Т. Хрюкина из разрозненных донесений наконец осознали масштабы налета, в воздух были подняты практически все имевшиеся в распоряжении исправные истребители. Среди них был и самолет старшины 4-го ИАП В.Д. Лавриненкова. Прибыв на высоте 4000 м в район Сталинграда, он увидел жуткую картину. Над городом из разных мест поднимались огромнейшие столбы дыма, по земле извивались их широкие тени, уходящие за Волгу. Среди кварталов полыхали страшные пожарища, гигантские языки пламени рвались в небо, при этом как бы танцуя и причудливо извиваясь. Местами сквозь дым зловеще просвечивало солнце. Лавриненков знал, что где-то здесь действуют летчики других полков, однако повсюду, куда он ни смотрел, небо кишело немецкими самолетами. На разных высотах, вдалеке и вблизи виднелись то исчезающие в дыму, то выныривающие из него «Мессершмитты», «Юнкерсы» и «Хейнкели». Было отчетливо видно, как от них отделяются бомбы и сыплются на город. Вскоре начался бой…</w:t>
      </w:r>
    </w:p>
    <w:p w14:paraId="07D630D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Истребители 102-й ИАД ПВО также выполняли боевую задачу и постоянно находились в воздухе. За сутки некоторые пилоты выполнили по семь боевых вылетов. Взлетали вначале полками, затем эскадрильями, звеньями и отдельными самолетами. В суматохе приземлялись на первом попавшемся аэродроме, чтобы пополнить запасы боеприпасов и топлива, и вновь поднимались в воздух. Однако эффект от этих полетов был небольшим. Советские истребители подходили к городу разрозненными группами и сразу же перехватывались «Мессершмиттами». Только пилоты одной I./JG53 одержали в этот день в небе над волжским городом 17 побед.</w:t>
      </w:r>
    </w:p>
    <w:p w14:paraId="3F1D96E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временем налет продолжался. К городу подходили новые волны бомбардировщиков. Один из пилотов 5-й эскадрильи KG27 «Бельке» вспоминал:  «Первая атака в составе соединения несколькими звеньями на город Сталинград. Вместе с нами атаковали „Штуки“, штурмовики и истребители. Грандиозная зенитная оборона русских. Мы летим на высоте 7500м. Бомбы сбросили в точке сброса над окраиной города, так как иначе могли поразить собственные самолеты, летевшие ниже нас». Самое страшное случилось, когда Не-111 из эскадры KG55 сбросили бомбы на нефтехранилища, расположенные на берегу Волги в районе завода «Красный Октябрь». Произошло несколько мощнейших взрывов, и сталинградцы увидели, как огромный столб пламени взметнулся в небо на сотни метров. Затем от нагрева уцелевшие баки стали гулко взрываться, выбрасывая вверх новые столбы огня и дыма. Через какое-то время горящие нефтепродукты огненным потоком устремились по склонам к воде. Начались массовые пожары, пламя стремительно выжигало все на своем пути. Пылающая нефть потекла в Волгу, поджигая пароходы, баржи, пристани.</w:t>
      </w:r>
    </w:p>
    <w:p w14:paraId="6D32149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Зенитчица Матвеева рассказывала:  «На Волге, она еще проглядывается сквозь завесу взрывов, закрыв полнеба, поднимается гигантский фонтан огня. Пламя рвется ввысь, там закручивается клубами, выпускает черный дым. Пламя разлетается в стороны. Пламя падает в реку. Пламя лижет воду, жрет ее, и широкая лента огня течет по Волге. Я обомлела –  горит Волга! Все горит –  земля, небо, вода. В этом пожарище сновали девочки-медсестры, они на носилках выносили раненых из боя на переправу и сами падали под обстрелом. Криков уже не было слышно от залпов орудий. Раненые прыгали с пятых этажей, потому что дома рассыпались от взрывов… Чтобы не задохнуться от дыма, зенитчики брали у санинструкторов вату, смачивали в нашатырном спирте и подносили к носу. Орудия накалялись докрасна. Бойцы макали в Волгу мешки и так остужали орудийные стволы». </w:t>
      </w:r>
    </w:p>
    <w:p w14:paraId="354D09C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Вскоре едкий черный дым заволок все небо, в воздухе летали черные хлопья сажи, стала ощущаться нехватка кислорода. Многие жители, не погибшие от бомб и попрятавшиеся по подвалам и оврагам, стали умирать от удушья. Помимо дыма, известковый туман, вставший над городом, белой простыней покрыл высокие здания, </w:t>
      </w:r>
      <w:r w:rsidRPr="00722885">
        <w:rPr>
          <w:rFonts w:ascii="Times New Roman" w:hAnsi="Times New Roman"/>
          <w:color w:val="000000" w:themeColor="text1"/>
          <w:sz w:val="16"/>
          <w:szCs w:val="16"/>
        </w:rPr>
        <w:lastRenderedPageBreak/>
        <w:t>Волгу, растянулся на десятки километров, пополз на юг к Бекетовке и Красноармейску. Постепенно белизна тумана исчезла, смешиваясь с желто-серой дымной мглой пожаров. Сотни бомбовых разрывов слились в однообразный гул, чугунная тяжесть которого заставляла дрожать землю в Заволжье, там стекла деревянных домиков позванивали и листва на дубах шевелилась. Огонь, горевший над одним зданием, соединялся с соседним огнем, и в результате горели целые улицы. Пламя перебрасывалось с дерева на дерево, врывалось в квартиры, на лестничные площадки, мгновенно выжигая все на своем пути, перепрыгивало с крыши на крышу. Пылал даже асфальт! В центре города, пытаясь спастись от пламени, люди прыгали с верхних этажей, вылезали на балконы и карнизы, висли на водосточных трубах, но смерть настигала их и там. Пожарные машины поначалу еще пытались бороться с огнем, но из-за нехватки воды и многочисленных завалов на улицах их действия оказались совершенно бесполезными.</w:t>
      </w:r>
    </w:p>
    <w:p w14:paraId="677CC2D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Вскоре образовались гигантские огненные смерчи, втягивавшие в себя остатки кислорода и поглощавшие улицу за улицей. Наиболее сильные смерчи возникли в районе завода «Красный Октябрь» и в центре города. Бежать от них было бесполезно. Задыхаясь от удушья, люди один за другим падали, некоторое время корчились на земле и замирали. Потом их тела вспыхивали как факелы и мгновенно обугливались.</w:t>
      </w:r>
    </w:p>
    <w:p w14:paraId="384B06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Огромное пожарище было видно за десятки километров на левом берегу Волги, и жители хутора Бурковского, Верхней Ахтубы, Тумака и Цыганской Зари словно завороженные наблюдали за этим концом света. Спасаясь от пламени, тысячи жителей бросились на берег Волги и в городские овраги, надеясь спастись там. Кругом рвались бомбы, некоторые попадали в самую гущу людей, разрывая их на куски. Остальные, забрызганные кровью и ослепленные вспышками взрывов, метались от угла одного здания к другому и, спотыкаясь о трупы, сталкиваясь друг с другом, мчались дальше.</w:t>
      </w:r>
    </w:p>
    <w:p w14:paraId="31565A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Киевлянка Ольга Козырева, жившая в это время в Сталинграде, вспоминала:  «Мне тогда было 10 лет. Я схватила семимесячного братика на руки и побежала. Мама за нами. Началось светопреставление, это было даже хуже, чем землетрясение. Все ходило ходуном, трещало и рушилось. Дети кричали не своими голосами… Разваливались и сгорали дома, школы, театры, детские сады, вокзалы и пристани, столбы и деревья. В черном дыму исчезли и солнце, и небо. Толпы людей бежали к Волге. Мы с мамой спрятались в подвале нашего дома. Братик все время плакал. Старушки читали „Отче наш“ и просили: „Повторяйте за нами“». </w:t>
      </w:r>
    </w:p>
    <w:p w14:paraId="58CCE3F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Настоящий кошмар творился в Сталинградском порту и на его рейде. Здесь немецкие бомбардировщики устроили настоящий «Перл-Харбор». Горящие нефтепродукты стремительно охватывали все большую поверхность воды, сотни людей, пытавшихся переплыть реку, захлебывались мазутом, горели. Некоторые отчаянно выгребали на чистую воду, но огонь быстро настигал их. Нечеловеческие предсмертные крики нескончаемым воем разносились над рекой. Пытавшиеся маневрировать среди пламени и дыма пароходы тоже гибли один за другим. Оставшиеся на берегу с ужасом наблюдали, как очередной корабль охватывало пламя, и он вспыхивал факелом, горящие матросы прыгали в реку и их фигуры быстро исчезали в огне и дыму. Горящий остов уносило вниз по течению. А сверху в дыму иногда проносились тени немецких самолетов, охотившихся за уцелевшими судами. Берег то и дело сотрясали мощные взрывы, с прилегающих улиц долетали обломки зданий. Всего в этот день на Волге около Сталинграда погибли 25 различных пароходов и барж. В порту были уничтожены 19 плавучих кранов, 14 складов, 25 стационарных транспортеров, а также сотни единиц вспомогательного оборудования.</w:t>
      </w:r>
    </w:p>
    <w:p w14:paraId="4751EF6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19.00 по местному времени бомбежка завершилась, но огромные пожары продолжали полыхать. Когда стемнело, огненное зарево было видно за 150 км от Сталинграда, его наблюдали жители Эльтона, Горной Пролейки и Каменного Яра. В ночь на 24 августа германские бомбардировщики совершили еще один налет на город, сбрасывая бомбы на горящие развалины с высоты 300—400 м. Зенитчики были деморализованы, боеприпасы кончились, и немцы практически не встречали противодействия со стороны ПВО.</w:t>
      </w:r>
    </w:p>
    <w:p w14:paraId="2D5AA54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Лишь после полуночи, когда бомбежки окончательно прекратились, руководство города смогло в полной мере оценить последствия произошедшего. Председатель горкомитета обороны Чуянов совершил объезд улиц, и его глазам предстали самые ужасные картины, которые он когда-либо видел в жизни. Обвалившиеся стены домов обнажили лестничные пролеты, квартиры с обгоревшими кроватями. Повсюду валялись обгоревшие трупы и куски человеческих тел, целые кварталы некогда красивых многоэтажек, возвышавшихся над Волгой, превратились в груды развалин, среди которых копошились женщины, старики и дети, разыскивающие родных. Позднее он вспоминал:  «Вдруг дверь горящей избы распахнулась, и из нее выбежали, держась за руки, мальчик лет шести и девочка лет четырех. Они почти полураздетые: мальчик в штанишках и майке, девочка просто в ночной рубашке. Мальчик сказал, что их маму убило, а они ждут с работы отца. Я стоял перед детьми в оцепенении. Возленог лежала убитая мать этих детей. Подозвал девушек из спасательной команды и поручил им отправить детей на левый берег Волги». </w:t>
      </w:r>
    </w:p>
    <w:p w14:paraId="0984551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крупных предприятий больше всех пострадал металлургический завод «Красный Октябрь», где вышли из строя все доменные печи и погибли сотни рабочих. Тракторный завод им. Дзержинского немцы бомбили относительно слабо, т.к. опасались накрыть свои части, выходившие к Волге неподалеку. Поэтому здесь, несмотря на повреждения ряда цехов, работа продолжалась, и в ночь на 24 августа снова были выпущены несколько танков Т-34.</w:t>
      </w:r>
    </w:p>
    <w:p w14:paraId="34C200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Налет на Сталинград 23 августа 1942 г. стал самой массированной операцией бомбардировочной авиации Люфтваффе с начала войны. При этом задача, поставленная директивой Гитлера от 23 июля, была полностью выполнена. Сталинград, как город и промышленный центр, был уничтожен. Сухая жаркая погода, длительное интенсивное бомбометание, применение немцами большого количества различных зажигательных бомб – все это дало огромный разрушительный эффект. Были полностью выведены из строя такие важные для страны предприятия, как завод «Красный Октябрь» и артиллерийский завод «Баррикады». По неизвестно откуда взявшимся данным, в результате бомбежки погибли свыше 40 тыс. жителей, еще около 150 тыс. получили ранения. На самом деле подсчетом жертв никто всерьез не занимался. Равно как и не было известно число мирного населения, находившегося в тот момент в городе. Поэтому говорить о какой-то конкретной цифре невозможно, ясно лишь, что погибших были десятки тысяч.</w:t>
      </w:r>
    </w:p>
    <w:p w14:paraId="11A25BC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Авиация 4-го и 8-го авиакорпусов в течение 23 августа выполнила около двух тысяч самолето-вылетов, только бомбардировочная эскадра KG51 «Эдельвейс» пять раз поднималась в воздух в полном составе! При этом потери Люфтваффе оказались минимальными, всего три самолета. Среди них был Не-111 из III./KG55, который над Сталинградом был поврежден зенитным огнем, а затем добит русским истребителем. Весь его экипаж – пилот фельдфебель Гюнтер Хойер, штурман гауптман Ханс Айсманн, бортрадист унтер-офицер Гюнтер Райман и бортмеханик обер-ефрейтор Йохан Армани – пропал без вести. В этот же день, около 14.00 по московскому времени, произошло еще одно важное событие: в разгар воздушных налетов танки Pz.III и Pz.IV из 16-й танковой дивизии достигли берега Волги севернее Сталинграда. Таким образом, Поволжье было рассечено Вермахтом на две части и сквозное судоходство по реке оказалось под угрозой полной остановки. В связи с этим нарком речного флота 3. А. Шагпков вскоре отдал приказ о прекращении движения по Волге через Сталинград. Отправленные ранее из Астрахани суда со 165 тыс. т нефтепродуктов вынуждены были повернуть обратно.</w:t>
      </w:r>
    </w:p>
    <w:p w14:paraId="1CA6A47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Наутро 24 августа вид города был поистине ужасным. Опрокинутые трамваи, горящие автомашины, ряды воронок, валяющиеся повсюду куски тел и обломки зданий – все это производило удручающее впечатление на выживших. Некоторые улицы практически превратились в кучи пепла, даже асфальт обуглился и местами растекся по обочинам дорог. Сотни жителей слонялись между развалинами, одни искали воду, другие – своих родственников, третьи просто были в трансе. Кое-где бойцы МПВО пытались разбирать завалы и оказывать помощь пострадавшим, но их было так много, что большинство людей оказались предоставленными сами себе. Возить многочисленные трупы и останки на кладбища было некогда, между тем разложение на августовской жаре происходило очень быстро. Поэтому мертвых сбрасывали в большие воронки от бомб, становившиеся братскими могилами, или закапывали прямо в скверах и во дворах. Тысячи так и остались лежать под завалами. Пожары в городе отныне не прекращались.</w:t>
      </w:r>
    </w:p>
    <w:p w14:paraId="400099F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бомб немцы буквально завалили Сталинград листовками с призывом прекратить бессмысленное сопротивление, избежать новых жертв и сдаваться. В ответ по решению горкомитета обороны на улицах началась расклейка воззваний с призывом превратить каждый дом и каждую улицу в неприступную крепость. Жителей также призывали выходить на строительство баррикад. Заканчивалось обращение словами:  «Бее, кто способен носить оружие, на баррикады, на защиту родного города, родного дома!» Правда, типография газеты «Сталинградская правда» тоже была разрушена бомбардировкой, поэтому тираж воззвания оказался небольшим, и немецкой агитации на улицах оказалось куда больше. Работа НКВД, в чьи функции входил сбор листовок, также была на некоторое время дезорганизована, поскольку здание областного управления полностью сгорело, а многочисленные повреждения телефонных линий оборвали связь с райотделами милиции.</w:t>
      </w:r>
    </w:p>
    <w:p w14:paraId="722045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ходе непрерывных налетов 23—26 августа Люфтваффе разрушили практически всю инженерную инфраструктуру Сталинграда, вывели из строя все крупные, средние и даже мелкие предприятия, уничтожили две трети жилого фонда. Большинство жителей все это время не решались выходить из укрытий и сутками отсиживались в подвалах и укрытиях. О. Козырева вспоминала:  «Б подвале было темно, пыльно и жарко, воды не было вообще. Но это было только начало. И на следующий день, и через день бомбежки продолжались. Начался голод. У моего маленького братика стал развиваться рахит, на теле появились шишки, ручки и ножки скрючились, животик вздулся. Он кричал день и ночь. В подвале жили крысы, они бегали по людям, кусали детей. Всех мучила жажда. Когда наконец прошел долгожданный дождь, воду пили прямо из луж:, вместе с грязью и головастиками. Многие потом умирали… Я получила ожоги и сама ходить не могла. Еще в подвале у меня лопнули барабанные перепонки, из ушей текла кровь. Мама переносила нас по очереди – сначала братика, а потом меня. Мы видели много мертвых. Возле одной убитой женщины сидел ребенок, ему было годика три. Он плакал и теребил маму за платье: „Мама, мамочка, вставай“. Он так и остался возле покойной, никто ему не помог». Николай Рыбалкин, живший тогда в северной части города, рассказывал:  «Каждый день мы узнавали о все новых и новых прямых попаданиях. В подробностях это были ужасные картины. Изуродованные и разорванные на куски тела. Или похороненные заживо под многометровой толщей земли в обвалившихся пещерах. Погибали целыми семьями. А когда случалось, что кто-то из погибшей семьи оставался в живых, то на его долю часто выпадало такое, чему не позавидовали бы и покойники». Особенно сталинградскому подростку запомнилась картина «похорон» на соседней улице. Утром пожилой мужчина по фамилии Захаров, торопясь успеть до очередного налета, побежал в карьер за водой, а когда возвращался, уже началась бомбежка, и он на месте своей щели, в которой оставил дочь с ее двумя малыми детьми, нашел только большую воронку. Весь день, не замечая рвавшихся вокруг бомб, старик собирал останки своей семьи и опускал их в выкопанную тут же, на дворе под тополем, могилу. Тела внуков и обезглавленный труп дочери он обнаружил под слоем земли в разрушенном убежище, а голову дочери долго не мог найти, пока соседка не увидела ее вечером на своем дворе. После массированных налетов началось неконтролируемое бегство уцелевших сталинградцев за Волгу. Перебраться вплавь было невозможно из-за больших нефтяных пятен, поэтому переплывали на подручных средствах: бревнах, самодельных плотах и автомобильных </w:t>
      </w:r>
      <w:r w:rsidRPr="00722885">
        <w:rPr>
          <w:rFonts w:ascii="Times New Roman" w:hAnsi="Times New Roman"/>
          <w:color w:val="000000" w:themeColor="text1"/>
          <w:sz w:val="16"/>
          <w:szCs w:val="16"/>
        </w:rPr>
        <w:lastRenderedPageBreak/>
        <w:t>шинах. Переполненные транспортные суда выполняли десятки рейсов в день. Особенно прославился в последние дни августа баркас «Ласточка», совершавший по 15—18 рейсов в сутки. И все это под непрерывными ударами немецкой авиации. Атакам по-прежнему подвергались и корабли на других участках Волги. 24 августа теплоход «Память товарища Войкова» шел из Астрахани на морской рейд, тянув за собой три баржи с войсками и грузами для кавказского фронта, когда его атаковали три бомбардировщика. Одна из бомб взорвалась за кормой судна, перебив буксирный трос и разворотив нос первой баржи, еще две попали во вторую баржу, убив почти всех, кто там находился. Трупы людей и части тел разметало по воде на сотни метров. После этого матросам удалось поднять пострадавших, отцепить горящую баржу, и затем караван отправился дальше. Несмотря на то что немецкие танки находились на берегу Волги, руководство Нижневолжского речного пароходства полностью не отказалось от попыток отправки судов вверх по течению. 24 августа грузовой пароход «Таджикия», ведомый капитаном И. И. Рыбаковым, сумел на полном ходу прорваться через простреливаемый участок и, несмотря на многочисленные повреждения, ушел в сторону Дубовки. Видимо, этот пример и вдохновил на дальнейшие авантюры. На следующий день тем же путем отправился пассажирский пароход «Бородино» с 700 ранеными на борту. Но как только корабль вышел из пролива между островами Зайцевский и Спорный, по нему был открыт шквальный огонь с западного берега с расстояния в один километр. В результате судно было потоплено, от пожаров и взрывов погибли свыше 400 человек (11774).</w:t>
      </w:r>
    </w:p>
    <w:p w14:paraId="5B0B512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C3606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C 23 по 28 августа 1942 войска левого крыла СФ при активной поддержке авиации нанесли ряд контрударов и вечером 28 врага остановили на С-З подступах к Сталинграду (340,96).</w:t>
      </w:r>
    </w:p>
    <w:p w14:paraId="1F9A124D" w14:textId="77777777" w:rsidR="00AE7191" w:rsidRPr="00722885" w:rsidRDefault="00AE7191" w:rsidP="00722885">
      <w:pPr>
        <w:pStyle w:val="Iauiue"/>
        <w:jc w:val="both"/>
        <w:rPr>
          <w:color w:val="000000" w:themeColor="text1"/>
          <w:sz w:val="16"/>
          <w:szCs w:val="16"/>
        </w:rPr>
      </w:pPr>
    </w:p>
    <w:p w14:paraId="74BCDA07"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rPr>
        <w:t>23 августа 1942 на Восточный фронт прибыло первые четыре Тигра в 502-й танковый батальон. Выгрузили на станции Мга и получили приказ двигаться в район поселка Синявино. Сначала на большом расстоянии вступили в огневой контакт с нашими войсками, а потом - разделились, чтобы обойти холм. Три вышли из строя из-за коробки, двигателя и передачи. Снаступлениемтемнотыихэвакуировали</w:t>
      </w:r>
      <w:r w:rsidRPr="00722885">
        <w:rPr>
          <w:color w:val="000000" w:themeColor="text1"/>
          <w:sz w:val="16"/>
          <w:szCs w:val="16"/>
          <w:lang w:val="en-US"/>
        </w:rPr>
        <w:t xml:space="preserve"> (3570).</w:t>
      </w:r>
    </w:p>
    <w:p w14:paraId="0C053861" w14:textId="77777777" w:rsidR="00AE7191" w:rsidRPr="00722885" w:rsidRDefault="00AE7191" w:rsidP="00722885">
      <w:pPr>
        <w:pStyle w:val="Iauiue"/>
        <w:jc w:val="both"/>
        <w:rPr>
          <w:color w:val="000000" w:themeColor="text1"/>
          <w:sz w:val="16"/>
          <w:szCs w:val="16"/>
          <w:lang w:val="en-US"/>
        </w:rPr>
      </w:pPr>
    </w:p>
    <w:p w14:paraId="3F50A234"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23, 1942: After a year-long siege of the city, Hitler orders the final attack on Leningrad (Operation Nordlicht). At Stalingrad, bombers and dive-bombers of Luftflotte 4 (von Richthofen) launch massive attacks (over 2,000 missions) that devastate the city. A battle group of 16.Pz.Div., 3. and 60.Inf.Div.(mot) rapidly advances from the Don, reaching the west bank of the Volga at Rynok north of Stalingrad (3819).</w:t>
      </w:r>
    </w:p>
    <w:p w14:paraId="136B6AE0" w14:textId="77777777" w:rsidR="00AE7191" w:rsidRPr="00722885" w:rsidRDefault="00AE7191" w:rsidP="00722885">
      <w:pPr>
        <w:pStyle w:val="Iauiue"/>
        <w:jc w:val="both"/>
        <w:rPr>
          <w:color w:val="000000" w:themeColor="text1"/>
          <w:sz w:val="16"/>
          <w:szCs w:val="16"/>
          <w:lang w:val="en-US"/>
        </w:rPr>
      </w:pPr>
    </w:p>
    <w:p w14:paraId="1AEFDF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23 августа 1942 после годичной блокады А.Г. приказал атаковать Ленинград (Операция Северное сияние). 4ВФ (Рихтгоффен) выполнил 2000 вылетов на бомбежку Сталинграда. Группа в составе 16ТД и 60ПД продвинулась от Калача и вышла к Волге в районе рынка Сталинграда (3819).</w:t>
      </w:r>
    </w:p>
    <w:p w14:paraId="7F6C7FAB" w14:textId="77777777" w:rsidR="00AE7191" w:rsidRPr="00722885" w:rsidRDefault="00AE7191" w:rsidP="00722885">
      <w:pPr>
        <w:pStyle w:val="Iauiue"/>
        <w:jc w:val="both"/>
        <w:rPr>
          <w:color w:val="000000" w:themeColor="text1"/>
          <w:sz w:val="16"/>
          <w:szCs w:val="16"/>
        </w:rPr>
      </w:pPr>
    </w:p>
    <w:p w14:paraId="006AC78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B7511A9" w14:textId="77777777" w:rsidR="00AE7191" w:rsidRPr="00722885" w:rsidRDefault="00AE7191" w:rsidP="00722885">
      <w:pPr>
        <w:pStyle w:val="Iauiue"/>
        <w:jc w:val="both"/>
        <w:rPr>
          <w:iCs/>
          <w:color w:val="000000" w:themeColor="text1"/>
          <w:sz w:val="16"/>
          <w:szCs w:val="16"/>
        </w:rPr>
      </w:pPr>
    </w:p>
    <w:p w14:paraId="753339C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23 августа 1942 вышло Постановление ГКО № 2206 О плане сдачи картофеля и овощей Красной Армии, Военно-Морскому Флоту и войскам НКВД из урожая 1942 г. (7051, 50-58,59-69).</w:t>
      </w:r>
    </w:p>
    <w:p w14:paraId="493CE4F8" w14:textId="77777777" w:rsidR="00AE7191" w:rsidRPr="00722885" w:rsidRDefault="00AE7191" w:rsidP="00722885">
      <w:pPr>
        <w:pStyle w:val="Iauiue"/>
        <w:tabs>
          <w:tab w:val="left" w:pos="11199"/>
        </w:tabs>
        <w:jc w:val="both"/>
        <w:rPr>
          <w:color w:val="000000" w:themeColor="text1"/>
          <w:sz w:val="16"/>
          <w:szCs w:val="16"/>
        </w:rPr>
      </w:pPr>
    </w:p>
    <w:p w14:paraId="4028D39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94A04FE" w14:textId="77777777" w:rsidR="00AE7191" w:rsidRPr="00722885" w:rsidRDefault="00AE7191" w:rsidP="00722885">
      <w:pPr>
        <w:pStyle w:val="Iauiue"/>
        <w:jc w:val="both"/>
        <w:rPr>
          <w:iCs/>
          <w:color w:val="000000" w:themeColor="text1"/>
          <w:sz w:val="16"/>
          <w:szCs w:val="16"/>
        </w:rPr>
      </w:pPr>
    </w:p>
    <w:p w14:paraId="27AE8CDF"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23 августа 1942 вышло Постановление ГКО № 2203 [Об импорте лошадей из Монголии, Китая, Тувы, Ирана]. (7051, 44-45).</w:t>
      </w:r>
    </w:p>
    <w:p w14:paraId="6E5EFF95" w14:textId="77777777" w:rsidR="00AE7191" w:rsidRPr="00722885" w:rsidRDefault="00AE7191" w:rsidP="00722885">
      <w:pPr>
        <w:pStyle w:val="Iauiue"/>
        <w:tabs>
          <w:tab w:val="left" w:pos="11199"/>
        </w:tabs>
        <w:jc w:val="both"/>
        <w:rPr>
          <w:color w:val="000000" w:themeColor="text1"/>
          <w:sz w:val="16"/>
          <w:szCs w:val="16"/>
        </w:rPr>
      </w:pPr>
    </w:p>
    <w:p w14:paraId="4D7FD64A" w14:textId="77777777" w:rsidR="00D06519" w:rsidRPr="00722885" w:rsidRDefault="00D06519" w:rsidP="00722885">
      <w:pPr>
        <w:pStyle w:val="Iauiue"/>
        <w:jc w:val="both"/>
        <w:rPr>
          <w:iCs/>
          <w:color w:val="000000" w:themeColor="text1"/>
          <w:sz w:val="16"/>
          <w:szCs w:val="16"/>
        </w:rPr>
      </w:pPr>
      <w:r w:rsidRPr="00722885">
        <w:rPr>
          <w:iCs/>
          <w:color w:val="000000" w:themeColor="text1"/>
          <w:sz w:val="16"/>
          <w:szCs w:val="16"/>
        </w:rPr>
        <w:t>За рубеджом:</w:t>
      </w:r>
    </w:p>
    <w:p w14:paraId="3C4CA2BC" w14:textId="77777777" w:rsidR="00D06519" w:rsidRPr="00722885" w:rsidRDefault="00D06519" w:rsidP="00722885">
      <w:pPr>
        <w:pStyle w:val="Iauiue"/>
        <w:jc w:val="both"/>
        <w:rPr>
          <w:iCs/>
          <w:color w:val="000000" w:themeColor="text1"/>
          <w:sz w:val="16"/>
          <w:szCs w:val="16"/>
        </w:rPr>
      </w:pPr>
    </w:p>
    <w:p w14:paraId="630BD592"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августа в 1942 году произошла первая попытка применения итальянцами радиоуправляемого бомбардировщика. Одиночный «SM.79» без экипажа был послан на бомбардировку кораблей союзников у берегов Алжира. Положительный результат этого вылета свелся к тому, что руководство ВВС отказалось от дальнейших попыток приспособить под эти цели тяжелые многомоторные самолёты, поскольку это дорого и неэкономично с любой точки зрения (14991).</w:t>
      </w:r>
    </w:p>
    <w:p w14:paraId="580D229F"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0AF60CC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C54C7B2" w14:textId="77777777" w:rsidR="00AE7191" w:rsidRPr="00722885" w:rsidRDefault="00AE7191" w:rsidP="00722885">
      <w:pPr>
        <w:pStyle w:val="Iauiue"/>
        <w:jc w:val="both"/>
        <w:rPr>
          <w:iCs/>
          <w:color w:val="000000" w:themeColor="text1"/>
          <w:sz w:val="16"/>
          <w:szCs w:val="16"/>
        </w:rPr>
      </w:pPr>
    </w:p>
    <w:p w14:paraId="7B7DC1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24 августа 1942 за N 330300 Командующий ВВС, Военком и ГИ направили в НКАП замечания по проекту плана опытного самолетостроения на 1942 и потребовали доведение экипажа до 2-х и установка дополнительного вооружения для стрельбы назад (1632,151).</w:t>
      </w:r>
    </w:p>
    <w:p w14:paraId="226B4F9A" w14:textId="77777777" w:rsidR="00AE7191" w:rsidRPr="00722885" w:rsidRDefault="00AE7191" w:rsidP="00722885">
      <w:pPr>
        <w:pStyle w:val="Iauiue"/>
        <w:jc w:val="both"/>
        <w:rPr>
          <w:color w:val="000000" w:themeColor="text1"/>
          <w:sz w:val="16"/>
          <w:szCs w:val="16"/>
        </w:rPr>
      </w:pPr>
    </w:p>
    <w:p w14:paraId="09D985F7"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1942 в замечаниях по проекту плана опытного самолетостроения на 1942 год военные потребовали довести экипаж МШ-АМ-38 до двух человек (летчик и воздушный стрелок) и установить дополнительное вооружение для стрельбы назад. В этой связи Ильюшин снял проект МШ-АМ-38 с повестки дня и в сентябре прекратил по нему все работы (17490).</w:t>
      </w:r>
    </w:p>
    <w:p w14:paraId="78F4FEFD" w14:textId="77777777" w:rsidR="0059006B" w:rsidRPr="00722885" w:rsidRDefault="0059006B" w:rsidP="00722885">
      <w:pPr>
        <w:spacing w:after="0" w:line="240" w:lineRule="auto"/>
        <w:jc w:val="both"/>
        <w:rPr>
          <w:rFonts w:ascii="Times New Roman" w:eastAsia="Times New Roman" w:hAnsi="Times New Roman"/>
          <w:color w:val="000000" w:themeColor="text1"/>
          <w:sz w:val="16"/>
          <w:szCs w:val="16"/>
          <w:lang w:eastAsia="ru-RU"/>
        </w:rPr>
      </w:pPr>
    </w:p>
    <w:p w14:paraId="69E71AD5" w14:textId="77777777" w:rsidR="0059006B" w:rsidRPr="00722885" w:rsidRDefault="005900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24 августа в замечаниях по проекту плана опытного самолетостроения на 1942 г. военные по</w:t>
      </w:r>
      <w:r w:rsidRPr="00722885">
        <w:rPr>
          <w:color w:val="000000" w:themeColor="text1"/>
          <w:sz w:val="16"/>
          <w:szCs w:val="16"/>
        </w:rPr>
        <w:softHyphen/>
        <w:t>требовали довести экипаж МШ-АМ-38 до 2 человек (летчик и воздушный стрелок) и установить допол</w:t>
      </w:r>
      <w:r w:rsidRPr="00722885">
        <w:rPr>
          <w:color w:val="000000" w:themeColor="text1"/>
          <w:sz w:val="16"/>
          <w:szCs w:val="16"/>
        </w:rPr>
        <w:softHyphen/>
        <w:t>нительное вооружение для стрельбы назад (17500).</w:t>
      </w:r>
    </w:p>
    <w:p w14:paraId="61FD3F02" w14:textId="77777777" w:rsidR="0059006B" w:rsidRPr="00722885" w:rsidRDefault="0059006B" w:rsidP="00722885">
      <w:pPr>
        <w:spacing w:after="0" w:line="240" w:lineRule="auto"/>
        <w:jc w:val="both"/>
        <w:rPr>
          <w:rFonts w:ascii="Times New Roman" w:eastAsia="Times New Roman" w:hAnsi="Times New Roman"/>
          <w:color w:val="000000" w:themeColor="text1"/>
          <w:sz w:val="16"/>
          <w:szCs w:val="16"/>
          <w:lang w:eastAsia="ru-RU"/>
        </w:rPr>
      </w:pPr>
    </w:p>
    <w:p w14:paraId="4B672391" w14:textId="77777777" w:rsidR="00D06519" w:rsidRPr="00722885" w:rsidRDefault="00D06519"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24 августа 1942 ВВС потребовали довести экипаж МШ-АМ-38 до двух человек (летчик и воздушный стрелок) и установить дополнительное вооружение для стрельбы назад. В этой связи Ильюшин обратился в пра</w:t>
      </w:r>
      <w:r w:rsidRPr="00722885">
        <w:rPr>
          <w:rFonts w:ascii="Times New Roman" w:cs="Times New Roman"/>
          <w:color w:val="000000" w:themeColor="text1"/>
          <w:spacing w:val="0"/>
          <w:sz w:val="16"/>
          <w:szCs w:val="16"/>
        </w:rPr>
        <w:softHyphen/>
        <w:t>вительство с предложением включить в план опытного самолетостроения текущего года постройку двухместного бронированного штурмовика с мотором М-71 вместо одно</w:t>
      </w:r>
      <w:r w:rsidRPr="00722885">
        <w:rPr>
          <w:rFonts w:ascii="Times New Roman" w:cs="Times New Roman"/>
          <w:color w:val="000000" w:themeColor="text1"/>
          <w:spacing w:val="0"/>
          <w:sz w:val="16"/>
          <w:szCs w:val="16"/>
        </w:rPr>
        <w:softHyphen/>
        <w:t>местного. Эскизный проект самолета, полупившего обозначение БШ-М-71, был подпи</w:t>
      </w:r>
      <w:r w:rsidRPr="00722885">
        <w:rPr>
          <w:rFonts w:ascii="Times New Roman" w:cs="Times New Roman"/>
          <w:color w:val="000000" w:themeColor="text1"/>
          <w:spacing w:val="0"/>
          <w:sz w:val="16"/>
          <w:szCs w:val="16"/>
        </w:rPr>
        <w:softHyphen/>
        <w:t>сан Ильюшиным 25 августа 1942 г. Но это уже другая история (15776).</w:t>
      </w:r>
    </w:p>
    <w:p w14:paraId="4ECC4479" w14:textId="77777777" w:rsidR="00D06519" w:rsidRPr="00722885" w:rsidRDefault="00D06519" w:rsidP="00722885">
      <w:pPr>
        <w:pStyle w:val="36"/>
        <w:shd w:val="clear" w:color="auto" w:fill="auto"/>
        <w:spacing w:after="0" w:line="240" w:lineRule="auto"/>
        <w:jc w:val="both"/>
        <w:rPr>
          <w:rFonts w:ascii="Times New Roman" w:cs="Times New Roman"/>
          <w:color w:val="000000" w:themeColor="text1"/>
          <w:spacing w:val="0"/>
          <w:sz w:val="16"/>
          <w:szCs w:val="16"/>
        </w:rPr>
      </w:pPr>
    </w:p>
    <w:p w14:paraId="0D6BA4C9"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Style w:val="aff8"/>
          <w:rFonts w:ascii="Times New Roman" w:hAnsi="Times New Roman" w:cs="Times New Roman"/>
          <w:b w:val="0"/>
          <w:color w:val="000000" w:themeColor="text1"/>
          <w:spacing w:val="0"/>
          <w:sz w:val="16"/>
          <w:szCs w:val="16"/>
        </w:rPr>
        <w:t>24</w:t>
      </w:r>
      <w:r w:rsidRPr="00722885">
        <w:rPr>
          <w:rFonts w:ascii="Times New Roman" w:hAnsi="Times New Roman"/>
          <w:color w:val="000000" w:themeColor="text1"/>
          <w:sz w:val="16"/>
          <w:szCs w:val="16"/>
        </w:rPr>
        <w:t xml:space="preserve"> августа 1942 ВВС потребовали довести экипаж МШ-АМ-38 до двух человек (лётчик и воздуш</w:t>
      </w:r>
      <w:r w:rsidRPr="00722885">
        <w:rPr>
          <w:rFonts w:ascii="Times New Roman" w:hAnsi="Times New Roman"/>
          <w:color w:val="000000" w:themeColor="text1"/>
          <w:sz w:val="16"/>
          <w:szCs w:val="16"/>
        </w:rPr>
        <w:softHyphen/>
        <w:t>ный стрелок) и установить вооружение для стрельбы назад.</w:t>
      </w:r>
    </w:p>
    <w:p w14:paraId="759D69CA"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этой связи Ильюшин обратился в правительство с предложением включить в план опытного самолётостроения текущего года постройку двухместного бронированного штур</w:t>
      </w:r>
      <w:r w:rsidRPr="00722885">
        <w:rPr>
          <w:rFonts w:ascii="Times New Roman" w:hAnsi="Times New Roman"/>
          <w:color w:val="000000" w:themeColor="text1"/>
          <w:sz w:val="16"/>
          <w:szCs w:val="16"/>
        </w:rPr>
        <w:softHyphen/>
        <w:t>мовика с мотором М-71 взамен одноместного. Эскизный проект самолёта, получившего обозначение БШ-М-71 (Ил-8 М-71), был подписан Ильюшиным 25 августа 1942 г. (15846).</w:t>
      </w:r>
    </w:p>
    <w:p w14:paraId="32F0621F"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4AF0FC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24 августа 1942 С.В.И. писал А.И.Ш. письмо N 424:</w:t>
      </w:r>
    </w:p>
    <w:p w14:paraId="1A23FC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w:t>
      </w:r>
    </w:p>
    <w:p w14:paraId="71A3ED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последнее время настойчиво ставится вопрос командирами и летчиками действующей армии о 2-х местном самолете Ил-2.</w:t>
      </w:r>
    </w:p>
    <w:p w14:paraId="38D73C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дополнение к личному докладу считаю необходимым просить Вас о серийном запуске 2-х местного самолета Ил-2 с М-82, прошедшего гос. испытания в прошлом 1941.</w:t>
      </w:r>
    </w:p>
    <w:p w14:paraId="3446F0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2-х местный самолет Ил-2 будет надежно прикрывать одноместные самолеты Ил-2 с АМ-38, и в то же время выполнять штурмовые действия.</w:t>
      </w:r>
    </w:p>
    <w:p w14:paraId="207905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Было бы целесообразным запустить 2-х местный Ил-2 с М-82 на заводе 381 и на заводе 30.</w:t>
      </w:r>
    </w:p>
    <w:p w14:paraId="5DCB61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Ввиду учащающихся настойчивых требований фронта необходимо запуск в серийное производство форсировать.</w:t>
      </w:r>
    </w:p>
    <w:p w14:paraId="5E7047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2-х местному штурмовику Ил-2 с М-82 во избежание путаницы при запуске в серийное производство, прошу дать наименование Ил-6 м И-82 (1680,158).</w:t>
      </w:r>
    </w:p>
    <w:p w14:paraId="1471F9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w:t>
      </w:r>
    </w:p>
    <w:p w14:paraId="7388B3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2-х местный штурмовик Ил-2 с М-82 имеет забронированной только переднюю часть мотора и лишь частично.</w:t>
      </w:r>
    </w:p>
    <w:p w14:paraId="5E5F8A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данный момент мною разработана конструкция полного бронирования мотора.</w:t>
      </w:r>
    </w:p>
    <w:p w14:paraId="124552E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Прошу Вас произвести работу по бронированию мотора на указанном самолете (1680,158).</w:t>
      </w:r>
    </w:p>
    <w:p w14:paraId="0889CD8C" w14:textId="77777777" w:rsidR="00AE7191" w:rsidRPr="00722885" w:rsidRDefault="00AE7191" w:rsidP="00722885">
      <w:pPr>
        <w:pStyle w:val="Iauiue"/>
        <w:jc w:val="both"/>
        <w:rPr>
          <w:color w:val="000000" w:themeColor="text1"/>
          <w:sz w:val="16"/>
          <w:szCs w:val="16"/>
        </w:rPr>
      </w:pPr>
    </w:p>
    <w:p w14:paraId="299F29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24 августа 1942 года начальник 8 главного управления В. Поликовский писал письмо Шахурину.</w:t>
      </w:r>
    </w:p>
    <w:p w14:paraId="5A10DB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Справка.</w:t>
      </w:r>
    </w:p>
    <w:p w14:paraId="53CC29E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 состоянии опытных работ на 10 августа 1942 г.</w:t>
      </w:r>
    </w:p>
    <w:p w14:paraId="5A7036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моторостроительным заводам NN 19, 29, 26, 24,</w:t>
      </w:r>
    </w:p>
    <w:p w14:paraId="1DF1F1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 500 и ОКБ-250.</w:t>
      </w:r>
    </w:p>
    <w:p w14:paraId="65D2E4A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N 19.</w:t>
      </w:r>
    </w:p>
    <w:p w14:paraId="6699C4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Мотор М-71.</w:t>
      </w:r>
    </w:p>
    <w:p w14:paraId="34178F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Подготовлено производством и сборкой три мотора для повторных 100 часовых государственных испытаний. Все ранее выявленные дефекты как на заводских, а </w:t>
      </w:r>
      <w:r w:rsidRPr="00722885">
        <w:rPr>
          <w:color w:val="000000" w:themeColor="text1"/>
          <w:sz w:val="16"/>
          <w:szCs w:val="16"/>
        </w:rPr>
        <w:lastRenderedPageBreak/>
        <w:t>также и на официальных испытаниях учтены и устранены в указанных моторах. Для проверки надежности работы вновь изготовленных моторов один из них был поставлен на заводские 100-часовые испытания, который на 10/VIII прошел 64 часа режимной работы без каких-либо существенных дефектов.</w:t>
      </w:r>
    </w:p>
    <w:p w14:paraId="06D5CB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государственные 100-часовое испытание мотор будет поставлен 14/VIII.</w:t>
      </w:r>
    </w:p>
    <w:p w14:paraId="52DB28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Мотор М-82Ф.</w:t>
      </w:r>
    </w:p>
    <w:p w14:paraId="3CBC2F4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 М-82 форсированный поставлен на длительные заводские испытания 9 августа. Сравнительно с мотором М-82, этот мотор имеет следующие отличия по своим техническим данным: по взлетной мощности превышение на 200 л.с., т.е. 1900 л.с. вместо 1700 л.с.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9B487A" w:rsidRPr="00722885" w14:paraId="42E3B589" w14:textId="77777777" w:rsidTr="00CC5360">
        <w:tc>
          <w:tcPr>
            <w:tcW w:w="2818" w:type="dxa"/>
            <w:tcBorders>
              <w:top w:val="single" w:sz="12" w:space="0" w:color="auto"/>
            </w:tcBorders>
          </w:tcPr>
          <w:p w14:paraId="1A6FAE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 на высоте</w:t>
            </w:r>
          </w:p>
        </w:tc>
        <w:tc>
          <w:tcPr>
            <w:tcW w:w="2818" w:type="dxa"/>
            <w:tcBorders>
              <w:top w:val="single" w:sz="12" w:space="0" w:color="auto"/>
            </w:tcBorders>
          </w:tcPr>
          <w:p w14:paraId="4996DA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2500 м</w:t>
            </w:r>
          </w:p>
        </w:tc>
        <w:tc>
          <w:tcPr>
            <w:tcW w:w="2818" w:type="dxa"/>
            <w:tcBorders>
              <w:top w:val="single" w:sz="12" w:space="0" w:color="auto"/>
            </w:tcBorders>
          </w:tcPr>
          <w:p w14:paraId="3B4436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1700 л.с.</w:t>
            </w:r>
          </w:p>
        </w:tc>
      </w:tr>
      <w:tr w:rsidR="009B487A" w:rsidRPr="00722885" w14:paraId="3F9C0BE0" w14:textId="77777777" w:rsidTr="00CC5360">
        <w:tc>
          <w:tcPr>
            <w:tcW w:w="2818" w:type="dxa"/>
            <w:tcBorders>
              <w:bottom w:val="single" w:sz="12" w:space="0" w:color="auto"/>
            </w:tcBorders>
          </w:tcPr>
          <w:p w14:paraId="34B81DE4" w14:textId="77777777" w:rsidR="00AE7191" w:rsidRPr="00722885" w:rsidRDefault="00AE7191" w:rsidP="00722885">
            <w:pPr>
              <w:pStyle w:val="Iauiue"/>
              <w:jc w:val="both"/>
              <w:rPr>
                <w:color w:val="000000" w:themeColor="text1"/>
                <w:sz w:val="16"/>
                <w:szCs w:val="16"/>
              </w:rPr>
            </w:pPr>
          </w:p>
        </w:tc>
        <w:tc>
          <w:tcPr>
            <w:tcW w:w="2818" w:type="dxa"/>
            <w:tcBorders>
              <w:bottom w:val="single" w:sz="12" w:space="0" w:color="auto"/>
            </w:tcBorders>
          </w:tcPr>
          <w:p w14:paraId="165F74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5000 м</w:t>
            </w:r>
          </w:p>
        </w:tc>
        <w:tc>
          <w:tcPr>
            <w:tcW w:w="2818" w:type="dxa"/>
            <w:tcBorders>
              <w:bottom w:val="single" w:sz="12" w:space="0" w:color="auto"/>
            </w:tcBorders>
          </w:tcPr>
          <w:p w14:paraId="6704D6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1500 л.с.</w:t>
            </w:r>
          </w:p>
        </w:tc>
      </w:tr>
    </w:tbl>
    <w:p w14:paraId="608053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Предъявить этот мотор на совместные 50-ти часовые испытания намечено 25-30 августа.</w:t>
      </w:r>
    </w:p>
    <w:p w14:paraId="361C18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Два мотора М-82Ф подготовляются для отправки на завод N 21.</w:t>
      </w:r>
    </w:p>
    <w:p w14:paraId="6EDDDF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Мотор М-82НВ.</w:t>
      </w:r>
    </w:p>
    <w:p w14:paraId="50DD9A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Как ранее отмечалось мотор М-82 с непосредственным впрыском топлива удовлетворительно прошел 100-часовые официальные испытания на станке 28 июня.</w:t>
      </w:r>
    </w:p>
    <w:p w14:paraId="606B9B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После установки мотора М-82НВ на самолет СУ-2, для проверки надежности работы мотора в воздухе и главным образом его автоматики, на 10 августа было проведено два полета до высоты 5400 м.</w:t>
      </w:r>
    </w:p>
    <w:p w14:paraId="1B3368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Работа мотора в целом и автоматика насоса непосредственного впрыска показали вполне удовлетворительную работу. Было зарегистрировано увеличение скорости полета, сравнительно с самолетом СУ-2, оборудованным мотором М-82, за счет прироста мощности у мотора М-82НВ.</w:t>
      </w:r>
    </w:p>
    <w:p w14:paraId="1E4713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Задержка дальнейших летных испытаний произошла вследствие поломки шасси самолета, и возобновится 15-16 августа.</w:t>
      </w:r>
    </w:p>
    <w:p w14:paraId="27BD35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N 29.</w:t>
      </w:r>
    </w:p>
    <w:p w14:paraId="20AB6A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Мотор М-90.</w:t>
      </w:r>
    </w:p>
    <w:p w14:paraId="6B2E4A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 М-90 находится на заводской доводке до 50-ти часовой надежной работы. На 8 августа мотор прошел 20 часов без дефектов. Испытание продолжается. Дано распоряжение заводам NN 33 и 306 о полном обеспечении испытаний вполне кондиционными агрегатами (карбюратор "ВК", магнето и свечи) (1684,256).</w:t>
      </w:r>
    </w:p>
    <w:p w14:paraId="69E4DBB6" w14:textId="77777777" w:rsidR="00AE7191" w:rsidRPr="00722885" w:rsidRDefault="00AE7191" w:rsidP="00722885">
      <w:pPr>
        <w:pStyle w:val="Iauiue"/>
        <w:jc w:val="both"/>
        <w:rPr>
          <w:color w:val="000000" w:themeColor="text1"/>
          <w:sz w:val="16"/>
          <w:szCs w:val="16"/>
        </w:rPr>
      </w:pPr>
    </w:p>
    <w:p w14:paraId="0BCDC5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До 24 августа 1942 года завод № 99 изготовлял для самолета ПЕ-2 хвостовую часть фюзеляжа Ф-3. Решением ГОКО № 2209сс от 24 августа 1942 года он выделен как самостоятельный завод № 99.</w:t>
      </w:r>
    </w:p>
    <w:p w14:paraId="701C17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00CCE3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дальнейшем завод № 125 именуется завод № 39.</w:t>
      </w:r>
    </w:p>
    <w:p w14:paraId="4F3E0B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Слияние завода № 125, 104 и 99, эвакуация завода № 39 резко увеличило количество площадей и работающих.</w:t>
      </w:r>
    </w:p>
    <w:p w14:paraId="1A43FA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3CE5B7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53AE78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6761E8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321101C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517E50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75E493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Головную машину ТУ-2 завод выпустил 30 июня 1947 года.</w:t>
      </w:r>
    </w:p>
    <w:p w14:paraId="5D0604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ТУ-2 завод выпускал в течение 1947-1949 гг.</w:t>
      </w:r>
    </w:p>
    <w:p w14:paraId="4AE28A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6FEDEFD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161747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160F80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6BB7B5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И.о. директора – Гордин</w:t>
      </w:r>
    </w:p>
    <w:p w14:paraId="01BB97D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Иркутская область, п/я 411</w:t>
      </w:r>
    </w:p>
    <w:p w14:paraId="14BCFB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Производственный профиль – самолетостроение</w:t>
      </w:r>
    </w:p>
    <w:p w14:paraId="3119B7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42AA1204" w14:textId="77777777" w:rsidR="00AE7191" w:rsidRPr="00722885" w:rsidRDefault="00AE7191" w:rsidP="00722885">
      <w:pPr>
        <w:pStyle w:val="Iauiue"/>
        <w:jc w:val="both"/>
        <w:rPr>
          <w:color w:val="000000" w:themeColor="text1"/>
          <w:sz w:val="16"/>
          <w:szCs w:val="16"/>
        </w:rPr>
      </w:pPr>
    </w:p>
    <w:p w14:paraId="11820D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24 августа 1942 года вышло Постановления ГКО за № 2209сс и 25 августа 1942 года вышел приказ НКАП № 652сс, которым бывший завод № 99 был преобразован из филиала завода № 39 в самостоятельный самолетостроительный завод № 99. Заводу было поручено организовать выпуск истребителей ЛА-5 с мотором воздушного охлаждения М-82. С февраля 1943 года завод приступил к серийному выпуску самолета ЛА-5 типа 37.</w:t>
      </w:r>
    </w:p>
    <w:p w14:paraId="45405C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51297C9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Выпуск ЛА-7 продолжался до марта 1946 года, за указанный период сдано частям ВВС 249 машин.</w:t>
      </w:r>
    </w:p>
    <w:p w14:paraId="3F9D310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0C6FA0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315FEF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продолжал ремонт самолетов ЛА-9 до 1951 года.</w:t>
      </w:r>
    </w:p>
    <w:p w14:paraId="4877D5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383F4D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Местонахождение – завод расположен в 12 км от Улан-Удэ</w:t>
      </w:r>
    </w:p>
    <w:p w14:paraId="6F83A5B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Производственный профиль – самолетостроительный завод по выпуску самолетов УТИ МИГ-15 и вертолетов КА-15</w:t>
      </w:r>
    </w:p>
    <w:p w14:paraId="2879DF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6670150C" w14:textId="77777777" w:rsidR="00AE7191" w:rsidRPr="00722885" w:rsidRDefault="00AE7191" w:rsidP="00722885">
      <w:pPr>
        <w:pStyle w:val="Iauiue"/>
        <w:jc w:val="both"/>
        <w:rPr>
          <w:color w:val="000000" w:themeColor="text1"/>
          <w:sz w:val="16"/>
          <w:szCs w:val="16"/>
        </w:rPr>
      </w:pPr>
    </w:p>
    <w:p w14:paraId="74E467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1942 вышло Постановление ГКО № 2209 Об организации производства самолетов ЛаГГ-5 на заводе № 99. РГАНИР, Фонд ГКО, д. 53, лл. 75 (11012).</w:t>
      </w:r>
    </w:p>
    <w:p w14:paraId="7957A9F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320BA4E" w14:textId="77777777" w:rsidR="006F4217" w:rsidRPr="00722885" w:rsidRDefault="006F42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1942 вышло Постановление ГКО № 2209 Об организации производства самолетов ЛаГГ-5 на заводе № 99</w:t>
      </w:r>
    </w:p>
    <w:p w14:paraId="09981E20" w14:textId="77777777" w:rsidR="006F4217" w:rsidRPr="00722885" w:rsidRDefault="006F4217"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1.Обязать Наркомавиапром - т.Шахурина,директора эавода № 99 - т.Прокопьева и главного конструктора самолета Лагг-5 т.Лавочкина организовать производство самолетов Лагг-5 на заводе № 99 в г.Улан-Удэ.</w:t>
      </w:r>
    </w:p>
    <w:p w14:paraId="2BC878A9" w14:textId="77777777" w:rsidR="006F4217" w:rsidRPr="00722885" w:rsidRDefault="006F4217"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2.Установить заводу № 99 программу по выпуску самоле</w:t>
      </w:r>
      <w:r w:rsidRPr="00722885">
        <w:rPr>
          <w:rFonts w:ascii="Times New Roman" w:hAnsi="Times New Roman" w:cs="Times New Roman"/>
          <w:color w:val="000000" w:themeColor="text1"/>
          <w:spacing w:val="0"/>
          <w:sz w:val="16"/>
          <w:szCs w:val="16"/>
        </w:rPr>
        <w:softHyphen/>
        <w:t>тов Лагг-5 в 1942г. в количестве 30 самолетов,в том числе: в ноябре - 10 самолетов и в декабре - 20 самолетов.</w:t>
      </w:r>
    </w:p>
    <w:p w14:paraId="44C9A65D" w14:textId="77777777" w:rsidR="006F4217" w:rsidRPr="00722885" w:rsidRDefault="006F4217"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3,Обязать директора завода № 21 - т.Гостинцева</w:t>
      </w:r>
      <w:r w:rsidRPr="00722885">
        <w:rPr>
          <w:rStyle w:val="CenturyGothic0pt"/>
          <w:rFonts w:ascii="Times New Roman" w:hAnsi="Times New Roman" w:cs="Times New Roman"/>
          <w:color w:val="000000" w:themeColor="text1"/>
          <w:spacing w:val="0"/>
        </w:rPr>
        <w:t xml:space="preserve"> л</w:t>
      </w:r>
      <w:r w:rsidRPr="00722885">
        <w:rPr>
          <w:rFonts w:ascii="Times New Roman" w:hAnsi="Times New Roman" w:cs="Times New Roman"/>
          <w:color w:val="000000" w:themeColor="text1"/>
          <w:spacing w:val="0"/>
          <w:sz w:val="16"/>
          <w:szCs w:val="16"/>
        </w:rPr>
        <w:t xml:space="preserve"> глав</w:t>
      </w:r>
      <w:r w:rsidRPr="00722885">
        <w:rPr>
          <w:rFonts w:ascii="Times New Roman" w:hAnsi="Times New Roman" w:cs="Times New Roman"/>
          <w:color w:val="000000" w:themeColor="text1"/>
          <w:spacing w:val="0"/>
          <w:sz w:val="16"/>
          <w:szCs w:val="16"/>
        </w:rPr>
        <w:softHyphen/>
        <w:t>ного конструктора самолета Лагг-5 - т.Лавочкина:</w:t>
      </w:r>
    </w:p>
    <w:p w14:paraId="070015C1" w14:textId="77777777" w:rsidR="006F4217" w:rsidRPr="00722885" w:rsidRDefault="006F4217" w:rsidP="00722885">
      <w:pPr>
        <w:pStyle w:val="6"/>
        <w:shd w:val="clear" w:color="auto" w:fill="auto"/>
        <w:tabs>
          <w:tab w:val="left" w:pos="2065"/>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а) передать заводу № 99 до 1.1Х.1942г. пять комплектов чертежей самолета Лагг-5, три комплекта чертежей приспособ</w:t>
      </w:r>
      <w:r w:rsidRPr="00722885">
        <w:rPr>
          <w:rFonts w:ascii="Times New Roman" w:hAnsi="Times New Roman" w:cs="Times New Roman"/>
          <w:color w:val="000000" w:themeColor="text1"/>
          <w:spacing w:val="0"/>
          <w:sz w:val="16"/>
          <w:szCs w:val="16"/>
        </w:rPr>
        <w:softHyphen/>
        <w:t>лений, инструмента и технологическую документацию;</w:t>
      </w:r>
    </w:p>
    <w:p w14:paraId="294F4A08" w14:textId="77777777" w:rsidR="006F4217" w:rsidRPr="00722885" w:rsidRDefault="006F4217" w:rsidP="00722885">
      <w:pPr>
        <w:pStyle w:val="6"/>
        <w:shd w:val="clear" w:color="auto" w:fill="auto"/>
        <w:tabs>
          <w:tab w:val="left" w:pos="2065"/>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б) передать заводу № 99 - 30 самолетов Лагг-5 в агрега</w:t>
      </w:r>
      <w:r w:rsidRPr="00722885">
        <w:rPr>
          <w:rFonts w:ascii="Times New Roman" w:hAnsi="Times New Roman" w:cs="Times New Roman"/>
          <w:color w:val="000000" w:themeColor="text1"/>
          <w:spacing w:val="0"/>
          <w:sz w:val="16"/>
          <w:szCs w:val="16"/>
        </w:rPr>
        <w:softHyphen/>
        <w:t xml:space="preserve">тах и деталях, из них 10 самолетов к </w:t>
      </w:r>
      <w:r w:rsidRPr="00722885">
        <w:rPr>
          <w:rStyle w:val="1pt"/>
          <w:rFonts w:ascii="Times New Roman" w:hAnsi="Times New Roman" w:cs="Times New Roman"/>
          <w:color w:val="000000" w:themeColor="text1"/>
          <w:spacing w:val="0"/>
          <w:sz w:val="16"/>
          <w:szCs w:val="16"/>
        </w:rPr>
        <w:t>1.Х</w:t>
      </w:r>
      <w:r w:rsidRPr="00722885">
        <w:rPr>
          <w:rFonts w:ascii="Times New Roman" w:hAnsi="Times New Roman" w:cs="Times New Roman"/>
          <w:color w:val="000000" w:themeColor="text1"/>
          <w:spacing w:val="0"/>
          <w:sz w:val="16"/>
          <w:szCs w:val="16"/>
        </w:rPr>
        <w:t xml:space="preserve"> и 20 самолетов - к 15.XI.1942г.</w:t>
      </w:r>
    </w:p>
    <w:p w14:paraId="61D7E23B" w14:textId="77777777" w:rsidR="006F4217" w:rsidRPr="00722885" w:rsidRDefault="006F4217"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lastRenderedPageBreak/>
        <w:t>4.Разрешить Наркомавиапрому произвести доукомплектова</w:t>
      </w:r>
      <w:r w:rsidRPr="00722885">
        <w:rPr>
          <w:rFonts w:ascii="Times New Roman" w:hAnsi="Times New Roman" w:cs="Times New Roman"/>
          <w:color w:val="000000" w:themeColor="text1"/>
          <w:spacing w:val="0"/>
          <w:sz w:val="16"/>
          <w:szCs w:val="16"/>
        </w:rPr>
        <w:softHyphen/>
        <w:t>ние завода № 99 необходимым оборудованием (станки, пресса и электрооборудование)в количестве 100 единиц, за счет завода № 39.</w:t>
      </w:r>
    </w:p>
    <w:p w14:paraId="320EDCA8" w14:textId="77777777" w:rsidR="006F4217" w:rsidRPr="00722885" w:rsidRDefault="006F42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5.Обивать Наркомфин СССР - т.Зверева выделить,из резер</w:t>
      </w:r>
      <w:r w:rsidRPr="00722885">
        <w:rPr>
          <w:rFonts w:ascii="Times New Roman" w:hAnsi="Times New Roman"/>
          <w:color w:val="000000" w:themeColor="text1"/>
          <w:sz w:val="16"/>
          <w:szCs w:val="16"/>
        </w:rPr>
        <w:softHyphen/>
        <w:t>вного фонда СНК, заводу 99 - три миллиона рублей на по- становк.у^воизвддства самолетов Лагг-5 (19356).</w:t>
      </w:r>
    </w:p>
    <w:p w14:paraId="7F33F018" w14:textId="77777777" w:rsidR="006F4217" w:rsidRPr="00722885" w:rsidRDefault="006F4217" w:rsidP="00722885">
      <w:pPr>
        <w:spacing w:after="0" w:line="240" w:lineRule="auto"/>
        <w:jc w:val="both"/>
        <w:rPr>
          <w:rFonts w:ascii="Times New Roman" w:hAnsi="Times New Roman"/>
          <w:color w:val="000000" w:themeColor="text1"/>
          <w:sz w:val="16"/>
          <w:szCs w:val="16"/>
        </w:rPr>
      </w:pPr>
    </w:p>
    <w:p w14:paraId="068ECB79" w14:textId="77777777" w:rsidR="006F4217" w:rsidRPr="00722885" w:rsidRDefault="006F42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24 августа 1942 г., вплоть до обретения самостоятельности, 99-й завод выпускал для завода № 125 хвостовую часть фюзеляжа - так называемый отсек Ф-3 Пе-2. Расширение площадей, увеличение состава оборудования и численности персонала позволили ускорить серийный выпуск Пе-2 (12037).</w:t>
      </w:r>
    </w:p>
    <w:p w14:paraId="2F209316" w14:textId="77777777" w:rsidR="006F4217" w:rsidRPr="00722885" w:rsidRDefault="006F4217" w:rsidP="00722885">
      <w:pPr>
        <w:spacing w:after="0" w:line="240" w:lineRule="auto"/>
        <w:jc w:val="both"/>
        <w:rPr>
          <w:rFonts w:ascii="Times New Roman" w:hAnsi="Times New Roman"/>
          <w:color w:val="000000" w:themeColor="text1"/>
          <w:sz w:val="16"/>
          <w:szCs w:val="16"/>
        </w:rPr>
      </w:pPr>
    </w:p>
    <w:p w14:paraId="0FB77A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24 августа с 14 августа 1942 19 Ла-5 в 49-го Краснознаменного иап 234-й иад 1-й воздушной армии в ходе войсковых испытаний совершили 180 боевых вылетов с налетом 130 часов. В 27 воздушных боях летчики полка сбили 16 самолетов противника, при этом свои потери составили десять машин и пять пилотов. Если быть точным, то полк потерял сбитыми пять истребителей, два не вернулись (самолеты № 37310104 и № 37210208), четыре потерпели аварию, будучи подбиты в воздушных боях, один потерпел аварию из-за разрушения втулки главного шатуна двигателя и один из летчиков (фамилия не установлена) 22 августа 1942 года таранил немецкий Ju 88, но при этом разбил и свой самолет.</w:t>
      </w:r>
    </w:p>
    <w:p w14:paraId="0CDC98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отзывам летчиков 49-го Краснознаменного иап ЛаГГ-5 в боевых условиях показал хорошие результаты, а высокие потери связаны с недостаточным освоением материальной части и неполным использованием боевых качеств машины. Например, вторая скорость приводного центробежного нагнетателя мотора включалась на высоте 3800 м, а воевать приходилось преимущественно на высоте 2000-3000 м. Прикрытие бомбардировочной и штурмовой авиации, а также наземных войск осуществлялось одной группой и, по выражению командования полка, было безграмотным.</w:t>
      </w:r>
    </w:p>
    <w:p w14:paraId="05E6361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воздушных боях при наборе высоты на больших скоростях Bfl09F от ЛаГГ-5 не отрывался, а на малых скоростях из-за большего веса ЛаГТ-5 в первый момент отставал, а затем сравнивался с ним по скороподъемности. На виражах наш истребитель заходил в хвост Bf 109F, так как радиус виража последнего был больше. Горизонтальная скорость нашего и немецкого самолетов были одинаковы, но на пикировании ЛаГГ-5 летел быстрее. Вооружение, как выяснилось, вполне устраивало воздушных бойцов.</w:t>
      </w:r>
    </w:p>
    <w:p w14:paraId="6BB701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усложнившейся техники пилотирования истребителя из-за большого веса (3300 кг) и недостаточных компенсаторов рулей по сравнению с ЛаГГ-3 и Як-1, выявились и конструктивные недостатки. Например, отмечены два случая срыва моторных и боковых капотов, не полностью выпускалось костыльное колесо, случались течи бензиновых и масляных баков по сварным швам, после 20-ти часов работы прогорали выхлопные коллекторы. Существенным преимуществом ЛаГГ-5 перед ЛаГГ-3 и Як-1 была защита передней полусферы звездообразным мотором воздушного охлаждения. Живучесть самолета увеличилась.</w:t>
      </w:r>
    </w:p>
    <w:p w14:paraId="66C82F7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Отмечались три случая, когда в воздушном бою пушечным огнем противника были пробиты всасывающий и выхлопнои патрубки одного цилиндра и крышки клапанных коробок, воздушный винт и погнуты ребра цилиндров. Самолет в таком виде благополучно произвел посадку на своем аэродроме, а мотор вскоре восстановили.</w:t>
      </w:r>
    </w:p>
    <w:p w14:paraId="28D134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 выполнении боевых заданий моторы в основном работали на номинальном и форсированном режиме, причем на последнем, порой, до 10-13 минут, в то время, как инструкцией допускалось не более 5 минут. Но практически все двигатели работали нормально. В выводах доклада руководства НИИ ВВС главному инженеру ВВС А. К. Репину отмечалось: </w:t>
      </w:r>
    </w:p>
    <w:p w14:paraId="7CD072E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опыт эксплуатации моторов М-82 в боевых условиях на самолетах- истребителях показывает удовлетворительные результаты. Летный и технический состав дают положительную оценку самолету ЛаГ-5 с мотором М-82 как по надежности работы мотора, так и по уходу и эксплуатации мотора на земле..." (12032).</w:t>
      </w:r>
    </w:p>
    <w:p w14:paraId="63D49DD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EB9566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1942 вышло Постановление ГКО № 2210 О производстве моторов М-82 на заводе N29 в г. Омске. РГАНИР, Фонд ГКО, д. 53, лл. 76-78 (11012).</w:t>
      </w:r>
    </w:p>
    <w:p w14:paraId="5734271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6CDC694" w14:textId="77777777" w:rsidR="006F4217" w:rsidRPr="00722885" w:rsidRDefault="006F42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1942 вышло Постановление ГКО № 2210 О производстве моторов М-82 на заводе N29 в г. Омске</w:t>
      </w:r>
    </w:p>
    <w:p w14:paraId="1F47C7FA" w14:textId="77777777" w:rsidR="006F4217" w:rsidRPr="00722885"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Государственный Комитет Обороны постановляет:</w:t>
      </w:r>
    </w:p>
    <w:p w14:paraId="1FCF7BBE" w14:textId="77777777" w:rsidR="006F4217" w:rsidRPr="00722885" w:rsidRDefault="006F4217" w:rsidP="00722885">
      <w:pPr>
        <w:pStyle w:val="36"/>
        <w:shd w:val="clear" w:color="auto" w:fill="auto"/>
        <w:tabs>
          <w:tab w:val="left" w:pos="1188"/>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1. Обязать Наркомавийпром «г.Шахурина и директора за</w:t>
      </w:r>
      <w:r w:rsidRPr="00722885">
        <w:rPr>
          <w:rFonts w:ascii="Times New Roman" w:cs="Times New Roman"/>
          <w:color w:val="000000" w:themeColor="text1"/>
          <w:spacing w:val="0"/>
          <w:sz w:val="16"/>
          <w:szCs w:val="16"/>
        </w:rPr>
        <w:softHyphen/>
        <w:t>вода № 29 т.Борисова:</w:t>
      </w:r>
    </w:p>
    <w:p w14:paraId="75CAEB28" w14:textId="77777777" w:rsidR="006F4217" w:rsidRPr="00722885" w:rsidRDefault="006F4217" w:rsidP="00722885">
      <w:pPr>
        <w:pStyle w:val="36"/>
        <w:shd w:val="clear" w:color="auto" w:fill="auto"/>
        <w:tabs>
          <w:tab w:val="left" w:pos="1195"/>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а) поставить производство моторов М-82 на заводе 29, сохраниз одновременно производство моторов М-88, ограничив выпуск моторов до 16 штук в день, начиная с 24 явгуста </w:t>
      </w:r>
      <w:r w:rsidRPr="00722885">
        <w:rPr>
          <w:rStyle w:val="1pt"/>
          <w:rFonts w:ascii="Times New Roman" w:cs="Times New Roman"/>
          <w:color w:val="000000" w:themeColor="text1"/>
          <w:spacing w:val="0"/>
          <w:sz w:val="16"/>
          <w:szCs w:val="16"/>
        </w:rPr>
        <w:t>с.г.;</w:t>
      </w:r>
    </w:p>
    <w:p w14:paraId="04AC5426" w14:textId="77777777" w:rsidR="006F4217" w:rsidRPr="00722885" w:rsidRDefault="006F4217" w:rsidP="00722885">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б) установить следующую программу выпуска моторов М-82 на заводе № 29 в 1942 году:</w:t>
      </w:r>
    </w:p>
    <w:p w14:paraId="6224D798" w14:textId="77777777" w:rsidR="006F4217" w:rsidRPr="00722885"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октябре месяце - 15 моторов</w:t>
      </w:r>
    </w:p>
    <w:p w14:paraId="3A6FDF5A" w14:textId="77777777" w:rsidR="006F4217" w:rsidRPr="00722885"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ноябре месяце - 50 моторов</w:t>
      </w:r>
    </w:p>
    <w:p w14:paraId="70D84035" w14:textId="77777777" w:rsidR="006F4217" w:rsidRPr="00722885"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декабре месяце - 100 моторов с выходом</w:t>
      </w:r>
      <w:r w:rsidRPr="00722885">
        <w:rPr>
          <w:rFonts w:ascii="Times New Roman" w:cs="Times New Roman"/>
          <w:color w:val="000000" w:themeColor="text1"/>
          <w:spacing w:val="0"/>
          <w:sz w:val="16"/>
          <w:szCs w:val="16"/>
          <w:vertAlign w:val="subscript"/>
        </w:rPr>
        <w:t>;</w:t>
      </w:r>
      <w:r w:rsidRPr="00722885">
        <w:rPr>
          <w:rFonts w:ascii="Times New Roman" w:cs="Times New Roman"/>
          <w:color w:val="000000" w:themeColor="text1"/>
          <w:spacing w:val="0"/>
          <w:sz w:val="16"/>
          <w:szCs w:val="16"/>
        </w:rPr>
        <w:t xml:space="preserve"> д декабре 1942 гсда на выпуск шести моторов в день.</w:t>
      </w:r>
    </w:p>
    <w:p w14:paraId="33241A28" w14:textId="77777777" w:rsidR="006F4217" w:rsidRPr="00722885" w:rsidRDefault="006F4217" w:rsidP="00722885">
      <w:pPr>
        <w:pStyle w:val="36"/>
        <w:shd w:val="clear" w:color="auto" w:fill="auto"/>
        <w:tabs>
          <w:tab w:val="left" w:pos="1208"/>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2. Обязать директора завода</w:t>
      </w:r>
      <w:r w:rsidRPr="00722885">
        <w:rPr>
          <w:rStyle w:val="TrebuchetMS105pt"/>
          <w:rFonts w:ascii="Times New Roman" w:hAnsi="Times New Roman" w:cs="Times New Roman"/>
          <w:color w:val="000000" w:themeColor="text1"/>
          <w:sz w:val="16"/>
          <w:szCs w:val="16"/>
        </w:rPr>
        <w:t xml:space="preserve"> №</w:t>
      </w:r>
      <w:r w:rsidRPr="00722885">
        <w:rPr>
          <w:rFonts w:ascii="Times New Roman" w:cs="Times New Roman"/>
          <w:color w:val="000000" w:themeColor="text1"/>
          <w:spacing w:val="0"/>
          <w:sz w:val="16"/>
          <w:szCs w:val="16"/>
        </w:rPr>
        <w:t xml:space="preserve"> 19 т.Солдатова:</w:t>
      </w:r>
    </w:p>
    <w:p w14:paraId="0B0C2F66" w14:textId="77777777" w:rsidR="006F4217" w:rsidRPr="00722885" w:rsidRDefault="006F4217" w:rsidP="00722885">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а) оказать заводу № 29 техническую помощь по произ</w:t>
      </w:r>
      <w:r w:rsidRPr="00722885">
        <w:rPr>
          <w:rFonts w:ascii="Times New Roman" w:cs="Times New Roman"/>
          <w:color w:val="000000" w:themeColor="text1"/>
          <w:spacing w:val="0"/>
          <w:sz w:val="16"/>
          <w:szCs w:val="16"/>
        </w:rPr>
        <w:softHyphen/>
        <w:t>водству моторов М-82;</w:t>
      </w:r>
    </w:p>
    <w:p w14:paraId="6D831EBD" w14:textId="77777777" w:rsidR="006F4217" w:rsidRPr="00722885" w:rsidRDefault="006F4217" w:rsidP="00722885">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б) поставить заводу № 29 25о комплектов литья мото</w:t>
      </w:r>
      <w:r w:rsidRPr="00722885">
        <w:rPr>
          <w:rFonts w:ascii="Times New Roman" w:cs="Times New Roman"/>
          <w:color w:val="000000" w:themeColor="text1"/>
          <w:spacing w:val="0"/>
          <w:sz w:val="16"/>
          <w:szCs w:val="16"/>
        </w:rPr>
        <w:softHyphen/>
        <w:t>ров М-82 в следующие сроки:</w:t>
      </w:r>
    </w:p>
    <w:p w14:paraId="5A3F2BD3" w14:textId="77777777" w:rsidR="006F4217" w:rsidRPr="00722885"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сентябре - 50 комплектов</w:t>
      </w:r>
    </w:p>
    <w:p w14:paraId="44811E89" w14:textId="77777777" w:rsidR="006F4217" w:rsidRPr="00722885"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октябре - 100 комплектов</w:t>
      </w:r>
    </w:p>
    <w:p w14:paraId="287D424A" w14:textId="77777777" w:rsidR="006F4217" w:rsidRPr="00722885"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ноябре - 100 комплектов;</w:t>
      </w:r>
    </w:p>
    <w:p w14:paraId="6864E686" w14:textId="77777777" w:rsidR="006F4217" w:rsidRPr="00722885" w:rsidRDefault="006F4217" w:rsidP="00722885">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поставить заводу № 29 клапана и поршневые кольца в готовом виде в количествах, обеспечивающих программу выпуска моторов М-82 в 1942 году.</w:t>
      </w:r>
    </w:p>
    <w:p w14:paraId="01EC9420" w14:textId="77777777" w:rsidR="006F4217" w:rsidRPr="00722885" w:rsidRDefault="006F4217" w:rsidP="00722885">
      <w:pPr>
        <w:tabs>
          <w:tab w:val="left" w:pos="99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директора завода № 29 т.Борисова к главно</w:t>
      </w:r>
      <w:r w:rsidRPr="00722885">
        <w:rPr>
          <w:rFonts w:ascii="Times New Roman" w:hAnsi="Times New Roman"/>
          <w:color w:val="000000" w:themeColor="text1"/>
          <w:sz w:val="16"/>
          <w:szCs w:val="16"/>
        </w:rPr>
        <w:softHyphen/>
        <w:t>го конструктора т.Урмина продолжать работу по доводке мо</w:t>
      </w:r>
      <w:r w:rsidRPr="00722885">
        <w:rPr>
          <w:rFonts w:ascii="Times New Roman" w:hAnsi="Times New Roman"/>
          <w:color w:val="000000" w:themeColor="text1"/>
          <w:sz w:val="16"/>
          <w:szCs w:val="16"/>
        </w:rPr>
        <w:softHyphen/>
        <w:t>тора М-90 до государственных испытаний, изготовив для этой цели 15 моторов М-90.</w:t>
      </w:r>
    </w:p>
    <w:p w14:paraId="6BFB4340" w14:textId="77777777" w:rsidR="006F4217" w:rsidRPr="00722885" w:rsidRDefault="006F4217" w:rsidP="00722885">
      <w:pPr>
        <w:tabs>
          <w:tab w:val="left" w:pos="100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Обязать Наркомчермет т.Тевосяна обеспечить в 1942 году поставку заводу № 29 60 наименований стальных поковок для мотора М-82 с Чебаркульского завода, по специ</w:t>
      </w:r>
      <w:r w:rsidRPr="00722885">
        <w:rPr>
          <w:rFonts w:ascii="Times New Roman" w:hAnsi="Times New Roman"/>
          <w:color w:val="000000" w:themeColor="text1"/>
          <w:sz w:val="16"/>
          <w:szCs w:val="16"/>
        </w:rPr>
        <w:softHyphen/>
        <w:t>фикации Наркомавиапрома,</w:t>
      </w:r>
      <w:r w:rsidRPr="00722885">
        <w:rPr>
          <w:rStyle w:val="aff8"/>
          <w:rFonts w:ascii="Times New Roman" w:hAnsi="Times New Roman" w:cs="Times New Roman"/>
          <w:b w:val="0"/>
          <w:color w:val="000000" w:themeColor="text1"/>
          <w:spacing w:val="0"/>
          <w:sz w:val="16"/>
          <w:szCs w:val="16"/>
        </w:rPr>
        <w:t xml:space="preserve"> в</w:t>
      </w:r>
      <w:r w:rsidRPr="00722885">
        <w:rPr>
          <w:rFonts w:ascii="Times New Roman" w:hAnsi="Times New Roman"/>
          <w:color w:val="000000" w:themeColor="text1"/>
          <w:sz w:val="16"/>
          <w:szCs w:val="16"/>
        </w:rPr>
        <w:t xml:space="preserve"> количестве 500 комплектов, на</w:t>
      </w:r>
      <w:r w:rsidRPr="00722885">
        <w:rPr>
          <w:rFonts w:ascii="Times New Roman" w:hAnsi="Times New Roman"/>
          <w:color w:val="000000" w:themeColor="text1"/>
          <w:sz w:val="16"/>
          <w:szCs w:val="16"/>
        </w:rPr>
        <w:softHyphen/>
        <w:t>чиная с 15 октября с.г. равными партиями.</w:t>
      </w:r>
    </w:p>
    <w:p w14:paraId="214FCDDD" w14:textId="77777777" w:rsidR="006F4217" w:rsidRPr="00722885" w:rsidRDefault="006F4217" w:rsidP="00722885">
      <w:pPr>
        <w:tabs>
          <w:tab w:val="left" w:pos="100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Обязать Наркомвооружения т.Устинова и директора завода № 172 т.Быховского поставить заводу № 29 НКАП в сентябре и октябре месяцах 1942 года по 100 комплектов стальных штамповок для мотора М-82 по номенклатуре завода № 29.</w:t>
      </w:r>
    </w:p>
    <w:p w14:paraId="0D995927" w14:textId="77777777" w:rsidR="006F4217" w:rsidRPr="00722885" w:rsidRDefault="006F42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Поставку произвести за счст заказов завода 19.</w:t>
      </w:r>
    </w:p>
    <w:p w14:paraId="4EFDD3AE" w14:textId="77777777" w:rsidR="006F4217" w:rsidRPr="00722885" w:rsidRDefault="006F4217" w:rsidP="00722885">
      <w:pPr>
        <w:tabs>
          <w:tab w:val="left" w:pos="101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Обязать Наркомфин т.3верева выделить Наркомавиапрому из резервного фонда СНК СССР 10 миллионов рублей для завода № 29 на постановку производства мотора М-82 без отнесения на себестоимость.</w:t>
      </w:r>
    </w:p>
    <w:p w14:paraId="7AAEA1FC" w14:textId="77777777" w:rsidR="006F4217" w:rsidRPr="00722885" w:rsidRDefault="006F4217" w:rsidP="00722885">
      <w:pPr>
        <w:tabs>
          <w:tab w:val="left" w:pos="99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Обязать Наркомалектростанций т.Жимерина обеспе</w:t>
      </w:r>
      <w:r w:rsidRPr="00722885">
        <w:rPr>
          <w:rFonts w:ascii="Times New Roman" w:hAnsi="Times New Roman"/>
          <w:color w:val="000000" w:themeColor="text1"/>
          <w:sz w:val="16"/>
          <w:szCs w:val="16"/>
        </w:rPr>
        <w:softHyphen/>
        <w:t>чить завод № 29 бесперебойным снабжением электроэнергией в количестве 10.000 квт.</w:t>
      </w:r>
    </w:p>
    <w:p w14:paraId="18893058" w14:textId="77777777" w:rsidR="006F4217" w:rsidRPr="00722885" w:rsidRDefault="006F4217" w:rsidP="00722885">
      <w:pPr>
        <w:tabs>
          <w:tab w:val="left" w:pos="101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Обязать НКВД т.Чернышева:</w:t>
      </w:r>
    </w:p>
    <w:p w14:paraId="621053BE" w14:textId="77777777" w:rsidR="006F4217" w:rsidRPr="00722885" w:rsidRDefault="006F4217" w:rsidP="00722885">
      <w:pPr>
        <w:tabs>
          <w:tab w:val="left" w:pos="1000"/>
        </w:tabs>
        <w:spacing w:after="0" w:line="240" w:lineRule="auto"/>
        <w:jc w:val="both"/>
        <w:rPr>
          <w:rFonts w:ascii="Times New Roman" w:hAnsi="Times New Roman"/>
          <w:color w:val="000000" w:themeColor="text1"/>
          <w:sz w:val="16"/>
          <w:szCs w:val="16"/>
        </w:rPr>
      </w:pPr>
      <w:r w:rsidRPr="00722885">
        <w:rPr>
          <w:rStyle w:val="aff8"/>
          <w:rFonts w:ascii="Times New Roman" w:hAnsi="Times New Roman" w:cs="Times New Roman"/>
          <w:b w:val="0"/>
          <w:color w:val="000000" w:themeColor="text1"/>
          <w:spacing w:val="0"/>
          <w:sz w:val="16"/>
          <w:szCs w:val="16"/>
        </w:rPr>
        <w:t xml:space="preserve">а) </w:t>
      </w:r>
      <w:r w:rsidRPr="00722885">
        <w:rPr>
          <w:rFonts w:ascii="Times New Roman" w:hAnsi="Times New Roman"/>
          <w:color w:val="000000" w:themeColor="text1"/>
          <w:sz w:val="16"/>
          <w:szCs w:val="16"/>
        </w:rPr>
        <w:t>довести</w:t>
      </w:r>
      <w:r w:rsidRPr="00722885">
        <w:rPr>
          <w:rStyle w:val="aff8"/>
          <w:rFonts w:ascii="Times New Roman" w:hAnsi="Times New Roman" w:cs="Times New Roman"/>
          <w:b w:val="0"/>
          <w:color w:val="000000" w:themeColor="text1"/>
          <w:spacing w:val="0"/>
          <w:sz w:val="16"/>
          <w:szCs w:val="16"/>
        </w:rPr>
        <w:t xml:space="preserve"> выход рабсилы ИТК, работающей на</w:t>
      </w:r>
      <w:r w:rsidRPr="00722885">
        <w:rPr>
          <w:rFonts w:ascii="Times New Roman" w:hAnsi="Times New Roman"/>
          <w:color w:val="000000" w:themeColor="text1"/>
          <w:sz w:val="16"/>
          <w:szCs w:val="16"/>
        </w:rPr>
        <w:t xml:space="preserve"> строи</w:t>
      </w:r>
      <w:r w:rsidRPr="00722885">
        <w:rPr>
          <w:rFonts w:ascii="Times New Roman" w:hAnsi="Times New Roman"/>
          <w:color w:val="000000" w:themeColor="text1"/>
          <w:sz w:val="16"/>
          <w:szCs w:val="16"/>
        </w:rPr>
        <w:softHyphen/>
        <w:t>тельстве</w:t>
      </w:r>
      <w:r w:rsidRPr="00722885">
        <w:rPr>
          <w:rStyle w:val="aff8"/>
          <w:rFonts w:ascii="Times New Roman" w:hAnsi="Times New Roman" w:cs="Times New Roman"/>
          <w:b w:val="0"/>
          <w:color w:val="000000" w:themeColor="text1"/>
          <w:spacing w:val="0"/>
          <w:sz w:val="16"/>
          <w:szCs w:val="16"/>
        </w:rPr>
        <w:t xml:space="preserve"> завода</w:t>
      </w:r>
      <w:r w:rsidRPr="00722885">
        <w:rPr>
          <w:rStyle w:val="1pt"/>
          <w:rFonts w:ascii="Times New Roman" w:hAnsi="Times New Roman" w:cs="Times New Roman"/>
          <w:color w:val="000000" w:themeColor="text1"/>
          <w:spacing w:val="0"/>
          <w:sz w:val="16"/>
          <w:szCs w:val="16"/>
        </w:rPr>
        <w:t xml:space="preserve"> №29,</w:t>
      </w:r>
      <w:r w:rsidRPr="00722885">
        <w:rPr>
          <w:rStyle w:val="aff8"/>
          <w:rFonts w:ascii="Times New Roman" w:hAnsi="Times New Roman" w:cs="Times New Roman"/>
          <w:b w:val="0"/>
          <w:color w:val="000000" w:themeColor="text1"/>
          <w:spacing w:val="0"/>
          <w:sz w:val="16"/>
          <w:szCs w:val="16"/>
        </w:rPr>
        <w:t xml:space="preserve"> до</w:t>
      </w:r>
      <w:r w:rsidRPr="00722885">
        <w:rPr>
          <w:rFonts w:ascii="Times New Roman" w:hAnsi="Times New Roman"/>
          <w:color w:val="000000" w:themeColor="text1"/>
          <w:sz w:val="16"/>
          <w:szCs w:val="16"/>
        </w:rPr>
        <w:t xml:space="preserve"> 3.000 человек, предусмотренных договором с трестом № 2 НКАП;</w:t>
      </w:r>
    </w:p>
    <w:p w14:paraId="27698D92" w14:textId="77777777" w:rsidR="006F4217" w:rsidRPr="00722885" w:rsidRDefault="006F4217" w:rsidP="00722885">
      <w:pPr>
        <w:tabs>
          <w:tab w:val="left" w:pos="99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отпускать для строительства завода № 29 ежемесяч</w:t>
      </w:r>
      <w:r w:rsidRPr="00722885">
        <w:rPr>
          <w:rFonts w:ascii="Times New Roman" w:hAnsi="Times New Roman"/>
          <w:color w:val="000000" w:themeColor="text1"/>
          <w:sz w:val="16"/>
          <w:szCs w:val="16"/>
        </w:rPr>
        <w:softHyphen/>
        <w:t>но 500.000 штук кирпича с завода № 11.</w:t>
      </w:r>
    </w:p>
    <w:p w14:paraId="1768E2F2" w14:textId="77777777" w:rsidR="006F4217" w:rsidRPr="00722885" w:rsidRDefault="006F4217" w:rsidP="00722885">
      <w:pPr>
        <w:tabs>
          <w:tab w:val="left" w:pos="100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Обязать Омский облисполком т.Евстигнеева выделять ежемесячно тресту 2 НКАП для строительства завода № 29 два миллиона штук кирпича.</w:t>
      </w:r>
    </w:p>
    <w:p w14:paraId="2DD72DA4" w14:textId="77777777" w:rsidR="006F4217" w:rsidRPr="00722885" w:rsidRDefault="006F42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Обязать НКПС т.Хрулева:</w:t>
      </w:r>
    </w:p>
    <w:p w14:paraId="32FEAA3F" w14:textId="77777777" w:rsidR="006F4217" w:rsidRPr="00722885" w:rsidRDefault="006F42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выделить две вертушки тресту 2 для перевозки местных материалов со ст.Боровое;</w:t>
      </w:r>
    </w:p>
    <w:p w14:paraId="6ED5F92B" w14:textId="77777777" w:rsidR="006F4217" w:rsidRPr="00722885" w:rsidRDefault="006F42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поставить в сентябре-октябре с.г. трес.у № г 20.000 кубометров песка из Славгородского карьера к 50.000 кубометров шлака (19367).</w:t>
      </w:r>
    </w:p>
    <w:p w14:paraId="21C4CF00" w14:textId="77777777" w:rsidR="006F4217" w:rsidRPr="00722885" w:rsidRDefault="006F4217" w:rsidP="00722885">
      <w:pPr>
        <w:spacing w:after="0" w:line="240" w:lineRule="auto"/>
        <w:jc w:val="both"/>
        <w:rPr>
          <w:rFonts w:ascii="Times New Roman" w:hAnsi="Times New Roman"/>
          <w:color w:val="000000" w:themeColor="text1"/>
          <w:sz w:val="16"/>
          <w:szCs w:val="16"/>
        </w:rPr>
      </w:pPr>
    </w:p>
    <w:p w14:paraId="1645E78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2CFE62F" w14:textId="77777777" w:rsidR="00AE7191" w:rsidRPr="00722885" w:rsidRDefault="00AE7191" w:rsidP="00722885">
      <w:pPr>
        <w:pStyle w:val="Iauiue"/>
        <w:jc w:val="both"/>
        <w:rPr>
          <w:iCs/>
          <w:color w:val="000000" w:themeColor="text1"/>
          <w:sz w:val="16"/>
          <w:szCs w:val="16"/>
        </w:rPr>
      </w:pPr>
    </w:p>
    <w:p w14:paraId="4CBE5F2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24 августа 1942 вышло постановление ГКО о расширении заводов, выпускающих азотную кислоту и аммиак, а также о строительстве новых химических заводов (5484,441).</w:t>
      </w:r>
    </w:p>
    <w:p w14:paraId="3E546ED2" w14:textId="77777777" w:rsidR="00AE7191" w:rsidRPr="00722885" w:rsidRDefault="00AE7191" w:rsidP="00722885">
      <w:pPr>
        <w:pStyle w:val="Iauiue"/>
        <w:tabs>
          <w:tab w:val="left" w:pos="11199"/>
        </w:tabs>
        <w:jc w:val="both"/>
        <w:rPr>
          <w:color w:val="000000" w:themeColor="text1"/>
          <w:sz w:val="16"/>
          <w:szCs w:val="16"/>
        </w:rPr>
      </w:pPr>
    </w:p>
    <w:p w14:paraId="482C557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24 августа 1942 вышло Постановление ГКО № 2211 О неотложных мерах по увеличению добычи угля в Кузнецком бассейне. (7051, 79-94,95-110).</w:t>
      </w:r>
    </w:p>
    <w:p w14:paraId="67D794A3" w14:textId="77777777" w:rsidR="00AE7191" w:rsidRPr="00722885" w:rsidRDefault="00AE7191" w:rsidP="00722885">
      <w:pPr>
        <w:pStyle w:val="Iauiue"/>
        <w:tabs>
          <w:tab w:val="left" w:pos="11199"/>
        </w:tabs>
        <w:jc w:val="both"/>
        <w:rPr>
          <w:color w:val="000000" w:themeColor="text1"/>
          <w:sz w:val="16"/>
          <w:szCs w:val="16"/>
        </w:rPr>
      </w:pPr>
    </w:p>
    <w:p w14:paraId="546E2C5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1942 вышло Постановление ГКО № 2212 О восстановлении производства химического оборудования завода "Большевик" на Уралтяжхиммаше НКМВ. РГАНИР, Фонд ГКО, д. 53, лл. 110-114 (11012).</w:t>
      </w:r>
    </w:p>
    <w:p w14:paraId="21A7305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5F6385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1942 вышло Постановление ГКО № 2213 О вводе в действие в 1942 году на Магнитогорском металлургическом комбинате одной доменной печи мощностью 500 тыс.т чугуна и трех мартеновских печей мощностью 420 тыс.т стали в гоРГАНИР, Фонд ГКО, д. РГАНИР, Фонд ГКО, д. 53, лл. 115-125, 126-139 (11012).</w:t>
      </w:r>
    </w:p>
    <w:p w14:paraId="71DB7CE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C537E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1942 в Горьком на заводе боеприпасов № 558, который находился в Ждановском районе, рядом с Оперным театром, и специализировался на холодной металлообработке корпусов снарядов [101] , тоже была проведена проверка состояния МПВО. В итоге, как обычно, выявилось много недостатков.</w:t>
      </w:r>
    </w:p>
    <w:p w14:paraId="7A3A837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«Оперативного плана нет, боевая подготовка проводится неудовлетворительно, учета хода боевой подготовки в штабе нет. Занятия с рядовым составом проводятся один раз в неделю по три часа без отрыва от производства. КП оборудован плохо… К противопожарной защите завод не готов. Не хватает 300м пожарных рукавов, 40бочек, 100лопат… В краны деревообделочного цеха не подана вода. Территория захламлена мусором, ломаными ящиками, обрезками, стройматериалами… Вывод: завод не готов к местной ПВО». </w:t>
      </w:r>
    </w:p>
    <w:p w14:paraId="31D3A11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следующий день, 25 августа, исполком горсовета объявил директору завода «Красная Этна» Романову выговор за игнорирование технической маскировки (11774).</w:t>
      </w:r>
    </w:p>
    <w:p w14:paraId="1ED6BB7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A7F767D" w14:textId="77777777" w:rsidR="00873549" w:rsidRPr="00722885" w:rsidRDefault="0087354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августа 1942 года в городе Рубцовске с конвейера Алтайского тракторного завода, созданного на базе эвакуированного Харьковского тракторного, сошел первый в Сибири гусеничный трактор СХТЗ-НАТИ, а уже в декабре 1943 года завод выпустил первую тысячу гусеничных тракторов. Их стали обозначать АТЗ-НАТИ или АСХТЗ-НАТИ и выпускали здесь до 1952 года (21192).</w:t>
      </w:r>
    </w:p>
    <w:p w14:paraId="36F19079" w14:textId="77777777" w:rsidR="00873549" w:rsidRPr="00722885" w:rsidRDefault="00873549" w:rsidP="00722885">
      <w:pPr>
        <w:pStyle w:val="36"/>
        <w:shd w:val="clear" w:color="auto" w:fill="auto"/>
        <w:spacing w:after="0" w:line="240" w:lineRule="auto"/>
        <w:jc w:val="both"/>
        <w:rPr>
          <w:rFonts w:ascii="Times New Roman" w:cs="Times New Roman"/>
          <w:color w:val="0070C0"/>
          <w:spacing w:val="0"/>
          <w:sz w:val="16"/>
          <w:szCs w:val="16"/>
        </w:rPr>
      </w:pPr>
    </w:p>
    <w:p w14:paraId="2EE226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24 августа 1942 г. был утвержден эскизный проект большого морского охотника, а 2 октября того же года в цехах завода началась обработка стали для головного катера, который был сдан 31 мая 1943 г. Всего заводом 196 в 1943—1945 гг. бьшо построено 66 катеров БМО, из них 18 уже по</w:t>
      </w:r>
      <w:r w:rsidRPr="00722885">
        <w:rPr>
          <w:color w:val="000000" w:themeColor="text1"/>
          <w:sz w:val="16"/>
          <w:szCs w:val="16"/>
        </w:rPr>
        <w:softHyphen/>
        <w:t>сле победы над Германией (3898).</w:t>
      </w:r>
    </w:p>
    <w:p w14:paraId="34E858BF" w14:textId="77777777" w:rsidR="00AE7191" w:rsidRPr="00722885" w:rsidRDefault="00AE7191" w:rsidP="00722885">
      <w:pPr>
        <w:pStyle w:val="Iauiue"/>
        <w:jc w:val="both"/>
        <w:rPr>
          <w:color w:val="000000" w:themeColor="text1"/>
          <w:sz w:val="16"/>
          <w:szCs w:val="16"/>
        </w:rPr>
      </w:pPr>
    </w:p>
    <w:p w14:paraId="50A15F9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1942 г. был утвержден проект бронированного морского охотника БМО пр. 194 КБ-196 /г. Ленинград/.</w:t>
      </w:r>
    </w:p>
    <w:p w14:paraId="59DE0E2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(1942 г.)- В.М. Мудров.</w:t>
      </w:r>
    </w:p>
    <w:p w14:paraId="36D111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Ведущий конструктор (1942 г.)- А.Н. Тюшкевич (БМО) (11982).</w:t>
      </w:r>
    </w:p>
    <w:p w14:paraId="0D8A221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74A61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1942 утвержден эскизный проект БМО, разработанный на "Судомехе" (полное водоизмещение 62 т, длина 24, ширина 4,2, осадка 1,26 м, скорость полного хода 22 узла, мощность двух бензомоторов 2x1200 л. с., дальность плавания при 6 узлах - 1300 миль, вооружение - орудия калибром 37 и 45 мм, два спаренных пулемета, глубинные бомбы 8 шт., мины 10 шт., толщина брони -8-10 мм) (10671).</w:t>
      </w:r>
    </w:p>
    <w:p w14:paraId="4B84F4B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6ABD29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8BBA03C" w14:textId="77777777" w:rsidR="00AE7191" w:rsidRPr="00722885" w:rsidRDefault="00AE7191" w:rsidP="00722885">
      <w:pPr>
        <w:pStyle w:val="Iauiue"/>
        <w:jc w:val="both"/>
        <w:rPr>
          <w:iCs/>
          <w:color w:val="000000" w:themeColor="text1"/>
          <w:sz w:val="16"/>
          <w:szCs w:val="16"/>
        </w:rPr>
      </w:pPr>
    </w:p>
    <w:p w14:paraId="60FEF769"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в 1942 году утреннее сообщение Совинформбюро:</w:t>
      </w:r>
    </w:p>
    <w:p w14:paraId="30665A47"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24 августа наши войска вели бои с противником в районах юго-восточнее Клетская, северо-восточнее Котельниково, юго-восточнее Пятигорскаи южнее Краснодара.</w:t>
      </w:r>
    </w:p>
    <w:p w14:paraId="61A2152E"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2213792D"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бойцы Н-ского подразделения ночью ворвались в расположение противника. Штыками и гранатами они истребили свыше 100 гитлеровцев, уничтожили радиостанцию, броневик и 6 автомашин. Юго-восточнее Клетской наши части вели ожесточённые бои с немецко-фашистскими войсками, переправившимися на левый берегДона.</w:t>
      </w:r>
    </w:p>
    <w:p w14:paraId="601C89AA"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противник на одном из участков,сосредоточив значительное число танков, вклинился в передний край нашей обороны. Наши войска вели ожесточённые бои с этой группировкой противника. Н-ское танковое подразделение нанесло неприятелю удар с фланга и уничтожило 7 немецких танков и свыше 200 гитлеровцев. В боях у населённого пункта наша пехотная часть разбила батальон румынской пехоты.</w:t>
      </w:r>
    </w:p>
    <w:p w14:paraId="41DA223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наши части вели оборонительные бои с танками и пехотой противника. Ночью разведчики Н-ской части обнаружили у населённогопункта большое скопление немецких танков, автомашин и повозок. Огневым налётом нашей артиллерии скопление танков и мотопехоты противника было рассеяно.Уничтожено более 150 немецких солдат и офицеров, 8 танков, 300 автомашин и 15 повозок с боеприпасами.</w:t>
      </w:r>
    </w:p>
    <w:p w14:paraId="685E66B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Пятигорска наши части на одном из участков после упорных боёв отошли на новый оборонительный рубеж.</w:t>
      </w:r>
    </w:p>
    <w:p w14:paraId="0896C403"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активно действовала наша авиация. Две группы наших бомбардировщиков во главе с тт. Ляхом и Струенковым нанесли удар по аэродромам противника. Уничтожено 3 немецких самолёта. Шесть штурмовиков во главе со старшим лейтенантом Олейником уничтожили на другом вражеском аэродроме 10 самолётов «Юнкерс-52». В воздушном бою сбит немецкий самолёт «Мессершмитт-109». Наша авиация потерь не имела.</w:t>
      </w:r>
    </w:p>
    <w:p w14:paraId="1AEA588C"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Карело-финский партизанский отряд «Полярник» под командованием тов. П.совершил смелый налёт на железнодорожную станцию. Партизаны взорвали три склада с боеприпасами и железнодорожные стрелки.</w:t>
      </w:r>
    </w:p>
    <w:p w14:paraId="2B53A1D7"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июля гитлеровцы и их финские подручные в торжественной обстановке открыли только что построенный мост длиною около 70 метров. В ночь на 20 июля этот мост был взорван партизанами отряда «Полярник». Через несколько дней бойцы этого же отряда пустили под откос железнодорожный эшелон с боеприпасами и истребили 78 вражеских солдат и офицеров.</w:t>
      </w:r>
    </w:p>
    <w:p w14:paraId="42748AAC"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поле боя подобрано неотправленное письмо итальянского солдата Энрико Каллючио к родным в Милан. В письме говорится: «Мне приходится очень тяжело. Здесь творится что-то ужасное. Я мечтаю о том, чтобы вырваться отсюда на родину. Я готов жить под землёй, в любой яме, лишь бы избавиться от этого ада. Наш полк только недавно получил боевое крещение, но ряды берсальеров уже поредели. Скаждым днём нас становится всё меньше и меньше. Ночью напали на нас казаки и устроили кровавую мясорубку. В эту ночь погибло свыше двухсот человек. Убиты Феличе, Пьетро, Витторио и другие. Трупы товарищей наводят на меня ужас, и я теряю последние остатки бодрости. Да, здесь можно с ума сойти. Я всё больше убеждаюсь в том, что путь в Россию ведёт к смерти и гибели».</w:t>
      </w:r>
    </w:p>
    <w:p w14:paraId="0BF8D2F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деревне Рябинки, Калининской области, немецко-фашистские мерзавцы бросили колхозника Лотова Ивана в сарай и в течение нескольких дней морили голодом.</w:t>
      </w:r>
    </w:p>
    <w:p w14:paraId="63C1DF1D"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Колхозницы Арина Сторожкова и Татьяна Смирнова пытались передать арестованному хлеб. Гитлеровские бандиты схватили женщин и повесили их.</w:t>
      </w:r>
    </w:p>
    <w:p w14:paraId="1F993AC5"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Норвегии наблюдается массовое бегство рабочих с военных предприятий, выпускающих продукцию для германской армии. В Северной Норвегии бросили работу искрылись свыше 500 рабочих, занятых на строительстве военных объектов. Многие норвежцы ушли в леса и там скрываются от оккупантов.» (14992).</w:t>
      </w:r>
    </w:p>
    <w:p w14:paraId="54706C3C"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77F51D6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в 1942 году вечернее сообщение Совинформбюро:</w:t>
      </w:r>
    </w:p>
    <w:p w14:paraId="1174D51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24 августа наши войска вели бои с противником в районах юго-восточнее Клетская, северо-восточнее Котельниково, а также в районе Прохладный и южнее Краснодара.</w:t>
      </w:r>
    </w:p>
    <w:p w14:paraId="4A1F14A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2567B025"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Финском заливе потоплен транспорт противника водоизмещением в 7 тыс. тонн.</w:t>
      </w:r>
    </w:p>
    <w:p w14:paraId="15DD49BF"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23 августа частями нашей авиации на различных участках фронта уничтоженоили повреждено до 20 немецких танков, более 100 автомашин с войсками и грузами,до 30 подвод с боеприпасами, подавлен огонь 7 батарей полевой и зенитной артиллерии, взорвано 4 склада боеприпасов, потоплен немецкий транспорт водоизмещением в 6 тысяч тонн, рассеяно и частью уничтожено до двух батальонов пехоты противника.</w:t>
      </w:r>
    </w:p>
    <w:p w14:paraId="6562D0BE"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активные боевые действия. Н-ская часть перешла в атаку, выбила немцев из укреплённого рубежа и захватила 2 орудия, 7 пулемётов, 4 миномёта, склад с боеприпасами и радиостанцию. На поле боя осталось свыше 200 вражеских трупов.</w:t>
      </w:r>
    </w:p>
    <w:p w14:paraId="1AEEF73F"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 упорные бои происходили с танками и мотопехотой противника, переправившимися на левый берег Дона. В бою у одного населённого пункта уничтожено 8 немецких танков, 6 автомашин и до 400 гитлеровцев.</w:t>
      </w:r>
    </w:p>
    <w:p w14:paraId="5C8FE6C7"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вели бои с крупными силами танков и пехоты противника, вклинившимися в нашу оборону. Н-ская танковая часть нанесла гитлеровцам внезапный удар и уничтожила 11 немецких танков, 8 орудий противотанковой обороны и не менее 300 солдат и офицеров противника. У железнодорожной станции миномётным и пулемётным огнём истреблено до двух рот румын, пытавшихся атаковать наши рубежи.</w:t>
      </w:r>
    </w:p>
    <w:p w14:paraId="179557A8"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противник, сосредоточив на одном участке крупные силы, потеснил нашу часть и занял два населённых пункта. На другом участке в течение дня уничтожено свыше 150 немецких солдат и офицеров, тяжёлая артиллерийская батарея и 3 миномётные батареи.</w:t>
      </w:r>
    </w:p>
    <w:p w14:paraId="5750891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наши войска вели оборонительные бои с танками и пехотой противника. Советские бронебойщики подбили 4 немецких танка.</w:t>
      </w:r>
    </w:p>
    <w:p w14:paraId="47A7447E"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 одном из участков наши части отбили несколько атак гитлеровцев. Уничтожено 5 орудий, миномётная батарея, 9 станковых пулемётов, подбито 2 немецких танка и взорван склад с боеприпасами противника. Противник потерял убитыми и ранеными свыше 300 солдат и офицеров.</w:t>
      </w:r>
    </w:p>
    <w:p w14:paraId="76FB5E27"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первых числах августа немецкое командование предприняло крупную карательную экспедицию против ленинградских партизан. Несколько тысяч гитлеровцев с артиллерией, танками и бронемашинами пытались окружить партизанские отряды под командованием тт. В. и О. В течение двух недель партизаны вели бои с противникоми уничтожили до 600 немецко-фашистских оккупантов.</w:t>
      </w:r>
    </w:p>
    <w:p w14:paraId="2457E9D8"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бойцы захватили в плен ефрейтора 2 роты 520 полка 296 немецкой пехотной дивизии Георга Стефана. Фашистский ублюдок заявил: «Нам офицеры каждый день твердят: Россия очень богатая страна. Германия хочет завоевать Россию и завладеть её богатствами. Русских слишком много. Часть жителей мы оставим в живых, пусть они работают для Германии. Всех остальных немецкая армия истребит, как лишних и ненужных».</w:t>
      </w:r>
    </w:p>
    <w:p w14:paraId="5BB2B7B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Переходя к вопросу о потерях немецкой армии, гитлеровский бандит выдаёт свой животный страх перед предстоящей расплатой за все преступления. «Многие, —говорит он, — называют войну с Россией походом. Это неправильно. В Польшу иФранцию, в Бельгию и Голландию мы совершали походы, а здесь идёт ужасная кровопролитная война. За два месяца во второй роте, включая пополнение, которое эта рота получила, выбыло из строя 160 солдат и офицеров. Только в последнем </w:t>
      </w:r>
      <w:r w:rsidRPr="00722885">
        <w:rPr>
          <w:rFonts w:ascii="Times New Roman" w:hAnsi="Times New Roman"/>
          <w:color w:val="000000" w:themeColor="text1"/>
          <w:sz w:val="16"/>
          <w:szCs w:val="16"/>
        </w:rPr>
        <w:lastRenderedPageBreak/>
        <w:t>бою убито 32 человека, в том числе лейтенант Курт Дитц, унтер-офицеры Эрих Вольф, Карл Хейстель и Фриц Юрмшер. Русские сражаются очень зло и упорно. Если они идальше будут с таким ожесточением сражаться, то все огромные потери Германии окажутся напрасными».</w:t>
      </w:r>
    </w:p>
    <w:p w14:paraId="723DF24A"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Бойцы Н-ской части, действующей на одном из участков Брянского фронта, выбили немцев из рощи и обнаружили там 13 трупов замученных красноармейцев. Фашистские мерзавцы отрезали пленным бойцам уши, носы, а трём красноармейцам вырезали на груди пятиконечные звёзды.</w:t>
      </w:r>
    </w:p>
    <w:p w14:paraId="4D84FDCA"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Колхозы двенадцати районов южных областей Казахстана полностью выполнили план хлебопоставок государству. Сельскохозяйственные артели Джамбулской,Южно-Казахстанской, Кзыл-Ординской областей на 20 августа сдали в фонд Красной Армии свыше 600 тысяч пудов зерна нового урожая.»</w:t>
      </w:r>
    </w:p>
    <w:p w14:paraId="0209006F"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Лжецы из бандитского дома Гитлера и К°.</w:t>
      </w:r>
    </w:p>
    <w:p w14:paraId="2E6251D5"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«Германское радио передало заявление «авторитетных военных кругов Берлина», что советская авиация с 15 по 25 августа за время налётов на Кенигсберг, Данциг и другие города Восточной Пруссии якобы потеряла 136 самолётов. На самом деле завсё время налётов на военные об'екты городов Восточной Пруссии советская авиация не потеряла ни одного самолёта. Был случай, когда один самолёт во-время не вернулся на базу, считался потерянным, но и этот самолёт позже нашёлся. Жульническое сообщение лжецов из бандитского дома Гитлер и К° является, во-первых, самым убедительным свидетельством эффективности налётов советской авиации на военные об'екты немецких городов и, во-вторых, проявлением бессилия немецкой противовоздушной обороны помешать этим налётам.</w:t>
      </w:r>
    </w:p>
    <w:p w14:paraId="0CEA120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налётов советских самолётов немецкие военные об'екты летят на воздух, горят, население несёт большие потери, и при этом советская авиация не имеет потерь. Германскому командованию приходится выкручиваться и обманывать немецкое население. Раз у русских нет потерь, надо их выдумать; если противовоздушная оборона немецких городов слаба и ничего не может поделать с нашими самолётами, надо попробовать утопить их в чернильнице лжецов. И пытаются утопить. Но занятие это бесполезное. Немцам, которые несут потери от наших налётов, лживые заявления «авторитетных военных кругов Берлина» помогут, как мёртвому горчичник, а советские самолёты, принимавшие участие в налётах и все оставшиеся невредимыми, будут эти налёты продолжать.» (14992).</w:t>
      </w:r>
    </w:p>
    <w:p w14:paraId="0AC16EA2"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39BDEE28"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в 1942 году начались контрудары советских войск на Среднем Дону из районов Серафимовича, Еланской, Ново-Григорьевской против левого фланга 6-й армии противника (14992).</w:t>
      </w:r>
    </w:p>
    <w:p w14:paraId="46663BF0"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5B1643FF"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в 1942 году бомбардировочная авиация Балтийского флота начала налёты на военные объекты противника в городе Хельсинки (14992).</w:t>
      </w:r>
    </w:p>
    <w:p w14:paraId="003B775D"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045EE994"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августа в 1942 году немецкие войска заняли Темрюк (14992).</w:t>
      </w:r>
    </w:p>
    <w:p w14:paraId="48338E7C"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7CEE0A57"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24 August 1942 (24-August-27-November) The Battle for Stalingrad - Russians regain control after three months (270).</w:t>
      </w:r>
    </w:p>
    <w:p w14:paraId="530F96C1" w14:textId="77777777" w:rsidR="00AE7191" w:rsidRPr="00722885" w:rsidRDefault="00AE7191" w:rsidP="00722885">
      <w:pPr>
        <w:pStyle w:val="Iauiue"/>
        <w:jc w:val="both"/>
        <w:rPr>
          <w:color w:val="000000" w:themeColor="text1"/>
          <w:sz w:val="16"/>
          <w:szCs w:val="16"/>
          <w:lang w:val="en-US"/>
        </w:rPr>
      </w:pPr>
    </w:p>
    <w:p w14:paraId="18173A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24 августа по 27 ноября 1942 была битва за Сталинград (270).</w:t>
      </w:r>
    </w:p>
    <w:p w14:paraId="4E26C9DE" w14:textId="77777777" w:rsidR="00AE7191" w:rsidRPr="00722885" w:rsidRDefault="00AE7191" w:rsidP="00722885">
      <w:pPr>
        <w:pStyle w:val="Iauiue"/>
        <w:jc w:val="both"/>
        <w:rPr>
          <w:color w:val="000000" w:themeColor="text1"/>
          <w:sz w:val="16"/>
          <w:szCs w:val="16"/>
        </w:rPr>
      </w:pPr>
    </w:p>
    <w:p w14:paraId="411B197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24—31 августа Люфтваффе наносили массированные удары по железным дорогам, ведущим к Сталинграду. Только на участок Качалино – Филоново было совершено 80 налетов, в ходе которых немецкие бомбардировщики сбросили около трех тысяч осколочных и фугасных бомб. В результате движение по дорогам Сталинград – Саратов и Сталинград – Липецк было полностью парализовано. 24 августа был совершен повторный налет на железнодорожный узел Балашов в Саратовской области. Эшелоны с воинскими грузами, двигавшиеся по дороге от Тамбова к Сталинграду, непрерывно подвергались ударам авиации, особенно опасным стал участок Михайловка – Иловля. Были полностью разрушены десятки станций, выведены из строя многие километры пути. В результате солдат и технику приходилось разгружать за десятки километров от фронта. После пятидесятикилометрового марша в район Котлубань – Самохваловка части с ходу вступали в бой (11774).</w:t>
      </w:r>
    </w:p>
    <w:p w14:paraId="47AC156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FBE45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24 августа 1942 началось наступление КА к югу от Ладожского озера (2261).</w:t>
      </w:r>
    </w:p>
    <w:p w14:paraId="318399DF" w14:textId="77777777" w:rsidR="00AE7191" w:rsidRPr="00722885" w:rsidRDefault="00AE7191" w:rsidP="00722885">
      <w:pPr>
        <w:pStyle w:val="Iauiue"/>
        <w:jc w:val="both"/>
        <w:rPr>
          <w:color w:val="000000" w:themeColor="text1"/>
          <w:sz w:val="16"/>
          <w:szCs w:val="16"/>
        </w:rPr>
      </w:pPr>
    </w:p>
    <w:p w14:paraId="20B2D7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24 августа 1942 ст.с-т Г.С.Данилов из 807-го </w:t>
      </w:r>
      <w:r w:rsidRPr="00722885">
        <w:rPr>
          <w:iCs/>
          <w:color w:val="000000" w:themeColor="text1"/>
          <w:sz w:val="16"/>
          <w:szCs w:val="16"/>
        </w:rPr>
        <w:t xml:space="preserve">шап </w:t>
      </w:r>
      <w:r w:rsidRPr="00722885">
        <w:rPr>
          <w:color w:val="000000" w:themeColor="text1"/>
          <w:sz w:val="16"/>
          <w:szCs w:val="16"/>
        </w:rPr>
        <w:t xml:space="preserve">206-й </w:t>
      </w:r>
      <w:r w:rsidRPr="00722885">
        <w:rPr>
          <w:iCs/>
          <w:color w:val="000000" w:themeColor="text1"/>
          <w:sz w:val="16"/>
          <w:szCs w:val="16"/>
        </w:rPr>
        <w:t>шад</w:t>
      </w:r>
      <w:r w:rsidRPr="00722885">
        <w:rPr>
          <w:color w:val="000000" w:themeColor="text1"/>
          <w:sz w:val="16"/>
          <w:szCs w:val="16"/>
        </w:rPr>
        <w:t xml:space="preserve"> 8-й ВА в воздушном бою сбил Bf109, на следующий день - Ju88, a 29 августа - один Bf110 (6467).</w:t>
      </w:r>
    </w:p>
    <w:p w14:paraId="07FA9645" w14:textId="77777777" w:rsidR="00AE7191" w:rsidRPr="00722885" w:rsidRDefault="00AE7191" w:rsidP="00722885">
      <w:pPr>
        <w:pStyle w:val="Iauiue"/>
        <w:jc w:val="both"/>
        <w:rPr>
          <w:color w:val="000000" w:themeColor="text1"/>
          <w:sz w:val="16"/>
          <w:szCs w:val="16"/>
        </w:rPr>
      </w:pPr>
    </w:p>
    <w:p w14:paraId="33637AC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A6925F8" w14:textId="77777777" w:rsidR="00AE7191" w:rsidRPr="00722885" w:rsidRDefault="00AE7191" w:rsidP="00722885">
      <w:pPr>
        <w:pStyle w:val="Iauiue"/>
        <w:jc w:val="both"/>
        <w:rPr>
          <w:iCs/>
          <w:color w:val="000000" w:themeColor="text1"/>
          <w:sz w:val="16"/>
          <w:szCs w:val="16"/>
        </w:rPr>
      </w:pPr>
    </w:p>
    <w:p w14:paraId="7EE24520"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24 августа в 1942 году заключен контракт на 1200 самолетов </w:t>
      </w:r>
      <w:hyperlink r:id="rId85" w:tgtFrame="_blank" w:history="1">
        <w:r w:rsidRPr="00722885">
          <w:rPr>
            <w:rFonts w:ascii="Times New Roman" w:hAnsi="Times New Roman"/>
            <w:color w:val="000000" w:themeColor="text1"/>
            <w:sz w:val="16"/>
            <w:szCs w:val="16"/>
          </w:rPr>
          <w:t xml:space="preserve">«Mustang» </w:t>
        </w:r>
      </w:hyperlink>
      <w:r w:rsidRPr="00722885">
        <w:rPr>
          <w:rFonts w:ascii="Times New Roman" w:hAnsi="Times New Roman"/>
          <w:color w:val="000000" w:themeColor="text1"/>
          <w:sz w:val="16"/>
          <w:szCs w:val="16"/>
        </w:rPr>
        <w:t>версии «NA-99», получившей в USAAF обозначение «P-51A». В отличие от «A-36A», этот самолет изначально пректировался не как бомбардировщик, а как истребитель</w:t>
      </w:r>
    </w:p>
    <w:p w14:paraId="4982D901"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3BCBE949"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24 августа в 1942 году облегченный "Спитфайр" MW, вылетевший с базы в Абукире (Египет), перехватил </w:t>
      </w:r>
      <w:hyperlink r:id="rId86" w:tgtFrame="_blank" w:history="1">
        <w:r w:rsidRPr="00722885">
          <w:rPr>
            <w:rFonts w:ascii="Times New Roman" w:hAnsi="Times New Roman"/>
            <w:color w:val="000000" w:themeColor="text1"/>
            <w:sz w:val="16"/>
            <w:szCs w:val="16"/>
          </w:rPr>
          <w:t xml:space="preserve">«Ju.86P-1» </w:t>
        </w:r>
      </w:hyperlink>
      <w:r w:rsidRPr="00722885">
        <w:rPr>
          <w:rFonts w:ascii="Times New Roman" w:hAnsi="Times New Roman"/>
          <w:color w:val="000000" w:themeColor="text1"/>
          <w:sz w:val="16"/>
          <w:szCs w:val="16"/>
        </w:rPr>
        <w:t>на высоте 12800 м севернее Каира. Несмотря на то, что английские перехватчики неоднократно обнаруживали «Ju.86P-2» англичанам впервые удалось одержать победу (14992).</w:t>
      </w:r>
    </w:p>
    <w:p w14:paraId="18C15AE8"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4CC93166"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24 августа 1942 г. специально оборудованному истребителю королевских ВВС </w:t>
      </w:r>
      <w:r w:rsidRPr="00722885">
        <w:rPr>
          <w:rFonts w:ascii="Times New Roman" w:hAnsi="Times New Roman"/>
          <w:color w:val="000000" w:themeColor="text1"/>
          <w:sz w:val="16"/>
          <w:szCs w:val="16"/>
          <w:lang w:val="en-US"/>
        </w:rPr>
        <w:t>Spitfire</w:t>
      </w:r>
      <w:r w:rsidRPr="00722885">
        <w:rPr>
          <w:rFonts w:ascii="Times New Roman" w:hAnsi="Times New Roman"/>
          <w:color w:val="000000" w:themeColor="text1"/>
          <w:sz w:val="16"/>
          <w:szCs w:val="16"/>
        </w:rPr>
        <w:t xml:space="preserve"> V удалось над Каиром на высоте 12800 м сбить один </w:t>
      </w:r>
      <w:r w:rsidRPr="00722885">
        <w:rPr>
          <w:rFonts w:ascii="Times New Roman" w:hAnsi="Times New Roman"/>
          <w:color w:val="000000" w:themeColor="text1"/>
          <w:sz w:val="16"/>
          <w:szCs w:val="16"/>
          <w:lang w:val="en-US"/>
        </w:rPr>
        <w:t>Ju</w:t>
      </w:r>
      <w:r w:rsidRPr="00722885">
        <w:rPr>
          <w:rFonts w:ascii="Times New Roman" w:hAnsi="Times New Roman"/>
          <w:color w:val="000000" w:themeColor="text1"/>
          <w:sz w:val="16"/>
          <w:szCs w:val="16"/>
        </w:rPr>
        <w:t xml:space="preserve"> 86</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-2 из состава 2.(</w:t>
      </w:r>
      <w:r w:rsidRPr="00722885">
        <w:rPr>
          <w:rFonts w:ascii="Times New Roman" w:hAnsi="Times New Roman"/>
          <w:color w:val="000000" w:themeColor="text1"/>
          <w:sz w:val="16"/>
          <w:szCs w:val="16"/>
          <w:lang w:val="en-US"/>
        </w:rPr>
        <w:t>F</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Aufkl</w:t>
      </w:r>
      <w:r w:rsidRPr="00722885">
        <w:rPr>
          <w:rFonts w:ascii="Times New Roman" w:hAnsi="Times New Roman"/>
          <w:color w:val="000000" w:themeColor="text1"/>
          <w:sz w:val="16"/>
          <w:szCs w:val="16"/>
        </w:rPr>
        <w:t xml:space="preserve">.123, а затем над Абукиром высотные истребители </w:t>
      </w:r>
      <w:r w:rsidRPr="00722885">
        <w:rPr>
          <w:rFonts w:ascii="Times New Roman" w:hAnsi="Times New Roman"/>
          <w:color w:val="000000" w:themeColor="text1"/>
          <w:sz w:val="16"/>
          <w:szCs w:val="16"/>
          <w:lang w:val="en-US"/>
        </w:rPr>
        <w:t>Spitfire</w:t>
      </w:r>
      <w:r w:rsidRPr="00722885">
        <w:rPr>
          <w:rFonts w:ascii="Times New Roman" w:hAnsi="Times New Roman"/>
          <w:color w:val="000000" w:themeColor="text1"/>
          <w:sz w:val="16"/>
          <w:szCs w:val="16"/>
        </w:rPr>
        <w:t xml:space="preserve"> V перехватили ещё два </w:t>
      </w:r>
      <w:r w:rsidRPr="00722885">
        <w:rPr>
          <w:rFonts w:ascii="Times New Roman" w:hAnsi="Times New Roman"/>
          <w:color w:val="000000" w:themeColor="text1"/>
          <w:sz w:val="16"/>
          <w:szCs w:val="16"/>
          <w:lang w:val="en-US"/>
        </w:rPr>
        <w:t>Ju</w:t>
      </w:r>
      <w:r w:rsidRPr="00722885">
        <w:rPr>
          <w:rFonts w:ascii="Times New Roman" w:hAnsi="Times New Roman"/>
          <w:color w:val="000000" w:themeColor="text1"/>
          <w:sz w:val="16"/>
          <w:szCs w:val="16"/>
        </w:rPr>
        <w:t xml:space="preserve"> 86</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-2</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Высотным перехватчиком, равным высотному варианту британского «Спитфайра», советская ПВО не располагала. Наши опытные высотные истребители по своему практическому потолку, в лучшем случае «доставали» простой, невысотный, </w:t>
      </w:r>
      <w:r w:rsidRPr="00722885">
        <w:rPr>
          <w:rFonts w:ascii="Times New Roman" w:hAnsi="Times New Roman"/>
          <w:color w:val="000000" w:themeColor="text1"/>
          <w:sz w:val="16"/>
          <w:szCs w:val="16"/>
          <w:lang w:val="en-US"/>
        </w:rPr>
        <w:t>Spitfire</w:t>
      </w:r>
      <w:r w:rsidRPr="00722885">
        <w:rPr>
          <w:rFonts w:ascii="Times New Roman" w:hAnsi="Times New Roman"/>
          <w:color w:val="000000" w:themeColor="text1"/>
          <w:sz w:val="16"/>
          <w:szCs w:val="16"/>
        </w:rPr>
        <w:t xml:space="preserve"> V, выпускавшийся британской авиапромышленностью с 1941 г. (15830).</w:t>
      </w:r>
    </w:p>
    <w:p w14:paraId="5D78FBF5"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604EDC1D" w14:textId="77777777" w:rsidR="00873549" w:rsidRPr="00722885" w:rsidRDefault="0087354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августа 1942, управляя Spitfire Mark V, специально модифицированным для полетов на больших высотах, летный офицер Королевских ВВС Джордж Рейнольдс перехватывает немецкий разведывательный самолет Junkers Ju 86P недалеко от Каира, Египет, на высоте 37000 футов (11 278 метров). Основанные на Крите и начавшиеся в мае разведывательные операции над Египтом, Ju 86P из группы дальней разведки Люфтваффе 123 ранее летали безнаказанно, потому что истребители союзников не могли достичь их боевой высоты. Хотя Ju 86P поднимается на высоту 42 000 футов (12 802 метра), Рейнольдсу удается выстрелить в него, прежде чем он ушел. Королевские ВВС пришли к выводу, что они должны еще больше облегчить Spitfire, чтобы он мог перехватить Ju 86P (20793).</w:t>
      </w:r>
    </w:p>
    <w:p w14:paraId="4C5F2292" w14:textId="77777777" w:rsidR="00873549" w:rsidRPr="00722885" w:rsidRDefault="00873549" w:rsidP="00722885">
      <w:pPr>
        <w:spacing w:after="0" w:line="240" w:lineRule="auto"/>
        <w:jc w:val="both"/>
        <w:rPr>
          <w:rFonts w:ascii="Times New Roman" w:hAnsi="Times New Roman"/>
          <w:color w:val="0070C0"/>
          <w:sz w:val="16"/>
          <w:szCs w:val="16"/>
        </w:rPr>
      </w:pPr>
    </w:p>
    <w:p w14:paraId="78BE134D" w14:textId="77777777" w:rsidR="00873549" w:rsidRPr="00722885" w:rsidRDefault="0087354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августа 1942 - Облегчённый "Спитфайр" MkV, вылетевший с базы в Абукире (Египет), перехватил Ju.86P-1 на высоте 12800 м севернее Каира. Несмотря на то, что английские перехватчики неоднократно обнаруживали Ju.86P-2 англичанам впервые удалось одержать победу (22388).</w:t>
      </w:r>
    </w:p>
    <w:p w14:paraId="2EF77021" w14:textId="77777777" w:rsidR="00873549" w:rsidRPr="00722885" w:rsidRDefault="00873549" w:rsidP="00722885">
      <w:pPr>
        <w:shd w:val="clear" w:color="auto" w:fill="FFFFFF"/>
        <w:spacing w:after="0" w:line="240" w:lineRule="auto"/>
        <w:jc w:val="both"/>
        <w:rPr>
          <w:rFonts w:ascii="Times New Roman" w:hAnsi="Times New Roman"/>
          <w:color w:val="0070C0"/>
          <w:sz w:val="16"/>
          <w:szCs w:val="16"/>
        </w:rPr>
      </w:pPr>
    </w:p>
    <w:p w14:paraId="65955EE7" w14:textId="77777777" w:rsidR="00873549" w:rsidRPr="00722885" w:rsidRDefault="0087354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августа 1942 Люфтваффе начинает высотные налеты на Англию, используя бомбардировщики Junkers Ju 86R, несущие одну 250-кг (551 фунтов) бомбу каждый и способные летать так высоко до 47000 футов (14,326 м). В первый день, два Ju 86R-2 сбросили по бомбе каждый на Камберли и Саутгемптон , вызвав небольшие разрушения, Spitfire эскадрильи польских ВВС не смогли перехватить Ju 86Rs, не достигают требуемой высоты. Люфтваффе проведет еще десять рейдов в течение следующих трех недель (20793).</w:t>
      </w:r>
    </w:p>
    <w:p w14:paraId="2E66B79C" w14:textId="77777777" w:rsidR="00873549" w:rsidRPr="00722885" w:rsidRDefault="00873549" w:rsidP="00722885">
      <w:pPr>
        <w:spacing w:after="0" w:line="240" w:lineRule="auto"/>
        <w:jc w:val="both"/>
        <w:rPr>
          <w:rFonts w:ascii="Times New Roman" w:hAnsi="Times New Roman"/>
          <w:color w:val="0070C0"/>
          <w:sz w:val="16"/>
          <w:szCs w:val="16"/>
        </w:rPr>
      </w:pPr>
    </w:p>
    <w:p w14:paraId="359EA088" w14:textId="77777777" w:rsidR="00873549" w:rsidRPr="00722885" w:rsidRDefault="0087354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24–25 августа 1942 битва на Восточных Соломоновых островах происходит к северу от Соломоновых островов. Она включает в себя авианосную акцию 24 августа, во время которой авианосцы ВМС США потопили японский авианосец Ryūj, а японские авианосцы сильно повредили американский авианосец USS Enterprise (CV-6) (20793).</w:t>
      </w:r>
    </w:p>
    <w:p w14:paraId="2181587A" w14:textId="77777777" w:rsidR="00873549" w:rsidRPr="00722885" w:rsidRDefault="00873549" w:rsidP="00722885">
      <w:pPr>
        <w:spacing w:after="0" w:line="240" w:lineRule="auto"/>
        <w:jc w:val="both"/>
        <w:rPr>
          <w:rFonts w:ascii="Times New Roman" w:hAnsi="Times New Roman"/>
          <w:color w:val="0070C0"/>
          <w:sz w:val="16"/>
          <w:szCs w:val="16"/>
        </w:rPr>
      </w:pPr>
    </w:p>
    <w:p w14:paraId="7A2BF657" w14:textId="77777777" w:rsidR="00873549" w:rsidRPr="00722885" w:rsidRDefault="0087354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августа 1942 - (24-25 августа) Морское сражение на Восточных Соломоновых островах (также известное как сражение на островах Стюарта и, в японских источниках, как Второе сражение в Соломоновом море) и было третьим авианосным сражением Тихоокеанской кампании Второй мировой войны и вторым крупным сражением между ВМС США и Императорским флотом Японии во время Гуадалканальской кампании. Как и в битве в Коралловом море и битве при Мидуэе,корабли двух противников никогда не были в поле зрения друг друга. Вместо этого все атаки осуществлялись палубными или наземными самолётами.</w:t>
      </w:r>
    </w:p>
    <w:p w14:paraId="03966663" w14:textId="77777777" w:rsidR="00873549" w:rsidRPr="00722885" w:rsidRDefault="0087354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После нескольких разрушительных воздушных атак надводные комбатанты ВМС как из Америки, так и из Японии покинули район сражения, не обеспечив ни одной из сторон явной победы. Однако США и их союзники получили тактическое и стратегическое преимущество. Потери Японии были больше и включали десятки самолётов и их опытные лётные составы. Кроме того, японские подкрепления, предназначенные для Гуадалканала, были задержаны и в конечном итоге доставлены военными кораблями, а не транспортными кораблями, что дало союзникам больше времени для подготовки к японскому контрнаступлению и помешало японцам высадить тяжёлую артиллерию, боеприпасы и другие припасы (22388).</w:t>
      </w:r>
    </w:p>
    <w:p w14:paraId="3BE2A454" w14:textId="77777777" w:rsidR="00873549" w:rsidRPr="00722885" w:rsidRDefault="00873549" w:rsidP="00722885">
      <w:pPr>
        <w:spacing w:after="0" w:line="240" w:lineRule="auto"/>
        <w:jc w:val="both"/>
        <w:rPr>
          <w:rFonts w:ascii="Times New Roman" w:hAnsi="Times New Roman"/>
          <w:color w:val="0070C0"/>
          <w:sz w:val="16"/>
          <w:szCs w:val="16"/>
        </w:rPr>
      </w:pPr>
    </w:p>
    <w:p w14:paraId="00C7057C" w14:textId="77777777" w:rsidR="00873549" w:rsidRPr="00722885" w:rsidRDefault="0087354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24–25 августа (ночь) 1942 226 британских бомбардировщиков атакуют Франкфурт-на-Майне, Германия, но большинство их бомб приземляются значительно западнее города; 16 самолетов не возвращаются, в том числе пять «Следопытов» (20793).</w:t>
      </w:r>
    </w:p>
    <w:p w14:paraId="6E2A06CA" w14:textId="77777777" w:rsidR="00873549" w:rsidRPr="00722885" w:rsidRDefault="00873549" w:rsidP="00722885">
      <w:pPr>
        <w:spacing w:after="0" w:line="240" w:lineRule="auto"/>
        <w:jc w:val="both"/>
        <w:rPr>
          <w:rFonts w:ascii="Times New Roman" w:hAnsi="Times New Roman"/>
          <w:color w:val="0070C0"/>
          <w:sz w:val="16"/>
          <w:szCs w:val="16"/>
        </w:rPr>
      </w:pPr>
    </w:p>
    <w:p w14:paraId="0566C1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24 августа 1942 началась битва авианосцев на Соломоновых островах (2100).</w:t>
      </w:r>
    </w:p>
    <w:p w14:paraId="52089112" w14:textId="77777777" w:rsidR="00AE7191" w:rsidRPr="00722885" w:rsidRDefault="00AE7191" w:rsidP="00722885">
      <w:pPr>
        <w:pStyle w:val="Iauiue"/>
        <w:jc w:val="both"/>
        <w:rPr>
          <w:color w:val="000000" w:themeColor="text1"/>
          <w:sz w:val="16"/>
          <w:szCs w:val="16"/>
        </w:rPr>
      </w:pPr>
    </w:p>
    <w:p w14:paraId="2DB243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24 августа 1942 состоялась морская битва у Соломоновых островов (2261).</w:t>
      </w:r>
    </w:p>
    <w:p w14:paraId="2ADCBE11" w14:textId="77777777" w:rsidR="00AE7191" w:rsidRPr="00722885" w:rsidRDefault="00AE7191" w:rsidP="00722885">
      <w:pPr>
        <w:pStyle w:val="Iauiue"/>
        <w:jc w:val="both"/>
        <w:rPr>
          <w:color w:val="000000" w:themeColor="text1"/>
          <w:sz w:val="16"/>
          <w:szCs w:val="16"/>
        </w:rPr>
      </w:pPr>
    </w:p>
    <w:p w14:paraId="71744BF1"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24 августа в 1942 году авианосец </w:t>
      </w:r>
      <w:hyperlink r:id="rId87" w:anchor="100923" w:tgtFrame="_blank" w:history="1">
        <w:r w:rsidRPr="00722885">
          <w:rPr>
            <w:rFonts w:ascii="Times New Roman" w:hAnsi="Times New Roman"/>
            <w:color w:val="000000" w:themeColor="text1"/>
            <w:sz w:val="16"/>
            <w:szCs w:val="16"/>
          </w:rPr>
          <w:t xml:space="preserve">«Рюдзе» («Ryujo») </w:t>
        </w:r>
      </w:hyperlink>
      <w:r w:rsidRPr="00722885">
        <w:rPr>
          <w:rFonts w:ascii="Times New Roman" w:hAnsi="Times New Roman"/>
          <w:color w:val="000000" w:themeColor="text1"/>
          <w:sz w:val="16"/>
          <w:szCs w:val="16"/>
        </w:rPr>
        <w:t xml:space="preserve">потоплен у Восточных Соломоновых островов самолетами с американского авианосца </w:t>
      </w:r>
      <w:hyperlink r:id="rId88" w:anchor="100874" w:tgtFrame="_blank" w:history="1">
        <w:r w:rsidRPr="00722885">
          <w:rPr>
            <w:rFonts w:ascii="Times New Roman" w:hAnsi="Times New Roman"/>
            <w:color w:val="000000" w:themeColor="text1"/>
            <w:sz w:val="16"/>
            <w:szCs w:val="16"/>
          </w:rPr>
          <w:t xml:space="preserve">«Саратога» («Saratoga»). </w:t>
        </w:r>
      </w:hyperlink>
      <w:r w:rsidRPr="00722885">
        <w:rPr>
          <w:rFonts w:ascii="Times New Roman" w:hAnsi="Times New Roman"/>
          <w:color w:val="000000" w:themeColor="text1"/>
          <w:sz w:val="16"/>
          <w:szCs w:val="16"/>
        </w:rPr>
        <w:t>Спущенный на воду в 1931 году, «Рюдзе» стал первым японским авианосцем специальной постройки. Он имел крейсерские обводы, что ограничивало его ширину, поэтому над первым ангаром был надстроен второй, что привело к уменьшению остойчивости корабля. Поэтому почти сразу после вступлении авианосца в строй в мае 1933 года его вернули на верфь для модернизации. Между 1934 и 1936 годами корпус авианосца был усилен, на нем увеличили булевые наделки. «Рюдзе» входил в группу кораблей, прикрывавших высадку японских войск на Филиппинах в декабре 1941 года, а затем в Голландской Ост-Индии в феврале 1942 года. В апреле корабль вошел в состав японской авианосной группы, совершившей рейд в Индийский океан и атаковавшей Цейлон. Затем «Рюдзе» вернулся на Тихий океан для участия в операции у острова Мидуэй (14992).</w:t>
      </w:r>
    </w:p>
    <w:p w14:paraId="15925E7B"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2B3F46F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59220A3" w14:textId="77777777" w:rsidR="00AE7191" w:rsidRPr="00722885" w:rsidRDefault="00AE7191" w:rsidP="00722885">
      <w:pPr>
        <w:pStyle w:val="Iauiue"/>
        <w:jc w:val="both"/>
        <w:rPr>
          <w:iCs/>
          <w:color w:val="000000" w:themeColor="text1"/>
          <w:sz w:val="16"/>
          <w:szCs w:val="16"/>
        </w:rPr>
      </w:pPr>
    </w:p>
    <w:p w14:paraId="41FADBD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 начальник НИИ ВВС КА генерал И.Ф. Петров утвердил заключение по испытаниям неподвижных пулеметных установок на Ил-2 для стрельбы в заднюю полусферу. Установка под пулемет УБТ с боекомплектом 250 патронов до</w:t>
      </w:r>
      <w:r w:rsidRPr="00722885">
        <w:rPr>
          <w:rFonts w:ascii="Times New Roman" w:hAnsi="Times New Roman"/>
          <w:color w:val="000000" w:themeColor="text1"/>
          <w:sz w:val="16"/>
          <w:szCs w:val="16"/>
        </w:rPr>
        <w:softHyphen/>
        <w:t>пускала дискретное (через 2,5°) изменение угла вертикального на</w:t>
      </w:r>
      <w:r w:rsidRPr="00722885">
        <w:rPr>
          <w:rFonts w:ascii="Times New Roman" w:hAnsi="Times New Roman"/>
          <w:color w:val="000000" w:themeColor="text1"/>
          <w:sz w:val="16"/>
          <w:szCs w:val="16"/>
        </w:rPr>
        <w:softHyphen/>
        <w:t>ведения от 0° до +5° и угол горизонтального наведения 2,5°. Уста</w:t>
      </w:r>
      <w:r w:rsidRPr="00722885">
        <w:rPr>
          <w:rFonts w:ascii="Times New Roman" w:hAnsi="Times New Roman"/>
          <w:color w:val="000000" w:themeColor="text1"/>
          <w:sz w:val="16"/>
          <w:szCs w:val="16"/>
        </w:rPr>
        <w:softHyphen/>
        <w:t>новка под два пулемета ШКАС с боезапасом 1000 патронов допус</w:t>
      </w:r>
      <w:r w:rsidRPr="00722885">
        <w:rPr>
          <w:rFonts w:ascii="Times New Roman" w:hAnsi="Times New Roman"/>
          <w:color w:val="000000" w:themeColor="text1"/>
          <w:sz w:val="16"/>
          <w:szCs w:val="16"/>
        </w:rPr>
        <w:softHyphen/>
        <w:t>кала изменение угла вертикального наведения от 0° до 22,5° и угол горизонтального наведения 7,5°. Всего было выполнено пять испытательных полетов, из них че</w:t>
      </w:r>
      <w:r w:rsidRPr="00722885">
        <w:rPr>
          <w:rFonts w:ascii="Times New Roman" w:hAnsi="Times New Roman"/>
          <w:color w:val="000000" w:themeColor="text1"/>
          <w:sz w:val="16"/>
          <w:szCs w:val="16"/>
        </w:rPr>
        <w:softHyphen/>
        <w:t>тыре — на Ил-2 с пулеметами ШКАС и один — на Ил-2 с пулеме</w:t>
      </w:r>
      <w:r w:rsidRPr="00722885">
        <w:rPr>
          <w:rFonts w:ascii="Times New Roman" w:hAnsi="Times New Roman"/>
          <w:color w:val="000000" w:themeColor="text1"/>
          <w:sz w:val="16"/>
          <w:szCs w:val="16"/>
        </w:rPr>
        <w:softHyphen/>
        <w:t>том УБТ. Пилотировал самолеты летчик-испытатель НИИ ВВС майор А.К. Долгов. По результатам испытаний лучшей была признана установка из двух пулеметов ШКАС, но из-за низких оборонительных возмож</w:t>
      </w:r>
      <w:r w:rsidRPr="00722885">
        <w:rPr>
          <w:rFonts w:ascii="Times New Roman" w:hAnsi="Times New Roman"/>
          <w:color w:val="000000" w:themeColor="text1"/>
          <w:sz w:val="16"/>
          <w:szCs w:val="16"/>
        </w:rPr>
        <w:softHyphen/>
        <w:t>ностей штурмовики с такими пулеметными установками в серию не пошли (10695).</w:t>
      </w:r>
    </w:p>
    <w:p w14:paraId="4FCFA92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18B9200C" w14:textId="77777777" w:rsidR="00956200" w:rsidRPr="00722885" w:rsidRDefault="00956200"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Заключение по испытаниям неподвижных пулеметных установок на Ил-2 для стрельбы в заднюю полусферу генерал И.Ф. Петров утвердил 25 августа 1942 г.</w:t>
      </w:r>
    </w:p>
    <w:p w14:paraId="110F3D6F" w14:textId="77777777" w:rsidR="00956200" w:rsidRPr="00722885" w:rsidRDefault="00956200"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Всего было выполнено 5 испытательных полетов, из них 4 полета - на Ил-2 с пулеметами ШКАС и 1 полет - на Ил-2 с УБТ. По результатам испытаний установка из двух пулеметов ШКАС, вследствие большего числа стволов и большей их скорострельности, была признана лучшей. Однако в силу низких оборонительных возможностей штурмовики с такими пулеметными установками в серийное производство не пошли (20186).</w:t>
      </w:r>
    </w:p>
    <w:p w14:paraId="10B49355" w14:textId="77777777" w:rsidR="00956200" w:rsidRPr="00722885" w:rsidRDefault="00956200" w:rsidP="00722885">
      <w:pPr>
        <w:shd w:val="clear" w:color="auto" w:fill="FFFFFF"/>
        <w:spacing w:after="0" w:line="240" w:lineRule="auto"/>
        <w:jc w:val="both"/>
        <w:rPr>
          <w:rFonts w:ascii="Times New Roman" w:hAnsi="Times New Roman"/>
          <w:color w:val="0070C0"/>
          <w:sz w:val="16"/>
          <w:szCs w:val="16"/>
        </w:rPr>
      </w:pPr>
    </w:p>
    <w:p w14:paraId="6C99414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 при проведении испытаний на определение границ высотности на Ил-2 М-82 прогорел выхлоп</w:t>
      </w:r>
      <w:r w:rsidRPr="00722885">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722885">
        <w:rPr>
          <w:rFonts w:ascii="Times New Roman" w:hAnsi="Times New Roman"/>
          <w:color w:val="000000" w:themeColor="text1"/>
          <w:sz w:val="16"/>
          <w:szCs w:val="16"/>
        </w:rPr>
        <w:softHyphen/>
        <w:t>лась его замена и продолжение полетов. В течение августа — сентября 1942 на аэродроме НИИ ВВС в Колъцово доводился и проходили заводские испытания Ил-2 М-82 адноместного, постройки завода № 381 28 авпреля 1942. Самолет летал с полной загрузкой горючим и маслом, безбомб и боеприпасов. В воздухе самолет вел себя устойчиво. Макси</w:t>
      </w:r>
      <w:r w:rsidRPr="00722885">
        <w:rPr>
          <w:rFonts w:ascii="Times New Roman" w:hAnsi="Times New Roman"/>
          <w:color w:val="000000" w:themeColor="text1"/>
          <w:sz w:val="16"/>
          <w:szCs w:val="16"/>
        </w:rPr>
        <w:softHyphen/>
        <w:t>мальная скорость у земли достигала 375 км/ч. Мотор работал хо</w:t>
      </w:r>
      <w:r w:rsidRPr="00722885">
        <w:rPr>
          <w:rFonts w:ascii="Times New Roman" w:hAnsi="Times New Roman"/>
          <w:color w:val="000000" w:themeColor="text1"/>
          <w:sz w:val="16"/>
          <w:szCs w:val="16"/>
        </w:rPr>
        <w:softHyphen/>
        <w:t>рошо. Однако после каждого полета появлялись трещины на сек</w:t>
      </w:r>
      <w:r w:rsidRPr="00722885">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722885">
        <w:rPr>
          <w:rFonts w:ascii="Times New Roman" w:hAnsi="Times New Roman"/>
          <w:color w:val="000000" w:themeColor="text1"/>
          <w:sz w:val="16"/>
          <w:szCs w:val="16"/>
        </w:rPr>
        <w:softHyphen/>
        <w:t>невых нижних крышек капота мотора. Что с самолетом стало в дальнейшем — неясно. (11474,285).</w:t>
      </w:r>
    </w:p>
    <w:p w14:paraId="4E69B07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7A361EE"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 августа 1942 г. Эскизный проект самолёта, получившего обозначение БШ-М-71 (Ил-8 М-71), был подписан Ильюшиным. </w:t>
      </w:r>
    </w:p>
    <w:p w14:paraId="61F0B0BD"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разработке проекта БШ-М-71 Ильюшин сделал ставку на сильное бронирование Ьи мощное бомбовое и пушечное вооружение, что давало возможность использовать само- ьяёт не только в качестве штурмовика, но и ближнего дневного бомбардировщика. В ВВС эасной Армии в то время катастрофически не хватало фронтовой бомбардировочной виации. По замыслу многоцелевое назначение БШ-М-71 должно было обеспечить повы- ьшенную боевую эффективность при решении задач авиационной поддержки войск. Кроме |этого, БШ-М-71 сохранял преемственность технологии производства Ил-2 и предусматри- юсь частичное (до 25%) использование готовых деталей, узлов и оснастки от «двойки». Вооружение состояло из двух 37-мм пушек 11П (80 снарядов) конструкции ОКБ-16 и че- |тарёх пулемётов ШКАС (1600 патронов). У стрелка - пулемёт УБТ (300 патронов) на туре- I башенного типа с большими углами обстрела. Нормальная бомбовая нагрузка - 400 кг, I перегрузку - до 1000 кг, в том числе 2 ФАБ-500. Ракетные орудия не предусматривались, так как основным средством борьбы с танками и защищен ными целями должны были стат пушки и бомбы.</w:t>
      </w:r>
    </w:p>
    <w:p w14:paraId="69B93539"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отличие от серийноп штурмовика Ил-2 на БШ-М-7 полностью бронировался эки паж. Толщина брони броне корпуса со стороны задней по лусферы была увеличена с 15 до 16 мм. Остальные участк бронекорпуса и башня стрелка имели 6-мм броню. Со стороны установки пулемёта на башн устанавливалась 62-мм прозрачная броня. Из прозрачной брони такой же толщины выполнялись и смотровые окне расположенные по бокам башни.</w:t>
      </w:r>
    </w:p>
    <w:p w14:paraId="013BC180" w14:textId="77777777" w:rsidR="00D06519" w:rsidRPr="00722885" w:rsidRDefault="00D06519" w:rsidP="00722885">
      <w:pPr>
        <w:tabs>
          <w:tab w:val="left" w:pos="5079"/>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Вес металлической брони составлял 1461,7 кг, а прозрачной - 101,6 кг. По сравнению! Ил-2 АМ-38 увеличение веса брони БШ-М-71 достигало почти 752 кг при доле в полётной </w:t>
      </w:r>
      <w:r w:rsidRPr="00722885">
        <w:rPr>
          <w:rStyle w:val="75pt"/>
          <w:rFonts w:ascii="Times New Roman" w:hAnsi="Times New Roman" w:cs="Times New Roman"/>
          <w:color w:val="000000" w:themeColor="text1"/>
          <w:sz w:val="16"/>
          <w:szCs w:val="16"/>
        </w:rPr>
        <w:t>весе 21,5% против 14,2% у «двойки».</w:t>
      </w:r>
    </w:p>
    <w:p w14:paraId="6C7AED4A" w14:textId="77777777" w:rsidR="00D06519" w:rsidRPr="00722885" w:rsidRDefault="00D06519" w:rsidP="00722885">
      <w:pPr>
        <w:spacing w:after="0" w:line="240" w:lineRule="auto"/>
        <w:jc w:val="both"/>
        <w:rPr>
          <w:rFonts w:ascii="Times New Roman" w:hAnsi="Times New Roman"/>
          <w:color w:val="000000" w:themeColor="text1"/>
          <w:sz w:val="16"/>
          <w:szCs w:val="16"/>
        </w:rPr>
      </w:pPr>
      <w:r w:rsidRPr="00722885">
        <w:rPr>
          <w:rStyle w:val="885pt"/>
          <w:rFonts w:ascii="Times New Roman" w:hAnsi="Times New Roman" w:cs="Times New Roman"/>
          <w:color w:val="000000" w:themeColor="text1"/>
          <w:sz w:val="16"/>
          <w:szCs w:val="16"/>
        </w:rPr>
        <w:t>По расчётам максимальная скорость</w:t>
      </w:r>
      <w:r w:rsidRPr="00722885">
        <w:rPr>
          <w:rFonts w:ascii="Times New Roman" w:hAnsi="Times New Roman"/>
          <w:color w:val="000000" w:themeColor="text1"/>
          <w:sz w:val="16"/>
          <w:szCs w:val="16"/>
        </w:rPr>
        <w:t xml:space="preserve"> у</w:t>
      </w:r>
      <w:r w:rsidRPr="00722885">
        <w:rPr>
          <w:rStyle w:val="885pt"/>
          <w:rFonts w:ascii="Times New Roman" w:hAnsi="Times New Roman" w:cs="Times New Roman"/>
          <w:color w:val="000000" w:themeColor="text1"/>
          <w:sz w:val="16"/>
          <w:szCs w:val="16"/>
        </w:rPr>
        <w:t xml:space="preserve"> земли составляла 420 км/ч (460 км/ч на фор</w:t>
      </w:r>
      <w:r w:rsidRPr="00722885">
        <w:rPr>
          <w:rFonts w:ascii="Times New Roman" w:hAnsi="Times New Roman"/>
          <w:color w:val="000000" w:themeColor="text1"/>
          <w:sz w:val="16"/>
          <w:szCs w:val="16"/>
        </w:rPr>
        <w:t xml:space="preserve">саже), на высоте 5000 м - 500 км/ч. Набор высоты 1000 м - 2 мин. Посадочная скорост (без бомб) с выпущенными щитками - 125 км/ч. Максимальная дальность полёта у земли| </w:t>
      </w:r>
      <w:r w:rsidRPr="00722885">
        <w:rPr>
          <w:rStyle w:val="885pt"/>
          <w:rFonts w:ascii="Times New Roman" w:hAnsi="Times New Roman" w:cs="Times New Roman"/>
          <w:color w:val="000000" w:themeColor="text1"/>
          <w:sz w:val="16"/>
          <w:szCs w:val="16"/>
        </w:rPr>
        <w:t>на скорости 336 км/ч - 760 км</w:t>
      </w:r>
      <w:r w:rsidRPr="00722885">
        <w:rPr>
          <w:rFonts w:ascii="Times New Roman" w:hAnsi="Times New Roman"/>
          <w:color w:val="000000" w:themeColor="text1"/>
          <w:sz w:val="16"/>
          <w:szCs w:val="16"/>
        </w:rPr>
        <w:t xml:space="preserve"> (15846).</w:t>
      </w:r>
    </w:p>
    <w:p w14:paraId="42EE2D04" w14:textId="77777777" w:rsidR="00D06519" w:rsidRPr="00722885" w:rsidRDefault="00D06519" w:rsidP="00722885">
      <w:pPr>
        <w:spacing w:after="0" w:line="240" w:lineRule="auto"/>
        <w:jc w:val="both"/>
        <w:rPr>
          <w:rFonts w:ascii="Times New Roman" w:hAnsi="Times New Roman"/>
          <w:color w:val="000000" w:themeColor="text1"/>
          <w:sz w:val="16"/>
          <w:szCs w:val="16"/>
        </w:rPr>
      </w:pPr>
    </w:p>
    <w:p w14:paraId="4641BE81"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 года С. В. Ильюшин направил письмо заместителю командующего ВВС КА генерал-лейтенанту А. К. Репину, в котором предлагал включить «в план опытного строительства 1942 года» постройку двухместного бронированного штурмовика с мотором М-71 (БШ-М-71). При этом он просил «представленный мною ранее вам материал по одноместному бронированному штурмовику/…/считать аннулированным». Срок «выпуска указанного самолета в первый полет» ожидался 1 февраля 1943 года.</w:t>
      </w:r>
    </w:p>
    <w:p w14:paraId="633642B6"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самолета включало две 37-мм пушки 11П с боекомплектом 80 снарядов и четыре крыльевых пулемета ШКАС с 2000 патронов. У стрелка – пушка ШВАК с боезапасом 300 снарядов на турели башенного типа. Установка обеспечивала обстрел: вверх – до 50°, влево и вправо – по 110°, вниз по борту – 15°.</w:t>
      </w:r>
    </w:p>
    <w:p w14:paraId="33AA36E1"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Нормальная бомбовая нагрузка предполагалась 400 кг, в перегрузку – до 1000 кг. Реактивные снаряды устанавливать не планировалось, так как основным средством борьбы с танками и защищенными целями должны были стать пушки и авиабомбы. Самолет не был приспособлен для бомбометания с пикирования под большими углами. Бомбы предполагалось сбрасывать с горизонтального полета или с пологого пикирования под углами 25–30°.</w:t>
      </w:r>
    </w:p>
    <w:p w14:paraId="24082BC2"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машине планировалось забронировать экипаж, маслорадиатор, бензо- и маслобаки (толщина брони – везде 6 мм). Мотор размещался внутри бронекапота (толщина брони 6 мм), диск кока винта выполнялся из брони толщиной 8 мм. Летчик со стороны передней полусферы защищался прозрачным бронестеклом толщиной 62 мм, с боков и снизу – броней толщиной 6 мм, а со стороны задней полусферы – 16-мм броневым листом. На фонаре кабины пилота сверху и с боков устанавливались 6-мм бронеплиты.</w:t>
      </w:r>
    </w:p>
    <w:p w14:paraId="68837908"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Кабина стрелка также бронировалась: со стороны хвоста он защищался 16-мм бронеплитой, с боков и снизу – 6-мм броней. Башня турели была полностью забронирована металлической броней толщиной 6 мм. Со стороны установки пулемета на башне устанавливалась 62-мм прозрачная броня. Из прозрачной брони такой же толщины выполнялись и смотровые окна, расположенные по бокам башни.</w:t>
      </w:r>
    </w:p>
    <w:p w14:paraId="16C713A8"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металлической брони должен был составить 1461,7 кг, а прозрачной – 101,6 кг. По сравнению с Ил-2 АМ-38 вес брони нового штурмовика увеличился почти на 752 кг при доле в полетном весе 21,5 % против 14,2 % у «двойки».</w:t>
      </w:r>
    </w:p>
    <w:p w14:paraId="6E49CF26"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самолете отсутствовали система заполнения бензобаков нейтральным газом и дублирование управления рулем высоты и направления, что считалось крупным недостатком.</w:t>
      </w:r>
    </w:p>
    <w:p w14:paraId="209CCAB6"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пустого самолета составил 5330 кг, а нормальный полетный вес – 7300 кг. Из-за возросшего веса основное шасси было выполнено двухколесным с использованием колес от самолета Ил-2.</w:t>
      </w:r>
    </w:p>
    <w:p w14:paraId="3A195CCB"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расчетам, максимальная скорость штурмовика у земли равнялась 430 км/ч (460 км/ч на форсаже), на высоте 5000 м – 500 км/ч. Набор высоты 1000 м должен был занимать не более 2 минут. Посадочная скорость (без бомб) с выпущенными щитками оценивалась в 120–125 км/ч. Максимальная дальность полета у земли на скорости 336 км/ч получалась порядка 760 км.</w:t>
      </w:r>
    </w:p>
    <w:p w14:paraId="7A09A5D1"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Надо полагать, предложение по БШ-М-71 явилось следствием успеха ОКБ П. О. Сухого при создании самолета-штурмовика Су-6 М-71, имеющего повышенную боевую эффективность, главным образом за счет лучшей «подвижности» над полем боя. В противовес этому С. В. Ильюшин сделал ставку на сильное бронирование и мощное бомбовое и пушечное вооружение, что давало возможность использовать самолет не только в качестве штурмовика, но и ближнего дневного бомбардировщика. Как известно, в ВВС Красной Армии в то время катастрофически не хватало фронтовой бомбардировочной авиации. По замыслу многоцелевое назначение БШ-М-71 должно было обеспечить повышенную боевую эффективность при решении всего комплекса задач авиационной поддержки войск. Кроме этого, БШ-М-71 сохранял преемственность технологии производства Ил-2, и предусматривалось частичное (до 25 %) использование готовых деталей, узлов и оснастки от «двойки». Поэтому в случае запуска в серию Су-6 С. В. Ильюшин вполне резонно рассчитывал на сохранение за собой серийных заводов, где возможно развертывание производства своего боевого самолета с таким же мотором, как у «сухого».</w:t>
      </w:r>
    </w:p>
    <w:p w14:paraId="5F2B4D77"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Предложение С. В. Ильюшина поддержал первый заместитель командующего ВВС КА генерал-лейтенант Г. А. Ворожейкин. В письме на имя наркома авиапромышленности А. И. Шахурина от 12 сентября 1942 года он писал: «Так как предложенный тов. Ильюшиным двухместный бронированный штурмовик с </w:t>
      </w:r>
      <w:r w:rsidRPr="00722885">
        <w:rPr>
          <w:rFonts w:ascii="Times New Roman" w:hAnsi="Times New Roman"/>
          <w:color w:val="000000" w:themeColor="text1"/>
          <w:sz w:val="16"/>
          <w:szCs w:val="16"/>
        </w:rPr>
        <w:lastRenderedPageBreak/>
        <w:t>мотором М-71 удовлетворяет требованиям ВВС Красной Армии, считаю необходимым включить его в план опытного самолетостроения на 1942 год с предъявлением самолета на госиспытания к 1 марта 1943 года» (17490).</w:t>
      </w:r>
    </w:p>
    <w:p w14:paraId="1B47C8E4" w14:textId="77777777" w:rsidR="0059006B" w:rsidRPr="00722885" w:rsidRDefault="0059006B" w:rsidP="00722885">
      <w:pPr>
        <w:spacing w:after="0" w:line="240" w:lineRule="auto"/>
        <w:jc w:val="both"/>
        <w:rPr>
          <w:rFonts w:ascii="Times New Roman" w:hAnsi="Times New Roman"/>
          <w:color w:val="000000" w:themeColor="text1"/>
          <w:sz w:val="16"/>
          <w:szCs w:val="16"/>
        </w:rPr>
      </w:pPr>
    </w:p>
    <w:p w14:paraId="2BF29391" w14:textId="77777777" w:rsidR="0059006B" w:rsidRPr="00722885" w:rsidRDefault="0059006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 г. С. В. Ильюшин направил письмо заместителю командующего ВВС КА генерал-лейтенанту А. К. Репину, в котором предлагал включить «в план опытного строитель</w:t>
      </w:r>
      <w:r w:rsidRPr="00722885">
        <w:rPr>
          <w:rFonts w:ascii="Times New Roman" w:hAnsi="Times New Roman"/>
          <w:color w:val="000000" w:themeColor="text1"/>
          <w:sz w:val="16"/>
          <w:szCs w:val="16"/>
        </w:rPr>
        <w:softHyphen/>
        <w:t>ства 1942 года» постройку двухместного брониро</w:t>
      </w:r>
      <w:r w:rsidRPr="00722885">
        <w:rPr>
          <w:rFonts w:ascii="Times New Roman" w:hAnsi="Times New Roman"/>
          <w:color w:val="000000" w:themeColor="text1"/>
          <w:sz w:val="16"/>
          <w:szCs w:val="16"/>
        </w:rPr>
        <w:softHyphen/>
        <w:t>ванного штурмовика с мотором М-71 (БШ-М-71). При этом он просил «представленный мною ранее Вам материал по одноместному бронированному штурмовику /. / считать аннулированным». Срок «выпуска указанного самолета в первый полет» оценивался 1 февраля 1943 г.</w:t>
      </w:r>
    </w:p>
    <w:p w14:paraId="1413F91F" w14:textId="77777777" w:rsidR="0059006B" w:rsidRPr="00722885" w:rsidRDefault="005900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Вооружение самолета включало 2 37-мм пушки 11П с боекомплектом 80 снарядов и 4 крыльевых пулемета ШКАС с 2000 патронами. У стрелка — пушка ШВАК с боезапасом 300 снарядов на турели башенного типа. Установка обеспечивала обстрел: вверх — до 50°, влево и вправо — по 110°, вниз по борту — 15°.</w:t>
      </w:r>
    </w:p>
    <w:p w14:paraId="5D48CCC3" w14:textId="77777777" w:rsidR="0059006B" w:rsidRPr="00722885" w:rsidRDefault="005900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Нормальная бомбовая нагрузка предполага</w:t>
      </w:r>
      <w:r w:rsidRPr="00722885">
        <w:rPr>
          <w:color w:val="000000" w:themeColor="text1"/>
          <w:sz w:val="16"/>
          <w:szCs w:val="16"/>
        </w:rPr>
        <w:softHyphen/>
        <w:t>лась 400 кг, в перегрузку — до 1000 кг. Реактивные снаряды устанавливать не планировалось, так как основным средством борьбы с танками и защи</w:t>
      </w:r>
      <w:r w:rsidRPr="00722885">
        <w:rPr>
          <w:color w:val="000000" w:themeColor="text1"/>
          <w:sz w:val="16"/>
          <w:szCs w:val="16"/>
        </w:rPr>
        <w:softHyphen/>
        <w:t>щенными целями должны были стать пушки и ави</w:t>
      </w:r>
      <w:r w:rsidRPr="00722885">
        <w:rPr>
          <w:color w:val="000000" w:themeColor="text1"/>
          <w:sz w:val="16"/>
          <w:szCs w:val="16"/>
        </w:rPr>
        <w:softHyphen/>
        <w:t>абомбы. Самолет не был приспособлен для бом</w:t>
      </w:r>
      <w:r w:rsidRPr="00722885">
        <w:rPr>
          <w:color w:val="000000" w:themeColor="text1"/>
          <w:sz w:val="16"/>
          <w:szCs w:val="16"/>
        </w:rPr>
        <w:softHyphen/>
        <w:t>бометания с пикирования под большими углами. Бомбы предполагалось сбрасывать с горизонталь</w:t>
      </w:r>
      <w:r w:rsidRPr="00722885">
        <w:rPr>
          <w:color w:val="000000" w:themeColor="text1"/>
          <w:sz w:val="16"/>
          <w:szCs w:val="16"/>
        </w:rPr>
        <w:softHyphen/>
        <w:t>ного полета или с пологого пикирования под углом 25—30°.</w:t>
      </w:r>
    </w:p>
    <w:p w14:paraId="4CE43F03" w14:textId="77777777" w:rsidR="0059006B" w:rsidRPr="00722885" w:rsidRDefault="005900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машине предполагалось забронировать эки</w:t>
      </w:r>
      <w:r w:rsidRPr="00722885">
        <w:rPr>
          <w:color w:val="000000" w:themeColor="text1"/>
          <w:sz w:val="16"/>
          <w:szCs w:val="16"/>
        </w:rPr>
        <w:softHyphen/>
        <w:t>паж, маслорадиатор, бензо- и маслобаки (толщина брони — везде 6 мм). Мотор размещался внутри бронекапота (толщина брони 6 мм), диск кока вин</w:t>
      </w:r>
      <w:r w:rsidRPr="00722885">
        <w:rPr>
          <w:color w:val="000000" w:themeColor="text1"/>
          <w:sz w:val="16"/>
          <w:szCs w:val="16"/>
        </w:rPr>
        <w:softHyphen/>
        <w:t>та выполнялся из брони толщиной 8 мм. Летчик со стороны передней полусферы защищался прозрач</w:t>
      </w:r>
      <w:r w:rsidRPr="00722885">
        <w:rPr>
          <w:color w:val="000000" w:themeColor="text1"/>
          <w:sz w:val="16"/>
          <w:szCs w:val="16"/>
        </w:rPr>
        <w:softHyphen/>
        <w:t>ным бронестеклом толщиной 62 мм, с боков и сни</w:t>
      </w:r>
      <w:r w:rsidRPr="00722885">
        <w:rPr>
          <w:color w:val="000000" w:themeColor="text1"/>
          <w:sz w:val="16"/>
          <w:szCs w:val="16"/>
        </w:rPr>
        <w:softHyphen/>
        <w:t>зу — броней толщиной 6 мм, а со стороны задней полусферы — 16-мм броневым листом. На фонаре кабины пилота сверху и с боков устанавливались 6-мм бронеплиты.</w:t>
      </w:r>
    </w:p>
    <w:p w14:paraId="6B523EB0" w14:textId="77777777" w:rsidR="0059006B" w:rsidRPr="00722885" w:rsidRDefault="005900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Кабина стрелка также бронировалась: со сторо</w:t>
      </w:r>
      <w:r w:rsidRPr="00722885">
        <w:rPr>
          <w:color w:val="000000" w:themeColor="text1"/>
          <w:sz w:val="16"/>
          <w:szCs w:val="16"/>
        </w:rPr>
        <w:softHyphen/>
        <w:t>ны хвоста он защищался 16-мм бронеплитой, с бо</w:t>
      </w:r>
      <w:r w:rsidRPr="00722885">
        <w:rPr>
          <w:color w:val="000000" w:themeColor="text1"/>
          <w:sz w:val="16"/>
          <w:szCs w:val="16"/>
        </w:rPr>
        <w:softHyphen/>
        <w:t>ков и снизу — 6-мм броней. Башня турели была полностью забронирована металлической броней толщиной 6 мм. Со стороны установки пулемета на башне устанавливалась 62-мм прозрачная броня. Из прозрачной брони такой же толщины выполня</w:t>
      </w:r>
      <w:r w:rsidRPr="00722885">
        <w:rPr>
          <w:color w:val="000000" w:themeColor="text1"/>
          <w:sz w:val="16"/>
          <w:szCs w:val="16"/>
        </w:rPr>
        <w:softHyphen/>
        <w:t>лись и смотровые окна, расположенные по бокам башни.</w:t>
      </w:r>
    </w:p>
    <w:p w14:paraId="4D3BD5A8" w14:textId="77777777" w:rsidR="0059006B" w:rsidRPr="00722885" w:rsidRDefault="005900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Вес металлической брони должен был составить 1461,7 кг, а прозрачной — 101,6 кг. По сравнению с Ил-2 АМ-38 увеличение веса брони нового штур</w:t>
      </w:r>
      <w:r w:rsidRPr="00722885">
        <w:rPr>
          <w:color w:val="000000" w:themeColor="text1"/>
          <w:sz w:val="16"/>
          <w:szCs w:val="16"/>
        </w:rPr>
        <w:softHyphen/>
        <w:t>мовика достигало почти 752 кг при доле в полет</w:t>
      </w:r>
      <w:r w:rsidRPr="00722885">
        <w:rPr>
          <w:color w:val="000000" w:themeColor="text1"/>
          <w:sz w:val="16"/>
          <w:szCs w:val="16"/>
        </w:rPr>
        <w:softHyphen/>
        <w:t>ном весе 21,5% против 14,2% у «двойки». Однако на самолете отсутствовали система заполнения бензобаков нейтральным газом и дублирование управления рулем высоты и направления.</w:t>
      </w:r>
    </w:p>
    <w:p w14:paraId="0B806148" w14:textId="77777777" w:rsidR="0059006B" w:rsidRPr="00722885" w:rsidRDefault="005900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Вес пустого самолета составил 5330 кг, а нор</w:t>
      </w:r>
      <w:r w:rsidRPr="00722885">
        <w:rPr>
          <w:color w:val="000000" w:themeColor="text1"/>
          <w:sz w:val="16"/>
          <w:szCs w:val="16"/>
        </w:rPr>
        <w:softHyphen/>
        <w:t>мальный полетный вес — 7300 кг. Из-за возросшего веса основное шасси было выполнено двухколес</w:t>
      </w:r>
      <w:r w:rsidRPr="00722885">
        <w:rPr>
          <w:color w:val="000000" w:themeColor="text1"/>
          <w:sz w:val="16"/>
          <w:szCs w:val="16"/>
        </w:rPr>
        <w:softHyphen/>
        <w:t>ным с использованием колес от самолета Ил-2.</w:t>
      </w:r>
    </w:p>
    <w:p w14:paraId="5720B310" w14:textId="77777777" w:rsidR="0059006B" w:rsidRPr="00722885" w:rsidRDefault="005900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расчетам, максимальная скорость штурмо</w:t>
      </w:r>
      <w:r w:rsidRPr="00722885">
        <w:rPr>
          <w:color w:val="000000" w:themeColor="text1"/>
          <w:sz w:val="16"/>
          <w:szCs w:val="16"/>
        </w:rPr>
        <w:softHyphen/>
        <w:t>вика у земли равнялась 430 км/ч (460 км/ч на фор</w:t>
      </w:r>
      <w:r w:rsidRPr="00722885">
        <w:rPr>
          <w:color w:val="000000" w:themeColor="text1"/>
          <w:sz w:val="16"/>
          <w:szCs w:val="16"/>
        </w:rPr>
        <w:softHyphen/>
        <w:t>саже), на высоте 5000 м — 500 км/ч. Набор высо</w:t>
      </w:r>
      <w:r w:rsidRPr="00722885">
        <w:rPr>
          <w:color w:val="000000" w:themeColor="text1"/>
          <w:sz w:val="16"/>
          <w:szCs w:val="16"/>
        </w:rPr>
        <w:softHyphen/>
        <w:t>ты 1000 м должен был занимать не более 2 мин. Посадочная скорость (без бомб) с выпущенными щитками не превышала 125 км/ч. Максимальная дальность полета у земли на скорости 336 км/ч по</w:t>
      </w:r>
      <w:r w:rsidRPr="00722885">
        <w:rPr>
          <w:color w:val="000000" w:themeColor="text1"/>
          <w:sz w:val="16"/>
          <w:szCs w:val="16"/>
        </w:rPr>
        <w:softHyphen/>
        <w:t>лучалась 760 км.</w:t>
      </w:r>
    </w:p>
    <w:p w14:paraId="1C825796" w14:textId="77777777" w:rsidR="0059006B" w:rsidRPr="00722885" w:rsidRDefault="005900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предложение по БШ-М-71 яви</w:t>
      </w:r>
      <w:r w:rsidRPr="00722885">
        <w:rPr>
          <w:color w:val="000000" w:themeColor="text1"/>
          <w:sz w:val="16"/>
          <w:szCs w:val="16"/>
        </w:rPr>
        <w:softHyphen/>
        <w:t>лось следствием успеха ОКБ П. О. Сухого при созда</w:t>
      </w:r>
      <w:r w:rsidRPr="00722885">
        <w:rPr>
          <w:color w:val="000000" w:themeColor="text1"/>
          <w:sz w:val="16"/>
          <w:szCs w:val="16"/>
        </w:rPr>
        <w:softHyphen/>
        <w:t>нии легкого самолета-штурмовика Су-6 М-71, имею</w:t>
      </w:r>
      <w:r w:rsidRPr="00722885">
        <w:rPr>
          <w:color w:val="000000" w:themeColor="text1"/>
          <w:sz w:val="16"/>
          <w:szCs w:val="16"/>
        </w:rPr>
        <w:softHyphen/>
        <w:t>щего повышенную боевую эффективность главным образом за счет лучшей «подвижности» над полем боя. В противовес этому С. В. Ильюшин сделал став</w:t>
      </w:r>
      <w:r w:rsidRPr="00722885">
        <w:rPr>
          <w:color w:val="000000" w:themeColor="text1"/>
          <w:sz w:val="16"/>
          <w:szCs w:val="16"/>
        </w:rPr>
        <w:softHyphen/>
        <w:t>ку на сильное бронирование и мощное бомбовое и пушечное вооружение, что давало возможность использовать самолет не только в качестве штур</w:t>
      </w:r>
      <w:r w:rsidRPr="00722885">
        <w:rPr>
          <w:color w:val="000000" w:themeColor="text1"/>
          <w:sz w:val="16"/>
          <w:szCs w:val="16"/>
        </w:rPr>
        <w:softHyphen/>
        <w:t>мовика, но и ближнего дневного бомбардировщи</w:t>
      </w:r>
      <w:r w:rsidRPr="00722885">
        <w:rPr>
          <w:color w:val="000000" w:themeColor="text1"/>
          <w:sz w:val="16"/>
          <w:szCs w:val="16"/>
        </w:rPr>
        <w:softHyphen/>
        <w:t>ка. Как известно, в ВВС Красной Армии в то время катастрофически не хватало фронтовой бомбар</w:t>
      </w:r>
      <w:r w:rsidRPr="00722885">
        <w:rPr>
          <w:color w:val="000000" w:themeColor="text1"/>
          <w:sz w:val="16"/>
          <w:szCs w:val="16"/>
        </w:rPr>
        <w:softHyphen/>
        <w:t>дировочной авиации. По замыслу многоцелевое назначение БШ-М-71 должно было обеспечить по</w:t>
      </w:r>
      <w:r w:rsidRPr="00722885">
        <w:rPr>
          <w:color w:val="000000" w:themeColor="text1"/>
          <w:sz w:val="16"/>
          <w:szCs w:val="16"/>
        </w:rPr>
        <w:softHyphen/>
        <w:t>вышенную боевую эффективность при решении задач авиационной поддержки войск. Кроме этого, БШ-М-71 сохранял преемственность технологии производства Ил-2, и предусматривалось частич</w:t>
      </w:r>
      <w:r w:rsidRPr="00722885">
        <w:rPr>
          <w:color w:val="000000" w:themeColor="text1"/>
          <w:sz w:val="16"/>
          <w:szCs w:val="16"/>
        </w:rPr>
        <w:softHyphen/>
        <w:t>ное (до 25%) использование готовых деталей, уз</w:t>
      </w:r>
      <w:r w:rsidRPr="00722885">
        <w:rPr>
          <w:color w:val="000000" w:themeColor="text1"/>
          <w:sz w:val="16"/>
          <w:szCs w:val="16"/>
        </w:rPr>
        <w:softHyphen/>
        <w:t>лов и оснастки от «двойки». Поэтому в случае за</w:t>
      </w:r>
      <w:r w:rsidRPr="00722885">
        <w:rPr>
          <w:color w:val="000000" w:themeColor="text1"/>
          <w:sz w:val="16"/>
          <w:szCs w:val="16"/>
        </w:rPr>
        <w:softHyphen/>
        <w:t>пуска в серию Су-6 С. В. Ильюшин вполне резонно рассчитывал на сохранение за собой серийных за</w:t>
      </w:r>
      <w:r w:rsidRPr="00722885">
        <w:rPr>
          <w:color w:val="000000" w:themeColor="text1"/>
          <w:sz w:val="16"/>
          <w:szCs w:val="16"/>
        </w:rPr>
        <w:softHyphen/>
        <w:t>водов, где возможно развертывание производства своего боевого самолета с таким же мотором, как у «сухого» (17500).</w:t>
      </w:r>
    </w:p>
    <w:p w14:paraId="4F66E91D" w14:textId="77777777" w:rsidR="0059006B" w:rsidRPr="00722885" w:rsidRDefault="0059006B" w:rsidP="00722885">
      <w:pPr>
        <w:spacing w:after="0" w:line="240" w:lineRule="auto"/>
        <w:jc w:val="both"/>
        <w:rPr>
          <w:rFonts w:ascii="Times New Roman" w:hAnsi="Times New Roman"/>
          <w:color w:val="000000" w:themeColor="text1"/>
          <w:sz w:val="16"/>
          <w:szCs w:val="16"/>
        </w:rPr>
      </w:pPr>
    </w:p>
    <w:p w14:paraId="3A09CC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августа 1942 состоялось совещание у Нач. 10 ГУ по вопросу разрушения бензобаков на Пе-2. Фронтовой опыт показал, что в основном разрушаются крыльевые и прежде всего 3 левый (1685,79).</w:t>
      </w:r>
    </w:p>
    <w:p w14:paraId="24EEE2B0" w14:textId="77777777" w:rsidR="00AE7191" w:rsidRPr="00722885" w:rsidRDefault="00AE7191" w:rsidP="00722885">
      <w:pPr>
        <w:pStyle w:val="Iauiue"/>
        <w:jc w:val="both"/>
        <w:rPr>
          <w:color w:val="000000" w:themeColor="text1"/>
          <w:sz w:val="16"/>
          <w:szCs w:val="16"/>
        </w:rPr>
      </w:pPr>
    </w:p>
    <w:p w14:paraId="7B7B4F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25/26 августа 1942 Зам. Нач. ВВС ВМФ СССР Купреев писал письмо N 70795c Зам. НКАП П.В.Дементьеву c просьбой о поставке УВВС ВМФ 120 турелей ФТ для установки на Пе-2 (1684,200).</w:t>
      </w:r>
    </w:p>
    <w:p w14:paraId="44A31277" w14:textId="77777777" w:rsidR="00AE7191" w:rsidRPr="00722885" w:rsidRDefault="00AE7191" w:rsidP="00722885">
      <w:pPr>
        <w:pStyle w:val="Iauiue"/>
        <w:jc w:val="both"/>
        <w:rPr>
          <w:color w:val="000000" w:themeColor="text1"/>
          <w:sz w:val="16"/>
          <w:szCs w:val="16"/>
        </w:rPr>
      </w:pPr>
    </w:p>
    <w:p w14:paraId="3F0841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25 августа по 1 сентября 1942 года новый ЛаГГ-3 проходил государственные испытания. Это был самолет с двигателем М-105ПФ и винтом ВИШ-61П, вооруженный 37-мм пушкой. Самолет оснастили рулями высоты и направления с аэродинамической балансировкой, что значительно уменьшило нагрузку на ручку управления и педали. Кроме того, самолет получил частично убирающееся хвостовое колесо и пять топливных баков. Под крыльями установили узлы для внешней подвески бомб. Самолет также был оснащен предкрылками. Кроме 37-мм пушки Ш-37 самолет нес пулемет БС с боекомплектом 140 выстрелов., которые показали, что предкрылки и сбалансированные рули значительно упростили управление машиной, хотя поперечное упрашгение по-прежнему требовало от пилота значительных физических усилий. Время полного разворота, несмотря на рост взлетной массы, не увеличился, несколько улучшилась поперечная устойчивость. Самолет без проблем пикировал под углом 60 гр, развивая при этом скорость до 650 км/ч. Оптимальный угол атаки составлял 30-40°. Стрельба из пушки не приводила к вибрации самолета и не оказывало отрицательного влияния на точность прицела. В итоговом рапорте сообщалось, что самолет можно использовать для борьбы с бронетехникой противника, защищенной броней толщиной до 40 мм, а также с открыто расположенной живой силой противника. Несмотря на положительные отзывы ЛаГГ-3 с 37-мм пушкой серийно не выпускался. Позднее на самолет в порядке эксперимента поставили 45-мм пушку, созданную на базе Ш-37. Когда появилась удачная пушка НС-37 калибра 37 мм конструкции Нудельмана и Суранова, ЛаГГ-3 с пушкой НС-37 прошел государственные испытания, но пушку приняли на вооружение лишь 30 декабря 1942 года. Завод № 21 построил 15 ЛаГГов-3, вооруженных пушкой НС-37. По сравнению с машинами, вооруженными пушкой Ш-37, эти истребители были легче. Поскольку завод № 21 в это время осваивал выпуск самолетов Ла-5, дальнейший выпуск ЛаГГов-3 с 37-мм пушкой перенесли в Тбилиси (11749).</w:t>
      </w:r>
    </w:p>
    <w:p w14:paraId="3AC42AB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2A7F9C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25 августа по 1 сентября 1942 г. ЛаГГ-3 с М-105ПФ и винтом ВИШ-61П с Ш-37 прошел государственные испытания. На машине имелись доработанные рули высоты и поворота с аэродинамической компенсацией, снизившей нагрузки на органы управления, частично убирающийся костыль и пять бензобаков. На крыле установили бомбодержатели и предкрылки. Кроме 37-мм пушки Ш-37 самолет вооружался одним пулеметом БС с боекомплектом 140 патронов. Испытания показали, что применение предкрылков и аэродинамической компенсации рулей облегчило управление самолетом (хотя управление рулем поворота оставалось еще довольно тяжелым); время виража, несмотря на увеличение полетного веса, сохранилось прежним; улучшилась поперечная устойчивость. Самолет без проблем пикировал под углом 60° с приборной скоростью 650 км/ч. Наивыгоднейшими для атаки углами были 30 - 40°. Стрельба из 37-мм пушки не раскачивала машину и, соответственно, не влияла на точность прицеливания, что было особенно важно для борьбы с бронетехникой.</w:t>
      </w:r>
    </w:p>
    <w:p w14:paraId="51257FA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заключении отчета отмечалось, что самолет может использоваться для поражения танков и бронемашин с броней толщиной до 40 мм, а также живой силы и техники противника. Несмотря на это, ЛаГГ-3 с пушкой Ш-37 дальнейшего развития не получил, хотя чуть позже на этом истребителе испытывалась пушка калибра 45 мм, созданная на базе Ш-37 путем замены ствола. Причина заключалась в появлении более совершенного орудия - НС-37 конструкции Нудель- мана и Суранова (11983).</w:t>
      </w:r>
    </w:p>
    <w:p w14:paraId="269F5DB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ADB483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 августа в 1942 году начались (по 1 сентября) государственные испытания </w:t>
      </w:r>
      <w:hyperlink r:id="rId89" w:tgtFrame="_blank" w:history="1">
        <w:r w:rsidRPr="00722885">
          <w:rPr>
            <w:rFonts w:ascii="Times New Roman" w:hAnsi="Times New Roman"/>
            <w:color w:val="000000" w:themeColor="text1"/>
            <w:sz w:val="16"/>
            <w:szCs w:val="16"/>
          </w:rPr>
          <w:t xml:space="preserve">«ЛаГГ-3» </w:t>
        </w:r>
      </w:hyperlink>
      <w:r w:rsidRPr="00722885">
        <w:rPr>
          <w:rFonts w:ascii="Times New Roman" w:hAnsi="Times New Roman"/>
          <w:color w:val="000000" w:themeColor="text1"/>
          <w:sz w:val="16"/>
          <w:szCs w:val="16"/>
        </w:rPr>
        <w:t>№ 31213445. На государственные испытания поступил противотанковый "ЛаГГ-3" с форсированным мотором «М-105ПФ» и новым воздушным винтом «ВИШ-61П» диаметром 3 м. На машине имелись доработанные рули высоты и поворота с аэродинамической компенсацией, снизившей нагрузки на командные органы управления, частично убирающийся костыль и пятибаковая топливная система прежнего объема. На крыле установили бомбодержатели и предкрылки. Кроме 37-мм пушки Шпитального имелся пулемет «ВС» с боекомплектом 140 патронов. Испытания показали, что применение предкрылков и аэродинамической компенсации рулей облегчило управление самолетом (хотя управление рулем поворота оставалось еще тяжелым), время виража, несмотря на увеличение полетною веса, сохранилось, улучшилась поперечная устойчивость. Самолет устойчиво пикировал под утлом 60° с приборной скоростью 650 км/ч, но наивыгоднейшими углами были 30-40". Стрельба из 37-мм пушки не влияла на точность прицеливания, что было особенно важно в борьбе с бронетехникой. В заключении НИИ ВВС отмечалось, что самолет может быть использован для поражения танков и бронемашин с броней до 40 мм, а также живой силы противника. Но эти выводы еще предстояло проверить в бою. Несмотря на благоприятный отзыв ведущего института ВВС, «ЛаГГ-3» с пушкой «Ш-37» дальнейшего развития не получил. Чуть позже на «ЛаГГ-3» испытывалась пушка калибра 45 мм, сделанная путем замены ствола у «Ш-37». Причина отказа от «Ш-37» заключалась в появлении пушки «НС-37», разрабатывавшейся А.Э.Нудельманом и А.С.Сурановым в ОКБ-16 параллельно с «Ш-37». На снимке истребитель ЛаГГ-3, 35-я производственная серия, № 31213445 с двигателем М-105ПФ и винтом ВИШ-105СВ, вооруженный пушкой НС-37 и пулеметом БС. Снимок сделан во время испытаний в августе 1942 года (14993).</w:t>
      </w:r>
    </w:p>
    <w:p w14:paraId="596D4C4D"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51151145" w14:textId="77777777" w:rsidR="00D06519" w:rsidRPr="00722885" w:rsidRDefault="00D0651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25 августа 1942 Зам. началь</w:t>
      </w:r>
      <w:r w:rsidRPr="00722885">
        <w:rPr>
          <w:rFonts w:ascii="Times New Roman" w:cs="Times New Roman"/>
          <w:color w:val="000000" w:themeColor="text1"/>
          <w:spacing w:val="0"/>
        </w:rPr>
        <w:softHyphen/>
        <w:t>ника штаба ВВС КА гене</w:t>
      </w:r>
      <w:r w:rsidRPr="00722885">
        <w:rPr>
          <w:rFonts w:ascii="Times New Roman" w:cs="Times New Roman"/>
          <w:color w:val="000000" w:themeColor="text1"/>
          <w:spacing w:val="0"/>
        </w:rPr>
        <w:softHyphen/>
        <w:t>рал-майор Викуленков до</w:t>
      </w:r>
      <w:r w:rsidRPr="00722885">
        <w:rPr>
          <w:rFonts w:ascii="Times New Roman" w:cs="Times New Roman"/>
          <w:color w:val="000000" w:themeColor="text1"/>
          <w:spacing w:val="0"/>
        </w:rPr>
        <w:softHyphen/>
        <w:t>кладывал:</w:t>
      </w:r>
    </w:p>
    <w:p w14:paraId="3044621A" w14:textId="77777777" w:rsidR="00D06519" w:rsidRPr="00722885" w:rsidRDefault="00D0651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«Самолёт ЛАГГ-5 являет</w:t>
      </w:r>
      <w:r w:rsidRPr="00722885">
        <w:rPr>
          <w:rFonts w:ascii="Times New Roman" w:cs="Times New Roman"/>
          <w:color w:val="000000" w:themeColor="text1"/>
          <w:spacing w:val="0"/>
        </w:rPr>
        <w:softHyphen/>
        <w:t>ся на фронте лучшим ти</w:t>
      </w:r>
      <w:r w:rsidRPr="00722885">
        <w:rPr>
          <w:rFonts w:ascii="Times New Roman" w:cs="Times New Roman"/>
          <w:color w:val="000000" w:themeColor="text1"/>
          <w:spacing w:val="0"/>
        </w:rPr>
        <w:softHyphen/>
        <w:t>пом истребителя отечест</w:t>
      </w:r>
      <w:r w:rsidRPr="00722885">
        <w:rPr>
          <w:rFonts w:ascii="Times New Roman" w:cs="Times New Roman"/>
          <w:color w:val="000000" w:themeColor="text1"/>
          <w:spacing w:val="0"/>
        </w:rPr>
        <w:softHyphen/>
        <w:t>венного производства и догоняет Ме-109Ф как при наборе высоты, так и при пикировании, вооружениеработает хорошо... Потери,понесенные 49 ИАП на са</w:t>
      </w:r>
      <w:r w:rsidRPr="00722885">
        <w:rPr>
          <w:rFonts w:ascii="Times New Roman" w:cs="Times New Roman"/>
          <w:color w:val="000000" w:themeColor="text1"/>
          <w:spacing w:val="0"/>
        </w:rPr>
        <w:softHyphen/>
        <w:t xml:space="preserve">молётах ЛАГГ-5, объясняются тем, что 45% (9 из 20 сержанты) состава полка молодые летчики. Из </w:t>
      </w:r>
      <w:r w:rsidRPr="00722885">
        <w:rPr>
          <w:rFonts w:ascii="Times New Roman" w:cs="Times New Roman"/>
          <w:color w:val="000000" w:themeColor="text1"/>
          <w:spacing w:val="0"/>
        </w:rPr>
        <w:lastRenderedPageBreak/>
        <w:t>числа 5 сбитых: три сержанта с налетом на ЛАГГ-5 по 15-17 часов, один младший лейтенант с таким же налётом и один старший лейтенант. Таким образом, из числа пяти сбитых только один старый лётчик.</w:t>
      </w:r>
    </w:p>
    <w:p w14:paraId="4A7457B6" w14:textId="77777777" w:rsidR="00D06519" w:rsidRPr="00722885" w:rsidRDefault="00D0651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Вывод: Самолёт ЛАГГ-5 является лучшим истребителем из числа отечественных, на</w:t>
      </w:r>
      <w:r w:rsidRPr="00722885">
        <w:rPr>
          <w:rFonts w:ascii="Times New Roman" w:cs="Times New Roman"/>
          <w:color w:val="000000" w:themeColor="text1"/>
          <w:spacing w:val="0"/>
        </w:rPr>
        <w:softHyphen/>
        <w:t>ходящихся на фронте. Необходимо на самолёт ЛАГГ-5 сажать более опытных лётчиков и давать им достаточную тренировку...» (15813).</w:t>
      </w:r>
    </w:p>
    <w:p w14:paraId="6C55B9E8" w14:textId="77777777" w:rsidR="00D06519" w:rsidRPr="00722885" w:rsidRDefault="00D06519" w:rsidP="00722885">
      <w:pPr>
        <w:pStyle w:val="27"/>
        <w:shd w:val="clear" w:color="auto" w:fill="auto"/>
        <w:spacing w:after="0" w:line="240" w:lineRule="auto"/>
        <w:ind w:firstLine="0"/>
        <w:rPr>
          <w:rFonts w:ascii="Times New Roman" w:cs="Times New Roman"/>
          <w:color w:val="000000" w:themeColor="text1"/>
          <w:spacing w:val="0"/>
        </w:rPr>
      </w:pPr>
    </w:p>
    <w:p w14:paraId="2FC9DC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августа 1942 года вышел приказ НКАП № 652сс Постановления ГКО за № 2209сс от 24 августа 1942, которым бывший завод № 99 был преобразован из филиала завода № 39 в самостоятельный самолетостроительный завод № 99. Заводу было поручено организовать выпуск истребителей ЛА-5 с мотором воздушного охлаждения М-82.</w:t>
      </w:r>
    </w:p>
    <w:p w14:paraId="6E1C6D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февраля 1943 года завод приступил к серийному выпуску самолета ЛА-5 типа 37.</w:t>
      </w:r>
    </w:p>
    <w:p w14:paraId="53ABE7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04DEBC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Выпуск ЛА-7 продолжался до марта 1946 года, за указанный период сдано частям ВВС 249 машин.</w:t>
      </w:r>
    </w:p>
    <w:p w14:paraId="6FFA0C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66CCABC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54E74A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продолжал ремонт самолетов ЛА-9 до 1951 года.</w:t>
      </w:r>
    </w:p>
    <w:p w14:paraId="48110D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5150D7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Местонахождение – завод расположен в 12 км от Улан-Удэ</w:t>
      </w:r>
    </w:p>
    <w:p w14:paraId="25627A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Производственный профиль – самолетостроительный завод по выпуску самолетов УТИ МИГ-15 и вертолетов КА-15</w:t>
      </w:r>
    </w:p>
    <w:p w14:paraId="4E0BF6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3BFDB6FE" w14:textId="77777777" w:rsidR="00AE7191" w:rsidRPr="00722885" w:rsidRDefault="00AE7191" w:rsidP="00722885">
      <w:pPr>
        <w:pStyle w:val="Iauiue"/>
        <w:jc w:val="both"/>
        <w:rPr>
          <w:color w:val="000000" w:themeColor="text1"/>
          <w:sz w:val="16"/>
          <w:szCs w:val="16"/>
        </w:rPr>
      </w:pPr>
    </w:p>
    <w:p w14:paraId="0F6204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августа 1942 вышел приказ НКАП N 652 "Об организации производства самолета ЛаГГ-5 на заводе 99 - 30 в 1942 и далее больше (903,8).</w:t>
      </w:r>
    </w:p>
    <w:p w14:paraId="3E4898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исполнение постановления ГКО ... приказываю:</w:t>
      </w:r>
    </w:p>
    <w:p w14:paraId="021FD2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И.о. нач. ПГУ тов. Шиц, директору завода № 99 тов. Прокофьеву и ГК ЛаГГ-5 тов. С.А.Л. организовать производство с-та ЛаГГ-5 на заводе № 99.</w:t>
      </w:r>
    </w:p>
    <w:p w14:paraId="19D4C1A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Установить заводу № 99 программу по с-та ЛаГГ-5 в 1942 в количестве 30 с-товЮ в т.ч. в ноябре - 10 и с декабря - 20.</w:t>
      </w:r>
    </w:p>
    <w:p w14:paraId="1214DA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Директору з-да № 21 Гостинцеву и ГК с-та С.А.Л.:</w:t>
      </w:r>
    </w:p>
    <w:p w14:paraId="450343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передать з-ду № 99 до 1 сентября 1942 5 комплектов чертежей с-та ЛаГГ-5 и 3 к-та чертежей приспособлений, инструментов и тьехнической документации.</w:t>
      </w:r>
    </w:p>
    <w:p w14:paraId="2949D3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передать -ду № 99 30 с-тов ЛаГГ-5в агрегатах и деталях (903,8).</w:t>
      </w:r>
    </w:p>
    <w:p w14:paraId="103DA738" w14:textId="77777777" w:rsidR="00AE7191" w:rsidRPr="00722885" w:rsidRDefault="00AE7191" w:rsidP="00722885">
      <w:pPr>
        <w:pStyle w:val="Iauiue"/>
        <w:jc w:val="both"/>
        <w:rPr>
          <w:color w:val="000000" w:themeColor="text1"/>
          <w:sz w:val="16"/>
          <w:szCs w:val="16"/>
        </w:rPr>
      </w:pPr>
    </w:p>
    <w:p w14:paraId="2844D76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 Зам. начальника штаба ВВС КА генерал-майор Викуленков докла</w:t>
      </w:r>
      <w:r w:rsidRPr="00722885">
        <w:rPr>
          <w:rFonts w:ascii="Times New Roman" w:hAnsi="Times New Roman"/>
          <w:color w:val="000000" w:themeColor="text1"/>
          <w:sz w:val="16"/>
          <w:szCs w:val="16"/>
        </w:rPr>
        <w:softHyphen/>
        <w:t>дывал:</w:t>
      </w:r>
    </w:p>
    <w:p w14:paraId="7409406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ЛАГГ-5 является на фрон</w:t>
      </w:r>
      <w:r w:rsidRPr="00722885">
        <w:rPr>
          <w:rFonts w:ascii="Times New Roman" w:hAnsi="Times New Roman"/>
          <w:color w:val="000000" w:themeColor="text1"/>
          <w:sz w:val="16"/>
          <w:szCs w:val="16"/>
        </w:rPr>
        <w:softHyphen/>
        <w:t>те лучшим типом истребителя отече</w:t>
      </w:r>
      <w:r w:rsidRPr="00722885">
        <w:rPr>
          <w:rFonts w:ascii="Times New Roman" w:hAnsi="Times New Roman"/>
          <w:color w:val="000000" w:themeColor="text1"/>
          <w:sz w:val="16"/>
          <w:szCs w:val="16"/>
        </w:rPr>
        <w:softHyphen/>
        <w:t>ственного производства и догоняет Ме- 109Ф как при наборе высоты, так и при пикировании, вооружение ра</w:t>
      </w:r>
      <w:r w:rsidRPr="00722885">
        <w:rPr>
          <w:rFonts w:ascii="Times New Roman" w:hAnsi="Times New Roman"/>
          <w:color w:val="000000" w:themeColor="text1"/>
          <w:sz w:val="16"/>
          <w:szCs w:val="16"/>
        </w:rPr>
        <w:softHyphen/>
        <w:t>ботает хорошо... Потери, понесенные 49 ИАП на самолетах ЛАГГ-5, объяс</w:t>
      </w:r>
      <w:r w:rsidRPr="00722885">
        <w:rPr>
          <w:rFonts w:ascii="Times New Roman" w:hAnsi="Times New Roman"/>
          <w:color w:val="000000" w:themeColor="text1"/>
          <w:sz w:val="16"/>
          <w:szCs w:val="16"/>
        </w:rPr>
        <w:softHyphen/>
        <w:t>няются тем, что 45% (9 из 20 сержан</w:t>
      </w:r>
      <w:r w:rsidRPr="00722885">
        <w:rPr>
          <w:rFonts w:ascii="Times New Roman" w:hAnsi="Times New Roman"/>
          <w:color w:val="000000" w:themeColor="text1"/>
          <w:sz w:val="16"/>
          <w:szCs w:val="16"/>
        </w:rPr>
        <w:softHyphen/>
        <w:t>ты) состава полка молодые летчики. Из числа 5 сбитых: три сержанта с налетом на ЛАГГ-5 по 15-17 часов, один младший лейтенант с таким же налетом и один старший лейтенант. Таким образом, из числа пяти сбитых только один старый летчик.</w:t>
      </w:r>
    </w:p>
    <w:p w14:paraId="21F84DB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Вывод: Самолет ЛАГГ-5 является лучшим истребителем из числа оте</w:t>
      </w:r>
      <w:r w:rsidRPr="00722885">
        <w:rPr>
          <w:rFonts w:ascii="Times New Roman" w:hAnsi="Times New Roman"/>
          <w:color w:val="000000" w:themeColor="text1"/>
          <w:sz w:val="16"/>
          <w:szCs w:val="16"/>
        </w:rPr>
        <w:softHyphen/>
        <w:t>чественных, находящихся на фронте. Необходимо на самолет ЛАГГ-5 са</w:t>
      </w:r>
      <w:r w:rsidRPr="00722885">
        <w:rPr>
          <w:rFonts w:ascii="Times New Roman" w:hAnsi="Times New Roman"/>
          <w:color w:val="000000" w:themeColor="text1"/>
          <w:sz w:val="16"/>
          <w:szCs w:val="16"/>
        </w:rPr>
        <w:softHyphen/>
        <w:t>жать более опытных летчиков и да</w:t>
      </w:r>
      <w:r w:rsidRPr="00722885">
        <w:rPr>
          <w:rFonts w:ascii="Times New Roman" w:hAnsi="Times New Roman"/>
          <w:color w:val="000000" w:themeColor="text1"/>
          <w:sz w:val="16"/>
          <w:szCs w:val="16"/>
        </w:rPr>
        <w:softHyphen/>
        <w:t>вать им достаточную тренировку...» (10699).</w:t>
      </w:r>
    </w:p>
    <w:p w14:paraId="4DC9417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CE1349E" w14:textId="77777777" w:rsidR="007A5C8F" w:rsidRPr="00722885" w:rsidRDefault="007A5C8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 г. Леон Шехтер подписал компоновку Як-7Р. Реактивный перехватчик Як-7Р из модификации поршневого ис</w:t>
      </w:r>
      <w:r w:rsidRPr="00722885">
        <w:rPr>
          <w:rFonts w:ascii="Times New Roman" w:hAnsi="Times New Roman"/>
          <w:color w:val="000000" w:themeColor="text1"/>
          <w:sz w:val="16"/>
          <w:szCs w:val="16"/>
        </w:rPr>
        <w:softHyphen/>
        <w:t>требителя превратился в полностью но</w:t>
      </w:r>
      <w:r w:rsidRPr="00722885">
        <w:rPr>
          <w:rFonts w:ascii="Times New Roman" w:hAnsi="Times New Roman"/>
          <w:color w:val="000000" w:themeColor="text1"/>
          <w:sz w:val="16"/>
          <w:szCs w:val="16"/>
        </w:rPr>
        <w:softHyphen/>
        <w:t>вый самолет, сохранив от прототипа лишь крыло (с усилениями под навеску двух ПВРД), горизонтальное оперение и шасси, на котором обычный хвостовой «дутик» заменили металлическим роликом.</w:t>
      </w:r>
    </w:p>
    <w:p w14:paraId="26AC68B1" w14:textId="77777777" w:rsidR="007A5C8F" w:rsidRPr="00722885" w:rsidRDefault="007A5C8F"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Технология производства цельноме</w:t>
      </w:r>
      <w:r w:rsidRPr="00722885">
        <w:rPr>
          <w:rFonts w:ascii="Times New Roman" w:hAnsi="Times New Roman" w:cs="Times New Roman"/>
          <w:color w:val="000000" w:themeColor="text1"/>
          <w:sz w:val="16"/>
          <w:szCs w:val="16"/>
        </w:rPr>
        <w:softHyphen/>
        <w:t>таллических носового и хвостового (дви</w:t>
      </w:r>
      <w:r w:rsidRPr="00722885">
        <w:rPr>
          <w:rFonts w:ascii="Times New Roman" w:hAnsi="Times New Roman" w:cs="Times New Roman"/>
          <w:color w:val="000000" w:themeColor="text1"/>
          <w:sz w:val="16"/>
          <w:szCs w:val="16"/>
        </w:rPr>
        <w:softHyphen/>
        <w:t>гательного), а также среднего смешанной конструкции отсеков фюзеляжа осталась от Як-7, но все их размеры поменялись и ис</w:t>
      </w:r>
      <w:r w:rsidRPr="00722885">
        <w:rPr>
          <w:rFonts w:ascii="Times New Roman" w:hAnsi="Times New Roman" w:cs="Times New Roman"/>
          <w:color w:val="000000" w:themeColor="text1"/>
          <w:sz w:val="16"/>
          <w:szCs w:val="16"/>
        </w:rPr>
        <w:softHyphen/>
        <w:t>пользовать старую оснастку не получалось.</w:t>
      </w:r>
    </w:p>
    <w:p w14:paraId="3F39193B" w14:textId="77777777" w:rsidR="007A5C8F" w:rsidRPr="00722885" w:rsidRDefault="007A5C8F"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Нос самолета «освободился» от мо</w:t>
      </w:r>
      <w:r w:rsidRPr="00722885">
        <w:rPr>
          <w:rFonts w:ascii="Times New Roman" w:hAnsi="Times New Roman" w:cs="Times New Roman"/>
          <w:color w:val="000000" w:themeColor="text1"/>
          <w:sz w:val="16"/>
          <w:szCs w:val="16"/>
        </w:rPr>
        <w:softHyphen/>
        <w:t>тора, так что кабину сместили вперед, улучшив обзор. Там поставили два пуле</w:t>
      </w:r>
      <w:r w:rsidRPr="00722885">
        <w:rPr>
          <w:rFonts w:ascii="Times New Roman" w:hAnsi="Times New Roman" w:cs="Times New Roman"/>
          <w:color w:val="000000" w:themeColor="text1"/>
          <w:sz w:val="16"/>
          <w:szCs w:val="16"/>
        </w:rPr>
        <w:softHyphen/>
        <w:t>мета БК-12,7 с патронными ящиками и механизмами перезарядки, турбонасос- ный агрегат ЖРД, за ним была кабина и два бака керосина. В средней части раз</w:t>
      </w:r>
      <w:r w:rsidRPr="00722885">
        <w:rPr>
          <w:rFonts w:ascii="Times New Roman" w:hAnsi="Times New Roman" w:cs="Times New Roman"/>
          <w:color w:val="000000" w:themeColor="text1"/>
          <w:sz w:val="16"/>
          <w:szCs w:val="16"/>
        </w:rPr>
        <w:softHyphen/>
        <w:t>местили бак для окислителя ЖРД (азотная кислота), трубопроводы подачи компо</w:t>
      </w:r>
      <w:r w:rsidRPr="00722885">
        <w:rPr>
          <w:rFonts w:ascii="Times New Roman" w:hAnsi="Times New Roman" w:cs="Times New Roman"/>
          <w:color w:val="000000" w:themeColor="text1"/>
          <w:sz w:val="16"/>
          <w:szCs w:val="16"/>
        </w:rPr>
        <w:softHyphen/>
        <w:t>нентов топлива, проводка управления ру</w:t>
      </w:r>
      <w:r w:rsidRPr="00722885">
        <w:rPr>
          <w:rFonts w:ascii="Times New Roman" w:hAnsi="Times New Roman" w:cs="Times New Roman"/>
          <w:color w:val="000000" w:themeColor="text1"/>
          <w:sz w:val="16"/>
          <w:szCs w:val="16"/>
        </w:rPr>
        <w:softHyphen/>
        <w:t>лями и хвостовой опорой шасси. Наконец, в хвостовом отсеке стоял однокамерный ЖРД Душкина.</w:t>
      </w:r>
    </w:p>
    <w:p w14:paraId="0C89B87D" w14:textId="77777777" w:rsidR="007A5C8F" w:rsidRPr="00722885" w:rsidRDefault="007A5C8F"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Двух крупнокалиберных пулеметов считалось достаточно для поражения лю</w:t>
      </w:r>
      <w:r w:rsidRPr="00722885">
        <w:rPr>
          <w:rFonts w:ascii="Times New Roman" w:hAnsi="Times New Roman" w:cs="Times New Roman"/>
          <w:color w:val="000000" w:themeColor="text1"/>
          <w:sz w:val="16"/>
          <w:szCs w:val="16"/>
        </w:rPr>
        <w:softHyphen/>
        <w:t>бого самолета-разведчика или бомбарди</w:t>
      </w:r>
      <w:r w:rsidRPr="00722885">
        <w:rPr>
          <w:rFonts w:ascii="Times New Roman" w:hAnsi="Times New Roman" w:cs="Times New Roman"/>
          <w:color w:val="000000" w:themeColor="text1"/>
          <w:sz w:val="16"/>
          <w:szCs w:val="16"/>
        </w:rPr>
        <w:softHyphen/>
        <w:t>ровщика противника: благодаря отсутст</w:t>
      </w:r>
      <w:r w:rsidRPr="00722885">
        <w:rPr>
          <w:rFonts w:ascii="Times New Roman" w:hAnsi="Times New Roman" w:cs="Times New Roman"/>
          <w:color w:val="000000" w:themeColor="text1"/>
          <w:sz w:val="16"/>
          <w:szCs w:val="16"/>
        </w:rPr>
        <w:softHyphen/>
        <w:t>вию потерь на синхронизацию, секундный залп и дульная мощность в сумме оказа</w:t>
      </w:r>
      <w:r w:rsidRPr="00722885">
        <w:rPr>
          <w:rFonts w:ascii="Times New Roman" w:hAnsi="Times New Roman" w:cs="Times New Roman"/>
          <w:color w:val="000000" w:themeColor="text1"/>
          <w:sz w:val="16"/>
          <w:szCs w:val="16"/>
        </w:rPr>
        <w:softHyphen/>
        <w:t>лись больше, чем у мотор-пушки ШВАК и двух синхронных ШКАСов прототипа. Летчика защищали бронеспинка и заднее бронестекло. Вряд ли они были нужны перехватчику, да еще столь скоростному, скорее броню надо было бы поставить спереди из расчета атаки бомбардиров</w:t>
      </w:r>
      <w:r w:rsidRPr="00722885">
        <w:rPr>
          <w:rFonts w:ascii="Times New Roman" w:hAnsi="Times New Roman" w:cs="Times New Roman"/>
          <w:color w:val="000000" w:themeColor="text1"/>
          <w:sz w:val="16"/>
          <w:szCs w:val="16"/>
        </w:rPr>
        <w:softHyphen/>
        <w:t>щика с оборонительным вооружением, но Шехтер сделал так. Радио на самолете не ставили в силу скоротечности полета реактивного перехватчика и тактики его применения - наведения на одну конкрет</w:t>
      </w:r>
      <w:r w:rsidRPr="00722885">
        <w:rPr>
          <w:rFonts w:ascii="Times New Roman" w:hAnsi="Times New Roman" w:cs="Times New Roman"/>
          <w:color w:val="000000" w:themeColor="text1"/>
          <w:sz w:val="16"/>
          <w:szCs w:val="16"/>
        </w:rPr>
        <w:softHyphen/>
        <w:t>ную воздушную цель «по зрячему». Само</w:t>
      </w:r>
      <w:r w:rsidRPr="00722885">
        <w:rPr>
          <w:rFonts w:ascii="Times New Roman" w:hAnsi="Times New Roman" w:cs="Times New Roman"/>
          <w:color w:val="000000" w:themeColor="text1"/>
          <w:sz w:val="16"/>
          <w:szCs w:val="16"/>
        </w:rPr>
        <w:softHyphen/>
        <w:t>лет предназначался только для действий в светлое время суток.</w:t>
      </w:r>
    </w:p>
    <w:p w14:paraId="1A7754E6" w14:textId="77777777" w:rsidR="007A5C8F" w:rsidRPr="00722885" w:rsidRDefault="007A5C8F"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Расчетный взлетный вес Як-7Р вы</w:t>
      </w:r>
      <w:r w:rsidRPr="00722885">
        <w:rPr>
          <w:rFonts w:ascii="Times New Roman" w:hAnsi="Times New Roman" w:cs="Times New Roman"/>
          <w:color w:val="000000" w:themeColor="text1"/>
          <w:sz w:val="16"/>
          <w:szCs w:val="16"/>
        </w:rPr>
        <w:softHyphen/>
        <w:t>шел 2910 кг, из которых 1200 приходи</w:t>
      </w:r>
      <w:r w:rsidRPr="00722885">
        <w:rPr>
          <w:rFonts w:ascii="Times New Roman" w:hAnsi="Times New Roman" w:cs="Times New Roman"/>
          <w:color w:val="000000" w:themeColor="text1"/>
          <w:sz w:val="16"/>
          <w:szCs w:val="16"/>
        </w:rPr>
        <w:softHyphen/>
        <w:t>лось на топливо. Использовавшийся на взлете, в разгоне и наборе высоты ЖРД Д-1А давал тягу 1100 кгс, а включавши</w:t>
      </w:r>
      <w:r w:rsidRPr="00722885">
        <w:rPr>
          <w:rFonts w:ascii="Times New Roman" w:hAnsi="Times New Roman" w:cs="Times New Roman"/>
          <w:color w:val="000000" w:themeColor="text1"/>
          <w:sz w:val="16"/>
          <w:szCs w:val="16"/>
        </w:rPr>
        <w:softHyphen/>
        <w:t>еся на скорости примерно 200 км/ч ПВРД ДМ-4 - еще по 150 кгс после разгона до боевого режима. В этот момент масса самолета составляла примерно 2800 кг, что обеспечивало начальную тяговоо- руженность 0,5. Она росла по мере вы</w:t>
      </w:r>
      <w:r w:rsidRPr="00722885">
        <w:rPr>
          <w:rFonts w:ascii="Times New Roman" w:hAnsi="Times New Roman" w:cs="Times New Roman"/>
          <w:color w:val="000000" w:themeColor="text1"/>
          <w:sz w:val="16"/>
          <w:szCs w:val="16"/>
        </w:rPr>
        <w:softHyphen/>
        <w:t>работки топлива, и самолет должен был набирать 8000 м за 1,2-1,3 мин. Максимальная продолжительность полета с работающими двигателями получалась 25 мин (почти в 4 раза больше, чем у чи</w:t>
      </w:r>
      <w:r w:rsidRPr="00722885">
        <w:rPr>
          <w:rFonts w:ascii="Times New Roman" w:hAnsi="Times New Roman" w:cs="Times New Roman"/>
          <w:color w:val="000000" w:themeColor="text1"/>
          <w:sz w:val="16"/>
          <w:szCs w:val="16"/>
        </w:rPr>
        <w:softHyphen/>
        <w:t>сто ракетного перехватчика БИ), из кото</w:t>
      </w:r>
      <w:r w:rsidRPr="00722885">
        <w:rPr>
          <w:rFonts w:ascii="Times New Roman" w:hAnsi="Times New Roman" w:cs="Times New Roman"/>
          <w:color w:val="000000" w:themeColor="text1"/>
          <w:sz w:val="16"/>
          <w:szCs w:val="16"/>
        </w:rPr>
        <w:softHyphen/>
        <w:t>рых 10-15 мин - активный воздушный бой. После отключения ЖРД самолет мог держать скорость до 800 км/ч, выполняя энергичное маневрирование (17742).</w:t>
      </w:r>
    </w:p>
    <w:p w14:paraId="6F00CBF3" w14:textId="77777777" w:rsidR="007A5C8F" w:rsidRPr="00722885" w:rsidRDefault="007A5C8F" w:rsidP="00722885">
      <w:pPr>
        <w:spacing w:after="0" w:line="240" w:lineRule="auto"/>
        <w:jc w:val="both"/>
        <w:rPr>
          <w:rFonts w:ascii="Times New Roman" w:hAnsi="Times New Roman"/>
          <w:color w:val="000000" w:themeColor="text1"/>
          <w:sz w:val="16"/>
          <w:szCs w:val="16"/>
        </w:rPr>
      </w:pPr>
    </w:p>
    <w:p w14:paraId="0C9D25A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3BA8BF4" w14:textId="77777777" w:rsidR="00AE7191" w:rsidRPr="00722885" w:rsidRDefault="00AE7191" w:rsidP="00722885">
      <w:pPr>
        <w:pStyle w:val="Iauiue"/>
        <w:jc w:val="both"/>
        <w:rPr>
          <w:iCs/>
          <w:color w:val="000000" w:themeColor="text1"/>
          <w:sz w:val="16"/>
          <w:szCs w:val="16"/>
        </w:rPr>
      </w:pPr>
    </w:p>
    <w:p w14:paraId="2697D50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 вышло Постановление ГКО № 2214 Об увеличении мощностей по производству аммиака, слабой и крепкой азотной кислоты. РГАНИР, Фонд ГКО, д. 54, лл. 1-5, 6-63 (11012).</w:t>
      </w:r>
    </w:p>
    <w:p w14:paraId="29D428A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B28C14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25 августа 1942 года вышел приказ № 632 НКБ</w:t>
      </w:r>
    </w:p>
    <w:p w14:paraId="758C5BA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 дополнение к приказу НКБ № 410сс от 25 июня 1942 года:</w:t>
      </w:r>
    </w:p>
    <w:p w14:paraId="24A4BD6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Включить завод № 479 в число действующих предприятий НКБ и подчинить 6 Гл. управлению (5909, 135).</w:t>
      </w:r>
    </w:p>
    <w:p w14:paraId="5F021691" w14:textId="77777777" w:rsidR="00AE7191" w:rsidRPr="00722885" w:rsidRDefault="00AE7191" w:rsidP="00722885">
      <w:pPr>
        <w:pStyle w:val="Iauiue"/>
        <w:tabs>
          <w:tab w:val="left" w:pos="11199"/>
        </w:tabs>
        <w:jc w:val="both"/>
        <w:rPr>
          <w:color w:val="000000" w:themeColor="text1"/>
          <w:sz w:val="16"/>
          <w:szCs w:val="16"/>
        </w:rPr>
      </w:pPr>
    </w:p>
    <w:p w14:paraId="6E289A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25 августа 1942 года был подготовлен Паспорт завода № 37 им. Орджоникидзе</w:t>
      </w:r>
    </w:p>
    <w:p w14:paraId="26C8B5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Свердловск, п/я 91</w:t>
      </w:r>
    </w:p>
    <w:p w14:paraId="7CDEF4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Эвакуирован из Москвы в 1941 году</w:t>
      </w:r>
    </w:p>
    <w:p w14:paraId="1054DE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расположен на трех самостоятельных площадках центра г. Свердловска.</w:t>
      </w:r>
    </w:p>
    <w:p w14:paraId="22EAD4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Производственный профиль – танкостроение</w:t>
      </w:r>
    </w:p>
    <w:p w14:paraId="25DFDC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Основное изделие – танк Т-60 (9668).</w:t>
      </w:r>
    </w:p>
    <w:p w14:paraId="1808BFA7" w14:textId="77777777" w:rsidR="00AE7191" w:rsidRPr="00722885" w:rsidRDefault="00AE7191" w:rsidP="00722885">
      <w:pPr>
        <w:pStyle w:val="Iauiue"/>
        <w:jc w:val="both"/>
        <w:rPr>
          <w:color w:val="000000" w:themeColor="text1"/>
          <w:sz w:val="16"/>
          <w:szCs w:val="16"/>
        </w:rPr>
      </w:pPr>
    </w:p>
    <w:p w14:paraId="22AD2B9B" w14:textId="77777777" w:rsidR="000C324B" w:rsidRPr="00722885" w:rsidRDefault="000C324B" w:rsidP="00722885">
      <w:pPr>
        <w:pStyle w:val="a3"/>
        <w:rPr>
          <w:color w:val="000000" w:themeColor="text1"/>
          <w:lang w:val="ru-RU"/>
        </w:rPr>
      </w:pPr>
      <w:r w:rsidRPr="00722885">
        <w:rPr>
          <w:color w:val="000000" w:themeColor="text1"/>
          <w:lang w:val="ru-RU"/>
        </w:rPr>
        <w:t>25 ав</w:t>
      </w:r>
      <w:r w:rsidRPr="00722885">
        <w:rPr>
          <w:color w:val="000000" w:themeColor="text1"/>
          <w:lang w:val="ru-RU"/>
        </w:rPr>
        <w:softHyphen/>
        <w:t>густа 1942 года начались заводские испытания М-4 со стволом-моноблоком, к 18 сентября был произведен 71 выстрел. В общей же сложности в ходе испытаний провели около сотни выстрелов. Кроме того, с 18 сентября по 21 октября система прошла испытания возкой. Всего М-4 прошла 400 километров. Деформаций по итогам испытаний не было обнаружено. Один дефект все же имел место, но не по причине конструктивных недостатков. На одном из подъемов возивший гауби</w:t>
      </w:r>
      <w:r w:rsidRPr="00722885">
        <w:rPr>
          <w:color w:val="000000" w:themeColor="text1"/>
          <w:lang w:val="ru-RU"/>
        </w:rPr>
        <w:softHyphen/>
        <w:t>цу тягач сдал назад и ударился в левую станину, деформировав кокор.</w:t>
      </w:r>
    </w:p>
    <w:p w14:paraId="686EAD27"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распоряжению начальника ГАУ генерал-полковника Яковлева, 5 ноября 1942 года система М-4 была отправлена на артилле</w:t>
      </w:r>
      <w:r w:rsidRPr="00722885">
        <w:rPr>
          <w:rFonts w:ascii="Times New Roman" w:hAnsi="Times New Roman"/>
          <w:color w:val="000000" w:themeColor="text1"/>
          <w:sz w:val="16"/>
          <w:szCs w:val="16"/>
        </w:rPr>
        <w:softHyphen/>
        <w:t>рийский полигон ГАНИОП (станция Ильино Горьковской железной</w:t>
      </w:r>
    </w:p>
    <w:p w14:paraId="78F594D2" w14:textId="77777777" w:rsidR="000C324B" w:rsidRPr="00722885" w:rsidRDefault="000C324B" w:rsidP="00722885">
      <w:pPr>
        <w:spacing w:after="0" w:line="240" w:lineRule="auto"/>
        <w:jc w:val="both"/>
        <w:rPr>
          <w:rFonts w:ascii="Times New Roman" w:hAnsi="Times New Roman"/>
          <w:color w:val="000000" w:themeColor="text1"/>
          <w:sz w:val="16"/>
          <w:szCs w:val="16"/>
        </w:rPr>
      </w:pPr>
    </w:p>
    <w:p w14:paraId="005B2C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 года в Сталинграде объявили военное положение, к этому времени производство танков Т-34 практически было прекращено. В отчете СТЗ за 1942 год сказано следующее:</w:t>
      </w:r>
    </w:p>
    <w:p w14:paraId="44C55B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«Сталинградский тракторный завод с августа 1942 года оказался в непосредственной зоне боевых действий, и свою производственную деятельность в связи с этим прекратил в основном с 23 августа 1942 года, если не считать непродолжительное время некоторых работ ремонтного порядка и сборку машин из оставшихся заделов непосредственно для Сталинградского фронта».</w:t>
      </w:r>
    </w:p>
    <w:p w14:paraId="62486D1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докладу о работе СТЗ в 1942 году, подписанному директором завода Задорожным, «с 23 августа по 1 сентября 1942 года было передано Красной Армии: танков 119, изготовлено арттягачей - 24, выпущено дизель-моторов - 55, отремонтировано танков - 14. В сентябре совместно с ПРБ было выпущено новых танков - 16, отремонтировано - 91 и 40 моторов».</w:t>
      </w:r>
    </w:p>
    <w:p w14:paraId="0F8D46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Есть и другие документы о работе завода за сентябрь 1942 года. Например, отчет о работе корпуса № 5 о работе с 23 августа по 12 сентября, направленный на имя заместителя наркома танковой промышленности А. Горегляда:</w:t>
      </w:r>
    </w:p>
    <w:p w14:paraId="39E791F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момента подхода немецких войск к заводу, бомбежек и обстрелов, корпусом № 5 проделана [следующая работа] работа:</w:t>
      </w:r>
    </w:p>
    <w:p w14:paraId="03D7D2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новых танков - 68 штук, отремонтировано - 23. Кроме этого оказана помощь Красной Армии в ремонте путем посылки рабочих в ремонтные бригады, а также выдачей запчастей и различным оборудованием. Работа протекала во фронтовых условиях под бомбежкой и обстрелом. Хорошие образцы работы показали старшие мастера Сафонов М.И., Пастухов, Шамурин, Москвичев. Козлов. За промежуток указанного времени в корпус попало 6 фугасных бомб, около 154 зажигательных бомб и один снаряд. Сгорело газойль хранилище, разрушена в двух шестах крыша. Работа в цехе в настоящее время по ремонту танков производится с прибывающими на завод танковыми экипажами».</w:t>
      </w:r>
    </w:p>
    <w:p w14:paraId="09A2195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видно из приведенных документов, данные о выпуске тридцатьчетверок на СТЗ в августе - сентябре 1942 года довольно сильно разняться. Дело в том, что часть из принятых военпредом 250 Т-34, показанных в сведениях за август, доделы- аалась и окончательно передавалась заказчику позже, в первой половине сентября, а в некоторых документах завода эти уже принятые машины проходили как новые. Последние 14 танков Т-34, собранных на СТЗ в сентябре, фигурируют в докладе Задорожного.</w:t>
      </w:r>
    </w:p>
    <w:p w14:paraId="2AB2BF3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Окончательно работы на Сталинградском тракторном заводе были прекращены приказом наркомтан- копрома от 5 октября 1942 года:</w:t>
      </w:r>
    </w:p>
    <w:p w14:paraId="265DE1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«Развертывание боевых действий в непосредственной близости к заводу, систематические и непрерывные бомбардировки, минометный и артиллерийский обстрел не позволяют производить на СТЗ каких бы то ни было работ. В связи с этим Наркомат танковой промышленности СССР считает нецелесообразным дальнейшее пребывание на территории завода оставшихся там высококвалифицированных рабочих завода и отзывает их для использования на других предприятиях НКТП» (12217).</w:t>
      </w:r>
    </w:p>
    <w:p w14:paraId="7AAFC3E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3FBCAE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DA443DB" w14:textId="77777777" w:rsidR="00AE7191" w:rsidRPr="00722885" w:rsidRDefault="00AE7191" w:rsidP="00722885">
      <w:pPr>
        <w:pStyle w:val="Iauiue"/>
        <w:jc w:val="both"/>
        <w:rPr>
          <w:iCs/>
          <w:color w:val="000000" w:themeColor="text1"/>
          <w:sz w:val="16"/>
          <w:szCs w:val="16"/>
        </w:rPr>
      </w:pPr>
    </w:p>
    <w:p w14:paraId="11CC0207"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в 1942 году утреннее сообщение Совинформбюро:</w:t>
      </w:r>
    </w:p>
    <w:p w14:paraId="5A76755F"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25 августа наши войска вели бои с противником в районах юго-восточнее Клетская, северо-восточнее Котельниково, а также в районах Прохладный и южнее Краснодара.</w:t>
      </w:r>
    </w:p>
    <w:p w14:paraId="0D81AB83"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429D6694"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Клетской наши войска вели напряжённые бои с противником, переправившимся через Дон. Немецко-фашистским войскам при поддержке большого количества танков и самолётов удалось потеснить наши части и продвинуться вперёд. Наши бойцы отбивают атаки гитлеровцев и наносят им большой урон. На одном участке бойцы Н-ской части в течение дня отразили шесть атак противника. Уничтожено 13 танков и до 400 немецких солдат и офицеров. На другом участке огнём советской артиллерии рассеяна и частью уничтожена крупная колонна танков и пехоты противника.</w:t>
      </w:r>
    </w:p>
    <w:p w14:paraId="2B75192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продолжались ожесточённые бои. Защищая оборонительный рубеж, бойцы Н-ской части истребили свыше 200 гитлеровцев. На другом участке наши танкисты сдерживали натиск численно превосходящих сил танков и мотопехоты неприятеля.</w:t>
      </w:r>
    </w:p>
    <w:p w14:paraId="4651C6E7"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южнее Краснодара советские лётчики, взаимодействуя с наземными войсками, за один день уничтожили пять немецких танков, 70 автомашин с войскамии грузами и до роты пехоты противника.</w:t>
      </w:r>
    </w:p>
    <w:p w14:paraId="4A48636F"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наши части окружили немецкий отряд горных войск. В боях с этим отрядом уничтожено 200 гитлеровцев. На другом участке наши бойцы приподдержке двух бронепоездов отбили атаку во много раз превосходящих сил противника. Подбито 23 и уничтожено 8 немецких танков.</w:t>
      </w:r>
    </w:p>
    <w:p w14:paraId="561B7928"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местного значения. На ряде участков наши подразделения отразили атаки пехоты противника. Около населённого пункта В. советские бойцы ворвались в траншеи противника и вели рукопашные бои с гитлеровцами. Наши лётчики сбили в воздушных боях 3 немецких самолёта. Кроме того, огнём зенитной артиллерии сбито 5 немецких транспортных самолётов «Юнкерс-52».</w:t>
      </w:r>
    </w:p>
    <w:p w14:paraId="7703D99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из отряда под командованием тов. М., действующего в одном из районов Смоленской области, в течение недели пустили под откос 3 железнодорожных эшелона с живой силой и техникой противника.</w:t>
      </w:r>
    </w:p>
    <w:p w14:paraId="69BF121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партизанами немецкого офицера найден приказ немецкого командования об организации специального ведомства и о выделении специальных войск для борьбы с партизанами на территории Белоруссии.</w:t>
      </w:r>
    </w:p>
    <w:p w14:paraId="62265BB7"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Немецкий унтер-офицер Макс Клейн пишет брату Францу: «Как только прекращается стрельба, мы приступаем к обыскам в домах русских. Моё отделение проявляет в этом деле незаурядные способности. Каждый ищет то, что его интересует: один хватает мёд, другой тащит часы, третий прикарманивает деньги. После нашествия моих солдат в домах ничего не остаётся».</w:t>
      </w:r>
    </w:p>
    <w:p w14:paraId="74996760"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истребляют советских военнопленных. В орловском лагере пленным красноармейцам гитлеровцы в течение пяти дней не давали ни крошки хлеба. Голодных пленных, однако, погнали на строительство дорог. Когда группа бойцов заявила, что они не могут работать, в лагерь был вызван отряд эсэсовцев. Гитлеровские бандиты расстреляли больше 80 пленных красноармейцев.</w:t>
      </w:r>
    </w:p>
    <w:p w14:paraId="3C1FBD4B"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департаменте Кот д'Ор (Франция) за последнее время крестьяне захватили 18 складов и разобрали весь находившийся там реквизированный немцами хлеб. Во многих деревнях Франции крестьяне отказываются сдавать оккупантам и прячут сельскохозяйственные продукты.» (14993).</w:t>
      </w:r>
    </w:p>
    <w:p w14:paraId="28ADC3FC"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2D4456F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в 1942 году вечернее сообщение Совинформбюро:</w:t>
      </w:r>
    </w:p>
    <w:p w14:paraId="31C81E77"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25 августа наши войска вели бои с противником в районах Клетская, северо-западнее Сталинграда, северо-восточнее Котельниково, а также в районах Прохладный и южнее Краснодара.</w:t>
      </w:r>
    </w:p>
    <w:p w14:paraId="6545769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существенных изменений не произошло.</w:t>
      </w:r>
    </w:p>
    <w:p w14:paraId="34E2B9D9"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корабли в Чёрном море потопили немецкий транспорт водоизмещением в 5.000 тонн.</w:t>
      </w:r>
    </w:p>
    <w:p w14:paraId="7900888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24 августа частями нашей авиации на различных участках фронта уничтожено или повреждено 10 немецких танков, 50 автомашин с войсками и грузами, 30 подвод с боеприпасами, 5 автоцистерн с горючим, подавлен огонь 10 батарей полевой и зенитной артиллерии, взорвано 4 склада боеприпасов, рассеяно и частью уничтожено до батальона пехоты противника.</w:t>
      </w:r>
    </w:p>
    <w:p w14:paraId="2481B26E"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части вели активные бои.</w:t>
      </w:r>
    </w:p>
    <w:p w14:paraId="1EA6D94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напряжённые бои с крупными силами танков и пехоты противника, переправившимися на левый берег Дона. Обстановка на этом участке осложнилась. Наши бойцы самоотверженно отбивают атаки немцев и наносят противнику огромный урон.</w:t>
      </w:r>
    </w:p>
    <w:p w14:paraId="01EAAF9F"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Н-ская часть, сдерживая наступление неприятеля, уничтожила 17 немецких танков и 450 гитлеровцев. Наши танкисты днём и ночью непрерывно контратакуют немцев. Одно подразделение в течение суток семь раз ходило в контратаку против численно превосходящих сил противника и уничтожило 22 немецких танка, 3 самоходныхорудия, 9 противотанковых орудий, 34 автомашины и не менее 600 немецких солдат и офицеров.</w:t>
      </w:r>
    </w:p>
    <w:p w14:paraId="23602208"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Нашей авиацией на подступах к Сталинграду и огнём зенитной артиллерии в течение двух дней уничтожено 92 немецких самолёта.</w:t>
      </w:r>
    </w:p>
    <w:p w14:paraId="3A065A63"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вели бои против танков и мотопехоты противника. Немцы предприняли ряд атак на участке Н-ской части. Наши бойцы отбили атаки противника. Огнём из орудий и противотанковых ружей, гранатами и бутылками с горючей смесью подбито и сожжено 14 немецких танков и уничтожено до 300 гитлеровцев.</w:t>
      </w:r>
    </w:p>
    <w:p w14:paraId="20C64B67"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продолжаются упорные бои, нередко переходящие в рукопашные схватки. Сосредоточив на одном участке ударную группу, противник стремится прорваться вперёд. Наши войска непрерывными контратаками сдерживают наступающего противника. Только в боях около одной железнодорожной станции немцы потеряли 8 танков и до 900 солдат и офицеров.</w:t>
      </w:r>
    </w:p>
    <w:p w14:paraId="7247742C"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советские войска отбили несколько атак гитлеровцев. Уничтожен десант автоматчиков, выброшенный немецкими самолётами в тылу наших войск.</w:t>
      </w:r>
    </w:p>
    <w:p w14:paraId="3A40C04F"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местного значения. Наши подразделения заняли один населённый пункт.</w:t>
      </w:r>
    </w:p>
    <w:p w14:paraId="611E682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артиллерийской подготовки противник силою до двух батальонов пехоты перешёл в контратаку, пытаясь вернуть потерянные позиции. Контратака гитлеровцев была отбита. На другом участке одна наша часть вела активные боевые действия, потеснила противника и улучшила свои позиции.</w:t>
      </w:r>
    </w:p>
    <w:p w14:paraId="668E3E4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Несколько объединённых партизанских отрядов Ленинградской области продолжали вести бои с крупной карательной экспедицией немцев. За последние дни партизаны убили и ранили до 1.000 немецко-фашистских оккупантов и вывели из строя 9 неприятельских танков.</w:t>
      </w:r>
    </w:p>
    <w:p w14:paraId="79F87778"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1 роты 541 полка 387 немецкой пехотной дивизии Иоганн Швейцер рассказал: «За один месяц боёв 1-я рота потеряла убитыми и ранеными 140 человек. Немецкая армия несёт огромные потери, но германское командование ничего не сообщает об этом. Многие солдаты говорят: еще в октябре и ноябре прошлого года командование хвастало, что русские окончательно разбиты. С тех пор прошло около года. Однако и сейчас русские воюют, и у них много войск. Выходит, таким образом, что германское командование публикует лживые сводки и обманывает солдат. Теперь нас хотят обмануть так же, как и в прошлом году».</w:t>
      </w:r>
    </w:p>
    <w:p w14:paraId="4C0C279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достоверных источников получены сведения о неслыханном и чудовищном злодеянии гитлеровских палачей. По приказу германского командования в последние месяцы немцы истребляют советских военнопленных, находящихся в лагерях около Варшавы, Кракова, Ковно, Брест-Литовска и к северу от Волковыска. А как известно, в число военнопленных немцы зачисляют и советское гражданское население, уведённое ими из оккупированных городов и сёл. В течение многих недель немецкие бандиты морили пленных голодом. Истощённые и обессиленные люди валялись в грязи. Больных палачи немедленно добивали. Истребление пленных производится специальными командами эсэсовцев. В течение последних месяцев немецко-фашистские бандиты умертвили тысячи мирных советских жителей, захваченных немцами, и пленных красноармейцев.»</w:t>
      </w:r>
    </w:p>
    <w:p w14:paraId="09577C0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7C3E373D"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на западном и калининском фронтах перешли в наступление и прорвали оборону противника. Немецкие войска отброшены на 40—50 километров.</w:t>
      </w:r>
    </w:p>
    <w:p w14:paraId="79DA146B"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Трофеи наших войск.</w:t>
      </w:r>
    </w:p>
    <w:p w14:paraId="3E4E576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«Дней 15 тому назад войска Западного и Калининского фронтов на Ржевском и Гжатско-Вяземском направлениях частью сил перешли в наступление.</w:t>
      </w:r>
    </w:p>
    <w:p w14:paraId="5E7C51CD"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Ударом наших войск в первые же дни наступления оборона противника была прорвана на фронте протяжением 115 километров. Развивая наступление и нанося противнику непрерывные удары, наши войска разбили 161, 342, 292, 129, 6, 256 германские пехотные дивизии, 14 и 36 мотодивизии и 2-ю танковую дивизию, нанесли значительное поражение 1 и 5 танковым дивизиям, 328, 183 и 78 пехотным дивизиям. Фронт немецких войск на указанных направлениях отброшен на 40—50 километров.</w:t>
      </w:r>
    </w:p>
    <w:p w14:paraId="625B0C9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20 августа нашими войсками освобождено 610 населённых пунктов, в их числе города Зубцов, Карманово, Погорелое-Городище.</w:t>
      </w:r>
    </w:p>
    <w:p w14:paraId="59FE3AD8"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указанных операциях, по неполным данным, нашими войсками захвачены следующие трофеи: танков - 250, орудий — 757, миномётов — 567, пулемётов —1.615, противотанковых ружей и автоматов — 929, винтовок — 11.100, мин— 17.090, ружейных патронов — 2.311.750, снарядов — 32.473, раций — 65, автомашин — 2.020, мотоциклов—952, велосипедов — 1.969, тракторов — 52, кухонь — 37, повозок —340, складов с боеприпасами, вещевым и другим имуществом — 75.</w:t>
      </w:r>
    </w:p>
    <w:p w14:paraId="0924495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уничтожено наземными войсками и авиацией: танков — 324, орудий —343, миномётов — 140, пулемётов — 348, автомашин — 2.040, повозок — 690.</w:t>
      </w:r>
    </w:p>
    <w:p w14:paraId="501E2C0D"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воздушных боях и зенитной артиллерией сбито 252 самолёта, уничтожено и повреждено на аэродромах 290 самолётов.</w:t>
      </w:r>
    </w:p>
    <w:p w14:paraId="308CD753"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убитых немецких солдат и офицеров достигает 45.000 человек.</w:t>
      </w:r>
    </w:p>
    <w:p w14:paraId="262D548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Перемалывая живую силу фашистско-немецких дивизий, уничтожая и захватывая значительную часть их боевой техники, наши войска продолжают вести ожесточённые бои. Бои идут на окраинах города Ржев.</w:t>
      </w:r>
    </w:p>
    <w:p w14:paraId="340FD26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боях отличились войска генералов Лелюшенко, Федюнинского, Хозина, Поленова, Рейтера, Швецова. Прорыв немецкого фронта был организован генералом армии Жуковым и генерал-полковником Коневым.» (14993).</w:t>
      </w:r>
    </w:p>
    <w:p w14:paraId="5E075E5B"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5BBBB7F3"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в 1942 году Северо-Кавказский фронт. Немецкие части 1-й танковой армии группы армии "А" ворвались в город Моздок, завязав уличные бои за город с советскими войсками, и продолжают наступление на город Орджоникидзе, Чечено-Ингушская АССР. До Грозного было уже рукой подать. В 22.00. недалеко от села Бережки Галашкинского района с немецкого самолета десантировалась чеченская диверсионная группа в составе 9 человек во главе с Г.Османом (Саиднуровым). Группа была экипирована в форму солдат Красной Армии и имела задание взрывать мосты, дезорганизовывать снабжение и формировать банды. Диверсантам быстро удалось завербовать в свои ряды 13 жителей сёл Лайгу, Алки, Новый Алкун. Ночью того же дня немецкая разведывательно-диверсионная группа в количестве 30 парашютистов была заброшена с двух самолетов на территорию Атагинского района близ с. Чешки. Возглавлявший ее обер-лейтенант Ланге намеревался поднять массовое вооруженное восстание в горных районах Чечни и взять под контроль нефтяные месторождениях и нефтеочистительные заводы. Однако начало операции для группы Ланге сложилось неудачно. Еще в воздухе она была обнаружена и обстреляна. Когда приземлилась, то запропастился парашют с рацией. Однако Ланге удалось наладить связи с местными бандитами, с которыми предпринял ряд нападений на советские части. И все же идея с широкомасштабным восстанием провалилась. А когда Ланге узнал, что провалилось и немецкое наступление на Северный Кавказ, то бросил своих чеченских друзей и, переодевшись в штатское, отправился к своим через линию фронта. Другой диверсионной группе под командованием немецкого унтер-офицера Реккерта, удалось установить связь с бандой Р.Сахабова. При поддержке местных религиозных деятелей они сколотили приличный отряд из четырех сотен человек, который снабдили немецким оружием, сброшенным с самолетов. После чего предприняли вооруженное выступление в Веденском и Чеберлоевском районах. Однако частями НКВД их выступление было подавлено, Реккерт убит, а примкнувший к нему командир другой диверсионной группы Дзугаев арестован. Всего немцами в июле-августе 1942 года на территорию ЧИАССР было заброшено 5 групп парашютистов общей численностью 57 человек. Операция «Шамиль» фактически закончилась полным крахом. Чеченские месторождения и нефтеперерабатывающие заводы так и остались недоступными для гитлеровцев. И это во многом обусловило срыв их наступления на Кавказе. Когда 9 августа наступавшие танковые соединения немцев подошли к Пятигорску, им пришлось несколько недель ожидать горючее, что позволило советскому командованию подтянуть резервы и организовать оборону. Горючее по мере удаления фронта вглубь СССР гитлеровцам становилось доставлять все труднее. Автотранспорт сам расходовал значительную часть подвозимого горючего, поэтому для экономии ГСМ их подчас возили даже на верблюдах. В целях поддержания боевого духа войск немецкие горные егеря предприняли показушную акцию - водрузили фашистские знамена на обоих пиках Эльбруса. Когда Гитлеру доложили об этом, то вместо радости получили от него совсем иную реакцию. Фюрер бегал по кабинету и орал: «Идиоты, мне не нужна эта ваша дурацкая гора, мне нужна нефть, нефть!» (14993).</w:t>
      </w:r>
    </w:p>
    <w:p w14:paraId="4B8CDEE3"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764F7CBC"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в 1942 году в Сталинграде введено осадное положение (14993).</w:t>
      </w:r>
    </w:p>
    <w:p w14:paraId="62712311"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295B3D3C"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в 1942 году вооруженный всего лишь несколькими небольшими пушками, ледокольный пароход “Александр Сибиряков” был настигнут в Карском море фашистским тяжелым крейсером “Адмирал Шеер”. Не сомневаясь в легкой победе, гитлеровцы подняли сигнал: “Спустите флаг, сдавайтесь!” Ответ последовал немедленно: на фор-стеньге взвился Государственный флаг, и сразу же ударили два 76-мм и два 45-мм орудия парохода. Это было так неожиданно для фашистов, что в первый миг они растерялись. Несколько минут немецкий рейдер молчал, а потом разом загрохотали орудия его главного калибра. Командир “Сибирякова” старший лейтенант Анатолий Алексеевич Качарава искусно маневрировал, вел ответный огонь, уклоняясь от прямых попаданий. Но слишком уж неравными были силы. Снаряд за снарядом с оглушительным грохотом разрывались в надстройках, они навылет пробивали борт, рвались на палубе. До последних минут “Сибиряков” вел ответный огонь. В неравном бою корабль погиб, но флага перед врагом не спустил (14993).</w:t>
      </w:r>
    </w:p>
    <w:p w14:paraId="2C48FC84"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070C260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 августа в 1942 году советская зенитная артиллерия сбила </w:t>
      </w:r>
      <w:hyperlink r:id="rId90" w:tgtFrame="_blank" w:history="1">
        <w:r w:rsidRPr="00722885">
          <w:rPr>
            <w:rFonts w:ascii="Times New Roman" w:hAnsi="Times New Roman"/>
            <w:color w:val="000000" w:themeColor="text1"/>
            <w:sz w:val="16"/>
            <w:szCs w:val="16"/>
          </w:rPr>
          <w:t xml:space="preserve">«FW.189» </w:t>
        </w:r>
      </w:hyperlink>
      <w:r w:rsidRPr="00722885">
        <w:rPr>
          <w:rFonts w:ascii="Times New Roman" w:hAnsi="Times New Roman"/>
          <w:color w:val="000000" w:themeColor="text1"/>
          <w:sz w:val="16"/>
          <w:szCs w:val="16"/>
        </w:rPr>
        <w:t>из отряда 2(Н)/1S. Пилот этой "рамы", фельдфебель Ф.Элькерст (F.EIkerst) был одним из первых, кого удалось допросить в плену. Несмотря на молодость (22 года) он имел большой опыт, начав воевать еще во Франции. Пленный рассказал, что с посадочной площадки Ольшанцы около Орла их отряд вел разведку с попутным бомбардированием в треугольнике Киров-Жиздра-Сухиничи. За сутки выполнялось 5-6 полетов, практически всегда без прикрытия истребителями. За три месяца боев потерь в самолетах не было. Одного из пилотов тяжело ранило, но он сумел долететь к своим. Элькерст считал основной причиной столь успешных действий хорошее взаимодействие с постами ВНОС, что позволяло избегать встреч с советскими истребителями (14993).</w:t>
      </w:r>
    </w:p>
    <w:p w14:paraId="781AA3DD"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310D5BA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в 1942 году советские войска оставили город Моздок (14993).</w:t>
      </w:r>
    </w:p>
    <w:p w14:paraId="6881238D"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3D3DBFED"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в 1942 году войска 47-й армии и части морской пехоты приостановили наступление немецко-фашистских войск на Новороссийск и Анапу (14993).</w:t>
      </w:r>
    </w:p>
    <w:p w14:paraId="04F8A990"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528DB13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в 1942 году немецкие войска заняли Калач (14993).</w:t>
      </w:r>
    </w:p>
    <w:p w14:paraId="20D42B6D"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0692C107"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в 1942 году войска советской 47-й армии и части морской пехоты приостановили немецкое наступление на Новороссийск и Анапу (14993).</w:t>
      </w:r>
    </w:p>
    <w:p w14:paraId="4703E782"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7BD5486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в 1942 году немецкие альпинисты водрузили германский флан на Эльбрусе (14993).</w:t>
      </w:r>
    </w:p>
    <w:p w14:paraId="4046AF7E"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72C751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lang w:val="en-US"/>
        </w:rPr>
        <w:t xml:space="preserve">August 25 1942 Zhukov, Russia's only undefeated general, is now put in charge of the defenses of Stalingrad. </w:t>
      </w:r>
      <w:r w:rsidRPr="00722885">
        <w:rPr>
          <w:color w:val="000000" w:themeColor="text1"/>
          <w:sz w:val="16"/>
          <w:szCs w:val="16"/>
        </w:rPr>
        <w:t>(1052).</w:t>
      </w:r>
    </w:p>
    <w:p w14:paraId="63816A4F" w14:textId="77777777" w:rsidR="00AE7191" w:rsidRPr="00722885" w:rsidRDefault="00AE7191" w:rsidP="00722885">
      <w:pPr>
        <w:pStyle w:val="Iauiue"/>
        <w:jc w:val="both"/>
        <w:rPr>
          <w:color w:val="000000" w:themeColor="text1"/>
          <w:sz w:val="16"/>
          <w:szCs w:val="16"/>
        </w:rPr>
      </w:pPr>
    </w:p>
    <w:p w14:paraId="76D83F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августа Г.К.Ж. был назначен ответственным за оборону Сталинграда (1052).</w:t>
      </w:r>
    </w:p>
    <w:p w14:paraId="6106138F" w14:textId="77777777" w:rsidR="00AE7191" w:rsidRPr="00722885" w:rsidRDefault="00AE7191" w:rsidP="00722885">
      <w:pPr>
        <w:pStyle w:val="Iauiue"/>
        <w:jc w:val="both"/>
        <w:rPr>
          <w:color w:val="000000" w:themeColor="text1"/>
          <w:sz w:val="16"/>
          <w:szCs w:val="16"/>
        </w:rPr>
      </w:pPr>
    </w:p>
    <w:p w14:paraId="412942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августа Г.К.Ж. был назначен ответственным за оборону Сталинграда (1052).</w:t>
      </w:r>
    </w:p>
    <w:p w14:paraId="66EBAAE9" w14:textId="77777777" w:rsidR="00AE7191" w:rsidRPr="00722885" w:rsidRDefault="00AE7191" w:rsidP="00722885">
      <w:pPr>
        <w:pStyle w:val="Iauiue"/>
        <w:jc w:val="both"/>
        <w:rPr>
          <w:color w:val="000000" w:themeColor="text1"/>
          <w:sz w:val="16"/>
          <w:szCs w:val="16"/>
        </w:rPr>
      </w:pPr>
    </w:p>
    <w:p w14:paraId="7A089E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августа 1942 Сталинград объявлен на осадном положении (1348,224).</w:t>
      </w:r>
    </w:p>
    <w:p w14:paraId="37B9AB14" w14:textId="77777777" w:rsidR="00AE7191" w:rsidRPr="00722885" w:rsidRDefault="00AE7191" w:rsidP="00722885">
      <w:pPr>
        <w:pStyle w:val="Iauiue"/>
        <w:jc w:val="both"/>
        <w:rPr>
          <w:color w:val="000000" w:themeColor="text1"/>
          <w:sz w:val="16"/>
          <w:szCs w:val="16"/>
        </w:rPr>
      </w:pPr>
    </w:p>
    <w:p w14:paraId="68E4E1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 ожесточенным атакам авиации подверглись и суда, работавшие на переправах. При выходе из Красной слободы на пожарный пароход «Гаситель» спикировали несколько Ju-87. Сброшенные ими бомбы легли у берега, в опасной близости от борта. Огромный водяной столб, осколки обрушились на пароход. В машинном отделении был убит старший механик Я. Д. Ерохин. Погиб член экипажа Соколов, еще четверо матросов получили смертельные ранения, но «Гаситель» остался в строю. Тем временем в самом Сталинграде ситуация явно выходила из-под контроля. После бомбежек перестал ходить трамвай, вышли из строя канализация и водопровод, не было ни телефонной связи, ни света. По ночам улицы освещали лишь многочисленные отблески пожаров. Дым, запах разлагающихся трупов и вытекших прямо на тротуары фекалий, сплошные завалы создавали новую реальность, в которой теперь приходилось выживать сталинградцам. Десяткам тысяч уцелевших жителей нужно было есть и пить, поэтому у колодцев выстраивались километровые очереди, периодически перераставшие в давки и мордобой. Мародерство и грабежи достигли неимоверных масштабов. Так, 24 августа милицейский патруль задержал в подвале бывшего овощехранилища банду из трех человек, одетых в военную форму. Оказалось, что двое арестованных являлись беглыми уголовниками, благо городская тюрьма тоже пострадала от бомбежки, третий же оказался дезертиром. В предшествующие дни эта троица, пользуясь хаосом, средь бела дня внаглую грабила прохожих. НКВД пыталось наводить порядок, но сделать это в огромном полуразрушенном городе было невозможно. 25 августа по решению комитета обороны в городе было опубликовано сообщение коменданта Сталинграда майора Демченко о том, что в этот день за мародерство и воровство государственной и личной собственности граждан военными властями были расстреляны на месте преступления шесть человек. Трудно сказать, произвело ли это «объявление» какое-либо впечатление, но беспорядки продолжались. А между тем в связи с выходом немцев к Волге и большими разрушениями в речном порту работа переправ значительно осложнилась. Фарватер во многих местах заблокировали затонувшие суда и плавучие краны, было разрушено здание управления пароходства и узел связи. Руководству НВРП пришлось в срочном порядке организовать дополнительные переправы в районе Киевского ввоза и у городской водокачки, а также в районе заводов в северной части города. Для перевозки раненых и беженцев удалось выделить пять больших пароходов. Опасаясь ударов авиации, суда в основном работали ночью, все трюмы, каюты и палубы битком забивались людьми. Так, пассажирский пароход «Парижская коммуна» перевозил за рейс по полторы тысячи человек. Зачастую при погрузке возникала дикая давка, люди ломали ограждения причалов, периодически возникали драки и потасовки. 26 августа для наведения порядка в распоряжение коменданта порта А. Бейника поступили 86 командиров и политработников, а с ними две роты автоматчиков из НКВД. С этого дня неистовые крики в рупоры, угрозы и автоматные очереди стали обычным делом на переправах. Впрочем, многие жители были до такой степени напуганы и деморализованы непрерывными бомбежками, что, несмотря на запоздалые призывы эвакуироваться на восточный берег, оставались в подвалах и убежищах, боясь появляться на переправах (11774).</w:t>
      </w:r>
    </w:p>
    <w:p w14:paraId="2F999D5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334E2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 Астраханский городской комитет обороны принял постановление «О подготовке населения к вооруженной защите Астрахани», согласно которому предполагалось в течение пяти дней закончить комплектование боевых народных полков из трудящихся Астрахани и сразу же начать их военное обучение, расширить состав истребительных батальонов, создав их во всех крупных селах, наиболее важных населенных пунктах и предприятиях. В целях обеспечения воинских перевозок ГКО обязал начальника порта составить строгий график подачи судов в соответствии с подходом эшелонов. Начальнику гарнизона генерал-майору Котелкову предлагалось выделить военно-морскому коменданту наряд для несения караульной службы и охраны военных грузов, проходящих через порт. Коменданту военно-морской базы контр-адмиралу Заостровцеву поручалось обеспечить усиленную охрану рейда и конвоирование караванов из Астрахани до места назначения, начальнику ПВО города – обеспечить прикрытие районов погрузки зенитными орудиями. На каждом пункте, где действовали паромы, понтоны, катера, лодки, были учреждены военные комендатуры во главе с опытными офицерами – дорожниками, саперами и моряками.</w:t>
      </w:r>
    </w:p>
    <w:p w14:paraId="0EEBAD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Выход немцев к Волге создал еще одну проблему – в районе астраханского порта и на морском рейде скопилось множество нефтеналивных судов. Перегрузка на нефтебазы и железнодорожный транспорт шла медленно, и танкеры вынуждены были подолгу простаивать на якоре. Все нервничали, ведь в небе то и дело появлялись немецкие самолеты. С запада, со стороны Калмыцкой степи, также надвигалась угроза. Тогда 24 августа поступил приказ правительства эвакуировать большую часть нефтеналивного флота в Гурьев, в устье реки Урал. Для речных судов это была сложнейшая задача. В северной части Каспия район малых глубин простирается далеко в море, и плавание судов совершается на значительном удалении от берега, что ограничивало возможности визуальной ориентировки. Тем не менее риск погибнуть от бомбежки был куда выше. Поэтому уже вечером 24 августа в Гурьев был отправлен теплоход «ВЛКСМ» с баржами на буксире (11774).</w:t>
      </w:r>
    </w:p>
    <w:p w14:paraId="02729C1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1DAFAD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25 августа 1942 фашисты захватили Моздок (4962).</w:t>
      </w:r>
    </w:p>
    <w:p w14:paraId="48D50350" w14:textId="77777777" w:rsidR="00AE7191" w:rsidRPr="00722885" w:rsidRDefault="00AE7191" w:rsidP="00722885">
      <w:pPr>
        <w:pStyle w:val="Iauiue"/>
        <w:tabs>
          <w:tab w:val="left" w:pos="11199"/>
        </w:tabs>
        <w:jc w:val="both"/>
        <w:rPr>
          <w:color w:val="000000" w:themeColor="text1"/>
          <w:sz w:val="16"/>
          <w:szCs w:val="16"/>
        </w:rPr>
      </w:pPr>
    </w:p>
    <w:p w14:paraId="2EECE7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августа 1942 на И-153 Ме-109 был сбит ГСС Я.И.Антонов - тот самый с фото в книжке Красный феникс (2784,34).</w:t>
      </w:r>
    </w:p>
    <w:p w14:paraId="517265F7" w14:textId="77777777" w:rsidR="00AE7191" w:rsidRPr="00722885" w:rsidRDefault="00AE7191" w:rsidP="00722885">
      <w:pPr>
        <w:pStyle w:val="Iauiue"/>
        <w:jc w:val="both"/>
        <w:rPr>
          <w:color w:val="000000" w:themeColor="text1"/>
          <w:sz w:val="16"/>
          <w:szCs w:val="16"/>
        </w:rPr>
      </w:pPr>
    </w:p>
    <w:p w14:paraId="2CBE8B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августа 1942 был бой парохода А.Сибиряков с тяжелым крейсером Адмирал Шпеер в Карском море (3398,307).</w:t>
      </w:r>
    </w:p>
    <w:p w14:paraId="24F1CE67" w14:textId="77777777" w:rsidR="00AE7191" w:rsidRPr="00722885" w:rsidRDefault="00AE7191" w:rsidP="00722885">
      <w:pPr>
        <w:pStyle w:val="Iauiue"/>
        <w:jc w:val="both"/>
        <w:rPr>
          <w:color w:val="000000" w:themeColor="text1"/>
          <w:sz w:val="16"/>
          <w:szCs w:val="16"/>
        </w:rPr>
      </w:pPr>
    </w:p>
    <w:p w14:paraId="6B8814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августа 1942 Як-1 и Ил-2 штурмовали аэродромы Курск-Восточный и Старый Оскол. Уничтожили 40 (3417,25).</w:t>
      </w:r>
    </w:p>
    <w:p w14:paraId="5E804B87" w14:textId="77777777" w:rsidR="00AE7191" w:rsidRPr="00722885" w:rsidRDefault="00AE7191" w:rsidP="00722885">
      <w:pPr>
        <w:pStyle w:val="Iauiue"/>
        <w:jc w:val="both"/>
        <w:rPr>
          <w:color w:val="000000" w:themeColor="text1"/>
          <w:sz w:val="16"/>
          <w:szCs w:val="16"/>
        </w:rPr>
      </w:pPr>
    </w:p>
    <w:p w14:paraId="7ADE6D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августа 1942 директивой N 353 были отменены дифференцированные нормы питания военнопленных и все стали получать по основной норме от 30 июля 1941 - калорийность - 1750 кал. (3428).</w:t>
      </w:r>
    </w:p>
    <w:p w14:paraId="4221AA49" w14:textId="77777777" w:rsidR="00AE7191" w:rsidRPr="00722885" w:rsidRDefault="00AE7191" w:rsidP="00722885">
      <w:pPr>
        <w:pStyle w:val="Iauiue"/>
        <w:jc w:val="both"/>
        <w:rPr>
          <w:color w:val="000000" w:themeColor="text1"/>
          <w:sz w:val="16"/>
          <w:szCs w:val="16"/>
        </w:rPr>
      </w:pPr>
    </w:p>
    <w:p w14:paraId="208E8D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 августа 1942 был подвиг л/п «Александр Сибиряков». </w:t>
      </w:r>
    </w:p>
    <w:p w14:paraId="17E4F48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Юго-западнее арх. Норденшельда л/п «А. Сибиряков», шедший с Диксона на Северную Землю с грузом и персоналом для новой полярной станции, обнаружил тяжелый крейсер. Это был «Адмирал Шеер», который вел поиск советских конвоев в Карском море. Пытаясь обмануть советских моряков, крейсер поднял американский флаг. Командир парохода старший лейтенант А. А. Качарава в 13 ч 17 мин передал по радио на Диксон донесение о встрече с иностранным кораблем. </w:t>
      </w:r>
    </w:p>
    <w:p w14:paraId="4584F2E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ответ на запросы с крейсера о ледовой обстановке в прол. Вилькицкого и о местонахождении каравана судов на «А. Сибирякове» была объявлена боевая тревога. Силы были слишком неравны, поэтому Качарава пытался увести судно на мелководье к о. Белуха. Крейсер поднял фашистский флаг и быстро приближался. С него был сделан предупредительный выстрел и передан сигнал спустить флаг и сдаться. В ответ командир «А. Сибирякова» приказал открыть огонь. </w:t>
      </w:r>
    </w:p>
    <w:p w14:paraId="18681D7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Снаряды крейсера сбили на «А. Сибирякове» мачту, прекратилась радиосвязь. Очередными залпами была уничтожена кормовая батарея. На судне возник пожар, появились пробоины. Моряки боролись с огнем, восстанавливали радиосвязь, продолжая стрелять по врагу. Наконец, все средства борьбы были исчерпаны: на «А. Сибирякове» были уничтожены орудия, погибло большинство членов экипажа. Огонь быстро распространялся по судну, вода затопляла нижние помещения. Качарава приказал спустить шлюпки и открыть кингстоны, но в этот момент он был тяжело ранен и потерял сознание. Радисту А. Г. Шаршавину удалось передать на Диксон: «Помполит приказал покинуть судно. Горим. Прощайте. 14 ч 05 мин». </w:t>
      </w:r>
    </w:p>
    <w:p w14:paraId="6D3EBD2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Выполняя приказ командира, старший механик Н. Г. Бочурко открыл кингстоны. «А. Сибиряков» накренился на левый борт, погрузился носом и стал тонуть. Помполит капитан 3 ранга 3. А. Элимелах и несколько его товарищей, не пожелавшие покинуть корабль, погибли вместе с ним. Фашисты пулеметными очередями расстреливали сибиряковцев. Не многим удалось спастись. Один из них кочегар П. И. Вавилов сумел добраться до о. Белуха. 34 дня прожил на необитаемом острове мужественный моряк и был спасен полярным летчиком И. И. Черевичным (11712).</w:t>
      </w:r>
    </w:p>
    <w:p w14:paraId="1AECB04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534807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4A315728" w14:textId="77777777" w:rsidR="00AE7191" w:rsidRPr="00722885" w:rsidRDefault="00AE7191" w:rsidP="00722885">
      <w:pPr>
        <w:pStyle w:val="Iauiue"/>
        <w:jc w:val="both"/>
        <w:rPr>
          <w:iCs/>
          <w:color w:val="000000" w:themeColor="text1"/>
          <w:sz w:val="16"/>
          <w:szCs w:val="16"/>
        </w:rPr>
      </w:pPr>
    </w:p>
    <w:p w14:paraId="61E9720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 августа 1942 г. советские войска вошли в Иран с севера, а британские - с юга, остановившись на согласованной демаркационной линии (3871).</w:t>
      </w:r>
    </w:p>
    <w:p w14:paraId="53C81783" w14:textId="77777777" w:rsidR="00AE7191" w:rsidRPr="00722885" w:rsidRDefault="00AE7191" w:rsidP="00722885">
      <w:pPr>
        <w:pStyle w:val="Iauiue"/>
        <w:jc w:val="both"/>
        <w:rPr>
          <w:color w:val="000000" w:themeColor="text1"/>
          <w:sz w:val="16"/>
          <w:szCs w:val="16"/>
        </w:rPr>
      </w:pPr>
    </w:p>
    <w:p w14:paraId="3E3AD36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1CE10CE" w14:textId="77777777" w:rsidR="00AE7191" w:rsidRPr="00722885" w:rsidRDefault="00AE7191" w:rsidP="00722885">
      <w:pPr>
        <w:pStyle w:val="Iauiue"/>
        <w:jc w:val="both"/>
        <w:rPr>
          <w:iCs/>
          <w:color w:val="000000" w:themeColor="text1"/>
          <w:sz w:val="16"/>
          <w:szCs w:val="16"/>
        </w:rPr>
      </w:pPr>
    </w:p>
    <w:p w14:paraId="09A3EB0D" w14:textId="77777777" w:rsidR="00956200" w:rsidRPr="00722885" w:rsidRDefault="0095620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25 августа 1942 пикирующие бомбардировщики Dauntless корпуса морской пехоты США Douglas SBD совершают первую бомбардировку, базируясь на Хендерсон-Филд и атакуя японские корабли, приближающиеся к Гуадалканалу (20793).</w:t>
      </w:r>
    </w:p>
    <w:p w14:paraId="707CF4DD" w14:textId="77777777" w:rsidR="00956200" w:rsidRPr="00722885" w:rsidRDefault="00956200" w:rsidP="00722885">
      <w:pPr>
        <w:spacing w:after="0" w:line="240" w:lineRule="auto"/>
        <w:jc w:val="both"/>
        <w:rPr>
          <w:rFonts w:ascii="Times New Roman" w:hAnsi="Times New Roman"/>
          <w:color w:val="0070C0"/>
          <w:sz w:val="16"/>
          <w:szCs w:val="16"/>
        </w:rPr>
      </w:pPr>
    </w:p>
    <w:p w14:paraId="04CAA365" w14:textId="77777777" w:rsidR="00956200" w:rsidRPr="00722885" w:rsidRDefault="0095620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25 августа 1942 произошла авиакатастрофа в Данбите: при плохой видимости самолет 228-й эскадрильи Королевских ВВС « Шорт Сандерленд» врезался в склон холма недалеко от Данбита, Шотландия , в результате чего погибли все 15 человек на борту, кроме одного, включая принца Джорджа, герцога Кентского (20793).</w:t>
      </w:r>
    </w:p>
    <w:p w14:paraId="6CEB1CC0" w14:textId="77777777" w:rsidR="00956200" w:rsidRPr="00722885" w:rsidRDefault="00956200" w:rsidP="00722885">
      <w:pPr>
        <w:spacing w:after="0" w:line="240" w:lineRule="auto"/>
        <w:jc w:val="both"/>
        <w:rPr>
          <w:rFonts w:ascii="Times New Roman" w:hAnsi="Times New Roman"/>
          <w:color w:val="0070C0"/>
          <w:sz w:val="16"/>
          <w:szCs w:val="16"/>
        </w:rPr>
      </w:pPr>
    </w:p>
    <w:p w14:paraId="0967939E"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25 августа 1942 правительство Германии объявило всеобщую мобилизацию жителей аннексированных Эльзаса и Лотарингии (4962).</w:t>
      </w:r>
    </w:p>
    <w:p w14:paraId="6596D3B6" w14:textId="77777777" w:rsidR="00AE7191" w:rsidRPr="00722885" w:rsidRDefault="00AE7191" w:rsidP="00722885">
      <w:pPr>
        <w:pStyle w:val="Iauiue"/>
        <w:tabs>
          <w:tab w:val="left" w:pos="11199"/>
        </w:tabs>
        <w:jc w:val="both"/>
        <w:rPr>
          <w:color w:val="000000" w:themeColor="text1"/>
          <w:sz w:val="16"/>
          <w:szCs w:val="16"/>
        </w:rPr>
      </w:pPr>
    </w:p>
    <w:p w14:paraId="6644D99D"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lastRenderedPageBreak/>
        <w:t>25 августа 1942 в Шотландии в авиакатастрофе погиб герцог Кентский, брат английского короля Георга VI (4962).</w:t>
      </w:r>
    </w:p>
    <w:p w14:paraId="7A5D3678" w14:textId="77777777" w:rsidR="00AE7191" w:rsidRPr="00722885" w:rsidRDefault="00AE7191" w:rsidP="00722885">
      <w:pPr>
        <w:pStyle w:val="Iauiue"/>
        <w:tabs>
          <w:tab w:val="left" w:pos="11199"/>
        </w:tabs>
        <w:jc w:val="both"/>
        <w:rPr>
          <w:color w:val="000000" w:themeColor="text1"/>
          <w:sz w:val="16"/>
          <w:szCs w:val="16"/>
        </w:rPr>
      </w:pPr>
    </w:p>
    <w:p w14:paraId="64FFA3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25-26 августа 1942 был бой между флотами СНА и Японии у Восточных соломоновых островов (3186).</w:t>
      </w:r>
    </w:p>
    <w:p w14:paraId="3E1D8906" w14:textId="77777777" w:rsidR="00AE7191" w:rsidRPr="00722885" w:rsidRDefault="00AE7191" w:rsidP="00722885">
      <w:pPr>
        <w:pStyle w:val="Iauiue"/>
        <w:jc w:val="both"/>
        <w:rPr>
          <w:color w:val="000000" w:themeColor="text1"/>
          <w:sz w:val="16"/>
          <w:szCs w:val="16"/>
        </w:rPr>
      </w:pPr>
    </w:p>
    <w:p w14:paraId="0E1E8A5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4ADF94E" w14:textId="77777777" w:rsidR="00AE7191" w:rsidRPr="00722885" w:rsidRDefault="00AE7191" w:rsidP="00722885">
      <w:pPr>
        <w:pStyle w:val="Iauiue"/>
        <w:jc w:val="both"/>
        <w:rPr>
          <w:iCs/>
          <w:color w:val="000000" w:themeColor="text1"/>
          <w:sz w:val="16"/>
          <w:szCs w:val="16"/>
        </w:rPr>
      </w:pPr>
    </w:p>
    <w:p w14:paraId="61420D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С.В.И. писал письмо N 433 с А.И.Ш.:</w:t>
      </w:r>
    </w:p>
    <w:p w14:paraId="3DFAFB1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НИИ ВВС прошел контрольные испытания самолет Ил-2 с АМ-38 с форсированными оборотами на взлете 2350 оборотов и с увеличенным на взлете Рк до 1340, с винтом АВ-5Л-158.</w:t>
      </w:r>
    </w:p>
    <w:p w14:paraId="607FA5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Разбег самолета за счет форсажа мотора на взлете и за счет установки винта АВ-5Л-158 уменьшен с 550 м до 370 м, т.е. на 32%.</w:t>
      </w:r>
    </w:p>
    <w:p w14:paraId="1C0F54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Взлетная дистанция, т.е. расстояние от начала взлета до преодоления препятствия высотой 25 м уменьшилась 1340 м до 920 м, т.е. на 460 м.</w:t>
      </w:r>
    </w:p>
    <w:p w14:paraId="133C60B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Принимая во внимание значительное утяжеление веса за счет заменителей, а также принимая во внимание приказ НКО о загрузке самолета 600 кг бомб, является совершенно необходимым немедленное внедрение в серию винта АВ-5Л-158 и АМ-38 с форсированными оборотами на взлете до 2350 оборотов и увеличенным Рк до 1340 (1680,159).</w:t>
      </w:r>
    </w:p>
    <w:p w14:paraId="0E56975C" w14:textId="77777777" w:rsidR="00AE7191" w:rsidRPr="00722885" w:rsidRDefault="00AE7191" w:rsidP="00722885">
      <w:pPr>
        <w:pStyle w:val="Iauiue"/>
        <w:jc w:val="both"/>
        <w:rPr>
          <w:color w:val="000000" w:themeColor="text1"/>
          <w:sz w:val="16"/>
          <w:szCs w:val="16"/>
        </w:rPr>
      </w:pPr>
    </w:p>
    <w:p w14:paraId="2AF960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вышел приказ НКАП и командующего ВВС N 662с/035 "О пересмотре броневой защиты серийных самолетов ВВС"</w:t>
      </w:r>
    </w:p>
    <w:p w14:paraId="3BECF5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связи с применением на самолетах противника оружия калибра 15-20 мм:</w:t>
      </w:r>
    </w:p>
    <w:p w14:paraId="0CA148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ГК в д-х недельный срок пересмотреть существующие схемы бронирования серийных самолетов с точки зрения усиления защиты как в отношении площадей, так и в отношении толщин брони.</w:t>
      </w:r>
    </w:p>
    <w:p w14:paraId="226069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При пересмотре броневой защиты серийных самолетов руководствоваться проектом усиления бронезащиты, предложенным НИИ ВВС, с изменениями, внесенными спец. комиссией.</w:t>
      </w:r>
    </w:p>
    <w:p w14:paraId="67BFFD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Схемы усиления бронирования представить на рассмотрение в 7 ГУ и в НИИ ВВС</w:t>
      </w:r>
    </w:p>
    <w:p w14:paraId="4B6A3F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НИИ ВВС в недельный срок дать заключение по новым схемам бронирования серийных самолетов" (1587,9).</w:t>
      </w:r>
    </w:p>
    <w:p w14:paraId="4614CEDA" w14:textId="77777777" w:rsidR="00AE7191" w:rsidRPr="00722885" w:rsidRDefault="00AE7191" w:rsidP="00722885">
      <w:pPr>
        <w:pStyle w:val="Iauiue"/>
        <w:jc w:val="both"/>
        <w:rPr>
          <w:color w:val="000000" w:themeColor="text1"/>
          <w:sz w:val="16"/>
          <w:szCs w:val="16"/>
        </w:rPr>
      </w:pPr>
    </w:p>
    <w:p w14:paraId="275057BD"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26 августа 1942 главным инженером ВВС КА генерал-лейтенантом Репиным был утвержден Отчет по испы</w:t>
      </w:r>
      <w:r w:rsidRPr="00722885">
        <w:rPr>
          <w:color w:val="000000" w:themeColor="text1"/>
          <w:sz w:val="16"/>
          <w:szCs w:val="16"/>
        </w:rPr>
        <w:softHyphen/>
        <w:t>таниям-мм пушки 11П № 2 ОКБ-16. которая в пе</w:t>
      </w:r>
      <w:r w:rsidRPr="00722885">
        <w:rPr>
          <w:color w:val="000000" w:themeColor="text1"/>
          <w:sz w:val="16"/>
          <w:szCs w:val="16"/>
        </w:rPr>
        <w:softHyphen/>
        <w:t>риод успешно прошла повторные летные полигонные испытания на самолете ЛаГГ-3 зав. № 312197 с 21 июля по 17 августа.</w:t>
      </w:r>
    </w:p>
    <w:p w14:paraId="5042BFA2"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Испытания проводились филиалом НИП АВ ВВС в Ногинске. Ведущим инженером по испытаниям был назначен инженер-майор Филиппов, помощ</w:t>
      </w:r>
      <w:r w:rsidRPr="00722885">
        <w:rPr>
          <w:color w:val="000000" w:themeColor="text1"/>
          <w:sz w:val="16"/>
          <w:szCs w:val="16"/>
        </w:rPr>
        <w:softHyphen/>
        <w:t>ником ведущего инженера — старший техник-лей</w:t>
      </w:r>
      <w:r w:rsidRPr="00722885">
        <w:rPr>
          <w:color w:val="000000" w:themeColor="text1"/>
          <w:sz w:val="16"/>
          <w:szCs w:val="16"/>
        </w:rPr>
        <w:softHyphen/>
        <w:t>тенант Гурьев. Испытания обеспечивала бригада в составе техников-испытателей сержантов Филип</w:t>
      </w:r>
      <w:r w:rsidRPr="00722885">
        <w:rPr>
          <w:color w:val="000000" w:themeColor="text1"/>
          <w:sz w:val="16"/>
          <w:szCs w:val="16"/>
        </w:rPr>
        <w:softHyphen/>
        <w:t>пова и Ярулина, младшего специалиста сержанта Лубышева, техника-расчетчика — Хитровой, авиа</w:t>
      </w:r>
      <w:r w:rsidRPr="00722885">
        <w:rPr>
          <w:color w:val="000000" w:themeColor="text1"/>
          <w:sz w:val="16"/>
          <w:szCs w:val="16"/>
        </w:rPr>
        <w:softHyphen/>
        <w:t>механика техника-лейтенанта Василевского, авиа</w:t>
      </w:r>
      <w:r w:rsidRPr="00722885">
        <w:rPr>
          <w:color w:val="000000" w:themeColor="text1"/>
          <w:sz w:val="16"/>
          <w:szCs w:val="16"/>
        </w:rPr>
        <w:softHyphen/>
        <w:t>механика старшины Шалагинова. Летал летчик-ис</w:t>
      </w:r>
      <w:r w:rsidRPr="00722885">
        <w:rPr>
          <w:color w:val="000000" w:themeColor="text1"/>
          <w:sz w:val="16"/>
          <w:szCs w:val="16"/>
        </w:rPr>
        <w:softHyphen/>
        <w:t>пытатель капитан Кравченко. Позже техника-рас</w:t>
      </w:r>
      <w:r w:rsidRPr="00722885">
        <w:rPr>
          <w:color w:val="000000" w:themeColor="text1"/>
          <w:sz w:val="16"/>
          <w:szCs w:val="16"/>
        </w:rPr>
        <w:softHyphen/>
        <w:t>четчика Хитрову заменили техником-лейтенантом Громовым.</w:t>
      </w:r>
    </w:p>
    <w:p w14:paraId="2BBE78C1"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доработки под штатный патрон, на пушке 11П № 2 была изменена конструкция заще</w:t>
      </w:r>
      <w:r w:rsidRPr="00722885">
        <w:rPr>
          <w:color w:val="000000" w:themeColor="text1"/>
          <w:sz w:val="16"/>
          <w:szCs w:val="16"/>
        </w:rPr>
        <w:softHyphen/>
        <w:t>лок затвора (что привело к упрощению формы за</w:t>
      </w:r>
      <w:r w:rsidRPr="00722885">
        <w:rPr>
          <w:color w:val="000000" w:themeColor="text1"/>
          <w:sz w:val="16"/>
          <w:szCs w:val="16"/>
        </w:rPr>
        <w:softHyphen/>
        <w:t>твора), бойка (с целью повышения его живучести и улучшения конструктивной формы ударника) и стопора затыльника. Изготовлено новое звено с измененной формой шарнира, увеличенной жест</w:t>
      </w:r>
      <w:r w:rsidRPr="00722885">
        <w:rPr>
          <w:color w:val="000000" w:themeColor="text1"/>
          <w:sz w:val="16"/>
          <w:szCs w:val="16"/>
        </w:rPr>
        <w:softHyphen/>
        <w:t>кости и более простое в производстве. Патронная коробка теперь состояла из двух частей. Это по</w:t>
      </w:r>
      <w:r w:rsidRPr="00722885">
        <w:rPr>
          <w:color w:val="000000" w:themeColor="text1"/>
          <w:sz w:val="16"/>
          <w:szCs w:val="16"/>
        </w:rPr>
        <w:softHyphen/>
        <w:t>зволяло снимать и ставить патронную коробку без демонтажа пулеметов БС. Улучшен подвод ленты в рукава к приемнику. Поставлен предохранитель на кнопку электропневмопуска. Переделаны кон</w:t>
      </w:r>
      <w:r w:rsidRPr="00722885">
        <w:rPr>
          <w:color w:val="000000" w:themeColor="text1"/>
          <w:sz w:val="16"/>
          <w:szCs w:val="16"/>
        </w:rPr>
        <w:softHyphen/>
        <w:t>струкции звеньеотвода, заднего поддерживающе</w:t>
      </w:r>
      <w:r w:rsidRPr="00722885">
        <w:rPr>
          <w:color w:val="000000" w:themeColor="text1"/>
          <w:sz w:val="16"/>
          <w:szCs w:val="16"/>
        </w:rPr>
        <w:softHyphen/>
        <w:t>го крепления пушки, гашеток пневмоперезарядки пушки, гильзозвеньесборника. Сделан отсос газов из гильзозвеньесборника. Боекомплект к пушке со</w:t>
      </w:r>
      <w:r w:rsidRPr="00722885">
        <w:rPr>
          <w:color w:val="000000" w:themeColor="text1"/>
          <w:sz w:val="16"/>
          <w:szCs w:val="16"/>
        </w:rPr>
        <w:softHyphen/>
        <w:t>ставил 36 снарядов.</w:t>
      </w:r>
    </w:p>
    <w:p w14:paraId="452B41DB"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испытаниях пушка продемонстрировала вы</w:t>
      </w:r>
      <w:r w:rsidRPr="00722885">
        <w:rPr>
          <w:color w:val="000000" w:themeColor="text1"/>
          <w:sz w:val="16"/>
          <w:szCs w:val="16"/>
        </w:rPr>
        <w:softHyphen/>
        <w:t>сокую надежность в работе, дав всего 0,54% задер</w:t>
      </w:r>
      <w:r w:rsidRPr="00722885">
        <w:rPr>
          <w:color w:val="000000" w:themeColor="text1"/>
          <w:sz w:val="16"/>
          <w:szCs w:val="16"/>
        </w:rPr>
        <w:softHyphen/>
        <w:t>жек. Из 3359 выстрелов (в том числе 492 — в за</w:t>
      </w:r>
      <w:r w:rsidRPr="00722885">
        <w:rPr>
          <w:color w:val="000000" w:themeColor="text1"/>
          <w:sz w:val="16"/>
          <w:szCs w:val="16"/>
        </w:rPr>
        <w:softHyphen/>
        <w:t>водских условиях), произведенных на испытаниях, 1314 выстрелов было выполнено в воздухе в 42 по</w:t>
      </w:r>
      <w:r w:rsidRPr="00722885">
        <w:rPr>
          <w:color w:val="000000" w:themeColor="text1"/>
          <w:sz w:val="16"/>
          <w:szCs w:val="16"/>
        </w:rPr>
        <w:softHyphen/>
        <w:t>летах, остальные — на земле. Причем в 27 полетах боекомплект был расстрелян полностью без задер жек. Живучесть пушки лимитировалась поломкой затыльника после 1657 выстрелов и хвостовика ударника после 2231 выстрела.</w:t>
      </w:r>
    </w:p>
    <w:p w14:paraId="278A3BD0"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Установка пушки на самолете обеспечила впол</w:t>
      </w:r>
      <w:r w:rsidRPr="00722885">
        <w:rPr>
          <w:color w:val="000000" w:themeColor="text1"/>
          <w:sz w:val="16"/>
          <w:szCs w:val="16"/>
        </w:rPr>
        <w:softHyphen/>
        <w:t>не нормальную работу пушки при выполнении 2802 выстрелов. Слабым местом оказался опор</w:t>
      </w:r>
      <w:r w:rsidRPr="00722885">
        <w:rPr>
          <w:color w:val="000000" w:themeColor="text1"/>
          <w:sz w:val="16"/>
          <w:szCs w:val="16"/>
        </w:rPr>
        <w:softHyphen/>
        <w:t>ный подшипник ствола в храповике винта, кото</w:t>
      </w:r>
      <w:r w:rsidRPr="00722885">
        <w:rPr>
          <w:color w:val="000000" w:themeColor="text1"/>
          <w:sz w:val="16"/>
          <w:szCs w:val="16"/>
        </w:rPr>
        <w:softHyphen/>
        <w:t>рый сломался после 2094 выстрелов. Основное силовое крепление пушки к мотору — передний суппорт, воспринимающий усилие отдачи, вы</w:t>
      </w:r>
      <w:r w:rsidRPr="00722885">
        <w:rPr>
          <w:color w:val="000000" w:themeColor="text1"/>
          <w:sz w:val="16"/>
          <w:szCs w:val="16"/>
        </w:rPr>
        <w:softHyphen/>
        <w:t>держал 4256 выстрелов и свою живучесть не ис</w:t>
      </w:r>
      <w:r w:rsidRPr="00722885">
        <w:rPr>
          <w:color w:val="000000" w:themeColor="text1"/>
          <w:sz w:val="16"/>
          <w:szCs w:val="16"/>
        </w:rPr>
        <w:softHyphen/>
        <w:t>черпал (учтено количество выстрелов, произве</w:t>
      </w:r>
      <w:r w:rsidRPr="00722885">
        <w:rPr>
          <w:color w:val="000000" w:themeColor="text1"/>
          <w:sz w:val="16"/>
          <w:szCs w:val="16"/>
        </w:rPr>
        <w:softHyphen/>
        <w:t>денных при первых полигонных испытаниях пуш</w:t>
      </w:r>
      <w:r w:rsidRPr="00722885">
        <w:rPr>
          <w:color w:val="000000" w:themeColor="text1"/>
          <w:sz w:val="16"/>
          <w:szCs w:val="16"/>
        </w:rPr>
        <w:softHyphen/>
        <w:t>ки 11П № 1).</w:t>
      </w:r>
    </w:p>
    <w:p w14:paraId="7D255873"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заключению капитана Кравченко, техника пилотирования самолетом по сравнению с серий</w:t>
      </w:r>
      <w:r w:rsidRPr="00722885">
        <w:rPr>
          <w:color w:val="000000" w:themeColor="text1"/>
          <w:sz w:val="16"/>
          <w:szCs w:val="16"/>
        </w:rPr>
        <w:softHyphen/>
        <w:t>ными машинами не изменилась. Вести стрельбу длинными очередями не рекомендовалось, так как уже после 4—5 выстрелов самолет начинает раска</w:t>
      </w:r>
      <w:r w:rsidRPr="00722885">
        <w:rPr>
          <w:color w:val="000000" w:themeColor="text1"/>
          <w:sz w:val="16"/>
          <w:szCs w:val="16"/>
        </w:rPr>
        <w:softHyphen/>
        <w:t>чиваться и наводка на цель сбивается.</w:t>
      </w:r>
    </w:p>
    <w:p w14:paraId="1CBF3555"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заключении акта по испытаниям отмечалось, что «предъявленная ОКБ-16 НКВ 37-мм авиаци</w:t>
      </w:r>
      <w:r w:rsidRPr="00722885">
        <w:rPr>
          <w:color w:val="000000" w:themeColor="text1"/>
          <w:sz w:val="16"/>
          <w:szCs w:val="16"/>
        </w:rPr>
        <w:softHyphen/>
        <w:t>онная пушка 11-П № 2, установленная в развале мотора М-105П самолета ЛаГГ-3, повторные полигонные испытания выдержала».</w:t>
      </w:r>
    </w:p>
    <w:p w14:paraId="6E6DB39A"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результатам стрельб госу</w:t>
      </w:r>
      <w:r w:rsidRPr="00722885">
        <w:rPr>
          <w:color w:val="000000" w:themeColor="text1"/>
          <w:sz w:val="16"/>
          <w:szCs w:val="16"/>
        </w:rPr>
        <w:softHyphen/>
        <w:t>дарственной комиссией был сделан вывод, что «...из двух систем 37-мм пушек (ОКБ-15 и ОКБ-16) лучшей системой, по данным полигонных испытаний, является 37-мм пушка ОКБ-16 НКВ».</w:t>
      </w:r>
    </w:p>
    <w:p w14:paraId="018FFDDB"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Пушка 11П имела явные пре</w:t>
      </w:r>
      <w:r w:rsidRPr="00722885">
        <w:rPr>
          <w:color w:val="000000" w:themeColor="text1"/>
          <w:sz w:val="16"/>
          <w:szCs w:val="16"/>
        </w:rPr>
        <w:softHyphen/>
        <w:t>имущества по весу и количеству деталей самой пушки и пушечных установок на самолетах ЛаГГ-3 и Ил-2, а также по размеру боеком</w:t>
      </w:r>
      <w:r w:rsidRPr="00722885">
        <w:rPr>
          <w:color w:val="000000" w:themeColor="text1"/>
          <w:sz w:val="16"/>
          <w:szCs w:val="16"/>
        </w:rPr>
        <w:softHyphen/>
        <w:t>плекта и темпу стрельбы. К тому же пушка 11П допускала неподвижное крепление на самолете вместе с па</w:t>
      </w:r>
      <w:r w:rsidRPr="00722885">
        <w:rPr>
          <w:color w:val="000000" w:themeColor="text1"/>
          <w:sz w:val="16"/>
          <w:szCs w:val="16"/>
        </w:rPr>
        <w:softHyphen/>
        <w:t>тронным ящиком, что значительно упрощало конструкцию установки. При этом поскольку автоматика пушки построена на принципе от</w:t>
      </w:r>
      <w:r w:rsidRPr="00722885">
        <w:rPr>
          <w:color w:val="000000" w:themeColor="text1"/>
          <w:sz w:val="16"/>
          <w:szCs w:val="16"/>
        </w:rPr>
        <w:softHyphen/>
        <w:t>дачи ствола с коротким ходом, то она была малочувствительна к за</w:t>
      </w:r>
      <w:r w:rsidRPr="00722885">
        <w:rPr>
          <w:color w:val="000000" w:themeColor="text1"/>
          <w:sz w:val="16"/>
          <w:szCs w:val="16"/>
        </w:rPr>
        <w:softHyphen/>
        <w:t>грязнению. В ходе повторных испытаний пушка нормально работала без чистки и смазки в течение 7 суток, за время которых произведен 1201 вы</w:t>
      </w:r>
      <w:r w:rsidRPr="00722885">
        <w:rPr>
          <w:color w:val="000000" w:themeColor="text1"/>
          <w:sz w:val="16"/>
          <w:szCs w:val="16"/>
        </w:rPr>
        <w:softHyphen/>
        <w:t>стрел, при периодической чистке только запира</w:t>
      </w:r>
      <w:r w:rsidRPr="00722885">
        <w:rPr>
          <w:color w:val="000000" w:themeColor="text1"/>
          <w:sz w:val="16"/>
          <w:szCs w:val="16"/>
        </w:rPr>
        <w:softHyphen/>
        <w:t>ющего механизма. Кроме того, пушку 11П ОКБ-16 по плану опытного строительства ВВС КА на 1942 г. предполагалось установить в крыле двухмотор</w:t>
      </w:r>
      <w:r w:rsidRPr="00722885">
        <w:rPr>
          <w:color w:val="000000" w:themeColor="text1"/>
          <w:sz w:val="16"/>
          <w:szCs w:val="16"/>
        </w:rPr>
        <w:softHyphen/>
        <w:t>ных штурмовиков. Тогда как пушку ОКБ-15 внутри крыла из-за больших габаритов разместить невоз</w:t>
      </w:r>
      <w:r w:rsidRPr="00722885">
        <w:rPr>
          <w:color w:val="000000" w:themeColor="text1"/>
          <w:sz w:val="16"/>
          <w:szCs w:val="16"/>
        </w:rPr>
        <w:softHyphen/>
        <w:t>можно.</w:t>
      </w:r>
    </w:p>
    <w:p w14:paraId="0C0A650C"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решении Управления опытного строительства ГУ ИАС ВВС по результатам испытаний предлага</w:t>
      </w:r>
      <w:r w:rsidRPr="00722885">
        <w:rPr>
          <w:color w:val="000000" w:themeColor="text1"/>
          <w:sz w:val="16"/>
          <w:szCs w:val="16"/>
        </w:rPr>
        <w:softHyphen/>
        <w:t>лось: «2. Просить Народного Комиссара вооруже</w:t>
      </w:r>
      <w:r w:rsidRPr="00722885">
        <w:rPr>
          <w:color w:val="000000" w:themeColor="text1"/>
          <w:sz w:val="16"/>
          <w:szCs w:val="16"/>
        </w:rPr>
        <w:softHyphen/>
        <w:t>ния СССР — изготовить в 1942 г. 60 шт. 37-мм пушек ОКБ-16. 3. Просить Народного Комиссара авиаци</w:t>
      </w:r>
      <w:r w:rsidRPr="00722885">
        <w:rPr>
          <w:color w:val="000000" w:themeColor="text1"/>
          <w:sz w:val="16"/>
          <w:szCs w:val="16"/>
        </w:rPr>
        <w:softHyphen/>
        <w:t>онной промышленности СССР вооружить в 1942 г. 37-мм пушками ОКБ-16 20 самолетов ЛаГГ-3 и 20 са</w:t>
      </w:r>
      <w:r w:rsidRPr="00722885">
        <w:rPr>
          <w:color w:val="000000" w:themeColor="text1"/>
          <w:sz w:val="16"/>
          <w:szCs w:val="16"/>
        </w:rPr>
        <w:softHyphen/>
        <w:t>молетов Ил-2 в счет программы выпускаемых само</w:t>
      </w:r>
      <w:r w:rsidRPr="00722885">
        <w:rPr>
          <w:color w:val="000000" w:themeColor="text1"/>
          <w:sz w:val="16"/>
          <w:szCs w:val="16"/>
        </w:rPr>
        <w:softHyphen/>
        <w:t>летов для ВВС Красной Армии. /.../ 5. Учитывая, что наиболее эффективным снарядом в авиации для борьбы с танками является снаряд калибра 37 мм и что в настоящее время удовлетворение запросов фронта по этому калибру можно быстро осуще ствить путем восстановления налаженного произ</w:t>
      </w:r>
      <w:r w:rsidRPr="00722885">
        <w:rPr>
          <w:color w:val="000000" w:themeColor="text1"/>
          <w:sz w:val="16"/>
          <w:szCs w:val="16"/>
        </w:rPr>
        <w:softHyphen/>
        <w:t>водства 37-мм пушек ОКБ-15, Управление опытного строительства ГУ ИАС ВВС КА считает необходимым продолжать производство пушек ОКБ-15. 6. Вопрос о вводе на вооружение ВВС КА пушек калибра 37 мм решить после сравнения результатов боево</w:t>
      </w:r>
      <w:r w:rsidRPr="00722885">
        <w:rPr>
          <w:color w:val="000000" w:themeColor="text1"/>
          <w:sz w:val="16"/>
          <w:szCs w:val="16"/>
        </w:rPr>
        <w:softHyphen/>
        <w:t>го применения пушек ОКБ-15 и ОКБ-16».</w:t>
      </w:r>
    </w:p>
    <w:p w14:paraId="05D33077"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Здесь необходимо сказать, что производство пу</w:t>
      </w:r>
      <w:r w:rsidRPr="00722885">
        <w:rPr>
          <w:color w:val="000000" w:themeColor="text1"/>
          <w:sz w:val="16"/>
          <w:szCs w:val="16"/>
        </w:rPr>
        <w:softHyphen/>
        <w:t>шек Ш-37 на заводе № 74 НКВ было остановлено практически сразу же по получении первых результатов отстрела пушки 11П со снарядом без бурта. С января по июнь вклю</w:t>
      </w:r>
      <w:r w:rsidRPr="00722885">
        <w:rPr>
          <w:color w:val="000000" w:themeColor="text1"/>
          <w:sz w:val="16"/>
          <w:szCs w:val="16"/>
        </w:rPr>
        <w:softHyphen/>
        <w:t>чительно военной приемке было сдано 188 пушек Ш-37, в том числе 18 единиц в крыльевом варианте (17500).</w:t>
      </w:r>
    </w:p>
    <w:p w14:paraId="11F6FF91" w14:textId="77777777" w:rsidR="00934079" w:rsidRPr="00722885" w:rsidRDefault="00934079" w:rsidP="00722885">
      <w:pPr>
        <w:spacing w:after="0" w:line="240" w:lineRule="auto"/>
        <w:jc w:val="both"/>
        <w:rPr>
          <w:rFonts w:ascii="Times New Roman" w:hAnsi="Times New Roman"/>
          <w:color w:val="000000" w:themeColor="text1"/>
          <w:sz w:val="16"/>
          <w:szCs w:val="16"/>
        </w:rPr>
      </w:pPr>
    </w:p>
    <w:p w14:paraId="4BB70D98"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26 августа 1942, когда в поле</w:t>
      </w:r>
      <w:r w:rsidRPr="00722885">
        <w:rPr>
          <w:color w:val="000000" w:themeColor="text1"/>
          <w:sz w:val="16"/>
          <w:szCs w:val="16"/>
        </w:rPr>
        <w:softHyphen/>
        <w:t>те разрушились подшипники вала мотора, полеты на ИТП прекратили. Самолет в ожидании поступле</w:t>
      </w:r>
      <w:r w:rsidRPr="00722885">
        <w:rPr>
          <w:color w:val="000000" w:themeColor="text1"/>
          <w:sz w:val="16"/>
          <w:szCs w:val="16"/>
        </w:rPr>
        <w:softHyphen/>
        <w:t>ния кондиционного мотора М-107П законсервиро</w:t>
      </w:r>
      <w:r w:rsidRPr="00722885">
        <w:rPr>
          <w:color w:val="000000" w:themeColor="text1"/>
          <w:sz w:val="16"/>
          <w:szCs w:val="16"/>
        </w:rPr>
        <w:softHyphen/>
        <w:t>вали. Всего к этому времени на самолете заменили 3 мотора.</w:t>
      </w:r>
    </w:p>
    <w:p w14:paraId="48914CFC" w14:textId="77777777" w:rsidR="00934079" w:rsidRPr="00722885" w:rsidRDefault="009340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сказать, состояние дел с доводкой мотора М-107П было далеко не самое лучшее. Несмотря на то что мотор в 1942 г. был серийным, заводу № 26 (г. Уфа) не удавалось обеспечить надежность дли</w:t>
      </w:r>
      <w:r w:rsidRPr="00722885">
        <w:rPr>
          <w:color w:val="000000" w:themeColor="text1"/>
          <w:sz w:val="16"/>
          <w:szCs w:val="16"/>
        </w:rPr>
        <w:softHyphen/>
        <w:t>тельной работы ряда узлов и агрегатов мотора. Из общего количества изготовленных заводом мото</w:t>
      </w:r>
      <w:r w:rsidRPr="00722885">
        <w:rPr>
          <w:color w:val="000000" w:themeColor="text1"/>
          <w:sz w:val="16"/>
          <w:szCs w:val="16"/>
        </w:rPr>
        <w:softHyphen/>
        <w:t>ров М-107П около 80% разрушились во время за</w:t>
      </w:r>
      <w:r w:rsidRPr="00722885">
        <w:rPr>
          <w:color w:val="000000" w:themeColor="text1"/>
          <w:sz w:val="16"/>
          <w:szCs w:val="16"/>
        </w:rPr>
        <w:softHyphen/>
        <w:t>водских и государственных стендовых испытаний. Государственные 100-часовые испытания в период с 10 по 25 сентября 1942 г. мотор М-107П пройти не смог из-за поломки шатуна. Интерес ВВС к мотору неуклонно снижался. К тому же наметился опре</w:t>
      </w:r>
      <w:r w:rsidRPr="00722885">
        <w:rPr>
          <w:color w:val="000000" w:themeColor="text1"/>
          <w:sz w:val="16"/>
          <w:szCs w:val="16"/>
        </w:rPr>
        <w:softHyphen/>
        <w:t>деленный успех с доводкой мотора М-106П-1ск (1250/1350 л.с.), который, в отличие от М-107П, имел те же габаритные размеры и посадочные места, что и у массового мотора М-105ПФ, и при этом был легче (600 кг вместо 745 кг — у М-107П и 645 кг — у М-105ПФ). Считалось, что при установке его на серийные самолеты серьезных доработок винтомо</w:t>
      </w:r>
      <w:r w:rsidRPr="00722885">
        <w:rPr>
          <w:color w:val="000000" w:themeColor="text1"/>
          <w:sz w:val="16"/>
          <w:szCs w:val="16"/>
        </w:rPr>
        <w:softHyphen/>
        <w:t>торной группы не потребуется. С этим мотором на заводе № 292 в Саратове предполагалась большая серия истребителей Як-1. Но в ходе доводки М-107П его форсировали по наддуву и понизили высот</w:t>
      </w:r>
      <w:r w:rsidRPr="00722885">
        <w:rPr>
          <w:color w:val="000000" w:themeColor="text1"/>
          <w:sz w:val="16"/>
          <w:szCs w:val="16"/>
        </w:rPr>
        <w:softHyphen/>
        <w:t>ность. Мощность мотора возросла до 1650 л.с. на взлетном режиме и 1550 и 1450 л.с. — на 1-й и 2-й границах высотности соответственно. Постанов</w:t>
      </w:r>
      <w:r w:rsidRPr="00722885">
        <w:rPr>
          <w:color w:val="000000" w:themeColor="text1"/>
          <w:sz w:val="16"/>
          <w:szCs w:val="16"/>
        </w:rPr>
        <w:softHyphen/>
        <w:t>лением ГОКО от 25 сентября и приказом НКАП от 29 сентября 1942 г. ОКБ В. Я. Климова и завод № 26 обязывались к концу года обеспечить 100-часовой ресурс М-107А (М-107ПА) и подготовить его серий</w:t>
      </w:r>
      <w:r w:rsidRPr="00722885">
        <w:rPr>
          <w:color w:val="000000" w:themeColor="text1"/>
          <w:sz w:val="16"/>
          <w:szCs w:val="16"/>
        </w:rPr>
        <w:softHyphen/>
        <w:t>ное производство. Одновременно постановлением ГКО от 10 октября 1942 г. заводу № 26 устанавли</w:t>
      </w:r>
      <w:r w:rsidRPr="00722885">
        <w:rPr>
          <w:color w:val="000000" w:themeColor="text1"/>
          <w:sz w:val="16"/>
          <w:szCs w:val="16"/>
        </w:rPr>
        <w:softHyphen/>
        <w:t>вался план по изготовлению до конца года 37 мото</w:t>
      </w:r>
      <w:r w:rsidRPr="00722885">
        <w:rPr>
          <w:color w:val="000000" w:themeColor="text1"/>
          <w:sz w:val="16"/>
          <w:szCs w:val="16"/>
        </w:rPr>
        <w:softHyphen/>
        <w:t>ров М-107А. Однако возникшие проблемы с надеж</w:t>
      </w:r>
      <w:r w:rsidRPr="00722885">
        <w:rPr>
          <w:color w:val="000000" w:themeColor="text1"/>
          <w:sz w:val="16"/>
          <w:szCs w:val="16"/>
        </w:rPr>
        <w:softHyphen/>
        <w:t>ностью и устойчивостью в работе моторов М-107А не позволили в полном объеме выполнить это за</w:t>
      </w:r>
      <w:r w:rsidRPr="00722885">
        <w:rPr>
          <w:color w:val="000000" w:themeColor="text1"/>
          <w:sz w:val="16"/>
          <w:szCs w:val="16"/>
        </w:rPr>
        <w:softHyphen/>
        <w:t>дание. Фактически завод № 26 уже в декабре пре</w:t>
      </w:r>
      <w:r w:rsidRPr="00722885">
        <w:rPr>
          <w:color w:val="000000" w:themeColor="text1"/>
          <w:sz w:val="16"/>
          <w:szCs w:val="16"/>
        </w:rPr>
        <w:softHyphen/>
        <w:t>кратил серийное изготовление моторов этого типа. Только в январе 1943 г. мотор М-107А удовлетво</w:t>
      </w:r>
      <w:r w:rsidRPr="00722885">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722885">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094329BB" w14:textId="77777777" w:rsidR="00934079" w:rsidRPr="00722885" w:rsidRDefault="00934079" w:rsidP="00722885">
      <w:pPr>
        <w:spacing w:after="0" w:line="240" w:lineRule="auto"/>
        <w:jc w:val="both"/>
        <w:rPr>
          <w:rFonts w:ascii="Times New Roman" w:eastAsia="Times New Roman" w:hAnsi="Times New Roman"/>
          <w:color w:val="000000" w:themeColor="text1"/>
          <w:sz w:val="16"/>
          <w:szCs w:val="16"/>
          <w:lang w:eastAsia="ru-RU"/>
        </w:rPr>
      </w:pPr>
    </w:p>
    <w:p w14:paraId="70A497A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августа 1942 завод № 39 отправил письмо № 4000/53:</w:t>
      </w:r>
    </w:p>
    <w:p w14:paraId="755B3F7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ЗАМЕСТИТЕЛЮ НАРОДНОГО КОМИССАРА АВИАЦИОННОЙ ПРОМЫШЖННОСТИ</w:t>
      </w:r>
    </w:p>
    <w:p w14:paraId="489E382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тов. ВОРОНИНУ П.А.</w:t>
      </w:r>
    </w:p>
    <w:p w14:paraId="78DD297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ЗАМЕСТИТЕЛЮ НАРОДНОГО КОМИССАРА АВИАЦИОННОЙ ПРОМЫШЛЕННОСТИ</w:t>
      </w:r>
    </w:p>
    <w:p w14:paraId="578D0A1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ТОВ. ЯКОВЛЕВУ А.С.</w:t>
      </w:r>
    </w:p>
    <w:p w14:paraId="58C89CA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НАЧАЛЬНИКУ ДЕСЯТОГО ГЛАВНОГО УПРАВЛЕНИЯ НКАП СССР</w:t>
      </w:r>
    </w:p>
    <w:p w14:paraId="232F528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тов. ТАРАСЕВИЧ Б.Н.</w:t>
      </w:r>
    </w:p>
    <w:p w14:paraId="697E731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мая с/г завод 39 закончил заводские испытания и передал на госиспытания в НИИ ВВС первый опытный самолет Пе-3бис</w:t>
      </w:r>
    </w:p>
    <w:p w14:paraId="331215F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16 мая по 19 июня с/г в НИИ ВВС КА были проведены госиспытания этого самолета во время которых было сделано 44 полета с общим полетом 31 час 57 минут.</w:t>
      </w:r>
    </w:p>
    <w:p w14:paraId="57E1920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данное время мы получили из НИИ ВВС КА отчет по испытаниям, учитывая, что НИИ ВВС КА не выслало в Ваш адрес этого отчета, настоящим докладываю "выводы” и "Заключение" по проведению этих испытаний:</w:t>
      </w:r>
    </w:p>
    <w:p w14:paraId="03ACD71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ы в о д ы</w:t>
      </w:r>
    </w:p>
    <w:p w14:paraId="18C4431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Максимальные скорости серийного самолета Пе-Збис № 40143900 завода № 39 на 2-ой граница высотности 5080 метров равны:</w:t>
      </w:r>
    </w:p>
    <w:p w14:paraId="3C4E392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без аэродинамического компенсатора и без нарощений на кили </w:t>
      </w:r>
      <w:r w:rsidRPr="00722885">
        <w:rPr>
          <w:rFonts w:ascii="Times New Roman" w:hAnsi="Times New Roman"/>
          <w:color w:val="000000" w:themeColor="text1"/>
          <w:sz w:val="16"/>
          <w:szCs w:val="16"/>
        </w:rPr>
        <w:tab/>
        <w:t>530 км/ч</w:t>
      </w:r>
    </w:p>
    <w:p w14:paraId="1FF41DD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 аэродинамическим компенсатором и с нарощенными килями</w:t>
      </w:r>
      <w:r w:rsidRPr="00722885">
        <w:rPr>
          <w:rFonts w:ascii="Times New Roman" w:hAnsi="Times New Roman"/>
          <w:color w:val="000000" w:themeColor="text1"/>
          <w:sz w:val="16"/>
          <w:szCs w:val="16"/>
        </w:rPr>
        <w:tab/>
        <w:t>527 км/ч</w:t>
      </w:r>
    </w:p>
    <w:p w14:paraId="73294DD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Максимальные скорости у земли соответствеино равны </w:t>
      </w:r>
      <w:r w:rsidRPr="00722885">
        <w:rPr>
          <w:rFonts w:ascii="Times New Roman" w:hAnsi="Times New Roman"/>
          <w:color w:val="000000" w:themeColor="text1"/>
          <w:sz w:val="16"/>
          <w:szCs w:val="16"/>
        </w:rPr>
        <w:tab/>
        <w:t>438-435 км/ч</w:t>
      </w:r>
    </w:p>
    <w:p w14:paraId="129C2CA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Потерь в максимальных скоростях по сравнению с испытанным в октябре месяце 1941 года самолетом Пе-Збис № 392207 завода № 39 - НЕТ</w:t>
      </w:r>
    </w:p>
    <w:p w14:paraId="0C6A3D7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Скороподъемность, практический потолок, время набора высоты 5000 метров практически одинаковы в сравнении с самолётом Пе-Збис № 392207.</w:t>
      </w:r>
    </w:p>
    <w:p w14:paraId="62C4D18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Техническая дальность самолета при пол</w:t>
      </w:r>
      <w:r w:rsidRPr="00722885">
        <w:rPr>
          <w:rFonts w:ascii="Times New Roman" w:hAnsi="Times New Roman"/>
          <w:color w:val="000000" w:themeColor="text1"/>
          <w:sz w:val="16"/>
          <w:szCs w:val="16"/>
        </w:rPr>
        <w:softHyphen/>
        <w:t>ном выгорании горючего на высоте 5000 метров по прибору (Н ст. = 5220 м; на 0;8 максимальной скорости с закрытым высотным корректором получилась равной 1500 км.</w:t>
      </w:r>
    </w:p>
    <w:p w14:paraId="33A7E77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Длины пробегов полученные при испытании превышают длины пробегов испытанного ранее самолета Пе-Збис № 392207, что об"ясняется недостаточной эффективностью тормозов.</w:t>
      </w:r>
    </w:p>
    <w:p w14:paraId="4B67808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Самолет имеет удовлетворительную продольную устойчивость на всех режимах полета за исключением на</w:t>
      </w:r>
      <w:r w:rsidRPr="00722885">
        <w:rPr>
          <w:rFonts w:ascii="Times New Roman" w:hAnsi="Times New Roman"/>
          <w:color w:val="000000" w:themeColor="text1"/>
          <w:sz w:val="16"/>
          <w:szCs w:val="16"/>
        </w:rPr>
        <w:softHyphen/>
        <w:t>бора высоты с бомбами в мотогондолах.</w:t>
      </w:r>
    </w:p>
    <w:p w14:paraId="5CBA424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Поперечная устойчивость самолета достаточна. Путевая устойчивость ниже чем у самолетов с хорошей путевой устойчивостью: Ме-110, ДБ3ф, СБ-РК, 103-У.</w:t>
      </w:r>
    </w:p>
    <w:p w14:paraId="708EC24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Увеличение площади вертикального оперения (килей) на 16% с "уменьшавшем" удлинения устойчивость путя практически не изменило.</w:t>
      </w:r>
    </w:p>
    <w:p w14:paraId="2FC078C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 руля высоты на предельно передней цен</w:t>
      </w:r>
      <w:r w:rsidRPr="00722885">
        <w:rPr>
          <w:rFonts w:ascii="Times New Roman" w:hAnsi="Times New Roman"/>
          <w:color w:val="000000" w:themeColor="text1"/>
          <w:sz w:val="16"/>
          <w:szCs w:val="16"/>
        </w:rPr>
        <w:softHyphen/>
        <w:t>тровке (16,7%) мал. Необходимо регулировку руля высоты про</w:t>
      </w:r>
      <w:r w:rsidRPr="00722885">
        <w:rPr>
          <w:rFonts w:ascii="Times New Roman" w:hAnsi="Times New Roman"/>
          <w:color w:val="000000" w:themeColor="text1"/>
          <w:sz w:val="16"/>
          <w:szCs w:val="16"/>
        </w:rPr>
        <w:softHyphen/>
        <w:t>изводить; вверх - 30 , вниз 18-20</w:t>
      </w:r>
    </w:p>
    <w:p w14:paraId="05E774A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Предварительные исследования работы пред</w:t>
      </w:r>
      <w:r w:rsidRPr="00722885">
        <w:rPr>
          <w:rFonts w:ascii="Times New Roman" w:hAnsi="Times New Roman"/>
          <w:color w:val="000000" w:themeColor="text1"/>
          <w:sz w:val="16"/>
          <w:szCs w:val="16"/>
        </w:rPr>
        <w:softHyphen/>
        <w:t>крылков, показывают, что на самолете Пе-Збис они работают недостаточно эффективно.</w:t>
      </w:r>
    </w:p>
    <w:p w14:paraId="1B72907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Взлетно-посадочные свойства улучшились нез</w:t>
      </w:r>
      <w:r w:rsidRPr="00722885">
        <w:rPr>
          <w:rFonts w:ascii="Times New Roman" w:hAnsi="Times New Roman"/>
          <w:color w:val="000000" w:themeColor="text1"/>
          <w:sz w:val="16"/>
          <w:szCs w:val="16"/>
        </w:rPr>
        <w:softHyphen/>
        <w:t>начительно.</w:t>
      </w:r>
    </w:p>
    <w:p w14:paraId="151C293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Минимальные скорости полета остались без изменений.</w:t>
      </w:r>
    </w:p>
    <w:p w14:paraId="7466584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Срывы потока и тряска хвоста начинаются практически на одинаковых скоростях.</w:t>
      </w:r>
    </w:p>
    <w:p w14:paraId="1556980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отзывам летчиков предкрылки облегчают пи</w:t>
      </w:r>
      <w:r w:rsidRPr="00722885">
        <w:rPr>
          <w:rFonts w:ascii="Times New Roman" w:hAnsi="Times New Roman"/>
          <w:color w:val="000000" w:themeColor="text1"/>
          <w:sz w:val="16"/>
          <w:szCs w:val="16"/>
        </w:rPr>
        <w:softHyphen/>
        <w:t>лотирование на планировании на скоростях в диапазоне 230-240 км/час по прибору.</w:t>
      </w:r>
    </w:p>
    <w:p w14:paraId="3614245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Установка конструкции завода № 39 под 2 крупнокалиберных пулемета УБК испытание выдержала удов</w:t>
      </w:r>
      <w:r w:rsidRPr="00722885">
        <w:rPr>
          <w:rFonts w:ascii="Times New Roman" w:hAnsi="Times New Roman"/>
          <w:color w:val="000000" w:themeColor="text1"/>
          <w:sz w:val="16"/>
          <w:szCs w:val="16"/>
        </w:rPr>
        <w:softHyphen/>
        <w:t>летворительно.</w:t>
      </w:r>
    </w:p>
    <w:p w14:paraId="3DC2A32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Турельная установка под крупнокалиберный пулемет штурмана конструктора ТОРОПОВА обеспечивает углы обстрела прицедьным огнем, как вправо, так и влево только по 30-35.</w:t>
      </w:r>
    </w:p>
    <w:p w14:paraId="6EF9D39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больших углах вести прицельным огонь из-за тесноты в кабине нельзя.</w:t>
      </w:r>
    </w:p>
    <w:p w14:paraId="0136A86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углах больших 40-45°, из-за встречного потока воздуха, турель развернуть невозможно. Аэродинамический компенсатор турели усилий не снимает.</w:t>
      </w:r>
    </w:p>
    <w:p w14:paraId="28E6ACB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Необходимо доработать компенсаторы установки Торопова на самолете Пе-3бис для использования в полете всего диапазона углов обстрела, допускаемых самой установкой.</w:t>
      </w:r>
    </w:p>
    <w:p w14:paraId="347CBEA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самолете Пе-Збис не предусмотрено химвооружение. Заводу № 39 необходимо обеспечить подвеску химприборов на наружные замки бомбодержателей по типу самолета Пе-2.</w:t>
      </w:r>
    </w:p>
    <w:p w14:paraId="30AAC74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Обзор штурману вперед и в низ отсутствует. Обзор влево и назад ограничен из-за большой тесноты в кабине.</w:t>
      </w:r>
    </w:p>
    <w:p w14:paraId="22ACA0C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Приборы: указатель высоты и скорости штурма</w:t>
      </w:r>
      <w:r w:rsidRPr="00722885">
        <w:rPr>
          <w:rFonts w:ascii="Times New Roman" w:hAnsi="Times New Roman"/>
          <w:color w:val="000000" w:themeColor="text1"/>
          <w:sz w:val="16"/>
          <w:szCs w:val="16"/>
        </w:rPr>
        <w:softHyphen/>
        <w:t>ну не видны.</w:t>
      </w:r>
    </w:p>
    <w:p w14:paraId="53A03B7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Необходимо произвести перекомпановку приборов, согласно схемы предлагаемой в отчете.</w:t>
      </w:r>
    </w:p>
    <w:p w14:paraId="4516CFB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обеспечения самолетовождения» в сложных метеоусловиях нужно установись РПК-10.</w:t>
      </w:r>
    </w:p>
    <w:p w14:paraId="172A679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Серийное размещение радиостанции РСИ-4 обеспе</w:t>
      </w:r>
      <w:r w:rsidRPr="00722885">
        <w:rPr>
          <w:rFonts w:ascii="Times New Roman" w:hAnsi="Times New Roman"/>
          <w:color w:val="000000" w:themeColor="text1"/>
          <w:sz w:val="16"/>
          <w:szCs w:val="16"/>
        </w:rPr>
        <w:softHyphen/>
        <w:t>чивает дальность связи на высоте 1000 метров только 65-70 км.</w:t>
      </w:r>
    </w:p>
    <w:p w14:paraId="50D588E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размещение РСИ-4 в хвосте фюзеляжа повысило дальность до 110-120 км на той же высоте.</w:t>
      </w:r>
    </w:p>
    <w:p w14:paraId="2AF155A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Производственное выполнение самолета в основ</w:t>
      </w:r>
      <w:r w:rsidRPr="00722885">
        <w:rPr>
          <w:rFonts w:ascii="Times New Roman" w:hAnsi="Times New Roman"/>
          <w:color w:val="000000" w:themeColor="text1"/>
          <w:sz w:val="16"/>
          <w:szCs w:val="16"/>
        </w:rPr>
        <w:softHyphen/>
        <w:t>ном удовлетворительно.</w:t>
      </w:r>
    </w:p>
    <w:p w14:paraId="0770358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В процессе испытаний выявлен ряд дефектов. Основных из них:</w:t>
      </w:r>
    </w:p>
    <w:p w14:paraId="76C121B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разрушение подшипников нагнетателя мотора (массовое явление);</w:t>
      </w:r>
    </w:p>
    <w:p w14:paraId="6A36C4B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течь бензобаков № 3 и 1 4 в верхней части по сварке;</w:t>
      </w:r>
    </w:p>
    <w:p w14:paraId="52248D1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засвинцовываются электроды свечей при работе на горючем с продуктом В-20 (массовый дефект), за все время испытаний заменено 60 свечей;</w:t>
      </w:r>
    </w:p>
    <w:p w14:paraId="5F45C6E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течь водорадиатора;</w:t>
      </w:r>
    </w:p>
    <w:p w14:paraId="12EC8F6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отказ приемников термометра воды (3 случая);</w:t>
      </w:r>
    </w:p>
    <w:p w14:paraId="1846CD3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 отказ динамок тахометров (массовый дефект - 4 раза);</w:t>
      </w:r>
    </w:p>
    <w:p w14:paraId="6F3CA7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 отказ бензиномеров;</w:t>
      </w:r>
    </w:p>
    <w:p w14:paraId="04EEF92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 остаточная девиация магнитного компаса превышает допустимые пределы;</w:t>
      </w:r>
    </w:p>
    <w:p w14:paraId="5ED8313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при перезарядке пушки обрывается троссы перезарядки,</w:t>
      </w:r>
    </w:p>
    <w:p w14:paraId="26E5F19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отсутствует механическая перезарядка пушки;</w:t>
      </w:r>
    </w:p>
    <w:p w14:paraId="5E71EE1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л) дренажный кран </w:t>
      </w:r>
      <w:r w:rsidRPr="00722885">
        <w:rPr>
          <w:rFonts w:ascii="Times New Roman" w:hAnsi="Times New Roman"/>
          <w:smallCaps/>
          <w:color w:val="000000" w:themeColor="text1"/>
          <w:sz w:val="16"/>
          <w:szCs w:val="16"/>
        </w:rPr>
        <w:t xml:space="preserve">системы </w:t>
      </w:r>
      <w:r w:rsidRPr="00722885">
        <w:rPr>
          <w:rFonts w:ascii="Times New Roman" w:hAnsi="Times New Roman"/>
          <w:color w:val="000000" w:themeColor="text1"/>
          <w:sz w:val="16"/>
          <w:szCs w:val="16"/>
        </w:rPr>
        <w:t>нейтрального газа работает неудовлетворительно:</w:t>
      </w:r>
    </w:p>
    <w:p w14:paraId="53C6F59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положении сектора "ГАЗ" система не всегда включается;</w:t>
      </w:r>
    </w:p>
    <w:p w14:paraId="12C78B0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положении "ДРЕНАЖ" газ поступает как в баки, так и в атмосферу,</w:t>
      </w:r>
    </w:p>
    <w:p w14:paraId="0C2D4CB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Велико избыточное давление газов»в бензоба</w:t>
      </w:r>
      <w:r w:rsidRPr="00722885">
        <w:rPr>
          <w:rFonts w:ascii="Times New Roman" w:hAnsi="Times New Roman"/>
          <w:color w:val="000000" w:themeColor="text1"/>
          <w:sz w:val="16"/>
          <w:szCs w:val="16"/>
        </w:rPr>
        <w:softHyphen/>
        <w:t>ках. Необходимо уменьшить давление по 100-120 мм ртутного столба.</w:t>
      </w:r>
    </w:p>
    <w:p w14:paraId="40E57CD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smallCaps/>
          <w:color w:val="000000" w:themeColor="text1"/>
          <w:sz w:val="16"/>
          <w:szCs w:val="16"/>
        </w:rPr>
        <w:t xml:space="preserve">Ведущий </w:t>
      </w:r>
      <w:r w:rsidRPr="00722885">
        <w:rPr>
          <w:rFonts w:ascii="Times New Roman" w:hAnsi="Times New Roman"/>
          <w:color w:val="000000" w:themeColor="text1"/>
          <w:sz w:val="16"/>
          <w:szCs w:val="16"/>
        </w:rPr>
        <w:t xml:space="preserve">и н ж е н е р </w:t>
      </w:r>
      <w:r w:rsidRPr="00722885">
        <w:rPr>
          <w:rFonts w:ascii="Times New Roman" w:hAnsi="Times New Roman"/>
          <w:smallCaps/>
          <w:color w:val="000000" w:themeColor="text1"/>
          <w:sz w:val="16"/>
          <w:szCs w:val="16"/>
        </w:rPr>
        <w:t>-шжЕнер - полковник сафронов</w:t>
      </w:r>
    </w:p>
    <w:p w14:paraId="3EF26AC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74F7B3C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Государственные контрольные испытания серийный самолет Пе-Збис № 40143900, производства завода 39, выдержал удовлетворительно,</w:t>
      </w:r>
    </w:p>
    <w:p w14:paraId="5DB9B94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Просить Н К А П:</w:t>
      </w:r>
    </w:p>
    <w:p w14:paraId="3906CCA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принять меры к устранению дефектов, выявленных на испытании, согласно выводов и прилагаемой ведомости дефектов;</w:t>
      </w:r>
    </w:p>
    <w:p w14:paraId="54E65BB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дать указания заводу № 32 срочно отрабо</w:t>
      </w:r>
      <w:r w:rsidRPr="00722885">
        <w:rPr>
          <w:rFonts w:ascii="Times New Roman" w:hAnsi="Times New Roman"/>
          <w:color w:val="000000" w:themeColor="text1"/>
          <w:sz w:val="16"/>
          <w:szCs w:val="16"/>
        </w:rPr>
        <w:softHyphen/>
        <w:t>тать и установить на турель конструкции ТОРОПОВА компенса</w:t>
      </w:r>
      <w:r w:rsidRPr="00722885">
        <w:rPr>
          <w:rFonts w:ascii="Times New Roman" w:hAnsi="Times New Roman"/>
          <w:color w:val="000000" w:themeColor="text1"/>
          <w:sz w:val="16"/>
          <w:szCs w:val="16"/>
        </w:rPr>
        <w:softHyphen/>
        <w:t>торы, которые позволили бы получить углы обстрела в воздухе, допускаемые конструкцией установки;</w:t>
      </w:r>
    </w:p>
    <w:p w14:paraId="245A548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срочно провести исследование в ЦАГИ по повышению эффективности предкрылков на самолете Пе-Збис."</w:t>
      </w:r>
    </w:p>
    <w:p w14:paraId="386983F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ЗАВОДА № 39 (В.И.АБРАМОВ)</w:t>
      </w:r>
    </w:p>
    <w:p w14:paraId="42F8EBD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 Л, ИНЖЕНЕРА ПО ЭКСПЕРИМЕНТАЛЬНЫМ РАБОТАМ (К.А.ПЕТРОВ) (1678,51).</w:t>
      </w:r>
    </w:p>
    <w:p w14:paraId="627D08D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1C85F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Зам. нач. 7 ГУ Алексеев писал письмо в НКАП А.И.Ш. и сообщил, что по письму-предложению лауреата Сталинской премии, ГИ НАТИ Слонимского N 9486 в тех. с-т ОБ ЦК ВКП(б) и в адрес пред. ГКО И.В.С. о создании летающего танка-автожира 7 ГУ дало отрицательное заключение и направило его автору(1684,188). Использовали Замечания к Предложению Слонимского "Летающий танк" к.т.н. Братухина (1684,189).</w:t>
      </w:r>
    </w:p>
    <w:p w14:paraId="2F025542" w14:textId="77777777" w:rsidR="00AE7191" w:rsidRPr="00722885" w:rsidRDefault="00AE7191" w:rsidP="00722885">
      <w:pPr>
        <w:pStyle w:val="Iauiue"/>
        <w:jc w:val="both"/>
        <w:rPr>
          <w:color w:val="000000" w:themeColor="text1"/>
          <w:sz w:val="16"/>
          <w:szCs w:val="16"/>
        </w:rPr>
      </w:pPr>
    </w:p>
    <w:p w14:paraId="078D8B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вышел приказ НКАП N 653, в котором, в частности, предполагалось производство авиалыж (911,34).</w:t>
      </w:r>
    </w:p>
    <w:p w14:paraId="5C272B39" w14:textId="77777777" w:rsidR="00AE7191" w:rsidRPr="00722885" w:rsidRDefault="00AE7191" w:rsidP="00722885">
      <w:pPr>
        <w:pStyle w:val="Iauiue"/>
        <w:jc w:val="both"/>
        <w:rPr>
          <w:color w:val="000000" w:themeColor="text1"/>
          <w:sz w:val="16"/>
          <w:szCs w:val="16"/>
        </w:rPr>
      </w:pPr>
    </w:p>
    <w:p w14:paraId="65B20066" w14:textId="77777777" w:rsidR="00AC4332" w:rsidRPr="00722885" w:rsidRDefault="00AC4332" w:rsidP="00722885">
      <w:pPr>
        <w:pStyle w:val="ae"/>
        <w:shd w:val="clear" w:color="auto" w:fill="FFFFFF"/>
        <w:spacing w:before="0" w:after="0"/>
        <w:jc w:val="both"/>
        <w:rPr>
          <w:color w:val="000000" w:themeColor="text1"/>
          <w:sz w:val="16"/>
          <w:szCs w:val="16"/>
        </w:rPr>
      </w:pPr>
      <w:r w:rsidRPr="00722885">
        <w:rPr>
          <w:color w:val="000000" w:themeColor="text1"/>
          <w:sz w:val="16"/>
          <w:szCs w:val="16"/>
        </w:rPr>
        <w:t>26 августа 1942 вышел приказ НКАП</w:t>
      </w:r>
    </w:p>
    <w:p w14:paraId="78C628F6" w14:textId="77777777" w:rsidR="00AC4332" w:rsidRPr="00722885" w:rsidRDefault="00AC4332" w:rsidP="00722885">
      <w:pPr>
        <w:pStyle w:val="ae"/>
        <w:shd w:val="clear" w:color="auto" w:fill="FFFFFF"/>
        <w:spacing w:before="0" w:after="0"/>
        <w:jc w:val="both"/>
        <w:rPr>
          <w:color w:val="000000" w:themeColor="text1"/>
          <w:sz w:val="16"/>
          <w:szCs w:val="16"/>
        </w:rPr>
      </w:pPr>
      <w:r w:rsidRPr="00722885">
        <w:rPr>
          <w:color w:val="000000" w:themeColor="text1"/>
          <w:sz w:val="16"/>
          <w:szCs w:val="16"/>
        </w:rPr>
        <w:t>Об отработке конструкции самолетов Як-1, Як-7, Ил-2, ЛаГГ-3 и Пе-2 с лыжами (19706).</w:t>
      </w:r>
    </w:p>
    <w:p w14:paraId="651E5263" w14:textId="77777777" w:rsidR="00AC4332" w:rsidRPr="00722885" w:rsidRDefault="00AC4332" w:rsidP="00722885">
      <w:pPr>
        <w:pStyle w:val="ae"/>
        <w:shd w:val="clear" w:color="auto" w:fill="FFFFFF"/>
        <w:spacing w:before="0" w:after="0"/>
        <w:jc w:val="both"/>
        <w:rPr>
          <w:color w:val="000000" w:themeColor="text1"/>
          <w:sz w:val="16"/>
          <w:szCs w:val="16"/>
        </w:rPr>
      </w:pPr>
    </w:p>
    <w:p w14:paraId="574B84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вышел приказ НКАП N 655c:</w:t>
      </w:r>
    </w:p>
    <w:p w14:paraId="073612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обеспечения выполнения задания по проектированию и изготовлению 2-х моторного бомбардировщика конструкции Н.Н.П.:</w:t>
      </w:r>
    </w:p>
    <w:p w14:paraId="406B7D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Строительство производить в Новосибирске на заводе 51 и в Москве на филиале этого же завода, в соответствии с предложенным ГК Н.Н.П. распределение работ по этим базам" *(1586,25).</w:t>
      </w:r>
    </w:p>
    <w:p w14:paraId="76B7EAA1" w14:textId="77777777" w:rsidR="00AE7191" w:rsidRPr="00722885" w:rsidRDefault="00AE7191" w:rsidP="00722885">
      <w:pPr>
        <w:pStyle w:val="Iauiue"/>
        <w:jc w:val="both"/>
        <w:rPr>
          <w:color w:val="000000" w:themeColor="text1"/>
          <w:sz w:val="16"/>
          <w:szCs w:val="16"/>
        </w:rPr>
      </w:pPr>
    </w:p>
    <w:p w14:paraId="08B1247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26 августа 1942 г. летчик Зайцев совершил на ИТП М-1 Н.Н.П. вынужденную посадку на аэродроме по причине разрушения подшипников вала двигателя.</w:t>
      </w:r>
    </w:p>
    <w:p w14:paraId="0ED1AEF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1D3144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060E1FD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66E7594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Несмотря на то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B487A" w:rsidRPr="00722885" w14:paraId="6D0525CF" w14:textId="77777777" w:rsidTr="00CC5360">
        <w:tc>
          <w:tcPr>
            <w:tcW w:w="3736" w:type="dxa"/>
            <w:tcBorders>
              <w:top w:val="single" w:sz="12" w:space="0" w:color="auto"/>
            </w:tcBorders>
          </w:tcPr>
          <w:p w14:paraId="54582B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559C822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w:t>
            </w:r>
          </w:p>
        </w:tc>
        <w:tc>
          <w:tcPr>
            <w:tcW w:w="3736" w:type="dxa"/>
            <w:tcBorders>
              <w:top w:val="single" w:sz="12" w:space="0" w:color="auto"/>
            </w:tcBorders>
          </w:tcPr>
          <w:p w14:paraId="70399B3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w:t>
            </w:r>
          </w:p>
        </w:tc>
      </w:tr>
      <w:tr w:rsidR="009B487A" w:rsidRPr="00722885" w14:paraId="4754777A" w14:textId="77777777" w:rsidTr="00CC5360">
        <w:tc>
          <w:tcPr>
            <w:tcW w:w="3736" w:type="dxa"/>
          </w:tcPr>
          <w:p w14:paraId="79886E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w:t>
            </w:r>
          </w:p>
        </w:tc>
        <w:tc>
          <w:tcPr>
            <w:tcW w:w="3736" w:type="dxa"/>
          </w:tcPr>
          <w:p w14:paraId="01FCAD2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3736" w:type="dxa"/>
          </w:tcPr>
          <w:p w14:paraId="558AC27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r>
      <w:tr w:rsidR="009B487A" w:rsidRPr="00722885" w14:paraId="2E8DEA79" w14:textId="77777777" w:rsidTr="00CC5360">
        <w:tc>
          <w:tcPr>
            <w:tcW w:w="3736" w:type="dxa"/>
          </w:tcPr>
          <w:p w14:paraId="0E785F0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в линии полета (м)</w:t>
            </w:r>
          </w:p>
        </w:tc>
        <w:tc>
          <w:tcPr>
            <w:tcW w:w="3736" w:type="dxa"/>
          </w:tcPr>
          <w:p w14:paraId="3AE29C5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8,95</w:t>
            </w:r>
          </w:p>
        </w:tc>
        <w:tc>
          <w:tcPr>
            <w:tcW w:w="3736" w:type="dxa"/>
          </w:tcPr>
          <w:p w14:paraId="22944E5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w:t>
            </w:r>
          </w:p>
        </w:tc>
      </w:tr>
      <w:tr w:rsidR="009B487A" w:rsidRPr="00722885" w14:paraId="28975C00" w14:textId="77777777" w:rsidTr="00CC5360">
        <w:tc>
          <w:tcPr>
            <w:tcW w:w="3736" w:type="dxa"/>
          </w:tcPr>
          <w:p w14:paraId="1568E4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(м2)</w:t>
            </w:r>
          </w:p>
        </w:tc>
        <w:tc>
          <w:tcPr>
            <w:tcW w:w="3736" w:type="dxa"/>
          </w:tcPr>
          <w:p w14:paraId="740ED8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16,45</w:t>
            </w:r>
          </w:p>
        </w:tc>
        <w:tc>
          <w:tcPr>
            <w:tcW w:w="3736" w:type="dxa"/>
          </w:tcPr>
          <w:p w14:paraId="789935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16,45</w:t>
            </w:r>
          </w:p>
        </w:tc>
      </w:tr>
      <w:tr w:rsidR="009B487A" w:rsidRPr="00722885" w14:paraId="3EAAF526" w14:textId="77777777" w:rsidTr="00CC5360">
        <w:tc>
          <w:tcPr>
            <w:tcW w:w="3736" w:type="dxa"/>
          </w:tcPr>
          <w:p w14:paraId="51B123F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пустого (кг)</w:t>
            </w:r>
          </w:p>
        </w:tc>
        <w:tc>
          <w:tcPr>
            <w:tcW w:w="3736" w:type="dxa"/>
          </w:tcPr>
          <w:p w14:paraId="13BDD53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2598</w:t>
            </w:r>
          </w:p>
        </w:tc>
        <w:tc>
          <w:tcPr>
            <w:tcW w:w="3736" w:type="dxa"/>
          </w:tcPr>
          <w:p w14:paraId="74AA271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3095</w:t>
            </w:r>
          </w:p>
        </w:tc>
      </w:tr>
      <w:tr w:rsidR="009B487A" w:rsidRPr="00722885" w14:paraId="14DAEFCE" w14:textId="77777777" w:rsidTr="00CC5360">
        <w:tc>
          <w:tcPr>
            <w:tcW w:w="3736" w:type="dxa"/>
          </w:tcPr>
          <w:p w14:paraId="3F8B917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(кг)</w:t>
            </w:r>
          </w:p>
        </w:tc>
        <w:tc>
          <w:tcPr>
            <w:tcW w:w="3736" w:type="dxa"/>
          </w:tcPr>
          <w:p w14:paraId="68575F5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3750 (3366)</w:t>
            </w:r>
          </w:p>
        </w:tc>
        <w:tc>
          <w:tcPr>
            <w:tcW w:w="3736" w:type="dxa"/>
          </w:tcPr>
          <w:p w14:paraId="7AF1446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3820</w:t>
            </w:r>
          </w:p>
        </w:tc>
      </w:tr>
      <w:tr w:rsidR="009B487A" w:rsidRPr="00722885" w14:paraId="2434DD06" w14:textId="77777777" w:rsidTr="00CC5360">
        <w:tc>
          <w:tcPr>
            <w:tcW w:w="3736" w:type="dxa"/>
          </w:tcPr>
          <w:p w14:paraId="2E2E5C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Нагрузка на крыло (кг/м2)</w:t>
            </w:r>
          </w:p>
        </w:tc>
        <w:tc>
          <w:tcPr>
            <w:tcW w:w="3736" w:type="dxa"/>
          </w:tcPr>
          <w:p w14:paraId="438D0FC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227</w:t>
            </w:r>
          </w:p>
        </w:tc>
        <w:tc>
          <w:tcPr>
            <w:tcW w:w="3736" w:type="dxa"/>
          </w:tcPr>
          <w:p w14:paraId="15A2DE3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232</w:t>
            </w:r>
          </w:p>
        </w:tc>
      </w:tr>
      <w:tr w:rsidR="009B487A" w:rsidRPr="00722885" w14:paraId="116A6A82" w14:textId="77777777" w:rsidTr="00CC5360">
        <w:tc>
          <w:tcPr>
            <w:tcW w:w="3736" w:type="dxa"/>
          </w:tcPr>
          <w:p w14:paraId="1B0FE34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у земли (км/ч)</w:t>
            </w:r>
          </w:p>
        </w:tc>
        <w:tc>
          <w:tcPr>
            <w:tcW w:w="3736" w:type="dxa"/>
          </w:tcPr>
          <w:p w14:paraId="4B8E17A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541</w:t>
            </w:r>
          </w:p>
        </w:tc>
        <w:tc>
          <w:tcPr>
            <w:tcW w:w="3736" w:type="dxa"/>
          </w:tcPr>
          <w:p w14:paraId="252ED9E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540</w:t>
            </w:r>
          </w:p>
        </w:tc>
      </w:tr>
      <w:tr w:rsidR="009B487A" w:rsidRPr="00722885" w14:paraId="0DAD0493" w14:textId="77777777" w:rsidTr="00CC5360">
        <w:tc>
          <w:tcPr>
            <w:tcW w:w="3736" w:type="dxa"/>
          </w:tcPr>
          <w:p w14:paraId="3A84ACC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 скорость у земли на форсаже (км/ч)</w:t>
            </w:r>
          </w:p>
        </w:tc>
        <w:tc>
          <w:tcPr>
            <w:tcW w:w="3736" w:type="dxa"/>
          </w:tcPr>
          <w:p w14:paraId="0EE641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549</w:t>
            </w:r>
          </w:p>
        </w:tc>
        <w:tc>
          <w:tcPr>
            <w:tcW w:w="3736" w:type="dxa"/>
          </w:tcPr>
          <w:p w14:paraId="3276ABE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w:t>
            </w:r>
          </w:p>
        </w:tc>
      </w:tr>
      <w:tr w:rsidR="009B487A" w:rsidRPr="00722885" w14:paraId="082B182C" w14:textId="77777777" w:rsidTr="00CC5360">
        <w:tc>
          <w:tcPr>
            <w:tcW w:w="3736" w:type="dxa"/>
          </w:tcPr>
          <w:p w14:paraId="41953E7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на высоте 5000 м (км/ч)</w:t>
            </w:r>
          </w:p>
        </w:tc>
        <w:tc>
          <w:tcPr>
            <w:tcW w:w="3736" w:type="dxa"/>
          </w:tcPr>
          <w:p w14:paraId="158A248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645*</w:t>
            </w:r>
          </w:p>
        </w:tc>
        <w:tc>
          <w:tcPr>
            <w:tcW w:w="3736" w:type="dxa"/>
          </w:tcPr>
          <w:p w14:paraId="6FA781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560**</w:t>
            </w:r>
          </w:p>
        </w:tc>
      </w:tr>
      <w:tr w:rsidR="009B487A" w:rsidRPr="00722885" w14:paraId="3AE6B4AF" w14:textId="77777777" w:rsidTr="00CC5360">
        <w:tc>
          <w:tcPr>
            <w:tcW w:w="3736" w:type="dxa"/>
          </w:tcPr>
          <w:p w14:paraId="784B182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(мин)</w:t>
            </w:r>
          </w:p>
        </w:tc>
        <w:tc>
          <w:tcPr>
            <w:tcW w:w="3736" w:type="dxa"/>
          </w:tcPr>
          <w:p w14:paraId="73E9F3D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w:t>
            </w:r>
          </w:p>
        </w:tc>
        <w:tc>
          <w:tcPr>
            <w:tcW w:w="3736" w:type="dxa"/>
          </w:tcPr>
          <w:p w14:paraId="713C8C7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w:t>
            </w:r>
          </w:p>
        </w:tc>
      </w:tr>
      <w:tr w:rsidR="009B487A" w:rsidRPr="00722885" w14:paraId="06C8FC40" w14:textId="77777777" w:rsidTr="00CC5360">
        <w:tc>
          <w:tcPr>
            <w:tcW w:w="3736" w:type="dxa"/>
            <w:tcBorders>
              <w:bottom w:val="single" w:sz="12" w:space="0" w:color="auto"/>
            </w:tcBorders>
          </w:tcPr>
          <w:p w14:paraId="3FAE819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Потолок (м)</w:t>
            </w:r>
          </w:p>
        </w:tc>
        <w:tc>
          <w:tcPr>
            <w:tcW w:w="3736" w:type="dxa"/>
            <w:tcBorders>
              <w:bottom w:val="single" w:sz="12" w:space="0" w:color="auto"/>
            </w:tcBorders>
          </w:tcPr>
          <w:p w14:paraId="24AEDD9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3736" w:type="dxa"/>
            <w:tcBorders>
              <w:bottom w:val="single" w:sz="12" w:space="0" w:color="auto"/>
            </w:tcBorders>
          </w:tcPr>
          <w:p w14:paraId="6377D23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11500</w:t>
            </w:r>
          </w:p>
        </w:tc>
      </w:tr>
    </w:tbl>
    <w:p w14:paraId="6781DC6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Скорость на высоте 6200 м</w:t>
      </w:r>
    </w:p>
    <w:p w14:paraId="7BF1E56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Максимальная скорость на 2500 м. на форсаже 650 км/ч</w:t>
      </w:r>
    </w:p>
    <w:p w14:paraId="09FAE69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Время набора высоты (12016).</w:t>
      </w:r>
    </w:p>
    <w:p w14:paraId="796D8CB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ABC427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34E9DFB" w14:textId="77777777" w:rsidR="00AE7191" w:rsidRPr="00722885" w:rsidRDefault="00AE7191" w:rsidP="00722885">
      <w:pPr>
        <w:pStyle w:val="Iauiue"/>
        <w:jc w:val="both"/>
        <w:rPr>
          <w:iCs/>
          <w:color w:val="000000" w:themeColor="text1"/>
          <w:sz w:val="16"/>
          <w:szCs w:val="16"/>
        </w:rPr>
      </w:pPr>
    </w:p>
    <w:p w14:paraId="1A0F7C6E" w14:textId="77777777" w:rsidR="00DE48C2" w:rsidRPr="00722885" w:rsidRDefault="00DE48C2" w:rsidP="00722885">
      <w:pPr>
        <w:pStyle w:val="ae"/>
        <w:spacing w:before="0" w:after="0"/>
        <w:jc w:val="both"/>
        <w:textAlignment w:val="baseline"/>
        <w:rPr>
          <w:color w:val="000000" w:themeColor="text1"/>
          <w:sz w:val="16"/>
          <w:szCs w:val="16"/>
        </w:rPr>
      </w:pPr>
      <w:r w:rsidRPr="00722885">
        <w:rPr>
          <w:color w:val="000000" w:themeColor="text1"/>
          <w:sz w:val="16"/>
          <w:szCs w:val="16"/>
        </w:rPr>
        <w:t>26 августа 1942 года Артиллерийский комитет выдал конструкторским бюро задание на разработку гранат направленного действия. Основная борьба за право стать первой кумулятивной ручной гранатой в РККА развернулась между изделиями КБ-30 и НИИ-6.</w:t>
      </w:r>
    </w:p>
    <w:p w14:paraId="5F253E0F" w14:textId="77777777" w:rsidR="00DE48C2" w:rsidRPr="00722885" w:rsidRDefault="00DE48C2" w:rsidP="00722885">
      <w:pPr>
        <w:pStyle w:val="ae"/>
        <w:spacing w:before="0" w:after="0"/>
        <w:jc w:val="both"/>
        <w:textAlignment w:val="baseline"/>
        <w:rPr>
          <w:color w:val="000000" w:themeColor="text1"/>
          <w:sz w:val="16"/>
          <w:szCs w:val="16"/>
        </w:rPr>
      </w:pPr>
      <w:r w:rsidRPr="00722885">
        <w:rPr>
          <w:color w:val="000000" w:themeColor="text1"/>
          <w:sz w:val="16"/>
          <w:szCs w:val="16"/>
        </w:rPr>
        <w:t>КБ-30 разработало гранату направленного действия РПГ-42 НД «Комета» со следующими характеристиками: длина — 280-285 мм, вес — 950 г, вес взрывчатого вещества (ВВ) — 600 г. Отрабатывались варианты изделий с запалом в рукоятке (в собранном виде) и с навинчиваемым запалом. С 15 по 17 октября 1942 года проходили испытания гранат разработки КБ-30. По результатам испытаний оказалось, что гранаты РПГ-42 имеют простую конструкцию, габаритно-весовые данные, не соответствующие чертежу, неудовлетворительное качество заливки ВВ, небезопасные предохранительные устройства и бронепробиваемость в пределах 45-55 мм. Повторных испытаний 19-21 октября доработанные гранаты не выдержали из-за неудовлетворительной бронепробиваемости при метании (45 мм, в статических условиях — 55-60 мм). Несмотря на это 3 декабря НИПСВО КА посчитал, что граната, претерпевшая минимальные изменения, полигонные испытания выдержала и может быть допущена к войсковым испытаниям.</w:t>
      </w:r>
    </w:p>
    <w:p w14:paraId="32CAA4D6" w14:textId="77777777" w:rsidR="00DE48C2" w:rsidRPr="00722885" w:rsidRDefault="00DE48C2" w:rsidP="00722885">
      <w:pPr>
        <w:pStyle w:val="ae"/>
        <w:spacing w:before="0" w:after="0"/>
        <w:jc w:val="both"/>
        <w:textAlignment w:val="baseline"/>
        <w:rPr>
          <w:color w:val="000000" w:themeColor="text1"/>
          <w:sz w:val="16"/>
          <w:szCs w:val="16"/>
        </w:rPr>
      </w:pPr>
      <w:r w:rsidRPr="00722885">
        <w:rPr>
          <w:color w:val="000000" w:themeColor="text1"/>
          <w:sz w:val="16"/>
          <w:szCs w:val="16"/>
        </w:rPr>
        <w:t>В свою очередь, в НИИ-6 разработали свой вариант кумулятивной гранаты, которая проходила полигонные испытания с 30 октября по 3 ноября 1942 года. По чертежу граната имела вес 1139 г и длину 373-375 мм. В собранном виде изделие НИИ-6 оказалось заметно длиннее РПГ-42 (корпус — на 75-80 мм). Особенностью гранаты было изготовление корпуса из бумажного литья и рукоятки из патронной бумаги, запал позаимствовали от винтовочной ружейной гранаты. В качестве взрывчатого вещества использовались сплавы «ТГ» либо «Л». В итоге граната НИИ-6 оказалась сложнее своего непосредственного конкурента, но имела высокие результаты по безотказности действия и бронепробиваемости, что позже позволило ей после доработки конструкции добраться до войсковых испытаний (18876).</w:t>
      </w:r>
    </w:p>
    <w:p w14:paraId="232261FD" w14:textId="77777777" w:rsidR="00DE48C2" w:rsidRPr="00722885" w:rsidRDefault="00DE48C2" w:rsidP="00722885">
      <w:pPr>
        <w:pStyle w:val="ae"/>
        <w:spacing w:before="0" w:after="0"/>
        <w:jc w:val="both"/>
        <w:textAlignment w:val="baseline"/>
        <w:rPr>
          <w:color w:val="000000" w:themeColor="text1"/>
          <w:sz w:val="16"/>
          <w:szCs w:val="16"/>
        </w:rPr>
      </w:pPr>
    </w:p>
    <w:p w14:paraId="7915DBE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августа 1942 года КВ-1С (опытный) прошел Государственные испытания на Опытном заводе № 100, которые начались с 28 июля. По результатам испытаний с учетом устранения выявленных дефектов, танк был при</w:t>
      </w:r>
      <w:r w:rsidRPr="00722885">
        <w:rPr>
          <w:rFonts w:ascii="Times New Roman" w:hAnsi="Times New Roman"/>
          <w:color w:val="000000" w:themeColor="text1"/>
          <w:sz w:val="16"/>
          <w:szCs w:val="16"/>
        </w:rPr>
        <w:softHyphen/>
        <w:t>нят на вооружение РККА. Второй изготовленный образец являлся предсерийным вариантом танка КВ-1С. В период с 13 августа по 20 ок</w:t>
      </w:r>
      <w:r w:rsidRPr="00722885">
        <w:rPr>
          <w:rFonts w:ascii="Times New Roman" w:hAnsi="Times New Roman"/>
          <w:color w:val="000000" w:themeColor="text1"/>
          <w:sz w:val="16"/>
          <w:szCs w:val="16"/>
        </w:rPr>
        <w:softHyphen/>
        <w:t>тября 1943 г. он прошел длительные заводские испытания. Первый опытный образец танка КВ-1С был разработан на базе тан</w:t>
      </w:r>
      <w:r w:rsidRPr="00722885">
        <w:rPr>
          <w:rFonts w:ascii="Times New Roman" w:hAnsi="Times New Roman"/>
          <w:color w:val="000000" w:themeColor="text1"/>
          <w:sz w:val="16"/>
          <w:szCs w:val="16"/>
        </w:rPr>
        <w:softHyphen/>
        <w:t>ка КВ-1 обр. 1941 г. и отличался от него уменьшенной толщиной борто</w:t>
      </w:r>
      <w:r w:rsidRPr="00722885">
        <w:rPr>
          <w:rFonts w:ascii="Times New Roman" w:hAnsi="Times New Roman"/>
          <w:color w:val="000000" w:themeColor="text1"/>
          <w:sz w:val="16"/>
          <w:szCs w:val="16"/>
        </w:rPr>
        <w:softHyphen/>
        <w:t>вых листов корпуса и днища, а также размещением членов экипажа в башне. От предсерийного образца и серийного танка КВ-1 С он отличал</w:t>
      </w:r>
      <w:r w:rsidRPr="00722885">
        <w:rPr>
          <w:rFonts w:ascii="Times New Roman" w:hAnsi="Times New Roman"/>
          <w:color w:val="000000" w:themeColor="text1"/>
          <w:sz w:val="16"/>
          <w:szCs w:val="16"/>
        </w:rPr>
        <w:softHyphen/>
        <w:t>ся отсутствием поручней для танкового десанта на корпусе и башне ма</w:t>
      </w:r>
      <w:r w:rsidRPr="00722885">
        <w:rPr>
          <w:rFonts w:ascii="Times New Roman" w:hAnsi="Times New Roman"/>
          <w:color w:val="000000" w:themeColor="text1"/>
          <w:sz w:val="16"/>
          <w:szCs w:val="16"/>
        </w:rPr>
        <w:softHyphen/>
        <w:t>шины и установкой защитного козырька над смотровым люком механи</w:t>
      </w:r>
      <w:r w:rsidRPr="00722885">
        <w:rPr>
          <w:rFonts w:ascii="Times New Roman" w:hAnsi="Times New Roman"/>
          <w:color w:val="000000" w:themeColor="text1"/>
          <w:sz w:val="16"/>
          <w:szCs w:val="16"/>
        </w:rPr>
        <w:softHyphen/>
        <w:t>ка-водителя. Танк, имевший классическую схему общей компоновки, был воору</w:t>
      </w:r>
      <w:r w:rsidRPr="00722885">
        <w:rPr>
          <w:rFonts w:ascii="Times New Roman" w:hAnsi="Times New Roman"/>
          <w:color w:val="000000" w:themeColor="text1"/>
          <w:sz w:val="16"/>
          <w:szCs w:val="16"/>
        </w:rPr>
        <w:softHyphen/>
        <w:t>жен 76,2-мм танковой пушкой ЗИС-5 обр. 1941 г. и четырьмя 7,62-мм пулеметами ДТ, один из которых был спарен с пушкой. Пушка и спарен</w:t>
      </w:r>
      <w:r w:rsidRPr="00722885">
        <w:rPr>
          <w:rFonts w:ascii="Times New Roman" w:hAnsi="Times New Roman"/>
          <w:color w:val="000000" w:themeColor="text1"/>
          <w:sz w:val="16"/>
          <w:szCs w:val="16"/>
        </w:rPr>
        <w:softHyphen/>
        <w:t>ный пулемет устанавливались в маске и имели общие приборы и меха</w:t>
      </w:r>
      <w:r w:rsidRPr="00722885">
        <w:rPr>
          <w:rFonts w:ascii="Times New Roman" w:hAnsi="Times New Roman"/>
          <w:color w:val="000000" w:themeColor="text1"/>
          <w:sz w:val="16"/>
          <w:szCs w:val="16"/>
        </w:rPr>
        <w:softHyphen/>
        <w:t>низмы наводки и стрельбы (10703).</w:t>
      </w:r>
    </w:p>
    <w:p w14:paraId="56A1570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6956192" w14:textId="77777777" w:rsidR="00885B41" w:rsidRPr="00722885" w:rsidRDefault="00885B4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26 августа 1942 года два об</w:t>
      </w:r>
      <w:r w:rsidRPr="00722885">
        <w:rPr>
          <w:rFonts w:ascii="Times New Roman" w:cs="Times New Roman"/>
          <w:color w:val="000000" w:themeColor="text1"/>
          <w:spacing w:val="0"/>
        </w:rPr>
        <w:softHyphen/>
        <w:t xml:space="preserve">разца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прошли государственные ис</w:t>
      </w:r>
      <w:r w:rsidRPr="00722885">
        <w:rPr>
          <w:rFonts w:ascii="Times New Roman" w:cs="Times New Roman"/>
          <w:color w:val="000000" w:themeColor="text1"/>
          <w:spacing w:val="0"/>
        </w:rPr>
        <w:softHyphen/>
        <w:t xml:space="preserve">пытания на опытном заводе № 100, которые шли с 28 июля. По сравнению с танком КВ-1 на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была уменьшена до 60 мм толщина броне</w:t>
      </w:r>
      <w:r w:rsidRPr="00722885">
        <w:rPr>
          <w:rFonts w:ascii="Times New Roman" w:cs="Times New Roman"/>
          <w:color w:val="000000" w:themeColor="text1"/>
          <w:spacing w:val="0"/>
        </w:rPr>
        <w:softHyphen/>
        <w:t>вых листов, изменена форма кормы корпу</w:t>
      </w:r>
      <w:r w:rsidRPr="00722885">
        <w:rPr>
          <w:rFonts w:ascii="Times New Roman" w:cs="Times New Roman"/>
          <w:color w:val="000000" w:themeColor="text1"/>
          <w:spacing w:val="0"/>
        </w:rPr>
        <w:softHyphen/>
        <w:t>са, установлена башня новой конструкции с командирской башенкой кругового обзора, новые смотровые приборы. Существенные изменения внесли конструкторы и в сило</w:t>
      </w:r>
      <w:r w:rsidRPr="00722885">
        <w:rPr>
          <w:rFonts w:ascii="Times New Roman" w:cs="Times New Roman"/>
          <w:color w:val="000000" w:themeColor="text1"/>
          <w:spacing w:val="0"/>
        </w:rPr>
        <w:softHyphen/>
        <w:t>вую передачу танка КВ-1С, установив новый главный фрикцион, восьмискоростную ко</w:t>
      </w:r>
      <w:r w:rsidRPr="00722885">
        <w:rPr>
          <w:rFonts w:ascii="Times New Roman" w:cs="Times New Roman"/>
          <w:color w:val="000000" w:themeColor="text1"/>
          <w:spacing w:val="0"/>
        </w:rPr>
        <w:softHyphen/>
        <w:t>робку перемены передач с силуминовым кар</w:t>
      </w:r>
      <w:r w:rsidRPr="00722885">
        <w:rPr>
          <w:rFonts w:ascii="Times New Roman" w:cs="Times New Roman"/>
          <w:color w:val="000000" w:themeColor="text1"/>
          <w:spacing w:val="0"/>
        </w:rPr>
        <w:softHyphen/>
        <w:t>тером (восемь скоростей вперед и две назад). Кроме того, на танке смонтировали радиа</w:t>
      </w:r>
      <w:r w:rsidRPr="00722885">
        <w:rPr>
          <w:rFonts w:ascii="Times New Roman" w:cs="Times New Roman"/>
          <w:color w:val="000000" w:themeColor="text1"/>
          <w:spacing w:val="0"/>
        </w:rPr>
        <w:softHyphen/>
        <w:t>торы и вентилятор другой конструкции, из</w:t>
      </w:r>
      <w:r w:rsidRPr="00722885">
        <w:rPr>
          <w:rFonts w:ascii="Times New Roman" w:cs="Times New Roman"/>
          <w:color w:val="000000" w:themeColor="text1"/>
          <w:spacing w:val="0"/>
        </w:rPr>
        <w:softHyphen/>
        <w:t>менили расположение аккумуляторов. В хо</w:t>
      </w:r>
      <w:r w:rsidRPr="00722885">
        <w:rPr>
          <w:rFonts w:ascii="Times New Roman" w:cs="Times New Roman"/>
          <w:color w:val="000000" w:themeColor="text1"/>
          <w:spacing w:val="0"/>
        </w:rPr>
        <w:softHyphen/>
        <w:t>довой части применили облегченные опор</w:t>
      </w:r>
      <w:r w:rsidRPr="00722885">
        <w:rPr>
          <w:rFonts w:ascii="Times New Roman" w:cs="Times New Roman"/>
          <w:color w:val="000000" w:themeColor="text1"/>
          <w:spacing w:val="0"/>
        </w:rPr>
        <w:softHyphen/>
        <w:t>ные катки, ленивец и облегченные гусеницы уменьшенной ширины. В результате всех этих изменений мас</w:t>
      </w:r>
      <w:r w:rsidRPr="00722885">
        <w:rPr>
          <w:rFonts w:ascii="Times New Roman" w:cs="Times New Roman"/>
          <w:color w:val="000000" w:themeColor="text1"/>
          <w:spacing w:val="0"/>
        </w:rPr>
        <w:softHyphen/>
        <w:t>са КВ-1С снизилась до 42,3 т, возросла ско</w:t>
      </w:r>
      <w:r w:rsidRPr="00722885">
        <w:rPr>
          <w:rFonts w:ascii="Times New Roman" w:cs="Times New Roman"/>
          <w:color w:val="000000" w:themeColor="text1"/>
          <w:spacing w:val="0"/>
        </w:rPr>
        <w:softHyphen/>
        <w:t>рость (до 43,3 км/ч по шоссе), улучшилась маневренность и надежность танка.</w:t>
      </w:r>
    </w:p>
    <w:p w14:paraId="2BCCDB55" w14:textId="77777777" w:rsidR="00885B41" w:rsidRPr="00722885" w:rsidRDefault="00885B41" w:rsidP="00722885">
      <w:pPr>
        <w:pStyle w:val="27"/>
        <w:shd w:val="clear" w:color="auto" w:fill="auto"/>
        <w:spacing w:after="0" w:line="240" w:lineRule="auto"/>
        <w:ind w:firstLine="0"/>
        <w:rPr>
          <w:rFonts w:ascii="Times New Roman" w:cs="Times New Roman"/>
          <w:color w:val="000000" w:themeColor="text1"/>
          <w:spacing w:val="0"/>
        </w:rPr>
      </w:pPr>
    </w:p>
    <w:p w14:paraId="6D0715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года согласно приказу НКАП от № 663/с и приказу по заводу от 7 сентября 1942 года за № 530 строительство заводов было объединено с передачей всех объектов для достройки. Первые три квартала 1942 года строительство шло по двум отдельным, самостоятельным титульным спискам, т.е. по титулу завода № 126 и титулу завода № 130, переданному заводу по решению Правительства (9444).</w:t>
      </w:r>
    </w:p>
    <w:p w14:paraId="43D7B131" w14:textId="77777777" w:rsidR="00AE7191" w:rsidRPr="00722885" w:rsidRDefault="00AE7191" w:rsidP="00722885">
      <w:pPr>
        <w:pStyle w:val="Iauiue"/>
        <w:jc w:val="both"/>
        <w:rPr>
          <w:color w:val="000000" w:themeColor="text1"/>
          <w:sz w:val="16"/>
          <w:szCs w:val="16"/>
        </w:rPr>
      </w:pPr>
    </w:p>
    <w:p w14:paraId="44B57D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года был подписан:</w:t>
      </w:r>
    </w:p>
    <w:p w14:paraId="01A5AC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Акт передачи завода № 1 “Стекломашина” из Наркомата легкой промышленности в наркомат минометного вооружения</w:t>
      </w:r>
    </w:p>
    <w:p w14:paraId="4BE318F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Москва, загородное шоссе, д. 5 (8663)</w:t>
      </w:r>
    </w:p>
    <w:p w14:paraId="624112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г. Н. Г. Куз</w:t>
      </w:r>
      <w:r w:rsidRPr="00722885">
        <w:rPr>
          <w:color w:val="000000" w:themeColor="text1"/>
          <w:sz w:val="16"/>
          <w:szCs w:val="16"/>
        </w:rPr>
        <w:softHyphen/>
        <w:t>нецов утвердил Задание на новый эсминец (пр. 40) и оно предусматривало увеличение стан</w:t>
      </w:r>
      <w:r w:rsidRPr="00722885">
        <w:rPr>
          <w:color w:val="000000" w:themeColor="text1"/>
          <w:sz w:val="16"/>
          <w:szCs w:val="16"/>
        </w:rPr>
        <w:softHyphen/>
        <w:t>дартного водоизмещения до 2700 т, исключение транцевого обра</w:t>
      </w:r>
      <w:r w:rsidRPr="00722885">
        <w:rPr>
          <w:color w:val="000000" w:themeColor="text1"/>
          <w:sz w:val="16"/>
          <w:szCs w:val="16"/>
        </w:rPr>
        <w:softHyphen/>
        <w:t>зования кормы и устройство подъема полубака по типу английских эсминцев, показавших хорошие мореходные качества на Север</w:t>
      </w:r>
      <w:r w:rsidRPr="00722885">
        <w:rPr>
          <w:color w:val="000000" w:themeColor="text1"/>
          <w:sz w:val="16"/>
          <w:szCs w:val="16"/>
        </w:rPr>
        <w:softHyphen/>
        <w:t>ном морском театре. Исследовательское проектирование в ЦКБ-17 показало, что невозможно уложиться в заданное водоизмещение при столь высоких требованиях к вооружению (шесть 130-мм ору</w:t>
      </w:r>
      <w:r w:rsidRPr="00722885">
        <w:rPr>
          <w:color w:val="000000" w:themeColor="text1"/>
          <w:sz w:val="16"/>
          <w:szCs w:val="16"/>
        </w:rPr>
        <w:softHyphen/>
        <w:t>дий) и скорости (40 уз) (3898).</w:t>
      </w:r>
    </w:p>
    <w:p w14:paraId="756AA19F" w14:textId="77777777" w:rsidR="00AE7191" w:rsidRPr="00722885" w:rsidRDefault="00AE7191" w:rsidP="00722885">
      <w:pPr>
        <w:pStyle w:val="Iauiue"/>
        <w:jc w:val="both"/>
        <w:rPr>
          <w:color w:val="000000" w:themeColor="text1"/>
          <w:sz w:val="16"/>
          <w:szCs w:val="16"/>
        </w:rPr>
      </w:pPr>
    </w:p>
    <w:p w14:paraId="16C74C2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6C1EDC0" w14:textId="77777777" w:rsidR="00AE7191" w:rsidRPr="00722885" w:rsidRDefault="00AE7191" w:rsidP="00722885">
      <w:pPr>
        <w:pStyle w:val="Iauiue"/>
        <w:jc w:val="both"/>
        <w:rPr>
          <w:iCs/>
          <w:color w:val="000000" w:themeColor="text1"/>
          <w:sz w:val="16"/>
          <w:szCs w:val="16"/>
        </w:rPr>
      </w:pPr>
    </w:p>
    <w:p w14:paraId="08CAE0AE"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августа в 1942 году утреннее сообщение Совинформбюро:</w:t>
      </w:r>
    </w:p>
    <w:p w14:paraId="6A1A257C"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26 августа наши войска вели бои с противником в районах Клетская, северо-западнее Сталинграда, северо-восточнее Котельниково, а также врайонах Прохладный и южнее Краснодара.</w:t>
      </w:r>
    </w:p>
    <w:p w14:paraId="081D01AF"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5BD63ECF"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Северо-западнее Сталинграда наши войска вели напряжённые бои с танками и пехотой противника. Н-ская часть отбила несколько ожесточённых атак неприятеля и уничтожила 6 немецких танков и свыше 150 гитлеровцев. На другом участке наши пехотинцы при поддержке артиллеристов и танкистов упорно отбивали атаки противника. В этом бою гитлеровцы потеряли до 400 солдат и офицеров. Успешно действовали артиллеристы Н-ского соединения. В течение дня они уничтожили 17 немецких танков и рассеяли группировку противника, готовившуюся к наступлению.</w:t>
      </w:r>
    </w:p>
    <w:p w14:paraId="453479CB"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миномётчики произвели огневой налёт на колонну танков и автомашин противника. Подбито 4 немецких танка и уничтожено 16 автомашин. Одна наша кавалерийская часть ночью ворвалась в населённый пункт, занятый немцами. В ожесточённой схватке истреблено свыше 100 гитлеровцев.</w:t>
      </w:r>
    </w:p>
    <w:p w14:paraId="09313E7C"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наши войска вели оборонительные бои. На одном участке атаковавшая наши позиции колонна немецких танков и автомашин наскочила на минное поле. На минах подорвались 3 танка и 13 автомашин с пехотой. Кроме того, артиллеристы и бронебойщики Н-ской части подбили ещё 4 немецких танка и отбили атаку неприятеля. На другом участке наши части после упорных боёв отошли на новые позиции.</w:t>
      </w:r>
    </w:p>
    <w:p w14:paraId="4136D770"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противник пытался навести переправу через реку. Наши части разрушили наведённую гитлеровцами переправу и уничтожили до двух рот немецкой пехоты.</w:t>
      </w:r>
    </w:p>
    <w:p w14:paraId="6FF3CCF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севернее Воронежа, на западном берегу реки Дон, немцы при поддержке танков атаковали наши позиции. Атака противника была отбита. Гитлеровцы потеряли убитыми и ранеными 150 солдат и офицеров.</w:t>
      </w:r>
    </w:p>
    <w:p w14:paraId="770ADB1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Действиями нашей авиации разбит железнодорожный состав противника, взорвано два склада боеприпасов и разрушена водная переправа.</w:t>
      </w:r>
    </w:p>
    <w:p w14:paraId="76833C58"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гомельских партизан под командованием тов. Х. пустил под откос эшелон противника с войсками и боеприпасами. Уничтожены паровоз и 13 вагонов с немецкими солдатами и офицерами.</w:t>
      </w:r>
    </w:p>
    <w:p w14:paraId="23AEF11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6 роты 672 полка 376 немецкой пехотной дивизии. Вальтер Леттач рассказал: «Нас гнали в бой под угрозой расстрела. Командир батальона выстроилнас и заявил: «Предупреждаю, что идущие сзади унтер-офицеры будут расстреливать каждого, кто отступит хотя бы на один шаг». В нашей роте после недавних боёв выбыло две трети солдат. Другие роты также понесли тяжёлые потери. Командир батальона был тяжело ранен. На его место назначили другого, который через несколько дней был убит».</w:t>
      </w:r>
    </w:p>
    <w:p w14:paraId="096388E0"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замучили и расстреляли многих жителей села Селечни, Орловской области. Гитлеровские разбойники убили 75-летнего старика Лукашова Фёдора Ивановича, Астахова Афанасия Ивановича, Григоренко Петра и других мирных советских граждан.</w:t>
      </w:r>
    </w:p>
    <w:p w14:paraId="4A86AF79"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химических заводах в районе города Бохума (Германия) в июле произошло 4 взрыва и 18 аварий. В связи с этим выпуск продукции сократился более чем на 30 процентов. Гитлеровцы произвели среди иностранных рабочих массовые аресты.» (14994).</w:t>
      </w:r>
    </w:p>
    <w:p w14:paraId="2C069458"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1375B037"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августа в 1942 году вечернее сообщение Совинформбюро:</w:t>
      </w:r>
    </w:p>
    <w:p w14:paraId="24F5E2F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26 августа наши войска вели бои с противником в районахюго-восточнее Клетская, северо-западнее Сталинграда, северо-восточнее Котельниково, а также в районах Прохладный, Моздок и южнее Краснодара.</w:t>
      </w:r>
    </w:p>
    <w:p w14:paraId="08109498"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успешного наступления наши войска на Западном и Калининском фронтах освободили 610 населённых пунктов, в числе их города Зубцов, Карманово, Погорелое-Городище.</w:t>
      </w:r>
    </w:p>
    <w:p w14:paraId="7F21388C"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25 августа частями нашей авиации на различных участках фронта уничтожено или повреждено 35 немецких танков, более 300 автомашин с войсками и грузами, 24 автоцистерны с горючим, подавлен огонь 12 батарей полевой и зенитной артиллерии, взорваны склады боеприпасов и 2 склада горючего, разбито три железнодорожных состава, рассеяно и частью уничтожено до двух батальонов пехоты противника.</w:t>
      </w:r>
    </w:p>
    <w:p w14:paraId="38834EF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активные бои и на отдельных участках потеснили противника. Уничтожено 6 немецких орудий, 2 танка, 8 пулемётов, а также уничтожено до двух рот пехоты гитлеровцев.</w:t>
      </w:r>
    </w:p>
    <w:p w14:paraId="20784599"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северо-западнее Сталинграда продолжались напряжённые бои. Противник, сосредоточив здесь крупные силы танков и пехоты, под прикрытием авиации непрерывно атакует наши позиции. Наши войска отбивают атаки гитлеровцев и одновременно наносят контрудары по немецко-фашистским войскам. Н-ская стрелковая часть в течение дня отбила пять следовавших одна за другой атак. На поле боя немцы оставили сотни трупов. Подбито и сожжено 11 танков противника. На соседнем участке артиллерийские батареи преградили путь танковой колонне и уничтожили 14 немецких танков. Гитлеровцы пытались обойти наших артиллеристов, но попали под огонь противотанковых ружей и потеряли ещё 4 танка. Н-ская танковая часть в многочасовом бою с противником уничтожила 13 немецких танков и не менее 500 гитлеровцев.</w:t>
      </w:r>
    </w:p>
    <w:p w14:paraId="4112D473"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продолжали вести бои против танков и мотопехоты противника. В течение дня на одном из участков подбито 62 немецких танка. Советские части сдерживают натиск врага и контратаками изматывают его силы. В боях у населённого пункта С. наши пехотинцыи танкисты разгромили батальон немецкой пехоты и захватили 3 орудия, 17 пулемётов, 5 миномётов и много боеприпасов. На другом участке пулемётчики истребили две роты румынских солдат.</w:t>
      </w:r>
    </w:p>
    <w:p w14:paraId="0A6D1FC4"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наши войска вели ожесточённые бои с танками и пехотой противника. Части нашей морской пехоты в последнее время разгромили 5 румынскую кавалерийскую дивизию, которая потеряла свыше половины личного состава.</w:t>
      </w:r>
    </w:p>
    <w:p w14:paraId="17684978"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наши части истребили группу противника, переправившуюся через водный рубеж.</w:t>
      </w:r>
    </w:p>
    <w:p w14:paraId="16D73AF7"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происходили бои местного значения. На одном участке противник продолжал вести атаки, стремясь восстановить утраченное положение. Немецкая пехота действовала при поддержке танков. Огнём батареи старшего лейтенанта Лозинского уничтожено 2 немецких танка, а остальные повернули обратно. На другом участке подразделение командира Борщёва успешно провело разведку боем. В ожесточённой схватке с немецкими захватчиками наши бойцы истребили до 100 гитлеровцев.</w:t>
      </w:r>
    </w:p>
    <w:p w14:paraId="59FDDC50"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витебских партизан под командованием тов. Г. совершил налёт на немецкий гарнизон и уничтожил 17 автомашин, взорвал радиостанцию и истребил до 40 немецких оккупантов. Партизаны захватили станковый пулемёт, два миномёта с минами и 30 винтовок.</w:t>
      </w:r>
    </w:p>
    <w:p w14:paraId="7AF9C6F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Перелетевший на сторону Красной Армии лётчик унтер-офицер 3 группы 5 немецкой эскадры Вернер Шумахер рассказал: «Многие немецкие лётчики перестали верить официальным сводкам германского командования. Эти сводки становятся всё лживее и лживее. Если немецкая авиация сбивает 2 русских самолёта, в сводке пишут 20. Таких случаев очень много. Мы неоднократно участвовали в воздушных боях в районе Мурманска и хорошо знаем, что, как правило, наши потери превосходили потери русских. Однако германское командование неизменно преувеличивало потери русских и во много раз уменьшало цифры потерь немецкой авиации».</w:t>
      </w:r>
    </w:p>
    <w:p w14:paraId="5B52229B"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Положение иностранных рабочих в Германии с каждым днём становится всё более тягостным. Люди, которым удалось бежать из Германии, в один голос заявляют, что иностранным рабочим живётся даже хуже, чем каторжникам. Иностранный рабочий —это самое бесправное существо. Все помыкают и издеваются над ним. Сотни тысяч иностранцев работают на немецких заводах по 15 и более часов в сутки и не получают никакой платы. На машиностроительном заводе в Эссене иностранным рабочим разъяснили, что весь их заработок удерживается для оплаты стоимости пайка в заводской лавке. Как известно, этот паёк состоит из двухсот граммов хлеба и литра жидкой похлёбки в день. С 1 по 10 августа эсэсовцы расстреляли н аэтом заводе за саботаж 7 поляков, 3 французов и отправили в концентрационный лагерь 30 голландцев, пытавшихся бежать на родину.» (14994).</w:t>
      </w:r>
    </w:p>
    <w:p w14:paraId="79067556"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07D06D11" w14:textId="77777777" w:rsidR="00DE48C2" w:rsidRPr="00722885" w:rsidRDefault="00DE48C2" w:rsidP="00722885">
      <w:pPr>
        <w:pStyle w:val="ae"/>
        <w:spacing w:before="0" w:after="0"/>
        <w:jc w:val="both"/>
        <w:textAlignment w:val="baseline"/>
        <w:rPr>
          <w:color w:val="000000" w:themeColor="text1"/>
          <w:sz w:val="16"/>
          <w:szCs w:val="16"/>
        </w:rPr>
      </w:pPr>
      <w:r w:rsidRPr="00722885">
        <w:rPr>
          <w:color w:val="000000" w:themeColor="text1"/>
          <w:sz w:val="16"/>
          <w:szCs w:val="16"/>
        </w:rPr>
        <w:t>26 августа 1942 личный пример показал военком 686-го шап батальонный комиссар Иосиф Зазулинский, который был одним из немногих летающих политработников. В тот день его штурмовик в районе балки Сухая Мечетка, около Сталинграда, был подбит зенитками. И Зазулинский направил самолет на очередное скопление немецких танков. Впоследствии его посмертно скромно наградили орденом Отечественной войны 2-й степени. Затем на митинге, посвященном подвигу комиссара, летчики полка поклялись «отомстить за него, а при случае также направить свои машины на вражеские танки» (19522).</w:t>
      </w:r>
    </w:p>
    <w:p w14:paraId="61F4CC5D" w14:textId="77777777" w:rsidR="00DE48C2" w:rsidRPr="00722885" w:rsidRDefault="00DE48C2" w:rsidP="00722885">
      <w:pPr>
        <w:pStyle w:val="ae"/>
        <w:spacing w:before="0" w:after="0"/>
        <w:jc w:val="both"/>
        <w:textAlignment w:val="baseline"/>
        <w:rPr>
          <w:color w:val="000000" w:themeColor="text1"/>
          <w:sz w:val="16"/>
          <w:szCs w:val="16"/>
        </w:rPr>
      </w:pPr>
    </w:p>
    <w:p w14:paraId="0750E5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г. с целью обеспечения массирования действий авиации приказом Наркома Обороны от началось формирование авиационных корпусов (истребительных, штурмовых и бомбар</w:t>
      </w:r>
      <w:r w:rsidRPr="00722885">
        <w:rPr>
          <w:color w:val="000000" w:themeColor="text1"/>
          <w:sz w:val="16"/>
          <w:szCs w:val="16"/>
        </w:rPr>
        <w:softHyphen/>
        <w:t>дировочных) Резерва ВГК. Одновременно с этим происходило переформирование в однородные сме</w:t>
      </w:r>
      <w:r w:rsidRPr="00722885">
        <w:rPr>
          <w:color w:val="000000" w:themeColor="text1"/>
          <w:sz w:val="16"/>
          <w:szCs w:val="16"/>
        </w:rPr>
        <w:softHyphen/>
        <w:t>шанных авиадивизий и авиаполков. Штурмовая авиадивизия (штат 015/ 145) теперь стала состоять из трех штур</w:t>
      </w:r>
      <w:r w:rsidRPr="00722885">
        <w:rPr>
          <w:color w:val="000000" w:themeColor="text1"/>
          <w:sz w:val="16"/>
          <w:szCs w:val="16"/>
        </w:rPr>
        <w:softHyphen/>
        <w:t>мовых авиаполков и одной отдельной штрафной штурмовой авиаэскадрильи. Штурмовые авиаполки с 20-самолет-ного состава переводились на 32-само-летный состав (штат 015/282 - 3 эскад</w:t>
      </w:r>
      <w:r w:rsidRPr="00722885">
        <w:rPr>
          <w:color w:val="000000" w:themeColor="text1"/>
          <w:sz w:val="16"/>
          <w:szCs w:val="16"/>
        </w:rPr>
        <w:softHyphen/>
        <w:t>рильи, 32 пилота): по 10 самолетов в каж</w:t>
      </w:r>
      <w:r w:rsidRPr="00722885">
        <w:rPr>
          <w:color w:val="000000" w:themeColor="text1"/>
          <w:sz w:val="16"/>
          <w:szCs w:val="16"/>
        </w:rPr>
        <w:softHyphen/>
        <w:t>дой эскадрилье и две машины в управ</w:t>
      </w:r>
      <w:r w:rsidRPr="00722885">
        <w:rPr>
          <w:color w:val="000000" w:themeColor="text1"/>
          <w:sz w:val="16"/>
          <w:szCs w:val="16"/>
        </w:rPr>
        <w:softHyphen/>
        <w:t>лении полка (самолеты командира и штурмана полка). Принятые штаты штур</w:t>
      </w:r>
      <w:r w:rsidRPr="00722885">
        <w:rPr>
          <w:color w:val="000000" w:themeColor="text1"/>
          <w:sz w:val="16"/>
          <w:szCs w:val="16"/>
        </w:rPr>
        <w:softHyphen/>
        <w:t>мовых авиаполков оказались все же не</w:t>
      </w:r>
      <w:r w:rsidRPr="00722885">
        <w:rPr>
          <w:color w:val="000000" w:themeColor="text1"/>
          <w:sz w:val="16"/>
          <w:szCs w:val="16"/>
        </w:rPr>
        <w:softHyphen/>
        <w:t>достаточными и не в полной мере отве</w:t>
      </w:r>
      <w:r w:rsidRPr="00722885">
        <w:rPr>
          <w:color w:val="000000" w:themeColor="text1"/>
          <w:sz w:val="16"/>
          <w:szCs w:val="16"/>
        </w:rPr>
        <w:softHyphen/>
        <w:t xml:space="preserve">чали требованиям войны. Боевой опыт показал, что эскадрилья из 10 самолетов уже на 3-4 день боев "выдыхалась" (за счет </w:t>
      </w:r>
      <w:r w:rsidRPr="00722885">
        <w:rPr>
          <w:iCs/>
          <w:color w:val="000000" w:themeColor="text1"/>
          <w:sz w:val="16"/>
          <w:szCs w:val="16"/>
        </w:rPr>
        <w:t>"некоторого отхода летного соста</w:t>
      </w:r>
      <w:r w:rsidRPr="00722885">
        <w:rPr>
          <w:iCs/>
          <w:color w:val="000000" w:themeColor="text1"/>
          <w:sz w:val="16"/>
          <w:szCs w:val="16"/>
        </w:rPr>
        <w:softHyphen/>
        <w:t>ва и материальной части"}</w:t>
      </w:r>
      <w:r w:rsidRPr="00722885">
        <w:rPr>
          <w:color w:val="000000" w:themeColor="text1"/>
          <w:sz w:val="16"/>
          <w:szCs w:val="16"/>
        </w:rPr>
        <w:t xml:space="preserve"> и обычно могла работать только шестеркой, что не позволяло комсоставу полков должным образом организовывать борьбу с ПВО противника, а также с его истребитель</w:t>
      </w:r>
      <w:r w:rsidRPr="00722885">
        <w:rPr>
          <w:color w:val="000000" w:themeColor="text1"/>
          <w:sz w:val="16"/>
          <w:szCs w:val="16"/>
        </w:rPr>
        <w:softHyphen/>
        <w:t>ной авиацией. По общему мнению, требовалось штат штурмовой авиаэскадрильи увеличить до 12 самолетов (3 звена по 4 машины, 1 самолет у командира эскадрильи и один - у штурмана эскадрильи), а штат полков - до 45 Ил-2, одного Ил-2У и одного самолета связи. В этом случае авиаэскадрильи из 14 самолетов в ос</w:t>
      </w:r>
      <w:r w:rsidRPr="00722885">
        <w:rPr>
          <w:color w:val="000000" w:themeColor="text1"/>
          <w:sz w:val="16"/>
          <w:szCs w:val="16"/>
        </w:rPr>
        <w:softHyphen/>
        <w:t>новном будут работать восьмерками. Кроме того, два командирских Ил-2 яв</w:t>
      </w:r>
      <w:r w:rsidRPr="00722885">
        <w:rPr>
          <w:color w:val="000000" w:themeColor="text1"/>
          <w:sz w:val="16"/>
          <w:szCs w:val="16"/>
        </w:rPr>
        <w:softHyphen/>
        <w:t>лялись как бы резервными, что позволя</w:t>
      </w:r>
      <w:r w:rsidRPr="00722885">
        <w:rPr>
          <w:color w:val="000000" w:themeColor="text1"/>
          <w:sz w:val="16"/>
          <w:szCs w:val="16"/>
        </w:rPr>
        <w:softHyphen/>
        <w:t>ло командиру эскадрильи продолжи</w:t>
      </w:r>
      <w:r w:rsidRPr="00722885">
        <w:rPr>
          <w:color w:val="000000" w:themeColor="text1"/>
          <w:sz w:val="16"/>
          <w:szCs w:val="16"/>
        </w:rPr>
        <w:softHyphen/>
        <w:t>тельное время строить боевые порядки эскадрильи в зависимости от задачи и обстановки. На 40-самолетный состав штурмовых авиаполков ВВС КА перешли только в 1944 г...(6467).</w:t>
      </w:r>
    </w:p>
    <w:p w14:paraId="45831CED" w14:textId="77777777" w:rsidR="00AE7191" w:rsidRPr="00722885" w:rsidRDefault="00AE7191" w:rsidP="00722885">
      <w:pPr>
        <w:pStyle w:val="Iauiue"/>
        <w:jc w:val="both"/>
        <w:rPr>
          <w:color w:val="000000" w:themeColor="text1"/>
          <w:sz w:val="16"/>
          <w:szCs w:val="16"/>
        </w:rPr>
      </w:pPr>
    </w:p>
    <w:p w14:paraId="51F98D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26 августа 1942 приказом ГКО началось формирование авиакорпусов РВГК. Первые четыре истребительных сформировали к концу 1942, а всего - 13, в т.ч. 3 ШАК и 3 БАК, а также 3 смешанных. АК включали более двух дивизий и имели от 120 до 270 самолетов (340,82).</w:t>
      </w:r>
    </w:p>
    <w:p w14:paraId="6DBA6785" w14:textId="77777777" w:rsidR="00AE7191" w:rsidRPr="00722885" w:rsidRDefault="00AE7191" w:rsidP="00722885">
      <w:pPr>
        <w:pStyle w:val="Iauiue"/>
        <w:jc w:val="both"/>
        <w:rPr>
          <w:color w:val="000000" w:themeColor="text1"/>
          <w:sz w:val="16"/>
          <w:szCs w:val="16"/>
        </w:rPr>
      </w:pPr>
    </w:p>
    <w:p w14:paraId="23224EF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г. приказом Наркома Обороны после накопления необходимого количества боевых машин в неприкосновенном фонде Главного командования под руководством Военного Совета ВВС КА началось формирование авиационных корпусов (истребительных, штурмовых и бомбардировочных) Резерва ВГК. Авиакорпуса состояли из двух или более авиадивизий и имели в своем составе от 120 до 270 самолетов. Вооружались авиакорпуса РВГК только новыми типами самолетов. Вначале создавались как однородные, так и смешанные корпуса (одна-две шад или бад и одна-две иад). Однако позднее смешанные авиакорпуса, как себя не оправдавшие, были заменены на однородные. Одновременно с этим происходило переформирование в однородные смешанных авиадивизий и авиаполков.</w:t>
      </w:r>
    </w:p>
    <w:p w14:paraId="763BC7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Штурмовая авиадивизия теперь стала состоять (штат 015/145) из трех штурмовых авиаполков и одной отдельной штрафной штурмовой авиаэскадрильи.</w:t>
      </w:r>
    </w:p>
    <w:p w14:paraId="6E5C74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Штурмовые авиаполки с 20-самолет-ного состава переводились на 32-само-летный состав (штат 015/282 - 3 эскадрильи, 32 пилота): по 10 самолетов в каждой эскадрилье и две машины в управлении полка (самолеты командира и штурмана полка).</w:t>
      </w:r>
    </w:p>
    <w:p w14:paraId="6BEC8A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Несмотря на увеличение численного состава штурмовых авиаполков, новые штаты штурмовых авиаполков оставались недостаточными и не отвечали требованиям войны. Боевой опыт показал, что эскадрилья из 10 самолетов уже на 3-4 день боев из-за потерь "выдыхалась" и обычно могла работать только шестеркой, что не позволяло комсоставу полков должным образом организовывать борьбу с ПВО противника, а также с его истребительной авиацией...</w:t>
      </w:r>
    </w:p>
    <w:p w14:paraId="6C8BA8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общему мнению, требовалось штат штурмовой авиаэскадрильи увеличить до 12 самолетов (3 звена по 4 машины, 1 самолет у командира эскадрильи и один - у штурмана эскадрильи), а штат полков - до 45 Ил-2, одного Ил-2У и одного самолета связи. В этом случае авиаэскадрильи из 14 самолетов в основном работали бы восьмерками. Кроме того, два командирских Ил-2 являлись как бы резервными, что позволяло командиру эскадрильи продолжительное время строить боевые порядки эскадрильи в зависимости от задачи и обстановки. На 40-самолетный состав штурмовых авиаполков ВВС КА перешли только в 1944 г. Отметим, что ВВС КА завершили войну примерно с такой же оргштатной структурой авиаполков, с которой люфтваффе начинали войну...(8687).</w:t>
      </w:r>
    </w:p>
    <w:p w14:paraId="44CB09CA" w14:textId="77777777" w:rsidR="00AE7191" w:rsidRPr="00722885" w:rsidRDefault="00AE7191" w:rsidP="00722885">
      <w:pPr>
        <w:pStyle w:val="Iauiue"/>
        <w:jc w:val="both"/>
        <w:rPr>
          <w:color w:val="000000" w:themeColor="text1"/>
          <w:sz w:val="16"/>
          <w:szCs w:val="16"/>
        </w:rPr>
      </w:pPr>
    </w:p>
    <w:p w14:paraId="3C43708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августа 1942 Ил-4 появились над Берлином. На город полетели бомбы с надписями: «Срочно. Бер</w:t>
      </w:r>
      <w:r w:rsidRPr="00722885">
        <w:rPr>
          <w:rFonts w:ascii="Times New Roman" w:hAnsi="Times New Roman"/>
          <w:color w:val="000000" w:themeColor="text1"/>
          <w:sz w:val="16"/>
          <w:szCs w:val="16"/>
        </w:rPr>
        <w:softHyphen/>
        <w:t>лин, Гитлеру!», «Кровопийце Адольфу от гвардейцев» и другими (10734,71).</w:t>
      </w:r>
    </w:p>
    <w:p w14:paraId="02401B2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05F28B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августа 1942 над Берлином появились советские бомбардировщики. На город полетели бомбы с надписями: "Срочно. Берлин, Гитлеру!", "Кровопийце Адольфу от гвардейцев" и другими. 14 сентября организовали налеты на объекты в Румынии, в которых участвовали полки 3-й, 17-й и 45-й дивизий. Бомбили Бухарест, Плоешти с его нефтеперегонными заводами и порт Галац на Дунае.</w:t>
      </w:r>
    </w:p>
    <w:p w14:paraId="0DA919F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таких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ДБ-ЗФ и продолжавшая ухудшаться после перехода к экипажу из четырех человек и установки дополнительного оборудования, не давали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(гидравлика pea- Штурман гировала слишком медленно). Иногда на по- в кабине Ил-4 мощь пилоту подключался штурман, вставлявший в гнездо съемную ручку управления и дававший командиру немного отдохнуть.</w:t>
      </w:r>
    </w:p>
    <w:p w14:paraId="2B561F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Можно привести мнение дважды Героя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А вот что писал летавший в ту пору на Ил-4 В. В. Решетников: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Группа Ил-4 многочасовых полетах выматывала пилотов на полевом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бомбардировщиков (12021).</w:t>
      </w:r>
    </w:p>
    <w:p w14:paraId="220FCE9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375A17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26 августа по 5 сентября 1942 девять МБР-2 перелетели на новоземельские аэродромы, начав постоянные разведывательные полёты в Карском море, там, где раньше летала только полярная авиация. Но, тем не менее, МБР-2 не нашли широкого применения в Арктике, прежде всего, из-за малой дальности и продолжительности полёта. События лета 1942 г. (активизация немецких подводных лодок у Новой Земли и прорыв "карманного линкора" "Адмирал Шеер" в Карское море) заставили командование флота сформировать Новоземельскую ВМБ и 3-ю авиагруппу, основу которой составили 17 МБР-2. Кроме того, в состав Беломорской флотилии вошёл 22-й разведывательный полк, переброшенный на Север с Каспия и имевший в своём составе 32 МБР-2 (12003).</w:t>
      </w:r>
    </w:p>
    <w:p w14:paraId="62C042E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4D438C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26 августа 1942 генерал Г. Жуков назначен заместителем Верховного главнокомандующего (4962).</w:t>
      </w:r>
    </w:p>
    <w:p w14:paraId="5C9299A8" w14:textId="77777777" w:rsidR="00AE7191" w:rsidRPr="00722885" w:rsidRDefault="00AE7191" w:rsidP="00722885">
      <w:pPr>
        <w:pStyle w:val="Iauiue"/>
        <w:tabs>
          <w:tab w:val="left" w:pos="11199"/>
        </w:tabs>
        <w:jc w:val="both"/>
        <w:rPr>
          <w:color w:val="000000" w:themeColor="text1"/>
          <w:sz w:val="16"/>
          <w:szCs w:val="16"/>
        </w:rPr>
      </w:pPr>
    </w:p>
    <w:p w14:paraId="7F1DB5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И.В.С. назначил Г.К.Ж. своим заместителем в качестве Главнокомандующего (1348,122).</w:t>
      </w:r>
    </w:p>
    <w:p w14:paraId="31D41EF0" w14:textId="77777777" w:rsidR="00AE7191" w:rsidRPr="00722885" w:rsidRDefault="00AE7191" w:rsidP="00722885">
      <w:pPr>
        <w:pStyle w:val="Iauiue"/>
        <w:jc w:val="both"/>
        <w:rPr>
          <w:color w:val="000000" w:themeColor="text1"/>
          <w:sz w:val="16"/>
          <w:szCs w:val="16"/>
        </w:rPr>
      </w:pPr>
    </w:p>
    <w:p w14:paraId="31B3B02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578E51D" w14:textId="77777777" w:rsidR="00AE7191" w:rsidRPr="00722885" w:rsidRDefault="00AE7191" w:rsidP="00722885">
      <w:pPr>
        <w:pStyle w:val="Iauiue"/>
        <w:jc w:val="both"/>
        <w:rPr>
          <w:iCs/>
          <w:color w:val="000000" w:themeColor="text1"/>
          <w:sz w:val="16"/>
          <w:szCs w:val="16"/>
        </w:rPr>
      </w:pPr>
    </w:p>
    <w:p w14:paraId="50698ED1"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ходе налета в ночь с 26 на 27 августа 1942 бомбы упали на район Берлина Далем. Кроме того, бомбардировке подверглись Штеттин, Кенигсберг и Данциг (22728).</w:t>
      </w:r>
    </w:p>
    <w:p w14:paraId="7C98BED7" w14:textId="77777777" w:rsidR="00504B90" w:rsidRPr="00722885" w:rsidRDefault="00504B90" w:rsidP="00722885">
      <w:pPr>
        <w:spacing w:after="0" w:line="240" w:lineRule="auto"/>
        <w:jc w:val="both"/>
        <w:rPr>
          <w:rFonts w:ascii="Times New Roman" w:hAnsi="Times New Roman"/>
          <w:color w:val="0070C0"/>
          <w:sz w:val="16"/>
          <w:szCs w:val="16"/>
        </w:rPr>
      </w:pPr>
    </w:p>
    <w:p w14:paraId="0ADE32EC"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26 августа 1942 Адольф Гитлер заказывает переделку тяжелого крейсера «Зейдлиц» в авианосец (20793).</w:t>
      </w:r>
    </w:p>
    <w:p w14:paraId="0954421B" w14:textId="77777777" w:rsidR="00504B90" w:rsidRPr="00722885" w:rsidRDefault="00504B90" w:rsidP="00722885">
      <w:pPr>
        <w:spacing w:after="0" w:line="240" w:lineRule="auto"/>
        <w:jc w:val="both"/>
        <w:rPr>
          <w:rFonts w:ascii="Times New Roman" w:hAnsi="Times New Roman"/>
          <w:color w:val="0070C0"/>
          <w:sz w:val="16"/>
          <w:szCs w:val="16"/>
        </w:rPr>
      </w:pPr>
    </w:p>
    <w:p w14:paraId="19FA5E6E" w14:textId="77777777" w:rsidR="00885B41" w:rsidRPr="00722885" w:rsidRDefault="00885B41" w:rsidP="00722885">
      <w:pPr>
        <w:pStyle w:val="book"/>
        <w:ind w:firstLine="0"/>
        <w:jc w:val="both"/>
        <w:rPr>
          <w:color w:val="000000" w:themeColor="text1"/>
          <w:sz w:val="16"/>
          <w:szCs w:val="16"/>
        </w:rPr>
      </w:pPr>
      <w:r w:rsidRPr="00722885">
        <w:rPr>
          <w:color w:val="000000" w:themeColor="text1"/>
          <w:sz w:val="16"/>
          <w:szCs w:val="16"/>
        </w:rPr>
        <w:t>26 августа 1942 г. Гитлер принимает решение переделать тяжелый крейсер «Зейдлиц» в авианосец. В январе 1943 г. «Зейдлиц» был отбуксирован на верфь «Шихау» в Кенигсберг для достройки в качестве авианосца. Но переделка, видимо, так и не началась, поскольку Гитлер в том же январе 1943 г. отдал приказ о прекращении строительства авианосцев. 9 апреля 1945 г. «Зейдлиц» был поврежден у стенки завода советской авиацией и на следующий день там же затоплен экипажем. В 1946 г. крейсер был поднят аварийно-спасательной службой Юго-Балтийского флота, отбуксирован в Ленинград и 10 марта 1947 г. зачислен в состав ВМФ СССР, но ввиду невозможности достройки 9 апреля 1947 г. исключен из списков судов ВМФ. Разобрали же его лишь в начале 1950-х годов. Было разработано несколько проектов восстановления «Зейдлица». В 1951 г. был представлен проект создания из двух крейсеров — «Таллина» (бывшего «Лютцова») и «Зейдлица» — одного учебного крейсера с вооружением: 12—152-мм, 8—130-мм, 32— 45-мм и 24—25-мм орудий и двумя 53-см торпедными аппаратами. Однако стоимость постройки такого крейсера оказалась больше, чем запланированная сумма на строительство крейсера проекта 68бис, и от этой затеи отказались (15225).</w:t>
      </w:r>
    </w:p>
    <w:p w14:paraId="35057415" w14:textId="77777777" w:rsidR="00885B41" w:rsidRPr="00722885" w:rsidRDefault="00885B41" w:rsidP="00722885">
      <w:pPr>
        <w:pStyle w:val="book"/>
        <w:ind w:firstLine="0"/>
        <w:jc w:val="both"/>
        <w:rPr>
          <w:color w:val="000000" w:themeColor="text1"/>
          <w:sz w:val="16"/>
          <w:szCs w:val="16"/>
        </w:rPr>
      </w:pPr>
    </w:p>
    <w:p w14:paraId="2D43267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26 августа 1942 после 19-месячного запрета возобновился выход газеты английских коммунистов “Дейли Уоркер” (4962).</w:t>
      </w:r>
    </w:p>
    <w:p w14:paraId="04277F19" w14:textId="77777777" w:rsidR="00AE7191" w:rsidRPr="00722885" w:rsidRDefault="00AE7191" w:rsidP="00722885">
      <w:pPr>
        <w:pStyle w:val="Iauiue"/>
        <w:tabs>
          <w:tab w:val="left" w:pos="11199"/>
        </w:tabs>
        <w:jc w:val="both"/>
        <w:rPr>
          <w:color w:val="000000" w:themeColor="text1"/>
          <w:sz w:val="16"/>
          <w:szCs w:val="16"/>
        </w:rPr>
      </w:pPr>
    </w:p>
    <w:p w14:paraId="7A4389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 августа 1942 японцы высадились на Milne Bay, который защищали австралийцы (2261).</w:t>
      </w:r>
    </w:p>
    <w:p w14:paraId="0C07350F" w14:textId="77777777" w:rsidR="00AE7191" w:rsidRPr="00722885" w:rsidRDefault="00AE7191" w:rsidP="00722885">
      <w:pPr>
        <w:pStyle w:val="Iauiue"/>
        <w:jc w:val="both"/>
        <w:rPr>
          <w:color w:val="000000" w:themeColor="text1"/>
          <w:sz w:val="16"/>
          <w:szCs w:val="16"/>
        </w:rPr>
      </w:pPr>
    </w:p>
    <w:p w14:paraId="0B8B326E"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61A5F5A" w14:textId="77777777" w:rsidR="00AE7191" w:rsidRPr="00722885" w:rsidRDefault="00AE7191" w:rsidP="00722885">
      <w:pPr>
        <w:pStyle w:val="Iauiue"/>
        <w:jc w:val="both"/>
        <w:rPr>
          <w:iCs/>
          <w:color w:val="000000" w:themeColor="text1"/>
          <w:sz w:val="16"/>
          <w:szCs w:val="16"/>
        </w:rPr>
      </w:pPr>
    </w:p>
    <w:p w14:paraId="6CC905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августа 1942 закончились совместные испытания Ла завода 31, которые начались 1 августа 1942 (708).</w:t>
      </w:r>
    </w:p>
    <w:p w14:paraId="76D7233F" w14:textId="77777777" w:rsidR="00AE7191" w:rsidRPr="00722885" w:rsidRDefault="00AE7191" w:rsidP="00722885">
      <w:pPr>
        <w:pStyle w:val="Iauiue"/>
        <w:jc w:val="both"/>
        <w:rPr>
          <w:color w:val="000000" w:themeColor="text1"/>
          <w:sz w:val="16"/>
          <w:szCs w:val="16"/>
        </w:rPr>
      </w:pPr>
    </w:p>
    <w:p w14:paraId="36701A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августа 1942 было закончено проектирование Як-7Р с двумя ДМ-4С И.А.Меркулова и Д-1А Л.С.Душкина. М-105ПА должен был быть убран, но два УБС оставили. Проект не был реализован из-за отсутствия надежных ПВРД (65,103).</w:t>
      </w:r>
    </w:p>
    <w:p w14:paraId="05BF2320" w14:textId="77777777" w:rsidR="00AE7191" w:rsidRPr="00722885" w:rsidRDefault="00AE7191" w:rsidP="00722885">
      <w:pPr>
        <w:pStyle w:val="Iauiue"/>
        <w:jc w:val="both"/>
        <w:rPr>
          <w:color w:val="000000" w:themeColor="text1"/>
          <w:sz w:val="16"/>
          <w:szCs w:val="16"/>
        </w:rPr>
      </w:pPr>
    </w:p>
    <w:p w14:paraId="5803664F"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27 августа 1942 г. на Сталинградском фронте у второй линии советских окопов сел подбитый немецкий истребитель. Это оказался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 xml:space="preserve">-2 с мотором </w:t>
      </w:r>
      <w:r w:rsidRPr="00722885">
        <w:rPr>
          <w:rFonts w:ascii="Times New Roman" w:hAnsi="Times New Roman"/>
          <w:color w:val="0070C0"/>
          <w:sz w:val="16"/>
          <w:szCs w:val="16"/>
          <w:lang w:val="en-US"/>
        </w:rPr>
        <w:t>DB</w:t>
      </w:r>
      <w:r w:rsidRPr="00722885">
        <w:rPr>
          <w:rFonts w:ascii="Times New Roman" w:hAnsi="Times New Roman"/>
          <w:color w:val="0070C0"/>
          <w:sz w:val="16"/>
          <w:szCs w:val="16"/>
        </w:rPr>
        <w:t xml:space="preserve"> 605</w:t>
      </w:r>
      <w:r w:rsidRPr="00722885">
        <w:rPr>
          <w:rFonts w:ascii="Times New Roman" w:hAnsi="Times New Roman"/>
          <w:color w:val="0070C0"/>
          <w:sz w:val="16"/>
          <w:szCs w:val="16"/>
          <w:lang w:val="en-US"/>
        </w:rPr>
        <w:t>A</w:t>
      </w:r>
      <w:r w:rsidRPr="00722885">
        <w:rPr>
          <w:rFonts w:ascii="Times New Roman" w:hAnsi="Times New Roman"/>
          <w:color w:val="0070C0"/>
          <w:sz w:val="16"/>
          <w:szCs w:val="16"/>
        </w:rPr>
        <w:t xml:space="preserve">. Пилота обер-лейтенанта О. Декера из группы </w:t>
      </w:r>
      <w:r w:rsidRPr="00722885">
        <w:rPr>
          <w:rFonts w:ascii="Times New Roman" w:hAnsi="Times New Roman"/>
          <w:color w:val="0070C0"/>
          <w:sz w:val="16"/>
          <w:szCs w:val="16"/>
          <w:lang w:val="en-US"/>
        </w:rPr>
        <w:t>III</w:t>
      </w:r>
      <w:r w:rsidRPr="00722885">
        <w:rPr>
          <w:rFonts w:ascii="Times New Roman" w:hAnsi="Times New Roman"/>
          <w:color w:val="0070C0"/>
          <w:sz w:val="16"/>
          <w:szCs w:val="16"/>
        </w:rPr>
        <w:t>/</w:t>
      </w:r>
      <w:r w:rsidRPr="00722885">
        <w:rPr>
          <w:rFonts w:ascii="Times New Roman" w:hAnsi="Times New Roman"/>
          <w:color w:val="0070C0"/>
          <w:sz w:val="16"/>
          <w:szCs w:val="16"/>
          <w:lang w:val="en-US"/>
        </w:rPr>
        <w:t>JG</w:t>
      </w:r>
      <w:r w:rsidRPr="00722885">
        <w:rPr>
          <w:rFonts w:ascii="Times New Roman" w:hAnsi="Times New Roman"/>
          <w:color w:val="0070C0"/>
          <w:sz w:val="16"/>
          <w:szCs w:val="16"/>
        </w:rPr>
        <w:t xml:space="preserve"> 52 взяли в плен. Эту машину осмотрели, но вывезти не смогли. Зато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 xml:space="preserve">-2 из группы </w:t>
      </w:r>
      <w:r w:rsidRPr="00722885">
        <w:rPr>
          <w:rFonts w:ascii="Times New Roman" w:hAnsi="Times New Roman"/>
          <w:color w:val="0070C0"/>
          <w:sz w:val="16"/>
          <w:szCs w:val="16"/>
          <w:lang w:val="en-US"/>
        </w:rPr>
        <w:t>III</w:t>
      </w:r>
      <w:r w:rsidRPr="00722885">
        <w:rPr>
          <w:rFonts w:ascii="Times New Roman" w:hAnsi="Times New Roman"/>
          <w:color w:val="0070C0"/>
          <w:sz w:val="16"/>
          <w:szCs w:val="16"/>
        </w:rPr>
        <w:t>/</w:t>
      </w:r>
      <w:r w:rsidRPr="00722885">
        <w:rPr>
          <w:rFonts w:ascii="Times New Roman" w:hAnsi="Times New Roman"/>
          <w:color w:val="0070C0"/>
          <w:sz w:val="16"/>
          <w:szCs w:val="16"/>
          <w:lang w:val="en-US"/>
        </w:rPr>
        <w:t>JG</w:t>
      </w:r>
      <w:r w:rsidRPr="00722885">
        <w:rPr>
          <w:rFonts w:ascii="Times New Roman" w:hAnsi="Times New Roman"/>
          <w:color w:val="0070C0"/>
          <w:sz w:val="16"/>
          <w:szCs w:val="16"/>
        </w:rPr>
        <w:t xml:space="preserve"> 53, захваченный 8 сентября, эвакуировали в Москву. После изучения он долго стоял в выставочном зале БНТ (23186).</w:t>
      </w:r>
    </w:p>
    <w:p w14:paraId="1578D13C" w14:textId="77777777" w:rsidR="00504B90" w:rsidRPr="00722885" w:rsidRDefault="00504B90" w:rsidP="00722885">
      <w:pPr>
        <w:spacing w:after="0" w:line="240" w:lineRule="auto"/>
        <w:jc w:val="both"/>
        <w:rPr>
          <w:rFonts w:ascii="Times New Roman" w:hAnsi="Times New Roman"/>
          <w:color w:val="0070C0"/>
          <w:sz w:val="16"/>
          <w:szCs w:val="16"/>
        </w:rPr>
      </w:pPr>
    </w:p>
    <w:p w14:paraId="63FB8CDB" w14:textId="77777777" w:rsidR="00504B90" w:rsidRPr="00722885" w:rsidRDefault="00504B90" w:rsidP="00722885">
      <w:pPr>
        <w:pStyle w:val="ae"/>
        <w:spacing w:before="0" w:after="0"/>
        <w:jc w:val="both"/>
        <w:rPr>
          <w:color w:val="0070C0"/>
          <w:sz w:val="16"/>
          <w:szCs w:val="16"/>
        </w:rPr>
      </w:pPr>
      <w:r w:rsidRPr="00722885">
        <w:rPr>
          <w:color w:val="0070C0"/>
          <w:sz w:val="16"/>
          <w:szCs w:val="16"/>
        </w:rPr>
        <w:t>27 августа 1942 года приказом НКАП летчиком-испытателем «Омеги» назначили инженера ЛИИ Д.И. Савельева. Обычно между приказом и первым вылетом имелся небольшой интервал. Но на этот раз все было иначе, и первый подъем в воздух состоялся много позже. Эвакуация в Алма-Ату задержала первый вылет «Омеги» почти на два года (20260).</w:t>
      </w:r>
    </w:p>
    <w:p w14:paraId="4457AA2A" w14:textId="77777777" w:rsidR="00504B90" w:rsidRPr="00722885" w:rsidRDefault="00504B90" w:rsidP="00722885">
      <w:pPr>
        <w:pStyle w:val="ae"/>
        <w:spacing w:before="0" w:after="0"/>
        <w:jc w:val="both"/>
        <w:rPr>
          <w:color w:val="0070C0"/>
          <w:sz w:val="16"/>
          <w:szCs w:val="16"/>
        </w:rPr>
      </w:pPr>
    </w:p>
    <w:p w14:paraId="10B34145"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7DBA1D9" w14:textId="77777777" w:rsidR="00AE7191" w:rsidRPr="00722885" w:rsidRDefault="00AE7191" w:rsidP="00722885">
      <w:pPr>
        <w:pStyle w:val="Iauiue"/>
        <w:jc w:val="both"/>
        <w:rPr>
          <w:iCs/>
          <w:color w:val="000000" w:themeColor="text1"/>
          <w:sz w:val="16"/>
          <w:szCs w:val="16"/>
        </w:rPr>
      </w:pPr>
    </w:p>
    <w:p w14:paraId="4FDCDA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27 августа 1942 директор з-да 183 Максарев, ГК Морозов и Военпред Приземнов писали письмо № 3615а Нач. БТУ КА и-п Афонину (Москва, КП, 2-1 НКО) и НКТП Зальцману (Москва, Садово-Сухаревская, 11):</w:t>
      </w:r>
    </w:p>
    <w:p w14:paraId="66CA48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вопросу: Проектирования модернизированного танка Т-43 (б Т-34М) и устранения конструктивных недостатков танка Т-34.</w:t>
      </w:r>
    </w:p>
    <w:p w14:paraId="794549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 исполнение распоряжения о скорейшем утранении недостатков и упрощения конструкции деталей и узлов танка Т-34, имеем сообщить следующее:</w:t>
      </w:r>
    </w:p>
    <w:p w14:paraId="723114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Работы по новому танку Т-43 (б Т-34М) продолжаются в соответствии с утвержденным планом.</w:t>
      </w:r>
    </w:p>
    <w:p w14:paraId="5FDE47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Трехместная башня новой конструкции первого образца в настоящее время уже испытывается на танке Т-34.</w:t>
      </w:r>
    </w:p>
    <w:p w14:paraId="6D7829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КПП новой конструкции с постоянным зацеплением шестерен и пятью ступенями испытана на Т-34С и полностью себя оправдала. Достигнута скорость движения 54.5 км/час. Выявленные недостатки устраняются.</w:t>
      </w:r>
    </w:p>
    <w:p w14:paraId="35CAC46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Ваше требование о скорейшем внедрении конструкторских работ в серийное пр-во Т-34 для устранения его основных недостатков, немедленно выполняется. В настоящее время, не дожидаясь окончания работ с Т-43, мы рассматриваем возможность освоения серийного выпуска Т-34С, укомплектованных трехместной башней, которая испытывается в настоящее время...</w:t>
      </w:r>
    </w:p>
    <w:p w14:paraId="3EDDEC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Увеличение толщины брони Т-34С до 60 мм можно будет провести путем использования дополнительного бронирования...таким образом при благополучных результатах испытаний Т-34С, оборудованного трехместной башней, в 4 кв. с.г. завод может начать переход на выпуск таких танков переходной конструкции, по основным параметрам приближающихся к утвержденным характеристикам нового Т-43 (б Т-34М)....</w:t>
      </w:r>
    </w:p>
    <w:p w14:paraId="62C4DE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Просим ваших указанийо проведении работ по укомплектованию Т-34С трехместной башней, включение его в программу испытаний и подготовке его производства в установленном порядке (7518, 37).</w:t>
      </w:r>
    </w:p>
    <w:p w14:paraId="35A17570" w14:textId="77777777" w:rsidR="00AE7191" w:rsidRPr="00722885" w:rsidRDefault="00AE7191" w:rsidP="00722885">
      <w:pPr>
        <w:pStyle w:val="Iauiue"/>
        <w:jc w:val="both"/>
        <w:rPr>
          <w:color w:val="000000" w:themeColor="text1"/>
          <w:sz w:val="16"/>
          <w:szCs w:val="16"/>
        </w:rPr>
      </w:pPr>
    </w:p>
    <w:p w14:paraId="0E232A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августа 1942 года была подготовлена справка:</w:t>
      </w:r>
    </w:p>
    <w:p w14:paraId="762D972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завод № 354 эвакуированы рабочие из Ленинграда и Харькова (9265).</w:t>
      </w:r>
    </w:p>
    <w:p w14:paraId="4E0D3C44" w14:textId="77777777" w:rsidR="00AE7191" w:rsidRPr="00722885" w:rsidRDefault="00AE7191" w:rsidP="00722885">
      <w:pPr>
        <w:pStyle w:val="Iauiue"/>
        <w:jc w:val="both"/>
        <w:rPr>
          <w:color w:val="000000" w:themeColor="text1"/>
          <w:sz w:val="16"/>
          <w:szCs w:val="16"/>
        </w:rPr>
      </w:pPr>
    </w:p>
    <w:p w14:paraId="6CCDC90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DA6FB73" w14:textId="77777777" w:rsidR="00AE7191" w:rsidRPr="00722885" w:rsidRDefault="00AE7191" w:rsidP="00722885">
      <w:pPr>
        <w:pStyle w:val="Iauiue"/>
        <w:jc w:val="both"/>
        <w:rPr>
          <w:iCs/>
          <w:color w:val="000000" w:themeColor="text1"/>
          <w:sz w:val="16"/>
          <w:szCs w:val="16"/>
        </w:rPr>
      </w:pPr>
    </w:p>
    <w:p w14:paraId="7A092AD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августа в 1942 года утреннее сообщение Совинформбюро:</w:t>
      </w:r>
    </w:p>
    <w:p w14:paraId="4CBD5F8F"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27 августа наши войска вели бои с противником на Западном и Калининском фронтах, в районах Клетская, северо-западнее Сталинграда, северо-восточнее Котельниково, а также в районах Прохладный, Моздок и южнее Краснодара.</w:t>
      </w:r>
    </w:p>
    <w:p w14:paraId="1807C8B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7DAAFCAC"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наши войска продолжали вести наступательные бои и заняли ряд населённых пунктов. Н-ское соединение в результате упорных боёв овладело укреплённым рубежом противника. Захвачены у немцев 30 орудий, 42 пулемёта, 12 миномётов, 2 бронемашины, 500 винтовок и другие трофеи. На поле боя остались сотни вражеских трупов. На другом участке наши бойцы уничтожили 3 тяжёлых немецких танка и до 400 солдат и офицеров противника. Захвачены трофеи и пленные. Советские лётчики в воздушных боях сбили 5 немецких самолётов.</w:t>
      </w:r>
    </w:p>
    <w:p w14:paraId="23AC528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северо-западнее Сталинграда наши войска вели напряжённые бои с крупными силами противника. На одном участке немцы после артиллерийской подготовки и бомбёжки с воздуха бросили в атаку значительную группу танков. Наши артиллеристы с открытых позиций расстреливали вражеские машины и вывели из строя 18 немецких танков. Нескольким танкам противника удалось прорваться в глубину нашей обороны, но они были там уничтожены гранатами и бутылками с зажигательной жидкостью.</w:t>
      </w:r>
    </w:p>
    <w:p w14:paraId="24E73BF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танки и пехота противника пытались продвинуться вперёд, но были отброшены мощным артиллерийским огнём. Одна наша кавалерийская часть проникла в тыл противника и нанесла немцам значительный урон.</w:t>
      </w:r>
    </w:p>
    <w:p w14:paraId="55F3752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продолжались упорные бои. На участке Н-ского соединения немцы пытались овладеть выгодной высотой. Наши артиллеристы огневым налётом расстроили боевые порядки гитлеровцев. Тогда наши бойцы перешли в контратаку и в рукопашной схватке истребили более 100 солдат и офицеров противника.</w:t>
      </w:r>
    </w:p>
    <w:p w14:paraId="77E2228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продолжались ожесточённые бои за переправы через водный рубеж. Ударом с воздуха и огнём тяжёлых миномётов разрушены две переправы, наведённые немцами, и рассеяно скопление танков и автомашин неприятеля.</w:t>
      </w:r>
    </w:p>
    <w:p w14:paraId="395341D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оборонительные бои с танками и мотопехотой противника.</w:t>
      </w:r>
    </w:p>
    <w:p w14:paraId="4A1213A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брянских партизан под командованием тов. О. пустила под откос железнодорожный эшелон из 40 платформ с танками и автомашинами противника.</w:t>
      </w:r>
    </w:p>
    <w:p w14:paraId="32889DC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Орловские партизаны захватили приказ по штабу 47 венгерского королевского гонведского полка. В четвёртом пункте этого приказа сообщается, что в селе Марановка партизанами убиты полковник и три офицера. Далее в приказе говорится, что солдаты второй роты 3 батальона, конвоировавшие русских военнопленных, подверглись нападению партизан. Партизаны перебили конвой, забрали оружие, освободили пленных и скрылись.</w:t>
      </w:r>
    </w:p>
    <w:p w14:paraId="3E197FEF"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256 полка 112 немецкой пехотной дивизии Якоб Клеменс рассказал: «Немецкая армия производит колоссальные опустошения в захваченных ею районах. На оккупированной территории всюду бродят голодные русские люди. В Орле жители буквально умирают с голоду. В селе Ново-Никольском мы проходили военное обучение. Когда мы жаловались на плохое питание, офицеры нам указывали: «Вы здесь полные хозяева, идите в любой дом и берите всё, что вам угодно». Офицеры неоднократно инструктировали, что солдат имеет право расстрелять любого русского, будь то мужчина или женщина. Для этого достаточно только назвать его партизаном, партизанкой или помощником партизан. Под этим предлогом были расстреляны сотни русских жителей».</w:t>
      </w:r>
    </w:p>
    <w:p w14:paraId="734DC6D8"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многих городах Франции состоялись антигерманские демонстрации. В Бове, Руане и Валансьенне сотни женщин вышли на улицу и потребовали немедленного возвращения на родину всех французских военнопленных. В Секлэне демонстрация женщин окончилась столкновением с эсэсовцами. В Париже состоялся митинг студентов, на котором они призывали интеллигенцию бороться за освобождение Франции от немецких оккупантов.»</w:t>
      </w:r>
      <w:r w:rsidRPr="00722885">
        <w:rPr>
          <w:rStyle w:val="ucoz-forum-post"/>
          <w:rFonts w:ascii="Times New Roman" w:eastAsia="Times New Roman" w:hAnsi="Times New Roman"/>
          <w:color w:val="000000" w:themeColor="text1"/>
          <w:sz w:val="16"/>
          <w:szCs w:val="16"/>
        </w:rPr>
        <w:t xml:space="preserve"> (14751).</w:t>
      </w:r>
    </w:p>
    <w:p w14:paraId="09D23034"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5F8FE560"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августа в 1942 года вечернее сообщение Совинформбюро:</w:t>
      </w:r>
    </w:p>
    <w:p w14:paraId="2E5F6D57"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27 августа наши войска вели бои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1DF277CD"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79EABB1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26 августа частями нашей авиации на различных участках фронта уничтожено или повреждено до 20 немецких танков, более 150 автомашин с войсками и грузами,10 автоцистерн с горючим, подавлен огонь 12 батарей полевой и зенитной артиллерии, взорваны склад боеприпасов и 2 склада горючего, рассеяно и частью уничтожено до батальона пехоты противника.</w:t>
      </w:r>
    </w:p>
    <w:p w14:paraId="3D18C729"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наши войска вели бои и заняли несколько населённых пунктов. Бойцы Н-ской части ворвались в сильно укреплённый противником населённый пункт. В боях на этом участке подбито 26 немецких танков и уничтожено до 200 солдат и офицеров противника. Наши части очистили от противника крупный лесной массив. Немцы оставили в лесу большое количество трупов своих солдат и офицеров, много ручного оружия, подбитых и сгоревших танков. В воздушных боях наши лётчики сбили 6 немецких самолётов.</w:t>
      </w:r>
    </w:p>
    <w:p w14:paraId="7A9D4D54"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северо-западнее Сталинграда наши войска вели контратаки против немецко-фашистских войск. Противник в результате упорного сопротивления наших частей несёт огромные потери. Гитлеровцы вводят в бой новые массы танков и пехоты. На участке Н-ской части врагу удалось продвинуться и создать угрозу флангового удара. Наши бойцы перешли в контратаку и восстановили положение. Уничтожено 11 танков и до двух рот немецкой пехоты. На другом участке наши танкисты и пехотинцы отбили десять ожесточённых атак противника и уничтожили 13 танков и до двух батальонов немецкой пехоты.</w:t>
      </w:r>
    </w:p>
    <w:p w14:paraId="7FAC7CC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части вели активные боевые действия. В течение двух дней нашими бойцами захвачено у немцев 18 орудий, 122 пулемёта, 30 автомашин и другое военное имущество.</w:t>
      </w:r>
    </w:p>
    <w:p w14:paraId="173B1863"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Взяты пленные.</w:t>
      </w:r>
    </w:p>
    <w:p w14:paraId="512355D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артиллеристы отразили две танковые атаки противника и уничтожили 3 тяжёлых и 5 средних немецких танков. Н-ская часть, оборонявшая один населённый пункт, в ожесточённом бою спротивником уничтожила 4 танка и истребила более 100 гитлеровцев.</w:t>
      </w:r>
    </w:p>
    <w:p w14:paraId="53A03A8C"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наши войска вели оборонительные бои с численно превосходящими силами противника. Ожесточённые бои развернулись за одну важную высоту, которая несколько раз переходила из рук в руки. К исходу дня Н-ская часть закрепилась на этой высоте и отбила все атаки противника. Уничтожено 3 немецких танка, 3 самоходных орудия и более роты пехоты противника.</w:t>
      </w:r>
    </w:p>
    <w:p w14:paraId="44F2DDDB"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наши части после упорных боёв отошли на новые позиции.</w:t>
      </w:r>
    </w:p>
    <w:p w14:paraId="343601F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в населённом пункте на западном берегу Дона, продолжаются уличные бои. За последние дни в боях за этот населённый пункт неприятель потерял только убитыми до 800 солдат и офицеров.</w:t>
      </w:r>
    </w:p>
    <w:p w14:paraId="16F6075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Б., действующий в одном из районов Могилёвской области, за первую половину августа истребил 86 немецко-фашистских оккупантов. За это же время партизаны пустили под откос железнодорожный эшелон противника. В результате крушения уничтожено 14 орудий, 9 автомашин и около 80 бочек с горючим.</w:t>
      </w:r>
    </w:p>
    <w:p w14:paraId="77839D2B"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занятых немцами районах Украины свирепствуют голод и эпидемии. Немцы, румыны, итальянцы, венгры разгромили лечебные учреждения, больницы и аптеки. Врачам запрещено оказывать советским гражданам медицинскую помощь. В деревне Шаровка, Каменец-Подольской области, от различных заразных болезней и голода умирают десятки крестьян. В начале августа фашистские изверги приказали старосте собрать тринадцать тифозных больных в дом колхозницы Симоненко. Палачи облили дом бензином и сожгли всех больных вместе с хозяйкой дома, её дочерью и сыном.</w:t>
      </w:r>
    </w:p>
    <w:p w14:paraId="0F31664C"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Париже французские патриоты бросили гранаты в проходивший по улице отрядэ сэсовцев. Убито 5 и ранено 9 гитлеровцев. Недалеко от Бордо неизвестные напали на помещение немецкой береговой охраны и, захватив оружие, скрылись.»</w:t>
      </w:r>
      <w:r w:rsidRPr="00722885">
        <w:rPr>
          <w:rStyle w:val="ucoz-forum-post"/>
          <w:rFonts w:ascii="Times New Roman" w:eastAsia="Times New Roman" w:hAnsi="Times New Roman"/>
          <w:color w:val="000000" w:themeColor="text1"/>
          <w:sz w:val="16"/>
          <w:szCs w:val="16"/>
        </w:rPr>
        <w:t xml:space="preserve"> (14751).</w:t>
      </w:r>
    </w:p>
    <w:p w14:paraId="752E25D5"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482623D5"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27 и 30 августа, а также 10 сентября 1942 были совершены рейды АДД на столицу фашистской Германии. Всего в них было задействовано 212 самолетов, из которых, по современным подсчетам, до цели дошли 48 машин. Фактическое число самолетов, бомбивших именно Берлин, было еще меньше (22728).</w:t>
      </w:r>
    </w:p>
    <w:p w14:paraId="7A397206" w14:textId="77777777" w:rsidR="00504B90" w:rsidRPr="00722885" w:rsidRDefault="00504B90" w:rsidP="00722885">
      <w:pPr>
        <w:spacing w:after="0" w:line="240" w:lineRule="auto"/>
        <w:jc w:val="both"/>
        <w:rPr>
          <w:rFonts w:ascii="Times New Roman" w:hAnsi="Times New Roman"/>
          <w:color w:val="0070C0"/>
          <w:sz w:val="16"/>
          <w:szCs w:val="16"/>
        </w:rPr>
      </w:pPr>
    </w:p>
    <w:p w14:paraId="066E4D60"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августа в 1942 году в ходе Синявинской операции с востока начали наступление войска ударной группировки (8-я и 2-я Ударная Армии) Волховского фронта. Целью операции был прорыв блокады Ленинграда.Начало операции совпало с подготовкой немцами последней попытки штурма Ленинграда. В жестоких встречных боях в лесах и болотах в окрестностях поселка Синявино, обе стороны утратили наступательный потенциал. Линия фронта стабилизировалась на прежнем месте. Штурм города был сорван. Попытка его деблокады -тоже</w:t>
      </w:r>
      <w:r w:rsidRPr="00722885">
        <w:rPr>
          <w:rStyle w:val="ucoz-forum-post"/>
          <w:rFonts w:ascii="Times New Roman" w:eastAsia="Times New Roman" w:hAnsi="Times New Roman"/>
          <w:color w:val="000000" w:themeColor="text1"/>
          <w:sz w:val="16"/>
          <w:szCs w:val="16"/>
        </w:rPr>
        <w:t xml:space="preserve"> (14751)</w:t>
      </w:r>
      <w:r w:rsidRPr="00722885">
        <w:rPr>
          <w:rFonts w:ascii="Times New Roman" w:hAnsi="Times New Roman"/>
          <w:color w:val="000000" w:themeColor="text1"/>
          <w:sz w:val="16"/>
          <w:szCs w:val="16"/>
        </w:rPr>
        <w:t>.</w:t>
      </w:r>
    </w:p>
    <w:p w14:paraId="509B0C0E"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672A470E"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27 августа 1942 года</w:t>
      </w:r>
      <w:r w:rsidRPr="00722885">
        <w:rPr>
          <w:rFonts w:ascii="Times New Roman" w:hAnsi="Times New Roman"/>
          <w:color w:val="000000" w:themeColor="text1"/>
          <w:sz w:val="16"/>
          <w:szCs w:val="16"/>
        </w:rPr>
        <w:t xml:space="preserve"> Командир отряда 8/JG52 обер-лейтенант О.Деккер (O.Decker), безуспешно преследовал Су-2. Наш летчик уклонялся от очередей "мессера" на бреющем, отстреливаясь из пулемета, пока, наконец, кто-то из находившихся в окопах бойцов не сумел из винтовки поразить маслорадиатор немецкого истребителя. Удалось захватить не только немецкого командира, но и новейший Bf109G № 13529, который стал ценным трофеем ВВС Красной Армии</w:t>
      </w:r>
      <w:r w:rsidRPr="00722885">
        <w:rPr>
          <w:rStyle w:val="ucoz-forum-post"/>
          <w:rFonts w:ascii="Times New Roman" w:eastAsia="Times New Roman" w:hAnsi="Times New Roman"/>
          <w:color w:val="000000" w:themeColor="text1"/>
          <w:sz w:val="16"/>
          <w:szCs w:val="16"/>
        </w:rPr>
        <w:t xml:space="preserve"> (14751)</w:t>
      </w:r>
      <w:r w:rsidRPr="00722885">
        <w:rPr>
          <w:rFonts w:ascii="Times New Roman" w:hAnsi="Times New Roman"/>
          <w:color w:val="000000" w:themeColor="text1"/>
          <w:sz w:val="16"/>
          <w:szCs w:val="16"/>
        </w:rPr>
        <w:t>.</w:t>
      </w:r>
    </w:p>
    <w:p w14:paraId="5BF4D959" w14:textId="77777777" w:rsidR="00885B41" w:rsidRPr="00722885" w:rsidRDefault="00885B41" w:rsidP="00722885">
      <w:pPr>
        <w:spacing w:after="0" w:line="240" w:lineRule="auto"/>
        <w:jc w:val="both"/>
        <w:rPr>
          <w:rFonts w:ascii="Times New Roman" w:hAnsi="Times New Roman"/>
          <w:bCs/>
          <w:color w:val="000000" w:themeColor="text1"/>
          <w:sz w:val="16"/>
          <w:szCs w:val="16"/>
        </w:rPr>
      </w:pPr>
    </w:p>
    <w:p w14:paraId="5B430F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августа 1942 И.В.С. вызвал Г.К.Ж. и предложил отправиться в Сталинград, куда тот и прибыл 29 августа 1941 (2070,76).</w:t>
      </w:r>
    </w:p>
    <w:p w14:paraId="36B408F1" w14:textId="77777777" w:rsidR="00AE7191" w:rsidRPr="00722885" w:rsidRDefault="00AE7191" w:rsidP="00722885">
      <w:pPr>
        <w:pStyle w:val="Iauiue"/>
        <w:jc w:val="both"/>
        <w:rPr>
          <w:color w:val="000000" w:themeColor="text1"/>
          <w:sz w:val="16"/>
          <w:szCs w:val="16"/>
        </w:rPr>
      </w:pPr>
    </w:p>
    <w:p w14:paraId="33C7C3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августа 1942 Як-1 и Ил-2 штурмовали аэродром в Орле. Уничтожили 63 (3417,25).</w:t>
      </w:r>
    </w:p>
    <w:p w14:paraId="11A1A13E" w14:textId="77777777" w:rsidR="00AE7191" w:rsidRPr="00722885" w:rsidRDefault="00AE7191" w:rsidP="00722885">
      <w:pPr>
        <w:pStyle w:val="Iauiue"/>
        <w:jc w:val="both"/>
        <w:rPr>
          <w:color w:val="000000" w:themeColor="text1"/>
          <w:sz w:val="16"/>
          <w:szCs w:val="16"/>
        </w:rPr>
      </w:pPr>
    </w:p>
    <w:p w14:paraId="00B37D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27 августа по 10 октября 1942 была Синявинская наступательная операция, сорвавшая наступление на Ленинград (3186).</w:t>
      </w:r>
    </w:p>
    <w:p w14:paraId="00D5DCED" w14:textId="77777777" w:rsidR="00AE7191" w:rsidRPr="00722885" w:rsidRDefault="00AE7191" w:rsidP="00722885">
      <w:pPr>
        <w:pStyle w:val="Iauiue"/>
        <w:jc w:val="both"/>
        <w:rPr>
          <w:color w:val="000000" w:themeColor="text1"/>
          <w:sz w:val="16"/>
          <w:szCs w:val="16"/>
        </w:rPr>
      </w:pPr>
    </w:p>
    <w:p w14:paraId="27891EB5"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27, 1942: Soviet counterattacks from the Leningrad pocket against Schluesselburg and the Volchov front (3819).</w:t>
      </w:r>
    </w:p>
    <w:p w14:paraId="526BC3FB" w14:textId="77777777" w:rsidR="00AE7191" w:rsidRPr="00722885" w:rsidRDefault="00AE7191" w:rsidP="00722885">
      <w:pPr>
        <w:pStyle w:val="Iauiue"/>
        <w:jc w:val="both"/>
        <w:rPr>
          <w:color w:val="000000" w:themeColor="text1"/>
          <w:sz w:val="16"/>
          <w:szCs w:val="16"/>
          <w:lang w:val="en-US"/>
        </w:rPr>
      </w:pPr>
    </w:p>
    <w:p w14:paraId="0B4A44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августа 1942 КА контратаковала из окружения в направлениях Шлиссельбурга и Волхова (3819).</w:t>
      </w:r>
    </w:p>
    <w:p w14:paraId="3B346E40" w14:textId="77777777" w:rsidR="00AE7191" w:rsidRPr="00722885" w:rsidRDefault="00AE7191" w:rsidP="00722885">
      <w:pPr>
        <w:pStyle w:val="Iauiue"/>
        <w:jc w:val="both"/>
        <w:rPr>
          <w:color w:val="000000" w:themeColor="text1"/>
          <w:sz w:val="16"/>
          <w:szCs w:val="16"/>
        </w:rPr>
      </w:pPr>
    </w:p>
    <w:p w14:paraId="65765A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27 августа по 20 сентября 1942 на Волховском фронте испыльзовались ООТБ 501, 502 и 507, вооруженные КВ с АТО-41 (5219, 33).</w:t>
      </w:r>
    </w:p>
    <w:p w14:paraId="0875050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Вывод г-м тв Болотникова, командующего БТ и МВ Волховского фронта:</w:t>
      </w:r>
    </w:p>
    <w:p w14:paraId="0C4E27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Огнеметные танки целесообразно использовать для прорыва укрепленных оборонительных рубежейц и в боях за населенные пункты во взаимодействии с линейными танками (5219, 33).</w:t>
      </w:r>
    </w:p>
    <w:p w14:paraId="2D4EF495" w14:textId="77777777" w:rsidR="00AE7191" w:rsidRPr="00722885" w:rsidRDefault="00AE7191" w:rsidP="00722885">
      <w:pPr>
        <w:pStyle w:val="Iauiue"/>
        <w:jc w:val="both"/>
        <w:rPr>
          <w:color w:val="000000" w:themeColor="text1"/>
          <w:sz w:val="16"/>
          <w:szCs w:val="16"/>
        </w:rPr>
      </w:pPr>
    </w:p>
    <w:p w14:paraId="4909B4B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и 30 августа и 10 сентября 1942 АДД бомбили Берлин (340,94).</w:t>
      </w:r>
    </w:p>
    <w:p w14:paraId="1467DB35" w14:textId="77777777" w:rsidR="00AE7191" w:rsidRPr="00722885" w:rsidRDefault="00AE7191" w:rsidP="00722885">
      <w:pPr>
        <w:pStyle w:val="Iauiue"/>
        <w:jc w:val="both"/>
        <w:rPr>
          <w:color w:val="000000" w:themeColor="text1"/>
          <w:sz w:val="16"/>
          <w:szCs w:val="16"/>
        </w:rPr>
      </w:pPr>
    </w:p>
    <w:p w14:paraId="6F512F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27 августа 1942 на Ил-4 АДД начала бомбить Берлин, действуя с подмосковных аэродромов. В ту ночь первыми Занесли удар по Берлину экипажи капитана А.И.Молодчего и капитана М.В.Симонова. Эти налеты, совершенные в то время, когда советские войска были вынуждены отступать, а враг рвался к Сталинграду, имели ве только военное, но, прежде всего, политическое значение. О них сообщили все советские газеты, они укрепляли боевой дух сражающихся советских войск, вселяли в тружеников тыла уверенность в конечной победе (9528).</w:t>
      </w:r>
    </w:p>
    <w:p w14:paraId="188DE65E" w14:textId="77777777" w:rsidR="00AE7191" w:rsidRPr="00722885" w:rsidRDefault="00AE7191" w:rsidP="00722885">
      <w:pPr>
        <w:pStyle w:val="Iauiue"/>
        <w:jc w:val="both"/>
        <w:rPr>
          <w:color w:val="000000" w:themeColor="text1"/>
          <w:sz w:val="16"/>
          <w:szCs w:val="16"/>
        </w:rPr>
      </w:pPr>
    </w:p>
    <w:p w14:paraId="16CB686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августа 1942 пара Ил-4 в сопровождении 10 «Харрикейнов» атаковала «три транспорта» в Нарвском заливе и наблюдала потопление одного (реально не подтверждается). Регулярными полеты на «свободную охоту» стали только с 8 октября уже при новом командире полка Герое Советского Союза майоре Н.В.Челнокове (сменил Е.Н.Преображенского 9 августа). Почти каждый день на поиск вылетала пара торпедоносцев, зачастую возвращавшаяся из-за плохой погоды или неисправностей материальной части (9965).</w:t>
      </w:r>
    </w:p>
    <w:p w14:paraId="147149D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92A21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августа 1942 немецкие самолеты совершили налет на астраханский морской рейд. Несколько бомб упали рядом с танкером «Азербайджан», которому лишь благодаря быстрому маневрированию удалось избежать прямых попаданий. Дальше медлить было нельзя, и уже на следующий день буксировщики с баржами один за другим стали отправляться в трудный путь. В море их ждали сильный ветер и штормы, поэтому для предупреждения аварийных ситуаций корпуса некоторых судов были укреплены, нефтебаржи для лучшей балансировки загрузили топливом наполовину. Трюмы сухогрузов также на одну треть были заполнены эвакуированным оборудованием. Всего в гурьевский порт были эвакуированы 94 судна, в т.ч. 32 буксира, 6 пассажирских кораблей, 42 нефтеналивных и 14 сухогрузных барж. На местную нефтебазу были доставлены почти 100 тыс. т нефтепродуктов. Эти дни конца августа вообще стали по-настоящему катастрофическими, как для Южного Поволжья, так и для страны в целом. В Сталинграде бои шли в полутора километрах от тракторного завода, в Астрахани, в связи с приближением противника к г. Утта, было принято решение о частичной эвакуации населения города в Казахстан, на кавказском направлении 25 августа части Вермахта заняли г. Моздок, вплотную приблизившись к нефтяным месторождениям в Чечне. Немцы систематически бомбили переправы, забрасывали на парашютах диверсантов, которые подрывали баржи, буксиры, ночью подавали сигналы своим самолетам. В это время, помимо Сталинграда, германская бомбардировочная авиация сосредоточила свои усилия на железных дорогах, ведущих к городу с севера. В течение 25—28 августа Не-111 из KG55 «Грайф» совместно с бомбардировщиками других эскадр также атаковали магистраль Урбах – Астрахань, проходящую с севера на юг вдоль восточного берега Волги. Эта транспортная артерия имела огромное стратегическое значение. По ней на север шли эшелоны с кавказской нефтью, а также составы с американской и английской техникой, поставляемой по программе ленд-лиза через Иран. В ночь на 26 августа немцы совершили налет на станцию Верхний Баскунчак. В поселке возник огромный пожар, были повреждены железнодорожные пути, стоявшие на них вагоны и депо. При этом героический поступок совершил начальник депо Паринов. Бомба SC250 пробила крышу здания, воткнулась в грунт и не взорвалась. Возникло опасение, что она снабжена взрывателем замедленного действия. Тогда Паринов зацепил бомбу петлей троса и паровозом отволок ее на безопасное расстояние. В ходе налета железнодорожный узел получил большие повреждения и на сутки был полностью парализован. Из-за этого нарушился и без того напряженный график движения поездов на этой дороге, создались многокилометровые пробки. Здесь уже в середине августа скопилось излишнее количество подвижного состава, и обстановка продолжала ухудшаться с каждым днем. В Астрахани буквально некуда было девать порожние вагоны. Сначала их выводили на трамвайные пути, перегораживая улицы, скверы и площади, затем начали сталкивать на землю. Вскоре некоторые районы города стали самым настоящим кладбищем вагонов. Машинисты, кондуктора, вагонные мастера неделями не сходили с паровозов, тормозных площадок. Раненые не покидали постов. Бессменно находились на своих местах путейцы, связисты, движенцы. В те дни родились т.н. боелетучки, состоявшие из трех – пяти вагонов и паровоза, доставлявшие боеприпасы к передовым рубежам обороны, дерзкие рейсы машинистов, прорывавшихся сквозь артиллерийский и минометный огонь противника, и одностороннее движение, пакетный график, живая сигнализация, оперативные группы и многое другое. 25 августа командующий 8-й воздушной армией генерал Хрюкин вынужден был пойти на экстраординарные меры. Он приказал отобрать двадцать лучших летчиков на самолетах Як-7б и Ла-5 и сформировать из них специальную  «авиагруппу по уничтожению бомбардировщиков над центром города». Впрочем, и это мероприятие в условиях полного господства немцев в воздухе не могло принести ожидаемого эффекта (11774).</w:t>
      </w:r>
    </w:p>
    <w:p w14:paraId="40411F2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D54AAF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августа 1942 порт Диксон подвергся нападению тяжелого крейсера Адмирал Шеер. Оборонялась береговая артиллерия и пароход Дежнев и крейсер ушел, поставив мины (2438,213).</w:t>
      </w:r>
    </w:p>
    <w:p w14:paraId="54301F2C" w14:textId="77777777" w:rsidR="00AE7191" w:rsidRPr="00722885" w:rsidRDefault="00AE7191" w:rsidP="00722885">
      <w:pPr>
        <w:pStyle w:val="Iauiue"/>
        <w:jc w:val="both"/>
        <w:rPr>
          <w:color w:val="000000" w:themeColor="text1"/>
          <w:sz w:val="16"/>
          <w:szCs w:val="16"/>
        </w:rPr>
      </w:pPr>
    </w:p>
    <w:p w14:paraId="5528B97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27 августа 1942 было отражение нападения тяжелого крейсера «Адмирал Шеер» на порт Диксон. </w:t>
      </w:r>
    </w:p>
    <w:p w14:paraId="16600C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 появлении в Карском море фашистского рейдера гарнизону о. Диксон стало известно 25.8 из радиограммы л/п «А. Сибиряков». Оборону порта возглавил военный комиссар Северного отряда БВФ полковой комиссар В. В. Бабинцев. К вечеру 26.8 на причале были установлены два 152-мм орудия, приготовлена к бою 45-мм батарея. В ночь на 27.8 с появлением КРТ «А. Шеер» у о. Диксон была объявлена боевая тревога, СКР «Дежнёв» поставил дымовую завесу для прикрытия судов. </w:t>
      </w:r>
    </w:p>
    <w:p w14:paraId="7DC4F2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 ч 30 мин крейсер подошел к порту Диксон с юга и открыл огонь по судам, находящимся в гавани. Ответный огонь вели СКР «Дежнёв» (помощник командира старший лейтенант С. А. Кротов) из четырех 76-мм орудий, а с причала — батарея 152-мм орудий под командованием лейтенанта Н. М. Корнякова. Получив несколько прямых попаданий, рейдер прекратил обстрел порта и отошел. Вторая атака также была отбита, и крейсер ушел от Диксона. В результате пиратских действий «А. </w:t>
      </w:r>
      <w:r w:rsidRPr="00722885">
        <w:rPr>
          <w:rFonts w:ascii="Times New Roman" w:hAnsi="Times New Roman"/>
          <w:color w:val="000000" w:themeColor="text1"/>
          <w:sz w:val="16"/>
          <w:szCs w:val="16"/>
        </w:rPr>
        <w:lastRenderedPageBreak/>
        <w:t>Шеера» сгорело несколько зданий, получил четыре пробоины «Дежнёв» и был легко поврежден ТР «Революционер», имелись убитые и раненые, но порт Диксон продолжал функционировать. Опасаясь появления кораблей и авиации СФ, 29.8 «А. Шеер» оставил Карское море и ушел в базу (11712).</w:t>
      </w:r>
    </w:p>
    <w:p w14:paraId="07A2084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E24FC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августа 1942 был бой корабля Дежнев (СКР-19) с немецким тяжелым крейсером Адмирал Шпеер (3398,309).</w:t>
      </w:r>
    </w:p>
    <w:p w14:paraId="1C0A444A" w14:textId="77777777" w:rsidR="00AE7191" w:rsidRPr="00722885" w:rsidRDefault="00AE7191" w:rsidP="00722885">
      <w:pPr>
        <w:pStyle w:val="Iauiue"/>
        <w:jc w:val="both"/>
        <w:rPr>
          <w:color w:val="000000" w:themeColor="text1"/>
          <w:sz w:val="16"/>
          <w:szCs w:val="16"/>
        </w:rPr>
      </w:pPr>
    </w:p>
    <w:p w14:paraId="50EA7E5C"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августа в 1942 году сторожевой корабль «Дежнев», находясь в порту Диксон, совместно с береговой батареей дважды вступал в бой с немецким тяжелым крейсером «Адмирал Шеер». Несмотря на превосходство в артиллерии, противнику не удалось уничтожить порт со стоящими там судами, и он вынужден был покинуть Карское море. Это единственный за всю 2-ю мировую войну случай боевых действий на территории Сибири</w:t>
      </w:r>
      <w:r w:rsidRPr="00722885">
        <w:rPr>
          <w:rStyle w:val="ucoz-forum-post"/>
          <w:rFonts w:ascii="Times New Roman" w:eastAsia="Times New Roman" w:hAnsi="Times New Roman"/>
          <w:color w:val="000000" w:themeColor="text1"/>
          <w:sz w:val="16"/>
          <w:szCs w:val="16"/>
        </w:rPr>
        <w:t xml:space="preserve"> (14751)</w:t>
      </w:r>
      <w:r w:rsidRPr="00722885">
        <w:rPr>
          <w:rFonts w:ascii="Times New Roman" w:hAnsi="Times New Roman"/>
          <w:color w:val="000000" w:themeColor="text1"/>
          <w:sz w:val="16"/>
          <w:szCs w:val="16"/>
        </w:rPr>
        <w:t>.</w:t>
      </w:r>
    </w:p>
    <w:p w14:paraId="4EFE6118"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0FDFAF1D"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августа 1942 года авиация дальнего действия нанесла бомбовый удар по Берлину</w:t>
      </w:r>
      <w:r w:rsidRPr="00722885">
        <w:rPr>
          <w:rStyle w:val="ucoz-forum-post"/>
          <w:rFonts w:ascii="Times New Roman" w:eastAsia="Times New Roman" w:hAnsi="Times New Roman"/>
          <w:color w:val="000000" w:themeColor="text1"/>
          <w:sz w:val="16"/>
          <w:szCs w:val="16"/>
        </w:rPr>
        <w:t xml:space="preserve"> (14751)</w:t>
      </w:r>
      <w:r w:rsidRPr="00722885">
        <w:rPr>
          <w:rFonts w:ascii="Times New Roman" w:hAnsi="Times New Roman"/>
          <w:color w:val="000000" w:themeColor="text1"/>
          <w:sz w:val="16"/>
          <w:szCs w:val="16"/>
        </w:rPr>
        <w:t>.</w:t>
      </w:r>
    </w:p>
    <w:p w14:paraId="134D9366"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221C7BC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9C6802D" w14:textId="77777777" w:rsidR="00AE7191" w:rsidRPr="00722885" w:rsidRDefault="00AE7191" w:rsidP="00722885">
      <w:pPr>
        <w:pStyle w:val="Iauiue"/>
        <w:jc w:val="both"/>
        <w:rPr>
          <w:iCs/>
          <w:color w:val="000000" w:themeColor="text1"/>
          <w:sz w:val="16"/>
          <w:szCs w:val="16"/>
        </w:rPr>
      </w:pPr>
    </w:p>
    <w:p w14:paraId="10F784E6"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27–28 августа (ночь) 1942 306 британских бомбардировщиков атакуют Кассель, Германия, потеряв 31 самолет (высокий уровень потерь - 10,1%). В этом налете «Следопыты» оказались более эффективными, т.к. небо над Касселем чистое, а рейд был умеренно успешным (20793).</w:t>
      </w:r>
    </w:p>
    <w:p w14:paraId="02B21CF0" w14:textId="77777777" w:rsidR="00504B90" w:rsidRPr="00722885" w:rsidRDefault="00504B90" w:rsidP="00722885">
      <w:pPr>
        <w:spacing w:after="0" w:line="240" w:lineRule="auto"/>
        <w:jc w:val="both"/>
        <w:rPr>
          <w:rFonts w:ascii="Times New Roman" w:hAnsi="Times New Roman"/>
          <w:color w:val="0070C0"/>
          <w:sz w:val="16"/>
          <w:szCs w:val="16"/>
        </w:rPr>
      </w:pPr>
    </w:p>
    <w:p w14:paraId="0F301F3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27 августа 1942 Гитлер приказал освободить 800 французских военнопленных за сотрудничество жителей Дьеппа при ликвидации канадского десанта там (4962).</w:t>
      </w:r>
    </w:p>
    <w:p w14:paraId="442AEEF4" w14:textId="77777777" w:rsidR="00AE7191" w:rsidRPr="00722885" w:rsidRDefault="00AE7191" w:rsidP="00722885">
      <w:pPr>
        <w:pStyle w:val="Iauiue"/>
        <w:tabs>
          <w:tab w:val="left" w:pos="11199"/>
        </w:tabs>
        <w:jc w:val="both"/>
        <w:rPr>
          <w:color w:val="000000" w:themeColor="text1"/>
          <w:sz w:val="16"/>
          <w:szCs w:val="16"/>
        </w:rPr>
      </w:pPr>
    </w:p>
    <w:p w14:paraId="3E1DDC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августа 1942 Куба объявила войну Германии, Японии и Италии (3481).</w:t>
      </w:r>
    </w:p>
    <w:p w14:paraId="1A98A79A" w14:textId="77777777" w:rsidR="00AE7191" w:rsidRPr="00722885" w:rsidRDefault="00AE7191" w:rsidP="00722885">
      <w:pPr>
        <w:pStyle w:val="Iauiue"/>
        <w:jc w:val="both"/>
        <w:rPr>
          <w:color w:val="000000" w:themeColor="text1"/>
          <w:sz w:val="16"/>
          <w:szCs w:val="16"/>
        </w:rPr>
      </w:pPr>
    </w:p>
    <w:p w14:paraId="6D62729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4D22AA5" w14:textId="77777777" w:rsidR="00AE7191" w:rsidRPr="00722885" w:rsidRDefault="00AE7191" w:rsidP="00722885">
      <w:pPr>
        <w:pStyle w:val="Iauiue"/>
        <w:jc w:val="both"/>
        <w:rPr>
          <w:iCs/>
          <w:color w:val="000000" w:themeColor="text1"/>
          <w:sz w:val="16"/>
          <w:szCs w:val="16"/>
        </w:rPr>
      </w:pPr>
    </w:p>
    <w:p w14:paraId="3DBAF3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августа 1942 вышел приказ НКАП N 664с:</w:t>
      </w:r>
    </w:p>
    <w:p w14:paraId="481A78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"Зам ГК по самолету Ил-4 В.В.Калинина командировать на завод 39 в Иркутск для тех. помощи по внедрению в серию самолета Ил-4" (1587,34).</w:t>
      </w:r>
    </w:p>
    <w:p w14:paraId="3A81BB7B" w14:textId="77777777" w:rsidR="00AE7191" w:rsidRPr="00722885" w:rsidRDefault="00AE7191" w:rsidP="00722885">
      <w:pPr>
        <w:pStyle w:val="Iauiue"/>
        <w:jc w:val="both"/>
        <w:rPr>
          <w:color w:val="000000" w:themeColor="text1"/>
          <w:sz w:val="16"/>
          <w:szCs w:val="16"/>
        </w:rPr>
      </w:pPr>
    </w:p>
    <w:p w14:paraId="0FF5C937" w14:textId="77777777" w:rsidR="00504B90" w:rsidRPr="00722885" w:rsidRDefault="00504B90"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28 августа 1942 года начались летные испытания Ер-2 для испытаний моторов МБ-100 для самолета Пе-8. </w:t>
      </w:r>
    </w:p>
    <w:p w14:paraId="6334FD33" w14:textId="77777777" w:rsidR="00504B90" w:rsidRPr="00722885" w:rsidRDefault="00504B90"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Чтобы снять всю их мощность, надо было поставить винты большого диаметра, и для этого на заводе № 134 сделали полностью новое крыло с увеличенным центропланом и измененным технологическим членением. Изменившуюся центровку и плохую аэродинамику «лобастых» МБ-100 компенсировали увеличенным оперением</w:t>
      </w:r>
    </w:p>
    <w:p w14:paraId="02E26C8A" w14:textId="77777777" w:rsidR="00504B90" w:rsidRPr="00722885" w:rsidRDefault="00504B90"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Моторы работали удовлетворительно в пределах ресурса 50 ч, военные соглашались принять их на снабжение АДД при условии замены воздушных винтов. Ер-2 2МБ-100 с нормальным весом развивал 475 км/ч, и Ермолаев предложил запустить его в серию. Но расход топлива возрос, дальность с нормальной заправкой не превышала 1700 км, и самолет так и остался летающей лабораторией (22871).</w:t>
      </w:r>
    </w:p>
    <w:p w14:paraId="436AA9E6" w14:textId="77777777" w:rsidR="00504B90" w:rsidRPr="00722885" w:rsidRDefault="00504B90" w:rsidP="00722885">
      <w:pPr>
        <w:shd w:val="clear" w:color="auto" w:fill="FFFFFF"/>
        <w:spacing w:after="0" w:line="240" w:lineRule="auto"/>
        <w:jc w:val="both"/>
        <w:rPr>
          <w:rFonts w:ascii="Times New Roman" w:hAnsi="Times New Roman"/>
          <w:color w:val="0070C0"/>
          <w:sz w:val="16"/>
          <w:szCs w:val="16"/>
        </w:rPr>
      </w:pPr>
    </w:p>
    <w:p w14:paraId="1E0222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августа 1942 л завода 301 Н.П.Кривошеин совершил аварию на ЛаГГ-3, т.к. из-за прекращения подачи горючего мотор обрезал на взлете (2108).</w:t>
      </w:r>
    </w:p>
    <w:p w14:paraId="52F9C54E" w14:textId="77777777" w:rsidR="00AE7191" w:rsidRPr="00722885" w:rsidRDefault="00AE7191" w:rsidP="00722885">
      <w:pPr>
        <w:pStyle w:val="Iauiue"/>
        <w:jc w:val="both"/>
        <w:rPr>
          <w:color w:val="000000" w:themeColor="text1"/>
          <w:sz w:val="16"/>
          <w:szCs w:val="16"/>
        </w:rPr>
      </w:pPr>
    </w:p>
    <w:p w14:paraId="5313157B"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E2BE8DA" w14:textId="77777777" w:rsidR="00AE7191" w:rsidRPr="00722885" w:rsidRDefault="00AE7191" w:rsidP="00722885">
      <w:pPr>
        <w:pStyle w:val="Iauiue"/>
        <w:jc w:val="both"/>
        <w:rPr>
          <w:iCs/>
          <w:color w:val="000000" w:themeColor="text1"/>
          <w:sz w:val="16"/>
          <w:szCs w:val="16"/>
        </w:rPr>
      </w:pPr>
    </w:p>
    <w:p w14:paraId="1590AC8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28 августа 1942 года вышел приказ № 643 НКБ</w:t>
      </w:r>
    </w:p>
    <w:p w14:paraId="6A371C1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распоряжением СНК № 16014рс от 21 августа 1942 г.:</w:t>
      </w:r>
    </w:p>
    <w:p w14:paraId="5F3CA964"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Начальнику 6 Гл. управления Агафину завод № 738 как самостоятельное (уставное) предприятие ликвидировать, передав его производство на завод № 58 Начальнику 4 Гл. управления перевести на освобождающиеся площади завода № 738 завод № 568 (5909, 172).</w:t>
      </w:r>
    </w:p>
    <w:p w14:paraId="353B4CC7" w14:textId="77777777" w:rsidR="00AE7191" w:rsidRPr="00722885" w:rsidRDefault="00AE7191" w:rsidP="00722885">
      <w:pPr>
        <w:pStyle w:val="Iauiue"/>
        <w:tabs>
          <w:tab w:val="left" w:pos="11199"/>
        </w:tabs>
        <w:jc w:val="both"/>
        <w:rPr>
          <w:color w:val="000000" w:themeColor="text1"/>
          <w:sz w:val="16"/>
          <w:szCs w:val="16"/>
        </w:rPr>
      </w:pPr>
    </w:p>
    <w:p w14:paraId="3EFD33E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августа 1942 вышло Постановление ГКО № 2215 Об эвакуации оборудования, а также рабочих, ИТР и служащих Грозненской ТЭЦ им. Коминтерна и сетей Орджэнерго Наркомэлектростанций. РГАНИР, Фонд ГКО, д. 54, лл. 64 (11012).</w:t>
      </w:r>
    </w:p>
    <w:p w14:paraId="12BCF4F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60D9B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августа 1942 вышло Постановление ГКО № 2217 Об эвакуации Грозненского автогенного завода Наркомтяжмаша. РГАНИР, Фонд ГКО, д. 54, лл. 66 (11012).</w:t>
      </w:r>
    </w:p>
    <w:p w14:paraId="03039D8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CBEBAF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28 августа 1942 вышло Постановление ГКО № 2216 Об эвакуации оборудования и кадров вагоноремонтного завода из г. Орджоникидзе. (7052, 65).</w:t>
      </w:r>
    </w:p>
    <w:p w14:paraId="7C17E37C" w14:textId="77777777" w:rsidR="00AE7191" w:rsidRPr="00722885" w:rsidRDefault="00AE7191" w:rsidP="00722885">
      <w:pPr>
        <w:pStyle w:val="Iauiue"/>
        <w:tabs>
          <w:tab w:val="left" w:pos="11199"/>
        </w:tabs>
        <w:jc w:val="both"/>
        <w:rPr>
          <w:color w:val="000000" w:themeColor="text1"/>
          <w:sz w:val="16"/>
          <w:szCs w:val="16"/>
        </w:rPr>
      </w:pPr>
    </w:p>
    <w:p w14:paraId="3B7EF4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августа 1942 вышло Постановление ГКО № 2220 О расселении рабочих, ИТР и членов их семей, прибывающих в г. Барнаул на завод танковых дизелей Наркомтанкопрома. РГАНИР, Фонд ГКО, д. 54, лл. 70 (11012).</w:t>
      </w:r>
    </w:p>
    <w:p w14:paraId="107C4DA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BBC1F9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августа 1942 вышло Постановление ГКО № 2222 О распространении на НКТП постановления ГКО № 1592 от 13 апреля 1942 г. в части первоочередной поставки материалов для строительно-монтажных работ на заводах. РГАНИР, Фонд ГКО, д. 54, лл. 75 (11012).</w:t>
      </w:r>
    </w:p>
    <w:p w14:paraId="4B13C8F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1120DB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28 августа 1942 вышло Постановление ГКО № 2223 Об организации аварийно-судоподъемной и восстановительной служб на речном транспорте. (7052, 76-78,79-81).</w:t>
      </w:r>
    </w:p>
    <w:p w14:paraId="3CA4F8BA" w14:textId="77777777" w:rsidR="00AE7191" w:rsidRPr="00722885" w:rsidRDefault="00AE7191" w:rsidP="00722885">
      <w:pPr>
        <w:pStyle w:val="Iauiue"/>
        <w:tabs>
          <w:tab w:val="left" w:pos="11199"/>
        </w:tabs>
        <w:jc w:val="both"/>
        <w:rPr>
          <w:color w:val="000000" w:themeColor="text1"/>
          <w:sz w:val="16"/>
          <w:szCs w:val="16"/>
        </w:rPr>
      </w:pPr>
    </w:p>
    <w:p w14:paraId="1FE6C9D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августа 1942 г. ГУС КА для обсуждения и принятия наиболее рационального решения созвало совещание представителей ПВО ТС, ВВС, НИИИС КА, военного факультета Московского института инженеров связи и Артиллерийского комитета ГАУ. Вел совещание заместитель начальника ГУС КА генерал К. X. Муравьев. Совещание постановило: заказы по наземным средствам радиообнаружения самолетов передать в Управление командующего войсками ПВО ТС, создав в нем необходимый орган по радиолокации, и подчинить ему радиолокационный отдел НИИИС КА. Работы по бортовой самолетной радиолокационной аппаратуре для ИА совещание рекомендовало передать в ведение Главного управления ВВС.</w:t>
      </w:r>
    </w:p>
    <w:p w14:paraId="73DA27E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ГУС КА, рассчитывая на поддержку Генеральным штабом Вооруженных Сил принятого решения, своим приказом от 2.06 1943 г. передавал в подчинение командующего войсками ПВО ТС отдел радиолокации НИИИС КА. Однако Генеральный штаб решил этот вопрос иначе.</w:t>
      </w:r>
    </w:p>
    <w:p w14:paraId="1338B6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Директивой от 4.07 1943 г.</w:t>
      </w:r>
      <w:r w:rsidRPr="00722885">
        <w:rPr>
          <w:rFonts w:ascii="Times New Roman" w:hAnsi="Times New Roman"/>
          <w:color w:val="000000" w:themeColor="text1"/>
          <w:sz w:val="16"/>
          <w:szCs w:val="16"/>
          <w:vertAlign w:val="superscript"/>
        </w:rPr>
        <w:t xml:space="preserve"> (</w:t>
      </w:r>
      <w:r w:rsidRPr="00722885">
        <w:rPr>
          <w:rFonts w:ascii="Times New Roman" w:hAnsi="Times New Roman"/>
          <w:color w:val="000000" w:themeColor="text1"/>
          <w:sz w:val="16"/>
          <w:szCs w:val="16"/>
        </w:rPr>
        <w:t>Архив МО СССР, ф. 81, оп. 12048, д. 73) он отклонил постановление объединенного совещания и обязал все вопросы наземной радиолокации для войск ПВО сосредоточить в одних руках – ГАУ НКО. На этом основании отдел радиолокации НИИИС КА передавался в Научно-исследовательскую лабораторию артиллерийского приборостроения (НИЛАП ГАУ).</w:t>
      </w:r>
    </w:p>
    <w:p w14:paraId="01B8B62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Задания на работы по самолетным бортовым РЛС обнаружения, прицеливания и опознавания передавались по директиве Генштаба НИИ ВВС.</w:t>
      </w:r>
    </w:p>
    <w:p w14:paraId="26318C2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Той же директивой в ГАУ предусматривалось создание отдела радиолокации, который был первым в центральных аппаратах НКО и НК ВМФ отделом, ведавшим заказами на развитие радиолокационной техники в нашей стране (11026).</w:t>
      </w:r>
    </w:p>
    <w:p w14:paraId="55DA89A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BE012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августа 1942 г. в системе Наркомречфлота по</w:t>
      </w:r>
      <w:r w:rsidRPr="00722885">
        <w:rPr>
          <w:color w:val="000000" w:themeColor="text1"/>
          <w:sz w:val="16"/>
          <w:szCs w:val="16"/>
        </w:rPr>
        <w:softHyphen/>
        <w:t>становлением ГКО было создано Центральное военно-восстановительное управление. В Наркомате ВМФ в июле 1943 г. бьыо также образовано Речное аварийно-спасательное уп</w:t>
      </w:r>
      <w:r w:rsidRPr="00722885">
        <w:rPr>
          <w:color w:val="000000" w:themeColor="text1"/>
          <w:sz w:val="16"/>
          <w:szCs w:val="16"/>
        </w:rPr>
        <w:softHyphen/>
        <w:t>равление, которое в октябре 1944 г. передали в Наркомречфлот, где оно получило наименование Главного военно-речного управления (ГВРУ). Во главе ГВРУ был поставлен бывший начальник ЭПРОН Ф. И. Крылов (3898).</w:t>
      </w:r>
    </w:p>
    <w:p w14:paraId="1E420116" w14:textId="77777777" w:rsidR="00AE7191" w:rsidRPr="00722885" w:rsidRDefault="00AE7191" w:rsidP="00722885">
      <w:pPr>
        <w:pStyle w:val="Iauiue"/>
        <w:jc w:val="both"/>
        <w:rPr>
          <w:color w:val="000000" w:themeColor="text1"/>
          <w:sz w:val="16"/>
          <w:szCs w:val="16"/>
        </w:rPr>
      </w:pPr>
    </w:p>
    <w:p w14:paraId="6530624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C386F2F" w14:textId="77777777" w:rsidR="00AE7191" w:rsidRPr="00722885" w:rsidRDefault="00AE7191" w:rsidP="00722885">
      <w:pPr>
        <w:pStyle w:val="Iauiue"/>
        <w:jc w:val="both"/>
        <w:rPr>
          <w:iCs/>
          <w:color w:val="000000" w:themeColor="text1"/>
          <w:sz w:val="16"/>
          <w:szCs w:val="16"/>
        </w:rPr>
      </w:pPr>
    </w:p>
    <w:p w14:paraId="6C0E0290"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28 августа </w:t>
      </w:r>
      <w:r w:rsidRPr="00722885">
        <w:rPr>
          <w:rFonts w:ascii="Times New Roman" w:hAnsi="Times New Roman"/>
          <w:color w:val="000000" w:themeColor="text1"/>
          <w:sz w:val="16"/>
          <w:szCs w:val="16"/>
        </w:rPr>
        <w:t>в 1942 году утреннее сообщение Совинформбюро:</w:t>
      </w:r>
    </w:p>
    <w:p w14:paraId="708539C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28 августа наши войска вели бои с противником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4205B399"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6FC7D29D"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наши части заняли укреплённый противником населённый пункт. Немцы, подтянув резервы, предприняли несколько контратак, которые были отбиты нашими бойцами. Уничтожено 2 танка и свыше 100 гитлеровцев. На другом участке наши части, развивая наступление, заняли семь населённых пунктов. В боях с противником уничтожено 13 немецких танков, 10 противотанковых орудий и 25 автомашин. Захвачены у немцев 2 танка, бронемашина, несколько орудий и другие трофеи.</w:t>
      </w:r>
    </w:p>
    <w:p w14:paraId="5FE7CFA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северо-западнее Сталинграда наши войска контратаками наносят удары по врагу, уничтожая его живую силу и технику. Н-ское соединение артиллерийским и миномётным огнём уничтожило 16 немецких танков и свыше батальона пехоты противника. В районе населённого пункта К. крупный отряд немецких автоматчиков прорвался в тыл нашим частям. Наши бойцы быстро окружили гитлеровцев и полностью их уничтожили.</w:t>
      </w:r>
    </w:p>
    <w:p w14:paraId="5B1685B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продолжались бои с танками и пехотой противника. На одном участке немцам удалось вклиниться в боевые порядки наших войск. В результате ожесточённого боя было подбито и сожжено 9 танков, уничтожено 14 автомашин и более 200 солдат и офицеров противника. Захвачены трофеи.</w:t>
      </w:r>
    </w:p>
    <w:p w14:paraId="0A13EECF"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упорные бои происходили у пункта, расположенного близ узла горных дорог. Все атаки неприятеля в этом районе отбиты с большими для него потерями.</w:t>
      </w:r>
    </w:p>
    <w:p w14:paraId="39BD395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наши войска вели оборонительные бои.</w:t>
      </w:r>
    </w:p>
    <w:p w14:paraId="2B4CA228"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местного значения. Сломив упорное сопротивление гитлеровцев, наши подразделения заняли один узел обороны противника. Захвачено 3 немецких танка, зарытых в землю, несколько пулемётов, винтовок и другое вооружение.</w:t>
      </w:r>
    </w:p>
    <w:p w14:paraId="35F5A82E"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Несколько партизанских групп, действующих в оккупированных районах Ленинградской области, за 4 дня пустили под откос 6 воинских эшелонов противника. Разбито 4 паровоза и 150 платформ и вагонов с различными военными грузами.</w:t>
      </w:r>
    </w:p>
    <w:p w14:paraId="2C41C9C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неотправленном письме немецкого солдата Иоганна брату Карлу говорится:«...Ты находишься на передовой, где очень опасно. Я нахожусь в тылу, но поверь,что здесь тоже опасно. Партизаны ни днём, ни ночью не дают нам покоя. В мае мы получили пополнение, но теперь снова понесли тяжёлые потери. На прошлой неделе наши повозки подорвались на минах, погибло много солдат. Представь себе, что офицеры больше сокрушались о потере своих чемоданов, чем о гибели людей. Видно, офицерам дороже награбленные у русских вещи, чем жизнь солдат. Да, впрочем, давно известно, что они наживаются на войне».</w:t>
      </w:r>
    </w:p>
    <w:p w14:paraId="72E67B5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Захваченный в плен на Западном фронте солдат 7 роты 336 немецкого пехотного полка Штейн рассказал: «Артиллерийская канонада деморализовала солдат нашего батальона. Русские танки прорвали нашу оборону справа и слева. Эти наступательные операции показали нам, что русские располагают мощной техникой. То, что мы увидели, потрясло нас. Нам ведь всё время говорили, что у русских уже ничего нет: ни пушек, ни самолётов, ни танков».</w:t>
      </w:r>
    </w:p>
    <w:p w14:paraId="0F1653E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Унтер-офицер 9 роты того же полка Гейнц Бесхер заявил: «То, что я видел и пережил в первый день наступления русских, не поддаётся описанию. Кругом стоял ад кромешный. Казалось, что настал конец света. Уже в первый день русские вклинились в глубь нашей обороны, захватили много трофеев и пленных. Сопротивляться было совершенно бессмысленно».</w:t>
      </w:r>
    </w:p>
    <w:p w14:paraId="669CBD1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последние десять дней югославские партизаны освободили от немецко-итальянских захватчиков один город и ряд населённых пунктов. В этих боях оккупанты потеряли 380 человек убитыми. Партизаны захватили 372 винтовки, 14 пулемётов, много патронов и склад военного имущества.» (14752).</w:t>
      </w:r>
    </w:p>
    <w:p w14:paraId="260E4FAE"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0E138E8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28 августа </w:t>
      </w:r>
      <w:r w:rsidRPr="00722885">
        <w:rPr>
          <w:rFonts w:ascii="Times New Roman" w:hAnsi="Times New Roman"/>
          <w:color w:val="000000" w:themeColor="text1"/>
          <w:sz w:val="16"/>
          <w:szCs w:val="16"/>
        </w:rPr>
        <w:t>в 1942 году вечернее сообщение Совинформбюро:</w:t>
      </w:r>
    </w:p>
    <w:p w14:paraId="1F4F42A9"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28 августа наши войска вели бои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3EBD05AB"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748F3467"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корабли в Чёрном море потопили подводную лодку противника.</w:t>
      </w:r>
    </w:p>
    <w:p w14:paraId="34DA57F8"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27 августа частями нашей авиации на различных участках фронта уничтожено или повреждено до 25 немецких танков и бронемашин, более 150 автомашин с войсками и грузами, до 40 повозок с боеприпасами, 12 автоцистерн с горючим, подавлен огонь 8 батарей полевой и зенитной артиллерии, взорван склад боеприпасов, рассеяно и частью уничтожено до двух батальонов пехоты противника. В Балтийском море наша авиация потопила немецкий транспорт.</w:t>
      </w:r>
    </w:p>
    <w:p w14:paraId="376D8502"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наши войска вели активные боевые действия и заняли ряд населённых пунктов. Часть, где командиром тов. Щеглов, овладела тремя населёнными пунктами. Только в бою за пункт Г. уничтожено свыше100 гитлеровцев, захвачено 10 пулемётов, большое количество боеприпасов и военного имущества. Танкисты под командованием тов. Бурлыги уничтожили 6 противотанковых орудий, 6 миномётов и истребили до роты гитлеровцев. Экипаж танка лейтенанта Исламова и политрука Мягкоголового зашёл в тыл отступающим немцам и уничтожил свыше 90 гитлеровцев. На другом участке фронта наше стрелковое подразделение при поддержке танков ворвалось в населённый пункт, превращенный противником в сильно укреплённый узел сопротивления.</w:t>
      </w:r>
    </w:p>
    <w:p w14:paraId="7F94753D"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северо-западнее Сталинграда наши войска вели ожесточённые бои с группировкой противника, прорвавшейся в глубину нашей обороны. Немецкие войска, а также их наёмники — итальянцы и румыны несут огромные потери. Гвардейцы Н-ской части за два дня боёв отбили многочисленные атаки гитлеровцев, а затем, перейдя в контратаку, выбили врага из одного крупного населённого пункта. В ходе этих боёв гвардейцы уничтожили до 2.500 солдат и офицеров противника. Особеннобольшие потери противнику наносят гвардейцы-миномётчики и танкисты. Огневыми залпами по скоплению неприятеля миномётчики уничтожили 3 артиллерийских и 10 миномётных батарей, 12 танков и более 100 автомашин. Разведка Н-ской танковой части обнаружила скопление вражеских танков и пехоты. Оцепив лощину, в которой сосредоточился противник, танкисты в ожесточённом бою уничтожили 9 немецких танков и истребили до 300 гитлеровцев.</w:t>
      </w:r>
    </w:p>
    <w:p w14:paraId="7D62AB5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отбивали атаки противника.На одном участке немцам удалось было несколько продвинуться вперёд. Однако контратакой неприятель был отброшен. В этом бою уничтожено 4 танка и до двух рот гитлеровцев.</w:t>
      </w:r>
    </w:p>
    <w:p w14:paraId="4D54A82F"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Краснодара нашими частями отбиты попытки противника прорваться в глубь нашей обороны. Немцы потеряли в этих боях более двух рот пехоты. На другом участке моряки-артиллеристы под Командованием тов. Собченюка уничтожили 7 немецких танков, 2 артиллерийские батареи и до батальона пехоты противника.</w:t>
      </w:r>
    </w:p>
    <w:p w14:paraId="43C50318"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юго-восточнее Прохладного уничтожена и частью захвачена группа парашютистов-автоматчиков.</w:t>
      </w:r>
    </w:p>
    <w:p w14:paraId="7814786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рабочих-нефтяников под командованием тов. К., организовавшийся в одном из захваченных немцами районов Северного Кавказа, совершил нападение на обоз противника. Партизаны перебили охрану и захватили повозки с военным имуществом. Группа партизан этого же отряда устроила на дороге засаду и истребила 20 гитлеровцев.</w:t>
      </w:r>
    </w:p>
    <w:p w14:paraId="445BC23D"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Несколько латвийских партизанских отрядов в боях с немецкими захватчиками истребили 213 солдат и офицеров противника. Партизанами сожжён танк и захваченоу немцев 8 пулемётов, много винтовок и боеприпасов.</w:t>
      </w:r>
    </w:p>
    <w:p w14:paraId="0F376844"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Добровольно сдавшийся в плен на Западном фронте ефрейтор 548 полка 328 немецкой пехотной дивизии Рихард Я. сообщил: «В моей роте насчитывалось 180 человек. Через два дня после начала наступления русских в роте осталось всего лишь 25 человек. Сильный урон нанесла нам русская артиллерия. Все оставшиеся в живых солдаты повесили головы. Они теперь думают только об одном: удастся ли им выбраться живыми из России».</w:t>
      </w:r>
    </w:p>
    <w:p w14:paraId="5BA7C4D4"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Захваченный в плен младший врач 3 батальона 507 полка 292 немецкой пехотной дивизии Эрих Димель рассказал: «В мае текущего года мне пришлось наблюдать жизнь в лагере русских военнопленных близ гор. Турн (Германия). В лагере были русские военнопленные, а также гражданские лица, вывезенные из Украины. Положение заключённых можно без преувеличения назвать кошмарным. Они истощены голодом и чрезмерной работой. Среди пленных вспыхнула эпидемия сыпного тифа. Ежедневно в лагере умирало по 8—10 человек. В последнее время всех больных эсэсовцы,охраняющие лагерь, расстреливали».</w:t>
      </w:r>
    </w:p>
    <w:p w14:paraId="4E36E7D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департаменте Шер (Франция) немецкие оккупанты пытались насильно отправитьна работу в Германию 200 рабочих машиностроительного завода. На заводе вспыхнула забастовка протеста. Тогда администрация по приказу гитлеровцев объявила о закрытии завода и лишила всех рабочих продовольственных карточек. Однако угрозой безработицы и голода оккупантам не удалось отправить рабочих в фашистскую Германию.» (14752).</w:t>
      </w:r>
    </w:p>
    <w:p w14:paraId="2B68C905"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6DF49B3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28 августа </w:t>
      </w:r>
      <w:r w:rsidRPr="00722885">
        <w:rPr>
          <w:rFonts w:ascii="Times New Roman" w:hAnsi="Times New Roman"/>
          <w:color w:val="000000" w:themeColor="text1"/>
          <w:sz w:val="16"/>
          <w:szCs w:val="16"/>
        </w:rPr>
        <w:t>в 1942 году к исходу дня советские войска организовали оборону в полосе между Доном и Волгой и приостановили немецкое наступление к Волге. Немецкие войска возобновили наступление на Новороссийск, перебросив часть сил с туапсинского направления (14752).</w:t>
      </w:r>
    </w:p>
    <w:p w14:paraId="5BF32AA7"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1AB81FD0"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28 августа </w:t>
      </w:r>
      <w:r w:rsidRPr="00722885">
        <w:rPr>
          <w:rFonts w:ascii="Times New Roman" w:hAnsi="Times New Roman"/>
          <w:color w:val="000000" w:themeColor="text1"/>
          <w:sz w:val="16"/>
          <w:szCs w:val="16"/>
        </w:rPr>
        <w:t>в 1942 году (28-29 августа) патрули «дальней разведки Бранденбург-800» в красноармейской форме выходят к Мурманской железной дороге и закладывают мины, оснащенные взрывателями нажимного и замедленного действия, а также вибровзрывателями (14752).</w:t>
      </w:r>
    </w:p>
    <w:p w14:paraId="24A92B8E"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08F8BA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период с 28 августа по 18 ноября 1942 Ил-2 соверши</w:t>
      </w:r>
      <w:r w:rsidRPr="00722885">
        <w:rPr>
          <w:color w:val="000000" w:themeColor="text1"/>
          <w:sz w:val="16"/>
          <w:szCs w:val="16"/>
        </w:rPr>
        <w:softHyphen/>
        <w:t>ли 406 боевых самолето-вылетов ночью и в сумерки, в основном по аэродромам (до 70% всех сумеречных и ночных вы</w:t>
      </w:r>
      <w:r w:rsidRPr="00722885">
        <w:rPr>
          <w:color w:val="000000" w:themeColor="text1"/>
          <w:sz w:val="16"/>
          <w:szCs w:val="16"/>
        </w:rPr>
        <w:softHyphen/>
        <w:t>летов), железнодорожным станциям и составам на перегоне, так как эти цели достаточно хорошо обнаруживались и эффективность штурмовых ударов Ил-2 по ним почти сравнивалась с эффек</w:t>
      </w:r>
      <w:r w:rsidRPr="00722885">
        <w:rPr>
          <w:color w:val="000000" w:themeColor="text1"/>
          <w:sz w:val="16"/>
          <w:szCs w:val="16"/>
        </w:rPr>
        <w:softHyphen/>
        <w:t>тивностью ударов днем. В вечерние сумерки Ил-2 вылетали на задания с таким расчетом, чтобы взлет осуществить в светлое время, а подход к цели - в полных сумерках. Это было особенно важно при атаках аэро</w:t>
      </w:r>
      <w:r w:rsidRPr="00722885">
        <w:rPr>
          <w:color w:val="000000" w:themeColor="text1"/>
          <w:sz w:val="16"/>
          <w:szCs w:val="16"/>
        </w:rPr>
        <w:softHyphen/>
        <w:t>дромов противника.</w:t>
      </w:r>
    </w:p>
    <w:p w14:paraId="492630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Подход к аэродрому или к другой цели противника группа Ил-2, обычно в составе не более 4-6 самолетов, осуще</w:t>
      </w:r>
      <w:r w:rsidRPr="00722885">
        <w:rPr>
          <w:color w:val="000000" w:themeColor="text1"/>
          <w:sz w:val="16"/>
          <w:szCs w:val="16"/>
        </w:rPr>
        <w:softHyphen/>
        <w:t>ствляла на высотах 900-1500 м с при</w:t>
      </w:r>
      <w:r w:rsidRPr="00722885">
        <w:rPr>
          <w:color w:val="000000" w:themeColor="text1"/>
          <w:sz w:val="16"/>
          <w:szCs w:val="16"/>
        </w:rPr>
        <w:softHyphen/>
        <w:t>глушенными моторами. Атака произво</w:t>
      </w:r>
      <w:r w:rsidRPr="00722885">
        <w:rPr>
          <w:color w:val="000000" w:themeColor="text1"/>
          <w:sz w:val="16"/>
          <w:szCs w:val="16"/>
        </w:rPr>
        <w:softHyphen/>
        <w:t>дилась с одного захода с пикирования под углом 25-30°, стрельба из стрелково-пушечного вооружения начиналась с высот порядка 600-450 м, а бомбомета</w:t>
      </w:r>
      <w:r w:rsidRPr="00722885">
        <w:rPr>
          <w:color w:val="000000" w:themeColor="text1"/>
          <w:sz w:val="16"/>
          <w:szCs w:val="16"/>
        </w:rPr>
        <w:softHyphen/>
        <w:t>ние - с высот 350-100 м. Связь в группе осуществлялась световыми сигналами и по радио. Уход от цели производился со снижением вплоть до бреющего. Если выполнялась повторная атака, то сбор группы осуществлялся в районе, где не было средств ПВО, при этом часть са</w:t>
      </w:r>
      <w:r w:rsidRPr="00722885">
        <w:rPr>
          <w:color w:val="000000" w:themeColor="text1"/>
          <w:sz w:val="16"/>
          <w:szCs w:val="16"/>
        </w:rPr>
        <w:softHyphen/>
        <w:t>молетов группы выполняла задачу по</w:t>
      </w:r>
      <w:r w:rsidRPr="00722885">
        <w:rPr>
          <w:color w:val="000000" w:themeColor="text1"/>
          <w:sz w:val="16"/>
          <w:szCs w:val="16"/>
        </w:rPr>
        <w:softHyphen/>
        <w:t>давления зенитной артиллерии против</w:t>
      </w:r>
      <w:r w:rsidRPr="00722885">
        <w:rPr>
          <w:color w:val="000000" w:themeColor="text1"/>
          <w:sz w:val="16"/>
          <w:szCs w:val="16"/>
        </w:rPr>
        <w:softHyphen/>
        <w:t>ника. В зависимости от обстановки про</w:t>
      </w:r>
      <w:r w:rsidRPr="00722885">
        <w:rPr>
          <w:color w:val="000000" w:themeColor="text1"/>
          <w:sz w:val="16"/>
          <w:szCs w:val="16"/>
        </w:rPr>
        <w:softHyphen/>
        <w:t>изводилось в среднем от одного до трех заходов на цель.</w:t>
      </w:r>
    </w:p>
    <w:p w14:paraId="592C7F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Очень часто при атаках в сумерках и ночью экипажи Ил-2 теряли друг друга и группа полностью собраться не могла, поэтому экипажи возвращались на свой аэродром, как правило, парами или от</w:t>
      </w:r>
      <w:r w:rsidRPr="00722885">
        <w:rPr>
          <w:color w:val="000000" w:themeColor="text1"/>
          <w:sz w:val="16"/>
          <w:szCs w:val="16"/>
        </w:rPr>
        <w:softHyphen/>
        <w:t>дельными самолетами.</w:t>
      </w:r>
    </w:p>
    <w:p w14:paraId="1B25F6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Меньшие трудности для Ил-2 пред</w:t>
      </w:r>
      <w:r w:rsidRPr="00722885">
        <w:rPr>
          <w:color w:val="000000" w:themeColor="text1"/>
          <w:sz w:val="16"/>
          <w:szCs w:val="16"/>
        </w:rPr>
        <w:softHyphen/>
        <w:t>ставляли штурмовые удары в предрас</w:t>
      </w:r>
      <w:r w:rsidRPr="00722885">
        <w:rPr>
          <w:color w:val="000000" w:themeColor="text1"/>
          <w:sz w:val="16"/>
          <w:szCs w:val="16"/>
        </w:rPr>
        <w:softHyphen/>
        <w:t>светные сумерки, так как в полной тем</w:t>
      </w:r>
      <w:r w:rsidRPr="00722885">
        <w:rPr>
          <w:color w:val="000000" w:themeColor="text1"/>
          <w:sz w:val="16"/>
          <w:szCs w:val="16"/>
        </w:rPr>
        <w:softHyphen/>
        <w:t>ноте осуществлялся только взлет, а под</w:t>
      </w:r>
      <w:r w:rsidRPr="00722885">
        <w:rPr>
          <w:color w:val="000000" w:themeColor="text1"/>
          <w:sz w:val="16"/>
          <w:szCs w:val="16"/>
        </w:rPr>
        <w:softHyphen/>
        <w:t>лет к цели уже в сумерках на рассвете. Однако в этом случае уже требовалось прикрытие истребителей.</w:t>
      </w:r>
    </w:p>
    <w:p w14:paraId="1A7701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Поскольку экипажи "ильюшиных" при ночных штурмовках либо взлетали, либо возвращались на свой аэродром в пол</w:t>
      </w:r>
      <w:r w:rsidRPr="00722885">
        <w:rPr>
          <w:color w:val="000000" w:themeColor="text1"/>
          <w:sz w:val="16"/>
          <w:szCs w:val="16"/>
        </w:rPr>
        <w:softHyphen/>
        <w:t xml:space="preserve">ной темноте, то от аэродромных служб </w:t>
      </w:r>
      <w:r w:rsidRPr="00722885">
        <w:rPr>
          <w:color w:val="000000" w:themeColor="text1"/>
          <w:sz w:val="16"/>
          <w:szCs w:val="16"/>
        </w:rPr>
        <w:lastRenderedPageBreak/>
        <w:t>требовалась четкая организация ночных полетов, а от самих экипажей - высокое летное мастерство, так как конструктив</w:t>
      </w:r>
      <w:r w:rsidRPr="00722885">
        <w:rPr>
          <w:color w:val="000000" w:themeColor="text1"/>
          <w:sz w:val="16"/>
          <w:szCs w:val="16"/>
        </w:rPr>
        <w:softHyphen/>
        <w:t>ные особенности самолета Ил-2 огра</w:t>
      </w:r>
      <w:r w:rsidRPr="00722885">
        <w:rPr>
          <w:color w:val="000000" w:themeColor="text1"/>
          <w:sz w:val="16"/>
          <w:szCs w:val="16"/>
        </w:rPr>
        <w:softHyphen/>
        <w:t>ничивали обзор летчику на посадке. Поэтому, например, в начале ноября 1942 г. для нанесения запланированных бомбоштурмовых ударов по аэродромам противника силами 16-й воздушной ар</w:t>
      </w:r>
      <w:r w:rsidRPr="00722885">
        <w:rPr>
          <w:color w:val="000000" w:themeColor="text1"/>
          <w:sz w:val="16"/>
          <w:szCs w:val="16"/>
        </w:rPr>
        <w:softHyphen/>
        <w:t xml:space="preserve">мии 228-я </w:t>
      </w:r>
      <w:r w:rsidRPr="00722885">
        <w:rPr>
          <w:iCs/>
          <w:color w:val="000000" w:themeColor="text1"/>
          <w:sz w:val="16"/>
          <w:szCs w:val="16"/>
        </w:rPr>
        <w:t>шад</w:t>
      </w:r>
      <w:r w:rsidRPr="00722885">
        <w:rPr>
          <w:color w:val="000000" w:themeColor="text1"/>
          <w:sz w:val="16"/>
          <w:szCs w:val="16"/>
        </w:rPr>
        <w:t xml:space="preserve"> смогла выделить лишь 18 ночных экипажей Ил-2. В 8-й ВА Ил-2-ночников было и того меньше.</w:t>
      </w:r>
    </w:p>
    <w:p w14:paraId="627CCE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ряде случаев с целью повышения эффективности ночных действий штур</w:t>
      </w:r>
      <w:r w:rsidRPr="00722885">
        <w:rPr>
          <w:color w:val="000000" w:themeColor="text1"/>
          <w:sz w:val="16"/>
          <w:szCs w:val="16"/>
        </w:rPr>
        <w:softHyphen/>
        <w:t>мовиков привлекались экипажи легких бомбардировщиков У-2, в задачу кото</w:t>
      </w:r>
      <w:r w:rsidRPr="00722885">
        <w:rPr>
          <w:color w:val="000000" w:themeColor="text1"/>
          <w:sz w:val="16"/>
          <w:szCs w:val="16"/>
        </w:rPr>
        <w:softHyphen/>
        <w:t>рых входило обнаружение и подсветка целей. В этих случаях экипажи У-2-ос-ветителей, найдя и определив цель, за 1 -2 минуты до подхода ударных групп Ил-2 освещали цель путем сбрасывания осветительных авиабомб типа САБ-50-15 и САБ-100-55 или зажигательных авиабомб типа ЗАБ-ЮТГ и ЗАБ-50ТГ, а штурмовики Ил-2 атаковывали ее. Кро</w:t>
      </w:r>
      <w:r w:rsidRPr="00722885">
        <w:rPr>
          <w:color w:val="000000" w:themeColor="text1"/>
          <w:sz w:val="16"/>
          <w:szCs w:val="16"/>
        </w:rPr>
        <w:softHyphen/>
        <w:t>ме САБов и ЗАБов, для подсветки цели экипажи У-2 использовали и ампулы АЖ-2 с зажигательной смесью "КС" (6467).</w:t>
      </w:r>
    </w:p>
    <w:p w14:paraId="6917D775" w14:textId="77777777" w:rsidR="00AE7191" w:rsidRPr="00722885" w:rsidRDefault="00AE7191" w:rsidP="00722885">
      <w:pPr>
        <w:pStyle w:val="Iauiue"/>
        <w:jc w:val="both"/>
        <w:rPr>
          <w:color w:val="000000" w:themeColor="text1"/>
          <w:sz w:val="16"/>
          <w:szCs w:val="16"/>
        </w:rPr>
      </w:pPr>
    </w:p>
    <w:p w14:paraId="52B19D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августа 1942 немцы вышли к Волге в районе Сталинграда (2245,8) и были тяжелые бои (2261).</w:t>
      </w:r>
    </w:p>
    <w:p w14:paraId="02E253F1" w14:textId="77777777" w:rsidR="00AE7191" w:rsidRPr="00722885" w:rsidRDefault="00AE7191" w:rsidP="00722885">
      <w:pPr>
        <w:pStyle w:val="Iauiue"/>
        <w:jc w:val="both"/>
        <w:rPr>
          <w:color w:val="000000" w:themeColor="text1"/>
          <w:sz w:val="16"/>
          <w:szCs w:val="16"/>
        </w:rPr>
      </w:pPr>
    </w:p>
    <w:p w14:paraId="3FBAE6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августа 1942 началась советская контратака на Ленинград (2245,8).</w:t>
      </w:r>
    </w:p>
    <w:p w14:paraId="0031F418" w14:textId="77777777" w:rsidR="00AE7191" w:rsidRPr="00722885" w:rsidRDefault="00AE7191" w:rsidP="00722885">
      <w:pPr>
        <w:pStyle w:val="Iauiue"/>
        <w:jc w:val="both"/>
        <w:rPr>
          <w:color w:val="000000" w:themeColor="text1"/>
          <w:sz w:val="16"/>
          <w:szCs w:val="16"/>
        </w:rPr>
      </w:pPr>
    </w:p>
    <w:p w14:paraId="176DFFA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августа 1942 в боях под Ленинградом и лейт. Н.А.Кстинову в бою перебило руки и не мог даже открыть фонарь. Зажал руку коленями, вышел из ш, вернулся и сел. Вылечили и снова воевал (438,855).</w:t>
      </w:r>
    </w:p>
    <w:p w14:paraId="71F4A532" w14:textId="77777777" w:rsidR="00AE7191" w:rsidRPr="00722885" w:rsidRDefault="00AE7191" w:rsidP="00722885">
      <w:pPr>
        <w:pStyle w:val="Iauiue"/>
        <w:jc w:val="both"/>
        <w:rPr>
          <w:color w:val="000000" w:themeColor="text1"/>
          <w:sz w:val="16"/>
          <w:szCs w:val="16"/>
        </w:rPr>
      </w:pPr>
    </w:p>
    <w:p w14:paraId="517251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августа 1942 на Волховском фронте 500 ОТБ, вооруженный огнеметными танками, обеспечивал наступление 286 сд на Вороново. Подожгли 18 ДЗОТов и 21 дом. Солдаты и офицеры, побросав оружие и вещи, в панике бежали (5219, 33).</w:t>
      </w:r>
    </w:p>
    <w:p w14:paraId="29BFB592" w14:textId="77777777" w:rsidR="00AE7191" w:rsidRPr="00722885" w:rsidRDefault="00AE7191" w:rsidP="00722885">
      <w:pPr>
        <w:pStyle w:val="Iauiue"/>
        <w:jc w:val="both"/>
        <w:rPr>
          <w:color w:val="000000" w:themeColor="text1"/>
          <w:sz w:val="16"/>
          <w:szCs w:val="16"/>
        </w:rPr>
      </w:pPr>
    </w:p>
    <w:p w14:paraId="3AA55C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августа 1942 два Ш-2 СССР Х-217 и СССР Х-370 из состава второй эскадрильи 5 оап вылетели к партизанам, действующим на территории, оккупированной финнами, чтобы забрать пленных офицеров. Оказалось что это была радиоигра и машины захватили. Получили обозначения AV-186 и AV-187 и использовались до 1944 (7621, 37).</w:t>
      </w:r>
    </w:p>
    <w:p w14:paraId="74C88F5F" w14:textId="77777777" w:rsidR="00AE7191" w:rsidRPr="00722885" w:rsidRDefault="00AE7191" w:rsidP="00722885">
      <w:pPr>
        <w:pStyle w:val="Iauiue"/>
        <w:jc w:val="both"/>
        <w:rPr>
          <w:color w:val="000000" w:themeColor="text1"/>
          <w:sz w:val="16"/>
          <w:szCs w:val="16"/>
        </w:rPr>
      </w:pPr>
    </w:p>
    <w:p w14:paraId="4D3122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августа 1942 вышло Постановление ГКО № 2218 Об организации, штатном составе и вооружении отдельной лыжной бригады численностью 3000 чел. РГАНИР, Фонд ГКО, д. 54, лл. 67-67об (11012).</w:t>
      </w:r>
    </w:p>
    <w:p w14:paraId="70F248D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9E06C9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августа 1942 вышло Постановление ГКО № 2219 О сформировании 53 отдельных лыжных бригад и лыжных батальонов в дивизиях. РГАНИР, Фонд ГКО, д. 54, лл. 68-69 (11012).</w:t>
      </w:r>
    </w:p>
    <w:p w14:paraId="51B1CD3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D1AAF51"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73C48553" w14:textId="77777777" w:rsidR="00AE7191" w:rsidRPr="00722885" w:rsidRDefault="00AE7191" w:rsidP="00722885">
      <w:pPr>
        <w:pStyle w:val="Iauiue"/>
        <w:jc w:val="both"/>
        <w:rPr>
          <w:iCs/>
          <w:color w:val="000000" w:themeColor="text1"/>
          <w:sz w:val="16"/>
          <w:szCs w:val="16"/>
        </w:rPr>
      </w:pPr>
    </w:p>
    <w:p w14:paraId="553BA54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28 августа </w:t>
      </w:r>
      <w:r w:rsidRPr="00722885">
        <w:rPr>
          <w:rFonts w:ascii="Times New Roman" w:hAnsi="Times New Roman"/>
          <w:color w:val="000000" w:themeColor="text1"/>
          <w:sz w:val="16"/>
          <w:szCs w:val="16"/>
        </w:rPr>
        <w:t>в 1942 году И.В.Сталин направил телеграмму маршалу Семену Тимошенко в связи с пьесой Александра Корнейчука "Фронт": "В оценке пьесы Вы не правы. Пьеса будет иметь большое воспитательное значение для Красной Армии и ее комсостава... Нужно иметь мужество признать недостатки Красной Армии и принять меры к их ликвидации. Это единственный путь улучшения и усовершенствования Красной Армии" (14752).</w:t>
      </w:r>
    </w:p>
    <w:p w14:paraId="6C3FA23A"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603F6F53"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28 августа </w:t>
      </w:r>
      <w:r w:rsidRPr="00722885">
        <w:rPr>
          <w:rFonts w:ascii="Times New Roman" w:hAnsi="Times New Roman"/>
          <w:color w:val="000000" w:themeColor="text1"/>
          <w:sz w:val="16"/>
          <w:szCs w:val="16"/>
        </w:rPr>
        <w:t>в 1942 году генеральный комиссар Эстонии К.Лицманн обратился к эстонцам с призывом вступать в Эстонский легион СС для «участия в общей борьбе против большевизма» (14752).</w:t>
      </w:r>
    </w:p>
    <w:p w14:paraId="7C9E9E7D" w14:textId="77777777" w:rsidR="00885B41" w:rsidRPr="00722885" w:rsidRDefault="00885B41" w:rsidP="00722885">
      <w:pPr>
        <w:spacing w:after="0" w:line="240" w:lineRule="auto"/>
        <w:jc w:val="both"/>
        <w:rPr>
          <w:rFonts w:ascii="Times New Roman" w:hAnsi="Times New Roman"/>
          <w:color w:val="000000" w:themeColor="text1"/>
          <w:sz w:val="16"/>
          <w:szCs w:val="16"/>
        </w:rPr>
      </w:pPr>
    </w:p>
    <w:p w14:paraId="6C330B5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августа 1942 вышло Постановление ГКО № 2221 Об организации Всесоюзного социалистического соревнования работников предприятий Комитета по делам кинематографии при Совнаркоме СССР. РГАНИР, Фонд ГКО, д. 54, лл. 71, 72-74 (11012).</w:t>
      </w:r>
    </w:p>
    <w:p w14:paraId="7D479C4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F42C06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EDD332B" w14:textId="77777777" w:rsidR="00AE7191" w:rsidRPr="00722885" w:rsidRDefault="00AE7191" w:rsidP="00722885">
      <w:pPr>
        <w:pStyle w:val="Iauiue"/>
        <w:jc w:val="both"/>
        <w:rPr>
          <w:iCs/>
          <w:color w:val="000000" w:themeColor="text1"/>
          <w:sz w:val="16"/>
          <w:szCs w:val="16"/>
        </w:rPr>
      </w:pPr>
    </w:p>
    <w:p w14:paraId="0700F874"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28 августа 1942 года</w:t>
      </w:r>
      <w:r w:rsidRPr="00722885">
        <w:rPr>
          <w:rFonts w:ascii="Times New Roman" w:hAnsi="Times New Roman"/>
          <w:color w:val="000000" w:themeColor="text1"/>
          <w:sz w:val="16"/>
          <w:szCs w:val="16"/>
        </w:rPr>
        <w:t xml:space="preserve"> Первый серийный экземпляр английского бомбардировщика Vickers Warwick разбился и сгорел после того, как сорвалась полотняная обшивка с крыла. Этот самолет, прибыл в испытательный центр ААЕЕ в Боскомб-Даун 3 июля (14752).</w:t>
      </w:r>
    </w:p>
    <w:p w14:paraId="4B48291F" w14:textId="77777777" w:rsidR="00885B41" w:rsidRPr="00722885" w:rsidRDefault="00885B41" w:rsidP="00722885">
      <w:pPr>
        <w:spacing w:after="0" w:line="240" w:lineRule="auto"/>
        <w:jc w:val="both"/>
        <w:rPr>
          <w:rFonts w:ascii="Times New Roman" w:hAnsi="Times New Roman"/>
          <w:bCs/>
          <w:color w:val="000000" w:themeColor="text1"/>
          <w:sz w:val="16"/>
          <w:szCs w:val="16"/>
        </w:rPr>
      </w:pPr>
    </w:p>
    <w:p w14:paraId="2A5E5FD5"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August 28, 1942: Massive RAF raid against Nuremberg that kills 4,000 civilians and destroys over 10, 000 dwellings. Under heavy pressure from the US, Brazil declares war on Germany (3819).</w:t>
      </w:r>
    </w:p>
    <w:p w14:paraId="018F327E" w14:textId="77777777" w:rsidR="00AE7191" w:rsidRPr="00722885" w:rsidRDefault="00AE7191" w:rsidP="00722885">
      <w:pPr>
        <w:pStyle w:val="Iauiue"/>
        <w:jc w:val="both"/>
        <w:rPr>
          <w:color w:val="000000" w:themeColor="text1"/>
          <w:sz w:val="16"/>
          <w:szCs w:val="16"/>
          <w:lang w:val="en-US"/>
        </w:rPr>
      </w:pPr>
    </w:p>
    <w:p w14:paraId="6D90C3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 августа 1942 состоялся массированный рейд Королевских ВВС на Нюрнберг и погибло 4000 чел. и было разрушено 100000 квартир и домов. Под давлением США Бразилия объявила войну Германии (3819).</w:t>
      </w:r>
    </w:p>
    <w:p w14:paraId="65A9A48D" w14:textId="77777777" w:rsidR="00AE7191" w:rsidRPr="00722885" w:rsidRDefault="00AE7191" w:rsidP="00722885">
      <w:pPr>
        <w:pStyle w:val="Iauiue"/>
        <w:jc w:val="both"/>
        <w:rPr>
          <w:color w:val="000000" w:themeColor="text1"/>
          <w:sz w:val="16"/>
          <w:szCs w:val="16"/>
        </w:rPr>
      </w:pPr>
    </w:p>
    <w:p w14:paraId="24DD7956"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28 августа 1943 высотный бомбардировщик Люфтваффе Junkers Ju 86R сбрасывает 250-килограммовую (551 фунт) бомбу на Бристоль, Англия в утренний час пик, уничтожив несколько автобусов, убив 48 мирных жителей и ранив 56 человек (20793).</w:t>
      </w:r>
    </w:p>
    <w:p w14:paraId="5F848C17" w14:textId="77777777" w:rsidR="00504B90" w:rsidRPr="00722885" w:rsidRDefault="00504B90" w:rsidP="00722885">
      <w:pPr>
        <w:spacing w:after="0" w:line="240" w:lineRule="auto"/>
        <w:jc w:val="both"/>
        <w:rPr>
          <w:rFonts w:ascii="Times New Roman" w:hAnsi="Times New Roman"/>
          <w:color w:val="0070C0"/>
          <w:sz w:val="16"/>
          <w:szCs w:val="16"/>
        </w:rPr>
      </w:pPr>
    </w:p>
    <w:p w14:paraId="7AFF42DE"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28–29 августа (ночь) 1942 рейд 159 британских бомбардировщиков на Нюрнберг, Германия, несет еще более высокий уровень потерь - 14,5%, поскольку 23 самолета не возвращаются, хотя налет снова умеренно успешен. Использован «Красный Blob,» - индикатор целей, светящийся отличительным красным (20793).</w:t>
      </w:r>
    </w:p>
    <w:p w14:paraId="2DB529CC" w14:textId="77777777" w:rsidR="00504B90" w:rsidRPr="00722885" w:rsidRDefault="00504B90" w:rsidP="00722885">
      <w:pPr>
        <w:spacing w:after="0" w:line="240" w:lineRule="auto"/>
        <w:jc w:val="both"/>
        <w:rPr>
          <w:rFonts w:ascii="Times New Roman" w:hAnsi="Times New Roman"/>
          <w:color w:val="0070C0"/>
          <w:sz w:val="16"/>
          <w:szCs w:val="16"/>
        </w:rPr>
      </w:pPr>
    </w:p>
    <w:p w14:paraId="381A958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EE65F5C" w14:textId="77777777" w:rsidR="00AE7191" w:rsidRPr="00722885" w:rsidRDefault="00AE7191" w:rsidP="00722885">
      <w:pPr>
        <w:pStyle w:val="Iauiue"/>
        <w:jc w:val="both"/>
        <w:rPr>
          <w:iCs/>
          <w:color w:val="000000" w:themeColor="text1"/>
          <w:sz w:val="16"/>
          <w:szCs w:val="16"/>
        </w:rPr>
      </w:pPr>
    </w:p>
    <w:p w14:paraId="16E543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29 августа 1942 вышел приказ НКАП и командующего ВВС N 665с/036:</w:t>
      </w:r>
    </w:p>
    <w:p w14:paraId="744978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"ГК самолета Ил-2 С.В.И. произведена модернизация бомбардировочного вооружения самолета, благодаря которой возможно применение мелких бомб непосредственно загрузкой в бомбоотсеки без специальных кассет КМБ, а также применение бомб ФАБ-250 и приборов ВАП-250 и УХАП-250 на замках МД-3-40, вместо замков Дер-31 и специальных балок.</w:t>
      </w:r>
    </w:p>
    <w:p w14:paraId="419DC4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Модернизированное бомбардировочное вооружение выдержало испытания и рекомендовано НИИАВ к внедрению в серийное производство.</w:t>
      </w:r>
    </w:p>
    <w:p w14:paraId="5C830A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соответствии с этим:</w:t>
      </w:r>
    </w:p>
    <w:p w14:paraId="2A429E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Директору завода 18 Белянскому к 15 сентября 942 сдать 20 самолетов Ил-2 в модернизированном варианте для проведения войсковых серийных испытаний.</w:t>
      </w:r>
    </w:p>
    <w:p w14:paraId="58B59C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Нач. 10 ГУ Тарасевичу, директорам заводов 1, 18, 30 и 231 Третьякову, Белянскому, Шапиро и Журавлеву с 15 октября выпускать самолеты Ил-2 в модернизированном варианте с замками МД-3-40 без спец. балок и без кассет КМБ по чертежам ГК С.В.И. с учетом опыта эксплуатации первых 20 самолетов, выпущенных заводом 18" (1587,39).</w:t>
      </w:r>
    </w:p>
    <w:p w14:paraId="4A385369" w14:textId="77777777" w:rsidR="00AE7191" w:rsidRPr="00722885" w:rsidRDefault="00AE7191" w:rsidP="00722885">
      <w:pPr>
        <w:pStyle w:val="Iauiue"/>
        <w:jc w:val="both"/>
        <w:rPr>
          <w:color w:val="000000" w:themeColor="text1"/>
          <w:sz w:val="16"/>
          <w:szCs w:val="16"/>
        </w:rPr>
      </w:pPr>
    </w:p>
    <w:p w14:paraId="28F7A337"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 августа 1942 г.</w:t>
      </w:r>
    </w:p>
    <w:p w14:paraId="3F3D30EC"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 приказа ИКАП СССР и Командующего ВВС Красной Армии о выпуске самолетов Ил-2 в модернизированном варианте</w:t>
      </w:r>
    </w:p>
    <w:p w14:paraId="298AB390"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 августа 1942 г.</w:t>
      </w:r>
    </w:p>
    <w:p w14:paraId="49176F62"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2318D4CD"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Главным конструктором самолета Ил-2 тов. Ильюшиным проведена модернизация бомбардировочного вооружения самолета, благодаря которой возможно применение мелких бомб непосредственной загрузкой в бомбоотсеки без специальных кассет КМБ, а также применение бомб ФАБ-250 и приборов ВАП-250 и УХАП-250 на замках МД-3-40, вместо замков Дер-31 и специальных балок.</w:t>
      </w:r>
    </w:p>
    <w:p w14:paraId="0AA879EB"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Модернизированное бомбардировочное вооружение выдержало испытание и рекомендовано НИПАВом к внедрению в серийное производство.</w:t>
      </w:r>
    </w:p>
    <w:p w14:paraId="7C59DDBF"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соответствии с этим приказываю:</w:t>
      </w:r>
    </w:p>
    <w:p w14:paraId="1E9CDD21"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1.</w:t>
      </w:r>
    </w:p>
    <w:p w14:paraId="02DBEE78"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Директору завода № 18 тов. Белянскому к 15 сентября 1942 года сдать 20 самолетов Ил-2 в модернизированном варианте для проведения </w:t>
      </w:r>
    </w:p>
    <w:p w14:paraId="4A581CE7"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войсковых серийных испытаний.</w:t>
      </w:r>
    </w:p>
    <w:p w14:paraId="3159A350"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w:t>
      </w:r>
    </w:p>
    <w:p w14:paraId="56DAF2ED"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Начальнику 10 Главного Управления НКАП тов. Тарасевичу, директорам заводов № 1, 18... тт. Третьякову, Белянскому... с 15 октября 1942 года выпускать самолеты Ил-2 в модернизированном варианте ...по чертежам Главного конструктора тов. Ильюшина, с учетом опыта эксплуатации первых 20 самолетов, выпущенных заводом № 18.</w:t>
      </w:r>
    </w:p>
    <w:p w14:paraId="28A65726"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w:t>
      </w:r>
    </w:p>
    <w:p w14:paraId="106A199C"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Начальнику 2 Главного Управления НКАП тов. Климовицкому обеспечить своевременную поставку заводам № 1, 18... замков МД-3-40 вместо замков Дер-31 и специальных балок по заявкам 10 Главного Управления...</w:t>
      </w:r>
    </w:p>
    <w:p w14:paraId="5165301D"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 Народного Комиссара авиационной промышленности инженер ВВС КА генерал-лейтенант</w:t>
      </w:r>
    </w:p>
    <w:p w14:paraId="31F3BC73"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 Командующего и Главный инженерно-авиационной службы</w:t>
      </w:r>
    </w:p>
    <w:p w14:paraId="6E91618A"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 Дементьев</w:t>
      </w:r>
      <w:r w:rsidRPr="00722885">
        <w:rPr>
          <w:rFonts w:ascii="Times New Roman" w:hAnsi="Times New Roman"/>
          <w:color w:val="0070C0"/>
          <w:sz w:val="16"/>
          <w:szCs w:val="16"/>
        </w:rPr>
        <w:tab/>
        <w:t>А. Репин</w:t>
      </w:r>
    </w:p>
    <w:p w14:paraId="5A57DC33"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ГАСО. Ф. </w:t>
      </w:r>
      <w:r w:rsidRPr="00722885">
        <w:rPr>
          <w:rFonts w:ascii="Times New Roman" w:hAnsi="Times New Roman"/>
          <w:color w:val="0070C0"/>
          <w:sz w:val="16"/>
          <w:szCs w:val="16"/>
          <w:lang w:val="en-US"/>
        </w:rPr>
        <w:t>P</w:t>
      </w:r>
      <w:r w:rsidRPr="00722885">
        <w:rPr>
          <w:rFonts w:ascii="Times New Roman" w:hAnsi="Times New Roman"/>
          <w:color w:val="0070C0"/>
          <w:sz w:val="16"/>
          <w:szCs w:val="16"/>
        </w:rPr>
        <w:t xml:space="preserve">-3454. </w:t>
      </w:r>
      <w:r w:rsidRPr="00722885">
        <w:rPr>
          <w:rFonts w:ascii="Times New Roman" w:hAnsi="Times New Roman"/>
          <w:color w:val="0070C0"/>
          <w:sz w:val="16"/>
          <w:szCs w:val="16"/>
          <w:lang w:val="en-US"/>
        </w:rPr>
        <w:t>On</w:t>
      </w:r>
      <w:r w:rsidRPr="00722885">
        <w:rPr>
          <w:rFonts w:ascii="Times New Roman" w:hAnsi="Times New Roman"/>
          <w:color w:val="0070C0"/>
          <w:sz w:val="16"/>
          <w:szCs w:val="16"/>
        </w:rPr>
        <w:t>. 2. Д. 6. Л. 9. Завер. Копия (20533).</w:t>
      </w:r>
    </w:p>
    <w:p w14:paraId="77A76E1C" w14:textId="77777777" w:rsidR="00504B90" w:rsidRPr="00722885" w:rsidRDefault="00504B90" w:rsidP="00722885">
      <w:pPr>
        <w:spacing w:after="0" w:line="240" w:lineRule="auto"/>
        <w:jc w:val="both"/>
        <w:rPr>
          <w:rFonts w:ascii="Times New Roman" w:hAnsi="Times New Roman"/>
          <w:color w:val="0070C0"/>
          <w:sz w:val="16"/>
          <w:szCs w:val="16"/>
        </w:rPr>
      </w:pPr>
    </w:p>
    <w:p w14:paraId="6DE4CF4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29 августа 1942 П.Дементьев от НКАП писал ГИ ВВС А.К.Репину письмо N Н-36/3455:</w:t>
      </w:r>
    </w:p>
    <w:p w14:paraId="7DF041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"Директора заводов 1 и 18 Третьяков и Белянский подняли вопрос о сокращении времени облета Ил-2 при контрольно-сдаточных испытаниях с 45 до 15 мин.</w:t>
      </w:r>
    </w:p>
    <w:p w14:paraId="0513E8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 своей стороны, считаю целесообразным в целях экономии топлива и масла время облета сократить до 20 мин., что вполне достаточно для полной проверки самолета в воздухе.</w:t>
      </w:r>
    </w:p>
    <w:p w14:paraId="67BFFD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Прошу Вашего согласия и указания Военпредам." (1632,35).</w:t>
      </w:r>
    </w:p>
    <w:p w14:paraId="4B78F61E" w14:textId="77777777" w:rsidR="00AE7191" w:rsidRPr="00722885" w:rsidRDefault="00AE7191" w:rsidP="00722885">
      <w:pPr>
        <w:pStyle w:val="Iauiue"/>
        <w:jc w:val="both"/>
        <w:rPr>
          <w:color w:val="000000" w:themeColor="text1"/>
          <w:sz w:val="16"/>
          <w:szCs w:val="16"/>
        </w:rPr>
      </w:pPr>
    </w:p>
    <w:p w14:paraId="7A86C9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29 августа 1942 Дементьев писал ГИ ВВС А.К.Репину письмо N Н-36/3455:</w:t>
      </w:r>
    </w:p>
    <w:p w14:paraId="1FF761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"Директора заводов 1 и 18 подняли вопрос о сокращении времени облета самолетов Ил-2 при контрольно-сдаточных полетах с 45 до 15 минут.</w:t>
      </w:r>
    </w:p>
    <w:p w14:paraId="7063A0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 своей стороны считаю целесообразным в целях экономии топлива и масла время облета сократить до 20 мин., что вполне достаточно для полной проверки самолета в воздухе (1632,35).</w:t>
      </w:r>
    </w:p>
    <w:p w14:paraId="391108CC" w14:textId="77777777" w:rsidR="00AE7191" w:rsidRPr="00722885" w:rsidRDefault="00AE7191" w:rsidP="00722885">
      <w:pPr>
        <w:pStyle w:val="Iauiue"/>
        <w:jc w:val="both"/>
        <w:rPr>
          <w:color w:val="000000" w:themeColor="text1"/>
          <w:sz w:val="16"/>
          <w:szCs w:val="16"/>
        </w:rPr>
      </w:pPr>
    </w:p>
    <w:p w14:paraId="5D8B39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29 августа 1942 закончились войсковые испытания в боевых условиях М-82 на Ла-5, которые проходили с 13 августа 1942 (1315,65).</w:t>
      </w:r>
    </w:p>
    <w:p w14:paraId="41380FF4" w14:textId="77777777" w:rsidR="00AE7191" w:rsidRPr="00722885" w:rsidRDefault="00AE7191" w:rsidP="00722885">
      <w:pPr>
        <w:pStyle w:val="Iauiue"/>
        <w:jc w:val="both"/>
        <w:rPr>
          <w:color w:val="000000" w:themeColor="text1"/>
          <w:sz w:val="16"/>
          <w:szCs w:val="16"/>
        </w:rPr>
      </w:pPr>
    </w:p>
    <w:p w14:paraId="1EC8EBB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августа 1942 испытание ПВРД ДМ-4 № 15 в СЭИГ МАИ было продолжено. На этот раз двигатель включался в работу нормально. Горение бен</w:t>
      </w:r>
      <w:r w:rsidRPr="00722885">
        <w:rPr>
          <w:rFonts w:ascii="Times New Roman" w:hAnsi="Times New Roman"/>
          <w:color w:val="000000" w:themeColor="text1"/>
          <w:sz w:val="16"/>
          <w:szCs w:val="16"/>
        </w:rPr>
        <w:softHyphen/>
        <w:t>зина происходило по всему сечению камеры. Резко выделялись три языка пламени, центрами которых являлись штуцеры, подводящие бензин к горелке. При скорости потока воздуха в рабочей части трубы = 47 м/сек и при подаче горючего в количестве 120 см</w:t>
      </w:r>
      <w:r w:rsidRPr="00722885">
        <w:rPr>
          <w:rFonts w:ascii="Times New Roman" w:hAnsi="Times New Roman"/>
          <w:color w:val="000000" w:themeColor="text1"/>
          <w:sz w:val="16"/>
          <w:szCs w:val="16"/>
          <w:vertAlign w:val="superscript"/>
        </w:rPr>
        <w:t>3</w:t>
      </w:r>
      <w:r w:rsidRPr="00722885">
        <w:rPr>
          <w:rFonts w:ascii="Times New Roman" w:hAnsi="Times New Roman"/>
          <w:color w:val="000000" w:themeColor="text1"/>
          <w:sz w:val="16"/>
          <w:szCs w:val="16"/>
        </w:rPr>
        <w:t>/сек длина факела доходила до 1 - 1,5 м. Продолжитель</w:t>
      </w:r>
      <w:r w:rsidRPr="00722885">
        <w:rPr>
          <w:rFonts w:ascii="Times New Roman" w:hAnsi="Times New Roman"/>
          <w:color w:val="000000" w:themeColor="text1"/>
          <w:sz w:val="16"/>
          <w:szCs w:val="16"/>
        </w:rPr>
        <w:softHyphen/>
        <w:t>ность работы двигателя на различных расходах бензина от 50 до 150 см</w:t>
      </w:r>
      <w:r w:rsidRPr="00722885">
        <w:rPr>
          <w:rFonts w:ascii="Times New Roman" w:hAnsi="Times New Roman"/>
          <w:color w:val="000000" w:themeColor="text1"/>
          <w:sz w:val="16"/>
          <w:szCs w:val="16"/>
          <w:vertAlign w:val="superscript"/>
        </w:rPr>
        <w:t>3</w:t>
      </w:r>
      <w:r w:rsidRPr="00722885">
        <w:rPr>
          <w:rFonts w:ascii="Times New Roman" w:hAnsi="Times New Roman"/>
          <w:color w:val="000000" w:themeColor="text1"/>
          <w:sz w:val="16"/>
          <w:szCs w:val="16"/>
        </w:rPr>
        <w:t>/сек составила 3 минуты (11081).</w:t>
      </w:r>
    </w:p>
    <w:p w14:paraId="1D07B0C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B15D8AC" w14:textId="77777777" w:rsidR="00DE48C2" w:rsidRPr="00722885" w:rsidRDefault="00DE48C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29 по 30 августа 1942 г. на НИП АВ ВВ проходили испытания установок РО РУБ-4, которая монтировалась на месте астронавигационного люка стрелка-радиста и РУБ-2л – установленной совместно с люковой стрелковой установкой ЛУ-Пе-2. Для ведения прицельного огня установки имели оптические прицелы: ОПТ-2 – на РУБ-4, и ОП-2л – на РУБ-2л. Выяснилось, что стрелку-радисту не хватало физических сил повернуть установки в сторону. Прицеливаться и удерживать линию визирования на цели было практически невозможно. В момент пуска возникал большой разворачивающий момент. Физических сил для компенсации разворота установки стрелку-радисту не хватало, и ракетный снаряд уходил «в сторону противника не по прицелу». Кроме того, после пуска первого снаряда установки «теряли» симметричность. Наводка и прицеливание становились еще сложнее. К тому же самолет разворачивало, летчику приходилось парировать разворот рулями. Установка РУБ-4 мешала стрелку работать с пулеметом ШКАС, а сам пулемет ШКАС – управляться с РУБ-4. Одновременно РУБ-2л затрудняла стрельбу из пулемета БТ. Результаты испытаний РУБ-4 и РУБ-2л сочли неудовлетворительными. На самолете Пе-2 зав. №7/87 устанавливались люковая РУБ-2л и верхняя РУБ-4 ракетные управляемые батареи под четыре и два ракетных орудия РО-82 конструкции, соответственно, В.П. Заулошнова и А.Л. Виноградова (СКО завода №22) (19775).</w:t>
      </w:r>
    </w:p>
    <w:p w14:paraId="20262D88" w14:textId="77777777" w:rsidR="00DE48C2" w:rsidRPr="00722885" w:rsidRDefault="00DE48C2" w:rsidP="00722885">
      <w:pPr>
        <w:spacing w:after="0" w:line="240" w:lineRule="auto"/>
        <w:jc w:val="both"/>
        <w:rPr>
          <w:rFonts w:ascii="Times New Roman" w:hAnsi="Times New Roman"/>
          <w:color w:val="000000" w:themeColor="text1"/>
          <w:sz w:val="16"/>
          <w:szCs w:val="16"/>
        </w:rPr>
      </w:pPr>
    </w:p>
    <w:p w14:paraId="174890AA" w14:textId="77777777" w:rsidR="00504B90" w:rsidRPr="00722885" w:rsidRDefault="00504B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 августа 1943 года, через день после того, как было принято решение о восстановления завода №135, на заводе были организованы деревообделочный, дюралевый, механический и сборочный цехи. 10 сентября приступили к ремонту Як-1, Як-7, Як-9, Ла-5 и Ил-2, поступавших с фронта. В ноябре 1943 г. начали сборку Як-7 и Як-9 из готовых агрегатов саратовского завода. Задание декабря 1943 г. было выполнено досрочно. В следующем году завод начал сборку истребителей-бомбардировщиков Як-9Б, изготовление крыльев к Як-3, а также запчастей к Як-1 (22829).</w:t>
      </w:r>
    </w:p>
    <w:p w14:paraId="55E28E64" w14:textId="77777777" w:rsidR="00504B90" w:rsidRPr="00722885" w:rsidRDefault="00504B90" w:rsidP="00722885">
      <w:pPr>
        <w:spacing w:after="0" w:line="240" w:lineRule="auto"/>
        <w:jc w:val="both"/>
        <w:rPr>
          <w:rFonts w:ascii="Times New Roman" w:hAnsi="Times New Roman"/>
          <w:color w:val="0070C0"/>
          <w:sz w:val="16"/>
          <w:szCs w:val="16"/>
        </w:rPr>
      </w:pPr>
    </w:p>
    <w:p w14:paraId="73AD7539" w14:textId="77777777" w:rsidR="00885B41" w:rsidRPr="00722885" w:rsidRDefault="00885B41" w:rsidP="00722885">
      <w:pPr>
        <w:pStyle w:val="3a"/>
        <w:shd w:val="clear" w:color="auto" w:fill="auto"/>
        <w:spacing w:before="0" w:after="0" w:line="240" w:lineRule="auto"/>
        <w:jc w:val="both"/>
        <w:rPr>
          <w:color w:val="000000" w:themeColor="text1"/>
          <w:spacing w:val="0"/>
          <w:sz w:val="16"/>
          <w:szCs w:val="16"/>
        </w:rPr>
      </w:pPr>
      <w:r w:rsidRPr="00722885">
        <w:rPr>
          <w:color w:val="000000" w:themeColor="text1"/>
          <w:spacing w:val="0"/>
          <w:sz w:val="16"/>
          <w:szCs w:val="16"/>
        </w:rPr>
        <w:t>29 августа 1942 г. Отчет С.А. Чаплыгина о научно-исследовательской деятельности за 7 месяцев 1942 года перед Президиумом Академии наук СССР</w:t>
      </w:r>
    </w:p>
    <w:p w14:paraId="6076FC19" w14:textId="77777777" w:rsidR="00885B41" w:rsidRPr="00722885" w:rsidRDefault="00885B41" w:rsidP="00722885">
      <w:pPr>
        <w:pStyle w:val="3a"/>
        <w:shd w:val="clear" w:color="auto" w:fill="auto"/>
        <w:spacing w:before="0" w:after="0" w:line="240" w:lineRule="auto"/>
        <w:jc w:val="both"/>
        <w:rPr>
          <w:color w:val="000000" w:themeColor="text1"/>
          <w:spacing w:val="0"/>
          <w:sz w:val="16"/>
          <w:szCs w:val="16"/>
        </w:rPr>
      </w:pPr>
      <w:r w:rsidRPr="00722885">
        <w:rPr>
          <w:color w:val="000000" w:themeColor="text1"/>
          <w:spacing w:val="0"/>
          <w:sz w:val="16"/>
          <w:szCs w:val="16"/>
        </w:rPr>
        <w:t>Копия — академику секретарю отделения технических наук АН СССР.</w:t>
      </w:r>
    </w:p>
    <w:p w14:paraId="4FB2369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и прежние годы, моя научно-исследовательская работа про</w:t>
      </w:r>
      <w:r w:rsidRPr="00722885">
        <w:rPr>
          <w:rFonts w:ascii="Times New Roman" w:hAnsi="Times New Roman"/>
          <w:color w:val="000000" w:themeColor="text1"/>
          <w:sz w:val="16"/>
          <w:szCs w:val="16"/>
        </w:rPr>
        <w:softHyphen/>
        <w:t>ходила по линии оборонного предприятия — Центрального аэродина</w:t>
      </w:r>
      <w:r w:rsidRPr="00722885">
        <w:rPr>
          <w:rFonts w:ascii="Times New Roman" w:hAnsi="Times New Roman"/>
          <w:color w:val="000000" w:themeColor="text1"/>
          <w:sz w:val="16"/>
          <w:szCs w:val="16"/>
        </w:rPr>
        <w:softHyphen/>
        <w:t>мического института имени проф. Н.Е. Жуковского.</w:t>
      </w:r>
    </w:p>
    <w:p w14:paraId="02E5A4E4"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изменившихся условиях с ноября 1941 года я нахожусь совмест</w:t>
      </w:r>
      <w:r w:rsidRPr="00722885">
        <w:rPr>
          <w:rFonts w:ascii="Times New Roman" w:hAnsi="Times New Roman"/>
          <w:color w:val="000000" w:themeColor="text1"/>
          <w:sz w:val="16"/>
          <w:szCs w:val="16"/>
        </w:rPr>
        <w:softHyphen/>
        <w:t>но с эвакуированной частью ЦАГИ в г. Новосибирске, где принимаю непосредственное участие в создании, согласно постановления Коми</w:t>
      </w:r>
      <w:r w:rsidRPr="00722885">
        <w:rPr>
          <w:rFonts w:ascii="Times New Roman" w:hAnsi="Times New Roman"/>
          <w:color w:val="000000" w:themeColor="text1"/>
          <w:sz w:val="16"/>
          <w:szCs w:val="16"/>
        </w:rPr>
        <w:softHyphen/>
        <w:t>тета Обороны, новой аэродинамической лаборатории на Востоке.</w:t>
      </w:r>
    </w:p>
    <w:p w14:paraId="3EF3645E"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Моя Московская аэродинамическая лаборатория, прервавшая по решению правительства свою работу в ноябре 1941 года, с февраля на</w:t>
      </w:r>
      <w:r w:rsidRPr="00722885">
        <w:rPr>
          <w:rFonts w:ascii="Times New Roman" w:hAnsi="Times New Roman"/>
          <w:color w:val="000000" w:themeColor="text1"/>
          <w:sz w:val="16"/>
          <w:szCs w:val="16"/>
        </w:rPr>
        <w:softHyphen/>
        <w:t>чала восстанавливаться и в настоящее время работает полным ходом, выполняя серьезные оборонные задания. Непосредственно руководят ею два моих заместителя, поддерживающие со мной постоянную связь.</w:t>
      </w:r>
    </w:p>
    <w:p w14:paraId="1A5E441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моей личной научной работе в текущем году ведется теорети</w:t>
      </w:r>
      <w:r w:rsidRPr="00722885">
        <w:rPr>
          <w:rFonts w:ascii="Times New Roman" w:hAnsi="Times New Roman"/>
          <w:color w:val="000000" w:themeColor="text1"/>
          <w:sz w:val="16"/>
          <w:szCs w:val="16"/>
        </w:rPr>
        <w:softHyphen/>
        <w:t>ческое и экспериментальное исследование профилей САЧ для вин</w:t>
      </w:r>
      <w:r w:rsidRPr="00722885">
        <w:rPr>
          <w:rFonts w:ascii="Times New Roman" w:hAnsi="Times New Roman"/>
          <w:color w:val="000000" w:themeColor="text1"/>
          <w:sz w:val="16"/>
          <w:szCs w:val="16"/>
        </w:rPr>
        <w:softHyphen/>
        <w:t>тов и крыльев самолетов. Получены формулы, дающие возможность до эксперимента рассчитать опору распределения давления на профи</w:t>
      </w:r>
      <w:r w:rsidRPr="00722885">
        <w:rPr>
          <w:rFonts w:ascii="Times New Roman" w:hAnsi="Times New Roman"/>
          <w:color w:val="000000" w:themeColor="text1"/>
          <w:sz w:val="16"/>
          <w:szCs w:val="16"/>
        </w:rPr>
        <w:softHyphen/>
        <w:t>ле, коэффициент подъемной силы Су, коэффициент момента Стг, изу</w:t>
      </w:r>
      <w:r w:rsidRPr="00722885">
        <w:rPr>
          <w:rFonts w:ascii="Times New Roman" w:hAnsi="Times New Roman"/>
          <w:color w:val="000000" w:themeColor="text1"/>
          <w:sz w:val="16"/>
          <w:szCs w:val="16"/>
        </w:rPr>
        <w:softHyphen/>
        <w:t>чить поле скоростей течения около профиля.</w:t>
      </w:r>
    </w:p>
    <w:p w14:paraId="2D66097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Установлена связь между параметрами, входящими в основную функцию, дающую отображение окружности единичного радиуса плоскости вспомогательного течения на плоскости основного течения, и конструктивными параметрами профиля.</w:t>
      </w:r>
    </w:p>
    <w:p w14:paraId="3E8599B5"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Разработан способ построения теоретического профиля, облада</w:t>
      </w:r>
      <w:r w:rsidRPr="00722885">
        <w:rPr>
          <w:rFonts w:ascii="Times New Roman" w:hAnsi="Times New Roman"/>
          <w:color w:val="000000" w:themeColor="text1"/>
          <w:sz w:val="16"/>
          <w:szCs w:val="16"/>
        </w:rPr>
        <w:softHyphen/>
        <w:t>ющего заданной формой средней линии, заданной толщиной (по вели</w:t>
      </w:r>
      <w:r w:rsidRPr="00722885">
        <w:rPr>
          <w:rFonts w:ascii="Times New Roman" w:hAnsi="Times New Roman"/>
          <w:color w:val="000000" w:themeColor="text1"/>
          <w:sz w:val="16"/>
          <w:szCs w:val="16"/>
        </w:rPr>
        <w:softHyphen/>
        <w:t>чине и месторасположению по хорде профиля).</w:t>
      </w:r>
    </w:p>
    <w:p w14:paraId="2666842E"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Проведено экспериментальное исследование 25 теоретических профилей САЧ в моей аэродинамической лаборатории ЦАГИ (в Мо</w:t>
      </w:r>
      <w:r w:rsidRPr="00722885">
        <w:rPr>
          <w:rFonts w:ascii="Times New Roman" w:hAnsi="Times New Roman"/>
          <w:color w:val="000000" w:themeColor="text1"/>
          <w:sz w:val="16"/>
          <w:szCs w:val="16"/>
        </w:rPr>
        <w:softHyphen/>
        <w:t>скве).</w:t>
      </w:r>
    </w:p>
    <w:p w14:paraId="45E9A0DE"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Два профиля САЧ-30 и САЧ-33 будут в этом году дополнитель</w:t>
      </w:r>
      <w:r w:rsidRPr="00722885">
        <w:rPr>
          <w:rFonts w:ascii="Times New Roman" w:hAnsi="Times New Roman"/>
          <w:color w:val="000000" w:themeColor="text1"/>
          <w:sz w:val="16"/>
          <w:szCs w:val="16"/>
        </w:rPr>
        <w:softHyphen/>
        <w:t>но детально исследованы на больших значениях числа Рейнольдса (1.106 Ке 6.106).</w:t>
      </w:r>
    </w:p>
    <w:p w14:paraId="2ECD3B6B"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этих испытаний указанные профили, как обладающие хо</w:t>
      </w:r>
      <w:r w:rsidRPr="00722885">
        <w:rPr>
          <w:rFonts w:ascii="Times New Roman" w:hAnsi="Times New Roman"/>
          <w:color w:val="000000" w:themeColor="text1"/>
          <w:sz w:val="16"/>
          <w:szCs w:val="16"/>
        </w:rPr>
        <w:softHyphen/>
        <w:t>рошими аэродинамическими характеристиками, можно будет исполь</w:t>
      </w:r>
      <w:r w:rsidRPr="00722885">
        <w:rPr>
          <w:rFonts w:ascii="Times New Roman" w:hAnsi="Times New Roman"/>
          <w:color w:val="000000" w:themeColor="text1"/>
          <w:sz w:val="16"/>
          <w:szCs w:val="16"/>
        </w:rPr>
        <w:softHyphen/>
        <w:t>зовать в практическом самолетостроении.</w:t>
      </w:r>
    </w:p>
    <w:p w14:paraId="126D3863"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проектируется винт на базе винтовых теоре</w:t>
      </w:r>
      <w:r w:rsidRPr="00722885">
        <w:rPr>
          <w:rFonts w:ascii="Times New Roman" w:hAnsi="Times New Roman"/>
          <w:color w:val="000000" w:themeColor="text1"/>
          <w:sz w:val="16"/>
          <w:szCs w:val="16"/>
        </w:rPr>
        <w:softHyphen/>
        <w:t>тических профилей - САЧ, имеющий меньшие концевые потери, чем обычные винты. Испытания винта предполагается провести в IV квар</w:t>
      </w:r>
      <w:r w:rsidRPr="00722885">
        <w:rPr>
          <w:rFonts w:ascii="Times New Roman" w:hAnsi="Times New Roman"/>
          <w:color w:val="000000" w:themeColor="text1"/>
          <w:sz w:val="16"/>
          <w:szCs w:val="16"/>
        </w:rPr>
        <w:softHyphen/>
        <w:t>тале 1942 года.</w:t>
      </w:r>
    </w:p>
    <w:p w14:paraId="0318F081"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Необходимая расчетная и экспериментальная работа под моим руководством ведется спецгруппой в Новосибирске и группой профи</w:t>
      </w:r>
      <w:r w:rsidRPr="00722885">
        <w:rPr>
          <w:rFonts w:ascii="Times New Roman" w:hAnsi="Times New Roman"/>
          <w:color w:val="000000" w:themeColor="text1"/>
          <w:sz w:val="16"/>
          <w:szCs w:val="16"/>
        </w:rPr>
        <w:softHyphen/>
        <w:t>лей САЧ в Москве.</w:t>
      </w:r>
    </w:p>
    <w:p w14:paraId="6ECF43BA"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базе проведенной работы строится общая теория профиля: профиль САЧ общего вида определяется 5п + 3 независимыми параме</w:t>
      </w:r>
      <w:r w:rsidRPr="00722885">
        <w:rPr>
          <w:rFonts w:ascii="Times New Roman" w:hAnsi="Times New Roman"/>
          <w:color w:val="000000" w:themeColor="text1"/>
          <w:sz w:val="16"/>
          <w:szCs w:val="16"/>
        </w:rPr>
        <w:softHyphen/>
        <w:t>трами, где п — любое целое число, что позволяет получить при достаточ</w:t>
      </w:r>
      <w:r w:rsidRPr="00722885">
        <w:rPr>
          <w:rFonts w:ascii="Times New Roman" w:hAnsi="Times New Roman"/>
          <w:color w:val="000000" w:themeColor="text1"/>
          <w:sz w:val="16"/>
          <w:szCs w:val="16"/>
        </w:rPr>
        <w:softHyphen/>
        <w:t>но большом п любой практически интересный профиль.</w:t>
      </w:r>
    </w:p>
    <w:p w14:paraId="20661FA0"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личной научной работы проводится руководство деятель</w:t>
      </w:r>
      <w:r w:rsidRPr="00722885">
        <w:rPr>
          <w:rFonts w:ascii="Times New Roman" w:hAnsi="Times New Roman"/>
          <w:color w:val="000000" w:themeColor="text1"/>
          <w:sz w:val="16"/>
          <w:szCs w:val="16"/>
        </w:rPr>
        <w:softHyphen/>
        <w:t>ностью Новосибирского городского Комитета ученых, образованного под моим председательством в феврале 1942 года и имеющего секции:</w:t>
      </w:r>
    </w:p>
    <w:p w14:paraId="08D7FAA5" w14:textId="77777777" w:rsidR="00885B41" w:rsidRPr="00722885" w:rsidRDefault="00885B41" w:rsidP="00722885">
      <w:pPr>
        <w:tabs>
          <w:tab w:val="left" w:pos="78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авиационную,</w:t>
      </w:r>
    </w:p>
    <w:p w14:paraId="60B74449" w14:textId="77777777" w:rsidR="00885B41" w:rsidRPr="00722885" w:rsidRDefault="00885B41" w:rsidP="00722885">
      <w:pPr>
        <w:tabs>
          <w:tab w:val="left" w:pos="79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вооружения и боеприпасов,</w:t>
      </w:r>
    </w:p>
    <w:p w14:paraId="71C39522" w14:textId="77777777" w:rsidR="00885B41" w:rsidRPr="00722885" w:rsidRDefault="00885B41" w:rsidP="00722885">
      <w:pPr>
        <w:tabs>
          <w:tab w:val="left" w:pos="79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металлургии и металлообработки,</w:t>
      </w:r>
    </w:p>
    <w:p w14:paraId="773D39C7" w14:textId="77777777" w:rsidR="00885B41" w:rsidRPr="00722885" w:rsidRDefault="00885B41" w:rsidP="00722885">
      <w:pPr>
        <w:tabs>
          <w:tab w:val="left" w:pos="80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физико-химическую,</w:t>
      </w:r>
    </w:p>
    <w:p w14:paraId="02DE6E06" w14:textId="77777777" w:rsidR="00885B41" w:rsidRPr="00722885" w:rsidRDefault="00885B41" w:rsidP="00722885">
      <w:pPr>
        <w:tabs>
          <w:tab w:val="left" w:pos="78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транспортную,</w:t>
      </w:r>
    </w:p>
    <w:p w14:paraId="2A2F90DB" w14:textId="77777777" w:rsidR="00885B41" w:rsidRPr="00722885" w:rsidRDefault="00885B41" w:rsidP="00722885">
      <w:pPr>
        <w:tabs>
          <w:tab w:val="left" w:pos="79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топливно-энергетическую,</w:t>
      </w:r>
    </w:p>
    <w:p w14:paraId="7DD4EFA2" w14:textId="77777777" w:rsidR="00885B41" w:rsidRPr="00722885" w:rsidRDefault="00885B41" w:rsidP="00722885">
      <w:pPr>
        <w:tabs>
          <w:tab w:val="left" w:pos="79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медицинскую,</w:t>
      </w:r>
    </w:p>
    <w:p w14:paraId="6CFA1508" w14:textId="77777777" w:rsidR="00885B41" w:rsidRPr="00722885" w:rsidRDefault="00885B41" w:rsidP="00722885">
      <w:pPr>
        <w:tabs>
          <w:tab w:val="left" w:pos="79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геолого-разведывательную,</w:t>
      </w:r>
    </w:p>
    <w:p w14:paraId="5105C56C" w14:textId="77777777" w:rsidR="00885B41" w:rsidRPr="00722885" w:rsidRDefault="00885B41" w:rsidP="00722885">
      <w:pPr>
        <w:tabs>
          <w:tab w:val="left" w:pos="79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сельскохозяйственную,</w:t>
      </w:r>
    </w:p>
    <w:p w14:paraId="6573A144" w14:textId="77777777" w:rsidR="00885B41" w:rsidRPr="00722885" w:rsidRDefault="00885B41" w:rsidP="00722885">
      <w:pPr>
        <w:tabs>
          <w:tab w:val="left" w:pos="88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архитектурно-строительную,</w:t>
      </w:r>
    </w:p>
    <w:p w14:paraId="1FFE9029" w14:textId="77777777" w:rsidR="00885B41" w:rsidRPr="00722885" w:rsidRDefault="00885B41" w:rsidP="00722885">
      <w:pPr>
        <w:tabs>
          <w:tab w:val="left" w:pos="88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экономики и организации производства.</w:t>
      </w:r>
    </w:p>
    <w:p w14:paraId="03ED424D"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Комитет объединяет в своих секциях около 500 ученых г. Ново</w:t>
      </w:r>
      <w:r w:rsidRPr="00722885">
        <w:rPr>
          <w:rFonts w:ascii="Times New Roman" w:hAnsi="Times New Roman"/>
          <w:color w:val="000000" w:themeColor="text1"/>
          <w:sz w:val="16"/>
          <w:szCs w:val="16"/>
        </w:rPr>
        <w:softHyphen/>
        <w:t>сибирска. Секции комитета являются организующим звеном в научно- исследовательской работе ученых г. Новосибирска.</w:t>
      </w:r>
    </w:p>
    <w:p w14:paraId="40152970"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Комитет ученых через свои секции ознакомился с планами на</w:t>
      </w:r>
      <w:r w:rsidRPr="00722885">
        <w:rPr>
          <w:rFonts w:ascii="Times New Roman" w:hAnsi="Times New Roman"/>
          <w:color w:val="000000" w:themeColor="text1"/>
          <w:sz w:val="16"/>
          <w:szCs w:val="16"/>
        </w:rPr>
        <w:softHyphen/>
        <w:t>учных учреждений города, оценил, насколько эти планы отвечают требованиям обороны и учитывают интересы различных отраслей народ</w:t>
      </w:r>
      <w:r w:rsidRPr="00722885">
        <w:rPr>
          <w:rFonts w:ascii="Times New Roman" w:hAnsi="Times New Roman"/>
          <w:color w:val="000000" w:themeColor="text1"/>
          <w:sz w:val="16"/>
          <w:szCs w:val="16"/>
        </w:rPr>
        <w:softHyphen/>
        <w:t>ного хозяйства, выделил из них наиболее актуальные темы оборонно</w:t>
      </w:r>
      <w:r w:rsidRPr="00722885">
        <w:rPr>
          <w:rFonts w:ascii="Times New Roman" w:hAnsi="Times New Roman"/>
          <w:color w:val="000000" w:themeColor="text1"/>
          <w:sz w:val="16"/>
          <w:szCs w:val="16"/>
        </w:rPr>
        <w:softHyphen/>
        <w:t>го значения и взял под свой контроль более 80 тем. Кроме того, в мар</w:t>
      </w:r>
      <w:r w:rsidRPr="00722885">
        <w:rPr>
          <w:rFonts w:ascii="Times New Roman" w:hAnsi="Times New Roman"/>
          <w:color w:val="000000" w:themeColor="text1"/>
          <w:sz w:val="16"/>
          <w:szCs w:val="16"/>
        </w:rPr>
        <w:softHyphen/>
        <w:t>те 1942 года Комитет ученых обратился с письмом к директорам обо</w:t>
      </w:r>
      <w:r w:rsidRPr="00722885">
        <w:rPr>
          <w:rFonts w:ascii="Times New Roman" w:hAnsi="Times New Roman"/>
          <w:color w:val="000000" w:themeColor="text1"/>
          <w:sz w:val="16"/>
          <w:szCs w:val="16"/>
        </w:rPr>
        <w:softHyphen/>
        <w:t>ронных предприятий, в котором просил назвать актуальные темы, в разработке которых должны принять участие ученые города Новоси</w:t>
      </w:r>
      <w:r w:rsidRPr="00722885">
        <w:rPr>
          <w:rFonts w:ascii="Times New Roman" w:hAnsi="Times New Roman"/>
          <w:color w:val="000000" w:themeColor="text1"/>
          <w:sz w:val="16"/>
          <w:szCs w:val="16"/>
        </w:rPr>
        <w:softHyphen/>
        <w:t>бирска.</w:t>
      </w:r>
    </w:p>
    <w:p w14:paraId="06E380A3"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ответ на этот запрос комитетом получено от 7 заводов свыше 50 различных тем. Большинство этой тематики распределено среди уче</w:t>
      </w:r>
      <w:r w:rsidRPr="00722885">
        <w:rPr>
          <w:rFonts w:ascii="Times New Roman" w:hAnsi="Times New Roman"/>
          <w:color w:val="000000" w:themeColor="text1"/>
          <w:sz w:val="16"/>
          <w:szCs w:val="16"/>
        </w:rPr>
        <w:softHyphen/>
        <w:t>ных города, и выполнение этих работ налажено; часть работ уже выпол</w:t>
      </w:r>
      <w:r w:rsidRPr="00722885">
        <w:rPr>
          <w:rFonts w:ascii="Times New Roman" w:hAnsi="Times New Roman"/>
          <w:color w:val="000000" w:themeColor="text1"/>
          <w:sz w:val="16"/>
          <w:szCs w:val="16"/>
        </w:rPr>
        <w:softHyphen/>
        <w:t>нена.</w:t>
      </w:r>
    </w:p>
    <w:p w14:paraId="60CAA39C"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Комитетом ученых совместно с руководящими городскими орга</w:t>
      </w:r>
      <w:r w:rsidRPr="00722885">
        <w:rPr>
          <w:rFonts w:ascii="Times New Roman" w:hAnsi="Times New Roman"/>
          <w:color w:val="000000" w:themeColor="text1"/>
          <w:sz w:val="16"/>
          <w:szCs w:val="16"/>
        </w:rPr>
        <w:softHyphen/>
        <w:t>низациями были проведены две общегородские конференции, — стро</w:t>
      </w:r>
      <w:r w:rsidRPr="00722885">
        <w:rPr>
          <w:rFonts w:ascii="Times New Roman" w:hAnsi="Times New Roman"/>
          <w:color w:val="000000" w:themeColor="text1"/>
          <w:sz w:val="16"/>
          <w:szCs w:val="16"/>
        </w:rPr>
        <w:softHyphen/>
        <w:t>ителей и стахановцев-тысячников. Комитетом ведется лекционная и технически-пропагандистская работа.</w:t>
      </w:r>
    </w:p>
    <w:p w14:paraId="58F392ED"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оборонной работе, выполненной за это время возглавляемым мною Комитетом технической терминологии АН находящимся в Ка</w:t>
      </w:r>
      <w:r w:rsidRPr="00722885">
        <w:rPr>
          <w:rFonts w:ascii="Times New Roman" w:hAnsi="Times New Roman"/>
          <w:color w:val="000000" w:themeColor="text1"/>
          <w:sz w:val="16"/>
          <w:szCs w:val="16"/>
        </w:rPr>
        <w:softHyphen/>
        <w:t>зани, отчет будет представлен самостоятельно моим заместителем по комитету Д.С. Лотте.</w:t>
      </w:r>
    </w:p>
    <w:p w14:paraId="13588696"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Герой Социалистического Труда Академик С.А. Чаплыгин</w:t>
      </w:r>
    </w:p>
    <w:p w14:paraId="462FDEF7" w14:textId="77777777" w:rsidR="00885B41" w:rsidRPr="00722885" w:rsidRDefault="00885B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РГАНТД. Ф. Р-465. Оп. 3-6. Д.З. Л. 26-29. Автограф (15633).</w:t>
      </w:r>
    </w:p>
    <w:p w14:paraId="35898598" w14:textId="77777777" w:rsidR="00885B41" w:rsidRPr="00722885" w:rsidRDefault="00885B41" w:rsidP="00722885">
      <w:pPr>
        <w:pStyle w:val="228"/>
        <w:shd w:val="clear" w:color="auto" w:fill="auto"/>
        <w:spacing w:before="0" w:line="240" w:lineRule="auto"/>
        <w:jc w:val="both"/>
        <w:outlineLvl w:val="9"/>
        <w:rPr>
          <w:color w:val="000000" w:themeColor="text1"/>
          <w:sz w:val="16"/>
          <w:szCs w:val="16"/>
        </w:rPr>
      </w:pPr>
    </w:p>
    <w:p w14:paraId="77D6E63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A4ACF8F" w14:textId="77777777" w:rsidR="00AE7191" w:rsidRPr="00722885" w:rsidRDefault="00AE7191" w:rsidP="00722885">
      <w:pPr>
        <w:pStyle w:val="Iauiue"/>
        <w:jc w:val="both"/>
        <w:rPr>
          <w:iCs/>
          <w:color w:val="000000" w:themeColor="text1"/>
          <w:sz w:val="16"/>
          <w:szCs w:val="16"/>
        </w:rPr>
      </w:pPr>
    </w:p>
    <w:p w14:paraId="730952E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августа 1942 вышло Постановление ГКО № 2225 О создании запасов сырья и топлива на Верх-Исетском металлургическом заводе Наркомэлектропрома на зиму 1942-43 г. РГАНИР, Фонд ГКО, д. 54, лл. 84-86 (11012).</w:t>
      </w:r>
    </w:p>
    <w:p w14:paraId="47BF2DD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C4F09C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29 августа 1942 года вышел приказ № 647 НКБ</w:t>
      </w:r>
    </w:p>
    <w:p w14:paraId="4F37856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распоряжением СНК № 16531рс от 28 августа 1942 года:</w:t>
      </w:r>
    </w:p>
    <w:p w14:paraId="2006171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Передать завод № 557 в качестве филиала заводу № 70 (5909, 188).</w:t>
      </w:r>
    </w:p>
    <w:p w14:paraId="24B09032" w14:textId="77777777" w:rsidR="00AE7191" w:rsidRPr="00722885" w:rsidRDefault="00AE7191" w:rsidP="00722885">
      <w:pPr>
        <w:pStyle w:val="Iauiue"/>
        <w:tabs>
          <w:tab w:val="left" w:pos="11199"/>
        </w:tabs>
        <w:jc w:val="both"/>
        <w:rPr>
          <w:color w:val="000000" w:themeColor="text1"/>
          <w:sz w:val="16"/>
          <w:szCs w:val="16"/>
        </w:rPr>
      </w:pPr>
    </w:p>
    <w:p w14:paraId="2498828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29 августа 1942 года вышел приказ № 597с НКБ</w:t>
      </w:r>
    </w:p>
    <w:p w14:paraId="09D4C0B4"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 целях расширения базы по производству 76 мм снарядов:</w:t>
      </w:r>
    </w:p>
    <w:p w14:paraId="41F16154"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Завод № 552 подчинить непосредственно НКБ (5909, 5).</w:t>
      </w:r>
    </w:p>
    <w:p w14:paraId="642FA63C" w14:textId="77777777" w:rsidR="00AE7191" w:rsidRPr="00722885" w:rsidRDefault="00AE7191" w:rsidP="00722885">
      <w:pPr>
        <w:pStyle w:val="Iauiue"/>
        <w:tabs>
          <w:tab w:val="left" w:pos="11199"/>
        </w:tabs>
        <w:jc w:val="both"/>
        <w:rPr>
          <w:color w:val="000000" w:themeColor="text1"/>
          <w:sz w:val="16"/>
          <w:szCs w:val="16"/>
        </w:rPr>
      </w:pPr>
    </w:p>
    <w:p w14:paraId="13093A05"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29 августа 1942 вышло Постановление ГКО № 2224 О порядке выдачи премий предприятиям-участникам Всесоюзного социалистического соревнования. (7052, 82-83).</w:t>
      </w:r>
    </w:p>
    <w:p w14:paraId="64038CB5" w14:textId="77777777" w:rsidR="00AE7191" w:rsidRPr="00722885" w:rsidRDefault="00AE7191" w:rsidP="00722885">
      <w:pPr>
        <w:pStyle w:val="Iauiue"/>
        <w:tabs>
          <w:tab w:val="left" w:pos="11199"/>
        </w:tabs>
        <w:jc w:val="both"/>
        <w:rPr>
          <w:color w:val="000000" w:themeColor="text1"/>
          <w:sz w:val="16"/>
          <w:szCs w:val="16"/>
        </w:rPr>
      </w:pPr>
    </w:p>
    <w:p w14:paraId="7739F31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53086F1" w14:textId="77777777" w:rsidR="00AE7191" w:rsidRPr="00722885" w:rsidRDefault="00AE7191" w:rsidP="00722885">
      <w:pPr>
        <w:pStyle w:val="Iauiue"/>
        <w:jc w:val="both"/>
        <w:rPr>
          <w:iCs/>
          <w:color w:val="000000" w:themeColor="text1"/>
          <w:sz w:val="16"/>
          <w:szCs w:val="16"/>
        </w:rPr>
      </w:pPr>
    </w:p>
    <w:p w14:paraId="31B57224"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августа </w:t>
      </w:r>
      <w:r w:rsidRPr="00722885">
        <w:rPr>
          <w:rFonts w:ascii="Times New Roman" w:hAnsi="Times New Roman"/>
          <w:color w:val="000000" w:themeColor="text1"/>
          <w:sz w:val="16"/>
          <w:szCs w:val="16"/>
        </w:rPr>
        <w:t>в 1942 году утреннее сообщение Совинформбюро:</w:t>
      </w:r>
    </w:p>
    <w:p w14:paraId="18E89776"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29 августа наши войска вели бои с противником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2E074F2D"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участках фронта никаких изменений не произошло.</w:t>
      </w:r>
    </w:p>
    <w:p w14:paraId="69754BDC"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Баренцевом море потоплено два транспорта противника общим водоизмещением в 12 тыс. тонн.</w:t>
      </w:r>
    </w:p>
    <w:p w14:paraId="53EC20F2"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северо-западнее Сталинграда наши части отбили несколько танковых атак противника и, перейдя в контратаку, потеснили гитлеровцев. В этом бою захвачены у немцев 12 орудий, 24 пулемёта и боеприпасы. На другом участке продолжались ожесточённые бои с танками и мотопехотой противника, прорвавшимися в глубь нашей обороны. В ходе этих боёв немецко-фашистские войска вновь понесли большие потери в живой силе и технике.</w:t>
      </w:r>
    </w:p>
    <w:p w14:paraId="24B8BE94"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бойцы одной нашей части отбили атаку противника. Уничтожено 2 немецких танка и 150 гитлеровцев.</w:t>
      </w:r>
    </w:p>
    <w:p w14:paraId="5E74055C"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Краснодара наши войска в боях за высоту Н. разгромили 204 полк 97 легкопехотной немецкой дивизии. Подбито 6 танков и уничтожено несколько сот солдат и офицеров противника. На другом участке моряки-миномётчики под командованием тов. Константинова миномётным огнём уничтожили более 100 гитлеровцев. В районе Прохладного продолжались бои, в ходе которых уничтожено 3 немецких танка и до роты пехоты неприятеля.</w:t>
      </w:r>
    </w:p>
    <w:p w14:paraId="23FE9335"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Ленинградского фронта наши подразделения в течение пяти последних дней отражали атаки противника, пытавшегося вернуть потерянные им рубежи. В ходе этих боёв подбито 2 немецких танка, уничтожено 3 орудия, 17 станковых пулемётов и до батальона пехоты противника. Захвачены трофеи и пленные.</w:t>
      </w:r>
    </w:p>
    <w:p w14:paraId="78622A99"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Советская патриотка партизанка Нина Коровко, выполняя боевое задание, около города Невеля была схвачена немецко-фашистскими бандитами. Гитлеровцы, добиваясь сведений о партизанах, подвергли Нину Коровко зверским пыткам, а потом повесили. Славная дочь советской Родины стойко перенесла все пытки и перед смертью заявила фашистским мерзавцам: «Я сегодня умру за Родину, но завтра вы все будете уничтожены. Да здравствуют партизаны!»</w:t>
      </w:r>
    </w:p>
    <w:p w14:paraId="69092152"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Партизанские отряды, действующие на Северном Кавказе в тылу противника, наносят большой урон немецко-фашистским захватчикам. Партизаны с каждым днём всё более успешно действуют по коммуникациям противника. Для борьбы с одним партизанским отрядом немцы бросили румынский полк. Потеряв в боях с партизанами до 400 солдат и офицеров, румынские вояки отступили. Партизаны захватили оружие и военное имущество.</w:t>
      </w:r>
    </w:p>
    <w:p w14:paraId="1E503CCE"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на Ленинградском фронте солдата 209 немецкого пехотного полка Вилли Штрауха найдено письмо от его жены из города Кенигсберга. В письме говорится: «Ты,наверное, уже слышал, что наш город подвергся воздушному налёту русских. Что здесь было, я тебе даже рассказать не могу. Во всяком случае, творились ужасные вещи. Через несколько дней русские сделали второй налёт. Мои нервы совсем испортились. Сейчас я лежу в постели, но что мы будем делать, если они прилетят ещё раз?»</w:t>
      </w:r>
    </w:p>
    <w:p w14:paraId="0739618A"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улицах городов Германии всё чаще появляются антифашистские лозунги. На одной из улиц города Дюссельдорфа ночью краской на стене дома было написано: «Долой Гитлера». На дверях предприятия «Рейнметалл» неизвестные сделали надпись: «Мы хотим мира, поэтому мы работаем медленно. Смерть Гитлеру, конец войне!» Гестапо производит многочисленные аресты.» (14753).</w:t>
      </w:r>
    </w:p>
    <w:p w14:paraId="3F5F8F2C" w14:textId="77777777" w:rsidR="00103465" w:rsidRPr="00722885" w:rsidRDefault="00103465" w:rsidP="00722885">
      <w:pPr>
        <w:spacing w:after="0" w:line="240" w:lineRule="auto"/>
        <w:jc w:val="both"/>
        <w:rPr>
          <w:rFonts w:ascii="Times New Roman" w:hAnsi="Times New Roman"/>
          <w:color w:val="000000" w:themeColor="text1"/>
          <w:sz w:val="16"/>
          <w:szCs w:val="16"/>
        </w:rPr>
      </w:pPr>
    </w:p>
    <w:p w14:paraId="500472FC"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августа </w:t>
      </w:r>
      <w:r w:rsidRPr="00722885">
        <w:rPr>
          <w:rFonts w:ascii="Times New Roman" w:hAnsi="Times New Roman"/>
          <w:color w:val="000000" w:themeColor="text1"/>
          <w:sz w:val="16"/>
          <w:szCs w:val="16"/>
        </w:rPr>
        <w:t>в 1942 году вечернее сообщение Совинформбюро:</w:t>
      </w:r>
    </w:p>
    <w:p w14:paraId="55BC0BE1"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29 августа на фронтах существенных изменений не произошло.</w:t>
      </w:r>
    </w:p>
    <w:p w14:paraId="2A20AAE1"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28 августа частями нашей авиации на различных участках фронта уничтожено или повреждено до 20 немецких танков и бронемашин, более 100 автомашин с войсками и грузами, подавлен огонь 8 батарей полевой и зенитной артиллерии, взорвано 3 склада боеприпасов и 2 склада горючего, разбито два железнодорожных эшелона, рассеяно и частью уничтожено до полутора батальонов пехоты противника.</w:t>
      </w:r>
    </w:p>
    <w:p w14:paraId="4248420B"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Н-ское соединение, преодолев упорное сопротивление немцев, форсировало один водный рубеж и, отражая контратаки противника, продвигалось вперёд. В течение дня нашими бойцами уничтожено 7 танков и до 800 немецких солдат и офицеров. Захвачены 22 орудия, 12 пулемётов и другие трофеи.</w:t>
      </w:r>
    </w:p>
    <w:p w14:paraId="691A84B3"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северо-западнее Сталинграда продолжались ожесточённые бои. Противник, не считаясь с огромными потерями, атакует наши позиции. Советские войска сдерживают напор врага и наносят ему контрудары. Н-ское танковое подразделение, отбивая атаки гитлеровцев, уничтожило 4 танка и более 200 немецких солдат и офицеров. На другом участке неприятель предпринял наступление, бросив в бой большое количество танков и автоматчиков. Наши бойцы, отразив пять атак противника, уничтожили 13 немецких танков, 10 автомашин, 3 орудия и роту пехоты.</w:t>
      </w:r>
    </w:p>
    <w:p w14:paraId="3961A5AA"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Наше соединение в районе Клетской нанесло поражение 2 пехотной итальянской дивизии. Нашими бойцами захвачено 550 пленных, 8 орудий, 63 пулемёта, 34 миномёта, 650 тысяч патронов, 698 ящиков с минами, 15 грузовых автомашин, 3 радиостанции и другое военное имущество. В бою с противником гвардии красноармеец тов. Репнин из противотанкового ружья подбил 4 танка и гвардии сержант Буланов уничтожил 3 танка противника.</w:t>
      </w:r>
    </w:p>
    <w:p w14:paraId="721D2E0A"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продолжали вести боис противником. Бойцы части, где командиром тов. Толбухин, подбили 12 немецких танков и уничтожили до двух рот пехоты противника. В бою с врагом отличились расчёты бронебойщиков сержанта Рыбника и старшего сержанта Забродина, уничтожившие по три немецких танка. Политрук Бачурин прямой наводкой из орудия уничтожил 4 немецких танка. Ружейно-пулемётным огнём наши бойцы сбили 5 немецких самолётов.</w:t>
      </w:r>
    </w:p>
    <w:p w14:paraId="647C3A2E"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южнее Краснодара наши войска веля оборонительные бои. Н-ская часть отбила две атаки немцев. На поле боя противник оставил 5 сгоревших танков и большое количество трупов солдат и офицеров.</w:t>
      </w:r>
    </w:p>
    <w:p w14:paraId="0CD0DCFE"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бои с танками и мотопехотой противника. Отбита попытка гитлеровцев переправиться через водный рубеж.</w:t>
      </w:r>
    </w:p>
    <w:p w14:paraId="43BAAD6D"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смоленских партизан подорвала воинский поезд противника. В результате крушения разбито 6 платформ с танками, 16 платформ с автомашинами и 4 вагона с солдатами.</w:t>
      </w:r>
    </w:p>
    <w:p w14:paraId="6B9C0E6E"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разгроме немецкой части под Ржевом среди прочих документов была найдена «карточка численности боевого состава 2 батальона 53 мотополка». В этом документе указывается, что в батальоне на 10 августа было 760 человек, в том числе 28 офицеров и 143 унтер-офицера. К 18 августа батальон потерял убитыми 18 офицеров, 81 унтер-офицера и 471 рядового, всего 570 человек.</w:t>
      </w:r>
    </w:p>
    <w:p w14:paraId="5CE27803"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Пленный солдат разведывательной кавалерийской роты, приданной 17 пехотному полку 9 венгерской дивизии, Ласло Фита рассказал: «Наша рота была направлена на борьбу с партизанами в район Курска. Однако партизаны были неуловимы. Они наносили нам удары и внезапно исчезали. Оказавшись бессильным в борьбе против партизан, командир роты барон Кароль Балинти приступил к расправе с местным населением. По его приказу солдаты арестовали и до смерти замучили шесть русских женщин. Было сожжено несколько деревень. В начале июля командир роты объявил партизанами двух крестьян и из пистолета несколько раз выстрелил в них. Крестьяне были еще живы, но по приказу барона их зарыли в могилу».</w:t>
      </w:r>
    </w:p>
    <w:p w14:paraId="7722F436"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ныне освобождённой от немецких захватчиков деревни Никольское, Калининской области, Стулова Н.Ф., Иванова Д.Н. и Беляева М.И. рассказали о кровавых преступлениях фашистских бандитов. «В нашем селе,— сообщили они,—немецкие солдаты и офицеры отняли у населения все вещи и продукты. За время оккупации десятки женщин, детей и стариков умерли от голода. Многих колхозников немцы замучили, повесили и расстреляли. Только за время с 7 июля по 5 августа гитлеровские разбойники убили 300 мирных советских граждан».</w:t>
      </w:r>
    </w:p>
    <w:p w14:paraId="12FFB5C1"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Работающим на заводах Фринкеля (Берлин) иностранным рабочим в течение дня выдаётся кусок хлеба и пол-литра супа, сваренного из неочищенной гнилой картошки. За эту бурду они обязаны работать по 16 часов в сутки. Недавно рабочие объявили забастовку. Прибывший на завод отряд гестаповцев увёз группу рабочих, о которых с тех пор нет никаких известий.» (15753).</w:t>
      </w:r>
    </w:p>
    <w:p w14:paraId="76EC6395" w14:textId="77777777" w:rsidR="00103465" w:rsidRPr="00722885" w:rsidRDefault="00103465" w:rsidP="00722885">
      <w:pPr>
        <w:spacing w:after="0" w:line="240" w:lineRule="auto"/>
        <w:jc w:val="both"/>
        <w:rPr>
          <w:rFonts w:ascii="Times New Roman" w:hAnsi="Times New Roman"/>
          <w:color w:val="000000" w:themeColor="text1"/>
          <w:sz w:val="16"/>
          <w:szCs w:val="16"/>
        </w:rPr>
      </w:pPr>
    </w:p>
    <w:p w14:paraId="65B54D5A" w14:textId="77777777" w:rsidR="00DE48C2" w:rsidRPr="00722885" w:rsidRDefault="00DE48C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августа 1942. Экипаж Пономаренко, Лебедев. Цель-бомбардирование города Берлин. Сброшено 2 ФАБ-1000тга. Время взлета 18.47, время бомбометания 01.08-01.16, время посадки 05.55. Отчет- Н=7500 м. В сев. вост. части города (предположительно), точно установить разрывы и прицельность невозможно ввиду большого к-ва прожекторов. В результате бомбометания возникло два пожара в сев. вост. части города.</w:t>
      </w:r>
    </w:p>
    <w:p w14:paraId="77656A35" w14:textId="77777777" w:rsidR="00DE48C2" w:rsidRPr="00722885" w:rsidRDefault="00DE48C2" w:rsidP="00722885">
      <w:pPr>
        <w:pStyle w:val="319"/>
        <w:shd w:val="clear" w:color="auto" w:fill="auto"/>
        <w:spacing w:after="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отчете о боевой работе 45 АД ДД, куда входил 746 АП ДД, за август 1942 года было написано:</w:t>
      </w:r>
    </w:p>
    <w:p w14:paraId="08A85E68" w14:textId="77777777" w:rsidR="00DE48C2" w:rsidRPr="00722885" w:rsidRDefault="00DE48C2"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Опыт полетов кораблей ТБ-7 № 015 и 028 показал, что на высотах более 500 метров самолеты с черной окраской нижней части плоскостей и фюзеляжа не обнаруживаются противником при освещении прожекторами. Целесообразно ввести такую окраску для ночных бомбардировщиков. (Корабли дивизии перекрашиваются).</w:t>
      </w:r>
    </w:p>
    <w:p w14:paraId="3E3A65AB" w14:textId="77777777" w:rsidR="00DE48C2" w:rsidRPr="00722885" w:rsidRDefault="00DE48C2" w:rsidP="00722885">
      <w:pPr>
        <w:pStyle w:val="319"/>
        <w:shd w:val="clear" w:color="auto" w:fill="auto"/>
        <w:spacing w:after="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Следовательно, примерно в этом месяце у самолета № 42015 нижние поверхности были окрашены черной смываемой матовой краской МК (19105).</w:t>
      </w:r>
    </w:p>
    <w:p w14:paraId="615B1933" w14:textId="77777777" w:rsidR="00DE48C2" w:rsidRPr="00722885" w:rsidRDefault="00DE48C2" w:rsidP="00722885">
      <w:pPr>
        <w:pStyle w:val="108"/>
        <w:shd w:val="clear" w:color="auto" w:fill="auto"/>
        <w:spacing w:line="240" w:lineRule="auto"/>
        <w:jc w:val="both"/>
        <w:rPr>
          <w:color w:val="000000" w:themeColor="text1"/>
          <w:sz w:val="16"/>
          <w:szCs w:val="16"/>
        </w:rPr>
      </w:pPr>
    </w:p>
    <w:p w14:paraId="7EE2AFB0"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августа </w:t>
      </w:r>
      <w:r w:rsidRPr="00722885">
        <w:rPr>
          <w:rFonts w:ascii="Times New Roman" w:hAnsi="Times New Roman"/>
          <w:color w:val="000000" w:themeColor="text1"/>
          <w:sz w:val="16"/>
          <w:szCs w:val="16"/>
        </w:rPr>
        <w:t>в 1942 году штаб 29-й стрелковой дивизии 64-й армии Сталинградского фронта был окружён прорвавшимися танками противника, части дивизии, потеряв управление, в панике отходили в тыл. Заградотряд под командованием лейтенанта госбезопасности Филатова, приняв решительные меры, остановил отходящих в беспорядке военнослужащих и возвратил их на ранее занимаемые рубежи обороны. На другом участке этой дивизии противник пытался прорваться вглубь обороны. Заградотряд вступил в бой и задержал продвижение врага (14753).</w:t>
      </w:r>
    </w:p>
    <w:p w14:paraId="597ADDEF" w14:textId="77777777" w:rsidR="00103465" w:rsidRPr="00722885" w:rsidRDefault="00103465" w:rsidP="00722885">
      <w:pPr>
        <w:spacing w:after="0" w:line="240" w:lineRule="auto"/>
        <w:jc w:val="both"/>
        <w:rPr>
          <w:rFonts w:ascii="Times New Roman" w:hAnsi="Times New Roman"/>
          <w:color w:val="000000" w:themeColor="text1"/>
          <w:sz w:val="16"/>
          <w:szCs w:val="16"/>
        </w:rPr>
      </w:pPr>
    </w:p>
    <w:p w14:paraId="59A10259"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августа </w:t>
      </w:r>
      <w:r w:rsidRPr="00722885">
        <w:rPr>
          <w:rFonts w:ascii="Times New Roman" w:hAnsi="Times New Roman"/>
          <w:color w:val="000000" w:themeColor="text1"/>
          <w:sz w:val="16"/>
          <w:szCs w:val="16"/>
        </w:rPr>
        <w:t>в 1942 году начальник военных сообщений группы армий "Центр" докладывает: "Общее положение железнодорожного сообщения в тылу группы армий "Центр" между Брестом и фронтом внушает все большие опасения ввиду нападений партизан. Следствием этого является явное уменьшение пропускной способности на значительной части железной дороги. Если до сих пор это не сказывалось непосредственно на общем снабжении фронта, так как полное и безоговорочное использование всех возможностей позволяло создать некоторый баланс, теперь же это стало недостаточным" (14753).</w:t>
      </w:r>
    </w:p>
    <w:p w14:paraId="10E3F916" w14:textId="77777777" w:rsidR="00103465" w:rsidRPr="00722885" w:rsidRDefault="00103465" w:rsidP="00722885">
      <w:pPr>
        <w:spacing w:after="0" w:line="240" w:lineRule="auto"/>
        <w:jc w:val="both"/>
        <w:rPr>
          <w:rFonts w:ascii="Times New Roman" w:hAnsi="Times New Roman"/>
          <w:color w:val="000000" w:themeColor="text1"/>
          <w:sz w:val="16"/>
          <w:szCs w:val="16"/>
        </w:rPr>
      </w:pPr>
    </w:p>
    <w:p w14:paraId="14D771E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29 августа 1942 создан Совет по руководству партизанскими отрядами Донбасса (4962).</w:t>
      </w:r>
    </w:p>
    <w:p w14:paraId="283A35AA" w14:textId="77777777" w:rsidR="00AE7191" w:rsidRPr="00722885" w:rsidRDefault="00AE7191" w:rsidP="00722885">
      <w:pPr>
        <w:pStyle w:val="Iauiue"/>
        <w:tabs>
          <w:tab w:val="left" w:pos="11199"/>
        </w:tabs>
        <w:jc w:val="both"/>
        <w:rPr>
          <w:color w:val="000000" w:themeColor="text1"/>
          <w:sz w:val="16"/>
          <w:szCs w:val="16"/>
        </w:rPr>
      </w:pPr>
    </w:p>
    <w:p w14:paraId="5C2986C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0259B0D" w14:textId="77777777" w:rsidR="00AE7191" w:rsidRPr="00722885" w:rsidRDefault="00AE7191" w:rsidP="00722885">
      <w:pPr>
        <w:pStyle w:val="Iauiue"/>
        <w:jc w:val="both"/>
        <w:rPr>
          <w:iCs/>
          <w:color w:val="000000" w:themeColor="text1"/>
          <w:sz w:val="16"/>
          <w:szCs w:val="16"/>
        </w:rPr>
      </w:pPr>
    </w:p>
    <w:p w14:paraId="6EED193E" w14:textId="77777777" w:rsidR="00182A0D" w:rsidRPr="00722885" w:rsidRDefault="00182A0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 августа 1942, управляя Spitfire Mark V, специально модифицированным для полетов на больших высотах, пилот Королевских ВВС Джордж Гендерс перехватывает немецкий высотный разведывательный самолет Junkers Ju 86P над Египтом и повреждает его, прежде чем его оружие заклинило. На обратном пути к своей базе на Крите он падает в Средиземное море, дав союзникам первую победу над Ju 86P, летящим на большой высоте (20793).</w:t>
      </w:r>
    </w:p>
    <w:p w14:paraId="18EE614D" w14:textId="77777777" w:rsidR="00182A0D" w:rsidRPr="00722885" w:rsidRDefault="00182A0D" w:rsidP="00722885">
      <w:pPr>
        <w:spacing w:after="0" w:line="240" w:lineRule="auto"/>
        <w:jc w:val="both"/>
        <w:rPr>
          <w:rFonts w:ascii="Times New Roman" w:hAnsi="Times New Roman"/>
          <w:color w:val="0070C0"/>
          <w:sz w:val="16"/>
          <w:szCs w:val="16"/>
        </w:rPr>
      </w:pPr>
    </w:p>
    <w:p w14:paraId="7DBA12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29 августа 1942 в Колумбусе, Миссисипи оператор контрольной вышки видел 2 красноватых объекта, зависших над полем (3712).</w:t>
      </w:r>
    </w:p>
    <w:p w14:paraId="66560547" w14:textId="77777777" w:rsidR="00AE7191" w:rsidRPr="00722885" w:rsidRDefault="00AE7191" w:rsidP="00722885">
      <w:pPr>
        <w:pStyle w:val="Iauiue"/>
        <w:jc w:val="both"/>
        <w:rPr>
          <w:color w:val="000000" w:themeColor="text1"/>
          <w:sz w:val="16"/>
          <w:szCs w:val="16"/>
        </w:rPr>
      </w:pPr>
    </w:p>
    <w:p w14:paraId="0D1562B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августа 1942 г. над авиабазой в Колумбусе (штат Миссисипи) пролетели два круглых красноватых объекта. А еще раньше, 25 февраля того же года, в небе над Лос-Анджелесом наблюдались неопознанные объекты, летевшие очень медленно. На следующий же день президенту США был представлен меморандум, в котором сообщалось "...о воздушной тревоге над Лос-Анджелесом, объявленной вчера утром. По данным, имеющимся на настоящий момент:</w:t>
      </w:r>
    </w:p>
    <w:p w14:paraId="0878CBD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Не принадлежащие американской армии или ВМФ неопознанные самолеты появились над Лос-Анджелесом и были обстреляны подразделениями 37-й зенитной бригады между 3 час. 12 мин. и 4 час. 15 мин. Подразделения выпустили 1430 снарядов (11620).</w:t>
      </w:r>
    </w:p>
    <w:p w14:paraId="1D31BEC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 этом инциденте участвовало около 15 самолетов, летевших, по официальным данным, на различных скоростях от "очень медленно" до 360 км/ч на высотах от 9000 до 18 000 футов (от 2700 до 5500 м).</w:t>
      </w:r>
    </w:p>
    <w:p w14:paraId="18704B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Не было сброшено ни одной бомбы.</w:t>
      </w:r>
    </w:p>
    <w:p w14:paraId="26FE25D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Среди наших войск потерь нет.</w:t>
      </w:r>
    </w:p>
    <w:p w14:paraId="7EFEC3E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Ни один из самолетов сбит не был.</w:t>
      </w:r>
    </w:p>
    <w:p w14:paraId="0EAE7F7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Ни один из самолетов армии или ВМС в воздух не поднимался. Расследование продолжается. Представляется справедливым сделать вывод о принадлежности неопознанных самолетов, если это были они, к торговому воздушному флоту и об использовании их врагом с целью посеять беспокойство, а также выявить расположение частей противовоздушной обороны в результате их демаскировки. Этот вывод подтверждается различными скоростями полета аппаратов и отсутствием сброшенных бомб" (11620).</w:t>
      </w:r>
    </w:p>
    <w:p w14:paraId="575CA62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85F5A0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D0C6315" w14:textId="77777777" w:rsidR="00AE7191" w:rsidRPr="00722885" w:rsidRDefault="00AE7191" w:rsidP="00722885">
      <w:pPr>
        <w:pStyle w:val="Iauiue"/>
        <w:jc w:val="both"/>
        <w:rPr>
          <w:iCs/>
          <w:color w:val="000000" w:themeColor="text1"/>
          <w:sz w:val="16"/>
          <w:szCs w:val="16"/>
        </w:rPr>
      </w:pPr>
    </w:p>
    <w:p w14:paraId="7F41CF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 августа 1942 Нач. ГУ заказов и техснабжения ВВС Селезнев и Воен. комиссар ГУЗ и ТС ВВС Шапиловым писали А.И.Ш. письмо:</w:t>
      </w:r>
    </w:p>
    <w:p w14:paraId="1AB40F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"Заводами НКАП самолеты Ил-2 комплектуются кассетами для мелких бомб из расчета: 1 комплект кассет на 3 самолета Ил-2</w:t>
      </w:r>
    </w:p>
    <w:p w14:paraId="08B680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целях материального обеспечения выполнения приказа НКО N 0490 от 17 июня 1942 о значительном увеличении бомбардировочных дневных ударов по противнику, прошу указание заводам, выпускающим Ил-2, с 15 августа с.г. устанавливать на каждый самолет комплект кассет для мелких бомб (1632,132).</w:t>
      </w:r>
    </w:p>
    <w:p w14:paraId="5C6F315C" w14:textId="77777777" w:rsidR="00AE7191" w:rsidRPr="00722885" w:rsidRDefault="00AE7191" w:rsidP="00722885">
      <w:pPr>
        <w:pStyle w:val="Iauiue"/>
        <w:jc w:val="both"/>
        <w:rPr>
          <w:color w:val="000000" w:themeColor="text1"/>
          <w:sz w:val="16"/>
          <w:szCs w:val="16"/>
        </w:rPr>
      </w:pPr>
    </w:p>
    <w:p w14:paraId="30C58B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августа 1942 вышло Постановление ГКО № 2230 О графике выпуска самолетов и моторов в сентябре месяце 1942 года. РГАНИР, Фонд ГКО, д. 54, лл. 94, 95-97 (11012).</w:t>
      </w:r>
    </w:p>
    <w:p w14:paraId="25925C6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AF0603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2A90F86" w14:textId="77777777" w:rsidR="00AE7191" w:rsidRPr="00722885" w:rsidRDefault="00AE7191" w:rsidP="00722885">
      <w:pPr>
        <w:pStyle w:val="Iauiue"/>
        <w:jc w:val="both"/>
        <w:rPr>
          <w:iCs/>
          <w:color w:val="000000" w:themeColor="text1"/>
          <w:sz w:val="16"/>
          <w:szCs w:val="16"/>
        </w:rPr>
      </w:pPr>
    </w:p>
    <w:p w14:paraId="5AC5823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августа 1942 командующий 5-й гв. ТА П. Ротмистров в письме Г. Жукову писапл: «Танки Т-70 просто нельзя стало допускать к танковому бою, так как они более чем легко уничтожаются огнем немецких танков», однако, по окончании Курской битвы, стали появляться и иные точки зрения: «Танк Т-70 ввиду своей высо</w:t>
      </w:r>
      <w:r w:rsidRPr="00722885">
        <w:rPr>
          <w:rFonts w:ascii="Times New Roman" w:hAnsi="Times New Roman"/>
          <w:color w:val="000000" w:themeColor="text1"/>
          <w:sz w:val="16"/>
          <w:szCs w:val="16"/>
        </w:rPr>
        <w:softHyphen/>
        <w:t>кой подвижности как нельзя лучше соот</w:t>
      </w:r>
      <w:r w:rsidRPr="00722885">
        <w:rPr>
          <w:rFonts w:ascii="Times New Roman" w:hAnsi="Times New Roman"/>
          <w:color w:val="000000" w:themeColor="text1"/>
          <w:sz w:val="16"/>
          <w:szCs w:val="16"/>
        </w:rPr>
        <w:softHyphen/>
        <w:t>ветствует задаче преследования отступа</w:t>
      </w:r>
      <w:r w:rsidRPr="00722885">
        <w:rPr>
          <w:rFonts w:ascii="Times New Roman" w:hAnsi="Times New Roman"/>
          <w:color w:val="000000" w:themeColor="text1"/>
          <w:sz w:val="16"/>
          <w:szCs w:val="16"/>
        </w:rPr>
        <w:softHyphen/>
        <w:t>ющего противника...В отличие от Т-34 и КВ танк указанно</w:t>
      </w:r>
      <w:r w:rsidRPr="00722885">
        <w:rPr>
          <w:rFonts w:ascii="Times New Roman" w:hAnsi="Times New Roman"/>
          <w:color w:val="000000" w:themeColor="text1"/>
          <w:sz w:val="16"/>
          <w:szCs w:val="16"/>
        </w:rPr>
        <w:softHyphen/>
        <w:t>го типа обладает малой шумностью (звук танка не превышает звука автомобиля) даже в движении на самых высоких оборо</w:t>
      </w:r>
      <w:r w:rsidRPr="00722885">
        <w:rPr>
          <w:rFonts w:ascii="Times New Roman" w:hAnsi="Times New Roman"/>
          <w:color w:val="000000" w:themeColor="text1"/>
          <w:sz w:val="16"/>
          <w:szCs w:val="16"/>
        </w:rPr>
        <w:softHyphen/>
        <w:t>тах, что вкупе с малыми размерами само</w:t>
      </w:r>
      <w:r w:rsidRPr="00722885">
        <w:rPr>
          <w:rFonts w:ascii="Times New Roman" w:hAnsi="Times New Roman"/>
          <w:color w:val="000000" w:themeColor="text1"/>
          <w:sz w:val="16"/>
          <w:szCs w:val="16"/>
        </w:rPr>
        <w:softHyphen/>
        <w:t>го танка позволяет подразделениям на Т-70 подбираться практически вплотную к противнику, не вызывая у него прежде</w:t>
      </w:r>
      <w:r w:rsidRPr="00722885">
        <w:rPr>
          <w:rFonts w:ascii="Times New Roman" w:hAnsi="Times New Roman"/>
          <w:color w:val="000000" w:themeColor="text1"/>
          <w:sz w:val="16"/>
          <w:szCs w:val="16"/>
        </w:rPr>
        <w:softHyphen/>
        <w:t>временной паники... Если немецкие артил</w:t>
      </w:r>
      <w:r w:rsidRPr="00722885">
        <w:rPr>
          <w:rFonts w:ascii="Times New Roman" w:hAnsi="Times New Roman"/>
          <w:color w:val="000000" w:themeColor="text1"/>
          <w:sz w:val="16"/>
          <w:szCs w:val="16"/>
        </w:rPr>
        <w:softHyphen/>
        <w:t>леристы могут вести огонь по танку Т-34 с расстояния 800-1200 м, то малые разме</w:t>
      </w:r>
      <w:r w:rsidRPr="00722885">
        <w:rPr>
          <w:rFonts w:ascii="Times New Roman" w:hAnsi="Times New Roman"/>
          <w:color w:val="000000" w:themeColor="text1"/>
          <w:sz w:val="16"/>
          <w:szCs w:val="16"/>
        </w:rPr>
        <w:softHyphen/>
        <w:t>ры Т-70 на местности снижают эту дис</w:t>
      </w:r>
      <w:r w:rsidRPr="00722885">
        <w:rPr>
          <w:rFonts w:ascii="Times New Roman" w:hAnsi="Times New Roman"/>
          <w:color w:val="000000" w:themeColor="text1"/>
          <w:sz w:val="16"/>
          <w:szCs w:val="16"/>
        </w:rPr>
        <w:softHyphen/>
        <w:t>танцию до 500-600м. Малый вес танка об</w:t>
      </w:r>
      <w:r w:rsidRPr="00722885">
        <w:rPr>
          <w:rFonts w:ascii="Times New Roman" w:hAnsi="Times New Roman"/>
          <w:color w:val="000000" w:themeColor="text1"/>
          <w:sz w:val="16"/>
          <w:szCs w:val="16"/>
        </w:rPr>
        <w:softHyphen/>
        <w:t>легчает его транспортирование как к ли</w:t>
      </w:r>
      <w:r w:rsidRPr="00722885">
        <w:rPr>
          <w:rFonts w:ascii="Times New Roman" w:hAnsi="Times New Roman"/>
          <w:color w:val="000000" w:themeColor="text1"/>
          <w:sz w:val="16"/>
          <w:szCs w:val="16"/>
        </w:rPr>
        <w:softHyphen/>
        <w:t>нии фронта, так и во время эвакуации под</w:t>
      </w:r>
      <w:r w:rsidRPr="00722885">
        <w:rPr>
          <w:rFonts w:ascii="Times New Roman" w:hAnsi="Times New Roman"/>
          <w:color w:val="000000" w:themeColor="text1"/>
          <w:sz w:val="16"/>
          <w:szCs w:val="16"/>
        </w:rPr>
        <w:softHyphen/>
        <w:t>битых танков в тыл. Танки Т-70 проще в освоении и управлении малоподготовлен</w:t>
      </w:r>
      <w:r w:rsidRPr="00722885">
        <w:rPr>
          <w:rFonts w:ascii="Times New Roman" w:hAnsi="Times New Roman"/>
          <w:color w:val="000000" w:themeColor="text1"/>
          <w:sz w:val="16"/>
          <w:szCs w:val="16"/>
        </w:rPr>
        <w:softHyphen/>
        <w:t>ными водителями, подлежат ремонту в полевых условиях...Все имеющиеся случаи больших потерь подразделений танков Т-70 объясняются большей частью неграмотным применени</w:t>
      </w:r>
      <w:r w:rsidRPr="00722885">
        <w:rPr>
          <w:rFonts w:ascii="Times New Roman" w:hAnsi="Times New Roman"/>
          <w:color w:val="000000" w:themeColor="text1"/>
          <w:sz w:val="16"/>
          <w:szCs w:val="16"/>
        </w:rPr>
        <w:softHyphen/>
        <w:t>ем, но не конструктивными недостатками самого танка (11084).</w:t>
      </w:r>
    </w:p>
    <w:p w14:paraId="662044A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EF7877F" w14:textId="77777777" w:rsidR="001D50A3" w:rsidRPr="00722885" w:rsidRDefault="001D50A3"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30 августа по 5 сентября 1942 года в Кубинке проходили испытания по сокращенной программе танка Черчиль с WD-номером T.31221R. Параллельно с ходовыми были проведены и испытания вооружения. После них танк вернулся в Горьковский учебный центр и оказался в составе 47-го гвардейского тяжелого танкового полка.</w:t>
      </w:r>
    </w:p>
    <w:p w14:paraId="79160D7E" w14:textId="77777777" w:rsidR="001D50A3" w:rsidRPr="00722885"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К моменту начала испытаний танк уже активно эксплуатировался. Он прибыл из Горьковского учебного центра, где прошел более 200 километров. Поскольку было известно, что в дальнейшем танку предстоит боевая служба, объем ходовых испытаний было решено урезать до минимума. Всего он прошел 97 километров по шоссе и 87 километров по проселку, включая небольшой участок местности для проведения испытаний по преодолению подъемов. На танке использовался отечественный </w:t>
      </w:r>
      <w:r w:rsidRPr="00722885">
        <w:rPr>
          <w:rFonts w:ascii="Times New Roman" w:eastAsia="Times New Roman" w:hAnsi="Times New Roman"/>
          <w:color w:val="000000" w:themeColor="text1"/>
          <w:sz w:val="16"/>
          <w:szCs w:val="16"/>
          <w:lang w:eastAsia="ru-RU"/>
        </w:rPr>
        <w:lastRenderedPageBreak/>
        <w:t>бензин Б-70, в который для увеличения октанового числа добавили авиационную присадку Р-9. Согласно английским документам, рекомендовалось использовать бензин с октановым числом не менее 75.</w:t>
      </w:r>
    </w:p>
    <w:p w14:paraId="5E108C70" w14:textId="77777777" w:rsidR="001D50A3" w:rsidRPr="00722885"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Больших сюрпризов в ходе испытаний на шоссе танк не преподнес. Было очевидно, что тяжелая машина, созданная в качестве средства сопровождения пехоты, не может ездить очень быстро. Тем не менее, на мерном участке машина развила максимальную скорость 28 км/ч, что для подобного танка вполне приемлемо. Больше того, танк развил скорость, которая на 4 км/ч превышала паспортную! Не менее интересно то, что средняя скорость по шоссе составила 25,4 км/ч, что было сравнимо со средней скоростью по шоссе советского тяжелого танка КВ-1. Другими словами, в реальности английский танк был не таким уж и медленным.</w:t>
      </w:r>
    </w:p>
    <w:p w14:paraId="3BE893A8" w14:textId="77777777" w:rsidR="001D50A3" w:rsidRPr="00722885"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ряду особенностей «Черчилля» стоит отметить сдвоенное управление. В плюс «Черчиллю» шло и наличие гидравлического привода с сервомеханизмами, благодаря чему управлять танком оказалось достаточно легко. Также испытатели отмечали плавное прохождение поворотов. На 100 километров двигатель потреблял 325 литров бензина, что было признано приемлемым.</w:t>
      </w:r>
    </w:p>
    <w:p w14:paraId="64756E3E" w14:textId="77777777" w:rsidR="001D50A3" w:rsidRPr="00722885"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Вполне адекватно показал себя танк и на проселке. Средняя скорость чистого движения составила 17,5 км/ч, а средняя техническая скорость 16,8 км/ч. Это также оказалось сравнимо с КВ-1, средняя скорость по проселку у которого составляла 18 км/ч. Расход топлива составил 382 литра на 100 километров. Запас хода по шоссе составил 246 километров, а по проселку 166, что также было сопоставимо с характеристиками КВ-1.</w:t>
      </w:r>
    </w:p>
    <w:p w14:paraId="0813350A" w14:textId="77777777" w:rsidR="001D50A3" w:rsidRPr="00722885"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Последним этапом испытаний стало преодоление подъемов. Для этого были выбраны овраги в районе деревни Агафоново на берегу Москвы-реки. В ходе них выяснилось, что при движении по песку максимальный угол подъема составил 27 градусов, далее гусеницы теряли сцепление с грунтом. В случае с преодолением подъемов с покровом в виде травы и мелкого кустарника максимальный угол составил 30 градусов. Испытатели отмечали, что в этом случае танк двигался на пределе мощности мотора.</w:t>
      </w:r>
    </w:p>
    <w:p w14:paraId="63E6856A" w14:textId="77777777" w:rsidR="001D50A3" w:rsidRPr="00722885"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Несколько иные показатели были получены при движениях на косогорах. Уровень предельного крена опытным путем был определен в 20 градусов, после чего произошло спадание гусеничной ленты. В целом конструкция подвески танка не особо способствовала езде в таком режиме. В ходе испытаний два раза ломались тележки, ломался поводковый валик коробки переключения передач, пару раз ломались траки. В целом советские специалисты признали ходовую часть довольно слабой для такого танка.</w:t>
      </w:r>
    </w:p>
    <w:p w14:paraId="1D9929F9" w14:textId="77777777" w:rsidR="001D50A3" w:rsidRPr="00722885"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Достаточно высокой оценки удостоилась обзорность танка. Хуже всего дела обстояли с обзором с места механика-водителя, которому сильно мешала сильно выступающая ходовая часть. Ненамного лучшей была ситуация у помощника механика-водителя. Но совсем иная картина наблюдалась в случае с башней. Благодаря перископическим приборам в MK-IV обеспечивался хороший обзор, особенно для такой большой машины. После ознакомления с танком перископический прибор Vickers Mk.IV в СССР скопировали, назвав «перископическим прибор MK-IV». К слову, в данном случае это обозначение указывало не на оригинальный индекс, а на то, что прибор использовался на танке МК-IV.</w:t>
      </w:r>
    </w:p>
    <w:p w14:paraId="17EBEF9B" w14:textId="77777777" w:rsidR="001D50A3" w:rsidRPr="00722885"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Еще одной частью испытаний стала стрельба по немецкому танку Pz.Kpfw.III. Для обстрела был взят танк ранних серий с толщиной брони 30 мм. При обстреле в борт с 950 метров бронебойный снаряд 6-фунтовой пушки пробил немецкий танк насквозь, выйдя из другого борта. Стоит отметить, что речь шла о ранней версии орудия, Mk.V, у которого длина ствола составляла 43 калибра. Не обошлось и без внештатных ситуаций. На седьмом выстреле пороховые газы разбили стекла фар и погнули левое крыло. На двадцать шестом выстреле отказала полуавтоматика.</w:t>
      </w:r>
    </w:p>
    <w:p w14:paraId="5153BEFC" w14:textId="77777777" w:rsidR="001D50A3" w:rsidRPr="00722885"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Также испытания показали, что установленный в танке 50,8-мм миномет может использовать отечественные боеприпасы от 50-мм ротного миномета.</w:t>
      </w:r>
    </w:p>
    <w:p w14:paraId="14D2B3CC" w14:textId="77777777" w:rsidR="001D50A3" w:rsidRPr="00722885"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Несмотря на ряд недостатков, по совокупности характеристик «тяжелый танк МК-IV» оказался вполне сопоставим с советскими тяжелыми танками. В заключении комиссия назвала «Черчилль» не доведенной до конца машиной, и отчасти это утверждение справедливо. Другое дело, что при ряде очевидных недостатков у английской машины существовали и важные преимущества. Прежде всего, это касается обзорности, которая явно превосходила обзорность КВ-1.</w:t>
      </w:r>
    </w:p>
    <w:p w14:paraId="72486250" w14:textId="77777777" w:rsidR="001D50A3" w:rsidRPr="00722885"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Кроме того, оказалось, что огневая мощь орудия английского танка казалось недооцененной. Этот факт весной 1943 года продемонстрировал обстрел немецкого тяжелого танка Pz.Kpfw. Tiger Ausf.E. Советские 76-мм танковые пушки Ф-34 и ЗИС-5 не могли пробить немецкий тяжелый танк в борт даже с дистанции 200 метров. В то же время английская 57-мм противотанковая пушка, по тактико-техническим характеристикам (ТТХ) равнозначная танковому орудию, пробила борт корпуса немецкого танка на дистанции в 1000 метров, а борт башни – на дистанции 800 метров. В целом вооружение английского танка оказалось равнозначным советской противотанковой пушке ЗИС-2 (17961).</w:t>
      </w:r>
    </w:p>
    <w:p w14:paraId="5DF082A8" w14:textId="77777777" w:rsidR="001D50A3" w:rsidRPr="00722885" w:rsidRDefault="001D50A3" w:rsidP="00722885">
      <w:pPr>
        <w:spacing w:after="0" w:line="240" w:lineRule="auto"/>
        <w:jc w:val="both"/>
        <w:rPr>
          <w:rFonts w:ascii="Times New Roman" w:eastAsia="Times New Roman" w:hAnsi="Times New Roman"/>
          <w:color w:val="000000" w:themeColor="text1"/>
          <w:sz w:val="16"/>
          <w:szCs w:val="16"/>
          <w:lang w:eastAsia="ru-RU"/>
        </w:rPr>
      </w:pPr>
    </w:p>
    <w:p w14:paraId="6ED160F0"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30 августа 1942 г.</w:t>
      </w:r>
    </w:p>
    <w:p w14:paraId="7180C554"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Из протокола № 215 §40 заседания бюро Свердловского Обкома ВКП(б) от 30 августа 1942 г.</w:t>
      </w:r>
    </w:p>
    <w:p w14:paraId="741F2851"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Об изготовлении опытной партии индивидуальной бронезащиты бойцов и пулемётчиков.</w:t>
      </w:r>
    </w:p>
    <w:p w14:paraId="6A5A8E8E"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Одобряя инициативу НИИ-48, разработавшего конструкцию индивидуальной бронезащиты и технологию изготовления деталей, бюро Обкома ВКП(б) постановляет:</w:t>
      </w:r>
    </w:p>
    <w:p w14:paraId="2F1BC36A"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1. Обязать директора Уралмашзавода т.МУЗРУКОВА и директора НИИ-48 т.ЗАВЬЯЛОВА изготовить 200 комплектов бронедеталей индивидуальной защиты и 50 комплектов бронедеталей для защиты пулемётчиков станкового пулемёта "Максим" к 20 сентября 1942 года.</w:t>
      </w:r>
    </w:p>
    <w:p w14:paraId="57248D94"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2. Обязать директора ВИЗ"а т.РАДКЕВИЧ прокатать и выдать не позднее 7 сентября 1942 г. Уралмашзаводу 3 тонны спецстали марки 30ХГС для изготовления опытных комплектов индивидуальной бронезащиты.</w:t>
      </w:r>
    </w:p>
    <w:p w14:paraId="305838F7"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3. Предложить директору НИИ-48 т.ЗАВЬЯЛОВУ по изготовлении опытной партии бронедеталей индивидуальной защиты, срочно их отправить для практического испытания в действующих частях РККА. Результаты испытаний конструкций на фронте и предложения о массовом их изготовлении, в случае принятия бронеконструкций на вооружение, представить в Обком ВКП(б).</w:t>
      </w:r>
    </w:p>
    <w:p w14:paraId="438E192C"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4. Обязать Свердловский ГК ВКП(б) (т.КОСОВА) оказать необходимую помощь заводам в изготовлении опытной партии индивидуальной бронезащиты бойцов и пулемётчиков.</w:t>
      </w:r>
    </w:p>
    <w:p w14:paraId="3D6884BA" w14:textId="77777777" w:rsidR="00AE7191" w:rsidRPr="00722885" w:rsidRDefault="00AE7191" w:rsidP="00722885">
      <w:pPr>
        <w:pStyle w:val="ae"/>
        <w:spacing w:before="0" w:after="0"/>
        <w:jc w:val="both"/>
        <w:rPr>
          <w:color w:val="000000" w:themeColor="text1"/>
          <w:sz w:val="16"/>
          <w:szCs w:val="16"/>
        </w:rPr>
      </w:pPr>
      <w:r w:rsidRPr="00722885">
        <w:rPr>
          <w:color w:val="000000" w:themeColor="text1"/>
          <w:sz w:val="16"/>
          <w:szCs w:val="16"/>
        </w:rPr>
        <w:t>СЕКРЕТАРЬ ОБКОМА ВКП(б) Андрианов. ЦДООСО, фонд 4, опись 18, дело № 15, лист 363.</w:t>
      </w:r>
    </w:p>
    <w:p w14:paraId="6DB8A1F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F299A9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30 августа 1942 вышло Постановление ГКО № 2227 Об общем плане погрузки народнохозяйственных грузов на сентябрь 1942 года. (7052, 91).</w:t>
      </w:r>
    </w:p>
    <w:p w14:paraId="5A1CF01E" w14:textId="77777777" w:rsidR="00AE7191" w:rsidRPr="00722885" w:rsidRDefault="00AE7191" w:rsidP="00722885">
      <w:pPr>
        <w:pStyle w:val="Iauiue"/>
        <w:tabs>
          <w:tab w:val="left" w:pos="11199"/>
        </w:tabs>
        <w:jc w:val="both"/>
        <w:rPr>
          <w:color w:val="000000" w:themeColor="text1"/>
          <w:sz w:val="16"/>
          <w:szCs w:val="16"/>
        </w:rPr>
      </w:pPr>
    </w:p>
    <w:p w14:paraId="23349780"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30 августа 1942 вышло Постановление ГКО № 2228 О формировании отдельных подъемно-крановых железнодорожных рот. (7052, 92).</w:t>
      </w:r>
    </w:p>
    <w:p w14:paraId="33A4D2DB" w14:textId="77777777" w:rsidR="00AE7191" w:rsidRPr="00722885" w:rsidRDefault="00AE7191" w:rsidP="00722885">
      <w:pPr>
        <w:pStyle w:val="Iauiue"/>
        <w:tabs>
          <w:tab w:val="left" w:pos="11199"/>
        </w:tabs>
        <w:jc w:val="both"/>
        <w:rPr>
          <w:color w:val="000000" w:themeColor="text1"/>
          <w:sz w:val="16"/>
          <w:szCs w:val="16"/>
        </w:rPr>
      </w:pPr>
    </w:p>
    <w:p w14:paraId="5539EEB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30 августа 1942 вышло Постановление ГКО № 2229 О назначении [Багирова М.Д.] ответственного уполномоченного ГОКО по организации прохождения грузов и пассажиров через Баку. (7052, 93).</w:t>
      </w:r>
    </w:p>
    <w:p w14:paraId="2A88473D" w14:textId="77777777" w:rsidR="00AE7191" w:rsidRPr="00722885" w:rsidRDefault="00AE7191" w:rsidP="00722885">
      <w:pPr>
        <w:pStyle w:val="Iauiue"/>
        <w:tabs>
          <w:tab w:val="left" w:pos="11199"/>
        </w:tabs>
        <w:jc w:val="both"/>
        <w:rPr>
          <w:color w:val="000000" w:themeColor="text1"/>
          <w:sz w:val="16"/>
          <w:szCs w:val="16"/>
        </w:rPr>
      </w:pPr>
    </w:p>
    <w:p w14:paraId="4921B7B1"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D90D48C" w14:textId="77777777" w:rsidR="00AE7191" w:rsidRPr="00722885" w:rsidRDefault="00AE7191" w:rsidP="00722885">
      <w:pPr>
        <w:pStyle w:val="Iauiue"/>
        <w:jc w:val="both"/>
        <w:rPr>
          <w:iCs/>
          <w:color w:val="000000" w:themeColor="text1"/>
          <w:sz w:val="16"/>
          <w:szCs w:val="16"/>
        </w:rPr>
      </w:pPr>
    </w:p>
    <w:p w14:paraId="2836D122"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30 августа </w:t>
      </w:r>
      <w:r w:rsidRPr="00722885">
        <w:rPr>
          <w:rFonts w:ascii="Times New Roman" w:hAnsi="Times New Roman"/>
          <w:color w:val="000000" w:themeColor="text1"/>
          <w:sz w:val="16"/>
          <w:szCs w:val="16"/>
        </w:rPr>
        <w:t>в 1942 году утреннее сообщение Совинформбюро:</w:t>
      </w:r>
    </w:p>
    <w:p w14:paraId="5A01C9C3"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30 августа на фронтах существенных изменений не произошло.</w:t>
      </w:r>
    </w:p>
    <w:p w14:paraId="11A61177"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северо-западнее Сталинграда наши войска вели бои с танками и пехотой противника. Бойцы Н-ского гвардейского соединения отбили несколько атак немцеви, перейдя в контратаку, заняли два населённых пункта. Большая часть немцев в этих населённых пунктах была истреблена, а остальные бежали, бросив на поле боя 16 орудий, несколько пулемётов, автомашины, 2 радиостанции и другое военное имущество. На другом участке неприятель предпринял несколько танковых атак. Совместными действиями пехотинцев и артиллеристов атаки противника были отбиты. В результате боя подбито и уничтожено 14 немецких танков.</w:t>
      </w:r>
    </w:p>
    <w:p w14:paraId="2AF8AA9E"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продолжали вести активные боевые действия.</w:t>
      </w:r>
    </w:p>
    <w:p w14:paraId="20B64591"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огнём нашей артиллерии и бронебойщиков подбито и сожжено 9 немецких танков. В бою у одного населённого пункта полностью истреблена рота румынской пехоты.</w:t>
      </w:r>
    </w:p>
    <w:p w14:paraId="0B97A12C"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Краснодара противник под прикрытием сильного артиллерийского и миномётного огня продвинулся вперёд и занял несколько высот. Наши части, перегруппировав свои силы, контратаковали немцев с фланга и отбросили их на исходные позиции. В этом бою уничтожена немецкая 150-миллиметровая батарея и истреблено до батальона пехоты противника.</w:t>
      </w:r>
    </w:p>
    <w:p w14:paraId="530ED220"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уничтожили несколько танков и до 40 автомашин с пехотой противника. В воздушных боях сбито 6 немецких самолётов. Наша авиация потерь не имела.</w:t>
      </w:r>
    </w:p>
    <w:p w14:paraId="7A9FF7DA"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отбиты две атаки гитлеровцев, пытавшихся вклиниться в нашу оборону. Уничтожены 2 танка, 13 автомашин и рота пехоты противника.</w:t>
      </w:r>
    </w:p>
    <w:p w14:paraId="65F46B6A"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группа наших штурмовых самолётов, которую вёл старший лейтенант Фёдоров, в сопровождении истребителей под командованием батальонного комиссара Адамовича совершила налёт на аэродром противника. В результате налёта уничтожено 16 немецких бомбардировщиков.</w:t>
      </w:r>
    </w:p>
    <w:p w14:paraId="6CC9C036"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Орловские партизаны пустили под откос немецкий железнодорожный эшелон. Уничтожено 28 платформ с автомобилями и танками. Через несколько дней партизаны подорвали на минах состав цистерн с горючим.</w:t>
      </w:r>
    </w:p>
    <w:p w14:paraId="12DFB761"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 убитых на Западном фронте немецких солдат найдены неотправленные письма народину. В письме ефрейтора Б.Гейнриха к матери говорится: «Так спокойно мы здесь жили, и вдруг разразился ад. Уже 13 дней, как русские наступают. Наша рота имеет много убитых и раненых. Если так будет и дальше, то ни один человек не останется в живых. Живём теперь от одной минуты до другой». Ефрейтор И.Цинбауэр писал родным: «Русские обрушили на наши позиции танки и авиацию. Это </w:t>
      </w:r>
      <w:r w:rsidRPr="00722885">
        <w:rPr>
          <w:rFonts w:ascii="Times New Roman" w:hAnsi="Times New Roman"/>
          <w:color w:val="000000" w:themeColor="text1"/>
          <w:sz w:val="16"/>
          <w:szCs w:val="16"/>
        </w:rPr>
        <w:lastRenderedPageBreak/>
        <w:t>самые тяжёлые бои из всех, которые я видел. Нам всем здесь будет крышка». В письме ефрейтора Титштаймера к сестре говорится: «Мы теперь знаем, что из России не вернётся домой здоровым ни один солдат. Многие совсем расстанутся с жизнью».</w:t>
      </w:r>
    </w:p>
    <w:p w14:paraId="2B8ABD1C"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ныне освобождённой от немецких захватчиков деревни Старцево, Калининскойобласти, составили акт о злодеяниях гитлеровских бандитов. В акте говорится: «Не успели немцы ворваться в деревню, как начали грабить мирных граждан. Они забирали всё, до последней детской рубашонки, до последней горстки зерна. Население осталось без одежды, обуви и без куска хлеба. Наступил страшный голод. Не лучше жилось колхозникам и других деревень. В селении Власово за зиму от голода умерло 250 человек. Немцы организовали в нашей деревне лагерь для советских военнопленных. Они загнали красноармейцев в скотный двор и обнесли его колючей проволокой. Пленных также морили голодом. Им лишь изредка давали сырое мясо павших лошадей. Раненых и больных гитлеровцы расстреливали. Отступая под ударами Красной Армии, гитлеровские мерзавцы расстреляли 13 колхозников, разрушили и дотла сожгли все дома и постройки. Сейчас от нашей деревни н еосталось и следа». Акт подписали: жители деревни Суворов Илья Михайлович, Лебедев Василий Алексеевич, Сергеев Николай, Белякова Татьяна, Кольцова Анна и другие.» (14754).</w:t>
      </w:r>
    </w:p>
    <w:p w14:paraId="0485AFD8" w14:textId="77777777" w:rsidR="00103465" w:rsidRPr="00722885" w:rsidRDefault="00103465" w:rsidP="00722885">
      <w:pPr>
        <w:spacing w:after="0" w:line="240" w:lineRule="auto"/>
        <w:jc w:val="both"/>
        <w:rPr>
          <w:rFonts w:ascii="Times New Roman" w:hAnsi="Times New Roman"/>
          <w:color w:val="000000" w:themeColor="text1"/>
          <w:sz w:val="16"/>
          <w:szCs w:val="16"/>
        </w:rPr>
      </w:pPr>
    </w:p>
    <w:p w14:paraId="17B7AEB0"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30 августа </w:t>
      </w:r>
      <w:r w:rsidRPr="00722885">
        <w:rPr>
          <w:rFonts w:ascii="Times New Roman" w:hAnsi="Times New Roman"/>
          <w:color w:val="000000" w:themeColor="text1"/>
          <w:sz w:val="16"/>
          <w:szCs w:val="16"/>
        </w:rPr>
        <w:t>в 1942 году вечернее сообщение Совинформбюро:</w:t>
      </w:r>
    </w:p>
    <w:p w14:paraId="7CB558C5"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30 августа на фронтах существенных изменений не произошло.</w:t>
      </w:r>
    </w:p>
    <w:p w14:paraId="541B7EAB"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23 по 29 августа включительно, в воздушных боях, на аэродромах и огнём зенитной артиллерии уничтожено 498 немецких самолётов. Наши потери за это же время 206 самолётов.</w:t>
      </w:r>
    </w:p>
    <w:p w14:paraId="3DD73EC3"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29 августа частями нашей авиации на различных участках фронта уничтожено или повреждено 25 немецких танков, 20 бронемашин, до 140 автомашин с войсками и грузами, подавлен огонь 12 батарей полевой и зенитной артиллерии, взорвано 4 склада боеприпасов и 2 склада горючего, рассеяно и частью уничтожено до двух батальонов пехоты противника.</w:t>
      </w:r>
    </w:p>
    <w:p w14:paraId="058F941D"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наши части вели бои с противником за переправы через водный рубеж. К исходу дня советские бойцы переправились через реку и продолжали борьбу на её западном берегу. Подразделения Н-ской танковой части уничтожили 11 немецких противотанковых орудий, 4 миномёта и истребили до 170 солдат и офицеров противника. Экипаж танка под командованием старшего политрука Екатериничева в одном бою раздавил 4 орудия и уничтожил 40 гитлеровцев. Танк младшего лейтенанта Семёнова подбил 4 немецких танка.</w:t>
      </w:r>
    </w:p>
    <w:p w14:paraId="7031C4C5"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северо-западнее Сталинграда продолжались ожесточённые бои с крупными силами танков и пехоты противника. Все атаки немцев отбиты. На ряде участков наши части нанесли контрудары, в результате которых противник понёс большие потери. Бойцы Н-ской части, действуя при поддержке танков, уничтожили 18 немецких танков, 9 орудий, 13 пулемётов и истребили до 600 гитлеровцев. На другом участке нанесено тяжёлое поражение итальянскому батальону, который в течение дня потерял не менее 70 процентов своего личного состава. Гвардейцы-артиллеристы подавили огонь двух артиллерийских батарей и подбили 9 немецких танков.</w:t>
      </w:r>
    </w:p>
    <w:p w14:paraId="4056A829"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части вели оборонительные бои с противником. Н-ская часть отразила две атаки гитлеровцев и уничтожила 3 немецких танка и роту пехоты противника. На другом участке наши войска ведут бои с перешедшими в наступление пехотой и танками противника.</w:t>
      </w:r>
    </w:p>
    <w:p w14:paraId="577E0AA1"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Краснодара бойцы одной нашей части нанесли контрудар противнику. Врезультате боя захвачены у неприятеля 4 противотанковых орудия, 15 миномётов, 12 пулемётов, 12.000 патронов, винтовки, ручные гранаты и другое вооружение. Гитлеровцы потеряли только убитыми свыше 200 солдат и офицеров.</w:t>
      </w:r>
    </w:p>
    <w:p w14:paraId="196AA53F"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упорный бой происходил около одного населённого пункта. Наши войска сломили сопротивление противника и заняли этот населённый пункт. Подбито и сожжено 9 немецких танков. Противник потерял в этом бою до батальона пехоты.</w:t>
      </w:r>
    </w:p>
    <w:p w14:paraId="2B5224CD"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витебских партизан под командованием тов. Д. совершил налёт на немецкий гарнизон в одном населённом пункте. Партизаны истребили 158 немецко-фашистских захватчиков и захватили трофеи.</w:t>
      </w:r>
    </w:p>
    <w:p w14:paraId="095A87D2"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Калининской области окружили и почти полностью истребили немецкий карательный отряд. Лишь немногим гитлеровцам удалось спастись бегством. У убитого в этом бою немецкого офицера найден приказ полковника Шайхенбауэра. В этом приказе говорится: «После операции по уничтожению партизан части собираютсяна окраине П. и проходят по местечку с песнями. Комендатуре встретить с почестями солдат, возвращающихся с операции». Таким образом, затеянный гитлеровцами парад не удался.</w:t>
      </w:r>
    </w:p>
    <w:p w14:paraId="7119315E"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5 роты 549 полка 328 немецкой пехотной дивизии Курт Вегарт рассказал: «Наша рота до наступления русских насчитывала 140 человек. После нескольких дней боёв от роты осталось всего 18 человек, все остальные убиты или ранены. Особенно большие потери мы понесли от советских танков. Когда русские прорвали оборону, каждый бежал, спасая свою жизнь, бросив пулемёты, миномёты и личное вооружение».</w:t>
      </w:r>
    </w:p>
    <w:p w14:paraId="6E87D82F"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патриоты всеми мерами срывают работу предприятий, выполняющих немецкие заказы. Нa литейном заводе в городе Гренобль в течение августа были выведены из строя подъёмный кран, компрессор и несколько станков. На кожевенном заводе подожжён склад, в котором сгорели большие запасы сырья. Металлургический завод в Монтатере вследствие саботажа простоял в июле 16 рабочих дней.».</w:t>
      </w:r>
    </w:p>
    <w:p w14:paraId="6C7D78C9"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30 августа </w:t>
      </w:r>
      <w:r w:rsidRPr="00722885">
        <w:rPr>
          <w:rFonts w:ascii="Times New Roman" w:hAnsi="Times New Roman"/>
          <w:color w:val="000000" w:themeColor="text1"/>
          <w:sz w:val="16"/>
          <w:szCs w:val="16"/>
        </w:rPr>
        <w:t>в 1942 году 62-я и 64-я армии Юго-Восточного фронта отведены на средний сталинградский оборонительный обвод. В результате контрударов советские войска захватили на Среднем Дону плацдармы в районе Серафимовича (на правом берегу Дона), у Клетской и севернее Трехостровской, расширен плацдарм в излучине Дона северо-западнее Сиротинской (14754).</w:t>
      </w:r>
    </w:p>
    <w:p w14:paraId="248F9EA6" w14:textId="77777777" w:rsidR="00103465" w:rsidRPr="00722885" w:rsidRDefault="00103465" w:rsidP="00722885">
      <w:pPr>
        <w:spacing w:after="0" w:line="240" w:lineRule="auto"/>
        <w:jc w:val="both"/>
        <w:rPr>
          <w:rFonts w:ascii="Times New Roman" w:hAnsi="Times New Roman"/>
          <w:color w:val="000000" w:themeColor="text1"/>
          <w:sz w:val="16"/>
          <w:szCs w:val="16"/>
        </w:rPr>
      </w:pPr>
    </w:p>
    <w:p w14:paraId="34C601E0" w14:textId="77777777" w:rsidR="00103465" w:rsidRPr="00722885" w:rsidRDefault="0010346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30 августа </w:t>
      </w:r>
      <w:r w:rsidRPr="00722885">
        <w:rPr>
          <w:rFonts w:ascii="Times New Roman" w:hAnsi="Times New Roman"/>
          <w:color w:val="000000" w:themeColor="text1"/>
          <w:sz w:val="16"/>
          <w:szCs w:val="16"/>
        </w:rPr>
        <w:t>в 1942 году самолёты авиации дальнего действия бомбили столицу фашистской Германии Берлин (14754).</w:t>
      </w:r>
    </w:p>
    <w:p w14:paraId="2B42B15D" w14:textId="77777777" w:rsidR="00103465" w:rsidRPr="00722885" w:rsidRDefault="00103465" w:rsidP="00722885">
      <w:pPr>
        <w:spacing w:after="0" w:line="240" w:lineRule="auto"/>
        <w:jc w:val="both"/>
        <w:rPr>
          <w:rFonts w:ascii="Times New Roman" w:hAnsi="Times New Roman"/>
          <w:color w:val="000000" w:themeColor="text1"/>
          <w:sz w:val="16"/>
          <w:szCs w:val="16"/>
        </w:rPr>
      </w:pPr>
    </w:p>
    <w:p w14:paraId="712EFE7D" w14:textId="77777777" w:rsidR="00182A0D" w:rsidRPr="00722885" w:rsidRDefault="00182A0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ночь на 30 августа 1942 в ходе налета АДД на Берлин бомбы были сброшены на Фридрихсфельд, Нойколлин и Берлин. Одновременно часть самолетов бомбила Кенигсберг и еще 17 населенных пунктов Восточной Пруссии (22728).</w:t>
      </w:r>
    </w:p>
    <w:p w14:paraId="32E5F660" w14:textId="77777777" w:rsidR="00182A0D" w:rsidRPr="00722885" w:rsidRDefault="00182A0D" w:rsidP="00722885">
      <w:pPr>
        <w:spacing w:after="0" w:line="240" w:lineRule="auto"/>
        <w:jc w:val="both"/>
        <w:rPr>
          <w:rFonts w:ascii="Times New Roman" w:hAnsi="Times New Roman"/>
          <w:color w:val="0070C0"/>
          <w:sz w:val="16"/>
          <w:szCs w:val="16"/>
        </w:rPr>
      </w:pPr>
    </w:p>
    <w:p w14:paraId="389AFF19" w14:textId="77777777" w:rsidR="00BD5EB5" w:rsidRPr="00722885" w:rsidRDefault="00BD5EB5" w:rsidP="00722885">
      <w:pPr>
        <w:pStyle w:val="Iauiue"/>
        <w:jc w:val="both"/>
        <w:rPr>
          <w:color w:val="000000" w:themeColor="text1"/>
          <w:sz w:val="16"/>
          <w:szCs w:val="16"/>
        </w:rPr>
      </w:pPr>
      <w:r w:rsidRPr="00722885">
        <w:rPr>
          <w:color w:val="000000" w:themeColor="text1"/>
          <w:sz w:val="16"/>
          <w:szCs w:val="16"/>
        </w:rPr>
        <w:t>30 августа 1942 Пе-8 АМ-35А N 42018 из 890 был сбит полка над Берлином, совершил вынужденную посадку на территории Восточной Пруссии без горючего и был досконально изучен немцами (1792,6).</w:t>
      </w:r>
    </w:p>
    <w:p w14:paraId="2D393268" w14:textId="77777777" w:rsidR="00BD5EB5" w:rsidRPr="00722885" w:rsidRDefault="00BD5EB5" w:rsidP="00722885">
      <w:pPr>
        <w:pStyle w:val="Iauiue"/>
        <w:jc w:val="both"/>
        <w:rPr>
          <w:color w:val="000000" w:themeColor="text1"/>
          <w:sz w:val="16"/>
          <w:szCs w:val="16"/>
        </w:rPr>
      </w:pPr>
    </w:p>
    <w:p w14:paraId="064F8E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30 августа 1942 один из самых опытных бойцов 686-го </w:t>
      </w:r>
      <w:r w:rsidRPr="00722885">
        <w:rPr>
          <w:iCs/>
          <w:color w:val="000000" w:themeColor="text1"/>
          <w:sz w:val="16"/>
          <w:szCs w:val="16"/>
        </w:rPr>
        <w:t>шап</w:t>
      </w:r>
      <w:r w:rsidRPr="00722885">
        <w:rPr>
          <w:color w:val="000000" w:themeColor="text1"/>
          <w:sz w:val="16"/>
          <w:szCs w:val="16"/>
        </w:rPr>
        <w:t xml:space="preserve"> 206-й </w:t>
      </w:r>
      <w:r w:rsidRPr="00722885">
        <w:rPr>
          <w:iCs/>
          <w:color w:val="000000" w:themeColor="text1"/>
          <w:sz w:val="16"/>
          <w:szCs w:val="16"/>
        </w:rPr>
        <w:t>шад</w:t>
      </w:r>
      <w:r w:rsidRPr="00722885">
        <w:rPr>
          <w:color w:val="000000" w:themeColor="text1"/>
          <w:sz w:val="16"/>
          <w:szCs w:val="16"/>
        </w:rPr>
        <w:t xml:space="preserve"> 8-й ВА зам. командира эскадрильи ст.л-т Н.П. Кочет</w:t>
      </w:r>
      <w:r w:rsidRPr="00722885">
        <w:rPr>
          <w:color w:val="000000" w:themeColor="text1"/>
          <w:sz w:val="16"/>
          <w:szCs w:val="16"/>
        </w:rPr>
        <w:softHyphen/>
        <w:t>ков в воздушном бою с Ju87 и прикры</w:t>
      </w:r>
      <w:r w:rsidRPr="00722885">
        <w:rPr>
          <w:color w:val="000000" w:themeColor="text1"/>
          <w:sz w:val="16"/>
          <w:szCs w:val="16"/>
        </w:rPr>
        <w:softHyphen/>
        <w:t>вавшими их Bf110 сбил один "Мессершмитт". Через три дня Кочетков погиб в бою - от прямого попадания крупнока</w:t>
      </w:r>
      <w:r w:rsidRPr="00722885">
        <w:rPr>
          <w:color w:val="000000" w:themeColor="text1"/>
          <w:sz w:val="16"/>
          <w:szCs w:val="16"/>
        </w:rPr>
        <w:softHyphen/>
        <w:t>либерного зенитного снаряда его Ил-2 взорвался в воздухе. Указом Президиу</w:t>
      </w:r>
      <w:r w:rsidRPr="00722885">
        <w:rPr>
          <w:color w:val="000000" w:themeColor="text1"/>
          <w:sz w:val="16"/>
          <w:szCs w:val="16"/>
        </w:rPr>
        <w:softHyphen/>
        <w:t>ма Верховного Совета СССР от 05.11.42 г. Н.П.Кочеткову было присвоено зва</w:t>
      </w:r>
      <w:r w:rsidRPr="00722885">
        <w:rPr>
          <w:color w:val="000000" w:themeColor="text1"/>
          <w:sz w:val="16"/>
          <w:szCs w:val="16"/>
        </w:rPr>
        <w:softHyphen/>
        <w:t>ние Героя Советского Союза посмертно (6467).</w:t>
      </w:r>
    </w:p>
    <w:p w14:paraId="35274D0F" w14:textId="77777777" w:rsidR="00AE7191" w:rsidRPr="00722885" w:rsidRDefault="00AE7191" w:rsidP="00722885">
      <w:pPr>
        <w:pStyle w:val="Iauiue"/>
        <w:jc w:val="both"/>
        <w:rPr>
          <w:color w:val="000000" w:themeColor="text1"/>
          <w:sz w:val="16"/>
          <w:szCs w:val="16"/>
        </w:rPr>
      </w:pPr>
    </w:p>
    <w:p w14:paraId="3FC3FD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 августа 1942 ВВС ленинградского фронта предприняли налет на крупный аэродром Сиверская. Участвовало 12 Ил-2 и 8 ЛаГГ-3 для штурмовки и 8 И-16 и 12 Китахоков (154 иап) для прикрытия. Все прошло удачно (7521, 16).</w:t>
      </w:r>
    </w:p>
    <w:p w14:paraId="5CDF5681" w14:textId="77777777" w:rsidR="00AE7191" w:rsidRPr="00722885" w:rsidRDefault="00AE7191" w:rsidP="00722885">
      <w:pPr>
        <w:pStyle w:val="Iauiue"/>
        <w:jc w:val="both"/>
        <w:rPr>
          <w:color w:val="000000" w:themeColor="text1"/>
          <w:sz w:val="16"/>
          <w:szCs w:val="16"/>
        </w:rPr>
      </w:pPr>
    </w:p>
    <w:p w14:paraId="7F068D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и 30 августа и 10 сентября 1942 АДД бомбили Берлин (340,94).</w:t>
      </w:r>
    </w:p>
    <w:p w14:paraId="396A4EAD" w14:textId="77777777" w:rsidR="00AE7191" w:rsidRPr="00722885" w:rsidRDefault="00AE7191" w:rsidP="00722885">
      <w:pPr>
        <w:pStyle w:val="Iauiue"/>
        <w:jc w:val="both"/>
        <w:rPr>
          <w:color w:val="000000" w:themeColor="text1"/>
          <w:sz w:val="16"/>
          <w:szCs w:val="16"/>
        </w:rPr>
      </w:pPr>
    </w:p>
    <w:p w14:paraId="3E5922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ночь на 30 августа 1942 на Волховском фронте 507 ОТБ, вооруженный огнеметными танками, применял огнеметы против живой силы, получив задачу вместе с 70 гсп 24 гсд у отм. 40.1. Уничтожил до роты. 5 танков ОТБ-505 в районе Торопово применили огнеметы. Паника (5219, 33).</w:t>
      </w:r>
    </w:p>
    <w:p w14:paraId="7C945343" w14:textId="77777777" w:rsidR="00AE7191" w:rsidRPr="00722885" w:rsidRDefault="00AE7191" w:rsidP="00722885">
      <w:pPr>
        <w:pStyle w:val="Iauiue"/>
        <w:jc w:val="both"/>
        <w:rPr>
          <w:color w:val="000000" w:themeColor="text1"/>
          <w:sz w:val="16"/>
          <w:szCs w:val="16"/>
        </w:rPr>
      </w:pPr>
    </w:p>
    <w:p w14:paraId="614B1A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 августа 1942 г. вышел ПРИКАЗ НКО № 0669 О ЛИКВИДАЦИИ НЕРЯШЛИВОСТИ В НОШЕНИИ ОБМУНДИРОВАНИЯ ВОЕННОСЛУЖАЩИМИ КРАСНОЙ АРМИИ</w:t>
      </w:r>
    </w:p>
    <w:p w14:paraId="193D5B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ряде мест на фронтах и в военных округах неряшливый внешний вид, хождение бойцов и командиров в грязном и рваном обмундировании и обуви стали массовым явлением.</w:t>
      </w:r>
    </w:p>
    <w:p w14:paraId="61E5B7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Эти, совершенно нетерпимые, позорящие достоинство военнослужащего Красной Армии, факты происходят из-за неудовлетворительной работы руководящих работников интендантской службы и подчиненных им органов. Интендантские органы ослабили контроль за использованием выдаваемого нового обмундирования, ими плохо организованы саморемонт и стирка обмундирования.</w:t>
      </w:r>
    </w:p>
    <w:p w14:paraId="44C816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Непосредственные начальники военнослужащих: командиры частей и соединений, коменданты городов и начальники гарнизонов ослабили борьбу с нарушениями военной формы.</w:t>
      </w:r>
    </w:p>
    <w:p w14:paraId="4B0E31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Порочная практика некоторых интендантов руководить из канцелярии приводит к тому, что интендантские органы не видят живых людей, не проверяют, как и во что они одеты, порою не знают, какими запасами они располагают для удовлетворения законных требований частей и лиц по их обеспечению.</w:t>
      </w:r>
    </w:p>
    <w:p w14:paraId="7AA0B9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Например, в частях бывшего Южного фронта бойцы ходили оборванными, в грязном обмундировании, в рваной обуви и даже босые. Интендант фронта т. Кузнецов и начальник тыла того же фронта т. Шебунин, имея на складах большие запасы обуви, все время требовали отпуска обуви из центра и, в то же время, при отходе наших войск в июле с. г. всю обувь бросили, сделав ее добычей противника.</w:t>
      </w:r>
    </w:p>
    <w:p w14:paraId="02E861D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Московский военный округ, также располагая материальными запасами, отправил 261-й бомбардировочный полк необмундированным по летнему плану.</w:t>
      </w:r>
    </w:p>
    <w:p w14:paraId="27FE7C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Эти примеры служат доказательством того, что часть интендантских работников оторвалась от дела, не болеет за порученную им работу, не проверяет, дошло ли </w:t>
      </w:r>
      <w:r w:rsidRPr="00722885">
        <w:rPr>
          <w:color w:val="000000" w:themeColor="text1"/>
          <w:sz w:val="16"/>
          <w:szCs w:val="16"/>
        </w:rPr>
        <w:lastRenderedPageBreak/>
        <w:t>непосредственно до людей выданное частям и соединениям обмундирование и не организует работы по его сбережению.</w:t>
      </w:r>
    </w:p>
    <w:p w14:paraId="69069C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Приказываю:</w:t>
      </w:r>
    </w:p>
    <w:p w14:paraId="3DAC6E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Военным советам фронтов, армий и военных округов немедленно устранить все случаи ношения военнослужащими теплых вещей в летнее время и появления их в порванном и грязном обмундировании и обуви.</w:t>
      </w:r>
    </w:p>
    <w:p w14:paraId="1B2A0A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Установить твердый порядок, по которому ни один военнослужащий не мог бы находиться в пределах части и вне ее (как на фронте, так и в тылу) в грязном и порванном несезонном обмундировании и обуви.</w:t>
      </w:r>
    </w:p>
    <w:p w14:paraId="36E9FA87" w14:textId="77777777" w:rsidR="00AE7191" w:rsidRPr="00722885" w:rsidRDefault="00AE7191" w:rsidP="00722885">
      <w:pPr>
        <w:pStyle w:val="Iauiue"/>
        <w:jc w:val="both"/>
        <w:rPr>
          <w:iCs/>
          <w:color w:val="000000" w:themeColor="text1"/>
          <w:sz w:val="16"/>
          <w:szCs w:val="16"/>
        </w:rPr>
      </w:pPr>
      <w:r w:rsidRPr="00722885">
        <w:rPr>
          <w:color w:val="000000" w:themeColor="text1"/>
          <w:sz w:val="16"/>
          <w:szCs w:val="16"/>
        </w:rPr>
        <w:t>3. Командующим войсками и начальникам гарнизонов усилить наблюде ние гарнизонных патрулей за внешним видом военнослужащих. Нарушающих установленную форму, а также неопрятно одетых военнослужащих задерживать и направлять в комендатуры для выяснения принадлежности к части и принудительного отправления задержанных в свои части.</w:t>
      </w:r>
    </w:p>
    <w:p w14:paraId="493CE4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Интендантам всех степеней решительно изменить метод канцелярского руководства на живое руководство порученным им делом. Больше быть в войсках, среди бойцов, комадиров, изучать их нужды и законные требования. Всегда знать место и количество имеющихся запасов, немедленно учтя их там, где этот учет не точен или запущен. Лично проверять сбережение имущества. Организовать и требовать от непосредственных начальников бойцов решительной борьбы за сбережение и сохранение военного имущества.</w:t>
      </w:r>
    </w:p>
    <w:p w14:paraId="400502B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Организовать стирку и ремонт обмундирования самими бойцами.</w:t>
      </w:r>
    </w:p>
    <w:p w14:paraId="1B44F6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Предупреждаю, что впредь во всех случаях обнаружения инспектирующими лицами военнослужащих в неряшливом виде, в порванной одежде и обуви и одетых не по сезону буду строго наказывать, вплоть до снятия с должностей и предания суду не только непосредственно виновных лиц интендантской службы войсковых частей, в которых подобные случаи будут обнаружены, но и интендантов соответствующих соединений, армий, фронтов и округов.</w:t>
      </w:r>
    </w:p>
    <w:p w14:paraId="3FB0664F"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Заместитель Народного комиссара обороны генерал-лейтенант интендантской службы ХРУЛЕВ </w:t>
      </w:r>
      <w:r w:rsidRPr="00722885">
        <w:rPr>
          <w:color w:val="000000" w:themeColor="text1"/>
          <w:sz w:val="16"/>
          <w:szCs w:val="16"/>
        </w:rPr>
        <w:t>(9844).</w:t>
      </w:r>
    </w:p>
    <w:p w14:paraId="6D51C32E" w14:textId="77777777" w:rsidR="00AE7191" w:rsidRPr="00722885" w:rsidRDefault="00AE7191" w:rsidP="00722885">
      <w:pPr>
        <w:pStyle w:val="Iauiue"/>
        <w:jc w:val="both"/>
        <w:rPr>
          <w:color w:val="000000" w:themeColor="text1"/>
          <w:sz w:val="16"/>
          <w:szCs w:val="16"/>
        </w:rPr>
      </w:pPr>
    </w:p>
    <w:p w14:paraId="74B9BDC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августа 1942 Военный совет Юго-Восточного фронта вынес постановление «Об организации перевозок через р. Волга в Сталинграде». Оно обязывало командующего Волжской военной флотилией контр-адмирала Д. Д. Рогачева подготовить принятые от Наркомата речного флота катера – водные трамваи и газоходы – для перевозок людей. Генерал-майору В. Ф. Шестакову, контр-адмиралу Д. Д. Рогачеву и уполномоченному Наркомречфлота Ф. Г. Каченину предлагалось в суточный срок рассмотреть и доложить Военному совету фронта конкретный план расстановки транспортных средств по перевозкам. Во исполнение этого постановления для обеспечения перевозки людей из Сталинграда на левый берег Волги был разработан план переправ в Краснооктябрьском районе и в районе Красноармейска. Нижневолжское речное пароходство выделило для работы на этих переправах одиннадцать судов.  Тем временем флот продолжал нести тяжелые потери. 31 августа 1942 г. на магнитной мине подорвался буксирный пароход-плотовод «Казанка», капитаном которого был Иван Шумилов. На нем взорвался паровой котел, и судно моментально затонуло. Из 30 человек команды и членов их семей в живых остались лишь пятеро: лоцман, два штурвальных, масленщик и жена помощника капитана. В эти же дни от немецких бомб и мин погибли грузовой пароход «Черкесия», пассажирский теплоход «Нижневолгострой» вместе со всей командой и капитаном Ф. В. Трубановым, буксирный пароход «Союзный ЦИК», пассажирский теплоход «Ильич», пароход «Эривань» и многие другие (11774).</w:t>
      </w:r>
    </w:p>
    <w:p w14:paraId="14B2AE7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5DB30F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августа 1942 вышло Постановление ГКО № 2226 Об отпуске продовольственных пайков для Красной Армии, Военно-Морского Флота и войск НКВД в сентябре месяце 1942 г. РГАНИР, Фонд ГКО, д. 54, лл. 87-88, 89-90 (11012).</w:t>
      </w:r>
    </w:p>
    <w:p w14:paraId="64F16C1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CCD50DB"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BA39D81" w14:textId="77777777" w:rsidR="00AE7191" w:rsidRPr="00722885" w:rsidRDefault="00AE7191" w:rsidP="00722885">
      <w:pPr>
        <w:pStyle w:val="Iauiue"/>
        <w:jc w:val="both"/>
        <w:rPr>
          <w:iCs/>
          <w:color w:val="000000" w:themeColor="text1"/>
          <w:sz w:val="16"/>
          <w:szCs w:val="16"/>
        </w:rPr>
      </w:pPr>
    </w:p>
    <w:p w14:paraId="1EDE1D54" w14:textId="77777777" w:rsidR="004C228B" w:rsidRPr="00722885" w:rsidRDefault="004C228B" w:rsidP="00722885">
      <w:pPr>
        <w:pStyle w:val="ae"/>
        <w:shd w:val="clear" w:color="auto" w:fill="FFFFFF"/>
        <w:spacing w:before="0" w:after="0"/>
        <w:jc w:val="both"/>
        <w:rPr>
          <w:color w:val="000000" w:themeColor="text1"/>
          <w:sz w:val="16"/>
          <w:szCs w:val="16"/>
        </w:rPr>
      </w:pPr>
      <w:r w:rsidRPr="00722885">
        <w:rPr>
          <w:color w:val="000000" w:themeColor="text1"/>
          <w:sz w:val="16"/>
          <w:szCs w:val="16"/>
        </w:rPr>
        <w:t>30 августа 1942 Fieseler завершил первый фюзеляж Фау-1 и первый полет Fi 103 V7 состоялся 10 декабря 1942 года, когда он был сброшен с самолёта </w:t>
      </w:r>
      <w:hyperlink r:id="rId91" w:tooltip="Fw 200" w:history="1">
        <w:r w:rsidRPr="00722885">
          <w:rPr>
            <w:rStyle w:val="a5"/>
            <w:color w:val="000000" w:themeColor="text1"/>
            <w:sz w:val="16"/>
            <w:szCs w:val="16"/>
          </w:rPr>
          <w:t>Fw 200</w:t>
        </w:r>
      </w:hyperlink>
      <w:hyperlink r:id="rId92" w:anchor="cite_note-_2b8e394fb77d0738-1" w:history="1">
        <w:r w:rsidRPr="00722885">
          <w:rPr>
            <w:rStyle w:val="a5"/>
            <w:color w:val="000000" w:themeColor="text1"/>
            <w:sz w:val="16"/>
            <w:szCs w:val="16"/>
            <w:vertAlign w:val="superscript"/>
          </w:rPr>
          <w:t>[1]</w:t>
        </w:r>
      </w:hyperlink>
      <w:r w:rsidRPr="00722885">
        <w:rPr>
          <w:color w:val="000000" w:themeColor="text1"/>
          <w:sz w:val="16"/>
          <w:szCs w:val="16"/>
        </w:rPr>
        <w:t xml:space="preserve"> (19631).</w:t>
      </w:r>
    </w:p>
    <w:p w14:paraId="4A17F396" w14:textId="77777777" w:rsidR="004C228B" w:rsidRPr="00722885" w:rsidRDefault="004C228B" w:rsidP="00722885">
      <w:pPr>
        <w:spacing w:after="0" w:line="240" w:lineRule="auto"/>
        <w:jc w:val="both"/>
        <w:rPr>
          <w:rFonts w:ascii="Times New Roman" w:hAnsi="Times New Roman"/>
          <w:color w:val="000000" w:themeColor="text1"/>
          <w:sz w:val="16"/>
          <w:szCs w:val="16"/>
        </w:rPr>
      </w:pPr>
    </w:p>
    <w:p w14:paraId="13EFE9BB" w14:textId="77777777" w:rsidR="00182A0D" w:rsidRPr="00722885" w:rsidRDefault="00182A0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 августа 1942 года завершили постройку первого экземпляра Fi-103. Крылатая ракета Fi-103 представляла собой беспилотный летательный аппарат со среднерасположенным крылом и однокилевым хвостовым оперением. Основным конструкционным материалом была сталь. Большинство деталей изготавливалось при помощи штамповки, что удешевляло и ускоряло производственный процесс.</w:t>
      </w:r>
    </w:p>
    <w:p w14:paraId="75E662C1" w14:textId="77777777" w:rsidR="00182A0D" w:rsidRPr="00722885" w:rsidRDefault="00182A0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Окончательный проект ракеты отличался от первоначального замысла однокилевым хвостовым оперением и отсутствием положительного угла «V» у крыла. В сентябре на нее установили двигатель и начали подготовку к летным испытаниям. Наземные огневые испытания ПуВРД выявили большое количество проблем — и полеты пришлось отложить. Только в октябре удалось наладить устойчивую работу ПуВРД (22878).</w:t>
      </w:r>
    </w:p>
    <w:p w14:paraId="22676C51" w14:textId="77777777" w:rsidR="00182A0D" w:rsidRPr="00722885" w:rsidRDefault="00182A0D" w:rsidP="00722885">
      <w:pPr>
        <w:spacing w:after="0" w:line="240" w:lineRule="auto"/>
        <w:jc w:val="both"/>
        <w:rPr>
          <w:rFonts w:ascii="Times New Roman" w:hAnsi="Times New Roman"/>
          <w:color w:val="0070C0"/>
          <w:sz w:val="16"/>
          <w:szCs w:val="16"/>
        </w:rPr>
      </w:pPr>
    </w:p>
    <w:p w14:paraId="13E893B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30 августа 1942 немцы аннексировали Люксембург (4962).</w:t>
      </w:r>
    </w:p>
    <w:p w14:paraId="5C76AABE" w14:textId="77777777" w:rsidR="00AE7191" w:rsidRPr="00722885" w:rsidRDefault="00AE7191" w:rsidP="00722885">
      <w:pPr>
        <w:pStyle w:val="Iauiue"/>
        <w:tabs>
          <w:tab w:val="left" w:pos="11199"/>
        </w:tabs>
        <w:jc w:val="both"/>
        <w:rPr>
          <w:color w:val="000000" w:themeColor="text1"/>
          <w:sz w:val="16"/>
          <w:szCs w:val="16"/>
        </w:rPr>
      </w:pPr>
    </w:p>
    <w:p w14:paraId="4F8112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30 августа 1942 Германия аннексировала Люксембург (3481).</w:t>
      </w:r>
    </w:p>
    <w:p w14:paraId="25B9B794" w14:textId="77777777" w:rsidR="00AE7191" w:rsidRPr="00722885" w:rsidRDefault="00AE7191" w:rsidP="00722885">
      <w:pPr>
        <w:pStyle w:val="Iauiue"/>
        <w:jc w:val="both"/>
        <w:rPr>
          <w:color w:val="000000" w:themeColor="text1"/>
          <w:sz w:val="16"/>
          <w:szCs w:val="16"/>
        </w:rPr>
      </w:pPr>
    </w:p>
    <w:p w14:paraId="60C4827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DCD863D" w14:textId="77777777" w:rsidR="00AE7191" w:rsidRPr="00722885" w:rsidRDefault="00AE7191" w:rsidP="00722885">
      <w:pPr>
        <w:pStyle w:val="Iauiue"/>
        <w:jc w:val="both"/>
        <w:rPr>
          <w:iCs/>
          <w:color w:val="000000" w:themeColor="text1"/>
          <w:sz w:val="16"/>
          <w:szCs w:val="16"/>
        </w:rPr>
      </w:pPr>
    </w:p>
    <w:p w14:paraId="00A3B3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августа 1942 вышел приказ НКАП N 670с:</w:t>
      </w:r>
    </w:p>
    <w:p w14:paraId="233540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заводе 30 имели место случаи, когда отдельные самолеты (N 30647, 29856) простаивали из-за моторных дефектов по целому месяцу, что является следствием совершенно неудовлетворительной работы заводов 45 и 24 по устранению дефектов и отладке моторов АМ-38:</w:t>
      </w:r>
    </w:p>
    <w:p w14:paraId="4CF07D6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Директору завода 45 Комарову:</w:t>
      </w:r>
    </w:p>
    <w:p w14:paraId="4106A2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обеспечить своевременную отладку как производства завода 45, так и производства завода 24, устанавливаемых заводом 30 на самолеты Ил-2" (1587,77).</w:t>
      </w:r>
    </w:p>
    <w:p w14:paraId="3684C577" w14:textId="77777777" w:rsidR="00AE7191" w:rsidRPr="00722885" w:rsidRDefault="00AE7191" w:rsidP="00722885">
      <w:pPr>
        <w:pStyle w:val="Iauiue"/>
        <w:jc w:val="both"/>
        <w:rPr>
          <w:color w:val="000000" w:themeColor="text1"/>
          <w:sz w:val="16"/>
          <w:szCs w:val="16"/>
        </w:rPr>
      </w:pPr>
    </w:p>
    <w:p w14:paraId="1E9824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августа 1942 из ЦКБ-29 вышел эскизный проект самолета противотанковой воздушной армии, который предполагал построить первые пять машин к ноябрю 1942 и 15 тыс. к августу 1943 для начала массированного применения (334).</w:t>
      </w:r>
    </w:p>
    <w:p w14:paraId="4DC87349" w14:textId="77777777" w:rsidR="00AE7191" w:rsidRPr="00722885" w:rsidRDefault="00AE7191" w:rsidP="00722885">
      <w:pPr>
        <w:pStyle w:val="Iauiue"/>
        <w:jc w:val="both"/>
        <w:rPr>
          <w:color w:val="000000" w:themeColor="text1"/>
          <w:sz w:val="16"/>
          <w:szCs w:val="16"/>
        </w:rPr>
      </w:pPr>
    </w:p>
    <w:p w14:paraId="1DFB94CF"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31 августа 1942 года</w:t>
      </w:r>
      <w:r w:rsidRPr="00722885">
        <w:rPr>
          <w:rFonts w:ascii="Times New Roman" w:hAnsi="Times New Roman"/>
          <w:color w:val="000000" w:themeColor="text1"/>
          <w:sz w:val="16"/>
          <w:szCs w:val="16"/>
        </w:rPr>
        <w:t xml:space="preserve"> Эскизный проект самолета Томашевича «Пегас» от лица ЦКБ-29 направлен для рассмотрения в наркомат авиапромышленности. Предваряло эскизный проект общее описание этой достаточно небывалой идеи (14755).</w:t>
      </w:r>
    </w:p>
    <w:p w14:paraId="57888225" w14:textId="77777777" w:rsidR="00BD5EB5" w:rsidRPr="00722885" w:rsidRDefault="00BD5EB5" w:rsidP="00722885">
      <w:pPr>
        <w:spacing w:after="0" w:line="240" w:lineRule="auto"/>
        <w:jc w:val="both"/>
        <w:rPr>
          <w:rFonts w:ascii="Times New Roman" w:hAnsi="Times New Roman"/>
          <w:color w:val="000000" w:themeColor="text1"/>
          <w:sz w:val="16"/>
          <w:szCs w:val="16"/>
        </w:rPr>
      </w:pPr>
    </w:p>
    <w:p w14:paraId="2AF5A115"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31 августа </w:t>
      </w:r>
      <w:r w:rsidR="00BD5EB5" w:rsidRPr="00722885">
        <w:rPr>
          <w:i w:val="0"/>
          <w:iCs w:val="0"/>
          <w:color w:val="000000" w:themeColor="text1"/>
          <w:spacing w:val="0"/>
          <w:kern w:val="0"/>
          <w:position w:val="0"/>
          <w:sz w:val="16"/>
          <w:szCs w:val="16"/>
        </w:rPr>
        <w:t xml:space="preserve">1942 </w:t>
      </w:r>
      <w:r w:rsidRPr="00722885">
        <w:rPr>
          <w:i w:val="0"/>
          <w:iCs w:val="0"/>
          <w:color w:val="000000" w:themeColor="text1"/>
          <w:spacing w:val="0"/>
          <w:kern w:val="0"/>
          <w:position w:val="0"/>
          <w:sz w:val="16"/>
          <w:szCs w:val="16"/>
        </w:rPr>
        <w:t xml:space="preserve">от лица ЦКБ-29 направлен для рассмотрения в наркомат авиапромышленности. Предваряло эскизный проект общее описание этой достаточно небывалой идеи: </w:t>
      </w:r>
    </w:p>
    <w:p w14:paraId="2C315BBA" w14:textId="77777777" w:rsidR="00AE7191" w:rsidRPr="00722885" w:rsidRDefault="00AE7191" w:rsidP="00722885">
      <w:pPr>
        <w:pStyle w:val="afff2"/>
        <w:tabs>
          <w:tab w:val="left" w:pos="720"/>
        </w:tabs>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В существующих условиях нужно и можно создать самолет, предназначенный для решения только одной задачи -уничтожения танков и мобильных войск, имеющий настолько простую конструкцию, что проектирование и постройка опытных машин займет не более трех месяцев. К 1 августа 1943 г. можно будет построить 15000 таких самолетов, без ощутимого напряжения промышленности и почти без загрузки смежников. </w:t>
      </w:r>
    </w:p>
    <w:p w14:paraId="7C98B1C7" w14:textId="77777777" w:rsidR="00AE7191" w:rsidRPr="00722885" w:rsidRDefault="00AE7191" w:rsidP="00722885">
      <w:pPr>
        <w:pStyle w:val="afff2"/>
        <w:tabs>
          <w:tab w:val="left" w:pos="720"/>
        </w:tabs>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Основная идея, лежащая в основе предполагаемого самолета состоит в том, чтобы исключить из конструкции все, что предназначено для решения других задач, оставить только минимум, который необходим для уничтожения танков. </w:t>
      </w:r>
    </w:p>
    <w:p w14:paraId="08E91CE0" w14:textId="77777777" w:rsidR="00AE7191" w:rsidRPr="00722885" w:rsidRDefault="00AE7191" w:rsidP="00722885">
      <w:pPr>
        <w:pStyle w:val="afff2"/>
        <w:tabs>
          <w:tab w:val="left" w:pos="720"/>
        </w:tabs>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Такой специально противотанковый самолет не требует большинства характеристик и оборудования, входящих в понятие современного военного самолета, чрезвычайно усложняющих конструкцию и организацию производства. Например, для противотанкового самолета не требуется больших горизонтальных скоростей и большого диапазона их, не требуется большой высотности. Вследствие этого самолет может быть построен исключительно из недефицитных, низкосортных и даже не авиационных материалов. </w:t>
      </w:r>
    </w:p>
    <w:p w14:paraId="72058155" w14:textId="77777777" w:rsidR="00AE7191" w:rsidRPr="00722885" w:rsidRDefault="00AE7191" w:rsidP="00722885">
      <w:pPr>
        <w:pStyle w:val="afff2"/>
        <w:tabs>
          <w:tab w:val="left" w:pos="720"/>
        </w:tabs>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Чтобы обеспечить внезапность применения нового противотанкового самолета, нужно бросить его на фронт сразу большими массами. Для вступления всей массы самолетов в строй к августу 1943 г. необходимо выполнить следующие мероприятия: </w:t>
      </w:r>
    </w:p>
    <w:p w14:paraId="583F906A" w14:textId="77777777" w:rsidR="00AE7191" w:rsidRPr="00722885" w:rsidRDefault="00AE7191" w:rsidP="00722885">
      <w:pPr>
        <w:pStyle w:val="afff2"/>
        <w:tabs>
          <w:tab w:val="left" w:pos="1440"/>
        </w:tabs>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немедленно приступить к постройке первых пяти штук на заводе ¦ 288, с выпуском их к 1 ноября 1942 г. </w:t>
      </w:r>
    </w:p>
    <w:p w14:paraId="19941A23" w14:textId="77777777" w:rsidR="00AE7191" w:rsidRPr="00722885" w:rsidRDefault="00AE7191" w:rsidP="00722885">
      <w:pPr>
        <w:pStyle w:val="afff2"/>
        <w:tabs>
          <w:tab w:val="left" w:pos="1440"/>
        </w:tabs>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одновременно с началом, проектирования выделить два крупных завода, один - типа завода сельскохозяйственных машин - для постройки самолета, другой - типа завода ¦ 29 - для изготовление авиамоторов и немедленно начать проектирование серийной технологии и оснастки. </w:t>
      </w:r>
    </w:p>
    <w:p w14:paraId="61BB6C35" w14:textId="77777777" w:rsidR="00AE7191" w:rsidRPr="00722885" w:rsidRDefault="00AE7191" w:rsidP="00722885">
      <w:pPr>
        <w:pStyle w:val="afff2"/>
        <w:tabs>
          <w:tab w:val="left" w:pos="1440"/>
        </w:tabs>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после готовности первых пяти самолетов, кроме обычных летных испытаний отработать тактику боя с танками. Для этой цели необходимо выделить танковую часть и оборудовать недалеко от Омска специальный полигон. </w:t>
      </w:r>
    </w:p>
    <w:p w14:paraId="6E330FA2" w14:textId="77777777" w:rsidR="00AE7191" w:rsidRPr="00722885" w:rsidRDefault="00AE7191" w:rsidP="00722885">
      <w:pPr>
        <w:pStyle w:val="afff2"/>
        <w:tabs>
          <w:tab w:val="left" w:pos="1440"/>
        </w:tabs>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приступить к серийному производству на выделенных двух заводах немедленно после готовности серийной технологии и оснастки, сводя постепенно на нет существующее на них производство. Серийный выпуск необходимо осуществить независимо от готовности опытных самолетов и окончания их испытаний. </w:t>
      </w:r>
    </w:p>
    <w:p w14:paraId="37EBA6A6" w14:textId="77777777" w:rsidR="00AE7191" w:rsidRPr="00722885" w:rsidRDefault="00AE7191" w:rsidP="00722885">
      <w:pPr>
        <w:pStyle w:val="afff2"/>
        <w:tabs>
          <w:tab w:val="left" w:pos="1440"/>
        </w:tabs>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подобное немедленное развертывание производства содержит в себе некоторый риск, но ввиду простой конструкции можно гарантировать, что самолет в реальном полете будет иметь расчетные летные данные. Даже если тактические испытания выявят неудовлетворительный результат, что маловероятно, материальный ущерб будет сравнительно незначителен, а именно: </w:t>
      </w:r>
    </w:p>
    <w:p w14:paraId="6664FE40" w14:textId="77777777" w:rsidR="00AE7191" w:rsidRPr="00722885" w:rsidRDefault="00AE7191" w:rsidP="00722885">
      <w:pPr>
        <w:pStyle w:val="afff2"/>
        <w:numPr>
          <w:ilvl w:val="0"/>
          <w:numId w:val="6"/>
        </w:numPr>
        <w:ind w:left="0" w:firstLine="0"/>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lastRenderedPageBreak/>
        <w:t xml:space="preserve">стоимость проектирования и постройка 5 опытных машин -2700000руб. </w:t>
      </w:r>
    </w:p>
    <w:p w14:paraId="4B7AD62F" w14:textId="77777777" w:rsidR="00AE7191" w:rsidRPr="00722885" w:rsidRDefault="00AE7191" w:rsidP="00722885">
      <w:pPr>
        <w:pStyle w:val="afff2"/>
        <w:numPr>
          <w:ilvl w:val="0"/>
          <w:numId w:val="6"/>
        </w:numPr>
        <w:ind w:left="0" w:firstLine="0"/>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летные и тактические испытания - 500 000 руб. </w:t>
      </w:r>
    </w:p>
    <w:p w14:paraId="4277A95B" w14:textId="77777777" w:rsidR="00AE7191" w:rsidRPr="00722885" w:rsidRDefault="00AE7191" w:rsidP="00722885">
      <w:pPr>
        <w:pStyle w:val="afff2"/>
        <w:numPr>
          <w:ilvl w:val="0"/>
          <w:numId w:val="6"/>
        </w:numPr>
        <w:ind w:left="0" w:firstLine="0"/>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подготовка серийного производства -1 500 000руб. </w:t>
      </w:r>
    </w:p>
    <w:p w14:paraId="03A8F190" w14:textId="77777777" w:rsidR="00AE7191" w:rsidRPr="00722885" w:rsidRDefault="00AE7191" w:rsidP="00722885">
      <w:pPr>
        <w:pStyle w:val="afff2"/>
        <w:numPr>
          <w:ilvl w:val="0"/>
          <w:numId w:val="6"/>
        </w:numPr>
        <w:ind w:left="0" w:firstLine="0"/>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первоначальный серийный задел - 5000000руб. </w:t>
      </w:r>
    </w:p>
    <w:p w14:paraId="0347CB34" w14:textId="77777777" w:rsidR="00AE7191" w:rsidRPr="00722885" w:rsidRDefault="00AE7191" w:rsidP="00722885">
      <w:pPr>
        <w:pStyle w:val="afff2"/>
        <w:numPr>
          <w:ilvl w:val="0"/>
          <w:numId w:val="6"/>
        </w:numPr>
        <w:ind w:left="0" w:firstLine="0"/>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Всего приблизительно -10 000 000 руб. </w:t>
      </w:r>
    </w:p>
    <w:p w14:paraId="744B2B9B"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В случае удовлетворительных тактических свойств самолета страна получит в 1943 г. средство, которое решит исход кампании на нашем театре военных действий и, следовательно, исход всей войны.</w:t>
      </w:r>
    </w:p>
    <w:p w14:paraId="02D4CF7A"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В свете такой перспективы упомянутый выше риск совершенно ничтожен, и работы должны быть немедленно развернуты во всю ширину. </w:t>
      </w:r>
    </w:p>
    <w:p w14:paraId="39283098"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Оценивая возможности производства своего самолета, Томашевич особо подчеркивал, что строить его планируется из недефицитного сырья, даже не применяемого в авиации, задействовать при этом предприятия местной промышленности. Предполагалось, в частности, использовать поделочную сосну, строительную фанеру, сталь марки С-20, кровельное железо и низкосортные алюминиевые сплавы в минимальном количестве. Из дерева конструктор предлагал изготовлять не только сам самолет, но и, что было уж совсем необычно, колеса шасси. В качестве силовой установки выбраны были двигатели М-11 (по два на каждый самолет из условий грузоподъемности, компоновки вооружения и обеспечения хорошего обзора летчику) - надежные, недорогие и неприхотливые, хорошо освоенные авиапромышленностью и широко распространенные в советской авиации. М-11, кроме прочего, не требовали сложного оборудования при эксплуатации и ремонте, легко запускались в зимнее время и потребляли любой авиабензин. По подсчетам, для боевого вылета пяти противотанковых самолетов Томашевича топлива расходовалось столько же, сколько требовалось для обеспечения боевого вылета одного Ил-2. </w:t>
      </w:r>
    </w:p>
    <w:p w14:paraId="55DD16AE"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Кроме того, что самолет предполагался дешевым и простым в производстве, на нем осуществлялись мероприятия, которые позволяли доверить его летчикам с невысокой квалификацией. Шасси не убиралось, отсутствовала гидравлика и воздушная система, электропроводка ставилась самая простейшая. Профиль крыла NACA 4415-4409 с высокими несущими свойствами в сочетании со специальными неподвижными предкрылками обеспечивали высокие взлетно-посадочные характеристики. </w:t>
      </w:r>
    </w:p>
    <w:p w14:paraId="1DBBEB6D"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Внутри КБ проектируемый самолет обозначался как ЛШБД - "легкий штурмовик-бомбардировщик, деревянный", однако вскоре ко всем необычностям проекта добавилось обозначение "Пегас", которое за ним и закрепилось. Уже в ходе разработки эскизного проекта был предложен бипланный вариант "Пегаса". Основная цель - уменьшить длину разбега и посадочную скорость для возможного использования в качестве ночного бомбардировщика. При том, что верхнее крыло могло сниматься, "Пегас" становился универсальным. Правда, до реализации этого предложения дело не дошло (11470).</w:t>
      </w:r>
    </w:p>
    <w:p w14:paraId="4D4382BF" w14:textId="77777777" w:rsidR="00AE7191" w:rsidRPr="00722885" w:rsidRDefault="00AE7191" w:rsidP="00722885">
      <w:pPr>
        <w:pStyle w:val="afff2"/>
        <w:jc w:val="both"/>
        <w:rPr>
          <w:i w:val="0"/>
          <w:iCs w:val="0"/>
          <w:color w:val="000000" w:themeColor="text1"/>
          <w:spacing w:val="0"/>
          <w:kern w:val="0"/>
          <w:position w:val="0"/>
          <w:sz w:val="16"/>
          <w:szCs w:val="16"/>
        </w:rPr>
      </w:pPr>
    </w:p>
    <w:p w14:paraId="31FBC4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августа 1942 Зам. Нач. 7 ГУ Залесский писал А.И.Ш. письмо N 53/849:</w:t>
      </w:r>
    </w:p>
    <w:p w14:paraId="22AF8B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"ОКБ завода 43 под руководством ГК Шульгина за истекшие месяцы 1942 успешно выполнен ряд заданий НКАП по увеличению боевой мощи отечественных и иностранных самолетов.</w:t>
      </w:r>
    </w:p>
    <w:p w14:paraId="4395A4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Бомбардировочное вооружение ПС-84</w:t>
      </w:r>
    </w:p>
    <w:p w14:paraId="5EC76A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Бомбардировочное вооружение Як-1, Як-7, Ут-2 и Харрикейн</w:t>
      </w:r>
    </w:p>
    <w:p w14:paraId="23504D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Однозамковые подвески прибора ВАП-6</w:t>
      </w:r>
    </w:p>
    <w:p w14:paraId="5AB1D9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Приспособление бомбодержателей Б-25 для подвески отечественных бомб</w:t>
      </w:r>
    </w:p>
    <w:p w14:paraId="73E20C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Бомбардировочное и стрелковое вооружение Бостон-3</w:t>
      </w:r>
    </w:p>
    <w:p w14:paraId="4209D0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Кассета для авиагранат ДАГ-10 (1315,58).</w:t>
      </w:r>
    </w:p>
    <w:p w14:paraId="0D8CC747" w14:textId="77777777" w:rsidR="00AE7191" w:rsidRPr="00722885" w:rsidRDefault="00AE7191" w:rsidP="00722885">
      <w:pPr>
        <w:pStyle w:val="Iauiue"/>
        <w:jc w:val="both"/>
        <w:rPr>
          <w:color w:val="000000" w:themeColor="text1"/>
          <w:sz w:val="16"/>
          <w:szCs w:val="16"/>
        </w:rPr>
      </w:pPr>
    </w:p>
    <w:p w14:paraId="6CC5A9A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августа 1942 года одному из моторов М-71 удалось закончить 100-часовое испы</w:t>
      </w:r>
      <w:r w:rsidRPr="00722885">
        <w:rPr>
          <w:rFonts w:ascii="Times New Roman" w:hAnsi="Times New Roman"/>
          <w:color w:val="000000" w:themeColor="text1"/>
          <w:sz w:val="16"/>
          <w:szCs w:val="16"/>
        </w:rPr>
        <w:softHyphen/>
        <w:t>тание, правда, с заменой клапана вса</w:t>
      </w:r>
      <w:r w:rsidRPr="00722885">
        <w:rPr>
          <w:rFonts w:ascii="Times New Roman" w:hAnsi="Times New Roman"/>
          <w:color w:val="000000" w:themeColor="text1"/>
          <w:sz w:val="16"/>
          <w:szCs w:val="16"/>
        </w:rPr>
        <w:softHyphen/>
        <w:t>сывания 13-го цилиндра и ручной регулировкой высотного корректора в процессе испытаний. КБ Швецова приступило к работам по форсирова</w:t>
      </w:r>
      <w:r w:rsidRPr="00722885">
        <w:rPr>
          <w:rFonts w:ascii="Times New Roman" w:hAnsi="Times New Roman"/>
          <w:color w:val="000000" w:themeColor="text1"/>
          <w:sz w:val="16"/>
          <w:szCs w:val="16"/>
        </w:rPr>
        <w:softHyphen/>
        <w:t>нию М-71 до взлетной мощности 2200 л.с. и по установке на него на</w:t>
      </w:r>
      <w:r w:rsidRPr="00722885">
        <w:rPr>
          <w:rFonts w:ascii="Times New Roman" w:hAnsi="Times New Roman"/>
          <w:color w:val="000000" w:themeColor="text1"/>
          <w:sz w:val="16"/>
          <w:szCs w:val="16"/>
        </w:rPr>
        <w:softHyphen/>
        <w:t>соса непосредственного впрыска (10705).</w:t>
      </w:r>
    </w:p>
    <w:p w14:paraId="760B95E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583D94D" w14:textId="77777777" w:rsidR="00BD5EB5" w:rsidRPr="00722885" w:rsidRDefault="00BD5EB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31 августа 1942 г. одному из моторов М-71 удалось закончить 100-часовое испытание, правда, с заменой клапана всасывания 13-го цилиндра и ручной регулировкой высотного корректора в про</w:t>
      </w:r>
      <w:r w:rsidRPr="00722885">
        <w:rPr>
          <w:rFonts w:ascii="Times New Roman" w:cs="Times New Roman"/>
          <w:color w:val="000000" w:themeColor="text1"/>
          <w:spacing w:val="0"/>
        </w:rPr>
        <w:softHyphen/>
        <w:t>цессе испытаний. КБ Швецова приступило к работам по форсированию М-71 до взлёт</w:t>
      </w:r>
      <w:r w:rsidRPr="00722885">
        <w:rPr>
          <w:rFonts w:ascii="Times New Roman" w:cs="Times New Roman"/>
          <w:color w:val="000000" w:themeColor="text1"/>
          <w:spacing w:val="0"/>
        </w:rPr>
        <w:softHyphen/>
        <w:t>ной мощности 2200 л.с. и по установке на него насоса непосредственного впрыска.</w:t>
      </w:r>
    </w:p>
    <w:p w14:paraId="1E3432F8" w14:textId="77777777" w:rsidR="00BD5EB5" w:rsidRPr="00722885" w:rsidRDefault="00BD5EB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Казалось, что все эти данные получены как раз вовремя: запускай «образцовый» И-185 с М-71 в серию, и к весне 1943 г. можно будет иметь в строю достойный ответ на пос</w:t>
      </w:r>
      <w:r w:rsidRPr="00722885">
        <w:rPr>
          <w:rFonts w:ascii="Times New Roman" w:cs="Times New Roman"/>
          <w:color w:val="000000" w:themeColor="text1"/>
          <w:spacing w:val="0"/>
        </w:rPr>
        <w:softHyphen/>
        <w:t>леднее творение Вилли Мессершмитта. Сторонников такой точки зрения оказалось не</w:t>
      </w:r>
      <w:r w:rsidRPr="00722885">
        <w:rPr>
          <w:rFonts w:ascii="Times New Roman" w:cs="Times New Roman"/>
          <w:color w:val="000000" w:themeColor="text1"/>
          <w:spacing w:val="0"/>
        </w:rPr>
        <w:softHyphen/>
        <w:t>мало, и в наркомат авиапромышленности опять с разных сторон пошли соответствующие предложения и требования.</w:t>
      </w:r>
    </w:p>
    <w:p w14:paraId="53941F52" w14:textId="77777777" w:rsidR="00BD5EB5" w:rsidRPr="00722885" w:rsidRDefault="00BD5EB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Однако имелось и одно «но», и весьма существенное. Помимо улучшения лётных данных, августовскими и последующими постановлениями ГКО авиапром обязывался существенно увеличить количественный выпуск истребителей, даже в ущерб другим типам самолётов. Свободных же мощностей давно уже не было. Поэтому организовать серийный выпуск нового истребителя и нового мотора можно было, только сняв с про</w:t>
      </w:r>
      <w:r w:rsidRPr="00722885">
        <w:rPr>
          <w:rFonts w:ascii="Times New Roman" w:cs="Times New Roman"/>
          <w:color w:val="000000" w:themeColor="text1"/>
          <w:spacing w:val="0"/>
        </w:rPr>
        <w:softHyphen/>
        <w:t>изводства какие-то другие самолёты и моторы, притом с неизбежным провалом общей сдачи. Понятно, что выпускать мотор М-71 мог только завод № 19, значит, нужно сни</w:t>
      </w:r>
      <w:r w:rsidRPr="00722885">
        <w:rPr>
          <w:rFonts w:ascii="Times New Roman" w:cs="Times New Roman"/>
          <w:color w:val="000000" w:themeColor="text1"/>
          <w:spacing w:val="0"/>
        </w:rPr>
        <w:softHyphen/>
        <w:t>мать с производства недавно освоенный и ещё далеко не исчерпавший всех резервов М-82, а следовательно и истребитель Ла-5. И это в ситуации, когда в модернизации больше нуждались истребители «Як» и жидкостные моторы.</w:t>
      </w:r>
    </w:p>
    <w:p w14:paraId="748274B6" w14:textId="77777777" w:rsidR="00BD5EB5" w:rsidRPr="00722885" w:rsidRDefault="00BD5EB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Решая этот непростой вопрос, руководство НКАП опять предпочло иметь «синицу в ру</w:t>
      </w:r>
      <w:r w:rsidRPr="00722885">
        <w:rPr>
          <w:rFonts w:ascii="Times New Roman" w:cs="Times New Roman"/>
          <w:color w:val="000000" w:themeColor="text1"/>
          <w:spacing w:val="0"/>
        </w:rPr>
        <w:softHyphen/>
        <w:t>ке, а не журавля в небе». На помощь С.А. Лавочкину в улучшении лётных данных серий</w:t>
      </w:r>
      <w:r w:rsidRPr="00722885">
        <w:rPr>
          <w:rFonts w:ascii="Times New Roman" w:cs="Times New Roman"/>
          <w:color w:val="000000" w:themeColor="text1"/>
          <w:spacing w:val="0"/>
        </w:rPr>
        <w:softHyphen/>
        <w:t>ного Ла-5 привлекли как отраслевые институты — ЦАГИ, ЛИИ, ЦИАМ, так и завод № 19 (15813).</w:t>
      </w:r>
    </w:p>
    <w:p w14:paraId="4BC467D9" w14:textId="77777777" w:rsidR="00BD5EB5" w:rsidRPr="00722885" w:rsidRDefault="00BD5EB5" w:rsidP="00722885">
      <w:pPr>
        <w:pStyle w:val="27"/>
        <w:shd w:val="clear" w:color="auto" w:fill="auto"/>
        <w:spacing w:after="0" w:line="240" w:lineRule="auto"/>
        <w:ind w:firstLine="0"/>
        <w:rPr>
          <w:rFonts w:ascii="Times New Roman" w:cs="Times New Roman"/>
          <w:color w:val="000000" w:themeColor="text1"/>
          <w:spacing w:val="0"/>
        </w:rPr>
      </w:pPr>
    </w:p>
    <w:p w14:paraId="48D0C1E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августа 1942 было произведено 5 опытов с ПВРД ДМ-4 в СЭИГ МАИ. При первом из них двигатель не заработал, а в последующих прошли нормально (11081). Все первоначальные испытания проводились на двух двигателях ДМ-4с № 14 и ДМ-4с № 15, с тем чтобы выявленные необходимые ис</w:t>
      </w:r>
      <w:r w:rsidRPr="00722885">
        <w:rPr>
          <w:rFonts w:ascii="Times New Roman" w:hAnsi="Times New Roman"/>
          <w:color w:val="000000" w:themeColor="text1"/>
          <w:sz w:val="16"/>
          <w:szCs w:val="16"/>
        </w:rPr>
        <w:softHyphen/>
        <w:t>правления и окончательно выбранные варианты арматуры и системы распределения форсунок внести в предназначенные для летных испы</w:t>
      </w:r>
      <w:r w:rsidRPr="00722885">
        <w:rPr>
          <w:rFonts w:ascii="Times New Roman" w:hAnsi="Times New Roman"/>
          <w:color w:val="000000" w:themeColor="text1"/>
          <w:sz w:val="16"/>
          <w:szCs w:val="16"/>
        </w:rPr>
        <w:softHyphen/>
        <w:t>таний экземпляры дополнительных моторов ДМ-4с № 16 и ДМ-4с № 17, .избежав на летных экземплярах промежуточных переделок. По окончании первого этапа испытаний были исследованы рабо</w:t>
      </w:r>
      <w:r w:rsidRPr="00722885">
        <w:rPr>
          <w:rFonts w:ascii="Times New Roman" w:hAnsi="Times New Roman"/>
          <w:color w:val="000000" w:themeColor="text1"/>
          <w:sz w:val="16"/>
          <w:szCs w:val="16"/>
        </w:rPr>
        <w:softHyphen/>
        <w:t>чие характеристики реактивных двигателей. В результате проведения всех испытаний в аэродинамической трубе и выполнения доводочных работ была установлена безопасность двигателей ДМ-4с в эксплуатации, проверена жаропрочность всех элементов их конструкции -в достигнута надежность двигателей: в ра</w:t>
      </w:r>
      <w:r w:rsidRPr="00722885">
        <w:rPr>
          <w:rFonts w:ascii="Times New Roman" w:hAnsi="Times New Roman"/>
          <w:color w:val="000000" w:themeColor="text1"/>
          <w:sz w:val="16"/>
          <w:szCs w:val="16"/>
        </w:rPr>
        <w:softHyphen/>
        <w:t>боте. Таким образом, совместной работой Московского авиационного института и Специального конструкторского бюро прямоточные воз</w:t>
      </w:r>
      <w:r w:rsidRPr="00722885">
        <w:rPr>
          <w:rFonts w:ascii="Times New Roman" w:hAnsi="Times New Roman"/>
          <w:color w:val="000000" w:themeColor="text1"/>
          <w:sz w:val="16"/>
          <w:szCs w:val="16"/>
        </w:rPr>
        <w:softHyphen/>
        <w:t>душно-реактивные двигатели ДО-4с были подготовлены к летным ис</w:t>
      </w:r>
      <w:r w:rsidRPr="00722885">
        <w:rPr>
          <w:rFonts w:ascii="Times New Roman" w:hAnsi="Times New Roman"/>
          <w:color w:val="000000" w:themeColor="text1"/>
          <w:sz w:val="16"/>
          <w:szCs w:val="16"/>
        </w:rPr>
        <w:softHyphen/>
        <w:t>пытаниям на самолете ЯК-7Б. В То же время исследования этих двигателей показали, что температура газов в камере сгорания и скорость ох истечения ока</w:t>
      </w:r>
      <w:r w:rsidRPr="00722885">
        <w:rPr>
          <w:rFonts w:ascii="Times New Roman" w:hAnsi="Times New Roman"/>
          <w:color w:val="000000" w:themeColor="text1"/>
          <w:sz w:val="16"/>
          <w:szCs w:val="16"/>
        </w:rPr>
        <w:softHyphen/>
        <w:t>зались несколько ниже расчетных величин. Поэтому в отчете о стендовых испытаниях в качестве одного из выводов было записа</w:t>
      </w:r>
      <w:r w:rsidRPr="00722885">
        <w:rPr>
          <w:rFonts w:ascii="Times New Roman" w:hAnsi="Times New Roman"/>
          <w:color w:val="000000" w:themeColor="text1"/>
          <w:sz w:val="16"/>
          <w:szCs w:val="16"/>
        </w:rPr>
        <w:softHyphen/>
        <w:t>но: "Одновременно с испытаниями дополнительных моторов ДМ-4с на самолете весьма необходима дальнейшая работа по их усовер</w:t>
      </w:r>
      <w:r w:rsidRPr="00722885">
        <w:rPr>
          <w:rFonts w:ascii="Times New Roman" w:hAnsi="Times New Roman"/>
          <w:color w:val="000000" w:themeColor="text1"/>
          <w:sz w:val="16"/>
          <w:szCs w:val="16"/>
        </w:rPr>
        <w:softHyphen/>
        <w:t>шенствованию, главным образом, в направлении улучшения полноты сгорания, коль скоро сравнение расчетных и экспериментальных температур говорит, что в 'изготовленной камере еще не чостигну-то полное сгорание" ("Предварительный отчет об испытаниях дополнительных моторов ДМ-4с в трубе АТ-2, 1943 г., стр. 12. Научный архив Института истории естествознания • техники АН СССР) (11082).</w:t>
      </w:r>
    </w:p>
    <w:p w14:paraId="0BAAAA9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D5FDC4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августа 1942 И.о. Нач. 14 ГУ Лесечко писал письмо Зам. НКАП А.И.Кузнецову</w:t>
      </w:r>
    </w:p>
    <w:p w14:paraId="5192F6D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Вашего требования д/уточнения программы сообщаю выполнение плана по заводу № 35 за август м-ц:</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1804"/>
        <w:gridCol w:w="1804"/>
        <w:gridCol w:w="1804"/>
        <w:gridCol w:w="1804"/>
        <w:gridCol w:w="1804"/>
      </w:tblGrid>
      <w:tr w:rsidR="009B487A" w:rsidRPr="00722885" w14:paraId="32446E06" w14:textId="77777777" w:rsidTr="00CC5360">
        <w:tc>
          <w:tcPr>
            <w:tcW w:w="558" w:type="dxa"/>
            <w:tcBorders>
              <w:top w:val="single" w:sz="12" w:space="0" w:color="auto"/>
            </w:tcBorders>
          </w:tcPr>
          <w:p w14:paraId="0E15A9B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п/п</w:t>
            </w:r>
          </w:p>
        </w:tc>
        <w:tc>
          <w:tcPr>
            <w:tcW w:w="1804" w:type="dxa"/>
            <w:tcBorders>
              <w:top w:val="single" w:sz="12" w:space="0" w:color="auto"/>
            </w:tcBorders>
          </w:tcPr>
          <w:p w14:paraId="701DCA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винта</w:t>
            </w:r>
          </w:p>
        </w:tc>
        <w:tc>
          <w:tcPr>
            <w:tcW w:w="1804" w:type="dxa"/>
            <w:tcBorders>
              <w:top w:val="single" w:sz="12" w:space="0" w:color="auto"/>
            </w:tcBorders>
          </w:tcPr>
          <w:p w14:paraId="420069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 на август</w:t>
            </w:r>
          </w:p>
        </w:tc>
        <w:tc>
          <w:tcPr>
            <w:tcW w:w="1804" w:type="dxa"/>
            <w:tcBorders>
              <w:top w:val="single" w:sz="12" w:space="0" w:color="auto"/>
            </w:tcBorders>
          </w:tcPr>
          <w:p w14:paraId="24EE8C9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 Плана по 29 вкл.</w:t>
            </w:r>
          </w:p>
        </w:tc>
        <w:tc>
          <w:tcPr>
            <w:tcW w:w="1804" w:type="dxa"/>
            <w:tcBorders>
              <w:top w:val="single" w:sz="12" w:space="0" w:color="auto"/>
            </w:tcBorders>
          </w:tcPr>
          <w:p w14:paraId="6E943E7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Ожид. Выполнение за август</w:t>
            </w:r>
          </w:p>
        </w:tc>
        <w:tc>
          <w:tcPr>
            <w:tcW w:w="1804" w:type="dxa"/>
            <w:tcBorders>
              <w:top w:val="single" w:sz="12" w:space="0" w:color="auto"/>
            </w:tcBorders>
          </w:tcPr>
          <w:p w14:paraId="482E46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Подлежит снятию с программы</w:t>
            </w:r>
          </w:p>
        </w:tc>
      </w:tr>
      <w:tr w:rsidR="009B487A" w:rsidRPr="00722885" w14:paraId="1C2F72D9" w14:textId="77777777" w:rsidTr="00CC5360">
        <w:tc>
          <w:tcPr>
            <w:tcW w:w="558" w:type="dxa"/>
          </w:tcPr>
          <w:p w14:paraId="063DAB7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804" w:type="dxa"/>
          </w:tcPr>
          <w:p w14:paraId="06E761B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ВИШ-22Т</w:t>
            </w:r>
          </w:p>
        </w:tc>
        <w:tc>
          <w:tcPr>
            <w:tcW w:w="1804" w:type="dxa"/>
          </w:tcPr>
          <w:p w14:paraId="759CD53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804" w:type="dxa"/>
          </w:tcPr>
          <w:p w14:paraId="1CAC85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894</w:t>
            </w:r>
          </w:p>
        </w:tc>
        <w:tc>
          <w:tcPr>
            <w:tcW w:w="1804" w:type="dxa"/>
          </w:tcPr>
          <w:p w14:paraId="217B4C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964</w:t>
            </w:r>
          </w:p>
        </w:tc>
        <w:tc>
          <w:tcPr>
            <w:tcW w:w="1804" w:type="dxa"/>
          </w:tcPr>
          <w:p w14:paraId="123F29B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1810073" w14:textId="77777777" w:rsidTr="00CC5360">
        <w:tc>
          <w:tcPr>
            <w:tcW w:w="558" w:type="dxa"/>
          </w:tcPr>
          <w:p w14:paraId="6355B8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804" w:type="dxa"/>
          </w:tcPr>
          <w:p w14:paraId="6AA1BB7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ВИШ-21</w:t>
            </w:r>
          </w:p>
        </w:tc>
        <w:tc>
          <w:tcPr>
            <w:tcW w:w="1804" w:type="dxa"/>
          </w:tcPr>
          <w:p w14:paraId="59A0D0F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04" w:type="dxa"/>
          </w:tcPr>
          <w:p w14:paraId="097E6C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152</w:t>
            </w:r>
          </w:p>
        </w:tc>
        <w:tc>
          <w:tcPr>
            <w:tcW w:w="1804" w:type="dxa"/>
          </w:tcPr>
          <w:p w14:paraId="5208D4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w:t>
            </w:r>
          </w:p>
        </w:tc>
        <w:tc>
          <w:tcPr>
            <w:tcW w:w="1804" w:type="dxa"/>
          </w:tcPr>
          <w:p w14:paraId="37C3E6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r>
      <w:tr w:rsidR="009B487A" w:rsidRPr="00722885" w14:paraId="5F5D56DD" w14:textId="77777777" w:rsidTr="00CC5360">
        <w:tc>
          <w:tcPr>
            <w:tcW w:w="558" w:type="dxa"/>
          </w:tcPr>
          <w:p w14:paraId="7CFB30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804" w:type="dxa"/>
          </w:tcPr>
          <w:p w14:paraId="4B89B1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ВИШ-23</w:t>
            </w:r>
          </w:p>
        </w:tc>
        <w:tc>
          <w:tcPr>
            <w:tcW w:w="1804" w:type="dxa"/>
          </w:tcPr>
          <w:p w14:paraId="7C64C8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370</w:t>
            </w:r>
          </w:p>
        </w:tc>
        <w:tc>
          <w:tcPr>
            <w:tcW w:w="1804" w:type="dxa"/>
          </w:tcPr>
          <w:p w14:paraId="4164CAD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235</w:t>
            </w:r>
          </w:p>
        </w:tc>
        <w:tc>
          <w:tcPr>
            <w:tcW w:w="1804" w:type="dxa"/>
          </w:tcPr>
          <w:p w14:paraId="52C6CC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w:t>
            </w:r>
          </w:p>
        </w:tc>
        <w:tc>
          <w:tcPr>
            <w:tcW w:w="1804" w:type="dxa"/>
          </w:tcPr>
          <w:p w14:paraId="2F9AC3F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r>
      <w:tr w:rsidR="009B487A" w:rsidRPr="00722885" w14:paraId="09E522D4" w14:textId="77777777" w:rsidTr="00CC5360">
        <w:tc>
          <w:tcPr>
            <w:tcW w:w="558" w:type="dxa"/>
          </w:tcPr>
          <w:p w14:paraId="1ADA3E9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804" w:type="dxa"/>
          </w:tcPr>
          <w:p w14:paraId="41A00CA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АВ-5Л-167</w:t>
            </w:r>
          </w:p>
        </w:tc>
        <w:tc>
          <w:tcPr>
            <w:tcW w:w="1804" w:type="dxa"/>
          </w:tcPr>
          <w:p w14:paraId="341369A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w:t>
            </w:r>
          </w:p>
        </w:tc>
        <w:tc>
          <w:tcPr>
            <w:tcW w:w="1804" w:type="dxa"/>
          </w:tcPr>
          <w:p w14:paraId="67C8B12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w:t>
            </w:r>
          </w:p>
        </w:tc>
        <w:tc>
          <w:tcPr>
            <w:tcW w:w="1804" w:type="dxa"/>
          </w:tcPr>
          <w:p w14:paraId="19406F8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w:t>
            </w:r>
          </w:p>
        </w:tc>
        <w:tc>
          <w:tcPr>
            <w:tcW w:w="1804" w:type="dxa"/>
          </w:tcPr>
          <w:p w14:paraId="580319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r>
      <w:tr w:rsidR="009B487A" w:rsidRPr="00722885" w14:paraId="05A7763F" w14:textId="77777777" w:rsidTr="00CC5360">
        <w:tc>
          <w:tcPr>
            <w:tcW w:w="558" w:type="dxa"/>
          </w:tcPr>
          <w:p w14:paraId="3675D25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804" w:type="dxa"/>
          </w:tcPr>
          <w:p w14:paraId="61133DB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АВ-5Л-139</w:t>
            </w:r>
          </w:p>
        </w:tc>
        <w:tc>
          <w:tcPr>
            <w:tcW w:w="1804" w:type="dxa"/>
          </w:tcPr>
          <w:p w14:paraId="3A3304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1804" w:type="dxa"/>
          </w:tcPr>
          <w:p w14:paraId="522E27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04" w:type="dxa"/>
          </w:tcPr>
          <w:p w14:paraId="4FB42A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04" w:type="dxa"/>
          </w:tcPr>
          <w:p w14:paraId="4DDBD5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r>
      <w:tr w:rsidR="009B487A" w:rsidRPr="00722885" w14:paraId="0D1D6BC5" w14:textId="77777777" w:rsidTr="00CC5360">
        <w:tc>
          <w:tcPr>
            <w:tcW w:w="558" w:type="dxa"/>
            <w:tcBorders>
              <w:bottom w:val="single" w:sz="12" w:space="0" w:color="auto"/>
            </w:tcBorders>
          </w:tcPr>
          <w:p w14:paraId="046FF9E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804" w:type="dxa"/>
            <w:tcBorders>
              <w:bottom w:val="single" w:sz="12" w:space="0" w:color="auto"/>
            </w:tcBorders>
          </w:tcPr>
          <w:p w14:paraId="56D2AA1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w:t>
            </w:r>
          </w:p>
        </w:tc>
        <w:tc>
          <w:tcPr>
            <w:tcW w:w="1804" w:type="dxa"/>
            <w:tcBorders>
              <w:bottom w:val="single" w:sz="12" w:space="0" w:color="auto"/>
            </w:tcBorders>
          </w:tcPr>
          <w:p w14:paraId="6AD3533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1670</w:t>
            </w:r>
          </w:p>
        </w:tc>
        <w:tc>
          <w:tcPr>
            <w:tcW w:w="1804" w:type="dxa"/>
            <w:tcBorders>
              <w:bottom w:val="single" w:sz="12" w:space="0" w:color="auto"/>
            </w:tcBorders>
          </w:tcPr>
          <w:p w14:paraId="482D888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1346</w:t>
            </w:r>
          </w:p>
        </w:tc>
        <w:tc>
          <w:tcPr>
            <w:tcW w:w="1804" w:type="dxa"/>
            <w:tcBorders>
              <w:bottom w:val="single" w:sz="12" w:space="0" w:color="auto"/>
            </w:tcBorders>
          </w:tcPr>
          <w:p w14:paraId="15DA970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1449</w:t>
            </w:r>
          </w:p>
        </w:tc>
        <w:tc>
          <w:tcPr>
            <w:tcW w:w="1804" w:type="dxa"/>
            <w:tcBorders>
              <w:bottom w:val="single" w:sz="12" w:space="0" w:color="auto"/>
            </w:tcBorders>
          </w:tcPr>
          <w:p w14:paraId="7DDFC88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w:t>
            </w:r>
          </w:p>
        </w:tc>
      </w:tr>
    </w:tbl>
    <w:p w14:paraId="3CBC0E0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157201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августа 1942 г. Отчет по испыт. винта Винт ВИШ-105Д-50</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295"/>
        <w:gridCol w:w="1645"/>
        <w:gridCol w:w="1730"/>
        <w:gridCol w:w="4205"/>
      </w:tblGrid>
      <w:tr w:rsidR="009B487A" w:rsidRPr="00722885" w14:paraId="13C150A6"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519D1F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Винт ВИШ-105Д-50.    Производство завода № 27 и 383.    Конструктор Заславский, Бас-Дубов и Целиков.</w:t>
            </w:r>
          </w:p>
        </w:tc>
      </w:tr>
      <w:tr w:rsidR="009B487A" w:rsidRPr="00722885" w14:paraId="312EFC3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A3FA13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61945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294BC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Предназначен для</w:t>
            </w:r>
          </w:p>
          <w:p w14:paraId="5F1507B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4D4C2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Як-1, Як-7, Як-9 и Лагг-3 с мотором М-105П.</w:t>
            </w:r>
          </w:p>
        </w:tc>
      </w:tr>
      <w:tr w:rsidR="009B487A" w:rsidRPr="00722885" w14:paraId="247B745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8F51B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7F3F34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6D9431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EE854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5BB56F5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F2B2A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2604F5D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2757506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D4CBE0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A7C4A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D4B5BF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F132A5A"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04CEA4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421D0D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405626A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4154D8D"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D33B19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1C34C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C57CDC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F7D83BD"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95CC2E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330D61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4391B09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7300C82"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63D49179"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6ADCC1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247A92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w:t>
            </w:r>
          </w:p>
          <w:p w14:paraId="0D4789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модифицир.</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C66EE6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15BBAD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CDDC7A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341B68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B031C2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A75701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71CA10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Минимальный установочный угол</w:t>
            </w:r>
          </w:p>
          <w:p w14:paraId="005B57B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B41328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F3CCC4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854D7A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65B35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4139FA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FE03B6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72E55E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9E31D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8F1A7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9AB2EC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384F94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7A2F9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23B476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72EA53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BF544A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F5D2C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489E47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90E7D99"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82E55C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B578E1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8F1DC0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1928E5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Состояние</w:t>
            </w:r>
          </w:p>
          <w:p w14:paraId="1E6BC0C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6CF610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 испытания прошел удовлетворительно в 1942 году.</w:t>
            </w:r>
          </w:p>
          <w:p w14:paraId="7CCAB9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Находится в эксплоатации. С серийного производства снят.</w:t>
            </w:r>
          </w:p>
        </w:tc>
      </w:tr>
      <w:tr w:rsidR="009B487A" w:rsidRPr="00722885" w14:paraId="2FE368F2"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49C8A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3473A1B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30FC43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E770E9"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573D9C3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23DDEA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A92DB1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EB22CC"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A2BD1C"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57893D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19E9091"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B1CF96B"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519969B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Источник сведений: Отчет по испыт. винта от 31.8.42 г.</w:t>
            </w:r>
          </w:p>
        </w:tc>
      </w:tr>
    </w:tbl>
    <w:p w14:paraId="7DCBEE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(12227).</w:t>
      </w:r>
    </w:p>
    <w:p w14:paraId="1385BCB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CA55D2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EF24148" w14:textId="77777777" w:rsidR="00AE7191" w:rsidRPr="00722885" w:rsidRDefault="00AE7191" w:rsidP="00722885">
      <w:pPr>
        <w:pStyle w:val="Iauiue"/>
        <w:jc w:val="both"/>
        <w:rPr>
          <w:iCs/>
          <w:color w:val="000000" w:themeColor="text1"/>
          <w:sz w:val="16"/>
          <w:szCs w:val="16"/>
        </w:rPr>
      </w:pPr>
    </w:p>
    <w:p w14:paraId="6EBF4A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августа 1942 года для проведения испытаний мин, снаряженных ГИПХом на АНИОП было доставлено восемь 280-мм зажигательных мин. При осмотре мин было обнаружено, что в центральных трубках мин №№ 1,4, 2, 3 и 5 протекла горючая жидкость и черный порох оказался пропитан горючей жидкостью. Пуски этих снарядов производились с позиции 7,4 км с деревянных и металлических рам при угле возвышения 42 градуса. Средняя дальность полета мин на испытаниях составила 1830 м, Вд=56 м (Вд/Хоп=1/33) и Вб=45 м (Вб/Хоп=1/41). Из-за многочисленных отказов испытать зажигательную жидкость, созданную в ГИПХе, оказалось невозможно. ГИПХу было рекомендовано продолжить отработку зажигательной смеси на базе жидкости "КС" и бензина и еще раз проверить стрельбой снаряженные ей реактивные мины (6403, 42).</w:t>
      </w:r>
    </w:p>
    <w:p w14:paraId="3BA8B73D" w14:textId="77777777" w:rsidR="00AE7191" w:rsidRPr="00722885" w:rsidRDefault="00AE7191" w:rsidP="00722885">
      <w:pPr>
        <w:pStyle w:val="Iauiue"/>
        <w:jc w:val="both"/>
        <w:rPr>
          <w:color w:val="000000" w:themeColor="text1"/>
          <w:sz w:val="16"/>
          <w:szCs w:val="16"/>
        </w:rPr>
      </w:pPr>
    </w:p>
    <w:p w14:paraId="528A71C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августа 1942 г. опытный образец танка КВ-1К с установкой КАРСТ-1 прошел испытания на Чебаркульском научно-исследовательском полигоне стрелкового вооружения РККА, которые проходили с 7 августа. По результатам было сделано заключение о возможности установки КАРСТ-1 на любом типе танка (тяжелом, среднем, легком) в качестве мощного дополнительного ору</w:t>
      </w:r>
      <w:r w:rsidRPr="00722885">
        <w:rPr>
          <w:rFonts w:ascii="Times New Roman" w:hAnsi="Times New Roman"/>
          <w:color w:val="000000" w:themeColor="text1"/>
          <w:sz w:val="16"/>
          <w:szCs w:val="16"/>
        </w:rPr>
        <w:softHyphen/>
        <w:t>жия. Сама ракетная система с учетом изменений была рекомендована для серийного производства и установки на танк КВ-1 С. Несмотря на то, что в декабре 1942 г. даже был разработан проект инструкции по эксплу</w:t>
      </w:r>
      <w:r w:rsidRPr="00722885">
        <w:rPr>
          <w:rFonts w:ascii="Times New Roman" w:hAnsi="Times New Roman"/>
          <w:color w:val="000000" w:themeColor="text1"/>
          <w:sz w:val="16"/>
          <w:szCs w:val="16"/>
        </w:rPr>
        <w:softHyphen/>
        <w:t>атации КАРСТ-1, дальнейшие работы по монтажу на танк реактивных установок в качестве дополнительного оружия развития не получили. КАРСТ-1 была установлена на серийный танк КВ-1 обр. 1941 г. про</w:t>
      </w:r>
      <w:r w:rsidRPr="00722885">
        <w:rPr>
          <w:rFonts w:ascii="Times New Roman" w:hAnsi="Times New Roman"/>
          <w:color w:val="000000" w:themeColor="text1"/>
          <w:sz w:val="16"/>
          <w:szCs w:val="16"/>
        </w:rPr>
        <w:softHyphen/>
        <w:t>изводства ЧКЗ и представляла собой четыре орудия, которые монтиро</w:t>
      </w:r>
      <w:r w:rsidRPr="00722885">
        <w:rPr>
          <w:rFonts w:ascii="Times New Roman" w:hAnsi="Times New Roman"/>
          <w:color w:val="000000" w:themeColor="text1"/>
          <w:sz w:val="16"/>
          <w:szCs w:val="16"/>
        </w:rPr>
        <w:softHyphen/>
        <w:t>вались на надгусеничных полках - по два орудия со стороны каждого борта танка. Основное оружие танка и его боекомплект по сравнению с базовой машиной остались без изменений. Экипаж танка состоял из пя</w:t>
      </w:r>
      <w:r w:rsidRPr="00722885">
        <w:rPr>
          <w:rFonts w:ascii="Times New Roman" w:hAnsi="Times New Roman"/>
          <w:color w:val="000000" w:themeColor="text1"/>
          <w:sz w:val="16"/>
          <w:szCs w:val="16"/>
        </w:rPr>
        <w:softHyphen/>
        <w:t>ти человек. Корпус каждого орудия, сваренный из 10- и 30-мм броневых листов, имел прямоугольную форму в поперечном сечении и трапецевидную -в продольном. В корпусе орудия были установлены направляющие для двух 132-мм реактивных осколочно-фугасных снарядов М-13, исполь</w:t>
      </w:r>
      <w:r w:rsidRPr="00722885">
        <w:rPr>
          <w:rFonts w:ascii="Times New Roman" w:hAnsi="Times New Roman"/>
          <w:color w:val="000000" w:themeColor="text1"/>
          <w:sz w:val="16"/>
          <w:szCs w:val="16"/>
        </w:rPr>
        <w:softHyphen/>
        <w:t>зуемых из боевого комплекта боевой машины БМ-13 ("Катюша"). Пе</w:t>
      </w:r>
      <w:r w:rsidRPr="00722885">
        <w:rPr>
          <w:rFonts w:ascii="Times New Roman" w:hAnsi="Times New Roman"/>
          <w:color w:val="000000" w:themeColor="text1"/>
          <w:sz w:val="16"/>
          <w:szCs w:val="16"/>
        </w:rPr>
        <w:softHyphen/>
        <w:t>редние орудия имели угол возвышения +3°, а кормовые - +4°. Выстрел производился с помощью электрозапала. Из кормовых орудий стрельбу можно было вести только при положении башни с пушкой, располагав</w:t>
      </w:r>
      <w:r w:rsidRPr="00722885">
        <w:rPr>
          <w:rFonts w:ascii="Times New Roman" w:hAnsi="Times New Roman"/>
          <w:color w:val="000000" w:themeColor="text1"/>
          <w:sz w:val="16"/>
          <w:szCs w:val="16"/>
        </w:rPr>
        <w:softHyphen/>
        <w:t>шейся вдоль продольной оси танка (10703).</w:t>
      </w:r>
    </w:p>
    <w:p w14:paraId="243CD31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C7AD8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августа 1942 г. в приказе № 51/м Главмотовелопрома рассосредоточили ремонт трофейных мотоциклов по типам и по заводам. На ММЗ сосредоточили ремонт тя</w:t>
      </w:r>
      <w:r w:rsidRPr="00722885">
        <w:rPr>
          <w:rFonts w:ascii="Times New Roman" w:hAnsi="Times New Roman"/>
          <w:color w:val="000000" w:themeColor="text1"/>
          <w:sz w:val="16"/>
          <w:szCs w:val="16"/>
        </w:rPr>
        <w:softHyphen/>
        <w:t>жёлых четырёхтактных мотоциклов фирм БМВ и «Цюндапп» всех марок, а на СМЗ - двухтактных машин, сделанных на фир</w:t>
      </w:r>
      <w:r w:rsidRPr="00722885">
        <w:rPr>
          <w:rFonts w:ascii="Times New Roman" w:hAnsi="Times New Roman"/>
          <w:color w:val="000000" w:themeColor="text1"/>
          <w:sz w:val="16"/>
          <w:szCs w:val="16"/>
        </w:rPr>
        <w:softHyphen/>
        <w:t>мах Триумф, Пух, Терро, Цюндапп и др. Мотоциклы фирм ДКВ и НСУ ремонтировали на этих заводах, также как и остальные машины неназванных фирм, но при наличии ремкомплектов. Мотоциклы, не обеспеченные ремкомплектом, передавали на от</w:t>
      </w:r>
      <w:r w:rsidRPr="00722885">
        <w:rPr>
          <w:rFonts w:ascii="Times New Roman" w:hAnsi="Times New Roman"/>
          <w:color w:val="000000" w:themeColor="text1"/>
          <w:sz w:val="16"/>
          <w:szCs w:val="16"/>
        </w:rPr>
        <w:softHyphen/>
        <w:t>ветственное хранение на тех же заводах [5.52]. Изготовление рем-комплектов, как и отдельных деталей для трофейных мотоцик</w:t>
      </w:r>
      <w:r w:rsidRPr="00722885">
        <w:rPr>
          <w:rFonts w:ascii="Times New Roman" w:hAnsi="Times New Roman"/>
          <w:color w:val="000000" w:themeColor="text1"/>
          <w:sz w:val="16"/>
          <w:szCs w:val="16"/>
        </w:rPr>
        <w:softHyphen/>
        <w:t>лов, распределили по различным предприятиям Главмотовело-прома, производственные мощности которых были ограничены, что сдерживало изготовление необходимых запчастей в требуе</w:t>
      </w:r>
      <w:r w:rsidRPr="00722885">
        <w:rPr>
          <w:rFonts w:ascii="Times New Roman" w:hAnsi="Times New Roman"/>
          <w:color w:val="000000" w:themeColor="text1"/>
          <w:sz w:val="16"/>
          <w:szCs w:val="16"/>
        </w:rPr>
        <w:softHyphen/>
        <w:t>мых объемах и плохо влияло на ремонт трофейных мотоциклов. При месячном плане на ММЗ в 150 мотоциклов, в апреле 1942 г. удалось отремонтировать только 96 мотоциклов, а в мае - НО [5.53]. Количество отремонтированных в 1942 г. на ММЗ и СМЗ трофейных мотоциклов и переданных в ГБТУ приведено в табл. 20 [5.54].</w:t>
      </w:r>
    </w:p>
    <w:p w14:paraId="1FCB852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20</w:t>
      </w:r>
    </w:p>
    <w:p w14:paraId="5DBF544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Объемы отремонтированных трофейных мотоциклов, 1942 г.</w:t>
      </w:r>
    </w:p>
    <w:tbl>
      <w:tblPr>
        <w:tblW w:w="0" w:type="auto"/>
        <w:tblInd w:w="40" w:type="dxa"/>
        <w:tblLayout w:type="fixed"/>
        <w:tblCellMar>
          <w:left w:w="40" w:type="dxa"/>
          <w:right w:w="40" w:type="dxa"/>
        </w:tblCellMar>
        <w:tblLook w:val="0000" w:firstRow="0" w:lastRow="0" w:firstColumn="0" w:lastColumn="0" w:noHBand="0" w:noVBand="0"/>
      </w:tblPr>
      <w:tblGrid>
        <w:gridCol w:w="970"/>
        <w:gridCol w:w="950"/>
        <w:gridCol w:w="720"/>
        <w:gridCol w:w="739"/>
      </w:tblGrid>
      <w:tr w:rsidR="009B487A" w:rsidRPr="00722885" w14:paraId="5BD2D1E4" w14:textId="77777777" w:rsidTr="00CC5360">
        <w:trPr>
          <w:trHeight w:val="394"/>
        </w:trPr>
        <w:tc>
          <w:tcPr>
            <w:tcW w:w="970" w:type="dxa"/>
            <w:tcBorders>
              <w:top w:val="single" w:sz="6" w:space="0" w:color="auto"/>
              <w:left w:val="single" w:sz="6" w:space="0" w:color="auto"/>
              <w:bottom w:val="nil"/>
              <w:right w:val="single" w:sz="6" w:space="0" w:color="auto"/>
            </w:tcBorders>
          </w:tcPr>
          <w:p w14:paraId="1010E2F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2E0CA6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34C241C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1B62B0D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1459" w:type="dxa"/>
            <w:gridSpan w:val="2"/>
            <w:tcBorders>
              <w:top w:val="single" w:sz="6" w:space="0" w:color="auto"/>
              <w:left w:val="single" w:sz="6" w:space="0" w:color="auto"/>
              <w:bottom w:val="single" w:sz="6" w:space="0" w:color="auto"/>
              <w:right w:val="single" w:sz="6" w:space="0" w:color="auto"/>
            </w:tcBorders>
          </w:tcPr>
          <w:p w14:paraId="3426BC0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Факт</w:t>
            </w:r>
          </w:p>
          <w:p w14:paraId="4D088B3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0E55451" w14:textId="77777777" w:rsidTr="00CC5360">
        <w:trPr>
          <w:trHeight w:val="355"/>
        </w:trPr>
        <w:tc>
          <w:tcPr>
            <w:tcW w:w="970" w:type="dxa"/>
            <w:tcBorders>
              <w:top w:val="nil"/>
              <w:left w:val="single" w:sz="6" w:space="0" w:color="auto"/>
              <w:bottom w:val="single" w:sz="6" w:space="0" w:color="auto"/>
              <w:right w:val="single" w:sz="6" w:space="0" w:color="auto"/>
            </w:tcBorders>
          </w:tcPr>
          <w:p w14:paraId="41CB082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50457F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32B0A25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D5088C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59BCB0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p w14:paraId="54C7AC3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B27C04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0F086A5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8BD32B6" w14:textId="77777777" w:rsidTr="00CC5360">
        <w:trPr>
          <w:trHeight w:val="326"/>
        </w:trPr>
        <w:tc>
          <w:tcPr>
            <w:tcW w:w="970" w:type="dxa"/>
            <w:tcBorders>
              <w:top w:val="single" w:sz="6" w:space="0" w:color="auto"/>
              <w:left w:val="single" w:sz="6" w:space="0" w:color="auto"/>
              <w:bottom w:val="nil"/>
              <w:right w:val="single" w:sz="6" w:space="0" w:color="auto"/>
            </w:tcBorders>
          </w:tcPr>
          <w:p w14:paraId="08E07BC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ММЗ</w:t>
            </w:r>
          </w:p>
          <w:p w14:paraId="26FA08D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61310D3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p w14:paraId="31D6032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7A42C94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1131</w:t>
            </w:r>
          </w:p>
          <w:p w14:paraId="6F307CC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nil"/>
              <w:right w:val="single" w:sz="6" w:space="0" w:color="auto"/>
            </w:tcBorders>
          </w:tcPr>
          <w:p w14:paraId="32301CB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56,6</w:t>
            </w:r>
          </w:p>
          <w:p w14:paraId="7AC9548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BDFF70B" w14:textId="77777777" w:rsidTr="00CC5360">
        <w:trPr>
          <w:trHeight w:val="240"/>
        </w:trPr>
        <w:tc>
          <w:tcPr>
            <w:tcW w:w="970" w:type="dxa"/>
            <w:tcBorders>
              <w:top w:val="nil"/>
              <w:left w:val="single" w:sz="6" w:space="0" w:color="auto"/>
              <w:bottom w:val="nil"/>
              <w:right w:val="single" w:sz="6" w:space="0" w:color="auto"/>
            </w:tcBorders>
          </w:tcPr>
          <w:p w14:paraId="2D4F3E4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СМЗ</w:t>
            </w:r>
          </w:p>
          <w:p w14:paraId="5414A1D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nil"/>
              <w:right w:val="single" w:sz="6" w:space="0" w:color="auto"/>
            </w:tcBorders>
          </w:tcPr>
          <w:p w14:paraId="3691F84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p w14:paraId="18EF35C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2BEE052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272</w:t>
            </w:r>
          </w:p>
          <w:p w14:paraId="6548936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nil"/>
              <w:right w:val="single" w:sz="6" w:space="0" w:color="auto"/>
            </w:tcBorders>
          </w:tcPr>
          <w:p w14:paraId="2C4C391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90,6</w:t>
            </w:r>
          </w:p>
          <w:p w14:paraId="0336798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8D4A65B" w14:textId="77777777" w:rsidTr="00CC5360">
        <w:trPr>
          <w:trHeight w:val="384"/>
        </w:trPr>
        <w:tc>
          <w:tcPr>
            <w:tcW w:w="970" w:type="dxa"/>
            <w:tcBorders>
              <w:top w:val="nil"/>
              <w:left w:val="single" w:sz="6" w:space="0" w:color="auto"/>
              <w:bottom w:val="single" w:sz="6" w:space="0" w:color="auto"/>
              <w:right w:val="single" w:sz="6" w:space="0" w:color="auto"/>
            </w:tcBorders>
          </w:tcPr>
          <w:p w14:paraId="3A154F2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p w14:paraId="5E8A095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70964D9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p w14:paraId="512A752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64DD9CC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1403</w:t>
            </w:r>
          </w:p>
          <w:p w14:paraId="24D56EC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single" w:sz="6" w:space="0" w:color="auto"/>
              <w:right w:val="single" w:sz="6" w:space="0" w:color="auto"/>
            </w:tcBorders>
          </w:tcPr>
          <w:p w14:paraId="2B08211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61,0</w:t>
            </w:r>
          </w:p>
          <w:p w14:paraId="71E928F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r>
    </w:tbl>
    <w:p w14:paraId="30FEADD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(11429)</w:t>
      </w:r>
      <w:r w:rsidRPr="00722885">
        <w:rPr>
          <w:rFonts w:ascii="Times New Roman" w:hAnsi="Times New Roman"/>
          <w:color w:val="000000" w:themeColor="text1"/>
          <w:sz w:val="16"/>
          <w:szCs w:val="16"/>
        </w:rPr>
        <w:t>.</w:t>
      </w:r>
    </w:p>
    <w:p w14:paraId="355F5D6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68F2B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августа 1942 года была подготовлена справка:</w:t>
      </w:r>
    </w:p>
    <w:p w14:paraId="5D9353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ОКБ-16, ОКБ-15, заводы №№ 44 и 589 – Москва (9265).</w:t>
      </w:r>
    </w:p>
    <w:p w14:paraId="77F4134C" w14:textId="77777777" w:rsidR="00AE7191" w:rsidRPr="00722885" w:rsidRDefault="00AE7191" w:rsidP="00722885">
      <w:pPr>
        <w:pStyle w:val="Iauiue"/>
        <w:jc w:val="both"/>
        <w:rPr>
          <w:color w:val="000000" w:themeColor="text1"/>
          <w:sz w:val="16"/>
          <w:szCs w:val="16"/>
        </w:rPr>
      </w:pPr>
    </w:p>
    <w:p w14:paraId="69954C3C"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августа 1942:</w:t>
      </w:r>
    </w:p>
    <w:p w14:paraId="1F9A7CEE"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ВЭИ</w:t>
      </w:r>
    </w:p>
    <w:p w14:paraId="04B775DB"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ОТДЕЛ,</w:t>
      </w:r>
    </w:p>
    <w:p w14:paraId="0D30F94D"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31/8 1942 г.</w:t>
      </w:r>
    </w:p>
    <w:p w14:paraId="2AD8AEEE"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 Красноказарменная, 12</w:t>
      </w:r>
    </w:p>
    <w:p w14:paraId="55BB9D87"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Заместителю председателя народных комиссаров Союза ССР тов. Косыгину А.Н. (от начальника ОКБ при ВЭИ НКЭП В. Бирюкова)</w:t>
      </w:r>
    </w:p>
    <w:p w14:paraId="19971F4F"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ГОКО постановлением от 15 мая 1942 года обязал Наркомэлектропром создать Особое конструкторское бюро при ВЭИ, расположив его в корпусах Всесоюзного Электротехнического Института НКЭП. Этим постановлением на ВЭИ возложены: разработка и выпуск ночного штурманского прибора для авиации и морского флота, а также прибора для вождения танков ночью, разработка ночного снайперского прицела других приборов для видения ночью.</w:t>
      </w:r>
    </w:p>
    <w:p w14:paraId="5598D651"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ОКБ переданы телевизионные и химические лаборатории НИИ №9 г. Ленинграда, задача которых состоит в создании и изготовлении самолетной телевизионной приемо-передающей установки и создании и изготовлении телевизионной аппаратуры для наведения нашей истребительной авиации на авиацию противника.</w:t>
      </w:r>
    </w:p>
    <w:p w14:paraId="6362B93D"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Комитет Обороны разрешил НКЭП для ОКБ при ВЭИ вывезти из Ленинграда, Свердловска, Красноярска и других городов высококвалифицированных специалистов, рабочих, материалы и оборудование.</w:t>
      </w:r>
    </w:p>
    <w:p w14:paraId="5D6954DE"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обеспечения этих задач ГОКО обязал:</w:t>
      </w:r>
    </w:p>
    <w:p w14:paraId="2CE99E38"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тов. Пронина /Мосгорисполком/:</w:t>
      </w:r>
    </w:p>
    <w:p w14:paraId="19678E75"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обеспечить жилыми площадями 100 человек научных работников и высококвалифицированных рабочих;</w:t>
      </w:r>
    </w:p>
    <w:p w14:paraId="34D0D640"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в месячный срок произвести восстановительные работы в лабораторных и производственных корпусах ВЭИ, переданных Особому конструкторскому бюро</w:t>
      </w:r>
    </w:p>
    <w:p w14:paraId="4AB8347C"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тов. Любимова /Наркомторг СССР/</w:t>
      </w:r>
    </w:p>
    <w:p w14:paraId="17C24DB8"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открыть буфет и столовую закрытого типа для ИТР и рабочих ОКБ</w:t>
      </w:r>
    </w:p>
    <w:p w14:paraId="142C4910"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выделить дополнительное питание для лиц, занятых а вредном для здоровья производстве</w:t>
      </w:r>
    </w:p>
    <w:p w14:paraId="01FBADA7"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Сроки исполнения постановления ГОКО давно прошли, однако, несмотря на наши неоднократные требования, указанные пункты постановления ГОКО до настоящего времени не выполнены:</w:t>
      </w:r>
    </w:p>
    <w:p w14:paraId="2F41940B"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Для работы в ОКБ прибыли из г.Ленинграда и других городов все 100 человек, но вследствие того, что Мосгорисполкомом не выполнено постановление ГОКО о предоставлении жилплощади, значительная часть прибывших не имеет прописки и не обеспечена питанием /не выданы продкарточки/.</w:t>
      </w:r>
    </w:p>
    <w:p w14:paraId="01D94291"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письма и безрезультатная потеря времени на решение этих вопросов в течение 3-х месяцев у Зам.пред.Мосгорисполкома и в Мосгоржилотделе ни к чему не привели. Получено только 25 ордеров, из коих 7 в домах, совершенно не пригодных для жилья, и то только после телефонного звонка Зав.отделом Электропромышленности Управления кадров ЦК ВКП/б/ тов.Турчанина А.А. к Зам.Пред.Мосгорисполкома по жилищным вопросам тов. Майорову.</w:t>
      </w:r>
    </w:p>
    <w:p w14:paraId="06DB739F"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обращение личное Зам.Наркома Электропромышленности СССР тов. Товстопалова А.И. к тов.Понину с просьбой о предоставлении жилплощадей, во исполнение постановления ГОКО, лицам, прибывшим для выполнения задания Государственного Комитета Обороны, т. Пронин ответил, что жилплощади предоставить не может, так как постановлений имеет очень много.</w:t>
      </w:r>
    </w:p>
    <w:p w14:paraId="2BEF3E0F"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Тов. Прониным, во исполнение постановления ГОКО №175сс, о восстановлении корпусов ВЭИ для ОКБ была выделена строительная организация "Госгражданстрой", которая в течение трех месяцев не закончила восстановительных работ и лишь недавно приступила к восстановительным работам по сантехнике... Это обстоятельство: 1/ не дает возможности на протяжении трех месяцев освоить производственные площади, 2/ при развороте работ по сантехнике приводит к большим разрушениям выполненных строительных работ и требует дополнительной затраты времени и средств, 3/ ставит под угрозу полного срыва работы ОКБ на зимний период, так как здания полностью не подготовлены к зиме; не застеклены; отопительная, водопроводная и канализационная сеть не восстановлены.</w:t>
      </w:r>
    </w:p>
    <w:p w14:paraId="142C7EC3"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До сегодняшнего дня Наркомторгом и подведомственными ему организациями не открыты при ОКБ-ВЭИ буфет и столовая закрытого типа. Наркомторг заявляется, что формулировка постановления ГОКО "организовать для рабочих и ИТР ОКБ закрытый буфет и столовую" неясна; "обеспечить дополнительным снабжением рабочих и ИТР ОКБ, занятых на вредном для здоровья производстве" Наркомторгу тоже не ясно, так как в постановлении не сказано: по карточкам, или с 50% вырезом карточек или без карточек питать сотрудников ОКБ.</w:t>
      </w:r>
    </w:p>
    <w:p w14:paraId="0A07C7B6"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этого сотрудники ОКБ частично прикрепляются к столовым, близлежащим к предприятиям, что нарушает расписание рабочего дня, и не могут быть переведены на удлиненный рабочий день; другая часть сотрудников, имеющая семьи в г.Москве, остается не прикрепленной.</w:t>
      </w:r>
    </w:p>
    <w:p w14:paraId="67854A2C"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Постановлением ГОКО для работ ОКБ при ВЭИ выделены 5 автомашин ГАЗ-АА...из-за отсутствия бензина весь транспорт ОКБ стал, вследствие чего мы не можем обеспечить выездов на ночные испытания и доставку необходимых материалов для работ, что ведет к полному срыву всех заданий.</w:t>
      </w:r>
    </w:p>
    <w:p w14:paraId="7F7B7341"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3E01711C"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ОКБ при ВЭИ НКЭП: /Бирюков/ (15248).</w:t>
      </w:r>
    </w:p>
    <w:p w14:paraId="585D199C" w14:textId="77777777" w:rsidR="00BD5EB5" w:rsidRPr="00722885" w:rsidRDefault="00BD5EB5" w:rsidP="00722885">
      <w:pPr>
        <w:shd w:val="clear" w:color="auto" w:fill="FFFFFF"/>
        <w:spacing w:after="0" w:line="240" w:lineRule="auto"/>
        <w:jc w:val="both"/>
        <w:rPr>
          <w:rFonts w:ascii="Times New Roman" w:hAnsi="Times New Roman"/>
          <w:color w:val="000000" w:themeColor="text1"/>
          <w:sz w:val="16"/>
          <w:szCs w:val="16"/>
        </w:rPr>
      </w:pPr>
    </w:p>
    <w:p w14:paraId="06AC58BB"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CD4B65B" w14:textId="77777777" w:rsidR="00AE7191" w:rsidRPr="00722885" w:rsidRDefault="00AE7191" w:rsidP="00722885">
      <w:pPr>
        <w:pStyle w:val="Iauiue"/>
        <w:jc w:val="both"/>
        <w:rPr>
          <w:iCs/>
          <w:color w:val="000000" w:themeColor="text1"/>
          <w:sz w:val="16"/>
          <w:szCs w:val="16"/>
        </w:rPr>
      </w:pPr>
    </w:p>
    <w:p w14:paraId="27649248"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31 августа </w:t>
      </w:r>
      <w:r w:rsidRPr="00722885">
        <w:rPr>
          <w:rFonts w:ascii="Times New Roman" w:hAnsi="Times New Roman"/>
          <w:color w:val="000000" w:themeColor="text1"/>
          <w:sz w:val="16"/>
          <w:szCs w:val="16"/>
        </w:rPr>
        <w:t>в 1942 году утреннее сообщение Совинформбюро:</w:t>
      </w:r>
    </w:p>
    <w:p w14:paraId="584CAA19"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31 августа на фронтах существенных изменений не произошло.</w:t>
      </w:r>
    </w:p>
    <w:p w14:paraId="10266809"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северо-западнее Сталинграда Н-ская танковая часть в многочасовом бою с противником уничтожила 12 немецких танков, 14 орудий, 8 пулемётных точек и истребила более 400 гитлеровцев. На другом участке немцы силами танков и пехоты пытались атаковать наши позиции. Атака противника была отбита артиллеристами и бронебойщиками. Из 30 принимавших участие в наступлении танков противника было уничтожено 16 немецких танков.</w:t>
      </w:r>
    </w:p>
    <w:p w14:paraId="2C71EAC7"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продолжали вести активные боевые действия и несколько продвинулись вперёд.</w:t>
      </w:r>
    </w:p>
    <w:p w14:paraId="29488F0A"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Котельникова одно наше подразделение совершило ночной налёт на расположение противника. Наши бойцы уничтожили до 200 гитлеровцев и захватили 2 орудия, 5 пулемётов, 46 винтовок и автоматов.</w:t>
      </w:r>
    </w:p>
    <w:p w14:paraId="5FA435B1"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Краснодара наша кавалерийская часть напала в тылу противника на подходившую к фронту колонну немецкой пехоты. Казаки в короткой схватке порубили до 300 гитлеровцев и сожгли 20 грузовых автомашин с боеприпасами и военными муществом.</w:t>
      </w:r>
    </w:p>
    <w:p w14:paraId="39ACB6F2"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этом бою особенно отличились разведчики сержант тов. Моисеенко, курсант тов. Постников и группа бойцов под руководством тт. Бочкарёва и Алёшина.</w:t>
      </w:r>
    </w:p>
    <w:p w14:paraId="31F32E1E"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огнём гвардейского артиллерийского подразделения на переправах через водный рубеж уничтожено 11 автомашин, 3 танка и до роты пехоты противника.</w:t>
      </w:r>
    </w:p>
    <w:p w14:paraId="593D0452"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К., действующий в одном из районов Сумской области, в бою с противником истребил 140 немецко-фашистских захватчиков. Партизаны захватили 8 станковых пулемётов, 26 винтовок, 6 автоматов, 2 радиостанции и много боеприпасов.</w:t>
      </w:r>
    </w:p>
    <w:p w14:paraId="14DBAC50"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неотправленном письме немецкого офицера Франца Шумертля, адресованном некоей Терезии Мервальд в Креппеншлаге, говорится: «Ты просишь, чтобы я берёгся. Если бы ты знала, что мы здесь переживаем, наверное, перестала бы рассчитыватьна свидание со мной. Я не надеюсь остаться в живых. Мы всё время находимся под огнём русских... За три ночи я не спал и получаса. Вчера днём было несколько легче, но сегодня опять творится нечто безумное. Видно, нашим костям суждено тлеть на равнинах России...»</w:t>
      </w:r>
    </w:p>
    <w:p w14:paraId="4A6E2977"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освобождённых от немецко-фашистских оккупантов деревень Калининской области рассказывают о кровавых злодеяниях немецко-фашистских мерзавцев. Колхозница Евдокия Иванова, из деревни Пищалино, сообщает: «Немцы ворвались в нашу деревню и дочиста ограбили всех жителей. Они морили голодом советских людей, а из деревни выходить запретили. Нюра Абрамова, Шура, Маруся и Настя Цветковы пошли в соседнюю деревню за картошкой. Гитлеровцы схватили их за околицей, привели в село и на глазах всего населения расстреляли. Немецкие бандиты насильно угнали из деревни Алексино в глубокий тыл 450 женщин и мужчин. Красная Армия вырвала нас из рук смерти».</w:t>
      </w:r>
    </w:p>
    <w:p w14:paraId="7F39A11A"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оккупанты заключили в концентрационный лагерь близ Гаммере 450 норвежских учёных, учителей и врачей. Заключённых гитлеровцы заставили рубить лес и корчевать пни. Каждого, кто не выполнил дневное задание, они бросают в карцер — сырую, тёмную яму, вырытую в земле. Заболевшие не получают никакой медицинской помощи. От голода и болезней в июле в лагере умерло 46 человек.» (14755).</w:t>
      </w:r>
    </w:p>
    <w:p w14:paraId="60E671B5" w14:textId="77777777" w:rsidR="00BD5EB5" w:rsidRPr="00722885" w:rsidRDefault="00BD5EB5" w:rsidP="00722885">
      <w:pPr>
        <w:spacing w:after="0" w:line="240" w:lineRule="auto"/>
        <w:jc w:val="both"/>
        <w:rPr>
          <w:rFonts w:ascii="Times New Roman" w:hAnsi="Times New Roman"/>
          <w:color w:val="000000" w:themeColor="text1"/>
          <w:sz w:val="16"/>
          <w:szCs w:val="16"/>
        </w:rPr>
      </w:pPr>
    </w:p>
    <w:p w14:paraId="03A511FC"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31 августа </w:t>
      </w:r>
      <w:r w:rsidRPr="00722885">
        <w:rPr>
          <w:rFonts w:ascii="Times New Roman" w:hAnsi="Times New Roman"/>
          <w:color w:val="000000" w:themeColor="text1"/>
          <w:sz w:val="16"/>
          <w:szCs w:val="16"/>
        </w:rPr>
        <w:t>в 1942 году вечернее сообщение Совинформбюро:</w:t>
      </w:r>
    </w:p>
    <w:p w14:paraId="6EAFB33B"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31 августа на фронтах существенных изменений не произошло.</w:t>
      </w:r>
    </w:p>
    <w:p w14:paraId="657BD199"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30 августа частями нашей авиации на различных участках фронта уничтоженоили повреждено до 20 немецких танков и бронемашин, более 100 автомашин свойсками и грузами, подавлен огонь 5 батарей полевой и зенитной артиллерии,взорваны 2 склада боеприпасов и склад горючего, разбито три железнодорожныхэшелона, рассеяно и частью уничтожено до батальона пехоты противника.</w:t>
      </w:r>
    </w:p>
    <w:p w14:paraId="5A24BB77"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наши части заняли три укреплённых противником населённых пункта. В упорных боях за эти населённые пункты немцы потеряли убитыми и ранеными до 800 солдат и офицеров. Нашими бойцами огнём из пулемётов сбито 3 немецких самолёта.</w:t>
      </w:r>
    </w:p>
    <w:p w14:paraId="4E3898C0"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северо-западнее Сталинграда наши войска вели ожесточённые бои с группировкой противника, вклинившейся в нашу оборону. В связи с огромными потерями в живой силе и технике немцы пытались подбросить подкрепления своим передовым частям. Наша разведка обнаружила движение вражеской колонны автомашин с войсками, вооружением и боеприпасами. Советские артиллеристы и лётчики обрушили на неприятеля сильный огонь и разгромили колонну противника. Большая часть немецких автомашин уничтожена.</w:t>
      </w:r>
    </w:p>
    <w:p w14:paraId="6C48D364"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войска вели активные боевые действия и продвинулись вперёд. Оборонявшие этот участок итальянские войска пытались оказать сопротивление, но были опрокинуты. Захвачены трофеи: 38 орудий, 265 пулемётов, до 1.500 тысяч патронов, много винтовок, автомашин и другое военное имущество. Взяты пленные.</w:t>
      </w:r>
    </w:p>
    <w:p w14:paraId="40E294C5"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войска отражали атаки танков и пехоты противника. На одном участке немцам удалось вклиниться в расположение нашей обороны. Н-ская часть, сдерживая натиск численно превосходящих сил неприятеля, уничтожила 8 немецких танков и истребила свыше 300 гитлеровцев. На другом участке огневыми налётами нашей артиллерии уничтожено до 30 автомашин, артиллерийская и две миномётные батареи противника.</w:t>
      </w:r>
    </w:p>
    <w:p w14:paraId="4F7223B4"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Южнее Краснодара наши части отбивали атаки противника. Бойцы Н-ской части уничтожили 3 немецких танка и истребили до роты пехоты противника. В одном районе в тылу наших войск немцы выбросили авиадесант в количестве 200 автоматчиков. Нашими казаками десант был окружён и полностью уничтожен.</w:t>
      </w:r>
    </w:p>
    <w:p w14:paraId="68D09DEF"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воздушных боях сбито 18 немецких самолётов.</w:t>
      </w:r>
    </w:p>
    <w:p w14:paraId="2647C918"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наши части уничтожили 7 немецких танков, 22 автомашины и более 200 гитлеровцев.</w:t>
      </w:r>
    </w:p>
    <w:p w14:paraId="2AFA6D72"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местного значения. Одно наше подразделение атаковало противника и захватило 28 немецких ДЗОТов и блиндажей, 3 пулемёта и уничтожило до роты гитлеровцев.</w:t>
      </w:r>
    </w:p>
    <w:p w14:paraId="64456C14"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орловских партизан под командованием тов. Р. в течение августа пустил под откос три железнодорожных эшелона противника. Разбито 3 паровоза и 47 вагонов с войсками и техникой.</w:t>
      </w:r>
    </w:p>
    <w:p w14:paraId="565027E9"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заложила под раму бензиновой цистерны мину и несколько килограммов взрывчатки. В пути следования мина взорвалась. Железнодорожный эшелон противника в количестве 29 цистерн с бензином полностью сгорел.</w:t>
      </w:r>
    </w:p>
    <w:p w14:paraId="5C17FE05"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128 артиллерийского полка 23 немецкой танковой дивизии Альфред Гельмут сообщил: «Немецкие солдаты и офицеры истребляют население захваченных советских районов. Я не знаю случая, чтобы солдат, убивший ни в чём не повинного мирного жителя, получил какое-либо наказание. В мае текущего года я находился в Полтаве. Расстрелы и убийства мирных жителей там происходили ежедневно. Солдаты гарнизона рассказали мне, что в ноябре 1941 года немцы расстреляли около 3.000 человек. В Харькове я лично был очевидцем, как по приказу немецкого командованияв апреле 1942 года во дворе тракторного завода было расстреляно несколько тысяч харьковских жителей».</w:t>
      </w:r>
    </w:p>
    <w:p w14:paraId="1F78E0A2"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военном порту Шербур (Франция) патриоты подожгли большой немецкий воинский склад. Огнём уничтожено 25 пакгаузов, 19 автомобилей, до 20 тысяч мешков с продовольствием и много бензина.» (14755).</w:t>
      </w:r>
    </w:p>
    <w:p w14:paraId="7B4E6005" w14:textId="77777777" w:rsidR="00BD5EB5" w:rsidRPr="00722885" w:rsidRDefault="00BD5EB5" w:rsidP="00722885">
      <w:pPr>
        <w:spacing w:after="0" w:line="240" w:lineRule="auto"/>
        <w:jc w:val="both"/>
        <w:rPr>
          <w:rFonts w:ascii="Times New Roman" w:hAnsi="Times New Roman"/>
          <w:color w:val="000000" w:themeColor="text1"/>
          <w:sz w:val="16"/>
          <w:szCs w:val="16"/>
        </w:rPr>
      </w:pPr>
    </w:p>
    <w:p w14:paraId="08C6905D" w14:textId="77777777" w:rsidR="004C228B" w:rsidRPr="00722885" w:rsidRDefault="004C228B" w:rsidP="00722885">
      <w:pPr>
        <w:pStyle w:val="ae"/>
        <w:spacing w:before="0" w:after="0"/>
        <w:jc w:val="both"/>
        <w:textAlignment w:val="baseline"/>
        <w:rPr>
          <w:color w:val="000000" w:themeColor="text1"/>
          <w:sz w:val="16"/>
          <w:szCs w:val="16"/>
        </w:rPr>
      </w:pPr>
      <w:r w:rsidRPr="00722885">
        <w:rPr>
          <w:color w:val="000000" w:themeColor="text1"/>
          <w:sz w:val="16"/>
          <w:szCs w:val="16"/>
        </w:rPr>
        <w:t>31 августа 1942 г. две эскадрильи 198-го шап произвели налет на крупную авиабазу люфтваффе Орел-Западный. Время налета было назначено на полдень, так как командование полагало, что «в это время немцы обедают». По донесениям летчиков удар выглядел красочно:</w:t>
      </w:r>
    </w:p>
    <w:p w14:paraId="449CECAB" w14:textId="77777777" w:rsidR="004C228B" w:rsidRPr="00722885" w:rsidRDefault="004C228B"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«Сгорело несколько десятков стоявших крыло к крылу вражеских самолетов. Пламя перебрасывалось с машины на машину, и никто не гасил этот бушующий костер. Уцелевшие гитлеровцы, спасаясь от гибели, бежали с аэродрома…»</w:t>
      </w:r>
    </w:p>
    <w:p w14:paraId="53302E64" w14:textId="77777777" w:rsidR="004C228B" w:rsidRPr="00722885" w:rsidRDefault="004C228B" w:rsidP="00722885">
      <w:pPr>
        <w:pStyle w:val="ae"/>
        <w:spacing w:before="0" w:after="0"/>
        <w:jc w:val="both"/>
        <w:textAlignment w:val="baseline"/>
        <w:rPr>
          <w:color w:val="000000" w:themeColor="text1"/>
          <w:sz w:val="16"/>
          <w:szCs w:val="16"/>
        </w:rPr>
      </w:pPr>
      <w:r w:rsidRPr="00722885">
        <w:rPr>
          <w:color w:val="000000" w:themeColor="text1"/>
          <w:sz w:val="16"/>
          <w:szCs w:val="16"/>
        </w:rPr>
        <w:t>Все это являлось, мягко говоря, сильным преувеличением. Ни один немецкий самолет не пострадал, зато на обратном пути были сбиты Ил-2 лейтенантов И. Касаткина, К. Рослякова и младшего лейтенанта А. Маметкина (19522).</w:t>
      </w:r>
    </w:p>
    <w:p w14:paraId="7A709D19" w14:textId="77777777" w:rsidR="004C228B" w:rsidRPr="00722885" w:rsidRDefault="004C228B" w:rsidP="00722885">
      <w:pPr>
        <w:pStyle w:val="ae"/>
        <w:spacing w:before="0" w:after="0"/>
        <w:jc w:val="both"/>
        <w:textAlignment w:val="baseline"/>
        <w:rPr>
          <w:bCs/>
          <w:color w:val="000000" w:themeColor="text1"/>
          <w:sz w:val="16"/>
          <w:szCs w:val="16"/>
        </w:rPr>
      </w:pPr>
    </w:p>
    <w:p w14:paraId="4D47C211"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31 августа </w:t>
      </w:r>
      <w:r w:rsidRPr="00722885">
        <w:rPr>
          <w:rFonts w:ascii="Times New Roman" w:hAnsi="Times New Roman"/>
          <w:color w:val="000000" w:themeColor="text1"/>
          <w:sz w:val="16"/>
          <w:szCs w:val="16"/>
        </w:rPr>
        <w:t>в 1942 году противник прорвал средний сталинградский оборонительный обвод севернее Гавриловки. Советские войска оставили город Прохладный (14755).</w:t>
      </w:r>
    </w:p>
    <w:p w14:paraId="54ECD4ED" w14:textId="77777777" w:rsidR="00BD5EB5" w:rsidRPr="00722885" w:rsidRDefault="00BD5EB5" w:rsidP="00722885">
      <w:pPr>
        <w:spacing w:after="0" w:line="240" w:lineRule="auto"/>
        <w:jc w:val="both"/>
        <w:rPr>
          <w:rFonts w:ascii="Times New Roman" w:hAnsi="Times New Roman"/>
          <w:color w:val="000000" w:themeColor="text1"/>
          <w:sz w:val="16"/>
          <w:szCs w:val="16"/>
        </w:rPr>
      </w:pPr>
    </w:p>
    <w:p w14:paraId="1CB15E45"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31 августа </w:t>
      </w:r>
      <w:r w:rsidRPr="00722885">
        <w:rPr>
          <w:rFonts w:ascii="Times New Roman" w:hAnsi="Times New Roman"/>
          <w:color w:val="000000" w:themeColor="text1"/>
          <w:sz w:val="16"/>
          <w:szCs w:val="16"/>
        </w:rPr>
        <w:t>в 1942 году немецкие войска овладели Анапой. Оборонявшие Таманский полуостров части морской пехоты оказались отрезанными от основных сил советской 47-й армии, корабли Азовской военной флотилии были вынуждены прорываться в Черное море (14755).</w:t>
      </w:r>
    </w:p>
    <w:p w14:paraId="5B7A2C32" w14:textId="77777777" w:rsidR="00BD5EB5" w:rsidRPr="00722885" w:rsidRDefault="00BD5EB5" w:rsidP="00722885">
      <w:pPr>
        <w:spacing w:after="0" w:line="240" w:lineRule="auto"/>
        <w:jc w:val="both"/>
        <w:rPr>
          <w:rFonts w:ascii="Times New Roman" w:hAnsi="Times New Roman"/>
          <w:color w:val="000000" w:themeColor="text1"/>
          <w:sz w:val="16"/>
          <w:szCs w:val="16"/>
        </w:rPr>
      </w:pPr>
    </w:p>
    <w:p w14:paraId="78FE5D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Потери личного состава летных частей и самолетов Люфтваффе за период с 1 по 31 августа 1942 г. на фронтах*)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012"/>
        <w:gridCol w:w="1012"/>
        <w:gridCol w:w="1236"/>
        <w:gridCol w:w="1559"/>
        <w:gridCol w:w="3686"/>
      </w:tblGrid>
      <w:tr w:rsidR="009B487A" w:rsidRPr="00722885" w14:paraId="0785C68E" w14:textId="77777777" w:rsidTr="00CC5360">
        <w:tc>
          <w:tcPr>
            <w:tcW w:w="2093" w:type="dxa"/>
            <w:tcBorders>
              <w:top w:val="single" w:sz="12" w:space="0" w:color="auto"/>
            </w:tcBorders>
          </w:tcPr>
          <w:p w14:paraId="515C4B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Фронт</w:t>
            </w:r>
          </w:p>
        </w:tc>
        <w:tc>
          <w:tcPr>
            <w:tcW w:w="1012" w:type="dxa"/>
            <w:tcBorders>
              <w:top w:val="single" w:sz="12" w:space="0" w:color="auto"/>
            </w:tcBorders>
          </w:tcPr>
          <w:p w14:paraId="5CC39A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Убитых</w:t>
            </w:r>
          </w:p>
        </w:tc>
        <w:tc>
          <w:tcPr>
            <w:tcW w:w="1012" w:type="dxa"/>
            <w:tcBorders>
              <w:top w:val="single" w:sz="12" w:space="0" w:color="auto"/>
            </w:tcBorders>
          </w:tcPr>
          <w:p w14:paraId="570FF1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Раненых</w:t>
            </w:r>
          </w:p>
        </w:tc>
        <w:tc>
          <w:tcPr>
            <w:tcW w:w="1236" w:type="dxa"/>
            <w:tcBorders>
              <w:top w:val="single" w:sz="12" w:space="0" w:color="auto"/>
            </w:tcBorders>
          </w:tcPr>
          <w:p w14:paraId="19B63B0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Пропавших </w:t>
            </w:r>
          </w:p>
        </w:tc>
        <w:tc>
          <w:tcPr>
            <w:tcW w:w="1559" w:type="dxa"/>
            <w:tcBorders>
              <w:top w:val="single" w:sz="12" w:space="0" w:color="auto"/>
            </w:tcBorders>
          </w:tcPr>
          <w:p w14:paraId="7F027D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Полностью</w:t>
            </w:r>
          </w:p>
        </w:tc>
        <w:tc>
          <w:tcPr>
            <w:tcW w:w="3686" w:type="dxa"/>
            <w:tcBorders>
              <w:top w:val="single" w:sz="12" w:space="0" w:color="auto"/>
            </w:tcBorders>
          </w:tcPr>
          <w:p w14:paraId="1D84B7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Повреждено</w:t>
            </w:r>
          </w:p>
        </w:tc>
      </w:tr>
      <w:tr w:rsidR="009B487A" w:rsidRPr="00722885" w14:paraId="1B77F205" w14:textId="77777777" w:rsidTr="00CC5360">
        <w:tc>
          <w:tcPr>
            <w:tcW w:w="2093" w:type="dxa"/>
          </w:tcPr>
          <w:p w14:paraId="321EDD00" w14:textId="77777777" w:rsidR="00AE7191" w:rsidRPr="00722885" w:rsidRDefault="00AE7191" w:rsidP="00722885">
            <w:pPr>
              <w:pStyle w:val="Iauiue"/>
              <w:jc w:val="both"/>
              <w:rPr>
                <w:color w:val="000000" w:themeColor="text1"/>
                <w:sz w:val="16"/>
                <w:szCs w:val="16"/>
              </w:rPr>
            </w:pPr>
          </w:p>
        </w:tc>
        <w:tc>
          <w:tcPr>
            <w:tcW w:w="1012" w:type="dxa"/>
          </w:tcPr>
          <w:p w14:paraId="6511114E" w14:textId="77777777" w:rsidR="00AE7191" w:rsidRPr="00722885" w:rsidRDefault="00AE7191" w:rsidP="00722885">
            <w:pPr>
              <w:pStyle w:val="Iauiue"/>
              <w:jc w:val="both"/>
              <w:rPr>
                <w:color w:val="000000" w:themeColor="text1"/>
                <w:sz w:val="16"/>
                <w:szCs w:val="16"/>
              </w:rPr>
            </w:pPr>
          </w:p>
        </w:tc>
        <w:tc>
          <w:tcPr>
            <w:tcW w:w="1012" w:type="dxa"/>
          </w:tcPr>
          <w:p w14:paraId="5AD1C20A" w14:textId="77777777" w:rsidR="00AE7191" w:rsidRPr="00722885" w:rsidRDefault="00AE7191" w:rsidP="00722885">
            <w:pPr>
              <w:pStyle w:val="Iauiue"/>
              <w:jc w:val="both"/>
              <w:rPr>
                <w:color w:val="000000" w:themeColor="text1"/>
                <w:sz w:val="16"/>
                <w:szCs w:val="16"/>
              </w:rPr>
            </w:pPr>
          </w:p>
        </w:tc>
        <w:tc>
          <w:tcPr>
            <w:tcW w:w="1236" w:type="dxa"/>
          </w:tcPr>
          <w:p w14:paraId="3C0DD8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без вести</w:t>
            </w:r>
          </w:p>
        </w:tc>
        <w:tc>
          <w:tcPr>
            <w:tcW w:w="1559" w:type="dxa"/>
          </w:tcPr>
          <w:p w14:paraId="7A2E92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потеряно</w:t>
            </w:r>
          </w:p>
        </w:tc>
        <w:tc>
          <w:tcPr>
            <w:tcW w:w="3686" w:type="dxa"/>
          </w:tcPr>
          <w:p w14:paraId="67B164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самолетов</w:t>
            </w:r>
          </w:p>
        </w:tc>
      </w:tr>
      <w:tr w:rsidR="009B487A" w:rsidRPr="00722885" w14:paraId="44C8CFC8" w14:textId="77777777" w:rsidTr="00CC5360">
        <w:tc>
          <w:tcPr>
            <w:tcW w:w="2093" w:type="dxa"/>
          </w:tcPr>
          <w:p w14:paraId="638C5AF8" w14:textId="77777777" w:rsidR="00AE7191" w:rsidRPr="00722885" w:rsidRDefault="00AE7191" w:rsidP="00722885">
            <w:pPr>
              <w:pStyle w:val="Iauiue"/>
              <w:jc w:val="both"/>
              <w:rPr>
                <w:color w:val="000000" w:themeColor="text1"/>
                <w:sz w:val="16"/>
                <w:szCs w:val="16"/>
              </w:rPr>
            </w:pPr>
          </w:p>
        </w:tc>
        <w:tc>
          <w:tcPr>
            <w:tcW w:w="1012" w:type="dxa"/>
          </w:tcPr>
          <w:p w14:paraId="1A8ABBEE" w14:textId="77777777" w:rsidR="00AE7191" w:rsidRPr="00722885" w:rsidRDefault="00AE7191" w:rsidP="00722885">
            <w:pPr>
              <w:pStyle w:val="Iauiue"/>
              <w:jc w:val="both"/>
              <w:rPr>
                <w:color w:val="000000" w:themeColor="text1"/>
                <w:sz w:val="16"/>
                <w:szCs w:val="16"/>
              </w:rPr>
            </w:pPr>
          </w:p>
        </w:tc>
        <w:tc>
          <w:tcPr>
            <w:tcW w:w="1012" w:type="dxa"/>
          </w:tcPr>
          <w:p w14:paraId="57585926" w14:textId="77777777" w:rsidR="00AE7191" w:rsidRPr="00722885" w:rsidRDefault="00AE7191" w:rsidP="00722885">
            <w:pPr>
              <w:pStyle w:val="Iauiue"/>
              <w:jc w:val="both"/>
              <w:rPr>
                <w:color w:val="000000" w:themeColor="text1"/>
                <w:sz w:val="16"/>
                <w:szCs w:val="16"/>
              </w:rPr>
            </w:pPr>
          </w:p>
        </w:tc>
        <w:tc>
          <w:tcPr>
            <w:tcW w:w="1236" w:type="dxa"/>
          </w:tcPr>
          <w:p w14:paraId="7360EFC7" w14:textId="77777777" w:rsidR="00AE7191" w:rsidRPr="00722885" w:rsidRDefault="00AE7191" w:rsidP="00722885">
            <w:pPr>
              <w:pStyle w:val="Iauiue"/>
              <w:jc w:val="both"/>
              <w:rPr>
                <w:color w:val="000000" w:themeColor="text1"/>
                <w:sz w:val="16"/>
                <w:szCs w:val="16"/>
              </w:rPr>
            </w:pPr>
          </w:p>
        </w:tc>
        <w:tc>
          <w:tcPr>
            <w:tcW w:w="1559" w:type="dxa"/>
          </w:tcPr>
          <w:p w14:paraId="68DB91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самолетов</w:t>
            </w:r>
          </w:p>
        </w:tc>
        <w:tc>
          <w:tcPr>
            <w:tcW w:w="3686" w:type="dxa"/>
          </w:tcPr>
          <w:p w14:paraId="4A694D57" w14:textId="77777777" w:rsidR="00AE7191" w:rsidRPr="00722885" w:rsidRDefault="00AE7191" w:rsidP="00722885">
            <w:pPr>
              <w:pStyle w:val="Iauiue"/>
              <w:jc w:val="both"/>
              <w:rPr>
                <w:color w:val="000000" w:themeColor="text1"/>
                <w:sz w:val="16"/>
                <w:szCs w:val="16"/>
              </w:rPr>
            </w:pPr>
          </w:p>
        </w:tc>
      </w:tr>
      <w:tr w:rsidR="009B487A" w:rsidRPr="00722885" w14:paraId="44A51C89" w14:textId="77777777" w:rsidTr="00CC5360">
        <w:tc>
          <w:tcPr>
            <w:tcW w:w="2093" w:type="dxa"/>
          </w:tcPr>
          <w:p w14:paraId="66D808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Советско-германский</w:t>
            </w:r>
          </w:p>
        </w:tc>
        <w:tc>
          <w:tcPr>
            <w:tcW w:w="1012" w:type="dxa"/>
          </w:tcPr>
          <w:p w14:paraId="08DBE4DD" w14:textId="77777777" w:rsidR="00AE7191" w:rsidRPr="00722885" w:rsidRDefault="00AE7191" w:rsidP="00722885">
            <w:pPr>
              <w:pStyle w:val="Iauiue"/>
              <w:jc w:val="both"/>
              <w:rPr>
                <w:color w:val="000000" w:themeColor="text1"/>
                <w:sz w:val="16"/>
                <w:szCs w:val="16"/>
              </w:rPr>
            </w:pPr>
          </w:p>
        </w:tc>
        <w:tc>
          <w:tcPr>
            <w:tcW w:w="1012" w:type="dxa"/>
          </w:tcPr>
          <w:p w14:paraId="76E7A78E" w14:textId="77777777" w:rsidR="00AE7191" w:rsidRPr="00722885" w:rsidRDefault="00AE7191" w:rsidP="00722885">
            <w:pPr>
              <w:pStyle w:val="Iauiue"/>
              <w:jc w:val="both"/>
              <w:rPr>
                <w:color w:val="000000" w:themeColor="text1"/>
                <w:sz w:val="16"/>
                <w:szCs w:val="16"/>
              </w:rPr>
            </w:pPr>
          </w:p>
        </w:tc>
        <w:tc>
          <w:tcPr>
            <w:tcW w:w="1236" w:type="dxa"/>
          </w:tcPr>
          <w:p w14:paraId="3013F869" w14:textId="77777777" w:rsidR="00AE7191" w:rsidRPr="00722885" w:rsidRDefault="00AE7191" w:rsidP="00722885">
            <w:pPr>
              <w:pStyle w:val="Iauiue"/>
              <w:jc w:val="both"/>
              <w:rPr>
                <w:color w:val="000000" w:themeColor="text1"/>
                <w:sz w:val="16"/>
                <w:szCs w:val="16"/>
              </w:rPr>
            </w:pPr>
          </w:p>
        </w:tc>
        <w:tc>
          <w:tcPr>
            <w:tcW w:w="1559" w:type="dxa"/>
          </w:tcPr>
          <w:p w14:paraId="092D9782" w14:textId="77777777" w:rsidR="00AE7191" w:rsidRPr="00722885" w:rsidRDefault="00AE7191" w:rsidP="00722885">
            <w:pPr>
              <w:pStyle w:val="Iauiue"/>
              <w:jc w:val="both"/>
              <w:rPr>
                <w:color w:val="000000" w:themeColor="text1"/>
                <w:sz w:val="16"/>
                <w:szCs w:val="16"/>
              </w:rPr>
            </w:pPr>
          </w:p>
        </w:tc>
        <w:tc>
          <w:tcPr>
            <w:tcW w:w="3686" w:type="dxa"/>
          </w:tcPr>
          <w:p w14:paraId="351A1504" w14:textId="77777777" w:rsidR="00AE7191" w:rsidRPr="00722885" w:rsidRDefault="00AE7191" w:rsidP="00722885">
            <w:pPr>
              <w:pStyle w:val="Iauiue"/>
              <w:jc w:val="both"/>
              <w:rPr>
                <w:color w:val="000000" w:themeColor="text1"/>
                <w:sz w:val="16"/>
                <w:szCs w:val="16"/>
              </w:rPr>
            </w:pPr>
          </w:p>
        </w:tc>
      </w:tr>
      <w:tr w:rsidR="009B487A" w:rsidRPr="00722885" w14:paraId="55FA4A19" w14:textId="77777777" w:rsidTr="00CC5360">
        <w:tc>
          <w:tcPr>
            <w:tcW w:w="2093" w:type="dxa"/>
          </w:tcPr>
          <w:p w14:paraId="0D4484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фронт</w:t>
            </w:r>
          </w:p>
        </w:tc>
        <w:tc>
          <w:tcPr>
            <w:tcW w:w="1012" w:type="dxa"/>
          </w:tcPr>
          <w:p w14:paraId="18A35A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842</w:t>
            </w:r>
          </w:p>
        </w:tc>
        <w:tc>
          <w:tcPr>
            <w:tcW w:w="1012" w:type="dxa"/>
          </w:tcPr>
          <w:p w14:paraId="4DDCAF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1168</w:t>
            </w:r>
          </w:p>
        </w:tc>
        <w:tc>
          <w:tcPr>
            <w:tcW w:w="1236" w:type="dxa"/>
          </w:tcPr>
          <w:p w14:paraId="264097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2196</w:t>
            </w:r>
          </w:p>
        </w:tc>
        <w:tc>
          <w:tcPr>
            <w:tcW w:w="1559" w:type="dxa"/>
          </w:tcPr>
          <w:p w14:paraId="170192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2087</w:t>
            </w:r>
          </w:p>
        </w:tc>
        <w:tc>
          <w:tcPr>
            <w:tcW w:w="3686" w:type="dxa"/>
          </w:tcPr>
          <w:p w14:paraId="325084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1624</w:t>
            </w:r>
          </w:p>
        </w:tc>
      </w:tr>
      <w:tr w:rsidR="009B487A" w:rsidRPr="00722885" w14:paraId="5F9C6F4A" w14:textId="77777777" w:rsidTr="00CC5360">
        <w:tc>
          <w:tcPr>
            <w:tcW w:w="2093" w:type="dxa"/>
          </w:tcPr>
          <w:p w14:paraId="7DF98D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Западный фронт</w:t>
            </w:r>
          </w:p>
        </w:tc>
        <w:tc>
          <w:tcPr>
            <w:tcW w:w="1012" w:type="dxa"/>
          </w:tcPr>
          <w:p w14:paraId="69B0A1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494</w:t>
            </w:r>
          </w:p>
        </w:tc>
        <w:tc>
          <w:tcPr>
            <w:tcW w:w="1012" w:type="dxa"/>
          </w:tcPr>
          <w:p w14:paraId="38340D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265</w:t>
            </w:r>
          </w:p>
        </w:tc>
        <w:tc>
          <w:tcPr>
            <w:tcW w:w="1236" w:type="dxa"/>
          </w:tcPr>
          <w:p w14:paraId="3FEE141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901</w:t>
            </w:r>
          </w:p>
        </w:tc>
        <w:tc>
          <w:tcPr>
            <w:tcW w:w="1559" w:type="dxa"/>
          </w:tcPr>
          <w:p w14:paraId="2B8592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979</w:t>
            </w:r>
          </w:p>
        </w:tc>
        <w:tc>
          <w:tcPr>
            <w:tcW w:w="3686" w:type="dxa"/>
          </w:tcPr>
          <w:p w14:paraId="3E445C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411</w:t>
            </w:r>
          </w:p>
        </w:tc>
      </w:tr>
      <w:tr w:rsidR="009B487A" w:rsidRPr="00722885" w14:paraId="59EC3173" w14:textId="77777777" w:rsidTr="00CC5360">
        <w:tc>
          <w:tcPr>
            <w:tcW w:w="2093" w:type="dxa"/>
          </w:tcPr>
          <w:p w14:paraId="0F6641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Северная Африка</w:t>
            </w:r>
          </w:p>
        </w:tc>
        <w:tc>
          <w:tcPr>
            <w:tcW w:w="1012" w:type="dxa"/>
          </w:tcPr>
          <w:p w14:paraId="60F9051C" w14:textId="77777777" w:rsidR="00AE7191" w:rsidRPr="00722885" w:rsidRDefault="00AE7191" w:rsidP="00722885">
            <w:pPr>
              <w:pStyle w:val="Iauiue"/>
              <w:jc w:val="both"/>
              <w:rPr>
                <w:color w:val="000000" w:themeColor="text1"/>
                <w:sz w:val="16"/>
                <w:szCs w:val="16"/>
              </w:rPr>
            </w:pPr>
          </w:p>
        </w:tc>
        <w:tc>
          <w:tcPr>
            <w:tcW w:w="1012" w:type="dxa"/>
          </w:tcPr>
          <w:p w14:paraId="4C45F6DC" w14:textId="77777777" w:rsidR="00AE7191" w:rsidRPr="00722885" w:rsidRDefault="00AE7191" w:rsidP="00722885">
            <w:pPr>
              <w:pStyle w:val="Iauiue"/>
              <w:jc w:val="both"/>
              <w:rPr>
                <w:color w:val="000000" w:themeColor="text1"/>
                <w:sz w:val="16"/>
                <w:szCs w:val="16"/>
              </w:rPr>
            </w:pPr>
          </w:p>
        </w:tc>
        <w:tc>
          <w:tcPr>
            <w:tcW w:w="1236" w:type="dxa"/>
          </w:tcPr>
          <w:p w14:paraId="331C4125" w14:textId="77777777" w:rsidR="00AE7191" w:rsidRPr="00722885" w:rsidRDefault="00AE7191" w:rsidP="00722885">
            <w:pPr>
              <w:pStyle w:val="Iauiue"/>
              <w:jc w:val="both"/>
              <w:rPr>
                <w:color w:val="000000" w:themeColor="text1"/>
                <w:sz w:val="16"/>
                <w:szCs w:val="16"/>
              </w:rPr>
            </w:pPr>
          </w:p>
        </w:tc>
        <w:tc>
          <w:tcPr>
            <w:tcW w:w="1559" w:type="dxa"/>
          </w:tcPr>
          <w:p w14:paraId="5DFBFF82" w14:textId="77777777" w:rsidR="00AE7191" w:rsidRPr="00722885" w:rsidRDefault="00AE7191" w:rsidP="00722885">
            <w:pPr>
              <w:pStyle w:val="Iauiue"/>
              <w:jc w:val="both"/>
              <w:rPr>
                <w:color w:val="000000" w:themeColor="text1"/>
                <w:sz w:val="16"/>
                <w:szCs w:val="16"/>
              </w:rPr>
            </w:pPr>
          </w:p>
        </w:tc>
        <w:tc>
          <w:tcPr>
            <w:tcW w:w="3686" w:type="dxa"/>
          </w:tcPr>
          <w:p w14:paraId="2785FA9D" w14:textId="77777777" w:rsidR="00AE7191" w:rsidRPr="00722885" w:rsidRDefault="00AE7191" w:rsidP="00722885">
            <w:pPr>
              <w:pStyle w:val="Iauiue"/>
              <w:jc w:val="both"/>
              <w:rPr>
                <w:color w:val="000000" w:themeColor="text1"/>
                <w:sz w:val="16"/>
                <w:szCs w:val="16"/>
              </w:rPr>
            </w:pPr>
          </w:p>
        </w:tc>
      </w:tr>
      <w:tr w:rsidR="009B487A" w:rsidRPr="00722885" w14:paraId="5F25F471" w14:textId="77777777" w:rsidTr="00CC5360">
        <w:tc>
          <w:tcPr>
            <w:tcW w:w="2093" w:type="dxa"/>
          </w:tcPr>
          <w:p w14:paraId="5531EF8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 Средиземномор</w:t>
            </w:r>
          </w:p>
        </w:tc>
        <w:tc>
          <w:tcPr>
            <w:tcW w:w="1012" w:type="dxa"/>
          </w:tcPr>
          <w:p w14:paraId="77BE02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320</w:t>
            </w:r>
          </w:p>
        </w:tc>
        <w:tc>
          <w:tcPr>
            <w:tcW w:w="1012" w:type="dxa"/>
          </w:tcPr>
          <w:p w14:paraId="4F7F46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257</w:t>
            </w:r>
          </w:p>
        </w:tc>
        <w:tc>
          <w:tcPr>
            <w:tcW w:w="1236" w:type="dxa"/>
          </w:tcPr>
          <w:p w14:paraId="60B1FB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920</w:t>
            </w:r>
          </w:p>
        </w:tc>
        <w:tc>
          <w:tcPr>
            <w:tcW w:w="1559" w:type="dxa"/>
          </w:tcPr>
          <w:p w14:paraId="270F77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775</w:t>
            </w:r>
          </w:p>
        </w:tc>
        <w:tc>
          <w:tcPr>
            <w:tcW w:w="3686" w:type="dxa"/>
          </w:tcPr>
          <w:p w14:paraId="175627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280</w:t>
            </w:r>
          </w:p>
        </w:tc>
      </w:tr>
      <w:tr w:rsidR="009B487A" w:rsidRPr="00722885" w14:paraId="7C06ABB0" w14:textId="77777777" w:rsidTr="00CC5360">
        <w:tc>
          <w:tcPr>
            <w:tcW w:w="2093" w:type="dxa"/>
          </w:tcPr>
          <w:p w14:paraId="4E1F8C8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Общие потери</w:t>
            </w:r>
          </w:p>
        </w:tc>
        <w:tc>
          <w:tcPr>
            <w:tcW w:w="1012" w:type="dxa"/>
          </w:tcPr>
          <w:p w14:paraId="2B5E41ED" w14:textId="77777777" w:rsidR="00AE7191" w:rsidRPr="00722885" w:rsidRDefault="00AE7191" w:rsidP="00722885">
            <w:pPr>
              <w:pStyle w:val="Iauiue"/>
              <w:jc w:val="both"/>
              <w:rPr>
                <w:color w:val="000000" w:themeColor="text1"/>
                <w:sz w:val="16"/>
                <w:szCs w:val="16"/>
              </w:rPr>
            </w:pPr>
          </w:p>
        </w:tc>
        <w:tc>
          <w:tcPr>
            <w:tcW w:w="1012" w:type="dxa"/>
          </w:tcPr>
          <w:p w14:paraId="5A13EDBF" w14:textId="77777777" w:rsidR="00AE7191" w:rsidRPr="00722885" w:rsidRDefault="00AE7191" w:rsidP="00722885">
            <w:pPr>
              <w:pStyle w:val="Iauiue"/>
              <w:jc w:val="both"/>
              <w:rPr>
                <w:color w:val="000000" w:themeColor="text1"/>
                <w:sz w:val="16"/>
                <w:szCs w:val="16"/>
              </w:rPr>
            </w:pPr>
          </w:p>
        </w:tc>
        <w:tc>
          <w:tcPr>
            <w:tcW w:w="1236" w:type="dxa"/>
          </w:tcPr>
          <w:p w14:paraId="4994B19F" w14:textId="77777777" w:rsidR="00AE7191" w:rsidRPr="00722885" w:rsidRDefault="00AE7191" w:rsidP="00722885">
            <w:pPr>
              <w:pStyle w:val="Iauiue"/>
              <w:jc w:val="both"/>
              <w:rPr>
                <w:color w:val="000000" w:themeColor="text1"/>
                <w:sz w:val="16"/>
                <w:szCs w:val="16"/>
              </w:rPr>
            </w:pPr>
          </w:p>
        </w:tc>
        <w:tc>
          <w:tcPr>
            <w:tcW w:w="1559" w:type="dxa"/>
          </w:tcPr>
          <w:p w14:paraId="686EF68D" w14:textId="77777777" w:rsidR="00AE7191" w:rsidRPr="00722885" w:rsidRDefault="00AE7191" w:rsidP="00722885">
            <w:pPr>
              <w:pStyle w:val="Iauiue"/>
              <w:jc w:val="both"/>
              <w:rPr>
                <w:color w:val="000000" w:themeColor="text1"/>
                <w:sz w:val="16"/>
                <w:szCs w:val="16"/>
              </w:rPr>
            </w:pPr>
          </w:p>
        </w:tc>
        <w:tc>
          <w:tcPr>
            <w:tcW w:w="3686" w:type="dxa"/>
          </w:tcPr>
          <w:p w14:paraId="03F57E9B" w14:textId="77777777" w:rsidR="00AE7191" w:rsidRPr="00722885" w:rsidRDefault="00AE7191" w:rsidP="00722885">
            <w:pPr>
              <w:pStyle w:val="Iauiue"/>
              <w:jc w:val="both"/>
              <w:rPr>
                <w:color w:val="000000" w:themeColor="text1"/>
                <w:sz w:val="16"/>
                <w:szCs w:val="16"/>
              </w:rPr>
            </w:pPr>
          </w:p>
        </w:tc>
      </w:tr>
      <w:tr w:rsidR="009B487A" w:rsidRPr="00722885" w14:paraId="13A78604" w14:textId="77777777" w:rsidTr="00CC5360">
        <w:tc>
          <w:tcPr>
            <w:tcW w:w="2093" w:type="dxa"/>
          </w:tcPr>
          <w:p w14:paraId="26F585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фронтах:</w:t>
            </w:r>
          </w:p>
        </w:tc>
        <w:tc>
          <w:tcPr>
            <w:tcW w:w="1012" w:type="dxa"/>
          </w:tcPr>
          <w:p w14:paraId="34156E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1656</w:t>
            </w:r>
          </w:p>
        </w:tc>
        <w:tc>
          <w:tcPr>
            <w:tcW w:w="1012" w:type="dxa"/>
          </w:tcPr>
          <w:p w14:paraId="3542B0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1690</w:t>
            </w:r>
          </w:p>
        </w:tc>
        <w:tc>
          <w:tcPr>
            <w:tcW w:w="1236" w:type="dxa"/>
          </w:tcPr>
          <w:p w14:paraId="5A74ECB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4017</w:t>
            </w:r>
          </w:p>
        </w:tc>
        <w:tc>
          <w:tcPr>
            <w:tcW w:w="1559" w:type="dxa"/>
          </w:tcPr>
          <w:p w14:paraId="52AA68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3541</w:t>
            </w:r>
          </w:p>
        </w:tc>
        <w:tc>
          <w:tcPr>
            <w:tcW w:w="3686" w:type="dxa"/>
          </w:tcPr>
          <w:p w14:paraId="6E7B84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2315</w:t>
            </w:r>
          </w:p>
        </w:tc>
      </w:tr>
      <w:tr w:rsidR="009B487A" w:rsidRPr="00722885" w14:paraId="41F73C29" w14:textId="77777777" w:rsidTr="00CC5360">
        <w:tc>
          <w:tcPr>
            <w:tcW w:w="2093" w:type="dxa"/>
          </w:tcPr>
          <w:p w14:paraId="1CCCFC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ПВО Германии</w:t>
            </w:r>
          </w:p>
        </w:tc>
        <w:tc>
          <w:tcPr>
            <w:tcW w:w="1012" w:type="dxa"/>
          </w:tcPr>
          <w:p w14:paraId="7EF14C0F" w14:textId="77777777" w:rsidR="00AE7191" w:rsidRPr="00722885" w:rsidRDefault="00AE7191" w:rsidP="00722885">
            <w:pPr>
              <w:pStyle w:val="Iauiue"/>
              <w:jc w:val="both"/>
              <w:rPr>
                <w:color w:val="000000" w:themeColor="text1"/>
                <w:sz w:val="16"/>
                <w:szCs w:val="16"/>
              </w:rPr>
            </w:pPr>
          </w:p>
        </w:tc>
        <w:tc>
          <w:tcPr>
            <w:tcW w:w="1012" w:type="dxa"/>
          </w:tcPr>
          <w:p w14:paraId="09FFE5FF" w14:textId="77777777" w:rsidR="00AE7191" w:rsidRPr="00722885" w:rsidRDefault="00AE7191" w:rsidP="00722885">
            <w:pPr>
              <w:pStyle w:val="Iauiue"/>
              <w:jc w:val="both"/>
              <w:rPr>
                <w:color w:val="000000" w:themeColor="text1"/>
                <w:sz w:val="16"/>
                <w:szCs w:val="16"/>
              </w:rPr>
            </w:pPr>
          </w:p>
        </w:tc>
        <w:tc>
          <w:tcPr>
            <w:tcW w:w="1236" w:type="dxa"/>
          </w:tcPr>
          <w:p w14:paraId="39271592" w14:textId="77777777" w:rsidR="00AE7191" w:rsidRPr="00722885" w:rsidRDefault="00AE7191" w:rsidP="00722885">
            <w:pPr>
              <w:pStyle w:val="Iauiue"/>
              <w:jc w:val="both"/>
              <w:rPr>
                <w:color w:val="000000" w:themeColor="text1"/>
                <w:sz w:val="16"/>
                <w:szCs w:val="16"/>
              </w:rPr>
            </w:pPr>
          </w:p>
        </w:tc>
        <w:tc>
          <w:tcPr>
            <w:tcW w:w="1559" w:type="dxa"/>
          </w:tcPr>
          <w:p w14:paraId="2B7342C7" w14:textId="77777777" w:rsidR="00AE7191" w:rsidRPr="00722885" w:rsidRDefault="00AE7191" w:rsidP="00722885">
            <w:pPr>
              <w:pStyle w:val="Iauiue"/>
              <w:jc w:val="both"/>
              <w:rPr>
                <w:color w:val="000000" w:themeColor="text1"/>
                <w:sz w:val="16"/>
                <w:szCs w:val="16"/>
              </w:rPr>
            </w:pPr>
          </w:p>
        </w:tc>
        <w:tc>
          <w:tcPr>
            <w:tcW w:w="3686" w:type="dxa"/>
          </w:tcPr>
          <w:p w14:paraId="7FD5A3BB" w14:textId="77777777" w:rsidR="00AE7191" w:rsidRPr="00722885" w:rsidRDefault="00AE7191" w:rsidP="00722885">
            <w:pPr>
              <w:pStyle w:val="Iauiue"/>
              <w:jc w:val="both"/>
              <w:rPr>
                <w:color w:val="000000" w:themeColor="text1"/>
                <w:sz w:val="16"/>
                <w:szCs w:val="16"/>
              </w:rPr>
            </w:pPr>
          </w:p>
        </w:tc>
      </w:tr>
      <w:tr w:rsidR="009B487A" w:rsidRPr="00722885" w14:paraId="63ACF2B2" w14:textId="77777777" w:rsidTr="00CC5360">
        <w:tc>
          <w:tcPr>
            <w:tcW w:w="2093" w:type="dxa"/>
          </w:tcPr>
          <w:p w14:paraId="44CBDB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 потери в Герман</w:t>
            </w:r>
          </w:p>
        </w:tc>
        <w:tc>
          <w:tcPr>
            <w:tcW w:w="1012" w:type="dxa"/>
          </w:tcPr>
          <w:p w14:paraId="5BA5C3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899</w:t>
            </w:r>
          </w:p>
        </w:tc>
        <w:tc>
          <w:tcPr>
            <w:tcW w:w="1012" w:type="dxa"/>
          </w:tcPr>
          <w:p w14:paraId="014A86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553</w:t>
            </w:r>
          </w:p>
        </w:tc>
        <w:tc>
          <w:tcPr>
            <w:tcW w:w="1236" w:type="dxa"/>
          </w:tcPr>
          <w:p w14:paraId="2313FD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55</w:t>
            </w:r>
          </w:p>
        </w:tc>
        <w:tc>
          <w:tcPr>
            <w:tcW w:w="1559" w:type="dxa"/>
          </w:tcPr>
          <w:p w14:paraId="50FF8B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1020</w:t>
            </w:r>
          </w:p>
        </w:tc>
        <w:tc>
          <w:tcPr>
            <w:tcW w:w="3686" w:type="dxa"/>
          </w:tcPr>
          <w:p w14:paraId="76923FF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1425</w:t>
            </w:r>
          </w:p>
        </w:tc>
      </w:tr>
      <w:tr w:rsidR="009B487A" w:rsidRPr="00722885" w14:paraId="134E6F76" w14:textId="77777777" w:rsidTr="00CC5360">
        <w:tc>
          <w:tcPr>
            <w:tcW w:w="2093" w:type="dxa"/>
            <w:tcBorders>
              <w:bottom w:val="single" w:sz="12" w:space="0" w:color="auto"/>
            </w:tcBorders>
          </w:tcPr>
          <w:p w14:paraId="7CE77C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Всего потеряно:</w:t>
            </w:r>
          </w:p>
        </w:tc>
        <w:tc>
          <w:tcPr>
            <w:tcW w:w="1012" w:type="dxa"/>
            <w:tcBorders>
              <w:bottom w:val="single" w:sz="12" w:space="0" w:color="auto"/>
            </w:tcBorders>
          </w:tcPr>
          <w:p w14:paraId="579442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2553</w:t>
            </w:r>
          </w:p>
        </w:tc>
        <w:tc>
          <w:tcPr>
            <w:tcW w:w="1012" w:type="dxa"/>
            <w:tcBorders>
              <w:bottom w:val="single" w:sz="12" w:space="0" w:color="auto"/>
            </w:tcBorders>
          </w:tcPr>
          <w:p w14:paraId="6DC2A6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2243</w:t>
            </w:r>
          </w:p>
        </w:tc>
        <w:tc>
          <w:tcPr>
            <w:tcW w:w="1236" w:type="dxa"/>
            <w:tcBorders>
              <w:bottom w:val="single" w:sz="12" w:space="0" w:color="auto"/>
            </w:tcBorders>
          </w:tcPr>
          <w:p w14:paraId="5F70D5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4072</w:t>
            </w:r>
          </w:p>
        </w:tc>
        <w:tc>
          <w:tcPr>
            <w:tcW w:w="1559" w:type="dxa"/>
            <w:tcBorders>
              <w:bottom w:val="single" w:sz="12" w:space="0" w:color="auto"/>
            </w:tcBorders>
          </w:tcPr>
          <w:p w14:paraId="06BB20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4561</w:t>
            </w:r>
          </w:p>
        </w:tc>
        <w:tc>
          <w:tcPr>
            <w:tcW w:w="3686" w:type="dxa"/>
            <w:tcBorders>
              <w:bottom w:val="single" w:sz="12" w:space="0" w:color="auto"/>
            </w:tcBorders>
          </w:tcPr>
          <w:p w14:paraId="53DAFDF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3740</w:t>
            </w:r>
          </w:p>
        </w:tc>
      </w:tr>
    </w:tbl>
    <w:p w14:paraId="4316BD3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Данные подготовлены для доклада Гитлеру 7 сентября 1942 г (3573).</w:t>
      </w:r>
    </w:p>
    <w:p w14:paraId="5A65950F" w14:textId="77777777" w:rsidR="00AE7191" w:rsidRPr="00722885" w:rsidRDefault="00AE7191" w:rsidP="00722885">
      <w:pPr>
        <w:pStyle w:val="Iauiue"/>
        <w:jc w:val="both"/>
        <w:rPr>
          <w:color w:val="000000" w:themeColor="text1"/>
          <w:sz w:val="16"/>
          <w:szCs w:val="16"/>
        </w:rPr>
      </w:pPr>
    </w:p>
    <w:p w14:paraId="0614557E" w14:textId="77777777" w:rsidR="004C228B" w:rsidRPr="00722885" w:rsidRDefault="004C228B"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55206B9C" w14:textId="77777777" w:rsidR="004C228B" w:rsidRPr="00722885" w:rsidRDefault="004C228B" w:rsidP="00722885">
      <w:pPr>
        <w:pStyle w:val="Iauiue"/>
        <w:jc w:val="both"/>
        <w:rPr>
          <w:iCs/>
          <w:color w:val="000000" w:themeColor="text1"/>
          <w:sz w:val="16"/>
          <w:szCs w:val="16"/>
        </w:rPr>
      </w:pPr>
    </w:p>
    <w:p w14:paraId="57CD1949" w14:textId="77777777" w:rsidR="004C228B" w:rsidRPr="00722885" w:rsidRDefault="004C228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августа 1942. На экраны кинотеатров вышел фильм "Парень из нашего города" по одноименной пьесе К. Симонова. Режиссеры А. Столпер и Б. Иванов. В главных ролях: Н. Крючков, Н. Боголюбов, Н. Мордвинов, Л. Смирнова, В. Канделаки (18696).</w:t>
      </w:r>
    </w:p>
    <w:p w14:paraId="724FE8A6" w14:textId="77777777" w:rsidR="004C228B" w:rsidRPr="00722885" w:rsidRDefault="004C228B" w:rsidP="00722885">
      <w:pPr>
        <w:spacing w:after="0" w:line="240" w:lineRule="auto"/>
        <w:jc w:val="both"/>
        <w:rPr>
          <w:rFonts w:ascii="Times New Roman" w:hAnsi="Times New Roman"/>
          <w:color w:val="000000" w:themeColor="text1"/>
          <w:sz w:val="16"/>
          <w:szCs w:val="16"/>
        </w:rPr>
      </w:pPr>
    </w:p>
    <w:p w14:paraId="7E9D0E0E"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A3122B3" w14:textId="77777777" w:rsidR="00AE7191" w:rsidRPr="00722885" w:rsidRDefault="00AE7191" w:rsidP="00722885">
      <w:pPr>
        <w:pStyle w:val="Iauiue"/>
        <w:jc w:val="both"/>
        <w:rPr>
          <w:iCs/>
          <w:color w:val="000000" w:themeColor="text1"/>
          <w:sz w:val="16"/>
          <w:szCs w:val="16"/>
        </w:rPr>
      </w:pPr>
    </w:p>
    <w:p w14:paraId="7A0D115A"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31 августа 1942 года</w:t>
      </w:r>
      <w:r w:rsidRPr="00722885">
        <w:rPr>
          <w:rFonts w:ascii="Times New Roman" w:hAnsi="Times New Roman"/>
          <w:color w:val="000000" w:themeColor="text1"/>
          <w:sz w:val="16"/>
          <w:szCs w:val="16"/>
        </w:rPr>
        <w:t xml:space="preserve"> Состоялся первый полет английского истребителя MB.3. MB.3 - истребитель, разработанный английской фирмой Martin-Baker Aircraft Company Limited. Когда понадобилась замена самолетам Hawker Hurricane и Supermarine Spitfire и появилась спецификация F.18/39, содержавшая требуемые характеристики нового одноместного истребителя, компания Martin-Baker предложила еще более мощный самолет М.В.3. Это был свободнонесущий низкоплан с хорошими пропорциями и с двигателем Napier Sabre II мощностью 2020 л. с. Во время испытаний он развил максимальную скорость 668 км/час на оптимальной высоте полета. Этот самолет, вооруженный шестью 20-мм пушками, явно имел большой потенциал, но после катастрофы 12 сентября 1942г. им больше не занимались. Обозначение М.В.4 было предназначено для нового истребителя, но он так и остался только проектом, который должен был объединить планер самолета М.В.3 с мотором Rolls-Royce Griffon (14755).</w:t>
      </w:r>
    </w:p>
    <w:p w14:paraId="625FB237" w14:textId="77777777" w:rsidR="00BD5EB5" w:rsidRPr="00722885" w:rsidRDefault="00BD5EB5" w:rsidP="00722885">
      <w:pPr>
        <w:spacing w:after="0" w:line="240" w:lineRule="auto"/>
        <w:jc w:val="both"/>
        <w:rPr>
          <w:rFonts w:ascii="Times New Roman" w:hAnsi="Times New Roman"/>
          <w:color w:val="000000" w:themeColor="text1"/>
          <w:sz w:val="16"/>
          <w:szCs w:val="16"/>
        </w:rPr>
      </w:pPr>
    </w:p>
    <w:p w14:paraId="696F5895" w14:textId="77777777" w:rsidR="00182A0D" w:rsidRPr="00722885" w:rsidRDefault="00182A0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31 августа 1942 года состоялся первый полет Martin-Baker MB 3 (20793).</w:t>
      </w:r>
    </w:p>
    <w:p w14:paraId="6FA636E6" w14:textId="77777777" w:rsidR="00182A0D" w:rsidRPr="00722885" w:rsidRDefault="00182A0D" w:rsidP="00722885">
      <w:pPr>
        <w:spacing w:after="0" w:line="240" w:lineRule="auto"/>
        <w:jc w:val="both"/>
        <w:rPr>
          <w:rFonts w:ascii="Times New Roman" w:hAnsi="Times New Roman"/>
          <w:color w:val="0070C0"/>
          <w:sz w:val="16"/>
          <w:szCs w:val="16"/>
        </w:rPr>
      </w:pPr>
    </w:p>
    <w:p w14:paraId="6EE64C74" w14:textId="77777777" w:rsidR="00182A0D" w:rsidRPr="00722885" w:rsidRDefault="00182A0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31 августа с 1 июня 1942 бомбардировочное командование Королевских ВВС совершило 11 169 самолето-вылетов и потеряло 531 самолет, из которых немецкие ночные истребители сбили 349, в среднем 116 сбитых в месяц (20793).</w:t>
      </w:r>
    </w:p>
    <w:p w14:paraId="140FE060" w14:textId="77777777" w:rsidR="00182A0D" w:rsidRPr="00722885" w:rsidRDefault="00182A0D" w:rsidP="00722885">
      <w:pPr>
        <w:spacing w:after="0" w:line="240" w:lineRule="auto"/>
        <w:jc w:val="both"/>
        <w:rPr>
          <w:rFonts w:ascii="Times New Roman" w:hAnsi="Times New Roman"/>
          <w:color w:val="0070C0"/>
          <w:sz w:val="16"/>
          <w:szCs w:val="16"/>
        </w:rPr>
      </w:pPr>
    </w:p>
    <w:p w14:paraId="0C44C006"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31 августа </w:t>
      </w:r>
      <w:r w:rsidRPr="00722885">
        <w:rPr>
          <w:rFonts w:ascii="Times New Roman" w:hAnsi="Times New Roman"/>
          <w:color w:val="000000" w:themeColor="text1"/>
          <w:sz w:val="16"/>
          <w:szCs w:val="16"/>
        </w:rPr>
        <w:t>в 1942 году в Люксембурге состоялась всеобщая стачка в знак протеста против решения германского правительства присоединить Люксембург к Германии и введения воинской повинности (14755).</w:t>
      </w:r>
    </w:p>
    <w:p w14:paraId="44876A11" w14:textId="77777777" w:rsidR="00BD5EB5" w:rsidRPr="00722885" w:rsidRDefault="00BD5EB5" w:rsidP="00722885">
      <w:pPr>
        <w:spacing w:after="0" w:line="240" w:lineRule="auto"/>
        <w:jc w:val="both"/>
        <w:rPr>
          <w:rFonts w:ascii="Times New Roman" w:hAnsi="Times New Roman"/>
          <w:color w:val="000000" w:themeColor="text1"/>
          <w:sz w:val="16"/>
          <w:szCs w:val="16"/>
        </w:rPr>
      </w:pPr>
    </w:p>
    <w:p w14:paraId="19FCD76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31 августа 1942 при аресте коммунистов в Брюсселе фашистами обнаружены документы, выведшие на подпольную организацию “Красная капелла” (4962).</w:t>
      </w:r>
    </w:p>
    <w:p w14:paraId="13DF8FD7" w14:textId="77777777" w:rsidR="00AE7191" w:rsidRPr="00722885" w:rsidRDefault="00AE7191" w:rsidP="00722885">
      <w:pPr>
        <w:pStyle w:val="Iauiue"/>
        <w:tabs>
          <w:tab w:val="left" w:pos="11199"/>
        </w:tabs>
        <w:jc w:val="both"/>
        <w:rPr>
          <w:color w:val="000000" w:themeColor="text1"/>
          <w:sz w:val="16"/>
          <w:szCs w:val="16"/>
        </w:rPr>
      </w:pPr>
    </w:p>
    <w:p w14:paraId="029DD8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31 августа 1942 при раскрытии коммунистической группы в Брюсселе служба безопасности обнаружила документы, которые позволили ей выйти на след советской разведовательной организации Красная Капелла, действовавшей в Германии (3186).</w:t>
      </w:r>
    </w:p>
    <w:p w14:paraId="7C7F56A9" w14:textId="77777777" w:rsidR="00AE7191" w:rsidRPr="00722885" w:rsidRDefault="00AE7191" w:rsidP="00722885">
      <w:pPr>
        <w:pStyle w:val="Iauiue"/>
        <w:jc w:val="both"/>
        <w:rPr>
          <w:color w:val="000000" w:themeColor="text1"/>
          <w:sz w:val="16"/>
          <w:szCs w:val="16"/>
        </w:rPr>
      </w:pPr>
    </w:p>
    <w:p w14:paraId="3C2C920D" w14:textId="77777777" w:rsidR="00BD5EB5" w:rsidRPr="00722885" w:rsidRDefault="00BD5EB5" w:rsidP="00722885">
      <w:pPr>
        <w:pStyle w:val="Iauiue"/>
        <w:jc w:val="both"/>
        <w:rPr>
          <w:color w:val="000000" w:themeColor="text1"/>
          <w:sz w:val="16"/>
          <w:szCs w:val="16"/>
          <w:lang w:val="en-US"/>
        </w:rPr>
      </w:pPr>
      <w:r w:rsidRPr="00722885">
        <w:rPr>
          <w:color w:val="000000" w:themeColor="text1"/>
          <w:sz w:val="16"/>
          <w:szCs w:val="16"/>
          <w:lang w:val="en-US"/>
        </w:rPr>
        <w:t>August 31 1942 Axis forces attack El Alamein position (Battle of Alam el Halfa).</w:t>
      </w:r>
    </w:p>
    <w:p w14:paraId="14EBC27C" w14:textId="77777777" w:rsidR="00BD5EB5" w:rsidRPr="00722885" w:rsidRDefault="00BD5EB5" w:rsidP="00722885">
      <w:pPr>
        <w:pStyle w:val="Iauiue"/>
        <w:jc w:val="both"/>
        <w:rPr>
          <w:color w:val="000000" w:themeColor="text1"/>
          <w:sz w:val="16"/>
          <w:szCs w:val="16"/>
          <w:lang w:val="en-US"/>
        </w:rPr>
      </w:pPr>
    </w:p>
    <w:p w14:paraId="3390C6A5" w14:textId="77777777" w:rsidR="00BD5EB5" w:rsidRPr="00722885" w:rsidRDefault="00BD5EB5" w:rsidP="00722885">
      <w:pPr>
        <w:pStyle w:val="Iauiue"/>
        <w:jc w:val="both"/>
        <w:rPr>
          <w:color w:val="000000" w:themeColor="text1"/>
          <w:sz w:val="16"/>
          <w:szCs w:val="16"/>
        </w:rPr>
      </w:pPr>
      <w:r w:rsidRPr="00722885">
        <w:rPr>
          <w:color w:val="000000" w:themeColor="text1"/>
          <w:sz w:val="16"/>
          <w:szCs w:val="16"/>
        </w:rPr>
        <w:t>31 августа 1942 началось наступление сил оси под Эль Аламейном (битва Алам эль Халфа (2245,8).</w:t>
      </w:r>
    </w:p>
    <w:p w14:paraId="5421793D" w14:textId="77777777" w:rsidR="00BD5EB5" w:rsidRPr="00722885" w:rsidRDefault="00BD5EB5" w:rsidP="00722885">
      <w:pPr>
        <w:pStyle w:val="Iauiue"/>
        <w:jc w:val="both"/>
        <w:rPr>
          <w:color w:val="000000" w:themeColor="text1"/>
          <w:sz w:val="16"/>
          <w:szCs w:val="16"/>
        </w:rPr>
      </w:pPr>
    </w:p>
    <w:p w14:paraId="2334F613" w14:textId="77777777" w:rsidR="00BD5EB5" w:rsidRPr="00722885" w:rsidRDefault="00BD5EB5" w:rsidP="00722885">
      <w:pPr>
        <w:pStyle w:val="Iauiue"/>
        <w:jc w:val="both"/>
        <w:rPr>
          <w:color w:val="000000" w:themeColor="text1"/>
          <w:sz w:val="16"/>
          <w:szCs w:val="16"/>
          <w:lang w:val="en-US"/>
        </w:rPr>
      </w:pPr>
      <w:r w:rsidRPr="00722885">
        <w:rPr>
          <w:color w:val="000000" w:themeColor="text1"/>
          <w:sz w:val="16"/>
          <w:szCs w:val="16"/>
          <w:lang w:val="en-US"/>
        </w:rPr>
        <w:t>August 31, 1942: At the El Alamein front in Egypt, the Afrikakorps fails to break through British lines and advance toward Alexandria, 75 miles away (3819).</w:t>
      </w:r>
    </w:p>
    <w:p w14:paraId="41D0F35F" w14:textId="77777777" w:rsidR="00BD5EB5" w:rsidRPr="00722885" w:rsidRDefault="00BD5EB5" w:rsidP="00722885">
      <w:pPr>
        <w:pStyle w:val="Iauiue"/>
        <w:jc w:val="both"/>
        <w:rPr>
          <w:color w:val="000000" w:themeColor="text1"/>
          <w:sz w:val="16"/>
          <w:szCs w:val="16"/>
          <w:lang w:val="en-US"/>
        </w:rPr>
      </w:pPr>
    </w:p>
    <w:p w14:paraId="08154D65"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31 августа </w:t>
      </w:r>
      <w:r w:rsidRPr="00722885">
        <w:rPr>
          <w:rFonts w:ascii="Times New Roman" w:hAnsi="Times New Roman"/>
          <w:color w:val="000000" w:themeColor="text1"/>
          <w:sz w:val="16"/>
          <w:szCs w:val="16"/>
        </w:rPr>
        <w:t>в 1942 году (31 августа – 2 сентября) неудачная попытка немецких войск прорвать английские укрепления у Эль-Аламейна. Немецкое наступление останавливается Британией в битве Alam al-Halfa, это станет поворотным пунктом в Северно-африканской кампании (14755).</w:t>
      </w:r>
    </w:p>
    <w:p w14:paraId="3446D2EA" w14:textId="77777777" w:rsidR="00BD5EB5" w:rsidRPr="00722885" w:rsidRDefault="00BD5EB5" w:rsidP="00722885">
      <w:pPr>
        <w:spacing w:after="0" w:line="240" w:lineRule="auto"/>
        <w:jc w:val="both"/>
        <w:rPr>
          <w:rFonts w:ascii="Times New Roman" w:hAnsi="Times New Roman"/>
          <w:color w:val="000000" w:themeColor="text1"/>
          <w:sz w:val="16"/>
          <w:szCs w:val="16"/>
        </w:rPr>
      </w:pPr>
    </w:p>
    <w:p w14:paraId="1C162FD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Авиапромышленность:</w:t>
      </w:r>
    </w:p>
    <w:p w14:paraId="1A35A32C" w14:textId="77777777" w:rsidR="00AE7191" w:rsidRPr="00722885" w:rsidRDefault="00AE7191" w:rsidP="00722885">
      <w:pPr>
        <w:pStyle w:val="Iauiue"/>
        <w:jc w:val="both"/>
        <w:rPr>
          <w:iCs/>
          <w:color w:val="000000" w:themeColor="text1"/>
          <w:sz w:val="16"/>
          <w:szCs w:val="16"/>
        </w:rPr>
      </w:pPr>
    </w:p>
    <w:p w14:paraId="16C18995"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августа 1942 г. Оперативное управление штаба ВВС КА, основываясь на материалах НИП АВ и результатах собственного исследования фактической результатив</w:t>
      </w:r>
      <w:r w:rsidRPr="00722885">
        <w:rPr>
          <w:rFonts w:ascii="Times New Roman" w:hAnsi="Times New Roman"/>
          <w:color w:val="000000" w:themeColor="text1"/>
          <w:sz w:val="16"/>
          <w:szCs w:val="16"/>
        </w:rPr>
        <w:softHyphen/>
        <w:t>ности немецкой авиации по советской бронетехнике, разработало предложения по повы</w:t>
      </w:r>
      <w:r w:rsidRPr="00722885">
        <w:rPr>
          <w:rFonts w:ascii="Times New Roman" w:hAnsi="Times New Roman"/>
          <w:color w:val="000000" w:themeColor="text1"/>
          <w:sz w:val="16"/>
          <w:szCs w:val="16"/>
        </w:rPr>
        <w:softHyphen/>
        <w:t>шению</w:t>
      </w:r>
      <w:r w:rsidRPr="00722885">
        <w:rPr>
          <w:rStyle w:val="aff6"/>
          <w:rFonts w:ascii="Times New Roman" w:eastAsia="Arial Unicode MS" w:hAnsi="Times New Roman" w:cs="Times New Roman"/>
          <w:i w:val="0"/>
          <w:color w:val="000000" w:themeColor="text1"/>
        </w:rPr>
        <w:t xml:space="preserve"> «эффективности средств ВВС КА в борьбе с танковыми частями противника».</w:t>
      </w:r>
    </w:p>
    <w:p w14:paraId="19C7CE41"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Помимо прочего, требовалось срочно запустить в массовую серию противотанковые Ил-2 с 37-мм пушками, установить ракетные орудия РО-132 и сделать самолёт двухместным с воздушным стрелком, «</w:t>
      </w:r>
      <w:r w:rsidRPr="00722885">
        <w:rPr>
          <w:rStyle w:val="aff6"/>
          <w:rFonts w:ascii="Times New Roman" w:eastAsia="Arial Unicode MS" w:hAnsi="Times New Roman" w:cs="Times New Roman"/>
          <w:i w:val="0"/>
          <w:color w:val="000000" w:themeColor="text1"/>
        </w:rPr>
        <w:t>вооружив его пулемётом».</w:t>
      </w:r>
      <w:r w:rsidRPr="00722885">
        <w:rPr>
          <w:rFonts w:ascii="Times New Roman" w:hAnsi="Times New Roman"/>
          <w:color w:val="000000" w:themeColor="text1"/>
          <w:sz w:val="16"/>
          <w:szCs w:val="16"/>
        </w:rPr>
        <w:t xml:space="preserve"> После чего сформировать на их основе специальные «штурмовые авиадивизии истребления танков, прикрыв их ЛаГГ-3, вооружён</w:t>
      </w:r>
      <w:r w:rsidRPr="00722885">
        <w:rPr>
          <w:rFonts w:ascii="Times New Roman" w:hAnsi="Times New Roman"/>
          <w:color w:val="000000" w:themeColor="text1"/>
          <w:sz w:val="16"/>
          <w:szCs w:val="16"/>
        </w:rPr>
        <w:softHyphen/>
        <w:t>ных также 37-мм пушками», и укомплектовав хорошо подготовленными для выполнения этой задачи лётчиками и командирами.</w:t>
      </w:r>
    </w:p>
    <w:p w14:paraId="21406523"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Привлекать противотанковую авиадивизию к выполнению каких-либо иных задач, кроме эьбы с танками, запрещалось категорически.</w:t>
      </w:r>
    </w:p>
    <w:p w14:paraId="3E74BB2B" w14:textId="77777777" w:rsidR="00BD5EB5" w:rsidRPr="00722885" w:rsidRDefault="00BD5EB5" w:rsidP="00722885">
      <w:pPr>
        <w:spacing w:after="0" w:line="240" w:lineRule="auto"/>
        <w:jc w:val="both"/>
        <w:rPr>
          <w:rStyle w:val="aff6"/>
          <w:rFonts w:ascii="Times New Roman" w:eastAsia="Arial Unicode MS" w:hAnsi="Times New Roman" w:cs="Times New Roman"/>
          <w:i w:val="0"/>
          <w:color w:val="000000" w:themeColor="text1"/>
        </w:rPr>
      </w:pPr>
      <w:r w:rsidRPr="00722885">
        <w:rPr>
          <w:rFonts w:ascii="Times New Roman" w:hAnsi="Times New Roman"/>
          <w:color w:val="000000" w:themeColor="text1"/>
          <w:sz w:val="16"/>
          <w:szCs w:val="16"/>
        </w:rPr>
        <w:t>Командующий ВВС КА генерал-лейтенант А.А. Новиков в целом согласился со всеми вдложениями, заметив, однако, что вопрос о формировании противотанковых штурмо- авиадивизий необходимо</w:t>
      </w:r>
      <w:r w:rsidRPr="00722885">
        <w:rPr>
          <w:rStyle w:val="aff6"/>
          <w:rFonts w:ascii="Times New Roman" w:eastAsia="Arial Unicode MS" w:hAnsi="Times New Roman" w:cs="Times New Roman"/>
          <w:i w:val="0"/>
          <w:color w:val="000000" w:themeColor="text1"/>
        </w:rPr>
        <w:t xml:space="preserve"> «проработать и обсудить на Военном Совете» (15846).</w:t>
      </w:r>
    </w:p>
    <w:p w14:paraId="1F3D3717" w14:textId="77777777" w:rsidR="00BD5EB5" w:rsidRPr="00722885" w:rsidRDefault="00BD5EB5" w:rsidP="00722885">
      <w:pPr>
        <w:spacing w:after="0" w:line="240" w:lineRule="auto"/>
        <w:jc w:val="both"/>
        <w:rPr>
          <w:rStyle w:val="aff6"/>
          <w:rFonts w:ascii="Times New Roman" w:eastAsia="Arial Unicode MS" w:hAnsi="Times New Roman" w:cs="Times New Roman"/>
          <w:i w:val="0"/>
          <w:color w:val="000000" w:themeColor="text1"/>
        </w:rPr>
      </w:pPr>
    </w:p>
    <w:p w14:paraId="0A7738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августа 1942 в строевые части стали поступать Пе-3бис 39 завода в Иркутске (1722,52).</w:t>
      </w:r>
    </w:p>
    <w:p w14:paraId="1AB9F472" w14:textId="77777777" w:rsidR="00AE7191" w:rsidRPr="00722885" w:rsidRDefault="00AE7191" w:rsidP="00722885">
      <w:pPr>
        <w:pStyle w:val="Iauiue"/>
        <w:jc w:val="both"/>
        <w:rPr>
          <w:color w:val="000000" w:themeColor="text1"/>
          <w:sz w:val="16"/>
          <w:szCs w:val="16"/>
        </w:rPr>
      </w:pPr>
    </w:p>
    <w:p w14:paraId="6AE376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августа 1942 года Яковлев писал Сталину.</w:t>
      </w:r>
    </w:p>
    <w:p w14:paraId="3350A7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Мной разработан и осуществлен на самолетах Як-1 и Як-7 фонарь кабины пилота, оригинальной конструкции, дающий решение коренного улучшения обзора истребительных самолетов.</w:t>
      </w:r>
    </w:p>
    <w:p w14:paraId="3833F9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Як-1 прошел испытание с фонарем новой конструкции в НИИ ВВС и получил хорошее заключение.</w:t>
      </w:r>
    </w:p>
    <w:p w14:paraId="3CFB96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Боеспособность Як-1 с новым фонарем неизмеримо возросла, так как новый фонарь обеспечивает летчику полностью обзор всей верхней полусферы и в первую очередь вверх и назад, что исключает возможность неожиданного нападения противника с хвоста и сверху.</w:t>
      </w:r>
    </w:p>
    <w:p w14:paraId="1ACBD1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Кроме того, на этом же самолете введено усиленное бронирование и улучшено вооружение заменой двух Шкасс - одним БС.</w:t>
      </w:r>
    </w:p>
    <w:p w14:paraId="182A54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Все улучшения получили единодушное одобрение летчиков.</w:t>
      </w:r>
    </w:p>
    <w:p w14:paraId="2AEAAD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Считаю целесообразным внедрение в серию предложенных улучшений (2147,87).</w:t>
      </w:r>
    </w:p>
    <w:p w14:paraId="081427C6" w14:textId="77777777" w:rsidR="00AE7191" w:rsidRPr="00722885" w:rsidRDefault="00AE7191" w:rsidP="00722885">
      <w:pPr>
        <w:pStyle w:val="Iauiue"/>
        <w:jc w:val="both"/>
        <w:rPr>
          <w:color w:val="000000" w:themeColor="text1"/>
          <w:sz w:val="16"/>
          <w:szCs w:val="16"/>
        </w:rPr>
      </w:pPr>
    </w:p>
    <w:p w14:paraId="08469D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августа 1942 года Яковлев писал Сталину.</w:t>
      </w:r>
    </w:p>
    <w:p w14:paraId="1812A8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соответствии с Вашими неоднократными указаниями о крайней желательности увеличения дальности и продолжительности полета истребительных самолетов, разработан, построен и в настоящее время проходит испытания самолет Як-7 М-105ПФ, у которого при полетном весе 3020 кг (вес серийного самолета Як-7) дальность полета равняется 1500 км и продолжительность полета - 4 часа 20 минут при нормальном запасе горючего - 500 кг.</w:t>
      </w:r>
    </w:p>
    <w:p w14:paraId="1EDB10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 и оборудование самолета: одна пушка 20 мм - 120 снарядов, один пулемет 12,7 мм - 200 патрон, бомбовые подвески на 2 бомбы по 100 кг, радиостанция РСИ-4 и фотоаппарат.</w:t>
      </w:r>
    </w:p>
    <w:p w14:paraId="551EC32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Такое усовершенствование самолета Як-7 достигнуто путем замены деревянных лонжеронов крыла на дюралевые (нервюры и обшивка крыла остались деревянные) в результате чего получилось значительное облегчение конструкции крыла и увеличение объема бензобаков и представилось возможным за этот счет увеличить запас горючего почти вдвое, не увеличивая полетного веса самолета и не снижая его скорости.</w:t>
      </w:r>
    </w:p>
    <w:p w14:paraId="1830D5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Увеличение дальности до 1500 км и продолжительности полета до 4-х часов 20 минут - открывает совершенно новые тактические возможности перед истребительной авиацией и ставит самолет Як-7 на сегодня, по совокупности летных и боевых данных, на первое место среди всех воюющих, известных нам истребителей.</w:t>
      </w:r>
    </w:p>
    <w:p w14:paraId="2474D9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Этот самолет может выполнять следующие задачи:</w:t>
      </w:r>
    </w:p>
    <w:p w14:paraId="31C9B3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Сопровождение бомбардировщиков Пе-2 по всему маршруту.</w:t>
      </w:r>
    </w:p>
    <w:p w14:paraId="21FD32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Самостоятельные дневные бомбардировочные и штурмовые операции в тылу противника по важным объектам, коммуникациям и железнодорожным узлам.</w:t>
      </w:r>
    </w:p>
    <w:p w14:paraId="098390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Прикрытие наземных операций над полем боя в течение 4-х часов непрерывного полета.</w:t>
      </w:r>
    </w:p>
    <w:p w14:paraId="174A8A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Дневное, и, что особенно важно, ночное барражирование в течение 4-х часов.</w:t>
      </w:r>
    </w:p>
    <w:p w14:paraId="21A517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Разведывательные операции.</w:t>
      </w:r>
    </w:p>
    <w:p w14:paraId="55723AF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Корректировочные полеты обеспечиваемые наличием в самолете второй кабины.</w:t>
      </w:r>
    </w:p>
    <w:p w14:paraId="1A4D0F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Особенно ценным свойством самолета является - сочетание большой дальности полета с мощным вооружением, делающим самолет почти неуязвимым, для вражеской авиации и позволяющим безнаказанно проводить любые операции в тылу противника в дневное время.</w:t>
      </w:r>
    </w:p>
    <w:p w14:paraId="19580E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построен в Новосибирске на заводе N 153.</w:t>
      </w:r>
    </w:p>
    <w:p w14:paraId="6235A5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N 153 может приступить к производству самолетов Як-7 с увеличенной дальностью.</w:t>
      </w:r>
    </w:p>
    <w:p w14:paraId="3F2B6FD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Необходимо решение ГОКО по этому вопросу (2147,94).</w:t>
      </w:r>
    </w:p>
    <w:p w14:paraId="006E0617" w14:textId="77777777" w:rsidR="00AE7191" w:rsidRPr="00722885" w:rsidRDefault="00AE7191" w:rsidP="00722885">
      <w:pPr>
        <w:pStyle w:val="Iauiue"/>
        <w:jc w:val="both"/>
        <w:rPr>
          <w:color w:val="000000" w:themeColor="text1"/>
          <w:sz w:val="16"/>
          <w:szCs w:val="16"/>
        </w:rPr>
      </w:pPr>
    </w:p>
    <w:p w14:paraId="17EC4D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августа 1942 года Шахурин писал письмо Маленкову.</w:t>
      </w:r>
    </w:p>
    <w:p w14:paraId="5F5ECF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целях усиления боевой мощи самолетов Як-1 и Як-7, гл. конструктор Яковлев произвел замену пулеметов Шкас калибра 7,62 мм на пулеметы Березина калибра 12,7 мм.</w:t>
      </w:r>
    </w:p>
    <w:p w14:paraId="5343AF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Як-7 с двумя пулеметами калибра 12,7 мм с общим боезапасом 400 патронов, выдержал испытания и заводы NN 153 и 82 выпускают самолеты с данным вооружением.</w:t>
      </w:r>
    </w:p>
    <w:p w14:paraId="66A241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Як-1 ч одним пулеметом Березина калибра 12,7 мм с боезапасом 200 патронов подготовлен для проведения испытаний.</w:t>
      </w:r>
    </w:p>
    <w:p w14:paraId="79AD4FC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Прошу о подтверждении решением ГКО выпуск самолетов Як-7 с пулеметом Березина калибра 12,7 мм вместо пулеметов Шкас калибра 7,62 мм (2147,296).</w:t>
      </w:r>
    </w:p>
    <w:p w14:paraId="08DA2285" w14:textId="77777777" w:rsidR="00AE7191" w:rsidRPr="00722885" w:rsidRDefault="00AE7191" w:rsidP="00722885">
      <w:pPr>
        <w:pStyle w:val="Iauiue"/>
        <w:jc w:val="both"/>
        <w:rPr>
          <w:color w:val="000000" w:themeColor="text1"/>
          <w:sz w:val="16"/>
          <w:szCs w:val="16"/>
        </w:rPr>
      </w:pPr>
    </w:p>
    <w:p w14:paraId="336AF5C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августа 1942 г. было принято решение о проведении испытаний И-185 в боевых условиях. Их проведение возлагалось на 728-й Гвар</w:t>
      </w:r>
      <w:r w:rsidRPr="00722885">
        <w:rPr>
          <w:rFonts w:ascii="Times New Roman" w:hAnsi="Times New Roman"/>
          <w:color w:val="000000" w:themeColor="text1"/>
          <w:sz w:val="16"/>
          <w:szCs w:val="16"/>
        </w:rPr>
        <w:softHyphen/>
        <w:t>дейский истребительный полк, действующий на Калининском фронте (9979).</w:t>
      </w:r>
    </w:p>
    <w:p w14:paraId="296476C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E2D070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августа 1942 Яковлев договорился с ВВС об испы</w:t>
      </w:r>
      <w:r w:rsidRPr="00722885">
        <w:rPr>
          <w:rFonts w:ascii="Times New Roman" w:hAnsi="Times New Roman"/>
          <w:color w:val="000000" w:themeColor="text1"/>
          <w:sz w:val="16"/>
          <w:szCs w:val="16"/>
        </w:rPr>
        <w:softHyphen/>
        <w:t>тании И-185 в боевых условиях на Калининском фрон</w:t>
      </w:r>
      <w:r w:rsidRPr="00722885">
        <w:rPr>
          <w:rFonts w:ascii="Times New Roman" w:hAnsi="Times New Roman"/>
          <w:color w:val="000000" w:themeColor="text1"/>
          <w:sz w:val="16"/>
          <w:szCs w:val="16"/>
        </w:rPr>
        <w:softHyphen/>
        <w:t>те. 4 сентября 1942 г. он дал указание Поликарпову подготовить четыре И-185 к отправке на фронт. Нико</w:t>
      </w:r>
      <w:r w:rsidRPr="00722885">
        <w:rPr>
          <w:rFonts w:ascii="Times New Roman" w:hAnsi="Times New Roman"/>
          <w:color w:val="000000" w:themeColor="text1"/>
          <w:sz w:val="16"/>
          <w:szCs w:val="16"/>
        </w:rPr>
        <w:softHyphen/>
        <w:t>лай Николаевич передал в Новосибирск на завод № 51 приказ немедленно отгрузить три И-185 в Москву на филиал завода вместе с обслуживающей бригадой. Чет</w:t>
      </w:r>
      <w:r w:rsidRPr="00722885">
        <w:rPr>
          <w:rFonts w:ascii="Times New Roman" w:hAnsi="Times New Roman"/>
          <w:color w:val="000000" w:themeColor="text1"/>
          <w:sz w:val="16"/>
          <w:szCs w:val="16"/>
        </w:rPr>
        <w:softHyphen/>
        <w:t>вертый самолет в то время проходил ремонт в москов</w:t>
      </w:r>
      <w:r w:rsidRPr="00722885">
        <w:rPr>
          <w:rFonts w:ascii="Times New Roman" w:hAnsi="Times New Roman"/>
          <w:color w:val="000000" w:themeColor="text1"/>
          <w:sz w:val="16"/>
          <w:szCs w:val="16"/>
        </w:rPr>
        <w:softHyphen/>
        <w:t>ском филиале (10667). Калининский фронт не случайно выбрали для прове</w:t>
      </w:r>
      <w:r w:rsidRPr="00722885">
        <w:rPr>
          <w:rFonts w:ascii="Times New Roman" w:hAnsi="Times New Roman"/>
          <w:color w:val="000000" w:themeColor="text1"/>
          <w:sz w:val="16"/>
          <w:szCs w:val="16"/>
        </w:rPr>
        <w:softHyphen/>
        <w:t>дения фронтовых испытаний. Командующим 3-й воз</w:t>
      </w:r>
      <w:r w:rsidRPr="00722885">
        <w:rPr>
          <w:rFonts w:ascii="Times New Roman" w:hAnsi="Times New Roman"/>
          <w:color w:val="000000" w:themeColor="text1"/>
          <w:sz w:val="16"/>
          <w:szCs w:val="16"/>
        </w:rPr>
        <w:softHyphen/>
        <w:t>душной армией являлся известный летчик-испытатель Герой Советского Союза генерал-майор М.М.Громов, бывший начальник ЛИИ НКАП, хорошо знающий осо</w:t>
      </w:r>
      <w:r w:rsidRPr="00722885">
        <w:rPr>
          <w:rFonts w:ascii="Times New Roman" w:hAnsi="Times New Roman"/>
          <w:color w:val="000000" w:themeColor="text1"/>
          <w:sz w:val="16"/>
          <w:szCs w:val="16"/>
        </w:rPr>
        <w:softHyphen/>
        <w:t>бенности испытательной работы. Также не случайно для проведения испытаний Громов назначил 728-й истреби</w:t>
      </w:r>
      <w:r w:rsidRPr="00722885">
        <w:rPr>
          <w:rFonts w:ascii="Times New Roman" w:hAnsi="Times New Roman"/>
          <w:color w:val="000000" w:themeColor="text1"/>
          <w:sz w:val="16"/>
          <w:szCs w:val="16"/>
        </w:rPr>
        <w:softHyphen/>
        <w:t>тельный авиационный полк. Он был сформирован в конце 1941 г. из летчиков-инструкторов Чугуевского авиационного училища. В составе полка воевали буду</w:t>
      </w:r>
      <w:r w:rsidRPr="00722885">
        <w:rPr>
          <w:rFonts w:ascii="Times New Roman" w:hAnsi="Times New Roman"/>
          <w:color w:val="000000" w:themeColor="text1"/>
          <w:sz w:val="16"/>
          <w:szCs w:val="16"/>
        </w:rPr>
        <w:softHyphen/>
        <w:t>щие дважды Герои Советского Союза А.Е.Боровых, А.В.Ворожейкин, Герои Советского Союза Н.П.Игнатьев, А.Е.Новиков, И.Е.Кустов и другие (10667).</w:t>
      </w:r>
    </w:p>
    <w:p w14:paraId="7072AE5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A973EE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авгу</w:t>
      </w:r>
      <w:r w:rsidRPr="00722885">
        <w:rPr>
          <w:rFonts w:ascii="Times New Roman" w:hAnsi="Times New Roman"/>
          <w:color w:val="000000" w:themeColor="text1"/>
          <w:sz w:val="16"/>
          <w:szCs w:val="16"/>
        </w:rPr>
        <w:softHyphen/>
        <w:t>ста 1942 самолет Г-1 В.П.Горбунова все же возобно</w:t>
      </w:r>
      <w:r w:rsidRPr="00722885">
        <w:rPr>
          <w:rFonts w:ascii="Times New Roman" w:hAnsi="Times New Roman"/>
          <w:color w:val="000000" w:themeColor="text1"/>
          <w:sz w:val="16"/>
          <w:szCs w:val="16"/>
        </w:rPr>
        <w:softHyphen/>
        <w:t>вил заводские испытания, но показал неудовлетворительные летно-техни-ческие данные. Испытания были пре</w:t>
      </w:r>
      <w:r w:rsidRPr="00722885">
        <w:rPr>
          <w:rFonts w:ascii="Times New Roman" w:hAnsi="Times New Roman"/>
          <w:color w:val="000000" w:themeColor="text1"/>
          <w:sz w:val="16"/>
          <w:szCs w:val="16"/>
        </w:rPr>
        <w:softHyphen/>
        <w:t>кращены и как отметил военпред: «...самолет подлежит переделке на серийный» (10686).</w:t>
      </w:r>
    </w:p>
    <w:p w14:paraId="17553B8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BD862A9" w14:textId="77777777" w:rsidR="00BD5EB5" w:rsidRPr="00722885" w:rsidRDefault="00BD5EB5" w:rsidP="00722885">
      <w:pPr>
        <w:pStyle w:val="a3"/>
        <w:rPr>
          <w:color w:val="000000" w:themeColor="text1"/>
          <w:lang w:val="ru-RU"/>
        </w:rPr>
      </w:pPr>
      <w:r w:rsidRPr="00722885">
        <w:rPr>
          <w:color w:val="000000" w:themeColor="text1"/>
          <w:lang w:val="ru-RU"/>
        </w:rPr>
        <w:t>В конце августа 1942 г. самолет Г-1 всё же возобновил заводские испытания, но показал неудовлетворительные лётно-тсхнические данные. Испытания прекратили и, как отметил военпред: «...самолет подлежит переделке на серийный» (15788).</w:t>
      </w:r>
    </w:p>
    <w:p w14:paraId="774DB9F8" w14:textId="77777777" w:rsidR="00BD5EB5" w:rsidRPr="00722885" w:rsidRDefault="00BD5EB5" w:rsidP="00722885">
      <w:pPr>
        <w:pStyle w:val="a3"/>
        <w:rPr>
          <w:color w:val="000000" w:themeColor="text1"/>
          <w:lang w:val="ru-RU"/>
        </w:rPr>
      </w:pPr>
    </w:p>
    <w:p w14:paraId="7BE4515B"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августа – начале сентября 1942 года в СССР приступили к работам по горным установкам. Первоначально были предложены два варианта установок: один на станке (на козлах), а другой на двухколесной тележке. Для обоих вариантов предусматривалось использование направляющих от установки М-8-36. Установки имели следующие недостатки: требовалось дальнейшее упрощение их конструкции и технологии, существовала трудность разработки узлов прицеливания и горизонтальной наводки. В результате проведенных работ был выбран вариант на станке (15981).</w:t>
      </w:r>
    </w:p>
    <w:p w14:paraId="0112106A" w14:textId="77777777" w:rsidR="00BD5EB5" w:rsidRPr="00722885" w:rsidRDefault="00BD5EB5" w:rsidP="00722885">
      <w:pPr>
        <w:spacing w:after="0" w:line="240" w:lineRule="auto"/>
        <w:jc w:val="both"/>
        <w:rPr>
          <w:rFonts w:ascii="Times New Roman" w:hAnsi="Times New Roman"/>
          <w:color w:val="000000" w:themeColor="text1"/>
          <w:sz w:val="16"/>
          <w:szCs w:val="16"/>
        </w:rPr>
      </w:pPr>
    </w:p>
    <w:p w14:paraId="2D0C6BD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августа 1942 Нач. 8 ГУ НКАП В.Поликовский писал за № 8/648 А.И.Ш.:</w:t>
      </w:r>
    </w:p>
    <w:p w14:paraId="50917C2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Докладная записка</w:t>
      </w:r>
    </w:p>
    <w:p w14:paraId="7853FAB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время доводошых работ, а также 50-ти часовых совместных и 100-часовых государственных испытаний моторов наблюдаются случаи появления дефектов отдельных узлов моторов, в силу которых испытания или аннулируются или мотор вовсе выходит из строя не по вине конструкции мотора, а по причинам: понижения трудовой дисциплины, отсутствия надлежащего технического контроля, отступления от установленной техно</w:t>
      </w:r>
      <w:r w:rsidRPr="00722885">
        <w:rPr>
          <w:rFonts w:ascii="Times New Roman" w:hAnsi="Times New Roman"/>
          <w:color w:val="000000" w:themeColor="text1"/>
          <w:sz w:val="16"/>
          <w:szCs w:val="16"/>
        </w:rPr>
        <w:softHyphen/>
        <w:t>логии производства и сборки и плохой организации ведения самих испытаний.</w:t>
      </w:r>
    </w:p>
    <w:p w14:paraId="48C5C58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например:</w:t>
      </w:r>
    </w:p>
    <w:p w14:paraId="6637828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заводе № 19 по мотору М-71 при проведении государ</w:t>
      </w:r>
      <w:r w:rsidRPr="00722885">
        <w:rPr>
          <w:rFonts w:ascii="Times New Roman" w:hAnsi="Times New Roman"/>
          <w:color w:val="000000" w:themeColor="text1"/>
          <w:sz w:val="16"/>
          <w:szCs w:val="16"/>
        </w:rPr>
        <w:softHyphen/>
        <w:t>ственных испытаний было три случая разрушения клапанных тарелочек по причине отступления от технологии изготовления и три случая выпадания клапанного седла по причине отступ</w:t>
      </w:r>
      <w:r w:rsidRPr="00722885">
        <w:rPr>
          <w:rFonts w:ascii="Times New Roman" w:hAnsi="Times New Roman"/>
          <w:color w:val="000000" w:themeColor="text1"/>
          <w:sz w:val="16"/>
          <w:szCs w:val="16"/>
        </w:rPr>
        <w:softHyphen/>
        <w:t>ления от технологии запрессовки, вследствие чего моторы были сняты с государетвенного испытания.</w:t>
      </w:r>
    </w:p>
    <w:p w14:paraId="7A96DDD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 29 по мотору М-90 при проведении совмест</w:t>
      </w:r>
      <w:r w:rsidRPr="00722885">
        <w:rPr>
          <w:rFonts w:ascii="Times New Roman" w:hAnsi="Times New Roman"/>
          <w:color w:val="000000" w:themeColor="text1"/>
          <w:sz w:val="16"/>
          <w:szCs w:val="16"/>
        </w:rPr>
        <w:softHyphen/>
        <w:t>ных испытаний было два случая разрушения крыльчатки из-за попадания постороннего предмета, поломки коленчатого вала, вызванной разработкой обоймы среднего подшипника, из-за самовольного допущения в производство контрящих штифтов с меньшим диаметром и др.</w:t>
      </w:r>
    </w:p>
    <w:p w14:paraId="08C868E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 26 по мотору М-107 при проведении 100-часовых испытаний было разрушение привода газораспределения и маслопомп из-за попадания гайки синхронизатора, отвернувшейся во время работы и др.</w:t>
      </w:r>
    </w:p>
    <w:p w14:paraId="0B6E296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эти и другие подобные дефекты являютсяс прямым следствием небрежного и безответственного отношения к работе отдельных лиц ОКЦ заводов,что при попустительстве руководителей заводов и ОКБ, выражавшейся в непринятии реальных мер дисциплинарного воздействия к виновным лицам, ведет к недопустимому удорожанию опытных работ и срыву установленных Вами сроков.</w:t>
      </w:r>
    </w:p>
    <w:p w14:paraId="1C3673E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Особо неблагополучно обстоит дело на заводе № 29, по которому бьл издан специальный приказ Зам. Наркома ГУАП т. В.П.Кузнецова, прилагаемый при этом.</w:t>
      </w:r>
    </w:p>
    <w:p w14:paraId="70098D4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устранения возможностей появления дефектов мотора, вызываемых небрежной организацией и несоблюдением дисципилины производства также и на других заводах,- считаю необ</w:t>
      </w:r>
      <w:r w:rsidRPr="00722885">
        <w:rPr>
          <w:rFonts w:ascii="Times New Roman" w:hAnsi="Times New Roman"/>
          <w:color w:val="000000" w:themeColor="text1"/>
          <w:sz w:val="16"/>
          <w:szCs w:val="16"/>
        </w:rPr>
        <w:softHyphen/>
        <w:t>ходимым выделить из состава всех ОКЦ заводов специальные группы технического контроля, отвечающие за соблюдение технологии производства, сборку и испытания.</w:t>
      </w:r>
    </w:p>
    <w:p w14:paraId="397DE29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подливать приказ по этому вопросу (1458,118).</w:t>
      </w:r>
    </w:p>
    <w:p w14:paraId="2D6B8AC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11B719A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августа 1942 г. завод № 500 начал переделку М-30 в М-ЗОБ (переделано 35 экз.), а затем произ</w:t>
      </w:r>
      <w:r w:rsidRPr="00722885">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385F179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3180CF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августа – начале сентября 1942 года в СССР приступили к работам по горным установкам. Первоначально были предложены два варианта установок: один на станке (на козлах), а другой на двухколесной тележке. Для обоих вариантов предусматривалось использование направляющих от установки М-8-36. Установки имели следующие недостатки: требовалось дальнейшее упрощение их конструкции и технологии, существовала трудность разработки узлов прицеливания и горизонтальной наводки. В результате проведенных работ был выбран вариант на станке.</w:t>
      </w:r>
    </w:p>
    <w:p w14:paraId="3CB619C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разработки первого образца дальнейшее ее совершенствование было поручено специалистам СКБ завода “Компрессор”. Установка разбиралась на три основные части. Испытания на прочность, безопасность и удобство обслуживания проводились с 12 по 26 июля 1943 года, и она была рекомендована для принятия на вооружение (11772).</w:t>
      </w:r>
    </w:p>
    <w:p w14:paraId="31089E8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2B728DE"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7A7957B" w14:textId="77777777" w:rsidR="00AE7191" w:rsidRPr="00722885" w:rsidRDefault="00AE7191" w:rsidP="00722885">
      <w:pPr>
        <w:pStyle w:val="Iauiue"/>
        <w:jc w:val="both"/>
        <w:rPr>
          <w:iCs/>
          <w:color w:val="000000" w:themeColor="text1"/>
          <w:sz w:val="16"/>
          <w:szCs w:val="16"/>
        </w:rPr>
      </w:pPr>
    </w:p>
    <w:p w14:paraId="331E587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августа 1942 металлургический завод № 178 изготовил для завода № 112 пробные листы толщиной 35, 45 и 75 мм с содержанием никеля 0,8–1 % вместо принятых ранее 2,5–3 %, хотя и последние параметры были следствием уменьшения содержания никеля в 1941 г. БТУ поручило заводу-изготовителю проверить новую сталь на сварку, обработку и прочность. Стрельбы, проводившиеся с расстояния 64 метра, показали «удовлетворительную бронестойкость».  При попадании 45мм бронебойного снаряда в броневой лист толщиной 35 мм в основном образовывались вмятины глубиной 14–20 мм и иногда пробоины с отколом. При попадании в лист толщиной 45 мм образовывались вмятины глубиной 9-11 мм и пробоины без откола. [292 — ГУ ЦАНО, Ф. 15, Оп. 4, Д. 190, Л. 17–18.] В то же время опыты показали, что выплавка указанной стали в мартеновской печи не вызывает дополнительных затруднений. Новой марке стали был присвоен индекс «ФК». Снижение расхода ферросплавов на одну ее тонну показано в таблице: [293 — Там же, Л. 19–21.] (11741).</w:t>
      </w:r>
    </w:p>
    <w:p w14:paraId="2E33A8D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EE1060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августа месяца 1942 ситуация резко обострилась - 23 августа 1942 года части 14-го танкового корпуса немцев, прорвав фронт на 8-километровом участке быстро продвинулись почт на 60 километров и вышли к Волге. Войска Сталинградского фронта оказались отрезанными друг от друга, управление ими нарушилось. Кроме того, немцы перерезали железнодорожные пути, ведущие к городу, и получили возможность обстрела идущих по Волге судов. В результате, к 13.00 23 августа немецкие танки оказались в полутора километрах от Сталинградского тракторного завода.</w:t>
      </w:r>
    </w:p>
    <w:p w14:paraId="69B08CF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создавшемся критическом положении начальник ПВО СТЗ доложил находившимся в тот момент на заводе В. Малышеву и А. Горегляду. Они стали свидетелями боя между немецкими танками и артиллеристами 1077-го зенитного полка, имевшего на вооружении 85-мм орудия. Расчеты этой части были укомплектованы в основном девушками, которые умели вести огонь по самолетам, но не имели никакого представления о том, как надо стрелять по танкам. В результате короткого боя все орудия полка оказались уничтоженными, но зенитчицы позволили руководству завода выиграть время. Вскоре в противоборство с немецкими танками вступили танкисты под командованием капитана Д. Григорьева, которые готовились проводить стрельбы из танков на заводском испытательном полигоне.</w:t>
      </w:r>
    </w:p>
    <w:p w14:paraId="351D8E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Доложив в штаб фронта о сложившейся ситуации В. Малышев и директор СТЗ К. Задорожный поручили главному инженеру завода Демьяновичу подготовить из имеющихся в цехах все танки, которые могли передвигаться и вести огонь. Их укомплектовали экипажами, скомплектованными главным образом из заводских рабочих. В результате, за несколько часов из цехов СТЗ ушли в бой до 50 тридцатьчетверок, которые поддерживали спешно созданные отряды ополченцев из рабочих СТЗ, которых, за неимением другого, вооружили пулеметами ДТ (по некоторым данным использовали до 1500 ДТ), взятыми со складов завода и предназначенными для вооружения танков Т-34. Кроме того, в спешном порядке был поднят по тревоге истребительный батальон, созданный на СТЗ и также укомплектованный рабочими и служащими.</w:t>
      </w:r>
    </w:p>
    <w:p w14:paraId="4A02776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эти отряды, не имевшие нормальной военной подготовки, вступили в бой на рубеже Сухая Мечетка с наступающими немецкими частями. Здесь к рабочим СТЗ присоединились отряды с других предприятий Сталинграда - «Красный Октябрь» и «Баррикады» и с ряда других.</w:t>
      </w:r>
    </w:p>
    <w:p w14:paraId="5BAB131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имевшие боевого опыта отряды рабочих понесли огромные потери, но ценой собственной жизни сумели на некоторое время задержать немцев. Переброшенные в спешном порядке в район прорыва части Юго-Восточного фронта - 99-я танковая бригада, а также 21 и 28-й учебные танковые батальоны, а чуть позже 10-я дивизия НКВД восстановили положение, а затем контратаками отбросили противника на три километра.</w:t>
      </w:r>
    </w:p>
    <w:p w14:paraId="4D092CE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Участие в боях за Сталинград рабочих промышленных предприятий произвело на немецкое командование сильное впечатление. Например, полковник А. Вильгельм, во время боев адъютант командующего 6-й армии, впоследствии писал:</w:t>
      </w:r>
    </w:p>
    <w:p w14:paraId="740D87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войска сражались за каждую пядь земли. Почти неправдоподобным показалось нам донесение генерала танковых войск фон Вит- терсгейма, командира 14-го танкою- го корпуса. Пока его корпус вынужден был драться в окружении, оттуда поступали скудные известия. Теперь же генерал сообщил, что соединения Красной Армии контратакуют, опираясь на поддержку всего населения Сталинграда, проявляющего исключительное мужество. Это выражается не только в строительстве оборонительных укреплений и не только в том, что заводы и большие здания превращены в крепости. Население взялось за оружие. На поле битвы лежат убитые рабочие в своей спецодежде, нередко сжимая в окоченевших руках винтовку или пистолет. Мертвецы в рабочей одежде застыли, склонившись над рулем разбитого танка. Ничего подобного мы никогда не видели» (12217).</w:t>
      </w:r>
    </w:p>
    <w:p w14:paraId="461F4EB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A1B7F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концу августа 1942, ввиду скорой потери СТЗ (Сталинградского тракторного завода), доводочные работы над 122-мм САУ У-34 были остановлены, а УЗТМ начал спешно готовить выпуск танков Т-34.</w:t>
      </w:r>
    </w:p>
    <w:p w14:paraId="4BF8F91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Однако работы над созданием отечественных САУ на этом не прекратились, а лишь были отложены. Уже осенью 1942 г. командование Красной Армии планировало провести целый ряд масштабных наступательных операций на различных участках Советско-Германского фронта, с применением подвижных артиллерийских подразделений. При разработке наступлений впервые широко учитывались уроки зимнего наступления 1941-42 гг. под Москвой, когда артиллерия среднего и крупного калибра (столь необходимая для сокрушения вражеских укреплений) постоянно отставала от наступавших танковых (и пехотных) подразделений. Поэтому впервые штабом начальника артиллерии при отработке будущих операций было принято решение о широком применении самоходно-артиллерийских установок среднего (от 76-мм до 122-мм) и крупного (более 122-мм) калибров, которые требовалось спешно создать (4017).</w:t>
      </w:r>
    </w:p>
    <w:p w14:paraId="2979FD3E" w14:textId="77777777" w:rsidR="00AE7191" w:rsidRPr="00722885" w:rsidRDefault="00AE7191" w:rsidP="00722885">
      <w:pPr>
        <w:pStyle w:val="Iauiue"/>
        <w:jc w:val="both"/>
        <w:rPr>
          <w:color w:val="000000" w:themeColor="text1"/>
          <w:sz w:val="16"/>
          <w:szCs w:val="16"/>
        </w:rPr>
      </w:pPr>
    </w:p>
    <w:p w14:paraId="47F50B5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августа 1942 доработанный танк Т-70 с двухместной башней был практически готов к выпуску на ГАЗе. Лишь одно поже</w:t>
      </w:r>
      <w:r w:rsidRPr="00722885">
        <w:rPr>
          <w:rFonts w:ascii="Times New Roman" w:hAnsi="Times New Roman"/>
          <w:color w:val="000000" w:themeColor="text1"/>
          <w:sz w:val="16"/>
          <w:szCs w:val="16"/>
        </w:rPr>
        <w:softHyphen/>
        <w:t>лание выдвигалось комиссией заводскому бюро: расширить башню на 60-85 мм, что, впрочем, можно было сделать и в ходе се</w:t>
      </w:r>
      <w:r w:rsidRPr="00722885">
        <w:rPr>
          <w:rFonts w:ascii="Times New Roman" w:hAnsi="Times New Roman"/>
          <w:color w:val="000000" w:themeColor="text1"/>
          <w:sz w:val="16"/>
          <w:szCs w:val="16"/>
        </w:rPr>
        <w:softHyphen/>
        <w:t>рийного производства (11084). В этот момент бронетанковое управление выдвинуло но</w:t>
      </w:r>
      <w:r w:rsidRPr="00722885">
        <w:rPr>
          <w:rFonts w:ascii="Times New Roman" w:hAnsi="Times New Roman"/>
          <w:color w:val="000000" w:themeColor="text1"/>
          <w:sz w:val="16"/>
          <w:szCs w:val="16"/>
        </w:rPr>
        <w:softHyphen/>
        <w:t>вые ТТТ, основанные на опыте городских бо</w:t>
      </w:r>
      <w:r w:rsidRPr="00722885">
        <w:rPr>
          <w:rFonts w:ascii="Times New Roman" w:hAnsi="Times New Roman"/>
          <w:color w:val="000000" w:themeColor="text1"/>
          <w:sz w:val="16"/>
          <w:szCs w:val="16"/>
        </w:rPr>
        <w:softHyphen/>
        <w:t>ев в 1941-1942 гг. Согласно новым требованиям, основное вооружение легкого танка, как непосредст</w:t>
      </w:r>
      <w:r w:rsidRPr="00722885">
        <w:rPr>
          <w:rFonts w:ascii="Times New Roman" w:hAnsi="Times New Roman"/>
          <w:color w:val="000000" w:themeColor="text1"/>
          <w:sz w:val="16"/>
          <w:szCs w:val="16"/>
        </w:rPr>
        <w:softHyphen/>
        <w:t>венного спутника пехоты во время боев в на</w:t>
      </w:r>
      <w:r w:rsidRPr="00722885">
        <w:rPr>
          <w:rFonts w:ascii="Times New Roman" w:hAnsi="Times New Roman"/>
          <w:color w:val="000000" w:themeColor="text1"/>
          <w:sz w:val="16"/>
          <w:szCs w:val="16"/>
        </w:rPr>
        <w:softHyphen/>
        <w:t>селенных пунктах, должно было обеспечи</w:t>
      </w:r>
      <w:r w:rsidRPr="00722885">
        <w:rPr>
          <w:rFonts w:ascii="Times New Roman" w:hAnsi="Times New Roman"/>
          <w:color w:val="000000" w:themeColor="text1"/>
          <w:sz w:val="16"/>
          <w:szCs w:val="16"/>
        </w:rPr>
        <w:softHyphen/>
        <w:t>вать ведение огня под углом не менее 65 гра</w:t>
      </w:r>
      <w:r w:rsidRPr="00722885">
        <w:rPr>
          <w:rFonts w:ascii="Times New Roman" w:hAnsi="Times New Roman"/>
          <w:color w:val="000000" w:themeColor="text1"/>
          <w:sz w:val="16"/>
          <w:szCs w:val="16"/>
        </w:rPr>
        <w:softHyphen/>
        <w:t>дусов для обстрела верхних этажей зданий. А для этого танку требовалась новая башня, работы над которой привели позднее к рож</w:t>
      </w:r>
      <w:r w:rsidRPr="00722885">
        <w:rPr>
          <w:rFonts w:ascii="Times New Roman" w:hAnsi="Times New Roman"/>
          <w:color w:val="000000" w:themeColor="text1"/>
          <w:sz w:val="16"/>
          <w:szCs w:val="16"/>
        </w:rPr>
        <w:softHyphen/>
        <w:t xml:space="preserve">дению Т-80. Разработка улучшенного Т-70 шла с </w:t>
      </w:r>
      <w:r w:rsidRPr="00722885">
        <w:rPr>
          <w:rFonts w:ascii="Times New Roman" w:hAnsi="Times New Roman"/>
          <w:color w:val="000000" w:themeColor="text1"/>
          <w:sz w:val="16"/>
          <w:szCs w:val="16"/>
        </w:rPr>
        <w:lastRenderedPageBreak/>
        <w:t>од</w:t>
      </w:r>
      <w:r w:rsidRPr="00722885">
        <w:rPr>
          <w:rFonts w:ascii="Times New Roman" w:hAnsi="Times New Roman"/>
          <w:color w:val="000000" w:themeColor="text1"/>
          <w:sz w:val="16"/>
          <w:szCs w:val="16"/>
        </w:rPr>
        <w:softHyphen/>
        <w:t>новременным внесением изменений в се</w:t>
      </w:r>
      <w:r w:rsidRPr="00722885">
        <w:rPr>
          <w:rFonts w:ascii="Times New Roman" w:hAnsi="Times New Roman"/>
          <w:color w:val="000000" w:themeColor="text1"/>
          <w:sz w:val="16"/>
          <w:szCs w:val="16"/>
        </w:rPr>
        <w:softHyphen/>
        <w:t>рийное производство, поэтому, чтобы не терять наработки и не снижать темпа освое</w:t>
      </w:r>
      <w:r w:rsidRPr="00722885">
        <w:rPr>
          <w:rFonts w:ascii="Times New Roman" w:hAnsi="Times New Roman"/>
          <w:color w:val="000000" w:themeColor="text1"/>
          <w:sz w:val="16"/>
          <w:szCs w:val="16"/>
        </w:rPr>
        <w:softHyphen/>
        <w:t>ния новой машины, руководство НКТП приняло решение о внесении всех дорабо</w:t>
      </w:r>
      <w:r w:rsidRPr="00722885">
        <w:rPr>
          <w:rFonts w:ascii="Times New Roman" w:hAnsi="Times New Roman"/>
          <w:color w:val="000000" w:themeColor="text1"/>
          <w:sz w:val="16"/>
          <w:szCs w:val="16"/>
        </w:rPr>
        <w:softHyphen/>
        <w:t>ток корпуса и МТО трехместного танка по</w:t>
      </w:r>
      <w:r w:rsidRPr="00722885">
        <w:rPr>
          <w:rFonts w:ascii="Times New Roman" w:hAnsi="Times New Roman"/>
          <w:color w:val="000000" w:themeColor="text1"/>
          <w:sz w:val="16"/>
          <w:szCs w:val="16"/>
        </w:rPr>
        <w:softHyphen/>
        <w:t>степенно в серию с тем, чтобы по оконча</w:t>
      </w:r>
      <w:r w:rsidRPr="00722885">
        <w:rPr>
          <w:rFonts w:ascii="Times New Roman" w:hAnsi="Times New Roman"/>
          <w:color w:val="000000" w:themeColor="text1"/>
          <w:sz w:val="16"/>
          <w:szCs w:val="16"/>
        </w:rPr>
        <w:softHyphen/>
        <w:t>нии государственных испытаний улучшен</w:t>
      </w:r>
      <w:r w:rsidRPr="00722885">
        <w:rPr>
          <w:rFonts w:ascii="Times New Roman" w:hAnsi="Times New Roman"/>
          <w:color w:val="000000" w:themeColor="text1"/>
          <w:sz w:val="16"/>
          <w:szCs w:val="16"/>
        </w:rPr>
        <w:softHyphen/>
        <w:t>ной башни сразу перейти на выпуск танка в целом (11084).</w:t>
      </w:r>
    </w:p>
    <w:p w14:paraId="1EC0DDF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680F88D8" w14:textId="77777777" w:rsidR="004C228B" w:rsidRPr="00722885" w:rsidRDefault="004C228B" w:rsidP="00722885">
      <w:pPr>
        <w:pStyle w:val="ae"/>
        <w:spacing w:before="0" w:after="0"/>
        <w:jc w:val="both"/>
        <w:textAlignment w:val="baseline"/>
        <w:rPr>
          <w:color w:val="000000" w:themeColor="text1"/>
          <w:sz w:val="16"/>
          <w:szCs w:val="16"/>
        </w:rPr>
      </w:pPr>
      <w:r w:rsidRPr="00722885">
        <w:rPr>
          <w:color w:val="000000" w:themeColor="text1"/>
          <w:sz w:val="16"/>
          <w:szCs w:val="16"/>
        </w:rPr>
        <w:t>К концу августа 1942 активно шла переписка с Наркоматом внешней торговли, при этом в ГАБТУ КА работали реалисты, которые заранее уточняли вопрос о том, будут ли отправлять танки в зимней комплектации. К тому моменту в СССР уже поступила информация по M4A2. В отличие от Medium Tank M3, в переписке новую американскую машину называли исключительно «M4A2» (слово «Шерман» не использовалось ни в переписке, ни на фронте). Впрочем, имелось исключение: в мае 1943 года представитель британской военной миссии в СССР подполковник Тёрнер предлагал советской стороне поставлять танки «Шерман». Фактически речь шла о том, что англичане перепродавали те танки, что им поставили американцы. Чем закончилась эта история, до конца не ясно, но есть очень серьёзные подозрения, что среди M4A2, попавших в СССР, затесались и Sherman III. Танки песочного цвета точно попадались, да и явно «подержанные» M4A2 встречались и в переписке (19038).</w:t>
      </w:r>
    </w:p>
    <w:p w14:paraId="3701B0F1" w14:textId="77777777" w:rsidR="004C228B" w:rsidRPr="00722885" w:rsidRDefault="004C228B" w:rsidP="00722885">
      <w:pPr>
        <w:pStyle w:val="ae"/>
        <w:spacing w:before="0" w:after="0"/>
        <w:jc w:val="both"/>
        <w:textAlignment w:val="baseline"/>
        <w:rPr>
          <w:color w:val="000000" w:themeColor="text1"/>
          <w:sz w:val="16"/>
          <w:szCs w:val="16"/>
        </w:rPr>
      </w:pPr>
    </w:p>
    <w:p w14:paraId="56EDEB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августа 1942 станции РУС-2с "Пегматит" устанавливались на аэродромах и использовались для наведения истребителей (384,221).</w:t>
      </w:r>
    </w:p>
    <w:p w14:paraId="007691A2" w14:textId="77777777" w:rsidR="00AE7191" w:rsidRPr="00722885" w:rsidRDefault="00AE7191" w:rsidP="00722885">
      <w:pPr>
        <w:pStyle w:val="Iauiue"/>
        <w:jc w:val="both"/>
        <w:rPr>
          <w:color w:val="000000" w:themeColor="text1"/>
          <w:sz w:val="16"/>
          <w:szCs w:val="16"/>
        </w:rPr>
      </w:pPr>
    </w:p>
    <w:p w14:paraId="5FBDA22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902BC1E" w14:textId="77777777" w:rsidR="00AE7191" w:rsidRPr="00722885" w:rsidRDefault="00AE7191" w:rsidP="00722885">
      <w:pPr>
        <w:pStyle w:val="Iauiue"/>
        <w:jc w:val="both"/>
        <w:rPr>
          <w:iCs/>
          <w:color w:val="000000" w:themeColor="text1"/>
          <w:sz w:val="16"/>
          <w:szCs w:val="16"/>
        </w:rPr>
      </w:pPr>
    </w:p>
    <w:p w14:paraId="48F772D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августа 1942 были разработаны предложения по повы</w:t>
      </w:r>
      <w:r w:rsidRPr="00722885">
        <w:rPr>
          <w:rFonts w:ascii="Times New Roman" w:hAnsi="Times New Roman"/>
          <w:color w:val="000000" w:themeColor="text1"/>
          <w:sz w:val="16"/>
          <w:szCs w:val="16"/>
        </w:rPr>
        <w:softHyphen/>
        <w:t>шению «эффективности средств ВВС КА в борьбе с танковы</w:t>
      </w:r>
      <w:r w:rsidRPr="00722885">
        <w:rPr>
          <w:rFonts w:ascii="Times New Roman" w:hAnsi="Times New Roman"/>
          <w:color w:val="000000" w:themeColor="text1"/>
          <w:sz w:val="16"/>
          <w:szCs w:val="16"/>
        </w:rPr>
        <w:softHyphen/>
        <w:t>ми частями противника».</w:t>
      </w:r>
    </w:p>
    <w:p w14:paraId="57FD4E7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Офицеры штаба ВВС считали необходимым «запретить ата</w:t>
      </w:r>
      <w:r w:rsidRPr="00722885">
        <w:rPr>
          <w:rFonts w:ascii="Times New Roman" w:hAnsi="Times New Roman"/>
          <w:color w:val="000000" w:themeColor="text1"/>
          <w:sz w:val="16"/>
          <w:szCs w:val="16"/>
        </w:rPr>
        <w:softHyphen/>
        <w:t>ки танков самолетами, вооруженными БС, пушками ШВАК, а также применение осколочно-фугасных бомб калибра менее 100 кг».</w:t>
      </w:r>
    </w:p>
    <w:p w14:paraId="2BB7F31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борьбы с бронетехникой предлагалось сформировать противотанковую авиадивизию, вооруженную самолетами с 37-мм и 23-мм пушками, укомплектовав ее хорошо подготов</w:t>
      </w:r>
      <w:r w:rsidRPr="00722885">
        <w:rPr>
          <w:rFonts w:ascii="Times New Roman" w:hAnsi="Times New Roman"/>
          <w:color w:val="000000" w:themeColor="text1"/>
          <w:sz w:val="16"/>
          <w:szCs w:val="16"/>
        </w:rPr>
        <w:softHyphen/>
        <w:t>ленными для выполнения этой задачи летчиками и команди</w:t>
      </w:r>
      <w:r w:rsidRPr="00722885">
        <w:rPr>
          <w:rFonts w:ascii="Times New Roman" w:hAnsi="Times New Roman"/>
          <w:color w:val="000000" w:themeColor="text1"/>
          <w:sz w:val="16"/>
          <w:szCs w:val="16"/>
        </w:rPr>
        <w:softHyphen/>
        <w:t>рами.</w:t>
      </w:r>
    </w:p>
    <w:p w14:paraId="4AF5744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Привлекать противотанковую авиадивизию к выполнению каких-либо иных задач, кроме борьбы с танками, запрещалось категорически.</w:t>
      </w:r>
    </w:p>
    <w:p w14:paraId="45798C3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этого, начальник Оперативного управления штаба ВВС КА генерал-майор Н.А. Журавлев потребовал срочно ор</w:t>
      </w:r>
      <w:r w:rsidRPr="00722885">
        <w:rPr>
          <w:rFonts w:ascii="Times New Roman" w:hAnsi="Times New Roman"/>
          <w:color w:val="000000" w:themeColor="text1"/>
          <w:sz w:val="16"/>
          <w:szCs w:val="16"/>
        </w:rPr>
        <w:softHyphen/>
        <w:t>ганизовать опытные работы по созданию новых авиационных средств поражения для борьбы с танками. В частности, предлагалось повысить эффективность действия снарядов пушек калибров 23 мм и 37 мм, увеличить у авиационных пушек на</w:t>
      </w:r>
      <w:r w:rsidRPr="00722885">
        <w:rPr>
          <w:rFonts w:ascii="Times New Roman" w:hAnsi="Times New Roman"/>
          <w:color w:val="000000" w:themeColor="text1"/>
          <w:sz w:val="16"/>
          <w:szCs w:val="16"/>
        </w:rPr>
        <w:softHyphen/>
        <w:t>чальную скорость полета снаряда до 1300—1400 м/с, а также изыскать «новые надежно действующие зажигательные средст</w:t>
      </w:r>
      <w:r w:rsidRPr="00722885">
        <w:rPr>
          <w:rFonts w:ascii="Times New Roman" w:hAnsi="Times New Roman"/>
          <w:color w:val="000000" w:themeColor="text1"/>
          <w:sz w:val="16"/>
          <w:szCs w:val="16"/>
        </w:rPr>
        <w:softHyphen/>
        <w:t>ва и новые методы их широкого и эффективного применения по танкам».</w:t>
      </w:r>
    </w:p>
    <w:p w14:paraId="6306344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Было решено вооружить Ил-2 пушками калибра 37 мм, «даже за счет вооруженного такой же пушкой ЛаГГ-3, так как последний без брони будет нести большие потери от средств ПВО противника», снять ракетные орудия РО-82, установив вместо них РО-132, и запустить в массовое производство двух</w:t>
      </w:r>
      <w:r w:rsidRPr="00722885">
        <w:rPr>
          <w:rFonts w:ascii="Times New Roman" w:hAnsi="Times New Roman"/>
          <w:color w:val="000000" w:themeColor="text1"/>
          <w:sz w:val="16"/>
          <w:szCs w:val="16"/>
        </w:rPr>
        <w:softHyphen/>
        <w:t>местный вариант самолета. При этом с началом серийного вы</w:t>
      </w:r>
      <w:r w:rsidRPr="00722885">
        <w:rPr>
          <w:rFonts w:ascii="Times New Roman" w:hAnsi="Times New Roman"/>
          <w:color w:val="000000" w:themeColor="text1"/>
          <w:sz w:val="16"/>
          <w:szCs w:val="16"/>
        </w:rPr>
        <w:softHyphen/>
        <w:t>пуска противотанковых самолетов Ил-2 сформировать на их основе специальные «штурмовые авиадивизии истребления танков, прикрыв их [самолетами] ЛаГГ-3, вооруженными так</w:t>
      </w:r>
      <w:r w:rsidRPr="00722885">
        <w:rPr>
          <w:rFonts w:ascii="Times New Roman" w:hAnsi="Times New Roman"/>
          <w:color w:val="000000" w:themeColor="text1"/>
          <w:sz w:val="16"/>
          <w:szCs w:val="16"/>
        </w:rPr>
        <w:softHyphen/>
        <w:t>же 37-мм пушками».</w:t>
      </w:r>
    </w:p>
    <w:p w14:paraId="0010C7D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тех пор, пока не будет отработано противотанковое воо</w:t>
      </w:r>
      <w:r w:rsidRPr="00722885">
        <w:rPr>
          <w:rFonts w:ascii="Times New Roman" w:hAnsi="Times New Roman"/>
          <w:color w:val="000000" w:themeColor="text1"/>
          <w:sz w:val="16"/>
          <w:szCs w:val="16"/>
        </w:rPr>
        <w:softHyphen/>
        <w:t>ружение штурмовиков, «основной задачей авиации в борьбе с танковыми частями противника считать уничтожение мотори</w:t>
      </w:r>
      <w:r w:rsidRPr="00722885">
        <w:rPr>
          <w:rFonts w:ascii="Times New Roman" w:hAnsi="Times New Roman"/>
          <w:color w:val="000000" w:themeColor="text1"/>
          <w:sz w:val="16"/>
          <w:szCs w:val="16"/>
        </w:rPr>
        <w:softHyphen/>
        <w:t>зованных частей, артиллерии и средств обеспечения (транс</w:t>
      </w:r>
      <w:r w:rsidRPr="00722885">
        <w:rPr>
          <w:rFonts w:ascii="Times New Roman" w:hAnsi="Times New Roman"/>
          <w:color w:val="000000" w:themeColor="text1"/>
          <w:sz w:val="16"/>
          <w:szCs w:val="16"/>
        </w:rPr>
        <w:softHyphen/>
        <w:t>портеры и бензоцистерны)».</w:t>
      </w:r>
    </w:p>
    <w:p w14:paraId="1ECF252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Командующий ВВС КА генерал-лейтенант А.А. Новиков в целом согласился со всеми предложениями своего штаба, за</w:t>
      </w:r>
      <w:r w:rsidRPr="00722885">
        <w:rPr>
          <w:rFonts w:ascii="Times New Roman" w:hAnsi="Times New Roman"/>
          <w:color w:val="000000" w:themeColor="text1"/>
          <w:sz w:val="16"/>
          <w:szCs w:val="16"/>
        </w:rPr>
        <w:softHyphen/>
        <w:t>метив, однако, что вопрос о формировании противотанковых штурмовых авиадивизий необходимо «проработать и обсудить на Военном совете».</w:t>
      </w:r>
    </w:p>
    <w:p w14:paraId="0BD001F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этому времени в серийное производство уже начал вне</w:t>
      </w:r>
      <w:r w:rsidRPr="00722885">
        <w:rPr>
          <w:rFonts w:ascii="Times New Roman" w:hAnsi="Times New Roman"/>
          <w:color w:val="000000" w:themeColor="text1"/>
          <w:sz w:val="16"/>
          <w:szCs w:val="16"/>
        </w:rPr>
        <w:softHyphen/>
        <w:t>дряться двухместный вариант Ил-2. В связи с ухудшением лет</w:t>
      </w:r>
      <w:r w:rsidRPr="00722885">
        <w:rPr>
          <w:rFonts w:ascii="Times New Roman" w:hAnsi="Times New Roman"/>
          <w:color w:val="000000" w:themeColor="text1"/>
          <w:sz w:val="16"/>
          <w:szCs w:val="16"/>
        </w:rPr>
        <w:softHyphen/>
        <w:t>ных данных самолета вопрос об установке восьми РО-132 от</w:t>
      </w:r>
      <w:r w:rsidRPr="00722885">
        <w:rPr>
          <w:rFonts w:ascii="Times New Roman" w:hAnsi="Times New Roman"/>
          <w:color w:val="000000" w:themeColor="text1"/>
          <w:sz w:val="16"/>
          <w:szCs w:val="16"/>
        </w:rPr>
        <w:softHyphen/>
        <w:t>пал. Наоборот, ракетное вооружение Ил-2 сокращалось до че</w:t>
      </w:r>
      <w:r w:rsidRPr="00722885">
        <w:rPr>
          <w:rFonts w:ascii="Times New Roman" w:hAnsi="Times New Roman"/>
          <w:color w:val="000000" w:themeColor="text1"/>
          <w:sz w:val="16"/>
          <w:szCs w:val="16"/>
        </w:rPr>
        <w:softHyphen/>
        <w:t>тырех РО-82.</w:t>
      </w:r>
    </w:p>
    <w:p w14:paraId="45E715F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от наркомов авиапромышленности и воору</w:t>
      </w:r>
      <w:r w:rsidRPr="00722885">
        <w:rPr>
          <w:rFonts w:ascii="Times New Roman" w:hAnsi="Times New Roman"/>
          <w:color w:val="000000" w:themeColor="text1"/>
          <w:sz w:val="16"/>
          <w:szCs w:val="16"/>
        </w:rPr>
        <w:softHyphen/>
        <w:t>жения потребовали скорейшего завершения работ по построй</w:t>
      </w:r>
      <w:r w:rsidRPr="00722885">
        <w:rPr>
          <w:rFonts w:ascii="Times New Roman" w:hAnsi="Times New Roman"/>
          <w:color w:val="000000" w:themeColor="text1"/>
          <w:sz w:val="16"/>
          <w:szCs w:val="16"/>
        </w:rPr>
        <w:softHyphen/>
        <w:t>ке войсковой серии самолетов Ил-2, вооруженных пушками ШФК-37, согласно Постановлению ГОКО от 26 ноября 1941 г. (11474,329).</w:t>
      </w:r>
    </w:p>
    <w:p w14:paraId="4D42DDB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1941147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августа 1941 были разработаны предложения по повышению "эффективности средств ВВС КА в борьбе с танковыми частями противника".</w:t>
      </w:r>
    </w:p>
    <w:p w14:paraId="70BB08A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Офицеры штаба ВВС считали необходимым "запретить атаки танков самолетами, вооруженных БС, пушками ШВАК, а также применение осколочно-фугасных бомб калибра менее 100 кг".</w:t>
      </w:r>
    </w:p>
    <w:p w14:paraId="5247A5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борьбы с бронетехникой предлагалось сформировать противотанковую авиадивизию, вооруженную самолетами с 37-мм и 23-мм пушками, укомплектовав ее хорошо подготовленными для выполнения этой задачи летчиками и командирами.</w:t>
      </w:r>
    </w:p>
    <w:p w14:paraId="21B6D0A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этого, требовалось ускорить опытные работы по новым авиационным средствам поражения для борьбы с танками.</w:t>
      </w:r>
    </w:p>
    <w:p w14:paraId="7D7005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Было решено срочно наладить выпуск противотанковых Ил-2 с пушками калибра 37 мм и восемью РО-132 и сформировать на их основе специальные "штурмовые авиадивизии истребления танков, прикрыв их ЛаГГ-3, вооруженных также 37-мм пушками".</w:t>
      </w:r>
    </w:p>
    <w:p w14:paraId="4D801C7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тех пор, пока не будет отработано противотанковое вооружение Ил-2, "основной задачей ...в борьбе с танковыми частями противника считать уничтожение моторизованных частей, артиллерии и средств обеспечения (транспортеры и бензоцистерны)".</w:t>
      </w:r>
    </w:p>
    <w:p w14:paraId="46D01A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 интересным представлялось применение штурмовиками бронебойных (РБС-82, РБС-132) и осколочно-фугасных (РОФС-132) снарядов, которые имели лучшие показатели рассеивания и значительно превосходили осколочные РС-82 и PC-132 по бронепробиваемости. Боевые заряды РБС-82 и РБС-132 обеспечивали пробитие 50-мм и 75-мм танковой брони, соответственно, а осколки РОФС-132 при разрыве снаряда вблизи танка пробивали броню толщиной до 15 мм.</w:t>
      </w:r>
    </w:p>
    <w:p w14:paraId="388A201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Вполне успешным было применение ампул АЖ-2 с самовоспламеняющейся жидкостью КС. При попадании на танк ампула разрушалась, жидкость КС прилипала к броне, залепляла смотровые щели и приборы наблюдения и вызывала пожар такой силы, что потушить его было невозможно - все, что находилось внутри танка, выжигалось. При этом любой "горевший танк является безвозвратной потерей". Это обстоятельство являлось весьма важным преимуществом АЖ-2 перед другими средствами поражения танков. В случае массового сброса АЖ-2 (в кассеты мелких бомб Ил-2 вмещалось 216 ампул) получалась вполне приемлемая вероятность поражения целей. Однако действие АЖ-2 находилось в сильной зависимости от погодных условий и наличия легковоспламеняющихся материалов в районе целей. </w:t>
      </w:r>
    </w:p>
    <w:p w14:paraId="25FE257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всех типов авиабомб лучшие результаты при действии по танкам показывали 100-кг фугаски, осколки которых пробивали броню толщиной до 30 мм при подрыве на расстоянии 1-5 м от танка. Кроме этого, от взрывной волны разрушались заклепочные и сварные швы танков.</w:t>
      </w:r>
    </w:p>
    <w:p w14:paraId="21EF290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Фугасные бомбы калибра 50 кг и осколочные калибра 25 кг обеспечивали поражение осколками танковой брони толщиной 15-20 мм лишь при разрыве в непосредственной близости от танка или при прямом попадании.</w:t>
      </w:r>
    </w:p>
    <w:p w14:paraId="6F05EE9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вероятность попадания бомбы в танк даже с небольшой высоты была невысокой, особенно в условиях боя, когда цели рассредоточивались, как правило, хорошо маскировались, в силу чего трудно обнаруживались с воздуха.</w:t>
      </w:r>
    </w:p>
    <w:p w14:paraId="519F437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основе боевого опыта первого периода войны Оперативное управление штаба ВВС КА в ориентировочных расчетах боевых возможностей Ил-2 указывало, что для выведения из строя одного легкого танка необходимо выделять 4-5 Ил-2, а одного среднего танка - 12-15 Ил-2. Очевидно, такой результат нельзя признать отвечающим требованиям войны (12020).</w:t>
      </w:r>
    </w:p>
    <w:p w14:paraId="65ECFF6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01003D0"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концу августа 1942 г., основываясь на материалах отчетов НИП АВ и 2-го отдела Оперативного управления штаба ВВС, специалисты штаба разра</w:t>
      </w:r>
      <w:r w:rsidRPr="00722885">
        <w:rPr>
          <w:color w:val="000000" w:themeColor="text1"/>
          <w:sz w:val="16"/>
          <w:szCs w:val="16"/>
        </w:rPr>
        <w:softHyphen/>
        <w:t>ботали специальные указания по использованию авиации против немецких танков, а также предло</w:t>
      </w:r>
      <w:r w:rsidRPr="00722885">
        <w:rPr>
          <w:color w:val="000000" w:themeColor="text1"/>
          <w:sz w:val="16"/>
          <w:szCs w:val="16"/>
        </w:rPr>
        <w:softHyphen/>
        <w:t>жения по повышению «эффективности средств ВВС КА в борьбе с танковыми частями противника».</w:t>
      </w:r>
    </w:p>
    <w:p w14:paraId="116F2F23"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Офицеры Оперативного управления штаба ВВС считали необходимым «дать указания командую</w:t>
      </w:r>
      <w:r w:rsidRPr="00722885">
        <w:rPr>
          <w:color w:val="000000" w:themeColor="text1"/>
          <w:sz w:val="16"/>
          <w:szCs w:val="16"/>
        </w:rPr>
        <w:softHyphen/>
        <w:t>щим фронтами и командующим воздушными арми</w:t>
      </w:r>
      <w:r w:rsidRPr="00722885">
        <w:rPr>
          <w:color w:val="000000" w:themeColor="text1"/>
          <w:sz w:val="16"/>
          <w:szCs w:val="16"/>
        </w:rPr>
        <w:softHyphen/>
        <w:t>ями, что основными целями авиации при действии по танковым соединениям во всех видах боя и опе рации должны быть не танки, а мо</w:t>
      </w:r>
      <w:r w:rsidRPr="00722885">
        <w:rPr>
          <w:color w:val="000000" w:themeColor="text1"/>
          <w:sz w:val="16"/>
          <w:szCs w:val="16"/>
        </w:rPr>
        <w:softHyphen/>
        <w:t>торизованные войска и средства обеспечения танков».</w:t>
      </w:r>
    </w:p>
    <w:p w14:paraId="71700CC1"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этого, требовалось «за</w:t>
      </w:r>
      <w:r w:rsidRPr="00722885">
        <w:rPr>
          <w:color w:val="000000" w:themeColor="text1"/>
          <w:sz w:val="16"/>
          <w:szCs w:val="16"/>
        </w:rPr>
        <w:softHyphen/>
        <w:t>претить атаки танков самолетами, вооруженными БС, пушками ШВАК, а также применение осколочно-фу</w:t>
      </w:r>
      <w:r w:rsidRPr="00722885">
        <w:rPr>
          <w:color w:val="000000" w:themeColor="text1"/>
          <w:sz w:val="16"/>
          <w:szCs w:val="16"/>
        </w:rPr>
        <w:softHyphen/>
        <w:t>гасных бомб калибра менее 100 кг».</w:t>
      </w:r>
    </w:p>
    <w:p w14:paraId="72A64D68"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Для борьбы непосредственно с танками предлагалось сформиро</w:t>
      </w:r>
      <w:r w:rsidRPr="00722885">
        <w:rPr>
          <w:color w:val="000000" w:themeColor="text1"/>
          <w:sz w:val="16"/>
          <w:szCs w:val="16"/>
        </w:rPr>
        <w:softHyphen/>
        <w:t>вать специализированную авиади</w:t>
      </w:r>
      <w:r w:rsidRPr="00722885">
        <w:rPr>
          <w:color w:val="000000" w:themeColor="text1"/>
          <w:sz w:val="16"/>
          <w:szCs w:val="16"/>
        </w:rPr>
        <w:softHyphen/>
        <w:t>визию, вооруженную самолетами с 37-мм и 23-мм пушками, укомплектовав ее хоро</w:t>
      </w:r>
      <w:r w:rsidRPr="00722885">
        <w:rPr>
          <w:color w:val="000000" w:themeColor="text1"/>
          <w:sz w:val="16"/>
          <w:szCs w:val="16"/>
        </w:rPr>
        <w:softHyphen/>
        <w:t>шо подготовленными для выполнения этой задачи летчиками и командирами. Оснащенность диви</w:t>
      </w:r>
      <w:r w:rsidRPr="00722885">
        <w:rPr>
          <w:color w:val="000000" w:themeColor="text1"/>
          <w:sz w:val="16"/>
          <w:szCs w:val="16"/>
        </w:rPr>
        <w:softHyphen/>
        <w:t>зии средствами переброски и управления должна была обеспечивать быстрое перебазирование на угрожаемый участок фронта, организацию тесного взаимодействия с войсками и непрерывное управ</w:t>
      </w:r>
      <w:r w:rsidRPr="00722885">
        <w:rPr>
          <w:color w:val="000000" w:themeColor="text1"/>
          <w:sz w:val="16"/>
          <w:szCs w:val="16"/>
        </w:rPr>
        <w:softHyphen/>
        <w:t>ление самолетами, группами и частями в бою.</w:t>
      </w:r>
    </w:p>
    <w:p w14:paraId="70F49460"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качестве основного назначения такой диви</w:t>
      </w:r>
      <w:r w:rsidRPr="00722885">
        <w:rPr>
          <w:color w:val="000000" w:themeColor="text1"/>
          <w:sz w:val="16"/>
          <w:szCs w:val="16"/>
        </w:rPr>
        <w:softHyphen/>
        <w:t>зии указывалось уничтожение прорвавшихся тан</w:t>
      </w:r>
      <w:r w:rsidRPr="00722885">
        <w:rPr>
          <w:color w:val="000000" w:themeColor="text1"/>
          <w:sz w:val="16"/>
          <w:szCs w:val="16"/>
        </w:rPr>
        <w:softHyphen/>
        <w:t>ков. Считалось, что именно эти действия дадут наи</w:t>
      </w:r>
      <w:r w:rsidRPr="00722885">
        <w:rPr>
          <w:color w:val="000000" w:themeColor="text1"/>
          <w:sz w:val="16"/>
          <w:szCs w:val="16"/>
        </w:rPr>
        <w:softHyphen/>
        <w:t>больший эффект, «так как прорвавшиеся танки не имеют обычно надежных средств прикрытия с воз</w:t>
      </w:r>
      <w:r w:rsidRPr="00722885">
        <w:rPr>
          <w:color w:val="000000" w:themeColor="text1"/>
          <w:sz w:val="16"/>
          <w:szCs w:val="16"/>
        </w:rPr>
        <w:softHyphen/>
        <w:t>духа, поэтому наши самолеты могут атаковывать вражеские танки с предельно коротких дистанций, обеспечивающих их действительное поражение».</w:t>
      </w:r>
    </w:p>
    <w:p w14:paraId="71ED21FB"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Необходимость формирования дивизии объ</w:t>
      </w:r>
      <w:r w:rsidRPr="00722885">
        <w:rPr>
          <w:color w:val="000000" w:themeColor="text1"/>
          <w:sz w:val="16"/>
          <w:szCs w:val="16"/>
        </w:rPr>
        <w:softHyphen/>
        <w:t>яснялась еще и тем обстоятельством, что у назем</w:t>
      </w:r>
      <w:r w:rsidRPr="00722885">
        <w:rPr>
          <w:color w:val="000000" w:themeColor="text1"/>
          <w:sz w:val="16"/>
          <w:szCs w:val="16"/>
        </w:rPr>
        <w:softHyphen/>
        <w:t>ных войск, расположенных в глубине обороны, в большинстве случаев не имелось в достаточном количестве противотанковых средств. При этом выдвижение противотанковых резервов и огневых средств из тыла и с других направлений требовало значительного времени. В то же время переброска противотанковой авиадивизии в район прорыва выполнялась очень быстро.</w:t>
      </w:r>
    </w:p>
    <w:p w14:paraId="313D84CF"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Наносить удары по танкам, когда они сильно прикрыты зенитными средствами и истребительной авиацией, считалось нецелесообразным: «...кроме неоправданных потерь, это ничего не даст».</w:t>
      </w:r>
    </w:p>
    <w:p w14:paraId="201CBEF6"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Привлекать противотанковую авиадивизию к выполнению каких-либо иных задач, кроме борь</w:t>
      </w:r>
      <w:r w:rsidRPr="00722885">
        <w:rPr>
          <w:color w:val="000000" w:themeColor="text1"/>
          <w:sz w:val="16"/>
          <w:szCs w:val="16"/>
        </w:rPr>
        <w:softHyphen/>
        <w:t>бы с танками, запрещалось категорически.</w:t>
      </w:r>
    </w:p>
    <w:p w14:paraId="09D69AF8"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этого, начальник Оперативного управ</w:t>
      </w:r>
      <w:r w:rsidRPr="00722885">
        <w:rPr>
          <w:color w:val="000000" w:themeColor="text1"/>
          <w:sz w:val="16"/>
          <w:szCs w:val="16"/>
        </w:rPr>
        <w:softHyphen/>
        <w:t>ления штаба ВВС КА генерал-майор Н. А. Журавлев потребовал срочно организовать опытные работы по созданию новых авиационных средств пора</w:t>
      </w:r>
      <w:r w:rsidRPr="00722885">
        <w:rPr>
          <w:color w:val="000000" w:themeColor="text1"/>
          <w:sz w:val="16"/>
          <w:szCs w:val="16"/>
        </w:rPr>
        <w:softHyphen/>
        <w:t>жения для борьбы с танками. В частности, пред</w:t>
      </w:r>
      <w:r w:rsidRPr="00722885">
        <w:rPr>
          <w:color w:val="000000" w:themeColor="text1"/>
          <w:sz w:val="16"/>
          <w:szCs w:val="16"/>
        </w:rPr>
        <w:softHyphen/>
        <w:t>лагалось повысить эффективность действия сна</w:t>
      </w:r>
      <w:r w:rsidRPr="00722885">
        <w:rPr>
          <w:color w:val="000000" w:themeColor="text1"/>
          <w:sz w:val="16"/>
          <w:szCs w:val="16"/>
        </w:rPr>
        <w:softHyphen/>
        <w:t>рядов калибра 23 и 37 мм, увеличить у авиацион</w:t>
      </w:r>
      <w:r w:rsidRPr="00722885">
        <w:rPr>
          <w:color w:val="000000" w:themeColor="text1"/>
          <w:sz w:val="16"/>
          <w:szCs w:val="16"/>
        </w:rPr>
        <w:softHyphen/>
        <w:t>ных пушек начальную скорость полета снаряда до 1300—1400 м/с, а также изыскать «новые, надежно действующие зажигательные средства и новые ме</w:t>
      </w:r>
      <w:r w:rsidRPr="00722885">
        <w:rPr>
          <w:color w:val="000000" w:themeColor="text1"/>
          <w:sz w:val="16"/>
          <w:szCs w:val="16"/>
        </w:rPr>
        <w:softHyphen/>
        <w:t>тоды их широкого и эффективного применения по танкам».</w:t>
      </w:r>
    </w:p>
    <w:p w14:paraId="0903C708"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Обращалось внимание на высокие бронепро- бивные свойства пуль со стальным сердечником (Б-32) и с твердосплавным металлокерамическим сердечником из карбида вольфрама (БС-41) от 14,5-мм противотанкового ружья. Справедливо считалось, что пониженная сила отдачи пушки не</w:t>
      </w:r>
      <w:r w:rsidRPr="00722885">
        <w:rPr>
          <w:color w:val="000000" w:themeColor="text1"/>
          <w:sz w:val="16"/>
          <w:szCs w:val="16"/>
        </w:rPr>
        <w:softHyphen/>
        <w:t>большого калибра позволит получить невысокое рассеивание при стрельбе в воздухе, в том числе и при установке такой пушки в крыле самолета Ил-2, а значит, обеспечить высокую вероятность поражения бронетехники.</w:t>
      </w:r>
    </w:p>
    <w:p w14:paraId="70F73474"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Было решено вооружить Ил-2 пушками калибра 37 мм, «даже за счет вооруженного такой же пуш</w:t>
      </w:r>
      <w:r w:rsidRPr="00722885">
        <w:rPr>
          <w:color w:val="000000" w:themeColor="text1"/>
          <w:sz w:val="16"/>
          <w:szCs w:val="16"/>
        </w:rPr>
        <w:softHyphen/>
        <w:t>кой ЛаГГ-3, так как последний без брони будет не</w:t>
      </w:r>
      <w:r w:rsidRPr="00722885">
        <w:rPr>
          <w:color w:val="000000" w:themeColor="text1"/>
          <w:sz w:val="16"/>
          <w:szCs w:val="16"/>
        </w:rPr>
        <w:softHyphen/>
        <w:t>сти большие потери от средств ПВО противника», снять ракетные орудия РО-82, установив вместо них РО-132, и запустить в массовое производство двух</w:t>
      </w:r>
      <w:r w:rsidRPr="00722885">
        <w:rPr>
          <w:color w:val="000000" w:themeColor="text1"/>
          <w:sz w:val="16"/>
          <w:szCs w:val="16"/>
        </w:rPr>
        <w:softHyphen/>
        <w:t>местный вариант самолета. При этом с началом се</w:t>
      </w:r>
      <w:r w:rsidRPr="00722885">
        <w:rPr>
          <w:color w:val="000000" w:themeColor="text1"/>
          <w:sz w:val="16"/>
          <w:szCs w:val="16"/>
        </w:rPr>
        <w:softHyphen/>
        <w:t>рийного выпуска противотанковых самолетов Ил-2 сформировать на их основе специальные «штурмо</w:t>
      </w:r>
      <w:r w:rsidRPr="00722885">
        <w:rPr>
          <w:color w:val="000000" w:themeColor="text1"/>
          <w:sz w:val="16"/>
          <w:szCs w:val="16"/>
        </w:rPr>
        <w:softHyphen/>
        <w:t>вые авиадивизии истребления танков, прикрыв их ЛаГГ-3, вооруженных также 37-мм пушками».</w:t>
      </w:r>
    </w:p>
    <w:p w14:paraId="56A428F8"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До тех пор, пока не будет отработано противо</w:t>
      </w:r>
      <w:r w:rsidRPr="00722885">
        <w:rPr>
          <w:color w:val="000000" w:themeColor="text1"/>
          <w:sz w:val="16"/>
          <w:szCs w:val="16"/>
        </w:rPr>
        <w:softHyphen/>
        <w:t>танковое вооружение штурмовиков, «основной задачей авиации в борьбе с танковыми частями противника считать уничтожение моторизованных частей, артиллерии и средств обеспечения (транс</w:t>
      </w:r>
      <w:r w:rsidRPr="00722885">
        <w:rPr>
          <w:color w:val="000000" w:themeColor="text1"/>
          <w:sz w:val="16"/>
          <w:szCs w:val="16"/>
        </w:rPr>
        <w:softHyphen/>
        <w:t>портеры и бензоцистерны)».</w:t>
      </w:r>
    </w:p>
    <w:p w14:paraId="72C4A269" w14:textId="77777777" w:rsidR="00706739" w:rsidRPr="00722885" w:rsidRDefault="0070673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Командующий ВВС КА генерал-лейтенант А. А. Новиков в целом согласился со всеми предло</w:t>
      </w:r>
      <w:r w:rsidRPr="00722885">
        <w:rPr>
          <w:color w:val="000000" w:themeColor="text1"/>
          <w:sz w:val="16"/>
          <w:szCs w:val="16"/>
        </w:rPr>
        <w:softHyphen/>
        <w:t>жениями своего штаба, заметив, однако, что вопрос о формировании противотанковых штурмовых ави</w:t>
      </w:r>
      <w:r w:rsidRPr="00722885">
        <w:rPr>
          <w:color w:val="000000" w:themeColor="text1"/>
          <w:sz w:val="16"/>
          <w:szCs w:val="16"/>
        </w:rPr>
        <w:softHyphen/>
        <w:t>адивизий необходимо «проработать и обсудить на Военном совете» (17500).</w:t>
      </w:r>
    </w:p>
    <w:p w14:paraId="7C977AB2" w14:textId="77777777" w:rsidR="00706739" w:rsidRPr="00722885" w:rsidRDefault="00706739" w:rsidP="00722885">
      <w:pPr>
        <w:spacing w:after="0" w:line="240" w:lineRule="auto"/>
        <w:jc w:val="both"/>
        <w:rPr>
          <w:rFonts w:ascii="Times New Roman" w:hAnsi="Times New Roman"/>
          <w:color w:val="000000" w:themeColor="text1"/>
          <w:sz w:val="16"/>
          <w:szCs w:val="16"/>
        </w:rPr>
      </w:pPr>
    </w:p>
    <w:p w14:paraId="5A4AF5E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августа 1943 года разведывательные полеты Ju 86R над Москвой прекратились, но актуальность проблемы не исчезла. Поэтому работы по созданию высотного перехватчика в ОКБ-115 пошли по двум направлениям, причем ставка делалась на базовый истребитель Як-3.</w:t>
      </w:r>
    </w:p>
    <w:p w14:paraId="08C76BE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Первым направлением повышения высотности самолета стало оснащение его высотным двигателем, а второе, позволявшее значительно поднять потолок и скорость, - оснащение машины ускорителем с жидкостно-реактивным двигателем (12047).</w:t>
      </w:r>
    </w:p>
    <w:p w14:paraId="6583CC2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C3C77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августа 1942 244-ю дивизию, которую кое-как оснастили техникой и в которой насчитывалось всего 20 Б-3, направили в 4-ю воздушную армию на Закавказский фронт (3457,101).</w:t>
      </w:r>
    </w:p>
    <w:p w14:paraId="06C10FDE" w14:textId="77777777" w:rsidR="00AE7191" w:rsidRPr="00722885" w:rsidRDefault="00AE7191" w:rsidP="00722885">
      <w:pPr>
        <w:pStyle w:val="Iauiue"/>
        <w:jc w:val="both"/>
        <w:rPr>
          <w:color w:val="000000" w:themeColor="text1"/>
          <w:sz w:val="16"/>
          <w:szCs w:val="16"/>
        </w:rPr>
      </w:pPr>
    </w:p>
    <w:p w14:paraId="378A6B2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конца августа 1942 авиагруппа м П.Евдокимова в составе двух отрядов перелетевная на МБР-2 из Баку в устье Волги у Астрахани два с лишним месяца бомбо-штурмовыми ударами сдерживала наступление немцев в доль ш Элиста - Астрахань, летая с водного аэродрома. При установлении льда перелетели назад в Баку (7424, 12).</w:t>
      </w:r>
    </w:p>
    <w:p w14:paraId="543C7C4C" w14:textId="77777777" w:rsidR="00AE7191" w:rsidRPr="00722885" w:rsidRDefault="00AE7191" w:rsidP="00722885">
      <w:pPr>
        <w:pStyle w:val="Iauiue"/>
        <w:jc w:val="both"/>
        <w:rPr>
          <w:color w:val="000000" w:themeColor="text1"/>
          <w:sz w:val="16"/>
          <w:szCs w:val="16"/>
        </w:rPr>
      </w:pPr>
    </w:p>
    <w:p w14:paraId="2F79490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AF25339" w14:textId="77777777" w:rsidR="00AE7191" w:rsidRPr="00722885" w:rsidRDefault="00AE7191" w:rsidP="00722885">
      <w:pPr>
        <w:pStyle w:val="Iauiue"/>
        <w:jc w:val="both"/>
        <w:rPr>
          <w:iCs/>
          <w:color w:val="000000" w:themeColor="text1"/>
          <w:sz w:val="16"/>
          <w:szCs w:val="16"/>
        </w:rPr>
      </w:pPr>
    </w:p>
    <w:p w14:paraId="1D6FA3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 второй половине августа 1942 г. 288-я истребительная авиадивизия подполковника С.Ф.Коновалова в составе 80 Як-7Б прибыла на фронтю К концу сентября пилоты совершили 1008 боевых вылетов, заявили об уничтожении 81 самолета противника и потеряли 55 своих в воздушных боях и еще три - от огня зенитной артиллерии. На каждый потерянный самолет, таким образом, приходилось около 17 боевых вылетов и приблизительно 15 часов налета! Заметим, что такие высокие удельные потери понес истребитель, который считался в ВВС Красной Армии лучшим по комплексу летных данных! (4537).</w:t>
      </w:r>
    </w:p>
    <w:p w14:paraId="5EECA1A1" w14:textId="77777777" w:rsidR="00AE7191" w:rsidRPr="00722885" w:rsidRDefault="00AE7191" w:rsidP="00722885">
      <w:pPr>
        <w:pStyle w:val="Iauiue"/>
        <w:jc w:val="both"/>
        <w:rPr>
          <w:color w:val="000000" w:themeColor="text1"/>
          <w:sz w:val="16"/>
          <w:szCs w:val="16"/>
        </w:rPr>
      </w:pPr>
    </w:p>
    <w:p w14:paraId="37017E5F" w14:textId="77777777" w:rsidR="00E7500A" w:rsidRPr="00722885" w:rsidRDefault="00E7500A"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F59D708" w14:textId="77777777" w:rsidR="00E7500A" w:rsidRPr="00722885" w:rsidRDefault="00E7500A" w:rsidP="00722885">
      <w:pPr>
        <w:pStyle w:val="Iauiue"/>
        <w:jc w:val="both"/>
        <w:rPr>
          <w:iCs/>
          <w:color w:val="000000" w:themeColor="text1"/>
          <w:sz w:val="16"/>
          <w:szCs w:val="16"/>
        </w:rPr>
      </w:pPr>
    </w:p>
    <w:p w14:paraId="449B238D" w14:textId="77777777" w:rsidR="00E7500A" w:rsidRPr="00722885"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Во второй половине августа 1942 по требованию литейщиков был разработан другой каток, получивший чертежный индекс 833–16. Он оказался еще легче, чем 33–65 – его масса составила 125 килограмм. В конструкции катка легко можно заметить сходство с опорным катком КВ-13, который разработали летом 1942 года. 23 августа каток 833–16 успешно прошёл сравнительные испытания на копре и с 31 августа был введён на танках. Правда, понадобилось некоторое время, чтобы освоить его производство, так что некоторые КВ-1с сентябрьского выпуска получили опорные катки старой конструкции, от КВ-1.</w:t>
      </w:r>
    </w:p>
    <w:p w14:paraId="0EAFA34E" w14:textId="77777777" w:rsidR="00E7500A" w:rsidRPr="00722885"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 КВ-1 в это время ставились опорные катки, выполненные по чертежу 33–803, серийное производство которых было налажено с февраля 1942 года. Каждый такой каток имел массу 170 килограмм. Для КВ-1с конструкторское бюро СКБ-2 разработало облегченную конструкцию. Катки, получившие чертежный номер 33–65, устанавливались на двух опытных образцах КВ-1с, а также первых танках установочной партии. Конструкторам удалось снизить массу катка до 135 килограмм. Благодаря использованию таких катков удалось снизить массу танка на 420 килограмм.</w:t>
      </w:r>
    </w:p>
    <w:p w14:paraId="03189AF7" w14:textId="77777777" w:rsidR="00E7500A" w:rsidRPr="00722885"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Проблема опорных катков 33–65 заключалась в том, что они оказались малоподходящими для массового производства. С точки зрения литейной технологии они были неудачными. Сталелитейный цех, пытавшийся освоить их выпуск в июле-августе 1942 года, этого сделать так и не смог. В результате ЧКЗ был вынужден ставить на танки выпуска августа и частично сентября 1942 года старые опорные катки 33–803.</w:t>
      </w:r>
    </w:p>
    <w:p w14:paraId="61FDAEF9" w14:textId="77777777" w:rsidR="00E7500A" w:rsidRPr="00722885"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Опорный каток, получивший чертежный индекс 33–67, согласно официальному списку изменений, 5 ноября 1942 года и устанавливался на машины начиная с танка 210109. Впрочем, есть все основания полагать, что случился переход гораздо раньше – в октябре. Каток этот представлял собой немного измененный 833–16, который официально считался опытной конструкцией. В течение октября 1942 года оба типа катков ставились на танки параллельно.</w:t>
      </w:r>
    </w:p>
    <w:p w14:paraId="5C2E7DF8" w14:textId="77777777" w:rsidR="00E7500A" w:rsidRPr="00722885"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катками 33–67 связана довольно громкая история, случившаяся в ноябре 1942 года. С начала ноября стали фиксироваться массовые случаи выхода опорных катков из строя. Например, в 5-м гвардейском танковом полку (гв. тп) за 10–11 ноября из строя вышло 164 катка. На заводе начались серьёзные разбирательства. В результате выяснилось, что проблема не столько в конструкции катка, сколько в качестве изготовления.</w:t>
      </w:r>
    </w:p>
    <w:p w14:paraId="7EA37911" w14:textId="77777777" w:rsidR="00E7500A" w:rsidRPr="00722885"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Происходило всё это на фоне проблем с поставками литых деталей, приведших к тому, что выполнение программы сильно задерживалось. Если последний танк сентябрьского плана был принят 2 октября, то последний октябрьский построили 6 ноября, а сдали и вовсе 9. Свою лепту вносила и проблема с поставкой корпусов, что особенно было заметно в ноябре и декабре 1942 года. Последний «ноябрьский» танк был построен 7 декабря, сдали его 15 числа. Последний танк декабрьского плана ЧКЗ построил 10 января, а сдал 11. Такой была плата за развертывание в Челябинске выпуска Т-34.</w:t>
      </w:r>
    </w:p>
    <w:p w14:paraId="6068898B" w14:textId="77777777" w:rsidR="00E7500A" w:rsidRPr="00722885"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1 ноября танки стали оснащаться траками шириной 650 мм, 28 числа на корпус вернулись поручни. Также в ноябре немного изменилось сидение командира, а опоры балансиров опорных катков были переведены на сварку. 25 ноября (официально – 2 декабря) в производство был внедрен модернизированный опорный каток, получивший чертежный номер 22–69. С его введением чехарда с катками для КВ-1с , наконец, прекратилась. 10 декабря появились поручни на башне. В целом декабрь стал для танка этапным: именно в этом месяце он претерпел наиболее серьезные изменения во внешнем виде (17962).</w:t>
      </w:r>
    </w:p>
    <w:p w14:paraId="257189D1" w14:textId="77777777" w:rsidR="00E7500A" w:rsidRPr="00722885" w:rsidRDefault="00E7500A" w:rsidP="00722885">
      <w:pPr>
        <w:spacing w:after="0" w:line="240" w:lineRule="auto"/>
        <w:jc w:val="both"/>
        <w:rPr>
          <w:rFonts w:ascii="Times New Roman" w:eastAsia="Times New Roman" w:hAnsi="Times New Roman"/>
          <w:color w:val="000000" w:themeColor="text1"/>
          <w:sz w:val="16"/>
          <w:szCs w:val="16"/>
          <w:lang w:eastAsia="ru-RU"/>
        </w:rPr>
      </w:pPr>
    </w:p>
    <w:p w14:paraId="0FC0D51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3BCB098" w14:textId="77777777" w:rsidR="00AE7191" w:rsidRPr="00722885" w:rsidRDefault="00AE7191" w:rsidP="00722885">
      <w:pPr>
        <w:pStyle w:val="Iauiue"/>
        <w:jc w:val="both"/>
        <w:rPr>
          <w:iCs/>
          <w:color w:val="000000" w:themeColor="text1"/>
          <w:sz w:val="16"/>
          <w:szCs w:val="16"/>
        </w:rPr>
      </w:pPr>
    </w:p>
    <w:p w14:paraId="28CFA9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 оба Ил-2 с дистанционно управляемым оружием для обороны задней полусферы проходили государственные испытания. Лучшей признали установку с двумя ШКАСами, однако из-за низких боевых возможностей обеих установок они серийно не строились. Основные усилия сосредоточили на создании и внедрении в серию двухместного штурмовика (9528).</w:t>
      </w:r>
    </w:p>
    <w:p w14:paraId="4197749C" w14:textId="77777777" w:rsidR="00AE7191" w:rsidRPr="00722885" w:rsidRDefault="00AE7191" w:rsidP="00722885">
      <w:pPr>
        <w:pStyle w:val="Iauiue"/>
        <w:jc w:val="both"/>
        <w:rPr>
          <w:color w:val="000000" w:themeColor="text1"/>
          <w:sz w:val="16"/>
          <w:szCs w:val="16"/>
        </w:rPr>
      </w:pPr>
    </w:p>
    <w:p w14:paraId="6A614B8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в 17-й ВА в двухместный вари</w:t>
      </w:r>
      <w:r w:rsidRPr="00722885">
        <w:rPr>
          <w:rFonts w:ascii="Times New Roman" w:hAnsi="Times New Roman"/>
          <w:color w:val="000000" w:themeColor="text1"/>
          <w:sz w:val="16"/>
          <w:szCs w:val="16"/>
        </w:rPr>
        <w:softHyphen/>
        <w:t>ант с пулеметом УБТ были переделаны 66 Ил-2. Подобные пе</w:t>
      </w:r>
      <w:r w:rsidRPr="00722885">
        <w:rPr>
          <w:rFonts w:ascii="Times New Roman" w:hAnsi="Times New Roman"/>
          <w:color w:val="000000" w:themeColor="text1"/>
          <w:sz w:val="16"/>
          <w:szCs w:val="16"/>
        </w:rPr>
        <w:softHyphen/>
        <w:t>ределки выполнялись в 1-й, 2-й и 6-й воздушных армиях. Свой ремонтный вариант кабины стрелка разработало и ОКБ Илью</w:t>
      </w:r>
      <w:r w:rsidRPr="00722885">
        <w:rPr>
          <w:rFonts w:ascii="Times New Roman" w:hAnsi="Times New Roman"/>
          <w:color w:val="000000" w:themeColor="text1"/>
          <w:sz w:val="16"/>
          <w:szCs w:val="16"/>
        </w:rPr>
        <w:softHyphen/>
        <w:t>шина. Соответствующая инструкция по доработке Ил-2 сила</w:t>
      </w:r>
      <w:r w:rsidRPr="00722885">
        <w:rPr>
          <w:rFonts w:ascii="Times New Roman" w:hAnsi="Times New Roman"/>
          <w:color w:val="000000" w:themeColor="text1"/>
          <w:sz w:val="16"/>
          <w:szCs w:val="16"/>
        </w:rPr>
        <w:softHyphen/>
        <w:t>ми техсостава частей в октябре была отправлена в действую</w:t>
      </w:r>
      <w:r w:rsidRPr="00722885">
        <w:rPr>
          <w:rFonts w:ascii="Times New Roman" w:hAnsi="Times New Roman"/>
          <w:color w:val="000000" w:themeColor="text1"/>
          <w:sz w:val="16"/>
          <w:szCs w:val="16"/>
        </w:rPr>
        <w:softHyphen/>
        <w:t>щую армию. Всего на фронте в двухместные было переобору</w:t>
      </w:r>
      <w:r w:rsidRPr="00722885">
        <w:rPr>
          <w:rFonts w:ascii="Times New Roman" w:hAnsi="Times New Roman"/>
          <w:color w:val="000000" w:themeColor="text1"/>
          <w:sz w:val="16"/>
          <w:szCs w:val="16"/>
        </w:rPr>
        <w:softHyphen/>
        <w:t>довано около 1200 Ил-2. Здесь стоит сказать, что в ходе эксплуатации в частях дей</w:t>
      </w:r>
      <w:r w:rsidRPr="00722885">
        <w:rPr>
          <w:rFonts w:ascii="Times New Roman" w:hAnsi="Times New Roman"/>
          <w:color w:val="000000" w:themeColor="text1"/>
          <w:sz w:val="16"/>
          <w:szCs w:val="16"/>
        </w:rPr>
        <w:softHyphen/>
        <w:t>ствующей армии двухместных Ил-2 «войсковой доработки» с оборонительными пулеметами УБТ в большинстве случаев уже после 5—10 посадок самолета в средней части полукольца ус</w:t>
      </w:r>
      <w:r w:rsidRPr="00722885">
        <w:rPr>
          <w:rFonts w:ascii="Times New Roman" w:hAnsi="Times New Roman"/>
          <w:color w:val="000000" w:themeColor="text1"/>
          <w:sz w:val="16"/>
          <w:szCs w:val="16"/>
        </w:rPr>
        <w:softHyphen/>
        <w:t>тановки появлялись трещины. Техническому составу частей приходилось заменять турель и одновременно усиливать фю</w:t>
      </w:r>
      <w:r w:rsidRPr="00722885">
        <w:rPr>
          <w:rFonts w:ascii="Times New Roman" w:hAnsi="Times New Roman"/>
          <w:color w:val="000000" w:themeColor="text1"/>
          <w:sz w:val="16"/>
          <w:szCs w:val="16"/>
        </w:rPr>
        <w:softHyphen/>
        <w:t>зеляж в районе выреза под кабину стрелка (11474,294).</w:t>
      </w:r>
    </w:p>
    <w:p w14:paraId="319C59F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634D2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В августе 1942 в НИИ АВ проходил испытания авиационный миномет Потанина, смонтированный в хвостовой части Ил-2. Монтировали ствол 82 мм миномета, снабженный шестизарядным механизмом заряжания. Ось миномета отклонена под углом 43 град. назад вверх. Для ослабления отдачи применяли эластичную подвеску и минимальный заряд в 8 г. Гранату - мина, снабженная специальным инерционным взрывателем. Пробовали от РС, но ветрянка не успевала закрутиться. Воздушными стрельбами руководил Монич. Автоматика работала ненадежно, мину заклинивало. В шести полетах выполнили 30 выстрелов и было три задержки. При скорости 320 км/ч на 1000 м подрыв мины происходил на расстоянии 280 м с превышением 70 м. Рассеяние - удовлетворительное, но снарядов - мало. Решили </w:t>
      </w:r>
      <w:r w:rsidRPr="00722885">
        <w:rPr>
          <w:color w:val="000000" w:themeColor="text1"/>
          <w:sz w:val="16"/>
          <w:szCs w:val="16"/>
        </w:rPr>
        <w:lastRenderedPageBreak/>
        <w:t>сделать с 15 и более эффективную мину (1056,46).</w:t>
      </w:r>
    </w:p>
    <w:p w14:paraId="437828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Есть фото, как с Ил-2 двухместного с короткой антенной, но с подрезом и без номера, сбрасывают АГ-1 (2?). Труба - где-то на уровне чуть дальше конца зализа (1056,46).</w:t>
      </w:r>
    </w:p>
    <w:p w14:paraId="73C4544A" w14:textId="77777777" w:rsidR="00AE7191" w:rsidRPr="00722885" w:rsidRDefault="00AE7191" w:rsidP="00722885">
      <w:pPr>
        <w:pStyle w:val="Iauiue"/>
        <w:jc w:val="both"/>
        <w:rPr>
          <w:color w:val="000000" w:themeColor="text1"/>
          <w:sz w:val="16"/>
          <w:szCs w:val="16"/>
        </w:rPr>
      </w:pPr>
    </w:p>
    <w:p w14:paraId="4DE288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 С.В.Ильюшин обратился в Правительство с предложением о включении в план опытного самолетостроения на 1942 г. создание двухместного бронированного штурмовика с мощным (2000 л.с.) мотором воздушного охлаждения М-71 взамен, предлагавшегося ранее, одноместного.</w:t>
      </w:r>
    </w:p>
    <w:p w14:paraId="06ACCC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Машина получила обозначение БШ М-71 и отражала концепцию тяжелого сильно бронированного штурмовика с мощным бомбовым и пушечным вооружением, что обеспечивало повышенную интегральную боевую эффективность самолета при действии по трудноуязвимым целям в условиях сильной ПВО.</w:t>
      </w:r>
    </w:p>
    <w:p w14:paraId="2E1C557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 самолета должно было включать две 37-мм пушки 11П-37 с 80 снарядами и четыре крылье-вых пулемета ШКАС с 2000 патронами. У стрелка - пулемет УБК калибра 12,7 мм с боекомплектом 250 патронов на турели башенного типа.</w:t>
      </w:r>
    </w:p>
    <w:p w14:paraId="10080B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Нормальная бомбовая нагрузка -400 кг, в перегрузку - до 1000 кг. Реактивные снаряды устанавливать не планировалось, так как основным средством борьбы с танками и сильно защищенными целями должны были быть пушки и авиабомбы.</w:t>
      </w:r>
    </w:p>
    <w:p w14:paraId="1FBB7E9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Максимальная скорость штурмовика у земли - 430 км/ч, посадочная скорость - 125 км/ч. Время подъема на высоту 3000 м не более шести мин. Максимальная дальность полета на скорости 350 км/ч - не менее 600 км.</w:t>
      </w:r>
    </w:p>
    <w:p w14:paraId="76F348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Вес брони на штурмовике, по сравнению с Ил-2 АМ-38, увеличился примерно на 750 кг, так что общий вес металлической брони должен был составить 1460 кг, а прозрачной - около 102 кг.</w:t>
      </w:r>
    </w:p>
    <w:p w14:paraId="6E2CAA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Предложение С.В.Ильюшина поддержал Первый заместитель Главкома ВВС маршал авиации Г.А.Ворожейкин (9649).</w:t>
      </w:r>
    </w:p>
    <w:p w14:paraId="42A5F8F9" w14:textId="77777777" w:rsidR="00AE7191" w:rsidRPr="00722885" w:rsidRDefault="00AE7191" w:rsidP="00722885">
      <w:pPr>
        <w:pStyle w:val="Iauiue"/>
        <w:jc w:val="both"/>
        <w:rPr>
          <w:color w:val="000000" w:themeColor="text1"/>
          <w:sz w:val="16"/>
          <w:szCs w:val="16"/>
        </w:rPr>
      </w:pPr>
    </w:p>
    <w:p w14:paraId="744D4F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как указывалось в отчете 212-й шад о боевой работе «Существующее положение влечет к ранению летчика и выводу из строя приборов рикошетирующими пулями и осколками». По инициативе инженерно-технического состава 212-й шад по защите летчика на самолете Ил-2, который часто получал ранения головы и верхних конечностей от попадания осколков снарядов и пуль в щель между подвижной частью фонаря кабины и верхней броней над бензобаком. Чтобы защитить летчика, предложили «сделать подковообразной бронепластинку на подвижном фонаре для отражения рикошетирующих от задней брони бензобака пуль и осколков» (11921).</w:t>
      </w:r>
    </w:p>
    <w:p w14:paraId="54E3990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A72DBE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С.В. Ильюшин обратился в прави</w:t>
      </w:r>
      <w:r w:rsidRPr="00722885">
        <w:rPr>
          <w:rFonts w:ascii="Times New Roman" w:hAnsi="Times New Roman"/>
          <w:color w:val="000000" w:themeColor="text1"/>
          <w:sz w:val="16"/>
          <w:szCs w:val="16"/>
        </w:rPr>
        <w:softHyphen/>
        <w:t>тельство с просьбой о включении в план опытного самолетостроения двухместно</w:t>
      </w:r>
      <w:r w:rsidRPr="00722885">
        <w:rPr>
          <w:rFonts w:ascii="Times New Roman" w:hAnsi="Times New Roman"/>
          <w:color w:val="000000" w:themeColor="text1"/>
          <w:sz w:val="16"/>
          <w:szCs w:val="16"/>
        </w:rPr>
        <w:softHyphen/>
        <w:t>го бронированного штурмовика (с таким же, как у Су-6, мотором М-71) взамен одноместного, уже внесенного в план на 1942 г. Этот самолет, полу</w:t>
      </w:r>
      <w:r w:rsidRPr="00722885">
        <w:rPr>
          <w:rFonts w:ascii="Times New Roman" w:hAnsi="Times New Roman"/>
          <w:color w:val="000000" w:themeColor="text1"/>
          <w:sz w:val="16"/>
          <w:szCs w:val="16"/>
        </w:rPr>
        <w:softHyphen/>
        <w:t>чивший обозначение БШ, отражал кон</w:t>
      </w:r>
      <w:r w:rsidRPr="00722885">
        <w:rPr>
          <w:rFonts w:ascii="Times New Roman" w:hAnsi="Times New Roman"/>
          <w:color w:val="000000" w:themeColor="text1"/>
          <w:sz w:val="16"/>
          <w:szCs w:val="16"/>
        </w:rPr>
        <w:softHyphen/>
        <w:t>цепцию тяжелого штурмовика с мощным бомбовым и пушечным вооружением и весьма сильным бронированием, что, по замыслу, должно было обеспечить повы</w:t>
      </w:r>
      <w:r w:rsidRPr="00722885">
        <w:rPr>
          <w:rFonts w:ascii="Times New Roman" w:hAnsi="Times New Roman"/>
          <w:color w:val="000000" w:themeColor="text1"/>
          <w:sz w:val="16"/>
          <w:szCs w:val="16"/>
        </w:rPr>
        <w:softHyphen/>
        <w:t>шенную боевую эффективность при дей</w:t>
      </w:r>
      <w:r w:rsidRPr="00722885">
        <w:rPr>
          <w:rFonts w:ascii="Times New Roman" w:hAnsi="Times New Roman"/>
          <w:color w:val="000000" w:themeColor="text1"/>
          <w:sz w:val="16"/>
          <w:szCs w:val="16"/>
        </w:rPr>
        <w:softHyphen/>
        <w:t>ствиях над полем боя в условиях силь</w:t>
      </w:r>
      <w:r w:rsidRPr="00722885">
        <w:rPr>
          <w:rFonts w:ascii="Times New Roman" w:hAnsi="Times New Roman"/>
          <w:color w:val="000000" w:themeColor="text1"/>
          <w:sz w:val="16"/>
          <w:szCs w:val="16"/>
        </w:rPr>
        <w:softHyphen/>
        <w:t>ной ПВО противника. Вооружение машины по проекту включало две 37-мм пуш</w:t>
      </w:r>
      <w:r w:rsidRPr="00722885">
        <w:rPr>
          <w:rFonts w:ascii="Times New Roman" w:hAnsi="Times New Roman"/>
          <w:color w:val="000000" w:themeColor="text1"/>
          <w:sz w:val="16"/>
          <w:szCs w:val="16"/>
        </w:rPr>
        <w:softHyphen/>
        <w:t>ки 11П-37 с 80 снарядами и четыре пу</w:t>
      </w:r>
      <w:r w:rsidRPr="00722885">
        <w:rPr>
          <w:rFonts w:ascii="Times New Roman" w:hAnsi="Times New Roman"/>
          <w:color w:val="000000" w:themeColor="text1"/>
          <w:sz w:val="16"/>
          <w:szCs w:val="16"/>
        </w:rPr>
        <w:softHyphen/>
        <w:t>лемета ШКАС с 2000 патронов. У стрел</w:t>
      </w:r>
      <w:r w:rsidRPr="00722885">
        <w:rPr>
          <w:rFonts w:ascii="Times New Roman" w:hAnsi="Times New Roman"/>
          <w:color w:val="000000" w:themeColor="text1"/>
          <w:sz w:val="16"/>
          <w:szCs w:val="16"/>
        </w:rPr>
        <w:softHyphen/>
        <w:t>ка на турели башенного типа устанавли</w:t>
      </w:r>
      <w:r w:rsidRPr="00722885">
        <w:rPr>
          <w:rFonts w:ascii="Times New Roman" w:hAnsi="Times New Roman"/>
          <w:color w:val="000000" w:themeColor="text1"/>
          <w:sz w:val="16"/>
          <w:szCs w:val="16"/>
        </w:rPr>
        <w:softHyphen/>
        <w:t>вался пулемет УБК калибра 12,7 мм с боекомплектом 250 патронов. Нормаль</w:t>
      </w:r>
      <w:r w:rsidRPr="00722885">
        <w:rPr>
          <w:rFonts w:ascii="Times New Roman" w:hAnsi="Times New Roman"/>
          <w:color w:val="000000" w:themeColor="text1"/>
          <w:sz w:val="16"/>
          <w:szCs w:val="16"/>
        </w:rPr>
        <w:softHyphen/>
        <w:t>ная бомбовая нагрузка — 400 кг, в пере</w:t>
      </w:r>
      <w:r w:rsidRPr="00722885">
        <w:rPr>
          <w:rFonts w:ascii="Times New Roman" w:hAnsi="Times New Roman"/>
          <w:color w:val="000000" w:themeColor="text1"/>
          <w:sz w:val="16"/>
          <w:szCs w:val="16"/>
        </w:rPr>
        <w:softHyphen/>
        <w:t>грузку— до 1000 кг. Реактивные снаря</w:t>
      </w:r>
      <w:r w:rsidRPr="00722885">
        <w:rPr>
          <w:rFonts w:ascii="Times New Roman" w:hAnsi="Times New Roman"/>
          <w:color w:val="000000" w:themeColor="text1"/>
          <w:sz w:val="16"/>
          <w:szCs w:val="16"/>
        </w:rPr>
        <w:softHyphen/>
        <w:t>ды не предусматривались, так как основ</w:t>
      </w:r>
      <w:r w:rsidRPr="00722885">
        <w:rPr>
          <w:rFonts w:ascii="Times New Roman" w:hAnsi="Times New Roman"/>
          <w:color w:val="000000" w:themeColor="text1"/>
          <w:sz w:val="16"/>
          <w:szCs w:val="16"/>
        </w:rPr>
        <w:softHyphen/>
        <w:t>ными средствами борьбы с танками и другими сильно защищенными целями должны были стать пушки и бомбы. По расчетам, максимальная скорость штурмовика у земли равнялась 430 км/ч, посадочная — 125 км/ч. Набор высоты 3000 м — не более чем за 6 мин. Макси</w:t>
      </w:r>
      <w:r w:rsidRPr="00722885">
        <w:rPr>
          <w:rFonts w:ascii="Times New Roman" w:hAnsi="Times New Roman"/>
          <w:color w:val="000000" w:themeColor="text1"/>
          <w:sz w:val="16"/>
          <w:szCs w:val="16"/>
        </w:rPr>
        <w:softHyphen/>
        <w:t>мальная дальность полета на скорости 350 км/ч — не менее 600 км. Вес брони на новом штурмовике по сравнению с Ил-2 увеличивался примерно на 750 кг, так что общий вес металлической брони должен был составить 1460 кг, а прозрач</w:t>
      </w:r>
      <w:r w:rsidRPr="00722885">
        <w:rPr>
          <w:rFonts w:ascii="Times New Roman" w:hAnsi="Times New Roman"/>
          <w:color w:val="000000" w:themeColor="text1"/>
          <w:sz w:val="16"/>
          <w:szCs w:val="16"/>
        </w:rPr>
        <w:softHyphen/>
        <w:t>ной — около 102 кг (10680).</w:t>
      </w:r>
    </w:p>
    <w:p w14:paraId="636A89B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93189F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С. В. Ильюшин обратился в Правительство с предложением о включении в план опытного самолетостроения этого года двухместного бронированного штурмовика с мотором М-71 взамен одноместного.</w:t>
      </w:r>
    </w:p>
    <w:p w14:paraId="4C87B9A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самолете, получившем обо</w:t>
      </w:r>
      <w:r w:rsidRPr="00722885">
        <w:rPr>
          <w:rFonts w:ascii="Times New Roman" w:hAnsi="Times New Roman"/>
          <w:color w:val="000000" w:themeColor="text1"/>
          <w:sz w:val="16"/>
          <w:szCs w:val="16"/>
        </w:rPr>
        <w:softHyphen/>
        <w:t>значение БШ-М-71, предполагалось забронировать экипаж, маспорадиатор, бензо- и маслобаки (толщина брони - везде 6 мм). Мотор разме</w:t>
      </w:r>
      <w:r w:rsidRPr="00722885">
        <w:rPr>
          <w:rFonts w:ascii="Times New Roman" w:hAnsi="Times New Roman"/>
          <w:color w:val="000000" w:themeColor="text1"/>
          <w:sz w:val="16"/>
          <w:szCs w:val="16"/>
        </w:rPr>
        <w:softHyphen/>
        <w:t>щался внутри бронекапота (толщи</w:t>
      </w:r>
      <w:r w:rsidRPr="00722885">
        <w:rPr>
          <w:rFonts w:ascii="Times New Roman" w:hAnsi="Times New Roman"/>
          <w:color w:val="000000" w:themeColor="text1"/>
          <w:sz w:val="16"/>
          <w:szCs w:val="16"/>
        </w:rPr>
        <w:softHyphen/>
        <w:t>на брони 6 мм), диск кока винта вы</w:t>
      </w:r>
      <w:r w:rsidRPr="00722885">
        <w:rPr>
          <w:rFonts w:ascii="Times New Roman" w:hAnsi="Times New Roman"/>
          <w:color w:val="000000" w:themeColor="text1"/>
          <w:sz w:val="16"/>
          <w:szCs w:val="16"/>
        </w:rPr>
        <w:softHyphen/>
        <w:t>полнялся из брони толщиной 8 мм. Летчик со стороны передней полу</w:t>
      </w:r>
      <w:r w:rsidRPr="00722885">
        <w:rPr>
          <w:rFonts w:ascii="Times New Roman" w:hAnsi="Times New Roman"/>
          <w:color w:val="000000" w:themeColor="text1"/>
          <w:sz w:val="16"/>
          <w:szCs w:val="16"/>
        </w:rPr>
        <w:softHyphen/>
        <w:t>сферы защищался прозрачным бро</w:t>
      </w:r>
      <w:r w:rsidRPr="00722885">
        <w:rPr>
          <w:rFonts w:ascii="Times New Roman" w:hAnsi="Times New Roman"/>
          <w:color w:val="000000" w:themeColor="text1"/>
          <w:sz w:val="16"/>
          <w:szCs w:val="16"/>
        </w:rPr>
        <w:softHyphen/>
        <w:t>нестеклом толщиной 62 мм, с боков и снизу - броней толщиной 6 мм, а со стороны задней полусферы -1 6-мм броневым листом. На фона</w:t>
      </w:r>
      <w:r w:rsidRPr="00722885">
        <w:rPr>
          <w:rFonts w:ascii="Times New Roman" w:hAnsi="Times New Roman"/>
          <w:color w:val="000000" w:themeColor="text1"/>
          <w:sz w:val="16"/>
          <w:szCs w:val="16"/>
        </w:rPr>
        <w:softHyphen/>
        <w:t>ре кабины пилота сверху и с боков устанавливались 6-мм бронеплиты.</w:t>
      </w:r>
    </w:p>
    <w:p w14:paraId="0DEB0AF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Кабина стрелка также брониро</w:t>
      </w:r>
      <w:r w:rsidRPr="00722885">
        <w:rPr>
          <w:rFonts w:ascii="Times New Roman" w:hAnsi="Times New Roman"/>
          <w:color w:val="000000" w:themeColor="text1"/>
          <w:sz w:val="16"/>
          <w:szCs w:val="16"/>
        </w:rPr>
        <w:softHyphen/>
        <w:t>валась: со стороны хвоста он защи</w:t>
      </w:r>
      <w:r w:rsidRPr="00722885">
        <w:rPr>
          <w:rFonts w:ascii="Times New Roman" w:hAnsi="Times New Roman"/>
          <w:color w:val="000000" w:themeColor="text1"/>
          <w:sz w:val="16"/>
          <w:szCs w:val="16"/>
        </w:rPr>
        <w:softHyphen/>
        <w:t>щался 16-мм бронеплитой, с боков и снизу - 6-мм броней. Башня туре</w:t>
      </w:r>
      <w:r w:rsidRPr="00722885">
        <w:rPr>
          <w:rFonts w:ascii="Times New Roman" w:hAnsi="Times New Roman"/>
          <w:color w:val="000000" w:themeColor="text1"/>
          <w:sz w:val="16"/>
          <w:szCs w:val="16"/>
        </w:rPr>
        <w:softHyphen/>
        <w:t>ли была полностью забронирована металлической броней толщиной 6 мм. Со стороны установки пулеме</w:t>
      </w:r>
      <w:r w:rsidRPr="00722885">
        <w:rPr>
          <w:rFonts w:ascii="Times New Roman" w:hAnsi="Times New Roman"/>
          <w:color w:val="000000" w:themeColor="text1"/>
          <w:sz w:val="16"/>
          <w:szCs w:val="16"/>
        </w:rPr>
        <w:softHyphen/>
        <w:t>та на башне устанавливалась 62-мм прозрачная броня. Из прозрачной брони такой же толщины выполня</w:t>
      </w:r>
      <w:r w:rsidRPr="00722885">
        <w:rPr>
          <w:rFonts w:ascii="Times New Roman" w:hAnsi="Times New Roman"/>
          <w:color w:val="000000" w:themeColor="text1"/>
          <w:sz w:val="16"/>
          <w:szCs w:val="16"/>
        </w:rPr>
        <w:softHyphen/>
        <w:t>лись и смотровые окна, расположен</w:t>
      </w:r>
      <w:r w:rsidRPr="00722885">
        <w:rPr>
          <w:rFonts w:ascii="Times New Roman" w:hAnsi="Times New Roman"/>
          <w:color w:val="000000" w:themeColor="text1"/>
          <w:sz w:val="16"/>
          <w:szCs w:val="16"/>
        </w:rPr>
        <w:softHyphen/>
        <w:t>ные по бокам башни.</w:t>
      </w:r>
    </w:p>
    <w:p w14:paraId="0D10C63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металлической брони на но</w:t>
      </w:r>
      <w:r w:rsidRPr="00722885">
        <w:rPr>
          <w:rFonts w:ascii="Times New Roman" w:hAnsi="Times New Roman"/>
          <w:color w:val="000000" w:themeColor="text1"/>
          <w:sz w:val="16"/>
          <w:szCs w:val="16"/>
        </w:rPr>
        <w:softHyphen/>
        <w:t>вом штурмовике должен был соста</w:t>
      </w:r>
      <w:r w:rsidRPr="00722885">
        <w:rPr>
          <w:rFonts w:ascii="Times New Roman" w:hAnsi="Times New Roman"/>
          <w:color w:val="000000" w:themeColor="text1"/>
          <w:sz w:val="16"/>
          <w:szCs w:val="16"/>
        </w:rPr>
        <w:softHyphen/>
        <w:t>вить 1461,7 кг, а прозрачной — 101,6 кг. В сравнении с двухместным Ил-2 АМ-38ф увеличение доли бро</w:t>
      </w:r>
      <w:r w:rsidRPr="00722885">
        <w:rPr>
          <w:rFonts w:ascii="Times New Roman" w:hAnsi="Times New Roman"/>
          <w:color w:val="000000" w:themeColor="text1"/>
          <w:sz w:val="16"/>
          <w:szCs w:val="16"/>
        </w:rPr>
        <w:softHyphen/>
        <w:t>ни в полетном весе самолета на БШ-М-71 составило почти 28%. Однако на самолете отсутствовали система заполнения бензобаков нейтральным газом и дублирование управления рулем высоты и направления.</w:t>
      </w:r>
    </w:p>
    <w:p w14:paraId="57917BC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самолета включало две пушки 11 П с 80 снарядами и 4 крыльевых пулемета ШКАС с 1600 патронами. У стрелка — пулемет УБТ с боекомплектом 300 патронов на турели башенного типа. Установка обеспечивала обстрел: вверх - до 50°, влево и вправо - по 1 10°, вниз по борту - 1 5°.</w:t>
      </w:r>
    </w:p>
    <w:p w14:paraId="03458F6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Нормальная бомбовая нагрузка предполагалась 400 кг, в перегрузку - до 1000 кг. Реактивные снаряды устанавливать не планировалось, так как основным средством борьбы с танками и защищенными целями дол</w:t>
      </w:r>
      <w:r w:rsidRPr="00722885">
        <w:rPr>
          <w:rFonts w:ascii="Times New Roman" w:hAnsi="Times New Roman"/>
          <w:color w:val="000000" w:themeColor="text1"/>
          <w:sz w:val="16"/>
          <w:szCs w:val="16"/>
        </w:rPr>
        <w:softHyphen/>
        <w:t>жны были стать пушки и авиабомбы. Самолет не был приспособлен для бомбометания с пикирования под большими углами. Бомбы предпола</w:t>
      </w:r>
      <w:r w:rsidRPr="00722885">
        <w:rPr>
          <w:rFonts w:ascii="Times New Roman" w:hAnsi="Times New Roman"/>
          <w:color w:val="000000" w:themeColor="text1"/>
          <w:sz w:val="16"/>
          <w:szCs w:val="16"/>
        </w:rPr>
        <w:softHyphen/>
        <w:t>галось сбрасывать с горизонтально</w:t>
      </w:r>
      <w:r w:rsidRPr="00722885">
        <w:rPr>
          <w:rFonts w:ascii="Times New Roman" w:hAnsi="Times New Roman"/>
          <w:color w:val="000000" w:themeColor="text1"/>
          <w:sz w:val="16"/>
          <w:szCs w:val="16"/>
        </w:rPr>
        <w:softHyphen/>
        <w:t>го полета или с пологого пикирова</w:t>
      </w:r>
      <w:r w:rsidRPr="00722885">
        <w:rPr>
          <w:rFonts w:ascii="Times New Roman" w:hAnsi="Times New Roman"/>
          <w:color w:val="000000" w:themeColor="text1"/>
          <w:sz w:val="16"/>
          <w:szCs w:val="16"/>
        </w:rPr>
        <w:softHyphen/>
        <w:t>ния под углами 25-30°.</w:t>
      </w:r>
    </w:p>
    <w:p w14:paraId="1E9B38A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расчетам при нормальном по</w:t>
      </w:r>
      <w:r w:rsidRPr="00722885">
        <w:rPr>
          <w:rFonts w:ascii="Times New Roman" w:hAnsi="Times New Roman"/>
          <w:color w:val="000000" w:themeColor="text1"/>
          <w:sz w:val="16"/>
          <w:szCs w:val="16"/>
        </w:rPr>
        <w:softHyphen/>
        <w:t>летном весе 7300 кг максимальная скорость штурмовика у земли рав</w:t>
      </w:r>
      <w:r w:rsidRPr="00722885">
        <w:rPr>
          <w:rFonts w:ascii="Times New Roman" w:hAnsi="Times New Roman"/>
          <w:color w:val="000000" w:themeColor="text1"/>
          <w:sz w:val="16"/>
          <w:szCs w:val="16"/>
        </w:rPr>
        <w:softHyphen/>
        <w:t>нялась 420 км/ч (460 км/ч на фор</w:t>
      </w:r>
      <w:r w:rsidRPr="00722885">
        <w:rPr>
          <w:rFonts w:ascii="Times New Roman" w:hAnsi="Times New Roman"/>
          <w:color w:val="000000" w:themeColor="text1"/>
          <w:sz w:val="16"/>
          <w:szCs w:val="16"/>
        </w:rPr>
        <w:softHyphen/>
        <w:t>саже), посадочная — 125 км/ч. На</w:t>
      </w:r>
      <w:r w:rsidRPr="00722885">
        <w:rPr>
          <w:rFonts w:ascii="Times New Roman" w:hAnsi="Times New Roman"/>
          <w:color w:val="000000" w:themeColor="text1"/>
          <w:sz w:val="16"/>
          <w:szCs w:val="16"/>
        </w:rPr>
        <w:softHyphen/>
        <w:t>бор высоты 1000 м должен был за</w:t>
      </w:r>
      <w:r w:rsidRPr="00722885">
        <w:rPr>
          <w:rFonts w:ascii="Times New Roman" w:hAnsi="Times New Roman"/>
          <w:color w:val="000000" w:themeColor="text1"/>
          <w:sz w:val="16"/>
          <w:szCs w:val="16"/>
        </w:rPr>
        <w:softHyphen/>
        <w:t>нимать не более 2 мин. Максималь</w:t>
      </w:r>
      <w:r w:rsidRPr="00722885">
        <w:rPr>
          <w:rFonts w:ascii="Times New Roman" w:hAnsi="Times New Roman"/>
          <w:color w:val="000000" w:themeColor="text1"/>
          <w:sz w:val="16"/>
          <w:szCs w:val="16"/>
        </w:rPr>
        <w:softHyphen/>
        <w:t>ная дальность полета у земли на ско</w:t>
      </w:r>
      <w:r w:rsidRPr="00722885">
        <w:rPr>
          <w:rFonts w:ascii="Times New Roman" w:hAnsi="Times New Roman"/>
          <w:color w:val="000000" w:themeColor="text1"/>
          <w:sz w:val="16"/>
          <w:szCs w:val="16"/>
        </w:rPr>
        <w:softHyphen/>
        <w:t>рости 336 км/ч получалась 760 км.</w:t>
      </w:r>
    </w:p>
    <w:p w14:paraId="43D987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Надо полагать, предложение по БШ-М-71 явилось следствием успе</w:t>
      </w:r>
      <w:r w:rsidRPr="00722885">
        <w:rPr>
          <w:rFonts w:ascii="Times New Roman" w:hAnsi="Times New Roman"/>
          <w:color w:val="000000" w:themeColor="text1"/>
          <w:sz w:val="16"/>
          <w:szCs w:val="16"/>
        </w:rPr>
        <w:softHyphen/>
        <w:t>ха ОКБ П. О. Сухого при создании легкого самолета-штурмовика, име</w:t>
      </w:r>
      <w:r w:rsidRPr="00722885">
        <w:rPr>
          <w:rFonts w:ascii="Times New Roman" w:hAnsi="Times New Roman"/>
          <w:color w:val="000000" w:themeColor="text1"/>
          <w:sz w:val="16"/>
          <w:szCs w:val="16"/>
        </w:rPr>
        <w:softHyphen/>
        <w:t>ющего повышенную боевую эффек</w:t>
      </w:r>
      <w:r w:rsidRPr="00722885">
        <w:rPr>
          <w:rFonts w:ascii="Times New Roman" w:hAnsi="Times New Roman"/>
          <w:color w:val="000000" w:themeColor="text1"/>
          <w:sz w:val="16"/>
          <w:szCs w:val="16"/>
        </w:rPr>
        <w:softHyphen/>
        <w:t>тивность главным образом за счет лучшей "подвижности" над полем боя. В противовес этому С. В. Илью</w:t>
      </w:r>
      <w:r w:rsidRPr="00722885">
        <w:rPr>
          <w:rFonts w:ascii="Times New Roman" w:hAnsi="Times New Roman"/>
          <w:color w:val="000000" w:themeColor="text1"/>
          <w:sz w:val="16"/>
          <w:szCs w:val="16"/>
        </w:rPr>
        <w:softHyphen/>
        <w:t>шин сделал ставку на сильное бро</w:t>
      </w:r>
      <w:r w:rsidRPr="00722885">
        <w:rPr>
          <w:rFonts w:ascii="Times New Roman" w:hAnsi="Times New Roman"/>
          <w:color w:val="000000" w:themeColor="text1"/>
          <w:sz w:val="16"/>
          <w:szCs w:val="16"/>
        </w:rPr>
        <w:softHyphen/>
        <w:t>нирование и мощное бомбовое и пу</w:t>
      </w:r>
      <w:r w:rsidRPr="00722885">
        <w:rPr>
          <w:rFonts w:ascii="Times New Roman" w:hAnsi="Times New Roman"/>
          <w:color w:val="000000" w:themeColor="text1"/>
          <w:sz w:val="16"/>
          <w:szCs w:val="16"/>
        </w:rPr>
        <w:softHyphen/>
        <w:t>шечное вооружение, что давало воз</w:t>
      </w:r>
      <w:r w:rsidRPr="00722885">
        <w:rPr>
          <w:rFonts w:ascii="Times New Roman" w:hAnsi="Times New Roman"/>
          <w:color w:val="000000" w:themeColor="text1"/>
          <w:sz w:val="16"/>
          <w:szCs w:val="16"/>
        </w:rPr>
        <w:softHyphen/>
        <w:t>можность использовать самолет не только в качестве штурмовика, но и ближнего дневного бомбардировщи</w:t>
      </w:r>
      <w:r w:rsidRPr="00722885">
        <w:rPr>
          <w:rFonts w:ascii="Times New Roman" w:hAnsi="Times New Roman"/>
          <w:color w:val="000000" w:themeColor="text1"/>
          <w:sz w:val="16"/>
          <w:szCs w:val="16"/>
        </w:rPr>
        <w:softHyphen/>
        <w:t>ка. Как известно, в ВВС Красной Армии в то время катастрофически не хватало фронтовой бомбардиро</w:t>
      </w:r>
      <w:r w:rsidRPr="00722885">
        <w:rPr>
          <w:rFonts w:ascii="Times New Roman" w:hAnsi="Times New Roman"/>
          <w:color w:val="000000" w:themeColor="text1"/>
          <w:sz w:val="16"/>
          <w:szCs w:val="16"/>
        </w:rPr>
        <w:softHyphen/>
        <w:t>вочной авиации. По замыслу много</w:t>
      </w:r>
      <w:r w:rsidRPr="00722885">
        <w:rPr>
          <w:rFonts w:ascii="Times New Roman" w:hAnsi="Times New Roman"/>
          <w:color w:val="000000" w:themeColor="text1"/>
          <w:sz w:val="16"/>
          <w:szCs w:val="16"/>
        </w:rPr>
        <w:softHyphen/>
        <w:t>целевое назначение БШ-М-71 дол</w:t>
      </w:r>
      <w:r w:rsidRPr="00722885">
        <w:rPr>
          <w:rFonts w:ascii="Times New Roman" w:hAnsi="Times New Roman"/>
          <w:color w:val="000000" w:themeColor="text1"/>
          <w:sz w:val="16"/>
          <w:szCs w:val="16"/>
        </w:rPr>
        <w:softHyphen/>
        <w:t>жно было обеспечить повышенную боевую эффективность при решении задач авиационной поддержки войск. Кроме этого, БШ-М-71 сохранял пре</w:t>
      </w:r>
      <w:r w:rsidRPr="00722885">
        <w:rPr>
          <w:rFonts w:ascii="Times New Roman" w:hAnsi="Times New Roman"/>
          <w:color w:val="000000" w:themeColor="text1"/>
          <w:sz w:val="16"/>
          <w:szCs w:val="16"/>
        </w:rPr>
        <w:softHyphen/>
        <w:t>емственность технологии производ</w:t>
      </w:r>
      <w:r w:rsidRPr="00722885">
        <w:rPr>
          <w:rFonts w:ascii="Times New Roman" w:hAnsi="Times New Roman"/>
          <w:color w:val="000000" w:themeColor="text1"/>
          <w:sz w:val="16"/>
          <w:szCs w:val="16"/>
        </w:rPr>
        <w:softHyphen/>
        <w:t>ства Ил-2, и предусматривалось ча</w:t>
      </w:r>
      <w:r w:rsidRPr="00722885">
        <w:rPr>
          <w:rFonts w:ascii="Times New Roman" w:hAnsi="Times New Roman"/>
          <w:color w:val="000000" w:themeColor="text1"/>
          <w:sz w:val="16"/>
          <w:szCs w:val="16"/>
        </w:rPr>
        <w:softHyphen/>
        <w:t>стичное (до 25%) использование го</w:t>
      </w:r>
      <w:r w:rsidRPr="00722885">
        <w:rPr>
          <w:rFonts w:ascii="Times New Roman" w:hAnsi="Times New Roman"/>
          <w:color w:val="000000" w:themeColor="text1"/>
          <w:sz w:val="16"/>
          <w:szCs w:val="16"/>
        </w:rPr>
        <w:softHyphen/>
        <w:t>товых деталей, узлов и оснастки от "двойки". Поэтому в случае запуска в серию Су-6 С. В. Ильюшин вполне резонно рассчитывал на сохранение за собой серийных заводов, где воз</w:t>
      </w:r>
      <w:r w:rsidRPr="00722885">
        <w:rPr>
          <w:rFonts w:ascii="Times New Roman" w:hAnsi="Times New Roman"/>
          <w:color w:val="000000" w:themeColor="text1"/>
          <w:sz w:val="16"/>
          <w:szCs w:val="16"/>
        </w:rPr>
        <w:softHyphen/>
        <w:t>можно развертывание производства своего боевого самолета с таким же мотором как у сухого (11426).</w:t>
      </w:r>
    </w:p>
    <w:p w14:paraId="0B3DD2F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DD267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августа 1942 оптические прицелы ПБП стали заменять на упрощенные прицелы ВВ-1 (23,116), разработанные начальником бригады вооружения СКО завода 18 Г.К.Васильевым, состоящие из сетки, нанесенной на лобовое стекло кабины, визирных линий, нанесенных белой краской, и 3 мушек - на капоте двигателя с лета 1942. Этими прицелами стали оснащаться как одноместные, так и двухместные машины, но одновременно, в соответствии с техническим описанием они могли оснащаться и прицелами ПБП-1.</w:t>
      </w:r>
    </w:p>
    <w:p w14:paraId="6BD7A9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Где-то в это же время на Ил-2 стали ставить фибровые баки, которые значительно повысили живучесть машины (7,90). Решением о массовом производстве фибровых баков, принятым в 1941, предлагалось заменить ими все металлические на имеющихся машинах (229,22). Сама идея баков была взята с немецких машин, испытываемых в ЦАГИ в 1941.</w:t>
      </w:r>
    </w:p>
    <w:p w14:paraId="4B86D8D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августа 1942 Г.М.Б. направил в НКАП Эскизный проект морского разведчика открытого моря МДР-10 - тяжелой (22 т) двухмоторной л/л с крылом в виде обратной чайки и двухкилевым оперением. Предлагалось несколько вариантов - дальний морской разведчик, фоторазведчик-аэрофотосъемщик, десантная амфибия с неубирающимся шасси (3939,4).</w:t>
      </w:r>
    </w:p>
    <w:p w14:paraId="0F39C9A3" w14:textId="77777777" w:rsidR="00AE7191" w:rsidRPr="00722885" w:rsidRDefault="00AE7191" w:rsidP="00722885">
      <w:pPr>
        <w:pStyle w:val="Iauiue"/>
        <w:jc w:val="both"/>
        <w:rPr>
          <w:color w:val="000000" w:themeColor="text1"/>
          <w:sz w:val="16"/>
          <w:szCs w:val="16"/>
        </w:rPr>
      </w:pPr>
    </w:p>
    <w:p w14:paraId="36F92C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августа 1942 г. на Ил-2 (к сожале</w:t>
      </w:r>
      <w:r w:rsidRPr="00722885">
        <w:rPr>
          <w:color w:val="000000" w:themeColor="text1"/>
          <w:sz w:val="16"/>
          <w:szCs w:val="16"/>
        </w:rPr>
        <w:softHyphen/>
        <w:t>нию, не на всех) стали устанавливаться радиополукомпасы РПК-10. К концу года самолеты штурмовой авиации ВВС КА были оборудованы РПК-10 в соотноше</w:t>
      </w:r>
      <w:r w:rsidRPr="00722885">
        <w:rPr>
          <w:color w:val="000000" w:themeColor="text1"/>
          <w:sz w:val="16"/>
          <w:szCs w:val="16"/>
        </w:rPr>
        <w:softHyphen/>
        <w:t>нии 1:4 - 1:5 (6467).</w:t>
      </w:r>
    </w:p>
    <w:p w14:paraId="10331CF3" w14:textId="77777777" w:rsidR="00AE7191" w:rsidRPr="00722885" w:rsidRDefault="00AE7191" w:rsidP="00722885">
      <w:pPr>
        <w:pStyle w:val="Iauiue"/>
        <w:jc w:val="both"/>
        <w:rPr>
          <w:color w:val="000000" w:themeColor="text1"/>
          <w:sz w:val="16"/>
          <w:szCs w:val="16"/>
        </w:rPr>
      </w:pPr>
    </w:p>
    <w:p w14:paraId="191CCA48" w14:textId="77777777" w:rsidR="00A032BF" w:rsidRPr="00722885" w:rsidRDefault="00A032B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С августа 1942 г. на штурмовиках (к сожалению, не на всех) стали устанавливаться радиополукомпасы РПК-10. К концу года самолеты штурмовой авиации ВВС РККА были оборудованы РПК-10 в соотношении 1:4-1:5 (ЦАМО РФ, ф. 311, оп. 4495, д. 282, л. 213) (20186).</w:t>
      </w:r>
    </w:p>
    <w:p w14:paraId="0088FA29" w14:textId="77777777" w:rsidR="00A032BF" w:rsidRPr="00722885" w:rsidRDefault="00A032BF" w:rsidP="00722885">
      <w:pPr>
        <w:shd w:val="clear" w:color="auto" w:fill="FFFFFF"/>
        <w:spacing w:after="0" w:line="240" w:lineRule="auto"/>
        <w:jc w:val="both"/>
        <w:rPr>
          <w:rFonts w:ascii="Times New Roman" w:hAnsi="Times New Roman"/>
          <w:color w:val="0070C0"/>
          <w:sz w:val="16"/>
          <w:szCs w:val="16"/>
        </w:rPr>
      </w:pPr>
    </w:p>
    <w:p w14:paraId="13EA49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закончились наземные испытания 11П-37 ОКБ-16 - будущей НС-37 (65,114).</w:t>
      </w:r>
    </w:p>
    <w:p w14:paraId="1E1962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Увидев, что в отчете нет рекомендации о серии А.Э.Нудельман в августе 1942 написал И.В.С. В коротком письме докладывалось, что разработана и рекомендована на вооружение 37-мм АП для истребителей и штурмовиков, имеющая большие преимущества перед Ш-37, но принятию пушки на вооружение препятствуют личные интересы Б.Г.Шпитального. Отправив письмо А.Э.Нудельман позвонил А.Н.Поскребышеву и попросил доложить (263,51).</w:t>
      </w:r>
    </w:p>
    <w:p w14:paraId="4EF488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Опять бесовщина.</w:t>
      </w:r>
    </w:p>
    <w:p w14:paraId="1626242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И.В.С. в тот же день зачел письмо Б.Л.Ванникову и наркому вооружения Д.Ф.У. и поручил срочно разобраться (263,52).</w:t>
      </w:r>
    </w:p>
    <w:p w14:paraId="504654E5" w14:textId="77777777" w:rsidR="00AE7191" w:rsidRPr="00722885" w:rsidRDefault="00AE7191" w:rsidP="00722885">
      <w:pPr>
        <w:pStyle w:val="Iauiue"/>
        <w:jc w:val="both"/>
        <w:rPr>
          <w:color w:val="000000" w:themeColor="text1"/>
          <w:sz w:val="16"/>
          <w:szCs w:val="16"/>
        </w:rPr>
      </w:pPr>
    </w:p>
    <w:p w14:paraId="3533B5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августа 1942 АМ-38Ф пошел в серию (180,101).</w:t>
      </w:r>
    </w:p>
    <w:p w14:paraId="1BD14BF1" w14:textId="77777777" w:rsidR="00AE7191" w:rsidRPr="00722885" w:rsidRDefault="00AE7191" w:rsidP="00722885">
      <w:pPr>
        <w:pStyle w:val="Iauiue"/>
        <w:jc w:val="both"/>
        <w:rPr>
          <w:color w:val="000000" w:themeColor="text1"/>
          <w:sz w:val="16"/>
          <w:szCs w:val="16"/>
        </w:rPr>
      </w:pPr>
    </w:p>
    <w:p w14:paraId="475B1C5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завод № 45 отправил на самолетострои</w:t>
      </w:r>
      <w:r w:rsidRPr="00722885">
        <w:rPr>
          <w:rFonts w:ascii="Times New Roman" w:hAnsi="Times New Roman"/>
          <w:color w:val="000000" w:themeColor="text1"/>
          <w:sz w:val="16"/>
          <w:szCs w:val="16"/>
        </w:rPr>
        <w:softHyphen/>
        <w:t>тельные предприятия 52 двигателя - на один больше плана. В сентябре завод перевыполнил программу, предусматривавшую изго</w:t>
      </w:r>
      <w:r w:rsidRPr="00722885">
        <w:rPr>
          <w:rFonts w:ascii="Times New Roman" w:hAnsi="Times New Roman"/>
          <w:color w:val="000000" w:themeColor="text1"/>
          <w:sz w:val="16"/>
          <w:szCs w:val="16"/>
        </w:rPr>
        <w:softHyphen/>
        <w:t>товление 85 моторов, и занял третье место среди предприятий наркомата. Так же уверенно завод работал и в ок</w:t>
      </w:r>
      <w:r w:rsidRPr="00722885">
        <w:rPr>
          <w:rFonts w:ascii="Times New Roman" w:hAnsi="Times New Roman"/>
          <w:color w:val="000000" w:themeColor="text1"/>
          <w:sz w:val="16"/>
          <w:szCs w:val="16"/>
        </w:rPr>
        <w:softHyphen/>
        <w:t>тябре, доведя месячную производитель</w:t>
      </w:r>
      <w:r w:rsidRPr="00722885">
        <w:rPr>
          <w:rFonts w:ascii="Times New Roman" w:hAnsi="Times New Roman"/>
          <w:color w:val="000000" w:themeColor="text1"/>
          <w:sz w:val="16"/>
          <w:szCs w:val="16"/>
        </w:rPr>
        <w:softHyphen/>
        <w:t>ность до 130 единиц (11159). Однако в конце года из-за проблем с кадрами и плохих погодных условий ситуация ухудшилась. Достаточно ска</w:t>
      </w:r>
      <w:r w:rsidRPr="00722885">
        <w:rPr>
          <w:rFonts w:ascii="Times New Roman" w:hAnsi="Times New Roman"/>
          <w:color w:val="000000" w:themeColor="text1"/>
          <w:sz w:val="16"/>
          <w:szCs w:val="16"/>
        </w:rPr>
        <w:softHyphen/>
        <w:t>зать, что за 1942 г. на завод было при</w:t>
      </w:r>
      <w:r w:rsidRPr="00722885">
        <w:rPr>
          <w:rFonts w:ascii="Times New Roman" w:hAnsi="Times New Roman"/>
          <w:color w:val="000000" w:themeColor="text1"/>
          <w:sz w:val="16"/>
          <w:szCs w:val="16"/>
        </w:rPr>
        <w:softHyphen/>
        <w:t>нято 14 238 человек, в том числе 7260 рабочих и 1769 инженеров и техни</w:t>
      </w:r>
      <w:r w:rsidRPr="00722885">
        <w:rPr>
          <w:rFonts w:ascii="Times New Roman" w:hAnsi="Times New Roman"/>
          <w:color w:val="000000" w:themeColor="text1"/>
          <w:sz w:val="16"/>
          <w:szCs w:val="16"/>
        </w:rPr>
        <w:softHyphen/>
        <w:t>ков. Из указанного числа рабочих толь</w:t>
      </w:r>
      <w:r w:rsidRPr="00722885">
        <w:rPr>
          <w:rFonts w:ascii="Times New Roman" w:hAnsi="Times New Roman"/>
          <w:color w:val="000000" w:themeColor="text1"/>
          <w:sz w:val="16"/>
          <w:szCs w:val="16"/>
        </w:rPr>
        <w:softHyphen/>
        <w:t>ко 40 % имели опыт работы на заводе, остальные были «зелеными» новичка</w:t>
      </w:r>
      <w:r w:rsidRPr="00722885">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722885">
        <w:rPr>
          <w:rFonts w:ascii="Times New Roman" w:hAnsi="Times New Roman"/>
          <w:color w:val="000000" w:themeColor="text1"/>
          <w:sz w:val="16"/>
          <w:szCs w:val="16"/>
        </w:rPr>
        <w:softHyphen/>
        <w:t>рей, 82 слесаря, 273 шлифовщика и 360 фрезеровщиков).</w:t>
      </w:r>
    </w:p>
    <w:p w14:paraId="0D5A190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Недостаточная квалификация ра</w:t>
      </w:r>
      <w:r w:rsidRPr="00722885">
        <w:rPr>
          <w:rFonts w:ascii="Times New Roman" w:hAnsi="Times New Roman"/>
          <w:color w:val="000000" w:themeColor="text1"/>
          <w:sz w:val="16"/>
          <w:szCs w:val="16"/>
        </w:rPr>
        <w:softHyphen/>
        <w:t>ботников грозила срывом производ</w:t>
      </w:r>
      <w:r w:rsidRPr="00722885">
        <w:rPr>
          <w:rFonts w:ascii="Times New Roman" w:hAnsi="Times New Roman"/>
          <w:color w:val="000000" w:themeColor="text1"/>
          <w:sz w:val="16"/>
          <w:szCs w:val="16"/>
        </w:rPr>
        <w:softHyphen/>
        <w:t>ственных планов. Три мотора, постав</w:t>
      </w:r>
      <w:r w:rsidRPr="00722885">
        <w:rPr>
          <w:rFonts w:ascii="Times New Roman" w:hAnsi="Times New Roman"/>
          <w:color w:val="000000" w:themeColor="text1"/>
          <w:sz w:val="16"/>
          <w:szCs w:val="16"/>
        </w:rPr>
        <w:softHyphen/>
        <w:t>ленные на длительные испытания осе</w:t>
      </w:r>
      <w:r w:rsidRPr="00722885">
        <w:rPr>
          <w:rFonts w:ascii="Times New Roman" w:hAnsi="Times New Roman"/>
          <w:color w:val="000000" w:themeColor="text1"/>
          <w:sz w:val="16"/>
          <w:szCs w:val="16"/>
        </w:rPr>
        <w:softHyphen/>
        <w:t>нью 1942 г., не отработали установлен</w:t>
      </w:r>
      <w:r w:rsidRPr="00722885">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722885">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722885">
        <w:rPr>
          <w:rFonts w:ascii="Times New Roman" w:hAnsi="Times New Roman"/>
          <w:color w:val="000000" w:themeColor="text1"/>
          <w:sz w:val="16"/>
          <w:szCs w:val="16"/>
        </w:rPr>
        <w:softHyphen/>
        <w:t>рен и поломки клапанов, что было выз</w:t>
      </w:r>
      <w:r w:rsidRPr="00722885">
        <w:rPr>
          <w:rFonts w:ascii="Times New Roman" w:hAnsi="Times New Roman"/>
          <w:color w:val="000000" w:themeColor="text1"/>
          <w:sz w:val="16"/>
          <w:szCs w:val="16"/>
        </w:rPr>
        <w:softHyphen/>
        <w:t>вано нетолько невысоким качеством из</w:t>
      </w:r>
      <w:r w:rsidRPr="00722885">
        <w:rPr>
          <w:rFonts w:ascii="Times New Roman" w:hAnsi="Times New Roman"/>
          <w:color w:val="000000" w:themeColor="text1"/>
          <w:sz w:val="16"/>
          <w:szCs w:val="16"/>
        </w:rPr>
        <w:softHyphen/>
        <w:t>готовления моторов, но и низкокаче</w:t>
      </w:r>
      <w:r w:rsidRPr="00722885">
        <w:rPr>
          <w:rFonts w:ascii="Times New Roman" w:hAnsi="Times New Roman"/>
          <w:color w:val="000000" w:themeColor="text1"/>
          <w:sz w:val="16"/>
          <w:szCs w:val="16"/>
        </w:rPr>
        <w:softHyphen/>
        <w:t>ственным третьесортным бензином, которым снабжался завод (11159).</w:t>
      </w:r>
    </w:p>
    <w:p w14:paraId="547E237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80FF213" w14:textId="77777777" w:rsidR="00A032BF" w:rsidRPr="00722885" w:rsidRDefault="00A032B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августе 1942 года Акт с положительными результатами Государственных испытаний пушки 11П-37 был подписан, но рекомендации о принятии ее на вооружение он не содержал. Тогда Нудельман решился обратиться лично к Сталину, утверждая, что принятию на вооружение пушки 11П-37 препятствуют только личные интересы Шпитального. Председатель Государственного Комитета Обороны в тот же день прочел письмо и поручил Наркомам вооружения Д.Ф. Устинову и боеприпасов Б.Л. Ванникову разобраться.</w:t>
      </w:r>
    </w:p>
    <w:p w14:paraId="06C6794E" w14:textId="77777777" w:rsidR="00A032BF" w:rsidRPr="00722885" w:rsidRDefault="00A032B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Те избрали единственно надежный метод определения истины: 1 сентября на Научно-испытательном полигоне авиавооружения собрали комиссию в составе Наркома боеприпасов Ванникова, замнаркома вооружения Барсукова и Кирпичникова — зама члена ГКО по производству вооружения Вознесенского. Приехали представители КБ-16 во главе с Нудельманом, Шпитальный же появиться не соизволил. На аэродром НИПАВ пригнали три ЛаГГ-3 с пушками Ш-37 из 42-го ИАП и один с орудием 11П-37. Он сделал один за другим три полета, в каждом из которых «на отлично» отстреляв по полному боекомплекту, тогда как ни одна пушка Шпитального ни в одном полете не отработала без задержек  (22880).</w:t>
      </w:r>
    </w:p>
    <w:p w14:paraId="072853DF" w14:textId="77777777" w:rsidR="00A032BF" w:rsidRPr="00722885" w:rsidRDefault="00A032BF" w:rsidP="00722885">
      <w:pPr>
        <w:spacing w:after="0" w:line="240" w:lineRule="auto"/>
        <w:jc w:val="both"/>
        <w:rPr>
          <w:rFonts w:ascii="Times New Roman" w:hAnsi="Times New Roman"/>
          <w:color w:val="0070C0"/>
          <w:sz w:val="16"/>
          <w:szCs w:val="16"/>
        </w:rPr>
      </w:pPr>
    </w:p>
    <w:p w14:paraId="297C1E17" w14:textId="77777777" w:rsidR="001A29E6" w:rsidRPr="00722885" w:rsidRDefault="001A29E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августе 1942, учитывая складывающуюся вокруг пушки 11П обстановку, ОКБ-16 принимается решение об</w:t>
      </w:r>
      <w:r w:rsidRPr="00722885">
        <w:rPr>
          <w:color w:val="000000" w:themeColor="text1"/>
          <w:sz w:val="16"/>
          <w:szCs w:val="16"/>
        </w:rPr>
        <w:softHyphen/>
        <w:t>ратиться за помощью непосредственно к И. В. Ста</w:t>
      </w:r>
      <w:r w:rsidRPr="00722885">
        <w:rPr>
          <w:color w:val="000000" w:themeColor="text1"/>
          <w:sz w:val="16"/>
          <w:szCs w:val="16"/>
        </w:rPr>
        <w:softHyphen/>
        <w:t>лину. По воспоминаниям А. Э. Нудельмана, в этом письме докладывалось, что в ОКБ-16 разработана и рекомендована на вооружение 37-мм авиацион</w:t>
      </w:r>
      <w:r w:rsidRPr="00722885">
        <w:rPr>
          <w:color w:val="000000" w:themeColor="text1"/>
          <w:sz w:val="16"/>
          <w:szCs w:val="16"/>
        </w:rPr>
        <w:softHyphen/>
        <w:t>ная пушка 11П для истребителей и штурмовиков, имеющая большие преимущества перед пушкой Ш-37. Однако «принятию пушки мешают личные интересы Шпитального Б. Г., в то время как воору</w:t>
      </w:r>
      <w:r w:rsidRPr="00722885">
        <w:rPr>
          <w:color w:val="000000" w:themeColor="text1"/>
          <w:sz w:val="16"/>
          <w:szCs w:val="16"/>
        </w:rPr>
        <w:softHyphen/>
        <w:t>жение ею авиации сейчас, во время войны, помо</w:t>
      </w:r>
      <w:r w:rsidRPr="00722885">
        <w:rPr>
          <w:color w:val="000000" w:themeColor="text1"/>
          <w:sz w:val="16"/>
          <w:szCs w:val="16"/>
        </w:rPr>
        <w:softHyphen/>
        <w:t>жет обеспечить господство наших самолетов в воз</w:t>
      </w:r>
      <w:r w:rsidRPr="00722885">
        <w:rPr>
          <w:color w:val="000000" w:themeColor="text1"/>
          <w:sz w:val="16"/>
          <w:szCs w:val="16"/>
        </w:rPr>
        <w:softHyphen/>
        <w:t>духе».</w:t>
      </w:r>
    </w:p>
    <w:p w14:paraId="199B1B0B" w14:textId="77777777" w:rsidR="001A29E6" w:rsidRPr="00722885" w:rsidRDefault="001A29E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hAnsi="Times New Roman"/>
          <w:color w:val="000000" w:themeColor="text1"/>
          <w:sz w:val="16"/>
          <w:szCs w:val="16"/>
        </w:rPr>
        <w:t>И. В. Сталин дал поручение нарко</w:t>
      </w:r>
      <w:r w:rsidRPr="00722885">
        <w:rPr>
          <w:rFonts w:ascii="Times New Roman" w:hAnsi="Times New Roman"/>
          <w:color w:val="000000" w:themeColor="text1"/>
          <w:sz w:val="16"/>
          <w:szCs w:val="16"/>
        </w:rPr>
        <w:softHyphen/>
        <w:t>му вооружения Д. Ф. Устинову и наркому боепри</w:t>
      </w:r>
      <w:r w:rsidRPr="00722885">
        <w:rPr>
          <w:rFonts w:ascii="Times New Roman" w:hAnsi="Times New Roman"/>
          <w:color w:val="000000" w:themeColor="text1"/>
          <w:sz w:val="16"/>
          <w:szCs w:val="16"/>
        </w:rPr>
        <w:softHyphen/>
        <w:t>пасов Б. Л. Ванникову срочно разобраться в этом вопросе. Соответствующие указания получили за</w:t>
      </w:r>
      <w:r w:rsidRPr="00722885">
        <w:rPr>
          <w:rFonts w:ascii="Times New Roman" w:hAnsi="Times New Roman"/>
          <w:color w:val="000000" w:themeColor="text1"/>
          <w:sz w:val="16"/>
          <w:szCs w:val="16"/>
        </w:rPr>
        <w:softHyphen/>
        <w:t>меститель председателя ГКО Н. А. Вознесенский и командующий ВВС КА генерал А. А. Новиков (17500).</w:t>
      </w:r>
    </w:p>
    <w:p w14:paraId="6E6941CC" w14:textId="77777777" w:rsidR="001A29E6" w:rsidRPr="00722885" w:rsidRDefault="001A29E6" w:rsidP="00722885">
      <w:pPr>
        <w:spacing w:after="0" w:line="240" w:lineRule="auto"/>
        <w:jc w:val="both"/>
        <w:rPr>
          <w:rFonts w:ascii="Times New Roman" w:eastAsia="Times New Roman" w:hAnsi="Times New Roman"/>
          <w:color w:val="000000" w:themeColor="text1"/>
          <w:sz w:val="16"/>
          <w:szCs w:val="16"/>
          <w:lang w:eastAsia="ru-RU"/>
        </w:rPr>
      </w:pPr>
    </w:p>
    <w:p w14:paraId="062264FF" w14:textId="77777777" w:rsidR="000F18D5" w:rsidRPr="00722885" w:rsidRDefault="000F18D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августе 1942 г. с формулиров</w:t>
      </w:r>
      <w:r w:rsidRPr="00722885">
        <w:rPr>
          <w:color w:val="000000" w:themeColor="text1"/>
          <w:sz w:val="16"/>
          <w:szCs w:val="16"/>
        </w:rPr>
        <w:softHyphen/>
        <w:t>кой «в связи с необходимостью проведения ин</w:t>
      </w:r>
      <w:r w:rsidRPr="00722885">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722885">
        <w:rPr>
          <w:color w:val="000000" w:themeColor="text1"/>
          <w:sz w:val="16"/>
          <w:szCs w:val="16"/>
        </w:rPr>
        <w:softHyphen/>
        <w:t>ший лейтенант Назаров из 245-го шап были отко</w:t>
      </w:r>
      <w:r w:rsidRPr="00722885">
        <w:rPr>
          <w:color w:val="000000" w:themeColor="text1"/>
          <w:sz w:val="16"/>
          <w:szCs w:val="16"/>
        </w:rPr>
        <w:softHyphen/>
        <w:t>мандированы в 4-й отдел НИИ ВВС. Утверждалось, что «указанные летчики прошли специальную тре</w:t>
      </w:r>
      <w:r w:rsidRPr="00722885">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 (17500).</w:t>
      </w:r>
    </w:p>
    <w:p w14:paraId="70892DED" w14:textId="77777777" w:rsidR="000F18D5" w:rsidRPr="00722885" w:rsidRDefault="000F18D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9B3CC2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помня о проблемах, возникших при летной отработке самолетов с М-82 в 1941 году, завод №19 провел первый этап летных испытаний мотора М-82НВ на само</w:t>
      </w:r>
      <w:r w:rsidRPr="00722885">
        <w:rPr>
          <w:rFonts w:ascii="Times New Roman" w:hAnsi="Times New Roman"/>
          <w:color w:val="000000" w:themeColor="text1"/>
          <w:sz w:val="16"/>
          <w:szCs w:val="16"/>
        </w:rPr>
        <w:softHyphen/>
        <w:t>лете Су-2, также показавший хоро</w:t>
      </w:r>
      <w:r w:rsidRPr="00722885">
        <w:rPr>
          <w:rFonts w:ascii="Times New Roman" w:hAnsi="Times New Roman"/>
          <w:color w:val="000000" w:themeColor="text1"/>
          <w:sz w:val="16"/>
          <w:szCs w:val="16"/>
        </w:rPr>
        <w:softHyphen/>
        <w:t>шие результаты (10705).</w:t>
      </w:r>
    </w:p>
    <w:p w14:paraId="61AB626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6EB2E1D"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Сухой получил разрешение Шахурина дополнительно построить ещё два самолёта Су-6 с противотанковым вооружением.</w:t>
      </w:r>
    </w:p>
    <w:p w14:paraId="0754CB75" w14:textId="77777777" w:rsidR="00BD5EB5" w:rsidRPr="00722885" w:rsidRDefault="00BD5EB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штурмовик Су-6 с 37-мм пушками и с мотором М-71 ф был построен в декабре1942 г. Однако на испытания не передавался, так как в начале января 1943 г. П.О. Сухой предъявил эскизный проект модифицированного штурмовика Су-6 М-71ф (заводское обозначение С2А) уже в двухместном варианте (по опыту войны). Этот самолёт был построен и к концу августа 1943 г. с блеском прошёл государственные испытания, но по ряду субъективных и объективных причин в серийное производство не запускался, хотя военные и настаивали, даже в ущерб планам выпуска самолётов Ил-2 (15846).</w:t>
      </w:r>
    </w:p>
    <w:p w14:paraId="5B0DEE77" w14:textId="77777777" w:rsidR="00BD5EB5" w:rsidRPr="00722885" w:rsidRDefault="00BD5EB5" w:rsidP="00722885">
      <w:pPr>
        <w:spacing w:after="0" w:line="240" w:lineRule="auto"/>
        <w:jc w:val="both"/>
        <w:rPr>
          <w:rFonts w:ascii="Times New Roman" w:hAnsi="Times New Roman"/>
          <w:color w:val="000000" w:themeColor="text1"/>
          <w:sz w:val="16"/>
          <w:szCs w:val="16"/>
        </w:rPr>
      </w:pPr>
    </w:p>
    <w:p w14:paraId="40823674"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августе 1943 Сухой получил раз</w:t>
      </w:r>
      <w:r w:rsidRPr="00722885">
        <w:rPr>
          <w:color w:val="000000" w:themeColor="text1"/>
          <w:sz w:val="16"/>
          <w:szCs w:val="16"/>
        </w:rPr>
        <w:softHyphen/>
        <w:t>решение Шахурина дополнительно построить еще 2 самолета Су-6 с противотанковым вооружением.</w:t>
      </w:r>
    </w:p>
    <w:p w14:paraId="5E6FD735"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Первый штурмовик Су-6 с 37-мм пушками и с мотором М-71ф был построен в декабре 1942 г. Однако на испытания не передавался, так как в на</w:t>
      </w:r>
      <w:r w:rsidRPr="00722885">
        <w:rPr>
          <w:color w:val="000000" w:themeColor="text1"/>
          <w:sz w:val="16"/>
          <w:szCs w:val="16"/>
        </w:rPr>
        <w:softHyphen/>
        <w:t>чале января 1943 г. П. О. Сухой предъявил эскиз</w:t>
      </w:r>
      <w:r w:rsidRPr="00722885">
        <w:rPr>
          <w:color w:val="000000" w:themeColor="text1"/>
          <w:sz w:val="16"/>
          <w:szCs w:val="16"/>
        </w:rPr>
        <w:softHyphen/>
        <w:t>ный проект модифицированного штурмовика Су-6 М-71ф (заводское обозначение С2А) уже в двух</w:t>
      </w:r>
      <w:r w:rsidRPr="00722885">
        <w:rPr>
          <w:color w:val="000000" w:themeColor="text1"/>
          <w:sz w:val="16"/>
          <w:szCs w:val="16"/>
        </w:rPr>
        <w:softHyphen/>
        <w:t>местном варианте (по опыту войны). Этот самолет был построен и к концу августа 1943 г. успешно прошел государственные испытания, но по ряду субъективных и объективных причин в серийное производство не запускался, хотя военные и на</w:t>
      </w:r>
      <w:r w:rsidRPr="00722885">
        <w:rPr>
          <w:color w:val="000000" w:themeColor="text1"/>
          <w:sz w:val="16"/>
          <w:szCs w:val="16"/>
        </w:rPr>
        <w:softHyphen/>
        <w:t>стаивали, даже в ущерб планам выпуска самоле</w:t>
      </w:r>
      <w:r w:rsidRPr="00722885">
        <w:rPr>
          <w:color w:val="000000" w:themeColor="text1"/>
          <w:sz w:val="16"/>
          <w:szCs w:val="16"/>
        </w:rPr>
        <w:softHyphen/>
        <w:t>тов Ил-2 (17500).</w:t>
      </w:r>
    </w:p>
    <w:p w14:paraId="039FE8A5" w14:textId="77777777" w:rsidR="00BF7700" w:rsidRPr="00722885" w:rsidRDefault="00BF7700" w:rsidP="00722885">
      <w:pPr>
        <w:pStyle w:val="12a"/>
        <w:shd w:val="clear" w:color="auto" w:fill="auto"/>
        <w:spacing w:after="0" w:line="240" w:lineRule="auto"/>
        <w:jc w:val="both"/>
        <w:rPr>
          <w:color w:val="000000" w:themeColor="text1"/>
          <w:sz w:val="16"/>
          <w:szCs w:val="16"/>
        </w:rPr>
      </w:pPr>
    </w:p>
    <w:p w14:paraId="28ACB3FF" w14:textId="77777777" w:rsidR="005B1690" w:rsidRPr="00722885"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августе 1942 Сухой получил разрешение Шахурина дополнительно построить еще два противо</w:t>
      </w:r>
      <w:r w:rsidRPr="00722885">
        <w:rPr>
          <w:rFonts w:ascii="Times New Roman" w:cs="Times New Roman"/>
          <w:color w:val="000000" w:themeColor="text1"/>
          <w:spacing w:val="0"/>
          <w:sz w:val="16"/>
          <w:szCs w:val="16"/>
        </w:rPr>
        <w:softHyphen/>
        <w:t>танковых Су-6. Первый штурмовик Су-6 с 37-мм пушками и с мотором М-71 ф построили в декабре 1942 г., однако на испытания он не передавался, так как в начале января 1943 г. П.О. Сухой предъ</w:t>
      </w:r>
      <w:r w:rsidRPr="00722885">
        <w:rPr>
          <w:rFonts w:ascii="Times New Roman" w:cs="Times New Roman"/>
          <w:color w:val="000000" w:themeColor="text1"/>
          <w:spacing w:val="0"/>
          <w:sz w:val="16"/>
          <w:szCs w:val="16"/>
        </w:rPr>
        <w:softHyphen/>
        <w:t>явил эскизный проект модифицированного штурмовика Су-6 М-71ф (заводское обозначе</w:t>
      </w:r>
      <w:r w:rsidRPr="00722885">
        <w:rPr>
          <w:rFonts w:ascii="Times New Roman" w:cs="Times New Roman"/>
          <w:color w:val="000000" w:themeColor="text1"/>
          <w:spacing w:val="0"/>
          <w:sz w:val="16"/>
          <w:szCs w:val="16"/>
        </w:rPr>
        <w:softHyphen/>
        <w:t>ние С2А) уже в двухместном варианте (по опы</w:t>
      </w:r>
      <w:r w:rsidRPr="00722885">
        <w:rPr>
          <w:rFonts w:ascii="Times New Roman" w:cs="Times New Roman"/>
          <w:color w:val="000000" w:themeColor="text1"/>
          <w:spacing w:val="0"/>
          <w:sz w:val="16"/>
          <w:szCs w:val="16"/>
        </w:rPr>
        <w:softHyphen/>
        <w:t>ту войны). Этот самолет к концу августа 1943 г. успешно прошел государственные испытания, но по ряду причин в серийное производство не передавался, хотя военные на этом и настаи</w:t>
      </w:r>
      <w:r w:rsidRPr="00722885">
        <w:rPr>
          <w:rFonts w:ascii="Times New Roman" w:cs="Times New Roman"/>
          <w:color w:val="000000" w:themeColor="text1"/>
          <w:spacing w:val="0"/>
          <w:sz w:val="16"/>
          <w:szCs w:val="16"/>
        </w:rPr>
        <w:softHyphen/>
        <w:t>вали, даже в ущерб планам выпуска Ил-2 (15776).</w:t>
      </w:r>
    </w:p>
    <w:p w14:paraId="0481FE01" w14:textId="77777777" w:rsidR="005B1690" w:rsidRPr="00722885"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p>
    <w:p w14:paraId="09FA20F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авгу</w:t>
      </w:r>
      <w:r w:rsidRPr="00722885">
        <w:rPr>
          <w:rFonts w:ascii="Times New Roman" w:hAnsi="Times New Roman"/>
          <w:color w:val="000000" w:themeColor="text1"/>
          <w:sz w:val="16"/>
          <w:szCs w:val="16"/>
        </w:rPr>
        <w:softHyphen/>
        <w:t>ста 1942 г. П.О.Сухой с разрешения наркома, строит два экземпляра одно</w:t>
      </w:r>
      <w:r w:rsidRPr="00722885">
        <w:rPr>
          <w:rFonts w:ascii="Times New Roman" w:hAnsi="Times New Roman"/>
          <w:color w:val="000000" w:themeColor="text1"/>
          <w:sz w:val="16"/>
          <w:szCs w:val="16"/>
        </w:rPr>
        <w:softHyphen/>
        <w:t>местных модифицированных Су-6. На них устраняются все дефекты, отмечен</w:t>
      </w:r>
      <w:r w:rsidRPr="00722885">
        <w:rPr>
          <w:rFonts w:ascii="Times New Roman" w:hAnsi="Times New Roman"/>
          <w:color w:val="000000" w:themeColor="text1"/>
          <w:sz w:val="16"/>
          <w:szCs w:val="16"/>
        </w:rPr>
        <w:softHyphen/>
        <w:t>ные на госиспытаниях в НИИ ВВС. Центроплан самолета с заводским обозначением Су-6 (СА) остался цельно</w:t>
      </w:r>
      <w:r w:rsidRPr="00722885">
        <w:rPr>
          <w:rFonts w:ascii="Times New Roman" w:hAnsi="Times New Roman"/>
          <w:color w:val="000000" w:themeColor="text1"/>
          <w:sz w:val="16"/>
          <w:szCs w:val="16"/>
        </w:rPr>
        <w:softHyphen/>
        <w:t>металлическим, с двумя лонжеронами. Он имел ниши, в которых размещались в убранном положении стойки шасси с колесами-полубаллонами размером 800x260 мм. При полностью убранном шасси ниши закрывались двумя створка</w:t>
      </w:r>
      <w:r w:rsidRPr="00722885">
        <w:rPr>
          <w:rFonts w:ascii="Times New Roman" w:hAnsi="Times New Roman"/>
          <w:color w:val="000000" w:themeColor="text1"/>
          <w:sz w:val="16"/>
          <w:szCs w:val="16"/>
        </w:rPr>
        <w:softHyphen/>
        <w:t>ми. Каждая опора шасси состояла из амортизационной стойки, верхняя часть которой заканчивалась стальной травер</w:t>
      </w:r>
      <w:r w:rsidRPr="00722885">
        <w:rPr>
          <w:rFonts w:ascii="Times New Roman" w:hAnsi="Times New Roman"/>
          <w:color w:val="000000" w:themeColor="text1"/>
          <w:sz w:val="16"/>
          <w:szCs w:val="16"/>
        </w:rPr>
        <w:softHyphen/>
        <w:t>сой, служившей для крепления стойки к центроплану; и заднего подкоса с гидра</w:t>
      </w:r>
      <w:r w:rsidRPr="00722885">
        <w:rPr>
          <w:rFonts w:ascii="Times New Roman" w:hAnsi="Times New Roman"/>
          <w:color w:val="000000" w:themeColor="text1"/>
          <w:sz w:val="16"/>
          <w:szCs w:val="16"/>
        </w:rPr>
        <w:softHyphen/>
        <w:t>влическим подъемником, предназначав</w:t>
      </w:r>
      <w:r w:rsidRPr="00722885">
        <w:rPr>
          <w:rFonts w:ascii="Times New Roman" w:hAnsi="Times New Roman"/>
          <w:color w:val="000000" w:themeColor="text1"/>
          <w:sz w:val="16"/>
          <w:szCs w:val="16"/>
        </w:rPr>
        <w:softHyphen/>
        <w:t>шимся для уборки опоры. Схема уборки следующая: стойка, вращаясь около оси крепления траверсы, уходила назад, а колесо при этом поворачивалось вокруг оси стойки на 90° и полностью оказыва</w:t>
      </w:r>
      <w:r w:rsidRPr="00722885">
        <w:rPr>
          <w:rFonts w:ascii="Times New Roman" w:hAnsi="Times New Roman"/>
          <w:color w:val="000000" w:themeColor="text1"/>
          <w:sz w:val="16"/>
          <w:szCs w:val="16"/>
        </w:rPr>
        <w:softHyphen/>
        <w:t>лось в центроплане. Подъемник шасси приводился в действие гидросистемой с помпой, работавшей от мотора. Аморти</w:t>
      </w:r>
      <w:r w:rsidRPr="00722885">
        <w:rPr>
          <w:rFonts w:ascii="Times New Roman" w:hAnsi="Times New Roman"/>
          <w:color w:val="000000" w:themeColor="text1"/>
          <w:sz w:val="16"/>
          <w:szCs w:val="16"/>
        </w:rPr>
        <w:softHyphen/>
        <w:t>затор — масляно-воздушный, с тормо</w:t>
      </w:r>
      <w:r w:rsidRPr="00722885">
        <w:rPr>
          <w:rFonts w:ascii="Times New Roman" w:hAnsi="Times New Roman"/>
          <w:color w:val="000000" w:themeColor="text1"/>
          <w:sz w:val="16"/>
          <w:szCs w:val="16"/>
        </w:rPr>
        <w:softHyphen/>
        <w:t>жением на обратном ходе. В деревянных отъемных консолях с двумя металлическими лонжеронами размещалось стрелковое вооружение, доступ к которому осуществлялся через люки. На нижней поверхности консолей имелись узлы для установки шести РО-82 или РО-132 и предусматривалась сво</w:t>
      </w:r>
      <w:r w:rsidRPr="00722885">
        <w:rPr>
          <w:rFonts w:ascii="Times New Roman" w:hAnsi="Times New Roman"/>
          <w:color w:val="000000" w:themeColor="text1"/>
          <w:sz w:val="16"/>
          <w:szCs w:val="16"/>
        </w:rPr>
        <w:softHyphen/>
        <w:t>бодная подвеска для двух бомб. В носках консолей были заложены чу</w:t>
      </w:r>
      <w:r w:rsidRPr="00722885">
        <w:rPr>
          <w:rFonts w:ascii="Times New Roman" w:hAnsi="Times New Roman"/>
          <w:color w:val="000000" w:themeColor="text1"/>
          <w:sz w:val="16"/>
          <w:szCs w:val="16"/>
        </w:rPr>
        <w:softHyphen/>
        <w:t>гунные противовесы, повышавшие кри</w:t>
      </w:r>
      <w:r w:rsidRPr="00722885">
        <w:rPr>
          <w:rFonts w:ascii="Times New Roman" w:hAnsi="Times New Roman"/>
          <w:color w:val="000000" w:themeColor="text1"/>
          <w:sz w:val="16"/>
          <w:szCs w:val="16"/>
        </w:rPr>
        <w:softHyphen/>
        <w:t>тическую скорость флаттера крыла. По</w:t>
      </w:r>
      <w:r w:rsidRPr="00722885">
        <w:rPr>
          <w:rFonts w:ascii="Times New Roman" w:hAnsi="Times New Roman"/>
          <w:color w:val="000000" w:themeColor="text1"/>
          <w:sz w:val="16"/>
          <w:szCs w:val="16"/>
        </w:rPr>
        <w:softHyphen/>
        <w:t>садочные щитки металлической кон</w:t>
      </w:r>
      <w:r w:rsidRPr="00722885">
        <w:rPr>
          <w:rFonts w:ascii="Times New Roman" w:hAnsi="Times New Roman"/>
          <w:color w:val="000000" w:themeColor="text1"/>
          <w:sz w:val="16"/>
          <w:szCs w:val="16"/>
        </w:rPr>
        <w:softHyphen/>
        <w:t>струкции, элероны металлические, с обтяжкой полотном. Левый элерон с триммером. Возможность потери попе</w:t>
      </w:r>
      <w:r w:rsidRPr="00722885">
        <w:rPr>
          <w:rFonts w:ascii="Times New Roman" w:hAnsi="Times New Roman"/>
          <w:color w:val="000000" w:themeColor="text1"/>
          <w:sz w:val="16"/>
          <w:szCs w:val="16"/>
        </w:rPr>
        <w:softHyphen/>
        <w:t>речной устойчивости на больших углах атаки предотвращалась применением автоматических цельнометаллических предкрылков, располагавшихся по нос</w:t>
      </w:r>
      <w:r w:rsidRPr="00722885">
        <w:rPr>
          <w:rFonts w:ascii="Times New Roman" w:hAnsi="Times New Roman"/>
          <w:color w:val="000000" w:themeColor="text1"/>
          <w:sz w:val="16"/>
          <w:szCs w:val="16"/>
        </w:rPr>
        <w:softHyphen/>
        <w:t>кам консолей крыла в зоне элеронов. Фюзеляж состоял из двух частей. Пе</w:t>
      </w:r>
      <w:r w:rsidRPr="00722885">
        <w:rPr>
          <w:rFonts w:ascii="Times New Roman" w:hAnsi="Times New Roman"/>
          <w:color w:val="000000" w:themeColor="text1"/>
          <w:sz w:val="16"/>
          <w:szCs w:val="16"/>
        </w:rPr>
        <w:softHyphen/>
        <w:t>редняя представляла собой кабину пило</w:t>
      </w:r>
      <w:r w:rsidRPr="00722885">
        <w:rPr>
          <w:rFonts w:ascii="Times New Roman" w:hAnsi="Times New Roman"/>
          <w:color w:val="000000" w:themeColor="text1"/>
          <w:sz w:val="16"/>
          <w:szCs w:val="16"/>
        </w:rPr>
        <w:softHyphen/>
        <w:t>та, выполненную целиком из брони, а за</w:t>
      </w:r>
      <w:r w:rsidRPr="00722885">
        <w:rPr>
          <w:rFonts w:ascii="Times New Roman" w:hAnsi="Times New Roman"/>
          <w:color w:val="000000" w:themeColor="text1"/>
          <w:sz w:val="16"/>
          <w:szCs w:val="16"/>
        </w:rPr>
        <w:softHyphen/>
        <w:t>дняя - цельнодеревянная конструкция. Бронекабина стыковалась с задней ча</w:t>
      </w:r>
      <w:r w:rsidRPr="00722885">
        <w:rPr>
          <w:rFonts w:ascii="Times New Roman" w:hAnsi="Times New Roman"/>
          <w:color w:val="000000" w:themeColor="text1"/>
          <w:sz w:val="16"/>
          <w:szCs w:val="16"/>
        </w:rPr>
        <w:softHyphen/>
        <w:t>стью посредством узлов и накладок. Под кабиной пилота размещался бен</w:t>
      </w:r>
      <w:r w:rsidRPr="00722885">
        <w:rPr>
          <w:rFonts w:ascii="Times New Roman" w:hAnsi="Times New Roman"/>
          <w:color w:val="000000" w:themeColor="text1"/>
          <w:sz w:val="16"/>
          <w:szCs w:val="16"/>
        </w:rPr>
        <w:softHyphen/>
        <w:t>зиновый бак, за кабиной - грузовой отсек для бомб. На левом борту фюзеляжа на</w:t>
      </w:r>
      <w:r w:rsidRPr="00722885">
        <w:rPr>
          <w:rFonts w:ascii="Times New Roman" w:hAnsi="Times New Roman"/>
          <w:color w:val="000000" w:themeColor="text1"/>
          <w:sz w:val="16"/>
          <w:szCs w:val="16"/>
        </w:rPr>
        <w:softHyphen/>
        <w:t>ходился люк для доступа внутрь хвосто</w:t>
      </w:r>
      <w:r w:rsidRPr="00722885">
        <w:rPr>
          <w:rFonts w:ascii="Times New Roman" w:hAnsi="Times New Roman"/>
          <w:color w:val="000000" w:themeColor="text1"/>
          <w:sz w:val="16"/>
          <w:szCs w:val="16"/>
        </w:rPr>
        <w:softHyphen/>
        <w:t>вой части. Фонарь пилота имел перед</w:t>
      </w:r>
      <w:r w:rsidRPr="00722885">
        <w:rPr>
          <w:rFonts w:ascii="Times New Roman" w:hAnsi="Times New Roman"/>
          <w:color w:val="000000" w:themeColor="text1"/>
          <w:sz w:val="16"/>
          <w:szCs w:val="16"/>
        </w:rPr>
        <w:softHyphen/>
        <w:t>нюю часть и козырек из прозрачной бро</w:t>
      </w:r>
      <w:r w:rsidRPr="00722885">
        <w:rPr>
          <w:rFonts w:ascii="Times New Roman" w:hAnsi="Times New Roman"/>
          <w:color w:val="000000" w:themeColor="text1"/>
          <w:sz w:val="16"/>
          <w:szCs w:val="16"/>
        </w:rPr>
        <w:softHyphen/>
        <w:t>ни. Фонарь заканчивался обтекателем. Неподвижный стабилизатор - цельно</w:t>
      </w:r>
      <w:r w:rsidRPr="00722885">
        <w:rPr>
          <w:rFonts w:ascii="Times New Roman" w:hAnsi="Times New Roman"/>
          <w:color w:val="000000" w:themeColor="text1"/>
          <w:sz w:val="16"/>
          <w:szCs w:val="16"/>
        </w:rPr>
        <w:softHyphen/>
        <w:t>металлической конструкции; киль - де</w:t>
      </w:r>
      <w:r w:rsidRPr="00722885">
        <w:rPr>
          <w:rFonts w:ascii="Times New Roman" w:hAnsi="Times New Roman"/>
          <w:color w:val="000000" w:themeColor="text1"/>
          <w:sz w:val="16"/>
          <w:szCs w:val="16"/>
        </w:rPr>
        <w:softHyphen/>
        <w:t>ревянный, с фанерной обшивкой. Металлические рули с весовой и аэро</w:t>
      </w:r>
      <w:r w:rsidRPr="00722885">
        <w:rPr>
          <w:rFonts w:ascii="Times New Roman" w:hAnsi="Times New Roman"/>
          <w:color w:val="000000" w:themeColor="text1"/>
          <w:sz w:val="16"/>
          <w:szCs w:val="16"/>
        </w:rPr>
        <w:softHyphen/>
        <w:t>динамической компенсацией, с полотня</w:t>
      </w:r>
      <w:r w:rsidRPr="00722885">
        <w:rPr>
          <w:rFonts w:ascii="Times New Roman" w:hAnsi="Times New Roman"/>
          <w:color w:val="000000" w:themeColor="text1"/>
          <w:sz w:val="16"/>
          <w:szCs w:val="16"/>
        </w:rPr>
        <w:softHyphen/>
        <w:t>ной обшивкой, имели триммеры. Ко</w:t>
      </w:r>
      <w:r w:rsidRPr="00722885">
        <w:rPr>
          <w:rFonts w:ascii="Times New Roman" w:hAnsi="Times New Roman"/>
          <w:color w:val="000000" w:themeColor="text1"/>
          <w:sz w:val="16"/>
          <w:szCs w:val="16"/>
        </w:rPr>
        <w:softHyphen/>
        <w:t>стыль с колесом 300x125 мм убирался с помощью троса, связанного с роликом на оси шасси. Элероны имели одинарное управление жесткой конструкции. Управление рулем высоты - жесткое, дублировалось прово</w:t>
      </w:r>
      <w:r w:rsidRPr="00722885">
        <w:rPr>
          <w:rFonts w:ascii="Times New Roman" w:hAnsi="Times New Roman"/>
          <w:color w:val="000000" w:themeColor="text1"/>
          <w:sz w:val="16"/>
          <w:szCs w:val="16"/>
        </w:rPr>
        <w:softHyphen/>
        <w:t>лочными тягами, а рулем направления — дублированное, тросовое. Мотор воздушного охлаждения М-71Ф с винтом АВ-5-4А диаметром 3,25 м мон</w:t>
      </w:r>
      <w:r w:rsidRPr="00722885">
        <w:rPr>
          <w:rFonts w:ascii="Times New Roman" w:hAnsi="Times New Roman"/>
          <w:color w:val="000000" w:themeColor="text1"/>
          <w:sz w:val="16"/>
          <w:szCs w:val="16"/>
        </w:rPr>
        <w:softHyphen/>
        <w:t>тировался на сварной мотораме. Закры</w:t>
      </w:r>
      <w:r w:rsidRPr="00722885">
        <w:rPr>
          <w:rFonts w:ascii="Times New Roman" w:hAnsi="Times New Roman"/>
          <w:color w:val="000000" w:themeColor="text1"/>
          <w:sz w:val="16"/>
          <w:szCs w:val="16"/>
        </w:rPr>
        <w:softHyphen/>
        <w:t>вался капотом типа ЫАСА с выходом ох</w:t>
      </w:r>
      <w:r w:rsidRPr="00722885">
        <w:rPr>
          <w:rFonts w:ascii="Times New Roman" w:hAnsi="Times New Roman"/>
          <w:color w:val="000000" w:themeColor="text1"/>
          <w:sz w:val="16"/>
          <w:szCs w:val="16"/>
        </w:rPr>
        <w:softHyphen/>
        <w:t>лаждающего воздуха через щель с регу лируемой «юбкой». Протектированный бензобак, размещенный в отсеке под ка</w:t>
      </w:r>
      <w:r w:rsidRPr="00722885">
        <w:rPr>
          <w:rFonts w:ascii="Times New Roman" w:hAnsi="Times New Roman"/>
          <w:color w:val="000000" w:themeColor="text1"/>
          <w:sz w:val="16"/>
          <w:szCs w:val="16"/>
        </w:rPr>
        <w:softHyphen/>
        <w:t>биной пилота, заполнялся инертным га</w:t>
      </w:r>
      <w:r w:rsidRPr="00722885">
        <w:rPr>
          <w:rFonts w:ascii="Times New Roman" w:hAnsi="Times New Roman"/>
          <w:color w:val="000000" w:themeColor="text1"/>
          <w:sz w:val="16"/>
          <w:szCs w:val="16"/>
        </w:rPr>
        <w:softHyphen/>
        <w:t>зом. Маслобак находился позади мотора, на противопожарной перегородке. Сото</w:t>
      </w:r>
      <w:r w:rsidRPr="00722885">
        <w:rPr>
          <w:rFonts w:ascii="Times New Roman" w:hAnsi="Times New Roman"/>
          <w:color w:val="000000" w:themeColor="text1"/>
          <w:sz w:val="16"/>
          <w:szCs w:val="16"/>
        </w:rPr>
        <w:softHyphen/>
        <w:t>вые маслорадиаторы размещались в тун</w:t>
      </w:r>
      <w:r w:rsidRPr="00722885">
        <w:rPr>
          <w:rFonts w:ascii="Times New Roman" w:hAnsi="Times New Roman"/>
          <w:color w:val="000000" w:themeColor="text1"/>
          <w:sz w:val="16"/>
          <w:szCs w:val="16"/>
        </w:rPr>
        <w:softHyphen/>
        <w:t>нелях носка центроплана, выход воздуха из туннелей регулировался заслонками. Пилот был забронирован полностью. Толщина листов брони - от 4 до 15 мм. Козырек кабины пилота - трехгранной формы, состоял из трех плит прозрачной брони. Бензобак защищался бронепли-тами сзади, снизу и с боков. Простран</w:t>
      </w:r>
      <w:r w:rsidRPr="00722885">
        <w:rPr>
          <w:rFonts w:ascii="Times New Roman" w:hAnsi="Times New Roman"/>
          <w:color w:val="000000" w:themeColor="text1"/>
          <w:sz w:val="16"/>
          <w:szCs w:val="16"/>
        </w:rPr>
        <w:softHyphen/>
        <w:t>ство за мотором бронировалось броне-щитами, представлявшими собой за</w:t>
      </w:r>
      <w:r w:rsidRPr="00722885">
        <w:rPr>
          <w:rFonts w:ascii="Times New Roman" w:hAnsi="Times New Roman"/>
          <w:color w:val="000000" w:themeColor="text1"/>
          <w:sz w:val="16"/>
          <w:szCs w:val="16"/>
        </w:rPr>
        <w:softHyphen/>
        <w:t>днюю часть капота, и конусной броней, являвшейся внутренним капотом. Вся эта броня входила в конструкцию самого фюзеляжа. Маслорадиаторы также бро</w:t>
      </w:r>
      <w:r w:rsidRPr="00722885">
        <w:rPr>
          <w:rFonts w:ascii="Times New Roman" w:hAnsi="Times New Roman"/>
          <w:color w:val="000000" w:themeColor="text1"/>
          <w:sz w:val="16"/>
          <w:szCs w:val="16"/>
        </w:rPr>
        <w:softHyphen/>
        <w:t>нировались. Общий вес брони составил 649,7 кг (10718).</w:t>
      </w:r>
    </w:p>
    <w:p w14:paraId="5BCF6AD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F427C0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августе 1942 Сухой получает разрешение А.И. Ша</w:t>
      </w:r>
      <w:r w:rsidRPr="00722885">
        <w:rPr>
          <w:rFonts w:ascii="Times New Roman" w:hAnsi="Times New Roman"/>
          <w:color w:val="000000" w:themeColor="text1"/>
          <w:sz w:val="16"/>
          <w:szCs w:val="16"/>
        </w:rPr>
        <w:softHyphen/>
        <w:t>хурина дополнительно построить два самолета Су-6 с бронекор-пусом, включенным в конструкцию самолета, и с усиленным бронированием маслорадиатора и винтомоторной группы. Воо</w:t>
      </w:r>
      <w:r w:rsidRPr="00722885">
        <w:rPr>
          <w:rFonts w:ascii="Times New Roman" w:hAnsi="Times New Roman"/>
          <w:color w:val="000000" w:themeColor="text1"/>
          <w:sz w:val="16"/>
          <w:szCs w:val="16"/>
        </w:rPr>
        <w:softHyphen/>
        <w:t>ружение этой пары штурмовиков состояло из двух пушек 11П, двух ШКАС, 200 кг бомб (в перегрузку 400 кг) и шести РО-82. Управление рулем высоты и рулем направления дублировалось. Предусматривалась замена металлических консолей крыла на консоли деревянной конструкции.</w:t>
      </w:r>
    </w:p>
    <w:p w14:paraId="749D85D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штурмовик Су-6 с крупнокалиберными пушками и с мотором М-71ф был построен в декабре 1942 г. Однако на испытания не передавался, так как в начале января 1943 г. П.О. Сухой предъявил эскизный проект модифицированного штурмовика Су-6 М-71ф (С2А) уже в двухместном варианте (по опыту войны) (11474,414).</w:t>
      </w:r>
    </w:p>
    <w:p w14:paraId="5A246CC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9654621" w14:textId="77777777" w:rsidR="006D74F7" w:rsidRPr="00722885" w:rsidRDefault="006D74F7"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В августе 1942 Сухой полу</w:t>
      </w:r>
      <w:r w:rsidRPr="00722885">
        <w:rPr>
          <w:rFonts w:ascii="Times New Roman" w:hAnsi="Times New Roman" w:cs="Times New Roman"/>
          <w:color w:val="0070C0"/>
          <w:sz w:val="16"/>
          <w:szCs w:val="16"/>
        </w:rPr>
        <w:softHyphen/>
        <w:t>чил разрешение наркома Шахурина, ис</w:t>
      </w:r>
      <w:r w:rsidRPr="00722885">
        <w:rPr>
          <w:rFonts w:ascii="Times New Roman" w:hAnsi="Times New Roman" w:cs="Times New Roman"/>
          <w:color w:val="0070C0"/>
          <w:sz w:val="16"/>
          <w:szCs w:val="16"/>
        </w:rPr>
        <w:softHyphen/>
        <w:t>пользуя созданный в июле задел по фю</w:t>
      </w:r>
      <w:r w:rsidRPr="00722885">
        <w:rPr>
          <w:rFonts w:ascii="Times New Roman" w:hAnsi="Times New Roman" w:cs="Times New Roman"/>
          <w:color w:val="0070C0"/>
          <w:sz w:val="16"/>
          <w:szCs w:val="16"/>
        </w:rPr>
        <w:softHyphen/>
        <w:t>зеляжам, центропланам и агрегатам, по</w:t>
      </w:r>
      <w:r w:rsidRPr="00722885">
        <w:rPr>
          <w:rFonts w:ascii="Times New Roman" w:hAnsi="Times New Roman" w:cs="Times New Roman"/>
          <w:color w:val="0070C0"/>
          <w:sz w:val="16"/>
          <w:szCs w:val="16"/>
        </w:rPr>
        <w:softHyphen/>
        <w:t>строить два самолета Су-6 с бронекорпусом, включенным в конструкцию самолета, и усиленным бронированием маслорадиатора и винтомоторной группы. Воо</w:t>
      </w:r>
      <w:r w:rsidRPr="00722885">
        <w:rPr>
          <w:rFonts w:ascii="Times New Roman" w:hAnsi="Times New Roman" w:cs="Times New Roman"/>
          <w:color w:val="0070C0"/>
          <w:sz w:val="16"/>
          <w:szCs w:val="16"/>
        </w:rPr>
        <w:softHyphen/>
        <w:t>ружение этой пары штурмовиков состо</w:t>
      </w:r>
      <w:r w:rsidRPr="00722885">
        <w:rPr>
          <w:rFonts w:ascii="Times New Roman" w:hAnsi="Times New Roman" w:cs="Times New Roman"/>
          <w:color w:val="0070C0"/>
          <w:sz w:val="16"/>
          <w:szCs w:val="16"/>
        </w:rPr>
        <w:softHyphen/>
        <w:t>яло из двух пушек 11П (100 снарядов), двух ШКАС (1500 патронов), 200 кг бомб (в перегрузку 400 кг) и шести РО-82 (или РО-132). Управление рулем высоты и ру</w:t>
      </w:r>
      <w:r w:rsidRPr="00722885">
        <w:rPr>
          <w:rFonts w:ascii="Times New Roman" w:hAnsi="Times New Roman" w:cs="Times New Roman"/>
          <w:color w:val="0070C0"/>
          <w:sz w:val="16"/>
          <w:szCs w:val="16"/>
        </w:rPr>
        <w:softHyphen/>
        <w:t>лем направления дублировалось. Предус</w:t>
      </w:r>
      <w:r w:rsidRPr="00722885">
        <w:rPr>
          <w:rFonts w:ascii="Times New Roman" w:hAnsi="Times New Roman" w:cs="Times New Roman"/>
          <w:color w:val="0070C0"/>
          <w:sz w:val="16"/>
          <w:szCs w:val="16"/>
        </w:rPr>
        <w:softHyphen/>
        <w:t>матривалась замена металлических кон</w:t>
      </w:r>
      <w:r w:rsidRPr="00722885">
        <w:rPr>
          <w:rFonts w:ascii="Times New Roman" w:hAnsi="Times New Roman" w:cs="Times New Roman"/>
          <w:color w:val="0070C0"/>
          <w:sz w:val="16"/>
          <w:szCs w:val="16"/>
        </w:rPr>
        <w:softHyphen/>
        <w:t>солей крыла на консоли деревянной кон</w:t>
      </w:r>
      <w:r w:rsidRPr="00722885">
        <w:rPr>
          <w:rFonts w:ascii="Times New Roman" w:hAnsi="Times New Roman" w:cs="Times New Roman"/>
          <w:color w:val="0070C0"/>
          <w:sz w:val="16"/>
          <w:szCs w:val="16"/>
        </w:rPr>
        <w:softHyphen/>
        <w:t>струкции (19846).</w:t>
      </w:r>
    </w:p>
    <w:p w14:paraId="3D404EF6" w14:textId="77777777" w:rsidR="006D74F7" w:rsidRPr="00722885" w:rsidRDefault="006D74F7"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426D3ECB" w14:textId="77777777" w:rsidR="00BF7700" w:rsidRPr="00722885" w:rsidRDefault="00BF77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«Эскизный проект самолета противотанковой воздушной армии» рассматривался специалистами НИИ ВВС. Несмотря на изрядный скепсис (масштаб программы строительства «Пегасов» и проблем, связанных с этим, поражал воображение всякого, кто соприкасался с проектом), в выводах по материалам проекта все же указали, что самолет представляет интерес для ВВС КА. Но «вопрос о развертывании работ по массовой постройке» жестко увязывался с постройкой пяти опытных «Пегасов» и результатами проверки их тактических и летных свойств, вопросов живучести и отработки вооружения.</w:t>
      </w:r>
    </w:p>
    <w:p w14:paraId="740ED64C" w14:textId="77777777" w:rsidR="00BF7700" w:rsidRPr="00722885" w:rsidRDefault="00BF77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показали дальнейшие события, официального заказа от ВВС на постройку даже опытных самолетов «Пегас» в НКАП так и не последовало.</w:t>
      </w:r>
    </w:p>
    <w:p w14:paraId="784018AB" w14:textId="77777777" w:rsidR="00BF7700" w:rsidRPr="00722885" w:rsidRDefault="00BF77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временем о проекте Д. Л. Томашевича было доложено И. В. Сталину и вызвало его неподдельную заинтересованность. Особенно Сталину понравилась возможность за короткий срок изготовить большое количество самолетов этого типа (с темпом выпуска около 100 самолетов в день), быстро освоить их летчиками и массированно применить на фронте, буквально раздавив с воздуха танки и мотопехоту противника (17490).</w:t>
      </w:r>
    </w:p>
    <w:p w14:paraId="4DFF4A16" w14:textId="77777777" w:rsidR="00BF7700" w:rsidRPr="00722885" w:rsidRDefault="00BF7700" w:rsidP="00722885">
      <w:pPr>
        <w:spacing w:after="0" w:line="240" w:lineRule="auto"/>
        <w:jc w:val="both"/>
        <w:rPr>
          <w:rFonts w:ascii="Times New Roman" w:eastAsia="Times New Roman" w:hAnsi="Times New Roman"/>
          <w:color w:val="000000" w:themeColor="text1"/>
          <w:sz w:val="16"/>
          <w:szCs w:val="16"/>
          <w:lang w:eastAsia="ru-RU"/>
        </w:rPr>
      </w:pPr>
    </w:p>
    <w:p w14:paraId="55CA1278"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августе 1942 о проекте Д. Л. Томашевича было доложено И. В. Сталину и вызвало его неподдель</w:t>
      </w:r>
      <w:r w:rsidRPr="00722885">
        <w:rPr>
          <w:color w:val="000000" w:themeColor="text1"/>
          <w:sz w:val="16"/>
          <w:szCs w:val="16"/>
        </w:rPr>
        <w:softHyphen/>
        <w:t>ную заинтересованность. Особенно Сталину понра</w:t>
      </w:r>
      <w:r w:rsidRPr="00722885">
        <w:rPr>
          <w:color w:val="000000" w:themeColor="text1"/>
          <w:sz w:val="16"/>
          <w:szCs w:val="16"/>
        </w:rPr>
        <w:softHyphen/>
        <w:t>вилась возможность за короткий срок изготовить большое количество самолетов этого типа (с тем</w:t>
      </w:r>
      <w:r w:rsidRPr="00722885">
        <w:rPr>
          <w:color w:val="000000" w:themeColor="text1"/>
          <w:sz w:val="16"/>
          <w:szCs w:val="16"/>
        </w:rPr>
        <w:softHyphen/>
        <w:t>пом выпуска около 100 самолетов в день), быстро освоить их летчиками и массированно применить на фронте, буквально раздавив с воздуха танки и мотопехоту противника.</w:t>
      </w:r>
    </w:p>
    <w:p w14:paraId="443375B0"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Учитывая такие положительные стороны про</w:t>
      </w:r>
      <w:r w:rsidRPr="00722885">
        <w:rPr>
          <w:color w:val="000000" w:themeColor="text1"/>
          <w:sz w:val="16"/>
          <w:szCs w:val="16"/>
        </w:rPr>
        <w:softHyphen/>
        <w:t>екта «Пегас», как сварная бронекабина простых форм, сменные варианты вооружения, упрощенная технология изготовления, даже рассматривался вопрос о реализации ряда предложений ЦКБ-29 на серийном легком транспортном самолете Як-6 2М-11ф. Впрочем, без особого результата. Главный конструктор Як-6 — заместитель наркомавиапро- ма А. С. Яковлев, быстро осознав, чем эта затея может закончиться, своевременно дистанциро</w:t>
      </w:r>
      <w:r w:rsidRPr="00722885">
        <w:rPr>
          <w:color w:val="000000" w:themeColor="text1"/>
          <w:sz w:val="16"/>
          <w:szCs w:val="16"/>
        </w:rPr>
        <w:softHyphen/>
        <w:t>вался от этого задания. Дело в том, что Як-6 ока</w:t>
      </w:r>
      <w:r w:rsidRPr="00722885">
        <w:rPr>
          <w:color w:val="000000" w:themeColor="text1"/>
          <w:sz w:val="16"/>
          <w:szCs w:val="16"/>
        </w:rPr>
        <w:softHyphen/>
        <w:t>зался довольно строгим в пилотировании и моло</w:t>
      </w:r>
      <w:r w:rsidRPr="00722885">
        <w:rPr>
          <w:color w:val="000000" w:themeColor="text1"/>
          <w:sz w:val="16"/>
          <w:szCs w:val="16"/>
        </w:rPr>
        <w:softHyphen/>
        <w:t>дые летчики с недостаточной подготовкой на нем частенько бились. Дальше разговоров дело не пошло.</w:t>
      </w:r>
    </w:p>
    <w:p w14:paraId="0536B097"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Детально изучив представленные материалы, военные специалисты достаточно объективно оце</w:t>
      </w:r>
      <w:r w:rsidRPr="00722885">
        <w:rPr>
          <w:color w:val="000000" w:themeColor="text1"/>
          <w:sz w:val="16"/>
          <w:szCs w:val="16"/>
        </w:rPr>
        <w:softHyphen/>
        <w:t>нили главную особенность проекта — предельную простоту и дешевизну самолета, но вполне спра</w:t>
      </w:r>
      <w:r w:rsidRPr="00722885">
        <w:rPr>
          <w:color w:val="000000" w:themeColor="text1"/>
          <w:sz w:val="16"/>
          <w:szCs w:val="16"/>
        </w:rPr>
        <w:softHyphen/>
        <w:t>ведливо поставили под сомнение возможность постройки 15000 самолетов «Пегас» в течение года. Главным образом ввиду необеспеченности заявленной программы строительства моторами М-11, которых необходимо было изготовить не менее 30 000 единиц, а с учетом передачи некото</w:t>
      </w:r>
      <w:r w:rsidRPr="00722885">
        <w:rPr>
          <w:color w:val="000000" w:themeColor="text1"/>
          <w:sz w:val="16"/>
          <w:szCs w:val="16"/>
        </w:rPr>
        <w:softHyphen/>
        <w:t>рого количества моторов в оборотный ремонтный фонд и того больше. Для этого в системе НКАП требовалось создать новый мощный моторный за</w:t>
      </w:r>
      <w:r w:rsidRPr="00722885">
        <w:rPr>
          <w:color w:val="000000" w:themeColor="text1"/>
          <w:sz w:val="16"/>
          <w:szCs w:val="16"/>
        </w:rPr>
        <w:softHyphen/>
        <w:t>вод, что было совершенно нереальным в условиях войны.</w:t>
      </w:r>
    </w:p>
    <w:p w14:paraId="1E21478E"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того, виделись и практически непреодо</w:t>
      </w:r>
      <w:r w:rsidRPr="00722885">
        <w:rPr>
          <w:color w:val="000000" w:themeColor="text1"/>
          <w:sz w:val="16"/>
          <w:szCs w:val="16"/>
        </w:rPr>
        <w:softHyphen/>
        <w:t>лимые в условиях войны трудности при формиро</w:t>
      </w:r>
      <w:r w:rsidRPr="00722885">
        <w:rPr>
          <w:color w:val="000000" w:themeColor="text1"/>
          <w:sz w:val="16"/>
          <w:szCs w:val="16"/>
        </w:rPr>
        <w:softHyphen/>
        <w:t>вании и боевом применении специальной проти</w:t>
      </w:r>
      <w:r w:rsidRPr="00722885">
        <w:rPr>
          <w:color w:val="000000" w:themeColor="text1"/>
          <w:sz w:val="16"/>
          <w:szCs w:val="16"/>
        </w:rPr>
        <w:softHyphen/>
        <w:t>вотанковой воздушной армии. Причем на первый план выходили даже не технические и организаци</w:t>
      </w:r>
      <w:r w:rsidRPr="00722885">
        <w:rPr>
          <w:color w:val="000000" w:themeColor="text1"/>
          <w:sz w:val="16"/>
          <w:szCs w:val="16"/>
        </w:rPr>
        <w:softHyphen/>
        <w:t>онные проблемы, связанные с насыщением нового формирования материальной частью и обеспече</w:t>
      </w:r>
      <w:r w:rsidRPr="00722885">
        <w:rPr>
          <w:color w:val="000000" w:themeColor="text1"/>
          <w:sz w:val="16"/>
          <w:szCs w:val="16"/>
        </w:rPr>
        <w:softHyphen/>
        <w:t>нием поддержания такой огромной массы самоле</w:t>
      </w:r>
      <w:r w:rsidRPr="00722885">
        <w:rPr>
          <w:color w:val="000000" w:themeColor="text1"/>
          <w:sz w:val="16"/>
          <w:szCs w:val="16"/>
        </w:rPr>
        <w:softHyphen/>
        <w:t>тов в боеготовом состоянии, а проблемы комплек</w:t>
      </w:r>
      <w:r w:rsidRPr="00722885">
        <w:rPr>
          <w:color w:val="000000" w:themeColor="text1"/>
          <w:sz w:val="16"/>
          <w:szCs w:val="16"/>
        </w:rPr>
        <w:softHyphen/>
        <w:t>тования и подготовки личного состава.</w:t>
      </w:r>
    </w:p>
    <w:p w14:paraId="7DC2DCFC"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Действительно, 15 000 самолетов — это при 32-самолетном составе авиаполков (штат № 015/282) свыше 60 000 (!) человек личного состава.</w:t>
      </w:r>
    </w:p>
    <w:p w14:paraId="37A4BDE9"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Требовалось отобрать и обучить (хорошую стрелковую и тактическую подготовку никто не от</w:t>
      </w:r>
      <w:r w:rsidRPr="00722885">
        <w:rPr>
          <w:color w:val="000000" w:themeColor="text1"/>
          <w:sz w:val="16"/>
          <w:szCs w:val="16"/>
        </w:rPr>
        <w:softHyphen/>
        <w:t>менял вне зависимости от типа самолета) не толь</w:t>
      </w:r>
      <w:r w:rsidRPr="00722885">
        <w:rPr>
          <w:color w:val="000000" w:themeColor="text1"/>
          <w:sz w:val="16"/>
          <w:szCs w:val="16"/>
        </w:rPr>
        <w:softHyphen/>
        <w:t>ко 15 000 летчиков, но и командиров полков и ди</w:t>
      </w:r>
      <w:r w:rsidRPr="00722885">
        <w:rPr>
          <w:color w:val="000000" w:themeColor="text1"/>
          <w:sz w:val="16"/>
          <w:szCs w:val="16"/>
        </w:rPr>
        <w:softHyphen/>
        <w:t>визий с опытом ведения современной воздушной войны, а на уровне штабов ВВС, воздушных армий и фронтов проработать все вопросы взаимодей</w:t>
      </w:r>
      <w:r w:rsidRPr="00722885">
        <w:rPr>
          <w:color w:val="000000" w:themeColor="text1"/>
          <w:sz w:val="16"/>
          <w:szCs w:val="16"/>
        </w:rPr>
        <w:softHyphen/>
        <w:t>ствия армии противотанковых «Пегасов».</w:t>
      </w:r>
    </w:p>
    <w:p w14:paraId="461671FB"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Вызывала сомнение и заявленная в проекте вы</w:t>
      </w:r>
      <w:r w:rsidRPr="00722885">
        <w:rPr>
          <w:color w:val="000000" w:themeColor="text1"/>
          <w:sz w:val="16"/>
          <w:szCs w:val="16"/>
        </w:rPr>
        <w:softHyphen/>
        <w:t>сокая боевая эффективность противотанкового са</w:t>
      </w:r>
      <w:r w:rsidRPr="00722885">
        <w:rPr>
          <w:color w:val="000000" w:themeColor="text1"/>
          <w:sz w:val="16"/>
          <w:szCs w:val="16"/>
        </w:rPr>
        <w:softHyphen/>
        <w:t>молета. Дело в том, что небольшая скорость полета не только повышала вероятность поражения бро</w:t>
      </w:r>
      <w:r w:rsidRPr="00722885">
        <w:rPr>
          <w:color w:val="000000" w:themeColor="text1"/>
          <w:sz w:val="16"/>
          <w:szCs w:val="16"/>
        </w:rPr>
        <w:softHyphen/>
        <w:t>нетехники противника, но повышала и вероятность поражения самого самолета огнем с земли. По опыту применения более скоростного штурмовика Ил-2 его бронекорпус с толщиной брони 6—12 мм успешно пробивался бронебойными малокалибер</w:t>
      </w:r>
      <w:r w:rsidRPr="00722885">
        <w:rPr>
          <w:color w:val="000000" w:themeColor="text1"/>
          <w:sz w:val="16"/>
          <w:szCs w:val="16"/>
        </w:rPr>
        <w:softHyphen/>
        <w:t>ными снарядами и крупнокалиберными пулями не</w:t>
      </w:r>
      <w:r w:rsidRPr="00722885">
        <w:rPr>
          <w:color w:val="000000" w:themeColor="text1"/>
          <w:sz w:val="16"/>
          <w:szCs w:val="16"/>
        </w:rPr>
        <w:softHyphen/>
        <w:t>мецких зенитных и авиационных автоматов. Между тем бронирование кабины летчика на самолете «Пегас» принципиально ненамного отличалось от Ил-2. Схема бронирования и выбранные толщины брони, по мнению специалистов института, не обе</w:t>
      </w:r>
      <w:r w:rsidRPr="00722885">
        <w:rPr>
          <w:color w:val="000000" w:themeColor="text1"/>
          <w:sz w:val="16"/>
          <w:szCs w:val="16"/>
        </w:rPr>
        <w:softHyphen/>
        <w:t>спечивали надежную защиту как от зенитного огня, так и от огня истребителей. К тому же моторы не бронировались. Протектор основных бензобаков, система нейтральных газов и противопожарные перегородки проектом не предусматривались. В то же время сброс бензобаков не исключал пожара, так как летчик может своевременно не заметить возгорания.</w:t>
      </w:r>
    </w:p>
    <w:p w14:paraId="661F77F5"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Было очевидно, что в условиях интенсивных воздушных боев (по-другому и быть не могло, так как крупные массы танков действуют только на главном направлении удара, значит, и прикрыва</w:t>
      </w:r>
      <w:r w:rsidRPr="00722885">
        <w:rPr>
          <w:color w:val="000000" w:themeColor="text1"/>
          <w:sz w:val="16"/>
          <w:szCs w:val="16"/>
        </w:rPr>
        <w:softHyphen/>
        <w:t>ются с воздуха) армады противотанковых «Пега</w:t>
      </w:r>
      <w:r w:rsidRPr="00722885">
        <w:rPr>
          <w:color w:val="000000" w:themeColor="text1"/>
          <w:sz w:val="16"/>
          <w:szCs w:val="16"/>
        </w:rPr>
        <w:softHyphen/>
        <w:t>сов» будут нести и огромные потери от огня про</w:t>
      </w:r>
      <w:r w:rsidRPr="00722885">
        <w:rPr>
          <w:color w:val="000000" w:themeColor="text1"/>
          <w:sz w:val="16"/>
          <w:szCs w:val="16"/>
        </w:rPr>
        <w:softHyphen/>
        <w:t>тивника. Самолет Томашевича виделся не столько полноценной противотанковой системой, сколько одноразовой, в лучшем случае 2—3-разовой бое</w:t>
      </w:r>
      <w:r w:rsidRPr="00722885">
        <w:rPr>
          <w:color w:val="000000" w:themeColor="text1"/>
          <w:sz w:val="16"/>
          <w:szCs w:val="16"/>
        </w:rPr>
        <w:softHyphen/>
        <w:t>вой машиной. Но главное, с каждой потерей «Пега</w:t>
      </w:r>
      <w:r w:rsidRPr="00722885">
        <w:rPr>
          <w:color w:val="000000" w:themeColor="text1"/>
          <w:sz w:val="16"/>
          <w:szCs w:val="16"/>
        </w:rPr>
        <w:softHyphen/>
        <w:t>са» терялся и летный состав, в большинстве своем безвозвратно. Подготовка же летчиков дело за</w:t>
      </w:r>
      <w:r w:rsidRPr="00722885">
        <w:rPr>
          <w:color w:val="000000" w:themeColor="text1"/>
          <w:sz w:val="16"/>
          <w:szCs w:val="16"/>
        </w:rPr>
        <w:softHyphen/>
        <w:t>тратное и продолжительное. Собственно, именно по этой причине командование ВВС КА и Ставка ВГК не решились на создание не только специаль</w:t>
      </w:r>
      <w:r w:rsidRPr="00722885">
        <w:rPr>
          <w:color w:val="000000" w:themeColor="text1"/>
          <w:sz w:val="16"/>
          <w:szCs w:val="16"/>
        </w:rPr>
        <w:softHyphen/>
        <w:t>ных противотанковых дивизий, как предлагалось Оперативным управлением штаба ВВС, но даже отдельных противотанковых полков. При интен</w:t>
      </w:r>
      <w:r w:rsidRPr="00722885">
        <w:rPr>
          <w:color w:val="000000" w:themeColor="text1"/>
          <w:sz w:val="16"/>
          <w:szCs w:val="16"/>
        </w:rPr>
        <w:softHyphen/>
        <w:t>сивных боях специально обученные летчики по</w:t>
      </w:r>
      <w:r w:rsidRPr="00722885">
        <w:rPr>
          <w:color w:val="000000" w:themeColor="text1"/>
          <w:sz w:val="16"/>
          <w:szCs w:val="16"/>
        </w:rPr>
        <w:softHyphen/>
        <w:t>гибают «в общей свалке» так же часто, как и рядо</w:t>
      </w:r>
      <w:r w:rsidRPr="00722885">
        <w:rPr>
          <w:color w:val="000000" w:themeColor="text1"/>
          <w:sz w:val="16"/>
          <w:szCs w:val="16"/>
        </w:rPr>
        <w:softHyphen/>
        <w:t>вые летчики, не имеющие противотанковой подго</w:t>
      </w:r>
      <w:r w:rsidRPr="00722885">
        <w:rPr>
          <w:color w:val="000000" w:themeColor="text1"/>
          <w:sz w:val="16"/>
          <w:szCs w:val="16"/>
        </w:rPr>
        <w:softHyphen/>
        <w:t>товки.</w:t>
      </w:r>
    </w:p>
    <w:p w14:paraId="6049E0AC"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Положительной стороной самолета «Пегас» счи</w:t>
      </w:r>
      <w:r w:rsidRPr="00722885">
        <w:rPr>
          <w:color w:val="000000" w:themeColor="text1"/>
          <w:sz w:val="16"/>
          <w:szCs w:val="16"/>
        </w:rPr>
        <w:softHyphen/>
        <w:t>талось применение сменных составов оружия на подвесных мостах и лафетах, что расширяло круг тактических задач, решаемых самолетом. Из числа сменных комплектов вооружения наилучшими соч</w:t>
      </w:r>
      <w:r w:rsidRPr="00722885">
        <w:rPr>
          <w:color w:val="000000" w:themeColor="text1"/>
          <w:sz w:val="16"/>
          <w:szCs w:val="16"/>
        </w:rPr>
        <w:softHyphen/>
        <w:t>ли варианты с пушкой калибра 37 мм, ракетными снарядами и бомбами. Однако возможность ис</w:t>
      </w:r>
      <w:r w:rsidRPr="00722885">
        <w:rPr>
          <w:color w:val="000000" w:themeColor="text1"/>
          <w:sz w:val="16"/>
          <w:szCs w:val="16"/>
        </w:rPr>
        <w:softHyphen/>
        <w:t>пользования пушек калибра 37 мм с силой отдачи порядка 3000—5500 кг на столь легком самолете требовалось проверить реальными стрельбами в воздухе.</w:t>
      </w:r>
    </w:p>
    <w:p w14:paraId="0D3D0B31"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Несмотря на изрядный скепсис (масштаб про</w:t>
      </w:r>
      <w:r w:rsidRPr="00722885">
        <w:rPr>
          <w:color w:val="000000" w:themeColor="text1"/>
          <w:sz w:val="16"/>
          <w:szCs w:val="16"/>
        </w:rPr>
        <w:softHyphen/>
        <w:t>граммы строительства «Пегасов» и проблем, свя</w:t>
      </w:r>
      <w:r w:rsidRPr="00722885">
        <w:rPr>
          <w:color w:val="000000" w:themeColor="text1"/>
          <w:sz w:val="16"/>
          <w:szCs w:val="16"/>
        </w:rPr>
        <w:softHyphen/>
        <w:t>занных с этим, поражал воображение всякого, кто соприкасался с проектом), специалисты НИИ ВВС в выводах по материалам проекта все же указали, что самолет представляет интерес для ВВС КА. Но «вопрос о развертывании работ по массовой по</w:t>
      </w:r>
      <w:r w:rsidRPr="00722885">
        <w:rPr>
          <w:color w:val="000000" w:themeColor="text1"/>
          <w:sz w:val="16"/>
          <w:szCs w:val="16"/>
        </w:rPr>
        <w:softHyphen/>
        <w:t>стройке» военные жестко увязали с постройкой 5 опытных «Пегасов» и результатами проверки их тактических и летных свойств, вопросов живучести и отработки вооружения.</w:t>
      </w:r>
    </w:p>
    <w:p w14:paraId="79E30F12"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сказать, весьма осторожный и дальновид</w:t>
      </w:r>
      <w:r w:rsidRPr="00722885">
        <w:rPr>
          <w:color w:val="000000" w:themeColor="text1"/>
          <w:sz w:val="16"/>
          <w:szCs w:val="16"/>
        </w:rPr>
        <w:softHyphen/>
        <w:t>ный шаг, учитывая известную заинтересованность руководства НКВД в этом проекте.</w:t>
      </w:r>
    </w:p>
    <w:p w14:paraId="16C60F31" w14:textId="77777777" w:rsidR="00BF7700" w:rsidRPr="00722885" w:rsidRDefault="00BF770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показали дальнейшие события, официаль</w:t>
      </w:r>
      <w:r w:rsidRPr="00722885">
        <w:rPr>
          <w:color w:val="000000" w:themeColor="text1"/>
          <w:sz w:val="16"/>
          <w:szCs w:val="16"/>
        </w:rPr>
        <w:softHyphen/>
        <w:t>ного заказа от ВВС на постройку даже опытных са</w:t>
      </w:r>
      <w:r w:rsidRPr="00722885">
        <w:rPr>
          <w:color w:val="000000" w:themeColor="text1"/>
          <w:sz w:val="16"/>
          <w:szCs w:val="16"/>
        </w:rPr>
        <w:softHyphen/>
        <w:t>молетов «Пегас» в НКАП так и не последовало (17500).</w:t>
      </w:r>
    </w:p>
    <w:p w14:paraId="474182C6" w14:textId="77777777" w:rsidR="00BF7700" w:rsidRPr="00722885" w:rsidRDefault="00BF7700" w:rsidP="00722885">
      <w:pPr>
        <w:pStyle w:val="12a"/>
        <w:shd w:val="clear" w:color="auto" w:fill="auto"/>
        <w:spacing w:after="0" w:line="240" w:lineRule="auto"/>
        <w:jc w:val="both"/>
        <w:rPr>
          <w:color w:val="000000" w:themeColor="text1"/>
          <w:sz w:val="16"/>
          <w:szCs w:val="16"/>
        </w:rPr>
      </w:pPr>
    </w:p>
    <w:p w14:paraId="48AD71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C августа 1942 39 завод в Иркутске получил задание на выпуск Ил-4. Выпуск начался через 6 месяцев и всего сделали 869 из 6119. Делали торпедоносцы + 6хРС 132 или 82 (1723,53).</w:t>
      </w:r>
    </w:p>
    <w:p w14:paraId="40F3AF1F" w14:textId="77777777" w:rsidR="00AE7191" w:rsidRPr="00722885" w:rsidRDefault="00AE7191" w:rsidP="00722885">
      <w:pPr>
        <w:pStyle w:val="Iauiue"/>
        <w:jc w:val="both"/>
        <w:rPr>
          <w:color w:val="000000" w:themeColor="text1"/>
          <w:sz w:val="16"/>
          <w:szCs w:val="16"/>
        </w:rPr>
      </w:pPr>
    </w:p>
    <w:p w14:paraId="5F92167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августа 1942 г., ильюшинские бомбардировщи</w:t>
      </w:r>
      <w:r w:rsidRPr="00722885">
        <w:rPr>
          <w:rFonts w:ascii="Times New Roman" w:hAnsi="Times New Roman"/>
          <w:color w:val="000000" w:themeColor="text1"/>
          <w:sz w:val="16"/>
          <w:szCs w:val="16"/>
        </w:rPr>
        <w:softHyphen/>
        <w:t>ки начали вытеснять Пе-2 и Пе-3 из це</w:t>
      </w:r>
      <w:r w:rsidRPr="00722885">
        <w:rPr>
          <w:rFonts w:ascii="Times New Roman" w:hAnsi="Times New Roman"/>
          <w:color w:val="000000" w:themeColor="text1"/>
          <w:sz w:val="16"/>
          <w:szCs w:val="16"/>
        </w:rPr>
        <w:softHyphen/>
        <w:t>хов завода № 39, эвакуированного в Иркутск с заводом № 125. Делали их там поначалу немного. Так, в октябре сдали всего четыре самолета (правда, в плане стояли два) (10734,69).</w:t>
      </w:r>
    </w:p>
    <w:p w14:paraId="0273F99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63BF2F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августа 1942 г. ильюшинские бомбардировщики начали вытеснять Пе-2 и Пе-3 из цехов завода №39, эвакуированного в Иркутск вместе с заводом №125. Делали их там поначалу немного. Так, в октябре сдали всего четыре самолета (правда, в плане и вовсе стояли только два). Собственно, это были уже не ДБ-3Ф, так как с 26 марта самолету присвоили новое обозначение - Ил-4 (7666).</w:t>
      </w:r>
    </w:p>
    <w:p w14:paraId="34E411DF" w14:textId="77777777" w:rsidR="00AE7191" w:rsidRPr="00722885" w:rsidRDefault="00AE7191" w:rsidP="00722885">
      <w:pPr>
        <w:pStyle w:val="Iauiue"/>
        <w:jc w:val="both"/>
        <w:rPr>
          <w:color w:val="000000" w:themeColor="text1"/>
          <w:sz w:val="16"/>
          <w:szCs w:val="16"/>
        </w:rPr>
      </w:pPr>
    </w:p>
    <w:p w14:paraId="2C8E6E55" w14:textId="77777777" w:rsidR="005B1690" w:rsidRPr="00722885" w:rsidRDefault="005B1690"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по решению Государственного Комитета Обороны завод № 39 прекращает выпуск машин Пе-2 и Пе-3бис и приступает к производству дальнего бомбардировщика Ил-4 (ДБ-3Ф переименованный в Ил-4 приказом А.И. Шахурина 28 марта 1942 года). К выпуску в 1942 году намечено 37 Ил-4, при этом первые машины должны быть сданы в ноябре месяце.</w:t>
      </w:r>
    </w:p>
    <w:p w14:paraId="6F2B6FF1" w14:textId="77777777" w:rsidR="005B1690" w:rsidRPr="00722885" w:rsidRDefault="005B1690"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освоении Ил-4 заводом был осуществлен следующий график подготовки производства и изготовления первой машины (Отчет о работе завода № 39 за 1942 год. Центральный архив ИАЗ, дело № 240, лист 39.):</w:t>
      </w:r>
    </w:p>
    <w:p w14:paraId="7072722D" w14:textId="77777777" w:rsidR="005B1690" w:rsidRPr="00722885" w:rsidRDefault="005B1690" w:rsidP="00722885">
      <w:pPr>
        <w:pStyle w:val="rteindent11"/>
        <w:shd w:val="clear" w:color="auto" w:fill="FFFFFF"/>
        <w:spacing w:before="0" w:beforeAutospacing="0" w:after="0"/>
        <w:ind w:left="0" w:firstLine="0"/>
        <w:rPr>
          <w:color w:val="000000" w:themeColor="text1"/>
          <w:sz w:val="16"/>
          <w:szCs w:val="16"/>
        </w:rPr>
      </w:pPr>
      <w:r w:rsidRPr="00722885">
        <w:rPr>
          <w:rStyle w:val="af0"/>
          <w:i w:val="0"/>
          <w:color w:val="000000" w:themeColor="text1"/>
          <w:sz w:val="16"/>
          <w:szCs w:val="16"/>
        </w:rPr>
        <w:t>1. Получение чертежей от завода № 23 – 30 августа.</w:t>
      </w:r>
    </w:p>
    <w:p w14:paraId="71930B7A" w14:textId="77777777" w:rsidR="005B1690" w:rsidRPr="00722885" w:rsidRDefault="005B1690" w:rsidP="00722885">
      <w:pPr>
        <w:pStyle w:val="rteindent11"/>
        <w:shd w:val="clear" w:color="auto" w:fill="FFFFFF"/>
        <w:spacing w:before="0" w:beforeAutospacing="0" w:after="0"/>
        <w:ind w:left="0" w:firstLine="0"/>
        <w:rPr>
          <w:color w:val="000000" w:themeColor="text1"/>
          <w:sz w:val="16"/>
          <w:szCs w:val="16"/>
        </w:rPr>
      </w:pPr>
      <w:r w:rsidRPr="00722885">
        <w:rPr>
          <w:rStyle w:val="af0"/>
          <w:i w:val="0"/>
          <w:color w:val="000000" w:themeColor="text1"/>
          <w:sz w:val="16"/>
          <w:szCs w:val="16"/>
        </w:rPr>
        <w:t>2. Изготовление плазов – 10 сентября.</w:t>
      </w:r>
    </w:p>
    <w:p w14:paraId="312C2D26" w14:textId="77777777" w:rsidR="005B1690" w:rsidRPr="00722885" w:rsidRDefault="005B1690" w:rsidP="00722885">
      <w:pPr>
        <w:pStyle w:val="rteindent11"/>
        <w:shd w:val="clear" w:color="auto" w:fill="FFFFFF"/>
        <w:spacing w:before="0" w:beforeAutospacing="0" w:after="0"/>
        <w:ind w:left="0" w:firstLine="0"/>
        <w:rPr>
          <w:color w:val="000000" w:themeColor="text1"/>
          <w:sz w:val="16"/>
          <w:szCs w:val="16"/>
        </w:rPr>
      </w:pPr>
      <w:r w:rsidRPr="00722885">
        <w:rPr>
          <w:rStyle w:val="af0"/>
          <w:i w:val="0"/>
          <w:color w:val="000000" w:themeColor="text1"/>
          <w:sz w:val="16"/>
          <w:szCs w:val="16"/>
        </w:rPr>
        <w:t>3. Передача чертежей в производственные цехи – 10 сентября.</w:t>
      </w:r>
    </w:p>
    <w:p w14:paraId="06CCDEF4" w14:textId="77777777" w:rsidR="005B1690" w:rsidRPr="00722885" w:rsidRDefault="005B1690" w:rsidP="00722885">
      <w:pPr>
        <w:pStyle w:val="rteindent11"/>
        <w:shd w:val="clear" w:color="auto" w:fill="FFFFFF"/>
        <w:spacing w:before="0" w:beforeAutospacing="0" w:after="0"/>
        <w:ind w:left="0" w:firstLine="0"/>
        <w:rPr>
          <w:color w:val="000000" w:themeColor="text1"/>
          <w:sz w:val="16"/>
          <w:szCs w:val="16"/>
        </w:rPr>
      </w:pPr>
      <w:r w:rsidRPr="00722885">
        <w:rPr>
          <w:rStyle w:val="af0"/>
          <w:i w:val="0"/>
          <w:color w:val="000000" w:themeColor="text1"/>
          <w:sz w:val="16"/>
          <w:szCs w:val="16"/>
        </w:rPr>
        <w:t>4. Обработка чертежей конструкторским и технологическим отделами завода – 8 октября.</w:t>
      </w:r>
    </w:p>
    <w:p w14:paraId="7C91E970" w14:textId="77777777" w:rsidR="005B1690" w:rsidRPr="00722885" w:rsidRDefault="005B1690" w:rsidP="00722885">
      <w:pPr>
        <w:pStyle w:val="rteindent11"/>
        <w:shd w:val="clear" w:color="auto" w:fill="FFFFFF"/>
        <w:spacing w:before="0" w:beforeAutospacing="0" w:after="0"/>
        <w:ind w:left="0" w:firstLine="0"/>
        <w:rPr>
          <w:color w:val="000000" w:themeColor="text1"/>
          <w:sz w:val="16"/>
          <w:szCs w:val="16"/>
        </w:rPr>
      </w:pPr>
      <w:r w:rsidRPr="00722885">
        <w:rPr>
          <w:rStyle w:val="af0"/>
          <w:i w:val="0"/>
          <w:color w:val="000000" w:themeColor="text1"/>
          <w:sz w:val="16"/>
          <w:szCs w:val="16"/>
        </w:rPr>
        <w:lastRenderedPageBreak/>
        <w:t>5. Заказ оснастки «0» и 1-й очереди – 10 октября.</w:t>
      </w:r>
    </w:p>
    <w:p w14:paraId="04B573BD" w14:textId="77777777" w:rsidR="005B1690" w:rsidRPr="00722885" w:rsidRDefault="005B1690" w:rsidP="00722885">
      <w:pPr>
        <w:pStyle w:val="rteindent11"/>
        <w:shd w:val="clear" w:color="auto" w:fill="FFFFFF"/>
        <w:spacing w:before="0" w:beforeAutospacing="0" w:after="0"/>
        <w:ind w:left="0" w:firstLine="0"/>
        <w:rPr>
          <w:color w:val="000000" w:themeColor="text1"/>
          <w:sz w:val="16"/>
          <w:szCs w:val="16"/>
        </w:rPr>
      </w:pPr>
      <w:r w:rsidRPr="00722885">
        <w:rPr>
          <w:rStyle w:val="af0"/>
          <w:i w:val="0"/>
          <w:color w:val="000000" w:themeColor="text1"/>
          <w:sz w:val="16"/>
          <w:szCs w:val="16"/>
        </w:rPr>
        <w:t>6. Передача цехам технологических передовиц – 15 октября.</w:t>
      </w:r>
    </w:p>
    <w:p w14:paraId="4025CB7D" w14:textId="77777777" w:rsidR="005B1690" w:rsidRPr="00722885" w:rsidRDefault="005B1690" w:rsidP="00722885">
      <w:pPr>
        <w:pStyle w:val="rteindent11"/>
        <w:shd w:val="clear" w:color="auto" w:fill="FFFFFF"/>
        <w:spacing w:before="0" w:beforeAutospacing="0" w:after="0"/>
        <w:ind w:left="0" w:firstLine="0"/>
        <w:rPr>
          <w:color w:val="000000" w:themeColor="text1"/>
          <w:sz w:val="16"/>
          <w:szCs w:val="16"/>
        </w:rPr>
      </w:pPr>
      <w:r w:rsidRPr="00722885">
        <w:rPr>
          <w:rStyle w:val="af0"/>
          <w:i w:val="0"/>
          <w:color w:val="000000" w:themeColor="text1"/>
          <w:sz w:val="16"/>
          <w:szCs w:val="16"/>
        </w:rPr>
        <w:t>7. Разработка технологических процессов – 30 октября.</w:t>
      </w:r>
    </w:p>
    <w:p w14:paraId="04FC4C3C" w14:textId="77777777" w:rsidR="005B1690" w:rsidRPr="00722885" w:rsidRDefault="005B1690" w:rsidP="00722885">
      <w:pPr>
        <w:pStyle w:val="rteindent11"/>
        <w:shd w:val="clear" w:color="auto" w:fill="FFFFFF"/>
        <w:spacing w:before="0" w:beforeAutospacing="0" w:after="0"/>
        <w:ind w:left="0" w:firstLine="0"/>
        <w:rPr>
          <w:color w:val="000000" w:themeColor="text1"/>
          <w:sz w:val="16"/>
          <w:szCs w:val="16"/>
        </w:rPr>
      </w:pPr>
      <w:r w:rsidRPr="00722885">
        <w:rPr>
          <w:rStyle w:val="af0"/>
          <w:i w:val="0"/>
          <w:color w:val="000000" w:themeColor="text1"/>
          <w:sz w:val="16"/>
          <w:szCs w:val="16"/>
        </w:rPr>
        <w:t>8. Изготовление оснастки «0» очереди – 13 октября.</w:t>
      </w:r>
    </w:p>
    <w:p w14:paraId="5E055AC2" w14:textId="77777777" w:rsidR="005B1690" w:rsidRPr="00722885" w:rsidRDefault="005B1690" w:rsidP="00722885">
      <w:pPr>
        <w:pStyle w:val="rteindent11"/>
        <w:shd w:val="clear" w:color="auto" w:fill="FFFFFF"/>
        <w:spacing w:before="0" w:beforeAutospacing="0" w:after="0"/>
        <w:ind w:left="0" w:firstLine="0"/>
        <w:rPr>
          <w:color w:val="000000" w:themeColor="text1"/>
          <w:sz w:val="16"/>
          <w:szCs w:val="16"/>
        </w:rPr>
      </w:pPr>
      <w:r w:rsidRPr="00722885">
        <w:rPr>
          <w:rStyle w:val="af0"/>
          <w:i w:val="0"/>
          <w:color w:val="000000" w:themeColor="text1"/>
          <w:sz w:val="16"/>
          <w:szCs w:val="16"/>
        </w:rPr>
        <w:t>9. Изготовление агрегатов первой машины – 23 октября.</w:t>
      </w:r>
    </w:p>
    <w:p w14:paraId="0E77B0D4" w14:textId="77777777" w:rsidR="005B1690" w:rsidRPr="00722885" w:rsidRDefault="005B1690" w:rsidP="00722885">
      <w:pPr>
        <w:pStyle w:val="rteindent11"/>
        <w:shd w:val="clear" w:color="auto" w:fill="FFFFFF"/>
        <w:spacing w:before="0" w:beforeAutospacing="0" w:after="0"/>
        <w:ind w:left="0" w:firstLine="0"/>
        <w:rPr>
          <w:color w:val="000000" w:themeColor="text1"/>
          <w:sz w:val="16"/>
          <w:szCs w:val="16"/>
        </w:rPr>
      </w:pPr>
      <w:r w:rsidRPr="00722885">
        <w:rPr>
          <w:rStyle w:val="af0"/>
          <w:i w:val="0"/>
          <w:color w:val="000000" w:themeColor="text1"/>
          <w:sz w:val="16"/>
          <w:szCs w:val="16"/>
        </w:rPr>
        <w:t>10.Передача на сборку первой машины – 31 октября</w:t>
      </w:r>
    </w:p>
    <w:p w14:paraId="20C75B28" w14:textId="77777777" w:rsidR="005B1690" w:rsidRPr="00722885" w:rsidRDefault="005B1690" w:rsidP="00722885">
      <w:pPr>
        <w:pStyle w:val="rteindent11"/>
        <w:shd w:val="clear" w:color="auto" w:fill="FFFFFF"/>
        <w:spacing w:before="0" w:beforeAutospacing="0" w:after="0"/>
        <w:ind w:left="0" w:firstLine="0"/>
        <w:rPr>
          <w:rStyle w:val="af0"/>
          <w:i w:val="0"/>
          <w:color w:val="000000" w:themeColor="text1"/>
          <w:sz w:val="16"/>
          <w:szCs w:val="16"/>
        </w:rPr>
      </w:pPr>
      <w:r w:rsidRPr="00722885">
        <w:rPr>
          <w:rStyle w:val="af0"/>
          <w:i w:val="0"/>
          <w:color w:val="000000" w:themeColor="text1"/>
          <w:sz w:val="16"/>
          <w:szCs w:val="16"/>
        </w:rPr>
        <w:t>11.Облет и сдача заказчику – 6 ноября.</w:t>
      </w:r>
    </w:p>
    <w:p w14:paraId="1B00D278" w14:textId="77777777" w:rsidR="005B1690" w:rsidRPr="00722885" w:rsidRDefault="005B1690"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Четкая, организованная по графику работа технических отделов и цехов завода обеспечили выполнение сроков, поставленных Государственным Комитетом Обороны и наркоматом авиационной промышленности. Безусловно, сказался и опыт постройки бомбардировщиков ДБ-3Ф в Москве, которым обладали «менжинцы» при запуске иркутского Ил-4: самолет и технология его изготовления была очень хорошо им знакома. В период освоения производства бомбардировщика в Иркутск дважды приезжал С.В. Ильюшин, лично возглавляя большую группу специалистов ОКБ. Все это позволило освоить и выпустить в серию Ил-4 в рекордно короткие сроки - всего за четыре месяца (15223).</w:t>
      </w:r>
    </w:p>
    <w:p w14:paraId="0996FD45" w14:textId="77777777" w:rsidR="005B1690" w:rsidRPr="00722885" w:rsidRDefault="005B1690" w:rsidP="00722885">
      <w:pPr>
        <w:shd w:val="clear" w:color="auto" w:fill="FFFFFF"/>
        <w:spacing w:after="0" w:line="240" w:lineRule="auto"/>
        <w:jc w:val="both"/>
        <w:rPr>
          <w:rFonts w:ascii="Times New Roman" w:hAnsi="Times New Roman"/>
          <w:color w:val="000000" w:themeColor="text1"/>
          <w:sz w:val="16"/>
          <w:szCs w:val="16"/>
        </w:rPr>
      </w:pPr>
    </w:p>
    <w:p w14:paraId="007EF1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завод 19 в Молотове (Пермь), на котором размещалось ОКБ П.О.С., начал постройку Су-8 с двумя М-71, проектирование которого началось в мае 1942, а чертежи были готовы только 20 сентября 1942 (1062,7).</w:t>
      </w:r>
    </w:p>
    <w:p w14:paraId="21158FE3" w14:textId="77777777" w:rsidR="00AE7191" w:rsidRPr="00722885" w:rsidRDefault="00AE7191" w:rsidP="00722885">
      <w:pPr>
        <w:pStyle w:val="Iauiue"/>
        <w:jc w:val="both"/>
        <w:rPr>
          <w:color w:val="000000" w:themeColor="text1"/>
          <w:sz w:val="16"/>
          <w:szCs w:val="16"/>
        </w:rPr>
      </w:pPr>
    </w:p>
    <w:p w14:paraId="533DB44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на Пе-2 N 10/119 был разработан и испытан легкий экран толщиной 1.5 мм для монтажа позади бронеспинки пилота для защиты ш (1942,27).</w:t>
      </w:r>
    </w:p>
    <w:p w14:paraId="013B0C90" w14:textId="77777777" w:rsidR="00AE7191" w:rsidRPr="00722885" w:rsidRDefault="00AE7191" w:rsidP="00722885">
      <w:pPr>
        <w:pStyle w:val="Iauiue"/>
        <w:jc w:val="both"/>
        <w:rPr>
          <w:color w:val="000000" w:themeColor="text1"/>
          <w:sz w:val="16"/>
          <w:szCs w:val="16"/>
        </w:rPr>
      </w:pPr>
    </w:p>
    <w:p w14:paraId="515DA1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на заводе № 22 смонтировали и облетали первый Пе-2 с деревянными фюзеляжем (Ф-3) и стабилизатором. Также провели летные испытания самолёта Пе-8 (зав. №42047) с двигателями М-82. Испытания проводил Герой Советского Союза М.3. Водопьянов, ведущий инженео Н.Н.Аржанов (6394).</w:t>
      </w:r>
    </w:p>
    <w:p w14:paraId="100DF1CF" w14:textId="77777777" w:rsidR="00AE7191" w:rsidRPr="00722885" w:rsidRDefault="00AE7191" w:rsidP="00722885">
      <w:pPr>
        <w:pStyle w:val="Iauiue"/>
        <w:jc w:val="both"/>
        <w:rPr>
          <w:color w:val="000000" w:themeColor="text1"/>
          <w:sz w:val="16"/>
          <w:szCs w:val="16"/>
        </w:rPr>
      </w:pPr>
    </w:p>
    <w:p w14:paraId="020255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 цехе окончательной сборки завода № 22 из таких агрегатов улучшенного качества был бран эталонный Пе-2, на котором были отработаны все погрешности, после чего машину сдали комиссии и заказчику. Эталонный Пе-2 явился образцом для приемки дальнейших серийных самолётов, это был значительный шаг вперед по качеству, особенно по внешней отделке (6394).</w:t>
      </w:r>
    </w:p>
    <w:p w14:paraId="2E87F4E1" w14:textId="77777777" w:rsidR="00AE7191" w:rsidRPr="00722885" w:rsidRDefault="00AE7191" w:rsidP="00722885">
      <w:pPr>
        <w:pStyle w:val="Iauiue"/>
        <w:jc w:val="both"/>
        <w:rPr>
          <w:color w:val="000000" w:themeColor="text1"/>
          <w:sz w:val="16"/>
          <w:szCs w:val="16"/>
        </w:rPr>
      </w:pPr>
    </w:p>
    <w:p w14:paraId="30CA30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А.И.Ш. писал Нач. ГУЗ и ТС Селезневу письмо:</w:t>
      </w:r>
    </w:p>
    <w:p w14:paraId="57A760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вопросу изменения комплектации самолетов Пе-2 кассетами для мелких бомб, сообщаю:</w:t>
      </w:r>
    </w:p>
    <w:p w14:paraId="4B3792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Каждый Пе-2 будет комплектоваться кассетами для мелких бомб с 1 сентября 1942.</w:t>
      </w:r>
    </w:p>
    <w:p w14:paraId="2DF255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 15 октября 1942 самолеты Ил-2 будут выпускаться с модернизированными бомбоотсеками центроплана, благодаря чему каждый самолет может быть использован для загрузки мелкими бомбами без применения специальных кассет." (1632,76).</w:t>
      </w:r>
    </w:p>
    <w:p w14:paraId="44C03435" w14:textId="77777777" w:rsidR="00AE7191" w:rsidRPr="00722885" w:rsidRDefault="00AE7191" w:rsidP="00722885">
      <w:pPr>
        <w:pStyle w:val="Iauiue"/>
        <w:jc w:val="both"/>
        <w:rPr>
          <w:color w:val="000000" w:themeColor="text1"/>
          <w:sz w:val="16"/>
          <w:szCs w:val="16"/>
        </w:rPr>
      </w:pPr>
    </w:p>
    <w:p w14:paraId="1C9FB4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был подготовлен проект приказа НКАП по вопросу обеспечения ВВС КА самолетами Пе-2 в разведывательном варианте. Хотели поручить директору завода 22 Окулову к 10 сентября произвести отработку и испытание 2-х Пе-2 в разведывательном варианте с установкой автомата курса АК-1...(1685,86).</w:t>
      </w:r>
    </w:p>
    <w:p w14:paraId="35CAB4DB" w14:textId="77777777" w:rsidR="00AE7191" w:rsidRPr="00722885" w:rsidRDefault="00AE7191" w:rsidP="00722885">
      <w:pPr>
        <w:pStyle w:val="Iauiue"/>
        <w:jc w:val="both"/>
        <w:rPr>
          <w:color w:val="000000" w:themeColor="text1"/>
          <w:sz w:val="16"/>
          <w:szCs w:val="16"/>
        </w:rPr>
      </w:pPr>
    </w:p>
    <w:p w14:paraId="3C890B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к В.Захаров и А.Виноградов разработали два образца подвижных оборонительных ракетных установок для Пе-2 под РС-82. Система РУБ-2Л (ракетная управляемая батарея на два снаряда люковая) монтировалась на подвижной части ЛУ. Система РУБ-4 - размещалась на прозрачной полусферической башенке, опорное кольцо которой ставилось на астро-люк стрелка-радиста. Не пошло, так как прицельность обеспечить не удалось (1841,31).</w:t>
      </w:r>
    </w:p>
    <w:p w14:paraId="708B1473" w14:textId="77777777" w:rsidR="00AE7191" w:rsidRPr="00722885" w:rsidRDefault="00AE7191" w:rsidP="00722885">
      <w:pPr>
        <w:pStyle w:val="Iauiue"/>
        <w:jc w:val="both"/>
        <w:rPr>
          <w:color w:val="000000" w:themeColor="text1"/>
          <w:sz w:val="16"/>
          <w:szCs w:val="16"/>
        </w:rPr>
      </w:pPr>
    </w:p>
    <w:p w14:paraId="229C6FA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конструкторы В.Заулошнов и А.Виноградов создали два об</w:t>
      </w:r>
      <w:r w:rsidRPr="00722885">
        <w:rPr>
          <w:rFonts w:ascii="Times New Roman" w:hAnsi="Times New Roman"/>
          <w:color w:val="000000" w:themeColor="text1"/>
          <w:sz w:val="16"/>
          <w:szCs w:val="16"/>
        </w:rPr>
        <w:softHyphen/>
        <w:t>разца подвижных оборонительных бата</w:t>
      </w:r>
      <w:r w:rsidRPr="00722885">
        <w:rPr>
          <w:rFonts w:ascii="Times New Roman" w:hAnsi="Times New Roman"/>
          <w:color w:val="000000" w:themeColor="text1"/>
          <w:sz w:val="16"/>
          <w:szCs w:val="16"/>
        </w:rPr>
        <w:softHyphen/>
        <w:t>рей РС-82, предназначенных для Пе-2. Люковую ракетную управляемую батарею на 2 снаряда РУБ-2Л смонтировали на подвижной части нижней пулемётной турели. Верхнюю ус</w:t>
      </w:r>
      <w:r w:rsidRPr="00722885">
        <w:rPr>
          <w:rFonts w:ascii="Times New Roman" w:hAnsi="Times New Roman"/>
          <w:color w:val="000000" w:themeColor="text1"/>
          <w:sz w:val="16"/>
          <w:szCs w:val="16"/>
        </w:rPr>
        <w:softHyphen/>
        <w:t>тановку РУБ-4 разме</w:t>
      </w:r>
      <w:r w:rsidRPr="00722885">
        <w:rPr>
          <w:rFonts w:ascii="Times New Roman" w:hAnsi="Times New Roman"/>
          <w:color w:val="000000" w:themeColor="text1"/>
          <w:sz w:val="16"/>
          <w:szCs w:val="16"/>
        </w:rPr>
        <w:softHyphen/>
        <w:t>стили на прозрачной полусферической ба</w:t>
      </w:r>
      <w:r w:rsidRPr="00722885">
        <w:rPr>
          <w:rFonts w:ascii="Times New Roman" w:hAnsi="Times New Roman"/>
          <w:color w:val="000000" w:themeColor="text1"/>
          <w:sz w:val="16"/>
          <w:szCs w:val="16"/>
        </w:rPr>
        <w:softHyphen/>
        <w:t>шенке, опорное коль</w:t>
      </w:r>
      <w:r w:rsidRPr="00722885">
        <w:rPr>
          <w:rFonts w:ascii="Times New Roman" w:hAnsi="Times New Roman"/>
          <w:color w:val="000000" w:themeColor="text1"/>
          <w:sz w:val="16"/>
          <w:szCs w:val="16"/>
        </w:rPr>
        <w:softHyphen/>
        <w:t>цо которой встроили в отверстие астролю</w:t>
      </w:r>
      <w:r w:rsidRPr="00722885">
        <w:rPr>
          <w:rFonts w:ascii="Times New Roman" w:hAnsi="Times New Roman"/>
          <w:color w:val="000000" w:themeColor="text1"/>
          <w:sz w:val="16"/>
          <w:szCs w:val="16"/>
        </w:rPr>
        <w:softHyphen/>
        <w:t>ка стрелка-радиста. При внешней привле</w:t>
      </w:r>
      <w:r w:rsidRPr="00722885">
        <w:rPr>
          <w:rFonts w:ascii="Times New Roman" w:hAnsi="Times New Roman"/>
          <w:color w:val="000000" w:themeColor="text1"/>
          <w:sz w:val="16"/>
          <w:szCs w:val="16"/>
        </w:rPr>
        <w:softHyphen/>
        <w:t>кательности техниче</w:t>
      </w:r>
      <w:r w:rsidRPr="00722885">
        <w:rPr>
          <w:rFonts w:ascii="Times New Roman" w:hAnsi="Times New Roman"/>
          <w:color w:val="000000" w:themeColor="text1"/>
          <w:sz w:val="16"/>
          <w:szCs w:val="16"/>
        </w:rPr>
        <w:softHyphen/>
        <w:t>ского решения, оно оказалось не вполне удачным. Ещё на на</w:t>
      </w:r>
      <w:r w:rsidRPr="00722885">
        <w:rPr>
          <w:rFonts w:ascii="Times New Roman" w:hAnsi="Times New Roman"/>
          <w:color w:val="000000" w:themeColor="text1"/>
          <w:sz w:val="16"/>
          <w:szCs w:val="16"/>
        </w:rPr>
        <w:softHyphen/>
        <w:t>земных испытаниях Пе-2 (заводской №7/87) специалисты НИПАВ установили, что при пуске снарядов стрелок не в состоянии удержать установку от разво</w:t>
      </w:r>
      <w:r w:rsidRPr="00722885">
        <w:rPr>
          <w:rFonts w:ascii="Times New Roman" w:hAnsi="Times New Roman"/>
          <w:color w:val="000000" w:themeColor="text1"/>
          <w:sz w:val="16"/>
          <w:szCs w:val="16"/>
        </w:rPr>
        <w:softHyphen/>
        <w:t>рота, поэтому прицельная стрельба оказа</w:t>
      </w:r>
      <w:r w:rsidRPr="00722885">
        <w:rPr>
          <w:rFonts w:ascii="Times New Roman" w:hAnsi="Times New Roman"/>
          <w:color w:val="000000" w:themeColor="text1"/>
          <w:sz w:val="16"/>
          <w:szCs w:val="16"/>
        </w:rPr>
        <w:softHyphen/>
        <w:t>лась невозможной. Более того, набегающий поток воздуха препятствовал наведению ба</w:t>
      </w:r>
      <w:r w:rsidRPr="00722885">
        <w:rPr>
          <w:rFonts w:ascii="Times New Roman" w:hAnsi="Times New Roman"/>
          <w:color w:val="000000" w:themeColor="text1"/>
          <w:sz w:val="16"/>
          <w:szCs w:val="16"/>
        </w:rPr>
        <w:softHyphen/>
        <w:t>тарей даже при небольших углах отклоне</w:t>
      </w:r>
      <w:r w:rsidRPr="00722885">
        <w:rPr>
          <w:rFonts w:ascii="Times New Roman" w:hAnsi="Times New Roman"/>
          <w:color w:val="000000" w:themeColor="text1"/>
          <w:sz w:val="16"/>
          <w:szCs w:val="16"/>
        </w:rPr>
        <w:softHyphen/>
        <w:t>ния, а после пуска одного из снарядов уста</w:t>
      </w:r>
      <w:r w:rsidRPr="00722885">
        <w:rPr>
          <w:rFonts w:ascii="Times New Roman" w:hAnsi="Times New Roman"/>
          <w:color w:val="000000" w:themeColor="text1"/>
          <w:sz w:val="16"/>
          <w:szCs w:val="16"/>
        </w:rPr>
        <w:softHyphen/>
        <w:t>новку неудержимо разворачивало в ском</w:t>
      </w:r>
      <w:r w:rsidRPr="00722885">
        <w:rPr>
          <w:rFonts w:ascii="Times New Roman" w:hAnsi="Times New Roman"/>
          <w:color w:val="000000" w:themeColor="text1"/>
          <w:sz w:val="16"/>
          <w:szCs w:val="16"/>
        </w:rPr>
        <w:softHyphen/>
        <w:t>пенсированное положение. Словом, РУБы оказались абсолютно непригодными для бо</w:t>
      </w:r>
      <w:r w:rsidRPr="00722885">
        <w:rPr>
          <w:rFonts w:ascii="Times New Roman" w:hAnsi="Times New Roman"/>
          <w:color w:val="000000" w:themeColor="text1"/>
          <w:sz w:val="16"/>
          <w:szCs w:val="16"/>
        </w:rPr>
        <w:softHyphen/>
        <w:t>евого применения. Впер</w:t>
      </w:r>
      <w:r w:rsidRPr="00722885">
        <w:rPr>
          <w:rFonts w:ascii="Times New Roman" w:hAnsi="Times New Roman"/>
          <w:color w:val="000000" w:themeColor="text1"/>
          <w:sz w:val="16"/>
          <w:szCs w:val="16"/>
        </w:rPr>
        <w:softHyphen/>
        <w:t>вые такую установку задумали для скорост</w:t>
      </w:r>
      <w:r w:rsidRPr="00722885">
        <w:rPr>
          <w:rFonts w:ascii="Times New Roman" w:hAnsi="Times New Roman"/>
          <w:color w:val="000000" w:themeColor="text1"/>
          <w:sz w:val="16"/>
          <w:szCs w:val="16"/>
        </w:rPr>
        <w:softHyphen/>
        <w:t>ного пикирующего бомбардировщика СПБ конструктора Жемчужина ещё до войны. Правда, для стрельбы в ЗПС предусматрива</w:t>
      </w:r>
      <w:r w:rsidRPr="00722885">
        <w:rPr>
          <w:rFonts w:ascii="Times New Roman" w:hAnsi="Times New Roman"/>
          <w:color w:val="000000" w:themeColor="text1"/>
          <w:sz w:val="16"/>
          <w:szCs w:val="16"/>
        </w:rPr>
        <w:softHyphen/>
        <w:t>лась выдвижная кассета, и снаряды были более серьёзными - РС-132, но в серию сис</w:t>
      </w:r>
      <w:r w:rsidRPr="00722885">
        <w:rPr>
          <w:rFonts w:ascii="Times New Roman" w:hAnsi="Times New Roman"/>
          <w:color w:val="000000" w:themeColor="text1"/>
          <w:sz w:val="16"/>
          <w:szCs w:val="16"/>
        </w:rPr>
        <w:softHyphen/>
        <w:t>тема не пошла.</w:t>
      </w:r>
    </w:p>
    <w:p w14:paraId="6673EE1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строевых частях аналогичные устройст</w:t>
      </w:r>
      <w:r w:rsidRPr="00722885">
        <w:rPr>
          <w:rFonts w:ascii="Times New Roman" w:hAnsi="Times New Roman"/>
          <w:color w:val="000000" w:themeColor="text1"/>
          <w:sz w:val="16"/>
          <w:szCs w:val="16"/>
        </w:rPr>
        <w:softHyphen/>
        <w:t>ва делали по-разному. Одному из первых мысль «довооружить» Пе-2 пришла технику А.Помазанскому. Он совершенно справед</w:t>
      </w:r>
      <w:r w:rsidRPr="00722885">
        <w:rPr>
          <w:rFonts w:ascii="Times New Roman" w:hAnsi="Times New Roman"/>
          <w:color w:val="000000" w:themeColor="text1"/>
          <w:sz w:val="16"/>
          <w:szCs w:val="16"/>
        </w:rPr>
        <w:softHyphen/>
        <w:t>ливо посчитал, что психологическое воздей</w:t>
      </w:r>
      <w:r w:rsidRPr="00722885">
        <w:rPr>
          <w:rFonts w:ascii="Times New Roman" w:hAnsi="Times New Roman"/>
          <w:color w:val="000000" w:themeColor="text1"/>
          <w:sz w:val="16"/>
          <w:szCs w:val="16"/>
        </w:rPr>
        <w:softHyphen/>
        <w:t>ствие несущихся навстречу атакующему ис</w:t>
      </w:r>
      <w:r w:rsidRPr="00722885">
        <w:rPr>
          <w:rFonts w:ascii="Times New Roman" w:hAnsi="Times New Roman"/>
          <w:color w:val="000000" w:themeColor="text1"/>
          <w:sz w:val="16"/>
          <w:szCs w:val="16"/>
        </w:rPr>
        <w:softHyphen/>
        <w:t>требителю ракет и их взрывы компенсируют потерю скорости бомбардировщика-раке</w:t>
      </w:r>
      <w:r w:rsidRPr="00722885">
        <w:rPr>
          <w:rFonts w:ascii="Times New Roman" w:hAnsi="Times New Roman"/>
          <w:color w:val="000000" w:themeColor="text1"/>
          <w:sz w:val="16"/>
          <w:szCs w:val="16"/>
        </w:rPr>
        <w:softHyphen/>
        <w:t>тоносца. В 208-м сбап по два ракетных ору</w:t>
      </w:r>
      <w:r w:rsidRPr="00722885">
        <w:rPr>
          <w:rFonts w:ascii="Times New Roman" w:hAnsi="Times New Roman"/>
          <w:color w:val="000000" w:themeColor="text1"/>
          <w:sz w:val="16"/>
          <w:szCs w:val="16"/>
        </w:rPr>
        <w:softHyphen/>
        <w:t>дия РО-82 смонтировали на хвостовой части фюзеляжей Пе-2 и Пе-3. Небольшой «рас</w:t>
      </w:r>
      <w:r w:rsidRPr="00722885">
        <w:rPr>
          <w:rFonts w:ascii="Times New Roman" w:hAnsi="Times New Roman"/>
          <w:color w:val="000000" w:themeColor="text1"/>
          <w:sz w:val="16"/>
          <w:szCs w:val="16"/>
        </w:rPr>
        <w:softHyphen/>
        <w:t>твор» орудий по направлению получился ав</w:t>
      </w:r>
      <w:r w:rsidRPr="00722885">
        <w:rPr>
          <w:rFonts w:ascii="Times New Roman" w:hAnsi="Times New Roman"/>
          <w:color w:val="000000" w:themeColor="text1"/>
          <w:sz w:val="16"/>
          <w:szCs w:val="16"/>
        </w:rPr>
        <w:softHyphen/>
        <w:t>томатически при установке узлов крепления на круглом фюзеляже. Во 2-м драп ГК в ноя</w:t>
      </w:r>
      <w:r w:rsidRPr="00722885">
        <w:rPr>
          <w:rFonts w:ascii="Times New Roman" w:hAnsi="Times New Roman"/>
          <w:color w:val="000000" w:themeColor="text1"/>
          <w:sz w:val="16"/>
          <w:szCs w:val="16"/>
        </w:rPr>
        <w:softHyphen/>
        <w:t>бре 1941 г. на все Пе-2 поставили аналогич</w:t>
      </w:r>
      <w:r w:rsidRPr="00722885">
        <w:rPr>
          <w:rFonts w:ascii="Times New Roman" w:hAnsi="Times New Roman"/>
          <w:color w:val="000000" w:themeColor="text1"/>
          <w:sz w:val="16"/>
          <w:szCs w:val="16"/>
        </w:rPr>
        <w:softHyphen/>
        <w:t>ные установки. Пускал снаряды штурман са</w:t>
      </w:r>
      <w:r w:rsidRPr="00722885">
        <w:rPr>
          <w:rFonts w:ascii="Times New Roman" w:hAnsi="Times New Roman"/>
          <w:color w:val="000000" w:themeColor="text1"/>
          <w:sz w:val="16"/>
          <w:szCs w:val="16"/>
        </w:rPr>
        <w:softHyphen/>
        <w:t>молёта залпом.</w:t>
      </w:r>
    </w:p>
    <w:p w14:paraId="08830BA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боёв под Вязьмой экипаж лётчи</w:t>
      </w:r>
      <w:r w:rsidRPr="00722885">
        <w:rPr>
          <w:rFonts w:ascii="Times New Roman" w:hAnsi="Times New Roman"/>
          <w:color w:val="000000" w:themeColor="text1"/>
          <w:sz w:val="16"/>
          <w:szCs w:val="16"/>
        </w:rPr>
        <w:softHyphen/>
        <w:t>ка Алышева из 2-го драп ГК успешно отразил нападение четырёх «мессершмиттов», при</w:t>
      </w:r>
      <w:r w:rsidRPr="00722885">
        <w:rPr>
          <w:rFonts w:ascii="Times New Roman" w:hAnsi="Times New Roman"/>
          <w:color w:val="000000" w:themeColor="text1"/>
          <w:sz w:val="16"/>
          <w:szCs w:val="16"/>
        </w:rPr>
        <w:softHyphen/>
        <w:t>менение «ракеты обратного старта». Вскоре таким же образом отбился экипаж младше</w:t>
      </w:r>
      <w:r w:rsidRPr="00722885">
        <w:rPr>
          <w:rFonts w:ascii="Times New Roman" w:hAnsi="Times New Roman"/>
          <w:color w:val="000000" w:themeColor="text1"/>
          <w:sz w:val="16"/>
          <w:szCs w:val="16"/>
        </w:rPr>
        <w:softHyphen/>
        <w:t>го лейтенанта Щитова. На сей раз противник проявил настойчивость, и чтобы его отпуг</w:t>
      </w:r>
      <w:r w:rsidRPr="00722885">
        <w:rPr>
          <w:rFonts w:ascii="Times New Roman" w:hAnsi="Times New Roman"/>
          <w:color w:val="000000" w:themeColor="text1"/>
          <w:sz w:val="16"/>
          <w:szCs w:val="16"/>
        </w:rPr>
        <w:softHyphen/>
        <w:t>нуть, понадобилось два залпа. Подобное предпринимали в некоторых полках штурмо</w:t>
      </w:r>
      <w:r w:rsidRPr="00722885">
        <w:rPr>
          <w:rFonts w:ascii="Times New Roman" w:hAnsi="Times New Roman"/>
          <w:color w:val="000000" w:themeColor="text1"/>
          <w:sz w:val="16"/>
          <w:szCs w:val="16"/>
        </w:rPr>
        <w:softHyphen/>
        <w:t>виков, где по одному РО монтировали справа и слева от киля, а также в полках дальних бомбардировщиков для защиты ППС и ЗПС на Ил-4. А в 4-м драп ГК на все самолёты Пе-2, Пе-3 и А-20 «перевёрнутые» пусковые РО-82 установили попарно под каждую кон</w:t>
      </w:r>
      <w:r w:rsidRPr="00722885">
        <w:rPr>
          <w:rFonts w:ascii="Times New Roman" w:hAnsi="Times New Roman"/>
          <w:color w:val="000000" w:themeColor="text1"/>
          <w:sz w:val="16"/>
          <w:szCs w:val="16"/>
        </w:rPr>
        <w:softHyphen/>
        <w:t>соль. Они были предназначены для усиления защиты сзади-снизу - обычного направления атак германских истребителей. (11392).</w:t>
      </w:r>
    </w:p>
    <w:p w14:paraId="2662F13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CCBB16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конструкторы В.Заулошнов и А.Ви</w:t>
      </w:r>
      <w:r w:rsidRPr="00722885">
        <w:rPr>
          <w:rFonts w:ascii="Times New Roman" w:hAnsi="Times New Roman"/>
          <w:color w:val="000000" w:themeColor="text1"/>
          <w:sz w:val="16"/>
          <w:szCs w:val="16"/>
        </w:rPr>
        <w:softHyphen/>
        <w:t>ноградов создали два образца таких устройств для самолета Пе-2. Оба они были реализованы на машине с заводским №7/87.</w:t>
      </w:r>
    </w:p>
    <w:p w14:paraId="6D60A22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Ракетную управляемую батарею РУБ-2Л для люковой стрелковой ус</w:t>
      </w:r>
      <w:r w:rsidRPr="00722885">
        <w:rPr>
          <w:rFonts w:ascii="Times New Roman" w:hAnsi="Times New Roman"/>
          <w:color w:val="000000" w:themeColor="text1"/>
          <w:sz w:val="16"/>
          <w:szCs w:val="16"/>
        </w:rPr>
        <w:softHyphen/>
        <w:t>тановки ЛУ-Пе-2 смонтировали на подвижной части нижней турели. Конструктивно она представляла собой два штатных орудия РО-82, за</w:t>
      </w:r>
      <w:r w:rsidRPr="00722885">
        <w:rPr>
          <w:rFonts w:ascii="Times New Roman" w:hAnsi="Times New Roman"/>
          <w:color w:val="000000" w:themeColor="text1"/>
          <w:sz w:val="16"/>
          <w:szCs w:val="16"/>
        </w:rPr>
        <w:softHyphen/>
        <w:t>крепленных по обеим сторонам пулемета УБТ. Огонь из них вел залпом стрелок-радист от отдельной боевой кнопки, используя перископиче</w:t>
      </w:r>
      <w:r w:rsidRPr="00722885">
        <w:rPr>
          <w:rFonts w:ascii="Times New Roman" w:hAnsi="Times New Roman"/>
          <w:color w:val="000000" w:themeColor="text1"/>
          <w:sz w:val="16"/>
          <w:szCs w:val="16"/>
        </w:rPr>
        <w:softHyphen/>
        <w:t>ский люковый оптический прицел ОП-2Л. И хотя, подвижность такой установки была ограниченной, эта комбинированная стрелковая систе</w:t>
      </w:r>
      <w:r w:rsidRPr="00722885">
        <w:rPr>
          <w:rFonts w:ascii="Times New Roman" w:hAnsi="Times New Roman"/>
          <w:color w:val="000000" w:themeColor="text1"/>
          <w:sz w:val="16"/>
          <w:szCs w:val="16"/>
        </w:rPr>
        <w:softHyphen/>
        <w:t>ма позволяла еще больше сократить диапазон ракурсов успешных атак истребителей противника.</w:t>
      </w:r>
    </w:p>
    <w:p w14:paraId="2F3918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Еще один вариант - верхняя установка РУБ-4 - размещалась сверху на блистере от башенной пулеметной установки, используемой на даль</w:t>
      </w:r>
      <w:r w:rsidRPr="00722885">
        <w:rPr>
          <w:rFonts w:ascii="Times New Roman" w:hAnsi="Times New Roman"/>
          <w:color w:val="000000" w:themeColor="text1"/>
          <w:sz w:val="16"/>
          <w:szCs w:val="16"/>
        </w:rPr>
        <w:softHyphen/>
        <w:t>них бомбардировщиках Ил-4 для хвостового стрелка. Для этого опору кольцевого подшипника встроили в отверстие верхнего люка стрелка-радиста. В ходе наземных испытаний на НИПАВ ВВС КА выяснилось, что при стрельбе из нее возникают очень большие моменты сил, стремя</w:t>
      </w:r>
      <w:r w:rsidRPr="00722885">
        <w:rPr>
          <w:rFonts w:ascii="Times New Roman" w:hAnsi="Times New Roman"/>
          <w:color w:val="000000" w:themeColor="text1"/>
          <w:sz w:val="16"/>
          <w:szCs w:val="16"/>
        </w:rPr>
        <w:softHyphen/>
        <w:t>щиеся развернуть установку, в связи с чем стрелок не в состоянии вести прицельный огонь. В ходе летных испытаний было отмечено, что парус</w:t>
      </w:r>
      <w:r w:rsidRPr="00722885">
        <w:rPr>
          <w:rFonts w:ascii="Times New Roman" w:hAnsi="Times New Roman"/>
          <w:color w:val="000000" w:themeColor="text1"/>
          <w:sz w:val="16"/>
          <w:szCs w:val="16"/>
        </w:rPr>
        <w:softHyphen/>
        <w:t>ность установки велика, и набегающий поток воздуха сильно препятствует наведению батареи даже на небольшие углы по направлению, а по</w:t>
      </w:r>
      <w:r w:rsidRPr="00722885">
        <w:rPr>
          <w:rFonts w:ascii="Times New Roman" w:hAnsi="Times New Roman"/>
          <w:color w:val="000000" w:themeColor="text1"/>
          <w:sz w:val="16"/>
          <w:szCs w:val="16"/>
        </w:rPr>
        <w:softHyphen/>
        <w:t>сле пуска одного из снарядов всю установку неизбежно разворачивает в сторону. В итоге испытатели пришли к выводу, что ракетные управляе</w:t>
      </w:r>
      <w:r w:rsidRPr="00722885">
        <w:rPr>
          <w:rFonts w:ascii="Times New Roman" w:hAnsi="Times New Roman"/>
          <w:color w:val="000000" w:themeColor="text1"/>
          <w:sz w:val="16"/>
          <w:szCs w:val="16"/>
        </w:rPr>
        <w:softHyphen/>
        <w:t>мые батареи абсолютно непригодны для боевого применения.</w:t>
      </w:r>
    </w:p>
    <w:p w14:paraId="3C80A0E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тем эти недостатки были вполне объяснимы и заранее про</w:t>
      </w:r>
      <w:r w:rsidRPr="00722885">
        <w:rPr>
          <w:rFonts w:ascii="Times New Roman" w:hAnsi="Times New Roman"/>
          <w:color w:val="000000" w:themeColor="text1"/>
          <w:sz w:val="16"/>
          <w:szCs w:val="16"/>
        </w:rPr>
        <w:softHyphen/>
        <w:t>гнозируемы. Дело в том, что сила отдачи РС-82 превышала 1000 кг, и при одиночном пуске из-под крыла истребителя даже самолет слегка разво</w:t>
      </w:r>
      <w:r w:rsidRPr="00722885">
        <w:rPr>
          <w:rFonts w:ascii="Times New Roman" w:hAnsi="Times New Roman"/>
          <w:color w:val="000000" w:themeColor="text1"/>
          <w:sz w:val="16"/>
          <w:szCs w:val="16"/>
        </w:rPr>
        <w:softHyphen/>
        <w:t>рачивало в противоположную сторону. Именно поэтому на крылатых машинах схема разгрузки была организована симметрично, то есть по</w:t>
      </w:r>
      <w:r w:rsidRPr="00722885">
        <w:rPr>
          <w:rFonts w:ascii="Times New Roman" w:hAnsi="Times New Roman"/>
          <w:color w:val="000000" w:themeColor="text1"/>
          <w:sz w:val="16"/>
          <w:szCs w:val="16"/>
        </w:rPr>
        <w:softHyphen/>
        <w:t>очередно из-под каждой плоскости. Одиночная же стрельба РС в авиа</w:t>
      </w:r>
      <w:r w:rsidRPr="00722885">
        <w:rPr>
          <w:rFonts w:ascii="Times New Roman" w:hAnsi="Times New Roman"/>
          <w:color w:val="000000" w:themeColor="text1"/>
          <w:sz w:val="16"/>
          <w:szCs w:val="16"/>
        </w:rPr>
        <w:softHyphen/>
        <w:t>ции не приветствовалась с 1939 г. В связи с этим вызывает удивление -как инженеры-оружейники пытались рекомендовать стрелкам вручную удерживать такие чудовищные силы отдачи? Между тем скомпенсиро</w:t>
      </w:r>
      <w:r w:rsidRPr="00722885">
        <w:rPr>
          <w:rFonts w:ascii="Times New Roman" w:hAnsi="Times New Roman"/>
          <w:color w:val="000000" w:themeColor="text1"/>
          <w:sz w:val="16"/>
          <w:szCs w:val="16"/>
        </w:rPr>
        <w:softHyphen/>
        <w:t>вать их не составляло большого труда - достаточно было стрелять из РУБ-4 залпами по паре снарядов, разгружая установку симметрично.</w:t>
      </w:r>
    </w:p>
    <w:p w14:paraId="2DAA064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это позволило бы увеличить плотность осколочного поля вблизи цели и, как следствие, вероятность ее поражения. Правда, залпо</w:t>
      </w:r>
      <w:r w:rsidRPr="00722885">
        <w:rPr>
          <w:rFonts w:ascii="Times New Roman" w:hAnsi="Times New Roman"/>
          <w:color w:val="000000" w:themeColor="text1"/>
          <w:sz w:val="16"/>
          <w:szCs w:val="16"/>
        </w:rPr>
        <w:softHyphen/>
        <w:t>вая стрельба из РУБ-4 потребовала бы усилить подшипник башенной ус</w:t>
      </w:r>
      <w:r w:rsidRPr="00722885">
        <w:rPr>
          <w:rFonts w:ascii="Times New Roman" w:hAnsi="Times New Roman"/>
          <w:color w:val="000000" w:themeColor="text1"/>
          <w:sz w:val="16"/>
          <w:szCs w:val="16"/>
        </w:rPr>
        <w:softHyphen/>
        <w:t>тановки (как это сделали на некоторых Ил-4 с пушкой ШВАК для заши</w:t>
      </w:r>
      <w:r w:rsidRPr="00722885">
        <w:rPr>
          <w:rFonts w:ascii="Times New Roman" w:hAnsi="Times New Roman"/>
          <w:color w:val="000000" w:themeColor="text1"/>
          <w:sz w:val="16"/>
          <w:szCs w:val="16"/>
        </w:rPr>
        <w:softHyphen/>
        <w:t>ты ЗПС), но это уже совсем другая тема...</w:t>
      </w:r>
    </w:p>
    <w:p w14:paraId="6EBFA06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серийное производство упомянутые установки так и не поступили. Военные не смогли четко сформулировать то, чего они ожидали полу</w:t>
      </w:r>
      <w:r w:rsidRPr="00722885">
        <w:rPr>
          <w:rFonts w:ascii="Times New Roman" w:hAnsi="Times New Roman"/>
          <w:color w:val="000000" w:themeColor="text1"/>
          <w:sz w:val="16"/>
          <w:szCs w:val="16"/>
        </w:rPr>
        <w:softHyphen/>
        <w:t>чить от использования РС в системе оборонительного вооружения бом</w:t>
      </w:r>
      <w:r w:rsidRPr="00722885">
        <w:rPr>
          <w:rFonts w:ascii="Times New Roman" w:hAnsi="Times New Roman"/>
          <w:color w:val="000000" w:themeColor="text1"/>
          <w:sz w:val="16"/>
          <w:szCs w:val="16"/>
        </w:rPr>
        <w:softHyphen/>
        <w:t>бардировщиков (11402).</w:t>
      </w:r>
    </w:p>
    <w:p w14:paraId="48790AE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66A4DD7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конструкто</w:t>
      </w:r>
      <w:r w:rsidRPr="00722885">
        <w:rPr>
          <w:rFonts w:ascii="Times New Roman" w:hAnsi="Times New Roman"/>
          <w:color w:val="000000" w:themeColor="text1"/>
          <w:sz w:val="16"/>
          <w:szCs w:val="16"/>
        </w:rPr>
        <w:softHyphen/>
        <w:t>ры В.Заулошнов и А.Виноградов со</w:t>
      </w:r>
      <w:r w:rsidRPr="00722885">
        <w:rPr>
          <w:rFonts w:ascii="Times New Roman" w:hAnsi="Times New Roman"/>
          <w:color w:val="000000" w:themeColor="text1"/>
          <w:sz w:val="16"/>
          <w:szCs w:val="16"/>
        </w:rPr>
        <w:softHyphen/>
        <w:t>здали два образца установок оборонительных батарей РС-82, предназначенных для Пе-2. Люковую ракетную управляемую батарею на 2 снаряда РУБ-2Л смонтировали на подвижной части нижней пулемётной турели. Верхнюю установку РУБ-4 разместили на прозрачной полусфе</w:t>
      </w:r>
      <w:r w:rsidRPr="00722885">
        <w:rPr>
          <w:rFonts w:ascii="Times New Roman" w:hAnsi="Times New Roman"/>
          <w:color w:val="000000" w:themeColor="text1"/>
          <w:sz w:val="16"/>
          <w:szCs w:val="16"/>
        </w:rPr>
        <w:softHyphen/>
        <w:t>рической башенке, опорное кольцо которой встроили в отверстие аст</w:t>
      </w:r>
      <w:r w:rsidRPr="00722885">
        <w:rPr>
          <w:rFonts w:ascii="Times New Roman" w:hAnsi="Times New Roman"/>
          <w:color w:val="000000" w:themeColor="text1"/>
          <w:sz w:val="16"/>
          <w:szCs w:val="16"/>
        </w:rPr>
        <w:softHyphen/>
        <w:t>ролюка стрелка-радиста. При внеш</w:t>
      </w:r>
      <w:r w:rsidRPr="00722885">
        <w:rPr>
          <w:rFonts w:ascii="Times New Roman" w:hAnsi="Times New Roman"/>
          <w:color w:val="000000" w:themeColor="text1"/>
          <w:sz w:val="16"/>
          <w:szCs w:val="16"/>
        </w:rPr>
        <w:softHyphen/>
        <w:t>ней привлекательности техническо</w:t>
      </w:r>
      <w:r w:rsidRPr="00722885">
        <w:rPr>
          <w:rFonts w:ascii="Times New Roman" w:hAnsi="Times New Roman"/>
          <w:color w:val="000000" w:themeColor="text1"/>
          <w:sz w:val="16"/>
          <w:szCs w:val="16"/>
        </w:rPr>
        <w:softHyphen/>
        <w:t>го решения, оно оказалось не впол</w:t>
      </w:r>
      <w:r w:rsidRPr="00722885">
        <w:rPr>
          <w:rFonts w:ascii="Times New Roman" w:hAnsi="Times New Roman"/>
          <w:color w:val="000000" w:themeColor="text1"/>
          <w:sz w:val="16"/>
          <w:szCs w:val="16"/>
        </w:rPr>
        <w:softHyphen/>
        <w:t>не удачным. Ещё на наземных испы</w:t>
      </w:r>
      <w:r w:rsidRPr="00722885">
        <w:rPr>
          <w:rFonts w:ascii="Times New Roman" w:hAnsi="Times New Roman"/>
          <w:color w:val="000000" w:themeColor="text1"/>
          <w:sz w:val="16"/>
          <w:szCs w:val="16"/>
        </w:rPr>
        <w:softHyphen/>
        <w:t>таниях Пе-2 (заводской №7/87) спе</w:t>
      </w:r>
      <w:r w:rsidRPr="00722885">
        <w:rPr>
          <w:rFonts w:ascii="Times New Roman" w:hAnsi="Times New Roman"/>
          <w:color w:val="000000" w:themeColor="text1"/>
          <w:sz w:val="16"/>
          <w:szCs w:val="16"/>
        </w:rPr>
        <w:softHyphen/>
        <w:t>циалисты НИПАВ установили, что при пуске снарядов стрелок не в состоянии удержать установку от разворота, поэтому прицельная стрельба оказалась невозможной. Более того, набегающий поток воз</w:t>
      </w:r>
      <w:r w:rsidRPr="00722885">
        <w:rPr>
          <w:rFonts w:ascii="Times New Roman" w:hAnsi="Times New Roman"/>
          <w:color w:val="000000" w:themeColor="text1"/>
          <w:sz w:val="16"/>
          <w:szCs w:val="16"/>
        </w:rPr>
        <w:softHyphen/>
        <w:t xml:space="preserve">духа препятствовал </w:t>
      </w:r>
      <w:r w:rsidRPr="00722885">
        <w:rPr>
          <w:rFonts w:ascii="Times New Roman" w:hAnsi="Times New Roman"/>
          <w:color w:val="000000" w:themeColor="text1"/>
          <w:sz w:val="16"/>
          <w:szCs w:val="16"/>
        </w:rPr>
        <w:lastRenderedPageBreak/>
        <w:t>наведению ба</w:t>
      </w:r>
      <w:r w:rsidRPr="00722885">
        <w:rPr>
          <w:rFonts w:ascii="Times New Roman" w:hAnsi="Times New Roman"/>
          <w:color w:val="000000" w:themeColor="text1"/>
          <w:sz w:val="16"/>
          <w:szCs w:val="16"/>
        </w:rPr>
        <w:softHyphen/>
        <w:t>тарей даже при небольших углах отклонения, а после пуска одного из снарядов установку неудержимо раз</w:t>
      </w:r>
      <w:r w:rsidRPr="00722885">
        <w:rPr>
          <w:rFonts w:ascii="Times New Roman" w:hAnsi="Times New Roman"/>
          <w:color w:val="000000" w:themeColor="text1"/>
          <w:sz w:val="16"/>
          <w:szCs w:val="16"/>
        </w:rPr>
        <w:softHyphen/>
        <w:t>ворачивало в скомпенсированное положение. Словом, РУБы оказались абсолютно непригодными для бое</w:t>
      </w:r>
      <w:r w:rsidRPr="00722885">
        <w:rPr>
          <w:rFonts w:ascii="Times New Roman" w:hAnsi="Times New Roman"/>
          <w:color w:val="000000" w:themeColor="text1"/>
          <w:sz w:val="16"/>
          <w:szCs w:val="16"/>
        </w:rPr>
        <w:softHyphen/>
        <w:t>вого применения (11432).</w:t>
      </w:r>
    </w:p>
    <w:p w14:paraId="5DD1275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BDF6A9B" w14:textId="77777777" w:rsidR="009479E0" w:rsidRPr="00722885" w:rsidRDefault="009479E0" w:rsidP="00722885">
      <w:pPr>
        <w:pStyle w:val="a3"/>
        <w:rPr>
          <w:color w:val="000000" w:themeColor="text1"/>
          <w:lang w:val="ru-RU"/>
        </w:rPr>
      </w:pPr>
      <w:r w:rsidRPr="00722885">
        <w:rPr>
          <w:color w:val="000000" w:themeColor="text1"/>
          <w:lang w:val="ru-RU"/>
        </w:rPr>
        <w:t>В августе 1942 г. на специально переоборудованном Ер-2 начались летные испытания МБ-100, которые шли долго и тяжело. Помимо дефектов этот мотор показал еще и слишком большой расход топлива. Эти недостатки было чрезвы</w:t>
      </w:r>
      <w:r w:rsidRPr="00722885">
        <w:rPr>
          <w:color w:val="000000" w:themeColor="text1"/>
          <w:lang w:val="ru-RU"/>
        </w:rPr>
        <w:softHyphen/>
        <w:t>чайно сложно устранить. Тем не менее, ведущий специалист ЦИАМ Поликовский рекомендовал Шахурину и Мясищеву продолжить работу по установке МБ-100, обещая, что высотность моторов Добротворского можно будет улучшить</w:t>
      </w:r>
      <w:r w:rsidRPr="00722885">
        <w:rPr>
          <w:rStyle w:val="1a"/>
          <w:rFonts w:ascii="Times New Roman" w:hAnsi="Times New Roman" w:cs="Times New Roman"/>
          <w:i w:val="0"/>
          <w:color w:val="000000" w:themeColor="text1"/>
          <w:sz w:val="16"/>
          <w:szCs w:val="16"/>
          <w:lang w:val="ru-RU"/>
        </w:rPr>
        <w:t xml:space="preserve"> «теми же методами, какие применяются для мо</w:t>
      </w:r>
      <w:r w:rsidRPr="00722885">
        <w:rPr>
          <w:rStyle w:val="1a"/>
          <w:rFonts w:ascii="Times New Roman" w:hAnsi="Times New Roman" w:cs="Times New Roman"/>
          <w:i w:val="0"/>
          <w:color w:val="000000" w:themeColor="text1"/>
          <w:sz w:val="16"/>
          <w:szCs w:val="16"/>
          <w:lang w:val="ru-RU"/>
        </w:rPr>
        <w:softHyphen/>
        <w:t>торов М-105».</w:t>
      </w:r>
      <w:r w:rsidRPr="00722885">
        <w:rPr>
          <w:color w:val="000000" w:themeColor="text1"/>
          <w:lang w:val="ru-RU"/>
        </w:rPr>
        <w:t xml:space="preserve"> Вот только результата эти методы не дали и на М-105...(17739).</w:t>
      </w:r>
    </w:p>
    <w:p w14:paraId="05099E05" w14:textId="77777777" w:rsidR="009479E0" w:rsidRPr="00722885" w:rsidRDefault="009479E0" w:rsidP="00722885">
      <w:pPr>
        <w:spacing w:after="0" w:line="240" w:lineRule="auto"/>
        <w:jc w:val="both"/>
        <w:rPr>
          <w:rFonts w:ascii="Times New Roman" w:eastAsia="Times New Roman" w:hAnsi="Times New Roman"/>
          <w:color w:val="000000" w:themeColor="text1"/>
          <w:sz w:val="16"/>
          <w:szCs w:val="16"/>
          <w:lang w:eastAsia="ru-RU"/>
        </w:rPr>
      </w:pPr>
    </w:p>
    <w:p w14:paraId="5CFFD3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директор завода № 124 Окулов писал А.И.Ш.:</w:t>
      </w:r>
    </w:p>
    <w:p w14:paraId="5D70ED3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«Качество внешней отделки зависит от рабочих. Но острая нехватка квалифицированных кадров, особенно клепальщиц, жестянщиков и слесарей-сборщиков, большая часть которых осталась в Москве, вынуждает брать людей из отделов, домохозяек и подростков. За три месяца вместо 5000 неквалифицированных рабочих на завод пришло 2450 человек. Мобилизация рабочих была сорвана. Из трех тысяч жителей Казани пришло только четыреста. Из 1500 ленинградских учащихся РУ и ФЗО пришло только 850, из них многие без обуви и одежды, что не позволяет им работать. Из 2000 ленинградских рабочих, в основном женщин с детьми, приехавших из Краснодара, имеют жилье лишь 659. Люди живут крайне скученно, в результате чего возникают эпидемии. Специалистов, работавших на ТБ-7, снимали для работы на Пе-2, а потом вновь возвращали на ТБ-7. Некомплект работающих на конец июня составлял 7286 человек, не считая 1250, ушедших на фронт. По-прежнему не хватает оборудования».</w:t>
      </w:r>
    </w:p>
    <w:p w14:paraId="5049BFA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по утверждению Окулова, качество Пе-2 в июле значительно улучшилось и не уступало качеству весенних машин (12049).</w:t>
      </w:r>
    </w:p>
    <w:p w14:paraId="3849837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7454F5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из ВВС в адрес заместителя наркома авиационной промышленности Л.А. Воронина ушло тревожное письмо.</w:t>
      </w:r>
    </w:p>
    <w:p w14:paraId="3902622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"Сообщаю Вам, что до настоящего времени самолет Ту-2 &lt;...&gt; с моторами М-82 не доведен. Основные дефекты М-82 - задир поршней при наборе высоты на номинале (имеется ввиду режим работы двигателя. - Прим. авт.), отсутствие стабильности регулировки карбюратора К-82БП, выбрасывание масла в суфлере на высоте 6000-8000 м, отказ в работе свечей &lt;...&gt; после 5-20 часов работы, не устранены.</w:t>
      </w:r>
    </w:p>
    <w:p w14:paraId="2B7D25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166 не обеспечен моторами М-82, воздушными винтами, масляными радиаторами, колесами... В результате части ВВС КА, остро нуждающиеся в бомбардировщиках с хорошими летно-техническими данными, самолетов Ту-2 не получают" (12035).</w:t>
      </w:r>
    </w:p>
    <w:p w14:paraId="7B1842D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CC8E6E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завершились государственные испытания "103-В". По их результатам удалось определить, что максимальная скорость у земли не превосходит 460 км/ч, а на высоте 3000 метров - 525 км/ч. Хотя это было значительно меньше, чем ожидалось, но вопрос о серийном производстве машины был давно решен.</w:t>
      </w:r>
    </w:p>
    <w:p w14:paraId="725014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w:t>
      </w:r>
    </w:p>
    <w:p w14:paraId="053121D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данные опытных экземпляров самолета "103"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9B487A" w:rsidRPr="00722885" w14:paraId="7DFA00AC" w14:textId="77777777" w:rsidTr="00CC5360">
        <w:tc>
          <w:tcPr>
            <w:tcW w:w="2802" w:type="dxa"/>
            <w:tcBorders>
              <w:top w:val="single" w:sz="12" w:space="0" w:color="auto"/>
            </w:tcBorders>
          </w:tcPr>
          <w:p w14:paraId="48EC0CF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22BB6E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"103""</w:t>
            </w:r>
          </w:p>
        </w:tc>
        <w:tc>
          <w:tcPr>
            <w:tcW w:w="2802" w:type="dxa"/>
            <w:tcBorders>
              <w:top w:val="single" w:sz="12" w:space="0" w:color="auto"/>
            </w:tcBorders>
          </w:tcPr>
          <w:p w14:paraId="0B9C31B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"103-У"</w:t>
            </w:r>
          </w:p>
        </w:tc>
        <w:tc>
          <w:tcPr>
            <w:tcW w:w="2802" w:type="dxa"/>
            <w:tcBorders>
              <w:top w:val="single" w:sz="12" w:space="0" w:color="auto"/>
            </w:tcBorders>
          </w:tcPr>
          <w:p w14:paraId="022C710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"103-В"</w:t>
            </w:r>
          </w:p>
        </w:tc>
      </w:tr>
      <w:tr w:rsidR="009B487A" w:rsidRPr="00722885" w14:paraId="6FEB74D2" w14:textId="77777777" w:rsidTr="00CC5360">
        <w:tc>
          <w:tcPr>
            <w:tcW w:w="2802" w:type="dxa"/>
          </w:tcPr>
          <w:p w14:paraId="7AF8B77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Двигатель</w:t>
            </w:r>
          </w:p>
        </w:tc>
        <w:tc>
          <w:tcPr>
            <w:tcW w:w="2802" w:type="dxa"/>
          </w:tcPr>
          <w:p w14:paraId="32A3B0F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АМ-37</w:t>
            </w:r>
          </w:p>
        </w:tc>
        <w:tc>
          <w:tcPr>
            <w:tcW w:w="2802" w:type="dxa"/>
          </w:tcPr>
          <w:p w14:paraId="4CC7DD8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АМ-37</w:t>
            </w:r>
          </w:p>
        </w:tc>
        <w:tc>
          <w:tcPr>
            <w:tcW w:w="2802" w:type="dxa"/>
          </w:tcPr>
          <w:p w14:paraId="2A894A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М-82</w:t>
            </w:r>
          </w:p>
        </w:tc>
      </w:tr>
      <w:tr w:rsidR="009B487A" w:rsidRPr="00722885" w14:paraId="58A8DAC2" w14:textId="77777777" w:rsidTr="00CC5360">
        <w:tc>
          <w:tcPr>
            <w:tcW w:w="2802" w:type="dxa"/>
          </w:tcPr>
          <w:p w14:paraId="36ED85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Взлетная мощность, л.с.</w:t>
            </w:r>
          </w:p>
        </w:tc>
        <w:tc>
          <w:tcPr>
            <w:tcW w:w="2802" w:type="dxa"/>
          </w:tcPr>
          <w:p w14:paraId="513266A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2x140021</w:t>
            </w:r>
          </w:p>
        </w:tc>
        <w:tc>
          <w:tcPr>
            <w:tcW w:w="2802" w:type="dxa"/>
          </w:tcPr>
          <w:p w14:paraId="15981CE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2x14002'</w:t>
            </w:r>
          </w:p>
        </w:tc>
        <w:tc>
          <w:tcPr>
            <w:tcW w:w="2802" w:type="dxa"/>
          </w:tcPr>
          <w:p w14:paraId="079ACCA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2х170051</w:t>
            </w:r>
          </w:p>
        </w:tc>
      </w:tr>
      <w:tr w:rsidR="009B487A" w:rsidRPr="00722885" w14:paraId="49D18A26" w14:textId="77777777" w:rsidTr="00CC5360">
        <w:tc>
          <w:tcPr>
            <w:tcW w:w="2802" w:type="dxa"/>
          </w:tcPr>
          <w:p w14:paraId="60DD2D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w:t>
            </w:r>
          </w:p>
        </w:tc>
        <w:tc>
          <w:tcPr>
            <w:tcW w:w="2802" w:type="dxa"/>
          </w:tcPr>
          <w:p w14:paraId="201441C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w:t>
            </w:r>
          </w:p>
        </w:tc>
        <w:tc>
          <w:tcPr>
            <w:tcW w:w="2802" w:type="dxa"/>
          </w:tcPr>
          <w:p w14:paraId="442B3A0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18,86</w:t>
            </w:r>
          </w:p>
        </w:tc>
        <w:tc>
          <w:tcPr>
            <w:tcW w:w="2802" w:type="dxa"/>
          </w:tcPr>
          <w:p w14:paraId="495E82E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18,86</w:t>
            </w:r>
          </w:p>
        </w:tc>
      </w:tr>
      <w:tr w:rsidR="009B487A" w:rsidRPr="00722885" w14:paraId="4B99C768" w14:textId="77777777" w:rsidTr="00CC5360">
        <w:tc>
          <w:tcPr>
            <w:tcW w:w="2802" w:type="dxa"/>
          </w:tcPr>
          <w:p w14:paraId="06ADBBA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м</w:t>
            </w:r>
          </w:p>
        </w:tc>
        <w:tc>
          <w:tcPr>
            <w:tcW w:w="2802" w:type="dxa"/>
          </w:tcPr>
          <w:p w14:paraId="5204EC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13,2</w:t>
            </w:r>
          </w:p>
        </w:tc>
        <w:tc>
          <w:tcPr>
            <w:tcW w:w="2802" w:type="dxa"/>
          </w:tcPr>
          <w:p w14:paraId="21EF0D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13,7</w:t>
            </w:r>
          </w:p>
        </w:tc>
        <w:tc>
          <w:tcPr>
            <w:tcW w:w="2802" w:type="dxa"/>
          </w:tcPr>
          <w:p w14:paraId="6AF81D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w:t>
            </w:r>
          </w:p>
        </w:tc>
      </w:tr>
      <w:tr w:rsidR="009B487A" w:rsidRPr="00722885" w14:paraId="3DAD21E2" w14:textId="77777777" w:rsidTr="00CC5360">
        <w:tc>
          <w:tcPr>
            <w:tcW w:w="2802" w:type="dxa"/>
          </w:tcPr>
          <w:p w14:paraId="6583C26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м2</w:t>
            </w:r>
          </w:p>
        </w:tc>
        <w:tc>
          <w:tcPr>
            <w:tcW w:w="2802" w:type="dxa"/>
          </w:tcPr>
          <w:p w14:paraId="0AC629F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48,52</w:t>
            </w:r>
          </w:p>
        </w:tc>
        <w:tc>
          <w:tcPr>
            <w:tcW w:w="2802" w:type="dxa"/>
          </w:tcPr>
          <w:p w14:paraId="6F457B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48,52</w:t>
            </w:r>
          </w:p>
        </w:tc>
        <w:tc>
          <w:tcPr>
            <w:tcW w:w="2802" w:type="dxa"/>
          </w:tcPr>
          <w:p w14:paraId="5799ADC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48,52</w:t>
            </w:r>
          </w:p>
        </w:tc>
      </w:tr>
      <w:tr w:rsidR="009B487A" w:rsidRPr="00722885" w14:paraId="6A9EEDC1" w14:textId="77777777" w:rsidTr="00CC5360">
        <w:tc>
          <w:tcPr>
            <w:tcW w:w="2802" w:type="dxa"/>
          </w:tcPr>
          <w:p w14:paraId="35F9AC7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взлетный, кг</w:t>
            </w:r>
          </w:p>
        </w:tc>
        <w:tc>
          <w:tcPr>
            <w:tcW w:w="2802" w:type="dxa"/>
          </w:tcPr>
          <w:p w14:paraId="465A81D6"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802" w:type="dxa"/>
          </w:tcPr>
          <w:p w14:paraId="1933CD74"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802" w:type="dxa"/>
          </w:tcPr>
          <w:p w14:paraId="735DA564"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65F0727" w14:textId="77777777" w:rsidTr="00CC5360">
        <w:tc>
          <w:tcPr>
            <w:tcW w:w="2802" w:type="dxa"/>
          </w:tcPr>
          <w:p w14:paraId="6E13EB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нормальный</w:t>
            </w:r>
          </w:p>
        </w:tc>
        <w:tc>
          <w:tcPr>
            <w:tcW w:w="2802" w:type="dxa"/>
          </w:tcPr>
          <w:p w14:paraId="0D4B721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10 992</w:t>
            </w:r>
          </w:p>
        </w:tc>
        <w:tc>
          <w:tcPr>
            <w:tcW w:w="2802" w:type="dxa"/>
          </w:tcPr>
          <w:p w14:paraId="2263E3C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10 435</w:t>
            </w:r>
          </w:p>
        </w:tc>
        <w:tc>
          <w:tcPr>
            <w:tcW w:w="2802" w:type="dxa"/>
          </w:tcPr>
          <w:p w14:paraId="6D26D8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10 343</w:t>
            </w:r>
          </w:p>
        </w:tc>
      </w:tr>
      <w:tr w:rsidR="009B487A" w:rsidRPr="00722885" w14:paraId="0E1CA4F5" w14:textId="77777777" w:rsidTr="00CC5360">
        <w:tc>
          <w:tcPr>
            <w:tcW w:w="2802" w:type="dxa"/>
          </w:tcPr>
          <w:p w14:paraId="06A221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максимальный</w:t>
            </w:r>
          </w:p>
        </w:tc>
        <w:tc>
          <w:tcPr>
            <w:tcW w:w="2802" w:type="dxa"/>
          </w:tcPr>
          <w:p w14:paraId="14E3B74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11 990</w:t>
            </w:r>
          </w:p>
        </w:tc>
        <w:tc>
          <w:tcPr>
            <w:tcW w:w="2802" w:type="dxa"/>
          </w:tcPr>
          <w:p w14:paraId="7EF9E1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12 478</w:t>
            </w:r>
          </w:p>
        </w:tc>
        <w:tc>
          <w:tcPr>
            <w:tcW w:w="2802" w:type="dxa"/>
          </w:tcPr>
          <w:p w14:paraId="535C119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11 773</w:t>
            </w:r>
          </w:p>
        </w:tc>
      </w:tr>
      <w:tr w:rsidR="009B487A" w:rsidRPr="00722885" w14:paraId="3D8AB674" w14:textId="77777777" w:rsidTr="00CC5360">
        <w:tc>
          <w:tcPr>
            <w:tcW w:w="2802" w:type="dxa"/>
          </w:tcPr>
          <w:p w14:paraId="7BF0F43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топлива, кг</w:t>
            </w:r>
          </w:p>
        </w:tc>
        <w:tc>
          <w:tcPr>
            <w:tcW w:w="2802" w:type="dxa"/>
          </w:tcPr>
          <w:p w14:paraId="65D5B81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1612</w:t>
            </w:r>
          </w:p>
        </w:tc>
        <w:tc>
          <w:tcPr>
            <w:tcW w:w="2802" w:type="dxa"/>
          </w:tcPr>
          <w:p w14:paraId="53037F8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825/1800</w:t>
            </w:r>
          </w:p>
        </w:tc>
        <w:tc>
          <w:tcPr>
            <w:tcW w:w="2802" w:type="dxa"/>
          </w:tcPr>
          <w:p w14:paraId="483F40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950/230081</w:t>
            </w:r>
          </w:p>
        </w:tc>
      </w:tr>
      <w:tr w:rsidR="009B487A" w:rsidRPr="00722885" w14:paraId="12DBDE9B" w14:textId="77777777" w:rsidTr="00CC5360">
        <w:tc>
          <w:tcPr>
            <w:tcW w:w="2802" w:type="dxa"/>
          </w:tcPr>
          <w:p w14:paraId="0D8662E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пустого, кг</w:t>
            </w:r>
          </w:p>
        </w:tc>
        <w:tc>
          <w:tcPr>
            <w:tcW w:w="2802" w:type="dxa"/>
          </w:tcPr>
          <w:p w14:paraId="778CD4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7626</w:t>
            </w:r>
          </w:p>
        </w:tc>
        <w:tc>
          <w:tcPr>
            <w:tcW w:w="2802" w:type="dxa"/>
          </w:tcPr>
          <w:p w14:paraId="70BFBAE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7823</w:t>
            </w:r>
          </w:p>
        </w:tc>
        <w:tc>
          <w:tcPr>
            <w:tcW w:w="2802" w:type="dxa"/>
          </w:tcPr>
          <w:p w14:paraId="06735DA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7335</w:t>
            </w:r>
          </w:p>
        </w:tc>
      </w:tr>
      <w:tr w:rsidR="009B487A" w:rsidRPr="00722885" w14:paraId="3EC09BB7" w14:textId="77777777" w:rsidTr="00CC5360">
        <w:tc>
          <w:tcPr>
            <w:tcW w:w="2802" w:type="dxa"/>
          </w:tcPr>
          <w:p w14:paraId="17F790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макс., км/ч</w:t>
            </w:r>
          </w:p>
        </w:tc>
        <w:tc>
          <w:tcPr>
            <w:tcW w:w="2802" w:type="dxa"/>
          </w:tcPr>
          <w:p w14:paraId="0F607E0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802" w:type="dxa"/>
          </w:tcPr>
          <w:p w14:paraId="03CFB60D"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802" w:type="dxa"/>
          </w:tcPr>
          <w:p w14:paraId="5287CC9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611B2AC" w14:textId="77777777" w:rsidTr="00CC5360">
        <w:tc>
          <w:tcPr>
            <w:tcW w:w="2802" w:type="dxa"/>
          </w:tcPr>
          <w:p w14:paraId="7E2293A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земли</w:t>
            </w:r>
          </w:p>
        </w:tc>
        <w:tc>
          <w:tcPr>
            <w:tcW w:w="2802" w:type="dxa"/>
          </w:tcPr>
          <w:p w14:paraId="0F87FF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482</w:t>
            </w:r>
          </w:p>
        </w:tc>
        <w:tc>
          <w:tcPr>
            <w:tcW w:w="2802" w:type="dxa"/>
          </w:tcPr>
          <w:p w14:paraId="6F5A3AA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469</w:t>
            </w:r>
          </w:p>
        </w:tc>
        <w:tc>
          <w:tcPr>
            <w:tcW w:w="2802" w:type="dxa"/>
          </w:tcPr>
          <w:p w14:paraId="738951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460</w:t>
            </w:r>
          </w:p>
        </w:tc>
      </w:tr>
      <w:tr w:rsidR="009B487A" w:rsidRPr="00722885" w14:paraId="7D8608A3" w14:textId="77777777" w:rsidTr="00CC5360">
        <w:tc>
          <w:tcPr>
            <w:tcW w:w="2802" w:type="dxa"/>
          </w:tcPr>
          <w:p w14:paraId="200069C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м</w:t>
            </w:r>
          </w:p>
        </w:tc>
        <w:tc>
          <w:tcPr>
            <w:tcW w:w="2802" w:type="dxa"/>
          </w:tcPr>
          <w:p w14:paraId="4AE76D9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635/8000</w:t>
            </w:r>
          </w:p>
        </w:tc>
        <w:tc>
          <w:tcPr>
            <w:tcW w:w="2802" w:type="dxa"/>
          </w:tcPr>
          <w:p w14:paraId="2B63C8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610/780031</w:t>
            </w:r>
          </w:p>
        </w:tc>
        <w:tc>
          <w:tcPr>
            <w:tcW w:w="2802" w:type="dxa"/>
          </w:tcPr>
          <w:p w14:paraId="2E22864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528/32006'</w:t>
            </w:r>
          </w:p>
        </w:tc>
      </w:tr>
      <w:tr w:rsidR="009B487A" w:rsidRPr="00722885" w14:paraId="557F549E" w14:textId="77777777" w:rsidTr="00CC5360">
        <w:tc>
          <w:tcPr>
            <w:tcW w:w="2802" w:type="dxa"/>
          </w:tcPr>
          <w:p w14:paraId="1A0653E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w:t>
            </w:r>
          </w:p>
        </w:tc>
        <w:tc>
          <w:tcPr>
            <w:tcW w:w="2802" w:type="dxa"/>
          </w:tcPr>
          <w:p w14:paraId="7FCE3E3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 8,6</w:t>
            </w:r>
          </w:p>
        </w:tc>
        <w:tc>
          <w:tcPr>
            <w:tcW w:w="2802" w:type="dxa"/>
          </w:tcPr>
          <w:p w14:paraId="263536F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w:t>
            </w:r>
          </w:p>
        </w:tc>
        <w:tc>
          <w:tcPr>
            <w:tcW w:w="2802" w:type="dxa"/>
          </w:tcPr>
          <w:p w14:paraId="6289A4A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8,86/4500</w:t>
            </w:r>
          </w:p>
        </w:tc>
      </w:tr>
      <w:tr w:rsidR="009B487A" w:rsidRPr="00722885" w14:paraId="7620FEAB" w14:textId="77777777" w:rsidTr="00CC5360">
        <w:tc>
          <w:tcPr>
            <w:tcW w:w="2802" w:type="dxa"/>
          </w:tcPr>
          <w:p w14:paraId="10DE0E1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м</w:t>
            </w:r>
          </w:p>
        </w:tc>
        <w:tc>
          <w:tcPr>
            <w:tcW w:w="2802" w:type="dxa"/>
          </w:tcPr>
          <w:p w14:paraId="31CF2FE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10600</w:t>
            </w:r>
          </w:p>
        </w:tc>
        <w:tc>
          <w:tcPr>
            <w:tcW w:w="2802" w:type="dxa"/>
          </w:tcPr>
          <w:p w14:paraId="746E209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10500</w:t>
            </w:r>
          </w:p>
        </w:tc>
        <w:tc>
          <w:tcPr>
            <w:tcW w:w="2802" w:type="dxa"/>
          </w:tcPr>
          <w:p w14:paraId="3FE6037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9000</w:t>
            </w:r>
          </w:p>
        </w:tc>
      </w:tr>
      <w:tr w:rsidR="009B487A" w:rsidRPr="00722885" w14:paraId="17E0F3A3" w14:textId="77777777" w:rsidTr="00CC5360">
        <w:tc>
          <w:tcPr>
            <w:tcW w:w="2802" w:type="dxa"/>
          </w:tcPr>
          <w:p w14:paraId="6AD6D6A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максимальная, км</w:t>
            </w:r>
          </w:p>
        </w:tc>
        <w:tc>
          <w:tcPr>
            <w:tcW w:w="2802" w:type="dxa"/>
          </w:tcPr>
          <w:p w14:paraId="4EF60B0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198041</w:t>
            </w:r>
          </w:p>
        </w:tc>
        <w:tc>
          <w:tcPr>
            <w:tcW w:w="2802" w:type="dxa"/>
          </w:tcPr>
          <w:p w14:paraId="5010F7B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18984'</w:t>
            </w:r>
          </w:p>
        </w:tc>
        <w:tc>
          <w:tcPr>
            <w:tcW w:w="2802" w:type="dxa"/>
          </w:tcPr>
          <w:p w14:paraId="35FBCC7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200071</w:t>
            </w:r>
          </w:p>
        </w:tc>
      </w:tr>
      <w:tr w:rsidR="009B487A" w:rsidRPr="00722885" w14:paraId="45F69C5C" w14:textId="77777777" w:rsidTr="00CC5360">
        <w:tc>
          <w:tcPr>
            <w:tcW w:w="2802" w:type="dxa"/>
          </w:tcPr>
          <w:p w14:paraId="2BEF83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Разбег/пробег, м</w:t>
            </w:r>
          </w:p>
        </w:tc>
        <w:tc>
          <w:tcPr>
            <w:tcW w:w="2802" w:type="dxa"/>
          </w:tcPr>
          <w:p w14:paraId="1E8E734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440/730</w:t>
            </w:r>
          </w:p>
        </w:tc>
        <w:tc>
          <w:tcPr>
            <w:tcW w:w="2802" w:type="dxa"/>
          </w:tcPr>
          <w:p w14:paraId="59E8458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435/765</w:t>
            </w:r>
          </w:p>
        </w:tc>
        <w:tc>
          <w:tcPr>
            <w:tcW w:w="2802" w:type="dxa"/>
          </w:tcPr>
          <w:p w14:paraId="3EBF24E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516/640</w:t>
            </w:r>
          </w:p>
        </w:tc>
      </w:tr>
      <w:tr w:rsidR="009B487A" w:rsidRPr="00722885" w14:paraId="19C1C988" w14:textId="77777777" w:rsidTr="00CC5360">
        <w:tc>
          <w:tcPr>
            <w:tcW w:w="2802" w:type="dxa"/>
          </w:tcPr>
          <w:p w14:paraId="20D9605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посадочная, км/ч</w:t>
            </w:r>
          </w:p>
        </w:tc>
        <w:tc>
          <w:tcPr>
            <w:tcW w:w="2802" w:type="dxa"/>
          </w:tcPr>
          <w:p w14:paraId="4E51F18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152</w:t>
            </w:r>
          </w:p>
        </w:tc>
        <w:tc>
          <w:tcPr>
            <w:tcW w:w="2802" w:type="dxa"/>
          </w:tcPr>
          <w:p w14:paraId="38AB8E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155</w:t>
            </w:r>
          </w:p>
        </w:tc>
        <w:tc>
          <w:tcPr>
            <w:tcW w:w="2802" w:type="dxa"/>
          </w:tcPr>
          <w:p w14:paraId="28888E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152</w:t>
            </w:r>
          </w:p>
        </w:tc>
      </w:tr>
      <w:tr w:rsidR="009B487A" w:rsidRPr="00722885" w14:paraId="742CECC8" w14:textId="77777777" w:rsidTr="00CC5360">
        <w:tc>
          <w:tcPr>
            <w:tcW w:w="2802" w:type="dxa"/>
            <w:tcBorders>
              <w:bottom w:val="single" w:sz="12" w:space="0" w:color="auto"/>
            </w:tcBorders>
          </w:tcPr>
          <w:p w14:paraId="3A5D20B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чел.</w:t>
            </w:r>
          </w:p>
        </w:tc>
        <w:tc>
          <w:tcPr>
            <w:tcW w:w="2802" w:type="dxa"/>
            <w:tcBorders>
              <w:bottom w:val="single" w:sz="12" w:space="0" w:color="auto"/>
            </w:tcBorders>
          </w:tcPr>
          <w:p w14:paraId="21BC590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2802" w:type="dxa"/>
            <w:tcBorders>
              <w:bottom w:val="single" w:sz="12" w:space="0" w:color="auto"/>
            </w:tcBorders>
          </w:tcPr>
          <w:p w14:paraId="51AF5D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2802" w:type="dxa"/>
            <w:tcBorders>
              <w:bottom w:val="single" w:sz="12" w:space="0" w:color="auto"/>
            </w:tcBorders>
          </w:tcPr>
          <w:p w14:paraId="4F9DCF7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r>
    </w:tbl>
    <w:p w14:paraId="7A84ABB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 результатам государственных испытаний.</w:t>
      </w:r>
    </w:p>
    <w:p w14:paraId="4EBC7D7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 высоте 6000 м - 1400 л.с.</w:t>
      </w:r>
    </w:p>
    <w:p w14:paraId="302562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На высоте 6500 м - 580 км/ч.</w:t>
      </w:r>
    </w:p>
    <w:p w14:paraId="254FB4E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На высоте 7000 м.</w:t>
      </w:r>
    </w:p>
    <w:p w14:paraId="7DDC916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Номинальная мощность на высоте 5400 м - 1330 л.с.</w:t>
      </w:r>
    </w:p>
    <w:p w14:paraId="11C239A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На 1-й скорости нагнетателя. На высоте 6000 м - 530 км/ч.</w:t>
      </w:r>
    </w:p>
    <w:p w14:paraId="632AF9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Со скоростью 0,9 от максимального значения.</w:t>
      </w:r>
    </w:p>
    <w:p w14:paraId="02AB41A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Объем топливных баков 3070 литров.</w:t>
      </w:r>
    </w:p>
    <w:p w14:paraId="7F01E04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Опытный "103-В" оставили в ОКБ и на нем проверялись различные усовершенствования, в том числе и с двигателями АШ-82ФН. 25 марта 1943 года машина с двигателями АШ-82ФН, пилотируемая И.И. Шелестом (инженер Г.И. Поярков и бортмеханик В. Александров), потерпела при посадке аварию из-за не вставшей на замок левой опоры шасси. Видимо, в том полете проверялись доработки двигателей, поскольку 2 апреля Туполев доложил наркому Шахури- ну, что на опытном Ту-2М-82 в Омске выполнили два полета после установки магнето повышенной высотности и новых М-82 с нагнетателями, имеющими 11 лопаток вместо 22-х, но со старыми серийными карбюраторами. В итоге, максимальная скорость самолета у земли возросла до 528 км/ч, а на высоте - до 568 км/ч.</w:t>
      </w:r>
    </w:p>
    <w:p w14:paraId="0607053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омским Ту-2 (возможно, с опытной машиной "103-В") связан один любопытный эпизод.</w:t>
      </w:r>
    </w:p>
    <w:p w14:paraId="56605A6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году, - как рассказывал Л.Л. Кербер, - понадобилось перегнать Ту-2 из Омска в Москву. В то время через Омск изредка перегоняли на фронт американские скоростные истребители "Аэрокобра". Поскольку в экипаже Ту-2 был штурман, лидировать группу перегона решили поручить летчику А.Д. Перелету. На утро "Аэрокобры" взлетели и построились. Ту-2 занял впереди строя место лидера и лег курсом на Свердловск (ныне Екатеринбург).</w:t>
      </w:r>
    </w:p>
    <w:p w14:paraId="49794DE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Очень скоро выяснилось, что скорости американских истребителей для того, чтобы угнаться за нашим бомбардировщиком, не хватает. Придя на следующий день на аэродром, А.Д. Перелет обнаружил, что на хвосте его самолета кто-то из истребителей написал: "Не догонишь".</w:t>
      </w:r>
    </w:p>
    <w:p w14:paraId="4DAE76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Свердловске с вылетом Ту-2 немного замешкались и, так как погода была отменная, группу "Аэрокобр" выпустили раньше. А.Д. Перелет догнал их возле Сарапула, обошел строй, занял свое место в голове и в Казань пришел первым.</w:t>
      </w:r>
    </w:p>
    <w:p w14:paraId="38F1CB1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Ночью на носу Ту-2 появилась вторая надпись: "Не уйдешь". С этими надписями Ту-2 и прилетел в Москву" (12035).</w:t>
      </w:r>
    </w:p>
    <w:p w14:paraId="2F09438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170ED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командующий ВВС писал НКАП А.И.Ш., что “...для усиления мощности огня самолета необходимо на всех серийных ПС-84, выпускаемых заводом № 84, устанавливать турель УТК-1 с УБТ вместо МВ-3 с ШКАС (3404, 11).</w:t>
      </w:r>
    </w:p>
    <w:p w14:paraId="34574EE9" w14:textId="77777777" w:rsidR="00AE7191" w:rsidRPr="00722885" w:rsidRDefault="00AE7191" w:rsidP="00722885">
      <w:pPr>
        <w:pStyle w:val="Iauiue"/>
        <w:jc w:val="both"/>
        <w:rPr>
          <w:color w:val="000000" w:themeColor="text1"/>
          <w:sz w:val="16"/>
          <w:szCs w:val="16"/>
        </w:rPr>
      </w:pPr>
    </w:p>
    <w:p w14:paraId="147B1C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первый полет выполнил И-230 - усовершенствованный МиГ-3 N 01. Результаты были неплохими и ОКБ поставило вопрос о возобновлении серии и построило пять предсерийных, которые затем передали в 1 Гиап на Калининский фронт. Был и вариант N 2 с увеличенной площадью крыла (1084,37).</w:t>
      </w:r>
    </w:p>
    <w:p w14:paraId="51F03601" w14:textId="77777777" w:rsidR="00AE7191" w:rsidRPr="00722885" w:rsidRDefault="00AE7191" w:rsidP="00722885">
      <w:pPr>
        <w:pStyle w:val="Iauiue"/>
        <w:jc w:val="both"/>
        <w:rPr>
          <w:color w:val="000000" w:themeColor="text1"/>
          <w:sz w:val="16"/>
          <w:szCs w:val="16"/>
        </w:rPr>
      </w:pPr>
    </w:p>
    <w:p w14:paraId="075493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на заводе 31 проходил испытания ЛаГГ-5 М-82 (796,13).</w:t>
      </w:r>
    </w:p>
    <w:p w14:paraId="52BC3447" w14:textId="77777777" w:rsidR="00AE7191" w:rsidRPr="00722885" w:rsidRDefault="00AE7191" w:rsidP="00722885">
      <w:pPr>
        <w:pStyle w:val="Iauiue"/>
        <w:jc w:val="both"/>
        <w:rPr>
          <w:color w:val="000000" w:themeColor="text1"/>
          <w:sz w:val="16"/>
          <w:szCs w:val="16"/>
        </w:rPr>
      </w:pPr>
    </w:p>
    <w:p w14:paraId="192E7CA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ВВС писало в НКАП Л.А.Воронину:</w:t>
      </w:r>
    </w:p>
    <w:p w14:paraId="277206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“Сообщаю, что до настоящего времени самолет ту-2....с моторами М-82 не доведен. Основные дефекты М-82 - задир поршней при наборе высоты на номинале, отсутствие стабильности регулировки карбюратора К-82БП, выбрасывание масла в суфлере на высоте 6000-8000 м, отказ в работе свечей...после 5-20 часов работы, </w:t>
      </w:r>
      <w:r w:rsidRPr="00722885">
        <w:rPr>
          <w:color w:val="000000" w:themeColor="text1"/>
          <w:sz w:val="16"/>
          <w:szCs w:val="16"/>
        </w:rPr>
        <w:lastRenderedPageBreak/>
        <w:t>не устранены.</w:t>
      </w:r>
    </w:p>
    <w:p w14:paraId="5C7D21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166 не обеспечен моторами М-82, воздушными винтами, масляными радиаторами, колесами... В результате части ВВС КА, остро нуждающиеся в б с хорошими ЛТД, самолетов ту-2 не получают.” (4407,2).</w:t>
      </w:r>
    </w:p>
    <w:p w14:paraId="477ECCF6" w14:textId="77777777" w:rsidR="00AE7191" w:rsidRPr="00722885" w:rsidRDefault="00AE7191" w:rsidP="00722885">
      <w:pPr>
        <w:pStyle w:val="Iauiue"/>
        <w:jc w:val="both"/>
        <w:rPr>
          <w:color w:val="000000" w:themeColor="text1"/>
          <w:sz w:val="16"/>
          <w:szCs w:val="16"/>
        </w:rPr>
      </w:pPr>
    </w:p>
    <w:p w14:paraId="6689E6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на Западном фронте завершились испытания ЛаГГ-3, которые начались в мае (201,25).</w:t>
      </w:r>
    </w:p>
    <w:p w14:paraId="534FA935" w14:textId="77777777" w:rsidR="00AE7191" w:rsidRPr="00722885" w:rsidRDefault="00AE7191" w:rsidP="00722885">
      <w:pPr>
        <w:pStyle w:val="Iauiue"/>
        <w:jc w:val="both"/>
        <w:rPr>
          <w:color w:val="000000" w:themeColor="text1"/>
          <w:sz w:val="16"/>
          <w:szCs w:val="16"/>
        </w:rPr>
      </w:pPr>
    </w:p>
    <w:p w14:paraId="321B28D3" w14:textId="77777777" w:rsidR="007D7196" w:rsidRPr="00722885" w:rsidRDefault="007D7196"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августе 1942 г. ГКО принял решение оставить в производстве на заводе № 31 только самолёт ЛаГГ-3, поэтому выпуск ЛаГГ-5 на нём быстро свернули. Взамен 31-го завода в том же августе к выпуску Ла-5 подключили завод № 99 в Улан-Удэ, а в октябре 1942 г. — за</w:t>
      </w:r>
      <w:r w:rsidRPr="00722885">
        <w:rPr>
          <w:rFonts w:ascii="Times New Roman" w:cs="Times New Roman"/>
          <w:color w:val="000000" w:themeColor="text1"/>
          <w:spacing w:val="0"/>
        </w:rPr>
        <w:softHyphen/>
        <w:t>вод № 381 в Нижнем Тагиле, в 1943 г. переведенный в Москву (15813).</w:t>
      </w:r>
    </w:p>
    <w:p w14:paraId="56FA06EF" w14:textId="77777777" w:rsidR="007D7196" w:rsidRPr="00722885" w:rsidRDefault="007D7196" w:rsidP="00722885">
      <w:pPr>
        <w:pStyle w:val="27"/>
        <w:shd w:val="clear" w:color="auto" w:fill="auto"/>
        <w:spacing w:after="0" w:line="240" w:lineRule="auto"/>
        <w:ind w:firstLine="0"/>
        <w:rPr>
          <w:rFonts w:ascii="Times New Roman" w:cs="Times New Roman"/>
          <w:color w:val="000000" w:themeColor="text1"/>
          <w:spacing w:val="0"/>
        </w:rPr>
      </w:pPr>
    </w:p>
    <w:p w14:paraId="50E8E8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августа 1942-го на все самолеты ЛаГ-5 завода №21 начали устанавливать радиоприемники РСИ-4, а на каждый третий -радиостанцию, радиополукомпас РПК-10, а остальные оборудовались под возможную его установку (4573).</w:t>
      </w:r>
    </w:p>
    <w:p w14:paraId="12258867" w14:textId="77777777" w:rsidR="00AE7191" w:rsidRPr="00722885" w:rsidRDefault="00AE7191" w:rsidP="00722885">
      <w:pPr>
        <w:pStyle w:val="Iauiue"/>
        <w:jc w:val="both"/>
        <w:rPr>
          <w:color w:val="000000" w:themeColor="text1"/>
          <w:sz w:val="16"/>
          <w:szCs w:val="16"/>
        </w:rPr>
      </w:pPr>
    </w:p>
    <w:p w14:paraId="44EE9F8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августа 1942 года все новые машины стали комплектовать радиоприемниками, а каждый третий - радиостанциями РСИ-4. Появились первые машины с радиополукомпасами РПК-10, значительно улучшившими ориентацию летчиков, особенно в плохих метеоусловиях, но на все машины их не хватало (12032).</w:t>
      </w:r>
    </w:p>
    <w:p w14:paraId="1169C14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1296B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1942-го Старший военпред, впоследствии директор завода номер 21, А.И.Ярошенко, анализируя сообщение с фронта, делал вывод: ЛаГ-5 имеет преимущество перед Me 109Ф в горизонтальном маневре, на наборе высоты на форсаже имеет скорость, равную Me 109Ф, отстает от него в вертикальном маневре. Из-за дефекта фонаря летчики летают с открытой кабиной, что снижает скорость (4573).</w:t>
      </w:r>
    </w:p>
    <w:p w14:paraId="4D1201D5" w14:textId="77777777" w:rsidR="00AE7191" w:rsidRPr="00722885" w:rsidRDefault="00AE7191" w:rsidP="00722885">
      <w:pPr>
        <w:pStyle w:val="Iauiue"/>
        <w:jc w:val="both"/>
        <w:rPr>
          <w:color w:val="000000" w:themeColor="text1"/>
          <w:sz w:val="16"/>
          <w:szCs w:val="16"/>
        </w:rPr>
      </w:pPr>
    </w:p>
    <w:p w14:paraId="46DD31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 в результате работ объединенного КБ Бондарюка на серийном самолете ЛаГГ-3 (зав. № 31213173) были проведены летные испытания первого в стране прямоточного двигателя ВРД-1. И хотя они закончились относительной неудачей (достигнутый прирост скорости при работающих ускорителях - всего 30 км/ч, зато потеря скорости при неработающих ПВРД - 50 км/ч), работы по повышению экономичности и надежности конструкции были продолжены. В 1944 г. ЭКБ-3 разработало новый образец ПВРД, который успешно прошел летные испытания на истребителе Ла-5, обеспечив значительный прирост скорости (9027). После возвращения из эвакуации ЭКБ-3 перевели из системы ГВФ в ОКБ-293 В.Ф. Болховитинова для подключения к созданию двигательной установки самолета "БИ" (вариант с двумя ПВРД). В 1944 г. КБ Бондарюка вместе с ОКБ-293 влили в состав образованного НИИ-1 НКАП и преобразовали в отдел прямоточных двигателей, а затем - в институтское КБ-2. В августе 1947 г. М.М. Бондарюк был назначен главным конструктором КБ (9027).</w:t>
      </w:r>
    </w:p>
    <w:p w14:paraId="2EB29648" w14:textId="77777777" w:rsidR="00AE7191" w:rsidRPr="00722885" w:rsidRDefault="00AE7191" w:rsidP="00722885">
      <w:pPr>
        <w:pStyle w:val="Iauiue"/>
        <w:jc w:val="both"/>
        <w:rPr>
          <w:color w:val="000000" w:themeColor="text1"/>
          <w:sz w:val="16"/>
          <w:szCs w:val="16"/>
        </w:rPr>
      </w:pPr>
    </w:p>
    <w:p w14:paraId="143C13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летчик-испытатель Г.А. Мищенко проводил испытания ускорителя ВРД-1 Бондарюк на на серийном ЛаГТе-3 с двигателем М-105ПФ. Ускоритель ВРД-1 имел длину 2,15 м, диаметр спереди 0,14 м, массу 16 кг. Опыты показали, что ускоритель позволяет прибавить к максимальной скорости самолета 15 км/ч. В то же время двигатель ухудшал аэродинамические качества самолета, снижая скорость самолета на 35-40 км/ч. Впрочем, подвеска ускорителя делалась довольно грубо, теоретически существовала возможность облагородить аэродинамику самолета. Но этого делать не стали, так как ускоритель не мог обеспечить стабильное горение топлива, также пуск ускорителя был очень затруднен на больших высотах (11749).</w:t>
      </w:r>
    </w:p>
    <w:p w14:paraId="5FB4FF0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DA930D9" w14:textId="77777777" w:rsidR="00D050CD" w:rsidRPr="00722885" w:rsidRDefault="00D050CD"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августе 1942 года летные испытания прошел ЛаГГ-3 № 31213173 с двумя ПВРД ВРД-1, которые разработал молодой коллектив ОКБ-3 НИИ ГВФ под руковод ством М.М. Бондарюка. Целью испытаний была проверка эксп луатационных качеств и эффективности первого ПВРД ВРД- конструкции М.М. Бондарюка. На испытание были предостав лены два варианта ВРД-1: нормальный (основные характерис тики даны в табл. 12 прил. 1) и так называемый форсирован ный вариант с входным диаметром 170 мм, длиной 1 900 мм и весом 16 кг. Двигатели устанавливали под крыло около вто рой нервюры. Двигатель ВРД-1 питался тем же бензином, что и основной ПД. Подача топлива в него производилась с помо щью бензонасоса БНК-1.</w:t>
      </w:r>
    </w:p>
    <w:p w14:paraId="1EC3C53C" w14:textId="77777777" w:rsidR="00D050CD" w:rsidRPr="00722885" w:rsidRDefault="00D050CD"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Перед летными испытаниями решили провести пробное включение ВРД-1 на земле, воздействуя скоростным напором от винта впереди стоящего самолета.</w:t>
      </w:r>
    </w:p>
    <w:p w14:paraId="57723E73" w14:textId="77777777" w:rsidR="00D050CD" w:rsidRPr="00722885" w:rsidRDefault="00D050CD" w:rsidP="00722885">
      <w:pPr>
        <w:pStyle w:val="ae"/>
        <w:shd w:val="clear" w:color="auto" w:fill="FFFFFF"/>
        <w:spacing w:before="0" w:after="0"/>
        <w:jc w:val="both"/>
        <w:rPr>
          <w:color w:val="000000" w:themeColor="text1"/>
          <w:sz w:val="16"/>
          <w:szCs w:val="16"/>
        </w:rPr>
      </w:pPr>
      <w:r w:rsidRPr="00722885">
        <w:rPr>
          <w:color w:val="000000" w:themeColor="text1"/>
          <w:sz w:val="16"/>
          <w:szCs w:val="16"/>
        </w:rPr>
        <w:t>Как вспоминал М.М. Бондарюк: «Мы оказались в слож ном положении, так как до этого работали только с моделя ми, а в данном случае привезли Лавочкину настоящий боль шой агрегат, не имея, к сожалению, условий для его испыта ний. У нас не было настоящих лабораторий, но все же мы нашли выход... Выход действительно нашли необычный и ос троумный: один за другим поставили два самолета. Впереди обычный, серийный, позади — машину, под крылом которой подвесили ускоритель. Чтобы запустить ускоритель, нужен был воздушный поток. Его-то и создал винт первого самолета. Ме тодика, порожденная почти полным отсутствием испытатель ной аппаратуры, чуть не привела к беде. Думали, что при за пуске ускоритель даст небольшой конусообразный поясок пла мени. А получилось все иначе. Воздушный поток от винта первого самолета оказался сильно завихренным. Конусок пла мени вытянулся в длинный шлейф. Огромный факел, вырвав шийся из выходного отверстия ускорителя, едва не поджег завод».</w:t>
      </w:r>
    </w:p>
    <w:p w14:paraId="54D2AFB2" w14:textId="77777777" w:rsidR="00D050CD" w:rsidRPr="00722885" w:rsidRDefault="00D050CD" w:rsidP="00722885">
      <w:pPr>
        <w:pStyle w:val="ae"/>
        <w:shd w:val="clear" w:color="auto" w:fill="FFFFFF"/>
        <w:spacing w:before="0" w:after="0"/>
        <w:jc w:val="both"/>
        <w:rPr>
          <w:color w:val="000000" w:themeColor="text1"/>
          <w:sz w:val="16"/>
          <w:szCs w:val="16"/>
        </w:rPr>
      </w:pPr>
      <w:r w:rsidRPr="00722885">
        <w:rPr>
          <w:color w:val="000000" w:themeColor="text1"/>
          <w:sz w:val="16"/>
          <w:szCs w:val="16"/>
        </w:rPr>
        <w:t>Двигатель удалось запустить только два раза. При такой статистике, естественно, выводов о работе ВРД-1 сделать не удалось. 5 августа 1942 года состоялся первый полет с целью проверить крепление ВРД-1 к крыльям. Далее было проведе но шесть полетов для отработки системы подачи топлива, ре гулировки состава смеси и системы зажигания, проверки за ЕВТНФЬЕВ пуска и работы ВРД-1 на различных высотах и скоростях. В се ми полетах исследовали пусковые качества и эффективность двигателей, определили потерю максимальной скорости при наличии и отсутствии обтекателей узлов подвески. До 16 ав густа 1942 г. на ЛаГГ-3 с ВРД-1 летал летчик-испытатель ка питан Мищенко, который совершил всего 14 полетов [39].</w:t>
      </w:r>
    </w:p>
    <w:p w14:paraId="31AB2B6A" w14:textId="77777777" w:rsidR="00D050CD" w:rsidRPr="00722885" w:rsidRDefault="00D050CD"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Прирост скорости по отношению к скорости полета с вык люченными ВРД-1 на высоте 1500 м составил 12...15 км/ч.</w:t>
      </w:r>
    </w:p>
    <w:p w14:paraId="0EAD3CA1" w14:textId="77777777" w:rsidR="00D050CD" w:rsidRPr="00722885" w:rsidRDefault="00D050CD" w:rsidP="00722885">
      <w:pPr>
        <w:pStyle w:val="ae"/>
        <w:shd w:val="clear" w:color="auto" w:fill="FFFFFF"/>
        <w:spacing w:before="0" w:after="0"/>
        <w:jc w:val="both"/>
        <w:rPr>
          <w:color w:val="000000" w:themeColor="text1"/>
          <w:sz w:val="16"/>
          <w:szCs w:val="16"/>
        </w:rPr>
      </w:pPr>
      <w:r w:rsidRPr="00722885">
        <w:rPr>
          <w:color w:val="000000" w:themeColor="text1"/>
          <w:sz w:val="16"/>
          <w:szCs w:val="16"/>
        </w:rPr>
        <w:t>Аэродинамическое сопротивление ВРД-1 с узлами подвески снижало скорость на 35...40 км/ч. Процесс горения в ВРД- стабилизировать не удалось. Расчетным путем было установ лено, что при полете ЛаГГ-3 № 31213173 с ПД М-105ПФ уве личение максимальной скорости от включенных ВРД-1 долж но было составить 23 км/ч на высоте 4000 м и 17 км/ч на вы соте 1500 м для нормального варианта. Для форсированного варианта 49 и 40 км/ч соответственно. Так как производитель ность бензонасоса БНК-10 была недостаточна, форсированный I вариант не стали проверять. По результатам летных испыта ний было сделано заключение, что необходимо форсировать работы по улучшению режима горения, запуску на большой высоте, автоматическому регулированию состава смеси и кон струированию рациональных форм подвески и ВРД, обеспечи вающих более органичную связь с самолетом (19686).</w:t>
      </w:r>
    </w:p>
    <w:p w14:paraId="26FBAC08" w14:textId="77777777" w:rsidR="00D050CD" w:rsidRPr="00722885" w:rsidRDefault="00D050CD" w:rsidP="00722885">
      <w:pPr>
        <w:pStyle w:val="ae"/>
        <w:shd w:val="clear" w:color="auto" w:fill="FFFFFF"/>
        <w:spacing w:before="0" w:after="0"/>
        <w:jc w:val="both"/>
        <w:rPr>
          <w:color w:val="000000" w:themeColor="text1"/>
          <w:sz w:val="16"/>
          <w:szCs w:val="16"/>
        </w:rPr>
      </w:pPr>
      <w:r w:rsidRPr="00722885">
        <w:rPr>
          <w:color w:val="000000" w:themeColor="text1"/>
          <w:sz w:val="16"/>
          <w:szCs w:val="16"/>
        </w:rPr>
        <w:t>Основные тактико-технические характеристики самолета ЛаГГ-3 с ПВРД ВРД-1 представлены в табл. 11 прил. 1.</w:t>
      </w:r>
    </w:p>
    <w:p w14:paraId="20036395" w14:textId="77777777" w:rsidR="00D050CD" w:rsidRPr="00722885" w:rsidRDefault="00D050CD" w:rsidP="00722885">
      <w:pPr>
        <w:pStyle w:val="ae"/>
        <w:shd w:val="clear" w:color="auto" w:fill="FFFFFF"/>
        <w:spacing w:before="0" w:after="0"/>
        <w:jc w:val="both"/>
        <w:rPr>
          <w:color w:val="000000" w:themeColor="text1"/>
          <w:sz w:val="16"/>
          <w:szCs w:val="16"/>
        </w:rPr>
      </w:pPr>
    </w:p>
    <w:p w14:paraId="3D10193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ГКО при</w:t>
      </w:r>
      <w:r w:rsidRPr="00722885">
        <w:rPr>
          <w:rFonts w:ascii="Times New Roman" w:hAnsi="Times New Roman"/>
          <w:color w:val="000000" w:themeColor="text1"/>
          <w:sz w:val="16"/>
          <w:szCs w:val="16"/>
        </w:rPr>
        <w:softHyphen/>
        <w:t>нял решение оставить в производ</w:t>
      </w:r>
      <w:r w:rsidRPr="00722885">
        <w:rPr>
          <w:rFonts w:ascii="Times New Roman" w:hAnsi="Times New Roman"/>
          <w:color w:val="000000" w:themeColor="text1"/>
          <w:sz w:val="16"/>
          <w:szCs w:val="16"/>
        </w:rPr>
        <w:softHyphen/>
        <w:t>стве на заводе №31 только самолет ЛаГГ-3, поэтому выпуск ЛаГГ-5 на нем быстро свернули. Взамен 31-го заво</w:t>
      </w:r>
      <w:r w:rsidRPr="00722885">
        <w:rPr>
          <w:rFonts w:ascii="Times New Roman" w:hAnsi="Times New Roman"/>
          <w:color w:val="000000" w:themeColor="text1"/>
          <w:sz w:val="16"/>
          <w:szCs w:val="16"/>
        </w:rPr>
        <w:softHyphen/>
        <w:t>да в том же августе к выпуску Ла-5 был подключен завод № 99 в Улан-Удэ, а в октябре 1942 года - завод №381 в Нижнем Тагиле, в 1943 году переведенный в Москву (10699).</w:t>
      </w:r>
    </w:p>
    <w:p w14:paraId="2DA3C41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EA5BAC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на заводе №19 были испытаны американские керамичес</w:t>
      </w:r>
      <w:r w:rsidRPr="00722885">
        <w:rPr>
          <w:rFonts w:ascii="Times New Roman" w:hAnsi="Times New Roman"/>
          <w:color w:val="000000" w:themeColor="text1"/>
          <w:sz w:val="16"/>
          <w:szCs w:val="16"/>
        </w:rPr>
        <w:softHyphen/>
        <w:t>кие свечи АС-15-85 при длительном испытании мотора М-82 на станке. После 12 часов работы (из них 9 ча</w:t>
      </w:r>
      <w:r w:rsidRPr="00722885">
        <w:rPr>
          <w:rFonts w:ascii="Times New Roman" w:hAnsi="Times New Roman"/>
          <w:color w:val="000000" w:themeColor="text1"/>
          <w:sz w:val="16"/>
          <w:szCs w:val="16"/>
        </w:rPr>
        <w:softHyphen/>
        <w:t>сов на режиме) была заменена одна свеча вследствие разрушения изо</w:t>
      </w:r>
      <w:r w:rsidRPr="00722885">
        <w:rPr>
          <w:rFonts w:ascii="Times New Roman" w:hAnsi="Times New Roman"/>
          <w:color w:val="000000" w:themeColor="text1"/>
          <w:sz w:val="16"/>
          <w:szCs w:val="16"/>
        </w:rPr>
        <w:softHyphen/>
        <w:t>лятора и 3 свечи вследствие прого</w:t>
      </w:r>
      <w:r w:rsidRPr="00722885">
        <w:rPr>
          <w:rFonts w:ascii="Times New Roman" w:hAnsi="Times New Roman"/>
          <w:color w:val="000000" w:themeColor="text1"/>
          <w:sz w:val="16"/>
          <w:szCs w:val="16"/>
        </w:rPr>
        <w:softHyphen/>
        <w:t>рания ввертной части корпуса в свеч</w:t>
      </w:r>
      <w:r w:rsidRPr="00722885">
        <w:rPr>
          <w:rFonts w:ascii="Times New Roman" w:hAnsi="Times New Roman"/>
          <w:color w:val="000000" w:themeColor="text1"/>
          <w:sz w:val="16"/>
          <w:szCs w:val="16"/>
        </w:rPr>
        <w:softHyphen/>
        <w:t>ной втулке цилиндра. После 32 ча</w:t>
      </w:r>
      <w:r w:rsidRPr="00722885">
        <w:rPr>
          <w:rFonts w:ascii="Times New Roman" w:hAnsi="Times New Roman"/>
          <w:color w:val="000000" w:themeColor="text1"/>
          <w:sz w:val="16"/>
          <w:szCs w:val="16"/>
        </w:rPr>
        <w:softHyphen/>
        <w:t>сов работы (из них 18 часов на ре</w:t>
      </w:r>
      <w:r w:rsidRPr="00722885">
        <w:rPr>
          <w:rFonts w:ascii="Times New Roman" w:hAnsi="Times New Roman"/>
          <w:color w:val="000000" w:themeColor="text1"/>
          <w:sz w:val="16"/>
          <w:szCs w:val="16"/>
        </w:rPr>
        <w:softHyphen/>
        <w:t>жиме) было заменено 4 свечи вслед</w:t>
      </w:r>
      <w:r w:rsidRPr="00722885">
        <w:rPr>
          <w:rFonts w:ascii="Times New Roman" w:hAnsi="Times New Roman"/>
          <w:color w:val="000000" w:themeColor="text1"/>
          <w:sz w:val="16"/>
          <w:szCs w:val="16"/>
        </w:rPr>
        <w:softHyphen/>
        <w:t>ствие пробоя изолятора сердечника и 2 свечи вследствие разрушения изолятора сердечника. В целом, ухудшение работы све</w:t>
      </w:r>
      <w:r w:rsidRPr="00722885">
        <w:rPr>
          <w:rFonts w:ascii="Times New Roman" w:hAnsi="Times New Roman"/>
          <w:color w:val="000000" w:themeColor="text1"/>
          <w:sz w:val="16"/>
          <w:szCs w:val="16"/>
        </w:rPr>
        <w:softHyphen/>
        <w:t>чей было связано с ростом мощнос</w:t>
      </w:r>
      <w:r w:rsidRPr="00722885">
        <w:rPr>
          <w:rFonts w:ascii="Times New Roman" w:hAnsi="Times New Roman"/>
          <w:color w:val="000000" w:themeColor="text1"/>
          <w:sz w:val="16"/>
          <w:szCs w:val="16"/>
        </w:rPr>
        <w:softHyphen/>
        <w:t>тей моторов и применением высоко</w:t>
      </w:r>
      <w:r w:rsidRPr="00722885">
        <w:rPr>
          <w:rFonts w:ascii="Times New Roman" w:hAnsi="Times New Roman"/>
          <w:color w:val="000000" w:themeColor="text1"/>
          <w:sz w:val="16"/>
          <w:szCs w:val="16"/>
        </w:rPr>
        <w:softHyphen/>
        <w:t>октанового топлива (повышением сте</w:t>
      </w:r>
      <w:r w:rsidRPr="00722885">
        <w:rPr>
          <w:rFonts w:ascii="Times New Roman" w:hAnsi="Times New Roman"/>
          <w:color w:val="000000" w:themeColor="text1"/>
          <w:sz w:val="16"/>
          <w:szCs w:val="16"/>
        </w:rPr>
        <w:softHyphen/>
        <w:t>пени сжатия) (10714).</w:t>
      </w:r>
    </w:p>
    <w:p w14:paraId="36FA849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391D879" w14:textId="77777777" w:rsidR="001A29E6" w:rsidRPr="00722885" w:rsidRDefault="001A29E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В августе 1942 г. А.С.Я. предложил проект модификации серийного Як-1б для завоевания господства в воздухе у земли. Официально он именовался Як-1М или Як-1МС, где литера М означала «москит». Но такой же войсковой индекс Як-1М имел и самолет И-30, что вызывало путаницу, и введенный в оборот Яковлевым термин хорошо пояснял суть нового самолета: в отличие от тяжелого пушечного И-30, это был истребитель с повышенными летными данными и облегченным вооружением — маленький, быстрый, больно жалящий и неуловимый. В нем все было подчинено улучшению скорости и маневра. Раз уж бой на установившихся (т. е. с постоянными радиусом и скоростью) виражах не позволяет «завалить» Bf 109G, если требуется переход к маневрам вертикальным и неустановившимся (с меняющимся ускорением), нет смысла сохранять низкую нагрузку на крыло и его площадь можно уменьшить. Это снизит массу и сопротивление не только крыла, но и оперения, которое тоже станет меньше. Крыло оставили деревянным, как и на Як-1б, но лонжероны, а также четыре силовые нервюры сделали дюралевыми — как на самолетах Як-9. Еще 10 кг экономии дал отказ от весовых балансиров на элеронах: аэродинамики гарантировали, что флаттер не наступит до скорости 700 км/ч. Крыло «Москита» получило удобные узлы стыка с фюзеляжем и разъем по оси самолета, благодаря этому самолет можно было разобрать для транспортировки не только по железной дороге, но и автотранспортом (габарит груза получался вдвое меньше) или заменить одну поврежденную консоль. Изменения в фюзеляже касались в основном размещения агрегатов силовой установки. Главное заключалось в том, что носовая часть стала чище — маслорадиатор из-под мотора убрали, взамен в корне крыла установили два новых, сэкономив еще 10 кг, водорадиатор (также новый) глубже вжали в фюзеляж, облагородив формы и уменьшив мидель, а охлаждение мотора даже улучшилось. Ферма каркаса и полотняная обшивка бортов остались без изменений. «Москит» не заменял Як-1б и Як-9, он предназначался для лучших частей ВВС для завоевания господства в воздухе на главных направлениях, считалось, что ему не нужна большая дальность, и из четырех баков в крыле </w:t>
      </w:r>
      <w:r w:rsidRPr="00722885">
        <w:rPr>
          <w:rFonts w:ascii="Times New Roman" w:hAnsi="Times New Roman"/>
          <w:color w:val="0070C0"/>
          <w:sz w:val="16"/>
          <w:szCs w:val="16"/>
        </w:rPr>
        <w:lastRenderedPageBreak/>
        <w:t>оставили два плюс малый расходный. Оборудование было таким же, как и на Як-1б, вооружение составили мотор-пушка ШВАК-20 и синхронный пулемет УБ-12,7 с простейшим кольцевым прицелом. Традиционный граненый козырек кабины заменили округлым, формованным из одного листа плексигласа. Это снизило его аэродинамическое сопротивление, но не позволяло поставить лобовое бронестекло. Летчика защищала обрезанная по плечи плоская бронеспинка и заднее бронестекло, протектор закрывал только крыльевые баки снизу и с боков. Систему нейтрального газа сняли. Считалось, что рост летных данных с лихвой окупит такое снижение защищенности и живучести. Все это, а также перевод части стальных и деревянных деталей на дюраль, позволили снизить взлетный вес на 280 кг, но, для того чтобы получить заданный прирост летных данных, требовалось еще и улучшить энергетику самолета (22751).</w:t>
      </w:r>
    </w:p>
    <w:p w14:paraId="1D2A887B" w14:textId="77777777" w:rsidR="001A29E6" w:rsidRPr="00722885" w:rsidRDefault="001A29E6" w:rsidP="00722885">
      <w:pPr>
        <w:spacing w:after="0" w:line="240" w:lineRule="auto"/>
        <w:jc w:val="both"/>
        <w:rPr>
          <w:rFonts w:ascii="Times New Roman" w:hAnsi="Times New Roman"/>
          <w:color w:val="0070C0"/>
          <w:sz w:val="16"/>
          <w:szCs w:val="16"/>
        </w:rPr>
      </w:pPr>
    </w:p>
    <w:p w14:paraId="43BE304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 советские боевые потери превысили тысячу самолетов, из которых более двухсот составляли Як-1 и Як-7 (4537).</w:t>
      </w:r>
    </w:p>
    <w:p w14:paraId="72502628" w14:textId="77777777" w:rsidR="00AE7191" w:rsidRPr="00722885" w:rsidRDefault="00AE7191" w:rsidP="00722885">
      <w:pPr>
        <w:pStyle w:val="Iauiue"/>
        <w:jc w:val="both"/>
        <w:rPr>
          <w:color w:val="000000" w:themeColor="text1"/>
          <w:sz w:val="16"/>
          <w:szCs w:val="16"/>
        </w:rPr>
      </w:pPr>
    </w:p>
    <w:p w14:paraId="07D4B6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были сделаны первые прикидки и эскизы по Як-3 вскоре после появления Bf 109G-2 (1059,15).</w:t>
      </w:r>
    </w:p>
    <w:p w14:paraId="065B011B" w14:textId="77777777" w:rsidR="00AE7191" w:rsidRPr="00722885" w:rsidRDefault="00AE7191" w:rsidP="00722885">
      <w:pPr>
        <w:pStyle w:val="Iauiue"/>
        <w:jc w:val="both"/>
        <w:rPr>
          <w:color w:val="000000" w:themeColor="text1"/>
          <w:sz w:val="16"/>
          <w:szCs w:val="16"/>
        </w:rPr>
      </w:pPr>
    </w:p>
    <w:p w14:paraId="6C460D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был готов Як-7ПД с М-105ПД (1046,37) и, по видимому, начались заводские испытания, которые шли до сентября 1942 (1046,37).</w:t>
      </w:r>
    </w:p>
    <w:p w14:paraId="567BE7ED" w14:textId="77777777" w:rsidR="00AE7191" w:rsidRPr="00722885" w:rsidRDefault="00AE7191" w:rsidP="00722885">
      <w:pPr>
        <w:pStyle w:val="Iauiue"/>
        <w:jc w:val="both"/>
        <w:rPr>
          <w:color w:val="000000" w:themeColor="text1"/>
          <w:sz w:val="16"/>
          <w:szCs w:val="16"/>
        </w:rPr>
      </w:pPr>
    </w:p>
    <w:p w14:paraId="6A7D570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августа 1942 по декабрь 1943 153 завод производил Як-7Б с М-105ПФ (65,90).</w:t>
      </w:r>
    </w:p>
    <w:p w14:paraId="6580588B" w14:textId="77777777" w:rsidR="00AE7191" w:rsidRPr="00722885" w:rsidRDefault="00AE7191" w:rsidP="00722885">
      <w:pPr>
        <w:pStyle w:val="Iauiue"/>
        <w:jc w:val="both"/>
        <w:rPr>
          <w:color w:val="000000" w:themeColor="text1"/>
          <w:sz w:val="16"/>
          <w:szCs w:val="16"/>
        </w:rPr>
      </w:pPr>
    </w:p>
    <w:p w14:paraId="07D1C4C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Як-7-37 был выпущен малой серией (22 самолета). Эти машины прошли войсковые испытания на Северном фронте в 42-м истребительном авиаполку 240-й истребительной авиадиви</w:t>
      </w:r>
      <w:r w:rsidRPr="00722885">
        <w:rPr>
          <w:rFonts w:ascii="Times New Roman" w:hAnsi="Times New Roman"/>
          <w:color w:val="000000" w:themeColor="text1"/>
          <w:sz w:val="16"/>
          <w:szCs w:val="16"/>
        </w:rPr>
        <w:softHyphen/>
        <w:t>зии и хорошо проявили себя в воздушных боях. На Як-7-37 было проведено 12 групповых боев при примерно равном соотношении сил. Сбито 10 самолетов противника, из них: Ме-109 — 8, РМ-190 — 1, Не-129 — 1. Подбито два Ме-109. Свои потери: сбито четыре самолета, повреждено три (10695).</w:t>
      </w:r>
    </w:p>
    <w:p w14:paraId="15760E6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6D1394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выпустили малую серию из 22 Як-7-37 с М-105ПА без предкрылков и провели их войсковые испытания на Северном фронте в 42 иап 240 иад. Провели 12 групповых боев и сбили 10 (65,94).</w:t>
      </w:r>
    </w:p>
    <w:p w14:paraId="2321DD9B" w14:textId="77777777" w:rsidR="00AE7191" w:rsidRPr="00722885" w:rsidRDefault="00AE7191" w:rsidP="00722885">
      <w:pPr>
        <w:pStyle w:val="Iauiue"/>
        <w:jc w:val="both"/>
        <w:rPr>
          <w:color w:val="000000" w:themeColor="text1"/>
          <w:sz w:val="16"/>
          <w:szCs w:val="16"/>
        </w:rPr>
      </w:pPr>
    </w:p>
    <w:p w14:paraId="653F44DE" w14:textId="77777777" w:rsidR="007D7196" w:rsidRPr="00722885" w:rsidRDefault="007D7196"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ав</w:t>
      </w:r>
      <w:r w:rsidRPr="00722885">
        <w:rPr>
          <w:rFonts w:ascii="Times New Roman" w:cs="Times New Roman"/>
          <w:color w:val="000000" w:themeColor="text1"/>
          <w:spacing w:val="0"/>
        </w:rPr>
        <w:softHyphen/>
        <w:t>густе 1942, согласно отчету ЛИИ НКАП, начались работы по доводке ТИС по пе</w:t>
      </w:r>
      <w:r w:rsidRPr="00722885">
        <w:rPr>
          <w:rFonts w:ascii="Times New Roman" w:cs="Times New Roman"/>
          <w:color w:val="000000" w:themeColor="text1"/>
          <w:spacing w:val="0"/>
        </w:rPr>
        <w:softHyphen/>
        <w:t>речню недостатков и дефектов.</w:t>
      </w:r>
    </w:p>
    <w:p w14:paraId="4741F661" w14:textId="77777777" w:rsidR="007D7196" w:rsidRPr="00722885" w:rsidRDefault="007D7196"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Для улучшения устойчивости на са</w:t>
      </w:r>
      <w:r w:rsidRPr="00722885">
        <w:rPr>
          <w:rFonts w:ascii="Times New Roman" w:cs="Times New Roman"/>
          <w:color w:val="000000" w:themeColor="text1"/>
          <w:spacing w:val="0"/>
        </w:rPr>
        <w:softHyphen/>
        <w:t>молет были установлены новое верти</w:t>
      </w:r>
      <w:r w:rsidRPr="00722885">
        <w:rPr>
          <w:rFonts w:ascii="Times New Roman" w:cs="Times New Roman"/>
          <w:color w:val="000000" w:themeColor="text1"/>
          <w:spacing w:val="0"/>
        </w:rPr>
        <w:softHyphen/>
        <w:t xml:space="preserve">кальное и горизонтальное оперение с увеличенной площадью и уменьшено (с </w:t>
      </w:r>
      <w:r w:rsidRPr="00722885">
        <w:rPr>
          <w:rStyle w:val="0pt2"/>
          <w:rFonts w:ascii="Times New Roman" w:hAnsi="Times New Roman" w:cs="Times New Roman"/>
          <w:i w:val="0"/>
          <w:color w:val="000000" w:themeColor="text1"/>
          <w:spacing w:val="0"/>
          <w:sz w:val="16"/>
          <w:szCs w:val="16"/>
        </w:rPr>
        <w:t>Т</w:t>
      </w:r>
      <w:r w:rsidRPr="00722885">
        <w:rPr>
          <w:rFonts w:ascii="Times New Roman" w:cs="Times New Roman"/>
          <w:color w:val="000000" w:themeColor="text1"/>
          <w:spacing w:val="0"/>
        </w:rPr>
        <w:t xml:space="preserve"> до 4°) поперечное «V» консолей крыла. Изменили угол установки стабилизато</w:t>
      </w:r>
      <w:r w:rsidRPr="00722885">
        <w:rPr>
          <w:rFonts w:ascii="Times New Roman" w:cs="Times New Roman"/>
          <w:color w:val="000000" w:themeColor="text1"/>
          <w:spacing w:val="0"/>
        </w:rPr>
        <w:softHyphen/>
        <w:t>ра с 0" до – 1,30', что увеличило запас ру</w:t>
      </w:r>
      <w:r w:rsidRPr="00722885">
        <w:rPr>
          <w:rFonts w:ascii="Times New Roman" w:cs="Times New Roman"/>
          <w:color w:val="000000" w:themeColor="text1"/>
          <w:spacing w:val="0"/>
        </w:rPr>
        <w:softHyphen/>
        <w:t>лей на посадке. Переделали механизм управления створками шасси, улучши</w:t>
      </w:r>
      <w:r w:rsidRPr="00722885">
        <w:rPr>
          <w:rFonts w:ascii="Times New Roman" w:cs="Times New Roman"/>
          <w:color w:val="000000" w:themeColor="text1"/>
          <w:spacing w:val="0"/>
        </w:rPr>
        <w:softHyphen/>
        <w:t>ли обводы фонаря стрелка-радиста, из</w:t>
      </w:r>
      <w:r w:rsidRPr="00722885">
        <w:rPr>
          <w:rFonts w:ascii="Times New Roman" w:cs="Times New Roman"/>
          <w:color w:val="000000" w:themeColor="text1"/>
          <w:spacing w:val="0"/>
        </w:rPr>
        <w:softHyphen/>
        <w:t>менили форму тоннелей маслорадиаторов. Были выполнены и другие менее значительные доработки самолета (15755).</w:t>
      </w:r>
    </w:p>
    <w:p w14:paraId="4895B922" w14:textId="77777777" w:rsidR="007D7196" w:rsidRPr="00722885" w:rsidRDefault="007D7196" w:rsidP="00722885">
      <w:pPr>
        <w:spacing w:after="0" w:line="240" w:lineRule="auto"/>
        <w:jc w:val="both"/>
        <w:rPr>
          <w:rFonts w:ascii="Times New Roman" w:hAnsi="Times New Roman"/>
          <w:color w:val="000000" w:themeColor="text1"/>
          <w:sz w:val="16"/>
          <w:szCs w:val="16"/>
        </w:rPr>
      </w:pPr>
    </w:p>
    <w:p w14:paraId="32EC3BA6" w14:textId="77777777" w:rsidR="00D050CD" w:rsidRPr="00722885" w:rsidRDefault="00D050C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Г. М. Бериев направил в НКАП пояснительную записку к эскизному проекту морского разведчика открытого моря, в котором были заложены идеи, воплощенные позже в летающих лодках Бе-6 и Бе-12. Предложение одобрил нарком ВМФ, затем вышел соответствующий приказ НКАП. В 1943 г. КБ находилось в эвакуации в Красноярске, никаких лабораторий на месте не было, связь с гидродинамиками ЦАГИ осложнилась, но эскизный проект самолета ЛЛ-143 все же удалось закончить к концу года, в апреле 1944 г. началось строительство опытного экземпляра. В том же году начались исследования в ЦАГИ. В процессе работ было выявлено влияние горизонтальной скорости, угла дифферента, нагрузки и формы профиля на перегрузке при ударе профиля днища гидросамолета о воду, выведена эмпирическая формула расчета перегрузок плоскокилеватого профиля при падении на воду под некоторым углом дифферента с горизонтальной и вертикальной скоростью. Для самолета ЛЛ-143 ЦАГИ разработал обводы лодки, имеющие гидродинамическое качество 5.42 на критической скорости при поперечной килеватости 30°, что значительно уменьшало удар о воду при посадке. Обводы ЛЛ-143 также обеспечивали незаливаемость водой винтов, оперения и стрелковых установок. 15 августа 1945 г. начались заводские испытания самолета (19727).</w:t>
      </w:r>
    </w:p>
    <w:p w14:paraId="2BB9112B" w14:textId="77777777" w:rsidR="00D050CD" w:rsidRPr="00722885" w:rsidRDefault="00D050CD" w:rsidP="00722885">
      <w:pPr>
        <w:spacing w:after="0" w:line="240" w:lineRule="auto"/>
        <w:jc w:val="both"/>
        <w:rPr>
          <w:rFonts w:ascii="Times New Roman" w:hAnsi="Times New Roman"/>
          <w:color w:val="000000" w:themeColor="text1"/>
          <w:sz w:val="16"/>
          <w:szCs w:val="16"/>
        </w:rPr>
      </w:pPr>
    </w:p>
    <w:p w14:paraId="75D46B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В.Я.Климов совместно с НКАП собирал конференцию по качеству М-105 (173,221).</w:t>
      </w:r>
    </w:p>
    <w:p w14:paraId="712CCEE9" w14:textId="77777777" w:rsidR="00AE7191" w:rsidRPr="00722885" w:rsidRDefault="00AE7191" w:rsidP="00722885">
      <w:pPr>
        <w:pStyle w:val="Iauiue"/>
        <w:jc w:val="both"/>
        <w:rPr>
          <w:color w:val="000000" w:themeColor="text1"/>
          <w:sz w:val="16"/>
          <w:szCs w:val="16"/>
        </w:rPr>
      </w:pPr>
    </w:p>
    <w:p w14:paraId="5F0AB0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До августа 1942 года, когда был освоен выпуск более мощных двигателей ВК-105 ПФ, которые изготовлялись в течение всего периода ВОВ, заводом № 466 в Горьком выпускались двигатели ВК-105 РА.</w:t>
      </w:r>
    </w:p>
    <w:p w14:paraId="382272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До конца 1941 года директором завода был Завитаев А.А., с конца 1941 года по августа 1942 года – Петров А.П., с августа 1942 года – И.Н. Лукин.</w:t>
      </w:r>
    </w:p>
    <w:p w14:paraId="1C99DF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сентября 1945 года по решению Правительства завод был перебазирован в Ленинград на площади бывш. завода № 274.</w:t>
      </w:r>
    </w:p>
    <w:p w14:paraId="5631A5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1947 году решением Правиетельства из состава завода был выделен опытный завод № 117, созданный на базе производственных корпусов и ОКБ на площадке по Флюгову (Кантемировскому) переулку.</w:t>
      </w:r>
    </w:p>
    <w:p w14:paraId="49A7F89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Ленинград 100, п/я 476</w:t>
      </w:r>
    </w:p>
    <w:p w14:paraId="4BF9B7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июля 1950 года – директор Кондратов С.Г.</w:t>
      </w:r>
    </w:p>
    <w:p w14:paraId="4607CE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февраля 1956 года – директор Тарасов В.И. (9618).</w:t>
      </w:r>
    </w:p>
    <w:p w14:paraId="34907520" w14:textId="77777777" w:rsidR="00AE7191" w:rsidRPr="00722885" w:rsidRDefault="00AE7191" w:rsidP="00722885">
      <w:pPr>
        <w:pStyle w:val="Iauiue"/>
        <w:jc w:val="both"/>
        <w:rPr>
          <w:color w:val="000000" w:themeColor="text1"/>
          <w:sz w:val="16"/>
          <w:szCs w:val="16"/>
        </w:rPr>
      </w:pPr>
    </w:p>
    <w:p w14:paraId="24EA21E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окончательно рухнула надежда на окончание доводки более мощного мотора М-107. Конст</w:t>
      </w:r>
      <w:r w:rsidRPr="00722885">
        <w:rPr>
          <w:rFonts w:ascii="Times New Roman" w:hAnsi="Times New Roman"/>
          <w:color w:val="000000" w:themeColor="text1"/>
          <w:sz w:val="16"/>
          <w:szCs w:val="16"/>
        </w:rPr>
        <w:softHyphen/>
        <w:t>руктору В.Я. Климову не поздорови</w:t>
      </w:r>
      <w:r w:rsidRPr="00722885">
        <w:rPr>
          <w:rFonts w:ascii="Times New Roman" w:hAnsi="Times New Roman"/>
          <w:color w:val="000000" w:themeColor="text1"/>
          <w:sz w:val="16"/>
          <w:szCs w:val="16"/>
        </w:rPr>
        <w:softHyphen/>
        <w:t>лось бы, но спасло его то, что он по</w:t>
      </w:r>
      <w:r w:rsidRPr="00722885">
        <w:rPr>
          <w:rFonts w:ascii="Times New Roman" w:hAnsi="Times New Roman"/>
          <w:color w:val="000000" w:themeColor="text1"/>
          <w:sz w:val="16"/>
          <w:szCs w:val="16"/>
        </w:rPr>
        <w:softHyphen/>
        <w:t>обещал Сталину быстро создать но</w:t>
      </w:r>
      <w:r w:rsidRPr="00722885">
        <w:rPr>
          <w:rFonts w:ascii="Times New Roman" w:hAnsi="Times New Roman"/>
          <w:color w:val="000000" w:themeColor="text1"/>
          <w:sz w:val="16"/>
          <w:szCs w:val="16"/>
        </w:rPr>
        <w:softHyphen/>
        <w:t>вый, еще более мощный мотор, полу</w:t>
      </w:r>
      <w:r w:rsidRPr="00722885">
        <w:rPr>
          <w:rFonts w:ascii="Times New Roman" w:hAnsi="Times New Roman"/>
          <w:color w:val="000000" w:themeColor="text1"/>
          <w:sz w:val="16"/>
          <w:szCs w:val="16"/>
        </w:rPr>
        <w:softHyphen/>
        <w:t>чивший обозначение М-107А. Теперь надежды на повышение летных дан</w:t>
      </w:r>
      <w:r w:rsidRPr="00722885">
        <w:rPr>
          <w:rFonts w:ascii="Times New Roman" w:hAnsi="Times New Roman"/>
          <w:color w:val="000000" w:themeColor="text1"/>
          <w:sz w:val="16"/>
          <w:szCs w:val="16"/>
        </w:rPr>
        <w:softHyphen/>
        <w:t>ных самых многочисленных в ВВС КА истребителей Як всецело зависели от успеха создания этого мотора. Но пос</w:t>
      </w:r>
      <w:r w:rsidRPr="00722885">
        <w:rPr>
          <w:rFonts w:ascii="Times New Roman" w:hAnsi="Times New Roman"/>
          <w:color w:val="000000" w:themeColor="text1"/>
          <w:sz w:val="16"/>
          <w:szCs w:val="16"/>
        </w:rPr>
        <w:softHyphen/>
        <w:t>ле неудачи с М-107 у руководства НКАП и ВВС на этот счет имелись очевидные опасения (10705).</w:t>
      </w:r>
    </w:p>
    <w:p w14:paraId="45231CC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6F145FF9" w14:textId="77777777" w:rsidR="00712B02" w:rsidRPr="00722885" w:rsidRDefault="00712B0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августе 1942 г. зам наркома Яковлев, хотя "эталонный" И-185 все еще содержал много дефектов предложил провести его войсковые испытания в самое ближайшее время. И его предложение Наркоматом авиапромышленности и командованием ВВС было принято (17737).</w:t>
      </w:r>
    </w:p>
    <w:p w14:paraId="7BB2D78D" w14:textId="77777777" w:rsidR="00712B02" w:rsidRPr="00722885" w:rsidRDefault="00712B02" w:rsidP="00722885">
      <w:pPr>
        <w:spacing w:after="0" w:line="240" w:lineRule="auto"/>
        <w:jc w:val="both"/>
        <w:rPr>
          <w:rFonts w:ascii="Times New Roman" w:eastAsia="Times New Roman" w:hAnsi="Times New Roman"/>
          <w:color w:val="000000" w:themeColor="text1"/>
          <w:sz w:val="16"/>
          <w:szCs w:val="16"/>
          <w:lang w:eastAsia="ru-RU"/>
        </w:rPr>
      </w:pPr>
    </w:p>
    <w:p w14:paraId="1704456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Г.М.Б. разработал лл МДР-10 и направил его эскизный проект в НКАП (2555,223).</w:t>
      </w:r>
    </w:p>
    <w:p w14:paraId="19E7E3D4" w14:textId="77777777" w:rsidR="00AE7191" w:rsidRPr="00722885" w:rsidRDefault="00AE7191" w:rsidP="00722885">
      <w:pPr>
        <w:pStyle w:val="Iauiue"/>
        <w:jc w:val="both"/>
        <w:rPr>
          <w:color w:val="000000" w:themeColor="text1"/>
          <w:sz w:val="16"/>
          <w:szCs w:val="16"/>
        </w:rPr>
      </w:pPr>
    </w:p>
    <w:p w14:paraId="701BFA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 КБ Г.М.Б. сделали эскизный проект МДР-10 - будущего ЛЛ-143 (1049,131).</w:t>
      </w:r>
    </w:p>
    <w:p w14:paraId="7C5A93F3" w14:textId="77777777" w:rsidR="00AE7191" w:rsidRPr="00722885" w:rsidRDefault="00AE7191" w:rsidP="00722885">
      <w:pPr>
        <w:pStyle w:val="Iauiue"/>
        <w:jc w:val="both"/>
        <w:rPr>
          <w:color w:val="000000" w:themeColor="text1"/>
          <w:sz w:val="16"/>
          <w:szCs w:val="16"/>
        </w:rPr>
      </w:pPr>
    </w:p>
    <w:p w14:paraId="39EAC33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прошел совместные испытания М-90 (2080 нр) и на его базе хотели сделать трехрядный М-95 на 3300 нр. Тем не менее гос. испытания прекратили, когда мотор уже несколько раз отрабатывал по 100 час. На этом закончилась линия М-85 и М-88 (2495,37).</w:t>
      </w:r>
    </w:p>
    <w:p w14:paraId="7E510600" w14:textId="77777777" w:rsidR="00AE7191" w:rsidRPr="00722885" w:rsidRDefault="00AE7191" w:rsidP="00722885">
      <w:pPr>
        <w:pStyle w:val="Iauiue"/>
        <w:jc w:val="both"/>
        <w:rPr>
          <w:color w:val="000000" w:themeColor="text1"/>
          <w:sz w:val="16"/>
          <w:szCs w:val="16"/>
        </w:rPr>
      </w:pPr>
    </w:p>
    <w:p w14:paraId="05601E19"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В августе 1942 г. на самолете Су-4 были проведены летные испытания мотора М-90. Однако, из-за трудностей, обусловленных военным временем, работы по доводке М-90 были прекращены, а мотор М-89 был выпущен малой партией в количестве немногим более 100 шт. В условиях войны основной задачей конструкторов завода стало обеспечение бесперебойного производства моторов М-88Б (для бомбардировщиков Ил-4 и торпедоносцев Ил-4Т), а также высокой надежности их эксплуатации. Поэтому существенно возросла роль серийного конструкторского бюро и в связи с этим А.Г. Ивченко, сменивший в 1942 г. на должности начальника СКБ погибшего в авиакатастрофе Г.П. Водолажского, был назначен также заместителем главного конструктора по серийному производству (11478).</w:t>
      </w:r>
    </w:p>
    <w:p w14:paraId="536F4E5E" w14:textId="77777777" w:rsidR="00AE7191" w:rsidRPr="00722885" w:rsidRDefault="00AE7191" w:rsidP="00722885">
      <w:pPr>
        <w:pStyle w:val="afff2"/>
        <w:jc w:val="both"/>
        <w:rPr>
          <w:i w:val="0"/>
          <w:iCs w:val="0"/>
          <w:color w:val="000000" w:themeColor="text1"/>
          <w:spacing w:val="0"/>
          <w:kern w:val="0"/>
          <w:position w:val="0"/>
          <w:sz w:val="16"/>
          <w:szCs w:val="16"/>
        </w:rPr>
      </w:pPr>
    </w:p>
    <w:p w14:paraId="70321030" w14:textId="77777777" w:rsidR="006D74F7" w:rsidRPr="00722885" w:rsidRDefault="006D74F7"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августе 1942 состоялись государственные испытания ТС-1. Ведущим летчиком-испытателем на них был А. К. Долгов. Завершились они в целом успешно. Ему было присвоено официальное название Ще-2. Самолет после некоторых доработок был запущен в серийное производство на заводе № 47 в городе Чкалов (Оренбург). Ранее там выпускался другой легкий транспортник Як-6. После прекращения его производства, завод был без особых трудностей перепрофилирован на выпуск нового самолета.</w:t>
      </w:r>
    </w:p>
    <w:p w14:paraId="4BA3F50D" w14:textId="77777777" w:rsidR="006D74F7" w:rsidRPr="00722885" w:rsidRDefault="006D74F7"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В целом машина удовлетворяла требованиям, которые военные предъявляли к военно-транспортным машинам средней грузоподъемности для решения насущных задач фронта и тыла (19837).</w:t>
      </w:r>
    </w:p>
    <w:p w14:paraId="6BFCD80D" w14:textId="77777777" w:rsidR="006D74F7" w:rsidRPr="00722885" w:rsidRDefault="006D74F7" w:rsidP="00722885">
      <w:pPr>
        <w:pStyle w:val="article-renderblock"/>
        <w:shd w:val="clear" w:color="auto" w:fill="FFFFFF"/>
        <w:spacing w:before="0" w:beforeAutospacing="0" w:after="0" w:afterAutospacing="0"/>
        <w:jc w:val="both"/>
        <w:rPr>
          <w:color w:val="0070C0"/>
          <w:sz w:val="16"/>
          <w:szCs w:val="16"/>
        </w:rPr>
      </w:pPr>
    </w:p>
    <w:p w14:paraId="701E49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 НИИ ВВС проходили испытания Д-А-1-1100 с числом пусков до 300 (2928,12).</w:t>
      </w:r>
    </w:p>
    <w:p w14:paraId="54EB6705" w14:textId="77777777" w:rsidR="00AE7191" w:rsidRPr="00722885" w:rsidRDefault="00AE7191" w:rsidP="00722885">
      <w:pPr>
        <w:pStyle w:val="Iauiue"/>
        <w:jc w:val="both"/>
        <w:rPr>
          <w:color w:val="000000" w:themeColor="text1"/>
          <w:sz w:val="16"/>
          <w:szCs w:val="16"/>
        </w:rPr>
      </w:pPr>
    </w:p>
    <w:p w14:paraId="65DC12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В.К.Грибовский предложил проект Г-11 с двумя М-11Ф, которые устанавливали на центроплане. Реализован не был из-за снятия Г-11 с производства (94,111).</w:t>
      </w:r>
    </w:p>
    <w:p w14:paraId="46CD9A22" w14:textId="77777777" w:rsidR="00AE7191" w:rsidRPr="00722885" w:rsidRDefault="00AE7191" w:rsidP="00722885">
      <w:pPr>
        <w:pStyle w:val="Iauiue"/>
        <w:jc w:val="both"/>
        <w:rPr>
          <w:color w:val="000000" w:themeColor="text1"/>
          <w:sz w:val="16"/>
          <w:szCs w:val="16"/>
        </w:rPr>
      </w:pPr>
    </w:p>
    <w:p w14:paraId="589ED4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В августе 1942 года в НИПАВ прошел испытания "Бостон" с переоборудованным бомбардировочном вооружением. Предписанные американцами нормативы но </w:t>
      </w:r>
      <w:r w:rsidRPr="00722885">
        <w:rPr>
          <w:color w:val="000000" w:themeColor="text1"/>
          <w:sz w:val="16"/>
          <w:szCs w:val="16"/>
        </w:rPr>
        <w:lastRenderedPageBreak/>
        <w:t>нагрузке у нас сочли заниженными. Лимитировалась она не столько тяговооруженностью самолета, сколько количеством точек подвески бомб, хотя, рост нагрузки ограничивался, конечно, также длиной разбега на взлете и возможностями шасси, слабоватого для старта с большим весом с травяной площадки. Начали с переделки бомбодержателей прямо в полках. В 221-й дивизии старший инженер Д. И. Степанов создал свой вариант, увеличивавший возможности машины раза в полтора. Примерно одновременно с этим на заводе № 43 предложили схему переделки, впоследствии ставшую широко распространенной. Первоначально па DB-7B стояли четыре внутрифюзеляжных бомбодержателя, рассчитанных на бомбы до 230 кг (на практике - до 250 кг). Но если брали бомбы меньшего калибра, то загрузка резко уменьшалась, поскольку количество бомб оставалось неизменным. А для каждой боевой задачи выгодна своя комбинация калибров. Теперь же в переднем и заднем бомбоотсеках самолета поставили по кассете КД-2-439 под четыре ФАБ-100 каждая. Одновременно смонтировали советский бомбосбрасыватель ЭСБР 3П и прицелы ОПБ-1 и НКПБ-4, заменившие примитивный Вимперис D-8, ставившийся на экспортные машины (для армии США бомбардировщики комплектовали высокоточным "Норденом") (3457,102).</w:t>
      </w:r>
    </w:p>
    <w:p w14:paraId="60381968" w14:textId="77777777" w:rsidR="00AE7191" w:rsidRPr="00722885" w:rsidRDefault="00AE7191" w:rsidP="00722885">
      <w:pPr>
        <w:pStyle w:val="Iauiue"/>
        <w:jc w:val="both"/>
        <w:rPr>
          <w:color w:val="000000" w:themeColor="text1"/>
          <w:sz w:val="16"/>
          <w:szCs w:val="16"/>
        </w:rPr>
      </w:pPr>
    </w:p>
    <w:p w14:paraId="63338B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года три "Мустанга" направили для войсковых испытаний в 3-ю воздушную армию, на Калининский фронт. Сначала большую часть полученных самолетов этого типа направили в 6-ю запасную бригаду полковника Шумова, где они служили для учебных целей. Например, летом 1942 года в процессе подготовки личного состава 1-й перегоночной дивизии, который надо было познакомить с особенностями американской авиатехники, использовали пять "Мустангов". Три истребителя эксплуатировались в бригаде довольно долго. Они базировались на аэродроме в Иванове. Из Иванова их отправили 22 августа. Две машины попали в 5-й гвардейский истребительный полк, вооруженный ЛаГТ-3. Летал на американских самолетах в основном командир полка дважды Герой Советского Союза В.А.Зайцев, но попробовали эти машины также летчики Попков (впоследствии тоже дважды Герой) и Онуфриенко. По воспоминаниям Попкова, впечатление от американских истребителей было резко отрицательным. Хотя машина и отличалась высокой скоростью, но была "тяжела, как утюг". Маневренность ее оставляла желать много лучшего. Не понравился и затянутый взлет. Ни одного боевого вылета на "Мустангах" не сделали. Вскоре на обоих истребителях повредили винты и, за неимением запасных, самолеты сдали назад. Один "Мустанг" достался учебному полку Военно-воздушной академии им. Жуковского. Он эксплуатировался еще в 1946 году, а потом служил как экспонат. Еще одна машина находилась в экспозиции Бюро новой техники ЦАГИ (3457,87).</w:t>
      </w:r>
    </w:p>
    <w:p w14:paraId="4B8D4CC2" w14:textId="77777777" w:rsidR="00AE7191" w:rsidRPr="00722885" w:rsidRDefault="00AE7191" w:rsidP="00722885">
      <w:pPr>
        <w:pStyle w:val="Iauiue"/>
        <w:jc w:val="both"/>
        <w:rPr>
          <w:color w:val="000000" w:themeColor="text1"/>
          <w:sz w:val="16"/>
          <w:szCs w:val="16"/>
        </w:rPr>
      </w:pPr>
    </w:p>
    <w:p w14:paraId="29CFEFD8" w14:textId="77777777" w:rsidR="00D80B8A" w:rsidRPr="00722885" w:rsidRDefault="00D80B8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августа 1942 года на все самолеты ЛАГТ-3 и ЛАГГ-5 начали устанавливать радиоприемники РСИ-4, на каждый третий - радиостанцию, на каждый пятый - радиополукомпас РПК-Ю; остальные оборудовались под возможную установку радиополукомпасов (21100).</w:t>
      </w:r>
    </w:p>
    <w:p w14:paraId="29310A69" w14:textId="77777777" w:rsidR="00D80B8A" w:rsidRPr="00722885" w:rsidRDefault="00D80B8A" w:rsidP="00722885">
      <w:pPr>
        <w:spacing w:after="0" w:line="240" w:lineRule="auto"/>
        <w:jc w:val="both"/>
        <w:rPr>
          <w:rFonts w:ascii="Times New Roman" w:hAnsi="Times New Roman"/>
          <w:color w:val="0070C0"/>
          <w:sz w:val="16"/>
          <w:szCs w:val="16"/>
        </w:rPr>
      </w:pPr>
    </w:p>
    <w:p w14:paraId="08567281" w14:textId="77777777" w:rsidR="001A29E6" w:rsidRPr="00722885" w:rsidRDefault="001A29E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В августе 1942 г. с фронта стали поступать сообщения о применении противником истребителей новой модификации. На самом деле первые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 xml:space="preserve"> появились там еще в начале июля. Воздушные бои быстро показали преимущества этих машин, особенно на высотах до 3000 м. 27 августа 1942 г. на Сталинградском фронте у второй линии советских окопов сел подбитый немецкий истребитель. Это оказался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 xml:space="preserve">-2 с мотором </w:t>
      </w:r>
      <w:r w:rsidRPr="00722885">
        <w:rPr>
          <w:rFonts w:ascii="Times New Roman" w:hAnsi="Times New Roman"/>
          <w:color w:val="0070C0"/>
          <w:sz w:val="16"/>
          <w:szCs w:val="16"/>
          <w:lang w:val="en-US"/>
        </w:rPr>
        <w:t>DB</w:t>
      </w:r>
      <w:r w:rsidRPr="00722885">
        <w:rPr>
          <w:rFonts w:ascii="Times New Roman" w:hAnsi="Times New Roman"/>
          <w:color w:val="0070C0"/>
          <w:sz w:val="16"/>
          <w:szCs w:val="16"/>
        </w:rPr>
        <w:t xml:space="preserve"> 605</w:t>
      </w:r>
      <w:r w:rsidRPr="00722885">
        <w:rPr>
          <w:rFonts w:ascii="Times New Roman" w:hAnsi="Times New Roman"/>
          <w:color w:val="0070C0"/>
          <w:sz w:val="16"/>
          <w:szCs w:val="16"/>
          <w:lang w:val="en-US"/>
        </w:rPr>
        <w:t>A</w:t>
      </w:r>
      <w:r w:rsidRPr="00722885">
        <w:rPr>
          <w:rFonts w:ascii="Times New Roman" w:hAnsi="Times New Roman"/>
          <w:color w:val="0070C0"/>
          <w:sz w:val="16"/>
          <w:szCs w:val="16"/>
        </w:rPr>
        <w:t xml:space="preserve">. Пилота обер-лейтенанта О. Декера из группы </w:t>
      </w:r>
      <w:r w:rsidRPr="00722885">
        <w:rPr>
          <w:rFonts w:ascii="Times New Roman" w:hAnsi="Times New Roman"/>
          <w:color w:val="0070C0"/>
          <w:sz w:val="16"/>
          <w:szCs w:val="16"/>
          <w:lang w:val="en-US"/>
        </w:rPr>
        <w:t>III</w:t>
      </w:r>
      <w:r w:rsidRPr="00722885">
        <w:rPr>
          <w:rFonts w:ascii="Times New Roman" w:hAnsi="Times New Roman"/>
          <w:color w:val="0070C0"/>
          <w:sz w:val="16"/>
          <w:szCs w:val="16"/>
        </w:rPr>
        <w:t>/</w:t>
      </w:r>
      <w:r w:rsidRPr="00722885">
        <w:rPr>
          <w:rFonts w:ascii="Times New Roman" w:hAnsi="Times New Roman"/>
          <w:color w:val="0070C0"/>
          <w:sz w:val="16"/>
          <w:szCs w:val="16"/>
          <w:lang w:val="en-US"/>
        </w:rPr>
        <w:t>JG</w:t>
      </w:r>
      <w:r w:rsidRPr="00722885">
        <w:rPr>
          <w:rFonts w:ascii="Times New Roman" w:hAnsi="Times New Roman"/>
          <w:color w:val="0070C0"/>
          <w:sz w:val="16"/>
          <w:szCs w:val="16"/>
        </w:rPr>
        <w:t xml:space="preserve"> 52 взяли в плен. Эту машину осмотрели, но вывезти не смогли. Зато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 xml:space="preserve">-2 из группы </w:t>
      </w:r>
      <w:r w:rsidRPr="00722885">
        <w:rPr>
          <w:rFonts w:ascii="Times New Roman" w:hAnsi="Times New Roman"/>
          <w:color w:val="0070C0"/>
          <w:sz w:val="16"/>
          <w:szCs w:val="16"/>
          <w:lang w:val="en-US"/>
        </w:rPr>
        <w:t>III</w:t>
      </w:r>
      <w:r w:rsidRPr="00722885">
        <w:rPr>
          <w:rFonts w:ascii="Times New Roman" w:hAnsi="Times New Roman"/>
          <w:color w:val="0070C0"/>
          <w:sz w:val="16"/>
          <w:szCs w:val="16"/>
        </w:rPr>
        <w:t>/</w:t>
      </w:r>
      <w:r w:rsidRPr="00722885">
        <w:rPr>
          <w:rFonts w:ascii="Times New Roman" w:hAnsi="Times New Roman"/>
          <w:color w:val="0070C0"/>
          <w:sz w:val="16"/>
          <w:szCs w:val="16"/>
          <w:lang w:val="en-US"/>
        </w:rPr>
        <w:t>JG</w:t>
      </w:r>
      <w:r w:rsidRPr="00722885">
        <w:rPr>
          <w:rFonts w:ascii="Times New Roman" w:hAnsi="Times New Roman"/>
          <w:color w:val="0070C0"/>
          <w:sz w:val="16"/>
          <w:szCs w:val="16"/>
        </w:rPr>
        <w:t xml:space="preserve"> 53, захваченный 8 сентября, эвакуировали в Москву. После изучения он долго стоял в выставочном зале БНТ (23186).</w:t>
      </w:r>
    </w:p>
    <w:p w14:paraId="77736333" w14:textId="77777777" w:rsidR="001A29E6" w:rsidRPr="00722885" w:rsidRDefault="001A29E6" w:rsidP="00722885">
      <w:pPr>
        <w:spacing w:after="0" w:line="240" w:lineRule="auto"/>
        <w:jc w:val="both"/>
        <w:rPr>
          <w:rFonts w:ascii="Times New Roman" w:hAnsi="Times New Roman"/>
          <w:color w:val="0070C0"/>
          <w:sz w:val="16"/>
          <w:szCs w:val="16"/>
        </w:rPr>
      </w:pPr>
    </w:p>
    <w:p w14:paraId="792E4CC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заместитель наркома обороны, генерал-полковник артиллерии Н.Н.Воронов направил письмо заместителю наркома авиаци</w:t>
      </w:r>
      <w:r w:rsidRPr="00722885">
        <w:rPr>
          <w:rFonts w:ascii="Times New Roman" w:hAnsi="Times New Roman"/>
          <w:color w:val="000000" w:themeColor="text1"/>
          <w:sz w:val="16"/>
          <w:szCs w:val="16"/>
        </w:rPr>
        <w:softHyphen/>
        <w:t>онной промышленности А.С.Яковлеву, в котором утверждал, что автожи</w:t>
      </w:r>
      <w:r w:rsidRPr="00722885">
        <w:rPr>
          <w:rFonts w:ascii="Times New Roman" w:hAnsi="Times New Roman"/>
          <w:color w:val="000000" w:themeColor="text1"/>
          <w:sz w:val="16"/>
          <w:szCs w:val="16"/>
        </w:rPr>
        <w:softHyphen/>
        <w:t>ры А-7 на фронте не сделали ни одного боевого вылета, потерпели 6 ава</w:t>
      </w:r>
      <w:r w:rsidRPr="00722885">
        <w:rPr>
          <w:rFonts w:ascii="Times New Roman" w:hAnsi="Times New Roman"/>
          <w:color w:val="000000" w:themeColor="text1"/>
          <w:sz w:val="16"/>
          <w:szCs w:val="16"/>
        </w:rPr>
        <w:softHyphen/>
        <w:t>рий, а сам автожир за восемь лет доводочных работ так и не достиг заяв</w:t>
      </w:r>
      <w:r w:rsidRPr="00722885">
        <w:rPr>
          <w:rFonts w:ascii="Times New Roman" w:hAnsi="Times New Roman"/>
          <w:color w:val="000000" w:themeColor="text1"/>
          <w:sz w:val="16"/>
          <w:szCs w:val="16"/>
        </w:rPr>
        <w:softHyphen/>
        <w:t>ленных характеристик. Воронов потребовал предания Камова суду «за выпуск недоброкачественное материальной части” (10224,56).</w:t>
      </w:r>
    </w:p>
    <w:p w14:paraId="004384A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94483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 соответствии с требованиями акта испытаний планера КЦ-2 В.Л.Расторгуевым были проведены контрольные испытания серийного планера КЦ-20 П.В.Цыбина (94,80).</w:t>
      </w:r>
    </w:p>
    <w:p w14:paraId="1478DC93" w14:textId="77777777" w:rsidR="00AE7191" w:rsidRPr="00722885" w:rsidRDefault="00AE7191" w:rsidP="00722885">
      <w:pPr>
        <w:pStyle w:val="Iauiue"/>
        <w:jc w:val="both"/>
        <w:rPr>
          <w:color w:val="000000" w:themeColor="text1"/>
          <w:sz w:val="16"/>
          <w:szCs w:val="16"/>
        </w:rPr>
      </w:pPr>
    </w:p>
    <w:p w14:paraId="7BB2B5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В.В.Абрамов, который был у Л.П.Курбалы в Сталинграде, опять по собственной инициативе сделал проработку проекта десантного планера ВА-4Д. Там же в Сталинграде были представители Н.Н.П. с БДП-2 и В.В.Абрамов предложил объединиться (94,93).</w:t>
      </w:r>
    </w:p>
    <w:p w14:paraId="11E67E53" w14:textId="77777777" w:rsidR="00AE7191" w:rsidRPr="00722885" w:rsidRDefault="00AE7191" w:rsidP="00722885">
      <w:pPr>
        <w:pStyle w:val="Iauiue"/>
        <w:jc w:val="both"/>
        <w:rPr>
          <w:color w:val="000000" w:themeColor="text1"/>
          <w:sz w:val="16"/>
          <w:szCs w:val="16"/>
        </w:rPr>
      </w:pPr>
    </w:p>
    <w:p w14:paraId="26D2F514" w14:textId="77777777" w:rsidR="001A29E6" w:rsidRPr="00722885" w:rsidRDefault="001A29E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 августе 1942 г., после внедрения всех усовершенствований, были выполнены контрольные испытания головного серийного образца КЦ-20, которые провёл лётчик Расторгуев В. Л. В результате проведённых доработок удалось снизить трение в системе управления, повысить эффективность действия рулей и триммеров, а также привести в норму устойчивость планера при буксировке и в планировании. Управляемость планера также улучшилась, хотя повышенные нагрузки на штурвал от элеронов и на педали от руля направления сохранились. На это, в дальнейшем, жаловались и строевые лётчики. Для обеспечения приемлемой центровки в нос планера загружали баланси</w:t>
      </w:r>
      <w:r w:rsidRPr="00722885">
        <w:rPr>
          <w:color w:val="000000" w:themeColor="text1"/>
          <w:sz w:val="16"/>
          <w:szCs w:val="16"/>
        </w:rPr>
        <w:softHyphen/>
        <w:t>ро</w:t>
      </w:r>
      <w:r w:rsidRPr="00722885">
        <w:rPr>
          <w:color w:val="000000" w:themeColor="text1"/>
          <w:sz w:val="16"/>
          <w:szCs w:val="16"/>
        </w:rPr>
        <w:softHyphen/>
        <w:t>вочный груз массой 115 кг.</w:t>
      </w:r>
    </w:p>
    <w:p w14:paraId="0610C1FB" w14:textId="77777777" w:rsidR="001A29E6" w:rsidRPr="00722885" w:rsidRDefault="001A29E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 сентябре 1942 г планер перегнали из Казани на подмосковный аэродром – по-видимому, для показа начальству.</w:t>
      </w:r>
    </w:p>
    <w:p w14:paraId="4BEE791F" w14:textId="77777777" w:rsidR="001A29E6" w:rsidRPr="00722885" w:rsidRDefault="001A29E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При перелёте этого КЦ-20 с аэродрома ЛИИ на оперативный аэродром Медвежьи Озёра произошла катастрофа. Перед вылетом у самолёта-буксировщика забарахлил мотор. Механики, покопавшись под капотом, нашли и устранили дефект. После этого, по-быстрому, выполнили облёт самолёта без планера, по кругу, в районе аэродрома. Решили идти на Медвежьи Озёра в составе аэросцепки.</w:t>
      </w:r>
    </w:p>
    <w:p w14:paraId="16A98A48" w14:textId="77777777" w:rsidR="001A29E6" w:rsidRPr="00722885" w:rsidRDefault="001A29E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Планер пилотировали пилот И. Кочергин и конструктор П. В. Цыбин. На взлёте, как всегда, планер оторвался раньше, а у самолёта, в конце разбега, вновь отказал мотор. Самолёт, прекратив взлёт, выкатился за пределы взлётной полосы к Москве-реке. Цыбин пытался отцепить буксировочный леер, но сделать это не удалось. Планер перелетел самолёт, а так как трос не был сброшен, то он рывком перевернул самолёт на спину и сбросил его в реку, а сам планер, удерживаемый леером, по дуге, носом врезался в землю. Лётчик Кочергин погиб, а конструктора Цыбина П. В. выбросило через фонарь из планера. В тяжёлом состоянии его доставили в госпиталь, где после длительного лечения Цыбина удалось поставить на ноги. Экипаж самолёта отделался лёгкими ушибами.</w:t>
      </w:r>
    </w:p>
    <w:p w14:paraId="012AB4D7" w14:textId="77777777" w:rsidR="001A29E6" w:rsidRPr="00722885" w:rsidRDefault="001A29E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Две катастрофы планера КЦ, а также постоянные поломки в эксплуатации, породили настороженное отношение к данной машине со стороны строевых пилотов. Но несмотря на это, планер запустили в серийное производство, которое продолжалось до конца 1943 г. За этот период построили 68 (по другим источникам – 50) планеров КЦ-20. После постройки опытных экземпляров и после катастрофы Цыбин был переведён на другую работу, а серию вёл один Колесников Д. Н. Уже в процессе эксплуатации обнаружилась слабость конструкции крыла, да и сам материал – дерево – не способствовал долговечности планера, поэтому боевая служба КЦ-20 была недолгой (19191).</w:t>
      </w:r>
    </w:p>
    <w:p w14:paraId="5E6856EC" w14:textId="77777777" w:rsidR="001A29E6" w:rsidRPr="00722885" w:rsidRDefault="001A29E6" w:rsidP="00722885">
      <w:pPr>
        <w:pStyle w:val="ae"/>
        <w:shd w:val="clear" w:color="auto" w:fill="FFFFFF"/>
        <w:spacing w:before="0" w:after="0"/>
        <w:jc w:val="both"/>
        <w:textAlignment w:val="baseline"/>
        <w:rPr>
          <w:color w:val="000000" w:themeColor="text1"/>
          <w:sz w:val="16"/>
          <w:szCs w:val="16"/>
        </w:rPr>
      </w:pPr>
    </w:p>
    <w:p w14:paraId="5288EF5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w:t>
      </w:r>
      <w:r w:rsidRPr="00722885">
        <w:rPr>
          <w:rFonts w:ascii="Times New Roman" w:hAnsi="Times New Roman"/>
          <w:color w:val="000000" w:themeColor="text1"/>
          <w:sz w:val="16"/>
          <w:szCs w:val="16"/>
        </w:rPr>
        <w:softHyphen/>
        <w:t>густе 1942 г. после внедрения всех усовершенствований были выполнены контрольные испытания головного серийного образца КЦ-20, которые провел летчик Расторгуев В.Л. В результате проведенных доработок удалось снизить трение в системе управ</w:t>
      </w:r>
      <w:r w:rsidRPr="00722885">
        <w:rPr>
          <w:rFonts w:ascii="Times New Roman" w:hAnsi="Times New Roman"/>
          <w:color w:val="000000" w:themeColor="text1"/>
          <w:sz w:val="16"/>
          <w:szCs w:val="16"/>
        </w:rPr>
        <w:softHyphen/>
        <w:t>ления, повысить эффективность действия рулей и триммеров, а также привести в норму устойчивость планера при буксировке и в планировании. Управляемость планера также улучшилась, хотя повышенные нагрузки на штурвал от элеронов и на педали от руля направления сохранились. На это в дальнейшем жа</w:t>
      </w:r>
      <w:r w:rsidRPr="00722885">
        <w:rPr>
          <w:rFonts w:ascii="Times New Roman" w:hAnsi="Times New Roman"/>
          <w:color w:val="000000" w:themeColor="text1"/>
          <w:sz w:val="16"/>
          <w:szCs w:val="16"/>
        </w:rPr>
        <w:softHyphen/>
        <w:t>ловались и строевые летчики. Для обеспечения приемлемой центровки в нос планера загружали балан</w:t>
      </w:r>
      <w:r w:rsidRPr="00722885">
        <w:rPr>
          <w:rFonts w:ascii="Times New Roman" w:hAnsi="Times New Roman"/>
          <w:color w:val="000000" w:themeColor="text1"/>
          <w:sz w:val="16"/>
          <w:szCs w:val="16"/>
        </w:rPr>
        <w:softHyphen/>
        <w:t>сировочный груз массой 115 кг.</w:t>
      </w:r>
    </w:p>
    <w:p w14:paraId="6A520D5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Десантный планер КЦ-20 был свободнонесущим вы- сокопланом цельнодеревянной конструкции.</w:t>
      </w:r>
    </w:p>
    <w:p w14:paraId="68D648F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Фюзеляж полумонококовой конструкции с рабо</w:t>
      </w:r>
      <w:r w:rsidRPr="00722885">
        <w:rPr>
          <w:rFonts w:ascii="Times New Roman" w:hAnsi="Times New Roman"/>
          <w:color w:val="000000" w:themeColor="text1"/>
          <w:sz w:val="16"/>
          <w:szCs w:val="16"/>
        </w:rPr>
        <w:softHyphen/>
        <w:t>тающей фанерной обшивкой. Шпангоуты фюзеляжа сделаны из дерева и фанеры и имеют прямоугольную форму со скругленными углами. В районе пилотской кабины и грузового отсека фюзеляж имеет неболь</w:t>
      </w:r>
      <w:r w:rsidRPr="00722885">
        <w:rPr>
          <w:rFonts w:ascii="Times New Roman" w:hAnsi="Times New Roman"/>
          <w:color w:val="000000" w:themeColor="text1"/>
          <w:sz w:val="16"/>
          <w:szCs w:val="16"/>
        </w:rPr>
        <w:softHyphen/>
        <w:t>шую килеватость, в вершине которой встроена жест</w:t>
      </w:r>
      <w:r w:rsidRPr="00722885">
        <w:rPr>
          <w:rFonts w:ascii="Times New Roman" w:hAnsi="Times New Roman"/>
          <w:color w:val="000000" w:themeColor="text1"/>
          <w:sz w:val="16"/>
          <w:szCs w:val="16"/>
        </w:rPr>
        <w:softHyphen/>
        <w:t>кая деревянная лыжа. Максимальная высота фюзеля</w:t>
      </w:r>
      <w:r w:rsidRPr="00722885">
        <w:rPr>
          <w:rFonts w:ascii="Times New Roman" w:hAnsi="Times New Roman"/>
          <w:color w:val="000000" w:themeColor="text1"/>
          <w:sz w:val="16"/>
          <w:szCs w:val="16"/>
        </w:rPr>
        <w:softHyphen/>
        <w:t>жа по наружному контуру — 2,1 м, максимальная ши</w:t>
      </w:r>
      <w:r w:rsidRPr="00722885">
        <w:rPr>
          <w:rFonts w:ascii="Times New Roman" w:hAnsi="Times New Roman"/>
          <w:color w:val="000000" w:themeColor="text1"/>
          <w:sz w:val="16"/>
          <w:szCs w:val="16"/>
        </w:rPr>
        <w:softHyphen/>
        <w:t>рина — 1,4 м. В носу фюзеляжа размещена пилотская кабина, оборудованная нормальным ступенчатым фонарем, левую часть которого можно было сбросить в аварий</w:t>
      </w:r>
      <w:r w:rsidRPr="00722885">
        <w:rPr>
          <w:rFonts w:ascii="Times New Roman" w:hAnsi="Times New Roman"/>
          <w:color w:val="000000" w:themeColor="text1"/>
          <w:sz w:val="16"/>
          <w:szCs w:val="16"/>
        </w:rPr>
        <w:softHyphen/>
        <w:t>ной ситуации. Дополнительное небольшое остекление разме</w:t>
      </w:r>
      <w:r w:rsidRPr="00722885">
        <w:rPr>
          <w:rFonts w:ascii="Times New Roman" w:hAnsi="Times New Roman"/>
          <w:color w:val="000000" w:themeColor="text1"/>
          <w:sz w:val="16"/>
          <w:szCs w:val="16"/>
        </w:rPr>
        <w:softHyphen/>
        <w:t>щено в носу фюзеляжа, снизу. Через него наблюдали за зем</w:t>
      </w:r>
      <w:r w:rsidRPr="00722885">
        <w:rPr>
          <w:rFonts w:ascii="Times New Roman" w:hAnsi="Times New Roman"/>
          <w:color w:val="000000" w:themeColor="text1"/>
          <w:sz w:val="16"/>
          <w:szCs w:val="16"/>
        </w:rPr>
        <w:softHyphen/>
        <w:t>лей и положением буксировоч</w:t>
      </w:r>
      <w:r w:rsidRPr="00722885">
        <w:rPr>
          <w:rFonts w:ascii="Times New Roman" w:hAnsi="Times New Roman"/>
          <w:color w:val="000000" w:themeColor="text1"/>
          <w:sz w:val="16"/>
          <w:szCs w:val="16"/>
        </w:rPr>
        <w:softHyphen/>
        <w:t>ного леера. Сиденья пилотов расположены рядом.</w:t>
      </w:r>
    </w:p>
    <w:p w14:paraId="7FBA632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Загрузка планера выполня</w:t>
      </w:r>
      <w:r w:rsidRPr="00722885">
        <w:rPr>
          <w:rFonts w:ascii="Times New Roman" w:hAnsi="Times New Roman"/>
          <w:color w:val="000000" w:themeColor="text1"/>
          <w:sz w:val="16"/>
          <w:szCs w:val="16"/>
        </w:rPr>
        <w:softHyphen/>
        <w:t>лась через две двухстворчатые двери размером 0,7 х 1,2 м. Передняя дверь располагалась по левому борту, а задняя — по правому. При эксплуатации выяснилось, что двери малы для загрузки не то что крупных, а даже средних по габаритам грузов. Вдоль бортов располагались откидные сиденья для 18 десантни</w:t>
      </w:r>
      <w:r w:rsidRPr="00722885">
        <w:rPr>
          <w:rFonts w:ascii="Times New Roman" w:hAnsi="Times New Roman"/>
          <w:color w:val="000000" w:themeColor="text1"/>
          <w:sz w:val="16"/>
          <w:szCs w:val="16"/>
        </w:rPr>
        <w:softHyphen/>
        <w:t>ков. Причем сиденья в хвосте грузовой кабины были очень неудобны — голова упиралась в потолок. На каждом борту находилось по 4 прямоугольных иллю</w:t>
      </w:r>
      <w:r w:rsidRPr="00722885">
        <w:rPr>
          <w:rFonts w:ascii="Times New Roman" w:hAnsi="Times New Roman"/>
          <w:color w:val="000000" w:themeColor="text1"/>
          <w:sz w:val="16"/>
          <w:szCs w:val="16"/>
        </w:rPr>
        <w:softHyphen/>
        <w:t>минатора.</w:t>
      </w:r>
    </w:p>
    <w:p w14:paraId="2C7AC22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Крыло планера двухлонжеронное, трапециевид</w:t>
      </w:r>
      <w:r w:rsidRPr="00722885">
        <w:rPr>
          <w:rFonts w:ascii="Times New Roman" w:hAnsi="Times New Roman"/>
          <w:color w:val="000000" w:themeColor="text1"/>
          <w:sz w:val="16"/>
          <w:szCs w:val="16"/>
        </w:rPr>
        <w:softHyphen/>
        <w:t>ное в плане, с закругленными законцовками. Оно состояло из центроплана размахом 6,2 м и двух отъ</w:t>
      </w:r>
      <w:r w:rsidRPr="00722885">
        <w:rPr>
          <w:rFonts w:ascii="Times New Roman" w:hAnsi="Times New Roman"/>
          <w:color w:val="000000" w:themeColor="text1"/>
          <w:sz w:val="16"/>
          <w:szCs w:val="16"/>
        </w:rPr>
        <w:softHyphen/>
        <w:t>емных частей размахом по 8,8 м. Обшивка крыла полностью фанерная. Профиль крыла — Р-11, отно</w:t>
      </w:r>
      <w:r w:rsidRPr="00722885">
        <w:rPr>
          <w:rFonts w:ascii="Times New Roman" w:hAnsi="Times New Roman"/>
          <w:color w:val="000000" w:themeColor="text1"/>
          <w:sz w:val="16"/>
          <w:szCs w:val="16"/>
        </w:rPr>
        <w:softHyphen/>
        <w:t>сительной толщиной 14%. На задней кромке распо</w:t>
      </w:r>
      <w:r w:rsidRPr="00722885">
        <w:rPr>
          <w:rFonts w:ascii="Times New Roman" w:hAnsi="Times New Roman"/>
          <w:color w:val="000000" w:themeColor="text1"/>
          <w:sz w:val="16"/>
          <w:szCs w:val="16"/>
        </w:rPr>
        <w:softHyphen/>
        <w:t>ложены закрылки и элероны. Они имеют деревянный каркас и полотняную обшивку. На передней кромке центроплана слева крепились трубка ПВД и посадоч</w:t>
      </w:r>
      <w:r w:rsidRPr="00722885">
        <w:rPr>
          <w:rFonts w:ascii="Times New Roman" w:hAnsi="Times New Roman"/>
          <w:color w:val="000000" w:themeColor="text1"/>
          <w:sz w:val="16"/>
          <w:szCs w:val="16"/>
        </w:rPr>
        <w:softHyphen/>
        <w:t>ная фара.</w:t>
      </w:r>
    </w:p>
    <w:p w14:paraId="7C78580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Оперение планера — двухкилевое. Выбор такой схемы объясняется тем, что конструкторы планиро</w:t>
      </w:r>
      <w:r w:rsidRPr="00722885">
        <w:rPr>
          <w:rFonts w:ascii="Times New Roman" w:hAnsi="Times New Roman"/>
          <w:color w:val="000000" w:themeColor="text1"/>
          <w:sz w:val="16"/>
          <w:szCs w:val="16"/>
        </w:rPr>
        <w:softHyphen/>
        <w:t>вали на крыше планера установить шкворневую пуле</w:t>
      </w:r>
      <w:r w:rsidRPr="00722885">
        <w:rPr>
          <w:rFonts w:ascii="Times New Roman" w:hAnsi="Times New Roman"/>
          <w:color w:val="000000" w:themeColor="text1"/>
          <w:sz w:val="16"/>
          <w:szCs w:val="16"/>
        </w:rPr>
        <w:softHyphen/>
        <w:t>метную установку для стрельбы в воздухе, однако эти планы реализованы не были. Обшивка килей и стаби</w:t>
      </w:r>
      <w:r w:rsidRPr="00722885">
        <w:rPr>
          <w:rFonts w:ascii="Times New Roman" w:hAnsi="Times New Roman"/>
          <w:color w:val="000000" w:themeColor="text1"/>
          <w:sz w:val="16"/>
          <w:szCs w:val="16"/>
        </w:rPr>
        <w:softHyphen/>
        <w:t>лизатора — фанерная, а рулей — полотняная. Рули направления имели роговую компенсацию, а рули высоты — триммеры.</w:t>
      </w:r>
    </w:p>
    <w:p w14:paraId="2FD5949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Управление планера двойное, штурвальное, при</w:t>
      </w:r>
      <w:r w:rsidRPr="00722885">
        <w:rPr>
          <w:rFonts w:ascii="Times New Roman" w:hAnsi="Times New Roman"/>
          <w:color w:val="000000" w:themeColor="text1"/>
          <w:sz w:val="16"/>
          <w:szCs w:val="16"/>
        </w:rPr>
        <w:softHyphen/>
        <w:t>чем оба штурвала крепились на одной колонке. Про</w:t>
      </w:r>
      <w:r w:rsidRPr="00722885">
        <w:rPr>
          <w:rFonts w:ascii="Times New Roman" w:hAnsi="Times New Roman"/>
          <w:color w:val="000000" w:themeColor="text1"/>
          <w:sz w:val="16"/>
          <w:szCs w:val="16"/>
        </w:rPr>
        <w:softHyphen/>
        <w:t>водка в основном состояла из деревянных тяг и только на отдельных участках — тросовая. Приборное обору</w:t>
      </w:r>
      <w:r w:rsidRPr="00722885">
        <w:rPr>
          <w:rFonts w:ascii="Times New Roman" w:hAnsi="Times New Roman"/>
          <w:color w:val="000000" w:themeColor="text1"/>
          <w:sz w:val="16"/>
          <w:szCs w:val="16"/>
        </w:rPr>
        <w:softHyphen/>
        <w:t>дование состояло из указателя скорости, высотоме</w:t>
      </w:r>
      <w:r w:rsidRPr="00722885">
        <w:rPr>
          <w:rFonts w:ascii="Times New Roman" w:hAnsi="Times New Roman"/>
          <w:color w:val="000000" w:themeColor="text1"/>
          <w:sz w:val="16"/>
          <w:szCs w:val="16"/>
        </w:rPr>
        <w:softHyphen/>
        <w:t>ра, вариометра, компаса КИ и указателя поворота УП «Пионер». В средней части приборной доски распо</w:t>
      </w:r>
      <w:r w:rsidRPr="00722885">
        <w:rPr>
          <w:rFonts w:ascii="Times New Roman" w:hAnsi="Times New Roman"/>
          <w:color w:val="000000" w:themeColor="text1"/>
          <w:sz w:val="16"/>
          <w:szCs w:val="16"/>
        </w:rPr>
        <w:softHyphen/>
        <w:t xml:space="preserve">ложены тумблеры включения фары, АНО и освещения кабин. Питание осуществляется от аккумулятора типа 12-А-10. Ниже </w:t>
      </w:r>
      <w:r w:rsidRPr="00722885">
        <w:rPr>
          <w:rFonts w:ascii="Times New Roman" w:hAnsi="Times New Roman"/>
          <w:color w:val="000000" w:themeColor="text1"/>
          <w:sz w:val="16"/>
          <w:szCs w:val="16"/>
        </w:rPr>
        <w:lastRenderedPageBreak/>
        <w:t>приборной доски, по центру, находит</w:t>
      </w:r>
      <w:r w:rsidRPr="00722885">
        <w:rPr>
          <w:rFonts w:ascii="Times New Roman" w:hAnsi="Times New Roman"/>
          <w:color w:val="000000" w:themeColor="text1"/>
          <w:sz w:val="16"/>
          <w:szCs w:val="16"/>
        </w:rPr>
        <w:softHyphen/>
        <w:t>ся рычаг открытия буксировочного замка. У правого пилота на борту размещен штурвал для выпуска по</w:t>
      </w:r>
      <w:r w:rsidRPr="00722885">
        <w:rPr>
          <w:rFonts w:ascii="Times New Roman" w:hAnsi="Times New Roman"/>
          <w:color w:val="000000" w:themeColor="text1"/>
          <w:sz w:val="16"/>
          <w:szCs w:val="16"/>
        </w:rPr>
        <w:softHyphen/>
        <w:t>садочных щитков, а рядом — укладка для ракетницы и набора сигнальных ракет.</w:t>
      </w:r>
    </w:p>
    <w:p w14:paraId="2FB1C6D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Посадочные устройства планера состоят из ос</w:t>
      </w:r>
      <w:r w:rsidRPr="00722885">
        <w:rPr>
          <w:rFonts w:ascii="Times New Roman" w:hAnsi="Times New Roman"/>
          <w:color w:val="000000" w:themeColor="text1"/>
          <w:sz w:val="16"/>
          <w:szCs w:val="16"/>
        </w:rPr>
        <w:softHyphen/>
        <w:t>новных колес, 750 х 250 мм, закрепленных к фюзеля</w:t>
      </w:r>
      <w:r w:rsidRPr="00722885">
        <w:rPr>
          <w:rFonts w:ascii="Times New Roman" w:hAnsi="Times New Roman"/>
          <w:color w:val="000000" w:themeColor="text1"/>
          <w:sz w:val="16"/>
          <w:szCs w:val="16"/>
        </w:rPr>
        <w:softHyphen/>
        <w:t>жу, и хвостового колеса — 300 х 125 мм. Амортизация и тормоза у шасси отсутствуют. Зимой колеса мож</w:t>
      </w:r>
      <w:r w:rsidRPr="00722885">
        <w:rPr>
          <w:rFonts w:ascii="Times New Roman" w:hAnsi="Times New Roman"/>
          <w:color w:val="000000" w:themeColor="text1"/>
          <w:sz w:val="16"/>
          <w:szCs w:val="16"/>
        </w:rPr>
        <w:softHyphen/>
        <w:t>но было заменить на лыжи. Вдоль днища фюзеляжа установлена клееная деревянная лыжа, на которую опирается фюзеляж в случае поломки колесного шас</w:t>
      </w:r>
      <w:r w:rsidRPr="00722885">
        <w:rPr>
          <w:rFonts w:ascii="Times New Roman" w:hAnsi="Times New Roman"/>
          <w:color w:val="000000" w:themeColor="text1"/>
          <w:sz w:val="16"/>
          <w:szCs w:val="16"/>
        </w:rPr>
        <w:softHyphen/>
        <w:t>си. Эта лыжа одновременно выполняет роль главного силового элемента фюзеляжа.</w:t>
      </w:r>
    </w:p>
    <w:p w14:paraId="5224D34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советской авиации того периода это был круп</w:t>
      </w:r>
      <w:r w:rsidRPr="00722885">
        <w:rPr>
          <w:rFonts w:ascii="Times New Roman" w:hAnsi="Times New Roman"/>
          <w:color w:val="000000" w:themeColor="text1"/>
          <w:sz w:val="16"/>
          <w:szCs w:val="16"/>
        </w:rPr>
        <w:softHyphen/>
        <w:t>нейший планер, принятый на вооружение. Поэтому буксировать его могли самые мощные буксировщи</w:t>
      </w:r>
      <w:r w:rsidRPr="00722885">
        <w:rPr>
          <w:rFonts w:ascii="Times New Roman" w:hAnsi="Times New Roman"/>
          <w:color w:val="000000" w:themeColor="text1"/>
          <w:sz w:val="16"/>
          <w:szCs w:val="16"/>
        </w:rPr>
        <w:softHyphen/>
        <w:t>ки, имевшиеся в нашей авиации, — бомбардировщик Ил-4 и транспортные Ли-2 и РС-З.</w:t>
      </w:r>
    </w:p>
    <w:p w14:paraId="69C95F9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данные пла</w:t>
      </w:r>
      <w:r w:rsidRPr="00722885">
        <w:rPr>
          <w:rFonts w:ascii="Times New Roman" w:hAnsi="Times New Roman"/>
          <w:color w:val="000000" w:themeColor="text1"/>
          <w:sz w:val="16"/>
          <w:szCs w:val="16"/>
        </w:rPr>
        <w:softHyphen/>
        <w:t>нера КЦ-20 приведены в таблице</w:t>
      </w:r>
    </w:p>
    <w:p w14:paraId="6D6440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ДАННЫЕ ПЛАНЕРА КЦ-20 И ЕГО ЗАРУБЕЖНЫХ АНАЛОГОВ</w:t>
      </w:r>
    </w:p>
    <w:tbl>
      <w:tblPr>
        <w:tblW w:w="0" w:type="auto"/>
        <w:tblInd w:w="-18" w:type="dxa"/>
        <w:tblLayout w:type="fixed"/>
        <w:tblCellMar>
          <w:left w:w="10" w:type="dxa"/>
          <w:right w:w="10" w:type="dxa"/>
        </w:tblCellMar>
        <w:tblLook w:val="0000" w:firstRow="0" w:lastRow="0" w:firstColumn="0" w:lastColumn="0" w:noHBand="0" w:noVBand="0"/>
      </w:tblPr>
      <w:tblGrid>
        <w:gridCol w:w="3456"/>
        <w:gridCol w:w="2200"/>
        <w:gridCol w:w="1814"/>
        <w:gridCol w:w="2106"/>
      </w:tblGrid>
      <w:tr w:rsidR="009B487A" w:rsidRPr="00722885" w14:paraId="0F69804E" w14:textId="77777777" w:rsidTr="00CC5360">
        <w:trPr>
          <w:trHeight w:val="511"/>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3A110DA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Типы планеров</w:t>
            </w:r>
          </w:p>
          <w:p w14:paraId="3B448D9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Характеристики</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4FF7B0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Колесников— Цыбин КЦ-20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6C35E4E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ОР5-331</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6A9C760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ЗИпдзЬу 5аПр1апез Ид, Непд13{</w:t>
            </w:r>
          </w:p>
        </w:tc>
      </w:tr>
      <w:tr w:rsidR="009B487A" w:rsidRPr="00722885" w14:paraId="38053516" w14:textId="77777777" w:rsidTr="00CC5360">
        <w:trPr>
          <w:trHeight w:val="263"/>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D6BF0E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Страна</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11067D9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СССР</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410D5E0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Германия</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38DE022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Великобритания</w:t>
            </w:r>
          </w:p>
        </w:tc>
      </w:tr>
      <w:tr w:rsidR="009B487A" w:rsidRPr="00722885" w14:paraId="5440D86F"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3AD259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Дата первого вылета</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32B4A29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15.10.1941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56CE430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41EDA0DB"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D8CA428"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6BC033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Общее число построенных планеров, шт.</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05D486F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«68</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454967E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C22C9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r>
      <w:tr w:rsidR="009B487A" w:rsidRPr="00722885" w14:paraId="3FBF08BE"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782601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4FACDF6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14,125</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3602F06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15,8</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9CD30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18,25</w:t>
            </w:r>
          </w:p>
        </w:tc>
      </w:tr>
      <w:tr w:rsidR="009B487A" w:rsidRPr="00722885" w14:paraId="06ABA919"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EBF304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27ACB43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23,8</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7899AD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6504DD5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24,38</w:t>
            </w:r>
          </w:p>
        </w:tc>
      </w:tr>
      <w:tr w:rsidR="009B487A" w:rsidRPr="00722885" w14:paraId="621323D9" w14:textId="77777777" w:rsidTr="00CC5360">
        <w:trPr>
          <w:trHeight w:val="252"/>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0282E5C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2B6820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2,84</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5EA7F66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3,55</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6CA3C6EB"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46A8F1F" w14:textId="77777777" w:rsidTr="00CC5360">
        <w:trPr>
          <w:trHeight w:val="25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3532D0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кв.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8F410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55,2</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46359AC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1180C74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72,5</w:t>
            </w:r>
          </w:p>
        </w:tc>
      </w:tr>
      <w:tr w:rsidR="009B487A" w:rsidRPr="00722885" w14:paraId="1CE7FE25"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70149F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пустого планера, кг</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677E666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2050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72C9FE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2270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05FED9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2116</w:t>
            </w:r>
          </w:p>
        </w:tc>
      </w:tr>
      <w:tr w:rsidR="009B487A" w:rsidRPr="00722885" w14:paraId="35FC5CA1"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0B0D993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взлетный, нормальный, кг</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23BBF9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4200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D7280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4770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CC253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3780</w:t>
            </w:r>
          </w:p>
        </w:tc>
      </w:tr>
      <w:tr w:rsidR="009B487A" w:rsidRPr="00722885" w14:paraId="12107B3E"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D7A4A1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взлетный, перегрузочный, кг</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4778C6F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4460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F74F80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4900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455CBECC"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61F64F71"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D54B8E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Нагрузка на крыло, кг/кв.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5646B6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76-81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1C5267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74,5</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33626C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52,1</w:t>
            </w:r>
          </w:p>
        </w:tc>
      </w:tr>
      <w:tr w:rsidR="009B487A" w:rsidRPr="00722885" w14:paraId="0419102D"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41528C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пилоты + десантники</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16D1AFB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2+18</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054E156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2+18</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1F9722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2+15</w:t>
            </w:r>
          </w:p>
        </w:tc>
      </w:tr>
      <w:tr w:rsidR="009B487A" w:rsidRPr="00722885" w14:paraId="2C5BCD17" w14:textId="77777777" w:rsidTr="00CC5360">
        <w:trPr>
          <w:trHeight w:val="25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08E47F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предельная,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D6BC2B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A19ED9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3FBC0D6C"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F76FFD8" w14:textId="77777777" w:rsidTr="00CC5360">
        <w:trPr>
          <w:trHeight w:val="252"/>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8D7B19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 скорость буксировки,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65C3C2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211EB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48F107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256</w:t>
            </w:r>
          </w:p>
        </w:tc>
      </w:tr>
      <w:tr w:rsidR="009B487A" w:rsidRPr="00722885" w14:paraId="7A47C946" w14:textId="77777777" w:rsidTr="00CC5360">
        <w:trPr>
          <w:trHeight w:val="25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3341C2C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взлетная,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CDB41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105—115</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0272CEA9"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096EC9FE"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DF3D0CB" w14:textId="77777777" w:rsidTr="00CC5360">
        <w:trPr>
          <w:trHeight w:val="252"/>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F01758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посадочная,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6605ED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100—105</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0C6D33C3"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54676753"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FBC0270" w14:textId="77777777" w:rsidTr="00CC5360">
        <w:trPr>
          <w:trHeight w:val="26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D9DB5F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 аэродинамическое качество</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165AA3B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E486FCA"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BF561F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17</w:t>
            </w:r>
          </w:p>
        </w:tc>
      </w:tr>
    </w:tbl>
    <w:p w14:paraId="6AB68E5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(12300).</w:t>
      </w:r>
    </w:p>
    <w:p w14:paraId="788002B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1F4EF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головной серийный экземпляр КЦ-20 проходил испытания Летал на нём опять В.Л. Расторгуев. После доработки планёр стал устойчи</w:t>
      </w:r>
      <w:r w:rsidRPr="00722885">
        <w:rPr>
          <w:rFonts w:ascii="Times New Roman" w:hAnsi="Times New Roman"/>
          <w:color w:val="000000" w:themeColor="text1"/>
          <w:sz w:val="16"/>
          <w:szCs w:val="16"/>
        </w:rPr>
        <w:softHyphen/>
        <w:t>вее и легче в управлении. Эффектив</w:t>
      </w:r>
      <w:r w:rsidRPr="00722885">
        <w:rPr>
          <w:rFonts w:ascii="Times New Roman" w:hAnsi="Times New Roman"/>
          <w:color w:val="000000" w:themeColor="text1"/>
          <w:sz w:val="16"/>
          <w:szCs w:val="16"/>
        </w:rPr>
        <w:softHyphen/>
        <w:t>ность триммеров руля высоты возрос</w:t>
      </w:r>
      <w:r w:rsidRPr="00722885">
        <w:rPr>
          <w:rFonts w:ascii="Times New Roman" w:hAnsi="Times New Roman"/>
          <w:color w:val="000000" w:themeColor="text1"/>
          <w:sz w:val="16"/>
          <w:szCs w:val="16"/>
        </w:rPr>
        <w:softHyphen/>
        <w:t>ла. Но нагрузки на штурвал от элеронов и на педали от рулей направления оста</w:t>
      </w:r>
      <w:r w:rsidRPr="00722885">
        <w:rPr>
          <w:rFonts w:ascii="Times New Roman" w:hAnsi="Times New Roman"/>
          <w:color w:val="000000" w:themeColor="text1"/>
          <w:sz w:val="16"/>
          <w:szCs w:val="16"/>
        </w:rPr>
        <w:softHyphen/>
        <w:t>вались значительными. Впоследствии пилоты строевых частей шутили, что планёр деревянный и управление им «дубовое». Для обеспечения требуе</w:t>
      </w:r>
      <w:r w:rsidRPr="00722885">
        <w:rPr>
          <w:rFonts w:ascii="Times New Roman" w:hAnsi="Times New Roman"/>
          <w:color w:val="000000" w:themeColor="text1"/>
          <w:sz w:val="16"/>
          <w:szCs w:val="16"/>
        </w:rPr>
        <w:softHyphen/>
        <w:t>мой центровки в носу разместили бал</w:t>
      </w:r>
      <w:r w:rsidRPr="00722885">
        <w:rPr>
          <w:rFonts w:ascii="Times New Roman" w:hAnsi="Times New Roman"/>
          <w:color w:val="000000" w:themeColor="text1"/>
          <w:sz w:val="16"/>
          <w:szCs w:val="16"/>
        </w:rPr>
        <w:softHyphen/>
        <w:t>ластный груз в 115 кг, что несколько уменьшило полезную нагрузку.</w:t>
      </w:r>
    </w:p>
    <w:p w14:paraId="0C87D93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планёр позднее доставили под Москву, на аэродром ЛИИ в Кратово. Оттуда его собирались перегнать на аэродром Медвежьи Озёра, но произош</w:t>
      </w:r>
      <w:r w:rsidRPr="00722885">
        <w:rPr>
          <w:rFonts w:ascii="Times New Roman" w:hAnsi="Times New Roman"/>
          <w:color w:val="000000" w:themeColor="text1"/>
          <w:sz w:val="16"/>
          <w:szCs w:val="16"/>
        </w:rPr>
        <w:softHyphen/>
        <w:t>ла катастрофа. В пилотской кабине на</w:t>
      </w:r>
      <w:r w:rsidRPr="00722885">
        <w:rPr>
          <w:rFonts w:ascii="Times New Roman" w:hAnsi="Times New Roman"/>
          <w:color w:val="000000" w:themeColor="text1"/>
          <w:sz w:val="16"/>
          <w:szCs w:val="16"/>
        </w:rPr>
        <w:softHyphen/>
        <w:t>ходились лётчик И. Корчагин и один из создателей планёра, П. Цыбин. В конце разбега у буксировщика Ил-4 отказал один двигатель. Самолёт выкатился за пределы полосы на берег Москвы-реки. Планёр к этому времени уже оторвался от земли и находился в воздухе. Цыбин попытался отцепить трос, но замок не сработал. Тяжёлый КЦ-20 перелетел через бомбардировщик, рывком пере</w:t>
      </w:r>
      <w:r w:rsidRPr="00722885">
        <w:rPr>
          <w:rFonts w:ascii="Times New Roman" w:hAnsi="Times New Roman"/>
          <w:color w:val="000000" w:themeColor="text1"/>
          <w:sz w:val="16"/>
          <w:szCs w:val="16"/>
        </w:rPr>
        <w:softHyphen/>
        <w:t>вернул его и сбросил в реку, после чего сам воткнулся носом в землю. Корчагин погиб, Цыбина выбросило через фо</w:t>
      </w:r>
      <w:r w:rsidRPr="00722885">
        <w:rPr>
          <w:rFonts w:ascii="Times New Roman" w:hAnsi="Times New Roman"/>
          <w:color w:val="000000" w:themeColor="text1"/>
          <w:sz w:val="16"/>
          <w:szCs w:val="16"/>
        </w:rPr>
        <w:softHyphen/>
        <w:t>нарь наружу; с тяжёлыми ранениями его доставили в госпиталь. Экипаж бук</w:t>
      </w:r>
      <w:r w:rsidRPr="00722885">
        <w:rPr>
          <w:rFonts w:ascii="Times New Roman" w:hAnsi="Times New Roman"/>
          <w:color w:val="000000" w:themeColor="text1"/>
          <w:sz w:val="16"/>
          <w:szCs w:val="16"/>
        </w:rPr>
        <w:softHyphen/>
        <w:t>сировщика отделался ушибами.</w:t>
      </w:r>
    </w:p>
    <w:p w14:paraId="52A55E0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и другие планёры, КЦ-20 прохо</w:t>
      </w:r>
      <w:r w:rsidRPr="00722885">
        <w:rPr>
          <w:rFonts w:ascii="Times New Roman" w:hAnsi="Times New Roman"/>
          <w:color w:val="000000" w:themeColor="text1"/>
          <w:sz w:val="16"/>
          <w:szCs w:val="16"/>
        </w:rPr>
        <w:softHyphen/>
        <w:t>дил войсковые испытания на Опытном испытательном полигоне Воздушно-де- сантных войск.</w:t>
      </w:r>
    </w:p>
    <w:p w14:paraId="2D1562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Серийно он строился до конца 1943 г., всего изготовили около 50 (по другим данным - 68) экземпляров. Работой по его модернизации в этот период занимался только Д.Н. Колесников, являвшийся главным конструктором завода.</w:t>
      </w:r>
    </w:p>
    <w:p w14:paraId="287288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значительную грузоподъ</w:t>
      </w:r>
      <w:r w:rsidRPr="00722885">
        <w:rPr>
          <w:rFonts w:ascii="Times New Roman" w:hAnsi="Times New Roman"/>
          <w:color w:val="000000" w:themeColor="text1"/>
          <w:sz w:val="16"/>
          <w:szCs w:val="16"/>
        </w:rPr>
        <w:softHyphen/>
        <w:t>ёмность, на КЦ-20 так и не сделали грузовой люк для перевозки крупно</w:t>
      </w:r>
      <w:r w:rsidRPr="00722885">
        <w:rPr>
          <w:rFonts w:ascii="Times New Roman" w:hAnsi="Times New Roman"/>
          <w:color w:val="000000" w:themeColor="text1"/>
          <w:sz w:val="16"/>
          <w:szCs w:val="16"/>
        </w:rPr>
        <w:softHyphen/>
        <w:t>габаритной техники и вооружения. До конца серийного выпуска он строился с узкими дверями, рассчитанными на вход и выход людей, хотя использовал</w:t>
      </w:r>
      <w:r w:rsidRPr="00722885">
        <w:rPr>
          <w:rFonts w:ascii="Times New Roman" w:hAnsi="Times New Roman"/>
          <w:color w:val="000000" w:themeColor="text1"/>
          <w:sz w:val="16"/>
          <w:szCs w:val="16"/>
        </w:rPr>
        <w:softHyphen/>
        <w:t>ся в основном для доставки грузов.</w:t>
      </w:r>
    </w:p>
    <w:p w14:paraId="4CED4E1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Десантный планёр КЦ-20 представ</w:t>
      </w:r>
      <w:r w:rsidRPr="00722885">
        <w:rPr>
          <w:rFonts w:ascii="Times New Roman" w:hAnsi="Times New Roman"/>
          <w:color w:val="000000" w:themeColor="text1"/>
          <w:sz w:val="16"/>
          <w:szCs w:val="16"/>
        </w:rPr>
        <w:softHyphen/>
        <w:t>лял собой свободнонесущий высо- коплан цельнодеревянной конструк</w:t>
      </w:r>
      <w:r w:rsidRPr="00722885">
        <w:rPr>
          <w:rFonts w:ascii="Times New Roman" w:hAnsi="Times New Roman"/>
          <w:color w:val="000000" w:themeColor="text1"/>
          <w:sz w:val="16"/>
          <w:szCs w:val="16"/>
        </w:rPr>
        <w:softHyphen/>
        <w:t>ции. Фюзеляж - полумонокок с несу</w:t>
      </w:r>
      <w:r w:rsidRPr="00722885">
        <w:rPr>
          <w:rFonts w:ascii="Times New Roman" w:hAnsi="Times New Roman"/>
          <w:color w:val="000000" w:themeColor="text1"/>
          <w:sz w:val="16"/>
          <w:szCs w:val="16"/>
        </w:rPr>
        <w:softHyphen/>
        <w:t>щей фанерной обшивкой. Шпангоуты фюзеляжа были сделаны из дерева и фанеры и имели прямоугольную форму со скруглёнными углами.</w:t>
      </w:r>
    </w:p>
    <w:p w14:paraId="46D952B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пилотской кабины и грузо</w:t>
      </w:r>
      <w:r w:rsidRPr="00722885">
        <w:rPr>
          <w:rFonts w:ascii="Times New Roman" w:hAnsi="Times New Roman"/>
          <w:color w:val="000000" w:themeColor="text1"/>
          <w:sz w:val="16"/>
          <w:szCs w:val="16"/>
        </w:rPr>
        <w:softHyphen/>
        <w:t>вого отсека фюзеляж имел неболь</w:t>
      </w:r>
      <w:r w:rsidRPr="00722885">
        <w:rPr>
          <w:rFonts w:ascii="Times New Roman" w:hAnsi="Times New Roman"/>
          <w:color w:val="000000" w:themeColor="text1"/>
          <w:sz w:val="16"/>
          <w:szCs w:val="16"/>
        </w:rPr>
        <w:softHyphen/>
        <w:t>шую килеватость, в вершине которой встраивалась жёсткая деревянная лыжа. Максимальная высота фюзе</w:t>
      </w:r>
      <w:r w:rsidRPr="00722885">
        <w:rPr>
          <w:rFonts w:ascii="Times New Roman" w:hAnsi="Times New Roman"/>
          <w:color w:val="000000" w:themeColor="text1"/>
          <w:sz w:val="16"/>
          <w:szCs w:val="16"/>
        </w:rPr>
        <w:softHyphen/>
        <w:t>ляжа по наружному контуру - 2,1 м, максимальная ширина - 1,4 м. В носу фюзеляжа размещалась пилотская ка</w:t>
      </w:r>
      <w:r w:rsidRPr="00722885">
        <w:rPr>
          <w:rFonts w:ascii="Times New Roman" w:hAnsi="Times New Roman"/>
          <w:color w:val="000000" w:themeColor="text1"/>
          <w:sz w:val="16"/>
          <w:szCs w:val="16"/>
        </w:rPr>
        <w:softHyphen/>
        <w:t>бина, оборудованная нормальным сту</w:t>
      </w:r>
      <w:r w:rsidRPr="00722885">
        <w:rPr>
          <w:rFonts w:ascii="Times New Roman" w:hAnsi="Times New Roman"/>
          <w:color w:val="000000" w:themeColor="text1"/>
          <w:sz w:val="16"/>
          <w:szCs w:val="16"/>
        </w:rPr>
        <w:softHyphen/>
        <w:t>пенчатым фонарём, левая часть кото</w:t>
      </w:r>
      <w:r w:rsidRPr="00722885">
        <w:rPr>
          <w:rFonts w:ascii="Times New Roman" w:hAnsi="Times New Roman"/>
          <w:color w:val="000000" w:themeColor="text1"/>
          <w:sz w:val="16"/>
          <w:szCs w:val="16"/>
        </w:rPr>
        <w:softHyphen/>
        <w:t>рого могла сбрасываться в аварийной ситуации. Небольшое дополнительное остекление выполнили в носу фюзе</w:t>
      </w:r>
      <w:r w:rsidRPr="00722885">
        <w:rPr>
          <w:rFonts w:ascii="Times New Roman" w:hAnsi="Times New Roman"/>
          <w:color w:val="000000" w:themeColor="text1"/>
          <w:sz w:val="16"/>
          <w:szCs w:val="16"/>
        </w:rPr>
        <w:softHyphen/>
        <w:t>ляжа снизу. Через него наблюдали как за землёй, так и за положением бук</w:t>
      </w:r>
      <w:r w:rsidRPr="00722885">
        <w:rPr>
          <w:rFonts w:ascii="Times New Roman" w:hAnsi="Times New Roman"/>
          <w:color w:val="000000" w:themeColor="text1"/>
          <w:sz w:val="16"/>
          <w:szCs w:val="16"/>
        </w:rPr>
        <w:softHyphen/>
        <w:t>сировочного троса. Сиденья пилотов располагались бок о бок.</w:t>
      </w:r>
    </w:p>
    <w:p w14:paraId="1A4653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Загрузка планёра происходила через две двухстворчатые двери размером 0,7x1,2 м. Передняя дверь располага</w:t>
      </w:r>
      <w:r w:rsidRPr="00722885">
        <w:rPr>
          <w:rFonts w:ascii="Times New Roman" w:hAnsi="Times New Roman"/>
          <w:color w:val="000000" w:themeColor="text1"/>
          <w:sz w:val="16"/>
          <w:szCs w:val="16"/>
        </w:rPr>
        <w:softHyphen/>
        <w:t>лась по левому борту, а задняя - по пра</w:t>
      </w:r>
      <w:r w:rsidRPr="00722885">
        <w:rPr>
          <w:rFonts w:ascii="Times New Roman" w:hAnsi="Times New Roman"/>
          <w:color w:val="000000" w:themeColor="text1"/>
          <w:sz w:val="16"/>
          <w:szCs w:val="16"/>
        </w:rPr>
        <w:softHyphen/>
        <w:t>вому. При эксплуатации выяснилось, что двери малы для загрузки не только крупных, а даже средних по габаритам грузов. Вдоль бортов располагались откидные сидения для 18 десантников. На каждом борту находилось по четыре прямоугольных окна.</w:t>
      </w:r>
    </w:p>
    <w:p w14:paraId="16ECF2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Крыло -двухлонжеронное, трапецие</w:t>
      </w:r>
      <w:r w:rsidRPr="00722885">
        <w:rPr>
          <w:rFonts w:ascii="Times New Roman" w:hAnsi="Times New Roman"/>
          <w:color w:val="000000" w:themeColor="text1"/>
          <w:sz w:val="16"/>
          <w:szCs w:val="16"/>
        </w:rPr>
        <w:softHyphen/>
        <w:t>видное в плане, с закруглёнными закон- цовками. Оно состояло из центроплана размахом 6,2 м и двух отъёмных час</w:t>
      </w:r>
      <w:r w:rsidRPr="00722885">
        <w:rPr>
          <w:rFonts w:ascii="Times New Roman" w:hAnsi="Times New Roman"/>
          <w:color w:val="000000" w:themeColor="text1"/>
          <w:sz w:val="16"/>
          <w:szCs w:val="16"/>
        </w:rPr>
        <w:softHyphen/>
        <w:t>тей размахом по 8,8 м. Обшивка кры</w:t>
      </w:r>
      <w:r w:rsidRPr="00722885">
        <w:rPr>
          <w:rFonts w:ascii="Times New Roman" w:hAnsi="Times New Roman"/>
          <w:color w:val="000000" w:themeColor="text1"/>
          <w:sz w:val="16"/>
          <w:szCs w:val="16"/>
        </w:rPr>
        <w:softHyphen/>
        <w:t>ла - полностью фанерная. Профиль крыла - Р-11, относительной толщиной 14%. На задней кромке располагались закрылки и элероны. Они имели дере</w:t>
      </w:r>
      <w:r w:rsidRPr="00722885">
        <w:rPr>
          <w:rFonts w:ascii="Times New Roman" w:hAnsi="Times New Roman"/>
          <w:color w:val="000000" w:themeColor="text1"/>
          <w:sz w:val="16"/>
          <w:szCs w:val="16"/>
        </w:rPr>
        <w:softHyphen/>
        <w:t>вянный каркас и полотняную обтяжку. На передней кромке центроплана с левой стороны монтировались трубка ПВД и посадочная фара.</w:t>
      </w:r>
    </w:p>
    <w:p w14:paraId="1B120F7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Оперение - двухкилевое. Обшивка килей и стабилизатора - фанерная, а рулей-полотняная. Рули направления имели роговую компенсацию, на рулях высоты устанавливались триммеры.</w:t>
      </w:r>
    </w:p>
    <w:p w14:paraId="1EE73D0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Управление планёром - двойное, штурвальное, причём оба штурвала крепились на одной колонке. Провод</w:t>
      </w:r>
      <w:r w:rsidRPr="00722885">
        <w:rPr>
          <w:rFonts w:ascii="Times New Roman" w:hAnsi="Times New Roman"/>
          <w:color w:val="000000" w:themeColor="text1"/>
          <w:sz w:val="16"/>
          <w:szCs w:val="16"/>
        </w:rPr>
        <w:softHyphen/>
        <w:t>ка в основном состояла из деревянных тяг, и только на отдельных участках - тросовая. Приборное оборудование включало в себя указатель скорости, высотомер, вариометр, компас КИ и ука</w:t>
      </w:r>
      <w:r w:rsidRPr="00722885">
        <w:rPr>
          <w:rFonts w:ascii="Times New Roman" w:hAnsi="Times New Roman"/>
          <w:color w:val="000000" w:themeColor="text1"/>
          <w:sz w:val="16"/>
          <w:szCs w:val="16"/>
        </w:rPr>
        <w:softHyphen/>
        <w:t>затель поворота. В средней части при</w:t>
      </w:r>
      <w:r w:rsidRPr="00722885">
        <w:rPr>
          <w:rFonts w:ascii="Times New Roman" w:hAnsi="Times New Roman"/>
          <w:color w:val="000000" w:themeColor="text1"/>
          <w:sz w:val="16"/>
          <w:szCs w:val="16"/>
        </w:rPr>
        <w:softHyphen/>
        <w:t>борной доски располагались тумблеры включения фары, аэронавигационных огней и освещения кабин. Питание электрическим током осуществлялось от аккумулятора типа 12 А-10. Ниже приборной доски, по центру, находился рычаг открытия буксировочного замка. У правого пилота на борту размещался штурвал для выпуска посадочных щит</w:t>
      </w:r>
      <w:r w:rsidRPr="00722885">
        <w:rPr>
          <w:rFonts w:ascii="Times New Roman" w:hAnsi="Times New Roman"/>
          <w:color w:val="000000" w:themeColor="text1"/>
          <w:sz w:val="16"/>
          <w:szCs w:val="16"/>
        </w:rPr>
        <w:softHyphen/>
        <w:t>ков, а рядом - укладка для ракетницы и набора сигнальных ракет.</w:t>
      </w:r>
    </w:p>
    <w:p w14:paraId="281C899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Шасси включало в себя основные колёса размером 750x250 мм, при</w:t>
      </w:r>
      <w:r w:rsidRPr="00722885">
        <w:rPr>
          <w:rFonts w:ascii="Times New Roman" w:hAnsi="Times New Roman"/>
          <w:color w:val="000000" w:themeColor="text1"/>
          <w:sz w:val="16"/>
          <w:szCs w:val="16"/>
        </w:rPr>
        <w:softHyphen/>
        <w:t>креплённые к фюзеляжу, и хвостовое колесо 300x125 мм. Амортизация и тормоза у шасси отсутствовали. Зимой колёса можно было заменять на лыжи. Вдоль днища фюзеляжа устанавлива</w:t>
      </w:r>
      <w:r w:rsidRPr="00722885">
        <w:rPr>
          <w:rFonts w:ascii="Times New Roman" w:hAnsi="Times New Roman"/>
          <w:color w:val="000000" w:themeColor="text1"/>
          <w:sz w:val="16"/>
          <w:szCs w:val="16"/>
        </w:rPr>
        <w:softHyphen/>
        <w:t>лась клеёная деревянная посадочная лыжа, одновременно выполнявшая роль главного силового элемента фю</w:t>
      </w:r>
      <w:r w:rsidRPr="00722885">
        <w:rPr>
          <w:rFonts w:ascii="Times New Roman" w:hAnsi="Times New Roman"/>
          <w:color w:val="000000" w:themeColor="text1"/>
          <w:sz w:val="16"/>
          <w:szCs w:val="16"/>
        </w:rPr>
        <w:softHyphen/>
        <w:t>зеляжа.В ноябре 1940 г. нарком обороны маршал С.К. Тимошенко утвердил новый штат воздушно-десантной бри</w:t>
      </w:r>
      <w:r w:rsidRPr="00722885">
        <w:rPr>
          <w:rFonts w:ascii="Times New Roman" w:hAnsi="Times New Roman"/>
          <w:color w:val="000000" w:themeColor="text1"/>
          <w:sz w:val="16"/>
          <w:szCs w:val="16"/>
        </w:rPr>
        <w:softHyphen/>
        <w:t>гады, по которому в её состав вошла планёрная группа. Но в то время ВВС не имели ни десантных планёров, ни пилотов для них (12266).</w:t>
      </w:r>
    </w:p>
    <w:p w14:paraId="69D61B3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5E03A1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на аэродроме МВО состоялся смотр десантной техники и была показана посадка 20 А-7 и Г-11. Большое впечатление у руководства (107,14).</w:t>
      </w:r>
    </w:p>
    <w:p w14:paraId="16218E60" w14:textId="77777777" w:rsidR="00AE7191" w:rsidRPr="00722885" w:rsidRDefault="00AE7191" w:rsidP="00722885">
      <w:pPr>
        <w:pStyle w:val="Iauiue"/>
        <w:jc w:val="both"/>
        <w:rPr>
          <w:color w:val="000000" w:themeColor="text1"/>
          <w:sz w:val="16"/>
          <w:szCs w:val="16"/>
        </w:rPr>
      </w:pPr>
    </w:p>
    <w:p w14:paraId="205FC2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М-90 проходил совместные ис</w:t>
      </w:r>
      <w:r w:rsidRPr="00722885">
        <w:rPr>
          <w:rFonts w:ascii="Times New Roman" w:hAnsi="Times New Roman"/>
          <w:color w:val="000000" w:themeColor="text1"/>
          <w:sz w:val="16"/>
          <w:szCs w:val="16"/>
        </w:rPr>
        <w:softHyphen/>
        <w:t>пытания, госиспытания в декабре 1943 г., но не подтвер</w:t>
      </w:r>
      <w:r w:rsidRPr="00722885">
        <w:rPr>
          <w:rFonts w:ascii="Times New Roman" w:hAnsi="Times New Roman"/>
          <w:color w:val="000000" w:themeColor="text1"/>
          <w:sz w:val="16"/>
          <w:szCs w:val="16"/>
        </w:rPr>
        <w:softHyphen/>
        <w:t>дил заявленных характеристик. Работы были прекращены в начале 1944 г. В общей сложности изготовлено более 20 экземпляров. В документах упо</w:t>
      </w:r>
      <w:r w:rsidRPr="00722885">
        <w:rPr>
          <w:rFonts w:ascii="Times New Roman" w:hAnsi="Times New Roman"/>
          <w:color w:val="000000" w:themeColor="text1"/>
          <w:sz w:val="16"/>
          <w:szCs w:val="16"/>
        </w:rPr>
        <w:softHyphen/>
        <w:t>минаются модификации М-90Б и М-90Ж, но отличия их неизвестны.</w:t>
      </w:r>
    </w:p>
    <w:p w14:paraId="14BC63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Характеристики:</w:t>
      </w:r>
    </w:p>
    <w:p w14:paraId="1A4E94F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18-цилиндровый, двухрядный звездообразный, четырехтактный, воз</w:t>
      </w:r>
      <w:r w:rsidRPr="00722885">
        <w:rPr>
          <w:rFonts w:ascii="Times New Roman" w:hAnsi="Times New Roman"/>
          <w:color w:val="000000" w:themeColor="text1"/>
          <w:sz w:val="16"/>
          <w:szCs w:val="16"/>
        </w:rPr>
        <w:softHyphen/>
        <w:t>душного охлаждения, редукторный, с двухскоростнъш ПЦН;</w:t>
      </w:r>
    </w:p>
    <w:p w14:paraId="53B545C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мощность по заданию 1500/1950 л.с., проектная 2000 л.с., фактиче</w:t>
      </w:r>
      <w:r w:rsidRPr="00722885">
        <w:rPr>
          <w:rFonts w:ascii="Times New Roman" w:hAnsi="Times New Roman"/>
          <w:color w:val="000000" w:themeColor="text1"/>
          <w:sz w:val="16"/>
          <w:szCs w:val="16"/>
        </w:rPr>
        <w:softHyphen/>
        <w:t>ски 1550/1750 л.с.;</w:t>
      </w:r>
    </w:p>
    <w:p w14:paraId="6C42EE2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вес первых экземпляров 950 кг, поздних — 1070 кг (при 850 кг по заданию);</w:t>
      </w:r>
    </w:p>
    <w:p w14:paraId="5EB67E7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диаметр цилиндра/ход поршня 146/165 мм. (11852).</w:t>
      </w:r>
    </w:p>
    <w:p w14:paraId="1A1DAB1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F3861DF" w14:textId="77777777" w:rsidR="005B1690" w:rsidRPr="00722885" w:rsidRDefault="005B169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на заводе № 19ис</w:t>
      </w:r>
      <w:r w:rsidRPr="00722885">
        <w:rPr>
          <w:rFonts w:ascii="Times New Roman" w:hAnsi="Times New Roman"/>
          <w:color w:val="000000" w:themeColor="text1"/>
          <w:sz w:val="16"/>
          <w:szCs w:val="16"/>
        </w:rPr>
        <w:softHyphen/>
        <w:t xml:space="preserve">пытали американские керамические свечи </w:t>
      </w:r>
      <w:r w:rsidRPr="00722885">
        <w:rPr>
          <w:rFonts w:ascii="Times New Roman" w:hAnsi="Times New Roman"/>
          <w:color w:val="000000" w:themeColor="text1"/>
          <w:sz w:val="16"/>
          <w:szCs w:val="16"/>
          <w:lang w:val="en-US"/>
        </w:rPr>
        <w:t>AC</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LS</w:t>
      </w:r>
      <w:r w:rsidRPr="00722885">
        <w:rPr>
          <w:rFonts w:ascii="Times New Roman" w:hAnsi="Times New Roman"/>
          <w:color w:val="000000" w:themeColor="text1"/>
          <w:sz w:val="16"/>
          <w:szCs w:val="16"/>
        </w:rPr>
        <w:t>-85 при длительном испытании М-82 на станке. После 12 часов работы (из них 9 часов на режиме) заменили одну свечу вслед</w:t>
      </w:r>
      <w:r w:rsidRPr="00722885">
        <w:rPr>
          <w:rFonts w:ascii="Times New Roman" w:hAnsi="Times New Roman"/>
          <w:color w:val="000000" w:themeColor="text1"/>
          <w:sz w:val="16"/>
          <w:szCs w:val="16"/>
        </w:rPr>
        <w:softHyphen/>
        <w:t>ствие разрушения изолятора и 3 свечи вследствие прогорания ввёртной части корпуса в свечной втулке цилиндра. После 32 часов работы (из них 18 часов на режиме) замени</w:t>
      </w:r>
      <w:r w:rsidRPr="00722885">
        <w:rPr>
          <w:rFonts w:ascii="Times New Roman" w:hAnsi="Times New Roman"/>
          <w:color w:val="000000" w:themeColor="text1"/>
          <w:sz w:val="16"/>
          <w:szCs w:val="16"/>
        </w:rPr>
        <w:softHyphen/>
        <w:t>ли 4 свечи вследствие пробоя изолятора сердечника и 2 свечи вследствие разрушения изолятора сердечника.</w:t>
      </w:r>
    </w:p>
    <w:p w14:paraId="310F98C8" w14:textId="77777777" w:rsidR="005B1690" w:rsidRPr="00722885" w:rsidRDefault="005B169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целом, ухудшение работы свечей обусловливалось ростом мощностей моторов и применением высокооктанового топлива (повышением степени сжатия) (15829).</w:t>
      </w:r>
    </w:p>
    <w:p w14:paraId="3E64F25E" w14:textId="77777777" w:rsidR="005B1690" w:rsidRPr="00722885" w:rsidRDefault="005B1690" w:rsidP="00722885">
      <w:pPr>
        <w:spacing w:after="0" w:line="240" w:lineRule="auto"/>
        <w:jc w:val="both"/>
        <w:rPr>
          <w:rFonts w:ascii="Times New Roman" w:hAnsi="Times New Roman"/>
          <w:color w:val="000000" w:themeColor="text1"/>
          <w:sz w:val="16"/>
          <w:szCs w:val="16"/>
        </w:rPr>
      </w:pPr>
    </w:p>
    <w:p w14:paraId="41B2E574" w14:textId="77777777" w:rsidR="005B1690" w:rsidRPr="00722885" w:rsidRDefault="005B16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августе 1942 г. окончательно рухнула надежда на окончание доводки бо</w:t>
      </w:r>
      <w:r w:rsidRPr="00722885">
        <w:rPr>
          <w:rFonts w:ascii="Times New Roman" w:cs="Times New Roman"/>
          <w:color w:val="000000" w:themeColor="text1"/>
          <w:spacing w:val="0"/>
        </w:rPr>
        <w:softHyphen/>
        <w:t>лее мощного мотора М-107. Конструктору В.Я. Климову не поздоровилось бы, но спасло его то, что он пообещал Сталину быстро создать новый, ещё более мощ</w:t>
      </w:r>
      <w:r w:rsidRPr="00722885">
        <w:rPr>
          <w:rFonts w:ascii="Times New Roman" w:cs="Times New Roman"/>
          <w:color w:val="000000" w:themeColor="text1"/>
          <w:spacing w:val="0"/>
        </w:rPr>
        <w:softHyphen/>
        <w:t>ный мотор, получивший обозначение М-107А. Теперь надежды на повышение лётных данных самых многочисленных в ВВС КА истребителей «Як» всецело зависели от успеха создания этого мотора. Но после неудачи с М-107 у руководства НКАП и ВВС на этот счёт имелись очевидные опасения.</w:t>
      </w:r>
    </w:p>
    <w:p w14:paraId="07195CCD" w14:textId="77777777" w:rsidR="005B1690" w:rsidRPr="00722885" w:rsidRDefault="005B16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Поэтому именно от результатов работы пермских моторостроителей во многом зави</w:t>
      </w:r>
      <w:r w:rsidRPr="00722885">
        <w:rPr>
          <w:rFonts w:ascii="Times New Roman" w:cs="Times New Roman"/>
          <w:color w:val="000000" w:themeColor="text1"/>
          <w:spacing w:val="0"/>
        </w:rPr>
        <w:softHyphen/>
        <w:t>сел скорейший выход новых модернизированных истребителей. Но и здесь неожиданно возникла дилемма.</w:t>
      </w:r>
    </w:p>
    <w:p w14:paraId="7309C6C9" w14:textId="77777777" w:rsidR="005B1690" w:rsidRPr="00722885" w:rsidRDefault="005B16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Дело в том, что Н.Н. Поликарпов продолжал работу по доводке своего истребителя И-185, теперь уже только с мотором М-71. В 1942 г. завод № 51 построил «образцовый» И-185-М-71 с улучшенной внешней и внутренней аэродинамикой капота мотора, с ус</w:t>
      </w:r>
      <w:r w:rsidRPr="00722885">
        <w:rPr>
          <w:rFonts w:ascii="Times New Roman" w:cs="Times New Roman"/>
          <w:color w:val="000000" w:themeColor="text1"/>
          <w:spacing w:val="0"/>
        </w:rPr>
        <w:softHyphen/>
        <w:t>тановкой 3-пушечного вооружения и устранением ранее обнаруженных недостатков. За</w:t>
      </w:r>
      <w:r w:rsidRPr="00722885">
        <w:rPr>
          <w:rFonts w:ascii="Times New Roman" w:cs="Times New Roman"/>
          <w:color w:val="000000" w:themeColor="text1"/>
          <w:spacing w:val="0"/>
        </w:rPr>
        <w:softHyphen/>
        <w:t xml:space="preserve">водские испытания этого самолёта продолжались всё лето и закончились 12 октября 1942 г. Столь длительный срок был вызван потребовавшимися доработками ВМГ из-за высокого температурного режима мотора. </w:t>
      </w:r>
    </w:p>
    <w:p w14:paraId="591C1490" w14:textId="77777777" w:rsidR="005B1690" w:rsidRPr="00722885" w:rsidRDefault="005B16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Как оказалось, усилия потратили не зря. Получили высокие лётные данные: макси</w:t>
      </w:r>
      <w:r w:rsidRPr="00722885">
        <w:rPr>
          <w:rFonts w:ascii="Times New Roman" w:cs="Times New Roman"/>
          <w:color w:val="000000" w:themeColor="text1"/>
          <w:spacing w:val="0"/>
        </w:rPr>
        <w:softHyphen/>
        <w:t>мальная скорость у земли на номинале — 537 км/ч, на форсаже (Н=90 м) — 577 км/ч, на 2-й границе высотности 6100 м — 667 км/ч, время набора 5000 м — 4,7 мин. В то время такими показателями не обладал ни один из отечественных и известных ино</w:t>
      </w:r>
      <w:r w:rsidRPr="00722885">
        <w:rPr>
          <w:rFonts w:ascii="Times New Roman" w:cs="Times New Roman"/>
          <w:color w:val="000000" w:themeColor="text1"/>
          <w:spacing w:val="0"/>
        </w:rPr>
        <w:softHyphen/>
        <w:t>странных истребителей (</w:t>
      </w:r>
      <w:r w:rsidRPr="00722885">
        <w:rPr>
          <w:rFonts w:ascii="Times New Roman" w:cs="Times New Roman"/>
          <w:color w:val="000000" w:themeColor="text1"/>
          <w:spacing w:val="0"/>
          <w:lang w:val="en-US"/>
        </w:rPr>
        <w:t>Bf</w:t>
      </w:r>
      <w:r w:rsidRPr="00722885">
        <w:rPr>
          <w:rFonts w:ascii="Times New Roman" w:cs="Times New Roman"/>
          <w:color w:val="000000" w:themeColor="text1"/>
          <w:spacing w:val="0"/>
        </w:rPr>
        <w:t>.109</w:t>
      </w:r>
      <w:r w:rsidRPr="00722885">
        <w:rPr>
          <w:rFonts w:ascii="Times New Roman" w:cs="Times New Roman"/>
          <w:color w:val="000000" w:themeColor="text1"/>
          <w:spacing w:val="0"/>
          <w:lang w:val="en-US"/>
        </w:rPr>
        <w:t>G</w:t>
      </w:r>
      <w:r w:rsidRPr="00722885">
        <w:rPr>
          <w:rFonts w:ascii="Times New Roman" w:cs="Times New Roman"/>
          <w:color w:val="000000" w:themeColor="text1"/>
          <w:spacing w:val="0"/>
        </w:rPr>
        <w:t>-2 в НИИ ВВС испытывался позже).</w:t>
      </w:r>
    </w:p>
    <w:p w14:paraId="254DC8C8" w14:textId="77777777" w:rsidR="005B1690" w:rsidRPr="00722885" w:rsidRDefault="005B169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Дело с доводкой М-71 также продвинулось вперёд (15813).</w:t>
      </w:r>
    </w:p>
    <w:p w14:paraId="341C6CC9" w14:textId="77777777" w:rsidR="005B1690" w:rsidRPr="00722885" w:rsidRDefault="005B1690" w:rsidP="00722885">
      <w:pPr>
        <w:pStyle w:val="27"/>
        <w:shd w:val="clear" w:color="auto" w:fill="auto"/>
        <w:spacing w:after="0" w:line="240" w:lineRule="auto"/>
        <w:ind w:firstLine="0"/>
        <w:rPr>
          <w:rFonts w:ascii="Times New Roman" w:cs="Times New Roman"/>
          <w:color w:val="000000" w:themeColor="text1"/>
          <w:spacing w:val="0"/>
        </w:rPr>
      </w:pPr>
    </w:p>
    <w:p w14:paraId="4186237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на приёме, устроенном в честь прибытия в Москву английской правительственной делегации, Сталин, представляя Черчиллю Шахурина, изрёк с присущим ему чёрным юмором: «Вот наш нарком авиационной промышленности, он отвечает за обеспечение фронта боевыми самолётами, и если он этого не сделает, мы его повесим». Мрачную фразу вождь сопроводил выразительным движением руки вокруг шеи.</w:t>
      </w:r>
    </w:p>
    <w:p w14:paraId="520BCB9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наряду с «кнутом» угроз и наказаний власть также использовала и «пряник» поощрений и наград. Для манипулирования высшим менеджментом авиастроения Сталин задействовал в отношениях с ним классическую формулу «разделяй и властвуй». В частности, поддерживал подспудную борьбу между Шахуриным, которого, в свою очередь, опекал Маленков, и замом наркома Яковлевым. При этом, как бы держась над схваткой, Сталин периодически вставал на сторону то одной, то другой группировки, укрепляя тем самым собственную власть (12018).</w:t>
      </w:r>
    </w:p>
    <w:p w14:paraId="298E82F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B4374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вышел приказ о реэвакуации ЦАГИ и 156 завода в Москву (109,153). Директором 156 завода в Москве стал А.В.Ляпидевский (109,149).</w:t>
      </w:r>
    </w:p>
    <w:p w14:paraId="45E6CCB3" w14:textId="77777777" w:rsidR="00AE7191" w:rsidRPr="00722885" w:rsidRDefault="00AE7191" w:rsidP="00722885">
      <w:pPr>
        <w:pStyle w:val="Iauiue"/>
        <w:jc w:val="both"/>
        <w:rPr>
          <w:color w:val="000000" w:themeColor="text1"/>
          <w:sz w:val="16"/>
          <w:szCs w:val="16"/>
        </w:rPr>
      </w:pPr>
    </w:p>
    <w:p w14:paraId="4247D2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 на заводе №99 (Улан-Удэ) было организовано производство истребителя ЛаГГ-5 (Ла-5) (4094) (3573).</w:t>
      </w:r>
    </w:p>
    <w:p w14:paraId="585ECDE5" w14:textId="77777777" w:rsidR="00AE7191" w:rsidRPr="00722885" w:rsidRDefault="00AE7191" w:rsidP="00722885">
      <w:pPr>
        <w:pStyle w:val="Iauiue"/>
        <w:jc w:val="both"/>
        <w:rPr>
          <w:color w:val="000000" w:themeColor="text1"/>
          <w:sz w:val="16"/>
          <w:szCs w:val="16"/>
        </w:rPr>
      </w:pPr>
    </w:p>
    <w:p w14:paraId="480DB1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летные исследования ВРД-1 на летающей лаборатории ЛаГГ-3 с мотором М-105ПФ проводил летчик-испытатель Г.А. Мищенко. Двигатель ВРД-1 имел длину 2,15 м и диаметр диффузора 0,14 м при весе 16 кг. Прирост скорости при включении ПВРД получился небольшой, около 15 км/ч. Поскольку задача получения максимальной скорости при включении ПВРД не ставилась, то и требования к аэродинамике узлов его крепления к крылу, "съедавших" 35 - 40 км/ч, не предъявлялись. Полеты показали, что до установки ПВРД на боевой самолет необходимо обеспечить устойчивое горение топлива с автоматическим регулированием состава смеси и запуск ПВРД на больших высотах (11983).</w:t>
      </w:r>
    </w:p>
    <w:p w14:paraId="505761B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34B75C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августа 1942 г. заводу № 126 были переданы недостроенные помещения соседнего завода №130, (ныне территория «Б») строительство которого началось еще в 1940 г. для выпуска самолета И-26. Однако, к тому времени намечавшийся к выпуску самолет И-26 был отдан на другое предприятие и з-д №130 остался без заказа. 23 авг. 1942 г. на основании приказа зам. наркома авиационной промышленности П. В. Дементьева строительство завода № 130 со всеми зданиями, сооружениями и оборудованием было передано на баланс завода № 126. На директора завода № 126 Д.А. Тимофееева возлагалась эксплуатация и достройка завода № 130 (12211).</w:t>
      </w:r>
    </w:p>
    <w:p w14:paraId="40F323A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AAB59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на заводе Компрессор была изготовлена пусковая установка М-13-МII для 32 М-13 - башенно-палубного типа. Поставили на бронекатер проекта 1124 взамен кормовой башни. Осенью испытали, но на вооружение не приняли и опытный экз. Оставался в Волжской флотилии (4305,34).</w:t>
      </w:r>
    </w:p>
    <w:p w14:paraId="2A96F2DA" w14:textId="77777777" w:rsidR="00AE7191" w:rsidRPr="00722885" w:rsidRDefault="00AE7191" w:rsidP="00722885">
      <w:pPr>
        <w:pStyle w:val="Iauiue"/>
        <w:jc w:val="both"/>
        <w:rPr>
          <w:color w:val="000000" w:themeColor="text1"/>
          <w:sz w:val="16"/>
          <w:szCs w:val="16"/>
        </w:rPr>
      </w:pPr>
    </w:p>
    <w:p w14:paraId="7BEF68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года завод № 278 был эвакуирован в Ульяновск на площадь строящейся макаронной фабрики и влился в завод № 280 (9484).</w:t>
      </w:r>
    </w:p>
    <w:p w14:paraId="2A83A974" w14:textId="77777777" w:rsidR="00AE7191" w:rsidRPr="00722885" w:rsidRDefault="00AE7191" w:rsidP="00722885">
      <w:pPr>
        <w:pStyle w:val="Iauiue"/>
        <w:jc w:val="both"/>
        <w:rPr>
          <w:color w:val="000000" w:themeColor="text1"/>
          <w:sz w:val="16"/>
          <w:szCs w:val="16"/>
        </w:rPr>
      </w:pPr>
    </w:p>
    <w:p w14:paraId="18088F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ОКБ-34 НКАП переведено в Москву на площадку завода № 124. По приказу № 225с от 17.04.1943 г. ОКБ завода № 34 с 1.04.1943 г. получило наименование ОКБ-124 НКАП и передано в подчинение заводу № 124. Головное ОКБ по радиаторам. С 1.07.1946 г. ОКБ-124 объединено с заводом № 124 в единый опытный завод № 124 в системе 7ГУ. По приказу № 440с от 21.06.1948 г. завод преобразован в серийный, 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 В послевоенный период работы по криогенно-вакуумной технике, системам кондиционирования воздуха в кабинах ЛА. Радиаторы и обогреватели, турбохолодильники, ТМР, арматура, оборудование для высотных полетов. Гл. конструктор (04.1943-85 г.)- Г.И. Воронин (10776).</w:t>
      </w:r>
    </w:p>
    <w:p w14:paraId="1B7F6C9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2761E1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ОКБ-34 НКАП переведено в Москву на площадку завода № 124. По приказу № 225с от 17.04.1943 г. ОКБ завода № 34 с 1.04.1943 г. получило наименование ОКБ-124 НКАП и передано в подчинение заводу № 124. Головное ОКБ по радиаторам. В 1944 г. создан первый воздухо-воздушный радиатор, в 06.1948 г. - первый авиационный турбохолодильник.</w:t>
      </w:r>
    </w:p>
    <w:p w14:paraId="086D69D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1.07.1946 г. ОКБ-124 объединено с заводом № 124 в единый опытный завод № 124 в системе 7ГУ. По приказу № 440с от 21.06.1948 г. завод преобразован в серийный, ОКБ-124 выделено из его состава. С 1957 г. ОКБ передано из 7ГУ в 6ГУ, с 08.1957 г.- в ведении 2ГУ МАП.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w:t>
      </w:r>
    </w:p>
    <w:p w14:paraId="688339B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послевоенный период работы по криогенно-вакуумной технике, системам кондиционирования воздуха в кабинах </w:t>
      </w:r>
      <w:r w:rsidRPr="00722885">
        <w:rPr>
          <w:rFonts w:ascii="Times New Roman" w:hAnsi="Times New Roman"/>
          <w:color w:val="000000" w:themeColor="text1"/>
          <w:sz w:val="16"/>
          <w:szCs w:val="16"/>
          <w:lang w:val="en-US"/>
        </w:rPr>
        <w:t>JIA</w:t>
      </w:r>
      <w:r w:rsidRPr="00722885">
        <w:rPr>
          <w:rFonts w:ascii="Times New Roman" w:hAnsi="Times New Roman"/>
          <w:color w:val="000000" w:themeColor="text1"/>
          <w:sz w:val="16"/>
          <w:szCs w:val="16"/>
        </w:rPr>
        <w:t>. Радиаторы и обогреватели, турбохолодильники, ТМР, арматура, оборудование для высотных полетов.</w:t>
      </w:r>
    </w:p>
    <w:p w14:paraId="0D4B4BE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(04.1943-85 г.)-  Г.И. Воронин (11982).</w:t>
      </w:r>
    </w:p>
    <w:p w14:paraId="1CAB298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D6495E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завод № 329 (Завод № 329 НКАП /пос. Дземги-на-Амуре Хабаровского кр./) влит в состав завода № 126 НКАП (11982).</w:t>
      </w:r>
    </w:p>
    <w:p w14:paraId="46D8914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D4ACF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года было организовано ОКБ-383 на основании приказа заместителя НКАП Дементьева П.В. на базе завода № 383 с направлением работ по винтовой тематике.</w:t>
      </w:r>
    </w:p>
    <w:p w14:paraId="39FABE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1952 году в тематику ОКБ были включены подвесные топливные баки, производство их продолжалось до 1954 года.</w:t>
      </w:r>
    </w:p>
    <w:p w14:paraId="636BF8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мая 1954 года ОКБ в основном перешло на изготовление центробежных топливных насосов для чего была выстроена опытная испытательная станция.</w:t>
      </w:r>
    </w:p>
    <w:p w14:paraId="401A5D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1942 года по 1945 год гл. конструктором был Гришин А.В.</w:t>
      </w:r>
    </w:p>
    <w:p w14:paraId="4E8C950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1945 по 1949 год приказом МАП гл. конструктором был назначен Кузьмин Г.И.</w:t>
      </w:r>
    </w:p>
    <w:p w14:paraId="023EF3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Приказом МАП № 146к от 1 апреля 1949 года гл. конструктором назначен Заславский Г.М. (9398).</w:t>
      </w:r>
    </w:p>
    <w:p w14:paraId="4420D3FE" w14:textId="77777777" w:rsidR="00AE7191" w:rsidRPr="00722885" w:rsidRDefault="00AE7191" w:rsidP="00722885">
      <w:pPr>
        <w:pStyle w:val="Iauiue"/>
        <w:jc w:val="both"/>
        <w:rPr>
          <w:color w:val="000000" w:themeColor="text1"/>
          <w:sz w:val="16"/>
          <w:szCs w:val="16"/>
        </w:rPr>
      </w:pPr>
    </w:p>
    <w:p w14:paraId="45032AAD" w14:textId="77777777" w:rsidR="00184FC4" w:rsidRPr="00722885" w:rsidRDefault="00184FC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на приеме, устроенном в честь прибытия в Москву английской правительственной делегации, тот, представляя Черчиллю Шахурина, изрек с присущим ему черным юмором: «Вот наш нарком авиационной промышленности, он отвечает за обеспечение фронта боевыми самолетами, и, если он этого не сделает, мы его повесим». Мрачную фразу вождь сопроводил выразительным движением руки вокруг шеи (18305).</w:t>
      </w:r>
    </w:p>
    <w:p w14:paraId="2589016C" w14:textId="77777777" w:rsidR="00184FC4" w:rsidRPr="00722885" w:rsidRDefault="00184FC4" w:rsidP="00722885">
      <w:pPr>
        <w:spacing w:after="0" w:line="240" w:lineRule="auto"/>
        <w:jc w:val="both"/>
        <w:rPr>
          <w:rFonts w:ascii="Times New Roman" w:hAnsi="Times New Roman"/>
          <w:color w:val="000000" w:themeColor="text1"/>
          <w:sz w:val="16"/>
          <w:szCs w:val="16"/>
        </w:rPr>
      </w:pPr>
    </w:p>
    <w:p w14:paraId="3A718B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года на основании Постановления ГОКО № 2107 от 26 июля 1942 года и приказа НКАП № 565-с от 28 июля 1942 года началось строительство карбидного завода № 57.</w:t>
      </w:r>
    </w:p>
    <w:p w14:paraId="310717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Расположен завод в черте Куйбышева.</w:t>
      </w:r>
    </w:p>
    <w:p w14:paraId="78232B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Директор – Травников</w:t>
      </w:r>
    </w:p>
    <w:p w14:paraId="7858D6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033536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Производственный профиль – основная продукция карбид кальция</w:t>
      </w:r>
    </w:p>
    <w:p w14:paraId="2B858A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Строительство его было начато в августе 1942 года, введен в эксплуатацию 2 октября 1942 года для выпуска карбида кальция (9836).</w:t>
      </w:r>
    </w:p>
    <w:p w14:paraId="3D29E8BC" w14:textId="77777777" w:rsidR="00AE7191" w:rsidRPr="00722885" w:rsidRDefault="00AE7191" w:rsidP="00722885">
      <w:pPr>
        <w:pStyle w:val="Iauiue"/>
        <w:jc w:val="both"/>
        <w:rPr>
          <w:color w:val="000000" w:themeColor="text1"/>
          <w:sz w:val="16"/>
          <w:szCs w:val="16"/>
        </w:rPr>
      </w:pPr>
    </w:p>
    <w:p w14:paraId="0BD2491F"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(в тот же период, что и М.Л. Миль с Н.И. Камовым) начальник передвижных ремонтных мастерских военинженер 3 ранга А.Ф.Алферов и офицеры Х.Я. Суляев и Л.Р. Репс из состава Черноморской оперативной группы ГМЧ СевКавфронта по ходатайству командующего Черноморской группы войск полковника А.И. Нестеренко перед ГУВ ГМЧ приступили к созданию горнострелковой 8-ствольной РСЗО М-8-8 для стрельбы «пехотными» 82-мм реактивными снарядами М-8 осколочного действия. Для повышения огневой мощи количество направляющих у нее увеличили до восьми, что позволяло вести огонь по площадям. Как и у Камова, она также предназначалась для стрельбы и уничтожения живой силы и легкоуязвимой техники, но в стесненных горных условиях, недоступных для использования полевой артиллерии и самоходных РСЗО (15595).</w:t>
      </w:r>
    </w:p>
    <w:p w14:paraId="1D4BCF0E" w14:textId="77777777" w:rsidR="007D7196" w:rsidRPr="00722885" w:rsidRDefault="007D7196" w:rsidP="00722885">
      <w:pPr>
        <w:spacing w:after="0" w:line="240" w:lineRule="auto"/>
        <w:jc w:val="both"/>
        <w:rPr>
          <w:rFonts w:ascii="Times New Roman" w:hAnsi="Times New Roman"/>
          <w:color w:val="000000" w:themeColor="text1"/>
          <w:sz w:val="16"/>
          <w:szCs w:val="16"/>
        </w:rPr>
      </w:pPr>
    </w:p>
    <w:p w14:paraId="005306AF" w14:textId="77777777" w:rsidR="007D7196" w:rsidRPr="00722885" w:rsidRDefault="007D7196"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(15982).</w:t>
      </w:r>
    </w:p>
    <w:p w14:paraId="0C341CB4" w14:textId="77777777" w:rsidR="007D7196" w:rsidRPr="00722885" w:rsidRDefault="007D7196" w:rsidP="00722885">
      <w:pPr>
        <w:spacing w:after="0" w:line="240" w:lineRule="auto"/>
        <w:jc w:val="both"/>
        <w:rPr>
          <w:rFonts w:ascii="Times New Roman" w:eastAsia="Times New Roman" w:hAnsi="Times New Roman"/>
          <w:color w:val="000000" w:themeColor="text1"/>
          <w:sz w:val="16"/>
          <w:szCs w:val="16"/>
        </w:rPr>
      </w:pPr>
    </w:p>
    <w:p w14:paraId="463DD08D"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по ходатайству ВМФ, на основании Постановления Совнаркома №14724рс от 6 августа 1942 года, на заводе № 733 НКМВ для ВМФ было предусмотрено изготовление 30 установок М-8-М и 20 установок М-13-М.</w:t>
      </w:r>
    </w:p>
    <w:p w14:paraId="4C768B0D"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заместитель председателя СНК Союза ССР т.Берия был распоряжение ГУВГМФ Ст.Верх.Главн. Командования по обеспечению изготовленных установок в ВМФ боезапасом (15982).</w:t>
      </w:r>
    </w:p>
    <w:p w14:paraId="7AC15A78" w14:textId="77777777" w:rsidR="007D7196" w:rsidRPr="00722885" w:rsidRDefault="007D7196" w:rsidP="00722885">
      <w:pPr>
        <w:spacing w:after="0" w:line="240" w:lineRule="auto"/>
        <w:jc w:val="both"/>
        <w:rPr>
          <w:rFonts w:ascii="Times New Roman" w:hAnsi="Times New Roman"/>
          <w:color w:val="000000" w:themeColor="text1"/>
          <w:sz w:val="16"/>
          <w:szCs w:val="16"/>
        </w:rPr>
      </w:pPr>
    </w:p>
    <w:p w14:paraId="66B8AB3F"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на Волжской Военной Флотилии была испытана вторая опытная установка М-13-М, изготовленная заводом № 733, с учетом конструктивных доделок и изменений отмеченных комиссией и смонтированная зав.№340 (г.Зеленодольск) на бронекатера типа 1124. Испытания показали положительные результаты, и бронекатер с установкой М-13-М вошел в строй ВВФ (15982).</w:t>
      </w:r>
    </w:p>
    <w:p w14:paraId="558E8141" w14:textId="77777777" w:rsidR="007D7196" w:rsidRPr="00722885" w:rsidRDefault="007D7196" w:rsidP="00722885">
      <w:pPr>
        <w:spacing w:after="0" w:line="240" w:lineRule="auto"/>
        <w:jc w:val="both"/>
        <w:rPr>
          <w:rFonts w:ascii="Times New Roman" w:hAnsi="Times New Roman"/>
          <w:color w:val="000000" w:themeColor="text1"/>
          <w:sz w:val="16"/>
          <w:szCs w:val="16"/>
        </w:rPr>
      </w:pPr>
    </w:p>
    <w:p w14:paraId="57016DA2"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СКБ московского завода №733 “Компрессор“ был создан  опытный 2-х ствольный станок для пуска реактивной противо</w:t>
      </w:r>
      <w:hyperlink r:id="rId93"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овой мины МП-10. Станок разрабатывался по заданию ГУВ ГМЧ КА, ТЗ-00149  и предназначался для поражения </w:t>
      </w:r>
      <w:hyperlink r:id="rId94"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 и бронемашин противника.  Заводское название: переносной двуствольный противо</w:t>
      </w:r>
      <w:hyperlink r:id="rId95"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овый реактивный миномет (ПДПРМ).</w:t>
      </w:r>
    </w:p>
    <w:p w14:paraId="6CD7C394"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Боевой станок (пусковая установка)для МП-10 представлял собой направляющие в виде двух тонкостенных гладких стальных труб, в которые сзади вставлялись мины МП-10. Снизу к направляющим крепились: спусковой механизм с рычагом и шепталом механического действия  с  двойным спусковым крючком, , передний суппорт и задний  упор  удерживающие мину от выпадения,  трубчатая рукоять для наведения, передняя трубчатая сошка. Прицельные приспособления  представляли собой  простые открытые  мушку и рамку приваренные к стволу с левой стороны.</w:t>
      </w:r>
    </w:p>
    <w:p w14:paraId="2C76FBE7"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Пуск мины производился нажатием на спусковой крючок, при этом механизм выдергивал из мины запал мгновенного действия.</w:t>
      </w:r>
    </w:p>
    <w:p w14:paraId="6BAA9F90"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Прицеливание и пуск мины производился из лежачего положения. При пуске стрелок надевал на голову специальный защитный шлем.</w:t>
      </w:r>
    </w:p>
    <w:p w14:paraId="0BB83E91"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Станок был испытан на артиллерийском полигоне ГАУ и был принят на вооружение РККА  (В индексах вооружения ГАУ  значился как:  52-У-931 - 2-зарядный станок серт. ТЗ-00149 для пуска 100-мм противо</w:t>
      </w:r>
      <w:hyperlink r:id="rId96"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мин 52-У-941Б.  журнал № 0018, 1942 г)  Заводом “Компрессор”  была изготовлена опытная серия.</w:t>
      </w:r>
    </w:p>
    <w:p w14:paraId="3644FFD7"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была создана одноствольная версия с</w:t>
      </w:r>
      <w:hyperlink r:id="rId97"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для пуска реактивной противо</w:t>
      </w:r>
      <w:hyperlink r:id="rId98"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овой мины МП-10. Конструкция была полностью аналогична двуствольному образцу.</w:t>
      </w:r>
    </w:p>
    <w:p w14:paraId="1017B9AB"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ТТХ данных РПГ и характеристик противо</w:t>
      </w:r>
      <w:hyperlink r:id="rId99"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овой реактивной мины МП-10 и результатов испытаний не обнаружено…(15596).</w:t>
      </w:r>
    </w:p>
    <w:p w14:paraId="793A916F" w14:textId="77777777" w:rsidR="007D7196" w:rsidRPr="00722885" w:rsidRDefault="007D7196" w:rsidP="00722885">
      <w:pPr>
        <w:spacing w:after="0" w:line="240" w:lineRule="auto"/>
        <w:jc w:val="both"/>
        <w:rPr>
          <w:rFonts w:ascii="Times New Roman" w:hAnsi="Times New Roman"/>
          <w:color w:val="000000" w:themeColor="text1"/>
          <w:sz w:val="16"/>
          <w:szCs w:val="16"/>
        </w:rPr>
      </w:pPr>
    </w:p>
    <w:p w14:paraId="56EA57FE"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было построено 8 установок Б-64-А, которые прямо на заводе «Баррикады» были укомплектованы артиллерийскими расчётами из моряков, эвакуированных из Севастополя. При эвакуации в Сталинград с завода «Большевик» сотрудников КБ, было перевезено значительное количество палубных морских установок Б-38. Эвакуированные конструкторы КБ «Большевика» под руководством Е. Г. Рудяка, Г. Н. Кузнецова, А. А. Флоренского разработали в Сталинграде свой проект. Дальнейшую разработку по Б-64-А вели в Сталинграде совместно конструкторы «Большевика», «Баррикад», ЛМЗ. Установки приняли активное участие в обороне Сталинграда, накрывая огнём технику и пехоту фашистов на дальних подступах к городу. В дни, когда город подвергался жестоким артобстрелам и бомбёжкам, батареи маневрировали между заводами «Баррикады» и тракторным. Когда бои начались в городе, железнодорожные транспортёры Б-64-А были направлены на другие участки фронтов (15132).</w:t>
      </w:r>
    </w:p>
    <w:p w14:paraId="773E9119" w14:textId="77777777" w:rsidR="007D7196" w:rsidRPr="00722885" w:rsidRDefault="007D7196" w:rsidP="00722885">
      <w:pPr>
        <w:spacing w:after="0" w:line="240" w:lineRule="auto"/>
        <w:jc w:val="both"/>
        <w:rPr>
          <w:rFonts w:ascii="Times New Roman" w:hAnsi="Times New Roman"/>
          <w:color w:val="000000" w:themeColor="text1"/>
          <w:sz w:val="16"/>
          <w:szCs w:val="16"/>
        </w:rPr>
      </w:pPr>
    </w:p>
    <w:p w14:paraId="36516684" w14:textId="77777777" w:rsidR="00CE32F4" w:rsidRPr="00722885" w:rsidRDefault="00CE32F4" w:rsidP="00722885">
      <w:pPr>
        <w:pStyle w:val="ae"/>
        <w:spacing w:before="0" w:after="0"/>
        <w:jc w:val="both"/>
        <w:textAlignment w:val="baseline"/>
        <w:rPr>
          <w:color w:val="000000" w:themeColor="text1"/>
          <w:sz w:val="16"/>
          <w:szCs w:val="16"/>
        </w:rPr>
      </w:pPr>
      <w:r w:rsidRPr="00722885">
        <w:rPr>
          <w:color w:val="000000" w:themeColor="text1"/>
          <w:sz w:val="16"/>
          <w:szCs w:val="16"/>
        </w:rPr>
        <w:t>В августе 1942 г. начальник передвижных ремонтных мастерских военинженер 3 ранга А.Ф.Алферов и офицеры Х.Я. Суляев и Л.Р. Репс из состава Черноморской оперативной группы ГМЧ СевКавфронта</w:t>
      </w:r>
      <w:r w:rsidRPr="00722885">
        <w:rPr>
          <w:rStyle w:val="a7"/>
          <w:rFonts w:eastAsiaTheme="majorEastAsia"/>
          <w:b w:val="0"/>
          <w:iCs/>
          <w:color w:val="000000" w:themeColor="text1"/>
          <w:sz w:val="16"/>
          <w:szCs w:val="16"/>
          <w:bdr w:val="none" w:sz="0" w:space="0" w:color="auto" w:frame="1"/>
        </w:rPr>
        <w:t xml:space="preserve"> приступили к разработке Горнострелковой 8-ствольной РСЗО М-8-8</w:t>
      </w:r>
      <w:r w:rsidRPr="00722885">
        <w:rPr>
          <w:color w:val="000000" w:themeColor="text1"/>
          <w:sz w:val="16"/>
          <w:szCs w:val="16"/>
        </w:rPr>
        <w:t> для стрельбы «пехотными» 82-мм реактивными снарядами М-8 осколочного действия. По ходатайству командующего Черноморской группы войск полковника А.И. Нестеренко перед ГУВ ГМЧ она поступила на вооружение Красной Армии в 1942 г.</w:t>
      </w:r>
    </w:p>
    <w:p w14:paraId="6BD6A84C" w14:textId="77777777" w:rsidR="00CE32F4" w:rsidRPr="00722885" w:rsidRDefault="00CE32F4" w:rsidP="00722885">
      <w:pPr>
        <w:pStyle w:val="ae"/>
        <w:spacing w:before="0" w:after="0"/>
        <w:jc w:val="both"/>
        <w:textAlignment w:val="baseline"/>
        <w:rPr>
          <w:color w:val="000000" w:themeColor="text1"/>
          <w:sz w:val="16"/>
          <w:szCs w:val="16"/>
        </w:rPr>
      </w:pPr>
      <w:r w:rsidRPr="00722885">
        <w:rPr>
          <w:color w:val="000000" w:themeColor="text1"/>
          <w:sz w:val="16"/>
          <w:szCs w:val="16"/>
        </w:rPr>
        <w:t>В пояснительной записке Суляева и Репса к проекту, датированной 3 сентября 1942 г., предлагалось два варианта монтажа установки: на «козлах» (с</w:t>
      </w:r>
      <w:hyperlink r:id="rId100"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е) и на двухколесной тележке. Оба варианта — с восемью авиационными направляющими РО-82 «флейта», оснащенными штатными пиропистолетами. Установки не имели прицела, их невозможно было наводить по азимуту. Для запуска снарядов планировали использовать аккумулятор и дистанционный прибор управления огнем. Оба варианта установок изготовили в ремонтных мастерских и испытали стрельбой. Для командования СевКавфронта провели демонстрационные стрельбы из обеих установок с удовлетворительными результатами.</w:t>
      </w:r>
    </w:p>
    <w:p w14:paraId="25035D5A" w14:textId="77777777" w:rsidR="00CE32F4" w:rsidRPr="00722885" w:rsidRDefault="00CE32F4" w:rsidP="00722885">
      <w:pPr>
        <w:pStyle w:val="ae"/>
        <w:spacing w:before="0" w:after="0"/>
        <w:jc w:val="both"/>
        <w:textAlignment w:val="baseline"/>
        <w:rPr>
          <w:color w:val="000000" w:themeColor="text1"/>
          <w:sz w:val="16"/>
          <w:szCs w:val="16"/>
        </w:rPr>
      </w:pPr>
      <w:r w:rsidRPr="00722885">
        <w:rPr>
          <w:color w:val="000000" w:themeColor="text1"/>
          <w:sz w:val="16"/>
          <w:szCs w:val="16"/>
        </w:rPr>
        <w:t>По итогам испытаний была отмечена необходимость упростить и усовершенствовать конструкцию Алферова-Суляева-Репса. в начале сентября 1942 г. сборочные чертежи установок из ГУВ ГМЧ направили на завод «Компрессор» для отработки рабочих чертежей мини-РСЗО и организации их производства на Северном Кавказе. Представитель ГУВ ГМЧ Н.Н. Юрышев, конструктор СКВ завода «Компрессор» Ф.И. Есаков и военпред ГУВ ГМЧ на заводе «Компрессор» Е.А. Доброхотов доработали конструкцию с</w:t>
      </w:r>
      <w:hyperlink r:id="rId101"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ового варианта этой РСЗО, заменив дюралевые авиационные направляющие стальным пакетом из четырех «спарок». Это убедительно свидетельствует о неизбежности радикальной доработки СРГ из компонентов авиационного вооружения по требованиям Сухопутных войск. Кроме того, установка получила возможность изменять угол возвышения в значительно больших пределах и возможность разворота по азимуту. А вместо электрического способа запуска ракет доработчики использовали более компактный и надежный способ «огневой связью», запускаемый с помощью двух пиропистолетов. Установка стала легкоразборной (из трех частей) и вполне транспортабельной как гужевым транспортом, так и на руках.</w:t>
      </w:r>
    </w:p>
    <w:p w14:paraId="0D211559" w14:textId="77777777" w:rsidR="00CE32F4" w:rsidRPr="00722885" w:rsidRDefault="00CE32F4" w:rsidP="00722885">
      <w:pPr>
        <w:pStyle w:val="ae"/>
        <w:spacing w:before="0" w:after="0"/>
        <w:jc w:val="both"/>
        <w:textAlignment w:val="baseline"/>
        <w:rPr>
          <w:color w:val="000000" w:themeColor="text1"/>
          <w:sz w:val="16"/>
          <w:szCs w:val="16"/>
        </w:rPr>
      </w:pPr>
      <w:r w:rsidRPr="00722885">
        <w:rPr>
          <w:color w:val="000000" w:themeColor="text1"/>
          <w:sz w:val="16"/>
          <w:szCs w:val="16"/>
        </w:rPr>
        <w:t>Запальный узел Юрышева-Есакова-Доброхотова был весьма оригинальным. Благодаря ему от единственного пиропатрона все снаряды верхнего или нижнего ряда пакета направляющих стартовали с небольшими интервалами. То есть, по команде достаточно было запустить один снаряд, а остальные три стартовали автоматически. Жестко закрепленными на пакете направляющих изогнутыми стальными трубками, введенными в сопло снаряда, при выстреле первого стартового боеприпаса пламя далее распределялось между остальными, поджигая сопловой воспламенитель в двигателе ракетного снаряда, запуская боеприпас. А те, в свою очередь, инициировали старт следующих. И хотя отсечь длину серии было нереально, представлялось возможным укоротить ее, заранее, до стрельбы заряжая установку с дульной части в особом порядке.</w:t>
      </w:r>
    </w:p>
    <w:p w14:paraId="493CAE08" w14:textId="77777777" w:rsidR="00CE32F4" w:rsidRPr="00722885" w:rsidRDefault="00CE32F4" w:rsidP="00722885">
      <w:pPr>
        <w:pStyle w:val="ae"/>
        <w:spacing w:before="0" w:after="0"/>
        <w:jc w:val="both"/>
        <w:textAlignment w:val="baseline"/>
        <w:rPr>
          <w:color w:val="000000" w:themeColor="text1"/>
          <w:sz w:val="16"/>
          <w:szCs w:val="16"/>
        </w:rPr>
      </w:pPr>
      <w:r w:rsidRPr="00722885">
        <w:rPr>
          <w:color w:val="000000" w:themeColor="text1"/>
          <w:sz w:val="16"/>
          <w:szCs w:val="16"/>
        </w:rPr>
        <w:t>Все это позволило отказаться от дефицитных в то время и тяжелых аккумуляторов, прибора управления огнем и ненадежной электропроводки. В каждый пиропистолет (запальник) заряжали два холостых патрона пистолета ТТ. Этим дублированием повышалась надежность их срабатывания и исключалась осечка (аналогично для запуска ракетных снарядов более крупных калибров — РОФС-132, РБС-132 и пр. — с 1938 г. в ракетном двигателе использовали две пиросвечи с пиропатронами). Пиропистолет приводился в действие при выдергивании шнуром чеки из его курка. Таким образом благодаря длинному шнуру исключалась необходимость в защитном щитке (у Миля) и термостойком покрывале (у Камова) для защиты стрелка.</w:t>
      </w:r>
    </w:p>
    <w:p w14:paraId="37ED3350" w14:textId="77777777" w:rsidR="00CE32F4" w:rsidRPr="00722885" w:rsidRDefault="00CE32F4" w:rsidP="00722885">
      <w:pPr>
        <w:pStyle w:val="ae"/>
        <w:spacing w:before="0" w:after="0"/>
        <w:jc w:val="both"/>
        <w:textAlignment w:val="baseline"/>
        <w:rPr>
          <w:color w:val="000000" w:themeColor="text1"/>
          <w:sz w:val="16"/>
          <w:szCs w:val="16"/>
        </w:rPr>
      </w:pPr>
      <w:r w:rsidRPr="00722885">
        <w:rPr>
          <w:color w:val="000000" w:themeColor="text1"/>
          <w:sz w:val="16"/>
          <w:szCs w:val="16"/>
        </w:rPr>
        <w:t>Масса мини-РСЗО составляла 68,5 кг, из коих 36,4 кг приходилось на пакет направляющих длиной 970 мм. По итогам ее испытаний 22 октября 1942 г. потребовалось упростить, облегчить и усилить пакет направляющих, увеличить жесткость и устойчивость с</w:t>
      </w:r>
      <w:hyperlink r:id="rId102"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 и поворотного узла. Согласитесь, что к с</w:t>
      </w:r>
      <w:hyperlink r:id="rId103"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у пулемета «Максим» таких претензий не предъявишь. Между тем еще недоработанное детище Алферова-Суляева-Репса одобрил Военный Совет Черноморской группы войск, передав его в производство авторемонтным мастерским и железнодорожному депо Сочи и Сухуми. К 1 октября 1942 г. было изготовлено 48 установок (восемь с электрозапалами и 40 с «огневой связью») и вооружено 12 горно-вьючных батарей РСЗО.</w:t>
      </w:r>
    </w:p>
    <w:p w14:paraId="21D645B4" w14:textId="77777777" w:rsidR="00CE32F4" w:rsidRPr="00722885" w:rsidRDefault="00CE32F4" w:rsidP="00722885">
      <w:pPr>
        <w:pStyle w:val="ae"/>
        <w:spacing w:before="0" w:after="0"/>
        <w:jc w:val="both"/>
        <w:textAlignment w:val="baseline"/>
        <w:rPr>
          <w:color w:val="000000" w:themeColor="text1"/>
          <w:sz w:val="16"/>
          <w:szCs w:val="16"/>
        </w:rPr>
      </w:pPr>
      <w:r w:rsidRPr="00722885">
        <w:rPr>
          <w:color w:val="000000" w:themeColor="text1"/>
          <w:sz w:val="16"/>
          <w:szCs w:val="16"/>
        </w:rPr>
        <w:t>У доработанной РСЗО на кольце станины были нанесены деления азимутальных меток, а угол возвышения расчет контролировал встроенным «транспортиром». Очевидно, пристрелка батареи по цели осуществлялась из одной установки одиночными выстрелами из «главного ствола», а затем уточняли угловые положения остальных, заряженных на полную емкость, и давали полный залп. Боеприпасы использовали исключительно с контактными авиационными взрывателями AM-А или пехотными ГВМЗ «для мин». Защиты личного состава расчетов РСЗО не требовалось, поскольку люди укрывались заранее, перед стрельбой.</w:t>
      </w:r>
    </w:p>
    <w:p w14:paraId="343CC25D" w14:textId="77777777" w:rsidR="00CE32F4" w:rsidRPr="00722885" w:rsidRDefault="00CE32F4" w:rsidP="00722885">
      <w:pPr>
        <w:pStyle w:val="ae"/>
        <w:spacing w:before="0" w:after="0"/>
        <w:jc w:val="both"/>
        <w:textAlignment w:val="baseline"/>
        <w:rPr>
          <w:color w:val="000000" w:themeColor="text1"/>
          <w:sz w:val="16"/>
          <w:szCs w:val="16"/>
        </w:rPr>
      </w:pPr>
      <w:r w:rsidRPr="00722885">
        <w:rPr>
          <w:color w:val="000000" w:themeColor="text1"/>
          <w:sz w:val="16"/>
          <w:szCs w:val="16"/>
        </w:rPr>
        <w:t xml:space="preserve">Опыт боевого применения мини-РСЗО оказался положительным, и в СКБ завода «Компрессор» по ТЗ ГУВ ГМЧ от 2 декабря 1942 г. далее усовершенствовали горную </w:t>
      </w:r>
      <w:r w:rsidRPr="00722885">
        <w:rPr>
          <w:color w:val="000000" w:themeColor="text1"/>
          <w:sz w:val="16"/>
          <w:szCs w:val="16"/>
        </w:rPr>
        <w:lastRenderedPageBreak/>
        <w:t>пусковую установку, повысив ее устойчивость, при стрельбе, снизив массу до 51 кг и уменьшив габариты. Углы поворота пакета направляющих по горизонту ограничили сектором ±45°, а угол возвышения — пределами от 0° до +48°. Длина пакета направляющих уменьшилась до 780 мм. Пирописто-лет нижнего ряда упразднялся, а раздача пламени по воспламенителям снарядов верхнего и нижнего рядов осуществлялась от верхнего пиропистолета. Таким образом, уменьшилось и время перезарядки установки. Кроме того, ее оснастили панорамой.</w:t>
      </w:r>
    </w:p>
    <w:p w14:paraId="19F93790" w14:textId="77777777" w:rsidR="00CE32F4" w:rsidRPr="00722885" w:rsidRDefault="00CE32F4" w:rsidP="00722885">
      <w:pPr>
        <w:pStyle w:val="ae"/>
        <w:spacing w:before="0" w:after="0"/>
        <w:jc w:val="both"/>
        <w:textAlignment w:val="baseline"/>
        <w:rPr>
          <w:color w:val="000000" w:themeColor="text1"/>
          <w:sz w:val="16"/>
          <w:szCs w:val="16"/>
        </w:rPr>
      </w:pPr>
      <w:r w:rsidRPr="00722885">
        <w:rPr>
          <w:color w:val="000000" w:themeColor="text1"/>
          <w:sz w:val="16"/>
          <w:szCs w:val="16"/>
        </w:rPr>
        <w:t>На Пензенском машиностроительном заводе изготовили опытный образец усовершенствованной горной пусковой установки. Ее испытания прошли с 12 по 26 июля 1943 г. По их результатам установку рекомендовали принять на вооружение и запустить в серийное производство. В ходе Великой Отечественной войны горно-вьючные пусковые установки М-8-8, успешно применяли в предгорьях и горных районах Кавказа и в Карпатах. Ими же оснащали легкие джипы «Виллис-МВ» и ГАЗ-67, торпедные катера, плашкоуты и бывшие рыболовецкие сейнеры.</w:t>
      </w:r>
    </w:p>
    <w:p w14:paraId="08D5579F" w14:textId="77777777" w:rsidR="00CE32F4" w:rsidRPr="00722885" w:rsidRDefault="00CE32F4" w:rsidP="00722885">
      <w:pPr>
        <w:pStyle w:val="ae"/>
        <w:spacing w:before="0" w:after="0"/>
        <w:jc w:val="both"/>
        <w:textAlignment w:val="baseline"/>
        <w:rPr>
          <w:color w:val="000000" w:themeColor="text1"/>
          <w:sz w:val="16"/>
          <w:szCs w:val="16"/>
        </w:rPr>
      </w:pPr>
      <w:r w:rsidRPr="00722885">
        <w:rPr>
          <w:color w:val="000000" w:themeColor="text1"/>
          <w:sz w:val="16"/>
          <w:szCs w:val="16"/>
        </w:rPr>
        <w:t>Однако конструктивную схему установки Апферова-Суляева-Репса оригинальной признать нельзя, поскольку в войсках с конца 1941 г. для зенитного прикрытия аэродромов в ВВС Красной Армии уже использовали «народные» ракетные установки, изготовленные в полковых мастерских, с количеством направляющих от 2 до 24. От горнострелковой их отличала, по сути, только возможность вести огонь с большими углами возвышения (практически в зенит), да то, что стрелок располагался в центре между двумя пакетами направляющих. Прицелы использовали как механические от авиационного турельного пулемета, с кольцевой сеткой и флюгер-мушкой, так и коллиматорные. Защитных устройств (за исключением шлема, перчаток и очков) не предусматривалось. За все время использования таких установок (практически до конца 1942 г.) случаев травмирования стрелков при старте своих ракетных снарядов зафиксировано не было (18989).</w:t>
      </w:r>
    </w:p>
    <w:p w14:paraId="7B8F2D19" w14:textId="77777777" w:rsidR="00CE32F4" w:rsidRPr="00722885" w:rsidRDefault="00CE32F4" w:rsidP="00722885">
      <w:pPr>
        <w:pStyle w:val="rtecenter"/>
        <w:spacing w:before="0" w:beforeAutospacing="0" w:after="0" w:afterAutospacing="0"/>
        <w:jc w:val="both"/>
        <w:textAlignment w:val="baseline"/>
        <w:rPr>
          <w:color w:val="000000" w:themeColor="text1"/>
          <w:sz w:val="16"/>
          <w:szCs w:val="16"/>
        </w:rPr>
      </w:pPr>
    </w:p>
    <w:p w14:paraId="4F6971FC" w14:textId="77777777" w:rsidR="00184FC4" w:rsidRPr="00722885" w:rsidRDefault="00184FC4" w:rsidP="00722885">
      <w:pPr>
        <w:pStyle w:val="ae"/>
        <w:shd w:val="clear" w:color="auto" w:fill="FFFFFF"/>
        <w:spacing w:before="0" w:after="0"/>
        <w:jc w:val="both"/>
        <w:textAlignment w:val="baseline"/>
        <w:rPr>
          <w:color w:val="0070C0"/>
          <w:sz w:val="16"/>
          <w:szCs w:val="16"/>
        </w:rPr>
      </w:pPr>
      <w:r w:rsidRPr="00722885">
        <w:rPr>
          <w:color w:val="0070C0"/>
          <w:sz w:val="16"/>
          <w:szCs w:val="16"/>
        </w:rPr>
        <w:t>В августе 1942 СКБ «Компрессор» под руководством ведущего конструктора Александра Николаевича Васильева была изготовлена башенно-палубная установка М-13-МII для снарядов калибра 132 мм. Она крепилась на место артиллерийской пушки, снятой с бронекатера, а по конструктивной схеме была аналогична М-8-М. В августе установку испытали на бронекатере №315 проекта 1124.</w:t>
      </w:r>
    </w:p>
    <w:p w14:paraId="1B46BDCB" w14:textId="77777777" w:rsidR="00184FC4" w:rsidRPr="00722885" w:rsidRDefault="00184FC4" w:rsidP="00722885">
      <w:pPr>
        <w:pStyle w:val="ae"/>
        <w:shd w:val="clear" w:color="auto" w:fill="FFFFFF"/>
        <w:spacing w:before="0" w:after="0"/>
        <w:jc w:val="both"/>
        <w:textAlignment w:val="baseline"/>
        <w:rPr>
          <w:color w:val="0070C0"/>
          <w:sz w:val="16"/>
          <w:szCs w:val="16"/>
        </w:rPr>
      </w:pPr>
      <w:r w:rsidRPr="00722885">
        <w:rPr>
          <w:color w:val="0070C0"/>
          <w:sz w:val="16"/>
          <w:szCs w:val="16"/>
        </w:rPr>
        <w:t>Все три экспериментальные установки были оставлены на вооружении Волжской военной флотилии и приняли участие в </w:t>
      </w:r>
      <w:hyperlink r:id="rId104" w:history="1">
        <w:r w:rsidRPr="00722885">
          <w:rPr>
            <w:rStyle w:val="a5"/>
            <w:rFonts w:eastAsia="Franklin Gothic Book"/>
            <w:color w:val="0070C0"/>
            <w:sz w:val="16"/>
            <w:szCs w:val="16"/>
            <w:bdr w:val="none" w:sz="0" w:space="0" w:color="auto" w:frame="1"/>
          </w:rPr>
          <w:t>битве за Сталинград</w:t>
        </w:r>
      </w:hyperlink>
      <w:r w:rsidRPr="00722885">
        <w:rPr>
          <w:color w:val="0070C0"/>
          <w:sz w:val="16"/>
          <w:szCs w:val="16"/>
        </w:rPr>
        <w:t>. Например, 25 августа бронекатер, вооружённый М-8-М, дал два залпа по посёлку Рынок, а через четыре дня снова обстрелял его, уничтожив взвод вражеских автоматчиков. 31 августа бронекатер с установкой М-13МII разрушил своими залпами два дзота и четыре пулемётных гнезда противника (19941).</w:t>
      </w:r>
    </w:p>
    <w:p w14:paraId="03EBE825" w14:textId="77777777" w:rsidR="00184FC4" w:rsidRPr="00722885" w:rsidRDefault="00184FC4" w:rsidP="00722885">
      <w:pPr>
        <w:pStyle w:val="ae"/>
        <w:shd w:val="clear" w:color="auto" w:fill="FFFFFF"/>
        <w:spacing w:before="0" w:after="0"/>
        <w:jc w:val="both"/>
        <w:textAlignment w:val="baseline"/>
        <w:rPr>
          <w:color w:val="0070C0"/>
          <w:sz w:val="16"/>
          <w:szCs w:val="16"/>
        </w:rPr>
      </w:pPr>
    </w:p>
    <w:p w14:paraId="0C358D4A" w14:textId="77777777" w:rsidR="00184FC4" w:rsidRPr="00722885" w:rsidRDefault="00184FC4" w:rsidP="00722885">
      <w:pPr>
        <w:pStyle w:val="ae"/>
        <w:shd w:val="clear" w:color="auto" w:fill="FFFFFF"/>
        <w:spacing w:before="0" w:after="0"/>
        <w:jc w:val="both"/>
        <w:textAlignment w:val="baseline"/>
        <w:rPr>
          <w:color w:val="0070C0"/>
          <w:sz w:val="16"/>
          <w:szCs w:val="16"/>
        </w:rPr>
      </w:pPr>
      <w:r w:rsidRPr="00722885">
        <w:rPr>
          <w:color w:val="0070C0"/>
          <w:sz w:val="16"/>
          <w:szCs w:val="16"/>
        </w:rPr>
        <w:t>В августе 1942 года были проведены сравнительные испытания16-зарядных установок на одноконной повозке. В результате 12-зарядная установка М-8-М, созданная ЦКБ-19, была принята на вооружение и заказана партией из 355 штук, а вариант НИИ-3 отвергли (19941).</w:t>
      </w:r>
    </w:p>
    <w:p w14:paraId="7D7A0C0C" w14:textId="77777777" w:rsidR="00184FC4" w:rsidRPr="00722885" w:rsidRDefault="00184FC4" w:rsidP="00722885">
      <w:pPr>
        <w:pStyle w:val="ae"/>
        <w:shd w:val="clear" w:color="auto" w:fill="FFFFFF"/>
        <w:spacing w:before="0" w:after="0"/>
        <w:jc w:val="both"/>
        <w:textAlignment w:val="baseline"/>
        <w:rPr>
          <w:color w:val="0070C0"/>
          <w:sz w:val="16"/>
          <w:szCs w:val="16"/>
        </w:rPr>
      </w:pPr>
    </w:p>
    <w:p w14:paraId="4E2D2317" w14:textId="77777777" w:rsidR="00184FC4" w:rsidRPr="00722885" w:rsidRDefault="00184FC4" w:rsidP="00722885">
      <w:pPr>
        <w:pStyle w:val="ae"/>
        <w:shd w:val="clear" w:color="auto" w:fill="FFFFFF"/>
        <w:spacing w:before="0" w:after="0"/>
        <w:jc w:val="both"/>
        <w:textAlignment w:val="baseline"/>
        <w:rPr>
          <w:color w:val="0070C0"/>
          <w:sz w:val="16"/>
          <w:szCs w:val="16"/>
        </w:rPr>
      </w:pPr>
      <w:r w:rsidRPr="00722885">
        <w:rPr>
          <w:color w:val="0070C0"/>
          <w:sz w:val="16"/>
          <w:szCs w:val="16"/>
        </w:rPr>
        <w:t>В августе 1942 по заданию ГУВ ГМЧ была разработана экспериментальная активно-реактивная установка на шасси ЗИС-6. Она предназначалась для пуска тяжёлых снарядов калибром 300 мм (М-30) миномётным способом. Направляющие были изготовлены в виде пятиметровых гладкостенных труб, которые в казённой части герметически закрывались после помещения в них снаряда. При пуске выхлопные газы, оказавшиеся в замкнутом пространстве, действовали на корпус снаряда, как на поршень, что должно было, по мнению разработчиков, увеличить дальность полёта за счёт прироста начальной скорости. Однако при испытаниях не было получено ни существенного увеличения дальности, ни снижения рассеивания, поэтому установка осталась опытной и использовалась на полигоне для проведения работ, направленных на улучшение баллистических качеств снарядов М-30 и М-31 (19941).</w:t>
      </w:r>
    </w:p>
    <w:p w14:paraId="34A81793" w14:textId="77777777" w:rsidR="00184FC4" w:rsidRPr="00722885" w:rsidRDefault="00184FC4" w:rsidP="00722885">
      <w:pPr>
        <w:pStyle w:val="ae"/>
        <w:shd w:val="clear" w:color="auto" w:fill="FFFFFF"/>
        <w:spacing w:before="0" w:after="0"/>
        <w:jc w:val="both"/>
        <w:textAlignment w:val="baseline"/>
        <w:rPr>
          <w:color w:val="0070C0"/>
          <w:sz w:val="16"/>
          <w:szCs w:val="16"/>
        </w:rPr>
      </w:pPr>
    </w:p>
    <w:p w14:paraId="5C77987F" w14:textId="77777777" w:rsidR="00184FC4" w:rsidRPr="00722885" w:rsidRDefault="00184FC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августе 1942 г. силами личного состава ди</w:t>
      </w:r>
      <w:r w:rsidRPr="00722885">
        <w:rPr>
          <w:rFonts w:ascii="Times New Roman" w:hAnsi="Times New Roman"/>
          <w:color w:val="0070C0"/>
          <w:sz w:val="16"/>
          <w:szCs w:val="16"/>
        </w:rPr>
        <w:softHyphen/>
        <w:t>визиона «СССР В-12» собрали, а в сентябре дири</w:t>
      </w:r>
      <w:r w:rsidRPr="00722885">
        <w:rPr>
          <w:rFonts w:ascii="Times New Roman" w:hAnsi="Times New Roman"/>
          <w:color w:val="0070C0"/>
          <w:sz w:val="16"/>
          <w:szCs w:val="16"/>
        </w:rPr>
        <w:softHyphen/>
        <w:t>жабль выполнил первые полёты в качестве газо</w:t>
      </w:r>
      <w:r w:rsidRPr="00722885">
        <w:rPr>
          <w:rFonts w:ascii="Times New Roman" w:hAnsi="Times New Roman"/>
          <w:color w:val="0070C0"/>
          <w:sz w:val="16"/>
          <w:szCs w:val="16"/>
        </w:rPr>
        <w:softHyphen/>
        <w:t>воза. Экипаж «СССР В-12» состоял из командира А.Устиновича, штурмана А.И. Рощина и борт</w:t>
      </w:r>
      <w:r w:rsidRPr="00722885">
        <w:rPr>
          <w:rFonts w:ascii="Times New Roman" w:hAnsi="Times New Roman"/>
          <w:color w:val="0070C0"/>
          <w:sz w:val="16"/>
          <w:szCs w:val="16"/>
        </w:rPr>
        <w:softHyphen/>
        <w:t>инженера С.Н. Горячева.</w:t>
      </w:r>
    </w:p>
    <w:p w14:paraId="7322316D" w14:textId="77777777" w:rsidR="00184FC4" w:rsidRPr="00722885" w:rsidRDefault="00184FC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Полёты «СССР В-12» проходили рядом с ли</w:t>
      </w:r>
      <w:r w:rsidRPr="00722885">
        <w:rPr>
          <w:rFonts w:ascii="Times New Roman" w:hAnsi="Times New Roman"/>
          <w:color w:val="0070C0"/>
          <w:sz w:val="16"/>
          <w:szCs w:val="16"/>
        </w:rPr>
        <w:softHyphen/>
        <w:t>нией Калининского фронта, поэтому сохраня</w:t>
      </w:r>
      <w:r w:rsidRPr="00722885">
        <w:rPr>
          <w:rFonts w:ascii="Times New Roman" w:hAnsi="Times New Roman"/>
          <w:color w:val="0070C0"/>
          <w:sz w:val="16"/>
          <w:szCs w:val="16"/>
        </w:rPr>
        <w:softHyphen/>
        <w:t>лась возможность встречи с самолётами против</w:t>
      </w:r>
      <w:r w:rsidRPr="00722885">
        <w:rPr>
          <w:rFonts w:ascii="Times New Roman" w:hAnsi="Times New Roman"/>
          <w:color w:val="0070C0"/>
          <w:sz w:val="16"/>
          <w:szCs w:val="16"/>
        </w:rPr>
        <w:softHyphen/>
        <w:t>ника, которая означала неминуемую гибель ди</w:t>
      </w:r>
      <w:r w:rsidRPr="00722885">
        <w:rPr>
          <w:rFonts w:ascii="Times New Roman" w:hAnsi="Times New Roman"/>
          <w:color w:val="0070C0"/>
          <w:sz w:val="16"/>
          <w:szCs w:val="16"/>
        </w:rPr>
        <w:softHyphen/>
        <w:t>рижабля, единственным вооружением которого были пистолеты ТТ его экипажа.</w:t>
      </w:r>
    </w:p>
    <w:p w14:paraId="01CF1504" w14:textId="77777777" w:rsidR="00184FC4" w:rsidRPr="00722885" w:rsidRDefault="00184FC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Однажды дирижабль действительно подверг</w:t>
      </w:r>
      <w:r w:rsidRPr="00722885">
        <w:rPr>
          <w:rFonts w:ascii="Times New Roman" w:hAnsi="Times New Roman"/>
          <w:color w:val="0070C0"/>
          <w:sz w:val="16"/>
          <w:szCs w:val="16"/>
        </w:rPr>
        <w:softHyphen/>
        <w:t>ся обстрелу. Наши зенитчики приняли тогда шед</w:t>
      </w:r>
      <w:r w:rsidRPr="00722885">
        <w:rPr>
          <w:rFonts w:ascii="Times New Roman" w:hAnsi="Times New Roman"/>
          <w:color w:val="0070C0"/>
          <w:sz w:val="16"/>
          <w:szCs w:val="16"/>
        </w:rPr>
        <w:softHyphen/>
        <w:t>ший на малой высоте «СССР В-12» за оборвав</w:t>
      </w:r>
      <w:r w:rsidRPr="00722885">
        <w:rPr>
          <w:rFonts w:ascii="Times New Roman" w:hAnsi="Times New Roman"/>
          <w:color w:val="0070C0"/>
          <w:sz w:val="16"/>
          <w:szCs w:val="16"/>
        </w:rPr>
        <w:softHyphen/>
        <w:t>ший трос аэростат заграждения ПВО Москвы, который было приказано расстрелять, так как ветер уносил его в сторону Калинина за линию фронта. Получив около 200 пробоин, дирижабль долетел до места назначения и, разгрузившись, после несложного ремонта вернулся на базу.</w:t>
      </w:r>
    </w:p>
    <w:p w14:paraId="0065FC05" w14:textId="77777777" w:rsidR="00184FC4" w:rsidRPr="00722885" w:rsidRDefault="00184FC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1943 г. интенсивность подготовки десант</w:t>
      </w:r>
      <w:r w:rsidRPr="00722885">
        <w:rPr>
          <w:rFonts w:ascii="Times New Roman" w:hAnsi="Times New Roman"/>
          <w:color w:val="0070C0"/>
          <w:sz w:val="16"/>
          <w:szCs w:val="16"/>
        </w:rPr>
        <w:softHyphen/>
        <w:t>ников резко возросла, что потребовало больших объёмов водорода. «СССР В-12» летал теперь в любую погоду, днём и ночью. В.А. Устино</w:t>
      </w:r>
      <w:r w:rsidRPr="00722885">
        <w:rPr>
          <w:rFonts w:ascii="Times New Roman" w:hAnsi="Times New Roman"/>
          <w:color w:val="0070C0"/>
          <w:sz w:val="16"/>
          <w:szCs w:val="16"/>
        </w:rPr>
        <w:softHyphen/>
        <w:t>вич — единственный человек в дивизионе, имев</w:t>
      </w:r>
      <w:r w:rsidRPr="00722885">
        <w:rPr>
          <w:rFonts w:ascii="Times New Roman" w:hAnsi="Times New Roman"/>
          <w:color w:val="0070C0"/>
          <w:sz w:val="16"/>
          <w:szCs w:val="16"/>
        </w:rPr>
        <w:softHyphen/>
        <w:t>ший право управлять дирижаблем, иногда со</w:t>
      </w:r>
      <w:r w:rsidRPr="00722885">
        <w:rPr>
          <w:rFonts w:ascii="Times New Roman" w:hAnsi="Times New Roman"/>
          <w:color w:val="0070C0"/>
          <w:sz w:val="16"/>
          <w:szCs w:val="16"/>
        </w:rPr>
        <w:softHyphen/>
        <w:t>вершал по три вылета за день. Чтобы уменьшить его нагрузку, в дивизионе для сменной летной работы подготовили командиров дирижаблей А.Попова, А.И. Рощина и П.Р. Прохорова.</w:t>
      </w:r>
    </w:p>
    <w:p w14:paraId="6381FCD2" w14:textId="77777777" w:rsidR="00184FC4" w:rsidRPr="00722885" w:rsidRDefault="00184FC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1943 г. «СССР В-12» выполнил 566 полётов общей продолжительностью 654 часа, перевезя в отряды 116 605 м3 газа и 128 573 кг груза.</w:t>
      </w:r>
    </w:p>
    <w:p w14:paraId="0CCCED30" w14:textId="77777777" w:rsidR="00184FC4" w:rsidRPr="00722885" w:rsidRDefault="00184FC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с 1942 по 1945 гг. «СССР В-1 бис» и «СССР В-12» выполнили более 1400 полётов, перевезя в расположенные под Москвой возду</w:t>
      </w:r>
      <w:r w:rsidRPr="00722885">
        <w:rPr>
          <w:rFonts w:ascii="Times New Roman" w:hAnsi="Times New Roman"/>
          <w:color w:val="0070C0"/>
          <w:sz w:val="16"/>
          <w:szCs w:val="16"/>
        </w:rPr>
        <w:softHyphen/>
        <w:t>хоплавательные отряды 256 тыс. м3 водорода для привязных аэростатов и 310 т служебных грузов.</w:t>
      </w:r>
    </w:p>
    <w:p w14:paraId="2CB3F90B" w14:textId="77777777" w:rsidR="00184FC4" w:rsidRPr="00722885" w:rsidRDefault="00184FC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Летом 1945 г. «СССР В-12» применялся для таксации леса в Кировской области. В ходе этих работ он выполнил 57 рейсов, налетал 212 часа. Команда под руководством В.М. Пикалкина (в 1960-е годы — доцент Московского лесотех</w:t>
      </w:r>
      <w:r w:rsidRPr="00722885">
        <w:rPr>
          <w:rFonts w:ascii="Times New Roman" w:hAnsi="Times New Roman"/>
          <w:color w:val="0070C0"/>
          <w:sz w:val="16"/>
          <w:szCs w:val="16"/>
        </w:rPr>
        <w:softHyphen/>
        <w:t>нического института) за шесть лётных дней про</w:t>
      </w:r>
      <w:r w:rsidRPr="00722885">
        <w:rPr>
          <w:rFonts w:ascii="Times New Roman" w:hAnsi="Times New Roman"/>
          <w:color w:val="0070C0"/>
          <w:sz w:val="16"/>
          <w:szCs w:val="16"/>
        </w:rPr>
        <w:softHyphen/>
        <w:t>вела с дирижабля изучение лесных площадей в 225 тыс. га, то есть такой объём исследований, на выполнение которых требовалась работа пяти лесоустроительных партий в течение года. В се</w:t>
      </w:r>
      <w:r w:rsidRPr="00722885">
        <w:rPr>
          <w:rFonts w:ascii="Times New Roman" w:hAnsi="Times New Roman"/>
          <w:color w:val="0070C0"/>
          <w:sz w:val="16"/>
          <w:szCs w:val="16"/>
        </w:rPr>
        <w:softHyphen/>
        <w:t>редине 1947 г. дирижабль сняли с эксплуатации (20120).</w:t>
      </w:r>
    </w:p>
    <w:p w14:paraId="0F65F417" w14:textId="77777777" w:rsidR="00184FC4" w:rsidRPr="00722885" w:rsidRDefault="00184FC4" w:rsidP="00722885">
      <w:pPr>
        <w:spacing w:after="0" w:line="240" w:lineRule="auto"/>
        <w:jc w:val="both"/>
        <w:rPr>
          <w:rFonts w:ascii="Times New Roman" w:hAnsi="Times New Roman"/>
          <w:color w:val="0070C0"/>
          <w:sz w:val="16"/>
          <w:szCs w:val="16"/>
        </w:rPr>
      </w:pPr>
    </w:p>
    <w:p w14:paraId="053BDC11"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47633E4" w14:textId="77777777" w:rsidR="00AE7191" w:rsidRPr="00722885" w:rsidRDefault="00AE7191" w:rsidP="00722885">
      <w:pPr>
        <w:pStyle w:val="Iauiue"/>
        <w:jc w:val="both"/>
        <w:rPr>
          <w:iCs/>
          <w:color w:val="000000" w:themeColor="text1"/>
          <w:sz w:val="16"/>
          <w:szCs w:val="16"/>
        </w:rPr>
      </w:pPr>
    </w:p>
    <w:p w14:paraId="25B1A9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года специалистами АНИОПа был подготовлен проект и окончательные чертежи 320-мм тяжелого газомета ГМ-320. На АНИОПе были проведены испытания 320-мм и 280-мм мин, изготовленных заводом №232 ("Большевик"), и таких же зажигательных мин, изготовленных заводом им. Сталина и снаряженных сегментами на заводе №522. На полигон были доставлены две 320-мм и одна 280-мм зажигательные мины. В качестве снаряжения использовались: состав авиабомбы ЗАБ-100 и зажигательные сегменты от 76-мм зажигательного артснаряда (черт. №204376). Рецепт состава ЗАБ-100 имел в своем составе: 50%) азотнокислого бария, 25% магния и 25% алюминиевой пудры. Поверх набитого состава были положены куски асбеста. В качестве зажигательного стакана устанавливалась картонная трубка с тетри-ловыми шашками весом 0,19 кг. В трубке размещался передаточный воспламенитель изготовленный на Охтинском химкомбинате №757 (6403, 42).</w:t>
      </w:r>
    </w:p>
    <w:p w14:paraId="2BB19DF8" w14:textId="77777777" w:rsidR="00AE7191" w:rsidRPr="00722885" w:rsidRDefault="00AE7191" w:rsidP="00722885">
      <w:pPr>
        <w:pStyle w:val="Iauiue"/>
        <w:jc w:val="both"/>
        <w:rPr>
          <w:color w:val="000000" w:themeColor="text1"/>
          <w:sz w:val="16"/>
          <w:szCs w:val="16"/>
        </w:rPr>
      </w:pPr>
    </w:p>
    <w:p w14:paraId="580604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года специалисты АНИОПа переработали чертежи мин ГМ-280 (встречается в документах обозначение МГ-280), они были утверждены начальником артиллерии Ленинградского фронта и направлены для производства мин на следующие ленинградские заводы: завод им. Сталина, завод “Большевик” и завод им. Ленина. Все ранее разработанные и используемые при изготовлении мин чертежи подлежали аннулированию (6403, 42).</w:t>
      </w:r>
    </w:p>
    <w:p w14:paraId="79DAADA0" w14:textId="77777777" w:rsidR="00AE7191" w:rsidRPr="00722885" w:rsidRDefault="00AE7191" w:rsidP="00722885">
      <w:pPr>
        <w:pStyle w:val="Iauiue"/>
        <w:jc w:val="both"/>
        <w:rPr>
          <w:color w:val="000000" w:themeColor="text1"/>
          <w:sz w:val="16"/>
          <w:szCs w:val="16"/>
        </w:rPr>
      </w:pPr>
    </w:p>
    <w:p w14:paraId="5543C2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года было решено ЗИС-21-11 на вооружение не принимать, так как основная цель модернизации была в увеличении бронепробиваемости, а в результате бронепробиваемость по сравнению с 76-мм пушкой обр. 1927 г. увеличилась на 11 мм на дистанции 300 м и на 12,5 мм на дистанции 500 м (то есть на 50%), но такое увеличение бронепробиваемости стало неоправданным после принятия в боекомплект 76-мм полковой пушки кумулятивных снарядов (3861).</w:t>
      </w:r>
    </w:p>
    <w:p w14:paraId="23828C8C" w14:textId="77777777" w:rsidR="00AE7191" w:rsidRPr="00722885" w:rsidRDefault="00AE7191" w:rsidP="00722885">
      <w:pPr>
        <w:pStyle w:val="Iauiue"/>
        <w:jc w:val="both"/>
        <w:rPr>
          <w:color w:val="000000" w:themeColor="text1"/>
          <w:sz w:val="16"/>
          <w:szCs w:val="16"/>
        </w:rPr>
      </w:pPr>
    </w:p>
    <w:p w14:paraId="625698A5"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для мортиры М-4 был изготовлен ствол-моноблок. Затвор с небольшими переделками взяли от гаубицы Б-4. Трубу из</w:t>
      </w:r>
      <w:r w:rsidRPr="00722885">
        <w:rPr>
          <w:rFonts w:ascii="Times New Roman" w:hAnsi="Times New Roman"/>
          <w:color w:val="000000" w:themeColor="text1"/>
          <w:sz w:val="16"/>
          <w:szCs w:val="16"/>
        </w:rPr>
        <w:softHyphen/>
        <w:t>готовили заново, для уменьшения отката ствол оснастили массивным щелевым дульным тормозом. Длина ствола по дульный срез составила 3693 мм (18,2 калибра), с дульным тормозом 4328 мм. Мортира в ка</w:t>
      </w:r>
      <w:r w:rsidRPr="00722885">
        <w:rPr>
          <w:rFonts w:ascii="Times New Roman" w:hAnsi="Times New Roman"/>
          <w:color w:val="000000" w:themeColor="text1"/>
          <w:sz w:val="16"/>
          <w:szCs w:val="16"/>
        </w:rPr>
        <w:softHyphen/>
        <w:t>честве боеприпасов использовала штатную номенклатуру выстрелов к 203-мм гаубице Б-4. Ввиду более короткого ствола начальная ско</w:t>
      </w:r>
      <w:r w:rsidRPr="00722885">
        <w:rPr>
          <w:rFonts w:ascii="Times New Roman" w:hAnsi="Times New Roman"/>
          <w:color w:val="000000" w:themeColor="text1"/>
          <w:sz w:val="16"/>
          <w:szCs w:val="16"/>
        </w:rPr>
        <w:softHyphen/>
        <w:t>рость снаряда снизилась до 353 м/с.</w:t>
      </w:r>
    </w:p>
    <w:p w14:paraId="2F2ADE37"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заводской документации, мортира М-4 создавалась для разрушения полевых фортификационных сооружений. Лафет позво</w:t>
      </w:r>
      <w:r w:rsidRPr="00722885">
        <w:rPr>
          <w:rFonts w:ascii="Times New Roman" w:hAnsi="Times New Roman"/>
          <w:color w:val="000000" w:themeColor="text1"/>
          <w:sz w:val="16"/>
          <w:szCs w:val="16"/>
        </w:rPr>
        <w:softHyphen/>
        <w:t xml:space="preserve"> лял вести огонь под углами от —2 до 65 градусов, при этом дальность стрельбы варьировалась от 3 до 9,8 километра. Масса М-4 в походном положении составляла 8300 кг, а в боевом 7500 кг, что превышало ана</w:t>
      </w:r>
      <w:r w:rsidRPr="00722885">
        <w:rPr>
          <w:rFonts w:ascii="Times New Roman" w:hAnsi="Times New Roman"/>
          <w:color w:val="000000" w:themeColor="text1"/>
          <w:sz w:val="16"/>
          <w:szCs w:val="16"/>
        </w:rPr>
        <w:softHyphen/>
        <w:t xml:space="preserve">логичные показатели 152-мм пушки-гаубицы </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Л-20 менее чем на пол</w:t>
      </w:r>
      <w:r w:rsidRPr="00722885">
        <w:rPr>
          <w:rFonts w:ascii="Times New Roman" w:hAnsi="Times New Roman"/>
          <w:color w:val="000000" w:themeColor="text1"/>
          <w:sz w:val="16"/>
          <w:szCs w:val="16"/>
        </w:rPr>
        <w:softHyphen/>
        <w:t>тонны (17484).</w:t>
      </w:r>
    </w:p>
    <w:p w14:paraId="1A9BA984" w14:textId="77777777" w:rsidR="000C324B" w:rsidRPr="00722885" w:rsidRDefault="000C324B" w:rsidP="00722885">
      <w:pPr>
        <w:spacing w:after="0" w:line="240" w:lineRule="auto"/>
        <w:jc w:val="both"/>
        <w:rPr>
          <w:rFonts w:ascii="Times New Roman" w:hAnsi="Times New Roman"/>
          <w:color w:val="000000" w:themeColor="text1"/>
          <w:sz w:val="16"/>
          <w:szCs w:val="16"/>
        </w:rPr>
      </w:pPr>
    </w:p>
    <w:p w14:paraId="60C2F602" w14:textId="77777777" w:rsidR="00394159" w:rsidRPr="00722885" w:rsidRDefault="0039415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августе 1942 г. испытывался оптический коллиматорный прицел 2ПР для ПТРД. Прицел был простейшего типа и состоял из объектива и сетки с перекрестием, не имел увеличения, а вес его вместе с кронштейном составлял всего 270 г. В мае 1943 г. проходило испытания ПТРС с прицелом ПУ и кронштейном Кочетова, у которого заменили только основание. Была отмечена сбиваемость установок шкал барабанчиков прицела, что неудивительно, поскольку это было недостатком и на снайперских винтовках с гораздо меньшей отдачей. Ставить оптические прицелы на все ПТ ружья сочли нецелесообразным, а для стрельбы по малоразмерным целям и по замаскированным танкам предлагалось иметь отдельные снайперские ПТР, снабженные оптическими прицелами типа ПУ. В августе 1943 г. испытывались ПТРД и ПТРС с прицелами ПУ и специально разработанными кронштейнами (</w:t>
      </w:r>
      <w:r w:rsidRPr="00722885">
        <w:rPr>
          <w:rFonts w:ascii="Times New Roman" w:eastAsia="Times New Roman" w:hAnsi="Times New Roman"/>
          <w:iCs/>
          <w:color w:val="000000" w:themeColor="text1"/>
          <w:sz w:val="16"/>
          <w:szCs w:val="16"/>
          <w:lang w:eastAsia="ru-RU"/>
        </w:rPr>
        <w:t>рис. 20</w:t>
      </w:r>
      <w:r w:rsidRPr="00722885">
        <w:rPr>
          <w:rFonts w:ascii="Times New Roman" w:eastAsia="Times New Roman" w:hAnsi="Times New Roman"/>
          <w:color w:val="000000" w:themeColor="text1"/>
          <w:sz w:val="16"/>
          <w:szCs w:val="16"/>
          <w:lang w:eastAsia="ru-RU"/>
        </w:rPr>
        <w:t>). Новые кронштейны не улучшили ситуацию, так как установки барабанчиков при стрельбе по-прежнему сбивались. Увеличить удаление выходного зрачка на безопасную для стрелка дистанцию с ПУ было нельзя, поэтому испытывался прицел ПУГ с увеличением 1,9</w:t>
      </w:r>
      <w:r w:rsidRPr="00722885">
        <w:rPr>
          <w:rFonts w:ascii="Times New Roman" w:eastAsia="Times New Roman" w:hAnsi="Times New Roman"/>
          <w:color w:val="000000" w:themeColor="text1"/>
          <w:sz w:val="16"/>
          <w:szCs w:val="16"/>
          <w:vertAlign w:val="superscript"/>
          <w:lang w:eastAsia="ru-RU"/>
        </w:rPr>
        <w:t>х</w:t>
      </w:r>
      <w:r w:rsidRPr="00722885">
        <w:rPr>
          <w:rFonts w:ascii="Times New Roman" w:eastAsia="Times New Roman" w:hAnsi="Times New Roman"/>
          <w:color w:val="000000" w:themeColor="text1"/>
          <w:sz w:val="16"/>
          <w:szCs w:val="16"/>
          <w:lang w:eastAsia="ru-RU"/>
        </w:rPr>
        <w:t>. На прицел ПУ был установлен новый окуляр и шкала дальностей в соответствии с баллистикой ПТР. Были отмечены неудобство прицеливания, недостаточное увеличение, сбиваемость установок шкал, а в поле зрения прицела попадали дульный тормоз и мушка (17498).</w:t>
      </w:r>
    </w:p>
    <w:p w14:paraId="32648863" w14:textId="77777777" w:rsidR="00394159" w:rsidRPr="00722885" w:rsidRDefault="00394159" w:rsidP="00722885">
      <w:pPr>
        <w:spacing w:after="0" w:line="240" w:lineRule="auto"/>
        <w:jc w:val="both"/>
        <w:rPr>
          <w:rFonts w:ascii="Times New Roman" w:eastAsia="Times New Roman" w:hAnsi="Times New Roman"/>
          <w:color w:val="000000" w:themeColor="text1"/>
          <w:sz w:val="16"/>
          <w:szCs w:val="16"/>
          <w:lang w:eastAsia="ru-RU"/>
        </w:rPr>
      </w:pPr>
    </w:p>
    <w:p w14:paraId="55D119C0" w14:textId="77777777" w:rsidR="00CE32F4" w:rsidRPr="00722885" w:rsidRDefault="00CE32F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августе 1942 г. испытывался оптический коллиматорный прицел 2ПР для ПТРД. Прицел был простейшего типа и состоял из объектива и сетки с перекрестием, не имел увеличения, а вес его вместе с кронштейном составлял всего 270 г. (18638).</w:t>
      </w:r>
    </w:p>
    <w:p w14:paraId="51D5C825" w14:textId="77777777" w:rsidR="00CE32F4" w:rsidRPr="00722885" w:rsidRDefault="00CE32F4" w:rsidP="00722885">
      <w:pPr>
        <w:spacing w:after="0" w:line="240" w:lineRule="auto"/>
        <w:jc w:val="both"/>
        <w:rPr>
          <w:rFonts w:ascii="Times New Roman" w:hAnsi="Times New Roman"/>
          <w:color w:val="000000" w:themeColor="text1"/>
          <w:sz w:val="16"/>
          <w:szCs w:val="16"/>
        </w:rPr>
      </w:pPr>
    </w:p>
    <w:p w14:paraId="116C14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 Нижнем Тагиле создали поточную линию автоматической сварки бронекорпусов танка Т-34 (512,262).</w:t>
      </w:r>
    </w:p>
    <w:p w14:paraId="7A65C7E4" w14:textId="77777777" w:rsidR="00AE7191" w:rsidRPr="00722885" w:rsidRDefault="00AE7191" w:rsidP="00722885">
      <w:pPr>
        <w:pStyle w:val="Iauiue"/>
        <w:jc w:val="both"/>
        <w:rPr>
          <w:color w:val="000000" w:themeColor="text1"/>
          <w:sz w:val="16"/>
          <w:szCs w:val="16"/>
        </w:rPr>
      </w:pPr>
    </w:p>
    <w:p w14:paraId="2DB27F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выпуск Т-34 начал ЧТЗ названный Танкоград после того, как к нему присоединился Кировский завод и Харьковский завод 75, который делал дизели В-2. Делал до апреля 1944 (1031,13).</w:t>
      </w:r>
    </w:p>
    <w:p w14:paraId="33D1125C" w14:textId="77777777" w:rsidR="00AE7191" w:rsidRPr="00722885" w:rsidRDefault="00AE7191" w:rsidP="00722885">
      <w:pPr>
        <w:pStyle w:val="Iauiue"/>
        <w:jc w:val="both"/>
        <w:rPr>
          <w:color w:val="000000" w:themeColor="text1"/>
          <w:sz w:val="16"/>
          <w:szCs w:val="16"/>
        </w:rPr>
      </w:pPr>
    </w:p>
    <w:p w14:paraId="76BA1F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СТЗ вынужден был прекратить выпуск Т-34, когда бои шли уже на территории завода. В этом месяце под бомбами и снарядами завод изготовил 240 машин. Эстафету принял завод №174, включившись, наконец, в выпуск средних танков. Общий итог 1942 года - 12520 Т-34. Тяжелых танков KB - 2553. Всего же танков и СУ - 24445. (3862).</w:t>
      </w:r>
    </w:p>
    <w:p w14:paraId="5D4DAD32" w14:textId="77777777" w:rsidR="00AE7191" w:rsidRPr="00722885" w:rsidRDefault="00AE7191" w:rsidP="00722885">
      <w:pPr>
        <w:pStyle w:val="Iauiue"/>
        <w:jc w:val="both"/>
        <w:rPr>
          <w:color w:val="000000" w:themeColor="text1"/>
          <w:sz w:val="16"/>
          <w:szCs w:val="16"/>
        </w:rPr>
      </w:pPr>
    </w:p>
    <w:p w14:paraId="07FA340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ввиду сильных бомбардировок Сталин</w:t>
      </w:r>
      <w:r w:rsidRPr="00722885">
        <w:rPr>
          <w:rFonts w:ascii="Times New Roman" w:hAnsi="Times New Roman"/>
          <w:color w:val="000000" w:themeColor="text1"/>
          <w:sz w:val="16"/>
          <w:szCs w:val="16"/>
        </w:rPr>
        <w:softHyphen/>
        <w:t>града, а также начавшегося сражения в непосредственной близости от города, выпуск танков Т-34 на СТЗ был прекра</w:t>
      </w:r>
      <w:r w:rsidRPr="00722885">
        <w:rPr>
          <w:rFonts w:ascii="Times New Roman" w:hAnsi="Times New Roman"/>
          <w:color w:val="000000" w:themeColor="text1"/>
          <w:sz w:val="16"/>
          <w:szCs w:val="16"/>
        </w:rPr>
        <w:softHyphen/>
        <w:t>щен. Начался вывоз оборудования и задела бронекорпусов и башен с завода по Волге в г. Горький, двигательного про</w:t>
      </w:r>
      <w:r w:rsidRPr="00722885">
        <w:rPr>
          <w:rFonts w:ascii="Times New Roman" w:hAnsi="Times New Roman"/>
          <w:color w:val="000000" w:themeColor="text1"/>
          <w:sz w:val="16"/>
          <w:szCs w:val="16"/>
        </w:rPr>
        <w:softHyphen/>
        <w:t>изводства в Барнаул. Задел по ходовым частям, КПП, бронекорпусам и башням Т-60 и Т-70 с завода № 264 в г. Крас-ноармейске вывозился на ГАЗ. Таким образом, из обоймы бьши выброшены два крупных завода, дававших до трети Т-34 и более 150 танков Т-60 ежемесячно. А танки требова</w:t>
      </w:r>
      <w:r w:rsidRPr="00722885">
        <w:rPr>
          <w:rFonts w:ascii="Times New Roman" w:hAnsi="Times New Roman"/>
          <w:color w:val="000000" w:themeColor="text1"/>
          <w:sz w:val="16"/>
          <w:szCs w:val="16"/>
        </w:rPr>
        <w:softHyphen/>
        <w:t>лись очень остро, особенно когда был принят курс на созда</w:t>
      </w:r>
      <w:r w:rsidRPr="00722885">
        <w:rPr>
          <w:rFonts w:ascii="Times New Roman" w:hAnsi="Times New Roman"/>
          <w:color w:val="000000" w:themeColor="text1"/>
          <w:sz w:val="16"/>
          <w:szCs w:val="16"/>
        </w:rPr>
        <w:softHyphen/>
        <w:t>ние механизированных корпусов и танковых армий. Для того чтобы не упало количество, в условиях доста</w:t>
      </w:r>
      <w:r w:rsidRPr="00722885">
        <w:rPr>
          <w:rFonts w:ascii="Times New Roman" w:hAnsi="Times New Roman"/>
          <w:color w:val="000000" w:themeColor="text1"/>
          <w:sz w:val="16"/>
          <w:szCs w:val="16"/>
        </w:rPr>
        <w:softHyphen/>
        <w:t>точности характеристик Т-34 для выполнения большей части задач, стоявших перед танковыми войсками, распо</w:t>
      </w:r>
      <w:r w:rsidRPr="00722885">
        <w:rPr>
          <w:rFonts w:ascii="Times New Roman" w:hAnsi="Times New Roman"/>
          <w:color w:val="000000" w:themeColor="text1"/>
          <w:sz w:val="16"/>
          <w:szCs w:val="16"/>
        </w:rPr>
        <w:softHyphen/>
        <w:t>ряжением ГКО № 2120 от 28 июля 1942 г. к производству Т-34 бьши подключены Уральский завод тяжелого маши</w:t>
      </w:r>
      <w:r w:rsidRPr="00722885">
        <w:rPr>
          <w:rFonts w:ascii="Times New Roman" w:hAnsi="Times New Roman"/>
          <w:color w:val="000000" w:themeColor="text1"/>
          <w:sz w:val="16"/>
          <w:szCs w:val="16"/>
        </w:rPr>
        <w:softHyphen/>
        <w:t>ностроения («Уралмаш»), до того выпускавший лишь бро-некорпуса и башни танков Т-34 и КВ, а также был спешно переориентирован на выпуск Т-34 Омский завод № 174, за</w:t>
      </w:r>
      <w:r w:rsidRPr="00722885">
        <w:rPr>
          <w:rFonts w:ascii="Times New Roman" w:hAnsi="Times New Roman"/>
          <w:color w:val="000000" w:themeColor="text1"/>
          <w:sz w:val="16"/>
          <w:szCs w:val="16"/>
        </w:rPr>
        <w:softHyphen/>
        <w:t>вершавший пусконаладочные работы конвейера для вы</w:t>
      </w:r>
      <w:r w:rsidRPr="00722885">
        <w:rPr>
          <w:rFonts w:ascii="Times New Roman" w:hAnsi="Times New Roman"/>
          <w:color w:val="000000" w:themeColor="text1"/>
          <w:sz w:val="16"/>
          <w:szCs w:val="16"/>
        </w:rPr>
        <w:softHyphen/>
        <w:t>пуска Т-50. А поскольку оба эти предприятия не имели опыта выпуска средних танков (первый - вообще не имел опыта производства танков), то приказом по НКТП вре</w:t>
      </w:r>
      <w:r w:rsidRPr="00722885">
        <w:rPr>
          <w:rFonts w:ascii="Times New Roman" w:hAnsi="Times New Roman"/>
          <w:color w:val="000000" w:themeColor="text1"/>
          <w:sz w:val="16"/>
          <w:szCs w:val="16"/>
        </w:rPr>
        <w:softHyphen/>
        <w:t>менно, вплоть до особого распоряжения, на выпуск танков Т-34 был ориентирован также Челябинский Кировский за</w:t>
      </w:r>
      <w:r w:rsidRPr="00722885">
        <w:rPr>
          <w:rFonts w:ascii="Times New Roman" w:hAnsi="Times New Roman"/>
          <w:color w:val="000000" w:themeColor="text1"/>
          <w:sz w:val="16"/>
          <w:szCs w:val="16"/>
        </w:rPr>
        <w:softHyphen/>
        <w:t>вод («Танкоград»). Все указанные предприятия должны были выдать первые Т-34 1 октября. В тех условиях это было единственно верное решение, позволившее не только сохранить высокий темп выпуска,' но и увеличить процентное содержание средних танков в бронетанковых войсках Советского Союза. УЗТМ был подключен к выпуску Т-34 еще 31 октября 1941 г., но до марта 1942 г. завод выдавал только раскрой броневых листов Т-34, который отправлялся заводам-изго</w:t>
      </w:r>
      <w:r w:rsidRPr="00722885">
        <w:rPr>
          <w:rFonts w:ascii="Times New Roman" w:hAnsi="Times New Roman"/>
          <w:color w:val="000000" w:themeColor="text1"/>
          <w:sz w:val="16"/>
          <w:szCs w:val="16"/>
        </w:rPr>
        <w:softHyphen/>
        <w:t>товителям в Нижний Тагил, Сталинград и Горький. 21 мар</w:t>
      </w:r>
      <w:r w:rsidRPr="00722885">
        <w:rPr>
          <w:rFonts w:ascii="Times New Roman" w:hAnsi="Times New Roman"/>
          <w:color w:val="000000" w:themeColor="text1"/>
          <w:sz w:val="16"/>
          <w:szCs w:val="16"/>
        </w:rPr>
        <w:softHyphen/>
        <w:t>та 1942 г. завод получил от Наркомата полные чертежи кор</w:t>
      </w:r>
      <w:r w:rsidRPr="00722885">
        <w:rPr>
          <w:rFonts w:ascii="Times New Roman" w:hAnsi="Times New Roman"/>
          <w:color w:val="000000" w:themeColor="text1"/>
          <w:sz w:val="16"/>
          <w:szCs w:val="16"/>
        </w:rPr>
        <w:softHyphen/>
        <w:t>пусов и башен среднего танка и в апреле выдал первые комплектные бронекорпуса Т-34, которые поступили на УТЗ. В марте перестроенные литейные цеха завода начали осва</w:t>
      </w:r>
      <w:r w:rsidRPr="00722885">
        <w:rPr>
          <w:rFonts w:ascii="Times New Roman" w:hAnsi="Times New Roman"/>
          <w:color w:val="000000" w:themeColor="text1"/>
          <w:sz w:val="16"/>
          <w:szCs w:val="16"/>
        </w:rPr>
        <w:softHyphen/>
        <w:t>ивать литье башен танков Т-34 и КВ. Распоряжение ГКО № 2120 поставило завод в сложные условия. Он должен был, не снижая программы отгрузки корпусов и башен Т-34, выдавать до конца 1942 г. не менее 50 Т-34 ежемесячно. Был увеличен объем литья башен и для ЧКЗ, который также начал работы по освоению выпуска Т-34. Таким образом, программа выпуска башен на УЗТМ увеличилась более чем вдвое. Литейные цеха «Уралмаша» на</w:t>
      </w:r>
      <w:r w:rsidRPr="00722885">
        <w:rPr>
          <w:rFonts w:ascii="Times New Roman" w:hAnsi="Times New Roman"/>
          <w:color w:val="000000" w:themeColor="text1"/>
          <w:sz w:val="16"/>
          <w:szCs w:val="16"/>
        </w:rPr>
        <w:softHyphen/>
        <w:t>чали задыхаться, не справляясь с такой программой башен</w:t>
      </w:r>
      <w:r w:rsidRPr="00722885">
        <w:rPr>
          <w:rFonts w:ascii="Times New Roman" w:hAnsi="Times New Roman"/>
          <w:color w:val="000000" w:themeColor="text1"/>
          <w:sz w:val="16"/>
          <w:szCs w:val="16"/>
        </w:rPr>
        <w:softHyphen/>
        <w:t>ного производства. Стала сказываться нехватка «жидкой брони», формовочной земли. Попытки организовать на заво</w:t>
      </w:r>
      <w:r w:rsidRPr="00722885">
        <w:rPr>
          <w:rFonts w:ascii="Times New Roman" w:hAnsi="Times New Roman"/>
          <w:color w:val="000000" w:themeColor="text1"/>
          <w:sz w:val="16"/>
          <w:szCs w:val="16"/>
        </w:rPr>
        <w:softHyphen/>
        <w:t>де производство сварных башен бьши отклонены, так как в условиях ручной сварки стоимость и время изготовления единицы продукции были чрезмерными.</w:t>
      </w:r>
    </w:p>
    <w:p w14:paraId="24A9BFD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1F324F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август 1942 года СТЗ удалось передать армии 250 Т-34 несмотря на тяжелые условия работы, начавшиеся бомбежки и отсутствие необходимых материалов завод продолжал давать фронту, который приблизился вплотную к Сталинграду, танки (12217).</w:t>
      </w:r>
    </w:p>
    <w:p w14:paraId="681880B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F0F5E4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ввиду прекращения выпуска танков Т-34 на СТЗ, завод № 174, находившийся уже в Омске, был временно (вплоть до восстановления производства Т-34 на СТЗ) сориентирован на выпуск танка Т-34, недостаток же танка Т-50 предполагалось временно скомпенсировать, во-первых, форсированным выпуском танков Т-70, и, во-вто-</w:t>
      </w:r>
      <w:r w:rsidRPr="00722885">
        <w:rPr>
          <w:rFonts w:ascii="Times New Roman" w:hAnsi="Times New Roman"/>
          <w:smallCaps/>
          <w:color w:val="000000" w:themeColor="text1"/>
          <w:sz w:val="16"/>
          <w:szCs w:val="16"/>
        </w:rPr>
        <w:t xml:space="preserve">рых, </w:t>
      </w:r>
      <w:r w:rsidRPr="00722885">
        <w:rPr>
          <w:rFonts w:ascii="Times New Roman" w:hAnsi="Times New Roman"/>
          <w:color w:val="000000" w:themeColor="text1"/>
          <w:sz w:val="16"/>
          <w:szCs w:val="16"/>
        </w:rPr>
        <w:t>увеличенными поставками танков «Валентайн» (по основным характеристикам подобных Т-50) из Канады (10782).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44"/>
        <w:gridCol w:w="778"/>
        <w:gridCol w:w="1286"/>
        <w:gridCol w:w="970"/>
        <w:gridCol w:w="1018"/>
      </w:tblGrid>
      <w:tr w:rsidR="009B487A" w:rsidRPr="00722885" w14:paraId="37D5A786" w14:textId="77777777" w:rsidTr="00CC5360">
        <w:trPr>
          <w:trHeight w:val="422"/>
        </w:trPr>
        <w:tc>
          <w:tcPr>
            <w:tcW w:w="5396" w:type="dxa"/>
            <w:gridSpan w:val="5"/>
            <w:tcBorders>
              <w:top w:val="single" w:sz="12" w:space="0" w:color="auto"/>
            </w:tcBorders>
          </w:tcPr>
          <w:p w14:paraId="5BA0833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Тактико-технические характеристики советских легких танков военного времени выпуска 1942 г.</w:t>
            </w:r>
          </w:p>
        </w:tc>
      </w:tr>
      <w:tr w:rsidR="009B487A" w:rsidRPr="00722885" w14:paraId="418B944A" w14:textId="77777777" w:rsidTr="00CC5360">
        <w:trPr>
          <w:trHeight w:val="259"/>
        </w:trPr>
        <w:tc>
          <w:tcPr>
            <w:tcW w:w="1344" w:type="dxa"/>
          </w:tcPr>
          <w:p w14:paraId="1A88866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78" w:type="dxa"/>
          </w:tcPr>
          <w:p w14:paraId="029955F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Т-60</w:t>
            </w:r>
          </w:p>
        </w:tc>
        <w:tc>
          <w:tcPr>
            <w:tcW w:w="1286" w:type="dxa"/>
          </w:tcPr>
          <w:p w14:paraId="4F83CD2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Т-45</w:t>
            </w:r>
          </w:p>
        </w:tc>
        <w:tc>
          <w:tcPr>
            <w:tcW w:w="970" w:type="dxa"/>
          </w:tcPr>
          <w:p w14:paraId="0E633F8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Т-70</w:t>
            </w:r>
          </w:p>
        </w:tc>
        <w:tc>
          <w:tcPr>
            <w:tcW w:w="1018" w:type="dxa"/>
          </w:tcPr>
          <w:p w14:paraId="1087B73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Т-50</w:t>
            </w:r>
          </w:p>
        </w:tc>
      </w:tr>
      <w:tr w:rsidR="009B487A" w:rsidRPr="00722885" w14:paraId="1CDE9BF5" w14:textId="77777777" w:rsidTr="00CC5360">
        <w:trPr>
          <w:trHeight w:val="163"/>
        </w:trPr>
        <w:tc>
          <w:tcPr>
            <w:tcW w:w="1344" w:type="dxa"/>
          </w:tcPr>
          <w:p w14:paraId="22C4AB4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ТТХ /Марка танка</w:t>
            </w:r>
          </w:p>
        </w:tc>
        <w:tc>
          <w:tcPr>
            <w:tcW w:w="778" w:type="dxa"/>
          </w:tcPr>
          <w:p w14:paraId="6DEBBF2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1286" w:type="dxa"/>
          </w:tcPr>
          <w:p w14:paraId="0811E8E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970" w:type="dxa"/>
          </w:tcPr>
          <w:p w14:paraId="3220D1B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1018" w:type="dxa"/>
          </w:tcPr>
          <w:p w14:paraId="301B281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r>
      <w:tr w:rsidR="009B487A" w:rsidRPr="00722885" w14:paraId="728550B1" w14:textId="77777777" w:rsidTr="00CC5360">
        <w:trPr>
          <w:trHeight w:val="173"/>
        </w:trPr>
        <w:tc>
          <w:tcPr>
            <w:tcW w:w="1344" w:type="dxa"/>
          </w:tcPr>
          <w:p w14:paraId="2311BB0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Боевой вес, кг</w:t>
            </w:r>
          </w:p>
        </w:tc>
        <w:tc>
          <w:tcPr>
            <w:tcW w:w="778" w:type="dxa"/>
          </w:tcPr>
          <w:p w14:paraId="7A41D2A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6200</w:t>
            </w:r>
          </w:p>
        </w:tc>
        <w:tc>
          <w:tcPr>
            <w:tcW w:w="1286" w:type="dxa"/>
          </w:tcPr>
          <w:p w14:paraId="4A3AAD2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6800</w:t>
            </w:r>
          </w:p>
        </w:tc>
        <w:tc>
          <w:tcPr>
            <w:tcW w:w="970" w:type="dxa"/>
          </w:tcPr>
          <w:p w14:paraId="4811876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9200</w:t>
            </w:r>
          </w:p>
        </w:tc>
        <w:tc>
          <w:tcPr>
            <w:tcW w:w="1018" w:type="dxa"/>
          </w:tcPr>
          <w:p w14:paraId="6384A39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17900</w:t>
            </w:r>
          </w:p>
        </w:tc>
      </w:tr>
      <w:tr w:rsidR="009B487A" w:rsidRPr="00722885" w14:paraId="11F01A98" w14:textId="77777777" w:rsidTr="00CC5360">
        <w:trPr>
          <w:trHeight w:val="221"/>
        </w:trPr>
        <w:tc>
          <w:tcPr>
            <w:tcW w:w="1344" w:type="dxa"/>
          </w:tcPr>
          <w:p w14:paraId="7F7578E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чел.</w:t>
            </w:r>
          </w:p>
        </w:tc>
        <w:tc>
          <w:tcPr>
            <w:tcW w:w="778" w:type="dxa"/>
          </w:tcPr>
          <w:p w14:paraId="58AC379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286" w:type="dxa"/>
          </w:tcPr>
          <w:p w14:paraId="61DE926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970" w:type="dxa"/>
          </w:tcPr>
          <w:p w14:paraId="32A413E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18" w:type="dxa"/>
          </w:tcPr>
          <w:p w14:paraId="5B9C302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r>
      <w:tr w:rsidR="009B487A" w:rsidRPr="00722885" w14:paraId="78BDC744" w14:textId="77777777" w:rsidTr="00CC5360">
        <w:trPr>
          <w:trHeight w:val="192"/>
        </w:trPr>
        <w:tc>
          <w:tcPr>
            <w:tcW w:w="5396" w:type="dxa"/>
            <w:gridSpan w:val="5"/>
          </w:tcPr>
          <w:p w14:paraId="4338E53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Размерения. мм</w:t>
            </w:r>
          </w:p>
        </w:tc>
      </w:tr>
      <w:tr w:rsidR="009B487A" w:rsidRPr="00722885" w14:paraId="7E2AB0EF" w14:textId="77777777" w:rsidTr="00CC5360">
        <w:trPr>
          <w:trHeight w:val="230"/>
        </w:trPr>
        <w:tc>
          <w:tcPr>
            <w:tcW w:w="1344" w:type="dxa"/>
          </w:tcPr>
          <w:p w14:paraId="2392719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общая</w:t>
            </w:r>
          </w:p>
        </w:tc>
        <w:tc>
          <w:tcPr>
            <w:tcW w:w="778" w:type="dxa"/>
          </w:tcPr>
          <w:p w14:paraId="441B96E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4100</w:t>
            </w:r>
          </w:p>
        </w:tc>
        <w:tc>
          <w:tcPr>
            <w:tcW w:w="1286" w:type="dxa"/>
          </w:tcPr>
          <w:p w14:paraId="7177E8F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4100</w:t>
            </w:r>
          </w:p>
        </w:tc>
        <w:tc>
          <w:tcPr>
            <w:tcW w:w="970" w:type="dxa"/>
          </w:tcPr>
          <w:p w14:paraId="2032150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4290</w:t>
            </w:r>
          </w:p>
        </w:tc>
        <w:tc>
          <w:tcPr>
            <w:tcW w:w="1018" w:type="dxa"/>
          </w:tcPr>
          <w:p w14:paraId="3C5E067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5280</w:t>
            </w:r>
          </w:p>
        </w:tc>
      </w:tr>
      <w:tr w:rsidR="009B487A" w:rsidRPr="00722885" w14:paraId="5BDDFB65" w14:textId="77777777" w:rsidTr="00CC5360">
        <w:trPr>
          <w:trHeight w:val="163"/>
        </w:trPr>
        <w:tc>
          <w:tcPr>
            <w:tcW w:w="1344" w:type="dxa"/>
          </w:tcPr>
          <w:p w14:paraId="46D2B96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Ширина</w:t>
            </w:r>
          </w:p>
        </w:tc>
        <w:tc>
          <w:tcPr>
            <w:tcW w:w="778" w:type="dxa"/>
          </w:tcPr>
          <w:p w14:paraId="1D1EC87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2290</w:t>
            </w:r>
          </w:p>
        </w:tc>
        <w:tc>
          <w:tcPr>
            <w:tcW w:w="1286" w:type="dxa"/>
          </w:tcPr>
          <w:p w14:paraId="40FDF56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2290</w:t>
            </w:r>
          </w:p>
        </w:tc>
        <w:tc>
          <w:tcPr>
            <w:tcW w:w="970" w:type="dxa"/>
          </w:tcPr>
          <w:p w14:paraId="69BBEDF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2302</w:t>
            </w:r>
          </w:p>
        </w:tc>
        <w:tc>
          <w:tcPr>
            <w:tcW w:w="1018" w:type="dxa"/>
          </w:tcPr>
          <w:p w14:paraId="69A436F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2470</w:t>
            </w:r>
          </w:p>
        </w:tc>
      </w:tr>
      <w:tr w:rsidR="009B487A" w:rsidRPr="00722885" w14:paraId="5F499135" w14:textId="77777777" w:rsidTr="00CC5360">
        <w:trPr>
          <w:trHeight w:val="163"/>
        </w:trPr>
        <w:tc>
          <w:tcPr>
            <w:tcW w:w="1344" w:type="dxa"/>
          </w:tcPr>
          <w:p w14:paraId="6E02451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w:t>
            </w:r>
          </w:p>
        </w:tc>
        <w:tc>
          <w:tcPr>
            <w:tcW w:w="778" w:type="dxa"/>
          </w:tcPr>
          <w:p w14:paraId="682105F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1750</w:t>
            </w:r>
          </w:p>
        </w:tc>
        <w:tc>
          <w:tcPr>
            <w:tcW w:w="1286" w:type="dxa"/>
          </w:tcPr>
          <w:p w14:paraId="55EF2F7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1750</w:t>
            </w:r>
          </w:p>
        </w:tc>
        <w:tc>
          <w:tcPr>
            <w:tcW w:w="970" w:type="dxa"/>
          </w:tcPr>
          <w:p w14:paraId="53FC0A4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1810</w:t>
            </w:r>
          </w:p>
        </w:tc>
        <w:tc>
          <w:tcPr>
            <w:tcW w:w="1018" w:type="dxa"/>
          </w:tcPr>
          <w:p w14:paraId="0722DB7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2150</w:t>
            </w:r>
          </w:p>
        </w:tc>
      </w:tr>
      <w:tr w:rsidR="009B487A" w:rsidRPr="00722885" w14:paraId="37DC13AC" w14:textId="77777777" w:rsidTr="00CC5360">
        <w:trPr>
          <w:trHeight w:val="211"/>
        </w:trPr>
        <w:tc>
          <w:tcPr>
            <w:tcW w:w="1344" w:type="dxa"/>
          </w:tcPr>
          <w:p w14:paraId="2454949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Клиренс</w:t>
            </w:r>
          </w:p>
        </w:tc>
        <w:tc>
          <w:tcPr>
            <w:tcW w:w="778" w:type="dxa"/>
          </w:tcPr>
          <w:p w14:paraId="5BD4513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c>
          <w:tcPr>
            <w:tcW w:w="1286" w:type="dxa"/>
          </w:tcPr>
          <w:p w14:paraId="7B3DBE2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c>
          <w:tcPr>
            <w:tcW w:w="970" w:type="dxa"/>
          </w:tcPr>
          <w:p w14:paraId="0AB5612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c>
          <w:tcPr>
            <w:tcW w:w="1018" w:type="dxa"/>
          </w:tcPr>
          <w:p w14:paraId="6B5BB28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350</w:t>
            </w:r>
          </w:p>
        </w:tc>
      </w:tr>
      <w:tr w:rsidR="009B487A" w:rsidRPr="00722885" w14:paraId="3537DDE5" w14:textId="77777777" w:rsidTr="00CC5360">
        <w:trPr>
          <w:trHeight w:val="182"/>
        </w:trPr>
        <w:tc>
          <w:tcPr>
            <w:tcW w:w="5396" w:type="dxa"/>
            <w:gridSpan w:val="5"/>
          </w:tcPr>
          <w:p w14:paraId="10EB7D7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w:t>
            </w:r>
          </w:p>
        </w:tc>
      </w:tr>
      <w:tr w:rsidR="009B487A" w:rsidRPr="00722885" w14:paraId="2C6FBA5E" w14:textId="77777777" w:rsidTr="00CC5360">
        <w:trPr>
          <w:trHeight w:val="211"/>
        </w:trPr>
        <w:tc>
          <w:tcPr>
            <w:tcW w:w="1344" w:type="dxa"/>
          </w:tcPr>
          <w:p w14:paraId="3B487A7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Пушек, шт. х кал.</w:t>
            </w:r>
          </w:p>
        </w:tc>
        <w:tc>
          <w:tcPr>
            <w:tcW w:w="778" w:type="dxa"/>
          </w:tcPr>
          <w:p w14:paraId="668F5D7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1х20-мм</w:t>
            </w:r>
          </w:p>
        </w:tc>
        <w:tc>
          <w:tcPr>
            <w:tcW w:w="1286" w:type="dxa"/>
          </w:tcPr>
          <w:p w14:paraId="250121C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1х45-мм</w:t>
            </w:r>
          </w:p>
        </w:tc>
        <w:tc>
          <w:tcPr>
            <w:tcW w:w="970" w:type="dxa"/>
          </w:tcPr>
          <w:p w14:paraId="3778B13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1х45-мм</w:t>
            </w:r>
          </w:p>
        </w:tc>
        <w:tc>
          <w:tcPr>
            <w:tcW w:w="1018" w:type="dxa"/>
          </w:tcPr>
          <w:p w14:paraId="2C329AF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1х45-мм</w:t>
            </w:r>
          </w:p>
        </w:tc>
      </w:tr>
      <w:tr w:rsidR="009B487A" w:rsidRPr="00722885" w14:paraId="7A4E81DD" w14:textId="77777777" w:rsidTr="00CC5360">
        <w:trPr>
          <w:trHeight w:val="202"/>
        </w:trPr>
        <w:tc>
          <w:tcPr>
            <w:tcW w:w="1344" w:type="dxa"/>
          </w:tcPr>
          <w:p w14:paraId="554D6A4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орудия</w:t>
            </w:r>
          </w:p>
        </w:tc>
        <w:tc>
          <w:tcPr>
            <w:tcW w:w="778" w:type="dxa"/>
          </w:tcPr>
          <w:p w14:paraId="15F4417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ТНШ</w:t>
            </w:r>
          </w:p>
        </w:tc>
        <w:tc>
          <w:tcPr>
            <w:tcW w:w="1286" w:type="dxa"/>
          </w:tcPr>
          <w:p w14:paraId="567FB01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ЗИС-19БМ</w:t>
            </w:r>
          </w:p>
        </w:tc>
        <w:tc>
          <w:tcPr>
            <w:tcW w:w="970" w:type="dxa"/>
          </w:tcPr>
          <w:p w14:paraId="7B926D7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20Км</w:t>
            </w:r>
          </w:p>
        </w:tc>
        <w:tc>
          <w:tcPr>
            <w:tcW w:w="1018" w:type="dxa"/>
          </w:tcPr>
          <w:p w14:paraId="3B7E60A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20Км</w:t>
            </w:r>
          </w:p>
        </w:tc>
      </w:tr>
      <w:tr w:rsidR="009B487A" w:rsidRPr="00722885" w14:paraId="52F5A28D" w14:textId="77777777" w:rsidTr="00CC5360">
        <w:trPr>
          <w:trHeight w:val="134"/>
        </w:trPr>
        <w:tc>
          <w:tcPr>
            <w:tcW w:w="1344" w:type="dxa"/>
          </w:tcPr>
          <w:p w14:paraId="30D8F90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Снарядов, шт.</w:t>
            </w:r>
          </w:p>
        </w:tc>
        <w:tc>
          <w:tcPr>
            <w:tcW w:w="778" w:type="dxa"/>
          </w:tcPr>
          <w:p w14:paraId="0ED5E08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780</w:t>
            </w:r>
          </w:p>
        </w:tc>
        <w:tc>
          <w:tcPr>
            <w:tcW w:w="1286" w:type="dxa"/>
          </w:tcPr>
          <w:p w14:paraId="3E12645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66</w:t>
            </w:r>
          </w:p>
        </w:tc>
        <w:tc>
          <w:tcPr>
            <w:tcW w:w="970" w:type="dxa"/>
          </w:tcPr>
          <w:p w14:paraId="62A14A2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66</w:t>
            </w:r>
          </w:p>
        </w:tc>
        <w:tc>
          <w:tcPr>
            <w:tcW w:w="1018" w:type="dxa"/>
          </w:tcPr>
          <w:p w14:paraId="60A5C7F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w:t>
            </w:r>
          </w:p>
        </w:tc>
      </w:tr>
      <w:tr w:rsidR="009B487A" w:rsidRPr="00722885" w14:paraId="1A8A99F6" w14:textId="77777777" w:rsidTr="00CC5360">
        <w:trPr>
          <w:trHeight w:val="173"/>
        </w:trPr>
        <w:tc>
          <w:tcPr>
            <w:tcW w:w="1344" w:type="dxa"/>
          </w:tcPr>
          <w:p w14:paraId="3469E82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Пулеметов, шт. х кал.</w:t>
            </w:r>
          </w:p>
        </w:tc>
        <w:tc>
          <w:tcPr>
            <w:tcW w:w="778" w:type="dxa"/>
          </w:tcPr>
          <w:p w14:paraId="5DFC978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1х7,62-мм</w:t>
            </w:r>
          </w:p>
        </w:tc>
        <w:tc>
          <w:tcPr>
            <w:tcW w:w="1286" w:type="dxa"/>
          </w:tcPr>
          <w:p w14:paraId="3E4D208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1х7,62-мм</w:t>
            </w:r>
          </w:p>
        </w:tc>
        <w:tc>
          <w:tcPr>
            <w:tcW w:w="970" w:type="dxa"/>
          </w:tcPr>
          <w:p w14:paraId="2FE6C89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1х7,62-мм</w:t>
            </w:r>
          </w:p>
        </w:tc>
        <w:tc>
          <w:tcPr>
            <w:tcW w:w="1018" w:type="dxa"/>
          </w:tcPr>
          <w:p w14:paraId="43AB37D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2х7,62-мм</w:t>
            </w:r>
          </w:p>
        </w:tc>
      </w:tr>
      <w:tr w:rsidR="009B487A" w:rsidRPr="00722885" w14:paraId="561C6E70" w14:textId="77777777" w:rsidTr="00CC5360">
        <w:trPr>
          <w:trHeight w:val="173"/>
        </w:trPr>
        <w:tc>
          <w:tcPr>
            <w:tcW w:w="1344" w:type="dxa"/>
          </w:tcPr>
          <w:p w14:paraId="52413E3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пулемета</w:t>
            </w:r>
          </w:p>
        </w:tc>
        <w:tc>
          <w:tcPr>
            <w:tcW w:w="778" w:type="dxa"/>
          </w:tcPr>
          <w:p w14:paraId="2BFBD71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ДТ</w:t>
            </w:r>
          </w:p>
        </w:tc>
        <w:tc>
          <w:tcPr>
            <w:tcW w:w="1286" w:type="dxa"/>
          </w:tcPr>
          <w:p w14:paraId="777829E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ДТ</w:t>
            </w:r>
          </w:p>
        </w:tc>
        <w:tc>
          <w:tcPr>
            <w:tcW w:w="970" w:type="dxa"/>
          </w:tcPr>
          <w:p w14:paraId="57ED8AB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ДТ</w:t>
            </w:r>
          </w:p>
        </w:tc>
        <w:tc>
          <w:tcPr>
            <w:tcW w:w="1018" w:type="dxa"/>
          </w:tcPr>
          <w:p w14:paraId="4EEF870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ДТ</w:t>
            </w:r>
          </w:p>
        </w:tc>
      </w:tr>
      <w:tr w:rsidR="009B487A" w:rsidRPr="00722885" w14:paraId="36DFFCAE" w14:textId="77777777" w:rsidTr="00CC5360">
        <w:trPr>
          <w:trHeight w:val="221"/>
        </w:trPr>
        <w:tc>
          <w:tcPr>
            <w:tcW w:w="1344" w:type="dxa"/>
          </w:tcPr>
          <w:p w14:paraId="1BC5966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Патронов, шт.</w:t>
            </w:r>
          </w:p>
        </w:tc>
        <w:tc>
          <w:tcPr>
            <w:tcW w:w="778" w:type="dxa"/>
          </w:tcPr>
          <w:p w14:paraId="0628C85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945</w:t>
            </w:r>
          </w:p>
        </w:tc>
        <w:tc>
          <w:tcPr>
            <w:tcW w:w="1286" w:type="dxa"/>
          </w:tcPr>
          <w:p w14:paraId="659A64E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945</w:t>
            </w:r>
          </w:p>
        </w:tc>
        <w:tc>
          <w:tcPr>
            <w:tcW w:w="970" w:type="dxa"/>
          </w:tcPr>
          <w:p w14:paraId="6F1EE88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850</w:t>
            </w:r>
          </w:p>
        </w:tc>
        <w:tc>
          <w:tcPr>
            <w:tcW w:w="1018" w:type="dxa"/>
          </w:tcPr>
          <w:p w14:paraId="0FCC979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4032</w:t>
            </w:r>
          </w:p>
        </w:tc>
      </w:tr>
      <w:tr w:rsidR="009B487A" w:rsidRPr="00722885" w14:paraId="3646D986" w14:textId="77777777" w:rsidTr="00CC5360">
        <w:trPr>
          <w:trHeight w:val="202"/>
        </w:trPr>
        <w:tc>
          <w:tcPr>
            <w:tcW w:w="5396" w:type="dxa"/>
            <w:gridSpan w:val="5"/>
          </w:tcPr>
          <w:p w14:paraId="49ED78F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Толшина брони, мм</w:t>
            </w:r>
          </w:p>
        </w:tc>
      </w:tr>
      <w:tr w:rsidR="009B487A" w:rsidRPr="00722885" w14:paraId="0336718E" w14:textId="77777777" w:rsidTr="00CC5360">
        <w:trPr>
          <w:trHeight w:val="230"/>
        </w:trPr>
        <w:tc>
          <w:tcPr>
            <w:tcW w:w="1344" w:type="dxa"/>
          </w:tcPr>
          <w:p w14:paraId="5713C73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Верт. корпуса</w:t>
            </w:r>
          </w:p>
        </w:tc>
        <w:tc>
          <w:tcPr>
            <w:tcW w:w="778" w:type="dxa"/>
          </w:tcPr>
          <w:p w14:paraId="2CCD70A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35-15</w:t>
            </w:r>
          </w:p>
        </w:tc>
        <w:tc>
          <w:tcPr>
            <w:tcW w:w="1286" w:type="dxa"/>
          </w:tcPr>
          <w:p w14:paraId="606785F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35-25-15</w:t>
            </w:r>
          </w:p>
        </w:tc>
        <w:tc>
          <w:tcPr>
            <w:tcW w:w="970" w:type="dxa"/>
          </w:tcPr>
          <w:p w14:paraId="7E8A4F2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45-35-15</w:t>
            </w:r>
          </w:p>
        </w:tc>
        <w:tc>
          <w:tcPr>
            <w:tcW w:w="1018" w:type="dxa"/>
          </w:tcPr>
          <w:p w14:paraId="1B0AAA5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r>
      <w:tr w:rsidR="009B487A" w:rsidRPr="00722885" w14:paraId="7C07A371" w14:textId="77777777" w:rsidTr="00CC5360">
        <w:trPr>
          <w:trHeight w:val="451"/>
        </w:trPr>
        <w:tc>
          <w:tcPr>
            <w:tcW w:w="1344" w:type="dxa"/>
          </w:tcPr>
          <w:p w14:paraId="5AAEF7C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Гориз. корпуса Башня</w:t>
            </w:r>
          </w:p>
        </w:tc>
        <w:tc>
          <w:tcPr>
            <w:tcW w:w="778" w:type="dxa"/>
          </w:tcPr>
          <w:p w14:paraId="05655B8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15-6 25</w:t>
            </w:r>
          </w:p>
        </w:tc>
        <w:tc>
          <w:tcPr>
            <w:tcW w:w="1286" w:type="dxa"/>
          </w:tcPr>
          <w:p w14:paraId="1C76062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15-6 35</w:t>
            </w:r>
          </w:p>
        </w:tc>
        <w:tc>
          <w:tcPr>
            <w:tcW w:w="970" w:type="dxa"/>
          </w:tcPr>
          <w:p w14:paraId="76D7603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 35</w:t>
            </w:r>
          </w:p>
        </w:tc>
        <w:tc>
          <w:tcPr>
            <w:tcW w:w="1018" w:type="dxa"/>
          </w:tcPr>
          <w:p w14:paraId="3F92C11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50 (литье)</w:t>
            </w:r>
          </w:p>
        </w:tc>
      </w:tr>
      <w:tr w:rsidR="009B487A" w:rsidRPr="00722885" w14:paraId="66D9F5EB" w14:textId="77777777" w:rsidTr="00CC5360">
        <w:trPr>
          <w:trHeight w:val="317"/>
        </w:trPr>
        <w:tc>
          <w:tcPr>
            <w:tcW w:w="1344" w:type="dxa"/>
          </w:tcPr>
          <w:p w14:paraId="4C16167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w:t>
            </w:r>
          </w:p>
        </w:tc>
        <w:tc>
          <w:tcPr>
            <w:tcW w:w="778" w:type="dxa"/>
          </w:tcPr>
          <w:p w14:paraId="0667D89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4т/6ц/к/ж</w:t>
            </w:r>
          </w:p>
        </w:tc>
        <w:tc>
          <w:tcPr>
            <w:tcW w:w="1286" w:type="dxa"/>
          </w:tcPr>
          <w:p w14:paraId="58EC4BF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Двигатель 4т/16ц/к/ж</w:t>
            </w:r>
          </w:p>
        </w:tc>
        <w:tc>
          <w:tcPr>
            <w:tcW w:w="970" w:type="dxa"/>
          </w:tcPr>
          <w:p w14:paraId="7C2BA81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4т/6ц/д/ж</w:t>
            </w:r>
          </w:p>
        </w:tc>
        <w:tc>
          <w:tcPr>
            <w:tcW w:w="1018" w:type="dxa"/>
          </w:tcPr>
          <w:p w14:paraId="31DC2DE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4т/6ц/д/ж</w:t>
            </w:r>
          </w:p>
        </w:tc>
      </w:tr>
      <w:tr w:rsidR="009B487A" w:rsidRPr="00722885" w14:paraId="35B457CD" w14:textId="77777777" w:rsidTr="00CC5360">
        <w:trPr>
          <w:trHeight w:val="173"/>
        </w:trPr>
        <w:tc>
          <w:tcPr>
            <w:tcW w:w="1344" w:type="dxa"/>
          </w:tcPr>
          <w:p w14:paraId="52BC340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Марка</w:t>
            </w:r>
          </w:p>
        </w:tc>
        <w:tc>
          <w:tcPr>
            <w:tcW w:w="778" w:type="dxa"/>
          </w:tcPr>
          <w:p w14:paraId="1923D8F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ГАЗ-202</w:t>
            </w:r>
          </w:p>
        </w:tc>
        <w:tc>
          <w:tcPr>
            <w:tcW w:w="1286" w:type="dxa"/>
          </w:tcPr>
          <w:p w14:paraId="0F4743F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ЗИС-16</w:t>
            </w:r>
          </w:p>
        </w:tc>
        <w:tc>
          <w:tcPr>
            <w:tcW w:w="970" w:type="dxa"/>
          </w:tcPr>
          <w:p w14:paraId="3C07121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ГАЗ-203</w:t>
            </w:r>
          </w:p>
        </w:tc>
        <w:tc>
          <w:tcPr>
            <w:tcW w:w="1018" w:type="dxa"/>
          </w:tcPr>
          <w:p w14:paraId="764E523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В-4</w:t>
            </w:r>
          </w:p>
        </w:tc>
      </w:tr>
      <w:tr w:rsidR="009B487A" w:rsidRPr="00722885" w14:paraId="39295C27" w14:textId="77777777" w:rsidTr="00CC5360">
        <w:trPr>
          <w:trHeight w:val="173"/>
        </w:trPr>
        <w:tc>
          <w:tcPr>
            <w:tcW w:w="1344" w:type="dxa"/>
          </w:tcPr>
          <w:p w14:paraId="6299354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Мощность макс., л.с.</w:t>
            </w:r>
          </w:p>
        </w:tc>
        <w:tc>
          <w:tcPr>
            <w:tcW w:w="778" w:type="dxa"/>
          </w:tcPr>
          <w:p w14:paraId="2A9CDA0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w:t>
            </w:r>
          </w:p>
        </w:tc>
        <w:tc>
          <w:tcPr>
            <w:tcW w:w="1286" w:type="dxa"/>
          </w:tcPr>
          <w:p w14:paraId="5E65091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w:t>
            </w:r>
          </w:p>
        </w:tc>
        <w:tc>
          <w:tcPr>
            <w:tcW w:w="970" w:type="dxa"/>
          </w:tcPr>
          <w:p w14:paraId="651AD3A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2x70</w:t>
            </w:r>
          </w:p>
        </w:tc>
        <w:tc>
          <w:tcPr>
            <w:tcW w:w="1018" w:type="dxa"/>
          </w:tcPr>
          <w:p w14:paraId="5136AA2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r>
      <w:tr w:rsidR="009B487A" w:rsidRPr="00722885" w14:paraId="1EF577FB" w14:textId="77777777" w:rsidTr="00CC5360">
        <w:trPr>
          <w:trHeight w:val="192"/>
        </w:trPr>
        <w:tc>
          <w:tcPr>
            <w:tcW w:w="1344" w:type="dxa"/>
          </w:tcPr>
          <w:p w14:paraId="02C1056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частоте об/мин</w:t>
            </w:r>
          </w:p>
        </w:tc>
        <w:tc>
          <w:tcPr>
            <w:tcW w:w="778" w:type="dxa"/>
          </w:tcPr>
          <w:p w14:paraId="41FA2ED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1286" w:type="dxa"/>
          </w:tcPr>
          <w:p w14:paraId="35E2EA4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5D43B62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1018" w:type="dxa"/>
          </w:tcPr>
          <w:p w14:paraId="09AF239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1850</w:t>
            </w:r>
          </w:p>
        </w:tc>
      </w:tr>
      <w:tr w:rsidR="009B487A" w:rsidRPr="00722885" w14:paraId="0DA79383" w14:textId="77777777" w:rsidTr="00CC5360">
        <w:trPr>
          <w:trHeight w:val="154"/>
        </w:trPr>
        <w:tc>
          <w:tcPr>
            <w:tcW w:w="1344" w:type="dxa"/>
          </w:tcPr>
          <w:p w14:paraId="4A08920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Передач КПП</w:t>
            </w:r>
          </w:p>
        </w:tc>
        <w:tc>
          <w:tcPr>
            <w:tcW w:w="778" w:type="dxa"/>
          </w:tcPr>
          <w:p w14:paraId="45D6F91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c>
          <w:tcPr>
            <w:tcW w:w="1286" w:type="dxa"/>
          </w:tcPr>
          <w:p w14:paraId="631E224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c>
          <w:tcPr>
            <w:tcW w:w="970" w:type="dxa"/>
          </w:tcPr>
          <w:p w14:paraId="16159F2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c>
          <w:tcPr>
            <w:tcW w:w="1018" w:type="dxa"/>
          </w:tcPr>
          <w:p w14:paraId="5686D50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r>
      <w:tr w:rsidR="009B487A" w:rsidRPr="00722885" w14:paraId="16B98DF3" w14:textId="77777777" w:rsidTr="00CC5360">
        <w:trPr>
          <w:trHeight w:val="192"/>
        </w:trPr>
        <w:tc>
          <w:tcPr>
            <w:tcW w:w="1344" w:type="dxa"/>
          </w:tcPr>
          <w:p w14:paraId="70D2C8E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макс., км/ч</w:t>
            </w:r>
          </w:p>
        </w:tc>
        <w:tc>
          <w:tcPr>
            <w:tcW w:w="778" w:type="dxa"/>
          </w:tcPr>
          <w:p w14:paraId="617133B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44,8</w:t>
            </w:r>
          </w:p>
        </w:tc>
        <w:tc>
          <w:tcPr>
            <w:tcW w:w="1286" w:type="dxa"/>
          </w:tcPr>
          <w:p w14:paraId="4EDA7E9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39,5</w:t>
            </w:r>
          </w:p>
        </w:tc>
        <w:tc>
          <w:tcPr>
            <w:tcW w:w="970" w:type="dxa"/>
          </w:tcPr>
          <w:p w14:paraId="2F37A27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42,0</w:t>
            </w:r>
          </w:p>
        </w:tc>
        <w:tc>
          <w:tcPr>
            <w:tcW w:w="1018" w:type="dxa"/>
          </w:tcPr>
          <w:p w14:paraId="0460F59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w:t>
            </w:r>
          </w:p>
        </w:tc>
      </w:tr>
      <w:tr w:rsidR="009B487A" w:rsidRPr="00722885" w14:paraId="7BD21288" w14:textId="77777777" w:rsidTr="00CC5360">
        <w:trPr>
          <w:trHeight w:val="192"/>
        </w:trPr>
        <w:tc>
          <w:tcPr>
            <w:tcW w:w="1344" w:type="dxa"/>
          </w:tcPr>
          <w:p w14:paraId="678767A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топлива</w:t>
            </w:r>
          </w:p>
        </w:tc>
        <w:tc>
          <w:tcPr>
            <w:tcW w:w="778" w:type="dxa"/>
          </w:tcPr>
          <w:p w14:paraId="50A19E8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Бензин 1 с</w:t>
            </w:r>
          </w:p>
        </w:tc>
        <w:tc>
          <w:tcPr>
            <w:tcW w:w="1286" w:type="dxa"/>
          </w:tcPr>
          <w:p w14:paraId="634CA2B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Бензин 2 с</w:t>
            </w:r>
          </w:p>
        </w:tc>
        <w:tc>
          <w:tcPr>
            <w:tcW w:w="970" w:type="dxa"/>
          </w:tcPr>
          <w:p w14:paraId="0E0A833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Бензин 1 с</w:t>
            </w:r>
          </w:p>
        </w:tc>
        <w:tc>
          <w:tcPr>
            <w:tcW w:w="1018" w:type="dxa"/>
          </w:tcPr>
          <w:p w14:paraId="4457EAA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Дизельное</w:t>
            </w:r>
          </w:p>
        </w:tc>
      </w:tr>
      <w:tr w:rsidR="009B487A" w:rsidRPr="00722885" w14:paraId="467BC151" w14:textId="77777777" w:rsidTr="00CC5360">
        <w:trPr>
          <w:trHeight w:val="202"/>
        </w:trPr>
        <w:tc>
          <w:tcPr>
            <w:tcW w:w="1344" w:type="dxa"/>
          </w:tcPr>
          <w:p w14:paraId="451DF40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Емк. бака, л</w:t>
            </w:r>
          </w:p>
        </w:tc>
        <w:tc>
          <w:tcPr>
            <w:tcW w:w="778" w:type="dxa"/>
          </w:tcPr>
          <w:p w14:paraId="292682F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1286" w:type="dxa"/>
          </w:tcPr>
          <w:p w14:paraId="4579E9F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7112363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1018" w:type="dxa"/>
          </w:tcPr>
          <w:p w14:paraId="62B7F69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r>
      <w:tr w:rsidR="009B487A" w:rsidRPr="00722885" w14:paraId="5D0A0CBE" w14:textId="77777777" w:rsidTr="00CC5360">
        <w:trPr>
          <w:trHeight w:val="173"/>
        </w:trPr>
        <w:tc>
          <w:tcPr>
            <w:tcW w:w="5396" w:type="dxa"/>
            <w:gridSpan w:val="5"/>
          </w:tcPr>
          <w:p w14:paraId="14B41EB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 хода, км</w:t>
            </w:r>
          </w:p>
        </w:tc>
      </w:tr>
      <w:tr w:rsidR="009B487A" w:rsidRPr="00722885" w14:paraId="736E2B72" w14:textId="77777777" w:rsidTr="00CC5360">
        <w:trPr>
          <w:trHeight w:val="240"/>
        </w:trPr>
        <w:tc>
          <w:tcPr>
            <w:tcW w:w="1344" w:type="dxa"/>
          </w:tcPr>
          <w:p w14:paraId="6597C7D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шоссе</w:t>
            </w:r>
          </w:p>
        </w:tc>
        <w:tc>
          <w:tcPr>
            <w:tcW w:w="778" w:type="dxa"/>
          </w:tcPr>
          <w:p w14:paraId="0AD95AE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c>
          <w:tcPr>
            <w:tcW w:w="1286" w:type="dxa"/>
          </w:tcPr>
          <w:p w14:paraId="4F80BEF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290</w:t>
            </w:r>
          </w:p>
        </w:tc>
        <w:tc>
          <w:tcPr>
            <w:tcW w:w="970" w:type="dxa"/>
          </w:tcPr>
          <w:p w14:paraId="192BA17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w:t>
            </w:r>
          </w:p>
        </w:tc>
        <w:tc>
          <w:tcPr>
            <w:tcW w:w="1018" w:type="dxa"/>
          </w:tcPr>
          <w:p w14:paraId="39DD220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r>
      <w:tr w:rsidR="009B487A" w:rsidRPr="00722885" w14:paraId="4F223976" w14:textId="77777777" w:rsidTr="00CC5360">
        <w:trPr>
          <w:trHeight w:val="230"/>
        </w:trPr>
        <w:tc>
          <w:tcPr>
            <w:tcW w:w="1344" w:type="dxa"/>
          </w:tcPr>
          <w:p w14:paraId="64859F4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проселок</w:t>
            </w:r>
          </w:p>
        </w:tc>
        <w:tc>
          <w:tcPr>
            <w:tcW w:w="778" w:type="dxa"/>
          </w:tcPr>
          <w:p w14:paraId="753BA81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w:t>
            </w:r>
          </w:p>
        </w:tc>
        <w:tc>
          <w:tcPr>
            <w:tcW w:w="1286" w:type="dxa"/>
          </w:tcPr>
          <w:p w14:paraId="0CABDFD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w:t>
            </w:r>
          </w:p>
        </w:tc>
        <w:tc>
          <w:tcPr>
            <w:tcW w:w="970" w:type="dxa"/>
          </w:tcPr>
          <w:p w14:paraId="38B6BCD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170</w:t>
            </w:r>
          </w:p>
        </w:tc>
        <w:tc>
          <w:tcPr>
            <w:tcW w:w="1018" w:type="dxa"/>
          </w:tcPr>
          <w:p w14:paraId="5576F1A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w:t>
            </w:r>
          </w:p>
        </w:tc>
      </w:tr>
      <w:tr w:rsidR="009B487A" w:rsidRPr="00722885" w14:paraId="6B9C6C54" w14:textId="77777777" w:rsidTr="00CC5360">
        <w:trPr>
          <w:trHeight w:val="144"/>
        </w:trPr>
        <w:tc>
          <w:tcPr>
            <w:tcW w:w="5396" w:type="dxa"/>
            <w:gridSpan w:val="5"/>
          </w:tcPr>
          <w:p w14:paraId="6F0345D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Преодолеваемые препятствия</w:t>
            </w:r>
          </w:p>
        </w:tc>
      </w:tr>
      <w:tr w:rsidR="009B487A" w:rsidRPr="00722885" w14:paraId="14BF235A" w14:textId="77777777" w:rsidTr="00CC5360">
        <w:trPr>
          <w:trHeight w:val="173"/>
        </w:trPr>
        <w:tc>
          <w:tcPr>
            <w:tcW w:w="1344" w:type="dxa"/>
          </w:tcPr>
          <w:p w14:paraId="6AF4B72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Уд. давление, кгс/см</w:t>
            </w:r>
            <w:r w:rsidRPr="00722885">
              <w:rPr>
                <w:rFonts w:ascii="Times New Roman" w:hAnsi="Times New Roman"/>
                <w:color w:val="000000" w:themeColor="text1"/>
                <w:sz w:val="16"/>
                <w:szCs w:val="16"/>
                <w:vertAlign w:val="superscript"/>
              </w:rPr>
              <w:t>!</w:t>
            </w:r>
          </w:p>
        </w:tc>
        <w:tc>
          <w:tcPr>
            <w:tcW w:w="778" w:type="dxa"/>
          </w:tcPr>
          <w:p w14:paraId="4922DE2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0.54</w:t>
            </w:r>
          </w:p>
        </w:tc>
        <w:tc>
          <w:tcPr>
            <w:tcW w:w="1286" w:type="dxa"/>
          </w:tcPr>
          <w:p w14:paraId="59B27F8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0,57</w:t>
            </w:r>
          </w:p>
        </w:tc>
        <w:tc>
          <w:tcPr>
            <w:tcW w:w="970" w:type="dxa"/>
          </w:tcPr>
          <w:p w14:paraId="2FD3185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0,73</w:t>
            </w:r>
          </w:p>
        </w:tc>
        <w:tc>
          <w:tcPr>
            <w:tcW w:w="1018" w:type="dxa"/>
          </w:tcPr>
          <w:p w14:paraId="5059813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0,73</w:t>
            </w:r>
          </w:p>
        </w:tc>
      </w:tr>
      <w:tr w:rsidR="009B487A" w:rsidRPr="00722885" w14:paraId="73D3B0AB" w14:textId="77777777" w:rsidTr="00CC5360">
        <w:trPr>
          <w:trHeight w:val="173"/>
        </w:trPr>
        <w:tc>
          <w:tcPr>
            <w:tcW w:w="1344" w:type="dxa"/>
          </w:tcPr>
          <w:p w14:paraId="03BBFDA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Подъем, град.</w:t>
            </w:r>
          </w:p>
        </w:tc>
        <w:tc>
          <w:tcPr>
            <w:tcW w:w="778" w:type="dxa"/>
          </w:tcPr>
          <w:p w14:paraId="5DFEADD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1286" w:type="dxa"/>
          </w:tcPr>
          <w:p w14:paraId="0E60A19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w:t>
            </w:r>
          </w:p>
        </w:tc>
        <w:tc>
          <w:tcPr>
            <w:tcW w:w="970" w:type="dxa"/>
          </w:tcPr>
          <w:p w14:paraId="2C251C4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1018" w:type="dxa"/>
          </w:tcPr>
          <w:p w14:paraId="26BB205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r>
      <w:tr w:rsidR="009B487A" w:rsidRPr="00722885" w14:paraId="5C37E342" w14:textId="77777777" w:rsidTr="00CC5360">
        <w:trPr>
          <w:trHeight w:val="182"/>
        </w:trPr>
        <w:tc>
          <w:tcPr>
            <w:tcW w:w="1344" w:type="dxa"/>
          </w:tcPr>
          <w:p w14:paraId="1B2D89E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Спуск, град.</w:t>
            </w:r>
          </w:p>
        </w:tc>
        <w:tc>
          <w:tcPr>
            <w:tcW w:w="778" w:type="dxa"/>
          </w:tcPr>
          <w:p w14:paraId="3D0F5D0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w:t>
            </w:r>
          </w:p>
        </w:tc>
        <w:tc>
          <w:tcPr>
            <w:tcW w:w="1286" w:type="dxa"/>
          </w:tcPr>
          <w:p w14:paraId="1170725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970" w:type="dxa"/>
          </w:tcPr>
          <w:p w14:paraId="21DE5DA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1018" w:type="dxa"/>
          </w:tcPr>
          <w:p w14:paraId="6ABC7DE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w:t>
            </w:r>
          </w:p>
        </w:tc>
      </w:tr>
      <w:tr w:rsidR="009B487A" w:rsidRPr="00722885" w14:paraId="563C3011" w14:textId="77777777" w:rsidTr="00CC5360">
        <w:trPr>
          <w:trHeight w:val="163"/>
        </w:trPr>
        <w:tc>
          <w:tcPr>
            <w:tcW w:w="1344" w:type="dxa"/>
          </w:tcPr>
          <w:p w14:paraId="671645F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Крен, град.</w:t>
            </w:r>
          </w:p>
        </w:tc>
        <w:tc>
          <w:tcPr>
            <w:tcW w:w="778" w:type="dxa"/>
          </w:tcPr>
          <w:p w14:paraId="5C8749F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w:t>
            </w:r>
          </w:p>
        </w:tc>
        <w:tc>
          <w:tcPr>
            <w:tcW w:w="1286" w:type="dxa"/>
          </w:tcPr>
          <w:p w14:paraId="4D2E0AE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970" w:type="dxa"/>
          </w:tcPr>
          <w:p w14:paraId="7A664A1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1018" w:type="dxa"/>
          </w:tcPr>
          <w:p w14:paraId="41362BD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r>
      <w:tr w:rsidR="009B487A" w:rsidRPr="00722885" w14:paraId="39D6C615" w14:textId="77777777" w:rsidTr="00CC5360">
        <w:trPr>
          <w:trHeight w:val="144"/>
        </w:trPr>
        <w:tc>
          <w:tcPr>
            <w:tcW w:w="1344" w:type="dxa"/>
          </w:tcPr>
          <w:p w14:paraId="5E0CE40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Ров, мм</w:t>
            </w:r>
          </w:p>
        </w:tc>
        <w:tc>
          <w:tcPr>
            <w:tcW w:w="778" w:type="dxa"/>
          </w:tcPr>
          <w:p w14:paraId="2F94B0F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1700</w:t>
            </w:r>
          </w:p>
        </w:tc>
        <w:tc>
          <w:tcPr>
            <w:tcW w:w="1286" w:type="dxa"/>
          </w:tcPr>
          <w:p w14:paraId="7654E39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1700</w:t>
            </w:r>
          </w:p>
        </w:tc>
        <w:tc>
          <w:tcPr>
            <w:tcW w:w="970" w:type="dxa"/>
          </w:tcPr>
          <w:p w14:paraId="31AB1F9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1800</w:t>
            </w:r>
          </w:p>
        </w:tc>
        <w:tc>
          <w:tcPr>
            <w:tcW w:w="1018" w:type="dxa"/>
          </w:tcPr>
          <w:p w14:paraId="0CE7F60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r>
      <w:tr w:rsidR="009B487A" w:rsidRPr="00722885" w14:paraId="4588A12E" w14:textId="77777777" w:rsidTr="00CC5360">
        <w:trPr>
          <w:trHeight w:val="173"/>
        </w:trPr>
        <w:tc>
          <w:tcPr>
            <w:tcW w:w="1344" w:type="dxa"/>
          </w:tcPr>
          <w:p w14:paraId="7F79F56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Стенка, мм</w:t>
            </w:r>
          </w:p>
        </w:tc>
        <w:tc>
          <w:tcPr>
            <w:tcW w:w="778" w:type="dxa"/>
          </w:tcPr>
          <w:p w14:paraId="04C8989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w:t>
            </w:r>
          </w:p>
        </w:tc>
        <w:tc>
          <w:tcPr>
            <w:tcW w:w="1286" w:type="dxa"/>
          </w:tcPr>
          <w:p w14:paraId="1E91708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w:t>
            </w:r>
          </w:p>
        </w:tc>
        <w:tc>
          <w:tcPr>
            <w:tcW w:w="970" w:type="dxa"/>
          </w:tcPr>
          <w:p w14:paraId="4C95D47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w:t>
            </w:r>
          </w:p>
        </w:tc>
        <w:tc>
          <w:tcPr>
            <w:tcW w:w="1018" w:type="dxa"/>
          </w:tcPr>
          <w:p w14:paraId="2B03A2C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700</w:t>
            </w:r>
          </w:p>
        </w:tc>
      </w:tr>
      <w:tr w:rsidR="009B487A" w:rsidRPr="00722885" w14:paraId="29572338" w14:textId="77777777" w:rsidTr="00CC5360">
        <w:trPr>
          <w:trHeight w:val="230"/>
        </w:trPr>
        <w:tc>
          <w:tcPr>
            <w:tcW w:w="1344" w:type="dxa"/>
            <w:tcBorders>
              <w:bottom w:val="single" w:sz="12" w:space="0" w:color="auto"/>
            </w:tcBorders>
          </w:tcPr>
          <w:p w14:paraId="259C495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Брод, мм</w:t>
            </w:r>
          </w:p>
        </w:tc>
        <w:tc>
          <w:tcPr>
            <w:tcW w:w="778" w:type="dxa"/>
            <w:tcBorders>
              <w:bottom w:val="single" w:sz="12" w:space="0" w:color="auto"/>
            </w:tcBorders>
          </w:tcPr>
          <w:p w14:paraId="77B64A1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w:t>
            </w:r>
          </w:p>
        </w:tc>
        <w:tc>
          <w:tcPr>
            <w:tcW w:w="1286" w:type="dxa"/>
            <w:tcBorders>
              <w:bottom w:val="single" w:sz="12" w:space="0" w:color="auto"/>
            </w:tcBorders>
          </w:tcPr>
          <w:p w14:paraId="2745837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w:t>
            </w:r>
          </w:p>
        </w:tc>
        <w:tc>
          <w:tcPr>
            <w:tcW w:w="970" w:type="dxa"/>
            <w:tcBorders>
              <w:bottom w:val="single" w:sz="12" w:space="0" w:color="auto"/>
            </w:tcBorders>
          </w:tcPr>
          <w:p w14:paraId="30D132B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w:t>
            </w:r>
          </w:p>
        </w:tc>
        <w:tc>
          <w:tcPr>
            <w:tcW w:w="1018" w:type="dxa"/>
            <w:tcBorders>
              <w:bottom w:val="single" w:sz="12" w:space="0" w:color="auto"/>
            </w:tcBorders>
          </w:tcPr>
          <w:p w14:paraId="6494539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1100</w:t>
            </w:r>
          </w:p>
        </w:tc>
      </w:tr>
    </w:tbl>
    <w:p w14:paraId="0EEED5A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(10782).</w:t>
      </w:r>
    </w:p>
    <w:p w14:paraId="7B86B43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9BB9DC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из ворот ЧКЗ вышло первых 30 шт Т-34, а в сентябре Красная Армия получила еще 220 сред</w:t>
      </w:r>
      <w:r w:rsidRPr="00722885">
        <w:rPr>
          <w:rFonts w:ascii="Times New Roman" w:hAnsi="Times New Roman"/>
          <w:color w:val="000000" w:themeColor="text1"/>
          <w:sz w:val="16"/>
          <w:szCs w:val="16"/>
        </w:rPr>
        <w:softHyphen/>
        <w:t>них танков челябинской сборки. При этом на производст</w:t>
      </w:r>
      <w:r w:rsidRPr="00722885">
        <w:rPr>
          <w:rFonts w:ascii="Times New Roman" w:hAnsi="Times New Roman"/>
          <w:color w:val="000000" w:themeColor="text1"/>
          <w:sz w:val="16"/>
          <w:szCs w:val="16"/>
        </w:rPr>
        <w:softHyphen/>
        <w:t>во Т-34 было переориентировано около 70—75% оборудо</w:t>
      </w:r>
      <w:r w:rsidRPr="00722885">
        <w:rPr>
          <w:rFonts w:ascii="Times New Roman" w:hAnsi="Times New Roman"/>
          <w:color w:val="000000" w:themeColor="text1"/>
          <w:sz w:val="16"/>
          <w:szCs w:val="16"/>
        </w:rPr>
        <w:softHyphen/>
        <w:t>вания Кировского завода, тогда как на остальных мощнос</w:t>
      </w:r>
      <w:r w:rsidRPr="00722885">
        <w:rPr>
          <w:rFonts w:ascii="Times New Roman" w:hAnsi="Times New Roman"/>
          <w:color w:val="000000" w:themeColor="text1"/>
          <w:sz w:val="16"/>
          <w:szCs w:val="16"/>
        </w:rPr>
        <w:softHyphen/>
        <w:t>тях продолжал производиться тяжелый танк КВ. И все же, несмотря на принятые меры, начало 1943 г. характеризовалось недостаточной отгрузкой танков в дей</w:t>
      </w:r>
      <w:r w:rsidRPr="00722885">
        <w:rPr>
          <w:rFonts w:ascii="Times New Roman" w:hAnsi="Times New Roman"/>
          <w:color w:val="000000" w:themeColor="text1"/>
          <w:sz w:val="16"/>
          <w:szCs w:val="16"/>
        </w:rPr>
        <w:softHyphen/>
        <w:t>ствующую армию. Лишь к началу марта количественно и качественно последствия танкового кризиса осени 1942 г. были полностью преодолены (10782).</w:t>
      </w:r>
    </w:p>
    <w:p w14:paraId="2DA1D82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4EE34C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по предложению профессора Военно-Морской ака</w:t>
      </w:r>
      <w:r w:rsidRPr="00722885">
        <w:rPr>
          <w:rFonts w:ascii="Times New Roman" w:hAnsi="Times New Roman"/>
          <w:color w:val="000000" w:themeColor="text1"/>
          <w:sz w:val="16"/>
          <w:szCs w:val="16"/>
        </w:rPr>
        <w:softHyphen/>
        <w:t>демии им. Ворошилова военного инженера 1-го ранга Петровского был разработан и прошел испытания опытный образец танка Т-34, оснащен</w:t>
      </w:r>
      <w:r w:rsidRPr="00722885">
        <w:rPr>
          <w:rFonts w:ascii="Times New Roman" w:hAnsi="Times New Roman"/>
          <w:color w:val="000000" w:themeColor="text1"/>
          <w:sz w:val="16"/>
          <w:szCs w:val="16"/>
        </w:rPr>
        <w:softHyphen/>
        <w:t>ный оборудованием для подводного вождения. Во время испытаний танк Т-34 шесть раз преодолел водную прегра</w:t>
      </w:r>
      <w:r w:rsidRPr="00722885">
        <w:rPr>
          <w:rFonts w:ascii="Times New Roman" w:hAnsi="Times New Roman"/>
          <w:color w:val="000000" w:themeColor="text1"/>
          <w:sz w:val="16"/>
          <w:szCs w:val="16"/>
        </w:rPr>
        <w:softHyphen/>
        <w:t>ду шириной 230 м и глубиной 6,5 м. Скорость движения танка под во</w:t>
      </w:r>
      <w:r w:rsidRPr="00722885">
        <w:rPr>
          <w:rFonts w:ascii="Times New Roman" w:hAnsi="Times New Roman"/>
          <w:color w:val="000000" w:themeColor="text1"/>
          <w:sz w:val="16"/>
          <w:szCs w:val="16"/>
        </w:rPr>
        <w:softHyphen/>
        <w:t>дой на первой передаче находилась в пределах 4,3 - 4,6 км/ч. Условия работы экипажа при нахождении танка под водой не отличались от нор</w:t>
      </w:r>
      <w:r w:rsidRPr="00722885">
        <w:rPr>
          <w:rFonts w:ascii="Times New Roman" w:hAnsi="Times New Roman"/>
          <w:color w:val="000000" w:themeColor="text1"/>
          <w:sz w:val="16"/>
          <w:szCs w:val="16"/>
        </w:rPr>
        <w:softHyphen/>
        <w:t>мальных. В связи с большим объемом и временем работ по герметиза</w:t>
      </w:r>
      <w:r w:rsidRPr="00722885">
        <w:rPr>
          <w:rFonts w:ascii="Times New Roman" w:hAnsi="Times New Roman"/>
          <w:color w:val="000000" w:themeColor="text1"/>
          <w:sz w:val="16"/>
          <w:szCs w:val="16"/>
        </w:rPr>
        <w:softHyphen/>
        <w:t>ции тапка дальнейшие работы были прекращены (10703).</w:t>
      </w:r>
    </w:p>
    <w:p w14:paraId="316C4DC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2F092B4"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августе 1942 НИИ-48,проанализировав картину боевого применения Т-34 за май – июль 1942 года, специалисты института подготовили крайне интересный доклад. Выяснилось, что 50,5% поражений пришлось на борта Т-34 (18883).</w:t>
      </w:r>
    </w:p>
    <w:p w14:paraId="0238BAD7"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p>
    <w:p w14:paraId="55648D7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на суд техотдела НКТП конструкторы Уралмашзавода предъявили проект танка У-34. От У-33 он отличался во</w:t>
      </w:r>
      <w:r w:rsidRPr="00722885">
        <w:rPr>
          <w:rFonts w:ascii="Times New Roman" w:hAnsi="Times New Roman"/>
          <w:color w:val="000000" w:themeColor="text1"/>
          <w:sz w:val="16"/>
          <w:szCs w:val="16"/>
        </w:rPr>
        <w:softHyphen/>
        <w:t>оружением из самоходного варианта 76,2-мм танковой пуш</w:t>
      </w:r>
      <w:r w:rsidRPr="00722885">
        <w:rPr>
          <w:rFonts w:ascii="Times New Roman" w:hAnsi="Times New Roman"/>
          <w:color w:val="000000" w:themeColor="text1"/>
          <w:sz w:val="16"/>
          <w:szCs w:val="16"/>
        </w:rPr>
        <w:softHyphen/>
        <w:t>ки Ф-34 обр. 1939/41 гг., спаренной с 7,62-мм пулеметом ДТ в рамочной установке с литой бронировкой. Кроме того, Н.В. Курин в инициативном порядке выполнил эскизный проект 122-мм самоходной гаубицы в конструктиве У-33. Но ввиду занятости Уралмашзавода организацией серийного выпуска танков Т-34, этот проект отдали для доработок на артиллерийский завод № 9, выделившийся из состава УЗТМ весной 1942 г., который ограничился лишь разработкой раз</w:t>
      </w:r>
      <w:r w:rsidRPr="00722885">
        <w:rPr>
          <w:rFonts w:ascii="Times New Roman" w:hAnsi="Times New Roman"/>
          <w:color w:val="000000" w:themeColor="text1"/>
          <w:sz w:val="16"/>
          <w:szCs w:val="16"/>
        </w:rPr>
        <w:softHyphen/>
        <w:t>вернутого эскизного проекта, тогда как в недрах Наркомата вооружений родилось незапланированное дитя (11417).</w:t>
      </w:r>
    </w:p>
    <w:p w14:paraId="0D93F36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FECEFA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во время испытаний танка КВ-1 с КАРСТ-1 были вы</w:t>
      </w:r>
      <w:r w:rsidRPr="00722885">
        <w:rPr>
          <w:rFonts w:ascii="Times New Roman" w:hAnsi="Times New Roman"/>
          <w:color w:val="000000" w:themeColor="text1"/>
          <w:sz w:val="16"/>
          <w:szCs w:val="16"/>
        </w:rPr>
        <w:softHyphen/>
        <w:t>полнены стрельбы реактивными снарядами с направляющих различной длины (1200, 1250, 2000 и 2400 мм), которые показали удовлетвори</w:t>
      </w:r>
      <w:r w:rsidRPr="00722885">
        <w:rPr>
          <w:rFonts w:ascii="Times New Roman" w:hAnsi="Times New Roman"/>
          <w:color w:val="000000" w:themeColor="text1"/>
          <w:sz w:val="16"/>
          <w:szCs w:val="16"/>
        </w:rPr>
        <w:softHyphen/>
        <w:t>тельные результаты. Кучность и дальность стрельбы почти не отлича</w:t>
      </w:r>
      <w:r w:rsidRPr="00722885">
        <w:rPr>
          <w:rFonts w:ascii="Times New Roman" w:hAnsi="Times New Roman"/>
          <w:color w:val="000000" w:themeColor="text1"/>
          <w:sz w:val="16"/>
          <w:szCs w:val="16"/>
        </w:rPr>
        <w:softHyphen/>
        <w:t>лась от табличных данных при стрельбе с направляющих длиной 5000 мм (для БМ-13). Вместе с тем были отмечены и недостатки КАРСТ-1, основными из которых являлись отсутствие независимой (от положения корпуса танка) горизонтальной и вертикальной наводки, что значительно снижало маневренность огня, а также увеличение, по сравнению со штатной установкой боевой машины БМ-13, бокового рассеивания реактивных снарядов в 1,5 раза (10703).</w:t>
      </w:r>
    </w:p>
    <w:p w14:paraId="3FB3FAC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6A91F13" w14:textId="77777777" w:rsidR="00FC56D8" w:rsidRPr="00722885" w:rsidRDefault="00FC56D8"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августе 1942 года выпуск тяжелых танков на Че</w:t>
      </w:r>
      <w:r w:rsidRPr="00722885">
        <w:rPr>
          <w:rFonts w:ascii="Times New Roman" w:cs="Times New Roman"/>
          <w:color w:val="000000" w:themeColor="text1"/>
          <w:spacing w:val="0"/>
        </w:rPr>
        <w:softHyphen/>
        <w:t>лябинском Кировском заводе шел с большими трудностями. Это и понятно - предприятие фактически про</w:t>
      </w:r>
      <w:r w:rsidRPr="00722885">
        <w:rPr>
          <w:rFonts w:ascii="Times New Roman" w:cs="Times New Roman"/>
          <w:color w:val="000000" w:themeColor="text1"/>
          <w:spacing w:val="0"/>
        </w:rPr>
        <w:softHyphen/>
        <w:t xml:space="preserve">изводило три типа боевых машин: КВ-1,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и Т-34. О непростой ситуации, кото</w:t>
      </w:r>
      <w:r w:rsidRPr="00722885">
        <w:rPr>
          <w:rFonts w:ascii="Times New Roman" w:cs="Times New Roman"/>
          <w:color w:val="000000" w:themeColor="text1"/>
          <w:spacing w:val="0"/>
        </w:rPr>
        <w:softHyphen/>
        <w:t>рая сложилась на заводе в то время, можно узнать из доклада старшего военпреда ЧКЗ инженер-майора Скрибцова, направленного в ГБТУ КА 21 августа 1942 года (15226).</w:t>
      </w:r>
    </w:p>
    <w:p w14:paraId="511A1A3B" w14:textId="77777777" w:rsidR="00FC56D8" w:rsidRPr="00722885" w:rsidRDefault="00FC56D8" w:rsidP="00722885">
      <w:pPr>
        <w:pStyle w:val="27"/>
        <w:shd w:val="clear" w:color="auto" w:fill="auto"/>
        <w:spacing w:after="0" w:line="240" w:lineRule="auto"/>
        <w:ind w:firstLine="0"/>
        <w:rPr>
          <w:rFonts w:ascii="Times New Roman" w:cs="Times New Roman"/>
          <w:color w:val="000000" w:themeColor="text1"/>
          <w:spacing w:val="0"/>
        </w:rPr>
      </w:pPr>
    </w:p>
    <w:p w14:paraId="716D2C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На август 1942 года был подготовлен Паспорт филиала завода № 37 </w:t>
      </w:r>
    </w:p>
    <w:p w14:paraId="045EF5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После эвакуации завода № 37, занимаемая площадь была распределена между двумя заводами – филиалом завода № 37 и 9-м Авторемонтным заводом Моссовета.</w:t>
      </w:r>
    </w:p>
    <w:p w14:paraId="49FEDE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Москва 61, п/я 4087, Сокольнический район</w:t>
      </w:r>
    </w:p>
    <w:p w14:paraId="51BD75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Директор – Зеликсон</w:t>
      </w:r>
    </w:p>
    <w:p w14:paraId="6C57C7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Основные виды изделий – ремонт танков, автомашин, литье мин (9669).</w:t>
      </w:r>
    </w:p>
    <w:p w14:paraId="7E9B193C" w14:textId="77777777" w:rsidR="00AE7191" w:rsidRPr="00722885" w:rsidRDefault="00AE7191" w:rsidP="00722885">
      <w:pPr>
        <w:pStyle w:val="Iauiue"/>
        <w:jc w:val="both"/>
        <w:rPr>
          <w:color w:val="000000" w:themeColor="text1"/>
          <w:sz w:val="16"/>
          <w:szCs w:val="16"/>
        </w:rPr>
      </w:pPr>
    </w:p>
    <w:p w14:paraId="1F241C98" w14:textId="77777777" w:rsidR="00B04F22" w:rsidRPr="00722885" w:rsidRDefault="00B04F22"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августе 1942 в конструкторском бюро автозавода построили деревянный макет двухместной башни. Работа по башне велась, скорее, в фоновом режиме, поскольку больший приоритет отдавался модернизации ходовой части. Ускорение работ по башне и модернизированному двигателю ГАЗ-203 произошло только после выхода 8 сентября постановления ГКО №2276сс «О танках Т-70». Пункт 4 данного постановления предписывал к 1 октября подготовить танк с двухместной башней, к тому же моменту ожидалось получить и форсированные моторы.</w:t>
      </w:r>
    </w:p>
    <w:p w14:paraId="4769A831" w14:textId="77777777" w:rsidR="00B04F22" w:rsidRPr="00722885" w:rsidRDefault="00B04F22" w:rsidP="00722885">
      <w:pPr>
        <w:pStyle w:val="ae"/>
        <w:shd w:val="clear" w:color="auto" w:fill="FFFFFF"/>
        <w:spacing w:before="0" w:after="0"/>
        <w:jc w:val="both"/>
        <w:rPr>
          <w:color w:val="000000" w:themeColor="text1"/>
          <w:sz w:val="16"/>
          <w:szCs w:val="16"/>
        </w:rPr>
      </w:pPr>
      <w:r w:rsidRPr="00722885">
        <w:rPr>
          <w:color w:val="000000" w:themeColor="text1"/>
          <w:sz w:val="16"/>
          <w:szCs w:val="16"/>
        </w:rPr>
        <w:t>С нуля новый танк строить не стали. За основу был взят Т-70 с серийным номером 208207, изготовленный в августе 1942 года. Это был один из танков, проходивших испытания по программе усиления ходовой части и бортов. В связи с этим толщина бортов у него составляла не 15, а 25 мм. Изменения в шасси вносились минимальные. В связи с тем, что диаметр погона у двухместной башни вырос с 966 до 1112 мм, пришлось переделывать крышу боевого отделения. Раньше лист состоял из двух частей, благодаря чему можно было снять двигатель, не снимая башню. Теперь же для демонтажа мотора требовалось снять сначала башню, а затем крышу боевого отделения.</w:t>
      </w:r>
    </w:p>
    <w:p w14:paraId="3B6649C0" w14:textId="77777777" w:rsidR="00B04F22" w:rsidRPr="00722885" w:rsidRDefault="00B04F22"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При разработке двухместной башни заводское КБ во главе с В.А. Дедковым взяло за основу сварную башню Т-70. Поскольку башня стала значительно шире, пришлось переделывать все её элементы, включая подвижную бронировку орудийной маски. Получила башня и развитую кормовую нишу. Это позволило разместить в ней не только радиостанцию, но и две укладки по 10 патронов к 45-мм пушке в каждой. Переделке подвергся башенный люк, которым пользовались и командир/наводчик, и заряжающий. Правда, люк получился довольно тяжёлым, подобная проблема была и у Т-34 с широким люком. Кроме того, командир лишился прибора кругового обзора, который находился как раз в люке. Вместо него командир получил перископический прибор ПТК, а заряжающий — перископический прибор, аналогичный тому, который размещался в башенном люке Т-70. Также башня получила полик, что улучшило условие работы расчёта (17712).</w:t>
      </w:r>
    </w:p>
    <w:p w14:paraId="5E281E72" w14:textId="77777777" w:rsidR="00B04F22" w:rsidRPr="00722885" w:rsidRDefault="00B04F22" w:rsidP="00722885">
      <w:pPr>
        <w:spacing w:after="0" w:line="240" w:lineRule="auto"/>
        <w:jc w:val="both"/>
        <w:rPr>
          <w:rFonts w:ascii="Times New Roman" w:eastAsia="Times New Roman" w:hAnsi="Times New Roman"/>
          <w:color w:val="000000" w:themeColor="text1"/>
          <w:sz w:val="16"/>
          <w:szCs w:val="16"/>
          <w:lang w:eastAsia="ru-RU"/>
        </w:rPr>
      </w:pPr>
    </w:p>
    <w:p w14:paraId="4424D122" w14:textId="77777777" w:rsidR="00B04F22" w:rsidRPr="00722885" w:rsidRDefault="00B04F2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августе 1942 года один из пяти Churchill III, прибывших в СССР конвоем PQ-17, отправился на НИБТ Полигон в подмосковную Кубинку. Это были едва ли не первые испытания на Полигоне после того, как из Казани он снова переехал в Кубинку. На испытания отправился танк с WD-номером T.31222R. Испытания, впрочем, не задались с самого начала. Во время перегона со склада №511 на НИБТ Полигон танк сломался. Выяснилось, что во время движения прокладка между верхней правой головкой и блоком цилиндров вышла из строя. Повреждение не было обнаружено своевременно, поскольку танк двигался ночью. В результате охлаждающая жидкость вытекла, от перегрева блок и головка треснули. Этот дефект был очень хорошо известен англичанам.</w:t>
      </w:r>
    </w:p>
    <w:p w14:paraId="5377D766" w14:textId="77777777" w:rsidR="00B04F22" w:rsidRPr="00722885" w:rsidRDefault="00B04F22"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Серьезная поломка двигателя поставила под вопрос дальнейшие испытания. Танк отправили на ремонт, где он надолго задержался, поскольку имелись серьезные проблемы с запчастями. Возникла угроза срыва испытаний. В результате было принято решение передать Полигону на время другой танк с WD-номером T.31221R. Поскольку машину предполагалось позже отправить в войска, программу испытаний сократили. В общей сложности испытания проходили с 30 августа по 5 сентября 1942 года. Параллельно с ходовыми были проведены и испытания вооружения. После них танк вернулся в Горьковский учебный центр и оказался в составе 47-го гвардейского тяжелого танкового полка.</w:t>
      </w:r>
    </w:p>
    <w:p w14:paraId="378F39EC" w14:textId="77777777" w:rsidR="00B04F22" w:rsidRPr="00722885" w:rsidRDefault="00B04F2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моменту начала испытаний танк уже активно эксплуатировался. Он прибыл из Горьковского учебного центра, где прошел более 200 километров. Поскольку было известно, что в дальнейшем танку предстоит боевая служба, объем ходовых испытаний было решено урезать до минимума. Всего он прошел 97 километров по шоссе и 87 километров по проселку, включая небольшой участок местности для проведения испытаний по преодолению подъемов. На танке использовался отечественный бензин Б-70, в который для увеличения октанового числа добавили авиационную присадку Р-9. Согласно английским документам, рекомендовалось использовать бензин с октановым числом не менее 75 (17961).</w:t>
      </w:r>
    </w:p>
    <w:p w14:paraId="0CADF2B9" w14:textId="77777777" w:rsidR="00B04F22" w:rsidRPr="00722885" w:rsidRDefault="00B04F22" w:rsidP="00722885">
      <w:pPr>
        <w:spacing w:after="0" w:line="240" w:lineRule="auto"/>
        <w:jc w:val="both"/>
        <w:rPr>
          <w:rFonts w:ascii="Times New Roman" w:eastAsia="Times New Roman" w:hAnsi="Times New Roman"/>
          <w:color w:val="000000" w:themeColor="text1"/>
          <w:sz w:val="16"/>
          <w:szCs w:val="16"/>
          <w:lang w:eastAsia="ru-RU"/>
        </w:rPr>
      </w:pPr>
    </w:p>
    <w:p w14:paraId="08454A79" w14:textId="77777777" w:rsidR="000F18D5" w:rsidRPr="00722885" w:rsidRDefault="000F18D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августе 1942 года КБ завода №8 под руководством Петрова разработало проект самоходной установки ЗИК-10, которая имела всю ту же У-11 в качестве вооружения. Еще раньше, в июле 1942 года, завод №592 разработал САУ СГ-122У с той же системой. Дальше чертежных досок эти машины не продвинулись, хотя ГАБТУ КА все еще пыталось найти применение этим орудиям, вполне удачным по конструкции. Что же касается КВ-9, то с июня 1942 года его поставили на площадку техники на заводском дворе ЧКЗ. В декабре 1943 года танк был сдан в металлолом (17680).</w:t>
      </w:r>
    </w:p>
    <w:p w14:paraId="6546BE53" w14:textId="77777777" w:rsidR="000F18D5" w:rsidRPr="00722885" w:rsidRDefault="000F18D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6006319" w14:textId="77777777" w:rsidR="000F18D5" w:rsidRPr="00722885" w:rsidRDefault="000F18D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августе 1942 года Алтайский тракторный завод (АТЗ), созданный на базе части эвакуированного в РУбцовск ХТЗ, главным конструктором которого оказался Сидельников, дал стране первый трактор, получивший обозначение АТЗ-НАТИ.</w:t>
      </w:r>
    </w:p>
    <w:p w14:paraId="37E693F8" w14:textId="77777777" w:rsidR="000F18D5" w:rsidRPr="00722885" w:rsidRDefault="000F18D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Между тем стране требовались не сельскохозяйственные трактора, а тягачи вроде СТЗ-5. Как раз такой трактор в 1943 году КБ АТЗ по главе с Сидельниковым и разработало. Эта машина получила обозначение АТЗ-3Т, в ней угадывались те же технические решения, что и в ХТЗ-16. Даже бак оказался сдвинутым влево, а водитель находился справа. Благодаря такому техническому решению удалось выкроить место под небольшую грузовую платформу. Кстати, двигатель на этом тягаче также был форсирован до 58 лошадиных сил. Согласно документам, летом 1943 года был построен опытный образец АТЗ-3Т. 1 июля 1943 года начальник ГАУ генерал-полковник Яковлев предлагал выпустить пробную партию тракторов. Но к тому моменту уже началось производство куда более совершенного тягача Я-11, который явно превосходил алтайского конкурента. На этом его история и закончилась (17656).</w:t>
      </w:r>
    </w:p>
    <w:p w14:paraId="23C75B6D" w14:textId="77777777" w:rsidR="000F18D5" w:rsidRPr="00722885" w:rsidRDefault="000F18D5" w:rsidP="00722885">
      <w:pPr>
        <w:spacing w:after="0" w:line="240" w:lineRule="auto"/>
        <w:jc w:val="both"/>
        <w:rPr>
          <w:rFonts w:ascii="Times New Roman" w:eastAsia="Times New Roman" w:hAnsi="Times New Roman"/>
          <w:color w:val="000000" w:themeColor="text1"/>
          <w:sz w:val="16"/>
          <w:szCs w:val="16"/>
          <w:lang w:eastAsia="ru-RU"/>
        </w:rPr>
      </w:pPr>
    </w:p>
    <w:p w14:paraId="320B1F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года была подготовлена справка:</w:t>
      </w:r>
    </w:p>
    <w:p w14:paraId="6FBB56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357 НКВ – Омск (производство микроскопов и других оптических приборов) (9265).</w:t>
      </w:r>
    </w:p>
    <w:p w14:paraId="00E5304D" w14:textId="77777777" w:rsidR="00AE7191" w:rsidRPr="00722885" w:rsidRDefault="00AE7191" w:rsidP="00722885">
      <w:pPr>
        <w:pStyle w:val="Iauiue"/>
        <w:jc w:val="both"/>
        <w:rPr>
          <w:color w:val="000000" w:themeColor="text1"/>
          <w:sz w:val="16"/>
          <w:szCs w:val="16"/>
        </w:rPr>
      </w:pPr>
    </w:p>
    <w:p w14:paraId="737A9F8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года постановлением Военсовета Ленфронта было предложено приступить к организации новой производственной базы на площадке бывшего завода № 174 им. Ворошилова в Ленинграде.</w:t>
      </w:r>
    </w:p>
    <w:p w14:paraId="42463E8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Номенклатура продукции: броневая точка для противотанкового ружья (ПТР), броневая вращающаяся пулеметная башня (ВПВ), броневая точка ЛВ-I и ЛВ-II, броневая точка ДОТ, броневые щиты.</w:t>
      </w:r>
    </w:p>
    <w:p w14:paraId="1BD8BF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1942 года завод организовал свое основное производство на площадке бывшего завода № 174 им. Ворошилова. Основной вид продукции в 1943 году – боеприпасы. Характерным является увеличение выполнения заказов ВМФ и элементов боеприпасов и снижение заказов Ленфронта по обеспечению укрепления переднего края обороны броневыми ДОТами, вращающимися броневыми башнями.</w:t>
      </w:r>
    </w:p>
    <w:p w14:paraId="6525DD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1944 год</w:t>
      </w:r>
    </w:p>
    <w:p w14:paraId="78A467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Место: Колпино, п/я 1</w:t>
      </w:r>
    </w:p>
    <w:p w14:paraId="56149F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Ввод в эксплуатацию – 1803 год</w:t>
      </w:r>
    </w:p>
    <w:p w14:paraId="70285A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Производство боеприпасов, броневые объекты для НКСП и НКВ. В 1944 году завод продолжал производство реактивного снаряда М-31, освоенного в IV квартале 1943 года.</w:t>
      </w:r>
    </w:p>
    <w:p w14:paraId="572D40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1944 года в связи с передачей завода № 174 Рембазе согласно приказа НКТП № 566с от 14 июля 1944 года Ижорскому заводу было предложено освободить площадку (8847).</w:t>
      </w:r>
    </w:p>
    <w:p w14:paraId="7E0F5711" w14:textId="77777777" w:rsidR="00AE7191" w:rsidRPr="00722885" w:rsidRDefault="00AE7191" w:rsidP="00722885">
      <w:pPr>
        <w:pStyle w:val="Iauiue"/>
        <w:jc w:val="both"/>
        <w:rPr>
          <w:color w:val="000000" w:themeColor="text1"/>
          <w:sz w:val="16"/>
          <w:szCs w:val="16"/>
        </w:rPr>
      </w:pPr>
    </w:p>
    <w:p w14:paraId="58A1F808" w14:textId="77777777" w:rsidR="00D80B8A" w:rsidRPr="00722885" w:rsidRDefault="00D80B8A"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В августе 1942 года ОКБ-15 подготовило опытный образец зенитного танка, получившего внутреннее обозначение ЗУТ-37 (Зенитная Установка Танковая). Следует отметить, что в переписке этот индекс не использовался, его можно встретить лишь в документах ОКБ-15. ЗУТ-37 строилась на шасси Т-70 с серийным номером 7204017, выпущенном в апреле 1942 года. Концепция ОКБ-15 отличалась от идей Савина. Если Савин предлагал максимально использовать конструкцию штатной башни, то башня ЗУТ-37 оказалась построена с нуля. Ведущим конструктором башни являлся П.Ф. Бромлей, больше он известен по совсем иным темам, не имеющим к танкам никакого отношения (например, он разрабатывал троллейбусы). Надо сказать, что ОКБ-15 пришлось попотеть, чтобы авиационная пушка влезла в башню. Пушку пришлось перевернуть на 180 градусов, ее поставили в массивной подвижной бронировке, которая одновременно служила защитой с лобовой проекции. Для придания жесткости к подвижной бронировке орудийной маски приваривалась ферменная конструкция, которая фиксировала противооткатные устройства. Пришлось переделывать и систему питания орудия. Изначально мотор-пушка имела громоздкий ленточный магазин на 40 патронов, но в полевых условиях его перезарядить было попросту невозможно. Поэтому магазин сделали поменьше - на 20 патронов, что тоже многовато. Прицеливание производилось при помощи коллиматорного прицела ОМП-3, связанного с пушкой при помощи тяги. В виду небольших габаритов исходной башни разработка ОКБ-15 также не отличалась большим простором, при этом конструкторы ситуацию еще и усугубили. Дело в том, что у ЗУТ-37 имелось дополнительное вооружение в виде пулемета ДТ, который разместили в шаровой установке в корме башни. Зачем это было сделано, не очень понятно, ибо стрелять из него оказалось откровенно неудобно (20346).</w:t>
      </w:r>
    </w:p>
    <w:p w14:paraId="58B532AE" w14:textId="77777777" w:rsidR="00D80B8A" w:rsidRPr="00722885" w:rsidRDefault="00D80B8A" w:rsidP="00722885">
      <w:pPr>
        <w:shd w:val="clear" w:color="auto" w:fill="FFFFFF"/>
        <w:spacing w:after="0" w:line="240" w:lineRule="auto"/>
        <w:jc w:val="both"/>
        <w:rPr>
          <w:rFonts w:ascii="Times New Roman" w:hAnsi="Times New Roman"/>
          <w:color w:val="0070C0"/>
          <w:sz w:val="16"/>
          <w:szCs w:val="16"/>
        </w:rPr>
      </w:pPr>
    </w:p>
    <w:p w14:paraId="3A662D01" w14:textId="77777777" w:rsidR="00D80B8A" w:rsidRPr="00722885" w:rsidRDefault="00D80B8A"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августе 1942 года появился первый опытный образец зенитного танка на базе Т-70, в качестве вооружения которого Шпитальный предлагал 37-мм авиационную автоматическую пушку Ш-37, позже получившей обозначение ЗУТ-37, (21193).</w:t>
      </w:r>
    </w:p>
    <w:p w14:paraId="7CD95980" w14:textId="77777777" w:rsidR="00D80B8A" w:rsidRPr="00722885" w:rsidRDefault="00D80B8A"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2D8C23B5" w14:textId="77777777" w:rsidR="00CE32F4" w:rsidRPr="00722885" w:rsidRDefault="00CE32F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Главмотовелпромом был издан приказ о специализации заводов. На ММЗ решили сосредоточить ремонт тяжелых мотоциклов BMW и Zundapp с четырехтактными моторами. Заводу СМЗ поручался ремонт легких мотоциклов с двухтактными моторами Triumph, Puch, Terrot и др. На обоих заводах при наличии ремкомплектов следовало ремонтировать мотоциклы DKW и NSU. Изготовление ремкомплектов и отдельных деталей для трофейных мотоциклов, распределили по различным предприятиям Главмотовелопрома или местным организациям в порядке кооперации. Однако на практике приказ Главмотовелопрома не выполнялся, и мотоциклы ремонтировали по возможности, исходя из наличия запасных частей. Известны и конгломераты, собранные из нескольких мотоциклов различных марок (19776).</w:t>
      </w:r>
    </w:p>
    <w:p w14:paraId="7442AC65" w14:textId="77777777" w:rsidR="00CE32F4" w:rsidRPr="00722885" w:rsidRDefault="00CE32F4" w:rsidP="00722885">
      <w:pPr>
        <w:spacing w:after="0" w:line="240" w:lineRule="auto"/>
        <w:jc w:val="both"/>
        <w:rPr>
          <w:rFonts w:ascii="Times New Roman" w:hAnsi="Times New Roman"/>
          <w:color w:val="000000" w:themeColor="text1"/>
          <w:sz w:val="16"/>
          <w:szCs w:val="16"/>
        </w:rPr>
      </w:pPr>
    </w:p>
    <w:p w14:paraId="3CDC9022" w14:textId="77777777" w:rsidR="00AE7191" w:rsidRPr="00722885" w:rsidRDefault="00AE7191"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В августе 1942 года НИИ-10 реэвакуировали в Москву, а позже восстановили и НИИ-49 в Ленинграде (9921).</w:t>
      </w:r>
    </w:p>
    <w:p w14:paraId="7492427D" w14:textId="77777777" w:rsidR="00AE7191" w:rsidRPr="00722885" w:rsidRDefault="00AE7191" w:rsidP="00722885">
      <w:pPr>
        <w:pStyle w:val="a8"/>
        <w:widowControl/>
        <w:jc w:val="both"/>
        <w:rPr>
          <w:rFonts w:ascii="Times New Roman" w:hAnsi="Times New Roman" w:cs="Times New Roman"/>
          <w:color w:val="000000" w:themeColor="text1"/>
        </w:rPr>
      </w:pPr>
    </w:p>
    <w:p w14:paraId="2A0DA2F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года на базе мощностей эвакуированных из Ленинграда заводов “Станкоприбор” и № 4 им. Калинина был организован Завод № 572 НКБ.</w:t>
      </w:r>
    </w:p>
    <w:p w14:paraId="68315A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был размещен на площадке и в зданиях бывш. кондитерской фабрики Саратова и с 4 октября 1941 года вступил в эксплуатацию по изготовлению головных авиационных взрывателей.</w:t>
      </w:r>
    </w:p>
    <w:p w14:paraId="4858CF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Адрес: Саратов, 4, п/я 221</w:t>
      </w:r>
    </w:p>
    <w:p w14:paraId="120E40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Директор – Холин </w:t>
      </w:r>
    </w:p>
    <w:p w14:paraId="47DEE4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расположен в пределах жилых кварталов Саратова (ул. Чернышевского), на берегу Волши (10019).</w:t>
      </w:r>
    </w:p>
    <w:p w14:paraId="4CECFE63" w14:textId="77777777" w:rsidR="00AE7191" w:rsidRPr="00722885" w:rsidRDefault="00AE7191" w:rsidP="00722885">
      <w:pPr>
        <w:pStyle w:val="Iauiue"/>
        <w:jc w:val="both"/>
        <w:rPr>
          <w:color w:val="000000" w:themeColor="text1"/>
          <w:sz w:val="16"/>
          <w:szCs w:val="16"/>
        </w:rPr>
      </w:pPr>
    </w:p>
    <w:p w14:paraId="3AE7F3E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ГУС КА поставило перед командованием войсками ПВО территории страны (ПВО ТС) вопрос о целесообразности передачи в ее ведение функций заказчика на средства дальнего обнаружения самолетов. Прошло пять с лишним лет после того, как эти функции решением Народного комиссара обороны были переданы Техническому управлению РККА (объединившемуся вскоре с Управлением связи РККА). Командование ПВО и Управления связи РККА за этот период сменилось, и, по-видимому, не знало причин передачи заказов из Управления ПВО РККА в Техническое управление (11026).</w:t>
      </w:r>
    </w:p>
    <w:p w14:paraId="6F85D4B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C3F4A5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директор завода № 209 А.А. Терещенко получил приказ об организации на заводе крупносерийного производства пистолетов-пулеметов ППС конструкции А.И. Судаева. К концу 1942 г. были изготовлены первые образцы ППС. Со второго квартала 1943 года завод начал серийный выпуск пистолетов-пулеметов ППС, постоянно увеличивая объемы производства. Только с февраля 1943 г. по июнь 1944 г. было изготовлено 98298 штук ППС. Удачное сочетание высоких тактико-технических свойств, надежность автоматики, небольшие габариты и вес сделали пистолет-пулемет ППС основным любимым оружием десантников, разведчиков, лыжников, танкистов и партизан. Маршал Советского Союза Л.А.Говоров дал такую оценку оружию: «Бойцы и офицеры на фронте с большой благодарностью отзывались о ленинградском оружии (в том числе и о ППС). С этим оружием в руках воины-ленинградцы прорвали зимой 1943 г. блокаду Ленинграда, а в январе 1944 г. окончательно сняли осаду города» (11808).</w:t>
      </w:r>
    </w:p>
    <w:p w14:paraId="2314238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6A4D5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1941 вышло постановление ГОКГО о строительстве новых и расширении действующих электростанций в Восточных районах (338,30).</w:t>
      </w:r>
    </w:p>
    <w:p w14:paraId="0CA823EE" w14:textId="77777777" w:rsidR="00AE7191" w:rsidRPr="00722885" w:rsidRDefault="00AE7191" w:rsidP="00722885">
      <w:pPr>
        <w:pStyle w:val="Iauiue"/>
        <w:jc w:val="both"/>
        <w:rPr>
          <w:color w:val="000000" w:themeColor="text1"/>
          <w:sz w:val="16"/>
          <w:szCs w:val="16"/>
        </w:rPr>
      </w:pPr>
    </w:p>
    <w:p w14:paraId="29770F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1941 вышло постановление ГОКГО о строительстве новых и расширении действующих электростанций в Восточных районах (338,30).</w:t>
      </w:r>
    </w:p>
    <w:p w14:paraId="5796566E" w14:textId="77777777" w:rsidR="00AE7191" w:rsidRPr="00722885" w:rsidRDefault="00AE7191" w:rsidP="00722885">
      <w:pPr>
        <w:pStyle w:val="Iauiue"/>
        <w:jc w:val="both"/>
        <w:rPr>
          <w:color w:val="000000" w:themeColor="text1"/>
          <w:sz w:val="16"/>
          <w:szCs w:val="16"/>
        </w:rPr>
      </w:pPr>
    </w:p>
    <w:p w14:paraId="3D7E91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немцы демонстрировали итальянским подводникам советскую мини подлодку Пигмей, которая была захвачена в Балаклаве на севастопольской базе Остехбюро (2957).</w:t>
      </w:r>
    </w:p>
    <w:p w14:paraId="3B9CF549" w14:textId="77777777" w:rsidR="00AE7191" w:rsidRPr="00722885" w:rsidRDefault="00AE7191" w:rsidP="00722885">
      <w:pPr>
        <w:pStyle w:val="Iauiue"/>
        <w:jc w:val="both"/>
        <w:rPr>
          <w:color w:val="000000" w:themeColor="text1"/>
          <w:sz w:val="16"/>
          <w:szCs w:val="16"/>
        </w:rPr>
      </w:pPr>
    </w:p>
    <w:p w14:paraId="0F7AB5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 в связи с на</w:t>
      </w:r>
      <w:r w:rsidRPr="00722885">
        <w:rPr>
          <w:color w:val="000000" w:themeColor="text1"/>
          <w:sz w:val="16"/>
          <w:szCs w:val="16"/>
        </w:rPr>
        <w:softHyphen/>
        <w:t>ступлением немецко-фашистских войск на Северном Кавказе завод № 201, попавший в Туапсе и приступивший к работе на территории судоремонтного завода им. Ф. Э. Дзержин</w:t>
      </w:r>
      <w:r w:rsidRPr="00722885">
        <w:rPr>
          <w:color w:val="000000" w:themeColor="text1"/>
          <w:sz w:val="16"/>
          <w:szCs w:val="16"/>
        </w:rPr>
        <w:softHyphen/>
        <w:t>ского, принадлежащего НКМФ, пришлось вновь эвакуировать, на этот раз в Поти, где у него уже был филиал, и в Батуми (3898).</w:t>
      </w:r>
    </w:p>
    <w:p w14:paraId="718B401D" w14:textId="77777777" w:rsidR="00AE7191" w:rsidRPr="00722885" w:rsidRDefault="00AE7191" w:rsidP="00722885">
      <w:pPr>
        <w:pStyle w:val="Iauiue"/>
        <w:jc w:val="both"/>
        <w:rPr>
          <w:color w:val="000000" w:themeColor="text1"/>
          <w:sz w:val="16"/>
          <w:szCs w:val="16"/>
        </w:rPr>
      </w:pPr>
    </w:p>
    <w:p w14:paraId="0627884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(11772).</w:t>
      </w:r>
    </w:p>
    <w:p w14:paraId="35A2F8D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831E2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августе 1942 во всех промышленных центрах начались очередные массовые проверки состояния МПВО. При этом выяснилось, что вся работа, связанная с обеспечением населения укрытиями, подготовкой пожарного инвентаря и маскировкой объектов, как обычно бывает в России, давно пущена на самотек в надежде на русский «авось».</w:t>
      </w:r>
    </w:p>
    <w:p w14:paraId="3CBF5C9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проверки состояния местной противовоздушной обороны ряда городов и промышленных объектов, проведенной Главным управлением МПВО НКВД, обнаружилось, что укрытия почти повсеместно вырыты неправильно, техническая маскировка выполнена неграмотно. В выпущенном затем отчете говорилось:</w:t>
      </w:r>
    </w:p>
    <w:p w14:paraId="144F47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«Щели: </w:t>
      </w:r>
    </w:p>
    <w:p w14:paraId="40647FE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завышены нормы вместимости в 40 человек, некоторые щели устроены на несколько сот человек, </w:t>
      </w:r>
    </w:p>
    <w:p w14:paraId="6A8CA3A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вместо минимального расстояния между двумя смежными щелями равному Юм, щели расположены на расстоянии 4 метра и менее, </w:t>
      </w:r>
    </w:p>
    <w:p w14:paraId="306E2CF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непрочные стойки и подпорки. </w:t>
      </w:r>
    </w:p>
    <w:p w14:paraId="0DC07CB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Практикой установлено, что правильно построенные щели являются надежным укрытием даже при очень близких разрывах средних и тяжелых фугасных авиабомб. </w:t>
      </w:r>
    </w:p>
    <w:p w14:paraId="2C7C4E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маскировке: </w:t>
      </w:r>
    </w:p>
    <w:p w14:paraId="37CFA67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маскировочные мероприятия проводятся без общего плана, не увязываются с маскировкой города, </w:t>
      </w:r>
    </w:p>
    <w:p w14:paraId="343294E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маскировка зачастую проводится под руководством неквалифицированных и не понимающих дело лиц, </w:t>
      </w:r>
    </w:p>
    <w:p w14:paraId="1386273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иногда маскировка делает здания более заметными, чем они были до окраски. </w:t>
      </w:r>
    </w:p>
    <w:p w14:paraId="1C9A907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Перегибы в светомаскировке: </w:t>
      </w:r>
    </w:p>
    <w:p w14:paraId="70A5F7C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запрещается маскировочное освещение, </w:t>
      </w:r>
    </w:p>
    <w:p w14:paraId="2A1E99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на ж.д. запрещается использование семафоров и стрелочных фонарей, </w:t>
      </w:r>
    </w:p>
    <w:p w14:paraId="7305F7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запрещают автомашинам ездить с включенными фарами, причем все это не в условиях «ВТ», </w:t>
      </w:r>
    </w:p>
    <w:p w14:paraId="46E8F7C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г) оконные проемы часто просто закрашивают краской, и при близких разрывах авиабомб они вылетают… Нередко световые проемы забивают наглухо, нарушая вентиляцию и воздухообмен. Днем расходуется много э/энергии на освещение» (11774).</w:t>
      </w:r>
    </w:p>
    <w:p w14:paraId="72776DF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AC30F5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августа 1942 г. завод № 201 (Краснознаменный завод № 201 им. С. Орджоникидзе НКОП, НКСП, Севастопольское адмиралтейство, Лазаревское адмиралтейство, Верфь Русского общества пароходства и торговли (РОПиТ), Севастопольский судостроительный завод, Севастопольский морской завод (Севморзавод) им. С. Орджоникидзе НК по морским делам, ВСНХ, НКТП, Потийский судоремонтный завод Минрыбпрома, Потийский судоремонтно-судостроительный завод /г. Севастополь п/я 69 «Вал» (1938 г.);  г. Туапсе;  г. Батуми;  г. Поти/) действовал в Батуми. 25.12.1942 г. вышло распоряжение ГКО № 2656 о поставке заводу № 201 НКСП оборудования материалов и топлива. Был в 1946 г.</w:t>
      </w:r>
    </w:p>
    <w:p w14:paraId="5830A92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 на заводе организован филиал ЦКБ-17.</w:t>
      </w:r>
    </w:p>
    <w:p w14:paraId="5DD696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освобождения Севастополя в 05.1944 г. на старом месте был восстановлен судостроительный завод № 497, далее- Севастопольский морской завод.</w:t>
      </w:r>
    </w:p>
    <w:p w14:paraId="0C513D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Поти в 1946-50г, проведена модернизация тральщиков пр. 3, 53, 58, 53У. Завод № 201 действовал в Поти в 1950-е  г. и далее; затем - Потийский СРЗ.</w:t>
      </w:r>
      <w:r w:rsidRPr="00722885">
        <w:rPr>
          <w:rFonts w:ascii="Times New Roman" w:hAnsi="Times New Roman"/>
          <w:color w:val="000000" w:themeColor="text1"/>
          <w:sz w:val="16"/>
          <w:szCs w:val="16"/>
          <w:vertAlign w:val="superscript"/>
        </w:rPr>
        <w:t>116</w:t>
      </w:r>
    </w:p>
    <w:p w14:paraId="23B7DBA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(1818 г.)- более 800 чел., (1924 г.)- около 3000 чел., (1937 г.)- 6767 чел., (06.1941 г.)- 6937 чел.</w:t>
      </w:r>
    </w:p>
    <w:p w14:paraId="5F73872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Заведующий (1880-е)- Л. Г. Конкевич. Директор (1925 г.-)- Н.И. Антонов, (-3.08.1937 г.)- А.Л., Токарев; и.о. (3.08.1937 г.-)- С.Н.(П) Задорожный; (16.09.1937-12.1938 г.-)- С.Н. Задорожный, в Севастополе (1942 г.)- Н.К. Костенко, в Туапсе (1941 г.)- С.О. Шрайбер; М.Н. Сургучев.</w:t>
      </w:r>
    </w:p>
    <w:p w14:paraId="6E143D4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(1920-е)- И.П. Морозов, (-21.01.1937 г.)- В.Ф. Попов, (3.10.1937 г.-)- А.К. Шишунов; по коммерческой части (15.06.1938 г.-)- П.Т. Варюхов. Помощник директора по найму и увольнению (-8.10.1937 г.)- ДЛ. Эвадис, (8.10.1937 г.-)- И.В. Чепак.</w:t>
      </w:r>
    </w:p>
    <w:p w14:paraId="197EC3E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(-21.01.1937 г.)- В.Ф. Попов, (3.10.1937-12.1938 г.-)- А.К. Шишунов, Т.Н. Хазарадзе.</w:t>
      </w:r>
    </w:p>
    <w:p w14:paraId="2F2E2DF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филиала в Поти (12.1941 г.-)- С.М. Щеголь.</w:t>
      </w:r>
    </w:p>
    <w:p w14:paraId="19A532C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Корабельный мастер (1819 г.)- И .Я. Осьминин. Строители кораблей: (-1901-04 г.-)- Н.И. Янковский. Гл. строители (1925 г.)- Н.Д. Звягин.</w:t>
      </w:r>
    </w:p>
    <w:p w14:paraId="719A711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бюро: ПЭБ (02.1938 г.)- Мурин.</w:t>
      </w:r>
    </w:p>
    <w:p w14:paraId="4CF11C9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корветы: 18-пушечный «Крым» (12.1808-01.1810), 20-пушечные «Менелай» (1839-41), «Ариадна» (1848-51), 24-пушечный «Месемврия» (1832-34), «Язон» (1814-15), «Оливуца»; бриги: «Мингрелия» (1813), «Меркурий» (1819), 12-пушечные «Аргонавт» (1837-37), «Язон» (1848-50), 20-пушечный «Пегас» (1825-); шхуны: (1794-)-2, 12-пушечная «Флора» (1815-18), (1838-40)- 2; тендеры: 8-пушечный (1817-), 12-пушечные (1832-39)- 3; транспорты (1819-23-)- 3, «Днепр» (1836-38), (1840-48-)- 2, «Аккерман» (-1849); 12-пушечные катера (1820)- 1, «Жаворонок» (1825); 18-пушечный шлюп «Диана» (1821-23); яхта «Голубка» (1821-22); люгер «Стрела» (1822); фрегаты: 36-пушечный «Рафаил» (1825-28), 44-пушечный «Браилов» (1835-36), 54-пушечный «Сизополь» (1838-41); бригантина «Нарцисс» (1827-29); землечерпательная машина (1826); боты (1836)- 2; миноноски типа «Щегленок» (1877-78)- 3; канонерские лодки: «Кубанец», «Терец», «Уралец» (1886-87), «Черноморец»; броненосцы «Иоанн Златоуст» (31.10.1904-30.04.1906), «Чесма»; крейсер «Очаков» (08.1901- 09.1902); тральщики: пр. 3 «Трал» (Т-401), «Минреп» (Т-402), «Груз» (Т-403), «Щит» (Т-404) (1933-35), пр. 53 Т- 405 «Взрыватель», Т-406 «Искатель», Т-407 «Мина», Т-411 «Защитник», Т-7 «Веха», Т-8 «Чека» (зак. 180, 08.1936-11.1938), IV серии пр. 58 Т-5 «Параван» (зак. 187, 1938), Т-6 «Капсюль» (зак. 188, 1938), Т-408 «Якорь» (зак. 189, 1938), Т-409 «Гарпун» (зак. 190, 1938), Т-410 «Взрыв», Т-412 «Арсений Расскин», Т-413 (03.1937- 04.1941), Т-414, Т-415 (01.1941-, не достроены); пр. 59 Т-450 («Павел Головин»), Т-451 («Иван Борисов»), Т-452 («Сергей Шувалов»), Т-453 («Семен Рошаль»), Т-454 («Иван Сладков») (-1941); искатель мин пр. 257М (1959-60, не достроен); эсминцы: пр. 7у (1941)- 1, достройка «Огневой» (-03.1945); сборка ПЛ завода 112 XII серии (ВОВ); грузопассажирское судно «Св. Николай», пассажирское «Проворный» (1892-93); буксирно-пассажирские пароходы «Волга», «Теща», «Вестник», «Тесть» (1881-83); лесовоз I серии «Михаил Фрунзе» (11.1925-06.1927); сухогрузы: типа «Ногин» «Ногин», «Анри Барбюс» (1929-34); типа «Сихали» «Сихали» («Рыбинск»), «Сызрань» (1932-36), «Вольск», «Молога» (не достроены), «Камышин» (1930-е, достроен после войны); типа «Пионер» «Пионер», «Земляк», «Работник», «Батрак» («Тракторист»), «Местком», «Судком» (1928-33); грузопассажирские «Дельфин», «Чайка» (1928-31); траулеры типа РТ-308 «Красный онежанин» (1930-33)- 4; буксиры: речные 150 л.с. (1928)- 2, 250 л.с. «Колхозник», «Красный Октябрь», «Кимовец» (1928-31); морской спасательный 800 л.с. типа «СП» пр.135 (зак 102, 1938), (-1941)- 12; буксирный ледокол 300 л.с. «Байкал» (1932); водолазные боты морские и речные (1930-е); кольцевой судоподъемный понтон грузоподъемностью 1100 т (1930-е); СПК пр. 342МТ «Комета» (1961-); артиллерийский щит 3-секционный (1938)- 3;</w:t>
      </w:r>
    </w:p>
    <w:p w14:paraId="58E22D9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восстановление крейсера «Коминтерн» (1922-23); разборка 7 броненосцев, плавдока (1920-е); модернизация: линкора «Парижская Коммуна» (1934-38; 1939-40); ремонт коммерческих судов (1930-е); переоборудование: опытного судна «Тосно» (1937); грузовых судов типа «Пионер» в транспортные (ВОВ); ремонт крейсеров «Красный Кавказ», «Молотов», эсминца «Способный» (ВОВ) (11982).</w:t>
      </w:r>
    </w:p>
    <w:p w14:paraId="77FC9D5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12C6952" w14:textId="77777777" w:rsidR="00FC56D8" w:rsidRPr="00722885" w:rsidRDefault="00FC56D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подводную лодку Остехбюро АПЛ осмотрели итальянские офицеры из 10-й флотилии MAC. И вот из статьи в статью кочует неизвестно откуда взявшееся высказывание итальянцев: «Это была новейшая единица, находившаяся на заключительной стадии оборудования, ее размеры не отличались от итальянского типа СВ, но корпус был стройнее и длиннее. Лодка имела довольно большую, но узкую рубку трапециевидной формы. На середине высоты корпуса находились продолговатые углубления, позволявшие располагать в них торпеды». Имеется несколько фотографий советской сверхмалой подводной лодки. Феодосийский историк О. Ольховатский предположил, что снимки сделаны в поселке Орджоникидзе под Феодосией на территории завода «Гидроприбор» (15117).</w:t>
      </w:r>
    </w:p>
    <w:p w14:paraId="0FD1457C" w14:textId="77777777" w:rsidR="00FC56D8" w:rsidRPr="00722885" w:rsidRDefault="00FC56D8" w:rsidP="00722885">
      <w:pPr>
        <w:spacing w:after="0" w:line="240" w:lineRule="auto"/>
        <w:jc w:val="both"/>
        <w:rPr>
          <w:rFonts w:ascii="Times New Roman" w:hAnsi="Times New Roman"/>
          <w:color w:val="000000" w:themeColor="text1"/>
          <w:sz w:val="16"/>
          <w:szCs w:val="16"/>
        </w:rPr>
      </w:pPr>
    </w:p>
    <w:p w14:paraId="6A635F9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15710E1" w14:textId="77777777" w:rsidR="00AE7191" w:rsidRPr="00722885" w:rsidRDefault="00AE7191" w:rsidP="00722885">
      <w:pPr>
        <w:pStyle w:val="Iauiue"/>
        <w:jc w:val="both"/>
        <w:rPr>
          <w:iCs/>
          <w:color w:val="000000" w:themeColor="text1"/>
          <w:sz w:val="16"/>
          <w:szCs w:val="16"/>
        </w:rPr>
      </w:pPr>
    </w:p>
    <w:p w14:paraId="042F463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эскадрилья в составе восьми Нз 129В-1/Й2 пошла в бой на центральном участке советско-герман</w:t>
      </w:r>
      <w:r w:rsidRPr="00722885">
        <w:rPr>
          <w:rFonts w:ascii="Times New Roman" w:hAnsi="Times New Roman"/>
          <w:color w:val="000000" w:themeColor="text1"/>
          <w:sz w:val="16"/>
          <w:szCs w:val="16"/>
        </w:rPr>
        <w:softHyphen/>
        <w:t>ского фронта в районе Ржева. В период с 11 августа по 16 сентября она выполнила 73 боевых вылетов, в которых по докладам пилотов было уничтожено 29 советских танков.</w:t>
      </w:r>
    </w:p>
    <w:p w14:paraId="24A60BA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по всей видимости, реальные ре</w:t>
      </w:r>
      <w:r w:rsidRPr="00722885">
        <w:rPr>
          <w:rFonts w:ascii="Times New Roman" w:hAnsi="Times New Roman"/>
          <w:color w:val="000000" w:themeColor="text1"/>
          <w:sz w:val="16"/>
          <w:szCs w:val="16"/>
        </w:rPr>
        <w:softHyphen/>
        <w:t>зультаты боевого применения Нз129В-1 /Я2 из и&lt;351 были все же далеки от заявленных пилотами побед и явно не устраивали не</w:t>
      </w:r>
      <w:r w:rsidRPr="00722885">
        <w:rPr>
          <w:rFonts w:ascii="Times New Roman" w:hAnsi="Times New Roman"/>
          <w:color w:val="000000" w:themeColor="text1"/>
          <w:sz w:val="16"/>
          <w:szCs w:val="16"/>
        </w:rPr>
        <w:softHyphen/>
        <w:t>мецкое командование, потому как уже в конце сентября пилоты «хеншелей» были выведены из боя и под руководством спе</w:t>
      </w:r>
      <w:r w:rsidRPr="00722885">
        <w:rPr>
          <w:rFonts w:ascii="Times New Roman" w:hAnsi="Times New Roman"/>
          <w:color w:val="000000" w:themeColor="text1"/>
          <w:sz w:val="16"/>
          <w:szCs w:val="16"/>
        </w:rPr>
        <w:softHyphen/>
        <w:t>циалистов инспекций генерального штаба люфтваффе приступили к усиленным тре</w:t>
      </w:r>
      <w:r w:rsidRPr="00722885">
        <w:rPr>
          <w:rFonts w:ascii="Times New Roman" w:hAnsi="Times New Roman"/>
          <w:color w:val="000000" w:themeColor="text1"/>
          <w:sz w:val="16"/>
          <w:szCs w:val="16"/>
        </w:rPr>
        <w:softHyphen/>
        <w:t>нировкам на полигоне стрельбой по маке</w:t>
      </w:r>
      <w:r w:rsidRPr="00722885">
        <w:rPr>
          <w:rFonts w:ascii="Times New Roman" w:hAnsi="Times New Roman"/>
          <w:color w:val="000000" w:themeColor="text1"/>
          <w:sz w:val="16"/>
          <w:szCs w:val="16"/>
        </w:rPr>
        <w:softHyphen/>
        <w:t>там советских танков. Лишь после того, как точность стрельбы достигла приемлемого уровня, эскадрилья в конце ноября 1942 г. вновь вернулась к боевым действиям.</w:t>
      </w:r>
    </w:p>
    <w:p w14:paraId="11197F7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временем в связи с успешным контрнаступлением Красной Армии под Сталинградом для немецких войск созда</w:t>
      </w:r>
      <w:r w:rsidRPr="00722885">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722885">
        <w:rPr>
          <w:rFonts w:ascii="Times New Roman" w:hAnsi="Times New Roman"/>
          <w:color w:val="000000" w:themeColor="text1"/>
          <w:sz w:val="16"/>
          <w:szCs w:val="16"/>
        </w:rPr>
        <w:softHyphen/>
        <w:t>но переброшена на средний Дон.</w:t>
      </w:r>
    </w:p>
    <w:p w14:paraId="1A3C77A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1CC6007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30CB46D" w14:textId="77777777" w:rsidR="00240B8C" w:rsidRPr="00722885" w:rsidRDefault="00240B8C"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 августе 1942 г. один из полков ВВС Черноморского флота использовал И-5 как «приманку» для вражеских прожекторов при ночных налетах. Пока старый истребитель громко гудел, заставляя прожектористов его искать, юркие УТ-1 расстреливали прожектора реактивными снарядами. К концу 1942 г. приток новых истребителей и штурмовиков позволил перевооружить части на фронте более современной техникой. Да и уцелело И-5 к тому времени немного (19176).</w:t>
      </w:r>
    </w:p>
    <w:p w14:paraId="49729DF7" w14:textId="77777777" w:rsidR="00240B8C" w:rsidRPr="00722885" w:rsidRDefault="00240B8C" w:rsidP="00722885">
      <w:pPr>
        <w:pStyle w:val="ae"/>
        <w:shd w:val="clear" w:color="auto" w:fill="FFFFFF"/>
        <w:spacing w:before="0" w:after="0"/>
        <w:jc w:val="both"/>
        <w:textAlignment w:val="baseline"/>
        <w:rPr>
          <w:color w:val="000000" w:themeColor="text1"/>
          <w:sz w:val="16"/>
          <w:szCs w:val="16"/>
        </w:rPr>
      </w:pPr>
    </w:p>
    <w:p w14:paraId="4D22DF3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в 794 бап, который первым освоил "Бостоны", их осталось всего два исправных (3457,100).</w:t>
      </w:r>
    </w:p>
    <w:p w14:paraId="4DDA8D62" w14:textId="77777777" w:rsidR="00AE7191" w:rsidRPr="00722885" w:rsidRDefault="00AE7191" w:rsidP="00722885">
      <w:pPr>
        <w:pStyle w:val="Iauiue"/>
        <w:jc w:val="both"/>
        <w:rPr>
          <w:color w:val="000000" w:themeColor="text1"/>
          <w:sz w:val="16"/>
          <w:szCs w:val="16"/>
        </w:rPr>
      </w:pPr>
    </w:p>
    <w:p w14:paraId="546ED63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В августе 1942 г. 747-му ап на Ер-2 довелось непродолжительное время участвовать в оборонительных боях на Сталинградском направлении. В один из дней красная </w:t>
      </w:r>
      <w:r w:rsidRPr="00722885">
        <w:rPr>
          <w:color w:val="000000" w:themeColor="text1"/>
          <w:sz w:val="16"/>
          <w:szCs w:val="16"/>
        </w:rPr>
        <w:lastRenderedPageBreak/>
        <w:t>"7" пилота Висковского подверглась нападению звена Bf109. Стрелок Абдулин из верхней установки сумел подбить два вражеских истребителя, но и Ер-2 получил тяжелые повреждения при вынужденной посадке. В дальнейшем машина с таким номером в боевых действиях не участвовала (3322,24).</w:t>
      </w:r>
    </w:p>
    <w:p w14:paraId="3B1D1895" w14:textId="77777777" w:rsidR="00AE7191" w:rsidRPr="00722885" w:rsidRDefault="00AE7191" w:rsidP="00722885">
      <w:pPr>
        <w:pStyle w:val="Iauiue"/>
        <w:jc w:val="both"/>
        <w:rPr>
          <w:color w:val="000000" w:themeColor="text1"/>
          <w:sz w:val="16"/>
          <w:szCs w:val="16"/>
        </w:rPr>
      </w:pPr>
    </w:p>
    <w:p w14:paraId="6644D7BB" w14:textId="77777777" w:rsidR="00AE7191" w:rsidRPr="00722885" w:rsidRDefault="00AE7191" w:rsidP="00722885">
      <w:pPr>
        <w:pStyle w:val="a3"/>
        <w:rPr>
          <w:color w:val="000000" w:themeColor="text1"/>
          <w:lang w:val="ru-RU"/>
        </w:rPr>
      </w:pPr>
      <w:r w:rsidRPr="00722885">
        <w:rPr>
          <w:color w:val="000000" w:themeColor="text1"/>
          <w:lang w:val="ru-RU"/>
        </w:rPr>
        <w:t>В августе 1942 439-й ИАП дрался с «мессерами» над линией фронта. В Сталинградской битве вместе со всей 102-й ИАД ПВО он отражал налеты противника, а затем блокировал воз</w:t>
      </w:r>
      <w:r w:rsidRPr="00722885">
        <w:rPr>
          <w:color w:val="000000" w:themeColor="text1"/>
          <w:lang w:val="ru-RU"/>
        </w:rPr>
        <w:softHyphen/>
        <w:t>душный мост, по которому немцы пытались снабжать окружен</w:t>
      </w:r>
      <w:r w:rsidRPr="00722885">
        <w:rPr>
          <w:color w:val="000000" w:themeColor="text1"/>
          <w:lang w:val="ru-RU"/>
        </w:rPr>
        <w:softHyphen/>
        <w:t>ную группировку Паулюса, но главной задачей полка все это время была штурмовка вражеских войск. Заслуги летчиков ди</w:t>
      </w:r>
      <w:r w:rsidRPr="00722885">
        <w:rPr>
          <w:color w:val="000000" w:themeColor="text1"/>
          <w:lang w:val="ru-RU"/>
        </w:rPr>
        <w:softHyphen/>
        <w:t>визии были по достоинству оценены - она получила Гвардейское знамя и почетное наименование «Сталинградская» (11938).</w:t>
      </w:r>
    </w:p>
    <w:p w14:paraId="7A150556" w14:textId="77777777" w:rsidR="00AE7191" w:rsidRPr="00722885" w:rsidRDefault="00AE7191" w:rsidP="00722885">
      <w:pPr>
        <w:pStyle w:val="a3"/>
        <w:rPr>
          <w:color w:val="000000" w:themeColor="text1"/>
          <w:lang w:val="ru-RU"/>
        </w:rPr>
      </w:pPr>
    </w:p>
    <w:p w14:paraId="137A9D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в небе под Сталинградом немецкие летчики впервые встретились с незнакомым советским истребителем. Скоротечность воздушного боя не позволила им внимательно рассмотреть машину, издалека напоминавшую все реже встречавшиеся в небе И-16. Именно это сходство с одним из лучших советских истребителей предвоенных лет, получившего среди немецких пилотов еще в Испании прозвище "Крыса", привело к предположению, что они столкнулись с его новой модификацией, названной "Новая крыса".</w:t>
      </w:r>
    </w:p>
    <w:p w14:paraId="61F3F2F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действительности, это были первые советские Ла-5, проходившие войсковые испытания в 49-м Краснознаменном иап 234-й иад 1-й воздушной армии. С 14 по 24 августа 19 Ла-5 этого полка совершили 180 боевых вылетов с налетом 130 часов. В 27 воздушных боях летчики полка сбили 16 самолетов противника, при этом свои потери составили десять машин и пять пилотов. Если быть точным, то полк потерял сбитыми пять истребителей, два не вернулись (самолеты № 37310104 и № 37210208), четыре потерпели аварию, будучи подбиты в воздушных боях, один потерпел аварию из-за разрушения втулки главного шатуна двигателя и один из летчиков (фамилия не установлена) 22 августа 1942 года таранил немецкий Ju 88, но при этом разбил и свой самолет.</w:t>
      </w:r>
    </w:p>
    <w:p w14:paraId="66BDDDE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отзывам летчиков 49-го Краснознаменного иап ЛаГГ-5 в боевых условиях показал хорошие результаты, а высокие потери связаны с недостаточным освоением материальной части и неполным использованием боевых качеств машины. Например, вторая скорость приводного центробежного нагнетателя мотора включалась на высоте 3800 м, а воевать приходилось преимущественно на высоте 2000-3000 м. Прикрытие бомбардировочной и штурмовой авиации, а также наземных войск осуществлялось одной группой и, по выражению командования полка, было безграмотным.</w:t>
      </w:r>
    </w:p>
    <w:p w14:paraId="1CF7BD4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воздушных боях при наборе высоты на больших скоростях Bfl09F от ЛаГГ-5 не отрывался, а на малых скоростях из-за большего веса ЛаГТ-5 в первый момент отставал, а затем сравнивался с ним по скороподъемности. На виражах наш истребитель заходил в хвост Bf 109F, так как радиус виража последнего был больше. Горизонтальная скорость нашего и немецкого самолетов были одинаковы, но на пикировании ЛаГГ-5 летел быстрее. Вооружение, как выяснилось, вполне устраивало воздушных бойцов.</w:t>
      </w:r>
    </w:p>
    <w:p w14:paraId="6724B05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усложнившейся техники пилотирования истребителя из-за большого веса (3300 кг) и недостаточных компенсаторов рулей по сравнению с ЛаГГ-3 и Як-1, выявились и конструктивные недостатки. Например, отмечены два случая срыва моторных и боковых капотов, не полностью выпускалось костыльное колесо, случались течи бензиновых и масляных баков по сварным швам, после 20-ти часов работы прогорали выхлопные коллекторы. Существенным преимуществом ЛаГГ-5 перед ЛаГГ-3 и Як-1 была защита передней полусферы звездообразным мотором воздушного охлаждения. Живучесть самолета увеличилась.</w:t>
      </w:r>
    </w:p>
    <w:p w14:paraId="058D12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Отмечались три случая, когда в воздушном бою пушечным огнем противника были пробиты всасывающий и выхлопнои патрубки одного цилиндра и крышки клапанных коробок, воздушный винт и погнуты ребра цилиндров. Самолет в таком виде благополучно произвел посадку на своем аэродроме, а мотор вскоре восстановили.</w:t>
      </w:r>
    </w:p>
    <w:p w14:paraId="10145AB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 выполнении боевых заданий моторы в основном работали на номинальном и форсированном режиме, причем на последнем, порой, до 10-13 минут, в то время, как инструкцией допускалось не более 5 минут. Но практически все двигатели работали нормально. В выводах доклада руководства НИИ ВВС главному инженеру ВВС А. К. Репину отмечалось: </w:t>
      </w:r>
    </w:p>
    <w:p w14:paraId="77E8DC9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опыт эксплуатации моторов М-82 в боевых условиях на самолетах- истребителях показывает удовлетворительные результаты. Летный и технический состав дают положительную оценку самолету ЛаГ-5 с мотором М-82 как по надежности работы мотора, так и по уходу и эксплуатации мотора на земле..." (12032).</w:t>
      </w:r>
    </w:p>
    <w:p w14:paraId="3B63A35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87D03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первые четыре КОР-2 прибыли на ЧФ и отдельное звено базировалось в Туапсе</w:t>
      </w:r>
    </w:p>
    <w:p w14:paraId="6F043A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C августа 1942 начинается формирование соединений ночных бомбардировщиков У-2. В это время У-2 стали также основой системы авиации связи. Штаб фронта имел 32, а армии - 12 (291,5).</w:t>
      </w:r>
    </w:p>
    <w:p w14:paraId="1038C145" w14:textId="77777777" w:rsidR="00AE7191" w:rsidRPr="00722885" w:rsidRDefault="00AE7191" w:rsidP="00722885">
      <w:pPr>
        <w:pStyle w:val="Iauiue"/>
        <w:jc w:val="both"/>
        <w:rPr>
          <w:color w:val="000000" w:themeColor="text1"/>
          <w:sz w:val="16"/>
          <w:szCs w:val="16"/>
        </w:rPr>
      </w:pPr>
    </w:p>
    <w:p w14:paraId="6C5B1D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ТБ-3 использовались для доставки горючего для танкистов в район Ржева (1859).</w:t>
      </w:r>
    </w:p>
    <w:p w14:paraId="7E81E2C1" w14:textId="77777777" w:rsidR="00AE7191" w:rsidRPr="00722885" w:rsidRDefault="00AE7191" w:rsidP="00722885">
      <w:pPr>
        <w:pStyle w:val="Iauiue"/>
        <w:jc w:val="both"/>
        <w:rPr>
          <w:color w:val="000000" w:themeColor="text1"/>
          <w:sz w:val="16"/>
          <w:szCs w:val="16"/>
        </w:rPr>
      </w:pPr>
    </w:p>
    <w:p w14:paraId="57E4F7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под Сталинградом был развернут первый командный пункт по управлению авиацией над полем боя (430,149).</w:t>
      </w:r>
    </w:p>
    <w:p w14:paraId="05E5BD8F" w14:textId="77777777" w:rsidR="00AE7191" w:rsidRPr="00722885" w:rsidRDefault="00AE7191" w:rsidP="00722885">
      <w:pPr>
        <w:pStyle w:val="Iauiue"/>
        <w:jc w:val="both"/>
        <w:rPr>
          <w:color w:val="000000" w:themeColor="text1"/>
          <w:sz w:val="16"/>
          <w:szCs w:val="16"/>
        </w:rPr>
      </w:pPr>
    </w:p>
    <w:p w14:paraId="59A5CD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один из штурмовых полков ВВС ЧФ использовал И-5 черного цвета как приманку для прожекторов (191,31).</w:t>
      </w:r>
    </w:p>
    <w:p w14:paraId="48CF23B5" w14:textId="77777777" w:rsidR="00AE7191" w:rsidRPr="00722885" w:rsidRDefault="00AE7191" w:rsidP="00722885">
      <w:pPr>
        <w:pStyle w:val="Iauiue"/>
        <w:jc w:val="both"/>
        <w:rPr>
          <w:color w:val="000000" w:themeColor="text1"/>
          <w:sz w:val="16"/>
          <w:szCs w:val="16"/>
        </w:rPr>
      </w:pPr>
    </w:p>
    <w:p w14:paraId="4D99BEC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 в Киржаче (Ива</w:t>
      </w:r>
      <w:r w:rsidRPr="00722885">
        <w:rPr>
          <w:rFonts w:ascii="Times New Roman" w:hAnsi="Times New Roman"/>
          <w:color w:val="000000" w:themeColor="text1"/>
          <w:sz w:val="16"/>
          <w:szCs w:val="16"/>
        </w:rPr>
        <w:softHyphen/>
        <w:t>новская область) приступили к фор</w:t>
      </w:r>
      <w:r w:rsidRPr="00722885">
        <w:rPr>
          <w:rFonts w:ascii="Times New Roman" w:hAnsi="Times New Roman"/>
          <w:color w:val="000000" w:themeColor="text1"/>
          <w:sz w:val="16"/>
          <w:szCs w:val="16"/>
        </w:rPr>
        <w:softHyphen/>
        <w:t>мированию 2-го учебного авиационно-планёрного полка (2-й уапп). Полк имел буксировщики Ил-4 с комплектом планёров А-7 и Г-11. В августе 1943 г. эта часть стала именоваться 2-м от</w:t>
      </w:r>
      <w:r w:rsidRPr="00722885">
        <w:rPr>
          <w:rFonts w:ascii="Times New Roman" w:hAnsi="Times New Roman"/>
          <w:color w:val="000000" w:themeColor="text1"/>
          <w:sz w:val="16"/>
          <w:szCs w:val="16"/>
        </w:rPr>
        <w:softHyphen/>
        <w:t>дельным авиапланёрным полком (2-й оапп) (12266).</w:t>
      </w:r>
    </w:p>
    <w:p w14:paraId="1E37D07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E4499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1943 г. 2-й учебного авиационный-планёрный полк (2-й уапп) в Киржаче стала именоваться 2-м от</w:t>
      </w:r>
      <w:r w:rsidRPr="00722885">
        <w:rPr>
          <w:rFonts w:ascii="Times New Roman" w:hAnsi="Times New Roman"/>
          <w:color w:val="000000" w:themeColor="text1"/>
          <w:sz w:val="16"/>
          <w:szCs w:val="16"/>
        </w:rPr>
        <w:softHyphen/>
        <w:t>дельным авиапланёрным полком (2-й оапп) (12266).</w:t>
      </w:r>
    </w:p>
    <w:p w14:paraId="08C3A4E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499A3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 в результате роста производства самолетов и начала внедрения радиосвязи, для повышения мобильности и усиления воздушных армий началось формирование корпусов резерва Верховного Главнокомандования (РВГК) (3573).</w:t>
      </w:r>
    </w:p>
    <w:p w14:paraId="2523770B" w14:textId="77777777" w:rsidR="00AE7191" w:rsidRPr="00722885" w:rsidRDefault="00AE7191" w:rsidP="00722885">
      <w:pPr>
        <w:pStyle w:val="Iauiue"/>
        <w:jc w:val="both"/>
        <w:rPr>
          <w:color w:val="000000" w:themeColor="text1"/>
          <w:sz w:val="16"/>
          <w:szCs w:val="16"/>
        </w:rPr>
      </w:pPr>
    </w:p>
    <w:p w14:paraId="5C9AA4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года в Ленинграде было создано 35 отдельных городских батальонов МПВО общей численностью 21357 бойцов и командиров (9453).</w:t>
      </w:r>
    </w:p>
    <w:p w14:paraId="339D3C58" w14:textId="77777777" w:rsidR="00AE7191" w:rsidRPr="00722885" w:rsidRDefault="00AE7191" w:rsidP="00722885">
      <w:pPr>
        <w:pStyle w:val="Iauiue"/>
        <w:jc w:val="both"/>
        <w:rPr>
          <w:color w:val="000000" w:themeColor="text1"/>
          <w:sz w:val="16"/>
          <w:szCs w:val="16"/>
        </w:rPr>
      </w:pPr>
    </w:p>
    <w:p w14:paraId="3220BBC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 эскадрилья "хеншелей" JG51 в составе 8 Hsl29B-l/R2 вошла в бой на центральном участке советско-германского фронта в районе Ржева. В период с 11 августа по 16 сентября 13.(Pz.)/JG51 выполнила 73 боевых вылета, в которых, по докладам пилотов, было уничтожено 29 советских танков. Боевые безвозвратные потери эскадрильи составили 3 штурмовика (8907).</w:t>
      </w:r>
    </w:p>
    <w:p w14:paraId="2CD1C4C0" w14:textId="77777777" w:rsidR="00AE7191" w:rsidRPr="00722885" w:rsidRDefault="00AE7191" w:rsidP="00722885">
      <w:pPr>
        <w:pStyle w:val="Iauiue"/>
        <w:jc w:val="both"/>
        <w:rPr>
          <w:color w:val="000000" w:themeColor="text1"/>
          <w:sz w:val="16"/>
          <w:szCs w:val="16"/>
        </w:rPr>
      </w:pPr>
    </w:p>
    <w:p w14:paraId="0675B7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г. в лагере Осиновка под Оршей группа пленных офицеров, искавших возможность вновь вернуться к летной работе, предложила сформировать из них отдельную авиачасть в составе Люфтваффе. Инициаторами стали майор Филатов, капитан Рипушинский и лейтенант В.П.Плющев. Такая группа под началом Филатова была образована, хотя доверить вчерашним противникам самолеты немцы не торопились, перепроверяя летчиков и проводя их общую переподготовку, а точнее доучивание, поскольку многие вчерашние сталинские соколы попали на фронт, а оттуда в немецкий плен имея всего по нескольку десятков летных часов, из них на боевых машинах порой не более десяти. К тому же, абсолютному большинству необходимо было освоить немецкий язык.</w:t>
      </w:r>
    </w:p>
    <w:p w14:paraId="6D076A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Первоначально теорию полетов, штурманское дело и матчасть в группе изучали 22 человека, в том числе девять летчиков, три штурмана и четыре стрелка-радиста. В это же время в составе 4-го и 6-го Воздушных флотов Люфтваффе были образованы группы техсостава из числа пленных добровольцев, обслуживавших самолеты (4538).</w:t>
      </w:r>
    </w:p>
    <w:p w14:paraId="508538A7" w14:textId="77777777" w:rsidR="00AE7191" w:rsidRPr="00722885" w:rsidRDefault="00AE7191" w:rsidP="00722885">
      <w:pPr>
        <w:pStyle w:val="Iauiue"/>
        <w:jc w:val="both"/>
        <w:rPr>
          <w:color w:val="000000" w:themeColor="text1"/>
          <w:sz w:val="16"/>
          <w:szCs w:val="16"/>
        </w:rPr>
      </w:pPr>
    </w:p>
    <w:p w14:paraId="4484F59F" w14:textId="77777777" w:rsidR="00D80B8A" w:rsidRPr="00722885" w:rsidRDefault="00D80B8A" w:rsidP="00722885">
      <w:pPr>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августе 1942 года 5 отдельных огнеметных танковых батальонов уехало на Волховский фронт. Из них три (500-й, 502-й и 507-й) действовали в составе 8-й армии, а еще 2 (501-й и 503-й) в составе 2-й ударной армии. Впрочем, 503-й батальон проходит и по сводкам 8-й армии. Все указанные батальоны участвовали в Синявинской операции. Она стала не только дебютом КВ-8, но и временем дебюта немецких тяжелых танков Pz.Kpfw.Tiger Ausf.E. По иронии судьбы, в районе Тортолово едва не встретилось два 502-х батальона на тяжелых танков - наш на КВ-8 и немецкий на "Тиграх". Были они совсем рядом (22806).</w:t>
      </w:r>
    </w:p>
    <w:p w14:paraId="3BCFA54F" w14:textId="77777777" w:rsidR="00D80B8A" w:rsidRPr="00722885" w:rsidRDefault="00D80B8A" w:rsidP="00722885">
      <w:pPr>
        <w:pStyle w:val="ae"/>
        <w:shd w:val="clear" w:color="auto" w:fill="FFFFFF"/>
        <w:spacing w:before="0" w:after="0"/>
        <w:jc w:val="both"/>
        <w:textAlignment w:val="baseline"/>
        <w:rPr>
          <w:color w:val="0070C0"/>
          <w:sz w:val="16"/>
          <w:szCs w:val="16"/>
        </w:rPr>
      </w:pPr>
    </w:p>
    <w:p w14:paraId="21DB39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года в проведенных боях 502, 503 и 507-го огнеметных батальонов выяснилось сле- дуюшее:</w:t>
      </w:r>
    </w:p>
    <w:p w14:paraId="722AA3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"Огнеметы оправдали свое назначение и являются отличным средством для борьбы с контратакующей пехотой в лесисто-болотистой местности.</w:t>
      </w:r>
    </w:p>
    <w:p w14:paraId="68DD341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Практика показала, что в ночных условиях примененные огнеметы действуют ошеломляюще на противника. При атаке в ночь с 30 на 31 августа 1942 года в районе отметки 40,4 и на участке 24 гв. СД, немцы панически бежали, в ужасе срывая с себя не только верхнее обмундирование, но и белье.</w:t>
      </w:r>
    </w:p>
    <w:p w14:paraId="092367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всех огнеметных батальонах, действующих на Волховском фронте, применялись главным образом танки КВ-8. Танки ТО-34 применяли огнеметы очень редко, так как по заявлению механиков-водителей вести танк по полю боя, изрытому воронками, преодолевать инженерные препятствия, производить огнеметание механику-водителю невозможно» (12217).</w:t>
      </w:r>
    </w:p>
    <w:p w14:paraId="2E5359A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EA33E7F"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В августе 1942 года в 16 километрах от Сталинграда была собрана «Дора». По немецким данным, для нее в этой битве не было поставлено отдельных задач, но ее демонтаж и вывод были проведены ускоренными темпами. Оба орудия снова появились в 1943 г. в Рюгенсвальде, где произвели несколько тренировочных выстрелов. </w:t>
      </w:r>
      <w:r w:rsidRPr="00722885">
        <w:rPr>
          <w:i w:val="0"/>
          <w:iCs w:val="0"/>
          <w:color w:val="000000" w:themeColor="text1"/>
          <w:spacing w:val="0"/>
          <w:kern w:val="0"/>
          <w:position w:val="0"/>
          <w:sz w:val="16"/>
          <w:szCs w:val="16"/>
        </w:rPr>
        <w:lastRenderedPageBreak/>
        <w:t xml:space="preserve">С этого момента их пребывание стало загадкой. Кажется возможным, что «Густав» был отправлен в Ленинград </w:t>
      </w:r>
      <w:r w:rsidRPr="00722885">
        <w:rPr>
          <w:rStyle w:val="affff"/>
          <w:color w:val="000000" w:themeColor="text1"/>
          <w:spacing w:val="0"/>
          <w:kern w:val="0"/>
          <w:position w:val="0"/>
          <w:sz w:val="16"/>
          <w:szCs w:val="16"/>
        </w:rPr>
        <w:t>[О немецких железнодорожных артиллерийских установках, использовавшихся против блокадного Ленинграда, см. на стр. 332—335]</w:t>
      </w:r>
      <w:r w:rsidRPr="00722885">
        <w:rPr>
          <w:i w:val="0"/>
          <w:iCs w:val="0"/>
          <w:color w:val="000000" w:themeColor="text1"/>
          <w:spacing w:val="0"/>
          <w:kern w:val="0"/>
          <w:position w:val="0"/>
          <w:sz w:val="16"/>
          <w:szCs w:val="16"/>
        </w:rPr>
        <w:t xml:space="preserve"> , осада которого, правда, была снята еще до прибытия этого орудия...(11454).</w:t>
      </w:r>
    </w:p>
    <w:p w14:paraId="67A17E61" w14:textId="77777777" w:rsidR="00AE7191" w:rsidRPr="00722885" w:rsidRDefault="00AE7191" w:rsidP="00722885">
      <w:pPr>
        <w:pStyle w:val="afff2"/>
        <w:jc w:val="both"/>
        <w:rPr>
          <w:i w:val="0"/>
          <w:iCs w:val="0"/>
          <w:color w:val="000000" w:themeColor="text1"/>
          <w:spacing w:val="0"/>
          <w:kern w:val="0"/>
          <w:position w:val="0"/>
          <w:sz w:val="16"/>
          <w:szCs w:val="16"/>
        </w:rPr>
      </w:pPr>
    </w:p>
    <w:p w14:paraId="397A2CD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1942 Включение по приказу НКО в штат управления связи фронта дислопочтового отделения (четыре военнослужащих), а в штат отдела связи армии — дислопочтового отделения (два военнослужащих). Создание в ГУСКА дислопочтового отдела, позднее преобразованного в управление военно-полевой почты. Сформирование 11 отдельных батальонов связи резерва фронта и 19 отдельных батальонов связи резерва армий для организации и обеспечения связи от вспомогательных пунктов управления франтов и армий соответственно. Введение для обслуживания армейских тыловых частей и учреждений второй военно-почтовой станции (11072).</w:t>
      </w:r>
    </w:p>
    <w:p w14:paraId="1F166F7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ABF401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560B5321" w14:textId="77777777" w:rsidR="00AE7191" w:rsidRPr="00722885" w:rsidRDefault="00AE7191" w:rsidP="00722885">
      <w:pPr>
        <w:pStyle w:val="Iauiue"/>
        <w:jc w:val="both"/>
        <w:rPr>
          <w:iCs/>
          <w:color w:val="000000" w:themeColor="text1"/>
          <w:sz w:val="16"/>
          <w:szCs w:val="16"/>
        </w:rPr>
      </w:pPr>
    </w:p>
    <w:p w14:paraId="0B80F47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августа 1942 года летающие лодки 422-й эскадрильи королевских ВВС начали из Инвергордона в Шотландии регулярные рейсы в Россию. Они возили запчасти для "Харрикейнов", пока не возобновилось движение арктических конвоев (3457,127).</w:t>
      </w:r>
    </w:p>
    <w:p w14:paraId="6D2FBDD7" w14:textId="77777777" w:rsidR="00AE7191" w:rsidRPr="00722885" w:rsidRDefault="00AE7191" w:rsidP="00722885">
      <w:pPr>
        <w:pStyle w:val="Iauiue"/>
        <w:jc w:val="both"/>
        <w:rPr>
          <w:color w:val="000000" w:themeColor="text1"/>
          <w:sz w:val="16"/>
          <w:szCs w:val="16"/>
        </w:rPr>
      </w:pPr>
    </w:p>
    <w:p w14:paraId="5B92D2EC" w14:textId="77777777" w:rsidR="00995B1F" w:rsidRPr="00722885" w:rsidRDefault="00995B1F" w:rsidP="00722885">
      <w:pPr>
        <w:shd w:val="clear" w:color="auto" w:fill="FFFFFF"/>
        <w:spacing w:after="0" w:line="240" w:lineRule="auto"/>
        <w:jc w:val="both"/>
        <w:rPr>
          <w:rFonts w:ascii="Times New Roman" w:eastAsia="Times New Roman" w:hAnsi="Times New Roman"/>
          <w:iCs/>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В августе 1942 года состоялся визит в Москву британского премьер-министра Уинстона Черчилля (17691).</w:t>
      </w:r>
    </w:p>
    <w:p w14:paraId="2AB27E47" w14:textId="77777777" w:rsidR="00995B1F" w:rsidRPr="00722885" w:rsidRDefault="00995B1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CA33BC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D389D1A" w14:textId="77777777" w:rsidR="00AE7191" w:rsidRPr="00722885" w:rsidRDefault="00AE7191" w:rsidP="00722885">
      <w:pPr>
        <w:pStyle w:val="Iauiue"/>
        <w:jc w:val="both"/>
        <w:rPr>
          <w:iCs/>
          <w:color w:val="000000" w:themeColor="text1"/>
          <w:sz w:val="16"/>
          <w:szCs w:val="16"/>
        </w:rPr>
      </w:pPr>
    </w:p>
    <w:p w14:paraId="648D3217" w14:textId="77777777" w:rsidR="00D80B8A" w:rsidRPr="00722885" w:rsidRDefault="00D80B8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Август1942 Легкий крейсер ВМС США USS Cleveland (CL-55) проводит корабельные испытания первых зенитных боеприпасов с бесконтактным взрывателем Mark 32 («VT»), стреляя по беспилотным самолетам над Чесапикским заливом (20793).</w:t>
      </w:r>
    </w:p>
    <w:p w14:paraId="17C78735" w14:textId="77777777" w:rsidR="00D80B8A" w:rsidRPr="00722885" w:rsidRDefault="00D80B8A" w:rsidP="00722885">
      <w:pPr>
        <w:spacing w:after="0" w:line="240" w:lineRule="auto"/>
        <w:jc w:val="both"/>
        <w:rPr>
          <w:rFonts w:ascii="Times New Roman" w:hAnsi="Times New Roman"/>
          <w:color w:val="0070C0"/>
          <w:sz w:val="16"/>
          <w:szCs w:val="16"/>
        </w:rPr>
      </w:pPr>
    </w:p>
    <w:p w14:paraId="5C9AB07A" w14:textId="77777777" w:rsidR="00D80B8A" w:rsidRPr="00722885" w:rsidRDefault="00D80B8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августе 1942 года на нескольких строевых самолетах «Ланкастер» Mk. I установили радиолокатор H2S и радионавигационно-бомбардировочную систему «Джи» (каплевидный обтекатель параболической антенны РЛС и открытый диполь навигационного приемника были размещены под хвостовой частью). Они значительно упрощали работу штурмана-лидера, что подтвердили успешные действия экипажей 83-й эскадрильи в налетах на Рур и Гамбург. В январе 1944 года, когда над всей Италией царила плохая погода, «галифаксы» с радарами и радионавигацией появились и в 462-й, а затем и в 178-й эскадрильях, обеспечивших своим целеуказанием массированную авиаподдержку новому наступлению Союзников на север Италии (22824).</w:t>
      </w:r>
    </w:p>
    <w:p w14:paraId="35712950" w14:textId="77777777" w:rsidR="00D80B8A" w:rsidRPr="00722885" w:rsidRDefault="00D80B8A" w:rsidP="00722885">
      <w:pPr>
        <w:spacing w:after="0" w:line="240" w:lineRule="auto"/>
        <w:jc w:val="both"/>
        <w:rPr>
          <w:rFonts w:ascii="Times New Roman" w:hAnsi="Times New Roman"/>
          <w:color w:val="0070C0"/>
          <w:sz w:val="16"/>
          <w:szCs w:val="16"/>
        </w:rPr>
      </w:pPr>
    </w:p>
    <w:p w14:paraId="514AB89B" w14:textId="77777777" w:rsidR="00D80B8A" w:rsidRPr="00722885" w:rsidRDefault="00D80B8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августе 1942 года новая модификация Ki49 пошла в серию под обозначением Ki49-IIa модель 2а. На два опытных Ki49 установили двигатели На109 по 1450 л.с., повысив скорость до 500 км/ч, все баки покрыли протектором, экипаж защитили броней, поставили новый бомбардировочный прицел. В начале 1943 года в серию пошел Ki49IIb, на котором все 7,92-мм пулеметы заменили на крупнокалиберные Но103. Этот самолет строился на фирме «Накадзима» до 1944 года, всего эта фирма сдала 667 таких самолетов, еще 50 сделал Арсенал ВВС в Тачикаве. Выпуск их готовила и небольшая фирма «Манею Хикоки», но такой сложный самолет оказался ей «не по зубам». В марте 1943 года на испытания поступил Ki49-III со сверхмощными (2240 л.с.) опытными На117. До декабря сделали еще 5 таких бомбардировщиков, но нормально летать им мешали ненадежные двигатели — пускать их в строевую эксплуатацию было нельзя. Бомбардировщики Ki49-II были вполне современными, однако их ввод в бой пришелся на трудный период начала американского наступления, стратегической целью которого было возвращение контроля над Филиппинами, когда господство в воздухе уже прочно захватили «лайтнинги» и «уайлдкеты». Потому их быстро перестали использовать для ударных операций, переключив на решение задач дальней разведки и борьбы с подводными лодками. Единственным современным японским дальним бомбардировщиком весь 1942 год оставался флотский G4M (22842).</w:t>
      </w:r>
    </w:p>
    <w:p w14:paraId="3A98E448" w14:textId="77777777" w:rsidR="00D80B8A" w:rsidRPr="00722885" w:rsidRDefault="00D80B8A" w:rsidP="00722885">
      <w:pPr>
        <w:spacing w:after="0" w:line="240" w:lineRule="auto"/>
        <w:jc w:val="both"/>
        <w:rPr>
          <w:rFonts w:ascii="Times New Roman" w:hAnsi="Times New Roman"/>
          <w:color w:val="0070C0"/>
          <w:sz w:val="16"/>
          <w:szCs w:val="16"/>
        </w:rPr>
      </w:pPr>
    </w:p>
    <w:p w14:paraId="167A6D0F" w14:textId="77777777" w:rsidR="00D80B8A" w:rsidRPr="00722885" w:rsidRDefault="00D80B8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августе 1943 года первые самолеты модификации B-24H-FO, выполненной конструкторским бюро завода «Форд» в городе Уиллоу-Ран (Мичиган), пошли в строевые части. Начиная с блока B-24H-5-FO самолет комплектовался двигателями R-1830-65 такой же мощности, как и на предыдущих модификациях (по 1200 л.с. на взлете), но более надежными. На серии B-24H-20-FO бортовые установки поставили в шахматном порядке, чтобы стрелки не толкались спинами. Завод «Форд» в 1944 году при трехсменной работе вышел на режим сдачи одного четырехмоторного бомбардировщика каждые сто минут. Всего он построил 1780 самолетов В-24Н, еще 738 дало предприятие «Консолидейтед» в Форт-Уорсе и 582 — «Норт Америкен» в Далласе (оба — штат Техас). Но ВВС надо было намного больше ударных самолетов, и для удовлетворения возросших потребностей был проведен комплекс мероприятий по улучшению технологичности и снижению трудоемкости производства, результатом которого стала модификация B-24J, стоимость одного экземпляра которой удалось снизить до 297627$, что было существенно ниже цены B-17F (22865).</w:t>
      </w:r>
    </w:p>
    <w:p w14:paraId="71B69630" w14:textId="77777777" w:rsidR="00D80B8A" w:rsidRPr="00722885" w:rsidRDefault="00D80B8A" w:rsidP="00722885">
      <w:pPr>
        <w:spacing w:after="0" w:line="240" w:lineRule="auto"/>
        <w:jc w:val="both"/>
        <w:rPr>
          <w:rFonts w:ascii="Times New Roman" w:hAnsi="Times New Roman"/>
          <w:color w:val="0070C0"/>
          <w:sz w:val="16"/>
          <w:szCs w:val="16"/>
        </w:rPr>
      </w:pPr>
    </w:p>
    <w:p w14:paraId="04ACA30E" w14:textId="77777777" w:rsidR="00D80B8A" w:rsidRPr="00722885" w:rsidRDefault="00D80B8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августе 1943 года базовый завод «Консолидейтед» в СанДиего, Калифорния, сдал головной B-24J-1-CO, на котором прошла проверку упрощенная технология сборки, позволившая сократить цикл изготовления самолета. По ее результатам пришлось много чего менять, что вызвало некоторую задержку, но на рубеже 1944 года остальные 50 самолетов этого серийного блока все же сдали заказчику — и дело пошло. Производство стало намного более ритмичным, размер серий стабилизировался и достиг 50-ти машин, а с блока B-24J-145-CO — ста. Завершил выпуск B-24J в Сан-Диего блок B-24J-210-CO. Он не достраивался полностью, т.к. уже шли новые варианты самолета, а всего это базовое предприятие «Консолидейтед» сдало 2792 таких самолетов. Главным конструктивным отличием, внедренным на B-24J, была улучшенная в плане надежности и живучести топливная система, но боевая дальность по сравнению с машинами модификации D снизилась более чем на 1000 км.</w:t>
      </w:r>
    </w:p>
    <w:p w14:paraId="6DF80E0D" w14:textId="77777777" w:rsidR="00D80B8A" w:rsidRPr="00722885" w:rsidRDefault="00D80B8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Вслед за Сан-Диего этот вариант «либерейтора» пошел в серию на заводе в Форт-Уорсе. Трудности с поставкой комплектующих создали много проблем с организацией работы этого предприятия, и оно вышло на стабильную серию в 50 машин только к середине выпуска этой модификации, а по 100 — к концу контракта. Всего в Техасе построили 1558 «либерейторов» B-24J. В апреле 1944 года начал поставки B-24J завод «Форд», который построил их 1587 штук. В мае того же года первые аналогичные машины сдали «Норт Америкен» и «Дуглас» (город Тулса, Оклахома). Они выпустили 536 и 205 экземпляров B-24J соответственно (22865).</w:t>
      </w:r>
    </w:p>
    <w:p w14:paraId="603FEAE1" w14:textId="77777777" w:rsidR="00D80B8A" w:rsidRPr="00722885" w:rsidRDefault="00D80B8A" w:rsidP="00722885">
      <w:pPr>
        <w:spacing w:after="0" w:line="240" w:lineRule="auto"/>
        <w:jc w:val="both"/>
        <w:rPr>
          <w:rFonts w:ascii="Times New Roman" w:hAnsi="Times New Roman"/>
          <w:color w:val="0070C0"/>
          <w:sz w:val="16"/>
          <w:szCs w:val="16"/>
        </w:rPr>
      </w:pPr>
    </w:p>
    <w:p w14:paraId="0F2291C8" w14:textId="77777777" w:rsidR="00D80B8A" w:rsidRPr="00722885" w:rsidRDefault="00D80B8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августе 1942 канадскому государственному предприятию «Виктори Эйркрафт Ко», образованному для выпуска самолетов «Ланкастер» в Канаде, передали серийный «Ланкастер» I в качестве образца и в сентябре следующего года были готовы первые бомбардировщики «Ланкастер» В Mk.X с моторами Паккард «Мерлин» 38 и старыми нижними турелями F.N.64. Как и на самолетах английской постройки, эти установки вызывали нарекания экипажей, поэтому постепенно их перестали ставить, а на многих машинах место за бомбоотсеком занял радар H2S. По ходу выпуска на самолеты Mk.X появились моторы «Мерлин» 224 с новыми воздушными винтами и верхние турели «Мартин» с двумя пулеметами М-2 калибра 12,7 мм. Была улучшена прочность каркаса, что позволило повысить разрешенный взлетный вес. В полной комплектации завод «Виктори» до февраля 1945 года построил 300 таких самолетов для 6-й канадской авиагруппы RAF, а с апреля по август — еще 130 для вспомогательных частей ВВС стран Британского Содружества, но и им пришлось повоевать — против Японии на Тихом океане. Однако их участие в этой кампании было несравнимо с действиями против Германии в Европе. Англо-канадская авиапромышленность построила 6176 самолетов типа «Галифакс» и 7377 типа «Ланкастер» (хотя имеющиеся данные несколько противоречивы и в различных документах встречаются и другие цифры), большинство из них было выпущено именно в варианте тяжелого бомбардировщика. Преодоление проблемы дефицита комплектующих и наращивание их выпуска позволило вывести ночные бомбардировки Германии на качественно новый уровень уже в конце 1943 года (22866).</w:t>
      </w:r>
    </w:p>
    <w:p w14:paraId="3C3F698B" w14:textId="77777777" w:rsidR="00D80B8A" w:rsidRPr="00722885" w:rsidRDefault="00D80B8A" w:rsidP="00722885">
      <w:pPr>
        <w:spacing w:after="0" w:line="240" w:lineRule="auto"/>
        <w:jc w:val="both"/>
        <w:rPr>
          <w:rFonts w:ascii="Times New Roman" w:hAnsi="Times New Roman"/>
          <w:color w:val="0070C0"/>
          <w:sz w:val="16"/>
          <w:szCs w:val="16"/>
        </w:rPr>
      </w:pPr>
    </w:p>
    <w:p w14:paraId="67C0C2B3" w14:textId="77777777" w:rsidR="00D80B8A" w:rsidRPr="00722885" w:rsidRDefault="00D80B8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августа 1942 г. Авиация Императорского Флота Японии начала получать новый пикирующий бомбардировщик Аити D3A2. Однако был он лишь модификацией созданного еще до войны самолета D3A1 (23122).</w:t>
      </w:r>
    </w:p>
    <w:p w14:paraId="68FA389F" w14:textId="77777777" w:rsidR="00D80B8A" w:rsidRPr="00722885" w:rsidRDefault="00D80B8A" w:rsidP="00722885">
      <w:pPr>
        <w:spacing w:after="0" w:line="240" w:lineRule="auto"/>
        <w:jc w:val="both"/>
        <w:rPr>
          <w:rFonts w:ascii="Times New Roman" w:hAnsi="Times New Roman"/>
          <w:color w:val="0070C0"/>
          <w:sz w:val="16"/>
          <w:szCs w:val="16"/>
        </w:rPr>
      </w:pPr>
    </w:p>
    <w:p w14:paraId="3FEFD28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1942 было принято решение о начале серийного производства Фау-1 (2990).</w:t>
      </w:r>
    </w:p>
    <w:p w14:paraId="6E6D3879" w14:textId="77777777" w:rsidR="00AE7191" w:rsidRPr="00722885" w:rsidRDefault="00AE7191" w:rsidP="00722885">
      <w:pPr>
        <w:pStyle w:val="Iauiue"/>
        <w:jc w:val="both"/>
        <w:rPr>
          <w:color w:val="000000" w:themeColor="text1"/>
          <w:sz w:val="16"/>
          <w:szCs w:val="16"/>
        </w:rPr>
      </w:pPr>
    </w:p>
    <w:p w14:paraId="6F1C5E35" w14:textId="77777777" w:rsidR="00AE7191" w:rsidRPr="00722885" w:rsidRDefault="00AE7191"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августе 1942 г. в Италии для таранов британских кораблей в Средиземном море был переоборудован трехмоторный бомбардировщик SM.79 (11686).</w:t>
      </w:r>
    </w:p>
    <w:p w14:paraId="2E5718F5" w14:textId="77777777" w:rsidR="00AE7191" w:rsidRPr="00722885" w:rsidRDefault="00AE7191" w:rsidP="00722885">
      <w:pPr>
        <w:pStyle w:val="afffd"/>
        <w:widowControl/>
        <w:jc w:val="both"/>
        <w:rPr>
          <w:rFonts w:ascii="Times New Roman" w:hAnsi="Times New Roman" w:cs="Times New Roman"/>
          <w:color w:val="000000" w:themeColor="text1"/>
          <w:sz w:val="16"/>
          <w:szCs w:val="16"/>
        </w:rPr>
      </w:pPr>
    </w:p>
    <w:p w14:paraId="5E6532AA"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В августе 1942 года на заводах Круппа в Эссене был построен второй транспортер 800-мм орудия, который приобрел имя «Дора» в честь супруги руководителя конструкторского бюро Эриха Мюллера. Длина ствола «Густава»-«Доры» равнялась 40,6 калибра или 32 метрам, а лафет достигал высоты трехэтажного дома. Вес пушки — 1488 тонн. На боевой позиции основные части артсистемы «80 см К(Е)» устанавливались на специальной платформе, перемещавшейся по двум железнодорожным колеям, разнесенным по ширине на 6 метров. Горизонтальная наводка орудия осуществлялась путем его перемещения по железнодорожным кривым («усам») определенного радиуса. Снаряды для этих артустановок были двух типов: бетонобойный ве­ сом 7100 кг и фугасный весом 4800 кг и длиной 5,2 м. Бетонобойный снаряд пробивал бронеплиту толщиной 1 метр или железобетонное перекрытие толщиной 8 метров. В обычном земляном грунте снаряд достигал глубины 32 метров. Дальность стрельбы — до 48 километров. На производство одного выстрела артиллерийскому расчету требовалось 20 минут (11454).</w:t>
      </w:r>
    </w:p>
    <w:p w14:paraId="6B557E6B" w14:textId="77777777" w:rsidR="00AE7191" w:rsidRPr="00722885" w:rsidRDefault="00AE7191" w:rsidP="00722885">
      <w:pPr>
        <w:pStyle w:val="afff2"/>
        <w:jc w:val="both"/>
        <w:rPr>
          <w:i w:val="0"/>
          <w:iCs w:val="0"/>
          <w:color w:val="000000" w:themeColor="text1"/>
          <w:spacing w:val="0"/>
          <w:kern w:val="0"/>
          <w:position w:val="0"/>
          <w:sz w:val="16"/>
          <w:szCs w:val="16"/>
        </w:rPr>
      </w:pPr>
    </w:p>
    <w:p w14:paraId="49DFC6D5"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Авиапромышленность:</w:t>
      </w:r>
    </w:p>
    <w:p w14:paraId="28DBABE0" w14:textId="77777777" w:rsidR="00AE7191" w:rsidRPr="00722885" w:rsidRDefault="00AE7191" w:rsidP="00722885">
      <w:pPr>
        <w:pStyle w:val="Iauiue"/>
        <w:jc w:val="both"/>
        <w:rPr>
          <w:iCs/>
          <w:color w:val="000000" w:themeColor="text1"/>
          <w:sz w:val="16"/>
          <w:szCs w:val="16"/>
        </w:rPr>
      </w:pPr>
    </w:p>
    <w:p w14:paraId="0E5D89B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конце лета 1942 г. особо активно развернулась работа по совершенствованию яковлевских истребителей. Среди множества вопросов, которые стояли на повестке дня, отметим наиболее важные, направленные на:</w:t>
      </w:r>
    </w:p>
    <w:p w14:paraId="357812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усиление бронезащиты и отработки системы нейтрального газа:</w:t>
      </w:r>
    </w:p>
    <w:p w14:paraId="5A6CC7D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повышение качества металлизации и экранировки электрооборудования самолетов, что позволило бы улучшить радиосвязь;</w:t>
      </w:r>
    </w:p>
    <w:p w14:paraId="1A3AB5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облегчение и упрощение конструкции, с учетом требований военного времени;</w:t>
      </w:r>
    </w:p>
    <w:p w14:paraId="5948630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улучшение обзора передней и задней полусферы;</w:t>
      </w:r>
    </w:p>
    <w:p w14:paraId="490B79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разработку трудновоспламеняемого покрытия деревянных и полотняных частей самолета (4537).</w:t>
      </w:r>
    </w:p>
    <w:p w14:paraId="5843F689" w14:textId="77777777" w:rsidR="00AE7191" w:rsidRPr="00722885" w:rsidRDefault="00AE7191" w:rsidP="00722885">
      <w:pPr>
        <w:pStyle w:val="Iauiue"/>
        <w:jc w:val="both"/>
        <w:rPr>
          <w:color w:val="000000" w:themeColor="text1"/>
          <w:sz w:val="16"/>
          <w:szCs w:val="16"/>
        </w:rPr>
      </w:pPr>
    </w:p>
    <w:p w14:paraId="4255C275"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F11D06D" w14:textId="77777777" w:rsidR="00AE7191" w:rsidRPr="00722885" w:rsidRDefault="00AE7191" w:rsidP="00722885">
      <w:pPr>
        <w:pStyle w:val="Iauiue"/>
        <w:jc w:val="both"/>
        <w:rPr>
          <w:iCs/>
          <w:color w:val="000000" w:themeColor="text1"/>
          <w:sz w:val="16"/>
          <w:szCs w:val="16"/>
        </w:rPr>
      </w:pPr>
    </w:p>
    <w:p w14:paraId="1975E23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августа — сентября 1942 на аэродроме НИИ ВВС в Колъцово доводился и проходили заводские испытания Ил-2 М-82 адноместного, постройки завода № 381 28 авпреля 1942. Самолет летал с полной загрузкой горючим и маслом, безбомб и боеприпасов. Общий налет к 17 августа составил 6 ч 6 мин (8 полетов). В воздухе самолет вел себя устойчиво. Макси</w:t>
      </w:r>
      <w:r w:rsidRPr="00722885">
        <w:rPr>
          <w:rFonts w:ascii="Times New Roman" w:hAnsi="Times New Roman"/>
          <w:color w:val="000000" w:themeColor="text1"/>
          <w:sz w:val="16"/>
          <w:szCs w:val="16"/>
        </w:rPr>
        <w:softHyphen/>
        <w:t>мальная скорость у земли достигала 375 км/ч. Мотор работал хо</w:t>
      </w:r>
      <w:r w:rsidRPr="00722885">
        <w:rPr>
          <w:rFonts w:ascii="Times New Roman" w:hAnsi="Times New Roman"/>
          <w:color w:val="000000" w:themeColor="text1"/>
          <w:sz w:val="16"/>
          <w:szCs w:val="16"/>
        </w:rPr>
        <w:softHyphen/>
        <w:t>рошо. Однако после каждого полета появлялись трещины на сек</w:t>
      </w:r>
      <w:r w:rsidRPr="00722885">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722885">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722885">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722885">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5A73C16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5D058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течение августа-ноября 1942 г. завод № 24, проведя большую работу по доработке элемен</w:t>
      </w:r>
      <w:r w:rsidRPr="00722885">
        <w:rPr>
          <w:color w:val="000000" w:themeColor="text1"/>
          <w:sz w:val="16"/>
          <w:szCs w:val="16"/>
        </w:rPr>
        <w:softHyphen/>
        <w:t>тов конструкции мотора, сумел в целом устранить недостатки в работе мотора и успешно провести внутризаводские 150-часовые испытания на надежность работы его деталей. При этом взлетная мощность мотора составила ~ 1700 л.с. (на "чрезвычайном режиме" кратковре</w:t>
      </w:r>
      <w:r w:rsidRPr="00722885">
        <w:rPr>
          <w:color w:val="000000" w:themeColor="text1"/>
          <w:sz w:val="16"/>
          <w:szCs w:val="16"/>
        </w:rPr>
        <w:softHyphen/>
        <w:t>менно могла быть увеличена до 1760 л.с.). Время непрерывной работы мото</w:t>
      </w:r>
      <w:r w:rsidRPr="00722885">
        <w:rPr>
          <w:color w:val="000000" w:themeColor="text1"/>
          <w:sz w:val="16"/>
          <w:szCs w:val="16"/>
        </w:rPr>
        <w:softHyphen/>
        <w:t>ра на взлетном режиме устанавливалось не более 5 минут, а общая наработка за 100 часов эксплуатации - не более 3 часов 20 минут. Номинальная мощность мотора на расчетной высоте 750 м со</w:t>
      </w:r>
      <w:r w:rsidRPr="00722885">
        <w:rPr>
          <w:color w:val="000000" w:themeColor="text1"/>
          <w:sz w:val="16"/>
          <w:szCs w:val="16"/>
        </w:rPr>
        <w:softHyphen/>
        <w:t>ставила 1500 л. с. (6467).</w:t>
      </w:r>
    </w:p>
    <w:p w14:paraId="44F140C3" w14:textId="77777777" w:rsidR="00AE7191" w:rsidRPr="00722885" w:rsidRDefault="00AE7191" w:rsidP="00722885">
      <w:pPr>
        <w:pStyle w:val="Iauiue"/>
        <w:jc w:val="both"/>
        <w:rPr>
          <w:color w:val="000000" w:themeColor="text1"/>
          <w:sz w:val="16"/>
          <w:szCs w:val="16"/>
        </w:rPr>
      </w:pPr>
    </w:p>
    <w:p w14:paraId="5E5ECC90" w14:textId="77777777" w:rsidR="000D37D8" w:rsidRPr="00722885" w:rsidRDefault="000D37D8"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 xml:space="preserve">С этой целью командование ВВС РККА в августе-сентябре 1942 г. организовало несколько учебно-показательных воздушных боев Ил-2 с истребителями различных конструкций (как советских - Як-76 и Як-1, так и немецких - </w:t>
      </w:r>
      <w:r w:rsidRPr="00722885">
        <w:rPr>
          <w:rFonts w:ascii="Times New Roman" w:eastAsia="Times New Roman" w:hAnsi="Times New Roman"/>
          <w:color w:val="0070C0"/>
          <w:sz w:val="16"/>
          <w:szCs w:val="16"/>
          <w:lang w:val="en-US"/>
        </w:rPr>
        <w:t>Bf</w:t>
      </w:r>
      <w:r w:rsidRPr="00722885">
        <w:rPr>
          <w:rFonts w:ascii="Times New Roman" w:eastAsia="Times New Roman" w:hAnsi="Times New Roman"/>
          <w:color w:val="0070C0"/>
          <w:sz w:val="16"/>
          <w:szCs w:val="16"/>
        </w:rPr>
        <w:t xml:space="preserve"> 109</w:t>
      </w:r>
      <w:r w:rsidRPr="00722885">
        <w:rPr>
          <w:rFonts w:ascii="Times New Roman" w:eastAsia="Times New Roman" w:hAnsi="Times New Roman"/>
          <w:color w:val="0070C0"/>
          <w:sz w:val="16"/>
          <w:szCs w:val="16"/>
          <w:lang w:val="en-US"/>
        </w:rPr>
        <w:t>F</w:t>
      </w:r>
      <w:r w:rsidRPr="00722885">
        <w:rPr>
          <w:rFonts w:ascii="Times New Roman" w:eastAsia="Times New Roman" w:hAnsi="Times New Roman"/>
          <w:color w:val="0070C0"/>
          <w:sz w:val="16"/>
          <w:szCs w:val="16"/>
        </w:rPr>
        <w:t xml:space="preserve">), в которых было доказано, что истребитель на вираже вообще не может атаковать «Ил», так как радиус виража у него примерно в 2 раза больше, а время полного виража меньше, чем у штурмовика, почти в 1,5 раза. Резкий сброс штурмовиком скорости приводил к обязательному проскакиванию мессершмитта вперед штурмовика при атаке последнего сзади. Как следствие, </w:t>
      </w:r>
      <w:r w:rsidRPr="00722885">
        <w:rPr>
          <w:rFonts w:ascii="Times New Roman" w:eastAsia="Times New Roman" w:hAnsi="Times New Roman"/>
          <w:color w:val="0070C0"/>
          <w:sz w:val="16"/>
          <w:szCs w:val="16"/>
          <w:lang w:val="en-US"/>
        </w:rPr>
        <w:t>Bfl</w:t>
      </w:r>
      <w:r w:rsidRPr="00722885">
        <w:rPr>
          <w:rFonts w:ascii="Times New Roman" w:eastAsia="Times New Roman" w:hAnsi="Times New Roman"/>
          <w:color w:val="0070C0"/>
          <w:sz w:val="16"/>
          <w:szCs w:val="16"/>
        </w:rPr>
        <w:t>09 расстреливался пулеметно-пушечным огнем Ил-2.</w:t>
      </w:r>
    </w:p>
    <w:p w14:paraId="75DAA473" w14:textId="77777777" w:rsidR="000D37D8" w:rsidRPr="00722885" w:rsidRDefault="000D37D8"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Показательные воздушные бои, разработка рекомендаций по ведению воздушного боя на самолете Ил-2 с истребителями люфтваффе и, самое главное, усилия комсостава ВВС КА по внедрению в сознание летного состава штурмовых авиачастей веры в боевые возможности и уверенности в своих силах* вскоре сделали свое дело, и в анналах истории войны можно найти множество поучительных примеров успешного проведения воздушных боев штурмовиками с истребителями (20186).</w:t>
      </w:r>
    </w:p>
    <w:p w14:paraId="5FE3BE72" w14:textId="77777777" w:rsidR="000D37D8" w:rsidRPr="00722885" w:rsidRDefault="000D37D8" w:rsidP="00722885">
      <w:pPr>
        <w:shd w:val="clear" w:color="auto" w:fill="FFFFFF"/>
        <w:spacing w:after="0" w:line="240" w:lineRule="auto"/>
        <w:jc w:val="both"/>
        <w:rPr>
          <w:rFonts w:ascii="Times New Roman" w:hAnsi="Times New Roman"/>
          <w:color w:val="0070C0"/>
          <w:sz w:val="16"/>
          <w:szCs w:val="16"/>
        </w:rPr>
      </w:pPr>
    </w:p>
    <w:p w14:paraId="764E54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августе-сентябре 1942 г. немцы в полностью захватили господство в воздухе. Командированные на Сталин</w:t>
      </w:r>
      <w:r w:rsidRPr="00722885">
        <w:rPr>
          <w:rFonts w:ascii="Times New Roman" w:hAnsi="Times New Roman"/>
          <w:color w:val="000000" w:themeColor="text1"/>
          <w:sz w:val="16"/>
          <w:szCs w:val="16"/>
        </w:rPr>
        <w:softHyphen/>
        <w:t>градский и Донской фронты представители НИИ ВВС КА Аноприенко, Зайцев, Степанец в сентябре 1942 г. констатировали, что Як-1 и Як-7 с мотором М-105ПФ уступают немецким истребителям в скорости в опреде</w:t>
      </w:r>
      <w:r w:rsidRPr="00722885">
        <w:rPr>
          <w:rFonts w:ascii="Times New Roman" w:hAnsi="Times New Roman"/>
          <w:color w:val="000000" w:themeColor="text1"/>
          <w:sz w:val="16"/>
          <w:szCs w:val="16"/>
        </w:rPr>
        <w:softHyphen/>
        <w:t>ленных диапазонах высот, скороподъемности и верти</w:t>
      </w:r>
      <w:r w:rsidRPr="00722885">
        <w:rPr>
          <w:rFonts w:ascii="Times New Roman" w:hAnsi="Times New Roman"/>
          <w:color w:val="000000" w:themeColor="text1"/>
          <w:sz w:val="16"/>
          <w:szCs w:val="16"/>
        </w:rPr>
        <w:softHyphen/>
        <w:t>кальному маневру и способны вести с ними только оборонительные бои. Отмечалось слабое вооружение Як-1 и приводилось мнение фронтовых летчиков о том, что для успешного ведения воздушных боев в этих ус</w:t>
      </w:r>
      <w:r w:rsidRPr="00722885">
        <w:rPr>
          <w:rFonts w:ascii="Times New Roman" w:hAnsi="Times New Roman"/>
          <w:color w:val="000000" w:themeColor="text1"/>
          <w:sz w:val="16"/>
          <w:szCs w:val="16"/>
        </w:rPr>
        <w:softHyphen/>
        <w:t>ловиях необходимо иметь двойное превосходство сил. Это же относилось, правда в меньшей степени, и к истребителю Ла-5 (10667).</w:t>
      </w:r>
    </w:p>
    <w:p w14:paraId="360E8BA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71044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августе-сентябре 1942 г. прошел летные испытания Як-1 № 0868 с мотором М-105ПФ, переоборудованный по рекомендациям ЦАГИ в ЛИИ НКАП на основе результатов исследований, проведенных с 24 мая по 10 июня 1942 г. (с целью изыскания путей повышения эффективности водо- и маслорадиаторов) и с 20 по 26 июля 1942 г. (с целью изыскания путей увеличения скорости Як-1). Ведущий инженер исследований - А.И. Сильман (ведущий инженер по Як-1 1-й лаборатории ЦАГИ).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762D7DE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 водорадиатору:</w:t>
      </w:r>
    </w:p>
    <w:p w14:paraId="4A4542D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изменен профиль верхней передней стенки входной части туннеля;</w:t>
      </w:r>
    </w:p>
    <w:p w14:paraId="5E23210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увеличен ход регулирующей заслонки на 50 мм (до 350 мм);</w:t>
      </w:r>
    </w:p>
    <w:p w14:paraId="04B6F65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произведена герметизация туннеля.</w:t>
      </w:r>
    </w:p>
    <w:p w14:paraId="7A1537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 маслорадиатору:</w:t>
      </w:r>
    </w:p>
    <w:p w14:paraId="1B0115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13957FF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695AF7C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увеличен ход регулирующей заслонки на 80 мм (до 340 мм);</w:t>
      </w:r>
    </w:p>
    <w:p w14:paraId="61E161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произведена герметизация туннеля.</w:t>
      </w:r>
    </w:p>
    <w:p w14:paraId="1E73644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4BDBA6B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449815B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Установлен обтекатель-козырек на сдвижную часть фонаря кабины.</w:t>
      </w:r>
    </w:p>
    <w:p w14:paraId="198620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498AE4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706A3F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Як-1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370E49E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A35D87E" w14:textId="77777777" w:rsidR="005B1690" w:rsidRPr="00722885" w:rsidRDefault="005B1690" w:rsidP="00722885">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722885">
        <w:rPr>
          <w:rFonts w:ascii="Times New Roman" w:cs="Times New Roman"/>
          <w:color w:val="000000" w:themeColor="text1"/>
          <w:spacing w:val="0"/>
          <w:sz w:val="16"/>
          <w:szCs w:val="16"/>
        </w:rPr>
        <w:t>В течение августа-октября 1942 г совмест</w:t>
      </w:r>
      <w:r w:rsidRPr="00722885">
        <w:rPr>
          <w:rFonts w:ascii="Times New Roman" w:cs="Times New Roman"/>
          <w:color w:val="000000" w:themeColor="text1"/>
          <w:spacing w:val="0"/>
          <w:sz w:val="16"/>
          <w:szCs w:val="16"/>
        </w:rPr>
        <w:softHyphen/>
        <w:t>ными усилиями ЦНИИ-48, ВВА им. Н.Е. Жуков</w:t>
      </w:r>
      <w:r w:rsidRPr="00722885">
        <w:rPr>
          <w:rFonts w:ascii="Times New Roman" w:cs="Times New Roman"/>
          <w:color w:val="000000" w:themeColor="text1"/>
          <w:spacing w:val="0"/>
          <w:sz w:val="16"/>
          <w:szCs w:val="16"/>
        </w:rPr>
        <w:softHyphen/>
        <w:t>ского и завода № 289 был отработан и 17 ноя</w:t>
      </w:r>
      <w:r w:rsidRPr="00722885">
        <w:rPr>
          <w:rFonts w:ascii="Times New Roman" w:cs="Times New Roman"/>
          <w:color w:val="000000" w:themeColor="text1"/>
          <w:spacing w:val="0"/>
          <w:sz w:val="16"/>
          <w:szCs w:val="16"/>
        </w:rPr>
        <w:softHyphen/>
        <w:t>бря предъявлен в НИИ ВВС КА</w:t>
      </w:r>
      <w:r w:rsidRPr="00722885">
        <w:rPr>
          <w:rStyle w:val="aff6"/>
          <w:rFonts w:ascii="Times New Roman" w:eastAsia="Arial Narrow" w:hAnsi="Times New Roman" w:cs="Times New Roman"/>
          <w:i w:val="0"/>
          <w:color w:val="000000" w:themeColor="text1"/>
          <w:spacing w:val="0"/>
        </w:rPr>
        <w:t xml:space="preserve"> «комплектде</w:t>
      </w:r>
      <w:r w:rsidRPr="00722885">
        <w:rPr>
          <w:rStyle w:val="aff6"/>
          <w:rFonts w:ascii="Times New Roman" w:eastAsia="Arial Narrow" w:hAnsi="Times New Roman" w:cs="Times New Roman"/>
          <w:i w:val="0"/>
          <w:color w:val="000000" w:themeColor="text1"/>
          <w:spacing w:val="0"/>
        </w:rPr>
        <w:softHyphen/>
        <w:t>талей усиления существующей бронезащиты летчика самолета Як-1».</w:t>
      </w:r>
    </w:p>
    <w:p w14:paraId="3EBF2EBE" w14:textId="77777777" w:rsidR="005B1690" w:rsidRPr="00722885"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Непосредственно в самолете на бронеспинке смонтировали:</w:t>
      </w:r>
    </w:p>
    <w:p w14:paraId="4771081D" w14:textId="77777777" w:rsidR="005B1690" w:rsidRPr="00722885" w:rsidRDefault="005B1690"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«1) наголовник, крепящийся с помощью петель и болтов к противокапотажной раме;</w:t>
      </w:r>
    </w:p>
    <w:p w14:paraId="56511940" w14:textId="77777777" w:rsidR="005B1690" w:rsidRPr="00722885" w:rsidRDefault="005B1690"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2) детали защиты плеч и рук (правой и ле</w:t>
      </w:r>
      <w:r w:rsidRPr="00722885">
        <w:rPr>
          <w:rFonts w:ascii="Times New Roman" w:cs="Times New Roman"/>
          <w:color w:val="000000" w:themeColor="text1"/>
          <w:sz w:val="16"/>
          <w:szCs w:val="16"/>
        </w:rPr>
        <w:softHyphen/>
        <w:t>вой), крепящиеся болтами к спинке через име</w:t>
      </w:r>
      <w:r w:rsidRPr="00722885">
        <w:rPr>
          <w:rFonts w:ascii="Times New Roman" w:cs="Times New Roman"/>
          <w:color w:val="000000" w:themeColor="text1"/>
          <w:sz w:val="16"/>
          <w:szCs w:val="16"/>
        </w:rPr>
        <w:softHyphen/>
        <w:t>ющиеся на спинке отверстия для крепления подушки».</w:t>
      </w:r>
    </w:p>
    <w:p w14:paraId="0042887E" w14:textId="77777777" w:rsidR="005B1690" w:rsidRPr="00722885"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отличие от серийного варианта, предло</w:t>
      </w:r>
      <w:r w:rsidRPr="00722885">
        <w:rPr>
          <w:rFonts w:ascii="Times New Roman" w:cs="Times New Roman"/>
          <w:color w:val="000000" w:themeColor="text1"/>
          <w:spacing w:val="0"/>
          <w:sz w:val="16"/>
          <w:szCs w:val="16"/>
        </w:rPr>
        <w:softHyphen/>
        <w:t>женная схема расположения брони гаранти</w:t>
      </w:r>
      <w:r w:rsidRPr="00722885">
        <w:rPr>
          <w:rFonts w:ascii="Times New Roman" w:cs="Times New Roman"/>
          <w:color w:val="000000" w:themeColor="text1"/>
          <w:spacing w:val="0"/>
          <w:sz w:val="16"/>
          <w:szCs w:val="16"/>
        </w:rPr>
        <w:softHyphen/>
        <w:t>ровала защиту головы, плеч, обеих рук. Угло</w:t>
      </w:r>
      <w:r w:rsidRPr="00722885">
        <w:rPr>
          <w:rFonts w:ascii="Times New Roman" w:cs="Times New Roman"/>
          <w:color w:val="000000" w:themeColor="text1"/>
          <w:spacing w:val="0"/>
          <w:sz w:val="16"/>
          <w:szCs w:val="16"/>
        </w:rPr>
        <w:softHyphen/>
        <w:t>вая защита составляла:</w:t>
      </w:r>
      <w:r w:rsidRPr="00722885">
        <w:rPr>
          <w:rStyle w:val="aff6"/>
          <w:rFonts w:ascii="Times New Roman" w:eastAsia="Arial Narrow" w:hAnsi="Times New Roman" w:cs="Times New Roman"/>
          <w:i w:val="0"/>
          <w:color w:val="000000" w:themeColor="text1"/>
          <w:spacing w:val="0"/>
        </w:rPr>
        <w:t xml:space="preserve"> «При обстреле сверху сзади угол защиты головы 30'; при обстреле сбоку сзади угол защиты плеч и рук - 30°; при обстреле сбоку сзади угол защиты нижней ча</w:t>
      </w:r>
      <w:r w:rsidRPr="00722885">
        <w:rPr>
          <w:rStyle w:val="aff6"/>
          <w:rFonts w:ascii="Times New Roman" w:eastAsia="Arial Narrow" w:hAnsi="Times New Roman" w:cs="Times New Roman"/>
          <w:i w:val="0"/>
          <w:color w:val="000000" w:themeColor="text1"/>
          <w:spacing w:val="0"/>
        </w:rPr>
        <w:softHyphen/>
        <w:t>сти корпуса - 20°».</w:t>
      </w:r>
      <w:r w:rsidRPr="00722885">
        <w:rPr>
          <w:rFonts w:ascii="Times New Roman" w:cs="Times New Roman"/>
          <w:color w:val="000000" w:themeColor="text1"/>
          <w:spacing w:val="0"/>
          <w:sz w:val="16"/>
          <w:szCs w:val="16"/>
        </w:rPr>
        <w:t xml:space="preserve"> При этом дополнительные детали не мешали использованию в полете не</w:t>
      </w:r>
      <w:r w:rsidRPr="00722885">
        <w:rPr>
          <w:rFonts w:ascii="Times New Roman" w:cs="Times New Roman"/>
          <w:color w:val="000000" w:themeColor="text1"/>
          <w:spacing w:val="0"/>
          <w:sz w:val="16"/>
          <w:szCs w:val="16"/>
        </w:rPr>
        <w:softHyphen/>
        <w:t>обходимого оборудования, а площадь брони</w:t>
      </w:r>
      <w:r w:rsidRPr="00722885">
        <w:rPr>
          <w:rFonts w:ascii="Times New Roman" w:cs="Times New Roman"/>
          <w:color w:val="000000" w:themeColor="text1"/>
          <w:spacing w:val="0"/>
          <w:sz w:val="16"/>
          <w:szCs w:val="16"/>
        </w:rPr>
        <w:softHyphen/>
        <w:t>рования была минимально необходимой, что обеспечило небольшой их вес, равный всего 10,2 кг. Такие детали легко монтировались на самолете при имеющейся бронеспинке и мо</w:t>
      </w:r>
      <w:r w:rsidRPr="00722885">
        <w:rPr>
          <w:rFonts w:ascii="Times New Roman" w:cs="Times New Roman"/>
          <w:color w:val="000000" w:themeColor="text1"/>
          <w:spacing w:val="0"/>
          <w:sz w:val="16"/>
          <w:szCs w:val="16"/>
        </w:rPr>
        <w:softHyphen/>
        <w:t>гли быть установлены любой частью ВВС в по</w:t>
      </w:r>
      <w:r w:rsidRPr="00722885">
        <w:rPr>
          <w:rFonts w:ascii="Times New Roman" w:cs="Times New Roman"/>
          <w:color w:val="000000" w:themeColor="text1"/>
          <w:spacing w:val="0"/>
          <w:sz w:val="16"/>
          <w:szCs w:val="16"/>
        </w:rPr>
        <w:softHyphen/>
        <w:t>левых условиях.</w:t>
      </w:r>
    </w:p>
    <w:p w14:paraId="137AEDE4" w14:textId="77777777" w:rsidR="005B1690" w:rsidRPr="00722885"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Комиссия рекомендовала внедрить допол</w:t>
      </w:r>
      <w:r w:rsidRPr="00722885">
        <w:rPr>
          <w:rFonts w:ascii="Times New Roman" w:cs="Times New Roman"/>
          <w:color w:val="000000" w:themeColor="text1"/>
          <w:spacing w:val="0"/>
          <w:sz w:val="16"/>
          <w:szCs w:val="16"/>
        </w:rPr>
        <w:softHyphen/>
        <w:t>нительные детали к серийному изготовлению и установить их на находящиеся в эксплуатации самолеты Як-1 со стандартной бронеспинкой, а также изготовить опытные комплекты допол</w:t>
      </w:r>
      <w:r w:rsidRPr="00722885">
        <w:rPr>
          <w:rFonts w:ascii="Times New Roman" w:cs="Times New Roman"/>
          <w:color w:val="000000" w:themeColor="text1"/>
          <w:spacing w:val="0"/>
          <w:sz w:val="16"/>
          <w:szCs w:val="16"/>
        </w:rPr>
        <w:softHyphen/>
        <w:t>нительных деталей усиления бронезащиты на Як-7 и ЛаГГ-3.</w:t>
      </w:r>
    </w:p>
    <w:p w14:paraId="6E050C6F" w14:textId="77777777" w:rsidR="005B1690" w:rsidRPr="00722885" w:rsidRDefault="005B1690" w:rsidP="00722885">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722885">
        <w:rPr>
          <w:rFonts w:ascii="Times New Roman" w:cs="Times New Roman"/>
          <w:color w:val="000000" w:themeColor="text1"/>
          <w:spacing w:val="0"/>
          <w:sz w:val="16"/>
          <w:szCs w:val="16"/>
        </w:rPr>
        <w:t>Имея на руках положительное заключе</w:t>
      </w:r>
      <w:r w:rsidRPr="00722885">
        <w:rPr>
          <w:rFonts w:ascii="Times New Roman" w:cs="Times New Roman"/>
          <w:color w:val="000000" w:themeColor="text1"/>
          <w:spacing w:val="0"/>
          <w:sz w:val="16"/>
          <w:szCs w:val="16"/>
        </w:rPr>
        <w:softHyphen/>
        <w:t>ние комиссии, исполняющий обязанности директора ЦНИИ-48 военинженер 1-го ранга Н.П. Гречко 20 ноября обратился к генерал- лейтенанту А.К. Репину с предложением изго</w:t>
      </w:r>
      <w:r w:rsidRPr="00722885">
        <w:rPr>
          <w:rFonts w:ascii="Times New Roman" w:cs="Times New Roman"/>
          <w:color w:val="000000" w:themeColor="text1"/>
          <w:spacing w:val="0"/>
          <w:sz w:val="16"/>
          <w:szCs w:val="16"/>
        </w:rPr>
        <w:softHyphen/>
        <w:t>товить на заводе №125 НКАП опытную партию (100 комплектов) дополнительных деталей брони самолета Як-1 для проведения войско</w:t>
      </w:r>
      <w:r w:rsidRPr="00722885">
        <w:rPr>
          <w:rFonts w:ascii="Times New Roman" w:cs="Times New Roman"/>
          <w:color w:val="000000" w:themeColor="text1"/>
          <w:spacing w:val="0"/>
          <w:sz w:val="16"/>
          <w:szCs w:val="16"/>
        </w:rPr>
        <w:softHyphen/>
        <w:t>вых испытаний. Предполагалось, что испы</w:t>
      </w:r>
      <w:r w:rsidRPr="00722885">
        <w:rPr>
          <w:rFonts w:ascii="Times New Roman" w:cs="Times New Roman"/>
          <w:color w:val="000000" w:themeColor="text1"/>
          <w:spacing w:val="0"/>
          <w:sz w:val="16"/>
          <w:szCs w:val="16"/>
        </w:rPr>
        <w:softHyphen/>
        <w:t>тания позволят</w:t>
      </w:r>
      <w:r w:rsidRPr="00722885">
        <w:rPr>
          <w:rStyle w:val="aff6"/>
          <w:rFonts w:ascii="Times New Roman" w:eastAsia="Arial Narrow" w:hAnsi="Times New Roman" w:cs="Times New Roman"/>
          <w:i w:val="0"/>
          <w:color w:val="000000" w:themeColor="text1"/>
          <w:spacing w:val="0"/>
        </w:rPr>
        <w:t xml:space="preserve"> «разрешить вопрос о доста</w:t>
      </w:r>
      <w:r w:rsidRPr="00722885">
        <w:rPr>
          <w:rStyle w:val="aff6"/>
          <w:rFonts w:ascii="Times New Roman" w:eastAsia="Arial Narrow" w:hAnsi="Times New Roman" w:cs="Times New Roman"/>
          <w:i w:val="0"/>
          <w:color w:val="000000" w:themeColor="text1"/>
          <w:spacing w:val="0"/>
        </w:rPr>
        <w:softHyphen/>
        <w:t>точности бронирования»,</w:t>
      </w:r>
      <w:r w:rsidRPr="00722885">
        <w:rPr>
          <w:rFonts w:ascii="Times New Roman" w:cs="Times New Roman"/>
          <w:color w:val="000000" w:themeColor="text1"/>
          <w:spacing w:val="0"/>
          <w:sz w:val="16"/>
          <w:szCs w:val="16"/>
        </w:rPr>
        <w:t xml:space="preserve"> поскольку</w:t>
      </w:r>
      <w:r w:rsidRPr="00722885">
        <w:rPr>
          <w:rStyle w:val="aff6"/>
          <w:rFonts w:ascii="Times New Roman" w:eastAsia="Arial Narrow" w:hAnsi="Times New Roman" w:cs="Times New Roman"/>
          <w:i w:val="0"/>
          <w:color w:val="000000" w:themeColor="text1"/>
          <w:spacing w:val="0"/>
        </w:rPr>
        <w:t xml:space="preserve"> «вопрос с объемом бронирования на одноместных истребителях весьма сложен, так как необхо</w:t>
      </w:r>
      <w:r w:rsidRPr="00722885">
        <w:rPr>
          <w:rStyle w:val="aff6"/>
          <w:rFonts w:ascii="Times New Roman" w:eastAsia="Arial Narrow" w:hAnsi="Times New Roman" w:cs="Times New Roman"/>
          <w:i w:val="0"/>
          <w:color w:val="000000" w:themeColor="text1"/>
          <w:spacing w:val="0"/>
        </w:rPr>
        <w:softHyphen/>
        <w:t>димо при достаточно полном объеме защиты обеспечить одновременно хороший обзор и уложиться в минимальный вес».</w:t>
      </w:r>
    </w:p>
    <w:p w14:paraId="52BAE6E8" w14:textId="77777777" w:rsidR="005B1690" w:rsidRPr="00722885"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Несколько позже с предложенной допол</w:t>
      </w:r>
      <w:r w:rsidRPr="00722885">
        <w:rPr>
          <w:rFonts w:ascii="Times New Roman" w:cs="Times New Roman"/>
          <w:color w:val="000000" w:themeColor="text1"/>
          <w:spacing w:val="0"/>
          <w:sz w:val="16"/>
          <w:szCs w:val="16"/>
        </w:rPr>
        <w:softHyphen/>
        <w:t>нительной броней самолета Як-1 ознакомил</w:t>
      </w:r>
      <w:r w:rsidRPr="00722885">
        <w:rPr>
          <w:rFonts w:ascii="Times New Roman" w:cs="Times New Roman"/>
          <w:color w:val="000000" w:themeColor="text1"/>
          <w:spacing w:val="0"/>
          <w:sz w:val="16"/>
          <w:szCs w:val="16"/>
        </w:rPr>
        <w:softHyphen/>
        <w:t>ся летчик-испытатель НИИ ВВС подполковник К.А. Груздев. В докладной на имя генерала Ре</w:t>
      </w:r>
      <w:r w:rsidRPr="00722885">
        <w:rPr>
          <w:rFonts w:ascii="Times New Roman" w:cs="Times New Roman"/>
          <w:color w:val="000000" w:themeColor="text1"/>
          <w:spacing w:val="0"/>
          <w:sz w:val="16"/>
          <w:szCs w:val="16"/>
        </w:rPr>
        <w:softHyphen/>
        <w:t>пина от 30 ноября он указывал:</w:t>
      </w:r>
      <w:r w:rsidRPr="00722885">
        <w:rPr>
          <w:rStyle w:val="46"/>
          <w:rFonts w:ascii="Times New Roman" w:eastAsia="Trebuchet MS" w:cs="Times New Roman"/>
          <w:color w:val="000000" w:themeColor="text1"/>
          <w:spacing w:val="0"/>
          <w:sz w:val="16"/>
          <w:szCs w:val="16"/>
        </w:rPr>
        <w:t xml:space="preserve"> «На основании личного опыта воздушных боев на истребите</w:t>
      </w:r>
      <w:r w:rsidRPr="00722885">
        <w:rPr>
          <w:rStyle w:val="46"/>
          <w:rFonts w:ascii="Times New Roman" w:eastAsia="Trebuchet MS" w:cs="Times New Roman"/>
          <w:color w:val="000000" w:themeColor="text1"/>
          <w:spacing w:val="0"/>
          <w:sz w:val="16"/>
          <w:szCs w:val="16"/>
        </w:rPr>
        <w:softHyphen/>
        <w:t>лях, в том числе и на Як-1, с самолетами про</w:t>
      </w:r>
      <w:r w:rsidRPr="00722885">
        <w:rPr>
          <w:rStyle w:val="46"/>
          <w:rFonts w:ascii="Times New Roman" w:eastAsia="Trebuchet MS" w:cs="Times New Roman"/>
          <w:color w:val="000000" w:themeColor="text1"/>
          <w:spacing w:val="0"/>
          <w:sz w:val="16"/>
          <w:szCs w:val="16"/>
        </w:rPr>
        <w:softHyphen/>
        <w:t xml:space="preserve">тивника Ме-109, </w:t>
      </w:r>
      <w:r w:rsidRPr="00722885">
        <w:rPr>
          <w:rStyle w:val="46"/>
          <w:rFonts w:ascii="Times New Roman" w:eastAsia="Trebuchet MS" w:cs="Times New Roman"/>
          <w:color w:val="000000" w:themeColor="text1"/>
          <w:spacing w:val="0"/>
          <w:sz w:val="16"/>
          <w:szCs w:val="16"/>
        </w:rPr>
        <w:lastRenderedPageBreak/>
        <w:t>Ме-110, Ю-88, Ю-87, Хе-113, Хш-126идр., считаю бронезащиту рациональ</w:t>
      </w:r>
      <w:r w:rsidRPr="00722885">
        <w:rPr>
          <w:rStyle w:val="46"/>
          <w:rFonts w:ascii="Times New Roman" w:eastAsia="Trebuchet MS" w:cs="Times New Roman"/>
          <w:color w:val="000000" w:themeColor="text1"/>
          <w:spacing w:val="0"/>
          <w:sz w:val="16"/>
          <w:szCs w:val="16"/>
        </w:rPr>
        <w:softHyphen/>
        <w:t>ной, хорошо дополняющей объем существую</w:t>
      </w:r>
      <w:r w:rsidRPr="00722885">
        <w:rPr>
          <w:rStyle w:val="46"/>
          <w:rFonts w:ascii="Times New Roman" w:eastAsia="Trebuchet MS" w:cs="Times New Roman"/>
          <w:color w:val="000000" w:themeColor="text1"/>
          <w:spacing w:val="0"/>
          <w:sz w:val="16"/>
          <w:szCs w:val="16"/>
        </w:rPr>
        <w:softHyphen/>
        <w:t>щего бронирования на истребителях. Считаю необходимым немедленно внедрить в серий</w:t>
      </w:r>
      <w:r w:rsidRPr="00722885">
        <w:rPr>
          <w:rStyle w:val="46"/>
          <w:rFonts w:ascii="Times New Roman" w:eastAsia="Trebuchet MS" w:cs="Times New Roman"/>
          <w:color w:val="000000" w:themeColor="text1"/>
          <w:spacing w:val="0"/>
          <w:sz w:val="16"/>
          <w:szCs w:val="16"/>
        </w:rPr>
        <w:softHyphen/>
        <w:t>ное производство».</w:t>
      </w:r>
    </w:p>
    <w:p w14:paraId="67392394" w14:textId="77777777" w:rsidR="005B1690" w:rsidRPr="00722885"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Однако вопрос о внедрении в серию до</w:t>
      </w:r>
      <w:r w:rsidRPr="00722885">
        <w:rPr>
          <w:rFonts w:ascii="Times New Roman" w:cs="Times New Roman"/>
          <w:color w:val="000000" w:themeColor="text1"/>
          <w:spacing w:val="0"/>
          <w:sz w:val="16"/>
          <w:szCs w:val="16"/>
        </w:rPr>
        <w:softHyphen/>
        <w:t>полнительной брони летчика на Як-1, как, впрочем, и усиленных схем бронирования на других серийных самолетах ВВС КА, не был решен Наркоматом авиапромышленности ни в 1942 г., ни в 1943 г. По этому поводу замести</w:t>
      </w:r>
      <w:r w:rsidRPr="00722885">
        <w:rPr>
          <w:rFonts w:ascii="Times New Roman" w:cs="Times New Roman"/>
          <w:color w:val="000000" w:themeColor="text1"/>
          <w:spacing w:val="0"/>
          <w:sz w:val="16"/>
          <w:szCs w:val="16"/>
        </w:rPr>
        <w:softHyphen/>
        <w:t>тель командующего ВВС КА генерал-полков</w:t>
      </w:r>
      <w:r w:rsidRPr="00722885">
        <w:rPr>
          <w:rFonts w:ascii="Times New Roman" w:cs="Times New Roman"/>
          <w:color w:val="000000" w:themeColor="text1"/>
          <w:spacing w:val="0"/>
          <w:sz w:val="16"/>
          <w:szCs w:val="16"/>
        </w:rPr>
        <w:softHyphen/>
        <w:t>ник А.К. Репин дважды обращался к наркому авиапромышленности А.И. Шахурину (15778).</w:t>
      </w:r>
    </w:p>
    <w:p w14:paraId="1616C1AE" w14:textId="77777777" w:rsidR="005B1690" w:rsidRPr="00722885" w:rsidRDefault="005B1690" w:rsidP="00722885">
      <w:pPr>
        <w:pStyle w:val="45"/>
        <w:shd w:val="clear" w:color="auto" w:fill="auto"/>
        <w:spacing w:before="0" w:line="240" w:lineRule="auto"/>
        <w:jc w:val="both"/>
        <w:rPr>
          <w:rStyle w:val="4f0"/>
          <w:rFonts w:ascii="Times New Roman" w:hAnsi="Times New Roman" w:cs="Times New Roman"/>
          <w:i w:val="0"/>
          <w:color w:val="000000" w:themeColor="text1"/>
          <w:sz w:val="16"/>
          <w:szCs w:val="16"/>
        </w:rPr>
      </w:pPr>
    </w:p>
    <w:p w14:paraId="0210ECA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августа 1942 по декабрь 1943 Як-7Б М-105ПФ серийно выпускался на 153 заводе (с 22 по 50 серию) (65,90).</w:t>
      </w:r>
    </w:p>
    <w:p w14:paraId="5E549917" w14:textId="77777777" w:rsidR="00AE7191" w:rsidRPr="00722885" w:rsidRDefault="00AE7191" w:rsidP="00722885">
      <w:pPr>
        <w:pStyle w:val="Iauiue"/>
        <w:jc w:val="both"/>
        <w:rPr>
          <w:color w:val="000000" w:themeColor="text1"/>
          <w:sz w:val="16"/>
          <w:szCs w:val="16"/>
        </w:rPr>
      </w:pPr>
    </w:p>
    <w:p w14:paraId="6E81E4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августа по конец сентября 1942 проходили испытания Як-6 НББ (1022,170).</w:t>
      </w:r>
    </w:p>
    <w:p w14:paraId="0838DD60" w14:textId="77777777" w:rsidR="00AE7191" w:rsidRPr="00722885" w:rsidRDefault="00AE7191" w:rsidP="00722885">
      <w:pPr>
        <w:pStyle w:val="Iauiue"/>
        <w:jc w:val="both"/>
        <w:rPr>
          <w:color w:val="000000" w:themeColor="text1"/>
          <w:sz w:val="16"/>
          <w:szCs w:val="16"/>
        </w:rPr>
      </w:pPr>
    </w:p>
    <w:p w14:paraId="08916E0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 сен</w:t>
      </w:r>
      <w:r w:rsidRPr="00722885">
        <w:rPr>
          <w:rFonts w:ascii="Times New Roman" w:hAnsi="Times New Roman"/>
          <w:color w:val="000000" w:themeColor="text1"/>
          <w:sz w:val="16"/>
          <w:szCs w:val="16"/>
        </w:rPr>
        <w:softHyphen/>
        <w:t>тябре 1942 года опытный образец планера прошел испытания в г. Жу</w:t>
      </w:r>
      <w:r w:rsidRPr="00722885">
        <w:rPr>
          <w:rFonts w:ascii="Times New Roman" w:hAnsi="Times New Roman"/>
          <w:color w:val="000000" w:themeColor="text1"/>
          <w:sz w:val="16"/>
          <w:szCs w:val="16"/>
        </w:rPr>
        <w:softHyphen/>
        <w:t>ковский под Москвой в Летно-исследовательском институте (ЛИИ). Крылья планера с двухбалочным хвостовым оперением были выпол</w:t>
      </w:r>
      <w:r w:rsidRPr="00722885">
        <w:rPr>
          <w:rFonts w:ascii="Times New Roman" w:hAnsi="Times New Roman"/>
          <w:color w:val="000000" w:themeColor="text1"/>
          <w:sz w:val="16"/>
          <w:szCs w:val="16"/>
        </w:rPr>
        <w:softHyphen/>
        <w:t>нены по бипланной схеме. Эта конструкция навешивалась и крепилась на корпус танка Т-60. Планер имел длину фюзеляжа 12 м, размах крыльев 18 м, а площадь коробки крыльев - 86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Собственная масса планера составляла 2 т, полетная масса танка была доведена до 5,8 т, при этом по</w:t>
      </w:r>
      <w:r w:rsidRPr="00722885">
        <w:rPr>
          <w:rFonts w:ascii="Times New Roman" w:hAnsi="Times New Roman"/>
          <w:color w:val="000000" w:themeColor="text1"/>
          <w:sz w:val="16"/>
          <w:szCs w:val="16"/>
        </w:rPr>
        <w:softHyphen/>
        <w:t>лезная нагрузка на крыло составляла 90 кгс/м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Для снижения полетной массы танка с него были демонтированы: вооружение с боекомплектом, надгусеничные полки, фары и слита большая часть топлива. Экипаж планера КТ состоял из одного человека, который выполнял функции пилота, механика-водителя и стрелка. Управление планером в воздухе осуществлялось рулями и элеронами с места механика-водите</w:t>
      </w:r>
      <w:r w:rsidRPr="00722885">
        <w:rPr>
          <w:rFonts w:ascii="Times New Roman" w:hAnsi="Times New Roman"/>
          <w:color w:val="000000" w:themeColor="text1"/>
          <w:sz w:val="16"/>
          <w:szCs w:val="16"/>
        </w:rPr>
        <w:softHyphen/>
        <w:t>ля с помощью тросового привода. Для аэродинамической компенсации на рулях и элеронах были дополнительно установлены небольшие кры</w:t>
      </w:r>
      <w:r w:rsidRPr="00722885">
        <w:rPr>
          <w:rFonts w:ascii="Times New Roman" w:hAnsi="Times New Roman"/>
          <w:color w:val="000000" w:themeColor="text1"/>
          <w:sz w:val="16"/>
          <w:szCs w:val="16"/>
        </w:rPr>
        <w:softHyphen/>
        <w:t>лья. С целью удобства управления в полете танк дополнительно был оборудован зеркалами заднего и бокового видов. После приземления танка крыло отсоединялось пилотом с помощью специального приспо</w:t>
      </w:r>
      <w:r w:rsidRPr="00722885">
        <w:rPr>
          <w:rFonts w:ascii="Times New Roman" w:hAnsi="Times New Roman"/>
          <w:color w:val="000000" w:themeColor="text1"/>
          <w:sz w:val="16"/>
          <w:szCs w:val="16"/>
        </w:rPr>
        <w:softHyphen/>
        <w:t>собления без выхода из танка. При испытаниях опытного образца планера КТ для его буксирова-ния был использован бомбардировщик ТБ-3 с форсированными до 970 л.с. (713 кВт) двигателями АМ-34РН. Планером управлял извест</w:t>
      </w:r>
      <w:r w:rsidRPr="00722885">
        <w:rPr>
          <w:rFonts w:ascii="Times New Roman" w:hAnsi="Times New Roman"/>
          <w:color w:val="000000" w:themeColor="text1"/>
          <w:sz w:val="16"/>
          <w:szCs w:val="16"/>
        </w:rPr>
        <w:softHyphen/>
        <w:t>ный летчик-испытатель С.Н. Анохин. Из-за большой массы и малой об-текае-мости планера КТ, буксировка проходила при работе двигателей самолета на мощности близкой к максимальной. Скорость полета со</w:t>
      </w:r>
      <w:r w:rsidRPr="00722885">
        <w:rPr>
          <w:rFonts w:ascii="Times New Roman" w:hAnsi="Times New Roman"/>
          <w:color w:val="000000" w:themeColor="text1"/>
          <w:sz w:val="16"/>
          <w:szCs w:val="16"/>
        </w:rPr>
        <w:softHyphen/>
        <w:t>ставляла 130 км/ч, но скорость подъема все же оказалась недостаточной и самолет смог достичь лишь высоты 40 м, при этом температура воды в системе охлаждения двигателей самолета резко возросла, и из-за опас</w:t>
      </w:r>
      <w:r w:rsidRPr="00722885">
        <w:rPr>
          <w:rFonts w:ascii="Times New Roman" w:hAnsi="Times New Roman"/>
          <w:color w:val="000000" w:themeColor="text1"/>
          <w:sz w:val="16"/>
          <w:szCs w:val="16"/>
        </w:rPr>
        <w:softHyphen/>
        <w:t>ности их перегрева был произведен отцеп планера, который совершил посадку в районе подмосковного аэродрома Быково. После приземле</w:t>
      </w:r>
      <w:r w:rsidRPr="00722885">
        <w:rPr>
          <w:rFonts w:ascii="Times New Roman" w:hAnsi="Times New Roman"/>
          <w:color w:val="000000" w:themeColor="text1"/>
          <w:sz w:val="16"/>
          <w:szCs w:val="16"/>
        </w:rPr>
        <w:softHyphen/>
        <w:t>ния танк своим ходом прибыл на аэродром ЛИИ. Испытания показали, что при создании планера были допущены ошибки в расчетах его аэродинамических свойств и требуемой мощности двига</w:t>
      </w:r>
      <w:r w:rsidRPr="00722885">
        <w:rPr>
          <w:rFonts w:ascii="Times New Roman" w:hAnsi="Times New Roman"/>
          <w:color w:val="000000" w:themeColor="text1"/>
          <w:sz w:val="16"/>
          <w:szCs w:val="16"/>
        </w:rPr>
        <w:softHyphen/>
        <w:t>телей самолета-буксировщика (расчеты проводились без учета сопротив</w:t>
      </w:r>
      <w:r w:rsidRPr="00722885">
        <w:rPr>
          <w:rFonts w:ascii="Times New Roman" w:hAnsi="Times New Roman"/>
          <w:color w:val="000000" w:themeColor="text1"/>
          <w:sz w:val="16"/>
          <w:szCs w:val="16"/>
        </w:rPr>
        <w:softHyphen/>
        <w:t>ления тросов, соединявших бипланную коробку крьиа и оперения, гусе</w:t>
      </w:r>
      <w:r w:rsidRPr="00722885">
        <w:rPr>
          <w:rFonts w:ascii="Times New Roman" w:hAnsi="Times New Roman"/>
          <w:color w:val="000000" w:themeColor="text1"/>
          <w:sz w:val="16"/>
          <w:szCs w:val="16"/>
        </w:rPr>
        <w:softHyphen/>
        <w:t>ниц танка и др.), которые не позволили двигателям самолета ТБ-3 поднять планер на требуемую высоту, и усложнили управление им в полете. После проведения пробного полета дальнейшие работы были пре</w:t>
      </w:r>
      <w:r w:rsidRPr="00722885">
        <w:rPr>
          <w:rFonts w:ascii="Times New Roman" w:hAnsi="Times New Roman"/>
          <w:color w:val="000000" w:themeColor="text1"/>
          <w:sz w:val="16"/>
          <w:szCs w:val="16"/>
        </w:rPr>
        <w:softHyphen/>
        <w:t>кращены (10703).</w:t>
      </w:r>
    </w:p>
    <w:p w14:paraId="4E37380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76CEF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августе-сентябре 1942 года Анохин проводит испытания планера А-40, предназначенного для десантирования по воздуху лёгкого танка Т-60 методом буксировки за самолётом. Для этого к танку крепились крылья и хвостовое оперение. Было выполнено несколько подлётов и один полёт на буксире за самолётом ТБ-3. Однако мощности моторов ТБ-3 для длительной буксировки (даже со снятой башней танка) оказалось недостаточно, и лётчик П.А.Еремеев был вынужден произвести отцепку А-40. Анохин благополучно произвёл посадку на Быковском аэродроме (взлёт производился с аэродрома ЛИИ, расположенного примерно в 5 км от Быково). Испытания были прекращены (5996).</w:t>
      </w:r>
    </w:p>
    <w:p w14:paraId="691DD019" w14:textId="77777777" w:rsidR="00AE7191" w:rsidRPr="00722885" w:rsidRDefault="00AE7191" w:rsidP="00722885">
      <w:pPr>
        <w:pStyle w:val="Iauiue"/>
        <w:jc w:val="both"/>
        <w:rPr>
          <w:color w:val="000000" w:themeColor="text1"/>
          <w:sz w:val="16"/>
          <w:szCs w:val="16"/>
        </w:rPr>
      </w:pPr>
    </w:p>
    <w:p w14:paraId="37C54180"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августа-декабря 1942 года было изготовлено следующее количество установок: 31 установка М-8-М, из которых 11 опытных и 20 серийных, а также 2 опытные установки М-13-М.</w:t>
      </w:r>
    </w:p>
    <w:p w14:paraId="256E8CFD"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Установки были установлены:</w:t>
      </w:r>
    </w:p>
    <w:p w14:paraId="1D239650"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шт. М-8-М (опытн.) на катере БК-1125;</w:t>
      </w:r>
    </w:p>
    <w:p w14:paraId="794A2AB7"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шт. М-8-М (опытн.) на катерах ТК типа Я-5;</w:t>
      </w:r>
    </w:p>
    <w:p w14:paraId="2D559C67"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шт. М-8-М (опытн.) на катерах ТК типа Г-5;</w:t>
      </w:r>
    </w:p>
    <w:p w14:paraId="485DE0E0"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шт. М-8-М (серийн.) на катерах ТК типа Г-5;</w:t>
      </w:r>
    </w:p>
    <w:p w14:paraId="5488D9D3"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шт. М-8-М (серийн.) на катерах ТК типа Я-5;</w:t>
      </w:r>
    </w:p>
    <w:p w14:paraId="21195570"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шт. М-13-М (опытн.) на катерах типа БК-1124;</w:t>
      </w:r>
    </w:p>
    <w:p w14:paraId="63EF5EBC"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шт. М-8-М (серийн.) отправлены на зав.№340 для установки на катерах типа БК-1125 и типа ТК-Г-5;</w:t>
      </w:r>
    </w:p>
    <w:p w14:paraId="71124336"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шт. М-8-М (серийн.) отправлена на зав.№344 для установки на катере типа ТК Г-5;</w:t>
      </w:r>
    </w:p>
    <w:p w14:paraId="64A9648D" w14:textId="77777777" w:rsidR="007D7196" w:rsidRPr="00722885" w:rsidRDefault="007D71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шт. М-8-М (серийн.) отправлена на Краснознаменный Балтийский Флот (15982).</w:t>
      </w:r>
    </w:p>
    <w:p w14:paraId="518371D4" w14:textId="77777777" w:rsidR="007D7196" w:rsidRPr="00722885" w:rsidRDefault="007D7196" w:rsidP="00722885">
      <w:pPr>
        <w:spacing w:after="0" w:line="240" w:lineRule="auto"/>
        <w:jc w:val="both"/>
        <w:rPr>
          <w:rFonts w:ascii="Times New Roman" w:hAnsi="Times New Roman"/>
          <w:color w:val="000000" w:themeColor="text1"/>
          <w:sz w:val="16"/>
          <w:szCs w:val="16"/>
        </w:rPr>
      </w:pPr>
    </w:p>
    <w:p w14:paraId="3AB2AE7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3DC5DB4" w14:textId="77777777" w:rsidR="00AE7191" w:rsidRPr="00722885" w:rsidRDefault="00AE7191" w:rsidP="00722885">
      <w:pPr>
        <w:pStyle w:val="Iauiue"/>
        <w:jc w:val="both"/>
        <w:rPr>
          <w:iCs/>
          <w:color w:val="000000" w:themeColor="text1"/>
          <w:sz w:val="16"/>
          <w:szCs w:val="16"/>
        </w:rPr>
      </w:pPr>
    </w:p>
    <w:p w14:paraId="6803A4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 сентябре 1942 года 45-мм ПТП М-42 прошла полигонные и войсковые испытания. М-42 принята на вооружение под названием "45-мм ПТП обр. 1942 г." (3861).</w:t>
      </w:r>
    </w:p>
    <w:p w14:paraId="6EDDA5F9" w14:textId="77777777" w:rsidR="00AE7191" w:rsidRPr="00722885" w:rsidRDefault="00AE7191" w:rsidP="00722885">
      <w:pPr>
        <w:pStyle w:val="Iauiue"/>
        <w:jc w:val="both"/>
        <w:rPr>
          <w:color w:val="000000" w:themeColor="text1"/>
          <w:sz w:val="16"/>
          <w:szCs w:val="16"/>
        </w:rPr>
      </w:pPr>
    </w:p>
    <w:p w14:paraId="3BAF6A33" w14:textId="77777777" w:rsidR="000D37D8" w:rsidRPr="00722885" w:rsidRDefault="000D37D8"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В августе-сентябре 1942, несмотря на то, что производство Т-50, после начала эвакуации завода №174, прекратилось, эта машина всё еще находилась в планах ГАБТУ КА. Для начала, малые танки Т-30 и Т-60, производство которых налаживалось на заводе №37, ГАЗ им. Молотова и других, не являлись адекватной заменой Т-50. Во-вторых, база этой машины всё еще рассматривалась для САУ. Даже под самый конец 1941 года, когда было уже очевидно, что с машиной всё очень плохо, план на 1942 год составлял 1500 танков - 600 радийных и 900 линейных. Правда, если посмотреть на объемы заказов Т-60, цифра в 1500 танков выглядит слегка забавно. Кстати, в сентябре 1941 года заказ был еще больше - 5000 танков.</w:t>
      </w:r>
    </w:p>
    <w:p w14:paraId="5389E804" w14:textId="77777777" w:rsidR="000D37D8" w:rsidRPr="00722885" w:rsidRDefault="000D37D8"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Организовывать производство Т-50, помимо завода №174 в Чкалове (это была уже вторая площадка завода - сначала его увезли в Челябинск) , предполагалось в Барнауле и Кургане. Также в Барнауле предполагалось строить завод по выпуску дизельных моторов В-4. Наконец, в Омске организовали завод №173, подчинявшийся заводу №174. В общем-то, размах выпуска танка впечатляет. Также организовывалось и корпусное производство, включая завод №180 в Саратове. Шли работы по упрощению танка, а также модернизации его конструкции. В частности, выпущенные в Чкалове танки получали усиленные опорные катки. Существовал проект башни танка без командирской башенки. Самое же главное, что со скрипом, но выпуск танков в Чкалове начался. По состоянию на 23 декабря 1941 года военпредовский пробег прошло 9 танков, словно сдали 6 машин. Но уже тогда ощущался кризис о ряду узлов и агрегатов. Естественно, главной проблемой был мотор, но не хватало коробок передач. А еще был один момент, который, в истории Т-50, многие не учитывают. Главным смежником завода №174 на тот момент являлся ЧКЗ, которому и так хватало забот с КВ-1. В сложившейся ситуации надо было уже выбирать между КВ-1 и танком, который имел весьма туманные перспективы. Кроме того, уже имелся Т-60, а на производственных мощностях завода №173 было возможно выпускать что-то более существенное. Поэтому неудивительно, что 6 января 1942 года Сталин подписал постановление ГКО №1114сс "О прекращении производства танков Т-50 в связи с организацией производства танков Т-60 и о подготовке Омского паровозоремонтного завода к организации производства танков Т-34".</w:t>
      </w:r>
    </w:p>
    <w:p w14:paraId="6C96B1D9" w14:textId="77777777" w:rsidR="000D37D8" w:rsidRPr="00722885" w:rsidRDefault="000D37D8"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Формально Т-50 заменялся Т-60 с усиленной броней, по этому поводу Гинзбург разразился целым ворохом писем. Но они были уже бесполезными. Каких-то объективных причин оставлять Т-50 на производстве попросту не осталось. Завод №174 сдал 10 танков в декабре 1941 года, 8 в январе 1942 года, еще 5 в феврале и 2 в марте. Корпуса Т-50 позже завод №180 использовал для бронесаней. Что же касается чкаловских Т-50, а также трех ремонтных машин, то они попали в состав 488-го ОТБ. Батальон воевал на Северном Кавказе с октября 1942 года (21068).</w:t>
      </w:r>
    </w:p>
    <w:p w14:paraId="6C31CE36" w14:textId="77777777" w:rsidR="000D37D8" w:rsidRPr="00722885" w:rsidRDefault="000D37D8" w:rsidP="00722885">
      <w:pPr>
        <w:pStyle w:val="article-renderblock"/>
        <w:shd w:val="clear" w:color="auto" w:fill="FFFFFF"/>
        <w:spacing w:before="0" w:beforeAutospacing="0" w:after="0" w:afterAutospacing="0"/>
        <w:jc w:val="both"/>
        <w:rPr>
          <w:color w:val="0070C0"/>
          <w:sz w:val="16"/>
          <w:szCs w:val="16"/>
        </w:rPr>
      </w:pPr>
    </w:p>
    <w:p w14:paraId="4DC0DB89" w14:textId="77777777" w:rsidR="000D37D8" w:rsidRPr="00722885" w:rsidRDefault="000D37D8" w:rsidP="00722885">
      <w:pPr>
        <w:pStyle w:val="ae"/>
        <w:shd w:val="clear" w:color="auto" w:fill="FFFFFF"/>
        <w:spacing w:before="0" w:after="0"/>
        <w:jc w:val="both"/>
        <w:textAlignment w:val="baseline"/>
        <w:rPr>
          <w:color w:val="0070C0"/>
          <w:sz w:val="16"/>
          <w:szCs w:val="16"/>
        </w:rPr>
      </w:pPr>
      <w:r w:rsidRPr="00722885">
        <w:rPr>
          <w:color w:val="0070C0"/>
          <w:sz w:val="16"/>
          <w:szCs w:val="16"/>
        </w:rPr>
        <w:t>В августе и октябре 1942 года на Чебаркульском полигоне стрелкового вооружения РККА были проведены испытания с опытным образцом танка КВ-1К РО М-13 с различной длиной направляющих (2000, 1200, 1250 и 2400 мм). Испытания показали удовлетворительные результаты. Было установлено, что </w:t>
      </w:r>
      <w:r w:rsidRPr="00722885">
        <w:rPr>
          <w:color w:val="0070C0"/>
          <w:sz w:val="16"/>
          <w:szCs w:val="16"/>
          <w:bdr w:val="none" w:sz="0" w:space="0" w:color="auto" w:frame="1"/>
        </w:rPr>
        <w:t>«полученные данные по кучности и дальности почти не отличаются от табличных данных»</w:t>
      </w:r>
      <w:r w:rsidRPr="00722885">
        <w:rPr>
          <w:color w:val="0070C0"/>
          <w:sz w:val="16"/>
          <w:szCs w:val="16"/>
        </w:rPr>
        <w:t> для направляющих длиной 5000 мм. КАРС-1 (Короткая артиллерийская ракетная системы №1) была одобрена Главным управлением вооружения Гвардейских миномётных частей (ГУВ ГМЧ) РККА, которое рекомендовало принять её на вооружения танков КВ, но в связи с прекращением их производства установка не нашла применения (19941).</w:t>
      </w:r>
    </w:p>
    <w:p w14:paraId="7AB30297" w14:textId="77777777" w:rsidR="000D37D8" w:rsidRPr="00722885" w:rsidRDefault="000D37D8" w:rsidP="00722885">
      <w:pPr>
        <w:pStyle w:val="ae"/>
        <w:shd w:val="clear" w:color="auto" w:fill="FFFFFF"/>
        <w:spacing w:before="0" w:after="0"/>
        <w:jc w:val="both"/>
        <w:textAlignment w:val="baseline"/>
        <w:rPr>
          <w:color w:val="0070C0"/>
          <w:sz w:val="16"/>
          <w:szCs w:val="16"/>
        </w:rPr>
      </w:pPr>
    </w:p>
    <w:p w14:paraId="48352B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 и в октябре 1940 г. дизели В-2К для тяжелых танков были испытаны на установочной партии танков КВ. В результате увеличения частоты вращения от 1800 до 2000 об/мин и среднего эффективного давления от 6,5 до 7,0 кгс/см2 была достигнута мощность 600 л.с. (9023).</w:t>
      </w:r>
    </w:p>
    <w:p w14:paraId="3ACF08A0" w14:textId="77777777" w:rsidR="00AE7191" w:rsidRPr="00722885" w:rsidRDefault="00AE7191" w:rsidP="00722885">
      <w:pPr>
        <w:pStyle w:val="Iauiue"/>
        <w:jc w:val="both"/>
        <w:rPr>
          <w:color w:val="000000" w:themeColor="text1"/>
          <w:sz w:val="16"/>
          <w:szCs w:val="16"/>
        </w:rPr>
      </w:pPr>
    </w:p>
    <w:p w14:paraId="338AC5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C августа по декабрь 1942 ЧКЗ (директор -И. М. Зальцман, главный конструктор - Ж. Я. Котин) дали 1055 машин Т-34. (3862).</w:t>
      </w:r>
    </w:p>
    <w:p w14:paraId="6DD25375" w14:textId="77777777" w:rsidR="00AE7191" w:rsidRPr="00722885" w:rsidRDefault="00AE7191" w:rsidP="00722885">
      <w:pPr>
        <w:pStyle w:val="Iauiue"/>
        <w:jc w:val="both"/>
        <w:rPr>
          <w:color w:val="000000" w:themeColor="text1"/>
          <w:sz w:val="16"/>
          <w:szCs w:val="16"/>
        </w:rPr>
      </w:pPr>
    </w:p>
    <w:p w14:paraId="38D8AC7C"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августе - сентябре 1942 года конструкторы танковой группы конструкторского сектора отдела 300 завода № 38 под руководством инженера А. Чиркова разработали проекты двух мотоброневагонов МК-1 и МК-2 (МК - мотоброневагон Коломенский), направленные на рассмотрение управления бронепоездов ГБТУ Красной Армии в ноябре. В пояснительной записке конструкторы писали: </w:t>
      </w:r>
    </w:p>
    <w:p w14:paraId="6B5DE9FC"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«Применение бронепоездов с паровой тягой, как показал опыт текущих боевых операций, вполне себя оправдывает. Однако наряду с этим, все же, бронепоезда, снабженные паровозами, имеют некоторые недостатки, устранение которых является желательным. Эти недостатки заключаются в следующем: </w:t>
      </w:r>
    </w:p>
    <w:p w14:paraId="0CE659B1"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Единственными (современными) массовыми паровозами для бронепоездов могут служить паровозы серии О (с различными индексами). </w:t>
      </w:r>
    </w:p>
    <w:p w14:paraId="7C0B9990"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Эти паровозы приходится применять ввиду малых нагрузок на оси и возможности догрузки их весом бронировки. Кроме того, габариты этих паровозов сравнительно невелики. Все остальные распространенные паровозы нашей жд. сети мало подходят для бронепоездов, так как догрузка их весом бронировки сильно утяжеляет их, что вызывает ряд нежелательных последствий - трение осей, перенапряжение ряда ответственных деталей и т.п. Кроме того, габариты этих паровозов несколько велики, и это увеличивает их уязвимость для орудийного и ружейно-пулеметного огня. </w:t>
      </w:r>
    </w:p>
    <w:p w14:paraId="640F2757"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Для использования мощности паровоза О целесообразно придавать ему несколько боевых бронированных платформ, снабженных орудиями и пулеметами. Общий вес бронепоезда с паровозом серии О составляет около 500 тонн, поэтому при выходе из строя паровоза (а он наиболее уязвим, как было сказано выше, ввиду слабости бронировки), неизбежно следует выход из строя всего бронепоезда. </w:t>
      </w:r>
    </w:p>
    <w:p w14:paraId="34652287"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Ввиду большого числа отдельных единиц, составляющих бронепоезд (4-7 единицы), строительная стоимость его высока и промышленный выпуск бронепоездов этим существенно ограничен. </w:t>
      </w:r>
    </w:p>
    <w:p w14:paraId="26EA5A6E"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Низкая теплотехническая экономичность паровоза О не позволяет иметь достаточно большого безостановочного маршрута (по расходам воды и топлива). Особенно это ограничивает радиус действия бронепоездов при разрушении водоснабжения. </w:t>
      </w:r>
    </w:p>
    <w:p w14:paraId="079BE915"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Необходимые периодические промывки котлов от накипи существенно снижает степень использования бронепоездов. </w:t>
      </w:r>
    </w:p>
    <w:p w14:paraId="03498A2C"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Подготовка паровоза О к работе (из холодного состояния в горячее) требует нескольких часов. </w:t>
      </w:r>
    </w:p>
    <w:p w14:paraId="37466EA9"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сказанное приводит к заключению, что более эффективными боевыми единицами на железнодорожном транспорте могли бы явиться самодвижущиеся повозки, снабженные самостоятельными силовыми установками небольшой мощности и, одновременно с этим, достаточными огневыми средствами». </w:t>
      </w:r>
    </w:p>
    <w:p w14:paraId="24101779"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МК-1 представлял собой 50-тонную железнодорожную четырехосную платформу с корпусом из 45 и 60 мм (возле двигателя) брони. Вооружение состояло из двух 45-мм пушек спаренных с пулеметами ДТ в литых башнях танка Т-70, зенитной спаренной установки 20-мм пушки ТНШ и пулемета ДТ, двух бортовых ДТ и реактивной установки М-8-24 («Катюша»). </w:t>
      </w:r>
    </w:p>
    <w:p w14:paraId="186151C7"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качестве силовой установки использовался двигатель ГАЗ-203 с танка Т-70 мощностью 140 л.с. и трансмиссия с этой же боевой машины. Изменение состояло только в установке реверса на коробку перемены передач. Проведенные расчеты показывали, что максимальная скорость МК-1 с экипажем из 11 человек будет 85 км/ч, а с контрольными платформами - 70 км/ч. Запас горючего планировался в 900 л, что обеспечивало запас хода в 700 км.</w:t>
      </w:r>
    </w:p>
    <w:p w14:paraId="688B0A72"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Среди недостатков МК-1 конструкторы отмечали большой объем, занимаемый моторным агрегатом, воздуховодами и бензобаками: «Наличие бензина рядом с большими запасами снарядов и патронов создает несколько большую пожарную опасность. </w:t>
      </w:r>
    </w:p>
    <w:p w14:paraId="391C985F"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Представляется возможным это устранить путем выноса моторной группы и запасов горючего в отдельный также бронированный самодвижущийся вагон, играющий роль локомотива для одной прицепной бронепло-щадки. В этом случае такой самоходный бро-невагон может, в зависимости от боевой обстановки прицеплять к себе бронеплощадку от любого бронепоезда». </w:t>
      </w:r>
    </w:p>
    <w:p w14:paraId="190E5000"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устранения этого недостатка был разработан второй вариант мотоброневагона, получивший обозначение МК-2. Он состоял из двухосного моторного вагона специальной постройки массой 20-25 т и несамоходной бронированной платформы МК-2. Мотовагон защищался 45-35 мм броней, имел двигатель и трансмиссию от танка Т-70. Его вооружение состояло из 45-мм пушки и пулемета ДТ в башне от Т-70. К моторному вагону прицеплялась бронеплатформа, МК-2 имевшая такую же броню и вооружение, что и МК-1, но при этом зенитная установка переносилась в середину платформы, а на ее месте монтировалась башня танка Т-70. </w:t>
      </w:r>
    </w:p>
    <w:p w14:paraId="551FE185" w14:textId="77777777" w:rsidR="00240B8C" w:rsidRPr="00722885" w:rsidRDefault="00240B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Расчетная скорость самоходного мотобро-невагона МК-2 с бронеплощадкой МК-2 составляла 75 км/ч (с контрольными платформами 60 км/ч), запас горючего планировался в 900 л, что обеспечивало запас хода в 700 км (18626).</w:t>
      </w:r>
    </w:p>
    <w:p w14:paraId="431B9D22" w14:textId="77777777" w:rsidR="00240B8C" w:rsidRPr="00722885" w:rsidRDefault="00240B8C" w:rsidP="00722885">
      <w:pPr>
        <w:spacing w:after="0" w:line="240" w:lineRule="auto"/>
        <w:jc w:val="both"/>
        <w:rPr>
          <w:rFonts w:ascii="Times New Roman" w:hAnsi="Times New Roman"/>
          <w:color w:val="000000" w:themeColor="text1"/>
          <w:sz w:val="16"/>
          <w:szCs w:val="16"/>
        </w:rPr>
      </w:pPr>
    </w:p>
    <w:p w14:paraId="1567F7D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 ноябре 1942 испытания бронекорпусов танков Т-60, «Валентайн» и Т-34 показали, что бро</w:t>
      </w:r>
      <w:r w:rsidRPr="00722885">
        <w:rPr>
          <w:rFonts w:ascii="Times New Roman" w:hAnsi="Times New Roman"/>
          <w:color w:val="000000" w:themeColor="text1"/>
          <w:sz w:val="16"/>
          <w:szCs w:val="16"/>
        </w:rPr>
        <w:softHyphen/>
        <w:t>невая защита танка Т-60 недостаточна для применения указанного танка в бою против противника, вооруженного противотанковой артиллерией любого типа; броневая за</w:t>
      </w:r>
      <w:r w:rsidRPr="00722885">
        <w:rPr>
          <w:rFonts w:ascii="Times New Roman" w:hAnsi="Times New Roman"/>
          <w:color w:val="000000" w:themeColor="text1"/>
          <w:sz w:val="16"/>
          <w:szCs w:val="16"/>
        </w:rPr>
        <w:softHyphen/>
        <w:t>щита танка «валентайн» эффективна против бронебойного и подкалиберного 37-мм снаряда, а также бронебойного снаряда 50-мм противотанковой пушки РаК 38... Броневая же защита танка Т-34 от огня 37-мм и 50-мм немецких бро</w:t>
      </w:r>
      <w:r w:rsidRPr="00722885">
        <w:rPr>
          <w:rFonts w:ascii="Times New Roman" w:hAnsi="Times New Roman"/>
          <w:color w:val="000000" w:themeColor="text1"/>
          <w:sz w:val="16"/>
          <w:szCs w:val="16"/>
        </w:rPr>
        <w:softHyphen/>
        <w:t>небойных снарядов на дистанции свыше 300 м удовлетворительна. 50-мм подкалиберный же снаряд остается очень эффективным против брони Т-34 на всех дистанциях. «Не</w:t>
      </w:r>
      <w:r w:rsidRPr="00722885">
        <w:rPr>
          <w:rFonts w:ascii="Times New Roman" w:hAnsi="Times New Roman"/>
          <w:color w:val="000000" w:themeColor="text1"/>
          <w:sz w:val="16"/>
          <w:szCs w:val="16"/>
        </w:rPr>
        <w:softHyphen/>
        <w:t>обходимо срочно, не откладывая, разработать комплекс мер по усилению бронирования танка Т-34 против бронебойных подкалиберных катушечных боеприпасов» - звучало практи</w:t>
      </w:r>
      <w:r w:rsidRPr="00722885">
        <w:rPr>
          <w:rFonts w:ascii="Times New Roman" w:hAnsi="Times New Roman"/>
          <w:color w:val="000000" w:themeColor="text1"/>
          <w:sz w:val="16"/>
          <w:szCs w:val="16"/>
        </w:rPr>
        <w:softHyphen/>
        <w:t>чески во всех отчетах и рекомендациях того времени (11135).</w:t>
      </w:r>
    </w:p>
    <w:p w14:paraId="509AFE4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651A5644"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 сентябре 1942 г. для Т-70 были выра</w:t>
      </w:r>
      <w:r w:rsidRPr="00722885">
        <w:rPr>
          <w:rFonts w:ascii="Times New Roman" w:hAnsi="Times New Roman"/>
          <w:color w:val="000000" w:themeColor="text1"/>
          <w:sz w:val="16"/>
          <w:szCs w:val="16"/>
        </w:rPr>
        <w:softHyphen/>
        <w:t>ботаны новые ТТТ, призванные для дальнейшего улучше</w:t>
      </w:r>
      <w:r w:rsidRPr="00722885">
        <w:rPr>
          <w:rFonts w:ascii="Times New Roman" w:hAnsi="Times New Roman"/>
          <w:color w:val="000000" w:themeColor="text1"/>
          <w:sz w:val="16"/>
          <w:szCs w:val="16"/>
        </w:rPr>
        <w:softHyphen/>
        <w:t>ния его характеристик. И в частности, угол возвышения башенного оружия теперь должен был составлять не менее 65°, а также вы</w:t>
      </w:r>
      <w:r w:rsidRPr="00722885">
        <w:rPr>
          <w:rFonts w:ascii="Times New Roman" w:hAnsi="Times New Roman"/>
          <w:color w:val="000000" w:themeColor="text1"/>
          <w:sz w:val="16"/>
          <w:szCs w:val="16"/>
        </w:rPr>
        <w:softHyphen/>
        <w:t>двигалось требование на 20—30% увеличить мощность танкового орудия, улучшить защищенность башни... Все работы по совершенствованию Т-70 велись теперь под за</w:t>
      </w:r>
      <w:r w:rsidRPr="00722885">
        <w:rPr>
          <w:rFonts w:ascii="Times New Roman" w:hAnsi="Times New Roman"/>
          <w:color w:val="000000" w:themeColor="text1"/>
          <w:sz w:val="16"/>
          <w:szCs w:val="16"/>
        </w:rPr>
        <w:softHyphen/>
        <w:t>водским индексом «080». Главное внимание в работах конца 1942 г. уделялось созданию новой башни. Для обеспечения требуемых углов возвышения оружия она была приподнята на кольцевом «барбете», изготовленном из брони толщиной 40—45 мм. Чтобы установить новую башню на корпусе, два листа крыши корпуса были объединены таким образом, что де</w:t>
      </w:r>
      <w:r w:rsidRPr="00722885">
        <w:rPr>
          <w:rFonts w:ascii="Times New Roman" w:hAnsi="Times New Roman"/>
          <w:color w:val="000000" w:themeColor="text1"/>
          <w:sz w:val="16"/>
          <w:szCs w:val="16"/>
        </w:rPr>
        <w:softHyphen/>
        <w:t>монтаж двигательного агрегата теперь стал возможен только после снятия башни. Это ухудшало ремонтопри</w:t>
      </w:r>
      <w:r w:rsidRPr="00722885">
        <w:rPr>
          <w:rFonts w:ascii="Times New Roman" w:hAnsi="Times New Roman"/>
          <w:color w:val="000000" w:themeColor="text1"/>
          <w:sz w:val="16"/>
          <w:szCs w:val="16"/>
        </w:rPr>
        <w:softHyphen/>
        <w:t>годность танка, но иного выхода не было.</w:t>
      </w:r>
    </w:p>
    <w:p w14:paraId="3E6C526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 получил новую силовую установку ГАЗ-203Ф с двумя форсированными двигателями суммарной мощ</w:t>
      </w:r>
      <w:r w:rsidRPr="00722885">
        <w:rPr>
          <w:rFonts w:ascii="Times New Roman" w:hAnsi="Times New Roman"/>
          <w:color w:val="000000" w:themeColor="text1"/>
          <w:sz w:val="16"/>
          <w:szCs w:val="16"/>
        </w:rPr>
        <w:softHyphen/>
        <w:t>ностью 165-170 л.с. при частоте вращения 3600 об./мин. Емкость топливных баков танка «080» была доведена до 1440 л, при этом запас хода по шоссе достиг 300-320 км.</w:t>
      </w:r>
    </w:p>
    <w:p w14:paraId="5CA33D1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Поскольку силовая установка была взаимозаменяе</w:t>
      </w:r>
      <w:r w:rsidRPr="00722885">
        <w:rPr>
          <w:rFonts w:ascii="Times New Roman" w:hAnsi="Times New Roman"/>
          <w:color w:val="000000" w:themeColor="text1"/>
          <w:sz w:val="16"/>
          <w:szCs w:val="16"/>
        </w:rPr>
        <w:softHyphen/>
        <w:t>мой с силовой установкой танка Т-70М, то выдвигалось предположение, что первое время в серии будут строиться танки Т-80 с двигателем от Т-70М. Но в ходе испытаний двух первых опытных образцов танка «080», масса кото</w:t>
      </w:r>
      <w:r w:rsidRPr="00722885">
        <w:rPr>
          <w:rFonts w:ascii="Times New Roman" w:hAnsi="Times New Roman"/>
          <w:color w:val="000000" w:themeColor="text1"/>
          <w:sz w:val="16"/>
          <w:szCs w:val="16"/>
        </w:rPr>
        <w:softHyphen/>
        <w:t>рых выросла до 11,5 т, укомплектованных двигателями ГАЗ-203 и ГАЗ-203Ф, стало ясно, что подвижность танка с двигателем ГАЗ-203 на пересеченной местности стала плохой. Со старым двигателем и КПП танк «080» проиг</w:t>
      </w:r>
      <w:r w:rsidRPr="00722885">
        <w:rPr>
          <w:rFonts w:ascii="Times New Roman" w:hAnsi="Times New Roman"/>
          <w:color w:val="000000" w:themeColor="text1"/>
          <w:sz w:val="16"/>
          <w:szCs w:val="16"/>
        </w:rPr>
        <w:softHyphen/>
        <w:t>рал состязание не только Т-70 и Т-70М, но даже среднему Т-34. Двигатель ГАЗ-203 глох при попытке преодолеть крутые подъемы схода. Это было сочтено неприемлемым и потому от данной «панацеи» вскоре отказались (11!35).</w:t>
      </w:r>
    </w:p>
    <w:p w14:paraId="7D6BBA9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8E19915" w14:textId="77777777" w:rsidR="00FC56D8" w:rsidRPr="00722885" w:rsidRDefault="00FC56D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августе-сентябре 1942 года СКБ НКСП пополнилось работниками других приборостроительных заводов Москвы, а также демобилизованными из армии после ранения специалистами, в том числе прикомандированными к войскам ПВО М.Я. Шутовым, А.И. Васильевым, А.В. Куренковым (15736).</w:t>
      </w:r>
    </w:p>
    <w:p w14:paraId="71BA81E2" w14:textId="77777777" w:rsidR="00FC56D8" w:rsidRPr="00722885" w:rsidRDefault="00FC56D8" w:rsidP="00722885">
      <w:pPr>
        <w:spacing w:after="0" w:line="240" w:lineRule="auto"/>
        <w:jc w:val="both"/>
        <w:rPr>
          <w:rFonts w:ascii="Times New Roman" w:hAnsi="Times New Roman"/>
          <w:color w:val="000000" w:themeColor="text1"/>
          <w:sz w:val="16"/>
          <w:szCs w:val="16"/>
        </w:rPr>
      </w:pPr>
    </w:p>
    <w:p w14:paraId="1B15B1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августа 1942 по октябрь 1945 г. Военно-восстановительные отряды Нар</w:t>
      </w:r>
      <w:r w:rsidRPr="00722885">
        <w:rPr>
          <w:color w:val="000000" w:themeColor="text1"/>
          <w:sz w:val="16"/>
          <w:szCs w:val="16"/>
        </w:rPr>
        <w:softHyphen/>
        <w:t>комата речного флота подняли со дна рек 432 самоходных и 699 несамоходных судов. К концу войны на предприятиях речного флота бьшо введено в эксплуатацию 484 самоходных судна мощностью 36 тыс. л. с. и 602 несамоходных грузоподъемностью 106 тыс. т, а также 126 судов вспомогательного и технического флота и 18 земснарядов (3898).</w:t>
      </w:r>
    </w:p>
    <w:p w14:paraId="2A41225C" w14:textId="77777777" w:rsidR="00AE7191" w:rsidRPr="00722885" w:rsidRDefault="00AE7191" w:rsidP="00722885">
      <w:pPr>
        <w:pStyle w:val="Iauiue"/>
        <w:jc w:val="both"/>
        <w:rPr>
          <w:color w:val="000000" w:themeColor="text1"/>
          <w:sz w:val="16"/>
          <w:szCs w:val="16"/>
        </w:rPr>
      </w:pPr>
    </w:p>
    <w:p w14:paraId="1FCFEF6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71FFCF1" w14:textId="77777777" w:rsidR="00AE7191" w:rsidRPr="00722885" w:rsidRDefault="00AE7191" w:rsidP="00722885">
      <w:pPr>
        <w:pStyle w:val="Iauiue"/>
        <w:jc w:val="both"/>
        <w:rPr>
          <w:iCs/>
          <w:color w:val="000000" w:themeColor="text1"/>
          <w:sz w:val="16"/>
          <w:szCs w:val="16"/>
        </w:rPr>
      </w:pPr>
    </w:p>
    <w:p w14:paraId="713757B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августе-сентябре 1942 г. командование ВВС КА организова</w:t>
      </w:r>
      <w:r w:rsidRPr="00722885">
        <w:rPr>
          <w:color w:val="000000" w:themeColor="text1"/>
          <w:sz w:val="16"/>
          <w:szCs w:val="16"/>
        </w:rPr>
        <w:softHyphen/>
        <w:t>ло несколько учебно-показательных воз</w:t>
      </w:r>
      <w:r w:rsidRPr="00722885">
        <w:rPr>
          <w:color w:val="000000" w:themeColor="text1"/>
          <w:sz w:val="16"/>
          <w:szCs w:val="16"/>
        </w:rPr>
        <w:softHyphen/>
        <w:t>душных боев Ил-2 с истребителями различных конструкций (как советских -Як-76 и Як-1, так и немецких - Bf 109F), в которых было доказано, что истреби</w:t>
      </w:r>
      <w:r w:rsidRPr="00722885">
        <w:rPr>
          <w:color w:val="000000" w:themeColor="text1"/>
          <w:sz w:val="16"/>
          <w:szCs w:val="16"/>
        </w:rPr>
        <w:softHyphen/>
        <w:t>тель на вираже вообще не может атако</w:t>
      </w:r>
      <w:r w:rsidRPr="00722885">
        <w:rPr>
          <w:color w:val="000000" w:themeColor="text1"/>
          <w:sz w:val="16"/>
          <w:szCs w:val="16"/>
        </w:rPr>
        <w:softHyphen/>
        <w:t>вать "Ил", так как радиус виража у него примерно в 2 раза больше радиуса ви</w:t>
      </w:r>
      <w:r w:rsidRPr="00722885">
        <w:rPr>
          <w:color w:val="000000" w:themeColor="text1"/>
          <w:sz w:val="16"/>
          <w:szCs w:val="16"/>
        </w:rPr>
        <w:softHyphen/>
        <w:t>ража "ильюшина", а время полного ви</w:t>
      </w:r>
      <w:r w:rsidRPr="00722885">
        <w:rPr>
          <w:color w:val="000000" w:themeColor="text1"/>
          <w:sz w:val="16"/>
          <w:szCs w:val="16"/>
        </w:rPr>
        <w:softHyphen/>
        <w:t>ража меньше, чем у штурмовика, почти в 1,5 раза. Резкий сброс "Илом" скорос</w:t>
      </w:r>
      <w:r w:rsidRPr="00722885">
        <w:rPr>
          <w:color w:val="000000" w:themeColor="text1"/>
          <w:sz w:val="16"/>
          <w:szCs w:val="16"/>
        </w:rPr>
        <w:softHyphen/>
        <w:t>ти приводил к обязательному проскакиванию "мессершмитта" вперед штурмо</w:t>
      </w:r>
      <w:r w:rsidRPr="00722885">
        <w:rPr>
          <w:color w:val="000000" w:themeColor="text1"/>
          <w:sz w:val="16"/>
          <w:szCs w:val="16"/>
        </w:rPr>
        <w:softHyphen/>
        <w:t>вика при атаке последнего сзади. Как следствие, Bf 109 расстреливался пулеметно-пушечным огнем "ильюшина".</w:t>
      </w:r>
    </w:p>
    <w:p w14:paraId="732C90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этому времени наиболее решительные и передовые летчики-штурмовики в поисках путей снижения потерь "ильюшиных" от истре</w:t>
      </w:r>
      <w:r w:rsidRPr="00722885">
        <w:rPr>
          <w:color w:val="000000" w:themeColor="text1"/>
          <w:sz w:val="16"/>
          <w:szCs w:val="16"/>
        </w:rPr>
        <w:softHyphen/>
        <w:t>бителей Люфтваффе пришли к един</w:t>
      </w:r>
      <w:r w:rsidRPr="00722885">
        <w:rPr>
          <w:color w:val="000000" w:themeColor="text1"/>
          <w:sz w:val="16"/>
          <w:szCs w:val="16"/>
        </w:rPr>
        <w:softHyphen/>
        <w:t>ственно правильному выводу: Ил-2 мо</w:t>
      </w:r>
      <w:r w:rsidRPr="00722885">
        <w:rPr>
          <w:color w:val="000000" w:themeColor="text1"/>
          <w:sz w:val="16"/>
          <w:szCs w:val="16"/>
        </w:rPr>
        <w:softHyphen/>
        <w:t>жет и должен вести активный (индиви</w:t>
      </w:r>
      <w:r w:rsidRPr="00722885">
        <w:rPr>
          <w:color w:val="000000" w:themeColor="text1"/>
          <w:sz w:val="16"/>
          <w:szCs w:val="16"/>
        </w:rPr>
        <w:softHyphen/>
        <w:t>дуальный или групповой) воздушный бой с истребителями противника. Од</w:t>
      </w:r>
      <w:r w:rsidRPr="00722885">
        <w:rPr>
          <w:color w:val="000000" w:themeColor="text1"/>
          <w:sz w:val="16"/>
          <w:szCs w:val="16"/>
        </w:rPr>
        <w:softHyphen/>
        <w:t>нако "общественность" в это не верила -нужны были убедительные доказательства (6467).</w:t>
      </w:r>
    </w:p>
    <w:p w14:paraId="0FAC643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Оптимальным боевым приемом борь</w:t>
      </w:r>
      <w:r w:rsidRPr="00722885">
        <w:rPr>
          <w:color w:val="000000" w:themeColor="text1"/>
          <w:sz w:val="16"/>
          <w:szCs w:val="16"/>
        </w:rPr>
        <w:softHyphen/>
        <w:t>бы группы Ил-2 с истребителями Люфтваффе, как показали учебные бои, были "ножницы". Уходить из-под атаки Bf 109-го сзади летчикам "Илов" было целесо</w:t>
      </w:r>
      <w:r w:rsidRPr="00722885">
        <w:rPr>
          <w:color w:val="000000" w:themeColor="text1"/>
          <w:sz w:val="16"/>
          <w:szCs w:val="16"/>
        </w:rPr>
        <w:softHyphen/>
        <w:t>образно скольжением с креном 20</w:t>
      </w:r>
      <w:r w:rsidRPr="00722885">
        <w:rPr>
          <w:color w:val="000000" w:themeColor="text1"/>
          <w:sz w:val="16"/>
          <w:szCs w:val="16"/>
          <w:vertAlign w:val="superscript"/>
        </w:rPr>
        <w:t>е</w:t>
      </w:r>
      <w:r w:rsidRPr="00722885">
        <w:rPr>
          <w:color w:val="000000" w:themeColor="text1"/>
          <w:sz w:val="16"/>
          <w:szCs w:val="16"/>
        </w:rPr>
        <w:t>. В этом случае "мессер" лишался возмож</w:t>
      </w:r>
      <w:r w:rsidRPr="00722885">
        <w:rPr>
          <w:color w:val="000000" w:themeColor="text1"/>
          <w:sz w:val="16"/>
          <w:szCs w:val="16"/>
        </w:rPr>
        <w:softHyphen/>
        <w:t>ности вести по штурмовику прицельный огонь.</w:t>
      </w:r>
    </w:p>
    <w:p w14:paraId="638D26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качестве наилучшего боевого по</w:t>
      </w:r>
      <w:r w:rsidRPr="00722885">
        <w:rPr>
          <w:color w:val="000000" w:themeColor="text1"/>
          <w:sz w:val="16"/>
          <w:szCs w:val="16"/>
        </w:rPr>
        <w:softHyphen/>
        <w:t>рядка для группы из 6-8 Ил-2 предла</w:t>
      </w:r>
      <w:r w:rsidRPr="00722885">
        <w:rPr>
          <w:color w:val="000000" w:themeColor="text1"/>
          <w:sz w:val="16"/>
          <w:szCs w:val="16"/>
        </w:rPr>
        <w:softHyphen/>
        <w:t>гался "клин", близкий к "фронту", с ин</w:t>
      </w:r>
      <w:r w:rsidRPr="00722885">
        <w:rPr>
          <w:color w:val="000000" w:themeColor="text1"/>
          <w:sz w:val="16"/>
          <w:szCs w:val="16"/>
        </w:rPr>
        <w:softHyphen/>
        <w:t>тервалами между самолетами в паре 100-150 м, с дистанциями в парах в об</w:t>
      </w:r>
      <w:r w:rsidRPr="00722885">
        <w:rPr>
          <w:color w:val="000000" w:themeColor="text1"/>
          <w:sz w:val="16"/>
          <w:szCs w:val="16"/>
        </w:rPr>
        <w:softHyphen/>
        <w:t>щей группе не более 100 м и с интерва</w:t>
      </w:r>
      <w:r w:rsidRPr="00722885">
        <w:rPr>
          <w:color w:val="000000" w:themeColor="text1"/>
          <w:sz w:val="16"/>
          <w:szCs w:val="16"/>
        </w:rPr>
        <w:softHyphen/>
        <w:t>лами между парами - 150-200 м.</w:t>
      </w:r>
    </w:p>
    <w:p w14:paraId="3902A0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Такой боевой порядок вполне обес</w:t>
      </w:r>
      <w:r w:rsidRPr="00722885">
        <w:rPr>
          <w:color w:val="000000" w:themeColor="text1"/>
          <w:sz w:val="16"/>
          <w:szCs w:val="16"/>
        </w:rPr>
        <w:softHyphen/>
        <w:t>печивал ведущему группы хорошее на</w:t>
      </w:r>
      <w:r w:rsidRPr="00722885">
        <w:rPr>
          <w:color w:val="000000" w:themeColor="text1"/>
          <w:sz w:val="16"/>
          <w:szCs w:val="16"/>
        </w:rPr>
        <w:softHyphen/>
        <w:t>блюдение за группой, облегчал действия сопровождающих группу истребителей, а также маневр и взаимную огневую поддержку штурмовиков в группе в слу</w:t>
      </w:r>
      <w:r w:rsidRPr="00722885">
        <w:rPr>
          <w:color w:val="000000" w:themeColor="text1"/>
          <w:sz w:val="16"/>
          <w:szCs w:val="16"/>
        </w:rPr>
        <w:softHyphen/>
        <w:t>чае отражения атак истребителей про</w:t>
      </w:r>
      <w:r w:rsidRPr="00722885">
        <w:rPr>
          <w:color w:val="000000" w:themeColor="text1"/>
          <w:sz w:val="16"/>
          <w:szCs w:val="16"/>
        </w:rPr>
        <w:softHyphen/>
        <w:t>тивника.</w:t>
      </w:r>
    </w:p>
    <w:p w14:paraId="34E6643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Отражение атак противника при по</w:t>
      </w:r>
      <w:r w:rsidRPr="00722885">
        <w:rPr>
          <w:color w:val="000000" w:themeColor="text1"/>
          <w:sz w:val="16"/>
          <w:szCs w:val="16"/>
        </w:rPr>
        <w:softHyphen/>
        <w:t>лете над территорией противника ре</w:t>
      </w:r>
      <w:r w:rsidRPr="00722885">
        <w:rPr>
          <w:color w:val="000000" w:themeColor="text1"/>
          <w:sz w:val="16"/>
          <w:szCs w:val="16"/>
        </w:rPr>
        <w:softHyphen/>
        <w:t>комендовалось производить путем соче</w:t>
      </w:r>
      <w:r w:rsidRPr="00722885">
        <w:rPr>
          <w:color w:val="000000" w:themeColor="text1"/>
          <w:sz w:val="16"/>
          <w:szCs w:val="16"/>
        </w:rPr>
        <w:softHyphen/>
        <w:t>тания лобовых атак с маневрировани</w:t>
      </w:r>
      <w:r w:rsidRPr="00722885">
        <w:rPr>
          <w:color w:val="000000" w:themeColor="text1"/>
          <w:sz w:val="16"/>
          <w:szCs w:val="16"/>
        </w:rPr>
        <w:softHyphen/>
        <w:t>ем по горизонту, сохраняя общий строй и курс.</w:t>
      </w:r>
    </w:p>
    <w:p w14:paraId="059FAA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При атаке истребителей противника над своей территорией группе штурмо</w:t>
      </w:r>
      <w:r w:rsidRPr="00722885">
        <w:rPr>
          <w:color w:val="000000" w:themeColor="text1"/>
          <w:sz w:val="16"/>
          <w:szCs w:val="16"/>
        </w:rPr>
        <w:softHyphen/>
        <w:t>виков рекомендовалось встать в оборо</w:t>
      </w:r>
      <w:r w:rsidRPr="00722885">
        <w:rPr>
          <w:color w:val="000000" w:themeColor="text1"/>
          <w:sz w:val="16"/>
          <w:szCs w:val="16"/>
        </w:rPr>
        <w:softHyphen/>
        <w:t>нительный "круг". С этой целью веду</w:t>
      </w:r>
      <w:r w:rsidRPr="00722885">
        <w:rPr>
          <w:color w:val="000000" w:themeColor="text1"/>
          <w:sz w:val="16"/>
          <w:szCs w:val="16"/>
        </w:rPr>
        <w:softHyphen/>
        <w:t>щий должен был подать по радио ко</w:t>
      </w:r>
      <w:r w:rsidRPr="00722885">
        <w:rPr>
          <w:color w:val="000000" w:themeColor="text1"/>
          <w:sz w:val="16"/>
          <w:szCs w:val="16"/>
        </w:rPr>
        <w:softHyphen/>
        <w:t>манду "Вираж влево" или "Вираж впра</w:t>
      </w:r>
      <w:r w:rsidRPr="00722885">
        <w:rPr>
          <w:color w:val="000000" w:themeColor="text1"/>
          <w:sz w:val="16"/>
          <w:szCs w:val="16"/>
        </w:rPr>
        <w:softHyphen/>
        <w:t>во". Разворот всегда производился в сторону противника. При этом внутрен</w:t>
      </w:r>
      <w:r w:rsidRPr="00722885">
        <w:rPr>
          <w:color w:val="000000" w:themeColor="text1"/>
          <w:sz w:val="16"/>
          <w:szCs w:val="16"/>
        </w:rPr>
        <w:softHyphen/>
        <w:t>ние пары делали разворот, становясь в хвост друг другу, а внешняя пара (ведо</w:t>
      </w:r>
      <w:r w:rsidRPr="00722885">
        <w:rPr>
          <w:color w:val="000000" w:themeColor="text1"/>
          <w:sz w:val="16"/>
          <w:szCs w:val="16"/>
        </w:rPr>
        <w:softHyphen/>
        <w:t>мая) делала разворот и шла в паре, пока не замкнется общий круг. Для построе</w:t>
      </w:r>
      <w:r w:rsidRPr="00722885">
        <w:rPr>
          <w:color w:val="000000" w:themeColor="text1"/>
          <w:sz w:val="16"/>
          <w:szCs w:val="16"/>
        </w:rPr>
        <w:softHyphen/>
        <w:t>ния эффективного "круга" число само</w:t>
      </w:r>
      <w:r w:rsidRPr="00722885">
        <w:rPr>
          <w:color w:val="000000" w:themeColor="text1"/>
          <w:sz w:val="16"/>
          <w:szCs w:val="16"/>
        </w:rPr>
        <w:softHyphen/>
        <w:t>летов Ил-2 в группе, как показал боевой опыт, должно было быть не менее 6. Дистанция между самолетами в круге -150-200 м, высота полета - не ниже 300 м, крены при развороте - от 15° до 40°.</w:t>
      </w:r>
    </w:p>
    <w:p w14:paraId="595E1C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Каждый из экипажей, находясь в "кру</w:t>
      </w:r>
      <w:r w:rsidRPr="00722885">
        <w:rPr>
          <w:color w:val="000000" w:themeColor="text1"/>
          <w:sz w:val="16"/>
          <w:szCs w:val="16"/>
        </w:rPr>
        <w:softHyphen/>
        <w:t>гу", нес полную ответственность за за</w:t>
      </w:r>
      <w:r w:rsidRPr="00722885">
        <w:rPr>
          <w:color w:val="000000" w:themeColor="text1"/>
          <w:sz w:val="16"/>
          <w:szCs w:val="16"/>
        </w:rPr>
        <w:softHyphen/>
        <w:t>щиту впередиидущего самолета и не имел права оставлять своего места. Эки</w:t>
      </w:r>
      <w:r w:rsidRPr="00722885">
        <w:rPr>
          <w:color w:val="000000" w:themeColor="text1"/>
          <w:sz w:val="16"/>
          <w:szCs w:val="16"/>
        </w:rPr>
        <w:softHyphen/>
        <w:t>пажи имели право и были обязаны в целях отражения атак истребителей ма</w:t>
      </w:r>
      <w:r w:rsidRPr="00722885">
        <w:rPr>
          <w:color w:val="000000" w:themeColor="text1"/>
          <w:sz w:val="16"/>
          <w:szCs w:val="16"/>
        </w:rPr>
        <w:softHyphen/>
        <w:t>неврировать по горизонту разворотами влево и вправо до 45°, а по вертикали кабрированием и планированием под углом до 30°.</w:t>
      </w:r>
    </w:p>
    <w:p w14:paraId="0A8075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тех случаях, когда штурмовики при</w:t>
      </w:r>
      <w:r w:rsidRPr="00722885">
        <w:rPr>
          <w:color w:val="000000" w:themeColor="text1"/>
          <w:sz w:val="16"/>
          <w:szCs w:val="16"/>
        </w:rPr>
        <w:softHyphen/>
        <w:t>крывались своими истребителями, обо</w:t>
      </w:r>
      <w:r w:rsidRPr="00722885">
        <w:rPr>
          <w:color w:val="000000" w:themeColor="text1"/>
          <w:sz w:val="16"/>
          <w:szCs w:val="16"/>
        </w:rPr>
        <w:softHyphen/>
        <w:t>ронительный "круг" строился ниже ис</w:t>
      </w:r>
      <w:r w:rsidRPr="00722885">
        <w:rPr>
          <w:color w:val="000000" w:themeColor="text1"/>
          <w:sz w:val="16"/>
          <w:szCs w:val="16"/>
        </w:rPr>
        <w:softHyphen/>
        <w:t>требителей на 400-500 м, образуя ниж</w:t>
      </w:r>
      <w:r w:rsidRPr="00722885">
        <w:rPr>
          <w:color w:val="000000" w:themeColor="text1"/>
          <w:sz w:val="16"/>
          <w:szCs w:val="16"/>
        </w:rPr>
        <w:softHyphen/>
        <w:t>ний ярус, что создавало условия для хо</w:t>
      </w:r>
      <w:r w:rsidRPr="00722885">
        <w:rPr>
          <w:color w:val="000000" w:themeColor="text1"/>
          <w:sz w:val="16"/>
          <w:szCs w:val="16"/>
        </w:rPr>
        <w:softHyphen/>
        <w:t>рошего взаимодействия между истре</w:t>
      </w:r>
      <w:r w:rsidRPr="00722885">
        <w:rPr>
          <w:color w:val="000000" w:themeColor="text1"/>
          <w:sz w:val="16"/>
          <w:szCs w:val="16"/>
        </w:rPr>
        <w:softHyphen/>
        <w:t>бителями прикрытия и штурмовиками.</w:t>
      </w:r>
    </w:p>
    <w:p w14:paraId="7D1EA06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лучшего ведения воздушного боя, а также для успешного взаимодействия с истребителями прикрытия в каждом полете от командиров полков и групп требовалась организация надежной двухсторонней радиосвязи между штур</w:t>
      </w:r>
      <w:r w:rsidRPr="00722885">
        <w:rPr>
          <w:color w:val="000000" w:themeColor="text1"/>
          <w:sz w:val="16"/>
          <w:szCs w:val="16"/>
        </w:rPr>
        <w:softHyphen/>
        <w:t>мовиками и истребителями прикрытия.</w:t>
      </w:r>
    </w:p>
    <w:p w14:paraId="1AFCFA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Показательные воздушные бои, раз</w:t>
      </w:r>
      <w:r w:rsidRPr="00722885">
        <w:rPr>
          <w:color w:val="000000" w:themeColor="text1"/>
          <w:sz w:val="16"/>
          <w:szCs w:val="16"/>
        </w:rPr>
        <w:softHyphen/>
        <w:t>работка рекомендаций по ведению воз</w:t>
      </w:r>
      <w:r w:rsidRPr="00722885">
        <w:rPr>
          <w:color w:val="000000" w:themeColor="text1"/>
          <w:sz w:val="16"/>
          <w:szCs w:val="16"/>
        </w:rPr>
        <w:softHyphen/>
        <w:t>душного боя на самолете Ил-2 с истре</w:t>
      </w:r>
      <w:r w:rsidRPr="00722885">
        <w:rPr>
          <w:color w:val="000000" w:themeColor="text1"/>
          <w:sz w:val="16"/>
          <w:szCs w:val="16"/>
        </w:rPr>
        <w:softHyphen/>
        <w:t>бителями Люфтваффе и, самое главное, усилия комсостава ВВС КА по внедре</w:t>
      </w:r>
      <w:r w:rsidRPr="00722885">
        <w:rPr>
          <w:color w:val="000000" w:themeColor="text1"/>
          <w:sz w:val="16"/>
          <w:szCs w:val="16"/>
        </w:rPr>
        <w:softHyphen/>
        <w:t>нию в сознание летного состава штур</w:t>
      </w:r>
      <w:r w:rsidRPr="00722885">
        <w:rPr>
          <w:color w:val="000000" w:themeColor="text1"/>
          <w:sz w:val="16"/>
          <w:szCs w:val="16"/>
        </w:rPr>
        <w:softHyphen/>
        <w:t>мовых авиачастей веры в боевые воз</w:t>
      </w:r>
      <w:r w:rsidRPr="00722885">
        <w:rPr>
          <w:color w:val="000000" w:themeColor="text1"/>
          <w:sz w:val="16"/>
          <w:szCs w:val="16"/>
        </w:rPr>
        <w:softHyphen/>
        <w:t>можности Ил-2 и уверенности в своих силах вскоре сделали свое дело, и в анналах истории войны можно найти множество поучительных примеров ус</w:t>
      </w:r>
      <w:r w:rsidRPr="00722885">
        <w:rPr>
          <w:color w:val="000000" w:themeColor="text1"/>
          <w:sz w:val="16"/>
          <w:szCs w:val="16"/>
        </w:rPr>
        <w:softHyphen/>
        <w:t>пешного проведения воздушных боев штурмовиками Ил-2 с истребителями Люфтваффе (6467).</w:t>
      </w:r>
    </w:p>
    <w:p w14:paraId="7635BF1B" w14:textId="77777777" w:rsidR="00AE7191" w:rsidRPr="00722885" w:rsidRDefault="00AE7191" w:rsidP="00722885">
      <w:pPr>
        <w:pStyle w:val="Iauiue"/>
        <w:jc w:val="both"/>
        <w:rPr>
          <w:color w:val="000000" w:themeColor="text1"/>
          <w:sz w:val="16"/>
          <w:szCs w:val="16"/>
        </w:rPr>
      </w:pPr>
    </w:p>
    <w:p w14:paraId="06F171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августе-сентябре 1942 г. наблюдалось наиболее интенсивное использование УТ-1б 46 ап. Когда немцы пытались прорваться на Кавказ через перевалы у станции Тоннельная, легкие штурмовики за половину ночи выполнили 44 вылета против немецких танков. За половину - потому что немцы вышли к аэродрому Гайдук, откуда лета</w:t>
      </w:r>
      <w:r w:rsidRPr="00722885">
        <w:rPr>
          <w:color w:val="000000" w:themeColor="text1"/>
          <w:sz w:val="16"/>
          <w:szCs w:val="16"/>
        </w:rPr>
        <w:softHyphen/>
        <w:t>ли УТ-16. Отстрелявшись последний раз, самолеты улетели в Геленджик (3955).</w:t>
      </w:r>
    </w:p>
    <w:p w14:paraId="778A346B" w14:textId="77777777" w:rsidR="00AE7191" w:rsidRPr="00722885" w:rsidRDefault="00AE7191" w:rsidP="00722885">
      <w:pPr>
        <w:pStyle w:val="Iauiue"/>
        <w:jc w:val="both"/>
        <w:rPr>
          <w:color w:val="000000" w:themeColor="text1"/>
          <w:sz w:val="16"/>
          <w:szCs w:val="16"/>
        </w:rPr>
      </w:pPr>
    </w:p>
    <w:p w14:paraId="0C09D8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августе-октябре 1942 г. по разработанному Военным советом ЧФ спецзаданию, Артремзавод создал образец, получивший обозначение РПУ-б (ракетная пусковая установка на шесть снарядов калибром 82 мм) для Г-5. Система обладала следующими преимуществами: более длинными направляющими, фиксаторами снарядов в походном положении, возможностью кругового вращения установки с дистанционным управлением из рубки. Пуск PC осуществлялся посредством специального приспособления, предусматривавшего, при установке ручек машинного телеграфа в положение “Малый ход”, нажатии кнопки “Пуск”, замыкание цепи стрельбы специальным ртутным замыкателем, срабатывавшим при нулевом крене и дифференте катера. Электроконтакты и пиропатроны запалов снарядов защищались от морской воды герметическим замком. РПУ-б полностью устроила моряков: все шесть установили на катерах 1-й БТКА в декабре 1942 г. (6002).</w:t>
      </w:r>
    </w:p>
    <w:p w14:paraId="70B10810" w14:textId="77777777" w:rsidR="00AE7191" w:rsidRPr="00722885" w:rsidRDefault="00AE7191" w:rsidP="00722885">
      <w:pPr>
        <w:pStyle w:val="Iauiue"/>
        <w:jc w:val="both"/>
        <w:rPr>
          <w:color w:val="000000" w:themeColor="text1"/>
          <w:sz w:val="16"/>
          <w:szCs w:val="16"/>
        </w:rPr>
      </w:pPr>
    </w:p>
    <w:p w14:paraId="528F3C42" w14:textId="77777777" w:rsidR="00AE7191" w:rsidRPr="00722885" w:rsidRDefault="00AE7191" w:rsidP="00722885">
      <w:pPr>
        <w:pStyle w:val="Iauiue"/>
        <w:jc w:val="both"/>
        <w:rPr>
          <w:iCs/>
          <w:color w:val="000000" w:themeColor="text1"/>
          <w:sz w:val="16"/>
          <w:szCs w:val="16"/>
        </w:rPr>
      </w:pPr>
      <w:r w:rsidRPr="00722885">
        <w:rPr>
          <w:iCs/>
          <w:color w:val="000000" w:themeColor="text1"/>
          <w:sz w:val="16"/>
          <w:szCs w:val="16"/>
        </w:rPr>
        <w:t>Авиапромышленности:</w:t>
      </w:r>
    </w:p>
    <w:p w14:paraId="5C077FEC" w14:textId="77777777" w:rsidR="00AE7191" w:rsidRPr="00722885" w:rsidRDefault="00AE7191" w:rsidP="00722885">
      <w:pPr>
        <w:pStyle w:val="Iauiue"/>
        <w:jc w:val="both"/>
        <w:rPr>
          <w:iCs/>
          <w:color w:val="000000" w:themeColor="text1"/>
          <w:sz w:val="16"/>
          <w:szCs w:val="16"/>
        </w:rPr>
      </w:pPr>
    </w:p>
    <w:p w14:paraId="26C379AC" w14:textId="77777777" w:rsidR="005B4051" w:rsidRPr="00722885" w:rsidRDefault="005B40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лета 1942 г. на заводе № 21 освоили производство нового лавочкинского истребителя с мотором М-82, который первое время назывался ЛаГГ-5, а с 8 сентября получил официальное обозначение Ла-5. Из дневника С.А. Лавочкина, фрагментарно опубликованного в работе П.Т. Асташенкова «Дерзкие старты», следует, что первоначально в состав вооружения этого самолета планировалось включить четыре пушки, но затем обстоятельства заставили от этого отказаться: «Мотор зажат капотом, необходимого обдува головок цилиндров нет… Снять две пушки, на оставшиеся две перевести весь боекомплект…» На ряде опытных машин ради снижения массы и улучшения высотно-скоростных характеристик вооружение Ла-5 сделали как у предшественника ЛаГГ-3: одна пушка ШВАК (на этот раз синхронная, а не моторная) и один пулемет БС. Однако подавляющее большинство серийных машин, в том числе с форсированным мотором (Ла-5Ф) и системой непосредственного впрыска топлива (Ла-5ФН) впоследствии выпускалось с двумя синхронными пушками ШВАК (другое название СП-20) и боекомплектом по 220 патронов на ствол. По сравнению с четырьмя пушками и двумя пулеметами немецкого истребителя FW 190A вооружение Ла-5 выглядело слабовато, поэтому периодически предпринимались попытки установки других орудий и увеличения числа стволов (18999).</w:t>
      </w:r>
    </w:p>
    <w:p w14:paraId="341F7568" w14:textId="77777777" w:rsidR="005B4051" w:rsidRPr="00722885" w:rsidRDefault="005B4051" w:rsidP="00722885">
      <w:pPr>
        <w:spacing w:after="0" w:line="240" w:lineRule="auto"/>
        <w:jc w:val="both"/>
        <w:rPr>
          <w:rFonts w:ascii="Times New Roman" w:hAnsi="Times New Roman"/>
          <w:color w:val="000000" w:themeColor="text1"/>
          <w:sz w:val="16"/>
          <w:szCs w:val="16"/>
        </w:rPr>
      </w:pPr>
    </w:p>
    <w:p w14:paraId="35E7D9E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лета 1942 г. провели пробные посадки планера А-7 на лес и воду. Пилотировал А-7 капитан Л. Ляпин. Первый раз он сел на деревья на малой скорости. Прибыв</w:t>
      </w:r>
      <w:r w:rsidRPr="00722885">
        <w:rPr>
          <w:rFonts w:ascii="Times New Roman" w:hAnsi="Times New Roman"/>
          <w:color w:val="000000" w:themeColor="text1"/>
          <w:sz w:val="16"/>
          <w:szCs w:val="16"/>
        </w:rPr>
        <w:softHyphen/>
        <w:t>шие на место члены комиссии обнару</w:t>
      </w:r>
      <w:r w:rsidRPr="00722885">
        <w:rPr>
          <w:rFonts w:ascii="Times New Roman" w:hAnsi="Times New Roman"/>
          <w:color w:val="000000" w:themeColor="text1"/>
          <w:sz w:val="16"/>
          <w:szCs w:val="16"/>
        </w:rPr>
        <w:softHyphen/>
        <w:t>жили планёр висящим на верхушках сосен, а пониже на толстой ветке сидел и покуривал капитан. Попытку признали неудачной - снять груз с такой высоты, тем более быстро, оказалось непрос</w:t>
      </w:r>
      <w:r w:rsidRPr="00722885">
        <w:rPr>
          <w:rFonts w:ascii="Times New Roman" w:hAnsi="Times New Roman"/>
          <w:color w:val="000000" w:themeColor="text1"/>
          <w:sz w:val="16"/>
          <w:szCs w:val="16"/>
        </w:rPr>
        <w:softHyphen/>
        <w:t>то. Через два часа Ляпин вылетел на другом планёре. Отцепившись от бук</w:t>
      </w:r>
      <w:r w:rsidRPr="00722885">
        <w:rPr>
          <w:rFonts w:ascii="Times New Roman" w:hAnsi="Times New Roman"/>
          <w:color w:val="000000" w:themeColor="text1"/>
          <w:sz w:val="16"/>
          <w:szCs w:val="16"/>
        </w:rPr>
        <w:softHyphen/>
        <w:t>сировщика, он разогнался в пологом пикировании и на большой скорости начал сбивать верхушки деревьев.</w:t>
      </w:r>
    </w:p>
    <w:p w14:paraId="1A9FDC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 посадкой на воду Ляпина (он выполнял её в тот же самый день) пе</w:t>
      </w:r>
      <w:r w:rsidRPr="00722885">
        <w:rPr>
          <w:rFonts w:ascii="Times New Roman" w:hAnsi="Times New Roman"/>
          <w:color w:val="000000" w:themeColor="text1"/>
          <w:sz w:val="16"/>
          <w:szCs w:val="16"/>
        </w:rPr>
        <w:softHyphen/>
        <w:t>реодели в лёгкий комбинезон на голое тело, в кабине пилот находился без шлема и не застёгивал пристяжные ремни. А-7 садился на озеро возле аэродрома. Пробег по воде оказался меньше, чем по траве - всего 10-15 м. Лётчика ударило лицом о лобовое стек</w:t>
      </w:r>
      <w:r w:rsidRPr="00722885">
        <w:rPr>
          <w:rFonts w:ascii="Times New Roman" w:hAnsi="Times New Roman"/>
          <w:color w:val="000000" w:themeColor="text1"/>
          <w:sz w:val="16"/>
          <w:szCs w:val="16"/>
        </w:rPr>
        <w:softHyphen/>
        <w:t>ло. После приводнения планёр начал медленно тонуть, пока не лёг крыльями на воду. Тогда Ляпин вылез из кабины и стал на крыле ожидать катер.</w:t>
      </w:r>
    </w:p>
    <w:p w14:paraId="01DF87D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эксплуатации выявили ещё один недостаток А-7 - случались про</w:t>
      </w:r>
      <w:r w:rsidRPr="00722885">
        <w:rPr>
          <w:rFonts w:ascii="Times New Roman" w:hAnsi="Times New Roman"/>
          <w:color w:val="000000" w:themeColor="text1"/>
          <w:sz w:val="16"/>
          <w:szCs w:val="16"/>
        </w:rPr>
        <w:softHyphen/>
        <w:t>скальзывания храпового механизма, из-за чего резиновые амортизаторы резко захлопывали щитки. При этом планёр резко терял высоту. Поскольку щитками пользовались на посадке, то это было довольно опасно (12266).</w:t>
      </w:r>
    </w:p>
    <w:p w14:paraId="776B394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780D0B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лета 1942 г. на одном из аэ</w:t>
      </w:r>
      <w:r w:rsidRPr="00722885">
        <w:rPr>
          <w:rFonts w:ascii="Times New Roman" w:hAnsi="Times New Roman"/>
          <w:color w:val="000000" w:themeColor="text1"/>
          <w:sz w:val="16"/>
          <w:szCs w:val="16"/>
        </w:rPr>
        <w:softHyphen/>
        <w:t>родромов Московского военного округа состоялся смотр десантной техники. Приехало высокое начальство. Для него организовали показ головокружи</w:t>
      </w:r>
      <w:r w:rsidRPr="00722885">
        <w:rPr>
          <w:rFonts w:ascii="Times New Roman" w:hAnsi="Times New Roman"/>
          <w:color w:val="000000" w:themeColor="text1"/>
          <w:sz w:val="16"/>
          <w:szCs w:val="16"/>
        </w:rPr>
        <w:softHyphen/>
        <w:t>тельного номера: посадочный десант в составе 20 планёров А-7 и Г-11 на маленькую площадку. Планёры при</w:t>
      </w:r>
      <w:r w:rsidRPr="00722885">
        <w:rPr>
          <w:rFonts w:ascii="Times New Roman" w:hAnsi="Times New Roman"/>
          <w:color w:val="000000" w:themeColor="text1"/>
          <w:sz w:val="16"/>
          <w:szCs w:val="16"/>
        </w:rPr>
        <w:softHyphen/>
        <w:t>землялись не только на полосу, а по всей площадке. После высадки солда</w:t>
      </w:r>
      <w:r w:rsidRPr="00722885">
        <w:rPr>
          <w:rFonts w:ascii="Times New Roman" w:hAnsi="Times New Roman"/>
          <w:color w:val="000000" w:themeColor="text1"/>
          <w:sz w:val="16"/>
          <w:szCs w:val="16"/>
        </w:rPr>
        <w:softHyphen/>
        <w:t>ты с криками «ура!» побежали к месту расположения гостей. Эффект был ог</w:t>
      </w:r>
      <w:r w:rsidRPr="00722885">
        <w:rPr>
          <w:rFonts w:ascii="Times New Roman" w:hAnsi="Times New Roman"/>
          <w:color w:val="000000" w:themeColor="text1"/>
          <w:sz w:val="16"/>
          <w:szCs w:val="16"/>
        </w:rPr>
        <w:softHyphen/>
        <w:t>ромный. И это - без единой тренировки в групповом полёте! То, что обошлись без травм - просто чудо...(12266).</w:t>
      </w:r>
    </w:p>
    <w:p w14:paraId="53D362A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F7BA123"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4E1B612" w14:textId="77777777" w:rsidR="00AE7191" w:rsidRPr="00722885" w:rsidRDefault="00AE7191" w:rsidP="00722885">
      <w:pPr>
        <w:pStyle w:val="Iauiue"/>
        <w:jc w:val="both"/>
        <w:rPr>
          <w:iCs/>
          <w:color w:val="000000" w:themeColor="text1"/>
          <w:sz w:val="16"/>
          <w:szCs w:val="16"/>
        </w:rPr>
      </w:pPr>
    </w:p>
    <w:p w14:paraId="1212C2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конца лета 1942 года Т-34 получили новую башню, так называемой "улучшенной" формы (впрочем, не менее тесную, чем предыдущая) с двумя круглыми посадочными люками в крыше, пятискоростную коробку передач, воздухоочистители типа "Циклон", увеличенный боекомплект, башенный вентилятор, десантные поручни, наружные топливные баки цилиндрической формы и много других более мелких новинок (3862).</w:t>
      </w:r>
    </w:p>
    <w:p w14:paraId="74B133DB" w14:textId="77777777" w:rsidR="00AE7191" w:rsidRPr="00722885" w:rsidRDefault="00AE7191" w:rsidP="00722885">
      <w:pPr>
        <w:pStyle w:val="Iauiue"/>
        <w:jc w:val="both"/>
        <w:rPr>
          <w:color w:val="000000" w:themeColor="text1"/>
          <w:sz w:val="16"/>
          <w:szCs w:val="16"/>
        </w:rPr>
      </w:pPr>
    </w:p>
    <w:p w14:paraId="4D1F592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лета 1942 года предприятие СТЗ перестал существовать - фронт проходил по его цехам. Завод как солдат выполнил свой долг до конца, отдав все силы на защиту родного города. Кстати, СТЗ был единственным заводом СССР, который в годы Великой Отечественной войны полностью прекратил танковое производство и не эвакуировался (12217).</w:t>
      </w:r>
    </w:p>
    <w:p w14:paraId="46AB61D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7D6466F"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В самом конце лета 1942 годак теме экранировки Т-34 пришлось вернуться. Немцы всё чаще стали использовать новые типы боеприпасов, прежде всего, кумулятивные, или, как их ещё называли, термитные снаряды. Впервые их применение против танков былоотмечено в конце 1941 года, хотя по-настоящему массово немцы стали их использовать с начала 1942 года. Это существенно повысило боевую эффективность короткоствольных орудий, которыми вооружались </w:t>
      </w:r>
      <w:hyperlink r:id="rId105" w:history="1">
        <w:r w:rsidRPr="00722885">
          <w:rPr>
            <w:rFonts w:ascii="Times New Roman" w:eastAsia="Times New Roman" w:hAnsi="Times New Roman"/>
            <w:color w:val="000000" w:themeColor="text1"/>
            <w:sz w:val="16"/>
            <w:szCs w:val="16"/>
            <w:lang w:eastAsia="ru-RU"/>
          </w:rPr>
          <w:t>Pz.Kpfw.IV</w:t>
        </w:r>
      </w:hyperlink>
      <w:r w:rsidRPr="00722885">
        <w:rPr>
          <w:rFonts w:ascii="Times New Roman" w:eastAsia="Times New Roman" w:hAnsi="Times New Roman"/>
          <w:color w:val="000000" w:themeColor="text1"/>
          <w:sz w:val="16"/>
          <w:szCs w:val="16"/>
          <w:lang w:eastAsia="ru-RU"/>
        </w:rPr>
        <w:t xml:space="preserve"> и </w:t>
      </w:r>
      <w:hyperlink r:id="rId106" w:history="1">
        <w:r w:rsidRPr="00722885">
          <w:rPr>
            <w:rFonts w:ascii="Times New Roman" w:eastAsia="Times New Roman" w:hAnsi="Times New Roman"/>
            <w:color w:val="000000" w:themeColor="text1"/>
            <w:sz w:val="16"/>
            <w:szCs w:val="16"/>
            <w:lang w:eastAsia="ru-RU"/>
          </w:rPr>
          <w:t>StuG III</w:t>
        </w:r>
      </w:hyperlink>
      <w:r w:rsidRPr="00722885">
        <w:rPr>
          <w:rFonts w:ascii="Times New Roman" w:eastAsia="Times New Roman" w:hAnsi="Times New Roman"/>
          <w:color w:val="000000" w:themeColor="text1"/>
          <w:sz w:val="16"/>
          <w:szCs w:val="16"/>
          <w:lang w:eastAsia="ru-RU"/>
        </w:rPr>
        <w:t>. По советским данным, броню толщиной 45 мм кумулятивный снаряд легко пробивал на дистанции 1000 метров. Также отмечалось использование подкалиберных снарядов (18883).</w:t>
      </w:r>
    </w:p>
    <w:p w14:paraId="3258E06C"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p>
    <w:p w14:paraId="16A66FBF" w14:textId="77777777" w:rsidR="00AE7191" w:rsidRPr="00722885" w:rsidRDefault="00AE7191" w:rsidP="00722885">
      <w:pPr>
        <w:pStyle w:val="Iauiue"/>
        <w:jc w:val="both"/>
        <w:rPr>
          <w:i/>
          <w:iCs/>
          <w:color w:val="000000" w:themeColor="text1"/>
          <w:sz w:val="16"/>
          <w:szCs w:val="16"/>
        </w:rPr>
      </w:pPr>
      <w:r w:rsidRPr="00722885">
        <w:rPr>
          <w:i/>
          <w:iCs/>
          <w:color w:val="000000" w:themeColor="text1"/>
          <w:sz w:val="16"/>
          <w:szCs w:val="16"/>
        </w:rPr>
        <w:t>Авиапромышленност</w:t>
      </w:r>
      <w:r w:rsidR="005B4051" w:rsidRPr="00722885">
        <w:rPr>
          <w:i/>
          <w:iCs/>
          <w:color w:val="000000" w:themeColor="text1"/>
          <w:sz w:val="16"/>
          <w:szCs w:val="16"/>
        </w:rPr>
        <w:t>ь</w:t>
      </w:r>
      <w:r w:rsidRPr="00722885">
        <w:rPr>
          <w:i/>
          <w:iCs/>
          <w:color w:val="000000" w:themeColor="text1"/>
          <w:sz w:val="16"/>
          <w:szCs w:val="16"/>
        </w:rPr>
        <w:t>:</w:t>
      </w:r>
    </w:p>
    <w:p w14:paraId="0A19A411" w14:textId="77777777" w:rsidR="00AE7191" w:rsidRPr="00722885" w:rsidRDefault="00AE7191" w:rsidP="00722885">
      <w:pPr>
        <w:pStyle w:val="Iauiue"/>
        <w:jc w:val="both"/>
        <w:rPr>
          <w:i/>
          <w:iCs/>
          <w:color w:val="000000" w:themeColor="text1"/>
          <w:sz w:val="16"/>
          <w:szCs w:val="16"/>
        </w:rPr>
      </w:pPr>
    </w:p>
    <w:p w14:paraId="14B7E410" w14:textId="77777777" w:rsidR="005B4051" w:rsidRPr="00722885" w:rsidRDefault="005B4051"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 xml:space="preserve">К осени 1942-го конструкторами завода №1 были переоборудованы 2-а одноместных самолета Ил-2 в двух местные. Попытка провести их испытания встретила противодействие. Для того чтобы его приодолеть, 4 октября 1942 инженер-инспектор Инспекции ВВС КА инженер-майор Ложечников был вынужден обратиться непосредст¬венно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док¬лад он подкрепил обращением дирекции завода № 1 и стар¬шего военпреда на заводе инженер-майора С. С. Фатеева </w:t>
      </w:r>
      <w:r w:rsidRPr="00722885">
        <w:rPr>
          <w:color w:val="000000" w:themeColor="text1"/>
          <w:sz w:val="16"/>
          <w:szCs w:val="16"/>
          <w:shd w:val="clear" w:color="auto" w:fill="FFFFFF"/>
        </w:rPr>
        <w:t>(19539).</w:t>
      </w:r>
    </w:p>
    <w:p w14:paraId="6DB50304" w14:textId="77777777" w:rsidR="005B4051" w:rsidRPr="00722885" w:rsidRDefault="005B4051" w:rsidP="00722885">
      <w:pPr>
        <w:pStyle w:val="ae"/>
        <w:shd w:val="clear" w:color="auto" w:fill="FFFFFF"/>
        <w:spacing w:before="0" w:after="0"/>
        <w:jc w:val="both"/>
        <w:textAlignment w:val="baseline"/>
        <w:rPr>
          <w:color w:val="000000" w:themeColor="text1"/>
          <w:sz w:val="16"/>
          <w:szCs w:val="16"/>
        </w:rPr>
      </w:pPr>
    </w:p>
    <w:p w14:paraId="54419C0D" w14:textId="77777777" w:rsidR="00FC56D8" w:rsidRPr="00722885" w:rsidRDefault="00FC56D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осени 1942-го конструкторами завода №1 были переоборудованы 2-а одноместных самолета Ил-2 в двух местные. Попытка провести их испытания встретила противодействие (15729).</w:t>
      </w:r>
    </w:p>
    <w:p w14:paraId="740C7244" w14:textId="77777777" w:rsidR="00FC56D8" w:rsidRPr="00722885" w:rsidRDefault="00FC56D8" w:rsidP="00722885">
      <w:pPr>
        <w:spacing w:after="0" w:line="240" w:lineRule="auto"/>
        <w:jc w:val="both"/>
        <w:rPr>
          <w:rFonts w:ascii="Times New Roman" w:hAnsi="Times New Roman"/>
          <w:color w:val="000000" w:themeColor="text1"/>
          <w:sz w:val="16"/>
          <w:szCs w:val="16"/>
        </w:rPr>
      </w:pPr>
    </w:p>
    <w:p w14:paraId="1C8888DA" w14:textId="77777777" w:rsidR="00FC56D8" w:rsidRPr="00722885" w:rsidRDefault="00FC56D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осени 1942-го конструкторами завода №1 были переоборудованы 2-а одноместных самолета Ил-2 в двух местные. Попытка провести их испытания встретила противодействие. Для того чтобы его приодолеть, 4 октября 1942 инженер-инспектор Инспекции ВВС КА инженер-майор Ложечников был вынужден обратиться непосредст¬венно к начальнику Инспекции полковнику В. И. Сталину с просьбой «помочь как можно быстрей провести испытания двух построенных самолетов Ил-</w:t>
      </w:r>
      <w:r w:rsidRPr="00722885">
        <w:rPr>
          <w:rFonts w:ascii="Times New Roman" w:hAnsi="Times New Roman"/>
          <w:color w:val="000000" w:themeColor="text1"/>
          <w:sz w:val="16"/>
          <w:szCs w:val="16"/>
        </w:rPr>
        <w:lastRenderedPageBreak/>
        <w:t>2 за №№ 4434 и 4435 в бою и после чего внедрить их в серийное производство». Свой док¬лад он подкрепил обращением дирекции завода № 1 и стар¬шего военпреда на заводе инженер-майора С. С. Фатеева (15543).</w:t>
      </w:r>
    </w:p>
    <w:p w14:paraId="3CF6C745" w14:textId="77777777" w:rsidR="00FC56D8" w:rsidRPr="00722885" w:rsidRDefault="00FC56D8" w:rsidP="00722885">
      <w:pPr>
        <w:spacing w:after="0" w:line="240" w:lineRule="auto"/>
        <w:jc w:val="both"/>
        <w:rPr>
          <w:rFonts w:ascii="Times New Roman" w:hAnsi="Times New Roman"/>
          <w:color w:val="000000" w:themeColor="text1"/>
          <w:sz w:val="16"/>
          <w:szCs w:val="16"/>
        </w:rPr>
      </w:pPr>
    </w:p>
    <w:p w14:paraId="6247851F" w14:textId="77777777" w:rsidR="00463275" w:rsidRPr="00722885" w:rsidRDefault="0046327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осени 1942 года официально оформилось основное направление развития типа штурмового самолета для ВВС КА – создание одномоторного легкого маневренного штурмовика. При этом во главу угла ставилась все же не столько большая максимальная скорость полета, сколько высокая маневренность самолета в сочетании с отличным обзором летчику, достаточно мощным вооружением, возможностью бомбометания с пикирования и максимальной скоростью, ненамного превышающей скорость одноместного Ил-2, прошедшего государственные испытания в марте 1941 года.</w:t>
      </w:r>
    </w:p>
    <w:p w14:paraId="6CCAD50B" w14:textId="77777777" w:rsidR="00463275" w:rsidRPr="00722885" w:rsidRDefault="0046327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делались попытки выжать из общей схемы и принятых компоновочных решений серийного Ил-2 все возможные резервы повышения его боевой эффективности (17490).</w:t>
      </w:r>
    </w:p>
    <w:p w14:paraId="3C5BFE95" w14:textId="77777777" w:rsidR="00463275" w:rsidRPr="00722885" w:rsidRDefault="00463275" w:rsidP="00722885">
      <w:pPr>
        <w:spacing w:after="0" w:line="240" w:lineRule="auto"/>
        <w:jc w:val="both"/>
        <w:rPr>
          <w:rFonts w:ascii="Times New Roman" w:hAnsi="Times New Roman"/>
          <w:color w:val="000000" w:themeColor="text1"/>
          <w:sz w:val="16"/>
          <w:szCs w:val="16"/>
        </w:rPr>
      </w:pPr>
    </w:p>
    <w:p w14:paraId="3042701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осени 1942 г. было построено 308 планеров Г-11. Персонал ОКБ-28 оставили на заводе, а сам В.К. Грибовский убыл в распоряжение Наркомата авиапромышленности. Завод № 471 сначала перевели на выпуск Як-6 (не совсем удач</w:t>
      </w:r>
      <w:r w:rsidRPr="00722885">
        <w:rPr>
          <w:rFonts w:ascii="Times New Roman" w:hAnsi="Times New Roman"/>
          <w:color w:val="000000" w:themeColor="text1"/>
          <w:sz w:val="16"/>
          <w:szCs w:val="16"/>
        </w:rPr>
        <w:softHyphen/>
        <w:t>ная конструкция), а потом — на выпуск весьма полезного самолета По-2. Завод № 494 осваивал санитарную версию По-2 —С-2 с са</w:t>
      </w:r>
      <w:r w:rsidRPr="00722885">
        <w:rPr>
          <w:rFonts w:ascii="Times New Roman" w:hAnsi="Times New Roman"/>
          <w:color w:val="000000" w:themeColor="text1"/>
          <w:sz w:val="16"/>
          <w:szCs w:val="16"/>
        </w:rPr>
        <w:softHyphen/>
        <w:t>мого начала (12300).</w:t>
      </w:r>
    </w:p>
    <w:p w14:paraId="7FD2497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15A304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осени 1942 г. численность промышленного персо</w:t>
      </w:r>
      <w:r w:rsidRPr="00722885">
        <w:rPr>
          <w:rFonts w:ascii="Times New Roman" w:hAnsi="Times New Roman"/>
          <w:color w:val="000000" w:themeColor="text1"/>
          <w:sz w:val="16"/>
          <w:szCs w:val="16"/>
        </w:rPr>
        <w:softHyphen/>
        <w:t>нала авиапромышленности уже превысила отметку в 600 тыс. чел. И фактиче</w:t>
      </w:r>
      <w:r w:rsidRPr="00722885">
        <w:rPr>
          <w:rFonts w:ascii="Times New Roman" w:hAnsi="Times New Roman"/>
          <w:color w:val="000000" w:themeColor="text1"/>
          <w:sz w:val="16"/>
          <w:szCs w:val="16"/>
        </w:rPr>
        <w:softHyphen/>
        <w:t>ски стабилизировалась на этой отметке.</w:t>
      </w:r>
    </w:p>
    <w:p w14:paraId="3BFAF4F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Численность персонала авиапромышленности осенью 1942 — летом 1943 г. (РГАЭ. Ф. 8044. </w:t>
      </w:r>
      <w:r w:rsidRPr="00722885">
        <w:rPr>
          <w:rFonts w:ascii="Times New Roman" w:hAnsi="Times New Roman"/>
          <w:color w:val="000000" w:themeColor="text1"/>
          <w:sz w:val="16"/>
          <w:szCs w:val="16"/>
          <w:lang w:val="en-US"/>
        </w:rPr>
        <w:t xml:space="preserve">On. </w:t>
      </w:r>
      <w:r w:rsidRPr="00722885">
        <w:rPr>
          <w:rFonts w:ascii="Times New Roman" w:hAnsi="Times New Roman"/>
          <w:color w:val="000000" w:themeColor="text1"/>
          <w:sz w:val="16"/>
          <w:szCs w:val="16"/>
        </w:rPr>
        <w:t>1. Д. 2827. Л. 110., Д. 2879. Л. 42,95)</w:t>
      </w:r>
    </w:p>
    <w:tbl>
      <w:tblPr>
        <w:tblW w:w="0" w:type="auto"/>
        <w:tblInd w:w="8" w:type="dxa"/>
        <w:tblLayout w:type="fixed"/>
        <w:tblCellMar>
          <w:left w:w="0" w:type="dxa"/>
          <w:right w:w="0" w:type="dxa"/>
        </w:tblCellMar>
        <w:tblLook w:val="0000" w:firstRow="0" w:lastRow="0" w:firstColumn="0" w:lastColumn="0" w:noHBand="0" w:noVBand="0"/>
      </w:tblPr>
      <w:tblGrid>
        <w:gridCol w:w="3206"/>
        <w:gridCol w:w="1008"/>
        <w:gridCol w:w="854"/>
        <w:gridCol w:w="874"/>
      </w:tblGrid>
      <w:tr w:rsidR="009B487A" w:rsidRPr="00722885" w14:paraId="086E88D1" w14:textId="77777777" w:rsidTr="00CC5360">
        <w:trPr>
          <w:trHeight w:val="235"/>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2594E4D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Категория персонала</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5C1C445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Ноябрь 1942 г.</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437723A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Март 1943 г.</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4C9EF01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Июль 1943 г.</w:t>
            </w:r>
          </w:p>
        </w:tc>
      </w:tr>
      <w:tr w:rsidR="009B487A" w:rsidRPr="00722885" w14:paraId="0DF79AE3" w14:textId="77777777" w:rsidTr="00CC5360">
        <w:trPr>
          <w:trHeight w:val="413"/>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13836C3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промшшетю-проимодпвенного персонала В том числе;</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33DADC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605687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E3CDF7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606227</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3056D3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589140</w:t>
            </w:r>
          </w:p>
        </w:tc>
      </w:tr>
      <w:tr w:rsidR="009B487A" w:rsidRPr="00722885" w14:paraId="1E768A41" w14:textId="77777777" w:rsidTr="00CC5360">
        <w:trPr>
          <w:trHeight w:val="221"/>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6EFDB2D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рабочих</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15C364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426531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0400212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433490</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1404FD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423124</w:t>
            </w:r>
          </w:p>
        </w:tc>
      </w:tr>
      <w:tr w:rsidR="009B487A" w:rsidRPr="00722885" w14:paraId="5E3820EC" w14:textId="77777777" w:rsidTr="00CC5360">
        <w:trPr>
          <w:trHeight w:val="221"/>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44A2AF3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ИГР</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30279A8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83309</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7A6021E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83970</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55028F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85142</w:t>
            </w:r>
          </w:p>
        </w:tc>
      </w:tr>
      <w:tr w:rsidR="009B487A" w:rsidRPr="00722885" w14:paraId="4A719817" w14:textId="77777777" w:rsidTr="00CC5360">
        <w:trPr>
          <w:trHeight w:val="226"/>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2A53E7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служащих</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FD4F94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34010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586CF5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32093</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6719237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30284</w:t>
            </w:r>
          </w:p>
        </w:tc>
      </w:tr>
      <w:tr w:rsidR="009B487A" w:rsidRPr="00722885" w14:paraId="4FCBAE29" w14:textId="77777777" w:rsidTr="00CC5360">
        <w:trPr>
          <w:trHeight w:val="221"/>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02E495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МОП</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1650E59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7953</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38840C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8276</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3CE2470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8128</w:t>
            </w:r>
          </w:p>
        </w:tc>
      </w:tr>
      <w:tr w:rsidR="009B487A" w:rsidRPr="00722885" w14:paraId="1CA1E7C2" w14:textId="77777777" w:rsidTr="00CC5360">
        <w:trPr>
          <w:trHeight w:val="221"/>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53E533D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учеников</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1B02638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33637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45B0C9C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27210</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2A3A60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21376</w:t>
            </w:r>
          </w:p>
        </w:tc>
      </w:tr>
      <w:tr w:rsidR="009B487A" w:rsidRPr="00722885" w14:paraId="3B1F1ED8" w14:textId="77777777" w:rsidTr="00CC5360">
        <w:trPr>
          <w:trHeight w:val="226"/>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0A44B42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Вневедоисгоеини юоружённаа и шиарваа охрана</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08C0ECC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20247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C4769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21188</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0AB0C91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21086</w:t>
            </w:r>
          </w:p>
        </w:tc>
      </w:tr>
      <w:tr w:rsidR="009B487A" w:rsidRPr="00722885" w14:paraId="6E87372A" w14:textId="77777777" w:rsidTr="00CC5360">
        <w:trPr>
          <w:trHeight w:val="221"/>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33EF13B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Непромышленный персонал</w:t>
            </w:r>
            <w:r w:rsidRPr="00722885">
              <w:rPr>
                <w:rFonts w:ascii="Times New Roman" w:hAnsi="Times New Roman"/>
                <w:color w:val="000000" w:themeColor="text1"/>
                <w:sz w:val="16"/>
                <w:szCs w:val="16"/>
                <w:vertAlign w:val="superscript"/>
              </w:rPr>
              <w:t>1</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75D540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33637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11C595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36173</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079B5E8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41824</w:t>
            </w:r>
          </w:p>
        </w:tc>
      </w:tr>
      <w:tr w:rsidR="009B487A" w:rsidRPr="00722885" w14:paraId="66C0BA6B" w14:textId="77777777" w:rsidTr="00CC5360">
        <w:trPr>
          <w:trHeight w:val="240"/>
        </w:trPr>
        <w:tc>
          <w:tcPr>
            <w:tcW w:w="3206" w:type="dxa"/>
            <w:tcBorders>
              <w:top w:val="single" w:sz="6" w:space="0" w:color="auto"/>
              <w:left w:val="single" w:sz="6" w:space="0" w:color="auto"/>
              <w:bottom w:val="single" w:sz="6" w:space="0" w:color="auto"/>
              <w:right w:val="single" w:sz="6" w:space="0" w:color="auto"/>
            </w:tcBorders>
            <w:shd w:val="clear" w:color="auto" w:fill="FFFFFF"/>
          </w:tcPr>
          <w:p w14:paraId="545C2E5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Весь перевод авиапромышленное*</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F6A584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639324</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5DC8AC9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642400</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7692548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630964</w:t>
            </w:r>
          </w:p>
        </w:tc>
      </w:tr>
    </w:tbl>
    <w:p w14:paraId="0ABC87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видно из таблицы, в течение осени 1942—лета 1943 г. количество учеников и служащих снижалось, а ИТР напро</w:t>
      </w:r>
      <w:r w:rsidRPr="00722885">
        <w:rPr>
          <w:rFonts w:ascii="Times New Roman" w:hAnsi="Times New Roman"/>
          <w:color w:val="000000" w:themeColor="text1"/>
          <w:sz w:val="16"/>
          <w:szCs w:val="16"/>
        </w:rPr>
        <w:softHyphen/>
        <w:t>тив — росло. В целом же и численность промперсонала, и персонала Авиалрома оставалась практически неизменной (12011).</w:t>
      </w:r>
    </w:p>
    <w:p w14:paraId="7DB61AA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E2A71C8" w14:textId="77777777" w:rsidR="00463275" w:rsidRPr="00722885" w:rsidRDefault="00463275"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D5BE723" w14:textId="77777777" w:rsidR="00463275" w:rsidRPr="00722885" w:rsidRDefault="00463275" w:rsidP="00722885">
      <w:pPr>
        <w:pStyle w:val="Iauiue"/>
        <w:jc w:val="both"/>
        <w:rPr>
          <w:iCs/>
          <w:color w:val="000000" w:themeColor="text1"/>
          <w:sz w:val="16"/>
          <w:szCs w:val="16"/>
        </w:rPr>
      </w:pPr>
    </w:p>
    <w:p w14:paraId="59BF0F9E" w14:textId="77777777" w:rsidR="0087566C" w:rsidRPr="00722885" w:rsidRDefault="0087566C" w:rsidP="00722885">
      <w:pPr>
        <w:pStyle w:val="ae"/>
        <w:shd w:val="clear" w:color="auto" w:fill="FFFFFF"/>
        <w:spacing w:before="0" w:after="0"/>
        <w:jc w:val="both"/>
        <w:rPr>
          <w:iCs/>
          <w:color w:val="000000" w:themeColor="text1"/>
          <w:sz w:val="16"/>
          <w:szCs w:val="16"/>
        </w:rPr>
      </w:pPr>
      <w:r w:rsidRPr="00722885">
        <w:rPr>
          <w:iCs/>
          <w:color w:val="000000" w:themeColor="text1"/>
          <w:sz w:val="16"/>
          <w:szCs w:val="16"/>
        </w:rPr>
        <w:t>К осени 1942 года проект У-18 КБ УЗТМ во главе с Л.И. Горлицким был готов, но к тому моменту у машины появился конкурент, также разработанный в Свердловске (15806).</w:t>
      </w:r>
    </w:p>
    <w:p w14:paraId="11C6FB71" w14:textId="77777777" w:rsidR="0087566C" w:rsidRPr="00722885" w:rsidRDefault="0087566C" w:rsidP="00722885">
      <w:pPr>
        <w:pStyle w:val="ae"/>
        <w:shd w:val="clear" w:color="auto" w:fill="FFFFFF"/>
        <w:spacing w:before="0" w:after="0"/>
        <w:jc w:val="both"/>
        <w:rPr>
          <w:color w:val="000000" w:themeColor="text1"/>
          <w:sz w:val="16"/>
          <w:szCs w:val="16"/>
        </w:rPr>
      </w:pPr>
    </w:p>
    <w:p w14:paraId="19A8C5C4" w14:textId="77777777" w:rsidR="00463275" w:rsidRPr="00722885" w:rsidRDefault="0046327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К осени 1942 года конструкторское бюро (КБ) завода №38 не могло похвастаться какими-то серьезными новыми разработками. Это и не удивительно, поскольку задач по созданию новых танков и самоходных установок оно не получало. Тем не менее, у коллектива, который возглавлял главный конструктор М.Н. Щукин, имелись определенные наработки. Например, осенью 1941 года, еще до эвакуации из Коломны, заводское КБ разработало литую башню для танка </w:t>
      </w:r>
      <w:hyperlink r:id="rId107" w:history="1">
        <w:r w:rsidRPr="00722885">
          <w:rPr>
            <w:rFonts w:ascii="Times New Roman" w:eastAsia="Times New Roman" w:hAnsi="Times New Roman"/>
            <w:color w:val="000000" w:themeColor="text1"/>
            <w:sz w:val="16"/>
            <w:szCs w:val="16"/>
            <w:lang w:eastAsia="ru-RU"/>
          </w:rPr>
          <w:t>Т-30</w:t>
        </w:r>
      </w:hyperlink>
      <w:r w:rsidRPr="00722885">
        <w:rPr>
          <w:rFonts w:ascii="Times New Roman" w:eastAsia="Times New Roman" w:hAnsi="Times New Roman"/>
          <w:color w:val="000000" w:themeColor="text1"/>
          <w:sz w:val="16"/>
          <w:szCs w:val="16"/>
          <w:lang w:eastAsia="ru-RU"/>
        </w:rPr>
        <w:t>, её даже выпустили опытной серией (17699).</w:t>
      </w:r>
    </w:p>
    <w:p w14:paraId="7AB7AE04" w14:textId="77777777" w:rsidR="00463275" w:rsidRPr="00722885" w:rsidRDefault="00463275" w:rsidP="00722885">
      <w:pPr>
        <w:spacing w:after="0" w:line="240" w:lineRule="auto"/>
        <w:jc w:val="both"/>
        <w:rPr>
          <w:rFonts w:ascii="Times New Roman" w:hAnsi="Times New Roman"/>
          <w:color w:val="000000" w:themeColor="text1"/>
          <w:sz w:val="16"/>
          <w:szCs w:val="16"/>
        </w:rPr>
      </w:pPr>
    </w:p>
    <w:p w14:paraId="739BCA08" w14:textId="77777777" w:rsidR="005B4051" w:rsidRPr="00722885" w:rsidRDefault="005B40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осени 1942 г. в Ленинграде продолжали функционировать предприятия НКЭП радиотехнического профиля – заводы № 616, 619 и 186, электровакуумный завод № 211 «Светлана», в значительной мере переориентированный на выпуск боеприпасов, а также завод НКСП № 209 им. Кулакова, также в значительной мере перепрофилированный на выпуск вооружения, но выполнявший одновременно определенный объем работ по обслуживанию проводных средств связи КБФ (18297).</w:t>
      </w:r>
    </w:p>
    <w:p w14:paraId="3AA29B67" w14:textId="77777777" w:rsidR="005B4051" w:rsidRPr="00722885" w:rsidRDefault="005B4051" w:rsidP="00722885">
      <w:pPr>
        <w:spacing w:after="0" w:line="240" w:lineRule="auto"/>
        <w:jc w:val="both"/>
        <w:rPr>
          <w:rFonts w:ascii="Times New Roman" w:hAnsi="Times New Roman"/>
          <w:color w:val="000000" w:themeColor="text1"/>
          <w:sz w:val="16"/>
          <w:szCs w:val="16"/>
        </w:rPr>
      </w:pPr>
    </w:p>
    <w:p w14:paraId="0B309A0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292EA8B" w14:textId="77777777" w:rsidR="00AE7191" w:rsidRPr="00722885" w:rsidRDefault="00AE7191" w:rsidP="00722885">
      <w:pPr>
        <w:pStyle w:val="Iauiue"/>
        <w:jc w:val="both"/>
        <w:rPr>
          <w:iCs/>
          <w:color w:val="000000" w:themeColor="text1"/>
          <w:sz w:val="16"/>
          <w:szCs w:val="16"/>
        </w:rPr>
      </w:pPr>
    </w:p>
    <w:p w14:paraId="393CC012" w14:textId="77777777" w:rsidR="00891CFA" w:rsidRPr="00722885" w:rsidRDefault="00891CF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осени 1942 года удельный вес Ил-2 вырос до 31 % и в дальнейшем удерживался на уровне 29–32 % от общего числа боевых самолетов фронтовой авиации. Удельный вес дневных бомбардировщиков никогда не превышал 14–15 %.</w:t>
      </w:r>
    </w:p>
    <w:p w14:paraId="6AA149C1" w14:textId="77777777" w:rsidR="00891CFA" w:rsidRPr="00722885" w:rsidRDefault="00891CF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Соответственно этому из общего числа 2 904 778 боевых самолето-вылетов, выполненных фронтовой авиацией ВВС КА в ходе войны, 643 557 вылетов (или 22,2 % всех вылетов) приходится на самолеты штурмовой авиации и почти в два раза меньше – 354 026 вылетов (12,2 %), – на самолеты дневной бомбардировочной авиации. При этом ночная бомбардировочная авиация выполнила 683 960 (23,5 %), а истребительная авиация – 1 223 235 (42,1 %) боевых вылетов (17490).</w:t>
      </w:r>
    </w:p>
    <w:p w14:paraId="48975B70" w14:textId="77777777" w:rsidR="00891CFA" w:rsidRPr="00722885" w:rsidRDefault="00891CFA" w:rsidP="00722885">
      <w:pPr>
        <w:spacing w:after="0" w:line="240" w:lineRule="auto"/>
        <w:jc w:val="both"/>
        <w:rPr>
          <w:rFonts w:ascii="Times New Roman" w:eastAsia="Times New Roman" w:hAnsi="Times New Roman"/>
          <w:color w:val="000000" w:themeColor="text1"/>
          <w:sz w:val="16"/>
          <w:szCs w:val="16"/>
          <w:lang w:eastAsia="ru-RU"/>
        </w:rPr>
      </w:pPr>
    </w:p>
    <w:p w14:paraId="719BA7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осени 1942 г. количество сражавшихся на фронте на Су-2 авиаполков сократилось до двух. Кроме действовавшего на Южном фронте 288-го бап, на Сталинградском остался 52-й бап. Последнему в начале июля 1942 г. передали сохранившиеся машины 13-го гв. и 826-го бап, а в начале сентября - 135-го бап. Несмотря на это, и восстановление 14 бомбардировщиков (на них главным образом меняли моторы) в 52-м бап временами имелось три - четыре Су-2 в исправном состоянии. На 1 октября в строю числилось 9 Су-2 М-82 и 4 Су-2 М-88Б; за каждым самолетом теперь закреплялось по два-три экипажа. Не только машины старых типов, с заводскими номерами 22095,55092, 19/10 (еще осенью 1941 г. принадлежал лейтенанту В.И. Стрельчено из 135-го бап), но и с мотором М-82 (№ 44117, 45118, 47118) выработали 100-часо- вой ресурс. Следовательно, удалось получить бесценный опыт длительной эксплуатации двигателей А.Д. Швецова на фронте. Не удивительно, что в сентябре в Верхней Ахтубе летчики-бомбардировщики помогли в освоении первых серийных Ла-5 пилотам 287-й иад полковника С.П. Данилова - как известно, на истребителях С.А. Лавочкина также устанавливали мотор М-82.</w:t>
      </w:r>
    </w:p>
    <w:p w14:paraId="7B838A6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Казалось бы, ну что могли значить несколько бомбардировщиков Сухого в масштабах фронта в конце 1942 г.? А между тем в ненастную погоду некоторые экипажи сумели причинить значительный ущерб врагу. В условиях начавшегося контрнаступления наших войск под Сталинградом одиночные экипажи-"охотники" удачно маскировались в облаках, летали без прикрытия, однако практически без потерь бомбили паровозы, автомашины, аэродромы противника. В одном из вылетов "сушку" по ошибке атаковали краснозвездные истребители, но и они не смогли сбить самолет. Очень ценную информацию о гер- мано-румынских войсках экипажи Су-2 привозили из рейдов в тыл противника на глубину 200 - 250 км.</w:t>
      </w:r>
    </w:p>
    <w:p w14:paraId="00613F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пять - семь исправных Су-2 насчитывалось в конце осени в 288-м бап, возглавляемом теперь майором И.И. Баути- ным. Надо иметь ввиду, что вся бомбардировочная авиация 5-й воздушной армии редко превышала полсотни машин. В полку больше всего Су-2 простаивало из- за отсутствия, как это ни удивительно, камер колес. Механики попытались, правда безуспешно, приспособить к бомбардировщику покрышки от автомобилей. С нетерпением ожидал летный состав поступления из мастерских Грозного отремонтированных машин...(12028).</w:t>
      </w:r>
    </w:p>
    <w:p w14:paraId="2DBCA10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87A5213"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7AB8489" w14:textId="77777777" w:rsidR="00AE7191" w:rsidRPr="00722885" w:rsidRDefault="00AE7191" w:rsidP="00722885">
      <w:pPr>
        <w:pStyle w:val="Iauiue"/>
        <w:jc w:val="both"/>
        <w:rPr>
          <w:iCs/>
          <w:color w:val="000000" w:themeColor="text1"/>
          <w:sz w:val="16"/>
          <w:szCs w:val="16"/>
        </w:rPr>
      </w:pPr>
    </w:p>
    <w:p w14:paraId="140F6226" w14:textId="77777777" w:rsidR="000D37D8" w:rsidRPr="00722885" w:rsidRDefault="000D37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сентябрю 1942 в 17 ВА в двухместный вариант с пулеметом УБТ были переделаны 66 Ил-2. Конструкция установки была разработана полковником Антошиным и майором Алимовым (21180).</w:t>
      </w:r>
    </w:p>
    <w:p w14:paraId="2D34F996" w14:textId="77777777" w:rsidR="000D37D8" w:rsidRPr="00722885" w:rsidRDefault="000D37D8" w:rsidP="00722885">
      <w:pPr>
        <w:spacing w:after="0" w:line="240" w:lineRule="auto"/>
        <w:jc w:val="both"/>
        <w:rPr>
          <w:rFonts w:ascii="Times New Roman" w:hAnsi="Times New Roman"/>
          <w:color w:val="0070C0"/>
          <w:sz w:val="16"/>
          <w:szCs w:val="16"/>
        </w:rPr>
      </w:pPr>
    </w:p>
    <w:p w14:paraId="1A0849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К сентябрю 1942 г. был готов "в металле" новый вариант бомбардировщика Ер-2 с моторами М-ЗОБ, получивший N 4. Почему при исчислении номеров были "проигнорированы" опытные машины с М-40 не ясно, но известно, что машина N 3 - это экземпляр, использованный при статиспытаниях. От экземпляра N 2 с моторами АМ-37 новый вариант Ер-2 отличался не только мотоустановкой. Так, мидель фюзеляжа увеличился за счет наращивания его в нижней части на 70 мм. Возросшие размеры бомбоотсека позволяли подвешивать внутрь до 20 бомб ФАБ-100 или восемь ФАБ-250, еще одним вариантом подвески были четыре полутонки. </w:t>
      </w:r>
      <w:r w:rsidRPr="00722885">
        <w:rPr>
          <w:color w:val="000000" w:themeColor="text1"/>
          <w:sz w:val="16"/>
          <w:szCs w:val="16"/>
        </w:rPr>
        <w:lastRenderedPageBreak/>
        <w:t>Три наружных бомбодержателя обеспечивали возможность подвески 1000-кг фугасок на каждый замок, а на средней точке при необходимости самолет мог поднять и двухтонную бомбу. Створки бомбоотсека при открывании убирались внутрь фюзеляжа, сдвигаясь вдоль бортов (как на американском "Либерейторе"). Вместо входного люка стрелков, одновременно служившего и для выпуска нижней оборонительной установки, были введены два отдельных, при этом люковую установку смонтировали в постоянно выпущенном положении, прикрыв обтекателем. Взамен верхней турели ТАТ-БТ на самолете смонтировали установку ТУМ-2 с пулеметом УБТ Колпак фонаря пилота увеличили по ширине на 100 мм, гнутые боковые стекла заменили плоскими, но козырек остался прежним по форме. В конструкции фонаря предусмотрели возможность аварийного сбрасывания верхних и боковых панелей. Крыло самолета состояло из шести отдельных конструктивных частей, не считая законцовок: двух консолей, двух мотоотсеков и двух центропланных отсеков, пристыкованных к фюзеляжу. Буква "Б" в названии мотора означала, что наддув осуществлялся комбинированным способом: в дополнение к двум оставленным турбокомпрессорам Чаромский снабдил дизель приводным нагнетателем, заимствованным от мотора АМ-38. Это мероприятие обеспечило устойчивую работу мотора при пониженных расходах топлива и на больших высотах полета. В связи с применением винтов ВИШ-24 диаметром 4.1 м мотогондолы пришлось разнести пошире, при этом размах крыла увеличился до 22.79 м. Площадь вертикального оперения уменьшилась на 0.1 м, при этом площадь РН увеличилась на 0.18 м. Механизм уборки и выпуска шасси выполнили электрогидравлическим. Были введены изменения и в систему охлаждения двигателей и топливную систему. Масса пустой машины выросла до 10325 кг ( на полтонны больше, чем у Ер-2 2АМ-37), а максимальная взлетная - до 17650 кг (3322,39).</w:t>
      </w:r>
    </w:p>
    <w:p w14:paraId="4AEEC8AF" w14:textId="77777777" w:rsidR="00AE7191" w:rsidRPr="00722885" w:rsidRDefault="00AE7191" w:rsidP="00722885">
      <w:pPr>
        <w:pStyle w:val="Iauiue"/>
        <w:jc w:val="both"/>
        <w:rPr>
          <w:color w:val="000000" w:themeColor="text1"/>
          <w:sz w:val="16"/>
          <w:szCs w:val="16"/>
        </w:rPr>
      </w:pPr>
    </w:p>
    <w:p w14:paraId="4595B0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сентяб</w:t>
      </w:r>
      <w:r w:rsidRPr="00722885">
        <w:rPr>
          <w:rFonts w:ascii="Times New Roman" w:hAnsi="Times New Roman"/>
          <w:color w:val="000000" w:themeColor="text1"/>
          <w:sz w:val="16"/>
          <w:szCs w:val="16"/>
        </w:rPr>
        <w:softHyphen/>
        <w:t>рю 1942 г. удалось закончить новый вариант эскизного проек</w:t>
      </w:r>
      <w:r w:rsidRPr="00722885">
        <w:rPr>
          <w:rFonts w:ascii="Times New Roman" w:hAnsi="Times New Roman"/>
          <w:color w:val="000000" w:themeColor="text1"/>
          <w:sz w:val="16"/>
          <w:szCs w:val="16"/>
        </w:rPr>
        <w:softHyphen/>
        <w:t>та НБ (Т). Самолет отличался фюзеляжем увеличенной длины, большим запасом топлива, расширенной кабиной, поз</w:t>
      </w:r>
      <w:r w:rsidRPr="00722885">
        <w:rPr>
          <w:rFonts w:ascii="Times New Roman" w:hAnsi="Times New Roman"/>
          <w:color w:val="000000" w:themeColor="text1"/>
          <w:sz w:val="16"/>
          <w:szCs w:val="16"/>
        </w:rPr>
        <w:softHyphen/>
        <w:t>волявшей разместить двух летчиков рядом. Неподвиж</w:t>
      </w:r>
      <w:r w:rsidRPr="00722885">
        <w:rPr>
          <w:rFonts w:ascii="Times New Roman" w:hAnsi="Times New Roman"/>
          <w:color w:val="000000" w:themeColor="text1"/>
          <w:sz w:val="16"/>
          <w:szCs w:val="16"/>
        </w:rPr>
        <w:softHyphen/>
        <w:t>ные пулеметы УБ в носовой части фюзеляжа заменили на один подвижный на турели. Кабину штурмана сдела</w:t>
      </w:r>
      <w:r w:rsidRPr="00722885">
        <w:rPr>
          <w:rFonts w:ascii="Times New Roman" w:hAnsi="Times New Roman"/>
          <w:color w:val="000000" w:themeColor="text1"/>
          <w:sz w:val="16"/>
          <w:szCs w:val="16"/>
        </w:rPr>
        <w:softHyphen/>
        <w:t>ли с большими панелями остекления, чем обеспечивал</w:t>
      </w:r>
      <w:r w:rsidRPr="00722885">
        <w:rPr>
          <w:rFonts w:ascii="Times New Roman" w:hAnsi="Times New Roman"/>
          <w:color w:val="000000" w:themeColor="text1"/>
          <w:sz w:val="16"/>
          <w:szCs w:val="16"/>
        </w:rPr>
        <w:softHyphen/>
        <w:t>ся хороший обзор. От двигателей М-90 Николай Николаевич решил отказаться и использовать М-71 и М-82, их взаимозаменяемость достигалась простой сме</w:t>
      </w:r>
      <w:r w:rsidRPr="00722885">
        <w:rPr>
          <w:rFonts w:ascii="Times New Roman" w:hAnsi="Times New Roman"/>
          <w:color w:val="000000" w:themeColor="text1"/>
          <w:sz w:val="16"/>
          <w:szCs w:val="16"/>
        </w:rPr>
        <w:softHyphen/>
        <w:t>ной моторных рам с капотами. Конструкцию несколько усилили, по требованию ВВС установили автопилот, си</w:t>
      </w:r>
      <w:r w:rsidRPr="00722885">
        <w:rPr>
          <w:rFonts w:ascii="Times New Roman" w:hAnsi="Times New Roman"/>
          <w:color w:val="000000" w:themeColor="text1"/>
          <w:sz w:val="16"/>
          <w:szCs w:val="16"/>
        </w:rPr>
        <w:softHyphen/>
        <w:t>стему подогрева питания для экипажа и др. (10667).</w:t>
      </w:r>
    </w:p>
    <w:p w14:paraId="1A9D163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769272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810A6DD" w14:textId="77777777" w:rsidR="00AE7191" w:rsidRPr="00722885" w:rsidRDefault="00AE7191" w:rsidP="00722885">
      <w:pPr>
        <w:pStyle w:val="Iauiue"/>
        <w:jc w:val="both"/>
        <w:rPr>
          <w:iCs/>
          <w:color w:val="000000" w:themeColor="text1"/>
          <w:sz w:val="16"/>
          <w:szCs w:val="16"/>
        </w:rPr>
      </w:pPr>
    </w:p>
    <w:p w14:paraId="71DE4A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сентябрю 1942 НИИ-13 (который в марте 1942 получил задание на проектирование 600мм мортиры, способной вести огонь снарядами массой 2400 кг с начальной скорость 435 м/сек) подготовил эскизный проект - И-13-63 “Сталинский удар”. В ноябре он был представлен Техсовету НКБ и рассматривался до марта 1943 (7691,30).</w:t>
      </w:r>
    </w:p>
    <w:p w14:paraId="77EFE2E3" w14:textId="77777777" w:rsidR="00AE7191" w:rsidRPr="00722885" w:rsidRDefault="00AE7191" w:rsidP="00722885">
      <w:pPr>
        <w:pStyle w:val="Iauiue"/>
        <w:jc w:val="both"/>
        <w:rPr>
          <w:color w:val="000000" w:themeColor="text1"/>
          <w:sz w:val="16"/>
          <w:szCs w:val="16"/>
        </w:rPr>
      </w:pPr>
    </w:p>
    <w:p w14:paraId="48E01EF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910D759" w14:textId="77777777" w:rsidR="00AE7191" w:rsidRPr="00722885" w:rsidRDefault="00AE7191" w:rsidP="00722885">
      <w:pPr>
        <w:pStyle w:val="Iauiue"/>
        <w:jc w:val="both"/>
        <w:rPr>
          <w:iCs/>
          <w:color w:val="000000" w:themeColor="text1"/>
          <w:sz w:val="16"/>
          <w:szCs w:val="16"/>
        </w:rPr>
      </w:pPr>
    </w:p>
    <w:p w14:paraId="7622679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сентябрю-ок</w:t>
      </w:r>
      <w:r w:rsidRPr="00722885">
        <w:rPr>
          <w:rFonts w:ascii="Times New Roman" w:hAnsi="Times New Roman"/>
          <w:color w:val="000000" w:themeColor="text1"/>
          <w:sz w:val="16"/>
          <w:szCs w:val="16"/>
        </w:rPr>
        <w:softHyphen/>
        <w:t>тябрю 1942 г. к моменту утверждения чертежей Т-43 все основные агрегаты нового танка были опробованы и их работоспособность не вызывала сомнений. А 5-скоростные КПП, созданные для Т-43, были поставле</w:t>
      </w:r>
      <w:r w:rsidRPr="00722885">
        <w:rPr>
          <w:rFonts w:ascii="Times New Roman" w:hAnsi="Times New Roman"/>
          <w:color w:val="000000" w:themeColor="text1"/>
          <w:sz w:val="16"/>
          <w:szCs w:val="16"/>
        </w:rPr>
        <w:softHyphen/>
        <w:t>ны с марта-июня 1943 г. в массовое производство для Т-34. Еще до окончания испытаний новой башни и 5-скорост</w:t>
      </w:r>
      <w:r w:rsidRPr="00722885">
        <w:rPr>
          <w:rFonts w:ascii="Times New Roman" w:hAnsi="Times New Roman"/>
          <w:color w:val="000000" w:themeColor="text1"/>
          <w:sz w:val="16"/>
          <w:szCs w:val="16"/>
        </w:rPr>
        <w:softHyphen/>
        <w:t>ной КПП, ввиду тяжелого положения на фронте, было при</w:t>
      </w:r>
      <w:r w:rsidRPr="00722885">
        <w:rPr>
          <w:rFonts w:ascii="Times New Roman" w:hAnsi="Times New Roman"/>
          <w:color w:val="000000" w:themeColor="text1"/>
          <w:sz w:val="16"/>
          <w:szCs w:val="16"/>
        </w:rPr>
        <w:softHyphen/>
        <w:t>нято решение спешно ввести все новшества Т-43 в серийное производство Т-34, и в октябре 1942 г. на испытания вышел танк, получивший название опять же Т-34С. Он нес 5-скоростную КПП и трехместную башню Т-43 второго образца, лобовую броню толщиной 60 мм, но прежний натяжной ме</w:t>
      </w:r>
      <w:r w:rsidRPr="00722885">
        <w:rPr>
          <w:rFonts w:ascii="Times New Roman" w:hAnsi="Times New Roman"/>
          <w:color w:val="000000" w:themeColor="text1"/>
          <w:sz w:val="16"/>
          <w:szCs w:val="16"/>
        </w:rPr>
        <w:softHyphen/>
        <w:t>ханизм и катки с внутренней амортизацией. Но этот улучшенный танк уже не имел резервов по даль</w:t>
      </w:r>
      <w:r w:rsidRPr="00722885">
        <w:rPr>
          <w:rFonts w:ascii="Times New Roman" w:hAnsi="Times New Roman"/>
          <w:color w:val="000000" w:themeColor="text1"/>
          <w:sz w:val="16"/>
          <w:szCs w:val="16"/>
        </w:rPr>
        <w:softHyphen/>
        <w:t>нейшей модернизации, так как даже с броней 45 мм его мас</w:t>
      </w:r>
      <w:r w:rsidRPr="00722885">
        <w:rPr>
          <w:rFonts w:ascii="Times New Roman" w:hAnsi="Times New Roman"/>
          <w:color w:val="000000" w:themeColor="text1"/>
          <w:sz w:val="16"/>
          <w:szCs w:val="16"/>
        </w:rPr>
        <w:softHyphen/>
        <w:t>са в превысила предел в 32 тонны. Кроме того, его механиз</w:t>
      </w:r>
      <w:r w:rsidRPr="00722885">
        <w:rPr>
          <w:rFonts w:ascii="Times New Roman" w:hAnsi="Times New Roman"/>
          <w:color w:val="000000" w:themeColor="text1"/>
          <w:sz w:val="16"/>
          <w:szCs w:val="16"/>
        </w:rPr>
        <w:softHyphen/>
        <w:t>мы работали недостаточно надежно, а эргономика рабочих мест оставляла желать лучшего. Поэтому с декабря 1943 г. все работы по дальнейшей модернизации танка Т-34 были свер</w:t>
      </w:r>
      <w:r w:rsidRPr="00722885">
        <w:rPr>
          <w:rFonts w:ascii="Times New Roman" w:hAnsi="Times New Roman"/>
          <w:color w:val="000000" w:themeColor="text1"/>
          <w:sz w:val="16"/>
          <w:szCs w:val="16"/>
        </w:rPr>
        <w:softHyphen/>
        <w:t>нуты, тогда как создание Т-43 форсировано (10782).</w:t>
      </w:r>
    </w:p>
    <w:p w14:paraId="20EC17A5"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1C53D30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6D4B02D" w14:textId="77777777" w:rsidR="00AE7191" w:rsidRPr="00722885" w:rsidRDefault="00AE7191" w:rsidP="00722885">
      <w:pPr>
        <w:pStyle w:val="Iauiue"/>
        <w:jc w:val="both"/>
        <w:rPr>
          <w:iCs/>
          <w:color w:val="000000" w:themeColor="text1"/>
          <w:sz w:val="16"/>
          <w:szCs w:val="16"/>
        </w:rPr>
      </w:pPr>
    </w:p>
    <w:p w14:paraId="3877A4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осени 1942 ТБ-7 (АНТ-42) с М-82 поступил на совместные испытания. Дальность повысилась до 5000 км (306).</w:t>
      </w:r>
    </w:p>
    <w:p w14:paraId="60E93A7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другим данным совместные испытания проходили с 3 апреля по 24 октября 1942.</w:t>
      </w:r>
    </w:p>
    <w:p w14:paraId="6E757173" w14:textId="77777777" w:rsidR="00AE7191" w:rsidRPr="00722885" w:rsidRDefault="00AE7191" w:rsidP="00722885">
      <w:pPr>
        <w:pStyle w:val="Iauiue"/>
        <w:jc w:val="both"/>
        <w:rPr>
          <w:iCs/>
          <w:color w:val="000000" w:themeColor="text1"/>
          <w:sz w:val="16"/>
          <w:szCs w:val="16"/>
        </w:rPr>
      </w:pPr>
    </w:p>
    <w:p w14:paraId="2A8E30C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BF220A1" w14:textId="77777777" w:rsidR="00AE7191" w:rsidRPr="00722885" w:rsidRDefault="00AE7191" w:rsidP="00722885">
      <w:pPr>
        <w:pStyle w:val="Iauiue"/>
        <w:jc w:val="both"/>
        <w:rPr>
          <w:iCs/>
          <w:color w:val="000000" w:themeColor="text1"/>
          <w:sz w:val="16"/>
          <w:szCs w:val="16"/>
        </w:rPr>
      </w:pPr>
    </w:p>
    <w:p w14:paraId="02DA8E45"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Начиная с 1 сентября 1942 10 самолетов с пушками Ш-37, построенных на заводе № 18 — зав. № 1873522, 1873722, 1873822, 1873023, 1876123, 1879928, 1871129, 1875029, 1878029, 1879029, проходили от</w:t>
      </w:r>
      <w:r w:rsidRPr="00722885">
        <w:rPr>
          <w:color w:val="000000" w:themeColor="text1"/>
          <w:sz w:val="16"/>
          <w:szCs w:val="16"/>
        </w:rPr>
        <w:softHyphen/>
        <w:t>работку на летно-испытательной станции завода № 18 и на полигоне 5-го запасного авиаполка 1-й запасной авиабригады в Кинель-Черкассах.</w:t>
      </w:r>
    </w:p>
    <w:p w14:paraId="15908F03"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Пушки Ш-37 имели магазинное питание на 40 патронов. Как и на самолете Ил-2 с Ш-37 зав. № 1861704, пушки устанавливались под крылом на двух кронштейнах — переднем и заднем. Перед</w:t>
      </w:r>
      <w:r w:rsidRPr="00722885">
        <w:rPr>
          <w:color w:val="000000" w:themeColor="text1"/>
          <w:sz w:val="16"/>
          <w:szCs w:val="16"/>
        </w:rPr>
        <w:softHyphen/>
        <w:t>нее крепление является поддерживающим. На нем имелись винты горизонтальной и вертикальной ре</w:t>
      </w:r>
      <w:r w:rsidRPr="00722885">
        <w:rPr>
          <w:color w:val="000000" w:themeColor="text1"/>
          <w:sz w:val="16"/>
          <w:szCs w:val="16"/>
        </w:rPr>
        <w:softHyphen/>
        <w:t>гулировки, необходимые для наводки оружия при пристрелке. Заднее крепление было силовым. Оно воспринимало всю силу отдачи пушки при выстре</w:t>
      </w:r>
      <w:r w:rsidRPr="00722885">
        <w:rPr>
          <w:color w:val="000000" w:themeColor="text1"/>
          <w:sz w:val="16"/>
          <w:szCs w:val="16"/>
        </w:rPr>
        <w:softHyphen/>
        <w:t>ле через противооткатное устройство лафета пуш</w:t>
      </w:r>
      <w:r w:rsidRPr="00722885">
        <w:rPr>
          <w:color w:val="000000" w:themeColor="text1"/>
          <w:sz w:val="16"/>
          <w:szCs w:val="16"/>
        </w:rPr>
        <w:softHyphen/>
        <w:t>ки. На заднем и переднем креплениях пушка закре</w:t>
      </w:r>
      <w:r w:rsidRPr="00722885">
        <w:rPr>
          <w:color w:val="000000" w:themeColor="text1"/>
          <w:sz w:val="16"/>
          <w:szCs w:val="16"/>
        </w:rPr>
        <w:softHyphen/>
        <w:t>пляется на цапфах с помощью специальных раз</w:t>
      </w:r>
      <w:r w:rsidRPr="00722885">
        <w:rPr>
          <w:color w:val="000000" w:themeColor="text1"/>
          <w:sz w:val="16"/>
          <w:szCs w:val="16"/>
        </w:rPr>
        <w:softHyphen/>
        <w:t>резных гаек. Для устойчивого положения магазин поддерживается в двух точках складывающимися качалками. Эти качалки имеют общую ось враще</w:t>
      </w:r>
      <w:r w:rsidRPr="00722885">
        <w:rPr>
          <w:color w:val="000000" w:themeColor="text1"/>
          <w:sz w:val="16"/>
          <w:szCs w:val="16"/>
        </w:rPr>
        <w:softHyphen/>
        <w:t>ния на кронштейне, который устанавливается на стенке заднего лонжерона. Спуск пушек работает от электроспуска, перезарядка — от воздушной си</w:t>
      </w:r>
      <w:r w:rsidRPr="00722885">
        <w:rPr>
          <w:color w:val="000000" w:themeColor="text1"/>
          <w:sz w:val="16"/>
          <w:szCs w:val="16"/>
        </w:rPr>
        <w:softHyphen/>
        <w:t>стемы при давлении 50 атм.</w:t>
      </w:r>
    </w:p>
    <w:p w14:paraId="65CB246E"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со</w:t>
      </w:r>
      <w:r w:rsidRPr="00722885">
        <w:rPr>
          <w:color w:val="000000" w:themeColor="text1"/>
          <w:sz w:val="16"/>
          <w:szCs w:val="16"/>
        </w:rPr>
        <w:softHyphen/>
        <w:t>став испытательной бригады входили: начальник группы вооружения СКО инженер Васильев, ве</w:t>
      </w:r>
      <w:r w:rsidRPr="00722885">
        <w:rPr>
          <w:color w:val="000000" w:themeColor="text1"/>
          <w:sz w:val="16"/>
          <w:szCs w:val="16"/>
        </w:rPr>
        <w:softHyphen/>
        <w:t>дущий инженер военного представительства по вооружению инженер-капитан Сиваков, ведущий инженер ОКБ-15 Объедков, начальник цеха при</w:t>
      </w:r>
      <w:r w:rsidRPr="00722885">
        <w:rPr>
          <w:color w:val="000000" w:themeColor="text1"/>
          <w:sz w:val="16"/>
          <w:szCs w:val="16"/>
        </w:rPr>
        <w:softHyphen/>
        <w:t>стрелки Гвоздев.</w:t>
      </w:r>
    </w:p>
    <w:p w14:paraId="3D418599"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Основные результаты сводились к следующе</w:t>
      </w:r>
      <w:r w:rsidRPr="00722885">
        <w:rPr>
          <w:color w:val="000000" w:themeColor="text1"/>
          <w:sz w:val="16"/>
          <w:szCs w:val="16"/>
        </w:rPr>
        <w:softHyphen/>
        <w:t>му. Механизм крепления пушки Ш-37 под крылом самолета допускал откат всей пушки вместе с па</w:t>
      </w:r>
      <w:r w:rsidRPr="00722885">
        <w:rPr>
          <w:color w:val="000000" w:themeColor="text1"/>
          <w:sz w:val="16"/>
          <w:szCs w:val="16"/>
        </w:rPr>
        <w:softHyphen/>
        <w:t>тронным ящиком до 120 мм, обеспечивая при этом нормальную работу автоматики пушек, удобную ре</w:t>
      </w:r>
      <w:r w:rsidRPr="00722885">
        <w:rPr>
          <w:color w:val="000000" w:themeColor="text1"/>
          <w:sz w:val="16"/>
          <w:szCs w:val="16"/>
        </w:rPr>
        <w:softHyphen/>
        <w:t>гулировку, постановку и снятие пушек.</w:t>
      </w:r>
    </w:p>
    <w:p w14:paraId="15AF1F2B"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Изрядно повозились с обеспечением необхо</w:t>
      </w:r>
      <w:r w:rsidRPr="00722885">
        <w:rPr>
          <w:color w:val="000000" w:themeColor="text1"/>
          <w:sz w:val="16"/>
          <w:szCs w:val="16"/>
        </w:rPr>
        <w:softHyphen/>
        <w:t>димой прочности крепления магазина пушки. При стрельбах регулярно происходили отказы в стрель</w:t>
      </w:r>
      <w:r w:rsidRPr="00722885">
        <w:rPr>
          <w:color w:val="000000" w:themeColor="text1"/>
          <w:sz w:val="16"/>
          <w:szCs w:val="16"/>
        </w:rPr>
        <w:softHyphen/>
        <w:t>бе вследствие поломок кронштейна крепления магазина к лонжерону крыла. Положительных ре</w:t>
      </w:r>
      <w:r w:rsidRPr="00722885">
        <w:rPr>
          <w:color w:val="000000" w:themeColor="text1"/>
          <w:sz w:val="16"/>
          <w:szCs w:val="16"/>
        </w:rPr>
        <w:softHyphen/>
        <w:t>зультатов удалось достичь только после изменения конструкции кронштейна и применения листовой стали при его изготовлении.</w:t>
      </w:r>
    </w:p>
    <w:p w14:paraId="7A4B6D43"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Для исключения перекосов в установке мага</w:t>
      </w:r>
      <w:r w:rsidRPr="00722885">
        <w:rPr>
          <w:color w:val="000000" w:themeColor="text1"/>
          <w:sz w:val="16"/>
          <w:szCs w:val="16"/>
        </w:rPr>
        <w:softHyphen/>
        <w:t>зина и возможных деформаций кронштейна или самого лонжерона при плохом монтаже рекомен</w:t>
      </w:r>
      <w:r w:rsidRPr="00722885">
        <w:rPr>
          <w:color w:val="000000" w:themeColor="text1"/>
          <w:sz w:val="16"/>
          <w:szCs w:val="16"/>
        </w:rPr>
        <w:softHyphen/>
        <w:t>довалось «ОКБ-15 разработать крепление магазина на самой пушке, не связывая последнее с конструк</w:t>
      </w:r>
      <w:r w:rsidRPr="00722885">
        <w:rPr>
          <w:color w:val="000000" w:themeColor="text1"/>
          <w:sz w:val="16"/>
          <w:szCs w:val="16"/>
        </w:rPr>
        <w:softHyphen/>
        <w:t>цией крыла /.../ или улучшить старую конструкцию ящика путем замены существующего соединения рычагов качалок на тандерное соединение». По мнению специалистов испытательной бригады, «та</w:t>
      </w:r>
      <w:r w:rsidRPr="00722885">
        <w:rPr>
          <w:color w:val="000000" w:themeColor="text1"/>
          <w:sz w:val="16"/>
          <w:szCs w:val="16"/>
        </w:rPr>
        <w:softHyphen/>
        <w:t>кое изменение позволит производить регулировку наклона ящика питания относительно ствольной коробки без разборки качалок».</w:t>
      </w:r>
    </w:p>
    <w:p w14:paraId="3AABAFD5"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сами пушки «благодаря про</w:t>
      </w:r>
      <w:r w:rsidRPr="00722885">
        <w:rPr>
          <w:color w:val="000000" w:themeColor="text1"/>
          <w:sz w:val="16"/>
          <w:szCs w:val="16"/>
        </w:rPr>
        <w:softHyphen/>
        <w:t>стой и надежной кинематике» при всех стрельбах работали удовлетворительно. Отказы и задержки возникали главным образом «по причине произ</w:t>
      </w:r>
      <w:r w:rsidRPr="00722885">
        <w:rPr>
          <w:color w:val="000000" w:themeColor="text1"/>
          <w:sz w:val="16"/>
          <w:szCs w:val="16"/>
        </w:rPr>
        <w:softHyphen/>
        <w:t>водственных дефектов завода № 74 в изготовлении ящиков питания ЯП-40».</w:t>
      </w:r>
    </w:p>
    <w:p w14:paraId="67854808"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Для подтверждения надежности в стрельбе пу</w:t>
      </w:r>
      <w:r w:rsidRPr="00722885">
        <w:rPr>
          <w:color w:val="000000" w:themeColor="text1"/>
          <w:sz w:val="16"/>
          <w:szCs w:val="16"/>
        </w:rPr>
        <w:softHyphen/>
        <w:t>шек Ш-37 был проведен «настрел пушки Г-103 до 531 выстрела» на самолете Ил-2 зав. № 1876123. Эта стрельба проходила без серьезных задержек. Автоматика пушки работала отлично.</w:t>
      </w:r>
    </w:p>
    <w:p w14:paraId="7F2949F2"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имелись и недостатки. Так, вследствие неудачной формы приемного окна ствольной ко</w:t>
      </w:r>
      <w:r w:rsidRPr="00722885">
        <w:rPr>
          <w:color w:val="000000" w:themeColor="text1"/>
          <w:sz w:val="16"/>
          <w:szCs w:val="16"/>
        </w:rPr>
        <w:softHyphen/>
        <w:t>робки при задержке из-за обрыва гильзы «боевой патрон экстрагирует оборванное дульце гильзы и не может пройти с нею через приемное окно», тогда как «снять оборванную гильзу очень трудно и опасно». Предлагалось «расфрезеровать выход</w:t>
      </w:r>
      <w:r w:rsidRPr="00722885">
        <w:rPr>
          <w:color w:val="000000" w:themeColor="text1"/>
          <w:sz w:val="16"/>
          <w:szCs w:val="16"/>
        </w:rPr>
        <w:softHyphen/>
        <w:t>ную сторону приемного окна ствольной коробки по форме прямоугольника».</w:t>
      </w:r>
    </w:p>
    <w:p w14:paraId="6E06D075"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того, требовалось решить вопрос «о легком извлечении последней стреляной гильзы из патронника, так как после выстрела последне</w:t>
      </w:r>
      <w:r w:rsidRPr="00722885">
        <w:rPr>
          <w:color w:val="000000" w:themeColor="text1"/>
          <w:sz w:val="16"/>
          <w:szCs w:val="16"/>
        </w:rPr>
        <w:softHyphen/>
        <w:t>го боевого патрона затвор досылает в патронник стреляную гильзу, шедшую за последним боевым патроном». При этом обеспечить экстракцию этой гильзы одной только перезарядкой не получалось. Необходимо было помогать выталкиванию гильзы банником через ствол пушки.</w:t>
      </w:r>
    </w:p>
    <w:p w14:paraId="167808F9"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Перезарядка пушек Ш-37 осуществлялась при помощи установленных на пушке 2 цилиндров пе</w:t>
      </w:r>
      <w:r w:rsidRPr="00722885">
        <w:rPr>
          <w:color w:val="000000" w:themeColor="text1"/>
          <w:sz w:val="16"/>
          <w:szCs w:val="16"/>
        </w:rPr>
        <w:softHyphen/>
        <w:t>резарядки, которые уверенно работали при устра</w:t>
      </w:r>
      <w:r w:rsidRPr="00722885">
        <w:rPr>
          <w:color w:val="000000" w:themeColor="text1"/>
          <w:sz w:val="16"/>
          <w:szCs w:val="16"/>
        </w:rPr>
        <w:softHyphen/>
        <w:t>нении задержки в стрельбе («возвращение частей в крайнее заднее положение с патроном») в любых условиях при давлении воздуха в системе самолета от 30 до 50 атм.</w:t>
      </w:r>
    </w:p>
    <w:p w14:paraId="15FD04A9"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связи с увеличенным расходом воздуха на каж</w:t>
      </w:r>
      <w:r w:rsidRPr="00722885">
        <w:rPr>
          <w:color w:val="000000" w:themeColor="text1"/>
          <w:sz w:val="16"/>
          <w:szCs w:val="16"/>
        </w:rPr>
        <w:softHyphen/>
        <w:t>дом самолете Ил-2 с пушками Ш-37 дополнительно устанавливался резервный баллон на 8 л (давление 150 атм.), «кроме двух существующих баллонов по 12 л — один на 150 атм., а другой на 50 атм.».</w:t>
      </w:r>
    </w:p>
    <w:p w14:paraId="26A896D2"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серьезному недостатку системы перезарядки отнесли большое время поступления воздуха в ци</w:t>
      </w:r>
      <w:r w:rsidRPr="00722885">
        <w:rPr>
          <w:color w:val="000000" w:themeColor="text1"/>
          <w:sz w:val="16"/>
          <w:szCs w:val="16"/>
        </w:rPr>
        <w:softHyphen/>
        <w:t>линдры перезарядки, что обуславливалось «боль</w:t>
      </w:r>
      <w:r w:rsidRPr="00722885">
        <w:rPr>
          <w:color w:val="000000" w:themeColor="text1"/>
          <w:sz w:val="16"/>
          <w:szCs w:val="16"/>
        </w:rPr>
        <w:softHyphen/>
        <w:t>шим ходом поршней, равным 375 мм, и малым сечением гибкого шланга, равным всего 6 мм». На практике для полной перезарядки пушки в воздухе требовалось около 4—6 сек. Для устранения этого дефекта предлагалось увеличить сечение гибких шлангов до 8 мм.</w:t>
      </w:r>
    </w:p>
    <w:p w14:paraId="2CAEBE72"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Несмотря на то что электроспуски при напряже</w:t>
      </w:r>
      <w:r w:rsidRPr="00722885">
        <w:rPr>
          <w:color w:val="000000" w:themeColor="text1"/>
          <w:sz w:val="16"/>
          <w:szCs w:val="16"/>
        </w:rPr>
        <w:softHyphen/>
        <w:t>нии аккумулятора не менее 20 вольт надежно ра</w:t>
      </w:r>
      <w:r w:rsidRPr="00722885">
        <w:rPr>
          <w:color w:val="000000" w:themeColor="text1"/>
          <w:sz w:val="16"/>
          <w:szCs w:val="16"/>
        </w:rPr>
        <w:softHyphen/>
        <w:t>ботали на земле и в воздухе, было рекомендовано «ОКБ-15 и НКАП установить дублирующую пневмо- систему электроспуска конструкции завода № 18».</w:t>
      </w:r>
    </w:p>
    <w:p w14:paraId="46CCF22E"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Пристрелка пушек выполнялась с помощью ТХП на дистанции 50 м, исходя из действительной дис</w:t>
      </w:r>
      <w:r w:rsidRPr="00722885">
        <w:rPr>
          <w:color w:val="000000" w:themeColor="text1"/>
          <w:sz w:val="16"/>
          <w:szCs w:val="16"/>
        </w:rPr>
        <w:softHyphen/>
        <w:t>танции огня 400 м.</w:t>
      </w:r>
    </w:p>
    <w:p w14:paraId="3F73B596"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облетывались и отстреливались в воздухе по полному боекомплекту. Несколько са</w:t>
      </w:r>
      <w:r w:rsidRPr="00722885">
        <w:rPr>
          <w:color w:val="000000" w:themeColor="text1"/>
          <w:sz w:val="16"/>
          <w:szCs w:val="16"/>
        </w:rPr>
        <w:softHyphen/>
        <w:t>молетов отстрелял опытный летчик-испытатель, заместитель начальника летно-испытательной станции завода № 18 майор Е. Н. Ломакин. Ника</w:t>
      </w:r>
      <w:r w:rsidRPr="00722885">
        <w:rPr>
          <w:color w:val="000000" w:themeColor="text1"/>
          <w:sz w:val="16"/>
          <w:szCs w:val="16"/>
        </w:rPr>
        <w:softHyphen/>
        <w:t xml:space="preserve">ких негативных особенностей в пилотировании и применении Ил-2 с Ш-37 он не отметил: «1. </w:t>
      </w:r>
      <w:r w:rsidRPr="00722885">
        <w:rPr>
          <w:color w:val="000000" w:themeColor="text1"/>
          <w:sz w:val="16"/>
          <w:szCs w:val="16"/>
        </w:rPr>
        <w:lastRenderedPageBreak/>
        <w:t>Ма</w:t>
      </w:r>
      <w:r w:rsidRPr="00722885">
        <w:rPr>
          <w:color w:val="000000" w:themeColor="text1"/>
          <w:sz w:val="16"/>
          <w:szCs w:val="16"/>
        </w:rPr>
        <w:softHyphen/>
        <w:t>шины с пушками ШФК-37 устойчивы в воздухе и ничем не отличаются от машин серийного типа. 2. Для израсходования полного боекомплекта пат</w:t>
      </w:r>
      <w:r w:rsidRPr="00722885">
        <w:rPr>
          <w:color w:val="000000" w:themeColor="text1"/>
          <w:sz w:val="16"/>
          <w:szCs w:val="16"/>
        </w:rPr>
        <w:softHyphen/>
        <w:t>ронов необходимо делать не менее 4—5 заходов по 8—10 патронов в очереди. 3. Кучность попа</w:t>
      </w:r>
      <w:r w:rsidRPr="00722885">
        <w:rPr>
          <w:color w:val="000000" w:themeColor="text1"/>
          <w:sz w:val="16"/>
          <w:szCs w:val="16"/>
        </w:rPr>
        <w:softHyphen/>
        <w:t>дания хорошая. С самолета хорошо видны сле</w:t>
      </w:r>
      <w:r w:rsidRPr="00722885">
        <w:rPr>
          <w:color w:val="000000" w:themeColor="text1"/>
          <w:sz w:val="16"/>
          <w:szCs w:val="16"/>
        </w:rPr>
        <w:softHyphen/>
        <w:t>ды попаданий, особенно попадания в землю.</w:t>
      </w:r>
    </w:p>
    <w:p w14:paraId="550A2464"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Это дает возможность ориентироваться в точности попаданий. 4. Стрельба прицельным огнем в ноч</w:t>
      </w:r>
      <w:r w:rsidRPr="00722885">
        <w:rPr>
          <w:color w:val="000000" w:themeColor="text1"/>
          <w:sz w:val="16"/>
          <w:szCs w:val="16"/>
        </w:rPr>
        <w:softHyphen/>
        <w:t>ное время невозможна, так как пламя пушек ос</w:t>
      </w:r>
      <w:r w:rsidRPr="00722885">
        <w:rPr>
          <w:color w:val="000000" w:themeColor="text1"/>
          <w:sz w:val="16"/>
          <w:szCs w:val="16"/>
        </w:rPr>
        <w:softHyphen/>
        <w:t>лепляет летчика, который теряет ориентировку. 5. Управление перезарядкой и стрельбой простое и удобное».</w:t>
      </w:r>
    </w:p>
    <w:p w14:paraId="0122F58F"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начале октября все 10 самолетов Ил-2 с пуш</w:t>
      </w:r>
      <w:r w:rsidRPr="00722885">
        <w:rPr>
          <w:color w:val="000000" w:themeColor="text1"/>
          <w:sz w:val="16"/>
          <w:szCs w:val="16"/>
        </w:rPr>
        <w:softHyphen/>
        <w:t>ками Ш-37 официально были переданы 1-й запас</w:t>
      </w:r>
      <w:r w:rsidRPr="00722885">
        <w:rPr>
          <w:color w:val="000000" w:themeColor="text1"/>
          <w:sz w:val="16"/>
          <w:szCs w:val="16"/>
        </w:rPr>
        <w:softHyphen/>
        <w:t>ной авиабригаде и перегнаны на аэродром Кряж, где около месяца «они никакому полку переданы не были и за них никто не отвечал, за ними никто не следил». Затем этими самолетами решили во</w:t>
      </w:r>
      <w:r w:rsidRPr="00722885">
        <w:rPr>
          <w:color w:val="000000" w:themeColor="text1"/>
          <w:sz w:val="16"/>
          <w:szCs w:val="16"/>
        </w:rPr>
        <w:softHyphen/>
        <w:t>оружить 617-й шап, который проходил переучива</w:t>
      </w:r>
      <w:r w:rsidRPr="00722885">
        <w:rPr>
          <w:color w:val="000000" w:themeColor="text1"/>
          <w:sz w:val="16"/>
          <w:szCs w:val="16"/>
        </w:rPr>
        <w:softHyphen/>
        <w:t>ние и переформирование в составе 5-го зап в Ки- нель-Черкассах (аэродром Толкай). На аэродром Толкай и перегнали противотанковые Ил-2.</w:t>
      </w:r>
    </w:p>
    <w:p w14:paraId="353331A3"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Насколько удалось установить по документам, находясь на балансе 617-го шап, самолеты факти</w:t>
      </w:r>
      <w:r w:rsidRPr="00722885">
        <w:rPr>
          <w:color w:val="000000" w:themeColor="text1"/>
          <w:sz w:val="16"/>
          <w:szCs w:val="16"/>
        </w:rPr>
        <w:softHyphen/>
        <w:t>чески стояли бесхозными. В течение месяца ими никто не занимался и за оружием не следил.</w:t>
      </w:r>
    </w:p>
    <w:p w14:paraId="08040705"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моменту приезда в полк старшего техника военного представительства ГУЗ ВВС КА на за</w:t>
      </w:r>
      <w:r w:rsidRPr="00722885">
        <w:rPr>
          <w:color w:val="000000" w:themeColor="text1"/>
          <w:sz w:val="16"/>
          <w:szCs w:val="16"/>
        </w:rPr>
        <w:softHyphen/>
        <w:t>воде № 18 старшего техника-лейтенанта А. Г. Ти- шевского 8 ноября 1942 г. пушки Ш-37 на всех самолетах Ил-2 оказались в крайне запущенном состоянии: «. подвижные части и каналы ство</w:t>
      </w:r>
      <w:r w:rsidRPr="00722885">
        <w:rPr>
          <w:color w:val="000000" w:themeColor="text1"/>
          <w:sz w:val="16"/>
          <w:szCs w:val="16"/>
        </w:rPr>
        <w:softHyphen/>
        <w:t>лов и снаружи пушки были ржавые». Тишев- ский немедленно доложил о положении дел в полку старшему военному представителю ГУЗ ВВС на заводе № 18 инженер-подполковнику Кувеневу и предпринял активные шаги по приведению пу</w:t>
      </w:r>
      <w:r w:rsidRPr="00722885">
        <w:rPr>
          <w:color w:val="000000" w:themeColor="text1"/>
          <w:sz w:val="16"/>
          <w:szCs w:val="16"/>
        </w:rPr>
        <w:softHyphen/>
        <w:t>шек в надлежащий вид.</w:t>
      </w:r>
    </w:p>
    <w:p w14:paraId="1D8E10C4"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докладу Тишевского, «инженер по вооруже</w:t>
      </w:r>
      <w:r w:rsidRPr="00722885">
        <w:rPr>
          <w:color w:val="000000" w:themeColor="text1"/>
          <w:sz w:val="16"/>
          <w:szCs w:val="16"/>
        </w:rPr>
        <w:softHyphen/>
        <w:t>нию 617-го шап военинженер 3-го ранга Черненков беззаботно и халатно отнесся к оружию». Послед</w:t>
      </w:r>
      <w:r w:rsidRPr="00722885">
        <w:rPr>
          <w:color w:val="000000" w:themeColor="text1"/>
          <w:sz w:val="16"/>
          <w:szCs w:val="16"/>
        </w:rPr>
        <w:softHyphen/>
        <w:t>ний ссылался на отсутствие технического состава, хотя в полку было 20 специалистов по вооружению. Однако «часть этих людей все время использова</w:t>
      </w:r>
      <w:r w:rsidRPr="00722885">
        <w:rPr>
          <w:color w:val="000000" w:themeColor="text1"/>
          <w:sz w:val="16"/>
          <w:szCs w:val="16"/>
        </w:rPr>
        <w:softHyphen/>
        <w:t>лась в нарядах и на разных работах, но если бы у инженера полка по вооружению было желание содержать оружие в надлежащем виде и в полной сохранности, то он всегда сумел бы найти для этого людей и время». Между тем со стороны заместите</w:t>
      </w:r>
      <w:r w:rsidRPr="00722885">
        <w:rPr>
          <w:color w:val="000000" w:themeColor="text1"/>
          <w:sz w:val="16"/>
          <w:szCs w:val="16"/>
        </w:rPr>
        <w:softHyphen/>
        <w:t>ля командира полка майора Шалыгина (командир полка майор Гапанюк до 17 ноября находился в от</w:t>
      </w:r>
      <w:r w:rsidRPr="00722885">
        <w:rPr>
          <w:color w:val="000000" w:themeColor="text1"/>
          <w:sz w:val="16"/>
          <w:szCs w:val="16"/>
        </w:rPr>
        <w:softHyphen/>
        <w:t>пуске) полностью отсутствовал контроль состояния материальной части вооружения самолетов и ра</w:t>
      </w:r>
      <w:r w:rsidRPr="00722885">
        <w:rPr>
          <w:color w:val="000000" w:themeColor="text1"/>
          <w:sz w:val="16"/>
          <w:szCs w:val="16"/>
        </w:rPr>
        <w:softHyphen/>
        <w:t>боты инженера полка по вооружению. Не проявило должного внимания к противотанковым самолетам Ил-2 и командование 5-го запасного полка (коман</w:t>
      </w:r>
      <w:r w:rsidRPr="00722885">
        <w:rPr>
          <w:color w:val="000000" w:themeColor="text1"/>
          <w:sz w:val="16"/>
          <w:szCs w:val="16"/>
        </w:rPr>
        <w:softHyphen/>
        <w:t>дир полка — майор Беляков, инженер по вооруже</w:t>
      </w:r>
      <w:r w:rsidRPr="00722885">
        <w:rPr>
          <w:color w:val="000000" w:themeColor="text1"/>
          <w:sz w:val="16"/>
          <w:szCs w:val="16"/>
        </w:rPr>
        <w:softHyphen/>
        <w:t>нию — воентехник 1-го ранга Галкин), в подчине</w:t>
      </w:r>
      <w:r w:rsidRPr="00722885">
        <w:rPr>
          <w:color w:val="000000" w:themeColor="text1"/>
          <w:sz w:val="16"/>
          <w:szCs w:val="16"/>
        </w:rPr>
        <w:softHyphen/>
        <w:t>нии которого находился 617-й шап в период пере</w:t>
      </w:r>
      <w:r w:rsidRPr="00722885">
        <w:rPr>
          <w:color w:val="000000" w:themeColor="text1"/>
          <w:sz w:val="16"/>
          <w:szCs w:val="16"/>
        </w:rPr>
        <w:softHyphen/>
        <w:t>учивания.</w:t>
      </w:r>
    </w:p>
    <w:p w14:paraId="6E25E509"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«разбора полетов» на уровне командо</w:t>
      </w:r>
      <w:r w:rsidRPr="00722885">
        <w:rPr>
          <w:color w:val="000000" w:themeColor="text1"/>
          <w:sz w:val="16"/>
          <w:szCs w:val="16"/>
        </w:rPr>
        <w:softHyphen/>
        <w:t>вания полков, запасной бригады, руководства во</w:t>
      </w:r>
      <w:r w:rsidRPr="00722885">
        <w:rPr>
          <w:color w:val="000000" w:themeColor="text1"/>
          <w:sz w:val="16"/>
          <w:szCs w:val="16"/>
        </w:rPr>
        <w:softHyphen/>
        <w:t>енного представительства на заводе № 18 и УЗСиМ ГУЗ ВВС за пушки, наконец, основательно взялись и к 21 ноября привели в надлежащий вид. Однако «от сильного ржавения на многих деталях пушек остались неустранимые следы ржавчины и рако</w:t>
      </w:r>
      <w:r w:rsidRPr="00722885">
        <w:rPr>
          <w:color w:val="000000" w:themeColor="text1"/>
          <w:sz w:val="16"/>
          <w:szCs w:val="16"/>
        </w:rPr>
        <w:softHyphen/>
        <w:t>вины».</w:t>
      </w:r>
    </w:p>
    <w:p w14:paraId="3ED08ACF"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 фактическом состоянии пушек Ш-37 и самоле</w:t>
      </w:r>
      <w:r w:rsidRPr="00722885">
        <w:rPr>
          <w:color w:val="000000" w:themeColor="text1"/>
          <w:sz w:val="16"/>
          <w:szCs w:val="16"/>
        </w:rPr>
        <w:softHyphen/>
        <w:t>тов Ил-2 противотанковой серии Тишевский 23 но</w:t>
      </w:r>
      <w:r w:rsidRPr="00722885">
        <w:rPr>
          <w:color w:val="000000" w:themeColor="text1"/>
          <w:sz w:val="16"/>
          <w:szCs w:val="16"/>
        </w:rPr>
        <w:softHyphen/>
        <w:t>ября письменно доложил инженер-подполковнику Кувеневу, а тот в УЗСиМ ГУЗ ВВС.</w:t>
      </w:r>
    </w:p>
    <w:p w14:paraId="616A0515"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Здесь необходимо сказать, что старший тех</w:t>
      </w:r>
      <w:r w:rsidRPr="00722885">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722885">
        <w:rPr>
          <w:color w:val="000000" w:themeColor="text1"/>
          <w:sz w:val="16"/>
          <w:szCs w:val="16"/>
        </w:rPr>
        <w:softHyphen/>
        <w:t>мощи летно-техническому составу полка в осво</w:t>
      </w:r>
      <w:r w:rsidRPr="00722885">
        <w:rPr>
          <w:color w:val="000000" w:themeColor="text1"/>
          <w:sz w:val="16"/>
          <w:szCs w:val="16"/>
        </w:rPr>
        <w:softHyphen/>
        <w:t>ении и эксплуатации пушек. Позже, когда в полк приехала комиссия НИИ ВВС для проведения вой</w:t>
      </w:r>
      <w:r w:rsidRPr="00722885">
        <w:rPr>
          <w:color w:val="000000" w:themeColor="text1"/>
          <w:sz w:val="16"/>
          <w:szCs w:val="16"/>
        </w:rPr>
        <w:softHyphen/>
        <w:t>сковых испытаний самолетов Ил-2 с пушками Ш-37, Тишевский принял деятельное участие и в их про</w:t>
      </w:r>
      <w:r w:rsidRPr="00722885">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3B51E752"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Поскольку ни инженер 617-го шап, ни специ</w:t>
      </w:r>
      <w:r w:rsidRPr="00722885">
        <w:rPr>
          <w:color w:val="000000" w:themeColor="text1"/>
          <w:sz w:val="16"/>
          <w:szCs w:val="16"/>
        </w:rPr>
        <w:softHyphen/>
        <w:t>алисты полка по вооружению пушку Ш-37 не зна</w:t>
      </w:r>
      <w:r w:rsidRPr="00722885">
        <w:rPr>
          <w:color w:val="000000" w:themeColor="text1"/>
          <w:sz w:val="16"/>
          <w:szCs w:val="16"/>
        </w:rPr>
        <w:softHyphen/>
        <w:t>ли, то Тишевский «занялся обучением техниче</w:t>
      </w:r>
      <w:r w:rsidRPr="00722885">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722885">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722885">
        <w:rPr>
          <w:color w:val="000000" w:themeColor="text1"/>
          <w:sz w:val="16"/>
          <w:szCs w:val="16"/>
        </w:rPr>
        <w:softHyphen/>
        <w:t>ко отдельные люди». Прибывшая «от конструкто</w:t>
      </w:r>
      <w:r w:rsidRPr="00722885">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722885">
        <w:rPr>
          <w:color w:val="000000" w:themeColor="text1"/>
          <w:sz w:val="16"/>
          <w:szCs w:val="16"/>
        </w:rPr>
        <w:softHyphen/>
        <w:t>тинов, 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502415D2"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это оказалось не самым главным. К это</w:t>
      </w:r>
      <w:r w:rsidRPr="00722885">
        <w:rPr>
          <w:color w:val="000000" w:themeColor="text1"/>
          <w:sz w:val="16"/>
          <w:szCs w:val="16"/>
        </w:rPr>
        <w:softHyphen/>
        <w:t>му времени выяснилось, что «в 617-м шап летный состав с «илами» мало знаком, летчики все моло</w:t>
      </w:r>
      <w:r w:rsidRPr="00722885">
        <w:rPr>
          <w:color w:val="000000" w:themeColor="text1"/>
          <w:sz w:val="16"/>
          <w:szCs w:val="16"/>
        </w:rPr>
        <w:softHyphen/>
        <w:t>дые, только выпущенные из школ, /.../ переучива</w:t>
      </w:r>
      <w:r w:rsidRPr="00722885">
        <w:rPr>
          <w:color w:val="000000" w:themeColor="text1"/>
          <w:sz w:val="16"/>
          <w:szCs w:val="16"/>
        </w:rPr>
        <w:softHyphen/>
        <w:t>ние только началось, еще не был проработан пер</w:t>
      </w:r>
      <w:r w:rsidRPr="00722885">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722885">
        <w:rPr>
          <w:color w:val="000000" w:themeColor="text1"/>
          <w:sz w:val="16"/>
          <w:szCs w:val="16"/>
        </w:rPr>
        <w:softHyphen/>
        <w:t>ние полка 10 опытных летчиков командир 1-го заб полковник А. И. Подольский оставил без вни</w:t>
      </w:r>
      <w:r w:rsidRPr="00722885">
        <w:rPr>
          <w:color w:val="000000" w:themeColor="text1"/>
          <w:sz w:val="16"/>
          <w:szCs w:val="16"/>
        </w:rPr>
        <w:softHyphen/>
        <w:t>мания.</w:t>
      </w:r>
    </w:p>
    <w:p w14:paraId="1365FBBF"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сложившейся ситуации старший техник-лей</w:t>
      </w:r>
      <w:r w:rsidRPr="00722885">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722885">
        <w:rPr>
          <w:color w:val="000000" w:themeColor="text1"/>
          <w:sz w:val="16"/>
          <w:szCs w:val="16"/>
        </w:rPr>
        <w:softHyphen/>
        <w:t>рованную телеграмму лично начальнику УЗСиМ ГУЗ ВВС инженер-полковнику Алексееву, в которой из</w:t>
      </w:r>
      <w:r w:rsidRPr="00722885">
        <w:rPr>
          <w:color w:val="000000" w:themeColor="text1"/>
          <w:sz w:val="16"/>
          <w:szCs w:val="16"/>
        </w:rPr>
        <w:softHyphen/>
        <w:t>ложил свое мнение и дал оценку состояния пушек и самолетов Ил-2.</w:t>
      </w:r>
    </w:p>
    <w:p w14:paraId="4A779BCA"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69A06035"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722885">
        <w:rPr>
          <w:color w:val="000000" w:themeColor="text1"/>
          <w:sz w:val="16"/>
          <w:szCs w:val="16"/>
        </w:rPr>
        <w:softHyphen/>
        <w:t>ные не было патронов») (17500).</w:t>
      </w:r>
    </w:p>
    <w:p w14:paraId="4897CA90" w14:textId="77777777" w:rsidR="000C0F1B" w:rsidRPr="00722885" w:rsidRDefault="000C0F1B" w:rsidP="00722885">
      <w:pPr>
        <w:spacing w:after="0" w:line="240" w:lineRule="auto"/>
        <w:jc w:val="both"/>
        <w:rPr>
          <w:rFonts w:ascii="Times New Roman" w:eastAsia="Times New Roman" w:hAnsi="Times New Roman"/>
          <w:color w:val="000000" w:themeColor="text1"/>
          <w:sz w:val="16"/>
          <w:szCs w:val="16"/>
          <w:lang w:eastAsia="ru-RU"/>
        </w:rPr>
      </w:pPr>
    </w:p>
    <w:p w14:paraId="0242D314"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период с 1 по 2 сентября 1942 г. в Ногинске на полигоне НИП АВ были проведены сравнительные испытания пушек Ш-37 и 11П стрельбой в воздухе с целью принятия решения в пользу одной из них. Перед началом стрельб 1 сентября состоялся показ 37-мм пушек ОКБ-15 и ОКБ-16 на самолетах ЛаГГ-3, Як-7-37 и Ил-2 комиссии от ГКО, штаба ВВС и нарко</w:t>
      </w:r>
      <w:r w:rsidRPr="00722885">
        <w:rPr>
          <w:color w:val="000000" w:themeColor="text1"/>
          <w:sz w:val="16"/>
          <w:szCs w:val="16"/>
        </w:rPr>
        <w:softHyphen/>
        <w:t>мата вооружения.</w:t>
      </w:r>
    </w:p>
    <w:p w14:paraId="58A854CB"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испытаниям привлекли 3 боевых самоле</w:t>
      </w:r>
      <w:r w:rsidRPr="00722885">
        <w:rPr>
          <w:color w:val="000000" w:themeColor="text1"/>
          <w:sz w:val="16"/>
          <w:szCs w:val="16"/>
        </w:rPr>
        <w:softHyphen/>
        <w:t>та ЛаГГ-3 (зав. № 31213425, 31213432, 31213433) с пушками Ш-37 из 291-го иап и один серийный ЛаГГ-3 (зав. № 312197), вооруженный опытной пуш</w:t>
      </w:r>
      <w:r w:rsidRPr="00722885">
        <w:rPr>
          <w:color w:val="000000" w:themeColor="text1"/>
          <w:sz w:val="16"/>
          <w:szCs w:val="16"/>
        </w:rPr>
        <w:softHyphen/>
        <w:t>кой 11П.</w:t>
      </w:r>
    </w:p>
    <w:p w14:paraId="4CC9E83C"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ЛаГГ-3 с 11П № 2 выполнил 3 вы</w:t>
      </w:r>
      <w:r w:rsidRPr="00722885">
        <w:rPr>
          <w:color w:val="000000" w:themeColor="text1"/>
          <w:sz w:val="16"/>
          <w:szCs w:val="16"/>
        </w:rPr>
        <w:softHyphen/>
        <w:t>лета. Все 3 боекомплекта (то есть всего 108 снарядов) пушка отстре</w:t>
      </w:r>
      <w:r w:rsidRPr="00722885">
        <w:rPr>
          <w:color w:val="000000" w:themeColor="text1"/>
          <w:sz w:val="16"/>
          <w:szCs w:val="16"/>
        </w:rPr>
        <w:softHyphen/>
        <w:t>ляла без задержек. На каждом из 3 ЛаГГ-3 с Ш-37 при стрельбе из пушки был отказ.</w:t>
      </w:r>
    </w:p>
    <w:p w14:paraId="78DF1345" w14:textId="77777777" w:rsidR="000C0F1B" w:rsidRPr="00722885" w:rsidRDefault="000C0F1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Справедливости ради следует отметить, что пушки Ш-37 на ЛаГГ-3 от 291-го иап имели большой на- стрел и продолжительное время эксплуатировались в полевых усло</w:t>
      </w:r>
      <w:r w:rsidRPr="00722885">
        <w:rPr>
          <w:color w:val="000000" w:themeColor="text1"/>
          <w:sz w:val="16"/>
          <w:szCs w:val="16"/>
        </w:rPr>
        <w:softHyphen/>
        <w:t>виях, а 11П № 2 — опытная пушка. Отсюда и лучшие результаты при стрельбе (17500).</w:t>
      </w:r>
    </w:p>
    <w:p w14:paraId="20F3373A" w14:textId="77777777" w:rsidR="000C0F1B" w:rsidRPr="00722885" w:rsidRDefault="000C0F1B" w:rsidP="00722885">
      <w:pPr>
        <w:spacing w:after="0" w:line="240" w:lineRule="auto"/>
        <w:jc w:val="both"/>
        <w:rPr>
          <w:rFonts w:ascii="Times New Roman" w:hAnsi="Times New Roman"/>
          <w:color w:val="000000" w:themeColor="text1"/>
          <w:sz w:val="16"/>
          <w:szCs w:val="16"/>
        </w:rPr>
      </w:pPr>
    </w:p>
    <w:p w14:paraId="474F1A97" w14:textId="77777777" w:rsidR="00440371" w:rsidRPr="00722885" w:rsidRDefault="004403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сентября 1942 на Научно-испытательном полигоне авиавооружения собрали комиссию в составе Наркома боеприпасов Ванникова, замнаркома вооружения Барсукова и Кирпичникова — зама члена ГКО по производству вооружения Вознесенского. Приехали представители КБ-16 во главе с Нудельманом, Шпитальный же появиться не соизволил. На аэродром НИПАВ пригнали три ЛаГГ-3 с пушками Ш-37 из 42-го ИАП и один с орудием 11П-37. Он сделал один за другим три полета, в каждом из которых «на отлично» отстреляв по полному боекомплекту, тогда как ни одна пушка Шпитального ни в одном полете не отработала без задержек (22880).</w:t>
      </w:r>
    </w:p>
    <w:p w14:paraId="40BBF40A" w14:textId="77777777" w:rsidR="00440371" w:rsidRPr="00722885" w:rsidRDefault="00440371" w:rsidP="00722885">
      <w:pPr>
        <w:spacing w:after="0" w:line="240" w:lineRule="auto"/>
        <w:jc w:val="both"/>
        <w:rPr>
          <w:rFonts w:ascii="Times New Roman" w:hAnsi="Times New Roman"/>
          <w:color w:val="0070C0"/>
          <w:sz w:val="16"/>
          <w:szCs w:val="16"/>
        </w:rPr>
      </w:pPr>
    </w:p>
    <w:p w14:paraId="2D9A7AF9" w14:textId="77777777" w:rsidR="00E91403" w:rsidRPr="00722885" w:rsidRDefault="00E91403" w:rsidP="00722885">
      <w:pPr>
        <w:pStyle w:val="Iauiue"/>
        <w:jc w:val="both"/>
        <w:rPr>
          <w:color w:val="000000" w:themeColor="text1"/>
          <w:sz w:val="16"/>
          <w:szCs w:val="16"/>
        </w:rPr>
      </w:pPr>
      <w:r w:rsidRPr="00722885">
        <w:rPr>
          <w:color w:val="000000" w:themeColor="text1"/>
          <w:sz w:val="16"/>
          <w:szCs w:val="16"/>
        </w:rPr>
        <w:t>1 сентября 1942 на полигоне под Москвой по письму А.Э.Нудельмана назначили сравнительное ознакомление с пушками Ш-37 и НС-37. туда выехали Б.Л.Ванников и И.А.Барсуков - зам. наркома вооружения, а также П.И.Кирпичников - зам. члена ГКО по производству вооружения. На краю аэродрома стояли один ЛаГГ-3 с НС-37 и три с Ш-37 из полка Ф.И.Шинкаренко. Испытания продолжались несколько часов. С НС-37 сделали три вылета и без проблем расстреляли три боекомплекта. На всех трех Ш-37 ни одна не стреляла без задержек. Б.Г.Шпитальный даже не приехал, так как считал, что Ш-37 никто с производства не снимет (263,53).</w:t>
      </w:r>
    </w:p>
    <w:p w14:paraId="1A6C6033" w14:textId="77777777" w:rsidR="00E91403" w:rsidRPr="00722885" w:rsidRDefault="00E91403" w:rsidP="00722885">
      <w:pPr>
        <w:pStyle w:val="Iauiue"/>
        <w:jc w:val="both"/>
        <w:rPr>
          <w:color w:val="000000" w:themeColor="text1"/>
          <w:sz w:val="16"/>
          <w:szCs w:val="16"/>
        </w:rPr>
      </w:pPr>
    </w:p>
    <w:p w14:paraId="4AB351C7" w14:textId="77777777" w:rsidR="00E91403" w:rsidRPr="00722885" w:rsidRDefault="00E91403"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 сентября 1942 г. по поручению И.В. Сталина   на полигоне под Москвой было назначено сравнительное ознакомление с пушками Ш-37 и НС-37. Нарком Ванников Б.Л., заместитель Наркома вооружения Барсуков И.А., член Комитета Обороны по производству вооружения Кирпичников П.И. прибыли на полигон. </w:t>
      </w:r>
    </w:p>
    <w:p w14:paraId="5C55238C" w14:textId="77777777" w:rsidR="00E91403" w:rsidRPr="00722885" w:rsidRDefault="00E91403"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Самолет ЛаГГ-3 с пушкой НС-37 сделал три вылета со стрельбой. Все три боекомплекта пушка 11П отстреляла без задержек. В тоже время ни один из трех самолетов ЛаГГ-3 с пушками Ш-37 не прошел испытание, на каждом из них при стрельбе из пушки Ш-37 был отказ.</w:t>
      </w:r>
    </w:p>
    <w:p w14:paraId="49418D0C" w14:textId="77777777" w:rsidR="00E91403" w:rsidRPr="00722885" w:rsidRDefault="00E91403"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По указанию наркома вооружения Д.Ф. Устинова Нудельман А.Э. и механик-наладчик  Исаков Б.Ф.  с прошедшей испытания пушкой были направлены в Ижевск на машиностроительный завод для освоения серийного производства пушки НС-37. По решению Верховного Главнокомандования завод должен был выпускать параллельно две разные пушки одного калибра до тех пор, пока завод не наберет нужного темпа выпуска пушки ОКБ-16 (15979).</w:t>
      </w:r>
    </w:p>
    <w:p w14:paraId="72CCE15E" w14:textId="77777777" w:rsidR="00E91403" w:rsidRPr="00722885" w:rsidRDefault="00E91403" w:rsidP="00722885">
      <w:pPr>
        <w:shd w:val="clear" w:color="auto" w:fill="FFFFFF"/>
        <w:spacing w:after="0" w:line="240" w:lineRule="auto"/>
        <w:jc w:val="both"/>
        <w:rPr>
          <w:rFonts w:ascii="Times New Roman" w:eastAsia="Times New Roman" w:hAnsi="Times New Roman"/>
          <w:color w:val="000000" w:themeColor="text1"/>
          <w:sz w:val="16"/>
          <w:szCs w:val="16"/>
        </w:rPr>
      </w:pPr>
    </w:p>
    <w:p w14:paraId="38EED57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Начавшееся 1 сентября 1942 г. внедрение М-82 на авиазаводе №22 определили как 3-й период производства Пе-8. По свидетельству И.Ф.Незваля полную разработку новой силовой установки в КБ решили не проводить. Были использованы чертежи монтажа М-82 на самолете Су-2, которые еще ранее получило конструкторское бюро С.В.Ильюшина для постановки на штурмовик Ил-2. При оборудовании Пе-8 из этих чертежей использовали ряд основных узлов подвески двигателей, его капотирования, системы управления, охлаждения и выхлопа (12025).</w:t>
      </w:r>
    </w:p>
    <w:p w14:paraId="3D7F71D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D3E655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сентября 1942 года новый ЛаГГ-3 закончил государственные испытания, которые проходили с 25 августа. Это был самолет с двигателем М-105ПФ и винтом ВИШ-61П, вооруженный 37-мм пушкой. Самолет оснастили рулями высоты и направления с аэродинамической балансировкой, что значительно уменьшило нагрузку на ручку управления и педали. Кроме того, самолет получил частично убирающееся хвостовое колесо и пять топливных баков. Под крыльями установили узлы для </w:t>
      </w:r>
      <w:r w:rsidRPr="00722885">
        <w:rPr>
          <w:rFonts w:ascii="Times New Roman" w:hAnsi="Times New Roman"/>
          <w:color w:val="000000" w:themeColor="text1"/>
          <w:sz w:val="16"/>
          <w:szCs w:val="16"/>
        </w:rPr>
        <w:lastRenderedPageBreak/>
        <w:t>внешней подвески бомб. Самолет также был оснащен предкрылками. Кроме 37-мм пушки Ш-37 самолет нес пулемет БС с боекомплектом 140 выстрелов., которые показали, что предкрылки и сбалансированные рули значительно упростили управление машиной, хотя поперечное упрашгение по-прежнему требовало от пилота значительных физических усилий. Время полного разворота, несмотря на рост взлетной массы, не увеличился, несколько улучшилась поперечная устойчивость. Самолет без проблем пикировал под углом 60 гр, развивая при этом скорость до 650 км/ч. Оптимальный угол атаки составлял 30-40°. Стрельба из пушки не приводила к вибрации самолета и не оказывало отрицательного влияния на точность прицела. В итоговом рапорте сообщалось, что самолет можно использовать для борьбы с бронетехникой противника, защищенной броней толщиной до 40 мм, а также с открыто расположенной живой силой противника. Несмотря на положительные отзывы ЛаГГ-3 с 37-мм пушкой серийно не выпускался. Позднее на самолет в порядке эксперимента поставили 45-мм пушку, созданную на базе Ш-37. Когда появилась удачная пушка НС-37 калибра 37 мм конструкции Нудельмана и Суранова, ЛаГГ-3 с пушкой НС-37 прошел государственные испытания, но пушку приняли на вооружение лишь 30 декабря 1942 года. Завод № 21 построил 15 ЛаГГов-3, вооруженных пушкой НС-37. По сравнению с машинами, вооруженными пушкой Ш-37, эти истребители были легче. Поскольку завод № 21 в это время осваивал выпуск самолетов Ла-5, дальнейший выпуск ЛаГГов-3 с 37-мм пушкой перенесли в Тбилиси (11749).</w:t>
      </w:r>
    </w:p>
    <w:p w14:paraId="3DC2DBE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77BEFB5"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 сентября (с 25 августа) 1942 года</w:t>
      </w:r>
      <w:r w:rsidRPr="00722885">
        <w:rPr>
          <w:rFonts w:ascii="Times New Roman" w:hAnsi="Times New Roman"/>
          <w:color w:val="000000" w:themeColor="text1"/>
          <w:sz w:val="16"/>
          <w:szCs w:val="16"/>
        </w:rPr>
        <w:t xml:space="preserve"> Завершились государственные испытания ЛаГГ-3 № 31213445, это был противотанковый "ЛаГГ" с форсированным мотором М-105ПФ и новым воздушным винтом ВИШ-61П диаметром 3 м. На машине имелись доработанные рули высоты и поворота с аэродинамической компенсацией, снизившей нагрузки на командные органы управления, частично убирающийся костыль и пятибаковая топливная система прежнего объема. На крыле установили бомбодержатели и предкрылки. Кроме 37-мм пушки Шпитального имелся пулемет ВС с боекомплектом 140 патронов. Государственные испытания показали, что применение предкрылков и аэродинамической компенсации рулей облегчило управление самолетом (хотя управление рулем поворота оставалось еще тяжелым), время виража, несмотря на увеличение полетною веса, сохранилось, улучшилась поперечная устойчивость. Самолет устойчиво пикировал под утлом 60° с приборной скоростью 650 км/ч, но наивыгоднейшими углами были 30-40". Стрельба из 37-мм пушки не влияла на точность прицеливания, что было особенно важно в борьбе с бронетехникой (14756).</w:t>
      </w:r>
    </w:p>
    <w:p w14:paraId="68A7E012"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0B4C135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сентября 1942 г. ЛаГГ-3 с М-105ПФ и винтом ВИШ-61П закончил государственные испытания, которые проходили с 25 августа. На машине имелись доработанные рули высоты и поворота с аэродинамической компенсацией, снизившей нагрузки на органы управления, частично убирающийся костыль и пять бензобаков. На крыле установили бомбодержатели и предкрылки. Кроме 37-мм пушки Ш-37 самолет вооружался одним пулеметом БС с боекомплектом 140 патронов. Испытания показали, что применение предкрылков и аэродинамической компенсации рулей облегчило управление самолетом (хотя управление рулем поворота оставалось еще довольно тяжелым); время виража, несмотря на увеличение полетного веса, сохранилось прежним; улучшилась поперечная устойчивость. Самолет без проблем пикировал под углом 60° с приборной скоростью 650 км/ч. Наивыгоднейшими для атаки углами были 30 - 40°. Стрельба из 37-мм пушки не раскачивала машину и, соответственно, не влияла на точность прицеливания, что было особенно важно для борьбы с бронетехникой.</w:t>
      </w:r>
    </w:p>
    <w:p w14:paraId="008ED3A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заключении отчета отмечалось, что самолет может использоваться для поражения танков и бронемашин с броней толщиной до 40 мм, а также живой силы и техники противника. Несмотря на это, ЛаГГ-3 с пушкой Ш-37 дальнейшего развития не получил, хотя чуть позже на этом истребителе испытывалась пушка калибра 45 мм, созданная на базе Ш-37 путем замены ствола. Причина заключалась в появлении более совершенного орудия - НС-37 конструкции Нудель- мана и Суранова (11983).</w:t>
      </w:r>
    </w:p>
    <w:p w14:paraId="025AD92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24A8AE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сентября 1942 вышел приказ НКАП и командующего ВВС N 671/037 с предложением организовать комиссию для проведения официальных 100 часовых испытаний мотора М-82Ф производства завода 19 и поручено представить отчет не позднее, чем через 10 дней (904,3).</w:t>
      </w:r>
    </w:p>
    <w:p w14:paraId="30C0D44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Для проведения официальных 100 часовых испытаний мотора М-82Ф производства завода № 19 с данными:</w:t>
      </w:r>
    </w:p>
    <w:p w14:paraId="709C13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взлетная мощность</w:t>
      </w:r>
      <w:r w:rsidRPr="00722885">
        <w:rPr>
          <w:color w:val="000000" w:themeColor="text1"/>
          <w:sz w:val="16"/>
          <w:szCs w:val="16"/>
        </w:rPr>
        <w:tab/>
        <w:t>1850 л.с.</w:t>
      </w:r>
    </w:p>
    <w:p w14:paraId="2E9EB3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б) номинальная мощность на 1 ск. Нагнетателя на высоте 1800 м </w:t>
      </w:r>
      <w:r w:rsidRPr="00722885">
        <w:rPr>
          <w:color w:val="000000" w:themeColor="text1"/>
          <w:sz w:val="16"/>
          <w:szCs w:val="16"/>
        </w:rPr>
        <w:tab/>
        <w:t>1650 л.с.</w:t>
      </w:r>
    </w:p>
    <w:p w14:paraId="196810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Назначить комиссию в следующем составе:</w:t>
      </w:r>
    </w:p>
    <w:p w14:paraId="4840E9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ВВС КА тов. Сеничкин (председатель комиссии)</w:t>
      </w:r>
    </w:p>
    <w:p w14:paraId="7D38C6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тов. Сабуров</w:t>
      </w:r>
    </w:p>
    <w:p w14:paraId="0626DA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тов Четверкин</w:t>
      </w:r>
    </w:p>
    <w:p w14:paraId="1B8A1C7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 Промышленности: тов. Яковлев</w:t>
      </w:r>
    </w:p>
    <w:p w14:paraId="1C7204B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тов. Нитченко</w:t>
      </w:r>
    </w:p>
    <w:p w14:paraId="5D2B253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Комиссии приступить к испытаниям М-82Ф немедленно</w:t>
      </w:r>
    </w:p>
    <w:p w14:paraId="5B3F6ED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Отчет и заключение представить не позднее, чем через 10 дней после окончания испытания</w:t>
      </w:r>
    </w:p>
    <w:p w14:paraId="2B8B3E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Подписали: Зам. НКАП В.Кузнецов и Зам. Командующего ВВС КА А.Филин (904,3)</w:t>
      </w:r>
    </w:p>
    <w:p w14:paraId="17F67BB3" w14:textId="77777777" w:rsidR="00AE7191" w:rsidRPr="00722885" w:rsidRDefault="00AE7191" w:rsidP="00722885">
      <w:pPr>
        <w:pStyle w:val="Iauiue"/>
        <w:jc w:val="both"/>
        <w:rPr>
          <w:color w:val="000000" w:themeColor="text1"/>
          <w:sz w:val="16"/>
          <w:szCs w:val="16"/>
        </w:rPr>
      </w:pPr>
    </w:p>
    <w:p w14:paraId="65F44157" w14:textId="77777777" w:rsidR="00AF0F44" w:rsidRPr="00722885" w:rsidRDefault="00AF0F4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сентября 1942 г. начальник 7 гл. упр. НКАП Шишкин в ответе инженеру-тракторостроителю Вениамину Яковлевичу Слонимскому (впоследствии главный инженер НАТИ, лауреат Сталинской премии), который 15 августа 1942 г. направил в адрес председателя ГКО И.В.Сталина предложение о создании летающего танкаавтожира, писал (сохранена орфография подлинника):</w:t>
      </w:r>
    </w:p>
    <w:p w14:paraId="667B931A" w14:textId="77777777" w:rsidR="00AF0F44" w:rsidRPr="00722885" w:rsidRDefault="00AF0F4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поводу Вашего предложения, о создании летающего танка-автожира, сообщаю:</w:t>
      </w:r>
    </w:p>
    <w:p w14:paraId="2DC726E3" w14:textId="77777777" w:rsidR="00AF0F44" w:rsidRPr="00722885" w:rsidRDefault="00AF0F4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Габариты ротора автожира не будет меньше габаритов равноценного крыла. Сбрасывание крыльев конструктивно может быть решено более просто, чем сбрасывание ротора или его лопастей.</w:t>
      </w:r>
    </w:p>
    <w:p w14:paraId="4C2B8F28" w14:textId="77777777" w:rsidR="00AF0F44" w:rsidRPr="00722885" w:rsidRDefault="00AF0F4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 возможность использования ротора, после проведения танком боевой операции, трудно рассчитывать.</w:t>
      </w:r>
    </w:p>
    <w:p w14:paraId="3E1FD051" w14:textId="77777777" w:rsidR="00AF0F44" w:rsidRPr="00722885" w:rsidRDefault="00AF0F4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 представленной Вами схеме, устойчивость и управляемость танка-автожира в полете не обеспечены.</w:t>
      </w:r>
    </w:p>
    <w:p w14:paraId="658784A5" w14:textId="77777777" w:rsidR="00AF0F44" w:rsidRPr="00722885" w:rsidRDefault="00AF0F4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При работе ротора в качестве геликоптерного винта, не предусмотрено погашение реактивного момента ротора. Если же ротор используется в качестве автожирного, и привод от мотора предназначен для его раскрутки перед взлетом, то взлет танка возможен после разбега на гусеницах, с последующим подрывом танка от земли и включением воздушного винта на безопасной высоте, т.е. взлет будет возможен только при наличии взлетной площадки. Такой порядок взлета был бы чрезвычайно сложен, небезопасен и в повседневной эксплуатации неприемлем.</w:t>
      </w:r>
    </w:p>
    <w:p w14:paraId="1AF8AA40" w14:textId="77777777" w:rsidR="00AF0F44" w:rsidRPr="00722885" w:rsidRDefault="00AF0F4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Посадка автожира происходит со значительной вертикальной скоростью, требующей снабжения их специальным амортизирующим посадочным устройством, что в Вашей схеме не предусмотрено. На основании вышесказанного, считаю постройку танка-автожира по Вашей схеме нецелесообразным». Как можно понять из этого отзыва, «танк-автожир» представлял собой самостоятельный летательный аппарат, не нуждавшийся в самолете-буксировщике. Недостатки проекта достаточно ясно отмечены в отзыве Шишкина (19165).</w:t>
      </w:r>
    </w:p>
    <w:p w14:paraId="50A819D6" w14:textId="77777777" w:rsidR="00AF0F44" w:rsidRPr="00722885" w:rsidRDefault="00AF0F44" w:rsidP="00722885">
      <w:pPr>
        <w:spacing w:after="0" w:line="240" w:lineRule="auto"/>
        <w:jc w:val="both"/>
        <w:rPr>
          <w:rFonts w:ascii="Times New Roman" w:hAnsi="Times New Roman"/>
          <w:color w:val="000000" w:themeColor="text1"/>
          <w:sz w:val="16"/>
          <w:szCs w:val="16"/>
        </w:rPr>
      </w:pPr>
    </w:p>
    <w:p w14:paraId="5BF416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сентября 1942 года начальник 7 главного управления Шишкин писал письмо главному инженеру НАТИ, лауреату Сталинской премии Слонимскому.</w:t>
      </w:r>
    </w:p>
    <w:p w14:paraId="3E143F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поводу Вашего предложения, о создании летающего танка-автожира, сообщаю:</w:t>
      </w:r>
    </w:p>
    <w:p w14:paraId="29DF9E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Габариты ротора автожира не будет меньше габаритов равноценного крыла. Сбрасывание крыльев конструктивно может быть решено более просто, чем сбрасывание ротора или его лопастей.</w:t>
      </w:r>
    </w:p>
    <w:p w14:paraId="02D8C2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На возможность использования ротора, после проведения танком боевой операции, трудно рассчитывать.</w:t>
      </w:r>
    </w:p>
    <w:p w14:paraId="509C11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В представленной Вами схеме, устойчивость и управляемость танка-автожира в полете не обеспечены.</w:t>
      </w:r>
    </w:p>
    <w:p w14:paraId="0E64C17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При работе ротора в качестве геликоптерного винта, не предусмотрено погашение реактивного момента ротора.</w:t>
      </w:r>
    </w:p>
    <w:p w14:paraId="4A5DEB3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Если же мотор используется в качестве автожирного, и привод от мотора предназначен для его раскрутки перед взлетом, то взлет танка возможен после разбега на гусеницах, с последующим подрывом танка от земли и включением воздушного винта на безопасной высоте, т.е. взлет будет возможен только при наличии взлетной площадки.</w:t>
      </w:r>
    </w:p>
    <w:p w14:paraId="101544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Такой порядок взлета был бы чрезвычайно сложен, небезопасен и в повседневной эксплуатации неприемлем.</w:t>
      </w:r>
    </w:p>
    <w:p w14:paraId="1AEABF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Посадка автожира происходит со значительной вертикальной скоростью, требующей снабжения их специальным амортизирующим посадочным устройством, что в Вашей схеме не предусмотрено.</w:t>
      </w:r>
    </w:p>
    <w:p w14:paraId="3AB3177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основании вышесказанного, считаю постройку танка-автожира по Вашей схеме нецелесообразным (1684,190).</w:t>
      </w:r>
    </w:p>
    <w:p w14:paraId="0397750B" w14:textId="77777777" w:rsidR="00AE7191" w:rsidRPr="00722885" w:rsidRDefault="00AE7191" w:rsidP="00722885">
      <w:pPr>
        <w:pStyle w:val="Iauiue"/>
        <w:jc w:val="both"/>
        <w:rPr>
          <w:color w:val="000000" w:themeColor="text1"/>
          <w:sz w:val="16"/>
          <w:szCs w:val="16"/>
        </w:rPr>
      </w:pPr>
    </w:p>
    <w:p w14:paraId="6471C7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сентября 1942 на заводе № 47 в Оренбурге закончились заводские испытания транспортного варианта Як-6, которые проходили с 19 августа 1942 (4657, 16).</w:t>
      </w:r>
    </w:p>
    <w:p w14:paraId="7BFD0679" w14:textId="77777777" w:rsidR="00AE7191" w:rsidRPr="00722885" w:rsidRDefault="00AE7191" w:rsidP="00722885">
      <w:pPr>
        <w:pStyle w:val="Iauiue"/>
        <w:jc w:val="both"/>
        <w:rPr>
          <w:color w:val="000000" w:themeColor="text1"/>
          <w:sz w:val="16"/>
          <w:szCs w:val="16"/>
        </w:rPr>
      </w:pPr>
    </w:p>
    <w:p w14:paraId="34EE5AA6"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 сентября (начались 19 августа) 1942 года</w:t>
      </w:r>
      <w:r w:rsidRPr="00722885">
        <w:rPr>
          <w:rFonts w:ascii="Times New Roman" w:hAnsi="Times New Roman"/>
          <w:color w:val="000000" w:themeColor="text1"/>
          <w:sz w:val="16"/>
          <w:szCs w:val="16"/>
        </w:rPr>
        <w:t xml:space="preserve"> завершились заводские испытания транспортного экземпляра Як-6. Для ускорения работы винтомоторная группа была целиком взята с УТ-2 (14756).</w:t>
      </w:r>
    </w:p>
    <w:p w14:paraId="37187489"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403B8AA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 сентября 1942 года вышел со</w:t>
      </w:r>
      <w:r w:rsidRPr="00722885">
        <w:rPr>
          <w:rFonts w:ascii="Times New Roman" w:hAnsi="Times New Roman"/>
          <w:color w:val="000000" w:themeColor="text1"/>
          <w:sz w:val="16"/>
          <w:szCs w:val="16"/>
        </w:rPr>
        <w:softHyphen/>
        <w:t>вместный приказ НКАП и ВВС КА о назначении комиссии для проведе</w:t>
      </w:r>
      <w:r w:rsidRPr="00722885">
        <w:rPr>
          <w:rFonts w:ascii="Times New Roman" w:hAnsi="Times New Roman"/>
          <w:color w:val="000000" w:themeColor="text1"/>
          <w:sz w:val="16"/>
          <w:szCs w:val="16"/>
        </w:rPr>
        <w:softHyphen/>
        <w:t>ния официальных 100-часовых испы</w:t>
      </w:r>
      <w:r w:rsidRPr="00722885">
        <w:rPr>
          <w:rFonts w:ascii="Times New Roman" w:hAnsi="Times New Roman"/>
          <w:color w:val="000000" w:themeColor="text1"/>
          <w:sz w:val="16"/>
          <w:szCs w:val="16"/>
        </w:rPr>
        <w:softHyphen/>
        <w:t>таний мотора М-82Ф, однако в ход событий вмешалось еще одно обсто</w:t>
      </w:r>
      <w:r w:rsidRPr="00722885">
        <w:rPr>
          <w:rFonts w:ascii="Times New Roman" w:hAnsi="Times New Roman"/>
          <w:color w:val="000000" w:themeColor="text1"/>
          <w:sz w:val="16"/>
          <w:szCs w:val="16"/>
        </w:rPr>
        <w:softHyphen/>
        <w:t>ятельство. Параллельно в КБ Швецова велась другая работа - установка на мотор М-82 агрегата непосредственного впрыска (НВ). Эта работа также была запланирована на 1942 год из-за выявившейся неудовлетворительной работы карбюратора АК-82БП. Вообще, вопросом непосредствен</w:t>
      </w:r>
      <w:r w:rsidRPr="00722885">
        <w:rPr>
          <w:rFonts w:ascii="Times New Roman" w:hAnsi="Times New Roman"/>
          <w:color w:val="000000" w:themeColor="text1"/>
          <w:sz w:val="16"/>
          <w:szCs w:val="16"/>
        </w:rPr>
        <w:softHyphen/>
        <w:t>ного впрыска легкого топлива на авиа</w:t>
      </w:r>
      <w:r w:rsidRPr="00722885">
        <w:rPr>
          <w:rFonts w:ascii="Times New Roman" w:hAnsi="Times New Roman"/>
          <w:color w:val="000000" w:themeColor="text1"/>
          <w:sz w:val="16"/>
          <w:szCs w:val="16"/>
        </w:rPr>
        <w:softHyphen/>
        <w:t>ционных двигателях начали заниматься в ЦИАМе еще с 1935 года. В 1938 году были проведены госиспытания насоса отечественного производства на моторе АМ-34, но по причине сня</w:t>
      </w:r>
      <w:r w:rsidRPr="00722885">
        <w:rPr>
          <w:rFonts w:ascii="Times New Roman" w:hAnsi="Times New Roman"/>
          <w:color w:val="000000" w:themeColor="text1"/>
          <w:sz w:val="16"/>
          <w:szCs w:val="16"/>
        </w:rPr>
        <w:softHyphen/>
        <w:t>тия последнего с производства, рабо</w:t>
      </w:r>
      <w:r w:rsidRPr="00722885">
        <w:rPr>
          <w:rFonts w:ascii="Times New Roman" w:hAnsi="Times New Roman"/>
          <w:color w:val="000000" w:themeColor="text1"/>
          <w:sz w:val="16"/>
          <w:szCs w:val="16"/>
        </w:rPr>
        <w:softHyphen/>
        <w:t>та дальше не пошла. В 1938 и 1939 годах в ЦИАМе были изготовлены опытные образцы насосов для моторов М-103, М-120 и М-88, которые проходили испытания как на стендах, так и в полете, но ин</w:t>
      </w:r>
      <w:r w:rsidRPr="00722885">
        <w:rPr>
          <w:rFonts w:ascii="Times New Roman" w:hAnsi="Times New Roman"/>
          <w:color w:val="000000" w:themeColor="text1"/>
          <w:sz w:val="16"/>
          <w:szCs w:val="16"/>
        </w:rPr>
        <w:softHyphen/>
        <w:t>терес к новому виду питания со сто</w:t>
      </w:r>
      <w:r w:rsidRPr="00722885">
        <w:rPr>
          <w:rFonts w:ascii="Times New Roman" w:hAnsi="Times New Roman"/>
          <w:color w:val="000000" w:themeColor="text1"/>
          <w:sz w:val="16"/>
          <w:szCs w:val="16"/>
        </w:rPr>
        <w:softHyphen/>
        <w:t>роны конструкторов-мотористов не был проявлен, и работы носили опыт</w:t>
      </w:r>
      <w:r w:rsidRPr="00722885">
        <w:rPr>
          <w:rFonts w:ascii="Times New Roman" w:hAnsi="Times New Roman"/>
          <w:color w:val="000000" w:themeColor="text1"/>
          <w:sz w:val="16"/>
          <w:szCs w:val="16"/>
        </w:rPr>
        <w:softHyphen/>
        <w:t>ный характер. Лишь с 1940 года, когда в СССР поступили надежно работающие аг</w:t>
      </w:r>
      <w:r w:rsidRPr="00722885">
        <w:rPr>
          <w:rFonts w:ascii="Times New Roman" w:hAnsi="Times New Roman"/>
          <w:color w:val="000000" w:themeColor="text1"/>
          <w:sz w:val="16"/>
          <w:szCs w:val="16"/>
        </w:rPr>
        <w:softHyphen/>
        <w:t>регаты непосредственного впрыска, ус</w:t>
      </w:r>
      <w:r w:rsidRPr="00722885">
        <w:rPr>
          <w:rFonts w:ascii="Times New Roman" w:hAnsi="Times New Roman"/>
          <w:color w:val="000000" w:themeColor="text1"/>
          <w:sz w:val="16"/>
          <w:szCs w:val="16"/>
        </w:rPr>
        <w:softHyphen/>
        <w:t>тановленные на немецких моторах, НКАП стал форсировать эту работу. При заводе №33 было организовано КБ под руководством С.А. Косберга, которое выпустило три типа агрега</w:t>
      </w:r>
      <w:r w:rsidRPr="00722885">
        <w:rPr>
          <w:rFonts w:ascii="Times New Roman" w:hAnsi="Times New Roman"/>
          <w:color w:val="000000" w:themeColor="text1"/>
          <w:sz w:val="16"/>
          <w:szCs w:val="16"/>
        </w:rPr>
        <w:softHyphen/>
        <w:t>тов НВ для моторов М-89, М-120 и АМ-35А по образцу закупленных в Германии насосов фирм «Бош» и «Деккель» (10705).</w:t>
      </w:r>
    </w:p>
    <w:p w14:paraId="47421AA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4E065708" w14:textId="77777777" w:rsidR="00E91403" w:rsidRPr="00722885" w:rsidRDefault="00E91403" w:rsidP="00722885">
      <w:pPr>
        <w:pStyle w:val="27"/>
        <w:shd w:val="clear" w:color="auto" w:fill="auto"/>
        <w:spacing w:after="0" w:line="240" w:lineRule="auto"/>
        <w:ind w:firstLine="0"/>
        <w:rPr>
          <w:rFonts w:ascii="Times New Roman" w:cs="Times New Roman"/>
          <w:color w:val="000000" w:themeColor="text1"/>
          <w:spacing w:val="0"/>
        </w:rPr>
      </w:pPr>
      <w:r w:rsidRPr="00722885">
        <w:rPr>
          <w:rStyle w:val="aff8"/>
          <w:rFonts w:ascii="Times New Roman" w:eastAsia="Arial Narrow" w:cs="Times New Roman"/>
          <w:b w:val="0"/>
          <w:color w:val="000000" w:themeColor="text1"/>
          <w:spacing w:val="0"/>
          <w:sz w:val="16"/>
          <w:szCs w:val="16"/>
        </w:rPr>
        <w:t>1</w:t>
      </w:r>
      <w:r w:rsidRPr="00722885">
        <w:rPr>
          <w:rFonts w:ascii="Times New Roman" w:cs="Times New Roman"/>
          <w:color w:val="000000" w:themeColor="text1"/>
          <w:spacing w:val="0"/>
        </w:rPr>
        <w:t xml:space="preserve"> сентября 1942 г. вышел совместный приказ НКАП и ВВС КА о назначении комис</w:t>
      </w:r>
      <w:r w:rsidRPr="00722885">
        <w:rPr>
          <w:rFonts w:ascii="Times New Roman" w:cs="Times New Roman"/>
          <w:color w:val="000000" w:themeColor="text1"/>
          <w:spacing w:val="0"/>
        </w:rPr>
        <w:softHyphen/>
        <w:t>сии для проведения офици</w:t>
      </w:r>
      <w:r w:rsidRPr="00722885">
        <w:rPr>
          <w:rFonts w:ascii="Times New Roman" w:cs="Times New Roman"/>
          <w:color w:val="000000" w:themeColor="text1"/>
          <w:spacing w:val="0"/>
        </w:rPr>
        <w:softHyphen/>
        <w:t>альных 100-часовых испыта</w:t>
      </w:r>
      <w:r w:rsidRPr="00722885">
        <w:rPr>
          <w:rFonts w:ascii="Times New Roman" w:cs="Times New Roman"/>
          <w:color w:val="000000" w:themeColor="text1"/>
          <w:spacing w:val="0"/>
        </w:rPr>
        <w:softHyphen/>
        <w:t>ний мотора М-82Ф, однако в ход событий вмешалось еще одно обстоятельство.</w:t>
      </w:r>
    </w:p>
    <w:p w14:paraId="6445B53B" w14:textId="77777777" w:rsidR="00E91403" w:rsidRPr="00722885" w:rsidRDefault="00E91403"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Параллельно в КБ Швецова шла другая работа — установ</w:t>
      </w:r>
      <w:r w:rsidRPr="00722885">
        <w:rPr>
          <w:rFonts w:ascii="Times New Roman" w:cs="Times New Roman"/>
          <w:color w:val="000000" w:themeColor="text1"/>
          <w:spacing w:val="0"/>
        </w:rPr>
        <w:softHyphen/>
        <w:t>ка на мотор М-82 агрегата не</w:t>
      </w:r>
      <w:r w:rsidRPr="00722885">
        <w:rPr>
          <w:rFonts w:ascii="Times New Roman" w:cs="Times New Roman"/>
          <w:color w:val="000000" w:themeColor="text1"/>
          <w:spacing w:val="0"/>
        </w:rPr>
        <w:softHyphen/>
        <w:t>посредственного впрыска (НВ). Эту работу также запланиро</w:t>
      </w:r>
      <w:r w:rsidRPr="00722885">
        <w:rPr>
          <w:rFonts w:ascii="Times New Roman" w:cs="Times New Roman"/>
          <w:color w:val="000000" w:themeColor="text1"/>
          <w:spacing w:val="0"/>
        </w:rPr>
        <w:softHyphen/>
        <w:t>вали на 1942 г. из-за выявив</w:t>
      </w:r>
      <w:r w:rsidRPr="00722885">
        <w:rPr>
          <w:rFonts w:ascii="Times New Roman" w:cs="Times New Roman"/>
          <w:color w:val="000000" w:themeColor="text1"/>
          <w:spacing w:val="0"/>
        </w:rPr>
        <w:softHyphen/>
        <w:t>шейся неудовлетворительной работы карбюратора АК-82БП (15813).</w:t>
      </w:r>
    </w:p>
    <w:p w14:paraId="614684C7" w14:textId="77777777" w:rsidR="00E91403" w:rsidRPr="00722885" w:rsidRDefault="00E91403" w:rsidP="00722885">
      <w:pPr>
        <w:pStyle w:val="27"/>
        <w:shd w:val="clear" w:color="auto" w:fill="auto"/>
        <w:spacing w:after="0" w:line="240" w:lineRule="auto"/>
        <w:ind w:firstLine="0"/>
        <w:rPr>
          <w:rFonts w:ascii="Times New Roman" w:cs="Times New Roman"/>
          <w:color w:val="000000" w:themeColor="text1"/>
          <w:spacing w:val="0"/>
        </w:rPr>
      </w:pPr>
    </w:p>
    <w:p w14:paraId="6960B92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EAC1ED4" w14:textId="77777777" w:rsidR="00AE7191" w:rsidRPr="00722885" w:rsidRDefault="00AE7191" w:rsidP="00722885">
      <w:pPr>
        <w:pStyle w:val="Iauiue"/>
        <w:jc w:val="both"/>
        <w:rPr>
          <w:iCs/>
          <w:color w:val="000000" w:themeColor="text1"/>
          <w:sz w:val="16"/>
          <w:szCs w:val="16"/>
        </w:rPr>
      </w:pPr>
    </w:p>
    <w:p w14:paraId="6C2789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сентября 1942 года была начата разработка чертежей установки ЛАП-7 и параллельно с этим завод №371 им. Сталина по чертежам и под руководством специалистов АНИОПа начал ее изготовление (6403, 42).</w:t>
      </w:r>
    </w:p>
    <w:p w14:paraId="43C18FFD" w14:textId="77777777" w:rsidR="00AE7191" w:rsidRPr="00722885" w:rsidRDefault="00AE7191" w:rsidP="00722885">
      <w:pPr>
        <w:pStyle w:val="Iauiue"/>
        <w:jc w:val="both"/>
        <w:rPr>
          <w:color w:val="000000" w:themeColor="text1"/>
          <w:sz w:val="16"/>
          <w:szCs w:val="16"/>
        </w:rPr>
      </w:pPr>
    </w:p>
    <w:p w14:paraId="73BDB5D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сентября 1942 года на АНИОПе проходили испытания мины, снаряженные ГИПХом (6403, 42).</w:t>
      </w:r>
    </w:p>
    <w:p w14:paraId="4FF636F9" w14:textId="77777777" w:rsidR="00AE7191" w:rsidRPr="00722885" w:rsidRDefault="00AE7191" w:rsidP="00722885">
      <w:pPr>
        <w:pStyle w:val="Iauiue"/>
        <w:jc w:val="both"/>
        <w:rPr>
          <w:color w:val="000000" w:themeColor="text1"/>
          <w:sz w:val="16"/>
          <w:szCs w:val="16"/>
        </w:rPr>
      </w:pPr>
    </w:p>
    <w:p w14:paraId="33A7D316" w14:textId="77777777" w:rsidR="000C324B" w:rsidRPr="00722885" w:rsidRDefault="000C324B"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По состоянию на 1 сентября 1942 года на заводе № 37 в Свердловске все еще имелось 130 тан</w:t>
      </w:r>
      <w:r w:rsidRPr="00722885">
        <w:rPr>
          <w:rFonts w:eastAsia="Calibri"/>
          <w:color w:val="000000" w:themeColor="text1"/>
          <w:sz w:val="16"/>
          <w:szCs w:val="16"/>
        </w:rPr>
        <w:softHyphen/>
        <w:t>ков Т-60, все они не имели траков. Планировалось, что эти танки получат траки, отлитые на заводе № 37 (на завод № 183 можно было не на</w:t>
      </w:r>
      <w:r w:rsidRPr="00722885">
        <w:rPr>
          <w:rFonts w:eastAsia="Calibri"/>
          <w:color w:val="000000" w:themeColor="text1"/>
          <w:sz w:val="16"/>
          <w:szCs w:val="16"/>
        </w:rPr>
        <w:softHyphen/>
        <w:t>деяться — у них и так горел план по Т-34), но в реальности дело раз</w:t>
      </w:r>
      <w:r w:rsidRPr="00722885">
        <w:rPr>
          <w:rFonts w:eastAsia="Calibri"/>
          <w:color w:val="000000" w:themeColor="text1"/>
          <w:sz w:val="16"/>
          <w:szCs w:val="16"/>
        </w:rPr>
        <w:softHyphen/>
        <w:t>вивалось по иному сценарию. В течение сентября и октября удалось отправить около 50 танков, по остальным доукомплектование засто</w:t>
      </w:r>
      <w:r w:rsidRPr="00722885">
        <w:rPr>
          <w:rFonts w:eastAsia="Calibri"/>
          <w:color w:val="000000" w:themeColor="text1"/>
          <w:sz w:val="16"/>
          <w:szCs w:val="16"/>
        </w:rPr>
        <w:softHyphen/>
        <w:t>порилось ввиду форсирования работ по Т-34. Дальнейшая судьба не</w:t>
      </w:r>
      <w:r w:rsidRPr="00722885">
        <w:rPr>
          <w:rFonts w:eastAsia="Calibri"/>
          <w:color w:val="000000" w:themeColor="text1"/>
          <w:sz w:val="16"/>
          <w:szCs w:val="16"/>
        </w:rPr>
        <w:softHyphen/>
        <w:t>ожиданного задела в красках расписана в письме Зухера секретарю Свердловского обкома ВКП(б) А. П. Панину (Алексей Павлович был ответственен в обкоме за танковую промышленность), датировано оно 11 октября:</w:t>
      </w:r>
    </w:p>
    <w:p w14:paraId="4859CAA8"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«Докладываю, что находящаяся на Уралмашзаводе материальная часть — танки Т-60 в количестве 80 штук, оставшиеся после ликвидации завода № 37, хранятся во дворе Уралмашзавода под открытым небом. Танки в таком состоянии хранятся уже около 3-х месяцев, причем не за</w:t>
      </w:r>
      <w:r w:rsidRPr="00722885">
        <w:rPr>
          <w:rFonts w:ascii="Times New Roman" w:hAnsi="Times New Roman"/>
          <w:color w:val="000000" w:themeColor="text1"/>
          <w:sz w:val="16"/>
          <w:szCs w:val="16"/>
        </w:rPr>
        <w:softHyphen/>
        <w:t>щищены от осадков. Охраны во дворе завода нет. Инструмент и другие детали с машин начинают расхищаться.</w:t>
      </w:r>
    </w:p>
    <w:p w14:paraId="37C07CCD"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Руководство бывшего завода № 37 не принимало необходимых мер к бы</w:t>
      </w:r>
      <w:r w:rsidRPr="00722885">
        <w:rPr>
          <w:rFonts w:ascii="Times New Roman" w:hAnsi="Times New Roman"/>
          <w:color w:val="000000" w:themeColor="text1"/>
          <w:sz w:val="16"/>
          <w:szCs w:val="16"/>
        </w:rPr>
        <w:softHyphen/>
        <w:t>стрейшей отправке машин на фронт, так как машины были зачислены в выполнение программы завода №37. В настоящее время руководство Уралмашзавода также не приняло реальных мер для ускорения отправки машин. Для танков нужно 80 комплектов траков; отлитые Уралмашза- водом траки для Т-60 оказались весьма низкого качества и на машины установлены быть не могут.</w:t>
      </w:r>
    </w:p>
    <w:p w14:paraId="6E80A248"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Уралмашзавод осваивает отливку траков для Т-34. Вполне естественно, что руководство Уралмашзавода не считает себя ответственным за состояние машин Т-60, не заботится об ускоре</w:t>
      </w:r>
      <w:r w:rsidRPr="00722885">
        <w:rPr>
          <w:rFonts w:ascii="Times New Roman" w:hAnsi="Times New Roman"/>
          <w:color w:val="000000" w:themeColor="text1"/>
          <w:sz w:val="16"/>
          <w:szCs w:val="16"/>
        </w:rPr>
        <w:softHyphen/>
        <w:t>нии к отправке.</w:t>
      </w:r>
    </w:p>
    <w:p w14:paraId="57DE8DE1"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вопрос был мною поставлен устно перед народным комиссаром танковой промышленности тов. Зальцманом во время его посещения за</w:t>
      </w:r>
      <w:r w:rsidRPr="00722885">
        <w:rPr>
          <w:rFonts w:ascii="Times New Roman" w:hAnsi="Times New Roman"/>
          <w:color w:val="000000" w:themeColor="text1"/>
          <w:sz w:val="16"/>
          <w:szCs w:val="16"/>
        </w:rPr>
        <w:softHyphen/>
        <w:t>вода. Однако танки Т-60 в количестве 80 штук остаются стоять по- старому на Уралмашзаводе.</w:t>
      </w:r>
    </w:p>
    <w:p w14:paraId="0FF5D5F8"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Проведенная мною проверка вооружения и других агрегатов показала, что материальная часть покрывается коррозией, и я был вынужден ство</w:t>
      </w:r>
      <w:r w:rsidRPr="00722885">
        <w:rPr>
          <w:rFonts w:ascii="Times New Roman" w:hAnsi="Times New Roman"/>
          <w:color w:val="000000" w:themeColor="text1"/>
          <w:sz w:val="16"/>
          <w:szCs w:val="16"/>
        </w:rPr>
        <w:softHyphen/>
        <w:t>лы пушек прочистить и заменить смазку.</w:t>
      </w:r>
    </w:p>
    <w:p w14:paraId="651E4DC7"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вас поставить вопрос перед Наркомтанкопромом о немедлен</w:t>
      </w:r>
      <w:r w:rsidRPr="00722885">
        <w:rPr>
          <w:rFonts w:ascii="Times New Roman" w:hAnsi="Times New Roman"/>
          <w:color w:val="000000" w:themeColor="text1"/>
          <w:sz w:val="16"/>
          <w:szCs w:val="16"/>
        </w:rPr>
        <w:softHyphen/>
        <w:t>ном укомплектовании танков Т-60 траками с других заводов и об отправ</w:t>
      </w:r>
      <w:r w:rsidRPr="00722885">
        <w:rPr>
          <w:rFonts w:ascii="Times New Roman" w:hAnsi="Times New Roman"/>
          <w:color w:val="000000" w:themeColor="text1"/>
          <w:sz w:val="16"/>
          <w:szCs w:val="16"/>
        </w:rPr>
        <w:softHyphen/>
        <w:t>ке их в действующую Армию» (17485).</w:t>
      </w:r>
    </w:p>
    <w:p w14:paraId="569ABE75" w14:textId="77777777" w:rsidR="000C324B" w:rsidRPr="00722885" w:rsidRDefault="000C324B" w:rsidP="00722885">
      <w:pPr>
        <w:spacing w:after="0" w:line="240" w:lineRule="auto"/>
        <w:jc w:val="both"/>
        <w:rPr>
          <w:rFonts w:ascii="Times New Roman" w:hAnsi="Times New Roman"/>
          <w:color w:val="000000" w:themeColor="text1"/>
          <w:sz w:val="16"/>
          <w:szCs w:val="16"/>
        </w:rPr>
      </w:pPr>
    </w:p>
    <w:p w14:paraId="09896F51" w14:textId="77777777" w:rsidR="003F3A01" w:rsidRPr="00722885" w:rsidRDefault="003F3A0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состоянию на 1 сентября 1942 года на заводе 37 все еще оставалось 130 танков Т-60, все они не имели траков. Планировалось, что эти танки получат траки, отлитые на заводе №37 (на завод №183 можно было не надеяться – у них и так горел план по Т-34), но в реальности события развивались по иному сценарию. В сентябре и октябре удалось оснастить гусеницами и выпустить около 50 танков, по остальным доукомплектование застопорилось из-за форсирования работ по Т-34. Сдвинуть процесс с мертвой точки удалось благодаря бдительности Зухера. Тот не оставил без внимания 80 танков, стоящих на краю завода. Военпред стал жаловаться во все инстанции и в итоге смог дойти до Молотова, который, судя по всему, устроил разнос тогдашнему наркому танковой промышленности Зальцману.</w:t>
      </w:r>
    </w:p>
    <w:p w14:paraId="78801D9C" w14:textId="77777777" w:rsidR="003F3A01" w:rsidRPr="00722885" w:rsidRDefault="003F3A0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17 ноября танки осмотрела комиссия, которая составила акт. Согласно ему, на 10 танках отсутствовали прицелы ТМФП, на 16 танках обнаружилась ржавчина на стволах, 21 машина была без фар и так далее. Таким образом, помимо дооснащения траками большая часть Т-60 требовала ремонта и доукомплектования. Началась работа по комплектации оставшихся танков, но она периодически тормозилась по разным причинам. В декабре удалось доукомплектовать и отправить в войска 25 танков, еще 11 в январе 1943 года, последние 44 Т-60 были сданы в феврале.</w:t>
      </w:r>
    </w:p>
    <w:p w14:paraId="65FCE9CC" w14:textId="77777777" w:rsidR="003F3A01" w:rsidRPr="00722885" w:rsidRDefault="003F3A0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Ряд источников указывает на то, что серийное производство Т-60 в Свердловске продолжалось до начала 1943 года, однако, как мы видим, в реальности оно закончилось 5 июля 1942 года. Всего же завод №37 построил 1033 танка, по вине поставщиков став последним предприятием, закончившим сдачу «своих» Т-60 в войска (17686).</w:t>
      </w:r>
    </w:p>
    <w:p w14:paraId="32A22854" w14:textId="77777777" w:rsidR="003F3A01" w:rsidRPr="00722885" w:rsidRDefault="003F3A01" w:rsidP="00722885">
      <w:pPr>
        <w:pStyle w:val="12a"/>
        <w:shd w:val="clear" w:color="auto" w:fill="auto"/>
        <w:spacing w:after="0" w:line="240" w:lineRule="auto"/>
        <w:jc w:val="both"/>
        <w:rPr>
          <w:color w:val="000000" w:themeColor="text1"/>
          <w:sz w:val="16"/>
          <w:szCs w:val="16"/>
        </w:rPr>
      </w:pPr>
    </w:p>
    <w:p w14:paraId="11F1E39A" w14:textId="77777777" w:rsidR="003F3A01" w:rsidRPr="00722885" w:rsidRDefault="003F3A0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1 сентября 1942 года в СССР было отгружено 610 Valentine VI, VII и VIIA, больше, чем любых других английских танков. Общий же объем выпуска Valentine VII/VIIA составил 1405 штук. Это вторая по массовости модификация данного танка после Valentine II, и самая массовая, построенная одним производителем (17697).</w:t>
      </w:r>
    </w:p>
    <w:p w14:paraId="07B5508F" w14:textId="77777777" w:rsidR="003F3A01" w:rsidRPr="00722885" w:rsidRDefault="003F3A01" w:rsidP="00722885">
      <w:pPr>
        <w:pStyle w:val="12a"/>
        <w:shd w:val="clear" w:color="auto" w:fill="auto"/>
        <w:spacing w:after="0" w:line="240" w:lineRule="auto"/>
        <w:jc w:val="both"/>
        <w:rPr>
          <w:color w:val="000000" w:themeColor="text1"/>
          <w:sz w:val="16"/>
          <w:szCs w:val="16"/>
        </w:rPr>
      </w:pPr>
    </w:p>
    <w:p w14:paraId="51E0279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сентября 1942 года, по докладу о работе СТЗ в 1942 году, подписанному директором завода Задорожным с 23 августа было передано Красной Армии: танков 119, изготовлено арттягачей - 24, выпущено дизель-моторов - 55, отремонтировано танков - 14. В сентябре совместно с ПРБ было выпущено новых танков - 16, отремонтировано - 91 и 40 моторов».</w:t>
      </w:r>
    </w:p>
    <w:p w14:paraId="1F5C653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Есть и другие документы о работе завода за сентябрь 1942 года. Например, отчет о работе корпуса № 5 о работе с 23 августа по 12 сентября, направленный на имя заместителя наркома танковой промышленности А. Горегляда:</w:t>
      </w:r>
    </w:p>
    <w:p w14:paraId="36A3A4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момента подхода немецких войск к заводу, бомбежек и обстрелов, корпусом № 5 проделана [следующая работа] работа:</w:t>
      </w:r>
    </w:p>
    <w:p w14:paraId="3EF5502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новых танков - 68 штук, отремонтировано - 23. Кроме этого оказана помощь Красной Армии в ремонте путем посылки рабочих в ремонтные бригады, а также выдачей запчастей и различным оборудованием. Работа протекала во фронтовых условиях под бомбежкой и обстрелом. Хорошие образцы работы показали старшие мастера Сафонов М.И., Пастухов, Шамурин, Москвичев. Козлов. За промежуток указанного времени в корпус попало 6 фугасных бомб, около 154 зажигательных бомб и один снаряд. Сгорело газойль хранилище, разрушена в двух шестах крыша. Работа в цехе в настоящее время по ремонту танков производится с прибывающими на завод танковыми экипажами».</w:t>
      </w:r>
    </w:p>
    <w:p w14:paraId="64114E5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видно из приведенных документов, данные о выпуске тридцатьчетверок на СТЗ в августе - сентябре 1942 года довольно сильно разняться. Дело в том, что часть из принятых военпредом 250 Т-34, показанных в сведениях за август, доделы- аалась и окончательно передавалась заказчику позже, в первой половине сентября, а в некоторых документах завода эти уже принятые машины проходили как новые. Последние 14 танков Т-34, собранных на СТЗ в сентябре, фигурируют в докладе Задорожного.</w:t>
      </w:r>
    </w:p>
    <w:p w14:paraId="06F7862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Окончательно работы на Сталинградском тракторном заводе были прекращены приказом наркомтан- копрома от 5 октября 1942 года:</w:t>
      </w:r>
    </w:p>
    <w:p w14:paraId="60E317A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«Развертывание боевых действий в непосредственной близости к заводу, систематические и непрерывные бомбардировки, минометный и артиллерийский обстрел не позволяют производить на СТЗ каких бы то ни было работ. В связи с этим Наркомат танковой промышленности СССР считает нецелесообразным дальнейшее пребывание на территории завода оставшихся там высококвалифицированных рабочих завода и отзывает их для использования на других предприятиях НКТП» (12217).</w:t>
      </w:r>
    </w:p>
    <w:p w14:paraId="030F616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0193A7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сентября 1942 г. НКТП предложил Заказчику промежуточ</w:t>
      </w:r>
      <w:r w:rsidRPr="00722885">
        <w:rPr>
          <w:rFonts w:ascii="Times New Roman" w:hAnsi="Times New Roman"/>
          <w:color w:val="000000" w:themeColor="text1"/>
          <w:sz w:val="16"/>
          <w:szCs w:val="16"/>
        </w:rPr>
        <w:softHyphen/>
        <w:t>ную версию танка Т-70, имеющую следую</w:t>
      </w:r>
      <w:r w:rsidRPr="00722885">
        <w:rPr>
          <w:rFonts w:ascii="Times New Roman" w:hAnsi="Times New Roman"/>
          <w:color w:val="000000" w:themeColor="text1"/>
          <w:sz w:val="16"/>
          <w:szCs w:val="16"/>
        </w:rPr>
        <w:softHyphen/>
        <w:t>щие главные отличия от выпускавшегося прежде:</w:t>
      </w:r>
    </w:p>
    <w:p w14:paraId="62E48C9F"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Боевой вес - 9,8-10,1 т вместо 9,2-9,6 т на Т-70</w:t>
      </w:r>
    </w:p>
    <w:p w14:paraId="74F392B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- 4420 мм против 4290 мм Ширина - 2470 мм против 2420 мм Боекомплект - 70 выстрелов калибра 45 мм против 90</w:t>
      </w:r>
    </w:p>
    <w:p w14:paraId="3F51238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 хода - 250 км вместо 350 км Подвеска на торсионах диаметром 36 мм против 33,5 мм</w:t>
      </w:r>
    </w:p>
    <w:p w14:paraId="26CD5F0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Ширина трака - 300 мм против 260 мм Фактически это был новый легкий танк. В окончательном варианте он получил ин</w:t>
      </w:r>
      <w:r w:rsidRPr="00722885">
        <w:rPr>
          <w:rFonts w:ascii="Times New Roman" w:hAnsi="Times New Roman"/>
          <w:color w:val="000000" w:themeColor="text1"/>
          <w:sz w:val="16"/>
          <w:szCs w:val="16"/>
        </w:rPr>
        <w:softHyphen/>
        <w:t>декс «Т-70М» и представлял собой корпус и ходовую часть от опытного трехместного Т-70, по с нефорсированпым двигательным агрегатом и старой одноместной сварной башней улучшенного бронирования.</w:t>
      </w:r>
    </w:p>
    <w:p w14:paraId="2FC3F0C7"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Танки Т-70 выпускались в 1942 г. тремя предприятиями: завод ГАЗ (г. Горький), за</w:t>
      </w:r>
      <w:r w:rsidRPr="00722885">
        <w:rPr>
          <w:rFonts w:ascii="Times New Roman" w:hAnsi="Times New Roman"/>
          <w:color w:val="000000" w:themeColor="text1"/>
          <w:sz w:val="16"/>
          <w:szCs w:val="16"/>
        </w:rPr>
        <w:softHyphen/>
        <w:t>вод № 37 (г. Свердловск) и завод № 38 (г. Киров). Наиболее массово танк произ</w:t>
      </w:r>
      <w:r w:rsidRPr="00722885">
        <w:rPr>
          <w:rFonts w:ascii="Times New Roman" w:hAnsi="Times New Roman"/>
          <w:color w:val="000000" w:themeColor="text1"/>
          <w:sz w:val="16"/>
          <w:szCs w:val="16"/>
        </w:rPr>
        <w:softHyphen/>
        <w:t>водился Горьковским заводом; завод № 37 выпустил их всего 10 (возможно, 12) штук, после чего был выведен из состава танко</w:t>
      </w:r>
      <w:r w:rsidRPr="00722885">
        <w:rPr>
          <w:rFonts w:ascii="Times New Roman" w:hAnsi="Times New Roman"/>
          <w:color w:val="000000" w:themeColor="text1"/>
          <w:sz w:val="16"/>
          <w:szCs w:val="16"/>
        </w:rPr>
        <w:softHyphen/>
        <w:t>строительных предприятий и преобразо</w:t>
      </w:r>
      <w:r w:rsidRPr="00722885">
        <w:rPr>
          <w:rFonts w:ascii="Times New Roman" w:hAnsi="Times New Roman"/>
          <w:color w:val="000000" w:themeColor="text1"/>
          <w:sz w:val="16"/>
          <w:szCs w:val="16"/>
        </w:rPr>
        <w:softHyphen/>
        <w:t>ван в филиал «Уралмаша». Эталонный Т-70 завода № 37 имел литые опорные качки с внутренними резиновыми банда</w:t>
      </w:r>
      <w:r w:rsidRPr="00722885">
        <w:rPr>
          <w:rFonts w:ascii="Times New Roman" w:hAnsi="Times New Roman"/>
          <w:color w:val="000000" w:themeColor="text1"/>
          <w:sz w:val="16"/>
          <w:szCs w:val="16"/>
        </w:rPr>
        <w:softHyphen/>
        <w:t>жами и литой качающейся бронировкой башенного оружия. О характерных внеш</w:t>
      </w:r>
      <w:r w:rsidRPr="00722885">
        <w:rPr>
          <w:rFonts w:ascii="Times New Roman" w:hAnsi="Times New Roman"/>
          <w:color w:val="000000" w:themeColor="text1"/>
          <w:sz w:val="16"/>
          <w:szCs w:val="16"/>
        </w:rPr>
        <w:softHyphen/>
        <w:t>них отличиях Т-70 завода № 38 известно меньше: можно назвать лишь литую броне-маску. Конструкция водительского люка на Т-70М была заимствована у танка завода № 38. Кроме того, отмечалось, что в экс</w:t>
      </w:r>
      <w:r w:rsidRPr="00722885">
        <w:rPr>
          <w:rFonts w:ascii="Times New Roman" w:hAnsi="Times New Roman"/>
          <w:color w:val="000000" w:themeColor="text1"/>
          <w:sz w:val="16"/>
          <w:szCs w:val="16"/>
        </w:rPr>
        <w:softHyphen/>
        <w:t>плуатации танки завода № 38 менее пожа</w:t>
      </w:r>
      <w:r w:rsidRPr="00722885">
        <w:rPr>
          <w:rFonts w:ascii="Times New Roman" w:hAnsi="Times New Roman"/>
          <w:color w:val="000000" w:themeColor="text1"/>
          <w:sz w:val="16"/>
          <w:szCs w:val="16"/>
        </w:rPr>
        <w:softHyphen/>
        <w:t>роопасны, однако на каком основании был сделан такой вывод, сказать сегодня не представляется возможным. Т-70М выпускались только заводами ГАЗ и № 38. Но последний освоил их вы</w:t>
      </w:r>
      <w:r w:rsidRPr="00722885">
        <w:rPr>
          <w:rFonts w:ascii="Times New Roman" w:hAnsi="Times New Roman"/>
          <w:color w:val="000000" w:themeColor="text1"/>
          <w:sz w:val="16"/>
          <w:szCs w:val="16"/>
        </w:rPr>
        <w:softHyphen/>
        <w:t>пуск только в 1943 г. и потому до осени - до начала массового производства СУ-76 -именно ГАЗ был основным производите</w:t>
      </w:r>
      <w:r w:rsidRPr="00722885">
        <w:rPr>
          <w:rFonts w:ascii="Times New Roman" w:hAnsi="Times New Roman"/>
          <w:color w:val="000000" w:themeColor="text1"/>
          <w:sz w:val="16"/>
          <w:szCs w:val="16"/>
        </w:rPr>
        <w:softHyphen/>
        <w:t>лем танков указанного типа (11084).</w:t>
      </w:r>
    </w:p>
    <w:p w14:paraId="0AF8DC9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833154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сентября 1942 г. НКТП начал сдачу заказчику новой версии легкого танка, а фактически нового танка, получившего индекс Т-70М По окончательному варианту он представлял собой корпус и ходовую часть трехместного Т-70, но с нефорсированным двигательным агрегатом и одноместной сварной башней прежней конст</w:t>
      </w:r>
      <w:r w:rsidRPr="00722885">
        <w:rPr>
          <w:rFonts w:ascii="Times New Roman" w:hAnsi="Times New Roman"/>
          <w:color w:val="000000" w:themeColor="text1"/>
          <w:sz w:val="16"/>
          <w:szCs w:val="16"/>
        </w:rPr>
        <w:softHyphen/>
        <w:t>рукции. Масса танка Т-70М возросла до 9,8-10,1 т, а запас хода по шоссе снизился до 250 км, на всех танках появи</w:t>
      </w:r>
      <w:r w:rsidRPr="00722885">
        <w:rPr>
          <w:rFonts w:ascii="Times New Roman" w:hAnsi="Times New Roman"/>
          <w:color w:val="000000" w:themeColor="text1"/>
          <w:sz w:val="16"/>
          <w:szCs w:val="16"/>
        </w:rPr>
        <w:softHyphen/>
        <w:t>лось место для установки радиостанции.</w:t>
      </w:r>
    </w:p>
    <w:p w14:paraId="2AC2F8E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Общая компоновка машины была такой же, как и у танков Т-60 и Т-70. Отделение управления располагалось в передней части корпуса, боевое - в средней; трансмис</w:t>
      </w:r>
      <w:r w:rsidRPr="00722885">
        <w:rPr>
          <w:rFonts w:ascii="Times New Roman" w:hAnsi="Times New Roman"/>
          <w:color w:val="000000" w:themeColor="text1"/>
          <w:sz w:val="16"/>
          <w:szCs w:val="16"/>
        </w:rPr>
        <w:softHyphen/>
        <w:t>сионное - в передней части корпуса справа по ходу, мо</w:t>
      </w:r>
      <w:r w:rsidRPr="00722885">
        <w:rPr>
          <w:rFonts w:ascii="Times New Roman" w:hAnsi="Times New Roman"/>
          <w:color w:val="000000" w:themeColor="text1"/>
          <w:sz w:val="16"/>
          <w:szCs w:val="16"/>
        </w:rPr>
        <w:softHyphen/>
        <w:t>торное - в средней части вдоль правого борта корпуса и бензобак - в корме танка.</w:t>
      </w:r>
    </w:p>
    <w:p w14:paraId="14D3F97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ЭкипажТ-70М из двух человек занимал носовую часть корпуса (механик-водитель) и башню с пространством под ней (командир). В средней части корпуса вдоль правого борта был установлен танковый двигатель ГАЗ-203. Ведущие колеса и трансмиссия танка располагались в пе</w:t>
      </w:r>
      <w:r w:rsidRPr="00722885">
        <w:rPr>
          <w:rFonts w:ascii="Times New Roman" w:hAnsi="Times New Roman"/>
          <w:color w:val="000000" w:themeColor="text1"/>
          <w:sz w:val="16"/>
          <w:szCs w:val="16"/>
        </w:rPr>
        <w:softHyphen/>
        <w:t>редней части корпуса.</w:t>
      </w:r>
    </w:p>
    <w:p w14:paraId="2316C0A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танкарасполагалось в его башне и состоя</w:t>
      </w:r>
      <w:r w:rsidRPr="00722885">
        <w:rPr>
          <w:rFonts w:ascii="Times New Roman" w:hAnsi="Times New Roman"/>
          <w:color w:val="000000" w:themeColor="text1"/>
          <w:sz w:val="16"/>
          <w:szCs w:val="16"/>
        </w:rPr>
        <w:softHyphen/>
        <w:t>ло из 45-мм танковой пушки обр. 1932/38 гг. 20Км и спа</w:t>
      </w:r>
      <w:r w:rsidRPr="00722885">
        <w:rPr>
          <w:rFonts w:ascii="Times New Roman" w:hAnsi="Times New Roman"/>
          <w:color w:val="000000" w:themeColor="text1"/>
          <w:sz w:val="16"/>
          <w:szCs w:val="16"/>
        </w:rPr>
        <w:softHyphen/>
        <w:t>ренного с ней 7,62-мм пулемета ДТ, который для удобства доступа командира был сдвинут влево. Длина ствола ору</w:t>
      </w:r>
      <w:r w:rsidRPr="00722885">
        <w:rPr>
          <w:rFonts w:ascii="Times New Roman" w:hAnsi="Times New Roman"/>
          <w:color w:val="000000" w:themeColor="text1"/>
          <w:sz w:val="16"/>
          <w:szCs w:val="16"/>
        </w:rPr>
        <w:softHyphen/>
        <w:t>дия составляла 46 калибров, высота линии огня — 1540 мм. Для удобства работы командира танка орудие было смеще</w:t>
      </w:r>
      <w:r w:rsidRPr="00722885">
        <w:rPr>
          <w:rFonts w:ascii="Times New Roman" w:hAnsi="Times New Roman"/>
          <w:color w:val="000000" w:themeColor="text1"/>
          <w:sz w:val="16"/>
          <w:szCs w:val="16"/>
        </w:rPr>
        <w:softHyphen/>
        <w:t>но вправо от продольной оси башни. Пулемет монтировал</w:t>
      </w:r>
      <w:r w:rsidRPr="00722885">
        <w:rPr>
          <w:rFonts w:ascii="Times New Roman" w:hAnsi="Times New Roman"/>
          <w:color w:val="000000" w:themeColor="text1"/>
          <w:sz w:val="16"/>
          <w:szCs w:val="16"/>
        </w:rPr>
        <w:softHyphen/>
        <w:t>ся в шаровой установке и в случае необходимости мог быть снят и использоваться вне танка. Углы наводки спаренной установки по вертикали составляли от — 6 до +20°.</w:t>
      </w:r>
    </w:p>
    <w:p w14:paraId="3AEA49E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наведения спаренной установки оружия приме</w:t>
      </w:r>
      <w:r w:rsidRPr="00722885">
        <w:rPr>
          <w:rFonts w:ascii="Times New Roman" w:hAnsi="Times New Roman"/>
          <w:color w:val="000000" w:themeColor="text1"/>
          <w:sz w:val="16"/>
          <w:szCs w:val="16"/>
        </w:rPr>
        <w:softHyphen/>
        <w:t>нялись телескопический прицел ТОП (или ТМФП) и ре</w:t>
      </w:r>
      <w:r w:rsidRPr="00722885">
        <w:rPr>
          <w:rFonts w:ascii="Times New Roman" w:hAnsi="Times New Roman"/>
          <w:color w:val="000000" w:themeColor="text1"/>
          <w:sz w:val="16"/>
          <w:szCs w:val="16"/>
        </w:rPr>
        <w:softHyphen/>
        <w:t>зервный механический, пригодный для ведения огня пря</w:t>
      </w:r>
      <w:r w:rsidRPr="00722885">
        <w:rPr>
          <w:rFonts w:ascii="Times New Roman" w:hAnsi="Times New Roman"/>
          <w:color w:val="000000" w:themeColor="text1"/>
          <w:sz w:val="16"/>
          <w:szCs w:val="16"/>
        </w:rPr>
        <w:softHyphen/>
        <w:t>мой наводкой в пределах до 1000 м. Прицельная даль</w:t>
      </w:r>
      <w:r w:rsidRPr="00722885">
        <w:rPr>
          <w:rFonts w:ascii="Times New Roman" w:hAnsi="Times New Roman"/>
          <w:color w:val="000000" w:themeColor="text1"/>
          <w:sz w:val="16"/>
          <w:szCs w:val="16"/>
        </w:rPr>
        <w:softHyphen/>
        <w:t>ность стрельбы из танка составляла 3600 м, максимальная — 4800 м. Скорострельность 7—12 выстр./мин.</w:t>
      </w:r>
    </w:p>
    <w:p w14:paraId="4922A87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Спусковой механизм пушки был педальным, причем спук пушки осуществлялся нажатием на правую ножную педаль, а пулемета - на левую. В боекомплект танка Т-70М первоначально входили 70 выстрелов (из них 20 вы</w:t>
      </w:r>
      <w:r w:rsidRPr="00722885">
        <w:rPr>
          <w:rFonts w:ascii="Times New Roman" w:hAnsi="Times New Roman"/>
          <w:color w:val="000000" w:themeColor="text1"/>
          <w:sz w:val="16"/>
          <w:szCs w:val="16"/>
        </w:rPr>
        <w:softHyphen/>
        <w:t>стрелов находились в магазине) для 45-мм пушки и 945 патронов (15 дисков) к пулемету ДТ. Дополнительно в боевом отделении машины укладывались: один 7,62-мм пистолет-пулемет ППШ с боекомплектом 213 патронов (3 диска) и 10 ручных гранат Ф-1. На машинах первых вы</w:t>
      </w:r>
      <w:r w:rsidRPr="00722885">
        <w:rPr>
          <w:rFonts w:ascii="Times New Roman" w:hAnsi="Times New Roman"/>
          <w:color w:val="000000" w:themeColor="text1"/>
          <w:sz w:val="16"/>
          <w:szCs w:val="16"/>
        </w:rPr>
        <w:softHyphen/>
        <w:t>пусков боекомплект к пушке состоял из 70 выстрелов. На</w:t>
      </w:r>
      <w:r w:rsidRPr="00722885">
        <w:rPr>
          <w:rFonts w:ascii="Times New Roman" w:hAnsi="Times New Roman"/>
          <w:color w:val="000000" w:themeColor="text1"/>
          <w:sz w:val="16"/>
          <w:szCs w:val="16"/>
        </w:rPr>
        <w:softHyphen/>
        <w:t>чальная скорость бронебойного снаряда массой 1,42 кг со</w:t>
      </w:r>
      <w:r w:rsidRPr="00722885">
        <w:rPr>
          <w:rFonts w:ascii="Times New Roman" w:hAnsi="Times New Roman"/>
          <w:color w:val="000000" w:themeColor="text1"/>
          <w:sz w:val="16"/>
          <w:szCs w:val="16"/>
        </w:rPr>
        <w:softHyphen/>
        <w:t>ставляла 760 м/с, осколочного массой 2,13 кг — 335 м/с.</w:t>
      </w:r>
    </w:p>
    <w:p w14:paraId="51A6C7B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Бронекорпус танкапервоначально изготавливался из катаных листов гомогенной брони толщиной 6, 10, 15 (20), 25, 35 и 45 мм. Но начиная с ноября 1942 г. собранные бро-некорпуса подвергались закалке в сборе (по методу завода № 264), за счет чего листы получали поверхностное упроч</w:t>
      </w:r>
      <w:r w:rsidRPr="00722885">
        <w:rPr>
          <w:rFonts w:ascii="Times New Roman" w:hAnsi="Times New Roman"/>
          <w:color w:val="000000" w:themeColor="text1"/>
          <w:sz w:val="16"/>
          <w:szCs w:val="16"/>
        </w:rPr>
        <w:softHyphen/>
        <w:t>нение и стойкость корпуса оказывалась несколько выше, чем у машин первых серий. Лобовые и кормовые листы корпуса и башни устанавливались под большими углами наклона. Борта корпуса танка состояли из двух листов, сва</w:t>
      </w:r>
      <w:r w:rsidRPr="00722885">
        <w:rPr>
          <w:rFonts w:ascii="Times New Roman" w:hAnsi="Times New Roman"/>
          <w:color w:val="000000" w:themeColor="text1"/>
          <w:sz w:val="16"/>
          <w:szCs w:val="16"/>
        </w:rPr>
        <w:softHyphen/>
        <w:t>ренных между собой. Сварной шов был усилен клепкой. Крыша корпуса состояла из подбашенного листа; съемного листа над моторным отделением и бронировки воздухо-притока, смонтированной на петлях и служащей для досту</w:t>
      </w:r>
      <w:r w:rsidRPr="00722885">
        <w:rPr>
          <w:rFonts w:ascii="Times New Roman" w:hAnsi="Times New Roman"/>
          <w:color w:val="000000" w:themeColor="text1"/>
          <w:sz w:val="16"/>
          <w:szCs w:val="16"/>
        </w:rPr>
        <w:softHyphen/>
        <w:t>па к двигателям; съемного бронелиста над радиатором, в котором имелись лючок для заправки системы охлаждения и жалюзи для выхода охлаждающего воздуха, а также двух съемных листов над отсеком топливных баков, один из ко</w:t>
      </w:r>
      <w:r w:rsidRPr="00722885">
        <w:rPr>
          <w:rFonts w:ascii="Times New Roman" w:hAnsi="Times New Roman"/>
          <w:color w:val="000000" w:themeColor="text1"/>
          <w:sz w:val="16"/>
          <w:szCs w:val="16"/>
        </w:rPr>
        <w:softHyphen/>
        <w:t>торых имел две заглушки для заправки танка.</w:t>
      </w:r>
    </w:p>
    <w:p w14:paraId="0649489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Днище танка собиралось из трех броневых листов. В нем располагались: аварийный люк-лаз, находящийся под сиде</w:t>
      </w:r>
      <w:r w:rsidRPr="00722885">
        <w:rPr>
          <w:rFonts w:ascii="Times New Roman" w:hAnsi="Times New Roman"/>
          <w:color w:val="000000" w:themeColor="text1"/>
          <w:sz w:val="16"/>
          <w:szCs w:val="16"/>
        </w:rPr>
        <w:softHyphen/>
        <w:t>ньем механика-водителя, два малых лючка для слива масла из двигателей, два лючка для слива топлива и два лючка для Доступа к шпилькам крепления водяного радиатора (11135).</w:t>
      </w:r>
    </w:p>
    <w:p w14:paraId="4472CC2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30DF0D3" w14:textId="77777777" w:rsidR="00AE7191" w:rsidRPr="00722885" w:rsidRDefault="00AE7191"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На 1 сентября 1942 года действовало всего 528 тягачей “Ворошиловец”, а в конце войны осталось 336. Но "Ворошиловцы" тем не менее честно выдержали все фронтовые испытания, в достаточном количестве дошли с Красной Армией до Берлина и по приказу приняли участие в Параде Победы (9640).</w:t>
      </w:r>
    </w:p>
    <w:p w14:paraId="48DC722B" w14:textId="77777777" w:rsidR="00AE7191" w:rsidRPr="00722885" w:rsidRDefault="00AE7191" w:rsidP="00722885">
      <w:pPr>
        <w:pStyle w:val="a8"/>
        <w:widowControl/>
        <w:jc w:val="both"/>
        <w:rPr>
          <w:rFonts w:ascii="Times New Roman" w:hAnsi="Times New Roman" w:cs="Times New Roman"/>
          <w:color w:val="000000" w:themeColor="text1"/>
        </w:rPr>
      </w:pPr>
    </w:p>
    <w:p w14:paraId="4C14B935" w14:textId="77777777" w:rsidR="00AE7191" w:rsidRPr="00722885" w:rsidRDefault="00AE7191" w:rsidP="00722885">
      <w:pPr>
        <w:pStyle w:val="a3"/>
        <w:rPr>
          <w:color w:val="000000" w:themeColor="text1"/>
          <w:lang w:val="ru-RU"/>
        </w:rPr>
      </w:pPr>
      <w:r w:rsidRPr="00722885">
        <w:rPr>
          <w:color w:val="000000" w:themeColor="text1"/>
          <w:lang w:val="ru-RU"/>
        </w:rPr>
        <w:t>На 1 сентября 1942 г. по данным ГАБТУ РККА в армии насчитывалось 39990 тракторов, в числе ко</w:t>
      </w:r>
      <w:r w:rsidRPr="00722885">
        <w:rPr>
          <w:color w:val="000000" w:themeColor="text1"/>
          <w:lang w:val="ru-RU"/>
        </w:rPr>
        <w:softHyphen/>
        <w:t>торых 29583 (или 74% всего тракторного пар</w:t>
      </w:r>
      <w:r w:rsidRPr="00722885">
        <w:rPr>
          <w:color w:val="000000" w:themeColor="text1"/>
          <w:lang w:val="ru-RU"/>
        </w:rPr>
        <w:softHyphen/>
        <w:t>ка) были сельскохозяйственные гусеничные С-60, С-65 и СТЗ. В это время в частях дей</w:t>
      </w:r>
      <w:r w:rsidRPr="00722885">
        <w:rPr>
          <w:color w:val="000000" w:themeColor="text1"/>
          <w:lang w:val="ru-RU"/>
        </w:rPr>
        <w:softHyphen/>
        <w:t>ствующей армии находилась половина всех тракторов: в войсках дальневосточных фрон</w:t>
      </w:r>
      <w:r w:rsidRPr="00722885">
        <w:rPr>
          <w:color w:val="000000" w:themeColor="text1"/>
          <w:lang w:val="ru-RU"/>
        </w:rPr>
        <w:softHyphen/>
        <w:t>тов - около 10,6 тыс., остальные - в воен</w:t>
      </w:r>
      <w:r w:rsidRPr="00722885">
        <w:rPr>
          <w:color w:val="000000" w:themeColor="text1"/>
          <w:lang w:val="ru-RU"/>
        </w:rPr>
        <w:softHyphen/>
        <w:t>ных округах, учебных центрах (лагерях) и т.д. К осени 1942 г. удельный вес специаль</w:t>
      </w:r>
      <w:r w:rsidRPr="00722885">
        <w:rPr>
          <w:color w:val="000000" w:themeColor="text1"/>
          <w:lang w:val="ru-RU"/>
        </w:rPr>
        <w:softHyphen/>
        <w:t>ных гусеничных тягачей «Ворошиловец», «Ко</w:t>
      </w:r>
      <w:r w:rsidRPr="00722885">
        <w:rPr>
          <w:color w:val="000000" w:themeColor="text1"/>
          <w:lang w:val="ru-RU"/>
        </w:rPr>
        <w:softHyphen/>
        <w:t>минтерн» и «Комсомолец» в тракторном пар</w:t>
      </w:r>
      <w:r w:rsidRPr="00722885">
        <w:rPr>
          <w:color w:val="000000" w:themeColor="text1"/>
          <w:lang w:val="ru-RU"/>
        </w:rPr>
        <w:softHyphen/>
        <w:t>ке армии уменьшился до 7% (11895).</w:t>
      </w:r>
    </w:p>
    <w:p w14:paraId="52121213" w14:textId="77777777" w:rsidR="00AE7191" w:rsidRPr="00722885" w:rsidRDefault="00AE7191" w:rsidP="00722885">
      <w:pPr>
        <w:pStyle w:val="260"/>
        <w:shd w:val="clear" w:color="auto" w:fill="auto"/>
        <w:spacing w:line="240" w:lineRule="auto"/>
        <w:jc w:val="both"/>
        <w:rPr>
          <w:rFonts w:ascii="Times New Roman" w:hAnsi="Times New Roman" w:cs="Times New Roman"/>
          <w:b w:val="0"/>
          <w:bCs w:val="0"/>
          <w:color w:val="000000" w:themeColor="text1"/>
          <w:sz w:val="16"/>
          <w:szCs w:val="16"/>
          <w:lang w:val="ru-RU"/>
        </w:rPr>
      </w:pPr>
      <w:r w:rsidRPr="00722885">
        <w:rPr>
          <w:rFonts w:ascii="Times New Roman" w:hAnsi="Times New Roman" w:cs="Times New Roman"/>
          <w:b w:val="0"/>
          <w:bCs w:val="0"/>
          <w:color w:val="000000" w:themeColor="text1"/>
          <w:sz w:val="16"/>
          <w:szCs w:val="16"/>
          <w:lang w:val="ru-RU"/>
        </w:rPr>
        <w:t>Наличие тракторов «Комсомолец» на фронтахи в военных округах 1 сентября 1942 г.</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50"/>
        <w:gridCol w:w="1245"/>
      </w:tblGrid>
      <w:tr w:rsidR="009B487A" w:rsidRPr="00722885" w14:paraId="4BED2CBC" w14:textId="77777777" w:rsidTr="00CC5360">
        <w:tc>
          <w:tcPr>
            <w:tcW w:w="3150" w:type="dxa"/>
            <w:tcBorders>
              <w:top w:val="single" w:sz="12" w:space="0" w:color="auto"/>
            </w:tcBorders>
          </w:tcPr>
          <w:p w14:paraId="1A4C4B5B" w14:textId="77777777" w:rsidR="00AE7191" w:rsidRPr="00722885" w:rsidRDefault="00AE7191" w:rsidP="00722885">
            <w:pPr>
              <w:pStyle w:val="affff8"/>
              <w:shd w:val="clear" w:color="auto" w:fill="auto"/>
              <w:spacing w:line="240" w:lineRule="auto"/>
              <w:rPr>
                <w:rFonts w:ascii="Times New Roman" w:hAnsi="Times New Roman" w:cs="Times New Roman"/>
                <w:noProof w:val="0"/>
                <w:color w:val="000000" w:themeColor="text1"/>
                <w:spacing w:val="0"/>
                <w:sz w:val="16"/>
                <w:szCs w:val="16"/>
                <w:lang w:val="ru-RU"/>
              </w:rPr>
            </w:pPr>
            <w:r w:rsidRPr="00722885">
              <w:rPr>
                <w:rFonts w:ascii="Times New Roman" w:hAnsi="Times New Roman" w:cs="Times New Roman"/>
                <w:iCs/>
                <w:color w:val="000000" w:themeColor="text1"/>
                <w:spacing w:val="0"/>
                <w:sz w:val="16"/>
                <w:szCs w:val="16"/>
              </w:rPr>
              <w:t>Фронт и военный округ</w:t>
            </w:r>
          </w:p>
        </w:tc>
        <w:tc>
          <w:tcPr>
            <w:tcW w:w="1245" w:type="dxa"/>
            <w:tcBorders>
              <w:top w:val="single" w:sz="12" w:space="0" w:color="auto"/>
            </w:tcBorders>
          </w:tcPr>
          <w:p w14:paraId="7BF39D79"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iCs/>
                <w:color w:val="000000" w:themeColor="text1"/>
                <w:spacing w:val="0"/>
                <w:sz w:val="16"/>
                <w:szCs w:val="16"/>
              </w:rPr>
              <w:t>Количество</w:t>
            </w:r>
          </w:p>
        </w:tc>
      </w:tr>
      <w:tr w:rsidR="009B487A" w:rsidRPr="00722885" w14:paraId="5F94AFA8" w14:textId="77777777" w:rsidTr="00CC5360">
        <w:tc>
          <w:tcPr>
            <w:tcW w:w="3150" w:type="dxa"/>
          </w:tcPr>
          <w:p w14:paraId="64D9F2D9" w14:textId="77777777" w:rsidR="00AE7191" w:rsidRPr="00722885" w:rsidRDefault="00AE7191" w:rsidP="00722885">
            <w:pPr>
              <w:pStyle w:val="affff8"/>
              <w:shd w:val="clear" w:color="auto" w:fill="auto"/>
              <w:spacing w:line="240" w:lineRule="auto"/>
              <w:rPr>
                <w:rFonts w:ascii="Times New Roman" w:hAnsi="Times New Roman" w:cs="Times New Roman"/>
                <w:noProof w:val="0"/>
                <w:color w:val="000000" w:themeColor="text1"/>
                <w:spacing w:val="0"/>
                <w:sz w:val="16"/>
                <w:szCs w:val="16"/>
                <w:lang w:val="ru-RU"/>
              </w:rPr>
            </w:pPr>
            <w:r w:rsidRPr="00722885">
              <w:rPr>
                <w:rFonts w:ascii="Times New Roman" w:hAnsi="Times New Roman" w:cs="Times New Roman"/>
                <w:noProof w:val="0"/>
                <w:color w:val="000000" w:themeColor="text1"/>
                <w:spacing w:val="0"/>
                <w:sz w:val="16"/>
                <w:szCs w:val="16"/>
                <w:lang w:val="ru-RU"/>
              </w:rPr>
              <w:t>К</w:t>
            </w:r>
            <w:r w:rsidRPr="00722885">
              <w:rPr>
                <w:rFonts w:ascii="Times New Roman" w:hAnsi="Times New Roman" w:cs="Times New Roman"/>
                <w:color w:val="000000" w:themeColor="text1"/>
                <w:spacing w:val="0"/>
                <w:sz w:val="16"/>
                <w:szCs w:val="16"/>
              </w:rPr>
              <w:t>арельский фронт</w:t>
            </w:r>
          </w:p>
        </w:tc>
        <w:tc>
          <w:tcPr>
            <w:tcW w:w="1245" w:type="dxa"/>
          </w:tcPr>
          <w:p w14:paraId="184664C6"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65</w:t>
            </w:r>
          </w:p>
        </w:tc>
      </w:tr>
      <w:tr w:rsidR="009B487A" w:rsidRPr="00722885" w14:paraId="7A0E527D" w14:textId="77777777" w:rsidTr="00CC5360">
        <w:tc>
          <w:tcPr>
            <w:tcW w:w="3150" w:type="dxa"/>
          </w:tcPr>
          <w:p w14:paraId="6623B4EB"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Ленинградский фронт</w:t>
            </w:r>
          </w:p>
        </w:tc>
        <w:tc>
          <w:tcPr>
            <w:tcW w:w="1245" w:type="dxa"/>
          </w:tcPr>
          <w:p w14:paraId="02E08300"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91</w:t>
            </w:r>
          </w:p>
        </w:tc>
      </w:tr>
      <w:tr w:rsidR="009B487A" w:rsidRPr="00722885" w14:paraId="6189FDF9" w14:textId="77777777" w:rsidTr="00CC5360">
        <w:tc>
          <w:tcPr>
            <w:tcW w:w="3150" w:type="dxa"/>
          </w:tcPr>
          <w:p w14:paraId="127F8E29"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Волховский фронт</w:t>
            </w:r>
          </w:p>
        </w:tc>
        <w:tc>
          <w:tcPr>
            <w:tcW w:w="1245" w:type="dxa"/>
          </w:tcPr>
          <w:p w14:paraId="427D71F8"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30</w:t>
            </w:r>
          </w:p>
        </w:tc>
      </w:tr>
      <w:tr w:rsidR="009B487A" w:rsidRPr="00722885" w14:paraId="01AC04F9" w14:textId="77777777" w:rsidTr="00CC5360">
        <w:tc>
          <w:tcPr>
            <w:tcW w:w="3150" w:type="dxa"/>
          </w:tcPr>
          <w:p w14:paraId="05E13338"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Северо-Западный фронт</w:t>
            </w:r>
          </w:p>
        </w:tc>
        <w:tc>
          <w:tcPr>
            <w:tcW w:w="1245" w:type="dxa"/>
          </w:tcPr>
          <w:p w14:paraId="2B76A531"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62</w:t>
            </w:r>
          </w:p>
        </w:tc>
      </w:tr>
      <w:tr w:rsidR="009B487A" w:rsidRPr="00722885" w14:paraId="7CBA0F82" w14:textId="77777777" w:rsidTr="00CC5360">
        <w:tc>
          <w:tcPr>
            <w:tcW w:w="3150" w:type="dxa"/>
          </w:tcPr>
          <w:p w14:paraId="3F477277"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Калининский фронт</w:t>
            </w:r>
          </w:p>
        </w:tc>
        <w:tc>
          <w:tcPr>
            <w:tcW w:w="1245" w:type="dxa"/>
          </w:tcPr>
          <w:p w14:paraId="32FF06F1"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26</w:t>
            </w:r>
          </w:p>
        </w:tc>
      </w:tr>
      <w:tr w:rsidR="009B487A" w:rsidRPr="00722885" w14:paraId="716C5B16" w14:textId="77777777" w:rsidTr="00CC5360">
        <w:tc>
          <w:tcPr>
            <w:tcW w:w="3150" w:type="dxa"/>
          </w:tcPr>
          <w:p w14:paraId="08F1E4C4"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Западный фронт</w:t>
            </w:r>
          </w:p>
        </w:tc>
        <w:tc>
          <w:tcPr>
            <w:tcW w:w="1245" w:type="dxa"/>
          </w:tcPr>
          <w:p w14:paraId="42E1F477"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166</w:t>
            </w:r>
          </w:p>
        </w:tc>
      </w:tr>
      <w:tr w:rsidR="009B487A" w:rsidRPr="00722885" w14:paraId="5EEF5084" w14:textId="77777777" w:rsidTr="00CC5360">
        <w:tc>
          <w:tcPr>
            <w:tcW w:w="3150" w:type="dxa"/>
          </w:tcPr>
          <w:p w14:paraId="64EF3D5F"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Брянский фронт</w:t>
            </w:r>
          </w:p>
        </w:tc>
        <w:tc>
          <w:tcPr>
            <w:tcW w:w="1245" w:type="dxa"/>
          </w:tcPr>
          <w:p w14:paraId="49125262"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20</w:t>
            </w:r>
          </w:p>
        </w:tc>
      </w:tr>
      <w:tr w:rsidR="009B487A" w:rsidRPr="00722885" w14:paraId="3B8CECE6" w14:textId="77777777" w:rsidTr="00CC5360">
        <w:tc>
          <w:tcPr>
            <w:tcW w:w="3150" w:type="dxa"/>
          </w:tcPr>
          <w:p w14:paraId="1DF0CCC5"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Воронежский фронт</w:t>
            </w:r>
          </w:p>
        </w:tc>
        <w:tc>
          <w:tcPr>
            <w:tcW w:w="1245" w:type="dxa"/>
          </w:tcPr>
          <w:p w14:paraId="39EC5BDC"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32</w:t>
            </w:r>
          </w:p>
        </w:tc>
      </w:tr>
      <w:tr w:rsidR="009B487A" w:rsidRPr="00722885" w14:paraId="0A89B843" w14:textId="77777777" w:rsidTr="00CC5360">
        <w:tc>
          <w:tcPr>
            <w:tcW w:w="3150" w:type="dxa"/>
          </w:tcPr>
          <w:p w14:paraId="28691590"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Сталинградский фронт</w:t>
            </w:r>
          </w:p>
        </w:tc>
        <w:tc>
          <w:tcPr>
            <w:tcW w:w="1245" w:type="dxa"/>
          </w:tcPr>
          <w:p w14:paraId="626CFF44"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55</w:t>
            </w:r>
          </w:p>
        </w:tc>
      </w:tr>
      <w:tr w:rsidR="009B487A" w:rsidRPr="00722885" w14:paraId="7FA4044F" w14:textId="77777777" w:rsidTr="00CC5360">
        <w:tc>
          <w:tcPr>
            <w:tcW w:w="3150" w:type="dxa"/>
          </w:tcPr>
          <w:p w14:paraId="606E8CAC"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Юго-Восточный фронт</w:t>
            </w:r>
          </w:p>
        </w:tc>
        <w:tc>
          <w:tcPr>
            <w:tcW w:w="1245" w:type="dxa"/>
          </w:tcPr>
          <w:p w14:paraId="0C179461"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w:t>
            </w:r>
          </w:p>
        </w:tc>
      </w:tr>
      <w:tr w:rsidR="009B487A" w:rsidRPr="00722885" w14:paraId="3E1A00A6" w14:textId="77777777" w:rsidTr="00CC5360">
        <w:tc>
          <w:tcPr>
            <w:tcW w:w="3150" w:type="dxa"/>
          </w:tcPr>
          <w:p w14:paraId="524637F2"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Северо-Кавказский фронт</w:t>
            </w:r>
          </w:p>
        </w:tc>
        <w:tc>
          <w:tcPr>
            <w:tcW w:w="1245" w:type="dxa"/>
          </w:tcPr>
          <w:p w14:paraId="6ADD1275"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2</w:t>
            </w:r>
          </w:p>
        </w:tc>
      </w:tr>
      <w:tr w:rsidR="009B487A" w:rsidRPr="00722885" w14:paraId="1431540E" w14:textId="77777777" w:rsidTr="00CC5360">
        <w:tc>
          <w:tcPr>
            <w:tcW w:w="3150" w:type="dxa"/>
          </w:tcPr>
          <w:p w14:paraId="0697BABF"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Закавказский фронт</w:t>
            </w:r>
          </w:p>
        </w:tc>
        <w:tc>
          <w:tcPr>
            <w:tcW w:w="1245" w:type="dxa"/>
          </w:tcPr>
          <w:p w14:paraId="05E3EE15"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90</w:t>
            </w:r>
          </w:p>
        </w:tc>
      </w:tr>
      <w:tr w:rsidR="009B487A" w:rsidRPr="00722885" w14:paraId="11DE8C83" w14:textId="77777777" w:rsidTr="00CC5360">
        <w:tc>
          <w:tcPr>
            <w:tcW w:w="3150" w:type="dxa"/>
          </w:tcPr>
          <w:p w14:paraId="437247F2"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7-я отдельная армия</w:t>
            </w:r>
          </w:p>
        </w:tc>
        <w:tc>
          <w:tcPr>
            <w:tcW w:w="1245" w:type="dxa"/>
          </w:tcPr>
          <w:p w14:paraId="123EE4DC"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41</w:t>
            </w:r>
          </w:p>
        </w:tc>
      </w:tr>
      <w:tr w:rsidR="009B487A" w:rsidRPr="00722885" w14:paraId="0D4A3C14" w14:textId="77777777" w:rsidTr="00CC5360">
        <w:tc>
          <w:tcPr>
            <w:tcW w:w="3150" w:type="dxa"/>
          </w:tcPr>
          <w:p w14:paraId="21C14719"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Забайкальский фронт</w:t>
            </w:r>
          </w:p>
        </w:tc>
        <w:tc>
          <w:tcPr>
            <w:tcW w:w="1245" w:type="dxa"/>
          </w:tcPr>
          <w:p w14:paraId="0ED144D4"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326</w:t>
            </w:r>
          </w:p>
        </w:tc>
      </w:tr>
      <w:tr w:rsidR="009B487A" w:rsidRPr="00722885" w14:paraId="4D3DB450" w14:textId="77777777" w:rsidTr="00CC5360">
        <w:tc>
          <w:tcPr>
            <w:tcW w:w="3150" w:type="dxa"/>
          </w:tcPr>
          <w:p w14:paraId="73EF948B"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Дальневосточный фронт</w:t>
            </w:r>
          </w:p>
        </w:tc>
        <w:tc>
          <w:tcPr>
            <w:tcW w:w="1245" w:type="dxa"/>
          </w:tcPr>
          <w:p w14:paraId="49228B10"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447</w:t>
            </w:r>
          </w:p>
        </w:tc>
      </w:tr>
      <w:tr w:rsidR="009B487A" w:rsidRPr="00722885" w14:paraId="45D630E1" w14:textId="77777777" w:rsidTr="00CC5360">
        <w:tc>
          <w:tcPr>
            <w:tcW w:w="3150" w:type="dxa"/>
          </w:tcPr>
          <w:p w14:paraId="533B3030"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Московская зона обороны</w:t>
            </w:r>
          </w:p>
        </w:tc>
        <w:tc>
          <w:tcPr>
            <w:tcW w:w="1245" w:type="dxa"/>
          </w:tcPr>
          <w:p w14:paraId="20B47416"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26</w:t>
            </w:r>
          </w:p>
        </w:tc>
      </w:tr>
      <w:tr w:rsidR="009B487A" w:rsidRPr="00722885" w14:paraId="2955C13E" w14:textId="77777777" w:rsidTr="00CC5360">
        <w:tc>
          <w:tcPr>
            <w:tcW w:w="3150" w:type="dxa"/>
          </w:tcPr>
          <w:p w14:paraId="451E0D1E"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Архангельский военный округ</w:t>
            </w:r>
          </w:p>
        </w:tc>
        <w:tc>
          <w:tcPr>
            <w:tcW w:w="1245" w:type="dxa"/>
          </w:tcPr>
          <w:p w14:paraId="2CEA0886"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12</w:t>
            </w:r>
          </w:p>
        </w:tc>
      </w:tr>
      <w:tr w:rsidR="009B487A" w:rsidRPr="00722885" w14:paraId="17685A9D" w14:textId="77777777" w:rsidTr="00CC5360">
        <w:tc>
          <w:tcPr>
            <w:tcW w:w="3150" w:type="dxa"/>
          </w:tcPr>
          <w:p w14:paraId="59E322B7"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Московский военный округ</w:t>
            </w:r>
          </w:p>
        </w:tc>
        <w:tc>
          <w:tcPr>
            <w:tcW w:w="1245" w:type="dxa"/>
          </w:tcPr>
          <w:p w14:paraId="79B7B359"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29</w:t>
            </w:r>
          </w:p>
        </w:tc>
      </w:tr>
      <w:tr w:rsidR="009B487A" w:rsidRPr="00722885" w14:paraId="5794DF5E" w14:textId="77777777" w:rsidTr="00CC5360">
        <w:tc>
          <w:tcPr>
            <w:tcW w:w="3150" w:type="dxa"/>
          </w:tcPr>
          <w:p w14:paraId="1969077D"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Прибалтийский военный округ</w:t>
            </w:r>
          </w:p>
        </w:tc>
        <w:tc>
          <w:tcPr>
            <w:tcW w:w="1245" w:type="dxa"/>
          </w:tcPr>
          <w:p w14:paraId="6D5100B4"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41</w:t>
            </w:r>
          </w:p>
        </w:tc>
      </w:tr>
      <w:tr w:rsidR="009B487A" w:rsidRPr="00722885" w14:paraId="334D9E7E" w14:textId="77777777" w:rsidTr="00CC5360">
        <w:tc>
          <w:tcPr>
            <w:tcW w:w="3150" w:type="dxa"/>
          </w:tcPr>
          <w:p w14:paraId="0549FB3C"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Уральский военный округ</w:t>
            </w:r>
          </w:p>
        </w:tc>
        <w:tc>
          <w:tcPr>
            <w:tcW w:w="1245" w:type="dxa"/>
          </w:tcPr>
          <w:p w14:paraId="0237D75C"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13</w:t>
            </w:r>
          </w:p>
        </w:tc>
      </w:tr>
      <w:tr w:rsidR="009B487A" w:rsidRPr="00722885" w14:paraId="159CED3C" w14:textId="77777777" w:rsidTr="00CC5360">
        <w:tc>
          <w:tcPr>
            <w:tcW w:w="3150" w:type="dxa"/>
          </w:tcPr>
          <w:p w14:paraId="43C618D9"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Южно-Уральский военный округ</w:t>
            </w:r>
          </w:p>
        </w:tc>
        <w:tc>
          <w:tcPr>
            <w:tcW w:w="1245" w:type="dxa"/>
          </w:tcPr>
          <w:p w14:paraId="21B41BD8"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1</w:t>
            </w:r>
          </w:p>
        </w:tc>
      </w:tr>
      <w:tr w:rsidR="009B487A" w:rsidRPr="00722885" w14:paraId="2E541195" w14:textId="77777777" w:rsidTr="00CC5360">
        <w:tc>
          <w:tcPr>
            <w:tcW w:w="3150" w:type="dxa"/>
          </w:tcPr>
          <w:p w14:paraId="4045E060"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Сталинградский военный округ</w:t>
            </w:r>
          </w:p>
        </w:tc>
        <w:tc>
          <w:tcPr>
            <w:tcW w:w="1245" w:type="dxa"/>
          </w:tcPr>
          <w:p w14:paraId="53BDAAF3"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5</w:t>
            </w:r>
          </w:p>
        </w:tc>
      </w:tr>
      <w:tr w:rsidR="009B487A" w:rsidRPr="00722885" w14:paraId="4DEEB935" w14:textId="77777777" w:rsidTr="00CC5360">
        <w:tc>
          <w:tcPr>
            <w:tcW w:w="3150" w:type="dxa"/>
          </w:tcPr>
          <w:p w14:paraId="6A334AC8"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Средне-Азиатский военный округ</w:t>
            </w:r>
          </w:p>
        </w:tc>
        <w:tc>
          <w:tcPr>
            <w:tcW w:w="1245" w:type="dxa"/>
          </w:tcPr>
          <w:p w14:paraId="4CC8C9B3"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67</w:t>
            </w:r>
          </w:p>
        </w:tc>
      </w:tr>
      <w:tr w:rsidR="009B487A" w:rsidRPr="00722885" w14:paraId="1BFCD8CF" w14:textId="77777777" w:rsidTr="00CC5360">
        <w:tc>
          <w:tcPr>
            <w:tcW w:w="3150" w:type="dxa"/>
          </w:tcPr>
          <w:p w14:paraId="5A4416A5"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Сибирский военный округ</w:t>
            </w:r>
          </w:p>
        </w:tc>
        <w:tc>
          <w:tcPr>
            <w:tcW w:w="1245" w:type="dxa"/>
          </w:tcPr>
          <w:p w14:paraId="0125A378"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11</w:t>
            </w:r>
          </w:p>
        </w:tc>
      </w:tr>
      <w:tr w:rsidR="009B487A" w:rsidRPr="00722885" w14:paraId="28A7922D" w14:textId="77777777" w:rsidTr="00CC5360">
        <w:tc>
          <w:tcPr>
            <w:tcW w:w="3150" w:type="dxa"/>
          </w:tcPr>
          <w:p w14:paraId="4E16491A"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Северо-Кавказский военный округ</w:t>
            </w:r>
          </w:p>
        </w:tc>
        <w:tc>
          <w:tcPr>
            <w:tcW w:w="1245" w:type="dxa"/>
          </w:tcPr>
          <w:p w14:paraId="47FF4FDC"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4</w:t>
            </w:r>
          </w:p>
        </w:tc>
      </w:tr>
      <w:tr w:rsidR="009B487A" w:rsidRPr="00722885" w14:paraId="60403FB4" w14:textId="77777777" w:rsidTr="00CC5360">
        <w:tc>
          <w:tcPr>
            <w:tcW w:w="3150" w:type="dxa"/>
          </w:tcPr>
          <w:p w14:paraId="3F9F875D"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Главное автобронетанковое управление</w:t>
            </w:r>
          </w:p>
        </w:tc>
        <w:tc>
          <w:tcPr>
            <w:tcW w:w="1245" w:type="dxa"/>
          </w:tcPr>
          <w:p w14:paraId="6618CB68" w14:textId="77777777" w:rsidR="00AE7191" w:rsidRPr="00722885" w:rsidRDefault="00AE7191" w:rsidP="00722885">
            <w:pPr>
              <w:pStyle w:val="affff8"/>
              <w:shd w:val="clear" w:color="auto" w:fill="auto"/>
              <w:spacing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w:t>
            </w:r>
          </w:p>
        </w:tc>
      </w:tr>
      <w:tr w:rsidR="009B487A" w:rsidRPr="00722885" w14:paraId="2CDECAF0" w14:textId="77777777" w:rsidTr="00CC5360">
        <w:tc>
          <w:tcPr>
            <w:tcW w:w="3150" w:type="dxa"/>
            <w:tcBorders>
              <w:bottom w:val="single" w:sz="12" w:space="0" w:color="auto"/>
            </w:tcBorders>
          </w:tcPr>
          <w:p w14:paraId="1BD8BDF3" w14:textId="77777777" w:rsidR="00AE7191" w:rsidRPr="00722885" w:rsidRDefault="00AE7191" w:rsidP="00722885">
            <w:pPr>
              <w:pStyle w:val="a3"/>
              <w:rPr>
                <w:color w:val="000000" w:themeColor="text1"/>
              </w:rPr>
            </w:pPr>
            <w:r w:rsidRPr="00722885">
              <w:rPr>
                <w:color w:val="000000" w:themeColor="text1"/>
              </w:rPr>
              <w:t>Итого</w:t>
            </w:r>
          </w:p>
        </w:tc>
        <w:tc>
          <w:tcPr>
            <w:tcW w:w="1245" w:type="dxa"/>
            <w:tcBorders>
              <w:bottom w:val="single" w:sz="12" w:space="0" w:color="auto"/>
            </w:tcBorders>
          </w:tcPr>
          <w:p w14:paraId="64FBD9C8" w14:textId="77777777" w:rsidR="00AE7191" w:rsidRPr="00722885" w:rsidRDefault="00AE7191" w:rsidP="00722885">
            <w:pPr>
              <w:pStyle w:val="a3"/>
              <w:rPr>
                <w:color w:val="000000" w:themeColor="text1"/>
                <w:lang w:val="ru-RU"/>
              </w:rPr>
            </w:pPr>
            <w:r w:rsidRPr="00722885">
              <w:rPr>
                <w:color w:val="000000" w:themeColor="text1"/>
                <w:lang w:val="ru-RU"/>
              </w:rPr>
              <w:t>1662</w:t>
            </w:r>
          </w:p>
        </w:tc>
      </w:tr>
    </w:tbl>
    <w:p w14:paraId="7A1C27A2" w14:textId="77777777" w:rsidR="00AE7191" w:rsidRPr="00722885" w:rsidRDefault="00AE7191" w:rsidP="00722885">
      <w:pPr>
        <w:pStyle w:val="a3"/>
        <w:rPr>
          <w:color w:val="000000" w:themeColor="text1"/>
          <w:lang w:val="ru-RU"/>
        </w:rPr>
      </w:pPr>
      <w:r w:rsidRPr="00722885">
        <w:rPr>
          <w:color w:val="000000" w:themeColor="text1"/>
          <w:lang w:val="ru-RU"/>
        </w:rPr>
        <w:t>(11895).</w:t>
      </w:r>
    </w:p>
    <w:p w14:paraId="252978E0" w14:textId="77777777" w:rsidR="00AE7191" w:rsidRPr="00722885" w:rsidRDefault="00AE7191" w:rsidP="00722885">
      <w:pPr>
        <w:pStyle w:val="a3"/>
        <w:rPr>
          <w:color w:val="000000" w:themeColor="text1"/>
          <w:lang w:val="ru-RU"/>
        </w:rPr>
      </w:pPr>
    </w:p>
    <w:p w14:paraId="430EE9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Наличие тракторов "Коммунар" в округах и на фронтах на 1 сентября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9B487A" w:rsidRPr="00722885" w14:paraId="1E933D1D" w14:textId="77777777" w:rsidTr="00CC5360">
        <w:tc>
          <w:tcPr>
            <w:tcW w:w="2802" w:type="dxa"/>
            <w:tcBorders>
              <w:top w:val="single" w:sz="12" w:space="0" w:color="auto"/>
            </w:tcBorders>
          </w:tcPr>
          <w:p w14:paraId="2E12D3A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Карельский фронт</w:t>
            </w:r>
          </w:p>
        </w:tc>
        <w:tc>
          <w:tcPr>
            <w:tcW w:w="2802" w:type="dxa"/>
            <w:tcBorders>
              <w:top w:val="single" w:sz="12" w:space="0" w:color="auto"/>
            </w:tcBorders>
          </w:tcPr>
          <w:p w14:paraId="234EBC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r>
      <w:tr w:rsidR="009B487A" w:rsidRPr="00722885" w14:paraId="1A44D2DE" w14:textId="77777777" w:rsidTr="00CC5360">
        <w:tc>
          <w:tcPr>
            <w:tcW w:w="2802" w:type="dxa"/>
          </w:tcPr>
          <w:p w14:paraId="119C4B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Ленинградский фронт</w:t>
            </w:r>
          </w:p>
        </w:tc>
        <w:tc>
          <w:tcPr>
            <w:tcW w:w="2802" w:type="dxa"/>
          </w:tcPr>
          <w:p w14:paraId="33FD5F7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w:t>
            </w:r>
          </w:p>
        </w:tc>
      </w:tr>
      <w:tr w:rsidR="009B487A" w:rsidRPr="00722885" w14:paraId="632E9916" w14:textId="77777777" w:rsidTr="00CC5360">
        <w:tc>
          <w:tcPr>
            <w:tcW w:w="2802" w:type="dxa"/>
          </w:tcPr>
          <w:p w14:paraId="5D5A58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Волховский фронт</w:t>
            </w:r>
          </w:p>
        </w:tc>
        <w:tc>
          <w:tcPr>
            <w:tcW w:w="2802" w:type="dxa"/>
          </w:tcPr>
          <w:p w14:paraId="6E08D0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r>
      <w:tr w:rsidR="009B487A" w:rsidRPr="00722885" w14:paraId="21042B40" w14:textId="77777777" w:rsidTr="00CC5360">
        <w:tc>
          <w:tcPr>
            <w:tcW w:w="2802" w:type="dxa"/>
          </w:tcPr>
          <w:p w14:paraId="0DB3D36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Калининский фронт</w:t>
            </w:r>
          </w:p>
        </w:tc>
        <w:tc>
          <w:tcPr>
            <w:tcW w:w="2802" w:type="dxa"/>
          </w:tcPr>
          <w:p w14:paraId="46C224A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r>
      <w:tr w:rsidR="009B487A" w:rsidRPr="00722885" w14:paraId="5EC01182" w14:textId="77777777" w:rsidTr="00CC5360">
        <w:tc>
          <w:tcPr>
            <w:tcW w:w="2802" w:type="dxa"/>
          </w:tcPr>
          <w:p w14:paraId="37FC0C4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Западный фронт</w:t>
            </w:r>
          </w:p>
        </w:tc>
        <w:tc>
          <w:tcPr>
            <w:tcW w:w="2802" w:type="dxa"/>
          </w:tcPr>
          <w:p w14:paraId="5B6F7A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r>
      <w:tr w:rsidR="009B487A" w:rsidRPr="00722885" w14:paraId="27CA6A12" w14:textId="77777777" w:rsidTr="00CC5360">
        <w:tc>
          <w:tcPr>
            <w:tcW w:w="2802" w:type="dxa"/>
          </w:tcPr>
          <w:p w14:paraId="096C89B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Брянский фронт</w:t>
            </w:r>
          </w:p>
        </w:tc>
        <w:tc>
          <w:tcPr>
            <w:tcW w:w="2802" w:type="dxa"/>
          </w:tcPr>
          <w:p w14:paraId="23EBCAA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r>
      <w:tr w:rsidR="009B487A" w:rsidRPr="00722885" w14:paraId="57A18333" w14:textId="77777777" w:rsidTr="00CC5360">
        <w:tc>
          <w:tcPr>
            <w:tcW w:w="2802" w:type="dxa"/>
          </w:tcPr>
          <w:p w14:paraId="1B54029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Забайкальский фронт</w:t>
            </w:r>
          </w:p>
        </w:tc>
        <w:tc>
          <w:tcPr>
            <w:tcW w:w="2802" w:type="dxa"/>
          </w:tcPr>
          <w:p w14:paraId="00F5253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w:t>
            </w:r>
          </w:p>
        </w:tc>
      </w:tr>
      <w:tr w:rsidR="009B487A" w:rsidRPr="00722885" w14:paraId="66AB44B5" w14:textId="77777777" w:rsidTr="00CC5360">
        <w:tc>
          <w:tcPr>
            <w:tcW w:w="2802" w:type="dxa"/>
          </w:tcPr>
          <w:p w14:paraId="6A331BA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Московский военный округ</w:t>
            </w:r>
          </w:p>
        </w:tc>
        <w:tc>
          <w:tcPr>
            <w:tcW w:w="2802" w:type="dxa"/>
          </w:tcPr>
          <w:p w14:paraId="45B9096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w:t>
            </w:r>
          </w:p>
        </w:tc>
      </w:tr>
      <w:tr w:rsidR="009B487A" w:rsidRPr="00722885" w14:paraId="4DEA70A0" w14:textId="77777777" w:rsidTr="00CC5360">
        <w:tc>
          <w:tcPr>
            <w:tcW w:w="2802" w:type="dxa"/>
          </w:tcPr>
          <w:p w14:paraId="5377B0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Северо-Западный фронт</w:t>
            </w:r>
          </w:p>
        </w:tc>
        <w:tc>
          <w:tcPr>
            <w:tcW w:w="2802" w:type="dxa"/>
          </w:tcPr>
          <w:p w14:paraId="31C42C7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r>
      <w:tr w:rsidR="009B487A" w:rsidRPr="00722885" w14:paraId="7CBA44CA" w14:textId="77777777" w:rsidTr="00CC5360">
        <w:tc>
          <w:tcPr>
            <w:tcW w:w="2802" w:type="dxa"/>
          </w:tcPr>
          <w:p w14:paraId="35EF88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Южно-Уральский военный округ...</w:t>
            </w:r>
          </w:p>
        </w:tc>
        <w:tc>
          <w:tcPr>
            <w:tcW w:w="2802" w:type="dxa"/>
          </w:tcPr>
          <w:p w14:paraId="4144854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r>
      <w:tr w:rsidR="009B487A" w:rsidRPr="00722885" w14:paraId="27DFC466" w14:textId="77777777" w:rsidTr="00CC5360">
        <w:tc>
          <w:tcPr>
            <w:tcW w:w="2802" w:type="dxa"/>
          </w:tcPr>
          <w:p w14:paraId="10EE029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Сталинградский военный округ....</w:t>
            </w:r>
          </w:p>
        </w:tc>
        <w:tc>
          <w:tcPr>
            <w:tcW w:w="2802" w:type="dxa"/>
          </w:tcPr>
          <w:p w14:paraId="15E5B1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r>
      <w:tr w:rsidR="009B487A" w:rsidRPr="00722885" w14:paraId="7D7A6103" w14:textId="77777777" w:rsidTr="00CC5360">
        <w:tc>
          <w:tcPr>
            <w:tcW w:w="2802" w:type="dxa"/>
          </w:tcPr>
          <w:p w14:paraId="4E7E4D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Средне-Азиатский военный округ.</w:t>
            </w:r>
          </w:p>
        </w:tc>
        <w:tc>
          <w:tcPr>
            <w:tcW w:w="2802" w:type="dxa"/>
          </w:tcPr>
          <w:p w14:paraId="5E79B0A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w:t>
            </w:r>
          </w:p>
        </w:tc>
      </w:tr>
      <w:tr w:rsidR="009B487A" w:rsidRPr="00722885" w14:paraId="0412702B" w14:textId="77777777" w:rsidTr="00CC5360">
        <w:tc>
          <w:tcPr>
            <w:tcW w:w="2802" w:type="dxa"/>
            <w:tcBorders>
              <w:bottom w:val="single" w:sz="12" w:space="0" w:color="auto"/>
            </w:tcBorders>
          </w:tcPr>
          <w:p w14:paraId="5AE89D5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2802" w:type="dxa"/>
            <w:tcBorders>
              <w:bottom w:val="single" w:sz="12" w:space="0" w:color="auto"/>
            </w:tcBorders>
          </w:tcPr>
          <w:p w14:paraId="28E8BF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257</w:t>
            </w:r>
          </w:p>
        </w:tc>
      </w:tr>
    </w:tbl>
    <w:p w14:paraId="5265D58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Составлено по: Механическая тяга артиллерии в Великой Отечественной войне. -М" 1967, с. 46,49 со ссылкой на Архив Штаба артиллерии Советской Армии, ф. 1, on. 523сс.арх 7, я. 50 (12009).</w:t>
      </w:r>
    </w:p>
    <w:p w14:paraId="27BE30F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669CDD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40ACE4E" w14:textId="77777777" w:rsidR="00AE7191" w:rsidRPr="00722885" w:rsidRDefault="00AE7191" w:rsidP="00722885">
      <w:pPr>
        <w:pStyle w:val="Iauiue"/>
        <w:jc w:val="both"/>
        <w:rPr>
          <w:iCs/>
          <w:color w:val="000000" w:themeColor="text1"/>
          <w:sz w:val="16"/>
          <w:szCs w:val="16"/>
        </w:rPr>
      </w:pPr>
    </w:p>
    <w:p w14:paraId="0D996353"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 сентября </w:t>
      </w:r>
      <w:r w:rsidRPr="00722885">
        <w:rPr>
          <w:rFonts w:ascii="Times New Roman" w:hAnsi="Times New Roman"/>
          <w:color w:val="000000" w:themeColor="text1"/>
          <w:sz w:val="16"/>
          <w:szCs w:val="16"/>
        </w:rPr>
        <w:t>в 1942 году утреннее сообщение Совинформбюро:</w:t>
      </w:r>
    </w:p>
    <w:p w14:paraId="50842A96"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 сентября на фронтах существенных изменений не произошло.</w:t>
      </w:r>
    </w:p>
    <w:p w14:paraId="7962A89C"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северо-западнее Сталинграда наши войска вели ожесточённые бои с противником. На участке Н-ского соединения отбиты три атаки немцев. Уничтожено 6 танков и свыше 250 солдат и офицеров противника. В бою за один населённый пункт наши бойцы уничтожили 170 гитлеровцев и захватили у противника исправный танк, 3 орудия, 7 пулемётов и другие трофеи.</w:t>
      </w:r>
    </w:p>
    <w:p w14:paraId="58EB6CFE"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немецкая пехота при поддержке танков атаковала наши оборонительные рубежи. Огнём артиллерии, противотанковых ружей, гранатами и бутылками с горючей жидкостью наши бойцы вывели из строя до 30 немецких танков. Остальные танки неприятеля отошли на исходные позиции. Пехота противника, лишившись поддержки танков, отступила, понеся большие потери.</w:t>
      </w:r>
    </w:p>
    <w:p w14:paraId="5AC14415"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северо-восточнее Котельникова наши танкисты, отбивая многочисленные атаки противника, уничтожили 11 немецких танков, 4 противотанковых орудия, самоходную пушку и до двух рот немецкой пехоты. На другом участке Н-ская часть после упорных боёв, в ходе которых было уничтожено до 400 гитлеровцев, отошла на новые позиции.</w:t>
      </w:r>
    </w:p>
    <w:p w14:paraId="435DC47A"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Краснодара наша кавалерийская часть при поддержке танков отбила атаку противника и, перейдя в контратаку, заняла населённый пункт. На поле боя осталось до 200 трупов немецких солдат и офицеров. В горном проходе уничтожен отряд немецких автоматчиков. На другом участке наши миномётчики произвели огневой налёт на скопление противника и уничтожили 8 автомашин, 3 орудия и более100 гитлеровцев.</w:t>
      </w:r>
    </w:p>
    <w:p w14:paraId="7F4756E8"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немцы безуспешно пытались преодолеть водный рубеж. Артиллерийским и пулемётным огнём рассеяно и частью уничтожено до батальона пехоты противника.</w:t>
      </w:r>
    </w:p>
    <w:p w14:paraId="6EDDF345"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танкисты под командованием старшего лейтенанта тов.Лоленко совершили внезапный налёт на населённый пункт, занятый противником. Воспользовавшись паникой среди гитлеровцев, танкисты уничтожили 16 орудий, 8 миномётов, 25 пулемётов, 15 автомашин, 45 повозок и истребили до 300 немецких солдат и офицеров.</w:t>
      </w:r>
    </w:p>
    <w:p w14:paraId="53CA9AF9"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происходила артиллерийская перестрелка и активные действия разведывательных групп. Наши разведчики и снайперы за два дня уничтожили более 150 немецких солдат и офицеров. Огнём нашей артиллерии разрушено 23 вражеских ДЗОТа и блиндажа с находившимися в них гитлеровцами, подавлен огонь 9 артиллерийских и 5 миномётных батарей противника.</w:t>
      </w:r>
    </w:p>
    <w:p w14:paraId="1EA81482"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 Ленинградского фронта и Балтийского флота уничтожили 37 и повредили 8 немецких самолётов.</w:t>
      </w:r>
    </w:p>
    <w:p w14:paraId="31276EBB"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С., действующий в одном из районов Гомельской области, разгромил обоз противника. Партизаны перебили 26 немецких солдат и офицеров, сожгли 8 автомашин и захватили трофеи. Через несколько дней группа партизан того же отряда напала на полевой аэродром и подожгла находившиеся там два транспортных самолёта противника.</w:t>
      </w:r>
    </w:p>
    <w:p w14:paraId="50CFDBEB"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северо-западнее Сталинграда немецкого унтер-офицера Эриха Мюллера обнаружен дневник. В этом дневнике он писал:</w:t>
      </w:r>
    </w:p>
    <w:p w14:paraId="513493FF"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«...Завтра нас вводят в дело. Мы должны закончить начатое наступление. Офицеры говорят, что это последний штурм. Чем скорее мы возьмём Сталинград, тем скорее окончится война. Второй зимы в России мы не выдержим.</w:t>
      </w:r>
    </w:p>
    <w:p w14:paraId="691E7E5E"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...Мы с боями медленно продвигаемся вперёд. Адская жара. От нашей роты осталась небольшая кучка. Лейтенант Гельмут убит, фельдфебелю Штейну оторвало ноги.</w:t>
      </w:r>
    </w:p>
    <w:p w14:paraId="51E2C918"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...Когда же кончится этот ад? Я теряю голову. Третья атака не удалась. Наш путь к Сталинграду можно назвать дорогой мертвецов. Много русских самолётов. Кругом столбы чёрного дыма, стоны и крики. Я, кажется, теряю рассудок. Счастлив тот, кто унесёт отсюда целыми свои кости...»</w:t>
      </w:r>
    </w:p>
    <w:p w14:paraId="04497B9C"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 и командиров Н-ской части, действующей на одном из участков Брянского фронта, составила акт о кровавых злодеяниях немецко-фашистских мерзавцев. В акте говорится: «При осмотре освобождённой от захватчиков территории нами был обнаружен и опознан труп красноармейца Доневского ТимофеяТимофеевича. Взяв раненого бойца в плен, гитлеровские бандиты подвергли его пыткам. Немцы выкололи Доневскому глаза, прострелили в нескольких местах кисти рук, отрубили ступню левой ноги. После чудовищных издевательств палачи повесили красноармейца. Акт подписали: лейтенант Фадеев, санинструктор Крылов, старший политрук Никулин, заместитель политрука Солодовиченко, старший сержант Лысов, красноармейцы Паньков и Бакшеев».</w:t>
      </w:r>
    </w:p>
    <w:p w14:paraId="1217B3A4"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Отряды югославских партизан выбили итало-немецких оккупантов из города Мрконич Град и других населённых пунктов. В боях с партизанами оккупанты потеряли более 250 человек убитыми и ранеными. Партизанами захвачены орудие, 2 тяжёлых миномёта, 17 пулемётов, 150 винтовок и боеприпасы. В семи километрах от Белграда партизаны уничтожили направлявшуюся в Германию немецкую автоколонну с зерном нового урожая.» (14756).</w:t>
      </w:r>
    </w:p>
    <w:p w14:paraId="32535540"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41FA3458"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 сентября </w:t>
      </w:r>
      <w:r w:rsidRPr="00722885">
        <w:rPr>
          <w:rFonts w:ascii="Times New Roman" w:hAnsi="Times New Roman"/>
          <w:color w:val="000000" w:themeColor="text1"/>
          <w:sz w:val="16"/>
          <w:szCs w:val="16"/>
        </w:rPr>
        <w:t>в 1942 году вечернее сообщение Совинформбюро:</w:t>
      </w:r>
    </w:p>
    <w:p w14:paraId="36B6E15F"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 сентября наши войска вели ожесточённые бои с противником северо-западнее и юго-западнее Сталинграда. На других фронтах существенных изменений не произошло.</w:t>
      </w:r>
    </w:p>
    <w:p w14:paraId="20F0C557"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31 августа частями нашей авиации на различных участках фронта уничтожено или повреждено до 15 немецких танков, 70 автомашин с войсками и грузами, подавлен огонь 10 батарей полевой и зенитной артиллерии, взорвано 3 склада боеприпасов и 4 склада горючего, потоплено 3 сторожевых катера, рассеяно ичастью уничтожено до двух рот пехоты противника.</w:t>
      </w:r>
    </w:p>
    <w:p w14:paraId="4FCF6D8D"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продолжались упорные бои с немецко-фашистскими войсками. Бойцы Н-ской части при поддержке танков в многочасовом бою уничтожили 11 немецких танков, 7 противотанковых орудий, 2 тяжёлых орудия, 19 станковых пулемётов и до 450 гитлеровцев.</w:t>
      </w:r>
    </w:p>
    <w:p w14:paraId="63AA96FB"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отбито несколько атак немецко-итальянской пехоты, врезультате которых противник понёс большие потери. Только перед оборонительными рубежами одной нашей части гитлеровцы оставили 4 сожжённых танка и свыше 150 трупов солдат и офицеров.</w:t>
      </w:r>
    </w:p>
    <w:p w14:paraId="226F1671"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напряжённые оборонительные бои станками противника. Сосредоточив на одном из участков крупные силы танков, немцы предприняли наступление и вклинились в нашу оборону. Наши части ведутожесточённые бои с прорвавшейся группировкой противника. На другом участке наши войска по плану командования отошли на новые оборонительные рубежи.</w:t>
      </w:r>
    </w:p>
    <w:p w14:paraId="1ABCBF2D"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Краснодара немцам ценой больших потерь удалось занять несколько высот и два населённых пункта. Подвижные группы наших бойцов контратаковали противника и восстановили первоначальное положение. В результате этого боя уничтожено 6 танков, 15 автомашин и до роты пехоты противника. На другом участке советские войска под давлением численно превосходящих сил противника отошли на новые позиции.</w:t>
      </w:r>
    </w:p>
    <w:p w14:paraId="55FED7D2"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 борьбе за переправу через водный рубеж уничтожили 12 понтонов и свыше 200 немецких солдат и офицеров.</w:t>
      </w:r>
    </w:p>
    <w:p w14:paraId="2CAA6F27"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полк пехоты противника при поддержке 40 танков пытался атаковать рубеж, обороняемый Н-ской частью. Артиллерийским и пулемётным огнём наших бойцов немцы были отброшены на исходные позиции. На поле боя осталось до 400 убитых вражеских солдат и офицеров. Уничтожено 5 и подбито 6 немецких танков.</w:t>
      </w:r>
    </w:p>
    <w:p w14:paraId="2176F92C"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происходили активные действия разведывательных групп и артиллерийская перестрелка. Наши подразделения уничтожили 4 миномётные и одну зенитную батареи, 3 противотанковые пушки и склад с боеприпасами противника. Захвачены трофеи: 12 пулемётов, 2 орудия, до 10 тысяч ружейных патронов, много мин и снарядов.</w:t>
      </w:r>
    </w:p>
    <w:p w14:paraId="6C41C3D4"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Смелую операцию провели лейтенанты Водлесный и Хотуницкий, младший лейтенант Петров и красноармейцы Малышев и Хвостик. Ночью они пробрались в расположение противника и забросали гранатами землянки неприятеля. Воспользовавшись возникшей суматохой, наши бойцы захватили противотанковое орудие и прикатили его в расположение своей части.</w:t>
      </w:r>
    </w:p>
    <w:p w14:paraId="32029AB8"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под командованием тов. Г. в тылу белофиннов провёл несколько смелых операций. Партизаны прошли по лесам и болотам почти 700 километров, нанося внезапные удары по коммуникациям противника. Против отряда партизан были брошены пограничные части и шюцкоровские отряды. В боях с белофиннами партизаны истребили до 750 солдат и офицеров, уничтожили большое количество автоматического оружия, радиостанций, снаряжения и боеприпасов.</w:t>
      </w:r>
    </w:p>
    <w:p w14:paraId="28F664AE"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Жители ныне освобождённой от немцев деревни Пудово, Калининской области, составили акт о зверствах и грабежах, учинённых немецко-фашистскими захватчиками. В акте говорится: «Одиннадцать месяцев немецкие разбойники хозяйничали в нашей деревне. Солдаты и офицеры врывались в дома колхозников, забирали все их пожитки и продовольствие. Население пухло от голода. За короткое время, умерли голодной смертью Пухова Екатерина и двое её детей, Корешков Андрей, Пучков Родион и многие другие. Гитлеровцы растерзали Кузнецову Марию Ивановну вместе с трёхлетним ребёнком, у колхозника Новторцева Андрея Петровича изверги сначала убили трёх детей, жену, а потом и его самого. Отступая под ударами Красной Армии, гитлеровцы сожгли 56 жилых домов и все хозяйственные постройки колхозников». Акт подписали: жители деревни Вишнякова Анна, Чудинова Пелагея, Батурина Татьяна и другие.</w:t>
      </w:r>
    </w:p>
    <w:p w14:paraId="0F8126E7"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Албанские патриоты совершили нападение на город Валону. В бою с оккупантами уничтожено 40 итальянских захватчиков и сожжено 4 военных склада. В Эльбасане патриоты подожгли на товарной станции склады оккупантов с фуражом и продовольствием.» (14756).</w:t>
      </w:r>
    </w:p>
    <w:p w14:paraId="68BE2E87"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630BDD3D" w14:textId="77777777" w:rsidR="00AF0F44" w:rsidRPr="00722885" w:rsidRDefault="00AF0F44"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1 сентября 1942. Экипаж ТБ-7 Пономаренко, Легкоступ. Цель- бомбордирование города Варшава. Сброшено 2 ФАБ-500тга, 8 ФАБ-250тга. Время взлета 19.29, время бомбометания 25.55, время посадки 04.00. Отчет-На Н=5500м. Наблюдали разрывы бомб в центре города. В результате бомбометания возникло 4 пожара в центр части города. Пожары больших размеров (19105).</w:t>
      </w:r>
    </w:p>
    <w:p w14:paraId="59335216" w14:textId="77777777" w:rsidR="00AF0F44" w:rsidRPr="00722885" w:rsidRDefault="00AF0F44" w:rsidP="00722885">
      <w:pPr>
        <w:pStyle w:val="108"/>
        <w:shd w:val="clear" w:color="auto" w:fill="auto"/>
        <w:spacing w:line="240" w:lineRule="auto"/>
        <w:jc w:val="both"/>
        <w:rPr>
          <w:color w:val="000000" w:themeColor="text1"/>
          <w:sz w:val="16"/>
          <w:szCs w:val="16"/>
        </w:rPr>
      </w:pPr>
    </w:p>
    <w:p w14:paraId="20E10989"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 сентября </w:t>
      </w:r>
      <w:r w:rsidRPr="00722885">
        <w:rPr>
          <w:rFonts w:ascii="Times New Roman" w:hAnsi="Times New Roman"/>
          <w:color w:val="000000" w:themeColor="text1"/>
          <w:sz w:val="16"/>
          <w:szCs w:val="16"/>
        </w:rPr>
        <w:t>в 1942 году Ставка ВГК объединила Северо-Кавказский и Закавказский фронты в Закавказский, преобразовала Северо-Кавказский фронт в Черноморскую группу войск. Началась Моздок-Малгобекская оборонительная операция Северной группы войск (генерал-лейтенант И.И.Масленников) Закавказского фронта, продолжавшаяся до 28 сентября (14756).</w:t>
      </w:r>
    </w:p>
    <w:p w14:paraId="743783B0"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10C3FC9D"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 сентября </w:t>
      </w:r>
      <w:r w:rsidRPr="00722885">
        <w:rPr>
          <w:rFonts w:ascii="Times New Roman" w:hAnsi="Times New Roman"/>
          <w:color w:val="000000" w:themeColor="text1"/>
          <w:sz w:val="16"/>
          <w:szCs w:val="16"/>
        </w:rPr>
        <w:t>в 1942 году немецкая вспомогательная охранная служба полиции порядка на оккупированных советских территориях перешла в ведение СС (14756).</w:t>
      </w:r>
    </w:p>
    <w:p w14:paraId="49BEC84F"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37175E29"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 сентября </w:t>
      </w:r>
      <w:r w:rsidRPr="00722885">
        <w:rPr>
          <w:rFonts w:ascii="Times New Roman" w:hAnsi="Times New Roman"/>
          <w:color w:val="000000" w:themeColor="text1"/>
          <w:sz w:val="16"/>
          <w:szCs w:val="16"/>
        </w:rPr>
        <w:t>в 1942 году командующим Русской Национальной Народной Армией назначен бывший полковник РККА В.И.Боярский (14756).</w:t>
      </w:r>
    </w:p>
    <w:p w14:paraId="16840E1C"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631DF906"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 сентября </w:t>
      </w:r>
      <w:r w:rsidRPr="00722885">
        <w:rPr>
          <w:rFonts w:ascii="Times New Roman" w:hAnsi="Times New Roman"/>
          <w:color w:val="000000" w:themeColor="text1"/>
          <w:sz w:val="16"/>
          <w:szCs w:val="16"/>
        </w:rPr>
        <w:t>в 1942 году немецкие войска выходят к Волге (14756).</w:t>
      </w:r>
    </w:p>
    <w:p w14:paraId="0FE74582"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09DC1C2B"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 1 сентября 1942 в в 8</w:t>
      </w:r>
      <w:r w:rsidRPr="00722885">
        <w:rPr>
          <w:rFonts w:ascii="Times New Roman" w:hAnsi="Times New Roman"/>
          <w:color w:val="0070C0"/>
          <w:sz w:val="16"/>
          <w:szCs w:val="16"/>
        </w:rPr>
        <w:noBreakHyphen/>
        <w:t>й воздушной армии под Сталинградом (хотя 28–29 августа из тыла поступило пополнение в виде четырех истребительных и двух штурмовых авиаполков) в результате опустошительных небесных боев стала остро ощущаться нехватка истребителей и насчитывалось всего 97 исправных машин. Все это заставило Хрюкина полностью отказаться от эскортирования штурмовиков и бомбардировщиков. И если экипажам Пе</w:t>
      </w:r>
      <w:r w:rsidRPr="00722885">
        <w:rPr>
          <w:rFonts w:ascii="Times New Roman" w:hAnsi="Times New Roman"/>
          <w:color w:val="0070C0"/>
          <w:sz w:val="16"/>
          <w:szCs w:val="16"/>
        </w:rPr>
        <w:noBreakHyphen/>
        <w:t>2 просто приказали бомбить с высоты 8000 метров, то штурмовикам пришлось рассчитывать исключительно на везение. Впрочем, от истребительного прикрытия и так было мало толку. Штаб 8</w:t>
      </w:r>
      <w:r w:rsidRPr="00722885">
        <w:rPr>
          <w:rFonts w:ascii="Times New Roman" w:hAnsi="Times New Roman"/>
          <w:color w:val="0070C0"/>
          <w:sz w:val="16"/>
          <w:szCs w:val="16"/>
        </w:rPr>
        <w:noBreakHyphen/>
        <w:t>й воздушной армии в качестве рекомендаций предложил пилотам Илов производить заходы на цели со стороны солнца, использовать для скрытого подхода облачность и дым от пожарищ (23199).</w:t>
      </w:r>
    </w:p>
    <w:p w14:paraId="5C3146FB" w14:textId="77777777" w:rsidR="005B5EE0" w:rsidRPr="00722885" w:rsidRDefault="005B5EE0" w:rsidP="00722885">
      <w:pPr>
        <w:spacing w:after="0" w:line="240" w:lineRule="auto"/>
        <w:jc w:val="both"/>
        <w:rPr>
          <w:rFonts w:ascii="Times New Roman" w:hAnsi="Times New Roman"/>
          <w:color w:val="0070C0"/>
          <w:sz w:val="16"/>
          <w:szCs w:val="16"/>
        </w:rPr>
      </w:pPr>
    </w:p>
    <w:p w14:paraId="3662360A"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 сентября 1942 г. Командующий военно-воздушными силами Ленинградского фронта генерал-майор авиации Рыбальченко и Военный комиссар военно-воздушных сил Ленинградского фронта бригадный комиссар Иванов утвердили:</w:t>
      </w:r>
    </w:p>
    <w:p w14:paraId="70BFDEBE"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ИНСТРУКЦИЯ ПО ОРГАНИЗАЦИИ ВЗАИМОДЕЙСТВИЯ ИСТРЕБИТЕЛЕЙ С БОМБАРДИРОВЩИКАМИ И ШТУРМОВИКАМИ ПРИ СОПРОВОЖДЕНИИ</w:t>
      </w:r>
    </w:p>
    <w:p w14:paraId="0BD1194F"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I. Общее положение</w:t>
      </w:r>
    </w:p>
    <w:p w14:paraId="6FC4AFF5"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 Правильная и четкая организация взаимодействия истребителей с бомбардировщиками и штурмовиками значительно снижает возможность потерь самолетов от истребителей противника и повышает эффективность удара по заданным целям.</w:t>
      </w:r>
    </w:p>
    <w:p w14:paraId="679F360C"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2. При подготовке к вылету с прикрытием командир прикрываемой группы должен поставить задачу истребителям прикрытия: количество прикрываемых самолетов; время, место и способ встречи; продолжительность прикрытия; маршрут и предполагаемая высота полета; маневр над целью; прикрытие посадки.</w:t>
      </w:r>
    </w:p>
    <w:p w14:paraId="61E967DD"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3. Командир группы истребителей сопровождения обязан сообщить командиру прикрываемой группы тип и количество истребителей и их боевой порядок в воздухе.</w:t>
      </w:r>
    </w:p>
    <w:p w14:paraId="52426CA4"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4. Место встречи с прикрытием считать аэродром истребителей, которые взлетают при появлении прикрываемой группы.</w:t>
      </w:r>
    </w:p>
    <w:p w14:paraId="594EA3DF"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При базировании взаимодействующих частей на одном аэродроме первой взлетает прикрываемая группа, а за ней — группа прикрытия. В случае непредвиденных задержек вылета истребителей последние выкладывают сигналы из полотнищ бомбардировщикам или штурмовикам, ожидающим в воздухе:</w:t>
      </w:r>
    </w:p>
    <w:p w14:paraId="38F1891D"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rStyle w:val="a7"/>
          <w:b w:val="0"/>
          <w:color w:val="000000" w:themeColor="text1"/>
          <w:sz w:val="16"/>
          <w:szCs w:val="16"/>
          <w:lang w:val="ru-RU"/>
        </w:rPr>
        <w:t>II</w:t>
      </w:r>
      <w:r w:rsidRPr="00722885">
        <w:rPr>
          <w:color w:val="000000" w:themeColor="text1"/>
          <w:sz w:val="16"/>
          <w:szCs w:val="16"/>
          <w:lang w:val="ru-RU"/>
        </w:rPr>
        <w:t xml:space="preserve"> - “ждите над аэродромом”</w:t>
      </w:r>
    </w:p>
    <w:p w14:paraId="2525F4FA"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rStyle w:val="a7"/>
          <w:b w:val="0"/>
          <w:color w:val="000000" w:themeColor="text1"/>
          <w:sz w:val="16"/>
          <w:szCs w:val="16"/>
          <w:lang w:val="ru-RU"/>
        </w:rPr>
        <w:t>X</w:t>
      </w:r>
      <w:r w:rsidRPr="00722885">
        <w:rPr>
          <w:color w:val="000000" w:themeColor="text1"/>
          <w:sz w:val="16"/>
          <w:szCs w:val="16"/>
          <w:lang w:val="ru-RU"/>
        </w:rPr>
        <w:t xml:space="preserve"> - “истребители не пойдут”</w:t>
      </w:r>
    </w:p>
    <w:p w14:paraId="3C33F3B0"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rStyle w:val="a7"/>
          <w:b w:val="0"/>
          <w:color w:val="000000" w:themeColor="text1"/>
          <w:sz w:val="16"/>
          <w:szCs w:val="16"/>
          <w:lang w:val="ru-RU"/>
        </w:rPr>
        <w:t>T</w:t>
      </w:r>
      <w:r w:rsidRPr="00722885">
        <w:rPr>
          <w:color w:val="000000" w:themeColor="text1"/>
          <w:sz w:val="16"/>
          <w:szCs w:val="16"/>
          <w:lang w:val="ru-RU"/>
        </w:rPr>
        <w:t xml:space="preserve"> - “садитесь на этот аэродром”.</w:t>
      </w:r>
    </w:p>
    <w:p w14:paraId="30186AC0"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5. При сопровождении четырьмя самолетами и более прикрытие разделяется на две группы:</w:t>
      </w:r>
    </w:p>
    <w:p w14:paraId="33C409FD"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а) группа непосредственного прикрытия 1/3 сил следует сзади (150 - 200 м) уступом (100 - 150 м) и с превышением, позволяющим видеть всю прикрываемую группу. Группа непосредственного прикрытия имеет задачу: отражение атак противника без отрыва от сопровождаемых самолетов;</w:t>
      </w:r>
    </w:p>
    <w:p w14:paraId="02BFF845"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б) ударно-сковывающая группа — 2/3 сил следует сзади (400 - 500 м) уступом (400 - 500 м) и с превышением (600 - 1200 м). Ударно-сковывающая группа имеет задачу: боем связывать истребителей' противника, не давая им возможности производить атаки сопровождаемых самолетов.</w:t>
      </w:r>
    </w:p>
    <w:p w14:paraId="19A41BE0"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6. При полетах на высоте нижнего края облачности ударно-сковывающая группа следует сзади на высоте сопровождаемой группы, обеспечивая этим оборону хвоста группы непосредственного прикрытия; в таких случаях группа непосредственного прикрытия следует также сзади, но ниже прикрываемой группы, обеспечивая этим прикрытие группы от атак истребителей противника снизу.</w:t>
      </w:r>
    </w:p>
    <w:p w14:paraId="47CE2BAE"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7. Во всех случаях сопровождения истребители должны следовать на таком удалении от прикрываемой группы, которое обеспечивает надежную зрительную связь всех групп при любых условиях погоды и земного покрова.</w:t>
      </w:r>
    </w:p>
    <w:p w14:paraId="4B6E91BE"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8. Для связи истребителей с сопровождаемыми самолетами в воздухе установить следующие сигналы:</w:t>
      </w:r>
    </w:p>
    <w:p w14:paraId="6BDA1690"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а) красная ракета с сопровождаемого самолета требование к истребителям держаться ближе;</w:t>
      </w:r>
    </w:p>
    <w:p w14:paraId="28A08BC6"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б) пулеметная очередь в сторону замеченных самолетов — “вижу противника”;</w:t>
      </w:r>
    </w:p>
    <w:p w14:paraId="321EEF57"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в) в случае большого отрыва истребителей от сопровождаемых и при последующей встрече их — давать сигнал “я свой самолет”.</w:t>
      </w:r>
    </w:p>
    <w:p w14:paraId="67D0B039"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9. Продолжительность сопровождения (включая взлет, посадку) установить не более: для самолета МиГ-3 — 1 час; ЛаГГ-3 — 1 час 15 мин.; Як-1 — 1 час 10 мин.; И-16— 1 час 10 мин.; И-153 — 1 час 20 мин.</w:t>
      </w:r>
    </w:p>
    <w:p w14:paraId="4C056FD2"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В продолжительность сопровождения не входит время, потраченное на ведение воздушного боя.</w:t>
      </w:r>
    </w:p>
    <w:p w14:paraId="079FA176"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10. В случае увеличения времени полета сопровождаемой группы за счет нарушения маршрута полета или поиска цели командир группы истребителей должен покачать самолетом и уходить назад с плавным левым разворотом, что означает — “сопровождение закончено”. В этом случае командир сопровождаемой группы берет на себя всю ответственность полета без прикрытия и в дальнейшем исходит из метеорологической обстановки и степени противодействия воздушного противника.</w:t>
      </w:r>
    </w:p>
    <w:p w14:paraId="1201DB00"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11. Для точного ориентирования постов воздушного наблюдения, оповещения и связи и пунктов противовоздушной обороны при подходе к своей территории не создавать впечатления догона бомбардировщиков или штурмовиков истребителями, а держаться в компактной группе.</w:t>
      </w:r>
    </w:p>
    <w:p w14:paraId="6C3B4C24"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12. В течение всего полета при сопровождении истребители обязаны вести общую и детальную ориентировку с тем, чтобы в случае необходимости самостоятельно возвратиться на свой аэродром.</w:t>
      </w:r>
    </w:p>
    <w:p w14:paraId="39E4E34F"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13. Группа сопровождения обеспечивает прикрытие до окончания посадки бомбардировщиков или штурмовиков, после чего производят посадку истребители.</w:t>
      </w:r>
    </w:p>
    <w:p w14:paraId="1CF12CA3"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14. Все возникающие по взаимодействию вопросы уточнять до полета командованию той и другой стороны. При базировании частей на одном аэродроме договоренность о взаимодействии достигается только личным общением командиров групп.</w:t>
      </w:r>
    </w:p>
    <w:p w14:paraId="6B4A2202"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II. Особенности прикрытия штурмовиков</w:t>
      </w:r>
    </w:p>
    <w:p w14:paraId="16079ACB"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 Одной из особенностей прикрытия штурмовиков является не тол защита самолетов от истребителей противника, но и обеспечение возможности максимально использовать всю огневую мощь штурмовика атаке цели. Эффективное использование огневой мощи штурмовика достигается тем, что при выходе на цель каждый экипаж самостоятельно выбирает себе цель и атакует ее последовательно: сначала реактивными снарядами (РС) и пушечным огнем деморализует и уничтожает точки зенитной артиллерии и зенитных пулеметов, затем, снижаясь, атакуя цель пулеметным огнем и, наконец, перед выходом из планирования сбрасывает бомбы.</w:t>
      </w:r>
    </w:p>
    <w:p w14:paraId="3CCA1F29"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2. Группа непосредственного прикрытия планирует вместе со штурмовиками, атакуя цель пушечным огнем до высоты 400 - 500 м. При выходе штурмовиков из атаки на малой высоте группа прикрытия окаймляет штурмовиков со всех сторон, находясь на высоте 400 - 500 м, и не допускает внезапных атак самолетов противника.</w:t>
      </w:r>
    </w:p>
    <w:p w14:paraId="311A3153"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3. При следовании штурмовиков, на бреющем полете над лесистой местностью истребители сопровождения следуют также на бреющем полете, обходя поляны так, чтобы не было видно обратной опушки леса.</w:t>
      </w:r>
    </w:p>
    <w:p w14:paraId="54E3174A"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 xml:space="preserve">4. Уход штурмовиков от цели не всегда может быть организованным вследствие неодновременности атаки объектов цели. Прикрытие штурмовиков при уходе от цели осуществляется следующим порядком: группа непосредственного прикрытия уходит с первым штурмовиком, закончившим атаку, и следует на свой аэродром на </w:t>
      </w:r>
      <w:r w:rsidRPr="00722885">
        <w:rPr>
          <w:color w:val="000000" w:themeColor="text1"/>
          <w:sz w:val="16"/>
          <w:szCs w:val="16"/>
          <w:lang w:val="ru-RU"/>
        </w:rPr>
        <w:lastRenderedPageBreak/>
        <w:t>средней скорости. Ударно-сковывающая группа уходит с последним штурмовиком на повышенной скорости с целью догона впереди идущих. При таком построении прикрытия исключается возможность безнаказанной атаки отдельных штурмовиков истребителями противника.</w:t>
      </w:r>
    </w:p>
    <w:p w14:paraId="27015F6E"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5. При отсутствии воздушного противника в районе цели подавление огня зенитной артиллерии и зенитных пулеметов можно возлагать на группу непосредственного прикрытия (4964).</w:t>
      </w:r>
    </w:p>
    <w:p w14:paraId="7AB6C7DD" w14:textId="77777777" w:rsidR="00AE7191" w:rsidRPr="00722885" w:rsidRDefault="00AE7191" w:rsidP="00722885">
      <w:pPr>
        <w:pStyle w:val="Blockquote"/>
        <w:widowControl/>
        <w:tabs>
          <w:tab w:val="left" w:pos="11199"/>
        </w:tabs>
        <w:spacing w:before="0" w:after="0"/>
        <w:ind w:left="0" w:right="0"/>
        <w:jc w:val="both"/>
        <w:rPr>
          <w:color w:val="000000" w:themeColor="text1"/>
          <w:sz w:val="16"/>
          <w:szCs w:val="16"/>
          <w:lang w:val="ru-RU"/>
        </w:rPr>
      </w:pPr>
    </w:p>
    <w:p w14:paraId="1CB09EF3" w14:textId="77777777" w:rsidR="00440371" w:rsidRPr="00722885" w:rsidRDefault="004403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сентября 1942 основной удар по Варшаве нанесли Ил-4 17-й дивизии АДД. 29 экипажей сбросили на город 102 «зажигалки» и 159 фугасных авиабомб весом по 100 кг каждая. Один самолет бомбил Белосток. Монинская группа 24-й дивизии произвела десять самолето-вылетов. Восемь экипажей доложили о поражении основной цели, два из-за неисправности материальной части задания не выполнили. Самолеты 36-й ад дд в эту ночь на Варшаву не летали. Результаты первого налета на Варшаву были таковы: фугасная бомба взорвалась недалеко от «Брюнверке», предприятия, работавшего по заказам Люфтваффе. Больших повреждений этот взрыв не нанес. В жилых районах возникло около 25 пожаров, было убито 22 человека, травмировано около 60 и ранено около 20. Три бомбы упали на станцию Бобрек южнее Варшавы. Два из трех путей были разрушены, уничтожена платформа. В этом же налете пострадала одна шахта Катовицкого бассейна, два человека убиты и около 20 ранено. На восстановление производства до половинной мощности требовалось до 5-6 дней. О результатах второго налета информация значительно скупее: многочисленные пожары, разрушения на железнодорожных коммуникациях. Несколько убитых и раненых (22728).</w:t>
      </w:r>
    </w:p>
    <w:p w14:paraId="3ECE9C2E" w14:textId="77777777" w:rsidR="00440371" w:rsidRPr="00722885" w:rsidRDefault="00440371" w:rsidP="00722885">
      <w:pPr>
        <w:spacing w:after="0" w:line="240" w:lineRule="auto"/>
        <w:jc w:val="both"/>
        <w:rPr>
          <w:rFonts w:ascii="Times New Roman" w:hAnsi="Times New Roman"/>
          <w:color w:val="0070C0"/>
          <w:sz w:val="16"/>
          <w:szCs w:val="16"/>
        </w:rPr>
      </w:pPr>
    </w:p>
    <w:p w14:paraId="511E5F5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рассвете 1 сентября 1942 г. 15 И-153 и 3 И-15бис 828-го шап нанесли удар по финскому аэродрому Гирвас, на котором базировались истребители Брустер "Буффало". Ударную группу прикрывали истребители 195-го иап. По донесениям летчиков штурмовка прошла успешно, при этом в завязавшемся воздушном бою удалось сбить три истребителя "Буффало" (12014).</w:t>
      </w:r>
    </w:p>
    <w:p w14:paraId="153DA38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8B7D1C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рассвете 1 сентября 1942 г. 15 И-153 и три И-15бис 828-го шап нанесли удар по финскому аэродрому Гирвас, на ко</w:t>
      </w:r>
      <w:r w:rsidRPr="00722885">
        <w:rPr>
          <w:rFonts w:ascii="Times New Roman" w:hAnsi="Times New Roman"/>
          <w:color w:val="000000" w:themeColor="text1"/>
          <w:sz w:val="16"/>
          <w:szCs w:val="16"/>
        </w:rPr>
        <w:softHyphen/>
        <w:t>тором базировались истребители «Буф</w:t>
      </w:r>
      <w:r w:rsidRPr="00722885">
        <w:rPr>
          <w:rFonts w:ascii="Times New Roman" w:hAnsi="Times New Roman"/>
          <w:color w:val="000000" w:themeColor="text1"/>
          <w:sz w:val="16"/>
          <w:szCs w:val="16"/>
        </w:rPr>
        <w:softHyphen/>
        <w:t>фало». Ударную группу прикрывали ис</w:t>
      </w:r>
      <w:r w:rsidRPr="00722885">
        <w:rPr>
          <w:rFonts w:ascii="Times New Roman" w:hAnsi="Times New Roman"/>
          <w:color w:val="000000" w:themeColor="text1"/>
          <w:sz w:val="16"/>
          <w:szCs w:val="16"/>
        </w:rPr>
        <w:softHyphen/>
        <w:t>требители 195-го иап. По донесениям лётчиков, штурмовка прошла успешно, при этом в завязавшемся воздушном бою удалось сбить три истребителя «Буффало».</w:t>
      </w:r>
    </w:p>
    <w:p w14:paraId="3EF7A7A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формировании в ноябре 1942 г. 7-й воздушной армии 828-й шап вошёл в состав 261-й авиадивизии. В эту дивизию был включён и 839-й иап, также летавший на И-153 и И-15бис. В феврале 1943 г. его преобразовали в штурмовой полк (коман</w:t>
      </w:r>
      <w:r w:rsidRPr="00722885">
        <w:rPr>
          <w:rFonts w:ascii="Times New Roman" w:hAnsi="Times New Roman"/>
          <w:color w:val="000000" w:themeColor="text1"/>
          <w:sz w:val="16"/>
          <w:szCs w:val="16"/>
        </w:rPr>
        <w:softHyphen/>
        <w:t>дир - П.И. Богданов). Оба полка эксплуа</w:t>
      </w:r>
      <w:r w:rsidRPr="00722885">
        <w:rPr>
          <w:rFonts w:ascii="Times New Roman" w:hAnsi="Times New Roman"/>
          <w:color w:val="000000" w:themeColor="text1"/>
          <w:sz w:val="16"/>
          <w:szCs w:val="16"/>
        </w:rPr>
        <w:softHyphen/>
        <w:t>тировали старую технику в течение всего 1943 г. В дальнейшем их перевооружили на штурмовики Ил-2 (12294).</w:t>
      </w:r>
    </w:p>
    <w:p w14:paraId="3DE8260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E07013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сентября 1942 в армии осталось 1662 машины Комсомолец, а на 1.1.1943 - 1048), продолжали нести свою нелегкую службу. При отсутствии других тягачей их применяли и для буксировки более тяжелой малокалиберной зенитной и дивизионной артиллерии, конечно, работали машины при этом с перегрузкой. Использовали Т-20, оказавшиеся идеальными для лесных дорог, к тому же всегда обеспеченные автомобильными запчастями, и партизаны. Единственный сохранившийся в нашей стране «Комсомолец» можно увидеть в Москве на Поклонной горе. В финском танковом музее их два, причем один — на ходу. И это неудивительно, ведь в финской армии трофейные тягачи Т-20 эксплуатировались до 1961 года (11639).</w:t>
      </w:r>
    </w:p>
    <w:p w14:paraId="3DC6FA7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584873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сентября 1942 года в армии насчитывалось всего 4678 СТЗ-5 — сказывались большие летние потери. СТЗ-5 честно дослужили в армии до окончания военных действий, а до 1950-х годов их использовали в различных отраслях народного хозяйства, где работоспособность тягачей-ветеранов поддерживалась за счет запчастей, к еще выпускавшемуся и широко распространенному в народном хозяйстве «старшему брату» — трактору СТЗ-3 (АСХТЗ-НАТИ). Это говорит о том, что поставленная в 1930-е годы непростая задача создания недорогого и массового транспортного трактора, унифицированного с пахотным, была успешно выполнена (11639).</w:t>
      </w:r>
    </w:p>
    <w:p w14:paraId="18453CB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3367D70" w14:textId="77777777" w:rsidR="00AE7191" w:rsidRPr="00722885" w:rsidRDefault="00AE7191" w:rsidP="00722885">
      <w:pPr>
        <w:pStyle w:val="a3"/>
        <w:rPr>
          <w:color w:val="000000" w:themeColor="text1"/>
          <w:lang w:val="ru-RU"/>
        </w:rPr>
      </w:pPr>
      <w:r w:rsidRPr="00722885">
        <w:rPr>
          <w:color w:val="000000" w:themeColor="text1"/>
          <w:lang w:val="ru-RU"/>
        </w:rPr>
        <w:t>На 1 сентября 1942 г. по данным ГАБТУ РККА в армии насчитывалось 39990 тракторов, в числе ко</w:t>
      </w:r>
      <w:r w:rsidRPr="00722885">
        <w:rPr>
          <w:color w:val="000000" w:themeColor="text1"/>
          <w:lang w:val="ru-RU"/>
        </w:rPr>
        <w:softHyphen/>
        <w:t>торых 29583 (или 74% всего тракторного пар</w:t>
      </w:r>
      <w:r w:rsidRPr="00722885">
        <w:rPr>
          <w:color w:val="000000" w:themeColor="text1"/>
          <w:lang w:val="ru-RU"/>
        </w:rPr>
        <w:softHyphen/>
        <w:t>ка) были сельскохозяйственные гусеничные С-60, С-65 и СТЗ. В это время в частях дей</w:t>
      </w:r>
      <w:r w:rsidRPr="00722885">
        <w:rPr>
          <w:color w:val="000000" w:themeColor="text1"/>
          <w:lang w:val="ru-RU"/>
        </w:rPr>
        <w:softHyphen/>
        <w:t>ствующей армии находилась половина всех тракторов: в войсках дальневосточных фрон</w:t>
      </w:r>
      <w:r w:rsidRPr="00722885">
        <w:rPr>
          <w:color w:val="000000" w:themeColor="text1"/>
          <w:lang w:val="ru-RU"/>
        </w:rPr>
        <w:softHyphen/>
        <w:t>тов - около 10,6 тыс., остальные - в воен</w:t>
      </w:r>
      <w:r w:rsidRPr="00722885">
        <w:rPr>
          <w:color w:val="000000" w:themeColor="text1"/>
          <w:lang w:val="ru-RU"/>
        </w:rPr>
        <w:softHyphen/>
        <w:t>ных округах, учебных центрах (лагерях) и т.д. К осени 1942 г. удельный вес специаль</w:t>
      </w:r>
      <w:r w:rsidRPr="00722885">
        <w:rPr>
          <w:color w:val="000000" w:themeColor="text1"/>
          <w:lang w:val="ru-RU"/>
        </w:rPr>
        <w:softHyphen/>
        <w:t>ных гусеничных тягачей «Ворошиловец», «Ко</w:t>
      </w:r>
      <w:r w:rsidRPr="00722885">
        <w:rPr>
          <w:color w:val="000000" w:themeColor="text1"/>
          <w:lang w:val="ru-RU"/>
        </w:rPr>
        <w:softHyphen/>
        <w:t>минтерн» и «Комсомолец» в тракторном пар</w:t>
      </w:r>
      <w:r w:rsidRPr="00722885">
        <w:rPr>
          <w:color w:val="000000" w:themeColor="text1"/>
          <w:lang w:val="ru-RU"/>
        </w:rPr>
        <w:softHyphen/>
        <w:t>ке армии уменьшился до 7% (11895).</w:t>
      </w:r>
    </w:p>
    <w:p w14:paraId="4C77066E" w14:textId="77777777" w:rsidR="00AE7191" w:rsidRPr="00722885" w:rsidRDefault="00AE7191" w:rsidP="00722885">
      <w:pPr>
        <w:pStyle w:val="a3"/>
        <w:rPr>
          <w:color w:val="000000" w:themeColor="text1"/>
          <w:lang w:val="ru-RU"/>
        </w:rPr>
      </w:pPr>
    </w:p>
    <w:p w14:paraId="0D3E948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сентября 1942 г. в КА имелось немногим более 600 тракторов типа “Коминтерн” (12006).</w:t>
      </w:r>
    </w:p>
    <w:p w14:paraId="34D4244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9819F73"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September 1, 1942: Units of 1.Panzerarmee (von Kleist) form a bridgehead across the Terek river at Mozdok in the Caucasus (3819).</w:t>
      </w:r>
    </w:p>
    <w:p w14:paraId="0CCED3D3" w14:textId="77777777" w:rsidR="00AE7191" w:rsidRPr="00722885" w:rsidRDefault="00AE7191" w:rsidP="00722885">
      <w:pPr>
        <w:pStyle w:val="Iauiue"/>
        <w:jc w:val="both"/>
        <w:rPr>
          <w:color w:val="000000" w:themeColor="text1"/>
          <w:sz w:val="16"/>
          <w:szCs w:val="16"/>
          <w:lang w:val="en-US"/>
        </w:rPr>
      </w:pPr>
    </w:p>
    <w:p w14:paraId="75A0FF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сентября 1942 части 1ТГ (фон Клейст) навели переправы через Терек у Моздока (3819).</w:t>
      </w:r>
    </w:p>
    <w:p w14:paraId="3C70CDED" w14:textId="77777777" w:rsidR="00AE7191" w:rsidRPr="00722885" w:rsidRDefault="00AE7191" w:rsidP="00722885">
      <w:pPr>
        <w:pStyle w:val="Iauiue"/>
        <w:jc w:val="both"/>
        <w:rPr>
          <w:color w:val="000000" w:themeColor="text1"/>
          <w:sz w:val="16"/>
          <w:szCs w:val="16"/>
        </w:rPr>
      </w:pPr>
    </w:p>
    <w:p w14:paraId="4E98D9C9"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 сентября 1942 немецкие войска вышли к Волге (4962).</w:t>
      </w:r>
    </w:p>
    <w:p w14:paraId="58E7C1F2" w14:textId="77777777" w:rsidR="00AE7191" w:rsidRPr="00722885" w:rsidRDefault="00AE7191" w:rsidP="00722885">
      <w:pPr>
        <w:pStyle w:val="Iauiue"/>
        <w:tabs>
          <w:tab w:val="left" w:pos="11199"/>
        </w:tabs>
        <w:jc w:val="both"/>
        <w:rPr>
          <w:color w:val="000000" w:themeColor="text1"/>
          <w:sz w:val="16"/>
          <w:szCs w:val="16"/>
        </w:rPr>
      </w:pPr>
    </w:p>
    <w:p w14:paraId="4E08372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1 по 28 сентября 1942 прошла оборонительная Моздок-Малгобекская операция в рамках Битвы за Кавказ. Приостановили наступление (2438,412).</w:t>
      </w:r>
    </w:p>
    <w:p w14:paraId="2C38D5FF" w14:textId="77777777" w:rsidR="00AE7191" w:rsidRPr="00722885" w:rsidRDefault="00AE7191" w:rsidP="00722885">
      <w:pPr>
        <w:pStyle w:val="Iauiue"/>
        <w:jc w:val="both"/>
        <w:rPr>
          <w:color w:val="000000" w:themeColor="text1"/>
          <w:sz w:val="16"/>
          <w:szCs w:val="16"/>
        </w:rPr>
      </w:pPr>
    </w:p>
    <w:p w14:paraId="1B7650A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сентября 1942 по сообщению Совинформбюро а на ЛенФ уничтожила за день 51, в т.ч. 15 в воздушном бою и 36 на аэродромах (438,855).</w:t>
      </w:r>
    </w:p>
    <w:p w14:paraId="25011FA4" w14:textId="77777777" w:rsidR="00AE7191" w:rsidRPr="00722885" w:rsidRDefault="00AE7191" w:rsidP="00722885">
      <w:pPr>
        <w:pStyle w:val="Iauiue"/>
        <w:jc w:val="both"/>
        <w:rPr>
          <w:color w:val="000000" w:themeColor="text1"/>
          <w:sz w:val="16"/>
          <w:szCs w:val="16"/>
        </w:rPr>
      </w:pPr>
    </w:p>
    <w:p w14:paraId="37278B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сентября 1942 из Москвы в Якутск вылетела группа Ли-2 под управлением В.М.Пушинского, сформированная для перевозки л-перегонщиков по линии Красноярск-Уэлькаль-Фернбенкс (438,856).</w:t>
      </w:r>
    </w:p>
    <w:p w14:paraId="03218A2D" w14:textId="77777777" w:rsidR="00AE7191" w:rsidRPr="00722885" w:rsidRDefault="00AE7191" w:rsidP="00722885">
      <w:pPr>
        <w:pStyle w:val="Iauiue"/>
        <w:jc w:val="both"/>
        <w:rPr>
          <w:color w:val="000000" w:themeColor="text1"/>
          <w:sz w:val="16"/>
          <w:szCs w:val="16"/>
        </w:rPr>
      </w:pPr>
    </w:p>
    <w:p w14:paraId="38BE8DAE"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014E21EF" w14:textId="77777777" w:rsidR="00AE7191" w:rsidRPr="00722885" w:rsidRDefault="00AE7191" w:rsidP="00722885">
      <w:pPr>
        <w:pStyle w:val="Iauiue"/>
        <w:jc w:val="both"/>
        <w:rPr>
          <w:iCs/>
          <w:color w:val="000000" w:themeColor="text1"/>
          <w:sz w:val="16"/>
          <w:szCs w:val="16"/>
        </w:rPr>
      </w:pPr>
    </w:p>
    <w:p w14:paraId="2D78908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сентября 1942 вышло Постановление ГКО № 2231 О вывозе матерей с детьми и детей из детских учреждений г. Астрахани. РГАНИР, Фонд ГКО, д. 54, лл. 98 (11012).</w:t>
      </w:r>
    </w:p>
    <w:p w14:paraId="054CBE6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C30EEA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сентября 1942 вышло Постановление ГКО № 2232 О вывозе матерей с детьми из г.г. Архангельска и Молотовска. РГАНИР, Фонд ГКО, д. 54, лл. 99 (11012).</w:t>
      </w:r>
    </w:p>
    <w:p w14:paraId="2C3FBF6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49F1FC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сентября 1942 вышло Постановление ГКО № 2233 О строительстве телеграфно-телефонной линии связи в Западно-Казахстанской обл. РГАНИР, Фонд ГКО, д. 54, лл. 100-101 (11012).</w:t>
      </w:r>
    </w:p>
    <w:p w14:paraId="0793AA3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6F65A19" w14:textId="77777777" w:rsidR="0006305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3EB418D" w14:textId="77777777" w:rsidR="00063056" w:rsidRPr="00722885" w:rsidRDefault="00063056" w:rsidP="00722885">
      <w:pPr>
        <w:pStyle w:val="Iauiue"/>
        <w:jc w:val="both"/>
        <w:rPr>
          <w:iCs/>
          <w:color w:val="000000" w:themeColor="text1"/>
          <w:sz w:val="16"/>
          <w:szCs w:val="16"/>
        </w:rPr>
      </w:pPr>
    </w:p>
    <w:p w14:paraId="233EC193" w14:textId="77777777" w:rsidR="00063056" w:rsidRPr="00722885" w:rsidRDefault="00063056" w:rsidP="00722885">
      <w:pPr>
        <w:spacing w:after="0" w:line="240" w:lineRule="auto"/>
        <w:jc w:val="both"/>
        <w:rPr>
          <w:rStyle w:val="ucoz-forum-post"/>
          <w:rFonts w:ascii="Times New Roman" w:eastAsia="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1 сентября 1942 года</w:t>
      </w:r>
      <w:r w:rsidRPr="00722885">
        <w:rPr>
          <w:rStyle w:val="ucoz-forum-post"/>
          <w:rFonts w:ascii="Times New Roman" w:eastAsia="Times New Roman" w:hAnsi="Times New Roman"/>
          <w:color w:val="000000" w:themeColor="text1"/>
          <w:sz w:val="16"/>
          <w:szCs w:val="16"/>
        </w:rPr>
        <w:t xml:space="preserve"> прошел первый испытательный полет КL-35 в качестве самолёта-буксира планера DFS-230. Самолёт Ju-52\3m взял на буксир связку DFS-230+KL-35 и на высоте 2000 метров произвел отцепление. Эксперимент прошел удачно, но далее в качестве буксировщиков применялись учебные FW-56 и истребители Bf.109E (14756).</w:t>
      </w:r>
    </w:p>
    <w:p w14:paraId="3994E7EA" w14:textId="77777777" w:rsidR="00063056" w:rsidRPr="00722885" w:rsidRDefault="00063056" w:rsidP="00722885">
      <w:pPr>
        <w:spacing w:after="0" w:line="240" w:lineRule="auto"/>
        <w:jc w:val="both"/>
        <w:rPr>
          <w:rStyle w:val="ucoz-forum-post"/>
          <w:rFonts w:ascii="Times New Roman" w:eastAsia="Times New Roman" w:hAnsi="Times New Roman"/>
          <w:color w:val="000000" w:themeColor="text1"/>
          <w:sz w:val="16"/>
          <w:szCs w:val="16"/>
        </w:rPr>
      </w:pPr>
    </w:p>
    <w:p w14:paraId="49A2486D" w14:textId="77777777" w:rsidR="00655F62" w:rsidRPr="00722885" w:rsidRDefault="00655F6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сентября (ночь) 1942 из-за сильных немецких помех против Джи, самолеты бомбардировочного командования Королевских военно-воздушных сил сбиваются с пути, разбомбив не тот город, и 231 британский бомбардировщиков, который намереваелись атаковать Саарбрюккен, вместо этого бомбит Саарлуис в 15 км ( 9,3 миль) к северо-западу (20793).</w:t>
      </w:r>
    </w:p>
    <w:p w14:paraId="71C14FF1" w14:textId="77777777" w:rsidR="00655F62" w:rsidRPr="00722885" w:rsidRDefault="00655F62" w:rsidP="00722885">
      <w:pPr>
        <w:spacing w:after="0" w:line="240" w:lineRule="auto"/>
        <w:jc w:val="both"/>
        <w:rPr>
          <w:rFonts w:ascii="Times New Roman" w:hAnsi="Times New Roman"/>
          <w:color w:val="0070C0"/>
          <w:sz w:val="16"/>
          <w:szCs w:val="16"/>
        </w:rPr>
      </w:pPr>
    </w:p>
    <w:p w14:paraId="2024C24B" w14:textId="77777777" w:rsidR="00655F62" w:rsidRPr="00722885" w:rsidRDefault="00655F6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сентября 1942 г. появился меморандум генерального инспектора ПВО генерала фон Ансхельма, который предусматривал следующие направления работ:</w:t>
      </w:r>
    </w:p>
    <w:p w14:paraId="3D3E86E5" w14:textId="77777777" w:rsidR="00655F62" w:rsidRPr="00722885" w:rsidRDefault="00655F6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создание дешевых неуправляемых и управляемых зенитных ракет для заградительной стрельбы на путях следования целей, которые можно было бы создать в короткие сроки;</w:t>
      </w:r>
    </w:p>
    <w:p w14:paraId="22C9DC41" w14:textId="77777777" w:rsidR="00655F62" w:rsidRPr="00722885" w:rsidRDefault="00655F6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исследование и создание самонаводящихся ракет и зенитных взрывателей.</w:t>
      </w:r>
    </w:p>
    <w:p w14:paraId="35137405" w14:textId="77777777" w:rsidR="00655F62" w:rsidRPr="00722885" w:rsidRDefault="00655F6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Для зенитных ракет разрабатывались следующие неконтактные взрыватели: «Какаду» — радиолокационный взрыватель, использующий эффект Допплера — изменение частоты волн, воспринимаемых наблюдателем (приемником колебаний) вследствие движения источника волн и наблюдателя относительно друг друга. Взрыватель имел передатчик, излучающий электромагнитные волны частотой 600 мГц, и приемник, который с помощью приемной антенны (смонтированной вместе с передающей антенной) принимал отраженные от цели электромагнитные волны частотой около 600 мГц. При сложении принятого и передаваемого сигналов </w:t>
      </w:r>
      <w:r w:rsidRPr="00722885">
        <w:rPr>
          <w:rFonts w:ascii="Times New Roman" w:hAnsi="Times New Roman"/>
          <w:color w:val="0070C0"/>
          <w:sz w:val="16"/>
          <w:szCs w:val="16"/>
        </w:rPr>
        <w:lastRenderedPageBreak/>
        <w:t>образовывалась «частота Допплера», прохождение которой через нулевое значение использовалось для подачи команды на воспламенение взрывчатого вещества. Взрыватель срабатывал в 10–15 метрах от цели. Его разработала и производила фирма «Донаулендише Аппаратенбау» в Вене. Из-за большой конструктивной сложности взрывателей их было изготовлено 3 000 штук из 25 000 заказанных. «Какаду» использовались в опытных образцах зенитных управляемых ракет, управляемой авиационной бомбы Hs 293 фирмы «Хеншель» и в артиллерийских зенитных снарядах. Взрыватель «Трихтэр», разработанный фирмой «Блаупункт — Верке» в Берлине, также был построен с использованием эффекта Допплера.</w:t>
      </w:r>
    </w:p>
    <w:p w14:paraId="4656A574" w14:textId="77777777" w:rsidR="00655F62" w:rsidRPr="00722885" w:rsidRDefault="00655F6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«Пистоле» — оптический взрыватель, разработанный «Всеобщей компанией электричества» в Берлине. Он имел источник света (не исключался источник инфракрасного излучения), помещенный внутри снабженного прорезями вращающегося цилиндра так, что модулированный свет излучался в радиальном направлении, перпендикулярно направлению движения. Если вблизи прибора оказывалось отражающее тело (цель), то фотоэлемент воспринимал отраженные лучи, и тогда через усилитель и низкочастотный фильтр приводилось в действие исполнительное реле. «Пистоле» устанавливался на опытных образцах управляемых авиационных бомб Hs293 и Hs294 (22760).</w:t>
      </w:r>
    </w:p>
    <w:p w14:paraId="0516317B" w14:textId="77777777" w:rsidR="00655F62" w:rsidRPr="00722885" w:rsidRDefault="00655F62" w:rsidP="00722885">
      <w:pPr>
        <w:spacing w:after="0" w:line="240" w:lineRule="auto"/>
        <w:jc w:val="both"/>
        <w:rPr>
          <w:rFonts w:ascii="Times New Roman" w:hAnsi="Times New Roman"/>
          <w:color w:val="0070C0"/>
          <w:sz w:val="16"/>
          <w:szCs w:val="16"/>
        </w:rPr>
      </w:pPr>
    </w:p>
    <w:p w14:paraId="2091C8B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3CEAE24" w14:textId="77777777" w:rsidR="00AE7191" w:rsidRPr="00722885" w:rsidRDefault="00AE7191" w:rsidP="00722885">
      <w:pPr>
        <w:pStyle w:val="Iauiue"/>
        <w:jc w:val="both"/>
        <w:rPr>
          <w:iCs/>
          <w:color w:val="000000" w:themeColor="text1"/>
          <w:sz w:val="16"/>
          <w:szCs w:val="16"/>
        </w:rPr>
      </w:pPr>
    </w:p>
    <w:p w14:paraId="7AFB46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сентября 1942 закончились совместные заводские и государственные испытания ДВБ-102, проводимые с 17 февраля 1942 (152,33). Полеты выявили ненадежную работу турбокомпрессоров, лопатки турбин которых не выдерживали огромную температуру выхлопных газов двигателей. Двигатели имели мизерный ресурс. Во время седьмого полета (при наработке двигателей 8 часов 5 минут) разрушился направляющий аппарат крыльчатки турбокомпрессора. После десятого полета произошла поломка силовых шпилек картера. После одиннадцатого полета (наработка двигателей 13 часов) обнаружилась поломка шестерни промежуточного валика левого двигателя. После первого высотного полета в роторах турбокомпрессоров обнаружили трещины. В ходе государственных испытаний первые 14 полетов выполнили на двигателях с заниженным числом оборотов на первой границе высотности. Затем установили новые двигатели, развивавшие меньшую взлетную мощность. Из-за этого на самолете не удалось достигнуть проектных характеристик. Кроме В.И.Жданова, в проведении государственных испытаний участвовали штурман-испытатель Н.П.Цветков, стрелок-радист М.Дугин. Возглавлял испытательную бригаду ведущий инженер М.И.Ефимов. От ЛИИ в испытаниях участвовал инженер Г.И.Поярков.</w:t>
      </w:r>
    </w:p>
    <w:p w14:paraId="14C81D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отчете по государственным испытаниям отмечалось, что "... самолет на взлете прост, на пробеге устойчив. Боковые ветры под углом 60° на взлете (при скорости ветра 5 м/с) почти не ощущаются.</w:t>
      </w:r>
    </w:p>
    <w:p w14:paraId="5C1AFA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горизонтальном полете самолет достаточно устойчив, возникающие нагрузки на рулях полностью снимаются триммерами.</w:t>
      </w:r>
    </w:p>
    <w:p w14:paraId="12036E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виражах и разворотах самолет устойчив и хорошо слушается рулей. При углах крена 50-70° возникают значительные нагрузки на рулях, особенно элеронах и руле высоты. Самолет хорошо виражит с углами крена до 70° Техника выполнения посадки значительно проще, чем у Пе-2, Ер-2 и 103-В.</w:t>
      </w:r>
    </w:p>
    <w:p w14:paraId="28A549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Полет на одном моторе при полетном весе 13000 кг возможен на скоростях до 260 км/ч. С большим весом не проверен из-за плохой работы винтомоторной группы."</w:t>
      </w:r>
    </w:p>
    <w:p w14:paraId="67F9C9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Хорошим пилотажным характеристикам в значительной степени способствовал удачный выбор центровки самолета, находившейся в диапазоне от 24,1% до 28,1% средней аэродинамической хорды.</w:t>
      </w:r>
    </w:p>
    <w:p w14:paraId="74C21A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Наряду с этим выявилось и большое количество дефектов. Наиболее существенные были связаны с передней гермокабиной, где находились рабочие места летчика и штурмана. Несмотря на то, что гермокабина ДВБ-102 создавала гораздо лучшие условия для работы экипажа, чем все построенные ранее, она имела, в частности, следующие недостатки: теснота и затрудненная посадка летчика на сиденье; невозможность быстрого покидания самолета; неудобное расположение приборов; недостаточное бронирование экипажа. Кроме того, в перечне дефектов, выявленных в ходе испытаний, отмечался плохой обзор летчику верхней полусферы и полное отсутствие обзора задней нижней полусферы. Отсутствовал обзор цели на боевом курсе. Не лучше обстояло дело и с обзором у штурмана. В итоге переднюю гермокабину не рекомендовали для установки на боевом самолете массового использования. Эти недостатки, выявленные еще в начале заводских испытаний, устранили в макете дублера самолета ДВБ-102. По мнению экипажа, испытывавшего опытную машину, новая гермокабина должна была создать значительно лучшие условия для работы летчика и штурмана при выполнении ими боевых задач. Задняя же гермокабина осталась без изменений, поскольку обеспечивала условия работы в ней, не отличавшиеся от негерметичных кабин самолетов тех лет.</w:t>
      </w:r>
    </w:p>
    <w:p w14:paraId="558513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ходе государственных испытаний на самолете усилили вооружение. На носовой установке пулемет ШКАС заменили на 20-мм пушку ШВАК. На нижней дистанционной установке стрелка-радиста ШКАС заменили пулеметом БС калибра 12,7 мм. В итоге характеристики оборонительного вооружения ДВБ-102 превзошли по своей мощности заданные тактико-техническими требованиями.</w:t>
      </w:r>
    </w:p>
    <w:p w14:paraId="6D43E3E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Дальнейшие испытания, прерванные в сентябре 1942 г. на несколько месяцев, самолет проходил с двигателями без турбокомпрессоров, что самым негативным образом отразилось на и без того заниженных, по сравнению с заданными, характеристиках машины. Так, практический потолок не превосходил 8300 м, а максимальная скорость - 542 км/ч на высоте 6250 м. В тоже время, в акте по государственным испытаниям отмечалось, что "... максимальная скорость самолета 542 км/ч - выше максимальной скорости существующих дальних бомбардировщиков... Оборудование герметических кабин значительно улучшает условия работы экипажа на большой высоте, что особенно важно в длительном полете..." (3337,12).</w:t>
      </w:r>
    </w:p>
    <w:p w14:paraId="608B9D1D" w14:textId="77777777" w:rsidR="00AE7191" w:rsidRPr="00722885" w:rsidRDefault="00AE7191" w:rsidP="00722885">
      <w:pPr>
        <w:pStyle w:val="Iauiue"/>
        <w:jc w:val="both"/>
        <w:rPr>
          <w:color w:val="000000" w:themeColor="text1"/>
          <w:sz w:val="16"/>
          <w:szCs w:val="16"/>
        </w:rPr>
      </w:pPr>
    </w:p>
    <w:p w14:paraId="67174D5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сентября 1942 года начальник воз</w:t>
      </w:r>
      <w:r w:rsidRPr="00722885">
        <w:rPr>
          <w:rFonts w:ascii="Times New Roman" w:hAnsi="Times New Roman"/>
          <w:color w:val="000000" w:themeColor="text1"/>
          <w:sz w:val="16"/>
          <w:szCs w:val="16"/>
        </w:rPr>
        <w:softHyphen/>
        <w:t>душно-стрелковой службы ВВС КА генерал-майор Рафалович докладывал заместителю командующего ВВС КА генерал-лейтенанту Г.А. Ворожейкину:</w:t>
      </w:r>
    </w:p>
    <w:p w14:paraId="03FF8483"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большие зарегист</w:t>
      </w:r>
      <w:r w:rsidRPr="00722885">
        <w:rPr>
          <w:rFonts w:ascii="Times New Roman" w:hAnsi="Times New Roman"/>
          <w:color w:val="000000" w:themeColor="text1"/>
          <w:sz w:val="16"/>
          <w:szCs w:val="16"/>
        </w:rPr>
        <w:softHyphen/>
        <w:t>рированные победы летчиков 287 авиадивизии, их можно было бы иметь больше и меньше нести своих по</w:t>
      </w:r>
      <w:r w:rsidRPr="00722885">
        <w:rPr>
          <w:rFonts w:ascii="Times New Roman" w:hAnsi="Times New Roman"/>
          <w:color w:val="000000" w:themeColor="text1"/>
          <w:sz w:val="16"/>
          <w:szCs w:val="16"/>
        </w:rPr>
        <w:softHyphen/>
        <w:t>терь, при условии лучшего освоения летным составом боевого примене</w:t>
      </w:r>
      <w:r w:rsidRPr="00722885">
        <w:rPr>
          <w:rFonts w:ascii="Times New Roman" w:hAnsi="Times New Roman"/>
          <w:color w:val="000000" w:themeColor="text1"/>
          <w:sz w:val="16"/>
          <w:szCs w:val="16"/>
        </w:rPr>
        <w:softHyphen/>
        <w:t>ния самолета ЛАГ-5, организованно вступать и выходить из воздушного боя, поддерживать товарищей, не выходить из боя одиночным порядком и нала</w:t>
      </w:r>
      <w:r w:rsidRPr="00722885">
        <w:rPr>
          <w:rFonts w:ascii="Times New Roman" w:hAnsi="Times New Roman"/>
          <w:color w:val="000000" w:themeColor="text1"/>
          <w:sz w:val="16"/>
          <w:szCs w:val="16"/>
        </w:rPr>
        <w:softHyphen/>
        <w:t>дить лучше радиосвязь между само</w:t>
      </w:r>
      <w:r w:rsidRPr="00722885">
        <w:rPr>
          <w:rFonts w:ascii="Times New Roman" w:hAnsi="Times New Roman"/>
          <w:color w:val="000000" w:themeColor="text1"/>
          <w:sz w:val="16"/>
          <w:szCs w:val="16"/>
        </w:rPr>
        <w:softHyphen/>
        <w:t>летами и самолетов с землей» (10699).</w:t>
      </w:r>
    </w:p>
    <w:p w14:paraId="7C8B510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7AF95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сентября 1942 был первый и последний полет ЛТ (КТ, А-40), хотя испытания велись с 7 августа, а до этого было выполнено три подлета над бетоном, на высоте 4 м (204,48).</w:t>
      </w:r>
    </w:p>
    <w:p w14:paraId="75F950A1" w14:textId="77777777" w:rsidR="00AE7191" w:rsidRPr="00722885" w:rsidRDefault="00AE7191" w:rsidP="00722885">
      <w:pPr>
        <w:pStyle w:val="Iauiue"/>
        <w:jc w:val="both"/>
        <w:rPr>
          <w:color w:val="000000" w:themeColor="text1"/>
          <w:sz w:val="16"/>
          <w:szCs w:val="16"/>
        </w:rPr>
      </w:pPr>
    </w:p>
    <w:p w14:paraId="7897266C" w14:textId="77777777" w:rsidR="007A43FF" w:rsidRPr="00722885" w:rsidRDefault="007A43F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сентября 1942 года состоялся первый и последний полёт планера КТ. После взлёта выяснилось, что ввиду большого аэродинамического сопротивления танка и планера самолёт-буксир смог разогнаться лишь до 130 км/ч, высота полёта не превысила 40 м. Система охлаждения двигателей ТБ-3 стала перегреваться, так что иного пути, как отцепить планер, не оставалось. Самолёт вместе с планером подлетел к району находящегося неподалёку аэродрома Быково, после чего произошла расцепка. Стоит отметить, что в Быково никого не предупредили об испытаниях, так что появление в небе летающего танка вызвало у местных зенитчиков массу смешанных чувств. Анохин мастерски посадил планер, после чего его быстро задержала подоспевшая охрана аэродрома. После выяснения всех обстоятельств Анохина и танк отпустили, после чего, не сбрасывая планер, Т-60 своим ходом добрался до НИИ ВВС. Причина проблем выявилась в конструкции КТ. Избрав схему биплана, Антонов снизил габариты планера, но при этом выросло аэродинамическое сопротивление. К тому же, планер имел многочисленные расчалки и другие элементы, которые ещё больше увеличивали аэродинамическое сопротивление.</w:t>
      </w:r>
    </w:p>
    <w:p w14:paraId="59A9F9D7" w14:textId="77777777" w:rsidR="007A43FF" w:rsidRPr="00722885" w:rsidRDefault="007A43F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Планировалось, что Десантное управление продолжит опыты с КТ, используя в качестве самолёта-буксировщика ТБ-7 (Пе-8), но этого так и не произошло. В ГАБТУ КА, трезво оценив перспективы Т-60, предложили отказаться от дальнейших работ по теме «крылатого Т-60». Вместе с тем работы по авиадесантной теме продолжались. Например, в апреле 1943 года последовал запрос в ГБТУ КА от Н.А. Жемчужина, заместителя главного конструктора завода №51. Его интересовали данные по массе новых </w:t>
      </w:r>
      <w:hyperlink r:id="rId108" w:history="1">
        <w:r w:rsidRPr="00722885">
          <w:rPr>
            <w:rStyle w:val="a5"/>
            <w:rFonts w:ascii="Times New Roman" w:hAnsi="Times New Roman"/>
            <w:color w:val="000000" w:themeColor="text1"/>
            <w:sz w:val="16"/>
            <w:szCs w:val="16"/>
          </w:rPr>
          <w:t>советских лёгких танков</w:t>
        </w:r>
      </w:hyperlink>
      <w:r w:rsidRPr="00722885">
        <w:rPr>
          <w:rFonts w:ascii="Times New Roman" w:hAnsi="Times New Roman"/>
          <w:color w:val="000000" w:themeColor="text1"/>
          <w:sz w:val="16"/>
          <w:szCs w:val="16"/>
        </w:rPr>
        <w:t>, поскольку прорабатывалась возможность подвески лёгкого танка под перспективный самолёт, который разрабатывало КБ завода №51. Дальше переписки дело не пошло, а тяжёлый бомбардировщик ББ, под который собирались подвешивать танки, так и остался эскизными набросками (18244).</w:t>
      </w:r>
    </w:p>
    <w:p w14:paraId="68E289A4" w14:textId="77777777" w:rsidR="007A43FF" w:rsidRPr="00722885" w:rsidRDefault="007A43FF" w:rsidP="00722885">
      <w:pPr>
        <w:spacing w:after="0" w:line="240" w:lineRule="auto"/>
        <w:jc w:val="both"/>
        <w:rPr>
          <w:rFonts w:ascii="Times New Roman" w:hAnsi="Times New Roman"/>
          <w:color w:val="000000" w:themeColor="text1"/>
          <w:sz w:val="16"/>
          <w:szCs w:val="16"/>
        </w:rPr>
      </w:pPr>
    </w:p>
    <w:p w14:paraId="55C73EEE"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сентября 1942 года</w:t>
      </w:r>
      <w:r w:rsidRPr="00722885">
        <w:rPr>
          <w:rFonts w:ascii="Times New Roman" w:hAnsi="Times New Roman"/>
          <w:color w:val="000000" w:themeColor="text1"/>
          <w:sz w:val="16"/>
          <w:szCs w:val="16"/>
        </w:rPr>
        <w:t xml:space="preserve"> Состоялся первый полет танка планера Антонова "КТ" (А-40).</w:t>
      </w:r>
    </w:p>
    <w:p w14:paraId="57C60EF2"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Самолетом-буксировщиком ТБ-3 с четырьмя усиленными (по 970 л. с.) моторами АМ-34РН командовал Павел Арсентьевич Еремеев, в прошлом конструктор пилотажных планеров. Планером управлял летчик-испытатель опытно-испытательного полигона воздушно-десантных войск Красной Армии Сергей Николаевич Анохин. Из-за большой массы и малой обтекаемости "КТ" буксировка велась на близкой к максимальной мощности двигателей ТБ-3 со скоростью 130 км/ч. Несмотря на это, скорость подъема аэропоезда оказалась недостаточной. Самолет едва достиг высоты 40 м.</w:t>
      </w:r>
    </w:p>
    <w:p w14:paraId="643835A0"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дала положительного результата попытка увеличить скорость до 140 км/ч, так как при этом аэропоезд начинал снижаться с вертикальной скоростью 0,6 м/с. Кроме того, стала повышаться температура воды в системе охлаждения двигателей, что могло привести к их перегреву. В этих условиях Еремеев принял решение вывести аэропоезд в район близлежащего аэродрома Быково и отцепить планер. Анохину, благодаря своему профессиональному мастерству, удалось успешно совершить посадку. Приземлившись, он запустил мотор танка и, не сбрасывая крыльев, медленно двинулся к командному пункту аэродрома. Не будучи предупрежденным о вынужденной посадке необычного аппарата, руководитель полетов аэродрома по боевой тревоге поднял расчет зенитной батареи. Когда летчик-испытатель вылез из машины, его задержали красноармейцы. Инцидент был исчерпан с прибытием аварийно-спасательной команды ЛИИ. Танк своим ходом доставили в поселок Стаханове (ныне город Жуковский) к аэродрому ЛИИ. Так закончился первый и последний полет летающего танка (14757).</w:t>
      </w:r>
    </w:p>
    <w:p w14:paraId="5B6E218D"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2B0A03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 сентября 1942 г. выпол</w:t>
      </w:r>
      <w:r w:rsidRPr="00722885">
        <w:rPr>
          <w:rFonts w:ascii="Times New Roman" w:hAnsi="Times New Roman"/>
          <w:color w:val="000000" w:themeColor="text1"/>
          <w:sz w:val="16"/>
          <w:szCs w:val="16"/>
        </w:rPr>
        <w:softHyphen/>
        <w:t>нили пер</w:t>
      </w:r>
      <w:r w:rsidRPr="00722885">
        <w:rPr>
          <w:rFonts w:ascii="Times New Roman" w:hAnsi="Times New Roman"/>
          <w:color w:val="000000" w:themeColor="text1"/>
          <w:sz w:val="16"/>
          <w:szCs w:val="16"/>
        </w:rPr>
        <w:softHyphen/>
        <w:t>вый и единственный полет ЛТ. Взлет про</w:t>
      </w:r>
      <w:r w:rsidRPr="00722885">
        <w:rPr>
          <w:rFonts w:ascii="Times New Roman" w:hAnsi="Times New Roman"/>
          <w:color w:val="000000" w:themeColor="text1"/>
          <w:sz w:val="16"/>
          <w:szCs w:val="16"/>
        </w:rPr>
        <w:softHyphen/>
        <w:t>шел нормально, но вскоре моторы ТБ-3 стали перегреваться — мощно</w:t>
      </w:r>
      <w:r w:rsidRPr="00722885">
        <w:rPr>
          <w:rFonts w:ascii="Times New Roman" w:hAnsi="Times New Roman"/>
          <w:color w:val="000000" w:themeColor="text1"/>
          <w:sz w:val="16"/>
          <w:szCs w:val="16"/>
        </w:rPr>
        <w:softHyphen/>
        <w:t>сти для буксировки явно не хватало. По команде старшего лейтенанта Павла Еремеева, пилота ТБ, Анохин отцепился и пошел на вынужденную посадку на ближайший аэродром в Быково. Вскоре работы по А-40 прекратили, в основном из-за отсутствия подходящего буксировщика, да и ВДВ не проявили должного инте</w:t>
      </w:r>
      <w:r w:rsidRPr="00722885">
        <w:rPr>
          <w:rFonts w:ascii="Times New Roman" w:hAnsi="Times New Roman"/>
          <w:color w:val="000000" w:themeColor="text1"/>
          <w:sz w:val="16"/>
          <w:szCs w:val="16"/>
        </w:rPr>
        <w:softHyphen/>
        <w:t>реса к данному проекту. А в довершение всего в кон</w:t>
      </w:r>
      <w:r w:rsidRPr="00722885">
        <w:rPr>
          <w:rFonts w:ascii="Times New Roman" w:hAnsi="Times New Roman"/>
          <w:color w:val="000000" w:themeColor="text1"/>
          <w:sz w:val="16"/>
          <w:szCs w:val="16"/>
        </w:rPr>
        <w:softHyphen/>
        <w:t>це года сняли с производства танк Т-60 (12300).</w:t>
      </w:r>
    </w:p>
    <w:p w14:paraId="3A3BDB7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55E3E7E" w14:textId="77777777" w:rsidR="000C324B" w:rsidRPr="00722885" w:rsidRDefault="000C324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сентября 1942 года состоялся первый, он же последний полет планера КТ. После взлета выяснилось, что ввиду большого аэродинами</w:t>
      </w:r>
      <w:r w:rsidRPr="00722885">
        <w:rPr>
          <w:rFonts w:ascii="Times New Roman" w:hAnsi="Times New Roman"/>
          <w:color w:val="000000" w:themeColor="text1"/>
          <w:sz w:val="16"/>
          <w:szCs w:val="16"/>
        </w:rPr>
        <w:softHyphen/>
        <w:t>ческого сопротивления танка и планера самолет-буксир мог разогнать</w:t>
      </w:r>
      <w:r w:rsidRPr="00722885">
        <w:rPr>
          <w:rFonts w:ascii="Times New Roman" w:hAnsi="Times New Roman"/>
          <w:color w:val="000000" w:themeColor="text1"/>
          <w:sz w:val="16"/>
          <w:szCs w:val="16"/>
        </w:rPr>
        <w:softHyphen/>
        <w:t>ся лишь до 130 км/ч, высота полета не превысила 40 метров. Система охлаждения двигателей ТБ-3 стала перегреваться, так что иного пути, как отцепить планер, не оставалось. Самолет вместе с планером подле</w:t>
      </w:r>
      <w:r w:rsidRPr="00722885">
        <w:rPr>
          <w:rFonts w:ascii="Times New Roman" w:hAnsi="Times New Roman"/>
          <w:color w:val="000000" w:themeColor="text1"/>
          <w:sz w:val="16"/>
          <w:szCs w:val="16"/>
        </w:rPr>
        <w:softHyphen/>
        <w:t>тел к району находящегося неподалеку аэродрома Быково, после чего произошла расцепка. Стоит отметить, что в Быково никого не пред</w:t>
      </w:r>
      <w:r w:rsidRPr="00722885">
        <w:rPr>
          <w:rFonts w:ascii="Times New Roman" w:hAnsi="Times New Roman"/>
          <w:color w:val="000000" w:themeColor="text1"/>
          <w:sz w:val="16"/>
          <w:szCs w:val="16"/>
        </w:rPr>
        <w:softHyphen/>
        <w:t>упредили об испытаниях, так что появление в небе летающего танка вызвало у местных зенитчиков массу смешанных чувств. Анохин ма</w:t>
      </w:r>
      <w:r w:rsidRPr="00722885">
        <w:rPr>
          <w:rFonts w:ascii="Times New Roman" w:hAnsi="Times New Roman"/>
          <w:color w:val="000000" w:themeColor="text1"/>
          <w:sz w:val="16"/>
          <w:szCs w:val="16"/>
        </w:rPr>
        <w:softHyphen/>
        <w:t>стерски посадил планер, после чего его быстро задержала подоспев</w:t>
      </w:r>
      <w:r w:rsidRPr="00722885">
        <w:rPr>
          <w:rFonts w:ascii="Times New Roman" w:hAnsi="Times New Roman"/>
          <w:color w:val="000000" w:themeColor="text1"/>
          <w:sz w:val="16"/>
          <w:szCs w:val="16"/>
        </w:rPr>
        <w:softHyphen/>
        <w:t>шая охрана аэродрома. После выяснения всех обстоятельств Анохина и танк отпустили, после чего, не сбрасывая планер, Т-60 своим ходом добрался в ЛИИ. Расследование показало, что в расчетах была допуще</w:t>
      </w:r>
      <w:r w:rsidRPr="00722885">
        <w:rPr>
          <w:rFonts w:ascii="Times New Roman" w:hAnsi="Times New Roman"/>
          <w:color w:val="000000" w:themeColor="text1"/>
          <w:sz w:val="16"/>
          <w:szCs w:val="16"/>
        </w:rPr>
        <w:softHyphen/>
        <w:t>на ошибка и конструкторы не учли сопротивления воздуха от много</w:t>
      </w:r>
      <w:r w:rsidRPr="00722885">
        <w:rPr>
          <w:rFonts w:ascii="Times New Roman" w:hAnsi="Times New Roman"/>
          <w:color w:val="000000" w:themeColor="text1"/>
          <w:sz w:val="16"/>
          <w:szCs w:val="16"/>
        </w:rPr>
        <w:softHyphen/>
        <w:t>численных расчалок и других элементов. Работу над темой десанти</w:t>
      </w:r>
      <w:r w:rsidRPr="00722885">
        <w:rPr>
          <w:rFonts w:ascii="Times New Roman" w:hAnsi="Times New Roman"/>
          <w:color w:val="000000" w:themeColor="text1"/>
          <w:sz w:val="16"/>
          <w:szCs w:val="16"/>
        </w:rPr>
        <w:softHyphen/>
        <w:t>руемого Т-60 прекратили, поскольку даже в случае доведения проекта до необходимого уровня для КТ не было самолета-буксира. ТБ-3 явно не годился на эту роль, а ТБ-7 выпускался в мизерных количествах и был задействован в куда более важных операциях. Тем не менее еще в 1943 году предлагалось использовать ТБ-7 в качестве буксира для десантного планера с Т-60, кроме того, подвес легкого танка под пер</w:t>
      </w:r>
      <w:r w:rsidRPr="00722885">
        <w:rPr>
          <w:rFonts w:ascii="Times New Roman" w:hAnsi="Times New Roman"/>
          <w:color w:val="000000" w:themeColor="text1"/>
          <w:sz w:val="16"/>
          <w:szCs w:val="16"/>
        </w:rPr>
        <w:softHyphen/>
        <w:t>спективный самолет прорабатывало и КБ Поликарпова (17485).</w:t>
      </w:r>
    </w:p>
    <w:p w14:paraId="2B902358" w14:textId="77777777" w:rsidR="000C324B" w:rsidRPr="00722885" w:rsidRDefault="000C324B" w:rsidP="00722885">
      <w:pPr>
        <w:spacing w:after="0" w:line="240" w:lineRule="auto"/>
        <w:jc w:val="both"/>
        <w:rPr>
          <w:rFonts w:ascii="Times New Roman" w:hAnsi="Times New Roman"/>
          <w:color w:val="000000" w:themeColor="text1"/>
          <w:sz w:val="16"/>
          <w:szCs w:val="16"/>
        </w:rPr>
      </w:pPr>
    </w:p>
    <w:p w14:paraId="53A8A9F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88CDE52" w14:textId="77777777" w:rsidR="00AE7191" w:rsidRPr="00722885" w:rsidRDefault="00AE7191" w:rsidP="00722885">
      <w:pPr>
        <w:pStyle w:val="Iauiue"/>
        <w:jc w:val="both"/>
        <w:rPr>
          <w:iCs/>
          <w:color w:val="000000" w:themeColor="text1"/>
          <w:sz w:val="16"/>
          <w:szCs w:val="16"/>
        </w:rPr>
      </w:pPr>
    </w:p>
    <w:p w14:paraId="1F3999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сентября 1942 г. Всесоюзная государственная контора по проектированию кабельных и цветных металлообрабатывающих предприятий "Гипроцветметобработка" объединена с Центральным научно-исследовательским институтом по обработке цветных металлов и сплавов "ЦНИОцветмет" (12102).</w:t>
      </w:r>
    </w:p>
    <w:p w14:paraId="7FCC29CC"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566C692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сентября 1942 г. распоряжением Совета Народных Комиссаров СССР в г. Халтурине Кировской обл. был создан Государственный научно-исследовательский и проектный институт сплавов и обработки цветных металлов "Гипроцветметобработка" Министерства цветной металлургии СССР на базе конторы Гипроцветметобработка и института ЦНИОцветмет. В ноябре 1942 г. институт переведен в г. Москву. 12 июня 1961 г. переименован в Государственный научно-исследовательский и проектный институт сплавов и обработки цветных металлов " Гипроцветметобработка " (12102).</w:t>
      </w:r>
    </w:p>
    <w:p w14:paraId="180AC254" w14:textId="77777777" w:rsidR="00063056" w:rsidRPr="00722885" w:rsidRDefault="00063056" w:rsidP="00722885">
      <w:pPr>
        <w:pStyle w:val="Iauiue"/>
        <w:jc w:val="both"/>
        <w:rPr>
          <w:iCs/>
          <w:color w:val="000000" w:themeColor="text1"/>
          <w:sz w:val="16"/>
          <w:szCs w:val="16"/>
        </w:rPr>
      </w:pPr>
    </w:p>
    <w:p w14:paraId="6FCDDD17"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7A7AD9F" w14:textId="77777777" w:rsidR="00AE7191" w:rsidRPr="00722885" w:rsidRDefault="00AE7191" w:rsidP="00722885">
      <w:pPr>
        <w:pStyle w:val="Iauiue"/>
        <w:jc w:val="both"/>
        <w:rPr>
          <w:iCs/>
          <w:color w:val="000000" w:themeColor="text1"/>
          <w:sz w:val="16"/>
          <w:szCs w:val="16"/>
        </w:rPr>
      </w:pPr>
    </w:p>
    <w:p w14:paraId="06BC86C1"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 сентября </w:t>
      </w:r>
      <w:r w:rsidRPr="00722885">
        <w:rPr>
          <w:rFonts w:ascii="Times New Roman" w:hAnsi="Times New Roman"/>
          <w:color w:val="000000" w:themeColor="text1"/>
          <w:sz w:val="16"/>
          <w:szCs w:val="16"/>
        </w:rPr>
        <w:t>в 1942 году утреннее сообщение Совинформбюро:</w:t>
      </w:r>
    </w:p>
    <w:p w14:paraId="098A535D"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 сентября наши войска вели ожесточённые бои с противником северо-западнее и юго-западнее Сталинграда. На других фронтах существенных изменений не произошло.</w:t>
      </w:r>
    </w:p>
    <w:p w14:paraId="1AACC192"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отбивали атаки противника. Немцы перешли в наступление на рубеж, обороняемый Н-ской частью, и проникли в глубь нашей обороны. Контрударом с фланга наши части вынудили противника отойти на исходные позиции. На поле боя осталось 240 трупов немецких солдат и офицеров. На другом участке немецкая колонна была обстреляна находившимся в засаде нашим танковым подразделением. Подбито 4 танка противника, уничтожено 11 автомашин, 5 противотанковых орудий и более 100 гитлеровцев.</w:t>
      </w:r>
    </w:p>
    <w:p w14:paraId="708ACD03"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 разведывательный отряд уничтожил роту итальянской пехоты.</w:t>
      </w:r>
    </w:p>
    <w:p w14:paraId="17E7D72A"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напряжённые бои с прорвавшимися танками противника. Бойцы Н-ской части в ожесточённом бою уничтожили 12 танков и до роты немецких солдат и офицеров. На другом участке наши части закреплялись на новом оборонительном рубеже и отбивали атаки противника.</w:t>
      </w:r>
    </w:p>
    <w:p w14:paraId="34362F77"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Краснодара наши части отбили несколько атак противника. В результате боя уничтожено более 200 немецких солдат и офицеров, захвачены 4 миномёта, 8 пулемётов, винтовки, патроны и мины. На другом участке наши части после упорного боя оставили один населённый пункт.</w:t>
      </w:r>
    </w:p>
    <w:p w14:paraId="1DC7AD77"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Прохладного советские части продолжали вести оборонительные бои, отражая атаки немецкой пехоты.</w:t>
      </w:r>
    </w:p>
    <w:p w14:paraId="105681C7"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наши войска вели активные боевые действия и заняли несколько населённых пунктов. Большой урон наносит противнику наша артиллерия. Артиллеристы батареи под командованием младшего лейтенанта Нохрина уничтожили до роты вражеской пехоты, подавили огонь трёх миномётных батарей и взорвали склад с боеприпасами противника. Красноармейцы-артиллеристы тт. Трофимов, Ноздричкин и Глухов захватили немецкое противотанковое орудие. Повернув его в сторону неприятеля, бойцы открыли огонь и подбили 2 немецких танка.</w:t>
      </w:r>
    </w:p>
    <w:p w14:paraId="61BD7713"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тов. П., действующий в одном из районов Орловской области, за месяц боевых действий истребил 209 немецких солдат, 13 офицеров и уничтожил 9 автомашин с разным военным грузом. Кроме того, партизаны пустили под откос железнодорожный воинский эшелон противника.</w:t>
      </w:r>
    </w:p>
    <w:p w14:paraId="3C8DEE31"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Добровольно сдавшийся в плен солдат 23 немецкой танковой дивизии Адольф Ш. рассказал: «Огромный урон нашим войскам наносит русская авиация. 19 августа я видел, как русские штурмовики уничтожили колонну грузовых автомашин и бензоцистерн. До нас доходят слухи о бомбардировке немецких городов русской авиацией. Эти вести действуют на солдат угнетающе. Они со злобой вспоминают заявления Геббельса о том, что русская авиация якобы уничтожена».</w:t>
      </w:r>
    </w:p>
    <w:p w14:paraId="2BF7A2EC"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15 пехотного полка 29 немецкой мотопехотной дивизии Фридрих Мейснер рассказал: «В городе Мценске организован лагерь для русских военнопленных. Заключенные в нём живут в адских условиях. Все спят под открытым небом, питание — горсть ржи в день. Люди с трудом таскают ноги, вид их ужасный. Все они оборванные и раздетые. Это не люди, а живые скелеты. Ежедневно в лагере умирает от истощения несколько человек».</w:t>
      </w:r>
    </w:p>
    <w:p w14:paraId="5631F865"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Заандам (Голландия) патриоты сожгли 5 немецких складов. Огнём уничтожены запасы фуража и продовольствия, предназначенные для отправки в Германию.» (14757).</w:t>
      </w:r>
    </w:p>
    <w:p w14:paraId="56133187"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395FE508"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 сентября </w:t>
      </w:r>
      <w:r w:rsidRPr="00722885">
        <w:rPr>
          <w:rFonts w:ascii="Times New Roman" w:hAnsi="Times New Roman"/>
          <w:color w:val="000000" w:themeColor="text1"/>
          <w:sz w:val="16"/>
          <w:szCs w:val="16"/>
        </w:rPr>
        <w:t>в 1942 году вечернее сообщение Совинформбюро:</w:t>
      </w:r>
    </w:p>
    <w:p w14:paraId="2EE22758"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 сентября наши войска вели ожесточённые бои с противником северо-западнее и юго-западнее Сталинграда, а также в районе северо-западнее Новороссийска. На других фронтах существенных изменений не произошло.</w:t>
      </w:r>
    </w:p>
    <w:p w14:paraId="350C20BA"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 сентября частями нашей авиации на различных участках фронта уничтожено или повреждено более 20 немецких танков и бронемашин, до 200 автомашин свойсками и грузами, подавлен огонь 12 батарей полевой и зенитной артиллерии, взорван склад боеприпасов и 2 склада горючего, разбито 3 железнодорожных эшелона, рассеяно и частью уничтожено до батальона пехоты противника.</w:t>
      </w:r>
    </w:p>
    <w:p w14:paraId="2D505D88"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нанесли немецко-фашистским войскам ряд фланговых ударов. Только в результате действий Н-ской части уничтожено 8 вражеских танков, 12 автомашин с боеприпасами, 7 противотанковых орудий и до роты гитлеровцев. На других участках наши войска отбивали атаки противника.</w:t>
      </w:r>
    </w:p>
    <w:p w14:paraId="7F20FBB3"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напряжённые бои против крупных сил танков и пехоты противника, прорвавшихся в глубину нашей обороны. На одном из участков немцы бросили в атаку до 150 танков. Наши части, обороняющие рубеж, артиллерийским огнём подбили и уничтожили до 30 танков противника. Однако группе немецких танков удалось проникнуть в глубину наших позиций. После упорного боя наши части отошли на этом участке на новый оборонительный рубеж.</w:t>
      </w:r>
    </w:p>
    <w:p w14:paraId="2F65054E"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Краснодара наши части окружили в горном проходе группировку неприятеля и ведут бои на её уничтожение. Западнее Краснодара наши войска вели оборонительные бои с противником, наступающим в направлении Новороссийска. В бою за один населённый пункт наши бойцы уничтожили немецкий танк, 2 бронемашины, 13 автомашин и истребили свыше 200 немецких солдат и офицеров.</w:t>
      </w:r>
    </w:p>
    <w:p w14:paraId="51893DCD"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отражали атаки противника. Советская артиллерия уничтожила 3 немецких броневика и 8 автомашин. На переправах потоплено три катера и восемь понтонов с солдатами и офицерами противника.</w:t>
      </w:r>
    </w:p>
    <w:p w14:paraId="1914D1B8"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 западном берегу Дона, противник силой до двух батальонов пехоты при поддержке танков атаковал наши позиции. Атака противника была отбита огнём нашей артиллерии. Уничтожены миномётная и 4 артиллерийские батареи, 10 пулемётов, 68 повозок с боеприпасами и до роты пехоты противника.</w:t>
      </w:r>
    </w:p>
    <w:p w14:paraId="4EBE3711"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отряда под командованием тов. М., действующего в Могилёвской области, в течение августа нанесли крупные потери немецко-фашистским захватчикам на их коммуникациях. Партизаны пустили под откос два железнодорожных эшелона с продовольствием и эшелон с боеприпасами. В последние дни подорван эшелон из 12 платформ с орудиями и 14 товарных вагонов с боеприпасами. Во время крушений убито до 200 немецких солдат и офицеров.</w:t>
      </w:r>
    </w:p>
    <w:p w14:paraId="72535BFE"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Пробравшийся в расположение наших войск рабочий Ворошиловградского паровозостроительного завода им. Октябрьской революции Овчаренко П.Т. сообщил о чудовищных преступлениях немецко-фашистских захватчиков. «Ворвавшись в Ворошиловград, немецкие солдаты и офицеры сразу же приступили к массовым грабежам. Дело доходило до того, что гитлеровцы останавливали на улицах прохожих, раздевали и грабили их. На улице Фрунзе немецкий солдат отнял у работницы трикотажной фабрики Анны Савко часы, а затем застрелил её. Прибывшие вслед за передовыми частями немецкой армии гестаповцы произвели массовые аресты и кровавые расправы. В Центральном парке культуры и отдыха за одну ночь фашистские палачи расстреляли больше 150 мирных граждан. На улицах К.Либкнехта, Шевченко и многих других висят десятки трупов мирных граждан» (14757).</w:t>
      </w:r>
    </w:p>
    <w:p w14:paraId="02FD10CB"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4179F66A"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lastRenderedPageBreak/>
        <w:t xml:space="preserve">2 сентября </w:t>
      </w:r>
      <w:r w:rsidRPr="00722885">
        <w:rPr>
          <w:rFonts w:ascii="Times New Roman" w:hAnsi="Times New Roman"/>
          <w:color w:val="000000" w:themeColor="text1"/>
          <w:sz w:val="16"/>
          <w:szCs w:val="16"/>
        </w:rPr>
        <w:t>в 1942 году немецкие войска прорвались к внутренней полосе обороны Сталинграда. Войска 62-й и 64-й армий отошли на рубеж внутреннего оборонительного обвода Сталинграда: 62-я армия заняла оборону на участке от Волги до железной дороги Сталинград - Донбасс (прикрыв город с севера и запада), 64-я армия - на участке от железной дороги до Ивановки (прикрывая Бекетовку и Красноармейск); 57-я армия закрепилась на рубеже Ивановка, озеро Цаца (14757).</w:t>
      </w:r>
    </w:p>
    <w:p w14:paraId="7EEF22F6"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371D4223"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 сентября </w:t>
      </w:r>
      <w:r w:rsidRPr="00722885">
        <w:rPr>
          <w:rFonts w:ascii="Times New Roman" w:hAnsi="Times New Roman"/>
          <w:color w:val="000000" w:themeColor="text1"/>
          <w:sz w:val="16"/>
          <w:szCs w:val="16"/>
        </w:rPr>
        <w:t>в 1942 году на Северном Кавказе войска 1-й танковой армии немцев форсировали Терек южнее Моздока и вклинились в оборону советских войск на глубину до 12 км (14757).</w:t>
      </w:r>
    </w:p>
    <w:p w14:paraId="787EFB79"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3A824B17"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 сентября </w:t>
      </w:r>
      <w:r w:rsidRPr="00722885">
        <w:rPr>
          <w:rFonts w:ascii="Times New Roman" w:hAnsi="Times New Roman"/>
          <w:color w:val="000000" w:themeColor="text1"/>
          <w:sz w:val="16"/>
          <w:szCs w:val="16"/>
        </w:rPr>
        <w:t>в 1942 году (2-26 сентября) английский конвой PQ 18 проследовал из британских портов в Архангельск и Мурманск. Он включал 40 торговых судов и 17 эсминцев и авианосец. По пути следования конвой в результате действий немецких подводных лодок и самолетов потерял 13 судов (14757).</w:t>
      </w:r>
    </w:p>
    <w:p w14:paraId="33878E31"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66D01404" w14:textId="47C6F27A" w:rsidR="00655F62" w:rsidRPr="00722885" w:rsidRDefault="00655F6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сентября 1942, работая по поддержке германских сухопутных сил, выступающих против советской Синявинской операции в неудачной попытке разорвать блокаду Ленинграда , Jagdgeschwader 54 и Jagdgeschwader 77 Люфтваффе за два дня сбивают 42 самолетов в ВВС СССР 14 -йя воздушной армии.  Немецкие пилоты сообщают, что советские самолеты отказываются от боя на фронте во время наступления, которое продлится с 19 августа по 10 октября, что побудило Иосифа Сталина пригрозить военным трибуналом любому советскому летчику, который отказывается атаковать немецкие самолеты (20793).</w:t>
      </w:r>
    </w:p>
    <w:p w14:paraId="579CD9C2" w14:textId="77777777" w:rsidR="00655F62" w:rsidRPr="00722885" w:rsidRDefault="00655F62" w:rsidP="00722885">
      <w:pPr>
        <w:spacing w:after="0" w:line="240" w:lineRule="auto"/>
        <w:jc w:val="both"/>
        <w:rPr>
          <w:rFonts w:ascii="Times New Roman" w:hAnsi="Times New Roman"/>
          <w:color w:val="0070C0"/>
          <w:sz w:val="16"/>
          <w:szCs w:val="16"/>
        </w:rPr>
      </w:pPr>
    </w:p>
    <w:p w14:paraId="7266C9A9" w14:textId="77777777" w:rsidR="00063056" w:rsidRPr="00722885" w:rsidRDefault="00063056"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 сентября 1942 г. началь</w:t>
      </w:r>
      <w:r w:rsidRPr="00722885">
        <w:rPr>
          <w:rFonts w:ascii="Times New Roman" w:cs="Times New Roman"/>
          <w:color w:val="000000" w:themeColor="text1"/>
          <w:spacing w:val="0"/>
        </w:rPr>
        <w:softHyphen/>
        <w:t>ник воздушно-стрелковой службы ВВС КА генерал-майор Рафалович докладывал за</w:t>
      </w:r>
      <w:r w:rsidRPr="00722885">
        <w:rPr>
          <w:rFonts w:ascii="Times New Roman" w:cs="Times New Roman"/>
          <w:color w:val="000000" w:themeColor="text1"/>
          <w:spacing w:val="0"/>
        </w:rPr>
        <w:softHyphen/>
        <w:t>местителю командующего ВВС КА генерал-лейтенанту Г.А. Ворожейкину:</w:t>
      </w:r>
    </w:p>
    <w:p w14:paraId="6C534CC1" w14:textId="77777777" w:rsidR="00063056" w:rsidRPr="00722885" w:rsidRDefault="00063056"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«Несмотря на большие зарегистрированные победы лётчиков 287 авиадивизии, их мож</w:t>
      </w:r>
      <w:r w:rsidRPr="00722885">
        <w:rPr>
          <w:rFonts w:ascii="Times New Roman" w:cs="Times New Roman"/>
          <w:color w:val="000000" w:themeColor="text1"/>
          <w:spacing w:val="0"/>
        </w:rPr>
        <w:softHyphen/>
        <w:t>но было бы иметь больше и меньше нести своих потерь, при условии лучшего освоения лётным составом боевого применения самолёта ЛАГ-5, организованно вступать и вы</w:t>
      </w:r>
      <w:r w:rsidRPr="00722885">
        <w:rPr>
          <w:rFonts w:ascii="Times New Roman" w:cs="Times New Roman"/>
          <w:color w:val="000000" w:themeColor="text1"/>
          <w:spacing w:val="0"/>
        </w:rPr>
        <w:softHyphen/>
        <w:t>ходить из воздушного боя, поддерживать товарищей, не выходить из боя одиночным порядком и наладить лучше радиосвязь между самолётами и самолётов с землей» (15813).</w:t>
      </w:r>
    </w:p>
    <w:p w14:paraId="52B48BC3" w14:textId="77777777" w:rsidR="00063056" w:rsidRPr="00722885" w:rsidRDefault="00063056" w:rsidP="00722885">
      <w:pPr>
        <w:pStyle w:val="27"/>
        <w:shd w:val="clear" w:color="auto" w:fill="auto"/>
        <w:spacing w:after="0" w:line="240" w:lineRule="auto"/>
        <w:ind w:firstLine="0"/>
        <w:rPr>
          <w:rFonts w:ascii="Times New Roman" w:cs="Times New Roman"/>
          <w:color w:val="000000" w:themeColor="text1"/>
          <w:spacing w:val="0"/>
        </w:rPr>
      </w:pPr>
    </w:p>
    <w:p w14:paraId="73629739"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 сентября 1942 советские самолеты впервые бомбили Варшаву (4962).</w:t>
      </w:r>
    </w:p>
    <w:p w14:paraId="28504850" w14:textId="77777777" w:rsidR="00AE7191" w:rsidRPr="00722885" w:rsidRDefault="00AE7191" w:rsidP="00722885">
      <w:pPr>
        <w:pStyle w:val="Iauiue"/>
        <w:tabs>
          <w:tab w:val="left" w:pos="11199"/>
        </w:tabs>
        <w:jc w:val="both"/>
        <w:rPr>
          <w:color w:val="000000" w:themeColor="text1"/>
          <w:sz w:val="16"/>
          <w:szCs w:val="16"/>
        </w:rPr>
      </w:pPr>
    </w:p>
    <w:p w14:paraId="2AF3006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 сентября 1942 немецкие войска начали широкомасштабную операцию по уничтожению советских партизан под Могилевом (4962).</w:t>
      </w:r>
    </w:p>
    <w:p w14:paraId="47633301" w14:textId="77777777" w:rsidR="00AE7191" w:rsidRPr="00722885" w:rsidRDefault="00AE7191" w:rsidP="00722885">
      <w:pPr>
        <w:pStyle w:val="Iauiue"/>
        <w:tabs>
          <w:tab w:val="left" w:pos="11199"/>
        </w:tabs>
        <w:jc w:val="both"/>
        <w:rPr>
          <w:color w:val="000000" w:themeColor="text1"/>
          <w:sz w:val="16"/>
          <w:szCs w:val="16"/>
        </w:rPr>
      </w:pPr>
    </w:p>
    <w:p w14:paraId="43A8810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26BF22B" w14:textId="77777777" w:rsidR="00AE7191" w:rsidRPr="00722885" w:rsidRDefault="00AE7191" w:rsidP="00722885">
      <w:pPr>
        <w:pStyle w:val="Iauiue"/>
        <w:jc w:val="both"/>
        <w:rPr>
          <w:iCs/>
          <w:color w:val="000000" w:themeColor="text1"/>
          <w:sz w:val="16"/>
          <w:szCs w:val="16"/>
        </w:rPr>
      </w:pPr>
    </w:p>
    <w:p w14:paraId="72362DAA"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сентября 1942 года</w:t>
      </w:r>
      <w:r w:rsidRPr="00722885">
        <w:rPr>
          <w:rFonts w:ascii="Times New Roman" w:hAnsi="Times New Roman"/>
          <w:color w:val="000000" w:themeColor="text1"/>
          <w:sz w:val="16"/>
          <w:szCs w:val="16"/>
        </w:rPr>
        <w:t xml:space="preserve"> Пилот Ф. Люкэс поднял "Темпест" V. с мотором "Сейбр" II в воздух. На "пятерке" стояло новое крыло и, соответственно, видоизмененный фюзеляж, но машина имела мотоустановку, подготовленную для поздних серий "Тайфуна" с двигателем "Сейбр" II и четырехлопастным винтом. Результаты испытаний вынудили спустя два месяца увеличить стабилизатор и ввести форкиль, ставшие характерными чертами всех последующих серийных "Темпестов" (14757).</w:t>
      </w:r>
    </w:p>
    <w:p w14:paraId="2382CEFE"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06B4BA82" w14:textId="77777777" w:rsidR="008C0385" w:rsidRPr="00722885" w:rsidRDefault="008C03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сентября 1942 года состоялся первый полет Hawker Tempest (20793).</w:t>
      </w:r>
    </w:p>
    <w:p w14:paraId="5E63B59D" w14:textId="77777777" w:rsidR="008C0385" w:rsidRPr="00722885" w:rsidRDefault="008C0385" w:rsidP="00722885">
      <w:pPr>
        <w:spacing w:after="0" w:line="240" w:lineRule="auto"/>
        <w:jc w:val="both"/>
        <w:rPr>
          <w:rFonts w:ascii="Times New Roman" w:hAnsi="Times New Roman"/>
          <w:color w:val="0070C0"/>
          <w:sz w:val="16"/>
          <w:szCs w:val="16"/>
        </w:rPr>
      </w:pPr>
    </w:p>
    <w:p w14:paraId="6C4BA00A"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September 2 1942 Rommel driven back by Montgomery in Battle of Alam Halfa (1050).</w:t>
      </w:r>
    </w:p>
    <w:p w14:paraId="2C47A18F" w14:textId="77777777" w:rsidR="00AE7191" w:rsidRPr="00722885" w:rsidRDefault="00AE7191" w:rsidP="00722885">
      <w:pPr>
        <w:pStyle w:val="Iauiue"/>
        <w:jc w:val="both"/>
        <w:rPr>
          <w:color w:val="000000" w:themeColor="text1"/>
          <w:sz w:val="16"/>
          <w:szCs w:val="16"/>
          <w:lang w:val="en-US"/>
        </w:rPr>
      </w:pPr>
    </w:p>
    <w:p w14:paraId="530DC3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сентября 1942 Роммель был отброшен Монтгомери в битве у Алам эль Халфа (1050).</w:t>
      </w:r>
    </w:p>
    <w:p w14:paraId="52154D20" w14:textId="77777777" w:rsidR="00AE7191" w:rsidRPr="00722885" w:rsidRDefault="00AE7191" w:rsidP="00722885">
      <w:pPr>
        <w:pStyle w:val="Iauiue"/>
        <w:jc w:val="both"/>
        <w:rPr>
          <w:color w:val="000000" w:themeColor="text1"/>
          <w:sz w:val="16"/>
          <w:szCs w:val="16"/>
        </w:rPr>
      </w:pPr>
    </w:p>
    <w:p w14:paraId="163C933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2 сентября 1942 в Польше польскими и украинскими полицаями расстреляно около двух тысяч евреев (4962).</w:t>
      </w:r>
    </w:p>
    <w:p w14:paraId="2CE8E04D" w14:textId="77777777" w:rsidR="00AE7191" w:rsidRPr="00722885" w:rsidRDefault="00AE7191" w:rsidP="00722885">
      <w:pPr>
        <w:pStyle w:val="Iauiue"/>
        <w:tabs>
          <w:tab w:val="left" w:pos="11199"/>
        </w:tabs>
        <w:jc w:val="both"/>
        <w:rPr>
          <w:color w:val="000000" w:themeColor="text1"/>
          <w:sz w:val="16"/>
          <w:szCs w:val="16"/>
        </w:rPr>
      </w:pPr>
    </w:p>
    <w:p w14:paraId="7CF1C7B4" w14:textId="77777777" w:rsidR="00063056" w:rsidRPr="00722885" w:rsidRDefault="0006305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 сентября </w:t>
      </w:r>
      <w:r w:rsidRPr="00722885">
        <w:rPr>
          <w:rFonts w:ascii="Times New Roman" w:hAnsi="Times New Roman"/>
          <w:color w:val="000000" w:themeColor="text1"/>
          <w:sz w:val="16"/>
          <w:szCs w:val="16"/>
        </w:rPr>
        <w:t>в 1942 году немецкая субмарина U-156 капитан-лейтенанта Вернера Хартенштейна у берегов Экваториальной Африки обнаружила и торпедировала большой английский транспорт "Лакония". Неожиданно немцы выяснили, что на борту тонущего судна, кроме тысячи англичан, находятся еще 1800 итальянцев, взятых в плен под Эль-Аламейном. U-156 всплыла и, запросив по радио командующего подводными силами Деница, начала подбирать людей из воды. Хартенштейн подобрал почти 400 человек и, взяв на буксир переполненные спасательные шлюпки, направился к ближайшему порту. Лодка на всех частотах передавала сообщение о гибели парохода с множеством людей и о том, что на ее борту находятся сотни спасенных, в том числе женщин и детей. Над палубой лодки даже был растянут четырехметровый флаг Красного Креста. Но американский бомбардировщик Б-24, который не мог не видеть вереницы шлюпок, сбросил на лодку бомбы. Они не попали в U-156, а взорвались прямо среди кричащих от ужаса беззащитных людей. Хартенштейн приказал отцепить шлюпки и быстро погрузился, уходя от бомб. На следующий день взбешенный Дениц подписал так называемый "Приказ Лакония", категорически запрещавший подлодкам спасать людей с потопленных судов. Впоследствии этот приказ стал одним из главных обвинений против Деница на Нюрнбергском процессе (14757).</w:t>
      </w:r>
    </w:p>
    <w:p w14:paraId="62874D82" w14:textId="77777777" w:rsidR="00063056" w:rsidRPr="00722885" w:rsidRDefault="00063056" w:rsidP="00722885">
      <w:pPr>
        <w:spacing w:after="0" w:line="240" w:lineRule="auto"/>
        <w:jc w:val="both"/>
        <w:rPr>
          <w:rFonts w:ascii="Times New Roman" w:hAnsi="Times New Roman"/>
          <w:color w:val="000000" w:themeColor="text1"/>
          <w:sz w:val="16"/>
          <w:szCs w:val="16"/>
        </w:rPr>
      </w:pPr>
    </w:p>
    <w:p w14:paraId="7BB55DA6"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7D698F2" w14:textId="77777777" w:rsidR="00AE7191" w:rsidRPr="00722885" w:rsidRDefault="00AE7191" w:rsidP="00722885">
      <w:pPr>
        <w:pStyle w:val="Iauiue"/>
        <w:jc w:val="both"/>
        <w:rPr>
          <w:iCs/>
          <w:color w:val="000000" w:themeColor="text1"/>
          <w:sz w:val="16"/>
          <w:szCs w:val="16"/>
        </w:rPr>
      </w:pPr>
    </w:p>
    <w:p w14:paraId="7EB66EA0" w14:textId="77777777" w:rsidR="007A43FF" w:rsidRPr="00722885" w:rsidRDefault="007A43FF"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 сентября 1942 вышел приказ НКАП, обязывающий Ильюшина «произвести работы по бронированию мотора на двухместном штурмовике Ил-2 с мотором М-82 и выпустить его в полет 10.10.42 г.» К этому же сроку требовалось разра</w:t>
      </w:r>
      <w:r w:rsidRPr="00722885">
        <w:rPr>
          <w:rFonts w:ascii="Times New Roman" w:hAnsi="Times New Roman" w:cs="Times New Roman"/>
          <w:color w:val="000000" w:themeColor="text1"/>
          <w:sz w:val="16"/>
          <w:szCs w:val="16"/>
        </w:rPr>
        <w:softHyphen/>
        <w:t>ботать чертежи «для спуска в серийное производство».</w:t>
      </w:r>
    </w:p>
    <w:p w14:paraId="37BEF3ED" w14:textId="77777777" w:rsidR="007A43FF" w:rsidRPr="00722885" w:rsidRDefault="007A43FF"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Непосредственным исполнителем по подготовке проекта приказа значится сам Ильюшин. На документе имеется его виза от 28 августа.</w:t>
      </w:r>
    </w:p>
    <w:p w14:paraId="33A0920E" w14:textId="77777777" w:rsidR="007A43FF" w:rsidRPr="00722885" w:rsidRDefault="007A43FF"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Правда, каких-либо документов, подтверждающих проведение работ по установке бронированного капота на Ил-2 зав. № 1864714, пока найти не удалось (19111).</w:t>
      </w:r>
    </w:p>
    <w:p w14:paraId="320FFD73" w14:textId="77777777" w:rsidR="007A43FF" w:rsidRPr="00722885" w:rsidRDefault="007A43FF" w:rsidP="00722885">
      <w:pPr>
        <w:spacing w:after="0" w:line="240" w:lineRule="auto"/>
        <w:jc w:val="both"/>
        <w:rPr>
          <w:rFonts w:ascii="Times New Roman" w:hAnsi="Times New Roman"/>
          <w:color w:val="000000" w:themeColor="text1"/>
          <w:sz w:val="16"/>
          <w:szCs w:val="16"/>
        </w:rPr>
      </w:pPr>
    </w:p>
    <w:p w14:paraId="78EA411A" w14:textId="77777777" w:rsidR="008C0385" w:rsidRPr="00722885" w:rsidRDefault="008C0385" w:rsidP="00722885">
      <w:pPr>
        <w:pStyle w:val="95"/>
        <w:shd w:val="clear" w:color="auto" w:fill="auto"/>
        <w:spacing w:after="0" w:line="240" w:lineRule="auto"/>
        <w:ind w:firstLine="0"/>
        <w:jc w:val="both"/>
        <w:rPr>
          <w:color w:val="0070C0"/>
          <w:sz w:val="16"/>
          <w:szCs w:val="16"/>
        </w:rPr>
      </w:pPr>
      <w:r w:rsidRPr="00722885">
        <w:rPr>
          <w:color w:val="0070C0"/>
          <w:sz w:val="16"/>
          <w:szCs w:val="16"/>
        </w:rPr>
        <w:t>3 сентября 1942 вышел приказ НКАП №674с, обязывающий Ильюшина</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«произвести ра</w:t>
      </w:r>
      <w:r w:rsidRPr="00722885">
        <w:rPr>
          <w:rStyle w:val="aff6"/>
          <w:rFonts w:ascii="Times New Roman" w:hAnsi="Times New Roman" w:cs="Times New Roman"/>
          <w:i w:val="0"/>
          <w:iCs w:val="0"/>
          <w:color w:val="0070C0"/>
        </w:rPr>
        <w:softHyphen/>
        <w:t>боты по бронированию мотора на двухмест</w:t>
      </w:r>
      <w:r w:rsidRPr="00722885">
        <w:rPr>
          <w:rStyle w:val="aff6"/>
          <w:rFonts w:ascii="Times New Roman" w:hAnsi="Times New Roman" w:cs="Times New Roman"/>
          <w:i w:val="0"/>
          <w:iCs w:val="0"/>
          <w:color w:val="0070C0"/>
        </w:rPr>
        <w:softHyphen/>
        <w:t>ном штурмовике Ил-2 с мотором М-82 и вы</w:t>
      </w:r>
      <w:r w:rsidRPr="00722885">
        <w:rPr>
          <w:rStyle w:val="aff6"/>
          <w:rFonts w:ascii="Times New Roman" w:hAnsi="Times New Roman" w:cs="Times New Roman"/>
          <w:i w:val="0"/>
          <w:iCs w:val="0"/>
          <w:color w:val="0070C0"/>
        </w:rPr>
        <w:softHyphen/>
        <w:t>пустить его в полет 10.10.42 г.»</w:t>
      </w:r>
      <w:r w:rsidRPr="00722885">
        <w:rPr>
          <w:color w:val="0070C0"/>
          <w:sz w:val="16"/>
          <w:szCs w:val="16"/>
        </w:rPr>
        <w:t xml:space="preserve"> К этому же сроку требовалось разработать чертежи</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для спуска в серийное производство».</w:t>
      </w:r>
      <w:r w:rsidRPr="00722885">
        <w:rPr>
          <w:color w:val="0070C0"/>
          <w:sz w:val="16"/>
          <w:szCs w:val="16"/>
        </w:rPr>
        <w:t xml:space="preserve"> В то же время каких-либо документов, подтвержда</w:t>
      </w:r>
      <w:r w:rsidRPr="00722885">
        <w:rPr>
          <w:color w:val="0070C0"/>
          <w:sz w:val="16"/>
          <w:szCs w:val="16"/>
        </w:rPr>
        <w:softHyphen/>
        <w:t>ющих установку бронированного капота на Ил-2 зав. №1864714 с мотором М-82, пока найти не удалось (19877).</w:t>
      </w:r>
    </w:p>
    <w:p w14:paraId="4DD08B0A" w14:textId="77777777" w:rsidR="008C0385" w:rsidRPr="00722885" w:rsidRDefault="008C0385" w:rsidP="00722885">
      <w:pPr>
        <w:pStyle w:val="95"/>
        <w:shd w:val="clear" w:color="auto" w:fill="auto"/>
        <w:spacing w:after="0" w:line="240" w:lineRule="auto"/>
        <w:ind w:firstLine="0"/>
        <w:jc w:val="both"/>
        <w:rPr>
          <w:color w:val="0070C0"/>
          <w:sz w:val="16"/>
          <w:szCs w:val="16"/>
        </w:rPr>
      </w:pPr>
    </w:p>
    <w:p w14:paraId="2A7B00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сентября 1942 вышел приказ НКАП N 674с:</w:t>
      </w:r>
    </w:p>
    <w:p w14:paraId="4BDD01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"Главному конструктору С.В.И. провести работу по бронированию мотора на 2-х местном штурмовике Ил-2 с М-82, выпустив его в полет 10 октября 1942. К этому же сроку изготовить рабочие чертежи для спуска в серийное производство" (1588,25).</w:t>
      </w:r>
    </w:p>
    <w:p w14:paraId="788385A5" w14:textId="77777777" w:rsidR="00AE7191" w:rsidRPr="00722885" w:rsidRDefault="00AE7191" w:rsidP="00722885">
      <w:pPr>
        <w:pStyle w:val="Iauiue"/>
        <w:jc w:val="both"/>
        <w:rPr>
          <w:color w:val="000000" w:themeColor="text1"/>
          <w:sz w:val="16"/>
          <w:szCs w:val="16"/>
        </w:rPr>
      </w:pPr>
    </w:p>
    <w:p w14:paraId="46970DED" w14:textId="77777777" w:rsidR="001C5C3A" w:rsidRPr="00722885" w:rsidRDefault="001C5C3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3 сентября 1942 </w:t>
      </w:r>
      <w:r w:rsidRPr="00722885">
        <w:rPr>
          <w:color w:val="000000" w:themeColor="text1"/>
          <w:sz w:val="16"/>
          <w:szCs w:val="16"/>
          <w:lang w:val="en-US"/>
        </w:rPr>
        <w:t>g</w:t>
      </w:r>
      <w:r w:rsidRPr="00722885">
        <w:rPr>
          <w:color w:val="000000" w:themeColor="text1"/>
          <w:sz w:val="16"/>
          <w:szCs w:val="16"/>
        </w:rPr>
        <w:t>о указанию наркома вооруже</w:t>
      </w:r>
      <w:r w:rsidRPr="00722885">
        <w:rPr>
          <w:color w:val="000000" w:themeColor="text1"/>
          <w:sz w:val="16"/>
          <w:szCs w:val="16"/>
        </w:rPr>
        <w:softHyphen/>
        <w:t>ния Д. Ф. Устинова пушка 11П № 2 была отправлена в Ижевск на завод № 74 НКВ, где предпола</w:t>
      </w:r>
      <w:r w:rsidRPr="00722885">
        <w:rPr>
          <w:color w:val="000000" w:themeColor="text1"/>
          <w:sz w:val="16"/>
          <w:szCs w:val="16"/>
        </w:rPr>
        <w:softHyphen/>
        <w:t>галось организовать серийное производство пуш</w:t>
      </w:r>
      <w:r w:rsidRPr="00722885">
        <w:rPr>
          <w:color w:val="000000" w:themeColor="text1"/>
          <w:sz w:val="16"/>
          <w:szCs w:val="16"/>
        </w:rPr>
        <w:softHyphen/>
        <w:t>ки. Там пушку отстреляли в тире в присутствии заместителя наркома вооружения В. Н. Новикова, секретаря местного обкома партии А. П. Чекинова и директора завода М. А. Иванова. Затем пушку разобрали и вместе с документацией все детали раздали технологам завода с целью отработки тех</w:t>
      </w:r>
      <w:r w:rsidRPr="00722885">
        <w:rPr>
          <w:color w:val="000000" w:themeColor="text1"/>
          <w:sz w:val="16"/>
          <w:szCs w:val="16"/>
        </w:rPr>
        <w:softHyphen/>
        <w:t>нологии и изготовления оснастки для серии. Одно</w:t>
      </w:r>
      <w:r w:rsidRPr="00722885">
        <w:rPr>
          <w:color w:val="000000" w:themeColor="text1"/>
          <w:sz w:val="16"/>
          <w:szCs w:val="16"/>
        </w:rPr>
        <w:softHyphen/>
        <w:t>временно без технологической оснастки началось изготовление 40 пушек установочной партии для прохождения войсковых испытаний. В помощь за</w:t>
      </w:r>
      <w:r w:rsidRPr="00722885">
        <w:rPr>
          <w:color w:val="000000" w:themeColor="text1"/>
          <w:sz w:val="16"/>
          <w:szCs w:val="16"/>
        </w:rPr>
        <w:softHyphen/>
        <w:t>воду была направлена бригада лучших работни</w:t>
      </w:r>
      <w:r w:rsidRPr="00722885">
        <w:rPr>
          <w:color w:val="000000" w:themeColor="text1"/>
          <w:sz w:val="16"/>
          <w:szCs w:val="16"/>
        </w:rPr>
        <w:softHyphen/>
        <w:t>ков ОКБ-16 (станочники, механики-сборщики, кон структоры), в том числе В. Я. Веселов, А. С. Горбу</w:t>
      </w:r>
      <w:r w:rsidRPr="00722885">
        <w:rPr>
          <w:color w:val="000000" w:themeColor="text1"/>
          <w:sz w:val="16"/>
          <w:szCs w:val="16"/>
        </w:rPr>
        <w:softHyphen/>
        <w:t>нов, Б. Ф. Исаков, Ф. И. Круковский, А. Ф. Сенечкин, Г. А. Жирных, К. Н. Иванов, С. Г. Лукин, И. В. Нефелов, А. Э. Нудельман, А. С. Суранов. Уже к 18 сентября была собрана первая пушка, а 7 ноября — послед</w:t>
      </w:r>
      <w:r w:rsidRPr="00722885">
        <w:rPr>
          <w:color w:val="000000" w:themeColor="text1"/>
          <w:sz w:val="16"/>
          <w:szCs w:val="16"/>
        </w:rPr>
        <w:softHyphen/>
        <w:t>няя пушка партии. Как докладывал начальник 1-го отдела Управления заказов вооружения и боепри</w:t>
      </w:r>
      <w:r w:rsidRPr="00722885">
        <w:rPr>
          <w:color w:val="000000" w:themeColor="text1"/>
          <w:sz w:val="16"/>
          <w:szCs w:val="16"/>
        </w:rPr>
        <w:softHyphen/>
        <w:t>пасов ГУЗ ВВС инженер-полковник Минин, военной приемкой в ноябре 1942 г. было принято 20 кры</w:t>
      </w:r>
      <w:r w:rsidRPr="00722885">
        <w:rPr>
          <w:color w:val="000000" w:themeColor="text1"/>
          <w:sz w:val="16"/>
          <w:szCs w:val="16"/>
        </w:rPr>
        <w:softHyphen/>
        <w:t>льевых и 16 моторных пушек 11П. Остальные 4 мо</w:t>
      </w:r>
      <w:r w:rsidRPr="00722885">
        <w:rPr>
          <w:color w:val="000000" w:themeColor="text1"/>
          <w:sz w:val="16"/>
          <w:szCs w:val="16"/>
        </w:rPr>
        <w:softHyphen/>
        <w:t>торные пушки были сданы по бою в следующем месяце. Все пушки считались опытными (17500).</w:t>
      </w:r>
    </w:p>
    <w:p w14:paraId="2BFE112B" w14:textId="77777777" w:rsidR="001C5C3A" w:rsidRPr="00722885" w:rsidRDefault="001C5C3A" w:rsidP="00722885">
      <w:pPr>
        <w:spacing w:after="0" w:line="240" w:lineRule="auto"/>
        <w:jc w:val="both"/>
        <w:rPr>
          <w:rFonts w:ascii="Times New Roman" w:hAnsi="Times New Roman"/>
          <w:color w:val="000000" w:themeColor="text1"/>
          <w:sz w:val="16"/>
          <w:szCs w:val="16"/>
        </w:rPr>
      </w:pPr>
    </w:p>
    <w:p w14:paraId="4CE570D1" w14:textId="77777777" w:rsidR="001C5C3A" w:rsidRPr="00722885" w:rsidRDefault="001C5C3A" w:rsidP="00722885">
      <w:pPr>
        <w:pStyle w:val="Iauiue"/>
        <w:jc w:val="both"/>
        <w:rPr>
          <w:color w:val="000000" w:themeColor="text1"/>
          <w:sz w:val="16"/>
          <w:szCs w:val="16"/>
        </w:rPr>
      </w:pPr>
      <w:r w:rsidRPr="00722885">
        <w:rPr>
          <w:color w:val="000000" w:themeColor="text1"/>
          <w:sz w:val="16"/>
          <w:szCs w:val="16"/>
        </w:rPr>
        <w:t>3 сентября 1942 по указанию Д.Ф.Устинова А.Э.Нудельмана отправили на Р-5 на Ижевский завод, он был принят директором, представителями местных властей и наркомата приветливо, демонстрировали стрельбу в заводском тире. Д.Ф.У. поставил задачу сделать 40 НС-37 в 1942 и решили - к 7 ноября (263,53).</w:t>
      </w:r>
    </w:p>
    <w:p w14:paraId="1925E5BC" w14:textId="77777777" w:rsidR="001C5C3A" w:rsidRPr="00722885" w:rsidRDefault="001C5C3A" w:rsidP="00722885">
      <w:pPr>
        <w:pStyle w:val="Iauiue"/>
        <w:jc w:val="both"/>
        <w:rPr>
          <w:color w:val="000000" w:themeColor="text1"/>
          <w:sz w:val="16"/>
          <w:szCs w:val="16"/>
        </w:rPr>
      </w:pPr>
    </w:p>
    <w:p w14:paraId="4BD87781" w14:textId="77777777" w:rsidR="008C0385" w:rsidRPr="00722885" w:rsidRDefault="008C0385" w:rsidP="00722885">
      <w:pPr>
        <w:pStyle w:val="95"/>
        <w:shd w:val="clear" w:color="auto" w:fill="auto"/>
        <w:spacing w:after="0" w:line="240" w:lineRule="auto"/>
        <w:ind w:firstLine="0"/>
        <w:jc w:val="both"/>
        <w:rPr>
          <w:color w:val="0070C0"/>
          <w:sz w:val="16"/>
          <w:szCs w:val="16"/>
        </w:rPr>
      </w:pPr>
      <w:r w:rsidRPr="00722885">
        <w:rPr>
          <w:color w:val="0070C0"/>
          <w:sz w:val="16"/>
          <w:szCs w:val="16"/>
        </w:rPr>
        <w:t>3 сентября 1942 Устинов прислал за Нудельманом самолет Р-5, который доставил его в Ижевск вместе с первой партией документации и опытным образцом пушки. Там его встречали не только руководители оружейного завода и металлургического комбината, поставщика «закладных» заготовок для стволов, но и секретарь обкома партии, которому было поручено лично содействовать Нудельману и контролировать процесс изготовления установочной серии оружия 11П-37 (22880).</w:t>
      </w:r>
    </w:p>
    <w:p w14:paraId="4A6D807B" w14:textId="77777777" w:rsidR="008C0385" w:rsidRPr="00722885" w:rsidRDefault="008C0385" w:rsidP="00722885">
      <w:pPr>
        <w:pStyle w:val="95"/>
        <w:shd w:val="clear" w:color="auto" w:fill="auto"/>
        <w:spacing w:after="0" w:line="240" w:lineRule="auto"/>
        <w:ind w:firstLine="0"/>
        <w:jc w:val="both"/>
        <w:rPr>
          <w:color w:val="0070C0"/>
          <w:sz w:val="16"/>
          <w:szCs w:val="16"/>
        </w:rPr>
      </w:pPr>
    </w:p>
    <w:p w14:paraId="68AB0AC4" w14:textId="77777777" w:rsidR="00085211" w:rsidRPr="00722885" w:rsidRDefault="0008521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3 сентября 1942 С. А. Москалев, который пы</w:t>
      </w:r>
      <w:r w:rsidRPr="00722885">
        <w:rPr>
          <w:color w:val="000000" w:themeColor="text1"/>
          <w:sz w:val="16"/>
          <w:szCs w:val="16"/>
        </w:rPr>
        <w:softHyphen/>
        <w:t>тался опротестовать заключение НИИ ВВС по САМ-14-Ш (Аист) об</w:t>
      </w:r>
      <w:r w:rsidRPr="00722885">
        <w:rPr>
          <w:color w:val="000000" w:themeColor="text1"/>
          <w:sz w:val="16"/>
          <w:szCs w:val="16"/>
        </w:rPr>
        <w:softHyphen/>
        <w:t>ратился лично к главному инженеру ВВС КА гене</w:t>
      </w:r>
      <w:r w:rsidRPr="00722885">
        <w:rPr>
          <w:color w:val="000000" w:themeColor="text1"/>
          <w:sz w:val="16"/>
          <w:szCs w:val="16"/>
        </w:rPr>
        <w:softHyphen/>
        <w:t>рал-лейтенанту А. К. Репину. В сопроводительном письме к «Замечаниям по заключе</w:t>
      </w:r>
      <w:r w:rsidRPr="00722885">
        <w:rPr>
          <w:color w:val="000000" w:themeColor="text1"/>
          <w:sz w:val="16"/>
          <w:szCs w:val="16"/>
        </w:rPr>
        <w:softHyphen/>
        <w:t>нию НИИ ВВС по самолету САМ-14-Ш» Москалев указывал: «В апреле месяце сего года мною был предложен ВВС КА для нужд Отечественной вой</w:t>
      </w:r>
      <w:r w:rsidRPr="00722885">
        <w:rPr>
          <w:color w:val="000000" w:themeColor="text1"/>
          <w:sz w:val="16"/>
          <w:szCs w:val="16"/>
        </w:rPr>
        <w:softHyphen/>
        <w:t>ны хорошо проверенный, легкомоторный деревян</w:t>
      </w:r>
      <w:r w:rsidRPr="00722885">
        <w:rPr>
          <w:color w:val="000000" w:themeColor="text1"/>
          <w:sz w:val="16"/>
          <w:szCs w:val="16"/>
        </w:rPr>
        <w:softHyphen/>
        <w:t>ный самолет САМ-14 (САМ-5-2бис с мотором МВ-4), в различных вариантах — штабной, связной даль</w:t>
      </w:r>
      <w:r w:rsidRPr="00722885">
        <w:rPr>
          <w:color w:val="000000" w:themeColor="text1"/>
          <w:sz w:val="16"/>
          <w:szCs w:val="16"/>
        </w:rPr>
        <w:softHyphen/>
        <w:t xml:space="preserve">него действия, санитарный и наконец в варианте легкого ночного штурмовика. /.../ Мною получено заключение </w:t>
      </w:r>
      <w:r w:rsidRPr="00722885">
        <w:rPr>
          <w:color w:val="000000" w:themeColor="text1"/>
          <w:sz w:val="16"/>
          <w:szCs w:val="16"/>
        </w:rPr>
        <w:lastRenderedPageBreak/>
        <w:t>НИИ ВВС КА по штурмовому варианту этой машины. Выводы и заключение НИИ ВВС со</w:t>
      </w:r>
      <w:r w:rsidRPr="00722885">
        <w:rPr>
          <w:color w:val="000000" w:themeColor="text1"/>
          <w:sz w:val="16"/>
          <w:szCs w:val="16"/>
        </w:rPr>
        <w:softHyphen/>
        <w:t>вершенно игнорируют данные фактически суще</w:t>
      </w:r>
      <w:r w:rsidRPr="00722885">
        <w:rPr>
          <w:color w:val="000000" w:themeColor="text1"/>
          <w:sz w:val="16"/>
          <w:szCs w:val="16"/>
        </w:rPr>
        <w:softHyphen/>
        <w:t>ствующих машин этого типа, многократно прове</w:t>
      </w:r>
      <w:r w:rsidRPr="00722885">
        <w:rPr>
          <w:color w:val="000000" w:themeColor="text1"/>
          <w:sz w:val="16"/>
          <w:szCs w:val="16"/>
        </w:rPr>
        <w:softHyphen/>
        <w:t>ренных в эксплуатации и рекордных полетах, а так</w:t>
      </w:r>
      <w:r w:rsidRPr="00722885">
        <w:rPr>
          <w:color w:val="000000" w:themeColor="text1"/>
          <w:sz w:val="16"/>
          <w:szCs w:val="16"/>
        </w:rPr>
        <w:softHyphen/>
        <w:t>же имеющиеся материалы 4 госиспытаний. Полагая, что такое отношение НИИ ВВС не вполне понятно и, во всяком слу</w:t>
      </w:r>
      <w:r w:rsidRPr="00722885">
        <w:rPr>
          <w:color w:val="000000" w:themeColor="text1"/>
          <w:sz w:val="16"/>
          <w:szCs w:val="16"/>
        </w:rPr>
        <w:softHyphen/>
        <w:t>чае, формально, прошу Вас лично ознакомиться с краткими сведени</w:t>
      </w:r>
      <w:r w:rsidRPr="00722885">
        <w:rPr>
          <w:color w:val="000000" w:themeColor="text1"/>
          <w:sz w:val="16"/>
          <w:szCs w:val="16"/>
        </w:rPr>
        <w:softHyphen/>
        <w:t>ями о машине и дать свое заключе</w:t>
      </w:r>
      <w:r w:rsidRPr="00722885">
        <w:rPr>
          <w:color w:val="000000" w:themeColor="text1"/>
          <w:sz w:val="16"/>
          <w:szCs w:val="16"/>
        </w:rPr>
        <w:softHyphen/>
        <w:t>ние о возможности использования этого типа самолета».</w:t>
      </w:r>
    </w:p>
    <w:p w14:paraId="04C8FCEA" w14:textId="77777777" w:rsidR="00085211" w:rsidRPr="00722885" w:rsidRDefault="0008521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защиту своего предложения Москалев приводил следующие доводы. На суд специалистов НИИ ВВС представлялся «не проект са</w:t>
      </w:r>
      <w:r w:rsidRPr="00722885">
        <w:rPr>
          <w:color w:val="000000" w:themeColor="text1"/>
          <w:sz w:val="16"/>
          <w:szCs w:val="16"/>
        </w:rPr>
        <w:softHyphen/>
        <w:t>молета, а проект добавочного во</w:t>
      </w:r>
      <w:r w:rsidRPr="00722885">
        <w:rPr>
          <w:color w:val="000000" w:themeColor="text1"/>
          <w:sz w:val="16"/>
          <w:szCs w:val="16"/>
        </w:rPr>
        <w:softHyphen/>
        <w:t>оружения существующей машины». Именно поэтому в проекте и не было «достаточных теоретических материалов для обоснования весо</w:t>
      </w:r>
      <w:r w:rsidRPr="00722885">
        <w:rPr>
          <w:color w:val="000000" w:themeColor="text1"/>
          <w:sz w:val="16"/>
          <w:szCs w:val="16"/>
        </w:rPr>
        <w:softHyphen/>
        <w:t>вых летных данных как для вновь строящегося самолета». Отмечалось, что полетный вес 1293 кг является весом, с которым самолет САМ-14 с МВ-4 прошел государственные испыта</w:t>
      </w:r>
      <w:r w:rsidRPr="00722885">
        <w:rPr>
          <w:color w:val="000000" w:themeColor="text1"/>
          <w:sz w:val="16"/>
          <w:szCs w:val="16"/>
        </w:rPr>
        <w:softHyphen/>
        <w:t>ния в НИИ ГВФ в 1940 г. и был рекомендован в се</w:t>
      </w:r>
      <w:r w:rsidRPr="00722885">
        <w:rPr>
          <w:color w:val="000000" w:themeColor="text1"/>
          <w:sz w:val="16"/>
          <w:szCs w:val="16"/>
        </w:rPr>
        <w:softHyphen/>
        <w:t>рийное производство. С этим же полетным весом самолет проходил длительную эксплуатацию, в том числе и в условиях фронта. В этой связи «утверж</w:t>
      </w:r>
      <w:r w:rsidRPr="00722885">
        <w:rPr>
          <w:color w:val="000000" w:themeColor="text1"/>
          <w:sz w:val="16"/>
          <w:szCs w:val="16"/>
        </w:rPr>
        <w:softHyphen/>
        <w:t>дение, что нормальный вес самолета САМ-14 едва ли превысит вес 1000—1100 кг, является не осно</w:t>
      </w:r>
      <w:r w:rsidRPr="00722885">
        <w:rPr>
          <w:color w:val="000000" w:themeColor="text1"/>
          <w:sz w:val="16"/>
          <w:szCs w:val="16"/>
        </w:rPr>
        <w:softHyphen/>
        <w:t>вательным». Заявленные летные данные самолета были получены при государственных испытаниях с полетным весом 1293 кг, «на что имеется матери</w:t>
      </w:r>
      <w:r w:rsidRPr="00722885">
        <w:rPr>
          <w:color w:val="000000" w:themeColor="text1"/>
          <w:sz w:val="16"/>
          <w:szCs w:val="16"/>
        </w:rPr>
        <w:softHyphen/>
        <w:t>ал». Собственно, полетный вес самолета САМ-14, 1293 кг, «был взят из формуляра и скорректирован на усиление конструкции при постановке воору</w:t>
      </w:r>
      <w:r w:rsidRPr="00722885">
        <w:rPr>
          <w:color w:val="000000" w:themeColor="text1"/>
          <w:sz w:val="16"/>
          <w:szCs w:val="16"/>
        </w:rPr>
        <w:softHyphen/>
        <w:t>жения, бронирования». С учетом этого Москалев считал, что реальный полетный вес в 1700 кг для самолета САМ-14, заявленный НИИ ВВС, «является произвольным» и ничем не обоснованным. По его мнению, сравнение САМ-14 с немецким легким са</w:t>
      </w:r>
      <w:r w:rsidRPr="00722885">
        <w:rPr>
          <w:color w:val="000000" w:themeColor="text1"/>
          <w:sz w:val="16"/>
          <w:szCs w:val="16"/>
        </w:rPr>
        <w:softHyphen/>
        <w:t>молетом «Аист» вполне правомерно. Так, «основная дужка крыла «Аиста» и САМ-14 — одинакова». Аэро</w:t>
      </w:r>
      <w:r w:rsidRPr="00722885">
        <w:rPr>
          <w:color w:val="000000" w:themeColor="text1"/>
          <w:sz w:val="16"/>
          <w:szCs w:val="16"/>
        </w:rPr>
        <w:softHyphen/>
        <w:t>динамическое качество «Аиста» «чуть ли не вдвое меньше САМ-14 — нагрузка на квадратный метр одинакова, а нагрузка на мощность может в доста</w:t>
      </w:r>
      <w:r w:rsidRPr="00722885">
        <w:rPr>
          <w:color w:val="000000" w:themeColor="text1"/>
          <w:sz w:val="16"/>
          <w:szCs w:val="16"/>
        </w:rPr>
        <w:softHyphen/>
        <w:t>точной степени компенсироваться аэродинамиче</w:t>
      </w:r>
      <w:r w:rsidRPr="00722885">
        <w:rPr>
          <w:color w:val="000000" w:themeColor="text1"/>
          <w:sz w:val="16"/>
          <w:szCs w:val="16"/>
        </w:rPr>
        <w:softHyphen/>
        <w:t>ским качеством самолета». Для оценки реальности заявленных в проекте летных данных самолета САМ-14 Москалев предлагал «не заниматься расче</w:t>
      </w:r>
      <w:r w:rsidRPr="00722885">
        <w:rPr>
          <w:color w:val="000000" w:themeColor="text1"/>
          <w:sz w:val="16"/>
          <w:szCs w:val="16"/>
        </w:rPr>
        <w:softHyphen/>
        <w:t>тами по приближенным формулами, а ознакомить ся с имеющимися материалами государственных испытаний и эксплуатации самолета. Одновремен</w:t>
      </w:r>
      <w:r w:rsidRPr="00722885">
        <w:rPr>
          <w:color w:val="000000" w:themeColor="text1"/>
          <w:sz w:val="16"/>
          <w:szCs w:val="16"/>
        </w:rPr>
        <w:softHyphen/>
        <w:t>но Москалев, используя приближенные формулы из «Справочника авиаконструктора. Том 1. Аэроди</w:t>
      </w:r>
      <w:r w:rsidRPr="00722885">
        <w:rPr>
          <w:color w:val="000000" w:themeColor="text1"/>
          <w:sz w:val="16"/>
          <w:szCs w:val="16"/>
        </w:rPr>
        <w:softHyphen/>
        <w:t>намика самолета» (1937 г.), простым расчетом полу</w:t>
      </w:r>
      <w:r w:rsidRPr="00722885">
        <w:rPr>
          <w:color w:val="000000" w:themeColor="text1"/>
          <w:sz w:val="16"/>
          <w:szCs w:val="16"/>
        </w:rPr>
        <w:softHyphen/>
        <w:t>чил «сходимые данные» с проектом: максимальная скорость — 223 км/ч (вместо 220 км/ч по проекту), посадочная скорость — 69 км/ч, дальность полета на крейсерской скорости — 650 км (вместо 620 км, показанных в проекте). По заявлению Москалева, длина разбега в 180 м была им взята из материа</w:t>
      </w:r>
      <w:r w:rsidRPr="00722885">
        <w:rPr>
          <w:color w:val="000000" w:themeColor="text1"/>
          <w:sz w:val="16"/>
          <w:szCs w:val="16"/>
        </w:rPr>
        <w:softHyphen/>
        <w:t>лов государственных испытаний самолета САМ-14, тогда как «применяемая НИИ формула» для расче</w:t>
      </w:r>
      <w:r w:rsidRPr="00722885">
        <w:rPr>
          <w:color w:val="000000" w:themeColor="text1"/>
          <w:sz w:val="16"/>
          <w:szCs w:val="16"/>
        </w:rPr>
        <w:softHyphen/>
        <w:t>та длины разбега самолета «весьма приближенная, чтобы ей верить больше, чем материалам госиспы</w:t>
      </w:r>
      <w:r w:rsidRPr="00722885">
        <w:rPr>
          <w:color w:val="000000" w:themeColor="text1"/>
          <w:sz w:val="16"/>
          <w:szCs w:val="16"/>
        </w:rPr>
        <w:softHyphen/>
        <w:t>таний». Что касается недостаточного бронирова</w:t>
      </w:r>
      <w:r w:rsidRPr="00722885">
        <w:rPr>
          <w:color w:val="000000" w:themeColor="text1"/>
          <w:sz w:val="16"/>
          <w:szCs w:val="16"/>
        </w:rPr>
        <w:softHyphen/>
        <w:t>ния САМ-14ш, то вполне справедливо указывалось на неправомерность сравнения со штурмовиком Ил-2. В отличие от «летающего танка» Ильюшина штурмовой вариант САМ-14 предполагалось при</w:t>
      </w:r>
      <w:r w:rsidRPr="00722885">
        <w:rPr>
          <w:color w:val="000000" w:themeColor="text1"/>
          <w:sz w:val="16"/>
          <w:szCs w:val="16"/>
        </w:rPr>
        <w:softHyphen/>
        <w:t>менять для действий по противнику главным об</w:t>
      </w:r>
      <w:r w:rsidRPr="00722885">
        <w:rPr>
          <w:color w:val="000000" w:themeColor="text1"/>
          <w:sz w:val="16"/>
          <w:szCs w:val="16"/>
        </w:rPr>
        <w:softHyphen/>
        <w:t>разом ночью. По этой причине считалось вполне достаточным, если броня «предохраняет от ружей- но-пулеметного огня».</w:t>
      </w:r>
    </w:p>
    <w:p w14:paraId="2D9B4C37" w14:textId="77777777" w:rsidR="00085211" w:rsidRPr="00722885" w:rsidRDefault="0008521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Получив «Замечания...» и «Краткие сведения о самолете типа САМ-14-Ш», генерал-лейтенант А. К. Репин поручил подготовить ответ своему заме</w:t>
      </w:r>
      <w:r w:rsidRPr="00722885">
        <w:rPr>
          <w:color w:val="000000" w:themeColor="text1"/>
          <w:sz w:val="16"/>
          <w:szCs w:val="16"/>
        </w:rPr>
        <w:softHyphen/>
        <w:t>стителю бригинженеру А. А. Лапину, а тот переадре</w:t>
      </w:r>
      <w:r w:rsidRPr="00722885">
        <w:rPr>
          <w:color w:val="000000" w:themeColor="text1"/>
          <w:sz w:val="16"/>
          <w:szCs w:val="16"/>
        </w:rPr>
        <w:softHyphen/>
        <w:t>совал задание. начальнику НИИ ВВС генерал-май</w:t>
      </w:r>
      <w:r w:rsidRPr="00722885">
        <w:rPr>
          <w:color w:val="000000" w:themeColor="text1"/>
          <w:sz w:val="16"/>
          <w:szCs w:val="16"/>
        </w:rPr>
        <w:softHyphen/>
        <w:t>ору П. А. Лосюкову.</w:t>
      </w:r>
    </w:p>
    <w:p w14:paraId="39C79E17" w14:textId="77777777" w:rsidR="00085211" w:rsidRPr="00722885" w:rsidRDefault="0008521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Ответ НИИ ВВС был очевидным. В докладной за</w:t>
      </w:r>
      <w:r w:rsidRPr="00722885">
        <w:rPr>
          <w:color w:val="000000" w:themeColor="text1"/>
          <w:sz w:val="16"/>
          <w:szCs w:val="16"/>
        </w:rPr>
        <w:softHyphen/>
        <w:t>писке от 15 сентября на имя Репина генерал Лосю- ков собственноручно написал: «К заключению, дан</w:t>
      </w:r>
      <w:r w:rsidRPr="00722885">
        <w:rPr>
          <w:color w:val="000000" w:themeColor="text1"/>
          <w:sz w:val="16"/>
          <w:szCs w:val="16"/>
        </w:rPr>
        <w:softHyphen/>
        <w:t>ному НИИ ВВС КА и утвержденному Вами, добавить ничего не могу. Прошу заключение оставить в силе. Экз. заключения есть в УОС».</w:t>
      </w:r>
    </w:p>
    <w:p w14:paraId="3A08B677" w14:textId="77777777" w:rsidR="00085211" w:rsidRPr="00722885" w:rsidRDefault="0008521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доклада генералу Репину основных ре</w:t>
      </w:r>
      <w:r w:rsidRPr="00722885">
        <w:rPr>
          <w:color w:val="000000" w:themeColor="text1"/>
          <w:sz w:val="16"/>
          <w:szCs w:val="16"/>
        </w:rPr>
        <w:softHyphen/>
        <w:t>зультатов и всех обстоятельств подготовки заклю</w:t>
      </w:r>
      <w:r w:rsidRPr="00722885">
        <w:rPr>
          <w:color w:val="000000" w:themeColor="text1"/>
          <w:sz w:val="16"/>
          <w:szCs w:val="16"/>
        </w:rPr>
        <w:softHyphen/>
        <w:t>чения НИИ ВВС по самолету САМ-14ш «Главному конструктору завода № 499 тов. Москалеву» за под</w:t>
      </w:r>
      <w:r w:rsidRPr="00722885">
        <w:rPr>
          <w:color w:val="000000" w:themeColor="text1"/>
          <w:sz w:val="16"/>
          <w:szCs w:val="16"/>
        </w:rPr>
        <w:softHyphen/>
        <w:t>писью бригинженера Лапина ушел ответ следующе</w:t>
      </w:r>
      <w:r w:rsidRPr="00722885">
        <w:rPr>
          <w:color w:val="000000" w:themeColor="text1"/>
          <w:sz w:val="16"/>
          <w:szCs w:val="16"/>
        </w:rPr>
        <w:softHyphen/>
        <w:t>го содержания: «По присланному Вами материалу с предложением об использовании в ВВС Красной Армии самолета САМ-14 в варианте легкого ночно</w:t>
      </w:r>
      <w:r w:rsidRPr="00722885">
        <w:rPr>
          <w:color w:val="000000" w:themeColor="text1"/>
          <w:sz w:val="16"/>
          <w:szCs w:val="16"/>
        </w:rPr>
        <w:softHyphen/>
        <w:t>го штурмовика сообщаю, что заключение НИИ ВВС КА, данное по этому предложению, остается в си</w:t>
      </w:r>
      <w:r w:rsidRPr="00722885">
        <w:rPr>
          <w:color w:val="000000" w:themeColor="text1"/>
          <w:sz w:val="16"/>
          <w:szCs w:val="16"/>
        </w:rPr>
        <w:softHyphen/>
        <w:t>ле». Самолет САМ-14ш не строился (17500).</w:t>
      </w:r>
    </w:p>
    <w:p w14:paraId="7B4CD276" w14:textId="77777777" w:rsidR="00085211" w:rsidRPr="00722885" w:rsidRDefault="00085211" w:rsidP="00722885">
      <w:pPr>
        <w:spacing w:after="0" w:line="240" w:lineRule="auto"/>
        <w:jc w:val="both"/>
        <w:rPr>
          <w:rFonts w:ascii="Times New Roman" w:hAnsi="Times New Roman"/>
          <w:color w:val="000000" w:themeColor="text1"/>
          <w:sz w:val="16"/>
          <w:szCs w:val="16"/>
        </w:rPr>
      </w:pPr>
    </w:p>
    <w:p w14:paraId="41A678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сентября 1942 вышло Постановление ГКО № 2234 О вывозе нефтепродуктов из Баку и Грозного на Красноводск и Гурьев в сентябре 1942 г. и мерах по его обеспечению. РГАНИР, Фонд ГКО, д. 54, лл. 102-106 (11012).</w:t>
      </w:r>
    </w:p>
    <w:p w14:paraId="2A6368D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2BAB62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сентября 1942 вышло Постановление ГКО № 2235 О дополнительных мерах по материально-техническому обеспечению Наркомавиапрома в сентябре 1942 года. РГАНИР, Фонд ГКО, д. 54, лл. 107-111, 112-126 (11012).</w:t>
      </w:r>
    </w:p>
    <w:p w14:paraId="0FEB0E8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798028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сентября 1942 вышло Постановление ГКО № 2236 Об изготовлении аэросаней для Красной Армии. РГАНИР, Фонд ГКО, д. 54, лл. 127-130, 131-153 (11012).</w:t>
      </w:r>
    </w:p>
    <w:p w14:paraId="2DA6514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08824BF" w14:textId="77777777" w:rsidR="002E3F5E" w:rsidRPr="00722885" w:rsidRDefault="002E3F5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сентября 1942 вышло Постановление ГКО № 2236 Об изготовлении аэросаней для Красной Армии</w:t>
      </w:r>
    </w:p>
    <w:p w14:paraId="61F69012" w14:textId="77777777" w:rsidR="002E3F5E" w:rsidRPr="00722885" w:rsidRDefault="002E3F5E"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1. Обязать Наскоилес СССР т.Салтыкова, Нарклмречфлот т. Ишкова, Наркомрыбпром СССР т.Юшкова изготовить и сдать ло до 1 января 1943 </w:t>
      </w:r>
      <w:r w:rsidRPr="00722885">
        <w:rPr>
          <w:rStyle w:val="6pt"/>
          <w:rFonts w:ascii="Times New Roman" w:hAnsi="Times New Roman" w:cs="Times New Roman"/>
          <w:color w:val="000000" w:themeColor="text1"/>
          <w:spacing w:val="0"/>
          <w:sz w:val="16"/>
          <w:szCs w:val="16"/>
        </w:rPr>
        <w:t>года</w:t>
      </w:r>
      <w:r w:rsidRPr="00722885">
        <w:rPr>
          <w:rFonts w:ascii="Times New Roman" w:hAnsi="Times New Roman" w:cs="Times New Roman"/>
          <w:color w:val="000000" w:themeColor="text1"/>
          <w:sz w:val="16"/>
          <w:szCs w:val="16"/>
        </w:rPr>
        <w:t xml:space="preserve"> 1000 транспортных аэросаней НКЛ-16 улучшенной конструкции образца 1942 года, в том числе:</w:t>
      </w:r>
    </w:p>
    <w:p w14:paraId="4B01F6D4" w14:textId="77777777" w:rsidR="002E3F5E" w:rsidRPr="00722885" w:rsidRDefault="002E3F5E" w:rsidP="00722885">
      <w:pPr>
        <w:pStyle w:val="5f2"/>
        <w:shd w:val="clear" w:color="auto" w:fill="auto"/>
        <w:tabs>
          <w:tab w:val="left" w:pos="2700"/>
          <w:tab w:val="left" w:pos="3788"/>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ab/>
        <w:t>сентяорь</w:t>
      </w:r>
      <w:r w:rsidRPr="00722885">
        <w:rPr>
          <w:rFonts w:ascii="Times New Roman" w:hAnsi="Times New Roman" w:cs="Times New Roman"/>
          <w:color w:val="000000" w:themeColor="text1"/>
          <w:sz w:val="16"/>
          <w:szCs w:val="16"/>
        </w:rPr>
        <w:tab/>
        <w:t>октябрь</w:t>
      </w:r>
      <w:r w:rsidRPr="00722885">
        <w:rPr>
          <w:rFonts w:ascii="Times New Roman" w:hAnsi="Times New Roman" w:cs="Times New Roman"/>
          <w:color w:val="000000" w:themeColor="text1"/>
          <w:sz w:val="16"/>
          <w:szCs w:val="16"/>
        </w:rPr>
        <w:tab/>
        <w:t>ноябрь</w:t>
      </w:r>
      <w:r w:rsidRPr="00722885">
        <w:rPr>
          <w:rFonts w:ascii="Times New Roman" w:hAnsi="Times New Roman" w:cs="Times New Roman"/>
          <w:color w:val="000000" w:themeColor="text1"/>
          <w:sz w:val="16"/>
          <w:szCs w:val="16"/>
        </w:rPr>
        <w:tab/>
        <w:t>декабрь</w:t>
      </w:r>
      <w:r w:rsidRPr="00722885">
        <w:rPr>
          <w:rFonts w:ascii="Times New Roman" w:hAnsi="Times New Roman" w:cs="Times New Roman"/>
          <w:color w:val="000000" w:themeColor="text1"/>
          <w:sz w:val="16"/>
          <w:szCs w:val="16"/>
        </w:rPr>
        <w:tab/>
        <w:t>всего</w:t>
      </w:r>
    </w:p>
    <w:p w14:paraId="2566F943" w14:textId="77777777" w:rsidR="002E3F5E" w:rsidRPr="00722885" w:rsidRDefault="002E3F5E" w:rsidP="00722885">
      <w:pPr>
        <w:pStyle w:val="5f2"/>
        <w:shd w:val="clear" w:color="auto" w:fill="auto"/>
        <w:tabs>
          <w:tab w:val="left" w:pos="2700"/>
          <w:tab w:val="left" w:pos="3788"/>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Наркомлес СССР</w:t>
      </w:r>
      <w:r w:rsidRPr="00722885">
        <w:rPr>
          <w:rFonts w:ascii="Times New Roman" w:hAnsi="Times New Roman" w:cs="Times New Roman"/>
          <w:color w:val="000000" w:themeColor="text1"/>
          <w:sz w:val="16"/>
          <w:szCs w:val="16"/>
        </w:rPr>
        <w:tab/>
        <w:t>100</w:t>
      </w:r>
      <w:r w:rsidRPr="00722885">
        <w:rPr>
          <w:rFonts w:ascii="Times New Roman" w:hAnsi="Times New Roman" w:cs="Times New Roman"/>
          <w:color w:val="000000" w:themeColor="text1"/>
          <w:sz w:val="16"/>
          <w:szCs w:val="16"/>
        </w:rPr>
        <w:tab/>
        <w:t>150</w:t>
      </w:r>
      <w:r w:rsidRPr="00722885">
        <w:rPr>
          <w:rFonts w:ascii="Times New Roman" w:hAnsi="Times New Roman" w:cs="Times New Roman"/>
          <w:color w:val="000000" w:themeColor="text1"/>
          <w:sz w:val="16"/>
          <w:szCs w:val="16"/>
        </w:rPr>
        <w:tab/>
        <w:t>170</w:t>
      </w:r>
      <w:r w:rsidRPr="00722885">
        <w:rPr>
          <w:rFonts w:ascii="Times New Roman" w:hAnsi="Times New Roman" w:cs="Times New Roman"/>
          <w:color w:val="000000" w:themeColor="text1"/>
          <w:sz w:val="16"/>
          <w:szCs w:val="16"/>
        </w:rPr>
        <w:tab/>
        <w:t>150</w:t>
      </w:r>
      <w:r w:rsidRPr="00722885">
        <w:rPr>
          <w:rFonts w:ascii="Times New Roman" w:hAnsi="Times New Roman" w:cs="Times New Roman"/>
          <w:color w:val="000000" w:themeColor="text1"/>
          <w:sz w:val="16"/>
          <w:szCs w:val="16"/>
        </w:rPr>
        <w:tab/>
        <w:t>550</w:t>
      </w:r>
    </w:p>
    <w:p w14:paraId="7A75356F" w14:textId="77777777" w:rsidR="002E3F5E" w:rsidRPr="00722885" w:rsidRDefault="002E3F5E" w:rsidP="00722885">
      <w:pPr>
        <w:pStyle w:val="5f2"/>
        <w:shd w:val="clear" w:color="auto" w:fill="auto"/>
        <w:tabs>
          <w:tab w:val="left" w:pos="2940"/>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Наркомречфлот</w:t>
      </w:r>
      <w:r w:rsidRPr="00722885">
        <w:rPr>
          <w:rFonts w:ascii="Times New Roman" w:hAnsi="Times New Roman" w:cs="Times New Roman"/>
          <w:color w:val="000000" w:themeColor="text1"/>
          <w:sz w:val="16"/>
          <w:szCs w:val="16"/>
        </w:rPr>
        <w:tab/>
        <w:t>- 100</w:t>
      </w:r>
      <w:r w:rsidRPr="00722885">
        <w:rPr>
          <w:rFonts w:ascii="Times New Roman" w:hAnsi="Times New Roman" w:cs="Times New Roman"/>
          <w:color w:val="000000" w:themeColor="text1"/>
          <w:sz w:val="16"/>
          <w:szCs w:val="16"/>
        </w:rPr>
        <w:tab/>
        <w:t>130</w:t>
      </w:r>
      <w:r w:rsidRPr="00722885">
        <w:rPr>
          <w:rFonts w:ascii="Times New Roman" w:hAnsi="Times New Roman" w:cs="Times New Roman"/>
          <w:color w:val="000000" w:themeColor="text1"/>
          <w:sz w:val="16"/>
          <w:szCs w:val="16"/>
        </w:rPr>
        <w:tab/>
        <w:t>130</w:t>
      </w:r>
      <w:r w:rsidRPr="00722885">
        <w:rPr>
          <w:rFonts w:ascii="Times New Roman" w:hAnsi="Times New Roman" w:cs="Times New Roman"/>
          <w:color w:val="000000" w:themeColor="text1"/>
          <w:sz w:val="16"/>
          <w:szCs w:val="16"/>
        </w:rPr>
        <w:tab/>
        <w:t>350</w:t>
      </w:r>
    </w:p>
    <w:p w14:paraId="7D8FE911" w14:textId="77777777" w:rsidR="002E3F5E" w:rsidRPr="00722885" w:rsidRDefault="002E3F5E" w:rsidP="00722885">
      <w:pPr>
        <w:pStyle w:val="5f2"/>
        <w:shd w:val="clear" w:color="auto" w:fill="auto"/>
        <w:tabs>
          <w:tab w:val="left" w:pos="3908"/>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Наркрмрыбпром СССР</w:t>
      </w:r>
      <w:r w:rsidRPr="00722885">
        <w:rPr>
          <w:rFonts w:ascii="Times New Roman" w:hAnsi="Times New Roman" w:cs="Times New Roman"/>
          <w:color w:val="000000" w:themeColor="text1"/>
          <w:sz w:val="16"/>
          <w:szCs w:val="16"/>
        </w:rPr>
        <w:tab/>
        <w:t>-</w:t>
      </w:r>
      <w:r w:rsidRPr="00722885">
        <w:rPr>
          <w:rFonts w:ascii="Times New Roman" w:hAnsi="Times New Roman" w:cs="Times New Roman"/>
          <w:color w:val="000000" w:themeColor="text1"/>
          <w:sz w:val="16"/>
          <w:szCs w:val="16"/>
        </w:rPr>
        <w:tab/>
        <w:t>30</w:t>
      </w:r>
      <w:r w:rsidRPr="00722885">
        <w:rPr>
          <w:rFonts w:ascii="Times New Roman" w:hAnsi="Times New Roman" w:cs="Times New Roman"/>
          <w:color w:val="000000" w:themeColor="text1"/>
          <w:sz w:val="16"/>
          <w:szCs w:val="16"/>
        </w:rPr>
        <w:tab/>
        <w:t>40</w:t>
      </w:r>
      <w:r w:rsidRPr="00722885">
        <w:rPr>
          <w:rFonts w:ascii="Times New Roman" w:hAnsi="Times New Roman" w:cs="Times New Roman"/>
          <w:color w:val="000000" w:themeColor="text1"/>
          <w:sz w:val="16"/>
          <w:szCs w:val="16"/>
        </w:rPr>
        <w:tab/>
        <w:t>30</w:t>
      </w:r>
      <w:r w:rsidRPr="00722885">
        <w:rPr>
          <w:rFonts w:ascii="Times New Roman" w:hAnsi="Times New Roman" w:cs="Times New Roman"/>
          <w:color w:val="000000" w:themeColor="text1"/>
          <w:sz w:val="16"/>
          <w:szCs w:val="16"/>
        </w:rPr>
        <w:tab/>
        <w:t>100</w:t>
      </w:r>
    </w:p>
    <w:p w14:paraId="14ED3A39" w14:textId="77777777" w:rsidR="002E3F5E" w:rsidRPr="00722885" w:rsidRDefault="002E3F5E" w:rsidP="00722885">
      <w:pPr>
        <w:pStyle w:val="5f2"/>
        <w:shd w:val="clear" w:color="auto" w:fill="auto"/>
        <w:tabs>
          <w:tab w:val="left" w:pos="2553"/>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Итого</w:t>
      </w:r>
      <w:r w:rsidRPr="00722885">
        <w:rPr>
          <w:rFonts w:ascii="Times New Roman" w:hAnsi="Times New Roman" w:cs="Times New Roman"/>
          <w:color w:val="000000" w:themeColor="text1"/>
          <w:sz w:val="16"/>
          <w:szCs w:val="16"/>
        </w:rPr>
        <w:tab/>
      </w:r>
      <w:r w:rsidRPr="00722885">
        <w:rPr>
          <w:rFonts w:ascii="Times New Roman" w:hAnsi="Times New Roman" w:cs="Times New Roman"/>
          <w:color w:val="000000" w:themeColor="text1"/>
          <w:sz w:val="16"/>
          <w:szCs w:val="16"/>
        </w:rPr>
        <w:tab/>
        <w:t>100</w:t>
      </w:r>
      <w:r w:rsidRPr="00722885">
        <w:rPr>
          <w:rFonts w:ascii="Times New Roman" w:hAnsi="Times New Roman" w:cs="Times New Roman"/>
          <w:color w:val="000000" w:themeColor="text1"/>
          <w:sz w:val="16"/>
          <w:szCs w:val="16"/>
        </w:rPr>
        <w:tab/>
        <w:t>260</w:t>
      </w:r>
      <w:r w:rsidRPr="00722885">
        <w:rPr>
          <w:rFonts w:ascii="Times New Roman" w:hAnsi="Times New Roman" w:cs="Times New Roman"/>
          <w:color w:val="000000" w:themeColor="text1"/>
          <w:sz w:val="16"/>
          <w:szCs w:val="16"/>
        </w:rPr>
        <w:tab/>
        <w:t>340</w:t>
      </w:r>
      <w:r w:rsidRPr="00722885">
        <w:rPr>
          <w:rFonts w:ascii="Times New Roman" w:hAnsi="Times New Roman" w:cs="Times New Roman"/>
          <w:color w:val="000000" w:themeColor="text1"/>
          <w:sz w:val="16"/>
          <w:szCs w:val="16"/>
        </w:rPr>
        <w:tab/>
        <w:t>300</w:t>
      </w:r>
      <w:r w:rsidRPr="00722885">
        <w:rPr>
          <w:rFonts w:ascii="Times New Roman" w:hAnsi="Times New Roman" w:cs="Times New Roman"/>
          <w:color w:val="000000" w:themeColor="text1"/>
          <w:sz w:val="16"/>
          <w:szCs w:val="16"/>
        </w:rPr>
        <w:tab/>
        <w:t>1000</w:t>
      </w:r>
    </w:p>
    <w:p w14:paraId="6BDF58B9" w14:textId="77777777" w:rsidR="002E3F5E" w:rsidRPr="00722885" w:rsidRDefault="002E3F5E"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 Разрешить Нархомлесу СССР и Наркомрыбпрэму СССР доделать и сдать НКО в счет плана, установленного ст.1 на</w:t>
      </w:r>
      <w:r w:rsidRPr="00722885">
        <w:rPr>
          <w:rFonts w:ascii="Times New Roman" w:hAnsi="Times New Roman" w:cs="Times New Roman"/>
          <w:color w:val="000000" w:themeColor="text1"/>
          <w:sz w:val="16"/>
          <w:szCs w:val="16"/>
        </w:rPr>
        <w:softHyphen/>
        <w:t>стоящего постановления 200 транспортных аэросаней НКЛ-16 образца 1941 года, оставшихся в заделе, в том числе: по Наркомлесу СССР 150 штук и Наркомрыбпрому СССР 50 штук, с вне</w:t>
      </w:r>
      <w:r w:rsidRPr="00722885">
        <w:rPr>
          <w:rFonts w:ascii="Times New Roman" w:hAnsi="Times New Roman" w:cs="Times New Roman"/>
          <w:color w:val="000000" w:themeColor="text1"/>
          <w:sz w:val="16"/>
          <w:szCs w:val="16"/>
        </w:rPr>
        <w:softHyphen/>
        <w:t>сением в конструкцию указанных аэросаней следующих изменений:</w:t>
      </w:r>
    </w:p>
    <w:p w14:paraId="725B9E00" w14:textId="77777777" w:rsidR="002E3F5E" w:rsidRPr="00722885" w:rsidRDefault="002E3F5E" w:rsidP="00722885">
      <w:pPr>
        <w:pStyle w:val="5f2"/>
        <w:shd w:val="clear" w:color="auto" w:fill="auto"/>
        <w:tabs>
          <w:tab w:val="left" w:pos="1013"/>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а) поставить вторую боковую дверь для входа и выхода экипажа;</w:t>
      </w:r>
    </w:p>
    <w:p w14:paraId="3FC95C50" w14:textId="77777777" w:rsidR="002E3F5E" w:rsidRPr="00722885" w:rsidRDefault="002E3F5E" w:rsidP="00722885">
      <w:pPr>
        <w:pStyle w:val="5f2"/>
        <w:shd w:val="clear" w:color="auto" w:fill="auto"/>
        <w:tabs>
          <w:tab w:val="left" w:pos="993"/>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 сделать верхний закрывающийся люк для наблюдения;</w:t>
      </w:r>
    </w:p>
    <w:p w14:paraId="2AE73BB6" w14:textId="77777777" w:rsidR="002E3F5E" w:rsidRPr="00722885" w:rsidRDefault="002E3F5E" w:rsidP="00722885">
      <w:pPr>
        <w:pStyle w:val="5f2"/>
        <w:shd w:val="clear" w:color="auto" w:fill="auto"/>
        <w:tabs>
          <w:tab w:val="left" w:pos="985"/>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улучшить запуск мотора при низкие температурах воздуха;</w:t>
      </w:r>
    </w:p>
    <w:p w14:paraId="03EA7602" w14:textId="77777777" w:rsidR="002E3F5E" w:rsidRPr="00722885" w:rsidRDefault="002E3F5E" w:rsidP="00722885">
      <w:pPr>
        <w:pStyle w:val="5f2"/>
        <w:shd w:val="clear" w:color="auto" w:fill="auto"/>
        <w:tabs>
          <w:tab w:val="left" w:pos="1020"/>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г) поставить ограничители, предотвращающие перевертыва</w:t>
      </w:r>
      <w:r w:rsidRPr="00722885">
        <w:rPr>
          <w:rFonts w:ascii="Times New Roman" w:hAnsi="Times New Roman" w:cs="Times New Roman"/>
          <w:color w:val="000000" w:themeColor="text1"/>
          <w:sz w:val="16"/>
          <w:szCs w:val="16"/>
        </w:rPr>
        <w:softHyphen/>
        <w:t>ние лыж в вертикальной плоскости...(19358).</w:t>
      </w:r>
    </w:p>
    <w:p w14:paraId="54BDE9BE" w14:textId="77777777" w:rsidR="002E3F5E" w:rsidRPr="00722885" w:rsidRDefault="002E3F5E" w:rsidP="00722885">
      <w:pPr>
        <w:spacing w:after="0" w:line="240" w:lineRule="auto"/>
        <w:jc w:val="both"/>
        <w:rPr>
          <w:rFonts w:ascii="Times New Roman" w:hAnsi="Times New Roman"/>
          <w:color w:val="000000" w:themeColor="text1"/>
          <w:sz w:val="16"/>
          <w:szCs w:val="16"/>
        </w:rPr>
      </w:pPr>
    </w:p>
    <w:p w14:paraId="14BCEEA6" w14:textId="77777777" w:rsidR="00FB3F8B" w:rsidRPr="00722885" w:rsidRDefault="00FB3F8B" w:rsidP="00722885">
      <w:pPr>
        <w:spacing w:after="0" w:line="240" w:lineRule="auto"/>
        <w:jc w:val="both"/>
        <w:rPr>
          <w:rFonts w:ascii="Times New Roman" w:hAnsi="Times New Roman"/>
          <w:color w:val="000000" w:themeColor="text1"/>
          <w:sz w:val="16"/>
          <w:szCs w:val="16"/>
        </w:rPr>
      </w:pPr>
    </w:p>
    <w:p w14:paraId="2F1C1A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сентября 1942 ви3р Ф.Бабакин писал Начальнику ГОМТ и-п т. Фомину (по поводу войсковых испытаний Ла-5, который упомянут как ЛаГГ-5):</w:t>
      </w:r>
    </w:p>
    <w:p w14:paraId="643F71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Доношу о работе с 14 по 20 августа</w:t>
      </w:r>
    </w:p>
    <w:p w14:paraId="70FF31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20 августа осталось из 19 только 10</w:t>
      </w:r>
    </w:p>
    <w:p w14:paraId="092D1A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Потери: а) сбито над линией боя - 4 самолета (один л вернулся)</w:t>
      </w:r>
    </w:p>
    <w:p w14:paraId="226793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подбито и вернулось на свою территорию - 4</w:t>
      </w:r>
    </w:p>
    <w:p w14:paraId="7A8379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авария самолета из-за масляного голодания - 1 (см. акт оти 18 августа)</w:t>
      </w:r>
    </w:p>
    <w:p w14:paraId="20E59F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Все подбитые самолеты имеют большие повреждения плоскостей, фюзеляжа и особенно хвостового операния от истребителей противника (М-109Ф). Во всех 4-х случаях моторы работиали безупречно, благодаря чему л и вернулись на свою территори. Моторы все в исправности. Самолеты ремонту не подлежат.</w:t>
      </w:r>
    </w:p>
    <w:p w14:paraId="2437B5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Основные дефекты за это время:</w:t>
      </w:r>
    </w:p>
    <w:p w14:paraId="083534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Разрушение втулки гл. Шатуна по причине масляного голодания - 1 сл. (см. акт).</w:t>
      </w:r>
    </w:p>
    <w:p w14:paraId="7C3E61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течь маслобаков по сварке заборных трубок - 3 лучая</w:t>
      </w:r>
    </w:p>
    <w:p w14:paraId="0033BB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течь бензобаков в местах электроточечной сварки профиля жесткости (отрываются) - 2 случая</w:t>
      </w:r>
    </w:p>
    <w:p w14:paraId="5BABD9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Отказ в работе синхронизатора (сработался ролик включения синхронизатора вследствие его низких механических качеств - мала твердость) - 2 случая</w:t>
      </w:r>
    </w:p>
    <w:p w14:paraId="6AB5044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при посадке сломался костыль - 1 случай</w:t>
      </w:r>
    </w:p>
    <w:p w14:paraId="3D72F3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срыв замков “дзус” верхнего капота мотора - 1 случай</w:t>
      </w:r>
    </w:p>
    <w:p w14:paraId="7DEA28E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прогар выхл. Коллектолра по отбортовке цил. № 12 - 1 случай</w:t>
      </w:r>
    </w:p>
    <w:p w14:paraId="1B2FF3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отказ свечей через 10-20 часов работы и плохой контроль их при приемке, вследствие чего при первой постановке некоторые свечи требуют замены (новые),</w:t>
      </w:r>
    </w:p>
    <w:p w14:paraId="19909C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Пеерекачка масла при работе на малызх оборотах - 1 случай. Заменили помпы ИИ-5 - дефект не устране, самолет летает</w:t>
      </w:r>
    </w:p>
    <w:p w14:paraId="5BE1F8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выбивание масла из суфлирующей трубки маслобака при заливке в бак масла больше 40 кг, а также при выполнении воздушного боя и при пикировании - на большинстве самолетов</w:t>
      </w:r>
    </w:p>
    <w:p w14:paraId="070492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Моторы наработали с начала эксплуатации по 20-25 часов (в среднем). Эксплуатируются на топливе 3,2Б-70 (с присадкой импортнойВ-20) и масла МС.</w:t>
      </w:r>
    </w:p>
    <w:p w14:paraId="556A24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Запуск и эксплоатация мотора значительно легче, чем на ЛаГГ-3.</w:t>
      </w:r>
    </w:p>
    <w:p w14:paraId="63FF22B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Техсостав и летный состав дают оценку мотору: “мотор безупречен”.</w:t>
      </w:r>
    </w:p>
    <w:p w14:paraId="4DE2CB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Вчера, т.е. 19 августа, шасть наших ЛаГГ-5 летали на прикрытие войск. Сбито 4 самолета Ю-88 и 2 подбито. Наши потери - 1 сбит над линией боя (сбит М-109Ф) и один самолет подбитый сел в 7 км. От аэродрома. Все л заявляют, что самолет очень хороший, особенно вертикальная маневренность. Пр подъеме от 109Ф не отстают. Скорость горизонтальная равна 109Ф. На виражах самолет наш лучше и легко заходит в хвост. Вообщем л говорят, что воевать одному против 2-х 109Ф можно, но на нашем участке на один самолет приходится иногда 3-4 самолета 109Ф, вот почему мы так многовато потеряли. Но задачу полк выполнил хорошо.</w:t>
      </w:r>
    </w:p>
    <w:p w14:paraId="10984B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По дефектам: Это основное - что нужно принять меря для изучения и устранения явлений, изложенных в пп. 4, 9, 10 для самолетов, выпускаемых с завода. Мы </w:t>
      </w:r>
      <w:r w:rsidRPr="00722885">
        <w:rPr>
          <w:color w:val="000000" w:themeColor="text1"/>
          <w:sz w:val="16"/>
          <w:szCs w:val="16"/>
        </w:rPr>
        <w:lastRenderedPageBreak/>
        <w:t>работаем и внимательно следим за каждым случаем и принимаем меры.</w:t>
      </w:r>
    </w:p>
    <w:p w14:paraId="3D912C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Нахожусь в 1ВА в 49 иап. Лично ни в чем не нуждаюсь, продолжаю работу (1458,50).</w:t>
      </w:r>
    </w:p>
    <w:p w14:paraId="055E1C56" w14:textId="77777777" w:rsidR="00AE7191" w:rsidRPr="00722885" w:rsidRDefault="00AE7191" w:rsidP="00722885">
      <w:pPr>
        <w:pStyle w:val="Iauiue"/>
        <w:jc w:val="both"/>
        <w:rPr>
          <w:color w:val="000000" w:themeColor="text1"/>
          <w:sz w:val="16"/>
          <w:szCs w:val="16"/>
        </w:rPr>
      </w:pPr>
    </w:p>
    <w:p w14:paraId="3BB6ED9B"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сентября 1942 г.</w:t>
      </w:r>
    </w:p>
    <w:p w14:paraId="73C62547"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ПИСЬМО ГЕРОЯ СОЦИАЛИСТИЧЕСКОГО ТРУДА АКАДЕМИКА С.А. ЧАПЛЫГИНА СЕКРЕТАРЮ НОВОСИБИРСКОГО ОБЛАСТНОГО КОМИТЕТА ВКП(б) А.В. СЕМИНУ О АЭРОДИНАМИЧЕСКОЙ ЛАБОРАТОРИИ ФИЛИАЛА ЦАГИ В г. НОВОСИБИРСКЕ</w:t>
      </w:r>
    </w:p>
    <w:p w14:paraId="13910A0F"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сентября 1942 г.</w:t>
      </w:r>
    </w:p>
    <w:p w14:paraId="3E3B9F44"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 решению ГОКО № 519с в мае 1942 года должна была войти в строй аэродинамическая лаборатория Новосибирского филиала ЦАГИ.</w:t>
      </w:r>
    </w:p>
    <w:p w14:paraId="1059C7ED"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свое время секретарь Новосибирского обкома ВКП(б) М.В. Кулагин обязал начальника 7[-го] стройтреста НКАП закончить строительство лаборатории к 1 мая. Ни это решение, ни срок, установленный ГОКО, трестом выполнен[ы] не был[и]. Работы велись недопустимо медленно, и в результате по сей день стройка не закончена. Между тем, если строительство не будет закончено в течение сентября месяца, создается угроза порчи оборудования огромной ценности, которое было привезено сюда из лабораторий ЦАГИ в Стаханове и начато монтажом в строящемся здании лаборатории, не говоря уже о невозможности пуска трубы (сейчас единственной в СССР трубы этого класса) в 1942 году.</w:t>
      </w:r>
    </w:p>
    <w:p w14:paraId="5F5788DE"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Для окончания строительства лаборатории к 1 октября с пуском трубы к XXV годовщине Октябрьской революции имеются все возможности. </w:t>
      </w:r>
    </w:p>
    <w:p w14:paraId="3C2A8836"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Объем оставшихся работ невелик, и трест, конечно, может закончить строительство лаборатории ЦАГИ без особого напряжения, учитывая весь объем его работ. Трест даже не возражает против того, что окончание стройки никаких трудностей не представляет, и на совещании у секретаря обкома ВКП(б) по авиации т. Хромова в начале августа дал заверения в окончании работ к 15 сентября и представил соответствующий график. Реально, однако, в течение августа график не выполняется, работы велись медленно и сейчас с полной уверенностью можно сказать, что к 15 сентября стройка закончиться не может (еще не началась бетонировка тела трубы). По-видимому, трест находит, что строительство трубы ЦАГИ является непервоочередным.</w:t>
      </w:r>
    </w:p>
    <w:p w14:paraId="46B8581B"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Я считаю, что такая точка зрения совершенно неправильна. В настоящее время в СССР имеется лишь одна аэродинамическая труба, пригодная для испытания моделей новых самолетов, — старая труба ЦАГИ в моей московской лаборатории. Все конструкторы вынуждены вести испытания в ней, и она не справляется с возлагающейся на нее нагрузкой. Между тем первоклассная труба, разоруженная по решению ГОКО в ЦАГИ-Стаханово, для переброски в Новосибирск до сих пор не построена и фактически, следовательно, выведена из строя.</w:t>
      </w:r>
    </w:p>
    <w:p w14:paraId="2918F181"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Я получаю запросы от главных конструкторов заводов Востока (в частности, трех конструкторских бюро Омска), а также от зам. Наркома авиапромышленности тов. Яковлева о времени пуска трубы и не могу сообщить им ничего утешительного из-за неуверенности в успешном завершении строительства при существующем отношении треста к этому делу.</w:t>
      </w:r>
    </w:p>
    <w:p w14:paraId="3CF5B8B5"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Я прошу Вас принять следующие меры:</w:t>
      </w:r>
    </w:p>
    <w:p w14:paraId="39BBBF3C"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Потребовать от 7[-го] стройтреста НКАП окончания работ по строительству аэродинамической лаборатории ЦАГИ не позднее 1 октября с.г., для чего: увеличить число арматурщиков на стройке на 4 человека к 2 сентября 1942 года; увеличить число плотников на стройке на 15 человек к 3 сентября 1942 года; доставить 35 кубических метров деревоплиты к 3 сентября 1942 года; обязать «Стальконструкцию» закончить монтаж металлоконструкций в препараторской к 5 сентября 1942 года и в центральной части к 10 сентября 1942 года; доставить 60 тонн цемента к 5 сентября 1942 года; доставить 75 кубических метров половой рейки к 10 сентября 1942 года, доставить 45 кубических метров распила для балок к 15 сентября 1942 года; немедленно доставить на стройку битум или его заменители и начать настилку кровельного ковра.</w:t>
      </w:r>
    </w:p>
    <w:p w14:paraId="72A44593"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 Вашем решении прошу меня уведомить.</w:t>
      </w:r>
    </w:p>
    <w:p w14:paraId="230DFE02"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Герой Социалистического Труда академик</w:t>
      </w:r>
      <w:r w:rsidRPr="00722885">
        <w:rPr>
          <w:rFonts w:ascii="Times New Roman" w:hAnsi="Times New Roman"/>
          <w:color w:val="0070C0"/>
          <w:sz w:val="16"/>
          <w:szCs w:val="16"/>
        </w:rPr>
        <w:tab/>
        <w:t>С.А. Чаплыгин</w:t>
      </w:r>
    </w:p>
    <w:p w14:paraId="6AD651E4"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ГАНО. Ф. П—4. Оп. 6. Д. 510. Л. 116-118. Подлинник.</w:t>
      </w:r>
    </w:p>
    <w:p w14:paraId="3B107663" w14:textId="77777777" w:rsidR="001C5C3A" w:rsidRPr="00722885" w:rsidRDefault="001C5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Подпись-автограф. Документ составлен на фирменном бланке ЦАГИ в 2 экз. 1.IX 1942 г. На полях две рукописные резолюции — нечитаемые (21043).</w:t>
      </w:r>
    </w:p>
    <w:p w14:paraId="019A96CD" w14:textId="77777777" w:rsidR="001C5C3A" w:rsidRPr="00722885" w:rsidRDefault="001C5C3A" w:rsidP="00722885">
      <w:pPr>
        <w:spacing w:after="0" w:line="240" w:lineRule="auto"/>
        <w:jc w:val="both"/>
        <w:rPr>
          <w:rFonts w:ascii="Times New Roman" w:hAnsi="Times New Roman"/>
          <w:color w:val="0070C0"/>
          <w:sz w:val="16"/>
          <w:szCs w:val="16"/>
        </w:rPr>
      </w:pPr>
    </w:p>
    <w:p w14:paraId="0671BADB"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сентября 1942 г. в пояснительной записке к проекту горнострелковой 8-ствольной РСЗО М-8-8 для стрельбы «пехотными» 82-мм реактивными снарядами М-8 осколочного действия Суляева и Репса предлагалось два варианта монтажа установки: на «козлах» (с</w:t>
      </w:r>
      <w:hyperlink r:id="rId109"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е) и на двухколесной тележке. Оба варианта - с восемью авиационными направляющими РО-82 «флейта», оснащенными штатными пиропистолетами. Установки не имели прицела, их невозможно было наводить по азимуту. Для запуска снарядов планировали использовать аккумулятор и дистанционный прибор управления огнем. Оба варианта установок изготовили в ремонтных мастерских и испытали стрельбой. Для командования СевКавфронта провели демонстрационные стрельбы из обеих установок с удовлетворительными результатами. По итогам испытаний была отмечена необходимость упростить и усовершенствовать конструкцию Алферова-Суляева-Репса (15595).</w:t>
      </w:r>
    </w:p>
    <w:p w14:paraId="541A0C18" w14:textId="77777777" w:rsidR="00FE1193" w:rsidRPr="00722885" w:rsidRDefault="00FE1193" w:rsidP="00722885">
      <w:pPr>
        <w:spacing w:after="0" w:line="240" w:lineRule="auto"/>
        <w:jc w:val="both"/>
        <w:rPr>
          <w:rFonts w:ascii="Times New Roman" w:hAnsi="Times New Roman"/>
          <w:color w:val="000000" w:themeColor="text1"/>
          <w:sz w:val="16"/>
          <w:szCs w:val="16"/>
        </w:rPr>
      </w:pPr>
    </w:p>
    <w:p w14:paraId="064ED8D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9E0E3E8" w14:textId="77777777" w:rsidR="00AE7191" w:rsidRPr="00722885" w:rsidRDefault="00AE7191" w:rsidP="00722885">
      <w:pPr>
        <w:pStyle w:val="Iauiue"/>
        <w:jc w:val="both"/>
        <w:rPr>
          <w:iCs/>
          <w:color w:val="000000" w:themeColor="text1"/>
          <w:sz w:val="16"/>
          <w:szCs w:val="16"/>
        </w:rPr>
      </w:pPr>
    </w:p>
    <w:p w14:paraId="6393F92C" w14:textId="77777777" w:rsidR="00FE1193" w:rsidRPr="00722885" w:rsidRDefault="00FE1193"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3 сентября 1942 года был представлен проект УЗТМ установки 152-мм гаубицы в рубке КВ-7 – У-18. Группа конструкторов УЗТМ во главе с Горлицким постаралась максимально вложиться в требования военных, а также свести к минимуму переделку корпуса КВ-7. Артиллерийская часть установки У-18 состояла всего из 13 узлов, при этом корпус и рубка КВ-7 переделкам не подвергались. Подобный подход к максимальному «невмешательству» в конструкцию КВ-7 легко объясним фразой из описания У-18:</w:t>
      </w:r>
    </w:p>
    <w:p w14:paraId="3ECAE82C" w14:textId="77777777" w:rsidR="00FE1193" w:rsidRPr="00722885" w:rsidRDefault="00FE1193" w:rsidP="00722885">
      <w:pPr>
        <w:shd w:val="clear" w:color="auto" w:fill="FFFFFF"/>
        <w:spacing w:after="0" w:line="240" w:lineRule="auto"/>
        <w:jc w:val="both"/>
        <w:rPr>
          <w:rFonts w:ascii="Times New Roman" w:eastAsia="Times New Roman" w:hAnsi="Times New Roman"/>
          <w:iCs/>
          <w:color w:val="000000" w:themeColor="text1"/>
          <w:sz w:val="16"/>
          <w:szCs w:val="16"/>
        </w:rPr>
      </w:pPr>
      <w:r w:rsidRPr="00722885">
        <w:rPr>
          <w:rFonts w:ascii="Times New Roman" w:eastAsia="Times New Roman" w:hAnsi="Times New Roman"/>
          <w:color w:val="000000" w:themeColor="text1"/>
          <w:sz w:val="16"/>
          <w:szCs w:val="16"/>
        </w:rPr>
        <w:t>«</w:t>
      </w:r>
      <w:r w:rsidRPr="00722885">
        <w:rPr>
          <w:rFonts w:ascii="Times New Roman" w:eastAsia="Times New Roman" w:hAnsi="Times New Roman"/>
          <w:iCs/>
          <w:color w:val="000000" w:themeColor="text1"/>
          <w:sz w:val="16"/>
          <w:szCs w:val="16"/>
        </w:rPr>
        <w:t>В качестве базы для этой самоходной установки лучше всего подходит танк КВ-7. Несколько десятков штук корпусов с башнями этого танка находятся на Кировском заводе в городе Челябинске, предназначавшиеся для строенных установок одного 76,2-мм и двух 45-мм танковых орудий» (15838).</w:t>
      </w:r>
    </w:p>
    <w:p w14:paraId="0939BC00" w14:textId="77777777" w:rsidR="00FE1193" w:rsidRPr="00722885" w:rsidRDefault="00FE1193" w:rsidP="00722885">
      <w:pPr>
        <w:shd w:val="clear" w:color="auto" w:fill="FFFFFF"/>
        <w:spacing w:after="0" w:line="240" w:lineRule="auto"/>
        <w:jc w:val="both"/>
        <w:rPr>
          <w:rFonts w:ascii="Times New Roman" w:eastAsia="Times New Roman" w:hAnsi="Times New Roman"/>
          <w:color w:val="000000" w:themeColor="text1"/>
          <w:sz w:val="16"/>
          <w:szCs w:val="16"/>
        </w:rPr>
      </w:pPr>
    </w:p>
    <w:p w14:paraId="06EE0194" w14:textId="77777777" w:rsidR="007C6E94" w:rsidRPr="00722885" w:rsidRDefault="007C6E9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 сентября 1942 года был представлен Эскизный проект установки 152-мм гаубицы в рубке КВ-7. Группа конструкторов УЗТМ во главе с Горлицким постаралась максимально вложиться в требования военных, а также свести к минимуму переделку корпуса КВ-7. Артиллерийская часть установки У-18 состояла всего из 13 узлов, при этом корпус и рубка КВ-7 переделкам не подвергались. Подобный подход к максимальному «невмешательству» в конструкцию КВ-7 легко объясним фразой из описания У-18:</w:t>
      </w:r>
    </w:p>
    <w:p w14:paraId="73BF395E" w14:textId="77777777" w:rsidR="007C6E94" w:rsidRPr="00722885" w:rsidRDefault="007C6E9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r w:rsidRPr="00722885">
        <w:rPr>
          <w:rFonts w:ascii="Times New Roman" w:eastAsia="Times New Roman" w:hAnsi="Times New Roman"/>
          <w:iCs/>
          <w:color w:val="000000" w:themeColor="text1"/>
          <w:sz w:val="16"/>
          <w:szCs w:val="16"/>
          <w:lang w:eastAsia="ru-RU"/>
        </w:rPr>
        <w:t>В качестве базы для этой самоходной установки лучше всего подходит танк КВ-7. Несколько десятков штук корпусов с башнями этого танка находятся на Кировском заводе в городе Челябинске, предназначавшиеся для строенных установок одного 76,2-мм и двух 45-мм танковых орудий» (17647).</w:t>
      </w:r>
    </w:p>
    <w:p w14:paraId="0A08CA9B" w14:textId="77777777" w:rsidR="007C6E94" w:rsidRPr="00722885" w:rsidRDefault="007C6E94" w:rsidP="00722885">
      <w:pPr>
        <w:pStyle w:val="12a"/>
        <w:shd w:val="clear" w:color="auto" w:fill="auto"/>
        <w:spacing w:after="0" w:line="240" w:lineRule="auto"/>
        <w:jc w:val="both"/>
        <w:rPr>
          <w:color w:val="000000" w:themeColor="text1"/>
          <w:sz w:val="16"/>
          <w:szCs w:val="16"/>
        </w:rPr>
      </w:pPr>
    </w:p>
    <w:p w14:paraId="0E514E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сентября 1942 года была подготовлена справка:</w:t>
      </w:r>
    </w:p>
    <w:p w14:paraId="604665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Новосибирская группа заводов - №№ 588, 69, 355 (9265).</w:t>
      </w:r>
    </w:p>
    <w:p w14:paraId="07B0CC3A" w14:textId="77777777" w:rsidR="00AE7191" w:rsidRPr="00722885" w:rsidRDefault="00AE7191" w:rsidP="00722885">
      <w:pPr>
        <w:pStyle w:val="Iauiue"/>
        <w:jc w:val="both"/>
        <w:rPr>
          <w:color w:val="000000" w:themeColor="text1"/>
          <w:sz w:val="16"/>
          <w:szCs w:val="16"/>
        </w:rPr>
      </w:pPr>
    </w:p>
    <w:p w14:paraId="24976FB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0A489A1" w14:textId="77777777" w:rsidR="00AE7191" w:rsidRPr="00722885" w:rsidRDefault="00AE7191" w:rsidP="00722885">
      <w:pPr>
        <w:pStyle w:val="Iauiue"/>
        <w:jc w:val="both"/>
        <w:rPr>
          <w:iCs/>
          <w:color w:val="000000" w:themeColor="text1"/>
          <w:sz w:val="16"/>
          <w:szCs w:val="16"/>
        </w:rPr>
      </w:pPr>
    </w:p>
    <w:p w14:paraId="2340C566"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 сентября </w:t>
      </w:r>
      <w:r w:rsidRPr="00722885">
        <w:rPr>
          <w:rFonts w:ascii="Times New Roman" w:hAnsi="Times New Roman"/>
          <w:color w:val="000000" w:themeColor="text1"/>
          <w:sz w:val="16"/>
          <w:szCs w:val="16"/>
        </w:rPr>
        <w:t>в 1942 году утреннее сообщение Совинформбюро:</w:t>
      </w:r>
    </w:p>
    <w:p w14:paraId="06E1A0B7"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 сентября наши войска вели ожесточённые бои с противником северо-западнее и юго-западнее Сталинграда, а также в районе северо-западнее Новороссийска. На других фронтах существенных изменений не произошло.</w:t>
      </w:r>
    </w:p>
    <w:p w14:paraId="18DF4AF9"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Н-ского соединения в ожесточённом бою с противником уничтожили 11 немецких танков, самоходное орудие и 8 пулемётов.</w:t>
      </w:r>
    </w:p>
    <w:p w14:paraId="494BF8AA"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полк немецкой пехоты при поддержке 38 танков перешёл в наступление на участок, который обороняла одна наша часть. Атака немцев была отбита с большими для противника потерями. Подбито 6 танков, истреблено свыше 200 немецких солдат и офицеров. Взяты пленные. На другом участке наши части уничтожили 8 немецких танков и более роты пехоты противника. Нашими бойцами огнём пехотного оружия сбито 2 немецких самолёта.</w:t>
      </w:r>
    </w:p>
    <w:p w14:paraId="028F732B"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напряжённые оборонительные бои с крупными силами противника, вклинившимися в нашу оборону. Н-ская часть в течение дня сдерживала немецкие танки и пехоту, наступавшие на один населённый пункт. Гитлеровцы предприняли четыре атаки, но каждый раз, встреченные мощным огнём артиллерии и миномётов, откатывались обратно. В результате боя уничтожено 14немецких танков и до батальона пехоты противника. На другом участке наши войска отошли на новые позиции.</w:t>
      </w:r>
    </w:p>
    <w:p w14:paraId="5441F131"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Новороссийска наши части вели оборонительные бои с противником. Миномётчики лейтенанта Пятигорского уничтожили два взвода немецкой пехоты. Бойцы Н-ской части, отбивая атаку противника, истребили до роты гитлеровцев. В этом бою красноармейцы Бутенко, Статов, Зорин и Бурсаков штыком и гранатами уничтожили до 50 немецких солдат и офицеров.</w:t>
      </w:r>
    </w:p>
    <w:p w14:paraId="00CEC3F7"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упорные бои за переправы через водный рубеж.</w:t>
      </w:r>
    </w:p>
    <w:p w14:paraId="17409913"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за два дня боевых действий разведывательными группами, снайперами, а также артиллерийско-миномётным огнём уничтожено 3 противотанковых орудия и 120 солдат и офицеров противника.</w:t>
      </w:r>
    </w:p>
    <w:p w14:paraId="243D262D"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в воздушных боях сбили 18 и повредили 3 немецких самолёта. Кроме того, огнём нашей зенитной артиллерии сбито 3 самолёта противника.»</w:t>
      </w:r>
    </w:p>
    <w:p w14:paraId="58EE5B22"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запись о деятельности отряда смоленских партизан, где командиром тов. Г., за последние дни августа месяца:</w:t>
      </w:r>
    </w:p>
    <w:p w14:paraId="4B2B142F"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«Группой подрывников тов. П. взорвано 40 метров железнодорожного полотна. Уничтожено 80 метров линии связи.</w:t>
      </w:r>
    </w:p>
    <w:p w14:paraId="4EB235BA"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под командованием тов. Ш. уничтожили 4 автомашины. Убито 30 немцев.</w:t>
      </w:r>
    </w:p>
    <w:p w14:paraId="25C3F491"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взорвали железнодорожный эшелон. Разбиты паровоз и пять вагонов.</w:t>
      </w:r>
    </w:p>
    <w:p w14:paraId="698A29E7"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под командованием тов. М. на большаке обстреляла автомашины с пехотой. Убито до 50 гитлеровцев».</w:t>
      </w:r>
    </w:p>
    <w:p w14:paraId="74766AD7"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командир сбитого южнее Краснодара немецкого самолёта «Хейнкель-111» обер-лейтенант Фридрих Фогель сообщил: «В офицерских кругах не верят сообщениям германского командования и германского информационного бюро о потерях нашей авиации на Восточном фронте. Эти сведения не имеют ничего общего с действительностью. Кому-кому, а нам-то хорошо известно, что германская авиация несёт небывалые потери.</w:t>
      </w:r>
    </w:p>
    <w:p w14:paraId="7DEDB7D5"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Многие эскадры потеряли в боях против русских лётчиков и от огня зенитной артиллерии 75 процентов своих самолётов. Мы несём много и не боевых потерь. Личный состав германских воздушных флотов истекает кровью. За время войны он потерял по меньшей мере 60.000 человек. Среди лётчиков-истребителей широко распространён сговор. Одни лётчики подтверждают несуществующие успехи других. Они выпускают патроны в воздух, а затем, возвращаясь на аэродром, хвастают своими воздушными победами».</w:t>
      </w:r>
    </w:p>
    <w:p w14:paraId="23B25ECA"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немецкого солдата Вильгельма Бока найдено письмо от матери из Хемница. В нём говорится: «Много русских женщин и девушек работают на фабриках «Астра Верке». Их заставляют работать по 14 и более часов в день. Заработной платы они никакой, конечно, не получают. На работу и с работы они ходят под конвоем. Русские настолько переутомлены, что буквально валятся с ног. Им часто попадает от охраны плетьми. Но жаловаться на побои и скверную пищу они не имеют права. Моя соседка на днях приобрела себе работницу. Она внесла в кассу деньги, и ей предоставили возможность выбрать по вкусу любую из только что пригнанных сюда женщин из России».</w:t>
      </w:r>
    </w:p>
    <w:p w14:paraId="0CEB4154"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острове Крит греческие патриоты совершили смелое нападение на немецкий аэродром, расположенный на побережье залива Армиру. Уничтожены 2 самолёта и цистерна с горючим. В августе во время десантных учений немецких войск бесследно исчезла группа парашютистов численностью в 26 человек. Через восемь дней в горах были найдены трупы семнадцати немецких солдат из состава этой группы.» (14758).</w:t>
      </w:r>
    </w:p>
    <w:p w14:paraId="3835F41B" w14:textId="77777777" w:rsidR="00FE1193" w:rsidRPr="00722885" w:rsidRDefault="00FE1193" w:rsidP="00722885">
      <w:pPr>
        <w:spacing w:after="0" w:line="240" w:lineRule="auto"/>
        <w:jc w:val="both"/>
        <w:rPr>
          <w:rFonts w:ascii="Times New Roman" w:hAnsi="Times New Roman"/>
          <w:color w:val="000000" w:themeColor="text1"/>
          <w:sz w:val="16"/>
          <w:szCs w:val="16"/>
        </w:rPr>
      </w:pPr>
    </w:p>
    <w:p w14:paraId="08E27951"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 сентября </w:t>
      </w:r>
      <w:r w:rsidRPr="00722885">
        <w:rPr>
          <w:rFonts w:ascii="Times New Roman" w:hAnsi="Times New Roman"/>
          <w:color w:val="000000" w:themeColor="text1"/>
          <w:sz w:val="16"/>
          <w:szCs w:val="16"/>
        </w:rPr>
        <w:t>в 1942 году вечернее сообщение Совинформбюро:</w:t>
      </w:r>
    </w:p>
    <w:p w14:paraId="7354D32B"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 сентября наши войска вели ожесточённые бои с противником северо-западнее и юго-западнее Сталинграда, а также северо-западнее Новороссийска. На других фронтах существенных изменений не произошло.</w:t>
      </w:r>
    </w:p>
    <w:p w14:paraId="1836020C"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 сентября частями нашей авиации на различных участках фронта уничтожено или повреждено до 15 немецких танков и бронемашин, свыше 100 автомашин с войсками и грузами, подавлен огонь 10 батарей полевой и зенитной артиллерии, взорвано 6 складов боеприпасов, рассеяно и частью уничтожено до двух рот пехоты противника.</w:t>
      </w:r>
    </w:p>
    <w:p w14:paraId="6AF94FB6"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продолжались упорные бои. На участке, который обороняет Н-ское соединение, гитлеровцы предприняли атаку. Наступающие танки и пехота противника были встречены огнём советской артиллерии и бронебойщиков. Затем в бой вступили наши танки и оттеснили немцев на исходные позиции. На поле боя осталось 9 подбитых и сожжённых танков и до 400 убитых солдат и офицеров противника. Через два часа противник предпринял новые атаки на наши позиции и потеснил наши части. На другом участке неприятель, готовясь к атаке, сосредоточил в балке значительное количество танков и пехоты. Наши части упредили немцев. По скоплению противника было проведено несколько огневых налётов нашей артиллерии, в результате которых немцы понесли большие потери.</w:t>
      </w:r>
    </w:p>
    <w:p w14:paraId="7973F2A6"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части отбили несколько контратак противника.</w:t>
      </w:r>
    </w:p>
    <w:p w14:paraId="7030BC1E"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в течение всего дня наши войска вели напряжённые бои с танками и пехотой противника, прорвавшимися в глубину нашей обороны. На одном из участков бойцы Н-ской части отбили три танковые атаки неприятеля. Артиллеристы и бронебойщики подбили 8 и сожгли 5 немецких танков.</w:t>
      </w:r>
    </w:p>
    <w:p w14:paraId="18ADC7CE"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Новороссийска наши войска вели оборонительные бои. Около населённого пункта Н. после бомбёжки с воздуха и артиллерийского обстрела танками мотопехоте противника удалось вклиниться в нашу оборону. После упорного боя наша часть отошла на новые позиции. На других участках все атаки противника были отбиты с большими для него потерями. Уничтожено 11 немецких танков, 9 орудий, 25 автомашин и до батальона пехоты противника.</w:t>
      </w:r>
    </w:p>
    <w:p w14:paraId="5DD6FBE2"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продолжались ожесточённые бои за переправы.</w:t>
      </w:r>
    </w:p>
    <w:p w14:paraId="1B89E2F9"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истребители встретили в воздухе 12 «Мессершмиттов». В завязавшемся бою советские лётчики сбили 10 немецких самолётов.</w:t>
      </w:r>
    </w:p>
    <w:p w14:paraId="13D52414"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234 полка 56 немецкой пехотной дивизии Вальтер Герлах сообщил: «В июле этого года я был в лагере для военнопленных в городе Карачеве. Мысопровождали туда партию пленных. Лагерь расположен в овраге. За колючей проволокой находится несколько сот русских пленных красноармейцев и гражданских лиц, в том числе женщин. Заключённые строят дороги. Не знаю, что им дают на питание, но большинство заключённых едва волокут ноги». Далее пленный рассказало ряде случаев расстрела немцами пленных красноармейцев. «Недавно наш полк взял в плен 20 русских. На допросе они были избиты, а затем расстреляны. Бывший командир нашего полка полковник Кизиг однажды допрашивал пленных и, не удовлетворившись ответами, пристрелил шесть пленных красноармейцев».</w:t>
      </w:r>
    </w:p>
    <w:p w14:paraId="72D5E0E3"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деревне Дарьевка, Ворошиловградской области, немецкий карательный отряд схватил 13 -летнего мальчика Колю Никифоренко. Немецкий офицер потребовал от него указать местонахождение партизан. Мальчик ответил, что он ничего не знает. Гитлеровцы зверски избили ребёнка, ломали ему пальцы и отрезали ухо. Не добившись от Коли Никифоренко ни единого слова, фашистские звери расстреляли его.» (14758).</w:t>
      </w:r>
    </w:p>
    <w:p w14:paraId="12216B90" w14:textId="77777777" w:rsidR="00FE1193" w:rsidRPr="00722885" w:rsidRDefault="00FE1193" w:rsidP="00722885">
      <w:pPr>
        <w:spacing w:after="0" w:line="240" w:lineRule="auto"/>
        <w:jc w:val="both"/>
        <w:rPr>
          <w:rFonts w:ascii="Times New Roman" w:hAnsi="Times New Roman"/>
          <w:color w:val="000000" w:themeColor="text1"/>
          <w:sz w:val="16"/>
          <w:szCs w:val="16"/>
        </w:rPr>
      </w:pPr>
    </w:p>
    <w:p w14:paraId="272839F9"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 сентября </w:t>
      </w:r>
      <w:r w:rsidRPr="00722885">
        <w:rPr>
          <w:rFonts w:ascii="Times New Roman" w:hAnsi="Times New Roman"/>
          <w:color w:val="000000" w:themeColor="text1"/>
          <w:sz w:val="16"/>
          <w:szCs w:val="16"/>
        </w:rPr>
        <w:t>в 1942 году противник начал переправу трёх пехотных дивизий из Крыма на Таманский полуостров (14758).</w:t>
      </w:r>
    </w:p>
    <w:p w14:paraId="4D44C3F2" w14:textId="77777777" w:rsidR="00FE1193" w:rsidRPr="00722885" w:rsidRDefault="00FE1193" w:rsidP="00722885">
      <w:pPr>
        <w:spacing w:after="0" w:line="240" w:lineRule="auto"/>
        <w:jc w:val="both"/>
        <w:rPr>
          <w:rFonts w:ascii="Times New Roman" w:hAnsi="Times New Roman"/>
          <w:color w:val="000000" w:themeColor="text1"/>
          <w:sz w:val="16"/>
          <w:szCs w:val="16"/>
        </w:rPr>
      </w:pPr>
    </w:p>
    <w:p w14:paraId="621E077C"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 сентября </w:t>
      </w:r>
      <w:r w:rsidRPr="00722885">
        <w:rPr>
          <w:rFonts w:ascii="Times New Roman" w:hAnsi="Times New Roman"/>
          <w:color w:val="000000" w:themeColor="text1"/>
          <w:sz w:val="16"/>
          <w:szCs w:val="16"/>
        </w:rPr>
        <w:t>в 1942 году войска 9-й армии и 11-го гвардейского стрелкового корпуса при поддержке 4-й воздушной армии отбросили противника на моздокском направлении на 9 км к северу (14758).</w:t>
      </w:r>
    </w:p>
    <w:p w14:paraId="35120174" w14:textId="77777777" w:rsidR="00FE1193" w:rsidRPr="00722885" w:rsidRDefault="00FE1193" w:rsidP="00722885">
      <w:pPr>
        <w:spacing w:after="0" w:line="240" w:lineRule="auto"/>
        <w:jc w:val="both"/>
        <w:rPr>
          <w:rFonts w:ascii="Times New Roman" w:hAnsi="Times New Roman"/>
          <w:color w:val="000000" w:themeColor="text1"/>
          <w:sz w:val="16"/>
          <w:szCs w:val="16"/>
        </w:rPr>
      </w:pPr>
    </w:p>
    <w:p w14:paraId="0ECE9E14" w14:textId="77777777" w:rsidR="00FE1193" w:rsidRPr="00722885" w:rsidRDefault="00FE119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 сентября </w:t>
      </w:r>
      <w:r w:rsidRPr="00722885">
        <w:rPr>
          <w:rFonts w:ascii="Times New Roman" w:hAnsi="Times New Roman"/>
          <w:color w:val="000000" w:themeColor="text1"/>
          <w:sz w:val="16"/>
          <w:szCs w:val="16"/>
        </w:rPr>
        <w:t>в 1942 году начались наступательные действия 46-й армии Закавказского фронта в районе Клухорского перевала (14758).</w:t>
      </w:r>
    </w:p>
    <w:p w14:paraId="27931E10" w14:textId="77777777" w:rsidR="00FE1193" w:rsidRPr="00722885" w:rsidRDefault="00FE1193" w:rsidP="00722885">
      <w:pPr>
        <w:spacing w:after="0" w:line="240" w:lineRule="auto"/>
        <w:jc w:val="both"/>
        <w:rPr>
          <w:rFonts w:ascii="Times New Roman" w:hAnsi="Times New Roman"/>
          <w:color w:val="000000" w:themeColor="text1"/>
          <w:sz w:val="16"/>
          <w:szCs w:val="16"/>
        </w:rPr>
      </w:pPr>
    </w:p>
    <w:p w14:paraId="51F519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сентября 1942 г. командир эскад</w:t>
      </w:r>
      <w:r w:rsidRPr="00722885">
        <w:rPr>
          <w:color w:val="000000" w:themeColor="text1"/>
          <w:sz w:val="16"/>
          <w:szCs w:val="16"/>
        </w:rPr>
        <w:softHyphen/>
        <w:t xml:space="preserve">рильи 694-го </w:t>
      </w:r>
      <w:r w:rsidRPr="00722885">
        <w:rPr>
          <w:iCs/>
          <w:color w:val="000000" w:themeColor="text1"/>
          <w:sz w:val="16"/>
          <w:szCs w:val="16"/>
        </w:rPr>
        <w:t>шап</w:t>
      </w:r>
      <w:r w:rsidRPr="00722885">
        <w:rPr>
          <w:color w:val="000000" w:themeColor="text1"/>
          <w:sz w:val="16"/>
          <w:szCs w:val="16"/>
        </w:rPr>
        <w:t xml:space="preserve"> 3-й ВА к-н Виногра</w:t>
      </w:r>
      <w:r w:rsidRPr="00722885">
        <w:rPr>
          <w:color w:val="000000" w:themeColor="text1"/>
          <w:sz w:val="16"/>
          <w:szCs w:val="16"/>
        </w:rPr>
        <w:softHyphen/>
        <w:t>дов после нанесения в составе 6 Ил-2 бомбоштурмового удара по мотомеха</w:t>
      </w:r>
      <w:r w:rsidRPr="00722885">
        <w:rPr>
          <w:color w:val="000000" w:themeColor="text1"/>
          <w:sz w:val="16"/>
          <w:szCs w:val="16"/>
        </w:rPr>
        <w:softHyphen/>
        <w:t>низированным частям и танкам против</w:t>
      </w:r>
      <w:r w:rsidRPr="00722885">
        <w:rPr>
          <w:color w:val="000000" w:themeColor="text1"/>
          <w:sz w:val="16"/>
          <w:szCs w:val="16"/>
        </w:rPr>
        <w:softHyphen/>
        <w:t>ника на выходе из атаки подвергся на</w:t>
      </w:r>
      <w:r w:rsidRPr="00722885">
        <w:rPr>
          <w:color w:val="000000" w:themeColor="text1"/>
          <w:sz w:val="16"/>
          <w:szCs w:val="16"/>
        </w:rPr>
        <w:softHyphen/>
        <w:t>падению 4 истребителей люфтваффе Bf109F. Невзирая на численное превос</w:t>
      </w:r>
      <w:r w:rsidRPr="00722885">
        <w:rPr>
          <w:color w:val="000000" w:themeColor="text1"/>
          <w:sz w:val="16"/>
          <w:szCs w:val="16"/>
        </w:rPr>
        <w:softHyphen/>
        <w:t>ходство противника, Виноградов, остав</w:t>
      </w:r>
      <w:r w:rsidRPr="00722885">
        <w:rPr>
          <w:color w:val="000000" w:themeColor="text1"/>
          <w:sz w:val="16"/>
          <w:szCs w:val="16"/>
        </w:rPr>
        <w:softHyphen/>
        <w:t>шись один, смело вступил в бой с ис</w:t>
      </w:r>
      <w:r w:rsidRPr="00722885">
        <w:rPr>
          <w:color w:val="000000" w:themeColor="text1"/>
          <w:sz w:val="16"/>
          <w:szCs w:val="16"/>
        </w:rPr>
        <w:softHyphen/>
        <w:t>требителями, в котором сбил 2 "мессера".</w:t>
      </w:r>
    </w:p>
    <w:p w14:paraId="42E09E4A" w14:textId="77777777" w:rsidR="00AE7191" w:rsidRPr="00722885" w:rsidRDefault="00AE7191" w:rsidP="00722885">
      <w:pPr>
        <w:pStyle w:val="Iauiue"/>
        <w:jc w:val="both"/>
        <w:rPr>
          <w:color w:val="000000" w:themeColor="text1"/>
          <w:sz w:val="16"/>
          <w:szCs w:val="16"/>
        </w:rPr>
      </w:pPr>
    </w:p>
    <w:p w14:paraId="3E2565B5"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September 3, 1942: Continuing round-the-clock air attacks by Luftflotte 4 (von Richthofen) against Stalingrad. Units of 6.Armee (von Paulus) penetrate the inner city after having joined up with forward elements of 4.Panzer-Armee (Hoth) advancing from the south (3819).</w:t>
      </w:r>
    </w:p>
    <w:p w14:paraId="3BBBAF04" w14:textId="77777777" w:rsidR="00AE7191" w:rsidRPr="00722885" w:rsidRDefault="00AE7191" w:rsidP="00722885">
      <w:pPr>
        <w:pStyle w:val="Iauiue"/>
        <w:jc w:val="both"/>
        <w:rPr>
          <w:color w:val="000000" w:themeColor="text1"/>
          <w:sz w:val="16"/>
          <w:szCs w:val="16"/>
          <w:lang w:val="en-US"/>
        </w:rPr>
      </w:pPr>
    </w:p>
    <w:p w14:paraId="2A35F34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сентября 1942 состоялись непрерывные бомбардировки Сталинграда 4ВФ (Рихтгоффен). Части 6А (фон Паулюс) вошли в город и соединились с 4ТА (Гот), наступающей с юга (3819).</w:t>
      </w:r>
    </w:p>
    <w:p w14:paraId="72C21DC4" w14:textId="77777777" w:rsidR="00AE7191" w:rsidRPr="00722885" w:rsidRDefault="00AE7191" w:rsidP="00722885">
      <w:pPr>
        <w:pStyle w:val="Iauiue"/>
        <w:jc w:val="both"/>
        <w:rPr>
          <w:color w:val="000000" w:themeColor="text1"/>
          <w:sz w:val="16"/>
          <w:szCs w:val="16"/>
        </w:rPr>
      </w:pPr>
    </w:p>
    <w:p w14:paraId="1BFCCC8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C3F5FA3" w14:textId="77777777" w:rsidR="00AE7191" w:rsidRPr="00722885" w:rsidRDefault="00AE7191" w:rsidP="00722885">
      <w:pPr>
        <w:pStyle w:val="Iauiue"/>
        <w:jc w:val="both"/>
        <w:rPr>
          <w:iCs/>
          <w:color w:val="000000" w:themeColor="text1"/>
          <w:sz w:val="16"/>
          <w:szCs w:val="16"/>
        </w:rPr>
      </w:pPr>
    </w:p>
    <w:p w14:paraId="3644CF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сентября 1942 было подготовлено письмо N 875с НКАП А.И.Ш., ГИ ВВС КА А.К.Репину и Ком. 1ВА Худякову по результатам проверки ап 1ВА с целью установления состояния самолетной радиосвязи. В случае Ил-2 и ап 237, 594 и 299 всего 3, 3 и 4 машины имели передатчики, но все машины имели приемники (2504,7).</w:t>
      </w:r>
    </w:p>
    <w:p w14:paraId="08C8E419" w14:textId="77777777" w:rsidR="00AE7191" w:rsidRPr="00722885" w:rsidRDefault="00AE7191" w:rsidP="00722885">
      <w:pPr>
        <w:pStyle w:val="Iauiue"/>
        <w:jc w:val="both"/>
        <w:rPr>
          <w:color w:val="000000" w:themeColor="text1"/>
          <w:sz w:val="16"/>
          <w:szCs w:val="16"/>
        </w:rPr>
      </w:pPr>
    </w:p>
    <w:p w14:paraId="1DE33E8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сентября 1942 Нач. ГУЗ ТС ВВС Селезнев и военком Шаповалов писали А.И.Ш. письмо N 425938с:</w:t>
      </w:r>
    </w:p>
    <w:p w14:paraId="31E31B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"Прошу Вашего распоряжения об изготовлении на заводе 153 к 15 сентября с.г. в счет поставок сентября с.г. 10 Як-7б с улучшенным обзором и окраской в серо-стальной цвет." (1615,56).</w:t>
      </w:r>
    </w:p>
    <w:p w14:paraId="70A143D9" w14:textId="77777777" w:rsidR="00AE7191" w:rsidRPr="00722885" w:rsidRDefault="00AE7191" w:rsidP="00722885">
      <w:pPr>
        <w:pStyle w:val="Iauiue"/>
        <w:jc w:val="both"/>
        <w:rPr>
          <w:color w:val="000000" w:themeColor="text1"/>
          <w:sz w:val="16"/>
          <w:szCs w:val="16"/>
        </w:rPr>
      </w:pPr>
    </w:p>
    <w:p w14:paraId="75B4CE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сентября 1942 Нач. инспекции ВВС при Зам. НКО п В.И.Сталин писал НКАП А.И.Ш. Справку о самолете ЛаГГ-5 с М-82, боевые качества которого проверялись в 49 КИАП. За первые 16 суток ( с 14 по 30 августа 1942) полк сделал 180 боевых вылетов с налетом 130 час. и провел 27 боев, сбив 16 самолетов и потеряв 10 самолетов...(1632,132).</w:t>
      </w:r>
    </w:p>
    <w:p w14:paraId="346A6E0A" w14:textId="77777777" w:rsidR="00AE7191" w:rsidRPr="00722885" w:rsidRDefault="00AE7191" w:rsidP="00722885">
      <w:pPr>
        <w:pStyle w:val="Iauiue"/>
        <w:jc w:val="both"/>
        <w:rPr>
          <w:color w:val="000000" w:themeColor="text1"/>
          <w:sz w:val="16"/>
          <w:szCs w:val="16"/>
        </w:rPr>
      </w:pPr>
    </w:p>
    <w:p w14:paraId="720C3458"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сентября 1942 г. замес</w:t>
      </w:r>
      <w:r w:rsidRPr="00722885">
        <w:rPr>
          <w:rFonts w:ascii="Times New Roman" w:hAnsi="Times New Roman"/>
          <w:color w:val="000000" w:themeColor="text1"/>
          <w:sz w:val="16"/>
          <w:szCs w:val="16"/>
        </w:rPr>
        <w:softHyphen/>
        <w:t>титель народного комиссара авиапромышлен</w:t>
      </w:r>
      <w:r w:rsidRPr="00722885">
        <w:rPr>
          <w:rFonts w:ascii="Times New Roman" w:hAnsi="Times New Roman"/>
          <w:color w:val="000000" w:themeColor="text1"/>
          <w:sz w:val="16"/>
          <w:szCs w:val="16"/>
        </w:rPr>
        <w:softHyphen/>
        <w:t>ности по опытному самолетостроению А.С.Яковлев дал указание Н.Н.Поликарпову подго</w:t>
      </w:r>
      <w:r w:rsidRPr="00722885">
        <w:rPr>
          <w:rFonts w:ascii="Times New Roman" w:hAnsi="Times New Roman"/>
          <w:color w:val="000000" w:themeColor="text1"/>
          <w:sz w:val="16"/>
          <w:szCs w:val="16"/>
        </w:rPr>
        <w:softHyphen/>
        <w:t>товить четыре Й-185 к отправке на фронт. Ни</w:t>
      </w:r>
      <w:r w:rsidRPr="00722885">
        <w:rPr>
          <w:rFonts w:ascii="Times New Roman" w:hAnsi="Times New Roman"/>
          <w:color w:val="000000" w:themeColor="text1"/>
          <w:sz w:val="16"/>
          <w:szCs w:val="16"/>
        </w:rPr>
        <w:softHyphen/>
        <w:t>колай Николаевич позвонил, а затем и напра</w:t>
      </w:r>
      <w:r w:rsidRPr="00722885">
        <w:rPr>
          <w:rFonts w:ascii="Times New Roman" w:hAnsi="Times New Roman"/>
          <w:color w:val="000000" w:themeColor="text1"/>
          <w:sz w:val="16"/>
          <w:szCs w:val="16"/>
        </w:rPr>
        <w:softHyphen/>
        <w:t>вил телеграмму в Новосибирск на завод №51 с просьбой немедленно отгрузить три И-185 в Мос</w:t>
      </w:r>
      <w:r w:rsidRPr="00722885">
        <w:rPr>
          <w:rFonts w:ascii="Times New Roman" w:hAnsi="Times New Roman"/>
          <w:color w:val="000000" w:themeColor="text1"/>
          <w:sz w:val="16"/>
          <w:szCs w:val="16"/>
        </w:rPr>
        <w:softHyphen/>
        <w:t>кву на филиал завода вместе с обслуживающей бригадой. Были отправлены И-185 М-71 №6204, И-185 М-71 («образцовый») и И-185 М-82А (вто</w:t>
      </w:r>
      <w:r w:rsidRPr="00722885">
        <w:rPr>
          <w:rFonts w:ascii="Times New Roman" w:hAnsi="Times New Roman"/>
          <w:color w:val="000000" w:themeColor="text1"/>
          <w:sz w:val="16"/>
          <w:szCs w:val="16"/>
        </w:rPr>
        <w:softHyphen/>
        <w:t>рой экземпляр). Еще один И-185 М-82 «И» ремон</w:t>
      </w:r>
      <w:r w:rsidRPr="00722885">
        <w:rPr>
          <w:rFonts w:ascii="Times New Roman" w:hAnsi="Times New Roman"/>
          <w:color w:val="000000" w:themeColor="text1"/>
          <w:sz w:val="16"/>
          <w:szCs w:val="16"/>
        </w:rPr>
        <w:softHyphen/>
        <w:t>тировался на московском филиале завода пос</w:t>
      </w:r>
      <w:r w:rsidRPr="00722885">
        <w:rPr>
          <w:rFonts w:ascii="Times New Roman" w:hAnsi="Times New Roman"/>
          <w:color w:val="000000" w:themeColor="text1"/>
          <w:sz w:val="16"/>
          <w:szCs w:val="16"/>
        </w:rPr>
        <w:softHyphen/>
        <w:t xml:space="preserve">ле того, как 5 июля 1942 г. И-185 М-82 летчик НИИ ВВС Никашин приземлился вне границ аэродрома и снес шасси. Калининский фронт не случайно был выбран для проведения фронтовых испытаний. Командовал 3-й воздушной </w:t>
      </w:r>
      <w:r w:rsidRPr="00722885">
        <w:rPr>
          <w:rFonts w:ascii="Times New Roman" w:hAnsi="Times New Roman"/>
          <w:color w:val="000000" w:themeColor="text1"/>
          <w:sz w:val="16"/>
          <w:szCs w:val="16"/>
        </w:rPr>
        <w:lastRenderedPageBreak/>
        <w:t>армией известный летчик-испытатель Герой Советского Союза генерал-майор М.М.Громов, бывший начальник ЛИИ НКАП, хорошо знающий особенности испыта</w:t>
      </w:r>
      <w:r w:rsidRPr="00722885">
        <w:rPr>
          <w:rFonts w:ascii="Times New Roman" w:hAnsi="Times New Roman"/>
          <w:color w:val="000000" w:themeColor="text1"/>
          <w:sz w:val="16"/>
          <w:szCs w:val="16"/>
        </w:rPr>
        <w:softHyphen/>
        <w:t>тельной работы. Также не случайно для прове</w:t>
      </w:r>
      <w:r w:rsidRPr="00722885">
        <w:rPr>
          <w:rFonts w:ascii="Times New Roman" w:hAnsi="Times New Roman"/>
          <w:color w:val="000000" w:themeColor="text1"/>
          <w:sz w:val="16"/>
          <w:szCs w:val="16"/>
        </w:rPr>
        <w:softHyphen/>
        <w:t>дения испытаний Громов назначил 728-й истре</w:t>
      </w:r>
      <w:r w:rsidRPr="00722885">
        <w:rPr>
          <w:rFonts w:ascii="Times New Roman" w:hAnsi="Times New Roman"/>
          <w:color w:val="000000" w:themeColor="text1"/>
          <w:sz w:val="16"/>
          <w:szCs w:val="16"/>
        </w:rPr>
        <w:softHyphen/>
        <w:t>бительный авиационный полк. Он был сформи</w:t>
      </w:r>
      <w:r w:rsidRPr="00722885">
        <w:rPr>
          <w:rFonts w:ascii="Times New Roman" w:hAnsi="Times New Roman"/>
          <w:color w:val="000000" w:themeColor="text1"/>
          <w:sz w:val="16"/>
          <w:szCs w:val="16"/>
        </w:rPr>
        <w:softHyphen/>
        <w:t>рован в конце 1941 г. из летчиков-инструкторов Чугуевского авиационного училища. В составе полка воевали дважды Герои Советского Союза А.Е.Боровых, А.В. Ворожейкин, Герои Советско</w:t>
      </w:r>
      <w:r w:rsidRPr="00722885">
        <w:rPr>
          <w:rFonts w:ascii="Times New Roman" w:hAnsi="Times New Roman"/>
          <w:color w:val="000000" w:themeColor="text1"/>
          <w:sz w:val="16"/>
          <w:szCs w:val="16"/>
        </w:rPr>
        <w:softHyphen/>
        <w:t>го Союза Н.П.Игнатьев, А.Е.Новиков и другие (9979).</w:t>
      </w:r>
    </w:p>
    <w:p w14:paraId="5941157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30E08B7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сентября 1942 г. А.С.Я. дал указание Поликарпову подготовить четыре И-185 к отправке на фронт. Нико</w:t>
      </w:r>
      <w:r w:rsidRPr="00722885">
        <w:rPr>
          <w:rFonts w:ascii="Times New Roman" w:hAnsi="Times New Roman"/>
          <w:color w:val="000000" w:themeColor="text1"/>
          <w:sz w:val="16"/>
          <w:szCs w:val="16"/>
        </w:rPr>
        <w:softHyphen/>
        <w:t>лай Николаевич передал в Новосибирск на завод № 51 приказ немедленно отгрузить три И-185 в Москву на филиал завода вместе с обслуживающей бригадой. Чет</w:t>
      </w:r>
      <w:r w:rsidRPr="00722885">
        <w:rPr>
          <w:rFonts w:ascii="Times New Roman" w:hAnsi="Times New Roman"/>
          <w:color w:val="000000" w:themeColor="text1"/>
          <w:sz w:val="16"/>
          <w:szCs w:val="16"/>
        </w:rPr>
        <w:softHyphen/>
        <w:t>вертый самолет в то время проходил ремонт в москов</w:t>
      </w:r>
      <w:r w:rsidRPr="00722885">
        <w:rPr>
          <w:rFonts w:ascii="Times New Roman" w:hAnsi="Times New Roman"/>
          <w:color w:val="000000" w:themeColor="text1"/>
          <w:sz w:val="16"/>
          <w:szCs w:val="16"/>
        </w:rPr>
        <w:softHyphen/>
        <w:t>ском филиале (10667).</w:t>
      </w:r>
    </w:p>
    <w:p w14:paraId="3152E79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48A53E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9C1C7E4" w14:textId="77777777" w:rsidR="00AE7191" w:rsidRPr="00722885" w:rsidRDefault="00AE7191" w:rsidP="00722885">
      <w:pPr>
        <w:pStyle w:val="Iauiue"/>
        <w:jc w:val="both"/>
        <w:rPr>
          <w:iCs/>
          <w:color w:val="000000" w:themeColor="text1"/>
          <w:sz w:val="16"/>
          <w:szCs w:val="16"/>
        </w:rPr>
      </w:pPr>
    </w:p>
    <w:p w14:paraId="7A1E6325" w14:textId="77777777" w:rsidR="00AE7191" w:rsidRPr="00722885" w:rsidRDefault="00AE7191" w:rsidP="00722885">
      <w:pPr>
        <w:pStyle w:val="a3"/>
        <w:rPr>
          <w:color w:val="000000" w:themeColor="text1"/>
          <w:lang w:val="ru-RU"/>
        </w:rPr>
      </w:pPr>
      <w:r w:rsidRPr="00722885">
        <w:rPr>
          <w:color w:val="000000" w:themeColor="text1"/>
          <w:lang w:val="ru-RU"/>
        </w:rPr>
        <w:t>4 сентября 1942 опытный образец танка ИС со 122-мм пушкой был изготовлен, и начались заводские испытания. В октябре танк прошел государственные испытания, на которых было рекомендовано изменить конструкцию дульного тормоза, (который разрушился в ходе испытаний), и вместо поршневого затвора использовать клиновой (который обычно применялся в танковых пушках). 31 октября постановлением ГКО № 4479сс новый вариант танка ИС приняли на вооружение. Производство танка, получившего название ИС-2, началось в декабре 1943 года (в этом месяце было изготовлено 35 танков ИС-2). Боевое крещение танк получил в апреле 1944 года в ходе боёв на Правобережной Украине. После того, как поршневой затвор А-19 был заменён на клиновый полуавтоматический, пушка стала называться Д-25Т (опытный образец изготовлен и испытан в январе 1944 года). Скорострельность пушки с новым затвором была значительно выше, но экипаж не мог пользоваться новыми техническими возможностями в полной мере. При высоких темпах стрельбы система вентиляции танка переставала справляться со своими обязанностями, и воздух в боевом отделении слишком сильно загрязнялся пороховыми газами.</w:t>
      </w:r>
    </w:p>
    <w:p w14:paraId="7ACE832A" w14:textId="77777777" w:rsidR="00AE7191" w:rsidRPr="00722885" w:rsidRDefault="00AE7191" w:rsidP="00722885">
      <w:pPr>
        <w:pStyle w:val="a3"/>
        <w:rPr>
          <w:color w:val="000000" w:themeColor="text1"/>
          <w:lang w:val="ru-RU"/>
        </w:rPr>
      </w:pPr>
      <w:r w:rsidRPr="00722885">
        <w:rPr>
          <w:color w:val="000000" w:themeColor="text1"/>
          <w:lang w:val="ru-RU"/>
        </w:rPr>
        <w:t>Окончательно формирование облика танка ИС завершилось после изменения формы лобового листа корпуса. Дело в том, что лобовой лист корпуса первых ИСов был ломаной формы, которая была традиционной скорее для немецкого, чем для советского танкостроения. Такая форма создавала удобные условия для работы механика-водителя, но ослабляла защищённость танка. Поэтому в 1944 году танкостроители перешли к «спрямлённому носу», что к тому же облегчило производство корпуса.</w:t>
      </w:r>
    </w:p>
    <w:p w14:paraId="5F8AE4DB" w14:textId="77777777" w:rsidR="00AE7191" w:rsidRPr="00722885" w:rsidRDefault="00AE7191" w:rsidP="00722885">
      <w:pPr>
        <w:pStyle w:val="a3"/>
        <w:rPr>
          <w:color w:val="000000" w:themeColor="text1"/>
          <w:lang w:val="ru-RU"/>
        </w:rPr>
      </w:pPr>
      <w:r w:rsidRPr="00722885">
        <w:rPr>
          <w:color w:val="000000" w:themeColor="text1"/>
          <w:lang w:val="ru-RU"/>
        </w:rPr>
        <w:t>Создание танка ИС было самой радикальной мерой советского танкостроения, предпринятой с целью добиться качественного превосходства над противником. Танк ИС вобрал в себя лучшие достижения конструкторской мысли советских танкостроителей, сочетая в себе высокую приспособленность к массовому производству, мощное вооружение, способное бороться с любыми танками противника, сильную бронезащиту лобовой проекции, неуязвимую для большинства пушек противника, разделение обязанностей наводчика и командира между разными членами экипажа и внимание к таким «мелочам», которые ранее считались третьестепенными, как, например, качественный воздухоочиститель для двигателя, или система подогрева для зимних условий. Танк имел совершенную систему охлаждения, позволявшую использовать двигатель на полную мощность, двойной воздухоочиститель с грубой и тонкой очисткой воздуха, специальную аппаратуру подогрева воздуха, поступающего в двигатель, и много других усовершенствований, повышающих надежность (М. Барятинский. Тяжелый танк ИС//Бронеколлекция. 1998. № 3. С. 13-14). ИС обладал уникальной для тяжелых танков подвижностью, сближавшей его со средними танками. Его средняя скорость движения по дороге на испытаниях превзошла среднюю скорость танка Т-34 (РГАЭ. Ф. 8798. Оп. 4. Д. 5. Л. 220 - 221). Эти великолепные результаты были достигнуты благодаря хорошей подвеске и трансмиссии, в том числе планетарному механизму поворота. Фактически ИС относился к промежуточному классу между средними и тяжелыми танками, так же, как, например, немецкая «Пантера». Сам ИС можно считать одним из непосредственных предшественников будущих основных боевых танков. Броня лобовой проекции танка ИС гарантировала ему безопасность от снарядов практически любых немецких танковых и противотанковых орудий (кроме длинноствольных 88-миллиметровых пушек КЖК 43). Единственным недостатком ИС-2 была низкая скорострельность (из-за раздельного заряжания заряжающему приходилось делать двойную работу) и маленький боекомплект орудия. Правда, оно сочетало в себе высокую бронепробиваемость, дававшую танку возможность поражать сильнобронированные места любых немецких танков и САУ, кроме «Королевского Тигра» и «Фердинанда», мощное заброневое действие, гарантированно выводящее противника из строя, и большую мощность фугасного снаряда, который превосходно разрушал укрепления. На танке были установлены новые, более совершенные прицелы и приборы наблюдения, в том числе, скопированный английский танковый перископ МК-4 (12290).</w:t>
      </w:r>
    </w:p>
    <w:p w14:paraId="6E7A9679" w14:textId="77777777" w:rsidR="00AE7191" w:rsidRPr="00722885" w:rsidRDefault="00AE7191" w:rsidP="00722885">
      <w:pPr>
        <w:pStyle w:val="aff3"/>
        <w:shd w:val="clear" w:color="auto" w:fill="auto"/>
        <w:tabs>
          <w:tab w:val="left" w:pos="130"/>
        </w:tabs>
        <w:spacing w:line="240" w:lineRule="auto"/>
        <w:rPr>
          <w:rFonts w:ascii="Times New Roman" w:hAnsi="Times New Roman" w:cs="Times New Roman"/>
          <w:i w:val="0"/>
          <w:color w:val="000000" w:themeColor="text1"/>
          <w:sz w:val="16"/>
          <w:szCs w:val="16"/>
          <w:lang w:val="ru-RU"/>
        </w:rPr>
      </w:pPr>
    </w:p>
    <w:p w14:paraId="6FEB95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сентября 1942 успешно совершил первый полет 6-тонный танк Т-60 с крыльями конструкции и О.К.А. (2503,25).</w:t>
      </w:r>
    </w:p>
    <w:p w14:paraId="3BE2486F" w14:textId="77777777" w:rsidR="00AE7191" w:rsidRPr="00722885" w:rsidRDefault="00AE7191" w:rsidP="00722885">
      <w:pPr>
        <w:pStyle w:val="Iauiue"/>
        <w:jc w:val="both"/>
        <w:rPr>
          <w:color w:val="000000" w:themeColor="text1"/>
          <w:sz w:val="16"/>
          <w:szCs w:val="16"/>
        </w:rPr>
      </w:pPr>
    </w:p>
    <w:p w14:paraId="7301A6D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4 сентября 1942 вышло Постановление ГКО № 2238 Об усилении Северного флота 6 подводными лодками за счет перевода их с Тихоокеанского флота. (7052, 155).</w:t>
      </w:r>
    </w:p>
    <w:p w14:paraId="216B2C47" w14:textId="77777777" w:rsidR="00AE7191" w:rsidRPr="00722885" w:rsidRDefault="00AE7191" w:rsidP="00722885">
      <w:pPr>
        <w:pStyle w:val="Iauiue"/>
        <w:tabs>
          <w:tab w:val="left" w:pos="11199"/>
        </w:tabs>
        <w:jc w:val="both"/>
        <w:rPr>
          <w:color w:val="000000" w:themeColor="text1"/>
          <w:sz w:val="16"/>
          <w:szCs w:val="16"/>
        </w:rPr>
      </w:pPr>
    </w:p>
    <w:p w14:paraId="278E58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сентября 1942 ГКО принял постановление о переводе 8 п/л с Тихоокеанского флота на СФ через панамский канал с заходом в порты США, Англии и Канады (3398,318).</w:t>
      </w:r>
    </w:p>
    <w:p w14:paraId="1AD54777" w14:textId="77777777" w:rsidR="00AE7191" w:rsidRPr="00722885" w:rsidRDefault="00AE7191" w:rsidP="00722885">
      <w:pPr>
        <w:pStyle w:val="Iauiue"/>
        <w:jc w:val="both"/>
        <w:rPr>
          <w:color w:val="000000" w:themeColor="text1"/>
          <w:sz w:val="16"/>
          <w:szCs w:val="16"/>
        </w:rPr>
      </w:pPr>
    </w:p>
    <w:p w14:paraId="0323580E"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DF5D0EC" w14:textId="77777777" w:rsidR="00AE7191" w:rsidRPr="00722885" w:rsidRDefault="00AE7191" w:rsidP="00722885">
      <w:pPr>
        <w:pStyle w:val="Iauiue"/>
        <w:jc w:val="both"/>
        <w:rPr>
          <w:iCs/>
          <w:color w:val="000000" w:themeColor="text1"/>
          <w:sz w:val="16"/>
          <w:szCs w:val="16"/>
        </w:rPr>
      </w:pPr>
    </w:p>
    <w:p w14:paraId="5A5CE4A6"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4 сентября </w:t>
      </w:r>
      <w:r w:rsidRPr="00722885">
        <w:rPr>
          <w:rFonts w:ascii="Times New Roman" w:hAnsi="Times New Roman"/>
          <w:color w:val="000000" w:themeColor="text1"/>
          <w:sz w:val="16"/>
          <w:szCs w:val="16"/>
        </w:rPr>
        <w:t>в 1942 году утреннее сообщение Совинформбюро:</w:t>
      </w:r>
    </w:p>
    <w:p w14:paraId="38BC88E6"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4 сентября наши войска вели ожесточённые бои с противником северо-западнее и юго-западнее Сталинграда, а также в районе северо-западнее Новороссийска. На других фронтах существенных изменений не произошло.</w:t>
      </w:r>
    </w:p>
    <w:p w14:paraId="33DCBC2B"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активные боевые действия. На участке Н-ской части уничтожено 2 немецких танка, 3 бронемашины и 8 автомашин с боеприпасами. На поле боя немцы оставили до 200 трупов. На другом участке наши пехотные подразделения, поддержанные танками, ворвались в расположение противника. В ожесточённой схватке советские бойцы истребили две роты гитлеровцев, уничтожили 4 танка, 9 противотанковых орудий и захватили 8 пулемётов и 5 миномётов.</w:t>
      </w:r>
    </w:p>
    <w:p w14:paraId="362B8494"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части заняли один населённый пункт и отбили несколько контратак противника.</w:t>
      </w:r>
    </w:p>
    <w:p w14:paraId="3E89FC21"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напряжённые бои с танками и пехотой противника. Сосредоточив на узком участке крупные силы, противник непрерывно атакует наши позиции. Ценой огромных потерь гитлеровцам удалось несколько продвинуться вперёд. На других участках атаки неприятеля отбиты с большими для него потерями.</w:t>
      </w:r>
    </w:p>
    <w:p w14:paraId="4E9A5A13"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Новороссийска немцы предприняли несколько атак на позиции Н-ского соединения. Наши бойцы выдержали напор численно превосходящих сил врага и отбили атаки гитлеровцев. В ходе боя уничтожено 6 танков и истреблено свыше 150 немецких солдат и офицеров. На другом участке происходили бои за одну высоту. Под давлением превосходящих сил врага наша часть оставила эту высоту и заняла новый рубеж обороны.</w:t>
      </w:r>
    </w:p>
    <w:p w14:paraId="127E6DD0"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вели бои по уничтожению группы противника, переправившейся через водный рубеж.</w:t>
      </w:r>
    </w:p>
    <w:p w14:paraId="17476F0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бой местного значения. Наши бойцы заняли один населённый пункт и захватили 2 орудия, 3 миномёта и другие трофеи. На другом участке Н-ское подразделение уничтожило 150 немецких солдат и офицеров.</w:t>
      </w:r>
    </w:p>
    <w:p w14:paraId="2A7BF8D3"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Добровольно сдавшийся в плен солдат 330 полка 183 немецкой пехотной дивизии Артур М. рассказал: «Недавно командиры взводов нашей роты заявили солдатам, что нужно готовить блиндажи к предстоящей зиме. Среди солдат, которые провели прошлую зиму в России, этот приказ вызвал большой ропот. Ведь до самого последнего времени офицеры внушали нам, что успехи германской армии на юге приведут к скорому окончанию войны. Солдаты с ужасом думают о предстоящей зимней кампании. Большинство из них считает, что Германия не может вынести второй зимы на Восточном фронте».</w:t>
      </w:r>
    </w:p>
    <w:p w14:paraId="71058BD8"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немецкого лейтенанта Гейнца Шульца найдено письмо из Брентау (близДанцига) от его знакомой Гертруды. В письме она пишет: «Вчера у меня была Эльза Вернер из Шахау. У них тоже творилось что-то ужасное. Красные бросали тяжёлые бомбы. Верфи долго горели. В Шахау не осталось ни одного целого стекла. Эльза боится туда возвращаться. Люди думают о том, что нужно куда-нибудь уезжать, но куда? Эльза зовёт меня в Штраубинг. Посоветуй, что делать — ехать ли мне? Ведь и туда могут явиться русские или томми. Мы просто растерялись...»</w:t>
      </w:r>
    </w:p>
    <w:p w14:paraId="7CD2CB76"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ныне освобождённой от немецко-фашистских захватчиков деревни Большое Находово, Калининской области, Шведов Михаил, Громова Татьяна и другиерассказали о том, как жилось советским людям под немецким игом. «В нашей деревне гитлеровцы хозяйничали больше десяти месяцев. Они отобрали у жителей деревни весь хлеб, картофель, скот и птицу. Наступил страшный голод. Многие крестьяне умерли голодной смертью. Сердце разрывалось, когда умирали малые дети. Десятки колхозников замучены и расстреляны гитлеровскими палачами. Отступая под ударами Красной Армии, немецкие громилы полностью уничтожили деревню. Они сожгли 90 жилых домов колхозников» (14759).</w:t>
      </w:r>
    </w:p>
    <w:p w14:paraId="3DD46095"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178A1191"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4 сентября </w:t>
      </w:r>
      <w:r w:rsidRPr="00722885">
        <w:rPr>
          <w:rFonts w:ascii="Times New Roman" w:hAnsi="Times New Roman"/>
          <w:color w:val="000000" w:themeColor="text1"/>
          <w:sz w:val="16"/>
          <w:szCs w:val="16"/>
        </w:rPr>
        <w:t>в 1942 году вечернее сообщение Совинформбюро:</w:t>
      </w:r>
    </w:p>
    <w:p w14:paraId="26D0AE8F"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4 сентября наши войска вели бои с противником северо-западнее и юго-западнее Сталинграда, северо-западнее Новороссийска, в районе Моздок и ожесточённые бои в районе Ржева. На других фронтах существенных изменений не произошло.</w:t>
      </w:r>
    </w:p>
    <w:p w14:paraId="2EC57759"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потоплено 4 транспорта противника общим водоизмещением в 37 тысяч тонн и 2 немецких миноносца.</w:t>
      </w:r>
    </w:p>
    <w:p w14:paraId="68804B2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 3 сентября частями нашей авиации на различных участках фронта уничтожено или повреждено 10 немецких танков и бронемашин, 50 автомашин с войсками и грузами, 20 повозок с боеприпасами, подавлен огонь 20 батарей полевой и зенитной артиллерии, разбит железнодорожный эшелон, рассеяно и частью уничтожено до роты пехоты противника.</w:t>
      </w:r>
    </w:p>
    <w:p w14:paraId="1CD0DFE1"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продолжались упорные бои. Немцы предприняли ожесточённые атаки, которые были отбиты нашими бойцами. На отдельных участках наши части нанесли контрудары противнику, в результате которых немецко-фашистские войска понесли большие потери. Бойцы Н-ской части в ожесточённом бою сожгли и подбили 18 немецких танков и истребили свыше 300 гитлеровцев. Упорство и находчивость проявляют наши бронебойщики. Одно наше подразделение противотанковых ружей упомянутой выше Н-ской части было атаковано 40 немецкими танками. Советские бойцы подпустили врага на близкое расстояние иначали расстреливать танки противника. Три раза немцы переходили в атаку, и каждый раз их останавливал точный огонь бронебойщиков. В этом бою было подбито12 немецких танков.</w:t>
      </w:r>
    </w:p>
    <w:p w14:paraId="14298F1C"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Клетской наши части вели активные боевые действия и улучшили свои позиции.</w:t>
      </w:r>
    </w:p>
    <w:p w14:paraId="1963ECE2"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напряжённые бои против танков ипехоты противника. Немцы вводили в бой новые резервы. Дальнейшее продвижение противника приостановлено. Активной обороной наши бойцы перемалывают живую силу и технику врага. Вклинившиеся в нашу оборону гитлеровцы были атакованы советскими танками и пехотой. В завязавшемся сражении уничтожено 11 немецких танков и до 600 гитлеровцев. На другом участке наша артиллерия открыла по скоплению немцев огонь, рассеяла и частью истребила до батальона пехоты противника.</w:t>
      </w:r>
    </w:p>
    <w:p w14:paraId="2983470F"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Новороссийска наши части вели оборонительные бои с численно превосходящими силами противника. Части нашей морской пехоты при поддержке артиллерии судов Черноморского флота атаковали немецко-румынские войска.Уничтожено 6 немецких танков, 15 орудий, 22 автомашины и до двух батальонов пехоты противника. На другом участке Н-ская часть после ожесточённого боя отошла на новые позиции.</w:t>
      </w:r>
    </w:p>
    <w:p w14:paraId="2C49E3B1"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продолжались бои с переправившимися через водный рубеж гитлеровцами. Наши войска теснили противника.</w:t>
      </w:r>
    </w:p>
    <w:p w14:paraId="29B0BD97"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унтер-офицер 12 роты 176 полка 61 немецкой пехотной дивизии Якоб Рогачник рассказал: «За последнее время 176 полк подвергся ударам русских и имел страшные потери. Я прибыл на фронт со 2 батальоном 805 запасного полка. Нас срочно перебросили на помощь 176 полку. За три дня боёв мы потеряли убитыми и ранеными 250 человек, т. е. почти половину всего батальона. Чтобы спасти положение, командование послало на передний край всех солдат тыловой службы.Солдаты, испытавшие на себе силу ударов русских, потеряли надежду выйти живыми из этой проклятой войны. Прибывшие недавно из Германии солдаты рассказали, что в Браунсберге трое выздоровевших после ранения солдат, узнав, что их вновь посылают в Россию, повесились в тот же день».</w:t>
      </w:r>
    </w:p>
    <w:p w14:paraId="7C661DD9"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немецкого солдата Людвига найдено письмо от некоей Гильды из Боттропа. В нём говорится: «Отсюда, из Боттропа, опять очень многих призвали. Берут буквально всех, кто имеет ноги и руки. Да, война натворила нам много бед. Здесь каждый день получают печальные известия... Вам тяжело, но и наша жизнь —сплошной ужас. Мне так надоело жить, что я способна с собой что-нибудь сделать» (14759).</w:t>
      </w:r>
    </w:p>
    <w:p w14:paraId="7493FF6C"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6CBABA28" w14:textId="77777777" w:rsidR="007A43FF" w:rsidRPr="00722885" w:rsidRDefault="007A43FF" w:rsidP="00722885">
      <w:pPr>
        <w:pStyle w:val="ae"/>
        <w:spacing w:before="0" w:after="0"/>
        <w:jc w:val="both"/>
        <w:textAlignment w:val="baseline"/>
        <w:rPr>
          <w:color w:val="000000" w:themeColor="text1"/>
          <w:sz w:val="16"/>
          <w:szCs w:val="16"/>
        </w:rPr>
      </w:pPr>
      <w:r w:rsidRPr="00722885">
        <w:rPr>
          <w:color w:val="000000" w:themeColor="text1"/>
          <w:sz w:val="16"/>
          <w:szCs w:val="16"/>
        </w:rPr>
        <w:t>4 сентября 1942 г. в Сталинградское сражение вступила вновь сформированная 16-я воздушная армия под командованием генерал-майора П. С. Степанова. Сектор действий ее находился северо-западнее города и далее по реке Дон. В состав армии входили четыре авиадивизии и несколько отдельных авиаполков, имевшие к началу боев в общей сложности 152 боеготовых самолета. Почти все истребительные полки были оснащены самолетами Як-1, и лишь 291-й иап летал на ЛаГГ-3. Чуть позднее в состав армии влилась еще и 283-я иад в составе четырех полков (19522).</w:t>
      </w:r>
    </w:p>
    <w:p w14:paraId="52848E56" w14:textId="77777777" w:rsidR="007A43FF" w:rsidRPr="00722885" w:rsidRDefault="007A43FF" w:rsidP="00722885">
      <w:pPr>
        <w:pStyle w:val="ae"/>
        <w:spacing w:before="0" w:after="0"/>
        <w:jc w:val="both"/>
        <w:textAlignment w:val="baseline"/>
        <w:rPr>
          <w:color w:val="000000" w:themeColor="text1"/>
          <w:sz w:val="16"/>
          <w:szCs w:val="16"/>
        </w:rPr>
      </w:pPr>
    </w:p>
    <w:p w14:paraId="4255522F" w14:textId="77777777" w:rsidR="007A43FF" w:rsidRPr="00722885" w:rsidRDefault="007A43FF" w:rsidP="00722885">
      <w:pPr>
        <w:pStyle w:val="ae"/>
        <w:spacing w:before="0" w:after="0"/>
        <w:jc w:val="both"/>
        <w:textAlignment w:val="baseline"/>
        <w:rPr>
          <w:color w:val="000000" w:themeColor="text1"/>
          <w:sz w:val="16"/>
          <w:szCs w:val="16"/>
        </w:rPr>
      </w:pPr>
      <w:r w:rsidRPr="00722885">
        <w:rPr>
          <w:color w:val="000000" w:themeColor="text1"/>
          <w:sz w:val="16"/>
          <w:szCs w:val="16"/>
        </w:rPr>
        <w:t>4 сентября 1942 шесть Ил-2 из 806-го шап вылетели в район населенного пункта Хулхута, недалеко от железнодорожной станции Яшкуль, в Калмыкии. Во время атаки колонны немецких бронемашин самолет ведущего — командира эскадрильи капитана Всеволода Ширяева — был подбит зенитным огнем. «Горбатый» загорелся, взмыл вверх, затем накренился на левое крыло, потом снова выровнялся. Согласно последующему рапорту ведомых, они слышали, что Ширяев прокричал по радио нечто вроде </w:t>
      </w:r>
      <w:r w:rsidRPr="00722885">
        <w:rPr>
          <w:iCs/>
          <w:color w:val="000000" w:themeColor="text1"/>
          <w:sz w:val="16"/>
          <w:szCs w:val="16"/>
        </w:rPr>
        <w:t>«Ранен. Иду на землю…». </w:t>
      </w:r>
      <w:r w:rsidRPr="00722885">
        <w:rPr>
          <w:color w:val="000000" w:themeColor="text1"/>
          <w:sz w:val="16"/>
          <w:szCs w:val="16"/>
        </w:rPr>
        <w:t> После этого Ил-2 развернулся и спикировал на врага. На месте его падения </w:t>
      </w:r>
      <w:r w:rsidRPr="00722885">
        <w:rPr>
          <w:iCs/>
          <w:color w:val="000000" w:themeColor="text1"/>
          <w:sz w:val="16"/>
          <w:szCs w:val="16"/>
        </w:rPr>
        <w:t>«взметнулось пламя, и возник пожар, сопровождавшийся сильными взрывами»</w:t>
      </w:r>
      <w:r w:rsidRPr="00722885">
        <w:rPr>
          <w:color w:val="000000" w:themeColor="text1"/>
          <w:sz w:val="16"/>
          <w:szCs w:val="16"/>
        </w:rPr>
        <w:t> .</w:t>
      </w:r>
    </w:p>
    <w:p w14:paraId="5E3E9FDA" w14:textId="77777777" w:rsidR="007A43FF" w:rsidRPr="00722885" w:rsidRDefault="007A43FF" w:rsidP="00722885">
      <w:pPr>
        <w:pStyle w:val="ae"/>
        <w:spacing w:before="0" w:after="0"/>
        <w:jc w:val="both"/>
        <w:textAlignment w:val="baseline"/>
        <w:rPr>
          <w:color w:val="000000" w:themeColor="text1"/>
          <w:sz w:val="16"/>
          <w:szCs w:val="16"/>
        </w:rPr>
      </w:pPr>
      <w:r w:rsidRPr="00722885">
        <w:rPr>
          <w:color w:val="000000" w:themeColor="text1"/>
          <w:sz w:val="16"/>
          <w:szCs w:val="16"/>
        </w:rPr>
        <w:t>На отходе оставшиеся Илы были атакованы парой Bf-109F из 3-й эскадрильи JG53. Они сбили штурмовик Михаила Полынова, который затем совершил вынужденную посадку «на живот» на нейтральной территории.</w:t>
      </w:r>
    </w:p>
    <w:p w14:paraId="238752AD" w14:textId="77777777" w:rsidR="007A43FF" w:rsidRPr="00722885" w:rsidRDefault="007A43FF" w:rsidP="00722885">
      <w:pPr>
        <w:pStyle w:val="ae"/>
        <w:spacing w:before="0" w:after="0"/>
        <w:jc w:val="both"/>
        <w:textAlignment w:val="baseline"/>
        <w:rPr>
          <w:color w:val="000000" w:themeColor="text1"/>
          <w:sz w:val="16"/>
          <w:szCs w:val="16"/>
        </w:rPr>
      </w:pPr>
      <w:r w:rsidRPr="00722885">
        <w:rPr>
          <w:color w:val="000000" w:themeColor="text1"/>
          <w:sz w:val="16"/>
          <w:szCs w:val="16"/>
        </w:rPr>
        <w:t>Вечером того же дня на аэродроме 806-го шап состоялся митинг, быстро организованный политработниками. С речами на нем выступили заместитель командира полка, комиссар полка и командир 2-й эскадрильи. Их общий смысл сводился к тому, что поступок Ширяева должен стать примером для всех остальных летчиков. В заключение было сообщено, что командование 289-й шад, в состав которой входил полк, решило ходатайствовать о присвоении капитану Ширяеву посмертно звания Героя Советского Союза. Необходимые документы отправили в Москву, и затем 8 февраля 1943 г. был подписан соответствующий Указ Президиума Верховного Совета СССР (19522).</w:t>
      </w:r>
    </w:p>
    <w:p w14:paraId="197B8094" w14:textId="77777777" w:rsidR="007A43FF" w:rsidRPr="00722885" w:rsidRDefault="007A43FF" w:rsidP="00722885">
      <w:pPr>
        <w:pStyle w:val="ae"/>
        <w:spacing w:before="0" w:after="0"/>
        <w:jc w:val="both"/>
        <w:textAlignment w:val="baseline"/>
        <w:rPr>
          <w:color w:val="000000" w:themeColor="text1"/>
          <w:sz w:val="16"/>
          <w:szCs w:val="16"/>
        </w:rPr>
      </w:pPr>
    </w:p>
    <w:p w14:paraId="32007D6A" w14:textId="77777777" w:rsidR="007A43FF" w:rsidRPr="00722885" w:rsidRDefault="007A43FF"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4 сентября 1942. Экипаж Пономаренко, Легкоступ. Цель- бомбардирование города Будапешт. Сброшено 8 ФАБ-250тга. Время взлета 19.18, время бомбометания 01.04, время посадки 06.02. Отчет- На Н=7100м. Наблюдали разрывы бомб в центре города. В результате бомбометания возникло 2 больших пожара и один пожар малого размера.</w:t>
      </w:r>
    </w:p>
    <w:p w14:paraId="57D82891" w14:textId="77777777" w:rsidR="007A43FF" w:rsidRPr="00722885" w:rsidRDefault="007A43FF" w:rsidP="00722885">
      <w:pPr>
        <w:pStyle w:val="319"/>
        <w:shd w:val="clear" w:color="auto" w:fill="auto"/>
        <w:spacing w:after="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этом вылете помимо командира корабля капитана Пономаренко и штурмана капитана Легкоступа, в состав экипажа входили второй летчик капитан Макаренко, стрелок- бомбардир младший лейтенант Евдокимов, борттехник инженер-капитан Дубовой, помощник борттехника техник- лейтенант Паровой, радист старшина Винченко, воздушные стрелки старшие сержанты Абрамов, Королев, Лысаков, Дмитриев (19105).</w:t>
      </w:r>
    </w:p>
    <w:p w14:paraId="1A993372" w14:textId="77777777" w:rsidR="007A43FF" w:rsidRPr="00722885" w:rsidRDefault="007A43FF" w:rsidP="00722885">
      <w:pPr>
        <w:pStyle w:val="108"/>
        <w:shd w:val="clear" w:color="auto" w:fill="auto"/>
        <w:spacing w:line="240" w:lineRule="auto"/>
        <w:jc w:val="both"/>
        <w:rPr>
          <w:color w:val="000000" w:themeColor="text1"/>
          <w:sz w:val="16"/>
          <w:szCs w:val="16"/>
        </w:rPr>
      </w:pPr>
    </w:p>
    <w:p w14:paraId="02575E0E"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4 сентября </w:t>
      </w:r>
      <w:r w:rsidRPr="00722885">
        <w:rPr>
          <w:rFonts w:ascii="Times New Roman" w:hAnsi="Times New Roman"/>
          <w:color w:val="000000" w:themeColor="text1"/>
          <w:sz w:val="16"/>
          <w:szCs w:val="16"/>
        </w:rPr>
        <w:t>в 1942 году Государственный Комитет Обороны принял постановление о переводе шести подводных лодок с Тихоокеанского флота на Северный флот через Панамский канал с заходом в порты США, Англии и Канады (14759).</w:t>
      </w:r>
    </w:p>
    <w:p w14:paraId="6CBFF70E"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1B75C8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сентября 1942 комэск к В.Ширяев направил свой ш Ил-2 на скопление танков, шедших по Калмыцкой степи к Сталинграду (455,163).</w:t>
      </w:r>
    </w:p>
    <w:p w14:paraId="108F3875" w14:textId="77777777" w:rsidR="00AE7191" w:rsidRPr="00722885" w:rsidRDefault="00AE7191" w:rsidP="00722885">
      <w:pPr>
        <w:pStyle w:val="Iauiue"/>
        <w:jc w:val="both"/>
        <w:rPr>
          <w:color w:val="000000" w:themeColor="text1"/>
          <w:sz w:val="16"/>
          <w:szCs w:val="16"/>
        </w:rPr>
      </w:pPr>
    </w:p>
    <w:p w14:paraId="61759CB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сентября 1942 чтобы хоть как-то улучшить положение в воздухе, командование ВВС Красной Армии пошло на крайние меры - бросило в сражение еще не полностью укомплектованную 16-ю воздушную армию. К этому времени в составе авиадивизий армии насчитывалось 79 Ил-2, 42 истребителя и 31 бомбардировщик.</w:t>
      </w:r>
    </w:p>
    <w:p w14:paraId="780B26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появлением 16-й ВА положение в воздухе несколько улучшилось, но не намного - немецкий 4-й воздушный флот имел в своем составе до 1200 боевых самолетов.</w:t>
      </w:r>
    </w:p>
    <w:p w14:paraId="5ED9712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Бои в воздухе достигли особенного ожесточения. Буквально каждый боевой вылет Ил-2 сопровождался кровопролитными боями с истребителями Люфтваффе и тяжелыми потерями в летном составе и технике.</w:t>
      </w:r>
    </w:p>
    <w:p w14:paraId="56D6DF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Статистика боевых потерь штурмовых авиаполков Красной Армии сталинградского направления показывает, что истребителями противника сбивалось около 62% самолетов Ил-2 от общего числа потерянных штурмовиков за этот период.</w:t>
      </w:r>
    </w:p>
    <w:p w14:paraId="0C44498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Наиболее решительные летчики в поисках путей снижения потерь Ил-2 от истребителей пришли к единственно правильному выводу: Ил-2 может и должен вести активный воздушный бой с ними.</w:t>
      </w:r>
    </w:p>
    <w:p w14:paraId="32C5B03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Учебные воздушные бои с истребителями различных конструкций (как советских - Як-7б и Як-1, так и немецких - Bf 109F) показали, что истребитель на вираже вообще не может атаковать штурмовик, так как радиус виража у него примерно в 2 раза больше, а время полного виража, наоборот, в 1,5 раза меньше, чем у Ил-2.</w:t>
      </w:r>
    </w:p>
    <w:p w14:paraId="6505DE3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Резкий сброс штурмовиком скорости приводил к обязательному проскакиванию истребителя вперед Ил-2 при атаке сзади. Как следствие, истребитель расстреливался пулеметно-пушечным огнем Ил-2.</w:t>
      </w:r>
    </w:p>
    <w:p w14:paraId="2D2B7CB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Оптимальным боевым приемом борьбы группы Ил-2 с истребителями были "ножницы". Уходить из-под атаки истребителя сзади летчикам Ил-2 было целесообразно скольжением с креном 20°. В этом случае истребитель лишался возможности вести по штурмовику прицельный огонь.</w:t>
      </w:r>
    </w:p>
    <w:p w14:paraId="785D296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качестве наилучшего боевого порядка для группы из 6-8 Ил-2 предлагался "клин", близкий к "фронту", с интервалами между самолетами в паре 100-150 м, с дистанциями в парах в обшей группе не более 100 м и с интервалами между парами - 150-200 м.</w:t>
      </w:r>
    </w:p>
    <w:p w14:paraId="290B922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Отражение атак истребителей при полете над территорией противника рекомендовалось производить путем сочетания лобовых атак с маневрированием по горизонту, сохраняя общий строй и курс.</w:t>
      </w:r>
    </w:p>
    <w:p w14:paraId="3BF3456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Удары по переправам были одними из самых сложных боевых задач для летчиков штурмовиков. Как правило, переправы очень сильно прикрывались зенитными средствами и постоянным патрулями истребителей Люфтваффе</w:t>
      </w:r>
    </w:p>
    <w:p w14:paraId="7EBB3D3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встрече с противником над своей территорией рекомендовалось встать в оборонительный "круг". Разворот при построении "круга" всегда производился в сторону противника. При этом внутренние пары делали вираж, становясь друг другу в хвост, а внешняя пара (ведомая) делала разворот и шла в паре, пока не замкнется общий круг. Для построения эффективного "круга" число Ил-2 в группе должно было быть не менее 6. Дистанция между самолетами в круге - 150-200 м, высота полета - не ниже 300 м, крены при развороте - от 15° до 40°.</w:t>
      </w:r>
    </w:p>
    <w:p w14:paraId="70283FE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Экипажи имели право и были обязаны в целях отражения атак истребителей маневрировать по горизонту разворотами влево и вправо до 45°, а по вертикали кабрированием и планированием под углом до 30°.</w:t>
      </w:r>
    </w:p>
    <w:p w14:paraId="53290B9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Показательные воздушные бои, разработка рекомендаций по ведению воздушного боя и, самое главное, усилия комсостава ВВС КА по внедрению в сознание летчиков веры в боевые возможности Ил-2 и уверенности в своих силах сделали свое дело: в анналах истории войны имеются много поучительных примеров успешного проведения воздушных боев на Ил-2.</w:t>
      </w:r>
    </w:p>
    <w:p w14:paraId="68AE650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ст. сержант Данилов из 807-й шап в воздушном бою 24 августа сбил Bf 109, на следующий день - бомбардировщик Ju 88, а 29 августа - один Bf 110.</w:t>
      </w:r>
    </w:p>
    <w:p w14:paraId="0566170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августа один из самых опытных бойцов 686-го шап заместитель командира эскадрильи ст. лейтенант Кочетков в воздушном бою с Ju 87 и прикрывавшими их Bf 110 сбил один "мессершмитт". Через три дня Кочетков погиб в бою - от прямого попадания крупнокалиберного зенитного снаряда его Ил-2 взорвался в воздухе. Указом Президиума Верховного Совета СССР от 5 ноября 1942 г. Н. П. Кочеткову было присвоено звание Героя Советского Союза посмертно (12020).</w:t>
      </w:r>
    </w:p>
    <w:p w14:paraId="388E59C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818341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сентября 1942 г. Военный совет ВВС КА издал специальное Постановление "Об улучшении качества подготовки маршевых авиаполков и одиночных летчиков (экипажей) для фронта", в котором обязал начальника Главного управления обучения, формирования и укомплектования ВВС генерал-майора Никитина принять все меры к резкому улучшению качества подготовки летного и технического состава маршевых авиаполков, особенно истребительных. Главный инженер ВВС генерал-лейтенант Репин обязывался "...с 15.09.42 г. организовать ремонт материальной части запасных авиаполков и школ", а начальники управлений и самостоятельных отделов должны были "взять под особый контроль обеспечение работы запасных и маршевых авиаполков всеми видами снабжения". Кроме того, Военный совет просил ГКО обязать НКАП "выпускать ежемесячно для школ, запасных полков и учебно-тренировочных полков учебных самолетов: Як-7 - 20, Ил-2 - 15, Пе-2 - 5..."</w:t>
      </w:r>
    </w:p>
    <w:p w14:paraId="639415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предпринимаемые командованием ВВС меры, серьезных изменений в лучшую сторону в подготовке маршевых полков все же не произошло. Да и не могло произойти. Фронт непрерывно требовал пополнений, и они поступали в нужных количествах, естественно, в ущерб качеству. Большинство маршевых полков убывали на фронт, так и не освоив 2-й раздел программы (12020).</w:t>
      </w:r>
    </w:p>
    <w:p w14:paraId="42FD349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0DC0DB6"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сентября 1942 г. в Сталинградское сражение вступила вновь сформированная 16</w:t>
      </w:r>
      <w:r w:rsidRPr="00722885">
        <w:rPr>
          <w:rFonts w:ascii="Times New Roman" w:hAnsi="Times New Roman"/>
          <w:color w:val="0070C0"/>
          <w:sz w:val="16"/>
          <w:szCs w:val="16"/>
        </w:rPr>
        <w:noBreakHyphen/>
        <w:t>я воздушная армия под командованием генерал</w:t>
      </w:r>
      <w:r w:rsidRPr="00722885">
        <w:rPr>
          <w:rFonts w:ascii="Times New Roman" w:hAnsi="Times New Roman"/>
          <w:color w:val="0070C0"/>
          <w:sz w:val="16"/>
          <w:szCs w:val="16"/>
        </w:rPr>
        <w:noBreakHyphen/>
        <w:t>майора П.С. Степанова. Сектор действий ее находился северо</w:t>
      </w:r>
      <w:r w:rsidRPr="00722885">
        <w:rPr>
          <w:rFonts w:ascii="Times New Roman" w:hAnsi="Times New Roman"/>
          <w:color w:val="0070C0"/>
          <w:sz w:val="16"/>
          <w:szCs w:val="16"/>
        </w:rPr>
        <w:noBreakHyphen/>
        <w:t>западнее города и далее по реке Дон. В состав армии входили четыре авиадивизии и несколько отдельных авиаполков, имевшие к началу боев в общей сложности 152 боеготовых самолета. Почти все истребительные полки были оснащены самолетами Як</w:t>
      </w:r>
      <w:r w:rsidRPr="00722885">
        <w:rPr>
          <w:rFonts w:ascii="Times New Roman" w:hAnsi="Times New Roman"/>
          <w:color w:val="0070C0"/>
          <w:sz w:val="16"/>
          <w:szCs w:val="16"/>
        </w:rPr>
        <w:noBreakHyphen/>
        <w:t>1, и лишь 291</w:t>
      </w:r>
      <w:r w:rsidRPr="00722885">
        <w:rPr>
          <w:rFonts w:ascii="Times New Roman" w:hAnsi="Times New Roman"/>
          <w:color w:val="0070C0"/>
          <w:sz w:val="16"/>
          <w:szCs w:val="16"/>
        </w:rPr>
        <w:noBreakHyphen/>
        <w:t>й иап летал на ЛаГГ</w:t>
      </w:r>
      <w:r w:rsidRPr="00722885">
        <w:rPr>
          <w:rFonts w:ascii="Times New Roman" w:hAnsi="Times New Roman"/>
          <w:color w:val="0070C0"/>
          <w:sz w:val="16"/>
          <w:szCs w:val="16"/>
        </w:rPr>
        <w:noBreakHyphen/>
        <w:t>3. Чуть позднее в состав армии влилась еще и 283</w:t>
      </w:r>
      <w:r w:rsidRPr="00722885">
        <w:rPr>
          <w:rFonts w:ascii="Times New Roman" w:hAnsi="Times New Roman"/>
          <w:color w:val="0070C0"/>
          <w:sz w:val="16"/>
          <w:szCs w:val="16"/>
        </w:rPr>
        <w:noBreakHyphen/>
        <w:t>я иад в составе четырех полков (23199).</w:t>
      </w:r>
    </w:p>
    <w:p w14:paraId="4507005E" w14:textId="77777777" w:rsidR="005B5EE0" w:rsidRPr="00722885" w:rsidRDefault="005B5EE0" w:rsidP="00722885">
      <w:pPr>
        <w:spacing w:after="0" w:line="240" w:lineRule="auto"/>
        <w:jc w:val="both"/>
        <w:rPr>
          <w:rFonts w:ascii="Times New Roman" w:hAnsi="Times New Roman"/>
          <w:color w:val="0070C0"/>
          <w:sz w:val="16"/>
          <w:szCs w:val="16"/>
        </w:rPr>
      </w:pPr>
    </w:p>
    <w:p w14:paraId="06D860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сентября 1942 чтобы хоть как-то улучшить положе</w:t>
      </w:r>
      <w:r w:rsidRPr="00722885">
        <w:rPr>
          <w:color w:val="000000" w:themeColor="text1"/>
          <w:sz w:val="16"/>
          <w:szCs w:val="16"/>
        </w:rPr>
        <w:softHyphen/>
        <w:t>ние в воздухе, командование ВВС КА пошло на крайние меры - бро</w:t>
      </w:r>
      <w:r w:rsidRPr="00722885">
        <w:rPr>
          <w:color w:val="000000" w:themeColor="text1"/>
          <w:sz w:val="16"/>
          <w:szCs w:val="16"/>
        </w:rPr>
        <w:softHyphen/>
        <w:t>сило в сражение еще не полностью укомплектованную 16-ю ВА генерал-лей</w:t>
      </w:r>
      <w:r w:rsidRPr="00722885">
        <w:rPr>
          <w:color w:val="000000" w:themeColor="text1"/>
          <w:sz w:val="16"/>
          <w:szCs w:val="16"/>
        </w:rPr>
        <w:softHyphen/>
        <w:t>тенанта П.С.Степанова (с 28 сентября - генерал-лейтенант С.И.Руденко).</w:t>
      </w:r>
    </w:p>
    <w:p w14:paraId="35E7A83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К началу боевых действий в составе 228-й штурмовой (688-й, 694-й, 783-й и 285-й </w:t>
      </w:r>
      <w:r w:rsidRPr="00722885">
        <w:rPr>
          <w:iCs/>
          <w:color w:val="000000" w:themeColor="text1"/>
          <w:sz w:val="16"/>
          <w:szCs w:val="16"/>
        </w:rPr>
        <w:t>шап)</w:t>
      </w:r>
      <w:r w:rsidRPr="00722885">
        <w:rPr>
          <w:color w:val="000000" w:themeColor="text1"/>
          <w:sz w:val="16"/>
          <w:szCs w:val="16"/>
        </w:rPr>
        <w:t xml:space="preserve"> п-ка В.В.Степичева (с ок</w:t>
      </w:r>
      <w:r w:rsidRPr="00722885">
        <w:rPr>
          <w:color w:val="000000" w:themeColor="text1"/>
          <w:sz w:val="16"/>
          <w:szCs w:val="16"/>
        </w:rPr>
        <w:softHyphen/>
        <w:t>тября - п-п-к Г.И.Комаров) и 291-й сме</w:t>
      </w:r>
      <w:r w:rsidRPr="00722885">
        <w:rPr>
          <w:color w:val="000000" w:themeColor="text1"/>
          <w:sz w:val="16"/>
          <w:szCs w:val="16"/>
        </w:rPr>
        <w:softHyphen/>
        <w:t xml:space="preserve">шанной (243-й и 245-й </w:t>
      </w:r>
      <w:r w:rsidRPr="00722885">
        <w:rPr>
          <w:iCs/>
          <w:color w:val="000000" w:themeColor="text1"/>
          <w:sz w:val="16"/>
          <w:szCs w:val="16"/>
        </w:rPr>
        <w:t>шап</w:t>
      </w:r>
      <w:r w:rsidRPr="00722885">
        <w:rPr>
          <w:color w:val="000000" w:themeColor="text1"/>
          <w:sz w:val="16"/>
          <w:szCs w:val="16"/>
        </w:rPr>
        <w:t xml:space="preserve"> на Ил-2 и 30-й </w:t>
      </w:r>
      <w:r w:rsidRPr="00722885">
        <w:rPr>
          <w:iCs/>
          <w:color w:val="000000" w:themeColor="text1"/>
          <w:sz w:val="16"/>
          <w:szCs w:val="16"/>
        </w:rPr>
        <w:t>бап</w:t>
      </w:r>
      <w:r w:rsidRPr="00722885">
        <w:rPr>
          <w:color w:val="000000" w:themeColor="text1"/>
          <w:sz w:val="16"/>
          <w:szCs w:val="16"/>
        </w:rPr>
        <w:t xml:space="preserve"> на Пе-2) п-п-ка А.М.Витрука авиадивизий 16-й ВА насчитывалось 79 исправных штурмовиков Ил-2 - менее трети штатного состава. Всего же армия имела 152 исправ</w:t>
      </w:r>
      <w:r w:rsidRPr="00722885">
        <w:rPr>
          <w:color w:val="000000" w:themeColor="text1"/>
          <w:sz w:val="16"/>
          <w:szCs w:val="16"/>
        </w:rPr>
        <w:softHyphen/>
        <w:t>ных боевых самолета, из них 42 истре</w:t>
      </w:r>
      <w:r w:rsidRPr="00722885">
        <w:rPr>
          <w:color w:val="000000" w:themeColor="text1"/>
          <w:sz w:val="16"/>
          <w:szCs w:val="16"/>
        </w:rPr>
        <w:softHyphen/>
        <w:t>бителя и 31 легкий бомбардировщик.</w:t>
      </w:r>
    </w:p>
    <w:p w14:paraId="132DBD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 появлением 16-й ВА группировка ВВС КА на сталинградском направлении увеличилась до 738 боевых самолетов: 313 истребителей, 241 самолет Ил-2, 113 пикирующих бомбардировщиков Пе-2 и 71 ночной бомбардировщик. Положение в воздухе несколько улуч</w:t>
      </w:r>
      <w:r w:rsidRPr="00722885">
        <w:rPr>
          <w:color w:val="000000" w:themeColor="text1"/>
          <w:sz w:val="16"/>
          <w:szCs w:val="16"/>
        </w:rPr>
        <w:softHyphen/>
        <w:t>шилось, но не намного - немецкий 4-й воздушный флот (4-й, 5-й и 8-й авиа</w:t>
      </w:r>
      <w:r w:rsidRPr="00722885">
        <w:rPr>
          <w:color w:val="000000" w:themeColor="text1"/>
          <w:sz w:val="16"/>
          <w:szCs w:val="16"/>
        </w:rPr>
        <w:softHyphen/>
        <w:t>корпуса) имел в своем составе до 1200 боевых самолетов. Эффективность авиационной поддер</w:t>
      </w:r>
      <w:r w:rsidRPr="00722885">
        <w:rPr>
          <w:color w:val="000000" w:themeColor="text1"/>
          <w:sz w:val="16"/>
          <w:szCs w:val="16"/>
        </w:rPr>
        <w:softHyphen/>
        <w:t>жки войск в немалой степени снижалась вследствие недостатков в действиях самих штурмовиков и бомбардировщи</w:t>
      </w:r>
      <w:r w:rsidRPr="00722885">
        <w:rPr>
          <w:color w:val="000000" w:themeColor="text1"/>
          <w:sz w:val="16"/>
          <w:szCs w:val="16"/>
        </w:rPr>
        <w:softHyphen/>
        <w:t>ков.</w:t>
      </w:r>
    </w:p>
    <w:p w14:paraId="5CBEFD6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Экипажи Ил-2, принимавшие участие в штурмовках, несмотря на отсутствие в районе целей немецких истребителей и слабое противодействие зенитных средств, атаку целей зачастую произво</w:t>
      </w:r>
      <w:r w:rsidRPr="00722885">
        <w:rPr>
          <w:color w:val="000000" w:themeColor="text1"/>
          <w:sz w:val="16"/>
          <w:szCs w:val="16"/>
        </w:rPr>
        <w:softHyphen/>
        <w:t>дили по прямой (без дополнительного поиска) с использованием всего бор</w:t>
      </w:r>
      <w:r w:rsidRPr="00722885">
        <w:rPr>
          <w:color w:val="000000" w:themeColor="text1"/>
          <w:sz w:val="16"/>
          <w:szCs w:val="16"/>
        </w:rPr>
        <w:softHyphen/>
        <w:t>тового оружия и только в одном заходе. То есть войска противника не подверга</w:t>
      </w:r>
      <w:r w:rsidRPr="00722885">
        <w:rPr>
          <w:color w:val="000000" w:themeColor="text1"/>
          <w:sz w:val="16"/>
          <w:szCs w:val="16"/>
        </w:rPr>
        <w:softHyphen/>
        <w:t>лись длительному огневому воздействию со стороны "Илов".</w:t>
      </w:r>
    </w:p>
    <w:p w14:paraId="260B352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Боевые задачи выполнялись в растя</w:t>
      </w:r>
      <w:r w:rsidRPr="00722885">
        <w:rPr>
          <w:color w:val="000000" w:themeColor="text1"/>
          <w:sz w:val="16"/>
          <w:szCs w:val="16"/>
        </w:rPr>
        <w:softHyphen/>
        <w:t>нутых боевых порядках, выбор маршру</w:t>
      </w:r>
      <w:r w:rsidRPr="00722885">
        <w:rPr>
          <w:color w:val="000000" w:themeColor="text1"/>
          <w:sz w:val="16"/>
          <w:szCs w:val="16"/>
        </w:rPr>
        <w:softHyphen/>
        <w:t>та полета к цели и заход на цель - по шаблону (направление, высота, скорость изо дня в день одни и те же), а уход от цели после штурмовки осуществлялся экипажами нередко вообще без соблю</w:t>
      </w:r>
      <w:r w:rsidRPr="00722885">
        <w:rPr>
          <w:color w:val="000000" w:themeColor="text1"/>
          <w:sz w:val="16"/>
          <w:szCs w:val="16"/>
        </w:rPr>
        <w:softHyphen/>
        <w:t>дения какого-либо боевого порядка - по одиночке. Собственно говоря, при ухо</w:t>
      </w:r>
      <w:r w:rsidRPr="00722885">
        <w:rPr>
          <w:color w:val="000000" w:themeColor="text1"/>
          <w:sz w:val="16"/>
          <w:szCs w:val="16"/>
        </w:rPr>
        <w:softHyphen/>
        <w:t>де от цели группы, как таковой, у штур</w:t>
      </w:r>
      <w:r w:rsidRPr="00722885">
        <w:rPr>
          <w:color w:val="000000" w:themeColor="text1"/>
          <w:sz w:val="16"/>
          <w:szCs w:val="16"/>
        </w:rPr>
        <w:softHyphen/>
        <w:t xml:space="preserve">мовиков уже не было: </w:t>
      </w:r>
      <w:r w:rsidRPr="00722885">
        <w:rPr>
          <w:iCs/>
          <w:color w:val="000000" w:themeColor="text1"/>
          <w:sz w:val="16"/>
          <w:szCs w:val="16"/>
        </w:rPr>
        <w:t>"...на цель захо</w:t>
      </w:r>
      <w:r w:rsidRPr="00722885">
        <w:rPr>
          <w:iCs/>
          <w:color w:val="000000" w:themeColor="text1"/>
          <w:sz w:val="16"/>
          <w:szCs w:val="16"/>
        </w:rPr>
        <w:softHyphen/>
        <w:t>дили вместе, а потом я туда, а он сюда, и я его больше не видел..."</w:t>
      </w:r>
      <w:r w:rsidRPr="00722885">
        <w:rPr>
          <w:color w:val="000000" w:themeColor="text1"/>
          <w:sz w:val="16"/>
          <w:szCs w:val="16"/>
        </w:rPr>
        <w:t xml:space="preserve"> В результате полное отсутствие действенного огне</w:t>
      </w:r>
      <w:r w:rsidRPr="00722885">
        <w:rPr>
          <w:color w:val="000000" w:themeColor="text1"/>
          <w:sz w:val="16"/>
          <w:szCs w:val="16"/>
        </w:rPr>
        <w:softHyphen/>
        <w:t>вого взаимодействия между экипажами и, как следствие, большие потери от ис</w:t>
      </w:r>
      <w:r w:rsidRPr="00722885">
        <w:rPr>
          <w:color w:val="000000" w:themeColor="text1"/>
          <w:sz w:val="16"/>
          <w:szCs w:val="16"/>
        </w:rPr>
        <w:softHyphen/>
        <w:t>требителей Люфтваффе, которые "лови</w:t>
      </w:r>
      <w:r w:rsidRPr="00722885">
        <w:rPr>
          <w:color w:val="000000" w:themeColor="text1"/>
          <w:sz w:val="16"/>
          <w:szCs w:val="16"/>
        </w:rPr>
        <w:softHyphen/>
        <w:t>ли" Ил-2 главным образом на выходе из пикирования и на отходе от цели, ког</w:t>
      </w:r>
      <w:r w:rsidRPr="00722885">
        <w:rPr>
          <w:color w:val="000000" w:themeColor="text1"/>
          <w:sz w:val="16"/>
          <w:szCs w:val="16"/>
        </w:rPr>
        <w:softHyphen/>
        <w:t xml:space="preserve">да штурмовики </w:t>
      </w:r>
      <w:r w:rsidRPr="00722885">
        <w:rPr>
          <w:iCs/>
          <w:color w:val="000000" w:themeColor="text1"/>
          <w:sz w:val="16"/>
          <w:szCs w:val="16"/>
        </w:rPr>
        <w:t>"...вытягивались в длин</w:t>
      </w:r>
      <w:r w:rsidRPr="00722885">
        <w:rPr>
          <w:iCs/>
          <w:color w:val="000000" w:themeColor="text1"/>
          <w:sz w:val="16"/>
          <w:szCs w:val="16"/>
        </w:rPr>
        <w:softHyphen/>
        <w:t>ную кишку".</w:t>
      </w:r>
      <w:r w:rsidRPr="00722885">
        <w:rPr>
          <w:color w:val="000000" w:themeColor="text1"/>
          <w:sz w:val="16"/>
          <w:szCs w:val="16"/>
        </w:rPr>
        <w:t xml:space="preserve"> Прикрытие же своими ис</w:t>
      </w:r>
      <w:r w:rsidRPr="00722885">
        <w:rPr>
          <w:color w:val="000000" w:themeColor="text1"/>
          <w:sz w:val="16"/>
          <w:szCs w:val="16"/>
        </w:rPr>
        <w:softHyphen/>
        <w:t>требителями растянутых порядков было весьма и весьма затруднительно.</w:t>
      </w:r>
    </w:p>
    <w:p w14:paraId="1702D4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Вместо эффективного противозе</w:t>
      </w:r>
      <w:r w:rsidRPr="00722885">
        <w:rPr>
          <w:color w:val="000000" w:themeColor="text1"/>
          <w:sz w:val="16"/>
          <w:szCs w:val="16"/>
        </w:rPr>
        <w:softHyphen/>
        <w:t>нитного маневра в районе цели летчи</w:t>
      </w:r>
      <w:r w:rsidRPr="00722885">
        <w:rPr>
          <w:color w:val="000000" w:themeColor="text1"/>
          <w:sz w:val="16"/>
          <w:szCs w:val="16"/>
        </w:rPr>
        <w:softHyphen/>
        <w:t>ки-штурмовики часто выполняли лишь рыскание по курсу в плоскости полета. В зоне непосредственного огня отворо</w:t>
      </w:r>
      <w:r w:rsidRPr="00722885">
        <w:rPr>
          <w:color w:val="000000" w:themeColor="text1"/>
          <w:sz w:val="16"/>
          <w:szCs w:val="16"/>
        </w:rPr>
        <w:softHyphen/>
        <w:t>ты производились не в сторону разры</w:t>
      </w:r>
      <w:r w:rsidRPr="00722885">
        <w:rPr>
          <w:color w:val="000000" w:themeColor="text1"/>
          <w:sz w:val="16"/>
          <w:szCs w:val="16"/>
        </w:rPr>
        <w:softHyphen/>
        <w:t>вов снарядов зенитной артиллерии, а в противоположную сторону. В результа</w:t>
      </w:r>
      <w:r w:rsidRPr="00722885">
        <w:rPr>
          <w:color w:val="000000" w:themeColor="text1"/>
          <w:sz w:val="16"/>
          <w:szCs w:val="16"/>
        </w:rPr>
        <w:softHyphen/>
        <w:t>те немецкие зенитчики легко брали "Илы" в "вилку" и уверенно поражали четвертый, пятый и шестой самолеты в группе.</w:t>
      </w:r>
    </w:p>
    <w:p w14:paraId="629F7A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Много потерь Ил-2 и экипажей от огня зенитной артиллерии немцев происхо</w:t>
      </w:r>
      <w:r w:rsidRPr="00722885">
        <w:rPr>
          <w:color w:val="000000" w:themeColor="text1"/>
          <w:sz w:val="16"/>
          <w:szCs w:val="16"/>
        </w:rPr>
        <w:softHyphen/>
        <w:t>дило в это время вследствие пораже</w:t>
      </w:r>
      <w:r w:rsidRPr="00722885">
        <w:rPr>
          <w:color w:val="000000" w:themeColor="text1"/>
          <w:sz w:val="16"/>
          <w:szCs w:val="16"/>
        </w:rPr>
        <w:softHyphen/>
        <w:t>ния (в основном осколками от зенитных снарядов) масло- и водорадиаторов потому, что летчики забывали закрыть над целью бронезаслонку.</w:t>
      </w:r>
    </w:p>
    <w:p w14:paraId="1B1979F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Кроме этого, из-за нехватки Ил-2 и истребителей командование воздушных армий сталинградского направления было вынуждено формировать сборные группы штурмовиков и истребителей прикрытия из разных авиаполков, кото</w:t>
      </w:r>
      <w:r w:rsidRPr="00722885">
        <w:rPr>
          <w:color w:val="000000" w:themeColor="text1"/>
          <w:sz w:val="16"/>
          <w:szCs w:val="16"/>
        </w:rPr>
        <w:softHyphen/>
        <w:t>рые, вполне естественно, не могли об</w:t>
      </w:r>
      <w:r w:rsidRPr="00722885">
        <w:rPr>
          <w:color w:val="000000" w:themeColor="text1"/>
          <w:sz w:val="16"/>
          <w:szCs w:val="16"/>
        </w:rPr>
        <w:softHyphen/>
        <w:t>ладать хорошей групповой слетанностью, а значит, показывать высокую эффектив</w:t>
      </w:r>
      <w:r w:rsidRPr="00722885">
        <w:rPr>
          <w:color w:val="000000" w:themeColor="text1"/>
          <w:sz w:val="16"/>
          <w:szCs w:val="16"/>
        </w:rPr>
        <w:softHyphen/>
        <w:t>ность в бою. Отметим, что недостатки боевого при</w:t>
      </w:r>
      <w:r w:rsidRPr="00722885">
        <w:rPr>
          <w:color w:val="000000" w:themeColor="text1"/>
          <w:sz w:val="16"/>
          <w:szCs w:val="16"/>
        </w:rPr>
        <w:softHyphen/>
        <w:t>менения штурмовиков Ил-2 обуславливались главным образом имевшими место серьезными просчетами в поряд</w:t>
      </w:r>
      <w:r w:rsidRPr="00722885">
        <w:rPr>
          <w:color w:val="000000" w:themeColor="text1"/>
          <w:sz w:val="16"/>
          <w:szCs w:val="16"/>
        </w:rPr>
        <w:softHyphen/>
        <w:t>ке формирования, комплектования и боевой подготовки штурмовых авиапол</w:t>
      </w:r>
      <w:r w:rsidRPr="00722885">
        <w:rPr>
          <w:color w:val="000000" w:themeColor="text1"/>
          <w:sz w:val="16"/>
          <w:szCs w:val="16"/>
        </w:rPr>
        <w:softHyphen/>
        <w:t>ков.</w:t>
      </w:r>
    </w:p>
    <w:p w14:paraId="3B6808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Дело в том, что восполнение потерь воздушных армий в этот период осуще</w:t>
      </w:r>
      <w:r w:rsidRPr="00722885">
        <w:rPr>
          <w:color w:val="000000" w:themeColor="text1"/>
          <w:sz w:val="16"/>
          <w:szCs w:val="16"/>
        </w:rPr>
        <w:softHyphen/>
        <w:t>ствлялось путем вывода из их составов штурмовых авиаполков, понесших наи</w:t>
      </w:r>
      <w:r w:rsidRPr="00722885">
        <w:rPr>
          <w:color w:val="000000" w:themeColor="text1"/>
          <w:sz w:val="16"/>
          <w:szCs w:val="16"/>
        </w:rPr>
        <w:softHyphen/>
        <w:t>больший урон, и ввода в бой свежих маршевых полков. Поскольку авиапол</w:t>
      </w:r>
      <w:r w:rsidRPr="00722885">
        <w:rPr>
          <w:color w:val="000000" w:themeColor="text1"/>
          <w:sz w:val="16"/>
          <w:szCs w:val="16"/>
        </w:rPr>
        <w:softHyphen/>
        <w:t>ки имели 20-самолетный состав, а по</w:t>
      </w:r>
      <w:r w:rsidRPr="00722885">
        <w:rPr>
          <w:color w:val="000000" w:themeColor="text1"/>
          <w:sz w:val="16"/>
          <w:szCs w:val="16"/>
        </w:rPr>
        <w:softHyphen/>
        <w:t>тери были значительными, то полки на фронте менялись очень часто. При этом опытный летный состав из фронтовых полков, успевший к моменту вывода хо</w:t>
      </w:r>
      <w:r w:rsidRPr="00722885">
        <w:rPr>
          <w:color w:val="000000" w:themeColor="text1"/>
          <w:sz w:val="16"/>
          <w:szCs w:val="16"/>
        </w:rPr>
        <w:softHyphen/>
        <w:t>рошо изучить район боевых действий, тактику боя немецких зенитчиков и ис</w:t>
      </w:r>
      <w:r w:rsidRPr="00722885">
        <w:rPr>
          <w:color w:val="000000" w:themeColor="text1"/>
          <w:sz w:val="16"/>
          <w:szCs w:val="16"/>
        </w:rPr>
        <w:softHyphen/>
        <w:t>требителей, а также боевые возможнос</w:t>
      </w:r>
      <w:r w:rsidRPr="00722885">
        <w:rPr>
          <w:color w:val="000000" w:themeColor="text1"/>
          <w:sz w:val="16"/>
          <w:szCs w:val="16"/>
        </w:rPr>
        <w:softHyphen/>
        <w:t>ти штурмовика Ил-2 и тактику его при</w:t>
      </w:r>
      <w:r w:rsidRPr="00722885">
        <w:rPr>
          <w:color w:val="000000" w:themeColor="text1"/>
          <w:sz w:val="16"/>
          <w:szCs w:val="16"/>
        </w:rPr>
        <w:softHyphen/>
        <w:t>менения на фронте, надолго выбывал из боя. Более того, выводимые в тыл авиа</w:t>
      </w:r>
      <w:r w:rsidRPr="00722885">
        <w:rPr>
          <w:color w:val="000000" w:themeColor="text1"/>
          <w:sz w:val="16"/>
          <w:szCs w:val="16"/>
        </w:rPr>
        <w:softHyphen/>
        <w:t>полки нередко подвергались коренной реорганизации, в результате чего теря</w:t>
      </w:r>
      <w:r w:rsidRPr="00722885">
        <w:rPr>
          <w:color w:val="000000" w:themeColor="text1"/>
          <w:sz w:val="16"/>
          <w:szCs w:val="16"/>
        </w:rPr>
        <w:softHyphen/>
        <w:t>ли боевые традиции и преемственность боевого опыта, а после доукомплектования направлялись на другое направле</w:t>
      </w:r>
      <w:r w:rsidRPr="00722885">
        <w:rPr>
          <w:color w:val="000000" w:themeColor="text1"/>
          <w:sz w:val="16"/>
          <w:szCs w:val="16"/>
        </w:rPr>
        <w:softHyphen/>
        <w:t>ние. Качественное же состояние марше</w:t>
      </w:r>
      <w:r w:rsidRPr="00722885">
        <w:rPr>
          <w:color w:val="000000" w:themeColor="text1"/>
          <w:sz w:val="16"/>
          <w:szCs w:val="16"/>
        </w:rPr>
        <w:softHyphen/>
        <w:t>вых штурмовых авиаполков, прибываю</w:t>
      </w:r>
      <w:r w:rsidRPr="00722885">
        <w:rPr>
          <w:color w:val="000000" w:themeColor="text1"/>
          <w:sz w:val="16"/>
          <w:szCs w:val="16"/>
        </w:rPr>
        <w:softHyphen/>
        <w:t>щих на замену, оставляло желать много.лучшего, так как полки формировались в основном из летчиков-сержантов, не имевших ни боевого опыта, ни большого налета на боевом самолете. В наиболее благополучных полках удельный : вес летчиков-штурмовиков, имевших хоть какой-то боевой опыт, не превышал 30% всего состава (из них 40-60% на самолете Ил-2, остальные - на Р-5, У-2, СБ, Пе-2), летчиков, окончивших летную школу и имевших опыт полетов на са</w:t>
      </w:r>
      <w:r w:rsidRPr="00722885">
        <w:rPr>
          <w:color w:val="000000" w:themeColor="text1"/>
          <w:sz w:val="16"/>
          <w:szCs w:val="16"/>
        </w:rPr>
        <w:softHyphen/>
        <w:t>молете Ил-2 (от 3 до 20 часов, при сред</w:t>
      </w:r>
      <w:r w:rsidRPr="00722885">
        <w:rPr>
          <w:color w:val="000000" w:themeColor="text1"/>
          <w:sz w:val="16"/>
          <w:szCs w:val="16"/>
        </w:rPr>
        <w:softHyphen/>
        <w:t>нем налете на одного летчика 13 часов) - не более 40%, остальные 30% прихо</w:t>
      </w:r>
      <w:r w:rsidRPr="00722885">
        <w:rPr>
          <w:color w:val="000000" w:themeColor="text1"/>
          <w:sz w:val="16"/>
          <w:szCs w:val="16"/>
        </w:rPr>
        <w:softHyphen/>
        <w:t>дились на летчиков из летных школ с небольшим налетом на самолетах ста</w:t>
      </w:r>
      <w:r w:rsidRPr="00722885">
        <w:rPr>
          <w:color w:val="000000" w:themeColor="text1"/>
          <w:sz w:val="16"/>
          <w:szCs w:val="16"/>
        </w:rPr>
        <w:softHyphen/>
        <w:t>рого типа. Средний налет по слепой под</w:t>
      </w:r>
      <w:r w:rsidRPr="00722885">
        <w:rPr>
          <w:color w:val="000000" w:themeColor="text1"/>
          <w:sz w:val="16"/>
          <w:szCs w:val="16"/>
        </w:rPr>
        <w:softHyphen/>
        <w:t>готовке не превышал 1,5 часов (2-3 по</w:t>
      </w:r>
      <w:r w:rsidRPr="00722885">
        <w:rPr>
          <w:color w:val="000000" w:themeColor="text1"/>
          <w:sz w:val="16"/>
          <w:szCs w:val="16"/>
        </w:rPr>
        <w:softHyphen/>
        <w:t>садки).</w:t>
      </w:r>
    </w:p>
    <w:p w14:paraId="210C1A2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Подготовка летного состава марше</w:t>
      </w:r>
      <w:r w:rsidRPr="00722885">
        <w:rPr>
          <w:color w:val="000000" w:themeColor="text1"/>
          <w:sz w:val="16"/>
          <w:szCs w:val="16"/>
        </w:rPr>
        <w:softHyphen/>
        <w:t xml:space="preserve">вых штурмовых авиаполков в запасных авиаполках 1-й </w:t>
      </w:r>
      <w:r w:rsidRPr="00722885">
        <w:rPr>
          <w:iCs/>
          <w:color w:val="000000" w:themeColor="text1"/>
          <w:sz w:val="16"/>
          <w:szCs w:val="16"/>
        </w:rPr>
        <w:t>заб</w:t>
      </w:r>
      <w:r w:rsidRPr="00722885">
        <w:rPr>
          <w:color w:val="000000" w:themeColor="text1"/>
          <w:sz w:val="16"/>
          <w:szCs w:val="16"/>
        </w:rPr>
        <w:t xml:space="preserve"> в это время была организована из рук вон плохо.</w:t>
      </w:r>
    </w:p>
    <w:p w14:paraId="685406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Обучение производилось по програм</w:t>
      </w:r>
      <w:r w:rsidRPr="00722885">
        <w:rPr>
          <w:color w:val="000000" w:themeColor="text1"/>
          <w:sz w:val="16"/>
          <w:szCs w:val="16"/>
        </w:rPr>
        <w:softHyphen/>
        <w:t>ме боевой подготовки, утвержденной ГУ ВВС КА от 21 июня 1942 г. Как правило, на каждом аэродроме бригады обуча</w:t>
      </w:r>
      <w:r w:rsidRPr="00722885">
        <w:rPr>
          <w:color w:val="000000" w:themeColor="text1"/>
          <w:sz w:val="16"/>
          <w:szCs w:val="16"/>
        </w:rPr>
        <w:softHyphen/>
        <w:t>лось и формировалось по несколько штурмовых авиаполков. Каждый полк для производства полетов по программе подготовки получал по 2-3 учебных Ил-2 и Ил-2У. При этом технический со</w:t>
      </w:r>
      <w:r w:rsidRPr="00722885">
        <w:rPr>
          <w:color w:val="000000" w:themeColor="text1"/>
          <w:sz w:val="16"/>
          <w:szCs w:val="16"/>
        </w:rPr>
        <w:softHyphen/>
        <w:t>став собирал штурмовики на авиазаво</w:t>
      </w:r>
      <w:r w:rsidRPr="00722885">
        <w:rPr>
          <w:color w:val="000000" w:themeColor="text1"/>
          <w:sz w:val="16"/>
          <w:szCs w:val="16"/>
        </w:rPr>
        <w:softHyphen/>
        <w:t>де. В некоторых случаях программу лет</w:t>
      </w:r>
      <w:r w:rsidRPr="00722885">
        <w:rPr>
          <w:color w:val="000000" w:themeColor="text1"/>
          <w:sz w:val="16"/>
          <w:szCs w:val="16"/>
        </w:rPr>
        <w:softHyphen/>
        <w:t>ной подготовки полки выполняли сразу на своих самолетах. Все учебные поле</w:t>
      </w:r>
      <w:r w:rsidRPr="00722885">
        <w:rPr>
          <w:color w:val="000000" w:themeColor="text1"/>
          <w:sz w:val="16"/>
          <w:szCs w:val="16"/>
        </w:rPr>
        <w:softHyphen/>
        <w:t>ты проводились строго по графику.</w:t>
      </w:r>
    </w:p>
    <w:p w14:paraId="7A9AE4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Условия же для учебы были крайне тяжелые и совершенно не способство</w:t>
      </w:r>
      <w:r w:rsidRPr="00722885">
        <w:rPr>
          <w:color w:val="000000" w:themeColor="text1"/>
          <w:sz w:val="16"/>
          <w:szCs w:val="16"/>
        </w:rPr>
        <w:softHyphen/>
        <w:t>вали быстрому и качественному вводу в строй молодых летчиков. Например, из-за большой скученности полков и пло</w:t>
      </w:r>
      <w:r w:rsidRPr="00722885">
        <w:rPr>
          <w:color w:val="000000" w:themeColor="text1"/>
          <w:sz w:val="16"/>
          <w:szCs w:val="16"/>
        </w:rPr>
        <w:softHyphen/>
        <w:t>хой организации работы аэродромных служб на прием пищи уходило до 3 ча</w:t>
      </w:r>
      <w:r w:rsidRPr="00722885">
        <w:rPr>
          <w:color w:val="000000" w:themeColor="text1"/>
          <w:sz w:val="16"/>
          <w:szCs w:val="16"/>
        </w:rPr>
        <w:softHyphen/>
        <w:t>сов. Летный и технический составы жили в землянках. Летное время каждому пол</w:t>
      </w:r>
      <w:r w:rsidRPr="00722885">
        <w:rPr>
          <w:color w:val="000000" w:themeColor="text1"/>
          <w:sz w:val="16"/>
          <w:szCs w:val="16"/>
        </w:rPr>
        <w:softHyphen/>
        <w:t>ку предоставлялось только один (!) раз в неделю и всего на половину дня. В остальное время летчики изучали мат-часть и сдавали зачеты. В результате молодежь штурмовых авиаполков, нахо</w:t>
      </w:r>
      <w:r w:rsidRPr="00722885">
        <w:rPr>
          <w:color w:val="000000" w:themeColor="text1"/>
          <w:sz w:val="16"/>
          <w:szCs w:val="16"/>
        </w:rPr>
        <w:softHyphen/>
        <w:t xml:space="preserve">дясь на формировании в 1-й </w:t>
      </w:r>
      <w:r w:rsidRPr="00722885">
        <w:rPr>
          <w:iCs/>
          <w:color w:val="000000" w:themeColor="text1"/>
          <w:sz w:val="16"/>
          <w:szCs w:val="16"/>
        </w:rPr>
        <w:t>заб,</w:t>
      </w:r>
      <w:r w:rsidRPr="00722885">
        <w:rPr>
          <w:color w:val="000000" w:themeColor="text1"/>
          <w:sz w:val="16"/>
          <w:szCs w:val="16"/>
        </w:rPr>
        <w:t xml:space="preserve"> обыч</w:t>
      </w:r>
      <w:r w:rsidRPr="00722885">
        <w:rPr>
          <w:color w:val="000000" w:themeColor="text1"/>
          <w:sz w:val="16"/>
          <w:szCs w:val="16"/>
        </w:rPr>
        <w:softHyphen/>
        <w:t>но успевала отработать полностью толь</w:t>
      </w:r>
      <w:r w:rsidRPr="00722885">
        <w:rPr>
          <w:color w:val="000000" w:themeColor="text1"/>
          <w:sz w:val="16"/>
          <w:szCs w:val="16"/>
        </w:rPr>
        <w:softHyphen/>
        <w:t>ко 1-й раздел программы боевой под</w:t>
      </w:r>
      <w:r w:rsidRPr="00722885">
        <w:rPr>
          <w:color w:val="000000" w:themeColor="text1"/>
          <w:sz w:val="16"/>
          <w:szCs w:val="16"/>
        </w:rPr>
        <w:softHyphen/>
        <w:t>готовки (отработка индивидуальной тех</w:t>
      </w:r>
      <w:r w:rsidRPr="00722885">
        <w:rPr>
          <w:color w:val="000000" w:themeColor="text1"/>
          <w:sz w:val="16"/>
          <w:szCs w:val="16"/>
        </w:rPr>
        <w:softHyphen/>
        <w:t>ники пилотирования), а 2-й раздел (от</w:t>
      </w:r>
      <w:r w:rsidRPr="00722885">
        <w:rPr>
          <w:color w:val="000000" w:themeColor="text1"/>
          <w:sz w:val="16"/>
          <w:szCs w:val="16"/>
        </w:rPr>
        <w:softHyphen/>
        <w:t>работка групповых полетов в составе звена и эскадрильи и боевое примене</w:t>
      </w:r>
      <w:r w:rsidRPr="00722885">
        <w:rPr>
          <w:color w:val="000000" w:themeColor="text1"/>
          <w:sz w:val="16"/>
          <w:szCs w:val="16"/>
        </w:rPr>
        <w:softHyphen/>
        <w:t>ние) - лишь частично. К тому же, в ряде случаев летный состав, предназначенный для формирования полков и уже про</w:t>
      </w:r>
      <w:r w:rsidRPr="00722885">
        <w:rPr>
          <w:color w:val="000000" w:themeColor="text1"/>
          <w:sz w:val="16"/>
          <w:szCs w:val="16"/>
        </w:rPr>
        <w:softHyphen/>
        <w:t>шедший программу боевой подготовки на Ил-2, на длительное время (2-4 ме</w:t>
      </w:r>
      <w:r w:rsidRPr="00722885">
        <w:rPr>
          <w:color w:val="000000" w:themeColor="text1"/>
          <w:sz w:val="16"/>
          <w:szCs w:val="16"/>
        </w:rPr>
        <w:softHyphen/>
        <w:t>сяца) привлекался для уборки урожая в колхозах Куйбышевской области.</w:t>
      </w:r>
    </w:p>
    <w:p w14:paraId="233FCED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Очевидно, что сформированные в та</w:t>
      </w:r>
      <w:r w:rsidRPr="00722885">
        <w:rPr>
          <w:color w:val="000000" w:themeColor="text1"/>
          <w:sz w:val="16"/>
          <w:szCs w:val="16"/>
        </w:rPr>
        <w:softHyphen/>
        <w:t>ких условиях штурмовые авиаполки не могли обладать боевыми возможностя</w:t>
      </w:r>
      <w:r w:rsidRPr="00722885">
        <w:rPr>
          <w:color w:val="000000" w:themeColor="text1"/>
          <w:sz w:val="16"/>
          <w:szCs w:val="16"/>
        </w:rPr>
        <w:softHyphen/>
        <w:t>ми (слетанностью, стрелковой и такти</w:t>
      </w:r>
      <w:r w:rsidRPr="00722885">
        <w:rPr>
          <w:color w:val="000000" w:themeColor="text1"/>
          <w:sz w:val="16"/>
          <w:szCs w:val="16"/>
        </w:rPr>
        <w:softHyphen/>
        <w:t>ческой выучкой и т.д.), адекватными сло</w:t>
      </w:r>
      <w:r w:rsidRPr="00722885">
        <w:rPr>
          <w:color w:val="000000" w:themeColor="text1"/>
          <w:sz w:val="16"/>
          <w:szCs w:val="16"/>
        </w:rPr>
        <w:softHyphen/>
        <w:t>жившейся обстановке на фронте, и ожи</w:t>
      </w:r>
      <w:r w:rsidRPr="00722885">
        <w:rPr>
          <w:color w:val="000000" w:themeColor="text1"/>
          <w:sz w:val="16"/>
          <w:szCs w:val="16"/>
        </w:rPr>
        <w:softHyphen/>
        <w:t>дать от них высокой эффективности и живучести в бою, естественно, не прихо</w:t>
      </w:r>
      <w:r w:rsidRPr="00722885">
        <w:rPr>
          <w:color w:val="000000" w:themeColor="text1"/>
          <w:sz w:val="16"/>
          <w:szCs w:val="16"/>
        </w:rPr>
        <w:softHyphen/>
        <w:t>дилось (6467).</w:t>
      </w:r>
    </w:p>
    <w:p w14:paraId="61EFF10A" w14:textId="77777777" w:rsidR="00AE7191" w:rsidRPr="00722885" w:rsidRDefault="00AE7191" w:rsidP="00722885">
      <w:pPr>
        <w:pStyle w:val="Iauiue"/>
        <w:jc w:val="both"/>
        <w:rPr>
          <w:color w:val="000000" w:themeColor="text1"/>
          <w:sz w:val="16"/>
          <w:szCs w:val="16"/>
        </w:rPr>
      </w:pPr>
    </w:p>
    <w:p w14:paraId="4CFEF7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4-5 сентября 1942 на архангельский аэродром Африканда и аэродромы Ваенга и Кандалакша прилетели 23 Хэмпдена из 32 вылетевших из Симбурга, Шотландия с тем, чтобы 7 сентября начать защиту конвоя PQ-18. 1 октября мы их запросили и получили (345,18).</w:t>
      </w:r>
    </w:p>
    <w:p w14:paraId="6C57C50C" w14:textId="77777777" w:rsidR="00AE7191" w:rsidRPr="00722885" w:rsidRDefault="00AE7191" w:rsidP="00722885">
      <w:pPr>
        <w:pStyle w:val="Iauiue"/>
        <w:jc w:val="both"/>
        <w:rPr>
          <w:color w:val="000000" w:themeColor="text1"/>
          <w:sz w:val="16"/>
          <w:szCs w:val="16"/>
        </w:rPr>
      </w:pPr>
    </w:p>
    <w:p w14:paraId="7E2F40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сентября 1942 советская авиация первый раз бомбила Будапешт и это вообще был первый налет за войну (2100).</w:t>
      </w:r>
    </w:p>
    <w:p w14:paraId="75D280EC" w14:textId="77777777" w:rsidR="00AE7191" w:rsidRPr="00722885" w:rsidRDefault="00AE7191" w:rsidP="00722885">
      <w:pPr>
        <w:pStyle w:val="Iauiue"/>
        <w:jc w:val="both"/>
        <w:rPr>
          <w:color w:val="000000" w:themeColor="text1"/>
          <w:sz w:val="16"/>
          <w:szCs w:val="16"/>
        </w:rPr>
      </w:pPr>
    </w:p>
    <w:p w14:paraId="0BBC09AD" w14:textId="77777777" w:rsidR="008A2C6D" w:rsidRPr="00722885" w:rsidRDefault="008A2C6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В ночь с 4 на 5 сентября 1942 состоялся Первый налет на столицу хортистской Венгрии. До этого авиационных ударов по Будапешту не было. Расстояние от подмосковных авиабаз до Будапешта было существенно больше, чем от Андреаполя до Берлина. Это, с одной стороны, усложняло задачу экипажам АДД, с другой – служило одним из элементов внезапности планировавшегося рейда. Как отмечено выше, город оказался не затемнен, кроме того, работала широковещательная радиостанция, которую наши летчики использовали в качестве радиомаяка. Воздушная тревога прозвучала только после начала бомбежки и длилась 107 минут. На </w:t>
      </w:r>
      <w:r w:rsidRPr="00722885">
        <w:rPr>
          <w:rFonts w:ascii="Times New Roman" w:hAnsi="Times New Roman"/>
          <w:color w:val="0070C0"/>
          <w:sz w:val="16"/>
          <w:szCs w:val="16"/>
        </w:rPr>
        <w:lastRenderedPageBreak/>
        <w:t>город упало несколько десятков авиабомб, повредивших ряд городских домов в различных частях города. Людские потери составили 11 убитых и 61 раненый, в том числе 21 - тяжело. Неготовность ПВО Будапешта подтверждают и немецкие документы. В налете приняли участие самолеты 36-й ад дд, шесть из которых бомбили основную цель и шесть запасные (Ковель, Кобрин, Минск, Пустошка, Барановичи, Локня). Безвозвратных потерь не было, но два экипажа совершили вынужденные посадки на своей территории.27 Из девяти бомбивших столицу Венгрии самолетов 17-й ад дд не вернулся домой самолет командира звена 750-го ап дд капитана А.В. Вихарева.28 Пилот смог через 19 дней перейти линию фронта, а остальные члены экипажа пропали без вести (22728).</w:t>
      </w:r>
    </w:p>
    <w:p w14:paraId="47CBE6BF" w14:textId="77777777" w:rsidR="008A2C6D" w:rsidRPr="00722885" w:rsidRDefault="008A2C6D" w:rsidP="00722885">
      <w:pPr>
        <w:spacing w:after="0" w:line="240" w:lineRule="auto"/>
        <w:jc w:val="both"/>
        <w:rPr>
          <w:rFonts w:ascii="Times New Roman" w:hAnsi="Times New Roman"/>
          <w:color w:val="0070C0"/>
          <w:sz w:val="16"/>
          <w:szCs w:val="16"/>
        </w:rPr>
      </w:pPr>
    </w:p>
    <w:p w14:paraId="7460105D" w14:textId="77777777" w:rsidR="008A2C6D" w:rsidRPr="00722885" w:rsidRDefault="008A2C6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сентября 1942 один из бомбардировщиков АДД бомбил вместо Будапешта бомбил другую европейскую столицу - Вену. Упоминания об этом эпизоде отрывочны, но сомнений в ошибке нет. Вот что, например, писал об этом эпизоде через два дня после налета министр пропаганды Третьего Рейха Йозеф Геббельс: «Советские самолеты вторглись с востока в воздушное пространство в полосе от Риги до Будапешта. В Венгрии, в первую очередь на Будапешт, были сброшены фугасные бомбы. Шесть авиабомб разорвались в окрестностях Вены. Особых разрушений нигде не отмечено. Идентифицированные самолеты, участвовавшие в налете, относятся к типу устаревших машин (не было отмечено ни английских, ни американских типов). Самолеты шли на большой высоте и беспорядочно сбрасывали бомбы» (22728).</w:t>
      </w:r>
    </w:p>
    <w:p w14:paraId="2460BDF7" w14:textId="77777777" w:rsidR="008A2C6D" w:rsidRPr="00722885" w:rsidRDefault="008A2C6D" w:rsidP="00722885">
      <w:pPr>
        <w:spacing w:after="0" w:line="240" w:lineRule="auto"/>
        <w:jc w:val="both"/>
        <w:rPr>
          <w:rFonts w:ascii="Times New Roman" w:hAnsi="Times New Roman"/>
          <w:color w:val="0070C0"/>
          <w:sz w:val="16"/>
          <w:szCs w:val="16"/>
        </w:rPr>
      </w:pPr>
    </w:p>
    <w:p w14:paraId="27A8D2D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сентября 1942 вышло Постановление ГКО № 2237 Вопросы партизанского движения. РГАНИР, Фонд ГКО, д. 54, лл. 154-154об (11012).</w:t>
      </w:r>
    </w:p>
    <w:p w14:paraId="12ADA51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AA2A6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сентября 1942:</w:t>
      </w:r>
    </w:p>
    <w:p w14:paraId="3CD51D2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 СЕКРЕТНО. НАЧАЛЬНИКУ УПРАВЛЕНИЯ НКВД ЛО</w:t>
      </w:r>
    </w:p>
    <w:p w14:paraId="56CCDD3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Комиссару госуд.безопасности 3 ранга товарищу К У Б А Т К И Н У</w:t>
      </w:r>
    </w:p>
    <w:p w14:paraId="0C4FD56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СПЕЦСООБЩНИЕ</w:t>
      </w:r>
    </w:p>
    <w:p w14:paraId="6DBAE0B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недостаточном надзоре Службы Заграждения полевых частей и Войск НКВД по Охране войскового тыла С. — Зап. и Волховского фронтов и 7 Отд. Армии.</w:t>
      </w:r>
    </w:p>
    <w:p w14:paraId="354C39A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Ослабление внимания Особорганов полевых частей и штабов управления Войск НКВД по охране войскового тыла Северо-Западного, Волховского фронтов и 7-ой Отдельной Армии к Службе заграждения за последнее время в тыловых районах Лен. области привело к увеличению дезертиров из фронтовых частей.</w:t>
      </w:r>
    </w:p>
    <w:p w14:paraId="484BAB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Территориальными органами НКВД и милиции за 1942 год задержано дезертиров — 936.</w:t>
      </w:r>
    </w:p>
    <w:p w14:paraId="19F6C2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Задержанные дезертировали из в/частей:</w:t>
      </w:r>
    </w:p>
    <w:p w14:paraId="2A83E3B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Северо-Западного фронта — 381 Волховского фронта.. — 469 7-ой Отдельной Армии... -86</w:t>
      </w:r>
    </w:p>
    <w:p w14:paraId="20C45D4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воинских частей дезертиры уходят с оружием, документами, лошадьми, даже угоняют автомашины. В лесах, на территории тыловых районов, дезертиры делают благоустроенные землянки, с расчетом продолжительного проживания в них. Они занимаются грабежами, проявляют бандитизм, а при обнаружении и задержании оказывают вооруженное сопротивление.</w:t>
      </w:r>
    </w:p>
    <w:p w14:paraId="283BD05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м-це 1942 г. на территории Хвойнинского района в лесу была обнаружена хорошо оборудованная землянка, с кроватью и другой мебелью. При проческе леса были задержаны дезертиры 21 ГАП Волховского фронта А., 1919 г.р. и С. 1917 г.р. У задержанных изъяты: винтовка, обрез и 200 патронов».</w:t>
      </w:r>
    </w:p>
    <w:p w14:paraId="19B4D8D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одной в/части Волховского фронта в ноябре 1941 года дезертировал Ж., уехал из части на автомашине и с винтовкой. В дальнейшем он совместно с семьей поселился в лесу в землянке на территории Тихвинского района и стал заниматься хищением скота в колхозах... В феврале м-це 1942 г. при задержании колхозниками Ж.убил участника облавы РЕЧКОВА. После задержания он был передан в Особорганы».</w:t>
      </w:r>
    </w:p>
    <w:p w14:paraId="49EEDF1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Дезертиры терроризируют колхозников, работающих на полях по уборке урожая, и пастухов, пасущих колхозные стада.</w:t>
      </w:r>
    </w:p>
    <w:p w14:paraId="6BF2017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месяце в д. Сеньково Тихвинского района на покосе к колхознику ВОЛОЗНЕВУ Г.И. 52 лет подошел неизвестный в военной форме, ударил его палкой по голове. Когда ВОЛОЗНЕВ стал обороняться и звать на помощь колхозников, неизвестный, угрожая гранатой ВОЛОЗНЕВУ предложил замолчать, взял мешок с продуктами и скрылся в лес..</w:t>
      </w:r>
    </w:p>
    <w:p w14:paraId="3E2E6F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июля с/г. в д. Ласточка Любытинского района на пастбище убит колхозный пастух ВИНОГРАДОВ С. 1894 г.р. В убийстве подозревается дезертир Красной Армии».</w:t>
      </w:r>
    </w:p>
    <w:p w14:paraId="166BAF1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Пользуясь тем, что трудоспособные колхозники, могущие оказать сопротивление, находятся в поле, дезертиры заходят в населенные пункты с целью грабежа, убивают стариков и детей.</w:t>
      </w:r>
    </w:p>
    <w:p w14:paraId="3C2909D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 и Т. дезертиры из в/части Сев.Зап. фронта в дер. Новосель Демянского района убили СМИРНОВУ Марию Антоновну 60 лет, ее внука СМИРНОВА Бориса 12 лет...</w:t>
      </w:r>
    </w:p>
    <w:p w14:paraId="0D6AE94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июне месяце в дер. Морозово Молвотицкого района у себя в доме были обнаружены убитыми из боевой винтовки ШАПИН Иван 72 лет и его жена ШАПИНА Мария 71 г. Установлено, что убийство произведено с целью хищения продуктов неизвестными, одетыми в военную форму..</w:t>
      </w:r>
    </w:p>
    <w:p w14:paraId="598310E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месяце с/г. в Ефимовском районе была убита гр-ка ЛАРИОНОВА. В августе м-це с/г. на территории Вологодской Обл. задержан дезертир А., 1910 г.р., который сознался, что убийство ЛАРИОНОВОЙ совершено им совместно с дезертиром Ф. с целью ограбления».</w:t>
      </w:r>
    </w:p>
    <w:p w14:paraId="142CEAF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Крадут и убивают колхозный скот.</w:t>
      </w:r>
    </w:p>
    <w:p w14:paraId="1A3E557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июне в лесу на территории Мстинского р-на колхозники в поисках жеребят нашли землянку. Невдалеке от землянки встретили дезертира О., 1909 г.р., который пытался по колхозникам открыть стрельбу из винтовки. Колхозник МИХАЙЛОВ, имевший при себе винтовку, выстрелил в О.и убил его, а двое других дезертиров, одетых в военную форму, выскочив из землянки, скрылись. Жеребята колхозниками обнаружены у землянки забитыми..</w:t>
      </w:r>
    </w:p>
    <w:p w14:paraId="646204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...Дезертир 66 БАО Ф., 1915 г.р., по национальности коми, в течение ряда месяцев скрывался на территории Любытинского района. Занимался хищением овец из колхозного стада. В мае м-це убил служащего охраны завода 3 КДО МОКЕЕВА, Е.М., ехавшего в отпуск. При задержании Ф. пытался оказать вооруженное сопротивление, но был смертельно ранен. У него изъята винтовка и 70 патронов».</w:t>
      </w:r>
    </w:p>
    <w:p w14:paraId="1F428C0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Вооруженные сопротивления дезертиров — явление не единичное.</w:t>
      </w:r>
    </w:p>
    <w:p w14:paraId="570243C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мая с/г. в Мошенском районе дезертиром Ш., 1914 г.р. убит Пред-.сельсовета КУТУЗОВ. ШАРОВ задержан в Хвойнинском районе. При задержании изъяты боевая винтовка с 30 патронами..</w:t>
      </w:r>
    </w:p>
    <w:p w14:paraId="0CEE15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Дрегельском районе задержан дезертир 69 ЗАИ И., 1920 г.р., сын репрессированного кулака, при дезертирстве из в/части похитил лошадь и уехал в тыл. Скрывался в лесу, занимался грабежами, при задержании оказал вооруженное сопротивление.</w:t>
      </w:r>
    </w:p>
    <w:p w14:paraId="24C87A9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 Мгинском районе бежавший с поля боя дезертир С. при задержании оказал сопротивление, бросил гранату, но ранил себя. Изъяты винтовка, патроны и 2 гранаты.</w:t>
      </w:r>
    </w:p>
    <w:p w14:paraId="3A1420D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Имея целью скрыться от розыска, дезертиры запасаются документами на чужие фамилии:</w:t>
      </w:r>
    </w:p>
    <w:p w14:paraId="313CA9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июля с/г. в Дрегельском районе задержан дезертир Б., 1904 г.р., у которого изъяты винтовка, пистолет «ТТ» и патроны к ним, партбилет и 2 комсомольских билета на другие фамилии со следами крови на документах».</w:t>
      </w:r>
    </w:p>
    <w:p w14:paraId="7F3031D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Имеются случаи, когда дезертиры группами длительное время безнаказанно скрываются в районах дислоцирования заградительных отрядов Войск НКВД по охране войскового тыла.</w:t>
      </w:r>
    </w:p>
    <w:p w14:paraId="76F51E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Велебелковском районе группа дезертиров из 8 Гв. Стр. Дивизии в количестве 7 чел., вооруженных винтовками, похитили 3 лошадей и в течение мая месяца разъезжали по району в расположении заград.отряда Войск НКВД по ОВТ Сев.Зап.фронта, под видом заготовителей воинских частей. Все они задержаны и осуждены..</w:t>
      </w:r>
    </w:p>
    <w:p w14:paraId="34AACD7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дезертиров в количестве 3 чел. воентехника 1012 СП З., ст.сержан-та 848 СП Ш. и красноармейца Ш. по поддельным документам с разрешения военного коменданта города проживали в гор.Боровичах и по аттестатам получили большое количество продуктов в в/частях гарнизона. Дезертиры задержаны и осуждены. Комендант с работы снят.</w:t>
      </w:r>
    </w:p>
    <w:p w14:paraId="17998D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Сообщая о вышеизложенном, считал бы целесообразным поставить вопрос перед Управлением Особых Отделов НКВД СССР об усилении Службы заграждения полевых частей и войск НКВД по охране войскового тыла.</w:t>
      </w:r>
    </w:p>
    <w:p w14:paraId="78DCDCD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 УПРАВЛЕНИЯ НКВД ЛО</w:t>
      </w:r>
    </w:p>
    <w:p w14:paraId="4C1130B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Майор госуд.безопасности /И В А Н О В/</w:t>
      </w:r>
    </w:p>
    <w:p w14:paraId="4A87E6F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№2477</w:t>
      </w:r>
    </w:p>
    <w:p w14:paraId="5AB4EB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сентября 1942 г. г.Тихвин</w:t>
      </w:r>
    </w:p>
    <w:p w14:paraId="69C014B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Архив УФСБ ЛО. Ф.21/12. Оп.2. П.н.18. Д.11. Л.95-99 (11814).</w:t>
      </w:r>
    </w:p>
    <w:p w14:paraId="08E6B3A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586CFF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6FE5A081" w14:textId="77777777" w:rsidR="00AE7191" w:rsidRPr="00722885" w:rsidRDefault="00AE7191" w:rsidP="00722885">
      <w:pPr>
        <w:pStyle w:val="Iauiue"/>
        <w:jc w:val="both"/>
        <w:rPr>
          <w:iCs/>
          <w:color w:val="000000" w:themeColor="text1"/>
          <w:sz w:val="16"/>
          <w:szCs w:val="16"/>
        </w:rPr>
      </w:pPr>
    </w:p>
    <w:p w14:paraId="574B6A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сентября 1942 в газете Западного фронта Красноармейская правда начали печатать Теркина А.Твадовского (512,286).</w:t>
      </w:r>
    </w:p>
    <w:p w14:paraId="0338F18D" w14:textId="77777777" w:rsidR="00AE7191" w:rsidRPr="00722885" w:rsidRDefault="00AE7191" w:rsidP="00722885">
      <w:pPr>
        <w:pStyle w:val="Iauiue"/>
        <w:jc w:val="both"/>
        <w:rPr>
          <w:color w:val="000000" w:themeColor="text1"/>
          <w:sz w:val="16"/>
          <w:szCs w:val="16"/>
        </w:rPr>
      </w:pPr>
    </w:p>
    <w:p w14:paraId="3A9753D6"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4 сентября 1942 в газете “Красноармейская правда” начата публикация “Василия Теркина” А. Твардовского (4962).</w:t>
      </w:r>
    </w:p>
    <w:p w14:paraId="5A7819A0" w14:textId="77777777" w:rsidR="00AE7191" w:rsidRPr="00722885" w:rsidRDefault="00AE7191" w:rsidP="00722885">
      <w:pPr>
        <w:pStyle w:val="Iauiue"/>
        <w:tabs>
          <w:tab w:val="left" w:pos="11199"/>
        </w:tabs>
        <w:jc w:val="both"/>
        <w:rPr>
          <w:color w:val="000000" w:themeColor="text1"/>
          <w:sz w:val="16"/>
          <w:szCs w:val="16"/>
        </w:rPr>
      </w:pPr>
    </w:p>
    <w:p w14:paraId="4C7BFAA6"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4 сентября </w:t>
      </w:r>
      <w:r w:rsidRPr="00722885">
        <w:rPr>
          <w:rFonts w:ascii="Times New Roman" w:hAnsi="Times New Roman"/>
          <w:color w:val="000000" w:themeColor="text1"/>
          <w:sz w:val="16"/>
          <w:szCs w:val="16"/>
        </w:rPr>
        <w:t>в 1942 году в газете Западного фронта "Красноармейская правда" начинается публикация "Василия Теркина" А.Твардовского (14759).</w:t>
      </w:r>
    </w:p>
    <w:p w14:paraId="4B4B7EE2"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2A4F7001" w14:textId="77777777" w:rsidR="009F1857"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488B047" w14:textId="77777777" w:rsidR="009F1857" w:rsidRPr="00722885" w:rsidRDefault="009F1857" w:rsidP="00722885">
      <w:pPr>
        <w:pStyle w:val="Iauiue"/>
        <w:jc w:val="both"/>
        <w:rPr>
          <w:iCs/>
          <w:color w:val="000000" w:themeColor="text1"/>
          <w:sz w:val="16"/>
          <w:szCs w:val="16"/>
        </w:rPr>
      </w:pPr>
    </w:p>
    <w:p w14:paraId="4ADF6C6F" w14:textId="77777777" w:rsidR="009F1857" w:rsidRPr="00722885" w:rsidRDefault="009F1857" w:rsidP="00722885">
      <w:pPr>
        <w:spacing w:after="0" w:line="240" w:lineRule="auto"/>
        <w:jc w:val="both"/>
        <w:rPr>
          <w:rStyle w:val="ucoz-forum-post"/>
          <w:rFonts w:ascii="Times New Roman" w:eastAsia="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4 сентября 1942 года</w:t>
      </w:r>
      <w:r w:rsidRPr="00722885">
        <w:rPr>
          <w:rStyle w:val="ucoz-forum-post"/>
          <w:rFonts w:ascii="Times New Roman" w:eastAsia="Times New Roman" w:hAnsi="Times New Roman"/>
          <w:color w:val="000000" w:themeColor="text1"/>
          <w:sz w:val="16"/>
          <w:szCs w:val="16"/>
        </w:rPr>
        <w:t xml:space="preserve"> Бюро Аэронавтики расторгло контракт на Грумман XF5F-1. В ходе испытаний XF5F-1 военные выявили ряд недостатков, которые бы сильно затруднили эксплуатацию самолета: недостаточную продольную устойчивость при форсированном наборе высоты, плохую вентиляцию кабины, низкую эффективность тормозов, высокие нагрузки на систему управления, затрудненный доступ к вооружению при его обслуживании и тому подобное (14759).</w:t>
      </w:r>
    </w:p>
    <w:p w14:paraId="784FB397" w14:textId="77777777" w:rsidR="009F1857" w:rsidRPr="00722885" w:rsidRDefault="009F1857" w:rsidP="00722885">
      <w:pPr>
        <w:spacing w:after="0" w:line="240" w:lineRule="auto"/>
        <w:jc w:val="both"/>
        <w:rPr>
          <w:rStyle w:val="ucoz-forum-post"/>
          <w:rFonts w:ascii="Times New Roman" w:eastAsia="Times New Roman" w:hAnsi="Times New Roman"/>
          <w:color w:val="000000" w:themeColor="text1"/>
          <w:sz w:val="16"/>
          <w:szCs w:val="16"/>
        </w:rPr>
      </w:pPr>
    </w:p>
    <w:p w14:paraId="49F7C33C" w14:textId="77777777" w:rsidR="008843B8" w:rsidRPr="00722885" w:rsidRDefault="008843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4–5 сентября (ночь) 1942 251 британский бомбардировщик атакует Бремен, Германия. Впервые бомбардировочное командование использует три волны следопытов - «осветители», сбрасывающие ракеты, за которыми следуют «визуальные маркеры», которые сбрасывают цветные указатели цели, за которыми следуют «поддерживающие», сбрасывающие зажигательные бомбы, для обозначения цели. Бремену нанесен серьезный ущерб (20793). </w:t>
      </w:r>
    </w:p>
    <w:p w14:paraId="4109BDFF" w14:textId="77777777" w:rsidR="008843B8" w:rsidRPr="00722885" w:rsidRDefault="008843B8" w:rsidP="00722885">
      <w:pPr>
        <w:spacing w:after="0" w:line="240" w:lineRule="auto"/>
        <w:jc w:val="both"/>
        <w:rPr>
          <w:rFonts w:ascii="Times New Roman" w:hAnsi="Times New Roman"/>
          <w:color w:val="0070C0"/>
          <w:sz w:val="16"/>
          <w:szCs w:val="16"/>
        </w:rPr>
      </w:pPr>
    </w:p>
    <w:p w14:paraId="24A99CD2"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4 сентября </w:t>
      </w:r>
      <w:r w:rsidRPr="00722885">
        <w:rPr>
          <w:rFonts w:ascii="Times New Roman" w:hAnsi="Times New Roman"/>
          <w:color w:val="000000" w:themeColor="text1"/>
          <w:sz w:val="16"/>
          <w:szCs w:val="16"/>
        </w:rPr>
        <w:t>в 1942 году китайские войска освободили Ланьци в провинции Чжэцзян (14759).</w:t>
      </w:r>
    </w:p>
    <w:p w14:paraId="19F1EC99"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710E67EB"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4 сентября </w:t>
      </w:r>
      <w:r w:rsidRPr="00722885">
        <w:rPr>
          <w:rFonts w:ascii="Times New Roman" w:hAnsi="Times New Roman"/>
          <w:color w:val="000000" w:themeColor="text1"/>
          <w:sz w:val="16"/>
          <w:szCs w:val="16"/>
        </w:rPr>
        <w:t>в 1942 году массовые антианглийские демонстрации в Индии (14759).</w:t>
      </w:r>
    </w:p>
    <w:p w14:paraId="50B5A75E"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63E2AADF"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9C2122B" w14:textId="77777777" w:rsidR="00AE7191" w:rsidRPr="00722885" w:rsidRDefault="00AE7191" w:rsidP="00722885">
      <w:pPr>
        <w:pStyle w:val="Iauiue"/>
        <w:jc w:val="both"/>
        <w:rPr>
          <w:iCs/>
          <w:color w:val="000000" w:themeColor="text1"/>
          <w:sz w:val="16"/>
          <w:szCs w:val="16"/>
        </w:rPr>
      </w:pPr>
    </w:p>
    <w:p w14:paraId="753FB7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сентября 1942 Ком. ВВС Новиков, Военком Руденко и ГИ Репин писали письмо N 435100сс НКАП А.И.Ш.:</w:t>
      </w:r>
    </w:p>
    <w:p w14:paraId="2869558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замечаниях по проекту плана опытного самолетостроения на 1942, направленных Вам 24 августа за N 330300, по одноместному штурмовику к С.В.И. требовалось доведение экипажа до 2-х и установка дополнительного вооружения для стрельбы назад.</w:t>
      </w:r>
    </w:p>
    <w:p w14:paraId="6C02FC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связи с этим конструктор С.В.И. просит аннулировать материал по одноместному БШ и включить в план опытного самолетостроения на 1942 двухместный БШ с М-71 со следующими основными данными:</w:t>
      </w:r>
    </w:p>
    <w:p w14:paraId="499CA5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 скорость у земли - 430 км/час</w:t>
      </w:r>
    </w:p>
    <w:p w14:paraId="1981DBD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посадочная скорость - 125 км/час</w:t>
      </w:r>
    </w:p>
    <w:p w14:paraId="25DBEA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время подъема на 3000 м - 6 мин.</w:t>
      </w:r>
    </w:p>
    <w:p w14:paraId="00C3D6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 дальность у земли на скорости 350 км/час - 600 км</w:t>
      </w:r>
    </w:p>
    <w:p w14:paraId="74072F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практический потолок - 8500 м</w:t>
      </w:r>
    </w:p>
    <w:p w14:paraId="52B267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w:t>
      </w:r>
    </w:p>
    <w:p w14:paraId="213F19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2х37 мм 11-П с 80 снарядами и 4хШКАС с 2000 патронов вперед</w:t>
      </w:r>
    </w:p>
    <w:p w14:paraId="0CC622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1х12.7 мм с 250 патронами для стрельбы назад</w:t>
      </w:r>
    </w:p>
    <w:p w14:paraId="281454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бомбовая нагрузка нормальная - 400 кг</w:t>
      </w:r>
    </w:p>
    <w:p w14:paraId="2F049E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Т.к. предложенный С.В.И. 2-х местный БШ с М-71 удовлетворяет требованиям ВВС КА, считаю необходимым включить его в план опытного самолетостроения на 1942 с предъявлением на гос. испытания к 1 марта 1943." (1632,151).</w:t>
      </w:r>
    </w:p>
    <w:p w14:paraId="5F31F614" w14:textId="77777777" w:rsidR="00AE7191" w:rsidRPr="00722885" w:rsidRDefault="00AE7191" w:rsidP="00722885">
      <w:pPr>
        <w:pStyle w:val="Iauiue"/>
        <w:jc w:val="both"/>
        <w:rPr>
          <w:color w:val="000000" w:themeColor="text1"/>
          <w:sz w:val="16"/>
          <w:szCs w:val="16"/>
        </w:rPr>
      </w:pPr>
    </w:p>
    <w:p w14:paraId="1ABA44AB" w14:textId="77777777" w:rsidR="009F1857" w:rsidRPr="00722885" w:rsidRDefault="009F1857" w:rsidP="00722885">
      <w:pPr>
        <w:pStyle w:val="aff9"/>
        <w:shd w:val="clear" w:color="auto" w:fill="auto"/>
        <w:spacing w:line="240" w:lineRule="auto"/>
        <w:jc w:val="both"/>
        <w:rPr>
          <w:rStyle w:val="aff6"/>
          <w:rFonts w:ascii="Times New Roman" w:eastAsia="Arial Narrow" w:hAnsi="Times New Roman" w:cs="Times New Roman"/>
          <w:b w:val="0"/>
          <w:i w:val="0"/>
          <w:color w:val="000000" w:themeColor="text1"/>
        </w:rPr>
      </w:pPr>
      <w:r w:rsidRPr="00722885">
        <w:rPr>
          <w:rFonts w:ascii="Times New Roman" w:hAnsi="Times New Roman" w:cs="Times New Roman"/>
          <w:b w:val="0"/>
          <w:color w:val="000000" w:themeColor="text1"/>
          <w:sz w:val="16"/>
          <w:szCs w:val="16"/>
        </w:rPr>
        <w:t>5 сентября 1942 г. в докладной записке начальник УОС ГУ ИАС ВВС бригинженер Г.П. Лешуков просил главного инженера ВВС КА генерал-лейтенанта А.К. Репина дать рас</w:t>
      </w:r>
      <w:r w:rsidRPr="00722885">
        <w:rPr>
          <w:rFonts w:ascii="Times New Roman" w:hAnsi="Times New Roman" w:cs="Times New Roman"/>
          <w:b w:val="0"/>
          <w:color w:val="000000" w:themeColor="text1"/>
          <w:sz w:val="16"/>
          <w:szCs w:val="16"/>
        </w:rPr>
        <w:softHyphen/>
        <w:t>поряжение</w:t>
      </w:r>
      <w:r w:rsidRPr="00722885">
        <w:rPr>
          <w:rStyle w:val="aff6"/>
          <w:rFonts w:ascii="Times New Roman" w:eastAsia="Arial Narrow" w:hAnsi="Times New Roman" w:cs="Times New Roman"/>
          <w:b w:val="0"/>
          <w:i w:val="0"/>
          <w:color w:val="000000" w:themeColor="text1"/>
        </w:rPr>
        <w:t xml:space="preserve"> «о срочном заказе опытной партии бронеплит на первые 20 перевооруженных в на</w:t>
      </w:r>
      <w:r w:rsidRPr="00722885">
        <w:rPr>
          <w:rStyle w:val="aff6"/>
          <w:rFonts w:ascii="Times New Roman" w:eastAsia="Arial Narrow" w:hAnsi="Times New Roman" w:cs="Times New Roman"/>
          <w:b w:val="0"/>
          <w:i w:val="0"/>
          <w:color w:val="000000" w:themeColor="text1"/>
        </w:rPr>
        <w:softHyphen/>
        <w:t xml:space="preserve">стоящее время на заводе №81 и отправляемых в действующие части самолетов Бостон-Ш». </w:t>
      </w:r>
      <w:r w:rsidRPr="00722885">
        <w:rPr>
          <w:rFonts w:ascii="Times New Roman" w:hAnsi="Times New Roman" w:cs="Times New Roman"/>
          <w:b w:val="0"/>
          <w:color w:val="000000" w:themeColor="text1"/>
          <w:sz w:val="16"/>
          <w:szCs w:val="16"/>
        </w:rPr>
        <w:t>Схема бронирования бомбардировщика А-20В «Бостон» была разработана заводом №81 в августе 1942 г. Вскоре на заводе №81 разра</w:t>
      </w:r>
      <w:r w:rsidRPr="00722885">
        <w:rPr>
          <w:rFonts w:ascii="Times New Roman" w:hAnsi="Times New Roman" w:cs="Times New Roman"/>
          <w:b w:val="0"/>
          <w:color w:val="000000" w:themeColor="text1"/>
          <w:sz w:val="16"/>
          <w:szCs w:val="16"/>
        </w:rPr>
        <w:softHyphen/>
        <w:t>ботали чертежи усиления броневой защиты самолета А-20В «Бостон». В существующую схему бронирования добавили надголовник и боковины для летчика и щиток на пулемет ба</w:t>
      </w:r>
      <w:r w:rsidRPr="00722885">
        <w:rPr>
          <w:rFonts w:ascii="Times New Roman" w:hAnsi="Times New Roman" w:cs="Times New Roman"/>
          <w:b w:val="0"/>
          <w:color w:val="000000" w:themeColor="text1"/>
          <w:sz w:val="16"/>
          <w:szCs w:val="16"/>
        </w:rPr>
        <w:softHyphen/>
        <w:t>шенного стрелка (толщина этих бронедета</w:t>
      </w:r>
      <w:r w:rsidRPr="00722885">
        <w:rPr>
          <w:rFonts w:ascii="Times New Roman" w:hAnsi="Times New Roman" w:cs="Times New Roman"/>
          <w:b w:val="0"/>
          <w:color w:val="000000" w:themeColor="text1"/>
          <w:sz w:val="16"/>
          <w:szCs w:val="16"/>
        </w:rPr>
        <w:softHyphen/>
        <w:t>лей - 10 мм). Толщины подголовника летчика изменили с 9 мм до 15 мм, а бронеспинки летчика - с 4 до 10 мм. У башенного стрелка задние плиты удлинили на 100 мм и увеличили их толщину с 6 до 10 мм. В итоге вес дополни</w:t>
      </w:r>
      <w:r w:rsidRPr="00722885">
        <w:rPr>
          <w:rFonts w:ascii="Times New Roman" w:hAnsi="Times New Roman" w:cs="Times New Roman"/>
          <w:b w:val="0"/>
          <w:color w:val="000000" w:themeColor="text1"/>
          <w:sz w:val="16"/>
          <w:szCs w:val="16"/>
        </w:rPr>
        <w:softHyphen/>
        <w:t>тельной брони составил 42 кг. Поскольку бронеплиты дополнительного бронирования располагались почти симме</w:t>
      </w:r>
      <w:r w:rsidRPr="00722885">
        <w:rPr>
          <w:rFonts w:ascii="Times New Roman" w:hAnsi="Times New Roman" w:cs="Times New Roman"/>
          <w:b w:val="0"/>
          <w:color w:val="000000" w:themeColor="text1"/>
          <w:sz w:val="16"/>
          <w:szCs w:val="16"/>
        </w:rPr>
        <w:softHyphen/>
        <w:t>трично относительно центра тяжести самолета, то его центровка практически не изменилась. Отмечалось, что</w:t>
      </w:r>
      <w:r w:rsidRPr="00722885">
        <w:rPr>
          <w:rStyle w:val="aff6"/>
          <w:rFonts w:ascii="Times New Roman" w:eastAsia="Arial Narrow" w:hAnsi="Times New Roman" w:cs="Times New Roman"/>
          <w:b w:val="0"/>
          <w:i w:val="0"/>
          <w:color w:val="000000" w:themeColor="text1"/>
        </w:rPr>
        <w:t xml:space="preserve"> «необходимая броня имеется на заводе №125 (г. Подольск) и бронедетали могут быть быстро изготовлены, так как они прямые, не требующие гибки и штамповки» (15776).</w:t>
      </w:r>
    </w:p>
    <w:p w14:paraId="76E92112" w14:textId="77777777" w:rsidR="009F1857" w:rsidRPr="00722885" w:rsidRDefault="009F1857" w:rsidP="00722885">
      <w:pPr>
        <w:pStyle w:val="36"/>
        <w:shd w:val="clear" w:color="auto" w:fill="auto"/>
        <w:spacing w:after="0" w:line="240" w:lineRule="auto"/>
        <w:jc w:val="both"/>
        <w:rPr>
          <w:rFonts w:ascii="Times New Roman" w:cs="Times New Roman"/>
          <w:color w:val="000000" w:themeColor="text1"/>
          <w:spacing w:val="0"/>
          <w:sz w:val="16"/>
          <w:szCs w:val="16"/>
        </w:rPr>
      </w:pPr>
    </w:p>
    <w:p w14:paraId="68A69E48"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 г. эскизный проект «горной установки PC» в 2 вариантах был направлен командованию ГМЧ, которое оказало помощь, прислав специалистов из Главного управления вооружения ГМЧ (военинженера 3-го ранга Н.Н. Юрышева, воентехника 1-го ранга Е.А. Доброхотова) и конструктора Ф.И. Есакова из СКВ завода №733 НКМВ («Компрессор», г. Москва).</w:t>
      </w:r>
    </w:p>
    <w:p w14:paraId="5B131BFA"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Идея создания горных установок принадлежала начальнику подвижной ремонтной мастерской ПРМ-6 Оперативной группы Гвардейских минометных частей (далее – ОГ ГМЧ) Черноморской группы войск Северо-Кавказского фронта военинженеру 3-го ранга Александру Фомичу Алферову. Командующий ОГ ГМЧ полковник А. И. Нестеренко идею одобрил и дал в помощь начальнику ПРМ-6 двух техников из 14-го гвардейского минометного дивизиона моряков, X. Я. Суляева и Л. Р. Рипса, которые разработали проект новой горной установки М-8 в носимом (на станке) и возимом (на двухколесной тележке) вариантах. Тактико-техническое задание на разработку обоих вариантов установок выработали совместно командование и командно-начальствующий состав частей ОГ ГМЧ. Опытные образцы установок были сделаны за неделю силами личного состава ПРМ-6 вблизи д. Волковка в Дагомысском ущелье. При выпуске первых установок были применены водопроводные трубы из санаториев Кавказа и направляющие, снятые с находившейся на ремонте установки М-8. Горно-вьючная установка М-8 имела общий вес 68 кг и состояла из 3 основных узлов – пакета, фермы и лафета. Каждый узел весил 22 – 23 кг. Пакет имел направляющие для 8 снарядов (по 4 сверху и снизу). Ферма, на которой закреплялся пакет, снабжалась поворотным кругом. Лафет представлял собой прочный опорный круг с крестовиной в центре и 4 откидными ногами, как у паука. На концах ног имелись опорные лапы с отверстиями, в которых забивались металлические штыри для прочного закрепления на грунте. Для наводки установки применялись простейшие механические приспособления. Вертикальный угол наводки составлял 45°, горизонтальный – 360°. Залповый пуск производился за 1–2 с, дальность стрельбы достигала 5,5 км. Установка была проста и надежна в работе, легко разбиралась на 3 вьюка и быстро переводилась в боевое положение. Опытные образцы установок прошли испытания стрельбой из сочинского парка «Ривьера» в сторону моря. Об установках было доложено командующему войсками Северо-Кавказского фронта Маршалу Советского Союза С. М. Буденному, который в конце августа 1942 г. лично осмотрел их и присутствовал на стрельбах в ущелье Георгиевское близ Туапсе. Установки сделали два полных залпа по цели на дальности около 1,5 км. По результатам стрельб Буденным тут же было принято решение об организации производства только горно-вьючных установок в г. Сочи и формировании 12 горно-вьючных батарей на конной тяге, а также о вооружении такими установками 4 железнодорожных дрезин для охраны побережья (15796).</w:t>
      </w:r>
    </w:p>
    <w:p w14:paraId="07252E46"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386CEED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613D63F" w14:textId="77777777" w:rsidR="00AE7191" w:rsidRPr="00722885" w:rsidRDefault="00AE7191" w:rsidP="00722885">
      <w:pPr>
        <w:pStyle w:val="Iauiue"/>
        <w:jc w:val="both"/>
        <w:rPr>
          <w:iCs/>
          <w:color w:val="000000" w:themeColor="text1"/>
          <w:sz w:val="16"/>
          <w:szCs w:val="16"/>
        </w:rPr>
      </w:pPr>
    </w:p>
    <w:p w14:paraId="020EF972"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 года заместитель начальни</w:t>
      </w:r>
      <w:r w:rsidRPr="00722885">
        <w:rPr>
          <w:rFonts w:ascii="Times New Roman" w:hAnsi="Times New Roman"/>
          <w:color w:val="000000" w:themeColor="text1"/>
          <w:sz w:val="16"/>
          <w:szCs w:val="16"/>
        </w:rPr>
        <w:softHyphen/>
        <w:t>ка ГБТУ КА генерал-майор Коробков и комиссар ГБТУ КА армейский комиссар 1-го ранга Бирюков направили на имя И. Стали</w:t>
      </w:r>
      <w:r w:rsidRPr="00722885">
        <w:rPr>
          <w:rFonts w:ascii="Times New Roman" w:hAnsi="Times New Roman"/>
          <w:color w:val="000000" w:themeColor="text1"/>
          <w:sz w:val="16"/>
          <w:szCs w:val="16"/>
        </w:rPr>
        <w:softHyphen/>
        <w:t>на доклад о предварительных результатах ра</w:t>
      </w:r>
      <w:r w:rsidRPr="00722885">
        <w:rPr>
          <w:rFonts w:ascii="Times New Roman" w:hAnsi="Times New Roman"/>
          <w:color w:val="000000" w:themeColor="text1"/>
          <w:sz w:val="16"/>
          <w:szCs w:val="16"/>
        </w:rPr>
        <w:softHyphen/>
        <w:t xml:space="preserve">боты первых серийных танков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w:t>
      </w:r>
    </w:p>
    <w:p w14:paraId="138433A1" w14:textId="77777777" w:rsidR="009F1857" w:rsidRPr="00722885" w:rsidRDefault="009F1857"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«Изготовленные Кировским заводом тан</w:t>
      </w:r>
      <w:r w:rsidRPr="00722885">
        <w:rPr>
          <w:rFonts w:ascii="Times New Roman" w:cs="Times New Roman"/>
          <w:color w:val="000000" w:themeColor="text1"/>
          <w:spacing w:val="0"/>
        </w:rPr>
        <w:softHyphen/>
        <w:t xml:space="preserve">ки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-1С прошли военпредовский пробег и ротные учения. По донесению старшего военпреда ГАБТУ КА на Кировском заводе, танки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в указанных пробегах работа</w:t>
      </w:r>
      <w:r w:rsidRPr="00722885">
        <w:rPr>
          <w:rFonts w:ascii="Times New Roman" w:cs="Times New Roman"/>
          <w:color w:val="000000" w:themeColor="text1"/>
          <w:spacing w:val="0"/>
        </w:rPr>
        <w:softHyphen/>
        <w:t>ли удовлетворительно. Серьезных дефектов не обнаружено. Восьмискоростная коробка перемены передач работает вполне надежно.</w:t>
      </w:r>
    </w:p>
    <w:p w14:paraId="51BD5738" w14:textId="77777777" w:rsidR="009F1857" w:rsidRPr="00722885" w:rsidRDefault="009F1857"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По своей маневренности танк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име</w:t>
      </w:r>
      <w:r w:rsidRPr="00722885">
        <w:rPr>
          <w:rFonts w:ascii="Times New Roman" w:cs="Times New Roman"/>
          <w:color w:val="000000" w:themeColor="text1"/>
          <w:spacing w:val="0"/>
        </w:rPr>
        <w:softHyphen/>
        <w:t>ет заметные преимущества перед танком КВ-1. С облегчением веса танка и наличием восьмискоростной коробки перемены пере</w:t>
      </w:r>
      <w:r w:rsidRPr="00722885">
        <w:rPr>
          <w:rFonts w:ascii="Times New Roman" w:cs="Times New Roman"/>
          <w:color w:val="000000" w:themeColor="text1"/>
          <w:spacing w:val="0"/>
        </w:rPr>
        <w:softHyphen/>
        <w:t>дач скорости движения увеличились, и при</w:t>
      </w:r>
      <w:r w:rsidRPr="00722885">
        <w:rPr>
          <w:rFonts w:ascii="Times New Roman" w:cs="Times New Roman"/>
          <w:color w:val="000000" w:themeColor="text1"/>
          <w:spacing w:val="0"/>
        </w:rPr>
        <w:softHyphen/>
        <w:t>емистость танка улучшилась.</w:t>
      </w:r>
    </w:p>
    <w:p w14:paraId="67C7E4DF" w14:textId="77777777" w:rsidR="009F1857" w:rsidRPr="00722885" w:rsidRDefault="009F1857"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Водительский состав, проходивший подго</w:t>
      </w:r>
      <w:r w:rsidRPr="00722885">
        <w:rPr>
          <w:rFonts w:ascii="Times New Roman" w:cs="Times New Roman"/>
          <w:color w:val="000000" w:themeColor="text1"/>
          <w:spacing w:val="0"/>
        </w:rPr>
        <w:softHyphen/>
        <w:t>товку по вождению на танках КВ-1, на пер</w:t>
      </w:r>
      <w:r w:rsidRPr="00722885">
        <w:rPr>
          <w:rFonts w:ascii="Times New Roman" w:cs="Times New Roman"/>
          <w:color w:val="000000" w:themeColor="text1"/>
          <w:spacing w:val="0"/>
        </w:rPr>
        <w:softHyphen/>
        <w:t>вых 10-15 движениях испытывал затрудне</w:t>
      </w:r>
      <w:r w:rsidRPr="00722885">
        <w:rPr>
          <w:rFonts w:ascii="Times New Roman" w:cs="Times New Roman"/>
          <w:color w:val="000000" w:themeColor="text1"/>
          <w:spacing w:val="0"/>
        </w:rPr>
        <w:softHyphen/>
        <w:t xml:space="preserve">ния в управлении танком в связи с наличием мультипликатора на танке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но в про</w:t>
      </w:r>
      <w:r w:rsidRPr="00722885">
        <w:rPr>
          <w:rFonts w:ascii="Times New Roman" w:cs="Times New Roman"/>
          <w:color w:val="000000" w:themeColor="text1"/>
          <w:spacing w:val="0"/>
        </w:rPr>
        <w:softHyphen/>
        <w:t>цессе дальнейшей работы эти трудности бы</w:t>
      </w:r>
      <w:r w:rsidRPr="00722885">
        <w:rPr>
          <w:rFonts w:ascii="Times New Roman" w:cs="Times New Roman"/>
          <w:color w:val="000000" w:themeColor="text1"/>
          <w:spacing w:val="0"/>
        </w:rPr>
        <w:softHyphen/>
        <w:t>стро изживались» (15226).</w:t>
      </w:r>
    </w:p>
    <w:p w14:paraId="7AA41D91" w14:textId="77777777" w:rsidR="009F1857" w:rsidRPr="00722885" w:rsidRDefault="009F1857" w:rsidP="00722885">
      <w:pPr>
        <w:pStyle w:val="27"/>
        <w:shd w:val="clear" w:color="auto" w:fill="auto"/>
        <w:spacing w:after="0" w:line="240" w:lineRule="auto"/>
        <w:ind w:firstLine="0"/>
        <w:rPr>
          <w:rFonts w:ascii="Times New Roman" w:cs="Times New Roman"/>
          <w:color w:val="000000" w:themeColor="text1"/>
          <w:spacing w:val="0"/>
        </w:rPr>
      </w:pPr>
    </w:p>
    <w:p w14:paraId="050F4C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 вышло Постановление ГКО № 2239 О плане производства и поставок артиллерийского и стрелкового вооружения и военных приборов на сентябрь 1942 г. РГАНИР, Фонд ГКО, д. 55, лл. 1-7, 8-12 (11012).</w:t>
      </w:r>
    </w:p>
    <w:p w14:paraId="36FF113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244A48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 вышло Постановление ГКО № 2240 О плане производства минометов на сентябрь 1942 г. РГАНИР, Фонд ГКО, д. 55, лл. 13-19, 20-30 (11012).</w:t>
      </w:r>
    </w:p>
    <w:p w14:paraId="4E67B8D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C29D63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 вышло Постановление ГКО № 2241 О плане производства и поставок пулеметов-пистолетов Шпагина в сентябре 1942 г. РГАНИР, Фонд ГКО, д. 55, лл. 31-35, 36-43 (11012).</w:t>
      </w:r>
    </w:p>
    <w:p w14:paraId="6C0B968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399B86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 вышло Постановление ГКО № 2242 О плане производства патронов и звеньев заводами Наркомата Вооружения в сентябре 1942 г. РГАНИР, Фонд ГКО, д. 55, лл. 44-45, 46-48 (11012).</w:t>
      </w:r>
    </w:p>
    <w:p w14:paraId="0B43B2F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F35710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 вышло Постановление ГКО № 2243 О переносе десятидюймового нефтепровода. Баку-Батуми в Закаспий. РГАНИР, Фонд ГКО, д. 55, лл. 49-51 (11012).</w:t>
      </w:r>
    </w:p>
    <w:p w14:paraId="003D84A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316476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 года СНК СССР распоряжением №17139-рс обязал Хабаровский кирпичный завод №2 организовать снаряжение противотанковых мин ЯМ-5М и поставит НКО ГВИУ КА в сентябре месяце текущего года 5.000 штук (10701).</w:t>
      </w:r>
    </w:p>
    <w:p w14:paraId="18BEA46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4B68F3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сентября 1942 года была подготовлена справка:</w:t>
      </w:r>
    </w:p>
    <w:p w14:paraId="4AA0EB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622 НКВ – директор Сысоев (9270).</w:t>
      </w:r>
    </w:p>
    <w:p w14:paraId="1A776206" w14:textId="77777777" w:rsidR="00AE7191" w:rsidRPr="00722885" w:rsidRDefault="00AE7191" w:rsidP="00722885">
      <w:pPr>
        <w:pStyle w:val="Iauiue"/>
        <w:jc w:val="both"/>
        <w:rPr>
          <w:color w:val="000000" w:themeColor="text1"/>
          <w:sz w:val="16"/>
          <w:szCs w:val="16"/>
        </w:rPr>
      </w:pPr>
    </w:p>
    <w:p w14:paraId="70F82F7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 первый пробный выход по Неве достраиваемого Петрозаводом ЭТЩ "Владимир Полухин". После второго пробега 9 сентября и устранения дефектов корабль предъявлен 25 сентября к государственным испытаниям (10671).</w:t>
      </w:r>
    </w:p>
    <w:p w14:paraId="7C418CF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9C8FA0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E2DB258" w14:textId="77777777" w:rsidR="00AE7191" w:rsidRPr="00722885" w:rsidRDefault="00AE7191" w:rsidP="00722885">
      <w:pPr>
        <w:pStyle w:val="Iauiue"/>
        <w:jc w:val="both"/>
        <w:rPr>
          <w:iCs/>
          <w:color w:val="000000" w:themeColor="text1"/>
          <w:sz w:val="16"/>
          <w:szCs w:val="16"/>
        </w:rPr>
      </w:pPr>
    </w:p>
    <w:p w14:paraId="2A1FA9EB"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5 сентября </w:t>
      </w:r>
      <w:r w:rsidRPr="00722885">
        <w:rPr>
          <w:rFonts w:ascii="Times New Roman" w:hAnsi="Times New Roman"/>
          <w:color w:val="000000" w:themeColor="text1"/>
          <w:sz w:val="16"/>
          <w:szCs w:val="16"/>
        </w:rPr>
        <w:t>в 1942 году утреннее сообщение Совинформбюро:</w:t>
      </w:r>
    </w:p>
    <w:p w14:paraId="1BC66EF2"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5 сентября наши войска вели бои с противником северо-западнее и юго-западнее Сталинграда, северо-западнее Новороссийска и в районе Моздок.</w:t>
      </w:r>
    </w:p>
    <w:p w14:paraId="269AF3D6"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фронтах существенных изменений не произошло.</w:t>
      </w:r>
    </w:p>
    <w:p w14:paraId="21891BE1"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Н-ской части после мощной артиллерийской и миномётной подготовки ворвались в расположение противника. Уничтожено 4 немецких танка, 6 орудий и 9 пулемётов. На поле боя осталось 270 вражеских трупов. Захвачены трофеи и пленные. На другом участке немецкая пехота при поддержке танков атаковала позиции Н-ской части. Огнём из противотанковых ружей, гранатамии бутылками с горючей смесью наши бойцы уничтожили 5 немецких танков. Оставшиеся без прикрытия танков гитлеровцы были расстреляны из пулемётов и винтовок.</w:t>
      </w:r>
    </w:p>
    <w:p w14:paraId="23FF56F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продолжались напряжённые бои. Наши войска отбивали непрерывные атаки танков и пехоты противника, в результате которых гитлеровцы понесли большие потери. Только на одном участке уничтожено 9 немецких танков исвыше 200 солдат и офицеров противника. Вторые сутки происходит кровопролитный бой за одну железнодорожную станцию. Наши части отбили атаки противника на этом участке.</w:t>
      </w:r>
    </w:p>
    <w:p w14:paraId="15B8EFFE"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Новороссийска наши войска вели оборонительные бои. Н-ская артиллерийская часть произвела огневой налёт на большое скопление противника. Разбито 15 автомашин с войсками и боеприпасами, рассеяно и частью уничтожено до батальона немецкой пехоты.</w:t>
      </w:r>
    </w:p>
    <w:p w14:paraId="72DBB312"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наши войска вели наступательные бои и заняли несколько населённых пунктов. Бойцы Н-ской части истребили до 400 солдат и офицеров противника. Огнём артиллерии уничтожено 4 немецких танка, 7 орудий и 4 миномётные батареи.</w:t>
      </w:r>
    </w:p>
    <w:p w14:paraId="7171A489"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совершили успешные налёты на аэродромы противника. На одном из аэродромов уничтожено и повреждено до 30 немецких самолётов. Кроме того, советскими истребителями в воздушных боях сбито 4 самолёта противника. На другом аэродроме противника советские лётчики уничтожили 20 немецких самолётов.</w:t>
      </w:r>
    </w:p>
    <w:p w14:paraId="2FC2044C"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приводится выдержка из дневника убитого немецкого офицера:</w:t>
      </w:r>
    </w:p>
    <w:p w14:paraId="412B9A12"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танков противника стоят на возвышенном месте и стреляют по нас из всех стволов. Это были ужасные часы... Утром русские начали артиллерийскую подготовку. Снова завязался бой... Неимоверная жара да ещё воздушный налёт русских бомбардировщиков, в результате которого перебита половина 5 роты вместес её командиром Шерне. Итак, итог дня очень печальный — в батальоне 137 убитых и 200 раненых».</w:t>
      </w:r>
    </w:p>
    <w:p w14:paraId="40C282C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взятого в плен солдата 593 полка 323 пехотной дивизии Георга Шнаубера найдено письмо матери из Дармштадта. В нём говорится: «Вчера я узнала, что русские здесь, на фабрике Модака, получают гнилой картофель, сваренный вместе с кожурой. Их тошнит и рвёт от такой пищи. Говорят, что на остальных фабриках дело обстоит не лучше».</w:t>
      </w:r>
    </w:p>
    <w:p w14:paraId="0120B949"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огромными потерями на фронте в Финляндии призвано под ружьё всё взрослое мужское население. Из-за отсутствия рабочих рук закрылись многие лесозаводы и предприятия бумажной промышленности. Даже военная судостроительная верфь в Турку обеспечена рабочими всего лишь на 60 процентов. В стране царит голод, а урожай гибнет на корню, так как его некому убирать. Продавшиеся Гитлеру правители Финляндии ведут финнов к голоду и вымиранию.» (14760).</w:t>
      </w:r>
    </w:p>
    <w:p w14:paraId="5F70CB95"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053EF777"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5 сентября </w:t>
      </w:r>
      <w:r w:rsidRPr="00722885">
        <w:rPr>
          <w:rFonts w:ascii="Times New Roman" w:hAnsi="Times New Roman"/>
          <w:color w:val="000000" w:themeColor="text1"/>
          <w:sz w:val="16"/>
          <w:szCs w:val="16"/>
        </w:rPr>
        <w:t>в 1942 году вечернее сообщение Совинформбюро:</w:t>
      </w:r>
    </w:p>
    <w:p w14:paraId="5BA8311F"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5 сентября наши войска вели бои с противником северо-западнее и юго-западнее Сталинграда, а также в районах Новороссийск и Моздок. На других фронтах существенных изменений не произошло.</w:t>
      </w:r>
    </w:p>
    <w:p w14:paraId="5E71687F"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4 сентября частями нашей авиации на различных участках фронта уничтожено или повреждено до 20 немецких танков и бронемашин, более 100 автомашин свойсками и грузами, подавлен огонь 8 батарей полевой и зенитной артиллерии, взорвано 5 складов боеприпасов, повреждено 3 железнодорожных эшелона, рассеяно и частью уничтожено до батальона пехоты противника.</w:t>
      </w:r>
    </w:p>
    <w:p w14:paraId="3FC2C21A"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обороняли занимаемые позиции, а на отдельных участках вели активные боевые действия. В ходе боёв гитлеровцы несут большие потери. Только одно наше соединение за последние дни истребило до 3.000 немецких солдат и офицеров, уничтожило 19 танков, 13 орудий, 40 пулемётов, 16 миномётов, 20 автомашин и 2 самолёта противника. На одном из участков немцы предприняли наступление, бросив в бой до полка пехоты и 30 танков. Наши бойцы отбили атаку противника. На поле боя немцы оставили 230 трупов и 8 подбитых и сожжённых танков.</w:t>
      </w:r>
    </w:p>
    <w:p w14:paraId="2D9D43DA"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танки и пехота противника при поддержке крупных сил авиации предприняли ряд ожесточённых атак. Советские части стойко встретили новый натиск врага. Несмотря на значительное численное превосходство, немцам не удалось продвинуться вперёд. Наши артиллеристы и миномётчики произвели огромные опустошения в рядах противника. Миномётчики Н-ской части несколькими залпами накрыли большое скопление пехоты неприятеля и истребили 1.200 немецких солдат иофицеров: В течение дня уничтожено 17 танков и 70 автомашин с пехотой противника.</w:t>
      </w:r>
    </w:p>
    <w:p w14:paraId="0540C4F6"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Новороссийска крупные силы противника после артиллерийского обстрела и бомбёжки с воздуха перешли в наступление. У переднего края обороны моряки-бронебойщики под командованием тт. Волкова и Шишкова подожгли 5 немецки хтанков. Разгромлены 2 немецких роты и эскадрон румынской кавалерии. Только после того, как гитлеровцы подтянули новые силы, наши части отошли на новые позиции.</w:t>
      </w:r>
    </w:p>
    <w:p w14:paraId="20D0BEC7"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воздушном бою лётчики капитаны Ефимов, Сухов, Хамедов и Теплов сбили по одному немецкому истребителю.</w:t>
      </w:r>
    </w:p>
    <w:p w14:paraId="03338E9F"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наше гвардейское соединение атаковало переправившуюся через водный рубеж группировку противника. Гвардейцы к исходу дня выбили неприятеля из населённого пункта. Уничтожено до батальона немецкой пехоты, 13 автомашин, 6орудий, и разбита переправа через водный рубеж.</w:t>
      </w:r>
    </w:p>
    <w:p w14:paraId="6BF31152"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танкисты Н-ской части нанесли противнику серьёзные потери. Уничтожено 26 противотанковых орудий, 4 пулемёта,</w:t>
      </w:r>
    </w:p>
    <w:p w14:paraId="66EC7365"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противотанковых ружей и разрушено 103 ДЗОТа. Противник потерял только убитыми до 700 солдат и офицеров.</w:t>
      </w:r>
    </w:p>
    <w:p w14:paraId="1813DD29"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последние два дня под Ленинградом уничтожено 39 и подбита 6 немецких самолётов. Из числа уничтоженных немецких самолётов — 20 сбито в воздушных боях лётчиками Ленинградского фронта и Краснознамённого Балтийского флота и 19 самолётов противника сбито огнём зенитной артиллерии.</w:t>
      </w:r>
    </w:p>
    <w:p w14:paraId="4D181DD9"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в плен солдат разведотряда 111 немецкой пехотной дивизии Альберт М. рассказал: «Наша дивизия в июле перешла в наступление. В первом же бою 70 пехотный полк был почти полностью уничтожен русскими».</w:t>
      </w:r>
    </w:p>
    <w:p w14:paraId="313DF143"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приводятся выдержки из записной книжки, найденной у убитого командирароты 18 венгерского полка старшего лейтенанта Купора:</w:t>
      </w:r>
    </w:p>
    <w:p w14:paraId="305D729B"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«...День прошёл спокойно. Слушали будапештское радио. Странно — радио утверждает, что венгерские части отбили все атаки русских. На самом же деле наша7 дивизия не смогла уничтожить переправившихся через реку русских и вынужденабыла отойти, потеряв много солдат и оружия.</w:t>
      </w:r>
    </w:p>
    <w:p w14:paraId="0C0260EE"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...Устроил проверку. Ужасно много недочётов, снаряжение грязное, рваное. Приказал подвесить командиров отделений и тех гусар, у которых лошади заболели чесоткой. (В венгерской армии провинившихся солдат избивают плетьми или подвешивают за руки).</w:t>
      </w:r>
    </w:p>
    <w:p w14:paraId="524D3BEA"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...Немцы ничего не дают. В машинах нет бензина, запретили тратить патроны. Так что плохо воевать. Дорого обойдётся Венгрии союз с Гитлером» (14760).</w:t>
      </w:r>
    </w:p>
    <w:p w14:paraId="78005559"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3FD73344"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5 сентября </w:t>
      </w:r>
      <w:r w:rsidRPr="00722885">
        <w:rPr>
          <w:rFonts w:ascii="Times New Roman" w:hAnsi="Times New Roman"/>
          <w:color w:val="000000" w:themeColor="text1"/>
          <w:sz w:val="16"/>
          <w:szCs w:val="16"/>
        </w:rPr>
        <w:t>в 1942 году советская Азовская военная флотилия включена в состав Новороссийского оборонительного района (14760).</w:t>
      </w:r>
    </w:p>
    <w:p w14:paraId="3DD67BF7"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685E7869"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5 сентября </w:t>
      </w:r>
      <w:r w:rsidRPr="00722885">
        <w:rPr>
          <w:rFonts w:ascii="Times New Roman" w:hAnsi="Times New Roman"/>
          <w:color w:val="000000" w:themeColor="text1"/>
          <w:sz w:val="16"/>
          <w:szCs w:val="16"/>
        </w:rPr>
        <w:t>в 1942 году авиация дальнего действия нанесла бомбовые удары по Будапешту и Кенигсбергу (14760).</w:t>
      </w:r>
    </w:p>
    <w:p w14:paraId="0B3E5181"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70C970E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и 10 сентября 1942 АДД выполнила 122 вылета по Будапешту (340,94) и Кенигсбергу (3186).</w:t>
      </w:r>
    </w:p>
    <w:p w14:paraId="7AFDC3E7" w14:textId="77777777" w:rsidR="00AE7191" w:rsidRPr="00722885" w:rsidRDefault="00AE7191" w:rsidP="00722885">
      <w:pPr>
        <w:pStyle w:val="Iauiue"/>
        <w:jc w:val="both"/>
        <w:rPr>
          <w:color w:val="000000" w:themeColor="text1"/>
          <w:sz w:val="16"/>
          <w:szCs w:val="16"/>
        </w:rPr>
      </w:pPr>
    </w:p>
    <w:p w14:paraId="745181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5 сентября 1942 г. на СФ по ленд-лизу было получено 23 британских торпедоносца "Хемпден". Из этих самолетов, а также подразделений Гарбуза и Поповича был сформирован новый 35-й МТАП. На 1 января 1943 г. в ВВС СФ насчитывалось 26 торпедоносцев, а к 1 июля - уже 63 машины, что стало возможным за счет поступления новой техники, как отечественной, так и ленд-лизовской. Это позволило сформировать 5-ю минно-торпедную авиадивизию. С увеличением числа самолетов возросла активность авиации, но стали большими и потери: в боях и летных происшествиях флот лишился 30 машин против 3 в 1942 г. Поэтому на 1 января </w:t>
      </w:r>
      <w:r w:rsidRPr="00722885">
        <w:rPr>
          <w:color w:val="000000" w:themeColor="text1"/>
          <w:sz w:val="16"/>
          <w:szCs w:val="16"/>
        </w:rPr>
        <w:lastRenderedPageBreak/>
        <w:t>1944 г. в составе ВВС СФ числилось только 40 торпедоносцев. Однако в июле с Черного моря был переброшен вооруженный "Бостонами", имевший богатый боевой опыт 36-й МТАП, который включили в состав 5-й МТАД. Подкрепление позволило минно-торпедной авиации флота совершить в 1944 г. рекордные на этом ТВД 1110 самолето-вылетов и выполнить 215 атак, при этом потери составили всего 38 самолетов. В общей сложности за годы войны торпедоносцы СФ выполнили 1559 боевых вылетов, в которых израсходовали 400 торпед и потеряли 71 самолет (2867,31).</w:t>
      </w:r>
    </w:p>
    <w:p w14:paraId="75E9E247" w14:textId="77777777" w:rsidR="00AE7191" w:rsidRPr="00722885" w:rsidRDefault="00AE7191" w:rsidP="00722885">
      <w:pPr>
        <w:pStyle w:val="Iauiue"/>
        <w:jc w:val="both"/>
        <w:rPr>
          <w:color w:val="000000" w:themeColor="text1"/>
          <w:sz w:val="16"/>
          <w:szCs w:val="16"/>
        </w:rPr>
      </w:pPr>
    </w:p>
    <w:p w14:paraId="289AC2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сентября 1942 года вышел приказ НКО СССР №00189 о задачах партизанского движения (8983).</w:t>
      </w:r>
    </w:p>
    <w:p w14:paraId="542FA91B" w14:textId="77777777" w:rsidR="00AE7191" w:rsidRPr="00722885" w:rsidRDefault="00AE7191" w:rsidP="00722885">
      <w:pPr>
        <w:pStyle w:val="Iauiue"/>
        <w:jc w:val="both"/>
        <w:rPr>
          <w:color w:val="000000" w:themeColor="text1"/>
          <w:sz w:val="16"/>
          <w:szCs w:val="16"/>
        </w:rPr>
      </w:pPr>
    </w:p>
    <w:p w14:paraId="437755F6"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5 сентября </w:t>
      </w:r>
      <w:r w:rsidRPr="00722885">
        <w:rPr>
          <w:rFonts w:ascii="Times New Roman" w:hAnsi="Times New Roman"/>
          <w:color w:val="000000" w:themeColor="text1"/>
          <w:sz w:val="16"/>
          <w:szCs w:val="16"/>
        </w:rPr>
        <w:t>в 1942 году подписан приказ Народного комиссара обороны «О задачах партизанского движения». Внешней разведке надлежало принять непосредственное участие в партизанском движении. Всего за годы войны в тыл врага было направлено 212 отрядов и групп. Вокруг этих групп создавались партизанские соединения. Они наносили захватчикам существенный урон в живой силе и технике, отвлекали на себя значительные силы противника, осуществляли связь с подпольными резидентурами в тылу гитлеровцев, собирали и направляли в центр ценную информацию о планах и передвижениях врага (14760).</w:t>
      </w:r>
    </w:p>
    <w:p w14:paraId="5429A073"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5BFD2CB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сентября 1942 г. вышел ПРИКАЗ НКО № 00189 О ЗАДАЧАХ ПАРТИЗАНСКОГО ДВИЖЕНИЯ</w:t>
      </w:r>
    </w:p>
    <w:p w14:paraId="1AA8AF7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Второй год народы Советского Союза ведут Великую Отечественную войну против германских фашистских полчищ, вероломно вторгшихся на территорию нашей страны.</w:t>
      </w:r>
    </w:p>
    <w:p w14:paraId="546012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Немецкие империалисты, захватив и ограбив всю Европу, поставили своей целью разорить и нашу страну, ввергнуть народы Советского Союза в немецкое рабство. Врагу удалось захватить Украину, Белоруссию, Литву, Латвию, Эстонию, Молдавию и часть Северного Кавказа, он продолжает блокировать Ленинград. Не считаясь со своими огромными потерями, враг бросает на фронт все свои силы и продолжает рваться в глубь нашей страны.</w:t>
      </w:r>
    </w:p>
    <w:p w14:paraId="04C36F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этот момент величайшей опасности перед всеми народами Советского Союза, перед каждым гражданином и гражданкой на фронте и в тылу, на оккупированной территории и в партизанском отряде стоит одна единственная задача — отстоять свою Родину, защитить свободу, независимость, свою честь и разгромить ненавистных немецких захватчиков.</w:t>
      </w:r>
    </w:p>
    <w:p w14:paraId="589B89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Красная Армия героически отражает натиск врага и сама наносит ему сокрушительные удары. Она изматывает его силы, наносит ему огромный урон.</w:t>
      </w:r>
    </w:p>
    <w:p w14:paraId="6201866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Трудящиеся Советского Союза на заводах и фабриках, в колхозах и совхозах день и ночь упорно, самоотверженно работают на производстве вооружения, боеприпасов, снаряжения и продуктов питания для Красной Армии. Наша промышленность теперь обеспечивает нужды фронта. Армия получает все больше и больше танков, самолетов, артиллерии, минометов и боеприпасов. Боевая мощь Красной Армии значительно выросла и продолжает расти.</w:t>
      </w:r>
    </w:p>
    <w:p w14:paraId="6F8E524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Однако разгром германских армий может быть осуществлен только одновременными боевыми действиями Красной Армии на фронте и мощными, непрерывными ударами партизанских отрядов по врагу с тыла.</w:t>
      </w:r>
    </w:p>
    <w:p w14:paraId="41F7F38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История войн учит тому, что победа над захватчиками часто достигалась не только борьбой одной регулярной армии, но одновременно и народным партизанским движением, способствовавшим окончательному разгрому захватчиков.</w:t>
      </w:r>
    </w:p>
    <w:p w14:paraId="6045FA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 было в отечественную войну 1812 года. Наполеон, стремясь покорить нашу страну, под конец был разгромлен русской армией, поддержанной вооруженным народом, развернувшим беспощадную партизанскую борьбу в тылу врага. Наполеоновская армия, в то время самая сильная в мире, легла костьми в России, потому что наряду с регулярной русской армией поднялось на защиту отечества могучее народное партизанское движение.</w:t>
      </w:r>
    </w:p>
    <w:p w14:paraId="77B826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 было и в годы гражданской войны. Красная Армия разбила армии интервентов на всех фронтах и отстояла молодую, находившуюся в смертельной опасности, Советскую республику, благодаря вооруженной борьбе всего народа, организовавшего партизанское движение в тылу вражеских армий.</w:t>
      </w:r>
    </w:p>
    <w:p w14:paraId="6E9B4C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Теперь, когда Красная Армия на фронтах, напрягая все свои силы, отстаивает свободу и независимость своего государства, народное партизанское движение на нашей территории, временно захваченной немецкими оккупантами, становится одним из решающих условий победы над врагом.</w:t>
      </w:r>
    </w:p>
    <w:p w14:paraId="56DE30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Захватив территорию, немцы не смогли покорить советский народ. Наш народ ненавидит оккупантов, он берется за оружие и организует партизанскую борьбу в тылу немецкой армии. Партизаны наносят серьезный урон живой силе, технике и дезорганизуют тыл противника. Однако партизанское движение еще не развернулось полностью, еще не стало делом всех и каждого, кто очутился в лапах немецких хищников, тогда как налицо все условия для повсеместного быстрого развития всенародной партизанской борьбы против немецких оккупантов.</w:t>
      </w:r>
    </w:p>
    <w:p w14:paraId="24FF80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Необходимо прежде всего добиться, чтобы партизанское движение развернулось еще шире и глубже, нужно, чтобы партизанская борьба охватила широчайшие массы советского народа на оккупированной территории. Партизанское движение должно стать всенародным.</w:t>
      </w:r>
    </w:p>
    <w:p w14:paraId="78F816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Это значит, что существующие сейчас партизанские отряды не должны замыкаться, а втягивать в партизанскую борьбу все более широкие слои населения. Нужно, наряду с организацией новых партизанских отрядов, создавать среди населения проверенные партизанские резервы, из которых и черпать пополнения или формировать дополнительно новые отряды. Нужно повести дело так, чтобы не было ни одного города, села, населенного пункта на временно оккупированной территории, где бы не существовало в скрытом виде боевого резерва партизанского движения. Эти скрытые боевые партизанские резервы должны быть численно не ограничены и включать в себя всех честных граждан и гражданок, желающих освободиться от немецкого гнета.</w:t>
      </w:r>
    </w:p>
    <w:p w14:paraId="607313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Основные задачи партизанских действий: разрушение тыла противника, уничтожение его штабов и других военных учреждений, разрушение железных дорог и мостов, поджог и взрыв складов и казарм, уничтожение живой силы противника, захват в плен или уничтожение представителей немецких властей.</w:t>
      </w:r>
    </w:p>
    <w:p w14:paraId="39C18A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настоящий момент разрушение путей подвоза врага имеет важнейшее значение. Враг сейчас вынужден перебрасывать резервы, боевую технику, горючее и боеприпасы на фронт из далекого тыла, а также перебрасывать из нашей страны в Германию награбленный хлеб, мясо и всякое другое имущество. Железные, шоссейные дороги, по которым враг питает свои войска, растянулись на тысячи километров. Во многих местах они пересекаются лесами. Это создает благоприятные условия для действия партизанских отрядов по разрушению путей подвоза. Закрыть пути подвоза — значит лишить врага возможности пополнять фронт живой силой, техникой, горючим, боеприпасами, а также вывозить в Германию награбленное в нашей стране народное добро и тем самым облегчить Советскому Союзу разром врага.</w:t>
      </w:r>
    </w:p>
    <w:p w14:paraId="50DBA9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Решение этих основных задач требует от всех партизанских отрядов широкого развертывания боевых партизанских операций, а также диверсионной, террористической и разведывательной работы в тылу врага.</w:t>
      </w:r>
    </w:p>
    <w:p w14:paraId="15FB3FC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Приказываю:</w:t>
      </w:r>
    </w:p>
    <w:p w14:paraId="62CB57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В целях нарушения движения по железным дорогам и срыва регулярных перевозок в тылу врага устраивать всеми способами железнодорожные катастрофы, подрывать железнодорожные мосты, взрывать или сжигать станционные сооружения, взрывать, сжигать и расстреливать паровозы, вагоны, цистерны на станциях и разъездах. При железнодорожных крушениях уничтожать живую силу, технику, горючее, боеприпасы и прочие грузы, а также уцелевшие паровозы и вагоны. На шоссейных и грунтовых дорогах подрывать и сжигать мосты, виадуки, разрушать гати и другие искусственные сооружения. Уничтожать транспорты, подвозящие боеприпасы и горючее. Лошадей угонять. При невозможности использования вооружения, транспортов и грузов, приводить их в негодность всеми возможными способами.</w:t>
      </w:r>
    </w:p>
    <w:p w14:paraId="2DF6A2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При всякой возможности истреблять воинские гарнизоны, штабы и учреждения, отряды войск, отдельно следующих офицеров и солдат, охрану транспортов и складов.</w:t>
      </w:r>
    </w:p>
    <w:p w14:paraId="69C729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Уничтожать склады и базы вооружения, боеприпасов, горючего, продовольствия и другого имущества, гаражи и ремонтные мастерские.</w:t>
      </w:r>
    </w:p>
    <w:p w14:paraId="1895E6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Разрушать линии связи на железных, шоссейных и грунтовых дорогах, уничтожать аппаратуру связи, вырезать и увозить провода, спиливать и сжигать телеграфные столбы, уничтожать радиостанции и обслуживающий их персонал.</w:t>
      </w:r>
    </w:p>
    <w:p w14:paraId="49B7A4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Нападать на аэродромы противника и уничтожать самолеты, ангары, склады бомб и горючего, а также истреблять летно-технический состав и охрану аэродромов.</w:t>
      </w:r>
    </w:p>
    <w:p w14:paraId="254199D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Уничтожать всякие хозяйственные команды, вражеских фуражиров, команды и агентов по изъятию хлеба, нападать на обозы с награбленным хлебом, на склады и элеваторы; по возможности хлеб раздавать населению, а если этого сделать нельзя, уничтожать полностью.</w:t>
      </w:r>
    </w:p>
    <w:p w14:paraId="60B780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Действиями партизан еще не охвачены города. Партизанским отрядам, отдельным организациям и диверсантам обязательно проникнуть во все города, большие и малые, и широко развернуть там разведывательную и диверсионную работу. Разрушать и сжигать узлы связи, электростанции, котловые установки, водоснабжение, склады, емкости с горючим и другие объекты, имеющие военно-экономическое значение.</w:t>
      </w:r>
    </w:p>
    <w:p w14:paraId="7AC406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Беспощадно истреблять или захватывать в плен фашистских политических деятелей, генералов, крупных чиновников и изменников нашей родины, находящихся на службе у врага. В этих целях постоянно наблюдать за генералами и крупными чиновниками. Выяснять, куда и по какому пути ездят, ходят, с кем ведут знакомство из местных жителей, какого поведения; кто и как их охраняет.</w:t>
      </w:r>
    </w:p>
    <w:p w14:paraId="4D2E45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Партизанским отрядам и отдельным бойцам-партизанам вести непрерывную разведывательную работу в интересах Красной Армии:</w:t>
      </w:r>
    </w:p>
    <w:p w14:paraId="032136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особо отбирать людей, способных вести скрытую разведывательную работу, и внедрять их на службу в местные управления и учреждения, созданные немцами, на заводы, депо, станции, пристани, телеграф, аэродромы, базы и склады, в охрану немецких должностных лиц, в гестапо и его школы, а также во все другие учреждения и органы, обслуживающие армию или местную администрацию немецких властей;</w:t>
      </w:r>
    </w:p>
    <w:p w14:paraId="2C2374F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непрерывно следить за местом расположения и за передвижением войск и грузов по железным и грунтовым дорогам; выяснять численность, род войск и нумерацию частей, количество и характер боевой техники, направление движения и время следования; устанавливать порядок и силу охраны воинских эшелонов и транспортов;</w:t>
      </w:r>
    </w:p>
    <w:p w14:paraId="674B760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устанавливать точное место расположения войск и штабов, их наименование и нумерацию, учреждений и органов оккупационных властей;</w:t>
      </w:r>
    </w:p>
    <w:p w14:paraId="54FB1D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г) разведывать аэродромы противника, устанавливать место их расположения, количество и типы самолетов, постоянно или временно базирующихся на данный аэродром, аэродромное оборудование, вспомогательные и специальные автомашины, запасы горючего и масел, а также охрану аэродромов на земле и с воздуха;</w:t>
      </w:r>
    </w:p>
    <w:p w14:paraId="40B0D4E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 организовать разведку городов и крупных населенных пунктов в целях установления количества войск в гарнизонах (численность по родам войск, наименование, нумерация, командование противовоздушной обороны; воинских складов и мастерских; военной промышленности; высшей военной и гражданской администрации;</w:t>
      </w:r>
    </w:p>
    <w:p w14:paraId="5AE42A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е) выяснять, где и какие оборонительные рубежи уже построены, их оборудование в инженерном отношении, вооружение, устройство связи, имеются ли там гарнизоны;</w:t>
      </w:r>
    </w:p>
    <w:p w14:paraId="7E51DE8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ж) следить и точно фиксировать результаты бомбардировок нашей авиацией;</w:t>
      </w:r>
    </w:p>
    <w:p w14:paraId="25D40C1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 при всех возможностях захватывать приказы, донесения, оперативные карты и прочие документы противника.</w:t>
      </w:r>
    </w:p>
    <w:p w14:paraId="52DF7B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Данные агентурной и боевой партизанской разведки незамедлительно сообщать Центральному штабу партизанского движения.</w:t>
      </w:r>
    </w:p>
    <w:p w14:paraId="62A05E2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Руководящим органам партизанского движения, командирам и комиссарам партизанских отрядов, наряду с боевой работой, развернуть и вести среди населения постоянную политическую работу, разъяснять правду о Советском Союзе, о беспощадной борьбе Красной Армии и всего советского народа против фашистских захватчиков, о неизбежной гибели кровожадных оккупантов. Разоблачать на фактах лживую немецкую пропаганду, воспитывать ненависть и озлобление к немецким захватчикам. В этих целях организовать издание газет, листовок и других печатных материалов на оккупированной территории.</w:t>
      </w:r>
    </w:p>
    <w:p w14:paraId="3D49AC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Верховное Главнокомандование Красной Армии требует от всех руководящих органов, командиров, политработников и бойцов партизанского движения развернуть борьбу против врага в его тылу еще шире и глубже, бить фашистских захватчиков непрерывно и беспощадно, не давая им передышки. Это лучшая и ценнейшая помощь Красной Армии.</w:t>
      </w:r>
    </w:p>
    <w:p w14:paraId="4E65E7E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Совместными действиями Красной Армии и партизанского движения враг будет уничтожен.</w:t>
      </w:r>
    </w:p>
    <w:p w14:paraId="367DDE96"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Народный комиссар обороны СССР И. СТАЛИН </w:t>
      </w:r>
      <w:r w:rsidRPr="00722885">
        <w:rPr>
          <w:color w:val="000000" w:themeColor="text1"/>
          <w:sz w:val="16"/>
          <w:szCs w:val="16"/>
        </w:rPr>
        <w:t>(9844).</w:t>
      </w:r>
    </w:p>
    <w:p w14:paraId="15D0E2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ф. 4, оп. 11, д. 68, л. 263—270. Подлинник(9844).</w:t>
      </w:r>
    </w:p>
    <w:p w14:paraId="0985AA11" w14:textId="77777777" w:rsidR="00AE7191" w:rsidRPr="00722885" w:rsidRDefault="00AE7191" w:rsidP="00722885">
      <w:pPr>
        <w:pStyle w:val="Iauiue"/>
        <w:jc w:val="both"/>
        <w:rPr>
          <w:color w:val="000000" w:themeColor="text1"/>
          <w:sz w:val="16"/>
          <w:szCs w:val="16"/>
        </w:rPr>
      </w:pPr>
    </w:p>
    <w:p w14:paraId="67DA13B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 г. вышел Приказ народного комиссара обороны Союза ССР N 00189</w:t>
      </w:r>
    </w:p>
    <w:p w14:paraId="3432F62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 задачах партизанского движения </w:t>
      </w:r>
    </w:p>
    <w:p w14:paraId="221AD3A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Партизаны наносят серьезный урон живой силе, технике и дезорганизуют тылы противника. Однако партизанское движение еще не развернулось полностью... Это значит, что существующие сейчас партизанские отряды должны не замыкаться, а втягивать в партизанскую борьбу все более широкие слои населения. Нужно наряду с организацией новых партизанских отрядов создавать среди населения проверенные партизанские резервы, из которых и черпать пополнения или формировать дополнительно новые партизанские отряды. Нужно повести дело так, чтобы не было ни одного города, села, населенного пункта на временно оккупированной территории, где бы не существовало в скрытом виде боевого резерва партизанского движения... </w:t>
      </w:r>
    </w:p>
    <w:p w14:paraId="7A363CB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настоящий момент разрушение путей подвоза врага имеет важнейшее значение... Закрыть пути подвоза — значит лишить врага возможности пополнять фронт живой силой, техникой, горючим, боеприпасами, а также вывозить в Германию награбленное в нашей стране народное добро и тем самым облегчить Советскому Союзу разгром врага. Решение этих основных задач требует от всех партизанских отрядов широкого развертывания боевых партизанских операций, а также диверсионной, террористической и разведывательной работы в тылу врага (11652).</w:t>
      </w:r>
    </w:p>
    <w:p w14:paraId="0DC498F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A2D1D10"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5 сентября </w:t>
      </w:r>
      <w:r w:rsidRPr="00722885">
        <w:rPr>
          <w:rFonts w:ascii="Times New Roman" w:hAnsi="Times New Roman"/>
          <w:color w:val="000000" w:themeColor="text1"/>
          <w:sz w:val="16"/>
          <w:szCs w:val="16"/>
        </w:rPr>
        <w:t>в 1942 году начались наступательные операции советских войск в районе Среднего Дона. Авиация дальнего действия нанесла бомбовые удары по Будапешту и Кенигсбергу (14760).</w:t>
      </w:r>
    </w:p>
    <w:p w14:paraId="3FC0C6C7"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6196A39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6B0E0BBA" w14:textId="77777777" w:rsidR="00AE7191" w:rsidRPr="00722885" w:rsidRDefault="00AE7191" w:rsidP="00722885">
      <w:pPr>
        <w:pStyle w:val="Iauiue"/>
        <w:jc w:val="both"/>
        <w:rPr>
          <w:iCs/>
          <w:color w:val="000000" w:themeColor="text1"/>
          <w:sz w:val="16"/>
          <w:szCs w:val="16"/>
        </w:rPr>
      </w:pPr>
    </w:p>
    <w:p w14:paraId="14E4C9CC"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5 сентября 1942 года штаб тыла Красной армии докладывал в ЦК КП(б) Грузии: </w:t>
      </w:r>
    </w:p>
    <w:p w14:paraId="281E47E4"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"В Тбилиси находится много беспризорных ребят -- подростков в возрасте до 14 15 лет. По ночам их можно встретить спящими на каменных тротуарах, у подъездов домов. </w:t>
      </w:r>
    </w:p>
    <w:p w14:paraId="2CB8B2D2"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Мы решили проверить, что это за ребята. Оказалось, что все они -- дети участников Великой Отечественной войны. Отцы на фронте. Матери обычно погибли при бомбардировках. </w:t>
      </w:r>
    </w:p>
    <w:p w14:paraId="44B0F695"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Часть ребят в Тбилиси недавно: прибыли из Новороссийска, Краснодара, Армавира и других городов Кавказа. Часть ребят из Орла и других более отдаленных городов лишились родителей уже давно. Многие ребята непосредственно прошли длительный путь войны: в течение многих месяцев отходили на юг вместе с войсками, некоторые из них прибыли в Тбилиси из Севастополя вместе с ранеными в момент заключительной эвакуации города. </w:t>
      </w:r>
    </w:p>
    <w:p w14:paraId="53F0993B"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Большинство этих детей одеты только в трусы, некоторые из них имеют майку. Всю остальную одежду и вещи обменяли на пищу" (11587).</w:t>
      </w:r>
    </w:p>
    <w:p w14:paraId="503343E0" w14:textId="77777777" w:rsidR="00AE7191" w:rsidRPr="00722885" w:rsidRDefault="00AE7191" w:rsidP="00722885">
      <w:pPr>
        <w:pStyle w:val="afff2"/>
        <w:jc w:val="both"/>
        <w:rPr>
          <w:i w:val="0"/>
          <w:iCs w:val="0"/>
          <w:color w:val="000000" w:themeColor="text1"/>
          <w:spacing w:val="0"/>
          <w:kern w:val="0"/>
          <w:position w:val="0"/>
          <w:sz w:val="16"/>
          <w:szCs w:val="16"/>
        </w:rPr>
      </w:pPr>
    </w:p>
    <w:p w14:paraId="59BFC13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C652B56" w14:textId="77777777" w:rsidR="00AE7191" w:rsidRPr="00722885" w:rsidRDefault="00AE7191" w:rsidP="00722885">
      <w:pPr>
        <w:pStyle w:val="Iauiue"/>
        <w:jc w:val="both"/>
        <w:rPr>
          <w:iCs/>
          <w:color w:val="000000" w:themeColor="text1"/>
          <w:sz w:val="16"/>
          <w:szCs w:val="16"/>
        </w:rPr>
      </w:pPr>
    </w:p>
    <w:p w14:paraId="6D8C4FB8" w14:textId="77777777" w:rsidR="008843B8" w:rsidRPr="00722885" w:rsidRDefault="008843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сентября 1942 на Spitfire Mark V, специально модифицированном для высотных полетов, пилот-офицер Королевских ВВС Джордж Гендерс перехватывает немецкий высотный разведывательный самолет Junkers Ju 86P над Египтом и преследует его в 80 милях (129 км) от моря. Когда заканчивают топливо он вынужден бросить свой Spitfire у берегов Египта и совершить 21-часовой заплыв до берега, но не раньше, чем он повредит Ju 86P настолько, чтобы заставить его спуститься на более низкую высоту, где другой Spitfire повредит его и далее и принуждает его совершить аварийную посадку за немецкими линиями в пустыне Северной Африки . После двух безрезультатных столкновений на высоте между Ju 86P и Spitfires над Египтом в октябре Люфтваффе выведет Ju 86P из высотных полетов над защищаемыми целями (21793).</w:t>
      </w:r>
    </w:p>
    <w:p w14:paraId="3ADB2D18" w14:textId="77777777" w:rsidR="008843B8" w:rsidRPr="00722885" w:rsidRDefault="008843B8" w:rsidP="00722885">
      <w:pPr>
        <w:spacing w:after="0" w:line="240" w:lineRule="auto"/>
        <w:jc w:val="both"/>
        <w:rPr>
          <w:rFonts w:ascii="Times New Roman" w:hAnsi="Times New Roman"/>
          <w:color w:val="0070C0"/>
          <w:sz w:val="16"/>
          <w:szCs w:val="16"/>
        </w:rPr>
      </w:pPr>
    </w:p>
    <w:p w14:paraId="403C447B" w14:textId="77777777" w:rsidR="00AE7191" w:rsidRPr="00722885" w:rsidRDefault="00AE7191"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5 сентября 1942 г. разработка проекта Fi.103 в целом была закончена.</w:t>
      </w:r>
    </w:p>
    <w:p w14:paraId="631BEC09" w14:textId="77777777" w:rsidR="00AE7191" w:rsidRPr="00722885" w:rsidRDefault="00AE7191"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начале декабря 1942 г. состоялся экспериментальный пуск планера крылатой ракеты Р2076 (без двигателя) с самолета ФоккеВульф-200. Сброшенный с высоты 1000 м планер пролетел 5 км. Это был безусловный успех творческого коллектива под руководством Ф. Госслау.</w:t>
      </w:r>
    </w:p>
    <w:p w14:paraId="413B0ECE" w14:textId="77777777" w:rsidR="00AE7191" w:rsidRPr="00722885" w:rsidRDefault="00AE7191"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24 декабря Fi.103 была впервые успешно запущена с катапульты в Пенемюнде на дальность около 2,7 км. Для запуска немецкого самолета-снаряда использовался пусковой лафет длиной 48–65 м, который представлял собой наклонную платформу (Запольскис А.А. Реактивные самолеты люфтваффе. Минск: ХАРВЕСТ, 1999.).</w:t>
      </w:r>
    </w:p>
    <w:p w14:paraId="11B3C024" w14:textId="77777777" w:rsidR="00AE7191" w:rsidRPr="00722885" w:rsidRDefault="00AE7191"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 поверхности платформы располагался желоб, по которому скользил размещенный под фюзеляжем ракеты полоз. Лафет устанавливался на массивном бетонном основании с железными стенками. Fi.103 разгоняли с помощью ускорителей, установленных на стартовой тележке, свободно катящейся по поверхности лафета. Однако тяга ускорителей возрастала слишком резко, что приводило к динамической нагрузке на конструкцию, сравнимой с мощным ударом. От этого сильно страдали электронный компас и механика гироскопа.</w:t>
      </w:r>
    </w:p>
    <w:p w14:paraId="37DEED9C" w14:textId="77777777" w:rsidR="00AE7191" w:rsidRPr="00722885" w:rsidRDefault="00AE7191"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Несмотря на то, что применение ускорителей было залогом малой стоимости, мобильности системы и скрытности подготовки ракет к пуску, для обеспечения точности попадания в цель была разработана парогазовая катапульта длиной 50–55 м, установленная под углом 6о.</w:t>
      </w:r>
    </w:p>
    <w:p w14:paraId="7E4E4CEA" w14:textId="77777777" w:rsidR="00AE7191" w:rsidRPr="00722885" w:rsidRDefault="00AE7191"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Катапульта позволяла регулировать график разгона. На ней ракета развивала скорость 320 км/ч, которую пульсирующий двигатель постепенно увеличивал до 540–565 км/ч. Как будет показано ниже, громоздкая парогазовая катапульта сыграла печальную роль в судьбе всего проекта. Ее в первую очередь и обнаружили английские самолеты-разведчики, раскрыв, таким образом, систему стартовых позиций V1 (11686).</w:t>
      </w:r>
    </w:p>
    <w:p w14:paraId="1CE9A5A5" w14:textId="77777777" w:rsidR="00AE7191" w:rsidRPr="00722885" w:rsidRDefault="00AE7191" w:rsidP="00722885">
      <w:pPr>
        <w:pStyle w:val="afffd"/>
        <w:widowControl/>
        <w:jc w:val="both"/>
        <w:rPr>
          <w:rFonts w:ascii="Times New Roman" w:hAnsi="Times New Roman" w:cs="Times New Roman"/>
          <w:color w:val="000000" w:themeColor="text1"/>
          <w:sz w:val="16"/>
          <w:szCs w:val="16"/>
        </w:rPr>
      </w:pPr>
    </w:p>
    <w:p w14:paraId="4A846F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сентября 1942 австралийцы заставили японцев прекратить операцию в Milne Bay (2261).</w:t>
      </w:r>
    </w:p>
    <w:p w14:paraId="55B6630E" w14:textId="77777777" w:rsidR="00AE7191" w:rsidRPr="00722885" w:rsidRDefault="00AE7191" w:rsidP="00722885">
      <w:pPr>
        <w:pStyle w:val="Iauiue"/>
        <w:jc w:val="both"/>
        <w:rPr>
          <w:color w:val="000000" w:themeColor="text1"/>
          <w:sz w:val="16"/>
          <w:szCs w:val="16"/>
        </w:rPr>
      </w:pPr>
    </w:p>
    <w:p w14:paraId="5102FCF5"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AAF19EB" w14:textId="77777777" w:rsidR="00AE7191" w:rsidRPr="00722885" w:rsidRDefault="00AE7191" w:rsidP="00722885">
      <w:pPr>
        <w:pStyle w:val="Iauiue"/>
        <w:jc w:val="both"/>
        <w:rPr>
          <w:iCs/>
          <w:color w:val="000000" w:themeColor="text1"/>
          <w:sz w:val="16"/>
          <w:szCs w:val="16"/>
        </w:rPr>
      </w:pPr>
    </w:p>
    <w:p w14:paraId="2A82413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сентября 1942 коллектив ОКБ С.В.И. Указом ВС был награжден ОЛ (3846,17).</w:t>
      </w:r>
    </w:p>
    <w:p w14:paraId="620B88CE" w14:textId="77777777" w:rsidR="00AE7191" w:rsidRPr="00722885" w:rsidRDefault="00AE7191" w:rsidP="00722885">
      <w:pPr>
        <w:pStyle w:val="Iauiue"/>
        <w:jc w:val="both"/>
        <w:rPr>
          <w:color w:val="000000" w:themeColor="text1"/>
          <w:sz w:val="16"/>
          <w:szCs w:val="16"/>
        </w:rPr>
      </w:pPr>
    </w:p>
    <w:p w14:paraId="6F8C33C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в кабинете директора Саратовского авиазавода № 292 раздался телефонный звонок. Израиль Левин взял трубку и с ужасом услышал в ней голос Сталина. Тот поинтересовался количеством находящихся на заводском аэродроме самолетов, потом приказал увеличить их выпуск, а всю готовую продукцию как можно быстрее отправить под Сталинград. Трясущейся рукой Левин положил трубку, после чего стал принимать меры. Пришлось несколько десятков «Яков», и так не отличавшихся высоким качеством сборки, немедленно передать авиаполкам без облета на заводском аэродроме (11774).</w:t>
      </w:r>
    </w:p>
    <w:p w14:paraId="70AB5D8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93067E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вышло Постановление ГКО № 2245 О премировании заводов Наркомавиапрома-победителей во Всесоюзном социалистическом соревновании. РГАНИР, Фонд ГКО, д. 55, лл. 54 (11012).</w:t>
      </w:r>
    </w:p>
    <w:p w14:paraId="510ECAA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F8067D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6 сентября 1942 вышло Постановление ГКО № 2247 О двухмоторном деревянном самолете конструктора Яковлева. РГАНИР, Фонд ГКО, д. 55, лл. 56 (11012).</w:t>
      </w:r>
    </w:p>
    <w:p w14:paraId="3C1D8046"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2CEC1FD" w14:textId="77777777" w:rsidR="002E3F5E" w:rsidRPr="00722885" w:rsidRDefault="002E3F5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вышло Постановление ГКО № 2247 О двухмоторном деревянном самолете конструктора Яковлева</w:t>
      </w:r>
    </w:p>
    <w:p w14:paraId="60F4E877" w14:textId="77777777" w:rsidR="002E3F5E" w:rsidRPr="00722885" w:rsidRDefault="002E3F5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ускорения запуска в серию двухмоторного дере</w:t>
      </w:r>
      <w:r w:rsidRPr="00722885">
        <w:rPr>
          <w:rFonts w:ascii="Times New Roman" w:hAnsi="Times New Roman"/>
          <w:color w:val="000000" w:themeColor="text1"/>
          <w:sz w:val="16"/>
          <w:szCs w:val="16"/>
        </w:rPr>
        <w:softHyphen/>
        <w:t>вянного самолета конструктора Яковлева, Государственный Комитет Обороны постановляет:</w:t>
      </w:r>
    </w:p>
    <w:p w14:paraId="2E870A1A" w14:textId="77777777" w:rsidR="002E3F5E" w:rsidRPr="00722885" w:rsidRDefault="002E3F5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p w14:paraId="0D9B5E5E" w14:textId="77777777" w:rsidR="002E3F5E" w:rsidRPr="00722885" w:rsidRDefault="002E3F5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облета и дачи заключения по двухмоторному самолету конструктора Яковлева назначить комиссию под председательст</w:t>
      </w:r>
      <w:r w:rsidRPr="00722885">
        <w:rPr>
          <w:rFonts w:ascii="Times New Roman" w:hAnsi="Times New Roman"/>
          <w:color w:val="000000" w:themeColor="text1"/>
          <w:sz w:val="16"/>
          <w:szCs w:val="16"/>
        </w:rPr>
        <w:softHyphen/>
        <w:t>вом Начальника НИИ ВВС генерал-майора т.Лосюкова, в составе:</w:t>
      </w:r>
    </w:p>
    <w:p w14:paraId="1C7FE43D" w14:textId="77777777" w:rsidR="002E3F5E" w:rsidRPr="00722885" w:rsidRDefault="002E3F5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НКАП - начальника ЦАГИ Шишкина</w:t>
      </w:r>
    </w:p>
    <w:p w14:paraId="7163B274" w14:textId="77777777" w:rsidR="002E3F5E" w:rsidRPr="00722885" w:rsidRDefault="002E3F5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летчика Шиянова </w:t>
      </w:r>
    </w:p>
    <w:p w14:paraId="18C1F21F" w14:textId="77777777" w:rsidR="002E3F5E" w:rsidRPr="00722885" w:rsidRDefault="002E3F5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ВВС - летчика Кабакова.</w:t>
      </w:r>
    </w:p>
    <w:p w14:paraId="63724AFA" w14:textId="77777777" w:rsidR="002E3F5E" w:rsidRPr="00722885" w:rsidRDefault="002E3F5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p w14:paraId="32B3501B" w14:textId="77777777" w:rsidR="002E3F5E" w:rsidRPr="00722885" w:rsidRDefault="002E3F5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 по самолету представить ГОКО к 10 сентября (19359).</w:t>
      </w:r>
    </w:p>
    <w:p w14:paraId="2414FC3E" w14:textId="77777777" w:rsidR="002E3F5E" w:rsidRPr="00722885" w:rsidRDefault="002E3F5E" w:rsidP="00722885">
      <w:pPr>
        <w:spacing w:after="0" w:line="240" w:lineRule="auto"/>
        <w:jc w:val="both"/>
        <w:rPr>
          <w:rFonts w:ascii="Times New Roman" w:hAnsi="Times New Roman"/>
          <w:color w:val="000000" w:themeColor="text1"/>
          <w:sz w:val="16"/>
          <w:szCs w:val="16"/>
        </w:rPr>
      </w:pPr>
    </w:p>
    <w:p w14:paraId="541DA79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вышло Постановление ГКО № 2248 О выпуске самолетов на заводе № 153 НКАП. РГАНИР, Фонд ГКО, д. 55, лл. 57 (11012).</w:t>
      </w:r>
    </w:p>
    <w:p w14:paraId="10B3609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C8D49AF"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вышло Постановление ГКО № 2248 О выпуске самолетов на заводе № 153 НКАП</w:t>
      </w:r>
    </w:p>
    <w:p w14:paraId="6350ADB1"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увеличения выпуска истребительных самолетов, Государственный Комитет Обороны постановляет:</w:t>
      </w:r>
    </w:p>
    <w:p w14:paraId="29244774"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p w14:paraId="6FD5F30C"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Поручить Народному Комиссару Авиационной промышленно</w:t>
      </w:r>
      <w:r w:rsidRPr="00722885">
        <w:rPr>
          <w:rFonts w:ascii="Times New Roman" w:hAnsi="Times New Roman"/>
          <w:color w:val="000000" w:themeColor="text1"/>
          <w:sz w:val="16"/>
          <w:szCs w:val="16"/>
        </w:rPr>
        <w:softHyphen/>
        <w:t xml:space="preserve">сти т.Шахурину и Зам.Наркома т.Яковлеву увеличить выпуск самолетов Нк-7 на заводе </w:t>
      </w:r>
      <w:r w:rsidRPr="00722885">
        <w:rPr>
          <w:rFonts w:ascii="Times New Roman" w:hAnsi="Times New Roman"/>
          <w:color w:val="000000" w:themeColor="text1"/>
          <w:sz w:val="16"/>
          <w:szCs w:val="16"/>
          <w:lang w:val="en-US"/>
        </w:rPr>
        <w:t>IS</w:t>
      </w:r>
      <w:r w:rsidRPr="00722885">
        <w:rPr>
          <w:rFonts w:ascii="Times New Roman" w:hAnsi="Times New Roman"/>
          <w:color w:val="000000" w:themeColor="text1"/>
          <w:sz w:val="16"/>
          <w:szCs w:val="16"/>
        </w:rPr>
        <w:t xml:space="preserve"> 153</w:t>
      </w:r>
    </w:p>
    <w:p w14:paraId="7DD9FF41" w14:textId="77777777" w:rsidR="00A11FB3" w:rsidRPr="00722885" w:rsidRDefault="00BD4370" w:rsidP="00722885">
      <w:pPr>
        <w:tabs>
          <w:tab w:val="left" w:pos="17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сентября - 10 шт. в день 5</w:t>
      </w:r>
    </w:p>
    <w:p w14:paraId="2F225008" w14:textId="77777777" w:rsidR="00BD4370" w:rsidRPr="00722885" w:rsidRDefault="00BD4370" w:rsidP="00722885">
      <w:pPr>
        <w:tabs>
          <w:tab w:val="left" w:pos="17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октября - 12 шт. в день</w:t>
      </w:r>
    </w:p>
    <w:p w14:paraId="526520A4"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ноября - 14 шт. в день.</w:t>
      </w:r>
    </w:p>
    <w:p w14:paraId="0CA21656"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p w14:paraId="413FA427"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осуществления указанного мероприятия, командиро</w:t>
      </w:r>
      <w:r w:rsidRPr="00722885">
        <w:rPr>
          <w:rFonts w:ascii="Times New Roman" w:hAnsi="Times New Roman"/>
          <w:color w:val="000000" w:themeColor="text1"/>
          <w:sz w:val="16"/>
          <w:szCs w:val="16"/>
        </w:rPr>
        <w:softHyphen/>
        <w:t>вать тов.Яковлева лично на эавод Г- 153 для проведения необ</w:t>
      </w:r>
      <w:r w:rsidRPr="00722885">
        <w:rPr>
          <w:rFonts w:ascii="Times New Roman" w:hAnsi="Times New Roman"/>
          <w:color w:val="000000" w:themeColor="text1"/>
          <w:sz w:val="16"/>
          <w:szCs w:val="16"/>
        </w:rPr>
        <w:softHyphen/>
        <w:t>ходимых мероприятий.</w:t>
      </w:r>
    </w:p>
    <w:p w14:paraId="41894DE0"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p w14:paraId="4B7D5ED2" w14:textId="77777777" w:rsidR="00BD4370" w:rsidRPr="00722885" w:rsidRDefault="00BD4370" w:rsidP="00722885">
      <w:pPr>
        <w:tabs>
          <w:tab w:val="left" w:pos="135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Госплан выделить целевым назначением для заводу № 153 - 25 грузовых полуторатонных автомашин с поставкой не позднее 15 октября.</w:t>
      </w:r>
    </w:p>
    <w:p w14:paraId="23AB6CF7"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p w14:paraId="02800EEF"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Московский Совет тов.Пронина выделить для трам</w:t>
      </w:r>
      <w:r w:rsidRPr="00722885">
        <w:rPr>
          <w:rFonts w:ascii="Times New Roman" w:hAnsi="Times New Roman"/>
          <w:color w:val="000000" w:themeColor="text1"/>
          <w:sz w:val="16"/>
          <w:szCs w:val="16"/>
        </w:rPr>
        <w:softHyphen/>
        <w:t>вайной линии в Новосибирске, соединяющей завод № 153 с горо</w:t>
      </w:r>
      <w:r w:rsidRPr="00722885">
        <w:rPr>
          <w:rFonts w:ascii="Times New Roman" w:hAnsi="Times New Roman"/>
          <w:color w:val="000000" w:themeColor="text1"/>
          <w:sz w:val="16"/>
          <w:szCs w:val="16"/>
        </w:rPr>
        <w:softHyphen/>
        <w:t>дом, 10 трамвайных моторных вагонов с прицепами.</w:t>
      </w:r>
    </w:p>
    <w:p w14:paraId="05C99A14"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p w14:paraId="2228AE09"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Приравнять завод № 153 по снабжению с заводами № 292 и № 21.</w:t>
      </w:r>
    </w:p>
    <w:p w14:paraId="0DA965A8"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p w14:paraId="36AD92D2"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Отправку самолетов в агрегатах для завода 82 с завода № 153 прекратить с 7 сентября с.г. (19360).</w:t>
      </w:r>
    </w:p>
    <w:p w14:paraId="3BE647A3" w14:textId="77777777" w:rsidR="002E3F5E" w:rsidRPr="00722885" w:rsidRDefault="002E3F5E" w:rsidP="00722885">
      <w:pPr>
        <w:spacing w:after="0" w:line="240" w:lineRule="auto"/>
        <w:jc w:val="both"/>
        <w:rPr>
          <w:rFonts w:ascii="Times New Roman" w:hAnsi="Times New Roman"/>
          <w:color w:val="000000" w:themeColor="text1"/>
          <w:sz w:val="16"/>
          <w:szCs w:val="16"/>
        </w:rPr>
      </w:pPr>
    </w:p>
    <w:p w14:paraId="0C5702FF" w14:textId="77777777" w:rsidR="00BD4370" w:rsidRPr="00722885" w:rsidRDefault="00BD437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вышло Постановление ГКО № 2250 Об истребительных самолетах. РГАНИР, Фонд ГКО, д. 55, лл. 59 (11012).</w:t>
      </w:r>
    </w:p>
    <w:p w14:paraId="011AAEC2" w14:textId="77777777" w:rsidR="00BD4370" w:rsidRPr="00722885" w:rsidRDefault="00BD4370" w:rsidP="00722885">
      <w:pPr>
        <w:spacing w:after="0" w:line="240" w:lineRule="auto"/>
        <w:jc w:val="both"/>
        <w:rPr>
          <w:rFonts w:ascii="Times New Roman" w:hAnsi="Times New Roman"/>
          <w:color w:val="000000" w:themeColor="text1"/>
          <w:sz w:val="16"/>
          <w:szCs w:val="16"/>
        </w:rPr>
      </w:pPr>
    </w:p>
    <w:p w14:paraId="77AEEBD7" w14:textId="77777777" w:rsidR="00A11FB3" w:rsidRPr="00722885" w:rsidRDefault="00A11FB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вышло Постановление ГКО № 2250 Об истребительных самолетах</w:t>
      </w:r>
    </w:p>
    <w:p w14:paraId="0C9A8D1F" w14:textId="77777777" w:rsidR="00A11FB3" w:rsidRPr="00722885" w:rsidRDefault="00A11FB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упрощения истребительных самолетов в производ</w:t>
      </w:r>
      <w:r w:rsidRPr="00722885">
        <w:rPr>
          <w:rFonts w:ascii="Times New Roman" w:hAnsi="Times New Roman"/>
          <w:color w:val="000000" w:themeColor="text1"/>
          <w:sz w:val="16"/>
          <w:szCs w:val="16"/>
        </w:rPr>
        <w:softHyphen/>
        <w:t>стве, в эксллоатации и для облегчения их веса, Государст</w:t>
      </w:r>
      <w:r w:rsidRPr="00722885">
        <w:rPr>
          <w:rFonts w:ascii="Times New Roman" w:hAnsi="Times New Roman"/>
          <w:color w:val="000000" w:themeColor="text1"/>
          <w:sz w:val="16"/>
          <w:szCs w:val="16"/>
        </w:rPr>
        <w:softHyphen/>
        <w:t>венный Комитет Обороны постановляет:</w:t>
      </w:r>
    </w:p>
    <w:p w14:paraId="2024A093" w14:textId="77777777" w:rsidR="00A11FB3" w:rsidRPr="00722885" w:rsidRDefault="00A11FB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Поручить т.т.Яковлеву и Репину рассмотреть вопрос упрощения в производстве и в эксплоатации, а также облегче</w:t>
      </w:r>
      <w:r w:rsidRPr="00722885">
        <w:rPr>
          <w:rFonts w:ascii="Times New Roman" w:hAnsi="Times New Roman"/>
          <w:color w:val="000000" w:themeColor="text1"/>
          <w:sz w:val="16"/>
          <w:szCs w:val="16"/>
        </w:rPr>
        <w:softHyphen/>
        <w:t>ния в весе истребительных самолетов.</w:t>
      </w:r>
    </w:p>
    <w:p w14:paraId="3830F7BA" w14:textId="77777777" w:rsidR="00A11FB3" w:rsidRPr="00722885" w:rsidRDefault="00A11FB3" w:rsidP="00722885">
      <w:pPr>
        <w:pStyle w:val="28"/>
        <w:framePr w:w="1560" w:h="673" w:vSpace="580" w:wrap="around" w:hAnchor="margin" w:x="5668" w:y="-13"/>
        <w:shd w:val="clear" w:color="auto" w:fill="auto"/>
        <w:spacing w:before="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S3</w:t>
      </w:r>
    </w:p>
    <w:p w14:paraId="499C699F" w14:textId="77777777" w:rsidR="00A11FB3" w:rsidRPr="00722885" w:rsidRDefault="00A11FB3" w:rsidP="00722885">
      <w:pPr>
        <w:pStyle w:val="34"/>
        <w:framePr w:w="1560" w:h="673" w:vSpace="580" w:wrap="around" w:hAnchor="margin" w:x="5668" w:y="-13"/>
        <w:shd w:val="clear" w:color="auto" w:fill="auto"/>
        <w:spacing w:line="240" w:lineRule="auto"/>
        <w:jc w:val="both"/>
        <w:rPr>
          <w:rFonts w:ascii="Times New Roman" w:cs="Times New Roman"/>
          <w:color w:val="000000" w:themeColor="text1"/>
          <w:spacing w:val="0"/>
          <w:sz w:val="16"/>
          <w:szCs w:val="16"/>
        </w:rPr>
      </w:pPr>
      <w:r w:rsidRPr="00722885">
        <w:rPr>
          <w:rStyle w:val="3-1pt0"/>
          <w:rFonts w:ascii="Times New Roman" w:eastAsia="Gungsuh" w:hAnsi="Times New Roman" w:cs="Times New Roman"/>
          <w:color w:val="000000" w:themeColor="text1"/>
          <w:spacing w:val="0"/>
          <w:sz w:val="16"/>
          <w:szCs w:val="16"/>
        </w:rPr>
        <w:t>ям»</w:t>
      </w:r>
    </w:p>
    <w:p w14:paraId="108CC471" w14:textId="77777777" w:rsidR="00A11FB3" w:rsidRPr="00722885" w:rsidRDefault="00A11FB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 по этому вопросу представить в ГОКО - 10 сентября (19362).</w:t>
      </w:r>
    </w:p>
    <w:p w14:paraId="0358E810" w14:textId="77777777" w:rsidR="00A11FB3" w:rsidRPr="00722885" w:rsidRDefault="00A11FB3" w:rsidP="00722885">
      <w:pPr>
        <w:spacing w:after="0" w:line="240" w:lineRule="auto"/>
        <w:jc w:val="both"/>
        <w:rPr>
          <w:rFonts w:ascii="Times New Roman" w:hAnsi="Times New Roman"/>
          <w:color w:val="000000" w:themeColor="text1"/>
          <w:sz w:val="16"/>
          <w:szCs w:val="16"/>
        </w:rPr>
      </w:pPr>
    </w:p>
    <w:p w14:paraId="04CB6C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сентября вышло постановление ГКО от N 2248сс об увеличении выпуска истребительных самолетов (1589,20).</w:t>
      </w:r>
    </w:p>
    <w:p w14:paraId="0B0C724A" w14:textId="77777777" w:rsidR="00AE7191" w:rsidRPr="00722885" w:rsidRDefault="00AE7191" w:rsidP="00722885">
      <w:pPr>
        <w:pStyle w:val="Iauiue"/>
        <w:jc w:val="both"/>
        <w:rPr>
          <w:color w:val="000000" w:themeColor="text1"/>
          <w:sz w:val="16"/>
          <w:szCs w:val="16"/>
        </w:rPr>
      </w:pPr>
    </w:p>
    <w:p w14:paraId="778933AE" w14:textId="77777777" w:rsidR="00A11FB3" w:rsidRPr="00722885" w:rsidRDefault="00A11FB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вышло Постановление ГКО № 2249</w:t>
      </w:r>
    </w:p>
    <w:p w14:paraId="6590A041" w14:textId="77777777" w:rsidR="00A11FB3" w:rsidRPr="00722885" w:rsidRDefault="00A11FB3" w:rsidP="00722885">
      <w:pPr>
        <w:spacing w:after="0" w:line="240" w:lineRule="auto"/>
        <w:jc w:val="both"/>
        <w:rPr>
          <w:rFonts w:ascii="Times New Roman" w:eastAsia="Batang" w:hAnsi="Times New Roman"/>
          <w:color w:val="000000" w:themeColor="text1"/>
          <w:sz w:val="16"/>
          <w:szCs w:val="16"/>
          <w:lang w:eastAsia="ru-RU"/>
        </w:rPr>
      </w:pPr>
      <w:r w:rsidRPr="00722885">
        <w:rPr>
          <w:rFonts w:ascii="Times New Roman" w:eastAsia="Batang" w:hAnsi="Times New Roman"/>
          <w:color w:val="000000" w:themeColor="text1"/>
          <w:sz w:val="16"/>
          <w:szCs w:val="16"/>
          <w:lang w:eastAsia="ru-RU"/>
        </w:rPr>
        <w:t>1. Самолет Лагг-5 впредь именовать Ла-5 (Лавочкин-5).</w:t>
      </w:r>
    </w:p>
    <w:p w14:paraId="7860DC2A" w14:textId="77777777" w:rsidR="00A11FB3" w:rsidRPr="00722885" w:rsidRDefault="00A11FB3" w:rsidP="00722885">
      <w:pPr>
        <w:spacing w:after="0" w:line="240" w:lineRule="auto"/>
        <w:jc w:val="both"/>
        <w:rPr>
          <w:rFonts w:ascii="Times New Roman" w:hAnsi="Times New Roman"/>
          <w:color w:val="000000" w:themeColor="text1"/>
          <w:sz w:val="16"/>
          <w:szCs w:val="16"/>
        </w:rPr>
      </w:pPr>
      <w:r w:rsidRPr="00722885">
        <w:rPr>
          <w:rFonts w:ascii="Times New Roman" w:eastAsia="Batang" w:hAnsi="Times New Roman"/>
          <w:color w:val="000000" w:themeColor="text1"/>
          <w:sz w:val="16"/>
          <w:szCs w:val="16"/>
          <w:lang w:eastAsia="ru-RU"/>
        </w:rPr>
        <w:t xml:space="preserve">2. ТБ-7 впредь именовать Пе-8 (Петляков-8) </w:t>
      </w:r>
      <w:r w:rsidRPr="00722885">
        <w:rPr>
          <w:rFonts w:ascii="Times New Roman" w:hAnsi="Times New Roman"/>
          <w:color w:val="000000" w:themeColor="text1"/>
          <w:sz w:val="16"/>
          <w:szCs w:val="16"/>
        </w:rPr>
        <w:t>(19361).</w:t>
      </w:r>
    </w:p>
    <w:p w14:paraId="36EB2F72" w14:textId="77777777" w:rsidR="00A11FB3" w:rsidRPr="00722885" w:rsidRDefault="00A11FB3" w:rsidP="00722885">
      <w:pPr>
        <w:pStyle w:val="Iauiue"/>
        <w:jc w:val="both"/>
        <w:rPr>
          <w:color w:val="000000" w:themeColor="text1"/>
          <w:sz w:val="16"/>
          <w:szCs w:val="16"/>
        </w:rPr>
      </w:pPr>
    </w:p>
    <w:p w14:paraId="7787E96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вышло Постановление ГКО № 2249 О переименовании самолетов ЛаГГ-5 на Ла-5 и ТБ-7 на ПЕ-8. РГАНИР, Фонд ГКО, д. 55, лл. 58 (11012).</w:t>
      </w:r>
    </w:p>
    <w:p w14:paraId="3410F43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975FB5D" w14:textId="77777777" w:rsidR="00BD4370" w:rsidRPr="00722885" w:rsidRDefault="00BD4370" w:rsidP="00722885">
      <w:pPr>
        <w:spacing w:after="0" w:line="240" w:lineRule="auto"/>
        <w:jc w:val="both"/>
        <w:rPr>
          <w:rFonts w:ascii="Times New Roman" w:hAnsi="Times New Roman"/>
          <w:color w:val="000000" w:themeColor="text1"/>
          <w:sz w:val="16"/>
          <w:szCs w:val="16"/>
        </w:rPr>
      </w:pPr>
    </w:p>
    <w:p w14:paraId="0E38CB4C" w14:textId="77777777" w:rsidR="00BD4370" w:rsidRPr="00722885" w:rsidRDefault="00BD4370" w:rsidP="00722885">
      <w:pPr>
        <w:pStyle w:val="Iauiue"/>
        <w:jc w:val="both"/>
        <w:rPr>
          <w:color w:val="000000" w:themeColor="text1"/>
          <w:sz w:val="16"/>
          <w:szCs w:val="16"/>
        </w:rPr>
      </w:pPr>
      <w:r w:rsidRPr="00722885">
        <w:rPr>
          <w:color w:val="000000" w:themeColor="text1"/>
          <w:sz w:val="16"/>
          <w:szCs w:val="16"/>
        </w:rPr>
        <w:t>6 сентября 1942 вышло постановление ГКО о том, что самолет ЛаГГ-5 впредь именовать Ла-5 (Лавочкин-5), а самолет ТБ-7 впредь именовать Пе-8 (Петляков-8) (805,15).</w:t>
      </w:r>
    </w:p>
    <w:p w14:paraId="33DBD20A" w14:textId="77777777" w:rsidR="00BD4370" w:rsidRPr="00722885" w:rsidRDefault="00BD4370" w:rsidP="00722885">
      <w:pPr>
        <w:pStyle w:val="Iauiue"/>
        <w:jc w:val="both"/>
        <w:rPr>
          <w:color w:val="000000" w:themeColor="text1"/>
          <w:sz w:val="16"/>
          <w:szCs w:val="16"/>
        </w:rPr>
      </w:pPr>
    </w:p>
    <w:p w14:paraId="1315A2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сентября 1942 произошла авария самолета С-2 N 018 л Суховеркова (2130).</w:t>
      </w:r>
    </w:p>
    <w:p w14:paraId="400D8C0D" w14:textId="77777777" w:rsidR="00AE7191" w:rsidRPr="00722885" w:rsidRDefault="00AE7191" w:rsidP="00722885">
      <w:pPr>
        <w:pStyle w:val="Iauiue"/>
        <w:jc w:val="both"/>
        <w:rPr>
          <w:color w:val="000000" w:themeColor="text1"/>
          <w:sz w:val="16"/>
          <w:szCs w:val="16"/>
        </w:rPr>
      </w:pPr>
    </w:p>
    <w:p w14:paraId="62C2AF1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сентября 1942 вышел приказ № 679сс:</w:t>
      </w:r>
    </w:p>
    <w:p w14:paraId="61C382B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связи с произведенной эвакуацией з-в № 444 и 450 исключить с 1 августа 1942 з-ды 444 и 450 из числа действующих з-в НКАП.</w:t>
      </w:r>
    </w:p>
    <w:p w14:paraId="247B326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Дементьев (1588, 102).</w:t>
      </w:r>
    </w:p>
    <w:p w14:paraId="254A480E" w14:textId="77777777" w:rsidR="00AE7191" w:rsidRPr="00722885" w:rsidRDefault="00AE7191" w:rsidP="00722885">
      <w:pPr>
        <w:pStyle w:val="Iauiue"/>
        <w:jc w:val="both"/>
        <w:rPr>
          <w:color w:val="000000" w:themeColor="text1"/>
          <w:sz w:val="16"/>
          <w:szCs w:val="16"/>
        </w:rPr>
      </w:pPr>
    </w:p>
    <w:p w14:paraId="2DBB0D5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Приказом НК ВМФ №00338 прицел ПТН-5к с ПУПО (прибор управления прибором Обри - так традиционно на флоте назывался гироскоп торпеды) был принят на вооружение под наименованием ПТН-42. Позже прибор дополнили устройством, позволявшим менять в воздухе установку глубины хода торпеды (12002).</w:t>
      </w:r>
    </w:p>
    <w:p w14:paraId="7BFC7F2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0A7CBC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0403587" w14:textId="77777777" w:rsidR="00AE7191" w:rsidRPr="00722885" w:rsidRDefault="00AE7191" w:rsidP="00722885">
      <w:pPr>
        <w:pStyle w:val="Iauiue"/>
        <w:jc w:val="both"/>
        <w:rPr>
          <w:iCs/>
          <w:color w:val="000000" w:themeColor="text1"/>
          <w:sz w:val="16"/>
          <w:szCs w:val="16"/>
        </w:rPr>
      </w:pPr>
    </w:p>
    <w:p w14:paraId="1A525F6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года нарком танковой промышленности Зальцман направил на имя заместителя председателя ГКО В. Молотова следующее письмо:</w:t>
      </w:r>
    </w:p>
    <w:p w14:paraId="6522A05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«Считаю нецелесообразной разработку нового танкового пневматического огнемета, предлагаемую ГАБТУ КА Этот тип огнемета в 1941 году был заменен на пороховой автоматический огнемет АТО-41 из-за наличия в первом серьезных недостатков и ненадежной работы, не устраненных и по сие время (громоздкость и большой вес установки, ненадежность всех соединений трубопроводов, работающих под высоким давлением, меньшая дальность действия, большая потребность в расходе сжатого воздуха и т.п.).</w:t>
      </w:r>
    </w:p>
    <w:p w14:paraId="7C6E5D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Предложение ГАБТУ КА по осуществлению подзарядки баллонов сжатым воздухом от танкового двигателя для пневматического огнемета является неприемлемым; так как до сего времени конструкторам заводов НКТП еще не удалось удовлетворительно разрешить эту задачу даже для более простого случая аварийного запуска сжатым воздухом самого двигателя.</w:t>
      </w:r>
    </w:p>
    <w:p w14:paraId="310342C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обеспечения выпуска огнеметных танков и повышения их качества, считаю необходимым специализировать на выпуск огнеметных танков Т-34 только один завод № 174 с декабря с.г., освободив от этого вида производства другие заводы.</w:t>
      </w:r>
    </w:p>
    <w:p w14:paraId="6525322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 мероприятие позволит улучшить технологию производства, сделав ее более массовой и повысить качество изготовления огнеметных танков на танковых заводах, а по линии ГАБТУ КА улучшить качество подготовки команд огнеметных танков путем создания на этом заводе учебных подразделений, что также является неотложной необходимостью в деле повышения боевых качеств огнеметных танков».</w:t>
      </w:r>
    </w:p>
    <w:p w14:paraId="5F01803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упоминаемого в письме Зальцмана пневматического огнемета с подзарядкой баллонов сжатым воздухом от танкового двигателя, то работы над такой конструкцией велись на заводе №183 с сентября 1942 года инженером Томашпольским под руководством начальника опытного отдела 540 Гутника. Установка получила обозначение ОП-34- так же, как и огнемет, созданный заводом № 183 еще весной 1941 года. В январе 1943 года были закончены монтажные работы по установке ОП-34 в тридцатьчетверку, после чего начались испытания, продолжавшиеся с перерывами до апреля 1943 года. Принцип работы ОП-34 был следующим.</w:t>
      </w:r>
    </w:p>
    <w:p w14:paraId="57A0C8D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Выброс огнесмеси производился под давлением сжатого газа, поступающего в резервуар из баллонов через редуктор. Зарядка и дозаряд- ка баллонов газами производилась одним из цилиндров дизельмотора В-2-34 через специальный клапан. Согласно отчету, ОП-34 имел следующие данные:</w:t>
      </w:r>
    </w:p>
    <w:p w14:paraId="4E45106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Рабочее давление для эффективного огнеметания - 20-25 атмосфер, дальность огнеметания на мазуте - до 55 метров, на спецсмеси до 90 метров, емкость резервуара 100 литров, количество выстрелов —12 коротких, 9 нормальных или 4 затяжных, скорострельность —8 выстрелов в минуту масса установки с заправкой - 225 кг. На испытании всего было проведено 112 выстрелов (12 заправок). В заключении комиссии говорилось: «После внесения изменений может быть, рекомендован для установки на Т-34 взамен пулемета стрелка-радиста.</w:t>
      </w:r>
    </w:p>
    <w:p w14:paraId="4A924F4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Положительные качества: простой в изготовлении и монтаже, надежен, легок в обслуживании, небольшие габариты.</w:t>
      </w:r>
    </w:p>
    <w:p w14:paraId="69F7274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Недостатки: рабочее давление 2025 атм., при огнеметании вязкой смесью через насадки диаметром 20 мм является недостаточным. При запасе газа с давлением 50-55 атм. недостаточная контактность струи, отсутс- вие продувки брандспойта после выстрела, большое время заправки резервуара вязкой огнесмесью».</w:t>
      </w:r>
    </w:p>
    <w:p w14:paraId="49ABF27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ряд преимуществ перед АТО - меньшие размеры, более легкая установка и обслуживание - ОП-34 имел и недостатки. И хотя комиссия, проводившая испытания, рекомендовала его для принятия на вооружение, он остался только в опытном экземпляре (12217).</w:t>
      </w:r>
    </w:p>
    <w:p w14:paraId="6481A73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CF960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сентября 1942 года была подготовлена справка:</w:t>
      </w:r>
    </w:p>
    <w:p w14:paraId="6602335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Вновь организованные заводы НКВ - № 188 (Новосибирская область), № 385 (Челябинская область), № 542 (Пензенская область)</w:t>
      </w:r>
    </w:p>
    <w:p w14:paraId="7D787F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188 выделился из комбината № 179 НКБ, завод № 385 – из завода № 66 НКВ (9266).</w:t>
      </w:r>
    </w:p>
    <w:p w14:paraId="12B7852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базе эвакуированных из Тулы осенью 1941 года заводов НКВ в настоящее время вновь созданы мощные предприятия вооружения – заводы №№ 525, 536 и 539 (Тула)</w:t>
      </w:r>
    </w:p>
    <w:p w14:paraId="257B47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 622 организован на базе завода № 74 (9266).</w:t>
      </w:r>
    </w:p>
    <w:p w14:paraId="05857833" w14:textId="77777777" w:rsidR="00AE7191" w:rsidRPr="00722885" w:rsidRDefault="00AE7191" w:rsidP="00722885">
      <w:pPr>
        <w:pStyle w:val="Iauiue"/>
        <w:jc w:val="both"/>
        <w:rPr>
          <w:color w:val="000000" w:themeColor="text1"/>
          <w:sz w:val="16"/>
          <w:szCs w:val="16"/>
        </w:rPr>
      </w:pPr>
    </w:p>
    <w:p w14:paraId="6C60F45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E8AE088" w14:textId="77777777" w:rsidR="00AE7191" w:rsidRPr="00722885" w:rsidRDefault="00AE7191" w:rsidP="00722885">
      <w:pPr>
        <w:pStyle w:val="Iauiue"/>
        <w:jc w:val="both"/>
        <w:rPr>
          <w:iCs/>
          <w:color w:val="000000" w:themeColor="text1"/>
          <w:sz w:val="16"/>
          <w:szCs w:val="16"/>
        </w:rPr>
      </w:pPr>
    </w:p>
    <w:p w14:paraId="10D4B852"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в 1942 году утреннее сообщение Совинформбюро:</w:t>
      </w:r>
    </w:p>
    <w:p w14:paraId="4BAFDF61"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6 сентября наши войска вели бои с противником северо-западнее и юго-западнее Сталинграда, а также в районах Новороссийск и Моздок. На других фронтах существенных изменений не произошло.</w:t>
      </w:r>
    </w:p>
    <w:p w14:paraId="351971EB"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Н-ская часть отбила атаку противника. В ожесточённом бою истреблено 270 гитлеровцев, уничтожены 2 танка, бронемашина и 4 орудия. Нашими бойцами захвачены 5 пулемётов, самоходная пушка, 3 миномёта и радиостанция. На другом участке огнём нашей артиллерии и бронебойщиков подбито и сожжено 7 немецких танков.</w:t>
      </w:r>
    </w:p>
    <w:p w14:paraId="2C340A81"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напряжённые бои против наступающих танков и пехоты противника. Все попытки немцев прорваться к городу встречают стойкое сопротивление советских частей. В течение суток гитлеровцы четыре раза безуспешно атаковали один укреплённый участок. На подступах к укреплениям остались 6 сгоревших танков и сотни трупов немецких солдат и офицеров.</w:t>
      </w:r>
    </w:p>
    <w:p w14:paraId="6383D14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Новороссийска наши части вели оборонительные бои с крупными силами гитлеровцев. Артиллерийская батарея командира Зубкова за два дня подавила огонь пяти артиллерийских и одной миномётной батарей противника и уничтожила до роты вражеской пехоты. Самоотверженно защищают побережье моряки-черноморцы. Краснофлотец Рыбалко попал в окружение. Смелый боец, отбиваясь гранатами, уничтожил 20 румынских солдат, захватил пулемёт и вышел из окружения. Лётчик-черноморец тов. Севрюков, охраняя подступы к Новороссийску, заметил в облаках группу немецких бомбардировщиков. Он быстро пошёл на сближение и сбил ведущий немецкий самолёт. В связи с тем, что все боеприпасы были израсходованы, тов. Севрюков таранил второй самолёт противника.</w:t>
      </w:r>
    </w:p>
    <w:p w14:paraId="53015A07"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вели бои по уничтожению группы противника, переправившейся через водный рубеж.</w:t>
      </w:r>
    </w:p>
    <w:p w14:paraId="75E79D53"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наши части отбили у противника несколько населённых пунктов. Немцы понесли значительные потери людьми и техникой. Лётчики Н-ской авиачасти нанесли удар по одному из аэродромов противника. Уничтожено и выведено из строя до 40 немецких самолётов. В воздушном бою сбито 5 самолётов противника.</w:t>
      </w:r>
    </w:p>
    <w:p w14:paraId="518B70B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Подводная лодка Северного флота под командованием капитан-лейтенанта Видяева потопила крупный транспорт противника. Вскоре подводники обнаружили ещё два немецких транспорта, шедших под охраной 6 сторожевых судов. Подводная лодка прошла через кольцо сопровождающих судов и торпедировала один из транспортов.Сторожевые суда противника, преследуя советскую лодку, сбросили 177 глубинных бомб. Советские подводники ушли от преследования и благополучно вернулись на свою базу.</w:t>
      </w:r>
    </w:p>
    <w:p w14:paraId="6D70D89A"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немецкого солдата Руди найдено неотправленное письмо к родителям: «Сегодня, как и в прошлом году, мы находимся на передовой линии. Мы несём большие потери. Только сегодня погибло 6 моих товарищей. По сравнению с другими ротами это не так много. Невозможно описать, как тяжелы лесные бои. Русские очень умело пользуются преимуществами, которые даёт им природа. Они стреляют с деревьев, из-за кустов, постоянно держат наши части под сильным огнём. От непрерывного сознания опасности нервы перенапряжены».</w:t>
      </w:r>
    </w:p>
    <w:p w14:paraId="1D3272E6"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деревне Мякшево, Калининской области, немецкие оккупанты нашли в доме колхозника В.А.Голубова охотничье ружьё. Гитлеровцы зверски избили колхозника Голубова, выволокли его во двор и повесили. Четырнадцатилетнего сына и 78-летнего отца Голубова немецкие бандиты расстреляли.» (14761).</w:t>
      </w:r>
    </w:p>
    <w:p w14:paraId="336EAB36"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37AAFF4C"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в 1942 году вечернее сообщение Совинформбюро:</w:t>
      </w:r>
    </w:p>
    <w:p w14:paraId="3610E7CB"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6 сентября наши войска вели ожесточённые бои с противником северо-западнее и юго-западнее Сталинграда, а также в районах Новороссийск и Моздок. На других фронтах существенных изменений не произошло.</w:t>
      </w:r>
    </w:p>
    <w:p w14:paraId="419920C7"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30 августа по 5 сентября включительно, в воздушныхбоях, на аэродромах и огнём зенитной артиллерии уничтожено 460 немецких самолётов. Наши потери за это же время— 256 самолётов.</w:t>
      </w:r>
    </w:p>
    <w:p w14:paraId="2A8B3774"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 кораблём в Балтийском море потоплен транспорт противника водоизмещением в 8.000 тонн.</w:t>
      </w:r>
    </w:p>
    <w:p w14:paraId="39DB29B8"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5 сентября частями нашей авиации на различных участках фронта уничтожено или повреждено 16 немецких танков и бронемашин, более 100 автомашин с войсками и грузами, подавлен огонь 10 батарей полевой и зенитной артиллерии, взорваны 2 склада боеприпасов и склад горючего, разбито 3 железнодорожных эшелона, рассеяно и частью уничтожено до батальона пехоты противника.</w:t>
      </w:r>
    </w:p>
    <w:p w14:paraId="27DC43BF"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три группы немецких самолётов общей численностью до 70 бомбардировщиков пытались прорваться к Москве. Наши истребители встретили вражеские самолёты на дальних подступах Москвы, рассеяли их и заставили повернуть обратно. В воздушных боях сбито 11 немецких бомбардировщиков. Наши потери — 1 самолёт.</w:t>
      </w:r>
    </w:p>
    <w:p w14:paraId="481FD04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выбили противника из ряда населённых пунктов. В ходе этих боёв враг понёс большие потери. Только в населённом пункте Г. наши бойцы уничтожили 6 немецких танков, 2 бронемашины, 2 артиллерийские батареи и истребили свыше 350 гитлеровцев. Захвачено 11 пулемётов, 2 орудия, 5 миномётов и склад с боеприпасами. На другом участке советские танкисты ворвались в расположение противника и уничтожили 8 противотанковых орудий, 7 танков, 23 автомашины и до 200 немецких солдат и офицеров.</w:t>
      </w:r>
    </w:p>
    <w:p w14:paraId="0786F29E"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крупные силы танков и пехоты гитлеровцев, действующие при поддержке авиации, вели непрерывные атаки наших укреплённых рубежей. Бои приобрели ещё более ожесточённый характер. Советские части удерживают позиции и отбивают атаки неприятеля. Артиллеристы Н-ской части уничтожили 16 немецких танков и до двух рот гитлеровцев. Просочившаяся в глубь нашей обороны группа немецких автоматчиков окружена и полностью уничтожена.</w:t>
      </w:r>
    </w:p>
    <w:p w14:paraId="5F16464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Новороссийска наши части вели тяжёлые оборонительные бои с танками и пехотой противника. На одном из участков бойцы Н-ской части уничтожили 19 автомашин и разгромили батальон румынской пехоты. Артиллеристы-моряки под командованием тов. Лаврентьева подавили огонь двух артиллерийских и миномётной батарей противника и сожгли два немецких танка. В одном месте наши части под давлением численно превосходящих сил противника с боями отошли на новые позиции.</w:t>
      </w:r>
    </w:p>
    <w:p w14:paraId="7493ECEF"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Звено штурмовиков-черноморцев во главе с капитаном Володиным потопило три сторожевых катера противника.</w:t>
      </w:r>
    </w:p>
    <w:p w14:paraId="69F57B6B"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в упорных боях за одну высоту уничтожено 27 пулемётов, 25 миномётов, из них 9 шестиствольных, 12 орудий и до 800 солдат и офицеров противника. Группа немецких танков, переправившаяся через водный рубеж, была остановлена артиллерийским огнём. Наши артиллеристы уничтожили 8 немецких танков.</w:t>
      </w:r>
    </w:p>
    <w:p w14:paraId="098C959C"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бойцы Н-ской части ведут упорные бои с противником в одном населённом пункте. Огневыми налётами наших артиллеристов и миномётчиков в течение дня уничтожено 2 немецких танка и до роты солдат и офицеров противника.</w:t>
      </w:r>
    </w:p>
    <w:p w14:paraId="71543E10"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56 немецкой пехотной дивизии Арнольд Кнезе рассказал: «Наших солдат особенно угнетает мысль о приближающихся холодах. Чтобы поддержать воинственный дух, офицеры обещают, что война закончится до наступления зимы. Командир роты Шнейдер заявил нам, что командование бросило на Восточный фронт все силы, чтобы в ближайшее время добиться решающего успеха и избежать второй зимней кампании в России. Командование всячески разжигает корыстные инстинкты солдат. Командир полка подполковник Бахерер сулил нам после окончания войны золотые горы. Он говорил, что на каждого немецкого солдата будут работать трое русских. Многих дураков прельщают эти небылицы. Другие же говорят, что им ничего не надо, только бы унести свои кости из России» (14761).</w:t>
      </w:r>
    </w:p>
    <w:p w14:paraId="47DDD516"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24448EC7"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6 сентября в 1942 году ГКО назначил Маршала Советского Союза К.Е.Ворошилова Главнокомандующим партизанским движением (14761).</w:t>
      </w:r>
    </w:p>
    <w:p w14:paraId="75261D57"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52408386"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в 1942 году немецкие войска захватывают Новороссийск (14761).</w:t>
      </w:r>
    </w:p>
    <w:p w14:paraId="10027B55"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4A42229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сентября 1942 И.В.С. телеграфировал Г.К.Ж.: "Новиков имеет право временно сосредоточить всю истребительную авиацию СФ и Ю-ВФ в том районе, где этого требует обстановка. Хрюкин и Степанов подчинены Новикову..." (340,96).</w:t>
      </w:r>
    </w:p>
    <w:p w14:paraId="6635522B" w14:textId="77777777" w:rsidR="00AE7191" w:rsidRPr="00722885" w:rsidRDefault="00AE7191" w:rsidP="00722885">
      <w:pPr>
        <w:pStyle w:val="Iauiue"/>
        <w:jc w:val="both"/>
        <w:rPr>
          <w:color w:val="000000" w:themeColor="text1"/>
          <w:sz w:val="16"/>
          <w:szCs w:val="16"/>
        </w:rPr>
      </w:pPr>
    </w:p>
    <w:p w14:paraId="269E23A0"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6 сентября 1942 немецкие войска захватили Новороссийск (4962).</w:t>
      </w:r>
    </w:p>
    <w:p w14:paraId="1BC96919" w14:textId="77777777" w:rsidR="00AE7191" w:rsidRPr="00722885" w:rsidRDefault="00AE7191" w:rsidP="00722885">
      <w:pPr>
        <w:pStyle w:val="Iauiue"/>
        <w:tabs>
          <w:tab w:val="left" w:pos="11199"/>
        </w:tabs>
        <w:jc w:val="both"/>
        <w:rPr>
          <w:color w:val="000000" w:themeColor="text1"/>
          <w:sz w:val="16"/>
          <w:szCs w:val="16"/>
        </w:rPr>
      </w:pPr>
    </w:p>
    <w:p w14:paraId="18D1B1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сентября 1942 части 4 горной дивизии 17А (Руофф) захватили Новороссийск. В Сталинграде шли уличные бои (3819).</w:t>
      </w:r>
    </w:p>
    <w:p w14:paraId="3FA10D3A" w14:textId="77777777" w:rsidR="00AE7191" w:rsidRPr="00722885" w:rsidRDefault="00AE7191" w:rsidP="00722885">
      <w:pPr>
        <w:pStyle w:val="Iauiue"/>
        <w:jc w:val="both"/>
        <w:rPr>
          <w:color w:val="000000" w:themeColor="text1"/>
          <w:sz w:val="16"/>
          <w:szCs w:val="16"/>
        </w:rPr>
      </w:pPr>
    </w:p>
    <w:p w14:paraId="20854EC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вышло Постановление ГКО № 2244 О формировании 20 моторизованных стрелковых бригаРГАНИР, Фонд ГКО, д. РГАНИР, Фонд ГКО, д. 55, лл. 52-53 (11012).</w:t>
      </w:r>
    </w:p>
    <w:p w14:paraId="352BE09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F52DDF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сентября 1942 вышло Постановление ГКО № 2246 Вопросы партизанского движения. РГАНИР, Фонд ГКО, д. 55, лл. 55 (11012).</w:t>
      </w:r>
    </w:p>
    <w:p w14:paraId="591A048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62D7B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6-19 сентября 1942 была операция СФ по обеспечению перехода конвоев PQ-14 и PQ-14 (3186).</w:t>
      </w:r>
    </w:p>
    <w:p w14:paraId="29E7B505" w14:textId="77777777" w:rsidR="00AE7191" w:rsidRPr="00722885" w:rsidRDefault="00AE7191" w:rsidP="00722885">
      <w:pPr>
        <w:pStyle w:val="Iauiue"/>
        <w:jc w:val="both"/>
        <w:rPr>
          <w:color w:val="000000" w:themeColor="text1"/>
          <w:sz w:val="16"/>
          <w:szCs w:val="16"/>
        </w:rPr>
      </w:pPr>
    </w:p>
    <w:p w14:paraId="39183A4A"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September 6, 1942: 4.Gebirgsdivision of 17.Armee (Ruoff) captures the Black Sea port of Novorossisk. Heavy house-to-house fighting continues in the center of Stalingrad (3819).</w:t>
      </w:r>
    </w:p>
    <w:p w14:paraId="7180E892" w14:textId="77777777" w:rsidR="00AE7191" w:rsidRPr="00722885" w:rsidRDefault="00AE7191" w:rsidP="00722885">
      <w:pPr>
        <w:pStyle w:val="Iauiue"/>
        <w:jc w:val="both"/>
        <w:rPr>
          <w:color w:val="000000" w:themeColor="text1"/>
          <w:sz w:val="16"/>
          <w:szCs w:val="16"/>
          <w:lang w:val="en-US"/>
        </w:rPr>
      </w:pPr>
    </w:p>
    <w:p w14:paraId="7967120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сентября 1942 г. вышел ПРИКАЗ НКО № 0678 О ЗАМЕНЕ В ШТАБАХ, УЧРЕЖДЕНИЯХ И ТЫЛАХ АРМИЙ, ФРОНТОВ И ОКРУГОВ ГОДНЫХ К СТРОЕВОЙ СЛУЖБЕ ОГРАНИЧЕННО ГОДНЫМИ, ЖЕНЩИНАМИ И СТАРШИМИ ВОЗРАСТАМИ</w:t>
      </w:r>
    </w:p>
    <w:p w14:paraId="022AE9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Народный комиссар обороны своими приказами № 0308 1941 г., № 0296 1942 г. требовал произвести замену всех молодых возрастов, годных к строевой службе, находящихся в штабах, учреждениях и тылах армий, фронтов и округов, ограниченно годными, женщинами и старшими возрастами.</w:t>
      </w:r>
    </w:p>
    <w:p w14:paraId="43475A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Однако до настоящего времени эти приказы Народного комиссара обороны по-настоящему не выполнены. Как в войсковых тылах, армиях, во фронтовых учреждениях и тылах, так и в округах имеется еще много здоровых молодых военнослужащих, которые с успехом могут быть использованы на фронте в боевых частях Красной Армии.</w:t>
      </w:r>
    </w:p>
    <w:p w14:paraId="2363A4B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По-серьезному к этому делу отнесся лишь Ленинградский фронт, где в широком масштабе проведена замена молодых возрастов при непосредственном участии членов военного совета фронта тт. Жданова А. А., Штыкова и начальника штаба фронта т. Гусева, которые уделяют должное внимание этому важнейшему мероприятию.</w:t>
      </w:r>
    </w:p>
    <w:p w14:paraId="40B2F1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Остальные военные советы фронтов и округов и начальники штабов вопросу изыскания дополнительных людских ресурсов серьезного внимания еще не уделили.</w:t>
      </w:r>
    </w:p>
    <w:p w14:paraId="2BD5464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Наличие большого количества здоровых молодых бойцов в штабах, учреждениях и тылах вызывает справедливые нарекания со стороны боевых красноармейцев и командиров, которые пишут об этом из госпиталей товарищу Сталину.</w:t>
      </w:r>
    </w:p>
    <w:p w14:paraId="2FF5D6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Необходимо учесть фронтам, что пополнение для восстановления текущих потерь впредь направляться из запасных частей не будет. Маршевое пополнение будет поступать только для восстановления дивизий, выводимых в резерв фронтов по решению Ставки Верховного Главнокомандования.</w:t>
      </w:r>
    </w:p>
    <w:p w14:paraId="05247CA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Поэтому существенным источником комплектования боевых частей фронтов является замена молодых возрастов ограниченно годными, женщинами и старшими возрастами (свыше 46 лет) в штабах, учреждениях и тылах.</w:t>
      </w:r>
    </w:p>
    <w:p w14:paraId="63CE727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категориям лиц, подлежащих замене во всех войсковых звеньях, начиная с дивизии, относятся: писари, чертежники, складские работники, регулировщики, младшие командиры и красноармейцы дорожно-эксплуатационных и дорожно-мостовых, караульных частей, молодые возрасты саперных армий и команд сопровождения грузов, связисты (начиная с армии), портные, парикмахеры, повозочные, шоферы, санитары, красноармейцы для хозяйственных надобностей, делопроизводители и другие лица административно-хозяйственной службы; сапожники, повара и хлебопеки при условии замены их на более квалифицированных старших возрастов и женщин.</w:t>
      </w:r>
    </w:p>
    <w:p w14:paraId="02097B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Заявки на потребное количество указанного контингента для замены молодых возрастов представлять мне заблаговременно через Управление запасных частей.</w:t>
      </w:r>
    </w:p>
    <w:p w14:paraId="40D669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Военным советам фронтов и округов немедленно разработать конкретные мероприятия по замене молодых возрастов ограниченно годными, женщинами и старшими возрастами (свыше 46 лет).</w:t>
      </w:r>
    </w:p>
    <w:p w14:paraId="7C890FD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Установить неослабный контроль за проведением указанных мероприятий, выделяя для этого специальные комиссии для проверки всех без исключения контингентов вышеуказанных категорий.</w:t>
      </w:r>
    </w:p>
    <w:p w14:paraId="313155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 числе замененных военнослужащих молодых возрастов доносить мне через каждые десять дней по состоянию на 1, 10 и 20 числа.</w:t>
      </w:r>
    </w:p>
    <w:p w14:paraId="4CB31B23"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Заместитель Народного комиссара обороны армейский комиссар I ранга Е. ЩАДЕНКО </w:t>
      </w:r>
      <w:r w:rsidRPr="00722885">
        <w:rPr>
          <w:color w:val="000000" w:themeColor="text1"/>
          <w:sz w:val="16"/>
          <w:szCs w:val="16"/>
        </w:rPr>
        <w:t>(9844).</w:t>
      </w:r>
    </w:p>
    <w:p w14:paraId="0E24E1A3" w14:textId="77777777" w:rsidR="00AE7191" w:rsidRPr="00722885" w:rsidRDefault="00AE7191" w:rsidP="00722885">
      <w:pPr>
        <w:pStyle w:val="Iauiue"/>
        <w:jc w:val="both"/>
        <w:rPr>
          <w:color w:val="000000" w:themeColor="text1"/>
          <w:sz w:val="16"/>
          <w:szCs w:val="16"/>
        </w:rPr>
      </w:pPr>
    </w:p>
    <w:p w14:paraId="3567CD1A" w14:textId="371728D0" w:rsidR="008843B8" w:rsidRPr="00722885" w:rsidRDefault="008843B8" w:rsidP="00722885">
      <w:pPr>
        <w:pStyle w:val="Iauiue"/>
        <w:jc w:val="both"/>
        <w:rPr>
          <w:i/>
          <w:iCs/>
          <w:color w:val="000000" w:themeColor="text1"/>
          <w:sz w:val="16"/>
          <w:szCs w:val="16"/>
        </w:rPr>
      </w:pPr>
      <w:r w:rsidRPr="00722885">
        <w:rPr>
          <w:i/>
          <w:iCs/>
          <w:color w:val="000000" w:themeColor="text1"/>
          <w:sz w:val="16"/>
          <w:szCs w:val="16"/>
        </w:rPr>
        <w:t>За рубежом:</w:t>
      </w:r>
    </w:p>
    <w:p w14:paraId="6D779BAF" w14:textId="77777777" w:rsidR="008843B8" w:rsidRPr="00722885" w:rsidRDefault="008843B8" w:rsidP="00722885">
      <w:pPr>
        <w:pStyle w:val="Iauiue"/>
        <w:jc w:val="both"/>
        <w:rPr>
          <w:i/>
          <w:iCs/>
          <w:color w:val="000000" w:themeColor="text1"/>
          <w:sz w:val="16"/>
          <w:szCs w:val="16"/>
        </w:rPr>
      </w:pPr>
    </w:p>
    <w:p w14:paraId="0E858F81" w14:textId="77777777" w:rsidR="008843B8" w:rsidRPr="00722885" w:rsidRDefault="008843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сентября 1942 Авиатранспортная служба ВМС США совершает первый рейс на военно- морскую базу Арджентия в Доминионе Ньюфаундленд, что стало началом расширения службы вдоль восточного побережья Соединенных Штатов и в Атлантике, которое к концу сентября достигнет Зоны Панамского канала и Рио - де - Жанейро, Бразилия, и на короткое время будет включать и Исландию (21793).</w:t>
      </w:r>
    </w:p>
    <w:p w14:paraId="34DEF678" w14:textId="77777777" w:rsidR="008843B8" w:rsidRPr="00722885" w:rsidRDefault="008843B8" w:rsidP="00722885">
      <w:pPr>
        <w:spacing w:after="0" w:line="240" w:lineRule="auto"/>
        <w:jc w:val="both"/>
        <w:rPr>
          <w:rFonts w:ascii="Times New Roman" w:hAnsi="Times New Roman"/>
          <w:color w:val="0070C0"/>
          <w:sz w:val="16"/>
          <w:szCs w:val="16"/>
        </w:rPr>
      </w:pPr>
    </w:p>
    <w:p w14:paraId="37F0EE7A" w14:textId="6A3424E0"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0F98401" w14:textId="77777777" w:rsidR="00AE7191" w:rsidRPr="00722885" w:rsidRDefault="00AE7191" w:rsidP="00722885">
      <w:pPr>
        <w:pStyle w:val="Iauiue"/>
        <w:jc w:val="both"/>
        <w:rPr>
          <w:iCs/>
          <w:color w:val="000000" w:themeColor="text1"/>
          <w:sz w:val="16"/>
          <w:szCs w:val="16"/>
        </w:rPr>
      </w:pPr>
    </w:p>
    <w:p w14:paraId="6F49F15A"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сентября 1942 г. глав</w:t>
      </w:r>
      <w:r w:rsidRPr="00722885">
        <w:rPr>
          <w:rFonts w:ascii="Times New Roman" w:hAnsi="Times New Roman"/>
          <w:color w:val="000000" w:themeColor="text1"/>
          <w:sz w:val="16"/>
          <w:szCs w:val="16"/>
        </w:rPr>
        <w:softHyphen/>
        <w:t>ный конструктор завода № 24 А.М. Микулин предложил создать новую модификацию АМ-38, постепенно пре</w:t>
      </w:r>
      <w:r w:rsidRPr="00722885">
        <w:rPr>
          <w:rFonts w:ascii="Times New Roman" w:hAnsi="Times New Roman"/>
          <w:color w:val="000000" w:themeColor="text1"/>
          <w:sz w:val="16"/>
          <w:szCs w:val="16"/>
        </w:rPr>
        <w:softHyphen/>
        <w:t>вратившуюся фактически в новый мо</w:t>
      </w:r>
      <w:r w:rsidRPr="00722885">
        <w:rPr>
          <w:rFonts w:ascii="Times New Roman" w:hAnsi="Times New Roman"/>
          <w:color w:val="000000" w:themeColor="text1"/>
          <w:sz w:val="16"/>
          <w:szCs w:val="16"/>
        </w:rPr>
        <w:softHyphen/>
        <w:t>тор. Из расчетов следовало, что за счет повышения оборотов и наддува воз</w:t>
      </w:r>
      <w:r w:rsidRPr="00722885">
        <w:rPr>
          <w:rFonts w:ascii="Times New Roman" w:hAnsi="Times New Roman"/>
          <w:color w:val="000000" w:themeColor="text1"/>
          <w:sz w:val="16"/>
          <w:szCs w:val="16"/>
        </w:rPr>
        <w:softHyphen/>
        <w:t>можен рост взлетной мощности до 2000 л.с. При этом номинальная мощ</w:t>
      </w:r>
      <w:r w:rsidRPr="00722885">
        <w:rPr>
          <w:rFonts w:ascii="Times New Roman" w:hAnsi="Times New Roman"/>
          <w:color w:val="000000" w:themeColor="text1"/>
          <w:sz w:val="16"/>
          <w:szCs w:val="16"/>
        </w:rPr>
        <w:softHyphen/>
        <w:t>ность на расчетной высоте 1600 м со</w:t>
      </w:r>
      <w:r w:rsidRPr="00722885">
        <w:rPr>
          <w:rFonts w:ascii="Times New Roman" w:hAnsi="Times New Roman"/>
          <w:color w:val="000000" w:themeColor="text1"/>
          <w:sz w:val="16"/>
          <w:szCs w:val="16"/>
        </w:rPr>
        <w:softHyphen/>
        <w:t>ставляла 1750 л.с. Сухой вес нового мотора, по прикидкам, не превышал 1030 кг, что обеспечивало удельный вес на взлетном режиме 0,515 кг/л.с. и око</w:t>
      </w:r>
      <w:r w:rsidRPr="00722885">
        <w:rPr>
          <w:rFonts w:ascii="Times New Roman" w:hAnsi="Times New Roman"/>
          <w:color w:val="000000" w:themeColor="text1"/>
          <w:sz w:val="16"/>
          <w:szCs w:val="16"/>
        </w:rPr>
        <w:softHyphen/>
        <w:t>ло 0,589 кг/л.с. на номинальном. Ильюшин активно поддержал иници</w:t>
      </w:r>
      <w:r w:rsidRPr="00722885">
        <w:rPr>
          <w:rFonts w:ascii="Times New Roman" w:hAnsi="Times New Roman"/>
          <w:color w:val="000000" w:themeColor="text1"/>
          <w:sz w:val="16"/>
          <w:szCs w:val="16"/>
        </w:rPr>
        <w:softHyphen/>
        <w:t>ативу Микулина, планируя за счет уве</w:t>
      </w:r>
      <w:r w:rsidRPr="00722885">
        <w:rPr>
          <w:rFonts w:ascii="Times New Roman" w:hAnsi="Times New Roman"/>
          <w:color w:val="000000" w:themeColor="text1"/>
          <w:sz w:val="16"/>
          <w:szCs w:val="16"/>
        </w:rPr>
        <w:softHyphen/>
        <w:t>личения тяги серьезно поднять летно-боевые качества своего штурмовика Ил-2. При этом учитывалось, что АМ-42 (такое название получил новый двигатель) будет сохранять преем</w:t>
      </w:r>
      <w:r w:rsidRPr="00722885">
        <w:rPr>
          <w:rFonts w:ascii="Times New Roman" w:hAnsi="Times New Roman"/>
          <w:color w:val="000000" w:themeColor="text1"/>
          <w:sz w:val="16"/>
          <w:szCs w:val="16"/>
        </w:rPr>
        <w:softHyphen/>
        <w:t>ственность с АМ-38 в отношении тех</w:t>
      </w:r>
      <w:r w:rsidRPr="00722885">
        <w:rPr>
          <w:rFonts w:ascii="Times New Roman" w:hAnsi="Times New Roman"/>
          <w:color w:val="000000" w:themeColor="text1"/>
          <w:sz w:val="16"/>
          <w:szCs w:val="16"/>
        </w:rPr>
        <w:softHyphen/>
        <w:t>нологии производства, а значит, раз</w:t>
      </w:r>
      <w:r w:rsidRPr="00722885">
        <w:rPr>
          <w:rFonts w:ascii="Times New Roman" w:hAnsi="Times New Roman"/>
          <w:color w:val="000000" w:themeColor="text1"/>
          <w:sz w:val="16"/>
          <w:szCs w:val="16"/>
        </w:rPr>
        <w:softHyphen/>
        <w:t>вертывание его серийного выпуска бу</w:t>
      </w:r>
      <w:r w:rsidRPr="00722885">
        <w:rPr>
          <w:rFonts w:ascii="Times New Roman" w:hAnsi="Times New Roman"/>
          <w:color w:val="000000" w:themeColor="text1"/>
          <w:sz w:val="16"/>
          <w:szCs w:val="16"/>
        </w:rPr>
        <w:softHyphen/>
        <w:t>дет происходить значительно легче, чем, например, мотора М-71, мало уни</w:t>
      </w:r>
      <w:r w:rsidRPr="00722885">
        <w:rPr>
          <w:rFonts w:ascii="Times New Roman" w:hAnsi="Times New Roman"/>
          <w:color w:val="000000" w:themeColor="text1"/>
          <w:sz w:val="16"/>
          <w:szCs w:val="16"/>
        </w:rPr>
        <w:softHyphen/>
        <w:t>фицированного с М-82. Соответствен</w:t>
      </w:r>
      <w:r w:rsidRPr="00722885">
        <w:rPr>
          <w:rFonts w:ascii="Times New Roman" w:hAnsi="Times New Roman"/>
          <w:color w:val="000000" w:themeColor="text1"/>
          <w:sz w:val="16"/>
          <w:szCs w:val="16"/>
        </w:rPr>
        <w:softHyphen/>
        <w:t>но, и внедрение в серию модернизиро</w:t>
      </w:r>
      <w:r w:rsidRPr="00722885">
        <w:rPr>
          <w:rFonts w:ascii="Times New Roman" w:hAnsi="Times New Roman"/>
          <w:color w:val="000000" w:themeColor="text1"/>
          <w:sz w:val="16"/>
          <w:szCs w:val="16"/>
        </w:rPr>
        <w:softHyphen/>
        <w:t>ванного варианта Ил-2 с этим двига</w:t>
      </w:r>
      <w:r w:rsidRPr="00722885">
        <w:rPr>
          <w:rFonts w:ascii="Times New Roman" w:hAnsi="Times New Roman"/>
          <w:color w:val="000000" w:themeColor="text1"/>
          <w:sz w:val="16"/>
          <w:szCs w:val="16"/>
        </w:rPr>
        <w:softHyphen/>
        <w:t>телем также пойдет быстрее и с меньшими затратами (10680).</w:t>
      </w:r>
    </w:p>
    <w:p w14:paraId="02BD057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887F5D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сентября 1942 г. Глав</w:t>
      </w:r>
      <w:r w:rsidRPr="00722885">
        <w:rPr>
          <w:rFonts w:ascii="Times New Roman" w:hAnsi="Times New Roman"/>
          <w:color w:val="000000" w:themeColor="text1"/>
          <w:sz w:val="16"/>
          <w:szCs w:val="16"/>
        </w:rPr>
        <w:softHyphen/>
        <w:t>ный конструктор ОКБ завода № 24 А. А. Микулин вышел с предложени</w:t>
      </w:r>
      <w:r w:rsidRPr="00722885">
        <w:rPr>
          <w:rFonts w:ascii="Times New Roman" w:hAnsi="Times New Roman"/>
          <w:color w:val="000000" w:themeColor="text1"/>
          <w:sz w:val="16"/>
          <w:szCs w:val="16"/>
        </w:rPr>
        <w:softHyphen/>
        <w:t>ем создать глубокую модификацию мотора АМ-38, а фактически новый мотор, с повышенной мощностью. Из расчетов следовало, что за счет по</w:t>
      </w:r>
      <w:r w:rsidRPr="00722885">
        <w:rPr>
          <w:rFonts w:ascii="Times New Roman" w:hAnsi="Times New Roman"/>
          <w:color w:val="000000" w:themeColor="text1"/>
          <w:sz w:val="16"/>
          <w:szCs w:val="16"/>
        </w:rPr>
        <w:softHyphen/>
        <w:t>вышения частоты вращения коленча</w:t>
      </w:r>
      <w:r w:rsidRPr="00722885">
        <w:rPr>
          <w:rFonts w:ascii="Times New Roman" w:hAnsi="Times New Roman"/>
          <w:color w:val="000000" w:themeColor="text1"/>
          <w:sz w:val="16"/>
          <w:szCs w:val="16"/>
        </w:rPr>
        <w:softHyphen/>
        <w:t>того вала на взлетном режиме до 2510 об/мин и одновременного по</w:t>
      </w:r>
      <w:r w:rsidRPr="00722885">
        <w:rPr>
          <w:rFonts w:ascii="Times New Roman" w:hAnsi="Times New Roman"/>
          <w:color w:val="000000" w:themeColor="text1"/>
          <w:sz w:val="16"/>
          <w:szCs w:val="16"/>
        </w:rPr>
        <w:softHyphen/>
        <w:t>вышения давления наддува до 1720 мм.рт.ст. возможно увеличение взлет</w:t>
      </w:r>
      <w:r w:rsidRPr="00722885">
        <w:rPr>
          <w:rFonts w:ascii="Times New Roman" w:hAnsi="Times New Roman"/>
          <w:color w:val="000000" w:themeColor="text1"/>
          <w:sz w:val="16"/>
          <w:szCs w:val="16"/>
        </w:rPr>
        <w:softHyphen/>
        <w:t>ной мощности до 2000 л.с. Номи</w:t>
      </w:r>
      <w:r w:rsidRPr="00722885">
        <w:rPr>
          <w:rFonts w:ascii="Times New Roman" w:hAnsi="Times New Roman"/>
          <w:color w:val="000000" w:themeColor="text1"/>
          <w:sz w:val="16"/>
          <w:szCs w:val="16"/>
        </w:rPr>
        <w:softHyphen/>
        <w:t>нальная мощность на расчетной вы</w:t>
      </w:r>
      <w:r w:rsidRPr="00722885">
        <w:rPr>
          <w:rFonts w:ascii="Times New Roman" w:hAnsi="Times New Roman"/>
          <w:color w:val="000000" w:themeColor="text1"/>
          <w:sz w:val="16"/>
          <w:szCs w:val="16"/>
        </w:rPr>
        <w:softHyphen/>
        <w:t>соте 1600 м составляла 1750 л.с. при оборотах 2350 об/мин и давлении наддува 1450 мм.рт.ст. Сухой вес но</w:t>
      </w:r>
      <w:r w:rsidRPr="00722885">
        <w:rPr>
          <w:rFonts w:ascii="Times New Roman" w:hAnsi="Times New Roman"/>
          <w:color w:val="000000" w:themeColor="text1"/>
          <w:sz w:val="16"/>
          <w:szCs w:val="16"/>
        </w:rPr>
        <w:softHyphen/>
        <w:t>вого мотора не превышал 996 кг, что обеспечивало удельный вес 0,498 кг/л.с. на взлетном режиме и около 0,569 кг/л.с. на номинальном режиме.</w:t>
      </w:r>
    </w:p>
    <w:p w14:paraId="02EFB8E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процессе подготовки решения по этому вопросу С. В. Ильюшин активно поддержал инициативу А. А. Микулина, планируя серьезно под</w:t>
      </w:r>
      <w:r w:rsidRPr="00722885">
        <w:rPr>
          <w:rFonts w:ascii="Times New Roman" w:hAnsi="Times New Roman"/>
          <w:color w:val="000000" w:themeColor="text1"/>
          <w:sz w:val="16"/>
          <w:szCs w:val="16"/>
        </w:rPr>
        <w:softHyphen/>
        <w:t>нять летно-боевые качества штурмо</w:t>
      </w:r>
      <w:r w:rsidRPr="00722885">
        <w:rPr>
          <w:rFonts w:ascii="Times New Roman" w:hAnsi="Times New Roman"/>
          <w:color w:val="000000" w:themeColor="text1"/>
          <w:sz w:val="16"/>
          <w:szCs w:val="16"/>
        </w:rPr>
        <w:softHyphen/>
        <w:t>вика Ил-2 за счет установки на са</w:t>
      </w:r>
      <w:r w:rsidRPr="00722885">
        <w:rPr>
          <w:rFonts w:ascii="Times New Roman" w:hAnsi="Times New Roman"/>
          <w:color w:val="000000" w:themeColor="text1"/>
          <w:sz w:val="16"/>
          <w:szCs w:val="16"/>
        </w:rPr>
        <w:softHyphen/>
        <w:t>молет нового мотора и улучшения его аэродинамики. При этом расчет строился еще и на то, что мотор бу</w:t>
      </w:r>
      <w:r w:rsidRPr="00722885">
        <w:rPr>
          <w:rFonts w:ascii="Times New Roman" w:hAnsi="Times New Roman"/>
          <w:color w:val="000000" w:themeColor="text1"/>
          <w:sz w:val="16"/>
          <w:szCs w:val="16"/>
        </w:rPr>
        <w:softHyphen/>
        <w:t>дет иметь преемственность в техно</w:t>
      </w:r>
      <w:r w:rsidRPr="00722885">
        <w:rPr>
          <w:rFonts w:ascii="Times New Roman" w:hAnsi="Times New Roman"/>
          <w:color w:val="000000" w:themeColor="text1"/>
          <w:sz w:val="16"/>
          <w:szCs w:val="16"/>
        </w:rPr>
        <w:softHyphen/>
        <w:t>логии производства, а значит, развертывание его серийного производ</w:t>
      </w:r>
      <w:r w:rsidRPr="00722885">
        <w:rPr>
          <w:rFonts w:ascii="Times New Roman" w:hAnsi="Times New Roman"/>
          <w:color w:val="000000" w:themeColor="text1"/>
          <w:sz w:val="16"/>
          <w:szCs w:val="16"/>
        </w:rPr>
        <w:softHyphen/>
        <w:t>ства будет происходить значительно легче. Соответственно, и внедрение в серию модернизированного вари</w:t>
      </w:r>
      <w:r w:rsidRPr="00722885">
        <w:rPr>
          <w:rFonts w:ascii="Times New Roman" w:hAnsi="Times New Roman"/>
          <w:color w:val="000000" w:themeColor="text1"/>
          <w:sz w:val="16"/>
          <w:szCs w:val="16"/>
        </w:rPr>
        <w:softHyphen/>
        <w:t>анта Ил-2 с этим мотором также будет проходить быстрее и с мень</w:t>
      </w:r>
      <w:r w:rsidRPr="00722885">
        <w:rPr>
          <w:rFonts w:ascii="Times New Roman" w:hAnsi="Times New Roman"/>
          <w:color w:val="000000" w:themeColor="text1"/>
          <w:sz w:val="16"/>
          <w:szCs w:val="16"/>
        </w:rPr>
        <w:softHyphen/>
        <w:t>шими затратами (11426).</w:t>
      </w:r>
    </w:p>
    <w:p w14:paraId="4195B822"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27C5C30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сентября 1942 г. Главный конструктор ОКБ завода №24 Микулин предложил создать глубокую модификацию мотора АМ-38, а фактически новый мотор (в серии АМ-42), с повышенной мощностью. Из расчетов следовало, что за счет повышения частоты вращения коленчатого вала на взлетном режиме и повышения давления наддува возможно увеличение взлетной мощности до 2000 л.с. Номинальная мощность на высоте 1600 м составляла 1750 л.с.</w:t>
      </w:r>
    </w:p>
    <w:p w14:paraId="68D6AEE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Ильюшин активно поддержал Микулина, планируя серьезно поднять летно-боевые качества Ил-2 путем улучшения его аэродинамики, усиления бронирования, введения в состав экипажа воздушного стрелка, увеличения вдвое бомбовой нагрузки и установки мотора АМ-42. При этом расчет строился еще и на преемственность в технологии производства и самолета и мотора, что позволяло быстро и с меньшими затратами развернуть серийное производство.</w:t>
      </w:r>
    </w:p>
    <w:p w14:paraId="0F003D2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Другими словами, Ильюшин сделал ставку на сильное бронирование и мощное бомбовое вооружение, что давало возможность использовать самолет не только в качестве штурмовика, но и ближнего дневного бомбардировщика. Как известно, в ВВС Красной Армии в то время катастрофически не хватало фронтовой бомбардировочной авиации. По замыслу многоцелевое назначение модифицированного Ил-2 должно было обеспечить повышенную боевую эффективность при решении задач авиационной поддержки войск (12020).</w:t>
      </w:r>
    </w:p>
    <w:p w14:paraId="17365F8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BFB8288" w14:textId="77777777" w:rsidR="008A062B" w:rsidRPr="00722885" w:rsidRDefault="008A062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сентября 1942 года главный конструктор ОКБ завода № 24 А. А. Микулин вышел с предложением создать глубокую модификацию мотора АМ-38, а фактически новый мотор, с повышенной мощностью. Из расчетов следовало, что за счет повышения частоты вращения коленчатого вала на взлетном режиме до 2510 об/мин и одновременного повышения давления наддува до 1720 мм рт. ст. возможно увеличение взлетной мощности до 2000 л. с. Номинальная мощность на расчетной высоте 1600 м составляла 1750 л. с. при оборотах 2350 об/мин и давлении наддува 1450 мм рт. ст. Сухой вес нового мотора не превышал 996 кг, что обеспечивало удельный вес 0,498 кг/л. с. на взлетном режиме и около 0,569 кг/л. с. на номинальном режиме.</w:t>
      </w:r>
    </w:p>
    <w:p w14:paraId="1ACB4FA2" w14:textId="77777777" w:rsidR="008A062B" w:rsidRPr="00722885" w:rsidRDefault="008A062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подготовки решения по этому вопросу С. В. Ильюшин активно поддержал инициативу А. А. Микулина, планируя серьезно поднять летно-боевые качества Ил-2 за счет установки на самолет более мощного мотора, улучшения его аэродинамики, увеличения веса бомбовой нагрузки до 1000 кг и повышения боевой живучести (особенно защищенность воздушного стрелка). При этом расчет строился еще и на то, что мотор АМ-42 будет иметь преемственность в технологии производства с АМ-38, а значит, развертывание его серийного производства будет происходить значительно легче. Соответственно, и внедрение в серию модернизированного варианта Ил-2 с АМ-42 также будет проходить быстрее, с меньшими техническими рисками и затратами.</w:t>
      </w:r>
    </w:p>
    <w:p w14:paraId="04BAC47C" w14:textId="77777777" w:rsidR="008A062B" w:rsidRPr="00722885" w:rsidRDefault="008A062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и в проекте БШ-М-71, Ильюшин при модернизации Ил-2 сделал ставку на многоцелевое назначение самолета – тяжелый штурмовик и ближний дневной бомбардировщик.</w:t>
      </w:r>
    </w:p>
    <w:p w14:paraId="0C10793B" w14:textId="77777777" w:rsidR="008A062B" w:rsidRPr="00722885" w:rsidRDefault="008A062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Наркому авиапромышленности Шахурину и его заместителям идея Ильюшина понравилась. Поддержали проект и военные. В случае успеха появлялась возможность, не меняя в целом серийную технологию (как самолета, так и мотора), в скором времени перейти в массовом производстве к машине с лучшими летными и боевыми данными. Это было крайне необходимо для обеспечения качественного скачка ударных возможностей ВВС КА уже в 1943 году (17490).</w:t>
      </w:r>
    </w:p>
    <w:p w14:paraId="6F07780A" w14:textId="77777777" w:rsidR="008A062B" w:rsidRPr="00722885" w:rsidRDefault="008A062B" w:rsidP="00722885">
      <w:pPr>
        <w:spacing w:after="0" w:line="240" w:lineRule="auto"/>
        <w:jc w:val="both"/>
        <w:rPr>
          <w:rFonts w:ascii="Times New Roman" w:hAnsi="Times New Roman"/>
          <w:color w:val="000000" w:themeColor="text1"/>
          <w:sz w:val="16"/>
          <w:szCs w:val="16"/>
        </w:rPr>
      </w:pPr>
    </w:p>
    <w:p w14:paraId="0C950CE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начале сентября 1942 г. А.С.Я вплотную приступил к работе над винтомоторной группой под М-106 и значительно обогнал других конструкторов. Встретившись с рядом троудностей при установке "новинки” на истребитель Яковлев обратился в Правительство с предложением к январю 1943 г. выпустить 32 Як-1 с мотором М-106-1СК. и со стандартными радиаторами для испытания их в боевых условиях зимой. Согласно предваоительных расчетам, при низких температурах наружного воздуха масло и вода на модифицированном истребителе не должны перегреваться, а в то же время можно было ожидать прироста максимальной скорости на малых высотах на 10 км-ч. на высотах от 2500 м до 3800 м - на 25 км.'ч и сократить время для набооа зысоты 5000 м примесно на полминуты. Предложение получило поддержку (4537).</w:t>
      </w:r>
    </w:p>
    <w:p w14:paraId="4D1C915F" w14:textId="77777777" w:rsidR="00AE7191" w:rsidRPr="00722885" w:rsidRDefault="00AE7191" w:rsidP="00722885">
      <w:pPr>
        <w:pStyle w:val="Iauiue"/>
        <w:jc w:val="both"/>
        <w:rPr>
          <w:color w:val="000000" w:themeColor="text1"/>
          <w:sz w:val="16"/>
          <w:szCs w:val="16"/>
        </w:rPr>
      </w:pPr>
    </w:p>
    <w:p w14:paraId="5C01BD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сентября 1942 г. на заводе № 51 в Новосибир</w:t>
      </w:r>
      <w:r w:rsidRPr="00722885">
        <w:rPr>
          <w:rFonts w:ascii="Times New Roman" w:hAnsi="Times New Roman"/>
          <w:color w:val="000000" w:themeColor="text1"/>
          <w:sz w:val="16"/>
          <w:szCs w:val="16"/>
        </w:rPr>
        <w:softHyphen/>
        <w:t>ске находились следующие экземпляры И-185: № 6201 с М-90 («Р»), № 6203 с М-71 («РМ», 04), «И» с М-82А (вто</w:t>
      </w:r>
      <w:r w:rsidRPr="00722885">
        <w:rPr>
          <w:rFonts w:ascii="Times New Roman" w:hAnsi="Times New Roman"/>
          <w:color w:val="000000" w:themeColor="text1"/>
          <w:sz w:val="16"/>
          <w:szCs w:val="16"/>
        </w:rPr>
        <w:softHyphen/>
        <w:t>рой экземпляр), а также «эталон для серии», достраивал</w:t>
      </w:r>
      <w:r w:rsidRPr="00722885">
        <w:rPr>
          <w:rFonts w:ascii="Times New Roman" w:hAnsi="Times New Roman"/>
          <w:color w:val="000000" w:themeColor="text1"/>
          <w:sz w:val="16"/>
          <w:szCs w:val="16"/>
        </w:rPr>
        <w:softHyphen/>
        <w:t>ся второй экземпляр «эталона» - так называемый «образцовый самолет» (10667).</w:t>
      </w:r>
    </w:p>
    <w:p w14:paraId="49D88F1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3F55AB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началу сентября 1942 года на заводе №19 был нали</w:t>
      </w:r>
      <w:r w:rsidRPr="00722885">
        <w:rPr>
          <w:rFonts w:ascii="Times New Roman" w:hAnsi="Times New Roman"/>
          <w:color w:val="000000" w:themeColor="text1"/>
          <w:sz w:val="16"/>
          <w:szCs w:val="16"/>
        </w:rPr>
        <w:softHyphen/>
        <w:t>цо прогресс сразу по двум направлени</w:t>
      </w:r>
      <w:r w:rsidRPr="00722885">
        <w:rPr>
          <w:rFonts w:ascii="Times New Roman" w:hAnsi="Times New Roman"/>
          <w:color w:val="000000" w:themeColor="text1"/>
          <w:sz w:val="16"/>
          <w:szCs w:val="16"/>
        </w:rPr>
        <w:softHyphen/>
        <w:t>ям совершенствования мотора М-82: форсированному М-82Ф и мотору с агрегатом непосредственного впрыс</w:t>
      </w:r>
      <w:r w:rsidRPr="00722885">
        <w:rPr>
          <w:rFonts w:ascii="Times New Roman" w:hAnsi="Times New Roman"/>
          <w:color w:val="000000" w:themeColor="text1"/>
          <w:sz w:val="16"/>
          <w:szCs w:val="16"/>
        </w:rPr>
        <w:softHyphen/>
        <w:t>ка М-82НВ. Естественно, возникла мысль объединить эти два важных до</w:t>
      </w:r>
      <w:r w:rsidRPr="00722885">
        <w:rPr>
          <w:rFonts w:ascii="Times New Roman" w:hAnsi="Times New Roman"/>
          <w:color w:val="000000" w:themeColor="text1"/>
          <w:sz w:val="16"/>
          <w:szCs w:val="16"/>
        </w:rPr>
        <w:softHyphen/>
        <w:t>стижения в одном моторе (10705).</w:t>
      </w:r>
    </w:p>
    <w:p w14:paraId="46A6DD2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A7EE881" w14:textId="77777777" w:rsidR="004A3FBB" w:rsidRPr="00722885" w:rsidRDefault="004A3FB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 началу сентября 1942 г. на заводе № 19 был налицо прогресс сра</w:t>
      </w:r>
      <w:r w:rsidRPr="00722885">
        <w:rPr>
          <w:rFonts w:ascii="Times New Roman" w:cs="Times New Roman"/>
          <w:color w:val="000000" w:themeColor="text1"/>
          <w:spacing w:val="0"/>
        </w:rPr>
        <w:softHyphen/>
        <w:t>зу по двум направлениям совершенствования мотора М-82: форсированному М-82Ф и мотору с агрегатом непосредственного впрыска М-82НВ. Естественно, возникла мысль объединить эти два важных достижения в одном моторе (15813).</w:t>
      </w:r>
    </w:p>
    <w:p w14:paraId="41AA4D58" w14:textId="77777777" w:rsidR="004A3FBB" w:rsidRPr="00722885" w:rsidRDefault="004A3FBB" w:rsidP="00722885">
      <w:pPr>
        <w:pStyle w:val="27"/>
        <w:shd w:val="clear" w:color="auto" w:fill="auto"/>
        <w:spacing w:after="0" w:line="240" w:lineRule="auto"/>
        <w:ind w:firstLine="0"/>
        <w:rPr>
          <w:rFonts w:ascii="Times New Roman" w:cs="Times New Roman"/>
          <w:color w:val="000000" w:themeColor="text1"/>
          <w:spacing w:val="0"/>
        </w:rPr>
      </w:pPr>
    </w:p>
    <w:p w14:paraId="3D65F073"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сентября 1942 г. сборочные чертежи горнострелковой 8-ствольной РСЗО М-8-8 для стрельбы «пехотными» 82-мм реактивными снарядами М-8 осколочного действия Суляева и Репса из ГУВ ГМЧ направили на завод «Компрессор» для отработки рабочих чертежей мини-РСЗО и организации их производства на Северном Кавказе. Представитель ГУВ ГМЧ Н.Н. Юрышев, конструктор СКВ завода «Компрессор» Ф.И. Есаков и военпред ГУВ ГМЧ на заводе «Компрессор» Е.А. Доброхотов доработали конструкцию с</w:t>
      </w:r>
      <w:hyperlink r:id="rId110"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ового варианта этой РСЗО, заменив дюралевые авиационные направляющие стальным пакетом из четырех «спарок». Это убедительно свидетельствует о неизбежности радикальной доработки СРГ из компонентов авиационного вооружения по требованиям Сухопутных войск. Кроме того, установка получила возможность изменять угол возвышения в значительно больших пределах и возможность разворота по азимуту. А вместо электрического способа запуска ракет доработчики использовали более компактный и надежный способ «огневой связью», запускаемый с помощью двух пиропистолетов. Установка стала легкоразборной (из трех частей) и вполне транспортабельной как гужевым транспортом, так и на руках.</w:t>
      </w:r>
    </w:p>
    <w:p w14:paraId="0AC6508F"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Запальный узел Юрышева-Есакова-Доброхотова был весьма оригинальным. Благодаря ему от единственного пиропатрона все снаряды верхнего или нижнего ряда пакета направляющих стартовали с небольшими интервалами. То есть, по команде достаточно было запустить один снаряд, а остальные три стартовали автоматически. Жестко закрепленными на пакете направляющих изогнутыми стальными трубками, введенными в сопло снаряда, при выстреле первого стартового боеприпаса пламя далее распределялось между остальными, поджигая сопловой воспламенитель в двигателе ракетного снаряда, запуская боеприпас. А те, в свою очередь, инициировали старт следующих. И хотя отсечь длину серии было нереально, представлялось возможным укоротить ее, заранее, до стрельбы заряжая установку с дульной части в особом порядке.</w:t>
      </w:r>
    </w:p>
    <w:p w14:paraId="750D3D30"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это позволило отказаться от дефицитных в то время и тяжелых аккумуляторов, прибора управления огнем и ненадежной электропроводки. В каждый пиропистолет (запальник) заряжали два холостых патрона пистолета ТТ. Этим дублированием повышалась надежность их срабатывания и исключалась осечка (аналогично для запуска ракетных снарядов более крупных калибров - РОФС-132, РБС-132 и пр. — с 1938 г. в ракетном двигателе использовали две пиросвечи с пиропатронами). Пиропистолет приводился в действие при выдергивании шнуром чеки из его курка. Таким образом благодаря длинному шнуру исключалась необходимость в защитном щитке (у Миля) и термостойком покрывале (у Камова) для защиты стрелка.</w:t>
      </w:r>
    </w:p>
    <w:p w14:paraId="17F13FF8"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Масса мини-РСЗО составляла 68,5 кг, из коих 36,4 кг приходилось на пакет направляющих длиной 970 мм. По итогам ее испытаний 22 октября 1942 г. потребовалось упростить, облегчить и усилить пакет направляющих, увеличить жесткость и устойчивость с</w:t>
      </w:r>
      <w:hyperlink r:id="rId111"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и поворотного узла. Согласитесь, что к с</w:t>
      </w:r>
      <w:hyperlink r:id="rId112"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у пулемета «Максим» таких претензий не предъявишь. Между тем еще недоработанное детище Алферова-Суляева-Репса одобрил Военный Совет Черноморской группы войск, передав его в производство авторемонтным мастерским и железнодорожному депо Сочи и Сухуми. К 1 октября 1942 г. было изготовлено 48 установок (восемь с электрозапалами и 40 с «огневой связью») и вооружено 12 горно-вьючных батарей РСЗО.</w:t>
      </w:r>
    </w:p>
    <w:p w14:paraId="1D2FC55E"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доработанной РСЗО на кольце станины были нанесены деления азимутальных меток, а угол возвышения расчет контролировал встроенным «транспортиром». Очевидно, пристрелка батареи по цели осуществлялась из одной установки одиночными выстрелами из «главного ствола», а затем уточняли угловые положения остальных, заряженных на полную емкость, и давали полный залп. Боеприпасы использовали исключительно с контактными авиационными взрывателями AM-А или пехотными ГВМЗ «для мин». Защиты личного состава расчетов РСЗО не требовалось, поскольку люди укрывались заранее, перед стрельбой (15595).</w:t>
      </w:r>
    </w:p>
    <w:p w14:paraId="4CB36A6F" w14:textId="77777777" w:rsidR="004A3FBB" w:rsidRPr="00722885" w:rsidRDefault="004A3FBB" w:rsidP="00722885">
      <w:pPr>
        <w:spacing w:after="0" w:line="240" w:lineRule="auto"/>
        <w:jc w:val="both"/>
        <w:rPr>
          <w:rFonts w:ascii="Times New Roman" w:hAnsi="Times New Roman"/>
          <w:color w:val="000000" w:themeColor="text1"/>
          <w:sz w:val="16"/>
          <w:szCs w:val="16"/>
        </w:rPr>
      </w:pPr>
    </w:p>
    <w:p w14:paraId="1A070283" w14:textId="77777777" w:rsidR="009D3895"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9F81B6E" w14:textId="77777777" w:rsidR="009D3895" w:rsidRPr="00722885" w:rsidRDefault="009D3895" w:rsidP="00722885">
      <w:pPr>
        <w:pStyle w:val="Iauiue"/>
        <w:jc w:val="both"/>
        <w:rPr>
          <w:iCs/>
          <w:color w:val="000000" w:themeColor="text1"/>
          <w:sz w:val="16"/>
          <w:szCs w:val="16"/>
        </w:rPr>
      </w:pPr>
    </w:p>
    <w:p w14:paraId="5E411B82" w14:textId="77777777" w:rsidR="009D3895" w:rsidRPr="00722885" w:rsidRDefault="009D3895" w:rsidP="00722885">
      <w:pPr>
        <w:pStyle w:val="a3"/>
        <w:rPr>
          <w:color w:val="000000" w:themeColor="text1"/>
          <w:lang w:val="ru-RU"/>
        </w:rPr>
      </w:pPr>
      <w:r w:rsidRPr="00722885">
        <w:rPr>
          <w:color w:val="000000" w:themeColor="text1"/>
          <w:lang w:val="ru-RU"/>
        </w:rPr>
        <w:t>В начале сентября 1942 были готовы первые чертежи ЗИК-20 были и ждали рассмотрения Арткома ГАУ КА. Выри</w:t>
      </w:r>
      <w:r w:rsidRPr="00722885">
        <w:rPr>
          <w:color w:val="000000" w:themeColor="text1"/>
          <w:lang w:val="ru-RU"/>
        </w:rPr>
        <w:softHyphen/>
        <w:t>совывающийся истребитель ДОТов значительно отличался от У-18 как конструкцией боевого отделения, так и установленным орудием. Это хорошо видно из описания установки:</w:t>
      </w:r>
    </w:p>
    <w:p w14:paraId="02C92E2F"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«При разработке проекта основное внимание было уделено:</w:t>
      </w:r>
    </w:p>
    <w:p w14:paraId="7AFD8063" w14:textId="77777777" w:rsidR="009D3895" w:rsidRPr="00722885" w:rsidRDefault="009D3895" w:rsidP="00722885">
      <w:pPr>
        <w:pStyle w:val="Bodytext141"/>
        <w:shd w:val="clear" w:color="auto" w:fill="auto"/>
        <w:tabs>
          <w:tab w:val="left" w:pos="1637"/>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1. Сохранению, по возможности, нетронутости конструкции и ме</w:t>
      </w:r>
      <w:r w:rsidRPr="00722885">
        <w:rPr>
          <w:rStyle w:val="Bodytext145"/>
          <w:i w:val="0"/>
          <w:iCs w:val="0"/>
          <w:color w:val="000000" w:themeColor="text1"/>
          <w:sz w:val="16"/>
          <w:szCs w:val="16"/>
        </w:rPr>
        <w:softHyphen/>
        <w:t xml:space="preserve">сторасположения узлов и механизмов танка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а также более полному сохранению деталей и узлов артиллерийской системы.</w:t>
      </w:r>
    </w:p>
    <w:p w14:paraId="6A334276"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Style w:val="Bodytext145"/>
          <w:rFonts w:ascii="Times New Roman" w:hAnsi="Times New Roman"/>
          <w:color w:val="000000" w:themeColor="text1"/>
          <w:sz w:val="16"/>
          <w:szCs w:val="16"/>
        </w:rPr>
        <w:t>2. Получение в рамках имеющихся габаритов танка наибольших удобств для работы артиллерийского расчета у орудия и тем са</w:t>
      </w:r>
      <w:r w:rsidRPr="00722885">
        <w:rPr>
          <w:rStyle w:val="Bodytext145"/>
          <w:rFonts w:ascii="Times New Roman" w:hAnsi="Times New Roman"/>
          <w:color w:val="000000" w:themeColor="text1"/>
          <w:sz w:val="16"/>
          <w:szCs w:val="16"/>
        </w:rPr>
        <w:softHyphen/>
        <w:t>мым повышения скорострельности его</w:t>
      </w:r>
    </w:p>
    <w:p w14:paraId="4B899A62" w14:textId="77777777" w:rsidR="009D3895" w:rsidRPr="00722885" w:rsidRDefault="009D3895" w:rsidP="00722885">
      <w:pPr>
        <w:pStyle w:val="Bodytext141"/>
        <w:shd w:val="clear" w:color="auto" w:fill="auto"/>
        <w:tabs>
          <w:tab w:val="left" w:pos="1681"/>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3. Увеличение количества выстрелов и наиболее удобному их распо</w:t>
      </w:r>
      <w:r w:rsidRPr="00722885">
        <w:rPr>
          <w:rStyle w:val="Bodytext145"/>
          <w:i w:val="0"/>
          <w:iCs w:val="0"/>
          <w:color w:val="000000" w:themeColor="text1"/>
          <w:sz w:val="16"/>
          <w:szCs w:val="16"/>
        </w:rPr>
        <w:softHyphen/>
        <w:t>ложения с точки зрения увеличения той же скорострельности.</w:t>
      </w:r>
    </w:p>
    <w:p w14:paraId="78F4828E" w14:textId="77777777" w:rsidR="009D3895" w:rsidRPr="00722885" w:rsidRDefault="009D3895" w:rsidP="00722885">
      <w:pPr>
        <w:pStyle w:val="Bodytext141"/>
        <w:shd w:val="clear" w:color="auto" w:fill="auto"/>
        <w:tabs>
          <w:tab w:val="left" w:pos="169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4. Максимальному увеличению углов разворота артсистем как в вертикальной, так и в горизонтальной плоскостях.</w:t>
      </w:r>
    </w:p>
    <w:p w14:paraId="57418370" w14:textId="77777777" w:rsidR="009D3895" w:rsidRPr="00722885" w:rsidRDefault="009D3895" w:rsidP="00722885">
      <w:pPr>
        <w:pStyle w:val="Bodytext141"/>
        <w:shd w:val="clear" w:color="auto" w:fill="auto"/>
        <w:tabs>
          <w:tab w:val="left" w:pos="169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5. Экономии в каком либо увеличении весовых данных артсистемы, а отсюда и в суммарном весе танка.</w:t>
      </w:r>
    </w:p>
    <w:p w14:paraId="075C314A" w14:textId="77777777" w:rsidR="009D3895" w:rsidRPr="00722885" w:rsidRDefault="009D3895" w:rsidP="00722885">
      <w:pPr>
        <w:pStyle w:val="Bodytext141"/>
        <w:shd w:val="clear" w:color="auto" w:fill="auto"/>
        <w:tabs>
          <w:tab w:val="left" w:pos="1681"/>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6. Созданию наилучшей бронезащиты как самой артсистемы, так и орудийного расчета, допуская тем самым использование танка для стрельбы прямой наводкой по укрепленным рубежам и точ</w:t>
      </w:r>
      <w:r w:rsidRPr="00722885">
        <w:rPr>
          <w:rStyle w:val="Bodytext145"/>
          <w:i w:val="0"/>
          <w:iCs w:val="0"/>
          <w:color w:val="000000" w:themeColor="text1"/>
          <w:sz w:val="16"/>
          <w:szCs w:val="16"/>
        </w:rPr>
        <w:softHyphen/>
        <w:t>кам противника с ближайших дистанций.</w:t>
      </w:r>
    </w:p>
    <w:p w14:paraId="76DB8FF0" w14:textId="77777777" w:rsidR="009D3895" w:rsidRPr="00722885" w:rsidRDefault="009D3895" w:rsidP="00722885">
      <w:pPr>
        <w:pStyle w:val="Bodytext141"/>
        <w:shd w:val="clear" w:color="auto" w:fill="auto"/>
        <w:tabs>
          <w:tab w:val="left" w:pos="1652"/>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 xml:space="preserve">7. Получению возможно наименьшей высоты линии огня, которая достигнута в настоящем проекте до 2170мм, то есть превышая только на 70 мм линию огня 76,2 мм пушки в танке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xml:space="preserve"> с малой башней.</w:t>
      </w:r>
    </w:p>
    <w:p w14:paraId="602DE2E5" w14:textId="77777777" w:rsidR="009D3895" w:rsidRPr="00722885" w:rsidRDefault="009D3895" w:rsidP="00722885">
      <w:pPr>
        <w:pStyle w:val="Bodytext141"/>
        <w:shd w:val="clear" w:color="auto" w:fill="auto"/>
        <w:tabs>
          <w:tab w:val="left" w:pos="167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8. Удобство монтажных работ в условиях кооперированного испол</w:t>
      </w:r>
      <w:r w:rsidRPr="00722885">
        <w:rPr>
          <w:rStyle w:val="Bodytext145"/>
          <w:i w:val="0"/>
          <w:iCs w:val="0"/>
          <w:color w:val="000000" w:themeColor="text1"/>
          <w:sz w:val="16"/>
          <w:szCs w:val="16"/>
        </w:rPr>
        <w:softHyphen/>
        <w:t>нения заказа.</w:t>
      </w:r>
    </w:p>
    <w:p w14:paraId="5B665D02"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 xml:space="preserve">Установка танковой пушки ЗИК-20 нами произведена на танк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xml:space="preserve"> с приварной невращающейся башней призматической формы.</w:t>
      </w:r>
    </w:p>
    <w:p w14:paraId="010AEC33" w14:textId="77777777" w:rsidR="009D3895" w:rsidRPr="00722885" w:rsidRDefault="009D3895" w:rsidP="00722885">
      <w:pPr>
        <w:pStyle w:val="Bodytext270"/>
        <w:shd w:val="clear" w:color="auto" w:fill="auto"/>
        <w:spacing w:after="0" w:line="240" w:lineRule="auto"/>
        <w:ind w:firstLine="0"/>
        <w:rPr>
          <w:rFonts w:ascii="Times New Roman" w:hAnsi="Times New Roman" w:cs="Times New Roman"/>
          <w:i w:val="0"/>
          <w:color w:val="000000" w:themeColor="text1"/>
          <w:sz w:val="16"/>
          <w:szCs w:val="16"/>
        </w:rPr>
      </w:pPr>
      <w:r w:rsidRPr="00722885">
        <w:rPr>
          <w:rFonts w:ascii="Times New Roman" w:hAnsi="Times New Roman" w:cs="Times New Roman"/>
          <w:i w:val="0"/>
          <w:color w:val="000000" w:themeColor="text1"/>
          <w:sz w:val="16"/>
          <w:szCs w:val="16"/>
        </w:rPr>
        <w:t>&lt;...&gt;</w:t>
      </w:r>
    </w:p>
    <w:p w14:paraId="1B14052B"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lastRenderedPageBreak/>
        <w:t xml:space="preserve">Толщина стенок башни принималась в 75 мм. Таким образом, в нашем понимании, мы взяли за основу танк типа КВ-7, то есть имея в виду не какой-то опытный образец его, а считая, что всякий танк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xml:space="preserve"> с непод</w:t>
      </w:r>
      <w:r w:rsidRPr="00722885">
        <w:rPr>
          <w:rStyle w:val="Bodytext145"/>
          <w:i w:val="0"/>
          <w:iCs w:val="0"/>
          <w:color w:val="000000" w:themeColor="text1"/>
          <w:sz w:val="16"/>
          <w:szCs w:val="16"/>
        </w:rPr>
        <w:softHyphen/>
        <w:t xml:space="preserve">вижной башней есть танк типа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- 7.</w:t>
      </w:r>
    </w:p>
    <w:p w14:paraId="6A1715A4"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 xml:space="preserve">Общий вес танка «КВ- 7» вместе с системой ЗИК-20будет около 53тонн, то есть приблизительно на 4 тонн преышает вес танка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xml:space="preserve"> с малой башней.</w:t>
      </w:r>
    </w:p>
    <w:p w14:paraId="12A623D0" w14:textId="77777777" w:rsidR="009D3895" w:rsidRPr="00722885" w:rsidRDefault="009D3895" w:rsidP="00722885">
      <w:pPr>
        <w:pStyle w:val="Bodytext280"/>
        <w:shd w:val="clear" w:color="auto" w:fill="auto"/>
        <w:spacing w:after="0" w:line="240" w:lineRule="auto"/>
        <w:ind w:firstLine="0"/>
        <w:rPr>
          <w:rFonts w:ascii="Times New Roman" w:hAnsi="Times New Roman" w:cs="Times New Roman"/>
          <w:i w:val="0"/>
          <w:color w:val="000000" w:themeColor="text1"/>
          <w:sz w:val="16"/>
          <w:szCs w:val="16"/>
        </w:rPr>
      </w:pPr>
      <w:r w:rsidRPr="00722885">
        <w:rPr>
          <w:rFonts w:ascii="Times New Roman" w:hAnsi="Times New Roman" w:cs="Times New Roman"/>
          <w:i w:val="0"/>
          <w:color w:val="000000" w:themeColor="text1"/>
          <w:sz w:val="16"/>
          <w:szCs w:val="16"/>
        </w:rPr>
        <w:t>&lt;...&gt;</w:t>
      </w:r>
    </w:p>
    <w:p w14:paraId="0AB89BA9"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IV. Основные особенности установки гаубицы МЛ-20</w:t>
      </w:r>
    </w:p>
    <w:p w14:paraId="6738659A" w14:textId="77777777" w:rsidR="009D3895" w:rsidRPr="00722885" w:rsidRDefault="009D3895" w:rsidP="00722885">
      <w:pPr>
        <w:pStyle w:val="Bodytext141"/>
        <w:shd w:val="clear" w:color="auto" w:fill="auto"/>
        <w:tabs>
          <w:tab w:val="left" w:pos="1719"/>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1. 152,4 мм танковая гаубица ЗИК-20 получена путем использо</w:t>
      </w:r>
      <w:r w:rsidRPr="00722885">
        <w:rPr>
          <w:rStyle w:val="Bodytext145"/>
          <w:i w:val="0"/>
          <w:iCs w:val="0"/>
          <w:color w:val="000000" w:themeColor="text1"/>
          <w:sz w:val="16"/>
          <w:szCs w:val="16"/>
        </w:rPr>
        <w:softHyphen/>
        <w:t>вания качающейся части 152,4 мм гаубицы МЛ-20 с изменения</w:t>
      </w:r>
      <w:r w:rsidRPr="00722885">
        <w:rPr>
          <w:rStyle w:val="Bodytext145"/>
          <w:i w:val="0"/>
          <w:iCs w:val="0"/>
          <w:color w:val="000000" w:themeColor="text1"/>
          <w:sz w:val="16"/>
          <w:szCs w:val="16"/>
        </w:rPr>
        <w:softHyphen/>
        <w:t>ми в люльке, с заменой подъемного и поворотного механизмов, установлением постоянного отката путем закрепления контр</w:t>
      </w:r>
      <w:r w:rsidRPr="00722885">
        <w:rPr>
          <w:rStyle w:val="Bodytext145"/>
          <w:i w:val="0"/>
          <w:iCs w:val="0"/>
          <w:color w:val="000000" w:themeColor="text1"/>
          <w:sz w:val="16"/>
          <w:szCs w:val="16"/>
        </w:rPr>
        <w:softHyphen/>
        <w:t>штока и изъятия механизма переменного отката, а также сня</w:t>
      </w:r>
      <w:r w:rsidRPr="00722885">
        <w:rPr>
          <w:rStyle w:val="Bodytext145"/>
          <w:i w:val="0"/>
          <w:iCs w:val="0"/>
          <w:color w:val="000000" w:themeColor="text1"/>
          <w:sz w:val="16"/>
          <w:szCs w:val="16"/>
        </w:rPr>
        <w:softHyphen/>
        <w:t>тия дульного тормоза.</w:t>
      </w:r>
    </w:p>
    <w:p w14:paraId="799EC286" w14:textId="77777777" w:rsidR="009D3895" w:rsidRPr="00722885" w:rsidRDefault="009D3895" w:rsidP="00722885">
      <w:pPr>
        <w:pStyle w:val="Bodytext141"/>
        <w:shd w:val="clear" w:color="auto" w:fill="auto"/>
        <w:tabs>
          <w:tab w:val="left" w:pos="168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2. Упомянутые в пункте 1 конструктивные изменения произведены исключительно из-за переделки полевой пушки в танковую, наве</w:t>
      </w:r>
      <w:r w:rsidRPr="00722885">
        <w:rPr>
          <w:rStyle w:val="Bodytext145"/>
          <w:i w:val="0"/>
          <w:iCs w:val="0"/>
          <w:color w:val="000000" w:themeColor="text1"/>
          <w:sz w:val="16"/>
          <w:szCs w:val="16"/>
        </w:rPr>
        <w:softHyphen/>
        <w:t>шивания бронезащиты и, в связи с этим, получения уравновеши- ваемости. Установка предусматривает снятия дульного тормо</w:t>
      </w:r>
      <w:r w:rsidRPr="00722885">
        <w:rPr>
          <w:rStyle w:val="Bodytext145"/>
          <w:i w:val="0"/>
          <w:iCs w:val="0"/>
          <w:color w:val="000000" w:themeColor="text1"/>
          <w:sz w:val="16"/>
          <w:szCs w:val="16"/>
        </w:rPr>
        <w:softHyphen/>
        <w:t>за по причинам, которые будут объяснены ниже.</w:t>
      </w:r>
    </w:p>
    <w:p w14:paraId="5A997900" w14:textId="77777777" w:rsidR="009D3895" w:rsidRPr="00722885" w:rsidRDefault="009D3895" w:rsidP="00722885">
      <w:pPr>
        <w:pStyle w:val="Bodytext141"/>
        <w:shd w:val="clear" w:color="auto" w:fill="auto"/>
        <w:tabs>
          <w:tab w:val="left" w:pos="168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3. Баллистика 152,4 мм танковой пушки ЗИК-20 та же, что и 152,4мм гаубицы обр. 1937года.</w:t>
      </w:r>
    </w:p>
    <w:p w14:paraId="4CC3EB9C" w14:textId="77777777" w:rsidR="009D3895" w:rsidRPr="00722885" w:rsidRDefault="009D3895" w:rsidP="00722885">
      <w:pPr>
        <w:pStyle w:val="Bodytext141"/>
        <w:shd w:val="clear" w:color="auto" w:fill="auto"/>
        <w:tabs>
          <w:tab w:val="left" w:pos="1647"/>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4. Для стрельбы из 152,4мм танковой пушки ЗИК-20 используются дистанционная граната, фугасный и бетонобойный снаряды.</w:t>
      </w:r>
    </w:p>
    <w:p w14:paraId="1332AE1F"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Наличие достаточной мощности выстрела, обеспеченность силь</w:t>
      </w:r>
      <w:r w:rsidRPr="00722885">
        <w:rPr>
          <w:rStyle w:val="Bodytext145"/>
          <w:i w:val="0"/>
          <w:iCs w:val="0"/>
          <w:color w:val="000000" w:themeColor="text1"/>
          <w:sz w:val="16"/>
          <w:szCs w:val="16"/>
        </w:rPr>
        <w:softHyphen/>
        <w:t>ной бронезащитой (толщиной до 90мм) и прицельными приспосо</w:t>
      </w:r>
      <w:r w:rsidRPr="00722885">
        <w:rPr>
          <w:rStyle w:val="Bodytext145"/>
          <w:i w:val="0"/>
          <w:iCs w:val="0"/>
          <w:color w:val="000000" w:themeColor="text1"/>
          <w:sz w:val="16"/>
          <w:szCs w:val="16"/>
        </w:rPr>
        <w:softHyphen/>
        <w:t xml:space="preserve">блениями, допускающими стрельбу как прямой наводкой, так и сзакрытой позиции — дают возможность использовать танк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xml:space="preserve"> с пушкой ЗИК-20 для следующих целей:</w:t>
      </w:r>
    </w:p>
    <w:p w14:paraId="1A4E84B3" w14:textId="77777777" w:rsidR="009D3895" w:rsidRPr="00722885" w:rsidRDefault="009D3895" w:rsidP="00722885">
      <w:pPr>
        <w:pStyle w:val="Bodytext141"/>
        <w:shd w:val="clear" w:color="auto" w:fill="auto"/>
        <w:tabs>
          <w:tab w:val="left" w:pos="1129"/>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а)</w:t>
      </w:r>
      <w:r w:rsidRPr="00722885">
        <w:rPr>
          <w:rStyle w:val="Bodytext145"/>
          <w:i w:val="0"/>
          <w:iCs w:val="0"/>
          <w:color w:val="000000" w:themeColor="text1"/>
          <w:sz w:val="16"/>
          <w:szCs w:val="16"/>
        </w:rPr>
        <w:tab/>
        <w:t>для разрушения ДОТ-ов и мощных блиндажей как с ближней дистанции прямой наводкой, так и с закрытых позиций;</w:t>
      </w:r>
    </w:p>
    <w:p w14:paraId="51458BA9" w14:textId="77777777" w:rsidR="009D3895" w:rsidRPr="00722885" w:rsidRDefault="009D3895" w:rsidP="00722885">
      <w:pPr>
        <w:pStyle w:val="Bodytext141"/>
        <w:shd w:val="clear" w:color="auto" w:fill="auto"/>
        <w:tabs>
          <w:tab w:val="left" w:pos="1119"/>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б)</w:t>
      </w:r>
      <w:r w:rsidRPr="00722885">
        <w:rPr>
          <w:rStyle w:val="Bodytext145"/>
          <w:i w:val="0"/>
          <w:iCs w:val="0"/>
          <w:color w:val="000000" w:themeColor="text1"/>
          <w:sz w:val="16"/>
          <w:szCs w:val="16"/>
        </w:rPr>
        <w:tab/>
        <w:t>для борьбы с мото-механизированными частами противника в качестве самоходной артиллерии;</w:t>
      </w:r>
    </w:p>
    <w:p w14:paraId="740BBAEB" w14:textId="77777777" w:rsidR="009D3895" w:rsidRPr="00722885" w:rsidRDefault="009D3895" w:rsidP="00722885">
      <w:pPr>
        <w:pStyle w:val="Bodytext141"/>
        <w:shd w:val="clear" w:color="auto" w:fill="auto"/>
        <w:tabs>
          <w:tab w:val="left" w:pos="109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в)</w:t>
      </w:r>
      <w:r w:rsidRPr="00722885">
        <w:rPr>
          <w:rStyle w:val="Bodytext145"/>
          <w:i w:val="0"/>
          <w:iCs w:val="0"/>
          <w:color w:val="000000" w:themeColor="text1"/>
          <w:sz w:val="16"/>
          <w:szCs w:val="16"/>
        </w:rPr>
        <w:tab/>
        <w:t>для подавления огня артиллерии противника.</w:t>
      </w:r>
    </w:p>
    <w:p w14:paraId="010EB220" w14:textId="77777777" w:rsidR="009D3895" w:rsidRPr="00722885" w:rsidRDefault="009D3895" w:rsidP="00722885">
      <w:pPr>
        <w:pStyle w:val="Bodytext290"/>
        <w:shd w:val="clear" w:color="auto" w:fill="auto"/>
        <w:spacing w:before="0" w:after="0" w:line="240" w:lineRule="auto"/>
        <w:ind w:firstLine="0"/>
        <w:rPr>
          <w:rFonts w:ascii="Times New Roman" w:hAnsi="Times New Roman" w:cs="Times New Roman"/>
          <w:i w:val="0"/>
          <w:color w:val="000000" w:themeColor="text1"/>
          <w:sz w:val="16"/>
          <w:szCs w:val="16"/>
        </w:rPr>
      </w:pPr>
      <w:r w:rsidRPr="00722885">
        <w:rPr>
          <w:rFonts w:ascii="Times New Roman" w:hAnsi="Times New Roman" w:cs="Times New Roman"/>
          <w:i w:val="0"/>
          <w:color w:val="000000" w:themeColor="text1"/>
          <w:sz w:val="16"/>
          <w:szCs w:val="16"/>
        </w:rPr>
        <w:t>&lt;...&gt;</w:t>
      </w:r>
    </w:p>
    <w:p w14:paraId="2BD426B4"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VIII. Общие замечания по проекту</w:t>
      </w:r>
    </w:p>
    <w:p w14:paraId="04DDA043"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 xml:space="preserve">В виду отсутствия специальных Тактико-Технических Требований на устанвку МЛ-20 в танк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разработка проекта этой установки про</w:t>
      </w:r>
      <w:r w:rsidRPr="00722885">
        <w:rPr>
          <w:rStyle w:val="Bodytext145"/>
          <w:i w:val="0"/>
          <w:iCs w:val="0"/>
          <w:color w:val="000000" w:themeColor="text1"/>
          <w:sz w:val="16"/>
          <w:szCs w:val="16"/>
        </w:rPr>
        <w:softHyphen/>
        <w:t>изведена исходя из существующих ТТЗ к аналогичным образцам с учетом особенностей системы МЛ-20.</w:t>
      </w:r>
    </w:p>
    <w:p w14:paraId="4559D34A"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Что же касается введенных переделок как артсистемы, так и не</w:t>
      </w:r>
      <w:r w:rsidRPr="00722885">
        <w:rPr>
          <w:rStyle w:val="Bodytext145"/>
          <w:i w:val="0"/>
          <w:iCs w:val="0"/>
          <w:color w:val="000000" w:themeColor="text1"/>
          <w:sz w:val="16"/>
          <w:szCs w:val="16"/>
        </w:rPr>
        <w:softHyphen/>
        <w:t>которых предметов внутри танка, то в заключении можно сказать следующее:</w:t>
      </w:r>
    </w:p>
    <w:p w14:paraId="220B8EC5" w14:textId="77777777" w:rsidR="009D3895" w:rsidRPr="00722885" w:rsidRDefault="009D3895" w:rsidP="00722885">
      <w:pPr>
        <w:pStyle w:val="Bodytext141"/>
        <w:shd w:val="clear" w:color="auto" w:fill="auto"/>
        <w:tabs>
          <w:tab w:val="left" w:pos="818"/>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1. Снятие дульного тормоза с системы считаем необходимым, и оставление его для танковой пушки было бы ошибкой.</w:t>
      </w:r>
    </w:p>
    <w:p w14:paraId="3070E54C" w14:textId="77777777" w:rsidR="009D3895" w:rsidRPr="00722885" w:rsidRDefault="009D3895" w:rsidP="00722885">
      <w:pPr>
        <w:pStyle w:val="Bodytext141"/>
        <w:shd w:val="clear" w:color="auto" w:fill="auto"/>
        <w:tabs>
          <w:tab w:val="left" w:pos="851"/>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2. Все изменения люльки произведены лишь по причине переделки по</w:t>
      </w:r>
      <w:r w:rsidRPr="00722885">
        <w:rPr>
          <w:rStyle w:val="Bodytext145"/>
          <w:i w:val="0"/>
          <w:iCs w:val="0"/>
          <w:color w:val="000000" w:themeColor="text1"/>
          <w:sz w:val="16"/>
          <w:szCs w:val="16"/>
        </w:rPr>
        <w:softHyphen/>
        <w:t>левой пушки в танковую.</w:t>
      </w:r>
    </w:p>
    <w:p w14:paraId="76196441" w14:textId="77777777" w:rsidR="009D3895" w:rsidRPr="00722885" w:rsidRDefault="009D3895" w:rsidP="00722885">
      <w:pPr>
        <w:pStyle w:val="Bodytext141"/>
        <w:shd w:val="clear" w:color="auto" w:fill="auto"/>
        <w:tabs>
          <w:tab w:val="left" w:pos="851"/>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3. Не исключена возможность, что при практической проверке за</w:t>
      </w:r>
      <w:r w:rsidRPr="00722885">
        <w:rPr>
          <w:rStyle w:val="Bodytext145"/>
          <w:i w:val="0"/>
          <w:iCs w:val="0"/>
          <w:color w:val="000000" w:themeColor="text1"/>
          <w:sz w:val="16"/>
          <w:szCs w:val="16"/>
        </w:rPr>
        <w:softHyphen/>
        <w:t>ряжания системы, может оказаться ненужным применение лотка.</w:t>
      </w:r>
    </w:p>
    <w:p w14:paraId="4728150A"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При малых углах возвышения, какие имеются у системы (15°), небольшой высоте оси орудия от пола и при отсутствии высту</w:t>
      </w:r>
      <w:r w:rsidRPr="00722885">
        <w:rPr>
          <w:rStyle w:val="Bodytext145"/>
          <w:i w:val="0"/>
          <w:iCs w:val="0"/>
          <w:color w:val="000000" w:themeColor="text1"/>
          <w:sz w:val="16"/>
          <w:szCs w:val="16"/>
        </w:rPr>
        <w:softHyphen/>
        <w:t>пающей люльки за казенный срез ствола, обычно мешающей заря</w:t>
      </w:r>
      <w:r w:rsidRPr="00722885">
        <w:rPr>
          <w:rStyle w:val="Bodytext145"/>
          <w:i w:val="0"/>
          <w:iCs w:val="0"/>
          <w:color w:val="000000" w:themeColor="text1"/>
          <w:sz w:val="16"/>
          <w:szCs w:val="16"/>
        </w:rPr>
        <w:softHyphen/>
        <w:t>жанию, заряжание без лотка будет более удобным для расчета, чем с лотком, на перекидывание которого придется затрачи</w:t>
      </w:r>
      <w:r w:rsidRPr="00722885">
        <w:rPr>
          <w:rStyle w:val="Bodytext145"/>
          <w:i w:val="0"/>
          <w:iCs w:val="0"/>
          <w:color w:val="000000" w:themeColor="text1"/>
          <w:sz w:val="16"/>
          <w:szCs w:val="16"/>
        </w:rPr>
        <w:softHyphen/>
        <w:t>вать время.</w:t>
      </w:r>
    </w:p>
    <w:p w14:paraId="67BBEB2F" w14:textId="77777777" w:rsidR="009D3895" w:rsidRPr="00722885" w:rsidRDefault="009D3895" w:rsidP="00722885">
      <w:pPr>
        <w:pStyle w:val="Bodytext141"/>
        <w:shd w:val="clear" w:color="auto" w:fill="auto"/>
        <w:tabs>
          <w:tab w:val="left" w:pos="832"/>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4. Детали противооткатных устройств в смысле прочности, безус</w:t>
      </w:r>
      <w:r w:rsidRPr="00722885">
        <w:rPr>
          <w:rStyle w:val="Bodytext145"/>
          <w:i w:val="0"/>
          <w:iCs w:val="0"/>
          <w:color w:val="000000" w:themeColor="text1"/>
          <w:sz w:val="16"/>
          <w:szCs w:val="16"/>
        </w:rPr>
        <w:softHyphen/>
        <w:t>ловно, надежны (с учетом стрельбы без дульного тормоза).</w:t>
      </w:r>
    </w:p>
    <w:p w14:paraId="2F3A6003"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В практике нами принят постоянный откат, равный короткому от</w:t>
      </w:r>
      <w:r w:rsidRPr="00722885">
        <w:rPr>
          <w:rStyle w:val="Bodytext145"/>
          <w:i w:val="0"/>
          <w:iCs w:val="0"/>
          <w:color w:val="000000" w:themeColor="text1"/>
          <w:sz w:val="16"/>
          <w:szCs w:val="16"/>
        </w:rPr>
        <w:softHyphen/>
        <w:t>кату МЛ-20, в связи с этим ликвидируется механизм переменного от</w:t>
      </w:r>
      <w:r w:rsidRPr="00722885">
        <w:rPr>
          <w:rStyle w:val="Bodytext145"/>
          <w:i w:val="0"/>
          <w:iCs w:val="0"/>
          <w:color w:val="000000" w:themeColor="text1"/>
          <w:sz w:val="16"/>
          <w:szCs w:val="16"/>
        </w:rPr>
        <w:softHyphen/>
        <w:t>ката, а также могла бы быть изъята и передняя крышка люльки, или изменить крепление контр-штока. Но этот вопрос может быть решен только в зависимости от количества выпуска машин. При малых коли</w:t>
      </w:r>
      <w:r w:rsidRPr="00722885">
        <w:rPr>
          <w:rStyle w:val="Bodytext145"/>
          <w:i w:val="0"/>
          <w:iCs w:val="0"/>
          <w:color w:val="000000" w:themeColor="text1"/>
          <w:sz w:val="16"/>
          <w:szCs w:val="16"/>
        </w:rPr>
        <w:softHyphen/>
        <w:t>чествах выпуска, крышка люльки остается старая, при увеличенном вы</w:t>
      </w:r>
      <w:r w:rsidRPr="00722885">
        <w:rPr>
          <w:rStyle w:val="Bodytext145"/>
          <w:i w:val="0"/>
          <w:iCs w:val="0"/>
          <w:color w:val="000000" w:themeColor="text1"/>
          <w:sz w:val="16"/>
          <w:szCs w:val="16"/>
        </w:rPr>
        <w:softHyphen/>
        <w:t>пуске следует переделать контр-шток, что сократит и упростит целый ряд деталей люльки, противооткатным устройств, и тогда бронирова</w:t>
      </w:r>
      <w:r w:rsidRPr="00722885">
        <w:rPr>
          <w:rStyle w:val="Bodytext145"/>
          <w:i w:val="0"/>
          <w:iCs w:val="0"/>
          <w:color w:val="000000" w:themeColor="text1"/>
          <w:sz w:val="16"/>
          <w:szCs w:val="16"/>
        </w:rPr>
        <w:softHyphen/>
        <w:t>ние люльки можно сделать более компактным.</w:t>
      </w:r>
    </w:p>
    <w:p w14:paraId="6D82292E"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Особо следует остановиться на прицеле.</w:t>
      </w:r>
    </w:p>
    <w:p w14:paraId="3572BE9A"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Style w:val="Bodytext145"/>
          <w:rFonts w:ascii="Times New Roman" w:hAnsi="Times New Roman"/>
          <w:color w:val="000000" w:themeColor="text1"/>
          <w:sz w:val="16"/>
          <w:szCs w:val="16"/>
        </w:rPr>
        <w:t>Выбор и установку нормализованного прицела обр. 1927года мы не счи</w:t>
      </w:r>
      <w:r w:rsidRPr="00722885">
        <w:rPr>
          <w:rStyle w:val="Bodytext145"/>
          <w:rFonts w:ascii="Times New Roman" w:hAnsi="Times New Roman"/>
          <w:color w:val="000000" w:themeColor="text1"/>
          <w:sz w:val="16"/>
          <w:szCs w:val="16"/>
        </w:rPr>
        <w:softHyphen/>
        <w:t>таем решением исчерпывающем.</w:t>
      </w:r>
    </w:p>
    <w:p w14:paraId="0E06DB36"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В целях обеспечения для такой мощной системы возможности стрель</w:t>
      </w:r>
      <w:r w:rsidRPr="00722885">
        <w:rPr>
          <w:rStyle w:val="Bodytext145"/>
          <w:i w:val="0"/>
          <w:iCs w:val="0"/>
          <w:color w:val="000000" w:themeColor="text1"/>
          <w:sz w:val="16"/>
          <w:szCs w:val="16"/>
        </w:rPr>
        <w:softHyphen/>
        <w:t>бы как прямой, так и раздельной наводкой, мы считаем необходимым од</w:t>
      </w:r>
      <w:r w:rsidRPr="00722885">
        <w:rPr>
          <w:rStyle w:val="Bodytext145"/>
          <w:i w:val="0"/>
          <w:iCs w:val="0"/>
          <w:color w:val="000000" w:themeColor="text1"/>
          <w:sz w:val="16"/>
          <w:szCs w:val="16"/>
        </w:rPr>
        <w:softHyphen/>
        <w:t>новременно установку и обычного нормализованного прицела с панорамой такового прицела типа ТОП.</w:t>
      </w:r>
    </w:p>
    <w:p w14:paraId="3814621C"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Установка прицела типа ТОП дает возможность выполнить важное требование по уменьшению величины амбразуры.</w:t>
      </w:r>
    </w:p>
    <w:p w14:paraId="0104AE8F" w14:textId="77777777" w:rsidR="009D3895" w:rsidRPr="00722885" w:rsidRDefault="009D3895" w:rsidP="00722885">
      <w:pPr>
        <w:spacing w:after="0" w:line="240" w:lineRule="auto"/>
        <w:jc w:val="both"/>
        <w:rPr>
          <w:rStyle w:val="Bodytext145"/>
          <w:rFonts w:ascii="Times New Roman" w:hAnsi="Times New Roman"/>
          <w:color w:val="000000" w:themeColor="text1"/>
          <w:sz w:val="16"/>
          <w:szCs w:val="16"/>
        </w:rPr>
      </w:pPr>
      <w:r w:rsidRPr="00722885">
        <w:rPr>
          <w:rStyle w:val="Bodytext145"/>
          <w:rFonts w:ascii="Times New Roman" w:hAnsi="Times New Roman"/>
          <w:color w:val="000000" w:themeColor="text1"/>
          <w:sz w:val="16"/>
          <w:szCs w:val="16"/>
        </w:rPr>
        <w:t>Для решения этой задачи заводу необходимо получить чертежи суще</w:t>
      </w:r>
      <w:r w:rsidRPr="00722885">
        <w:rPr>
          <w:rStyle w:val="Bodytext145"/>
          <w:rFonts w:ascii="Times New Roman" w:hAnsi="Times New Roman"/>
          <w:color w:val="000000" w:themeColor="text1"/>
          <w:sz w:val="16"/>
          <w:szCs w:val="16"/>
        </w:rPr>
        <w:softHyphen/>
        <w:t>ствующих образцов удлиненных танковых прицелов».</w:t>
      </w:r>
    </w:p>
    <w:p w14:paraId="2BA94405" w14:textId="77777777" w:rsidR="009D3895" w:rsidRPr="00722885" w:rsidRDefault="009D3895" w:rsidP="00722885">
      <w:pPr>
        <w:spacing w:after="0" w:line="240" w:lineRule="auto"/>
        <w:jc w:val="both"/>
        <w:rPr>
          <w:rStyle w:val="Bodytext145"/>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вместо установки МЛ-20 в корпусе КВ-7 КБ завода №8 предлагало, по сути, новую самоходную установку на базе КВ-1. Кроме того, устанавливаемая в САУ гаубица ЗИК-20 требовала еще больше изменений, чем МЛ-20 по проекту У-18. Спроектированная рубка самоходной установки была на 17 сантиметров выше КВ-7, а по массе творение КБ завода №8 превысило КВ-2. Ввиду наличия совер</w:t>
      </w:r>
      <w:r w:rsidRPr="00722885">
        <w:rPr>
          <w:rFonts w:ascii="Times New Roman" w:hAnsi="Times New Roman"/>
          <w:color w:val="000000" w:themeColor="text1"/>
          <w:sz w:val="16"/>
          <w:szCs w:val="16"/>
        </w:rPr>
        <w:softHyphen/>
        <w:t>шенно новой рубки лежащие в Челябинске корпуса КВ-7 оказывались не удел</w:t>
      </w:r>
      <w:r w:rsidRPr="00722885">
        <w:rPr>
          <w:rStyle w:val="Bodytext145"/>
          <w:rFonts w:ascii="Times New Roman" w:hAnsi="Times New Roman"/>
          <w:color w:val="000000" w:themeColor="text1"/>
          <w:sz w:val="16"/>
          <w:szCs w:val="16"/>
        </w:rPr>
        <w:t xml:space="preserve"> (17484).</w:t>
      </w:r>
    </w:p>
    <w:p w14:paraId="17A343C5" w14:textId="77777777" w:rsidR="009D3895" w:rsidRPr="00722885" w:rsidRDefault="009D3895" w:rsidP="00722885">
      <w:pPr>
        <w:spacing w:after="0" w:line="240" w:lineRule="auto"/>
        <w:jc w:val="both"/>
        <w:rPr>
          <w:rFonts w:ascii="Times New Roman" w:hAnsi="Times New Roman"/>
          <w:color w:val="000000" w:themeColor="text1"/>
          <w:sz w:val="16"/>
          <w:szCs w:val="16"/>
        </w:rPr>
      </w:pPr>
    </w:p>
    <w:p w14:paraId="6D6B9446" w14:textId="77777777" w:rsidR="009F1019" w:rsidRPr="00722885" w:rsidRDefault="009F101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С начала сентября 1942 года КВ-1с поставлялся в войска. Первым соединением, получившим эти машины, стала 58-я танковая бригада. Стоит отметить, что в течение сентября в танковые бригады поступали смешанное танковое пополнение. Например, в 33-ю танковую бригаду 26 сентября 1942 года прибыли КВ-1с и КВ-1 колонны «Потребкооперация». С большой долей вероятности можно предположить, что при таких смешанных поставках в подразделения поступали КВ-1с с коробками передач КВ-1. Некоторое число подобных танков было выпущено как раз в сентябре. 8 октября, согласно распоряжению Сталина, начали формироваться гвардейские танковые полки. Из них 4 (номера с 47-го по 50-й) получили на вооружение </w:t>
      </w:r>
      <w:hyperlink r:id="rId113" w:history="1">
        <w:r w:rsidRPr="00722885">
          <w:rPr>
            <w:rFonts w:ascii="Times New Roman" w:eastAsia="Times New Roman" w:hAnsi="Times New Roman"/>
            <w:color w:val="000000" w:themeColor="text1"/>
            <w:sz w:val="16"/>
            <w:szCs w:val="16"/>
            <w:lang w:eastAsia="ru-RU"/>
          </w:rPr>
          <w:t>английские танки Churchill</w:t>
        </w:r>
      </w:hyperlink>
      <w:r w:rsidRPr="00722885">
        <w:rPr>
          <w:rFonts w:ascii="Times New Roman" w:eastAsia="Times New Roman" w:hAnsi="Times New Roman"/>
          <w:color w:val="000000" w:themeColor="text1"/>
          <w:sz w:val="16"/>
          <w:szCs w:val="16"/>
          <w:lang w:eastAsia="ru-RU"/>
        </w:rPr>
        <w:t>, еще 17 получили КВ-1с. Формировались полки по штату №010/267, согласно которому в каждый полк попадало по 21 танку. Организационно-штатная структура, согласно которой тяжелые танковые полки получали по 21 машине, использовалась вплоть до конца войны.</w:t>
      </w:r>
    </w:p>
    <w:p w14:paraId="5324305C" w14:textId="77777777" w:rsidR="009F1019" w:rsidRPr="00722885" w:rsidRDefault="009F101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Отзывы из частей по поводу КВ-1с оказались неоднозначными. Спешка с выпуском машин привела к наличию ряда дефектов производственного характера. Кроме того, в ноябре 1942 года имели место массовые случаи выхода из строя опорных катков. Немалое число претензий имелось и к 8-скоростным коробкам передач, причем речь шла не о конструктивном дефекте, а о небрежной сборке. В целом низкое качество изготовления, напрямую связанное с перегруженностью ЧКЗ, стало главной причиной плохого качества продукции. Безусловно, войскам были очень нужны Т-34, но за спешную организацию из массового выпуска приходилось платить. Собственно говоря, и Т-34 челябинского производства страдали массой производственных дефектов, особенно критичной была ситуация с их траками.</w:t>
      </w:r>
    </w:p>
    <w:p w14:paraId="2E602372" w14:textId="77777777" w:rsidR="009F1019" w:rsidRPr="00722885" w:rsidRDefault="009F101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Впрочем, проблемы КВ-1с были связаны не только с браком. Из войск с октября 1942 года стали поступать жалобы, которые были связаны уже с конструктивными особенностями машины. Заявления полигонных испытателей о том, что расчет боевого отделения КВ-1с работает в нормальных условиях, несколько отличалось от реальности. Масса претензий высказывалась к месту командира. Командирская башенка оказалась неудобной, кроме того, у нее имелось обширное (порядка 30 метров) мертвое пространство спереди. Не самой лучшей идеей оказалась установка перед ней перископического прицела, который частично перекрывал обзор.</w:t>
      </w:r>
    </w:p>
    <w:p w14:paraId="393CA714" w14:textId="77777777" w:rsidR="009F1019" w:rsidRPr="00722885" w:rsidRDefault="009F101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Уже позже, когда КВ-1с пошли в бой, появилась еще одна существенная претензия. Отсутствие у командирской башенки люка резко снижало шансы экипажа на быстрое покидание башни в случае поражения танка. Установка кормового пулемета была выполнена неудобно. Помимо того, что командир упирался в него спиной, так еще при стрельбе наводчик был вынужден сдвинуться максимально вперед. При этом вести огонь из орудия он не мог.</w:t>
      </w:r>
    </w:p>
    <w:p w14:paraId="66E27BDC" w14:textId="77777777" w:rsidR="009F1019" w:rsidRPr="00722885" w:rsidRDefault="009F101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Масса претензий имелась и к оптике танка. Установка телескопического прицела ТМФД была выполнена таким образом, что кромка отверстия частично закрывала обзор. Хотя информация об этом поступила еще в ноябре 1942 года, поменяли прицел только в марте 1943. В ходе учений, а затем и боевых действий, выявилась серьезная проблема со смотровыми приборами: при стрельбе их стеклоблоки нередко лопались. Также поступали жалобы на слишком высоко установленные перископические приборы.</w:t>
      </w:r>
    </w:p>
    <w:p w14:paraId="19B69FB5" w14:textId="77777777" w:rsidR="009F1019" w:rsidRPr="00722885" w:rsidRDefault="009F101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Производственные и конструктивные дефекты при той спешке, в которой разрабатывался и ставился на конвейер КВ-1с, оказались неизбежными. Вместе с тем, Сталинскую премию коллектив создателей КВ-1с получил не просто так. Дебют КВ-1с под Сталинградом показал, что идея создания облегченного тяжелого танка, на котором ради подвижности пришлось пожертвовать броней, оказалась верной. Высокая подвижность неоднократно становилась важным в боевых условиях параметром. Кроме того, даже с перечисленными дефектами КВ-1с оказался намного надежнее своего предшественника, КВ-1. Эта машина смогла выдерживать длительные марши, что стало крайне важным в ходе наступательных операций конца 1942 – начала 1943 года (17692).</w:t>
      </w:r>
    </w:p>
    <w:p w14:paraId="0E19B51A" w14:textId="77777777" w:rsidR="009F1019" w:rsidRPr="00722885" w:rsidRDefault="009F1019" w:rsidP="00722885">
      <w:pPr>
        <w:spacing w:after="0" w:line="240" w:lineRule="auto"/>
        <w:jc w:val="both"/>
        <w:rPr>
          <w:rFonts w:ascii="Times New Roman" w:hAnsi="Times New Roman"/>
          <w:color w:val="000000" w:themeColor="text1"/>
          <w:sz w:val="16"/>
          <w:szCs w:val="16"/>
        </w:rPr>
      </w:pPr>
    </w:p>
    <w:p w14:paraId="0B4571D4"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самом начале сентября 1942 года ГАБТУ КА инициировало работы по созданию экранов для защиты от новых типов снарядов. При этом теперь об экранировке лба речи не велось: стало ясно, что защищать надо совсем другие части танка (18883).</w:t>
      </w:r>
    </w:p>
    <w:p w14:paraId="022C7B28"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p>
    <w:p w14:paraId="7938BF1E" w14:textId="77777777" w:rsidR="008843B8" w:rsidRPr="00722885" w:rsidRDefault="008843B8"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начале сентября 1942 года ГАЗ предложил зенитные установки в соответствии с ТТТ ГАБТУ КА. Судя из документов, речь шла и о Т-60, и о Т-70. Но на самом деле со своим докладом завод явно спешил. Дело в том, что зенитная установка на базе Т-60 вообще никак не фигурирует в переписке за указанный период (21193).</w:t>
      </w:r>
    </w:p>
    <w:p w14:paraId="1108D2BE" w14:textId="77777777" w:rsidR="008843B8" w:rsidRPr="00722885" w:rsidRDefault="008843B8"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7F7D564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6644DE6" w14:textId="77777777" w:rsidR="00AE7191" w:rsidRPr="00722885" w:rsidRDefault="00AE7191" w:rsidP="00722885">
      <w:pPr>
        <w:pStyle w:val="Iauiue"/>
        <w:jc w:val="both"/>
        <w:rPr>
          <w:iCs/>
          <w:color w:val="000000" w:themeColor="text1"/>
          <w:sz w:val="16"/>
          <w:szCs w:val="16"/>
        </w:rPr>
      </w:pPr>
    </w:p>
    <w:p w14:paraId="510D22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начале сентября 1942 г. два полка из трех - 13-й майора В.П. Богомолова и 121-й майора Мирошниченко - прибыли на северные аэродромы и вошли в состав ОМАГ (4476).</w:t>
      </w:r>
    </w:p>
    <w:p w14:paraId="7FE15BF0" w14:textId="77777777" w:rsidR="00AE7191" w:rsidRPr="00722885" w:rsidRDefault="00AE7191" w:rsidP="00722885">
      <w:pPr>
        <w:pStyle w:val="Iauiue"/>
        <w:jc w:val="both"/>
        <w:rPr>
          <w:color w:val="000000" w:themeColor="text1"/>
          <w:sz w:val="16"/>
          <w:szCs w:val="16"/>
        </w:rPr>
      </w:pPr>
    </w:p>
    <w:p w14:paraId="0390FE0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C6D0A8F" w14:textId="77777777" w:rsidR="00AE7191" w:rsidRPr="00722885" w:rsidRDefault="00AE7191" w:rsidP="00722885">
      <w:pPr>
        <w:pStyle w:val="Iauiue"/>
        <w:jc w:val="both"/>
        <w:rPr>
          <w:iCs/>
          <w:color w:val="000000" w:themeColor="text1"/>
          <w:sz w:val="16"/>
          <w:szCs w:val="16"/>
        </w:rPr>
      </w:pPr>
    </w:p>
    <w:p w14:paraId="2E3AF18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7 сентября 1942 на КП 16 ВА Г.М.Маленков видел, как легко Ме-109 оторвался от Як. Назначил проверочные испытания в 434 иап. Оказалось, что скорость на 10% </w:t>
      </w:r>
      <w:r w:rsidRPr="00722885">
        <w:rPr>
          <w:color w:val="000000" w:themeColor="text1"/>
          <w:sz w:val="16"/>
          <w:szCs w:val="16"/>
        </w:rPr>
        <w:lastRenderedPageBreak/>
        <w:t>меньше (198,45).</w:t>
      </w:r>
    </w:p>
    <w:p w14:paraId="264FCEE3" w14:textId="77777777" w:rsidR="00AE7191" w:rsidRPr="00722885" w:rsidRDefault="00AE7191" w:rsidP="00722885">
      <w:pPr>
        <w:pStyle w:val="Iauiue"/>
        <w:jc w:val="both"/>
        <w:rPr>
          <w:color w:val="000000" w:themeColor="text1"/>
          <w:sz w:val="16"/>
          <w:szCs w:val="16"/>
        </w:rPr>
      </w:pPr>
    </w:p>
    <w:p w14:paraId="5EC098F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г. на командном пункте 16-й ВА находился секретарь ЦК ВКП(б) Г.М. Маленков, курировавший в ЦК авиапромышленность. Он увидел, как в воздушном бою Bf. 109 легко оторвался от "яков", а те не смогли его догнать. Присутствовавший на КП командующий 16-й ВАС. И. Руденко объяснил, что тому виной не недостаток мастерства летчиков, а изношенность неоднократно ремонтированной авиатехники. Маленков назначил проверочные испытания в 434-м иап. Як-1, управляемый летчиком-испыгателем Зайцевым, развил скорость на 10% меньше установленной договором с заводом, а самолет, управляемый фронтовым летчиком, - на 16% меньше. Фронтовым летчикам в бою некогда было следить за температурой воды, и они открывали створки водорадиатора так, чтобы ее значение не превышало 50-60°. Зайцев же выставил створки, чтобы температура воды была близкой к точке кипения. Доложив результаты испытаний, С.И. Ру- денко передал предложение летчиков 16-й ВА облегчить Як-1, сняв ночное и кислородное оборудование, один из двух воздушных баллонов и оба пулемета с боекомплектом, чтобы дать бой фашистским асам. Другим предложением было выполнить хвостовое оперение и переднюю кромку крыла из металла, чтобы лучше сохранить аэродинамику самолета в процессе его эксплуатации.</w:t>
      </w:r>
    </w:p>
    <w:p w14:paraId="1DB8B53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этими идеями и указанием секретаря ЦК выпустить в облегченном варианте 20 самолетов С.И. Руденко поехал на завод. Директор завода согласился с предложением фронтовиков, которое одобрили после проверки центровки и представители КБ. В сентябре 1942 г. было выпушено 22 самолета Як- I 96-й серии (№№ 0296, 0496, 2996, 3096, 3196, 3296, 3396, 3496, 3596, 3696, 3796, 3896, 4096, 4196, 4296, 4396, 4496, 4696, 4896, 4596, 4796), облегченных на 160 кг. С них были сняты пулеметы ШКАС с боекомплектом и установками, система пневмоперезарядки пушки, генератор, ночное оборудование, на 11 машинах была снята радиостанция РСИ-4 с мачтой и антенной, а на двух самолетах (№ 0296 и № 0496) вместо деревянного установлен более легкий (на 14 кг) металлический стабилизатор с Як-7. За счет облегчения машины и улучшения аэродинамики максимальная скорость увеличилась на 23 км/ч (до 592 км/ч на высоте 3800 м), а время набора 5000 м уменьшилось на 1,1 мин (до 4,7 мин). Первые облегченные Як-1 получили летчики 512-го иап 220-й иад 16-й ВА В.Н. Макаров и И.П. Моторный, которые уже при перегоне самолетов с завода в часть сбили два ВГ. 109G-2. Когда прибыли еще две такие машины, был организован показ их возможностей на вертикалях. На высоте 200 м обычный и облегченный Як-1 и Як-7Б одновременно выполнили разгон до максимальной скорости и горку. Первым, исчерпав запас мощности, свалился на крыло Як-1, примерно через 200 м за ним - Як-7Б, а облегченный Як-1 набрал еще 700-800 м и выполнил бочку. По законам аэродинамики Як-7Б, как более тяжелый, чем Як-1, должен был свалиться раньше. Очевидно, здесь сказалась степень изношенности мотора и планера Як-1. Преимущество в скороподъемности позволяло догонять и поражать "Мессершмитты" всех модификаций и уходить с набором высоты, чтобы занять выгодное положение для новой атаки. В 512-м и 520-м иап 220-й иад 16-й ВА, которые получили эти машины, чтобы лучше использовать их возможности и ввести в заблуждение противника, скомпоновали смешанные пары. Результаты были впечатляющими. Количество боевых вылетов на один сбитый немецкий самолет уменьшилось с 26 до 18, а на один сбитый Як-1 увеличилось с 86 до 118.</w:t>
      </w:r>
    </w:p>
    <w:p w14:paraId="520CBA0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Примерно к этому же времени были решены вопросы улучшения аэродинамики Як-1, которое позволяло достичь аналогичных скоростных и маневренных характеристик без снятия оборудования и вооружения, на что всегда крайне неохотно шли военные, допуская это только как исключительную и временную меру. Таким образом, судьба облегченного варианта была вновь предрешена. Но на этом его история не закончилась. Еше раз, уже в июле 1943 г. два Як-1 с улучшенным обзором и аэродинамикой, с мотором М-105ПФ были специально облегчены для ПВО г. Саратова. Уменьшения полетного веса достигли за счет снятия бронеспинки и бронестекол, системы нейтрального газа, системы аварийного выпуска шасси и протектора бензобаков (12048).</w:t>
      </w:r>
    </w:p>
    <w:p w14:paraId="4D49571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19FD2B2"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сентября 1942 вышло Постановление ГКО № 2271 Об обеспечении подготовки маршевых авиаполков и одиночных летчиков (экипажей) учебными самолетами и горючим. (7053, 118).</w:t>
      </w:r>
    </w:p>
    <w:p w14:paraId="3B62C45E" w14:textId="77777777" w:rsidR="00AE7191" w:rsidRPr="00722885" w:rsidRDefault="00AE7191" w:rsidP="00722885">
      <w:pPr>
        <w:pStyle w:val="Iauiue"/>
        <w:tabs>
          <w:tab w:val="left" w:pos="11199"/>
        </w:tabs>
        <w:jc w:val="both"/>
        <w:rPr>
          <w:color w:val="000000" w:themeColor="text1"/>
          <w:sz w:val="16"/>
          <w:szCs w:val="16"/>
        </w:rPr>
      </w:pPr>
    </w:p>
    <w:p w14:paraId="57140B7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сентября 1942 вышло Постановление ГКО № 2272 [О переименовании самолета ПС-84 в Ли-2.] (7053, 119).</w:t>
      </w:r>
    </w:p>
    <w:p w14:paraId="37097CDF" w14:textId="77777777" w:rsidR="00AE7191" w:rsidRPr="00722885" w:rsidRDefault="00AE7191" w:rsidP="00722885">
      <w:pPr>
        <w:pStyle w:val="Iauiue"/>
        <w:tabs>
          <w:tab w:val="left" w:pos="11199"/>
        </w:tabs>
        <w:jc w:val="both"/>
        <w:rPr>
          <w:color w:val="000000" w:themeColor="text1"/>
          <w:sz w:val="16"/>
          <w:szCs w:val="16"/>
        </w:rPr>
      </w:pPr>
    </w:p>
    <w:p w14:paraId="02085547" w14:textId="77777777" w:rsidR="00BB3B9D" w:rsidRPr="00722885" w:rsidRDefault="00BB3B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вышло Постановление ГКО № 2272</w:t>
      </w:r>
    </w:p>
    <w:p w14:paraId="14BC253D" w14:textId="77777777" w:rsidR="00BB3B9D" w:rsidRPr="00722885" w:rsidRDefault="00BB3B9D" w:rsidP="00722885">
      <w:pPr>
        <w:spacing w:after="0" w:line="240" w:lineRule="auto"/>
        <w:jc w:val="both"/>
        <w:rPr>
          <w:rFonts w:ascii="Times New Roman" w:hAnsi="Times New Roman"/>
          <w:color w:val="000000" w:themeColor="text1"/>
          <w:sz w:val="16"/>
          <w:szCs w:val="16"/>
        </w:rPr>
      </w:pPr>
      <w:r w:rsidRPr="00722885">
        <w:rPr>
          <w:rFonts w:ascii="Times New Roman" w:eastAsia="Batang" w:hAnsi="Times New Roman"/>
          <w:color w:val="000000" w:themeColor="text1"/>
          <w:sz w:val="16"/>
          <w:szCs w:val="16"/>
          <w:lang w:eastAsia="ru-RU"/>
        </w:rPr>
        <w:t xml:space="preserve">Самолет ПС-84 впредь именовать Ли-2 (Лисунов-2) </w:t>
      </w:r>
      <w:r w:rsidRPr="00722885">
        <w:rPr>
          <w:rFonts w:ascii="Times New Roman" w:hAnsi="Times New Roman"/>
          <w:color w:val="000000" w:themeColor="text1"/>
          <w:sz w:val="16"/>
          <w:szCs w:val="16"/>
        </w:rPr>
        <w:t>(19363).</w:t>
      </w:r>
    </w:p>
    <w:p w14:paraId="10ED6198" w14:textId="77777777" w:rsidR="00BB3B9D" w:rsidRPr="00722885" w:rsidRDefault="00BB3B9D" w:rsidP="00722885">
      <w:pPr>
        <w:pStyle w:val="Iauiue"/>
        <w:tabs>
          <w:tab w:val="left" w:pos="11199"/>
        </w:tabs>
        <w:jc w:val="both"/>
        <w:rPr>
          <w:color w:val="000000" w:themeColor="text1"/>
          <w:sz w:val="16"/>
          <w:szCs w:val="16"/>
        </w:rPr>
      </w:pPr>
    </w:p>
    <w:p w14:paraId="7DC5B2D2"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в 1942 году самолет «ПС-84» переименован в «Ли-2» в честь Б.П.Лисунова, занимавшегося внедрением «ПС-84» в серию на заводе № 84</w:t>
      </w:r>
    </w:p>
    <w:p w14:paraId="246A21BE"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169D4ED1" w14:textId="77777777" w:rsidR="004A3FBB" w:rsidRPr="00722885" w:rsidRDefault="004A3FBB" w:rsidP="00722885">
      <w:pPr>
        <w:spacing w:after="0" w:line="240" w:lineRule="auto"/>
        <w:jc w:val="both"/>
        <w:rPr>
          <w:rStyle w:val="ucoz-forum-post"/>
          <w:rFonts w:ascii="Times New Roman" w:eastAsia="Times New Roman" w:hAnsi="Times New Roman"/>
          <w:color w:val="000000" w:themeColor="text1"/>
          <w:sz w:val="16"/>
          <w:szCs w:val="16"/>
        </w:rPr>
      </w:pPr>
      <w:r w:rsidRPr="00722885">
        <w:rPr>
          <w:rFonts w:ascii="Times New Roman" w:hAnsi="Times New Roman"/>
          <w:color w:val="000000" w:themeColor="text1"/>
          <w:sz w:val="16"/>
          <w:szCs w:val="16"/>
        </w:rPr>
        <w:t>7 сентября</w:t>
      </w:r>
      <w:r w:rsidRPr="00722885">
        <w:rPr>
          <w:rStyle w:val="ucoz-forum-post"/>
          <w:rFonts w:ascii="Times New Roman" w:eastAsia="Times New Roman" w:hAnsi="Times New Roman"/>
          <w:bCs/>
          <w:color w:val="000000" w:themeColor="text1"/>
          <w:sz w:val="16"/>
          <w:szCs w:val="16"/>
        </w:rPr>
        <w:t xml:space="preserve"> 1942 г.</w:t>
      </w:r>
      <w:r w:rsidRPr="00722885">
        <w:rPr>
          <w:rStyle w:val="ucoz-forum-post"/>
          <w:rFonts w:ascii="Times New Roman" w:eastAsia="Times New Roman" w:hAnsi="Times New Roman"/>
          <w:color w:val="000000" w:themeColor="text1"/>
          <w:sz w:val="16"/>
          <w:szCs w:val="16"/>
        </w:rPr>
        <w:t xml:space="preserve"> – самолёт ПС-84 переименован в Ли-2 в честь Б.П. Лисунова, занимавшегося внедрением ПС-84 в серию на заводе № 84. Второй вариант переиноменования – «Ленинградский институт» (14762).</w:t>
      </w:r>
    </w:p>
    <w:p w14:paraId="2BE564C5" w14:textId="77777777" w:rsidR="004A3FBB" w:rsidRPr="00722885" w:rsidRDefault="004A3FBB" w:rsidP="00722885">
      <w:pPr>
        <w:spacing w:after="0" w:line="240" w:lineRule="auto"/>
        <w:jc w:val="both"/>
        <w:rPr>
          <w:rStyle w:val="ucoz-forum-post"/>
          <w:rFonts w:ascii="Times New Roman" w:eastAsia="Times New Roman" w:hAnsi="Times New Roman"/>
          <w:color w:val="000000" w:themeColor="text1"/>
          <w:sz w:val="16"/>
          <w:szCs w:val="16"/>
        </w:rPr>
      </w:pPr>
    </w:p>
    <w:p w14:paraId="67DC9052" w14:textId="77777777" w:rsidR="008843B8" w:rsidRPr="00722885" w:rsidRDefault="008843B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сентября 1942 - Самолёт ПС-84 переименован в Ли-2 в честь Бориса Павловича Лисунова, занимавшегося внедрением ПС-84 в серию на заводе № 84. Второй вариант переноименования – «Ленинградский институт» (22372).</w:t>
      </w:r>
    </w:p>
    <w:p w14:paraId="139985B0" w14:textId="77777777" w:rsidR="008843B8" w:rsidRPr="00722885" w:rsidRDefault="008843B8"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1A579F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сентября 1942 г. истребитель МиГ-9 №6502 поступил в НИИ ВВС на государственные испытания. К этому времени в составе вооружения самолета остались только крупнокалиберные пулеметы УБС. Испытания проводили ведущий инженер И.Г. Лазарев и летчик-испытатель В.Е. Голофастов. Однако машину неоднократно приходилось возвращать в ОКБ-155 для доводки винтомоторной группы, поэтому госиспытания растянулись на два месяца. По их результатам МиГ-9 получил неудовлетворительную оценку, так как его основные летные характеристики оказались значительно хуже, чем у самолетов Ла-5 и Як-7. Максимальная скорость составила всего 565 км/ч на высоте 6150 м. Кроме того, у военных были большие претензии к винтомоторной группе самолета, как к ее работе, так и к условиям эксплуатации (5485,30).</w:t>
      </w:r>
    </w:p>
    <w:p w14:paraId="2E9F1014" w14:textId="77777777" w:rsidR="00AE7191" w:rsidRPr="00722885" w:rsidRDefault="00AE7191" w:rsidP="00722885">
      <w:pPr>
        <w:pStyle w:val="Iauiue"/>
        <w:jc w:val="both"/>
        <w:rPr>
          <w:color w:val="000000" w:themeColor="text1"/>
          <w:sz w:val="16"/>
          <w:szCs w:val="16"/>
        </w:rPr>
      </w:pPr>
    </w:p>
    <w:p w14:paraId="2738A5F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г. истребитель МиГ—9 зав. № 6502 поступил в НИИ ВВС на государственные испыта</w:t>
      </w:r>
      <w:r w:rsidRPr="00722885">
        <w:rPr>
          <w:rFonts w:ascii="Times New Roman" w:hAnsi="Times New Roman"/>
          <w:color w:val="000000" w:themeColor="text1"/>
          <w:sz w:val="16"/>
          <w:szCs w:val="16"/>
        </w:rPr>
        <w:softHyphen/>
        <w:t>ния. С учетом накопленного боевого опыта в состав его вооружения ввели только крупнокалиберные пу</w:t>
      </w:r>
      <w:r w:rsidRPr="00722885">
        <w:rPr>
          <w:rFonts w:ascii="Times New Roman" w:hAnsi="Times New Roman"/>
          <w:color w:val="000000" w:themeColor="text1"/>
          <w:sz w:val="16"/>
          <w:szCs w:val="16"/>
        </w:rPr>
        <w:softHyphen/>
        <w:t>леметы УБС. Испытания проводили ведущий инже</w:t>
      </w:r>
      <w:r w:rsidRPr="00722885">
        <w:rPr>
          <w:rFonts w:ascii="Times New Roman" w:hAnsi="Times New Roman"/>
          <w:color w:val="000000" w:themeColor="text1"/>
          <w:sz w:val="16"/>
          <w:szCs w:val="16"/>
        </w:rPr>
        <w:softHyphen/>
        <w:t>нер И.Г.Лазарев и летчик-испытатель В.Е.Голофас-тов. Машину пришлось неоднократно возвращать в ОКБ—155 для доводки винтомоторной группы, по</w:t>
      </w:r>
      <w:r w:rsidRPr="00722885">
        <w:rPr>
          <w:rFonts w:ascii="Times New Roman" w:hAnsi="Times New Roman"/>
          <w:color w:val="000000" w:themeColor="text1"/>
          <w:sz w:val="16"/>
          <w:szCs w:val="16"/>
        </w:rPr>
        <w:softHyphen/>
        <w:t>этому госиспытания растянулись на два месяца. МиГ—9 получил неудовлетворительную оценку от специалистов НИИ ВВС, так как основные летные характеристики оказались заметно хуже, чем у само</w:t>
      </w:r>
      <w:r w:rsidRPr="00722885">
        <w:rPr>
          <w:rFonts w:ascii="Times New Roman" w:hAnsi="Times New Roman"/>
          <w:color w:val="000000" w:themeColor="text1"/>
          <w:sz w:val="16"/>
          <w:szCs w:val="16"/>
        </w:rPr>
        <w:softHyphen/>
        <w:t>летов Ла—5 и Як—7. Достаточно указать, что макси</w:t>
      </w:r>
      <w:r w:rsidRPr="00722885">
        <w:rPr>
          <w:rFonts w:ascii="Times New Roman" w:hAnsi="Times New Roman"/>
          <w:color w:val="000000" w:themeColor="text1"/>
          <w:sz w:val="16"/>
          <w:szCs w:val="16"/>
        </w:rPr>
        <w:softHyphen/>
        <w:t>мальная скорость истребителя после всех доработок составила всего 565 км/ч на высоте 6150 м. Кроме то</w:t>
      </w:r>
      <w:r w:rsidRPr="00722885">
        <w:rPr>
          <w:rFonts w:ascii="Times New Roman" w:hAnsi="Times New Roman"/>
          <w:color w:val="000000" w:themeColor="text1"/>
          <w:sz w:val="16"/>
          <w:szCs w:val="16"/>
        </w:rPr>
        <w:softHyphen/>
        <w:t>го, испытатели НИИ ВВС высказывали большие претензии к надежности ВМГ и удобству ее эксплуа</w:t>
      </w:r>
      <w:r w:rsidRPr="00722885">
        <w:rPr>
          <w:rFonts w:ascii="Times New Roman" w:hAnsi="Times New Roman"/>
          <w:color w:val="000000" w:themeColor="text1"/>
          <w:sz w:val="16"/>
          <w:szCs w:val="16"/>
        </w:rPr>
        <w:softHyphen/>
        <w:t>тации. Но на этом история истребителя МиГ—9 не закончилась. 27 июня 1943 г. три самолета (зав. № 6501, 6502, 6503) после очередной модернизации были переданы в состав 260-й сад 7 ВА Карельского фронта, где они эксплуатировались вплоть до списа</w:t>
      </w:r>
      <w:r w:rsidRPr="00722885">
        <w:rPr>
          <w:rFonts w:ascii="Times New Roman" w:hAnsi="Times New Roman"/>
          <w:color w:val="000000" w:themeColor="text1"/>
          <w:sz w:val="16"/>
          <w:szCs w:val="16"/>
        </w:rPr>
        <w:softHyphen/>
        <w:t>ния по износу в 1944 г. (9984).</w:t>
      </w:r>
    </w:p>
    <w:p w14:paraId="434387EA" w14:textId="77777777" w:rsidR="00AE7191" w:rsidRPr="00722885" w:rsidRDefault="00AE7191" w:rsidP="00722885">
      <w:pPr>
        <w:pStyle w:val="Iauiue"/>
        <w:jc w:val="both"/>
        <w:rPr>
          <w:iCs/>
          <w:color w:val="000000" w:themeColor="text1"/>
          <w:sz w:val="16"/>
          <w:szCs w:val="16"/>
        </w:rPr>
      </w:pPr>
    </w:p>
    <w:p w14:paraId="10C1E2AB" w14:textId="77777777" w:rsidR="009F1857" w:rsidRPr="00722885" w:rsidRDefault="009F1857" w:rsidP="00722885">
      <w:pPr>
        <w:pStyle w:val="a3"/>
        <w:rPr>
          <w:color w:val="000000" w:themeColor="text1"/>
          <w:lang w:val="ru-RU"/>
        </w:rPr>
      </w:pPr>
      <w:r w:rsidRPr="00722885">
        <w:rPr>
          <w:color w:val="000000" w:themeColor="text1"/>
          <w:lang w:val="ru-RU"/>
        </w:rPr>
        <w:t>7 сентября 1942 г. истребитель МиГ-9 № 02 поступил в НИИ ВВС на государственные испытания. К этому времени в составе вооружения самолёта остались только крупнокалибер</w:t>
      </w:r>
      <w:r w:rsidRPr="00722885">
        <w:rPr>
          <w:color w:val="000000" w:themeColor="text1"/>
          <w:lang w:val="ru-RU"/>
        </w:rPr>
        <w:softHyphen/>
        <w:t>ные пулемёты УБС. Испытания проводили ведущий инженер И.Г. Лазарев и лётчик-испытатель В.Е. Голофастов. Но машину неоднократно приходилось возвращать в ОКБ-155 для доводки винтомоторной группы, поэтому госиспытания растянулись на два месяца. По их результатам МиГ-9 получил неудовлетворительную оценку, так как его лётные характеристики оказались ниже, чем у самолётов Ла-5 и Як-7. Максимальная скорость составила всего 565 км/ч на вы</w:t>
      </w:r>
      <w:r w:rsidRPr="00722885">
        <w:rPr>
          <w:color w:val="000000" w:themeColor="text1"/>
          <w:lang w:val="ru-RU"/>
        </w:rPr>
        <w:softHyphen/>
        <w:t>соте 6150 м. Кроме того, у военных были большие претензии к ВМГ самолёта, как к её работе, так и к условиям эксплуатации (15976).</w:t>
      </w:r>
    </w:p>
    <w:p w14:paraId="7921789C" w14:textId="77777777" w:rsidR="009F1857" w:rsidRPr="00722885" w:rsidRDefault="009F1857" w:rsidP="00722885">
      <w:pPr>
        <w:pStyle w:val="a3"/>
        <w:rPr>
          <w:color w:val="000000" w:themeColor="text1"/>
          <w:lang w:val="ru-RU"/>
        </w:rPr>
      </w:pPr>
    </w:p>
    <w:p w14:paraId="141CE53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г. истребитель МиГ-9 зав. № 6502 поступил в НИИ ВВС на государственные испытания. Вооружение состояло только из крупнокалиберных пулеметов УБС. Испытания проводили ведущий инженер И.Г. Лазарев и летчик-испытатель В.Е. Голофастов. Из-за отказов винтомоторной группы госиспытания растянулись на два месяца. МиГ-9 получил неудовлетворительную оценку от специалистов НИИ ВВС, так как его основные летные характеристики оказались хуже, чем у самолетов Ла-5 и Як-7. Достаточно указать, что максимальная скорость истребителя после всех доработок составила всего 565 км/ч на высоте 6150 м. Кроме того, испытатели НИИ ВВС высказывали большие претензии к надежности и удобству эксплуатации силовой установки. Истребитель И-220 Тем не менее, на этом история истребителя с мотором АМ-38Ф МиГ-9 не закончилась. 27 июня 1943 г. три самолета после очередной модернизации были переданы в состав 260-й сад 7 ВА Карельского фронта, где они эксплуатировались вплоть до списания по износу в 1944 г. (12045).</w:t>
      </w:r>
    </w:p>
    <w:p w14:paraId="33935D02"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763D544"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в 1942 году образовано ОАО "Московский машиностроительный завод "Вперед". ОАО "Московский машиностроительный завод "Вперед" производит рулевые винты для вертолетов семейства «Ми» («Ми-2», «Ми-8», «Ми-14», «Ми-17», «Ми-24», «Ми-26», «Ми-28», «Ми-35») с лопастями из композиционных материалов, воздушные винты для сверхлегких, легких, деловых и спортивных самолетов («Як-18Т», «Як-50», «Як-52», «Як-55», «Як-55М», «Су-26», «Су-26М», «Су-26С», «Су-26СЭ», «Су-26Т», «Су-29», «Су-49»), а также агрегаты воздушной системы для вспомогательных силовых установок (ВСУ) типа «ТА». ММЗ «Вперед», применяя сертифицированные авиационные материалы, высокопрочные штамповки, современные качественные клеи, стеклопластики, освоив сложные процессы изготовления композиционных материалов и сотовых конструкций в сочетании с прогрессивной технологией механической обработки и поверхностным упрочнением деталей, является передовым предприятием, уверенно смотрящим в будущее. Завод располагает необходимыми производственными площадями, современным металлообрабатывающим, кузнечно-прессовым и нестандартным оборудованием. На предприятии работают высококвалифицированные рабочие и инженерно-</w:t>
      </w:r>
      <w:r w:rsidRPr="00722885">
        <w:rPr>
          <w:rFonts w:ascii="Times New Roman" w:hAnsi="Times New Roman"/>
          <w:color w:val="000000" w:themeColor="text1"/>
          <w:sz w:val="16"/>
          <w:szCs w:val="16"/>
        </w:rPr>
        <w:lastRenderedPageBreak/>
        <w:t>технические работники. Сегодня на Московском машиностроительном заводе «Вперед» работают более одной тысячи человек. ММЗ «Вперед» в 2004 года вошел, как равноправный парнер, в Объединенный промышленный концерн "Оборонпром", восстанавливая административные и научно-технические связи между отдельными предприятиями отрасли, во многом нарушенные в 90-е годы (14762).</w:t>
      </w:r>
    </w:p>
    <w:p w14:paraId="0BF96CBF" w14:textId="77777777" w:rsidR="004A3FBB" w:rsidRPr="00722885" w:rsidRDefault="004A3FBB" w:rsidP="00722885">
      <w:pPr>
        <w:spacing w:after="0" w:line="240" w:lineRule="auto"/>
        <w:jc w:val="both"/>
        <w:rPr>
          <w:rFonts w:ascii="Times New Roman" w:hAnsi="Times New Roman"/>
          <w:color w:val="000000" w:themeColor="text1"/>
          <w:sz w:val="16"/>
          <w:szCs w:val="16"/>
        </w:rPr>
      </w:pPr>
    </w:p>
    <w:p w14:paraId="7ACD831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92B3A43" w14:textId="77777777" w:rsidR="00AE7191" w:rsidRPr="00722885" w:rsidRDefault="00AE7191" w:rsidP="00722885">
      <w:pPr>
        <w:pStyle w:val="Iauiue"/>
        <w:jc w:val="both"/>
        <w:rPr>
          <w:iCs/>
          <w:color w:val="000000" w:themeColor="text1"/>
          <w:sz w:val="16"/>
          <w:szCs w:val="16"/>
        </w:rPr>
      </w:pPr>
    </w:p>
    <w:p w14:paraId="4A66F0A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сентября 1942 г., в связи с полным израсходованием запасов централита, порох с окисью магния был введен в производство на среднеуральском заводе (№ 98 им. Кирова, Пермь). Всего три дня потребовалось заводу, чтобы наладить его внедрение и перейти к массовому изготовлению зарядов. За четыре месяца (по 1 января 1943 г.) среднеуральским заводом было изготовлено более 3000 т пороха НМ-2 для M-13 и М-8. Невозможно переоценить важность этих работ для обеспечения непрерывных поставок зарядов для нужд фронта. </w:t>
      </w:r>
    </w:p>
    <w:p w14:paraId="6A2A5DF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Еще один пример. В феврале 1942 г. пороховому заводу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w:t>
      </w:r>
    </w:p>
    <w:p w14:paraId="7663311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Особым бюро были выполнены и другие, направленные на ликвидацию помех производству зарядов, работы, из которых упомянем следующие. Еще 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 </w:t>
      </w:r>
    </w:p>
    <w:p w14:paraId="565ECB7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 </w:t>
      </w:r>
    </w:p>
    <w:p w14:paraId="0DB18B1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 </w:t>
      </w:r>
    </w:p>
    <w:p w14:paraId="6F320E4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Существенная помощь со стороны Особого бюро была оказана заводу по выяснению причин брака, получавшегося при прессовании пороховых шашек на прессах Круппа. Так, например, в феврале 1942 г. брак на фазе прессования зарядов М-8 и M-13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w:t>
      </w:r>
    </w:p>
    <w:p w14:paraId="6E59BB1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1944 г. объем продукции завода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036B355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2EA8900"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7 сентября 1942 в ГАБТУ пришла служеб</w:t>
      </w:r>
      <w:r w:rsidRPr="00722885">
        <w:rPr>
          <w:rFonts w:eastAsia="Calibri"/>
          <w:color w:val="000000" w:themeColor="text1"/>
          <w:sz w:val="16"/>
          <w:szCs w:val="16"/>
        </w:rPr>
        <w:softHyphen/>
        <w:t>ная записка от конструкторов Суреняна и Ефимова, которые к тому моменту перебрались из Свердловска обратно в Москву, на террито</w:t>
      </w:r>
      <w:r w:rsidRPr="00722885">
        <w:rPr>
          <w:rFonts w:eastAsia="Calibri"/>
          <w:color w:val="000000" w:themeColor="text1"/>
          <w:sz w:val="16"/>
          <w:szCs w:val="16"/>
        </w:rPr>
        <w:softHyphen/>
        <w:t>рию завода № 37 (официально на тот момент он являлся филиалом, но с начала 1943 года завод возродился на старом месте):</w:t>
      </w:r>
    </w:p>
    <w:p w14:paraId="3A968D88"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численное превосходство танков, в немецкой армии ра</w:t>
      </w:r>
      <w:r w:rsidRPr="00722885">
        <w:rPr>
          <w:rFonts w:ascii="Times New Roman" w:hAnsi="Times New Roman"/>
          <w:color w:val="000000" w:themeColor="text1"/>
          <w:sz w:val="16"/>
          <w:szCs w:val="16"/>
        </w:rPr>
        <w:softHyphen/>
        <w:t>ботают над модернизацией и приспособлением танков со слабым брони</w:t>
      </w:r>
      <w:r w:rsidRPr="00722885">
        <w:rPr>
          <w:rFonts w:ascii="Times New Roman" w:hAnsi="Times New Roman"/>
          <w:color w:val="000000" w:themeColor="text1"/>
          <w:sz w:val="16"/>
          <w:szCs w:val="16"/>
        </w:rPr>
        <w:softHyphen/>
        <w:t>рованием и вооружением под гусеничные самоходы с различными артилле</w:t>
      </w:r>
      <w:r w:rsidRPr="00722885">
        <w:rPr>
          <w:rFonts w:ascii="Times New Roman" w:hAnsi="Times New Roman"/>
          <w:color w:val="000000" w:themeColor="text1"/>
          <w:sz w:val="16"/>
          <w:szCs w:val="16"/>
        </w:rPr>
        <w:softHyphen/>
        <w:t>рийскими системами.</w:t>
      </w:r>
    </w:p>
    <w:p w14:paraId="3CC06DA7"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нас этот вопрос не принял еще достаточно широких форм не только из-за ненаправленности в этой области конструкторской мысли, но глав</w:t>
      </w:r>
      <w:r w:rsidRPr="00722885">
        <w:rPr>
          <w:rFonts w:ascii="Times New Roman" w:hAnsi="Times New Roman"/>
          <w:color w:val="000000" w:themeColor="text1"/>
          <w:sz w:val="16"/>
          <w:szCs w:val="16"/>
        </w:rPr>
        <w:softHyphen/>
        <w:t>ным образом из-за ведомственных взаимоотношений между ГАУи ГАБТУ Красной Армии.</w:t>
      </w:r>
    </w:p>
    <w:p w14:paraId="3D3B71F1"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Вопросы об использовании старого парка машин со слабым брониро</w:t>
      </w:r>
      <w:r w:rsidRPr="00722885">
        <w:rPr>
          <w:rFonts w:ascii="Times New Roman" w:hAnsi="Times New Roman"/>
          <w:color w:val="000000" w:themeColor="text1"/>
          <w:sz w:val="16"/>
          <w:szCs w:val="16"/>
        </w:rPr>
        <w:softHyphen/>
        <w:t>ванием и вооружением под гусеничные самоходы должен представлять в настоящее время значительно больший интерес, нежели их использова</w:t>
      </w:r>
      <w:r w:rsidRPr="00722885">
        <w:rPr>
          <w:rFonts w:ascii="Times New Roman" w:hAnsi="Times New Roman"/>
          <w:color w:val="000000" w:themeColor="text1"/>
          <w:sz w:val="16"/>
          <w:szCs w:val="16"/>
        </w:rPr>
        <w:softHyphen/>
        <w:t>ние в качестве танков.</w:t>
      </w:r>
    </w:p>
    <w:p w14:paraId="2C8EEEF6"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Работая над созданием гусеничных самоходных установок на базе агре</w:t>
      </w:r>
      <w:r w:rsidRPr="00722885">
        <w:rPr>
          <w:rFonts w:ascii="Times New Roman" w:hAnsi="Times New Roman"/>
          <w:color w:val="000000" w:themeColor="text1"/>
          <w:sz w:val="16"/>
          <w:szCs w:val="16"/>
        </w:rPr>
        <w:softHyphen/>
        <w:t>гатов танков Т-60, Т-70 (СУ-31, СУ-32), лишь в последнее время, после постройки опытных образцов этих машин, нам удалось найти другое ре</w:t>
      </w:r>
      <w:r w:rsidRPr="00722885">
        <w:rPr>
          <w:rFonts w:ascii="Times New Roman" w:hAnsi="Times New Roman"/>
          <w:color w:val="000000" w:themeColor="text1"/>
          <w:sz w:val="16"/>
          <w:szCs w:val="16"/>
        </w:rPr>
        <w:softHyphen/>
        <w:t>шение, давшее возможность использовать шасси танков Т-60 под само</w:t>
      </w:r>
      <w:r w:rsidRPr="00722885">
        <w:rPr>
          <w:rFonts w:ascii="Times New Roman" w:hAnsi="Times New Roman"/>
          <w:color w:val="000000" w:themeColor="text1"/>
          <w:sz w:val="16"/>
          <w:szCs w:val="16"/>
        </w:rPr>
        <w:softHyphen/>
        <w:t>ходы при небольших переделках корпуса.</w:t>
      </w:r>
    </w:p>
    <w:p w14:paraId="027226FE"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как сейчас машина Т-60 снята с производства, то данный про</w:t>
      </w:r>
      <w:r w:rsidRPr="00722885">
        <w:rPr>
          <w:rFonts w:ascii="Times New Roman" w:hAnsi="Times New Roman"/>
          <w:color w:val="000000" w:themeColor="text1"/>
          <w:sz w:val="16"/>
          <w:szCs w:val="16"/>
        </w:rPr>
        <w:softHyphen/>
        <w:t>ект можно использовать для переделки ранее выпущенных машин, причем переделке подвергнуть машины, приходящие на рембазы, часто уже с под</w:t>
      </w:r>
      <w:r w:rsidRPr="00722885">
        <w:rPr>
          <w:rFonts w:ascii="Times New Roman" w:hAnsi="Times New Roman"/>
          <w:color w:val="000000" w:themeColor="text1"/>
          <w:sz w:val="16"/>
          <w:szCs w:val="16"/>
        </w:rPr>
        <w:softHyphen/>
        <w:t>битой башней и вооружением, ненужными при переходе на самоход. Так как машин Т-60 выпущено немало, считаем целесообразной их переделку на самоходные установки, представляющие значительно больший инте</w:t>
      </w:r>
      <w:r w:rsidRPr="00722885">
        <w:rPr>
          <w:rFonts w:ascii="Times New Roman" w:hAnsi="Times New Roman"/>
          <w:color w:val="000000" w:themeColor="text1"/>
          <w:sz w:val="16"/>
          <w:szCs w:val="16"/>
        </w:rPr>
        <w:softHyphen/>
        <w:t>рес, чем танк Т-60.</w:t>
      </w:r>
    </w:p>
    <w:p w14:paraId="704E86A8"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шасси танка Т-60 могут быть установлены следующие системы:</w:t>
      </w:r>
    </w:p>
    <w:p w14:paraId="0F90D791" w14:textId="77777777" w:rsidR="009D3895" w:rsidRPr="00722885" w:rsidRDefault="009D3895" w:rsidP="00722885">
      <w:pPr>
        <w:tabs>
          <w:tab w:val="left" w:pos="51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37-мм зенитная пушка.</w:t>
      </w:r>
    </w:p>
    <w:p w14:paraId="42AA9BE2" w14:textId="77777777" w:rsidR="009D3895" w:rsidRPr="00722885" w:rsidRDefault="009D3895" w:rsidP="00722885">
      <w:pPr>
        <w:tabs>
          <w:tab w:val="left" w:pos="54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25-мм зенитная пушка.</w:t>
      </w:r>
    </w:p>
    <w:p w14:paraId="262B0E83" w14:textId="77777777" w:rsidR="009D3895" w:rsidRPr="00722885" w:rsidRDefault="009D3895" w:rsidP="00722885">
      <w:pPr>
        <w:tabs>
          <w:tab w:val="left" w:pos="57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76-мм пушка ЗИС-З (дивизионная полковая пушка).</w:t>
      </w:r>
    </w:p>
    <w:p w14:paraId="5CD87029" w14:textId="77777777" w:rsidR="009D3895" w:rsidRPr="00722885" w:rsidRDefault="009D3895" w:rsidP="00722885">
      <w:pPr>
        <w:tabs>
          <w:tab w:val="left" w:pos="54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57-мм противотанковая пушка ЗИС-2.</w:t>
      </w:r>
    </w:p>
    <w:p w14:paraId="7653B40D"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Самоход со всеми перечисленными системами должен иметь особый интерес для Красной Армии.</w:t>
      </w:r>
    </w:p>
    <w:p w14:paraId="042F4ACA"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Ввиду того что в настоящее время зенитные самоходные установки представляют значительно больший интерес, можно первоначально по</w:t>
      </w:r>
      <w:r w:rsidRPr="00722885">
        <w:rPr>
          <w:rFonts w:ascii="Times New Roman" w:hAnsi="Times New Roman"/>
          <w:color w:val="000000" w:themeColor="text1"/>
          <w:sz w:val="16"/>
          <w:szCs w:val="16"/>
        </w:rPr>
        <w:softHyphen/>
        <w:t>строить и испытать опытный образец, для этого в танке Т-60 нужно произвести следующие переделки:</w:t>
      </w:r>
    </w:p>
    <w:p w14:paraId="2554E8CC" w14:textId="77777777" w:rsidR="009D3895" w:rsidRPr="00722885" w:rsidRDefault="009D3895" w:rsidP="00722885">
      <w:pPr>
        <w:tabs>
          <w:tab w:val="left" w:pos="53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Корпус — разбронировать верхнюю часть, вырезать верхнюю часть бортов над гусеницей, наварить нишу и проделать воздухоприток и воз</w:t>
      </w:r>
      <w:r w:rsidRPr="00722885">
        <w:rPr>
          <w:rFonts w:ascii="Times New Roman" w:hAnsi="Times New Roman"/>
          <w:color w:val="000000" w:themeColor="text1"/>
          <w:sz w:val="16"/>
          <w:szCs w:val="16"/>
        </w:rPr>
        <w:softHyphen/>
        <w:t>духозаборник.</w:t>
      </w:r>
    </w:p>
    <w:p w14:paraId="4573A38A" w14:textId="77777777" w:rsidR="009D3895" w:rsidRPr="00722885" w:rsidRDefault="009D3895" w:rsidP="00722885">
      <w:pPr>
        <w:tabs>
          <w:tab w:val="left" w:pos="52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Установку мотора сдвинуть вперед на 200мм, использовав при этом соединительную муфту с машины Т- 70.</w:t>
      </w:r>
    </w:p>
    <w:p w14:paraId="0055BF47" w14:textId="77777777" w:rsidR="009D3895" w:rsidRPr="00722885" w:rsidRDefault="009D3895" w:rsidP="00722885">
      <w:pPr>
        <w:tabs>
          <w:tab w:val="left" w:pos="54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Группу охлаждения сместить в сторону от двигателя.</w:t>
      </w:r>
    </w:p>
    <w:p w14:paraId="7497A79C" w14:textId="77777777" w:rsidR="009D3895" w:rsidRPr="00722885" w:rsidRDefault="009D3895" w:rsidP="00722885">
      <w:pPr>
        <w:tabs>
          <w:tab w:val="left" w:pos="57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Благодаря этому освобождается значительное место под огневую платформу для установки перечисленных систем.</w:t>
      </w:r>
    </w:p>
    <w:p w14:paraId="7905FAF0"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Переделка корпуса для артсистем 76 и 57мм значительно проще, чем под зенитные пушки.</w:t>
      </w:r>
    </w:p>
    <w:p w14:paraId="7578CDBC"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перечисленные мероприятия вполне под силу рембазе.</w:t>
      </w:r>
    </w:p>
    <w:p w14:paraId="36798B93"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решения вопроса о создании более широкой производственной базы самоходов наше предложение дает возможность немедленно приступить к выпуску зенитных самоходов.</w:t>
      </w:r>
    </w:p>
    <w:p w14:paraId="6FEC5DFE"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Просим немедленно дать указание об изготовлении опытных образцов. Данное предложение ни в коей мере не противопоставляется опытным образцам машин СУ-31 и СУ-32, рассчитанных на новое производство.</w:t>
      </w:r>
    </w:p>
    <w:p w14:paraId="59DEC013"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Руководство всеми работами можно возложить на т. Ефимова Н. Н.</w:t>
      </w:r>
    </w:p>
    <w:p w14:paraId="517B7AD5"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Мы считаем, что данное предложение в настоящее время имеет осо</w:t>
      </w:r>
      <w:r w:rsidRPr="00722885">
        <w:rPr>
          <w:rFonts w:ascii="Times New Roman" w:hAnsi="Times New Roman"/>
          <w:color w:val="000000" w:themeColor="text1"/>
          <w:sz w:val="16"/>
          <w:szCs w:val="16"/>
        </w:rPr>
        <w:softHyphen/>
        <w:t>бый интерес, и просим принять все зависящие от Вас меры и ускорить ре</w:t>
      </w:r>
      <w:r w:rsidRPr="00722885">
        <w:rPr>
          <w:rFonts w:ascii="Times New Roman" w:hAnsi="Times New Roman"/>
          <w:color w:val="000000" w:themeColor="text1"/>
          <w:sz w:val="16"/>
          <w:szCs w:val="16"/>
        </w:rPr>
        <w:softHyphen/>
        <w:t>ализацию данного предложения, а также доложить о нашем предложении наркому тов. Федоренко и тов. Молотову».</w:t>
      </w:r>
    </w:p>
    <w:p w14:paraId="092426BB"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Данное предложение было рассмотрено, но дальнейшего развития не имело. К тому моменту шасси Т-60 перестало быть перспективным, хотя определенные разработки с его использованием предлагались еще почти год. Между тем идея о переделке Т-60 в САУ была с успехом во</w:t>
      </w:r>
      <w:r w:rsidRPr="00722885">
        <w:rPr>
          <w:rFonts w:ascii="Times New Roman" w:hAnsi="Times New Roman"/>
          <w:color w:val="000000" w:themeColor="text1"/>
          <w:sz w:val="16"/>
          <w:szCs w:val="16"/>
        </w:rPr>
        <w:softHyphen/>
        <w:t>площена по другую сторону фронта: 10 мая 1943 года на параде в Бу</w:t>
      </w:r>
      <w:r w:rsidRPr="00722885">
        <w:rPr>
          <w:rFonts w:ascii="Times New Roman" w:hAnsi="Times New Roman"/>
          <w:color w:val="000000" w:themeColor="text1"/>
          <w:sz w:val="16"/>
          <w:szCs w:val="16"/>
        </w:rPr>
        <w:softHyphen/>
        <w:t xml:space="preserve">харесте были показаны первые </w:t>
      </w:r>
      <w:r w:rsidRPr="00722885">
        <w:rPr>
          <w:rFonts w:ascii="Times New Roman" w:hAnsi="Times New Roman"/>
          <w:color w:val="000000" w:themeColor="text1"/>
          <w:sz w:val="16"/>
          <w:szCs w:val="16"/>
          <w:lang w:val="en-US"/>
        </w:rPr>
        <w:t>TunAnticar</w:t>
      </w:r>
      <w:r w:rsidRPr="00722885">
        <w:rPr>
          <w:rFonts w:ascii="Times New Roman" w:hAnsi="Times New Roman"/>
          <w:color w:val="000000" w:themeColor="text1"/>
          <w:sz w:val="16"/>
          <w:szCs w:val="16"/>
        </w:rPr>
        <w:t xml:space="preserve"> ре </w:t>
      </w:r>
      <w:r w:rsidRPr="00722885">
        <w:rPr>
          <w:rFonts w:ascii="Times New Roman" w:hAnsi="Times New Roman"/>
          <w:color w:val="000000" w:themeColor="text1"/>
          <w:sz w:val="16"/>
          <w:szCs w:val="16"/>
          <w:lang w:val="en-US"/>
        </w:rPr>
        <w:t>AfetMobil</w:t>
      </w:r>
      <w:r w:rsidRPr="00722885">
        <w:rPr>
          <w:rFonts w:ascii="Times New Roman" w:hAnsi="Times New Roman"/>
          <w:color w:val="000000" w:themeColor="text1"/>
          <w:sz w:val="16"/>
          <w:szCs w:val="16"/>
        </w:rPr>
        <w:t xml:space="preserve"> Т-60. Данная САУ представляла собой трофейное шасси Т-60 с установленной на ней трофейной 76-мм пушкой Ф-22. (17485).</w:t>
      </w:r>
    </w:p>
    <w:p w14:paraId="4AEE963F" w14:textId="77777777" w:rsidR="009D3895" w:rsidRPr="00722885" w:rsidRDefault="009D3895" w:rsidP="00722885">
      <w:pPr>
        <w:spacing w:after="0" w:line="240" w:lineRule="auto"/>
        <w:jc w:val="both"/>
        <w:rPr>
          <w:rFonts w:ascii="Times New Roman" w:hAnsi="Times New Roman"/>
          <w:color w:val="000000" w:themeColor="text1"/>
          <w:sz w:val="16"/>
          <w:szCs w:val="16"/>
        </w:rPr>
      </w:pPr>
    </w:p>
    <w:p w14:paraId="3E06BF36" w14:textId="77777777" w:rsidR="009F1019" w:rsidRPr="00722885" w:rsidRDefault="009F101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7 сентября 1942 года был подписан договор между ГАУ КА и заводом №592 на выпуск первых пяти СГ-122. Стоимость переделки «Артштурма» в СГ-122 оценивалась в 45 тысяч рублей (17663).</w:t>
      </w:r>
    </w:p>
    <w:p w14:paraId="23E249AB" w14:textId="77777777" w:rsidR="009F1019" w:rsidRPr="00722885" w:rsidRDefault="009F1019" w:rsidP="00722885">
      <w:pPr>
        <w:pStyle w:val="12a"/>
        <w:shd w:val="clear" w:color="auto" w:fill="auto"/>
        <w:spacing w:after="0" w:line="240" w:lineRule="auto"/>
        <w:jc w:val="both"/>
        <w:rPr>
          <w:color w:val="000000" w:themeColor="text1"/>
          <w:sz w:val="16"/>
          <w:szCs w:val="16"/>
        </w:rPr>
      </w:pPr>
    </w:p>
    <w:p w14:paraId="3B30F0C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г. был подготовлен ЗАПРОС ДИРЕКТОРА АВТОЗАВОДА им. СТАЛИНА В АТУ ГАБТУ ОБ ИЗМЕНЕНИИ КОМПЛЕКТАЦИИ АВТОМОБИЛЕЙ ЗИС</w:t>
      </w:r>
    </w:p>
    <w:p w14:paraId="5F92AD7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Вашего согласия на приемку автомобилей с одной фарой, установленной на левом кры</w:t>
      </w:r>
      <w:r w:rsidRPr="00722885">
        <w:rPr>
          <w:rFonts w:ascii="Times New Roman" w:hAnsi="Times New Roman"/>
          <w:color w:val="000000" w:themeColor="text1"/>
          <w:sz w:val="16"/>
          <w:szCs w:val="16"/>
        </w:rPr>
        <w:softHyphen/>
        <w:t>ле, так как производство фар лимитируется отсутствием металла. Автомобили с одной фарой выпу</w:t>
      </w:r>
      <w:r w:rsidRPr="00722885">
        <w:rPr>
          <w:rFonts w:ascii="Times New Roman" w:hAnsi="Times New Roman"/>
          <w:color w:val="000000" w:themeColor="text1"/>
          <w:sz w:val="16"/>
          <w:szCs w:val="16"/>
        </w:rPr>
        <w:softHyphen/>
        <w:t>скаются ГАЗ'ом уже несколько месяцев.</w:t>
      </w:r>
    </w:p>
    <w:p w14:paraId="19162CB1"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автозавода им. Сталина Лихачев</w:t>
      </w:r>
    </w:p>
    <w:p w14:paraId="02BD301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11386. Д. 147. Л. 15. Подлинник (11211).</w:t>
      </w:r>
    </w:p>
    <w:p w14:paraId="2EEA6EC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72A941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сентября 1942 на ГАЗ был доставлен для детального изучения немецкий трофейный бронеавтомобиль Sd Kfz 221 (3862).</w:t>
      </w:r>
    </w:p>
    <w:p w14:paraId="62400814" w14:textId="77777777" w:rsidR="00AE7191" w:rsidRPr="00722885" w:rsidRDefault="00AE7191" w:rsidP="00722885">
      <w:pPr>
        <w:pStyle w:val="Iauiue"/>
        <w:jc w:val="both"/>
        <w:rPr>
          <w:color w:val="000000" w:themeColor="text1"/>
          <w:sz w:val="16"/>
          <w:szCs w:val="16"/>
        </w:rPr>
      </w:pPr>
    </w:p>
    <w:p w14:paraId="4D82CF7E"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 xml:space="preserve">7 сентября 1942 вышло Постановление ГКО № 2256 О переселении из находящихся в полосе отвода помещений НКПС семей лиц, не работающих в настоящее время </w:t>
      </w:r>
      <w:r w:rsidRPr="00722885">
        <w:rPr>
          <w:color w:val="000000" w:themeColor="text1"/>
          <w:sz w:val="16"/>
          <w:szCs w:val="16"/>
        </w:rPr>
        <w:lastRenderedPageBreak/>
        <w:t>на железнодорожном транспорте. (7053, 85).</w:t>
      </w:r>
    </w:p>
    <w:p w14:paraId="2E5EE1A7" w14:textId="77777777" w:rsidR="00AE7191" w:rsidRPr="00722885" w:rsidRDefault="00AE7191" w:rsidP="00722885">
      <w:pPr>
        <w:pStyle w:val="Iauiue"/>
        <w:tabs>
          <w:tab w:val="left" w:pos="11199"/>
        </w:tabs>
        <w:jc w:val="both"/>
        <w:rPr>
          <w:color w:val="000000" w:themeColor="text1"/>
          <w:sz w:val="16"/>
          <w:szCs w:val="16"/>
        </w:rPr>
      </w:pPr>
    </w:p>
    <w:p w14:paraId="09038516"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сентября 1942 вышло Постановление ГКО № 2257 [О передаче НКПС для обеспечения воинских оперативных перевозок съемного воинского оборудования.] (7053, 86).</w:t>
      </w:r>
    </w:p>
    <w:p w14:paraId="6715400E" w14:textId="77777777" w:rsidR="00AE7191" w:rsidRPr="00722885" w:rsidRDefault="00AE7191" w:rsidP="00722885">
      <w:pPr>
        <w:pStyle w:val="Iauiue"/>
        <w:tabs>
          <w:tab w:val="left" w:pos="11199"/>
        </w:tabs>
        <w:jc w:val="both"/>
        <w:rPr>
          <w:color w:val="000000" w:themeColor="text1"/>
          <w:sz w:val="16"/>
          <w:szCs w:val="16"/>
        </w:rPr>
      </w:pPr>
    </w:p>
    <w:p w14:paraId="3547599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вышло Постановление ГКО № 2261 О снижении расходной нормы аммиака при производстве азотной кислоты на заводах НКБ. РГАНИР, Фонд ГКО, д. 55, лл. 90 (11012).</w:t>
      </w:r>
    </w:p>
    <w:p w14:paraId="0D44BD0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114F18A"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сентября 1942 вышло Постановление ГКО № 2263 Об организации колонн паровозов особого резерва НКПС. (7053, 92-93).</w:t>
      </w:r>
    </w:p>
    <w:p w14:paraId="3B830ADB" w14:textId="77777777" w:rsidR="00AE7191" w:rsidRPr="00722885" w:rsidRDefault="00AE7191" w:rsidP="00722885">
      <w:pPr>
        <w:pStyle w:val="Iauiue"/>
        <w:tabs>
          <w:tab w:val="left" w:pos="11199"/>
        </w:tabs>
        <w:jc w:val="both"/>
        <w:rPr>
          <w:color w:val="000000" w:themeColor="text1"/>
          <w:sz w:val="16"/>
          <w:szCs w:val="16"/>
        </w:rPr>
      </w:pPr>
    </w:p>
    <w:p w14:paraId="2D44579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сентября 1942 вышло Постановление ГКО № 2264 Об установлении запасов угля на железных дорогах к зиме. (7053, 94).</w:t>
      </w:r>
    </w:p>
    <w:p w14:paraId="31E10224" w14:textId="77777777" w:rsidR="00AE7191" w:rsidRPr="00722885" w:rsidRDefault="00AE7191" w:rsidP="00722885">
      <w:pPr>
        <w:pStyle w:val="Iauiue"/>
        <w:tabs>
          <w:tab w:val="left" w:pos="11199"/>
        </w:tabs>
        <w:jc w:val="both"/>
        <w:rPr>
          <w:color w:val="000000" w:themeColor="text1"/>
          <w:sz w:val="16"/>
          <w:szCs w:val="16"/>
        </w:rPr>
      </w:pPr>
    </w:p>
    <w:p w14:paraId="201BE118"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сентября 1942 вышло Постановление ГКО № 2266 О сооружении подъездных жел.-дор. ветвей Бакальского комбината [Челябинская обл.]. (7053, 98).</w:t>
      </w:r>
    </w:p>
    <w:p w14:paraId="68970A2B" w14:textId="77777777" w:rsidR="00AE7191" w:rsidRPr="00722885" w:rsidRDefault="00AE7191" w:rsidP="00722885">
      <w:pPr>
        <w:pStyle w:val="Iauiue"/>
        <w:tabs>
          <w:tab w:val="left" w:pos="11199"/>
        </w:tabs>
        <w:jc w:val="both"/>
        <w:rPr>
          <w:color w:val="000000" w:themeColor="text1"/>
          <w:sz w:val="16"/>
          <w:szCs w:val="16"/>
        </w:rPr>
      </w:pPr>
    </w:p>
    <w:p w14:paraId="056DF329"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сентября 1942 вышло Постановление ГКО № 2267 О строительстве железнодорожной линии Гурьев - Астрахань. (7053, 99-101).</w:t>
      </w:r>
    </w:p>
    <w:p w14:paraId="66160FB5" w14:textId="77777777" w:rsidR="00AE7191" w:rsidRPr="00722885" w:rsidRDefault="00AE7191" w:rsidP="00722885">
      <w:pPr>
        <w:pStyle w:val="Iauiue"/>
        <w:tabs>
          <w:tab w:val="left" w:pos="11199"/>
        </w:tabs>
        <w:jc w:val="both"/>
        <w:rPr>
          <w:color w:val="000000" w:themeColor="text1"/>
          <w:sz w:val="16"/>
          <w:szCs w:val="16"/>
        </w:rPr>
      </w:pPr>
    </w:p>
    <w:p w14:paraId="77658C36"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сентября 1942 вышло Постановление ГКО № 2269 Об увеличении пропускной способности Ашхабадской, Ташкентской, Оренбургской и Туркестано-Сибирской железных дорог для обеспечения вывоза нефтепродуктов из Красноводска и Гурьева. (7053, 110-115).</w:t>
      </w:r>
    </w:p>
    <w:p w14:paraId="0DC0DE52" w14:textId="77777777" w:rsidR="00AE7191" w:rsidRPr="00722885" w:rsidRDefault="00AE7191" w:rsidP="00722885">
      <w:pPr>
        <w:pStyle w:val="Iauiue"/>
        <w:tabs>
          <w:tab w:val="left" w:pos="11199"/>
        </w:tabs>
        <w:jc w:val="both"/>
        <w:rPr>
          <w:color w:val="000000" w:themeColor="text1"/>
          <w:sz w:val="16"/>
          <w:szCs w:val="16"/>
        </w:rPr>
      </w:pPr>
    </w:p>
    <w:p w14:paraId="3B1D9614"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сентября 1942 вышло Постановление ГКО № 2270 Об усилении пропускной способности железнодорожной линии Астрахань - Урбах Рязано-Уральской железной дороги. (7053, 116-117).</w:t>
      </w:r>
    </w:p>
    <w:p w14:paraId="79135022" w14:textId="77777777" w:rsidR="00AE7191" w:rsidRPr="00722885" w:rsidRDefault="00AE7191" w:rsidP="00722885">
      <w:pPr>
        <w:pStyle w:val="Iauiue"/>
        <w:tabs>
          <w:tab w:val="left" w:pos="11199"/>
        </w:tabs>
        <w:jc w:val="both"/>
        <w:rPr>
          <w:color w:val="000000" w:themeColor="text1"/>
          <w:sz w:val="16"/>
          <w:szCs w:val="16"/>
        </w:rPr>
      </w:pPr>
    </w:p>
    <w:p w14:paraId="74F6248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сентября [Справка о выдаче мандатов уполномоченных ГКО на химических заводах Савченко А.А., Овчинникову А.Я., Вовченко Я.Л. и Колотыркину И.М.] № 2251-2254 (7053, 60).</w:t>
      </w:r>
    </w:p>
    <w:p w14:paraId="21E36852" w14:textId="77777777" w:rsidR="00AE7191" w:rsidRPr="00722885" w:rsidRDefault="00AE7191" w:rsidP="00722885">
      <w:pPr>
        <w:pStyle w:val="Iauiue"/>
        <w:tabs>
          <w:tab w:val="left" w:pos="11199"/>
        </w:tabs>
        <w:jc w:val="both"/>
        <w:rPr>
          <w:color w:val="000000" w:themeColor="text1"/>
          <w:sz w:val="16"/>
          <w:szCs w:val="16"/>
        </w:rPr>
      </w:pPr>
    </w:p>
    <w:p w14:paraId="2C25C43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FE55530" w14:textId="77777777" w:rsidR="00AE7191" w:rsidRPr="00722885" w:rsidRDefault="00AE7191" w:rsidP="00722885">
      <w:pPr>
        <w:pStyle w:val="Iauiue"/>
        <w:jc w:val="both"/>
        <w:rPr>
          <w:iCs/>
          <w:color w:val="000000" w:themeColor="text1"/>
          <w:sz w:val="16"/>
          <w:szCs w:val="16"/>
        </w:rPr>
      </w:pPr>
    </w:p>
    <w:p w14:paraId="5C01D8CB"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в 1942 году утреннее сообщение Совинформбюро:</w:t>
      </w:r>
    </w:p>
    <w:p w14:paraId="4DE6D317"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7 сентября наши войска вели бои с противником северо-западнее и юго-западнее Сталинграда, а также в районах Новороссийск и Моздок. На других фронтах существенных изменений не произошло.</w:t>
      </w:r>
    </w:p>
    <w:p w14:paraId="2B3CF00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продолжаюсь упорные бои. Н-ская часть атаковала противника и улучшила свои позиции.</w:t>
      </w:r>
    </w:p>
    <w:p w14:paraId="5BD1DC44"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поле боя осталось 280 убитых гитлеровцев и 5 сожжённых немецких танков. Нашими бойцами захвачено 7 пулемётов, 2 миномёта, 36 автоматов, до 200 винтовок и много боеприпасов. Взяты пленные. На другом участке в результате ожесточённого боя подбито 3 танка и истреблено две роты немецкой пехоты. Огнём пехотного оружия сбит бомбардировщик противника.</w:t>
      </w:r>
    </w:p>
    <w:p w14:paraId="1CFC09BA"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ожесточённые бои против танков и пехоты противника. На участке Н-ского соединения немцы атаковали наш оборонительный рубеж. Вражеским танкам удалось проникнуть в расположение наших войск. Советские бойцы миномётным и пулемётным огнём привели в замешательство следовавших за танками гитлеровцев и, ударив с фланга, вынудили их котступлению. В это же время огнём из противотанковых пушек и противотанковых ружей было подбито 12 немецких танков. Через некоторое время гитлеровцы предприняли на этом участке ещё одну атаку. Эта атака неприятеля также провалилась. Потеряв ещё два танка и до 200 солдат и офицеров, противник отошёл на исходные позиции.</w:t>
      </w:r>
    </w:p>
    <w:p w14:paraId="0C0DE310"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Новороссийска советские войска вели оборонительные бои с танками и пехотой противника. Подразделение краснофлотцев под командованием тов. Жигачёва отбило атаку гитлеровцев, пытавшихся занять одну высоту. Противник потерял только убитыми свыше 100 солдат и офицеров. Наши моряки удерживают высоту, имеющую важное значение.</w:t>
      </w:r>
    </w:p>
    <w:p w14:paraId="0BCCA306"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бои с переправившейся через водный рубеж группировкой противника. Самоотверженно действовали бойцы подразделения лейтенанта Беспалько и пулемётчики под командованием тов. Каюмова. В течение дня они уничтожили до двух рот пехоты противника.</w:t>
      </w:r>
    </w:p>
    <w:p w14:paraId="4496D839"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наша штурмовая и бомбардировочная авиация нанесла ещё один удар по аэродромам противника. Лётчики Н-ской части уничтожили и повредили 24 немецких самолёта. Кроме того, в воздушном бою сбито 2 и подбито 2 самолёта противника.</w:t>
      </w:r>
    </w:p>
    <w:p w14:paraId="69F1E1A4"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добровольно перешёл на сторону КраснойАрмии ефрейтор 1 немецкой танковой дивизии Франц С., служивший денщиком у одного из офицеров. Пленный рассказал: «Первая танковая дивизия долгое время находилась в обороне. 17 июля дивизия получила приказ направиться в тыл. Предполагалось, что после отдыха мы будем направлены на юг. При этом офицеры говорили солдатам, что на Южном фронте их ждёт богатая добыча и сытая жизнь. Наступление русских спутало планы немецкого командования. Не успели мы прибыть на отдых, как пришёл приказ вернуть дивизию обратно. Проделав 450-километровый марш, дивизия была брошена в бой. Наш мотополк в первых же боях потерял 65 процентов личного состава, 13 танков, 5 бронемашин, 5 противотанковых орудий, 6 пушек, 13 пулемётов, 11 миномётов, склад боеприпасов и склад продовольствия. Дивизия в целом тоже понесла огромные потери» (14762).</w:t>
      </w:r>
    </w:p>
    <w:p w14:paraId="7F6A2FBC"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27B6335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в 1942 году вечернее сообщение Совинформбюро:</w:t>
      </w:r>
    </w:p>
    <w:p w14:paraId="13DD3833"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7 сентября наши войска вели ожесточённые бои с противником западнее и юго-западнее Сталинграда, а также в районах Новороссийск и Моздок.</w:t>
      </w:r>
    </w:p>
    <w:p w14:paraId="28C1C5F5"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фронтах существенных изменений не произошло.</w:t>
      </w:r>
    </w:p>
    <w:p w14:paraId="2CD42225"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6 сентября частями нашей авиации на различных участках фронта уничтожено или повреждено до 20 немецких танков, 120 автомашин с войсками и грузами, подавлен огонь 8 батарей полевой и зенитной артиллерии, взорваны склад боеприпасов и склад горючего, рассеяно и частью уничтожено до двух батальонов пехоты противника.</w:t>
      </w:r>
    </w:p>
    <w:p w14:paraId="612EAC9F"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Баренцевом море нашей авиацией потоплен транспорт противника водоизмещением в 5 тысяч тонн.</w:t>
      </w:r>
    </w:p>
    <w:p w14:paraId="56A13F07"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наши войска вели напряжённые бои с немецко-фашистскими войсками. Бойцы Н-ской части отбили четыре атаки, следовавшие одна за другой, а затем вынуждены были отойти на новые позиции. На другом участке немецкая пехота при поддержке 22 танков атаковала наши позиции. Бойцы и командиры, оборонявшие этот рубеж, отбили атаку противника. Уничтожено два немецких танка и до роты гитлеровцев.</w:t>
      </w:r>
    </w:p>
    <w:p w14:paraId="02FBE5A2"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немцы крупными силами предприняли несколько атак. Противник отброшен с большими для него потерями. На одном участке 30 немецких танков атаковали позиции нашей артиллерийской батареи. Советские бойцы, ведя огонь с открытых позиций, отбили атаку неприятеля и уничтожили 8 немецких танков.</w:t>
      </w:r>
    </w:p>
    <w:p w14:paraId="14A53585"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Новороссийска наши части вели упорные бои против численно превосходящих сил противника. Ценой больших потерь врагу удалось вклиниться в боевые порядки наших войск. Бойцы Н-ской части в течение дня в ожесточённых боях уничтожили 8 немецких танков и свыше 400 гитлеровцев. Огнём нашей артиллерии подбито 4 танка, уничтожено 27 автомашин с войсками, 2 орудия, рассеяно и большей частью уничтожено до батальона пехоты противника.</w:t>
      </w:r>
    </w:p>
    <w:p w14:paraId="2102F59B"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продолжались бои на южном берегу водного рубежа. Наше подразделение внезапным ударом выбило противника из одного населённого пункта, уничтожило артиллерийскую батарею и разгромило штаб немецкой части. На другом участке наши части нанесли контрудар группировке гитлеровцев, пытавшихся наступать в южном направлении. Потеряв в этих боях 23 танка, противник начал быстро отходить на север.</w:t>
      </w:r>
    </w:p>
    <w:p w14:paraId="0994EDF7"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приводятся выдержки из записной книжки, найденной у убитого немецкогоофицера-артиллериста Ганса Лудта:</w:t>
      </w:r>
    </w:p>
    <w:p w14:paraId="3179C81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«Сегодня в 7 часов утра отправились в Вязьму. Сгоревшие поезда лежат по бокам насыпи. Здесь основательно поработала авиация.</w:t>
      </w:r>
    </w:p>
    <w:p w14:paraId="27FEE0E5"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...Мы на марше. Самое страшное — русские штурмовики, которые опускаются до 15 метров и стреляют из своих пушек. Наш маршевый батальон уже понёс большие потери от этих самолётов.</w:t>
      </w:r>
    </w:p>
    <w:p w14:paraId="78067B4B"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...Поразительно, как мало знает фронт о родине. Я пришёл к убеждению, что население не только покорённых стран, но и</w:t>
      </w:r>
    </w:p>
    <w:p w14:paraId="2BB4DEB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Германии в огромном большинстве устало от войны. Что же будет при дальнейшей затяжке военных действий? В разговорах офицеры и солдаты теперь всё чаще вспоминают о русской зиме. Они с ужасом думают о том, неужели ещё раз придётся мёрзнуть и погибать в русских снегах».</w:t>
      </w:r>
    </w:p>
    <w:p w14:paraId="54D1C11D"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ныне освобождённой от немцев деревни Старое Устиново, Калининской области, Елисеев Д.Е., Орлова П.К. и другие рассказали о невыносимой жизни советских людей во время немецко-фашистской оккупации. «Немецкие бандиты, —сообщили они, — поголовно ограбили всех колхозников. Они заставили всех жителей деревни, даже детей и стариков, от зари до зари работать на строительстве дороги укреплений. Все мы голодали, и работать не было сил. Гитлеровцы зверски за это били, и теперь до самой смерти мы не забудем этих побоев. В нашу деревню немцы привели 55 пленных красноармейцев. Они заперли их в сарае и морили голодом. Вскоре 30 пленных умерли голодной смертью. Остальных спасла от гибели Красная Армия, освободившая деревню от фашистского ига».</w:t>
      </w:r>
    </w:p>
    <w:p w14:paraId="0DEA682E"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Немцы хозяйничают в Венгрии, как в завоёванной стране. По приказу Гитлера десятки эшелонов с продовольствием отправляются в Германию, в то время как венгерское население голодает. Недавно вновь урезаны и без того скудные продовольственные нормы. В конце августа во многих городах Венгрии состоялись демонстрации голодного населения. В комитате Земплен толпа женщин — жён солдат —ворвалась в помещение военного ведомства с криками: «Верните с фронта наших мужей! Пусть они расправятся с немцами!» (14762).</w:t>
      </w:r>
    </w:p>
    <w:p w14:paraId="74AB5CBD"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6D11A90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г. был выпущен приказ по истребительной авиации ПВО территории страны об обозначениях побед, а 9 сентября командующий истребительной авиацией ПВО генерал-майор А.С. Осипенко утвердил соответствующее положение. По этому документу сбитые самолеты противника обозначались пятиконечной красной звездой размером 15 см, обведенной полосой алюминиевой краски шириной 1 см. Звездочки следовало наносить с левой стороны фюзеляжа от передней кромки стабилизатора в направлении кабины через 10 см друг от друга. Впрочем, тут же уточнялось: звездочки надо было наносить "рядом с большой красной звездой". При заполнении промежутка между большой звездой и кабиной последующие звездочки должны наноситься выше в том же порядке.</w:t>
      </w:r>
    </w:p>
    <w:p w14:paraId="598F7B9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Чаще на самолетах обозначались только индивидуальные победы: по ходу войны победы все реже фиксировались как групповые, а сбитый противник засчиты- вался кому-то лично. Но если обозначали также групповые результаты, то звездочки отличались цветом или окантовкой от личных.</w:t>
      </w:r>
    </w:p>
    <w:p w14:paraId="708533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Наконец, еще один вариант, когда личные и групповые победы обозначали вместе, никак их не различая. Например, в ПВО учитывались доли групповых побед. Но порой все сбитые просто суммировались. Такая система была распространена на Карельском фронте, где, судя по единообразию нанесения звездочек в разных полках, существовал общий для всех приказ. На левых бортах Р-40 и "харрикейнов" на прямоугольнике красного цвета было нарисовано от 10 до 30 звездочек при довольно скромных личных успехах пилотов.</w:t>
      </w:r>
    </w:p>
    <w:p w14:paraId="410D52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Преимущественно звездочки наносили на левом борту. Реже, в основном на Р-39 (из-за расположения на нем дверцы кабины), использовался правый. Находились и желающие показать свои достижения всем, тогда звездочки появлялись на обоих бортах.</w:t>
      </w:r>
    </w:p>
    <w:p w14:paraId="372DA5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носу звездочки рисовали практически только на "кобрах", у которых там была свободная панель. На других истребителях отметки побед почти всегда наносили за кабиной пилота или под ней. Иногда маленькие звездочки тяготели к большой - их помещали симметрично ее оси или даже прямо на ней. Крайне редко их втискивали между бортовым опознавательным знаком и хвостовым оперением.</w:t>
      </w:r>
    </w:p>
    <w:p w14:paraId="6D3DF5C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Чтобы сделать звездочки заметнее, их иногда рисовали на фоне прямоугольника, обычно красного цвета, так называемой "доски" или плашки. Официально это было принято в 7-й воздушной армии. В 324-й иад, входившей в состав этой армии, в феврале 1945 г. выпустили приказ, определявший размеры "доски": 50 х 25 см. Ее окантовывали белой полосой шириной 1 см.</w:t>
      </w:r>
    </w:p>
    <w:p w14:paraId="7D0A7A0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пальцам можно пересчитать случаи фиксации побед в виде цифры или надписи. К такому методу прибегали, скорее всего, ради фотосъемки при достижении какого-то итога, вручении нового самолета или уже после войны. Наиболее известные случаи: самолеты дважды Героев Советского Союза - Н.Д. Гу- лаева (Р-39 с надписью "53 победы") и С.Д. Луганского (Як-1 с цифрой "32" в лавровом венке), а также Ла-5 И.С. Кравцова, на борту которого в послевоенное время было написано: "На этом самолете Герой Советского Союза гвардии капитан Кравцов, защищая город Ленина, сбил 31 самолет врага".</w:t>
      </w:r>
    </w:p>
    <w:p w14:paraId="15F85B4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Порой противника сбивали и экипажи штурмовиков и бомбардировщиков. Тогда звездочки появлялись и на их самолетах, но подобных примеров совсем немного: сбивали редко, а рисовать малое число звездочек было не принято. Известны Ил-2 дважды Героев Советского Союза И.Ф. Павлова и Г.М. Паршина с несколькими обозначениями сбитых. Семь символов побед нес штурмовик командира эскадрильи 175-го гв. шап капитана Алексеева.</w:t>
      </w:r>
    </w:p>
    <w:p w14:paraId="73D35D1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Бомбардировщики отмечали другие свои достижения. В дальней авиации - бомбовые удары по стратегическим целям. Во 2-м гв. акдд с 1943 г. было принято после каждого такого события рисовать на борту белый контур бомбы на фоне синей плашки (или без нее). Кое- кто внутри бомбы писал название города, подвергшегося бомбардировке.</w:t>
      </w:r>
    </w:p>
    <w:p w14:paraId="0EA6CCB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не все летчики отмечали свои победы. Среди таких пилотов были и асы, например, К.А. Евстигнеев и А.В. Воро- жейкин.</w:t>
      </w:r>
    </w:p>
    <w:p w14:paraId="30094DE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Исключением для ВВС Красной Армии являлись обозначения побед в виде свастик или крестов. Тем не менее встречались и такие. Германскими крестами обозначали сбитые самолеты французские пилоты полка "Нормандия". Перечеркнутые свастики были нарисованы на истребителе Як-7 командира 1-й эскад- Подполковник А.А.Матвеев, командир 154-го иап у Р-40Е "Киттихаук", 1942 г. Хо- рильи 271-го иап В.Я. Хасина.</w:t>
      </w:r>
      <w:r w:rsidRPr="00722885">
        <w:rPr>
          <w:rFonts w:ascii="Times New Roman" w:hAnsi="Times New Roman"/>
          <w:color w:val="000000" w:themeColor="text1"/>
          <w:sz w:val="16"/>
          <w:szCs w:val="16"/>
        </w:rPr>
        <w:tab/>
        <w:t>рошо видно, что звезды, обозначающие личные и групповые победы, - разные (11989).</w:t>
      </w:r>
    </w:p>
    <w:p w14:paraId="6FFE1ED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2F2C18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7-8 сентября 1942 ожесточенной бомбардировкой сорвали наступление крупной танковой группы в районе Гулрак-Каменный Буерак на СтФ (271,210).</w:t>
      </w:r>
    </w:p>
    <w:p w14:paraId="35F634C6" w14:textId="77777777" w:rsidR="00AE7191" w:rsidRPr="00722885" w:rsidRDefault="00AE7191" w:rsidP="00722885">
      <w:pPr>
        <w:pStyle w:val="Iauiue"/>
        <w:jc w:val="both"/>
        <w:rPr>
          <w:color w:val="000000" w:themeColor="text1"/>
          <w:sz w:val="16"/>
          <w:szCs w:val="16"/>
        </w:rPr>
      </w:pPr>
    </w:p>
    <w:p w14:paraId="415371A4"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в 1942 году войска противника ворвались в Новороссийск, захватили железнодорожный вокзал, элеватор и порт (14762).</w:t>
      </w:r>
    </w:p>
    <w:p w14:paraId="393B65AA" w14:textId="77777777" w:rsidR="004A3FBB" w:rsidRPr="00722885" w:rsidRDefault="004A3FBB" w:rsidP="00722885">
      <w:pPr>
        <w:spacing w:after="0" w:line="240" w:lineRule="auto"/>
        <w:jc w:val="both"/>
        <w:rPr>
          <w:rFonts w:ascii="Times New Roman" w:hAnsi="Times New Roman"/>
          <w:color w:val="000000" w:themeColor="text1"/>
          <w:sz w:val="16"/>
          <w:szCs w:val="16"/>
        </w:rPr>
      </w:pPr>
    </w:p>
    <w:p w14:paraId="36B7F05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вышло Постановление ГКО № 2255 О планах снабжения горюче-смазочными материалами и углем Красной Армии и Военно-Морского Флота на сентябрь 1942 г. РГАНИР, Фонд ГКО, д. 55, лл. 61, 62-84 (11012).</w:t>
      </w:r>
    </w:p>
    <w:p w14:paraId="498D162C"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4986F8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вышло Постановление ГКО № 2258. О сформировании 25 армейских полков ПВО. РГАНИР, Фонд ГКО, д. 55, лл. 87 (11012).</w:t>
      </w:r>
    </w:p>
    <w:p w14:paraId="26FB43D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06678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вышло Постановление ГКО № 2259 О сформировании десяти истребительно-противотанковых артиллерийских полков, пяти пулеметных артиллерийских полков и трех отдельных армейских разведывательных артиллерийских дивизионов. РГАНИР, Фонд ГКО, д. 55, лл. 88 (11012).</w:t>
      </w:r>
    </w:p>
    <w:p w14:paraId="463C01E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722217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вышло Постановление ГКО № 2260 О сформировании дополнительно батарей в 17 истребительно-противотанковых артиллерийских полках и доукомплектовании материальной частью истребительно-противотанковых артиллерийских полков. РГАНИР, Фонд ГКО, д. 55, лл. 89 (11012).</w:t>
      </w:r>
    </w:p>
    <w:p w14:paraId="436B63B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9DD633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вышло Постановление ГКО № 2262 Об изменении в решении ГОКО от 19 мая 1942 г. № 1784сс "О мероприятиях по укреплению тыла фронтов, армий , корпусов и дивизий". РГАНИР, Фонд ГКО, д. 55, лл. 91 (11012).</w:t>
      </w:r>
    </w:p>
    <w:p w14:paraId="0D34C307"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C2A88E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вышло Постановление ГКО № 2265 О сформировании 20 отдельных автотранспортных батальонов. РГАНИР, Фонд ГКО, д. 55, лл. 95-97 (11012).</w:t>
      </w:r>
    </w:p>
    <w:p w14:paraId="46D404CD"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4EC90D5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1942 вышло Постановление ГКО № 2268 Об организации стационарных военно-эксплуатационных отделений на фронтовых участках жел. дорог. РГАНИР, Фонд ГКО, д. 55, лл. 102-104, 105-109 (11012).</w:t>
      </w:r>
    </w:p>
    <w:p w14:paraId="1212309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EDE736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16FE4E3A" w14:textId="77777777" w:rsidR="00AE7191" w:rsidRPr="00722885" w:rsidRDefault="00AE7191" w:rsidP="00722885">
      <w:pPr>
        <w:pStyle w:val="Iauiue"/>
        <w:jc w:val="both"/>
        <w:rPr>
          <w:iCs/>
          <w:color w:val="000000" w:themeColor="text1"/>
          <w:sz w:val="16"/>
          <w:szCs w:val="16"/>
        </w:rPr>
      </w:pPr>
    </w:p>
    <w:p w14:paraId="350BBA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сентября 1942 года было получено:</w:t>
      </w:r>
    </w:p>
    <w:p w14:paraId="1E061E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ЛИЧНОЕ И СЕКРЕТНОЕ ПОСЛАНИЕ ОТ ПРЕМЬЕР-МИНИСТРА г-на ЧЕРЧИЛЛЯ ПРЕМЬЕРУ СТАЛИНУ</w:t>
      </w:r>
    </w:p>
    <w:p w14:paraId="6BC434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Конвой P.Q. 18 в составе 40 пароходов вышел. Так как мы не можем посылать наши тяжелые корабли в сферу действия авиации противника, базирующейся на побережье, мы выделяем мощные ударные силы из эсминцев, которые будут использованы против надводных кораблей противника, если они атакуют нас к востоку от острова Медвежий. Мы также включаем в сопровождение конвоя для защиты его от нападения с воздуха только что построенный вспомогательный авианосец. Далее мы ставим сильную завесу из подводных лодок между конвоем и германскими базами. Однако риск нападения германских надводных кораблей попрежнему остается серьезным. Эту опасность можно эффективно отразить лишь путем выделения для действий в Баренцевом море ударной авиации такой силы, чтобы немцы рисковали своими тяжелыми кораблями не менее, чем мы рискуем нашими в этом районе. Для разведывательных целей мы выделяем 8 летающих лодок “Каталина” и 3 разведывательных аэрофотосъемочных подразделения “Спитфайеров”, которые будут оперировать из Северной России. С целью увеличения масштаба воздушного нападения мы отправили 32 самолета-торпедоносца, которые по пути понесли потери, хотя мы надеемся, что по крайней мере 24 из них будут пригодными для операций. Указанные самолеты совместно с предоставляемыми Вами, как нам известно, 19 бомбардировщиками и самолетами-торпедоносцами, 42 истребителями короткого радиуса действия и 43 истребителями дальнего радиуса действия, я еще раз повторяю, будут недостаточны для того, чтобы оказать окончательное сдерживающее воздействие на противника. В чем мы нуждаемся — это в большом количестве бомбардировщиков дальнего действия. Мы полностью понимаем, что громадное давление, которое Вы испытываете на главном фронте борьбы, затрудняет предоставление большого количества русских армейских бомбардировщиков дальнего действия. Но мы должны подчеркнуть большое значение этого конвоя, в котором принимают участие 77 военных судов, которым во время операций придется использовать 15 тысяч тонн горючего. Если Вы можете временно перебросить дополнительное количество бомбардировщиков дальнего действия на Север, то прошу это сделать. Это крайне необходимо в наших общих интересах.</w:t>
      </w:r>
    </w:p>
    <w:p w14:paraId="6121E0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Наступление Роммеля в Египте получило сильный отпор, и я возлагаю большие надежды на то, что мы сможем добиться там благоприятного исхода в течение нынешнего месяца.</w:t>
      </w:r>
    </w:p>
    <w:p w14:paraId="6BB79D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3. Операция “Факел” </w:t>
      </w:r>
      <w:r w:rsidRPr="00722885">
        <w:rPr>
          <w:color w:val="000000" w:themeColor="text1"/>
          <w:sz w:val="16"/>
          <w:szCs w:val="16"/>
          <w:vertAlign w:val="superscript"/>
        </w:rPr>
        <w:t>24</w:t>
      </w:r>
      <w:r w:rsidRPr="00722885">
        <w:rPr>
          <w:color w:val="000000" w:themeColor="text1"/>
          <w:sz w:val="16"/>
          <w:szCs w:val="16"/>
        </w:rPr>
        <w:t>, хотя и отложена на 3 недели сверх того самого раннего срока, о котором я Вам говорил, готовится полным ходом.</w:t>
      </w:r>
    </w:p>
    <w:p w14:paraId="7E30BE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4. Я ожидаю ответа Президента на определенные предложения, которые я ему сделал относительно использования контингента англо-американских военно-воздушных сил для действий на Вашем южном фланге зимой. Он в принципе согласен, и я ожидаю получить от него подробные планы. Я затем снова телеграфирую Вам. Между тем я надеюсь, что составление планов в отношении аэродромов и коммуникаций может продолжаться в том порядке, с которым с Вашего одобрения согласились Ваши офицеры, когда я был в Москве. Для этой цели мы хотим сначала командировать штабных офицеров из Египта в Москву, как только Вы будете готовы к тому, чтобы мы это сделали.</w:t>
      </w:r>
    </w:p>
    <w:p w14:paraId="2EFC54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С огромным восхищением мы следим за продолжающимся великолепным сопротивлением русских армий. Германские потери, конечно, велики, и приближается зима. В своем выступлении в Палате общин во вторник я дам в приемлемой, как я надеюсь, для Вас форме отчет о моей поездке в Москву, о которой я сохраняю самые приятные воспоминания.</w:t>
      </w:r>
    </w:p>
    <w:p w14:paraId="213568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Пожалуйста, передайте мои добрые пожелания г-ну Молотову и поблагодарите его за поздравления по случаю моего благополучного возвращения. Да поможет бог преуспеянию наших предприятий (7430).</w:t>
      </w:r>
    </w:p>
    <w:p w14:paraId="19086476" w14:textId="77777777" w:rsidR="00AE7191" w:rsidRPr="00722885" w:rsidRDefault="00AE7191" w:rsidP="00722885">
      <w:pPr>
        <w:pStyle w:val="Iauiue"/>
        <w:jc w:val="both"/>
        <w:rPr>
          <w:color w:val="000000" w:themeColor="text1"/>
          <w:sz w:val="16"/>
          <w:szCs w:val="16"/>
        </w:rPr>
      </w:pPr>
    </w:p>
    <w:p w14:paraId="7202B418"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в 1942 году японский посол в Германии Осима сообщил в Токио, что «Германия крайне недовольна тем, что Япония строит планы относительно германо-советского мира» (14762).</w:t>
      </w:r>
    </w:p>
    <w:p w14:paraId="6CC3E385"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31FC4740" w14:textId="77777777" w:rsidR="009F1857" w:rsidRPr="00722885" w:rsidRDefault="009F185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в 1942 году Президиум Верховного Совета СССР принял Указ о награждении орденами СССР 12 офицеров и матросов королевского военного и торгового флота Великобритании за мужество, проявленное при доставке вооружения в Советский Союз (14762).</w:t>
      </w:r>
    </w:p>
    <w:p w14:paraId="36462550" w14:textId="77777777" w:rsidR="009F1857" w:rsidRPr="00722885" w:rsidRDefault="009F1857" w:rsidP="00722885">
      <w:pPr>
        <w:spacing w:after="0" w:line="240" w:lineRule="auto"/>
        <w:jc w:val="both"/>
        <w:rPr>
          <w:rFonts w:ascii="Times New Roman" w:hAnsi="Times New Roman"/>
          <w:color w:val="000000" w:themeColor="text1"/>
          <w:sz w:val="16"/>
          <w:szCs w:val="16"/>
        </w:rPr>
      </w:pPr>
    </w:p>
    <w:p w14:paraId="3C123758"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1E1F72C" w14:textId="77777777" w:rsidR="00AE7191" w:rsidRPr="00722885" w:rsidRDefault="00AE7191" w:rsidP="00722885">
      <w:pPr>
        <w:pStyle w:val="Iauiue"/>
        <w:jc w:val="both"/>
        <w:rPr>
          <w:iCs/>
          <w:color w:val="000000" w:themeColor="text1"/>
          <w:sz w:val="16"/>
          <w:szCs w:val="16"/>
        </w:rPr>
      </w:pPr>
    </w:p>
    <w:p w14:paraId="74D42268"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сентября в 1942 году состоялся первый полёт американского бомбардировщика «В-32» "Доминатор". Самолёт был выпущен небольшой серией. Его производство и применение было прекращено сразу после окончания Второй Мировой войны (14762).</w:t>
      </w:r>
    </w:p>
    <w:p w14:paraId="0938DE4E" w14:textId="77777777" w:rsidR="004A3FBB" w:rsidRPr="00722885" w:rsidRDefault="004A3FBB" w:rsidP="00722885">
      <w:pPr>
        <w:spacing w:after="0" w:line="240" w:lineRule="auto"/>
        <w:jc w:val="both"/>
        <w:rPr>
          <w:rFonts w:ascii="Times New Roman" w:hAnsi="Times New Roman"/>
          <w:color w:val="000000" w:themeColor="text1"/>
          <w:sz w:val="16"/>
          <w:szCs w:val="16"/>
        </w:rPr>
      </w:pPr>
    </w:p>
    <w:p w14:paraId="395E05EA" w14:textId="77777777" w:rsidR="00DE664A" w:rsidRPr="00722885" w:rsidRDefault="00DE664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сентября 1942 года состоялся первый полет Консолидейтед B-32 Dominator (20793).</w:t>
      </w:r>
    </w:p>
    <w:p w14:paraId="6715B09B" w14:textId="77777777" w:rsidR="00DE664A" w:rsidRPr="00722885" w:rsidRDefault="00DE664A" w:rsidP="00722885">
      <w:pPr>
        <w:spacing w:after="0" w:line="240" w:lineRule="auto"/>
        <w:jc w:val="both"/>
        <w:rPr>
          <w:rFonts w:ascii="Times New Roman" w:hAnsi="Times New Roman"/>
          <w:color w:val="0070C0"/>
          <w:sz w:val="16"/>
          <w:szCs w:val="16"/>
        </w:rPr>
      </w:pPr>
    </w:p>
    <w:p w14:paraId="462518E7" w14:textId="77777777" w:rsidR="00DE664A" w:rsidRPr="00722885" w:rsidRDefault="00DE664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сентября 1942 - На Lindbergh Field состоялся первый полёт XB-32. Самолёт поднялся в воздух под управлением лётчиков-испытателей Расселла Роджерса (Russell Rodgers) и Ричарда МакМакина (Richard McMakin). Проблемы с одной из тяг управления триммером руля привели к вынужденной посадке на ближайшей базе морской авиации North Island. Самолёт провёл в воздухе всего 20 минут (22372).</w:t>
      </w:r>
    </w:p>
    <w:p w14:paraId="183933A8" w14:textId="77777777" w:rsidR="00DE664A" w:rsidRPr="00722885" w:rsidRDefault="00DE664A" w:rsidP="00722885">
      <w:pPr>
        <w:spacing w:after="0" w:line="240" w:lineRule="auto"/>
        <w:jc w:val="both"/>
        <w:rPr>
          <w:rFonts w:ascii="Times New Roman" w:hAnsi="Times New Roman"/>
          <w:color w:val="0070C0"/>
          <w:sz w:val="16"/>
          <w:szCs w:val="16"/>
        </w:rPr>
      </w:pPr>
    </w:p>
    <w:p w14:paraId="65B506D0" w14:textId="77777777" w:rsidR="004A3FBB" w:rsidRPr="00722885" w:rsidRDefault="004A3FBB" w:rsidP="00722885">
      <w:pPr>
        <w:spacing w:after="0" w:line="240" w:lineRule="auto"/>
        <w:jc w:val="both"/>
        <w:rPr>
          <w:rStyle w:val="ucoz-forum-post"/>
          <w:rFonts w:ascii="Times New Roman" w:eastAsia="Times New Roman" w:hAnsi="Times New Roman"/>
          <w:color w:val="000000" w:themeColor="text1"/>
          <w:sz w:val="16"/>
          <w:szCs w:val="16"/>
        </w:rPr>
      </w:pPr>
      <w:r w:rsidRPr="00722885">
        <w:rPr>
          <w:rFonts w:ascii="Times New Roman" w:hAnsi="Times New Roman"/>
          <w:color w:val="000000" w:themeColor="text1"/>
          <w:sz w:val="16"/>
          <w:szCs w:val="16"/>
        </w:rPr>
        <w:t>7 сентября</w:t>
      </w:r>
      <w:r w:rsidRPr="00722885">
        <w:rPr>
          <w:rStyle w:val="ucoz-forum-post"/>
          <w:rFonts w:ascii="Times New Roman" w:eastAsia="Times New Roman" w:hAnsi="Times New Roman"/>
          <w:bCs/>
          <w:color w:val="000000" w:themeColor="text1"/>
          <w:sz w:val="16"/>
          <w:szCs w:val="16"/>
        </w:rPr>
        <w:t xml:space="preserve"> 1942 г.</w:t>
      </w:r>
      <w:r w:rsidRPr="00722885">
        <w:rPr>
          <w:rStyle w:val="ucoz-forum-post"/>
          <w:rFonts w:ascii="Times New Roman" w:eastAsia="Times New Roman" w:hAnsi="Times New Roman"/>
          <w:color w:val="000000" w:themeColor="text1"/>
          <w:sz w:val="16"/>
          <w:szCs w:val="16"/>
        </w:rPr>
        <w:t xml:space="preserve"> – перспективный истребитель Вилли Мессершмитта Me.309-V1 получил новый винт с возможностью реверса сразу после посадки, что резко сокращало длину пробега (14762).</w:t>
      </w:r>
    </w:p>
    <w:p w14:paraId="6CD34768" w14:textId="77777777" w:rsidR="004A3FBB" w:rsidRPr="00722885" w:rsidRDefault="004A3FBB" w:rsidP="00722885">
      <w:pPr>
        <w:spacing w:after="0" w:line="240" w:lineRule="auto"/>
        <w:jc w:val="both"/>
        <w:rPr>
          <w:rStyle w:val="ucoz-forum-post"/>
          <w:rFonts w:ascii="Times New Roman" w:eastAsia="Times New Roman" w:hAnsi="Times New Roman"/>
          <w:color w:val="000000" w:themeColor="text1"/>
          <w:sz w:val="16"/>
          <w:szCs w:val="16"/>
        </w:rPr>
      </w:pPr>
    </w:p>
    <w:p w14:paraId="444F9F1A" w14:textId="77777777" w:rsidR="00DE664A" w:rsidRPr="00722885" w:rsidRDefault="00DE664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сентября 1942 Военно-морская авиатранспортная служба создает отряд в Перл-Харборе, Гавайи, который начинает исследовательские полеты в качестве первого шага в установлении маршрутов между Сан-Франциско, Калифорния, и Брисбеном , Австралия (21793).</w:t>
      </w:r>
    </w:p>
    <w:p w14:paraId="3D977D1D" w14:textId="77777777" w:rsidR="00DE664A" w:rsidRPr="00722885" w:rsidRDefault="00DE664A" w:rsidP="00722885">
      <w:pPr>
        <w:spacing w:after="0" w:line="240" w:lineRule="auto"/>
        <w:jc w:val="both"/>
        <w:rPr>
          <w:rFonts w:ascii="Times New Roman" w:hAnsi="Times New Roman"/>
          <w:color w:val="0070C0"/>
          <w:sz w:val="16"/>
          <w:szCs w:val="16"/>
        </w:rPr>
      </w:pPr>
    </w:p>
    <w:p w14:paraId="00674590"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7 сентября 1942 Италия объявила войну Бразилии (4962).</w:t>
      </w:r>
    </w:p>
    <w:p w14:paraId="14E464A1" w14:textId="77777777" w:rsidR="00AE7191" w:rsidRPr="00722885" w:rsidRDefault="00AE7191" w:rsidP="00722885">
      <w:pPr>
        <w:pStyle w:val="Iauiue"/>
        <w:tabs>
          <w:tab w:val="left" w:pos="11199"/>
        </w:tabs>
        <w:jc w:val="both"/>
        <w:rPr>
          <w:color w:val="000000" w:themeColor="text1"/>
          <w:sz w:val="16"/>
          <w:szCs w:val="16"/>
        </w:rPr>
      </w:pPr>
    </w:p>
    <w:p w14:paraId="18F53AA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2D6CE92" w14:textId="77777777" w:rsidR="00AE7191" w:rsidRPr="00722885" w:rsidRDefault="00AE7191" w:rsidP="00722885">
      <w:pPr>
        <w:pStyle w:val="Iauiue"/>
        <w:jc w:val="both"/>
        <w:rPr>
          <w:iCs/>
          <w:color w:val="000000" w:themeColor="text1"/>
          <w:sz w:val="16"/>
          <w:szCs w:val="16"/>
        </w:rPr>
      </w:pPr>
    </w:p>
    <w:p w14:paraId="55BF76C9"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8 сентября 1942 г. на стеклозаводе им. Горького (Моховые Горы) получили первый по</w:t>
      </w:r>
      <w:r w:rsidRPr="00722885">
        <w:rPr>
          <w:rFonts w:ascii="Times New Roman" w:hAnsi="Times New Roman"/>
          <w:color w:val="000000" w:themeColor="text1"/>
          <w:sz w:val="16"/>
          <w:szCs w:val="16"/>
        </w:rPr>
        <w:softHyphen/>
        <w:t>ложительный результат изготовления опытных плиток силикатного стекла типа БС по методу профессора И.И. Китайгородского. Используя новый метод, там рассчитывали отработать дешевую и простую технологию производства силикатного стекла для внешнего слоя броне</w:t>
      </w:r>
      <w:r w:rsidRPr="00722885">
        <w:rPr>
          <w:rFonts w:ascii="Times New Roman" w:hAnsi="Times New Roman"/>
          <w:color w:val="000000" w:themeColor="text1"/>
          <w:sz w:val="16"/>
          <w:szCs w:val="16"/>
        </w:rPr>
        <w:softHyphen/>
        <w:t>стекла вместо сталинита.</w:t>
      </w:r>
    </w:p>
    <w:p w14:paraId="2D3CCE73"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r w:rsidRPr="00722885">
        <w:rPr>
          <w:rStyle w:val="7e"/>
          <w:rFonts w:ascii="Times New Roman" w:hAnsi="Times New Roman" w:cs="Times New Roman"/>
          <w:i w:val="0"/>
          <w:color w:val="000000" w:themeColor="text1"/>
          <w:sz w:val="16"/>
          <w:szCs w:val="16"/>
        </w:rPr>
        <w:t>К сожалению, как следует из акта испыта</w:t>
      </w:r>
      <w:r w:rsidRPr="00722885">
        <w:rPr>
          <w:rStyle w:val="7e"/>
          <w:rFonts w:ascii="Times New Roman" w:hAnsi="Times New Roman" w:cs="Times New Roman"/>
          <w:i w:val="0"/>
          <w:color w:val="000000" w:themeColor="text1"/>
          <w:sz w:val="16"/>
          <w:szCs w:val="16"/>
        </w:rPr>
        <w:softHyphen/>
        <w:t>ний нового стекла,</w:t>
      </w:r>
      <w:r w:rsidRPr="00722885">
        <w:rPr>
          <w:rFonts w:ascii="Times New Roman" w:cs="Times New Roman"/>
          <w:color w:val="000000" w:themeColor="text1"/>
          <w:spacing w:val="0"/>
          <w:sz w:val="16"/>
          <w:szCs w:val="16"/>
        </w:rPr>
        <w:t xml:space="preserve"> «метод получения плиток БС нельзя считать вполне освоенным, чтобы можно применять его в производственном масштабе».</w:t>
      </w:r>
      <w:r w:rsidRPr="00722885">
        <w:rPr>
          <w:rStyle w:val="7e"/>
          <w:rFonts w:ascii="Times New Roman" w:hAnsi="Times New Roman" w:cs="Times New Roman"/>
          <w:i w:val="0"/>
          <w:color w:val="000000" w:themeColor="text1"/>
          <w:sz w:val="16"/>
          <w:szCs w:val="16"/>
        </w:rPr>
        <w:t xml:space="preserve"> Выяснилось, что</w:t>
      </w:r>
      <w:r w:rsidRPr="00722885">
        <w:rPr>
          <w:rFonts w:ascii="Times New Roman" w:cs="Times New Roman"/>
          <w:color w:val="000000" w:themeColor="text1"/>
          <w:spacing w:val="0"/>
          <w:sz w:val="16"/>
          <w:szCs w:val="16"/>
        </w:rPr>
        <w:t xml:space="preserve"> «большой отход плиток БС при обдувании сжатым воздухом требует дополнительных изысканий в подборе условий, подаче</w:t>
      </w:r>
      <w:r w:rsidRPr="00722885">
        <w:rPr>
          <w:rStyle w:val="7e"/>
          <w:rFonts w:ascii="Times New Roman" w:hAnsi="Times New Roman" w:cs="Times New Roman"/>
          <w:i w:val="0"/>
          <w:color w:val="000000" w:themeColor="text1"/>
          <w:sz w:val="16"/>
          <w:szCs w:val="16"/>
        </w:rPr>
        <w:t xml:space="preserve"> воздуха с</w:t>
      </w:r>
      <w:r w:rsidRPr="00722885">
        <w:rPr>
          <w:rFonts w:ascii="Times New Roman" w:cs="Times New Roman"/>
          <w:color w:val="000000" w:themeColor="text1"/>
          <w:spacing w:val="0"/>
          <w:sz w:val="16"/>
          <w:szCs w:val="16"/>
        </w:rPr>
        <w:t xml:space="preserve"> точной регулиров</w:t>
      </w:r>
      <w:r w:rsidRPr="00722885">
        <w:rPr>
          <w:rFonts w:ascii="Times New Roman" w:cs="Times New Roman"/>
          <w:color w:val="000000" w:themeColor="text1"/>
          <w:spacing w:val="0"/>
          <w:sz w:val="16"/>
          <w:szCs w:val="16"/>
        </w:rPr>
        <w:softHyphen/>
        <w:t>кой давления, а также точного выдерживания температуры плиток перед сталинизацией, так как при высокой температуре получают</w:t>
      </w:r>
      <w:r w:rsidRPr="00722885">
        <w:rPr>
          <w:rFonts w:ascii="Times New Roman" w:cs="Times New Roman"/>
          <w:color w:val="000000" w:themeColor="text1"/>
          <w:spacing w:val="0"/>
          <w:sz w:val="16"/>
          <w:szCs w:val="16"/>
        </w:rPr>
        <w:softHyphen/>
        <w:t>ся вмятины в плитке (в середине) при низкой температуре плитку разрывает».</w:t>
      </w:r>
      <w:r w:rsidRPr="00722885">
        <w:rPr>
          <w:rStyle w:val="7e"/>
          <w:rFonts w:ascii="Times New Roman" w:hAnsi="Times New Roman" w:cs="Times New Roman"/>
          <w:i w:val="0"/>
          <w:color w:val="000000" w:themeColor="text1"/>
          <w:sz w:val="16"/>
          <w:szCs w:val="16"/>
        </w:rPr>
        <w:t xml:space="preserve"> Тем не менее, признавалась необходимость продолжения изыскательских работ в этом направлении.</w:t>
      </w:r>
    </w:p>
    <w:p w14:paraId="10C8DE22"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на заводе им. Горького проводилась работа по замене подушки из ор</w:t>
      </w:r>
      <w:r w:rsidRPr="00722885">
        <w:rPr>
          <w:rFonts w:ascii="Times New Roman" w:hAnsi="Times New Roman"/>
          <w:color w:val="000000" w:themeColor="text1"/>
          <w:sz w:val="16"/>
          <w:szCs w:val="16"/>
        </w:rPr>
        <w:softHyphen/>
        <w:t>ганического стекла неорганическим (силикат</w:t>
      </w:r>
      <w:r w:rsidRPr="00722885">
        <w:rPr>
          <w:rFonts w:ascii="Times New Roman" w:hAnsi="Times New Roman"/>
          <w:color w:val="000000" w:themeColor="text1"/>
          <w:sz w:val="16"/>
          <w:szCs w:val="16"/>
        </w:rPr>
        <w:softHyphen/>
        <w:t>ным) стеклом.</w:t>
      </w:r>
    </w:p>
    <w:p w14:paraId="04FE755A"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основании многочисленных опытов, а также изучения поведения прозрачной брони в эксплуатации и на полигонных испытаниях </w:t>
      </w:r>
      <w:r w:rsidRPr="00722885">
        <w:rPr>
          <w:rStyle w:val="aff6"/>
          <w:rFonts w:ascii="Times New Roman" w:hAnsi="Times New Roman" w:cs="Times New Roman"/>
          <w:i w:val="0"/>
          <w:color w:val="000000" w:themeColor="text1"/>
        </w:rPr>
        <w:t>«для замены конструкций деталей в существу</w:t>
      </w:r>
      <w:r w:rsidRPr="00722885">
        <w:rPr>
          <w:rStyle w:val="aff6"/>
          <w:rFonts w:ascii="Times New Roman" w:hAnsi="Times New Roman" w:cs="Times New Roman"/>
          <w:i w:val="0"/>
          <w:color w:val="000000" w:themeColor="text1"/>
        </w:rPr>
        <w:softHyphen/>
        <w:t>ющих козырьках»</w:t>
      </w:r>
      <w:r w:rsidRPr="00722885">
        <w:rPr>
          <w:rFonts w:ascii="Times New Roman" w:hAnsi="Times New Roman"/>
          <w:color w:val="000000" w:themeColor="text1"/>
          <w:sz w:val="16"/>
          <w:szCs w:val="16"/>
        </w:rPr>
        <w:t xml:space="preserve"> были предложены несколько вариантов конструкций деталей бронестеко- зырьков и бронезаголовников для самолетов Ил-2 и Як-1, в которых акрилатовый протектор (защитный слой) заменялся сталинизирован- ным слоем.</w:t>
      </w:r>
    </w:p>
    <w:p w14:paraId="30E8BD9C"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лобовая деталь бронекозырька состо</w:t>
      </w:r>
      <w:r w:rsidRPr="00722885">
        <w:rPr>
          <w:rFonts w:ascii="Times New Roman" w:hAnsi="Times New Roman"/>
          <w:color w:val="000000" w:themeColor="text1"/>
          <w:sz w:val="16"/>
          <w:szCs w:val="16"/>
        </w:rPr>
        <w:softHyphen/>
        <w:t>яла из четырех слоев, чередующихся со сто</w:t>
      </w:r>
      <w:r w:rsidRPr="00722885">
        <w:rPr>
          <w:rFonts w:ascii="Times New Roman" w:hAnsi="Times New Roman"/>
          <w:color w:val="000000" w:themeColor="text1"/>
          <w:sz w:val="16"/>
          <w:szCs w:val="16"/>
        </w:rPr>
        <w:softHyphen/>
        <w:t>роны удара пули следующим образом: тонкое стекло сталинит толщиной 4-5 мм, толстое сырое стекло - 20-21 мм, стекло сталинит (подушка) - 16-17 мм, тонкое акрилатовое стекло - 6-7 мм. Стекла в пакете склеива</w:t>
      </w:r>
      <w:r w:rsidRPr="00722885">
        <w:rPr>
          <w:rFonts w:ascii="Times New Roman" w:hAnsi="Times New Roman"/>
          <w:color w:val="000000" w:themeColor="text1"/>
          <w:sz w:val="16"/>
          <w:szCs w:val="16"/>
        </w:rPr>
        <w:softHyphen/>
        <w:t>лись между собой пленкой, применяемой для склейки стекол прозрачной брони серийно</w:t>
      </w:r>
      <w:r w:rsidRPr="00722885">
        <w:rPr>
          <w:rFonts w:ascii="Times New Roman" w:hAnsi="Times New Roman"/>
          <w:color w:val="000000" w:themeColor="text1"/>
          <w:sz w:val="16"/>
          <w:szCs w:val="16"/>
        </w:rPr>
        <w:softHyphen/>
        <w:t>го изготовления. Толщина пакета равнялась 50-55 мм, светопрозрачность - 72-75%. За</w:t>
      </w:r>
      <w:r w:rsidRPr="00722885">
        <w:rPr>
          <w:rFonts w:ascii="Times New Roman" w:hAnsi="Times New Roman"/>
          <w:color w:val="000000" w:themeColor="text1"/>
          <w:sz w:val="16"/>
          <w:szCs w:val="16"/>
        </w:rPr>
        <w:softHyphen/>
        <w:t>головник летчика отличался от лобового бро</w:t>
      </w:r>
      <w:r w:rsidRPr="00722885">
        <w:rPr>
          <w:rFonts w:ascii="Times New Roman" w:hAnsi="Times New Roman"/>
          <w:color w:val="000000" w:themeColor="text1"/>
          <w:sz w:val="16"/>
          <w:szCs w:val="16"/>
        </w:rPr>
        <w:softHyphen/>
        <w:t>нестекла наличием двух слоев сырого стекла толщиной по 16-17 мм каждый вместо одного толстого слоя сырого стекла. Применение сте</w:t>
      </w:r>
      <w:r w:rsidRPr="00722885">
        <w:rPr>
          <w:rFonts w:ascii="Times New Roman" w:hAnsi="Times New Roman"/>
          <w:color w:val="000000" w:themeColor="text1"/>
          <w:sz w:val="16"/>
          <w:szCs w:val="16"/>
        </w:rPr>
        <w:softHyphen/>
        <w:t>кла сталинит в качестве подушки во всех пред</w:t>
      </w:r>
      <w:r w:rsidRPr="00722885">
        <w:rPr>
          <w:rFonts w:ascii="Times New Roman" w:hAnsi="Times New Roman"/>
          <w:color w:val="000000" w:themeColor="text1"/>
          <w:sz w:val="16"/>
          <w:szCs w:val="16"/>
        </w:rPr>
        <w:softHyphen/>
        <w:t>ложенных комбинациях обеспечило полную прочность при ударе пули, так как сталинизи- рованный слой принимал на себя всю ударную нагрузку и работал на изгиб.</w:t>
      </w:r>
    </w:p>
    <w:p w14:paraId="6BBEE130"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Предложенная конструкция козырьков позволяла отказаться от исключительно тру</w:t>
      </w:r>
      <w:r w:rsidRPr="00722885">
        <w:rPr>
          <w:rFonts w:ascii="Times New Roman" w:hAnsi="Times New Roman"/>
          <w:color w:val="000000" w:themeColor="text1"/>
          <w:sz w:val="16"/>
          <w:szCs w:val="16"/>
        </w:rPr>
        <w:softHyphen/>
        <w:t>доемких операций при шлифовке и полиров</w:t>
      </w:r>
      <w:r w:rsidRPr="00722885">
        <w:rPr>
          <w:rFonts w:ascii="Times New Roman" w:hAnsi="Times New Roman"/>
          <w:color w:val="000000" w:themeColor="text1"/>
          <w:sz w:val="16"/>
          <w:szCs w:val="16"/>
        </w:rPr>
        <w:softHyphen/>
        <w:t>ке стекла и применяемых при этом</w:t>
      </w:r>
      <w:r w:rsidRPr="00722885">
        <w:rPr>
          <w:rStyle w:val="aff6"/>
          <w:rFonts w:ascii="Times New Roman" w:hAnsi="Times New Roman" w:cs="Times New Roman"/>
          <w:i w:val="0"/>
          <w:color w:val="000000" w:themeColor="text1"/>
        </w:rPr>
        <w:t xml:space="preserve"> «станков Ш-1 и шпиндельных шайб, для привода кото</w:t>
      </w:r>
      <w:r w:rsidRPr="00722885">
        <w:rPr>
          <w:rStyle w:val="aff6"/>
          <w:rFonts w:ascii="Times New Roman" w:hAnsi="Times New Roman" w:cs="Times New Roman"/>
          <w:i w:val="0"/>
          <w:color w:val="000000" w:themeColor="text1"/>
        </w:rPr>
        <w:softHyphen/>
        <w:t>рых расходуется большое количество элек</w:t>
      </w:r>
      <w:r w:rsidRPr="00722885">
        <w:rPr>
          <w:rStyle w:val="aff6"/>
          <w:rFonts w:ascii="Times New Roman" w:hAnsi="Times New Roman" w:cs="Times New Roman"/>
          <w:i w:val="0"/>
          <w:color w:val="000000" w:themeColor="text1"/>
        </w:rPr>
        <w:softHyphen/>
        <w:t>троэнергии»,</w:t>
      </w:r>
      <w:r w:rsidRPr="00722885">
        <w:rPr>
          <w:rFonts w:ascii="Times New Roman" w:hAnsi="Times New Roman"/>
          <w:color w:val="000000" w:themeColor="text1"/>
          <w:sz w:val="16"/>
          <w:szCs w:val="16"/>
        </w:rPr>
        <w:t xml:space="preserve"> а также дефицитных абразив</w:t>
      </w:r>
      <w:r w:rsidRPr="00722885">
        <w:rPr>
          <w:rFonts w:ascii="Times New Roman" w:hAnsi="Times New Roman"/>
          <w:color w:val="000000" w:themeColor="text1"/>
          <w:sz w:val="16"/>
          <w:szCs w:val="16"/>
        </w:rPr>
        <w:softHyphen/>
        <w:t xml:space="preserve">ных материалов, таких как наждаки и крокус. Исключение из технологического процесса полировки и шлифовки стекла обеспечивалось </w:t>
      </w:r>
      <w:r w:rsidRPr="00722885">
        <w:rPr>
          <w:rStyle w:val="aff6"/>
          <w:rFonts w:ascii="Times New Roman" w:hAnsi="Times New Roman" w:cs="Times New Roman"/>
          <w:i w:val="0"/>
          <w:color w:val="000000" w:themeColor="text1"/>
        </w:rPr>
        <w:t>«наклейкой на наружные поверхности тонких стекол, у которых порок в виде полосности, проявляется значительно слабее, чем у тол</w:t>
      </w:r>
      <w:r w:rsidRPr="00722885">
        <w:rPr>
          <w:rStyle w:val="aff6"/>
          <w:rFonts w:ascii="Times New Roman" w:hAnsi="Times New Roman" w:cs="Times New Roman"/>
          <w:i w:val="0"/>
          <w:color w:val="000000" w:themeColor="text1"/>
        </w:rPr>
        <w:softHyphen/>
        <w:t>стых стекол».</w:t>
      </w:r>
    </w:p>
    <w:p w14:paraId="14D1CE46"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r w:rsidRPr="00722885">
        <w:rPr>
          <w:rStyle w:val="7e"/>
          <w:rFonts w:ascii="Times New Roman" w:hAnsi="Times New Roman" w:cs="Times New Roman"/>
          <w:i w:val="0"/>
          <w:color w:val="000000" w:themeColor="text1"/>
          <w:sz w:val="16"/>
          <w:szCs w:val="16"/>
        </w:rPr>
        <w:t>Одновременно становилось возможным отказаться от изготовления бронекозырьков для самолетов Ил-2</w:t>
      </w:r>
      <w:r w:rsidRPr="00722885">
        <w:rPr>
          <w:rFonts w:ascii="Times New Roman" w:cs="Times New Roman"/>
          <w:color w:val="000000" w:themeColor="text1"/>
          <w:spacing w:val="0"/>
          <w:sz w:val="16"/>
          <w:szCs w:val="16"/>
        </w:rPr>
        <w:t xml:space="preserve"> «из составных частей (мозаичность деталей), что исключает наличие швов, всегда имевшихся в старых козырьках и исключительно мешающих летчикам при бое</w:t>
      </w:r>
      <w:r w:rsidRPr="00722885">
        <w:rPr>
          <w:rFonts w:ascii="Times New Roman" w:cs="Times New Roman"/>
          <w:color w:val="000000" w:themeColor="text1"/>
          <w:spacing w:val="0"/>
          <w:sz w:val="16"/>
          <w:szCs w:val="16"/>
        </w:rPr>
        <w:softHyphen/>
        <w:t>вых операциях».</w:t>
      </w:r>
    </w:p>
    <w:p w14:paraId="4FE31331"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r w:rsidRPr="00722885">
        <w:rPr>
          <w:rStyle w:val="7e"/>
          <w:rFonts w:ascii="Times New Roman" w:hAnsi="Times New Roman" w:cs="Times New Roman"/>
          <w:i w:val="0"/>
          <w:color w:val="000000" w:themeColor="text1"/>
          <w:sz w:val="16"/>
          <w:szCs w:val="16"/>
        </w:rPr>
        <w:t>По предварительным расчетам,</w:t>
      </w:r>
      <w:r w:rsidRPr="00722885">
        <w:rPr>
          <w:rFonts w:ascii="Times New Roman" w:cs="Times New Roman"/>
          <w:color w:val="000000" w:themeColor="text1"/>
          <w:spacing w:val="0"/>
          <w:sz w:val="16"/>
          <w:szCs w:val="16"/>
        </w:rPr>
        <w:t xml:space="preserve"> «переход на новую технологию может дать экономи</w:t>
      </w:r>
      <w:r w:rsidRPr="00722885">
        <w:rPr>
          <w:rFonts w:ascii="Times New Roman" w:cs="Times New Roman"/>
          <w:color w:val="000000" w:themeColor="text1"/>
          <w:spacing w:val="0"/>
          <w:sz w:val="16"/>
          <w:szCs w:val="16"/>
        </w:rPr>
        <w:softHyphen/>
        <w:t>ческий эффект в сумме около 30 млн. руб в год исходя из того, что плановая стоимость одного бронекозырька изготовленного по но</w:t>
      </w:r>
      <w:r w:rsidRPr="00722885">
        <w:rPr>
          <w:rFonts w:ascii="Times New Roman" w:cs="Times New Roman"/>
          <w:color w:val="000000" w:themeColor="text1"/>
          <w:spacing w:val="0"/>
          <w:sz w:val="16"/>
          <w:szCs w:val="16"/>
        </w:rPr>
        <w:softHyphen/>
        <w:t>вому способу должна составить сумму в 3600 рублей, вместо установленных в настоящее время для авиационной промышленности - 6000 рублей за один комплект».</w:t>
      </w:r>
      <w:r w:rsidRPr="00722885">
        <w:rPr>
          <w:rStyle w:val="7e"/>
          <w:rFonts w:ascii="Times New Roman" w:hAnsi="Times New Roman" w:cs="Times New Roman"/>
          <w:i w:val="0"/>
          <w:color w:val="000000" w:themeColor="text1"/>
          <w:sz w:val="16"/>
          <w:szCs w:val="16"/>
        </w:rPr>
        <w:t xml:space="preserve"> Кроме того, несомненный экономический эффект давала </w:t>
      </w:r>
      <w:r w:rsidRPr="00722885">
        <w:rPr>
          <w:rFonts w:ascii="Times New Roman" w:cs="Times New Roman"/>
          <w:color w:val="000000" w:themeColor="text1"/>
          <w:spacing w:val="0"/>
          <w:sz w:val="16"/>
          <w:szCs w:val="16"/>
        </w:rPr>
        <w:t>«деятельность завода №148 НКХП, а также заводов №25 (дублер) и №233 НКПСМ СССР, имеющих возможность также перейти на но</w:t>
      </w:r>
      <w:r w:rsidRPr="00722885">
        <w:rPr>
          <w:rFonts w:ascii="Times New Roman" w:cs="Times New Roman"/>
          <w:color w:val="000000" w:themeColor="text1"/>
          <w:spacing w:val="0"/>
          <w:sz w:val="16"/>
          <w:szCs w:val="16"/>
        </w:rPr>
        <w:softHyphen/>
        <w:t>вую технологию» (17481).</w:t>
      </w:r>
    </w:p>
    <w:p w14:paraId="55642EBE"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p>
    <w:p w14:paraId="7F62171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вышел:</w:t>
      </w:r>
    </w:p>
    <w:p w14:paraId="711CFF6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сов.секретно</w:t>
      </w:r>
    </w:p>
    <w:p w14:paraId="007E42A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Style w:val="a7"/>
          <w:rFonts w:ascii="Times New Roman" w:hAnsi="Times New Roman"/>
          <w:b w:val="0"/>
          <w:bCs w:val="0"/>
          <w:color w:val="000000" w:themeColor="text1"/>
          <w:sz w:val="16"/>
          <w:szCs w:val="16"/>
        </w:rPr>
        <w:t>ВЫПИСКА ИЗ ПРИКАЗА</w:t>
      </w:r>
    </w:p>
    <w:p w14:paraId="06CE968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Style w:val="a7"/>
          <w:rFonts w:ascii="Times New Roman" w:hAnsi="Times New Roman"/>
          <w:b w:val="0"/>
          <w:bCs w:val="0"/>
          <w:color w:val="000000" w:themeColor="text1"/>
          <w:sz w:val="16"/>
          <w:szCs w:val="16"/>
        </w:rPr>
        <w:t>Народного Комиссара Авиационной Промышленности СССР</w:t>
      </w:r>
    </w:p>
    <w:p w14:paraId="3E712E1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Style w:val="a7"/>
          <w:rFonts w:ascii="Times New Roman" w:hAnsi="Times New Roman"/>
          <w:b w:val="0"/>
          <w:bCs w:val="0"/>
          <w:color w:val="000000" w:themeColor="text1"/>
          <w:sz w:val="16"/>
          <w:szCs w:val="16"/>
        </w:rPr>
        <w:t>№ 683с</w:t>
      </w:r>
    </w:p>
    <w:p w14:paraId="1702933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 8 сентября 1942 г.</w:t>
      </w:r>
    </w:p>
    <w:p w14:paraId="58D69F9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исполнение постановления Государственного Комитета Обороны от 6.IX.42г. № 2249с - П Р И К А З Ы В А Ю:</w:t>
      </w:r>
    </w:p>
    <w:p w14:paraId="3CB4377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Самолет ТБ-7 впредь именовать Пе-8 (Петляков-8)</w:t>
      </w:r>
    </w:p>
    <w:p w14:paraId="68BFEBF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Народник Комиссар Авиационной Промышленности - А.Шахурин</w:t>
      </w:r>
    </w:p>
    <w:p w14:paraId="25CCAE5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ЦГА РТ. Ф.Р-2845. Оп.З. Д.117. Л.374 (11313).</w:t>
      </w:r>
    </w:p>
    <w:p w14:paraId="3847FA65"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C5DCB8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сентября 1942 вышел приказ ВВС КА № 01743 о том, что самолеты ПС-84 впредь именовать Ли-2 (Лисунов-2) (3404, 12).</w:t>
      </w:r>
    </w:p>
    <w:p w14:paraId="75560E40" w14:textId="77777777" w:rsidR="00AE7191" w:rsidRPr="00722885" w:rsidRDefault="00AE7191" w:rsidP="00722885">
      <w:pPr>
        <w:pStyle w:val="Iauiue"/>
        <w:jc w:val="both"/>
        <w:rPr>
          <w:color w:val="000000" w:themeColor="text1"/>
          <w:sz w:val="16"/>
          <w:szCs w:val="16"/>
        </w:rPr>
      </w:pPr>
    </w:p>
    <w:p w14:paraId="016D920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сентября 1942 вышел приказ НКАП N 683 о том, что самолет ЛаГГ-5 впредь именовать Ла-5 (Лавочкин-5), а самолет ТБ-7 впредь именовать Пе-8 (Петляков-8) (805,15).</w:t>
      </w:r>
    </w:p>
    <w:p w14:paraId="759E2AEB" w14:textId="77777777" w:rsidR="00004B26" w:rsidRPr="00722885" w:rsidRDefault="00004B26" w:rsidP="00722885">
      <w:pPr>
        <w:pStyle w:val="Iauiue"/>
        <w:jc w:val="both"/>
        <w:rPr>
          <w:color w:val="000000" w:themeColor="text1"/>
          <w:sz w:val="16"/>
          <w:szCs w:val="16"/>
        </w:rPr>
      </w:pPr>
    </w:p>
    <w:p w14:paraId="4FE15F20" w14:textId="77777777" w:rsidR="00004B26" w:rsidRPr="00722885" w:rsidRDefault="00004B2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сентября 1942 года вышел приказ НКАП №683с: «...Самолет ЛАГГ-5 впредь именовать Ла-5 (Лавочкин - 5)» (21100).</w:t>
      </w:r>
    </w:p>
    <w:p w14:paraId="140B1BE1" w14:textId="77777777" w:rsidR="00004B26" w:rsidRPr="00722885" w:rsidRDefault="00004B26" w:rsidP="00722885">
      <w:pPr>
        <w:spacing w:after="0" w:line="240" w:lineRule="auto"/>
        <w:jc w:val="both"/>
        <w:rPr>
          <w:rFonts w:ascii="Times New Roman" w:hAnsi="Times New Roman"/>
          <w:color w:val="0070C0"/>
          <w:sz w:val="16"/>
          <w:szCs w:val="16"/>
        </w:rPr>
      </w:pPr>
    </w:p>
    <w:p w14:paraId="2A9C0A02"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8 сентября в 1942 году приказом НКАП истребителю «ЛАГГ-3» с двигателем «М-82» присвоено обозначение «Ла-5» (14763).</w:t>
      </w:r>
    </w:p>
    <w:p w14:paraId="3F38C9C4"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00A1324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года приказом НКАП на основании постановления ГКО (от 6 сентября) истребителю присвоили обозначение Ла-5.</w:t>
      </w:r>
    </w:p>
    <w:p w14:paraId="4312B1F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Имея преимущество в скорости перед ЛаГГ-3, ЛаГГ-5 имел и недостатки. Летчики отмечали, что при выходе из пикирования приходилось прикладывать к ручке управления слишком большие усилия, на скоростях свыше 350 км/ч (видимо, по прибору) не открывался фонарь кабины, из-за чего приходилось в бою его держать открытым, а это потеря скорости, а о вентиляции кабины и говорить не приходится.</w:t>
      </w:r>
    </w:p>
    <w:p w14:paraId="3F4271A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"Каждые сутки в жизни коллектива, - рассказывал бывший начальник сборочного цеха завода № 21 С. Зайчик, - были богаты примерами патриотизма и самоотверженного труда. По почину партийной организации на заводе применили поточную систему с конвейером общей сборки. Это позволило производить на имеющемся оборудовании больше самолетов меньшим числом рабочих. В цехах ежедневно подводились итоги социалистического соревнования, и каждые сутки загорались красные звезды выполнения сменного задания.</w:t>
      </w:r>
    </w:p>
    <w:p w14:paraId="730FE57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График стал непреклонным законом для коллектива завода. Рационализаторы предложили усовершенствованную противопожарную перегородку с разъемами для масло-, бензо- и воздушной проводок. Технологи нашли способ Ла-5Ф с пониженным улучшить качество и сократить затраты гаргротом труда на склейку и сушку деревянного фюзеляжа. Вместо гвоздевого метода склейки они предложили использовать прессы, а сушку ускорили с помощью электрического подогрева. В итоге производительность ряда цехов возросла в 2-5 раз".</w:t>
      </w:r>
    </w:p>
    <w:p w14:paraId="43E219F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Надо сказать, что двигатели М-82, огромное количество которых имелось на моторном заводе, позволили не только резко улучшить характеристики боевой машины, но и способствовал более ритмичному выпуску Ла-5. В то время как в поставках двигателей М-105, использовавшихся на истребителях "Як", бомбардировщиках Пе-2 и Ер-2 были постоянные перебои (12032).</w:t>
      </w:r>
    </w:p>
    <w:p w14:paraId="540ABA3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A96FDF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сентября 1942-го приказом А.И.Шахурина №683с самолет ЛаГ-5 получил наименование Ла-5 (4573).</w:t>
      </w:r>
    </w:p>
    <w:p w14:paraId="4D99BDBA" w14:textId="77777777" w:rsidR="00AE7191" w:rsidRPr="00722885" w:rsidRDefault="00AE7191" w:rsidP="00722885">
      <w:pPr>
        <w:pStyle w:val="Iauiue"/>
        <w:jc w:val="both"/>
        <w:rPr>
          <w:color w:val="000000" w:themeColor="text1"/>
          <w:sz w:val="16"/>
          <w:szCs w:val="16"/>
        </w:rPr>
      </w:pPr>
    </w:p>
    <w:p w14:paraId="1E106F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сентября 1942 г. согласно приказу НКАП № 683 истребитель ЛаГГ-5 переименован в Ла-5 (4707).</w:t>
      </w:r>
    </w:p>
    <w:p w14:paraId="77A47068" w14:textId="77777777" w:rsidR="00AE7191" w:rsidRPr="00722885" w:rsidRDefault="00AE7191" w:rsidP="00722885">
      <w:pPr>
        <w:pStyle w:val="Iauiue"/>
        <w:jc w:val="both"/>
        <w:rPr>
          <w:color w:val="000000" w:themeColor="text1"/>
          <w:sz w:val="16"/>
          <w:szCs w:val="16"/>
        </w:rPr>
      </w:pPr>
    </w:p>
    <w:p w14:paraId="7A793486"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С 8 по 16 сентября 1942 в Москве в НИИ ВВС проходили гос. испытания транспортной версии Як-6. Оценка в целом была положительная, но отметили продольную и поперечную неустойчивость, малую нагрузку на ручку управления, не позволяющую оценивать реальную ситуацию. Ночью машину использовать было нельзя, т.к. приборная доска отражалась в лобовом стекле. Неразъемное крыло затрудняло эксплуатацию</w:t>
      </w:r>
    </w:p>
    <w:p w14:paraId="16E0E48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Всего 34 полетаЭ вл м Лисицын, ви - м А.В.Синельников. В облете приняло участие 12 л (4657, 16).</w:t>
      </w:r>
    </w:p>
    <w:p w14:paraId="4CAAEB06"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Отчет по облету, доложенный И.В.С.:</w:t>
      </w:r>
    </w:p>
    <w:p w14:paraId="54072DEE"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Самолет прост в пр-ве и эксплуатации, дешев. Не требует высококачественного горючего, м.б. использован как транспортный, санитарный, связной, НББ.</w:t>
      </w:r>
    </w:p>
    <w:p w14:paraId="3279DAC1"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Он м.б. рекомендован для серийного пр-ва и принятия на вооружение при условии проведения следующих доводок:</w:t>
      </w:r>
    </w:p>
    <w:p w14:paraId="07C9E90C" w14:textId="77777777" w:rsidR="00AE7191" w:rsidRPr="00722885" w:rsidRDefault="00AE7191" w:rsidP="00722885">
      <w:pPr>
        <w:pStyle w:val="Iauiue"/>
        <w:numPr>
          <w:ilvl w:val="0"/>
          <w:numId w:val="8"/>
        </w:numPr>
        <w:tabs>
          <w:tab w:val="left" w:pos="11199"/>
        </w:tabs>
        <w:ind w:left="0" w:firstLine="0"/>
        <w:jc w:val="both"/>
        <w:rPr>
          <w:color w:val="000000" w:themeColor="text1"/>
          <w:sz w:val="16"/>
          <w:szCs w:val="16"/>
        </w:rPr>
      </w:pPr>
      <w:r w:rsidRPr="00722885">
        <w:rPr>
          <w:color w:val="000000" w:themeColor="text1"/>
          <w:sz w:val="16"/>
          <w:szCs w:val="16"/>
        </w:rPr>
        <w:t>Улучшение поперечной устойчивости,</w:t>
      </w:r>
    </w:p>
    <w:p w14:paraId="67FE170C" w14:textId="77777777" w:rsidR="00AE7191" w:rsidRPr="00722885" w:rsidRDefault="00AE7191" w:rsidP="00722885">
      <w:pPr>
        <w:pStyle w:val="Iauiue"/>
        <w:numPr>
          <w:ilvl w:val="0"/>
          <w:numId w:val="8"/>
        </w:numPr>
        <w:tabs>
          <w:tab w:val="left" w:pos="11199"/>
        </w:tabs>
        <w:ind w:left="0" w:firstLine="0"/>
        <w:jc w:val="both"/>
        <w:rPr>
          <w:color w:val="000000" w:themeColor="text1"/>
          <w:sz w:val="16"/>
          <w:szCs w:val="16"/>
        </w:rPr>
      </w:pPr>
      <w:r w:rsidRPr="00722885">
        <w:rPr>
          <w:color w:val="000000" w:themeColor="text1"/>
          <w:sz w:val="16"/>
          <w:szCs w:val="16"/>
        </w:rPr>
        <w:t>Усиление нагрузки на рули,</w:t>
      </w:r>
    </w:p>
    <w:p w14:paraId="19C70F36" w14:textId="77777777" w:rsidR="00AE7191" w:rsidRPr="00722885" w:rsidRDefault="00AE7191" w:rsidP="00722885">
      <w:pPr>
        <w:pStyle w:val="Iauiue"/>
        <w:numPr>
          <w:ilvl w:val="0"/>
          <w:numId w:val="8"/>
        </w:numPr>
        <w:tabs>
          <w:tab w:val="left" w:pos="11199"/>
        </w:tabs>
        <w:ind w:left="0" w:firstLine="0"/>
        <w:jc w:val="both"/>
        <w:rPr>
          <w:color w:val="000000" w:themeColor="text1"/>
          <w:sz w:val="16"/>
          <w:szCs w:val="16"/>
        </w:rPr>
      </w:pPr>
      <w:r w:rsidRPr="00722885">
        <w:rPr>
          <w:color w:val="000000" w:themeColor="text1"/>
          <w:sz w:val="16"/>
          <w:szCs w:val="16"/>
        </w:rPr>
        <w:t>Улучшение обзора вперед на рулежке и наборе,</w:t>
      </w:r>
    </w:p>
    <w:p w14:paraId="049F5B05" w14:textId="77777777" w:rsidR="00AE7191" w:rsidRPr="00722885" w:rsidRDefault="00AE7191" w:rsidP="00722885">
      <w:pPr>
        <w:pStyle w:val="Iauiue"/>
        <w:numPr>
          <w:ilvl w:val="0"/>
          <w:numId w:val="8"/>
        </w:numPr>
        <w:tabs>
          <w:tab w:val="left" w:pos="11199"/>
        </w:tabs>
        <w:ind w:left="0" w:firstLine="0"/>
        <w:jc w:val="both"/>
        <w:rPr>
          <w:color w:val="000000" w:themeColor="text1"/>
          <w:sz w:val="16"/>
          <w:szCs w:val="16"/>
        </w:rPr>
      </w:pPr>
      <w:r w:rsidRPr="00722885">
        <w:rPr>
          <w:color w:val="000000" w:themeColor="text1"/>
          <w:sz w:val="16"/>
          <w:szCs w:val="16"/>
        </w:rPr>
        <w:t>Введение разъемного крыла,</w:t>
      </w:r>
    </w:p>
    <w:p w14:paraId="70737E78" w14:textId="77777777" w:rsidR="00AE7191" w:rsidRPr="00722885" w:rsidRDefault="00AE7191" w:rsidP="00722885">
      <w:pPr>
        <w:pStyle w:val="Iauiue"/>
        <w:numPr>
          <w:ilvl w:val="0"/>
          <w:numId w:val="8"/>
        </w:numPr>
        <w:tabs>
          <w:tab w:val="left" w:pos="11199"/>
        </w:tabs>
        <w:ind w:left="0" w:firstLine="0"/>
        <w:jc w:val="both"/>
        <w:rPr>
          <w:color w:val="000000" w:themeColor="text1"/>
          <w:sz w:val="16"/>
          <w:szCs w:val="16"/>
        </w:rPr>
      </w:pPr>
      <w:r w:rsidRPr="00722885">
        <w:rPr>
          <w:color w:val="000000" w:themeColor="text1"/>
          <w:sz w:val="16"/>
          <w:szCs w:val="16"/>
        </w:rPr>
        <w:t>Доводка кабины для ночных полетов.</w:t>
      </w:r>
    </w:p>
    <w:p w14:paraId="19C7AF84"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Указанные доводки легко осуществимы и д.б. произведены с первого серийного с-та.” (4657, 16).</w:t>
      </w:r>
    </w:p>
    <w:p w14:paraId="1CA5206A" w14:textId="77777777" w:rsidR="00AE7191" w:rsidRPr="00722885" w:rsidRDefault="00AE7191" w:rsidP="00722885">
      <w:pPr>
        <w:pStyle w:val="Iauiue"/>
        <w:tabs>
          <w:tab w:val="left" w:pos="11199"/>
        </w:tabs>
        <w:jc w:val="both"/>
        <w:rPr>
          <w:color w:val="000000" w:themeColor="text1"/>
          <w:sz w:val="16"/>
          <w:szCs w:val="16"/>
        </w:rPr>
      </w:pPr>
    </w:p>
    <w:p w14:paraId="05D9449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сентября 1942 после того, как с 16 августа рассматривали макет, был утвержден проект НБ Н.Н.П. Представили вариант с М-82А и ожидали скорость 472 км/час у земли и 525 на 6250 м. Дальность - 4000 км с 2 т бомб. В плане машины еще не было (4621, 21).</w:t>
      </w:r>
    </w:p>
    <w:p w14:paraId="7B295CFF" w14:textId="77777777" w:rsidR="00AE7191" w:rsidRPr="00722885" w:rsidRDefault="00AE7191" w:rsidP="00722885">
      <w:pPr>
        <w:pStyle w:val="Iauiue"/>
        <w:jc w:val="both"/>
        <w:rPr>
          <w:color w:val="000000" w:themeColor="text1"/>
          <w:sz w:val="16"/>
          <w:szCs w:val="16"/>
        </w:rPr>
      </w:pPr>
    </w:p>
    <w:p w14:paraId="7CE1A46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w:t>
      </w:r>
      <w:r w:rsidRPr="00722885">
        <w:rPr>
          <w:rFonts w:ascii="Times New Roman" w:hAnsi="Times New Roman"/>
          <w:color w:val="000000" w:themeColor="text1"/>
          <w:sz w:val="16"/>
          <w:szCs w:val="16"/>
        </w:rPr>
        <w:softHyphen/>
        <w:t>тября 1942 макетная комиссия приняла проект НБ (Т) и утвердила макет (10667).</w:t>
      </w:r>
    </w:p>
    <w:p w14:paraId="776D410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565D276" w14:textId="77777777" w:rsidR="001E0E61" w:rsidRPr="00722885" w:rsidRDefault="001E0E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г. под Сталинградом был захвачен истребитель Bf 109G-2 № 13689, который после испытаний в НИИ ВВС передали в БНТ ЦАГИ (19727).</w:t>
      </w:r>
    </w:p>
    <w:p w14:paraId="1E47D601" w14:textId="77777777" w:rsidR="001E0E61" w:rsidRPr="00722885" w:rsidRDefault="001E0E61" w:rsidP="00722885">
      <w:pPr>
        <w:spacing w:after="0" w:line="240" w:lineRule="auto"/>
        <w:jc w:val="both"/>
        <w:rPr>
          <w:rFonts w:ascii="Times New Roman" w:hAnsi="Times New Roman"/>
          <w:color w:val="000000" w:themeColor="text1"/>
          <w:sz w:val="16"/>
          <w:szCs w:val="16"/>
        </w:rPr>
      </w:pPr>
    </w:p>
    <w:p w14:paraId="24B68EFD" w14:textId="77777777" w:rsidR="00004B26" w:rsidRPr="00722885" w:rsidRDefault="00004B2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сентября 1942 г. исправный Мессершмитт Bf 109G-2 попал к нам в качестве трофея, а вскоре появилась возможность испытать и Bf 109G-2/R6 с двумя дополнительными подвесными пушками MG 151/20. Имея скорость у земли 505 км/ч, а на высоте 3 000 м — до 586 км/ч, «трехточечный мессер» слегка отставал от наших истребителей, но на 7 000 м разгонялся до 650 км/ч и был лучше на вертикалях. Говоря о мерах по противодействию таким самолетам, 23 октября 1942 г. начальник НИИ ВВС доложил Сталину: нужен истребитель, который при весе не более 3 300 кг имел бы скорость не ниже 550 км/ч у земли и 680 км/ч на высоте 6 000–7 000 м. На испытаниях трофейного Bf 109F весной 1942 г. специалисты НИИ ВВС неумышленно занизили его высотно-скоростные данные, и летчик Кубышкин дал в газете «Сталинский сокол» неверные рекомендации по борьбе с ним. Инженеры НИИ ВВС не выявили неисправность нагнетателя мотора DB 601N, теперь же руководство НИИ решило «перестраховаться» и утверждало: немцы стали делать высотные истребители, для борьбы с ними необходимо улучшать энергетику и усиливать вооружение. На моторе DB 605A-1 под капотами новых «мессеров» нашли разъемы системы впрыска закиси азота GM 1, хотя самой ее не было, и руководителям всех «истребительных» и моторных КБ Наркомата авиапромышленности поручили активизировать работы по высотным истребителям (22751).</w:t>
      </w:r>
    </w:p>
    <w:p w14:paraId="0A984F90" w14:textId="77777777" w:rsidR="00004B26" w:rsidRPr="00722885" w:rsidRDefault="00004B26" w:rsidP="00722885">
      <w:pPr>
        <w:spacing w:after="0" w:line="240" w:lineRule="auto"/>
        <w:jc w:val="both"/>
        <w:rPr>
          <w:rFonts w:ascii="Times New Roman" w:hAnsi="Times New Roman"/>
          <w:color w:val="0070C0"/>
          <w:sz w:val="16"/>
          <w:szCs w:val="16"/>
        </w:rPr>
      </w:pPr>
    </w:p>
    <w:p w14:paraId="1030FE03" w14:textId="77777777" w:rsidR="00004B26" w:rsidRPr="00722885" w:rsidRDefault="00004B2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8 сентября 1942 захваченный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 xml:space="preserve">-2 из группы </w:t>
      </w:r>
      <w:r w:rsidRPr="00722885">
        <w:rPr>
          <w:rFonts w:ascii="Times New Roman" w:hAnsi="Times New Roman"/>
          <w:color w:val="0070C0"/>
          <w:sz w:val="16"/>
          <w:szCs w:val="16"/>
          <w:lang w:val="en-US"/>
        </w:rPr>
        <w:t>III</w:t>
      </w:r>
      <w:r w:rsidRPr="00722885">
        <w:rPr>
          <w:rFonts w:ascii="Times New Roman" w:hAnsi="Times New Roman"/>
          <w:color w:val="0070C0"/>
          <w:sz w:val="16"/>
          <w:szCs w:val="16"/>
        </w:rPr>
        <w:t>/</w:t>
      </w:r>
      <w:r w:rsidRPr="00722885">
        <w:rPr>
          <w:rFonts w:ascii="Times New Roman" w:hAnsi="Times New Roman"/>
          <w:color w:val="0070C0"/>
          <w:sz w:val="16"/>
          <w:szCs w:val="16"/>
          <w:lang w:val="en-US"/>
        </w:rPr>
        <w:t>JG</w:t>
      </w:r>
      <w:r w:rsidRPr="00722885">
        <w:rPr>
          <w:rFonts w:ascii="Times New Roman" w:hAnsi="Times New Roman"/>
          <w:color w:val="0070C0"/>
          <w:sz w:val="16"/>
          <w:szCs w:val="16"/>
        </w:rPr>
        <w:t xml:space="preserve"> 53 эвакуировали в Москву. После изучения он долго стоял в выставочном зале БНТ (23186).</w:t>
      </w:r>
    </w:p>
    <w:p w14:paraId="428D837E" w14:textId="77777777" w:rsidR="00004B26" w:rsidRPr="00722885" w:rsidRDefault="00004B26" w:rsidP="00722885">
      <w:pPr>
        <w:spacing w:after="0" w:line="240" w:lineRule="auto"/>
        <w:jc w:val="both"/>
        <w:rPr>
          <w:rFonts w:ascii="Times New Roman" w:hAnsi="Times New Roman"/>
          <w:color w:val="0070C0"/>
          <w:sz w:val="16"/>
          <w:szCs w:val="16"/>
        </w:rPr>
      </w:pPr>
    </w:p>
    <w:p w14:paraId="44E9B5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сентября 1942 вышел приказ НКАП N 680 о том, что агрегат непосредственного впрыска НБЗУ, производимый на заводе 296 предварительно прошел 100 часовые летные испытания на моторе М-82 (904,106).</w:t>
      </w:r>
    </w:p>
    <w:p w14:paraId="54EDD1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Агрегат непосредственного впрыска НБЗУ, производимый на заводе 296 удовлетворительно прошел 100 часовые стендовые и летные испытания на моторе М-82.</w:t>
      </w:r>
    </w:p>
    <w:p w14:paraId="427E8A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целях обеспечения потребности в агрегатах непосредственного впрыска, приказываю:</w:t>
      </w:r>
    </w:p>
    <w:p w14:paraId="0B832B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Нач 4ГУ и директору завода:</w:t>
      </w:r>
    </w:p>
    <w:p w14:paraId="423072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обеспечить выпуск в сентябре месяце с.г. 50 шт. агрегатов НБЗУ для проведения войсковых испытаний</w:t>
      </w:r>
    </w:p>
    <w:p w14:paraId="57A3B2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установить программу выпуска НБЗУ в 4 кв. С.г.</w:t>
      </w:r>
    </w:p>
    <w:p w14:paraId="3E0C09D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сентабрь - 100 шт.</w:t>
      </w:r>
    </w:p>
    <w:p w14:paraId="6EE37F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ноябрь - 150 шт.</w:t>
      </w:r>
    </w:p>
    <w:p w14:paraId="2899D3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декабрь - 200 шт.</w:t>
      </w:r>
    </w:p>
    <w:p w14:paraId="3065D2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г) представить к 1 октября с.г. мероприятия по дальнейшему увеличению выпуска этих агрегатов до 850 шт. в месяц в 1 кв. 1943 г.</w:t>
      </w:r>
    </w:p>
    <w:p w14:paraId="4D49203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Подписал А.И.Ш. (904,106).</w:t>
      </w:r>
    </w:p>
    <w:p w14:paraId="09659BCD" w14:textId="77777777" w:rsidR="00AE7191" w:rsidRPr="00722885" w:rsidRDefault="00AE7191" w:rsidP="00722885">
      <w:pPr>
        <w:pStyle w:val="Iauiue"/>
        <w:jc w:val="both"/>
        <w:rPr>
          <w:color w:val="000000" w:themeColor="text1"/>
          <w:sz w:val="16"/>
          <w:szCs w:val="16"/>
        </w:rPr>
      </w:pPr>
    </w:p>
    <w:p w14:paraId="1A16B5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сентября 1942 под Сталинградом был захвачен Bf 109G-2, который потом, после испытаний в НИИ ВВС, демонстрировался в БНТ ЦАГИ и виден на фото (2466,118).</w:t>
      </w:r>
    </w:p>
    <w:p w14:paraId="743737A5" w14:textId="77777777" w:rsidR="00AE7191" w:rsidRPr="00722885" w:rsidRDefault="00AE7191" w:rsidP="00722885">
      <w:pPr>
        <w:pStyle w:val="Iauiue"/>
        <w:jc w:val="both"/>
        <w:rPr>
          <w:color w:val="000000" w:themeColor="text1"/>
          <w:sz w:val="16"/>
          <w:szCs w:val="16"/>
        </w:rPr>
      </w:pPr>
    </w:p>
    <w:p w14:paraId="055EB6DF"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8 сентября 1942 вышло Постановление ГКО № 2282 О восстановлении скоростной трубы ЦАГИ. (7053, 163).</w:t>
      </w:r>
    </w:p>
    <w:p w14:paraId="1D9A3B4B" w14:textId="77777777" w:rsidR="00AE7191" w:rsidRPr="00722885" w:rsidRDefault="00AE7191" w:rsidP="00722885">
      <w:pPr>
        <w:pStyle w:val="Iauiue"/>
        <w:tabs>
          <w:tab w:val="left" w:pos="11199"/>
        </w:tabs>
        <w:jc w:val="both"/>
        <w:rPr>
          <w:color w:val="000000" w:themeColor="text1"/>
          <w:sz w:val="16"/>
          <w:szCs w:val="16"/>
        </w:rPr>
      </w:pPr>
    </w:p>
    <w:p w14:paraId="40E15B27" w14:textId="77777777" w:rsidR="001E0E61" w:rsidRPr="00722885" w:rsidRDefault="001E0E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г. вышло постановление ГКО № 2282 «О восстановлении скоростной трубы ЦАГИ». В декабре 1942 г. трубу Т-106 впервые запустили после реэвакуации, а в начале следующего года ввели в эксплуатацию (19727).</w:t>
      </w:r>
    </w:p>
    <w:p w14:paraId="2072B5C5" w14:textId="77777777" w:rsidR="001E0E61" w:rsidRPr="00722885" w:rsidRDefault="001E0E61" w:rsidP="00722885">
      <w:pPr>
        <w:spacing w:after="0" w:line="240" w:lineRule="auto"/>
        <w:jc w:val="both"/>
        <w:rPr>
          <w:rFonts w:ascii="Times New Roman" w:hAnsi="Times New Roman"/>
          <w:color w:val="000000" w:themeColor="text1"/>
          <w:sz w:val="16"/>
          <w:szCs w:val="16"/>
        </w:rPr>
      </w:pPr>
    </w:p>
    <w:p w14:paraId="6BB40EC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5A885D7" w14:textId="77777777" w:rsidR="00AE7191" w:rsidRPr="00722885" w:rsidRDefault="00AE7191" w:rsidP="00722885">
      <w:pPr>
        <w:pStyle w:val="Iauiue"/>
        <w:jc w:val="both"/>
        <w:rPr>
          <w:iCs/>
          <w:color w:val="000000" w:themeColor="text1"/>
          <w:sz w:val="16"/>
          <w:szCs w:val="16"/>
        </w:rPr>
      </w:pPr>
    </w:p>
    <w:p w14:paraId="5D23924C"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г. были подготовлены ПРЕДЛОЖЕНИЯ СТАРШЕГО ВОЕНПРЕДА В АТУ ГАБТУ ОБ ИЗМЕНЕНИИ КОМПЛЕКТАЦИИ АВТОМОБИЛЕЙ ЗИС-5В</w:t>
      </w:r>
    </w:p>
    <w:p w14:paraId="38B05DE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Главный инженер Московского ордена Ленина автозавода им. Сталина письмом за № Б-6584-60 и Б-6583-60 от 5.9.1942 г. просит АТУ ГАБТУ КА дать свое согласие:</w:t>
      </w:r>
    </w:p>
    <w:p w14:paraId="611031A6" w14:textId="77777777" w:rsidR="00AE7191" w:rsidRPr="00722885" w:rsidRDefault="00AE7191"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1. На изъятие к установке на автомашинах ЗИС-5В кронштейна крепления переднего номерно</w:t>
      </w:r>
      <w:r w:rsidRPr="00722885">
        <w:rPr>
          <w:i w:val="0"/>
          <w:iCs w:val="0"/>
          <w:color w:val="000000" w:themeColor="text1"/>
          <w:spacing w:val="0"/>
          <w:kern w:val="0"/>
          <w:position w:val="0"/>
          <w:sz w:val="16"/>
          <w:szCs w:val="16"/>
        </w:rPr>
        <w:softHyphen/>
        <w:t>го знака, ссылаясь, что в настоящее время номерные знаки не устанавливаются, поэтому кронштей</w:t>
      </w:r>
      <w:r w:rsidRPr="00722885">
        <w:rPr>
          <w:i w:val="0"/>
          <w:iCs w:val="0"/>
          <w:color w:val="000000" w:themeColor="text1"/>
          <w:spacing w:val="0"/>
          <w:kern w:val="0"/>
          <w:position w:val="0"/>
          <w:sz w:val="16"/>
          <w:szCs w:val="16"/>
        </w:rPr>
        <w:softHyphen/>
        <w:t>ны не требуются.</w:t>
      </w:r>
    </w:p>
    <w:p w14:paraId="454DA45E"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 установку на автомашинах ЗИС-5В вместо двух фар ЗИС-5 устанавливать одну фару ЗИС-5 нормальную с левой стороны, а с правой стороны ставить подфарники, подобно тому, как это вы</w:t>
      </w:r>
      <w:r w:rsidRPr="00722885">
        <w:rPr>
          <w:rFonts w:ascii="Times New Roman" w:hAnsi="Times New Roman"/>
          <w:color w:val="000000" w:themeColor="text1"/>
          <w:sz w:val="16"/>
          <w:szCs w:val="16"/>
        </w:rPr>
        <w:softHyphen/>
        <w:t>полнено на ряде грузовых автомашин иномарок.</w:t>
      </w:r>
    </w:p>
    <w:p w14:paraId="4EA775AD"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по затронутым вопросам дать Ваше заключение.</w:t>
      </w:r>
    </w:p>
    <w:p w14:paraId="095A4B4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 военпред ГАБТУ Красной Армии интендант 3 ранга Мешков</w:t>
      </w:r>
    </w:p>
    <w:p w14:paraId="6806F666"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ЦАМО. Ф. 38. Оп. 11386. Д. 147. Л. 14. Подлинник (11211).</w:t>
      </w:r>
    </w:p>
    <w:p w14:paraId="6E27A0D0"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01512BC6"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8 сентября 1942 вышло Постановление ГКО № 2273 Об обеспечении железных дорог смазочными материалами в сентябре 1942 г. (7053, 120-121).</w:t>
      </w:r>
    </w:p>
    <w:p w14:paraId="22090719" w14:textId="77777777" w:rsidR="00AE7191" w:rsidRPr="00722885" w:rsidRDefault="00AE7191" w:rsidP="00722885">
      <w:pPr>
        <w:pStyle w:val="Iauiue"/>
        <w:tabs>
          <w:tab w:val="left" w:pos="11199"/>
        </w:tabs>
        <w:jc w:val="both"/>
        <w:rPr>
          <w:color w:val="000000" w:themeColor="text1"/>
          <w:sz w:val="16"/>
          <w:szCs w:val="16"/>
        </w:rPr>
      </w:pPr>
    </w:p>
    <w:p w14:paraId="4F621E7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вышло Постановление ГКО № 2276 О производстве танков Т-70. РГАНИР, Фонд ГКО, д. 55, лл. 123-124, 125 (11012).</w:t>
      </w:r>
    </w:p>
    <w:p w14:paraId="02371B5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90CF1A0" w14:textId="77777777" w:rsidR="007B3B59" w:rsidRPr="00722885" w:rsidRDefault="007B3B5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shd w:val="clear" w:color="auto" w:fill="FFFFFF"/>
        </w:rPr>
        <w:t>8 сентября 1942 года Сталин подписал постановление ГКО №2276сс "О танках Т-70". В основном оно было посвящено модернизации ходовой части Т-70. По итогам испытаний был выбран компромиссный вариант (с толщиной бортов 15 мм), который запускали в серию как Т-70Б. Сроком запуска Т-70Б в серию указывался сентябрь 1942 года, с полным переходом на такой вариант с 1 октября. Но одновременно, к 1 октября 1942 года, требовалось также испытать Т-70 с двухместной башней.</w:t>
      </w:r>
    </w:p>
    <w:p w14:paraId="509E42D8" w14:textId="77777777" w:rsidR="007B3B59" w:rsidRPr="00722885" w:rsidRDefault="007B3B5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shd w:val="clear" w:color="auto" w:fill="FFFFFF"/>
        </w:rPr>
        <w:t>Один из 4 танков Т-70 с усиленной ходовой частью и увеличенной толщиной бортов с серийным номером 208207, изготовленный в августе 1942 года, СКБ КЭО ГАЗ решили пустить в дело для разработки двухместной башни. Это объяснялось и небольшим пробегом машины, и всё еще оставшейся необходимостью усилить борта до 25 мм. В виду того, что задание на разработку машины с двухместной башней носило срочный характер, каких-то существенных изменений в конструкцию шасси вносить не стали. Например, на танке так и остался люк механика-водителя старой конструкции, а также укороченные крылья, которые нарастили спереди и сзади. Наиболее заметной переделкой стала крыша боевого отделения. Дело в том, что более крупная башня с увеличенным погоном требовала больше места. В результате крыша стала состоять из одной детали. Теперь для того, чтобы демонтировать двигатель, требовалось сначала снять башню, а затем крышу боевого отделения (21138).</w:t>
      </w:r>
    </w:p>
    <w:p w14:paraId="62772964" w14:textId="77777777" w:rsidR="007B3B59" w:rsidRPr="00722885" w:rsidRDefault="007B3B59" w:rsidP="00722885">
      <w:pPr>
        <w:spacing w:after="0" w:line="240" w:lineRule="auto"/>
        <w:jc w:val="both"/>
        <w:rPr>
          <w:rFonts w:ascii="Times New Roman" w:hAnsi="Times New Roman"/>
          <w:color w:val="0070C0"/>
          <w:sz w:val="16"/>
          <w:szCs w:val="16"/>
        </w:rPr>
      </w:pPr>
    </w:p>
    <w:p w14:paraId="172107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вышло Постановление ГКО № 2277 Об условиях Всесоюзного социалистического соревнования работников строек, заводов и цехов, осуществляемых Наркомцветметом. РГАНИР, Фонд ГКО, д. 55, лл. 126 (11012).</w:t>
      </w:r>
    </w:p>
    <w:p w14:paraId="69235E8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CEF8F8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вышло Постановление ГКО № 2279 Об эвакуации оборудования Мизурской обогатительной фабрики Садонского комбината и оставшегося оборудования завода "Электроцинк". РГАНИР, Фонд ГКО, д. 55, лл. 128 (11012).</w:t>
      </w:r>
    </w:p>
    <w:p w14:paraId="5D6135DB"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55C054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вышло Постановление ГКО № 2280 Об увеличении производства 76 мм снарядов в сентябре и октябре 1942 г. РГАНИР, Фонд ГКО, д. 55, лл. 129-136, 137-161 (11012).</w:t>
      </w:r>
    </w:p>
    <w:p w14:paraId="66432BCA"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39F3CACF"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8 сентября [Справка о выдаче мандатов уполномоченных ГКО на заводах НКХП Зайцеву С.Д. и Березовскому И.А.] № 2274-2275 (7053, 122).</w:t>
      </w:r>
    </w:p>
    <w:p w14:paraId="58B84CA7" w14:textId="77777777" w:rsidR="00AE7191" w:rsidRPr="00722885" w:rsidRDefault="00AE7191" w:rsidP="00722885">
      <w:pPr>
        <w:pStyle w:val="Iauiue"/>
        <w:tabs>
          <w:tab w:val="left" w:pos="11199"/>
        </w:tabs>
        <w:jc w:val="both"/>
        <w:rPr>
          <w:color w:val="000000" w:themeColor="text1"/>
          <w:sz w:val="16"/>
          <w:szCs w:val="16"/>
        </w:rPr>
      </w:pPr>
    </w:p>
    <w:p w14:paraId="31617A4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8—15 сентября германская авиация уничтожила крупнейшие нефтехранилища в Астрахани и Камышине, разбомбила несколько нефтеналивных составов между станциями Емелинка – Богдо, а также два танкера в Каспийском море. Если прибавить к этому нападение на станцию Зензели 14 сентября, то становится ясно, что ситуация с доставкой нефтепродуктов с Каспия в северные районы СССР стала критической. Нетрудно было догадаться, какой город может стать следующей целью Люфтваффе. В 320 км к северу от Сталинграда еще нетронутыми оставались большие нефтехранилища в Саратове. В самом городе хорошо осознавали нависающую опасность. В сентябре активизировалась работа по укреплению его ПВО. Если в конце августа Саратов прикрывали шесть отдельных артдивизионов, один дивизион 376-го ЗенАП (80 орудий среднего калибра, восемь орудий малого калибра и 24 крупнокалиберных пулемета ДШК) и три отдельных батальона ВНОС, и еще один полк – 720-й ЗенАП – находился в стадии формирования, то в сентябре по распоряжению командования войск ПВО страны на усиление Саратовского дивизионного района прибыли 1078-й и 923-й ЗенАП, 93, 85, 343 и 380-й ОЗАД, три бронепоезда, 43-й зенитно-прожекторный полк, 16-й отдельный зенитно-прожекторный батальон, два отдельных батальона ВНОС, пять батарей СОН-2, три бронеплощадки и два отдельных взвода ВНОС. Командование над дивизионным районом ПВО принял полковник М. В. Антоненко, а командиром 144-й ИАД ПВО был назначен Герой Советского Союза подполковник М. П. Нога. Основная масса всех сил и средств сосредотачивалась непосредственно на обороне Саратова. Была проведена большая работа по размещению частей, выделению помещений, обеспечению электроэнергией, водой, хотя из-за нехватки ресурсов многие мероприятия проводились наспех. Позиции зенитных батарей строились без соблюдения правил и норм, неравномерно распределялись боеприпасы и техника. Саратовский горкомитет обороны принял несколько специальных постановлений, в т.ч. о размещении штабов диврайона ПВО, о строительстве командного пункта, огневых позиций и землянок для жилья личного состава частей противовоздушной обороны. Наряду с боевыми частями войск ПВО к боевым дежурствам активно привлекались и военно-учебные заведения: Качинская авиашкола, Энгельсское училище ПВО, один взвод 37-мм орудий которого был поставлен на охрану моста через Волгу. На аэродроме авиазавода № 292 была сформирована дежурная эскадрилья из пяти истребителей Як-1, пилотами которых были заводские летчики-испытатели. Формирования МПВО были переведены на казарменное положение, в городе активизировалась работа по строительству убежищ и командных пунктов, строительству запасных пожарных водоемов, соблюдению светомаскировки, проведению технической маскировки крупных промышленных объектов, железнодорожного моста через Волгу в районе Увека. Только за период с 1 по 15 сентября обеспеченность населения укрытиями в городах Саратовской области удвоилась. Были оборудованы 200 больших убежищ и отрыты 70 км щелей. На 15 сентября в областном центре могли укрыться в общей сложности 150 тыс. человек. В сентябре закончилось строительство командного пункта МПВО. Увеличилось и число групп самозащиты. В Саратове их к осени насчиталось 850, в Вольске – 118. Однако недостатки в организации местной противовоздушной обороны все же устранялись медленно и не полностью. Так, нарком среднего машиностроения С. Акопов в своем приказе от 17 сентября писал:  «Произведенной проверкой группы заводов в Куйбышеве, Саратове, Энгельсе установлено, что подготовка к МПВО на этих заводах находится в неудовлетворительном состоянии. Приказ за № 355сс от 12.6.42 не выполнен… КП отсутствуют, газоубежищ, бомбоубежищ нет. Щели содержатся в запущенном состоянии. Противопожарные профилактические мероприятия организованы неудовлетворительно. Противопожарного инвентаря – бочек с водой и ящиков с песком – установлено недостаточно… Боевая подготовка проходит нерегулярно и по сокращенной программе» (11774).</w:t>
      </w:r>
    </w:p>
    <w:p w14:paraId="039C1CC8"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708E03A"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A8ED40E" w14:textId="77777777" w:rsidR="00AE7191" w:rsidRPr="00722885" w:rsidRDefault="00AE7191" w:rsidP="00722885">
      <w:pPr>
        <w:pStyle w:val="Iauiue"/>
        <w:jc w:val="both"/>
        <w:rPr>
          <w:iCs/>
          <w:color w:val="000000" w:themeColor="text1"/>
          <w:sz w:val="16"/>
          <w:szCs w:val="16"/>
        </w:rPr>
      </w:pPr>
    </w:p>
    <w:p w14:paraId="646A05C2"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в 1942 году утреннее сообщение Совинформбюро:</w:t>
      </w:r>
    </w:p>
    <w:p w14:paraId="526BDA2A"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8 сентября наши войска вели бои с противником западнее и юго-западнее Сталинграда, а также в районах Новороссийск и Моздок. На других фронтах существенных изменений не произошло.</w:t>
      </w:r>
    </w:p>
    <w:p w14:paraId="0E9D4C4F"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продолжались ожесточённые бои. Части Н-ского соединения отбили атаку противника. Немцы подтянули новые силы и при поддержке танков в течение нескольких часов пытались прорвать нашу оборону. Все атаки гитлеровцев были отбиты. На поле боя противник оставил 6 подбитых танков и более 200 трупов солдат и офицеров.</w:t>
      </w:r>
    </w:p>
    <w:p w14:paraId="43853E60"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оборонительные бои. Н-ская часть отбила несколько атак противника и уничтожила 4 немецких танка и свыше роты гитлеровцев. На другом участке наше подразделение ночью совершило вылазку в расположение противника. Советские бойцы разгромила штаб румынского батальона, перебили 80 румынских солдат и офицеров и взорвали 7 автомашин с боеприпасами.</w:t>
      </w:r>
    </w:p>
    <w:p w14:paraId="69B6D43F"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Новороссийска наши войска вели напряжённые бои с танками и автоматчиками противника, вклинившимися в нашу оборону. Бойцы Н-ской части огнём артиллерии, миномётов и бронебойщиков уничтожили 5 немецких танков, 14 автомашини свыше 400 гитлеровцев. На этом же участке внезапной атакой из засады танкисты уничтожили ещё 7 танков и 17 автомашин и истребили до 200 немецких солдат и офицеров.</w:t>
      </w:r>
    </w:p>
    <w:p w14:paraId="25F959E4"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бои с переправившимися через водный рубеж войсками противника. Группа танков и свыше батальона немецкой пехоты перешли в наступление на участок, который обороняла Н-ская часть. Наши бойцы подпустили неприятеля на близкое расстояние, а затем миномётным и пулемётным огнём прижали гитлеровцев к земле. Все попытки врага возобновить атаку провалились. В результате этого боя уничтожено 3 немецких танка и до двух рот гитлеровцев.</w:t>
      </w:r>
    </w:p>
    <w:p w14:paraId="69FA53F8"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наши войска заняли укреплённый немцами населённый пункт. В боях за этот оборонительный рубеж уничтожено 6 немецких танков, 20 пулемётов, 10 повозок с военным имуществом, 4 автомашины и до 600 солдат и офицеров противника.</w:t>
      </w:r>
    </w:p>
    <w:p w14:paraId="4374509F"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местного значения. Наши автоматчикиво главе со старшим лейтенантом т. Копасовым и политруком т. Вотановым атаковали и захватили вражеский узел обороны. На другом участке огнём артиллерии и миномётов уничтожено до 150 немецких солдат и офицеров.</w:t>
      </w:r>
    </w:p>
    <w:p w14:paraId="6045C372"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Взятый в плен на Ленинградском фронте немецкий унтер-офицер Рудольф Своциль рассказал: «Мы несём большие потери. Моя рота, насчитывавшая год назад около 200 человек личного состава, за это время пять раз пополнялась, и состав её уже полностью обновлён. В бою 3 сентября русские полностью истребили 7 роту нашего полка. На её место бросили 5 роту, но и её постигла та же участь. От роты осталось лишь несколько солдат».</w:t>
      </w:r>
    </w:p>
    <w:p w14:paraId="6F67C487"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ефрейтора Вильгельма Гундхаккера найдено письмо от отца из Пабнейкирхепа. В нём говорится: «...Многие полагают, что война с Россией кончится не скоро. Это ужасно! Здесь людей становится всё меньше и меньше. Зато снова привозят русских пленных, и среди них много женщин. Все они не хотят по-настоящему работать и чем только могут мстят нам. Становится страшно, когда видишь в их глазах безграничную ненависть».</w:t>
      </w:r>
    </w:p>
    <w:p w14:paraId="7AEB6042"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деревне Никифорове, Орловской области, немецко-фашистские разбойники схватили колхозницу Марию Петровну Огорёву и предложили ей сказать, где расположена база партизан. Советская патриотка отказалась отвечать на вопросы. Гитлеровцы пытали её, но не добились ни слова. Озверевшие бандиты связали колхознице руки и ноги, бросили её в сарай и подожгли его.</w:t>
      </w:r>
    </w:p>
    <w:p w14:paraId="32D8AF80"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Чешские патриоты напали на отряд гестапо, отбиравший хлеб у крестьян, и истребили несколько гитлеровцев. Сожжено также 3 склада с хлебом, который оккупанты приготовили для отправки в Германию.» (14763).</w:t>
      </w:r>
    </w:p>
    <w:p w14:paraId="3DD18E27" w14:textId="77777777" w:rsidR="004A3FBB" w:rsidRPr="00722885" w:rsidRDefault="004A3FBB" w:rsidP="00722885">
      <w:pPr>
        <w:spacing w:after="0" w:line="240" w:lineRule="auto"/>
        <w:jc w:val="both"/>
        <w:rPr>
          <w:rFonts w:ascii="Times New Roman" w:hAnsi="Times New Roman"/>
          <w:color w:val="000000" w:themeColor="text1"/>
          <w:sz w:val="16"/>
          <w:szCs w:val="16"/>
        </w:rPr>
      </w:pPr>
    </w:p>
    <w:p w14:paraId="2B47410A"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в 1942 году вечернее сообщение Совинформбюро:</w:t>
      </w:r>
    </w:p>
    <w:p w14:paraId="6796F26C"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8 сентября наши войска вели бои с противником западнее и юго-западнее Сталинграда, а также в районах Новороссийск и Моздок. На других фронтах существенных изменений не произошло.</w:t>
      </w:r>
    </w:p>
    <w:p w14:paraId="24DF189D"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7 сентября частями нашей авиации на различных участках фронта уничтожено или повреждено до 30 немецких танков и бронемашин, более 150 автомашин с войсками и грузами, 4 автоцистерны с горючим, подавлен огонь 7 батарей полевой и зенитной артиллерии, взорваны 2 склада боеприпасов, рассеяно и частью уничтожено до батальона пехоты противника.</w:t>
      </w:r>
    </w:p>
    <w:p w14:paraId="1DC010C9"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наши войска вели напряжённые оборонительные бои с противником. Немцы предприняли на узком участке танковую атаку. Советская артиллерия остановила продвижение врага. Подтянув новые силы танков и пехоты, гитлеровцы при поддержке авиации вторично атаковали наши позиции. После ожесточённого боя наши части отошли на другой рубеж обороны. На участке Н-ского соединения гитлеровцы пытались захватить один населённый пункт. В течение всего дня с переменным успехом шли кровопролитные бои, в ходе которых немцы потеряли 5 танков и до 450 солдат и офицеров.</w:t>
      </w:r>
    </w:p>
    <w:p w14:paraId="6C50A903"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немцы перешли в наступление и пытались зайти во фланг наших частей. Атака противника была отбита контрударом наших танкистов. Подбито 9 немецких танков и уничтожено до роты гитлеровцев. На другом участке Н-ская часть второй день отбивает атаки крупных сил танков и пехоты противника.</w:t>
      </w:r>
    </w:p>
    <w:p w14:paraId="6D70C88E"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Новороссийска продолжались упорные бои с танками и пехотой противника, вклинившимися в нашу оборону. Немецкие автоматчики пытались захватить нашу артиллерийскую батарею с тыла. Артиллеристы-краснофлотцы приняли бой и отбили врага. Наши пулемётчики под руководством политрука тов. Родина в упор расстреляли группу автоматчиков противника. На другом участке бойцы части тов. Ермоленко в течение трёх часов вели бой с численно превосходящими силами врага. В этом бою они уничтожили до роты немецкой пехоты.</w:t>
      </w:r>
    </w:p>
    <w:p w14:paraId="1ACAE227"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противник под прикрытием артиллерийского огня и авиации переправил через водный рубеж пехоту и танки. Советские пехотинцы во взаимодействии с артиллеристами и бронебойщиками подбили и уничтожили 10 немецких танков, 6 бронемашин и истребили до 850 солдат и офицеров. Противник не выдержал удара и пытался выйти из боя. Наши части нанесли фланговый удар и продолжают вести бой на уничтожение группировки противника.</w:t>
      </w:r>
    </w:p>
    <w:p w14:paraId="7452C1AA"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Лётчики-штурмовики Краснознамённого Балтийского флота под командованием тов. Карасёва совершили налёт на аэродром противника. Прорвавшись через мощный зенитный огонь, наши лётчики уничтожили 10 немецких трехмоторных самолётов.</w:t>
      </w:r>
    </w:p>
    <w:p w14:paraId="25DC8C3F"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немецкого солдата Фрица Римеля найден дневник «Воспоминания обоях». Ниже приводятся выдержки из дневника, описывающие один из боев:</w:t>
      </w:r>
    </w:p>
    <w:p w14:paraId="18FD1F89"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4.00 началось наступление. Когда-то в прошлом году я изъявил желание стать мотоциклистом, чтобы идти впереди всех; теперь же я хотел бы находиться как можно дальше от фронта... Заговорили русские пулемёты. Какой несносный огонь! Вот уже первые жертвы. Мы подошли к восточной окраине села и пытались его захватить. Совершенно неожиданно из домов был открыт мощный и точный огонь. Один за другим легли 32 человека. Пал лейтенант Баумберг. Погибли Эрле, Мюллер, Ксари и другие. Только ночь нас спасла от полного уничтожения...»</w:t>
      </w:r>
    </w:p>
    <w:p w14:paraId="41AF8BA8"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Солдату Гихарду пишет отец из Бейгерлитца: «Горе и нищета всё увеличиваются... Тебя, наверное, интересуют все наши новости. Но, к сожалению, я могу сообщить тебе мало радостного. На этой неделе мы получили печальное известие о том, что Ганс Иозеф убит. Ганс Клейн, сын Эдуарда, тяжело ранен. Иозеф Штифмаер болен тифом... За это время очень много народу умерло и в нашей местности от недоедания: старый Ферд, Мартин Гики, Цейнер, Шандлин, Бертль Бауэр, старая Вагнерша, Иоганн Феттер, Гертль, маленький Максль Гаубель, Иоганн Гейер и ещё многие».</w:t>
      </w:r>
    </w:p>
    <w:p w14:paraId="068D916A" w14:textId="77777777" w:rsidR="004A3FBB" w:rsidRPr="00722885" w:rsidRDefault="004A3F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превратили Польшу в свою колонию. С каждым днём всё больше хозяйств польских крестьян немцы объявляют германской собственностью и передают их прусским колонистам, а крестьян превращают в батраков. В Польше создано германское общество «Остланд», которое уже забрало в свои руки больше 7 миллионов гектаров польской земли. Прибывший из Восточной Пруссии немецкий помещик Эмиль Брудуль прибрал к своим рукам хозяйства Феликса Яновича, Коханского, Журальского, Краевского и многих других польских крестьян. Прусский помещик отнял у крестьян всю землю, скот, жильё и хозяйственные постройки. Раньше Феликс Янович имел 50 моргов земли, двух лошадей и дом. Немцы сделали его нищим. Теперь Янович за угол в своём собственном доме должен отрабатывать немцу-помещику 7 дней в месяц. Новоявленный помещик, бывший руководитель штурмовиков Вилли Бланк, согнал из окрестных деревень сотни польских крестьян и заставляет их работать на себя по 16 часов в сутки. В его имении крестьяне живут в худых бараках, получают отвратительную пищу. Им запрещено самовольно отлучаться с территории имения. За малейшую провинность крестьян зверски избивают или ссылают в концентрационный лагерь. Так выглядят немецкие порядки, которые устанавливают гитлеровцы в захваченных ими странах.» (14763).</w:t>
      </w:r>
    </w:p>
    <w:p w14:paraId="001039C6" w14:textId="77777777" w:rsidR="004A3FBB" w:rsidRPr="00722885" w:rsidRDefault="004A3FBB" w:rsidP="00722885">
      <w:pPr>
        <w:spacing w:after="0" w:line="240" w:lineRule="auto"/>
        <w:jc w:val="both"/>
        <w:rPr>
          <w:rFonts w:ascii="Times New Roman" w:hAnsi="Times New Roman"/>
          <w:color w:val="000000" w:themeColor="text1"/>
          <w:sz w:val="16"/>
          <w:szCs w:val="16"/>
        </w:rPr>
      </w:pPr>
    </w:p>
    <w:p w14:paraId="0984FF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сентября 1942 последний уцелевший на Черном море ГСТ вместе с "Каталинами" высаживал десант в Варне (Болгария). На 1 января 1942 года на Черном море сохранилось всего пять ГСТ. Они входили в состав Севастопольской группы. Заняты были в основном перевозкой в осажденный город особо важных грузов. К 22 апреля их осталось только три. ГСТ перебросили па побережье Кавказа, в Геленджик. Оттуда они участвовали в эвакуации из Севастополя, а затем в снабжении партизан Крыма. Разведку теперь вели не далее меридиана Евпатории - не позволял радиус действия (3457,49).</w:t>
      </w:r>
    </w:p>
    <w:p w14:paraId="4E3C502F" w14:textId="77777777" w:rsidR="00AE7191" w:rsidRPr="00722885" w:rsidRDefault="00AE7191" w:rsidP="00722885">
      <w:pPr>
        <w:pStyle w:val="Iauiue"/>
        <w:jc w:val="both"/>
        <w:rPr>
          <w:color w:val="000000" w:themeColor="text1"/>
          <w:sz w:val="16"/>
          <w:szCs w:val="16"/>
        </w:rPr>
      </w:pPr>
    </w:p>
    <w:p w14:paraId="7ADCEF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сентября 1942 сер. 520 иап Б.М.Гомолко, в первом боевом вылете, встретился с 10 б и вступил в бой, сбил один и тараном - ругой. Спустился на парашюте и убил одного, а другого л бомбардировщика взял в плен (438,856).</w:t>
      </w:r>
    </w:p>
    <w:p w14:paraId="08D2C876" w14:textId="77777777" w:rsidR="00AE7191" w:rsidRPr="00722885" w:rsidRDefault="00AE7191" w:rsidP="00722885">
      <w:pPr>
        <w:pStyle w:val="Iauiue"/>
        <w:jc w:val="both"/>
        <w:rPr>
          <w:color w:val="000000" w:themeColor="text1"/>
          <w:sz w:val="16"/>
          <w:szCs w:val="16"/>
        </w:rPr>
      </w:pPr>
    </w:p>
    <w:p w14:paraId="19610D7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года по директиве НКО № 110430сс началось формирование механизированных корпусов в составе трех механизированных, танковой бригад и ряда других частей и подразделений. Всего до конца года укомплектовали шесть корпусов, которые отличались структурой подразделений. Так, 1 и 2-й имели по одной танковой бригаде штата № 010/240 (49 машин), в 3 и 5-й входило по две таких бригады, а в 4 и 6-м вместо бригад было по одному танковому полку. Таким образом, мехкорпуса насчитывали 175 (95 Т-34), 224 или 204 танка. При этом большая часть мехкорпусов имела на вооружении английские и американские танки.</w:t>
      </w:r>
    </w:p>
    <w:p w14:paraId="3B4F5E3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Впоследствии организация мехкор- пуса несколько раз менялась, и к началу 1944 года в его состав входило три мехбригады (в каждой танковый полк штата № 010/292 или 010/414. танковая бригада штата № 010/500 и другие части, всего 197 танков, из них 176 средних (Т-34 или М-4 «Шерман»). К концу войны число танков в корпусе составляло 183 машины. Всего было сформировано 13 мехкор- пусов, часть которых (например, 1-й и 1-й гвардейский) были укомплектованы «шерманами». Таким образом, в отличие от танковых корпусов, в механизированных тридцатьчетверки соседствовали с ленд-лизовскими машинами вплоть до конца Второй мировой войны (12217).</w:t>
      </w:r>
    </w:p>
    <w:p w14:paraId="6EDE035F"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63457D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вышло Постановление ГКО № 2278 О довольствии маршевых положений отправляемых на фронт. РГАНИР, Фонд ГКО, д. 55, лл. 127 (11012).</w:t>
      </w:r>
    </w:p>
    <w:p w14:paraId="311A7E3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6067E249"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0C60E51C" w14:textId="77777777" w:rsidR="00AE7191" w:rsidRPr="00722885" w:rsidRDefault="00AE7191" w:rsidP="00722885">
      <w:pPr>
        <w:pStyle w:val="Iauiue"/>
        <w:jc w:val="both"/>
        <w:rPr>
          <w:iCs/>
          <w:color w:val="000000" w:themeColor="text1"/>
          <w:sz w:val="16"/>
          <w:szCs w:val="16"/>
        </w:rPr>
      </w:pPr>
    </w:p>
    <w:p w14:paraId="7C422D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сентября 1942 года было отправлено:</w:t>
      </w:r>
    </w:p>
    <w:p w14:paraId="11E3E80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ЛИЧНОЕ И СЕКРЕТНОЕ ПОСЛАНИЕ ПРЕМЬЕРА СТАЛИНА ПРЕМЬЕРУ ЧЕРЧИЛЛЮ</w:t>
      </w:r>
    </w:p>
    <w:p w14:paraId="6F48B3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Ваше послание получил 7 сентября. Я понимаю всю важность благополучного прибытия конвоя 2 P. Q. 18 в Советский Союз и необходимость принятия мер по его защите. Как нам ни трудно выделить дополнительное количество дальних бомбардировщиков для этого дела в данный момент, мы решили это сделать. Сегодня дано распоряжение дополнительно выделить дальние бомбардировщики для указанной Вами цели.</w:t>
      </w:r>
    </w:p>
    <w:p w14:paraId="531B0B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Желаю Вам успеха в осуществлении операции против Роммеля в Египте, а также полного успеха в осуществлении операции “Факел” (7430).</w:t>
      </w:r>
    </w:p>
    <w:p w14:paraId="4F8FF548" w14:textId="77777777" w:rsidR="00AE7191" w:rsidRPr="00722885" w:rsidRDefault="00AE7191" w:rsidP="00722885">
      <w:pPr>
        <w:pStyle w:val="Iauiue"/>
        <w:jc w:val="both"/>
        <w:rPr>
          <w:color w:val="000000" w:themeColor="text1"/>
          <w:sz w:val="16"/>
          <w:szCs w:val="16"/>
        </w:rPr>
      </w:pPr>
    </w:p>
    <w:p w14:paraId="60C1A6B8" w14:textId="77777777" w:rsidR="001E0E61" w:rsidRPr="00722885" w:rsidRDefault="001E0E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1942 г. Канада, подписавшая с Советским Союзом соглашение о кредите (так называемое "пшеничное соглашение") взяла на себя значительную часть поставок Британии. К этому времени наряду с северным маршрутом поставок в полную меру заработали трансиранский и тихоокеанский. Последнему суждено было стать основным в перевозке продовольствия, так как Япония, находившаяся в состоянии войны с Соединенными Штатами, допускала перевозки только "невоенных" грузов.</w:t>
      </w:r>
    </w:p>
    <w:p w14:paraId="0025B957" w14:textId="77777777" w:rsidR="001E0E61" w:rsidRPr="00722885" w:rsidRDefault="001E0E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Новые пути открыли более широкие возможности увеличения ввозимого в СССР продовольствия. Поставки не только возросли в масштабах. Изменилась и их номенклатура. Добавились маргарин, соевая мука и крупа, сыр и специально приготовленные питательные и легкие концентраты. Помнят бойцы Ленинградского фронта, как, уходя в разведку, они получали толстые плитки горького американского шоколада, банки галет. Помнят они и вкус шоколада с говядиной, мяса индейки или курицы в шоколаде. А знаменитую "тушенку", без которой, по воспоминаниям Н. С. Хрущева, было бы невозможно накормить армию, или борщ в пакетах американцы стали производить специально для России по русским рецептам (19582).</w:t>
      </w:r>
    </w:p>
    <w:p w14:paraId="4243DF93" w14:textId="77777777" w:rsidR="001E0E61" w:rsidRPr="00722885" w:rsidRDefault="001E0E61" w:rsidP="00722885">
      <w:pPr>
        <w:spacing w:after="0" w:line="240" w:lineRule="auto"/>
        <w:jc w:val="both"/>
        <w:rPr>
          <w:rFonts w:ascii="Times New Roman" w:hAnsi="Times New Roman"/>
          <w:color w:val="000000" w:themeColor="text1"/>
          <w:sz w:val="16"/>
          <w:szCs w:val="16"/>
        </w:rPr>
      </w:pPr>
    </w:p>
    <w:p w14:paraId="40E4E13F" w14:textId="77777777" w:rsidR="00735955"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7A203C2" w14:textId="77777777" w:rsidR="00735955" w:rsidRPr="00722885" w:rsidRDefault="00735955" w:rsidP="00722885">
      <w:pPr>
        <w:pStyle w:val="Iauiue"/>
        <w:jc w:val="both"/>
        <w:rPr>
          <w:iCs/>
          <w:color w:val="000000" w:themeColor="text1"/>
          <w:sz w:val="16"/>
          <w:szCs w:val="16"/>
        </w:rPr>
      </w:pPr>
    </w:p>
    <w:p w14:paraId="0D76E31A" w14:textId="77777777" w:rsidR="00735955" w:rsidRPr="00722885" w:rsidRDefault="00735955" w:rsidP="00722885">
      <w:pPr>
        <w:spacing w:after="0" w:line="240" w:lineRule="auto"/>
        <w:jc w:val="both"/>
        <w:rPr>
          <w:rStyle w:val="ucoz-forum-post"/>
          <w:rFonts w:ascii="Times New Roman" w:eastAsia="Times New Roman" w:hAnsi="Times New Roman"/>
          <w:color w:val="000000" w:themeColor="text1"/>
          <w:sz w:val="16"/>
          <w:szCs w:val="16"/>
        </w:rPr>
      </w:pPr>
      <w:r w:rsidRPr="00722885">
        <w:rPr>
          <w:rFonts w:ascii="Times New Roman" w:hAnsi="Times New Roman"/>
          <w:color w:val="000000" w:themeColor="text1"/>
          <w:sz w:val="16"/>
          <w:szCs w:val="16"/>
        </w:rPr>
        <w:t>8 сентября</w:t>
      </w:r>
      <w:r w:rsidRPr="00722885">
        <w:rPr>
          <w:rStyle w:val="ucoz-forum-post"/>
          <w:rFonts w:ascii="Times New Roman" w:eastAsia="Times New Roman" w:hAnsi="Times New Roman"/>
          <w:bCs/>
          <w:color w:val="000000" w:themeColor="text1"/>
          <w:sz w:val="16"/>
          <w:szCs w:val="16"/>
        </w:rPr>
        <w:t xml:space="preserve"> 1942 г.</w:t>
      </w:r>
      <w:r w:rsidRPr="00722885">
        <w:rPr>
          <w:rStyle w:val="ucoz-forum-post"/>
          <w:rFonts w:ascii="Times New Roman" w:eastAsia="Times New Roman" w:hAnsi="Times New Roman"/>
          <w:color w:val="000000" w:themeColor="text1"/>
          <w:sz w:val="16"/>
          <w:szCs w:val="16"/>
        </w:rPr>
        <w:t xml:space="preserve"> – первый налёт на континентальную часть США японского самолёта, E14Y1 с подводной лодки I-25 (14763).</w:t>
      </w:r>
    </w:p>
    <w:p w14:paraId="24F303B6" w14:textId="77777777" w:rsidR="00735955" w:rsidRPr="00722885" w:rsidRDefault="00735955" w:rsidP="00722885">
      <w:pPr>
        <w:spacing w:after="0" w:line="240" w:lineRule="auto"/>
        <w:jc w:val="both"/>
        <w:rPr>
          <w:rStyle w:val="ucoz-forum-post"/>
          <w:rFonts w:ascii="Times New Roman" w:eastAsia="Times New Roman" w:hAnsi="Times New Roman"/>
          <w:color w:val="000000" w:themeColor="text1"/>
          <w:sz w:val="16"/>
          <w:szCs w:val="16"/>
        </w:rPr>
      </w:pPr>
    </w:p>
    <w:p w14:paraId="0472A705" w14:textId="77777777" w:rsidR="007B3B59" w:rsidRPr="00722885" w:rsidRDefault="007B3B5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сентября 1942 - Первый налёт на континентальную часть США японского Е-14Y1 с подводной лодки. Второй и последний налёт - 29 сентября 1942-го (22371).</w:t>
      </w:r>
    </w:p>
    <w:p w14:paraId="3D7E0D5C" w14:textId="77777777" w:rsidR="007B3B59" w:rsidRPr="00722885" w:rsidRDefault="007B3B59" w:rsidP="00722885">
      <w:pPr>
        <w:spacing w:after="0" w:line="240" w:lineRule="auto"/>
        <w:jc w:val="both"/>
        <w:rPr>
          <w:rFonts w:ascii="Times New Roman" w:hAnsi="Times New Roman"/>
          <w:color w:val="0070C0"/>
          <w:sz w:val="16"/>
          <w:szCs w:val="16"/>
        </w:rPr>
      </w:pPr>
    </w:p>
    <w:p w14:paraId="19E2177D" w14:textId="77777777" w:rsidR="00735955" w:rsidRPr="00722885" w:rsidRDefault="00735955" w:rsidP="00722885">
      <w:pPr>
        <w:spacing w:after="0" w:line="240" w:lineRule="auto"/>
        <w:jc w:val="both"/>
        <w:rPr>
          <w:rStyle w:val="ucoz-forum-post"/>
          <w:rFonts w:ascii="Times New Roman" w:eastAsia="Times New Roman" w:hAnsi="Times New Roman"/>
          <w:color w:val="000000" w:themeColor="text1"/>
          <w:sz w:val="16"/>
          <w:szCs w:val="16"/>
        </w:rPr>
      </w:pPr>
      <w:r w:rsidRPr="00722885">
        <w:rPr>
          <w:rFonts w:ascii="Times New Roman" w:hAnsi="Times New Roman"/>
          <w:color w:val="000000" w:themeColor="text1"/>
          <w:sz w:val="16"/>
          <w:szCs w:val="16"/>
        </w:rPr>
        <w:t>8 сентября</w:t>
      </w:r>
      <w:r w:rsidRPr="00722885">
        <w:rPr>
          <w:rStyle w:val="ucoz-forum-post"/>
          <w:rFonts w:ascii="Times New Roman" w:eastAsia="Times New Roman" w:hAnsi="Times New Roman"/>
          <w:bCs/>
          <w:color w:val="000000" w:themeColor="text1"/>
          <w:sz w:val="16"/>
          <w:szCs w:val="16"/>
        </w:rPr>
        <w:t xml:space="preserve"> 1942 г.</w:t>
      </w:r>
      <w:r w:rsidRPr="00722885">
        <w:rPr>
          <w:rStyle w:val="ucoz-forum-post"/>
          <w:rFonts w:ascii="Times New Roman" w:eastAsia="Times New Roman" w:hAnsi="Times New Roman"/>
          <w:color w:val="000000" w:themeColor="text1"/>
          <w:sz w:val="16"/>
          <w:szCs w:val="16"/>
        </w:rPr>
        <w:t xml:space="preserve"> – состоялся первый полёт нового перспективного истребителя Вилли Мессершмитта Me.309-V1 с реверсом винта. Во время второй посадки в Лехфельде пилот-испытатель Баур использовал реверс винта сразу после касания. Торможение было настолько резким, что самолёт развернуло, закрылки и руль высоты были повреждены, а после этого сломалась носовая стойка шасси. После ремонта испытания реверсивного винта прошли с большим успехом. За это время Баур успешно отработал приём торможения самолёта, который он эффектно продемонстрировал перед комиссией: на рулёжке лётчик резко дал реверс и самолёт практически тут же встал, а с голов членов комиссии слетели шляпы. (Надо думать от воздушной струи, а не от удивления!) (14763).</w:t>
      </w:r>
    </w:p>
    <w:p w14:paraId="11ABDCFF" w14:textId="77777777" w:rsidR="00735955" w:rsidRPr="00722885" w:rsidRDefault="00735955" w:rsidP="00722885">
      <w:pPr>
        <w:spacing w:after="0" w:line="240" w:lineRule="auto"/>
        <w:jc w:val="both"/>
        <w:rPr>
          <w:rStyle w:val="ucoz-forum-post"/>
          <w:rFonts w:ascii="Times New Roman" w:eastAsia="Times New Roman" w:hAnsi="Times New Roman"/>
          <w:color w:val="000000" w:themeColor="text1"/>
          <w:sz w:val="16"/>
          <w:szCs w:val="16"/>
        </w:rPr>
      </w:pPr>
    </w:p>
    <w:p w14:paraId="0949DA2A"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сентября в 1942 году для повышения качества связи на линии Берлин — Кабул в горных районах Кавказа построена промежуточная радиорелейная станция (кодовое обозначение «Тигровый замок») (14763).</w:t>
      </w:r>
    </w:p>
    <w:p w14:paraId="71432139"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375E68BD"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BE4FD31" w14:textId="77777777" w:rsidR="00AE7191" w:rsidRPr="00722885" w:rsidRDefault="00AE7191" w:rsidP="00722885">
      <w:pPr>
        <w:pStyle w:val="Iauiue"/>
        <w:jc w:val="both"/>
        <w:rPr>
          <w:iCs/>
          <w:color w:val="000000" w:themeColor="text1"/>
          <w:sz w:val="16"/>
          <w:szCs w:val="16"/>
        </w:rPr>
      </w:pPr>
    </w:p>
    <w:p w14:paraId="5AD2152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вышло постановление ГКО N 2283сс "О выпуске самолетов Ил-2 с деревянными крыльями и удлиненным деревянным фюзеляжем" в целях сокращения расхода дюралюмина при производстве самолетов Ил-2 (1589,73).</w:t>
      </w:r>
    </w:p>
    <w:p w14:paraId="488300B1" w14:textId="77777777" w:rsidR="00AE7191" w:rsidRPr="00722885" w:rsidRDefault="00AE7191" w:rsidP="00722885">
      <w:pPr>
        <w:pStyle w:val="Iauiue"/>
        <w:jc w:val="both"/>
        <w:rPr>
          <w:color w:val="000000" w:themeColor="text1"/>
          <w:sz w:val="16"/>
          <w:szCs w:val="16"/>
        </w:rPr>
      </w:pPr>
    </w:p>
    <w:p w14:paraId="64BE599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1942 вышло Постановление ГКО № 2283 О выпуске самолетов Ил-2 с деревянными крыльями и удлиненным деревянным фюзеляжем. РГАНИР, Фонд ГКО, д. 55, лл. 164 (11012).</w:t>
      </w:r>
    </w:p>
    <w:p w14:paraId="75810200"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136A0A6" w14:textId="77777777" w:rsidR="0016028C" w:rsidRPr="00722885" w:rsidRDefault="001602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1942 вышло Постановление ГКО № 2283 О выпуске самолетов Ил-2 с деревянными крыльями и удлиненным деревянным фюзеляжем</w:t>
      </w:r>
    </w:p>
    <w:p w14:paraId="57BDFAD0" w14:textId="77777777" w:rsidR="0016028C" w:rsidRPr="00722885" w:rsidRDefault="001602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сокращения расхода дюралюминия при изготов</w:t>
      </w:r>
      <w:r w:rsidRPr="00722885">
        <w:rPr>
          <w:rFonts w:ascii="Times New Roman" w:hAnsi="Times New Roman"/>
          <w:color w:val="000000" w:themeColor="text1"/>
          <w:sz w:val="16"/>
          <w:szCs w:val="16"/>
        </w:rPr>
        <w:softHyphen/>
        <w:t>лении самолетов Ил-2 на заводах №№ 1,18,30 и 381 Госу</w:t>
      </w:r>
      <w:r w:rsidRPr="00722885">
        <w:rPr>
          <w:rFonts w:ascii="Times New Roman" w:hAnsi="Times New Roman"/>
          <w:color w:val="000000" w:themeColor="text1"/>
          <w:sz w:val="16"/>
          <w:szCs w:val="16"/>
        </w:rPr>
        <w:softHyphen/>
        <w:t>дарственный Комитет Обороны постановляет: Разрешить Наркомавиапрому:</w:t>
      </w:r>
    </w:p>
    <w:p w14:paraId="2E4BD6CE" w14:textId="77777777" w:rsidR="0016028C" w:rsidRPr="00722885" w:rsidRDefault="0016028C" w:rsidP="00722885">
      <w:pPr>
        <w:tabs>
          <w:tab w:val="left" w:pos="273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Выпускать с 15.IX.42г. самолеты Ил-2 с удлинен</w:t>
      </w:r>
      <w:r w:rsidRPr="00722885">
        <w:rPr>
          <w:rFonts w:ascii="Times New Roman" w:hAnsi="Times New Roman"/>
          <w:color w:val="000000" w:themeColor="text1"/>
          <w:sz w:val="16"/>
          <w:szCs w:val="16"/>
        </w:rPr>
        <w:softHyphen/>
        <w:t>ной деревянной частью фюзеляка, из'яв из конструкции самолета дюралюминиевое кольцо, соединяющее хвостовую часть фюзеляка с центропланом.</w:t>
      </w:r>
    </w:p>
    <w:p w14:paraId="2E7C5D20" w14:textId="77777777" w:rsidR="0016028C" w:rsidRPr="00722885" w:rsidRDefault="0016028C" w:rsidP="00722885">
      <w:pPr>
        <w:tabs>
          <w:tab w:val="left" w:pos="284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Выпускать, начиная с 15.IX.42г., на заводах №№ 18 и 381 самолеты Ил-2 с деревянной консолью крыла, но образцу самолетов Ил-2, выпускаемых заводом № 1 (10365).</w:t>
      </w:r>
    </w:p>
    <w:p w14:paraId="740D689E" w14:textId="77777777" w:rsidR="0016028C" w:rsidRPr="00722885" w:rsidRDefault="0016028C" w:rsidP="00722885">
      <w:pPr>
        <w:spacing w:after="0" w:line="240" w:lineRule="auto"/>
        <w:jc w:val="both"/>
        <w:rPr>
          <w:rFonts w:ascii="Times New Roman" w:hAnsi="Times New Roman"/>
          <w:color w:val="000000" w:themeColor="text1"/>
          <w:sz w:val="16"/>
          <w:szCs w:val="16"/>
        </w:rPr>
      </w:pPr>
    </w:p>
    <w:p w14:paraId="417366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ви НИИ ВВС подготовили оценку, предложения и требования строевых частей к промышленности</w:t>
      </w:r>
    </w:p>
    <w:p w14:paraId="0342DF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Ил-2</w:t>
      </w:r>
    </w:p>
    <w:p w14:paraId="3791EC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Ил-2 является хорошим штурмовиком. В целях повышения качества, живучести и надежности с-та необходимо:</w:t>
      </w:r>
    </w:p>
    <w:p w14:paraId="741BC01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установить дублирование управления</w:t>
      </w:r>
    </w:p>
    <w:p w14:paraId="67A451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обеспечить обзор назад (путем установки зеркала)</w:t>
      </w:r>
    </w:p>
    <w:p w14:paraId="25D66E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иметь 2-х местный штурмовик с установкой крупнокалиберного пулемета для защиты хвоста</w:t>
      </w:r>
    </w:p>
    <w:p w14:paraId="2E4E22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улучшить качество передних стекол (козырька л)</w:t>
      </w:r>
    </w:p>
    <w:p w14:paraId="068D392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усилить бронензащиту с-та (имеющаяся броня обеспечивает защиту от пуль только калибра 7,62 и не обеспечивает защиту от бронебойных пуль калибра 15 мм</w:t>
      </w:r>
    </w:p>
    <w:p w14:paraId="72D736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увеличить мкс. скорость</w:t>
      </w:r>
    </w:p>
    <w:p w14:paraId="454683D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снять прицел ПБП-1 и заменить его простым механическим кольцевым прицелом</w:t>
      </w:r>
    </w:p>
    <w:p w14:paraId="3D3B9B3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установить механическую перезарядку пушек ВЯ</w:t>
      </w:r>
    </w:p>
    <w:p w14:paraId="32BDEF2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поставить однопроводную систему электрооборудования</w:t>
      </w:r>
    </w:p>
    <w:p w14:paraId="3B8CC67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увеличить дальность двухсторонней радиосвязит до 120-140 км (сейчас 60-80, а у Ме-109 и Киттихока 110-140)</w:t>
      </w:r>
    </w:p>
    <w:p w14:paraId="22A7BE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сделать взаимозаменяемыми отъемные плоскости всух заводов 1, 18, 381, 30)</w:t>
      </w:r>
    </w:p>
    <w:p w14:paraId="183EF9E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на всех с-тапх поставить винт-газ (объединить управление)</w:t>
      </w:r>
    </w:p>
    <w:p w14:paraId="430535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оборудовать с-т системой расжижения масла бензином</w:t>
      </w:r>
    </w:p>
    <w:p w14:paraId="39EFFBD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применять антифриз в качестве охлаждающей жидкости</w:t>
      </w:r>
    </w:p>
    <w:p w14:paraId="469CFC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Пе-2</w:t>
      </w:r>
    </w:p>
    <w:p w14:paraId="0F7FAC7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Опытный с-т производства з-да 39 и 22 проходили сипытания в НИИ ВВС с 22 декабря 1940 по 1 марта 1941</w:t>
      </w:r>
    </w:p>
    <w:p w14:paraId="300713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Большой уровень помех радиоприему приводит к тому, что с-т не обеспечен радиосвязью</w:t>
      </w:r>
    </w:p>
    <w:p w14:paraId="1A7EA5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своему объему и характеру спецоборудования с-ты Пе-2 и Пе-3 являются современными и вполне подходятпо уровню к с-там союзников и противника</w:t>
      </w:r>
    </w:p>
    <w:p w14:paraId="07B28E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Монтаж и качество спецоборудования стоят гораздо ниже, чем на До-215, Ю-88, Норт-Америкен</w:t>
      </w:r>
    </w:p>
    <w:p w14:paraId="68049E0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Оценка с-та Пе-2 на основе опыта боевого применения:</w:t>
      </w:r>
    </w:p>
    <w:p w14:paraId="142F31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 скорость Пе-2 без установки наружных подвесных баков составляет 540 км/час на расчетной высоте 2-й скорости нагнетателя 5000 м (это получено на госиспытаниях головного серийного с-та в январе-марте 1941).</w:t>
      </w:r>
    </w:p>
    <w:p w14:paraId="719B6AE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выпуска апреля-мая 1942 г. на высоте 5000 м имеет максимальную скорость:</w:t>
      </w:r>
    </w:p>
    <w:p w14:paraId="7261DC6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с ухватами наружной подвески бомб (строевые части летают, как правило, с ухватами) 490-500 км/час.</w:t>
      </w:r>
    </w:p>
    <w:p w14:paraId="2F51B1F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с наружной подвеской бомб 4-ФАБ-100 - 470-475 км/час</w:t>
      </w:r>
    </w:p>
    <w:p w14:paraId="6C241F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Значительбные потери макс. скорости происходят за счет:</w:t>
      </w:r>
    </w:p>
    <w:p w14:paraId="40DA41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резкого снижения качества отделки поверхности - 20-25 км/час</w:t>
      </w:r>
    </w:p>
    <w:p w14:paraId="101491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неубирающихся ухватов наружной подвески бомб - 15</w:t>
      </w:r>
    </w:p>
    <w:p w14:paraId="00184D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чрезмерной шероховатости зимнего камуфляжа - 15-20</w:t>
      </w:r>
    </w:p>
    <w:p w14:paraId="3F634A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Итого - на 50-60 км/час</w:t>
      </w:r>
    </w:p>
    <w:p w14:paraId="5F30C00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 скорость также может уменьшится из-за измененного открытия створок водорадиаторов на 5—60 км/час</w:t>
      </w:r>
    </w:p>
    <w:p w14:paraId="6C4366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Пе-2 первых серий превосходил по макс. скорости с-ты Ю-88, До-215 на 90-100 км/час, Ме-110 - на 15 км/час</w:t>
      </w:r>
    </w:p>
    <w:p w14:paraId="70BBFD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настоящее время различия между ними значительно скоратились</w:t>
      </w:r>
    </w:p>
    <w:p w14:paraId="77014B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протектор б/б типа НИИРП образца 1938 г. не защищает баки отвытекания горючего в пулевые пробоины, в результате чего с-т легко воспламеняется от зажигательных пуль и горит. Система заполнения баков нейтральными газами от выхлопных газов не ликвидировала пожарную опасность с-та. При пожаре с-та плямя и дым затягивает в кабину. Неообходимо отсеки с баками изолировать.</w:t>
      </w:r>
    </w:p>
    <w:p w14:paraId="07AE7E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Ту-2 2М-82, опытный образец с-та 103В проходил совместные государственные и заводские испытания на аэродроме з-да № 166 в Омске с 15 декабря 1941 по 31 июля 1942.</w:t>
      </w:r>
    </w:p>
    <w:p w14:paraId="4C34FD8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ВМГ работала неудовлетворительно (трещины выхлопных коллекторов, падение давления масла на пикировании, раскачка оборотов, перегрев мотора на земле, недоведенность М-82, велики усилия на секторе газа, сектора отходят с крайнего положения и усложняется посадка из-за этого, автокорректор подъема на всоту не сохраняет альфу, РПД не сохраняет Рк, неудовлетворительно работают свечи ВГ-12, выброс масла из суфлеров моторов на высоте более 5000 м.</w:t>
      </w:r>
    </w:p>
    <w:p w14:paraId="27EF0D6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боевых условиях с-т не проверялся</w:t>
      </w:r>
    </w:p>
    <w:p w14:paraId="18E19E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процессе непродолжительной эксплуатации Ту-2 в 132 АП (закончена вывозная программа для летного состава) выявлено, что наиболее слабым местом является ВМГ и гидросистема.</w:t>
      </w:r>
    </w:p>
    <w:p w14:paraId="22775CB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отзывам л-и и летного состава 132 ПА с-т в управлении прост и напоминает СБ.</w:t>
      </w:r>
    </w:p>
    <w:p w14:paraId="582B9AF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ДБ-3Ф 2М-88</w:t>
      </w:r>
    </w:p>
    <w:p w14:paraId="1BE5A7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Серийный с-т № 390801 производства з-да № 39 проходил госиспытания с 16 июля 1940 по 23 августа 1942.</w:t>
      </w:r>
    </w:p>
    <w:p w14:paraId="545B10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Серийный с-т № 180630 производства з-да № 18 проходил госиспытания с 5 сентября 1940 по 4 октября 1940.</w:t>
      </w:r>
    </w:p>
    <w:p w14:paraId="44A2D3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Объем и выполнение спецоборудования стоят ниже, чем у Ю-88, До-215 и Нрт-Америкен</w:t>
      </w:r>
    </w:p>
    <w:p w14:paraId="359092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Наиболее характерные дефекты, выявленные в процессе эксплуатации в боевых условиях:</w:t>
      </w:r>
    </w:p>
    <w:p w14:paraId="063EEF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необходимо оборудовать системы заполнения б/б нейтральными газами от выхлопного коллектора вместо Со</w:t>
      </w:r>
    </w:p>
    <w:p w14:paraId="377ED2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демаскировка с-та ночью из-за языков пламени из выхлопных патрубков</w:t>
      </w:r>
    </w:p>
    <w:p w14:paraId="175BEA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тяжелое управление РВ, РН и элеронами</w:t>
      </w:r>
    </w:p>
    <w:p w14:paraId="3C4BABB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мал диапазон отклонения лопастей ВИШ-23 невозможно для экономии горючего перевести винт на пониженные обороты на большой высоте</w:t>
      </w:r>
    </w:p>
    <w:p w14:paraId="3E066A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 пневматические колеса размером 1000х350 малы, не соответствуют весу 11000 кг и более</w:t>
      </w:r>
    </w:p>
    <w:p w14:paraId="172C1D9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необходимо сделать системы расжижения масла бензином</w:t>
      </w:r>
    </w:p>
    <w:p w14:paraId="127760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недостаточная мощность оборонительного огня (на последних на верхней и нижней установке поставлены УБТ)</w:t>
      </w:r>
    </w:p>
    <w:p w14:paraId="08BB0F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ТБ-7 с 4АМ-35-А постройки завода № 124 проходил госиспытания в НИИ ВВС с 20 марат 1941 по 11 июня 1941</w:t>
      </w:r>
    </w:p>
    <w:p w14:paraId="0B408D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отзывам строевых частей с-т обладает высокими боевыми качествами как ДБ.</w:t>
      </w:r>
    </w:p>
    <w:p w14:paraId="468FB4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имеет большую дальность и грузоподъемность, выполняет задания по разрушению экономических и политических центров.</w:t>
      </w:r>
    </w:p>
    <w:p w14:paraId="1202C7F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Вождение с-та в облаках и в ночное время не представляет особых трудностей.</w:t>
      </w:r>
    </w:p>
    <w:p w14:paraId="0FBE9BA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количеству и мощности огневых точек с-т является вполне обороноспособным и мал уязвим для истребителей.</w:t>
      </w:r>
    </w:p>
    <w:p w14:paraId="1E6674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сравнению с с-тами противника с-т ТБ-7 не имеет себе равных с-тов ДБ</w:t>
      </w:r>
    </w:p>
    <w:p w14:paraId="5B7F89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ПС-82 2 М-62 (Ли-2)</w:t>
      </w:r>
    </w:p>
    <w:p w14:paraId="46CD4D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проходил госиспытания с 11 мая по 209 июня 1940 в транспортном, десантном и санитарном вариантах</w:t>
      </w:r>
    </w:p>
    <w:p w14:paraId="4D3262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входная дверь открывается наружу</w:t>
      </w:r>
    </w:p>
    <w:p w14:paraId="21002C7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остывают головки цилиндров при -10 -15</w:t>
      </w:r>
    </w:p>
    <w:p w14:paraId="1EB68B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недостаточен проход между сиденьями и стенками кабины л.</w:t>
      </w:r>
    </w:p>
    <w:p w14:paraId="5C1C194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недостаточна металлизация с-та, качество монтажа электрооборудования - низкое</w:t>
      </w:r>
    </w:p>
    <w:p w14:paraId="3D0241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ДБ-240 2М-105.</w:t>
      </w:r>
    </w:p>
    <w:p w14:paraId="1A9FAE3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Проходил госиспытания с 27 сентяюбря по 17 октября 1940</w:t>
      </w:r>
    </w:p>
    <w:p w14:paraId="7AEA8E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улучшить поперечную устойчивость с-та</w:t>
      </w:r>
    </w:p>
    <w:p w14:paraId="135C4D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слишком тяжело управление</w:t>
      </w:r>
    </w:p>
    <w:p w14:paraId="57209C7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улучшить работу тормозной системы</w:t>
      </w:r>
    </w:p>
    <w:p w14:paraId="191E6A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размер колес 1100х400 не соответствует весу (не выше 10000)</w:t>
      </w:r>
    </w:p>
    <w:p w14:paraId="3ED653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недостоточно тугой ход кранов управления шасси и щитками</w:t>
      </w:r>
    </w:p>
    <w:p w14:paraId="3F44ADB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металлизация плохаи и не везде</w:t>
      </w:r>
    </w:p>
    <w:p w14:paraId="48CA36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бензобаки не протектированы</w:t>
      </w:r>
    </w:p>
    <w:p w14:paraId="109F7C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перегрев масла и воды</w:t>
      </w:r>
    </w:p>
    <w:p w14:paraId="5171B6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всасывающие патрубки расположены снизу и не защищены от пыли</w:t>
      </w:r>
    </w:p>
    <w:p w14:paraId="1278DC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трещины выхлопных коллекторов</w:t>
      </w:r>
    </w:p>
    <w:p w14:paraId="41A12E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лапы подмоторной рамы недостаточно прочны и разрушаются</w:t>
      </w:r>
    </w:p>
    <w:p w14:paraId="5F787F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 необходимо пулеметы ШКАС заменить на крупнокалиберные</w:t>
      </w:r>
    </w:p>
    <w:p w14:paraId="2CB1F7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вооружению Ер-2 2АМ-37 - проходил испытания в декабое 1041 - январе 1942 и был выявлен ряд дефектов (796,16).</w:t>
      </w:r>
    </w:p>
    <w:p w14:paraId="42603E76" w14:textId="77777777" w:rsidR="00AE7191" w:rsidRPr="00722885" w:rsidRDefault="00AE7191" w:rsidP="00722885">
      <w:pPr>
        <w:pStyle w:val="Iauiue"/>
        <w:jc w:val="both"/>
        <w:rPr>
          <w:color w:val="000000" w:themeColor="text1"/>
          <w:sz w:val="16"/>
          <w:szCs w:val="16"/>
        </w:rPr>
      </w:pPr>
    </w:p>
    <w:p w14:paraId="014915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года гл. конструктор завода N 22 Путилов писал письмо Шахурину.</w:t>
      </w:r>
    </w:p>
    <w:p w14:paraId="6BC2FC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вопросу: о постройке высотных самолетов ВИ и ВБ с герметическими кабинами, на основе конструкции Пе-2, сообщаю следующее:</w:t>
      </w:r>
    </w:p>
    <w:p w14:paraId="324C20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Работы начатые ранее были прекращены с момента эвакуации завода N 22.</w:t>
      </w:r>
    </w:p>
    <w:p w14:paraId="2D828A9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Проекты были выполнены на 75% под моторы М-105Ф с турбокомпрессором и вооружение пулеметами Шкас.</w:t>
      </w:r>
    </w:p>
    <w:p w14:paraId="040BB7E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Основным вариантом был принят ВБ и как модификация - ВИ.</w:t>
      </w:r>
    </w:p>
    <w:p w14:paraId="509A9B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Оба варианта были заказаны в количестве по 5 самолетов.</w:t>
      </w:r>
    </w:p>
    <w:p w14:paraId="564824F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настоящее время, в связи с Вашим указанием, могут быть приняты следующие решения:</w:t>
      </w:r>
    </w:p>
    <w:p w14:paraId="28BE14A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Считать основным вариантом самолет ВИ с приспособлением его под задания ВБ.</w:t>
      </w:r>
    </w:p>
    <w:p w14:paraId="1F2C3CF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Строить самолет под моторы М-82 с двумя турбокомпрессорами ТК-3 и заменить пулеметы Шкас на Березина.</w:t>
      </w:r>
    </w:p>
    <w:p w14:paraId="7F2B9C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Выпустить 10 самолетов ВИ к 15 мая 1943 года.</w:t>
      </w:r>
    </w:p>
    <w:p w14:paraId="472C6DB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выполнения этого задания необходимо:</w:t>
      </w:r>
    </w:p>
    <w:p w14:paraId="0E7929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 целью ускорения проверки работы винтомоторной группы, построить серийный самолет Пе-2, оборудованный моторами М-82 с ТК-3 и выпустить его в полет 15 января 1943 года.</w:t>
      </w:r>
    </w:p>
    <w:p w14:paraId="592A58F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ЦИАМ должен передать заводу N 22 четыре штуки ТК-3 к 22 ноября 1942 года.</w:t>
      </w:r>
    </w:p>
    <w:p w14:paraId="48A4782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N 19 - 2 форсированных мотора М-82 с непосредственным впрыском к 1 декабря 1942 года.</w:t>
      </w:r>
    </w:p>
    <w:p w14:paraId="68A2BB1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Завод N 35 - 2 четырехлопастных винта к 25 декабря 1942 года.</w:t>
      </w:r>
    </w:p>
    <w:p w14:paraId="45EF9D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Построить опытную герметическую кабину и передать ее в ЛИИ для испытаний в барокамере к 15 февраля 1943 года со сроком окончания испытаний 15 марта 1943 года.</w:t>
      </w:r>
    </w:p>
    <w:p w14:paraId="14704F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этого надо поставить заводу N 22 плексиглас больших толщин (10-15 мм) к 15 декабря 1942 года.</w:t>
      </w:r>
    </w:p>
    <w:p w14:paraId="33A4FF9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ведения проектных работ по герметической аппаратуре откомандировать с завода N 166 инженера Январева и одного инженера из ЛИИ.</w:t>
      </w:r>
    </w:p>
    <w:p w14:paraId="5BEF082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С целью сохранения посадочных свойств, которые значительно ухудшаются в связи с увеличением веса самолета (на 600-700 кг), а также в связи с необходимостью повышения запаса прочности до 10,5 крат, наиболее рациональным является применение новых профилей осуществленных в проекте деревянных отъемов крыльев.</w:t>
      </w:r>
    </w:p>
    <w:p w14:paraId="7C1852A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Надо ускорить изготавливаемое в ЦАГИ опытное деревянное крыло и два комплекта крыльев для испытаний в трубе и на самолете. Срок выпуска должен быть не позднее 1 января 1943 года.</w:t>
      </w:r>
    </w:p>
    <w:p w14:paraId="4C288B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Одновременно должен быть решен вопрос о базе деревянных агрегатов для завода N 22.</w:t>
      </w:r>
    </w:p>
    <w:p w14:paraId="4A7D2AA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Включить в график завода N 22 постройку десяти самолетов ВИ в следующие сроки:</w:t>
      </w:r>
    </w:p>
    <w:p w14:paraId="3EDB4C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один самолет 5 апреля 1943 года</w:t>
      </w:r>
    </w:p>
    <w:p w14:paraId="7E0CC4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девять самолетов 15 мая 1943 года.</w:t>
      </w:r>
    </w:p>
    <w:p w14:paraId="4AE7D25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обеспечения выпуска десяти самолетов в указанные сроки, необходимо своевременная доставка моторов, турбокомпрессоров, высотных приборов и аппаратуры, и специальных материалов (1657,12).</w:t>
      </w:r>
    </w:p>
    <w:p w14:paraId="3A7CCE23" w14:textId="77777777" w:rsidR="00AE7191" w:rsidRPr="00722885" w:rsidRDefault="00AE7191" w:rsidP="00722885">
      <w:pPr>
        <w:pStyle w:val="Iauiue"/>
        <w:jc w:val="both"/>
        <w:rPr>
          <w:color w:val="000000" w:themeColor="text1"/>
          <w:sz w:val="16"/>
          <w:szCs w:val="16"/>
        </w:rPr>
      </w:pPr>
    </w:p>
    <w:p w14:paraId="60FCE49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вышел приказ НКАП N 684сс "О выпуске самолетов на заводе 153" в исполнение постановления ГКО от 6 сентября N 2248сс в целях увеличения выпуска истребительных самолетов:</w:t>
      </w:r>
    </w:p>
    <w:p w14:paraId="60DA40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Директору завода 153 Романову:</w:t>
      </w:r>
    </w:p>
    <w:p w14:paraId="2FE7ACE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увеличить выпуск самолетов Як-7: к концу сентября 10 в день, ноября - 14</w:t>
      </w:r>
    </w:p>
    <w:p w14:paraId="65E1296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прекратить немедленно отправку самолетов в агрегатах с завода 153 для завода 82 (1589,20).</w:t>
      </w:r>
    </w:p>
    <w:p w14:paraId="09FE4E8E" w14:textId="77777777" w:rsidR="00AE7191" w:rsidRPr="00722885" w:rsidRDefault="00AE7191" w:rsidP="00722885">
      <w:pPr>
        <w:pStyle w:val="Iauiue"/>
        <w:jc w:val="both"/>
        <w:rPr>
          <w:color w:val="000000" w:themeColor="text1"/>
          <w:sz w:val="16"/>
          <w:szCs w:val="16"/>
        </w:rPr>
      </w:pPr>
    </w:p>
    <w:p w14:paraId="7C1853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вышло постановление ГКО N 2281 "О программе выпуска самолетов Як-7 на заводе 82 (Москва)" (1589,78).</w:t>
      </w:r>
    </w:p>
    <w:p w14:paraId="4C57DF92" w14:textId="77777777" w:rsidR="00AE7191" w:rsidRPr="00722885" w:rsidRDefault="00AE7191" w:rsidP="00722885">
      <w:pPr>
        <w:pStyle w:val="Iauiue"/>
        <w:jc w:val="both"/>
        <w:rPr>
          <w:color w:val="000000" w:themeColor="text1"/>
          <w:sz w:val="16"/>
          <w:szCs w:val="16"/>
        </w:rPr>
      </w:pPr>
    </w:p>
    <w:p w14:paraId="6228BA48" w14:textId="77777777" w:rsidR="0016028C" w:rsidRPr="00722885" w:rsidRDefault="001602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1942 вышло постановление ГКО N 2281 "О программе выпуска самолетов Як-7 на заводе 82 (Москва)"</w:t>
      </w:r>
    </w:p>
    <w:p w14:paraId="4F7F389E" w14:textId="77777777" w:rsidR="0016028C" w:rsidRPr="00722885" w:rsidRDefault="0016028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Государственный Комитет Обороны постановляет:</w:t>
      </w:r>
    </w:p>
    <w:p w14:paraId="5EABE4C8" w14:textId="77777777" w:rsidR="0016028C" w:rsidRPr="00722885" w:rsidRDefault="0016028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1. Обязать Наркомавиапром - тов.Шахурина и директора завода № 82 - тов.Бугрова обеспечить выпуск самолетов Як</w:t>
      </w:r>
      <w:r w:rsidRPr="00722885">
        <w:rPr>
          <w:rFonts w:ascii="Times New Roman" w:cs="Times New Roman"/>
          <w:color w:val="000000" w:themeColor="text1"/>
          <w:spacing w:val="0"/>
          <w:sz w:val="16"/>
          <w:szCs w:val="16"/>
          <w:vertAlign w:val="superscript"/>
        </w:rPr>
        <w:t>1</w:t>
      </w:r>
      <w:r w:rsidRPr="00722885">
        <w:rPr>
          <w:rFonts w:ascii="Times New Roman" w:cs="Times New Roman"/>
          <w:color w:val="000000" w:themeColor="text1"/>
          <w:spacing w:val="0"/>
          <w:sz w:val="16"/>
          <w:szCs w:val="16"/>
        </w:rPr>
        <w:t>? на заводе № 82 в следующих количествах и сроки:</w:t>
      </w:r>
    </w:p>
    <w:p w14:paraId="0374AF44" w14:textId="77777777" w:rsidR="0016028C" w:rsidRPr="00722885" w:rsidRDefault="0016028C" w:rsidP="00722885">
      <w:pPr>
        <w:pStyle w:val="36"/>
        <w:shd w:val="clear" w:color="auto" w:fill="auto"/>
        <w:tabs>
          <w:tab w:val="left" w:pos="1310"/>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а) в сентябре по 3 самолета в день из агрегатов и деталей завода № </w:t>
      </w:r>
      <w:r w:rsidRPr="00722885">
        <w:rPr>
          <w:rStyle w:val="0pt"/>
          <w:rFonts w:ascii="Times New Roman" w:cs="Times New Roman"/>
          <w:color w:val="000000" w:themeColor="text1"/>
          <w:spacing w:val="0"/>
          <w:sz w:val="16"/>
          <w:szCs w:val="16"/>
        </w:rPr>
        <w:t>153;</w:t>
      </w:r>
    </w:p>
    <w:p w14:paraId="2E7478AE" w14:textId="77777777" w:rsidR="0016028C" w:rsidRPr="00722885" w:rsidRDefault="0016028C" w:rsidP="00722885">
      <w:pPr>
        <w:pStyle w:val="36"/>
        <w:shd w:val="clear" w:color="auto" w:fill="auto"/>
        <w:tabs>
          <w:tab w:val="left" w:pos="1408"/>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б) из деталей собственного производства завода № 82 в октябре по два самолета в день, в ноябре по три самоле</w:t>
      </w:r>
      <w:r w:rsidRPr="00722885">
        <w:rPr>
          <w:rFonts w:ascii="Times New Roman" w:cs="Times New Roman"/>
          <w:color w:val="000000" w:themeColor="text1"/>
          <w:spacing w:val="0"/>
          <w:sz w:val="16"/>
          <w:szCs w:val="16"/>
        </w:rPr>
        <w:softHyphen/>
        <w:t>та в день и с 15.ХД по 4 самолета в день.</w:t>
      </w:r>
    </w:p>
    <w:p w14:paraId="45466ECC" w14:textId="77777777" w:rsidR="0016028C" w:rsidRPr="00722885" w:rsidRDefault="0016028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2. Для обеспечения программы выпуска самолетов Як-7 на заводе 82 перевести на вавод 82 квалифицированных рабочих в количестве 300 человек с заводов № </w:t>
      </w:r>
      <w:r w:rsidRPr="00722885">
        <w:rPr>
          <w:rStyle w:val="0pt"/>
          <w:rFonts w:ascii="Times New Roman" w:cs="Times New Roman"/>
          <w:color w:val="000000" w:themeColor="text1"/>
          <w:spacing w:val="0"/>
          <w:sz w:val="16"/>
          <w:szCs w:val="16"/>
        </w:rPr>
        <w:t>292 - 100</w:t>
      </w:r>
      <w:r w:rsidRPr="00722885">
        <w:rPr>
          <w:rFonts w:ascii="Times New Roman" w:cs="Times New Roman"/>
          <w:color w:val="000000" w:themeColor="text1"/>
          <w:spacing w:val="0"/>
          <w:sz w:val="16"/>
          <w:szCs w:val="16"/>
        </w:rPr>
        <w:t xml:space="preserve"> че</w:t>
      </w:r>
      <w:r w:rsidRPr="00722885">
        <w:rPr>
          <w:rFonts w:ascii="Times New Roman" w:cs="Times New Roman"/>
          <w:color w:val="000000" w:themeColor="text1"/>
          <w:spacing w:val="0"/>
          <w:sz w:val="16"/>
          <w:szCs w:val="16"/>
        </w:rPr>
        <w:softHyphen/>
        <w:t>лове, №</w:t>
      </w:r>
      <w:r w:rsidRPr="00722885">
        <w:rPr>
          <w:rStyle w:val="0pt"/>
          <w:rFonts w:ascii="Times New Roman" w:cs="Times New Roman"/>
          <w:color w:val="000000" w:themeColor="text1"/>
          <w:spacing w:val="0"/>
          <w:sz w:val="16"/>
          <w:szCs w:val="16"/>
        </w:rPr>
        <w:t>166 - 100</w:t>
      </w:r>
      <w:r w:rsidRPr="00722885">
        <w:rPr>
          <w:rFonts w:ascii="Times New Roman" w:cs="Times New Roman"/>
          <w:color w:val="000000" w:themeColor="text1"/>
          <w:spacing w:val="0"/>
          <w:sz w:val="16"/>
          <w:szCs w:val="16"/>
        </w:rPr>
        <w:t xml:space="preserve"> человек и № 21 - </w:t>
      </w:r>
      <w:r w:rsidRPr="00722885">
        <w:rPr>
          <w:rStyle w:val="0pt"/>
          <w:rFonts w:ascii="Times New Roman" w:cs="Times New Roman"/>
          <w:color w:val="000000" w:themeColor="text1"/>
          <w:spacing w:val="0"/>
          <w:sz w:val="16"/>
          <w:szCs w:val="16"/>
        </w:rPr>
        <w:t>100</w:t>
      </w:r>
      <w:r w:rsidRPr="00722885">
        <w:rPr>
          <w:rFonts w:ascii="Times New Roman" w:cs="Times New Roman"/>
          <w:color w:val="000000" w:themeColor="text1"/>
          <w:spacing w:val="0"/>
          <w:sz w:val="16"/>
          <w:szCs w:val="16"/>
        </w:rPr>
        <w:t xml:space="preserve"> человек.</w:t>
      </w:r>
    </w:p>
    <w:p w14:paraId="3A155BCE" w14:textId="77777777" w:rsidR="0016028C" w:rsidRPr="00722885" w:rsidRDefault="0016028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З. Обяэать МК ВКП(б) - тов.Черноусова мобилизовать </w:t>
      </w:r>
      <w:r w:rsidRPr="00722885">
        <w:rPr>
          <w:rStyle w:val="0pt"/>
          <w:rFonts w:ascii="Times New Roman" w:cs="Times New Roman"/>
          <w:color w:val="000000" w:themeColor="text1"/>
          <w:spacing w:val="0"/>
          <w:sz w:val="16"/>
          <w:szCs w:val="16"/>
        </w:rPr>
        <w:t>500</w:t>
      </w:r>
      <w:r w:rsidRPr="00722885">
        <w:rPr>
          <w:rFonts w:ascii="Times New Roman" w:cs="Times New Roman"/>
          <w:color w:val="000000" w:themeColor="text1"/>
          <w:spacing w:val="0"/>
          <w:sz w:val="16"/>
          <w:szCs w:val="16"/>
        </w:rPr>
        <w:t xml:space="preserve"> человек квалифицированных рабочих с предприятий Мос</w:t>
      </w:r>
      <w:r w:rsidRPr="00722885">
        <w:rPr>
          <w:rFonts w:ascii="Times New Roman" w:cs="Times New Roman"/>
          <w:color w:val="000000" w:themeColor="text1"/>
          <w:spacing w:val="0"/>
          <w:sz w:val="16"/>
          <w:szCs w:val="16"/>
        </w:rPr>
        <w:softHyphen/>
        <w:t>ковской области на завод М 82 НКАП.</w:t>
      </w:r>
    </w:p>
    <w:p w14:paraId="606FC38D" w14:textId="77777777" w:rsidR="0016028C" w:rsidRPr="00722885" w:rsidRDefault="0016028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4. Обязать тов.Москатова перевести 500 человек рабо</w:t>
      </w:r>
      <w:r w:rsidRPr="00722885">
        <w:rPr>
          <w:rFonts w:ascii="Times New Roman" w:cs="Times New Roman"/>
          <w:color w:val="000000" w:themeColor="text1"/>
          <w:spacing w:val="0"/>
          <w:sz w:val="16"/>
          <w:szCs w:val="16"/>
        </w:rPr>
        <w:softHyphen/>
        <w:t xml:space="preserve">чих из оканчивающих московские РУ и школы ФЗО в сентябре месяце </w:t>
      </w:r>
      <w:r w:rsidRPr="00722885">
        <w:rPr>
          <w:rStyle w:val="0pt"/>
          <w:rFonts w:ascii="Times New Roman" w:cs="Times New Roman"/>
          <w:color w:val="000000" w:themeColor="text1"/>
          <w:spacing w:val="0"/>
          <w:sz w:val="16"/>
          <w:szCs w:val="16"/>
        </w:rPr>
        <w:t>1942</w:t>
      </w:r>
      <w:r w:rsidRPr="00722885">
        <w:rPr>
          <w:rFonts w:ascii="Times New Roman" w:cs="Times New Roman"/>
          <w:color w:val="000000" w:themeColor="text1"/>
          <w:spacing w:val="0"/>
          <w:sz w:val="16"/>
          <w:szCs w:val="16"/>
        </w:rPr>
        <w:t xml:space="preserve"> г. на завод № 82 НКАП.</w:t>
      </w:r>
    </w:p>
    <w:p w14:paraId="3AADF0A2" w14:textId="77777777" w:rsidR="0016028C" w:rsidRPr="00722885" w:rsidRDefault="0016028C" w:rsidP="00722885">
      <w:pPr>
        <w:pStyle w:val="34"/>
        <w:shd w:val="clear" w:color="auto" w:fill="auto"/>
        <w:spacing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5. Обя8а?ь НКО - тов.Щаденко передать </w:t>
      </w:r>
      <w:r w:rsidRPr="00722885">
        <w:rPr>
          <w:rStyle w:val="30pt"/>
          <w:rFonts w:ascii="Times New Roman" w:hAnsi="Times New Roman" w:cs="Times New Roman"/>
          <w:color w:val="000000" w:themeColor="text1"/>
          <w:sz w:val="16"/>
          <w:szCs w:val="16"/>
          <w:lang w:val="ru-RU"/>
        </w:rPr>
        <w:t>500</w:t>
      </w:r>
      <w:r w:rsidRPr="00722885">
        <w:rPr>
          <w:rFonts w:ascii="Times New Roman" w:cs="Times New Roman"/>
          <w:color w:val="000000" w:themeColor="text1"/>
          <w:spacing w:val="0"/>
          <w:sz w:val="16"/>
          <w:szCs w:val="16"/>
        </w:rPr>
        <w:t xml:space="preserve"> человек, из числа непригодных к строевой службе, квалифицированных рабочих заводу № 93 НКАП</w:t>
      </w:r>
      <w:r w:rsidRPr="00722885">
        <w:rPr>
          <w:rStyle w:val="30pt"/>
          <w:rFonts w:ascii="Times New Roman" w:hAnsi="Times New Roman" w:cs="Times New Roman"/>
          <w:color w:val="000000" w:themeColor="text1"/>
          <w:sz w:val="16"/>
          <w:szCs w:val="16"/>
          <w:lang w:val="ru-RU"/>
        </w:rPr>
        <w:t>.</w:t>
      </w:r>
    </w:p>
    <w:p w14:paraId="3DF54CB8" w14:textId="77777777" w:rsidR="0016028C" w:rsidRPr="00722885" w:rsidRDefault="0016028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6. Разрешить Наркоиавиапрому передать из мобэапасов заводов НКАП заводу № 82 инструмент на сумму </w:t>
      </w:r>
      <w:r w:rsidRPr="00722885">
        <w:rPr>
          <w:rStyle w:val="0pt"/>
          <w:rFonts w:ascii="Times New Roman" w:cs="Times New Roman"/>
          <w:color w:val="000000" w:themeColor="text1"/>
          <w:spacing w:val="0"/>
          <w:sz w:val="16"/>
          <w:szCs w:val="16"/>
        </w:rPr>
        <w:t>1.500</w:t>
      </w:r>
      <w:r w:rsidRPr="00722885">
        <w:rPr>
          <w:rFonts w:ascii="Times New Roman" w:cs="Times New Roman"/>
          <w:color w:val="000000" w:themeColor="text1"/>
          <w:spacing w:val="0"/>
          <w:sz w:val="16"/>
          <w:szCs w:val="16"/>
        </w:rPr>
        <w:t xml:space="preserve"> тыс. руб.</w:t>
      </w:r>
    </w:p>
    <w:p w14:paraId="068D0ED5" w14:textId="77777777" w:rsidR="0016028C" w:rsidRPr="00722885" w:rsidRDefault="0016028C" w:rsidP="00722885">
      <w:pPr>
        <w:framePr w:h="309" w:wrap="around" w:hAnchor="margin" w:x="-907" w:y="4583"/>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w:t>
      </w:r>
    </w:p>
    <w:p w14:paraId="6C7EA8A4" w14:textId="77777777" w:rsidR="0016028C" w:rsidRPr="00722885" w:rsidRDefault="001602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Обязать директора завода </w:t>
      </w:r>
      <w:r w:rsidRPr="00722885">
        <w:rPr>
          <w:rStyle w:val="0pt"/>
          <w:rFonts w:ascii="Times New Roman" w:hAnsi="Times New Roman" w:cs="Times New Roman"/>
          <w:color w:val="000000" w:themeColor="text1"/>
          <w:spacing w:val="0"/>
          <w:sz w:val="16"/>
          <w:szCs w:val="16"/>
        </w:rPr>
        <w:t>153 -</w:t>
      </w:r>
      <w:r w:rsidRPr="00722885">
        <w:rPr>
          <w:rFonts w:ascii="Times New Roman" w:hAnsi="Times New Roman"/>
          <w:color w:val="000000" w:themeColor="text1"/>
          <w:sz w:val="16"/>
          <w:szCs w:val="16"/>
        </w:rPr>
        <w:t xml:space="preserve"> тов.Романова по</w:t>
      </w:r>
      <w:r w:rsidRPr="00722885">
        <w:rPr>
          <w:rFonts w:ascii="Times New Roman" w:hAnsi="Times New Roman"/>
          <w:color w:val="000000" w:themeColor="text1"/>
          <w:sz w:val="16"/>
          <w:szCs w:val="16"/>
        </w:rPr>
        <w:softHyphen/>
        <w:t xml:space="preserve">ставлять заводу № 82 на программу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olor w:val="000000" w:themeColor="text1"/>
          <w:sz w:val="16"/>
          <w:szCs w:val="16"/>
        </w:rPr>
        <w:t xml:space="preserve"> г.: детали горячей штамповки черного и цветного металлов, детали литья, комп</w:t>
      </w:r>
      <w:r w:rsidRPr="00722885">
        <w:rPr>
          <w:rFonts w:ascii="Times New Roman" w:hAnsi="Times New Roman"/>
          <w:color w:val="000000" w:themeColor="text1"/>
          <w:sz w:val="16"/>
          <w:szCs w:val="16"/>
        </w:rPr>
        <w:softHyphen/>
        <w:t xml:space="preserve">лекты арматуры, нормали, все аварийные клапаны, бензиномеры, механизмы управления </w:t>
      </w:r>
      <w:r w:rsidRPr="00722885">
        <w:rPr>
          <w:rStyle w:val="0pt"/>
          <w:rFonts w:ascii="Times New Roman" w:hAnsi="Times New Roman" w:cs="Times New Roman"/>
          <w:color w:val="000000" w:themeColor="text1"/>
          <w:spacing w:val="0"/>
          <w:sz w:val="16"/>
          <w:szCs w:val="16"/>
        </w:rPr>
        <w:t>Р7,</w:t>
      </w:r>
      <w:r w:rsidRPr="00722885">
        <w:rPr>
          <w:rFonts w:ascii="Times New Roman" w:hAnsi="Times New Roman"/>
          <w:color w:val="000000" w:themeColor="text1"/>
          <w:sz w:val="16"/>
          <w:szCs w:val="16"/>
        </w:rPr>
        <w:t xml:space="preserve"> краны управления (шасси, щитками) и шкворенб шасси в обработанном виде, обратные клапаны и пневмосистемы (19364).</w:t>
      </w:r>
    </w:p>
    <w:p w14:paraId="52187C4F" w14:textId="77777777" w:rsidR="00BB3B9D" w:rsidRPr="00722885" w:rsidRDefault="00BB3B9D" w:rsidP="00722885">
      <w:pPr>
        <w:pStyle w:val="Iauiue"/>
        <w:jc w:val="both"/>
        <w:rPr>
          <w:color w:val="000000" w:themeColor="text1"/>
          <w:sz w:val="16"/>
          <w:szCs w:val="16"/>
        </w:rPr>
      </w:pPr>
    </w:p>
    <w:p w14:paraId="1065CFB9"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1942 вышло Постановление ГКО № 2281 О программе выпуска самолетов Як-7 на заводе № 82 (Москва). РГАНИР, Фонд ГКО, д. 55, лл. 162 (11012).</w:t>
      </w:r>
    </w:p>
    <w:p w14:paraId="2CDEAAB3"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75475B3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1942 вышло Постановление ГКО № 2284 О производстве самолетов УТ-2 с мотором М-11 на заводе № 600 НКАП. РГАНИР, Фонд ГКО, д. 55, лл. 165 (11012).</w:t>
      </w:r>
    </w:p>
    <w:p w14:paraId="4D83EE34"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59561FD3" w14:textId="77777777" w:rsidR="0016028C" w:rsidRPr="00722885" w:rsidRDefault="001602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1942 вышло Постановление ГКО № 2284 О производстве самолетов УТ-2 с мотором М-11 на заводе № 600 НКАП</w:t>
      </w:r>
    </w:p>
    <w:p w14:paraId="580FC0CF" w14:textId="77777777" w:rsidR="0016028C" w:rsidRPr="00722885" w:rsidRDefault="0016028C"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Государственный Комитет Обороны постановляет:</w:t>
      </w:r>
    </w:p>
    <w:p w14:paraId="6F64B943" w14:textId="77777777" w:rsidR="0016028C" w:rsidRPr="00722885" w:rsidRDefault="0016028C" w:rsidP="00722885">
      <w:pPr>
        <w:pStyle w:val="6"/>
        <w:shd w:val="clear" w:color="auto" w:fill="auto"/>
        <w:tabs>
          <w:tab w:val="left" w:pos="958"/>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1. Обязать Наркомавиапром т.Шахурина организовать на заводе № 600 в г.Урумчи (Западный Китай).производ</w:t>
      </w:r>
      <w:r w:rsidRPr="00722885">
        <w:rPr>
          <w:rFonts w:ascii="Times New Roman" w:hAnsi="Times New Roman" w:cs="Times New Roman"/>
          <w:color w:val="000000" w:themeColor="text1"/>
          <w:spacing w:val="0"/>
          <w:sz w:val="16"/>
          <w:szCs w:val="16"/>
        </w:rPr>
        <w:softHyphen/>
        <w:t>ство самолетов УТ-2 с мотором М-11, оборудованных двумя замками для бомб по 50 кг и шестью балка-ми РО-82, обеспечив выпуск их в 1942 году в количестве 100 еди</w:t>
      </w:r>
      <w:r w:rsidRPr="00722885">
        <w:rPr>
          <w:rFonts w:ascii="Times New Roman" w:hAnsi="Times New Roman" w:cs="Times New Roman"/>
          <w:color w:val="000000" w:themeColor="text1"/>
          <w:spacing w:val="0"/>
          <w:sz w:val="16"/>
          <w:szCs w:val="16"/>
        </w:rPr>
        <w:softHyphen/>
        <w:t>ниц.</w:t>
      </w:r>
    </w:p>
    <w:p w14:paraId="0624270B" w14:textId="77777777" w:rsidR="0016028C" w:rsidRPr="00722885" w:rsidRDefault="0016028C" w:rsidP="00722885">
      <w:pPr>
        <w:pStyle w:val="34"/>
        <w:framePr w:h="298" w:wrap="around" w:hAnchor="margin" w:x="-1349" w:y="5318"/>
        <w:shd w:val="clear" w:color="auto" w:fill="auto"/>
        <w:spacing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i</w:t>
      </w:r>
    </w:p>
    <w:p w14:paraId="33FA9375" w14:textId="77777777" w:rsidR="0016028C" w:rsidRPr="00722885" w:rsidRDefault="0016028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Наркомфин СССР т.Зверева выделить из резервного фонда СНК СССР на постановку производства самолетов УТ-2 два миллиона рублей, в том числе 50% в инвалюте (19366).</w:t>
      </w:r>
    </w:p>
    <w:p w14:paraId="2EF7CDC4" w14:textId="77777777" w:rsidR="0016028C" w:rsidRPr="00722885" w:rsidRDefault="0016028C" w:rsidP="00722885">
      <w:pPr>
        <w:spacing w:after="0" w:line="240" w:lineRule="auto"/>
        <w:jc w:val="both"/>
        <w:rPr>
          <w:rFonts w:ascii="Times New Roman" w:hAnsi="Times New Roman"/>
          <w:color w:val="000000" w:themeColor="text1"/>
          <w:sz w:val="16"/>
          <w:szCs w:val="16"/>
        </w:rPr>
      </w:pPr>
    </w:p>
    <w:p w14:paraId="739D9F02" w14:textId="77777777" w:rsidR="001E0E61" w:rsidRPr="00722885" w:rsidRDefault="001E0E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1942 г. Постановлением ГКО заводу № 600 была поручена постройка самолётов УТ-2МВ. Этот самолёт, разработанный в 1942 г. ОКБ А.С.Яковлева на базе учебного УТ-2М, предназначался для обучения бомбометанию в лётных училищах и для применения на фронтах в качестве лёгкого бомбардировщика и лёгкого штурмовика, а также связного. УТ-2МВ оснащался 6-8 балками РО-82 для реактивных снарядов и четырьмя замками для подвески 50-кг бомб. С двумя членами экипажа самолёт мог нести две 50-кг бомбы, а с одним членом экипажа – четыре таких бомбы или 8 РС-82 и две 50-кг бомбы. Опытный экземпляр УТ-2МВ с мотором М-11Ф в 140 л.с. был построен оренбургским авиазаводом № 47 и прошёл испытания в НИИ ВВС. Выяснилось, что при существующем прицеле один лётчик не в состоянии производить прицельное бомбометание, а штурман может делать это с трудом. Тем не менее, самолёт был уже запущен в серию (19006).</w:t>
      </w:r>
    </w:p>
    <w:p w14:paraId="00EA0285" w14:textId="77777777" w:rsidR="001E0E61" w:rsidRPr="00722885" w:rsidRDefault="001E0E61" w:rsidP="00722885">
      <w:pPr>
        <w:spacing w:after="0" w:line="240" w:lineRule="auto"/>
        <w:jc w:val="both"/>
        <w:rPr>
          <w:rFonts w:ascii="Times New Roman" w:hAnsi="Times New Roman"/>
          <w:color w:val="000000" w:themeColor="text1"/>
          <w:sz w:val="16"/>
          <w:szCs w:val="16"/>
        </w:rPr>
      </w:pPr>
    </w:p>
    <w:p w14:paraId="2C6F66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ви НИИ ВВС подготовили оценку по состоянию на сентябрь 1942 наших самолетов строевыми частями. Это была часть материалов к докладу ГИ ВВС глиас Репина “Выполнение промышленностью НКАП требований НИИ ВВС КА по устранению конструктивных и производственных дефектов и недоделок, выявленных в процессе испытаний с-тов”</w:t>
      </w:r>
    </w:p>
    <w:p w14:paraId="48B3BA5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Истребительные с-ты</w:t>
      </w:r>
    </w:p>
    <w:p w14:paraId="31FF72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Як-1</w:t>
      </w:r>
    </w:p>
    <w:p w14:paraId="2FD6B7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С-ь № 0406 проходил госиспытания в НИИ ВВС КА с 28 февраля по 29 марта 1941. Отчет утвержден 14 апреля 1941 Нач. ГУ ВВС КА</w:t>
      </w:r>
    </w:p>
    <w:p w14:paraId="5B3CA23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Дефекты имеющие место на опытном с-та и не устраненные до сих пор:</w:t>
      </w:r>
    </w:p>
    <w:p w14:paraId="4028E6E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негерметичность проводов и кранов пневмосистемы</w:t>
      </w:r>
    </w:p>
    <w:p w14:paraId="7C2F4F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при выбивании масла из суфлера масло попадает на мотор и сильно загрязняет его, а также на нижний капот и в водорадиатор</w:t>
      </w:r>
    </w:p>
    <w:p w14:paraId="3E1A75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неравномерная выработка горючего из правой и левой группы баков</w:t>
      </w:r>
    </w:p>
    <w:p w14:paraId="180BCBF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 0551, проходил госиспытания в НИИ ВВС КА с 10 июня по 30 июня 1941. Отчет утвержден 19 июля 1941 нач. НИИ ВВС КА</w:t>
      </w:r>
    </w:p>
    <w:p w14:paraId="179C112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Дефекты имеющие место и не устраненные до сих пор:</w:t>
      </w:r>
    </w:p>
    <w:p w14:paraId="5949EF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травлоение воздуха из пневмосистемы</w:t>
      </w:r>
    </w:p>
    <w:p w14:paraId="04717EF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выворачиваются и выпадают шурупы, крепящие люки под б/б</w:t>
      </w:r>
    </w:p>
    <w:p w14:paraId="1121511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 2029, проходил госипытания в НИИ ВВС с 27 сентября по 14 ноября 1941. Отчет утвержден 16 ноября 1941 Нач. НИИ ВВС КА</w:t>
      </w:r>
    </w:p>
    <w:p w14:paraId="46313E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Дефекты имеющие место и не устраненные до сих пор:</w:t>
      </w:r>
    </w:p>
    <w:p w14:paraId="6A2BBF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негерметичность трубопроводов</w:t>
      </w:r>
    </w:p>
    <w:p w14:paraId="2B5613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неравномерность выработки бензина из баков</w:t>
      </w:r>
    </w:p>
    <w:p w14:paraId="2026017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показания бензиномеров не соответствуют истинному колическву горючего в баках</w:t>
      </w:r>
    </w:p>
    <w:p w14:paraId="6D13E6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ослепление л при стрельбе из ШКАС в ночных условиях</w:t>
      </w:r>
    </w:p>
    <w:p w14:paraId="2F7E073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отсутствует вариометр (от требование с опытного И-26)</w:t>
      </w:r>
    </w:p>
    <w:p w14:paraId="10E810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низкое качество металлизации и экранировки</w:t>
      </w:r>
    </w:p>
    <w:p w14:paraId="31C8A6E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 3855, проходил госиспытания в НИИ ВВС КА с 7 марта по 2 апреля 1942. Отчет утвержден 10 мая 1942 ГИ ВВС КА</w:t>
      </w:r>
    </w:p>
    <w:p w14:paraId="79B729E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Дефекты имеющие место и не устраненные до сих пор:</w:t>
      </w:r>
    </w:p>
    <w:p w14:paraId="02CF82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отказы в работе бензиномеров</w:t>
      </w:r>
    </w:p>
    <w:p w14:paraId="6DC0AF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выворачивание шурупов, крепящих люки б/б</w:t>
      </w:r>
    </w:p>
    <w:p w14:paraId="1423C2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забрызгивание маслом козырька кабины л и фюзеляжа вследствие выбивания масла из суфлера через дренажную трубку и из-под вала редуктора мотора</w:t>
      </w:r>
    </w:p>
    <w:p w14:paraId="3AE4DB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неравномерная выработка горючего из правой и левой групп баков</w:t>
      </w:r>
    </w:p>
    <w:p w14:paraId="78C2DCC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 3560, проходил госиспытания в НИИ ВВС с 4 июля по 14 июля 1942. Отчет утвержден 21 июля 1942 ГИ ВВС КА</w:t>
      </w:r>
    </w:p>
    <w:p w14:paraId="669CCBF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Дефекты имеющие место и не устраненные до сих пор:</w:t>
      </w:r>
    </w:p>
    <w:p w14:paraId="284A48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негерметичность пневмосистемы</w:t>
      </w:r>
    </w:p>
    <w:p w14:paraId="44D035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недостаточная прочность и жесткость отдельных агрегатов установки БС</w:t>
      </w:r>
    </w:p>
    <w:p w14:paraId="02ABFA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невозможность заряжания пушки ШВАК без предварительного снятия патронной коробки пулемета БС</w:t>
      </w:r>
    </w:p>
    <w:p w14:paraId="1AB4AC0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штурвал управления Р-7 не обеспечивает быстрого перевода винта с большого шага на малый. Необходимо заменить штурвал рычагами.</w:t>
      </w:r>
    </w:p>
    <w:p w14:paraId="2037771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Як-7</w:t>
      </w:r>
    </w:p>
    <w:p w14:paraId="0AE148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 0411, проходил испытания в сентябре 1941</w:t>
      </w:r>
    </w:p>
    <w:p w14:paraId="7FA1CD6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Як-7М № 0512 проходил испытания с 5 октября по 27 декабря 1941</w:t>
      </w:r>
    </w:p>
    <w:p w14:paraId="7D52F74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Дефекты имеющие место и не устраненные до сих пор:</w:t>
      </w:r>
    </w:p>
    <w:p w14:paraId="72E49A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негерметичность пневмосистемы</w:t>
      </w:r>
    </w:p>
    <w:p w14:paraId="470381B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неравномерность выработки горючего</w:t>
      </w:r>
    </w:p>
    <w:p w14:paraId="6C94E4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выбивание масла из суфлера мотора</w:t>
      </w:r>
    </w:p>
    <w:p w14:paraId="271F844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 с-та, состоящего из одной пушки ШВАК и 2-х пулеметов ШКАС характеризуется строевыми частями как слабое и неэффективное</w:t>
      </w:r>
    </w:p>
    <w:p w14:paraId="7F22A7E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Вооружение с-та, состоящего из одной пушки ШВАК и 2-х пулеметов УБС характеризуется строевыми частями как достаточное и эффективное. До 1000 выстрелов УБС работают надежно, а затем имеют место частые поломки.</w:t>
      </w:r>
    </w:p>
    <w:p w14:paraId="6F8F47E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Як-1 к ночным и слепым полетам не подготовлен ввиду отсутствия на нем вариометра, авиагоризонта, РПК и подсветки приборов (или УФО приборов)</w:t>
      </w:r>
    </w:p>
    <w:p w14:paraId="66C5D80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Существующий объем спецоборудования допускает его использование вблизи своих аэродромов и только в условиях визуальной видимости земных ориентиров.</w:t>
      </w:r>
    </w:p>
    <w:p w14:paraId="4EFE966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Р/с устиановлена только на ограниченном количестве с-тов (на каждом 10-м), а все остальные не м.б использованы для применения на них средств связи, т.к. для этой цели они не подготовлены (нет металлизации, экранировки и мест крепления р/с)</w:t>
      </w:r>
    </w:p>
    <w:p w14:paraId="17DC0CC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Як-7 при условии установки на нем авиагоризонта и РПК (установка которого отработана на Як-7б № 14-13) может быть использован для боевого применения в любых условиях. При существующем объеме оборудования он может использоваться только при наличии видимости наземных ориентиров. Р/с на с-те из-за низкого качества экранировки, металлизации и отсутсия фильтра в системе зажигания и ГС-250 (после РК-350) ограничена дальностью 70-80 м и только на новых с-тах.</w:t>
      </w:r>
    </w:p>
    <w:p w14:paraId="6FE2628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Неразъемная конструкция крыла создает большие неудобства и трудности в эксплуатации: при сборке, разборке и транспортировке с-та, а также при замене поврежденной консоли крыла.</w:t>
      </w:r>
    </w:p>
    <w:p w14:paraId="5AEB2FD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Як-1 и Як-7 с неформированным мотором М-105А при наддуве 910 ии по максимальной скорости несколько уступает с-ту Ме-109Ф до 1-й гр. высотности, на 2-й гр. высотности с-т Як-1 имеет максимальную скорость на 2 км//час, а с-т Як-7 на 6 км/час большую, чем Ме-109Ф. С форсированным мотором М-105ПФ при наддуве 1050 мм на высоте от 0 до 2000 м Як-12 по макс. скорости приблизился к Ме=-109Ф, а с-т Як-7 у земли незначительно превосходит его. На высоте от 2000 до 3000 м с-ты Як-7 и Як-1 уступают в макс. скорости с-ту Ме-109Ф (до 10 км/час). На высоте 3000-5000 превосходят по макс. скорости Ме-109Ф.</w:t>
      </w:r>
    </w:p>
    <w:p w14:paraId="0B96E7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Скороподъемность с-тов Як-1 и Як-7 несколько меньше скороподъемности Ме-109Ф. С-т Як-1 по своей маневренности уступает Ме-109Ф на высотах ниже 3000 м. Маневренные качества в вертикальной плоскости с-та Як-7 и Ие-109Ф практически одинаковы</w:t>
      </w:r>
    </w:p>
    <w:p w14:paraId="3730942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ЛаГГ-3 м М-105 и М-105Ф</w:t>
      </w:r>
    </w:p>
    <w:p w14:paraId="5DB062F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НИИ ВВС проведены испытания:</w:t>
      </w:r>
    </w:p>
    <w:p w14:paraId="52D1DD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опытного с-та, отчет утвержден ГУ ВВС КА 9 августа 1940</w:t>
      </w:r>
    </w:p>
    <w:p w14:paraId="58219E3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контрольные испытания ЛаГГ-3 серийного производства з-да № 21, отчет утвержден Нич. НИИ ВВС 29 июля 1941</w:t>
      </w:r>
    </w:p>
    <w:p w14:paraId="1CBF86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контрольные испытания с-та 7 серии производства зхавода № 21, отчет утв. Нач. ГУ ВВС КА 7 октября 1941</w:t>
      </w:r>
    </w:p>
    <w:p w14:paraId="7A89C49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испытания ЛаГГ-3 на лыжах, отчет от 30 декабря 1941, утв. 6 марта 1942 Нач. и Военкомом НИИ ВВС</w:t>
      </w:r>
    </w:p>
    <w:p w14:paraId="12484AA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lastRenderedPageBreak/>
        <w:t>- контрольные испытания с-та 23 серии, отч. утв. ГИ ВВС КА 6 мая 1942</w:t>
      </w:r>
    </w:p>
    <w:p w14:paraId="7A63873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Качество с-та ЛаГГ-3 (по материалам, собранным за последние 3-4 месяца)</w:t>
      </w:r>
    </w:p>
    <w:p w14:paraId="5746E71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Основными дефектами, намного снижающими боевую ценности с-та ЛаГГ-3 ячвляются:</w:t>
      </w:r>
    </w:p>
    <w:p w14:paraId="561CAB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массове явление выбрызкивания масла из винтов 105П и забрызгивание вследствие этого козырька кабины л маслом, что делает абсолютно невозможным ведение прицельной стрельбы. По этой причине выведено из строя большое количество с-тов в строевых частях (например, закавказский, калининский фронты)</w:t>
      </w:r>
    </w:p>
    <w:p w14:paraId="24E002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температурный режим работы мотора в условиях летней эксплуатации в южных районах страны. Необходимо обязать з-д № 31 немедленно выпустить в серию измененный и испытанный в полете туннель водорадиатора конструкции т. Горбунова</w:t>
      </w:r>
    </w:p>
    <w:p w14:paraId="40D21B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массовое явление расспрессовывания и коробления обшивки с-та в условиях летней эксплуатации. Необходимо улучшить технологию склейки.</w:t>
      </w:r>
    </w:p>
    <w:p w14:paraId="5784597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фонарь кабины пилота имеет серьезные конструктивные недостатки:</w:t>
      </w:r>
    </w:p>
    <w:p w14:paraId="0B68CB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заикм крепления подвижной части фонаря в переднем и заднем положениях ненадежны</w:t>
      </w:r>
    </w:p>
    <w:p w14:paraId="4E5C597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фонарь невозможно открыть в полете на больших скоростях и на пикировании</w:t>
      </w:r>
    </w:p>
    <w:p w14:paraId="47E0FB3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сферическая поверхность плексигласового фонаря искажает цели</w:t>
      </w:r>
    </w:p>
    <w:p w14:paraId="1D12C77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обзор назад неудовлетворителен</w:t>
      </w:r>
    </w:p>
    <w:p w14:paraId="747B39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частыми дефектами в работе вооружения вяляются заклинение гильз в гильзоотводах установки УБС</w:t>
      </w:r>
    </w:p>
    <w:p w14:paraId="366968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Летный состав строевых частей отмечает, что с-т ЛаГГ-3 уступает неприятельским истребителям главным образом в скороподъемности, в вертикальной маневренности и в простоте техники пилотирования (имеются в виду с-ты с неизмененными рылями).</w:t>
      </w:r>
    </w:p>
    <w:p w14:paraId="04C89A0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вооружению с-т ЛаГГ-3 имеет преимущества перед Ме-109. После установки на с-т измененных рулей техника пилотирования упростилась (нагрузки на рули стали незначительными)</w:t>
      </w:r>
    </w:p>
    <w:p w14:paraId="1EC8DA7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этом направлении необходимо осуществить установку на с-та ЛаГГ-3 отработанных уже на с-те ЛаГГ-5 крыльев с предкрылками.</w:t>
      </w:r>
    </w:p>
    <w:p w14:paraId="1A714F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Уступают наши с-ты немецким и в качестве производственного выполнения, а также в удобстве эксплуатации.</w:t>
      </w:r>
    </w:p>
    <w:p w14:paraId="0805FC5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Живучесть пулемета УБС недостаточна. После отстрела 1000 выстрелов начинаются частые поломки деталей пклемета. Прицел не удовлетворяет летный состав. Ночью применение невозможно из-за излишне яркого освещения сетки прицела (также как и на Як-1 и Як-7).</w:t>
      </w:r>
    </w:p>
    <w:p w14:paraId="68AF46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 ЛаГГ-5 с М-82</w:t>
      </w:r>
    </w:p>
    <w:p w14:paraId="272A47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Опытный проходил испытания на заводе № 21 в мае 1942.</w:t>
      </w:r>
    </w:p>
    <w:p w14:paraId="1BF985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Контрольные заведские испытания серийного ЛаГГ-5 прошли на заводе №31 в августе 1942.</w:t>
      </w:r>
    </w:p>
    <w:p w14:paraId="4E8EFE5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Недостатки:</w:t>
      </w:r>
    </w:p>
    <w:p w14:paraId="5EC0F7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недостатки системы управления газом</w:t>
      </w:r>
    </w:p>
    <w:p w14:paraId="2BD269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емкость бортового акумулятора не обеспечивает питания</w:t>
      </w:r>
    </w:p>
    <w:p w14:paraId="421B455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качество производственного выполнения - низкое</w:t>
      </w:r>
    </w:p>
    <w:p w14:paraId="2B40C7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выбивание масла из дренажа м.б. большим</w:t>
      </w:r>
    </w:p>
    <w:p w14:paraId="6F277F4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велики усилия для включения форсажа</w:t>
      </w:r>
    </w:p>
    <w:p w14:paraId="594B32D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слабо крепление маслорадиатора (796,2).</w:t>
      </w:r>
    </w:p>
    <w:p w14:paraId="34E95C5C" w14:textId="77777777" w:rsidR="00AE7191" w:rsidRPr="00722885" w:rsidRDefault="00AE7191" w:rsidP="00722885">
      <w:pPr>
        <w:pStyle w:val="Iauiue"/>
        <w:jc w:val="both"/>
        <w:rPr>
          <w:color w:val="000000" w:themeColor="text1"/>
          <w:sz w:val="16"/>
          <w:szCs w:val="16"/>
        </w:rPr>
      </w:pPr>
    </w:p>
    <w:p w14:paraId="7789067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года зам. начальника НИИ по летной части - полковник Кабанов подготовил справку:</w:t>
      </w:r>
    </w:p>
    <w:p w14:paraId="5ECAFE2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Облет самолета НББ с 2М-11Ф.</w:t>
      </w:r>
    </w:p>
    <w:p w14:paraId="2C849A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с помощью тормозов рулит хорошо, без пользования тормозами самолет на рулежке руля поворота не слушается, с отстопоренным костылем, вертляв.</w:t>
      </w:r>
    </w:p>
    <w:p w14:paraId="7622180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Разбег незначителен, направление легко удерживается ногами. Отрывается на скорости 75-80 км/час. На этой скорости несколько неустойчив, особенно в поперечном отношении. На наборе самолет прост, обзор вперед достаточен, но можно легко сделать еще лучшим. скорость на наборе 110 км/час, горизонтальный полет прост, так как самолет достаточно устойчив в путевом и продольном отношении, требует доработки поперечная устойчивость. Планирование и посадка просты.</w:t>
      </w:r>
    </w:p>
    <w:p w14:paraId="1501B5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пробеге самолет слушается ног хорошо.</w:t>
      </w:r>
    </w:p>
    <w:p w14:paraId="7D8E06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полете обращает на себя внимание слишком малая нагрузка на рулях, что затруднит полет в плохих условиях и ночью. Самолет легко берет груз 500 кг и имеется возможность (по летным данным) увеличить его до 700 кг. самолет неприхотлив в отношении аэродрома и может работать со случайных площадок.</w:t>
      </w:r>
    </w:p>
    <w:p w14:paraId="4C92DAF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вполне доступен летному молодняку, после незначительной тренировки.</w:t>
      </w:r>
    </w:p>
    <w:p w14:paraId="38E6BFD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года летчик-испытатель Шиянов.</w:t>
      </w:r>
    </w:p>
    <w:p w14:paraId="075AAF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Облет самолета "НБ5" 8.9.42 г.</w:t>
      </w:r>
    </w:p>
    <w:p w14:paraId="3D0474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Кабина.</w:t>
      </w:r>
    </w:p>
    <w:p w14:paraId="6F0341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Кабина самолета удобная. Оборудование расположено правильно. Обзор вперед и вниз особенно при рулежке и подъеме несколько недостаточный. Желательно опустить вниз, на 100-150 мм, приборную доску и на ее место сделать продолжение прозрачной части козырька.</w:t>
      </w:r>
    </w:p>
    <w:p w14:paraId="6AFCA2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 время полетов в плохих метеорологических условиях, сумерках, при взлете и посадке против солнца, а также при плохом качестве плексигласа, обзор вперед может быть затруднен, а поэтому желательно, прорезать, передней левой части козырька, небольшую, открывшуюся внутрь форточку.</w:t>
      </w:r>
    </w:p>
    <w:p w14:paraId="78EA82C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верхней передней части фонаря можно рекомендовать установку небольших темных шторок, для защиты глаз при полете против солнца. На сектора газа необходимо сделать ограничители для полета по горизонтали (во избежание раскрутки винтов). Необходимо опустить вниз, на 100-150 мм, штурвал управления самолетом.</w:t>
      </w:r>
    </w:p>
    <w:p w14:paraId="57A8691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 как самолет, с отконтренным хвостовым колесом, имеет тенденцию к разворотам при пробеге, желательно связать стопорение колеса с дачей полного газа (пилот может забыть законтрить колесо).</w:t>
      </w:r>
    </w:p>
    <w:p w14:paraId="72D5160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Взлет.</w:t>
      </w:r>
    </w:p>
    <w:p w14:paraId="73BB40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 разбеге самолет устойчиво выдерживает принятое направление. Хвост поднимается легко. Рули становятся эффективными непосредственно после начала разбега. На наборе высоты самолет имеет небольшой запас положительной устойчивости. Обзор на подъем, в связи с высоким расположением приборной доски, несколько недостаточен.</w:t>
      </w:r>
    </w:p>
    <w:p w14:paraId="719F56B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Полет.</w:t>
      </w:r>
    </w:p>
    <w:p w14:paraId="08CF7F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устойчиво летит, и под воздействием толчков при болтанке, сам восстанавливает первоначальное направление. Усилие на рули очень незначительное. направление усилий, при изменении режима работы мотора, нормальное. Эффективность рулей, от V max хорошее.</w:t>
      </w:r>
    </w:p>
    <w:p w14:paraId="1B5A5E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Устойчивость.</w:t>
      </w:r>
    </w:p>
    <w:p w14:paraId="74D65CA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имеет запас положительной устойчивости с брошенной ручкой.</w:t>
      </w:r>
    </w:p>
    <w:p w14:paraId="5EAC72C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подъеме запас устойчивости невелик.</w:t>
      </w:r>
    </w:p>
    <w:p w14:paraId="18BBA0C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горизонтали устойчивость хорошая.</w:t>
      </w:r>
    </w:p>
    <w:p w14:paraId="711472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планировании - большая.</w:t>
      </w:r>
    </w:p>
    <w:p w14:paraId="387B46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Устойчивость пути - хорошая.</w:t>
      </w:r>
    </w:p>
    <w:p w14:paraId="6C579CC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Поперечно самолет проверить в отношении устойчивости невозможно, так как имеется очень большое трение в проводке управления, которое больше аэродинамических усилий на элероны. Элероны остаются в том положении, которое им придано поворотом штурвала, а самолет переходит в скольжение опуская нос.</w:t>
      </w:r>
    </w:p>
    <w:p w14:paraId="78277A7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Нагрузки на рули гармоничны, за исключением элеронов. На одном моторе самолет летит не снижаясь на скорости 140 км в час. Нагрузка на ногу невелика и полностью снимается триммером.</w:t>
      </w:r>
    </w:p>
    <w:p w14:paraId="1D928D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Все режимы полета возможны с постоянным триммером. Виражит самолет устойчиво, но большое трение в управлении элеронами делает вираж неприятным: самолет "не чувствуется".</w:t>
      </w:r>
    </w:p>
    <w:p w14:paraId="1A396FB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Планирование и посадка.</w:t>
      </w:r>
    </w:p>
    <w:p w14:paraId="287F39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устойчиво планирует, как со щитками, так и без щитков. При потере скорости сваливаний на крыло нет: самолет начинает проваливаться опуская нос. В связи с большим трением, потеря скорости элеронами не чувствуется. при потере скорости вибраций оперения нет.</w:t>
      </w:r>
    </w:p>
    <w:p w14:paraId="33D2F59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Обзор на посадку хороший. Расчет простой. Посадка очень простая. Посадочная скорость незначительная. При подводе к 3-х точечному положению желательно увеличить градиент нарастания усилий на ручке. Усилия настолько невелики, что изменения в них не чувствуется.</w:t>
      </w:r>
    </w:p>
    <w:p w14:paraId="3F2541E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Пробег устойчивый. Пользование тормозами допустимо в самом начале пробега. Длина пробега, с открытыми щитками, весьма незначительная.</w:t>
      </w:r>
    </w:p>
    <w:p w14:paraId="135D37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Рулежка простая. Рысканья легко парируются тормозами и моторами.</w:t>
      </w:r>
    </w:p>
    <w:p w14:paraId="7A1E26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Заключение.</w:t>
      </w:r>
    </w:p>
    <w:p w14:paraId="71B55E6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Самолет очень прост в пилотировании. В воздухе "плотен" и приятен. Пилотирование его возможно пилотами низкой квалификации.</w:t>
      </w:r>
    </w:p>
    <w:p w14:paraId="55F31C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Наличие второго управления допускает переход на него пилотов непосредственно после первоначального обучения полетам (2167,169).</w:t>
      </w:r>
    </w:p>
    <w:p w14:paraId="6A895846" w14:textId="77777777" w:rsidR="00AE7191" w:rsidRPr="00722885" w:rsidRDefault="00AE7191" w:rsidP="00722885">
      <w:pPr>
        <w:pStyle w:val="Iauiue"/>
        <w:jc w:val="both"/>
        <w:rPr>
          <w:color w:val="000000" w:themeColor="text1"/>
          <w:sz w:val="16"/>
          <w:szCs w:val="16"/>
        </w:rPr>
      </w:pPr>
    </w:p>
    <w:p w14:paraId="320C5EEE" w14:textId="77777777" w:rsidR="009F1019" w:rsidRPr="00722885" w:rsidRDefault="009F101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9 сентября 1942 г. пришел приказ готовить к отправке на фронт четыре И-185. Но самолет "И" №1 до сих пор ремонтировался после неудачной посадки летчика НИИ ВВС, у которого случился очередной отказ М-82, ремонт же И-185 №6202, севшего на фюзеляж еще в 1941 г., даже не начинали. В наличии были только три машины - И-185 М-71 №6204, И-185 М-82 №2 и "Эталон" с мотором М-71.</w:t>
      </w:r>
    </w:p>
    <w:p w14:paraId="1FA2A0B6" w14:textId="77777777" w:rsidR="009F1019" w:rsidRPr="00722885" w:rsidRDefault="009F101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Для освоения И-185 на завод были командированы летчики 728-го истребительного авиаполка капитан Д. Купин, старший лейтенант Н. Игнатьев, сержанты А. Боровых, А. Томильченко и группа механиков. Обучение полетам велось под руководством летчика-испытателя завода Логинова. Оно завершилось в начале декабря 1942 г. и 3 декабря группа И-185 вылетела в Калинин, где находился штаб 3-й ВА - там задание на испытания ставил лично ее командующий генерал М.М. Громов, имевший огромный опыт такой работы.</w:t>
      </w:r>
    </w:p>
    <w:p w14:paraId="3CFC2E33" w14:textId="77777777" w:rsidR="009F1019" w:rsidRPr="00722885" w:rsidRDefault="009F101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связи с сугубой секретностью самолета летчикам запрещалось вступать в бой с самолетами противника и пересекать линию фронта. Громов особо подчеркнул, что падение И-185 на территории, занятой противником, будет расценивать как измену Родине. Каждый полет должен был быть согласован с его штабом. На Калининском фронте в это время обстановка была спокойная, но 24 ноября 1942 г. фронт начал крупную отвлекающую операцию, целью которой было заставить противника отвести войска со Сталинградского направления и не дать Манштейну прорваться к окруженной армии Паулюса.</w:t>
      </w:r>
    </w:p>
    <w:p w14:paraId="31852A54" w14:textId="77777777" w:rsidR="009F1019" w:rsidRPr="00722885" w:rsidRDefault="009F101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Перед частями 3-й ВА была поставлена задача массированными и последовательными ударами изматывать противника, оказывать непосредственную поддержку наступающим войскам, нанести удары по аэродромам противника, обеспечить прикрытие войск с воздуха и сопровождение ударных авиагрупп, а также производить воздушную разведку (17737).</w:t>
      </w:r>
    </w:p>
    <w:p w14:paraId="5CB59D26" w14:textId="77777777" w:rsidR="009F1019" w:rsidRPr="00722885" w:rsidRDefault="009F1019" w:rsidP="00722885">
      <w:pPr>
        <w:spacing w:after="0" w:line="240" w:lineRule="auto"/>
        <w:jc w:val="both"/>
        <w:rPr>
          <w:rFonts w:ascii="Times New Roman" w:hAnsi="Times New Roman"/>
          <w:color w:val="000000" w:themeColor="text1"/>
          <w:sz w:val="16"/>
          <w:szCs w:val="16"/>
        </w:rPr>
      </w:pPr>
    </w:p>
    <w:p w14:paraId="3E5AA3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А.И.Репин утвердил Отчет по гос. испытания ПС-84 2М-62ИР серии 36 № 1843603 - военный впариант самолета, доработанный в соответствии с замечаниями НИИ ВВС, которые были отражены в Акте по результатам гос. испытаний ПС-84К(И) в 1940. Испытания проходили с 28 июля 1942 Ви и-п. В.М.Кокорин. Летал экипаж л В.В.Лисицына и ш ст.л А.И.Старых (3404, 8).</w:t>
      </w:r>
    </w:p>
    <w:p w14:paraId="3638B644" w14:textId="77777777" w:rsidR="00AE7191" w:rsidRPr="00722885" w:rsidRDefault="00AE7191" w:rsidP="00722885">
      <w:pPr>
        <w:pStyle w:val="Iauiue"/>
        <w:jc w:val="both"/>
        <w:rPr>
          <w:color w:val="000000" w:themeColor="text1"/>
          <w:sz w:val="16"/>
          <w:szCs w:val="16"/>
        </w:rPr>
      </w:pPr>
    </w:p>
    <w:p w14:paraId="38B525F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1942 г. Отчет по испытаниям самолета Ли-2 № 1843603.</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373"/>
        <w:gridCol w:w="1684"/>
        <w:gridCol w:w="1771"/>
        <w:gridCol w:w="4047"/>
      </w:tblGrid>
      <w:tr w:rsidR="009B487A" w:rsidRPr="00722885" w14:paraId="6C5AF0BA"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187F729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Винт ВИШ-21.    Производство завода № 35.    Конструктор Кузьмин.</w:t>
            </w:r>
          </w:p>
        </w:tc>
      </w:tr>
      <w:tr w:rsidR="009B487A" w:rsidRPr="00722885" w14:paraId="33B905A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7D1F76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D0DBA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2C36EB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Предназначен для</w:t>
            </w:r>
          </w:p>
          <w:p w14:paraId="3E7A1C3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D9978B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Ли-2 с 2М-62ИР</w:t>
            </w:r>
          </w:p>
        </w:tc>
      </w:tr>
      <w:tr w:rsidR="009B487A" w:rsidRPr="00722885" w14:paraId="6A3934C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C1ADD9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0DB2CDDC"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901DA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CE7A5D"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D783882"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FAB6F6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5EDE38A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0E2F73C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AE16D0B"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81CB01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F9B31A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FCD87DA"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9A5A3B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5211757"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01891E0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450C51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2D766CD2"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286E78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1C6CEF23"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A1EDFA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1F8C15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33990C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Относительная толщина лопастей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4272F52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F32FBF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9B95D2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1E108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6F6DEB6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Clark-Y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6EDBEB0"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03E439D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737544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50A8B04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27EC1F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C6F9292"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8A97A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Минимальный установочный угол</w:t>
            </w:r>
          </w:p>
          <w:p w14:paraId="10E80F1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3198057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016F988"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528C38C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F56E5C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3B9A4C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3F3944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1A5ACC9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86B84C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FD1DFF8"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18A1BD7"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1627DE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86698C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02FF52A0"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811792D"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3136DBC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A84ED7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897EE3E"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0,688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79B707A"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BA087E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0993004"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FD3C61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A62785A"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Состояние</w:t>
            </w:r>
          </w:p>
          <w:p w14:paraId="5EB0106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37214FD"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 испытания прошел удовлетворительно в 1942 г.</w:t>
            </w:r>
          </w:p>
          <w:p w14:paraId="6A9BF20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Находится в эксплоатации* и в серийном производстве.</w:t>
            </w:r>
          </w:p>
        </w:tc>
      </w:tr>
      <w:tr w:rsidR="009B487A" w:rsidRPr="00722885" w14:paraId="77EC2D2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88B6E5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7814879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A3C94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6EC0EE"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7E734A6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A8CD79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838363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SAE-50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83CA52"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F5816E"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r>
      <w:tr w:rsidR="009B487A" w:rsidRPr="00722885" w14:paraId="4AB94E9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7FA2B8F"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365D435" w14:textId="77777777" w:rsidR="00AE7191" w:rsidRPr="00722885" w:rsidRDefault="00AE7191"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348AC521"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Источник сведений: Отчет по испытаниям самолета Ли-2 № 1843603 от 9.9.42 г.</w:t>
            </w:r>
          </w:p>
        </w:tc>
      </w:tr>
    </w:tbl>
    <w:p w14:paraId="4208DB4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 по принятой на то время орфографии (здесь и далее по тексту) (12227).</w:t>
      </w:r>
    </w:p>
    <w:p w14:paraId="68D05C1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C6A253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г. вышло постановление ГОКО, в соответствии с которым завод № 600 приступил к серийному производству самолетов УТ-2МВ. В 1942 г. предполагалось изготовить 17 серийных УТ-2МВ. Причем внедрение установки балок РО-82 предполагалось осуществлять с 1943 г. (9649)</w:t>
      </w:r>
    </w:p>
    <w:p w14:paraId="2F228BAB" w14:textId="77777777" w:rsidR="00AE7191" w:rsidRPr="00722885" w:rsidRDefault="00AE7191" w:rsidP="00722885">
      <w:pPr>
        <w:pStyle w:val="Iauiue"/>
        <w:jc w:val="both"/>
        <w:rPr>
          <w:color w:val="000000" w:themeColor="text1"/>
          <w:sz w:val="16"/>
          <w:szCs w:val="16"/>
        </w:rPr>
      </w:pPr>
    </w:p>
    <w:p w14:paraId="5B54ED0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Зам. НКАП Дементьев в письме N Н-1/3606 Зам. Нач. 7 ГУ Залесскому и дир. ремонтных мастерских (б. завод 288) в дополнение к приказу N 561 от 28 июля 1942 предлагал 20% фактического выпуска установок ФТ для Пе-2 давать ВВС ВМФ...(1684,198).</w:t>
      </w:r>
    </w:p>
    <w:p w14:paraId="6416BB9A" w14:textId="77777777" w:rsidR="00AE7191" w:rsidRPr="00722885" w:rsidRDefault="00AE7191" w:rsidP="00722885">
      <w:pPr>
        <w:pStyle w:val="Iauiue"/>
        <w:jc w:val="both"/>
        <w:rPr>
          <w:color w:val="000000" w:themeColor="text1"/>
          <w:sz w:val="16"/>
          <w:szCs w:val="16"/>
        </w:rPr>
      </w:pPr>
    </w:p>
    <w:p w14:paraId="5727DF6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Нач. Секретариата 7 ГУ Егорова писала письмо N 6/865 в Секретариат НКАП И.Г.Фирсаеву о том, что после приема ответственных работников у А.И.Ш. остались секретные материалы, которые 7 ГУ разыскивает (1684,197).</w:t>
      </w:r>
    </w:p>
    <w:p w14:paraId="2FB2782B" w14:textId="77777777" w:rsidR="00AE7191" w:rsidRPr="00722885" w:rsidRDefault="00AE7191" w:rsidP="00722885">
      <w:pPr>
        <w:pStyle w:val="Iauiue"/>
        <w:jc w:val="both"/>
        <w:rPr>
          <w:color w:val="000000" w:themeColor="text1"/>
          <w:sz w:val="16"/>
          <w:szCs w:val="16"/>
        </w:rPr>
      </w:pPr>
    </w:p>
    <w:p w14:paraId="6CB8C5DC"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1942 г. состоялось постановление ГКО № 2284 об организации на заво</w:t>
      </w:r>
      <w:r w:rsidRPr="00722885">
        <w:rPr>
          <w:rFonts w:ascii="Times New Roman" w:hAnsi="Times New Roman"/>
          <w:color w:val="000000" w:themeColor="text1"/>
          <w:sz w:val="16"/>
          <w:szCs w:val="16"/>
        </w:rPr>
        <w:softHyphen/>
        <w:t>де № 600 в Урумчи производства учебно-боевых самолётов УТ-2МВ. Они оснащались шестью балками РО-82 для реактив</w:t>
      </w:r>
      <w:r w:rsidRPr="00722885">
        <w:rPr>
          <w:rFonts w:ascii="Times New Roman" w:hAnsi="Times New Roman"/>
          <w:color w:val="000000" w:themeColor="text1"/>
          <w:sz w:val="16"/>
          <w:szCs w:val="16"/>
        </w:rPr>
        <w:softHyphen/>
        <w:t>ных снарядов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 и двумя замками для подвески 50-кг бомб.</w:t>
      </w:r>
    </w:p>
    <w:p w14:paraId="078B8AA0"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полуто</w:t>
      </w:r>
      <w:r w:rsidRPr="00722885">
        <w:rPr>
          <w:rFonts w:ascii="Times New Roman" w:hAnsi="Times New Roman"/>
          <w:color w:val="000000" w:themeColor="text1"/>
          <w:sz w:val="16"/>
          <w:szCs w:val="16"/>
        </w:rPr>
        <w:softHyphen/>
        <w:t>ра месяцев завод закончил перестрой</w:t>
      </w:r>
      <w:r w:rsidRPr="00722885">
        <w:rPr>
          <w:rFonts w:ascii="Times New Roman" w:hAnsi="Times New Roman"/>
          <w:color w:val="000000" w:themeColor="text1"/>
          <w:sz w:val="16"/>
          <w:szCs w:val="16"/>
        </w:rPr>
        <w:softHyphen/>
        <w:t>ку производства с самолётосборочного на самолётостроительное. Чертежи и агрегаты заводу № 600 должен был поставлять авиазавод № 47 в Оренбурге. До конца 1942 г. заводу предписывалось собрать из ком</w:t>
      </w:r>
      <w:r w:rsidRPr="00722885">
        <w:rPr>
          <w:rFonts w:ascii="Times New Roman" w:hAnsi="Times New Roman"/>
          <w:color w:val="000000" w:themeColor="text1"/>
          <w:sz w:val="16"/>
          <w:szCs w:val="16"/>
        </w:rPr>
        <w:softHyphen/>
        <w:t>плектующих 40 УТ-2МВ, а также создать задел для этих самолётов, обеспечивающий их выпуск в январе 1943 г. в количестве 10 единиц.</w:t>
      </w:r>
    </w:p>
    <w:p w14:paraId="0F51DFCA"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задержки в поставках из Союза привели к тому, что зам. наркома П.А. Воро</w:t>
      </w:r>
      <w:r w:rsidRPr="00722885">
        <w:rPr>
          <w:rFonts w:ascii="Times New Roman" w:hAnsi="Times New Roman"/>
          <w:color w:val="000000" w:themeColor="text1"/>
          <w:sz w:val="16"/>
          <w:szCs w:val="16"/>
        </w:rPr>
        <w:softHyphen/>
        <w:t>нин скорректировал программу заводу, предписав в ноябре—декабре 1942 г. сдать 17 машин, что и было выполнено. Первую машину завод выпустил на испытания почти на месяц раньше срока (15811).</w:t>
      </w:r>
    </w:p>
    <w:p w14:paraId="5302FCAF"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34A4972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9484568" w14:textId="77777777" w:rsidR="00AE7191" w:rsidRPr="00722885" w:rsidRDefault="00AE7191" w:rsidP="00722885">
      <w:pPr>
        <w:pStyle w:val="Iauiue"/>
        <w:jc w:val="both"/>
        <w:rPr>
          <w:iCs/>
          <w:color w:val="000000" w:themeColor="text1"/>
          <w:sz w:val="16"/>
          <w:szCs w:val="16"/>
        </w:rPr>
      </w:pPr>
    </w:p>
    <w:p w14:paraId="549B7920" w14:textId="77777777" w:rsidR="009D3895" w:rsidRPr="00722885" w:rsidRDefault="009D3895" w:rsidP="00722885">
      <w:pPr>
        <w:pStyle w:val="a3"/>
        <w:rPr>
          <w:color w:val="000000" w:themeColor="text1"/>
          <w:lang w:val="ru-RU"/>
        </w:rPr>
      </w:pPr>
      <w:r w:rsidRPr="00722885">
        <w:rPr>
          <w:color w:val="000000" w:themeColor="text1"/>
          <w:lang w:val="ru-RU"/>
        </w:rPr>
        <w:t>9 сентября 1942 года в адрес главного инжене</w:t>
      </w:r>
      <w:r w:rsidRPr="00722885">
        <w:rPr>
          <w:color w:val="000000" w:themeColor="text1"/>
          <w:lang w:val="ru-RU"/>
        </w:rPr>
        <w:softHyphen/>
        <w:t>ра УЗТМ М.Г. Умнягина пришло письмо, подписанное начальником БТУ ГАБТУ КА инженер-полковником С.А. Афониным:</w:t>
      </w:r>
    </w:p>
    <w:p w14:paraId="6B82B25D"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 xml:space="preserve">«На Ваш №3707/48с от 24 августа 1942 года о проекте самоходной установки «У-19» 203 мм гаубицы на шасси танка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-1 сообщаю:</w:t>
      </w:r>
    </w:p>
    <w:p w14:paraId="10018FA7"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1. При весе «У-19», равном 66 тонн и при сохранении трансмиссии танка «КВ-1» двигатель В-2К не обеспечить надежного движения самоходной установки при заданных скоростях. Кроме того, трансмиссия танка «КВ-1» и ходовая часть рассчитаны на вес машины равной 40 тонн и не могут обеспечить надежную работу при увели</w:t>
      </w:r>
      <w:r w:rsidRPr="00722885">
        <w:rPr>
          <w:rStyle w:val="Bodytext145"/>
          <w:i w:val="0"/>
          <w:iCs w:val="0"/>
          <w:color w:val="000000" w:themeColor="text1"/>
          <w:sz w:val="16"/>
          <w:szCs w:val="16"/>
        </w:rPr>
        <w:softHyphen/>
        <w:t>чении веса до 66 тонн.</w:t>
      </w:r>
    </w:p>
    <w:p w14:paraId="26F0A281" w14:textId="77777777" w:rsidR="009D3895" w:rsidRPr="00722885" w:rsidRDefault="009D3895" w:rsidP="00722885">
      <w:pPr>
        <w:pStyle w:val="Bodytext141"/>
        <w:shd w:val="clear" w:color="auto" w:fill="auto"/>
        <w:tabs>
          <w:tab w:val="left" w:pos="554"/>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1. Самоходная установка представляет собой далеко заметную цель, в виду большой высоты (3,51 метра) и большой ширины верхней ча</w:t>
      </w:r>
      <w:r w:rsidRPr="00722885">
        <w:rPr>
          <w:rStyle w:val="Bodytext145"/>
          <w:i w:val="0"/>
          <w:iCs w:val="0"/>
          <w:color w:val="000000" w:themeColor="text1"/>
          <w:sz w:val="16"/>
          <w:szCs w:val="16"/>
        </w:rPr>
        <w:softHyphen/>
        <w:t>сти корпуса (неподвижной башни).</w:t>
      </w:r>
    </w:p>
    <w:p w14:paraId="78970879" w14:textId="77777777" w:rsidR="009D3895" w:rsidRPr="00722885" w:rsidRDefault="009D3895" w:rsidP="00722885">
      <w:pPr>
        <w:pStyle w:val="Bodytext141"/>
        <w:shd w:val="clear" w:color="auto" w:fill="auto"/>
        <w:tabs>
          <w:tab w:val="left" w:pos="52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2. Броневая защита башни слабее, чем у обычного танка «КБ-1», следо</w:t>
      </w:r>
      <w:r w:rsidRPr="00722885">
        <w:rPr>
          <w:rStyle w:val="Bodytext145"/>
          <w:i w:val="0"/>
          <w:iCs w:val="0"/>
          <w:color w:val="000000" w:themeColor="text1"/>
          <w:sz w:val="16"/>
          <w:szCs w:val="16"/>
        </w:rPr>
        <w:softHyphen/>
        <w:t>вательно, не будет обеспечена необходимая бронезащита экипажа при стрельбе с близких дистанций.</w:t>
      </w:r>
    </w:p>
    <w:p w14:paraId="552D1373" w14:textId="77777777" w:rsidR="009D3895" w:rsidRPr="00722885" w:rsidRDefault="009D3895" w:rsidP="00722885">
      <w:pPr>
        <w:pStyle w:val="Bodytext141"/>
        <w:shd w:val="clear" w:color="auto" w:fill="auto"/>
        <w:tabs>
          <w:tab w:val="left" w:pos="554"/>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3. При выходе из строя ходовой части стрельба из пушки возможна лишь в пределах узкого сектора (9°), так как «У-19» не имеет вра</w:t>
      </w:r>
      <w:r w:rsidRPr="00722885">
        <w:rPr>
          <w:rStyle w:val="Bodytext145"/>
          <w:i w:val="0"/>
          <w:iCs w:val="0"/>
          <w:color w:val="000000" w:themeColor="text1"/>
          <w:sz w:val="16"/>
          <w:szCs w:val="16"/>
        </w:rPr>
        <w:softHyphen/>
        <w:t>щающейся башни.</w:t>
      </w:r>
    </w:p>
    <w:p w14:paraId="3D50089B" w14:textId="77777777" w:rsidR="009D3895" w:rsidRPr="00722885" w:rsidRDefault="009D3895" w:rsidP="00722885">
      <w:pPr>
        <w:pStyle w:val="Bodytext141"/>
        <w:shd w:val="clear" w:color="auto" w:fill="auto"/>
        <w:tabs>
          <w:tab w:val="left" w:pos="535"/>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4. В виду большого веса самохода, буксировка аварийных машин с поля боя не представляется возможной.</w:t>
      </w:r>
    </w:p>
    <w:p w14:paraId="4266F661" w14:textId="77777777" w:rsidR="009D3895" w:rsidRPr="00722885" w:rsidRDefault="009D3895" w:rsidP="00722885">
      <w:pPr>
        <w:pStyle w:val="Bodytext141"/>
        <w:shd w:val="clear" w:color="auto" w:fill="auto"/>
        <w:tabs>
          <w:tab w:val="left" w:pos="521"/>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5. Проходимость данной самоходной установки, судя по удельной мощ</w:t>
      </w:r>
      <w:r w:rsidRPr="00722885">
        <w:rPr>
          <w:rStyle w:val="Bodytext145"/>
          <w:i w:val="0"/>
          <w:iCs w:val="0"/>
          <w:color w:val="000000" w:themeColor="text1"/>
          <w:sz w:val="16"/>
          <w:szCs w:val="16"/>
        </w:rPr>
        <w:softHyphen/>
        <w:t>ности (9л.с. на тонну), и ее удельному давлению (98 кг/ см</w:t>
      </w:r>
      <w:r w:rsidRPr="00722885">
        <w:rPr>
          <w:rStyle w:val="Bodytext145"/>
          <w:i w:val="0"/>
          <w:iCs w:val="0"/>
          <w:color w:val="000000" w:themeColor="text1"/>
          <w:sz w:val="16"/>
          <w:szCs w:val="16"/>
          <w:vertAlign w:val="superscript"/>
        </w:rPr>
        <w:t>2</w:t>
      </w:r>
      <w:r w:rsidRPr="00722885">
        <w:rPr>
          <w:rStyle w:val="Bodytext145"/>
          <w:i w:val="0"/>
          <w:iCs w:val="0"/>
          <w:color w:val="000000" w:themeColor="text1"/>
          <w:sz w:val="16"/>
          <w:szCs w:val="16"/>
        </w:rPr>
        <w:t>) будет невысокой.</w:t>
      </w:r>
    </w:p>
    <w:p w14:paraId="0306B970"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Исходя из вышеизложенного, считаю, что дальнейшее проектирование самоходной установки «У-19» нецелесообразно» (17484).</w:t>
      </w:r>
    </w:p>
    <w:p w14:paraId="3404BB21"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p>
    <w:p w14:paraId="348BB8BC"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9 сентября 1942 года вышел приказ № 676с НКБ</w:t>
      </w:r>
    </w:p>
    <w:p w14:paraId="6F3AC34F"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В дополнение приказа № 655 НКБ от 20 августа 1942 года:</w:t>
      </w:r>
    </w:p>
    <w:p w14:paraId="3C63A4B0"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Особое производственно-техническое бюро по внедрению термообработки токами высокой частоты в связи с ликвидацией завода № 738 передать в состав завода № 58 6 Гл. управления НКБ на положении филиала (5908, 84).</w:t>
      </w:r>
    </w:p>
    <w:p w14:paraId="55B1B87F" w14:textId="77777777" w:rsidR="00AE7191" w:rsidRPr="00722885" w:rsidRDefault="00AE7191" w:rsidP="00722885">
      <w:pPr>
        <w:pStyle w:val="Iauiue"/>
        <w:tabs>
          <w:tab w:val="left" w:pos="11199"/>
        </w:tabs>
        <w:jc w:val="both"/>
        <w:rPr>
          <w:color w:val="000000" w:themeColor="text1"/>
          <w:sz w:val="16"/>
          <w:szCs w:val="16"/>
        </w:rPr>
      </w:pPr>
    </w:p>
    <w:p w14:paraId="1DFFC1B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7B6902B" w14:textId="77777777" w:rsidR="00AE7191" w:rsidRPr="00722885" w:rsidRDefault="00AE7191" w:rsidP="00722885">
      <w:pPr>
        <w:pStyle w:val="Iauiue"/>
        <w:jc w:val="both"/>
        <w:rPr>
          <w:iCs/>
          <w:color w:val="000000" w:themeColor="text1"/>
          <w:sz w:val="16"/>
          <w:szCs w:val="16"/>
        </w:rPr>
      </w:pPr>
    </w:p>
    <w:p w14:paraId="31C5BEE7"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в 1942 году утреннее сообщение Совинформбюро:</w:t>
      </w:r>
    </w:p>
    <w:p w14:paraId="0A39725F"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9 сентября наши войска вели бои с противником западнее июго-западнее Сталинграда, а также в районах Новороссийск и Моздок. На других фронтах существенных изменений не произошло.</w:t>
      </w:r>
    </w:p>
    <w:p w14:paraId="58E560CE"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наши войска вели напряжённые бои с танками и пехотой противника. Сосредоточив крупные силы, гитлеровцы, не считаясь с огромными потерями, атакуют наши позиции. Особенно тяжёлые потери противник несёт от огня нашей артиллерии. На участке Н-ского соединения наступающие немецкие танки наскочили на минное поле. На минах подорвались 3 танка противника. Наши артиллеристы произвели несколько огневых налётов на остальные немецкие танки, маневрировавшие перед минным полем. Огнём артиллерии было подбито 6 танков противника. На другом участке в бою у населённого пункта уничтожена рота немецкой пехоты.</w:t>
      </w:r>
    </w:p>
    <w:p w14:paraId="72BFA4D0"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продолжались бои. Одно наше миномётное подразделение произвело огневой налёт на скопление вражеской пехоты. Убито и ранено свыше 200 гитлеровцев. На другом участке бойцы Н-ской части отразили ожесточённую атаку противника. Уничтожено 150 немецких солдат и офицеров. Захвачены 6 пулемётов, 2 миномёта, автоматы и винтовки. Огнём пехотного оружия сбит немецкий бомбардировщик.</w:t>
      </w:r>
    </w:p>
    <w:p w14:paraId="3D22A192"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Новороссийска наши части вели упорные бои с войсками противника, вклинившимися в нашу оборону. Залпами гвардейских миномётных подразделений разбито 40 немецких автомашин с войсками. На другом участке бойцы Н-ской части подбили и сожгли 6 немецких танков, 3 миномётные батареи и истребили 140 гитлеровцев. Наши разведывательные отряды, действующие в тылу противника, истребили 190 немецких солдат и офицеров.</w:t>
      </w:r>
    </w:p>
    <w:p w14:paraId="749D27FE"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бои по уничтожению группировки противника, переправившейся на южный берег реки. Огнём артиллерии и бронебойщиков подбито 5 немецких танков. Разгромлена рота вражеской пехоты.</w:t>
      </w:r>
    </w:p>
    <w:p w14:paraId="4C141FD4"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бойцы Н-ского соединения выбили противника из укреплённого района и заняли три населённых пункта. Немцы потеряли в бою за эти населённые пункты только убитыми 400 солдат и офицеров. Захвачены трофеи и пленные.</w:t>
      </w:r>
    </w:p>
    <w:p w14:paraId="3B15D8DD"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венгерский солдат 6 полка 10 венгерской пехотной дивизии Иштван Ференц рассказал: «Наши войска несут неисчислимые потери. В боях с русскими наш полк разгромлен, и от него сохранились лишь жалкие остатки. Особенно большие потери наносят нам советские миномёты. Недавно огнём этого страшного оружия уничтожено 2 батальона 6 полка. В связи с огромными потерями настроение венгерских солдат резко ухудшилось. Они озлоблены и ненавидят немцев. Нередко можно слышать, как солдаты говорят: «Пусть Гитлер подохнет, а мы вернёмся домой». Офицеры, стремясь подавить недовольство солдат, всё чаще прибегают к наказанию. Провинившегося солдата подвешивают к дереву за вывернутые назад руки. В таком положении обычно держат два часа».</w:t>
      </w:r>
    </w:p>
    <w:p w14:paraId="502D6FC0"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командира немецкого батальона капитана Тельбайге найдено письмо, адресованное капитану Вернеру Репке. В этом письме он писал: «В последнее времяя со своим батальоном участвовал в напряжённых боях. Страшные потери. От батальона не осталось в общей сложности и роты. Вчера мы взяли в плен 15 русских. Всех их перебили. У них монгольские черты лица, и большинство плохо знает русский язык. Они чертовски упорны и дерутся до последней возможности. В этих боях мне пришлось познакомиться с русскими танками. Танки у них великолепны, и мы здесь здорово почувствовали их силу. Случалось ли тебе видеть танки «Т-34»? Это самое лучшее, что создано до сих пор в области танков».</w:t>
      </w:r>
    </w:p>
    <w:p w14:paraId="7A24EDF1"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известного польского патриота Казимира Соколинского за два месяца боевых действий истребил 268 гитлеровцев, разрушил 9 мостов и пустил под откос 4 воинских поезда. Кроме того, партизаны разгромили имение немецкого помещика и сожгли большое количество хлеба.» (14764).</w:t>
      </w:r>
    </w:p>
    <w:p w14:paraId="75C9248B"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408BDB36"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в 1942 году вечернее сообщение Совинформбюро:</w:t>
      </w:r>
    </w:p>
    <w:p w14:paraId="5065840D"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9 сентября наши войска вели ожесточённые бои с противником западнееи юго-западнее Сталинграда, а также в районах Новороссийск и Моздок. На других фронтах существенных изменений не произошло.</w:t>
      </w:r>
    </w:p>
    <w:p w14:paraId="6187D3F7"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8 сентября частями нашей авиации на различных участках фронта уничтожено или повреждено до 40 немецких танков и бронемашин, до 200 автомашин с войсками и грузами, 20 автоцистерн с горючим, подавлен огонь 8 батарей полевой и зенитной артиллерии, взорвано 3 склада боеприпасов, рассеяно и частью уничтожено до полка пехоты противника.</w:t>
      </w:r>
    </w:p>
    <w:p w14:paraId="32DBA47D"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наши войска вели напряжённые бои с крупными силами немецкой пехоты и танков. После двухдневных упорных боёв наши части оставили два населённых пункта. Гвардейцы Н-ской стрелковой части отбили несколько атак гитлеровцев. Уничтожено 10 немецких танков, 14 орудий и свыше 300 солдат и офицеров противника. Большой урон живой силе и технике неприятеля наносят наши танкисты. Танковый экипаж в составе тт. Боровкова, Пухальского и Васильева уничтожил немецкий танк, 8 противотанковых орудий и 2 автомашины с боеприпасами. Экипаж под командованием т. Беликова подбил два немецких танка, уничтожил два орудия и истребил до взвода гитлеровцев. Всего в течение дня танкистами Н-ской части подбито 13 танков противника.</w:t>
      </w:r>
    </w:p>
    <w:p w14:paraId="2F422F9F"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части отбивали ожесточённые атаки противника. Немцы потеряли 7 танков и до роты пехоты. Танкисты Н-ской части уничтожили две роты румынской пехоты.</w:t>
      </w:r>
    </w:p>
    <w:p w14:paraId="1929A2EF"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Новороссийска продолжались ожесточённые бои. Немцы после огромных потерь в людях и технике прорвались к северо-западной окраине города. Наши войска контратаками сдерживают наступающего врага. Огневыми налётами советской артиллерии и миномётов рассеяно и частью уничтожено до двух батальонов пехоты противника. На поле боя осталось 5 сожжённых танков, 8 автомашин и несколько сот убитых гитлеровцев. Наши лётчики, взаимодействуя с наземными частями, штурмовымии бомбардировочными налётами уничтожили колонну немецких танков и автомашин, подходивших к месту боёв.</w:t>
      </w:r>
    </w:p>
    <w:p w14:paraId="6D5C58D4"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советские войска вели бои по уничтожению неприятельской группировки на южном берегу реки. Под ударами наших бойцов гитлеровцы были вынуждены отступить. Н-ская часть уничтожила 3 танка, 7 орудий и до 200 немецких солдат и офицеров.</w:t>
      </w:r>
    </w:p>
    <w:p w14:paraId="0AC8AB17"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немецкого солдата Франца Дитца найдено неотправленное письмо, адресованное некоему Шольцу, в город Ратибор. В этом письме говорится: «Уже год, как я воюю. Я думал, что теперь-то, наконец, мне удастся отдохнуть, но в последнюю минуту всё изменилось. Уже второй день мы едем в поезде на новый участок фронта. У меня больше нет никакой охоты попасть на передовые линии, где ежедневно гибнут товарищи... Какие ужасные потери нанесли нам русские в последних боях. Мы надеялись, что этим летом наступит конец. Напрасно. Теперь совершенно очевидно, что нечего и думать об окончании войны в этом году. Я прихожу в ужас от предстоящей зимы и готов отказаться от самых высоких наград, от всего на свете ,лишь бы только вырваться отсюда».</w:t>
      </w:r>
    </w:p>
    <w:p w14:paraId="4F583E63"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Добровольно сдавшийся в плен унтер-офицер 100 немецкой пехотной дивизии Гейнц Х. рассказал: «В Киеве я видел опухших от голода женщин и детей, которые, как тени, бродили по улицам в поисках хлеба. Немецкие военные власти относятся к русским и украинцам, как к своим рабам. При мне из Киева отправляли пять эшелонов украинцев в Германию. Мужчин и женщин ловили на квартирах, на улицах и под конвоем отправляли на вокзал. Тех, кто пытался оказать сопротивление, жестоко избивали. Нескольких украинцев, отказавшихся поехать на принудительные работы в Германию, гестаповцы повесили около вокзала».</w:t>
      </w:r>
    </w:p>
    <w:p w14:paraId="075E3C2D"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Новая ложь немецких фальшивомонетчиков.</w:t>
      </w:r>
    </w:p>
    <w:p w14:paraId="45374684"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«Гитлеровцы на весь мир прославились как первостепенные брехуны. Но впоследнее время немцы настолько заврались и запутались в своих лживых «военных сообщениях», что перестали даже называть какие-либо цифры потерь противника, а просто перечисляют десятки взбрёвших им в голову номеров дивизий Красной Армии, якобы уничтоженных в боях на советско-германском фронте.</w:t>
      </w:r>
    </w:p>
    <w:p w14:paraId="74990A52"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например, 8 сентября немецкое командование разразилось сногсшибательной вестью — оно оповестило мир о том, что с 1 мая по 31 августа немецко-фашистскими войсками якобы уничтожено «56 дивизий и 39 бригад Красной Армии». Дабы придать этим фантастическим данным хотя бы видимую достоверность, брехуны из штаба Гитлера перечисляют номера якобы уничтоженных дивизий и бригад Красной Армии, нимало не стесняясь тем, что многие из перечисленных ими дивизий и бригад вовсене принимали участия в боях с мая по август 1942 года, некоторых из них вообщене было в составе действующей Красной Армии, а остальные дивизии, хотя и понесли потери в боях, однако продолжают упорно сражаться и бить врага.</w:t>
      </w:r>
    </w:p>
    <w:p w14:paraId="2E2DD9DC"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Немцы ради облегчения задачи уничтожения на бумаге советских войск, ради самоутешения и обмана населения Германии по вопросу о мнимых советских потерях дошли до того, что изобрели особые войсковые соединения советской армии — вроде «ударных бригад» и «авиационных бригад», а затем без всяких усилий перебили их, включив в списки уничтоженных советских частей. Причём, пользуясь своим обычным жульническим приёмом, гитлеровцы вновь умолчали о своих собственных потерях, хотя эти потери огромны.</w:t>
      </w:r>
    </w:p>
    <w:p w14:paraId="300BA052"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Публикуем фактические данные о потерях воюющих сторон с 1 мая по 31 августа сего года.</w:t>
      </w:r>
    </w:p>
    <w:p w14:paraId="491223A2"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указанный период боёв на советско-германском фронте понесли значительные потери 42 стрелковые советские дивизии и 25 бригад, из них 14 танковых.</w:t>
      </w:r>
    </w:p>
    <w:p w14:paraId="57EDE062"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это же время частями Красной Армии были полностью разгромлены (уничтожено более 70 процентов боевого состава) следующие 73 вражеские дивизии:</w:t>
      </w:r>
    </w:p>
    <w:p w14:paraId="5BC5E3F8"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а) 1, 6, 8, 11, 22, 24, 28, 50, 57, 58, 62, 75, 79, 87, 102, 113, 123, 132, 161,168, 170, 223, 227, 256, 269, 290, 291, 294, 297, 305, 336, 342, 377 и 387 немецкие пехотные дивизии;. 3, 14, 36 и 60 немецкие моторизованные дивизии и две моторизованные дивизии «СС»; 4 и 5 немецкие горнострелковые дивизии; 1, 2, 3, 5, 9, 11, 16, 17, 18, 19, 22 и 23 немецкие танковые дивизии. Всего разбито 54 немецких дивизии.</w:t>
      </w:r>
    </w:p>
    <w:p w14:paraId="51C78F2A"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1, 2, 4, 18, 20 румынские пехотные дивизии; 1 и 2 горные и 5 кавалерийская румынские дивизии. Всего разбито 8 румынских дивизий.</w:t>
      </w:r>
    </w:p>
    <w:p w14:paraId="6FCC1193"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3, 7, 10, 12 и 14 венгерские пехотные дивизии и танковая венгерская бригада.</w:t>
      </w:r>
    </w:p>
    <w:p w14:paraId="02CB3402"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2 и 9 пехотные, 3 моторизованная и 2 альпийская итальянские дивизии.</w:t>
      </w:r>
    </w:p>
    <w:p w14:paraId="4896F117"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Уничтожены также 1-я словацкая моторизованная дивизия и легион датских гитлеровцев «Дания».</w:t>
      </w:r>
    </w:p>
    <w:p w14:paraId="61ABDA52"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в боях с 1 мая по 31 августа советские войска нанесли тяжёлые потери 26, 30, 44, 56, 76, 94, ,95, 121, 122, 129, 208, 212, 254, 258, 296, 299, 328, 329, 340, 384 и 385 немецким пехотным дивизиям, потерявшим от 40 до 50 процентов боевого состава.</w:t>
      </w:r>
    </w:p>
    <w:p w14:paraId="18E359E7"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Таковы факты.</w:t>
      </w:r>
    </w:p>
    <w:p w14:paraId="64FCABC9"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прошедших боях Красная Армия перемолола, таким образом, существенную часть вражеских войск. Пройдёт немного времени, и остальную массу дивизий Гитлера и его вассалов постигнет такой же бесславный конец. Советский народ, Красная Армия найдут каждому немцу, венгру, румыну, итальянцу, словаку, финну, ворвавшемуся в советскую страну, — пулю и два аршина земли!» (14764).</w:t>
      </w:r>
    </w:p>
    <w:p w14:paraId="4C57390D"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49348B4D" w14:textId="77777777" w:rsidR="001E0E61" w:rsidRPr="00722885" w:rsidRDefault="001E0E61" w:rsidP="00722885">
      <w:pPr>
        <w:pStyle w:val="ae"/>
        <w:spacing w:before="0" w:after="0"/>
        <w:jc w:val="both"/>
        <w:textAlignment w:val="baseline"/>
        <w:rPr>
          <w:color w:val="000000" w:themeColor="text1"/>
          <w:sz w:val="16"/>
          <w:szCs w:val="16"/>
        </w:rPr>
      </w:pPr>
      <w:r w:rsidRPr="00722885">
        <w:rPr>
          <w:color w:val="000000" w:themeColor="text1"/>
          <w:sz w:val="16"/>
          <w:szCs w:val="16"/>
        </w:rPr>
        <w:t>9 сентября 1942 г. появился приказ наркома обороны СССР № 0685, озаглавленный «Об установлении понятия боевого вылета для истребителей». В нем говорилось:</w:t>
      </w:r>
    </w:p>
    <w:p w14:paraId="7FD0F22B" w14:textId="77777777" w:rsidR="001E0E61" w:rsidRPr="00722885" w:rsidRDefault="001E0E61"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«Фактами на Калининском, Западном, Сталинградском, Юго-Восточном и других фронтах установлено, что наша истребительная авиация, как правило, работает плохо и свои боевые задачи очень часто не выполняет.</w:t>
      </w:r>
    </w:p>
    <w:p w14:paraId="0DE75CBA" w14:textId="77777777" w:rsidR="001E0E61" w:rsidRPr="00722885" w:rsidRDefault="001E0E61"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Истребители наши не только не вступают в бой с истребителями противника, но избегают атаковать бомбардировщиков.</w:t>
      </w:r>
    </w:p>
    <w:p w14:paraId="7FDCFDD8" w14:textId="77777777" w:rsidR="001E0E61" w:rsidRPr="00722885" w:rsidRDefault="001E0E61"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При выполнении задачи по прикрытию штурмовиков и бомбардировщиков наши истребители даже при количественном превосходстве над истребителями противника уклоняются от боя, ходят в стороне и допускают безнаказанно сбивать наших штурмовиков и бомбардировщиков…</w:t>
      </w:r>
    </w:p>
    <w:p w14:paraId="5C034319" w14:textId="77777777" w:rsidR="001E0E61" w:rsidRPr="00722885" w:rsidRDefault="001E0E61"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Боевым вылетом неправильно считают всякий полет на поле боя, независимо от того, выполнена или нет истребителями возложенная на них боевая задача».</w:t>
      </w:r>
    </w:p>
    <w:p w14:paraId="04320B33" w14:textId="77777777" w:rsidR="001E0E61" w:rsidRPr="00722885" w:rsidRDefault="001E0E61" w:rsidP="00722885">
      <w:pPr>
        <w:pStyle w:val="ae"/>
        <w:spacing w:before="0" w:after="0"/>
        <w:jc w:val="both"/>
        <w:textAlignment w:val="baseline"/>
        <w:rPr>
          <w:color w:val="000000" w:themeColor="text1"/>
          <w:sz w:val="16"/>
          <w:szCs w:val="16"/>
        </w:rPr>
      </w:pPr>
      <w:r w:rsidRPr="00722885">
        <w:rPr>
          <w:color w:val="000000" w:themeColor="text1"/>
          <w:sz w:val="16"/>
          <w:szCs w:val="16"/>
        </w:rPr>
        <w:t>Далее Сталин приказывал отныне считать боевым вылетом для истребителей только такой вылет, в котором штурмовики и бомбардировщики не имели потерь от атак истребителей противника. Сбитые самолеты засчитывать только в том случае, если они подтверждались фотоснимком или донесением наземного наблюдения. Летчики-истребители, уклоняющиеся от боя, подлежали преданию суду с последующим направлением в штрафные роты. Последний пункт гласил:</w:t>
      </w:r>
    </w:p>
    <w:p w14:paraId="0EE45356" w14:textId="77777777" w:rsidR="001E0E61" w:rsidRPr="00722885" w:rsidRDefault="001E0E61"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«Приказ объявить всем истребителям под расписку» (19522).</w:t>
      </w:r>
    </w:p>
    <w:p w14:paraId="685DB95F" w14:textId="77777777" w:rsidR="001E0E61" w:rsidRPr="00722885" w:rsidRDefault="001E0E61" w:rsidP="00722885">
      <w:pPr>
        <w:pStyle w:val="ae"/>
        <w:spacing w:before="0" w:after="0"/>
        <w:jc w:val="both"/>
        <w:textAlignment w:val="baseline"/>
        <w:rPr>
          <w:iCs/>
          <w:color w:val="000000" w:themeColor="text1"/>
          <w:sz w:val="16"/>
          <w:szCs w:val="16"/>
          <w:bdr w:val="none" w:sz="0" w:space="0" w:color="auto" w:frame="1"/>
        </w:rPr>
      </w:pPr>
    </w:p>
    <w:p w14:paraId="6E9D5504" w14:textId="77777777" w:rsidR="001E0E61" w:rsidRPr="00722885" w:rsidRDefault="001E0E61" w:rsidP="00722885">
      <w:pPr>
        <w:pStyle w:val="ae"/>
        <w:spacing w:before="0" w:after="0"/>
        <w:jc w:val="both"/>
        <w:textAlignment w:val="baseline"/>
        <w:rPr>
          <w:color w:val="000000" w:themeColor="text1"/>
          <w:sz w:val="16"/>
          <w:szCs w:val="16"/>
        </w:rPr>
      </w:pPr>
      <w:r w:rsidRPr="00722885">
        <w:rPr>
          <w:color w:val="000000" w:themeColor="text1"/>
          <w:sz w:val="16"/>
          <w:szCs w:val="16"/>
        </w:rPr>
        <w:t>9 сентября 1942 командир 1-й эскадрильи JG53 обер-лейтенант Мюллер на Bf-109F-4/Rl с двумя дополнительными пушками MG-151/15, размещенными в гондолах под крылом установил рекорд группы, сбив в одном бою сразу шесть штурмовиков Ил-2 (19522).</w:t>
      </w:r>
    </w:p>
    <w:p w14:paraId="24D35CB0" w14:textId="77777777" w:rsidR="001E0E61" w:rsidRPr="00722885" w:rsidRDefault="001E0E61" w:rsidP="00722885">
      <w:pPr>
        <w:pStyle w:val="ae"/>
        <w:spacing w:before="0" w:after="0"/>
        <w:jc w:val="both"/>
        <w:textAlignment w:val="baseline"/>
        <w:rPr>
          <w:color w:val="000000" w:themeColor="text1"/>
          <w:sz w:val="16"/>
          <w:szCs w:val="16"/>
        </w:rPr>
      </w:pPr>
    </w:p>
    <w:p w14:paraId="5B978482" w14:textId="77777777" w:rsidR="001E0E61" w:rsidRPr="00722885" w:rsidRDefault="001E0E61"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9 сентября 1942. Экипаж Пономаренко, Легкоступ. Цель - бомбардирование города Будапешт. Сброшено 2 ФАБ-1000тга. Время взлета 19.28, время бомбометания 00.48, время посадки 06.55. Отчет-На Н=7100м. Бомбы попали в центральную часть города и западнее центра города. В результате бомбометания возник один очаг пожара (19105).</w:t>
      </w:r>
    </w:p>
    <w:p w14:paraId="5EC34E62" w14:textId="77777777" w:rsidR="001E0E61" w:rsidRPr="00722885" w:rsidRDefault="001E0E61" w:rsidP="00722885">
      <w:pPr>
        <w:spacing w:after="0" w:line="240" w:lineRule="auto"/>
        <w:jc w:val="both"/>
        <w:rPr>
          <w:rFonts w:ascii="Times New Roman" w:hAnsi="Times New Roman"/>
          <w:color w:val="000000" w:themeColor="text1"/>
          <w:sz w:val="16"/>
          <w:szCs w:val="16"/>
        </w:rPr>
      </w:pPr>
    </w:p>
    <w:p w14:paraId="05A2F9AB"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в 1942 году по указанию ГКО создан Белорусский штаб партизанского движения: начальник — П.3.Калинин, заместители — И.А.Крупеня, Г.Б.Эйдинов, И.И.Рыжиков, И.П.Ганенко (14764).</w:t>
      </w:r>
    </w:p>
    <w:p w14:paraId="5850D675"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30402F54"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в 1942 году сформированы штрафные эскадрильи: истребительная - при 268-й истребительной авиадивизии (командир полковник Б.А.Сиднев), штурмовая - при 206-й штурмовой авиадивизии (командир полковник В.А.Срывкин) и легкобомбардировочная - при 272-й ночной бомбардировочной дивизии (командир полковник П.О.Кузнецов) (14764).</w:t>
      </w:r>
    </w:p>
    <w:p w14:paraId="296487C7"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10B9A41A"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в 1942 году в республиках Закавказья объявлeно военное положение (14764).</w:t>
      </w:r>
    </w:p>
    <w:p w14:paraId="3CD945DF"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765A605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w:t>
      </w:r>
      <w:r w:rsidRPr="00722885">
        <w:rPr>
          <w:color w:val="000000" w:themeColor="text1"/>
          <w:sz w:val="16"/>
          <w:szCs w:val="16"/>
        </w:rPr>
        <w:softHyphen/>
        <w:t xml:space="preserve">тября 1942 г. две группы по 5 Ил-2 212-й </w:t>
      </w:r>
      <w:r w:rsidRPr="00722885">
        <w:rPr>
          <w:iCs/>
          <w:color w:val="000000" w:themeColor="text1"/>
          <w:sz w:val="16"/>
          <w:szCs w:val="16"/>
        </w:rPr>
        <w:t>шад</w:t>
      </w:r>
      <w:r w:rsidRPr="00722885">
        <w:rPr>
          <w:color w:val="000000" w:themeColor="text1"/>
          <w:sz w:val="16"/>
          <w:szCs w:val="16"/>
        </w:rPr>
        <w:t xml:space="preserve"> 3-й ВА Калининского фронта в районе Нов. Александрове были атако</w:t>
      </w:r>
      <w:r w:rsidRPr="00722885">
        <w:rPr>
          <w:color w:val="000000" w:themeColor="text1"/>
          <w:sz w:val="16"/>
          <w:szCs w:val="16"/>
        </w:rPr>
        <w:softHyphen/>
        <w:t>ваны 4 Bf109F. Штурмовики, которые еще не успели собраться после атаки цели, вместо того чтобы принять бой, поддерживая друг друга огнем и манев</w:t>
      </w:r>
      <w:r w:rsidRPr="00722885">
        <w:rPr>
          <w:color w:val="000000" w:themeColor="text1"/>
          <w:sz w:val="16"/>
          <w:szCs w:val="16"/>
        </w:rPr>
        <w:softHyphen/>
        <w:t>ром, пытались на скорости уйти от ис</w:t>
      </w:r>
      <w:r w:rsidRPr="00722885">
        <w:rPr>
          <w:color w:val="000000" w:themeColor="text1"/>
          <w:sz w:val="16"/>
          <w:szCs w:val="16"/>
        </w:rPr>
        <w:softHyphen/>
        <w:t>требителей противника, в результате чего было сбито 4 Ил-2 (6467).</w:t>
      </w:r>
    </w:p>
    <w:p w14:paraId="042ECBC4" w14:textId="77777777" w:rsidR="00AE7191" w:rsidRPr="00722885" w:rsidRDefault="00AE7191" w:rsidP="00722885">
      <w:pPr>
        <w:pStyle w:val="Iauiue"/>
        <w:jc w:val="both"/>
        <w:rPr>
          <w:color w:val="000000" w:themeColor="text1"/>
          <w:sz w:val="16"/>
          <w:szCs w:val="16"/>
        </w:rPr>
      </w:pPr>
    </w:p>
    <w:p w14:paraId="124BCF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оберлейтенант Мюллер (F.K.Muller) на Ме-109, вооруженном пушками, в одном бою сбил 6 Ил-2. 20-мм пушки брали броню с трудом и наиболее эффективной считалась атака снизу сзади с тем, чтобы прицельным огнем разбить радиатор (3455).</w:t>
      </w:r>
    </w:p>
    <w:p w14:paraId="0172D4FE" w14:textId="77777777" w:rsidR="00AE7191" w:rsidRPr="00722885" w:rsidRDefault="00AE7191" w:rsidP="00722885">
      <w:pPr>
        <w:pStyle w:val="Iauiue"/>
        <w:jc w:val="both"/>
        <w:rPr>
          <w:color w:val="000000" w:themeColor="text1"/>
          <w:sz w:val="16"/>
          <w:szCs w:val="16"/>
        </w:rPr>
      </w:pPr>
    </w:p>
    <w:p w14:paraId="2D61B7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л Е.А.Кривошеев при лобовой атаке таранил Bf 109F-4 Г.Хоффмана из 6./JG5. Оба погибли (3796).</w:t>
      </w:r>
    </w:p>
    <w:p w14:paraId="18BABF23" w14:textId="77777777" w:rsidR="00AE7191" w:rsidRPr="00722885" w:rsidRDefault="00AE7191" w:rsidP="00722885">
      <w:pPr>
        <w:pStyle w:val="Iauiue"/>
        <w:jc w:val="both"/>
        <w:rPr>
          <w:color w:val="000000" w:themeColor="text1"/>
          <w:sz w:val="16"/>
          <w:szCs w:val="16"/>
        </w:rPr>
      </w:pPr>
    </w:p>
    <w:p w14:paraId="4F435A6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в ночь на 10 большая группа бомбардировщиков летала бомбить Берлин, Кенигсберг и Будапешт. два не вернулись (438,856).</w:t>
      </w:r>
    </w:p>
    <w:p w14:paraId="65EFD17C" w14:textId="77777777" w:rsidR="00AE7191" w:rsidRPr="00722885" w:rsidRDefault="00AE7191" w:rsidP="00722885">
      <w:pPr>
        <w:pStyle w:val="Iauiue"/>
        <w:jc w:val="both"/>
        <w:rPr>
          <w:color w:val="000000" w:themeColor="text1"/>
          <w:sz w:val="16"/>
          <w:szCs w:val="16"/>
        </w:rPr>
      </w:pPr>
    </w:p>
    <w:p w14:paraId="3C445C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г. вышел ПРИКАЗ НКО № 0685 ОБ УСТАНОВЛЕНИИ ПОНЯТИЯ БОЕВОГО ВЫЛЕТА ДЛЯ ИСТРЕБИТЕЛЕЙ</w:t>
      </w:r>
    </w:p>
    <w:p w14:paraId="25A583B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Фактами на Калининском, Западном, Сталинградском, Юго-Восточном и других фронтах установлено, что наша истребительная авиация, как правило, работает плохо и свои боевые задачи очень часто не выполняет.</w:t>
      </w:r>
    </w:p>
    <w:p w14:paraId="59BAD5E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Истребители наши не только не вступают в бой с истребителями противника, но избегают атаковывать бомбардировщиков.</w:t>
      </w:r>
    </w:p>
    <w:p w14:paraId="6FACD14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 выполнении задачи по прикрытию штурмовиков и бомбардировщиков наши истребители даже при количественном превосходстве над истребителями противника уклоняются от боя, ходят в стороне и допускают безнаказанно сбивать наших штурмовиков и бомбардировщиков.</w:t>
      </w:r>
    </w:p>
    <w:p w14:paraId="53E4E91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Приказом НКО за № 0299* предусмотрены для летного состава в качестве поощрения денежные вознаграждения и правительственные награды за боевые вылеты с выполнением боевой задачи. Этот приказ в авиачастях извращен на фронтах.</w:t>
      </w:r>
    </w:p>
    <w:p w14:paraId="0FCE9A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Боевым вылетом неправильно считают всякий полет на поле боя, независимо от того, выполнена или нет истребителями возложенная на них боевая задача.</w:t>
      </w:r>
    </w:p>
    <w:p w14:paraId="040172D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Такое неправильное понятие о боевом вылете не воспитывает наших истребителей в духе активного нападения на самолеты врага и дает возможность отдельным ловкачам и трусам получать денежное вознаграждение и правительственные награды наравне с честными и храбрыми летчиками.</w:t>
      </w:r>
    </w:p>
    <w:p w14:paraId="46A005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целях ликвидации такой несправедливости и для того, чтобы поощрять только честных летчиков, а ловкачей и трусов выявлять, изгонять из рядов наших истребителей и наказывать их, приказываю:</w:t>
      </w:r>
    </w:p>
    <w:p w14:paraId="041196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Считать боевым вылетом для истребителей только такой вылет, при котором штурмовики и бомбардировщики при выполнении боевой задачи не имели потерь от атак истребителей противника.</w:t>
      </w:r>
    </w:p>
    <w:p w14:paraId="31C2727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Засчитывать сбитыми самолетами за летчиками только те самолеты противника, которые подтверждены фотоснимком или донесением наземного наблюдения.</w:t>
      </w:r>
    </w:p>
    <w:p w14:paraId="0BAECCD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Выплату за боевые вылеты и представления к правительственной награде впредь производить строго руководствуясь пунктами 1 и 2 настоящего приказа.</w:t>
      </w:r>
    </w:p>
    <w:p w14:paraId="4BF482F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Летчиков-истребителей, уклоняющихся от боя с воздушным противником, предавать суду и переводить в штрафные части в пехоту.</w:t>
      </w:r>
    </w:p>
    <w:p w14:paraId="7E50D5B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Приказ объявить всем истребителям под расписку.</w:t>
      </w:r>
    </w:p>
    <w:p w14:paraId="7E235F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Народный комиссар обороны И. СТАЛИН (9844).</w:t>
      </w:r>
    </w:p>
    <w:p w14:paraId="2E0F42B1" w14:textId="77777777" w:rsidR="00AE7191" w:rsidRPr="00722885" w:rsidRDefault="00AE7191" w:rsidP="00722885">
      <w:pPr>
        <w:pStyle w:val="Iauiue"/>
        <w:jc w:val="both"/>
        <w:rPr>
          <w:color w:val="000000" w:themeColor="text1"/>
          <w:sz w:val="16"/>
          <w:szCs w:val="16"/>
        </w:rPr>
      </w:pPr>
    </w:p>
    <w:p w14:paraId="1A7E3F2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г. вышел ПРИКАЗ НКО № 0757 О МУЖЕСТВЕ И ХРАБРОСТИ, ПРОЯВЛЕННЫМИ КОМАНДИРОМ ЭСКАДРИЛЬИ 694-го ШТУРМОВОГО АВИАПОЛКА КАПИТАНОМ П. С. ВИНОГРАДОВЫМ В ВОЗДУШНОМ БОЮ</w:t>
      </w:r>
    </w:p>
    <w:p w14:paraId="784A174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сентября 1942 года командир эскадрильи 694-го штурмового авиаполка капитан Виноградов в составе группы самолетов Ил-2 наносил удар по мото-мехчастям и танкам противника. Во время атаки подвергся нападению 4 истребителей Ме-109ф. Невзирая на численное превосходство противника, оставшись один, смело вступил в бой с истребителями, в котором сбил 2 Ме-109ф, остальных заставил покинуть поле боя.</w:t>
      </w:r>
    </w:p>
    <w:p w14:paraId="4D6CFE8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бою получил ранение, истекая кровью и превозмогая боль, привел самолет и посадил на свою территорию.</w:t>
      </w:r>
    </w:p>
    <w:p w14:paraId="696C556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Приказываю:</w:t>
      </w:r>
    </w:p>
    <w:p w14:paraId="7C1465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 проявленные мужество, храбрость в воздушном бою с 4 Ме-109ф командиру 1-й эскадрильи 694-го штурмового авиационного полка капитану Виноградову Павлу Сергеевичу присваиваю внеочередное военное звание “подполковник” и назначаю его на должность командира 694-го штурмового авиаполка.</w:t>
      </w:r>
    </w:p>
    <w:p w14:paraId="35782BE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 прочесть всему личному составу ВВС Красной Армии.</w:t>
      </w:r>
    </w:p>
    <w:p w14:paraId="5E392E6F"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Заместитель Народного комиссара обороны СССР генерал-лейтенант авиации НОВИКОВ </w:t>
      </w:r>
      <w:r w:rsidRPr="00722885">
        <w:rPr>
          <w:color w:val="000000" w:themeColor="text1"/>
          <w:sz w:val="16"/>
          <w:szCs w:val="16"/>
        </w:rPr>
        <w:t>(9844).</w:t>
      </w:r>
    </w:p>
    <w:p w14:paraId="52B73948" w14:textId="77777777" w:rsidR="00AE7191" w:rsidRPr="00722885" w:rsidRDefault="00AE7191" w:rsidP="00722885">
      <w:pPr>
        <w:pStyle w:val="Iauiue"/>
        <w:jc w:val="both"/>
        <w:rPr>
          <w:color w:val="000000" w:themeColor="text1"/>
          <w:sz w:val="16"/>
          <w:szCs w:val="16"/>
        </w:rPr>
      </w:pPr>
    </w:p>
    <w:p w14:paraId="5A1D5AA4" w14:textId="77777777" w:rsidR="00AE7191" w:rsidRPr="00722885" w:rsidRDefault="00AE7191" w:rsidP="00722885">
      <w:pPr>
        <w:pStyle w:val="Iauiue"/>
        <w:jc w:val="both"/>
        <w:rPr>
          <w:iCs/>
          <w:color w:val="000000" w:themeColor="text1"/>
          <w:sz w:val="16"/>
          <w:szCs w:val="16"/>
        </w:rPr>
      </w:pPr>
      <w:r w:rsidRPr="00722885">
        <w:rPr>
          <w:color w:val="000000" w:themeColor="text1"/>
          <w:sz w:val="16"/>
          <w:szCs w:val="16"/>
        </w:rPr>
        <w:t>9 сентября 1942 г. была подготовлена докладная записка Г. К. Жукова, А. А. Новикова и Г. М. Маленкова И. В. Сталину, переданная по телеграфу и заверенная в НКО майором Самсоновым.</w:t>
      </w:r>
    </w:p>
    <w:p w14:paraId="332B3D77" w14:textId="77777777" w:rsidR="00AE7191" w:rsidRPr="00722885" w:rsidRDefault="00AE7191" w:rsidP="00722885">
      <w:pPr>
        <w:pStyle w:val="Iauiue"/>
        <w:jc w:val="both"/>
        <w:rPr>
          <w:iCs/>
          <w:color w:val="000000" w:themeColor="text1"/>
          <w:sz w:val="16"/>
          <w:szCs w:val="16"/>
        </w:rPr>
      </w:pPr>
      <w:r w:rsidRPr="00722885">
        <w:rPr>
          <w:iCs/>
          <w:color w:val="000000" w:themeColor="text1"/>
          <w:sz w:val="16"/>
          <w:szCs w:val="16"/>
        </w:rPr>
        <w:t>Совершенно секретно Экз. № 1</w:t>
      </w:r>
    </w:p>
    <w:p w14:paraId="1CE1C9B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ДОНЕСЕНИЕ тов. СТАЛИНУ И. В.</w:t>
      </w:r>
    </w:p>
    <w:p w14:paraId="1D0315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течение последних шести-семи дней наблюдали действие нашей истребительной авиации.</w:t>
      </w:r>
    </w:p>
    <w:p w14:paraId="1A4B120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основании многочисленных фактов пришли к убеждению, что наша истребительная авиация работает очень плохо. Наши истребители даже в тех случаях, когда их в несколько раз больше, чем истребителей противника, в бой с последними не вступают. В тех случаях, когда наши истребители выполняют задачу прикрытия штурмовиков, они также в бой с истребителями противника не вступают и последние безнаказанно атакуют штурмовиков, сбивают их, а наши истребители летают в стороне, а часто и просто уходят на свои аэродромы.</w:t>
      </w:r>
    </w:p>
    <w:p w14:paraId="4CFE5D0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 что мы вам докладываем, к сожалению, является не отдельными фактами.</w:t>
      </w:r>
    </w:p>
    <w:p w14:paraId="55436C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Такое позорное поведение истребителей наши войска наблюдают ежедневно. Мы лично видели не менее десяти таких фактов. Ни одного случая хорошего поведения истребителей не наблюдали.</w:t>
      </w:r>
    </w:p>
    <w:p w14:paraId="16A807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Считаем, что нужно пересмотреть существующую систему поощрения и награждения летчиков истребителей за боевые вылеты.</w:t>
      </w:r>
    </w:p>
    <w:p w14:paraId="4739A45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 фронтах извратили понятие о боевом вылете. Боевым вылетом считают всякий полет на поле боя независимо от того, вел ли летчик-истребитель бой с противником или нет. А это привело к тому, что наши истребители не ищут встречи с противником, уклоняются от боя и бросают на произвол своих штурмовиков и бомбардировщиков.</w:t>
      </w:r>
    </w:p>
    <w:p w14:paraId="0962C3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Несмотря на такое позорное поведение наших истребителей, фронты засчитывают им их вылеты как боевые.</w:t>
      </w:r>
    </w:p>
    <w:p w14:paraId="2CF87E9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Вносим предложение: впредь считать боевым вылетом только тот вылет, при котором истребитель вел воздушный бой с противником. В случае же, если истребитель сопровождал штурмовиков или бомбардировщиков, денежное вознаграждение и поощрение давать только при благополучном возвращении на свои аэродромы штурмовиков и бомбардировщиков.</w:t>
      </w:r>
    </w:p>
    <w:p w14:paraId="541C2A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Считаем целесообразным издать от имени Ставки следующий приказ...(9844).</w:t>
      </w:r>
    </w:p>
    <w:p w14:paraId="578B3F0A" w14:textId="77777777" w:rsidR="00AE7191" w:rsidRPr="00722885" w:rsidRDefault="00AE7191" w:rsidP="00722885">
      <w:pPr>
        <w:pStyle w:val="Iauiue"/>
        <w:jc w:val="both"/>
        <w:rPr>
          <w:color w:val="000000" w:themeColor="text1"/>
          <w:sz w:val="16"/>
          <w:szCs w:val="16"/>
        </w:rPr>
      </w:pPr>
    </w:p>
    <w:p w14:paraId="13FE470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А.Г. отстранил от командования группой армий А г-ф В.Листа и взял командование на себя (3186).</w:t>
      </w:r>
    </w:p>
    <w:p w14:paraId="1CF80D65" w14:textId="77777777" w:rsidR="00AE7191" w:rsidRPr="00722885" w:rsidRDefault="00AE7191" w:rsidP="00722885">
      <w:pPr>
        <w:pStyle w:val="Iauiue"/>
        <w:jc w:val="both"/>
        <w:rPr>
          <w:color w:val="000000" w:themeColor="text1"/>
          <w:sz w:val="16"/>
          <w:szCs w:val="16"/>
        </w:rPr>
      </w:pPr>
    </w:p>
    <w:p w14:paraId="7326AF75"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Днем 9 сентября 1942 г. четырнадцать Не-111 из III./KG4 появились над Астраханью. Основной удар наносился по нефтебазе № 5, кроме того, бомбежке подверглись нефтебаза в селе Ильинка и судоремонтный завод им. Ленина. В результате многочисленных прямых попаданий бомб Brand C50A и Brand C250A на двух нефтехранилищах были подожжены около 400 тыс. т нефтепродуктов, пожар сразу принял опасные размеры. Языки пламени поднимались на сотни метров, сливаясь в огромные огненные смерчи. Затем с ужасающей быстротой стал расти огромнейший столб черного дыма. С. Г. Антонов, в то время бывший подростком, жил в центре Астрахани. Он вспоминал:  «Был жаркий летний день. Вдруг стало темно, как ночью. Выбежав во двор нашего дома, я увидел, что небо заволакивает огромнейший столб черного дыма, поднимающегося со стороны нефтебаз. И при этом царила странная, неестественная тишина. От ужаса все мы закричали, так как это было поистине кошмарное зрелище. Ниже над горизонтом в небо стали вздыматься огромные огненные всполохи, и тут я увидел в их отблесках немецкие самолеты, которые ровным строем выворачивали после атаки». К вечеру поднявшийся в небо колоссальный столб дыма, словно предвестник апокалипсиса, был виден за сотни километров от Астрахани. В ночь на 10 сентября немцы совершили повторный налет на объекты в Астрахани. В результате этих ударов в прилегающих к нефтебазам окрестностях сгорели 48 жилых домов, клуб, больница, школа и здание бассейнового комитета профсоюза речников. На судоремонтном заводе также были разрушены несколько цехов. Во время налета авиации на город были задержаны два человека, которые сигнальными ракетами указывали немецким самолетам наиболее важные объекты. Как выяснилось, они являлись агентами немецкой разведки, окончили разведывательную школу в Полтаве и были переправлены через линию фронта в Астрахань. Задержанные сообщили, что вместе с ними на территорию Сталинградской области десантированы еще три парашютиста-диверсанта. По полученным от них сведениям были немедленно ориентированы сотрудники органов НКВД. Примерно через сутки после этого в районе СталГРЭС в поселке Бекетовка был опознан один из них, несколько позже удалось задержать и других немецких агентов (11774).</w:t>
      </w:r>
    </w:p>
    <w:p w14:paraId="2E261E8E"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076EFB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года создан республиканский Белорусский штаб партизанского движения (БШПД) (начальник - секретарь ЦК КП(б)Б П.З.Калинин) (8983).</w:t>
      </w:r>
    </w:p>
    <w:p w14:paraId="47B686B4" w14:textId="77777777" w:rsidR="00AE7191" w:rsidRPr="00722885" w:rsidRDefault="00AE7191" w:rsidP="00722885">
      <w:pPr>
        <w:pStyle w:val="Iauiue"/>
        <w:jc w:val="both"/>
        <w:rPr>
          <w:color w:val="000000" w:themeColor="text1"/>
          <w:sz w:val="16"/>
          <w:szCs w:val="16"/>
        </w:rPr>
      </w:pPr>
    </w:p>
    <w:p w14:paraId="405A7FB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1942 вышло Постановление ГКО № 2285 Вопросы партизанского движения.РГАНИР, Фонд ГКО, д. 55, лл. 166 (11012).</w:t>
      </w:r>
    </w:p>
    <w:p w14:paraId="6AE308B1"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22D14D63"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529295C5" w14:textId="77777777" w:rsidR="00AE7191" w:rsidRPr="00722885" w:rsidRDefault="00AE7191" w:rsidP="00722885">
      <w:pPr>
        <w:pStyle w:val="Iauiue"/>
        <w:jc w:val="both"/>
        <w:rPr>
          <w:iCs/>
          <w:color w:val="000000" w:themeColor="text1"/>
          <w:sz w:val="16"/>
          <w:szCs w:val="16"/>
        </w:rPr>
      </w:pPr>
    </w:p>
    <w:p w14:paraId="5C88995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У.Черчиль предложил И.В.С. 17 английских истребительных эскадрилий, и 5 эскадрилий средних бомбардировщиков для поддержки наших войск в Закавказье. Американцы были готовы дать полк В-24. В начале декабря 1942 И.В.С. отказался (1119,18).</w:t>
      </w:r>
    </w:p>
    <w:p w14:paraId="7F701C62" w14:textId="77777777" w:rsidR="00AE7191" w:rsidRPr="00722885" w:rsidRDefault="00AE7191" w:rsidP="00722885">
      <w:pPr>
        <w:pStyle w:val="Iauiue"/>
        <w:jc w:val="both"/>
        <w:rPr>
          <w:color w:val="000000" w:themeColor="text1"/>
          <w:sz w:val="16"/>
          <w:szCs w:val="16"/>
        </w:rPr>
      </w:pPr>
    </w:p>
    <w:p w14:paraId="0AFDE420"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925514D" w14:textId="77777777" w:rsidR="00AE7191" w:rsidRPr="00722885" w:rsidRDefault="00AE7191" w:rsidP="00722885">
      <w:pPr>
        <w:pStyle w:val="Iauiue"/>
        <w:jc w:val="both"/>
        <w:rPr>
          <w:iCs/>
          <w:color w:val="000000" w:themeColor="text1"/>
          <w:sz w:val="16"/>
          <w:szCs w:val="16"/>
        </w:rPr>
      </w:pPr>
    </w:p>
    <w:p w14:paraId="37ACE139" w14:textId="77777777" w:rsidR="00735955" w:rsidRPr="00722885" w:rsidRDefault="00735955" w:rsidP="00722885">
      <w:pPr>
        <w:pStyle w:val="Iauiue"/>
        <w:jc w:val="both"/>
        <w:rPr>
          <w:color w:val="000000" w:themeColor="text1"/>
          <w:sz w:val="16"/>
          <w:szCs w:val="16"/>
        </w:rPr>
      </w:pPr>
      <w:r w:rsidRPr="00722885">
        <w:rPr>
          <w:color w:val="000000" w:themeColor="text1"/>
          <w:sz w:val="16"/>
          <w:szCs w:val="16"/>
        </w:rPr>
        <w:t>В сентябре 1942 в Сиэтле изготовили первый опытный ХВ-29 N 41-002 (1051,15). 9 сентября 1942 начались опробования двигателей (1051,16).</w:t>
      </w:r>
    </w:p>
    <w:p w14:paraId="7E4910E9" w14:textId="77777777" w:rsidR="00735955" w:rsidRPr="00722885" w:rsidRDefault="00735955" w:rsidP="00722885">
      <w:pPr>
        <w:pStyle w:val="Iauiue"/>
        <w:jc w:val="both"/>
        <w:rPr>
          <w:color w:val="000000" w:themeColor="text1"/>
          <w:sz w:val="16"/>
          <w:szCs w:val="16"/>
        </w:rPr>
      </w:pPr>
    </w:p>
    <w:p w14:paraId="1AFD68EF" w14:textId="77777777" w:rsidR="00C02F5C" w:rsidRPr="00722885" w:rsidRDefault="00C02F5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сентября 1942 гидросамолет Йокосука E14Y (Allied названия «Глен») Императорского флота Япония, доставленный подводной лодкой I-25, совершает две атаки на побережье штата Орегон в Соединенных Штатах, сбросив четыре 76-кг (167,5 фунтов) фосфорных бомбы в попытке разжечь лесные пожары. Они стали известны как воздушные налеты наблюдения. Это единственный раз, когда вражеский самолет бомбит континентальную часть Соединенных Штатов во время Второй мировой войны (21793).</w:t>
      </w:r>
    </w:p>
    <w:p w14:paraId="06AF4AF4" w14:textId="77777777" w:rsidR="00C02F5C" w:rsidRPr="00722885" w:rsidRDefault="00C02F5C" w:rsidP="00722885">
      <w:pPr>
        <w:spacing w:after="0" w:line="240" w:lineRule="auto"/>
        <w:jc w:val="both"/>
        <w:rPr>
          <w:rFonts w:ascii="Times New Roman" w:hAnsi="Times New Roman"/>
          <w:color w:val="0070C0"/>
          <w:sz w:val="16"/>
          <w:szCs w:val="16"/>
        </w:rPr>
      </w:pPr>
    </w:p>
    <w:p w14:paraId="541AA63E"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в 1942 году Адольф Гитлер отстранил от командования группой армий "А" генерал-фельдмаршала В. Листа и взял командование на себя (14764).</w:t>
      </w:r>
    </w:p>
    <w:p w14:paraId="1D686C12"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1BD36FFA" w14:textId="77777777" w:rsidR="00C02F5C" w:rsidRPr="00722885" w:rsidRDefault="00C02F5C" w:rsidP="00722885">
      <w:pPr>
        <w:spacing w:after="0" w:line="240" w:lineRule="auto"/>
        <w:jc w:val="both"/>
        <w:rPr>
          <w:rFonts w:ascii="Times New Roman" w:hAnsi="Times New Roman"/>
          <w:color w:val="0070C0"/>
          <w:sz w:val="16"/>
          <w:szCs w:val="16"/>
          <w:lang w:val="en-US"/>
        </w:rPr>
      </w:pPr>
      <w:r w:rsidRPr="00722885">
        <w:rPr>
          <w:rFonts w:ascii="Times New Roman" w:hAnsi="Times New Roman"/>
          <w:color w:val="0070C0"/>
          <w:sz w:val="16"/>
          <w:szCs w:val="16"/>
        </w:rPr>
        <w:t>9 сентября 1942 британский авианосец сопровождения HMS Avenger присоединяется к конвою PQ 18, направляющемуся из озера Лох-Эве, Шотландия, в Архангельск в Советском Союзе в качестве эскорта. Он</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стал</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первым</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авианосцем</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сопровождавшим</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арктический</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конвой</w:t>
      </w:r>
      <w:r w:rsidRPr="00722885">
        <w:rPr>
          <w:rFonts w:ascii="Times New Roman" w:hAnsi="Times New Roman"/>
          <w:color w:val="0070C0"/>
          <w:sz w:val="16"/>
          <w:szCs w:val="16"/>
          <w:lang w:val="en-US"/>
        </w:rPr>
        <w:t xml:space="preserve"> (20793).</w:t>
      </w:r>
    </w:p>
    <w:p w14:paraId="197B88FD" w14:textId="77777777" w:rsidR="00C02F5C" w:rsidRPr="00722885" w:rsidRDefault="00C02F5C" w:rsidP="00722885">
      <w:pPr>
        <w:spacing w:after="0" w:line="240" w:lineRule="auto"/>
        <w:jc w:val="both"/>
        <w:rPr>
          <w:rFonts w:ascii="Times New Roman" w:hAnsi="Times New Roman"/>
          <w:color w:val="0070C0"/>
          <w:sz w:val="16"/>
          <w:szCs w:val="16"/>
          <w:lang w:val="en-US"/>
        </w:rPr>
      </w:pPr>
    </w:p>
    <w:p w14:paraId="4A06B652"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September 9 1942 Japanese plane (launched from submarine) starts small forest fire near Brookings, Oreg. (this was the only bombing attack on the continental United States during war) (1037).</w:t>
      </w:r>
    </w:p>
    <w:p w14:paraId="7E8D4213" w14:textId="77777777" w:rsidR="00AE7191" w:rsidRPr="00722885" w:rsidRDefault="00AE7191" w:rsidP="00722885">
      <w:pPr>
        <w:pStyle w:val="Iauiue"/>
        <w:jc w:val="both"/>
        <w:rPr>
          <w:color w:val="000000" w:themeColor="text1"/>
          <w:sz w:val="16"/>
          <w:szCs w:val="16"/>
          <w:lang w:val="en-US"/>
        </w:rPr>
      </w:pPr>
    </w:p>
    <w:p w14:paraId="0C2CCE6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небольшой японский самолет, запущенный с подводной лодки, поджег лес в районе Орегона (единственная бомбардировка США в течение войны) (1037). Бомбили с Йокошика E14Y1 Glen зажигательными бомбами. Самолет заметили и лес потушили. Потом, 29 сентября была и вторая бомбардировка (2704,2).</w:t>
      </w:r>
    </w:p>
    <w:p w14:paraId="2DF66CA1" w14:textId="77777777" w:rsidR="00AE7191" w:rsidRPr="00722885" w:rsidRDefault="00AE7191" w:rsidP="00722885">
      <w:pPr>
        <w:pStyle w:val="Iauiue"/>
        <w:jc w:val="both"/>
        <w:rPr>
          <w:color w:val="000000" w:themeColor="text1"/>
          <w:sz w:val="16"/>
          <w:szCs w:val="16"/>
        </w:rPr>
      </w:pPr>
    </w:p>
    <w:p w14:paraId="61B22CF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сентября 1942 небольшой японский самолет Йокошика E14Y1 Glen, запущенный с подводной лодки И-25 вновь бомбил территорию США в районе Орегона (первая бомбардировка США была 9 сентября 1942. Бомбили с зажигательными бомбами (2704,2).</w:t>
      </w:r>
    </w:p>
    <w:p w14:paraId="0B73B65B" w14:textId="77777777" w:rsidR="00AE7191" w:rsidRPr="00722885" w:rsidRDefault="00AE7191" w:rsidP="00722885">
      <w:pPr>
        <w:pStyle w:val="Iauiue"/>
        <w:jc w:val="both"/>
        <w:rPr>
          <w:color w:val="000000" w:themeColor="text1"/>
          <w:sz w:val="16"/>
          <w:szCs w:val="16"/>
        </w:rPr>
      </w:pPr>
    </w:p>
    <w:p w14:paraId="7127847E"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в 1942 году лёгкий японский самолёт сбросил несколько зажигательных бомб на лес близ горы Эмили в штате Орегон. Это был первый в истории случай, когда бомбардировке подверглась континентальная территория США (14764).</w:t>
      </w:r>
    </w:p>
    <w:p w14:paraId="1412C1E6"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2EA54C3A"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в 1942 году в Греции у местечка Рика-Гионас отряды ЭЛАС провели первый бой (14764).</w:t>
      </w:r>
    </w:p>
    <w:p w14:paraId="166A2557"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01272D09"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в 1942 году Китайские войска освободили Лубао и Куньтянь (14764).</w:t>
      </w:r>
    </w:p>
    <w:p w14:paraId="56F76F1C"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6D6E71E4"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11432A3" w14:textId="77777777" w:rsidR="00AE7191" w:rsidRPr="00722885" w:rsidRDefault="00AE7191" w:rsidP="00722885">
      <w:pPr>
        <w:pStyle w:val="Iauiue"/>
        <w:jc w:val="both"/>
        <w:rPr>
          <w:iCs/>
          <w:color w:val="000000" w:themeColor="text1"/>
          <w:sz w:val="16"/>
          <w:szCs w:val="16"/>
        </w:rPr>
      </w:pPr>
    </w:p>
    <w:p w14:paraId="3EE765F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10 сентября 1942 г., после переезда в Москву и получения производствен</w:t>
      </w:r>
      <w:r w:rsidRPr="00722885">
        <w:rPr>
          <w:color w:val="000000" w:themeColor="text1"/>
          <w:sz w:val="16"/>
          <w:szCs w:val="16"/>
        </w:rPr>
        <w:softHyphen/>
        <w:t>ной базы завода № 240, в ОКБ С.В.Иль</w:t>
      </w:r>
      <w:r w:rsidRPr="00722885">
        <w:rPr>
          <w:color w:val="000000" w:themeColor="text1"/>
          <w:sz w:val="16"/>
          <w:szCs w:val="16"/>
        </w:rPr>
        <w:softHyphen/>
        <w:t>юшина были разработаны два варианта двухместных Ил-2 - с задней кабиной стрелка под пулемет ШКАС и под пуле</w:t>
      </w:r>
      <w:r w:rsidRPr="00722885">
        <w:rPr>
          <w:color w:val="000000" w:themeColor="text1"/>
          <w:sz w:val="16"/>
          <w:szCs w:val="16"/>
        </w:rPr>
        <w:softHyphen/>
        <w:t>мет УБТ, требовавшие минимальных из</w:t>
      </w:r>
      <w:r w:rsidRPr="00722885">
        <w:rPr>
          <w:color w:val="000000" w:themeColor="text1"/>
          <w:sz w:val="16"/>
          <w:szCs w:val="16"/>
        </w:rPr>
        <w:softHyphen/>
        <w:t>менений в конструкции самолета.</w:t>
      </w:r>
    </w:p>
    <w:p w14:paraId="4E3F8AE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Было решено, с целью выявления луч</w:t>
      </w:r>
      <w:r w:rsidRPr="00722885">
        <w:rPr>
          <w:color w:val="000000" w:themeColor="text1"/>
          <w:sz w:val="16"/>
          <w:szCs w:val="16"/>
        </w:rPr>
        <w:softHyphen/>
        <w:t xml:space="preserve">шего варианта, строить на заводе № 30 сразу два двухместных Ил-2 - один (зав. № 30897) под пулемет ШКАС, а другой (зав. № </w:t>
      </w:r>
      <w:r w:rsidRPr="00722885">
        <w:rPr>
          <w:color w:val="000000" w:themeColor="text1"/>
          <w:sz w:val="16"/>
          <w:szCs w:val="16"/>
        </w:rPr>
        <w:lastRenderedPageBreak/>
        <w:t>30887) - под пулемет УБТ. Все работы по переделке серийных "Илов" с АМ-38 проводились чрезвычайно бы</w:t>
      </w:r>
      <w:r w:rsidRPr="00722885">
        <w:rPr>
          <w:color w:val="000000" w:themeColor="text1"/>
          <w:sz w:val="16"/>
          <w:szCs w:val="16"/>
        </w:rPr>
        <w:softHyphen/>
        <w:t>стро и оперативно, так что уже в конце сентября оба самолета были предъяв</w:t>
      </w:r>
      <w:r w:rsidRPr="00722885">
        <w:rPr>
          <w:color w:val="000000" w:themeColor="text1"/>
          <w:sz w:val="16"/>
          <w:szCs w:val="16"/>
        </w:rPr>
        <w:softHyphen/>
        <w:t>лены в НИИ ВВС КА для прохождения государственных испытаний.</w:t>
      </w:r>
    </w:p>
    <w:p w14:paraId="76C06F0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Основные отличия предъявленных на гос. испытания двухместных самолетов Ил-2 АМ-38 состояли в следующем. За пределами бронекорпуса на месте зад</w:t>
      </w:r>
      <w:r w:rsidRPr="00722885">
        <w:rPr>
          <w:color w:val="000000" w:themeColor="text1"/>
          <w:sz w:val="16"/>
          <w:szCs w:val="16"/>
        </w:rPr>
        <w:softHyphen/>
        <w:t>него топливного бака была оборудова на кабина стрелка с фонарем, откиды</w:t>
      </w:r>
      <w:r w:rsidRPr="00722885">
        <w:rPr>
          <w:color w:val="000000" w:themeColor="text1"/>
          <w:sz w:val="16"/>
          <w:szCs w:val="16"/>
        </w:rPr>
        <w:softHyphen/>
        <w:t>вающимся на правый борт самолета. Стрелок размещался спиной к задней бронеперегородке на подвесной бре</w:t>
      </w:r>
      <w:r w:rsidRPr="00722885">
        <w:rPr>
          <w:color w:val="000000" w:themeColor="text1"/>
          <w:sz w:val="16"/>
          <w:szCs w:val="16"/>
        </w:rPr>
        <w:softHyphen/>
        <w:t>зентовой лямке и был защищен со сто</w:t>
      </w:r>
      <w:r w:rsidRPr="00722885">
        <w:rPr>
          <w:color w:val="000000" w:themeColor="text1"/>
          <w:sz w:val="16"/>
          <w:szCs w:val="16"/>
        </w:rPr>
        <w:softHyphen/>
        <w:t>роны хвоста самолета 6-мм бронеплитой. Бронезащита снизу, с боков и сверху отсутствовала. Вырез в верхней части фюзеляжа под кабину стрелка окантовывался отштампованным из дю</w:t>
      </w:r>
      <w:r w:rsidRPr="00722885">
        <w:rPr>
          <w:color w:val="000000" w:themeColor="text1"/>
          <w:sz w:val="16"/>
          <w:szCs w:val="16"/>
        </w:rPr>
        <w:softHyphen/>
        <w:t>ралюминиевого листа жестким кольцом. Пулеметы ШКАС и УБТ монтировались на полутурельной ус</w:t>
      </w:r>
      <w:r w:rsidRPr="00722885">
        <w:rPr>
          <w:color w:val="000000" w:themeColor="text1"/>
          <w:sz w:val="16"/>
          <w:szCs w:val="16"/>
        </w:rPr>
        <w:softHyphen/>
        <w:t>тановке и имели до</w:t>
      </w:r>
      <w:r w:rsidRPr="00722885">
        <w:rPr>
          <w:color w:val="000000" w:themeColor="text1"/>
          <w:sz w:val="16"/>
          <w:szCs w:val="16"/>
        </w:rPr>
        <w:softHyphen/>
        <w:t>статочно ограничен</w:t>
      </w:r>
      <w:r w:rsidRPr="00722885">
        <w:rPr>
          <w:color w:val="000000" w:themeColor="text1"/>
          <w:sz w:val="16"/>
          <w:szCs w:val="16"/>
        </w:rPr>
        <w:softHyphen/>
        <w:t>ные углы обстрела: установка с пулеме</w:t>
      </w:r>
      <w:r w:rsidRPr="00722885">
        <w:rPr>
          <w:color w:val="000000" w:themeColor="text1"/>
          <w:sz w:val="16"/>
          <w:szCs w:val="16"/>
        </w:rPr>
        <w:softHyphen/>
        <w:t>том ШКАС - вверх 40°, вниз до 15°, вправо и влево по борту 45°, а установка под пуле</w:t>
      </w:r>
      <w:r w:rsidRPr="00722885">
        <w:rPr>
          <w:color w:val="000000" w:themeColor="text1"/>
          <w:sz w:val="16"/>
          <w:szCs w:val="16"/>
        </w:rPr>
        <w:softHyphen/>
        <w:t>мет УБТ - вверх 35°, вниз до 6°, вправо по борту 35° и влево 28°. Питание пулеметов ленточное с помо</w:t>
      </w:r>
      <w:r w:rsidRPr="00722885">
        <w:rPr>
          <w:color w:val="000000" w:themeColor="text1"/>
          <w:sz w:val="16"/>
          <w:szCs w:val="16"/>
        </w:rPr>
        <w:softHyphen/>
        <w:t>щью электромотора.</w:t>
      </w:r>
    </w:p>
    <w:p w14:paraId="4F7102D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Для связи летчика и стрелка были уста</w:t>
      </w:r>
      <w:r w:rsidRPr="00722885">
        <w:rPr>
          <w:color w:val="000000" w:themeColor="text1"/>
          <w:sz w:val="16"/>
          <w:szCs w:val="16"/>
        </w:rPr>
        <w:softHyphen/>
        <w:t>новлены переговор</w:t>
      </w:r>
      <w:r w:rsidRPr="00722885">
        <w:rPr>
          <w:color w:val="000000" w:themeColor="text1"/>
          <w:sz w:val="16"/>
          <w:szCs w:val="16"/>
        </w:rPr>
        <w:softHyphen/>
        <w:t>ное устройство СПУ-2 и трехцветная сиг</w:t>
      </w:r>
      <w:r w:rsidRPr="00722885">
        <w:rPr>
          <w:color w:val="000000" w:themeColor="text1"/>
          <w:sz w:val="16"/>
          <w:szCs w:val="16"/>
        </w:rPr>
        <w:softHyphen/>
        <w:t>нализация. Балки для подвески реактивных снарядов были сняты, а также сделаны не</w:t>
      </w:r>
      <w:r w:rsidRPr="00722885">
        <w:rPr>
          <w:color w:val="000000" w:themeColor="text1"/>
          <w:sz w:val="16"/>
          <w:szCs w:val="16"/>
        </w:rPr>
        <w:softHyphen/>
        <w:t>которые другие мел</w:t>
      </w:r>
      <w:r w:rsidRPr="00722885">
        <w:rPr>
          <w:color w:val="000000" w:themeColor="text1"/>
          <w:sz w:val="16"/>
          <w:szCs w:val="16"/>
        </w:rPr>
        <w:softHyphen/>
        <w:t>кие изменения.</w:t>
      </w:r>
    </w:p>
    <w:p w14:paraId="3D87BA8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Установка кабины стрелка с пулеметом ШКАС увеличила вес самолета на 210 кг, а кабины стрелка с УБТ - на 275 кг. В связи с этим, для со</w:t>
      </w:r>
      <w:r w:rsidRPr="00722885">
        <w:rPr>
          <w:color w:val="000000" w:themeColor="text1"/>
          <w:sz w:val="16"/>
          <w:szCs w:val="16"/>
        </w:rPr>
        <w:softHyphen/>
        <w:t>хранения длины раз</w:t>
      </w:r>
      <w:r w:rsidRPr="00722885">
        <w:rPr>
          <w:color w:val="000000" w:themeColor="text1"/>
          <w:sz w:val="16"/>
          <w:szCs w:val="16"/>
        </w:rPr>
        <w:softHyphen/>
        <w:t>бега примерно на том же уровне, что и у одноместного Ил-2, в конструкцию поса</w:t>
      </w:r>
      <w:r w:rsidRPr="00722885">
        <w:rPr>
          <w:color w:val="000000" w:themeColor="text1"/>
          <w:sz w:val="16"/>
          <w:szCs w:val="16"/>
        </w:rPr>
        <w:softHyphen/>
        <w:t>дочных щитков был введен фиксатор, по</w:t>
      </w:r>
      <w:r w:rsidRPr="00722885">
        <w:rPr>
          <w:color w:val="000000" w:themeColor="text1"/>
          <w:sz w:val="16"/>
          <w:szCs w:val="16"/>
        </w:rPr>
        <w:softHyphen/>
        <w:t>зволяющий устанавливать их на взлете под углом 17-18°. Механизм управления щитками устанавливался в кабине стрелка. В воздушной сети управления щитками было увеличено давление с 35 до 50 атм.</w:t>
      </w:r>
    </w:p>
    <w:p w14:paraId="1B0B38D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Возросшая нагрузка на хвостовое колесо потребовала увеличить его раз</w:t>
      </w:r>
      <w:r w:rsidRPr="00722885">
        <w:rPr>
          <w:color w:val="000000" w:themeColor="text1"/>
          <w:sz w:val="16"/>
          <w:szCs w:val="16"/>
        </w:rPr>
        <w:softHyphen/>
        <w:t>меры до 400х150 мм, ввести амортиза</w:t>
      </w:r>
      <w:r w:rsidRPr="00722885">
        <w:rPr>
          <w:color w:val="000000" w:themeColor="text1"/>
          <w:sz w:val="16"/>
          <w:szCs w:val="16"/>
        </w:rPr>
        <w:softHyphen/>
        <w:t>цию костыля и усилить ферму крепле</w:t>
      </w:r>
      <w:r w:rsidRPr="00722885">
        <w:rPr>
          <w:color w:val="000000" w:themeColor="text1"/>
          <w:sz w:val="16"/>
          <w:szCs w:val="16"/>
        </w:rPr>
        <w:softHyphen/>
        <w:t>ния колеса к фюзеляжу.</w:t>
      </w:r>
    </w:p>
    <w:p w14:paraId="188F5BC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Максимальная скорость полета с бомбовой нагрузкой 200 кг бомб и без РО у Ил-2 с УБТ составила 386 км/ч у земли и 420 км/ч - на высоте 2000 м, а у Ил-2 с пулеметом ШКАС - 383 и 423 км/ч у земли и на высоте 2350 м соответ</w:t>
      </w:r>
      <w:r w:rsidRPr="00722885">
        <w:rPr>
          <w:color w:val="000000" w:themeColor="text1"/>
          <w:sz w:val="16"/>
          <w:szCs w:val="16"/>
        </w:rPr>
        <w:softHyphen/>
        <w:t>ственно.</w:t>
      </w:r>
    </w:p>
    <w:p w14:paraId="4EBFCCE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процессе испытаний на самолеты были смонтированы 8 РО-82, с которы</w:t>
      </w:r>
      <w:r w:rsidRPr="00722885">
        <w:rPr>
          <w:color w:val="000000" w:themeColor="text1"/>
          <w:sz w:val="16"/>
          <w:szCs w:val="16"/>
        </w:rPr>
        <w:softHyphen/>
        <w:t>ми скоростные и взлетные качества са</w:t>
      </w:r>
      <w:r w:rsidRPr="00722885">
        <w:rPr>
          <w:color w:val="000000" w:themeColor="text1"/>
          <w:sz w:val="16"/>
          <w:szCs w:val="16"/>
        </w:rPr>
        <w:softHyphen/>
        <w:t>молетов стали хуже.</w:t>
      </w:r>
    </w:p>
    <w:p w14:paraId="2F25D42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Штурмовик стал тяжелее в управле</w:t>
      </w:r>
      <w:r w:rsidRPr="00722885">
        <w:rPr>
          <w:color w:val="000000" w:themeColor="text1"/>
          <w:sz w:val="16"/>
          <w:szCs w:val="16"/>
        </w:rPr>
        <w:softHyphen/>
        <w:t>нии (увеличилась нагрузка на ручку уп</w:t>
      </w:r>
      <w:r w:rsidRPr="00722885">
        <w:rPr>
          <w:color w:val="000000" w:themeColor="text1"/>
          <w:sz w:val="16"/>
          <w:szCs w:val="16"/>
        </w:rPr>
        <w:softHyphen/>
        <w:t>равления), труднее поднимал хвост при взлете и опускал его при посадке. Од</w:t>
      </w:r>
      <w:r w:rsidRPr="00722885">
        <w:rPr>
          <w:color w:val="000000" w:themeColor="text1"/>
          <w:sz w:val="16"/>
          <w:szCs w:val="16"/>
        </w:rPr>
        <w:softHyphen/>
        <w:t>нако при отрегулированном соответству</w:t>
      </w:r>
      <w:r w:rsidRPr="00722885">
        <w:rPr>
          <w:color w:val="000000" w:themeColor="text1"/>
          <w:sz w:val="16"/>
          <w:szCs w:val="16"/>
        </w:rPr>
        <w:softHyphen/>
        <w:t>ющим образом триммере руля высоты особой разницы в пилотировании меж</w:t>
      </w:r>
      <w:r w:rsidRPr="00722885">
        <w:rPr>
          <w:color w:val="000000" w:themeColor="text1"/>
          <w:sz w:val="16"/>
          <w:szCs w:val="16"/>
        </w:rPr>
        <w:softHyphen/>
        <w:t>ду одноместным и двухместными Ил-2 лет</w:t>
      </w:r>
      <w:r w:rsidRPr="00722885">
        <w:rPr>
          <w:color w:val="000000" w:themeColor="text1"/>
          <w:sz w:val="16"/>
          <w:szCs w:val="16"/>
        </w:rPr>
        <w:softHyphen/>
        <w:t>чики не ощущали.</w:t>
      </w:r>
    </w:p>
    <w:p w14:paraId="5948A22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 один боевой разворот на высоте 1000 м штурмовик набирал высоту 300 м. Длина разбега Ил-2 АМ-38 с установкой под пулемет ШКАС и винтом ВИШ-22Т с 200 кг бомб и 8 PC-82 со</w:t>
      </w:r>
      <w:r w:rsidRPr="00722885">
        <w:rPr>
          <w:color w:val="000000" w:themeColor="text1"/>
          <w:sz w:val="16"/>
          <w:szCs w:val="16"/>
        </w:rPr>
        <w:softHyphen/>
        <w:t>ставила 460 м, а с 400 кг бомб и 8 PC-82 - 515 м. На Ил-2 с задней огневой точ</w:t>
      </w:r>
      <w:r w:rsidRPr="00722885">
        <w:rPr>
          <w:color w:val="000000" w:themeColor="text1"/>
          <w:sz w:val="16"/>
          <w:szCs w:val="16"/>
        </w:rPr>
        <w:softHyphen/>
        <w:t>кой под пулемет УБТ и винтом АВ-5Л-158 с бомбовой нагрузкой 400 кг и без РО разбег в 500 м был получен лишь при использовании на взлете щитков, откло</w:t>
      </w:r>
      <w:r w:rsidRPr="00722885">
        <w:rPr>
          <w:color w:val="000000" w:themeColor="text1"/>
          <w:sz w:val="16"/>
          <w:szCs w:val="16"/>
        </w:rPr>
        <w:softHyphen/>
        <w:t>ненных на 17-18°. Новому штурмовику явно не хватало мощности мотора. В этой связи нормальная боевая нагрузка устанавливалась в 200 кг бомб и 8 PC-82 (6467).</w:t>
      </w:r>
    </w:p>
    <w:p w14:paraId="52817EAB" w14:textId="77777777" w:rsidR="00AE7191" w:rsidRPr="00722885" w:rsidRDefault="00AE7191" w:rsidP="00722885">
      <w:pPr>
        <w:pStyle w:val="Iauiue"/>
        <w:jc w:val="both"/>
        <w:rPr>
          <w:color w:val="000000" w:themeColor="text1"/>
          <w:sz w:val="16"/>
          <w:szCs w:val="16"/>
        </w:rPr>
      </w:pPr>
    </w:p>
    <w:p w14:paraId="4CE5516B"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сентября 1942 г. после реэвакуации в Москву и получения производственной базы завода № 240 в ОКБ Ильюшина были раз</w:t>
      </w:r>
      <w:r w:rsidRPr="00722885">
        <w:rPr>
          <w:rFonts w:ascii="Times New Roman" w:hAnsi="Times New Roman"/>
          <w:color w:val="000000" w:themeColor="text1"/>
          <w:sz w:val="16"/>
          <w:szCs w:val="16"/>
        </w:rPr>
        <w:softHyphen/>
        <w:t>работаны два варианта двухместных Ил-2 — с задней кабиной стрелка под пулемет ШКАС и под пулемет УБТ, требовавшие ми</w:t>
      </w:r>
      <w:r w:rsidRPr="00722885">
        <w:rPr>
          <w:rFonts w:ascii="Times New Roman" w:hAnsi="Times New Roman"/>
          <w:color w:val="000000" w:themeColor="text1"/>
          <w:sz w:val="16"/>
          <w:szCs w:val="16"/>
        </w:rPr>
        <w:softHyphen/>
        <w:t>нимальных изменений в конструкции самолета (10695).</w:t>
      </w:r>
    </w:p>
    <w:p w14:paraId="147153E9" w14:textId="77777777" w:rsidR="00AE7191" w:rsidRPr="00722885" w:rsidRDefault="00AE7191" w:rsidP="00722885">
      <w:pPr>
        <w:shd w:val="clear" w:color="auto" w:fill="FFFFFF"/>
        <w:spacing w:after="0" w:line="240" w:lineRule="auto"/>
        <w:jc w:val="both"/>
        <w:rPr>
          <w:rFonts w:ascii="Times New Roman" w:hAnsi="Times New Roman"/>
          <w:color w:val="000000" w:themeColor="text1"/>
          <w:sz w:val="16"/>
          <w:szCs w:val="16"/>
        </w:rPr>
      </w:pPr>
    </w:p>
    <w:p w14:paraId="5AACC38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вышел приказ НКАП N 688сс "О выпуске самолетов Ил-2 с деревянными крыльями и удлиненным деревянным фюзеляжем" в исполнение постановления ГКО N 2283сс от 9 сентября 1942 в целях сокращения расхода дюралюмина при производстве самолетов Ил-2:</w:t>
      </w:r>
    </w:p>
    <w:p w14:paraId="30D6AAA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Нач. 10 ГУ Тарасевичу и директорам заводов 1, Третьякову, 18 Белянскому, 30 Шапиро, 381 Журавлеву выпускать с 15 сентября 1942 самолеты Ил-2 с удлиненной деревянной частью фюзеляжа, изъяв из конструкции самолета дюралюминиевое кольцо, соединяющее хвостовую часть фюзеляжа с центропланом.</w:t>
      </w:r>
    </w:p>
    <w:p w14:paraId="365D858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Директорам заводов 18 и 381 выпускать начиная с 15 сентября 1942 на заводах 18 и 381 самолеты Ил-2 с деревянной консолью крыла по образцу самолетов, выпускаемых заводом 1 (1589,73).</w:t>
      </w:r>
    </w:p>
    <w:p w14:paraId="3CD7B8F3" w14:textId="77777777" w:rsidR="00AE7191" w:rsidRPr="00722885" w:rsidRDefault="00AE7191" w:rsidP="00722885">
      <w:pPr>
        <w:pStyle w:val="Iauiue"/>
        <w:jc w:val="both"/>
        <w:rPr>
          <w:color w:val="000000" w:themeColor="text1"/>
          <w:sz w:val="16"/>
          <w:szCs w:val="16"/>
        </w:rPr>
      </w:pPr>
    </w:p>
    <w:p w14:paraId="3ADF0B42" w14:textId="77777777" w:rsidR="00C912A8" w:rsidRPr="00722885" w:rsidRDefault="00C912A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10 по 25 сентября 1942 г. мотор М-107П государственные 100-часовые испытания пройти не смог из-за поломки шатуна. Интерес ВВС к мотору неуклонно снижался. К тому же наметился опре</w:t>
      </w:r>
      <w:r w:rsidRPr="00722885">
        <w:rPr>
          <w:color w:val="000000" w:themeColor="text1"/>
          <w:sz w:val="16"/>
          <w:szCs w:val="16"/>
        </w:rPr>
        <w:softHyphen/>
        <w:t>деленный успех с доводкой мотора М-106П-1ск (1250/1350 л.с.), который, в отличие от М-107П, имел те же габаритные размеры и посадочные места, что и у массового мотора М-105ПФ, и при этом был легче (600 кг вместо 745 кг — у М-107П и 645 кг — у М-105ПФ). Считалось, что при установке его на серийные самолеты серьезных доработок винтомо</w:t>
      </w:r>
      <w:r w:rsidRPr="00722885">
        <w:rPr>
          <w:color w:val="000000" w:themeColor="text1"/>
          <w:sz w:val="16"/>
          <w:szCs w:val="16"/>
        </w:rPr>
        <w:softHyphen/>
        <w:t>торной группы не потребуется. С этим мотором на заводе № 292 в Саратове предполагалась большая серия истребителей Як-1. Но в ходе доводки М-107П его форсировали по наддуву и понизили высот</w:t>
      </w:r>
      <w:r w:rsidRPr="00722885">
        <w:rPr>
          <w:color w:val="000000" w:themeColor="text1"/>
          <w:sz w:val="16"/>
          <w:szCs w:val="16"/>
        </w:rPr>
        <w:softHyphen/>
        <w:t>ность. Мощность мотора возросла до 1650 л.с. на взлетном режиме и 1550 и 1450 л.с. — на 1-й и 2-й границах высотности соответственно. Постанов</w:t>
      </w:r>
      <w:r w:rsidRPr="00722885">
        <w:rPr>
          <w:color w:val="000000" w:themeColor="text1"/>
          <w:sz w:val="16"/>
          <w:szCs w:val="16"/>
        </w:rPr>
        <w:softHyphen/>
        <w:t>лением ГОКО от 25 сентября и приказом НКАП от 29 сентября 1942 г. ОКБ В. Я. Климова и завод № 26 обязывались к концу года обеспечить 100-часовой ресурс М-107А (М-107ПА) и подготовить его серий</w:t>
      </w:r>
      <w:r w:rsidRPr="00722885">
        <w:rPr>
          <w:color w:val="000000" w:themeColor="text1"/>
          <w:sz w:val="16"/>
          <w:szCs w:val="16"/>
        </w:rPr>
        <w:softHyphen/>
        <w:t>ное производство. Одновременно постановлением ГКО от 10 октября 1942 г. заводу № 26 устанавли</w:t>
      </w:r>
      <w:r w:rsidRPr="00722885">
        <w:rPr>
          <w:color w:val="000000" w:themeColor="text1"/>
          <w:sz w:val="16"/>
          <w:szCs w:val="16"/>
        </w:rPr>
        <w:softHyphen/>
        <w:t>вался план по изготовлению до конца года 37 мото</w:t>
      </w:r>
      <w:r w:rsidRPr="00722885">
        <w:rPr>
          <w:color w:val="000000" w:themeColor="text1"/>
          <w:sz w:val="16"/>
          <w:szCs w:val="16"/>
        </w:rPr>
        <w:softHyphen/>
        <w:t>ров М-107А. Однако возникшие проблемы с надеж</w:t>
      </w:r>
      <w:r w:rsidRPr="00722885">
        <w:rPr>
          <w:color w:val="000000" w:themeColor="text1"/>
          <w:sz w:val="16"/>
          <w:szCs w:val="16"/>
        </w:rPr>
        <w:softHyphen/>
        <w:t>ностью и устойчивостью в работе моторов М-107А не позволили в полном объеме выполнить это за</w:t>
      </w:r>
      <w:r w:rsidRPr="00722885">
        <w:rPr>
          <w:color w:val="000000" w:themeColor="text1"/>
          <w:sz w:val="16"/>
          <w:szCs w:val="16"/>
        </w:rPr>
        <w:softHyphen/>
        <w:t>дание. Фактически завод № 26 уже в декабре пре</w:t>
      </w:r>
      <w:r w:rsidRPr="00722885">
        <w:rPr>
          <w:color w:val="000000" w:themeColor="text1"/>
          <w:sz w:val="16"/>
          <w:szCs w:val="16"/>
        </w:rPr>
        <w:softHyphen/>
        <w:t>кратил серийное изготовление моторов этого типа. Только в январе 1943 г. мотор М-107А удовлетво</w:t>
      </w:r>
      <w:r w:rsidRPr="00722885">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722885">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19BFB9AC" w14:textId="77777777" w:rsidR="00C912A8" w:rsidRPr="00722885" w:rsidRDefault="00C912A8" w:rsidP="00722885">
      <w:pPr>
        <w:spacing w:after="0" w:line="240" w:lineRule="auto"/>
        <w:jc w:val="both"/>
        <w:rPr>
          <w:rFonts w:ascii="Times New Roman" w:eastAsia="Times New Roman" w:hAnsi="Times New Roman"/>
          <w:color w:val="000000" w:themeColor="text1"/>
          <w:sz w:val="16"/>
          <w:szCs w:val="16"/>
          <w:lang w:eastAsia="ru-RU"/>
        </w:rPr>
      </w:pPr>
    </w:p>
    <w:p w14:paraId="6B42B50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согласно приказа N 1 по заводу 387 от 19 сентября произошла авария самолета С-2 N 0021, пилотировавшегося П.Г.Артюхиным, садившегося на площадку вблизи завода 213 (2130).</w:t>
      </w:r>
    </w:p>
    <w:p w14:paraId="7927BA8F" w14:textId="77777777" w:rsidR="00AE7191" w:rsidRPr="00722885" w:rsidRDefault="00AE7191" w:rsidP="00722885">
      <w:pPr>
        <w:pStyle w:val="Iauiue"/>
        <w:jc w:val="both"/>
        <w:rPr>
          <w:color w:val="000000" w:themeColor="text1"/>
          <w:sz w:val="16"/>
          <w:szCs w:val="16"/>
        </w:rPr>
      </w:pPr>
    </w:p>
    <w:p w14:paraId="042D0B3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Ком. 1ВА гиа Худяков дал приказание произвести опрос л-т состава 18 гиап и 146 иап о боевых качествах Як-7б (1632,107).</w:t>
      </w:r>
    </w:p>
    <w:p w14:paraId="4F1516C6" w14:textId="77777777" w:rsidR="00AE7191" w:rsidRPr="00722885" w:rsidRDefault="00AE7191" w:rsidP="00722885">
      <w:pPr>
        <w:pStyle w:val="Iauiue"/>
        <w:jc w:val="both"/>
        <w:rPr>
          <w:color w:val="000000" w:themeColor="text1"/>
          <w:sz w:val="16"/>
          <w:szCs w:val="16"/>
        </w:rPr>
      </w:pPr>
    </w:p>
    <w:p w14:paraId="77178E2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10/12 сентября 1942 ГИ ВВС Репин писал А.И.Ш. письмо N 416805с:</w:t>
      </w:r>
    </w:p>
    <w:p w14:paraId="5DB67C4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"Направляю доклад о войсковых испытаниях Ла-5. Прошу Ваших указаний заводам об устранении конструктивно-производственных дефектов, выявленных в процессе боевого применения самолетов." (1315,65).</w:t>
      </w:r>
    </w:p>
    <w:p w14:paraId="3CC9F26D" w14:textId="77777777" w:rsidR="00AE7191" w:rsidRPr="00722885" w:rsidRDefault="00AE7191" w:rsidP="00722885">
      <w:pPr>
        <w:pStyle w:val="Iauiue"/>
        <w:jc w:val="both"/>
        <w:rPr>
          <w:color w:val="000000" w:themeColor="text1"/>
          <w:sz w:val="16"/>
          <w:szCs w:val="16"/>
        </w:rPr>
      </w:pPr>
    </w:p>
    <w:p w14:paraId="2A662281"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сентября 1942-го У-2 оборудованные изготовленными из листового железа специальными кассетами для сброса зажигательных ампул АЖ-2 (жестяной шар емкостью 1л) с самовоспламеняющейся на воздухе смесь «КС», стали применять по живой силе и боевой технике противника. Действие было ошеломляющим. Одного попадания ампулы в любой германский танк или автомашину было достаточно для их поражения.</w:t>
      </w:r>
    </w:p>
    <w:p w14:paraId="2B467FB6"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эффективное возгорание смеси «КС» находилось в большой зависимости от метеоусловий (главным образом, от температуры окружающего воздуха) и от наличия легковоспламеняющихся материалов в районе целей. В условиях же, благоприятных для применения смеси «КС», результаты ударов У-2 по танкам и другим целям являлись весьма высокими.</w:t>
      </w:r>
    </w:p>
    <w:p w14:paraId="4A9E4295"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Кассеты могли снаряжаться и мелкими осколочными авиабомбами.</w:t>
      </w:r>
    </w:p>
    <w:p w14:paraId="346D2353"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Инженерно-технический состав 31-й сад (командир — п-к С. А. Руденко) приспособил кассеты мелких бомб КМ Б с самолетов Ил-2 для подвески на У-2, что позволило поднять общую загрузку (осколочными бомбами весом от 1 до 25 кг, а также и зажигательными ампулами АЖ-2) до 300 кг. Это значительно повышало боевую эффективность У-2 при действии по живой силе противника, а при использовании зажигательных ампул АЖ-2 — и по танкам всех типов. Кроме этого, в кабине штурмана оборудовались места для размещения мелких авиабомб и гранат для сбрасывания их вручную (15142).</w:t>
      </w:r>
    </w:p>
    <w:p w14:paraId="59F0EEC8"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0B056160" w14:textId="77777777" w:rsidR="00735955"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87556DF" w14:textId="77777777" w:rsidR="00735955" w:rsidRPr="00722885" w:rsidRDefault="00735955" w:rsidP="00722885">
      <w:pPr>
        <w:pStyle w:val="Iauiue"/>
        <w:jc w:val="both"/>
        <w:rPr>
          <w:iCs/>
          <w:color w:val="000000" w:themeColor="text1"/>
          <w:sz w:val="16"/>
          <w:szCs w:val="16"/>
        </w:rPr>
      </w:pPr>
    </w:p>
    <w:p w14:paraId="78928F49" w14:textId="77777777" w:rsidR="00735955" w:rsidRPr="00722885" w:rsidRDefault="0073595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10 сентября 1942 года нарком И. Зальцман направил заместителю предсе</w:t>
      </w:r>
      <w:r w:rsidRPr="00722885">
        <w:rPr>
          <w:rFonts w:ascii="Times New Roman" w:cs="Times New Roman"/>
          <w:color w:val="000000" w:themeColor="text1"/>
          <w:spacing w:val="0"/>
        </w:rPr>
        <w:softHyphen/>
        <w:t>дателя Государственного Комитета обороны следующее письмо: «По вопросу огнеметных танков КВ-8. В связи с переводом производства на вы</w:t>
      </w:r>
      <w:r w:rsidRPr="00722885">
        <w:rPr>
          <w:rFonts w:ascii="Times New Roman" w:cs="Times New Roman"/>
          <w:color w:val="000000" w:themeColor="text1"/>
          <w:spacing w:val="0"/>
        </w:rPr>
        <w:softHyphen/>
        <w:t>пуск облегченных танков КВ-1 с весом до 42,5 т, Кировским заводом разработаны чертежи на огнеметный танк КВ-8С облег</w:t>
      </w:r>
      <w:r w:rsidRPr="00722885">
        <w:rPr>
          <w:rFonts w:ascii="Times New Roman" w:cs="Times New Roman"/>
          <w:color w:val="000000" w:themeColor="text1"/>
          <w:spacing w:val="0"/>
        </w:rPr>
        <w:softHyphen/>
        <w:t>ченного типа.</w:t>
      </w:r>
    </w:p>
    <w:p w14:paraId="298FE167"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последнем, ввиду меньших габаритов об</w:t>
      </w:r>
      <w:r w:rsidRPr="00722885">
        <w:rPr>
          <w:rFonts w:ascii="Times New Roman" w:hAnsi="Times New Roman"/>
          <w:color w:val="000000" w:themeColor="text1"/>
          <w:sz w:val="16"/>
          <w:szCs w:val="16"/>
        </w:rPr>
        <w:softHyphen/>
        <w:t>легченной башни, а также внутренних объ</w:t>
      </w:r>
      <w:r w:rsidRPr="00722885">
        <w:rPr>
          <w:rFonts w:ascii="Times New Roman" w:hAnsi="Times New Roman"/>
          <w:color w:val="000000" w:themeColor="text1"/>
          <w:sz w:val="16"/>
          <w:szCs w:val="16"/>
        </w:rPr>
        <w:softHyphen/>
        <w:t>емов, нельзя разместить один из баков с ог- несмесью общей емкостью в 200 литров, вследствие чего общий запас огнесмеси бу</w:t>
      </w:r>
      <w:r w:rsidRPr="00722885">
        <w:rPr>
          <w:rFonts w:ascii="Times New Roman" w:hAnsi="Times New Roman"/>
          <w:color w:val="000000" w:themeColor="text1"/>
          <w:sz w:val="16"/>
          <w:szCs w:val="16"/>
        </w:rPr>
        <w:softHyphen/>
        <w:t>дет снижен на 20 выстрелов и составит 40 вы</w:t>
      </w:r>
      <w:r w:rsidRPr="00722885">
        <w:rPr>
          <w:rFonts w:ascii="Times New Roman" w:hAnsi="Times New Roman"/>
          <w:color w:val="000000" w:themeColor="text1"/>
          <w:sz w:val="16"/>
          <w:szCs w:val="16"/>
        </w:rPr>
        <w:softHyphen/>
        <w:t>стрелов (против предусмотренного Поста</w:t>
      </w:r>
      <w:r w:rsidRPr="00722885">
        <w:rPr>
          <w:rFonts w:ascii="Times New Roman" w:hAnsi="Times New Roman"/>
          <w:color w:val="000000" w:themeColor="text1"/>
          <w:sz w:val="16"/>
          <w:szCs w:val="16"/>
        </w:rPr>
        <w:softHyphen/>
        <w:t>новлением ГКО № 1538сс в 52—57 выстре</w:t>
      </w:r>
      <w:r w:rsidRPr="00722885">
        <w:rPr>
          <w:rFonts w:ascii="Times New Roman" w:hAnsi="Times New Roman"/>
          <w:color w:val="000000" w:themeColor="text1"/>
          <w:sz w:val="16"/>
          <w:szCs w:val="16"/>
        </w:rPr>
        <w:softHyphen/>
        <w:t>лов), а вес танка КВ-8С будет до 42,5 т.</w:t>
      </w:r>
    </w:p>
    <w:p w14:paraId="0FC6E5E4" w14:textId="77777777" w:rsidR="00735955" w:rsidRPr="00722885" w:rsidRDefault="0073595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При сохранении старой башни запас огне- выстрелов не снижается, но вес танка утяже</w:t>
      </w:r>
      <w:r w:rsidRPr="00722885">
        <w:rPr>
          <w:rFonts w:ascii="Times New Roman" w:cs="Times New Roman"/>
          <w:color w:val="000000" w:themeColor="text1"/>
          <w:spacing w:val="0"/>
        </w:rPr>
        <w:softHyphen/>
        <w:t>ляется до 43,2 т.</w:t>
      </w:r>
    </w:p>
    <w:p w14:paraId="5C6E1B84" w14:textId="77777777" w:rsidR="00735955" w:rsidRPr="00722885" w:rsidRDefault="0073595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Считаю, что оставшиеся 40 выстрелов, по прежнему, обеспечат высокие боевые каче</w:t>
      </w:r>
      <w:r w:rsidRPr="00722885">
        <w:rPr>
          <w:rFonts w:ascii="Times New Roman" w:cs="Times New Roman"/>
          <w:color w:val="000000" w:themeColor="text1"/>
          <w:spacing w:val="0"/>
        </w:rPr>
        <w:softHyphen/>
        <w:t>ства огнеметному танку КВ-8С, так как этот запас превышает в четыре раза располагае</w:t>
      </w:r>
      <w:r w:rsidRPr="00722885">
        <w:rPr>
          <w:rFonts w:ascii="Times New Roman" w:cs="Times New Roman"/>
          <w:color w:val="000000" w:themeColor="text1"/>
          <w:spacing w:val="0"/>
        </w:rPr>
        <w:softHyphen/>
        <w:t>мый огнеметными танками Т-34.</w:t>
      </w:r>
    </w:p>
    <w:p w14:paraId="07227FEE" w14:textId="77777777" w:rsidR="00735955" w:rsidRPr="00722885" w:rsidRDefault="0073595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Прошу утвердить переход на танк КВ-8С с октября с.г., и разрешить в сентябре с.г. вы</w:t>
      </w:r>
      <w:r w:rsidRPr="00722885">
        <w:rPr>
          <w:rFonts w:ascii="Times New Roman" w:cs="Times New Roman"/>
          <w:color w:val="000000" w:themeColor="text1"/>
          <w:spacing w:val="0"/>
        </w:rPr>
        <w:softHyphen/>
        <w:t>пуск танков КВ-8 со старой башней, количе</w:t>
      </w:r>
      <w:r w:rsidRPr="00722885">
        <w:rPr>
          <w:rFonts w:ascii="Times New Roman" w:cs="Times New Roman"/>
          <w:color w:val="000000" w:themeColor="text1"/>
          <w:spacing w:val="0"/>
        </w:rPr>
        <w:softHyphen/>
        <w:t>ством огневыстрелов в 60 штук и общим ве</w:t>
      </w:r>
      <w:r w:rsidRPr="00722885">
        <w:rPr>
          <w:rFonts w:ascii="Times New Roman" w:cs="Times New Roman"/>
          <w:color w:val="000000" w:themeColor="text1"/>
          <w:spacing w:val="0"/>
        </w:rPr>
        <w:softHyphen/>
        <w:t>сом танка до 43,2 т» (15226).</w:t>
      </w:r>
    </w:p>
    <w:p w14:paraId="5192934B" w14:textId="77777777" w:rsidR="00735955" w:rsidRPr="00722885" w:rsidRDefault="00735955" w:rsidP="00722885">
      <w:pPr>
        <w:pStyle w:val="27"/>
        <w:shd w:val="clear" w:color="auto" w:fill="auto"/>
        <w:spacing w:after="0" w:line="240" w:lineRule="auto"/>
        <w:ind w:firstLine="0"/>
        <w:rPr>
          <w:rFonts w:ascii="Times New Roman" w:cs="Times New Roman"/>
          <w:color w:val="000000" w:themeColor="text1"/>
          <w:spacing w:val="0"/>
        </w:rPr>
      </w:pPr>
    </w:p>
    <w:p w14:paraId="7F29892C"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7805085" w14:textId="77777777" w:rsidR="00AE7191" w:rsidRPr="00722885" w:rsidRDefault="00AE7191" w:rsidP="00722885">
      <w:pPr>
        <w:pStyle w:val="Iauiue"/>
        <w:jc w:val="both"/>
        <w:rPr>
          <w:iCs/>
          <w:color w:val="000000" w:themeColor="text1"/>
          <w:sz w:val="16"/>
          <w:szCs w:val="16"/>
        </w:rPr>
      </w:pPr>
    </w:p>
    <w:p w14:paraId="109E021E" w14:textId="77777777" w:rsidR="00735955" w:rsidRPr="00722885" w:rsidRDefault="00735955" w:rsidP="00722885">
      <w:pPr>
        <w:spacing w:after="0" w:line="240" w:lineRule="auto"/>
        <w:jc w:val="both"/>
        <w:rPr>
          <w:rStyle w:val="a7"/>
          <w:rFonts w:ascii="Times New Roman" w:hAnsi="Times New Roman"/>
          <w:b w:val="0"/>
          <w:color w:val="000000" w:themeColor="text1"/>
          <w:sz w:val="16"/>
          <w:szCs w:val="16"/>
        </w:rPr>
      </w:pPr>
      <w:r w:rsidRPr="00722885">
        <w:rPr>
          <w:rFonts w:ascii="Times New Roman" w:hAnsi="Times New Roman"/>
          <w:color w:val="000000" w:themeColor="text1"/>
          <w:sz w:val="16"/>
          <w:szCs w:val="16"/>
        </w:rPr>
        <w:t xml:space="preserve">10 сентября в 1942 году </w:t>
      </w:r>
      <w:r w:rsidRPr="00722885">
        <w:rPr>
          <w:rStyle w:val="a7"/>
          <w:rFonts w:ascii="Times New Roman" w:hAnsi="Times New Roman"/>
          <w:b w:val="0"/>
          <w:color w:val="000000" w:themeColor="text1"/>
          <w:sz w:val="16"/>
          <w:szCs w:val="16"/>
        </w:rPr>
        <w:t>Утреннее сообщение Совинформбюро:</w:t>
      </w:r>
    </w:p>
    <w:p w14:paraId="18C3FFDC"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10 сентября наши войска вели бои с противником западнее и юго-западнее Сталинграда, а также в районах Новороссийск и Моздок.</w:t>
      </w:r>
    </w:p>
    <w:p w14:paraId="323B4EEC"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фронтах существенных изменений не произошло (14765).</w:t>
      </w:r>
    </w:p>
    <w:p w14:paraId="284F8FD3"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0F4D4E33" w14:textId="77777777" w:rsidR="00735955" w:rsidRPr="00722885" w:rsidRDefault="00735955" w:rsidP="00722885">
      <w:pPr>
        <w:spacing w:after="0" w:line="240" w:lineRule="auto"/>
        <w:jc w:val="both"/>
        <w:rPr>
          <w:rStyle w:val="a7"/>
          <w:rFonts w:ascii="Times New Roman" w:hAnsi="Times New Roman"/>
          <w:b w:val="0"/>
          <w:color w:val="000000" w:themeColor="text1"/>
          <w:sz w:val="16"/>
          <w:szCs w:val="16"/>
        </w:rPr>
      </w:pPr>
      <w:r w:rsidRPr="00722885">
        <w:rPr>
          <w:rFonts w:ascii="Times New Roman" w:hAnsi="Times New Roman"/>
          <w:color w:val="000000" w:themeColor="text1"/>
          <w:sz w:val="16"/>
          <w:szCs w:val="16"/>
        </w:rPr>
        <w:t>10 сентября в 1942 году</w:t>
      </w:r>
      <w:r w:rsidRPr="00722885">
        <w:rPr>
          <w:rStyle w:val="a7"/>
          <w:rFonts w:ascii="Times New Roman" w:hAnsi="Times New Roman"/>
          <w:b w:val="0"/>
          <w:color w:val="000000" w:themeColor="text1"/>
          <w:sz w:val="16"/>
          <w:szCs w:val="16"/>
        </w:rPr>
        <w:t xml:space="preserve"> Вечернее сообщение Совинформбюро:</w:t>
      </w:r>
    </w:p>
    <w:p w14:paraId="23BDA504"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10 сентября наши войска вели ожесточённые бои с противником западнее и юго-западнее Сталинграда, а также в районе Моздок и уличные бои в Новороссийске.</w:t>
      </w:r>
    </w:p>
    <w:p w14:paraId="3D703D8E"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фронтах существенных изменений не произошло.</w:t>
      </w:r>
    </w:p>
    <w:p w14:paraId="15F645C8" w14:textId="77777777" w:rsidR="00735955" w:rsidRPr="00722885" w:rsidRDefault="007359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9 сентября частями нашей авиации на различных участках фронта уничтожено или повреждено до 30 немецких танков и бронемашин, 150 автомашин с войсками и грузами, 40 повозок с боеприпасами, подавлен, огонь 14 батарей полевой и зенитной артиллерии, разбит железнодорожный состав, рассеяно и частью уничтожено до батальона пехоты противника (14765).</w:t>
      </w:r>
    </w:p>
    <w:p w14:paraId="23DFD14A" w14:textId="77777777" w:rsidR="00735955" w:rsidRPr="00722885" w:rsidRDefault="00735955" w:rsidP="00722885">
      <w:pPr>
        <w:spacing w:after="0" w:line="240" w:lineRule="auto"/>
        <w:jc w:val="both"/>
        <w:rPr>
          <w:rFonts w:ascii="Times New Roman" w:hAnsi="Times New Roman"/>
          <w:color w:val="000000" w:themeColor="text1"/>
          <w:sz w:val="16"/>
          <w:szCs w:val="16"/>
        </w:rPr>
      </w:pPr>
    </w:p>
    <w:p w14:paraId="5C6CD03C" w14:textId="77777777" w:rsidR="00F5059E" w:rsidRPr="00722885" w:rsidRDefault="00F5059E" w:rsidP="00722885">
      <w:pPr>
        <w:pStyle w:val="ae"/>
        <w:spacing w:before="0" w:after="0"/>
        <w:jc w:val="both"/>
        <w:textAlignment w:val="baseline"/>
        <w:rPr>
          <w:color w:val="000000" w:themeColor="text1"/>
          <w:sz w:val="16"/>
          <w:szCs w:val="16"/>
        </w:rPr>
      </w:pPr>
      <w:r w:rsidRPr="00722885">
        <w:rPr>
          <w:color w:val="000000" w:themeColor="text1"/>
          <w:sz w:val="16"/>
          <w:szCs w:val="16"/>
        </w:rPr>
        <w:t>10 сентября 1942 г. Сталин, как нарком обороны, подписал приказ № 0019, согласно которому были сформированы два первых штурмовых авиакорпуса. В 1-й шак генерал-майора Василия Рязанова вошли 266-я шад полковника Ф. Г. Родякина и 292-я шад полковника Н. П. Каманина, а во 2-й шак полковника Василия Степичева — 231-я шад полковника В. И. Аладинского и 232-я шад генерал-майора Н. К. Трифонова.</w:t>
      </w:r>
    </w:p>
    <w:p w14:paraId="557D6B28" w14:textId="77777777" w:rsidR="00F5059E" w:rsidRPr="00722885" w:rsidRDefault="00F5059E" w:rsidP="00722885">
      <w:pPr>
        <w:pStyle w:val="ae"/>
        <w:spacing w:before="0" w:after="0"/>
        <w:jc w:val="both"/>
        <w:textAlignment w:val="baseline"/>
        <w:rPr>
          <w:color w:val="000000" w:themeColor="text1"/>
          <w:sz w:val="16"/>
          <w:szCs w:val="16"/>
        </w:rPr>
      </w:pPr>
      <w:r w:rsidRPr="00722885">
        <w:rPr>
          <w:color w:val="000000" w:themeColor="text1"/>
          <w:sz w:val="16"/>
          <w:szCs w:val="16"/>
        </w:rPr>
        <w:t>Работа по формированию новых корпусов продолжалась, благо теперь авиапромышленность могла не только компенсировать большие потери, но и позволить создавать резервы. В декабре того же 1942 года был образован 3-й шак, который возглавил полковник М. И. Горлаченко, затем в июле 1943 г. — 5, 7, 8 и 9-й шак, а в декабре того же года — 6-й шак и, наконец, в конце сентября — начале октября 1944 г. — 4-й, 9-й и 10-й шак. Таким образом, к концу войны в распоряжении советского команд ования оказался целый штурмовой воздушный флот из десяти авиакорпусов, два из которых уже получили статус гвардейских.</w:t>
      </w:r>
    </w:p>
    <w:p w14:paraId="4784C3CF" w14:textId="77777777" w:rsidR="00F5059E" w:rsidRPr="00722885" w:rsidRDefault="00F5059E" w:rsidP="00722885">
      <w:pPr>
        <w:pStyle w:val="ae"/>
        <w:spacing w:before="0" w:after="0"/>
        <w:jc w:val="both"/>
        <w:textAlignment w:val="baseline"/>
        <w:rPr>
          <w:color w:val="000000" w:themeColor="text1"/>
          <w:sz w:val="16"/>
          <w:szCs w:val="16"/>
        </w:rPr>
      </w:pPr>
      <w:r w:rsidRPr="00722885">
        <w:rPr>
          <w:color w:val="000000" w:themeColor="text1"/>
          <w:sz w:val="16"/>
          <w:szCs w:val="16"/>
        </w:rPr>
        <w:t>И все же объединение сначала двух, а затем и трех штурмовых дивизий в авиакорпус было, по существу, бесполезным. Массированные удары по одной цели силами сразу нескольких шад, которые могли бы оправдать создание штурмовых корпусов, никогда не проводились. Советские ВВС просто не имели технических средств, которые позволяли бы управлять сотнями самолетов, одновременно находившимися в воздухе на ограниченном пространстве. Для этого требовались надежная радиосвязь, наземные радары, система опознавания «свой — чужой», специальные центры управления как минимум в масштабах воздушной армии и масса еще чего, но всего этого и в помине не было.</w:t>
      </w:r>
    </w:p>
    <w:p w14:paraId="4B58B3B7" w14:textId="77777777" w:rsidR="00F5059E" w:rsidRPr="00722885" w:rsidRDefault="00F5059E" w:rsidP="00722885">
      <w:pPr>
        <w:pStyle w:val="ae"/>
        <w:spacing w:before="0" w:after="0"/>
        <w:jc w:val="both"/>
        <w:textAlignment w:val="baseline"/>
        <w:rPr>
          <w:color w:val="000000" w:themeColor="text1"/>
          <w:sz w:val="16"/>
          <w:szCs w:val="16"/>
        </w:rPr>
      </w:pPr>
      <w:r w:rsidRPr="00722885">
        <w:rPr>
          <w:color w:val="000000" w:themeColor="text1"/>
          <w:sz w:val="16"/>
          <w:szCs w:val="16"/>
        </w:rPr>
        <w:t>До самого конца войны Ил-2 продолжали действовать в основном мелкими группами по 12–16 машин. Массированные штурмовые удары, о которых мы расскажем позже, вошли в практику лишь в 1944–1945 гг. и то лишь в некоторых операциях. И если формирование дивизий все же помогло повысить управляемость и как следствие эффективность действий входивших в них шап, то штурмовые корпуса стали просто лишней организационной структурой. Правда, их создание позволило значительно увеличить число штабных офицеров и создать новые генеральские должности (19522).</w:t>
      </w:r>
    </w:p>
    <w:p w14:paraId="24F35351" w14:textId="77777777" w:rsidR="00F5059E" w:rsidRPr="00722885" w:rsidRDefault="00F5059E" w:rsidP="00722885">
      <w:pPr>
        <w:pStyle w:val="ae"/>
        <w:spacing w:before="0" w:after="0"/>
        <w:jc w:val="both"/>
        <w:textAlignment w:val="baseline"/>
        <w:rPr>
          <w:color w:val="000000" w:themeColor="text1"/>
          <w:sz w:val="16"/>
          <w:szCs w:val="16"/>
        </w:rPr>
      </w:pPr>
    </w:p>
    <w:p w14:paraId="25D00A1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 10 сентября 1942 противник вышел к ок</w:t>
      </w:r>
      <w:r w:rsidRPr="00722885">
        <w:rPr>
          <w:color w:val="000000" w:themeColor="text1"/>
          <w:sz w:val="16"/>
          <w:szCs w:val="16"/>
        </w:rPr>
        <w:softHyphen/>
        <w:t>раине приг. Купоросное и через два дня при массированной поддержке авиации нанес два мощных удара по частям 62-й армии генерала В.И.Чуйкова. Первый удар из разъезда Разгуляевка силами 295-й, 71 -и, 94-й пехотных и 24-й танко</w:t>
      </w:r>
      <w:r w:rsidRPr="00722885">
        <w:rPr>
          <w:color w:val="000000" w:themeColor="text1"/>
          <w:sz w:val="16"/>
          <w:szCs w:val="16"/>
        </w:rPr>
        <w:softHyphen/>
        <w:t>вой дивизий в направлении пос. Барри</w:t>
      </w:r>
      <w:r w:rsidRPr="00722885">
        <w:rPr>
          <w:color w:val="000000" w:themeColor="text1"/>
          <w:sz w:val="16"/>
          <w:szCs w:val="16"/>
        </w:rPr>
        <w:softHyphen/>
        <w:t>кады и пос. Красный Октябрь. Второй -силами 29-й моторизованной и 14-й танковой дивизий в направлении приг. Минина (6467).</w:t>
      </w:r>
    </w:p>
    <w:p w14:paraId="3920E383" w14:textId="77777777" w:rsidR="00AE7191" w:rsidRPr="00722885" w:rsidRDefault="00AE7191" w:rsidP="00722885">
      <w:pPr>
        <w:pStyle w:val="Iauiue"/>
        <w:jc w:val="both"/>
        <w:rPr>
          <w:color w:val="000000" w:themeColor="text1"/>
          <w:sz w:val="16"/>
          <w:szCs w:val="16"/>
        </w:rPr>
      </w:pPr>
    </w:p>
    <w:p w14:paraId="3DC4DE6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27 и 30 августа и 10 сентября 1942 АДД бомбили Берлин и сделали 211 вылетов (340,94).</w:t>
      </w:r>
    </w:p>
    <w:p w14:paraId="4495BA2A" w14:textId="77777777" w:rsidR="00AE7191" w:rsidRPr="00722885" w:rsidRDefault="00AE7191" w:rsidP="00722885">
      <w:pPr>
        <w:pStyle w:val="Iauiue"/>
        <w:jc w:val="both"/>
        <w:rPr>
          <w:color w:val="000000" w:themeColor="text1"/>
          <w:sz w:val="16"/>
          <w:szCs w:val="16"/>
        </w:rPr>
      </w:pPr>
    </w:p>
    <w:p w14:paraId="279EEDB8" w14:textId="77777777" w:rsidR="00C02F5C" w:rsidRPr="00722885" w:rsidRDefault="00C02F5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ночь на 10 сентября 1942 по немецким данным, над Берлином появились два-три русских самолета, которые сбросили бомбы на Аренсфельде. В открытых немецких источниках приводятся данные, что в результате налетов было убито два, ранено 35 и лишились крова 119 берлинцев. Там же, кстати, отмечается, что эти три налета, наряду с налетами английской авиации в ноябре, были единственными в 1942 г. (22728).</w:t>
      </w:r>
    </w:p>
    <w:p w14:paraId="17126B50" w14:textId="77777777" w:rsidR="00C02F5C" w:rsidRPr="00722885" w:rsidRDefault="00C02F5C" w:rsidP="00722885">
      <w:pPr>
        <w:spacing w:after="0" w:line="240" w:lineRule="auto"/>
        <w:jc w:val="both"/>
        <w:rPr>
          <w:rFonts w:ascii="Times New Roman" w:hAnsi="Times New Roman"/>
          <w:color w:val="0070C0"/>
          <w:sz w:val="16"/>
          <w:szCs w:val="16"/>
        </w:rPr>
      </w:pPr>
    </w:p>
    <w:p w14:paraId="3F13AA6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и 10 сентября 1942 АДД выполнила 122 вылета по Будапешту (340,94).</w:t>
      </w:r>
    </w:p>
    <w:p w14:paraId="707E419B" w14:textId="77777777" w:rsidR="00AE7191" w:rsidRPr="00722885" w:rsidRDefault="00AE7191" w:rsidP="00722885">
      <w:pPr>
        <w:pStyle w:val="Iauiue"/>
        <w:jc w:val="both"/>
        <w:rPr>
          <w:color w:val="000000" w:themeColor="text1"/>
          <w:sz w:val="16"/>
          <w:szCs w:val="16"/>
        </w:rPr>
      </w:pPr>
    </w:p>
    <w:p w14:paraId="36A7DCFB"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сентября 1942 г., когда по приказу наркома обороны № 00196 1-я бомбардировочная авиационная армия генерал-майора В.А.Судца была переформирована в 1-й бомбардировочный авиакорпус, началось создание авиакорпусов Резерва Ставки ВГК. Первоначально он имел управление, батальон связи и три дивизии: 263-ю, 285-ю и 293-ю бад. Летные части дислоцировались непосредственно в Москве и на аэродромах восточнее города. Каждое соединение должно было иметь по три полка, располагавших по 20 Пе-2.</w:t>
      </w:r>
    </w:p>
    <w:p w14:paraId="60D564D2"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Планировалось завершить все организационные мероприятия к 21 октября и подготовить корпус к боевым действиям. Вскоре 1-й бак Резерва Ставки ВГК переформировали в двухдивизионный состав, сохранив 263-ю (46-й, 202-й и 321-й бап) и 293-ю бад (780-й, 804-й и 854-й бап), а 285-ю бад (35-й гвардейский, 134-й и 205-й бап) вместе с 223-й бад (10-й, 99-й и 224-й бап) передали во 2-й бак. Он формировался аналогичным образом и также в Подмосковье генерал- майором И.Л. Туркелем.</w:t>
      </w:r>
    </w:p>
    <w:p w14:paraId="7589ABBF"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середине ноября для укомплектования резервных бомбардировочных соединений с заводов (Казанского и Иркутского) поступило более 200 Пе-2. К этому времени летный состав успел налетать на "пешках" в запасных авиаполках в среднем по 23 ч на каждый экипаж. В период подготовки авиаторы выполнили по 3-5 бомбометаний с горизонтального полета, столько же воздушных стрельб по наземным целям, 3-4 маршрутных полета. Боевой опыт имели в основном командиры частей и подразделений, а для молодежи полученный налет являлся явно недостаточным, поскольку машина считалась весьма трудной в управлении. Вероятно первая катастрофа произошла 28 октября: мл. лейтенант Есин из 205-го бап разбился с экипажем.</w:t>
      </w:r>
    </w:p>
    <w:p w14:paraId="3D8EA7F6" w14:textId="77777777" w:rsidR="00AE7191" w:rsidRPr="00722885" w:rsidRDefault="00AE719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замыслу Ставки ВКГ, авиакорпуса должны были решать свои боевые задачи лишь на главных операционных направлениях, во время важнейших этапов наступательных и оборонительных операций. Накануне активных действий Красной Армии под Сталинградом (операция "Уран") и западнее Москвы (операция "Марс") командование начало первые маневры своими авиационными резервами. В частности, 1-й бак из Подмосковья 17 ноября направился на Калининский фронт, перейдя в оперативное подчинение 3-й ВА, а 2-й бак через день убыл на Донской фронт в 16-ю ВА. Первый из них преодолел расстояние 320 км, а второй - 880 км, выполнив по несколько промежуточных посадок (12042).</w:t>
      </w:r>
    </w:p>
    <w:p w14:paraId="24CE5FA9" w14:textId="77777777" w:rsidR="00AE7191" w:rsidRPr="00722885" w:rsidRDefault="00AE7191" w:rsidP="00722885">
      <w:pPr>
        <w:spacing w:after="0" w:line="240" w:lineRule="auto"/>
        <w:jc w:val="both"/>
        <w:rPr>
          <w:rFonts w:ascii="Times New Roman" w:hAnsi="Times New Roman"/>
          <w:color w:val="000000" w:themeColor="text1"/>
          <w:sz w:val="16"/>
          <w:szCs w:val="16"/>
        </w:rPr>
      </w:pPr>
    </w:p>
    <w:p w14:paraId="1A175C66"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сентября 1942 г. нарком обороны, подписал приказ № 0019, согласно которому были сформированы два первых штурмовых авиакорпуса. В 1</w:t>
      </w:r>
      <w:r w:rsidRPr="00722885">
        <w:rPr>
          <w:rFonts w:ascii="Times New Roman" w:hAnsi="Times New Roman"/>
          <w:color w:val="0070C0"/>
          <w:sz w:val="16"/>
          <w:szCs w:val="16"/>
        </w:rPr>
        <w:noBreakHyphen/>
        <w:t>й шак генерал</w:t>
      </w:r>
      <w:r w:rsidRPr="00722885">
        <w:rPr>
          <w:rFonts w:ascii="Times New Roman" w:hAnsi="Times New Roman"/>
          <w:color w:val="0070C0"/>
          <w:sz w:val="16"/>
          <w:szCs w:val="16"/>
        </w:rPr>
        <w:noBreakHyphen/>
        <w:t>майора Василия Рязанова вошли 266</w:t>
      </w:r>
      <w:r w:rsidRPr="00722885">
        <w:rPr>
          <w:rFonts w:ascii="Times New Roman" w:hAnsi="Times New Roman"/>
          <w:color w:val="0070C0"/>
          <w:sz w:val="16"/>
          <w:szCs w:val="16"/>
        </w:rPr>
        <w:noBreakHyphen/>
        <w:t>я шад полковника Ф.Г. Родякина и 292</w:t>
      </w:r>
      <w:r w:rsidRPr="00722885">
        <w:rPr>
          <w:rFonts w:ascii="Times New Roman" w:hAnsi="Times New Roman"/>
          <w:color w:val="0070C0"/>
          <w:sz w:val="16"/>
          <w:szCs w:val="16"/>
        </w:rPr>
        <w:noBreakHyphen/>
        <w:t>я шад полковника Н.П. Каманина, а во 2</w:t>
      </w:r>
      <w:r w:rsidRPr="00722885">
        <w:rPr>
          <w:rFonts w:ascii="Times New Roman" w:hAnsi="Times New Roman"/>
          <w:color w:val="0070C0"/>
          <w:sz w:val="16"/>
          <w:szCs w:val="16"/>
        </w:rPr>
        <w:noBreakHyphen/>
        <w:t>й шак полковника Василия Степичева – 231</w:t>
      </w:r>
      <w:r w:rsidRPr="00722885">
        <w:rPr>
          <w:rFonts w:ascii="Times New Roman" w:hAnsi="Times New Roman"/>
          <w:color w:val="0070C0"/>
          <w:sz w:val="16"/>
          <w:szCs w:val="16"/>
        </w:rPr>
        <w:noBreakHyphen/>
        <w:t>я шад полковника В.И. Аладинского и 232</w:t>
      </w:r>
      <w:r w:rsidRPr="00722885">
        <w:rPr>
          <w:rFonts w:ascii="Times New Roman" w:hAnsi="Times New Roman"/>
          <w:color w:val="0070C0"/>
          <w:sz w:val="16"/>
          <w:szCs w:val="16"/>
        </w:rPr>
        <w:noBreakHyphen/>
        <w:t>я шад генерал</w:t>
      </w:r>
      <w:r w:rsidRPr="00722885">
        <w:rPr>
          <w:rFonts w:ascii="Times New Roman" w:hAnsi="Times New Roman"/>
          <w:color w:val="0070C0"/>
          <w:sz w:val="16"/>
          <w:szCs w:val="16"/>
        </w:rPr>
        <w:noBreakHyphen/>
        <w:t>майора Н.К. Трифонова.</w:t>
      </w:r>
    </w:p>
    <w:p w14:paraId="0D408216"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Работа по формированию новых корпусов продолжалась, благо теперь авиапромышленность могла не только компенсировать большие потери, но и позволить создавать резервы. В декабре того же 1942 года был образован 3</w:t>
      </w:r>
      <w:r w:rsidRPr="00722885">
        <w:rPr>
          <w:rFonts w:ascii="Times New Roman" w:hAnsi="Times New Roman"/>
          <w:color w:val="0070C0"/>
          <w:sz w:val="16"/>
          <w:szCs w:val="16"/>
        </w:rPr>
        <w:noBreakHyphen/>
        <w:t>й шак, который возглавил полковник М.И. Горлаченко, затем в июле 1943 г. – 5, 7, 8 и 9</w:t>
      </w:r>
      <w:r w:rsidRPr="00722885">
        <w:rPr>
          <w:rFonts w:ascii="Times New Roman" w:hAnsi="Times New Roman"/>
          <w:color w:val="0070C0"/>
          <w:sz w:val="16"/>
          <w:szCs w:val="16"/>
        </w:rPr>
        <w:noBreakHyphen/>
        <w:t>й шак, а в декабре того же года – 6</w:t>
      </w:r>
      <w:r w:rsidRPr="00722885">
        <w:rPr>
          <w:rFonts w:ascii="Times New Roman" w:hAnsi="Times New Roman"/>
          <w:color w:val="0070C0"/>
          <w:sz w:val="16"/>
          <w:szCs w:val="16"/>
        </w:rPr>
        <w:noBreakHyphen/>
        <w:t>й шак и, наконец, в конце сентября – начале октября 1944 г. – 4</w:t>
      </w:r>
      <w:r w:rsidRPr="00722885">
        <w:rPr>
          <w:rFonts w:ascii="Times New Roman" w:hAnsi="Times New Roman"/>
          <w:color w:val="0070C0"/>
          <w:sz w:val="16"/>
          <w:szCs w:val="16"/>
        </w:rPr>
        <w:noBreakHyphen/>
        <w:t>й, 9</w:t>
      </w:r>
      <w:r w:rsidRPr="00722885">
        <w:rPr>
          <w:rFonts w:ascii="Times New Roman" w:hAnsi="Times New Roman"/>
          <w:color w:val="0070C0"/>
          <w:sz w:val="16"/>
          <w:szCs w:val="16"/>
        </w:rPr>
        <w:noBreakHyphen/>
        <w:t>й и 10</w:t>
      </w:r>
      <w:r w:rsidRPr="00722885">
        <w:rPr>
          <w:rFonts w:ascii="Times New Roman" w:hAnsi="Times New Roman"/>
          <w:color w:val="0070C0"/>
          <w:sz w:val="16"/>
          <w:szCs w:val="16"/>
        </w:rPr>
        <w:noBreakHyphen/>
        <w:t>й шак. Таким образом, к концу войны в распоряжении советского командования оказался целый штурмовой воздушный флот из десяти авиакорпусов, два из которых уже получили статус гвардейских.</w:t>
      </w:r>
    </w:p>
    <w:p w14:paraId="7ECB2EF9"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 все же объединение сначала двух, а затем и трех штурмовых дивизий в авиакорпус было, по существу, бесполезным. Массированные удары по одной цели силами сразу нескольких шад, которые могли бы оправдать создание штурмовых корпусов, никогда не проводились. Советские ВВС просто не имели технических средств, которые позволяли бы управлять сотнями самолетов, одновременно находившимися в воздухе на ограниченном пространстве. Для этого требовались надежная радиосвязь, наземные радары, система опознавания «свой – чужой», специальные центры управления как минимум в масштабах воздушной армии и масса еще чего, но всего этого и в помине не было.</w:t>
      </w:r>
    </w:p>
    <w:p w14:paraId="53D6145F"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До самого конца войны Ил</w:t>
      </w:r>
      <w:r w:rsidRPr="00722885">
        <w:rPr>
          <w:rFonts w:ascii="Times New Roman" w:hAnsi="Times New Roman"/>
          <w:color w:val="0070C0"/>
          <w:sz w:val="16"/>
          <w:szCs w:val="16"/>
        </w:rPr>
        <w:noBreakHyphen/>
        <w:t>2 продолжали действовать в основном мелкими группами по 12–16 машин. Массированные штурмовые удары, о которых мы расскажем позже, вошли в практику лишь в 1944–1945 гг. и то лишь в некоторых операциях. И если формирование дивизий все же помогло повысить управляемость и как следствие эффективность действий входивших в них шап, то штурмовые корпуса стали просто лишней организационной структурой. Правда, их создание позволило значительно увеличить число штабных офицеров и создать новые генеральские должности (23199).</w:t>
      </w:r>
    </w:p>
    <w:p w14:paraId="56D85B8C" w14:textId="77777777" w:rsidR="005B5EE0" w:rsidRPr="00722885" w:rsidRDefault="005B5EE0" w:rsidP="00722885">
      <w:pPr>
        <w:spacing w:after="0" w:line="240" w:lineRule="auto"/>
        <w:jc w:val="both"/>
        <w:rPr>
          <w:rFonts w:ascii="Times New Roman" w:hAnsi="Times New Roman"/>
          <w:color w:val="0070C0"/>
          <w:sz w:val="16"/>
          <w:szCs w:val="16"/>
        </w:rPr>
      </w:pPr>
    </w:p>
    <w:p w14:paraId="1C38A15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НКВМФ Н.Г.Кузнецов выпустил директиву N 7/409 об использовании авиации СФ (2120).</w:t>
      </w:r>
    </w:p>
    <w:p w14:paraId="4391B934" w14:textId="77777777" w:rsidR="00AE7191" w:rsidRPr="00722885" w:rsidRDefault="00AE7191" w:rsidP="00722885">
      <w:pPr>
        <w:pStyle w:val="Iauiue"/>
        <w:jc w:val="both"/>
        <w:rPr>
          <w:color w:val="000000" w:themeColor="text1"/>
          <w:sz w:val="16"/>
          <w:szCs w:val="16"/>
        </w:rPr>
      </w:pPr>
    </w:p>
    <w:p w14:paraId="487AE7BE" w14:textId="77777777" w:rsidR="00AE7191" w:rsidRPr="00722885" w:rsidRDefault="00AE7191" w:rsidP="00722885">
      <w:pPr>
        <w:pStyle w:val="Iauiue"/>
        <w:jc w:val="both"/>
        <w:rPr>
          <w:color w:val="000000" w:themeColor="text1"/>
          <w:sz w:val="16"/>
          <w:szCs w:val="16"/>
          <w:lang w:val="en-US"/>
        </w:rPr>
      </w:pPr>
      <w:r w:rsidRPr="00722885">
        <w:rPr>
          <w:color w:val="000000" w:themeColor="text1"/>
          <w:sz w:val="16"/>
          <w:szCs w:val="16"/>
          <w:lang w:val="en-US"/>
        </w:rPr>
        <w:t>September 10, 1942: Failure of Soviet forces attacking from besieged Leningrad to break the German lines (3819).</w:t>
      </w:r>
    </w:p>
    <w:p w14:paraId="2E19346C" w14:textId="77777777" w:rsidR="00AE7191" w:rsidRPr="00722885" w:rsidRDefault="00AE7191" w:rsidP="00722885">
      <w:pPr>
        <w:pStyle w:val="Iauiue"/>
        <w:jc w:val="both"/>
        <w:rPr>
          <w:color w:val="000000" w:themeColor="text1"/>
          <w:sz w:val="16"/>
          <w:szCs w:val="16"/>
          <w:lang w:val="en-US"/>
        </w:rPr>
      </w:pPr>
    </w:p>
    <w:p w14:paraId="17FCE94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советские попытки прорвать блокаду Ленинграда провалились (3819).</w:t>
      </w:r>
    </w:p>
    <w:p w14:paraId="5C8D2A2B" w14:textId="77777777" w:rsidR="00AE7191" w:rsidRPr="00722885" w:rsidRDefault="00AE7191" w:rsidP="00722885">
      <w:pPr>
        <w:pStyle w:val="Iauiue"/>
        <w:jc w:val="both"/>
        <w:rPr>
          <w:color w:val="000000" w:themeColor="text1"/>
          <w:sz w:val="16"/>
          <w:szCs w:val="16"/>
        </w:rPr>
      </w:pPr>
    </w:p>
    <w:p w14:paraId="2E979F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КА оставила большую часть города и порт Новороссийск (3186).</w:t>
      </w:r>
    </w:p>
    <w:p w14:paraId="09C9BAA2" w14:textId="77777777" w:rsidR="00AE7191" w:rsidRPr="00722885" w:rsidRDefault="00AE7191" w:rsidP="00722885">
      <w:pPr>
        <w:pStyle w:val="Iauiue"/>
        <w:jc w:val="both"/>
        <w:rPr>
          <w:color w:val="000000" w:themeColor="text1"/>
          <w:sz w:val="16"/>
          <w:szCs w:val="16"/>
        </w:rPr>
      </w:pPr>
    </w:p>
    <w:p w14:paraId="1B099865"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сентября в 1942 году авиация дальнего действия нанесла бомбовые удары по Будапешту и Кенигсбергу (14765).</w:t>
      </w:r>
    </w:p>
    <w:p w14:paraId="5A280F5D" w14:textId="77777777" w:rsidR="00AE5727" w:rsidRPr="00722885" w:rsidRDefault="00AE5727" w:rsidP="00722885">
      <w:pPr>
        <w:spacing w:after="0" w:line="240" w:lineRule="auto"/>
        <w:jc w:val="both"/>
        <w:rPr>
          <w:rFonts w:ascii="Times New Roman" w:hAnsi="Times New Roman"/>
          <w:color w:val="000000" w:themeColor="text1"/>
          <w:sz w:val="16"/>
          <w:szCs w:val="16"/>
        </w:rPr>
      </w:pPr>
    </w:p>
    <w:p w14:paraId="4DE2573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г. вышел ПРИКАЗ № 00196 О ФОРМИРОВАНИИ АВИАКОРПУСОВ РЕЗЕРВА СТАВКИ ВЕРХОВНОГО ГЛАВНОКОМАНДОВАНИЯ</w:t>
      </w:r>
    </w:p>
    <w:p w14:paraId="7F3909E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Сформировать и иметь в резерве Ставки Верховного Главнокомандования:</w:t>
      </w:r>
    </w:p>
    <w:p w14:paraId="4A3D1DA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1-й истребительный авиационный корпус в составе:</w:t>
      </w:r>
    </w:p>
    <w:p w14:paraId="25A8A2B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Управления авиакорпуса по штату № 015/281, 126-го батальона связи по штату № 015/215, 274, 282, 215 и 235-й авиационных дивизий каждая в составе трех истребительных авиаполков по 32 самолета каждый.</w:t>
      </w:r>
    </w:p>
    <w:p w14:paraId="5176D5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1 -и истребительный авиакорпус дислоцировать в районе Подольск, Химки, Люберцы.</w:t>
      </w:r>
    </w:p>
    <w:p w14:paraId="56E25CE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1-й штурмовой авиационный корпус в составе:</w:t>
      </w:r>
    </w:p>
    <w:p w14:paraId="45136AB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Управления авиакорпуса по штату №015/281, 121-го батальона связи по штату № 015/215, 292, 290 и 266-й авиационных дивизий каждая в составе трех штурмовых и одного истребительного авиаполка по 32 самолета каждый.</w:t>
      </w:r>
    </w:p>
    <w:p w14:paraId="14F152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1-й штурмовой авиакорпус дислоцировать в районе Юркино, Дмитров.</w:t>
      </w:r>
    </w:p>
    <w:p w14:paraId="08EC8F4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1-й бомбардировочный авиационный корпус в составе: Управления авиакорпуса по штату №015/281, 122-го батальона связи по штату № 015/215, 293, 285 и 263-й аивиационных дивизий каждая в составе трех бомбардировочных авиаполков по 20 самолетов каждый.</w:t>
      </w:r>
    </w:p>
    <w:p w14:paraId="76417B9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1-й бомбардировочный авиакорпус дислоцировать в районе Москва и вос-точнее Москвы.</w:t>
      </w:r>
    </w:p>
    <w:p w14:paraId="492E75A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К формированию авиакорпусов приступить немедленно и закончить в сроки согласно утвержденного мною плана организационных мероприятии.</w:t>
      </w:r>
    </w:p>
    <w:p w14:paraId="1663FA1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В составе истребительных и штурмовых авиаполков иметь по три эскадрильи, состоящих из двух звеньев по 4 самолета и 2 самолетов командира и военного комиссара эскадрильи. В звене управления полка иметь 2 самолета, предназначенных для командира полка и военного комиссара полка.</w:t>
      </w:r>
    </w:p>
    <w:p w14:paraId="147EBC5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1-ю и 2-ю истребительные и 1-ю бомбардировочную авиаармии — расформировать.</w:t>
      </w:r>
      <w:r w:rsidRPr="00722885">
        <w:rPr>
          <w:color w:val="000000" w:themeColor="text1"/>
          <w:sz w:val="16"/>
          <w:szCs w:val="16"/>
          <w:vertAlign w:val="superscript"/>
        </w:rPr>
        <w:t>49</w:t>
      </w:r>
      <w:r w:rsidRPr="00722885">
        <w:rPr>
          <w:color w:val="000000" w:themeColor="text1"/>
          <w:sz w:val="16"/>
          <w:szCs w:val="16"/>
        </w:rPr>
        <w:t xml:space="preserve"> Личный состав и имущество обратить на укомплектование формируемых авиакорпусов.</w:t>
      </w:r>
    </w:p>
    <w:p w14:paraId="5D0D44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5. Авиационные корпуса включить в состав действующей армии.</w:t>
      </w:r>
    </w:p>
    <w:p w14:paraId="61165B5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6. Находящиеся в запасных авиационных бригадах 929, 252, 521, 895, 211, 24, 770, 795, 194 и 440-й истребительные авиаполки — расформировать и обратить на укомплектование авиаполков формируемых корпусов.</w:t>
      </w:r>
    </w:p>
    <w:p w14:paraId="31BA3E9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7. Начальнику Главного управления связи Красной Армии генерал-лейтенанту войск связи тов. Пересыпкину полностью обеспечить формируемые авиакорпуса положенным имуществом и средствами связи и подготовленным личным составом.</w:t>
      </w:r>
    </w:p>
    <w:p w14:paraId="5101077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Начальнику Главного автобронетанкового управления генерал-лейтенанту танковых войск тов. Федоренко выделить в распоряжение командующего ВВС Красной Армии для обеспечения формируемых авиакорпусов: автомашин грузовых — 140, легковых — 30 и автобусов штабных — 10.</w:t>
      </w:r>
    </w:p>
    <w:p w14:paraId="2F8858C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9. Начальнику артиллерии Красной Армии генерал-полковнику артиллерии тов. Воронову передать командующему ВВС для ПВО аэродромов базирования авиакорпусов 6 артиллерийских полков, вооруженных 37-мм пушками.</w:t>
      </w:r>
    </w:p>
    <w:p w14:paraId="1CC321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Начальникам главных управлений НКО СССР обеспечить проводимое мероприятие всеми видами довольствия.</w:t>
      </w:r>
    </w:p>
    <w:p w14:paraId="04DD062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11. Назначить:</w:t>
      </w:r>
    </w:p>
    <w:p w14:paraId="2E42E1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Командиром 1-го истребительного авиакорпуса генерал-майора авиации Белецкого Е. М.</w:t>
      </w:r>
    </w:p>
    <w:p w14:paraId="56C1E2A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Командиром 1-го штурмового авиакорпуса генерал-майора авиации Рязанова В. Г.</w:t>
      </w:r>
    </w:p>
    <w:p w14:paraId="6722174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Командиром 1-го бомбардировочного авиакорпуса генерал-майора авиации Судец В. А.</w:t>
      </w:r>
    </w:p>
    <w:p w14:paraId="21E51355"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Командиром 290-й штурмовой авиадивизии подполковника Миронен-ко П. И.</w:t>
      </w:r>
    </w:p>
    <w:p w14:paraId="6C23715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Командиром 263-й бомбардировочной авиадивизии полковника До-быш Ф. И.</w:t>
      </w:r>
    </w:p>
    <w:p w14:paraId="26C082D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Командиром 266-й штурмовой авиадивизии подполковника Радякина Ф. Г.</w:t>
      </w:r>
    </w:p>
    <w:p w14:paraId="4268DA75" w14:textId="77777777" w:rsidR="00AE7191" w:rsidRPr="00722885" w:rsidRDefault="00AE7191" w:rsidP="00722885">
      <w:pPr>
        <w:pStyle w:val="Iauiue"/>
        <w:jc w:val="both"/>
        <w:rPr>
          <w:iCs/>
          <w:color w:val="000000" w:themeColor="text1"/>
          <w:sz w:val="16"/>
          <w:szCs w:val="16"/>
        </w:rPr>
      </w:pPr>
      <w:r w:rsidRPr="00722885">
        <w:rPr>
          <w:iCs/>
          <w:color w:val="000000" w:themeColor="text1"/>
          <w:sz w:val="16"/>
          <w:szCs w:val="16"/>
        </w:rPr>
        <w:t>Народный комиссар обороны СССР И. СТАЛИН (9844).</w:t>
      </w:r>
    </w:p>
    <w:p w14:paraId="4B919E9C" w14:textId="77777777" w:rsidR="00AE7191" w:rsidRPr="00722885" w:rsidRDefault="00AE7191" w:rsidP="00722885">
      <w:pPr>
        <w:pStyle w:val="Iauiue"/>
        <w:jc w:val="both"/>
        <w:rPr>
          <w:iCs/>
          <w:color w:val="000000" w:themeColor="text1"/>
          <w:sz w:val="16"/>
          <w:szCs w:val="16"/>
        </w:rPr>
      </w:pPr>
    </w:p>
    <w:p w14:paraId="2C7E93E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г. вышел ПРИКАЗ НКО № 0682 О СЛУЧАЯХ МАССОВОГО ПОВРЕЖДЕНИЯ АВТОМАШИН В 58-м ГВАРДЕЙСКОМ МИНОМЕТНОМ ПОЛКУ</w:t>
      </w:r>
    </w:p>
    <w:p w14:paraId="0EFDA8F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Командованием 58-го гвардейского минометного полка 9 сентября 1942 г. был представлен акт технического осмотра боевых и транспортных автомашин.</w:t>
      </w:r>
    </w:p>
    <w:p w14:paraId="3448CD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По данным акта до 80 % всех автомашин приведено в негодность, причем характер повреждений и массовый вывод боевой техники из строя прямо указывает на преступное отношение водительского, командного и политического состава полка к ценной и остро дефицитной боевой технике.</w:t>
      </w:r>
    </w:p>
    <w:p w14:paraId="67F1141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Вывод из строя импортных автомашин, при отсутствии запасных частей к ним, навсегда выводит ценные и столь нужные армии боевые машины из строя.</w:t>
      </w:r>
    </w:p>
    <w:p w14:paraId="269CB8A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Приказываю:</w:t>
      </w:r>
    </w:p>
    <w:p w14:paraId="6564D9FF"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Члену военного совета гвардейских минометных частей Сталинградского фронта бригадному комиссару тов. Жукову совместно с представителями особого отдела и автобронетанкового управления Сталинградского фронта немедленно произвести расследование и установить виновников массовой и преступной порчи боевых и транспортных автомашин.</w:t>
      </w:r>
    </w:p>
    <w:p w14:paraId="690C0B1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Виновных в преднамеренной порче машин расстрелять перед строем. Виновных в небрежном отношении к вверенной им боевой технике немедленно направить в штрафные стрелковые батальоны.</w:t>
      </w:r>
    </w:p>
    <w:p w14:paraId="0E124A1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3. Акт расследования с указанием фамилий виновных представить мне к 14 сентября 1942 г. на утверждение.</w:t>
      </w:r>
    </w:p>
    <w:p w14:paraId="6EB070C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4. Предупреждаю всех командиров и комиссаров полков, дивизионов, батарей и весь технический начсостав частей и весь водительский состав, что за порчу и вывод из строя боевых или транспортных автомашин виновные будут или расстреляны, как за порчу вооружения, или немедленно отправлены в штрафные стрелковые батальоны.</w:t>
      </w:r>
    </w:p>
    <w:p w14:paraId="01E34CC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Военным советам оперативных групп гвардейских минометных частей фронтов приказываю прекратить либеральное отношение к виновным в порче ценных и остро дефицитных боевых и транспортных автомашин, немедленно привлекая виновных к строжайшей ответственности.</w:t>
      </w:r>
    </w:p>
    <w:p w14:paraId="080510B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Виновных в умышленной порче немедленно расстреливать перед строем, а виновных в небрежном отношении немедленно направлять в штрафные стрелковые батальоны.</w:t>
      </w:r>
    </w:p>
    <w:p w14:paraId="455DF1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Настоящий приказ довести до всего командного, политического и начальствующего состава, а также до всего водительского состава гвардейских минометных частей Красной Армии.</w:t>
      </w:r>
    </w:p>
    <w:p w14:paraId="400F4979"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Заместитель Народного комиссара обороны СССР генерал-майор артиллерии В. АБОРЕНКОВ </w:t>
      </w:r>
      <w:r w:rsidRPr="00722885">
        <w:rPr>
          <w:color w:val="000000" w:themeColor="text1"/>
          <w:sz w:val="16"/>
          <w:szCs w:val="16"/>
        </w:rPr>
        <w:t>(9844).</w:t>
      </w:r>
    </w:p>
    <w:p w14:paraId="25827A81" w14:textId="77777777" w:rsidR="00AE7191" w:rsidRPr="00722885" w:rsidRDefault="00AE7191" w:rsidP="00722885">
      <w:pPr>
        <w:pStyle w:val="Iauiue"/>
        <w:jc w:val="both"/>
        <w:rPr>
          <w:color w:val="000000" w:themeColor="text1"/>
          <w:sz w:val="16"/>
          <w:szCs w:val="16"/>
        </w:rPr>
      </w:pPr>
    </w:p>
    <w:p w14:paraId="19A26EA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г. вышел ПРИКАЗ НКО № 0695 О ПОРЯДКЕ НАЗНАЧЕНИЯ НА ДОЛЖНОСТИ И ПРИСВОЕНИЯ ВОИНСКИХ ЗВАНИЙ НАЧАЛЬСТВУЮЩЕМУ СОСТАВУ ВОЕННО-ВОЗДУШНЫХ СИЛ КРАСНОЙ АРМИИ</w:t>
      </w:r>
    </w:p>
    <w:p w14:paraId="077B8A3C"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целях ускорения назначения на должости достойно проявивших себя в боях с немецко-фашистскими захватчиками и упорядочения прохождения службы начальствующим составом ВВС Красной Армии приказываю:</w:t>
      </w:r>
    </w:p>
    <w:p w14:paraId="2972CE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 Назначать своими приказами начальствующий состав Военных Воздушных сил:</w:t>
      </w:r>
    </w:p>
    <w:p w14:paraId="346ADE4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а) Военным советам фронтов — до помощника командира авиационного полка и ему равных включительно по докладу командующего авиаармией;</w:t>
      </w:r>
    </w:p>
    <w:p w14:paraId="02DD0DBA"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б) командующим воздушных армий — до командира эскадрильи и ему равных включительно;</w:t>
      </w:r>
    </w:p>
    <w:p w14:paraId="75644F3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 командирам авиадивизий — до командира звена и ему равных включительно.</w:t>
      </w:r>
    </w:p>
    <w:p w14:paraId="243EF49B"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2. Присвоение очередных воинских званий от старшего лейтенанта и им равных и выше начальствующему составу ВВС Красной Армии производить в установленном порядке одновременно с назначением их на высшие должности.</w:t>
      </w:r>
    </w:p>
    <w:p w14:paraId="1E3A94C9"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Народный комиссар обороны СССР И. СТАЛИН </w:t>
      </w:r>
      <w:r w:rsidRPr="00722885">
        <w:rPr>
          <w:color w:val="000000" w:themeColor="text1"/>
          <w:sz w:val="16"/>
          <w:szCs w:val="16"/>
        </w:rPr>
        <w:t>(9844).</w:t>
      </w:r>
    </w:p>
    <w:p w14:paraId="486A9885" w14:textId="77777777" w:rsidR="00AE7191" w:rsidRPr="00722885" w:rsidRDefault="00AE7191" w:rsidP="00722885">
      <w:pPr>
        <w:pStyle w:val="Iauiue"/>
        <w:jc w:val="both"/>
        <w:rPr>
          <w:color w:val="000000" w:themeColor="text1"/>
          <w:sz w:val="16"/>
          <w:szCs w:val="16"/>
        </w:rPr>
      </w:pPr>
    </w:p>
    <w:p w14:paraId="3C69F451"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г. вышел ПРИКАЗ НКО № 0759 О МУЖЕСТВЕ И ХРАБРОСТИ, ПРОЯВЛЕННЫМИ ПИЛОТОМ 2-й ЭСКАДРИЛЬИ 520-го ИСТРЕБИТЕЛЬНОГО АВИАПОЛКА СТАРШИМ СЕРЖАНТОМ ГОМОЛКО Б. М. В ВОЗДУШНОМ БОЮ</w:t>
      </w:r>
    </w:p>
    <w:p w14:paraId="47CEA4A3"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8 сентября 1942 г. на высоте 2500 м группа истребителей 520-го истребительного авиационного полка встретила 10 бомбардировщиков Хе-111.</w:t>
      </w:r>
    </w:p>
    <w:p w14:paraId="5D8ED98E"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Старший сержант Гомолко Борис Мефодьевич, совершающий свой первый боевой полет, врезается в их строй и огнем пулеметов и пушки сбивает одного Хе-111, в последующих атаках, израсходовав весь боекомплект, пошел на таран другого бомбардировщика.</w:t>
      </w:r>
    </w:p>
    <w:p w14:paraId="4C3CFC58"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Винтом и мотором отрубает хвостовое оперение Хе-111, в результате чего бомбардировщик врага разрушается в воздухе и падает.</w:t>
      </w:r>
    </w:p>
    <w:p w14:paraId="5AA99B0D"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Старший сержант Гомолко, приземляясь на парашюте, приготовился для встречи снижающихся на парашютах фашистских летчиков, при попытке их оказать сопротивление, расстреливает одного летчика, а другого берет в плен.</w:t>
      </w:r>
    </w:p>
    <w:p w14:paraId="37AE2ED2"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Тов. Гомолко, как истинный сын своей Родины, проявил исключительный героизм и отвагу.</w:t>
      </w:r>
    </w:p>
    <w:p w14:paraId="3046F3C0"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 xml:space="preserve">Этот героический поступок тов. Гомолко подтверждает еще раз, что кто, не жалея сил, презирая смерть, беззаветно проявляет храбрость, стойкость, мужество и </w:t>
      </w:r>
      <w:r w:rsidRPr="00722885">
        <w:rPr>
          <w:color w:val="000000" w:themeColor="text1"/>
          <w:sz w:val="16"/>
          <w:szCs w:val="16"/>
        </w:rPr>
        <w:lastRenderedPageBreak/>
        <w:t>героизм, тот всегда добивается победы над врагом.</w:t>
      </w:r>
    </w:p>
    <w:p w14:paraId="2D01CED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Дело чести и доблести всего летного состава Военно-воздушных сил Красной Армии — бить фашистских воздушных пиратов, как бьет их старший сержант Гомолко.</w:t>
      </w:r>
    </w:p>
    <w:p w14:paraId="3968C98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Приказываю:</w:t>
      </w:r>
    </w:p>
    <w:p w14:paraId="0407F519"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За проявленное мужество и храбрость в воздушном бою с десятью бомбардировщиками Хе-Ш пилоту 2-й эскадрильи 520-го истребительного авиационного полка старшему сержанту Гомолко Борису Мефодьевичу присвоить внеочередное военное звание “лейтенант”, командиру 283-й истребительной авиадивизии представить тов. Гомолко к правительственной награде.</w:t>
      </w:r>
    </w:p>
    <w:p w14:paraId="40526446"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Приказ прочесть всему личному составу ВВС Красной Армии.</w:t>
      </w:r>
    </w:p>
    <w:p w14:paraId="33DDA101" w14:textId="77777777" w:rsidR="00AE7191" w:rsidRPr="00722885" w:rsidRDefault="00AE7191" w:rsidP="00722885">
      <w:pPr>
        <w:pStyle w:val="Iauiue"/>
        <w:jc w:val="both"/>
        <w:rPr>
          <w:color w:val="000000" w:themeColor="text1"/>
          <w:sz w:val="16"/>
          <w:szCs w:val="16"/>
        </w:rPr>
      </w:pPr>
      <w:r w:rsidRPr="00722885">
        <w:rPr>
          <w:iCs/>
          <w:color w:val="000000" w:themeColor="text1"/>
          <w:sz w:val="16"/>
          <w:szCs w:val="16"/>
        </w:rPr>
        <w:t xml:space="preserve">Заместитель Народного комиссара обороны СССР генерал-лейтенант авиации НОВИКОВ </w:t>
      </w:r>
      <w:r w:rsidRPr="00722885">
        <w:rPr>
          <w:color w:val="000000" w:themeColor="text1"/>
          <w:sz w:val="16"/>
          <w:szCs w:val="16"/>
        </w:rPr>
        <w:t>(9844).</w:t>
      </w:r>
    </w:p>
    <w:p w14:paraId="58767974" w14:textId="77777777" w:rsidR="00AE7191" w:rsidRPr="00722885" w:rsidRDefault="00AE7191" w:rsidP="00722885">
      <w:pPr>
        <w:pStyle w:val="Iauiue"/>
        <w:jc w:val="both"/>
        <w:rPr>
          <w:color w:val="000000" w:themeColor="text1"/>
          <w:sz w:val="16"/>
          <w:szCs w:val="16"/>
        </w:rPr>
      </w:pPr>
    </w:p>
    <w:p w14:paraId="1C4948A6" w14:textId="77777777" w:rsidR="00C02F5C" w:rsidRPr="00722885" w:rsidRDefault="00C02F5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сентября 1942 г. штормовой ветер сорвал в свободный полёт аэростат заграждения с ко</w:t>
      </w:r>
      <w:r w:rsidRPr="00722885">
        <w:rPr>
          <w:rFonts w:ascii="Times New Roman" w:hAnsi="Times New Roman"/>
          <w:color w:val="0070C0"/>
          <w:sz w:val="16"/>
          <w:szCs w:val="16"/>
        </w:rPr>
        <w:softHyphen/>
        <w:t>мандиром поста сержантом К.Г. Беляковым и рядовым В.П. Козорезом. Не выдержав напря</w:t>
      </w:r>
      <w:r w:rsidRPr="00722885">
        <w:rPr>
          <w:rFonts w:ascii="Times New Roman" w:hAnsi="Times New Roman"/>
          <w:color w:val="0070C0"/>
          <w:sz w:val="16"/>
          <w:szCs w:val="16"/>
        </w:rPr>
        <w:softHyphen/>
        <w:t>жения, сержант сорвался и разбился. В.П. Козорез держался за носовую поясную веревку и по</w:t>
      </w:r>
      <w:r w:rsidRPr="00722885">
        <w:rPr>
          <w:rFonts w:ascii="Times New Roman" w:hAnsi="Times New Roman"/>
          <w:color w:val="0070C0"/>
          <w:sz w:val="16"/>
          <w:szCs w:val="16"/>
        </w:rPr>
        <w:softHyphen/>
        <w:t>этому не мог добраться до предохранительного клапана. Только в районе Ногинска ему удалось ухватиться за антенну и, не отпуская оболочки, спуститься по мачте на землю. Оболочка была спасена, и аэростат на следующую ночь вновь нёс вахту над Москвой (20120).</w:t>
      </w:r>
    </w:p>
    <w:p w14:paraId="4274B9AF" w14:textId="77777777" w:rsidR="00C02F5C" w:rsidRPr="00722885" w:rsidRDefault="00C02F5C" w:rsidP="00722885">
      <w:pPr>
        <w:spacing w:after="0" w:line="240" w:lineRule="auto"/>
        <w:jc w:val="both"/>
        <w:rPr>
          <w:rFonts w:ascii="Times New Roman" w:hAnsi="Times New Roman"/>
          <w:color w:val="0070C0"/>
          <w:sz w:val="16"/>
          <w:szCs w:val="16"/>
        </w:rPr>
      </w:pPr>
    </w:p>
    <w:p w14:paraId="541E4C07" w14:textId="77777777" w:rsidR="008E3741" w:rsidRPr="00722885" w:rsidRDefault="008E3741"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2957902C" w14:textId="77777777" w:rsidR="008E3741" w:rsidRPr="00722885" w:rsidRDefault="008E3741" w:rsidP="00722885">
      <w:pPr>
        <w:pStyle w:val="Iauiue"/>
        <w:jc w:val="both"/>
        <w:rPr>
          <w:iCs/>
          <w:color w:val="000000" w:themeColor="text1"/>
          <w:sz w:val="16"/>
          <w:szCs w:val="16"/>
        </w:rPr>
      </w:pPr>
    </w:p>
    <w:p w14:paraId="1F42A37B" w14:textId="77777777" w:rsidR="008E3741" w:rsidRPr="00722885" w:rsidRDefault="008E374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сентября 1942 г. был установлен налог со зрелищ (концертов, спектаклей, кинотеатров и проч.) (18390).</w:t>
      </w:r>
    </w:p>
    <w:p w14:paraId="5A8661B3" w14:textId="77777777" w:rsidR="008E3741" w:rsidRPr="00722885" w:rsidRDefault="008E3741" w:rsidP="00722885">
      <w:pPr>
        <w:spacing w:after="0" w:line="240" w:lineRule="auto"/>
        <w:jc w:val="both"/>
        <w:rPr>
          <w:rFonts w:ascii="Times New Roman" w:hAnsi="Times New Roman"/>
          <w:color w:val="000000" w:themeColor="text1"/>
          <w:sz w:val="16"/>
          <w:szCs w:val="16"/>
        </w:rPr>
      </w:pPr>
    </w:p>
    <w:p w14:paraId="705EFCD2" w14:textId="77777777" w:rsidR="00AE7191"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715FA9B" w14:textId="77777777" w:rsidR="00AE7191" w:rsidRPr="00722885" w:rsidRDefault="00AE7191" w:rsidP="00722885">
      <w:pPr>
        <w:pStyle w:val="Iauiue"/>
        <w:jc w:val="both"/>
        <w:rPr>
          <w:iCs/>
          <w:color w:val="000000" w:themeColor="text1"/>
          <w:sz w:val="16"/>
          <w:szCs w:val="16"/>
        </w:rPr>
      </w:pPr>
    </w:p>
    <w:p w14:paraId="1C155BC8" w14:textId="77777777" w:rsidR="00C02F5C" w:rsidRPr="00722885" w:rsidRDefault="00C02F5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сентября 1942 Командование воздушным транспортом ВВС США создает женскую вспомогательную перегонную эскадрилью (WAFS) - организацию, состоящую из гражданских женщин-пилотов, которые доставляют военные самолеты с заводов на аэродромы, чтобы освободить пилотов-мужчин для боевой службы (20793).</w:t>
      </w:r>
    </w:p>
    <w:p w14:paraId="7A6EDA73" w14:textId="77777777" w:rsidR="00C02F5C" w:rsidRPr="00722885" w:rsidRDefault="00C02F5C" w:rsidP="00722885">
      <w:pPr>
        <w:spacing w:after="0" w:line="240" w:lineRule="auto"/>
        <w:jc w:val="both"/>
        <w:rPr>
          <w:rFonts w:ascii="Times New Roman" w:hAnsi="Times New Roman"/>
          <w:color w:val="0070C0"/>
          <w:sz w:val="16"/>
          <w:szCs w:val="16"/>
        </w:rPr>
      </w:pPr>
    </w:p>
    <w:p w14:paraId="09BF62F8" w14:textId="77777777" w:rsidR="00C02F5C" w:rsidRPr="00722885" w:rsidRDefault="00C02F5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10–11 сентября (ночь) 1942 Командование бомбардировщиков Королевских ВВС использует "Pink Pansy" - индикатор цели, который мгновенно мигает розовым светом - впервые во время налета 479 бомбардировщиков на Дюссельдорф, Германия. Это самый успешный к тому времени рейд под руководством Pathfinder, но 33 бомбардировщика (6,9 процента) потеряны (20793).</w:t>
      </w:r>
    </w:p>
    <w:p w14:paraId="0E447ADF" w14:textId="77777777" w:rsidR="00C02F5C" w:rsidRPr="00722885" w:rsidRDefault="00C02F5C" w:rsidP="00722885">
      <w:pPr>
        <w:spacing w:after="0" w:line="240" w:lineRule="auto"/>
        <w:jc w:val="both"/>
        <w:rPr>
          <w:rFonts w:ascii="Times New Roman" w:hAnsi="Times New Roman"/>
          <w:color w:val="0070C0"/>
          <w:sz w:val="16"/>
          <w:szCs w:val="16"/>
        </w:rPr>
      </w:pPr>
    </w:p>
    <w:p w14:paraId="713BB897"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англичане сбросили 100000 бомб на Дюссельдорф (3481).</w:t>
      </w:r>
    </w:p>
    <w:p w14:paraId="1B25601C" w14:textId="77777777" w:rsidR="00AE7191" w:rsidRPr="00722885" w:rsidRDefault="00AE7191" w:rsidP="00722885">
      <w:pPr>
        <w:pStyle w:val="Iauiue"/>
        <w:jc w:val="both"/>
        <w:rPr>
          <w:color w:val="000000" w:themeColor="text1"/>
          <w:sz w:val="16"/>
          <w:szCs w:val="16"/>
        </w:rPr>
      </w:pPr>
    </w:p>
    <w:p w14:paraId="03E4D157"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сентября в 1942 году за один налет ВВС Великобритании сбрасывают 100 000 бомб на Дюссельдорф (14765).</w:t>
      </w:r>
    </w:p>
    <w:p w14:paraId="7C3FAECC" w14:textId="77777777" w:rsidR="00AE5727" w:rsidRPr="00722885" w:rsidRDefault="00AE5727" w:rsidP="00722885">
      <w:pPr>
        <w:spacing w:after="0" w:line="240" w:lineRule="auto"/>
        <w:jc w:val="both"/>
        <w:rPr>
          <w:rFonts w:ascii="Times New Roman" w:hAnsi="Times New Roman"/>
          <w:color w:val="000000" w:themeColor="text1"/>
          <w:sz w:val="16"/>
          <w:szCs w:val="16"/>
        </w:rPr>
      </w:pPr>
    </w:p>
    <w:p w14:paraId="3221D128"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сентября в 1942 году через оберлейтенанта Витцеля резидент абвера в Афганистане Рамат Кан передает в Берлин донесения о местоположении взлетно-посадочных полос в регионе (14765).</w:t>
      </w:r>
    </w:p>
    <w:p w14:paraId="5661A78C" w14:textId="77777777" w:rsidR="00AE5727" w:rsidRPr="00722885" w:rsidRDefault="00AE5727" w:rsidP="00722885">
      <w:pPr>
        <w:spacing w:after="0" w:line="240" w:lineRule="auto"/>
        <w:jc w:val="both"/>
        <w:rPr>
          <w:rFonts w:ascii="Times New Roman" w:hAnsi="Times New Roman"/>
          <w:color w:val="000000" w:themeColor="text1"/>
          <w:sz w:val="16"/>
          <w:szCs w:val="16"/>
        </w:rPr>
      </w:pPr>
    </w:p>
    <w:p w14:paraId="7B6592A7" w14:textId="77777777" w:rsidR="00AE7191" w:rsidRPr="00722885" w:rsidRDefault="00AE7191" w:rsidP="00722885">
      <w:pPr>
        <w:pStyle w:val="Iauiue"/>
        <w:tabs>
          <w:tab w:val="left" w:pos="11199"/>
        </w:tabs>
        <w:jc w:val="both"/>
        <w:rPr>
          <w:color w:val="000000" w:themeColor="text1"/>
          <w:sz w:val="16"/>
          <w:szCs w:val="16"/>
        </w:rPr>
      </w:pPr>
      <w:r w:rsidRPr="00722885">
        <w:rPr>
          <w:color w:val="000000" w:themeColor="text1"/>
          <w:sz w:val="16"/>
          <w:szCs w:val="16"/>
        </w:rPr>
        <w:t>10 сентября 1942 Черчилль предупредил, что он Англия будет использовать оружие для подавления антибританской деятельности Индийского Национального Конгресса (4962).</w:t>
      </w:r>
    </w:p>
    <w:p w14:paraId="02B806FC" w14:textId="77777777" w:rsidR="00AE7191" w:rsidRPr="00722885" w:rsidRDefault="00AE7191" w:rsidP="00722885">
      <w:pPr>
        <w:pStyle w:val="Iauiue"/>
        <w:tabs>
          <w:tab w:val="left" w:pos="11199"/>
        </w:tabs>
        <w:jc w:val="both"/>
        <w:rPr>
          <w:color w:val="000000" w:themeColor="text1"/>
          <w:sz w:val="16"/>
          <w:szCs w:val="16"/>
        </w:rPr>
      </w:pPr>
    </w:p>
    <w:p w14:paraId="68F09DD4" w14:textId="77777777" w:rsidR="00AE7191" w:rsidRPr="00722885" w:rsidRDefault="00AE7191" w:rsidP="00722885">
      <w:pPr>
        <w:pStyle w:val="Iauiue"/>
        <w:jc w:val="both"/>
        <w:rPr>
          <w:color w:val="000000" w:themeColor="text1"/>
          <w:sz w:val="16"/>
          <w:szCs w:val="16"/>
        </w:rPr>
      </w:pPr>
      <w:r w:rsidRPr="00722885">
        <w:rPr>
          <w:color w:val="000000" w:themeColor="text1"/>
          <w:sz w:val="16"/>
          <w:szCs w:val="16"/>
        </w:rPr>
        <w:t>10 сентября 1942 английские войска оккупировали Мадагаскар (2245,8).</w:t>
      </w:r>
    </w:p>
    <w:p w14:paraId="71E3B544" w14:textId="77777777" w:rsidR="00AE7191" w:rsidRPr="00722885" w:rsidRDefault="00AE7191" w:rsidP="00722885">
      <w:pPr>
        <w:pStyle w:val="Iauiue"/>
        <w:jc w:val="both"/>
        <w:rPr>
          <w:color w:val="000000" w:themeColor="text1"/>
          <w:sz w:val="16"/>
          <w:szCs w:val="16"/>
        </w:rPr>
      </w:pPr>
    </w:p>
    <w:p w14:paraId="47ADEE1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693898C" w14:textId="77777777" w:rsidR="00090C9B" w:rsidRPr="00722885" w:rsidRDefault="00090C9B" w:rsidP="00722885">
      <w:pPr>
        <w:pStyle w:val="Iauiue"/>
        <w:jc w:val="both"/>
        <w:rPr>
          <w:iCs/>
          <w:color w:val="000000" w:themeColor="text1"/>
          <w:sz w:val="16"/>
          <w:szCs w:val="16"/>
        </w:rPr>
      </w:pPr>
    </w:p>
    <w:p w14:paraId="40A5FD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11 сентября по 1 октября 1942 испытывался Ла-5 М-82 и выполнили 37 полетов (707).</w:t>
      </w:r>
    </w:p>
    <w:p w14:paraId="3AE8C857" w14:textId="77777777" w:rsidR="00090C9B" w:rsidRPr="00722885" w:rsidRDefault="00090C9B" w:rsidP="00722885">
      <w:pPr>
        <w:pStyle w:val="Iauiue"/>
        <w:jc w:val="both"/>
        <w:rPr>
          <w:color w:val="000000" w:themeColor="text1"/>
          <w:sz w:val="16"/>
          <w:szCs w:val="16"/>
        </w:rPr>
      </w:pPr>
    </w:p>
    <w:p w14:paraId="0F5A80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вышел приказ НКАП N 689с "О программе выпуска самолетов Як-7 на заводе 82 (Москва)" в исполнение постановления ГКО N 2281 от 9 сентября 1942:</w:t>
      </w:r>
    </w:p>
    <w:p w14:paraId="1DFDD9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И.о. нач. ПГУ Тихимирову и директору завода 82 Бугрову обеспечить выпуск самолетов Як-7 на заводе 82 в следующих количествах и сроки:</w:t>
      </w:r>
    </w:p>
    <w:p w14:paraId="2E7E65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в сентябре 3 в день из агрегатов завода 153</w:t>
      </w:r>
    </w:p>
    <w:p w14:paraId="4206F7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из деталей собственного производства завода 82: в октябре - по 2 в день, в ноябре - по 3, с 15 декабря - по 14 (1589,79).</w:t>
      </w:r>
    </w:p>
    <w:p w14:paraId="203F5987" w14:textId="77777777" w:rsidR="00090C9B" w:rsidRPr="00722885" w:rsidRDefault="00090C9B" w:rsidP="00722885">
      <w:pPr>
        <w:pStyle w:val="Iauiue"/>
        <w:jc w:val="both"/>
        <w:rPr>
          <w:color w:val="000000" w:themeColor="text1"/>
          <w:sz w:val="16"/>
          <w:szCs w:val="16"/>
        </w:rPr>
      </w:pPr>
    </w:p>
    <w:p w14:paraId="395A5A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сентября 1942 были закончены испытания мер, предложенных ЦАГИ для совершенствования аэродинамики Як-1 и их внедрение в серию на Як-1б задержалось. Оно началось с 15 ноября 1942 г. и проводилось тоже постепенно. Полностью процесс завершился примерно к 110-й серии.</w:t>
      </w:r>
    </w:p>
    <w:p w14:paraId="5A46EF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были проведены мероприятия по частичному облегчению конструкции серийных самолетов. По постановлению ГКО от 22 сентября 1942 г.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6E6580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46EEB2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9B487A" w:rsidRPr="00722885" w14:paraId="2B55559C" w14:textId="77777777" w:rsidTr="00CC5360">
        <w:tc>
          <w:tcPr>
            <w:tcW w:w="2802" w:type="dxa"/>
            <w:tcBorders>
              <w:top w:val="single" w:sz="12" w:space="0" w:color="auto"/>
            </w:tcBorders>
          </w:tcPr>
          <w:p w14:paraId="4E4FB1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данные</w:t>
            </w:r>
          </w:p>
        </w:tc>
        <w:tc>
          <w:tcPr>
            <w:tcW w:w="2802" w:type="dxa"/>
            <w:tcBorders>
              <w:top w:val="single" w:sz="12" w:space="0" w:color="auto"/>
            </w:tcBorders>
          </w:tcPr>
          <w:p w14:paraId="625796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2898</w:t>
            </w:r>
          </w:p>
        </w:tc>
        <w:tc>
          <w:tcPr>
            <w:tcW w:w="2802" w:type="dxa"/>
            <w:tcBorders>
              <w:top w:val="single" w:sz="12" w:space="0" w:color="auto"/>
            </w:tcBorders>
          </w:tcPr>
          <w:p w14:paraId="553CDF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1B4B1A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1699</w:t>
            </w:r>
          </w:p>
        </w:tc>
      </w:tr>
      <w:tr w:rsidR="009B487A" w:rsidRPr="00722885" w14:paraId="1156F749" w14:textId="77777777" w:rsidTr="00CC5360">
        <w:tc>
          <w:tcPr>
            <w:tcW w:w="2802" w:type="dxa"/>
          </w:tcPr>
          <w:p w14:paraId="03C215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кг</w:t>
            </w:r>
          </w:p>
        </w:tc>
        <w:tc>
          <w:tcPr>
            <w:tcW w:w="2802" w:type="dxa"/>
          </w:tcPr>
          <w:p w14:paraId="47B1ED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2940</w:t>
            </w:r>
          </w:p>
        </w:tc>
        <w:tc>
          <w:tcPr>
            <w:tcW w:w="2802" w:type="dxa"/>
          </w:tcPr>
          <w:p w14:paraId="0FE7B5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2780</w:t>
            </w:r>
          </w:p>
        </w:tc>
        <w:tc>
          <w:tcPr>
            <w:tcW w:w="2802" w:type="dxa"/>
          </w:tcPr>
          <w:p w14:paraId="47187B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2920</w:t>
            </w:r>
          </w:p>
        </w:tc>
      </w:tr>
      <w:tr w:rsidR="009B487A" w:rsidRPr="00722885" w14:paraId="5821A73B" w14:textId="77777777" w:rsidTr="00CC5360">
        <w:tc>
          <w:tcPr>
            <w:tcW w:w="2802" w:type="dxa"/>
          </w:tcPr>
          <w:p w14:paraId="50596A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км/ч у земли</w:t>
            </w:r>
          </w:p>
        </w:tc>
        <w:tc>
          <w:tcPr>
            <w:tcW w:w="2802" w:type="dxa"/>
          </w:tcPr>
          <w:p w14:paraId="114D5A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516</w:t>
            </w:r>
          </w:p>
        </w:tc>
        <w:tc>
          <w:tcPr>
            <w:tcW w:w="2802" w:type="dxa"/>
          </w:tcPr>
          <w:p w14:paraId="5FA571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526</w:t>
            </w:r>
          </w:p>
        </w:tc>
        <w:tc>
          <w:tcPr>
            <w:tcW w:w="2802" w:type="dxa"/>
          </w:tcPr>
          <w:p w14:paraId="69074C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524</w:t>
            </w:r>
          </w:p>
        </w:tc>
      </w:tr>
      <w:tr w:rsidR="009B487A" w:rsidRPr="00722885" w14:paraId="1827EE80" w14:textId="77777777" w:rsidTr="00CC5360">
        <w:tc>
          <w:tcPr>
            <w:tcW w:w="2802" w:type="dxa"/>
          </w:tcPr>
          <w:p w14:paraId="1E195F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4E6016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566</w:t>
            </w:r>
          </w:p>
        </w:tc>
        <w:tc>
          <w:tcPr>
            <w:tcW w:w="2802" w:type="dxa"/>
          </w:tcPr>
          <w:p w14:paraId="5744FB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586</w:t>
            </w:r>
          </w:p>
        </w:tc>
        <w:tc>
          <w:tcPr>
            <w:tcW w:w="2802" w:type="dxa"/>
          </w:tcPr>
          <w:p w14:paraId="0C7C50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584</w:t>
            </w:r>
          </w:p>
        </w:tc>
      </w:tr>
      <w:tr w:rsidR="009B487A" w:rsidRPr="00722885" w14:paraId="5F908072" w14:textId="77777777" w:rsidTr="00CC5360">
        <w:tc>
          <w:tcPr>
            <w:tcW w:w="2802" w:type="dxa"/>
          </w:tcPr>
          <w:p w14:paraId="4EF575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39A3B0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569</w:t>
            </w:r>
          </w:p>
        </w:tc>
        <w:tc>
          <w:tcPr>
            <w:tcW w:w="2802" w:type="dxa"/>
          </w:tcPr>
          <w:p w14:paraId="57C257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592</w:t>
            </w:r>
          </w:p>
        </w:tc>
        <w:tc>
          <w:tcPr>
            <w:tcW w:w="2802" w:type="dxa"/>
          </w:tcPr>
          <w:p w14:paraId="559C12F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DF5D41C" w14:textId="77777777" w:rsidTr="00CC5360">
        <w:tc>
          <w:tcPr>
            <w:tcW w:w="2802" w:type="dxa"/>
            <w:tcBorders>
              <w:bottom w:val="single" w:sz="12" w:space="0" w:color="auto"/>
            </w:tcBorders>
          </w:tcPr>
          <w:p w14:paraId="459C72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1DEBFC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w:t>
            </w:r>
          </w:p>
        </w:tc>
        <w:tc>
          <w:tcPr>
            <w:tcW w:w="2802" w:type="dxa"/>
            <w:tcBorders>
              <w:bottom w:val="single" w:sz="12" w:space="0" w:color="auto"/>
            </w:tcBorders>
          </w:tcPr>
          <w:p w14:paraId="013754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2802" w:type="dxa"/>
            <w:tcBorders>
              <w:bottom w:val="single" w:sz="12" w:space="0" w:color="auto"/>
            </w:tcBorders>
          </w:tcPr>
          <w:p w14:paraId="42BBE9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r>
    </w:tbl>
    <w:p w14:paraId="1AD704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45CAC9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0F90656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18EB3D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вышел приказ НКАП № 690сс:</w:t>
      </w:r>
    </w:p>
    <w:p w14:paraId="4A9581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 производстве с-тов УТ-2 с М-11 на з-де 600</w:t>
      </w:r>
    </w:p>
    <w:p w14:paraId="648AF3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исполнение постановления ГКО от 9 сентября 1942 за № 2284сс:</w:t>
      </w:r>
    </w:p>
    <w:p w14:paraId="41AB304A" w14:textId="77777777" w:rsidR="00090C9B" w:rsidRPr="00722885" w:rsidRDefault="00090C9B" w:rsidP="00722885">
      <w:pPr>
        <w:pStyle w:val="Iauiue"/>
        <w:numPr>
          <w:ilvl w:val="0"/>
          <w:numId w:val="9"/>
        </w:numPr>
        <w:ind w:left="0" w:firstLine="0"/>
        <w:jc w:val="both"/>
        <w:rPr>
          <w:color w:val="000000" w:themeColor="text1"/>
          <w:sz w:val="16"/>
          <w:szCs w:val="16"/>
        </w:rPr>
      </w:pPr>
      <w:r w:rsidRPr="00722885">
        <w:rPr>
          <w:color w:val="000000" w:themeColor="text1"/>
          <w:sz w:val="16"/>
          <w:szCs w:val="16"/>
        </w:rPr>
        <w:t>И.о. нач. ПГУ Шиц и д-ру з-да 600 Еськову организовать на з-де 600 пр-во с-тов УТ-2 с М-11, оборудованных двумя мешками для бомб по 50 кг и 6-ю балками РО-82, обеспечив выпуск их в 1942 в количестве 100 ед.</w:t>
      </w:r>
    </w:p>
    <w:p w14:paraId="5F685DB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Шахурин (1589, 85).</w:t>
      </w:r>
    </w:p>
    <w:p w14:paraId="41E0700D" w14:textId="77777777" w:rsidR="00090C9B" w:rsidRPr="00722885" w:rsidRDefault="00090C9B" w:rsidP="00722885">
      <w:pPr>
        <w:pStyle w:val="Iauiue"/>
        <w:jc w:val="both"/>
        <w:rPr>
          <w:color w:val="000000" w:themeColor="text1"/>
          <w:sz w:val="16"/>
          <w:szCs w:val="16"/>
        </w:rPr>
      </w:pPr>
    </w:p>
    <w:p w14:paraId="5A3787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вышел приказ НКАП N 690с "О производстве самолетов УТ-2 с М-11 на заводе 600" в исполнение постановления ГКО N 2284сс от 9 сентября 1942:</w:t>
      </w:r>
    </w:p>
    <w:p w14:paraId="1F561F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И.о. нач. ПГУ Шиц и директору завода 600 Еськову организовать на заводе 600 производство самолетов УТ-2 с М-11, оборудованных двумя замками для бомб по 50 кг и 6 РО-82, обеспечив выпуск их в 1942 в количестве 100 ед. (1589,85).</w:t>
      </w:r>
    </w:p>
    <w:p w14:paraId="45F40DF9" w14:textId="77777777" w:rsidR="00090C9B" w:rsidRPr="00722885" w:rsidRDefault="00090C9B" w:rsidP="00722885">
      <w:pPr>
        <w:pStyle w:val="Iauiue"/>
        <w:jc w:val="both"/>
        <w:rPr>
          <w:color w:val="000000" w:themeColor="text1"/>
          <w:sz w:val="16"/>
          <w:szCs w:val="16"/>
        </w:rPr>
      </w:pPr>
    </w:p>
    <w:p w14:paraId="3EC8E8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года начальник НИИ ВВС генерал-майор инженерно-авиационной службы Лосюков и начальник ЦАГИ профессор Шишкин писали письмо N Н-20/3644 Сталину.</w:t>
      </w:r>
    </w:p>
    <w:p w14:paraId="3C79C4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Докладываем заключение комиссии по транспортному самолету с двумя моторами М-11Ф, конструкции Яковлева.</w:t>
      </w:r>
    </w:p>
    <w:p w14:paraId="26662E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прост в производстве и эксплуатации, дешев, не требует высококачественного горючего, может быть использован как: транспортный, санитарный, связной, ночной, ближний бомбардировщик.</w:t>
      </w:r>
    </w:p>
    <w:p w14:paraId="3918C8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Он может быть рекомендован для серийного производства и принятия на вооружение ВВС при условии проведения следующих доводок:</w:t>
      </w:r>
    </w:p>
    <w:p w14:paraId="06DE73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Улучшение поперечной устойчивости,</w:t>
      </w:r>
    </w:p>
    <w:p w14:paraId="1F14A9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Увеличение нагрузок на рули,</w:t>
      </w:r>
    </w:p>
    <w:p w14:paraId="76B6446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Улучшение обзора вперед на рулежке и набора высоты,</w:t>
      </w:r>
    </w:p>
    <w:p w14:paraId="496AD4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Введение разъемного крыла,</w:t>
      </w:r>
    </w:p>
    <w:p w14:paraId="227264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Доводка кабины для ночных полетов.</w:t>
      </w:r>
    </w:p>
    <w:p w14:paraId="1988A2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Указанные доводки легко осуществимы и должны быть произведены с первого серийного самолета.</w:t>
      </w:r>
    </w:p>
    <w:p w14:paraId="29D2FA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Комиссия в составе - начальника НИИ ВВС генерал-майора инженерно-авиационной службы Лосюкова П.А. (председатель), нач. ЦАГИ НКАП доктора технических наук профессора Шишкина С.Н., пом. нач. НИИ ВВС - полковника Кабанова А.И. и летчика-испытателя ЛИИ НКАП Шиянова, назначенная постановлением ГОКО N 2247сс от 6 сентября 1942 года, организовала в НИИ ВВС облет самолета конструкции Яковлева А.С. с двумя моторами М-11Ф, предъявленного в варианте транспортного самолета.</w:t>
      </w:r>
    </w:p>
    <w:p w14:paraId="1DD8A4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Постановлением ГОКО N 1664сс от 26.4.42 г. самолет задан как ночной ближний бомбардировщик с бомбовой нагрузкой 500 кг. Первый экземпляр самолета, построенный в транспортном варианте, представляет собой моноплан, выполненный целиком из дерева, за исключением шасси и моторных рам, последние взяты целиком с серийно-строящегося самолета УТ-2.</w:t>
      </w:r>
    </w:p>
    <w:p w14:paraId="1B2C99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производстве самолет прост и дешев.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78"/>
        <w:gridCol w:w="1736"/>
      </w:tblGrid>
      <w:tr w:rsidR="009B487A" w:rsidRPr="00722885" w14:paraId="5110AD07" w14:textId="77777777" w:rsidTr="00CC5360">
        <w:tc>
          <w:tcPr>
            <w:tcW w:w="5778" w:type="dxa"/>
            <w:tcBorders>
              <w:top w:val="single" w:sz="12" w:space="0" w:color="auto"/>
            </w:tcBorders>
          </w:tcPr>
          <w:p w14:paraId="18F653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Вес пустого самолета</w:t>
            </w:r>
          </w:p>
        </w:tc>
        <w:tc>
          <w:tcPr>
            <w:tcW w:w="1736" w:type="dxa"/>
            <w:tcBorders>
              <w:top w:val="single" w:sz="12" w:space="0" w:color="auto"/>
            </w:tcBorders>
          </w:tcPr>
          <w:p w14:paraId="3CE24F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1370 кг</w:t>
            </w:r>
          </w:p>
        </w:tc>
      </w:tr>
      <w:tr w:rsidR="009B487A" w:rsidRPr="00722885" w14:paraId="04A20593" w14:textId="77777777" w:rsidTr="00CC5360">
        <w:tc>
          <w:tcPr>
            <w:tcW w:w="5778" w:type="dxa"/>
          </w:tcPr>
          <w:p w14:paraId="07CAC2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вес</w:t>
            </w:r>
          </w:p>
        </w:tc>
        <w:tc>
          <w:tcPr>
            <w:tcW w:w="1736" w:type="dxa"/>
          </w:tcPr>
          <w:p w14:paraId="08A6DE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2350 кг</w:t>
            </w:r>
          </w:p>
        </w:tc>
      </w:tr>
      <w:tr w:rsidR="009B487A" w:rsidRPr="00722885" w14:paraId="0263A63F" w14:textId="77777777" w:rsidTr="00CC5360">
        <w:tc>
          <w:tcPr>
            <w:tcW w:w="5778" w:type="dxa"/>
          </w:tcPr>
          <w:p w14:paraId="56BC92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Таким образом полезная нагрузка самолета равна 980 кг и состоит из:</w:t>
            </w:r>
          </w:p>
        </w:tc>
        <w:tc>
          <w:tcPr>
            <w:tcW w:w="1736" w:type="dxa"/>
          </w:tcPr>
          <w:p w14:paraId="1B435D6C" w14:textId="77777777" w:rsidR="00090C9B" w:rsidRPr="00722885" w:rsidRDefault="00090C9B" w:rsidP="00722885">
            <w:pPr>
              <w:pStyle w:val="Iauiue"/>
              <w:jc w:val="both"/>
              <w:rPr>
                <w:color w:val="000000" w:themeColor="text1"/>
                <w:sz w:val="16"/>
                <w:szCs w:val="16"/>
              </w:rPr>
            </w:pPr>
          </w:p>
        </w:tc>
      </w:tr>
      <w:tr w:rsidR="009B487A" w:rsidRPr="00722885" w14:paraId="5E84FE5B" w14:textId="77777777" w:rsidTr="00CC5360">
        <w:tc>
          <w:tcPr>
            <w:tcW w:w="5778" w:type="dxa"/>
          </w:tcPr>
          <w:p w14:paraId="43ED60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Экипажа 2 человека</w:t>
            </w:r>
          </w:p>
        </w:tc>
        <w:tc>
          <w:tcPr>
            <w:tcW w:w="1736" w:type="dxa"/>
          </w:tcPr>
          <w:p w14:paraId="04918A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180 кг</w:t>
            </w:r>
          </w:p>
        </w:tc>
      </w:tr>
      <w:tr w:rsidR="009B487A" w:rsidRPr="00722885" w14:paraId="7C3A0FFD" w14:textId="77777777" w:rsidTr="00CC5360">
        <w:tc>
          <w:tcPr>
            <w:tcW w:w="5778" w:type="dxa"/>
          </w:tcPr>
          <w:p w14:paraId="2F1EC6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Горючего и смазочного</w:t>
            </w:r>
          </w:p>
        </w:tc>
        <w:tc>
          <w:tcPr>
            <w:tcW w:w="1736" w:type="dxa"/>
          </w:tcPr>
          <w:p w14:paraId="4AB77C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300 кг</w:t>
            </w:r>
          </w:p>
        </w:tc>
      </w:tr>
      <w:tr w:rsidR="009B487A" w:rsidRPr="00722885" w14:paraId="164A1D00" w14:textId="77777777" w:rsidTr="00CC5360">
        <w:tc>
          <w:tcPr>
            <w:tcW w:w="5778" w:type="dxa"/>
          </w:tcPr>
          <w:p w14:paraId="5A8464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Груза</w:t>
            </w:r>
          </w:p>
        </w:tc>
        <w:tc>
          <w:tcPr>
            <w:tcW w:w="1736" w:type="dxa"/>
          </w:tcPr>
          <w:p w14:paraId="240607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500 кг</w:t>
            </w:r>
          </w:p>
        </w:tc>
      </w:tr>
      <w:tr w:rsidR="009B487A" w:rsidRPr="00722885" w14:paraId="7031F7B3" w14:textId="77777777" w:rsidTr="00CC5360">
        <w:tc>
          <w:tcPr>
            <w:tcW w:w="5778" w:type="dxa"/>
            <w:tcBorders>
              <w:bottom w:val="single" w:sz="12" w:space="0" w:color="auto"/>
            </w:tcBorders>
          </w:tcPr>
          <w:p w14:paraId="34474C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w:t>
            </w:r>
          </w:p>
        </w:tc>
        <w:tc>
          <w:tcPr>
            <w:tcW w:w="1736" w:type="dxa"/>
            <w:tcBorders>
              <w:bottom w:val="single" w:sz="12" w:space="0" w:color="auto"/>
            </w:tcBorders>
          </w:tcPr>
          <w:p w14:paraId="2E438A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980 кг</w:t>
            </w:r>
          </w:p>
        </w:tc>
      </w:tr>
    </w:tbl>
    <w:p w14:paraId="47F884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перегрузочном варианте полезная нагрузка может быть доведена до 1130 кг, что позволяет как прочность самолета, так и его взлетные данные.</w:t>
      </w:r>
    </w:p>
    <w:p w14:paraId="24026F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Самолет облетало 14 летчиков НИИ ВВС, ЛИИ НКАП и строевых частей.</w:t>
      </w:r>
    </w:p>
    <w:p w14:paraId="0C8D2C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основе оценок следует, что самолет в пилотировании прост, доступен для широкой массы, даже малоквалифицированных начинающих летчиков. Самолет требует незначительных размеров летного поля и может быть использован на случайных площадках.</w:t>
      </w:r>
    </w:p>
    <w:p w14:paraId="1EDF84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Из недостатков при облете отмечены: недоведенность поперечной устойчивости и излишне малые нагрузки рулей, особенно на малых скоростях, а также желательность улучшения обзора вперед.</w:t>
      </w:r>
    </w:p>
    <w:p w14:paraId="7FE643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Указанные недостатки легко устранимы.</w:t>
      </w:r>
    </w:p>
    <w:p w14:paraId="3FBEED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При обследовании возможности полетов ночью установлено, что самолет требует ряда доводок:</w:t>
      </w:r>
    </w:p>
    <w:p w14:paraId="1AA78D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Изменения освещения кабины.</w:t>
      </w:r>
    </w:p>
    <w:p w14:paraId="28FE4A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Установки выхлопных коллекторов.</w:t>
      </w:r>
    </w:p>
    <w:p w14:paraId="3E76F7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Установки авиагоризонта.</w:t>
      </w:r>
    </w:p>
    <w:p w14:paraId="74FBE1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Самолет прост в эксплуатации, не требует высокой квалификации техсостава.</w:t>
      </w:r>
    </w:p>
    <w:p w14:paraId="7E1838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еще большего упрощения эксплуатации следует крыло самолета делать разъемным, что одновременно позволит сдвинуть центровку самолета вперед для обеспечения более полного использования грузовой кабины.</w:t>
      </w:r>
    </w:p>
    <w:p w14:paraId="023ECDF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Выводы</w:t>
      </w:r>
    </w:p>
    <w:p w14:paraId="3E6F8A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прост в производстве и эксплуатации. Дешев, не требует высококачественного горючего, может быть использован для многих целей (транспортный, санитарный, связной, ночной ближний бомбардировщик), а поэтому может быть рекомендован для серийного производства с устранением дефектов, отмеченных комиссией в данном заключении.</w:t>
      </w:r>
    </w:p>
    <w:p w14:paraId="581FD0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года ведущий инженер Синельников.</w:t>
      </w:r>
    </w:p>
    <w:p w14:paraId="57A1A8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Основные данные самолета</w:t>
      </w:r>
    </w:p>
    <w:p w14:paraId="6FC40C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полетным весом 2350 кг (2 человека экипаж, груз 500 кг, полный запас горючего и смазочного).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204"/>
        <w:gridCol w:w="708"/>
        <w:gridCol w:w="3686"/>
      </w:tblGrid>
      <w:tr w:rsidR="009B487A" w:rsidRPr="00722885" w14:paraId="4B4162E8" w14:textId="77777777" w:rsidTr="00CC5360">
        <w:tc>
          <w:tcPr>
            <w:tcW w:w="6204" w:type="dxa"/>
            <w:tcBorders>
              <w:top w:val="single" w:sz="12" w:space="0" w:color="auto"/>
            </w:tcBorders>
          </w:tcPr>
          <w:p w14:paraId="4F1D0D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Максимальные скорости.</w:t>
            </w:r>
          </w:p>
        </w:tc>
        <w:tc>
          <w:tcPr>
            <w:tcW w:w="708" w:type="dxa"/>
            <w:tcBorders>
              <w:top w:val="single" w:sz="12" w:space="0" w:color="auto"/>
            </w:tcBorders>
          </w:tcPr>
          <w:p w14:paraId="288F936D" w14:textId="77777777" w:rsidR="00090C9B" w:rsidRPr="00722885" w:rsidRDefault="00090C9B" w:rsidP="00722885">
            <w:pPr>
              <w:pStyle w:val="Iauiue"/>
              <w:jc w:val="both"/>
              <w:rPr>
                <w:color w:val="000000" w:themeColor="text1"/>
                <w:sz w:val="16"/>
                <w:szCs w:val="16"/>
              </w:rPr>
            </w:pPr>
          </w:p>
        </w:tc>
        <w:tc>
          <w:tcPr>
            <w:tcW w:w="3686" w:type="dxa"/>
            <w:tcBorders>
              <w:top w:val="single" w:sz="12" w:space="0" w:color="auto"/>
            </w:tcBorders>
          </w:tcPr>
          <w:p w14:paraId="27177DCA" w14:textId="77777777" w:rsidR="00090C9B" w:rsidRPr="00722885" w:rsidRDefault="00090C9B" w:rsidP="00722885">
            <w:pPr>
              <w:pStyle w:val="Iauiue"/>
              <w:jc w:val="both"/>
              <w:rPr>
                <w:color w:val="000000" w:themeColor="text1"/>
                <w:sz w:val="16"/>
                <w:szCs w:val="16"/>
              </w:rPr>
            </w:pPr>
          </w:p>
        </w:tc>
      </w:tr>
      <w:tr w:rsidR="009B487A" w:rsidRPr="00722885" w14:paraId="05607E7A" w14:textId="77777777" w:rsidTr="00CC5360">
        <w:tc>
          <w:tcPr>
            <w:tcW w:w="6204" w:type="dxa"/>
          </w:tcPr>
          <w:p w14:paraId="267C44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 земли</w:t>
            </w:r>
          </w:p>
        </w:tc>
        <w:tc>
          <w:tcPr>
            <w:tcW w:w="708" w:type="dxa"/>
          </w:tcPr>
          <w:p w14:paraId="086799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183 км/час</w:t>
            </w:r>
          </w:p>
        </w:tc>
        <w:tc>
          <w:tcPr>
            <w:tcW w:w="3686" w:type="dxa"/>
          </w:tcPr>
          <w:p w14:paraId="096867BD" w14:textId="77777777" w:rsidR="00090C9B" w:rsidRPr="00722885" w:rsidRDefault="00090C9B" w:rsidP="00722885">
            <w:pPr>
              <w:pStyle w:val="Iauiue"/>
              <w:jc w:val="both"/>
              <w:rPr>
                <w:color w:val="000000" w:themeColor="text1"/>
                <w:sz w:val="16"/>
                <w:szCs w:val="16"/>
              </w:rPr>
            </w:pPr>
          </w:p>
        </w:tc>
      </w:tr>
      <w:tr w:rsidR="009B487A" w:rsidRPr="00722885" w14:paraId="6B4B80F3" w14:textId="77777777" w:rsidTr="00CC5360">
        <w:tc>
          <w:tcPr>
            <w:tcW w:w="6204" w:type="dxa"/>
          </w:tcPr>
          <w:p w14:paraId="61E0C6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высоте 500 м</w:t>
            </w:r>
          </w:p>
        </w:tc>
        <w:tc>
          <w:tcPr>
            <w:tcW w:w="708" w:type="dxa"/>
          </w:tcPr>
          <w:p w14:paraId="0726D8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181 км/час</w:t>
            </w:r>
          </w:p>
        </w:tc>
        <w:tc>
          <w:tcPr>
            <w:tcW w:w="3686" w:type="dxa"/>
          </w:tcPr>
          <w:p w14:paraId="785B8D5F" w14:textId="77777777" w:rsidR="00090C9B" w:rsidRPr="00722885" w:rsidRDefault="00090C9B" w:rsidP="00722885">
            <w:pPr>
              <w:pStyle w:val="Iauiue"/>
              <w:jc w:val="both"/>
              <w:rPr>
                <w:color w:val="000000" w:themeColor="text1"/>
                <w:sz w:val="16"/>
                <w:szCs w:val="16"/>
              </w:rPr>
            </w:pPr>
          </w:p>
        </w:tc>
      </w:tr>
      <w:tr w:rsidR="009B487A" w:rsidRPr="00722885" w14:paraId="237CF58C" w14:textId="77777777" w:rsidTr="00CC5360">
        <w:tc>
          <w:tcPr>
            <w:tcW w:w="6204" w:type="dxa"/>
          </w:tcPr>
          <w:p w14:paraId="4A9EEBD4" w14:textId="77777777" w:rsidR="00090C9B" w:rsidRPr="00722885" w:rsidRDefault="00090C9B" w:rsidP="00722885">
            <w:pPr>
              <w:pStyle w:val="Iauiue"/>
              <w:jc w:val="both"/>
              <w:rPr>
                <w:color w:val="000000" w:themeColor="text1"/>
                <w:sz w:val="16"/>
                <w:szCs w:val="16"/>
              </w:rPr>
            </w:pPr>
          </w:p>
        </w:tc>
        <w:tc>
          <w:tcPr>
            <w:tcW w:w="708" w:type="dxa"/>
          </w:tcPr>
          <w:p w14:paraId="4DCA00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1000 м</w:t>
            </w:r>
          </w:p>
        </w:tc>
        <w:tc>
          <w:tcPr>
            <w:tcW w:w="3686" w:type="dxa"/>
          </w:tcPr>
          <w:p w14:paraId="5972C8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178 км/час</w:t>
            </w:r>
          </w:p>
        </w:tc>
      </w:tr>
      <w:tr w:rsidR="009B487A" w:rsidRPr="00722885" w14:paraId="36044744" w14:textId="77777777" w:rsidTr="00CC5360">
        <w:tc>
          <w:tcPr>
            <w:tcW w:w="6204" w:type="dxa"/>
          </w:tcPr>
          <w:p w14:paraId="0BE4AE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Примечание: Максимальные скорости снимались при оборотах мотора 1900 об/мин.</w:t>
            </w:r>
          </w:p>
        </w:tc>
        <w:tc>
          <w:tcPr>
            <w:tcW w:w="708" w:type="dxa"/>
          </w:tcPr>
          <w:p w14:paraId="5F18E88F" w14:textId="77777777" w:rsidR="00090C9B" w:rsidRPr="00722885" w:rsidRDefault="00090C9B" w:rsidP="00722885">
            <w:pPr>
              <w:pStyle w:val="Iauiue"/>
              <w:jc w:val="both"/>
              <w:rPr>
                <w:color w:val="000000" w:themeColor="text1"/>
                <w:sz w:val="16"/>
                <w:szCs w:val="16"/>
              </w:rPr>
            </w:pPr>
          </w:p>
        </w:tc>
        <w:tc>
          <w:tcPr>
            <w:tcW w:w="3686" w:type="dxa"/>
          </w:tcPr>
          <w:p w14:paraId="599EA3F1" w14:textId="77777777" w:rsidR="00090C9B" w:rsidRPr="00722885" w:rsidRDefault="00090C9B" w:rsidP="00722885">
            <w:pPr>
              <w:pStyle w:val="Iauiue"/>
              <w:jc w:val="both"/>
              <w:rPr>
                <w:color w:val="000000" w:themeColor="text1"/>
                <w:sz w:val="16"/>
                <w:szCs w:val="16"/>
              </w:rPr>
            </w:pPr>
          </w:p>
        </w:tc>
      </w:tr>
      <w:tr w:rsidR="009B487A" w:rsidRPr="00722885" w14:paraId="5F7FB8D8" w14:textId="77777777" w:rsidTr="00CC5360">
        <w:tc>
          <w:tcPr>
            <w:tcW w:w="6204" w:type="dxa"/>
          </w:tcPr>
          <w:p w14:paraId="5D2ED9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Скороподъемность.</w:t>
            </w:r>
          </w:p>
        </w:tc>
        <w:tc>
          <w:tcPr>
            <w:tcW w:w="708" w:type="dxa"/>
          </w:tcPr>
          <w:p w14:paraId="694A2116" w14:textId="77777777" w:rsidR="00090C9B" w:rsidRPr="00722885" w:rsidRDefault="00090C9B" w:rsidP="00722885">
            <w:pPr>
              <w:pStyle w:val="Iauiue"/>
              <w:jc w:val="both"/>
              <w:rPr>
                <w:color w:val="000000" w:themeColor="text1"/>
                <w:sz w:val="16"/>
                <w:szCs w:val="16"/>
              </w:rPr>
            </w:pPr>
          </w:p>
        </w:tc>
        <w:tc>
          <w:tcPr>
            <w:tcW w:w="3686" w:type="dxa"/>
          </w:tcPr>
          <w:p w14:paraId="5BE446DF" w14:textId="77777777" w:rsidR="00090C9B" w:rsidRPr="00722885" w:rsidRDefault="00090C9B" w:rsidP="00722885">
            <w:pPr>
              <w:pStyle w:val="Iauiue"/>
              <w:jc w:val="both"/>
              <w:rPr>
                <w:color w:val="000000" w:themeColor="text1"/>
                <w:sz w:val="16"/>
                <w:szCs w:val="16"/>
              </w:rPr>
            </w:pPr>
          </w:p>
        </w:tc>
      </w:tr>
      <w:tr w:rsidR="009B487A" w:rsidRPr="00722885" w14:paraId="430E5632" w14:textId="77777777" w:rsidTr="00CC5360">
        <w:tc>
          <w:tcPr>
            <w:tcW w:w="6204" w:type="dxa"/>
          </w:tcPr>
          <w:p w14:paraId="41E31C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набора</w:t>
            </w:r>
          </w:p>
        </w:tc>
        <w:tc>
          <w:tcPr>
            <w:tcW w:w="708" w:type="dxa"/>
          </w:tcPr>
          <w:p w14:paraId="40CA03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500 м</w:t>
            </w:r>
          </w:p>
        </w:tc>
        <w:tc>
          <w:tcPr>
            <w:tcW w:w="3686" w:type="dxa"/>
          </w:tcPr>
          <w:p w14:paraId="20ED1A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4,3 мин.</w:t>
            </w:r>
          </w:p>
        </w:tc>
      </w:tr>
      <w:tr w:rsidR="009B487A" w:rsidRPr="00722885" w14:paraId="6D13FF5A" w14:textId="77777777" w:rsidTr="00CC5360">
        <w:tc>
          <w:tcPr>
            <w:tcW w:w="6204" w:type="dxa"/>
          </w:tcPr>
          <w:p w14:paraId="180D8958" w14:textId="77777777" w:rsidR="00090C9B" w:rsidRPr="00722885" w:rsidRDefault="00090C9B" w:rsidP="00722885">
            <w:pPr>
              <w:pStyle w:val="Iauiue"/>
              <w:jc w:val="both"/>
              <w:rPr>
                <w:color w:val="000000" w:themeColor="text1"/>
                <w:sz w:val="16"/>
                <w:szCs w:val="16"/>
              </w:rPr>
            </w:pPr>
          </w:p>
        </w:tc>
        <w:tc>
          <w:tcPr>
            <w:tcW w:w="708" w:type="dxa"/>
          </w:tcPr>
          <w:p w14:paraId="5A5AAB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1000 м</w:t>
            </w:r>
          </w:p>
        </w:tc>
        <w:tc>
          <w:tcPr>
            <w:tcW w:w="3686" w:type="dxa"/>
          </w:tcPr>
          <w:p w14:paraId="638129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9,5 мин.</w:t>
            </w:r>
          </w:p>
        </w:tc>
      </w:tr>
      <w:tr w:rsidR="009B487A" w:rsidRPr="00722885" w14:paraId="7D0B7643" w14:textId="77777777" w:rsidTr="00CC5360">
        <w:tc>
          <w:tcPr>
            <w:tcW w:w="6204" w:type="dxa"/>
          </w:tcPr>
          <w:p w14:paraId="3337FF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Примечание: По причине отсутствия высотной погоды при облете самолета полеты выше 1000 м не производились. По данным заводских испытаний при полете с полетным весом 2300 кг практический потолок самолета 4700 м, время набора практического потолока 38 минут.</w:t>
            </w:r>
          </w:p>
        </w:tc>
        <w:tc>
          <w:tcPr>
            <w:tcW w:w="708" w:type="dxa"/>
          </w:tcPr>
          <w:p w14:paraId="064464E5" w14:textId="77777777" w:rsidR="00090C9B" w:rsidRPr="00722885" w:rsidRDefault="00090C9B" w:rsidP="00722885">
            <w:pPr>
              <w:pStyle w:val="Iauiue"/>
              <w:jc w:val="both"/>
              <w:rPr>
                <w:color w:val="000000" w:themeColor="text1"/>
                <w:sz w:val="16"/>
                <w:szCs w:val="16"/>
              </w:rPr>
            </w:pPr>
          </w:p>
        </w:tc>
        <w:tc>
          <w:tcPr>
            <w:tcW w:w="3686" w:type="dxa"/>
          </w:tcPr>
          <w:p w14:paraId="08DF63FC" w14:textId="77777777" w:rsidR="00090C9B" w:rsidRPr="00722885" w:rsidRDefault="00090C9B" w:rsidP="00722885">
            <w:pPr>
              <w:pStyle w:val="Iauiue"/>
              <w:jc w:val="both"/>
              <w:rPr>
                <w:color w:val="000000" w:themeColor="text1"/>
                <w:sz w:val="16"/>
                <w:szCs w:val="16"/>
              </w:rPr>
            </w:pPr>
          </w:p>
        </w:tc>
      </w:tr>
      <w:tr w:rsidR="009B487A" w:rsidRPr="00722885" w14:paraId="7CCA162F" w14:textId="77777777" w:rsidTr="00CC5360">
        <w:tc>
          <w:tcPr>
            <w:tcW w:w="6204" w:type="dxa"/>
          </w:tcPr>
          <w:p w14:paraId="3BC4DF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Взлетно-посадочные свойства.</w:t>
            </w:r>
          </w:p>
        </w:tc>
        <w:tc>
          <w:tcPr>
            <w:tcW w:w="708" w:type="dxa"/>
          </w:tcPr>
          <w:p w14:paraId="0AC3DD90" w14:textId="77777777" w:rsidR="00090C9B" w:rsidRPr="00722885" w:rsidRDefault="00090C9B" w:rsidP="00722885">
            <w:pPr>
              <w:pStyle w:val="Iauiue"/>
              <w:jc w:val="both"/>
              <w:rPr>
                <w:color w:val="000000" w:themeColor="text1"/>
                <w:sz w:val="16"/>
                <w:szCs w:val="16"/>
              </w:rPr>
            </w:pPr>
          </w:p>
        </w:tc>
        <w:tc>
          <w:tcPr>
            <w:tcW w:w="3686" w:type="dxa"/>
          </w:tcPr>
          <w:p w14:paraId="17178806" w14:textId="77777777" w:rsidR="00090C9B" w:rsidRPr="00722885" w:rsidRDefault="00090C9B" w:rsidP="00722885">
            <w:pPr>
              <w:pStyle w:val="Iauiue"/>
              <w:jc w:val="both"/>
              <w:rPr>
                <w:color w:val="000000" w:themeColor="text1"/>
                <w:sz w:val="16"/>
                <w:szCs w:val="16"/>
              </w:rPr>
            </w:pPr>
          </w:p>
        </w:tc>
      </w:tr>
      <w:tr w:rsidR="009B487A" w:rsidRPr="00722885" w14:paraId="2913A3E8" w14:textId="77777777" w:rsidTr="00CC5360">
        <w:tc>
          <w:tcPr>
            <w:tcW w:w="6204" w:type="dxa"/>
          </w:tcPr>
          <w:p w14:paraId="6FC1F8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w:t>
            </w:r>
          </w:p>
        </w:tc>
        <w:tc>
          <w:tcPr>
            <w:tcW w:w="708" w:type="dxa"/>
          </w:tcPr>
          <w:p w14:paraId="7F5E37D1" w14:textId="77777777" w:rsidR="00090C9B" w:rsidRPr="00722885" w:rsidRDefault="00090C9B" w:rsidP="00722885">
            <w:pPr>
              <w:pStyle w:val="Iauiue"/>
              <w:jc w:val="both"/>
              <w:rPr>
                <w:color w:val="000000" w:themeColor="text1"/>
                <w:sz w:val="16"/>
                <w:szCs w:val="16"/>
              </w:rPr>
            </w:pPr>
          </w:p>
        </w:tc>
        <w:tc>
          <w:tcPr>
            <w:tcW w:w="3686" w:type="dxa"/>
          </w:tcPr>
          <w:p w14:paraId="5C905B83" w14:textId="77777777" w:rsidR="00090C9B" w:rsidRPr="00722885" w:rsidRDefault="00090C9B" w:rsidP="00722885">
            <w:pPr>
              <w:pStyle w:val="Iauiue"/>
              <w:jc w:val="both"/>
              <w:rPr>
                <w:color w:val="000000" w:themeColor="text1"/>
                <w:sz w:val="16"/>
                <w:szCs w:val="16"/>
              </w:rPr>
            </w:pPr>
          </w:p>
        </w:tc>
      </w:tr>
      <w:tr w:rsidR="009B487A" w:rsidRPr="00722885" w14:paraId="285B7DD5" w14:textId="77777777" w:rsidTr="00CC5360">
        <w:tc>
          <w:tcPr>
            <w:tcW w:w="6204" w:type="dxa"/>
          </w:tcPr>
          <w:p w14:paraId="7183C3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с применением щитков</w:t>
            </w:r>
          </w:p>
        </w:tc>
        <w:tc>
          <w:tcPr>
            <w:tcW w:w="708" w:type="dxa"/>
          </w:tcPr>
          <w:p w14:paraId="66F616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245 м</w:t>
            </w:r>
          </w:p>
        </w:tc>
        <w:tc>
          <w:tcPr>
            <w:tcW w:w="3686" w:type="dxa"/>
          </w:tcPr>
          <w:p w14:paraId="09B964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15,5 сек.</w:t>
            </w:r>
          </w:p>
        </w:tc>
      </w:tr>
      <w:tr w:rsidR="009B487A" w:rsidRPr="00722885" w14:paraId="562719C5" w14:textId="77777777" w:rsidTr="00CC5360">
        <w:tc>
          <w:tcPr>
            <w:tcW w:w="6204" w:type="dxa"/>
          </w:tcPr>
          <w:p w14:paraId="58F72A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с выпущенными на 20</w:t>
            </w:r>
          </w:p>
        </w:tc>
        <w:tc>
          <w:tcPr>
            <w:tcW w:w="708" w:type="dxa"/>
          </w:tcPr>
          <w:p w14:paraId="1D3671B5" w14:textId="77777777" w:rsidR="00090C9B" w:rsidRPr="00722885" w:rsidRDefault="00090C9B" w:rsidP="00722885">
            <w:pPr>
              <w:pStyle w:val="Iauiue"/>
              <w:jc w:val="both"/>
              <w:rPr>
                <w:color w:val="000000" w:themeColor="text1"/>
                <w:sz w:val="16"/>
                <w:szCs w:val="16"/>
              </w:rPr>
            </w:pPr>
          </w:p>
        </w:tc>
        <w:tc>
          <w:tcPr>
            <w:tcW w:w="3686" w:type="dxa"/>
          </w:tcPr>
          <w:p w14:paraId="4CB4FBA7" w14:textId="77777777" w:rsidR="00090C9B" w:rsidRPr="00722885" w:rsidRDefault="00090C9B" w:rsidP="00722885">
            <w:pPr>
              <w:pStyle w:val="Iauiue"/>
              <w:jc w:val="both"/>
              <w:rPr>
                <w:color w:val="000000" w:themeColor="text1"/>
                <w:sz w:val="16"/>
                <w:szCs w:val="16"/>
              </w:rPr>
            </w:pPr>
          </w:p>
        </w:tc>
      </w:tr>
      <w:tr w:rsidR="009B487A" w:rsidRPr="00722885" w14:paraId="1AC88776" w14:textId="77777777" w:rsidTr="00CC5360">
        <w:tc>
          <w:tcPr>
            <w:tcW w:w="6204" w:type="dxa"/>
          </w:tcPr>
          <w:p w14:paraId="35148E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градусов щитками</w:t>
            </w:r>
          </w:p>
        </w:tc>
        <w:tc>
          <w:tcPr>
            <w:tcW w:w="708" w:type="dxa"/>
          </w:tcPr>
          <w:p w14:paraId="709F5E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240 м</w:t>
            </w:r>
          </w:p>
        </w:tc>
        <w:tc>
          <w:tcPr>
            <w:tcW w:w="3686" w:type="dxa"/>
          </w:tcPr>
          <w:p w14:paraId="2D0B04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16,2 сек.</w:t>
            </w:r>
          </w:p>
        </w:tc>
      </w:tr>
      <w:tr w:rsidR="009B487A" w:rsidRPr="00722885" w14:paraId="443B06DB" w14:textId="77777777" w:rsidTr="00CC5360">
        <w:tc>
          <w:tcPr>
            <w:tcW w:w="6204" w:type="dxa"/>
          </w:tcPr>
          <w:p w14:paraId="1A0176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Посадка.</w:t>
            </w:r>
          </w:p>
        </w:tc>
        <w:tc>
          <w:tcPr>
            <w:tcW w:w="708" w:type="dxa"/>
          </w:tcPr>
          <w:p w14:paraId="45286AFE" w14:textId="77777777" w:rsidR="00090C9B" w:rsidRPr="00722885" w:rsidRDefault="00090C9B" w:rsidP="00722885">
            <w:pPr>
              <w:pStyle w:val="Iauiue"/>
              <w:jc w:val="both"/>
              <w:rPr>
                <w:color w:val="000000" w:themeColor="text1"/>
                <w:sz w:val="16"/>
                <w:szCs w:val="16"/>
              </w:rPr>
            </w:pPr>
          </w:p>
        </w:tc>
        <w:tc>
          <w:tcPr>
            <w:tcW w:w="3686" w:type="dxa"/>
          </w:tcPr>
          <w:p w14:paraId="3A9D6BBD" w14:textId="77777777" w:rsidR="00090C9B" w:rsidRPr="00722885" w:rsidRDefault="00090C9B" w:rsidP="00722885">
            <w:pPr>
              <w:pStyle w:val="Iauiue"/>
              <w:jc w:val="both"/>
              <w:rPr>
                <w:color w:val="000000" w:themeColor="text1"/>
                <w:sz w:val="16"/>
                <w:szCs w:val="16"/>
              </w:rPr>
            </w:pPr>
          </w:p>
        </w:tc>
      </w:tr>
      <w:tr w:rsidR="009B487A" w:rsidRPr="00722885" w14:paraId="2B350952" w14:textId="77777777" w:rsidTr="00CC5360">
        <w:tc>
          <w:tcPr>
            <w:tcW w:w="6204" w:type="dxa"/>
          </w:tcPr>
          <w:p w14:paraId="2782C7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Пробег со щитками и тормозами</w:t>
            </w:r>
          </w:p>
        </w:tc>
        <w:tc>
          <w:tcPr>
            <w:tcW w:w="708" w:type="dxa"/>
          </w:tcPr>
          <w:p w14:paraId="5F206F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265 м</w:t>
            </w:r>
          </w:p>
        </w:tc>
        <w:tc>
          <w:tcPr>
            <w:tcW w:w="3686" w:type="dxa"/>
          </w:tcPr>
          <w:p w14:paraId="7A5508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20,5 сек. (посадочная скорость 93 км/час)</w:t>
            </w:r>
          </w:p>
        </w:tc>
      </w:tr>
      <w:tr w:rsidR="009B487A" w:rsidRPr="00722885" w14:paraId="452DA8BD" w14:textId="77777777" w:rsidTr="00CC5360">
        <w:tc>
          <w:tcPr>
            <w:tcW w:w="6204" w:type="dxa"/>
          </w:tcPr>
          <w:p w14:paraId="2CB366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Пробег со щитками без тормозов</w:t>
            </w:r>
          </w:p>
        </w:tc>
        <w:tc>
          <w:tcPr>
            <w:tcW w:w="708" w:type="dxa"/>
          </w:tcPr>
          <w:p w14:paraId="796B7E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430 м</w:t>
            </w:r>
          </w:p>
        </w:tc>
        <w:tc>
          <w:tcPr>
            <w:tcW w:w="3686" w:type="dxa"/>
          </w:tcPr>
          <w:p w14:paraId="2BCF27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31,3 сек </w:t>
            </w:r>
          </w:p>
        </w:tc>
      </w:tr>
      <w:tr w:rsidR="009B487A" w:rsidRPr="00722885" w14:paraId="363C054A" w14:textId="77777777" w:rsidTr="00CC5360">
        <w:tc>
          <w:tcPr>
            <w:tcW w:w="6204" w:type="dxa"/>
          </w:tcPr>
          <w:p w14:paraId="03AF23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Пробег без щитков с тормозами</w:t>
            </w:r>
          </w:p>
        </w:tc>
        <w:tc>
          <w:tcPr>
            <w:tcW w:w="708" w:type="dxa"/>
          </w:tcPr>
          <w:p w14:paraId="7102A0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500 м</w:t>
            </w:r>
          </w:p>
        </w:tc>
        <w:tc>
          <w:tcPr>
            <w:tcW w:w="3686" w:type="dxa"/>
          </w:tcPr>
          <w:p w14:paraId="0CDDDB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28,0 сек. (посадочная скорость 105 км/час)</w:t>
            </w:r>
          </w:p>
        </w:tc>
      </w:tr>
      <w:tr w:rsidR="009B487A" w:rsidRPr="00722885" w14:paraId="2BFAB3E7" w14:textId="77777777" w:rsidTr="00CC5360">
        <w:tc>
          <w:tcPr>
            <w:tcW w:w="6204" w:type="dxa"/>
            <w:tcBorders>
              <w:bottom w:val="single" w:sz="12" w:space="0" w:color="auto"/>
            </w:tcBorders>
          </w:tcPr>
          <w:p w14:paraId="37A3BE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Без щитков и без тормозов</w:t>
            </w:r>
          </w:p>
        </w:tc>
        <w:tc>
          <w:tcPr>
            <w:tcW w:w="708" w:type="dxa"/>
            <w:tcBorders>
              <w:bottom w:val="single" w:sz="12" w:space="0" w:color="auto"/>
            </w:tcBorders>
          </w:tcPr>
          <w:p w14:paraId="1FD5CD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700 м</w:t>
            </w:r>
          </w:p>
        </w:tc>
        <w:tc>
          <w:tcPr>
            <w:tcW w:w="3686" w:type="dxa"/>
            <w:tcBorders>
              <w:bottom w:val="single" w:sz="12" w:space="0" w:color="auto"/>
            </w:tcBorders>
          </w:tcPr>
          <w:p w14:paraId="682D46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52,5 сек.</w:t>
            </w:r>
          </w:p>
        </w:tc>
      </w:tr>
    </w:tbl>
    <w:p w14:paraId="4BD467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Примечание: 1. Взлетно-посадочные характеристики снимались на травяном грунте.</w:t>
      </w:r>
    </w:p>
    <w:p w14:paraId="2E9772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Длины разбега и пробега приведены к нулевой высоте и безветрию.</w:t>
      </w:r>
    </w:p>
    <w:p w14:paraId="03017C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Дальность полета.</w:t>
      </w:r>
    </w:p>
    <w:p w14:paraId="6B2476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данным заводских испытаний дальность полета самолета (до полного выгорания горючего) на высоте 500 м на скорости... км/час равняется 860 км.</w:t>
      </w:r>
    </w:p>
    <w:p w14:paraId="70EBE4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При перелете самолета из Чкалова в Москву указанная дальность подтвердилась.</w:t>
      </w:r>
    </w:p>
    <w:p w14:paraId="24991B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Краткое описание конструкции.</w:t>
      </w:r>
    </w:p>
    <w:p w14:paraId="20C471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"НББ" 2М-11Ф представляет собой легкий двухмоторный моноплан целиком деревянной конструкции.</w:t>
      </w:r>
    </w:p>
    <w:p w14:paraId="2B4AFE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Крыло - неразъемное, двухлонжеронное, раскосной конструкции.</w:t>
      </w:r>
    </w:p>
    <w:p w14:paraId="7709B5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Обшивка полотняная, элерон щелевого типа. Щиток сквозной щелевого типа.</w:t>
      </w:r>
    </w:p>
    <w:p w14:paraId="4A7B08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Фюзеляж состоит из трех частей. Средняя часть представляет одно целое с центропланом. У передней кромки крыла расположена двухместная кабина пилотов. За кабиной пилотов свободный отсек для размещения пассажиров или грузов.</w:t>
      </w:r>
    </w:p>
    <w:p w14:paraId="6CFC56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Кабина пилотов закрыта откидным фонарем.</w:t>
      </w:r>
    </w:p>
    <w:p w14:paraId="278436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входа в пассажирский отсек имеется дверь.</w:t>
      </w:r>
    </w:p>
    <w:p w14:paraId="162E81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Оперение обшито полотном. Стабилизатор - регулируемый на земле.</w:t>
      </w:r>
    </w:p>
    <w:p w14:paraId="11193C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Рули снабжены триммерами.</w:t>
      </w:r>
    </w:p>
    <w:p w14:paraId="102327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Шасси убирающиеся механическим способом (на предъявленном экземпляре самолета из-за недоведенности механизма уборки - законтрено).</w:t>
      </w:r>
    </w:p>
    <w:p w14:paraId="2FBFAC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Амортизация шасси воздушно-масляная. Колеса тормозные 600х180. хвостовое колесо ориентирующееся, стопорится из кабины пилота.</w:t>
      </w:r>
    </w:p>
    <w:p w14:paraId="675053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Винтомоторная группа: два мотора воздушного охлаждения М-11Ф по 140 л.с. каждый установлены в крыле.</w:t>
      </w:r>
    </w:p>
    <w:p w14:paraId="0F938F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Винты деревянные нерегулируемые диаметром Д=2,2 м, шаг Н=1,85 м.</w:t>
      </w:r>
    </w:p>
    <w:p w14:paraId="2AE7D9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Два бензиновых бака, фанерные, емкостью 195 литров каждый расположены в центральной части крыла.</w:t>
      </w:r>
    </w:p>
    <w:p w14:paraId="1B7CF5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Два маслобака емкостью по 16 литров каждый расположены за противопожарной перегородкой.</w:t>
      </w:r>
    </w:p>
    <w:p w14:paraId="23E8A5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целом винтомоторная группа использована с самолета УТ-2 (2167,158).</w:t>
      </w:r>
    </w:p>
    <w:p w14:paraId="2F2471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Участники облета: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2235"/>
      </w:tblGrid>
      <w:tr w:rsidR="009B487A" w:rsidRPr="00722885" w14:paraId="0ECEB0A3" w14:textId="77777777" w:rsidTr="00CC5360">
        <w:tc>
          <w:tcPr>
            <w:tcW w:w="2235" w:type="dxa"/>
            <w:tcBorders>
              <w:top w:val="single" w:sz="12" w:space="0" w:color="auto"/>
            </w:tcBorders>
          </w:tcPr>
          <w:p w14:paraId="241DAD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Полковник</w:t>
            </w:r>
          </w:p>
        </w:tc>
        <w:tc>
          <w:tcPr>
            <w:tcW w:w="2235" w:type="dxa"/>
            <w:tcBorders>
              <w:top w:val="single" w:sz="12" w:space="0" w:color="auto"/>
            </w:tcBorders>
          </w:tcPr>
          <w:p w14:paraId="219290E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-КАБАНОВ.</w:t>
            </w:r>
          </w:p>
        </w:tc>
      </w:tr>
      <w:tr w:rsidR="009B487A" w:rsidRPr="00722885" w14:paraId="2BA56897" w14:textId="77777777" w:rsidTr="00CC5360">
        <w:tc>
          <w:tcPr>
            <w:tcW w:w="2235" w:type="dxa"/>
          </w:tcPr>
          <w:p w14:paraId="2A5B1D3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Инжннер- подполковник</w:t>
            </w:r>
          </w:p>
        </w:tc>
        <w:tc>
          <w:tcPr>
            <w:tcW w:w="2235" w:type="dxa"/>
          </w:tcPr>
          <w:p w14:paraId="047C32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-КАЛИНЕЦ.</w:t>
            </w:r>
          </w:p>
        </w:tc>
      </w:tr>
      <w:tr w:rsidR="009B487A" w:rsidRPr="00722885" w14:paraId="77F00A3E" w14:textId="77777777" w:rsidTr="00CC5360">
        <w:tc>
          <w:tcPr>
            <w:tcW w:w="2235" w:type="dxa"/>
          </w:tcPr>
          <w:p w14:paraId="03AA28E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Майор</w:t>
            </w:r>
          </w:p>
        </w:tc>
        <w:tc>
          <w:tcPr>
            <w:tcW w:w="2235" w:type="dxa"/>
          </w:tcPr>
          <w:p w14:paraId="31F0A4D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Лисицин.</w:t>
            </w:r>
          </w:p>
        </w:tc>
      </w:tr>
      <w:tr w:rsidR="009B487A" w:rsidRPr="00722885" w14:paraId="088883FB" w14:textId="77777777" w:rsidTr="00CC5360">
        <w:tc>
          <w:tcPr>
            <w:tcW w:w="2235" w:type="dxa"/>
          </w:tcPr>
          <w:p w14:paraId="4EC5D35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2235" w:type="dxa"/>
          </w:tcPr>
          <w:p w14:paraId="1648F91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ЗАЙЦЕВ.</w:t>
            </w:r>
          </w:p>
        </w:tc>
      </w:tr>
      <w:tr w:rsidR="009B487A" w:rsidRPr="00722885" w14:paraId="65721BEA" w14:textId="77777777" w:rsidTr="00CC5360">
        <w:tc>
          <w:tcPr>
            <w:tcW w:w="2235" w:type="dxa"/>
          </w:tcPr>
          <w:p w14:paraId="783BF67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2235" w:type="dxa"/>
          </w:tcPr>
          <w:p w14:paraId="2F6C367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СКВОРЦОВ '</w:t>
            </w:r>
          </w:p>
        </w:tc>
      </w:tr>
      <w:tr w:rsidR="009B487A" w:rsidRPr="00722885" w14:paraId="07E747F1" w14:textId="77777777" w:rsidTr="00CC5360">
        <w:tc>
          <w:tcPr>
            <w:tcW w:w="2235" w:type="dxa"/>
          </w:tcPr>
          <w:p w14:paraId="65A5D20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2235" w:type="dxa"/>
          </w:tcPr>
          <w:p w14:paraId="257801B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Хомяков.</w:t>
            </w:r>
          </w:p>
        </w:tc>
      </w:tr>
      <w:tr w:rsidR="009B487A" w:rsidRPr="00722885" w14:paraId="6FC8C9AD" w14:textId="77777777" w:rsidTr="00CC5360">
        <w:tc>
          <w:tcPr>
            <w:tcW w:w="2235" w:type="dxa"/>
          </w:tcPr>
          <w:p w14:paraId="4EBF965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2235" w:type="dxa"/>
          </w:tcPr>
          <w:p w14:paraId="26F7140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ЖИВОПИСЦЕВ.</w:t>
            </w:r>
          </w:p>
        </w:tc>
      </w:tr>
      <w:tr w:rsidR="009B487A" w:rsidRPr="00722885" w14:paraId="50BAAE98" w14:textId="77777777" w:rsidTr="00CC5360">
        <w:tc>
          <w:tcPr>
            <w:tcW w:w="2235" w:type="dxa"/>
          </w:tcPr>
          <w:p w14:paraId="04EDF05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Инженер-майор</w:t>
            </w:r>
          </w:p>
        </w:tc>
        <w:tc>
          <w:tcPr>
            <w:tcW w:w="2235" w:type="dxa"/>
          </w:tcPr>
          <w:p w14:paraId="3729915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СИНЕЛЬНИКОВ</w:t>
            </w:r>
          </w:p>
        </w:tc>
      </w:tr>
      <w:tr w:rsidR="009B487A" w:rsidRPr="00722885" w14:paraId="7C0C9430" w14:textId="77777777" w:rsidTr="00CC5360">
        <w:tc>
          <w:tcPr>
            <w:tcW w:w="2235" w:type="dxa"/>
          </w:tcPr>
          <w:p w14:paraId="24C8E93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К а п и т а а</w:t>
            </w:r>
          </w:p>
        </w:tc>
        <w:tc>
          <w:tcPr>
            <w:tcW w:w="2235" w:type="dxa"/>
          </w:tcPr>
          <w:p w14:paraId="4AA6CCD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ГОЛОФАСТОВ.</w:t>
            </w:r>
          </w:p>
        </w:tc>
      </w:tr>
      <w:tr w:rsidR="009B487A" w:rsidRPr="00722885" w14:paraId="551D10FE" w14:textId="77777777" w:rsidTr="00CC5360">
        <w:tc>
          <w:tcPr>
            <w:tcW w:w="2235" w:type="dxa"/>
          </w:tcPr>
          <w:p w14:paraId="099DF7F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2235" w:type="dxa"/>
          </w:tcPr>
          <w:p w14:paraId="0C3E826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ПРОШАКОВ.</w:t>
            </w:r>
          </w:p>
        </w:tc>
      </w:tr>
      <w:tr w:rsidR="009B487A" w:rsidRPr="00722885" w14:paraId="301896AC" w14:textId="77777777" w:rsidTr="00CC5360">
        <w:tc>
          <w:tcPr>
            <w:tcW w:w="2235" w:type="dxa"/>
          </w:tcPr>
          <w:p w14:paraId="5721B1D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2235" w:type="dxa"/>
          </w:tcPr>
          <w:p w14:paraId="42B18A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СКУПЧЕНКО.</w:t>
            </w:r>
          </w:p>
        </w:tc>
      </w:tr>
      <w:tr w:rsidR="009B487A" w:rsidRPr="00722885" w14:paraId="0D07CE26" w14:textId="77777777" w:rsidTr="00CC5360">
        <w:tc>
          <w:tcPr>
            <w:tcW w:w="2235" w:type="dxa"/>
          </w:tcPr>
          <w:p w14:paraId="3A590FD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Летчик-испытатель ЛИИ</w:t>
            </w:r>
          </w:p>
        </w:tc>
        <w:tc>
          <w:tcPr>
            <w:tcW w:w="2235" w:type="dxa"/>
          </w:tcPr>
          <w:p w14:paraId="05C260C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Шиянов.</w:t>
            </w:r>
          </w:p>
        </w:tc>
      </w:tr>
      <w:tr w:rsidR="009B487A" w:rsidRPr="00722885" w14:paraId="6E738B0C" w14:textId="77777777" w:rsidTr="00CC5360">
        <w:tc>
          <w:tcPr>
            <w:tcW w:w="2235" w:type="dxa"/>
          </w:tcPr>
          <w:p w14:paraId="7F7C341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Бригинженер</w:t>
            </w:r>
          </w:p>
        </w:tc>
        <w:tc>
          <w:tcPr>
            <w:tcW w:w="2235" w:type="dxa"/>
          </w:tcPr>
          <w:p w14:paraId="5AE7173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ФЕДРОВИ.</w:t>
            </w:r>
          </w:p>
        </w:tc>
      </w:tr>
      <w:tr w:rsidR="009B487A" w:rsidRPr="00722885" w14:paraId="121CFFCB" w14:textId="77777777" w:rsidTr="00CC5360">
        <w:tc>
          <w:tcPr>
            <w:tcW w:w="2235" w:type="dxa"/>
            <w:tcBorders>
              <w:bottom w:val="single" w:sz="12" w:space="0" w:color="auto"/>
            </w:tcBorders>
          </w:tcPr>
          <w:p w14:paraId="61AA504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Капитан</w:t>
            </w:r>
          </w:p>
        </w:tc>
        <w:tc>
          <w:tcPr>
            <w:tcW w:w="2235" w:type="dxa"/>
            <w:tcBorders>
              <w:bottom w:val="single" w:sz="12" w:space="0" w:color="auto"/>
            </w:tcBorders>
          </w:tcPr>
          <w:p w14:paraId="5DD6BC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Кубышкн.</w:t>
            </w:r>
          </w:p>
        </w:tc>
      </w:tr>
    </w:tbl>
    <w:p w14:paraId="7D8DC5F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сентября 1942:</w:t>
      </w:r>
    </w:p>
    <w:p w14:paraId="42F08FE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ОБЛЕТ САМОЛЕТА НББ 2М-11Ф</w:t>
      </w:r>
    </w:p>
    <w:p w14:paraId="21CDCF2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с помощьютормозов рулит хорошо, без пользования тормозами самолет на рулежке руля поворота не слушается, с отстопоренным костылем, вертляв.</w:t>
      </w:r>
    </w:p>
    <w:p w14:paraId="6F9138D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Разбег незначителен, направление легко удерживается ногами. Отрывается на скорости 75-80 км/нас, на этой скорости несколько неустойчив, особенно в поперечном отношении. На на</w:t>
      </w:r>
      <w:r w:rsidRPr="00722885">
        <w:rPr>
          <w:rFonts w:ascii="Times New Roman" w:hAnsi="Times New Roman"/>
          <w:color w:val="000000" w:themeColor="text1"/>
          <w:sz w:val="16"/>
          <w:szCs w:val="16"/>
        </w:rPr>
        <w:softHyphen/>
        <w:t>боре самолет прост , обзор вперед достаточен, но можно легко сделать еще лучше. Скорость на наборе 110 км/час, горизонтальный полет прост, так как самолет достаточном устойчив в путевом и продольном отношении, требует доработки поперечная устойчивасть. Планирование и посадка просты.</w:t>
      </w:r>
    </w:p>
    <w:p w14:paraId="313EDEA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пробеге самолет слушается ног хорошо.</w:t>
      </w:r>
    </w:p>
    <w:p w14:paraId="53F1B12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полете обращает на себя внимание слишком малая нагрузка на рулях, что затруднит полет в плохих условиях и ночью. Легко берет груз 500 кг и имеется возможность (по летным данным) увеличить его до 700 кгр. Самолет неприхотлив в отношении аэродрома и может работать со случайных площадок.</w:t>
      </w:r>
    </w:p>
    <w:p w14:paraId="7A26B76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вполне доступен летному молодняку , после незначительной тренировки.</w:t>
      </w:r>
    </w:p>
    <w:p w14:paraId="3A56E3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КАБАНОВ</w:t>
      </w:r>
    </w:p>
    <w:p w14:paraId="325434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сентября 1942</w:t>
      </w:r>
    </w:p>
    <w:p w14:paraId="636CA98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ОБЛЕТ СМОЛЕТА НББ 2М-11Ф</w:t>
      </w:r>
    </w:p>
    <w:p w14:paraId="5AB01E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Летчик-Испытатель ЛИИ ШИЯНОВ Г.М.</w:t>
      </w:r>
    </w:p>
    <w:p w14:paraId="318802D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Кабина.</w:t>
      </w:r>
    </w:p>
    <w:p w14:paraId="49E0A2E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Кабина самолета удобная. Оборудование расположено правильно. Обзор вперед и вниз особенно при рулежке и подъеме несколько недостаточный. Желательно опустить вниз, на 100-150 мм. приборную доску и на ее месте сделать продолжение прозрачной части козырька.</w:t>
      </w:r>
    </w:p>
    <w:p w14:paraId="49D7553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время полетов в плохих метеорологических условиях, сумерках, при взлете и посадке против солнца, а также при плохом качестве плексигласса, обзор вперед может быть затруднен, а поэтому желательно, прорезать в передней левой части козырь</w:t>
      </w:r>
      <w:r w:rsidRPr="00722885">
        <w:rPr>
          <w:rFonts w:ascii="Times New Roman" w:hAnsi="Times New Roman"/>
          <w:color w:val="000000" w:themeColor="text1"/>
          <w:sz w:val="16"/>
          <w:szCs w:val="16"/>
        </w:rPr>
        <w:softHyphen/>
        <w:t>ка небольшую отбывающуюся внутрь форточку.</w:t>
      </w:r>
    </w:p>
    <w:p w14:paraId="64EDB14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Верхней передней части фонаря можно рекомендовать установку небольших темных шторок -для зашиты глаз при полете против солнца. На сектора газа необходимо сдедать ограничители для полета по горизонтали во избежание раскрутки винтов. Необходимо упустить вниз, на 100-150 мм, штурвал управления самолетом.</w:t>
      </w:r>
    </w:p>
    <w:p w14:paraId="0DB7639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как самолет с отконтренным хвостовым ко</w:t>
      </w:r>
      <w:r w:rsidRPr="00722885">
        <w:rPr>
          <w:rFonts w:ascii="Times New Roman" w:hAnsi="Times New Roman"/>
          <w:color w:val="000000" w:themeColor="text1"/>
          <w:sz w:val="16"/>
          <w:szCs w:val="16"/>
        </w:rPr>
        <w:softHyphen/>
        <w:t>лесом имеет тенденцию к разворотам при пробеге, желательно связать стопорение колеса с дачей полного газа /пилот может забыть законтрить колесо/.</w:t>
      </w:r>
    </w:p>
    <w:p w14:paraId="4F73529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w:t>
      </w:r>
    </w:p>
    <w:p w14:paraId="16337AE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разбеге самолет устойчиво выдерживает принятое направление. Хвост поднимается легко. Рули становятся эффективными непосредственно после начала разбега. На поборе высоты самолет имеет небольшой запас положительной устойчивости. Обзор на подъем, в связи с высоким расположением приборной досоки, несколько недостаточен.</w:t>
      </w:r>
    </w:p>
    <w:p w14:paraId="4FFF2E9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w:t>
      </w:r>
    </w:p>
    <w:p w14:paraId="0BABFB1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устойчиво летит, и под воздействием толч</w:t>
      </w:r>
      <w:r w:rsidRPr="00722885">
        <w:rPr>
          <w:rFonts w:ascii="Times New Roman" w:hAnsi="Times New Roman"/>
          <w:color w:val="000000" w:themeColor="text1"/>
          <w:sz w:val="16"/>
          <w:szCs w:val="16"/>
        </w:rPr>
        <w:softHyphen/>
        <w:t>ков при болтанке, сам восстанавливает превоначальное направление. Усилие на рули очень незначительное. Направление усилий, при изменении режима работы мотора, нормальное. Эффективность рулей от У мииим до У макссим. хорошее.</w:t>
      </w:r>
    </w:p>
    <w:p w14:paraId="5FCBF10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Устойчивость</w:t>
      </w:r>
    </w:p>
    <w:p w14:paraId="2DEA6D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Самолет имеет запас положительной устойчивости с брошеной ручкой. </w:t>
      </w:r>
    </w:p>
    <w:p w14:paraId="157072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подъеме запас устойчивости невелик.</w:t>
      </w:r>
    </w:p>
    <w:p w14:paraId="15EEFD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горизонтали устойчивость хорошая</w:t>
      </w:r>
    </w:p>
    <w:p w14:paraId="0C86AC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планировании - большая</w:t>
      </w:r>
    </w:p>
    <w:p w14:paraId="2584CA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Устойчивость пути - хорошая.</w:t>
      </w:r>
    </w:p>
    <w:p w14:paraId="7265934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Поперечно самолет проверить в отношении устойчивости невозможно, так как имеется очень большое трение в проводке управления, которое больше аэродинамических училий на элероны. Элероны остаются в том положении, которое им придано поворотом штурвала, а самолет переходит в скольжение опуская: нос.</w:t>
      </w:r>
    </w:p>
    <w:p w14:paraId="3DD1204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Нагрузки на рули гармоничны, за исключением элеронов. На одном моторе самолет летит не снижаясь на скорости 140 км в час. Нагрузка на ногу невелика и полностью снимается триммером.</w:t>
      </w:r>
    </w:p>
    <w:p w14:paraId="1AD12BA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режимы полета возможны с постоянным триммером. Виражит самолет устойчиво, но большое трение в управлении элеронами делает вираж неприятным: самолет “не чуствуется”.</w:t>
      </w:r>
    </w:p>
    <w:p w14:paraId="65854F6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Планирование и посодка</w:t>
      </w:r>
    </w:p>
    <w:p w14:paraId="4645290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устойчиво планирует, как со шитками, так и без щитков. При потере скорости сваливания на крыло нет: самолет начинает проваливаться опуская нос. В связи с большим трением, потеря скорости элеронами не чувствуетя. При потере скорости вибраций оперения нет.</w:t>
      </w:r>
    </w:p>
    <w:p w14:paraId="66437A8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Обзор на посадку хороший. Расчет простой. Посадка чень простая. Посадочная скорость незначительная. При подводке к 3-х точечному положению желательно увеличить градиент нарастания усилий ни ручке. Усилия настолько</w:t>
      </w:r>
      <w:r w:rsidRPr="00722885">
        <w:rPr>
          <w:rFonts w:ascii="Times New Roman" w:hAnsi="Times New Roman"/>
          <w:color w:val="000000" w:themeColor="text1"/>
          <w:sz w:val="16"/>
          <w:szCs w:val="16"/>
          <w:vertAlign w:val="superscript"/>
        </w:rPr>
        <w:t>-</w:t>
      </w:r>
      <w:r w:rsidRPr="00722885">
        <w:rPr>
          <w:rFonts w:ascii="Times New Roman" w:hAnsi="Times New Roman"/>
          <w:color w:val="000000" w:themeColor="text1"/>
          <w:sz w:val="16"/>
          <w:szCs w:val="16"/>
        </w:rPr>
        <w:t xml:space="preserve">невелики, что изменения в них не чувствуется. Пробег устойчивый. Пользование тормозами </w:t>
      </w:r>
      <w:r w:rsidRPr="00722885">
        <w:rPr>
          <w:rFonts w:ascii="Times New Roman" w:hAnsi="Times New Roman"/>
          <w:color w:val="000000" w:themeColor="text1"/>
          <w:sz w:val="16"/>
          <w:szCs w:val="16"/>
        </w:rPr>
        <w:lastRenderedPageBreak/>
        <w:t>допускается в самом начале пробега. Длина прооега, с открытыми щитками, весьма незначительная. Рулежка простая. Рысканье легко парируются тормозами и моторами.</w:t>
      </w:r>
    </w:p>
    <w:p w14:paraId="45C0ABD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0B8C46C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очень прост в пилотировании. В воздухе "плотен" и приятен. Пилотирование его возможно пилотами низкой квалификации.</w:t>
      </w:r>
    </w:p>
    <w:p w14:paraId="1F84B9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Наличие второго управления допускает переход на него пилотов непосредственно после первоначального лбучения полетам (2167,168).</w:t>
      </w:r>
    </w:p>
    <w:p w14:paraId="41D6088F" w14:textId="77777777" w:rsidR="00090C9B" w:rsidRPr="00722885" w:rsidRDefault="00090C9B" w:rsidP="00722885">
      <w:pPr>
        <w:pStyle w:val="Iauiue"/>
        <w:jc w:val="both"/>
        <w:rPr>
          <w:color w:val="000000" w:themeColor="text1"/>
          <w:sz w:val="16"/>
          <w:szCs w:val="16"/>
        </w:rPr>
      </w:pPr>
    </w:p>
    <w:p w14:paraId="4B1336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О.К.А. писал письмо N 665 А.И.Ш.:</w:t>
      </w:r>
    </w:p>
    <w:p w14:paraId="3B259E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"Прилагаю проект письма на имя т. И.В.С. по вопросу об окончании испытаний крыльев для танка Т-60 на Ваше усмотрение." (2503,24).</w:t>
      </w:r>
    </w:p>
    <w:p w14:paraId="2D3142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 ГКО И.В.С.:</w:t>
      </w:r>
    </w:p>
    <w:p w14:paraId="55CDCD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сентября с.г. успешно совершил первый полет 6-тонный танк Т-60 с крыльями конструкции и О.К.А.</w:t>
      </w:r>
    </w:p>
    <w:p w14:paraId="5345FE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Танк, снабженный этими крыльями с экипажем из 2-х чел., запасом горючего и боеприпасов может перебрасываться по воздуху из нашего расположения в любое место вражеского тыла с помощи буксировки его мощным самолетом.</w:t>
      </w:r>
    </w:p>
    <w:p w14:paraId="3F4396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этом буксирующий самолет не делает посадки на вражеской территории, а отцепляет танк с крыльями на большой высоте.</w:t>
      </w:r>
    </w:p>
    <w:p w14:paraId="1EEDE1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Танк под управлением пилота-водителя самостоятельно осуществляет посадку в указанном командовании месте.</w:t>
      </w:r>
    </w:p>
    <w:p w14:paraId="26E493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После приземления крылья сбрасываются экипажем, находящимся внутри танка, после чего танк готов к бою.</w:t>
      </w:r>
    </w:p>
    <w:p w14:paraId="2A0AD7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Насколько нам известно, ни одна армия в мире не располагает возможностью перебрасывать по воздуху 6 тонные танки.</w:t>
      </w:r>
    </w:p>
    <w:p w14:paraId="7D0816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Однако, испытания показали, что для буксировки по воздуху 6-т танка необходим ТБ-7, т.к. ТБ-3 производит эту буксировку с большим трудом и практически без замены мотора не может быть использован для этой цели.</w:t>
      </w:r>
    </w:p>
    <w:p w14:paraId="3A429F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Т.к. перебрасываемые по воздуху 6-т танки могут оказаться весьма эффективным оружием в отечественной войне, прошу вашего указания ком7 ВВС КА г-л Новикову о выделении на короткий срок - для 10-12 полетов одного ТБ-7 для окончания испытаний крыльев для танка." (2503,25).</w:t>
      </w:r>
    </w:p>
    <w:p w14:paraId="28E452D0" w14:textId="77777777" w:rsidR="00090C9B" w:rsidRPr="00722885" w:rsidRDefault="00090C9B" w:rsidP="00722885">
      <w:pPr>
        <w:pStyle w:val="Iauiue"/>
        <w:jc w:val="both"/>
        <w:rPr>
          <w:color w:val="000000" w:themeColor="text1"/>
          <w:sz w:val="16"/>
          <w:szCs w:val="16"/>
        </w:rPr>
      </w:pPr>
    </w:p>
    <w:p w14:paraId="5A49B3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вышел приказ НКАП N 695с о том, что самолет ПС-84 впредь именовать Ли-2 (Лисунов-2) (906,89;2408).</w:t>
      </w:r>
    </w:p>
    <w:p w14:paraId="5865051A" w14:textId="77777777" w:rsidR="00090C9B" w:rsidRPr="00722885" w:rsidRDefault="00090C9B" w:rsidP="00722885">
      <w:pPr>
        <w:pStyle w:val="Iauiue"/>
        <w:jc w:val="both"/>
        <w:rPr>
          <w:color w:val="000000" w:themeColor="text1"/>
          <w:sz w:val="16"/>
          <w:szCs w:val="16"/>
        </w:rPr>
      </w:pPr>
    </w:p>
    <w:p w14:paraId="3681AB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нач. НИИАМ д.т.н., проф. Поливанов утвердил отчет о работе по внедрению в серию экспериментального мотора М-40Ф на с-те ТБ-7. Признали неадекватным из-за дефектов</w:t>
      </w:r>
    </w:p>
    <w:p w14:paraId="279103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Отв. исполнитель:</w:t>
      </w:r>
    </w:p>
    <w:p w14:paraId="014A39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и отд. 13 ЦИАМ И.Ф.Соледарев</w:t>
      </w:r>
    </w:p>
    <w:p w14:paraId="179D8D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летных испытаниях приняли участие Бондуков, Громов и др.</w:t>
      </w:r>
    </w:p>
    <w:p w14:paraId="12567E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силу всех перечисленных дефектов мотор был признан некондиционным. Несмотря на целый ряд эксплуатационных и летно-технических преимуществ с-та с М-40Ф, последний был снят с вооружения (999,1).</w:t>
      </w:r>
    </w:p>
    <w:p w14:paraId="1B4A0381" w14:textId="77777777" w:rsidR="00090C9B" w:rsidRPr="00722885" w:rsidRDefault="00090C9B" w:rsidP="00722885">
      <w:pPr>
        <w:pStyle w:val="Iauiue"/>
        <w:jc w:val="both"/>
        <w:rPr>
          <w:color w:val="000000" w:themeColor="text1"/>
          <w:sz w:val="16"/>
          <w:szCs w:val="16"/>
        </w:rPr>
      </w:pPr>
    </w:p>
    <w:p w14:paraId="6C2D72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 сентября 1942 г. Отчет по испытаниям винта Винт АВ-5Ф-158А.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620"/>
        <w:gridCol w:w="1460"/>
        <w:gridCol w:w="1518"/>
        <w:gridCol w:w="5277"/>
      </w:tblGrid>
      <w:tr w:rsidR="009B487A" w:rsidRPr="00722885" w14:paraId="7220C169"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269D0D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Винт АВ-5Ф-158А.    Производство завода № 35.    Конструктор Жданов.</w:t>
            </w:r>
          </w:p>
        </w:tc>
      </w:tr>
      <w:tr w:rsidR="009B487A" w:rsidRPr="00722885" w14:paraId="72DFB3A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A8D6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14821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73702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Предназначен для</w:t>
            </w:r>
          </w:p>
          <w:p w14:paraId="245B5F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063E1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Ил-4 с 2М-88Б.</w:t>
            </w:r>
          </w:p>
        </w:tc>
      </w:tr>
      <w:tr w:rsidR="009B487A" w:rsidRPr="00722885" w14:paraId="2AEE884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AFB73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6B82E0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обратная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6EABF8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C266C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1F7529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BEE38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CF0B4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59544C1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24B4F1B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8273A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73ECBE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C542FA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283438F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CA997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2112CA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8F2084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ECCEDE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67A96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ширина лопастей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7F06C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D750EF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030A2B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6CFA9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Относительная толщина лопастей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07AB89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ABBC2E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503D97A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4DED9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444E35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76BDE5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77E3AE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F0D3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62EF38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E5B815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50944D8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0A593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Минимальный установочный угол</w:t>
            </w:r>
          </w:p>
          <w:p w14:paraId="1B22B1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D08F9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C4DD29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C7F2D8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47040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15598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BC26A9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B8712C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6020F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829AA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18FFA6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5B79EFA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7E6F9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2FDF6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2375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3D55DB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EF6ED9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EBCB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3E46A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CE1012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4ACE11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06B1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5C7B8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A01E1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Состояние</w:t>
            </w:r>
          </w:p>
          <w:p w14:paraId="1523D2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A53CC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 испытания прошел удовлетворительно в 1942 г.</w:t>
            </w:r>
          </w:p>
          <w:p w14:paraId="1BE82A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серийное производство не запущен. Заменен винтом ВИШ-61ИФ с лопастями винта АВ-5Ф-158А.</w:t>
            </w:r>
          </w:p>
        </w:tc>
      </w:tr>
      <w:tr w:rsidR="009B487A" w:rsidRPr="00722885" w14:paraId="4254FCD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744CE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55A0E1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E84DE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017E3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4F5C6F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175C3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DDA63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SAF</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36D98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42DBC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228D45A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3DFE17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ED9F20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0A2758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Источник сведений: Отчет по испытаниям винта от 11.9.42 г.</w:t>
            </w:r>
          </w:p>
        </w:tc>
      </w:tr>
    </w:tbl>
    <w:p w14:paraId="20B652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(12227).</w:t>
      </w:r>
    </w:p>
    <w:p w14:paraId="0D7DD2F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F1226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СНК утвердил Положение о Государственном институте реактивной техники при СНК (3398,326).</w:t>
      </w:r>
    </w:p>
    <w:p w14:paraId="6666F8E9" w14:textId="77777777" w:rsidR="00090C9B" w:rsidRPr="00722885" w:rsidRDefault="00090C9B" w:rsidP="00722885">
      <w:pPr>
        <w:pStyle w:val="Iauiue"/>
        <w:jc w:val="both"/>
        <w:rPr>
          <w:color w:val="000000" w:themeColor="text1"/>
          <w:sz w:val="16"/>
          <w:szCs w:val="16"/>
        </w:rPr>
      </w:pPr>
    </w:p>
    <w:p w14:paraId="1767E135"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сентября в 1942 году Совет Народных Комиссаров СССР утвердил Положение о Государственном институте реактивной техники при СНК СССР (14766).</w:t>
      </w:r>
    </w:p>
    <w:p w14:paraId="07376A93" w14:textId="77777777" w:rsidR="00AE5727" w:rsidRPr="00722885" w:rsidRDefault="00AE5727" w:rsidP="00722885">
      <w:pPr>
        <w:spacing w:after="0" w:line="240" w:lineRule="auto"/>
        <w:jc w:val="both"/>
        <w:rPr>
          <w:rFonts w:ascii="Times New Roman" w:hAnsi="Times New Roman"/>
          <w:color w:val="000000" w:themeColor="text1"/>
          <w:sz w:val="16"/>
          <w:szCs w:val="16"/>
        </w:rPr>
      </w:pPr>
    </w:p>
    <w:p w14:paraId="7400455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сентября 1942 г. было утверждено Положение о Государственном институте реактивной техники при Совнаркоме СССР постановлением СНК СССР № 1507-734сс от (АП РФ. Ф. 3. Оп. 47. Д. 179. Лл. 17-20. Опубликовано: Военно-исторический журнал. — 1996.— № 2.- С. 40-41) (11751).</w:t>
      </w:r>
    </w:p>
    <w:p w14:paraId="497126C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4EA34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сентября 1942 Нач. отдела летных испытаний (ОЛИС) Окороковым была подготовлена справка:</w:t>
      </w:r>
    </w:p>
    <w:p w14:paraId="77E37A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авиационный отдел ВКП(б)</w:t>
      </w:r>
    </w:p>
    <w:p w14:paraId="6CEA03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Брригадному комиссару тов. Шиманову</w:t>
      </w:r>
    </w:p>
    <w:p w14:paraId="68A766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переговоров направляю сводную ведомость и сведдения на авиарийные происшествия ЛИС заводов НКАП за время с 1 января 1942 по 5 сентября 1942, согласно поступившим материалам в ОЛИС НКАП.</w:t>
      </w:r>
    </w:p>
    <w:p w14:paraId="790152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Приложенеи: упомянутое на 9 листах (2108,26)</w:t>
      </w:r>
    </w:p>
    <w:p w14:paraId="42D97B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Сводная ведомость</w:t>
      </w:r>
    </w:p>
    <w:p w14:paraId="2C70CF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 аварийных происшествиях на ЛИС з-дов НКАП за 1942 год (согласно поступившим материалам в ОЛИС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55"/>
        <w:gridCol w:w="655"/>
        <w:gridCol w:w="655"/>
        <w:gridCol w:w="655"/>
        <w:gridCol w:w="655"/>
        <w:gridCol w:w="655"/>
        <w:gridCol w:w="655"/>
        <w:gridCol w:w="655"/>
        <w:gridCol w:w="655"/>
        <w:gridCol w:w="655"/>
        <w:gridCol w:w="655"/>
        <w:gridCol w:w="655"/>
        <w:gridCol w:w="655"/>
      </w:tblGrid>
      <w:tr w:rsidR="009B487A" w:rsidRPr="00722885" w14:paraId="20E4E4F9" w14:textId="77777777" w:rsidTr="00CC5360">
        <w:tc>
          <w:tcPr>
            <w:tcW w:w="655" w:type="dxa"/>
            <w:tcBorders>
              <w:top w:val="single" w:sz="12" w:space="0" w:color="auto"/>
            </w:tcBorders>
          </w:tcPr>
          <w:p w14:paraId="7ECEBC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заводов</w:t>
            </w:r>
          </w:p>
        </w:tc>
        <w:tc>
          <w:tcPr>
            <w:tcW w:w="2620" w:type="dxa"/>
            <w:gridSpan w:val="4"/>
            <w:tcBorders>
              <w:top w:val="single" w:sz="12" w:space="0" w:color="auto"/>
            </w:tcBorders>
          </w:tcPr>
          <w:p w14:paraId="5C2C1F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Испытательные полеты</w:t>
            </w:r>
          </w:p>
        </w:tc>
        <w:tc>
          <w:tcPr>
            <w:tcW w:w="2620" w:type="dxa"/>
            <w:gridSpan w:val="4"/>
            <w:tcBorders>
              <w:top w:val="single" w:sz="12" w:space="0" w:color="auto"/>
            </w:tcBorders>
          </w:tcPr>
          <w:p w14:paraId="23D037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Транспортные полеты</w:t>
            </w:r>
          </w:p>
        </w:tc>
        <w:tc>
          <w:tcPr>
            <w:tcW w:w="2620" w:type="dxa"/>
            <w:gridSpan w:val="4"/>
            <w:tcBorders>
              <w:top w:val="single" w:sz="12" w:space="0" w:color="auto"/>
            </w:tcBorders>
          </w:tcPr>
          <w:p w14:paraId="05E798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Причины происшествий</w:t>
            </w:r>
          </w:p>
        </w:tc>
      </w:tr>
      <w:tr w:rsidR="009B487A" w:rsidRPr="00722885" w14:paraId="24893C6D" w14:textId="77777777" w:rsidTr="00CC5360">
        <w:tc>
          <w:tcPr>
            <w:tcW w:w="655" w:type="dxa"/>
          </w:tcPr>
          <w:p w14:paraId="0830EDB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655" w:type="dxa"/>
          </w:tcPr>
          <w:p w14:paraId="581D37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Катастрофы</w:t>
            </w:r>
          </w:p>
        </w:tc>
        <w:tc>
          <w:tcPr>
            <w:tcW w:w="655" w:type="dxa"/>
          </w:tcPr>
          <w:p w14:paraId="73F4E8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Аварии</w:t>
            </w:r>
          </w:p>
        </w:tc>
        <w:tc>
          <w:tcPr>
            <w:tcW w:w="655" w:type="dxa"/>
          </w:tcPr>
          <w:p w14:paraId="159056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Поломки</w:t>
            </w:r>
          </w:p>
        </w:tc>
        <w:tc>
          <w:tcPr>
            <w:tcW w:w="655" w:type="dxa"/>
          </w:tcPr>
          <w:p w14:paraId="5D4A92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Особые происш.</w:t>
            </w:r>
          </w:p>
        </w:tc>
        <w:tc>
          <w:tcPr>
            <w:tcW w:w="655" w:type="dxa"/>
          </w:tcPr>
          <w:p w14:paraId="10DA4E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Катастрофы</w:t>
            </w:r>
          </w:p>
        </w:tc>
        <w:tc>
          <w:tcPr>
            <w:tcW w:w="655" w:type="dxa"/>
          </w:tcPr>
          <w:p w14:paraId="221225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Аварии</w:t>
            </w:r>
          </w:p>
        </w:tc>
        <w:tc>
          <w:tcPr>
            <w:tcW w:w="655" w:type="dxa"/>
          </w:tcPr>
          <w:p w14:paraId="2D3285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Поломки</w:t>
            </w:r>
          </w:p>
        </w:tc>
        <w:tc>
          <w:tcPr>
            <w:tcW w:w="655" w:type="dxa"/>
          </w:tcPr>
          <w:p w14:paraId="064548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Особые происш.</w:t>
            </w:r>
          </w:p>
        </w:tc>
        <w:tc>
          <w:tcPr>
            <w:tcW w:w="655" w:type="dxa"/>
          </w:tcPr>
          <w:p w14:paraId="2AF25D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вине экипажа</w:t>
            </w:r>
          </w:p>
        </w:tc>
        <w:tc>
          <w:tcPr>
            <w:tcW w:w="655" w:type="dxa"/>
          </w:tcPr>
          <w:p w14:paraId="2EFEA5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вине матчасти</w:t>
            </w:r>
          </w:p>
        </w:tc>
        <w:tc>
          <w:tcPr>
            <w:tcW w:w="655" w:type="dxa"/>
          </w:tcPr>
          <w:p w14:paraId="7A2BB2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Пометеоусловиям</w:t>
            </w:r>
          </w:p>
        </w:tc>
        <w:tc>
          <w:tcPr>
            <w:tcW w:w="655" w:type="dxa"/>
          </w:tcPr>
          <w:p w14:paraId="795DF4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Прочие</w:t>
            </w:r>
          </w:p>
        </w:tc>
      </w:tr>
      <w:tr w:rsidR="009B487A" w:rsidRPr="00722885" w14:paraId="7860E555" w14:textId="77777777" w:rsidTr="00CC5360">
        <w:tc>
          <w:tcPr>
            <w:tcW w:w="655" w:type="dxa"/>
          </w:tcPr>
          <w:p w14:paraId="3FDFFA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EA6CA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FAF58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4EA23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553EA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F4BE4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D8A74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3B060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06387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55BED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2C180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4676A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E63DE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8EE3960" w14:textId="77777777" w:rsidTr="00CC5360">
        <w:tc>
          <w:tcPr>
            <w:tcW w:w="655" w:type="dxa"/>
          </w:tcPr>
          <w:p w14:paraId="384AF1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655" w:type="dxa"/>
          </w:tcPr>
          <w:p w14:paraId="2E0F68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01D67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3263C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CD917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F7316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D22A1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495F5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77F28C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EFC99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B959F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61947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32E2FC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69F2643" w14:textId="77777777" w:rsidTr="00CC5360">
        <w:tc>
          <w:tcPr>
            <w:tcW w:w="655" w:type="dxa"/>
          </w:tcPr>
          <w:p w14:paraId="761C00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655" w:type="dxa"/>
          </w:tcPr>
          <w:p w14:paraId="2B3CB2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291DB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0A6D2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AF3A0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4F69ED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DD71F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0E0B1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7050A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75DB8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416EB0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E7C7D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8EDD2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284C8282" w14:textId="77777777" w:rsidTr="00CC5360">
        <w:tc>
          <w:tcPr>
            <w:tcW w:w="655" w:type="dxa"/>
          </w:tcPr>
          <w:p w14:paraId="528BE2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655" w:type="dxa"/>
          </w:tcPr>
          <w:p w14:paraId="5B860C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0A052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17713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303EBF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247E4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B0F75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B2473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075BD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FE0F2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3CEC2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0E0AFB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658D0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AF49D92" w14:textId="77777777" w:rsidTr="00CC5360">
        <w:tc>
          <w:tcPr>
            <w:tcW w:w="655" w:type="dxa"/>
          </w:tcPr>
          <w:p w14:paraId="1A3770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655" w:type="dxa"/>
          </w:tcPr>
          <w:p w14:paraId="5BDAE6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Pr>
          <w:p w14:paraId="77B66D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655" w:type="dxa"/>
          </w:tcPr>
          <w:p w14:paraId="2C868B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40A62D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23F59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348BB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846D9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116FE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A3143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Pr>
          <w:p w14:paraId="7EF6F6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655" w:type="dxa"/>
          </w:tcPr>
          <w:p w14:paraId="63591E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CFF58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6FB2B19" w14:textId="77777777" w:rsidTr="00CC5360">
        <w:tc>
          <w:tcPr>
            <w:tcW w:w="655" w:type="dxa"/>
          </w:tcPr>
          <w:p w14:paraId="354DB2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w:t>
            </w:r>
          </w:p>
        </w:tc>
        <w:tc>
          <w:tcPr>
            <w:tcW w:w="655" w:type="dxa"/>
          </w:tcPr>
          <w:p w14:paraId="00B9FE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A75D7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5D2E7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6FA40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99686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EB187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BB883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08F83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CB910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2C473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583BF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A4F80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B305BAC" w14:textId="77777777" w:rsidTr="00CC5360">
        <w:tc>
          <w:tcPr>
            <w:tcW w:w="655" w:type="dxa"/>
          </w:tcPr>
          <w:p w14:paraId="5CB13F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655" w:type="dxa"/>
          </w:tcPr>
          <w:p w14:paraId="16D7BD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D91A4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75AB7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E3633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074CA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B79F7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117C7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847C5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46518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57B4A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5DCF5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8CA12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556D451" w14:textId="77777777" w:rsidTr="00CC5360">
        <w:tc>
          <w:tcPr>
            <w:tcW w:w="655" w:type="dxa"/>
          </w:tcPr>
          <w:p w14:paraId="1939AB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655" w:type="dxa"/>
          </w:tcPr>
          <w:p w14:paraId="5463FC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ACEE8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EB1A4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006E2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32953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368CE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6C8AB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B6BE5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542B1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A96EB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ACC9C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68B340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75D7EA5" w14:textId="77777777" w:rsidTr="00CC5360">
        <w:tc>
          <w:tcPr>
            <w:tcW w:w="655" w:type="dxa"/>
          </w:tcPr>
          <w:p w14:paraId="1F1C0B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655" w:type="dxa"/>
          </w:tcPr>
          <w:p w14:paraId="12046D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ED7A5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1F002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FA4A1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9D01F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04E43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58B5C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E60A7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CF856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3E19AC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A008C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21840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2206841" w14:textId="77777777" w:rsidTr="00CC5360">
        <w:tc>
          <w:tcPr>
            <w:tcW w:w="655" w:type="dxa"/>
          </w:tcPr>
          <w:p w14:paraId="58D076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w:t>
            </w:r>
          </w:p>
        </w:tc>
        <w:tc>
          <w:tcPr>
            <w:tcW w:w="655" w:type="dxa"/>
          </w:tcPr>
          <w:p w14:paraId="506F64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C5FF2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7E881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DC4D3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304BB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796C8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E8535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76136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78319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B8937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A2A0B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A0A8F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DB5DFD2" w14:textId="77777777" w:rsidTr="00CC5360">
        <w:tc>
          <w:tcPr>
            <w:tcW w:w="655" w:type="dxa"/>
          </w:tcPr>
          <w:p w14:paraId="604C6B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655" w:type="dxa"/>
          </w:tcPr>
          <w:p w14:paraId="6ED6C1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FC4F6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22EDE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B20C7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385AB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A0931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1DC043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3E770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0DBAD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6A9D6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4C9780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B3C27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63B6675" w14:textId="77777777" w:rsidTr="00CC5360">
        <w:tc>
          <w:tcPr>
            <w:tcW w:w="655" w:type="dxa"/>
          </w:tcPr>
          <w:p w14:paraId="45587C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w:t>
            </w:r>
          </w:p>
        </w:tc>
        <w:tc>
          <w:tcPr>
            <w:tcW w:w="655" w:type="dxa"/>
          </w:tcPr>
          <w:p w14:paraId="6EA8E0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FCB5F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181641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8DCFA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0939E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A3B5C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260BA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3E7B7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B664C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EA047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5EF6B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CEF5F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2BB8D8F" w14:textId="77777777" w:rsidTr="00CC5360">
        <w:tc>
          <w:tcPr>
            <w:tcW w:w="655" w:type="dxa"/>
          </w:tcPr>
          <w:p w14:paraId="0FD683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w:t>
            </w:r>
          </w:p>
        </w:tc>
        <w:tc>
          <w:tcPr>
            <w:tcW w:w="655" w:type="dxa"/>
          </w:tcPr>
          <w:p w14:paraId="338650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2C271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89301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AB27B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C4204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BAD28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3CFED2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6E943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DD942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2C76E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7DF2C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7B480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27C12BB3" w14:textId="77777777" w:rsidTr="00CC5360">
        <w:tc>
          <w:tcPr>
            <w:tcW w:w="655" w:type="dxa"/>
          </w:tcPr>
          <w:p w14:paraId="403251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w:t>
            </w:r>
          </w:p>
        </w:tc>
        <w:tc>
          <w:tcPr>
            <w:tcW w:w="655" w:type="dxa"/>
          </w:tcPr>
          <w:p w14:paraId="6570A8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DFE36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C782F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9CEB7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A54E0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546DA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A3F86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214AE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E89B3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3B9A5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412D1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0EB8E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8E61875" w14:textId="77777777" w:rsidTr="00CC5360">
        <w:tc>
          <w:tcPr>
            <w:tcW w:w="655" w:type="dxa"/>
          </w:tcPr>
          <w:p w14:paraId="38B648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w:t>
            </w:r>
          </w:p>
        </w:tc>
        <w:tc>
          <w:tcPr>
            <w:tcW w:w="655" w:type="dxa"/>
          </w:tcPr>
          <w:p w14:paraId="44051B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2F3FD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3545BD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F87DD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A5B33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7E049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27CD6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A3080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1B872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5C0224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94347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527F4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B6D36DA" w14:textId="77777777" w:rsidTr="00CC5360">
        <w:tc>
          <w:tcPr>
            <w:tcW w:w="655" w:type="dxa"/>
          </w:tcPr>
          <w:p w14:paraId="5E453A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153</w:t>
            </w:r>
          </w:p>
        </w:tc>
        <w:tc>
          <w:tcPr>
            <w:tcW w:w="655" w:type="dxa"/>
          </w:tcPr>
          <w:p w14:paraId="20D33C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2D095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70855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5BCED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BDCC8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0133C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CF94F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37B80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3F3F2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0AE4E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A0418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A362D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AC7C177" w14:textId="77777777" w:rsidTr="00CC5360">
        <w:tc>
          <w:tcPr>
            <w:tcW w:w="655" w:type="dxa"/>
          </w:tcPr>
          <w:p w14:paraId="27DE45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154</w:t>
            </w:r>
          </w:p>
        </w:tc>
        <w:tc>
          <w:tcPr>
            <w:tcW w:w="655" w:type="dxa"/>
          </w:tcPr>
          <w:p w14:paraId="151A46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C184F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BAE93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3624E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D76A5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BA9D0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CBD60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81EC4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F5731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F2163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EEE1D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FE18C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2B44B75" w14:textId="77777777" w:rsidTr="00CC5360">
        <w:tc>
          <w:tcPr>
            <w:tcW w:w="655" w:type="dxa"/>
          </w:tcPr>
          <w:p w14:paraId="5C55E9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w:t>
            </w:r>
          </w:p>
        </w:tc>
        <w:tc>
          <w:tcPr>
            <w:tcW w:w="655" w:type="dxa"/>
          </w:tcPr>
          <w:p w14:paraId="66DDEE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B046E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240E40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1CDE2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28438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57C7E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4169F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2EE19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358BA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3DFC87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BDCCC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0B09E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73E1AF0" w14:textId="77777777" w:rsidTr="00CC5360">
        <w:tc>
          <w:tcPr>
            <w:tcW w:w="655" w:type="dxa"/>
          </w:tcPr>
          <w:p w14:paraId="29BF76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655" w:type="dxa"/>
          </w:tcPr>
          <w:p w14:paraId="3125D4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35B2E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2C042B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370EF2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36B8C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FFA0E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71D45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9076B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CC5EC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Pr>
          <w:p w14:paraId="20156B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0D0F3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B131C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ECF063B" w14:textId="77777777" w:rsidTr="00CC5360">
        <w:tc>
          <w:tcPr>
            <w:tcW w:w="655" w:type="dxa"/>
          </w:tcPr>
          <w:p w14:paraId="349C49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w:t>
            </w:r>
          </w:p>
        </w:tc>
        <w:tc>
          <w:tcPr>
            <w:tcW w:w="655" w:type="dxa"/>
          </w:tcPr>
          <w:p w14:paraId="6AC9C9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A41FC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307D85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5A6B66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55AEE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C8E91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4834D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C5383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AE8C6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6F097B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9C690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19FE9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55F834B" w14:textId="77777777" w:rsidTr="00CC5360">
        <w:tc>
          <w:tcPr>
            <w:tcW w:w="655" w:type="dxa"/>
          </w:tcPr>
          <w:p w14:paraId="472F00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462</w:t>
            </w:r>
          </w:p>
        </w:tc>
        <w:tc>
          <w:tcPr>
            <w:tcW w:w="655" w:type="dxa"/>
          </w:tcPr>
          <w:p w14:paraId="7145D7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F78AB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35D43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BEB34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95416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9F98B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56ABA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A8913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7C8C6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C7AF8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48DA1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87180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0CFF752" w14:textId="77777777" w:rsidTr="00CC5360">
        <w:tc>
          <w:tcPr>
            <w:tcW w:w="655" w:type="dxa"/>
          </w:tcPr>
          <w:p w14:paraId="3C3C84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466</w:t>
            </w:r>
          </w:p>
        </w:tc>
        <w:tc>
          <w:tcPr>
            <w:tcW w:w="655" w:type="dxa"/>
          </w:tcPr>
          <w:p w14:paraId="78B6DB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A0852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C5A41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D9A16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B4EE7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D0463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C57DF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219C7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1FD86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60D0D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DC2FA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C1DDD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F4BC551" w14:textId="77777777" w:rsidTr="00CC5360">
        <w:tc>
          <w:tcPr>
            <w:tcW w:w="655" w:type="dxa"/>
          </w:tcPr>
          <w:p w14:paraId="054FDA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458</w:t>
            </w:r>
          </w:p>
        </w:tc>
        <w:tc>
          <w:tcPr>
            <w:tcW w:w="655" w:type="dxa"/>
          </w:tcPr>
          <w:p w14:paraId="638FBE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C8BF1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3FC202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0F29E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6A67D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C2ECE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AB106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44EA3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7E95D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EC2CE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27763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9286F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724A679" w14:textId="77777777" w:rsidTr="00CC5360">
        <w:tc>
          <w:tcPr>
            <w:tcW w:w="655" w:type="dxa"/>
          </w:tcPr>
          <w:p w14:paraId="58DD99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w:t>
            </w:r>
          </w:p>
        </w:tc>
        <w:tc>
          <w:tcPr>
            <w:tcW w:w="655" w:type="dxa"/>
          </w:tcPr>
          <w:p w14:paraId="4856C4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3CF7F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0A6921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7E3101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915CD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489C4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043327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97D42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57AFB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Pr>
          <w:p w14:paraId="2A0357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Pr>
          <w:p w14:paraId="5D4654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E2EDE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3B6365A" w14:textId="77777777" w:rsidTr="00CC5360">
        <w:tc>
          <w:tcPr>
            <w:tcW w:w="655" w:type="dxa"/>
          </w:tcPr>
          <w:p w14:paraId="74133C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отряд</w:t>
            </w:r>
          </w:p>
        </w:tc>
        <w:tc>
          <w:tcPr>
            <w:tcW w:w="655" w:type="dxa"/>
          </w:tcPr>
          <w:p w14:paraId="20FD80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826A5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DB667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9BA07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0C2AC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75190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2F121E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5343A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FB211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D586A0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13E74D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B9BD1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CA5ECCD" w14:textId="77777777" w:rsidTr="00CC5360">
        <w:tc>
          <w:tcPr>
            <w:tcW w:w="655" w:type="dxa"/>
            <w:tcBorders>
              <w:bottom w:val="single" w:sz="12" w:space="0" w:color="auto"/>
            </w:tcBorders>
          </w:tcPr>
          <w:p w14:paraId="504FC8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655" w:type="dxa"/>
            <w:tcBorders>
              <w:bottom w:val="single" w:sz="12" w:space="0" w:color="auto"/>
            </w:tcBorders>
          </w:tcPr>
          <w:p w14:paraId="1FCAC9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655" w:type="dxa"/>
            <w:tcBorders>
              <w:bottom w:val="single" w:sz="12" w:space="0" w:color="auto"/>
            </w:tcBorders>
          </w:tcPr>
          <w:p w14:paraId="41A079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655" w:type="dxa"/>
            <w:tcBorders>
              <w:bottom w:val="single" w:sz="12" w:space="0" w:color="auto"/>
            </w:tcBorders>
          </w:tcPr>
          <w:p w14:paraId="446AD3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655" w:type="dxa"/>
            <w:tcBorders>
              <w:bottom w:val="single" w:sz="12" w:space="0" w:color="auto"/>
            </w:tcBorders>
          </w:tcPr>
          <w:p w14:paraId="512F64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Borders>
              <w:bottom w:val="single" w:sz="12" w:space="0" w:color="auto"/>
            </w:tcBorders>
          </w:tcPr>
          <w:p w14:paraId="223246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Borders>
              <w:bottom w:val="single" w:sz="12" w:space="0" w:color="auto"/>
            </w:tcBorders>
          </w:tcPr>
          <w:p w14:paraId="7DD4DE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655" w:type="dxa"/>
            <w:tcBorders>
              <w:bottom w:val="single" w:sz="12" w:space="0" w:color="auto"/>
            </w:tcBorders>
          </w:tcPr>
          <w:p w14:paraId="6A7454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Borders>
              <w:bottom w:val="single" w:sz="12" w:space="0" w:color="auto"/>
            </w:tcBorders>
          </w:tcPr>
          <w:p w14:paraId="0BE855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Borders>
              <w:bottom w:val="single" w:sz="12" w:space="0" w:color="auto"/>
            </w:tcBorders>
          </w:tcPr>
          <w:p w14:paraId="6B236C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655" w:type="dxa"/>
            <w:tcBorders>
              <w:bottom w:val="single" w:sz="12" w:space="0" w:color="auto"/>
            </w:tcBorders>
          </w:tcPr>
          <w:p w14:paraId="48F432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655" w:type="dxa"/>
            <w:tcBorders>
              <w:bottom w:val="single" w:sz="12" w:space="0" w:color="auto"/>
            </w:tcBorders>
          </w:tcPr>
          <w:p w14:paraId="5B3EFF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Borders>
              <w:bottom w:val="single" w:sz="12" w:space="0" w:color="auto"/>
            </w:tcBorders>
          </w:tcPr>
          <w:p w14:paraId="1AE34A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r>
    </w:tbl>
    <w:p w14:paraId="247A27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54 происшествия, в т.ч.: катастроф - 8, аварий - 31, поломок и вынужденых посадок - 12, особых происшествий - 3</w:t>
      </w:r>
    </w:p>
    <w:p w14:paraId="7D5887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ОЛИС НКАП Окороков (2108,265)</w:t>
      </w:r>
    </w:p>
    <w:p w14:paraId="4842E7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ОЛИС НКАП Окороков (2108,265)</w:t>
      </w:r>
    </w:p>
    <w:p w14:paraId="49C28B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Сведения об аварийных происшествиях на ЛИС заводов НКАП за 1942 г. (согласно поступившим материалам в ОЛИС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9B487A" w:rsidRPr="00722885" w14:paraId="0CBDFD80" w14:textId="77777777" w:rsidTr="00CC5360">
        <w:tc>
          <w:tcPr>
            <w:tcW w:w="675" w:type="dxa"/>
            <w:tcBorders>
              <w:top w:val="single" w:sz="12" w:space="0" w:color="auto"/>
            </w:tcBorders>
          </w:tcPr>
          <w:p w14:paraId="4760D9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п/п</w:t>
            </w:r>
          </w:p>
        </w:tc>
        <w:tc>
          <w:tcPr>
            <w:tcW w:w="993" w:type="dxa"/>
            <w:tcBorders>
              <w:top w:val="single" w:sz="12" w:space="0" w:color="auto"/>
            </w:tcBorders>
          </w:tcPr>
          <w:p w14:paraId="698D22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Дата</w:t>
            </w:r>
          </w:p>
        </w:tc>
        <w:tc>
          <w:tcPr>
            <w:tcW w:w="708" w:type="dxa"/>
            <w:tcBorders>
              <w:top w:val="single" w:sz="12" w:space="0" w:color="auto"/>
            </w:tcBorders>
          </w:tcPr>
          <w:p w14:paraId="66609E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Заводов</w:t>
            </w:r>
          </w:p>
        </w:tc>
        <w:tc>
          <w:tcPr>
            <w:tcW w:w="1418" w:type="dxa"/>
            <w:tcBorders>
              <w:top w:val="single" w:sz="12" w:space="0" w:color="auto"/>
            </w:tcBorders>
          </w:tcPr>
          <w:p w14:paraId="23B9C4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w:t>
            </w:r>
          </w:p>
        </w:tc>
        <w:tc>
          <w:tcPr>
            <w:tcW w:w="2364" w:type="dxa"/>
            <w:tcBorders>
              <w:top w:val="single" w:sz="12" w:space="0" w:color="auto"/>
            </w:tcBorders>
          </w:tcPr>
          <w:p w14:paraId="28B106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2A5151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Краткое описание и причины происшествия</w:t>
            </w:r>
          </w:p>
        </w:tc>
      </w:tr>
      <w:tr w:rsidR="009B487A" w:rsidRPr="00722885" w14:paraId="6255D71D" w14:textId="77777777" w:rsidTr="00CC5360">
        <w:tc>
          <w:tcPr>
            <w:tcW w:w="675" w:type="dxa"/>
          </w:tcPr>
          <w:p w14:paraId="6FB2E1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993" w:type="dxa"/>
          </w:tcPr>
          <w:p w14:paraId="3C7484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708" w:type="dxa"/>
          </w:tcPr>
          <w:p w14:paraId="5D00EC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418" w:type="dxa"/>
          </w:tcPr>
          <w:p w14:paraId="078EFE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2364" w:type="dxa"/>
          </w:tcPr>
          <w:p w14:paraId="13BC73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4440" w:type="dxa"/>
          </w:tcPr>
          <w:p w14:paraId="3FB373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r>
      <w:tr w:rsidR="009B487A" w:rsidRPr="00722885" w14:paraId="026B9E35" w14:textId="77777777" w:rsidTr="00CC5360">
        <w:tc>
          <w:tcPr>
            <w:tcW w:w="675" w:type="dxa"/>
          </w:tcPr>
          <w:p w14:paraId="122A70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993" w:type="dxa"/>
          </w:tcPr>
          <w:p w14:paraId="013C90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января 1942</w:t>
            </w:r>
          </w:p>
        </w:tc>
        <w:tc>
          <w:tcPr>
            <w:tcW w:w="708" w:type="dxa"/>
          </w:tcPr>
          <w:p w14:paraId="0B71A7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418" w:type="dxa"/>
          </w:tcPr>
          <w:p w14:paraId="222C8E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364" w:type="dxa"/>
          </w:tcPr>
          <w:p w14:paraId="226EC1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Особое происшествие, с-т ПЛ-5 транспортный</w:t>
            </w:r>
          </w:p>
        </w:tc>
        <w:tc>
          <w:tcPr>
            <w:tcW w:w="4440" w:type="dxa"/>
          </w:tcPr>
          <w:p w14:paraId="0E0F77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Неправильная буксировка с-та в отсутствии бортмеханика. Поломано шасси</w:t>
            </w:r>
          </w:p>
        </w:tc>
      </w:tr>
      <w:tr w:rsidR="009B487A" w:rsidRPr="00722885" w14:paraId="75F948F2" w14:textId="77777777" w:rsidTr="00CC5360">
        <w:tc>
          <w:tcPr>
            <w:tcW w:w="675" w:type="dxa"/>
          </w:tcPr>
          <w:p w14:paraId="75A117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993" w:type="dxa"/>
          </w:tcPr>
          <w:p w14:paraId="401DF2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января 1942</w:t>
            </w:r>
          </w:p>
        </w:tc>
        <w:tc>
          <w:tcPr>
            <w:tcW w:w="708" w:type="dxa"/>
          </w:tcPr>
          <w:p w14:paraId="57FCB7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151D4C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И.И.Богданов</w:t>
            </w:r>
          </w:p>
        </w:tc>
        <w:tc>
          <w:tcPr>
            <w:tcW w:w="2364" w:type="dxa"/>
          </w:tcPr>
          <w:p w14:paraId="201D8E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28FFBC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сдаточном полете произошла раскрутка винта, с-т теряя скорость сделал посадку с убраным шасси на границе аэродрома. С-т разбит</w:t>
            </w:r>
          </w:p>
        </w:tc>
      </w:tr>
      <w:tr w:rsidR="009B487A" w:rsidRPr="00722885" w14:paraId="0C086B22" w14:textId="77777777" w:rsidTr="00CC5360">
        <w:tc>
          <w:tcPr>
            <w:tcW w:w="675" w:type="dxa"/>
          </w:tcPr>
          <w:p w14:paraId="777070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993" w:type="dxa"/>
          </w:tcPr>
          <w:p w14:paraId="2F9465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января 1942</w:t>
            </w:r>
          </w:p>
        </w:tc>
        <w:tc>
          <w:tcPr>
            <w:tcW w:w="708" w:type="dxa"/>
          </w:tcPr>
          <w:p w14:paraId="6AFB2A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418" w:type="dxa"/>
          </w:tcPr>
          <w:p w14:paraId="409183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Г.А.Ветлугин</w:t>
            </w:r>
          </w:p>
        </w:tc>
        <w:tc>
          <w:tcPr>
            <w:tcW w:w="2364" w:type="dxa"/>
          </w:tcPr>
          <w:p w14:paraId="297303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Вынужденная посадка УТ-2 транспортного</w:t>
            </w:r>
          </w:p>
        </w:tc>
        <w:tc>
          <w:tcPr>
            <w:tcW w:w="4440" w:type="dxa"/>
          </w:tcPr>
          <w:p w14:paraId="3C510A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недостатка горючего с-т вынуждено сел не долетев к месту назначения. Повреждений нет</w:t>
            </w:r>
          </w:p>
        </w:tc>
      </w:tr>
      <w:tr w:rsidR="009B487A" w:rsidRPr="00722885" w14:paraId="6B051D7B" w14:textId="77777777" w:rsidTr="00CC5360">
        <w:tc>
          <w:tcPr>
            <w:tcW w:w="675" w:type="dxa"/>
          </w:tcPr>
          <w:p w14:paraId="3A02B1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993" w:type="dxa"/>
          </w:tcPr>
          <w:p w14:paraId="146BAC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января 1942</w:t>
            </w:r>
          </w:p>
        </w:tc>
        <w:tc>
          <w:tcPr>
            <w:tcW w:w="708" w:type="dxa"/>
          </w:tcPr>
          <w:p w14:paraId="01CBA9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418" w:type="dxa"/>
          </w:tcPr>
          <w:p w14:paraId="7D2554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Г.А.Ветлугин</w:t>
            </w:r>
          </w:p>
        </w:tc>
        <w:tc>
          <w:tcPr>
            <w:tcW w:w="2364" w:type="dxa"/>
          </w:tcPr>
          <w:p w14:paraId="1C2B4F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УТ-2 транспортного</w:t>
            </w:r>
          </w:p>
        </w:tc>
        <w:tc>
          <w:tcPr>
            <w:tcW w:w="4440" w:type="dxa"/>
          </w:tcPr>
          <w:p w14:paraId="448630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на площадку ограниченных размеров л допустил ошибку в технике пилотирования.</w:t>
            </w:r>
          </w:p>
        </w:tc>
      </w:tr>
      <w:tr w:rsidR="009B487A" w:rsidRPr="00722885" w14:paraId="73F0E828" w14:textId="77777777" w:rsidTr="00CC5360">
        <w:tc>
          <w:tcPr>
            <w:tcW w:w="675" w:type="dxa"/>
          </w:tcPr>
          <w:p w14:paraId="3E48D4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993" w:type="dxa"/>
          </w:tcPr>
          <w:p w14:paraId="0B1F0D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января 1942</w:t>
            </w:r>
          </w:p>
        </w:tc>
        <w:tc>
          <w:tcPr>
            <w:tcW w:w="708" w:type="dxa"/>
          </w:tcPr>
          <w:p w14:paraId="4154E3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w:t>
            </w:r>
          </w:p>
        </w:tc>
        <w:tc>
          <w:tcPr>
            <w:tcW w:w="1418" w:type="dxa"/>
          </w:tcPr>
          <w:p w14:paraId="70B8D6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Г.П.Шустваль</w:t>
            </w:r>
          </w:p>
        </w:tc>
        <w:tc>
          <w:tcPr>
            <w:tcW w:w="2364" w:type="dxa"/>
          </w:tcPr>
          <w:p w14:paraId="7E074A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АР-2 транспортного</w:t>
            </w:r>
          </w:p>
        </w:tc>
        <w:tc>
          <w:tcPr>
            <w:tcW w:w="4440" w:type="dxa"/>
          </w:tcPr>
          <w:p w14:paraId="78B933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сложных метеоусловиях (туман, повышение местности) с-т при развороте врезался левой плоскостью в землю и разбился. Погибли: л, ш, моторист, пассажир. Бортмеханик тяжело ранен</w:t>
            </w:r>
          </w:p>
        </w:tc>
      </w:tr>
      <w:tr w:rsidR="009B487A" w:rsidRPr="00722885" w14:paraId="5EFD984A" w14:textId="77777777" w:rsidTr="00CC5360">
        <w:tc>
          <w:tcPr>
            <w:tcW w:w="675" w:type="dxa"/>
          </w:tcPr>
          <w:p w14:paraId="7C073D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993" w:type="dxa"/>
          </w:tcPr>
          <w:p w14:paraId="3CD87B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января 1942</w:t>
            </w:r>
          </w:p>
        </w:tc>
        <w:tc>
          <w:tcPr>
            <w:tcW w:w="708" w:type="dxa"/>
          </w:tcPr>
          <w:p w14:paraId="58091F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1418" w:type="dxa"/>
          </w:tcPr>
          <w:p w14:paraId="710C2E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С.Ф.Сенкевич</w:t>
            </w:r>
          </w:p>
        </w:tc>
        <w:tc>
          <w:tcPr>
            <w:tcW w:w="2364" w:type="dxa"/>
          </w:tcPr>
          <w:p w14:paraId="7B6877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Су-2 на испытаниях</w:t>
            </w:r>
          </w:p>
        </w:tc>
        <w:tc>
          <w:tcPr>
            <w:tcW w:w="4440" w:type="dxa"/>
          </w:tcPr>
          <w:p w14:paraId="71D04B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лопнул левый баллон колеса. С-т получил незначительные повреждения</w:t>
            </w:r>
          </w:p>
        </w:tc>
      </w:tr>
      <w:tr w:rsidR="009B487A" w:rsidRPr="00722885" w14:paraId="1D74FC05" w14:textId="77777777" w:rsidTr="00CC5360">
        <w:tc>
          <w:tcPr>
            <w:tcW w:w="675" w:type="dxa"/>
          </w:tcPr>
          <w:p w14:paraId="41C83C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993" w:type="dxa"/>
          </w:tcPr>
          <w:p w14:paraId="39D72F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января 1942</w:t>
            </w:r>
          </w:p>
        </w:tc>
        <w:tc>
          <w:tcPr>
            <w:tcW w:w="708" w:type="dxa"/>
          </w:tcPr>
          <w:p w14:paraId="0F57C9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35DE25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Н.Г.Алифанов</w:t>
            </w:r>
          </w:p>
        </w:tc>
        <w:tc>
          <w:tcPr>
            <w:tcW w:w="2364" w:type="dxa"/>
          </w:tcPr>
          <w:p w14:paraId="266322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Авирия ЛаГГ-3 на испытаниях</w:t>
            </w:r>
          </w:p>
        </w:tc>
        <w:tc>
          <w:tcPr>
            <w:tcW w:w="4440" w:type="dxa"/>
          </w:tcPr>
          <w:p w14:paraId="442A15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плохой подгонки и приклепки желоба отражающей трубы БС и плохой заделки тросса управления Р-7, выходящими газами из пулемета при стрельбе в воздухе сорвало жеклоб и вырвало тросс управления. Винт потерял управления и перешел на большой шаг, тяга винта прекратилась, с-т при вынужденной посадке садился на препятствия</w:t>
            </w:r>
          </w:p>
        </w:tc>
      </w:tr>
      <w:tr w:rsidR="009B487A" w:rsidRPr="00722885" w14:paraId="7CBD8B5C" w14:textId="77777777" w:rsidTr="00CC5360">
        <w:tc>
          <w:tcPr>
            <w:tcW w:w="675" w:type="dxa"/>
          </w:tcPr>
          <w:p w14:paraId="2BF4FC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w:t>
            </w:r>
          </w:p>
        </w:tc>
        <w:tc>
          <w:tcPr>
            <w:tcW w:w="993" w:type="dxa"/>
          </w:tcPr>
          <w:p w14:paraId="7093D6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января 1942</w:t>
            </w:r>
          </w:p>
        </w:tc>
        <w:tc>
          <w:tcPr>
            <w:tcW w:w="708" w:type="dxa"/>
          </w:tcPr>
          <w:p w14:paraId="728CB7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418" w:type="dxa"/>
          </w:tcPr>
          <w:p w14:paraId="1B6379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П.Г.Неклюдов</w:t>
            </w:r>
          </w:p>
        </w:tc>
        <w:tc>
          <w:tcPr>
            <w:tcW w:w="2364" w:type="dxa"/>
          </w:tcPr>
          <w:p w14:paraId="523424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Авиария МиГ-3 на испытаниях</w:t>
            </w:r>
          </w:p>
        </w:tc>
        <w:tc>
          <w:tcPr>
            <w:tcW w:w="4440" w:type="dxa"/>
          </w:tcPr>
          <w:p w14:paraId="3575A1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сдаточном полете на разбеге из-за неисправности лыжного амортизатора левая лыжа зацепилась за снег. С-т требует восстановительного ремонта</w:t>
            </w:r>
          </w:p>
        </w:tc>
      </w:tr>
      <w:tr w:rsidR="009B487A" w:rsidRPr="00722885" w14:paraId="20FFDDD9" w14:textId="77777777" w:rsidTr="00CC5360">
        <w:tc>
          <w:tcPr>
            <w:tcW w:w="675" w:type="dxa"/>
          </w:tcPr>
          <w:p w14:paraId="0E9849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993" w:type="dxa"/>
          </w:tcPr>
          <w:p w14:paraId="0340D2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февраля 1942</w:t>
            </w:r>
          </w:p>
        </w:tc>
        <w:tc>
          <w:tcPr>
            <w:tcW w:w="708" w:type="dxa"/>
          </w:tcPr>
          <w:p w14:paraId="68DD6B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w:t>
            </w:r>
          </w:p>
        </w:tc>
        <w:tc>
          <w:tcPr>
            <w:tcW w:w="1418" w:type="dxa"/>
          </w:tcPr>
          <w:p w14:paraId="117278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А.Е.Фатьянов</w:t>
            </w:r>
          </w:p>
        </w:tc>
        <w:tc>
          <w:tcPr>
            <w:tcW w:w="2364" w:type="dxa"/>
          </w:tcPr>
          <w:p w14:paraId="6F87A2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ПС-84 транспортного</w:t>
            </w:r>
          </w:p>
        </w:tc>
        <w:tc>
          <w:tcPr>
            <w:tcW w:w="4440" w:type="dxa"/>
          </w:tcPr>
          <w:p w14:paraId="417783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Ошибка л Фатьянова, взлетевшего с 3-х точек и отрыв с-та на малой скорости при полной загрузке</w:t>
            </w:r>
          </w:p>
        </w:tc>
      </w:tr>
      <w:tr w:rsidR="009B487A" w:rsidRPr="00722885" w14:paraId="090DE00A" w14:textId="77777777" w:rsidTr="00CC5360">
        <w:tc>
          <w:tcPr>
            <w:tcW w:w="675" w:type="dxa"/>
          </w:tcPr>
          <w:p w14:paraId="12EE84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993" w:type="dxa"/>
          </w:tcPr>
          <w:p w14:paraId="636A9F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февраля 1942</w:t>
            </w:r>
          </w:p>
        </w:tc>
        <w:tc>
          <w:tcPr>
            <w:tcW w:w="708" w:type="dxa"/>
          </w:tcPr>
          <w:p w14:paraId="0C6DD7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6CFB33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Ю.К.Станкевич</w:t>
            </w:r>
          </w:p>
        </w:tc>
        <w:tc>
          <w:tcPr>
            <w:tcW w:w="2364" w:type="dxa"/>
          </w:tcPr>
          <w:p w14:paraId="7BFA33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ЛаГГ-3 на испытаниях</w:t>
            </w:r>
          </w:p>
        </w:tc>
        <w:tc>
          <w:tcPr>
            <w:tcW w:w="4440" w:type="dxa"/>
          </w:tcPr>
          <w:p w14:paraId="4897F7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отрыва предкрылка левого крыла в воздухе на с-те ЛаГГ-3, с-т свалился в штопор и врезался в землю. Установлено, что не соответствовали механические качества серьги предкрылка. Лнтчик погиб</w:t>
            </w:r>
          </w:p>
        </w:tc>
      </w:tr>
      <w:tr w:rsidR="009B487A" w:rsidRPr="00722885" w14:paraId="3FCB5195" w14:textId="77777777" w:rsidTr="00CC5360">
        <w:tc>
          <w:tcPr>
            <w:tcW w:w="675" w:type="dxa"/>
          </w:tcPr>
          <w:p w14:paraId="74589C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993" w:type="dxa"/>
          </w:tcPr>
          <w:p w14:paraId="0688F9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февраля 1942</w:t>
            </w:r>
          </w:p>
        </w:tc>
        <w:tc>
          <w:tcPr>
            <w:tcW w:w="708" w:type="dxa"/>
          </w:tcPr>
          <w:p w14:paraId="4FE7E9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1418" w:type="dxa"/>
          </w:tcPr>
          <w:p w14:paraId="0EF9E5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А.П.Горбатов</w:t>
            </w:r>
          </w:p>
        </w:tc>
        <w:tc>
          <w:tcPr>
            <w:tcW w:w="2364" w:type="dxa"/>
          </w:tcPr>
          <w:p w14:paraId="23E94B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Як-1 на испытании</w:t>
            </w:r>
          </w:p>
        </w:tc>
        <w:tc>
          <w:tcPr>
            <w:tcW w:w="4440" w:type="dxa"/>
          </w:tcPr>
          <w:p w14:paraId="480D42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л позабыл выпустить шасси. При посадке на пузо изогнут винт, две балки РО и помяты гондолы водорадиатора</w:t>
            </w:r>
          </w:p>
        </w:tc>
      </w:tr>
      <w:tr w:rsidR="009B487A" w:rsidRPr="00722885" w14:paraId="78F1516E" w14:textId="77777777" w:rsidTr="00CC5360">
        <w:tc>
          <w:tcPr>
            <w:tcW w:w="675" w:type="dxa"/>
          </w:tcPr>
          <w:p w14:paraId="7605A2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993" w:type="dxa"/>
          </w:tcPr>
          <w:p w14:paraId="513940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марта 1942</w:t>
            </w:r>
          </w:p>
        </w:tc>
        <w:tc>
          <w:tcPr>
            <w:tcW w:w="708" w:type="dxa"/>
          </w:tcPr>
          <w:p w14:paraId="1C7418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2CE186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И.Г.Девотченко </w:t>
            </w:r>
          </w:p>
        </w:tc>
        <w:tc>
          <w:tcPr>
            <w:tcW w:w="2364" w:type="dxa"/>
          </w:tcPr>
          <w:p w14:paraId="62FCFD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1E8F42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 по вине л не смог оторваться от земли на взлете, выкатился за границу аэродрома и врезался в бугор снега</w:t>
            </w:r>
          </w:p>
        </w:tc>
      </w:tr>
      <w:tr w:rsidR="009B487A" w:rsidRPr="00722885" w14:paraId="089EB09D" w14:textId="77777777" w:rsidTr="00CC5360">
        <w:tc>
          <w:tcPr>
            <w:tcW w:w="675" w:type="dxa"/>
          </w:tcPr>
          <w:p w14:paraId="5CCDE7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w:t>
            </w:r>
          </w:p>
        </w:tc>
        <w:tc>
          <w:tcPr>
            <w:tcW w:w="993" w:type="dxa"/>
          </w:tcPr>
          <w:p w14:paraId="6245E4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марта 1942</w:t>
            </w:r>
          </w:p>
        </w:tc>
        <w:tc>
          <w:tcPr>
            <w:tcW w:w="708" w:type="dxa"/>
          </w:tcPr>
          <w:p w14:paraId="2E5358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1418" w:type="dxa"/>
          </w:tcPr>
          <w:p w14:paraId="4E7519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А.П.Горбатов</w:t>
            </w:r>
          </w:p>
        </w:tc>
        <w:tc>
          <w:tcPr>
            <w:tcW w:w="2364" w:type="dxa"/>
          </w:tcPr>
          <w:p w14:paraId="7D69E3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Авиария Як-1 на испытаниях</w:t>
            </w:r>
          </w:p>
        </w:tc>
        <w:tc>
          <w:tcPr>
            <w:tcW w:w="4440" w:type="dxa"/>
          </w:tcPr>
          <w:p w14:paraId="623AE6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 заходе на посадку л допустил большую скорость при низком выдерживании, вследствие чего произошел удар </w:t>
            </w:r>
            <w:r w:rsidRPr="00722885">
              <w:rPr>
                <w:rFonts w:ascii="Times New Roman" w:hAnsi="Times New Roman"/>
                <w:color w:val="000000" w:themeColor="text1"/>
                <w:sz w:val="16"/>
                <w:szCs w:val="16"/>
              </w:rPr>
              <w:lastRenderedPageBreak/>
              <w:t>шасси и разрушение, после чего с-т пополз на пузе, получив повреждения</w:t>
            </w:r>
          </w:p>
        </w:tc>
      </w:tr>
      <w:tr w:rsidR="009B487A" w:rsidRPr="00722885" w14:paraId="47F0DA8F" w14:textId="77777777" w:rsidTr="00CC5360">
        <w:tc>
          <w:tcPr>
            <w:tcW w:w="675" w:type="dxa"/>
          </w:tcPr>
          <w:p w14:paraId="4AEA28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14</w:t>
            </w:r>
          </w:p>
        </w:tc>
        <w:tc>
          <w:tcPr>
            <w:tcW w:w="993" w:type="dxa"/>
          </w:tcPr>
          <w:p w14:paraId="141A59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марта 1942</w:t>
            </w:r>
          </w:p>
        </w:tc>
        <w:tc>
          <w:tcPr>
            <w:tcW w:w="708" w:type="dxa"/>
          </w:tcPr>
          <w:p w14:paraId="51D5A5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Новосибирск</w:t>
            </w:r>
          </w:p>
        </w:tc>
        <w:tc>
          <w:tcPr>
            <w:tcW w:w="1418" w:type="dxa"/>
          </w:tcPr>
          <w:p w14:paraId="0C4A52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М.К.Байкалов</w:t>
            </w:r>
          </w:p>
        </w:tc>
        <w:tc>
          <w:tcPr>
            <w:tcW w:w="2364" w:type="dxa"/>
          </w:tcPr>
          <w:p w14:paraId="1A4352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23D1EF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с убраной левой лыжей и выпущенной неисправной правой лыжей</w:t>
            </w:r>
          </w:p>
        </w:tc>
      </w:tr>
      <w:tr w:rsidR="009B487A" w:rsidRPr="00722885" w14:paraId="2617B775" w14:textId="77777777" w:rsidTr="00CC5360">
        <w:tc>
          <w:tcPr>
            <w:tcW w:w="675" w:type="dxa"/>
          </w:tcPr>
          <w:p w14:paraId="7DFD80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993" w:type="dxa"/>
          </w:tcPr>
          <w:p w14:paraId="013300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марта 1942</w:t>
            </w:r>
          </w:p>
        </w:tc>
        <w:tc>
          <w:tcPr>
            <w:tcW w:w="708" w:type="dxa"/>
          </w:tcPr>
          <w:p w14:paraId="1CADB5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отряд</w:t>
            </w:r>
          </w:p>
        </w:tc>
        <w:tc>
          <w:tcPr>
            <w:tcW w:w="1418" w:type="dxa"/>
          </w:tcPr>
          <w:p w14:paraId="4F05BE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И.М.Скороходов</w:t>
            </w:r>
          </w:p>
        </w:tc>
        <w:tc>
          <w:tcPr>
            <w:tcW w:w="2364" w:type="dxa"/>
          </w:tcPr>
          <w:p w14:paraId="2A5BEA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ПС-84 транспортного</w:t>
            </w:r>
          </w:p>
        </w:tc>
        <w:tc>
          <w:tcPr>
            <w:tcW w:w="4440" w:type="dxa"/>
          </w:tcPr>
          <w:p w14:paraId="233AE9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 с недостаточно подогретым карбюратором по вине л и б/м</w:t>
            </w:r>
          </w:p>
        </w:tc>
      </w:tr>
      <w:tr w:rsidR="009B487A" w:rsidRPr="00722885" w14:paraId="2B27E91A" w14:textId="77777777" w:rsidTr="00CC5360">
        <w:tc>
          <w:tcPr>
            <w:tcW w:w="675" w:type="dxa"/>
          </w:tcPr>
          <w:p w14:paraId="76E5C4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993" w:type="dxa"/>
          </w:tcPr>
          <w:p w14:paraId="67A096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апреля 1942</w:t>
            </w:r>
          </w:p>
        </w:tc>
        <w:tc>
          <w:tcPr>
            <w:tcW w:w="708" w:type="dxa"/>
          </w:tcPr>
          <w:p w14:paraId="16AFE9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Раменское</w:t>
            </w:r>
          </w:p>
        </w:tc>
        <w:tc>
          <w:tcPr>
            <w:tcW w:w="1418" w:type="dxa"/>
          </w:tcPr>
          <w:p w14:paraId="75AC99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В.П.Федоров</w:t>
            </w:r>
          </w:p>
        </w:tc>
        <w:tc>
          <w:tcPr>
            <w:tcW w:w="2364" w:type="dxa"/>
          </w:tcPr>
          <w:p w14:paraId="799752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ДБ-3 транспортного</w:t>
            </w:r>
          </w:p>
        </w:tc>
        <w:tc>
          <w:tcPr>
            <w:tcW w:w="4440" w:type="dxa"/>
          </w:tcPr>
          <w:p w14:paraId="3D34BC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сдачи обоих моторов произошла вынужденная посадка, окончившаяся столкновением с другим с-том</w:t>
            </w:r>
          </w:p>
        </w:tc>
      </w:tr>
      <w:tr w:rsidR="009B487A" w:rsidRPr="00722885" w14:paraId="026DB33D" w14:textId="77777777" w:rsidTr="00CC5360">
        <w:tc>
          <w:tcPr>
            <w:tcW w:w="675" w:type="dxa"/>
          </w:tcPr>
          <w:p w14:paraId="352667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tc>
        <w:tc>
          <w:tcPr>
            <w:tcW w:w="993" w:type="dxa"/>
          </w:tcPr>
          <w:p w14:paraId="1D52312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апреля 1942</w:t>
            </w:r>
          </w:p>
        </w:tc>
        <w:tc>
          <w:tcPr>
            <w:tcW w:w="708" w:type="dxa"/>
          </w:tcPr>
          <w:p w14:paraId="753450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458</w:t>
            </w:r>
          </w:p>
        </w:tc>
        <w:tc>
          <w:tcPr>
            <w:tcW w:w="1418" w:type="dxa"/>
          </w:tcPr>
          <w:p w14:paraId="731170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С.Г.Петухов</w:t>
            </w:r>
          </w:p>
        </w:tc>
        <w:tc>
          <w:tcPr>
            <w:tcW w:w="2364" w:type="dxa"/>
          </w:tcPr>
          <w:p w14:paraId="7F265C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на испытаниях</w:t>
            </w:r>
          </w:p>
        </w:tc>
        <w:tc>
          <w:tcPr>
            <w:tcW w:w="4440" w:type="dxa"/>
          </w:tcPr>
          <w:p w14:paraId="7DC179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Воздушное хулиганство. При посадке с-т не выдержал направление по вине л</w:t>
            </w:r>
          </w:p>
        </w:tc>
      </w:tr>
      <w:tr w:rsidR="009B487A" w:rsidRPr="00722885" w14:paraId="742FEA31" w14:textId="77777777" w:rsidTr="00CC5360">
        <w:tc>
          <w:tcPr>
            <w:tcW w:w="675" w:type="dxa"/>
          </w:tcPr>
          <w:p w14:paraId="4581E0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993" w:type="dxa"/>
          </w:tcPr>
          <w:p w14:paraId="228BE1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апреля 1942</w:t>
            </w:r>
          </w:p>
        </w:tc>
        <w:tc>
          <w:tcPr>
            <w:tcW w:w="708" w:type="dxa"/>
          </w:tcPr>
          <w:p w14:paraId="6B61B6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418" w:type="dxa"/>
          </w:tcPr>
          <w:p w14:paraId="1E98E9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Иващенко</w:t>
            </w:r>
          </w:p>
        </w:tc>
        <w:tc>
          <w:tcPr>
            <w:tcW w:w="2364" w:type="dxa"/>
          </w:tcPr>
          <w:p w14:paraId="6B53D4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Особое происшествие на испытаниях Ил-2</w:t>
            </w:r>
          </w:p>
        </w:tc>
        <w:tc>
          <w:tcPr>
            <w:tcW w:w="4440" w:type="dxa"/>
          </w:tcPr>
          <w:p w14:paraId="09FE19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взлете без разрешения стартера с-т налетел на стоящий впереди вблизи ВПП с-т СБ и срезал ему крыло</w:t>
            </w:r>
          </w:p>
        </w:tc>
      </w:tr>
      <w:tr w:rsidR="009B487A" w:rsidRPr="00722885" w14:paraId="66700A3C" w14:textId="77777777" w:rsidTr="00CC5360">
        <w:tc>
          <w:tcPr>
            <w:tcW w:w="675" w:type="dxa"/>
          </w:tcPr>
          <w:p w14:paraId="6D3840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993" w:type="dxa"/>
          </w:tcPr>
          <w:p w14:paraId="2201F6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апреля 1942</w:t>
            </w:r>
          </w:p>
        </w:tc>
        <w:tc>
          <w:tcPr>
            <w:tcW w:w="708" w:type="dxa"/>
          </w:tcPr>
          <w:p w14:paraId="406600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1418" w:type="dxa"/>
          </w:tcPr>
          <w:p w14:paraId="242263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Чекалин</w:t>
            </w:r>
          </w:p>
        </w:tc>
        <w:tc>
          <w:tcPr>
            <w:tcW w:w="2364" w:type="dxa"/>
          </w:tcPr>
          <w:p w14:paraId="5648FC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Особое происшествие на Ил-2</w:t>
            </w:r>
          </w:p>
        </w:tc>
        <w:tc>
          <w:tcPr>
            <w:tcW w:w="4440" w:type="dxa"/>
          </w:tcPr>
          <w:p w14:paraId="490BD82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заруливании л по невнимательности столкнулся с другим Ил-2. Оба с-та получили значительные повреждения</w:t>
            </w:r>
          </w:p>
        </w:tc>
      </w:tr>
      <w:tr w:rsidR="009B487A" w:rsidRPr="00722885" w14:paraId="65C4AD8B" w14:textId="77777777" w:rsidTr="00CC5360">
        <w:tc>
          <w:tcPr>
            <w:tcW w:w="675" w:type="dxa"/>
          </w:tcPr>
          <w:p w14:paraId="734597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993" w:type="dxa"/>
          </w:tcPr>
          <w:p w14:paraId="4FC7A0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мая 1942</w:t>
            </w:r>
          </w:p>
        </w:tc>
        <w:tc>
          <w:tcPr>
            <w:tcW w:w="708" w:type="dxa"/>
          </w:tcPr>
          <w:p w14:paraId="3870C7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отряд</w:t>
            </w:r>
          </w:p>
        </w:tc>
        <w:tc>
          <w:tcPr>
            <w:tcW w:w="1418" w:type="dxa"/>
          </w:tcPr>
          <w:p w14:paraId="59AB93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В.А.Зайцев</w:t>
            </w:r>
          </w:p>
        </w:tc>
        <w:tc>
          <w:tcPr>
            <w:tcW w:w="2364" w:type="dxa"/>
          </w:tcPr>
          <w:p w14:paraId="264FEA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Вынужденная посадка</w:t>
            </w:r>
          </w:p>
        </w:tc>
        <w:tc>
          <w:tcPr>
            <w:tcW w:w="4440" w:type="dxa"/>
          </w:tcPr>
          <w:p w14:paraId="62E0D1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отказа левого мотора в воздухе л совершил вынужденную посадку</w:t>
            </w:r>
          </w:p>
        </w:tc>
      </w:tr>
      <w:tr w:rsidR="009B487A" w:rsidRPr="00722885" w14:paraId="1503E1BB" w14:textId="77777777" w:rsidTr="00CC5360">
        <w:tc>
          <w:tcPr>
            <w:tcW w:w="675" w:type="dxa"/>
          </w:tcPr>
          <w:p w14:paraId="454288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993" w:type="dxa"/>
          </w:tcPr>
          <w:p w14:paraId="24741E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мая 1942</w:t>
            </w:r>
          </w:p>
        </w:tc>
        <w:tc>
          <w:tcPr>
            <w:tcW w:w="708" w:type="dxa"/>
          </w:tcPr>
          <w:p w14:paraId="15B8AD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отряд</w:t>
            </w:r>
          </w:p>
        </w:tc>
        <w:tc>
          <w:tcPr>
            <w:tcW w:w="1418" w:type="dxa"/>
          </w:tcPr>
          <w:p w14:paraId="68F722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В.К.Сапетов</w:t>
            </w:r>
          </w:p>
        </w:tc>
        <w:tc>
          <w:tcPr>
            <w:tcW w:w="2364" w:type="dxa"/>
          </w:tcPr>
          <w:p w14:paraId="6C0355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ПС-84 транспортного</w:t>
            </w:r>
          </w:p>
        </w:tc>
        <w:tc>
          <w:tcPr>
            <w:tcW w:w="4440" w:type="dxa"/>
          </w:tcPr>
          <w:p w14:paraId="56FBCD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рулежке разрушилась верхняя ферма правой стороны шасси, с-т упал на правое крыло</w:t>
            </w:r>
          </w:p>
        </w:tc>
      </w:tr>
      <w:tr w:rsidR="009B487A" w:rsidRPr="00722885" w14:paraId="14E92E87" w14:textId="77777777" w:rsidTr="00CC5360">
        <w:tc>
          <w:tcPr>
            <w:tcW w:w="675" w:type="dxa"/>
          </w:tcPr>
          <w:p w14:paraId="50F779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w:t>
            </w:r>
          </w:p>
        </w:tc>
        <w:tc>
          <w:tcPr>
            <w:tcW w:w="993" w:type="dxa"/>
          </w:tcPr>
          <w:p w14:paraId="40F686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мая 1942</w:t>
            </w:r>
          </w:p>
        </w:tc>
        <w:tc>
          <w:tcPr>
            <w:tcW w:w="708" w:type="dxa"/>
          </w:tcPr>
          <w:p w14:paraId="4C9D2C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w:t>
            </w:r>
          </w:p>
        </w:tc>
        <w:tc>
          <w:tcPr>
            <w:tcW w:w="1418" w:type="dxa"/>
          </w:tcPr>
          <w:p w14:paraId="44AFCB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Н.А.Тихомиров</w:t>
            </w:r>
          </w:p>
        </w:tc>
        <w:tc>
          <w:tcPr>
            <w:tcW w:w="2364" w:type="dxa"/>
          </w:tcPr>
          <w:p w14:paraId="272108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Як-7Б на испытаниях</w:t>
            </w:r>
          </w:p>
        </w:tc>
        <w:tc>
          <w:tcPr>
            <w:tcW w:w="4440" w:type="dxa"/>
          </w:tcPr>
          <w:p w14:paraId="395BE1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Срыв в штопор на малой высоте по вине л (глубокий разворот на небольшой высоте). Л погиб</w:t>
            </w:r>
          </w:p>
        </w:tc>
      </w:tr>
      <w:tr w:rsidR="009B487A" w:rsidRPr="00722885" w14:paraId="09A32626" w14:textId="77777777" w:rsidTr="00CC5360">
        <w:tc>
          <w:tcPr>
            <w:tcW w:w="675" w:type="dxa"/>
          </w:tcPr>
          <w:p w14:paraId="50AAA3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w:t>
            </w:r>
          </w:p>
        </w:tc>
        <w:tc>
          <w:tcPr>
            <w:tcW w:w="993" w:type="dxa"/>
          </w:tcPr>
          <w:p w14:paraId="3D3CD6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мая 1942</w:t>
            </w:r>
          </w:p>
        </w:tc>
        <w:tc>
          <w:tcPr>
            <w:tcW w:w="708" w:type="dxa"/>
          </w:tcPr>
          <w:p w14:paraId="6200A4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Раменское</w:t>
            </w:r>
          </w:p>
        </w:tc>
        <w:tc>
          <w:tcPr>
            <w:tcW w:w="1418" w:type="dxa"/>
          </w:tcPr>
          <w:p w14:paraId="4DB316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Е.Н.Гимпель</w:t>
            </w:r>
          </w:p>
        </w:tc>
        <w:tc>
          <w:tcPr>
            <w:tcW w:w="2364" w:type="dxa"/>
          </w:tcPr>
          <w:p w14:paraId="6A654E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на испытаниях</w:t>
            </w:r>
          </w:p>
        </w:tc>
        <w:tc>
          <w:tcPr>
            <w:tcW w:w="4440" w:type="dxa"/>
          </w:tcPr>
          <w:p w14:paraId="4B90B60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 забыл выпустить шасси и сделал посадку с убранным шасси. С-т имеет повреждения</w:t>
            </w:r>
          </w:p>
        </w:tc>
      </w:tr>
      <w:tr w:rsidR="009B487A" w:rsidRPr="00722885" w14:paraId="7D214D84" w14:textId="77777777" w:rsidTr="00CC5360">
        <w:tc>
          <w:tcPr>
            <w:tcW w:w="675" w:type="dxa"/>
          </w:tcPr>
          <w:p w14:paraId="52FB34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993" w:type="dxa"/>
          </w:tcPr>
          <w:p w14:paraId="0A2780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мая 1942</w:t>
            </w:r>
          </w:p>
        </w:tc>
        <w:tc>
          <w:tcPr>
            <w:tcW w:w="708" w:type="dxa"/>
          </w:tcPr>
          <w:p w14:paraId="286AA8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1418" w:type="dxa"/>
          </w:tcPr>
          <w:p w14:paraId="1EC010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В.Ф.Любченко</w:t>
            </w:r>
          </w:p>
        </w:tc>
        <w:tc>
          <w:tcPr>
            <w:tcW w:w="2364" w:type="dxa"/>
          </w:tcPr>
          <w:p w14:paraId="493CCF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УТИ-4 транспортного</w:t>
            </w:r>
          </w:p>
        </w:tc>
        <w:tc>
          <w:tcPr>
            <w:tcW w:w="4440" w:type="dxa"/>
          </w:tcPr>
          <w:p w14:paraId="3CE6CB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Недостача горючего. При вынужденной посадке на стройплощадку с-т скапотировал</w:t>
            </w:r>
          </w:p>
        </w:tc>
      </w:tr>
      <w:tr w:rsidR="009B487A" w:rsidRPr="00722885" w14:paraId="533CEFA0" w14:textId="77777777" w:rsidTr="00CC5360">
        <w:tc>
          <w:tcPr>
            <w:tcW w:w="675" w:type="dxa"/>
          </w:tcPr>
          <w:p w14:paraId="01A7C9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w:t>
            </w:r>
          </w:p>
        </w:tc>
        <w:tc>
          <w:tcPr>
            <w:tcW w:w="993" w:type="dxa"/>
          </w:tcPr>
          <w:p w14:paraId="1CF19E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мая 1942</w:t>
            </w:r>
          </w:p>
        </w:tc>
        <w:tc>
          <w:tcPr>
            <w:tcW w:w="708" w:type="dxa"/>
          </w:tcPr>
          <w:p w14:paraId="7C5BC4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w:t>
            </w:r>
          </w:p>
        </w:tc>
        <w:tc>
          <w:tcPr>
            <w:tcW w:w="1418" w:type="dxa"/>
          </w:tcPr>
          <w:p w14:paraId="67956D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Л.Н.Васильев</w:t>
            </w:r>
          </w:p>
        </w:tc>
        <w:tc>
          <w:tcPr>
            <w:tcW w:w="2364" w:type="dxa"/>
          </w:tcPr>
          <w:p w14:paraId="6AA58C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Пе-2 на испытаниях</w:t>
            </w:r>
          </w:p>
        </w:tc>
        <w:tc>
          <w:tcPr>
            <w:tcW w:w="4440" w:type="dxa"/>
          </w:tcPr>
          <w:p w14:paraId="6C1A97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установки в воздухе правого мотора, л производил посадку на одном моторе и по своей вине выключил и левый мотор. С-т разбит</w:t>
            </w:r>
          </w:p>
        </w:tc>
      </w:tr>
      <w:tr w:rsidR="009B487A" w:rsidRPr="00722885" w14:paraId="4AF4AED6" w14:textId="77777777" w:rsidTr="00CC5360">
        <w:tc>
          <w:tcPr>
            <w:tcW w:w="675" w:type="dxa"/>
          </w:tcPr>
          <w:p w14:paraId="63C1BA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w:t>
            </w:r>
          </w:p>
        </w:tc>
        <w:tc>
          <w:tcPr>
            <w:tcW w:w="993" w:type="dxa"/>
          </w:tcPr>
          <w:p w14:paraId="1A2041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мая 1942</w:t>
            </w:r>
          </w:p>
        </w:tc>
        <w:tc>
          <w:tcPr>
            <w:tcW w:w="708" w:type="dxa"/>
          </w:tcPr>
          <w:p w14:paraId="627E5F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25158B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В.Н.Колонцов</w:t>
            </w:r>
          </w:p>
        </w:tc>
        <w:tc>
          <w:tcPr>
            <w:tcW w:w="2364" w:type="dxa"/>
          </w:tcPr>
          <w:p w14:paraId="46976A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У-2 транспортного</w:t>
            </w:r>
          </w:p>
        </w:tc>
        <w:tc>
          <w:tcPr>
            <w:tcW w:w="4440" w:type="dxa"/>
          </w:tcPr>
          <w:p w14:paraId="39CB65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в сложных метеоусловиях и по ветру с-т скапотировал</w:t>
            </w:r>
          </w:p>
        </w:tc>
      </w:tr>
      <w:tr w:rsidR="009B487A" w:rsidRPr="00722885" w14:paraId="65C7EAA4" w14:textId="77777777" w:rsidTr="00CC5360">
        <w:tc>
          <w:tcPr>
            <w:tcW w:w="675" w:type="dxa"/>
          </w:tcPr>
          <w:p w14:paraId="27E412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w:t>
            </w:r>
          </w:p>
        </w:tc>
        <w:tc>
          <w:tcPr>
            <w:tcW w:w="993" w:type="dxa"/>
          </w:tcPr>
          <w:p w14:paraId="73A75C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мая 1942</w:t>
            </w:r>
          </w:p>
        </w:tc>
        <w:tc>
          <w:tcPr>
            <w:tcW w:w="708" w:type="dxa"/>
          </w:tcPr>
          <w:p w14:paraId="769FC7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1418" w:type="dxa"/>
          </w:tcPr>
          <w:p w14:paraId="6AC252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И.М.Скороходов</w:t>
            </w:r>
          </w:p>
        </w:tc>
        <w:tc>
          <w:tcPr>
            <w:tcW w:w="2364" w:type="dxa"/>
          </w:tcPr>
          <w:p w14:paraId="3BED93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ПС-84 транспортного</w:t>
            </w:r>
          </w:p>
        </w:tc>
        <w:tc>
          <w:tcPr>
            <w:tcW w:w="4440" w:type="dxa"/>
          </w:tcPr>
          <w:p w14:paraId="2436CF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полете в сложных метеоусловиях (туман) с-т врезался в гору. Все 6 человек погибли</w:t>
            </w:r>
          </w:p>
        </w:tc>
      </w:tr>
      <w:tr w:rsidR="009B487A" w:rsidRPr="00722885" w14:paraId="22D9A3BD" w14:textId="77777777" w:rsidTr="00CC5360">
        <w:tc>
          <w:tcPr>
            <w:tcW w:w="675" w:type="dxa"/>
          </w:tcPr>
          <w:p w14:paraId="418174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w:t>
            </w:r>
          </w:p>
        </w:tc>
        <w:tc>
          <w:tcPr>
            <w:tcW w:w="993" w:type="dxa"/>
          </w:tcPr>
          <w:p w14:paraId="1E5705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мая 1942</w:t>
            </w:r>
          </w:p>
        </w:tc>
        <w:tc>
          <w:tcPr>
            <w:tcW w:w="708" w:type="dxa"/>
          </w:tcPr>
          <w:p w14:paraId="0B6CE9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153</w:t>
            </w:r>
          </w:p>
        </w:tc>
        <w:tc>
          <w:tcPr>
            <w:tcW w:w="1418" w:type="dxa"/>
          </w:tcPr>
          <w:p w14:paraId="6C515D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В.И.Фортинский</w:t>
            </w:r>
          </w:p>
        </w:tc>
        <w:tc>
          <w:tcPr>
            <w:tcW w:w="2364" w:type="dxa"/>
          </w:tcPr>
          <w:p w14:paraId="088B01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Як-7 а на испытаниях</w:t>
            </w:r>
          </w:p>
        </w:tc>
        <w:tc>
          <w:tcPr>
            <w:tcW w:w="4440" w:type="dxa"/>
          </w:tcPr>
          <w:p w14:paraId="57B3AB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на дорожку л не справился с управлением при боковом ветре, с-т выкатился за дорожку и скапотировал</w:t>
            </w:r>
          </w:p>
        </w:tc>
      </w:tr>
      <w:tr w:rsidR="009B487A" w:rsidRPr="00722885" w14:paraId="7C49F2D3" w14:textId="77777777" w:rsidTr="00CC5360">
        <w:tc>
          <w:tcPr>
            <w:tcW w:w="675" w:type="dxa"/>
          </w:tcPr>
          <w:p w14:paraId="126B3E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993" w:type="dxa"/>
          </w:tcPr>
          <w:p w14:paraId="373D77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мая 1942</w:t>
            </w:r>
          </w:p>
        </w:tc>
        <w:tc>
          <w:tcPr>
            <w:tcW w:w="708" w:type="dxa"/>
          </w:tcPr>
          <w:p w14:paraId="4C212E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w:t>
            </w:r>
          </w:p>
        </w:tc>
        <w:tc>
          <w:tcPr>
            <w:tcW w:w="1418" w:type="dxa"/>
          </w:tcPr>
          <w:p w14:paraId="300E28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А.Г.Баймасов </w:t>
            </w:r>
          </w:p>
        </w:tc>
        <w:tc>
          <w:tcPr>
            <w:tcW w:w="2364" w:type="dxa"/>
          </w:tcPr>
          <w:p w14:paraId="2A2614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Ил-4 на испытаниях</w:t>
            </w:r>
          </w:p>
        </w:tc>
        <w:tc>
          <w:tcPr>
            <w:tcW w:w="4440" w:type="dxa"/>
          </w:tcPr>
          <w:p w14:paraId="11EAEB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по ветру вследствие ухода стартера с летного поля и промаз с-та. С-т столкнулся с находившимися на поле И-16 и ЛаГГ-3 и вывел их из строя</w:t>
            </w:r>
          </w:p>
        </w:tc>
      </w:tr>
      <w:tr w:rsidR="009B487A" w:rsidRPr="00722885" w14:paraId="4225EEE2" w14:textId="77777777" w:rsidTr="00CC5360">
        <w:tc>
          <w:tcPr>
            <w:tcW w:w="675" w:type="dxa"/>
          </w:tcPr>
          <w:p w14:paraId="3BF573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993" w:type="dxa"/>
          </w:tcPr>
          <w:p w14:paraId="525150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июня 1942</w:t>
            </w:r>
          </w:p>
        </w:tc>
        <w:tc>
          <w:tcPr>
            <w:tcW w:w="708" w:type="dxa"/>
          </w:tcPr>
          <w:p w14:paraId="1493E5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1418" w:type="dxa"/>
          </w:tcPr>
          <w:p w14:paraId="08CB49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Гурский</w:t>
            </w:r>
          </w:p>
        </w:tc>
        <w:tc>
          <w:tcPr>
            <w:tcW w:w="2364" w:type="dxa"/>
          </w:tcPr>
          <w:p w14:paraId="79BEA5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И-2 при испытаниях</w:t>
            </w:r>
          </w:p>
        </w:tc>
        <w:tc>
          <w:tcPr>
            <w:tcW w:w="4440" w:type="dxa"/>
          </w:tcPr>
          <w:p w14:paraId="21D6A2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разбеге л упустил ногу и не справился с управлением</w:t>
            </w:r>
          </w:p>
        </w:tc>
      </w:tr>
      <w:tr w:rsidR="009B487A" w:rsidRPr="00722885" w14:paraId="1EC483F2" w14:textId="77777777" w:rsidTr="00CC5360">
        <w:tc>
          <w:tcPr>
            <w:tcW w:w="675" w:type="dxa"/>
          </w:tcPr>
          <w:p w14:paraId="444A25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993" w:type="dxa"/>
          </w:tcPr>
          <w:p w14:paraId="6B97F6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июня 1942</w:t>
            </w:r>
          </w:p>
        </w:tc>
        <w:tc>
          <w:tcPr>
            <w:tcW w:w="708" w:type="dxa"/>
          </w:tcPr>
          <w:p w14:paraId="3FD176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61A943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Г.Д.Меркулов</w:t>
            </w:r>
          </w:p>
        </w:tc>
        <w:tc>
          <w:tcPr>
            <w:tcW w:w="2364" w:type="dxa"/>
          </w:tcPr>
          <w:p w14:paraId="358414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ЛаГГ-3 на испытаниях</w:t>
            </w:r>
          </w:p>
        </w:tc>
        <w:tc>
          <w:tcPr>
            <w:tcW w:w="4440" w:type="dxa"/>
          </w:tcPr>
          <w:p w14:paraId="2708FC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в тумане. С-т разбит. Л погиб</w:t>
            </w:r>
          </w:p>
        </w:tc>
      </w:tr>
      <w:tr w:rsidR="009B487A" w:rsidRPr="00722885" w14:paraId="4854252E" w14:textId="77777777" w:rsidTr="00CC5360">
        <w:tc>
          <w:tcPr>
            <w:tcW w:w="675" w:type="dxa"/>
          </w:tcPr>
          <w:p w14:paraId="7406B0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w:t>
            </w:r>
          </w:p>
        </w:tc>
        <w:tc>
          <w:tcPr>
            <w:tcW w:w="993" w:type="dxa"/>
          </w:tcPr>
          <w:p w14:paraId="3FB029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мая 1942</w:t>
            </w:r>
          </w:p>
        </w:tc>
        <w:tc>
          <w:tcPr>
            <w:tcW w:w="708" w:type="dxa"/>
          </w:tcPr>
          <w:p w14:paraId="6422CB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418" w:type="dxa"/>
          </w:tcPr>
          <w:p w14:paraId="25ECBF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Г.А.Ветлугин</w:t>
            </w:r>
          </w:p>
        </w:tc>
        <w:tc>
          <w:tcPr>
            <w:tcW w:w="2364" w:type="dxa"/>
          </w:tcPr>
          <w:p w14:paraId="06853E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ПЛ-5 транспортного</w:t>
            </w:r>
          </w:p>
        </w:tc>
        <w:tc>
          <w:tcPr>
            <w:tcW w:w="4440" w:type="dxa"/>
          </w:tcPr>
          <w:p w14:paraId="40B705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полете из Свердловска в Казань в сложных метеоусловиях пропл без вести и до сих пор не найден</w:t>
            </w:r>
          </w:p>
        </w:tc>
      </w:tr>
      <w:tr w:rsidR="009B487A" w:rsidRPr="00722885" w14:paraId="4A7EA3C9" w14:textId="77777777" w:rsidTr="00CC5360">
        <w:tc>
          <w:tcPr>
            <w:tcW w:w="675" w:type="dxa"/>
          </w:tcPr>
          <w:p w14:paraId="5F2342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w:t>
            </w:r>
          </w:p>
        </w:tc>
        <w:tc>
          <w:tcPr>
            <w:tcW w:w="993" w:type="dxa"/>
          </w:tcPr>
          <w:p w14:paraId="66B585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июня 1942</w:t>
            </w:r>
          </w:p>
        </w:tc>
        <w:tc>
          <w:tcPr>
            <w:tcW w:w="708" w:type="dxa"/>
          </w:tcPr>
          <w:p w14:paraId="5CCCCE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466</w:t>
            </w:r>
          </w:p>
        </w:tc>
        <w:tc>
          <w:tcPr>
            <w:tcW w:w="1418" w:type="dxa"/>
          </w:tcPr>
          <w:p w14:paraId="380CF4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М.С.Комаров</w:t>
            </w:r>
          </w:p>
        </w:tc>
        <w:tc>
          <w:tcPr>
            <w:tcW w:w="2364" w:type="dxa"/>
          </w:tcPr>
          <w:p w14:paraId="640305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ПС-84 транспортного</w:t>
            </w:r>
          </w:p>
        </w:tc>
        <w:tc>
          <w:tcPr>
            <w:tcW w:w="4440" w:type="dxa"/>
          </w:tcPr>
          <w:p w14:paraId="62F420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Остановка мотора в воздухе от попадания воды через систему инерного газа. Экипаж не был ознакомлен с установкой</w:t>
            </w:r>
          </w:p>
        </w:tc>
      </w:tr>
      <w:tr w:rsidR="009B487A" w:rsidRPr="00722885" w14:paraId="7A7E587C" w14:textId="77777777" w:rsidTr="00CC5360">
        <w:tc>
          <w:tcPr>
            <w:tcW w:w="675" w:type="dxa"/>
          </w:tcPr>
          <w:p w14:paraId="775E22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993" w:type="dxa"/>
          </w:tcPr>
          <w:p w14:paraId="7164F3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июня 1942</w:t>
            </w:r>
          </w:p>
        </w:tc>
        <w:tc>
          <w:tcPr>
            <w:tcW w:w="708" w:type="dxa"/>
          </w:tcPr>
          <w:p w14:paraId="48D8C0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Раменское</w:t>
            </w:r>
          </w:p>
        </w:tc>
        <w:tc>
          <w:tcPr>
            <w:tcW w:w="1418" w:type="dxa"/>
          </w:tcPr>
          <w:p w14:paraId="3E4AA7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В.П.Федоров</w:t>
            </w:r>
          </w:p>
        </w:tc>
        <w:tc>
          <w:tcPr>
            <w:tcW w:w="2364" w:type="dxa"/>
          </w:tcPr>
          <w:p w14:paraId="50F688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оытного планер К-Г на испытаниях</w:t>
            </w:r>
          </w:p>
        </w:tc>
        <w:tc>
          <w:tcPr>
            <w:tcW w:w="4440" w:type="dxa"/>
          </w:tcPr>
          <w:p w14:paraId="1CCCDE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Неисправность крепления ролика в управлении тормозными щитками, вследствие чего произошло открытие щитков и нарушение управляемости</w:t>
            </w:r>
          </w:p>
        </w:tc>
      </w:tr>
      <w:tr w:rsidR="009B487A" w:rsidRPr="00722885" w14:paraId="7D9EED01" w14:textId="77777777" w:rsidTr="00CC5360">
        <w:tc>
          <w:tcPr>
            <w:tcW w:w="675" w:type="dxa"/>
          </w:tcPr>
          <w:p w14:paraId="5C1579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993" w:type="dxa"/>
          </w:tcPr>
          <w:p w14:paraId="3ED644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 июня 1942 </w:t>
            </w:r>
          </w:p>
        </w:tc>
        <w:tc>
          <w:tcPr>
            <w:tcW w:w="708" w:type="dxa"/>
          </w:tcPr>
          <w:p w14:paraId="3D14B9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5F1571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Г.А.Мищенко </w:t>
            </w:r>
          </w:p>
        </w:tc>
        <w:tc>
          <w:tcPr>
            <w:tcW w:w="2364" w:type="dxa"/>
          </w:tcPr>
          <w:p w14:paraId="54AC39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УТИ-26 транспортного</w:t>
            </w:r>
          </w:p>
        </w:tc>
        <w:tc>
          <w:tcPr>
            <w:tcW w:w="4440" w:type="dxa"/>
          </w:tcPr>
          <w:p w14:paraId="6E1D85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время остановки с-та после пробега л по ошибкн вместо уборки закрылков нажал рычаг уборки шасси</w:t>
            </w:r>
          </w:p>
        </w:tc>
      </w:tr>
      <w:tr w:rsidR="009B487A" w:rsidRPr="00722885" w14:paraId="7B1B4A21" w14:textId="77777777" w:rsidTr="00CC5360">
        <w:tc>
          <w:tcPr>
            <w:tcW w:w="675" w:type="dxa"/>
          </w:tcPr>
          <w:p w14:paraId="54F73C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w:t>
            </w:r>
          </w:p>
        </w:tc>
        <w:tc>
          <w:tcPr>
            <w:tcW w:w="993" w:type="dxa"/>
          </w:tcPr>
          <w:p w14:paraId="2BDB74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апреля 1942</w:t>
            </w:r>
          </w:p>
        </w:tc>
        <w:tc>
          <w:tcPr>
            <w:tcW w:w="708" w:type="dxa"/>
          </w:tcPr>
          <w:p w14:paraId="1D14D6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4387A3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Л.М.Глезнер</w:t>
            </w:r>
          </w:p>
        </w:tc>
        <w:tc>
          <w:tcPr>
            <w:tcW w:w="2364" w:type="dxa"/>
          </w:tcPr>
          <w:p w14:paraId="458D34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5524AD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с неисправным закрылком при боковом ветре. С-т выкатился с дорожки и провалился в грунт</w:t>
            </w:r>
          </w:p>
        </w:tc>
      </w:tr>
      <w:tr w:rsidR="009B487A" w:rsidRPr="00722885" w14:paraId="6B796940" w14:textId="77777777" w:rsidTr="00CC5360">
        <w:tc>
          <w:tcPr>
            <w:tcW w:w="675" w:type="dxa"/>
          </w:tcPr>
          <w:p w14:paraId="60F7DE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w:t>
            </w:r>
          </w:p>
        </w:tc>
        <w:tc>
          <w:tcPr>
            <w:tcW w:w="993" w:type="dxa"/>
          </w:tcPr>
          <w:p w14:paraId="2020DB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июня 1942</w:t>
            </w:r>
          </w:p>
        </w:tc>
        <w:tc>
          <w:tcPr>
            <w:tcW w:w="708" w:type="dxa"/>
          </w:tcPr>
          <w:p w14:paraId="279949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w:t>
            </w:r>
          </w:p>
        </w:tc>
        <w:tc>
          <w:tcPr>
            <w:tcW w:w="1418" w:type="dxa"/>
          </w:tcPr>
          <w:p w14:paraId="3E974E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А.Г.Баймасов</w:t>
            </w:r>
          </w:p>
        </w:tc>
        <w:tc>
          <w:tcPr>
            <w:tcW w:w="2364" w:type="dxa"/>
          </w:tcPr>
          <w:p w14:paraId="4DA8AA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Ил-4 на испытаниях</w:t>
            </w:r>
          </w:p>
        </w:tc>
        <w:tc>
          <w:tcPr>
            <w:tcW w:w="4440" w:type="dxa"/>
          </w:tcPr>
          <w:p w14:paraId="5AAE4A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халатности л и техсостава шасси после взлета не убралось из-за отсутствия давления воздуха, оставшись в подогнутом положении. Перед посадкой не было выпущено по той же причине</w:t>
            </w:r>
          </w:p>
        </w:tc>
      </w:tr>
      <w:tr w:rsidR="009B487A" w:rsidRPr="00722885" w14:paraId="1647D081" w14:textId="77777777" w:rsidTr="00CC5360">
        <w:tc>
          <w:tcPr>
            <w:tcW w:w="675" w:type="dxa"/>
          </w:tcPr>
          <w:p w14:paraId="2BC7AB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w:t>
            </w:r>
          </w:p>
        </w:tc>
        <w:tc>
          <w:tcPr>
            <w:tcW w:w="993" w:type="dxa"/>
          </w:tcPr>
          <w:p w14:paraId="261D1C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июня 1942</w:t>
            </w:r>
          </w:p>
        </w:tc>
        <w:tc>
          <w:tcPr>
            <w:tcW w:w="708" w:type="dxa"/>
          </w:tcPr>
          <w:p w14:paraId="45D507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189C07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А.А.Третьяков</w:t>
            </w:r>
          </w:p>
        </w:tc>
        <w:tc>
          <w:tcPr>
            <w:tcW w:w="2364" w:type="dxa"/>
          </w:tcPr>
          <w:p w14:paraId="34CB10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ЛаГГ-5 на испытаниях</w:t>
            </w:r>
          </w:p>
        </w:tc>
        <w:tc>
          <w:tcPr>
            <w:tcW w:w="4440" w:type="dxa"/>
          </w:tcPr>
          <w:p w14:paraId="6D41F4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Предполагаемая причина: возникновение пожара ВМГ. Л выбросился на парашюте и разбился. С-т сгорел</w:t>
            </w:r>
          </w:p>
        </w:tc>
      </w:tr>
      <w:tr w:rsidR="009B487A" w:rsidRPr="00722885" w14:paraId="12779018" w14:textId="77777777" w:rsidTr="00CC5360">
        <w:tc>
          <w:tcPr>
            <w:tcW w:w="675" w:type="dxa"/>
          </w:tcPr>
          <w:p w14:paraId="5C1694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w:t>
            </w:r>
          </w:p>
        </w:tc>
        <w:tc>
          <w:tcPr>
            <w:tcW w:w="993" w:type="dxa"/>
          </w:tcPr>
          <w:p w14:paraId="693E1A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w:t>
            </w:r>
          </w:p>
        </w:tc>
        <w:tc>
          <w:tcPr>
            <w:tcW w:w="708" w:type="dxa"/>
          </w:tcPr>
          <w:p w14:paraId="0E8C3A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w:t>
            </w:r>
          </w:p>
        </w:tc>
        <w:tc>
          <w:tcPr>
            <w:tcW w:w="1418" w:type="dxa"/>
          </w:tcPr>
          <w:p w14:paraId="34A5A1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Н.А.Балашев</w:t>
            </w:r>
          </w:p>
        </w:tc>
        <w:tc>
          <w:tcPr>
            <w:tcW w:w="2364" w:type="dxa"/>
          </w:tcPr>
          <w:p w14:paraId="514292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Як-7 на испытаниях</w:t>
            </w:r>
          </w:p>
        </w:tc>
        <w:tc>
          <w:tcPr>
            <w:tcW w:w="4440" w:type="dxa"/>
          </w:tcPr>
          <w:p w14:paraId="01EA3E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халатности л при работе мотора на малом газу установил кран шасси на уборку. Поврежденыв лопасти винта и обтекатель тоннеля водорадиатора</w:t>
            </w:r>
          </w:p>
        </w:tc>
      </w:tr>
      <w:tr w:rsidR="009B487A" w:rsidRPr="00722885" w14:paraId="2A9B120C" w14:textId="77777777" w:rsidTr="00CC5360">
        <w:tc>
          <w:tcPr>
            <w:tcW w:w="675" w:type="dxa"/>
          </w:tcPr>
          <w:p w14:paraId="0FDFB1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993" w:type="dxa"/>
          </w:tcPr>
          <w:p w14:paraId="13B6CD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w:t>
            </w:r>
          </w:p>
        </w:tc>
        <w:tc>
          <w:tcPr>
            <w:tcW w:w="708" w:type="dxa"/>
          </w:tcPr>
          <w:p w14:paraId="66F51C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w:t>
            </w:r>
          </w:p>
        </w:tc>
        <w:tc>
          <w:tcPr>
            <w:tcW w:w="1418" w:type="dxa"/>
          </w:tcPr>
          <w:p w14:paraId="645FDF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Н.П.Котяков</w:t>
            </w:r>
          </w:p>
        </w:tc>
        <w:tc>
          <w:tcPr>
            <w:tcW w:w="2364" w:type="dxa"/>
          </w:tcPr>
          <w:p w14:paraId="4D1241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Ту-2 на испытаниях</w:t>
            </w:r>
          </w:p>
        </w:tc>
        <w:tc>
          <w:tcPr>
            <w:tcW w:w="4440" w:type="dxa"/>
          </w:tcPr>
          <w:p w14:paraId="506415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в конце первой половины пробега л упустил машину вправо, при резком развороте сломалась левая нога шасси</w:t>
            </w:r>
          </w:p>
        </w:tc>
      </w:tr>
      <w:tr w:rsidR="009B487A" w:rsidRPr="00722885" w14:paraId="65AB4EC4" w14:textId="77777777" w:rsidTr="00CC5360">
        <w:tc>
          <w:tcPr>
            <w:tcW w:w="675" w:type="dxa"/>
          </w:tcPr>
          <w:p w14:paraId="1A1011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c>
          <w:tcPr>
            <w:tcW w:w="993" w:type="dxa"/>
          </w:tcPr>
          <w:p w14:paraId="7583FA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w:t>
            </w:r>
          </w:p>
        </w:tc>
        <w:tc>
          <w:tcPr>
            <w:tcW w:w="708" w:type="dxa"/>
          </w:tcPr>
          <w:p w14:paraId="633AB2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1418" w:type="dxa"/>
          </w:tcPr>
          <w:p w14:paraId="5DDB82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С.С.Чеголя</w:t>
            </w:r>
          </w:p>
        </w:tc>
        <w:tc>
          <w:tcPr>
            <w:tcW w:w="2364" w:type="dxa"/>
          </w:tcPr>
          <w:p w14:paraId="491F85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на испытаниях Як-1</w:t>
            </w:r>
          </w:p>
        </w:tc>
        <w:tc>
          <w:tcPr>
            <w:tcW w:w="4440" w:type="dxa"/>
          </w:tcPr>
          <w:p w14:paraId="59607D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с промазом из-за ошибки л у с-та при резком развороте отломались обе ноги</w:t>
            </w:r>
          </w:p>
        </w:tc>
      </w:tr>
      <w:tr w:rsidR="009B487A" w:rsidRPr="00722885" w14:paraId="057DC55E" w14:textId="77777777" w:rsidTr="00CC5360">
        <w:tc>
          <w:tcPr>
            <w:tcW w:w="675" w:type="dxa"/>
          </w:tcPr>
          <w:p w14:paraId="77F9A1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w:t>
            </w:r>
          </w:p>
        </w:tc>
        <w:tc>
          <w:tcPr>
            <w:tcW w:w="993" w:type="dxa"/>
          </w:tcPr>
          <w:p w14:paraId="3EBA4A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w:t>
            </w:r>
          </w:p>
        </w:tc>
        <w:tc>
          <w:tcPr>
            <w:tcW w:w="708" w:type="dxa"/>
          </w:tcPr>
          <w:p w14:paraId="0BCC90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Раменское</w:t>
            </w:r>
          </w:p>
        </w:tc>
        <w:tc>
          <w:tcPr>
            <w:tcW w:w="1418" w:type="dxa"/>
          </w:tcPr>
          <w:p w14:paraId="41D210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Д.С.Зосим</w:t>
            </w:r>
          </w:p>
        </w:tc>
        <w:tc>
          <w:tcPr>
            <w:tcW w:w="2364" w:type="dxa"/>
          </w:tcPr>
          <w:p w14:paraId="32DCFA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СБ транспортного</w:t>
            </w:r>
          </w:p>
        </w:tc>
        <w:tc>
          <w:tcPr>
            <w:tcW w:w="4440" w:type="dxa"/>
          </w:tcPr>
          <w:p w14:paraId="6294E7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с неработающим двигателем из-за недостаточности давления л допустил ошибку, выключив моторы, что привело к резкому развороту с-та и поломке левой ноги</w:t>
            </w:r>
          </w:p>
        </w:tc>
      </w:tr>
      <w:tr w:rsidR="009B487A" w:rsidRPr="00722885" w14:paraId="7FD0DE5D" w14:textId="77777777" w:rsidTr="00CC5360">
        <w:tc>
          <w:tcPr>
            <w:tcW w:w="675" w:type="dxa"/>
          </w:tcPr>
          <w:p w14:paraId="450959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w:t>
            </w:r>
          </w:p>
        </w:tc>
        <w:tc>
          <w:tcPr>
            <w:tcW w:w="993" w:type="dxa"/>
          </w:tcPr>
          <w:p w14:paraId="12AA20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w:t>
            </w:r>
          </w:p>
        </w:tc>
        <w:tc>
          <w:tcPr>
            <w:tcW w:w="708" w:type="dxa"/>
          </w:tcPr>
          <w:p w14:paraId="23AE24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462</w:t>
            </w:r>
          </w:p>
        </w:tc>
        <w:tc>
          <w:tcPr>
            <w:tcW w:w="1418" w:type="dxa"/>
          </w:tcPr>
          <w:p w14:paraId="6AC66C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П.У.Фокин</w:t>
            </w:r>
          </w:p>
        </w:tc>
        <w:tc>
          <w:tcPr>
            <w:tcW w:w="2364" w:type="dxa"/>
          </w:tcPr>
          <w:p w14:paraId="593C00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МиГ-3 на испытаниях</w:t>
            </w:r>
          </w:p>
        </w:tc>
        <w:tc>
          <w:tcPr>
            <w:tcW w:w="4440" w:type="dxa"/>
          </w:tcPr>
          <w:p w14:paraId="6DEEDE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Ошибка л, допустившего преждевременную уборку шасси на взлете</w:t>
            </w:r>
          </w:p>
        </w:tc>
      </w:tr>
      <w:tr w:rsidR="009B487A" w:rsidRPr="00722885" w14:paraId="5FEC97B8" w14:textId="77777777" w:rsidTr="00CC5360">
        <w:tc>
          <w:tcPr>
            <w:tcW w:w="675" w:type="dxa"/>
          </w:tcPr>
          <w:p w14:paraId="0AEFA1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w:t>
            </w:r>
          </w:p>
        </w:tc>
        <w:tc>
          <w:tcPr>
            <w:tcW w:w="993" w:type="dxa"/>
          </w:tcPr>
          <w:p w14:paraId="260349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w:t>
            </w:r>
          </w:p>
        </w:tc>
        <w:tc>
          <w:tcPr>
            <w:tcW w:w="708" w:type="dxa"/>
          </w:tcPr>
          <w:p w14:paraId="672831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w:t>
            </w:r>
          </w:p>
        </w:tc>
        <w:tc>
          <w:tcPr>
            <w:tcW w:w="1418" w:type="dxa"/>
          </w:tcPr>
          <w:p w14:paraId="0BF499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Н.Д.Бакин</w:t>
            </w:r>
          </w:p>
        </w:tc>
        <w:tc>
          <w:tcPr>
            <w:tcW w:w="2364" w:type="dxa"/>
          </w:tcPr>
          <w:p w14:paraId="41AF60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при испытаниях Ту-2</w:t>
            </w:r>
          </w:p>
        </w:tc>
        <w:tc>
          <w:tcPr>
            <w:tcW w:w="4440" w:type="dxa"/>
          </w:tcPr>
          <w:p w14:paraId="000521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Ошибка л, допустившего посадку на большой скорости и несправившимся с тенденцией разворота с-та</w:t>
            </w:r>
          </w:p>
        </w:tc>
      </w:tr>
      <w:tr w:rsidR="009B487A" w:rsidRPr="00722885" w14:paraId="7A17107B" w14:textId="77777777" w:rsidTr="00CC5360">
        <w:tc>
          <w:tcPr>
            <w:tcW w:w="675" w:type="dxa"/>
          </w:tcPr>
          <w:p w14:paraId="128546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w:t>
            </w:r>
          </w:p>
        </w:tc>
        <w:tc>
          <w:tcPr>
            <w:tcW w:w="993" w:type="dxa"/>
          </w:tcPr>
          <w:p w14:paraId="1DFF25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1942</w:t>
            </w:r>
          </w:p>
        </w:tc>
        <w:tc>
          <w:tcPr>
            <w:tcW w:w="708" w:type="dxa"/>
          </w:tcPr>
          <w:p w14:paraId="604AAD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w:t>
            </w:r>
          </w:p>
        </w:tc>
        <w:tc>
          <w:tcPr>
            <w:tcW w:w="1418" w:type="dxa"/>
          </w:tcPr>
          <w:p w14:paraId="2BECBD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Попов</w:t>
            </w:r>
          </w:p>
        </w:tc>
        <w:tc>
          <w:tcPr>
            <w:tcW w:w="2364" w:type="dxa"/>
          </w:tcPr>
          <w:p w14:paraId="3438C9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Як-7 на испытаниях</w:t>
            </w:r>
          </w:p>
        </w:tc>
        <w:tc>
          <w:tcPr>
            <w:tcW w:w="4440" w:type="dxa"/>
          </w:tcPr>
          <w:p w14:paraId="0192DC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на левую ногу вследствие невыхода правой ноги</w:t>
            </w:r>
          </w:p>
        </w:tc>
      </w:tr>
      <w:tr w:rsidR="009B487A" w:rsidRPr="00722885" w14:paraId="6644F622" w14:textId="77777777" w:rsidTr="00CC5360">
        <w:tc>
          <w:tcPr>
            <w:tcW w:w="675" w:type="dxa"/>
          </w:tcPr>
          <w:p w14:paraId="61E02B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46</w:t>
            </w:r>
          </w:p>
        </w:tc>
        <w:tc>
          <w:tcPr>
            <w:tcW w:w="993" w:type="dxa"/>
          </w:tcPr>
          <w:p w14:paraId="6FE289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w:t>
            </w:r>
          </w:p>
        </w:tc>
        <w:tc>
          <w:tcPr>
            <w:tcW w:w="708" w:type="dxa"/>
          </w:tcPr>
          <w:p w14:paraId="60D0DC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1418" w:type="dxa"/>
          </w:tcPr>
          <w:p w14:paraId="47B835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П.Г.Демченко</w:t>
            </w:r>
          </w:p>
        </w:tc>
        <w:tc>
          <w:tcPr>
            <w:tcW w:w="2364" w:type="dxa"/>
          </w:tcPr>
          <w:p w14:paraId="00EB71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ДБ-3Ф транспортного</w:t>
            </w:r>
          </w:p>
        </w:tc>
        <w:tc>
          <w:tcPr>
            <w:tcW w:w="4440" w:type="dxa"/>
          </w:tcPr>
          <w:p w14:paraId="635C48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полете из-за течи бензина в бензобаке произошел пожар. Экипаж спасся, с-т сгорел на вынужжденной</w:t>
            </w:r>
          </w:p>
        </w:tc>
      </w:tr>
      <w:tr w:rsidR="009B487A" w:rsidRPr="00722885" w14:paraId="1B618B9B" w14:textId="77777777" w:rsidTr="00CC5360">
        <w:tc>
          <w:tcPr>
            <w:tcW w:w="675" w:type="dxa"/>
          </w:tcPr>
          <w:p w14:paraId="7EA372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993" w:type="dxa"/>
          </w:tcPr>
          <w:p w14:paraId="5F755D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1942</w:t>
            </w:r>
          </w:p>
        </w:tc>
        <w:tc>
          <w:tcPr>
            <w:tcW w:w="708" w:type="dxa"/>
          </w:tcPr>
          <w:p w14:paraId="349E60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Новосибирск</w:t>
            </w:r>
          </w:p>
        </w:tc>
        <w:tc>
          <w:tcPr>
            <w:tcW w:w="1418" w:type="dxa"/>
          </w:tcPr>
          <w:p w14:paraId="3AD661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П.М.Пепельнушенко</w:t>
            </w:r>
          </w:p>
        </w:tc>
        <w:tc>
          <w:tcPr>
            <w:tcW w:w="2364" w:type="dxa"/>
          </w:tcPr>
          <w:p w14:paraId="4D76BC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5F31FA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вынужденной посадке вне аэродрома по вине л, неправильно определившего запас горючего</w:t>
            </w:r>
          </w:p>
        </w:tc>
      </w:tr>
      <w:tr w:rsidR="009B487A" w:rsidRPr="00722885" w14:paraId="5D4071CB" w14:textId="77777777" w:rsidTr="00CC5360">
        <w:tc>
          <w:tcPr>
            <w:tcW w:w="675" w:type="dxa"/>
          </w:tcPr>
          <w:p w14:paraId="083588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w:t>
            </w:r>
          </w:p>
        </w:tc>
        <w:tc>
          <w:tcPr>
            <w:tcW w:w="993" w:type="dxa"/>
          </w:tcPr>
          <w:p w14:paraId="08D11C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w:t>
            </w:r>
          </w:p>
        </w:tc>
        <w:tc>
          <w:tcPr>
            <w:tcW w:w="708" w:type="dxa"/>
          </w:tcPr>
          <w:p w14:paraId="593378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154</w:t>
            </w:r>
          </w:p>
        </w:tc>
        <w:tc>
          <w:tcPr>
            <w:tcW w:w="1418" w:type="dxa"/>
          </w:tcPr>
          <w:p w14:paraId="26A9DF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Марченков</w:t>
            </w:r>
          </w:p>
        </w:tc>
        <w:tc>
          <w:tcPr>
            <w:tcW w:w="2364" w:type="dxa"/>
          </w:tcPr>
          <w:p w14:paraId="5DF279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У-2 транспортного</w:t>
            </w:r>
          </w:p>
        </w:tc>
        <w:tc>
          <w:tcPr>
            <w:tcW w:w="4440" w:type="dxa"/>
          </w:tcPr>
          <w:p w14:paraId="3A1F490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Нарушение наставления по производству полетов л</w:t>
            </w:r>
          </w:p>
        </w:tc>
      </w:tr>
      <w:tr w:rsidR="009B487A" w:rsidRPr="00722885" w14:paraId="667A3396" w14:textId="77777777" w:rsidTr="00CC5360">
        <w:tc>
          <w:tcPr>
            <w:tcW w:w="675" w:type="dxa"/>
          </w:tcPr>
          <w:p w14:paraId="0C5A6F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w:t>
            </w:r>
          </w:p>
        </w:tc>
        <w:tc>
          <w:tcPr>
            <w:tcW w:w="993" w:type="dxa"/>
          </w:tcPr>
          <w:p w14:paraId="046365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августа 1942</w:t>
            </w:r>
          </w:p>
        </w:tc>
        <w:tc>
          <w:tcPr>
            <w:tcW w:w="708" w:type="dxa"/>
          </w:tcPr>
          <w:p w14:paraId="742751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w:t>
            </w:r>
          </w:p>
        </w:tc>
        <w:tc>
          <w:tcPr>
            <w:tcW w:w="1418" w:type="dxa"/>
          </w:tcPr>
          <w:p w14:paraId="235F15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Н.П.Кривошеин</w:t>
            </w:r>
          </w:p>
        </w:tc>
        <w:tc>
          <w:tcPr>
            <w:tcW w:w="2364" w:type="dxa"/>
          </w:tcPr>
          <w:p w14:paraId="11CBC5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515FE2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прекращения подачи горючего, мотор обрезал на взлете, при посадке на неровное поле с-т разбит</w:t>
            </w:r>
          </w:p>
        </w:tc>
      </w:tr>
      <w:tr w:rsidR="009B487A" w:rsidRPr="00722885" w14:paraId="427AF861" w14:textId="77777777" w:rsidTr="00CC5360">
        <w:tc>
          <w:tcPr>
            <w:tcW w:w="675" w:type="dxa"/>
          </w:tcPr>
          <w:p w14:paraId="7919EC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c>
          <w:tcPr>
            <w:tcW w:w="993" w:type="dxa"/>
          </w:tcPr>
          <w:p w14:paraId="72925F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w:t>
            </w:r>
          </w:p>
        </w:tc>
        <w:tc>
          <w:tcPr>
            <w:tcW w:w="708" w:type="dxa"/>
          </w:tcPr>
          <w:p w14:paraId="74773C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1D5E8A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А.А.Попов</w:t>
            </w:r>
          </w:p>
        </w:tc>
        <w:tc>
          <w:tcPr>
            <w:tcW w:w="2364" w:type="dxa"/>
          </w:tcPr>
          <w:p w14:paraId="4EF983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5533E2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отказа мотора в воздухе с-т произвел вынужденную посадку на неровное поле и разбился</w:t>
            </w:r>
          </w:p>
        </w:tc>
      </w:tr>
      <w:tr w:rsidR="009B487A" w:rsidRPr="00722885" w14:paraId="407D97AA" w14:textId="77777777" w:rsidTr="00CC5360">
        <w:tc>
          <w:tcPr>
            <w:tcW w:w="675" w:type="dxa"/>
          </w:tcPr>
          <w:p w14:paraId="029780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w:t>
            </w:r>
          </w:p>
        </w:tc>
        <w:tc>
          <w:tcPr>
            <w:tcW w:w="993" w:type="dxa"/>
          </w:tcPr>
          <w:p w14:paraId="091FD7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w:t>
            </w:r>
          </w:p>
        </w:tc>
        <w:tc>
          <w:tcPr>
            <w:tcW w:w="708" w:type="dxa"/>
          </w:tcPr>
          <w:p w14:paraId="25887E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w:t>
            </w:r>
          </w:p>
        </w:tc>
        <w:tc>
          <w:tcPr>
            <w:tcW w:w="1418" w:type="dxa"/>
          </w:tcPr>
          <w:p w14:paraId="0057F7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Н.А.Балашов</w:t>
            </w:r>
          </w:p>
        </w:tc>
        <w:tc>
          <w:tcPr>
            <w:tcW w:w="2364" w:type="dxa"/>
          </w:tcPr>
          <w:p w14:paraId="49D0FE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ЛаГГ-3 на испытаниях</w:t>
            </w:r>
          </w:p>
        </w:tc>
        <w:tc>
          <w:tcPr>
            <w:tcW w:w="4440" w:type="dxa"/>
          </w:tcPr>
          <w:p w14:paraId="71CC2A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вине л с-т при посадке сошел с полосы и наскочил на стоящий Як-7</w:t>
            </w:r>
          </w:p>
        </w:tc>
      </w:tr>
      <w:tr w:rsidR="009B487A" w:rsidRPr="00722885" w14:paraId="53B25D89" w14:textId="77777777" w:rsidTr="00CC5360">
        <w:tc>
          <w:tcPr>
            <w:tcW w:w="675" w:type="dxa"/>
          </w:tcPr>
          <w:p w14:paraId="2D303A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c>
          <w:tcPr>
            <w:tcW w:w="993" w:type="dxa"/>
          </w:tcPr>
          <w:p w14:paraId="2E3EA0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w:t>
            </w:r>
          </w:p>
        </w:tc>
        <w:tc>
          <w:tcPr>
            <w:tcW w:w="708" w:type="dxa"/>
          </w:tcPr>
          <w:p w14:paraId="33AC72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w:t>
            </w:r>
          </w:p>
        </w:tc>
        <w:tc>
          <w:tcPr>
            <w:tcW w:w="1418" w:type="dxa"/>
          </w:tcPr>
          <w:p w14:paraId="79BA2C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С.С.Стрельников</w:t>
            </w:r>
          </w:p>
        </w:tc>
        <w:tc>
          <w:tcPr>
            <w:tcW w:w="2364" w:type="dxa"/>
          </w:tcPr>
          <w:p w14:paraId="764ED4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Пе-2 на испытаниях</w:t>
            </w:r>
          </w:p>
        </w:tc>
        <w:tc>
          <w:tcPr>
            <w:tcW w:w="4440" w:type="dxa"/>
          </w:tcPr>
          <w:p w14:paraId="494ABF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неизвестной причине сдал правый мотор и с-т не дотянул до аэродрома при резком снижении ударился о землю и загорелся. Л и б/м погибли</w:t>
            </w:r>
          </w:p>
        </w:tc>
      </w:tr>
      <w:tr w:rsidR="009B487A" w:rsidRPr="00722885" w14:paraId="4EA9A9BF" w14:textId="77777777" w:rsidTr="00CC5360">
        <w:tc>
          <w:tcPr>
            <w:tcW w:w="675" w:type="dxa"/>
          </w:tcPr>
          <w:p w14:paraId="7CBB3A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w:t>
            </w:r>
          </w:p>
        </w:tc>
        <w:tc>
          <w:tcPr>
            <w:tcW w:w="993" w:type="dxa"/>
          </w:tcPr>
          <w:p w14:paraId="35C2B8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августа 1942</w:t>
            </w:r>
          </w:p>
        </w:tc>
        <w:tc>
          <w:tcPr>
            <w:tcW w:w="708" w:type="dxa"/>
          </w:tcPr>
          <w:p w14:paraId="0A38482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1418" w:type="dxa"/>
          </w:tcPr>
          <w:p w14:paraId="2C348B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С.Ф.Сенкевич</w:t>
            </w:r>
          </w:p>
        </w:tc>
        <w:tc>
          <w:tcPr>
            <w:tcW w:w="2364" w:type="dxa"/>
          </w:tcPr>
          <w:p w14:paraId="76E077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Су-2 на испытаниях</w:t>
            </w:r>
          </w:p>
        </w:tc>
        <w:tc>
          <w:tcPr>
            <w:tcW w:w="4440" w:type="dxa"/>
          </w:tcPr>
          <w:p w14:paraId="1C56F2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невыпуска левой ноги, произведена посадка на правую ногу</w:t>
            </w:r>
          </w:p>
        </w:tc>
      </w:tr>
      <w:tr w:rsidR="009B487A" w:rsidRPr="00722885" w14:paraId="03D6483E" w14:textId="77777777" w:rsidTr="00CC5360">
        <w:tc>
          <w:tcPr>
            <w:tcW w:w="675" w:type="dxa"/>
            <w:tcBorders>
              <w:bottom w:val="single" w:sz="12" w:space="0" w:color="auto"/>
            </w:tcBorders>
          </w:tcPr>
          <w:p w14:paraId="5DE1F3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w:t>
            </w:r>
          </w:p>
        </w:tc>
        <w:tc>
          <w:tcPr>
            <w:tcW w:w="993" w:type="dxa"/>
            <w:tcBorders>
              <w:bottom w:val="single" w:sz="12" w:space="0" w:color="auto"/>
            </w:tcBorders>
          </w:tcPr>
          <w:p w14:paraId="405023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w:t>
            </w:r>
          </w:p>
        </w:tc>
        <w:tc>
          <w:tcPr>
            <w:tcW w:w="708" w:type="dxa"/>
            <w:tcBorders>
              <w:bottom w:val="single" w:sz="12" w:space="0" w:color="auto"/>
            </w:tcBorders>
          </w:tcPr>
          <w:p w14:paraId="5D7391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1418" w:type="dxa"/>
            <w:tcBorders>
              <w:bottom w:val="single" w:sz="12" w:space="0" w:color="auto"/>
            </w:tcBorders>
          </w:tcPr>
          <w:p w14:paraId="358FCC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Романов</w:t>
            </w:r>
          </w:p>
        </w:tc>
        <w:tc>
          <w:tcPr>
            <w:tcW w:w="2364" w:type="dxa"/>
            <w:tcBorders>
              <w:bottom w:val="single" w:sz="12" w:space="0" w:color="auto"/>
            </w:tcBorders>
          </w:tcPr>
          <w:p w14:paraId="68B584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УТ-2 транспортного</w:t>
            </w:r>
          </w:p>
        </w:tc>
        <w:tc>
          <w:tcPr>
            <w:tcW w:w="4440" w:type="dxa"/>
            <w:tcBorders>
              <w:bottom w:val="single" w:sz="12" w:space="0" w:color="auto"/>
            </w:tcBorders>
          </w:tcPr>
          <w:p w14:paraId="16BA4A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вынужденной посадки из-за неисправности мотора</w:t>
            </w:r>
          </w:p>
        </w:tc>
      </w:tr>
    </w:tbl>
    <w:p w14:paraId="4E9E2B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(2108,266)</w:t>
      </w:r>
    </w:p>
    <w:p w14:paraId="24E816E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6C2837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F394764" w14:textId="77777777" w:rsidR="00090C9B" w:rsidRPr="00722885" w:rsidRDefault="00090C9B" w:rsidP="00722885">
      <w:pPr>
        <w:pStyle w:val="Iauiue"/>
        <w:jc w:val="both"/>
        <w:rPr>
          <w:iCs/>
          <w:color w:val="000000" w:themeColor="text1"/>
          <w:sz w:val="16"/>
          <w:szCs w:val="16"/>
        </w:rPr>
      </w:pPr>
    </w:p>
    <w:p w14:paraId="737489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11 по 13 сентября 1942 года на заводе № 183 прошла конференция заводов наркомата танковой промышленности, посвященная качеству производства танков Т-34. Председателем на ней был заместитель наркома танковой промышленности Ж. Котин, в работе участвовали директора, главные конструкторы и инженеры танковых заводов, а также представители ГАБТУ РККА и НКТП.</w:t>
      </w:r>
    </w:p>
    <w:p w14:paraId="58D6E8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Открывая заседание, выступил Котин, который сказал:</w:t>
      </w:r>
    </w:p>
    <w:p w14:paraId="47A7C8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«Сейчас на Т-34 поступает большое количество жалоб. Причины дефектов по танкам вам всем известны. Первая причина - недостаточная видимость из танка, вторая причина - слабое звено или слабое место, которое все время сопровождает нашу машину в армии - бортовая передача. Третий, главный вопрос, который сегодня имеется - недостаточная прочность кривошипа ленивца. Вот эти вопросы являются сегодня основными дефектами на танке Т-34. Рассмотрев эти вопросы, как конструктивно, так и технологически хочется остановиться на таком вопросе, который связан чисто с производственными недостатками, которые у нас имеются. Это - небрежность при выпуске боевых машин с заводов, недостаточная тщательность в сборке и приемке машин, приводящие к тому, что наши танки, находясь в условиях боевого применения, подчас не доходят до линии фронта или, попадая на территорию, занятую противником, для проведения боевых операций, иногда вынуждены из-за мелочей остаться на территории противника... Надо сделать так, чтобы в результате работы этой конференции были вскрыты все недостатки и по итогам данной конференции можно было бы в кратчайшее время внести все исправления в танк.</w:t>
      </w:r>
    </w:p>
    <w:p w14:paraId="0AD2F9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Недавно мы с тов. Морозовым были у тов. Сталина. Товарищ Сталин обратил наше внимание на то, что танки противника свободно перебрасываются на большие расстояния, а наши машины хотя и лучше, а обладают тем недостатком, что если пройдут 50 или 80 километров, так начинают чинить. К чему это относится? Это относится к механизмам управления; это относится, как называет тов. Сталин, к механизмам передачи, и он, приводя сравнение танка Т-3, находящегося на вооружении немецкой армии, который хуже по бронестойкости, который хуже и по другим качествам, и по расположению экипажа, который не имеет такого прекрасного мотора, который имеется на танке Т-34, причем бензиновый, а не дизельный, ставит вопрос - почему у них лучше отработаны механизмы передачи?</w:t>
      </w:r>
    </w:p>
    <w:p w14:paraId="5ACA88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Товарищ Сталин дал директивные указания конструкторам, дал директивные указания Народному Комиссару — т. Зальцману, директорам заводов, и обязал в ближайшее время провести исправление всех дефектов. По этому вопросу имеется специальное решение Государственного Комитета Обороны и указания наркомата. Несмотря на все эти решения, которые были, решения Правительства, приказы Народного Комиссара Танковой Промышленности, несмотря на неоднократные указания из армейских частей, указания Главного Бронетанкового Управления, занимающегося непосредственно эксплуатацией машин - все эти дефекты на машинах продолжают повторяться.</w:t>
      </w:r>
    </w:p>
    <w:p w14:paraId="26E1D3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Нам надо вскрыть все эти недостатки, и на этой конференции надо внести свои предложения о том, как лучше и как быстрее доработать узлы машины, чгобы танк Т-34, который признан в армии, как хороший танк, сделать еще лучшей боевой машиной».</w:t>
      </w:r>
    </w:p>
    <w:p w14:paraId="407833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Довольно интересные сведения содержались в докладе главного инспектора наркомата танковой промышленности Г. Гутмана, который сказал следующее:</w:t>
      </w:r>
    </w:p>
    <w:p w14:paraId="5E6F70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«Здесь надо учесть еще один момент, весьма существенный, когда мы рассматриваем вопрос эксплуатации нашего танка в воинских частях на фронте. Квалификация людей. которые водят машину, понижается помимо того, как война продолжается, и все мы знаем, что подготовка людей, и водителей в первую очередь, в учебных полках продолжается очень малый срок, и система обучения не обеспечивает должной квалификации - нет достаточного времени для этой цели. Надо заводам взять шефство над учебными полками. Из бракованных деталей сделать по одному разрезному танку для учебных полков, чтобы обучающиеся там могли походить возле машины и знать, как она устроена. Мы кровно заинтересованы с Вами, чтобы машина находилась на фронте в руках квалифицированных людей.</w:t>
      </w:r>
    </w:p>
    <w:p w14:paraId="7444D7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Должен отметить еще один момент, что наши заводы ставят своей основной задачей (правильно, вообще говоря) выпуск определенного количества танков с завода, но не проявляют заботы о том, чтобы все танки, находящиеся на фронте, ходили. У нас десятки танков стоят без небольшого количества деталей, которые, по существу говоря, не представляют больших трудностей для изготовления их на заводе. Но здесь имеется одно обстоятельство — каждый завод почти не выполняет плана по выпуску запасных частей, и ГАБТУ желая восстановить танк даже за счет своих собственных деталей, не может этого сделать, потому, что запасных частей не хватает. Отсюда и происходят бесконечные потоки жалоб в Правительство, обращения, письма и т.д. Если Вы посмотрите документы, которые идут от командующих армиями, то они направлены в 11 адресов: и тов. Сталину, и тов. Молотову, и тов. Берия, и Народному Комиссару и т.д. мы сами частично виноваты в том, что не умеют нашу машину в Армии надлежащим образом эксплуатировать потому, сто не даем тех запчастей, которые должны быть для восстановления танков. Танк, требующий ремонта на фронте, является не менее дорогим, а может быть даже более важным, чем та машина, которая должна будет выпускаться. Количество танков, стоящих на фронте, достигает большой цифры».</w:t>
      </w:r>
    </w:p>
    <w:p w14:paraId="1019B4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докладе начальника ОТК завода № 183 А. Волкова вскрыты все производственные и конструктивные недостатки танка, снижающие его применение в бою:</w:t>
      </w:r>
    </w:p>
    <w:p w14:paraId="452288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«Анализ этих нарушений технологии говорит о том, что причинами этих нарушений являются в данном случае наличие низкой квалификации рабочих и совершенное отсутствие производственно-технического инструктажа со стороны мастеров.</w:t>
      </w:r>
    </w:p>
    <w:p w14:paraId="58CE1D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Наконец часть дефектов является следствием текучести и переменного состава рабочих, даже на таких аварийных узлах, как бортовая передача.</w:t>
      </w:r>
    </w:p>
    <w:p w14:paraId="764FAA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первом конвейере рабочие, работавшие на сборке крышки бортовой передачи, непрерывно меняются. Проработав 5 дней на одном участке, рабочие снимаются с этого участка и переводятся на другой.</w:t>
      </w:r>
    </w:p>
    <w:p w14:paraId="6945E3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Причиной дефектов является также и низкая квалификация работников ОТК. Из состава ОТК, бывших ранее в Харькове в количестве 900 человек в ОТК попало 171 при наличии 15 цехов, по которым нужно было расставить контролеров.</w:t>
      </w:r>
    </w:p>
    <w:p w14:paraId="392E07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Танковые цеха насыщены большим количеством прибывших трудо- армейцев, то есть людьми, которые впервые видят танк.</w:t>
      </w:r>
    </w:p>
    <w:p w14:paraId="35D5E2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Возьмите вопрос течи баков. Почему текут баки, трубки? Потому что работают малоквалифицированные кадры, а механизации нет. Контролерам за всем уследить невозможно.</w:t>
      </w:r>
    </w:p>
    <w:p w14:paraId="6965C9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Вопросу постоянства состава рабочих, вопросу производственно-технического инструктажа со стороны мастеров должно быть уделено самое серьезное внимание...</w:t>
      </w:r>
    </w:p>
    <w:p w14:paraId="00EE79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Машины с поддерживающими колесами с внутренней амортизацией у нас не выдерживают гарантийного километража, а на СТЗ работают.</w:t>
      </w:r>
    </w:p>
    <w:p w14:paraId="57BFAC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Объясняется это тем, что колеса в данном исполнении на заводе № 183 не имеют такой резины, которую имеет СТЗ, используя для этой цели грузошины катков тракторов, что значительно лучше, чем резина, устанавливаемая на колеса машин 183-го завода. Я считаю, что нужно немедленно внедрить колеса с наружной амортизацией...</w:t>
      </w:r>
    </w:p>
    <w:p w14:paraId="6F5B00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Одним из крупных дефектов, по которым были приняты решения на конференции в г. Москве, это трещины по корпусам.</w:t>
      </w:r>
    </w:p>
    <w:p w14:paraId="1122CD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Мы у себя наблюдали за период трех месяцев на большом количестве корпусов трещины. Сейчас 40—45% корпусов трещат после сварки. Сравнение с корпусами Уралмаша показало, что 89% корпусов УЗТМ также имеют трещины после вторичного их осмотра у нас на заводе. Дефект серьезный, и о нем на конференции необходимо вынести решения.</w:t>
      </w:r>
    </w:p>
    <w:p w14:paraId="7F30FF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Надо Вам сказать, что значительную роль в этом вопросе играет само качество металла брони. Металл за последнее время улучшился значительно, но не настолько, чтобы он мог быть сопоставлен с материалом бывшего Мариупольского завода. Имеются также нарушения технологии при сварке, нарушения при самом изготовлении деталей. Хотя с этими дефектами и проводится борьба, но 50% корпусов трещит и невозможно предвидеть, где появится трещина, ибо они появляются через некоторый промежуток времени...</w:t>
      </w:r>
    </w:p>
    <w:p w14:paraId="15BF52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Необходимо изменить пробег - вместо 5 км ввести 25-30 км заводской пробег и сдаточный пробег 5 км. Со стороны военпреда предъявляется вполне справедливое требование о сдачи им уже испытанной и бездефектной машины».</w:t>
      </w:r>
    </w:p>
    <w:p w14:paraId="67CF48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Небезынтересные сведения содержались и в докладе главного конструктора завода № 183 А. Морозова:</w:t>
      </w:r>
    </w:p>
    <w:p w14:paraId="162265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«Второй причиной, которая влияет на качество продукции завода № 183, это недостаточная квалификация работников, изготовляющих машину. Я не ошибусь, если скажу, что 80% занимающихся производством танков, это состав новый. Это в какой-то степени налагает свое лицо на качество машин. Этот состав не прошел достаточной выучки, не имеет достаточной квалификации и опыта и не без того, что по вине этого состава проскальзывают те или иные дефекты.</w:t>
      </w:r>
    </w:p>
    <w:p w14:paraId="40986E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Одной из причин появления дефектов на машине является не полностью освоенная или перенесенная технология производства танков, которая имела место в Харькове.</w:t>
      </w:r>
    </w:p>
    <w:p w14:paraId="32D1B8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не располагает целиком и полностью тем оборудованием, которым завод располагал на старой площадке. Ввиду того, что заводу пришлось выискивать новые способы изготовления отдельных деталей и узлов, приходилось идти сознательно на то, чтобы ряд деталей и узлов были изменены на конструкцию с меньшей трудоемкостью их изготовления с тем, чтобы найти выход в тот момент, когда завод не располагал еще освоенной технологией.</w:t>
      </w:r>
    </w:p>
    <w:p w14:paraId="32B1EC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Нельзя обойти тот факт, что качество машин снизилось не только по линии деталей изготовления завода № 183, но и снижение качества было отмечено по линии узлов и деталей, получаемых со стороны».</w:t>
      </w:r>
    </w:p>
    <w:p w14:paraId="6ED314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Материалы конференции послужили основой для принятия многих решений, позволивших повысить качество танков Т-34. Справедливости ради надо сказать, что далеко не все решения по улучшению конструкции тридцатьчетверки выполнялись быстро. Иногда на их реализацию требовалось не менее года, примером чего является история с введением командирской башенки (12217).</w:t>
      </w:r>
    </w:p>
    <w:p w14:paraId="32C7560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43C6CC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11-12 сентября 1942 г. на Сверд</w:t>
      </w:r>
      <w:r w:rsidRPr="00722885">
        <w:rPr>
          <w:rFonts w:ascii="Times New Roman" w:hAnsi="Times New Roman"/>
          <w:color w:val="000000" w:themeColor="text1"/>
          <w:sz w:val="16"/>
          <w:szCs w:val="16"/>
        </w:rPr>
        <w:softHyphen/>
        <w:t>ловском артполигоне были проведены испытания обстрелом лобовой детали бронекорпуса КВ-13. Обстрел осуществлялся из отечест</w:t>
      </w:r>
      <w:r w:rsidRPr="00722885">
        <w:rPr>
          <w:rFonts w:ascii="Times New Roman" w:hAnsi="Times New Roman"/>
          <w:color w:val="000000" w:themeColor="text1"/>
          <w:sz w:val="16"/>
          <w:szCs w:val="16"/>
        </w:rPr>
        <w:softHyphen/>
        <w:t>венной 76-мм танковой, а также трофейной 88-мм зенит</w:t>
      </w:r>
      <w:r w:rsidRPr="00722885">
        <w:rPr>
          <w:rFonts w:ascii="Times New Roman" w:hAnsi="Times New Roman"/>
          <w:color w:val="000000" w:themeColor="text1"/>
          <w:sz w:val="16"/>
          <w:szCs w:val="16"/>
        </w:rPr>
        <w:softHyphen/>
        <w:t>ной пушек с дистанции 50 м. Путем навесок различных по</w:t>
      </w:r>
      <w:r w:rsidRPr="00722885">
        <w:rPr>
          <w:rFonts w:ascii="Times New Roman" w:hAnsi="Times New Roman"/>
          <w:color w:val="000000" w:themeColor="text1"/>
          <w:sz w:val="16"/>
          <w:szCs w:val="16"/>
        </w:rPr>
        <w:softHyphen/>
        <w:t>роховых зарядов имитировалась стрельба с дистанции 400, 600 и 1000 метров. Всего было произведено 22 выстрела бронебойным охолощенным снарядом, из них 8 из 88-мм орудия. Обстрел подтвердил надежность броневой защиты лба корпуса от 76-мм снарядов, но 88-мм пушка пробила деталь в пяти случаях из восьми. Для надежной защиты танка от 88-мм пушки требовалось увеличить толщину ли</w:t>
      </w:r>
      <w:r w:rsidRPr="00722885">
        <w:rPr>
          <w:rFonts w:ascii="Times New Roman" w:hAnsi="Times New Roman"/>
          <w:color w:val="000000" w:themeColor="text1"/>
          <w:sz w:val="16"/>
          <w:szCs w:val="16"/>
        </w:rPr>
        <w:softHyphen/>
        <w:t>того носа и лба башни не менее чем до 100—120-мм. Все отмеченные недостатки КВ-13 было решено устра</w:t>
      </w:r>
      <w:r w:rsidRPr="00722885">
        <w:rPr>
          <w:rFonts w:ascii="Times New Roman" w:hAnsi="Times New Roman"/>
          <w:color w:val="000000" w:themeColor="text1"/>
          <w:sz w:val="16"/>
          <w:szCs w:val="16"/>
        </w:rPr>
        <w:softHyphen/>
        <w:t>нить в танке «второго варианта». Но изготовление его затяну</w:t>
      </w:r>
      <w:r w:rsidRPr="00722885">
        <w:rPr>
          <w:rFonts w:ascii="Times New Roman" w:hAnsi="Times New Roman"/>
          <w:color w:val="000000" w:themeColor="text1"/>
          <w:sz w:val="16"/>
          <w:szCs w:val="16"/>
        </w:rPr>
        <w:softHyphen/>
        <w:t>лось. «Танкоград» был загружен большим объемом работ по модернизации КВ-1 и увеличению выпуска Т-34. Новый корпус КВ-13, с более толстой лобовой деталью, был изготовлен на УЗТМ в двух экземплярах только в начале 1943 г., трехместную башню с толщиной брони 90—110 мм на погоне диаметром 1540 мм (у первого образца было 1420 мм) ожида</w:t>
      </w:r>
      <w:r w:rsidRPr="00722885">
        <w:rPr>
          <w:rFonts w:ascii="Times New Roman" w:hAnsi="Times New Roman"/>
          <w:color w:val="000000" w:themeColor="text1"/>
          <w:sz w:val="16"/>
          <w:szCs w:val="16"/>
        </w:rPr>
        <w:softHyphen/>
        <w:t>ли получить с завода № 200 только к 10—15 февраля. Новый танк потяжелел. Его боевой вес должен был составлять 38 т, но защищенность планировалась ни с чем не сравнимой. 1 февраля 1943 г. Ж. Котин писал: «В настоящее время можно говорить, что нами практически решен вопрос по созданию на</w:t>
      </w:r>
      <w:r w:rsidRPr="00722885">
        <w:rPr>
          <w:rFonts w:ascii="Times New Roman" w:hAnsi="Times New Roman"/>
          <w:color w:val="000000" w:themeColor="text1"/>
          <w:sz w:val="16"/>
          <w:szCs w:val="16"/>
        </w:rPr>
        <w:softHyphen/>
        <w:t>дежно забронированного от всех видов противотанковой ар</w:t>
      </w:r>
      <w:r w:rsidRPr="00722885">
        <w:rPr>
          <w:rFonts w:ascii="Times New Roman" w:hAnsi="Times New Roman"/>
          <w:color w:val="000000" w:themeColor="text1"/>
          <w:sz w:val="16"/>
          <w:szCs w:val="16"/>
        </w:rPr>
        <w:softHyphen/>
        <w:t>тиллерии танка с умеренной массой... который имеет подвиж</w:t>
      </w:r>
      <w:r w:rsidRPr="00722885">
        <w:rPr>
          <w:rFonts w:ascii="Times New Roman" w:hAnsi="Times New Roman"/>
          <w:color w:val="000000" w:themeColor="text1"/>
          <w:sz w:val="16"/>
          <w:szCs w:val="16"/>
        </w:rPr>
        <w:softHyphen/>
        <w:t>ность на поле боя не хуже, чем средний танк Т-34...» (10782).</w:t>
      </w:r>
    </w:p>
    <w:p w14:paraId="3D25585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CBB0A33" w14:textId="77777777" w:rsidR="00AE5727" w:rsidRPr="00722885" w:rsidRDefault="00AE5727"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11 сентября 1942 года Пояснительная записка к проекту ЗИК-20, а также чертежи самоходной установки прибыли на рассмотрение в Артиллерийский комитет ГАУ КА. В этой самой пояснительной записке крайне интересными являются следующие строки:</w:t>
      </w:r>
    </w:p>
    <w:p w14:paraId="0E832564" w14:textId="77777777" w:rsidR="00AE5727" w:rsidRPr="00722885" w:rsidRDefault="00AE5727" w:rsidP="00722885">
      <w:pPr>
        <w:shd w:val="clear" w:color="auto" w:fill="FFFFFF"/>
        <w:spacing w:after="0" w:line="240" w:lineRule="auto"/>
        <w:jc w:val="both"/>
        <w:rPr>
          <w:rFonts w:ascii="Times New Roman" w:eastAsia="Times New Roman" w:hAnsi="Times New Roman"/>
          <w:iCs/>
          <w:color w:val="000000" w:themeColor="text1"/>
          <w:sz w:val="16"/>
          <w:szCs w:val="16"/>
        </w:rPr>
      </w:pPr>
      <w:r w:rsidRPr="00722885">
        <w:rPr>
          <w:rFonts w:ascii="Times New Roman" w:eastAsia="Times New Roman" w:hAnsi="Times New Roman"/>
          <w:color w:val="000000" w:themeColor="text1"/>
          <w:sz w:val="16"/>
          <w:szCs w:val="16"/>
        </w:rPr>
        <w:t>«</w:t>
      </w:r>
      <w:r w:rsidRPr="00722885">
        <w:rPr>
          <w:rFonts w:ascii="Times New Roman" w:eastAsia="Times New Roman" w:hAnsi="Times New Roman"/>
          <w:iCs/>
          <w:color w:val="000000" w:themeColor="text1"/>
          <w:sz w:val="16"/>
          <w:szCs w:val="16"/>
        </w:rPr>
        <w:t>Толщина стенок башни принималась в 75 мм. Таким образом, в нашем понимании, мы взяли за основу танк типа КВ-7, то есть имея в виду не какой-то опытный образец его, а считая, что всякий танк КВ с неподвижной башней есть танк типа КВ-7».</w:t>
      </w:r>
    </w:p>
    <w:p w14:paraId="583E1F27" w14:textId="77777777" w:rsidR="00AE5727" w:rsidRPr="00722885" w:rsidRDefault="00AE5727" w:rsidP="00722885">
      <w:pPr>
        <w:pStyle w:val="ae"/>
        <w:shd w:val="clear" w:color="auto" w:fill="FFFFFF"/>
        <w:spacing w:before="0" w:after="0"/>
        <w:jc w:val="both"/>
        <w:rPr>
          <w:color w:val="000000" w:themeColor="text1"/>
          <w:sz w:val="16"/>
          <w:szCs w:val="16"/>
        </w:rPr>
      </w:pPr>
      <w:r w:rsidRPr="00722885">
        <w:rPr>
          <w:color w:val="000000" w:themeColor="text1"/>
          <w:sz w:val="16"/>
          <w:szCs w:val="16"/>
        </w:rPr>
        <w:t>Работы по тяжелой самоходной установке возглавлял Т.А. Сандлер, главный конструктор завода №8 (до эвакуации работал на заводе №8 начальником ОТК). Поскольку индекс ЗИК-20 в этой переписке не упоминался, в последующем возникла путаница. По документам Арткома ГАУ КА, датированным второй половиной 1943 года, проекты УЗТМ и завода №8 стали восприниматься как единое целое, и эта позиция пошла в последующую переписку и в сводный отчет УЗТМ. В результате ЗИК-20 многие исследователи восприняли как У-18. Поскольку графические материалы по обеим САУ практически отсутствовали, возникла еще большая путаница.</w:t>
      </w:r>
    </w:p>
    <w:p w14:paraId="623E135A" w14:textId="77777777" w:rsidR="00AE5727" w:rsidRPr="00722885" w:rsidRDefault="00AE5727"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Отличием ЗИК-20 от конкурента, разрабатывавшегося КБ УЗТМ, стало крайне условное использование базы, указанной в тактико-технических требованиях. В Свердловске проектировали непосредственно артиллерийскую установку, шасси же разрабатывало ЧКЗ. В качестве технического задания как база указывалась КВ-7, готовые корпуса которой и предполагалось использовать. Так поступили в случае с У-18, но у проектировщиков ЗИК-20 оказалось иное мнение по этому вопросу.</w:t>
      </w:r>
    </w:p>
    <w:p w14:paraId="02794B07" w14:textId="77777777" w:rsidR="00AE5727" w:rsidRPr="00722885" w:rsidRDefault="00AE5727"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Безусловно, «неподвижная башня» новой машины чем-то напоминала КВ-7, но не более того. Спроектированная рубка самоходной установки была заметно длиннее, полностью охватывая подбашенный погон, а также на 17 сантиметров выше таковой у КВ-7. Боевое отделение и отделение управления в ЗИК-20 становились единым целым. По сути, вместо установки МЛ-20 в корпусе КВ-7 КБ завода №8 предлагало новую самоходную установку на базе КВ-1. Ввиду наличия у проекта совершенно новой рубки, лежащие на складе завода №200 корпуса КВ-7 оказывались не у дел. Кроме того, боевая масса ЗИК-20 превысила массу КВ-2, достигнув 53 тонн. При этом в пояснительной записке оптимистично указывалось, что это всего на 4 тонны больше боевой массы КВ-1. Складывается впечатление, что коллектив КБ завода №8 был не в курсе, что из-за чрезмерной боевой массы КВ-1 уже в конце августа 1942 года сняли с производства, заменив на КВ-1с.</w:t>
      </w:r>
    </w:p>
    <w:p w14:paraId="023FEB2B" w14:textId="77777777" w:rsidR="00AE5727" w:rsidRPr="00722885" w:rsidRDefault="00AE5727"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Полностью новая рубка была не единственной особенностью ЗИК-20. Пушка-гаубица, которая и дала название всей установке, хоть и позиционировалась как минимально изменяемая по сравнению с МЛ-20, но имела определенные нюансы в конструкции. Прежде всего, с нее снимался дульный тормоз, что с точки зрения самоходной системы являлось правильным решением. Новой машине предстояло вести бой в условиях непосредственного соприкосновения с противником, и дульный тормоз, поднимающий при стрельбе облако пыли, здесь явно был лишним. Его снятие влекло за собой и другие изменения системы. Переделке также должны были подвергнуться подъемный и поворотный механизмы, требовалось и изъятие механизма переменного отката. Идея установки на САУ орудия МЛ-20 с минимальными переделками в результате также отправилась в корзину (15806).</w:t>
      </w:r>
    </w:p>
    <w:p w14:paraId="692D76C2" w14:textId="77777777" w:rsidR="00AE5727" w:rsidRPr="00722885" w:rsidRDefault="00AE5727" w:rsidP="00722885">
      <w:pPr>
        <w:pStyle w:val="ae"/>
        <w:shd w:val="clear" w:color="auto" w:fill="FFFFFF"/>
        <w:spacing w:before="0" w:after="0"/>
        <w:jc w:val="both"/>
        <w:rPr>
          <w:color w:val="000000" w:themeColor="text1"/>
          <w:sz w:val="16"/>
          <w:szCs w:val="16"/>
        </w:rPr>
      </w:pPr>
    </w:p>
    <w:p w14:paraId="1031F2C7" w14:textId="77777777" w:rsidR="00497DD7" w:rsidRPr="00722885" w:rsidRDefault="00497DD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11 сентября 1942 года на рассмотрение в Артиллерийский комитет ГАУ КА прибыли Пояснительная записка к проекту ЗИК-20, а также чертежи самоходной установки. В этой самой пояснительной записке крайне интересными являются следующие строки:</w:t>
      </w:r>
    </w:p>
    <w:p w14:paraId="673B6341" w14:textId="77777777" w:rsidR="00497DD7" w:rsidRPr="00722885" w:rsidRDefault="00497DD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r w:rsidRPr="00722885">
        <w:rPr>
          <w:rFonts w:ascii="Times New Roman" w:eastAsia="Times New Roman" w:hAnsi="Times New Roman"/>
          <w:iCs/>
          <w:color w:val="000000" w:themeColor="text1"/>
          <w:sz w:val="16"/>
          <w:szCs w:val="16"/>
          <w:lang w:eastAsia="ru-RU"/>
        </w:rPr>
        <w:t>Толщина стенок башни принималась в 75 мм. Таким образом, в нашем понимании, мы взяли за основу танк типа КВ-7, то есть имея в виду не какой-то опытный образец его, а считая, что всякий танк КВ с неподвижной башней есть танк типа КВ-7».</w:t>
      </w:r>
    </w:p>
    <w:p w14:paraId="6C5B9FD5" w14:textId="77777777" w:rsidR="00497DD7" w:rsidRPr="00722885" w:rsidRDefault="00497DD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Безусловно, «неподвижная башня» новой машины чем-то напоминала КВ-7, но не более того. Спроектированная рубка самоходной установки была заметно длиннее, полностью охватывая подбашенный погон, а также на 17 сантиметров выше таковой у КВ-7. Боевое отделение и отделение управления в ЗИК-20 становились единым целым. По сути, вместо установки МЛ-20 в корпусе КВ-7 КБ завода №8 предлагало новую самоходную установку на базе КВ-1. Ввиду наличия у проекта совершенно новой рубки, лежащие на складе завода №200 корпуса КВ-7 оказывались не у дел. Кроме того, боевая масса ЗИК-20 превысила массу КВ-2, достигнув 53 тонн. При этом в пояснительной записке оптимистично указывалось, что это всего на 4 тонны больше боевой массы КВ-1. Складывается впечатление, что коллектив КБ завода №8 был не в курсе, что из-за чрезмерной боевой массы КВ-1 уже в конце августа 1942 года сняли с производства, заменив на КВ-1с.</w:t>
      </w:r>
    </w:p>
    <w:p w14:paraId="120FABD0" w14:textId="77777777" w:rsidR="00497DD7" w:rsidRPr="00722885" w:rsidRDefault="00497DD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Полностью новая рубка была не единственной особенностью ЗИК-20. Пушка-гаубица, которая и дала название всей установке, хоть и позиционировалась как минимально изменяемая по сравнению с МЛ-20, но имела определённые нюансы в конструкции. Прежде всего, с неё снимался дульный тормоз, что с точки зрения самоходной системы являлось правильным решением. Новой машине предстояло вести бой в условиях непосредственного соприкосновения с противником, и дульный тормоз, поднимающий при стрельбе облако пыли, здесь явно был лишним. Его снятие влекло за собой и другие изменения системы. Переделке также должны были подвергнуться подъёмный и поворотный механизмы, требовалось и изъятие механизма переменного отката. Идея установки на САУ орудия МЛ-20 с минимальными переделками в результате также отправилась в корзину (17648).</w:t>
      </w:r>
    </w:p>
    <w:p w14:paraId="7E3F00BB" w14:textId="77777777" w:rsidR="00497DD7" w:rsidRPr="00722885" w:rsidRDefault="00497DD7" w:rsidP="00722885">
      <w:pPr>
        <w:spacing w:after="0" w:line="240" w:lineRule="auto"/>
        <w:jc w:val="both"/>
        <w:rPr>
          <w:rFonts w:ascii="Times New Roman" w:eastAsia="Times New Roman" w:hAnsi="Times New Roman"/>
          <w:color w:val="000000" w:themeColor="text1"/>
          <w:sz w:val="16"/>
          <w:szCs w:val="16"/>
          <w:lang w:eastAsia="ru-RU"/>
        </w:rPr>
      </w:pPr>
    </w:p>
    <w:p w14:paraId="520C12A6" w14:textId="77777777" w:rsidR="00AE5727" w:rsidRPr="00722885" w:rsidRDefault="00AE5727"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 сентября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были выдвинуты расширенные и уточненные ТТТ на легкие зенитные танки, а 16 сентября ГАБТУ и ГАУ РККА приказом №0107с была создана комиссия, которая должна была в кратчайший срок довести проекты зенитных танков до готовности опытных образцов и провести их испытания. В комиссию вошли председатель – подполковник Ненароков, заместитель председателя – главный конструктор ГАЗа и завода №37 по танку Т-70 Н.А.Астров, ведущий конструктор ГАЗа А. Маклаков, от ОГК НКТП – руководитель группы самоходных зенитных машин И. Савин (15218).</w:t>
      </w:r>
    </w:p>
    <w:p w14:paraId="343448F1" w14:textId="77777777" w:rsidR="00AE5727" w:rsidRPr="00722885" w:rsidRDefault="00AE5727" w:rsidP="00722885">
      <w:pPr>
        <w:widowControl w:val="0"/>
        <w:spacing w:after="0" w:line="240" w:lineRule="auto"/>
        <w:jc w:val="both"/>
        <w:rPr>
          <w:rFonts w:ascii="Times New Roman" w:hAnsi="Times New Roman"/>
          <w:color w:val="000000" w:themeColor="text1"/>
          <w:sz w:val="16"/>
          <w:szCs w:val="16"/>
        </w:rPr>
      </w:pPr>
    </w:p>
    <w:p w14:paraId="54DF08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сентября 1942 г. были выдвинуты расширенные и уточ</w:t>
      </w:r>
      <w:r w:rsidRPr="00722885">
        <w:rPr>
          <w:rFonts w:ascii="Times New Roman" w:hAnsi="Times New Roman"/>
          <w:color w:val="000000" w:themeColor="text1"/>
          <w:sz w:val="16"/>
          <w:szCs w:val="16"/>
        </w:rPr>
        <w:softHyphen/>
        <w:t>ненные ТТТ на легкие зенитные танки, а 16 сентября ГАБТУ и ГАУ КА приказом № 0107с была создана комиссия, которая должна была в кратчайший срок довести проекты зенитных танков до готовности опытных образцов и провести их испы</w:t>
      </w:r>
      <w:r w:rsidRPr="00722885">
        <w:rPr>
          <w:rFonts w:ascii="Times New Roman" w:hAnsi="Times New Roman"/>
          <w:color w:val="000000" w:themeColor="text1"/>
          <w:sz w:val="16"/>
          <w:szCs w:val="16"/>
        </w:rPr>
        <w:softHyphen/>
        <w:t>тания. В комиссию вошли председатель - подполковник Не-нароков, заместитель председателя - главный конструктор ГАЗа и завода № 37 по танку Т-70 Н. Астров, ведущий конст</w:t>
      </w:r>
      <w:r w:rsidRPr="00722885">
        <w:rPr>
          <w:rFonts w:ascii="Times New Roman" w:hAnsi="Times New Roman"/>
          <w:color w:val="000000" w:themeColor="text1"/>
          <w:sz w:val="16"/>
          <w:szCs w:val="16"/>
        </w:rPr>
        <w:softHyphen/>
        <w:t>руктор ГАЗа - А. Маклаков, от ОГК НКТП - руководитель группы самоходных зенитных машин И. Савин. Поскольку на ГАЗ в это время шло освоение модернизи</w:t>
      </w:r>
      <w:r w:rsidRPr="00722885">
        <w:rPr>
          <w:rFonts w:ascii="Times New Roman" w:hAnsi="Times New Roman"/>
          <w:color w:val="000000" w:themeColor="text1"/>
          <w:sz w:val="16"/>
          <w:szCs w:val="16"/>
        </w:rPr>
        <w:softHyphen/>
        <w:t xml:space="preserve">рованного танка Т-70М, естественно, что именно этот танк послужил базой для изделия ГАЗ, получившего индекс Т-90. Завод же № 37 в отведенный срок успел закончить опытный образец танка Т-70(3) («зенитный») и проработал вариант переделки танка Т-60 в Т-60-3 (Т-шестьдесят-три, или «063») путем установки на корпусе существующего </w:t>
      </w:r>
      <w:r w:rsidRPr="00722885">
        <w:rPr>
          <w:rFonts w:ascii="Times New Roman" w:hAnsi="Times New Roman"/>
          <w:color w:val="000000" w:themeColor="text1"/>
          <w:sz w:val="16"/>
          <w:szCs w:val="16"/>
        </w:rPr>
        <w:lastRenderedPageBreak/>
        <w:t>танка башни со спаренной пулеметной установкой. Причем, несмотря на то, что согласно задания зенит</w:t>
      </w:r>
      <w:r w:rsidRPr="00722885">
        <w:rPr>
          <w:rFonts w:ascii="Times New Roman" w:hAnsi="Times New Roman"/>
          <w:color w:val="000000" w:themeColor="text1"/>
          <w:sz w:val="16"/>
          <w:szCs w:val="16"/>
        </w:rPr>
        <w:softHyphen/>
        <w:t>ный танк должен был конвертироваться из серийного пу</w:t>
      </w:r>
      <w:r w:rsidRPr="00722885">
        <w:rPr>
          <w:rFonts w:ascii="Times New Roman" w:hAnsi="Times New Roman"/>
          <w:color w:val="000000" w:themeColor="text1"/>
          <w:sz w:val="16"/>
          <w:szCs w:val="16"/>
        </w:rPr>
        <w:softHyphen/>
        <w:t>тем замены башни с вооружением и изменением боеукладки, ГАЗ пошел не только на замену штатной башни Т-70 сварной восьмигранной башней увеличенного диаметра с установленными в ее маске справа от продольной оси баш</w:t>
      </w:r>
      <w:r w:rsidRPr="00722885">
        <w:rPr>
          <w:rFonts w:ascii="Times New Roman" w:hAnsi="Times New Roman"/>
          <w:color w:val="000000" w:themeColor="text1"/>
          <w:sz w:val="16"/>
          <w:szCs w:val="16"/>
        </w:rPr>
        <w:softHyphen/>
        <w:t>ни двумя пулеметами ДШК с магазинным питанием, но и на более серьезные изменения компоновки танка Т-70М, вплоть до корректировки конструкции башенного погона, переделки системы питания двигателя. Т-70(3) представлял собой переделку стандартного танка Т-70, у которого даже башня в целом была сохранена, но в измененной маске которой на штатных кронштейнах вдоль продольной оси устанавливалась спарка пулеметов ДШКТ. Несмотря на то, что первоначально проект Т-70(3) делался под ленточное питание пулеметов, в октябре 1942 г. он был скорректирован под 30-патронные магазины, ана</w:t>
      </w:r>
      <w:r w:rsidRPr="00722885">
        <w:rPr>
          <w:rFonts w:ascii="Times New Roman" w:hAnsi="Times New Roman"/>
          <w:color w:val="000000" w:themeColor="text1"/>
          <w:sz w:val="16"/>
          <w:szCs w:val="16"/>
        </w:rPr>
        <w:softHyphen/>
        <w:t>логичные установленным на Т-90.</w:t>
      </w:r>
    </w:p>
    <w:p w14:paraId="0B62D7E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Т-60-3 имел наименьшее число отличий от базового тан</w:t>
      </w:r>
      <w:r w:rsidRPr="00722885">
        <w:rPr>
          <w:rFonts w:ascii="Times New Roman" w:hAnsi="Times New Roman"/>
          <w:color w:val="000000" w:themeColor="text1"/>
          <w:sz w:val="16"/>
          <w:szCs w:val="16"/>
        </w:rPr>
        <w:softHyphen/>
        <w:t>ка, но его корпус уже был приспособлен под двигатель ЗИС-16, который сломался во время заводских испытаний.</w:t>
      </w:r>
    </w:p>
    <w:p w14:paraId="6A02854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Боекомплект танков составлял 16 магазинов (480 пат</w:t>
      </w:r>
      <w:r w:rsidRPr="00722885">
        <w:rPr>
          <w:rFonts w:ascii="Times New Roman" w:hAnsi="Times New Roman"/>
          <w:color w:val="000000" w:themeColor="text1"/>
          <w:sz w:val="16"/>
          <w:szCs w:val="16"/>
        </w:rPr>
        <w:softHyphen/>
        <w:t>ронов) на Т-90 и 12 (360 патронов) на Т-70 (3) и Т-60-3. Для стрельбы по наземным целям предполагалось использовать телескопический прицел ТМФП, для стрельбы по зенит</w:t>
      </w:r>
      <w:r w:rsidRPr="00722885">
        <w:rPr>
          <w:rFonts w:ascii="Times New Roman" w:hAnsi="Times New Roman"/>
          <w:color w:val="000000" w:themeColor="text1"/>
          <w:sz w:val="16"/>
          <w:szCs w:val="16"/>
        </w:rPr>
        <w:softHyphen/>
        <w:t>ным — коллиматорный К-8Т (10782).</w:t>
      </w:r>
    </w:p>
    <w:p w14:paraId="7DC0AB8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380F14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сентября 1942 г. были выдвинуты расширенные и уточ</w:t>
      </w:r>
      <w:r w:rsidRPr="00722885">
        <w:rPr>
          <w:rFonts w:ascii="Times New Roman" w:hAnsi="Times New Roman"/>
          <w:color w:val="000000" w:themeColor="text1"/>
          <w:sz w:val="16"/>
          <w:szCs w:val="16"/>
        </w:rPr>
        <w:softHyphen/>
        <w:t>ненные ТТТ на легкие зенитные танки, а 16 сентября ГАБТУ и ГАУ КА приказом № 0107с была создана комиссия, которая должна была в кратчайший срок довести проекты зенитных танков до готовности опытных образцов и провести их испы</w:t>
      </w:r>
      <w:r w:rsidRPr="00722885">
        <w:rPr>
          <w:rFonts w:ascii="Times New Roman" w:hAnsi="Times New Roman"/>
          <w:color w:val="000000" w:themeColor="text1"/>
          <w:sz w:val="16"/>
          <w:szCs w:val="16"/>
        </w:rPr>
        <w:softHyphen/>
        <w:t>тания. В комиссию вошли председатель — подполковник Не-нароков, заместитель председателя — главный конструктор ГАЗа и завода № 37 по танку Т-70 Н. Астров, ведущий конструктор ГАЗа — А. Маклаков, от ОГК НКТП — руководитель группы самоходных зенитных машин И. Савин.</w:t>
      </w:r>
    </w:p>
    <w:p w14:paraId="64B4C9E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Поскольку на ГАЗ в это время шло освоение модерни</w:t>
      </w:r>
      <w:r w:rsidRPr="00722885">
        <w:rPr>
          <w:rFonts w:ascii="Times New Roman" w:hAnsi="Times New Roman"/>
          <w:color w:val="000000" w:themeColor="text1"/>
          <w:sz w:val="16"/>
          <w:szCs w:val="16"/>
        </w:rPr>
        <w:softHyphen/>
        <w:t>зированного танка Т-70М, вполне естественно, что именно этот танк послужил базой для изделия ГАЗ, получившего индекс Т-90. Завод же № 37 в отведенный срок успел за</w:t>
      </w:r>
      <w:r w:rsidRPr="00722885">
        <w:rPr>
          <w:rFonts w:ascii="Times New Roman" w:hAnsi="Times New Roman"/>
          <w:color w:val="000000" w:themeColor="text1"/>
          <w:sz w:val="16"/>
          <w:szCs w:val="16"/>
        </w:rPr>
        <w:softHyphen/>
        <w:t>кончить опытный образец танка Т-70(3) («зенитный») и проработал наиболее дешевый и простой в производстве вариант переделки танка Т-60 в Т-60-3 (Т-шестьдесят-три, или «063») путем установки на корпусе существующего танка башни со спаренной пулеметной установкой.</w:t>
      </w:r>
    </w:p>
    <w:p w14:paraId="06B22A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Причем, несмотря на то, что согласно заданию зенит</w:t>
      </w:r>
      <w:r w:rsidRPr="00722885">
        <w:rPr>
          <w:rFonts w:ascii="Times New Roman" w:hAnsi="Times New Roman"/>
          <w:color w:val="000000" w:themeColor="text1"/>
          <w:sz w:val="16"/>
          <w:szCs w:val="16"/>
        </w:rPr>
        <w:softHyphen/>
        <w:t>ный танк должен был конвертироваться из серийного пу</w:t>
      </w:r>
      <w:r w:rsidRPr="00722885">
        <w:rPr>
          <w:rFonts w:ascii="Times New Roman" w:hAnsi="Times New Roman"/>
          <w:color w:val="000000" w:themeColor="text1"/>
          <w:sz w:val="16"/>
          <w:szCs w:val="16"/>
        </w:rPr>
        <w:softHyphen/>
        <w:t>тем замены башни с вооружением и изменением боеуклад-ки, ГАЗ пошел не только на замену штатной башни Т-70 сварной восьмигранной башней увеличенного диаметра с , установленными в ее маске справа от продольной оси баш-Ни двумя пулеметами ДШК с магазинным питанием, но и на более серьезные изменения компоновки танка Т-70М, рплоть до корректировки конструкции башенного погона, Переделки системы питания и охлаждения двигателя.</w:t>
      </w:r>
    </w:p>
    <w:p w14:paraId="7C0C1E8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Т-70(3) представлял собой достаточно простую передел</w:t>
      </w:r>
      <w:r w:rsidRPr="00722885">
        <w:rPr>
          <w:rFonts w:ascii="Times New Roman" w:hAnsi="Times New Roman"/>
          <w:color w:val="000000" w:themeColor="text1"/>
          <w:sz w:val="16"/>
          <w:szCs w:val="16"/>
        </w:rPr>
        <w:softHyphen/>
        <w:t>ку стандартного танка Т-70, которая могла проводиться на ремонтных предприятиях. Для этого у танка была в целом сохранена башня, маска менялась для возможности установ</w:t>
      </w:r>
      <w:r w:rsidRPr="00722885">
        <w:rPr>
          <w:rFonts w:ascii="Times New Roman" w:hAnsi="Times New Roman"/>
          <w:color w:val="000000" w:themeColor="text1"/>
          <w:sz w:val="16"/>
          <w:szCs w:val="16"/>
        </w:rPr>
        <w:softHyphen/>
        <w:t>ки на штатных кронштейнах вдоль продольной оси танка спарки пулеметов ДШКТ. Несмотря на то, что первоначаль</w:t>
      </w:r>
      <w:r w:rsidRPr="00722885">
        <w:rPr>
          <w:rFonts w:ascii="Times New Roman" w:hAnsi="Times New Roman"/>
          <w:color w:val="000000" w:themeColor="text1"/>
          <w:sz w:val="16"/>
          <w:szCs w:val="16"/>
        </w:rPr>
        <w:softHyphen/>
        <w:t>но проект Т-70(3) делался под ленточное питание пулеме</w:t>
      </w:r>
      <w:r w:rsidRPr="00722885">
        <w:rPr>
          <w:rFonts w:ascii="Times New Roman" w:hAnsi="Times New Roman"/>
          <w:color w:val="000000" w:themeColor="text1"/>
          <w:sz w:val="16"/>
          <w:szCs w:val="16"/>
        </w:rPr>
        <w:softHyphen/>
        <w:t>тов, в октябре 1942 г. он был скорректирован под 30-патронные магазины, аналогичные установленным на Т-90.</w:t>
      </w:r>
    </w:p>
    <w:p w14:paraId="77FC519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Доставленный на испытания Т-60-3 имел еще меньшее число отличий от базового танка, чем даже Т-70(3), но его корпус уже был приспособлен под двигатель ЗИС-16, кото</w:t>
      </w:r>
      <w:r w:rsidRPr="00722885">
        <w:rPr>
          <w:rFonts w:ascii="Times New Roman" w:hAnsi="Times New Roman"/>
          <w:color w:val="000000" w:themeColor="text1"/>
          <w:sz w:val="16"/>
          <w:szCs w:val="16"/>
        </w:rPr>
        <w:softHyphen/>
        <w:t>рый планировалось ставить на Т-60 и который был сломан.</w:t>
      </w:r>
    </w:p>
    <w:p w14:paraId="25D24C2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Боекомплект танков составлял 16 магазинов (480 па</w:t>
      </w:r>
      <w:r w:rsidRPr="00722885">
        <w:rPr>
          <w:rFonts w:ascii="Times New Roman" w:hAnsi="Times New Roman"/>
          <w:color w:val="000000" w:themeColor="text1"/>
          <w:sz w:val="16"/>
          <w:szCs w:val="16"/>
        </w:rPr>
        <w:softHyphen/>
        <w:t>тронов) для Т-90 и 12 (360 патронов) для Т-70 (3) и Т-60-3. Для стрельбы по наземным целям предполагалось исполь</w:t>
      </w:r>
      <w:r w:rsidRPr="00722885">
        <w:rPr>
          <w:rFonts w:ascii="Times New Roman" w:hAnsi="Times New Roman"/>
          <w:color w:val="000000" w:themeColor="text1"/>
          <w:sz w:val="16"/>
          <w:szCs w:val="16"/>
        </w:rPr>
        <w:softHyphen/>
        <w:t>зовать телескопический прицел ТМФП, для стрельбы по зенитным — коллиматорный К-8Т (11417).</w:t>
      </w:r>
    </w:p>
    <w:p w14:paraId="0FBFF5E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2490C7C"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11 сентября 1942 года были представлены тактико-технические тре</w:t>
      </w:r>
      <w:r w:rsidRPr="00722885">
        <w:rPr>
          <w:rFonts w:ascii="Times New Roman" w:cs="Times New Roman"/>
          <w:color w:val="000000" w:themeColor="text1"/>
          <w:spacing w:val="0"/>
          <w:sz w:val="16"/>
          <w:szCs w:val="16"/>
        </w:rPr>
        <w:softHyphen/>
        <w:t>бования на проектирование «танковых броневых саней»:</w:t>
      </w:r>
    </w:p>
    <w:p w14:paraId="5770D706"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«Танковые буксирные сани предназначаются для переброски вооружен</w:t>
      </w:r>
      <w:r w:rsidRPr="00722885">
        <w:rPr>
          <w:rFonts w:ascii="Times New Roman" w:hAnsi="Times New Roman"/>
          <w:color w:val="000000" w:themeColor="text1"/>
          <w:sz w:val="16"/>
          <w:szCs w:val="16"/>
        </w:rPr>
        <w:softHyphen/>
        <w:t>ных бойцов в расположение обороны противника и переброски десанта в тыл противника.</w:t>
      </w:r>
    </w:p>
    <w:p w14:paraId="1EF5E330"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проектировании руководствоваться следующим:</w:t>
      </w:r>
    </w:p>
    <w:p w14:paraId="5A197264" w14:textId="77777777" w:rsidR="009D3895" w:rsidRPr="00722885" w:rsidRDefault="009D3895" w:rsidP="00722885">
      <w:pPr>
        <w:tabs>
          <w:tab w:val="left" w:pos="110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Высота саней не должна превышать 650мм.</w:t>
      </w:r>
    </w:p>
    <w:p w14:paraId="1D464AE2" w14:textId="77777777" w:rsidR="009D3895" w:rsidRPr="00722885" w:rsidRDefault="009D3895" w:rsidP="00722885">
      <w:pPr>
        <w:tabs>
          <w:tab w:val="left" w:pos="115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Броня должна защищать бойца от ружейно-пулеметного огня с лю</w:t>
      </w:r>
      <w:r w:rsidRPr="00722885">
        <w:rPr>
          <w:rFonts w:ascii="Times New Roman" w:hAnsi="Times New Roman"/>
          <w:color w:val="000000" w:themeColor="text1"/>
          <w:sz w:val="16"/>
          <w:szCs w:val="16"/>
        </w:rPr>
        <w:softHyphen/>
        <w:t>бой дистанции при попадании по нормали.</w:t>
      </w:r>
    </w:p>
    <w:p w14:paraId="2CB390CD" w14:textId="77777777" w:rsidR="009D3895" w:rsidRPr="00722885" w:rsidRDefault="009D3895" w:rsidP="00722885">
      <w:pPr>
        <w:tabs>
          <w:tab w:val="left" w:pos="11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Сани должны иметь броневую защиту со всех сторон.</w:t>
      </w:r>
    </w:p>
    <w:p w14:paraId="7FC6D3FF" w14:textId="77777777" w:rsidR="009D3895" w:rsidRPr="00722885" w:rsidRDefault="009D3895" w:rsidP="00722885">
      <w:pPr>
        <w:tabs>
          <w:tab w:val="left" w:pos="113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Люки-лазы должны быть расположены так, чтобы обеспечить бы</w:t>
      </w:r>
      <w:r w:rsidRPr="00722885">
        <w:rPr>
          <w:rFonts w:ascii="Times New Roman" w:hAnsi="Times New Roman"/>
          <w:color w:val="000000" w:themeColor="text1"/>
          <w:sz w:val="16"/>
          <w:szCs w:val="16"/>
        </w:rPr>
        <w:softHyphen/>
        <w:t>стрый выход бойцов и так, чтобы при любых условиях при выходе бойцы не попадали под огонь противника.</w:t>
      </w:r>
    </w:p>
    <w:p w14:paraId="09BFE170" w14:textId="77777777" w:rsidR="009D3895" w:rsidRPr="00722885" w:rsidRDefault="009D3895" w:rsidP="00722885">
      <w:pPr>
        <w:tabs>
          <w:tab w:val="left" w:pos="116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Для буксировки за танками разработать буксирное устройство, позволяющее отцеплять сани из танка без выхода и движение под углом и с боковым креном.</w:t>
      </w:r>
    </w:p>
    <w:p w14:paraId="21384CA6" w14:textId="77777777" w:rsidR="009D3895" w:rsidRPr="00722885" w:rsidRDefault="009D3895" w:rsidP="00722885">
      <w:pPr>
        <w:tabs>
          <w:tab w:val="left" w:pos="113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Для ведения ружейного огня предусмотреть лючки в бортах и лобо</w:t>
      </w:r>
      <w:r w:rsidRPr="00722885">
        <w:rPr>
          <w:rFonts w:ascii="Times New Roman" w:hAnsi="Times New Roman"/>
          <w:color w:val="000000" w:themeColor="text1"/>
          <w:sz w:val="16"/>
          <w:szCs w:val="16"/>
        </w:rPr>
        <w:softHyphen/>
        <w:t>вой части.</w:t>
      </w:r>
    </w:p>
    <w:p w14:paraId="07E1304F" w14:textId="77777777" w:rsidR="009D3895" w:rsidRPr="00722885" w:rsidRDefault="009D3895" w:rsidP="00722885">
      <w:pPr>
        <w:tabs>
          <w:tab w:val="left" w:pos="117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Размеры саней по длине и ширине определить из расчета 16—20 че</w:t>
      </w:r>
      <w:r w:rsidRPr="00722885">
        <w:rPr>
          <w:rFonts w:ascii="Times New Roman" w:hAnsi="Times New Roman"/>
          <w:color w:val="000000" w:themeColor="text1"/>
          <w:sz w:val="16"/>
          <w:szCs w:val="16"/>
        </w:rPr>
        <w:softHyphen/>
        <w:t>ловек—лежа. При этом максимальная ширина саней не должна выходить за габариты танка.</w:t>
      </w:r>
    </w:p>
    <w:p w14:paraId="6506FC6C" w14:textId="77777777" w:rsidR="009D3895" w:rsidRPr="00722885" w:rsidRDefault="009D3895" w:rsidP="00722885">
      <w:pPr>
        <w:tabs>
          <w:tab w:val="left" w:pos="1159"/>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Дно саней должно иметь два подреза, предотвращающие их рас</w:t>
      </w:r>
      <w:r w:rsidRPr="00722885">
        <w:rPr>
          <w:rFonts w:ascii="Times New Roman" w:hAnsi="Times New Roman"/>
          <w:color w:val="000000" w:themeColor="text1"/>
          <w:sz w:val="16"/>
          <w:szCs w:val="16"/>
        </w:rPr>
        <w:softHyphen/>
        <w:t>катывание.</w:t>
      </w:r>
    </w:p>
    <w:p w14:paraId="580E9E23" w14:textId="77777777" w:rsidR="009D3895" w:rsidRPr="00722885" w:rsidRDefault="009D3895" w:rsidP="00722885">
      <w:pPr>
        <w:tabs>
          <w:tab w:val="left" w:pos="112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Сани должны быть надежны в эксплуатации.</w:t>
      </w:r>
    </w:p>
    <w:p w14:paraId="43D59BED" w14:textId="77777777" w:rsidR="009D3895" w:rsidRPr="00722885" w:rsidRDefault="009D3895" w:rsidP="00722885">
      <w:pPr>
        <w:tabs>
          <w:tab w:val="left" w:pos="118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С целью удобства транспортировки саней на большие расстояния на автомашинах, последние должны быстро разбираться и собираться.</w:t>
      </w:r>
    </w:p>
    <w:p w14:paraId="74CBAC8F" w14:textId="77777777" w:rsidR="009D3895" w:rsidRPr="00722885" w:rsidRDefault="009D3895" w:rsidP="00722885">
      <w:pPr>
        <w:tabs>
          <w:tab w:val="left" w:pos="117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Передняя лобовая броня должна иметь такую форму, при которой снег не скапливается впереди, а подминается».</w:t>
      </w:r>
    </w:p>
    <w:p w14:paraId="44A7E582"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Эти требования забраковали по ряду пунктов. Располагать 16—20 бойцов вплотную было неверным решением, массу прицепа ограничили 2500 кг, а ширину 2200 мм. Тем не менее предложенные ТТТ стали катализатором для создания бронированных саней нового поколения. Наиболее подходящим донором по данной теме стал снятый с произ</w:t>
      </w:r>
      <w:r w:rsidRPr="00722885">
        <w:rPr>
          <w:rFonts w:eastAsia="Calibri"/>
          <w:color w:val="000000" w:themeColor="text1"/>
          <w:sz w:val="16"/>
          <w:szCs w:val="16"/>
        </w:rPr>
        <w:softHyphen/>
        <w:t>водства в июле 1942 года Т-60. По состоянию на 11 ноября на терри</w:t>
      </w:r>
      <w:r w:rsidRPr="00722885">
        <w:rPr>
          <w:rFonts w:eastAsia="Calibri"/>
          <w:color w:val="000000" w:themeColor="text1"/>
          <w:sz w:val="16"/>
          <w:szCs w:val="16"/>
        </w:rPr>
        <w:softHyphen/>
        <w:t>тории ГАЗ им. Молотова имелось 212 корпусов и башен Т-60, плюс 47 комплектов корпусов и башен Т-30, также имелся запас из 120 кор</w:t>
      </w:r>
      <w:r w:rsidRPr="00722885">
        <w:rPr>
          <w:rFonts w:eastAsia="Calibri"/>
          <w:color w:val="000000" w:themeColor="text1"/>
          <w:sz w:val="16"/>
          <w:szCs w:val="16"/>
        </w:rPr>
        <w:softHyphen/>
        <w:t>пусов и 50 башен Т-60 на заводе № 37. При таких объемах идея соз</w:t>
      </w:r>
      <w:r w:rsidRPr="00722885">
        <w:rPr>
          <w:rFonts w:eastAsia="Calibri"/>
          <w:color w:val="000000" w:themeColor="text1"/>
          <w:sz w:val="16"/>
          <w:szCs w:val="16"/>
        </w:rPr>
        <w:softHyphen/>
        <w:t>дания бронеприцепа с использованием корпуса Т-60 выглядела весь</w:t>
      </w:r>
      <w:r w:rsidRPr="00722885">
        <w:rPr>
          <w:rFonts w:eastAsia="Calibri"/>
          <w:color w:val="000000" w:themeColor="text1"/>
          <w:sz w:val="16"/>
          <w:szCs w:val="16"/>
        </w:rPr>
        <w:softHyphen/>
        <w:t>ма заманчиво. Затраты на производство были минимальны, а значит, и прицепы получались дешевыми, заодно решался вопрос об исполь</w:t>
      </w:r>
      <w:r w:rsidRPr="00722885">
        <w:rPr>
          <w:rFonts w:eastAsia="Calibri"/>
          <w:color w:val="000000" w:themeColor="text1"/>
          <w:sz w:val="16"/>
          <w:szCs w:val="16"/>
        </w:rPr>
        <w:softHyphen/>
        <w:t>зовании корпусного задела (17485).</w:t>
      </w:r>
    </w:p>
    <w:p w14:paraId="781C73EE"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p>
    <w:p w14:paraId="76986B24"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color w:val="000000" w:themeColor="text1"/>
          <w:sz w:val="16"/>
          <w:szCs w:val="16"/>
        </w:rPr>
        <w:t>11 сентября 1942 года появились тактико-технические требования на проектирование «танковых броневых саней»:</w:t>
      </w:r>
    </w:p>
    <w:p w14:paraId="505343AE"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«Танковые буксирные сани предназначаются для переброски вооружённых бойцов в расположение обороны противника, и переброски десанта в тыл противника.</w:t>
      </w:r>
    </w:p>
    <w:p w14:paraId="255850F1"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При проектировании руководствоваться следующим:</w:t>
      </w:r>
    </w:p>
    <w:p w14:paraId="4825E226"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1. Высота саней не должна превышать 650 мм.</w:t>
      </w:r>
    </w:p>
    <w:p w14:paraId="7061B946"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2. Броня должна защищать бойца от ружейно-пулемётного огня с любой дистанции при попадании по нормали.</w:t>
      </w:r>
    </w:p>
    <w:p w14:paraId="700D9ABA"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3. Сани должны иметь броневую защиту со всех сторон.</w:t>
      </w:r>
    </w:p>
    <w:p w14:paraId="54F5CBC7"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4. Люки-лазы должны быть расположены так, чтобы обеспечить быстрый выход бойцов и так, чтобы при любых условиях при выходе бойцы не попадали под огонь противника.</w:t>
      </w:r>
    </w:p>
    <w:p w14:paraId="74977505"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5. Для буксировки за танками разработать буксирное устройство, позволяющее отцеплять сани из танка без выхода и движение под углом и с боковым креном.</w:t>
      </w:r>
    </w:p>
    <w:p w14:paraId="717137F3"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6. Для ведения ружейного огня предусмотреть лючки в бортах и лобовой части.</w:t>
      </w:r>
    </w:p>
    <w:p w14:paraId="1F7C5E4A"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7. Размеры саней по длине и ширине определить из расчёта 16-20 человек — лёжа. При этом максимальная ширина саней не должна выходить за габариты танка.</w:t>
      </w:r>
    </w:p>
    <w:p w14:paraId="0139FDDA"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8. Дно саней должно иметь два подреза, предотвращающее их от раскатывания.</w:t>
      </w:r>
    </w:p>
    <w:p w14:paraId="28CC33D1"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9. Сани должны быть надёжны в эксплуатации.</w:t>
      </w:r>
    </w:p>
    <w:p w14:paraId="3CECA56E"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10. С целью удобства транспортировки саней на большие расстояния на автомашинах, последние должны быстро разбираться и собираться.</w:t>
      </w:r>
    </w:p>
    <w:p w14:paraId="5D933D65"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11. Передняя лобовая броня должна иметь такую форму, при которой снег не скапливается впереди, а подминается».</w:t>
      </w:r>
    </w:p>
    <w:p w14:paraId="74A73856" w14:textId="77777777" w:rsidR="00211B56" w:rsidRPr="00722885" w:rsidRDefault="00211B56" w:rsidP="00722885">
      <w:pPr>
        <w:pStyle w:val="ae"/>
        <w:shd w:val="clear" w:color="auto" w:fill="FFFFFF"/>
        <w:spacing w:before="0" w:after="0"/>
        <w:jc w:val="both"/>
        <w:rPr>
          <w:color w:val="000000" w:themeColor="text1"/>
          <w:sz w:val="16"/>
          <w:szCs w:val="16"/>
        </w:rPr>
      </w:pPr>
      <w:r w:rsidRPr="00722885">
        <w:rPr>
          <w:color w:val="000000" w:themeColor="text1"/>
          <w:sz w:val="16"/>
          <w:szCs w:val="16"/>
        </w:rPr>
        <w:t xml:space="preserve">Некоторые пункты из этих требований оказались неприемлемыми. Располагать 16-20 бойцов вплотную друг к другу оказалось неверным решением, массу пустого прицепа позже ограничили 2500 кг, а ширину — 2200 мм. Тем не менее предложенные ТТТ стали сигналом для создания бронированных саней нового поколения. Наиболее подходящим «донором» для них оказался снятый с производства Т-60. По состоянию на 11 ноября на территории ГАЗ им. Молотова имелось 212 корпусов и башен Т-60, а также 47 комплектов корпусов и башен </w:t>
      </w:r>
      <w:hyperlink r:id="rId114" w:history="1">
        <w:r w:rsidRPr="00722885">
          <w:rPr>
            <w:rStyle w:val="a5"/>
            <w:color w:val="000000" w:themeColor="text1"/>
            <w:sz w:val="16"/>
            <w:szCs w:val="16"/>
          </w:rPr>
          <w:t>Т-30</w:t>
        </w:r>
      </w:hyperlink>
      <w:r w:rsidRPr="00722885">
        <w:rPr>
          <w:color w:val="000000" w:themeColor="text1"/>
          <w:sz w:val="16"/>
          <w:szCs w:val="16"/>
        </w:rPr>
        <w:t>. Также запас из 120 корпусов и 50 башен Т-60 находился на заводе №37. При таких запасах идея создания бронеприцепа с использованием корпуса Т-60 выглядела весьма заманчиво. Затраты на производство должны были быть минимальными, а значит, и прицепы получились бы дешёвыми, и вопрос с использованием имевшегося задела был бы решён (17711).</w:t>
      </w:r>
    </w:p>
    <w:p w14:paraId="4E29239E" w14:textId="77777777" w:rsidR="00211B56" w:rsidRPr="00722885" w:rsidRDefault="00211B56" w:rsidP="00722885">
      <w:pPr>
        <w:spacing w:after="0" w:line="240" w:lineRule="auto"/>
        <w:jc w:val="both"/>
        <w:rPr>
          <w:rFonts w:ascii="Times New Roman" w:hAnsi="Times New Roman"/>
          <w:color w:val="000000" w:themeColor="text1"/>
          <w:sz w:val="16"/>
          <w:szCs w:val="16"/>
        </w:rPr>
      </w:pPr>
    </w:p>
    <w:p w14:paraId="1B483F4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DB0BA06" w14:textId="77777777" w:rsidR="00090C9B" w:rsidRPr="00722885" w:rsidRDefault="00090C9B" w:rsidP="00722885">
      <w:pPr>
        <w:pStyle w:val="Iauiue"/>
        <w:jc w:val="both"/>
        <w:rPr>
          <w:iCs/>
          <w:color w:val="000000" w:themeColor="text1"/>
          <w:sz w:val="16"/>
          <w:szCs w:val="16"/>
        </w:rPr>
      </w:pPr>
    </w:p>
    <w:p w14:paraId="3FDD3E3D"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сентября в 1942 году утреннее сообщение Совинформбюро:</w:t>
      </w:r>
    </w:p>
    <w:p w14:paraId="25A97DA2"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11 сентября наши войска вели бои с противником западнее и юго-западнее Сталинграда, а также в районе Моздок и уличные бои в Новороссийске. На других фронтах существенных изменений не произошло.</w:t>
      </w:r>
    </w:p>
    <w:p w14:paraId="724570A9"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наши войска вели напряжённые оборонительные бои с наступающими танками и пехотой противника. Н-ская стрелковая часть отбила три атаки гитлеровцев и уничтожила 6 танков и до двух рот пехоты противника. На другом участке продолжались бои с просочившимися в наше расположение автоматчиками противника. Истреблено более 100 немецких автоматчиков.</w:t>
      </w:r>
    </w:p>
    <w:p w14:paraId="6D00082A"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Юго-западнее Сталинграда на одном из участков противник крупными силами танков и пехоты атаковал наши позиции. Наши части предприняли несколько контратак и нанесли немцам большой урон. Уничтожено 11 танков, 5 автомашин с войсками, 9 противотанковых орудий и до 400 гитлеровцев. На другом участке Н-ская часть после упорных боёв оставила один населённый пункт.</w:t>
      </w:r>
    </w:p>
    <w:p w14:paraId="35462E5E"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Новороссийске продолжались упорные уличные бои. Ценой больших потерь противнику удалось потеснить наши части и занять несколько улиц. На одном участке, который обороняет отряд морской пехоты, краснофлотцы уничтожили роту румын и подорвали 3 немецких танка. В другом районе наши бронебойщики сожгли и подбили 2 танка и бронемашину противника.</w:t>
      </w:r>
    </w:p>
    <w:p w14:paraId="606D9068"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наши части, преодолев минные поля исильное огневое сопротивление противника, ворвались на окраину крупногонаселённого пункта. Захвачены немецкий танк и много боеприпасов. Нашиартиллеристы, расчищая путь пехотным подразделениям, разрушили 25 вражеских ДЗОТов, 9 блиндажей, подавили огонь 4 миномётных и 3 артиллерийских батарей.</w:t>
      </w:r>
    </w:p>
    <w:p w14:paraId="6649D1D3"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Немецкому ефрейтору Георгу Ройшелю пишет его жена Гертруда из Хемница: «...Сегодняшнее воскресенье пасмурно и туманно. Такое же настроение у людей. Я не знаю, сколько ещё можно выдержать. С питанием так дальше продолжаться неможет, а между тем говорят, что скоро будет ещё хуже. Уже теперь некоторые съедают в неделю двухнедельную норму хлеба. Что же будет дальше? Можно написать целую книгу о том, как тяжело приходится нам здесь переживать нужду».</w:t>
      </w:r>
    </w:p>
    <w:p w14:paraId="39038902"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сожгли 22 деревни Белебелковского сельсовета, Ленинградской области. Уничтожено 428 жилых домов со всеми надворными постройками. Фашистские бандиты замучили и расстреляли десятки местных жителей.</w:t>
      </w:r>
    </w:p>
    <w:p w14:paraId="57ABE725"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патриоты продолжают успешную борьбу против немецко-итальянских захватчиков. В ожесточённых боях, происходивших недалеко от города Банья Лука,партизаны уничтожили около 400 итальянских солдат и офицеров. Кроме того, партизаны сожгли 4 танка и захватили много боеприпасов. Близ станции Рума партизанский отряд задержал воинский поезд. Когда гитлеровцы выскочили из вагонов, партизаны открыли по ним огонь. На путях осталось более 200 убитых оккупантов.» (14766).</w:t>
      </w:r>
    </w:p>
    <w:p w14:paraId="78CF52FA" w14:textId="77777777" w:rsidR="00AE5727" w:rsidRPr="00722885" w:rsidRDefault="00AE5727" w:rsidP="00722885">
      <w:pPr>
        <w:spacing w:after="0" w:line="240" w:lineRule="auto"/>
        <w:jc w:val="both"/>
        <w:rPr>
          <w:rFonts w:ascii="Times New Roman" w:hAnsi="Times New Roman"/>
          <w:color w:val="000000" w:themeColor="text1"/>
          <w:sz w:val="16"/>
          <w:szCs w:val="16"/>
        </w:rPr>
      </w:pPr>
    </w:p>
    <w:p w14:paraId="44AF272C"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сентября в 1942 году вечернее сообщение Совинформбюро:</w:t>
      </w:r>
    </w:p>
    <w:p w14:paraId="0E7EA19F"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11 сентября наши войска вели упорные бои с противником западнее и юго-западнее Сталинграда, в районе Моздок, а также на Волховском участке фронтав районе Синявино. После многодневных ожесточённых боёв наши войска оставили город Новороссийск.</w:t>
      </w:r>
    </w:p>
    <w:p w14:paraId="2B0B140D"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10 сентября частями нашей авиации на различных участках фронта уничтожено или повреждено 15 немецких танков и бронемашин, до 200 автомашин с войсками и грузами, более 30 повозок с боеприпасами, подавлен огонь 8 батарей полевой и зенитной артиллерии, взорвано 4 склада боеприпасов и 3 склада горючего, рассеяно и частью уничтожено до двух батальонов пехоты и эскадрон конницы противника.</w:t>
      </w:r>
    </w:p>
    <w:p w14:paraId="630CEE8B"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продолжались напряжённые бои. Наши войска отбивали атаки крупных сил пехоты и танков противника, наступавших при поддержке авиации. В ходе этих боёв немецко-фашистские войска несут огромные потери в живой силе и технике. Только на участке Н-ской части в бою у населённого пункта наши бойцыподбили и сожгли 17 немецких танков и истребили до 400 гитлеровцев. На другом участке свыше 30 танков противника атаковали позиции нашей артиллерийской батареи. Наши бойцы отстояли рубеж и, ведя огонь прямой наводкой, уничтожили 14 немецких танков.</w:t>
      </w:r>
    </w:p>
    <w:p w14:paraId="022830B4"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ожесточённые бои с немецко-фашистскими войсками. Н-ская часть отбила несколько атак противника и, перейдя в контратаку, отбросила немцев на исходные позиции. На поле боя осталось 240 вражеских трупов и 3 сожжённых немецких танка.</w:t>
      </w:r>
    </w:p>
    <w:p w14:paraId="5AE11393"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продолжают вести бои с группировкой противника, переправившейся на южный берег водного рубежа. За пять дней боёв на этом участке уничтожено более 2.000 немецких солдат и офицеров, подбито и сожжено более 90 танков противника.</w:t>
      </w:r>
    </w:p>
    <w:p w14:paraId="07B8D25D"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наши войска заняли несколько укреплённых пунктов. Бойцы Н-ской части разгромили батальон немецкой пехоты. Среди убитых гитлеровцев обнаружены командир 430 полка 129 немецкой пехотнойдивизии и командир 1-го батальона этого же полка. На другом участке наши подразделения в наступательных боях подбили 2 танка и уничтожили более 500 немецких солдат и офицеров.</w:t>
      </w:r>
    </w:p>
    <w:p w14:paraId="586AE9BD"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Волховском участке фронта в районе Синявина наши войска атаковали противника и заняли несколько населённых пунктов, захватили трофеи и пленных. Противник, пытаясь восстановить положение, перешёл в контратаки. Все контратаки противника отбиты с большими для него потерями. Только в результате одного боя наши части уничтожили 26 немецких танков.</w:t>
      </w:r>
    </w:p>
    <w:p w14:paraId="1895DB18"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46 венгерского пехотного полка Ференц Рыкович рассказал: «Наша часть была атакована русскими и отступила. Мы потеряли свыше 200 солдат и много оружия. Отступающих венгров немцы встретили пулемётным огнём и беспощадно расстреливали. Мы оказались между двух огней и решили сдаться в плен. Питание в венгерской армии очень плохое. Хлеба выдают по 150—200 граммов в сутки. Находившиеся вместе с нами немецкие солдаты снабжаются значительно лучше. Недавно нам огласили приказ немецкого командования, в котором говорилось: «Недостойно венгерского солдата роптать. За выражение недовольства будут подвешивать. Но все должны знать, что больше 150—200 граммов хлеба всё равно никто не получит».</w:t>
      </w:r>
    </w:p>
    <w:p w14:paraId="4802DC9E"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Получены сведения о жизни советских бойцов и мирных граждан оккупированных немцами районов, увезённых в Гаммельбургский лагерь. В этом лагере находится около 4.000 человек. Подавляющее большинство из них — мирные жители оккупированных немцами городов и сёл. Немцы отняли у них хорошую одежду и обувь, взамен дали грязное тряпьё и деревянные колодки. Администрация и охрана лагеря обращаются с советскими людьми хуже, чем со скотиной. Заключённых заставляют работать на полях немецких помещиков по 16 часов в сутки, впрягают в плуг, заставляют возить повозки. Ежедневно от голода и непосильной работы в лагере умирают десятки человек.» (14766).</w:t>
      </w:r>
    </w:p>
    <w:p w14:paraId="30D67C61" w14:textId="77777777" w:rsidR="00AE5727" w:rsidRPr="00722885" w:rsidRDefault="00AE5727" w:rsidP="00722885">
      <w:pPr>
        <w:spacing w:after="0" w:line="240" w:lineRule="auto"/>
        <w:jc w:val="both"/>
        <w:rPr>
          <w:rFonts w:ascii="Times New Roman" w:hAnsi="Times New Roman"/>
          <w:color w:val="000000" w:themeColor="text1"/>
          <w:sz w:val="16"/>
          <w:szCs w:val="16"/>
        </w:rPr>
      </w:pPr>
    </w:p>
    <w:p w14:paraId="2F6E6D0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11 сентября 1942 вышло Постановление ГКО № 2286 О подготовке аэродромов для зимней эксплуатации в 1942-1943 году. (7054, 1-7,8-9).</w:t>
      </w:r>
    </w:p>
    <w:p w14:paraId="3A5A876E" w14:textId="77777777" w:rsidR="00090C9B" w:rsidRPr="00722885" w:rsidRDefault="00090C9B" w:rsidP="00722885">
      <w:pPr>
        <w:pStyle w:val="Iauiue"/>
        <w:tabs>
          <w:tab w:val="left" w:pos="11199"/>
        </w:tabs>
        <w:jc w:val="both"/>
        <w:rPr>
          <w:color w:val="000000" w:themeColor="text1"/>
          <w:sz w:val="16"/>
          <w:szCs w:val="16"/>
        </w:rPr>
      </w:pPr>
    </w:p>
    <w:p w14:paraId="3E0A5C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лейтенант Андерссон привел через Канаду на базу Лэдд-фнлд на Аляске группу из 22 Р-40 усовершенствованной модификации К. Ровно через месяц, 11 октября 1942, уже советские перегонщики во главе с капитаном Финогеновым новели их на запад. Иа следующий день группа приземлилась в Уэлькале. В первых числах ноября Р-40К по эстафете прибыли в Красноярск. Но дороге потеряли два истребителя - они заблудились в тумане после вылета из Уэлькаля. Вторая партия двинулась в путь 3 ноября. По АЛСИБу Р-40 перегнали немного - всего 43 штуки, все модификации К. Р-40К отличались более мощным мотором V-1710-73 и зализом у корневой части киля. Начиная с серии К-10 на них удлинили хвостовую часть фюзеляжа. Затем пошли Р-40М с двигателем V-1710-81, позволившим несколько поднять максимальную скорость и улучшить скороподъемность. Эта модификация строилась американцами только на экспорт. Последним серийным истребителем в этом большом семействе стал P-40N. Он являлся последней попыткой усовершенствовать машину без кардинальных изменений в конструкции. Однако объем переделок был велик: с целью облегчения цвели алюминиевые радиаторы, новые колеса, ликвидировали один и:? бензобаков, уменьшили боезапас, а на первых сериях вообще сняли два пулемета из шести. С серии N-5 ввели новый фонарь кабины с улучшенным обзором. Эти машины тоже в значительном количестве попали в СССР. Всего за 1942 год приняли 487 "Киттихауков" (3457,63).</w:t>
      </w:r>
    </w:p>
    <w:p w14:paraId="2E8C9184" w14:textId="77777777" w:rsidR="00090C9B" w:rsidRPr="00722885" w:rsidRDefault="00090C9B" w:rsidP="00722885">
      <w:pPr>
        <w:pStyle w:val="Iauiue"/>
        <w:jc w:val="both"/>
        <w:rPr>
          <w:color w:val="000000" w:themeColor="text1"/>
          <w:sz w:val="16"/>
          <w:szCs w:val="16"/>
        </w:rPr>
      </w:pPr>
    </w:p>
    <w:p w14:paraId="61B753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финны захватили Пе-2, который совершил вынужденную в Северной Финляндии и финны, восстановив машину, с августа 1943 использовали ее как разведчик (2475,18).</w:t>
      </w:r>
    </w:p>
    <w:p w14:paraId="50FA6C0C" w14:textId="77777777" w:rsidR="00090C9B" w:rsidRPr="00722885" w:rsidRDefault="00090C9B" w:rsidP="00722885">
      <w:pPr>
        <w:pStyle w:val="Iauiue"/>
        <w:jc w:val="both"/>
        <w:rPr>
          <w:color w:val="000000" w:themeColor="text1"/>
          <w:sz w:val="16"/>
          <w:szCs w:val="16"/>
        </w:rPr>
      </w:pPr>
    </w:p>
    <w:p w14:paraId="320FDD0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59F3920" w14:textId="77777777" w:rsidR="00090C9B" w:rsidRPr="00722885" w:rsidRDefault="00090C9B" w:rsidP="00722885">
      <w:pPr>
        <w:pStyle w:val="Iauiue"/>
        <w:jc w:val="both"/>
        <w:rPr>
          <w:iCs/>
          <w:color w:val="000000" w:themeColor="text1"/>
          <w:sz w:val="16"/>
          <w:szCs w:val="16"/>
        </w:rPr>
      </w:pPr>
    </w:p>
    <w:p w14:paraId="11616A74" w14:textId="77777777" w:rsidR="00C02F5C" w:rsidRPr="00722885" w:rsidRDefault="00C02F5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сентября 1942 - Опытный лётчик-испытатель Эрик Браун доказал, что посадка и взлёт с маленькой палубы конвойного авианосца палубного истребителя Supermarine Seafire Mk.I не составляtт особой проблемы. Совершив первую посадку на "Байтер", он обнаружил, что тросы аэрофинишера не натянуты: команда обедала и прибытия нового самолёта никто не ожидал. Правда, при второй посадке палубная команда перетянула трос, и посадочный крюк оторвался. Браун, не растерявшись, направил самолёт к надстройке авианосца и скапотировал за несколько десятков сантиметров от неё. "Сифайр" мягко "притерся" к надстройке, отделавшись лишь незначительными повреждениями (22368).</w:t>
      </w:r>
    </w:p>
    <w:p w14:paraId="613D8EFF" w14:textId="77777777" w:rsidR="00C02F5C" w:rsidRPr="00722885" w:rsidRDefault="00C02F5C" w:rsidP="00722885">
      <w:pPr>
        <w:spacing w:after="0" w:line="240" w:lineRule="auto"/>
        <w:jc w:val="both"/>
        <w:rPr>
          <w:rFonts w:ascii="Times New Roman" w:hAnsi="Times New Roman"/>
          <w:color w:val="0070C0"/>
          <w:sz w:val="16"/>
          <w:szCs w:val="16"/>
        </w:rPr>
      </w:pPr>
    </w:p>
    <w:p w14:paraId="685F43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lang w:val="en-US"/>
        </w:rPr>
        <w:t>September</w:t>
      </w:r>
      <w:r w:rsidRPr="00722885">
        <w:rPr>
          <w:color w:val="000000" w:themeColor="text1"/>
          <w:sz w:val="16"/>
          <w:szCs w:val="16"/>
        </w:rPr>
        <w:t xml:space="preserve"> 11, 1942: </w:t>
      </w:r>
      <w:r w:rsidRPr="00722885">
        <w:rPr>
          <w:color w:val="000000" w:themeColor="text1"/>
          <w:sz w:val="16"/>
          <w:szCs w:val="16"/>
          <w:lang w:val="en-US"/>
        </w:rPr>
        <w:t>Heavy</w:t>
      </w:r>
      <w:r w:rsidRPr="00722885">
        <w:rPr>
          <w:color w:val="000000" w:themeColor="text1"/>
          <w:sz w:val="16"/>
          <w:szCs w:val="16"/>
        </w:rPr>
        <w:t xml:space="preserve"> </w:t>
      </w:r>
      <w:r w:rsidRPr="00722885">
        <w:rPr>
          <w:color w:val="000000" w:themeColor="text1"/>
          <w:sz w:val="16"/>
          <w:szCs w:val="16"/>
          <w:lang w:val="en-US"/>
        </w:rPr>
        <w:t>RAF</w:t>
      </w:r>
      <w:r w:rsidRPr="00722885">
        <w:rPr>
          <w:color w:val="000000" w:themeColor="text1"/>
          <w:sz w:val="16"/>
          <w:szCs w:val="16"/>
        </w:rPr>
        <w:t xml:space="preserve"> </w:t>
      </w:r>
      <w:r w:rsidRPr="00722885">
        <w:rPr>
          <w:color w:val="000000" w:themeColor="text1"/>
          <w:sz w:val="16"/>
          <w:szCs w:val="16"/>
          <w:lang w:val="en-US"/>
        </w:rPr>
        <w:t>raid</w:t>
      </w:r>
      <w:r w:rsidRPr="00722885">
        <w:rPr>
          <w:color w:val="000000" w:themeColor="text1"/>
          <w:sz w:val="16"/>
          <w:szCs w:val="16"/>
        </w:rPr>
        <w:t xml:space="preserve"> </w:t>
      </w:r>
      <w:r w:rsidRPr="00722885">
        <w:rPr>
          <w:color w:val="000000" w:themeColor="text1"/>
          <w:sz w:val="16"/>
          <w:szCs w:val="16"/>
          <w:lang w:val="en-US"/>
        </w:rPr>
        <w:t>on</w:t>
      </w:r>
      <w:r w:rsidRPr="00722885">
        <w:rPr>
          <w:color w:val="000000" w:themeColor="text1"/>
          <w:sz w:val="16"/>
          <w:szCs w:val="16"/>
        </w:rPr>
        <w:t xml:space="preserve"> </w:t>
      </w:r>
      <w:r w:rsidRPr="00722885">
        <w:rPr>
          <w:color w:val="000000" w:themeColor="text1"/>
          <w:sz w:val="16"/>
          <w:szCs w:val="16"/>
          <w:lang w:val="en-US"/>
        </w:rPr>
        <w:t>Duesseldorf</w:t>
      </w:r>
      <w:r w:rsidRPr="00722885">
        <w:rPr>
          <w:color w:val="000000" w:themeColor="text1"/>
          <w:sz w:val="16"/>
          <w:szCs w:val="16"/>
        </w:rPr>
        <w:t xml:space="preserve"> (3819).</w:t>
      </w:r>
    </w:p>
    <w:p w14:paraId="29ABE09B" w14:textId="77777777" w:rsidR="00090C9B" w:rsidRPr="00722885" w:rsidRDefault="00090C9B" w:rsidP="00722885">
      <w:pPr>
        <w:pStyle w:val="Iauiue"/>
        <w:jc w:val="both"/>
        <w:rPr>
          <w:color w:val="000000" w:themeColor="text1"/>
          <w:sz w:val="16"/>
          <w:szCs w:val="16"/>
        </w:rPr>
      </w:pPr>
    </w:p>
    <w:p w14:paraId="41D472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Королевские ВВС выполнили массированный налет на Дюссельдорф (3819).</w:t>
      </w:r>
    </w:p>
    <w:p w14:paraId="0E47C9AE" w14:textId="77777777" w:rsidR="00090C9B" w:rsidRPr="00722885" w:rsidRDefault="00090C9B" w:rsidP="00722885">
      <w:pPr>
        <w:pStyle w:val="Iauiue"/>
        <w:jc w:val="both"/>
        <w:rPr>
          <w:color w:val="000000" w:themeColor="text1"/>
          <w:sz w:val="16"/>
          <w:szCs w:val="16"/>
        </w:rPr>
      </w:pPr>
    </w:p>
    <w:p w14:paraId="7310C4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сентября 1942 японцы были остановлены у Owne Stanley недалеко от Ioribaiwa (2261).</w:t>
      </w:r>
    </w:p>
    <w:p w14:paraId="6551DCE5" w14:textId="77777777" w:rsidR="00090C9B" w:rsidRPr="00722885" w:rsidRDefault="00090C9B" w:rsidP="00722885">
      <w:pPr>
        <w:pStyle w:val="Iauiue"/>
        <w:jc w:val="both"/>
        <w:rPr>
          <w:color w:val="000000" w:themeColor="text1"/>
          <w:sz w:val="16"/>
          <w:szCs w:val="16"/>
        </w:rPr>
      </w:pPr>
    </w:p>
    <w:p w14:paraId="10941E8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D63D2A6" w14:textId="77777777" w:rsidR="00090C9B" w:rsidRPr="00722885" w:rsidRDefault="00090C9B" w:rsidP="00722885">
      <w:pPr>
        <w:pStyle w:val="Iauiue"/>
        <w:jc w:val="both"/>
        <w:rPr>
          <w:iCs/>
          <w:color w:val="000000" w:themeColor="text1"/>
          <w:sz w:val="16"/>
          <w:szCs w:val="16"/>
        </w:rPr>
      </w:pPr>
    </w:p>
    <w:p w14:paraId="1994E7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сентября 1942 командующий ВВС Новиков, Чл. Военсовета ВВС Руденко и ГИ ВВС Репин писали А.И.Ш. письмо N 435100сс (на бланке ГУ инженерно-авиационной службы):</w:t>
      </w:r>
    </w:p>
    <w:p w14:paraId="007743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 замечаниях по проекту плана опытного самолетостроения на 1942, направленных Вам 24 августа 1942 за N 330300сс по одноместному штурмовику конструкции </w:t>
      </w:r>
      <w:r w:rsidRPr="00722885">
        <w:rPr>
          <w:color w:val="000000" w:themeColor="text1"/>
          <w:sz w:val="16"/>
          <w:szCs w:val="16"/>
        </w:rPr>
        <w:lastRenderedPageBreak/>
        <w:t>С.В.И. требовалось доведение экипажа до 2-х чел. и установка доп. вооружения для стрельбы назад.</w:t>
      </w:r>
    </w:p>
    <w:p w14:paraId="7A5375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связи с этим конструктор С.В.И. просит аннулировать материал по одноместному бронированному штурмовику и включить в план опытного самолетостроения на 1942 2-х местный бронированный штурмовик с М-71 со следующим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9B487A" w:rsidRPr="00722885" w14:paraId="230C5746" w14:textId="77777777" w:rsidTr="00CC5360">
        <w:tc>
          <w:tcPr>
            <w:tcW w:w="3757" w:type="dxa"/>
            <w:tcBorders>
              <w:top w:val="single" w:sz="12" w:space="0" w:color="auto"/>
            </w:tcBorders>
          </w:tcPr>
          <w:p w14:paraId="6EC14A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 у земли</w:t>
            </w:r>
          </w:p>
        </w:tc>
        <w:tc>
          <w:tcPr>
            <w:tcW w:w="3757" w:type="dxa"/>
            <w:tcBorders>
              <w:top w:val="single" w:sz="12" w:space="0" w:color="auto"/>
            </w:tcBorders>
          </w:tcPr>
          <w:p w14:paraId="0842E3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431 км/час</w:t>
            </w:r>
          </w:p>
        </w:tc>
        <w:tc>
          <w:tcPr>
            <w:tcW w:w="3757" w:type="dxa"/>
            <w:tcBorders>
              <w:top w:val="single" w:sz="12" w:space="0" w:color="auto"/>
            </w:tcBorders>
          </w:tcPr>
          <w:p w14:paraId="090BC189" w14:textId="77777777" w:rsidR="00090C9B" w:rsidRPr="00722885" w:rsidRDefault="00090C9B" w:rsidP="00722885">
            <w:pPr>
              <w:pStyle w:val="Iauiue"/>
              <w:jc w:val="both"/>
              <w:rPr>
                <w:color w:val="000000" w:themeColor="text1"/>
                <w:sz w:val="16"/>
                <w:szCs w:val="16"/>
              </w:rPr>
            </w:pPr>
          </w:p>
        </w:tc>
      </w:tr>
      <w:tr w:rsidR="009B487A" w:rsidRPr="00722885" w14:paraId="6E1EC368" w14:textId="77777777" w:rsidTr="00CC5360">
        <w:tc>
          <w:tcPr>
            <w:tcW w:w="3757" w:type="dxa"/>
          </w:tcPr>
          <w:p w14:paraId="2B7CDC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посадочная скорость</w:t>
            </w:r>
          </w:p>
        </w:tc>
        <w:tc>
          <w:tcPr>
            <w:tcW w:w="3757" w:type="dxa"/>
          </w:tcPr>
          <w:p w14:paraId="7019F8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125 км/час</w:t>
            </w:r>
          </w:p>
        </w:tc>
        <w:tc>
          <w:tcPr>
            <w:tcW w:w="3757" w:type="dxa"/>
          </w:tcPr>
          <w:p w14:paraId="2F691A32" w14:textId="77777777" w:rsidR="00090C9B" w:rsidRPr="00722885" w:rsidRDefault="00090C9B" w:rsidP="00722885">
            <w:pPr>
              <w:pStyle w:val="Iauiue"/>
              <w:jc w:val="both"/>
              <w:rPr>
                <w:color w:val="000000" w:themeColor="text1"/>
                <w:sz w:val="16"/>
                <w:szCs w:val="16"/>
              </w:rPr>
            </w:pPr>
          </w:p>
        </w:tc>
      </w:tr>
      <w:tr w:rsidR="009B487A" w:rsidRPr="00722885" w14:paraId="58A06BD3" w14:textId="77777777" w:rsidTr="00CC5360">
        <w:tc>
          <w:tcPr>
            <w:tcW w:w="3757" w:type="dxa"/>
          </w:tcPr>
          <w:p w14:paraId="2D3B65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подъема на 3000 м</w:t>
            </w:r>
          </w:p>
        </w:tc>
        <w:tc>
          <w:tcPr>
            <w:tcW w:w="3757" w:type="dxa"/>
          </w:tcPr>
          <w:p w14:paraId="5AAE7E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мин.</w:t>
            </w:r>
          </w:p>
        </w:tc>
        <w:tc>
          <w:tcPr>
            <w:tcW w:w="3757" w:type="dxa"/>
          </w:tcPr>
          <w:p w14:paraId="73352384" w14:textId="77777777" w:rsidR="00090C9B" w:rsidRPr="00722885" w:rsidRDefault="00090C9B" w:rsidP="00722885">
            <w:pPr>
              <w:pStyle w:val="Iauiue"/>
              <w:jc w:val="both"/>
              <w:rPr>
                <w:color w:val="000000" w:themeColor="text1"/>
                <w:sz w:val="16"/>
                <w:szCs w:val="16"/>
              </w:rPr>
            </w:pPr>
          </w:p>
        </w:tc>
      </w:tr>
      <w:tr w:rsidR="009B487A" w:rsidRPr="00722885" w14:paraId="1CB8796F" w14:textId="77777777" w:rsidTr="00CC5360">
        <w:tc>
          <w:tcPr>
            <w:tcW w:w="3757" w:type="dxa"/>
          </w:tcPr>
          <w:p w14:paraId="1D5554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Дальность у земли на 350 км/час </w:t>
            </w:r>
          </w:p>
        </w:tc>
        <w:tc>
          <w:tcPr>
            <w:tcW w:w="3757" w:type="dxa"/>
          </w:tcPr>
          <w:p w14:paraId="6D9D13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600 км</w:t>
            </w:r>
          </w:p>
        </w:tc>
        <w:tc>
          <w:tcPr>
            <w:tcW w:w="3757" w:type="dxa"/>
          </w:tcPr>
          <w:p w14:paraId="3DFC8CF5" w14:textId="77777777" w:rsidR="00090C9B" w:rsidRPr="00722885" w:rsidRDefault="00090C9B" w:rsidP="00722885">
            <w:pPr>
              <w:pStyle w:val="Iauiue"/>
              <w:jc w:val="both"/>
              <w:rPr>
                <w:color w:val="000000" w:themeColor="text1"/>
                <w:sz w:val="16"/>
                <w:szCs w:val="16"/>
              </w:rPr>
            </w:pPr>
          </w:p>
        </w:tc>
      </w:tr>
      <w:tr w:rsidR="009B487A" w:rsidRPr="00722885" w14:paraId="674048E7" w14:textId="77777777" w:rsidTr="00CC5360">
        <w:tc>
          <w:tcPr>
            <w:tcW w:w="3757" w:type="dxa"/>
          </w:tcPr>
          <w:p w14:paraId="6C1756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практ. Потолок</w:t>
            </w:r>
          </w:p>
        </w:tc>
        <w:tc>
          <w:tcPr>
            <w:tcW w:w="3757" w:type="dxa"/>
          </w:tcPr>
          <w:p w14:paraId="565AF8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8500 м</w:t>
            </w:r>
          </w:p>
        </w:tc>
        <w:tc>
          <w:tcPr>
            <w:tcW w:w="3757" w:type="dxa"/>
          </w:tcPr>
          <w:p w14:paraId="7AECBDF5" w14:textId="77777777" w:rsidR="00090C9B" w:rsidRPr="00722885" w:rsidRDefault="00090C9B" w:rsidP="00722885">
            <w:pPr>
              <w:pStyle w:val="Iauiue"/>
              <w:jc w:val="both"/>
              <w:rPr>
                <w:color w:val="000000" w:themeColor="text1"/>
                <w:sz w:val="16"/>
                <w:szCs w:val="16"/>
              </w:rPr>
            </w:pPr>
          </w:p>
        </w:tc>
      </w:tr>
      <w:tr w:rsidR="009B487A" w:rsidRPr="00722885" w14:paraId="5E528935" w14:textId="77777777" w:rsidTr="00CC5360">
        <w:tc>
          <w:tcPr>
            <w:tcW w:w="3757" w:type="dxa"/>
          </w:tcPr>
          <w:p w14:paraId="2839AB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Вооружение:</w:t>
            </w:r>
          </w:p>
        </w:tc>
        <w:tc>
          <w:tcPr>
            <w:tcW w:w="3757" w:type="dxa"/>
          </w:tcPr>
          <w:p w14:paraId="476793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2х37мм </w:t>
            </w:r>
          </w:p>
        </w:tc>
        <w:tc>
          <w:tcPr>
            <w:tcW w:w="3757" w:type="dxa"/>
          </w:tcPr>
          <w:p w14:paraId="6B9215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11П с 80 патронами</w:t>
            </w:r>
          </w:p>
        </w:tc>
      </w:tr>
      <w:tr w:rsidR="009B487A" w:rsidRPr="00722885" w14:paraId="7345D2A1" w14:textId="77777777" w:rsidTr="00CC5360">
        <w:tc>
          <w:tcPr>
            <w:tcW w:w="3757" w:type="dxa"/>
          </w:tcPr>
          <w:p w14:paraId="1F66AA2C" w14:textId="77777777" w:rsidR="00090C9B" w:rsidRPr="00722885" w:rsidRDefault="00090C9B" w:rsidP="00722885">
            <w:pPr>
              <w:pStyle w:val="Iauiue"/>
              <w:jc w:val="both"/>
              <w:rPr>
                <w:color w:val="000000" w:themeColor="text1"/>
                <w:sz w:val="16"/>
                <w:szCs w:val="16"/>
              </w:rPr>
            </w:pPr>
          </w:p>
        </w:tc>
        <w:tc>
          <w:tcPr>
            <w:tcW w:w="3757" w:type="dxa"/>
          </w:tcPr>
          <w:p w14:paraId="409B0D63" w14:textId="77777777" w:rsidR="00090C9B" w:rsidRPr="00722885" w:rsidRDefault="00090C9B" w:rsidP="00722885">
            <w:pPr>
              <w:pStyle w:val="Iauiue"/>
              <w:jc w:val="both"/>
              <w:rPr>
                <w:color w:val="000000" w:themeColor="text1"/>
                <w:sz w:val="16"/>
                <w:szCs w:val="16"/>
              </w:rPr>
            </w:pPr>
          </w:p>
        </w:tc>
        <w:tc>
          <w:tcPr>
            <w:tcW w:w="3757" w:type="dxa"/>
          </w:tcPr>
          <w:p w14:paraId="175D59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4хШКАС с 2000 вперед</w:t>
            </w:r>
          </w:p>
        </w:tc>
      </w:tr>
      <w:tr w:rsidR="009B487A" w:rsidRPr="00722885" w14:paraId="6F66E281" w14:textId="77777777" w:rsidTr="00CC5360">
        <w:tc>
          <w:tcPr>
            <w:tcW w:w="3757" w:type="dxa"/>
          </w:tcPr>
          <w:p w14:paraId="58AE5EB3" w14:textId="77777777" w:rsidR="00090C9B" w:rsidRPr="00722885" w:rsidRDefault="00090C9B" w:rsidP="00722885">
            <w:pPr>
              <w:pStyle w:val="Iauiue"/>
              <w:jc w:val="both"/>
              <w:rPr>
                <w:color w:val="000000" w:themeColor="text1"/>
                <w:sz w:val="16"/>
                <w:szCs w:val="16"/>
              </w:rPr>
            </w:pPr>
          </w:p>
        </w:tc>
        <w:tc>
          <w:tcPr>
            <w:tcW w:w="3757" w:type="dxa"/>
          </w:tcPr>
          <w:p w14:paraId="3473EEBE" w14:textId="77777777" w:rsidR="00090C9B" w:rsidRPr="00722885" w:rsidRDefault="00090C9B" w:rsidP="00722885">
            <w:pPr>
              <w:pStyle w:val="Iauiue"/>
              <w:jc w:val="both"/>
              <w:rPr>
                <w:color w:val="000000" w:themeColor="text1"/>
                <w:sz w:val="16"/>
                <w:szCs w:val="16"/>
              </w:rPr>
            </w:pPr>
          </w:p>
        </w:tc>
        <w:tc>
          <w:tcPr>
            <w:tcW w:w="3757" w:type="dxa"/>
          </w:tcPr>
          <w:p w14:paraId="5E9AB0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1х12.7 с 250 патронами назад</w:t>
            </w:r>
          </w:p>
        </w:tc>
      </w:tr>
      <w:tr w:rsidR="009B487A" w:rsidRPr="00722885" w14:paraId="35F43962" w14:textId="77777777" w:rsidTr="00CC5360">
        <w:tc>
          <w:tcPr>
            <w:tcW w:w="3757" w:type="dxa"/>
            <w:tcBorders>
              <w:bottom w:val="single" w:sz="12" w:space="0" w:color="auto"/>
            </w:tcBorders>
          </w:tcPr>
          <w:p w14:paraId="590C555D" w14:textId="77777777" w:rsidR="00090C9B" w:rsidRPr="00722885" w:rsidRDefault="00090C9B" w:rsidP="00722885">
            <w:pPr>
              <w:pStyle w:val="Iauiue"/>
              <w:jc w:val="both"/>
              <w:rPr>
                <w:color w:val="000000" w:themeColor="text1"/>
                <w:sz w:val="16"/>
                <w:szCs w:val="16"/>
              </w:rPr>
            </w:pPr>
          </w:p>
        </w:tc>
        <w:tc>
          <w:tcPr>
            <w:tcW w:w="3757" w:type="dxa"/>
            <w:tcBorders>
              <w:bottom w:val="single" w:sz="12" w:space="0" w:color="auto"/>
            </w:tcBorders>
          </w:tcPr>
          <w:p w14:paraId="4933BD35" w14:textId="77777777" w:rsidR="00090C9B" w:rsidRPr="00722885" w:rsidRDefault="00090C9B" w:rsidP="00722885">
            <w:pPr>
              <w:pStyle w:val="Iauiue"/>
              <w:jc w:val="both"/>
              <w:rPr>
                <w:color w:val="000000" w:themeColor="text1"/>
                <w:sz w:val="16"/>
                <w:szCs w:val="16"/>
              </w:rPr>
            </w:pPr>
          </w:p>
        </w:tc>
        <w:tc>
          <w:tcPr>
            <w:tcW w:w="3757" w:type="dxa"/>
            <w:tcBorders>
              <w:bottom w:val="single" w:sz="12" w:space="0" w:color="auto"/>
            </w:tcBorders>
          </w:tcPr>
          <w:p w14:paraId="60EE6DB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бомбы - 400 кг нормально</w:t>
            </w:r>
          </w:p>
        </w:tc>
      </w:tr>
    </w:tbl>
    <w:p w14:paraId="754A43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 как предложенный С.В.И. 2-х местный бронированный штурмовик с М-71 удовлетворяет требованиям ВВС, считаю необходимым включить его в план опытного самолетостроения на 1942 с предъявлением на гос. испытания к 1 марта 1943 (1632,151).</w:t>
      </w:r>
    </w:p>
    <w:p w14:paraId="3CF99E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Видно потому С.В.И. не спешил с обычным Ил-2</w:t>
      </w:r>
    </w:p>
    <w:p w14:paraId="4F4F3C00" w14:textId="77777777" w:rsidR="00090C9B" w:rsidRPr="00722885" w:rsidRDefault="00090C9B" w:rsidP="00722885">
      <w:pPr>
        <w:pStyle w:val="Iauiue"/>
        <w:jc w:val="both"/>
        <w:rPr>
          <w:color w:val="000000" w:themeColor="text1"/>
          <w:sz w:val="16"/>
          <w:szCs w:val="16"/>
        </w:rPr>
      </w:pPr>
    </w:p>
    <w:p w14:paraId="2DBDB8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сентября 1942 г. в письме на имя наркома авиапромышленности А.И.Шахурина №435100 маршал авиации Г.А.Ворожейкин писал:</w:t>
      </w:r>
    </w:p>
    <w:p w14:paraId="624A7B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Так как предложенный тов. Ильюшиным 2-х местный бронированный штурмовик с мотором М-71 удовлетворяет требованиям ВВС Красной армии, считаю необходимым включить его в план опытного самолетостроения на 1942 год с предъявлением самолета на госиспытания к 1-му марта 1943 года” (9649).</w:t>
      </w:r>
    </w:p>
    <w:p w14:paraId="5E6B011D" w14:textId="77777777" w:rsidR="00090C9B" w:rsidRPr="00722885" w:rsidRDefault="00090C9B" w:rsidP="00722885">
      <w:pPr>
        <w:pStyle w:val="Iauiue"/>
        <w:jc w:val="both"/>
        <w:rPr>
          <w:color w:val="000000" w:themeColor="text1"/>
          <w:sz w:val="16"/>
          <w:szCs w:val="16"/>
        </w:rPr>
      </w:pPr>
    </w:p>
    <w:p w14:paraId="4A16921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 1942 г. первый заместитель главкома ВВС мар</w:t>
      </w:r>
      <w:r w:rsidRPr="00722885">
        <w:rPr>
          <w:rFonts w:ascii="Times New Roman" w:hAnsi="Times New Roman"/>
          <w:color w:val="000000" w:themeColor="text1"/>
          <w:sz w:val="16"/>
          <w:szCs w:val="16"/>
        </w:rPr>
        <w:softHyphen/>
        <w:t>шал авиации ГА. Ворожейкин в письме на имя наркома авиапромышленности Шахурина писал: «...Так как предложенный тов. Ильюшиным 2-х местный бронирован</w:t>
      </w:r>
      <w:r w:rsidRPr="00722885">
        <w:rPr>
          <w:rFonts w:ascii="Times New Roman" w:hAnsi="Times New Roman"/>
          <w:color w:val="000000" w:themeColor="text1"/>
          <w:sz w:val="16"/>
          <w:szCs w:val="16"/>
        </w:rPr>
        <w:softHyphen/>
        <w:t>ный штурмовик с мотором М-71 удовлет</w:t>
      </w:r>
      <w:r w:rsidRPr="00722885">
        <w:rPr>
          <w:rFonts w:ascii="Times New Roman" w:hAnsi="Times New Roman"/>
          <w:color w:val="000000" w:themeColor="text1"/>
          <w:sz w:val="16"/>
          <w:szCs w:val="16"/>
        </w:rPr>
        <w:softHyphen/>
        <w:t>воряет требованиям ВВС Красной Ар</w:t>
      </w:r>
      <w:r w:rsidRPr="00722885">
        <w:rPr>
          <w:rFonts w:ascii="Times New Roman" w:hAnsi="Times New Roman"/>
          <w:color w:val="000000" w:themeColor="text1"/>
          <w:sz w:val="16"/>
          <w:szCs w:val="16"/>
        </w:rPr>
        <w:softHyphen/>
        <w:t>мии, считаю необходимым включить его в план опытного самолетостроения на 1942 год с предъявлением самолета на госиспытания к 1-му марта 1943 года». По ряду причин эскизный проект это</w:t>
      </w:r>
      <w:r w:rsidRPr="00722885">
        <w:rPr>
          <w:rFonts w:ascii="Times New Roman" w:hAnsi="Times New Roman"/>
          <w:color w:val="000000" w:themeColor="text1"/>
          <w:sz w:val="16"/>
          <w:szCs w:val="16"/>
        </w:rPr>
        <w:softHyphen/>
        <w:t>го самолета (уже под обозначением Ил-8 М-71) был представлен только в ав</w:t>
      </w:r>
      <w:r w:rsidRPr="00722885">
        <w:rPr>
          <w:rFonts w:ascii="Times New Roman" w:hAnsi="Times New Roman"/>
          <w:color w:val="000000" w:themeColor="text1"/>
          <w:sz w:val="16"/>
          <w:szCs w:val="16"/>
        </w:rPr>
        <w:softHyphen/>
        <w:t>густе 1943 г., а сама машина так никогда и не была построена. Двигатель М-71 пребывал в состоя</w:t>
      </w:r>
      <w:r w:rsidRPr="00722885">
        <w:rPr>
          <w:rFonts w:ascii="Times New Roman" w:hAnsi="Times New Roman"/>
          <w:color w:val="000000" w:themeColor="text1"/>
          <w:sz w:val="16"/>
          <w:szCs w:val="16"/>
        </w:rPr>
        <w:softHyphen/>
        <w:t>нии длительной доводки. Основные силы конструкторы завода № 19 напра</w:t>
      </w:r>
      <w:r w:rsidRPr="00722885">
        <w:rPr>
          <w:rFonts w:ascii="Times New Roman" w:hAnsi="Times New Roman"/>
          <w:color w:val="000000" w:themeColor="text1"/>
          <w:sz w:val="16"/>
          <w:szCs w:val="16"/>
        </w:rPr>
        <w:softHyphen/>
        <w:t>вили на совершенствование серийно</w:t>
      </w:r>
      <w:r w:rsidRPr="00722885">
        <w:rPr>
          <w:rFonts w:ascii="Times New Roman" w:hAnsi="Times New Roman"/>
          <w:color w:val="000000" w:themeColor="text1"/>
          <w:sz w:val="16"/>
          <w:szCs w:val="16"/>
        </w:rPr>
        <w:softHyphen/>
        <w:t>го М-82 (10680).</w:t>
      </w:r>
    </w:p>
    <w:p w14:paraId="5EEEA2E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3EBE3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 1942 г. первый заместитель ко</w:t>
      </w:r>
      <w:r w:rsidRPr="00722885">
        <w:rPr>
          <w:rFonts w:ascii="Times New Roman" w:hAnsi="Times New Roman"/>
          <w:color w:val="000000" w:themeColor="text1"/>
          <w:sz w:val="16"/>
          <w:szCs w:val="16"/>
        </w:rPr>
        <w:softHyphen/>
        <w:t>мандующего ВВС КА Г. А. Ворожейкин поддержал предложение С. В. Ильюшина по двухместному бронированному штурмовику с М-71 и в письме на имя наркома авиа</w:t>
      </w:r>
      <w:r w:rsidRPr="00722885">
        <w:rPr>
          <w:rFonts w:ascii="Times New Roman" w:hAnsi="Times New Roman"/>
          <w:color w:val="000000" w:themeColor="text1"/>
          <w:sz w:val="16"/>
          <w:szCs w:val="16"/>
        </w:rPr>
        <w:softHyphen/>
        <w:t>промышленности А. И. Шахурина от генерал писал: "...Так как предложенный тов. Илью</w:t>
      </w:r>
      <w:r w:rsidRPr="00722885">
        <w:rPr>
          <w:rFonts w:ascii="Times New Roman" w:hAnsi="Times New Roman"/>
          <w:color w:val="000000" w:themeColor="text1"/>
          <w:sz w:val="16"/>
          <w:szCs w:val="16"/>
        </w:rPr>
        <w:softHyphen/>
        <w:t>шиным 2-х местный бронированный штурмовик с мотором М-71 удовлет</w:t>
      </w:r>
      <w:r w:rsidRPr="00722885">
        <w:rPr>
          <w:rFonts w:ascii="Times New Roman" w:hAnsi="Times New Roman"/>
          <w:color w:val="000000" w:themeColor="text1"/>
          <w:sz w:val="16"/>
          <w:szCs w:val="16"/>
        </w:rPr>
        <w:softHyphen/>
        <w:t>воряет требованиям ВВС Красной Армии, считаю необходимым вклю</w:t>
      </w:r>
      <w:r w:rsidRPr="00722885">
        <w:rPr>
          <w:rFonts w:ascii="Times New Roman" w:hAnsi="Times New Roman"/>
          <w:color w:val="000000" w:themeColor="text1"/>
          <w:sz w:val="16"/>
          <w:szCs w:val="16"/>
        </w:rPr>
        <w:softHyphen/>
        <w:t>чить его в план опытного самолетос</w:t>
      </w:r>
      <w:r w:rsidRPr="00722885">
        <w:rPr>
          <w:rFonts w:ascii="Times New Roman" w:hAnsi="Times New Roman"/>
          <w:color w:val="000000" w:themeColor="text1"/>
          <w:sz w:val="16"/>
          <w:szCs w:val="16"/>
        </w:rPr>
        <w:softHyphen/>
        <w:t>троения на 1942 год с предъявлени</w:t>
      </w:r>
      <w:r w:rsidRPr="00722885">
        <w:rPr>
          <w:rFonts w:ascii="Times New Roman" w:hAnsi="Times New Roman"/>
          <w:color w:val="000000" w:themeColor="text1"/>
          <w:sz w:val="16"/>
          <w:szCs w:val="16"/>
        </w:rPr>
        <w:softHyphen/>
        <w:t>ем самолета на госиспытания к 1-му марта 1943 года" (11426).</w:t>
      </w:r>
    </w:p>
    <w:p w14:paraId="0B7C4FC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B0D455B" w14:textId="77777777" w:rsidR="00A0281A" w:rsidRPr="00722885" w:rsidRDefault="00A0281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 1942 года первый заместитель командующего ВВС КА генерал-лейтенант Г. А. Ворожейкин поддержал предложение С. В. Ильюшина по БШ-М71 и в письме на имя наркома авиапромышленности А. И. Шахурина писал: «Так как предложенный тов. Ильюшиным двухместный бронированный штурмовик с мотором М-71 удовлетворяет требованиям ВВС Красной Армии, считаю необходимым включить его в план опытного самолетостроения на 1942 год с предъявлением самолета на госиспытания к 1 марта 1943 года» (17490).</w:t>
      </w:r>
    </w:p>
    <w:p w14:paraId="072A9984" w14:textId="77777777" w:rsidR="00A0281A" w:rsidRPr="00722885" w:rsidRDefault="00A0281A" w:rsidP="00722885">
      <w:pPr>
        <w:spacing w:after="0" w:line="240" w:lineRule="auto"/>
        <w:jc w:val="both"/>
        <w:rPr>
          <w:rFonts w:ascii="Times New Roman" w:hAnsi="Times New Roman"/>
          <w:color w:val="000000" w:themeColor="text1"/>
          <w:sz w:val="16"/>
          <w:szCs w:val="16"/>
        </w:rPr>
      </w:pPr>
    </w:p>
    <w:p w14:paraId="08500E2F" w14:textId="77777777" w:rsidR="00A0281A" w:rsidRPr="00722885" w:rsidRDefault="00A0281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12 сентября 1942 г. пер</w:t>
      </w:r>
      <w:r w:rsidRPr="00722885">
        <w:rPr>
          <w:color w:val="000000" w:themeColor="text1"/>
          <w:sz w:val="16"/>
          <w:szCs w:val="16"/>
        </w:rPr>
        <w:softHyphen/>
        <w:t>вый заместитель командующего ВВС КА генерал Г. А. Ворожейкин поддержал предложение С. В. Ильюшина. В письме на имя наркома авиа</w:t>
      </w:r>
      <w:r w:rsidRPr="00722885">
        <w:rPr>
          <w:color w:val="000000" w:themeColor="text1"/>
          <w:sz w:val="16"/>
          <w:szCs w:val="16"/>
        </w:rPr>
        <w:softHyphen/>
        <w:t>промышленности А. И. Шахурина от он писал: «.Так как предложенный тов. Ильюшиным 2-местный бронированный штурмо</w:t>
      </w:r>
      <w:r w:rsidRPr="00722885">
        <w:rPr>
          <w:color w:val="000000" w:themeColor="text1"/>
          <w:sz w:val="16"/>
          <w:szCs w:val="16"/>
        </w:rPr>
        <w:softHyphen/>
        <w:t>вик с мотором М-71 удовлетворяет требованиям ВВС Красной Армии, считаю необходимым вклю</w:t>
      </w:r>
      <w:r w:rsidRPr="00722885">
        <w:rPr>
          <w:color w:val="000000" w:themeColor="text1"/>
          <w:sz w:val="16"/>
          <w:szCs w:val="16"/>
        </w:rPr>
        <w:softHyphen/>
        <w:t>чить его в план опытного самолетостроения на 1942 год с предъявлением самолета на госиспыта</w:t>
      </w:r>
      <w:r w:rsidRPr="00722885">
        <w:rPr>
          <w:color w:val="000000" w:themeColor="text1"/>
          <w:sz w:val="16"/>
          <w:szCs w:val="16"/>
        </w:rPr>
        <w:softHyphen/>
        <w:t>ния к 1 марта 1943 года» (17500).</w:t>
      </w:r>
    </w:p>
    <w:p w14:paraId="023CE184" w14:textId="77777777" w:rsidR="00A0281A" w:rsidRPr="00722885" w:rsidRDefault="00A0281A" w:rsidP="00722885">
      <w:pPr>
        <w:spacing w:after="0" w:line="240" w:lineRule="auto"/>
        <w:jc w:val="both"/>
        <w:rPr>
          <w:rFonts w:ascii="Times New Roman" w:hAnsi="Times New Roman"/>
          <w:color w:val="000000" w:themeColor="text1"/>
          <w:sz w:val="16"/>
          <w:szCs w:val="16"/>
        </w:rPr>
      </w:pPr>
    </w:p>
    <w:p w14:paraId="34478074" w14:textId="77777777" w:rsidR="00565971" w:rsidRPr="00722885" w:rsidRDefault="00565971" w:rsidP="00722885">
      <w:pPr>
        <w:pStyle w:val="45"/>
        <w:shd w:val="clear" w:color="auto" w:fill="auto"/>
        <w:spacing w:before="0" w:line="240" w:lineRule="auto"/>
        <w:jc w:val="both"/>
        <w:rPr>
          <w:rFonts w:ascii="Times New Roman" w:cs="Times New Roman"/>
          <w:color w:val="000000" w:themeColor="text1"/>
          <w:sz w:val="16"/>
          <w:szCs w:val="16"/>
        </w:rPr>
      </w:pPr>
      <w:r w:rsidRPr="00722885">
        <w:rPr>
          <w:rStyle w:val="4f0"/>
          <w:rFonts w:ascii="Times New Roman" w:hAnsi="Times New Roman" w:cs="Times New Roman"/>
          <w:i w:val="0"/>
          <w:iCs w:val="0"/>
          <w:color w:val="000000" w:themeColor="text1"/>
          <w:sz w:val="16"/>
          <w:szCs w:val="16"/>
        </w:rPr>
        <w:t>12 сентября 1942г первый заместитель командующего ВВС КА генерал Ворожейкин в письме наркому авиапромышленности Шахурину писал:</w:t>
      </w:r>
      <w:r w:rsidRPr="00722885">
        <w:rPr>
          <w:rFonts w:ascii="Times New Roman" w:cs="Times New Roman"/>
          <w:color w:val="000000" w:themeColor="text1"/>
          <w:sz w:val="16"/>
          <w:szCs w:val="16"/>
        </w:rPr>
        <w:t xml:space="preserve"> «...Так как предложенный тов. Ильюшиным 2-х местный бронированный штурме вик с мотором М-71 удовлетворяет требованиям ВВС Красной Армии, считаю необходимым включить его в план опытного самолётостроения на 1942 год с предъявлением самолёта на госиспытания к 1-му марта 1943 года» (15846).</w:t>
      </w:r>
    </w:p>
    <w:p w14:paraId="3617B2D7" w14:textId="77777777" w:rsidR="00565971" w:rsidRPr="00722885" w:rsidRDefault="00565971" w:rsidP="00722885">
      <w:pPr>
        <w:pStyle w:val="45"/>
        <w:shd w:val="clear" w:color="auto" w:fill="auto"/>
        <w:spacing w:before="0" w:line="240" w:lineRule="auto"/>
        <w:jc w:val="both"/>
        <w:rPr>
          <w:rFonts w:ascii="Times New Roman" w:cs="Times New Roman"/>
          <w:color w:val="000000" w:themeColor="text1"/>
          <w:sz w:val="16"/>
          <w:szCs w:val="16"/>
        </w:rPr>
      </w:pPr>
    </w:p>
    <w:p w14:paraId="74A44085" w14:textId="77777777" w:rsidR="00A0281A" w:rsidRPr="00722885" w:rsidRDefault="00A0281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12 сентября 1942 г. в заключении к отчету НИП АВ ВВС, подготовленном помощником началь</w:t>
      </w:r>
      <w:r w:rsidRPr="00722885">
        <w:rPr>
          <w:color w:val="000000" w:themeColor="text1"/>
          <w:sz w:val="16"/>
          <w:szCs w:val="16"/>
        </w:rPr>
        <w:softHyphen/>
        <w:t>ника 2-го отдела Оперативного управления штаба ВВС КА военным инженером 2-го ранга И. В. Пименовым, отмечалась «необходимость самого срочно</w:t>
      </w:r>
      <w:r w:rsidRPr="00722885">
        <w:rPr>
          <w:color w:val="000000" w:themeColor="text1"/>
          <w:sz w:val="16"/>
          <w:szCs w:val="16"/>
        </w:rPr>
        <w:softHyphen/>
        <w:t>го введения на вооружение Ил-2 с 37-мм пушками ОКБ-15 или ОКБ-16, лучше одной для стрельбы че</w:t>
      </w:r>
      <w:r w:rsidRPr="00722885">
        <w:rPr>
          <w:color w:val="000000" w:themeColor="text1"/>
          <w:sz w:val="16"/>
          <w:szCs w:val="16"/>
        </w:rPr>
        <w:softHyphen/>
        <w:t>рез втулку редуктора». Предлагалось незамедли</w:t>
      </w:r>
      <w:r w:rsidRPr="00722885">
        <w:rPr>
          <w:color w:val="000000" w:themeColor="text1"/>
          <w:sz w:val="16"/>
          <w:szCs w:val="16"/>
        </w:rPr>
        <w:softHyphen/>
        <w:t>тельно отработать и принять «на вооружение спе</w:t>
      </w:r>
      <w:r w:rsidRPr="00722885">
        <w:rPr>
          <w:color w:val="000000" w:themeColor="text1"/>
          <w:sz w:val="16"/>
          <w:szCs w:val="16"/>
        </w:rPr>
        <w:softHyphen/>
        <w:t>циальных противотанковых авиапушек с началь</w:t>
      </w:r>
      <w:r w:rsidRPr="00722885">
        <w:rPr>
          <w:color w:val="000000" w:themeColor="text1"/>
          <w:sz w:val="16"/>
          <w:szCs w:val="16"/>
        </w:rPr>
        <w:softHyphen/>
        <w:t>ной скоростью снаряда порядка 1300—1400 м/с (подобные скорости имеют немецкие противотан</w:t>
      </w:r>
      <w:r w:rsidRPr="00722885">
        <w:rPr>
          <w:color w:val="000000" w:themeColor="text1"/>
          <w:sz w:val="16"/>
          <w:szCs w:val="16"/>
        </w:rPr>
        <w:softHyphen/>
        <w:t>ковые пушки с так называемыми термитными сна</w:t>
      </w:r>
      <w:r w:rsidRPr="00722885">
        <w:rPr>
          <w:color w:val="000000" w:themeColor="text1"/>
          <w:sz w:val="16"/>
          <w:szCs w:val="16"/>
        </w:rPr>
        <w:softHyphen/>
        <w:t>рядами)». Кроме того, требовалось изыскание «но</w:t>
      </w:r>
      <w:r w:rsidRPr="00722885">
        <w:rPr>
          <w:color w:val="000000" w:themeColor="text1"/>
          <w:sz w:val="16"/>
          <w:szCs w:val="16"/>
        </w:rPr>
        <w:softHyphen/>
        <w:t>вых методов применения зажигательных средств штурмовиками по танкам, так как зажиганием оди</w:t>
      </w:r>
      <w:r w:rsidRPr="00722885">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5C4C17AB" w14:textId="77777777" w:rsidR="00A0281A" w:rsidRPr="00722885" w:rsidRDefault="00A0281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Интересно отметить еще один результат иссле</w:t>
      </w:r>
      <w:r w:rsidRPr="00722885">
        <w:rPr>
          <w:color w:val="000000" w:themeColor="text1"/>
          <w:sz w:val="16"/>
          <w:szCs w:val="16"/>
        </w:rPr>
        <w:softHyphen/>
        <w:t>довательской работы по оценке эффективности вооружения Ил-2. В августе 1942 г. с формулиров</w:t>
      </w:r>
      <w:r w:rsidRPr="00722885">
        <w:rPr>
          <w:color w:val="000000" w:themeColor="text1"/>
          <w:sz w:val="16"/>
          <w:szCs w:val="16"/>
        </w:rPr>
        <w:softHyphen/>
        <w:t>кой «в связи с необходимостью проведения ин</w:t>
      </w:r>
      <w:r w:rsidRPr="00722885">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722885">
        <w:rPr>
          <w:color w:val="000000" w:themeColor="text1"/>
          <w:sz w:val="16"/>
          <w:szCs w:val="16"/>
        </w:rPr>
        <w:softHyphen/>
        <w:t>ший лейтенант Назаров из 245-го шап были отко</w:t>
      </w:r>
      <w:r w:rsidRPr="00722885">
        <w:rPr>
          <w:color w:val="000000" w:themeColor="text1"/>
          <w:sz w:val="16"/>
          <w:szCs w:val="16"/>
        </w:rPr>
        <w:softHyphen/>
        <w:t>мандированы в 4-й отдел НИИ ВВС. Утверждалось, что «указанные летчики прошли специальную тре</w:t>
      </w:r>
      <w:r w:rsidRPr="00722885">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6E34D482" w14:textId="77777777" w:rsidR="00A0281A" w:rsidRPr="00722885" w:rsidRDefault="00A0281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получения из НИП АВ отчета с материала</w:t>
      </w:r>
      <w:r w:rsidRPr="00722885">
        <w:rPr>
          <w:color w:val="000000" w:themeColor="text1"/>
          <w:sz w:val="16"/>
          <w:szCs w:val="16"/>
        </w:rPr>
        <w:softHyphen/>
        <w:t>ми испытаний вооружения самолетов Ил-2 и ЛаГГ-3 при действии по немецкой бронетехнике специ</w:t>
      </w:r>
      <w:r w:rsidRPr="00722885">
        <w:rPr>
          <w:color w:val="000000" w:themeColor="text1"/>
          <w:sz w:val="16"/>
          <w:szCs w:val="16"/>
        </w:rPr>
        <w:softHyphen/>
        <w:t>алисты 2-го отдела (отдел по использованию опыта войны) Оперативного управления штаба ВВС в кон</w:t>
      </w:r>
      <w:r w:rsidRPr="00722885">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722885">
        <w:rPr>
          <w:color w:val="000000" w:themeColor="text1"/>
          <w:sz w:val="16"/>
          <w:szCs w:val="16"/>
        </w:rPr>
        <w:softHyphen/>
        <w:t>ной Армии (17500).</w:t>
      </w:r>
    </w:p>
    <w:p w14:paraId="7BC973D0" w14:textId="77777777" w:rsidR="00A0281A" w:rsidRPr="00722885" w:rsidRDefault="00A0281A" w:rsidP="00722885">
      <w:pPr>
        <w:spacing w:after="0" w:line="240" w:lineRule="auto"/>
        <w:jc w:val="both"/>
        <w:rPr>
          <w:rFonts w:ascii="Times New Roman" w:eastAsia="Times New Roman" w:hAnsi="Times New Roman"/>
          <w:color w:val="000000" w:themeColor="text1"/>
          <w:sz w:val="16"/>
          <w:szCs w:val="16"/>
          <w:lang w:eastAsia="ru-RU"/>
        </w:rPr>
      </w:pPr>
    </w:p>
    <w:p w14:paraId="7A6CE4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сентября 1942 года был подготовлен План выпуска самолетов на 1942 год и IV квартал 1942 года заводами Наркомавиапрома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367"/>
        <w:gridCol w:w="1367"/>
        <w:gridCol w:w="1367"/>
        <w:gridCol w:w="3411"/>
      </w:tblGrid>
      <w:tr w:rsidR="009B487A" w:rsidRPr="00722885" w14:paraId="6153FA9F" w14:textId="77777777" w:rsidTr="00CC5360">
        <w:tc>
          <w:tcPr>
            <w:tcW w:w="2943" w:type="dxa"/>
            <w:tcBorders>
              <w:top w:val="single" w:sz="12" w:space="0" w:color="auto"/>
            </w:tcBorders>
          </w:tcPr>
          <w:p w14:paraId="3E8DB3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N завода</w:t>
            </w:r>
          </w:p>
        </w:tc>
        <w:tc>
          <w:tcPr>
            <w:tcW w:w="1367" w:type="dxa"/>
            <w:tcBorders>
              <w:top w:val="single" w:sz="12" w:space="0" w:color="auto"/>
            </w:tcBorders>
          </w:tcPr>
          <w:p w14:paraId="5D22F9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Тип самолета и мотора</w:t>
            </w:r>
          </w:p>
        </w:tc>
        <w:tc>
          <w:tcPr>
            <w:tcW w:w="1367" w:type="dxa"/>
            <w:tcBorders>
              <w:top w:val="single" w:sz="12" w:space="0" w:color="auto"/>
            </w:tcBorders>
          </w:tcPr>
          <w:p w14:paraId="21C17D12" w14:textId="77777777" w:rsidR="00090C9B" w:rsidRPr="00722885" w:rsidRDefault="00090C9B" w:rsidP="00722885">
            <w:pPr>
              <w:pStyle w:val="Iauiue"/>
              <w:jc w:val="both"/>
              <w:rPr>
                <w:color w:val="000000" w:themeColor="text1"/>
                <w:sz w:val="16"/>
                <w:szCs w:val="16"/>
              </w:rPr>
            </w:pPr>
          </w:p>
        </w:tc>
        <w:tc>
          <w:tcPr>
            <w:tcW w:w="1367" w:type="dxa"/>
            <w:tcBorders>
              <w:top w:val="single" w:sz="12" w:space="0" w:color="auto"/>
            </w:tcBorders>
          </w:tcPr>
          <w:p w14:paraId="16E7ED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План на</w:t>
            </w:r>
          </w:p>
        </w:tc>
        <w:tc>
          <w:tcPr>
            <w:tcW w:w="3411" w:type="dxa"/>
            <w:tcBorders>
              <w:top w:val="single" w:sz="12" w:space="0" w:color="auto"/>
            </w:tcBorders>
          </w:tcPr>
          <w:p w14:paraId="5A8CA9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том</w:t>
            </w:r>
          </w:p>
        </w:tc>
      </w:tr>
      <w:tr w:rsidR="009B487A" w:rsidRPr="00722885" w14:paraId="07841811" w14:textId="77777777" w:rsidTr="00CC5360">
        <w:tc>
          <w:tcPr>
            <w:tcW w:w="2943" w:type="dxa"/>
          </w:tcPr>
          <w:p w14:paraId="6DC29900" w14:textId="77777777" w:rsidR="00090C9B" w:rsidRPr="00722885" w:rsidRDefault="00090C9B" w:rsidP="00722885">
            <w:pPr>
              <w:pStyle w:val="Iauiue"/>
              <w:jc w:val="both"/>
              <w:rPr>
                <w:color w:val="000000" w:themeColor="text1"/>
                <w:sz w:val="16"/>
                <w:szCs w:val="16"/>
              </w:rPr>
            </w:pPr>
          </w:p>
        </w:tc>
        <w:tc>
          <w:tcPr>
            <w:tcW w:w="1367" w:type="dxa"/>
          </w:tcPr>
          <w:p w14:paraId="5D747CC6" w14:textId="77777777" w:rsidR="00090C9B" w:rsidRPr="00722885" w:rsidRDefault="00090C9B" w:rsidP="00722885">
            <w:pPr>
              <w:pStyle w:val="Iauiue"/>
              <w:jc w:val="both"/>
              <w:rPr>
                <w:color w:val="000000" w:themeColor="text1"/>
                <w:sz w:val="16"/>
                <w:szCs w:val="16"/>
              </w:rPr>
            </w:pPr>
          </w:p>
        </w:tc>
        <w:tc>
          <w:tcPr>
            <w:tcW w:w="1367" w:type="dxa"/>
          </w:tcPr>
          <w:p w14:paraId="58E3A7CC" w14:textId="77777777" w:rsidR="00090C9B" w:rsidRPr="00722885" w:rsidRDefault="00090C9B" w:rsidP="00722885">
            <w:pPr>
              <w:pStyle w:val="Iauiue"/>
              <w:jc w:val="both"/>
              <w:rPr>
                <w:color w:val="000000" w:themeColor="text1"/>
                <w:sz w:val="16"/>
                <w:szCs w:val="16"/>
              </w:rPr>
            </w:pPr>
          </w:p>
        </w:tc>
        <w:tc>
          <w:tcPr>
            <w:tcW w:w="1367" w:type="dxa"/>
          </w:tcPr>
          <w:p w14:paraId="30A91E3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1942 год</w:t>
            </w:r>
          </w:p>
        </w:tc>
        <w:tc>
          <w:tcPr>
            <w:tcW w:w="3411" w:type="dxa"/>
          </w:tcPr>
          <w:p w14:paraId="62F90D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числе</w:t>
            </w:r>
          </w:p>
        </w:tc>
      </w:tr>
      <w:tr w:rsidR="009B487A" w:rsidRPr="00722885" w14:paraId="566D4DA4" w14:textId="77777777" w:rsidTr="00CC5360">
        <w:tc>
          <w:tcPr>
            <w:tcW w:w="2943" w:type="dxa"/>
          </w:tcPr>
          <w:p w14:paraId="719BEA03" w14:textId="77777777" w:rsidR="00090C9B" w:rsidRPr="00722885" w:rsidRDefault="00090C9B" w:rsidP="00722885">
            <w:pPr>
              <w:pStyle w:val="Iauiue"/>
              <w:jc w:val="both"/>
              <w:rPr>
                <w:color w:val="000000" w:themeColor="text1"/>
                <w:sz w:val="16"/>
                <w:szCs w:val="16"/>
              </w:rPr>
            </w:pPr>
          </w:p>
        </w:tc>
        <w:tc>
          <w:tcPr>
            <w:tcW w:w="1367" w:type="dxa"/>
          </w:tcPr>
          <w:p w14:paraId="056D6AE2" w14:textId="77777777" w:rsidR="00090C9B" w:rsidRPr="00722885" w:rsidRDefault="00090C9B" w:rsidP="00722885">
            <w:pPr>
              <w:pStyle w:val="Iauiue"/>
              <w:jc w:val="both"/>
              <w:rPr>
                <w:color w:val="000000" w:themeColor="text1"/>
                <w:sz w:val="16"/>
                <w:szCs w:val="16"/>
              </w:rPr>
            </w:pPr>
          </w:p>
        </w:tc>
        <w:tc>
          <w:tcPr>
            <w:tcW w:w="1367" w:type="dxa"/>
          </w:tcPr>
          <w:p w14:paraId="51AA01E5" w14:textId="77777777" w:rsidR="00090C9B" w:rsidRPr="00722885" w:rsidRDefault="00090C9B" w:rsidP="00722885">
            <w:pPr>
              <w:pStyle w:val="Iauiue"/>
              <w:jc w:val="both"/>
              <w:rPr>
                <w:color w:val="000000" w:themeColor="text1"/>
                <w:sz w:val="16"/>
                <w:szCs w:val="16"/>
              </w:rPr>
            </w:pPr>
          </w:p>
        </w:tc>
        <w:tc>
          <w:tcPr>
            <w:tcW w:w="1367" w:type="dxa"/>
          </w:tcPr>
          <w:p w14:paraId="021784F6" w14:textId="77777777" w:rsidR="00090C9B" w:rsidRPr="00722885" w:rsidRDefault="00090C9B" w:rsidP="00722885">
            <w:pPr>
              <w:pStyle w:val="Iauiue"/>
              <w:jc w:val="both"/>
              <w:rPr>
                <w:color w:val="000000" w:themeColor="text1"/>
                <w:sz w:val="16"/>
                <w:szCs w:val="16"/>
              </w:rPr>
            </w:pPr>
          </w:p>
        </w:tc>
        <w:tc>
          <w:tcPr>
            <w:tcW w:w="3411" w:type="dxa"/>
          </w:tcPr>
          <w:p w14:paraId="5B5491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IV кв.</w:t>
            </w:r>
          </w:p>
        </w:tc>
      </w:tr>
      <w:tr w:rsidR="009B487A" w:rsidRPr="00722885" w14:paraId="48278006" w14:textId="77777777" w:rsidTr="00CC5360">
        <w:tc>
          <w:tcPr>
            <w:tcW w:w="2943" w:type="dxa"/>
          </w:tcPr>
          <w:p w14:paraId="3A486272" w14:textId="77777777" w:rsidR="00090C9B" w:rsidRPr="00722885" w:rsidRDefault="00090C9B" w:rsidP="00722885">
            <w:pPr>
              <w:pStyle w:val="Iauiue"/>
              <w:jc w:val="both"/>
              <w:rPr>
                <w:color w:val="000000" w:themeColor="text1"/>
                <w:sz w:val="16"/>
                <w:szCs w:val="16"/>
              </w:rPr>
            </w:pPr>
          </w:p>
        </w:tc>
        <w:tc>
          <w:tcPr>
            <w:tcW w:w="1367" w:type="dxa"/>
          </w:tcPr>
          <w:p w14:paraId="05F58F67" w14:textId="77777777" w:rsidR="00090C9B" w:rsidRPr="00722885" w:rsidRDefault="00090C9B" w:rsidP="00722885">
            <w:pPr>
              <w:pStyle w:val="Iauiue"/>
              <w:jc w:val="both"/>
              <w:rPr>
                <w:color w:val="000000" w:themeColor="text1"/>
                <w:sz w:val="16"/>
                <w:szCs w:val="16"/>
              </w:rPr>
            </w:pPr>
          </w:p>
        </w:tc>
        <w:tc>
          <w:tcPr>
            <w:tcW w:w="1367" w:type="dxa"/>
          </w:tcPr>
          <w:p w14:paraId="388B09AE" w14:textId="77777777" w:rsidR="00090C9B" w:rsidRPr="00722885" w:rsidRDefault="00090C9B" w:rsidP="00722885">
            <w:pPr>
              <w:pStyle w:val="Iauiue"/>
              <w:jc w:val="both"/>
              <w:rPr>
                <w:color w:val="000000" w:themeColor="text1"/>
                <w:sz w:val="16"/>
                <w:szCs w:val="16"/>
              </w:rPr>
            </w:pPr>
          </w:p>
        </w:tc>
        <w:tc>
          <w:tcPr>
            <w:tcW w:w="1367" w:type="dxa"/>
          </w:tcPr>
          <w:p w14:paraId="48FF38F1" w14:textId="77777777" w:rsidR="00090C9B" w:rsidRPr="00722885" w:rsidRDefault="00090C9B" w:rsidP="00722885">
            <w:pPr>
              <w:pStyle w:val="Iauiue"/>
              <w:jc w:val="both"/>
              <w:rPr>
                <w:color w:val="000000" w:themeColor="text1"/>
                <w:sz w:val="16"/>
                <w:szCs w:val="16"/>
              </w:rPr>
            </w:pPr>
          </w:p>
        </w:tc>
        <w:tc>
          <w:tcPr>
            <w:tcW w:w="3411" w:type="dxa"/>
          </w:tcPr>
          <w:p w14:paraId="023862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1942 г.</w:t>
            </w:r>
          </w:p>
        </w:tc>
      </w:tr>
      <w:tr w:rsidR="009B487A" w:rsidRPr="00722885" w14:paraId="568E125B" w14:textId="77777777" w:rsidTr="00CC5360">
        <w:tc>
          <w:tcPr>
            <w:tcW w:w="2943" w:type="dxa"/>
          </w:tcPr>
          <w:p w14:paraId="2E6730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392</w:t>
            </w:r>
          </w:p>
        </w:tc>
        <w:tc>
          <w:tcPr>
            <w:tcW w:w="1367" w:type="dxa"/>
          </w:tcPr>
          <w:p w14:paraId="47BCE3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Як-1</w:t>
            </w:r>
          </w:p>
        </w:tc>
        <w:tc>
          <w:tcPr>
            <w:tcW w:w="1367" w:type="dxa"/>
          </w:tcPr>
          <w:p w14:paraId="34675A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М-105ПФ</w:t>
            </w:r>
          </w:p>
        </w:tc>
        <w:tc>
          <w:tcPr>
            <w:tcW w:w="1367" w:type="dxa"/>
          </w:tcPr>
          <w:p w14:paraId="7C1086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2678</w:t>
            </w:r>
          </w:p>
        </w:tc>
        <w:tc>
          <w:tcPr>
            <w:tcW w:w="3411" w:type="dxa"/>
          </w:tcPr>
          <w:p w14:paraId="20F79E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219</w:t>
            </w:r>
          </w:p>
        </w:tc>
      </w:tr>
      <w:tr w:rsidR="009B487A" w:rsidRPr="00722885" w14:paraId="5223FF4F" w14:textId="77777777" w:rsidTr="00CC5360">
        <w:tc>
          <w:tcPr>
            <w:tcW w:w="2943" w:type="dxa"/>
          </w:tcPr>
          <w:p w14:paraId="236314E9" w14:textId="77777777" w:rsidR="00090C9B" w:rsidRPr="00722885" w:rsidRDefault="00090C9B" w:rsidP="00722885">
            <w:pPr>
              <w:pStyle w:val="Iauiue"/>
              <w:jc w:val="both"/>
              <w:rPr>
                <w:color w:val="000000" w:themeColor="text1"/>
                <w:sz w:val="16"/>
                <w:szCs w:val="16"/>
              </w:rPr>
            </w:pPr>
          </w:p>
        </w:tc>
        <w:tc>
          <w:tcPr>
            <w:tcW w:w="1367" w:type="dxa"/>
          </w:tcPr>
          <w:p w14:paraId="2B25FF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Як-1</w:t>
            </w:r>
          </w:p>
        </w:tc>
        <w:tc>
          <w:tcPr>
            <w:tcW w:w="1367" w:type="dxa"/>
          </w:tcPr>
          <w:p w14:paraId="6BB61F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М-105ПФ (модиф.)</w:t>
            </w:r>
          </w:p>
        </w:tc>
        <w:tc>
          <w:tcPr>
            <w:tcW w:w="1367" w:type="dxa"/>
          </w:tcPr>
          <w:p w14:paraId="44D0A4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772</w:t>
            </w:r>
          </w:p>
        </w:tc>
        <w:tc>
          <w:tcPr>
            <w:tcW w:w="3411" w:type="dxa"/>
          </w:tcPr>
          <w:p w14:paraId="1330CC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762</w:t>
            </w:r>
          </w:p>
        </w:tc>
      </w:tr>
      <w:tr w:rsidR="009B487A" w:rsidRPr="00722885" w14:paraId="44FAC1BC" w14:textId="77777777" w:rsidTr="00CC5360">
        <w:tc>
          <w:tcPr>
            <w:tcW w:w="2943" w:type="dxa"/>
          </w:tcPr>
          <w:p w14:paraId="4A065B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153</w:t>
            </w:r>
          </w:p>
        </w:tc>
        <w:tc>
          <w:tcPr>
            <w:tcW w:w="1367" w:type="dxa"/>
          </w:tcPr>
          <w:p w14:paraId="70F059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Лагг-3</w:t>
            </w:r>
          </w:p>
        </w:tc>
        <w:tc>
          <w:tcPr>
            <w:tcW w:w="1367" w:type="dxa"/>
          </w:tcPr>
          <w:p w14:paraId="4F96DE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w:t>
            </w:r>
          </w:p>
        </w:tc>
        <w:tc>
          <w:tcPr>
            <w:tcW w:w="1367" w:type="dxa"/>
          </w:tcPr>
          <w:p w14:paraId="69E7E2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65</w:t>
            </w:r>
          </w:p>
        </w:tc>
        <w:tc>
          <w:tcPr>
            <w:tcW w:w="3411" w:type="dxa"/>
          </w:tcPr>
          <w:p w14:paraId="7FF715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2BD4D8A2" w14:textId="77777777" w:rsidTr="00CC5360">
        <w:tc>
          <w:tcPr>
            <w:tcW w:w="2943" w:type="dxa"/>
          </w:tcPr>
          <w:p w14:paraId="62E7315F" w14:textId="77777777" w:rsidR="00090C9B" w:rsidRPr="00722885" w:rsidRDefault="00090C9B" w:rsidP="00722885">
            <w:pPr>
              <w:pStyle w:val="Iauiue"/>
              <w:jc w:val="both"/>
              <w:rPr>
                <w:color w:val="000000" w:themeColor="text1"/>
                <w:sz w:val="16"/>
                <w:szCs w:val="16"/>
              </w:rPr>
            </w:pPr>
          </w:p>
        </w:tc>
        <w:tc>
          <w:tcPr>
            <w:tcW w:w="1367" w:type="dxa"/>
          </w:tcPr>
          <w:p w14:paraId="5A5DEE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Як-7</w:t>
            </w:r>
          </w:p>
        </w:tc>
        <w:tc>
          <w:tcPr>
            <w:tcW w:w="1367" w:type="dxa"/>
          </w:tcPr>
          <w:p w14:paraId="609F91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М-105ПФ</w:t>
            </w:r>
          </w:p>
        </w:tc>
        <w:tc>
          <w:tcPr>
            <w:tcW w:w="1367" w:type="dxa"/>
          </w:tcPr>
          <w:p w14:paraId="64A0C9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1845</w:t>
            </w:r>
          </w:p>
        </w:tc>
        <w:tc>
          <w:tcPr>
            <w:tcW w:w="3411" w:type="dxa"/>
          </w:tcPr>
          <w:p w14:paraId="076AEB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731</w:t>
            </w:r>
          </w:p>
        </w:tc>
      </w:tr>
      <w:tr w:rsidR="009B487A" w:rsidRPr="00722885" w14:paraId="4D142AC4" w14:textId="77777777" w:rsidTr="00CC5360">
        <w:tc>
          <w:tcPr>
            <w:tcW w:w="2943" w:type="dxa"/>
          </w:tcPr>
          <w:p w14:paraId="1F878403" w14:textId="77777777" w:rsidR="00090C9B" w:rsidRPr="00722885" w:rsidRDefault="00090C9B" w:rsidP="00722885">
            <w:pPr>
              <w:pStyle w:val="Iauiue"/>
              <w:jc w:val="both"/>
              <w:rPr>
                <w:color w:val="000000" w:themeColor="text1"/>
                <w:sz w:val="16"/>
                <w:szCs w:val="16"/>
              </w:rPr>
            </w:pPr>
          </w:p>
        </w:tc>
        <w:tc>
          <w:tcPr>
            <w:tcW w:w="1367" w:type="dxa"/>
          </w:tcPr>
          <w:p w14:paraId="2CE033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Як-9</w:t>
            </w:r>
          </w:p>
        </w:tc>
        <w:tc>
          <w:tcPr>
            <w:tcW w:w="1367" w:type="dxa"/>
          </w:tcPr>
          <w:p w14:paraId="302AF3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М-105ПФ</w:t>
            </w:r>
          </w:p>
        </w:tc>
        <w:tc>
          <w:tcPr>
            <w:tcW w:w="1367" w:type="dxa"/>
          </w:tcPr>
          <w:p w14:paraId="7ABA07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374</w:t>
            </w:r>
          </w:p>
        </w:tc>
        <w:tc>
          <w:tcPr>
            <w:tcW w:w="3411" w:type="dxa"/>
          </w:tcPr>
          <w:p w14:paraId="4DAEFC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354</w:t>
            </w:r>
          </w:p>
        </w:tc>
      </w:tr>
      <w:tr w:rsidR="009B487A" w:rsidRPr="00722885" w14:paraId="3226EC78" w14:textId="77777777" w:rsidTr="00CC5360">
        <w:tc>
          <w:tcPr>
            <w:tcW w:w="2943" w:type="dxa"/>
          </w:tcPr>
          <w:p w14:paraId="19B976C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82</w:t>
            </w:r>
          </w:p>
        </w:tc>
        <w:tc>
          <w:tcPr>
            <w:tcW w:w="1367" w:type="dxa"/>
          </w:tcPr>
          <w:p w14:paraId="7B0E4E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Як-7</w:t>
            </w:r>
          </w:p>
        </w:tc>
        <w:tc>
          <w:tcPr>
            <w:tcW w:w="1367" w:type="dxa"/>
          </w:tcPr>
          <w:p w14:paraId="6ED4B3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М-105ПФ</w:t>
            </w:r>
          </w:p>
        </w:tc>
        <w:tc>
          <w:tcPr>
            <w:tcW w:w="1367" w:type="dxa"/>
          </w:tcPr>
          <w:p w14:paraId="71005F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414</w:t>
            </w:r>
          </w:p>
        </w:tc>
        <w:tc>
          <w:tcPr>
            <w:tcW w:w="3411" w:type="dxa"/>
          </w:tcPr>
          <w:p w14:paraId="36533BB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244</w:t>
            </w:r>
          </w:p>
        </w:tc>
      </w:tr>
      <w:tr w:rsidR="009B487A" w:rsidRPr="00722885" w14:paraId="6C2FCEEE" w14:textId="77777777" w:rsidTr="00CC5360">
        <w:tc>
          <w:tcPr>
            <w:tcW w:w="2943" w:type="dxa"/>
          </w:tcPr>
          <w:p w14:paraId="1A4A7D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w:t>
            </w:r>
          </w:p>
        </w:tc>
        <w:tc>
          <w:tcPr>
            <w:tcW w:w="1367" w:type="dxa"/>
          </w:tcPr>
          <w:p w14:paraId="36B4E3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Лагг-3</w:t>
            </w:r>
          </w:p>
        </w:tc>
        <w:tc>
          <w:tcPr>
            <w:tcW w:w="1367" w:type="dxa"/>
          </w:tcPr>
          <w:p w14:paraId="54936B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М-105ПФ</w:t>
            </w:r>
          </w:p>
        </w:tc>
        <w:tc>
          <w:tcPr>
            <w:tcW w:w="1367" w:type="dxa"/>
          </w:tcPr>
          <w:p w14:paraId="368D843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1990</w:t>
            </w:r>
          </w:p>
        </w:tc>
        <w:tc>
          <w:tcPr>
            <w:tcW w:w="3411" w:type="dxa"/>
          </w:tcPr>
          <w:p w14:paraId="6E1665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243</w:t>
            </w:r>
          </w:p>
        </w:tc>
      </w:tr>
      <w:tr w:rsidR="009B487A" w:rsidRPr="00722885" w14:paraId="5E937B79" w14:textId="77777777" w:rsidTr="00CC5360">
        <w:tc>
          <w:tcPr>
            <w:tcW w:w="2943" w:type="dxa"/>
          </w:tcPr>
          <w:p w14:paraId="0122829E" w14:textId="77777777" w:rsidR="00090C9B" w:rsidRPr="00722885" w:rsidRDefault="00090C9B" w:rsidP="00722885">
            <w:pPr>
              <w:pStyle w:val="Iauiue"/>
              <w:jc w:val="both"/>
              <w:rPr>
                <w:color w:val="000000" w:themeColor="text1"/>
                <w:sz w:val="16"/>
                <w:szCs w:val="16"/>
              </w:rPr>
            </w:pPr>
          </w:p>
        </w:tc>
        <w:tc>
          <w:tcPr>
            <w:tcW w:w="1367" w:type="dxa"/>
          </w:tcPr>
          <w:p w14:paraId="23F988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Ла-5</w:t>
            </w:r>
          </w:p>
        </w:tc>
        <w:tc>
          <w:tcPr>
            <w:tcW w:w="1367" w:type="dxa"/>
          </w:tcPr>
          <w:p w14:paraId="36E8B5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М-82</w:t>
            </w:r>
          </w:p>
        </w:tc>
        <w:tc>
          <w:tcPr>
            <w:tcW w:w="1367" w:type="dxa"/>
          </w:tcPr>
          <w:p w14:paraId="188329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1090</w:t>
            </w:r>
          </w:p>
        </w:tc>
        <w:tc>
          <w:tcPr>
            <w:tcW w:w="3411" w:type="dxa"/>
          </w:tcPr>
          <w:p w14:paraId="7ADF2B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740</w:t>
            </w:r>
          </w:p>
        </w:tc>
      </w:tr>
      <w:tr w:rsidR="009B487A" w:rsidRPr="00722885" w14:paraId="10C9D268" w14:textId="77777777" w:rsidTr="00CC5360">
        <w:tc>
          <w:tcPr>
            <w:tcW w:w="2943" w:type="dxa"/>
          </w:tcPr>
          <w:p w14:paraId="5AF4CBEA" w14:textId="77777777" w:rsidR="00090C9B" w:rsidRPr="00722885" w:rsidRDefault="00090C9B" w:rsidP="00722885">
            <w:pPr>
              <w:pStyle w:val="Iauiue"/>
              <w:jc w:val="both"/>
              <w:rPr>
                <w:color w:val="000000" w:themeColor="text1"/>
                <w:sz w:val="16"/>
                <w:szCs w:val="16"/>
              </w:rPr>
            </w:pPr>
          </w:p>
        </w:tc>
        <w:tc>
          <w:tcPr>
            <w:tcW w:w="1367" w:type="dxa"/>
          </w:tcPr>
          <w:p w14:paraId="7C3FAC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Як-7</w:t>
            </w:r>
          </w:p>
        </w:tc>
        <w:tc>
          <w:tcPr>
            <w:tcW w:w="1367" w:type="dxa"/>
          </w:tcPr>
          <w:p w14:paraId="31CE16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М-105ПФ</w:t>
            </w:r>
          </w:p>
        </w:tc>
        <w:tc>
          <w:tcPr>
            <w:tcW w:w="1367" w:type="dxa"/>
          </w:tcPr>
          <w:p w14:paraId="4A4A6B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w:t>
            </w:r>
          </w:p>
        </w:tc>
        <w:tc>
          <w:tcPr>
            <w:tcW w:w="3411" w:type="dxa"/>
          </w:tcPr>
          <w:p w14:paraId="24028C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7F0C2B29" w14:textId="77777777" w:rsidTr="00CC5360">
        <w:tc>
          <w:tcPr>
            <w:tcW w:w="2943" w:type="dxa"/>
          </w:tcPr>
          <w:p w14:paraId="29998A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w:t>
            </w:r>
          </w:p>
        </w:tc>
        <w:tc>
          <w:tcPr>
            <w:tcW w:w="1367" w:type="dxa"/>
          </w:tcPr>
          <w:p w14:paraId="02688B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Лагг-3</w:t>
            </w:r>
          </w:p>
        </w:tc>
        <w:tc>
          <w:tcPr>
            <w:tcW w:w="1367" w:type="dxa"/>
          </w:tcPr>
          <w:p w14:paraId="7FBD54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М-105ПФ</w:t>
            </w:r>
          </w:p>
        </w:tc>
        <w:tc>
          <w:tcPr>
            <w:tcW w:w="1367" w:type="dxa"/>
          </w:tcPr>
          <w:p w14:paraId="1D56A4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875</w:t>
            </w:r>
          </w:p>
        </w:tc>
        <w:tc>
          <w:tcPr>
            <w:tcW w:w="3411" w:type="dxa"/>
          </w:tcPr>
          <w:p w14:paraId="1FF46D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344</w:t>
            </w:r>
          </w:p>
        </w:tc>
      </w:tr>
      <w:tr w:rsidR="009B487A" w:rsidRPr="00722885" w14:paraId="522FD12A" w14:textId="77777777" w:rsidTr="00CC5360">
        <w:tc>
          <w:tcPr>
            <w:tcW w:w="2943" w:type="dxa"/>
          </w:tcPr>
          <w:p w14:paraId="10E0B45D" w14:textId="77777777" w:rsidR="00090C9B" w:rsidRPr="00722885" w:rsidRDefault="00090C9B" w:rsidP="00722885">
            <w:pPr>
              <w:pStyle w:val="Iauiue"/>
              <w:jc w:val="both"/>
              <w:rPr>
                <w:color w:val="000000" w:themeColor="text1"/>
                <w:sz w:val="16"/>
                <w:szCs w:val="16"/>
              </w:rPr>
            </w:pPr>
          </w:p>
        </w:tc>
        <w:tc>
          <w:tcPr>
            <w:tcW w:w="1367" w:type="dxa"/>
          </w:tcPr>
          <w:p w14:paraId="17741F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Ла-5</w:t>
            </w:r>
          </w:p>
        </w:tc>
        <w:tc>
          <w:tcPr>
            <w:tcW w:w="1367" w:type="dxa"/>
          </w:tcPr>
          <w:p w14:paraId="5CFBFC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М-82</w:t>
            </w:r>
          </w:p>
        </w:tc>
        <w:tc>
          <w:tcPr>
            <w:tcW w:w="1367" w:type="dxa"/>
          </w:tcPr>
          <w:p w14:paraId="4A0C37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w:t>
            </w:r>
          </w:p>
        </w:tc>
        <w:tc>
          <w:tcPr>
            <w:tcW w:w="3411" w:type="dxa"/>
          </w:tcPr>
          <w:p w14:paraId="51B61A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5B179A58" w14:textId="77777777" w:rsidTr="00CC5360">
        <w:tc>
          <w:tcPr>
            <w:tcW w:w="2943" w:type="dxa"/>
          </w:tcPr>
          <w:p w14:paraId="0F7821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tc>
        <w:tc>
          <w:tcPr>
            <w:tcW w:w="1367" w:type="dxa"/>
          </w:tcPr>
          <w:p w14:paraId="0E9CE0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Миг-3</w:t>
            </w:r>
          </w:p>
        </w:tc>
        <w:tc>
          <w:tcPr>
            <w:tcW w:w="1367" w:type="dxa"/>
          </w:tcPr>
          <w:p w14:paraId="33675B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АМ-35</w:t>
            </w:r>
          </w:p>
        </w:tc>
        <w:tc>
          <w:tcPr>
            <w:tcW w:w="1367" w:type="dxa"/>
          </w:tcPr>
          <w:p w14:paraId="1F2F16D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w:t>
            </w:r>
          </w:p>
        </w:tc>
        <w:tc>
          <w:tcPr>
            <w:tcW w:w="3411" w:type="dxa"/>
          </w:tcPr>
          <w:p w14:paraId="6C8C3D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61CB17A4" w14:textId="77777777" w:rsidTr="00CC5360">
        <w:tc>
          <w:tcPr>
            <w:tcW w:w="2943" w:type="dxa"/>
          </w:tcPr>
          <w:p w14:paraId="3388FB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99</w:t>
            </w:r>
          </w:p>
        </w:tc>
        <w:tc>
          <w:tcPr>
            <w:tcW w:w="1367" w:type="dxa"/>
          </w:tcPr>
          <w:p w14:paraId="293105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Ла-5</w:t>
            </w:r>
          </w:p>
        </w:tc>
        <w:tc>
          <w:tcPr>
            <w:tcW w:w="1367" w:type="dxa"/>
          </w:tcPr>
          <w:p w14:paraId="58BB15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М-82</w:t>
            </w:r>
          </w:p>
        </w:tc>
        <w:tc>
          <w:tcPr>
            <w:tcW w:w="1367" w:type="dxa"/>
          </w:tcPr>
          <w:p w14:paraId="1C30DE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w:t>
            </w:r>
          </w:p>
        </w:tc>
        <w:tc>
          <w:tcPr>
            <w:tcW w:w="3411" w:type="dxa"/>
          </w:tcPr>
          <w:p w14:paraId="19DA2B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w:t>
            </w:r>
          </w:p>
        </w:tc>
      </w:tr>
      <w:tr w:rsidR="009B487A" w:rsidRPr="00722885" w14:paraId="1D28A559" w14:textId="77777777" w:rsidTr="00CC5360">
        <w:tc>
          <w:tcPr>
            <w:tcW w:w="2943" w:type="dxa"/>
          </w:tcPr>
          <w:p w14:paraId="4756CF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Итого истребителей:</w:t>
            </w:r>
          </w:p>
        </w:tc>
        <w:tc>
          <w:tcPr>
            <w:tcW w:w="1367" w:type="dxa"/>
          </w:tcPr>
          <w:p w14:paraId="6861B662" w14:textId="77777777" w:rsidR="00090C9B" w:rsidRPr="00722885" w:rsidRDefault="00090C9B" w:rsidP="00722885">
            <w:pPr>
              <w:pStyle w:val="Iauiue"/>
              <w:jc w:val="both"/>
              <w:rPr>
                <w:color w:val="000000" w:themeColor="text1"/>
                <w:sz w:val="16"/>
                <w:szCs w:val="16"/>
              </w:rPr>
            </w:pPr>
          </w:p>
        </w:tc>
        <w:tc>
          <w:tcPr>
            <w:tcW w:w="1367" w:type="dxa"/>
          </w:tcPr>
          <w:p w14:paraId="079EC9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10153</w:t>
            </w:r>
          </w:p>
        </w:tc>
        <w:tc>
          <w:tcPr>
            <w:tcW w:w="1367" w:type="dxa"/>
          </w:tcPr>
          <w:p w14:paraId="71A930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3667</w:t>
            </w:r>
          </w:p>
        </w:tc>
        <w:tc>
          <w:tcPr>
            <w:tcW w:w="3411" w:type="dxa"/>
          </w:tcPr>
          <w:p w14:paraId="02C00FBE" w14:textId="77777777" w:rsidR="00090C9B" w:rsidRPr="00722885" w:rsidRDefault="00090C9B" w:rsidP="00722885">
            <w:pPr>
              <w:pStyle w:val="Iauiue"/>
              <w:jc w:val="both"/>
              <w:rPr>
                <w:color w:val="000000" w:themeColor="text1"/>
                <w:sz w:val="16"/>
                <w:szCs w:val="16"/>
              </w:rPr>
            </w:pPr>
          </w:p>
        </w:tc>
      </w:tr>
      <w:tr w:rsidR="009B487A" w:rsidRPr="00722885" w14:paraId="57176E13" w14:textId="77777777" w:rsidTr="00CC5360">
        <w:tc>
          <w:tcPr>
            <w:tcW w:w="2943" w:type="dxa"/>
          </w:tcPr>
          <w:p w14:paraId="3B5BF91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1</w:t>
            </w:r>
          </w:p>
        </w:tc>
        <w:tc>
          <w:tcPr>
            <w:tcW w:w="1367" w:type="dxa"/>
          </w:tcPr>
          <w:p w14:paraId="526FA2D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w:t>
            </w:r>
          </w:p>
        </w:tc>
        <w:tc>
          <w:tcPr>
            <w:tcW w:w="1367" w:type="dxa"/>
          </w:tcPr>
          <w:p w14:paraId="1FC741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АМ-38</w:t>
            </w:r>
          </w:p>
        </w:tc>
        <w:tc>
          <w:tcPr>
            <w:tcW w:w="1367" w:type="dxa"/>
          </w:tcPr>
          <w:p w14:paraId="3A1DA1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2945</w:t>
            </w:r>
          </w:p>
        </w:tc>
        <w:tc>
          <w:tcPr>
            <w:tcW w:w="3411" w:type="dxa"/>
          </w:tcPr>
          <w:p w14:paraId="1DC62F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1204</w:t>
            </w:r>
          </w:p>
        </w:tc>
      </w:tr>
      <w:tr w:rsidR="009B487A" w:rsidRPr="00722885" w14:paraId="3055EE99" w14:textId="77777777" w:rsidTr="00CC5360">
        <w:tc>
          <w:tcPr>
            <w:tcW w:w="2943" w:type="dxa"/>
          </w:tcPr>
          <w:p w14:paraId="38E6AF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w:t>
            </w:r>
          </w:p>
        </w:tc>
        <w:tc>
          <w:tcPr>
            <w:tcW w:w="1367" w:type="dxa"/>
          </w:tcPr>
          <w:p w14:paraId="04DB87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w:t>
            </w:r>
          </w:p>
        </w:tc>
        <w:tc>
          <w:tcPr>
            <w:tcW w:w="1367" w:type="dxa"/>
          </w:tcPr>
          <w:p w14:paraId="74ECE2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АМ-38</w:t>
            </w:r>
          </w:p>
        </w:tc>
        <w:tc>
          <w:tcPr>
            <w:tcW w:w="1367" w:type="dxa"/>
          </w:tcPr>
          <w:p w14:paraId="3EBFE8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3849</w:t>
            </w:r>
          </w:p>
        </w:tc>
        <w:tc>
          <w:tcPr>
            <w:tcW w:w="3411" w:type="dxa"/>
          </w:tcPr>
          <w:p w14:paraId="6350DD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1204</w:t>
            </w:r>
          </w:p>
        </w:tc>
      </w:tr>
      <w:tr w:rsidR="009B487A" w:rsidRPr="00722885" w14:paraId="3D759BF2" w14:textId="77777777" w:rsidTr="00CC5360">
        <w:tc>
          <w:tcPr>
            <w:tcW w:w="2943" w:type="dxa"/>
          </w:tcPr>
          <w:p w14:paraId="6BAF43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w:t>
            </w:r>
          </w:p>
        </w:tc>
        <w:tc>
          <w:tcPr>
            <w:tcW w:w="1367" w:type="dxa"/>
          </w:tcPr>
          <w:p w14:paraId="3DCB5E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w:t>
            </w:r>
          </w:p>
        </w:tc>
        <w:tc>
          <w:tcPr>
            <w:tcW w:w="1367" w:type="dxa"/>
          </w:tcPr>
          <w:p w14:paraId="3E0015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АМ-38</w:t>
            </w:r>
          </w:p>
        </w:tc>
        <w:tc>
          <w:tcPr>
            <w:tcW w:w="1367" w:type="dxa"/>
          </w:tcPr>
          <w:p w14:paraId="243CC0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1025</w:t>
            </w:r>
          </w:p>
        </w:tc>
        <w:tc>
          <w:tcPr>
            <w:tcW w:w="3411" w:type="dxa"/>
          </w:tcPr>
          <w:p w14:paraId="49A441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561</w:t>
            </w:r>
          </w:p>
        </w:tc>
      </w:tr>
      <w:tr w:rsidR="009B487A" w:rsidRPr="00722885" w14:paraId="7B543322" w14:textId="77777777" w:rsidTr="00CC5360">
        <w:tc>
          <w:tcPr>
            <w:tcW w:w="2943" w:type="dxa"/>
          </w:tcPr>
          <w:p w14:paraId="63EC55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381</w:t>
            </w:r>
          </w:p>
        </w:tc>
        <w:tc>
          <w:tcPr>
            <w:tcW w:w="1367" w:type="dxa"/>
          </w:tcPr>
          <w:p w14:paraId="7C88A2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w:t>
            </w:r>
          </w:p>
        </w:tc>
        <w:tc>
          <w:tcPr>
            <w:tcW w:w="1367" w:type="dxa"/>
          </w:tcPr>
          <w:p w14:paraId="20D4B7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АМ-38</w:t>
            </w:r>
          </w:p>
        </w:tc>
        <w:tc>
          <w:tcPr>
            <w:tcW w:w="1367" w:type="dxa"/>
          </w:tcPr>
          <w:p w14:paraId="1BA223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303</w:t>
            </w:r>
          </w:p>
        </w:tc>
        <w:tc>
          <w:tcPr>
            <w:tcW w:w="3411" w:type="dxa"/>
          </w:tcPr>
          <w:p w14:paraId="3633C6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127</w:t>
            </w:r>
          </w:p>
        </w:tc>
      </w:tr>
      <w:tr w:rsidR="009B487A" w:rsidRPr="00722885" w14:paraId="3E3E0286" w14:textId="77777777" w:rsidTr="00CC5360">
        <w:tc>
          <w:tcPr>
            <w:tcW w:w="2943" w:type="dxa"/>
          </w:tcPr>
          <w:p w14:paraId="683A967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Итого штурмовиков:</w:t>
            </w:r>
          </w:p>
        </w:tc>
        <w:tc>
          <w:tcPr>
            <w:tcW w:w="1367" w:type="dxa"/>
          </w:tcPr>
          <w:p w14:paraId="2AAC0C0F" w14:textId="77777777" w:rsidR="00090C9B" w:rsidRPr="00722885" w:rsidRDefault="00090C9B" w:rsidP="00722885">
            <w:pPr>
              <w:pStyle w:val="Iauiue"/>
              <w:jc w:val="both"/>
              <w:rPr>
                <w:color w:val="000000" w:themeColor="text1"/>
                <w:sz w:val="16"/>
                <w:szCs w:val="16"/>
              </w:rPr>
            </w:pPr>
          </w:p>
        </w:tc>
        <w:tc>
          <w:tcPr>
            <w:tcW w:w="1367" w:type="dxa"/>
          </w:tcPr>
          <w:p w14:paraId="25575C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8122</w:t>
            </w:r>
          </w:p>
        </w:tc>
        <w:tc>
          <w:tcPr>
            <w:tcW w:w="1367" w:type="dxa"/>
          </w:tcPr>
          <w:p w14:paraId="237E34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3096</w:t>
            </w:r>
          </w:p>
        </w:tc>
        <w:tc>
          <w:tcPr>
            <w:tcW w:w="3411" w:type="dxa"/>
          </w:tcPr>
          <w:p w14:paraId="3BB58863" w14:textId="77777777" w:rsidR="00090C9B" w:rsidRPr="00722885" w:rsidRDefault="00090C9B" w:rsidP="00722885">
            <w:pPr>
              <w:pStyle w:val="Iauiue"/>
              <w:jc w:val="both"/>
              <w:rPr>
                <w:color w:val="000000" w:themeColor="text1"/>
                <w:sz w:val="16"/>
                <w:szCs w:val="16"/>
              </w:rPr>
            </w:pPr>
          </w:p>
        </w:tc>
      </w:tr>
      <w:tr w:rsidR="009B487A" w:rsidRPr="00722885" w14:paraId="1FCE4998" w14:textId="77777777" w:rsidTr="00CC5360">
        <w:tc>
          <w:tcPr>
            <w:tcW w:w="2943" w:type="dxa"/>
          </w:tcPr>
          <w:p w14:paraId="6BF3B0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w:t>
            </w:r>
          </w:p>
        </w:tc>
        <w:tc>
          <w:tcPr>
            <w:tcW w:w="1367" w:type="dxa"/>
          </w:tcPr>
          <w:p w14:paraId="7EBCDA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Пе-2</w:t>
            </w:r>
          </w:p>
        </w:tc>
        <w:tc>
          <w:tcPr>
            <w:tcW w:w="1367" w:type="dxa"/>
          </w:tcPr>
          <w:p w14:paraId="2E1DA9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2М-105Р</w:t>
            </w:r>
          </w:p>
        </w:tc>
        <w:tc>
          <w:tcPr>
            <w:tcW w:w="1367" w:type="dxa"/>
          </w:tcPr>
          <w:p w14:paraId="42ED93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1914</w:t>
            </w:r>
          </w:p>
        </w:tc>
        <w:tc>
          <w:tcPr>
            <w:tcW w:w="3411" w:type="dxa"/>
          </w:tcPr>
          <w:p w14:paraId="2F2E57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600</w:t>
            </w:r>
          </w:p>
        </w:tc>
      </w:tr>
      <w:tr w:rsidR="009B487A" w:rsidRPr="00722885" w14:paraId="3883E787" w14:textId="77777777" w:rsidTr="00CC5360">
        <w:tc>
          <w:tcPr>
            <w:tcW w:w="2943" w:type="dxa"/>
          </w:tcPr>
          <w:p w14:paraId="47EA04B7" w14:textId="77777777" w:rsidR="00090C9B" w:rsidRPr="00722885" w:rsidRDefault="00090C9B" w:rsidP="00722885">
            <w:pPr>
              <w:pStyle w:val="Iauiue"/>
              <w:jc w:val="both"/>
              <w:rPr>
                <w:color w:val="000000" w:themeColor="text1"/>
                <w:sz w:val="16"/>
                <w:szCs w:val="16"/>
              </w:rPr>
            </w:pPr>
          </w:p>
        </w:tc>
        <w:tc>
          <w:tcPr>
            <w:tcW w:w="1367" w:type="dxa"/>
          </w:tcPr>
          <w:p w14:paraId="77C3B8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ТБ-7</w:t>
            </w:r>
          </w:p>
        </w:tc>
        <w:tc>
          <w:tcPr>
            <w:tcW w:w="1367" w:type="dxa"/>
          </w:tcPr>
          <w:p w14:paraId="2A90704F" w14:textId="77777777" w:rsidR="00090C9B" w:rsidRPr="00722885" w:rsidRDefault="00090C9B" w:rsidP="00722885">
            <w:pPr>
              <w:pStyle w:val="Iauiue"/>
              <w:jc w:val="both"/>
              <w:rPr>
                <w:color w:val="000000" w:themeColor="text1"/>
                <w:sz w:val="16"/>
                <w:szCs w:val="16"/>
              </w:rPr>
            </w:pPr>
          </w:p>
        </w:tc>
        <w:tc>
          <w:tcPr>
            <w:tcW w:w="1367" w:type="dxa"/>
          </w:tcPr>
          <w:p w14:paraId="023147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w:t>
            </w:r>
          </w:p>
        </w:tc>
        <w:tc>
          <w:tcPr>
            <w:tcW w:w="3411" w:type="dxa"/>
          </w:tcPr>
          <w:p w14:paraId="37970A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w:t>
            </w:r>
          </w:p>
        </w:tc>
      </w:tr>
      <w:tr w:rsidR="009B487A" w:rsidRPr="00722885" w14:paraId="66F58C80" w14:textId="77777777" w:rsidTr="00CC5360">
        <w:tc>
          <w:tcPr>
            <w:tcW w:w="2943" w:type="dxa"/>
          </w:tcPr>
          <w:p w14:paraId="375601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w:t>
            </w:r>
          </w:p>
        </w:tc>
        <w:tc>
          <w:tcPr>
            <w:tcW w:w="1367" w:type="dxa"/>
          </w:tcPr>
          <w:p w14:paraId="7996CF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Пе-2</w:t>
            </w:r>
          </w:p>
        </w:tc>
        <w:tc>
          <w:tcPr>
            <w:tcW w:w="1367" w:type="dxa"/>
          </w:tcPr>
          <w:p w14:paraId="2995E442" w14:textId="77777777" w:rsidR="00090C9B" w:rsidRPr="00722885" w:rsidRDefault="00090C9B" w:rsidP="00722885">
            <w:pPr>
              <w:pStyle w:val="Iauiue"/>
              <w:jc w:val="both"/>
              <w:rPr>
                <w:color w:val="000000" w:themeColor="text1"/>
                <w:sz w:val="16"/>
                <w:szCs w:val="16"/>
              </w:rPr>
            </w:pPr>
          </w:p>
        </w:tc>
        <w:tc>
          <w:tcPr>
            <w:tcW w:w="1367" w:type="dxa"/>
          </w:tcPr>
          <w:p w14:paraId="766290C3" w14:textId="77777777" w:rsidR="00090C9B" w:rsidRPr="00722885" w:rsidRDefault="00090C9B" w:rsidP="00722885">
            <w:pPr>
              <w:pStyle w:val="Iauiue"/>
              <w:jc w:val="both"/>
              <w:rPr>
                <w:color w:val="000000" w:themeColor="text1"/>
                <w:sz w:val="16"/>
                <w:szCs w:val="16"/>
              </w:rPr>
            </w:pPr>
          </w:p>
        </w:tc>
        <w:tc>
          <w:tcPr>
            <w:tcW w:w="3411" w:type="dxa"/>
          </w:tcPr>
          <w:p w14:paraId="3E589269" w14:textId="77777777" w:rsidR="00090C9B" w:rsidRPr="00722885" w:rsidRDefault="00090C9B" w:rsidP="00722885">
            <w:pPr>
              <w:pStyle w:val="Iauiue"/>
              <w:jc w:val="both"/>
              <w:rPr>
                <w:color w:val="000000" w:themeColor="text1"/>
                <w:sz w:val="16"/>
                <w:szCs w:val="16"/>
              </w:rPr>
            </w:pPr>
          </w:p>
        </w:tc>
      </w:tr>
      <w:tr w:rsidR="009B487A" w:rsidRPr="00722885" w14:paraId="3BF18FE6" w14:textId="77777777" w:rsidTr="00CC5360">
        <w:tc>
          <w:tcPr>
            <w:tcW w:w="2943" w:type="dxa"/>
          </w:tcPr>
          <w:p w14:paraId="751BF9D7" w14:textId="77777777" w:rsidR="00090C9B" w:rsidRPr="00722885" w:rsidRDefault="00090C9B" w:rsidP="00722885">
            <w:pPr>
              <w:pStyle w:val="Iauiue"/>
              <w:jc w:val="both"/>
              <w:rPr>
                <w:color w:val="000000" w:themeColor="text1"/>
                <w:sz w:val="16"/>
                <w:szCs w:val="16"/>
              </w:rPr>
            </w:pPr>
          </w:p>
        </w:tc>
        <w:tc>
          <w:tcPr>
            <w:tcW w:w="1367" w:type="dxa"/>
          </w:tcPr>
          <w:p w14:paraId="4D4CAA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Пе-3</w:t>
            </w:r>
          </w:p>
        </w:tc>
        <w:tc>
          <w:tcPr>
            <w:tcW w:w="1367" w:type="dxa"/>
          </w:tcPr>
          <w:p w14:paraId="1128C6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2М-105Р</w:t>
            </w:r>
          </w:p>
        </w:tc>
        <w:tc>
          <w:tcPr>
            <w:tcW w:w="1367" w:type="dxa"/>
          </w:tcPr>
          <w:p w14:paraId="646273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543</w:t>
            </w:r>
          </w:p>
        </w:tc>
        <w:tc>
          <w:tcPr>
            <w:tcW w:w="3411" w:type="dxa"/>
          </w:tcPr>
          <w:p w14:paraId="2FF097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6EEF8F74" w14:textId="77777777" w:rsidTr="00CC5360">
        <w:tc>
          <w:tcPr>
            <w:tcW w:w="2943" w:type="dxa"/>
          </w:tcPr>
          <w:p w14:paraId="3D2A4871" w14:textId="77777777" w:rsidR="00090C9B" w:rsidRPr="00722885" w:rsidRDefault="00090C9B" w:rsidP="00722885">
            <w:pPr>
              <w:pStyle w:val="Iauiue"/>
              <w:jc w:val="both"/>
              <w:rPr>
                <w:color w:val="000000" w:themeColor="text1"/>
                <w:sz w:val="16"/>
                <w:szCs w:val="16"/>
              </w:rPr>
            </w:pPr>
          </w:p>
        </w:tc>
        <w:tc>
          <w:tcPr>
            <w:tcW w:w="1367" w:type="dxa"/>
          </w:tcPr>
          <w:p w14:paraId="1A29E1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Ил-4</w:t>
            </w:r>
          </w:p>
        </w:tc>
        <w:tc>
          <w:tcPr>
            <w:tcW w:w="1367" w:type="dxa"/>
          </w:tcPr>
          <w:p w14:paraId="53B827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2М-88</w:t>
            </w:r>
          </w:p>
        </w:tc>
        <w:tc>
          <w:tcPr>
            <w:tcW w:w="1367" w:type="dxa"/>
          </w:tcPr>
          <w:p w14:paraId="5AC764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37</w:t>
            </w:r>
          </w:p>
        </w:tc>
        <w:tc>
          <w:tcPr>
            <w:tcW w:w="3411" w:type="dxa"/>
          </w:tcPr>
          <w:p w14:paraId="2E6836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37</w:t>
            </w:r>
          </w:p>
        </w:tc>
      </w:tr>
      <w:tr w:rsidR="009B487A" w:rsidRPr="00722885" w14:paraId="4247B3A7" w14:textId="77777777" w:rsidTr="00CC5360">
        <w:tc>
          <w:tcPr>
            <w:tcW w:w="2943" w:type="dxa"/>
          </w:tcPr>
          <w:p w14:paraId="775F4E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126</w:t>
            </w:r>
          </w:p>
        </w:tc>
        <w:tc>
          <w:tcPr>
            <w:tcW w:w="1367" w:type="dxa"/>
          </w:tcPr>
          <w:p w14:paraId="1E516E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Ил-4</w:t>
            </w:r>
          </w:p>
        </w:tc>
        <w:tc>
          <w:tcPr>
            <w:tcW w:w="1367" w:type="dxa"/>
          </w:tcPr>
          <w:p w14:paraId="350D58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2М-88</w:t>
            </w:r>
          </w:p>
        </w:tc>
        <w:tc>
          <w:tcPr>
            <w:tcW w:w="1367" w:type="dxa"/>
          </w:tcPr>
          <w:p w14:paraId="5C1B1D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732</w:t>
            </w:r>
          </w:p>
        </w:tc>
        <w:tc>
          <w:tcPr>
            <w:tcW w:w="3411" w:type="dxa"/>
          </w:tcPr>
          <w:p w14:paraId="1744B7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209</w:t>
            </w:r>
          </w:p>
        </w:tc>
      </w:tr>
      <w:tr w:rsidR="009B487A" w:rsidRPr="00722885" w14:paraId="30E11D5D" w14:textId="77777777" w:rsidTr="00CC5360">
        <w:tc>
          <w:tcPr>
            <w:tcW w:w="2943" w:type="dxa"/>
          </w:tcPr>
          <w:p w14:paraId="53C3E9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367" w:type="dxa"/>
          </w:tcPr>
          <w:p w14:paraId="1DF133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Ил-4</w:t>
            </w:r>
          </w:p>
        </w:tc>
        <w:tc>
          <w:tcPr>
            <w:tcW w:w="1367" w:type="dxa"/>
          </w:tcPr>
          <w:p w14:paraId="495B88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2М-88</w:t>
            </w:r>
          </w:p>
        </w:tc>
        <w:tc>
          <w:tcPr>
            <w:tcW w:w="1367" w:type="dxa"/>
          </w:tcPr>
          <w:p w14:paraId="578E57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174</w:t>
            </w:r>
          </w:p>
        </w:tc>
        <w:tc>
          <w:tcPr>
            <w:tcW w:w="3411" w:type="dxa"/>
          </w:tcPr>
          <w:p w14:paraId="0AC489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123</w:t>
            </w:r>
          </w:p>
        </w:tc>
      </w:tr>
      <w:tr w:rsidR="009B487A" w:rsidRPr="00722885" w14:paraId="4697F94B" w14:textId="77777777" w:rsidTr="00CC5360">
        <w:tc>
          <w:tcPr>
            <w:tcW w:w="2943" w:type="dxa"/>
          </w:tcPr>
          <w:p w14:paraId="473048E2" w14:textId="77777777" w:rsidR="00090C9B" w:rsidRPr="00722885" w:rsidRDefault="00090C9B" w:rsidP="00722885">
            <w:pPr>
              <w:pStyle w:val="Iauiue"/>
              <w:jc w:val="both"/>
              <w:rPr>
                <w:color w:val="000000" w:themeColor="text1"/>
                <w:sz w:val="16"/>
                <w:szCs w:val="16"/>
              </w:rPr>
            </w:pPr>
          </w:p>
        </w:tc>
        <w:tc>
          <w:tcPr>
            <w:tcW w:w="1367" w:type="dxa"/>
          </w:tcPr>
          <w:p w14:paraId="2268E6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Ту-2</w:t>
            </w:r>
          </w:p>
        </w:tc>
        <w:tc>
          <w:tcPr>
            <w:tcW w:w="1367" w:type="dxa"/>
          </w:tcPr>
          <w:p w14:paraId="2D63C6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2М-82</w:t>
            </w:r>
          </w:p>
        </w:tc>
        <w:tc>
          <w:tcPr>
            <w:tcW w:w="1367" w:type="dxa"/>
          </w:tcPr>
          <w:p w14:paraId="67CB1E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150</w:t>
            </w:r>
          </w:p>
        </w:tc>
        <w:tc>
          <w:tcPr>
            <w:tcW w:w="3411" w:type="dxa"/>
          </w:tcPr>
          <w:p w14:paraId="7658C5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90</w:t>
            </w:r>
          </w:p>
        </w:tc>
      </w:tr>
      <w:tr w:rsidR="009B487A" w:rsidRPr="00722885" w14:paraId="5371431F" w14:textId="77777777" w:rsidTr="00CC5360">
        <w:tc>
          <w:tcPr>
            <w:tcW w:w="2943" w:type="dxa"/>
          </w:tcPr>
          <w:p w14:paraId="4F4385CA" w14:textId="77777777" w:rsidR="00090C9B" w:rsidRPr="00722885" w:rsidRDefault="00090C9B" w:rsidP="00722885">
            <w:pPr>
              <w:pStyle w:val="Iauiue"/>
              <w:jc w:val="both"/>
              <w:rPr>
                <w:color w:val="000000" w:themeColor="text1"/>
                <w:sz w:val="16"/>
                <w:szCs w:val="16"/>
              </w:rPr>
            </w:pPr>
          </w:p>
        </w:tc>
        <w:tc>
          <w:tcPr>
            <w:tcW w:w="1367" w:type="dxa"/>
          </w:tcPr>
          <w:p w14:paraId="6C7084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Су-2</w:t>
            </w:r>
          </w:p>
        </w:tc>
        <w:tc>
          <w:tcPr>
            <w:tcW w:w="1367" w:type="dxa"/>
          </w:tcPr>
          <w:p w14:paraId="339909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М-88</w:t>
            </w:r>
          </w:p>
        </w:tc>
        <w:tc>
          <w:tcPr>
            <w:tcW w:w="1367" w:type="dxa"/>
          </w:tcPr>
          <w:p w14:paraId="1107D7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w:t>
            </w:r>
          </w:p>
        </w:tc>
        <w:tc>
          <w:tcPr>
            <w:tcW w:w="3411" w:type="dxa"/>
          </w:tcPr>
          <w:p w14:paraId="74D2BB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523DCE95" w14:textId="77777777" w:rsidTr="00CC5360">
        <w:tc>
          <w:tcPr>
            <w:tcW w:w="2943" w:type="dxa"/>
          </w:tcPr>
          <w:p w14:paraId="3B28D9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Итого бомбардировщиков:</w:t>
            </w:r>
          </w:p>
        </w:tc>
        <w:tc>
          <w:tcPr>
            <w:tcW w:w="1367" w:type="dxa"/>
          </w:tcPr>
          <w:p w14:paraId="29346EE9" w14:textId="77777777" w:rsidR="00090C9B" w:rsidRPr="00722885" w:rsidRDefault="00090C9B" w:rsidP="00722885">
            <w:pPr>
              <w:pStyle w:val="Iauiue"/>
              <w:jc w:val="both"/>
              <w:rPr>
                <w:color w:val="000000" w:themeColor="text1"/>
                <w:sz w:val="16"/>
                <w:szCs w:val="16"/>
              </w:rPr>
            </w:pPr>
          </w:p>
        </w:tc>
        <w:tc>
          <w:tcPr>
            <w:tcW w:w="1367" w:type="dxa"/>
          </w:tcPr>
          <w:p w14:paraId="5B8FB4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3619</w:t>
            </w:r>
          </w:p>
        </w:tc>
        <w:tc>
          <w:tcPr>
            <w:tcW w:w="1367" w:type="dxa"/>
          </w:tcPr>
          <w:p w14:paraId="32FAC3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1069</w:t>
            </w:r>
          </w:p>
        </w:tc>
        <w:tc>
          <w:tcPr>
            <w:tcW w:w="3411" w:type="dxa"/>
          </w:tcPr>
          <w:p w14:paraId="5937F1A3" w14:textId="77777777" w:rsidR="00090C9B" w:rsidRPr="00722885" w:rsidRDefault="00090C9B" w:rsidP="00722885">
            <w:pPr>
              <w:pStyle w:val="Iauiue"/>
              <w:jc w:val="both"/>
              <w:rPr>
                <w:color w:val="000000" w:themeColor="text1"/>
                <w:sz w:val="16"/>
                <w:szCs w:val="16"/>
              </w:rPr>
            </w:pPr>
          </w:p>
        </w:tc>
      </w:tr>
      <w:tr w:rsidR="009B487A" w:rsidRPr="00722885" w14:paraId="2A835257" w14:textId="77777777" w:rsidTr="00CC5360">
        <w:tc>
          <w:tcPr>
            <w:tcW w:w="2943" w:type="dxa"/>
          </w:tcPr>
          <w:p w14:paraId="282B18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Итого боевых самолетов:</w:t>
            </w:r>
          </w:p>
        </w:tc>
        <w:tc>
          <w:tcPr>
            <w:tcW w:w="1367" w:type="dxa"/>
          </w:tcPr>
          <w:p w14:paraId="184C2FDA" w14:textId="77777777" w:rsidR="00090C9B" w:rsidRPr="00722885" w:rsidRDefault="00090C9B" w:rsidP="00722885">
            <w:pPr>
              <w:pStyle w:val="Iauiue"/>
              <w:jc w:val="both"/>
              <w:rPr>
                <w:color w:val="000000" w:themeColor="text1"/>
                <w:sz w:val="16"/>
                <w:szCs w:val="16"/>
              </w:rPr>
            </w:pPr>
          </w:p>
        </w:tc>
        <w:tc>
          <w:tcPr>
            <w:tcW w:w="1367" w:type="dxa"/>
          </w:tcPr>
          <w:p w14:paraId="3DD471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21894</w:t>
            </w:r>
          </w:p>
        </w:tc>
        <w:tc>
          <w:tcPr>
            <w:tcW w:w="1367" w:type="dxa"/>
          </w:tcPr>
          <w:p w14:paraId="1A02A6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7832</w:t>
            </w:r>
          </w:p>
        </w:tc>
        <w:tc>
          <w:tcPr>
            <w:tcW w:w="3411" w:type="dxa"/>
          </w:tcPr>
          <w:p w14:paraId="72AE79CB" w14:textId="77777777" w:rsidR="00090C9B" w:rsidRPr="00722885" w:rsidRDefault="00090C9B" w:rsidP="00722885">
            <w:pPr>
              <w:pStyle w:val="Iauiue"/>
              <w:jc w:val="both"/>
              <w:rPr>
                <w:color w:val="000000" w:themeColor="text1"/>
                <w:sz w:val="16"/>
                <w:szCs w:val="16"/>
              </w:rPr>
            </w:pPr>
          </w:p>
        </w:tc>
      </w:tr>
      <w:tr w:rsidR="009B487A" w:rsidRPr="00722885" w14:paraId="52DD91DB" w14:textId="77777777" w:rsidTr="00CC5360">
        <w:tc>
          <w:tcPr>
            <w:tcW w:w="2943" w:type="dxa"/>
          </w:tcPr>
          <w:p w14:paraId="0AFA952C" w14:textId="77777777" w:rsidR="00090C9B" w:rsidRPr="00722885" w:rsidRDefault="00090C9B" w:rsidP="00722885">
            <w:pPr>
              <w:pStyle w:val="Iauiue"/>
              <w:jc w:val="both"/>
              <w:rPr>
                <w:color w:val="000000" w:themeColor="text1"/>
                <w:sz w:val="16"/>
                <w:szCs w:val="16"/>
              </w:rPr>
            </w:pPr>
          </w:p>
        </w:tc>
        <w:tc>
          <w:tcPr>
            <w:tcW w:w="1367" w:type="dxa"/>
          </w:tcPr>
          <w:p w14:paraId="4A3969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Ли-2</w:t>
            </w:r>
          </w:p>
        </w:tc>
        <w:tc>
          <w:tcPr>
            <w:tcW w:w="1367" w:type="dxa"/>
          </w:tcPr>
          <w:p w14:paraId="17A3E0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2М-62ИР</w:t>
            </w:r>
          </w:p>
        </w:tc>
        <w:tc>
          <w:tcPr>
            <w:tcW w:w="1367" w:type="dxa"/>
          </w:tcPr>
          <w:p w14:paraId="04F42D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483</w:t>
            </w:r>
          </w:p>
        </w:tc>
        <w:tc>
          <w:tcPr>
            <w:tcW w:w="3411" w:type="dxa"/>
          </w:tcPr>
          <w:p w14:paraId="267433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172</w:t>
            </w:r>
          </w:p>
        </w:tc>
      </w:tr>
      <w:tr w:rsidR="009B487A" w:rsidRPr="00722885" w14:paraId="02965009" w14:textId="77777777" w:rsidTr="00CC5360">
        <w:tc>
          <w:tcPr>
            <w:tcW w:w="2943" w:type="dxa"/>
          </w:tcPr>
          <w:p w14:paraId="19316656" w14:textId="77777777" w:rsidR="00090C9B" w:rsidRPr="00722885" w:rsidRDefault="00090C9B" w:rsidP="00722885">
            <w:pPr>
              <w:pStyle w:val="Iauiue"/>
              <w:jc w:val="both"/>
              <w:rPr>
                <w:color w:val="000000" w:themeColor="text1"/>
                <w:sz w:val="16"/>
                <w:szCs w:val="16"/>
              </w:rPr>
            </w:pPr>
          </w:p>
        </w:tc>
        <w:tc>
          <w:tcPr>
            <w:tcW w:w="1367" w:type="dxa"/>
          </w:tcPr>
          <w:p w14:paraId="172FBA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У-2</w:t>
            </w:r>
          </w:p>
        </w:tc>
        <w:tc>
          <w:tcPr>
            <w:tcW w:w="1367" w:type="dxa"/>
          </w:tcPr>
          <w:p w14:paraId="1D1932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М-11</w:t>
            </w:r>
          </w:p>
        </w:tc>
        <w:tc>
          <w:tcPr>
            <w:tcW w:w="1367" w:type="dxa"/>
          </w:tcPr>
          <w:p w14:paraId="6AB7EB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2138</w:t>
            </w:r>
          </w:p>
        </w:tc>
        <w:tc>
          <w:tcPr>
            <w:tcW w:w="3411" w:type="dxa"/>
          </w:tcPr>
          <w:p w14:paraId="2CCAFE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688</w:t>
            </w:r>
          </w:p>
        </w:tc>
      </w:tr>
      <w:tr w:rsidR="009B487A" w:rsidRPr="00722885" w14:paraId="40118F5B" w14:textId="77777777" w:rsidTr="00CC5360">
        <w:tc>
          <w:tcPr>
            <w:tcW w:w="2943" w:type="dxa"/>
          </w:tcPr>
          <w:p w14:paraId="5B8926EF" w14:textId="77777777" w:rsidR="00090C9B" w:rsidRPr="00722885" w:rsidRDefault="00090C9B" w:rsidP="00722885">
            <w:pPr>
              <w:pStyle w:val="Iauiue"/>
              <w:jc w:val="both"/>
              <w:rPr>
                <w:color w:val="000000" w:themeColor="text1"/>
                <w:sz w:val="16"/>
                <w:szCs w:val="16"/>
              </w:rPr>
            </w:pPr>
          </w:p>
        </w:tc>
        <w:tc>
          <w:tcPr>
            <w:tcW w:w="1367" w:type="dxa"/>
          </w:tcPr>
          <w:p w14:paraId="37A78B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УТ-2</w:t>
            </w:r>
          </w:p>
        </w:tc>
        <w:tc>
          <w:tcPr>
            <w:tcW w:w="1367" w:type="dxa"/>
          </w:tcPr>
          <w:p w14:paraId="319E79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М-11</w:t>
            </w:r>
          </w:p>
        </w:tc>
        <w:tc>
          <w:tcPr>
            <w:tcW w:w="1367" w:type="dxa"/>
          </w:tcPr>
          <w:p w14:paraId="27BA17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624</w:t>
            </w:r>
          </w:p>
        </w:tc>
        <w:tc>
          <w:tcPr>
            <w:tcW w:w="3411" w:type="dxa"/>
          </w:tcPr>
          <w:p w14:paraId="291906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215</w:t>
            </w:r>
          </w:p>
        </w:tc>
      </w:tr>
      <w:tr w:rsidR="009B487A" w:rsidRPr="00722885" w14:paraId="4607F142" w14:textId="77777777" w:rsidTr="00CC5360">
        <w:tc>
          <w:tcPr>
            <w:tcW w:w="2943" w:type="dxa"/>
          </w:tcPr>
          <w:p w14:paraId="7CB5622F" w14:textId="77777777" w:rsidR="00090C9B" w:rsidRPr="00722885" w:rsidRDefault="00090C9B" w:rsidP="00722885">
            <w:pPr>
              <w:pStyle w:val="Iauiue"/>
              <w:jc w:val="both"/>
              <w:rPr>
                <w:color w:val="000000" w:themeColor="text1"/>
                <w:sz w:val="16"/>
                <w:szCs w:val="16"/>
              </w:rPr>
            </w:pPr>
          </w:p>
        </w:tc>
        <w:tc>
          <w:tcPr>
            <w:tcW w:w="1367" w:type="dxa"/>
          </w:tcPr>
          <w:p w14:paraId="558493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УТ-2</w:t>
            </w:r>
          </w:p>
        </w:tc>
        <w:tc>
          <w:tcPr>
            <w:tcW w:w="1367" w:type="dxa"/>
          </w:tcPr>
          <w:p w14:paraId="5A2A84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М-11</w:t>
            </w:r>
          </w:p>
        </w:tc>
        <w:tc>
          <w:tcPr>
            <w:tcW w:w="1367" w:type="dxa"/>
          </w:tcPr>
          <w:p w14:paraId="2C2BA5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497</w:t>
            </w:r>
          </w:p>
        </w:tc>
        <w:tc>
          <w:tcPr>
            <w:tcW w:w="3411" w:type="dxa"/>
          </w:tcPr>
          <w:p w14:paraId="2186A8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203</w:t>
            </w:r>
          </w:p>
        </w:tc>
      </w:tr>
      <w:tr w:rsidR="009B487A" w:rsidRPr="00722885" w14:paraId="47AF06E6" w14:textId="77777777" w:rsidTr="00CC5360">
        <w:tc>
          <w:tcPr>
            <w:tcW w:w="2943" w:type="dxa"/>
          </w:tcPr>
          <w:p w14:paraId="39BF50D0" w14:textId="77777777" w:rsidR="00090C9B" w:rsidRPr="00722885" w:rsidRDefault="00090C9B" w:rsidP="00722885">
            <w:pPr>
              <w:pStyle w:val="Iauiue"/>
              <w:jc w:val="both"/>
              <w:rPr>
                <w:color w:val="000000" w:themeColor="text1"/>
                <w:sz w:val="16"/>
                <w:szCs w:val="16"/>
              </w:rPr>
            </w:pPr>
          </w:p>
        </w:tc>
        <w:tc>
          <w:tcPr>
            <w:tcW w:w="1367" w:type="dxa"/>
          </w:tcPr>
          <w:p w14:paraId="7B8BFB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УТИ-4</w:t>
            </w:r>
          </w:p>
        </w:tc>
        <w:tc>
          <w:tcPr>
            <w:tcW w:w="1367" w:type="dxa"/>
          </w:tcPr>
          <w:p w14:paraId="4432AF3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М-25В</w:t>
            </w:r>
          </w:p>
        </w:tc>
        <w:tc>
          <w:tcPr>
            <w:tcW w:w="1367" w:type="dxa"/>
          </w:tcPr>
          <w:p w14:paraId="677909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83</w:t>
            </w:r>
          </w:p>
        </w:tc>
        <w:tc>
          <w:tcPr>
            <w:tcW w:w="3411" w:type="dxa"/>
          </w:tcPr>
          <w:p w14:paraId="2980A7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7EED65BC" w14:textId="77777777" w:rsidTr="00CC5360">
        <w:tc>
          <w:tcPr>
            <w:tcW w:w="2943" w:type="dxa"/>
          </w:tcPr>
          <w:p w14:paraId="20A8833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Итого учебных:</w:t>
            </w:r>
          </w:p>
        </w:tc>
        <w:tc>
          <w:tcPr>
            <w:tcW w:w="1367" w:type="dxa"/>
          </w:tcPr>
          <w:p w14:paraId="7BBEB0C4" w14:textId="77777777" w:rsidR="00090C9B" w:rsidRPr="00722885" w:rsidRDefault="00090C9B" w:rsidP="00722885">
            <w:pPr>
              <w:pStyle w:val="Iauiue"/>
              <w:jc w:val="both"/>
              <w:rPr>
                <w:color w:val="000000" w:themeColor="text1"/>
                <w:sz w:val="16"/>
                <w:szCs w:val="16"/>
              </w:rPr>
            </w:pPr>
          </w:p>
        </w:tc>
        <w:tc>
          <w:tcPr>
            <w:tcW w:w="1367" w:type="dxa"/>
          </w:tcPr>
          <w:p w14:paraId="5D903C99" w14:textId="77777777" w:rsidR="00090C9B" w:rsidRPr="00722885" w:rsidRDefault="00090C9B" w:rsidP="00722885">
            <w:pPr>
              <w:pStyle w:val="Iauiue"/>
              <w:jc w:val="both"/>
              <w:rPr>
                <w:color w:val="000000" w:themeColor="text1"/>
                <w:sz w:val="16"/>
                <w:szCs w:val="16"/>
              </w:rPr>
            </w:pPr>
          </w:p>
        </w:tc>
        <w:tc>
          <w:tcPr>
            <w:tcW w:w="1367" w:type="dxa"/>
          </w:tcPr>
          <w:p w14:paraId="01719A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3342</w:t>
            </w:r>
          </w:p>
        </w:tc>
        <w:tc>
          <w:tcPr>
            <w:tcW w:w="3411" w:type="dxa"/>
          </w:tcPr>
          <w:p w14:paraId="7E50DAF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1106</w:t>
            </w:r>
          </w:p>
        </w:tc>
      </w:tr>
      <w:tr w:rsidR="009B487A" w:rsidRPr="00722885" w14:paraId="63890932" w14:textId="77777777" w:rsidTr="00CC5360">
        <w:tc>
          <w:tcPr>
            <w:tcW w:w="2943" w:type="dxa"/>
            <w:tcBorders>
              <w:bottom w:val="single" w:sz="12" w:space="0" w:color="auto"/>
            </w:tcBorders>
          </w:tcPr>
          <w:p w14:paraId="7464DC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Итого самолетов</w:t>
            </w:r>
          </w:p>
        </w:tc>
        <w:tc>
          <w:tcPr>
            <w:tcW w:w="1367" w:type="dxa"/>
            <w:tcBorders>
              <w:bottom w:val="single" w:sz="12" w:space="0" w:color="auto"/>
            </w:tcBorders>
          </w:tcPr>
          <w:p w14:paraId="5C6FCACC" w14:textId="77777777" w:rsidR="00090C9B" w:rsidRPr="00722885" w:rsidRDefault="00090C9B" w:rsidP="00722885">
            <w:pPr>
              <w:pStyle w:val="Iauiue"/>
              <w:jc w:val="both"/>
              <w:rPr>
                <w:color w:val="000000" w:themeColor="text1"/>
                <w:sz w:val="16"/>
                <w:szCs w:val="16"/>
              </w:rPr>
            </w:pPr>
          </w:p>
        </w:tc>
        <w:tc>
          <w:tcPr>
            <w:tcW w:w="1367" w:type="dxa"/>
            <w:tcBorders>
              <w:bottom w:val="single" w:sz="12" w:space="0" w:color="auto"/>
            </w:tcBorders>
          </w:tcPr>
          <w:p w14:paraId="47C3DFA2" w14:textId="77777777" w:rsidR="00090C9B" w:rsidRPr="00722885" w:rsidRDefault="00090C9B" w:rsidP="00722885">
            <w:pPr>
              <w:pStyle w:val="Iauiue"/>
              <w:jc w:val="both"/>
              <w:rPr>
                <w:color w:val="000000" w:themeColor="text1"/>
                <w:sz w:val="16"/>
                <w:szCs w:val="16"/>
              </w:rPr>
            </w:pPr>
          </w:p>
        </w:tc>
        <w:tc>
          <w:tcPr>
            <w:tcW w:w="1367" w:type="dxa"/>
            <w:tcBorders>
              <w:bottom w:val="single" w:sz="12" w:space="0" w:color="auto"/>
            </w:tcBorders>
          </w:tcPr>
          <w:p w14:paraId="406716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25719</w:t>
            </w:r>
          </w:p>
        </w:tc>
        <w:tc>
          <w:tcPr>
            <w:tcW w:w="3411" w:type="dxa"/>
            <w:tcBorders>
              <w:bottom w:val="single" w:sz="12" w:space="0" w:color="auto"/>
            </w:tcBorders>
          </w:tcPr>
          <w:p w14:paraId="4DD445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9110</w:t>
            </w:r>
          </w:p>
        </w:tc>
      </w:tr>
    </w:tbl>
    <w:p w14:paraId="1B32C2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План выпуска моторов на 1942 год и IV квартал 1942 года заводами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9B487A" w:rsidRPr="00722885" w14:paraId="7453AC86" w14:textId="77777777" w:rsidTr="00CC5360">
        <w:tc>
          <w:tcPr>
            <w:tcW w:w="1610" w:type="dxa"/>
            <w:tcBorders>
              <w:top w:val="single" w:sz="12" w:space="0" w:color="auto"/>
            </w:tcBorders>
          </w:tcPr>
          <w:p w14:paraId="054FC0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N завода</w:t>
            </w:r>
          </w:p>
        </w:tc>
        <w:tc>
          <w:tcPr>
            <w:tcW w:w="1610" w:type="dxa"/>
            <w:tcBorders>
              <w:top w:val="single" w:sz="12" w:space="0" w:color="auto"/>
            </w:tcBorders>
          </w:tcPr>
          <w:p w14:paraId="5FA7B9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Тип мотора</w:t>
            </w:r>
          </w:p>
        </w:tc>
        <w:tc>
          <w:tcPr>
            <w:tcW w:w="1610" w:type="dxa"/>
            <w:tcBorders>
              <w:top w:val="single" w:sz="12" w:space="0" w:color="auto"/>
            </w:tcBorders>
          </w:tcPr>
          <w:p w14:paraId="408179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План на</w:t>
            </w:r>
          </w:p>
        </w:tc>
        <w:tc>
          <w:tcPr>
            <w:tcW w:w="1610" w:type="dxa"/>
            <w:tcBorders>
              <w:top w:val="single" w:sz="12" w:space="0" w:color="auto"/>
            </w:tcBorders>
          </w:tcPr>
          <w:p w14:paraId="42132A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т.ч.</w:t>
            </w:r>
          </w:p>
        </w:tc>
      </w:tr>
      <w:tr w:rsidR="009B487A" w:rsidRPr="00722885" w14:paraId="75CE667E" w14:textId="77777777" w:rsidTr="00CC5360">
        <w:tc>
          <w:tcPr>
            <w:tcW w:w="1610" w:type="dxa"/>
          </w:tcPr>
          <w:p w14:paraId="490E79F4" w14:textId="77777777" w:rsidR="00090C9B" w:rsidRPr="00722885" w:rsidRDefault="00090C9B" w:rsidP="00722885">
            <w:pPr>
              <w:pStyle w:val="Iauiue"/>
              <w:jc w:val="both"/>
              <w:rPr>
                <w:color w:val="000000" w:themeColor="text1"/>
                <w:sz w:val="16"/>
                <w:szCs w:val="16"/>
              </w:rPr>
            </w:pPr>
          </w:p>
        </w:tc>
        <w:tc>
          <w:tcPr>
            <w:tcW w:w="1610" w:type="dxa"/>
          </w:tcPr>
          <w:p w14:paraId="4B69676C" w14:textId="77777777" w:rsidR="00090C9B" w:rsidRPr="00722885" w:rsidRDefault="00090C9B" w:rsidP="00722885">
            <w:pPr>
              <w:pStyle w:val="Iauiue"/>
              <w:jc w:val="both"/>
              <w:rPr>
                <w:color w:val="000000" w:themeColor="text1"/>
                <w:sz w:val="16"/>
                <w:szCs w:val="16"/>
              </w:rPr>
            </w:pPr>
          </w:p>
        </w:tc>
        <w:tc>
          <w:tcPr>
            <w:tcW w:w="1610" w:type="dxa"/>
          </w:tcPr>
          <w:p w14:paraId="25B175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1942 г.</w:t>
            </w:r>
          </w:p>
        </w:tc>
        <w:tc>
          <w:tcPr>
            <w:tcW w:w="1610" w:type="dxa"/>
          </w:tcPr>
          <w:p w14:paraId="23FB2B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IV кв.</w:t>
            </w:r>
          </w:p>
        </w:tc>
      </w:tr>
      <w:tr w:rsidR="009B487A" w:rsidRPr="00722885" w14:paraId="74660F8D" w14:textId="77777777" w:rsidTr="00CC5360">
        <w:tc>
          <w:tcPr>
            <w:tcW w:w="1610" w:type="dxa"/>
          </w:tcPr>
          <w:p w14:paraId="0A3EEC3C" w14:textId="77777777" w:rsidR="00090C9B" w:rsidRPr="00722885" w:rsidRDefault="00090C9B" w:rsidP="00722885">
            <w:pPr>
              <w:pStyle w:val="Iauiue"/>
              <w:jc w:val="both"/>
              <w:rPr>
                <w:color w:val="000000" w:themeColor="text1"/>
                <w:sz w:val="16"/>
                <w:szCs w:val="16"/>
              </w:rPr>
            </w:pPr>
          </w:p>
        </w:tc>
        <w:tc>
          <w:tcPr>
            <w:tcW w:w="1610" w:type="dxa"/>
          </w:tcPr>
          <w:p w14:paraId="2AF96209" w14:textId="77777777" w:rsidR="00090C9B" w:rsidRPr="00722885" w:rsidRDefault="00090C9B" w:rsidP="00722885">
            <w:pPr>
              <w:pStyle w:val="Iauiue"/>
              <w:jc w:val="both"/>
              <w:rPr>
                <w:color w:val="000000" w:themeColor="text1"/>
                <w:sz w:val="16"/>
                <w:szCs w:val="16"/>
              </w:rPr>
            </w:pPr>
          </w:p>
        </w:tc>
        <w:tc>
          <w:tcPr>
            <w:tcW w:w="1610" w:type="dxa"/>
          </w:tcPr>
          <w:p w14:paraId="3C32BB80" w14:textId="77777777" w:rsidR="00090C9B" w:rsidRPr="00722885" w:rsidRDefault="00090C9B" w:rsidP="00722885">
            <w:pPr>
              <w:pStyle w:val="Iauiue"/>
              <w:jc w:val="both"/>
              <w:rPr>
                <w:color w:val="000000" w:themeColor="text1"/>
                <w:sz w:val="16"/>
                <w:szCs w:val="16"/>
              </w:rPr>
            </w:pPr>
          </w:p>
        </w:tc>
        <w:tc>
          <w:tcPr>
            <w:tcW w:w="1610" w:type="dxa"/>
          </w:tcPr>
          <w:p w14:paraId="014FFB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1942 г.</w:t>
            </w:r>
          </w:p>
        </w:tc>
      </w:tr>
      <w:tr w:rsidR="009B487A" w:rsidRPr="00722885" w14:paraId="193D3705" w14:textId="77777777" w:rsidTr="00CC5360">
        <w:tc>
          <w:tcPr>
            <w:tcW w:w="1610" w:type="dxa"/>
          </w:tcPr>
          <w:p w14:paraId="0A6F7D80" w14:textId="77777777" w:rsidR="00090C9B" w:rsidRPr="00722885" w:rsidRDefault="00090C9B" w:rsidP="00722885">
            <w:pPr>
              <w:pStyle w:val="Iauiue"/>
              <w:jc w:val="both"/>
              <w:rPr>
                <w:color w:val="000000" w:themeColor="text1"/>
                <w:sz w:val="16"/>
                <w:szCs w:val="16"/>
              </w:rPr>
            </w:pPr>
          </w:p>
        </w:tc>
        <w:tc>
          <w:tcPr>
            <w:tcW w:w="1610" w:type="dxa"/>
          </w:tcPr>
          <w:p w14:paraId="722E5E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М-105Р</w:t>
            </w:r>
          </w:p>
        </w:tc>
        <w:tc>
          <w:tcPr>
            <w:tcW w:w="1610" w:type="dxa"/>
          </w:tcPr>
          <w:p w14:paraId="77EA88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3071</w:t>
            </w:r>
          </w:p>
        </w:tc>
        <w:tc>
          <w:tcPr>
            <w:tcW w:w="1610" w:type="dxa"/>
          </w:tcPr>
          <w:p w14:paraId="7B9188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1400</w:t>
            </w:r>
          </w:p>
        </w:tc>
      </w:tr>
      <w:tr w:rsidR="009B487A" w:rsidRPr="00722885" w14:paraId="26E1B98B" w14:textId="77777777" w:rsidTr="00CC5360">
        <w:tc>
          <w:tcPr>
            <w:tcW w:w="1610" w:type="dxa"/>
          </w:tcPr>
          <w:p w14:paraId="5C748A77" w14:textId="77777777" w:rsidR="00090C9B" w:rsidRPr="00722885" w:rsidRDefault="00090C9B" w:rsidP="00722885">
            <w:pPr>
              <w:pStyle w:val="Iauiue"/>
              <w:jc w:val="both"/>
              <w:rPr>
                <w:color w:val="000000" w:themeColor="text1"/>
                <w:sz w:val="16"/>
                <w:szCs w:val="16"/>
              </w:rPr>
            </w:pPr>
          </w:p>
        </w:tc>
        <w:tc>
          <w:tcPr>
            <w:tcW w:w="1610" w:type="dxa"/>
          </w:tcPr>
          <w:p w14:paraId="7DF0D4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М-82</w:t>
            </w:r>
          </w:p>
        </w:tc>
        <w:tc>
          <w:tcPr>
            <w:tcW w:w="1610" w:type="dxa"/>
          </w:tcPr>
          <w:p w14:paraId="1B0D0B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3782</w:t>
            </w:r>
          </w:p>
        </w:tc>
        <w:tc>
          <w:tcPr>
            <w:tcW w:w="1610" w:type="dxa"/>
          </w:tcPr>
          <w:p w14:paraId="5E84C7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1462</w:t>
            </w:r>
          </w:p>
        </w:tc>
      </w:tr>
      <w:tr w:rsidR="009B487A" w:rsidRPr="00722885" w14:paraId="42D6CA35" w14:textId="77777777" w:rsidTr="00CC5360">
        <w:tc>
          <w:tcPr>
            <w:tcW w:w="1610" w:type="dxa"/>
          </w:tcPr>
          <w:p w14:paraId="3C97D327" w14:textId="77777777" w:rsidR="00090C9B" w:rsidRPr="00722885" w:rsidRDefault="00090C9B" w:rsidP="00722885">
            <w:pPr>
              <w:pStyle w:val="Iauiue"/>
              <w:jc w:val="both"/>
              <w:rPr>
                <w:color w:val="000000" w:themeColor="text1"/>
                <w:sz w:val="16"/>
                <w:szCs w:val="16"/>
              </w:rPr>
            </w:pPr>
          </w:p>
        </w:tc>
        <w:tc>
          <w:tcPr>
            <w:tcW w:w="1610" w:type="dxa"/>
          </w:tcPr>
          <w:p w14:paraId="278C47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М-62ИР</w:t>
            </w:r>
          </w:p>
        </w:tc>
        <w:tc>
          <w:tcPr>
            <w:tcW w:w="1610" w:type="dxa"/>
          </w:tcPr>
          <w:p w14:paraId="4BAD31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2204</w:t>
            </w:r>
          </w:p>
        </w:tc>
        <w:tc>
          <w:tcPr>
            <w:tcW w:w="1610" w:type="dxa"/>
          </w:tcPr>
          <w:p w14:paraId="4E3E30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688</w:t>
            </w:r>
          </w:p>
        </w:tc>
      </w:tr>
      <w:tr w:rsidR="009B487A" w:rsidRPr="00722885" w14:paraId="1D00DEFB" w14:textId="77777777" w:rsidTr="00CC5360">
        <w:tc>
          <w:tcPr>
            <w:tcW w:w="1610" w:type="dxa"/>
          </w:tcPr>
          <w:p w14:paraId="45181FD5" w14:textId="77777777" w:rsidR="00090C9B" w:rsidRPr="00722885" w:rsidRDefault="00090C9B" w:rsidP="00722885">
            <w:pPr>
              <w:pStyle w:val="Iauiue"/>
              <w:jc w:val="both"/>
              <w:rPr>
                <w:color w:val="000000" w:themeColor="text1"/>
                <w:sz w:val="16"/>
                <w:szCs w:val="16"/>
              </w:rPr>
            </w:pPr>
          </w:p>
        </w:tc>
        <w:tc>
          <w:tcPr>
            <w:tcW w:w="1610" w:type="dxa"/>
          </w:tcPr>
          <w:p w14:paraId="4989FA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АМ-38</w:t>
            </w:r>
          </w:p>
        </w:tc>
        <w:tc>
          <w:tcPr>
            <w:tcW w:w="1610" w:type="dxa"/>
          </w:tcPr>
          <w:p w14:paraId="4D5376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8281</w:t>
            </w:r>
          </w:p>
        </w:tc>
        <w:tc>
          <w:tcPr>
            <w:tcW w:w="1610" w:type="dxa"/>
          </w:tcPr>
          <w:p w14:paraId="15E569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3134</w:t>
            </w:r>
          </w:p>
        </w:tc>
      </w:tr>
      <w:tr w:rsidR="009B487A" w:rsidRPr="00722885" w14:paraId="14C23966" w14:textId="77777777" w:rsidTr="00CC5360">
        <w:tc>
          <w:tcPr>
            <w:tcW w:w="1610" w:type="dxa"/>
          </w:tcPr>
          <w:p w14:paraId="457711C9" w14:textId="77777777" w:rsidR="00090C9B" w:rsidRPr="00722885" w:rsidRDefault="00090C9B" w:rsidP="00722885">
            <w:pPr>
              <w:pStyle w:val="Iauiue"/>
              <w:jc w:val="both"/>
              <w:rPr>
                <w:color w:val="000000" w:themeColor="text1"/>
                <w:sz w:val="16"/>
                <w:szCs w:val="16"/>
              </w:rPr>
            </w:pPr>
          </w:p>
        </w:tc>
        <w:tc>
          <w:tcPr>
            <w:tcW w:w="1610" w:type="dxa"/>
          </w:tcPr>
          <w:p w14:paraId="03F214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АМ-35А</w:t>
            </w:r>
          </w:p>
        </w:tc>
        <w:tc>
          <w:tcPr>
            <w:tcW w:w="1610" w:type="dxa"/>
          </w:tcPr>
          <w:p w14:paraId="78FFB8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156</w:t>
            </w:r>
          </w:p>
        </w:tc>
        <w:tc>
          <w:tcPr>
            <w:tcW w:w="1610" w:type="dxa"/>
          </w:tcPr>
          <w:p w14:paraId="05687E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288E3100" w14:textId="77777777" w:rsidTr="00CC5360">
        <w:tc>
          <w:tcPr>
            <w:tcW w:w="1610" w:type="dxa"/>
          </w:tcPr>
          <w:p w14:paraId="7A20C755" w14:textId="77777777" w:rsidR="00090C9B" w:rsidRPr="00722885" w:rsidRDefault="00090C9B" w:rsidP="00722885">
            <w:pPr>
              <w:pStyle w:val="Iauiue"/>
              <w:jc w:val="both"/>
              <w:rPr>
                <w:color w:val="000000" w:themeColor="text1"/>
                <w:sz w:val="16"/>
                <w:szCs w:val="16"/>
              </w:rPr>
            </w:pPr>
          </w:p>
        </w:tc>
        <w:tc>
          <w:tcPr>
            <w:tcW w:w="1610" w:type="dxa"/>
          </w:tcPr>
          <w:p w14:paraId="568BFA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ГАМ-34БС</w:t>
            </w:r>
          </w:p>
        </w:tc>
        <w:tc>
          <w:tcPr>
            <w:tcW w:w="1610" w:type="dxa"/>
          </w:tcPr>
          <w:p w14:paraId="5313B6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w:t>
            </w:r>
          </w:p>
        </w:tc>
        <w:tc>
          <w:tcPr>
            <w:tcW w:w="1610" w:type="dxa"/>
          </w:tcPr>
          <w:p w14:paraId="365CFE22" w14:textId="77777777" w:rsidR="00090C9B" w:rsidRPr="00722885" w:rsidRDefault="00090C9B" w:rsidP="00722885">
            <w:pPr>
              <w:pStyle w:val="Iauiue"/>
              <w:jc w:val="both"/>
              <w:rPr>
                <w:color w:val="000000" w:themeColor="text1"/>
                <w:sz w:val="16"/>
                <w:szCs w:val="16"/>
              </w:rPr>
            </w:pPr>
          </w:p>
        </w:tc>
      </w:tr>
      <w:tr w:rsidR="009B487A" w:rsidRPr="00722885" w14:paraId="4485493E" w14:textId="77777777" w:rsidTr="00CC5360">
        <w:tc>
          <w:tcPr>
            <w:tcW w:w="1610" w:type="dxa"/>
          </w:tcPr>
          <w:p w14:paraId="71FA8DE3" w14:textId="77777777" w:rsidR="00090C9B" w:rsidRPr="00722885" w:rsidRDefault="00090C9B" w:rsidP="00722885">
            <w:pPr>
              <w:pStyle w:val="Iauiue"/>
              <w:jc w:val="both"/>
              <w:rPr>
                <w:color w:val="000000" w:themeColor="text1"/>
                <w:sz w:val="16"/>
                <w:szCs w:val="16"/>
              </w:rPr>
            </w:pPr>
          </w:p>
        </w:tc>
        <w:tc>
          <w:tcPr>
            <w:tcW w:w="1610" w:type="dxa"/>
          </w:tcPr>
          <w:p w14:paraId="342222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М-105ПФ</w:t>
            </w:r>
          </w:p>
        </w:tc>
        <w:tc>
          <w:tcPr>
            <w:tcW w:w="1610" w:type="dxa"/>
          </w:tcPr>
          <w:p w14:paraId="1C9F89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10581</w:t>
            </w:r>
          </w:p>
        </w:tc>
        <w:tc>
          <w:tcPr>
            <w:tcW w:w="1610" w:type="dxa"/>
          </w:tcPr>
          <w:p w14:paraId="2F5E02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3774</w:t>
            </w:r>
          </w:p>
        </w:tc>
      </w:tr>
      <w:tr w:rsidR="009B487A" w:rsidRPr="00722885" w14:paraId="7A352644" w14:textId="77777777" w:rsidTr="00CC5360">
        <w:tc>
          <w:tcPr>
            <w:tcW w:w="1610" w:type="dxa"/>
          </w:tcPr>
          <w:p w14:paraId="48579668" w14:textId="77777777" w:rsidR="00090C9B" w:rsidRPr="00722885" w:rsidRDefault="00090C9B" w:rsidP="00722885">
            <w:pPr>
              <w:pStyle w:val="Iauiue"/>
              <w:jc w:val="both"/>
              <w:rPr>
                <w:color w:val="000000" w:themeColor="text1"/>
                <w:sz w:val="16"/>
                <w:szCs w:val="16"/>
              </w:rPr>
            </w:pPr>
          </w:p>
        </w:tc>
        <w:tc>
          <w:tcPr>
            <w:tcW w:w="1610" w:type="dxa"/>
          </w:tcPr>
          <w:p w14:paraId="6331E7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М-105Р</w:t>
            </w:r>
          </w:p>
        </w:tc>
        <w:tc>
          <w:tcPr>
            <w:tcW w:w="1610" w:type="dxa"/>
          </w:tcPr>
          <w:p w14:paraId="0C7E89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736</w:t>
            </w:r>
          </w:p>
        </w:tc>
        <w:tc>
          <w:tcPr>
            <w:tcW w:w="1610" w:type="dxa"/>
          </w:tcPr>
          <w:p w14:paraId="6D6FEF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2F94E97E" w14:textId="77777777" w:rsidTr="00CC5360">
        <w:tc>
          <w:tcPr>
            <w:tcW w:w="1610" w:type="dxa"/>
          </w:tcPr>
          <w:p w14:paraId="6409ECEC" w14:textId="77777777" w:rsidR="00090C9B" w:rsidRPr="00722885" w:rsidRDefault="00090C9B" w:rsidP="00722885">
            <w:pPr>
              <w:pStyle w:val="Iauiue"/>
              <w:jc w:val="both"/>
              <w:rPr>
                <w:color w:val="000000" w:themeColor="text1"/>
                <w:sz w:val="16"/>
                <w:szCs w:val="16"/>
              </w:rPr>
            </w:pPr>
          </w:p>
        </w:tc>
        <w:tc>
          <w:tcPr>
            <w:tcW w:w="1610" w:type="dxa"/>
          </w:tcPr>
          <w:p w14:paraId="6BD2FB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М-88</w:t>
            </w:r>
          </w:p>
        </w:tc>
        <w:tc>
          <w:tcPr>
            <w:tcW w:w="1610" w:type="dxa"/>
          </w:tcPr>
          <w:p w14:paraId="17F693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4579</w:t>
            </w:r>
          </w:p>
        </w:tc>
        <w:tc>
          <w:tcPr>
            <w:tcW w:w="1610" w:type="dxa"/>
          </w:tcPr>
          <w:p w14:paraId="6977AF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1376</w:t>
            </w:r>
          </w:p>
        </w:tc>
      </w:tr>
      <w:tr w:rsidR="009B487A" w:rsidRPr="00722885" w14:paraId="30C83FF7" w14:textId="77777777" w:rsidTr="00CC5360">
        <w:tc>
          <w:tcPr>
            <w:tcW w:w="1610" w:type="dxa"/>
          </w:tcPr>
          <w:p w14:paraId="7ECE4363" w14:textId="77777777" w:rsidR="00090C9B" w:rsidRPr="00722885" w:rsidRDefault="00090C9B" w:rsidP="00722885">
            <w:pPr>
              <w:pStyle w:val="Iauiue"/>
              <w:jc w:val="both"/>
              <w:rPr>
                <w:color w:val="000000" w:themeColor="text1"/>
                <w:sz w:val="16"/>
                <w:szCs w:val="16"/>
              </w:rPr>
            </w:pPr>
          </w:p>
        </w:tc>
        <w:tc>
          <w:tcPr>
            <w:tcW w:w="1610" w:type="dxa"/>
          </w:tcPr>
          <w:p w14:paraId="49FC2B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М-82</w:t>
            </w:r>
          </w:p>
        </w:tc>
        <w:tc>
          <w:tcPr>
            <w:tcW w:w="1610" w:type="dxa"/>
          </w:tcPr>
          <w:p w14:paraId="6A0FFF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165</w:t>
            </w:r>
          </w:p>
        </w:tc>
        <w:tc>
          <w:tcPr>
            <w:tcW w:w="1610" w:type="dxa"/>
          </w:tcPr>
          <w:p w14:paraId="02D497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165</w:t>
            </w:r>
          </w:p>
        </w:tc>
      </w:tr>
      <w:tr w:rsidR="009B487A" w:rsidRPr="00722885" w14:paraId="076A662E" w14:textId="77777777" w:rsidTr="00CC5360">
        <w:tc>
          <w:tcPr>
            <w:tcW w:w="1610" w:type="dxa"/>
          </w:tcPr>
          <w:p w14:paraId="0D4AC4D9" w14:textId="77777777" w:rsidR="00090C9B" w:rsidRPr="00722885" w:rsidRDefault="00090C9B" w:rsidP="00722885">
            <w:pPr>
              <w:pStyle w:val="Iauiue"/>
              <w:jc w:val="both"/>
              <w:rPr>
                <w:color w:val="000000" w:themeColor="text1"/>
                <w:sz w:val="16"/>
                <w:szCs w:val="16"/>
              </w:rPr>
            </w:pPr>
          </w:p>
        </w:tc>
        <w:tc>
          <w:tcPr>
            <w:tcW w:w="1610" w:type="dxa"/>
          </w:tcPr>
          <w:p w14:paraId="086E62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М-11</w:t>
            </w:r>
          </w:p>
        </w:tc>
        <w:tc>
          <w:tcPr>
            <w:tcW w:w="1610" w:type="dxa"/>
          </w:tcPr>
          <w:p w14:paraId="0DBF95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446</w:t>
            </w:r>
          </w:p>
        </w:tc>
        <w:tc>
          <w:tcPr>
            <w:tcW w:w="1610" w:type="dxa"/>
          </w:tcPr>
          <w:p w14:paraId="09D9E6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417</w:t>
            </w:r>
          </w:p>
        </w:tc>
      </w:tr>
      <w:tr w:rsidR="009B487A" w:rsidRPr="00722885" w14:paraId="77132712" w14:textId="77777777" w:rsidTr="00CC5360">
        <w:tc>
          <w:tcPr>
            <w:tcW w:w="1610" w:type="dxa"/>
          </w:tcPr>
          <w:p w14:paraId="17DEA01F" w14:textId="77777777" w:rsidR="00090C9B" w:rsidRPr="00722885" w:rsidRDefault="00090C9B" w:rsidP="00722885">
            <w:pPr>
              <w:pStyle w:val="Iauiue"/>
              <w:jc w:val="both"/>
              <w:rPr>
                <w:color w:val="000000" w:themeColor="text1"/>
                <w:sz w:val="16"/>
                <w:szCs w:val="16"/>
              </w:rPr>
            </w:pPr>
          </w:p>
        </w:tc>
        <w:tc>
          <w:tcPr>
            <w:tcW w:w="1610" w:type="dxa"/>
          </w:tcPr>
          <w:p w14:paraId="52B17B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АМ-38</w:t>
            </w:r>
          </w:p>
        </w:tc>
        <w:tc>
          <w:tcPr>
            <w:tcW w:w="1610" w:type="dxa"/>
          </w:tcPr>
          <w:p w14:paraId="7DDEF7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759</w:t>
            </w:r>
          </w:p>
        </w:tc>
        <w:tc>
          <w:tcPr>
            <w:tcW w:w="1610" w:type="dxa"/>
          </w:tcPr>
          <w:p w14:paraId="6DC69A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590</w:t>
            </w:r>
          </w:p>
        </w:tc>
      </w:tr>
      <w:tr w:rsidR="009B487A" w:rsidRPr="00722885" w14:paraId="7A5F71E5" w14:textId="77777777" w:rsidTr="00CC5360">
        <w:tc>
          <w:tcPr>
            <w:tcW w:w="1610" w:type="dxa"/>
          </w:tcPr>
          <w:p w14:paraId="34CEC3F8" w14:textId="77777777" w:rsidR="00090C9B" w:rsidRPr="00722885" w:rsidRDefault="00090C9B" w:rsidP="00722885">
            <w:pPr>
              <w:pStyle w:val="Iauiue"/>
              <w:jc w:val="both"/>
              <w:rPr>
                <w:color w:val="000000" w:themeColor="text1"/>
                <w:sz w:val="16"/>
                <w:szCs w:val="16"/>
              </w:rPr>
            </w:pPr>
          </w:p>
        </w:tc>
        <w:tc>
          <w:tcPr>
            <w:tcW w:w="1610" w:type="dxa"/>
          </w:tcPr>
          <w:p w14:paraId="7B40C0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М-11</w:t>
            </w:r>
          </w:p>
        </w:tc>
        <w:tc>
          <w:tcPr>
            <w:tcW w:w="1610" w:type="dxa"/>
          </w:tcPr>
          <w:p w14:paraId="7E1C82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3432</w:t>
            </w:r>
          </w:p>
        </w:tc>
        <w:tc>
          <w:tcPr>
            <w:tcW w:w="1610" w:type="dxa"/>
          </w:tcPr>
          <w:p w14:paraId="26C8A4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1155</w:t>
            </w:r>
          </w:p>
        </w:tc>
      </w:tr>
      <w:tr w:rsidR="009B487A" w:rsidRPr="00722885" w14:paraId="1C9DF055" w14:textId="77777777" w:rsidTr="00CC5360">
        <w:tc>
          <w:tcPr>
            <w:tcW w:w="1610" w:type="dxa"/>
          </w:tcPr>
          <w:p w14:paraId="3AA1691C" w14:textId="77777777" w:rsidR="00090C9B" w:rsidRPr="00722885" w:rsidRDefault="00090C9B" w:rsidP="00722885">
            <w:pPr>
              <w:pStyle w:val="Iauiue"/>
              <w:jc w:val="both"/>
              <w:rPr>
                <w:color w:val="000000" w:themeColor="text1"/>
                <w:sz w:val="16"/>
                <w:szCs w:val="16"/>
              </w:rPr>
            </w:pPr>
          </w:p>
        </w:tc>
        <w:tc>
          <w:tcPr>
            <w:tcW w:w="1610" w:type="dxa"/>
          </w:tcPr>
          <w:p w14:paraId="5D4A28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М-105Р</w:t>
            </w:r>
          </w:p>
        </w:tc>
        <w:tc>
          <w:tcPr>
            <w:tcW w:w="1610" w:type="dxa"/>
          </w:tcPr>
          <w:p w14:paraId="00EE21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948</w:t>
            </w:r>
          </w:p>
        </w:tc>
        <w:tc>
          <w:tcPr>
            <w:tcW w:w="1610" w:type="dxa"/>
          </w:tcPr>
          <w:p w14:paraId="4A7F9C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12F488EC" w14:textId="77777777" w:rsidTr="00CC5360">
        <w:tc>
          <w:tcPr>
            <w:tcW w:w="1610" w:type="dxa"/>
          </w:tcPr>
          <w:p w14:paraId="72199E54" w14:textId="77777777" w:rsidR="00090C9B" w:rsidRPr="00722885" w:rsidRDefault="00090C9B" w:rsidP="00722885">
            <w:pPr>
              <w:pStyle w:val="Iauiue"/>
              <w:jc w:val="both"/>
              <w:rPr>
                <w:color w:val="000000" w:themeColor="text1"/>
                <w:sz w:val="16"/>
                <w:szCs w:val="16"/>
              </w:rPr>
            </w:pPr>
          </w:p>
        </w:tc>
        <w:tc>
          <w:tcPr>
            <w:tcW w:w="1610" w:type="dxa"/>
          </w:tcPr>
          <w:p w14:paraId="5BDBF8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М-105ПФ</w:t>
            </w:r>
          </w:p>
        </w:tc>
        <w:tc>
          <w:tcPr>
            <w:tcW w:w="1610" w:type="dxa"/>
          </w:tcPr>
          <w:p w14:paraId="20CE78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837</w:t>
            </w:r>
          </w:p>
        </w:tc>
        <w:tc>
          <w:tcPr>
            <w:tcW w:w="1610" w:type="dxa"/>
          </w:tcPr>
          <w:p w14:paraId="2BEBDFC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769</w:t>
            </w:r>
          </w:p>
        </w:tc>
      </w:tr>
      <w:tr w:rsidR="009B487A" w:rsidRPr="00722885" w14:paraId="09E1D0AA" w14:textId="77777777" w:rsidTr="00CC5360">
        <w:tc>
          <w:tcPr>
            <w:tcW w:w="1610" w:type="dxa"/>
          </w:tcPr>
          <w:p w14:paraId="4A357EFB" w14:textId="77777777" w:rsidR="00090C9B" w:rsidRPr="00722885" w:rsidRDefault="00090C9B" w:rsidP="00722885">
            <w:pPr>
              <w:pStyle w:val="Iauiue"/>
              <w:jc w:val="both"/>
              <w:rPr>
                <w:color w:val="000000" w:themeColor="text1"/>
                <w:sz w:val="16"/>
                <w:szCs w:val="16"/>
              </w:rPr>
            </w:pPr>
          </w:p>
        </w:tc>
        <w:tc>
          <w:tcPr>
            <w:tcW w:w="1610" w:type="dxa"/>
          </w:tcPr>
          <w:p w14:paraId="015534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М-30</w:t>
            </w:r>
          </w:p>
        </w:tc>
        <w:tc>
          <w:tcPr>
            <w:tcW w:w="1610" w:type="dxa"/>
          </w:tcPr>
          <w:p w14:paraId="3CC56F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w:t>
            </w:r>
          </w:p>
        </w:tc>
        <w:tc>
          <w:tcPr>
            <w:tcW w:w="1610" w:type="dxa"/>
          </w:tcPr>
          <w:p w14:paraId="7D60E9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w:t>
            </w:r>
          </w:p>
        </w:tc>
      </w:tr>
      <w:tr w:rsidR="009B487A" w:rsidRPr="00722885" w14:paraId="62DFE8B4" w14:textId="77777777" w:rsidTr="00CC5360">
        <w:tc>
          <w:tcPr>
            <w:tcW w:w="1610" w:type="dxa"/>
            <w:tcBorders>
              <w:bottom w:val="single" w:sz="12" w:space="0" w:color="auto"/>
            </w:tcBorders>
          </w:tcPr>
          <w:p w14:paraId="370EC015" w14:textId="77777777" w:rsidR="00090C9B" w:rsidRPr="00722885" w:rsidRDefault="00090C9B" w:rsidP="00722885">
            <w:pPr>
              <w:pStyle w:val="Iauiue"/>
              <w:jc w:val="both"/>
              <w:rPr>
                <w:color w:val="000000" w:themeColor="text1"/>
                <w:sz w:val="16"/>
                <w:szCs w:val="16"/>
              </w:rPr>
            </w:pPr>
          </w:p>
        </w:tc>
        <w:tc>
          <w:tcPr>
            <w:tcW w:w="1610" w:type="dxa"/>
            <w:tcBorders>
              <w:bottom w:val="single" w:sz="12" w:space="0" w:color="auto"/>
            </w:tcBorders>
          </w:tcPr>
          <w:p w14:paraId="4BEBB38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Итого моторов:</w:t>
            </w:r>
          </w:p>
        </w:tc>
        <w:tc>
          <w:tcPr>
            <w:tcW w:w="1610" w:type="dxa"/>
            <w:tcBorders>
              <w:bottom w:val="single" w:sz="12" w:space="0" w:color="auto"/>
            </w:tcBorders>
          </w:tcPr>
          <w:p w14:paraId="2C5424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40037</w:t>
            </w:r>
          </w:p>
        </w:tc>
        <w:tc>
          <w:tcPr>
            <w:tcW w:w="1610" w:type="dxa"/>
            <w:tcBorders>
              <w:bottom w:val="single" w:sz="12" w:space="0" w:color="auto"/>
            </w:tcBorders>
          </w:tcPr>
          <w:p w14:paraId="3315B57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14960</w:t>
            </w:r>
          </w:p>
        </w:tc>
      </w:tr>
    </w:tbl>
    <w:p w14:paraId="42EF23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Приложение N 1 к приказу</w:t>
      </w:r>
    </w:p>
    <w:p w14:paraId="6B44C8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НКАП от августа 1942 г.</w:t>
      </w:r>
    </w:p>
    <w:p w14:paraId="48DEE2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N</w:t>
      </w:r>
    </w:p>
    <w:p w14:paraId="29A083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План поставки авиалыж к самолетам в 1942 году</w:t>
      </w:r>
    </w:p>
    <w:p w14:paraId="0DE674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ВВС заводами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9B487A" w:rsidRPr="00722885" w14:paraId="152938C4" w14:textId="77777777" w:rsidTr="00CC5360">
        <w:tc>
          <w:tcPr>
            <w:tcW w:w="2818" w:type="dxa"/>
            <w:tcBorders>
              <w:top w:val="single" w:sz="12" w:space="0" w:color="auto"/>
            </w:tcBorders>
          </w:tcPr>
          <w:p w14:paraId="5D1AE6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Наименование</w:t>
            </w:r>
          </w:p>
        </w:tc>
        <w:tc>
          <w:tcPr>
            <w:tcW w:w="2818" w:type="dxa"/>
            <w:tcBorders>
              <w:top w:val="single" w:sz="12" w:space="0" w:color="auto"/>
            </w:tcBorders>
          </w:tcPr>
          <w:p w14:paraId="6C0813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w:t>
            </w:r>
          </w:p>
        </w:tc>
        <w:tc>
          <w:tcPr>
            <w:tcW w:w="2818" w:type="dxa"/>
            <w:tcBorders>
              <w:top w:val="single" w:sz="12" w:space="0" w:color="auto"/>
            </w:tcBorders>
          </w:tcPr>
          <w:p w14:paraId="0CE054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Общее кол-во</w:t>
            </w:r>
          </w:p>
        </w:tc>
      </w:tr>
      <w:tr w:rsidR="009B487A" w:rsidRPr="00722885" w14:paraId="2D3DE0A6" w14:textId="77777777" w:rsidTr="00CC5360">
        <w:tc>
          <w:tcPr>
            <w:tcW w:w="2818" w:type="dxa"/>
          </w:tcPr>
          <w:p w14:paraId="69737C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самолетов</w:t>
            </w:r>
          </w:p>
        </w:tc>
        <w:tc>
          <w:tcPr>
            <w:tcW w:w="2818" w:type="dxa"/>
          </w:tcPr>
          <w:p w14:paraId="0E73E8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изготовитель</w:t>
            </w:r>
          </w:p>
        </w:tc>
        <w:tc>
          <w:tcPr>
            <w:tcW w:w="2818" w:type="dxa"/>
          </w:tcPr>
          <w:p w14:paraId="0FAAF9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лыж, подлеж.</w:t>
            </w:r>
          </w:p>
        </w:tc>
      </w:tr>
      <w:tr w:rsidR="009B487A" w:rsidRPr="00722885" w14:paraId="3AB75C9C" w14:textId="77777777" w:rsidTr="00CC5360">
        <w:tc>
          <w:tcPr>
            <w:tcW w:w="2818" w:type="dxa"/>
          </w:tcPr>
          <w:p w14:paraId="39E01C78" w14:textId="77777777" w:rsidR="00090C9B" w:rsidRPr="00722885" w:rsidRDefault="00090C9B" w:rsidP="00722885">
            <w:pPr>
              <w:pStyle w:val="Iauiue"/>
              <w:jc w:val="both"/>
              <w:rPr>
                <w:color w:val="000000" w:themeColor="text1"/>
                <w:sz w:val="16"/>
                <w:szCs w:val="16"/>
              </w:rPr>
            </w:pPr>
          </w:p>
        </w:tc>
        <w:tc>
          <w:tcPr>
            <w:tcW w:w="2818" w:type="dxa"/>
          </w:tcPr>
          <w:p w14:paraId="65B0EB1A" w14:textId="77777777" w:rsidR="00090C9B" w:rsidRPr="00722885" w:rsidRDefault="00090C9B" w:rsidP="00722885">
            <w:pPr>
              <w:pStyle w:val="Iauiue"/>
              <w:jc w:val="both"/>
              <w:rPr>
                <w:color w:val="000000" w:themeColor="text1"/>
                <w:sz w:val="16"/>
                <w:szCs w:val="16"/>
              </w:rPr>
            </w:pPr>
          </w:p>
        </w:tc>
        <w:tc>
          <w:tcPr>
            <w:tcW w:w="2818" w:type="dxa"/>
          </w:tcPr>
          <w:p w14:paraId="4F3837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поставке в</w:t>
            </w:r>
          </w:p>
        </w:tc>
      </w:tr>
      <w:tr w:rsidR="009B487A" w:rsidRPr="00722885" w14:paraId="57C9AE0E" w14:textId="77777777" w:rsidTr="00CC5360">
        <w:tc>
          <w:tcPr>
            <w:tcW w:w="2818" w:type="dxa"/>
          </w:tcPr>
          <w:p w14:paraId="27689E58" w14:textId="77777777" w:rsidR="00090C9B" w:rsidRPr="00722885" w:rsidRDefault="00090C9B" w:rsidP="00722885">
            <w:pPr>
              <w:pStyle w:val="Iauiue"/>
              <w:jc w:val="both"/>
              <w:rPr>
                <w:color w:val="000000" w:themeColor="text1"/>
                <w:sz w:val="16"/>
                <w:szCs w:val="16"/>
              </w:rPr>
            </w:pPr>
          </w:p>
        </w:tc>
        <w:tc>
          <w:tcPr>
            <w:tcW w:w="2818" w:type="dxa"/>
          </w:tcPr>
          <w:p w14:paraId="738F6F5B" w14:textId="77777777" w:rsidR="00090C9B" w:rsidRPr="00722885" w:rsidRDefault="00090C9B" w:rsidP="00722885">
            <w:pPr>
              <w:pStyle w:val="Iauiue"/>
              <w:jc w:val="both"/>
              <w:rPr>
                <w:color w:val="000000" w:themeColor="text1"/>
                <w:sz w:val="16"/>
                <w:szCs w:val="16"/>
              </w:rPr>
            </w:pPr>
          </w:p>
        </w:tc>
        <w:tc>
          <w:tcPr>
            <w:tcW w:w="2818" w:type="dxa"/>
          </w:tcPr>
          <w:p w14:paraId="60AFEA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1942 г.</w:t>
            </w:r>
          </w:p>
        </w:tc>
      </w:tr>
      <w:tr w:rsidR="009B487A" w:rsidRPr="00722885" w14:paraId="27BE8268" w14:textId="77777777" w:rsidTr="00CC5360">
        <w:tc>
          <w:tcPr>
            <w:tcW w:w="2818" w:type="dxa"/>
          </w:tcPr>
          <w:p w14:paraId="6F2741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Лагг-3</w:t>
            </w:r>
          </w:p>
        </w:tc>
        <w:tc>
          <w:tcPr>
            <w:tcW w:w="2818" w:type="dxa"/>
          </w:tcPr>
          <w:p w14:paraId="5005D3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w:t>
            </w:r>
          </w:p>
        </w:tc>
        <w:tc>
          <w:tcPr>
            <w:tcW w:w="2818" w:type="dxa"/>
          </w:tcPr>
          <w:p w14:paraId="0A8EEA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250</w:t>
            </w:r>
          </w:p>
        </w:tc>
      </w:tr>
      <w:tr w:rsidR="009B487A" w:rsidRPr="00722885" w14:paraId="22B3D09D" w14:textId="77777777" w:rsidTr="00CC5360">
        <w:tc>
          <w:tcPr>
            <w:tcW w:w="2818" w:type="dxa"/>
          </w:tcPr>
          <w:p w14:paraId="529D96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Як-1-7</w:t>
            </w:r>
          </w:p>
        </w:tc>
        <w:tc>
          <w:tcPr>
            <w:tcW w:w="2818" w:type="dxa"/>
          </w:tcPr>
          <w:p w14:paraId="02ACAB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153, 292</w:t>
            </w:r>
          </w:p>
        </w:tc>
        <w:tc>
          <w:tcPr>
            <w:tcW w:w="2818" w:type="dxa"/>
          </w:tcPr>
          <w:p w14:paraId="3529E1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350</w:t>
            </w:r>
          </w:p>
        </w:tc>
      </w:tr>
      <w:tr w:rsidR="009B487A" w:rsidRPr="00722885" w14:paraId="1FCD1E14" w14:textId="77777777" w:rsidTr="00CC5360">
        <w:tc>
          <w:tcPr>
            <w:tcW w:w="2818" w:type="dxa"/>
          </w:tcPr>
          <w:p w14:paraId="6756D8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У-2</w:t>
            </w:r>
          </w:p>
        </w:tc>
        <w:tc>
          <w:tcPr>
            <w:tcW w:w="2818" w:type="dxa"/>
          </w:tcPr>
          <w:p w14:paraId="09BD5D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387</w:t>
            </w:r>
          </w:p>
        </w:tc>
        <w:tc>
          <w:tcPr>
            <w:tcW w:w="2818" w:type="dxa"/>
          </w:tcPr>
          <w:p w14:paraId="40A89E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400</w:t>
            </w:r>
          </w:p>
        </w:tc>
      </w:tr>
      <w:tr w:rsidR="009B487A" w:rsidRPr="00722885" w14:paraId="2D8087C6" w14:textId="77777777" w:rsidTr="00CC5360">
        <w:tc>
          <w:tcPr>
            <w:tcW w:w="2818" w:type="dxa"/>
          </w:tcPr>
          <w:p w14:paraId="1B07AA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УТ-2</w:t>
            </w:r>
          </w:p>
        </w:tc>
        <w:tc>
          <w:tcPr>
            <w:tcW w:w="2818" w:type="dxa"/>
          </w:tcPr>
          <w:p w14:paraId="102A83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47</w:t>
            </w:r>
          </w:p>
        </w:tc>
        <w:tc>
          <w:tcPr>
            <w:tcW w:w="2818" w:type="dxa"/>
          </w:tcPr>
          <w:p w14:paraId="4A0E9B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200</w:t>
            </w:r>
          </w:p>
        </w:tc>
      </w:tr>
      <w:tr w:rsidR="009B487A" w:rsidRPr="00722885" w14:paraId="4A54C79D" w14:textId="77777777" w:rsidTr="00CC5360">
        <w:tc>
          <w:tcPr>
            <w:tcW w:w="2818" w:type="dxa"/>
          </w:tcPr>
          <w:p w14:paraId="36E585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6 Гл. управлению</w:t>
            </w:r>
          </w:p>
        </w:tc>
        <w:tc>
          <w:tcPr>
            <w:tcW w:w="2818" w:type="dxa"/>
          </w:tcPr>
          <w:p w14:paraId="1E2C5B8B" w14:textId="77777777" w:rsidR="00090C9B" w:rsidRPr="00722885" w:rsidRDefault="00090C9B" w:rsidP="00722885">
            <w:pPr>
              <w:pStyle w:val="Iauiue"/>
              <w:jc w:val="both"/>
              <w:rPr>
                <w:color w:val="000000" w:themeColor="text1"/>
                <w:sz w:val="16"/>
                <w:szCs w:val="16"/>
              </w:rPr>
            </w:pPr>
          </w:p>
        </w:tc>
        <w:tc>
          <w:tcPr>
            <w:tcW w:w="2818" w:type="dxa"/>
          </w:tcPr>
          <w:p w14:paraId="26C0B7B8" w14:textId="77777777" w:rsidR="00090C9B" w:rsidRPr="00722885" w:rsidRDefault="00090C9B" w:rsidP="00722885">
            <w:pPr>
              <w:pStyle w:val="Iauiue"/>
              <w:jc w:val="both"/>
              <w:rPr>
                <w:color w:val="000000" w:themeColor="text1"/>
                <w:sz w:val="16"/>
                <w:szCs w:val="16"/>
              </w:rPr>
            </w:pPr>
          </w:p>
        </w:tc>
      </w:tr>
      <w:tr w:rsidR="009B487A" w:rsidRPr="00722885" w14:paraId="1954CBA4" w14:textId="77777777" w:rsidTr="00CC5360">
        <w:tc>
          <w:tcPr>
            <w:tcW w:w="2818" w:type="dxa"/>
          </w:tcPr>
          <w:p w14:paraId="317AAD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Миг-3</w:t>
            </w:r>
          </w:p>
        </w:tc>
        <w:tc>
          <w:tcPr>
            <w:tcW w:w="2818" w:type="dxa"/>
          </w:tcPr>
          <w:p w14:paraId="4A629F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164</w:t>
            </w:r>
          </w:p>
        </w:tc>
        <w:tc>
          <w:tcPr>
            <w:tcW w:w="2818" w:type="dxa"/>
          </w:tcPr>
          <w:p w14:paraId="447D63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150</w:t>
            </w:r>
          </w:p>
        </w:tc>
      </w:tr>
      <w:tr w:rsidR="009B487A" w:rsidRPr="00722885" w14:paraId="5272F003" w14:textId="77777777" w:rsidTr="00CC5360">
        <w:tc>
          <w:tcPr>
            <w:tcW w:w="2818" w:type="dxa"/>
          </w:tcPr>
          <w:p w14:paraId="65151A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Х. Харрикейн</w:t>
            </w:r>
          </w:p>
        </w:tc>
        <w:tc>
          <w:tcPr>
            <w:tcW w:w="2818" w:type="dxa"/>
          </w:tcPr>
          <w:p w14:paraId="7595963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163</w:t>
            </w:r>
          </w:p>
        </w:tc>
        <w:tc>
          <w:tcPr>
            <w:tcW w:w="2818" w:type="dxa"/>
          </w:tcPr>
          <w:p w14:paraId="06B114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325</w:t>
            </w:r>
          </w:p>
        </w:tc>
      </w:tr>
      <w:tr w:rsidR="009B487A" w:rsidRPr="00722885" w14:paraId="2FE15906" w14:textId="77777777" w:rsidTr="00CC5360">
        <w:tc>
          <w:tcPr>
            <w:tcW w:w="2818" w:type="dxa"/>
          </w:tcPr>
          <w:p w14:paraId="1E6E81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Аэрокобра</w:t>
            </w:r>
          </w:p>
        </w:tc>
        <w:tc>
          <w:tcPr>
            <w:tcW w:w="2818" w:type="dxa"/>
          </w:tcPr>
          <w:p w14:paraId="10709F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164</w:t>
            </w:r>
          </w:p>
        </w:tc>
        <w:tc>
          <w:tcPr>
            <w:tcW w:w="2818" w:type="dxa"/>
          </w:tcPr>
          <w:p w14:paraId="4BB668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75</w:t>
            </w:r>
          </w:p>
        </w:tc>
      </w:tr>
      <w:tr w:rsidR="009B487A" w:rsidRPr="00722885" w14:paraId="7F6C4CF4" w14:textId="77777777" w:rsidTr="00CC5360">
        <w:tc>
          <w:tcPr>
            <w:tcW w:w="2818" w:type="dxa"/>
          </w:tcPr>
          <w:p w14:paraId="73210F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10 Гл. управлению</w:t>
            </w:r>
          </w:p>
        </w:tc>
        <w:tc>
          <w:tcPr>
            <w:tcW w:w="2818" w:type="dxa"/>
          </w:tcPr>
          <w:p w14:paraId="5652DC72" w14:textId="77777777" w:rsidR="00090C9B" w:rsidRPr="00722885" w:rsidRDefault="00090C9B" w:rsidP="00722885">
            <w:pPr>
              <w:pStyle w:val="Iauiue"/>
              <w:jc w:val="both"/>
              <w:rPr>
                <w:color w:val="000000" w:themeColor="text1"/>
                <w:sz w:val="16"/>
                <w:szCs w:val="16"/>
              </w:rPr>
            </w:pPr>
          </w:p>
        </w:tc>
        <w:tc>
          <w:tcPr>
            <w:tcW w:w="2818" w:type="dxa"/>
          </w:tcPr>
          <w:p w14:paraId="43DFE54B" w14:textId="77777777" w:rsidR="00090C9B" w:rsidRPr="00722885" w:rsidRDefault="00090C9B" w:rsidP="00722885">
            <w:pPr>
              <w:pStyle w:val="Iauiue"/>
              <w:jc w:val="both"/>
              <w:rPr>
                <w:color w:val="000000" w:themeColor="text1"/>
                <w:sz w:val="16"/>
                <w:szCs w:val="16"/>
              </w:rPr>
            </w:pPr>
          </w:p>
        </w:tc>
      </w:tr>
      <w:tr w:rsidR="009B487A" w:rsidRPr="00722885" w14:paraId="739BFB67" w14:textId="77777777" w:rsidTr="00CC5360">
        <w:tc>
          <w:tcPr>
            <w:tcW w:w="2818" w:type="dxa"/>
          </w:tcPr>
          <w:p w14:paraId="78D11D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w:t>
            </w:r>
          </w:p>
        </w:tc>
        <w:tc>
          <w:tcPr>
            <w:tcW w:w="2818" w:type="dxa"/>
          </w:tcPr>
          <w:p w14:paraId="095C47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1, 18, 30, 381</w:t>
            </w:r>
          </w:p>
        </w:tc>
        <w:tc>
          <w:tcPr>
            <w:tcW w:w="2818" w:type="dxa"/>
          </w:tcPr>
          <w:p w14:paraId="342111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500</w:t>
            </w:r>
          </w:p>
        </w:tc>
      </w:tr>
      <w:tr w:rsidR="009B487A" w:rsidRPr="00722885" w14:paraId="08F47013" w14:textId="77777777" w:rsidTr="00CC5360">
        <w:tc>
          <w:tcPr>
            <w:tcW w:w="2818" w:type="dxa"/>
          </w:tcPr>
          <w:p w14:paraId="420890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Пе-2-3</w:t>
            </w:r>
          </w:p>
        </w:tc>
        <w:tc>
          <w:tcPr>
            <w:tcW w:w="2818" w:type="dxa"/>
          </w:tcPr>
          <w:p w14:paraId="5D97E4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22, 39</w:t>
            </w:r>
          </w:p>
        </w:tc>
        <w:tc>
          <w:tcPr>
            <w:tcW w:w="2818" w:type="dxa"/>
          </w:tcPr>
          <w:p w14:paraId="2715C3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200</w:t>
            </w:r>
          </w:p>
        </w:tc>
      </w:tr>
      <w:tr w:rsidR="009B487A" w:rsidRPr="00722885" w14:paraId="798AAA36" w14:textId="77777777" w:rsidTr="00CC5360">
        <w:tc>
          <w:tcPr>
            <w:tcW w:w="2818" w:type="dxa"/>
          </w:tcPr>
          <w:p w14:paraId="247C3F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Ту-2</w:t>
            </w:r>
          </w:p>
        </w:tc>
        <w:tc>
          <w:tcPr>
            <w:tcW w:w="2818" w:type="dxa"/>
          </w:tcPr>
          <w:p w14:paraId="4DA0C1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166</w:t>
            </w:r>
          </w:p>
        </w:tc>
        <w:tc>
          <w:tcPr>
            <w:tcW w:w="2818" w:type="dxa"/>
          </w:tcPr>
          <w:p w14:paraId="2B265B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w:t>
            </w:r>
          </w:p>
        </w:tc>
      </w:tr>
      <w:tr w:rsidR="009B487A" w:rsidRPr="00722885" w14:paraId="6071EFD6" w14:textId="77777777" w:rsidTr="00CC5360">
        <w:tc>
          <w:tcPr>
            <w:tcW w:w="2818" w:type="dxa"/>
            <w:tcBorders>
              <w:bottom w:val="single" w:sz="12" w:space="0" w:color="auto"/>
            </w:tcBorders>
          </w:tcPr>
          <w:p w14:paraId="57B0CDC1" w14:textId="77777777" w:rsidR="00090C9B" w:rsidRPr="00722885" w:rsidRDefault="00090C9B" w:rsidP="00722885">
            <w:pPr>
              <w:pStyle w:val="Iauiue"/>
              <w:jc w:val="both"/>
              <w:rPr>
                <w:color w:val="000000" w:themeColor="text1"/>
                <w:sz w:val="16"/>
                <w:szCs w:val="16"/>
              </w:rPr>
            </w:pPr>
          </w:p>
        </w:tc>
        <w:tc>
          <w:tcPr>
            <w:tcW w:w="2818" w:type="dxa"/>
            <w:tcBorders>
              <w:bottom w:val="single" w:sz="12" w:space="0" w:color="auto"/>
            </w:tcBorders>
          </w:tcPr>
          <w:p w14:paraId="34D253EF" w14:textId="77777777" w:rsidR="00090C9B" w:rsidRPr="00722885" w:rsidRDefault="00090C9B" w:rsidP="00722885">
            <w:pPr>
              <w:pStyle w:val="Iauiue"/>
              <w:jc w:val="both"/>
              <w:rPr>
                <w:color w:val="000000" w:themeColor="text1"/>
                <w:sz w:val="16"/>
                <w:szCs w:val="16"/>
              </w:rPr>
            </w:pPr>
          </w:p>
        </w:tc>
        <w:tc>
          <w:tcPr>
            <w:tcW w:w="2818" w:type="dxa"/>
            <w:tcBorders>
              <w:bottom w:val="single" w:sz="12" w:space="0" w:color="auto"/>
            </w:tcBorders>
          </w:tcPr>
          <w:p w14:paraId="03EAC4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2500 (2393,80)</w:t>
            </w:r>
          </w:p>
        </w:tc>
      </w:tr>
    </w:tbl>
    <w:p w14:paraId="0E0ACF25" w14:textId="77777777" w:rsidR="00090C9B" w:rsidRPr="00722885" w:rsidRDefault="00090C9B" w:rsidP="00722885">
      <w:pPr>
        <w:pStyle w:val="Iauiue"/>
        <w:jc w:val="both"/>
        <w:rPr>
          <w:color w:val="000000" w:themeColor="text1"/>
          <w:sz w:val="16"/>
          <w:szCs w:val="16"/>
        </w:rPr>
      </w:pPr>
    </w:p>
    <w:p w14:paraId="4FB96F3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 1942 года вышел при</w:t>
      </w:r>
      <w:r w:rsidRPr="00722885">
        <w:rPr>
          <w:rFonts w:ascii="Times New Roman" w:hAnsi="Times New Roman"/>
          <w:color w:val="000000" w:themeColor="text1"/>
          <w:sz w:val="16"/>
          <w:szCs w:val="16"/>
        </w:rPr>
        <w:softHyphen/>
        <w:t>каз НКАП, отмечавший полученные по</w:t>
      </w:r>
      <w:r w:rsidRPr="00722885">
        <w:rPr>
          <w:rFonts w:ascii="Times New Roman" w:hAnsi="Times New Roman"/>
          <w:color w:val="000000" w:themeColor="text1"/>
          <w:sz w:val="16"/>
          <w:szCs w:val="16"/>
        </w:rPr>
        <w:softHyphen/>
        <w:t>ложительные результаты, и обязывав</w:t>
      </w:r>
      <w:r w:rsidRPr="00722885">
        <w:rPr>
          <w:rFonts w:ascii="Times New Roman" w:hAnsi="Times New Roman"/>
          <w:color w:val="000000" w:themeColor="text1"/>
          <w:sz w:val="16"/>
          <w:szCs w:val="16"/>
        </w:rPr>
        <w:softHyphen/>
        <w:t>ший завод №19 выпустить к 1 нояб</w:t>
      </w:r>
      <w:r w:rsidRPr="00722885">
        <w:rPr>
          <w:rFonts w:ascii="Times New Roman" w:hAnsi="Times New Roman"/>
          <w:color w:val="000000" w:themeColor="text1"/>
          <w:sz w:val="16"/>
          <w:szCs w:val="16"/>
        </w:rPr>
        <w:softHyphen/>
        <w:t>ря 50 шт. моторов М-82НВ, а к 1 декабря провести стендовые и лет</w:t>
      </w:r>
      <w:r w:rsidRPr="00722885">
        <w:rPr>
          <w:rFonts w:ascii="Times New Roman" w:hAnsi="Times New Roman"/>
          <w:color w:val="000000" w:themeColor="text1"/>
          <w:sz w:val="16"/>
          <w:szCs w:val="16"/>
        </w:rPr>
        <w:softHyphen/>
        <w:t>ные испытания мотора М-82Ф с на</w:t>
      </w:r>
      <w:r w:rsidRPr="00722885">
        <w:rPr>
          <w:rFonts w:ascii="Times New Roman" w:hAnsi="Times New Roman"/>
          <w:color w:val="000000" w:themeColor="text1"/>
          <w:sz w:val="16"/>
          <w:szCs w:val="16"/>
        </w:rPr>
        <w:softHyphen/>
        <w:t>сосом НВ. Завод №19 приложил все силы к выполнению этого приказа, и в сере</w:t>
      </w:r>
      <w:r w:rsidRPr="00722885">
        <w:rPr>
          <w:rFonts w:ascii="Times New Roman" w:hAnsi="Times New Roman"/>
          <w:color w:val="000000" w:themeColor="text1"/>
          <w:sz w:val="16"/>
          <w:szCs w:val="16"/>
        </w:rPr>
        <w:softHyphen/>
        <w:t>дине октября мотор М-82Ф, но те</w:t>
      </w:r>
      <w:r w:rsidRPr="00722885">
        <w:rPr>
          <w:rFonts w:ascii="Times New Roman" w:hAnsi="Times New Roman"/>
          <w:color w:val="000000" w:themeColor="text1"/>
          <w:sz w:val="16"/>
          <w:szCs w:val="16"/>
        </w:rPr>
        <w:softHyphen/>
        <w:t>перь оснащенный вместо карбюра</w:t>
      </w:r>
      <w:r w:rsidRPr="00722885">
        <w:rPr>
          <w:rFonts w:ascii="Times New Roman" w:hAnsi="Times New Roman"/>
          <w:color w:val="000000" w:themeColor="text1"/>
          <w:sz w:val="16"/>
          <w:szCs w:val="16"/>
        </w:rPr>
        <w:softHyphen/>
        <w:t>тора насосом непосредственного впрыска, был поставлен на 100-часо</w:t>
      </w:r>
      <w:r w:rsidRPr="00722885">
        <w:rPr>
          <w:rFonts w:ascii="Times New Roman" w:hAnsi="Times New Roman"/>
          <w:color w:val="000000" w:themeColor="text1"/>
          <w:sz w:val="16"/>
          <w:szCs w:val="16"/>
        </w:rPr>
        <w:softHyphen/>
        <w:t>вое стендовое испытание. Результа</w:t>
      </w:r>
      <w:r w:rsidRPr="00722885">
        <w:rPr>
          <w:rFonts w:ascii="Times New Roman" w:hAnsi="Times New Roman"/>
          <w:color w:val="000000" w:themeColor="text1"/>
          <w:sz w:val="16"/>
          <w:szCs w:val="16"/>
        </w:rPr>
        <w:softHyphen/>
        <w:t>ты были доложены краткой телефо</w:t>
      </w:r>
      <w:r w:rsidRPr="00722885">
        <w:rPr>
          <w:rFonts w:ascii="Times New Roman" w:hAnsi="Times New Roman"/>
          <w:color w:val="000000" w:themeColor="text1"/>
          <w:sz w:val="16"/>
          <w:szCs w:val="16"/>
        </w:rPr>
        <w:softHyphen/>
        <w:t>нограммой:</w:t>
      </w:r>
    </w:p>
    <w:p w14:paraId="17EC9AB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«Наркому Шахурину, Главному ин</w:t>
      </w:r>
      <w:r w:rsidRPr="00722885">
        <w:rPr>
          <w:rFonts w:ascii="Times New Roman" w:hAnsi="Times New Roman"/>
          <w:color w:val="000000" w:themeColor="text1"/>
          <w:sz w:val="16"/>
          <w:szCs w:val="16"/>
        </w:rPr>
        <w:softHyphen/>
        <w:t>женеру ВВС КА Репину 3.11.42 г.</w:t>
      </w:r>
    </w:p>
    <w:p w14:paraId="6AF7995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Вашими ука</w:t>
      </w:r>
      <w:r w:rsidRPr="00722885">
        <w:rPr>
          <w:rFonts w:ascii="Times New Roman" w:hAnsi="Times New Roman"/>
          <w:color w:val="000000" w:themeColor="text1"/>
          <w:sz w:val="16"/>
          <w:szCs w:val="16"/>
        </w:rPr>
        <w:softHyphen/>
        <w:t>заниями завод №19 29 октября за</w:t>
      </w:r>
      <w:r w:rsidRPr="00722885">
        <w:rPr>
          <w:rFonts w:ascii="Times New Roman" w:hAnsi="Times New Roman"/>
          <w:color w:val="000000" w:themeColor="text1"/>
          <w:sz w:val="16"/>
          <w:szCs w:val="16"/>
        </w:rPr>
        <w:softHyphen/>
        <w:t>кончил удовлетворительно офици</w:t>
      </w:r>
      <w:r w:rsidRPr="00722885">
        <w:rPr>
          <w:rFonts w:ascii="Times New Roman" w:hAnsi="Times New Roman"/>
          <w:color w:val="000000" w:themeColor="text1"/>
          <w:sz w:val="16"/>
          <w:szCs w:val="16"/>
        </w:rPr>
        <w:softHyphen/>
        <w:t>альное 100-часовое испытание мо</w:t>
      </w:r>
      <w:r w:rsidRPr="00722885">
        <w:rPr>
          <w:rFonts w:ascii="Times New Roman" w:hAnsi="Times New Roman"/>
          <w:color w:val="000000" w:themeColor="text1"/>
          <w:sz w:val="16"/>
          <w:szCs w:val="16"/>
        </w:rPr>
        <w:softHyphen/>
        <w:t>тора М-82Ф с непосредственным впрыском. Данные: взлетная мощность</w:t>
      </w:r>
    </w:p>
    <w:p w14:paraId="37C1C5E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- 1850 л.с. при 2500 об/мин пика 1-й скорости 1550 мт</w:t>
      </w:r>
    </w:p>
    <w:p w14:paraId="1FD1934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- 1670 л.с. при 2400 об/мин пика 2-й скорости 4500 мт</w:t>
      </w:r>
    </w:p>
    <w:p w14:paraId="460B96E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- 1480 л.с. при 2400 об/мин.</w:t>
      </w:r>
    </w:p>
    <w:p w14:paraId="45AA12A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М-82Ф может заводом №19 выпускаться как с НВ, так и с карбюратором, ибо одно 100-часо</w:t>
      </w:r>
      <w:r w:rsidRPr="00722885">
        <w:rPr>
          <w:rFonts w:ascii="Times New Roman" w:hAnsi="Times New Roman"/>
          <w:color w:val="000000" w:themeColor="text1"/>
          <w:sz w:val="16"/>
          <w:szCs w:val="16"/>
        </w:rPr>
        <w:softHyphen/>
        <w:t>вое испытание было проведено с карбюратором, второе - с НВ.</w:t>
      </w:r>
    </w:p>
    <w:p w14:paraId="2899B97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Просим разрешить выезд в Мос</w:t>
      </w:r>
      <w:r w:rsidRPr="00722885">
        <w:rPr>
          <w:rFonts w:ascii="Times New Roman" w:hAnsi="Times New Roman"/>
          <w:color w:val="000000" w:themeColor="text1"/>
          <w:sz w:val="16"/>
          <w:szCs w:val="16"/>
        </w:rPr>
        <w:softHyphen/>
        <w:t>кву для личного доклада Вам и Правительству по моторам М-71 и М-82. Ждем Ваших указаний.</w:t>
      </w:r>
    </w:p>
    <w:p w14:paraId="2C6C607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Директор завода - Солдатов, Главный конст</w:t>
      </w:r>
      <w:r w:rsidRPr="00722885">
        <w:rPr>
          <w:rFonts w:ascii="Times New Roman" w:hAnsi="Times New Roman"/>
          <w:color w:val="000000" w:themeColor="text1"/>
          <w:sz w:val="16"/>
          <w:szCs w:val="16"/>
        </w:rPr>
        <w:softHyphen/>
        <w:t>руктор - Швецов, Председатель Гос. Комис</w:t>
      </w:r>
      <w:r w:rsidRPr="00722885">
        <w:rPr>
          <w:rFonts w:ascii="Times New Roman" w:hAnsi="Times New Roman"/>
          <w:color w:val="000000" w:themeColor="text1"/>
          <w:sz w:val="16"/>
          <w:szCs w:val="16"/>
        </w:rPr>
        <w:softHyphen/>
        <w:t>сии - Сеничкин, Ст. военп</w:t>
      </w:r>
      <w:r w:rsidRPr="00722885">
        <w:rPr>
          <w:rFonts w:ascii="Times New Roman" w:hAnsi="Times New Roman"/>
          <w:color w:val="000000" w:themeColor="text1"/>
          <w:sz w:val="16"/>
          <w:szCs w:val="16"/>
        </w:rPr>
        <w:softHyphen/>
        <w:t>ред - Сабуров» (10705).</w:t>
      </w:r>
    </w:p>
    <w:p w14:paraId="54BEBB4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42491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сентября 1942 вышел приказ НКАП N 698 о том, что проведение 100 часовых испытаний на станке М-82 с непосредственным впрыском дало удовлетворительные результаты и директору завода 19 Солдатову поручено провести дополнительные летные испытания М-82НВ к 1 октября 1942 на Су-2, а директорам заводов 19 и 21 оборудовать двигателями 5 Ла-5 и не позднее 10 октября представить на войсковые испытания (906,89).</w:t>
      </w:r>
    </w:p>
    <w:p w14:paraId="79DB9B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Проведение 100 часовых испытаний на станке М-82 с насосом непосредственного впрыска топлива в цилиндры дало удовлетворительные результаты...</w:t>
      </w:r>
    </w:p>
    <w:p w14:paraId="78F873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Придавая особое значение проводимым работам заводами № 19 и 26 приказываю:</w:t>
      </w:r>
    </w:p>
    <w:p w14:paraId="6E7162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Директору завода № 296 т. Берман и ГК т. Косбергу - устранить дефекты в агрегате непосредственного впрыска, указанные в акте по длительным испытаниям и выводах.</w:t>
      </w:r>
    </w:p>
    <w:p w14:paraId="0ECABE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Директору завода № 19 Солдатову к 1 октября с.г. провести дополнительные летные испытания М-82НВ 1942 на Су-2 по программе НИИ ВВС КА</w:t>
      </w:r>
    </w:p>
    <w:p w14:paraId="130395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Директорам заводов № 19 и 21 оборудовать 5 Ла-5 моторами М-82НВ и не позднее 10 октября 1942 представить на войсковые испытания ВВС КА</w:t>
      </w:r>
    </w:p>
    <w:p w14:paraId="0B94B8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Директору завода № 19 т. Солдатову к 1 ноября 1942 выпустить в количестве 50 шт. моторы М-82НВ с агрегатами непосредственного впрыска производства завода № 296.</w:t>
      </w:r>
    </w:p>
    <w:p w14:paraId="637F60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Заводу № 19 совместно с НИИ ВВС КА к 1 декабря с.г. провести стендовые и летные испытания форсированного мотора М-82Ф с насосом непосредственного впряска.</w:t>
      </w:r>
    </w:p>
    <w:p w14:paraId="2896CF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 А.И.Ш. (906,89).</w:t>
      </w:r>
    </w:p>
    <w:p w14:paraId="3CB31142" w14:textId="77777777" w:rsidR="00090C9B" w:rsidRPr="00722885" w:rsidRDefault="00090C9B" w:rsidP="00722885">
      <w:pPr>
        <w:pStyle w:val="Iauiue"/>
        <w:jc w:val="both"/>
        <w:rPr>
          <w:color w:val="000000" w:themeColor="text1"/>
          <w:sz w:val="16"/>
          <w:szCs w:val="16"/>
        </w:rPr>
      </w:pPr>
    </w:p>
    <w:p w14:paraId="3CA9F53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 1942г. приказом НКАП № 698с завод № 21 обязали установить М-82НВ на 5 серийных Ла-5, провести их испытания совместно с ЛИИ и НИИ ВВС и к 10 ок</w:t>
      </w:r>
      <w:r w:rsidRPr="00722885">
        <w:rPr>
          <w:rFonts w:ascii="Times New Roman" w:hAnsi="Times New Roman"/>
          <w:color w:val="000000" w:themeColor="text1"/>
          <w:sz w:val="16"/>
          <w:szCs w:val="16"/>
        </w:rPr>
        <w:softHyphen/>
        <w:t>тября отправить в строевую часть для войсковых испытаний. Но мотор М-82НВ (М-82ФН) потребовал значительных доработок, да и освоение агрегатов «НВ» на заводе № 296 задержалось. Однако в 1943 г. завод № 19 уже смог сдать 1520 М-82ФН, правда, по плану должен был 2483 (11123).</w:t>
      </w:r>
    </w:p>
    <w:p w14:paraId="5F31B39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0C4B6C7" w14:textId="77777777" w:rsidR="0055756B" w:rsidRPr="00722885" w:rsidRDefault="005575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12 сентября 1942 г. решением специальной комиссии ВВС и НКАП, оформленным как совместный приказ двух ведомств №700/038, требовалось вместо металлических бензобаков устанавливать на самолетах мягкие, фибровые и деревянные баки, а также «спец. КБ завода № 156 совместно с заводами оборудовать серийные самолеты ВВС КА 2-й зоной нейтральных газов от выхлопа мотора».</w:t>
      </w:r>
    </w:p>
    <w:p w14:paraId="65A4A5DD" w14:textId="77777777" w:rsidR="0055756B" w:rsidRPr="00722885" w:rsidRDefault="005575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Напомним, что 1-я зона НГ (или НГ-1) - это пространство внутри бака над бензином, а 2-я зона НГ (или НГ-2) - пространство между баками и обшивкой самолета, а также все смежные объемы в конструкции самолета вблизи бензобаков, куда при простреле могут попасть пары бензина и создать пожарную опасность.</w:t>
      </w:r>
    </w:p>
    <w:p w14:paraId="787C0A9D" w14:textId="77777777" w:rsidR="0055756B" w:rsidRPr="00722885" w:rsidRDefault="005575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Основные усилия специалистов КБ завода №156 во главе с В.Я. Шатерниковым сосредоточились на оборудовании 2-й зоной НГ наиболее массовых и наиболее «нуждающихся» в повышении боевой живучести самолетов ВВС КА - фронтовых бомбардировщиков Пе-2. Уже в сентябре 1942 г. такие системы были отработаны и прошли заводские испытания. Согласно приказу НКАП от 10 октября 1942 г., все самолеты Пе-2 должны были выпускаться со 2-й зоной нейтральных газов (от мотора) (17733).</w:t>
      </w:r>
    </w:p>
    <w:p w14:paraId="49B0287D" w14:textId="77777777" w:rsidR="0055756B" w:rsidRPr="00722885" w:rsidRDefault="005575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60E1C34" w14:textId="77777777" w:rsidR="0055756B" w:rsidRPr="00722885" w:rsidRDefault="005575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12 сентября 1942 г. вышел совместный приказ ВВС и НКАП, согласно которому в ВИАМе и на серийных заводах отрабатывали конструкции фибровых, мягких и даже деревянных бензобаков. При поражении таких баков пулями, снарядами и осколками отсутствовали вторичные высокоскоростные осколки стенок баков, а также характерные для металлических баков рваные края пробоины, не позволяющие протектору затянуться (17733).</w:t>
      </w:r>
    </w:p>
    <w:p w14:paraId="665CB3BB" w14:textId="77777777" w:rsidR="0055756B" w:rsidRPr="00722885" w:rsidRDefault="005575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510FA0C" w14:textId="77777777" w:rsidR="00565971" w:rsidRPr="00722885" w:rsidRDefault="0056597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12 сентября 1942 г. вышел приказ НКАП, отмечавший полученные положительные ре</w:t>
      </w:r>
      <w:r w:rsidRPr="00722885">
        <w:rPr>
          <w:rFonts w:ascii="Times New Roman" w:cs="Times New Roman"/>
          <w:color w:val="000000" w:themeColor="text1"/>
          <w:spacing w:val="0"/>
        </w:rPr>
        <w:softHyphen/>
        <w:t>зультаты, и обязывавший завод № 19 выпустить к 1 ноября 50 шт. моторов М-82НВ, а к 1 декабря провести стендовые и лётные испытания мотора М-82Ф с насосом НВ (15813).</w:t>
      </w:r>
    </w:p>
    <w:p w14:paraId="57559725" w14:textId="77777777" w:rsidR="00565971" w:rsidRPr="00722885" w:rsidRDefault="00565971" w:rsidP="00722885">
      <w:pPr>
        <w:pStyle w:val="27"/>
        <w:shd w:val="clear" w:color="auto" w:fill="auto"/>
        <w:spacing w:after="0" w:line="240" w:lineRule="auto"/>
        <w:ind w:firstLine="0"/>
        <w:rPr>
          <w:rFonts w:ascii="Times New Roman" w:cs="Times New Roman"/>
          <w:color w:val="000000" w:themeColor="text1"/>
          <w:spacing w:val="0"/>
        </w:rPr>
      </w:pPr>
    </w:p>
    <w:p w14:paraId="0D67F9A8"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12 и 13 сентября 1942 г. первые «летные» образцы (в количе</w:t>
      </w:r>
      <w:r w:rsidRPr="00722885">
        <w:rPr>
          <w:rFonts w:ascii="Times New Roman" w:cs="Times New Roman"/>
          <w:color w:val="000000" w:themeColor="text1"/>
          <w:spacing w:val="0"/>
        </w:rPr>
        <w:softHyphen/>
        <w:t>стве 190 единиц) противотанковой бомбы ТГАБ-1,5 конструкции ЦКБ-22 в габаритах калибра 10 кг весом 1,5 кг испытывались на НИП АВ От</w:t>
      </w:r>
      <w:r w:rsidRPr="00722885">
        <w:rPr>
          <w:rFonts w:ascii="Times New Roman" w:cs="Times New Roman"/>
          <w:color w:val="000000" w:themeColor="text1"/>
          <w:spacing w:val="0"/>
        </w:rPr>
        <w:softHyphen/>
        <w:t>ветственным по испытаниям был ведущий инженер 3-го отделения опытного отдела полигона инженер-майор Дьячков. Летал - помощник начальника НИП АВ по летной подготовке майор Звонарев.</w:t>
      </w:r>
    </w:p>
    <w:p w14:paraId="68E16B02"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ходе испытаний были выявлены се</w:t>
      </w:r>
      <w:r w:rsidRPr="00722885">
        <w:rPr>
          <w:rFonts w:ascii="Times New Roman" w:cs="Times New Roman"/>
          <w:color w:val="000000" w:themeColor="text1"/>
          <w:spacing w:val="0"/>
        </w:rPr>
        <w:softHyphen/>
        <w:t>рьезные дефекты и недостатки бомбы. В частности, зависание бомб в кассетах мелких бомб самолета Ил-2, а также дей</w:t>
      </w:r>
      <w:r w:rsidRPr="00722885">
        <w:rPr>
          <w:rFonts w:ascii="Times New Roman" w:cs="Times New Roman"/>
          <w:color w:val="000000" w:themeColor="text1"/>
          <w:spacing w:val="0"/>
        </w:rPr>
        <w:softHyphen/>
        <w:t>ствие взрывателя под самолетом на удалении 5-7 м. Это не позволило завершить запланированную летную программу ис</w:t>
      </w:r>
      <w:r w:rsidRPr="00722885">
        <w:rPr>
          <w:rFonts w:ascii="Times New Roman" w:cs="Times New Roman"/>
          <w:color w:val="000000" w:themeColor="text1"/>
          <w:spacing w:val="0"/>
        </w:rPr>
        <w:softHyphen/>
        <w:t>пытаний. Требовалось срочно доработать «онструкцию бомбы (12739).</w:t>
      </w:r>
    </w:p>
    <w:p w14:paraId="2AD328C9"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p>
    <w:p w14:paraId="01D06092" w14:textId="77777777" w:rsidR="0055756B" w:rsidRPr="00722885" w:rsidRDefault="005575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12 и 13 сентября 1942 г. первые «летные» образцы (в количестве 190 единиц) противотанковой бомбы ПТАБ-1,5 кон</w:t>
      </w:r>
      <w:r w:rsidRPr="00722885">
        <w:rPr>
          <w:color w:val="000000" w:themeColor="text1"/>
          <w:sz w:val="16"/>
          <w:szCs w:val="16"/>
        </w:rPr>
        <w:softHyphen/>
        <w:t>струкции ЦКБ-22 в габаритах калибра 10 кг весом 1,5 кг испытывались на НИП АВ. Ответственным по испытаниям был ведущий инженер 3-го отделения опытного отдела полигона инженер-майор Дьячков. Летал — помощник на</w:t>
      </w:r>
      <w:r w:rsidRPr="00722885">
        <w:rPr>
          <w:color w:val="000000" w:themeColor="text1"/>
          <w:sz w:val="16"/>
          <w:szCs w:val="16"/>
        </w:rPr>
        <w:softHyphen/>
        <w:t>чальника НИП АВ по летной подготовке майор Звонарев.</w:t>
      </w:r>
    </w:p>
    <w:p w14:paraId="32156156" w14:textId="77777777" w:rsidR="0055756B" w:rsidRPr="00722885" w:rsidRDefault="0055756B"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ходе испытаний были выявлены серьезные дефекты и недостатки бомбы. В частности, за</w:t>
      </w:r>
      <w:r w:rsidRPr="00722885">
        <w:rPr>
          <w:color w:val="000000" w:themeColor="text1"/>
          <w:sz w:val="16"/>
          <w:szCs w:val="16"/>
        </w:rPr>
        <w:softHyphen/>
        <w:t>висание бомб в кассетах мелких бомб самолета Ил-2, а также действие взрывателя под самолетом на удалении 5—7 м. Это не позволило завершить запланированную летную программу испыта</w:t>
      </w:r>
      <w:r w:rsidRPr="00722885">
        <w:rPr>
          <w:color w:val="000000" w:themeColor="text1"/>
          <w:sz w:val="16"/>
          <w:szCs w:val="16"/>
        </w:rPr>
        <w:softHyphen/>
        <w:t>ний. Требовалась срочно доработать конструкцию бомбы (17500).</w:t>
      </w:r>
    </w:p>
    <w:p w14:paraId="7943DEBB" w14:textId="77777777" w:rsidR="0055756B" w:rsidRPr="00722885" w:rsidRDefault="0055756B" w:rsidP="00722885">
      <w:pPr>
        <w:spacing w:after="0" w:line="240" w:lineRule="auto"/>
        <w:jc w:val="both"/>
        <w:rPr>
          <w:rFonts w:ascii="Times New Roman" w:eastAsia="Times New Roman" w:hAnsi="Times New Roman"/>
          <w:color w:val="000000" w:themeColor="text1"/>
          <w:sz w:val="16"/>
          <w:szCs w:val="16"/>
          <w:lang w:eastAsia="ru-RU"/>
        </w:rPr>
      </w:pPr>
    </w:p>
    <w:p w14:paraId="3BC4AF8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38DE692" w14:textId="77777777" w:rsidR="00090C9B" w:rsidRPr="00722885" w:rsidRDefault="00090C9B" w:rsidP="00722885">
      <w:pPr>
        <w:pStyle w:val="Iauiue"/>
        <w:jc w:val="both"/>
        <w:rPr>
          <w:iCs/>
          <w:color w:val="000000" w:themeColor="text1"/>
          <w:sz w:val="16"/>
          <w:szCs w:val="16"/>
        </w:rPr>
      </w:pPr>
    </w:p>
    <w:p w14:paraId="75D3286E"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12 сентября 1942 года на заводе №112 прошло совещание на тему защиты от новых типов боеприпасов с участием заводского руководства, представителей НИИ-48 и представителя ГАБТУ КА инженер-подполковника М.А. Бурцева. Инженер А.Т. Ларин из НИИ-48 предложил расположить экраны на некотором расстоянии от основного листа, как минимум не меньшим, чем длина сердечника подкалиберного снаряда. Что же касается кумулятивного снаряда, то для выявления способов защиты требовалось провести опыты. Было решено провести испытания с различными вариантами крепления экрана, отличающимися расстоянием до основного бронелиста (18883).</w:t>
      </w:r>
    </w:p>
    <w:p w14:paraId="40C30969"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p>
    <w:p w14:paraId="154CC7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 1942 вышло Постановление ГКО № 2287 Об учреждении второго красного знамени Государственного Комитета Обороны и Красных знамен ВЦСПС и Наркомстроя для строительных организаций и предприятий Наркомстроя-победителей во Всесоюзном социалистическом соревновании.РГАНИР, Фонд ГКО, д. 56, лл. 10 (11012).</w:t>
      </w:r>
    </w:p>
    <w:p w14:paraId="3D9FA81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0FF78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 1942 № 2288 вышло Постановление ГКО Об отгрузке коксующегося угля Магнитогорскому и Hово-Тагильскому заводам Hаркомчермета. РГАНИР, Фонд ГКО, д. 56, лл. 11-12 (11012).</w:t>
      </w:r>
    </w:p>
    <w:p w14:paraId="53BECF0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A18CA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 1942 вышло Постановление ГКО № 2289 Об увеличении производства снарядов М-20. РГАНИР, Фонд ГКО, д. 56, лл. 13-14, 15-18 (11012).</w:t>
      </w:r>
    </w:p>
    <w:p w14:paraId="04255E1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89683A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144559C" w14:textId="77777777" w:rsidR="00090C9B" w:rsidRPr="00722885" w:rsidRDefault="00090C9B" w:rsidP="00722885">
      <w:pPr>
        <w:pStyle w:val="Iauiue"/>
        <w:jc w:val="both"/>
        <w:rPr>
          <w:iCs/>
          <w:color w:val="000000" w:themeColor="text1"/>
          <w:sz w:val="16"/>
          <w:szCs w:val="16"/>
        </w:rPr>
      </w:pPr>
    </w:p>
    <w:p w14:paraId="25951C43"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сентябряв 1942 году утреннее сообщение Совинформбюро:</w:t>
      </w:r>
    </w:p>
    <w:p w14:paraId="646A00F7"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12 сентября наши войска вели бои с противником западнее и юго-западнее Сталинграда, в районе Моздок, а также на Волховском участке фронта в районе Синявино. На других фронтах существенных изменении не произошло.</w:t>
      </w:r>
    </w:p>
    <w:p w14:paraId="51B400A3"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наши войска отбивали атаки немецко-фашистских войск. Бойцы Н-ской части в бою с противником уничтожили 6 немецких танков, 3 автомашины с пехотой и 180 гитлеровцев. На другом участке советские танкисты в ожесточённом бою уничтожили 8 танков, 7 противотанковых орудий, 12 пулемётныхточек и до сотни немецких автоматчиков. Северо-западнее Сталинграда артиллерийская батарея рассеяла и частью уничтожила до двух рот пехоты противника.</w:t>
      </w:r>
    </w:p>
    <w:p w14:paraId="01893F31"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продолжались ожесточённые бои. На одном из участков наши артиллеристы огнём с открытых позиций уничтожили 5 немецких танков и рассеяли следовавшую за ними пехоту. Бойцы Н-ской части совершили ночную вылазку в расположение противника и взорвали 3 автоцистерны с горючим.</w:t>
      </w:r>
    </w:p>
    <w:p w14:paraId="0949E357"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вели активные боевые действия. Н-ская часть уничтожила 4 танка, 11 автомашин и до батальона пехоты противника. Захвачены трофеи и пленные.</w:t>
      </w:r>
    </w:p>
    <w:p w14:paraId="72A33E58"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Героизм и мужество проявили санитарки тт. Поливко О. П. и Якименко М. К. Они вынесли с поля боя и оказали первую помощь 90 раненым бойцам и командирам.</w:t>
      </w:r>
    </w:p>
    <w:p w14:paraId="7B9BB515"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одном из участков Западного фронта наши войска продолжали вести бои на окраинах крупного населённого пункта. Юго-восточнее этого пункта на узком участке немцы сосредоточили до полутора полков пехоты и 90 танков и перешли в контратаку. Наши бойцы стойко выдержали удар врага. Значительная часть вражеских </w:t>
      </w:r>
      <w:r w:rsidRPr="00722885">
        <w:rPr>
          <w:rFonts w:ascii="Times New Roman" w:hAnsi="Times New Roman"/>
          <w:color w:val="000000" w:themeColor="text1"/>
          <w:sz w:val="16"/>
          <w:szCs w:val="16"/>
        </w:rPr>
        <w:lastRenderedPageBreak/>
        <w:t>танков была подбита артиллеристами и бронебойщиками еще на подходе к нашим позициям. В результате многочасового боя подбито и сожжено 49 немецких танков. Большие потери понесла также пехота противника. Захвачены пленные.</w:t>
      </w:r>
    </w:p>
    <w:p w14:paraId="1F7ED9A5"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этом же участке фронта за 10 сентября наши лётчики в воздушных боях сбили 10 и подбили один немецкий самолёт.</w:t>
      </w:r>
    </w:p>
    <w:p w14:paraId="607061E3"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унтер-офицер 7 роты 507 полка 292 немецкой пехотной дивизии Генрих Шванкхауз рассказал: «В самом начале боя с русскими наша рота понесла огромные потери. Все солдаты моего отделения были убиты. Я присоединился к другим солдатам, которые в беспорядке отступали. Артиллерийский и пулемётный огонь русских буквально сметал всё. Мы укрылись в воронке от снаряда, и каждого, кто пытался высунуть голову из ямы, настигала пуля. Пролежав в воронке несколько часов, мы поняли, что единственное наше спасение заключается в том, чтобы сдаться в плен. Так мы и сделали».</w:t>
      </w:r>
    </w:p>
    <w:p w14:paraId="52681E3A"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Немецкому солдату 57 немецкой пехотной дивизии Гельмуту Р. пишет его отец из Хемница: «Мать проклинает войну и известных нам зачинщиков её и желает немедленного мира. Жизнь здесь стала невыносимой. Сравни теперешнее тяжёлое положение Германии с положением в России—и ты поймешь, что Германия победить Россию не может. Повсюду слышишь в Германии: «Как я голоден». Всему виной —война, проклятая война! Она проглатывает всю нашу молодёжь, всё взрослое мужское население».</w:t>
      </w:r>
    </w:p>
    <w:p w14:paraId="7F5C6BF6"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 Н-ской части, заняв деревню Колодези, Смоленской области, обнаружила в одном из сараев 14 трупов красноармейцев, замученных немецко-фашистскими палачами. Трупы красноармейцев Федотова И. В., Снигирёва С.М., Фёдорова И. В., Волкова В.В., Михайлова И.Н. и остальных неопознанныхсоветских бойцов носят следы нечеловеческих пыток и издевательств. Гитлеровские мерзавцы вывернули пленным красноармейцам руки и ноги, кололи их штыками, вырезали куски мяса и распороли животы.» (14767).</w:t>
      </w:r>
    </w:p>
    <w:p w14:paraId="17A6B4DB" w14:textId="77777777" w:rsidR="00AE5727" w:rsidRPr="00722885" w:rsidRDefault="00AE5727" w:rsidP="00722885">
      <w:pPr>
        <w:spacing w:after="0" w:line="240" w:lineRule="auto"/>
        <w:jc w:val="both"/>
        <w:rPr>
          <w:rFonts w:ascii="Times New Roman" w:hAnsi="Times New Roman"/>
          <w:color w:val="000000" w:themeColor="text1"/>
          <w:sz w:val="16"/>
          <w:szCs w:val="16"/>
        </w:rPr>
      </w:pPr>
    </w:p>
    <w:p w14:paraId="7174EC07"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сентябряв 1942 году вечернее сообщение Совинформбюро:</w:t>
      </w:r>
    </w:p>
    <w:p w14:paraId="2D8FCAC5"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12 сентября наши войска вели бои с противником западнее и юго-западнее Сталинграда, в районе Моздок, а также на Волховском участке фронта в районе Синявино. На других фронтах существенных изменений не произошло.</w:t>
      </w:r>
    </w:p>
    <w:p w14:paraId="0062B5B9"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Баренцевом море потоплена подводная лодка противника.</w:t>
      </w:r>
    </w:p>
    <w:p w14:paraId="65E218A0"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11 сентября частями нашей авиации на различных участках фронта уничтожено или повреждено 10 немецких танков и бронемашин, до 60 автомашин с войсками и грузами, подавлен огонь 10 батарей полевой и зенитной артиллерии, взорвано 3 склада боеприпасов, разбит железнодорожный состав, рассеяно и частью уничтожено до трёх рот пехоты противника.</w:t>
      </w:r>
    </w:p>
    <w:p w14:paraId="2DD7A897"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немецко-фашистские войска непрерывно атакуют наши позиции. Советские части отбивают атаки численно превосходящих сил противника. Н-ская часть Красной Армии в последних боях истребила до 4.000 немецких солдат и офицеров. Отдельная рота противотанковых ружей под командованием тов. Герасимова уничтожила 19 немецких танков.</w:t>
      </w:r>
    </w:p>
    <w:p w14:paraId="456B7163"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напряжённые бои с танками и пехотой противника. На одном из участков наши части после упорных боёв оставили населённый пункт и отошли на новые позиции. Встречая упорное противодействие наших бойцов, враг несёт огромные потери. За последние пять дней Н-скоесоединение Красной Армии истребило до 6.000 солдат и офицеров противника.</w:t>
      </w:r>
    </w:p>
    <w:p w14:paraId="45E9B636"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вели бои с группировкой противника на южном берегу водного рубежа. Артиллеристы Н-ского соединения в течение дня уничтожили 4 автомашины, 2 миномётные батареи и до роты немецкой пехоты. Красноармеец тов.Абишев заменил в бою убитого командира отделения и во главе группы бойцов отразил атаку вражеских автоматчиков. Когда на отделение двинулись 2 немецких танка, наши бойцы заманили их на минное поле. Оба немецких танка подорвались на минах.</w:t>
      </w:r>
    </w:p>
    <w:p w14:paraId="320007E4"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Волховском участке фронта в районе Синявина противник подтянул резервы и новыми контратаками пытался вернуть утраченные позиции. Все контратаки немцев были отбиты нашими частями. В результате ожесточённых боёв противник потерял убитыми и ранеными около 5.000 солдат и офицеров. Уничтожено 38 немецких танков.</w:t>
      </w:r>
    </w:p>
    <w:p w14:paraId="463B7A3D"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Добровольно перешедший на сторону Красной Армии солдат 299 немецкой пехотнойдивизии Карл Х. рассказал: «299 пехотная дивизия зимой прошлого года понесла огромные потери. Наш полк, например, был почти полностью уничтожен. Весной прибыло пополнение, и в нашей роте стало 154 человека. В июльских и августовских боях 1 и 3 батальоны полка снова потеряли почти весь свой состав. Не меньший урон понесли и другие части дивизии. В плен я перешёл добровольно, так как глубоко уверен, что Россию победить нельзя».</w:t>
      </w:r>
    </w:p>
    <w:p w14:paraId="72CD49C7"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Старшине Рейнгольду Шмаку пишут его родители из Дюссельдорфа: «...Все наши знакомые или убиты или ранены. Опять призвали многих на фронт. Мужчин совсем не осталось. На фабриках работают только иностранцы. Ты бы посмотрел, что это за люди? Они готовы нас съесть живьём».</w:t>
      </w:r>
    </w:p>
    <w:p w14:paraId="48944C68"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власти предложили всем мужчинам, женщинам и подросткам, проживающим в захваченной гитлеровцами деревне Ботаног, Ленинградской области, выехать на работу в Германию. Крестьяне отказались ехать в рабство, считая, что лучше умереть на родной земле, чем погибнуть от голода и непосильного труда в фашистской Германии. Тогда гитлеровцы согнали на площадь всех жителей деревни, схватили 9 колхозников, в том числе 60-летнего Лукина Григория, 17-летнегоЛевомягу Павла, 19-летнюю Спиридонову Александру и других, и расстреляли их. Имущество колхозников немцы разграбили, а деревню сожгли.»</w:t>
      </w:r>
    </w:p>
    <w:p w14:paraId="7C440805" w14:textId="77777777" w:rsidR="00AE5727" w:rsidRPr="00722885" w:rsidRDefault="00AE5727" w:rsidP="00722885">
      <w:pPr>
        <w:spacing w:after="0" w:line="240" w:lineRule="auto"/>
        <w:jc w:val="both"/>
        <w:rPr>
          <w:rFonts w:ascii="Times New Roman" w:hAnsi="Times New Roman"/>
          <w:color w:val="000000" w:themeColor="text1"/>
          <w:sz w:val="16"/>
          <w:szCs w:val="16"/>
        </w:rPr>
      </w:pPr>
    </w:p>
    <w:p w14:paraId="58F4AAA4"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сентябряв 1942 году войска противника вышли к Сталинграду с запада и юго-запада. Оборона города возложена на 62-ю (генерал-лейтенант В.И.Чуйков) и 64-ю (генерал-майор М.С.Шумилов) армии (14767).</w:t>
      </w:r>
    </w:p>
    <w:p w14:paraId="3D43351D" w14:textId="77777777" w:rsidR="00AE5727" w:rsidRPr="00722885" w:rsidRDefault="00AE5727" w:rsidP="00722885">
      <w:pPr>
        <w:spacing w:after="0" w:line="240" w:lineRule="auto"/>
        <w:jc w:val="both"/>
        <w:rPr>
          <w:rFonts w:ascii="Times New Roman" w:hAnsi="Times New Roman"/>
          <w:color w:val="000000" w:themeColor="text1"/>
          <w:sz w:val="16"/>
          <w:szCs w:val="16"/>
        </w:rPr>
      </w:pPr>
    </w:p>
    <w:p w14:paraId="565963B7"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сентябряв 1942 году (12-13 сентября) в Ставке ВГК состоялось совещание по выработке основных положений плана контрнаступления Советской Армии под Сталинградом (14767).</w:t>
      </w:r>
    </w:p>
    <w:p w14:paraId="3E533694" w14:textId="77777777" w:rsidR="00AE5727" w:rsidRPr="00722885" w:rsidRDefault="00AE5727" w:rsidP="00722885">
      <w:pPr>
        <w:spacing w:after="0" w:line="240" w:lineRule="auto"/>
        <w:jc w:val="both"/>
        <w:rPr>
          <w:rFonts w:ascii="Times New Roman" w:hAnsi="Times New Roman"/>
          <w:color w:val="000000" w:themeColor="text1"/>
          <w:sz w:val="16"/>
          <w:szCs w:val="16"/>
        </w:rPr>
      </w:pPr>
    </w:p>
    <w:p w14:paraId="196190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сентября 1942 в докладе на имя заместителя заведующего авиационным отделом ЦК ВКП(б) Н.С.Шиманова по боевому использова</w:t>
      </w:r>
      <w:r w:rsidRPr="00722885">
        <w:rPr>
          <w:color w:val="000000" w:themeColor="text1"/>
          <w:sz w:val="16"/>
          <w:szCs w:val="16"/>
        </w:rPr>
        <w:softHyphen/>
        <w:t xml:space="preserve">нию Ил-2 на фронте командир 228-й </w:t>
      </w:r>
      <w:r w:rsidRPr="00722885">
        <w:rPr>
          <w:iCs/>
          <w:color w:val="000000" w:themeColor="text1"/>
          <w:sz w:val="16"/>
          <w:szCs w:val="16"/>
        </w:rPr>
        <w:t xml:space="preserve">шад </w:t>
      </w:r>
      <w:r w:rsidRPr="00722885">
        <w:rPr>
          <w:color w:val="000000" w:themeColor="text1"/>
          <w:sz w:val="16"/>
          <w:szCs w:val="16"/>
        </w:rPr>
        <w:t>п-к В.В.Степичев был вынужден обра</w:t>
      </w:r>
      <w:r w:rsidRPr="00722885">
        <w:rPr>
          <w:color w:val="000000" w:themeColor="text1"/>
          <w:sz w:val="16"/>
          <w:szCs w:val="16"/>
        </w:rPr>
        <w:softHyphen/>
        <w:t>тить внимание руководства страны на совершенно недопустимое положение дел с боевой подготовкой летного со</w:t>
      </w:r>
      <w:r w:rsidRPr="00722885">
        <w:rPr>
          <w:color w:val="000000" w:themeColor="text1"/>
          <w:sz w:val="16"/>
          <w:szCs w:val="16"/>
        </w:rPr>
        <w:softHyphen/>
        <w:t>става для штурмовых авиаполков. Пол</w:t>
      </w:r>
      <w:r w:rsidRPr="00722885">
        <w:rPr>
          <w:color w:val="000000" w:themeColor="text1"/>
          <w:sz w:val="16"/>
          <w:szCs w:val="16"/>
        </w:rPr>
        <w:softHyphen/>
        <w:t xml:space="preserve">ковник Степичев требовал </w:t>
      </w:r>
      <w:r w:rsidRPr="00722885">
        <w:rPr>
          <w:iCs/>
          <w:color w:val="000000" w:themeColor="text1"/>
          <w:sz w:val="16"/>
          <w:szCs w:val="16"/>
        </w:rPr>
        <w:t>"...своевре</w:t>
      </w:r>
      <w:r w:rsidRPr="00722885">
        <w:rPr>
          <w:iCs/>
          <w:color w:val="000000" w:themeColor="text1"/>
          <w:sz w:val="16"/>
          <w:szCs w:val="16"/>
        </w:rPr>
        <w:softHyphen/>
        <w:t>менно отрабатывать в ЗАБ вопросы бо</w:t>
      </w:r>
      <w:r w:rsidRPr="00722885">
        <w:rPr>
          <w:iCs/>
          <w:color w:val="000000" w:themeColor="text1"/>
          <w:sz w:val="16"/>
          <w:szCs w:val="16"/>
        </w:rPr>
        <w:softHyphen/>
        <w:t xml:space="preserve">евого применения, в части воздушного боя, групповую слетанность пар и групп из пар, радиосвязь". </w:t>
      </w:r>
      <w:r w:rsidRPr="00722885">
        <w:rPr>
          <w:color w:val="000000" w:themeColor="text1"/>
          <w:sz w:val="16"/>
          <w:szCs w:val="16"/>
        </w:rPr>
        <w:t>Однако действенных мер, направлен</w:t>
      </w:r>
      <w:r w:rsidRPr="00722885">
        <w:rPr>
          <w:color w:val="000000" w:themeColor="text1"/>
          <w:sz w:val="16"/>
          <w:szCs w:val="16"/>
        </w:rPr>
        <w:softHyphen/>
        <w:t>ных на улучшение боевой подготовки летчиков-штурмовиков, принято не было. В итоге из 140 штурмовых авиаполков, подготовленных и отправленных на фронт в 1942 г., 14 авиаполков "успели" пройти переформирование 4 раза, 15 полков - 3 раза, 37 авиаполков - 2 раза и остальные - один раз...</w:t>
      </w:r>
    </w:p>
    <w:p w14:paraId="4EE202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Отметим, что даже гвардейские штур</w:t>
      </w:r>
      <w:r w:rsidRPr="00722885">
        <w:rPr>
          <w:color w:val="000000" w:themeColor="text1"/>
          <w:sz w:val="16"/>
          <w:szCs w:val="16"/>
        </w:rPr>
        <w:softHyphen/>
        <w:t>мовые авиаполки на протяжении всей войны комплектовались из рук вон пло</w:t>
      </w:r>
      <w:r w:rsidRPr="00722885">
        <w:rPr>
          <w:color w:val="000000" w:themeColor="text1"/>
          <w:sz w:val="16"/>
          <w:szCs w:val="16"/>
        </w:rPr>
        <w:softHyphen/>
        <w:t xml:space="preserve">хо. По словам заместителя командира 7-го гвардейского </w:t>
      </w:r>
      <w:r w:rsidRPr="00722885">
        <w:rPr>
          <w:iCs/>
          <w:color w:val="000000" w:themeColor="text1"/>
          <w:sz w:val="16"/>
          <w:szCs w:val="16"/>
        </w:rPr>
        <w:t>шап</w:t>
      </w:r>
      <w:r w:rsidRPr="00722885">
        <w:rPr>
          <w:color w:val="000000" w:themeColor="text1"/>
          <w:sz w:val="16"/>
          <w:szCs w:val="16"/>
        </w:rPr>
        <w:t xml:space="preserve"> м-ра Гудименко (доклад о боевых действиях полка за всю войну № 0350 от 27.07.45 г.): </w:t>
      </w:r>
      <w:r w:rsidRPr="00722885">
        <w:rPr>
          <w:iCs/>
          <w:color w:val="000000" w:themeColor="text1"/>
          <w:sz w:val="16"/>
          <w:szCs w:val="16"/>
        </w:rPr>
        <w:t>"Не только руководящий состав, а даже стрелки авиавооружения не подбирались соот</w:t>
      </w:r>
      <w:r w:rsidRPr="00722885">
        <w:rPr>
          <w:iCs/>
          <w:color w:val="000000" w:themeColor="text1"/>
          <w:sz w:val="16"/>
          <w:szCs w:val="16"/>
        </w:rPr>
        <w:softHyphen/>
        <w:t>ветствующим образом, в результате в полк прибывали на пополнение люди из штрафных рот, других частей, откуда их отправляли, как крайне недисциплини</w:t>
      </w:r>
      <w:r w:rsidRPr="00722885">
        <w:rPr>
          <w:iCs/>
          <w:color w:val="000000" w:themeColor="text1"/>
          <w:sz w:val="16"/>
          <w:szCs w:val="16"/>
        </w:rPr>
        <w:softHyphen/>
        <w:t>рованных и т.д. Отсюда и те повышен</w:t>
      </w:r>
      <w:r w:rsidRPr="00722885">
        <w:rPr>
          <w:iCs/>
          <w:color w:val="000000" w:themeColor="text1"/>
          <w:sz w:val="16"/>
          <w:szCs w:val="16"/>
        </w:rPr>
        <w:softHyphen/>
        <w:t>ные требования, которые ставятся Гв. частям, полностью не выполнялись и часть почти ничем не отличалась в ра</w:t>
      </w:r>
      <w:r w:rsidRPr="00722885">
        <w:rPr>
          <w:iCs/>
          <w:color w:val="000000" w:themeColor="text1"/>
          <w:sz w:val="16"/>
          <w:szCs w:val="16"/>
        </w:rPr>
        <w:softHyphen/>
        <w:t>боте от негвардейской... "</w:t>
      </w:r>
      <w:r w:rsidRPr="00722885">
        <w:rPr>
          <w:color w:val="000000" w:themeColor="text1"/>
          <w:sz w:val="16"/>
          <w:szCs w:val="16"/>
        </w:rPr>
        <w:t>(6467).</w:t>
      </w:r>
    </w:p>
    <w:p w14:paraId="4F774BF4" w14:textId="77777777" w:rsidR="00090C9B" w:rsidRPr="00722885" w:rsidRDefault="00090C9B" w:rsidP="00722885">
      <w:pPr>
        <w:pStyle w:val="Iauiue"/>
        <w:jc w:val="both"/>
        <w:rPr>
          <w:color w:val="000000" w:themeColor="text1"/>
          <w:sz w:val="16"/>
          <w:szCs w:val="16"/>
        </w:rPr>
      </w:pPr>
    </w:p>
    <w:p w14:paraId="2EA9A5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сентября 1942 в докладе по боевому использованию Ил-2 на фронте на имя члена Военного совета ВВС КА и одновременно заведующего авиационным отделом ЦК ВКП(б) генерал-лейтенанта Н. С. Шиманова командир 228-й шад полковник В. В. Степичев был вынужден обратить внимание руководства страны на совершенно недопустимое положение дел с боевой подготовкой летного состава для штурмовых авиаполков. Степичев требовал "...своевременно отрабатывать в ЗАБ вопросы боевого применения, в части воздушного боя, групповую слетанность пар и групп из пар, радиосвязь".</w:t>
      </w:r>
    </w:p>
    <w:p w14:paraId="3D3C6C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следствие недостатков в системе учебно-боевой подготовки в запасных частях из 140 штурмовых авиаполков, сформированных и отправленных на фронт в 1942 г., 14 полков "успели" пройти переформирование четыре раза, 15 - три раза, 37 - два раза.</w:t>
      </w:r>
    </w:p>
    <w:p w14:paraId="521517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Средний налет на одну боевую потерю Ил-2 по всем воздушным армиям и ВВС фронтов в 1942 г. составил примерно 17 боевых самолето-вылетов. При этом необходимо учитывать, что в начале года боевые потери штурмовиков были значительно выше, чем в конце года. После перевооружения авиачастей на двухместный Ил-2, увеличения численности и изменения тактики применения штурмовиков боевые потери уменьшились в среднем в 1,5-2 раза (12020).</w:t>
      </w:r>
    </w:p>
    <w:p w14:paraId="0E2DB80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AFABB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сентября 1942 немцы окружили Сталинград выйдя к Волге южнее города (2070,77).</w:t>
      </w:r>
    </w:p>
    <w:p w14:paraId="4FEC12ED" w14:textId="77777777" w:rsidR="00090C9B" w:rsidRPr="00722885" w:rsidRDefault="00090C9B" w:rsidP="00722885">
      <w:pPr>
        <w:pStyle w:val="Iauiue"/>
        <w:jc w:val="both"/>
        <w:rPr>
          <w:color w:val="000000" w:themeColor="text1"/>
          <w:sz w:val="16"/>
          <w:szCs w:val="16"/>
        </w:rPr>
      </w:pPr>
    </w:p>
    <w:p w14:paraId="2E9EFC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Немцы наступая отрезали 62 армию Чуйкова от 64-й, оставленной к югу от города (2070,77).</w:t>
      </w:r>
    </w:p>
    <w:p w14:paraId="24598FA6" w14:textId="77777777" w:rsidR="00090C9B" w:rsidRPr="00722885" w:rsidRDefault="00090C9B" w:rsidP="00722885">
      <w:pPr>
        <w:pStyle w:val="Iauiue"/>
        <w:jc w:val="both"/>
        <w:rPr>
          <w:color w:val="000000" w:themeColor="text1"/>
          <w:sz w:val="16"/>
          <w:szCs w:val="16"/>
        </w:rPr>
      </w:pPr>
    </w:p>
    <w:p w14:paraId="1AE8A9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течение 12 сентября 1942 на Сталинград были сброшены 856 фугасных и осколочных бомб всех калибров. В результате в городе возникли много новых пожаров, погибли около 300 человек мирного населения. В воздухе во всем междуречье Волги и Дона продолжались ожесточенные схватки между истребителями. На следующее утро, в 04.45 по берлинскому времени, дивизии 6-й армии Вермахта начали штурм города на участке от Мамаева кургана до пригорода Минина. Одновременно «Юнкерсы» и «Хейнкели» в очередной раз подвергли кварталы массированной бомбардировке. Повсюду поднималась кирпичная пыль, окрашивая небо в бледно-бурый цвет и закрывая вид на Волгу. В результате к исходу 15 сентября немцам удалось захватить Мамаев курган, железнодорожное депо, здание Госбанка и ряд других опорных пунктов. В этот день были потоплены три из четырех паровых паромов, осуществлявших перевозки с левого берега на правый. </w:t>
      </w:r>
      <w:r w:rsidRPr="00722885">
        <w:rPr>
          <w:rFonts w:ascii="Times New Roman" w:hAnsi="Times New Roman"/>
          <w:color w:val="000000" w:themeColor="text1"/>
          <w:sz w:val="16"/>
          <w:szCs w:val="16"/>
        </w:rPr>
        <w:lastRenderedPageBreak/>
        <w:t>Сталинградский городской комитет обороны во главе с Чуяновым, до этого остававшийся на территории города, сбежал на восточный берег, перебазировавшись сначала в Красную Слободу, а затем еще дальше – в совхоз «Сахарный». Впрочем, этот орган, управлявший Сталинградом в течение почти целого года, был больше не нужен, поскольку бои шли уже на берегу Волги. Гражданские органы власти были не в силах влиять на обстановку. Отныне Чуянов изучал складывающуюся обстановку только по картам, а по совместительству выполнял роль проводника по заволжской степи, направляя к переправам подходящие с востока резервы. По ночам он поднимался на возвышенности и с тоской смотрел на виднеющийся вдали горящий город:  «Тяжело смотреть ночью на горящий город с восточного берега. Просто не верится, что там есть люди… » Немецкая авиация беспрерывно бомбила Сталинград, а также совершила массированный налет на поселок Красная Слобода, расположенный напротив, на восточном берегу Волги. Повсюду горели пожары, в небо поднимались огромные столбы дыма. Организованные переправы через реку были нарушены, толпы раненых вынуждены были оставаться под обрывом на берегу. Наиболее отчаянные собственными силами изготовляли плоты и пытались с наступлением темноты самостоятельно пересечь Волгу. Однако течение уносило их вниз, к Бекетовке и Красноармейску, там они разбредались по деревням в поисках помощи. Контролировать обстановку в незанятых противником районах Сталинграда также становилось все труднее. Среди развалин сновали группы мародеров и дезертиров, а также жители в поисках воды и пищи. Случались даже нападения на блюстителей порядка. Так, в 23.00 15 сентября в районе городского базара была обстреляна оперативная группа НКВД… Сталинградский тракторный завод, несмотря на большие разрушения, продолжал работать, хотя производительность труда стремительно падала. В середине месяца уцелевшие рабочие в основном занимались уже ремонтом подбитых танков. 17 сентября немецкая авиация совершила очередной налет на предприятие, в результате которого возник сильный пожар в сталелитейном цехе, вспыхнули заводские нефтебаки, стоящие на берегу Волги. Прямым попаданием фугасной бомбы был почти полностью разрушен моторный корпус. Вскоре из-за постоянных пожаров, прекращения подачи электроэнергии и разрушений большинства производственных участков работу пришлось совсем прекратить. Так был окончательно выведен из строя один из крупнейших танковых заводов страны. Отныне его корпуса превратились в крепости и бастионы (11774).</w:t>
      </w:r>
    </w:p>
    <w:p w14:paraId="6AC2FC0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54CC8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сентября 1942 Г.К.Ж. и Г.М.М. передали в Москву доклад с анализом причин неудач атак немцев к северу от Сталинграда. При обсуждении с И.В.С. зародилась идея контрнаступления (2070,79).</w:t>
      </w:r>
    </w:p>
    <w:p w14:paraId="7DC61BFE" w14:textId="77777777" w:rsidR="00090C9B" w:rsidRPr="00722885" w:rsidRDefault="00090C9B" w:rsidP="00722885">
      <w:pPr>
        <w:pStyle w:val="Iauiue"/>
        <w:jc w:val="both"/>
        <w:rPr>
          <w:color w:val="000000" w:themeColor="text1"/>
          <w:sz w:val="16"/>
          <w:szCs w:val="16"/>
        </w:rPr>
      </w:pPr>
    </w:p>
    <w:p w14:paraId="342CD9E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37B166A3" w14:textId="77777777" w:rsidR="00090C9B" w:rsidRPr="00722885" w:rsidRDefault="00090C9B" w:rsidP="00722885">
      <w:pPr>
        <w:pStyle w:val="Iauiue"/>
        <w:jc w:val="both"/>
        <w:rPr>
          <w:iCs/>
          <w:color w:val="000000" w:themeColor="text1"/>
          <w:sz w:val="16"/>
          <w:szCs w:val="16"/>
        </w:rPr>
      </w:pPr>
    </w:p>
    <w:p w14:paraId="2BBB59A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12 сентября 1942 У.Черчилль прибыл в Москву (4962).</w:t>
      </w:r>
    </w:p>
    <w:p w14:paraId="4D6A23DE" w14:textId="77777777" w:rsidR="00090C9B" w:rsidRPr="00722885" w:rsidRDefault="00090C9B" w:rsidP="00722885">
      <w:pPr>
        <w:pStyle w:val="Iauiue"/>
        <w:tabs>
          <w:tab w:val="left" w:pos="11199"/>
        </w:tabs>
        <w:jc w:val="both"/>
        <w:rPr>
          <w:color w:val="000000" w:themeColor="text1"/>
          <w:sz w:val="16"/>
          <w:szCs w:val="16"/>
        </w:rPr>
      </w:pPr>
    </w:p>
    <w:p w14:paraId="7BEEE63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701F13F" w14:textId="77777777" w:rsidR="00090C9B" w:rsidRPr="00722885" w:rsidRDefault="00090C9B" w:rsidP="00722885">
      <w:pPr>
        <w:pStyle w:val="Iauiue"/>
        <w:jc w:val="both"/>
        <w:rPr>
          <w:iCs/>
          <w:color w:val="000000" w:themeColor="text1"/>
          <w:sz w:val="16"/>
          <w:szCs w:val="16"/>
        </w:rPr>
      </w:pPr>
    </w:p>
    <w:p w14:paraId="4090B2B6" w14:textId="77777777" w:rsidR="00AE5727" w:rsidRPr="00722885" w:rsidRDefault="00AE5727" w:rsidP="00722885">
      <w:pPr>
        <w:pStyle w:val="Iauiue"/>
        <w:jc w:val="both"/>
        <w:rPr>
          <w:color w:val="000000" w:themeColor="text1"/>
          <w:sz w:val="16"/>
          <w:szCs w:val="16"/>
        </w:rPr>
      </w:pPr>
      <w:r w:rsidRPr="00722885">
        <w:rPr>
          <w:color w:val="000000" w:themeColor="text1"/>
          <w:sz w:val="16"/>
          <w:szCs w:val="16"/>
        </w:rPr>
        <w:t>12 сентября 1942 англичане наконец смогли перехватить на Спитфайре IX высотный Ju-86R, который с августа 1942 регулярно бомбил с высоты 12-13 км. Не подбили, но немцы летать перестали. Мы получили 1200 Спитфайров этого типа с середины 1944 (173,256).</w:t>
      </w:r>
    </w:p>
    <w:p w14:paraId="0A24CC22" w14:textId="77777777" w:rsidR="00AE5727" w:rsidRPr="00722885" w:rsidRDefault="00AE5727" w:rsidP="00722885">
      <w:pPr>
        <w:pStyle w:val="Iauiue"/>
        <w:jc w:val="both"/>
        <w:rPr>
          <w:color w:val="000000" w:themeColor="text1"/>
          <w:sz w:val="16"/>
          <w:szCs w:val="16"/>
        </w:rPr>
      </w:pPr>
    </w:p>
    <w:p w14:paraId="40B7E9ED" w14:textId="77777777" w:rsidR="00AE5727" w:rsidRPr="00722885" w:rsidRDefault="00AE5727" w:rsidP="00722885">
      <w:pPr>
        <w:pStyle w:val="Iauiue"/>
        <w:jc w:val="both"/>
        <w:rPr>
          <w:color w:val="000000" w:themeColor="text1"/>
          <w:sz w:val="16"/>
          <w:szCs w:val="16"/>
        </w:rPr>
      </w:pPr>
      <w:r w:rsidRPr="00722885">
        <w:rPr>
          <w:color w:val="000000" w:themeColor="text1"/>
          <w:sz w:val="16"/>
          <w:szCs w:val="16"/>
        </w:rPr>
        <w:t>12 сентября 1942 в Буффало через специально проделанный проем в кирпичной стене выкатили первый американский реактивный истребитель Белл ХР-59А. В ту же ночь по ж/д направили на секретный полигон Мюрок на дне высохшего озера Роджерс Драй Лэйк в Калифорнии (сейчас - авиабаза Эдвардс) (3408).</w:t>
      </w:r>
    </w:p>
    <w:p w14:paraId="6A95FE10" w14:textId="77777777" w:rsidR="00AE5727" w:rsidRPr="00722885" w:rsidRDefault="00AE5727" w:rsidP="00722885">
      <w:pPr>
        <w:pStyle w:val="Iauiue"/>
        <w:jc w:val="both"/>
        <w:rPr>
          <w:color w:val="000000" w:themeColor="text1"/>
          <w:sz w:val="16"/>
          <w:szCs w:val="16"/>
        </w:rPr>
      </w:pPr>
    </w:p>
    <w:p w14:paraId="40084EF8" w14:textId="77777777" w:rsidR="00565971" w:rsidRPr="00722885" w:rsidRDefault="005659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сентября 1942 - Ночью, из здания на углу улиц Мэйн и Родней в городе Буффало, через специально проделанный проём в кирпичной стене выкатили наружу первый реактивный истребитель США - двухмоторный ХР-59А фирмы Bell. Работы по сборке первого ХР-59А проводились с января 1942 года в арендованном у фирмы «Форд» здании в Буффало. Той же ночью разобранный и упакованный в большие ящики ХР-59А отправился по железной дороге на секретную базу Мюрок, расположенную на дне высохшего озера Роджерс Драй Лэйк в Южной Калифорнии (сейчас там находится знаменитый испытательный центр ВВС США) (22367).</w:t>
      </w:r>
    </w:p>
    <w:p w14:paraId="19CA542B" w14:textId="77777777" w:rsidR="00565971" w:rsidRPr="00722885" w:rsidRDefault="00565971" w:rsidP="00722885">
      <w:pPr>
        <w:spacing w:after="0" w:line="240" w:lineRule="auto"/>
        <w:jc w:val="both"/>
        <w:rPr>
          <w:rFonts w:ascii="Times New Roman" w:hAnsi="Times New Roman"/>
          <w:color w:val="0070C0"/>
          <w:sz w:val="16"/>
          <w:szCs w:val="16"/>
        </w:rPr>
      </w:pPr>
    </w:p>
    <w:p w14:paraId="12E65E14" w14:textId="77777777" w:rsidR="00565971" w:rsidRPr="00722885" w:rsidRDefault="005659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сентября 1942 года состоялся первый полет Miles M.38 Messenger (20793).</w:t>
      </w:r>
    </w:p>
    <w:p w14:paraId="2AB3F3CB" w14:textId="77777777" w:rsidR="00565971" w:rsidRPr="00722885" w:rsidRDefault="00565971" w:rsidP="00722885">
      <w:pPr>
        <w:spacing w:after="0" w:line="240" w:lineRule="auto"/>
        <w:jc w:val="both"/>
        <w:rPr>
          <w:rFonts w:ascii="Times New Roman" w:hAnsi="Times New Roman"/>
          <w:color w:val="0070C0"/>
          <w:sz w:val="16"/>
          <w:szCs w:val="16"/>
        </w:rPr>
      </w:pPr>
    </w:p>
    <w:p w14:paraId="549C7402" w14:textId="77777777" w:rsidR="00565971" w:rsidRPr="00722885" w:rsidRDefault="005659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сентября 1942 года — первый полёт самолёта связи Miles M.38 Messenger. /Англия/</w:t>
      </w:r>
    </w:p>
    <w:p w14:paraId="111B5296" w14:textId="77777777" w:rsidR="00565971" w:rsidRPr="00722885" w:rsidRDefault="005659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Летом 1942 года компания Phillips and Powis (с 1943 года — Miles Aircraft) представила офицерам британской армии на оценку самолёт M.28 Mercury для обучения, связи и корректировки артиллерийского огня. Офицерам M.28 понравился, но они предложили его доработать — улучшить характеристики, упростить конструкцию и т.д. Доработанный самолёт получил обозначение M.38 Messenger.</w:t>
      </w:r>
    </w:p>
    <w:p w14:paraId="603C0082" w14:textId="77777777" w:rsidR="00565971" w:rsidRPr="00722885" w:rsidRDefault="005659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Это был низкоплан с неубираемым шасси и трёхкилевым хвостовым оперением. Оснащался двигателем Blackburn Cirrus Major III (150 л.с.) Крейсерская скорость — 245 км/ч, дальность полёта — 657 км. В кабине размещались 2-3 пассажира + 1 пилот.</w:t>
      </w:r>
    </w:p>
    <w:p w14:paraId="78EC6805" w14:textId="77777777" w:rsidR="00565971" w:rsidRPr="00722885" w:rsidRDefault="005659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 испытаниях Messenger показал отличные лётные характеристики. Несмотря на то, что он разрабатывался без ведома британского авиационного министерства, его запустили в серийное производство. Выпустили 93 самолёта. После Второй мировой войны они использовались и частными владельцами (22300).</w:t>
      </w:r>
    </w:p>
    <w:p w14:paraId="205F7E21" w14:textId="77777777" w:rsidR="00565971" w:rsidRPr="00722885" w:rsidRDefault="00565971" w:rsidP="00722885">
      <w:pPr>
        <w:spacing w:after="0" w:line="240" w:lineRule="auto"/>
        <w:jc w:val="both"/>
        <w:rPr>
          <w:rFonts w:ascii="Times New Roman" w:hAnsi="Times New Roman"/>
          <w:color w:val="0070C0"/>
          <w:sz w:val="16"/>
          <w:szCs w:val="16"/>
        </w:rPr>
      </w:pPr>
    </w:p>
    <w:p w14:paraId="2D5ADAD3" w14:textId="77777777" w:rsidR="00565971" w:rsidRPr="00722885" w:rsidRDefault="005659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сентября 1942 - Совершил первый полёт прототип итальянского истребителя-бомбардировщика Re.2001 Delta (MM.9920) с итальянским инвертным двенадцатицилиндровым двигателем воздушного охлаждения Isotta-Fraschini Delta RC.16/48 мощностью 840 л.с.. Во время испытаний (проходивших на авиабазе Гуидония со 2 ноября ) прототип достиг скорости 523 км/ч на высоте 5600 м и набрал высоту 3000 метров за 4 минуты 11 секунд, а 6000 м - за 10 минут 30 секунд. Вместо ранее заказанных Re.2001 фирме Caproni Taliedo были заказаны прототип Reggiane Re.2001 Delta и серия в сто машин. 27 января, во время испытаний на скороподъёмность, на высоте 7800 м перегрелся и остановился двигатель, а при попытке повторного запуска он взорвался. Пилот Беретта спасся на парашюте, но самолёт был полностью уничтожен. Восстановление самолёта всё откладывалось, а позднее, Министерство авиации полностью аннулировало заказ на Re.2001 Delta (22367).</w:t>
      </w:r>
    </w:p>
    <w:p w14:paraId="1189A148" w14:textId="77777777" w:rsidR="00565971" w:rsidRPr="00722885" w:rsidRDefault="00565971" w:rsidP="00722885">
      <w:pPr>
        <w:spacing w:after="0" w:line="240" w:lineRule="auto"/>
        <w:jc w:val="both"/>
        <w:rPr>
          <w:rFonts w:ascii="Times New Roman" w:hAnsi="Times New Roman"/>
          <w:color w:val="0070C0"/>
          <w:sz w:val="16"/>
          <w:szCs w:val="16"/>
        </w:rPr>
      </w:pPr>
    </w:p>
    <w:p w14:paraId="1740AB4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12 сентября 1942 в Южной Атлантике немецкими подлодками торпедирован и затонул английский транспортный корабль “Лакония”, на котором находились 1800 пленных итальянцев (4962).</w:t>
      </w:r>
    </w:p>
    <w:p w14:paraId="26F7286C" w14:textId="77777777" w:rsidR="00090C9B" w:rsidRPr="00722885" w:rsidRDefault="00090C9B" w:rsidP="00722885">
      <w:pPr>
        <w:pStyle w:val="Iauiue"/>
        <w:tabs>
          <w:tab w:val="left" w:pos="11199"/>
        </w:tabs>
        <w:jc w:val="both"/>
        <w:rPr>
          <w:color w:val="000000" w:themeColor="text1"/>
          <w:sz w:val="16"/>
          <w:szCs w:val="16"/>
        </w:rPr>
      </w:pPr>
    </w:p>
    <w:p w14:paraId="0BD8DC1A" w14:textId="77777777" w:rsidR="00565971" w:rsidRPr="00722885" w:rsidRDefault="005659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сентября 1942, управляя Supermarine Spitfire, модифицированным для высотных полетов, пилот Королевских ВВС Эмануэль Галатзин перехватывает немецкий бомбардировщик Junkers Ju 86R над южной Англией. Во время 45-минутного воздушного боя Галатзин выполнил четыре атаки на Ju 86R, достигнув высоты 44000 футов (13411 метров), прежде чем Ju 86R ускользнул через Ла-Манш. Это самое высотное боевое столкновение Второй мировой войны. Узнав, что даже Ju 86R с двойным дизельным двигателем Jumo 207 стал уязвимым для перехвата, Люфтваффе никогда больше не летают над Соединенным Королевством (20793).</w:t>
      </w:r>
    </w:p>
    <w:p w14:paraId="19808560" w14:textId="77777777" w:rsidR="00565971" w:rsidRPr="00722885" w:rsidRDefault="00565971" w:rsidP="00722885">
      <w:pPr>
        <w:spacing w:after="0" w:line="240" w:lineRule="auto"/>
        <w:jc w:val="both"/>
        <w:rPr>
          <w:rFonts w:ascii="Times New Roman" w:hAnsi="Times New Roman"/>
          <w:color w:val="0070C0"/>
          <w:sz w:val="16"/>
          <w:szCs w:val="16"/>
        </w:rPr>
      </w:pPr>
    </w:p>
    <w:p w14:paraId="728962A1" w14:textId="77777777" w:rsidR="00565971" w:rsidRPr="00722885" w:rsidRDefault="0056597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сентября 1942, после того, как немецкий летающие лодки ищейки Blohm Voss BV унд 138 уводят Hawker Sea Hurricane с HMS Avenger, немецкие бомбардировщики Heinkel He 111 Конвой PQ 18, потопив восемь торговых судов с торпедами (20793).</w:t>
      </w:r>
    </w:p>
    <w:p w14:paraId="1B99A184" w14:textId="77777777" w:rsidR="00565971" w:rsidRPr="00722885" w:rsidRDefault="00565971" w:rsidP="00722885">
      <w:pPr>
        <w:spacing w:after="0" w:line="240" w:lineRule="auto"/>
        <w:jc w:val="both"/>
        <w:rPr>
          <w:rFonts w:ascii="Times New Roman" w:hAnsi="Times New Roman"/>
          <w:color w:val="0070C0"/>
          <w:sz w:val="16"/>
          <w:szCs w:val="16"/>
        </w:rPr>
      </w:pPr>
    </w:p>
    <w:p w14:paraId="72D66D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сентября 1942 английский транспорт Laconia с 1800 итальянскими военнопленными был потоплен U-156. Спасли из 2789 1111, но подводные лодки, пытавшиеся оказать помощь тонущим были атакованы американским В-24 (3481).</w:t>
      </w:r>
    </w:p>
    <w:p w14:paraId="272495A7" w14:textId="77777777" w:rsidR="00090C9B" w:rsidRPr="00722885" w:rsidRDefault="00090C9B" w:rsidP="00722885">
      <w:pPr>
        <w:pStyle w:val="Iauiue"/>
        <w:jc w:val="both"/>
        <w:rPr>
          <w:color w:val="000000" w:themeColor="text1"/>
          <w:sz w:val="16"/>
          <w:szCs w:val="16"/>
        </w:rPr>
      </w:pPr>
    </w:p>
    <w:p w14:paraId="418DF06C"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 сентябряв 1942 году немецкая субмарина U-156 капитан-лейтенанта Вернера Хартенштейна у берегов Экваториальной Африки обнаружила и торпедировала большой английский транспорт "Лакония" (1922 года постройки, 19695 брт, 183.26 м, 16 уз). Пассажирский лайнер, построенный на верфи «Swan, Hunter &amp; Wigham Richardson» в Ньюкасле. 4 сентября 1939 судно было реквизировано Адмиралтейством и к январю 1940 переоборудовано во вспомогательный крейсер (8х152-мм и 2х76-мм). После испытаний ушла с грузом золота в Портленд. Следующие несколько месяцев "Лакония" эскортировала конвои, идущие в порты Центральной Атлантики. Летом 1941 судно прошло ремонт и в дальнейшем использовалось как войсковой транспорт. В одном из рейсов "Лакония" была использована для перевозки итальянских пленных из Суэца в Великобританию. На переходе из Кейптауна во Фритаун судно 12 сентября 1942 было перехвачено ПЛ U-156. Несмотря на то, что "Лакония" шла противолодочным зигзагом, обе торпеды залпа поразили цель в 22:07. В 22:22 с борта судна дали радио открытым текстом об атаке подводной лодки и о бедственном положении. В 23:25 "Лакония" затонула в точке 04-34N, 11-25W. Приблизившись к месту катастрофы, немцы услышали крики о помощи на итальянском языке и поняли, что на борту судна были итальянские пленные. Видя это Вернер Хартенштейн, капитан ПЛ, принял решение оказать помощь, и, уже проводя спасательную операцию, запросил разрешения штаба. Понимая, что собственными силами не справится, 13 сентября в 06:00 капитан на волне 25 метров открытым текстом передал радиограмму следующего содержания: «Если какой-нибудь корабль пожелает оказать помощь экипажу "Лаконии", я не стану атаковать его при условии, если сам не буду атакован с моря или с воздуха. Имею на борту 193 спасенных. 4 градуса 52 минуты южной широты, 11 градусов 26 минут западной долготы. Германская подводная лодка.» Командование подводными силами Кригсмарине отправило на помощь ПЛ «U-506», «U-507» и итальянскую «Cappellini». Правительство Виши, выслало к месту трагедии колониальные шлюпы "Annamite", "Dumont-d'Urville" и крейсер "Gloire". 14 сентября U-156 приняла на борт свыше </w:t>
      </w:r>
      <w:r w:rsidRPr="00722885">
        <w:rPr>
          <w:rFonts w:ascii="Times New Roman" w:hAnsi="Times New Roman"/>
          <w:color w:val="000000" w:themeColor="text1"/>
          <w:sz w:val="16"/>
          <w:szCs w:val="16"/>
        </w:rPr>
        <w:lastRenderedPageBreak/>
        <w:t>400 человек. Затем около половины из них были снова высажены в лодки и на плоты. Всего в океане теперь плавало 22 спасательных шлюпки и плота, на которых нашли временное спасение примерно полторы тысячи человек. В воде больше не оставалось ни одного потерпевшего. 15 сентября «U-156» дождалась пришедших на помощь «U-506» и «U-507», на борт которых была передана часть спасенных с «Лаконии». На борту «U-156» оставалось 55 итальянцев и 55 англичан, в том числе.</w:t>
      </w:r>
    </w:p>
    <w:p w14:paraId="7D4D4762" w14:textId="77777777" w:rsidR="00AE5727" w:rsidRPr="00722885" w:rsidRDefault="00AE572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в 11:25 над лодкой, идущей со шлюпками на буксире, пролетел американский самолет («B-24» «Liberator»). Менее чем через полчаса - другой. При их появлении над рубкой ПЛ был поднят большой (2х2 метра) флаг Красного Креста. Тем не менее в 12:32 один из «Либерейторов» сбросил бомбы, повредившие лодку и уничтожившие одну из шлюпок со спасенными с "Лаконии" (все, кто в ней находился, погибли). О случившемся командир лодки доложил в штаб, что стало причиной появления так называемого "Приказа Лакония", запрещавшего всем командирам субмарин проводить спасательные операции в отношении экипажей торпедированных судов. Этот приказ стал в дальнейшем одним из пунктов обвинения в отношении Деница на Нюрнбергском трибунале. По численности находившихся на борту полной ясности нет (встречал разные цифры). Обычно сообщается, что было 268 британских военнослужащих-отпускников, около 80 гражданских, около 1800 итальянских пленных и 160 польских военнослужащих-охранников. Но при этом пишут, что погибло 1649 человек, спасено 1104, что в итоге не сходится с вышеприведенными цифрами. Видимо, остальные - экипаж и артиллеристы (14767).</w:t>
      </w:r>
    </w:p>
    <w:p w14:paraId="18B866E0" w14:textId="77777777" w:rsidR="00AE5727" w:rsidRPr="00722885" w:rsidRDefault="00AE5727" w:rsidP="00722885">
      <w:pPr>
        <w:spacing w:after="0" w:line="240" w:lineRule="auto"/>
        <w:jc w:val="both"/>
        <w:rPr>
          <w:rFonts w:ascii="Times New Roman" w:hAnsi="Times New Roman"/>
          <w:color w:val="000000" w:themeColor="text1"/>
          <w:sz w:val="16"/>
          <w:szCs w:val="16"/>
        </w:rPr>
      </w:pPr>
    </w:p>
    <w:p w14:paraId="754F64F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1E1E793" w14:textId="77777777" w:rsidR="00090C9B" w:rsidRPr="00722885" w:rsidRDefault="00090C9B" w:rsidP="00722885">
      <w:pPr>
        <w:pStyle w:val="Iauiue"/>
        <w:jc w:val="both"/>
        <w:rPr>
          <w:iCs/>
          <w:color w:val="000000" w:themeColor="text1"/>
          <w:sz w:val="16"/>
          <w:szCs w:val="16"/>
        </w:rPr>
      </w:pPr>
    </w:p>
    <w:p w14:paraId="527DA594"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13 сентября 1942 вышел приказ № 10сс по заводу № 18 НКАП (19706).</w:t>
      </w:r>
    </w:p>
    <w:p w14:paraId="3945FAEE" w14:textId="77777777" w:rsidR="00BB2084" w:rsidRPr="00722885" w:rsidRDefault="00BB2084" w:rsidP="00722885">
      <w:pPr>
        <w:pStyle w:val="ae"/>
        <w:spacing w:before="0" w:after="0"/>
        <w:jc w:val="both"/>
        <w:textAlignment w:val="baseline"/>
        <w:rPr>
          <w:color w:val="000000" w:themeColor="text1"/>
          <w:sz w:val="16"/>
          <w:szCs w:val="16"/>
        </w:rPr>
      </w:pPr>
    </w:p>
    <w:p w14:paraId="4CB856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сентября 1942 вышло Постановление ГКО № 2294 Об экономии топлива при испытании моторов АМ-38 на заводе N24. РГАНИР, Фонд ГКО, д. 56, лл. 31-32 (11012).</w:t>
      </w:r>
    </w:p>
    <w:p w14:paraId="56ED787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F33E1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сентября 1942 Начались гос. испытания серийного фронтового бомбардировщика Ту-2 (274). Продолжались по 26 октября. Выполнили 44 полета и налетали 32 час. Были вынужденные посадки с повреждениями. Ту-2 N 100308 с М-82 и винтами АВ-5-167А производства завода 166. Вед. инж. Г.В.Грибакин, вед. л. В.И.Жданов и М.П.Касьяненко. Не соответствовал договору ГУ ВВС и НКАП (812,8).</w:t>
      </w:r>
    </w:p>
    <w:p w14:paraId="3458E4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 была машина из третьей серии N 308 (100308) и испытания шли в Свердловске на аэродроме в Кольцово. Выполнили 44 полета с налетом 32 часа и летал также Нюхтиков. В последнем полете была авария и самолет сел на вынужденную и был поврежден (1835,21).</w:t>
      </w:r>
    </w:p>
    <w:p w14:paraId="515350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другим данным - до 28 октября 1942</w:t>
      </w:r>
    </w:p>
    <w:p w14:paraId="0455A053" w14:textId="77777777" w:rsidR="00090C9B" w:rsidRPr="00722885" w:rsidRDefault="00090C9B" w:rsidP="00722885">
      <w:pPr>
        <w:pStyle w:val="Iauiue"/>
        <w:jc w:val="both"/>
        <w:rPr>
          <w:color w:val="000000" w:themeColor="text1"/>
          <w:sz w:val="16"/>
          <w:szCs w:val="16"/>
        </w:rPr>
      </w:pPr>
    </w:p>
    <w:p w14:paraId="63F431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13 сентября по 26 октября 1942 проходили гос. испытания серийного фронтового бомбардировщика Ту-2 2хМ-82 № 199308 производства завода № 166</w:t>
      </w:r>
    </w:p>
    <w:p w14:paraId="2A0A69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декабря 1942 Лосюков и Сафронов подписал отчет, а А.E.Репин утвердил Акт о гос. испытаниях серийного фронтового бомбардировщика Ту-2 2хМ-82 № 199308 производства завода № 166, которые проходили с 13 сентября по 26 октября 1942 (812,8).</w:t>
      </w:r>
    </w:p>
    <w:p w14:paraId="6C73EE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и и/м Г.В.Грибакин</w:t>
      </w:r>
    </w:p>
    <w:p w14:paraId="368DA3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 м В.И.Жданов, М.П.Васякин</w:t>
      </w:r>
    </w:p>
    <w:p w14:paraId="72C4A8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Объект испытания:</w:t>
      </w:r>
    </w:p>
    <w:p w14:paraId="7D85FC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д-х моторный моноплан с высоко расположенным крылом и двухкилевым свободнонесущим оперением. Конструкция с-та металлическая, фюзеляж - полумонокок. Крыло - кессонной конструкции. Закрылки типа Шренк. Винт АВ-5167А д. 3.8 м. Система бензопитания состоит из 18 баков общей емкостью 3000 л, все быки запротектированы и заполняются инертным газом из выхлопной системы моторов. С-т снаджен приемопередатчиком РСБ-бис, РПК-7, фотоустановкой под фотоаппараты АФА-Б, НАФА-19 и автоматом курса АК-1.</w:t>
      </w:r>
    </w:p>
    <w:p w14:paraId="182B4C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Нормальная бомбовая нагрузка - 1000 кг, максимальная расчетная бомбовая нагрузка - 2000 кг, Емкость бомбодержателей - 3000 кг.</w:t>
      </w:r>
    </w:p>
    <w:p w14:paraId="502EA3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Калибры бомб:</w:t>
      </w:r>
    </w:p>
    <w:p w14:paraId="28433A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ФАБ-1000х1 внутр. и 2 на наружной - всего 3000</w:t>
      </w:r>
    </w:p>
    <w:p w14:paraId="3626E6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ФАБ-500х1 внутр. и 2 на наружной - всего 1500</w:t>
      </w:r>
    </w:p>
    <w:p w14:paraId="0D6CA0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ФАБ-250цкх4 внутр. и 2 на наружной - всего 1500</w:t>
      </w:r>
    </w:p>
    <w:p w14:paraId="1B4E13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ФАБ-250свх2 внутр. и 2 на наружной - всего 1000</w:t>
      </w:r>
    </w:p>
    <w:p w14:paraId="1D4056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ФАБ-100х9 - всего 900</w:t>
      </w:r>
    </w:p>
    <w:p w14:paraId="484C7F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Стрелково-0пушечное вооружение:</w:t>
      </w:r>
    </w:p>
    <w:p w14:paraId="39C91D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неподвижное вперед - 2хШКАС с б/з 1400 + 2хШВАК с б/з 300 ш. + 10хРО-132</w:t>
      </w:r>
    </w:p>
    <w:p w14:paraId="738550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подвижное для стрельбы назад - блистер под УБТх1 с б/з 195, уст. ТСС-4 под ШКАСх1 с б/з 1000 ш.</w:t>
      </w:r>
    </w:p>
    <w:p w14:paraId="5C6FA9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Люковая установка под УБТх1 - 260 б/з </w:t>
      </w:r>
    </w:p>
    <w:p w14:paraId="42BDFF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Состав экипажа: л и ш в передней кабине, стрелок-радист - задняя кабина, стрелок - задняя кабина</w:t>
      </w:r>
    </w:p>
    <w:p w14:paraId="0DFC00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по геометрическим параметрам не отличается от с-та 103В</w:t>
      </w:r>
    </w:p>
    <w:p w14:paraId="17B9EE1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Результаты испытаний:</w:t>
      </w:r>
    </w:p>
    <w:p w14:paraId="52EF86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Испытания в Кольцово с 13 сентября по 28 октября 1942 (в последнем полете с-т был поврежден). Налет в 44 полетах - 32:00</w:t>
      </w:r>
    </w:p>
    <w:p w14:paraId="4A0C90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 - 7601</w:t>
      </w:r>
    </w:p>
    <w:p w14:paraId="5F1619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Нормальный полетный вес - 10537,9</w:t>
      </w:r>
    </w:p>
    <w:p w14:paraId="6DCC05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Перегрузочный вариант - 11767,9</w:t>
      </w:r>
    </w:p>
    <w:p w14:paraId="46F725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экипаж - 360</w:t>
      </w:r>
    </w:p>
    <w:p w14:paraId="1259AE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горючее - 1000, в перегруз 2200</w:t>
      </w:r>
    </w:p>
    <w:p w14:paraId="158EE4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масло - 150 и 180</w:t>
      </w:r>
    </w:p>
    <w:p w14:paraId="25DA87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стрелково-пушечное вооружение - 167,8</w:t>
      </w:r>
    </w:p>
    <w:p w14:paraId="4B9274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боезапас - 187</w:t>
      </w:r>
    </w:p>
    <w:p w14:paraId="4C8FD9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бомбы и замки - 1018,5</w:t>
      </w:r>
    </w:p>
    <w:p w14:paraId="4589FF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аккумулятор 29</w:t>
      </w:r>
    </w:p>
    <w:p w14:paraId="5A1A33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прицелы, ракетный пистолет - 24,6</w:t>
      </w:r>
    </w:p>
    <w:p w14:paraId="3A30C3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Итого 2936,9 и 41166,9 в перегруз</w:t>
      </w:r>
    </w:p>
    <w:p w14:paraId="7BBEAF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 у земли на 2400 об. - 444 км/час</w:t>
      </w:r>
    </w:p>
    <w:p w14:paraId="5D6C72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 на 1-й гр. высотности 32000 м - 521 км/час, на 2-й гр. 6160 - 514 км/час</w:t>
      </w:r>
    </w:p>
    <w:p w14:paraId="247DA0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набора 5000 м - 10,2, 9000 м - 35</w:t>
      </w:r>
    </w:p>
    <w:p w14:paraId="0279BFC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- 450</w:t>
      </w:r>
    </w:p>
    <w:p w14:paraId="13BEC0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Пробег - 725</w:t>
      </w:r>
    </w:p>
    <w:p w14:paraId="17EA24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Посадочная скорость - 156 км/час</w:t>
      </w:r>
    </w:p>
    <w:p w14:paraId="0C934E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Практический потолок - 9000 м</w:t>
      </w:r>
    </w:p>
    <w:p w14:paraId="0A329A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Дальность полета при полном запасе горючего 2220 кг, бомбовой нагрузке 1000 кг</w:t>
      </w:r>
    </w:p>
    <w:p w14:paraId="5263FA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на 1000 м действ. скорость 365 км/час (на 0,8 макс.) - 2020 км</w:t>
      </w:r>
    </w:p>
    <w:p w14:paraId="608BB1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на 3000 м действ. скорость 405 км\час (на 0,8 макс.) - 1980 км</w:t>
      </w:r>
    </w:p>
    <w:p w14:paraId="6A3746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Летная оценка: Посадки - просты, пикирование - устойчивое. При выходе из пикирования - наблюдается раскрутка винтов. Автомат пикирования АП-3 работает хорошо. Полет ночью по технике ничем не отличается от дневного. Освещение кабины - неудобное</w:t>
      </w:r>
    </w:p>
    <w:p w14:paraId="659EE4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 вл и нач. 3 Отд.м Жданов и м Нюхтиков</w:t>
      </w:r>
    </w:p>
    <w:p w14:paraId="1BA5E0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Заключение:</w:t>
      </w:r>
    </w:p>
    <w:p w14:paraId="45A29C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Серийный с-т Ту-2 № 100308 по своим ЛТД стоит на уровне современных 2-х моторных бомбардировщиков и имеет возможности для дальнейшего модифицирования.</w:t>
      </w:r>
    </w:p>
    <w:p w14:paraId="0A5A49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В результате испытаний установлено, что с-т не удовлетворяет условиям договора ГУ ВВС ИАС с НКАП о поставке с-тов Ту-2:</w:t>
      </w:r>
    </w:p>
    <w:p w14:paraId="44B9981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по максимальной скорости, которая на высоте 6000 м на 66 км/час ниже</w:t>
      </w:r>
    </w:p>
    <w:p w14:paraId="1F0C4A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 потолку, который меньше на 800 м</w:t>
      </w:r>
    </w:p>
    <w:p w14:paraId="359007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По взлетно-посадочным данным и скороподъемности с-т соответствует условям договора</w:t>
      </w:r>
    </w:p>
    <w:p w14:paraId="717E58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ВМГ с-та не обеспечивает высотных полетов свыше 6000 м из-за тряски моторов и выброса масла из суфлера мотора, а также полетов на пикирование из-за раскрутки винтов</w:t>
      </w:r>
    </w:p>
    <w:p w14:paraId="171354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5. Просить НКАП:</w:t>
      </w:r>
    </w:p>
    <w:p w14:paraId="5B93B8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дать указание ГК А.Н.Т. о быстрейшем устранении раскрутки винтов. Обеспечить возможность пользования прицелом ПС-1</w:t>
      </w:r>
    </w:p>
    <w:p w14:paraId="4D0A6E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дать указание ГК хавода № 19 об устранении ненормальной работы мотора М-82 на 2-й скорости нагнетателя</w:t>
      </w:r>
    </w:p>
    <w:p w14:paraId="243643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ввиде того, что по ЛТД с-т представляет интерес для ВВС КА, обязать ГК продолжить работу по доводке и модификации с-та, выделив в его распоряжение необходимое количество с-тов</w:t>
      </w:r>
    </w:p>
    <w:p w14:paraId="50D8F7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Доложит ГИ ВВС КА о:</w:t>
      </w:r>
    </w:p>
    <w:p w14:paraId="2EAED9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необходимости указания частям не производить пикирования до устранения дефекта рскрутки винтов...(812,8).</w:t>
      </w:r>
    </w:p>
    <w:p w14:paraId="04CC0175" w14:textId="77777777" w:rsidR="00090C9B" w:rsidRPr="00722885" w:rsidRDefault="00090C9B" w:rsidP="00722885">
      <w:pPr>
        <w:pStyle w:val="Iauiue"/>
        <w:jc w:val="both"/>
        <w:rPr>
          <w:color w:val="000000" w:themeColor="text1"/>
          <w:sz w:val="16"/>
          <w:szCs w:val="16"/>
        </w:rPr>
      </w:pPr>
    </w:p>
    <w:p w14:paraId="2160A9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сентября 1942 г. на машине № 100308 (восьмой самолет третьей серии или 18-я серийная машина) с воздушными винтами АВ-5-167А диаметром 3,8 м начались госиспытания Ту-2. Ведущими по самолету были инженер Г.В. Гриба- кин и летчики В.И. Жданов и М.П. Васякин.</w:t>
      </w:r>
    </w:p>
    <w:p w14:paraId="145D89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по геометрическим параметрам не отличался от опытного "103-В", но изменили узлы стыковки отъемных частей крыла с центропланом, в хвостовой части фюзеляжа снизу сделали люк для стрелка и стрелка- радиста, изменили конструкцию тормозов колес и установили стопор костыля. Воздушные тормоза (решетки) убирались (под крылом) заподлицо с обшивкой.</w:t>
      </w:r>
    </w:p>
    <w:p w14:paraId="637FA0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Тогда же вместо расходных бензиновых баков поставили коллекторы, электроуправление регуляторами (Р-7) винтов заменили механическим (Р-8), установили запуск двигателей электроинерционными стартерами РИМ-24 и значительно упростили управление посадочными щитками и створками грузового отсека, заменив в обшей сложности 14 гидроцилиндров двумя. Претерпело изменение и вооружение на блистерной (у штурмана) и люковой (у стрелка) установках, ШКАСы заменили на пулеметы УБТ Березина, а у стрелка-радиста установку ТСС-1 поменяли на ТСС-4. Кроме этого под крылом подвешивалось до десяти реактивных снарядов PC-132.</w:t>
      </w:r>
    </w:p>
    <w:p w14:paraId="323B7D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стрельбы вперед предназначались две неподвижных пушки, расположенные в центроплане крыла, и два Ш КАСа - в носовой части фюзеляжа.</w:t>
      </w:r>
    </w:p>
    <w:p w14:paraId="2F5AA3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бомбовая нагрузка достигала 2000 кг (нормальная - 1000 кг), но на бомбодержателях при необходимости можно было подвешивать до 3000 кг. При этом как на внутренних, так и наружных замках могли подвешиваться лишь фугасные бомбы. Подвеска осколочных и зажигательных бомб, также химических ампул не была предусмотрена.</w:t>
      </w:r>
    </w:p>
    <w:p w14:paraId="433674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борту самолета появился автомат курса, существенно упростивший пилотирование самолета. В итоге самолет потяжелел по сравнению с опытным "103-В" на 266 кг.</w:t>
      </w:r>
    </w:p>
    <w:p w14:paraId="1B1D0B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продолжались по 28 октября, но завершить их не удалось, поскольку при очередном полете на бомбометание Ту-2 совершил вынужденную посадку и получил повреждения. В тот день с утра стояла нелетная погода, но после обеда она "разгулялась" и в 15 часов 30 минут самолет вылетел на бомбометание с пикирования с высоты 4000 метров (взлетный вес 11 500 кг). На выходе из пикирования началась раскрутка винтов, после чего отказали оба мотора. Через 34 минуты самолет приземлился на Арамильском аэродроме с убранным шасси, получив повреждения.</w:t>
      </w:r>
    </w:p>
    <w:p w14:paraId="44497D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этого в ходе государственных испытаний не довелось провести бомбометание с пикирования и стрельбу из реактивных орудий (пуск PC-132).</w:t>
      </w:r>
    </w:p>
    <w:p w14:paraId="526AD4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Летные оценки, сделанные В.И. Ждановым и летчиком облета М.А. Нюхтиковым.</w:t>
      </w:r>
    </w:p>
    <w:p w14:paraId="6779F9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рулит устойчиво, писал Валериан Иванович, - при любом направлении ветра. Тормоза эффективны. Тенденций к разворотам на взлете нет.</w:t>
      </w:r>
    </w:p>
    <w:p w14:paraId="4D6E2C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наборе высоты на номинальном газе самолет имеет заворачивающий и кренящий момент влево, который легко парируется рулями.</w:t>
      </w:r>
    </w:p>
    <w:p w14:paraId="16A107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Наивыгоднейшая скорость набора высоты до 3000 м 300-310 км/ч по прибору, выше - уменьшается на 5-6 км/ч через каждые 1000 метров.</w:t>
      </w:r>
    </w:p>
    <w:p w14:paraId="3AB119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горизонтальном полете на всем диапазоне скоростей самолет легко балансируется триммерами и устойчиво идет с брошенным управлением.</w:t>
      </w:r>
    </w:p>
    <w:p w14:paraId="372FC5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Виражит самолет устойчиво на скорости 360-420 км/ч. На виражах самолет особо послушен рулям направления; нагрузки на рулях не ощущаются, что затрудняет выполнение координированного виража.</w:t>
      </w:r>
    </w:p>
    <w:p w14:paraId="3EBB34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 на одном моторе с полетным весом 10 500 кг возможен до высоты 3000 метров.</w:t>
      </w:r>
    </w:p>
    <w:p w14:paraId="2ED431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Нагрузки на рулях при полете на одном моторе допустимые и возможно удерживать самолет без снятия нагрузок триммерами...</w:t>
      </w:r>
    </w:p>
    <w:p w14:paraId="1D695B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по технике пилотирования простая. Тенденций к разворотам нет.</w:t>
      </w:r>
    </w:p>
    <w:p w14:paraId="6DF61F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Тормоза на пробеге эффективны, но вследствие малого рабочего хода педалей тормозят резко.</w:t>
      </w:r>
    </w:p>
    <w:p w14:paraId="161C9E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пикирует устойчиво. Обзор при выходе к цели и наводке на цель хороший. После выпуска решеток самолет легко удерживается в горизонтальном полете. Усилия на штурвале при этом небольшие.</w:t>
      </w:r>
    </w:p>
    <w:p w14:paraId="62FA5F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вводе в пикирование наблюдалась раскрутка винтов.</w:t>
      </w:r>
    </w:p>
    <w:p w14:paraId="3A3870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Автомат пикирования АП-3 работал хорошо.</w:t>
      </w:r>
    </w:p>
    <w:p w14:paraId="224425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нормально пикирует без воздушных тормозов.</w:t>
      </w:r>
    </w:p>
    <w:p w14:paraId="2B6EC8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Полеты ночью по технике пилотирования ничем не отличаются от дневных. Освещение кабины неудовлетворительное".</w:t>
      </w:r>
    </w:p>
    <w:p w14:paraId="541303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 Нюхтиков, испытывавший самолет "103" отмечал:</w:t>
      </w:r>
    </w:p>
    <w:p w14:paraId="787F14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"Обзор в стороны с самолета Ту-2, относительно самолета "103" с моторами АМ-37, несколько ухудшился за счет:</w:t>
      </w:r>
    </w:p>
    <w:p w14:paraId="3E32F0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ухудшения качества плексигласа; б/ замены плексигласа на дюралевую полоску на левой перемычке фонаря;</w:t>
      </w:r>
    </w:p>
    <w:p w14:paraId="433D79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больших габаритов моторных гондол; В кабине стало тесно за счет: а/ поднятия педалей; б/ увеличения баранки штурвала; в/ придвинутости сиденья вперед от штурмана и увеличения толщины и размеров бронеспинки...</w:t>
      </w:r>
    </w:p>
    <w:p w14:paraId="2878A9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Управление самолетом стало легче, чем на самолете "103У".</w:t>
      </w:r>
    </w:p>
    <w:p w14:paraId="380FCA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Динамически самолет устойчив по всем трем осям. В сравнении с поперечной устойчивостью путевая устойчивость недостаточная, что с наличием небольшой перекомпенсации рулей поворота создает неприятную дисгармонию в нагрузках на ноги и элероны. Последнее особенно сказывается на виражах. Координированный вираж выполнить не удалось".</w:t>
      </w:r>
    </w:p>
    <w:p w14:paraId="50E4AB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Обзор с рабочего места штурмана для обшей ориентировки был хороший, но для детальной ориентировки оставлял желать лучшего. В целом же, обзор на Ту-2 с места штурмана был хуже, чем на Пе-2, Ил-4, Ju.88 и американском В-25.</w:t>
      </w:r>
    </w:p>
    <w:p w14:paraId="6F9496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второй границе высотности нагнетателя (6160 м) моторы работали "грубо" и недодавали мощности. В итоге максимальная скорость (на номинальном режиме) не превышала 514 км/ч. Винты АВ-5-167А при пикировании из-за падения давления масла до нуля (при вводе в пикирование, на отрицательных перегрузках) давали раскрутку в течение 8-10 секунд.</w:t>
      </w:r>
    </w:p>
    <w:p w14:paraId="325FC6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Блистерная установка штурмана не обеспечивала безотказной работы пулемета УБТ. Прицельная стрельба ночью из пулеметов была невозможна, поскольку пламя при стрельбе слепило стрелков.</w:t>
      </w:r>
    </w:p>
    <w:p w14:paraId="1F4981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Ту-2 на первой границе высотности была меньше, чем у опытного "103-В" на 7 км/ч, что было связано с установкой крупнокалиберного оружия и худшим производственным выполнением машины.</w:t>
      </w:r>
    </w:p>
    <w:p w14:paraId="61E9A4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итоге НИИ ВВС констатировал, что Ту-2 в предъявленном виде не соответствовал условиям договора ГУ ВВС КА с НКАП о поставке самолетов Ту-2 на 1942 год, поскольку его максимальная скорость была меньше на 66 км/ч на высоте 6600 метров, а потолок ниже на 800 метров. Тогда же рекомендовалось продолжить работы по доводке машины, выделив главному конструктору необходимое количество самолетов (12035).</w:t>
      </w:r>
    </w:p>
    <w:p w14:paraId="5B69B91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1EEBE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13 сентября по 28 октября 1942 летчики Жданов, Васякин и Нюхтиков совершили на аэродроме Кольцово под Свердловском (ныне Екатеринбург), куда был эвакуирован НИИ, 44 полета на Ту-2№ 100308, который представили на контрольные испытания в НИИ ВВС. Последний из них закончился аварией, при вынужденной посадке бомбардировщик получил повреждения.</w:t>
      </w:r>
    </w:p>
    <w:p w14:paraId="3F0023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большую часть программы успели выполнить. Заключение по результатам испытаний начиналось вполне благополучно: "Серийный самолет... по своим ЛТД стоит на уровне современных 2-х моторных бомбардировщиков и имеет возможности для дальнейшего модифицирования". Но далее прямо говорилось, что машина не удовлетворяет условиям договора с ВВС по максимальной скорости (она была меньше оговоренной на 66 км/ч) и практическому потолку (ниже на 800 м). Отдельный раздел был посвящен дефектам винтомоторной группы. Выше 6000 м постоянно наблюдались тряска и выбросы масла из суфлеров. Перераскрутка винтов делала бомбометание с пикирования крайне опасным. Путевую устойчивость самолета оценили как недостаточную. Летчики ругали неудобную конструкцию узкого фонаря. Радисты жаловались, что при повороте кресла от пулемета к радиостанции задевают за кабели. Был выявлен целый ряд дефектов гидросистемы, приборного оборудования, вооружения. Использование бомбового прицела ПС-1 на практике оказалось невозможным.</w:t>
      </w:r>
    </w:p>
    <w:p w14:paraId="036630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целом из документа следовало, что военные продолжали считать Ту-2 необходимым ВВС РККА, но оценивали его как конструктивно "сырой", пока еще непригодный для использования на фронте. К такому же выводу можно было прийти, отслеживая результаты освоения первых серийных бомбардировщиков строевыми летчиками. Еще в июне 1942 г. завод получил приказ укомплектовать новыми бомбардировщиками два полка. Но темпы сдачи серийных Ту-2 существенно отставали от плана, а уже выпущенные машины постоянно дорабатывались заводскими бригадами, устранявшими выявленные дефекты. В результате на фронт никак не могли отправить хотя бы эскадрилью Ту-2.</w:t>
      </w:r>
    </w:p>
    <w:p w14:paraId="02559D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одной стороны, завод заработал, новые бомбардировщики начали строить. С другой - пользы военным от них пока не было никакой (11988).</w:t>
      </w:r>
    </w:p>
    <w:p w14:paraId="298555C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B39BF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13 сентября 1942 в 15-й, 27-й, 240-й, 297-й и 437-й истребительные авиаполки 8-й ВА на Сталинградском фронте также закончились войсковые испытания Ла-5, которые проходили с 20 августа. Руководил испытаниями в 287-й иад инженер-полковник Фролов, находившийся на аэродроме Верхняя Ахтуба. В состав бригады НИИ ВВС входили также инженеры-капита- ны В.И. Алексеенко, Зюскевич, Бабанин и Хвостовский, старшие техники- лейтенанты Ефанов (по вооружению) и Самозванцев (по спецоборудованию).</w:t>
      </w:r>
    </w:p>
    <w:p w14:paraId="717AC8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Войсковые испытания проходили Ла-5 второй и третьей серий завода № 21 с моторами М-82 второй серии завода № 19 и винтами В И III-105 диаметром 3,1 м. На самолетах были установлены две пушки 111 ВАК с боезапасом по 170 патронов на ствол, двумя замками ДЗ-40 под крылом для подвески бомб калибра до 100 кг.</w:t>
      </w:r>
    </w:p>
    <w:p w14:paraId="0E7C1D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20 августа по 13 сентября 1942 года летчики 287-й иад выполнили 226 самолето-вылетов на разведку войск противника. Разведка производилась парами с бреющего полета, 571 самолето-вылет на прикрытие войск и перехват самолетов противника.</w:t>
      </w:r>
    </w:p>
    <w:p w14:paraId="4A8737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воздушных боев сбили 51 бомбардировщик противника и 36 истребителей Bf 109, включая 17 Bf 109F.</w:t>
      </w:r>
    </w:p>
    <w:p w14:paraId="4060F6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Сталинградском фронте самолеты Ла-5 вели воздушные бои с немецкими истребителями Bf 109F-4 и Bf 109G-2, а также с бомбардировщиками Ju 88, Ju 87, Bf 110 и Не 111.В воздушных боях с Bf I09F-4 и Bf 109G-2 самолет Ла-5 значительно уступал как по вертикальной маневренности, так и по горизонтальной скорости. В результате Ла-5 не мог вести с немецкими истребителями активный воздушный бой и вынужден был обороняться. В воздушном бою с Ju 88, Bf 110 и Не 111 самолет Ла-5 отвечал всем требованиям современного истребителя по скорости, маневру и мощности огня.</w:t>
      </w:r>
    </w:p>
    <w:p w14:paraId="62CF77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Ла-5 использовали также для разведки войск противника, причем на высотах от 100 м до бреющего полета это было затруднительно вследствие недостаточного обзора вперед-вниз из-за широкого капота мотора.</w:t>
      </w:r>
    </w:p>
    <w:p w14:paraId="4C37B4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Камуфляж Ла-5, как и остальных отечественных истребителей, подобран неудовлетворительно и в сравнении с истребителями противника своей окраской в воздухе резко выделяется на фоне чистого неба и облаков, что облегчало неприятелю обнаружение наших самолетов. С воздуха, на стоянке, окраска наших самолетов резко выделялась на фоне земли.</w:t>
      </w:r>
    </w:p>
    <w:p w14:paraId="1024EA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управления самолетом, то на элеронах на средних скоростях нагрузки были нормальные, но на скоростях выше 450 км/ч по прибору нагрузки значительно возрастали. На руле глубины при пользовании триммером на скорости 300-320 км/ч нагрузки снимались полностью.</w:t>
      </w:r>
    </w:p>
    <w:p w14:paraId="734120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пикировании на скорости около 500 км/ч по прибору большие нагрузки затрудняли вывод самолета из пикирования и приходилось пользоваться триммером.</w:t>
      </w:r>
    </w:p>
    <w:p w14:paraId="24765F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Управление рулем поворота на больших скоростях было тяжелое. Вообще управление самолета требовало от летчика хорошей координации движений рулями.</w:t>
      </w:r>
    </w:p>
    <w:p w14:paraId="6C31B2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правом вираже самолет стремился опустить нос и приходилось поддерживать его левой ногой. Ручка управления самолета удобна, но управление тормозами расположено неудачно. Нагрузки при торможении большие. Вследствие чего летчик натирал на ладоне и среднем пальце правой руки мозоли.</w:t>
      </w:r>
    </w:p>
    <w:p w14:paraId="49A75E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Сектор был недоработан.</w:t>
      </w:r>
    </w:p>
    <w:p w14:paraId="34EB4B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Ход сектора нормального газа проходил с рывками, а при слабой затяжке гайки стремился занять среднее положение. Малый газ на планировании приходилось держать с силой, иначе он уходил в среднее положение.</w:t>
      </w:r>
    </w:p>
    <w:p w14:paraId="41BE9C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Кнопки управления шасси и крыльевыми щитками нуждались в лучшей герметизации и повышении плавного хода.</w:t>
      </w:r>
    </w:p>
    <w:p w14:paraId="487EBF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Обзор из кабины, при закрытом фонаре, вперед считался удовлетворительным, а в стороны - хорошим. Но что творилось сзади - летчик не видел. Фонарь кабины невозможно было открыть на больших скоростях, а на планировании он закрывался сам.</w:t>
      </w:r>
    </w:p>
    <w:p w14:paraId="41963A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Высокое расположение прицела (голова летчика упиралась в фонарь) мешало прицеливанию при закрытом фонаре. Поэтому полеты на Jla-5 в боевых условиях производились только с открытым фонарем. В кабине было душно и жарко, а вентиляция не позволяла лететь без очков (12032).</w:t>
      </w:r>
    </w:p>
    <w:p w14:paraId="3B3F97B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1AD12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сентября 1942 вышло постановление ГКО N 2302 об организации серийного производства 2 моторных легких самолетов Як-6 конструкции А.С.Я. (1591,48).</w:t>
      </w:r>
    </w:p>
    <w:p w14:paraId="37AC1829" w14:textId="77777777" w:rsidR="00090C9B" w:rsidRPr="00722885" w:rsidRDefault="00090C9B" w:rsidP="00722885">
      <w:pPr>
        <w:pStyle w:val="Iauiue"/>
        <w:jc w:val="both"/>
        <w:rPr>
          <w:color w:val="000000" w:themeColor="text1"/>
          <w:sz w:val="16"/>
          <w:szCs w:val="16"/>
        </w:rPr>
      </w:pPr>
    </w:p>
    <w:p w14:paraId="6027BE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сентября 1942 вышло Постановление ГКО № 2302 Об организации производства двухмоторных легких самолетов с моторами М-11 конструкции т. Яковлева. РГАНИР, Фонд ГКО, д. 56, лл. 74-77 (11012).</w:t>
      </w:r>
    </w:p>
    <w:p w14:paraId="6FBC6EE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AF7997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7C651E6" w14:textId="77777777" w:rsidR="00090C9B" w:rsidRPr="00722885" w:rsidRDefault="00090C9B" w:rsidP="00722885">
      <w:pPr>
        <w:pStyle w:val="Iauiue"/>
        <w:jc w:val="both"/>
        <w:rPr>
          <w:iCs/>
          <w:color w:val="000000" w:themeColor="text1"/>
          <w:sz w:val="16"/>
          <w:szCs w:val="16"/>
        </w:rPr>
      </w:pPr>
    </w:p>
    <w:p w14:paraId="0E40DA32" w14:textId="77777777" w:rsidR="00ED4C82" w:rsidRPr="00722885" w:rsidRDefault="00ED4C8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13 сентября 1942 на заводе № 100 были готовы его корпус и башня КВ-13, в тот же день на заводе произвели разметку под монтаж узлов и агрегатов. При взвешивании выяснилось, что масса корпуса и башни оказались меньше расчетных – 12 900 и 3 600 килограмм соответственно (17637).</w:t>
      </w:r>
    </w:p>
    <w:p w14:paraId="68FF6A88" w14:textId="77777777" w:rsidR="00ED4C82" w:rsidRPr="00722885" w:rsidRDefault="00ED4C82" w:rsidP="00722885">
      <w:pPr>
        <w:spacing w:after="0" w:line="240" w:lineRule="auto"/>
        <w:jc w:val="both"/>
        <w:rPr>
          <w:rFonts w:ascii="Times New Roman" w:eastAsia="Times New Roman" w:hAnsi="Times New Roman"/>
          <w:color w:val="000000" w:themeColor="text1"/>
          <w:sz w:val="16"/>
          <w:szCs w:val="16"/>
          <w:lang w:eastAsia="ru-RU"/>
        </w:rPr>
      </w:pPr>
    </w:p>
    <w:p w14:paraId="29A6D05B" w14:textId="77777777" w:rsidR="00ED4C82" w:rsidRPr="00722885" w:rsidRDefault="00ED4C8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13 сентября 1942 началась сборка КВ-13. Как это часто бывает с опытными изделиями, в некоторых случаях происходили нестыковки. Кронштейны рычагов управления пришлось приваривать на эвакуационном люке, а для кронштейна тяг главного фрикциона на днище корпуса не нашлось места. Бортовые редукторы не входили в посадочные отверстия корпуса, кроме того, возникли проблемы с установкой топливных баков. Похожие проблемы преследовали заводчан практически все время сборки. В общей сложности на получение оставшихся агрегатов и досборку машины понадобилось чуть менее двух недель (17537).</w:t>
      </w:r>
    </w:p>
    <w:p w14:paraId="7F93EA94" w14:textId="77777777" w:rsidR="00ED4C82" w:rsidRPr="00722885" w:rsidRDefault="00ED4C82" w:rsidP="00722885">
      <w:pPr>
        <w:spacing w:after="0" w:line="240" w:lineRule="auto"/>
        <w:jc w:val="both"/>
        <w:rPr>
          <w:rFonts w:ascii="Times New Roman" w:eastAsia="Times New Roman" w:hAnsi="Times New Roman"/>
          <w:color w:val="000000" w:themeColor="text1"/>
          <w:sz w:val="16"/>
          <w:szCs w:val="16"/>
          <w:lang w:eastAsia="ru-RU"/>
        </w:rPr>
      </w:pPr>
    </w:p>
    <w:p w14:paraId="689B20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сентября 1942 вышло Постановление ГКО № 2292 Об оставлении строительства Лобвинского гидролизного завода. в ведение Главлесоспирта при Совнаркоме СССР. РГАНИР, Фонд ГКО, д. 56, лл. 23-24 (11012).</w:t>
      </w:r>
    </w:p>
    <w:p w14:paraId="2239098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12FAF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сентября 1942 вышло Постановление ГКО № 2293 Об увеличении производства ручных противотанковых гранат РПГ-40 в восточных областях Союза ССР в сентябре и октябре 1942 г. РГАНИР, Фонд ГКО, д. 56, лл. 25-26, 27-30 (11012).</w:t>
      </w:r>
    </w:p>
    <w:p w14:paraId="1D62117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6451A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сентября 1942 вышло Постановление ГКО № 2295 Об упорядочении снабжения спецукупоркой промышленности боеприпасов. РГАНИР, Фонд ГКО, д. 56, лл. 33-43, 44-49 (11012).</w:t>
      </w:r>
    </w:p>
    <w:p w14:paraId="34216F7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1BE13A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13 сентября 1942 вышло Постановление ГКО № 2297 О поставке рельсов НКПС в сентябре и октябре 1942 года. (7054, 59).</w:t>
      </w:r>
    </w:p>
    <w:p w14:paraId="7405BFD1" w14:textId="77777777" w:rsidR="00090C9B" w:rsidRPr="00722885" w:rsidRDefault="00090C9B" w:rsidP="00722885">
      <w:pPr>
        <w:pStyle w:val="Iauiue"/>
        <w:tabs>
          <w:tab w:val="left" w:pos="11199"/>
        </w:tabs>
        <w:jc w:val="both"/>
        <w:rPr>
          <w:color w:val="000000" w:themeColor="text1"/>
          <w:sz w:val="16"/>
          <w:szCs w:val="16"/>
        </w:rPr>
      </w:pPr>
    </w:p>
    <w:p w14:paraId="1B9CAB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сентября 1942 вышло Постановление ГКО № 2298 О демонтаже грозненских нефтеперерабатывающих заводов. РГАНИР, Фонд ГКО, д. 56, лл. 60-61 (11012).</w:t>
      </w:r>
    </w:p>
    <w:p w14:paraId="64650CA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3A4494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13 сентября 1942 вышло Постановление ГКО № 2299 О мобилизации для Красной Армии 300 легковых автомашин М-1. (7054, 62).</w:t>
      </w:r>
    </w:p>
    <w:p w14:paraId="209BE902" w14:textId="77777777" w:rsidR="00090C9B" w:rsidRPr="00722885" w:rsidRDefault="00090C9B" w:rsidP="00722885">
      <w:pPr>
        <w:pStyle w:val="Iauiue"/>
        <w:tabs>
          <w:tab w:val="left" w:pos="11199"/>
        </w:tabs>
        <w:jc w:val="both"/>
        <w:rPr>
          <w:color w:val="000000" w:themeColor="text1"/>
          <w:sz w:val="16"/>
          <w:szCs w:val="16"/>
        </w:rPr>
      </w:pPr>
    </w:p>
    <w:p w14:paraId="1846BEC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13 сентября 1942 вышло Постановление ГКО № 2300 О поставке из народного хозяйства для Красной Армии 5000 грузовых автомашин. (7054, 63).</w:t>
      </w:r>
    </w:p>
    <w:p w14:paraId="6D10C176" w14:textId="77777777" w:rsidR="00090C9B" w:rsidRPr="00722885" w:rsidRDefault="00090C9B" w:rsidP="00722885">
      <w:pPr>
        <w:pStyle w:val="Iauiue"/>
        <w:tabs>
          <w:tab w:val="left" w:pos="11199"/>
        </w:tabs>
        <w:jc w:val="both"/>
        <w:rPr>
          <w:color w:val="000000" w:themeColor="text1"/>
          <w:sz w:val="16"/>
          <w:szCs w:val="16"/>
        </w:rPr>
      </w:pPr>
    </w:p>
    <w:p w14:paraId="36DAB3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сентября 1942 г. Постановление ГКО № 2301 «О строительстве специального убежища “объект” № 31» (Д. 93. Л. 57–65).</w:t>
      </w:r>
    </w:p>
    <w:p w14:paraId="7F21EAE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33DBAB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13 сентября 1942 вышло Постановление ГКО № 2304 О неотложных мерах по увеличению добычи угля в Карагандинском угольном бассейне. (7054, 79-93,94-103).</w:t>
      </w:r>
    </w:p>
    <w:p w14:paraId="0231092D" w14:textId="77777777" w:rsidR="00090C9B" w:rsidRPr="00722885" w:rsidRDefault="00090C9B" w:rsidP="00722885">
      <w:pPr>
        <w:pStyle w:val="Iauiue"/>
        <w:tabs>
          <w:tab w:val="left" w:pos="11199"/>
        </w:tabs>
        <w:jc w:val="both"/>
        <w:rPr>
          <w:color w:val="000000" w:themeColor="text1"/>
          <w:sz w:val="16"/>
          <w:szCs w:val="16"/>
        </w:rPr>
      </w:pPr>
    </w:p>
    <w:p w14:paraId="2E39BF2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13 сентября 1942 вышло Постановление ГКО № 2305 О неотложных мерах по увеличению добычи угля в Кизеловском угольном бассейне. (7054, 104-119,120-129).</w:t>
      </w:r>
    </w:p>
    <w:p w14:paraId="78669FF8" w14:textId="77777777" w:rsidR="00090C9B" w:rsidRPr="00722885" w:rsidRDefault="00090C9B" w:rsidP="00722885">
      <w:pPr>
        <w:pStyle w:val="Iauiue"/>
        <w:tabs>
          <w:tab w:val="left" w:pos="11199"/>
        </w:tabs>
        <w:jc w:val="both"/>
        <w:rPr>
          <w:color w:val="000000" w:themeColor="text1"/>
          <w:sz w:val="16"/>
          <w:szCs w:val="16"/>
        </w:rPr>
      </w:pPr>
    </w:p>
    <w:p w14:paraId="1413E06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13 сентября 1942 вышло Постановление ГКО № 2306 Об организации социалистического соревнования производственных предприятий Наркомфина. (7054, 130).</w:t>
      </w:r>
    </w:p>
    <w:p w14:paraId="5994E499" w14:textId="77777777" w:rsidR="00090C9B" w:rsidRPr="00722885" w:rsidRDefault="00090C9B" w:rsidP="00722885">
      <w:pPr>
        <w:pStyle w:val="Iauiue"/>
        <w:tabs>
          <w:tab w:val="left" w:pos="11199"/>
        </w:tabs>
        <w:jc w:val="both"/>
        <w:rPr>
          <w:color w:val="000000" w:themeColor="text1"/>
          <w:sz w:val="16"/>
          <w:szCs w:val="16"/>
        </w:rPr>
      </w:pPr>
    </w:p>
    <w:p w14:paraId="4012B43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13 сентября 1942 вышло Постановление ГКО № 2307 Об организации Всесоюзного социалистического соревнования предприятий медицинской промышленности Народного комиссариата здравоохранения Союза ССР. (7054, 131,132-133).</w:t>
      </w:r>
    </w:p>
    <w:p w14:paraId="2898C51A" w14:textId="77777777" w:rsidR="00090C9B" w:rsidRPr="00722885" w:rsidRDefault="00090C9B" w:rsidP="00722885">
      <w:pPr>
        <w:pStyle w:val="Iauiue"/>
        <w:tabs>
          <w:tab w:val="left" w:pos="11199"/>
        </w:tabs>
        <w:jc w:val="both"/>
        <w:rPr>
          <w:color w:val="000000" w:themeColor="text1"/>
          <w:sz w:val="16"/>
          <w:szCs w:val="16"/>
        </w:rPr>
      </w:pPr>
    </w:p>
    <w:p w14:paraId="07CE3A7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DA657D4" w14:textId="77777777" w:rsidR="00090C9B" w:rsidRPr="00722885" w:rsidRDefault="00090C9B" w:rsidP="00722885">
      <w:pPr>
        <w:pStyle w:val="Iauiue"/>
        <w:jc w:val="both"/>
        <w:rPr>
          <w:iCs/>
          <w:color w:val="000000" w:themeColor="text1"/>
          <w:sz w:val="16"/>
          <w:szCs w:val="16"/>
        </w:rPr>
      </w:pPr>
    </w:p>
    <w:p w14:paraId="41841D02"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13 сентября </w:t>
      </w:r>
      <w:r w:rsidRPr="00722885">
        <w:rPr>
          <w:rFonts w:ascii="Times New Roman" w:hAnsi="Times New Roman"/>
          <w:color w:val="000000" w:themeColor="text1"/>
          <w:sz w:val="16"/>
          <w:szCs w:val="16"/>
        </w:rPr>
        <w:t>в 1942 году утреннее сообщение Совинформбюро:</w:t>
      </w:r>
    </w:p>
    <w:p w14:paraId="0459AA06"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13 сентября наши войска вели бои с противником западнее и юго-западнее Сталинграда, в районе Моздок, а также на Волховском участке фронта в районе Синявино. На других фронтах существенных изменений не произошло.</w:t>
      </w:r>
    </w:p>
    <w:p w14:paraId="7EDC68EA"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Н-ская часть Красной Армии отбила четыре ожесточённые атаки противника и уничтожила 5 немецких танков и до 400 гитлеровцев. В бою заодин населённый пункт наши бойцы сожгли и подбили 7 немецких танков. Гитлеровцы три раза врывались в населённый пункт, но каждый раз советские подразделения штыковым ударом отбрасывали их назад. Только после того, как противник подтянул новые силы, наша часть отошла на другой рубеж обороны.</w:t>
      </w:r>
    </w:p>
    <w:p w14:paraId="68B1D6CF"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Юго-западнее Сталинграда наши войска вели напряжённые оборонительные бои. На одном из участков танкам и пехоте противника удалось проникнуть в расположение советских войск. Наши части контрударами отбросили гитлеровцев на исходные позиции. В этом бою наши бойцы уничтожили 4 немецких танка и более роты солдат противника.</w:t>
      </w:r>
    </w:p>
    <w:p w14:paraId="098AC282"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отбили контратаку противника и уничтожили 8 немецких танков. Наши бойцы захватили 5 автомашин и 7 подвод с боеприпасами, 2 орудия, 5 пулемётов и другие трофеи. Уничтожено более 150 гитлеровцев.</w:t>
      </w:r>
    </w:p>
    <w:p w14:paraId="2B5499A5"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наши войска вели ожесточённые бои за овладение важным населённым пунктом. В первой половине дня наши части выбили немцев из укреплённого пункта. Немцы предприняли несколько контратак. Все контратаки гитлеровцев были отбиты. Уничтожено 18 танков и свыше 1.000 солдат и офицеров противника. Взяты пленные.</w:t>
      </w:r>
    </w:p>
    <w:p w14:paraId="67970D0E"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Немецкому солдату Гетцу пишет его товарищ Пильц из Рейнфельдена: «В армию берут всех без разбора. Оскар Граб, у которого, как тебе известно, не менее трёх грыж, — тоже солдат... Положение... просто катастрофическое. Работы становится больше, а людей всё меньше — всех угнали на фронт. С продовольствием дело дошло до критической точки. Иногда дают картофель, но такое мизерное количество, что не знаешь, что с ним делать».</w:t>
      </w:r>
    </w:p>
    <w:p w14:paraId="28DCC22E"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6 роты 2 батальона 81 полка 52 итальянской пехотной дивизии Чезаре Монтельоне рассказал: «Я был очевидцем зверского обращения немецких офицеров с пленными русскими. Это происходило в Лозовой. Всех раненых, кто не мог идти сам, немцы пристреливали, а тех, кто отставал, избивали прикладами. Население украинского города Орджоникидзе не имеет хлеба, голодает, жители ходят оборванные. На улицах можно часто видеть трупы людей, умерших от голода».</w:t>
      </w:r>
    </w:p>
    <w:p w14:paraId="38122E5C"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Югославии ведут самоотверженную борьбу с немецко-фашистскими захватчиками. На днях отряд патриотов уничтожил бронепоезд оккупантов. В другом районе партизанская молодёжь подожгла 300 бочек бензина. Итальянские оккупанты в целом ряде районов начали убивать мирное население и сжигать деревни. Эти зверства фашистов вызвали новый рост партизанского движения в Югославии.» (14768).</w:t>
      </w:r>
    </w:p>
    <w:p w14:paraId="2C895C7C" w14:textId="77777777" w:rsidR="00B37FE8" w:rsidRPr="00722885" w:rsidRDefault="00B37FE8" w:rsidP="00722885">
      <w:pPr>
        <w:spacing w:after="0" w:line="240" w:lineRule="auto"/>
        <w:jc w:val="both"/>
        <w:rPr>
          <w:rFonts w:ascii="Times New Roman" w:hAnsi="Times New Roman"/>
          <w:color w:val="000000" w:themeColor="text1"/>
          <w:sz w:val="16"/>
          <w:szCs w:val="16"/>
        </w:rPr>
      </w:pPr>
    </w:p>
    <w:p w14:paraId="2CADCB74"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13 сентября </w:t>
      </w:r>
      <w:r w:rsidRPr="00722885">
        <w:rPr>
          <w:rFonts w:ascii="Times New Roman" w:hAnsi="Times New Roman"/>
          <w:color w:val="000000" w:themeColor="text1"/>
          <w:sz w:val="16"/>
          <w:szCs w:val="16"/>
        </w:rPr>
        <w:t>в 1942 году вечернее сообщение Совинформбюро:</w:t>
      </w:r>
    </w:p>
    <w:p w14:paraId="2262E2C8"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13 сентября наши войска вели бои с противником западнее и юго-западнее Сталинграда, в районе Моздок, а также на Волховском участке фронта в районе Синявино. На других фронтах существенных изменений не произошло.</w:t>
      </w:r>
    </w:p>
    <w:p w14:paraId="46A2CAA1"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6 по 12 сентября включительно, в воздушных боях, на аэродромах и огнём зенитной артиллерии уничтожено 415 самолётов противника. Наши потери за это же время — 281 самолёт.</w:t>
      </w:r>
    </w:p>
    <w:p w14:paraId="6E445043"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 немецкий транспорт водоизмещением в 10 тысяч тонн.</w:t>
      </w:r>
    </w:p>
    <w:p w14:paraId="4DC80902"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12 сентября частями нашей авиации на различных участках фронта уничтожено или повреждено до 15 немецких танков и бронемашин, до 80 автомашин с войсками и грузами, 30 повозок с боеприпасами, 8 автоцистерн с горючим, подавлен огонь 6 батарей полевой и зенитной артиллерии, рассеяно и частью уничтожено до батальона пехоты противника.</w:t>
      </w:r>
    </w:p>
    <w:p w14:paraId="0E0E7682"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продолжались ожесточённые бои. Немцы предприняли ряд атак. Все атаки противника отбиты. Только на участке Н-ского подразделения уничтожено 6 немецких танков и свыше 200 гитлеровцев. На другом участке огнём артиллерии и бронебойщиков уничтожено 2 немецких танка, 9 автомашин с пехотой и разгромлен батальон румынской пехоты.</w:t>
      </w:r>
    </w:p>
    <w:p w14:paraId="5BE51877"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продолжали вести напряжённые оборонительные бои. Противник, подтянув резервы, при поддержке крупных сил авиации непрерывно атакует наши позиции. На одном участке ему удалось после ожесточённого сражения продвинуться вперёд и занять населённый пункт. В ходе этого боя наши войска истребили до полка вражеской пехоты, подбили и сожгли до 40 немецких танков и уничтожили 24 автомашины с автоматчиками. На другом участке наши артиллеристы, бронебойщики и пехотинцы отбили атаку 60 немецких танков и нанесли противнику большие потери.</w:t>
      </w:r>
    </w:p>
    <w:p w14:paraId="7EE872C1"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в ожесточённых боях с противником уничтожили 12 немецких танков и до батальона гитлеровцев.</w:t>
      </w:r>
    </w:p>
    <w:p w14:paraId="36875B09"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 западном берегу Дона, противник перешёл в наступление силами до пехотной дивизии и 100 танков. В безуспешных атаках наших позиций гитлеровцы потеряли убитыми и ранеными до 2.000 солдат и офицеров. Кроме того, нашими бойцами уничтожено 9 танков, три орудийных и 6 миномётных батарей. Сбито 4 немецких самолёта. На другом участке наша часть, форсировав водный рубеж, преодолела два минных поля и ведёт бой на окраинах одного населённого пункта. Противник пытался подбросить на этот участок резервы на машинах. Огнём нашей артиллерии уничтожено до 60 автомашин вместе с немецкой пехотой.</w:t>
      </w:r>
    </w:p>
    <w:p w14:paraId="01BC4B1B"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несколько наших разведывательных отрядов проникли в расположение неприятеля и нанесли ему серьёзный урон. Немцы потеряли только убитыми до 250 солдат и офицеров. Уничтожено 2 орудия, 2 миномёта и разрушен 21 ДЗОТ. Захвачены трофеи и пленные.</w:t>
      </w:r>
    </w:p>
    <w:p w14:paraId="2F99EE53"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Солдат 2 роты 10 батальона 2 румынской горнострелковой дивизии Георге Кокош рассказал: «Наша дивизия с марша была брошена в бой и в первые же дни потеряла 1.320 человек убитыми. Вскоре нам было приказано форсировать реку и выбить русских с противоположного берега. Как только мы вошли в воду, русские открыли сильный огонь. Много солдат было убито и ранено. Оставшиеся в живых разбежались. В румынской армии широко применяются телесные наказания. Меня несколько раз били кнутами. С каждым днём растёт количество дезертиров. В один день из третьей роты сбежали шесть солдат и три солдата дезертировали из первой роты».</w:t>
      </w:r>
    </w:p>
    <w:p w14:paraId="3F58C3BE"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Среди трофейных документов найден секретный приказ верховного командованиянемецкой армии под названием «Проверка багажа военнослужащих». В нём говорится: «В связи с тем, что в последнее время неоднократно совершались акты саботажа путём закладывания в чемоданы взрывчатых снарядов замедленного действия, имперское министерство путей сообщения распорядилось проводить проверку багажа пассажиров с целью обнаружения орудий саботажа». Не подлежит осмотру лишь багаж «военнослужащих, имеющих специальные удостоверения отдела разведки иностранного управления верховного командования вооружённых сил».</w:t>
      </w:r>
    </w:p>
    <w:p w14:paraId="4B5A157B"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Приведённый выше документ свидетельствует о том, что акты диверсий и саботажа в Германии приняли широкие размеры.</w:t>
      </w:r>
    </w:p>
    <w:p w14:paraId="59F6F822"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ныне освобождённой от немцев деревни Брюхачёво, Калининской области, рассказали о зверствах немецко-фашистских мерзавцев. Гитлеровцы ограбили всех крестьян. Они каждый день ходили по домам и отбирали всё, что только находили. Отступая из деревни под ударами советских войск, немцы расстреляли колхозников Богданова Н., Седова Е. и многих других.» (14768).</w:t>
      </w:r>
    </w:p>
    <w:p w14:paraId="729A1221" w14:textId="77777777" w:rsidR="00B37FE8" w:rsidRPr="00722885" w:rsidRDefault="00B37FE8" w:rsidP="00722885">
      <w:pPr>
        <w:spacing w:after="0" w:line="240" w:lineRule="auto"/>
        <w:jc w:val="both"/>
        <w:rPr>
          <w:rFonts w:ascii="Times New Roman" w:hAnsi="Times New Roman"/>
          <w:color w:val="000000" w:themeColor="text1"/>
          <w:sz w:val="16"/>
          <w:szCs w:val="16"/>
        </w:rPr>
      </w:pPr>
    </w:p>
    <w:p w14:paraId="1BB67DC4" w14:textId="77777777" w:rsidR="00BB2084" w:rsidRPr="00722885" w:rsidRDefault="00BB208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13 сентября 1942 командир эскадрильи 23-й шап капитан Платонов, командиры звеньев капитан Панин и старший лейтенант Кудрявцев начали боевую деятельность 23-го шап нп Р-10 в районе Моздока (19085).</w:t>
      </w:r>
    </w:p>
    <w:p w14:paraId="430392C2" w14:textId="77777777" w:rsidR="00BB2084" w:rsidRPr="00722885" w:rsidRDefault="00BB208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7B21EC0C"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13 сентября </w:t>
      </w:r>
      <w:r w:rsidRPr="00722885">
        <w:rPr>
          <w:rFonts w:ascii="Times New Roman" w:hAnsi="Times New Roman"/>
          <w:color w:val="000000" w:themeColor="text1"/>
          <w:sz w:val="16"/>
          <w:szCs w:val="16"/>
        </w:rPr>
        <w:t>в 1942 году начинается Сталинградская битва (по 18 ноября). В приказе Ставки содержится требование собрать авиацию двух фронтов, мобилизовать все броепоезда, использовать дымы, чтобы запугать противника. Немецкие армии увязают в уличных боях (14768).</w:t>
      </w:r>
    </w:p>
    <w:p w14:paraId="5F6984D0" w14:textId="77777777" w:rsidR="00B37FE8" w:rsidRPr="00722885" w:rsidRDefault="00B37FE8" w:rsidP="00722885">
      <w:pPr>
        <w:spacing w:after="0" w:line="240" w:lineRule="auto"/>
        <w:jc w:val="both"/>
        <w:rPr>
          <w:rFonts w:ascii="Times New Roman" w:hAnsi="Times New Roman"/>
          <w:color w:val="000000" w:themeColor="text1"/>
          <w:sz w:val="16"/>
          <w:szCs w:val="16"/>
        </w:rPr>
      </w:pPr>
    </w:p>
    <w:p w14:paraId="6E1914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13 сентября 1942 в 8-й ВА имелось 114 боеготовых "Илов", 150 истребителей (Як-1. Як-7, Ла-5) и 32 бомбардировщика Пе-2. В составе 16-й воздушной армии к 18 сентября действовало 84 исправных Ил-2, 118 истребителей (Як-1, ЛаГГ-3) и 21 Пе-2. Боевые действия "горбатых" на ули</w:t>
      </w:r>
      <w:r w:rsidRPr="00722885">
        <w:rPr>
          <w:color w:val="000000" w:themeColor="text1"/>
          <w:sz w:val="16"/>
          <w:szCs w:val="16"/>
        </w:rPr>
        <w:softHyphen/>
        <w:t>цах Сталинграда отличались повышен</w:t>
      </w:r>
      <w:r w:rsidRPr="00722885">
        <w:rPr>
          <w:color w:val="000000" w:themeColor="text1"/>
          <w:sz w:val="16"/>
          <w:szCs w:val="16"/>
        </w:rPr>
        <w:softHyphen/>
        <w:t>ной сложностью. В каждом вылете пи</w:t>
      </w:r>
      <w:r w:rsidRPr="00722885">
        <w:rPr>
          <w:color w:val="000000" w:themeColor="text1"/>
          <w:sz w:val="16"/>
          <w:szCs w:val="16"/>
        </w:rPr>
        <w:softHyphen/>
        <w:t>лоты "Илов" должны были в лабиринте разрушенных городских кварталов нахо</w:t>
      </w:r>
      <w:r w:rsidRPr="00722885">
        <w:rPr>
          <w:color w:val="000000" w:themeColor="text1"/>
          <w:sz w:val="16"/>
          <w:szCs w:val="16"/>
        </w:rPr>
        <w:softHyphen/>
        <w:t>дить нужные улицы, отыскивать дома с огневыми точками противника и надеж</w:t>
      </w:r>
      <w:r w:rsidRPr="00722885">
        <w:rPr>
          <w:color w:val="000000" w:themeColor="text1"/>
          <w:sz w:val="16"/>
          <w:szCs w:val="16"/>
        </w:rPr>
        <w:softHyphen/>
        <w:t>но их подавлять.</w:t>
      </w:r>
    </w:p>
    <w:p w14:paraId="533547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Бомбардирование целей в черте го</w:t>
      </w:r>
      <w:r w:rsidRPr="00722885">
        <w:rPr>
          <w:color w:val="000000" w:themeColor="text1"/>
          <w:sz w:val="16"/>
          <w:szCs w:val="16"/>
        </w:rPr>
        <w:softHyphen/>
        <w:t>рода производилось с высот 800-1200 м с пикирования под углом 25-30°. В первом заходе, как правило, уточнялось расположение домов, из которых про</w:t>
      </w:r>
      <w:r w:rsidRPr="00722885">
        <w:rPr>
          <w:color w:val="000000" w:themeColor="text1"/>
          <w:sz w:val="16"/>
          <w:szCs w:val="16"/>
        </w:rPr>
        <w:softHyphen/>
        <w:t>тивник вел огонь, и определялось наи</w:t>
      </w:r>
      <w:r w:rsidRPr="00722885">
        <w:rPr>
          <w:color w:val="000000" w:themeColor="text1"/>
          <w:sz w:val="16"/>
          <w:szCs w:val="16"/>
        </w:rPr>
        <w:softHyphen/>
        <w:t>выгоднейшее направление атаки. Пос</w:t>
      </w:r>
      <w:r w:rsidRPr="00722885">
        <w:rPr>
          <w:color w:val="000000" w:themeColor="text1"/>
          <w:sz w:val="16"/>
          <w:szCs w:val="16"/>
        </w:rPr>
        <w:softHyphen/>
        <w:t>ле этого, по команде ведущего "ильюшины" становились в круг, сбрасывали на выбранные цели бомбы, а затем об</w:t>
      </w:r>
      <w:r w:rsidRPr="00722885">
        <w:rPr>
          <w:color w:val="000000" w:themeColor="text1"/>
          <w:sz w:val="16"/>
          <w:szCs w:val="16"/>
        </w:rPr>
        <w:softHyphen/>
        <w:t>стреливали их из ракетного и стрелково-пушечного оружия.</w:t>
      </w:r>
    </w:p>
    <w:p w14:paraId="3DFC26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Одной из первых групп "ильюшиных", открывшей счет уличным боям за Ста</w:t>
      </w:r>
      <w:r w:rsidRPr="00722885">
        <w:rPr>
          <w:color w:val="000000" w:themeColor="text1"/>
          <w:sz w:val="16"/>
          <w:szCs w:val="16"/>
        </w:rPr>
        <w:softHyphen/>
        <w:t xml:space="preserve">линград, стала восьмерка Ил-2 504-го </w:t>
      </w:r>
      <w:r w:rsidRPr="00722885">
        <w:rPr>
          <w:iCs/>
          <w:color w:val="000000" w:themeColor="text1"/>
          <w:sz w:val="16"/>
          <w:szCs w:val="16"/>
        </w:rPr>
        <w:t>шап</w:t>
      </w:r>
      <w:r w:rsidRPr="00722885">
        <w:rPr>
          <w:color w:val="000000" w:themeColor="text1"/>
          <w:sz w:val="16"/>
          <w:szCs w:val="16"/>
        </w:rPr>
        <w:t xml:space="preserve"> 226-й </w:t>
      </w:r>
      <w:r w:rsidRPr="00722885">
        <w:rPr>
          <w:iCs/>
          <w:color w:val="000000" w:themeColor="text1"/>
          <w:sz w:val="16"/>
          <w:szCs w:val="16"/>
        </w:rPr>
        <w:t>шад</w:t>
      </w:r>
      <w:r w:rsidRPr="00722885">
        <w:rPr>
          <w:color w:val="000000" w:themeColor="text1"/>
          <w:sz w:val="16"/>
          <w:szCs w:val="16"/>
        </w:rPr>
        <w:t xml:space="preserve"> под командованием ст. л-та И.И.Пстыго, которая 17 сентября успешно атаковала танки противника на западной окраине завода "Красный Ок</w:t>
      </w:r>
      <w:r w:rsidRPr="00722885">
        <w:rPr>
          <w:color w:val="000000" w:themeColor="text1"/>
          <w:sz w:val="16"/>
          <w:szCs w:val="16"/>
        </w:rPr>
        <w:softHyphen/>
        <w:t>тябрь" (6467).</w:t>
      </w:r>
    </w:p>
    <w:p w14:paraId="0D50FC04" w14:textId="77777777" w:rsidR="00090C9B" w:rsidRPr="00722885" w:rsidRDefault="00090C9B" w:rsidP="00722885">
      <w:pPr>
        <w:pStyle w:val="Iauiue"/>
        <w:jc w:val="both"/>
        <w:rPr>
          <w:color w:val="000000" w:themeColor="text1"/>
          <w:sz w:val="16"/>
          <w:szCs w:val="16"/>
        </w:rPr>
      </w:pPr>
    </w:p>
    <w:p w14:paraId="76E0E85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13 сентября 1942 начались бои за Сталинград (4962).</w:t>
      </w:r>
    </w:p>
    <w:p w14:paraId="2D3F197E" w14:textId="77777777" w:rsidR="00090C9B" w:rsidRPr="00722885" w:rsidRDefault="00090C9B" w:rsidP="00722885">
      <w:pPr>
        <w:pStyle w:val="Iauiue"/>
        <w:tabs>
          <w:tab w:val="left" w:pos="11199"/>
        </w:tabs>
        <w:jc w:val="both"/>
        <w:rPr>
          <w:color w:val="000000" w:themeColor="text1"/>
          <w:sz w:val="16"/>
          <w:szCs w:val="16"/>
        </w:rPr>
      </w:pPr>
    </w:p>
    <w:p w14:paraId="68C1CB37"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13 1942 Battle of Stalingrad begins (1050).</w:t>
      </w:r>
    </w:p>
    <w:p w14:paraId="6D9DF204" w14:textId="77777777" w:rsidR="00090C9B" w:rsidRPr="00722885" w:rsidRDefault="00090C9B" w:rsidP="00722885">
      <w:pPr>
        <w:pStyle w:val="Iauiue"/>
        <w:jc w:val="both"/>
        <w:rPr>
          <w:color w:val="000000" w:themeColor="text1"/>
          <w:sz w:val="16"/>
          <w:szCs w:val="16"/>
          <w:lang w:val="en-US"/>
        </w:rPr>
      </w:pPr>
    </w:p>
    <w:p w14:paraId="5F5A79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сентября 1942 началась битва за Сталинград (1050).</w:t>
      </w:r>
    </w:p>
    <w:p w14:paraId="2CE16825" w14:textId="77777777" w:rsidR="00090C9B" w:rsidRPr="00722885" w:rsidRDefault="00090C9B" w:rsidP="00722885">
      <w:pPr>
        <w:pStyle w:val="Iauiue"/>
        <w:jc w:val="both"/>
        <w:rPr>
          <w:color w:val="000000" w:themeColor="text1"/>
          <w:sz w:val="16"/>
          <w:szCs w:val="16"/>
        </w:rPr>
      </w:pPr>
    </w:p>
    <w:p w14:paraId="5E6517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lang w:val="en-US"/>
        </w:rPr>
        <w:t xml:space="preserve">At Stalingrad, the Wehrmarcht had met its match. The soldiers had an uneasy feeling they were fighting men of nearly superhuman strength and resilience. The wounded Russian rarely cried out. Hoffman, a German officer, confided to his diary that Russian's displayed an "insane stubbornness." He said they are, "fanatics...wild beasts...not men, but some kind of cast iron creatures; they never get tired and are not afraid of fire." </w:t>
      </w:r>
      <w:r w:rsidRPr="00722885">
        <w:rPr>
          <w:color w:val="000000" w:themeColor="text1"/>
          <w:sz w:val="16"/>
          <w:szCs w:val="16"/>
        </w:rPr>
        <w:t>(1052).</w:t>
      </w:r>
    </w:p>
    <w:p w14:paraId="6736FAFA" w14:textId="77777777" w:rsidR="00090C9B" w:rsidRPr="00722885" w:rsidRDefault="00090C9B" w:rsidP="00722885">
      <w:pPr>
        <w:pStyle w:val="Iauiue"/>
        <w:jc w:val="both"/>
        <w:rPr>
          <w:color w:val="000000" w:themeColor="text1"/>
          <w:sz w:val="16"/>
          <w:szCs w:val="16"/>
        </w:rPr>
      </w:pPr>
    </w:p>
    <w:p w14:paraId="43473C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сентября 1942 Ставка приняла решение о Сталинградском наступлении (340,100).</w:t>
      </w:r>
    </w:p>
    <w:p w14:paraId="1EEEF231" w14:textId="77777777" w:rsidR="00090C9B" w:rsidRPr="00722885" w:rsidRDefault="00090C9B" w:rsidP="00722885">
      <w:pPr>
        <w:pStyle w:val="Iauiue"/>
        <w:jc w:val="both"/>
        <w:rPr>
          <w:color w:val="000000" w:themeColor="text1"/>
          <w:sz w:val="16"/>
          <w:szCs w:val="16"/>
        </w:rPr>
      </w:pPr>
    </w:p>
    <w:p w14:paraId="4FCE10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C 13 сентября по 18 ноября 1942 была оборонительная операция советских войск по отражению вражеских штурмов Сталинграда (3186).</w:t>
      </w:r>
    </w:p>
    <w:p w14:paraId="2F60A743" w14:textId="77777777" w:rsidR="00090C9B" w:rsidRPr="00722885" w:rsidRDefault="00090C9B" w:rsidP="00722885">
      <w:pPr>
        <w:pStyle w:val="Iauiue"/>
        <w:jc w:val="both"/>
        <w:rPr>
          <w:color w:val="000000" w:themeColor="text1"/>
          <w:sz w:val="16"/>
          <w:szCs w:val="16"/>
        </w:rPr>
      </w:pPr>
    </w:p>
    <w:p w14:paraId="29FD86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13 сентября 1942 вышло Постановление ГКО № 2290 Об утверждении плана отпуска вещевого имущества для Красной Армии на сентябрь 1942 года. РГАНИР, Фонд ГКО, д. 56, лл. 19, 20-21 (11012).</w:t>
      </w:r>
    </w:p>
    <w:p w14:paraId="7E25D7F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CDC30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сентября 1942 вышло Постановление ГКО № 2291 О городских комитетах обороны.РГАНИР, Фонд ГКО, д. 56, лл. 22 (11012).</w:t>
      </w:r>
    </w:p>
    <w:p w14:paraId="7637909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CB2A48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13 сентября 1942 вышло Постановление ГКО № 2303 О введении персональных воинских званий начальствующему составу артиллерии Красной Армии, имеющему среднее техническое образование. (7054, 78).</w:t>
      </w:r>
    </w:p>
    <w:p w14:paraId="7C5FC24F" w14:textId="77777777" w:rsidR="00090C9B" w:rsidRPr="00722885" w:rsidRDefault="00090C9B" w:rsidP="00722885">
      <w:pPr>
        <w:pStyle w:val="Iauiue"/>
        <w:tabs>
          <w:tab w:val="left" w:pos="11199"/>
        </w:tabs>
        <w:jc w:val="both"/>
        <w:rPr>
          <w:color w:val="000000" w:themeColor="text1"/>
          <w:sz w:val="16"/>
          <w:szCs w:val="16"/>
        </w:rPr>
      </w:pPr>
    </w:p>
    <w:p w14:paraId="25EC61E6" w14:textId="77777777" w:rsidR="00DD2C3A" w:rsidRPr="00722885" w:rsidRDefault="00DD2C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сентября 1942 46 бомбардировщиков вылетели в направлении Бухареста. Столица Румынии в 1941 г. неоднократно подвергалась налетам, поэтому резонно было бы ожидать, что её ПВО будет начеку. Однако все произошло ровно наоборот. В документах противника отмечалось, что бомбардировка Бухареста производилась с высоты 1500- 2000 м. Это было существенно меньше, чем при налетах на другие города Германии и ее союзников, так как столица Румынии не имела мощной системы ПВО. Этот же документ говорит, что вследствие относительно небольшой высоты бомбометания удар был достаточно эффективным )( ЦАМО, Ф. 500, Оп. 12452, Д. 185, Л. 81). Интересно, что разведывательное управление штаба АДД посчитало налет на Бухарест неудачным, так как бомбардировке, якобы, подвергся ложный объект (22728).</w:t>
      </w:r>
    </w:p>
    <w:p w14:paraId="78747F68" w14:textId="77777777" w:rsidR="00DD2C3A" w:rsidRPr="00722885" w:rsidRDefault="00DD2C3A" w:rsidP="00722885">
      <w:pPr>
        <w:spacing w:after="0" w:line="240" w:lineRule="auto"/>
        <w:jc w:val="both"/>
        <w:rPr>
          <w:rFonts w:ascii="Times New Roman" w:hAnsi="Times New Roman"/>
          <w:color w:val="0070C0"/>
          <w:sz w:val="16"/>
          <w:szCs w:val="16"/>
        </w:rPr>
      </w:pPr>
    </w:p>
    <w:p w14:paraId="00AE520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3A8D9DCD" w14:textId="77777777" w:rsidR="00090C9B" w:rsidRPr="00722885" w:rsidRDefault="00090C9B" w:rsidP="00722885">
      <w:pPr>
        <w:pStyle w:val="Iauiue"/>
        <w:jc w:val="both"/>
        <w:rPr>
          <w:iCs/>
          <w:color w:val="000000" w:themeColor="text1"/>
          <w:sz w:val="16"/>
          <w:szCs w:val="16"/>
        </w:rPr>
      </w:pPr>
    </w:p>
    <w:p w14:paraId="65EB91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сентября 1942 вышло Постановление ГКО № 2296 О вывозе хлеба из Воронежской, юго-западных районов Тамбовской и правобережных районов Сталинградской и Саратовской областей. РГАНИР, Фонд ГКО, д. 56, лл. 50-52, 53-58 (11012).</w:t>
      </w:r>
    </w:p>
    <w:p w14:paraId="1933DA6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54E577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597D6277" w14:textId="77777777" w:rsidR="00090C9B" w:rsidRPr="00722885" w:rsidRDefault="00090C9B" w:rsidP="00722885">
      <w:pPr>
        <w:pStyle w:val="Iauiue"/>
        <w:jc w:val="both"/>
        <w:rPr>
          <w:iCs/>
          <w:color w:val="000000" w:themeColor="text1"/>
          <w:sz w:val="16"/>
          <w:szCs w:val="16"/>
        </w:rPr>
      </w:pPr>
    </w:p>
    <w:p w14:paraId="3A3755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сентября 1942 года было получено:</w:t>
      </w:r>
    </w:p>
    <w:p w14:paraId="77E972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ЛИЧНОЕ И СЕКРЕТНОЕ ПОСЛАНИЕ ОТ ПРЕМЬЕР-МИНИСТРА г-на УИНСТОНА ЧЕРЧИЛЛЯ ПРЕМЬЕРУ СТАЛИНУ</w:t>
      </w:r>
    </w:p>
    <w:p w14:paraId="51EC5B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Я весьма обязан Вам за 48 бомбардировщиков дальнего действия, 10 самолетов-торпедоносцев и 200 истребителей, включая 47 истребителей дальнего действия, которые, как я теперь узнал, Вы посылаете, чтобы помочь провести P. Q. 18.</w:t>
      </w:r>
    </w:p>
    <w:p w14:paraId="73739BE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Я полагаю, что, может быть, Вы желали бы знать вес бомб, сброшенных Королевскими Воздушными Силами на Германию с 1 июля с. г. Общее количество с 1 июля по 6 сентября составляет 11 500 тонн. Тоннаж, сброшенный на более важные цели, составлял: Дуйсбург — 2500 тонн, Дюссельдорф — 1250 тонн, Саарбркжкен— 1150 тонн, Бремен и Гамбург — по 1000 тонн на каждый, Оснабрюк — 700 тонн, Кассель, Вильгельмсгафен, Майнц и Франкфурт — всего около 500 тонн; Нюрнберг получил 300 тонн и многие другие объекты — меньший тоннаж. В числе сброшенных бомб было 6 бомб весом по 8 тысяч фунтов и 1400 бомб весом по 4 тысячи фунтов. Мы обнаружили, что при применении в этих бомбах мгновенно действующего взрывателя они взрываются весьма эффективно, так что парашюты не требуются (7430).</w:t>
      </w:r>
    </w:p>
    <w:p w14:paraId="3530C7BB" w14:textId="77777777" w:rsidR="00090C9B" w:rsidRPr="00722885" w:rsidRDefault="00090C9B" w:rsidP="00722885">
      <w:pPr>
        <w:pStyle w:val="Iauiue"/>
        <w:jc w:val="both"/>
        <w:rPr>
          <w:color w:val="000000" w:themeColor="text1"/>
          <w:sz w:val="16"/>
          <w:szCs w:val="16"/>
        </w:rPr>
      </w:pPr>
    </w:p>
    <w:p w14:paraId="19FD4BA5" w14:textId="0BCB1B3B" w:rsidR="005802CB" w:rsidRPr="00722885" w:rsidRDefault="005802CB" w:rsidP="00722885">
      <w:pPr>
        <w:pStyle w:val="Iauiue"/>
        <w:jc w:val="both"/>
        <w:rPr>
          <w:i/>
          <w:iCs/>
          <w:color w:val="000000" w:themeColor="text1"/>
          <w:sz w:val="16"/>
          <w:szCs w:val="16"/>
        </w:rPr>
      </w:pPr>
      <w:r w:rsidRPr="00722885">
        <w:rPr>
          <w:i/>
          <w:iCs/>
          <w:color w:val="000000" w:themeColor="text1"/>
          <w:sz w:val="16"/>
          <w:szCs w:val="16"/>
        </w:rPr>
        <w:t>За рубежом:</w:t>
      </w:r>
    </w:p>
    <w:p w14:paraId="62985CC0" w14:textId="77777777" w:rsidR="005802CB" w:rsidRPr="00722885" w:rsidRDefault="005802CB" w:rsidP="00722885">
      <w:pPr>
        <w:pStyle w:val="Iauiue"/>
        <w:jc w:val="both"/>
        <w:rPr>
          <w:i/>
          <w:iCs/>
          <w:color w:val="000000" w:themeColor="text1"/>
          <w:sz w:val="16"/>
          <w:szCs w:val="16"/>
        </w:rPr>
      </w:pPr>
    </w:p>
    <w:p w14:paraId="09E0550B" w14:textId="77777777" w:rsidR="005802CB" w:rsidRPr="00722885" w:rsidRDefault="005802C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сентября 1942 бомбардировщики ВВС США в последний раз совершают налет против японских войск в Киске на Алеутских островах из Умнака на расстояние 1200 миль (1900 км) и обратно. На следующий день они начнут налеты из Адака, что на 400 миль (640 км) ближе к Киске (20793).</w:t>
      </w:r>
    </w:p>
    <w:p w14:paraId="7E2B39B8" w14:textId="77777777" w:rsidR="005802CB" w:rsidRPr="00722885" w:rsidRDefault="005802CB" w:rsidP="00722885">
      <w:pPr>
        <w:spacing w:after="0" w:line="240" w:lineRule="auto"/>
        <w:jc w:val="both"/>
        <w:rPr>
          <w:rFonts w:ascii="Times New Roman" w:hAnsi="Times New Roman"/>
          <w:color w:val="0070C0"/>
          <w:sz w:val="16"/>
          <w:szCs w:val="16"/>
        </w:rPr>
      </w:pPr>
    </w:p>
    <w:p w14:paraId="5B5246EC" w14:textId="77777777" w:rsidR="005802CB" w:rsidRPr="00722885" w:rsidRDefault="005802C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13–14 сентября 1942 немецкие Heinkel He 111 и Junkers Ju 88 атакуют Convoy PQ 18. Hawker Sea Hurricanes с HMS Avenger остаются с конвоем и обеспечивают более эффективную оборону, при этом торговые суда не теряются. За три дня немецких воздушных атак Морские Харрикейны, защищающие PQ 18, сбили пять немецких самолетов и повредили еще 21 (20793).</w:t>
      </w:r>
    </w:p>
    <w:p w14:paraId="7E77A7F8" w14:textId="77777777" w:rsidR="005802CB" w:rsidRPr="00722885" w:rsidRDefault="005802CB" w:rsidP="00722885">
      <w:pPr>
        <w:spacing w:after="0" w:line="240" w:lineRule="auto"/>
        <w:jc w:val="both"/>
        <w:rPr>
          <w:rFonts w:ascii="Times New Roman" w:hAnsi="Times New Roman"/>
          <w:color w:val="0070C0"/>
          <w:sz w:val="16"/>
          <w:szCs w:val="16"/>
        </w:rPr>
      </w:pPr>
    </w:p>
    <w:p w14:paraId="2B6B3078" w14:textId="254BA8D3"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A2F35C6" w14:textId="77777777" w:rsidR="00090C9B" w:rsidRPr="00722885" w:rsidRDefault="00090C9B" w:rsidP="00722885">
      <w:pPr>
        <w:pStyle w:val="Iauiue"/>
        <w:jc w:val="both"/>
        <w:rPr>
          <w:iCs/>
          <w:color w:val="000000" w:themeColor="text1"/>
          <w:sz w:val="16"/>
          <w:szCs w:val="16"/>
        </w:rPr>
      </w:pPr>
    </w:p>
    <w:p w14:paraId="102EC0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сентября 1942 началась боевая работа первых трех Ту-2 и в полетах наряду с пилотами НИИ ВВС летали и фронтовые л. за время этого этапа 3 машины выполнили 25 боевых вылета - примерно один в сутки при средней дальности 500 км. Попадали под обстрел с земли, но потерь не было кроме случая, когда снаряд Эрликон повредил двигатель, но машину удалось посадить (1835,21).</w:t>
      </w:r>
    </w:p>
    <w:p w14:paraId="6C8990E0" w14:textId="77777777" w:rsidR="00090C9B" w:rsidRPr="00722885" w:rsidRDefault="00090C9B" w:rsidP="00722885">
      <w:pPr>
        <w:pStyle w:val="Iauiue"/>
        <w:jc w:val="both"/>
        <w:rPr>
          <w:color w:val="000000" w:themeColor="text1"/>
          <w:sz w:val="16"/>
          <w:szCs w:val="16"/>
        </w:rPr>
      </w:pPr>
    </w:p>
    <w:p w14:paraId="7487D4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первая тройка Ту-2 была направлена на фронт и попала в состав 3 ВА (М.М.Громов). базировались на аэродроме Мигалово под Калининым. От КБ на фронт отправилась группа Д.С.Маркова (1835,21).</w:t>
      </w:r>
    </w:p>
    <w:p w14:paraId="19EBD347" w14:textId="77777777" w:rsidR="00090C9B" w:rsidRPr="00722885" w:rsidRDefault="00090C9B" w:rsidP="00722885">
      <w:pPr>
        <w:pStyle w:val="Iauiue"/>
        <w:jc w:val="both"/>
        <w:rPr>
          <w:color w:val="000000" w:themeColor="text1"/>
          <w:sz w:val="16"/>
          <w:szCs w:val="16"/>
        </w:rPr>
      </w:pPr>
    </w:p>
    <w:p w14:paraId="071501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сентября 1942 согласно приказа N 9 по заводу 462 НКАП от 16 сентября 1942 при запуске мотора МиГ-3 N 3772 произошел взрыв в кабине пилота из-за подключения кислорода вместо сжатого воздуха (2130).</w:t>
      </w:r>
    </w:p>
    <w:p w14:paraId="4BDE6991" w14:textId="77777777" w:rsidR="00090C9B" w:rsidRPr="00722885" w:rsidRDefault="00090C9B" w:rsidP="00722885">
      <w:pPr>
        <w:pStyle w:val="Iauiue"/>
        <w:jc w:val="both"/>
        <w:rPr>
          <w:color w:val="000000" w:themeColor="text1"/>
          <w:sz w:val="16"/>
          <w:szCs w:val="16"/>
        </w:rPr>
      </w:pPr>
    </w:p>
    <w:p w14:paraId="2E84AD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сентября 1942 г. по указанию Главного инженера ВВС КА № 88 истребители Як-1 более ранних серий выпуска должны были пройти доработку ждя установки новой системы НГ.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на нравом пульте кабины сообщал баки или с системой НГ, или, для заправки топливом на земле, с атмосферой.</w:t>
      </w:r>
    </w:p>
    <w:p w14:paraId="3307A3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наступления холодов в эксплуатации не представилось возможным испытать эту схему. При понижении температуры наружного воздуха завод получил много 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НКАП, НИИ ВВС и завода № 156 во главе с Хайкешиевым и Погосским. В процессе жарких теоретических споров по схеме НГ был разработан ряд 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47074EC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E667B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сентября 1942 проект оригинальной летающей танкетки-штурмовика “ЛТ” с мотором М-11, имевшей также заводское обозначение “CAM-23” был передан в ЦАГИ для получения заключения. Чем была вызвана трехмесячная задержка (проект был закончен в мае), пока не ясно, но в пояснительной записке к проекту имеются строки: “Исследования движения машины по земле...”, которые позволяют предполагать, что за это время был построен опытный экземпляр штурмовика. Самолет представлял собой одноместный высокоплан, выполненный по двухбалочной схеме, отработанной Москалевым еще на CAM-13. Фюзеляж имел форменную конструкцию с дюралевой обшивкой. Крыло профиля P-II-c однолонже-ронной схемы, целиком из дерева, с фанерной и полотняной обшивкой, было снабжено предкрылками и щелевыми закрылками. Шасси неубирающееся, колеса баллонного типа 470 х 210 мм. Мотор находился в задней части фюзеляжа и снабжался толкающим винтом.</w:t>
      </w:r>
    </w:p>
    <w:p w14:paraId="3C8EF3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Кабина летчика со всех сторон защищалась бронеплитами толщиной 3 мм (спереди 4-5 мм) и имела бронированное сиденье, как у Ил-2. На козырьке фонаря монтировалось бронестекло. Летчик попадал в кабину через дверцу автомобильного типа на левом борту.</w:t>
      </w:r>
    </w:p>
    <w:p w14:paraId="531359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Состав вооружения для самолета весом чуть более одной тонны был очень мощным: две пушки ШВАК с боекомплектом по 200 (в перегрузку по 500) снарядов; два ШКАСа с боезапасом по 1500 (2000) патронов; четыре (шесть) PC-82 или 400 кг бомб (на двух держателях за счет PC и перегрузки). По расчетам, при установке более мощного мотора (например, М-34) можно было еще усилить бронирование и вооружение, а общий вес боевой нагрузки увеличить до 1500 кг.</w:t>
      </w:r>
    </w:p>
    <w:p w14:paraId="284CAD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Самым необычным в этом самолете являлся способ его боевого применения. Огонь по врагу должен был вестись с бреющего бега-полета с высоты всего четыре-пять метров! Устройством, обеспечивавшем бег, являлся специальный выпускавшийся сошник. Конец его соприкасался с землей и таким образом отслеживал все неровности почвы. Возникавшие при контакте сошника с препятствиями моменты и угловые скорости, по расчетам, находились в пределах физических возможностей летчика и могли быть своевременно парированы им.</w:t>
      </w:r>
    </w:p>
    <w:p w14:paraId="20ACD1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Считалось, что на такой высоте и при скорости бега-полета 150-180 км/ч самолет может быть малоуязвим для противника. Летающая танкетка могла перепрыгивать </w:t>
      </w:r>
      <w:r w:rsidRPr="00722885">
        <w:rPr>
          <w:color w:val="000000" w:themeColor="text1"/>
          <w:sz w:val="16"/>
          <w:szCs w:val="16"/>
        </w:rPr>
        <w:lastRenderedPageBreak/>
        <w:t>и перелетать препятствия, а также, имея расчетный потолок в 1210 м, атаковать наземные цели обычным для самолетов способом. Малые размеры, по мнению конструктора, позволяли CAM-23 стартовать с обычных дорог и, при необходимости, рулить по ним, скрытно выдвигаясь к месту внезапной атаки.</w:t>
      </w:r>
    </w:p>
    <w:p w14:paraId="20E54C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Основными целями для своего штурмовика Москалев считал живую силу, технику и укрепления на переднем крае обороны противника. “Хвост” - сошник танкетки (усиленный стальной трубой и имевший амортизатор), по замыслу конструктора, кроме своей основной функции должен был также служить для разрушения легких уккеплений и проволочных заграждений. Проект не получил одобрения ЦАГИ из-за слабого бронирования, низкой тяговооруженности. Главные же отмечавшиеся недостатки - необходимость летчику постоянно -парировать пикирующий момент, возникающий при движении сошника по препятствиям, а также угроза капотирования при разрушении. сошником укреплений и проволочных заграждений (7646).</w:t>
      </w:r>
    </w:p>
    <w:p w14:paraId="17B7EE63" w14:textId="77777777" w:rsidR="00090C9B" w:rsidRPr="00722885" w:rsidRDefault="00090C9B" w:rsidP="00722885">
      <w:pPr>
        <w:pStyle w:val="Iauiue"/>
        <w:jc w:val="both"/>
        <w:rPr>
          <w:color w:val="000000" w:themeColor="text1"/>
          <w:sz w:val="16"/>
          <w:szCs w:val="16"/>
        </w:rPr>
      </w:pPr>
    </w:p>
    <w:p w14:paraId="064101EB" w14:textId="77777777" w:rsidR="00BB2084" w:rsidRPr="00722885" w:rsidRDefault="00BB208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сентября 1942 г. в ЦАГИ для получения заключения передали проект оригинальной летающей танкетки-штурмовика ЛТ. был передан в ЦАГИ для получения заключения. Самолет представлял собой одноместный высокоплан двухбалочной схемы. Кабина летчика защищалась бронеплитами, вооружение включало две пушки и два пулемета. Самым необычным являлся способ его боевого применения. Огонь по врагу должен был вестись с бреющего бегаполета с высоты всего 4—5 м! Устройством, обеспечивавшем «бег», являлся специальный выпускавшийся сошник. Конец его соприкасался с землей и таким образом отслеживал все неровности почвы. Возникавшие при контакте сошника с препятствиями моменты и угловые скорости, по расчетам, находились в пределах физических возможностей летчика и могли быть своевременно парированы им. Летающая танкетка могла перепрыгивать и перелетать препятствия, а также, имея расчетный потолок в 1210 м, атаковать наземные цели обычным для самолетов способом. Малые размеры, по мнению конструктора, позволяли стартовать с обычных дорог и, при необходимости, рулить по ним, скрытно выдвигаясь к месту атаки. Проект не получил одобрения ЦАГИ из-за слабого бронирования, низкой тяговооруженности. Глав - ные же недостатки — летчику требовалось постоянно парировать пикирующий момент, возникающий при движении сошника по препятствиям, нельзя было исключить и угрозу капотирования при разрушении сошником укреплений и проволочных заграждений (19727).</w:t>
      </w:r>
    </w:p>
    <w:p w14:paraId="06F33F75" w14:textId="77777777" w:rsidR="00BB2084" w:rsidRPr="00722885" w:rsidRDefault="00BB2084" w:rsidP="00722885">
      <w:pPr>
        <w:spacing w:after="0" w:line="240" w:lineRule="auto"/>
        <w:jc w:val="both"/>
        <w:rPr>
          <w:rFonts w:ascii="Times New Roman" w:hAnsi="Times New Roman"/>
          <w:color w:val="000000" w:themeColor="text1"/>
          <w:sz w:val="16"/>
          <w:szCs w:val="16"/>
        </w:rPr>
      </w:pPr>
    </w:p>
    <w:p w14:paraId="3CD62FFD" w14:textId="77777777" w:rsidR="00374BE3" w:rsidRPr="00722885" w:rsidRDefault="00374BE3" w:rsidP="00722885">
      <w:pPr>
        <w:spacing w:after="0" w:line="240" w:lineRule="auto"/>
        <w:jc w:val="both"/>
        <w:rPr>
          <w:rStyle w:val="ucoz-forum-post"/>
          <w:rFonts w:ascii="Times New Roman" w:eastAsia="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14 сентября 1941 года</w:t>
      </w:r>
      <w:r w:rsidRPr="00722885">
        <w:rPr>
          <w:rStyle w:val="ucoz-forum-post"/>
          <w:rFonts w:ascii="Times New Roman" w:eastAsia="Times New Roman" w:hAnsi="Times New Roman"/>
          <w:color w:val="000000" w:themeColor="text1"/>
          <w:sz w:val="16"/>
          <w:szCs w:val="16"/>
        </w:rPr>
        <w:t xml:space="preserve"> Пилот С.Б. Рейдель поднял в воздух второй серийный Бе-4 (заводской №28802). Всего за время испытаний продолжавшихся до 10 октября было выполнено 49 полетов с общим налетом 10 часов 3 минуты. В летно-пилотажной оценке самолета отмечено, что "Бе-4 является простой в пилотировании машиной, вполне рассчитанной на летчика средней квалификации и на рулежке самолет прекрасно управляем за счет эффективного водяного руля" (14769).</w:t>
      </w:r>
    </w:p>
    <w:p w14:paraId="7FFBD77F" w14:textId="77777777" w:rsidR="00374BE3" w:rsidRPr="00722885" w:rsidRDefault="00374BE3" w:rsidP="00722885">
      <w:pPr>
        <w:spacing w:after="0" w:line="240" w:lineRule="auto"/>
        <w:jc w:val="both"/>
        <w:rPr>
          <w:rStyle w:val="ucoz-forum-post"/>
          <w:rFonts w:ascii="Times New Roman" w:eastAsia="Times New Roman" w:hAnsi="Times New Roman"/>
          <w:color w:val="000000" w:themeColor="text1"/>
          <w:sz w:val="16"/>
          <w:szCs w:val="16"/>
        </w:rPr>
      </w:pPr>
    </w:p>
    <w:p w14:paraId="7B8714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сентября 1942 закончились гос. испытания второго экз. опытного экз. тяжелого грузового планера (25 чел., 76 мм пушка с расчетом или танкетка К-27 с экипажем) Л.П.Курбалы КГ - Курбала-грузовой эталон. Испытания шли с 25 июня 1942 и летали В.П.Федоров и М.Ф.Романов из ОИП ВДВ. Получилось не очень. В заключении в серию рекомендован не был (94,86).</w:t>
      </w:r>
    </w:p>
    <w:p w14:paraId="081C0C89" w14:textId="77777777" w:rsidR="00090C9B" w:rsidRPr="00722885" w:rsidRDefault="00090C9B" w:rsidP="00722885">
      <w:pPr>
        <w:pStyle w:val="Iauiue"/>
        <w:jc w:val="both"/>
        <w:rPr>
          <w:color w:val="000000" w:themeColor="text1"/>
          <w:sz w:val="16"/>
          <w:szCs w:val="16"/>
        </w:rPr>
      </w:pPr>
    </w:p>
    <w:p w14:paraId="37198F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сентября 1942 с исх. № 6707 Нач. ОЛИС НКАП Окороков направил в Авиаотдел ЦК ВКП(б) б/к тов. Шиманову письмо:</w:t>
      </w:r>
    </w:p>
    <w:p w14:paraId="6AA12B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переговоров, направляю Вам сводную ведомость и сведения на аварийные происшествия на ЛИС заводов НКАП за время с 1 января по 5 сентября 1942, согласно поступившим материалам ОЛИС НКАП</w:t>
      </w:r>
    </w:p>
    <w:p w14:paraId="43FBCB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Приложенеи: упомянутое на 9 листах</w:t>
      </w:r>
    </w:p>
    <w:p w14:paraId="2DC2D2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Сводная ведомость</w:t>
      </w:r>
    </w:p>
    <w:p w14:paraId="261BA3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 аварийных происшествиях на ЛИС з-дов НКАП за 1942 год (согласно поступившим материалам в ОЛИС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55"/>
        <w:gridCol w:w="655"/>
        <w:gridCol w:w="655"/>
        <w:gridCol w:w="655"/>
        <w:gridCol w:w="655"/>
        <w:gridCol w:w="655"/>
        <w:gridCol w:w="655"/>
        <w:gridCol w:w="655"/>
        <w:gridCol w:w="655"/>
        <w:gridCol w:w="655"/>
        <w:gridCol w:w="655"/>
        <w:gridCol w:w="655"/>
        <w:gridCol w:w="655"/>
      </w:tblGrid>
      <w:tr w:rsidR="009B487A" w:rsidRPr="00722885" w14:paraId="2C148512" w14:textId="77777777" w:rsidTr="00CC5360">
        <w:tc>
          <w:tcPr>
            <w:tcW w:w="655" w:type="dxa"/>
            <w:tcBorders>
              <w:top w:val="single" w:sz="12" w:space="0" w:color="auto"/>
            </w:tcBorders>
          </w:tcPr>
          <w:p w14:paraId="0D6610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заводов</w:t>
            </w:r>
          </w:p>
        </w:tc>
        <w:tc>
          <w:tcPr>
            <w:tcW w:w="2620" w:type="dxa"/>
            <w:gridSpan w:val="4"/>
            <w:tcBorders>
              <w:top w:val="single" w:sz="12" w:space="0" w:color="auto"/>
            </w:tcBorders>
          </w:tcPr>
          <w:p w14:paraId="1F82ED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Испытательные полеты</w:t>
            </w:r>
          </w:p>
        </w:tc>
        <w:tc>
          <w:tcPr>
            <w:tcW w:w="2620" w:type="dxa"/>
            <w:gridSpan w:val="4"/>
            <w:tcBorders>
              <w:top w:val="single" w:sz="12" w:space="0" w:color="auto"/>
            </w:tcBorders>
          </w:tcPr>
          <w:p w14:paraId="7CD7C6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Транспортные полеты</w:t>
            </w:r>
          </w:p>
        </w:tc>
        <w:tc>
          <w:tcPr>
            <w:tcW w:w="2620" w:type="dxa"/>
            <w:gridSpan w:val="4"/>
            <w:tcBorders>
              <w:top w:val="single" w:sz="12" w:space="0" w:color="auto"/>
            </w:tcBorders>
          </w:tcPr>
          <w:p w14:paraId="7CE9B0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Причины происшествий</w:t>
            </w:r>
          </w:p>
        </w:tc>
      </w:tr>
      <w:tr w:rsidR="009B487A" w:rsidRPr="00722885" w14:paraId="2086A1C8" w14:textId="77777777" w:rsidTr="00CC5360">
        <w:tc>
          <w:tcPr>
            <w:tcW w:w="655" w:type="dxa"/>
          </w:tcPr>
          <w:p w14:paraId="2A41D7F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655" w:type="dxa"/>
          </w:tcPr>
          <w:p w14:paraId="3B07AD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Катастрофы</w:t>
            </w:r>
          </w:p>
        </w:tc>
        <w:tc>
          <w:tcPr>
            <w:tcW w:w="655" w:type="dxa"/>
          </w:tcPr>
          <w:p w14:paraId="308D32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Аварии</w:t>
            </w:r>
          </w:p>
        </w:tc>
        <w:tc>
          <w:tcPr>
            <w:tcW w:w="655" w:type="dxa"/>
          </w:tcPr>
          <w:p w14:paraId="33E6C7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Поломки</w:t>
            </w:r>
          </w:p>
        </w:tc>
        <w:tc>
          <w:tcPr>
            <w:tcW w:w="655" w:type="dxa"/>
          </w:tcPr>
          <w:p w14:paraId="378F7F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Особые происш.</w:t>
            </w:r>
          </w:p>
        </w:tc>
        <w:tc>
          <w:tcPr>
            <w:tcW w:w="655" w:type="dxa"/>
          </w:tcPr>
          <w:p w14:paraId="171452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Катастрофы</w:t>
            </w:r>
          </w:p>
        </w:tc>
        <w:tc>
          <w:tcPr>
            <w:tcW w:w="655" w:type="dxa"/>
          </w:tcPr>
          <w:p w14:paraId="01AF6B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Аварии</w:t>
            </w:r>
          </w:p>
        </w:tc>
        <w:tc>
          <w:tcPr>
            <w:tcW w:w="655" w:type="dxa"/>
          </w:tcPr>
          <w:p w14:paraId="41BFA2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Поломки</w:t>
            </w:r>
          </w:p>
        </w:tc>
        <w:tc>
          <w:tcPr>
            <w:tcW w:w="655" w:type="dxa"/>
          </w:tcPr>
          <w:p w14:paraId="6FD934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Особые происш.</w:t>
            </w:r>
          </w:p>
        </w:tc>
        <w:tc>
          <w:tcPr>
            <w:tcW w:w="655" w:type="dxa"/>
          </w:tcPr>
          <w:p w14:paraId="7AD299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вине экипажа</w:t>
            </w:r>
          </w:p>
        </w:tc>
        <w:tc>
          <w:tcPr>
            <w:tcW w:w="655" w:type="dxa"/>
          </w:tcPr>
          <w:p w14:paraId="7C639A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вине матчасти</w:t>
            </w:r>
          </w:p>
        </w:tc>
        <w:tc>
          <w:tcPr>
            <w:tcW w:w="655" w:type="dxa"/>
          </w:tcPr>
          <w:p w14:paraId="142CF2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Пометеоусловиям</w:t>
            </w:r>
          </w:p>
        </w:tc>
        <w:tc>
          <w:tcPr>
            <w:tcW w:w="655" w:type="dxa"/>
          </w:tcPr>
          <w:p w14:paraId="1B6F86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Прочие</w:t>
            </w:r>
          </w:p>
        </w:tc>
      </w:tr>
      <w:tr w:rsidR="009B487A" w:rsidRPr="00722885" w14:paraId="7C314342" w14:textId="77777777" w:rsidTr="00CC5360">
        <w:tc>
          <w:tcPr>
            <w:tcW w:w="655" w:type="dxa"/>
          </w:tcPr>
          <w:p w14:paraId="67F936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EB137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FB466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6DBFD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0A2FF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183F0C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5D4C8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F17A1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895E6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9B55F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4E2B04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36758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EB621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B3C5075" w14:textId="77777777" w:rsidTr="00CC5360">
        <w:tc>
          <w:tcPr>
            <w:tcW w:w="655" w:type="dxa"/>
          </w:tcPr>
          <w:p w14:paraId="08EE27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655" w:type="dxa"/>
          </w:tcPr>
          <w:p w14:paraId="337007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BD67A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E26A8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C1206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A9DC4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418234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B1450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156821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6DE6E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E39AF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61737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3C4AD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112A325" w14:textId="77777777" w:rsidTr="00CC5360">
        <w:tc>
          <w:tcPr>
            <w:tcW w:w="655" w:type="dxa"/>
          </w:tcPr>
          <w:p w14:paraId="33E779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655" w:type="dxa"/>
          </w:tcPr>
          <w:p w14:paraId="5239DE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121A9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35E8B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D1E31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3A5B93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627C2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E5B02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48285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E41E9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01AB2C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ECEAB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99A57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6ECB55E" w14:textId="77777777" w:rsidTr="00CC5360">
        <w:tc>
          <w:tcPr>
            <w:tcW w:w="655" w:type="dxa"/>
          </w:tcPr>
          <w:p w14:paraId="33099B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655" w:type="dxa"/>
          </w:tcPr>
          <w:p w14:paraId="129AC9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72C72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F39C6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4683C5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82B60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32CC9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8381C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BA008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564CE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74490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7C6071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B0055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7403DE7" w14:textId="77777777" w:rsidTr="00CC5360">
        <w:tc>
          <w:tcPr>
            <w:tcW w:w="655" w:type="dxa"/>
          </w:tcPr>
          <w:p w14:paraId="71F6BC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655" w:type="dxa"/>
          </w:tcPr>
          <w:p w14:paraId="21A2B8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Pr>
          <w:p w14:paraId="7A8181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655" w:type="dxa"/>
          </w:tcPr>
          <w:p w14:paraId="555E5A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1FCEAB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692D0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96069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2B228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7BBDF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D8392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Pr>
          <w:p w14:paraId="2B9188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655" w:type="dxa"/>
          </w:tcPr>
          <w:p w14:paraId="0931EE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B8A64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B8B1988" w14:textId="77777777" w:rsidTr="00CC5360">
        <w:tc>
          <w:tcPr>
            <w:tcW w:w="655" w:type="dxa"/>
          </w:tcPr>
          <w:p w14:paraId="2693A8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w:t>
            </w:r>
          </w:p>
        </w:tc>
        <w:tc>
          <w:tcPr>
            <w:tcW w:w="655" w:type="dxa"/>
          </w:tcPr>
          <w:p w14:paraId="09A4B7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F1F88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7C3A3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75B0D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B17DD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1D96EA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1A86D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58886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1A149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3A073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D68F6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EC4B6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D8EA4E1" w14:textId="77777777" w:rsidTr="00CC5360">
        <w:tc>
          <w:tcPr>
            <w:tcW w:w="655" w:type="dxa"/>
          </w:tcPr>
          <w:p w14:paraId="725F23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655" w:type="dxa"/>
          </w:tcPr>
          <w:p w14:paraId="46D9A0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5E1E3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5D1CA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C6239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F4553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1AF60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0146F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B074D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23B08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DB03F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D7654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F94E1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93E4DA6" w14:textId="77777777" w:rsidTr="00CC5360">
        <w:tc>
          <w:tcPr>
            <w:tcW w:w="655" w:type="dxa"/>
          </w:tcPr>
          <w:p w14:paraId="645834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655" w:type="dxa"/>
          </w:tcPr>
          <w:p w14:paraId="26DF96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AAD18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D8A09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39C6B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2E005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74DD5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FF86D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88CAF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83199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41E8D4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C22BB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B8285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C8598C9" w14:textId="77777777" w:rsidTr="00CC5360">
        <w:tc>
          <w:tcPr>
            <w:tcW w:w="655" w:type="dxa"/>
          </w:tcPr>
          <w:p w14:paraId="4635C7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655" w:type="dxa"/>
          </w:tcPr>
          <w:p w14:paraId="182301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2058C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9F8F9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F7F3B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F097F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A6B1F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1AB061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BA7BD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D0F13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66EA2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D61C5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AD6C6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D8C5F34" w14:textId="77777777" w:rsidTr="00CC5360">
        <w:tc>
          <w:tcPr>
            <w:tcW w:w="655" w:type="dxa"/>
          </w:tcPr>
          <w:p w14:paraId="4C4322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w:t>
            </w:r>
          </w:p>
        </w:tc>
        <w:tc>
          <w:tcPr>
            <w:tcW w:w="655" w:type="dxa"/>
          </w:tcPr>
          <w:p w14:paraId="4682D2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3E343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08FA8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232D1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2AE87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C7E6F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986C5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254A6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48C3F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36732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48FA7B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C56EB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4E03EBA" w14:textId="77777777" w:rsidTr="00CC5360">
        <w:tc>
          <w:tcPr>
            <w:tcW w:w="655" w:type="dxa"/>
          </w:tcPr>
          <w:p w14:paraId="4D2D1D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655" w:type="dxa"/>
          </w:tcPr>
          <w:p w14:paraId="56BEF5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6CDA7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A994D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635AD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45491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B59ED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3F1DC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0B603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1A9CD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A4D1F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3BCA42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97692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2C4B55B4" w14:textId="77777777" w:rsidTr="00CC5360">
        <w:tc>
          <w:tcPr>
            <w:tcW w:w="655" w:type="dxa"/>
          </w:tcPr>
          <w:p w14:paraId="19D33E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w:t>
            </w:r>
          </w:p>
        </w:tc>
        <w:tc>
          <w:tcPr>
            <w:tcW w:w="655" w:type="dxa"/>
          </w:tcPr>
          <w:p w14:paraId="581D71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CA58C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5FFFF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8E797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7AAAE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9E368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421AA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A92C9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C3C66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43D4A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E51B1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F020A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6A83CDF" w14:textId="77777777" w:rsidTr="00CC5360">
        <w:tc>
          <w:tcPr>
            <w:tcW w:w="655" w:type="dxa"/>
          </w:tcPr>
          <w:p w14:paraId="612399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w:t>
            </w:r>
          </w:p>
        </w:tc>
        <w:tc>
          <w:tcPr>
            <w:tcW w:w="655" w:type="dxa"/>
          </w:tcPr>
          <w:p w14:paraId="2DBE1B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1331F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14A5F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D502A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77A30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59384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74CFC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F715B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ACA4B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4DC377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EC04C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23AD9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EAE547C" w14:textId="77777777" w:rsidTr="00CC5360">
        <w:tc>
          <w:tcPr>
            <w:tcW w:w="655" w:type="dxa"/>
          </w:tcPr>
          <w:p w14:paraId="2F3423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w:t>
            </w:r>
          </w:p>
        </w:tc>
        <w:tc>
          <w:tcPr>
            <w:tcW w:w="655" w:type="dxa"/>
          </w:tcPr>
          <w:p w14:paraId="7E378D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343011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312A1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CD1A3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18682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05053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4ADE2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DC629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63A80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1D5181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AF3F2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B9B44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A1D0B74" w14:textId="77777777" w:rsidTr="00CC5360">
        <w:tc>
          <w:tcPr>
            <w:tcW w:w="655" w:type="dxa"/>
          </w:tcPr>
          <w:p w14:paraId="30EC16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w:t>
            </w:r>
          </w:p>
        </w:tc>
        <w:tc>
          <w:tcPr>
            <w:tcW w:w="655" w:type="dxa"/>
          </w:tcPr>
          <w:p w14:paraId="6C2FC2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F416F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0C677C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92D61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D0929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390A7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F6AD8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0FB78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A4F49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3ED1CF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20878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A05C3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0678640" w14:textId="77777777" w:rsidTr="00CC5360">
        <w:tc>
          <w:tcPr>
            <w:tcW w:w="655" w:type="dxa"/>
          </w:tcPr>
          <w:p w14:paraId="474D62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153</w:t>
            </w:r>
          </w:p>
        </w:tc>
        <w:tc>
          <w:tcPr>
            <w:tcW w:w="655" w:type="dxa"/>
          </w:tcPr>
          <w:p w14:paraId="7EBEBD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66BC9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01F0E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28757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D4761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66F58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8B22B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649EC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CFBC5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1CB22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8FE65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2931A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D9A56EA" w14:textId="77777777" w:rsidTr="00CC5360">
        <w:tc>
          <w:tcPr>
            <w:tcW w:w="655" w:type="dxa"/>
          </w:tcPr>
          <w:p w14:paraId="4E9639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154</w:t>
            </w:r>
          </w:p>
        </w:tc>
        <w:tc>
          <w:tcPr>
            <w:tcW w:w="655" w:type="dxa"/>
          </w:tcPr>
          <w:p w14:paraId="743B78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8942F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7EC1B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7F257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703F7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E305F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20BF81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DE0DB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64015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43800E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2B1ED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EE2CB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A097101" w14:textId="77777777" w:rsidTr="00CC5360">
        <w:tc>
          <w:tcPr>
            <w:tcW w:w="655" w:type="dxa"/>
          </w:tcPr>
          <w:p w14:paraId="250544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w:t>
            </w:r>
          </w:p>
        </w:tc>
        <w:tc>
          <w:tcPr>
            <w:tcW w:w="655" w:type="dxa"/>
          </w:tcPr>
          <w:p w14:paraId="562A2E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B4593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273685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19F3C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4DA32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1CED1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65665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B8590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E0575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727900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7270B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FF6CC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9E27275" w14:textId="77777777" w:rsidTr="00CC5360">
        <w:tc>
          <w:tcPr>
            <w:tcW w:w="655" w:type="dxa"/>
          </w:tcPr>
          <w:p w14:paraId="37411F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655" w:type="dxa"/>
          </w:tcPr>
          <w:p w14:paraId="5872F5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D36B7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472570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25254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B7CB4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A2F38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0A844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256D3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80B52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Pr>
          <w:p w14:paraId="05632A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87387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320BC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528CBAF" w14:textId="77777777" w:rsidTr="00CC5360">
        <w:tc>
          <w:tcPr>
            <w:tcW w:w="655" w:type="dxa"/>
          </w:tcPr>
          <w:p w14:paraId="2F4DED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w:t>
            </w:r>
          </w:p>
        </w:tc>
        <w:tc>
          <w:tcPr>
            <w:tcW w:w="655" w:type="dxa"/>
          </w:tcPr>
          <w:p w14:paraId="5BAA03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461DB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91F03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15E798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0D195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36701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1C009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F2FC7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70164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4B6C0C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0B2F20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A0D8E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7E33C6C" w14:textId="77777777" w:rsidTr="00CC5360">
        <w:tc>
          <w:tcPr>
            <w:tcW w:w="655" w:type="dxa"/>
          </w:tcPr>
          <w:p w14:paraId="691AE4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462</w:t>
            </w:r>
          </w:p>
        </w:tc>
        <w:tc>
          <w:tcPr>
            <w:tcW w:w="655" w:type="dxa"/>
          </w:tcPr>
          <w:p w14:paraId="47B03F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F820C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B1A67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4F0A1F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26E89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5AF99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C953C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44D47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3B32F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C20E6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538BC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CB5DC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510F3BC" w14:textId="77777777" w:rsidTr="00CC5360">
        <w:tc>
          <w:tcPr>
            <w:tcW w:w="655" w:type="dxa"/>
          </w:tcPr>
          <w:p w14:paraId="3391C0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466</w:t>
            </w:r>
          </w:p>
        </w:tc>
        <w:tc>
          <w:tcPr>
            <w:tcW w:w="655" w:type="dxa"/>
          </w:tcPr>
          <w:p w14:paraId="798BCF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3A04C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379374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EF4DF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31BC6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B9B5C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723169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CA03E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A85DF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CE146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95313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31559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9C7872F" w14:textId="77777777" w:rsidTr="00CC5360">
        <w:tc>
          <w:tcPr>
            <w:tcW w:w="655" w:type="dxa"/>
          </w:tcPr>
          <w:p w14:paraId="666355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458</w:t>
            </w:r>
          </w:p>
        </w:tc>
        <w:tc>
          <w:tcPr>
            <w:tcW w:w="655" w:type="dxa"/>
          </w:tcPr>
          <w:p w14:paraId="0BDABA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1371B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1A35CC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CEF45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243DD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09E92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E5E4F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31D24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009D5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643EA9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30399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C2385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BB357A7" w14:textId="77777777" w:rsidTr="00CC5360">
        <w:tc>
          <w:tcPr>
            <w:tcW w:w="655" w:type="dxa"/>
          </w:tcPr>
          <w:p w14:paraId="4699CD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w:t>
            </w:r>
          </w:p>
        </w:tc>
        <w:tc>
          <w:tcPr>
            <w:tcW w:w="655" w:type="dxa"/>
          </w:tcPr>
          <w:p w14:paraId="156B71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5E167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435B9D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2CC555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95AAF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7124F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346F58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EB52B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7755FF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Pr>
          <w:p w14:paraId="392DE0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Pr>
          <w:p w14:paraId="301D20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86D14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864A313" w14:textId="77777777" w:rsidTr="00CC5360">
        <w:tc>
          <w:tcPr>
            <w:tcW w:w="655" w:type="dxa"/>
          </w:tcPr>
          <w:p w14:paraId="6A3685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отряд</w:t>
            </w:r>
          </w:p>
        </w:tc>
        <w:tc>
          <w:tcPr>
            <w:tcW w:w="655" w:type="dxa"/>
          </w:tcPr>
          <w:p w14:paraId="489A0B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58B708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0BCFE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6D8B49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1396F5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215417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3209C2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3B6E3E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0F62D2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Pr>
          <w:p w14:paraId="5D43E7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Pr>
          <w:p w14:paraId="1106CC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55" w:type="dxa"/>
          </w:tcPr>
          <w:p w14:paraId="4CF0AE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1155E46" w14:textId="77777777" w:rsidTr="00CC5360">
        <w:tc>
          <w:tcPr>
            <w:tcW w:w="655" w:type="dxa"/>
            <w:tcBorders>
              <w:bottom w:val="single" w:sz="12" w:space="0" w:color="auto"/>
            </w:tcBorders>
          </w:tcPr>
          <w:p w14:paraId="57D0D9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655" w:type="dxa"/>
            <w:tcBorders>
              <w:bottom w:val="single" w:sz="12" w:space="0" w:color="auto"/>
            </w:tcBorders>
          </w:tcPr>
          <w:p w14:paraId="02370B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655" w:type="dxa"/>
            <w:tcBorders>
              <w:bottom w:val="single" w:sz="12" w:space="0" w:color="auto"/>
            </w:tcBorders>
          </w:tcPr>
          <w:p w14:paraId="14C600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655" w:type="dxa"/>
            <w:tcBorders>
              <w:bottom w:val="single" w:sz="12" w:space="0" w:color="auto"/>
            </w:tcBorders>
          </w:tcPr>
          <w:p w14:paraId="0B1490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655" w:type="dxa"/>
            <w:tcBorders>
              <w:bottom w:val="single" w:sz="12" w:space="0" w:color="auto"/>
            </w:tcBorders>
          </w:tcPr>
          <w:p w14:paraId="2EF8F4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655" w:type="dxa"/>
            <w:tcBorders>
              <w:bottom w:val="single" w:sz="12" w:space="0" w:color="auto"/>
            </w:tcBorders>
          </w:tcPr>
          <w:p w14:paraId="1FB9E6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Borders>
              <w:bottom w:val="single" w:sz="12" w:space="0" w:color="auto"/>
            </w:tcBorders>
          </w:tcPr>
          <w:p w14:paraId="39C916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655" w:type="dxa"/>
            <w:tcBorders>
              <w:bottom w:val="single" w:sz="12" w:space="0" w:color="auto"/>
            </w:tcBorders>
          </w:tcPr>
          <w:p w14:paraId="727F42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Borders>
              <w:bottom w:val="single" w:sz="12" w:space="0" w:color="auto"/>
            </w:tcBorders>
          </w:tcPr>
          <w:p w14:paraId="173476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55" w:type="dxa"/>
            <w:tcBorders>
              <w:bottom w:val="single" w:sz="12" w:space="0" w:color="auto"/>
            </w:tcBorders>
          </w:tcPr>
          <w:p w14:paraId="52C0FC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655" w:type="dxa"/>
            <w:tcBorders>
              <w:bottom w:val="single" w:sz="12" w:space="0" w:color="auto"/>
            </w:tcBorders>
          </w:tcPr>
          <w:p w14:paraId="509799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655" w:type="dxa"/>
            <w:tcBorders>
              <w:bottom w:val="single" w:sz="12" w:space="0" w:color="auto"/>
            </w:tcBorders>
          </w:tcPr>
          <w:p w14:paraId="62EC6C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655" w:type="dxa"/>
            <w:tcBorders>
              <w:bottom w:val="single" w:sz="12" w:space="0" w:color="auto"/>
            </w:tcBorders>
          </w:tcPr>
          <w:p w14:paraId="230991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r>
    </w:tbl>
    <w:p w14:paraId="6BCE75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54 происшествия, в т.ч.: катастроф - 8, аварий - 31, поломок и вынужденых посадок - 12, особых происшествий - 3</w:t>
      </w:r>
    </w:p>
    <w:p w14:paraId="6A6F3F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ОЛИС НКАП Окороков (2108,265)</w:t>
      </w:r>
    </w:p>
    <w:p w14:paraId="48F0C3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Сведения об аварийных происшествиях на ЛИС заводов НКАП за 1942 г. (согласно поступившим материалам в ОЛИС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9B487A" w:rsidRPr="00722885" w14:paraId="2583148C" w14:textId="77777777" w:rsidTr="00CC5360">
        <w:tc>
          <w:tcPr>
            <w:tcW w:w="675" w:type="dxa"/>
            <w:tcBorders>
              <w:top w:val="single" w:sz="12" w:space="0" w:color="auto"/>
            </w:tcBorders>
          </w:tcPr>
          <w:p w14:paraId="57774F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п/п</w:t>
            </w:r>
          </w:p>
        </w:tc>
        <w:tc>
          <w:tcPr>
            <w:tcW w:w="993" w:type="dxa"/>
            <w:tcBorders>
              <w:top w:val="single" w:sz="12" w:space="0" w:color="auto"/>
            </w:tcBorders>
          </w:tcPr>
          <w:p w14:paraId="173A0D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Дата</w:t>
            </w:r>
          </w:p>
        </w:tc>
        <w:tc>
          <w:tcPr>
            <w:tcW w:w="708" w:type="dxa"/>
            <w:tcBorders>
              <w:top w:val="single" w:sz="12" w:space="0" w:color="auto"/>
            </w:tcBorders>
          </w:tcPr>
          <w:p w14:paraId="292C6D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Заводов</w:t>
            </w:r>
          </w:p>
        </w:tc>
        <w:tc>
          <w:tcPr>
            <w:tcW w:w="1418" w:type="dxa"/>
            <w:tcBorders>
              <w:top w:val="single" w:sz="12" w:space="0" w:color="auto"/>
            </w:tcBorders>
          </w:tcPr>
          <w:p w14:paraId="28695A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w:t>
            </w:r>
          </w:p>
        </w:tc>
        <w:tc>
          <w:tcPr>
            <w:tcW w:w="2364" w:type="dxa"/>
            <w:tcBorders>
              <w:top w:val="single" w:sz="12" w:space="0" w:color="auto"/>
            </w:tcBorders>
          </w:tcPr>
          <w:p w14:paraId="6CC261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781DAD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Краткое описание и причины происшествия</w:t>
            </w:r>
          </w:p>
        </w:tc>
      </w:tr>
      <w:tr w:rsidR="009B487A" w:rsidRPr="00722885" w14:paraId="7046C5EC" w14:textId="77777777" w:rsidTr="00CC5360">
        <w:tc>
          <w:tcPr>
            <w:tcW w:w="675" w:type="dxa"/>
          </w:tcPr>
          <w:p w14:paraId="30B80B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993" w:type="dxa"/>
          </w:tcPr>
          <w:p w14:paraId="1F92F3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708" w:type="dxa"/>
          </w:tcPr>
          <w:p w14:paraId="63A6A4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418" w:type="dxa"/>
          </w:tcPr>
          <w:p w14:paraId="0AF22A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2364" w:type="dxa"/>
          </w:tcPr>
          <w:p w14:paraId="07590F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4440" w:type="dxa"/>
          </w:tcPr>
          <w:p w14:paraId="7EB13B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r>
      <w:tr w:rsidR="009B487A" w:rsidRPr="00722885" w14:paraId="0D45618C" w14:textId="77777777" w:rsidTr="00CC5360">
        <w:tc>
          <w:tcPr>
            <w:tcW w:w="675" w:type="dxa"/>
          </w:tcPr>
          <w:p w14:paraId="6623DB0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993" w:type="dxa"/>
          </w:tcPr>
          <w:p w14:paraId="0895A1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января 1942</w:t>
            </w:r>
          </w:p>
        </w:tc>
        <w:tc>
          <w:tcPr>
            <w:tcW w:w="708" w:type="dxa"/>
          </w:tcPr>
          <w:p w14:paraId="6F5B30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418" w:type="dxa"/>
          </w:tcPr>
          <w:p w14:paraId="18577A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364" w:type="dxa"/>
          </w:tcPr>
          <w:p w14:paraId="6EF978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Особое происшествие, с-т ПЛ-5 транспортный</w:t>
            </w:r>
          </w:p>
        </w:tc>
        <w:tc>
          <w:tcPr>
            <w:tcW w:w="4440" w:type="dxa"/>
          </w:tcPr>
          <w:p w14:paraId="739A9B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Неправильная буксировка с-та в отсутствии бортмеханика. Поломано шасси</w:t>
            </w:r>
          </w:p>
        </w:tc>
      </w:tr>
      <w:tr w:rsidR="009B487A" w:rsidRPr="00722885" w14:paraId="1CED5194" w14:textId="77777777" w:rsidTr="00CC5360">
        <w:tc>
          <w:tcPr>
            <w:tcW w:w="675" w:type="dxa"/>
          </w:tcPr>
          <w:p w14:paraId="39BBF9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993" w:type="dxa"/>
          </w:tcPr>
          <w:p w14:paraId="7B67FB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января 1942</w:t>
            </w:r>
          </w:p>
        </w:tc>
        <w:tc>
          <w:tcPr>
            <w:tcW w:w="708" w:type="dxa"/>
          </w:tcPr>
          <w:p w14:paraId="5F183C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3FD22B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И.И.Богданов</w:t>
            </w:r>
          </w:p>
        </w:tc>
        <w:tc>
          <w:tcPr>
            <w:tcW w:w="2364" w:type="dxa"/>
          </w:tcPr>
          <w:p w14:paraId="7CD370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569493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сдаточном полете произошла раскрутка винта, с-т теряя скорость сделал посадку с убраным шасси на границе аэродрома. С-т разбит</w:t>
            </w:r>
          </w:p>
        </w:tc>
      </w:tr>
      <w:tr w:rsidR="009B487A" w:rsidRPr="00722885" w14:paraId="4FA48A12" w14:textId="77777777" w:rsidTr="00CC5360">
        <w:tc>
          <w:tcPr>
            <w:tcW w:w="675" w:type="dxa"/>
          </w:tcPr>
          <w:p w14:paraId="575F6D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993" w:type="dxa"/>
          </w:tcPr>
          <w:p w14:paraId="03095B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января 1942</w:t>
            </w:r>
          </w:p>
        </w:tc>
        <w:tc>
          <w:tcPr>
            <w:tcW w:w="708" w:type="dxa"/>
          </w:tcPr>
          <w:p w14:paraId="1907B9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418" w:type="dxa"/>
          </w:tcPr>
          <w:p w14:paraId="585CB8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Г.А.Ветлугин</w:t>
            </w:r>
          </w:p>
        </w:tc>
        <w:tc>
          <w:tcPr>
            <w:tcW w:w="2364" w:type="dxa"/>
          </w:tcPr>
          <w:p w14:paraId="782215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Вынужденная посадка УТ-2 транспортного</w:t>
            </w:r>
          </w:p>
        </w:tc>
        <w:tc>
          <w:tcPr>
            <w:tcW w:w="4440" w:type="dxa"/>
          </w:tcPr>
          <w:p w14:paraId="4E9BF2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недостатка горючего с-т вынуждено сел не долетев к месту назначения. Повреждений нет</w:t>
            </w:r>
          </w:p>
        </w:tc>
      </w:tr>
      <w:tr w:rsidR="009B487A" w:rsidRPr="00722885" w14:paraId="5F6DE012" w14:textId="77777777" w:rsidTr="00CC5360">
        <w:tc>
          <w:tcPr>
            <w:tcW w:w="675" w:type="dxa"/>
          </w:tcPr>
          <w:p w14:paraId="7651A3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4</w:t>
            </w:r>
          </w:p>
        </w:tc>
        <w:tc>
          <w:tcPr>
            <w:tcW w:w="993" w:type="dxa"/>
          </w:tcPr>
          <w:p w14:paraId="34EF44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января 1942</w:t>
            </w:r>
          </w:p>
        </w:tc>
        <w:tc>
          <w:tcPr>
            <w:tcW w:w="708" w:type="dxa"/>
          </w:tcPr>
          <w:p w14:paraId="5A1772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418" w:type="dxa"/>
          </w:tcPr>
          <w:p w14:paraId="508C9D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Г.А.Ветлугин</w:t>
            </w:r>
          </w:p>
        </w:tc>
        <w:tc>
          <w:tcPr>
            <w:tcW w:w="2364" w:type="dxa"/>
          </w:tcPr>
          <w:p w14:paraId="3D75C2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УТ-2 транспортного</w:t>
            </w:r>
          </w:p>
        </w:tc>
        <w:tc>
          <w:tcPr>
            <w:tcW w:w="4440" w:type="dxa"/>
          </w:tcPr>
          <w:p w14:paraId="69BEFF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на площадку ограниченных размеров л допустил ошибку в технике пилотирования.</w:t>
            </w:r>
          </w:p>
        </w:tc>
      </w:tr>
      <w:tr w:rsidR="009B487A" w:rsidRPr="00722885" w14:paraId="6C1D8680" w14:textId="77777777" w:rsidTr="00CC5360">
        <w:tc>
          <w:tcPr>
            <w:tcW w:w="675" w:type="dxa"/>
          </w:tcPr>
          <w:p w14:paraId="153A07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993" w:type="dxa"/>
          </w:tcPr>
          <w:p w14:paraId="6E4747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января 1942</w:t>
            </w:r>
          </w:p>
        </w:tc>
        <w:tc>
          <w:tcPr>
            <w:tcW w:w="708" w:type="dxa"/>
          </w:tcPr>
          <w:p w14:paraId="3F96BC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w:t>
            </w:r>
          </w:p>
        </w:tc>
        <w:tc>
          <w:tcPr>
            <w:tcW w:w="1418" w:type="dxa"/>
          </w:tcPr>
          <w:p w14:paraId="14BBFB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Г.П.Шустваль</w:t>
            </w:r>
          </w:p>
        </w:tc>
        <w:tc>
          <w:tcPr>
            <w:tcW w:w="2364" w:type="dxa"/>
          </w:tcPr>
          <w:p w14:paraId="0AB222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АР-2 транспортного</w:t>
            </w:r>
          </w:p>
        </w:tc>
        <w:tc>
          <w:tcPr>
            <w:tcW w:w="4440" w:type="dxa"/>
          </w:tcPr>
          <w:p w14:paraId="6EDB3F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сложных метеоусловиях (туман, повышение местности) с-т при развороте врезался левой плоскостью в землю и разбился. Погибли: л, ш, моторист, пассажир. Бортмеханик тяжело ранен</w:t>
            </w:r>
          </w:p>
        </w:tc>
      </w:tr>
      <w:tr w:rsidR="009B487A" w:rsidRPr="00722885" w14:paraId="4F42D563" w14:textId="77777777" w:rsidTr="00CC5360">
        <w:tc>
          <w:tcPr>
            <w:tcW w:w="675" w:type="dxa"/>
          </w:tcPr>
          <w:p w14:paraId="43BDBC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993" w:type="dxa"/>
          </w:tcPr>
          <w:p w14:paraId="60E36F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января 1942</w:t>
            </w:r>
          </w:p>
        </w:tc>
        <w:tc>
          <w:tcPr>
            <w:tcW w:w="708" w:type="dxa"/>
          </w:tcPr>
          <w:p w14:paraId="103A41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1418" w:type="dxa"/>
          </w:tcPr>
          <w:p w14:paraId="25F8FC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С.Ф.Сенкевич</w:t>
            </w:r>
          </w:p>
        </w:tc>
        <w:tc>
          <w:tcPr>
            <w:tcW w:w="2364" w:type="dxa"/>
          </w:tcPr>
          <w:p w14:paraId="5BFF6C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Су-2 на испытаниях</w:t>
            </w:r>
          </w:p>
        </w:tc>
        <w:tc>
          <w:tcPr>
            <w:tcW w:w="4440" w:type="dxa"/>
          </w:tcPr>
          <w:p w14:paraId="71045B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лопнул левый баллон колеса. С-т получил незначительные повреждения</w:t>
            </w:r>
          </w:p>
        </w:tc>
      </w:tr>
      <w:tr w:rsidR="009B487A" w:rsidRPr="00722885" w14:paraId="1FE9EEB5" w14:textId="77777777" w:rsidTr="00CC5360">
        <w:tc>
          <w:tcPr>
            <w:tcW w:w="675" w:type="dxa"/>
          </w:tcPr>
          <w:p w14:paraId="520112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993" w:type="dxa"/>
          </w:tcPr>
          <w:p w14:paraId="0E1C7E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января 1942</w:t>
            </w:r>
          </w:p>
        </w:tc>
        <w:tc>
          <w:tcPr>
            <w:tcW w:w="708" w:type="dxa"/>
          </w:tcPr>
          <w:p w14:paraId="762B72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7BE282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Н.Г.Алифанов</w:t>
            </w:r>
          </w:p>
        </w:tc>
        <w:tc>
          <w:tcPr>
            <w:tcW w:w="2364" w:type="dxa"/>
          </w:tcPr>
          <w:p w14:paraId="3BC35E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Авирия ЛаГГ-3 на испытаниях</w:t>
            </w:r>
          </w:p>
        </w:tc>
        <w:tc>
          <w:tcPr>
            <w:tcW w:w="4440" w:type="dxa"/>
          </w:tcPr>
          <w:p w14:paraId="5117FA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плохой подгонки и приклепки желоба отражающей трубы БС и плохой заделки тросса управления Р-7, выходящими газами из пулемета при стрельбе в воздухе сорвало жеклоб и вырвало тросс управления. Винт потерял управления и перешел на большой шаг, тяга винта прекратилась, с-т при вынужденной посадке садился на препятствия</w:t>
            </w:r>
          </w:p>
        </w:tc>
      </w:tr>
      <w:tr w:rsidR="009B487A" w:rsidRPr="00722885" w14:paraId="35A89F51" w14:textId="77777777" w:rsidTr="00CC5360">
        <w:tc>
          <w:tcPr>
            <w:tcW w:w="675" w:type="dxa"/>
          </w:tcPr>
          <w:p w14:paraId="6C7758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w:t>
            </w:r>
          </w:p>
        </w:tc>
        <w:tc>
          <w:tcPr>
            <w:tcW w:w="993" w:type="dxa"/>
          </w:tcPr>
          <w:p w14:paraId="399CD2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января 1942</w:t>
            </w:r>
          </w:p>
        </w:tc>
        <w:tc>
          <w:tcPr>
            <w:tcW w:w="708" w:type="dxa"/>
          </w:tcPr>
          <w:p w14:paraId="505578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418" w:type="dxa"/>
          </w:tcPr>
          <w:p w14:paraId="79F28C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П.Г.Неклюдов</w:t>
            </w:r>
          </w:p>
        </w:tc>
        <w:tc>
          <w:tcPr>
            <w:tcW w:w="2364" w:type="dxa"/>
          </w:tcPr>
          <w:p w14:paraId="68FE80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Авиария МиГ-3 на испытаниях</w:t>
            </w:r>
          </w:p>
        </w:tc>
        <w:tc>
          <w:tcPr>
            <w:tcW w:w="4440" w:type="dxa"/>
          </w:tcPr>
          <w:p w14:paraId="068EF7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сдаточном полете на разбеге из-за неисправности лыжного амортизатора левая лыжа зацепилась за снег. С-т требует восстановительного ремонта</w:t>
            </w:r>
          </w:p>
        </w:tc>
      </w:tr>
      <w:tr w:rsidR="009B487A" w:rsidRPr="00722885" w14:paraId="0D01DCD8" w14:textId="77777777" w:rsidTr="00CC5360">
        <w:tc>
          <w:tcPr>
            <w:tcW w:w="675" w:type="dxa"/>
          </w:tcPr>
          <w:p w14:paraId="20F4A7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993" w:type="dxa"/>
          </w:tcPr>
          <w:p w14:paraId="64DD6C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февраля 1942</w:t>
            </w:r>
          </w:p>
        </w:tc>
        <w:tc>
          <w:tcPr>
            <w:tcW w:w="708" w:type="dxa"/>
          </w:tcPr>
          <w:p w14:paraId="1D8FB1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w:t>
            </w:r>
          </w:p>
        </w:tc>
        <w:tc>
          <w:tcPr>
            <w:tcW w:w="1418" w:type="dxa"/>
          </w:tcPr>
          <w:p w14:paraId="2CA09B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А.Е.Фатьянов</w:t>
            </w:r>
          </w:p>
        </w:tc>
        <w:tc>
          <w:tcPr>
            <w:tcW w:w="2364" w:type="dxa"/>
          </w:tcPr>
          <w:p w14:paraId="28700E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ПС-84 транспортного</w:t>
            </w:r>
          </w:p>
        </w:tc>
        <w:tc>
          <w:tcPr>
            <w:tcW w:w="4440" w:type="dxa"/>
          </w:tcPr>
          <w:p w14:paraId="6DEF36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Ошибка л Фатьянова, взлетевшего с 3-х точек и отрыв с-та на малой скорости при полной загрузке</w:t>
            </w:r>
          </w:p>
        </w:tc>
      </w:tr>
      <w:tr w:rsidR="009B487A" w:rsidRPr="00722885" w14:paraId="1A68224B" w14:textId="77777777" w:rsidTr="00CC5360">
        <w:tc>
          <w:tcPr>
            <w:tcW w:w="675" w:type="dxa"/>
          </w:tcPr>
          <w:p w14:paraId="1B8213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993" w:type="dxa"/>
          </w:tcPr>
          <w:p w14:paraId="684518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февраля 1942</w:t>
            </w:r>
          </w:p>
        </w:tc>
        <w:tc>
          <w:tcPr>
            <w:tcW w:w="708" w:type="dxa"/>
          </w:tcPr>
          <w:p w14:paraId="3DCC35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5E365C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Ю.К.Станкевич</w:t>
            </w:r>
          </w:p>
        </w:tc>
        <w:tc>
          <w:tcPr>
            <w:tcW w:w="2364" w:type="dxa"/>
          </w:tcPr>
          <w:p w14:paraId="669855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ЛаГГ-3 на испытаниях</w:t>
            </w:r>
          </w:p>
        </w:tc>
        <w:tc>
          <w:tcPr>
            <w:tcW w:w="4440" w:type="dxa"/>
          </w:tcPr>
          <w:p w14:paraId="7D1E9C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отрыва предкрылка левого крыла в воздухе на с-те ЛаГГ-3, с-т свалился в штопор и врезался в землю. Установлено, что не соответствовали механические качества серьги предкрылка. Лнтчик погиб</w:t>
            </w:r>
          </w:p>
        </w:tc>
      </w:tr>
      <w:tr w:rsidR="009B487A" w:rsidRPr="00722885" w14:paraId="55F3EE56" w14:textId="77777777" w:rsidTr="00CC5360">
        <w:tc>
          <w:tcPr>
            <w:tcW w:w="675" w:type="dxa"/>
          </w:tcPr>
          <w:p w14:paraId="27F847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993" w:type="dxa"/>
          </w:tcPr>
          <w:p w14:paraId="7AE472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февраля 1942</w:t>
            </w:r>
          </w:p>
        </w:tc>
        <w:tc>
          <w:tcPr>
            <w:tcW w:w="708" w:type="dxa"/>
          </w:tcPr>
          <w:p w14:paraId="28F841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1418" w:type="dxa"/>
          </w:tcPr>
          <w:p w14:paraId="56F5B1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А.П.Горбатов</w:t>
            </w:r>
          </w:p>
        </w:tc>
        <w:tc>
          <w:tcPr>
            <w:tcW w:w="2364" w:type="dxa"/>
          </w:tcPr>
          <w:p w14:paraId="2A9AF7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Як-1 на испытании</w:t>
            </w:r>
          </w:p>
        </w:tc>
        <w:tc>
          <w:tcPr>
            <w:tcW w:w="4440" w:type="dxa"/>
          </w:tcPr>
          <w:p w14:paraId="1622F3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л позабыл выпустить шасси. При посадке на пузо изогнут винт, две балки РО и помяты гондолы водорадиатора</w:t>
            </w:r>
          </w:p>
        </w:tc>
      </w:tr>
      <w:tr w:rsidR="009B487A" w:rsidRPr="00722885" w14:paraId="334159BC" w14:textId="77777777" w:rsidTr="00CC5360">
        <w:tc>
          <w:tcPr>
            <w:tcW w:w="675" w:type="dxa"/>
          </w:tcPr>
          <w:p w14:paraId="0A0B38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993" w:type="dxa"/>
          </w:tcPr>
          <w:p w14:paraId="6B7135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марта 1942</w:t>
            </w:r>
          </w:p>
        </w:tc>
        <w:tc>
          <w:tcPr>
            <w:tcW w:w="708" w:type="dxa"/>
          </w:tcPr>
          <w:p w14:paraId="712876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384950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И.Г.Девотченко </w:t>
            </w:r>
          </w:p>
        </w:tc>
        <w:tc>
          <w:tcPr>
            <w:tcW w:w="2364" w:type="dxa"/>
          </w:tcPr>
          <w:p w14:paraId="6FA0DC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092A35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 по вине л не смог оторваться от земли на взлете, выкатился за границу аэродрома и врезался в бугор снега</w:t>
            </w:r>
          </w:p>
        </w:tc>
      </w:tr>
      <w:tr w:rsidR="009B487A" w:rsidRPr="00722885" w14:paraId="0DC9243C" w14:textId="77777777" w:rsidTr="00CC5360">
        <w:tc>
          <w:tcPr>
            <w:tcW w:w="675" w:type="dxa"/>
          </w:tcPr>
          <w:p w14:paraId="6D1C55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w:t>
            </w:r>
          </w:p>
        </w:tc>
        <w:tc>
          <w:tcPr>
            <w:tcW w:w="993" w:type="dxa"/>
          </w:tcPr>
          <w:p w14:paraId="7303C9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марта 1942</w:t>
            </w:r>
          </w:p>
        </w:tc>
        <w:tc>
          <w:tcPr>
            <w:tcW w:w="708" w:type="dxa"/>
          </w:tcPr>
          <w:p w14:paraId="735018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1418" w:type="dxa"/>
          </w:tcPr>
          <w:p w14:paraId="62D61B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А.П.Горбатов</w:t>
            </w:r>
          </w:p>
        </w:tc>
        <w:tc>
          <w:tcPr>
            <w:tcW w:w="2364" w:type="dxa"/>
          </w:tcPr>
          <w:p w14:paraId="4AEE4D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Авиария Як-1 на испытаниях</w:t>
            </w:r>
          </w:p>
        </w:tc>
        <w:tc>
          <w:tcPr>
            <w:tcW w:w="4440" w:type="dxa"/>
          </w:tcPr>
          <w:p w14:paraId="332782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заходе на посадку л допустил большую скорость при низком выдерживании, вследствие чего произошел удар шасси и разрушение, после чего с-т пополз на пузе, получив повреждения</w:t>
            </w:r>
          </w:p>
        </w:tc>
      </w:tr>
      <w:tr w:rsidR="009B487A" w:rsidRPr="00722885" w14:paraId="4DD171C8" w14:textId="77777777" w:rsidTr="00CC5360">
        <w:tc>
          <w:tcPr>
            <w:tcW w:w="675" w:type="dxa"/>
          </w:tcPr>
          <w:p w14:paraId="787FDB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w:t>
            </w:r>
          </w:p>
        </w:tc>
        <w:tc>
          <w:tcPr>
            <w:tcW w:w="993" w:type="dxa"/>
          </w:tcPr>
          <w:p w14:paraId="5C1B59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марта 1942</w:t>
            </w:r>
          </w:p>
        </w:tc>
        <w:tc>
          <w:tcPr>
            <w:tcW w:w="708" w:type="dxa"/>
          </w:tcPr>
          <w:p w14:paraId="2042CC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Новосибирск</w:t>
            </w:r>
          </w:p>
        </w:tc>
        <w:tc>
          <w:tcPr>
            <w:tcW w:w="1418" w:type="dxa"/>
          </w:tcPr>
          <w:p w14:paraId="3DA152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М.К.Байкалов</w:t>
            </w:r>
          </w:p>
        </w:tc>
        <w:tc>
          <w:tcPr>
            <w:tcW w:w="2364" w:type="dxa"/>
          </w:tcPr>
          <w:p w14:paraId="70E57C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2ED574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с убраной левой лыжей и выпущенной неисправной правой лыжей</w:t>
            </w:r>
          </w:p>
        </w:tc>
      </w:tr>
      <w:tr w:rsidR="009B487A" w:rsidRPr="00722885" w14:paraId="486B46B2" w14:textId="77777777" w:rsidTr="00CC5360">
        <w:tc>
          <w:tcPr>
            <w:tcW w:w="675" w:type="dxa"/>
          </w:tcPr>
          <w:p w14:paraId="7706F0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993" w:type="dxa"/>
          </w:tcPr>
          <w:p w14:paraId="6050DE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марта 1942</w:t>
            </w:r>
          </w:p>
        </w:tc>
        <w:tc>
          <w:tcPr>
            <w:tcW w:w="708" w:type="dxa"/>
          </w:tcPr>
          <w:p w14:paraId="198557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отряд</w:t>
            </w:r>
          </w:p>
        </w:tc>
        <w:tc>
          <w:tcPr>
            <w:tcW w:w="1418" w:type="dxa"/>
          </w:tcPr>
          <w:p w14:paraId="2B770F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И.М.Скороходов</w:t>
            </w:r>
          </w:p>
        </w:tc>
        <w:tc>
          <w:tcPr>
            <w:tcW w:w="2364" w:type="dxa"/>
          </w:tcPr>
          <w:p w14:paraId="11A59E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ПС-84 транспортного</w:t>
            </w:r>
          </w:p>
        </w:tc>
        <w:tc>
          <w:tcPr>
            <w:tcW w:w="4440" w:type="dxa"/>
          </w:tcPr>
          <w:p w14:paraId="19BED1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 с недостаточно подогретым карбюратором по вине л и б/м</w:t>
            </w:r>
          </w:p>
        </w:tc>
      </w:tr>
      <w:tr w:rsidR="009B487A" w:rsidRPr="00722885" w14:paraId="37CA907A" w14:textId="77777777" w:rsidTr="00CC5360">
        <w:tc>
          <w:tcPr>
            <w:tcW w:w="675" w:type="dxa"/>
          </w:tcPr>
          <w:p w14:paraId="5683FF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993" w:type="dxa"/>
          </w:tcPr>
          <w:p w14:paraId="20FF96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апреля 1942</w:t>
            </w:r>
          </w:p>
        </w:tc>
        <w:tc>
          <w:tcPr>
            <w:tcW w:w="708" w:type="dxa"/>
          </w:tcPr>
          <w:p w14:paraId="08470C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Раменское</w:t>
            </w:r>
          </w:p>
        </w:tc>
        <w:tc>
          <w:tcPr>
            <w:tcW w:w="1418" w:type="dxa"/>
          </w:tcPr>
          <w:p w14:paraId="28B4B9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В.П.Федоров</w:t>
            </w:r>
          </w:p>
        </w:tc>
        <w:tc>
          <w:tcPr>
            <w:tcW w:w="2364" w:type="dxa"/>
          </w:tcPr>
          <w:p w14:paraId="382F8A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ДБ-3 транспортного</w:t>
            </w:r>
          </w:p>
        </w:tc>
        <w:tc>
          <w:tcPr>
            <w:tcW w:w="4440" w:type="dxa"/>
          </w:tcPr>
          <w:p w14:paraId="12E009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сдачи обоих моторов произошла вынужденная посадка, окончившаяся столкновением с другим с-том</w:t>
            </w:r>
          </w:p>
        </w:tc>
      </w:tr>
      <w:tr w:rsidR="009B487A" w:rsidRPr="00722885" w14:paraId="31E8C178" w14:textId="77777777" w:rsidTr="00CC5360">
        <w:tc>
          <w:tcPr>
            <w:tcW w:w="675" w:type="dxa"/>
          </w:tcPr>
          <w:p w14:paraId="711564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tc>
        <w:tc>
          <w:tcPr>
            <w:tcW w:w="993" w:type="dxa"/>
          </w:tcPr>
          <w:p w14:paraId="5CB2B8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апреля 1942</w:t>
            </w:r>
          </w:p>
        </w:tc>
        <w:tc>
          <w:tcPr>
            <w:tcW w:w="708" w:type="dxa"/>
          </w:tcPr>
          <w:p w14:paraId="4F6184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458</w:t>
            </w:r>
          </w:p>
        </w:tc>
        <w:tc>
          <w:tcPr>
            <w:tcW w:w="1418" w:type="dxa"/>
          </w:tcPr>
          <w:p w14:paraId="6B2138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С.Г.Петухов</w:t>
            </w:r>
          </w:p>
        </w:tc>
        <w:tc>
          <w:tcPr>
            <w:tcW w:w="2364" w:type="dxa"/>
          </w:tcPr>
          <w:p w14:paraId="748886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на испытаниях</w:t>
            </w:r>
          </w:p>
        </w:tc>
        <w:tc>
          <w:tcPr>
            <w:tcW w:w="4440" w:type="dxa"/>
          </w:tcPr>
          <w:p w14:paraId="349E24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Воздушное хулиганство. При посадке с-т не выдержал направление по вине л</w:t>
            </w:r>
          </w:p>
        </w:tc>
      </w:tr>
      <w:tr w:rsidR="009B487A" w:rsidRPr="00722885" w14:paraId="73CB6E40" w14:textId="77777777" w:rsidTr="00CC5360">
        <w:tc>
          <w:tcPr>
            <w:tcW w:w="675" w:type="dxa"/>
          </w:tcPr>
          <w:p w14:paraId="4952D7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993" w:type="dxa"/>
          </w:tcPr>
          <w:p w14:paraId="0A2EEB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апреля 1942</w:t>
            </w:r>
          </w:p>
        </w:tc>
        <w:tc>
          <w:tcPr>
            <w:tcW w:w="708" w:type="dxa"/>
          </w:tcPr>
          <w:p w14:paraId="451D01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418" w:type="dxa"/>
          </w:tcPr>
          <w:p w14:paraId="04DC77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Иващенко</w:t>
            </w:r>
          </w:p>
        </w:tc>
        <w:tc>
          <w:tcPr>
            <w:tcW w:w="2364" w:type="dxa"/>
          </w:tcPr>
          <w:p w14:paraId="18EC3C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Особое происшествие на испытаниях Ил-2</w:t>
            </w:r>
          </w:p>
        </w:tc>
        <w:tc>
          <w:tcPr>
            <w:tcW w:w="4440" w:type="dxa"/>
          </w:tcPr>
          <w:p w14:paraId="39D321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взлете без разрешения стартера с-т налетел на стоящий впереди вблизи ВПП с-т СБ и срезал ему крыло</w:t>
            </w:r>
          </w:p>
        </w:tc>
      </w:tr>
      <w:tr w:rsidR="009B487A" w:rsidRPr="00722885" w14:paraId="3E64359E" w14:textId="77777777" w:rsidTr="00CC5360">
        <w:tc>
          <w:tcPr>
            <w:tcW w:w="675" w:type="dxa"/>
          </w:tcPr>
          <w:p w14:paraId="5E5185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993" w:type="dxa"/>
          </w:tcPr>
          <w:p w14:paraId="78873A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апреля 1942</w:t>
            </w:r>
          </w:p>
        </w:tc>
        <w:tc>
          <w:tcPr>
            <w:tcW w:w="708" w:type="dxa"/>
          </w:tcPr>
          <w:p w14:paraId="76CBEF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1418" w:type="dxa"/>
          </w:tcPr>
          <w:p w14:paraId="08C214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Чекалин</w:t>
            </w:r>
          </w:p>
        </w:tc>
        <w:tc>
          <w:tcPr>
            <w:tcW w:w="2364" w:type="dxa"/>
          </w:tcPr>
          <w:p w14:paraId="1888F7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Особое происшествие на Ил-2</w:t>
            </w:r>
          </w:p>
        </w:tc>
        <w:tc>
          <w:tcPr>
            <w:tcW w:w="4440" w:type="dxa"/>
          </w:tcPr>
          <w:p w14:paraId="597A28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заруливании л по невнимательности столкнулся с другим Ил-2. Оба с-та получили значительные повреждения</w:t>
            </w:r>
          </w:p>
        </w:tc>
      </w:tr>
      <w:tr w:rsidR="009B487A" w:rsidRPr="00722885" w14:paraId="0198D15B" w14:textId="77777777" w:rsidTr="00CC5360">
        <w:tc>
          <w:tcPr>
            <w:tcW w:w="675" w:type="dxa"/>
          </w:tcPr>
          <w:p w14:paraId="2569BE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993" w:type="dxa"/>
          </w:tcPr>
          <w:p w14:paraId="64AF8F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мая 1942</w:t>
            </w:r>
          </w:p>
        </w:tc>
        <w:tc>
          <w:tcPr>
            <w:tcW w:w="708" w:type="dxa"/>
          </w:tcPr>
          <w:p w14:paraId="3E18F6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отряд</w:t>
            </w:r>
          </w:p>
        </w:tc>
        <w:tc>
          <w:tcPr>
            <w:tcW w:w="1418" w:type="dxa"/>
          </w:tcPr>
          <w:p w14:paraId="5EB681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В.А.Зайцев</w:t>
            </w:r>
          </w:p>
        </w:tc>
        <w:tc>
          <w:tcPr>
            <w:tcW w:w="2364" w:type="dxa"/>
          </w:tcPr>
          <w:p w14:paraId="1A8FC0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Вынужденная посадка</w:t>
            </w:r>
          </w:p>
        </w:tc>
        <w:tc>
          <w:tcPr>
            <w:tcW w:w="4440" w:type="dxa"/>
          </w:tcPr>
          <w:p w14:paraId="17DFD9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отказа левого мотора в воздухе л совершил вынужденную посадку</w:t>
            </w:r>
          </w:p>
        </w:tc>
      </w:tr>
      <w:tr w:rsidR="009B487A" w:rsidRPr="00722885" w14:paraId="53C4D9EC" w14:textId="77777777" w:rsidTr="00CC5360">
        <w:tc>
          <w:tcPr>
            <w:tcW w:w="675" w:type="dxa"/>
          </w:tcPr>
          <w:p w14:paraId="5EA43C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993" w:type="dxa"/>
          </w:tcPr>
          <w:p w14:paraId="5DBCFC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мая 1942</w:t>
            </w:r>
          </w:p>
        </w:tc>
        <w:tc>
          <w:tcPr>
            <w:tcW w:w="708" w:type="dxa"/>
          </w:tcPr>
          <w:p w14:paraId="361F89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отряд</w:t>
            </w:r>
          </w:p>
        </w:tc>
        <w:tc>
          <w:tcPr>
            <w:tcW w:w="1418" w:type="dxa"/>
          </w:tcPr>
          <w:p w14:paraId="72F42F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В.К.Сапетов</w:t>
            </w:r>
          </w:p>
        </w:tc>
        <w:tc>
          <w:tcPr>
            <w:tcW w:w="2364" w:type="dxa"/>
          </w:tcPr>
          <w:p w14:paraId="1CC522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ПС-84 транспортного</w:t>
            </w:r>
          </w:p>
        </w:tc>
        <w:tc>
          <w:tcPr>
            <w:tcW w:w="4440" w:type="dxa"/>
          </w:tcPr>
          <w:p w14:paraId="51CD80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рулежке разрушилась верхняя ферма правой стороны шасси, с-т упал на правое крыло</w:t>
            </w:r>
          </w:p>
        </w:tc>
      </w:tr>
      <w:tr w:rsidR="009B487A" w:rsidRPr="00722885" w14:paraId="52F100DD" w14:textId="77777777" w:rsidTr="00CC5360">
        <w:tc>
          <w:tcPr>
            <w:tcW w:w="675" w:type="dxa"/>
          </w:tcPr>
          <w:p w14:paraId="41E904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w:t>
            </w:r>
          </w:p>
        </w:tc>
        <w:tc>
          <w:tcPr>
            <w:tcW w:w="993" w:type="dxa"/>
          </w:tcPr>
          <w:p w14:paraId="234C83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мая 1942</w:t>
            </w:r>
          </w:p>
        </w:tc>
        <w:tc>
          <w:tcPr>
            <w:tcW w:w="708" w:type="dxa"/>
          </w:tcPr>
          <w:p w14:paraId="4969CB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w:t>
            </w:r>
          </w:p>
        </w:tc>
        <w:tc>
          <w:tcPr>
            <w:tcW w:w="1418" w:type="dxa"/>
          </w:tcPr>
          <w:p w14:paraId="7ABA9B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Н.А.Тихомиров</w:t>
            </w:r>
          </w:p>
        </w:tc>
        <w:tc>
          <w:tcPr>
            <w:tcW w:w="2364" w:type="dxa"/>
          </w:tcPr>
          <w:p w14:paraId="63E6CF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Як-7Б на испытаниях</w:t>
            </w:r>
          </w:p>
        </w:tc>
        <w:tc>
          <w:tcPr>
            <w:tcW w:w="4440" w:type="dxa"/>
          </w:tcPr>
          <w:p w14:paraId="28B8C1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Срыв в штопор на малой высоте по вине л (глубокий разворот на небольшой высоте). Л погиб</w:t>
            </w:r>
          </w:p>
        </w:tc>
      </w:tr>
      <w:tr w:rsidR="009B487A" w:rsidRPr="00722885" w14:paraId="605AC18F" w14:textId="77777777" w:rsidTr="00CC5360">
        <w:tc>
          <w:tcPr>
            <w:tcW w:w="675" w:type="dxa"/>
          </w:tcPr>
          <w:p w14:paraId="02BAFB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w:t>
            </w:r>
          </w:p>
        </w:tc>
        <w:tc>
          <w:tcPr>
            <w:tcW w:w="993" w:type="dxa"/>
          </w:tcPr>
          <w:p w14:paraId="5A40B0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мая 1942</w:t>
            </w:r>
          </w:p>
        </w:tc>
        <w:tc>
          <w:tcPr>
            <w:tcW w:w="708" w:type="dxa"/>
          </w:tcPr>
          <w:p w14:paraId="7EB189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Раменское</w:t>
            </w:r>
          </w:p>
        </w:tc>
        <w:tc>
          <w:tcPr>
            <w:tcW w:w="1418" w:type="dxa"/>
          </w:tcPr>
          <w:p w14:paraId="7BF9B3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Е.Н.Гимпель</w:t>
            </w:r>
          </w:p>
        </w:tc>
        <w:tc>
          <w:tcPr>
            <w:tcW w:w="2364" w:type="dxa"/>
          </w:tcPr>
          <w:p w14:paraId="3561DF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на испытаниях</w:t>
            </w:r>
          </w:p>
        </w:tc>
        <w:tc>
          <w:tcPr>
            <w:tcW w:w="4440" w:type="dxa"/>
          </w:tcPr>
          <w:p w14:paraId="06D97B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 забыл выпустить шасси и сделал посадку с убранным шасси. С-т имеет повреждения</w:t>
            </w:r>
          </w:p>
        </w:tc>
      </w:tr>
      <w:tr w:rsidR="009B487A" w:rsidRPr="00722885" w14:paraId="053D655E" w14:textId="77777777" w:rsidTr="00CC5360">
        <w:tc>
          <w:tcPr>
            <w:tcW w:w="675" w:type="dxa"/>
          </w:tcPr>
          <w:p w14:paraId="14C06D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993" w:type="dxa"/>
          </w:tcPr>
          <w:p w14:paraId="352F1C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мая 1942</w:t>
            </w:r>
          </w:p>
        </w:tc>
        <w:tc>
          <w:tcPr>
            <w:tcW w:w="708" w:type="dxa"/>
          </w:tcPr>
          <w:p w14:paraId="6B5DF9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1418" w:type="dxa"/>
          </w:tcPr>
          <w:p w14:paraId="0F26BA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В.Ф.Любченко</w:t>
            </w:r>
          </w:p>
        </w:tc>
        <w:tc>
          <w:tcPr>
            <w:tcW w:w="2364" w:type="dxa"/>
          </w:tcPr>
          <w:p w14:paraId="5BD3C5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УТИ-4 транспортного</w:t>
            </w:r>
          </w:p>
        </w:tc>
        <w:tc>
          <w:tcPr>
            <w:tcW w:w="4440" w:type="dxa"/>
          </w:tcPr>
          <w:p w14:paraId="665927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Недостача горючего. При вынужденной посадке на стройплощадку с-т скапотировал</w:t>
            </w:r>
          </w:p>
        </w:tc>
      </w:tr>
      <w:tr w:rsidR="009B487A" w:rsidRPr="00722885" w14:paraId="007708B4" w14:textId="77777777" w:rsidTr="00CC5360">
        <w:tc>
          <w:tcPr>
            <w:tcW w:w="675" w:type="dxa"/>
          </w:tcPr>
          <w:p w14:paraId="1F6669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w:t>
            </w:r>
          </w:p>
        </w:tc>
        <w:tc>
          <w:tcPr>
            <w:tcW w:w="993" w:type="dxa"/>
          </w:tcPr>
          <w:p w14:paraId="36EE9B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мая 1942</w:t>
            </w:r>
          </w:p>
        </w:tc>
        <w:tc>
          <w:tcPr>
            <w:tcW w:w="708" w:type="dxa"/>
          </w:tcPr>
          <w:p w14:paraId="7AC30F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w:t>
            </w:r>
          </w:p>
        </w:tc>
        <w:tc>
          <w:tcPr>
            <w:tcW w:w="1418" w:type="dxa"/>
          </w:tcPr>
          <w:p w14:paraId="282F82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Л.Н.Васильев</w:t>
            </w:r>
          </w:p>
        </w:tc>
        <w:tc>
          <w:tcPr>
            <w:tcW w:w="2364" w:type="dxa"/>
          </w:tcPr>
          <w:p w14:paraId="41B5D2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Пе-2 на испытаниях</w:t>
            </w:r>
          </w:p>
        </w:tc>
        <w:tc>
          <w:tcPr>
            <w:tcW w:w="4440" w:type="dxa"/>
          </w:tcPr>
          <w:p w14:paraId="775E87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установки в воздухе правого мотора, л производил посадку на одном моторе и по своей вине выключил и левый мотор. С-т разбит</w:t>
            </w:r>
          </w:p>
        </w:tc>
      </w:tr>
      <w:tr w:rsidR="009B487A" w:rsidRPr="00722885" w14:paraId="6B156590" w14:textId="77777777" w:rsidTr="00CC5360">
        <w:tc>
          <w:tcPr>
            <w:tcW w:w="675" w:type="dxa"/>
          </w:tcPr>
          <w:p w14:paraId="719597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w:t>
            </w:r>
          </w:p>
        </w:tc>
        <w:tc>
          <w:tcPr>
            <w:tcW w:w="993" w:type="dxa"/>
          </w:tcPr>
          <w:p w14:paraId="12D8D6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мая 1942</w:t>
            </w:r>
          </w:p>
        </w:tc>
        <w:tc>
          <w:tcPr>
            <w:tcW w:w="708" w:type="dxa"/>
          </w:tcPr>
          <w:p w14:paraId="239D9D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70A546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В.Н.Колонцов</w:t>
            </w:r>
          </w:p>
        </w:tc>
        <w:tc>
          <w:tcPr>
            <w:tcW w:w="2364" w:type="dxa"/>
          </w:tcPr>
          <w:p w14:paraId="0F8EC8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У-2 транспортного</w:t>
            </w:r>
          </w:p>
        </w:tc>
        <w:tc>
          <w:tcPr>
            <w:tcW w:w="4440" w:type="dxa"/>
          </w:tcPr>
          <w:p w14:paraId="73BE6A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в сложных метеоусловиях и по ветру с-т скапотировал</w:t>
            </w:r>
          </w:p>
        </w:tc>
      </w:tr>
      <w:tr w:rsidR="009B487A" w:rsidRPr="00722885" w14:paraId="4FDC21C3" w14:textId="77777777" w:rsidTr="00CC5360">
        <w:tc>
          <w:tcPr>
            <w:tcW w:w="675" w:type="dxa"/>
          </w:tcPr>
          <w:p w14:paraId="2EE62C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w:t>
            </w:r>
          </w:p>
        </w:tc>
        <w:tc>
          <w:tcPr>
            <w:tcW w:w="993" w:type="dxa"/>
          </w:tcPr>
          <w:p w14:paraId="4F4B55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мая 1942</w:t>
            </w:r>
          </w:p>
        </w:tc>
        <w:tc>
          <w:tcPr>
            <w:tcW w:w="708" w:type="dxa"/>
          </w:tcPr>
          <w:p w14:paraId="182121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1418" w:type="dxa"/>
          </w:tcPr>
          <w:p w14:paraId="4A161D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И.М.Скороходов</w:t>
            </w:r>
          </w:p>
        </w:tc>
        <w:tc>
          <w:tcPr>
            <w:tcW w:w="2364" w:type="dxa"/>
          </w:tcPr>
          <w:p w14:paraId="4D802D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ПС-84 транспортного</w:t>
            </w:r>
          </w:p>
        </w:tc>
        <w:tc>
          <w:tcPr>
            <w:tcW w:w="4440" w:type="dxa"/>
          </w:tcPr>
          <w:p w14:paraId="495152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полете в сложных метеоусловиях (туман) с-т врезался в гору. Все 6 человек погибли</w:t>
            </w:r>
          </w:p>
        </w:tc>
      </w:tr>
      <w:tr w:rsidR="009B487A" w:rsidRPr="00722885" w14:paraId="77E88767" w14:textId="77777777" w:rsidTr="00CC5360">
        <w:tc>
          <w:tcPr>
            <w:tcW w:w="675" w:type="dxa"/>
          </w:tcPr>
          <w:p w14:paraId="4B081A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w:t>
            </w:r>
          </w:p>
        </w:tc>
        <w:tc>
          <w:tcPr>
            <w:tcW w:w="993" w:type="dxa"/>
          </w:tcPr>
          <w:p w14:paraId="10FD84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мая 1942</w:t>
            </w:r>
          </w:p>
        </w:tc>
        <w:tc>
          <w:tcPr>
            <w:tcW w:w="708" w:type="dxa"/>
          </w:tcPr>
          <w:p w14:paraId="68D05E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153</w:t>
            </w:r>
          </w:p>
        </w:tc>
        <w:tc>
          <w:tcPr>
            <w:tcW w:w="1418" w:type="dxa"/>
          </w:tcPr>
          <w:p w14:paraId="1CB678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В.И.Фортинский</w:t>
            </w:r>
          </w:p>
        </w:tc>
        <w:tc>
          <w:tcPr>
            <w:tcW w:w="2364" w:type="dxa"/>
          </w:tcPr>
          <w:p w14:paraId="1F364F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Як-7 а на испытаниях</w:t>
            </w:r>
          </w:p>
        </w:tc>
        <w:tc>
          <w:tcPr>
            <w:tcW w:w="4440" w:type="dxa"/>
          </w:tcPr>
          <w:p w14:paraId="018575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на дорожку л не справился с управлением при боковом ветре, с-т выкатился за дорожку и скапотировал</w:t>
            </w:r>
          </w:p>
        </w:tc>
      </w:tr>
      <w:tr w:rsidR="009B487A" w:rsidRPr="00722885" w14:paraId="20B7B273" w14:textId="77777777" w:rsidTr="00CC5360">
        <w:tc>
          <w:tcPr>
            <w:tcW w:w="675" w:type="dxa"/>
          </w:tcPr>
          <w:p w14:paraId="2E9F7B2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993" w:type="dxa"/>
          </w:tcPr>
          <w:p w14:paraId="374422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мая 1942</w:t>
            </w:r>
          </w:p>
        </w:tc>
        <w:tc>
          <w:tcPr>
            <w:tcW w:w="708" w:type="dxa"/>
          </w:tcPr>
          <w:p w14:paraId="4BDBC8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w:t>
            </w:r>
          </w:p>
        </w:tc>
        <w:tc>
          <w:tcPr>
            <w:tcW w:w="1418" w:type="dxa"/>
          </w:tcPr>
          <w:p w14:paraId="4995BD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А.Г.Баймасов </w:t>
            </w:r>
          </w:p>
        </w:tc>
        <w:tc>
          <w:tcPr>
            <w:tcW w:w="2364" w:type="dxa"/>
          </w:tcPr>
          <w:p w14:paraId="108B86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Ил-4 на испытаниях</w:t>
            </w:r>
          </w:p>
        </w:tc>
        <w:tc>
          <w:tcPr>
            <w:tcW w:w="4440" w:type="dxa"/>
          </w:tcPr>
          <w:p w14:paraId="53ACA1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по ветру вследствие ухода стартера с летного поля и промаз с-та. С-т столкнулся с находившимися на поле И-16 и ЛаГГ-3 и вывел их из строя</w:t>
            </w:r>
          </w:p>
        </w:tc>
      </w:tr>
      <w:tr w:rsidR="009B487A" w:rsidRPr="00722885" w14:paraId="74E43CBF" w14:textId="77777777" w:rsidTr="00CC5360">
        <w:tc>
          <w:tcPr>
            <w:tcW w:w="675" w:type="dxa"/>
          </w:tcPr>
          <w:p w14:paraId="42459F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993" w:type="dxa"/>
          </w:tcPr>
          <w:p w14:paraId="040C59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июня 1942</w:t>
            </w:r>
          </w:p>
        </w:tc>
        <w:tc>
          <w:tcPr>
            <w:tcW w:w="708" w:type="dxa"/>
          </w:tcPr>
          <w:p w14:paraId="68C570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1418" w:type="dxa"/>
          </w:tcPr>
          <w:p w14:paraId="7979F3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Гурский</w:t>
            </w:r>
          </w:p>
        </w:tc>
        <w:tc>
          <w:tcPr>
            <w:tcW w:w="2364" w:type="dxa"/>
          </w:tcPr>
          <w:p w14:paraId="5677ED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И-2 при испытаниях</w:t>
            </w:r>
          </w:p>
        </w:tc>
        <w:tc>
          <w:tcPr>
            <w:tcW w:w="4440" w:type="dxa"/>
          </w:tcPr>
          <w:p w14:paraId="51DF0C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разбеге л упустил ногу и не справился с управлением</w:t>
            </w:r>
          </w:p>
        </w:tc>
      </w:tr>
      <w:tr w:rsidR="009B487A" w:rsidRPr="00722885" w14:paraId="2500CF28" w14:textId="77777777" w:rsidTr="00CC5360">
        <w:tc>
          <w:tcPr>
            <w:tcW w:w="675" w:type="dxa"/>
          </w:tcPr>
          <w:p w14:paraId="72FB50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993" w:type="dxa"/>
          </w:tcPr>
          <w:p w14:paraId="2E3981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июня 1942</w:t>
            </w:r>
          </w:p>
        </w:tc>
        <w:tc>
          <w:tcPr>
            <w:tcW w:w="708" w:type="dxa"/>
          </w:tcPr>
          <w:p w14:paraId="6F1E29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732F4C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Г.Д.Меркулов</w:t>
            </w:r>
          </w:p>
        </w:tc>
        <w:tc>
          <w:tcPr>
            <w:tcW w:w="2364" w:type="dxa"/>
          </w:tcPr>
          <w:p w14:paraId="789E08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ЛаГГ-3 на испытаниях</w:t>
            </w:r>
          </w:p>
        </w:tc>
        <w:tc>
          <w:tcPr>
            <w:tcW w:w="4440" w:type="dxa"/>
          </w:tcPr>
          <w:p w14:paraId="61B62D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в тумане. С-т разбит. Л погиб</w:t>
            </w:r>
          </w:p>
        </w:tc>
      </w:tr>
      <w:tr w:rsidR="009B487A" w:rsidRPr="00722885" w14:paraId="2005CCD6" w14:textId="77777777" w:rsidTr="00CC5360">
        <w:tc>
          <w:tcPr>
            <w:tcW w:w="675" w:type="dxa"/>
          </w:tcPr>
          <w:p w14:paraId="2B17F3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w:t>
            </w:r>
          </w:p>
        </w:tc>
        <w:tc>
          <w:tcPr>
            <w:tcW w:w="993" w:type="dxa"/>
          </w:tcPr>
          <w:p w14:paraId="50DE56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мая 1942</w:t>
            </w:r>
          </w:p>
        </w:tc>
        <w:tc>
          <w:tcPr>
            <w:tcW w:w="708" w:type="dxa"/>
          </w:tcPr>
          <w:p w14:paraId="7CB0D6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418" w:type="dxa"/>
          </w:tcPr>
          <w:p w14:paraId="27241B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Г.А.Ветлугин</w:t>
            </w:r>
          </w:p>
        </w:tc>
        <w:tc>
          <w:tcPr>
            <w:tcW w:w="2364" w:type="dxa"/>
          </w:tcPr>
          <w:p w14:paraId="2F3AC2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ПЛ-5 транспортного</w:t>
            </w:r>
          </w:p>
        </w:tc>
        <w:tc>
          <w:tcPr>
            <w:tcW w:w="4440" w:type="dxa"/>
          </w:tcPr>
          <w:p w14:paraId="7C533A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полете из Свердловска в Казань в сложных метеоусловиях пропл без вести и до сих пор не найден</w:t>
            </w:r>
          </w:p>
        </w:tc>
      </w:tr>
      <w:tr w:rsidR="009B487A" w:rsidRPr="00722885" w14:paraId="0719EADF" w14:textId="77777777" w:rsidTr="00CC5360">
        <w:tc>
          <w:tcPr>
            <w:tcW w:w="675" w:type="dxa"/>
          </w:tcPr>
          <w:p w14:paraId="198FE9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w:t>
            </w:r>
          </w:p>
        </w:tc>
        <w:tc>
          <w:tcPr>
            <w:tcW w:w="993" w:type="dxa"/>
          </w:tcPr>
          <w:p w14:paraId="40F0A5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июня 1942</w:t>
            </w:r>
          </w:p>
        </w:tc>
        <w:tc>
          <w:tcPr>
            <w:tcW w:w="708" w:type="dxa"/>
          </w:tcPr>
          <w:p w14:paraId="6B0292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466</w:t>
            </w:r>
          </w:p>
        </w:tc>
        <w:tc>
          <w:tcPr>
            <w:tcW w:w="1418" w:type="dxa"/>
          </w:tcPr>
          <w:p w14:paraId="5CB197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М.С.Комаров</w:t>
            </w:r>
          </w:p>
        </w:tc>
        <w:tc>
          <w:tcPr>
            <w:tcW w:w="2364" w:type="dxa"/>
          </w:tcPr>
          <w:p w14:paraId="2401E2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ПС-84 транспортного</w:t>
            </w:r>
          </w:p>
        </w:tc>
        <w:tc>
          <w:tcPr>
            <w:tcW w:w="4440" w:type="dxa"/>
          </w:tcPr>
          <w:p w14:paraId="776209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Остановка мотора в воздухе от попадания воды через систему инерного газа. Экипаж не был ознакомлен с установкой</w:t>
            </w:r>
          </w:p>
        </w:tc>
      </w:tr>
      <w:tr w:rsidR="009B487A" w:rsidRPr="00722885" w14:paraId="6B7E2A75" w14:textId="77777777" w:rsidTr="00CC5360">
        <w:tc>
          <w:tcPr>
            <w:tcW w:w="675" w:type="dxa"/>
          </w:tcPr>
          <w:p w14:paraId="085429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34</w:t>
            </w:r>
          </w:p>
        </w:tc>
        <w:tc>
          <w:tcPr>
            <w:tcW w:w="993" w:type="dxa"/>
          </w:tcPr>
          <w:p w14:paraId="1FC25D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июня 1942</w:t>
            </w:r>
          </w:p>
        </w:tc>
        <w:tc>
          <w:tcPr>
            <w:tcW w:w="708" w:type="dxa"/>
          </w:tcPr>
          <w:p w14:paraId="7E9627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Раменское</w:t>
            </w:r>
          </w:p>
        </w:tc>
        <w:tc>
          <w:tcPr>
            <w:tcW w:w="1418" w:type="dxa"/>
          </w:tcPr>
          <w:p w14:paraId="61677D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В.П.Федоров</w:t>
            </w:r>
          </w:p>
        </w:tc>
        <w:tc>
          <w:tcPr>
            <w:tcW w:w="2364" w:type="dxa"/>
          </w:tcPr>
          <w:p w14:paraId="5A5865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оытного планер К-Г на испытаниях</w:t>
            </w:r>
          </w:p>
        </w:tc>
        <w:tc>
          <w:tcPr>
            <w:tcW w:w="4440" w:type="dxa"/>
          </w:tcPr>
          <w:p w14:paraId="0C386B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Неисправность крепления ролика в управлении тормозными щитками, вследствие чего произошло открытие щитков и нарушение управляемости</w:t>
            </w:r>
          </w:p>
        </w:tc>
      </w:tr>
      <w:tr w:rsidR="009B487A" w:rsidRPr="00722885" w14:paraId="62A28DE8" w14:textId="77777777" w:rsidTr="00CC5360">
        <w:tc>
          <w:tcPr>
            <w:tcW w:w="675" w:type="dxa"/>
          </w:tcPr>
          <w:p w14:paraId="622FBF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993" w:type="dxa"/>
          </w:tcPr>
          <w:p w14:paraId="5CE545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 июня 1942 </w:t>
            </w:r>
          </w:p>
        </w:tc>
        <w:tc>
          <w:tcPr>
            <w:tcW w:w="708" w:type="dxa"/>
          </w:tcPr>
          <w:p w14:paraId="62B82F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4F07CC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Г.А.Мищенко </w:t>
            </w:r>
          </w:p>
        </w:tc>
        <w:tc>
          <w:tcPr>
            <w:tcW w:w="2364" w:type="dxa"/>
          </w:tcPr>
          <w:p w14:paraId="792F51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УТИ-26 транспортного</w:t>
            </w:r>
          </w:p>
        </w:tc>
        <w:tc>
          <w:tcPr>
            <w:tcW w:w="4440" w:type="dxa"/>
          </w:tcPr>
          <w:p w14:paraId="275E2A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время остановки с-та после пробега л по ошибкн вместо уборки закрылков нажал рычаг уборки шасси</w:t>
            </w:r>
          </w:p>
        </w:tc>
      </w:tr>
      <w:tr w:rsidR="009B487A" w:rsidRPr="00722885" w14:paraId="7406AFDE" w14:textId="77777777" w:rsidTr="00CC5360">
        <w:tc>
          <w:tcPr>
            <w:tcW w:w="675" w:type="dxa"/>
          </w:tcPr>
          <w:p w14:paraId="112AF1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w:t>
            </w:r>
          </w:p>
        </w:tc>
        <w:tc>
          <w:tcPr>
            <w:tcW w:w="993" w:type="dxa"/>
          </w:tcPr>
          <w:p w14:paraId="377105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апреля 1942</w:t>
            </w:r>
          </w:p>
        </w:tc>
        <w:tc>
          <w:tcPr>
            <w:tcW w:w="708" w:type="dxa"/>
          </w:tcPr>
          <w:p w14:paraId="05DBDF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5F115D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Л.М.Глезнер</w:t>
            </w:r>
          </w:p>
        </w:tc>
        <w:tc>
          <w:tcPr>
            <w:tcW w:w="2364" w:type="dxa"/>
          </w:tcPr>
          <w:p w14:paraId="383F55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70AE91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с неисправным закрылком при боковом ветре. С-т выкатился с дорожки и провалился в грунт</w:t>
            </w:r>
          </w:p>
        </w:tc>
      </w:tr>
      <w:tr w:rsidR="009B487A" w:rsidRPr="00722885" w14:paraId="4B3AFFB8" w14:textId="77777777" w:rsidTr="00CC5360">
        <w:tc>
          <w:tcPr>
            <w:tcW w:w="675" w:type="dxa"/>
          </w:tcPr>
          <w:p w14:paraId="3F95C8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w:t>
            </w:r>
          </w:p>
        </w:tc>
        <w:tc>
          <w:tcPr>
            <w:tcW w:w="993" w:type="dxa"/>
          </w:tcPr>
          <w:p w14:paraId="7030B2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июня 1942</w:t>
            </w:r>
          </w:p>
        </w:tc>
        <w:tc>
          <w:tcPr>
            <w:tcW w:w="708" w:type="dxa"/>
          </w:tcPr>
          <w:p w14:paraId="1749CF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w:t>
            </w:r>
          </w:p>
        </w:tc>
        <w:tc>
          <w:tcPr>
            <w:tcW w:w="1418" w:type="dxa"/>
          </w:tcPr>
          <w:p w14:paraId="05B002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А.Г.Баймасов</w:t>
            </w:r>
          </w:p>
        </w:tc>
        <w:tc>
          <w:tcPr>
            <w:tcW w:w="2364" w:type="dxa"/>
          </w:tcPr>
          <w:p w14:paraId="4C6550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Ил-4 на испытаниях</w:t>
            </w:r>
          </w:p>
        </w:tc>
        <w:tc>
          <w:tcPr>
            <w:tcW w:w="4440" w:type="dxa"/>
          </w:tcPr>
          <w:p w14:paraId="65DC30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халатности л и техсостава шасси после взлета не убралось из-за отсутствия давления воздуха, оставшись в подогнутом положении. Перед посадкой не было выпущено по той же причине</w:t>
            </w:r>
          </w:p>
        </w:tc>
      </w:tr>
      <w:tr w:rsidR="009B487A" w:rsidRPr="00722885" w14:paraId="0AA1CFC9" w14:textId="77777777" w:rsidTr="00CC5360">
        <w:tc>
          <w:tcPr>
            <w:tcW w:w="675" w:type="dxa"/>
          </w:tcPr>
          <w:p w14:paraId="317117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w:t>
            </w:r>
          </w:p>
        </w:tc>
        <w:tc>
          <w:tcPr>
            <w:tcW w:w="993" w:type="dxa"/>
          </w:tcPr>
          <w:p w14:paraId="5A92F1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июня 1942</w:t>
            </w:r>
          </w:p>
        </w:tc>
        <w:tc>
          <w:tcPr>
            <w:tcW w:w="708" w:type="dxa"/>
          </w:tcPr>
          <w:p w14:paraId="52406D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0CAF96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А.А.Третьяков</w:t>
            </w:r>
          </w:p>
        </w:tc>
        <w:tc>
          <w:tcPr>
            <w:tcW w:w="2364" w:type="dxa"/>
          </w:tcPr>
          <w:p w14:paraId="4725A6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ЛаГГ-5 на испытаниях</w:t>
            </w:r>
          </w:p>
        </w:tc>
        <w:tc>
          <w:tcPr>
            <w:tcW w:w="4440" w:type="dxa"/>
          </w:tcPr>
          <w:p w14:paraId="0A7020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Предполагаемая причина: возникновение пожара ВМГ. Л выбросился на парашюте и разбился. С-т сгорел</w:t>
            </w:r>
          </w:p>
        </w:tc>
      </w:tr>
      <w:tr w:rsidR="009B487A" w:rsidRPr="00722885" w14:paraId="60415615" w14:textId="77777777" w:rsidTr="00CC5360">
        <w:tc>
          <w:tcPr>
            <w:tcW w:w="675" w:type="dxa"/>
          </w:tcPr>
          <w:p w14:paraId="7CAD04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w:t>
            </w:r>
          </w:p>
        </w:tc>
        <w:tc>
          <w:tcPr>
            <w:tcW w:w="993" w:type="dxa"/>
          </w:tcPr>
          <w:p w14:paraId="14820D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июля 1942</w:t>
            </w:r>
          </w:p>
        </w:tc>
        <w:tc>
          <w:tcPr>
            <w:tcW w:w="708" w:type="dxa"/>
          </w:tcPr>
          <w:p w14:paraId="5C43C4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w:t>
            </w:r>
          </w:p>
        </w:tc>
        <w:tc>
          <w:tcPr>
            <w:tcW w:w="1418" w:type="dxa"/>
          </w:tcPr>
          <w:p w14:paraId="2EDF7B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Н.А.Балашев</w:t>
            </w:r>
          </w:p>
        </w:tc>
        <w:tc>
          <w:tcPr>
            <w:tcW w:w="2364" w:type="dxa"/>
          </w:tcPr>
          <w:p w14:paraId="4E8252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Як-7 на испытаниях</w:t>
            </w:r>
          </w:p>
        </w:tc>
        <w:tc>
          <w:tcPr>
            <w:tcW w:w="4440" w:type="dxa"/>
          </w:tcPr>
          <w:p w14:paraId="789AA8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халатности л при работе мотора на малом газу установил кран шасси на уборку. Поврежденыв лопасти винта и обтекатель тоннеля водорадиатора</w:t>
            </w:r>
          </w:p>
        </w:tc>
      </w:tr>
      <w:tr w:rsidR="009B487A" w:rsidRPr="00722885" w14:paraId="42276C8B" w14:textId="77777777" w:rsidTr="00CC5360">
        <w:tc>
          <w:tcPr>
            <w:tcW w:w="675" w:type="dxa"/>
          </w:tcPr>
          <w:p w14:paraId="45903F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993" w:type="dxa"/>
          </w:tcPr>
          <w:p w14:paraId="49D7F3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июля 1942</w:t>
            </w:r>
          </w:p>
        </w:tc>
        <w:tc>
          <w:tcPr>
            <w:tcW w:w="708" w:type="dxa"/>
          </w:tcPr>
          <w:p w14:paraId="7C9855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w:t>
            </w:r>
          </w:p>
        </w:tc>
        <w:tc>
          <w:tcPr>
            <w:tcW w:w="1418" w:type="dxa"/>
          </w:tcPr>
          <w:p w14:paraId="7B13B3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Н.П.Котяков</w:t>
            </w:r>
          </w:p>
        </w:tc>
        <w:tc>
          <w:tcPr>
            <w:tcW w:w="2364" w:type="dxa"/>
          </w:tcPr>
          <w:p w14:paraId="3DE5F6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Ту-2 на испытаниях</w:t>
            </w:r>
          </w:p>
        </w:tc>
        <w:tc>
          <w:tcPr>
            <w:tcW w:w="4440" w:type="dxa"/>
          </w:tcPr>
          <w:p w14:paraId="3A2F42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в конце первой половины пробега л упустил машину вправо, при резком развороте сломалась левая нога шасси</w:t>
            </w:r>
          </w:p>
        </w:tc>
      </w:tr>
      <w:tr w:rsidR="009B487A" w:rsidRPr="00722885" w14:paraId="752435F2" w14:textId="77777777" w:rsidTr="00CC5360">
        <w:tc>
          <w:tcPr>
            <w:tcW w:w="675" w:type="dxa"/>
          </w:tcPr>
          <w:p w14:paraId="7D7BE0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c>
          <w:tcPr>
            <w:tcW w:w="993" w:type="dxa"/>
          </w:tcPr>
          <w:p w14:paraId="145888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июля 1942</w:t>
            </w:r>
          </w:p>
        </w:tc>
        <w:tc>
          <w:tcPr>
            <w:tcW w:w="708" w:type="dxa"/>
          </w:tcPr>
          <w:p w14:paraId="236F9B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1418" w:type="dxa"/>
          </w:tcPr>
          <w:p w14:paraId="0B9C04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С.С.Чеголя</w:t>
            </w:r>
          </w:p>
        </w:tc>
        <w:tc>
          <w:tcPr>
            <w:tcW w:w="2364" w:type="dxa"/>
          </w:tcPr>
          <w:p w14:paraId="7B567D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на испытаниях Як-1</w:t>
            </w:r>
          </w:p>
        </w:tc>
        <w:tc>
          <w:tcPr>
            <w:tcW w:w="4440" w:type="dxa"/>
          </w:tcPr>
          <w:p w14:paraId="401809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с промазом из-за ошибки л у с-та при резком развороте отломались обе ноги</w:t>
            </w:r>
          </w:p>
        </w:tc>
      </w:tr>
      <w:tr w:rsidR="009B487A" w:rsidRPr="00722885" w14:paraId="3E58FBCA" w14:textId="77777777" w:rsidTr="00CC5360">
        <w:tc>
          <w:tcPr>
            <w:tcW w:w="675" w:type="dxa"/>
          </w:tcPr>
          <w:p w14:paraId="09366C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w:t>
            </w:r>
          </w:p>
        </w:tc>
        <w:tc>
          <w:tcPr>
            <w:tcW w:w="993" w:type="dxa"/>
          </w:tcPr>
          <w:p w14:paraId="07F76B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июля 1942</w:t>
            </w:r>
          </w:p>
        </w:tc>
        <w:tc>
          <w:tcPr>
            <w:tcW w:w="708" w:type="dxa"/>
          </w:tcPr>
          <w:p w14:paraId="39ED88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Раменское</w:t>
            </w:r>
          </w:p>
        </w:tc>
        <w:tc>
          <w:tcPr>
            <w:tcW w:w="1418" w:type="dxa"/>
          </w:tcPr>
          <w:p w14:paraId="68A247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Д.С.Зосим</w:t>
            </w:r>
          </w:p>
        </w:tc>
        <w:tc>
          <w:tcPr>
            <w:tcW w:w="2364" w:type="dxa"/>
          </w:tcPr>
          <w:p w14:paraId="348D43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СБ транспортного</w:t>
            </w:r>
          </w:p>
        </w:tc>
        <w:tc>
          <w:tcPr>
            <w:tcW w:w="4440" w:type="dxa"/>
          </w:tcPr>
          <w:p w14:paraId="2A69F7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посадке с неработающим двигателем из-за недостаточности давления л допустил ошибку, выключив моторы, что привело к резкому развороту с-та и поломке левой ноги</w:t>
            </w:r>
          </w:p>
        </w:tc>
      </w:tr>
      <w:tr w:rsidR="009B487A" w:rsidRPr="00722885" w14:paraId="2BAC59CA" w14:textId="77777777" w:rsidTr="00CC5360">
        <w:tc>
          <w:tcPr>
            <w:tcW w:w="675" w:type="dxa"/>
          </w:tcPr>
          <w:p w14:paraId="76C053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w:t>
            </w:r>
          </w:p>
        </w:tc>
        <w:tc>
          <w:tcPr>
            <w:tcW w:w="993" w:type="dxa"/>
          </w:tcPr>
          <w:p w14:paraId="4B4369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июля 1942</w:t>
            </w:r>
          </w:p>
        </w:tc>
        <w:tc>
          <w:tcPr>
            <w:tcW w:w="708" w:type="dxa"/>
          </w:tcPr>
          <w:p w14:paraId="744059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462</w:t>
            </w:r>
          </w:p>
        </w:tc>
        <w:tc>
          <w:tcPr>
            <w:tcW w:w="1418" w:type="dxa"/>
          </w:tcPr>
          <w:p w14:paraId="63B2F8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П.У.Фокин</w:t>
            </w:r>
          </w:p>
        </w:tc>
        <w:tc>
          <w:tcPr>
            <w:tcW w:w="2364" w:type="dxa"/>
          </w:tcPr>
          <w:p w14:paraId="63E4A0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МиГ-3 на испытаниях</w:t>
            </w:r>
          </w:p>
        </w:tc>
        <w:tc>
          <w:tcPr>
            <w:tcW w:w="4440" w:type="dxa"/>
          </w:tcPr>
          <w:p w14:paraId="54F73B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Ошибка л, допустившего преждевременную уборку шасси на взлете</w:t>
            </w:r>
          </w:p>
        </w:tc>
      </w:tr>
      <w:tr w:rsidR="009B487A" w:rsidRPr="00722885" w14:paraId="53845138" w14:textId="77777777" w:rsidTr="00CC5360">
        <w:tc>
          <w:tcPr>
            <w:tcW w:w="675" w:type="dxa"/>
          </w:tcPr>
          <w:p w14:paraId="0DFD64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w:t>
            </w:r>
          </w:p>
        </w:tc>
        <w:tc>
          <w:tcPr>
            <w:tcW w:w="993" w:type="dxa"/>
          </w:tcPr>
          <w:p w14:paraId="4D01FB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июля 1942</w:t>
            </w:r>
          </w:p>
        </w:tc>
        <w:tc>
          <w:tcPr>
            <w:tcW w:w="708" w:type="dxa"/>
          </w:tcPr>
          <w:p w14:paraId="60209B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w:t>
            </w:r>
          </w:p>
        </w:tc>
        <w:tc>
          <w:tcPr>
            <w:tcW w:w="1418" w:type="dxa"/>
          </w:tcPr>
          <w:p w14:paraId="5E01ED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Н.Д.Бакин</w:t>
            </w:r>
          </w:p>
        </w:tc>
        <w:tc>
          <w:tcPr>
            <w:tcW w:w="2364" w:type="dxa"/>
          </w:tcPr>
          <w:p w14:paraId="0B119D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при испытаниях Ту-2</w:t>
            </w:r>
          </w:p>
        </w:tc>
        <w:tc>
          <w:tcPr>
            <w:tcW w:w="4440" w:type="dxa"/>
          </w:tcPr>
          <w:p w14:paraId="3DCF44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Ошибка л, допустившего посадку на большой скорости и несправившимся с тенденцией разворота с-та</w:t>
            </w:r>
          </w:p>
        </w:tc>
      </w:tr>
      <w:tr w:rsidR="009B487A" w:rsidRPr="00722885" w14:paraId="1008A7C1" w14:textId="77777777" w:rsidTr="00CC5360">
        <w:tc>
          <w:tcPr>
            <w:tcW w:w="675" w:type="dxa"/>
          </w:tcPr>
          <w:p w14:paraId="162CC6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w:t>
            </w:r>
          </w:p>
        </w:tc>
        <w:tc>
          <w:tcPr>
            <w:tcW w:w="993" w:type="dxa"/>
          </w:tcPr>
          <w:p w14:paraId="4EC08C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июля 1942</w:t>
            </w:r>
          </w:p>
        </w:tc>
        <w:tc>
          <w:tcPr>
            <w:tcW w:w="708" w:type="dxa"/>
          </w:tcPr>
          <w:p w14:paraId="4BEB64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w:t>
            </w:r>
          </w:p>
        </w:tc>
        <w:tc>
          <w:tcPr>
            <w:tcW w:w="1418" w:type="dxa"/>
          </w:tcPr>
          <w:p w14:paraId="206FB4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Попов</w:t>
            </w:r>
          </w:p>
        </w:tc>
        <w:tc>
          <w:tcPr>
            <w:tcW w:w="2364" w:type="dxa"/>
          </w:tcPr>
          <w:p w14:paraId="787C84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Як-7 на испытаниях</w:t>
            </w:r>
          </w:p>
        </w:tc>
        <w:tc>
          <w:tcPr>
            <w:tcW w:w="4440" w:type="dxa"/>
          </w:tcPr>
          <w:p w14:paraId="5BF98F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на левую ногу вследствие невыхода правой ноги</w:t>
            </w:r>
          </w:p>
        </w:tc>
      </w:tr>
      <w:tr w:rsidR="009B487A" w:rsidRPr="00722885" w14:paraId="297293DF" w14:textId="77777777" w:rsidTr="00CC5360">
        <w:tc>
          <w:tcPr>
            <w:tcW w:w="675" w:type="dxa"/>
          </w:tcPr>
          <w:p w14:paraId="37183F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w:t>
            </w:r>
          </w:p>
        </w:tc>
        <w:tc>
          <w:tcPr>
            <w:tcW w:w="993" w:type="dxa"/>
          </w:tcPr>
          <w:p w14:paraId="384607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w:t>
            </w:r>
          </w:p>
        </w:tc>
        <w:tc>
          <w:tcPr>
            <w:tcW w:w="708" w:type="dxa"/>
          </w:tcPr>
          <w:p w14:paraId="71A5F6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1418" w:type="dxa"/>
          </w:tcPr>
          <w:p w14:paraId="06F6FA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П.Г.Демченко</w:t>
            </w:r>
          </w:p>
        </w:tc>
        <w:tc>
          <w:tcPr>
            <w:tcW w:w="2364" w:type="dxa"/>
          </w:tcPr>
          <w:p w14:paraId="4BEE9B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ДБ-3Ф транспортного</w:t>
            </w:r>
          </w:p>
        </w:tc>
        <w:tc>
          <w:tcPr>
            <w:tcW w:w="4440" w:type="dxa"/>
          </w:tcPr>
          <w:p w14:paraId="1BBFD5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полете из-за течи бензина в бензобаке произошел пожар. Экипаж спасся, с-т сгорел на вынужжденной</w:t>
            </w:r>
          </w:p>
        </w:tc>
      </w:tr>
      <w:tr w:rsidR="009B487A" w:rsidRPr="00722885" w14:paraId="729575FE" w14:textId="77777777" w:rsidTr="00CC5360">
        <w:tc>
          <w:tcPr>
            <w:tcW w:w="675" w:type="dxa"/>
          </w:tcPr>
          <w:p w14:paraId="2B9F8F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993" w:type="dxa"/>
          </w:tcPr>
          <w:p w14:paraId="234F2C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августа 1942</w:t>
            </w:r>
          </w:p>
        </w:tc>
        <w:tc>
          <w:tcPr>
            <w:tcW w:w="708" w:type="dxa"/>
          </w:tcPr>
          <w:p w14:paraId="2F79A8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 Новосибирск</w:t>
            </w:r>
          </w:p>
        </w:tc>
        <w:tc>
          <w:tcPr>
            <w:tcW w:w="1418" w:type="dxa"/>
          </w:tcPr>
          <w:p w14:paraId="69412A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П.М.Пепельнушенко</w:t>
            </w:r>
          </w:p>
        </w:tc>
        <w:tc>
          <w:tcPr>
            <w:tcW w:w="2364" w:type="dxa"/>
          </w:tcPr>
          <w:p w14:paraId="03F578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7B2918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вынужденной посадке вне аэродрома по вине л, неправильно определившего запас горючего</w:t>
            </w:r>
          </w:p>
        </w:tc>
      </w:tr>
      <w:tr w:rsidR="009B487A" w:rsidRPr="00722885" w14:paraId="3184693A" w14:textId="77777777" w:rsidTr="00CC5360">
        <w:tc>
          <w:tcPr>
            <w:tcW w:w="675" w:type="dxa"/>
          </w:tcPr>
          <w:p w14:paraId="6ADC8A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w:t>
            </w:r>
          </w:p>
        </w:tc>
        <w:tc>
          <w:tcPr>
            <w:tcW w:w="993" w:type="dxa"/>
          </w:tcPr>
          <w:p w14:paraId="29BD52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августа 1942</w:t>
            </w:r>
          </w:p>
        </w:tc>
        <w:tc>
          <w:tcPr>
            <w:tcW w:w="708" w:type="dxa"/>
          </w:tcPr>
          <w:p w14:paraId="5F24A9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154</w:t>
            </w:r>
          </w:p>
        </w:tc>
        <w:tc>
          <w:tcPr>
            <w:tcW w:w="1418" w:type="dxa"/>
          </w:tcPr>
          <w:p w14:paraId="1C8DDA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Марченков</w:t>
            </w:r>
          </w:p>
        </w:tc>
        <w:tc>
          <w:tcPr>
            <w:tcW w:w="2364" w:type="dxa"/>
          </w:tcPr>
          <w:p w14:paraId="08F47D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У-2 транспортного</w:t>
            </w:r>
          </w:p>
        </w:tc>
        <w:tc>
          <w:tcPr>
            <w:tcW w:w="4440" w:type="dxa"/>
          </w:tcPr>
          <w:p w14:paraId="267D57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Нарушение наставления по производству полетов л</w:t>
            </w:r>
          </w:p>
        </w:tc>
      </w:tr>
      <w:tr w:rsidR="009B487A" w:rsidRPr="00722885" w14:paraId="057DA657" w14:textId="77777777" w:rsidTr="00CC5360">
        <w:tc>
          <w:tcPr>
            <w:tcW w:w="675" w:type="dxa"/>
          </w:tcPr>
          <w:p w14:paraId="3FC5A0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w:t>
            </w:r>
          </w:p>
        </w:tc>
        <w:tc>
          <w:tcPr>
            <w:tcW w:w="993" w:type="dxa"/>
          </w:tcPr>
          <w:p w14:paraId="1BAD09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августа 1942</w:t>
            </w:r>
          </w:p>
        </w:tc>
        <w:tc>
          <w:tcPr>
            <w:tcW w:w="708" w:type="dxa"/>
          </w:tcPr>
          <w:p w14:paraId="585EE4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w:t>
            </w:r>
          </w:p>
        </w:tc>
        <w:tc>
          <w:tcPr>
            <w:tcW w:w="1418" w:type="dxa"/>
          </w:tcPr>
          <w:p w14:paraId="4B6679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Н.П.Кривошеин</w:t>
            </w:r>
          </w:p>
        </w:tc>
        <w:tc>
          <w:tcPr>
            <w:tcW w:w="2364" w:type="dxa"/>
          </w:tcPr>
          <w:p w14:paraId="355334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540957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прекращения подачи горючего, мотор обрезал на взлете, при посадке на неровное поле с-т разбит</w:t>
            </w:r>
          </w:p>
        </w:tc>
      </w:tr>
      <w:tr w:rsidR="009B487A" w:rsidRPr="00722885" w14:paraId="62772996" w14:textId="77777777" w:rsidTr="00CC5360">
        <w:tc>
          <w:tcPr>
            <w:tcW w:w="675" w:type="dxa"/>
          </w:tcPr>
          <w:p w14:paraId="406309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c>
          <w:tcPr>
            <w:tcW w:w="993" w:type="dxa"/>
          </w:tcPr>
          <w:p w14:paraId="3267F9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августа 1942</w:t>
            </w:r>
          </w:p>
        </w:tc>
        <w:tc>
          <w:tcPr>
            <w:tcW w:w="708" w:type="dxa"/>
          </w:tcPr>
          <w:p w14:paraId="59D7D3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1418" w:type="dxa"/>
          </w:tcPr>
          <w:p w14:paraId="47EC56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А.А.Попов</w:t>
            </w:r>
          </w:p>
        </w:tc>
        <w:tc>
          <w:tcPr>
            <w:tcW w:w="2364" w:type="dxa"/>
          </w:tcPr>
          <w:p w14:paraId="50B19C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ЛаГГ-3 на испытаниях</w:t>
            </w:r>
          </w:p>
        </w:tc>
        <w:tc>
          <w:tcPr>
            <w:tcW w:w="4440" w:type="dxa"/>
          </w:tcPr>
          <w:p w14:paraId="48E05D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отказа мотора в воздухе с-т произвел вынужденную посадку на неровное поле и разбился</w:t>
            </w:r>
          </w:p>
        </w:tc>
      </w:tr>
      <w:tr w:rsidR="009B487A" w:rsidRPr="00722885" w14:paraId="4BC6B6E6" w14:textId="77777777" w:rsidTr="00CC5360">
        <w:tc>
          <w:tcPr>
            <w:tcW w:w="675" w:type="dxa"/>
          </w:tcPr>
          <w:p w14:paraId="10835A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w:t>
            </w:r>
          </w:p>
        </w:tc>
        <w:tc>
          <w:tcPr>
            <w:tcW w:w="993" w:type="dxa"/>
          </w:tcPr>
          <w:p w14:paraId="1A45E9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августа 1942</w:t>
            </w:r>
          </w:p>
        </w:tc>
        <w:tc>
          <w:tcPr>
            <w:tcW w:w="708" w:type="dxa"/>
          </w:tcPr>
          <w:p w14:paraId="071B0A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w:t>
            </w:r>
          </w:p>
        </w:tc>
        <w:tc>
          <w:tcPr>
            <w:tcW w:w="1418" w:type="dxa"/>
          </w:tcPr>
          <w:p w14:paraId="336F6D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Н.А.Балашов</w:t>
            </w:r>
          </w:p>
        </w:tc>
        <w:tc>
          <w:tcPr>
            <w:tcW w:w="2364" w:type="dxa"/>
          </w:tcPr>
          <w:p w14:paraId="54C10C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ЛаГГ-3 на испытаниях</w:t>
            </w:r>
          </w:p>
        </w:tc>
        <w:tc>
          <w:tcPr>
            <w:tcW w:w="4440" w:type="dxa"/>
          </w:tcPr>
          <w:p w14:paraId="0D13CD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вине л с-т при посадке сошел с полосы и наскочил на стоящий Як-7</w:t>
            </w:r>
          </w:p>
        </w:tc>
      </w:tr>
      <w:tr w:rsidR="009B487A" w:rsidRPr="00722885" w14:paraId="36D92198" w14:textId="77777777" w:rsidTr="00CC5360">
        <w:tc>
          <w:tcPr>
            <w:tcW w:w="675" w:type="dxa"/>
          </w:tcPr>
          <w:p w14:paraId="216366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c>
          <w:tcPr>
            <w:tcW w:w="993" w:type="dxa"/>
          </w:tcPr>
          <w:p w14:paraId="7D6D96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августа 1942</w:t>
            </w:r>
          </w:p>
        </w:tc>
        <w:tc>
          <w:tcPr>
            <w:tcW w:w="708" w:type="dxa"/>
          </w:tcPr>
          <w:p w14:paraId="70246C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w:t>
            </w:r>
          </w:p>
        </w:tc>
        <w:tc>
          <w:tcPr>
            <w:tcW w:w="1418" w:type="dxa"/>
          </w:tcPr>
          <w:p w14:paraId="406899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С.С.Стрельников</w:t>
            </w:r>
          </w:p>
        </w:tc>
        <w:tc>
          <w:tcPr>
            <w:tcW w:w="2364" w:type="dxa"/>
          </w:tcPr>
          <w:p w14:paraId="07D6DB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Катастрофа Пе-2 на испытаниях</w:t>
            </w:r>
          </w:p>
        </w:tc>
        <w:tc>
          <w:tcPr>
            <w:tcW w:w="4440" w:type="dxa"/>
          </w:tcPr>
          <w:p w14:paraId="589DBF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неизвестной причине сдал правый мотор и с-т не дотянул до аэродрома при резком снижении ударился о землю и загорелся. Л и б/м погибли</w:t>
            </w:r>
          </w:p>
        </w:tc>
      </w:tr>
      <w:tr w:rsidR="009B487A" w:rsidRPr="00722885" w14:paraId="623F6FE5" w14:textId="77777777" w:rsidTr="00CC5360">
        <w:tc>
          <w:tcPr>
            <w:tcW w:w="675" w:type="dxa"/>
          </w:tcPr>
          <w:p w14:paraId="42EAA2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w:t>
            </w:r>
          </w:p>
        </w:tc>
        <w:tc>
          <w:tcPr>
            <w:tcW w:w="993" w:type="dxa"/>
          </w:tcPr>
          <w:p w14:paraId="3E56D0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августа 1942</w:t>
            </w:r>
          </w:p>
        </w:tc>
        <w:tc>
          <w:tcPr>
            <w:tcW w:w="708" w:type="dxa"/>
          </w:tcPr>
          <w:p w14:paraId="2380A5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1418" w:type="dxa"/>
          </w:tcPr>
          <w:p w14:paraId="1967A4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С.Ф.Сенкевич</w:t>
            </w:r>
          </w:p>
        </w:tc>
        <w:tc>
          <w:tcPr>
            <w:tcW w:w="2364" w:type="dxa"/>
          </w:tcPr>
          <w:p w14:paraId="3823F88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Поломка Су-2 на испытаниях</w:t>
            </w:r>
          </w:p>
        </w:tc>
        <w:tc>
          <w:tcPr>
            <w:tcW w:w="4440" w:type="dxa"/>
          </w:tcPr>
          <w:p w14:paraId="570126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невыпуска левой ноги, произведена посадка на правую ногу</w:t>
            </w:r>
          </w:p>
        </w:tc>
      </w:tr>
      <w:tr w:rsidR="009B487A" w:rsidRPr="00722885" w14:paraId="40378159" w14:textId="77777777" w:rsidTr="00CC5360">
        <w:tc>
          <w:tcPr>
            <w:tcW w:w="675" w:type="dxa"/>
            <w:tcBorders>
              <w:bottom w:val="single" w:sz="12" w:space="0" w:color="auto"/>
            </w:tcBorders>
          </w:tcPr>
          <w:p w14:paraId="36B492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w:t>
            </w:r>
          </w:p>
        </w:tc>
        <w:tc>
          <w:tcPr>
            <w:tcW w:w="993" w:type="dxa"/>
            <w:tcBorders>
              <w:bottom w:val="single" w:sz="12" w:space="0" w:color="auto"/>
            </w:tcBorders>
          </w:tcPr>
          <w:p w14:paraId="486767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w:t>
            </w:r>
          </w:p>
        </w:tc>
        <w:tc>
          <w:tcPr>
            <w:tcW w:w="708" w:type="dxa"/>
            <w:tcBorders>
              <w:bottom w:val="single" w:sz="12" w:space="0" w:color="auto"/>
            </w:tcBorders>
          </w:tcPr>
          <w:p w14:paraId="41ECBF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1418" w:type="dxa"/>
            <w:tcBorders>
              <w:bottom w:val="single" w:sz="12" w:space="0" w:color="auto"/>
            </w:tcBorders>
          </w:tcPr>
          <w:p w14:paraId="326FC9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Романов</w:t>
            </w:r>
          </w:p>
        </w:tc>
        <w:tc>
          <w:tcPr>
            <w:tcW w:w="2364" w:type="dxa"/>
            <w:tcBorders>
              <w:bottom w:val="single" w:sz="12" w:space="0" w:color="auto"/>
            </w:tcBorders>
          </w:tcPr>
          <w:p w14:paraId="058AEE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Авария УТ-2 транспортного</w:t>
            </w:r>
          </w:p>
        </w:tc>
        <w:tc>
          <w:tcPr>
            <w:tcW w:w="4440" w:type="dxa"/>
            <w:tcBorders>
              <w:bottom w:val="single" w:sz="12" w:space="0" w:color="auto"/>
            </w:tcBorders>
          </w:tcPr>
          <w:p w14:paraId="3DE61E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вынужденной посадки из-за неисправности мотора</w:t>
            </w:r>
          </w:p>
        </w:tc>
      </w:tr>
    </w:tbl>
    <w:p w14:paraId="2C6A10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(2108,266)</w:t>
      </w:r>
    </w:p>
    <w:p w14:paraId="7C1ABC0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8AD78D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201D7CE" w14:textId="77777777" w:rsidR="00090C9B" w:rsidRPr="00722885" w:rsidRDefault="00090C9B" w:rsidP="00722885">
      <w:pPr>
        <w:pStyle w:val="Iauiue"/>
        <w:jc w:val="both"/>
        <w:rPr>
          <w:iCs/>
          <w:color w:val="000000" w:themeColor="text1"/>
          <w:sz w:val="16"/>
          <w:szCs w:val="16"/>
        </w:rPr>
      </w:pPr>
    </w:p>
    <w:p w14:paraId="3BC0AB70" w14:textId="77777777" w:rsidR="00E43066" w:rsidRPr="00722885" w:rsidRDefault="00E4306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14 сентября 1942 на завод № 100 пришла телефонограмма от И.М. Зальцмана, который потребовал все опытные работы на заводе прекратить. Завод №100 должен был обеспечивать развертывание производства Т-34 на ЧКЗ. Тем не менее, работы по КВ-13 так и не остановились. К 13 сентября были готовы его корпус и башня, в тот же день на заводе произвели разметку под монтаж узлов и агрегатов. При взвешивании выяснилось, что масса корпуса и башни оказались меньше расчетных – 12 900 и 3 600 килограмм соответственно.</w:t>
      </w:r>
    </w:p>
    <w:p w14:paraId="697DCAF7" w14:textId="77777777" w:rsidR="00E43066" w:rsidRPr="00722885" w:rsidRDefault="00E4306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целом опытный образец КВ-13 соответствовал проекту танка, созданному под руководством Цейца. Разумеется, имели место и определенные изменения, в том числе и по ходовой части. Вместо опорных катков с внутренней амортизацией, которые по своей конструкции напоминали катки Т-50 ЛКЗ, для КВ-13 разработали цельнометаллические катки. Они оказались проще и легче. По похожей с ними схеме были переработаны ленивцы. Несмотря на то, что общая конфигурация башни осталась без изменений, некоторые усовершенствования были внесены и в ее конструкцию. Часть из них перекочевала с КВ-1с, особенно это касается поручней (17637).</w:t>
      </w:r>
    </w:p>
    <w:p w14:paraId="19E0596C" w14:textId="77777777" w:rsidR="00E43066" w:rsidRPr="00722885" w:rsidRDefault="00E43066" w:rsidP="00722885">
      <w:pPr>
        <w:spacing w:after="0" w:line="240" w:lineRule="auto"/>
        <w:jc w:val="both"/>
        <w:rPr>
          <w:rFonts w:ascii="Times New Roman" w:eastAsia="Times New Roman" w:hAnsi="Times New Roman"/>
          <w:color w:val="000000" w:themeColor="text1"/>
          <w:sz w:val="16"/>
          <w:szCs w:val="16"/>
          <w:lang w:eastAsia="ru-RU"/>
        </w:rPr>
      </w:pPr>
    </w:p>
    <w:p w14:paraId="4ED3491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сентября 1942 г. была подготовлена ДОКЛАДНАЯ ЗАПИСКА ГЛАВРАЗВЕДУПРАВЛЕНИЯ НАЧАЛЬНИКУ ГАБТУ О НОВЫХ ОБРАЗЦАХ ТАНКОВ ГЕРМАНСКОЙ АРМИИ</w:t>
      </w:r>
    </w:p>
    <w:p w14:paraId="1AA7F4C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Доношу, что согласно показаниям военнопленных, на вооружение германской армии поступи</w:t>
      </w:r>
      <w:r w:rsidRPr="00722885">
        <w:rPr>
          <w:rFonts w:ascii="Times New Roman" w:hAnsi="Times New Roman"/>
          <w:color w:val="000000" w:themeColor="text1"/>
          <w:sz w:val="16"/>
          <w:szCs w:val="16"/>
        </w:rPr>
        <w:softHyphen/>
        <w:t>ли следующие новые образцы танков:</w:t>
      </w:r>
    </w:p>
    <w:p w14:paraId="38669F6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Танк «Т-5» со следующей характеристикой:</w:t>
      </w:r>
    </w:p>
    <w:p w14:paraId="53FE313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 30 тонн;</w:t>
      </w:r>
    </w:p>
    <w:p w14:paraId="59B231E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 1 — 88-мм пушка и 2 пулемета.</w:t>
      </w:r>
    </w:p>
    <w:p w14:paraId="2430D2C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Колесно-гусеничный танк «Т-12» со следующей характеристикой:</w:t>
      </w:r>
    </w:p>
    <w:p w14:paraId="00137CD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 около 40 тонн;</w:t>
      </w:r>
    </w:p>
    <w:p w14:paraId="06A99F8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 1 — 75-мм пушка и 4 пулемета;</w:t>
      </w:r>
    </w:p>
    <w:p w14:paraId="34589EF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Боекомплект — 100 снарядов;</w:t>
      </w:r>
    </w:p>
    <w:p w14:paraId="46D7F47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 7 человек.</w:t>
      </w:r>
    </w:p>
    <w:p w14:paraId="65CB705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Танк «ВК -18» (возможно Т-18)</w:t>
      </w:r>
    </w:p>
    <w:p w14:paraId="48A0DED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 18 тонн;</w:t>
      </w:r>
    </w:p>
    <w:p w14:paraId="5E92C5C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 1 — 20-мм пушка и 1 пулемет;</w:t>
      </w:r>
    </w:p>
    <w:p w14:paraId="3FB99EE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Броня — лобовая — 80 мм;</w:t>
      </w:r>
    </w:p>
    <w:p w14:paraId="4F11242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 2-3 человека.</w:t>
      </w:r>
    </w:p>
    <w:p w14:paraId="5FA50D7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Данные проверяются и уточняются.</w:t>
      </w:r>
    </w:p>
    <w:p w14:paraId="5A03510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2 управления Главразведуправления Генштаба КА полковник Ратов</w:t>
      </w:r>
    </w:p>
    <w:p w14:paraId="4C481A2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Военный комиссар 2 управления Главразведуправления Генштаба КА бригадный комиссар Киселев</w:t>
      </w:r>
    </w:p>
    <w:p w14:paraId="051F8B1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 отдела 2 управления Главразведуправления Генштаба КА полковник Хлопов</w:t>
      </w:r>
    </w:p>
    <w:p w14:paraId="26275A5B"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11353. Д. 352. Л. 3-7. Подлинник (11211).</w:t>
      </w:r>
    </w:p>
    <w:p w14:paraId="4EC2119A" w14:textId="77777777" w:rsidR="00090C9B" w:rsidRPr="00722885" w:rsidRDefault="00090C9B" w:rsidP="00722885">
      <w:pPr>
        <w:pStyle w:val="afff2"/>
        <w:jc w:val="both"/>
        <w:rPr>
          <w:i w:val="0"/>
          <w:iCs w:val="0"/>
          <w:color w:val="000000" w:themeColor="text1"/>
          <w:spacing w:val="0"/>
          <w:kern w:val="0"/>
          <w:position w:val="0"/>
          <w:sz w:val="16"/>
          <w:szCs w:val="16"/>
        </w:rPr>
      </w:pPr>
    </w:p>
    <w:p w14:paraId="062A11C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14 сентября 1942 года вышел приказ НКБ № 688с</w:t>
      </w:r>
    </w:p>
    <w:p w14:paraId="16F9723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Заводу, переданному в систему НКБ решением Правительства ГрузССР присвоить № 316 и подчинить 1 Гл. управлению (5943, 8).</w:t>
      </w:r>
    </w:p>
    <w:p w14:paraId="7A9F56CF" w14:textId="77777777" w:rsidR="00090C9B" w:rsidRPr="00722885" w:rsidRDefault="00090C9B" w:rsidP="00722885">
      <w:pPr>
        <w:pStyle w:val="Iauiue"/>
        <w:tabs>
          <w:tab w:val="left" w:pos="11199"/>
        </w:tabs>
        <w:jc w:val="both"/>
        <w:rPr>
          <w:color w:val="000000" w:themeColor="text1"/>
          <w:sz w:val="16"/>
          <w:szCs w:val="16"/>
        </w:rPr>
      </w:pPr>
    </w:p>
    <w:p w14:paraId="4DD2313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3B61785" w14:textId="77777777" w:rsidR="00090C9B" w:rsidRPr="00722885" w:rsidRDefault="00090C9B" w:rsidP="00722885">
      <w:pPr>
        <w:pStyle w:val="Iauiue"/>
        <w:jc w:val="both"/>
        <w:rPr>
          <w:iCs/>
          <w:color w:val="000000" w:themeColor="text1"/>
          <w:sz w:val="16"/>
          <w:szCs w:val="16"/>
        </w:rPr>
      </w:pPr>
    </w:p>
    <w:p w14:paraId="4BB10050"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сентября </w:t>
      </w:r>
      <w:r w:rsidRPr="00722885">
        <w:rPr>
          <w:rFonts w:ascii="Times New Roman" w:hAnsi="Times New Roman"/>
          <w:color w:val="000000" w:themeColor="text1"/>
          <w:sz w:val="16"/>
          <w:szCs w:val="16"/>
        </w:rPr>
        <w:t>в 1942 году утреннее сообщение Совинформбюро:</w:t>
      </w:r>
    </w:p>
    <w:p w14:paraId="6065E357"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14 сентября наши войска вели бои с противником западнее и юго-западнее Сталинграда, в районе Моздок, а также на Волховском участке фронта в районе Синявино. На других фронтах существенных изменений не произошло.</w:t>
      </w:r>
    </w:p>
    <w:p w14:paraId="3FCF581F"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наши войска вели оборонительные бои с пехотой и танками противника. На рубежи, которые обороняет Н-ская часть Красной Армии, гитлеровцы бросили в атаку 20 танков и до двух батальонов пехоты. Артиллеристы и бронебойщики подбили 7 немецких танков, а остальные повернули обратно.Оставшаяся без прикрытия пехота противника была атакована и разгромлена нашими бойцами. На поле боя немцы оставили до 200 трупов солдат и офицеров.</w:t>
      </w:r>
    </w:p>
    <w:p w14:paraId="10747D19"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продолжались напряжённые бои. На одном из участков противнику удалось прорваться в расположение наших войск. Н-ское танковое подразделение атаковало немцев и восстановило положение. В этом бою уничтожено 5 немецких танков, 11 бронированных машин и до роты гитлеровцев.</w:t>
      </w:r>
    </w:p>
    <w:p w14:paraId="5FEFE7C5"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огнём нашей артиллерии подбито и сожжено 6 немецких танков.Двадцать четыре красноармейца во главе с лейтенантом Яковлевым, обороняя важнуювысоту, отразили несколько атак противника и истребили более 100 немецких солдати офицеров. На другом участке части морской пехоты уничтожили 3 немецких танка, 7 зенитных и 11 полевых орудий, 2 радиостанции. Истреблено до батальона пехоты противника.</w:t>
      </w:r>
    </w:p>
    <w:p w14:paraId="119B598B"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Синявина наши подразделения под командованием тов. Ушинского взломали сильно укреплённую вражескую оборону и заняли населённый пункт. В этих боях противник потерял убитыми и ранеными до 1.000 солдат и офицеров. Подбито 8 немецких танков, уничтожено 14 орудий и 26 пулемётов, разрушено 20 ДЗОТов. Стремясь вернуть потерянные рубежи, немцы предприняли несколько безуспешны хконтратак, в ходе которых понесли новые потери.</w:t>
      </w:r>
    </w:p>
    <w:p w14:paraId="0FC6EF55"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активными действиями наших разведывательных групп, снайперов и огнём артиллерии истреблено до 200 солдат и офицеров противника. Нашими бойцами захвачены 6 пулемётов, 10 автоматов, 20.000 патронов, радиостанция и другое военное снаряжение.</w:t>
      </w:r>
    </w:p>
    <w:p w14:paraId="5DD84E71"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 Ленинградского фронта и Краснознамённого Балтийского флота за два дня в воздушных боях сбили 28 и подбили 3 немецких самолёта. Кроме того, огнём нашей зенитной артиллерии на подступах к Ленинграду сбито 2 самолёта противника.</w:t>
      </w:r>
    </w:p>
    <w:p w14:paraId="4E463897"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Солдат 5 роты 128 мотополка 23 танковой дивизии Иоганнес Эбергардт рассказал: «В июле в нашей роте было 140 человек, а сейчас осталось не больше 20. Это те люди, которым вместе с капитаном Бюхнером удалось спастись бегством. Красная Армия дерётся исключительно ожесточённо. Самое опасное и страшное для нас — это русские снайперы. Они наносят нам большой урон».</w:t>
      </w:r>
    </w:p>
    <w:p w14:paraId="76F5D623" w14:textId="77777777" w:rsidR="00B37FE8" w:rsidRPr="00722885" w:rsidRDefault="00B37FE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немецкого ефрейтора 11 роты 119 полка 25 немецкой мотодивизии Шульца найдено письмо от его знакомого Георга Шнейдера. В письме говорится: «У нас работает много русских. Они вечно голодны и, чтобы поесть, тащат с огородов картошку, капусту, горох и другие овощи. Они часто убегают от своих хозяев и бродят по лесам. Если кого-нибудь из них поймают, то разговоры коротки — его приканчивают» (14769).</w:t>
      </w:r>
    </w:p>
    <w:p w14:paraId="50250263" w14:textId="77777777" w:rsidR="00B37FE8" w:rsidRPr="00722885" w:rsidRDefault="00B37FE8" w:rsidP="00722885">
      <w:pPr>
        <w:spacing w:after="0" w:line="240" w:lineRule="auto"/>
        <w:jc w:val="both"/>
        <w:rPr>
          <w:rFonts w:ascii="Times New Roman" w:hAnsi="Times New Roman"/>
          <w:color w:val="000000" w:themeColor="text1"/>
          <w:sz w:val="16"/>
          <w:szCs w:val="16"/>
        </w:rPr>
      </w:pPr>
    </w:p>
    <w:p w14:paraId="36D96B9A"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сентября </w:t>
      </w:r>
      <w:r w:rsidRPr="00722885">
        <w:rPr>
          <w:rFonts w:ascii="Times New Roman" w:hAnsi="Times New Roman"/>
          <w:color w:val="000000" w:themeColor="text1"/>
          <w:sz w:val="16"/>
          <w:szCs w:val="16"/>
        </w:rPr>
        <w:t>в 1942 году вечернее сообщение Совинформбюро:</w:t>
      </w:r>
    </w:p>
    <w:p w14:paraId="4E01D267"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14 сентября наши войска вели бои с противником западнее и юго-западнее Сталинграда и в районе Моздок. На других фронтах существенных изменений не произошло.</w:t>
      </w:r>
    </w:p>
    <w:p w14:paraId="36F1A2FE"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13 сентября частями нашей авиации на различных участках фронта уничтожено или повреждено 18 немецких танков и бронемашин, до 130 автомашин с войсками и грузами, 7 автоцистерн с горючим, подавлен огонь 11 батарей полевой и зенитной артиллерии, взорвано 4 склада боеприпасов, рассеяно и частью уничтожено до батальона пехоты противника.</w:t>
      </w:r>
    </w:p>
    <w:p w14:paraId="6F06C17D"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наши войска отбивали ожесточённые атаки танков и пехоты противника. На участок, который обороняла Н-ская часть, перешли в наступление два полка вражеской пехоты и около 40 танков. Огнём нашей артиллерии и бронебойщиков было уничтожено 9 танков и до трёх рот немецкой пехоты.Северо-западнее Сталинграда кавалеристы-гвардейцы отбили две атаки гитлеровцев и уничтожили до 500 солдат и офицеров противника.</w:t>
      </w:r>
    </w:p>
    <w:p w14:paraId="7139C2BB"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противник переправил танки на южный берег водного рубежа и атаковал наши позиции. После упорных боёв наши части отошли на другой рубеж обороны.</w:t>
      </w:r>
    </w:p>
    <w:p w14:paraId="4FF0768B"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снайперов Н-ского соединения за последнее время истребили свыше 1.000 солдат и офицеров противника. Снайпер тов. Ипатов истребил 203 немца, тов. Яволиев — 195, тт. Чуга и Семенчук истребили по 128 гитлеровцев.</w:t>
      </w:r>
    </w:p>
    <w:p w14:paraId="5700A104"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наши части в течение дня отбили пять ожесточённых атак противника. В ходе этого боя гитлеровцы понесли большие потери. Нашими бойцами уничтожено до 2.000 солдат и офицеров, 20 танков и 30 автомашин противника. Взяты пленные.</w:t>
      </w:r>
    </w:p>
    <w:p w14:paraId="4E2DED38"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Синявина бойцы под командованием тов. Рагинского выбили противника из одного опорного пункта. В результате боя уничтожено 5 немецких танков, 6 орудий, разрушено до 40 землянок и ДЗОТов, истреблено до 600 немецких солдат и офицеров. Зенитным огнём сбито 4 немецких самолёта.</w:t>
      </w:r>
    </w:p>
    <w:p w14:paraId="52F26438"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лётчики-штурмовики совершили успешный налёт на аэродром противника и уничтожили 38 немецких самолётов и 5 автоцистерн с горючим.</w:t>
      </w:r>
    </w:p>
    <w:p w14:paraId="37FBA13F"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3 роты 211 полка 71 немецкой пехотной дивизии Рудольф Куммер рассказал: «Я работал на самолётостроительном заводе «Юнкерс» в Гальберштадте. За этот год мобилизовали в армию очень много квалифицированных рабочих, ранеепользовавшихся отсрочками. Недавно призвали ещё 500 человек. В Германии часто можно слышать такую фразу: «Восточный фронт — это конечный пункт путешествия немецкого солдата. Из России нет возврата. В лучшем случае оттуда привозят калек, ни на что не способных». Солдаты чрезвычайно устали от непрерывных боёв. Крикунов, которые до хрипоты вопили о том, что Германия должна завоевать весь мир, становится всё меньше. Одна часть из них уже довоевалась до смерти, другая— приуныла и повесила голову. Теперь многие солдаты уже не думают о победе. Их страшит будущее. Особенно пугает надвигающаяся русская зима».</w:t>
      </w:r>
    </w:p>
    <w:p w14:paraId="4B65ACC0"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немецкого солдата Генриха найдено неотправленное письмо к сестре, в котором говорится: «Недавно мы пережили тяжёлые дни. Опять потеряли очень много людей и оружия. На место убитых снова прислали свежее пополнение. Они тоже недолго прожили здесь. Многие уже лежат на здешнем кладбище, других отправили в госпитали. Из всего пополнения уцелели только двое, все остальные выбыли из строя».</w:t>
      </w:r>
    </w:p>
    <w:p w14:paraId="16A12ACD"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грабят и убивают мирных жителей оккупированных ими советских районов. В деревне Гридино, Ленинградской области, гитлеровцы загнали в погреб жену красноармейца Лосеву Прасковью Ивановну и её трёх детей и бросили туда несколько гранат. Лосева и её дети погибли.</w:t>
      </w:r>
    </w:p>
    <w:p w14:paraId="3FF3C746"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порту Дордрехт (Голландия) патриоты уничтожили крупную партию авиационных моторов, приготовленных к отправке в Германию. На железнодорожном перегоне Девентер—Зутфен произошло крушение немецкого поезда с боеприпасами. Паровоз и 19 вагонов разрушены.» (14769).</w:t>
      </w:r>
    </w:p>
    <w:p w14:paraId="0630A93E"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13D956B7"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сентября </w:t>
      </w:r>
      <w:r w:rsidRPr="00722885">
        <w:rPr>
          <w:rFonts w:ascii="Times New Roman" w:hAnsi="Times New Roman"/>
          <w:color w:val="000000" w:themeColor="text1"/>
          <w:sz w:val="16"/>
          <w:szCs w:val="16"/>
        </w:rPr>
        <w:t>в 1942 году корабли Волжской военной флотилии начали переброску через Волгу 13-й гвардейской стрелковой дивизии (генерал-майор А.И.Родимцев) для усиления обороны войск 62-й армии (14769).</w:t>
      </w:r>
    </w:p>
    <w:p w14:paraId="13E05DE2"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217E71CF"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сентября </w:t>
      </w:r>
      <w:r w:rsidRPr="00722885">
        <w:rPr>
          <w:rFonts w:ascii="Times New Roman" w:hAnsi="Times New Roman"/>
          <w:color w:val="000000" w:themeColor="text1"/>
          <w:sz w:val="16"/>
          <w:szCs w:val="16"/>
        </w:rPr>
        <w:t>в 1942 году авиация дальнего действия нанесла бомбовый удар по Бухаресту (14769).</w:t>
      </w:r>
    </w:p>
    <w:p w14:paraId="0AE0C95A"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6C99292E"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сентября </w:t>
      </w:r>
      <w:r w:rsidRPr="00722885">
        <w:rPr>
          <w:rFonts w:ascii="Times New Roman" w:hAnsi="Times New Roman"/>
          <w:color w:val="000000" w:themeColor="text1"/>
          <w:sz w:val="16"/>
          <w:szCs w:val="16"/>
        </w:rPr>
        <w:t>в 1942 году противник предпринял наступление против частей 399-й стрелковой дивизии 62-й армии. Бойцы и командиры 396-го и 472-го стрелковых полков стали в панике отходить. Начальник заградотряда младший лейтенант госбезопасности Ельман приказал своему отряду открыть огонь над головами отступающих. В результате личный состав этих полков был остановлен и через два часа полки заняли прежние рубежи обороны (14769).</w:t>
      </w:r>
    </w:p>
    <w:p w14:paraId="4ACDBF59"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52329A10"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сентября </w:t>
      </w:r>
      <w:r w:rsidRPr="00722885">
        <w:rPr>
          <w:rFonts w:ascii="Times New Roman" w:hAnsi="Times New Roman"/>
          <w:color w:val="000000" w:themeColor="text1"/>
          <w:sz w:val="16"/>
          <w:szCs w:val="16"/>
        </w:rPr>
        <w:t>в 1942 году немецкие войска заняли Мамаев Курган под Сталинградом (14769).</w:t>
      </w:r>
    </w:p>
    <w:p w14:paraId="7A4D44C1"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0153A45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сентября 1942 организовали налеты на объекты в Ру</w:t>
      </w:r>
      <w:r w:rsidRPr="00722885">
        <w:rPr>
          <w:rFonts w:ascii="Times New Roman" w:hAnsi="Times New Roman"/>
          <w:color w:val="000000" w:themeColor="text1"/>
          <w:sz w:val="16"/>
          <w:szCs w:val="16"/>
        </w:rPr>
        <w:softHyphen/>
        <w:t>мынии, в которых участвовали полки 3-1и, 17-й и 45-й дивизий. Бомбили Буха</w:t>
      </w:r>
      <w:r w:rsidRPr="00722885">
        <w:rPr>
          <w:rFonts w:ascii="Times New Roman" w:hAnsi="Times New Roman"/>
          <w:color w:val="000000" w:themeColor="text1"/>
          <w:sz w:val="16"/>
          <w:szCs w:val="16"/>
        </w:rPr>
        <w:softHyphen/>
        <w:t>рест, Плоешти с его нефтеперегонными заводами и порт Галац на Дунае. В таких дальних рейдах остро сказы</w:t>
      </w:r>
      <w:r w:rsidRPr="00722885">
        <w:rPr>
          <w:rFonts w:ascii="Times New Roman" w:hAnsi="Times New Roman"/>
          <w:color w:val="000000" w:themeColor="text1"/>
          <w:sz w:val="16"/>
          <w:szCs w:val="16"/>
        </w:rPr>
        <w:softHyphen/>
        <w:t>вались недостатки Ил-4. Полет длился до 12 часов. Все это время от пилота требовалось неусыпное внимание. Не</w:t>
      </w:r>
      <w:r w:rsidRPr="00722885">
        <w:rPr>
          <w:rFonts w:ascii="Times New Roman" w:hAnsi="Times New Roman"/>
          <w:color w:val="000000" w:themeColor="text1"/>
          <w:sz w:val="16"/>
          <w:szCs w:val="16"/>
        </w:rPr>
        <w:softHyphen/>
        <w:t>достаточная продольная устойчивость, ухудшившаяся на модификации ДБ-3Ф и продолжавшая ухудшаться после пе</w:t>
      </w:r>
      <w:r w:rsidRPr="00722885">
        <w:rPr>
          <w:rFonts w:ascii="Times New Roman" w:hAnsi="Times New Roman"/>
          <w:color w:val="000000" w:themeColor="text1"/>
          <w:sz w:val="16"/>
          <w:szCs w:val="16"/>
        </w:rPr>
        <w:softHyphen/>
        <w:t>рехода к экипажу из четырех человек и установки дополнительного оборудова</w:t>
      </w:r>
      <w:r w:rsidRPr="00722885">
        <w:rPr>
          <w:rFonts w:ascii="Times New Roman" w:hAnsi="Times New Roman"/>
          <w:color w:val="000000" w:themeColor="text1"/>
          <w:sz w:val="16"/>
          <w:szCs w:val="16"/>
        </w:rPr>
        <w:softHyphen/>
        <w:t>ния, не давали летчику ни минуты по-, коя. Автопилоты стояли только на еди</w:t>
      </w:r>
      <w:r w:rsidRPr="00722885">
        <w:rPr>
          <w:rFonts w:ascii="Times New Roman" w:hAnsi="Times New Roman"/>
          <w:color w:val="000000" w:themeColor="text1"/>
          <w:sz w:val="16"/>
          <w:szCs w:val="16"/>
        </w:rPr>
        <w:softHyphen/>
        <w:t>ничных машинах (до конца 1942 г. на фронт отправили около 60 самолетов с АВП-12), причем в «болтанку» их предписывали отключать (гидравлика реагировала слишком медленно). Ино</w:t>
      </w:r>
      <w:r w:rsidRPr="00722885">
        <w:rPr>
          <w:rFonts w:ascii="Times New Roman" w:hAnsi="Times New Roman"/>
          <w:color w:val="000000" w:themeColor="text1"/>
          <w:sz w:val="16"/>
          <w:szCs w:val="16"/>
        </w:rPr>
        <w:softHyphen/>
        <w:t>гда на помощь пилоту подключался штурман, вставлявший в гнездо съем</w:t>
      </w:r>
      <w:r w:rsidRPr="00722885">
        <w:rPr>
          <w:rFonts w:ascii="Times New Roman" w:hAnsi="Times New Roman"/>
          <w:color w:val="000000" w:themeColor="text1"/>
          <w:sz w:val="16"/>
          <w:szCs w:val="16"/>
        </w:rPr>
        <w:softHyphen/>
        <w:t>ную ручку управления и дававший ко</w:t>
      </w:r>
      <w:r w:rsidRPr="00722885">
        <w:rPr>
          <w:rFonts w:ascii="Times New Roman" w:hAnsi="Times New Roman"/>
          <w:color w:val="000000" w:themeColor="text1"/>
          <w:sz w:val="16"/>
          <w:szCs w:val="16"/>
        </w:rPr>
        <w:softHyphen/>
        <w:t>мандиру немного отдохнуть. Можно привести мнение дважды Ге</w:t>
      </w:r>
      <w:r w:rsidRPr="00722885">
        <w:rPr>
          <w:rFonts w:ascii="Times New Roman" w:hAnsi="Times New Roman"/>
          <w:color w:val="000000" w:themeColor="text1"/>
          <w:sz w:val="16"/>
          <w:szCs w:val="16"/>
        </w:rPr>
        <w:softHyphen/>
        <w:t>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w:t>
      </w:r>
      <w:r w:rsidRPr="00722885">
        <w:rPr>
          <w:rFonts w:ascii="Times New Roman" w:hAnsi="Times New Roman"/>
          <w:color w:val="000000" w:themeColor="text1"/>
          <w:sz w:val="16"/>
          <w:szCs w:val="16"/>
        </w:rPr>
        <w:softHyphen/>
        <w:t xml:space="preserve">вал, чтобы самолет летел в заданном режиме». А вот что писал летавший в ту пору на Ил-4 В.В. Решетников: </w:t>
      </w:r>
      <w:r w:rsidRPr="00722885">
        <w:rPr>
          <w:rFonts w:ascii="Times New Roman" w:hAnsi="Times New Roman"/>
          <w:color w:val="000000" w:themeColor="text1"/>
          <w:sz w:val="16"/>
          <w:szCs w:val="16"/>
        </w:rPr>
        <w:lastRenderedPageBreak/>
        <w:t>«Уп</w:t>
      </w:r>
      <w:r w:rsidRPr="00722885">
        <w:rPr>
          <w:rFonts w:ascii="Times New Roman" w:hAnsi="Times New Roman"/>
          <w:color w:val="000000" w:themeColor="text1"/>
          <w:sz w:val="16"/>
          <w:szCs w:val="16"/>
        </w:rPr>
        <w:softHyphen/>
        <w:t>равление нельзя было бросить ни на се</w:t>
      </w:r>
      <w:r w:rsidRPr="00722885">
        <w:rPr>
          <w:rFonts w:ascii="Times New Roman" w:hAnsi="Times New Roman"/>
          <w:color w:val="000000" w:themeColor="text1"/>
          <w:sz w:val="16"/>
          <w:szCs w:val="16"/>
        </w:rPr>
        <w:softHyphen/>
        <w:t>кунду: при самой идеальной нейтраль</w:t>
      </w:r>
      <w:r w:rsidRPr="00722885">
        <w:rPr>
          <w:rFonts w:ascii="Times New Roman" w:hAnsi="Times New Roman"/>
          <w:color w:val="000000" w:themeColor="text1"/>
          <w:sz w:val="16"/>
          <w:szCs w:val="16"/>
        </w:rPr>
        <w:softHyphen/>
        <w:t>ной регулировке руля высоты машина с брошенным управлением без раздумий, совершенно произвольно лезла вверх или, если ей так вздумается, завалива</w:t>
      </w:r>
      <w:r w:rsidRPr="00722885">
        <w:rPr>
          <w:rFonts w:ascii="Times New Roman" w:hAnsi="Times New Roman"/>
          <w:color w:val="000000" w:themeColor="text1"/>
          <w:sz w:val="16"/>
          <w:szCs w:val="16"/>
        </w:rPr>
        <w:softHyphen/>
        <w:t>лась с ускорением вниз. Она нахально «висела» на руках и в длительных мно</w:t>
      </w:r>
      <w:r w:rsidRPr="00722885">
        <w:rPr>
          <w:rFonts w:ascii="Times New Roman" w:hAnsi="Times New Roman"/>
          <w:color w:val="000000" w:themeColor="text1"/>
          <w:sz w:val="16"/>
          <w:szCs w:val="16"/>
        </w:rPr>
        <w:softHyphen/>
        <w:t>гочасовых полетах выматывала пилотов изрядно. Грешна была этим, матушка». Чрезвычайно утомительным являлся полет при отказе одного мотора. Пари</w:t>
      </w:r>
      <w:r w:rsidRPr="00722885">
        <w:rPr>
          <w:rFonts w:ascii="Times New Roman" w:hAnsi="Times New Roman"/>
          <w:color w:val="000000" w:themeColor="text1"/>
          <w:sz w:val="16"/>
          <w:szCs w:val="16"/>
        </w:rPr>
        <w:softHyphen/>
        <w:t>руя тенденцию к развороту, летчик постоянно был вынужден давить на пе</w:t>
      </w:r>
      <w:r w:rsidRPr="00722885">
        <w:rPr>
          <w:rFonts w:ascii="Times New Roman" w:hAnsi="Times New Roman"/>
          <w:color w:val="000000" w:themeColor="text1"/>
          <w:sz w:val="16"/>
          <w:szCs w:val="16"/>
        </w:rPr>
        <w:softHyphen/>
        <w:t>даль, поскольку триммер не компенси</w:t>
      </w:r>
      <w:r w:rsidRPr="00722885">
        <w:rPr>
          <w:rFonts w:ascii="Times New Roman" w:hAnsi="Times New Roman"/>
          <w:color w:val="000000" w:themeColor="text1"/>
          <w:sz w:val="16"/>
          <w:szCs w:val="16"/>
        </w:rPr>
        <w:softHyphen/>
        <w:t>ровал полностью асимметрию тяги. Этот дефект сохранился практически до последних серий бомбардировщиков. Недостаточно эффективным явля</w:t>
      </w:r>
      <w:r w:rsidRPr="00722885">
        <w:rPr>
          <w:rFonts w:ascii="Times New Roman" w:hAnsi="Times New Roman"/>
          <w:color w:val="000000" w:themeColor="text1"/>
          <w:sz w:val="16"/>
          <w:szCs w:val="16"/>
        </w:rPr>
        <w:softHyphen/>
        <w:t>лось и оборонительное вооружение Ил-4. Трех пулеметов ШКАС для нача</w:t>
      </w:r>
      <w:r w:rsidRPr="00722885">
        <w:rPr>
          <w:rFonts w:ascii="Times New Roman" w:hAnsi="Times New Roman"/>
          <w:color w:val="000000" w:themeColor="text1"/>
          <w:sz w:val="16"/>
          <w:szCs w:val="16"/>
        </w:rPr>
        <w:softHyphen/>
        <w:t>ла 1942 г. уже было недостаточно. Сперва в полках АДД появились кус</w:t>
      </w:r>
      <w:r w:rsidRPr="00722885">
        <w:rPr>
          <w:rFonts w:ascii="Times New Roman" w:hAnsi="Times New Roman"/>
          <w:color w:val="000000" w:themeColor="text1"/>
          <w:sz w:val="16"/>
          <w:szCs w:val="16"/>
        </w:rPr>
        <w:softHyphen/>
        <w:t>тарные установки крупнокалиберного пулемета УБТ в турели МВ-3. По-види</w:t>
      </w:r>
      <w:r w:rsidRPr="00722885">
        <w:rPr>
          <w:rFonts w:ascii="Times New Roman" w:hAnsi="Times New Roman"/>
          <w:color w:val="000000" w:themeColor="text1"/>
          <w:sz w:val="16"/>
          <w:szCs w:val="16"/>
        </w:rPr>
        <w:softHyphen/>
        <w:t>мому, первой их начала использовать 3-я дивизия АЛЛ. С весны вместо верх</w:t>
      </w:r>
      <w:r w:rsidRPr="00722885">
        <w:rPr>
          <w:rFonts w:ascii="Times New Roman" w:hAnsi="Times New Roman"/>
          <w:color w:val="000000" w:themeColor="text1"/>
          <w:sz w:val="16"/>
          <w:szCs w:val="16"/>
        </w:rPr>
        <w:softHyphen/>
        <w:t>ней турели МВ-3 стали ставить УТК-1 с крупнокалиберным пулеметом УБТ и запасом в 200 патронов к нему. УТК-1 являлась переделкой той же МВ-3, осу</w:t>
      </w:r>
      <w:r w:rsidRPr="00722885">
        <w:rPr>
          <w:rFonts w:ascii="Times New Roman" w:hAnsi="Times New Roman"/>
          <w:color w:val="000000" w:themeColor="text1"/>
          <w:sz w:val="16"/>
          <w:szCs w:val="16"/>
        </w:rPr>
        <w:softHyphen/>
        <w:t>ществленной под руководством инже</w:t>
      </w:r>
      <w:r w:rsidRPr="00722885">
        <w:rPr>
          <w:rFonts w:ascii="Times New Roman" w:hAnsi="Times New Roman"/>
          <w:color w:val="000000" w:themeColor="text1"/>
          <w:sz w:val="16"/>
          <w:szCs w:val="16"/>
        </w:rPr>
        <w:softHyphen/>
        <w:t>нера Шебанова. Ранние УТК-1 часто использовали детали и узлы разобран</w:t>
      </w:r>
      <w:r w:rsidRPr="00722885">
        <w:rPr>
          <w:rFonts w:ascii="Times New Roman" w:hAnsi="Times New Roman"/>
          <w:color w:val="000000" w:themeColor="text1"/>
          <w:sz w:val="16"/>
          <w:szCs w:val="16"/>
        </w:rPr>
        <w:softHyphen/>
        <w:t>ных МВ-3. Поэтому частям предписы</w:t>
      </w:r>
      <w:r w:rsidRPr="00722885">
        <w:rPr>
          <w:rFonts w:ascii="Times New Roman" w:hAnsi="Times New Roman"/>
          <w:color w:val="000000" w:themeColor="text1"/>
          <w:sz w:val="16"/>
          <w:szCs w:val="16"/>
        </w:rPr>
        <w:softHyphen/>
        <w:t>валось при получении УТК-1 старые ту</w:t>
      </w:r>
      <w:r w:rsidRPr="00722885">
        <w:rPr>
          <w:rFonts w:ascii="Times New Roman" w:hAnsi="Times New Roman"/>
          <w:color w:val="000000" w:themeColor="text1"/>
          <w:sz w:val="16"/>
          <w:szCs w:val="16"/>
        </w:rPr>
        <w:softHyphen/>
        <w:t>рели отправлять обратно на завод. Усиление огневой мощи сразу заста</w:t>
      </w:r>
      <w:r w:rsidRPr="00722885">
        <w:rPr>
          <w:rFonts w:ascii="Times New Roman" w:hAnsi="Times New Roman"/>
          <w:color w:val="000000" w:themeColor="text1"/>
          <w:sz w:val="16"/>
          <w:szCs w:val="16"/>
        </w:rPr>
        <w:softHyphen/>
        <w:t>вило немецкие ночные истребители держаться подальше и, соответственно, понизило эффективность их стрельбы. В феврале 1942 г. в 748-м полку инже</w:t>
      </w:r>
      <w:r w:rsidRPr="00722885">
        <w:rPr>
          <w:rFonts w:ascii="Times New Roman" w:hAnsi="Times New Roman"/>
          <w:color w:val="000000" w:themeColor="text1"/>
          <w:sz w:val="16"/>
          <w:szCs w:val="16"/>
        </w:rPr>
        <w:softHyphen/>
        <w:t>нер Ю.П. Знаменский создал люковую установку под пулемет УБТ. В ней ис</w:t>
      </w:r>
      <w:r w:rsidRPr="00722885">
        <w:rPr>
          <w:rFonts w:ascii="Times New Roman" w:hAnsi="Times New Roman"/>
          <w:color w:val="000000" w:themeColor="text1"/>
          <w:sz w:val="16"/>
          <w:szCs w:val="16"/>
        </w:rPr>
        <w:softHyphen/>
        <w:t>пользовали удлиненную и уширенную раму от МВ-2, а также лафет, патрон</w:t>
      </w:r>
      <w:r w:rsidRPr="00722885">
        <w:rPr>
          <w:rFonts w:ascii="Times New Roman" w:hAnsi="Times New Roman"/>
          <w:color w:val="000000" w:themeColor="text1"/>
          <w:sz w:val="16"/>
          <w:szCs w:val="16"/>
        </w:rPr>
        <w:softHyphen/>
        <w:t>ный ящик и удлиненный рукав питания от ЛУ Пе-2. Боезапас составлял 250 патронов. Установку испытали в бою и остались ею довольны. Командование АЛЛ упорно пыталось добиться внедрения этой установки на серийных самолетах, но Ильюшин столь же упорно противился этому, бо</w:t>
      </w:r>
      <w:r w:rsidRPr="00722885">
        <w:rPr>
          <w:rFonts w:ascii="Times New Roman" w:hAnsi="Times New Roman"/>
          <w:color w:val="000000" w:themeColor="text1"/>
          <w:sz w:val="16"/>
          <w:szCs w:val="16"/>
        </w:rPr>
        <w:softHyphen/>
        <w:t>ясь, что сдвиг центровки назад (новая установка была на 70 кг тяжелее МВ-2) еще более ухудшит и без того не очень приятные пилотажные качества Ил-4. Но в полках продолжали монтировать УБТ и в люковой установке (10734,71).</w:t>
      </w:r>
    </w:p>
    <w:p w14:paraId="00D54E3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2256F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сентября 1942 вышла директива Командующего ВВС: "Группы истребителей-охотников создавать при каждой иад, отработать с ними тактику истребителя-охотника... Истребители-охотники д.б. набраны добровольно из лучших бойцов воздуха. Это д.б. не только отважные л, но и отлично владеющие пилотажем, отличные воздушные стрелки, хладнокровные, расчетливые, уверенные в себе, своем самолете и оружии." (518,89).</w:t>
      </w:r>
    </w:p>
    <w:p w14:paraId="41310586" w14:textId="77777777" w:rsidR="00090C9B" w:rsidRPr="00722885" w:rsidRDefault="00090C9B" w:rsidP="00722885">
      <w:pPr>
        <w:pStyle w:val="Iauiue"/>
        <w:jc w:val="both"/>
        <w:rPr>
          <w:color w:val="000000" w:themeColor="text1"/>
          <w:sz w:val="16"/>
          <w:szCs w:val="16"/>
        </w:rPr>
      </w:pPr>
    </w:p>
    <w:p w14:paraId="10ADAB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сентября 1942 АДД выполнила 46 вылетов по Бухаресту (340,94).</w:t>
      </w:r>
    </w:p>
    <w:p w14:paraId="7189D644" w14:textId="77777777" w:rsidR="00090C9B" w:rsidRPr="00722885" w:rsidRDefault="00090C9B" w:rsidP="00722885">
      <w:pPr>
        <w:pStyle w:val="Iauiue"/>
        <w:jc w:val="both"/>
        <w:rPr>
          <w:color w:val="000000" w:themeColor="text1"/>
          <w:sz w:val="16"/>
          <w:szCs w:val="16"/>
        </w:rPr>
      </w:pPr>
    </w:p>
    <w:p w14:paraId="4FEDD6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сентября 1942 организовали налеты на объекты в Румынии, в которых участвовали полки 3-й, 17-й и 45-й дивизий. Бомбили Бухарест, Плоешти с его нефтеперегонными заводами и порт Галац на Дунае.</w:t>
      </w:r>
    </w:p>
    <w:p w14:paraId="7238B6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таких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ДБ-ЗФ и продолжавшая ухудшаться после перехода к экипажу из четырех человек и установки дополнительного оборудования, не давали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(гидравлика pea- Штурман гировала слишком медленно). Иногда на по- в кабине Ил-4 мощь пилоту подключался штурман, вставлявший в гнездо съемную ручку управления и дававший командиру немного отдохнуть.</w:t>
      </w:r>
    </w:p>
    <w:p w14:paraId="04CFF5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Можно привести мнение дважды Героя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А вот что писал летавший в ту пору на Ил-4 В. В. Решетников: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Группа Ил-4 многочасовых полетах выматывала пилотов на полевом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бомбардировщиков (12021).</w:t>
      </w:r>
    </w:p>
    <w:p w14:paraId="38FE8CD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86E73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сентября 1942 советские приемщики в Фэрбенксе оформили первую партию "Бостонов" А-20В, 29-го начались тренировки наших летчиков-перегонщиков, а уже на следующий день группа из 12 А-20В, ведомая майором П.В.Недосекиным, взяла курс на Ном. Из-за плохой погоды лишь 7 октября эти самолеты прибыли в Марково, где проходила смена экипажей. До конца 1942 года "Бостонов" но АЛСИБу перегнали немного. Основной ноток пошел на следующий год. Самолеты, перегонявшиеся из США, уже проходили некоторую специальную доработку для применения в СССР. Это было связано с тем, что у англичан и американцев экипаж состоял из трех человек, а у нас - из четырех, добавлялся нижний стрелок. Для него ставили еще одно сиденье, кислородную аппаратуру, подключали его место к переговорному устройству и т.п. Это делалось не на заводах, которые комплектовали самолеты по стандартам армии США, а в специальном модификационном центре в Талсе, к которому прикомандировали советских военных приемщиков. Все последние модификации "Бостонов", отправлявшиеся в нашу страну, проходили через этот центр (3457,103).</w:t>
      </w:r>
    </w:p>
    <w:p w14:paraId="605367FF" w14:textId="77777777" w:rsidR="00090C9B" w:rsidRPr="00722885" w:rsidRDefault="00090C9B" w:rsidP="00722885">
      <w:pPr>
        <w:pStyle w:val="Iauiue"/>
        <w:jc w:val="both"/>
        <w:rPr>
          <w:color w:val="000000" w:themeColor="text1"/>
          <w:sz w:val="16"/>
          <w:szCs w:val="16"/>
        </w:rPr>
      </w:pPr>
    </w:p>
    <w:p w14:paraId="7AC98CEE"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14, 1942: At Stalingrad, counterattacks by the Soviet 62nd Army (Chuikov) fail to stop LI. Armeekorps's (von Seydlitz) advance toward the Stalingrad inner city and the Central Station (3819).</w:t>
      </w:r>
    </w:p>
    <w:p w14:paraId="21308ADD" w14:textId="77777777" w:rsidR="00090C9B" w:rsidRPr="00722885" w:rsidRDefault="00090C9B" w:rsidP="00722885">
      <w:pPr>
        <w:pStyle w:val="Iauiue"/>
        <w:jc w:val="both"/>
        <w:rPr>
          <w:color w:val="000000" w:themeColor="text1"/>
          <w:sz w:val="16"/>
          <w:szCs w:val="16"/>
          <w:lang w:val="en-US"/>
        </w:rPr>
      </w:pPr>
    </w:p>
    <w:p w14:paraId="5E4BF2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сентября 1942 контратаки 62А (Чуйков) не смогли остановить атаки корпуса Зейдлица у Центрального вокзала (3819).</w:t>
      </w:r>
    </w:p>
    <w:p w14:paraId="2299D41A" w14:textId="77777777" w:rsidR="00090C9B" w:rsidRPr="00722885" w:rsidRDefault="00090C9B" w:rsidP="00722885">
      <w:pPr>
        <w:pStyle w:val="Iauiue"/>
        <w:jc w:val="both"/>
        <w:rPr>
          <w:color w:val="000000" w:themeColor="text1"/>
          <w:sz w:val="16"/>
          <w:szCs w:val="16"/>
        </w:rPr>
      </w:pPr>
    </w:p>
    <w:p w14:paraId="026AA22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FDC125A" w14:textId="77777777" w:rsidR="00090C9B" w:rsidRPr="00722885" w:rsidRDefault="00090C9B" w:rsidP="00722885">
      <w:pPr>
        <w:pStyle w:val="Iauiue"/>
        <w:jc w:val="both"/>
        <w:rPr>
          <w:iCs/>
          <w:color w:val="000000" w:themeColor="text1"/>
          <w:sz w:val="16"/>
          <w:szCs w:val="16"/>
        </w:rPr>
      </w:pPr>
    </w:p>
    <w:p w14:paraId="48B8F285" w14:textId="77777777" w:rsidR="00374BE3" w:rsidRPr="00722885" w:rsidRDefault="00374BE3" w:rsidP="00722885">
      <w:pPr>
        <w:spacing w:after="0" w:line="240" w:lineRule="auto"/>
        <w:jc w:val="both"/>
        <w:rPr>
          <w:rStyle w:val="ucoz-forum-post"/>
          <w:rFonts w:ascii="Times New Roman" w:eastAsia="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14 сентября 1942 года</w:t>
      </w:r>
      <w:r w:rsidRPr="00722885">
        <w:rPr>
          <w:rStyle w:val="ucoz-forum-post"/>
          <w:rFonts w:ascii="Times New Roman" w:eastAsia="Times New Roman" w:hAnsi="Times New Roman"/>
          <w:color w:val="000000" w:themeColor="text1"/>
          <w:sz w:val="16"/>
          <w:szCs w:val="16"/>
        </w:rPr>
        <w:t xml:space="preserve"> Закончен в производстве первый P-47C (№ 41-6066). Внешне самолет был подобен P-47B, но имел усиленный и несколько измененный хвостовой стабилизатор с металлической обшивкой рулей для устранения флаттера хвостового оперения, который уже привел к аварии нескольких P-47B в ходе выполнения высокоскоростного пикирования. Самолет получил новый руль направления с увеличенной на 25,4 мм (1 дюйм) длиной. На Р-47С устанавливалась модернизированная кислородная система с четырьмя кислородными баллонами (один из них располагался в передней кромке левой консоли крыла) вместо одного баллона на P-47B. Также было установлено новое радиооборудование (вместо радиостанции SCR-283 устанавливали радиоприемник SCR-274-N и передатчик SCR-515-A), наклоненная вперед радиоантенна P-47B была заменена вертикальной короткой мачтовой антенной. Регулятор давления турбокомпрессора А-13 сменила более совершенная модель А-17. Модель С имела некоторые отличия от В в конструкции шасси и тормозов. Хвостовое колесо стало неуправляемым. Несколько другую конструкцию имела система трубопроводов турбокомпрессора. В системе управления рулями высоты были установлены противовесы для снижения явления сжимаемости воздуха на больших скоростях. Управление сектором газа двигателя, шагом пропеллера и давлением турбокомпрессора было сосредоточено на одном рычаге. Всего было изготовлено 57 самолетов Р-47С (14769).</w:t>
      </w:r>
    </w:p>
    <w:p w14:paraId="7A3CB167" w14:textId="77777777" w:rsidR="00374BE3" w:rsidRPr="00722885" w:rsidRDefault="00374BE3" w:rsidP="00722885">
      <w:pPr>
        <w:spacing w:after="0" w:line="240" w:lineRule="auto"/>
        <w:jc w:val="both"/>
        <w:rPr>
          <w:rStyle w:val="ucoz-forum-post"/>
          <w:rFonts w:ascii="Times New Roman" w:eastAsia="Times New Roman" w:hAnsi="Times New Roman"/>
          <w:color w:val="000000" w:themeColor="text1"/>
          <w:sz w:val="16"/>
          <w:szCs w:val="16"/>
        </w:rPr>
      </w:pPr>
    </w:p>
    <w:p w14:paraId="40A4003C" w14:textId="77777777" w:rsidR="009B2175" w:rsidRPr="00722885" w:rsidRDefault="009B21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сентября 1942 года советская военприемка в Фэрбенксе на Аляске оформила первые А-20В, и на следующий день майор Недосекин повел 12 «бостонов» на наш аэродром Марково (22858).</w:t>
      </w:r>
    </w:p>
    <w:p w14:paraId="6EA9DE60" w14:textId="77777777" w:rsidR="009B2175" w:rsidRPr="00722885" w:rsidRDefault="009B2175" w:rsidP="00722885">
      <w:pPr>
        <w:spacing w:after="0" w:line="240" w:lineRule="auto"/>
        <w:jc w:val="both"/>
        <w:rPr>
          <w:rFonts w:ascii="Times New Roman" w:hAnsi="Times New Roman"/>
          <w:color w:val="0070C0"/>
          <w:sz w:val="16"/>
          <w:szCs w:val="16"/>
        </w:rPr>
      </w:pPr>
    </w:p>
    <w:p w14:paraId="05C50E40" w14:textId="77777777" w:rsidR="009B2175" w:rsidRPr="00722885" w:rsidRDefault="009B21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сентября 1942 начальник штаба армии США генерал Джордж Маршалл сообщает начальнику управления военно-морских операций адмиралу Эрнесту Дж. Кингу, что он руководит созданием противолодочного командования ВВС сухопутных войск (20793).</w:t>
      </w:r>
    </w:p>
    <w:p w14:paraId="73C06D03" w14:textId="77777777" w:rsidR="009B2175" w:rsidRPr="00722885" w:rsidRDefault="009B2175" w:rsidP="00722885">
      <w:pPr>
        <w:spacing w:after="0" w:line="240" w:lineRule="auto"/>
        <w:jc w:val="both"/>
        <w:rPr>
          <w:rFonts w:ascii="Times New Roman" w:hAnsi="Times New Roman"/>
          <w:color w:val="0070C0"/>
          <w:sz w:val="16"/>
          <w:szCs w:val="16"/>
        </w:rPr>
      </w:pPr>
    </w:p>
    <w:p w14:paraId="3822FC09" w14:textId="77777777" w:rsidR="009B2175" w:rsidRPr="00722885" w:rsidRDefault="009B21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сентября 1942 во время первого удара США из Адака ВВС США совершили первый комбинированный удар с нулевой высоты истребителями и бомбардировщиками. Двенадцать Consolidated B-24 Liberators, 14 Lockheed P-38 Lightning и 14 Bell P-39 Airacobras атакуют японские силы в Киске. Пролетев 240 миль (390 км) на высоте волны и атакуя на высоте 50 футов (15 метров), они потопили два японских корабля, подожгли три и уничтожили три сверхмалые подводные лодки, несколько зданий и 12 японских поплавковых истребителей. убив более 200 японских солдат (20793).</w:t>
      </w:r>
    </w:p>
    <w:p w14:paraId="312BA722" w14:textId="77777777" w:rsidR="009B2175" w:rsidRPr="00722885" w:rsidRDefault="009B2175" w:rsidP="00722885">
      <w:pPr>
        <w:spacing w:after="0" w:line="240" w:lineRule="auto"/>
        <w:jc w:val="both"/>
        <w:rPr>
          <w:rFonts w:ascii="Times New Roman" w:hAnsi="Times New Roman"/>
          <w:color w:val="0070C0"/>
          <w:sz w:val="16"/>
          <w:szCs w:val="16"/>
        </w:rPr>
      </w:pPr>
    </w:p>
    <w:p w14:paraId="056EBB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в ночь на 15 сентября 1942 три итальянских подводных пловца, также погрузившихся с видды Кармелла в 4 км от Гибралтара в бухте Альхесирас атаковали пароход Райвенс Пойнт (1880 т) и потопили его (3961, 56).</w:t>
      </w:r>
    </w:p>
    <w:p w14:paraId="041BD361" w14:textId="77777777" w:rsidR="00090C9B" w:rsidRPr="00722885" w:rsidRDefault="00090C9B" w:rsidP="00722885">
      <w:pPr>
        <w:pStyle w:val="Iauiue"/>
        <w:jc w:val="both"/>
        <w:rPr>
          <w:color w:val="000000" w:themeColor="text1"/>
          <w:sz w:val="16"/>
          <w:szCs w:val="16"/>
        </w:rPr>
      </w:pPr>
    </w:p>
    <w:p w14:paraId="3A88D45B"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сентября </w:t>
      </w:r>
      <w:r w:rsidRPr="00722885">
        <w:rPr>
          <w:rFonts w:ascii="Times New Roman" w:hAnsi="Times New Roman"/>
          <w:color w:val="000000" w:themeColor="text1"/>
          <w:sz w:val="16"/>
          <w:szCs w:val="16"/>
        </w:rPr>
        <w:t>в 1942 году неудачная попытка британских войск высадить морской десант в тылу немецких войск у Торбука (14769).</w:t>
      </w:r>
    </w:p>
    <w:p w14:paraId="2E476FAA"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0593A6F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C796C9C" w14:textId="77777777" w:rsidR="00090C9B" w:rsidRPr="00722885" w:rsidRDefault="00090C9B" w:rsidP="00722885">
      <w:pPr>
        <w:pStyle w:val="Iauiue"/>
        <w:jc w:val="both"/>
        <w:rPr>
          <w:iCs/>
          <w:color w:val="000000" w:themeColor="text1"/>
          <w:sz w:val="16"/>
          <w:szCs w:val="16"/>
        </w:rPr>
      </w:pPr>
    </w:p>
    <w:p w14:paraId="2948617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1942, как следует из документов, эскиз</w:t>
      </w:r>
      <w:r w:rsidRPr="00722885">
        <w:rPr>
          <w:rFonts w:ascii="Times New Roman" w:hAnsi="Times New Roman"/>
          <w:color w:val="000000" w:themeColor="text1"/>
          <w:sz w:val="16"/>
          <w:szCs w:val="16"/>
        </w:rPr>
        <w:softHyphen/>
        <w:t>ный проект нового штурмовика С.В.И. с М-71 по</w:t>
      </w:r>
      <w:r w:rsidRPr="00722885">
        <w:rPr>
          <w:rFonts w:ascii="Times New Roman" w:hAnsi="Times New Roman"/>
          <w:color w:val="000000" w:themeColor="text1"/>
          <w:sz w:val="16"/>
          <w:szCs w:val="16"/>
        </w:rPr>
        <w:softHyphen/>
        <w:t>ступил в НИИ ВВС. После детального анализа матери</w:t>
      </w:r>
      <w:r w:rsidRPr="00722885">
        <w:rPr>
          <w:rFonts w:ascii="Times New Roman" w:hAnsi="Times New Roman"/>
          <w:color w:val="000000" w:themeColor="text1"/>
          <w:sz w:val="16"/>
          <w:szCs w:val="16"/>
        </w:rPr>
        <w:softHyphen/>
        <w:t>алов инженер-подполковник К. А. Калилец и инженер-майор А. В. Си</w:t>
      </w:r>
      <w:r w:rsidRPr="00722885">
        <w:rPr>
          <w:rFonts w:ascii="Times New Roman" w:hAnsi="Times New Roman"/>
          <w:color w:val="000000" w:themeColor="text1"/>
          <w:sz w:val="16"/>
          <w:szCs w:val="16"/>
        </w:rPr>
        <w:softHyphen/>
        <w:t>нельников дали отрицательное зак</w:t>
      </w:r>
      <w:r w:rsidRPr="00722885">
        <w:rPr>
          <w:rFonts w:ascii="Times New Roman" w:hAnsi="Times New Roman"/>
          <w:color w:val="000000" w:themeColor="text1"/>
          <w:sz w:val="16"/>
          <w:szCs w:val="16"/>
        </w:rPr>
        <w:softHyphen/>
        <w:t>лючение. Вместе с этим они отмеча</w:t>
      </w:r>
      <w:r w:rsidRPr="00722885">
        <w:rPr>
          <w:rFonts w:ascii="Times New Roman" w:hAnsi="Times New Roman"/>
          <w:color w:val="000000" w:themeColor="text1"/>
          <w:sz w:val="16"/>
          <w:szCs w:val="16"/>
        </w:rPr>
        <w:softHyphen/>
        <w:t>ли, что самолет представляет несом</w:t>
      </w:r>
      <w:r w:rsidRPr="00722885">
        <w:rPr>
          <w:rFonts w:ascii="Times New Roman" w:hAnsi="Times New Roman"/>
          <w:color w:val="000000" w:themeColor="text1"/>
          <w:sz w:val="16"/>
          <w:szCs w:val="16"/>
        </w:rPr>
        <w:softHyphen/>
        <w:t>ненный интерес для ВВС. Ильюшину было предложено внести в проект из</w:t>
      </w:r>
      <w:r w:rsidRPr="00722885">
        <w:rPr>
          <w:rFonts w:ascii="Times New Roman" w:hAnsi="Times New Roman"/>
          <w:color w:val="000000" w:themeColor="text1"/>
          <w:sz w:val="16"/>
          <w:szCs w:val="16"/>
        </w:rPr>
        <w:softHyphen/>
        <w:t>менения и повторно предъявить его на рассмотрение. По ряду причин доработанный проект самолета (уже под обозна</w:t>
      </w:r>
      <w:r w:rsidRPr="00722885">
        <w:rPr>
          <w:rFonts w:ascii="Times New Roman" w:hAnsi="Times New Roman"/>
          <w:color w:val="000000" w:themeColor="text1"/>
          <w:sz w:val="16"/>
          <w:szCs w:val="16"/>
        </w:rPr>
        <w:softHyphen/>
        <w:t>чением Ил-8 М-71) был представлен только в августе 1943 г., а сама ма</w:t>
      </w:r>
      <w:r w:rsidRPr="00722885">
        <w:rPr>
          <w:rFonts w:ascii="Times New Roman" w:hAnsi="Times New Roman"/>
          <w:color w:val="000000" w:themeColor="text1"/>
          <w:sz w:val="16"/>
          <w:szCs w:val="16"/>
        </w:rPr>
        <w:softHyphen/>
        <w:t>шина так никогда и не была постро</w:t>
      </w:r>
      <w:r w:rsidRPr="00722885">
        <w:rPr>
          <w:rFonts w:ascii="Times New Roman" w:hAnsi="Times New Roman"/>
          <w:color w:val="000000" w:themeColor="text1"/>
          <w:sz w:val="16"/>
          <w:szCs w:val="16"/>
        </w:rPr>
        <w:softHyphen/>
        <w:t>ена (11426).</w:t>
      </w:r>
    </w:p>
    <w:p w14:paraId="58CF959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EAB1574"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15 сентября 1942 эскизный проект нового штурмовика БШ-М-71 поступил в НИИ </w:t>
      </w:r>
      <w:r w:rsidRPr="00722885">
        <w:rPr>
          <w:rFonts w:ascii="Times New Roman" w:hAnsi="Times New Roman"/>
          <w:color w:val="000000" w:themeColor="text1"/>
          <w:sz w:val="16"/>
          <w:szCs w:val="16"/>
          <w:lang w:val="en-US"/>
        </w:rPr>
        <w:t>BBC</w:t>
      </w:r>
      <w:r w:rsidRPr="00722885">
        <w:rPr>
          <w:rFonts w:ascii="Times New Roman" w:hAnsi="Times New Roman"/>
          <w:color w:val="000000" w:themeColor="text1"/>
          <w:sz w:val="16"/>
          <w:szCs w:val="16"/>
        </w:rPr>
        <w:t>. После анализа материалов инженер-подполковник К.А. Калилец и инженер-майор А.В. Синельников дали отрицательное заключение. Вместе с этим они отмечали, что самолёт представляет интерес для ВВС. В частности, БШ-М-71 мог вполне успешно бороться со средними немецкими танками с толщиной брони 30 мм, по которым Ил</w:t>
      </w:r>
      <w:r w:rsidRPr="00722885">
        <w:rPr>
          <w:rStyle w:val="aff8"/>
          <w:rFonts w:ascii="Times New Roman" w:hAnsi="Times New Roman" w:cs="Times New Roman"/>
          <w:b w:val="0"/>
          <w:color w:val="000000" w:themeColor="text1"/>
          <w:spacing w:val="0"/>
          <w:sz w:val="16"/>
          <w:szCs w:val="16"/>
        </w:rPr>
        <w:t xml:space="preserve">-2 </w:t>
      </w:r>
      <w:r w:rsidRPr="00722885">
        <w:rPr>
          <w:rFonts w:ascii="Times New Roman" w:hAnsi="Times New Roman"/>
          <w:color w:val="000000" w:themeColor="text1"/>
          <w:sz w:val="16"/>
          <w:szCs w:val="16"/>
        </w:rPr>
        <w:t>был неэффективен. Кроме того, штурмовик имел мощное бронирование и защиту задней полусферы от атак истребителей противника. Ильюшину предложили доработать проект</w:t>
      </w:r>
      <w:r w:rsidRPr="00722885">
        <w:rPr>
          <w:rStyle w:val="0pt1"/>
          <w:rFonts w:eastAsia="Arial Unicode MS"/>
          <w:b w:val="0"/>
          <w:color w:val="000000" w:themeColor="text1"/>
          <w:spacing w:val="0"/>
          <w:sz w:val="16"/>
          <w:szCs w:val="16"/>
        </w:rPr>
        <w:t xml:space="preserve"> и </w:t>
      </w:r>
      <w:r w:rsidRPr="00722885">
        <w:rPr>
          <w:rFonts w:ascii="Times New Roman" w:hAnsi="Times New Roman"/>
          <w:color w:val="000000" w:themeColor="text1"/>
          <w:sz w:val="16"/>
          <w:szCs w:val="16"/>
        </w:rPr>
        <w:t>повторно предъявить его на рассмотрение (15846).</w:t>
      </w:r>
    </w:p>
    <w:p w14:paraId="7462DB2E"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0F7F5DF6" w14:textId="77777777" w:rsidR="00E43066" w:rsidRPr="00722885" w:rsidRDefault="00E4306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1942 эскизный проект нового штурмовика С.В.И. БШ-М-71 поступил в НИИ ВВС. После детального анализа материалов инженер-подполковник К. А. Калилец и инженер-майор А. В. Синельников дали отрицательное заключение. Вместе с этим они отмечали, что самолет представляет несомненный интерес для ВВС. В частности, БШ-М-71 мог вполне успешно бороться со средними немецкими танками с толщиной брони 30 мм, по которым Ил-2 был неэффективен. Кроме того, штурмовик имеет мощное бронирование и защиту задней полусферы от атак истребителей противника. Разбег при взлете в 540 м сочли большим. Требовалось увеличить до 600 патронов боекомплект к пулеметам ШКАС. Ильюшину было предложено внести в проект изменения и повторно предъявить его на рассмотрение. Однако доработанный проект самолета (уже под обозначением Ил-8 М-71) был представлен только в августе 1943 года, а сама машина так никогда и не была построена (17490).</w:t>
      </w:r>
    </w:p>
    <w:p w14:paraId="24446FB9" w14:textId="77777777" w:rsidR="00E43066" w:rsidRPr="00722885" w:rsidRDefault="00E43066" w:rsidP="00722885">
      <w:pPr>
        <w:spacing w:after="0" w:line="240" w:lineRule="auto"/>
        <w:jc w:val="both"/>
        <w:rPr>
          <w:rFonts w:ascii="Times New Roman" w:hAnsi="Times New Roman"/>
          <w:color w:val="000000" w:themeColor="text1"/>
          <w:sz w:val="16"/>
          <w:szCs w:val="16"/>
        </w:rPr>
      </w:pPr>
    </w:p>
    <w:p w14:paraId="707EDF60" w14:textId="77777777" w:rsidR="00E43066" w:rsidRPr="00722885" w:rsidRDefault="00E4306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15 сен</w:t>
      </w:r>
      <w:r w:rsidRPr="00722885">
        <w:rPr>
          <w:color w:val="000000" w:themeColor="text1"/>
          <w:sz w:val="16"/>
          <w:szCs w:val="16"/>
        </w:rPr>
        <w:softHyphen/>
        <w:t>тября 1942, как следует из документов, эскизный проект но</w:t>
      </w:r>
      <w:r w:rsidRPr="00722885">
        <w:rPr>
          <w:color w:val="000000" w:themeColor="text1"/>
          <w:sz w:val="16"/>
          <w:szCs w:val="16"/>
        </w:rPr>
        <w:softHyphen/>
        <w:t>вого штурмовика С.В.И. БШ-М-71 поступил в НИИ ВВС. После детального анализа материалов инже</w:t>
      </w:r>
      <w:r w:rsidRPr="00722885">
        <w:rPr>
          <w:color w:val="000000" w:themeColor="text1"/>
          <w:sz w:val="16"/>
          <w:szCs w:val="16"/>
        </w:rPr>
        <w:softHyphen/>
        <w:t>нер-подполковник К. А. Калилец и инженер-майор А. В. Синельников дали отрицательное заключение. Вместе с этим они отмечали, что самолет представ ляет несомненный интерес для ВВС. В частности, БШ-М-71 мог вполне успешно бороться со средни</w:t>
      </w:r>
      <w:r w:rsidRPr="00722885">
        <w:rPr>
          <w:color w:val="000000" w:themeColor="text1"/>
          <w:sz w:val="16"/>
          <w:szCs w:val="16"/>
        </w:rPr>
        <w:softHyphen/>
        <w:t>ми немецкими танками с толщиной брони 30 мм, по которым Ил-2 был неэффективен. Кроме того, штурмовик имел мощное бронирование и защиту задней полусферы от атак истребителей противни</w:t>
      </w:r>
      <w:r w:rsidRPr="00722885">
        <w:rPr>
          <w:color w:val="000000" w:themeColor="text1"/>
          <w:sz w:val="16"/>
          <w:szCs w:val="16"/>
        </w:rPr>
        <w:softHyphen/>
        <w:t>ка. Разбег при взлете в 540 м сочли большим. Тре</w:t>
      </w:r>
      <w:r w:rsidRPr="00722885">
        <w:rPr>
          <w:color w:val="000000" w:themeColor="text1"/>
          <w:sz w:val="16"/>
          <w:szCs w:val="16"/>
        </w:rPr>
        <w:softHyphen/>
        <w:t>бовалось увеличить до 600 патронов боекомплект к пулеметам ШКАС. Ильюшину было предложено внести в проект изменения и повторно предъявить его на рассмотрение.</w:t>
      </w:r>
    </w:p>
    <w:p w14:paraId="4E4C578A" w14:textId="77777777" w:rsidR="00E43066" w:rsidRPr="00722885" w:rsidRDefault="00E4306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доработанный проект самолета (уже под обозначением Ил-8 М-71) был представлен только в августе 1943 г., а сама машина так никогда и не была построена. Вместо нее был построен и в целом успешно прошел испытания самолет Ил-8 АМ-42, но без крупнокалиберных пушек на бор</w:t>
      </w:r>
      <w:r w:rsidRPr="00722885">
        <w:rPr>
          <w:color w:val="000000" w:themeColor="text1"/>
          <w:sz w:val="16"/>
          <w:szCs w:val="16"/>
        </w:rPr>
        <w:softHyphen/>
        <w:t>ту. Несмотря на серьезные усилия С. В. Ильюшина и НКАП, военные отказались от принятия «вось</w:t>
      </w:r>
      <w:r w:rsidRPr="00722885">
        <w:rPr>
          <w:color w:val="000000" w:themeColor="text1"/>
          <w:sz w:val="16"/>
          <w:szCs w:val="16"/>
        </w:rPr>
        <w:softHyphen/>
        <w:t>мерки» на вооружение ВВС КА. В серии Ил-8 не строился (17500).</w:t>
      </w:r>
    </w:p>
    <w:p w14:paraId="61C7381A" w14:textId="77777777" w:rsidR="00E43066" w:rsidRPr="00722885" w:rsidRDefault="00E43066" w:rsidP="00722885">
      <w:pPr>
        <w:spacing w:after="0" w:line="240" w:lineRule="auto"/>
        <w:jc w:val="both"/>
        <w:rPr>
          <w:rFonts w:ascii="Times New Roman" w:hAnsi="Times New Roman"/>
          <w:color w:val="000000" w:themeColor="text1"/>
          <w:sz w:val="16"/>
          <w:szCs w:val="16"/>
        </w:rPr>
      </w:pPr>
    </w:p>
    <w:p w14:paraId="32C017A9" w14:textId="77777777" w:rsidR="00E43066" w:rsidRPr="00722885" w:rsidRDefault="00E4306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15 сентября 1942 в докладной за</w:t>
      </w:r>
      <w:r w:rsidRPr="00722885">
        <w:rPr>
          <w:color w:val="000000" w:themeColor="text1"/>
          <w:sz w:val="16"/>
          <w:szCs w:val="16"/>
        </w:rPr>
        <w:softHyphen/>
        <w:t>писке от на имя Репина генерал Лосюков собственноручно написал: «К заключению, дан</w:t>
      </w:r>
      <w:r w:rsidRPr="00722885">
        <w:rPr>
          <w:color w:val="000000" w:themeColor="text1"/>
          <w:sz w:val="16"/>
          <w:szCs w:val="16"/>
        </w:rPr>
        <w:softHyphen/>
        <w:t>ному НИИ ВВС КА и утвержденному Вами, добавить ничего не могу. Прошу заключение оставить в силе. Экз. заключения есть в УОС».</w:t>
      </w:r>
    </w:p>
    <w:p w14:paraId="0E587C8C" w14:textId="77777777" w:rsidR="00E43066" w:rsidRPr="00722885" w:rsidRDefault="00E4306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доклада генералу Репину основных ре</w:t>
      </w:r>
      <w:r w:rsidRPr="00722885">
        <w:rPr>
          <w:color w:val="000000" w:themeColor="text1"/>
          <w:sz w:val="16"/>
          <w:szCs w:val="16"/>
        </w:rPr>
        <w:softHyphen/>
        <w:t>зультатов и всех обстоятельств подготовки заклю</w:t>
      </w:r>
      <w:r w:rsidRPr="00722885">
        <w:rPr>
          <w:color w:val="000000" w:themeColor="text1"/>
          <w:sz w:val="16"/>
          <w:szCs w:val="16"/>
        </w:rPr>
        <w:softHyphen/>
        <w:t>чения НИИ ВВС по самолету САМ-14ш «Главному конструктору завода № 499 тов. Москалеву» за под</w:t>
      </w:r>
      <w:r w:rsidRPr="00722885">
        <w:rPr>
          <w:color w:val="000000" w:themeColor="text1"/>
          <w:sz w:val="16"/>
          <w:szCs w:val="16"/>
        </w:rPr>
        <w:softHyphen/>
        <w:t>писью бригинженера Лапина ушел ответ следующе</w:t>
      </w:r>
      <w:r w:rsidRPr="00722885">
        <w:rPr>
          <w:color w:val="000000" w:themeColor="text1"/>
          <w:sz w:val="16"/>
          <w:szCs w:val="16"/>
        </w:rPr>
        <w:softHyphen/>
        <w:t>го содержания: «По присланному Вами материалу с предложением об использовании в ВВС Красной Армии самолета САМ-14 в варианте легкого ночно</w:t>
      </w:r>
      <w:r w:rsidRPr="00722885">
        <w:rPr>
          <w:color w:val="000000" w:themeColor="text1"/>
          <w:sz w:val="16"/>
          <w:szCs w:val="16"/>
        </w:rPr>
        <w:softHyphen/>
        <w:t>го штурмовика сообщаю, что заключение НИИ ВВС КА, данное по этому предложению, остается в си</w:t>
      </w:r>
      <w:r w:rsidRPr="00722885">
        <w:rPr>
          <w:color w:val="000000" w:themeColor="text1"/>
          <w:sz w:val="16"/>
          <w:szCs w:val="16"/>
        </w:rPr>
        <w:softHyphen/>
        <w:t>ле». Самолет САМ-14ш не строился (17500).</w:t>
      </w:r>
    </w:p>
    <w:p w14:paraId="73AECBA4" w14:textId="77777777" w:rsidR="00E43066" w:rsidRPr="00722885" w:rsidRDefault="00E43066" w:rsidP="00722885">
      <w:pPr>
        <w:spacing w:after="0" w:line="240" w:lineRule="auto"/>
        <w:jc w:val="both"/>
        <w:rPr>
          <w:rFonts w:ascii="Times New Roman" w:hAnsi="Times New Roman"/>
          <w:color w:val="000000" w:themeColor="text1"/>
          <w:sz w:val="16"/>
          <w:szCs w:val="16"/>
        </w:rPr>
      </w:pPr>
    </w:p>
    <w:p w14:paraId="13C7490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F49E537" w14:textId="77777777" w:rsidR="00090C9B" w:rsidRPr="00722885" w:rsidRDefault="00090C9B" w:rsidP="00722885">
      <w:pPr>
        <w:pStyle w:val="Iauiue"/>
        <w:jc w:val="both"/>
        <w:rPr>
          <w:iCs/>
          <w:color w:val="000000" w:themeColor="text1"/>
          <w:sz w:val="16"/>
          <w:szCs w:val="16"/>
        </w:rPr>
      </w:pPr>
    </w:p>
    <w:p w14:paraId="30EB4DFE" w14:textId="77777777" w:rsidR="00374BE3" w:rsidRPr="00722885" w:rsidRDefault="00374BE3"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К 15 декабря 1942 был готов деревянный макет ЗИК-20 в масштабе 1:1.</w:t>
      </w:r>
    </w:p>
    <w:p w14:paraId="4E1BC909" w14:textId="77777777" w:rsidR="00374BE3" w:rsidRPr="00722885" w:rsidRDefault="00374BE3"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hAnsi="Times New Roman"/>
          <w:color w:val="000000" w:themeColor="text1"/>
          <w:sz w:val="16"/>
          <w:szCs w:val="16"/>
        </w:rPr>
        <w:t>Решением начальника ГАУ КА генерал-полковника артиллерии Яковлева, наркома танковой промышленности Зальцмана и наркома вооружения Устинова, рассмотрение проектной документации и макета назначили на 3 января 1943 года. Происходило оно на территории ЧКЗ, и это было уже не просто заключение по макету, а соревнование с проектами, которые представило КБ Кировского завода. По итогам сравнения челябинская машина, получившая заводское обозначение КВ-14, оказалась лучше и проще свердловской</w:t>
      </w:r>
      <w:r w:rsidRPr="00722885">
        <w:rPr>
          <w:rFonts w:ascii="Times New Roman" w:eastAsia="Times New Roman" w:hAnsi="Times New Roman"/>
          <w:color w:val="000000" w:themeColor="text1"/>
          <w:sz w:val="16"/>
          <w:szCs w:val="16"/>
        </w:rPr>
        <w:t xml:space="preserve"> (15806).</w:t>
      </w:r>
    </w:p>
    <w:p w14:paraId="1AFC4E37" w14:textId="77777777" w:rsidR="00374BE3" w:rsidRPr="00722885" w:rsidRDefault="00374BE3" w:rsidP="00722885">
      <w:pPr>
        <w:pStyle w:val="ae"/>
        <w:shd w:val="clear" w:color="auto" w:fill="FFFFFF"/>
        <w:spacing w:before="0" w:after="0"/>
        <w:jc w:val="both"/>
        <w:rPr>
          <w:color w:val="000000" w:themeColor="text1"/>
          <w:sz w:val="16"/>
          <w:szCs w:val="16"/>
        </w:rPr>
      </w:pPr>
    </w:p>
    <w:p w14:paraId="5C5155B1" w14:textId="77777777" w:rsidR="00374BE3" w:rsidRPr="00722885" w:rsidRDefault="00374BE3"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К 15 декабря 1942 был готов деревянный макет ЗИК-20 в масштабе 1:1.</w:t>
      </w:r>
    </w:p>
    <w:p w14:paraId="37514C9B" w14:textId="77777777" w:rsidR="00374BE3" w:rsidRPr="00722885" w:rsidRDefault="00374BE3"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Решением начальника ГАУ КА генерал-полковника артиллерии Яковлева, наркома танковой промышленности Зальцмана и наркома вооружения Устинова, рассмотрение проектной документации и макета назначили на </w:t>
      </w:r>
    </w:p>
    <w:p w14:paraId="44F49FF7" w14:textId="77777777" w:rsidR="00374BE3" w:rsidRPr="00722885" w:rsidRDefault="00374BE3" w:rsidP="00722885">
      <w:pPr>
        <w:shd w:val="clear" w:color="auto" w:fill="FFFFFF"/>
        <w:spacing w:after="0" w:line="240" w:lineRule="auto"/>
        <w:jc w:val="both"/>
        <w:rPr>
          <w:rFonts w:ascii="Times New Roman" w:hAnsi="Times New Roman"/>
          <w:color w:val="000000" w:themeColor="text1"/>
          <w:sz w:val="16"/>
          <w:szCs w:val="16"/>
        </w:rPr>
      </w:pPr>
    </w:p>
    <w:p w14:paraId="77A98F68"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15 сентября 1942 проект ЗИК-20 был рассмотрен на совещании Техниче</w:t>
      </w:r>
      <w:r w:rsidRPr="00722885">
        <w:rPr>
          <w:rFonts w:ascii="Times New Roman" w:cs="Times New Roman"/>
          <w:color w:val="000000" w:themeColor="text1"/>
          <w:spacing w:val="0"/>
          <w:sz w:val="16"/>
          <w:szCs w:val="16"/>
        </w:rPr>
        <w:softHyphen/>
        <w:t>ского совета НКВ Союза ССР. Также на совещании рассмотрели про</w:t>
      </w:r>
      <w:r w:rsidRPr="00722885">
        <w:rPr>
          <w:rFonts w:ascii="Times New Roman" w:cs="Times New Roman"/>
          <w:color w:val="000000" w:themeColor="text1"/>
          <w:spacing w:val="0"/>
          <w:sz w:val="16"/>
          <w:szCs w:val="16"/>
        </w:rPr>
        <w:softHyphen/>
        <w:t>екты бронетанкового факультета Московского машиностроительного института им. Баумана. В их числе были самоходная установка 57-мм противотанковой пушки И-13-52, а также самоходная установка 203-мм гаубицы Б-4. Согласно проекту, САУ с Б-4 имела два двигателя ЗИС-5, а максимальная скорость составляла целых 6,5 км/ч.</w:t>
      </w:r>
    </w:p>
    <w:p w14:paraId="3EEF9054" w14:textId="77777777" w:rsidR="009D3895" w:rsidRPr="00722885" w:rsidRDefault="009D3895" w:rsidP="00722885">
      <w:pPr>
        <w:pStyle w:val="a3"/>
        <w:rPr>
          <w:color w:val="000000" w:themeColor="text1"/>
          <w:lang w:val="ru-RU"/>
        </w:rPr>
      </w:pPr>
      <w:r w:rsidRPr="00722885">
        <w:rPr>
          <w:color w:val="000000" w:themeColor="text1"/>
          <w:lang w:val="ru-RU"/>
        </w:rPr>
        <w:t>ЗИК-20 стал основной темой совещания. О проекте докладывал начальник КБ завода №8 Ф.Ф. Петров, к докладу прилагались объяс</w:t>
      </w:r>
      <w:r w:rsidRPr="00722885">
        <w:rPr>
          <w:color w:val="000000" w:themeColor="text1"/>
          <w:lang w:val="ru-RU"/>
        </w:rPr>
        <w:softHyphen/>
        <w:t>нительная записка, чертежи и расчеты. Идею с отказом от дульного тормоза, сильно демаскирующего САУ при стрельбе, одобрили, но при этом предлагалось установить лоток по типу САУ СГ-122. Несмотря на то что Петров ставил вопрос о вводе телескопического прицела, по проекту его не было (в отличие от У-18, где ТОП предусматривался с самого начала). Кроме того, установка МЛ-20 на ЗИК-20, по срав</w:t>
      </w:r>
      <w:r w:rsidRPr="00722885">
        <w:rPr>
          <w:color w:val="000000" w:themeColor="text1"/>
          <w:lang w:val="ru-RU"/>
        </w:rPr>
        <w:softHyphen/>
        <w:t>нению с У-18, была более смещена вперед, что грозило увеличением нагрузки на передние опорные катки.</w:t>
      </w:r>
    </w:p>
    <w:p w14:paraId="0780B0A0" w14:textId="77777777" w:rsidR="009D3895" w:rsidRPr="00722885" w:rsidRDefault="009D3895" w:rsidP="00722885">
      <w:pPr>
        <w:pStyle w:val="a3"/>
        <w:rPr>
          <w:color w:val="000000" w:themeColor="text1"/>
          <w:lang w:val="ru-RU"/>
        </w:rPr>
      </w:pPr>
      <w:r w:rsidRPr="00722885">
        <w:rPr>
          <w:color w:val="000000" w:themeColor="text1"/>
          <w:lang w:val="ru-RU"/>
        </w:rPr>
        <w:t>Куда больше вопросов у участников совещания вызвала компонов</w:t>
      </w:r>
      <w:r w:rsidRPr="00722885">
        <w:rPr>
          <w:color w:val="000000" w:themeColor="text1"/>
          <w:lang w:val="ru-RU"/>
        </w:rPr>
        <w:softHyphen/>
        <w:t>ка боевого отделения. По сравнению с КВ-7 углы наклона бортов руб</w:t>
      </w:r>
      <w:r w:rsidRPr="00722885">
        <w:rPr>
          <w:color w:val="000000" w:themeColor="text1"/>
          <w:lang w:val="ru-RU"/>
        </w:rPr>
        <w:softHyphen/>
        <w:t>ки снизили, что, в свою очередь, снизило вероятность рикошета при попадании снарядов. Несмотря на то что высота боевого отделения от пола до крыши составляла 1895 мм, расчету предстояло работать в весьма стесненных условиях. 395 мм съедала двухрядная укладка сна</w:t>
      </w:r>
      <w:r w:rsidRPr="00722885">
        <w:rPr>
          <w:color w:val="000000" w:themeColor="text1"/>
          <w:lang w:val="ru-RU"/>
        </w:rPr>
        <w:softHyphen/>
        <w:t>рядов на полу, которой, к тому же, пользоваться было неудобно. Кроме того, крепление укладок к бортам рубки увеличивало риск детонации боекомплекта при попадании по рубке вражеских снарядов. Сомнения вызвало решение разместить бензобаки вдоль бортов установки. По</w:t>
      </w:r>
      <w:r w:rsidRPr="00722885">
        <w:rPr>
          <w:color w:val="000000" w:themeColor="text1"/>
          <w:lang w:val="ru-RU"/>
        </w:rPr>
        <w:softHyphen/>
        <w:t>мимо этого, возник ряд вопросов относительно эффективности вен</w:t>
      </w:r>
      <w:r w:rsidRPr="00722885">
        <w:rPr>
          <w:color w:val="000000" w:themeColor="text1"/>
          <w:lang w:val="ru-RU"/>
        </w:rPr>
        <w:softHyphen/>
        <w:t>тиляции боевого отделения и защиты установки с кормы, где не было даже пистолетного порта (в отличие от У-18, где предусматривалась кормовая установка пулемета ДТ).</w:t>
      </w:r>
    </w:p>
    <w:p w14:paraId="6F048FE3" w14:textId="77777777" w:rsidR="009D3895" w:rsidRPr="00722885" w:rsidRDefault="009D3895" w:rsidP="00722885">
      <w:pPr>
        <w:pStyle w:val="a3"/>
        <w:rPr>
          <w:color w:val="000000" w:themeColor="text1"/>
          <w:lang w:val="ru-RU"/>
        </w:rPr>
      </w:pPr>
      <w:r w:rsidRPr="00722885">
        <w:rPr>
          <w:color w:val="000000" w:themeColor="text1"/>
          <w:lang w:val="ru-RU"/>
        </w:rPr>
        <w:t>В результате обмена мнениями по проекту завода №8 совещание на</w:t>
      </w:r>
      <w:r w:rsidRPr="00722885">
        <w:rPr>
          <w:color w:val="000000" w:themeColor="text1"/>
          <w:lang w:val="ru-RU"/>
        </w:rPr>
        <w:softHyphen/>
        <w:t>метило следующее решение:</w:t>
      </w:r>
    </w:p>
    <w:p w14:paraId="1D10E649"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r w:rsidRPr="00722885">
        <w:rPr>
          <w:rStyle w:val="Bodytext145"/>
          <w:rFonts w:ascii="Times New Roman" w:cs="Times New Roman"/>
          <w:color w:val="000000" w:themeColor="text1"/>
          <w:spacing w:val="0"/>
          <w:sz w:val="16"/>
          <w:szCs w:val="16"/>
        </w:rPr>
        <w:t>«1. Представленный заводом №8 и. Калинина проект ЗИК-20 самоход</w:t>
      </w:r>
      <w:r w:rsidRPr="00722885">
        <w:rPr>
          <w:rStyle w:val="Bodytext145"/>
          <w:rFonts w:ascii="Times New Roman" w:cs="Times New Roman"/>
          <w:color w:val="000000" w:themeColor="text1"/>
          <w:spacing w:val="0"/>
          <w:sz w:val="16"/>
          <w:szCs w:val="16"/>
        </w:rPr>
        <w:softHyphen/>
        <w:t>ной артустановки 152 мм пушки-гаубицы обр. 1937года МЛ-20 в тан</w:t>
      </w:r>
      <w:r w:rsidRPr="00722885">
        <w:rPr>
          <w:rStyle w:val="Bodytext145"/>
          <w:rFonts w:ascii="Times New Roman" w:cs="Times New Roman"/>
          <w:color w:val="000000" w:themeColor="text1"/>
          <w:spacing w:val="0"/>
          <w:sz w:val="16"/>
          <w:szCs w:val="16"/>
        </w:rPr>
        <w:softHyphen/>
        <w:t xml:space="preserve">ке </w:t>
      </w:r>
      <w:r w:rsidRPr="00722885">
        <w:rPr>
          <w:rStyle w:val="Bodytext145"/>
          <w:rFonts w:ascii="Times New Roman" w:cs="Times New Roman"/>
          <w:color w:val="000000" w:themeColor="text1"/>
          <w:spacing w:val="0"/>
          <w:sz w:val="16"/>
          <w:szCs w:val="16"/>
          <w:lang w:val="en-US"/>
        </w:rPr>
        <w:t>KB</w:t>
      </w:r>
      <w:r w:rsidRPr="00722885">
        <w:rPr>
          <w:rStyle w:val="Bodytext145"/>
          <w:rFonts w:ascii="Times New Roman" w:cs="Times New Roman"/>
          <w:color w:val="000000" w:themeColor="text1"/>
          <w:spacing w:val="0"/>
          <w:sz w:val="16"/>
          <w:szCs w:val="16"/>
        </w:rPr>
        <w:t xml:space="preserve"> с невращающейся башней представляет особый интерес в деле практического решения вопроса создания мощной самоходной арту</w:t>
      </w:r>
      <w:r w:rsidRPr="00722885">
        <w:rPr>
          <w:rStyle w:val="Bodytext145"/>
          <w:rFonts w:ascii="Times New Roman" w:cs="Times New Roman"/>
          <w:color w:val="000000" w:themeColor="text1"/>
          <w:spacing w:val="0"/>
          <w:sz w:val="16"/>
          <w:szCs w:val="16"/>
        </w:rPr>
        <w:softHyphen/>
        <w:t>становки с хорошей броневой защитой, в качестве истребителя ДОТ-ов</w:t>
      </w:r>
    </w:p>
    <w:p w14:paraId="2C5F4ADF" w14:textId="77777777" w:rsidR="009D3895" w:rsidRPr="00722885" w:rsidRDefault="009D3895" w:rsidP="00722885">
      <w:pPr>
        <w:pStyle w:val="Bodytext141"/>
        <w:shd w:val="clear" w:color="auto" w:fill="auto"/>
        <w:tabs>
          <w:tab w:val="left" w:pos="255"/>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2. Проект выполнен удовлетворительно и с технической точки зрения принципиально правильно, однако обладает рядом недостатков, из коих отмечаются:</w:t>
      </w:r>
    </w:p>
    <w:p w14:paraId="5EC82A5F" w14:textId="77777777" w:rsidR="009D3895" w:rsidRPr="00722885" w:rsidRDefault="009D3895" w:rsidP="00722885">
      <w:pPr>
        <w:pStyle w:val="Bodytext141"/>
        <w:shd w:val="clear" w:color="auto" w:fill="auto"/>
        <w:tabs>
          <w:tab w:val="left" w:pos="588"/>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а) недостаточно разработан вопрос рационального размещения в танке запаса выстрелов;</w:t>
      </w:r>
    </w:p>
    <w:p w14:paraId="400E64CA" w14:textId="77777777" w:rsidR="009D3895" w:rsidRPr="00722885" w:rsidRDefault="009D3895" w:rsidP="00722885">
      <w:pPr>
        <w:pStyle w:val="Bodytext141"/>
        <w:shd w:val="clear" w:color="auto" w:fill="auto"/>
        <w:tabs>
          <w:tab w:val="left" w:pos="578"/>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б) несмотря на относительный простор для работы орудийного рас</w:t>
      </w:r>
      <w:r w:rsidRPr="00722885">
        <w:rPr>
          <w:rStyle w:val="Bodytext145"/>
          <w:i w:val="0"/>
          <w:iCs w:val="0"/>
          <w:color w:val="000000" w:themeColor="text1"/>
          <w:sz w:val="16"/>
          <w:szCs w:val="16"/>
        </w:rPr>
        <w:softHyphen/>
        <w:t>чета в танке, тем не менее, в проекте не был в достаточной сте</w:t>
      </w:r>
      <w:r w:rsidRPr="00722885">
        <w:rPr>
          <w:rStyle w:val="Bodytext145"/>
          <w:i w:val="0"/>
          <w:iCs w:val="0"/>
          <w:color w:val="000000" w:themeColor="text1"/>
          <w:sz w:val="16"/>
          <w:szCs w:val="16"/>
        </w:rPr>
        <w:softHyphen/>
        <w:t>пени разработан вопрос получения максимальной скорострельно</w:t>
      </w:r>
      <w:r w:rsidRPr="00722885">
        <w:rPr>
          <w:rStyle w:val="Bodytext145"/>
          <w:i w:val="0"/>
          <w:iCs w:val="0"/>
          <w:color w:val="000000" w:themeColor="text1"/>
          <w:sz w:val="16"/>
          <w:szCs w:val="16"/>
        </w:rPr>
        <w:softHyphen/>
        <w:t>сти за счет удобного расположения выстрелов и рационального устройства зарядного лотка, а также обеспечения достаточной вентиляции боевого отделения.</w:t>
      </w:r>
    </w:p>
    <w:p w14:paraId="033D70E7" w14:textId="77777777" w:rsidR="009D3895" w:rsidRPr="00722885" w:rsidRDefault="009D3895" w:rsidP="00722885">
      <w:pPr>
        <w:pStyle w:val="Bodytext141"/>
        <w:shd w:val="clear" w:color="auto" w:fill="auto"/>
        <w:tabs>
          <w:tab w:val="left" w:pos="255"/>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3. Согласиться с некоторыми переделками, вносимыми проектом в ка</w:t>
      </w:r>
      <w:r w:rsidRPr="00722885">
        <w:rPr>
          <w:rStyle w:val="Bodytext145"/>
          <w:i w:val="0"/>
          <w:iCs w:val="0"/>
          <w:color w:val="000000" w:themeColor="text1"/>
          <w:sz w:val="16"/>
          <w:szCs w:val="16"/>
        </w:rPr>
        <w:softHyphen/>
        <w:t>чающуюся часть системы МЛ-20, а именно изготовлением новых цапфенной и задней обойм, нового сектора подъемного механизма, сокращением длины короба люльки и снятием со ствола дульного тормоза.</w:t>
      </w:r>
    </w:p>
    <w:p w14:paraId="67210763" w14:textId="77777777" w:rsidR="009D3895" w:rsidRPr="00722885" w:rsidRDefault="009D3895" w:rsidP="00722885">
      <w:pPr>
        <w:pStyle w:val="Bodytext141"/>
        <w:shd w:val="clear" w:color="auto" w:fill="auto"/>
        <w:tabs>
          <w:tab w:val="left" w:pos="27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4. Согласиться с предложением т. Петрова о замене существующего контрштока — контрштоком веретенного типа с внесением изме</w:t>
      </w:r>
      <w:r w:rsidRPr="00722885">
        <w:rPr>
          <w:rStyle w:val="Bodytext145"/>
          <w:i w:val="0"/>
          <w:iCs w:val="0"/>
          <w:color w:val="000000" w:themeColor="text1"/>
          <w:sz w:val="16"/>
          <w:szCs w:val="16"/>
        </w:rPr>
        <w:softHyphen/>
        <w:t>нений в детали тормоза отката, сопряженные к контрштоками. Крышку люльки при этом упразднить.</w:t>
      </w:r>
    </w:p>
    <w:p w14:paraId="79254704" w14:textId="77777777" w:rsidR="009D3895" w:rsidRPr="00722885" w:rsidRDefault="009D3895" w:rsidP="00722885">
      <w:pPr>
        <w:pStyle w:val="Bodytext141"/>
        <w:shd w:val="clear" w:color="auto" w:fill="auto"/>
        <w:tabs>
          <w:tab w:val="left" w:pos="274"/>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5. При разработке рабочих чертежей конструкторскому бюро заво</w:t>
      </w:r>
      <w:r w:rsidRPr="00722885">
        <w:rPr>
          <w:rStyle w:val="Bodytext145"/>
          <w:i w:val="0"/>
          <w:iCs w:val="0"/>
          <w:color w:val="000000" w:themeColor="text1"/>
          <w:sz w:val="16"/>
          <w:szCs w:val="16"/>
        </w:rPr>
        <w:softHyphen/>
        <w:t>да №8учесть следующие замечания участников совещания.</w:t>
      </w:r>
    </w:p>
    <w:p w14:paraId="2622646F" w14:textId="77777777" w:rsidR="009D3895" w:rsidRPr="00722885" w:rsidRDefault="009D3895" w:rsidP="00722885">
      <w:pPr>
        <w:pStyle w:val="Bodytext141"/>
        <w:shd w:val="clear" w:color="auto" w:fill="auto"/>
        <w:tabs>
          <w:tab w:val="left" w:pos="53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а) Лоток для заряжания: применить, вместо предусмотренного, от</w:t>
      </w:r>
    </w:p>
    <w:p w14:paraId="1073B318"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122 мм артштурма разработки завода №592.</w:t>
      </w:r>
    </w:p>
    <w:p w14:paraId="41AA5F1C" w14:textId="77777777" w:rsidR="009D3895" w:rsidRPr="00722885" w:rsidRDefault="009D3895" w:rsidP="00722885">
      <w:pPr>
        <w:pStyle w:val="Bodytext141"/>
        <w:shd w:val="clear" w:color="auto" w:fill="auto"/>
        <w:tabs>
          <w:tab w:val="left" w:pos="54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б) Переделать размещение боеукладки, обратив особое внимание на удобство работы орудийного расчета.</w:t>
      </w:r>
    </w:p>
    <w:p w14:paraId="400F8246" w14:textId="77777777" w:rsidR="009D3895" w:rsidRPr="00722885" w:rsidRDefault="009D3895" w:rsidP="00722885">
      <w:pPr>
        <w:pStyle w:val="Bodytext141"/>
        <w:shd w:val="clear" w:color="auto" w:fill="auto"/>
        <w:tabs>
          <w:tab w:val="left" w:pos="54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в) Нормализованный прицел сохранить для стрельбы с закрытых по</w:t>
      </w:r>
      <w:r w:rsidRPr="00722885">
        <w:rPr>
          <w:rStyle w:val="Bodytext145"/>
          <w:i w:val="0"/>
          <w:iCs w:val="0"/>
          <w:color w:val="000000" w:themeColor="text1"/>
          <w:sz w:val="16"/>
          <w:szCs w:val="16"/>
        </w:rPr>
        <w:softHyphen/>
        <w:t>зиций, а для стрельбы прямой наводкой предусмотреть удлинен</w:t>
      </w:r>
      <w:r w:rsidRPr="00722885">
        <w:rPr>
          <w:rStyle w:val="Bodytext145"/>
          <w:i w:val="0"/>
          <w:iCs w:val="0"/>
          <w:color w:val="000000" w:themeColor="text1"/>
          <w:sz w:val="16"/>
          <w:szCs w:val="16"/>
        </w:rPr>
        <w:softHyphen/>
        <w:t>ный ТОП.</w:t>
      </w:r>
    </w:p>
    <w:p w14:paraId="2E058DC0" w14:textId="77777777" w:rsidR="009D3895" w:rsidRPr="00722885" w:rsidRDefault="009D3895" w:rsidP="00722885">
      <w:pPr>
        <w:pStyle w:val="Bodytext141"/>
        <w:shd w:val="clear" w:color="auto" w:fill="auto"/>
        <w:tabs>
          <w:tab w:val="left" w:pos="535"/>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г) Для возможности естественной вентиляции воздуха, а также для подачи снарядов в башню предусмотреть в задней стенке башни откидную дверку-люк, по возможности больших размеров.</w:t>
      </w:r>
    </w:p>
    <w:p w14:paraId="261BBBD2" w14:textId="77777777" w:rsidR="009D3895" w:rsidRPr="00722885" w:rsidRDefault="009D3895" w:rsidP="00722885">
      <w:pPr>
        <w:pStyle w:val="Bodytext141"/>
        <w:shd w:val="clear" w:color="auto" w:fill="auto"/>
        <w:tabs>
          <w:tab w:val="left" w:pos="578"/>
        </w:tabs>
        <w:spacing w:line="240" w:lineRule="auto"/>
        <w:ind w:firstLine="0"/>
        <w:jc w:val="both"/>
        <w:rPr>
          <w:rStyle w:val="Bodytext145"/>
          <w:i w:val="0"/>
          <w:iCs w:val="0"/>
          <w:color w:val="000000" w:themeColor="text1"/>
          <w:sz w:val="16"/>
          <w:szCs w:val="16"/>
        </w:rPr>
      </w:pPr>
      <w:r w:rsidRPr="00722885">
        <w:rPr>
          <w:rStyle w:val="Bodytext145"/>
          <w:i w:val="0"/>
          <w:iCs w:val="0"/>
          <w:color w:val="000000" w:themeColor="text1"/>
          <w:sz w:val="16"/>
          <w:szCs w:val="16"/>
        </w:rPr>
        <w:t>д)Предусмотреть установку пулемета в задней стенке башни</w:t>
      </w:r>
    </w:p>
    <w:p w14:paraId="11011C31" w14:textId="77777777" w:rsidR="009D3895" w:rsidRPr="00722885" w:rsidRDefault="009D3895" w:rsidP="00722885">
      <w:pPr>
        <w:pStyle w:val="Bodytext141"/>
        <w:shd w:val="clear" w:color="auto" w:fill="auto"/>
        <w:tabs>
          <w:tab w:val="left" w:pos="578"/>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е) Предусмотреть по возможности постановку шарикового под</w:t>
      </w:r>
      <w:r w:rsidRPr="00722885">
        <w:rPr>
          <w:rStyle w:val="Bodytext145"/>
          <w:i w:val="0"/>
          <w:iCs w:val="0"/>
          <w:color w:val="000000" w:themeColor="text1"/>
          <w:sz w:val="16"/>
          <w:szCs w:val="16"/>
        </w:rPr>
        <w:softHyphen/>
        <w:t>шипника в нижнюю опору вращающейся части артустановки.</w:t>
      </w:r>
    </w:p>
    <w:p w14:paraId="72A3406A"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ж) Высотку от пола до потолка довести до 1600—1650 мм вместо 1500мм по проекту.</w:t>
      </w:r>
    </w:p>
    <w:p w14:paraId="7BEB20AF" w14:textId="77777777" w:rsidR="009D3895" w:rsidRPr="00722885" w:rsidRDefault="009D3895" w:rsidP="00722885">
      <w:pPr>
        <w:pStyle w:val="Bodytext141"/>
        <w:shd w:val="clear" w:color="auto" w:fill="auto"/>
        <w:tabs>
          <w:tab w:val="left" w:pos="25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6. После рассмотрения проекта Арткомом ГАУ КА вынести совмест</w:t>
      </w:r>
      <w:r w:rsidRPr="00722885">
        <w:rPr>
          <w:rStyle w:val="Bodytext145"/>
          <w:i w:val="0"/>
          <w:iCs w:val="0"/>
          <w:color w:val="000000" w:themeColor="text1"/>
          <w:sz w:val="16"/>
          <w:szCs w:val="16"/>
        </w:rPr>
        <w:softHyphen/>
        <w:t>ное решение по дальнейшему продвижению разработки проекта, ра</w:t>
      </w:r>
      <w:r w:rsidRPr="00722885">
        <w:rPr>
          <w:rStyle w:val="Bodytext145"/>
          <w:i w:val="0"/>
          <w:iCs w:val="0"/>
          <w:color w:val="000000" w:themeColor="text1"/>
          <w:sz w:val="16"/>
          <w:szCs w:val="16"/>
        </w:rPr>
        <w:softHyphen/>
        <w:t>бочих чертежей и изготовлению образца.</w:t>
      </w:r>
    </w:p>
    <w:p w14:paraId="0651D549"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r w:rsidRPr="00722885">
        <w:rPr>
          <w:rStyle w:val="Bodytext145"/>
          <w:rFonts w:ascii="Times New Roman" w:cs="Times New Roman"/>
          <w:color w:val="000000" w:themeColor="text1"/>
          <w:spacing w:val="0"/>
          <w:sz w:val="16"/>
          <w:szCs w:val="16"/>
        </w:rPr>
        <w:t>Главному конструктору завода №592 тов. Синильщикову — немедлен</w:t>
      </w:r>
      <w:r w:rsidRPr="00722885">
        <w:rPr>
          <w:rStyle w:val="Bodytext145"/>
          <w:rFonts w:ascii="Times New Roman" w:cs="Times New Roman"/>
          <w:color w:val="000000" w:themeColor="text1"/>
          <w:spacing w:val="0"/>
          <w:sz w:val="16"/>
          <w:szCs w:val="16"/>
        </w:rPr>
        <w:softHyphen/>
        <w:t>но выслать заводу №8 чертежи зарядного лотка 122 мм артштурма» (17484).</w:t>
      </w:r>
    </w:p>
    <w:p w14:paraId="0C7000CE"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p>
    <w:p w14:paraId="3FDB838D" w14:textId="77777777" w:rsidR="00E43066" w:rsidRPr="00722885" w:rsidRDefault="00E4306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15 сентября 1942 проект ЗИК-20 был рассмотрен на совещании Технического Совета НКВ Союза ССР. О проекте докладывал начальник КБ завода №8 Ф. Ф. Петров. К его докладу прилагались объяснительная записка, чертежи и расчёты. Идея с отказом от дульного тормоза, сильно демаскирующего САУ при стрельбе, была </w:t>
      </w:r>
      <w:r w:rsidRPr="00722885">
        <w:rPr>
          <w:rFonts w:ascii="Times New Roman" w:eastAsia="Times New Roman" w:hAnsi="Times New Roman"/>
          <w:color w:val="000000" w:themeColor="text1"/>
          <w:sz w:val="16"/>
          <w:szCs w:val="16"/>
          <w:lang w:eastAsia="ru-RU"/>
        </w:rPr>
        <w:lastRenderedPageBreak/>
        <w:t>одобрена. Несмотря на то, что Петров ставил вопрос о введении телескопического прицела, по проекту, в отличие от У-18, он не был предусмотрен. Сама установка МЛ-20 на ЗИК-20, по сравнению с У-18, была смещена вперёд, что грозило увеличением нагрузки на передние опорные катки.</w:t>
      </w:r>
    </w:p>
    <w:p w14:paraId="63529236" w14:textId="77777777" w:rsidR="00E43066" w:rsidRPr="00722885" w:rsidRDefault="00E4306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Много вопросов у участников совещания вызвала компоновка боевого отделения. По сравнению с КВ-7, углы наклона бортов рубки была уменьшены, что, в свою очередь, снизило вероятность рикошета при попадании снарядов. Несмотря на то, что высота боевого отделения от пола до крыши составляла 1895 мм, расчёту предстояло работать в весьма стеснённых условиях. 395 мм «съедала» двухрядная укладка снарядов на полу, которой, к тому же, было неудобно пользоваться. Кроме того, крепление укладок к бортам рубки увеличивало риск детонации боекомплекта при попадании по рубке вражеских снарядов. Сомнения вызвало и решение разместить бензобаки вдоль бортов установки. Возник и ряд вопросов относительно эффективности вентиляции боевого отделения и защиты установки с кормы, где не было даже пистолетного порта (в отличие от У-18, где предусматривалась кормовая установка пулемёта ДТ).</w:t>
      </w:r>
    </w:p>
    <w:p w14:paraId="71C00139" w14:textId="77777777" w:rsidR="00E43066" w:rsidRPr="00722885" w:rsidRDefault="00E4306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Несмотря на все перечисленные недостатки, а также тот факт, что ЗИК-20 к КВ-7 не имела никакого отношения, проект завода №8 одобрили. В данном случае время явилось определяющим фактором. Хотя САУ У-18 была более простой для изготовления, чем детище конкурентов, этот проект хоть и на несколько дней, но опоздал (17648).</w:t>
      </w:r>
    </w:p>
    <w:p w14:paraId="6DFBDF37" w14:textId="77777777" w:rsidR="00E43066" w:rsidRPr="00722885" w:rsidRDefault="00E43066" w:rsidP="00722885">
      <w:pPr>
        <w:spacing w:after="0" w:line="240" w:lineRule="auto"/>
        <w:jc w:val="both"/>
        <w:rPr>
          <w:rFonts w:ascii="Times New Roman" w:hAnsi="Times New Roman"/>
          <w:color w:val="000000" w:themeColor="text1"/>
          <w:sz w:val="16"/>
          <w:szCs w:val="16"/>
        </w:rPr>
      </w:pPr>
    </w:p>
    <w:p w14:paraId="72AF36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1942 сданы флоту 4 МО, построенных в корпусе ТК Д-3, и еще 4 МО - 30 сентября (10671).</w:t>
      </w:r>
    </w:p>
    <w:p w14:paraId="46C68C7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A06BD7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F9F6614" w14:textId="77777777" w:rsidR="00090C9B" w:rsidRPr="00722885" w:rsidRDefault="00090C9B" w:rsidP="00722885">
      <w:pPr>
        <w:pStyle w:val="Iauiue"/>
        <w:jc w:val="both"/>
        <w:rPr>
          <w:iCs/>
          <w:color w:val="000000" w:themeColor="text1"/>
          <w:sz w:val="16"/>
          <w:szCs w:val="16"/>
        </w:rPr>
      </w:pPr>
    </w:p>
    <w:p w14:paraId="211C0407"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в 1942 году утреннее сообщение Совинформбюро:</w:t>
      </w:r>
    </w:p>
    <w:p w14:paraId="4AD356A3"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15 сентября наши войска вели бои с противником западнее и юго-западнее Сталинграда и в районе Моздок. На других фронтах существенных изменений не произошло.</w:t>
      </w:r>
    </w:p>
    <w:p w14:paraId="28AF79BE"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наши войска вели оборонительные бои. Бойцы Н-ской части отбили атаку гитлеровцев и уничтожили 2 танка и более 100 немецких солдат и офицеров. Огнём артиллерии рассеяно скопление пехоты противника и взорвано 6 автомашин с боеприпасами. На другом участке наши части отбили несколько атак противника, в ходе которых немцы потеряли до 600 солдат и офицеров.</w:t>
      </w:r>
    </w:p>
    <w:p w14:paraId="6EDE2F49"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немецкие танки, задержанные у противотанковых препятствий, были обстреляны нашей артиллерией. Подбито 3 и сожжено 5 танков противника. Гвардейцы-миномётчики совершили огневой налёт на скопление пехоты неприятеля и истребили до двух рот румынских солдат и офицеров.</w:t>
      </w:r>
    </w:p>
    <w:p w14:paraId="5CC8E560"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группа немецких танков ворвалась в один населённый пункт. Бойцы Н-ской гвардейской части ведут бои по уничтожению танков противника.</w:t>
      </w:r>
    </w:p>
    <w:p w14:paraId="22147668"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бойцы Н-ского соединения после упорных боёв выбили немцев из укреплённого населённого пункта. За три дня боевых действий уничтожено до 4.000 ненецких солдат и офицеров. Подбито и сожжено несколько десятков немецких танков, уничтожено 11 орудий и 6 миномётных батарей. Нашими бойцами захвачены 15 орудий, танк, 19 пулемётов, 60 автоматов и другое вооружение.</w:t>
      </w:r>
    </w:p>
    <w:p w14:paraId="060F4828"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немецкого офицера Клейна найдено письмо от врача, проживающего в городе Пирмонт (Германия). В письме говорится: «...Пирмонт перенаселён ранеными. Сейчас в городе свыше 70 лазаретов и госпиталей, но каждый раз, когда прибывает транспорт с ранеными, мы не знаем, куда их девать. Всё переполнено... Санитарные поезда прибывают ночью, и мы должны за несколько часов, пока город спит, разместить всех раненых. Однако бывает, что за три дня не можем найти даже 50 свободных мест. Раненые открыто выражают возмущение, стонут, сразу стекается публика, начинаются разговоры и расспросы. Мы имели уже крупные неприятности от начальства, но врачи бессильны что-либо сделать. Печальнее всего, что такое положение не только в Пирмонте, но и в других городах...»</w:t>
      </w:r>
    </w:p>
    <w:p w14:paraId="134FC7E1"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на Западном фронте немецкого лейтенанта Карла Кресса найдено письмо от Вилли Крафта из Варшавы. В нём говорится: «Ты уже, наверное, слышал, что русские нанесли нам визит. Мы забрались в глубокое убежище, но и там были слышны взрывы бомб... После мы осматривали работу русских. Это ужасно. Ты должен помнить семиэтажную гостиницу против Центрального вокзала. В ней проживали офицеры не только из местного гарнизона, но и приезжие. Прямым попаданием бомбы гостиница разрушена. Многие находившиеся там погибли. К всеобщему сожалению погиб и полковник генерального штаба, прибывший накануне из Берлина. Разрушены казармы «СС». Несколько бомб попало в форт. Сильно пострадали несколько военных предприятий и Западный вокзал. Всего, что натворили русские, не перечесть. До сих пор нам здесь жилось уютно и спокойно. Каждый радовался, что он находится в глубоком тылу, и считал себя в полной безопасности. Русские разрушили эту иллюзию».</w:t>
      </w:r>
    </w:p>
    <w:p w14:paraId="76B3AFB1"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оккупанты опустошили и дотла сожгли 35 деревень Станковского сельсовета, Ленинградской области. Гитлеровские громилы сожгли 384 жилых дома и много хозяйственных построек колхозников. Имущество крестьян гитлеровские бандиты разграбили или предали огню. Немцы забрали весь скот, отняли продовольствие и обрекли крестьян на голодную смерть. Многих колхозников и колхозниц они угнали на каторжные работы в Германию.</w:t>
      </w:r>
    </w:p>
    <w:p w14:paraId="666818E7"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Нарвика норвежские партизаны разгромили штаб немецкой части. Патриоты убили 6 офицеров, захватили документы и оружие.» (14770).</w:t>
      </w:r>
    </w:p>
    <w:p w14:paraId="42903CA5"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327360E8"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в 1942 году вечернее сообщение Совинформбюро:</w:t>
      </w:r>
    </w:p>
    <w:p w14:paraId="0F596B64"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15 сентября наши войска вели бои с противником западнее и юго-западнее Сталинграда и в районе Моздок. На других фронтах существенных изменений не произошло.</w:t>
      </w:r>
    </w:p>
    <w:p w14:paraId="74799D43"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14 сентября частями нашей авиации на различных участках фронта уничтожено или повреждено 10 немецких танков и бронемашин, до 35 автомашин с войсками и грузами, подавлен огонь 6 батарей полевой и зенитной артиллерии, взорван склад боеприпасов, рассеяно и частью уничтожено до двух рот пехоты противника.</w:t>
      </w:r>
    </w:p>
    <w:p w14:paraId="78930D8B"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наши войска вели напряжённые оборонительные бои с противником. Подтянув резервы, немцы бросают их в бой. В течение дня наши части отбивали неоднократные атаки пехоты и танков противника. В бою у одного населённого пункта бойцы Н-ской части уничтожили 3 немецких танка, бронемашину, 5 орудий и свыше 350 солдат и офицеров противника.</w:t>
      </w:r>
    </w:p>
    <w:p w14:paraId="3C7B9797"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продолжались ожесточённые бои. Атаковав наши позиций, немцам удалось на одном участке продвинуться вперёд. Наши бойцы перешли в контратаку и вернули потерянные позиции. На поле боя осталось 7 подбитых танков и до двух рот убитых солдат противника. На другом участке артиллерийским огнём уничтожено 2 немецких танка и 10 автомашин с вражеской пехотой.</w:t>
      </w:r>
    </w:p>
    <w:p w14:paraId="6C734CB3"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отбили у противника два населённых пункта. Бойцы Н-ской части уничтожили 8 немецких танков, 4 бронемашины и захватили легковую автомашину с офицером и тремя солдатами. Разведчики во главе с младшим лейтенантом Саладзе незаметно пробрались в расположение противника. И огнём из автоматов уничтожили два взвода немецкой пехоты.</w:t>
      </w:r>
    </w:p>
    <w:p w14:paraId="1E526EDB"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противник снова предпринял ожесточённую атаку наших позиций. Огневыми налётами нашей артиллерии и миномётов и действиями пехотинцев гитлеровцы были отброшены. В этом бою уничтожено 7 немецких танков и до 1.000 солдат и офицеров противника.</w:t>
      </w:r>
    </w:p>
    <w:p w14:paraId="5B739CE7"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противник силою до полка пехоты и 40 танков перешёл в контратаку. Одновременно танковый десант переодетых в красноармейскую форму немецких солдат пытался зайти в тыл наших частей. В завязавшемся бою наши подразделения уничтожили 15 немецких танков, до трёх рот пехоты и отбросили противника. В напряжённый момент боя командир артиллерийского подразделения капитан Бернацкий стал к орудию и прямой наводкой уничтожил 5 немецких танков.</w:t>
      </w:r>
    </w:p>
    <w:p w14:paraId="7D571F7C"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наших разведчиков, действующая в тылу противника, пустила под откос два железнодорожных эшелона гитлеровцев. Убито 120 немецких солдат и офицеров, разбиты паровоз, много вагонов и платформ. В другом районе пущен под откос железнодорожный эшелон противника с боеприпасами.</w:t>
      </w:r>
    </w:p>
    <w:p w14:paraId="125FC286"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ефрейтора 2 взвода 7 роты 63 немецкого полка Антона Рейтмейера найдено неотправленное письмо к жене. Он описывает свои бандитские похождения в захваченных немцами советских районах: «Мы забираем в деревнях все съестные припасы, картошку, коров. У жителей ничего не должно остаться. Пусть умирают с голоду. Только таким способом можно приучить русских к новому порядку, который несёт немецкая армия. От нашего острого взора не ускользает ничего, что можно употребить с пользой для себя. Мы достаём из-под земли всё, что русские вздумали спрятать от нас...»</w:t>
      </w:r>
    </w:p>
    <w:p w14:paraId="7EB6467F"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истязают и истребляют советских военнопленных и мирных советских граждан, брошенных в германские концлагери. В лагере близ Шверина гитлеровцы за один месяц расстреляли 216 больных красноармейцев. В другом лагере, в районе Регенсбурга, среди заключённых свирепствует эпидемия тифа. За короткий срок здесь умерло около 300 человек мирных граждан, насильно увезённых немцами из Киева.» (14770).</w:t>
      </w:r>
    </w:p>
    <w:p w14:paraId="31BB82B4"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019203F1" w14:textId="77777777" w:rsidR="00BB2084" w:rsidRPr="00722885" w:rsidRDefault="00BB2084"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15 сентября 1942. Экипаж Пономаренко, Легкоступ. Цель- бомбордирование города Бухарест. Сброшено 4 ФАБ-500тга. Время взлета 18.57, время бомбометания 00.28, время посадки 06.10.</w:t>
      </w:r>
    </w:p>
    <w:p w14:paraId="59ADF224" w14:textId="77777777" w:rsidR="00BB2084" w:rsidRPr="00722885" w:rsidRDefault="00BB2084"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Отчет- На Н=6500м. Наблюдали разрывы бомб в южной части города. В результате бомбометания пожаров не возникло. Во время полета у 42015 заклинило четвертый мотор.</w:t>
      </w:r>
    </w:p>
    <w:p w14:paraId="012F34C3" w14:textId="77777777" w:rsidR="00BB2084" w:rsidRPr="00722885" w:rsidRDefault="00BB2084" w:rsidP="00722885">
      <w:pPr>
        <w:pStyle w:val="319"/>
        <w:shd w:val="clear" w:color="auto" w:fill="auto"/>
        <w:spacing w:after="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Ремонт корабля занял почти две недели и в следующий боевой вылет он отправился 25 сентября (19105).</w:t>
      </w:r>
    </w:p>
    <w:p w14:paraId="0B07C814" w14:textId="77777777" w:rsidR="00BB2084" w:rsidRPr="00722885" w:rsidRDefault="00BB2084" w:rsidP="00722885">
      <w:pPr>
        <w:pStyle w:val="108"/>
        <w:shd w:val="clear" w:color="auto" w:fill="auto"/>
        <w:spacing w:line="240" w:lineRule="auto"/>
        <w:jc w:val="both"/>
        <w:rPr>
          <w:color w:val="000000" w:themeColor="text1"/>
          <w:sz w:val="16"/>
          <w:szCs w:val="16"/>
        </w:rPr>
      </w:pPr>
    </w:p>
    <w:p w14:paraId="44935353"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в 1942 году ночная переправа 13-й гвардейской дивизии Родимцева спасла положение советских войск в Сталинграде. Отбит Мамаев курган. Ожесточенные бои в городе продолжались до конца сентября (14770).</w:t>
      </w:r>
    </w:p>
    <w:p w14:paraId="62F07500"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3DC55B10"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15 сентября в 1942 году заградотряд 62-й армии в течение двух суток (15-16 сентября) успешно вёл бой с превосходящими силами противника в районе сталинградского железнодорожного вокзала. Несмотря на свою малочисленность, заградотряд не только отбивал атаки немцев, но и контратаковал, нанеся противнику значительные потери в живой силе. Свой рубеж отряд оставил только тогда, когда на смену подошли части 10-й стрелковой дивизии (14770).</w:t>
      </w:r>
    </w:p>
    <w:p w14:paraId="57435B63"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4E15D85B"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в 1942 году началась наступательная операция войск Воронежского фронта с целью освобождения Воронежа и захвата плацдарма на правом берегу Дона (14770).</w:t>
      </w:r>
    </w:p>
    <w:p w14:paraId="3719EA69"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78427F54"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в 1942 году в Сталинграде войска противника захватили Мамаев курган (14770).</w:t>
      </w:r>
    </w:p>
    <w:p w14:paraId="2A1BBAC5"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04D8D7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исходу 15 сентября 1942 немец</w:t>
      </w:r>
      <w:r w:rsidRPr="00722885">
        <w:rPr>
          <w:color w:val="000000" w:themeColor="text1"/>
          <w:sz w:val="16"/>
          <w:szCs w:val="16"/>
        </w:rPr>
        <w:softHyphen/>
        <w:t>кие войска рассекли оборону на стыке 62-й и 64-й армий в районе Верх. Ельшанка - сх. Торная Поляна", прочно ов</w:t>
      </w:r>
      <w:r w:rsidRPr="00722885">
        <w:rPr>
          <w:color w:val="000000" w:themeColor="text1"/>
          <w:sz w:val="16"/>
          <w:szCs w:val="16"/>
        </w:rPr>
        <w:softHyphen/>
        <w:t>ладели приг. Купоросное, ремонтным за</w:t>
      </w:r>
      <w:r w:rsidRPr="00722885">
        <w:rPr>
          <w:color w:val="000000" w:themeColor="text1"/>
          <w:sz w:val="16"/>
          <w:szCs w:val="16"/>
        </w:rPr>
        <w:softHyphen/>
        <w:t>водом и вышли к Волге, продолжая тес</w:t>
      </w:r>
      <w:r w:rsidRPr="00722885">
        <w:rPr>
          <w:color w:val="000000" w:themeColor="text1"/>
          <w:sz w:val="16"/>
          <w:szCs w:val="16"/>
        </w:rPr>
        <w:softHyphen/>
        <w:t>нить части 64-й армии на юг, к старой Отраде и Бекетовке, а левый фланг 62-й армии - к Ельшанке и зацарицынской части Сталинграда. Попытка восстано</w:t>
      </w:r>
      <w:r w:rsidRPr="00722885">
        <w:rPr>
          <w:color w:val="000000" w:themeColor="text1"/>
          <w:sz w:val="16"/>
          <w:szCs w:val="16"/>
        </w:rPr>
        <w:softHyphen/>
        <w:t>вить положение цели не достигла. На</w:t>
      </w:r>
      <w:r w:rsidRPr="00722885">
        <w:rPr>
          <w:color w:val="000000" w:themeColor="text1"/>
          <w:sz w:val="16"/>
          <w:szCs w:val="16"/>
        </w:rPr>
        <w:softHyphen/>
        <w:t>чались ожесточенные бои в черте города (6467).</w:t>
      </w:r>
    </w:p>
    <w:p w14:paraId="0DDAE0B0" w14:textId="77777777" w:rsidR="00090C9B" w:rsidRPr="00722885" w:rsidRDefault="00090C9B" w:rsidP="00722885">
      <w:pPr>
        <w:pStyle w:val="Iauiue"/>
        <w:jc w:val="both"/>
        <w:rPr>
          <w:color w:val="000000" w:themeColor="text1"/>
          <w:sz w:val="16"/>
          <w:szCs w:val="16"/>
        </w:rPr>
      </w:pPr>
    </w:p>
    <w:p w14:paraId="20EA68ED"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15, 1942: Fierce fighting between German and Soviet forces for possession of Mamayev Kurgan, the strategic hill overlooking Stalingrad (3819).</w:t>
      </w:r>
    </w:p>
    <w:p w14:paraId="5BC80D49" w14:textId="77777777" w:rsidR="00090C9B" w:rsidRPr="00722885" w:rsidRDefault="00090C9B" w:rsidP="00722885">
      <w:pPr>
        <w:pStyle w:val="Iauiue"/>
        <w:jc w:val="both"/>
        <w:rPr>
          <w:color w:val="000000" w:themeColor="text1"/>
          <w:sz w:val="16"/>
          <w:szCs w:val="16"/>
          <w:lang w:val="en-US"/>
        </w:rPr>
      </w:pPr>
    </w:p>
    <w:p w14:paraId="24B284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сентября 1942 начались бои и Мамаева Кургана (3819).</w:t>
      </w:r>
    </w:p>
    <w:p w14:paraId="6F8E7048" w14:textId="77777777" w:rsidR="00090C9B" w:rsidRPr="00722885" w:rsidRDefault="00090C9B" w:rsidP="00722885">
      <w:pPr>
        <w:pStyle w:val="Iauiue"/>
        <w:jc w:val="both"/>
        <w:rPr>
          <w:color w:val="000000" w:themeColor="text1"/>
          <w:sz w:val="16"/>
          <w:szCs w:val="16"/>
        </w:rPr>
      </w:pPr>
    </w:p>
    <w:p w14:paraId="467666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сентября 1942 началась битва за Сталинград (2245,8).</w:t>
      </w:r>
    </w:p>
    <w:p w14:paraId="474A0F50" w14:textId="77777777" w:rsidR="00090C9B" w:rsidRPr="00722885" w:rsidRDefault="00090C9B" w:rsidP="00722885">
      <w:pPr>
        <w:pStyle w:val="Iauiue"/>
        <w:jc w:val="both"/>
        <w:rPr>
          <w:color w:val="000000" w:themeColor="text1"/>
          <w:sz w:val="16"/>
          <w:szCs w:val="16"/>
        </w:rPr>
      </w:pPr>
    </w:p>
    <w:p w14:paraId="7F3A37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сентября 1942 немцы починили первые четыре Тигра, направленные на ЛФ под Синявино (3570).</w:t>
      </w:r>
    </w:p>
    <w:p w14:paraId="777D33C1" w14:textId="77777777" w:rsidR="00090C9B" w:rsidRPr="00722885" w:rsidRDefault="00090C9B" w:rsidP="00722885">
      <w:pPr>
        <w:pStyle w:val="Iauiue"/>
        <w:jc w:val="both"/>
        <w:rPr>
          <w:color w:val="000000" w:themeColor="text1"/>
          <w:sz w:val="16"/>
          <w:szCs w:val="16"/>
        </w:rPr>
      </w:pPr>
    </w:p>
    <w:p w14:paraId="19376EAC" w14:textId="77777777" w:rsidR="00374BE3"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E9D8430" w14:textId="77777777" w:rsidR="00374BE3" w:rsidRPr="00722885" w:rsidRDefault="00374BE3" w:rsidP="00722885">
      <w:pPr>
        <w:pStyle w:val="Iauiue"/>
        <w:jc w:val="both"/>
        <w:rPr>
          <w:iCs/>
          <w:color w:val="000000" w:themeColor="text1"/>
          <w:sz w:val="16"/>
          <w:szCs w:val="16"/>
        </w:rPr>
      </w:pPr>
    </w:p>
    <w:p w14:paraId="7BE51F1E"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в 1942 году налет профашистски настроенных погромщиков на советское консульство в Варне (14770).</w:t>
      </w:r>
    </w:p>
    <w:p w14:paraId="1FE7C181"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18F7323B" w14:textId="77777777" w:rsidR="00374BE3"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E4EB608" w14:textId="77777777" w:rsidR="00374BE3" w:rsidRPr="00722885" w:rsidRDefault="00374BE3" w:rsidP="00722885">
      <w:pPr>
        <w:pStyle w:val="Iauiue"/>
        <w:jc w:val="both"/>
        <w:rPr>
          <w:iCs/>
          <w:color w:val="000000" w:themeColor="text1"/>
          <w:sz w:val="16"/>
          <w:szCs w:val="16"/>
        </w:rPr>
      </w:pPr>
    </w:p>
    <w:p w14:paraId="76094126" w14:textId="77777777" w:rsidR="009B2175" w:rsidRPr="00722885" w:rsidRDefault="009B21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сентября 1942 немецкий ас Люфтваффе Ханс-Иоахим Марсель сбил семь британских истребителей Curtiss Kittyhawk в ходе одной миссии над Северной Африкой . Среди них его 150-я воздушная победа (20793).</w:t>
      </w:r>
    </w:p>
    <w:p w14:paraId="5C154CC2" w14:textId="77777777" w:rsidR="009B2175" w:rsidRPr="00722885" w:rsidRDefault="009B2175" w:rsidP="00722885">
      <w:pPr>
        <w:spacing w:after="0" w:line="240" w:lineRule="auto"/>
        <w:jc w:val="both"/>
        <w:rPr>
          <w:rFonts w:ascii="Times New Roman" w:hAnsi="Times New Roman"/>
          <w:color w:val="0070C0"/>
          <w:sz w:val="16"/>
          <w:szCs w:val="16"/>
        </w:rPr>
      </w:pPr>
    </w:p>
    <w:p w14:paraId="382E955B" w14:textId="77777777" w:rsidR="009B2175" w:rsidRPr="00722885" w:rsidRDefault="009B21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сентября 1942 Air Transport Command ВВС арми США организует 319 - й женский летучий учебный отряд (WFTD), вторую организацию гражданских женщин - соперника Женского вспомогательного перегонного Squadron (ВАФС), созданного пять дней раньше. Ни WAFS, ни WFTD не признают существования друг-друга (20793).</w:t>
      </w:r>
    </w:p>
    <w:p w14:paraId="6E248698" w14:textId="77777777" w:rsidR="009B2175" w:rsidRPr="00722885" w:rsidRDefault="009B2175" w:rsidP="00722885">
      <w:pPr>
        <w:spacing w:after="0" w:line="240" w:lineRule="auto"/>
        <w:jc w:val="both"/>
        <w:rPr>
          <w:rFonts w:ascii="Times New Roman" w:hAnsi="Times New Roman"/>
          <w:color w:val="0070C0"/>
          <w:sz w:val="16"/>
          <w:szCs w:val="16"/>
        </w:rPr>
      </w:pPr>
    </w:p>
    <w:p w14:paraId="031F71E8" w14:textId="77777777" w:rsidR="009B2175" w:rsidRPr="00722885" w:rsidRDefault="009B21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сентября 1942 японская подводная лодка I-19 торпедирует и топит авианосец ВМС США USS Wasp (CV-7) к юго-востоку от Соломоновых островов (20793).</w:t>
      </w:r>
    </w:p>
    <w:p w14:paraId="6861879A" w14:textId="77777777" w:rsidR="009B2175" w:rsidRPr="00722885" w:rsidRDefault="009B2175" w:rsidP="00722885">
      <w:pPr>
        <w:spacing w:after="0" w:line="240" w:lineRule="auto"/>
        <w:jc w:val="both"/>
        <w:rPr>
          <w:rFonts w:ascii="Times New Roman" w:hAnsi="Times New Roman"/>
          <w:color w:val="0070C0"/>
          <w:sz w:val="16"/>
          <w:szCs w:val="16"/>
        </w:rPr>
      </w:pPr>
    </w:p>
    <w:p w14:paraId="0CAA3E61"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в 1942 году премьер-министр Болгарии Б.Филов заявил о необходимости политизировать государственный аппарат и изгнать оттуда «коммунистические настроения» (14770).</w:t>
      </w:r>
    </w:p>
    <w:p w14:paraId="7A27D12C"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64907F31"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в 1942 году японская подводная лодка потопила американский авианосец Уосп и эсминец у Гуадалканала (14770).</w:t>
      </w:r>
    </w:p>
    <w:p w14:paraId="166C5E88"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5673582E"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в 1942 году прекращение активных боевых действий на японо-китайском фронте (14770).</w:t>
      </w:r>
    </w:p>
    <w:p w14:paraId="220AAF36"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0EF05D92" w14:textId="77777777" w:rsidR="00374BE3" w:rsidRPr="00722885" w:rsidRDefault="00374B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сентября в 1942 году британская полиция применила оружие для разгона антиколониальных демонстраций в Индии (14770).</w:t>
      </w:r>
    </w:p>
    <w:p w14:paraId="3642714C" w14:textId="77777777" w:rsidR="00374BE3" w:rsidRPr="00722885" w:rsidRDefault="00374BE3" w:rsidP="00722885">
      <w:pPr>
        <w:spacing w:after="0" w:line="240" w:lineRule="auto"/>
        <w:jc w:val="both"/>
        <w:rPr>
          <w:rFonts w:ascii="Times New Roman" w:hAnsi="Times New Roman"/>
          <w:color w:val="000000" w:themeColor="text1"/>
          <w:sz w:val="16"/>
          <w:szCs w:val="16"/>
        </w:rPr>
      </w:pPr>
    </w:p>
    <w:p w14:paraId="2E01407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113A0A7" w14:textId="77777777" w:rsidR="00090C9B" w:rsidRPr="00722885" w:rsidRDefault="00090C9B" w:rsidP="00722885">
      <w:pPr>
        <w:pStyle w:val="Iauiue"/>
        <w:jc w:val="both"/>
        <w:rPr>
          <w:iCs/>
          <w:color w:val="000000" w:themeColor="text1"/>
          <w:sz w:val="16"/>
          <w:szCs w:val="16"/>
        </w:rPr>
      </w:pPr>
    </w:p>
    <w:p w14:paraId="6906E4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середине сентября 1942 г. в ОКБ-115 начались работы над опытными истребителями Як-1 и Як-9, которые строили специально под моторы М-106-1ск. Вскоре однако выяснилось. что необходимо даже зимой или поднять предельные температуры воды и масла на истребителях до отметки в 115°С (т.е. на 10°С). или устанавливать увеличенные радиаторы на серийные истребители. Кроме того</w:t>
      </w:r>
      <w:r w:rsidR="00374BE3" w:rsidRPr="00722885">
        <w:rPr>
          <w:color w:val="000000" w:themeColor="text1"/>
          <w:sz w:val="16"/>
          <w:szCs w:val="16"/>
        </w:rPr>
        <w:t>,</w:t>
      </w:r>
      <w:r w:rsidRPr="00722885">
        <w:rPr>
          <w:color w:val="000000" w:themeColor="text1"/>
          <w:sz w:val="16"/>
          <w:szCs w:val="16"/>
        </w:rPr>
        <w:t xml:space="preserve"> выявились некоторые серьезные дефекты недоведенного двигателя, такие как тряска на переходных режимах работы (1800-2000 об/мин), детонация топлива, освинцо-вывание свечей, дымление, повышенный расход горючего, зна^тельный выброс масла через суфлер и ряд др. Не сумев устранить эти дефекты в ходе заводских испытаний. модифицированные самолеты передали в начале января 1943 г. в ЛИИ. но и там не удалось добиться улучшения в работе винтомоторной группы (4537).</w:t>
      </w:r>
    </w:p>
    <w:p w14:paraId="4880DCE1" w14:textId="77777777" w:rsidR="00090C9B" w:rsidRPr="00722885" w:rsidRDefault="00090C9B" w:rsidP="00722885">
      <w:pPr>
        <w:pStyle w:val="Iauiue"/>
        <w:jc w:val="both"/>
        <w:rPr>
          <w:color w:val="000000" w:themeColor="text1"/>
          <w:sz w:val="16"/>
          <w:szCs w:val="16"/>
        </w:rPr>
      </w:pPr>
    </w:p>
    <w:p w14:paraId="12A682FA" w14:textId="77777777" w:rsidR="00BB2084" w:rsidRPr="00722885" w:rsidRDefault="00BB208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сентября 1942 г. в ЦАГИ были закончены под руководством доктора Л. И. Седова исследования удара о воду и выяснение условий возникновения рикошетов применительно к задаче посадки гидросамолетов на воду, а к концу октября завершилось теоретическое и экспериментальное иссле дование полета торпеды после сбрасывания с самолета, которое проводилось по заданию заместителя наркома ВМФ адмирала Л. М. Галлера (19727).</w:t>
      </w:r>
    </w:p>
    <w:p w14:paraId="18FB5F21" w14:textId="77777777" w:rsidR="00BB2084" w:rsidRPr="00722885" w:rsidRDefault="00BB2084" w:rsidP="00722885">
      <w:pPr>
        <w:spacing w:after="0" w:line="240" w:lineRule="auto"/>
        <w:jc w:val="both"/>
        <w:rPr>
          <w:rFonts w:ascii="Times New Roman" w:hAnsi="Times New Roman"/>
          <w:color w:val="000000" w:themeColor="text1"/>
          <w:sz w:val="16"/>
          <w:szCs w:val="16"/>
        </w:rPr>
      </w:pPr>
    </w:p>
    <w:p w14:paraId="7E7D3234" w14:textId="77777777" w:rsidR="00BB2084" w:rsidRPr="00722885" w:rsidRDefault="00BB2084" w:rsidP="00722885">
      <w:pPr>
        <w:pStyle w:val="Iauiue"/>
        <w:jc w:val="both"/>
        <w:rPr>
          <w:iCs/>
          <w:color w:val="000000" w:themeColor="text1"/>
          <w:sz w:val="16"/>
          <w:szCs w:val="16"/>
        </w:rPr>
      </w:pPr>
      <w:r w:rsidRPr="00722885">
        <w:rPr>
          <w:i/>
          <w:iCs/>
          <w:color w:val="000000" w:themeColor="text1"/>
          <w:sz w:val="16"/>
          <w:szCs w:val="16"/>
        </w:rPr>
        <w:t>Армия:</w:t>
      </w:r>
    </w:p>
    <w:p w14:paraId="23FBDE18" w14:textId="77777777" w:rsidR="00BB2084" w:rsidRPr="00722885" w:rsidRDefault="00BB2084" w:rsidP="00722885">
      <w:pPr>
        <w:pStyle w:val="Iauiue"/>
        <w:jc w:val="both"/>
        <w:rPr>
          <w:iCs/>
          <w:color w:val="000000" w:themeColor="text1"/>
          <w:sz w:val="16"/>
          <w:szCs w:val="16"/>
        </w:rPr>
      </w:pPr>
    </w:p>
    <w:p w14:paraId="1083F319"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К середине сентября 1942 г. Сталинград уже представлял собой сплошные развалины, даже у немцев он получил печальное прозвище «города без единого дерева». Ориентиром для летчиков служила химическая фабрика «Лазурь», полностью разрушенная, но хорошо заметная благодаря подходившей к ней железнодорожной ветке своеобразной формы, называемой «теннисной ракеткой».</w:t>
      </w:r>
    </w:p>
    <w:p w14:paraId="3111B849"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Тем временем на Восточный фронт, в том числе в I./JG53 «Пик Ас», поступила партия Bf-109F-4/Rl с двумя дополнительными пушками MG-151/15, размещенными в гондолах под крылом. У летчиков такие машины получили прозвище «канонерская лодка» (Kanonenboot). Подобное оружие вкупе с остальными стволами позволяло с определенной дистанции и с одного залпа буквально разносить бронированные Илы в щепки. Именно на таком «Мессершмитте» командир 1-й эскадрильи JG53 обер-лейтенант Мюллер 9 сентября установил рекорд группы, сбив в одном бою сразу шесть штурмовиков Ил-2 (19522).</w:t>
      </w:r>
    </w:p>
    <w:p w14:paraId="0FD796D3" w14:textId="77777777" w:rsidR="00BB2084" w:rsidRPr="00722885" w:rsidRDefault="00BB2084" w:rsidP="00722885">
      <w:pPr>
        <w:pStyle w:val="ae"/>
        <w:spacing w:before="0" w:after="0"/>
        <w:jc w:val="both"/>
        <w:textAlignment w:val="baseline"/>
        <w:rPr>
          <w:color w:val="000000" w:themeColor="text1"/>
          <w:sz w:val="16"/>
          <w:szCs w:val="16"/>
        </w:rPr>
      </w:pPr>
    </w:p>
    <w:p w14:paraId="1870B825" w14:textId="49893BB3" w:rsidR="007877EB" w:rsidRPr="00722885" w:rsidRDefault="007877EB" w:rsidP="00722885">
      <w:pPr>
        <w:pStyle w:val="Iauiue"/>
        <w:jc w:val="both"/>
        <w:rPr>
          <w:i/>
          <w:iCs/>
          <w:color w:val="000000" w:themeColor="text1"/>
          <w:sz w:val="16"/>
          <w:szCs w:val="16"/>
        </w:rPr>
      </w:pPr>
      <w:r w:rsidRPr="00722885">
        <w:rPr>
          <w:i/>
          <w:iCs/>
          <w:color w:val="000000" w:themeColor="text1"/>
          <w:sz w:val="16"/>
          <w:szCs w:val="16"/>
        </w:rPr>
        <w:t>За рубежом:</w:t>
      </w:r>
    </w:p>
    <w:p w14:paraId="5AB2951F" w14:textId="77777777" w:rsidR="007877EB" w:rsidRPr="00722885" w:rsidRDefault="007877EB" w:rsidP="00722885">
      <w:pPr>
        <w:pStyle w:val="Iauiue"/>
        <w:jc w:val="both"/>
        <w:rPr>
          <w:i/>
          <w:iCs/>
          <w:color w:val="000000" w:themeColor="text1"/>
          <w:sz w:val="16"/>
          <w:szCs w:val="16"/>
        </w:rPr>
      </w:pPr>
    </w:p>
    <w:p w14:paraId="30C42070" w14:textId="77777777" w:rsidR="007877EB" w:rsidRPr="00722885" w:rsidRDefault="007877E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Середина сентября 1942 британский авианосец HMS Illustrious поддерживает высадку десанта Великобритании во время недели атак на южное побережье Мадагаскара, контролируемого французами Виши (20793).</w:t>
      </w:r>
    </w:p>
    <w:p w14:paraId="6F1D3D6E" w14:textId="77777777" w:rsidR="007877EB" w:rsidRPr="00722885" w:rsidRDefault="007877EB" w:rsidP="00722885">
      <w:pPr>
        <w:spacing w:after="0" w:line="240" w:lineRule="auto"/>
        <w:jc w:val="both"/>
        <w:rPr>
          <w:rFonts w:ascii="Times New Roman" w:hAnsi="Times New Roman"/>
          <w:color w:val="0070C0"/>
          <w:sz w:val="16"/>
          <w:szCs w:val="16"/>
        </w:rPr>
      </w:pPr>
    </w:p>
    <w:p w14:paraId="5CC1C902" w14:textId="375533D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1493FF3" w14:textId="77777777" w:rsidR="00090C9B" w:rsidRPr="00722885" w:rsidRDefault="00090C9B" w:rsidP="00722885">
      <w:pPr>
        <w:pStyle w:val="Iauiue"/>
        <w:jc w:val="both"/>
        <w:rPr>
          <w:iCs/>
          <w:color w:val="000000" w:themeColor="text1"/>
          <w:sz w:val="16"/>
          <w:szCs w:val="16"/>
        </w:rPr>
      </w:pPr>
    </w:p>
    <w:p w14:paraId="4227082C" w14:textId="77777777" w:rsidR="00C56FE3" w:rsidRPr="00722885" w:rsidRDefault="00C56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16 сентября 1942 года продолжались работы по проектированию и подготовке постройки Ил-6, когда были прекращены в связи с переходом в плане опытного строительства «от двухмоторного к одномоторному самолету с мотором АМ-42» (17490).</w:t>
      </w:r>
    </w:p>
    <w:p w14:paraId="6E7150FB" w14:textId="77777777" w:rsidR="00C56FE3" w:rsidRPr="00722885" w:rsidRDefault="00C56FE3" w:rsidP="00722885">
      <w:pPr>
        <w:spacing w:after="0" w:line="240" w:lineRule="auto"/>
        <w:jc w:val="both"/>
        <w:rPr>
          <w:rFonts w:ascii="Times New Roman" w:hAnsi="Times New Roman"/>
          <w:color w:val="000000" w:themeColor="text1"/>
          <w:sz w:val="16"/>
          <w:szCs w:val="16"/>
        </w:rPr>
      </w:pPr>
    </w:p>
    <w:p w14:paraId="0C3C949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16 сентября по 3 октября 1942 года прошли и вой</w:t>
      </w:r>
      <w:r w:rsidRPr="00722885">
        <w:rPr>
          <w:rFonts w:ascii="Times New Roman" w:hAnsi="Times New Roman"/>
          <w:color w:val="000000" w:themeColor="text1"/>
          <w:sz w:val="16"/>
          <w:szCs w:val="16"/>
        </w:rPr>
        <w:softHyphen/>
        <w:t>сковые испытания первых трех серий</w:t>
      </w:r>
      <w:r w:rsidRPr="00722885">
        <w:rPr>
          <w:rFonts w:ascii="Times New Roman" w:hAnsi="Times New Roman"/>
          <w:color w:val="000000" w:themeColor="text1"/>
          <w:sz w:val="16"/>
          <w:szCs w:val="16"/>
        </w:rPr>
        <w:softHyphen/>
        <w:t>ных самолетов Ту-2 (№№101, 102 и 201) в 3-й ВА на Калининском фрон</w:t>
      </w:r>
      <w:r w:rsidRPr="00722885">
        <w:rPr>
          <w:rFonts w:ascii="Times New Roman" w:hAnsi="Times New Roman"/>
          <w:color w:val="000000" w:themeColor="text1"/>
          <w:sz w:val="16"/>
          <w:szCs w:val="16"/>
        </w:rPr>
        <w:softHyphen/>
        <w:t>те. Моторы М-82 на них стояли 1-й серии с электроинерционным само</w:t>
      </w:r>
      <w:r w:rsidRPr="00722885">
        <w:rPr>
          <w:rFonts w:ascii="Times New Roman" w:hAnsi="Times New Roman"/>
          <w:color w:val="000000" w:themeColor="text1"/>
          <w:sz w:val="16"/>
          <w:szCs w:val="16"/>
        </w:rPr>
        <w:softHyphen/>
        <w:t>пуском. За время испытаний в тече</w:t>
      </w:r>
      <w:r w:rsidRPr="00722885">
        <w:rPr>
          <w:rFonts w:ascii="Times New Roman" w:hAnsi="Times New Roman"/>
          <w:color w:val="000000" w:themeColor="text1"/>
          <w:sz w:val="16"/>
          <w:szCs w:val="16"/>
        </w:rPr>
        <w:softHyphen/>
        <w:t>ние 9 летных дней было выполнено 48 самолето-вылетов при общем налете 76 ч 20 мин, из них на боевые зада</w:t>
      </w:r>
      <w:r w:rsidRPr="00722885">
        <w:rPr>
          <w:rFonts w:ascii="Times New Roman" w:hAnsi="Times New Roman"/>
          <w:color w:val="000000" w:themeColor="text1"/>
          <w:sz w:val="16"/>
          <w:szCs w:val="16"/>
        </w:rPr>
        <w:softHyphen/>
        <w:t>ния — 25 вылетов с налетом 64 ч 41 мин. При выполнении боевых действий звеном Ту-2 было сброшено по раз</w:t>
      </w:r>
      <w:r w:rsidRPr="00722885">
        <w:rPr>
          <w:rFonts w:ascii="Times New Roman" w:hAnsi="Times New Roman"/>
          <w:color w:val="000000" w:themeColor="text1"/>
          <w:sz w:val="16"/>
          <w:szCs w:val="16"/>
        </w:rPr>
        <w:softHyphen/>
        <w:t>личным целям 40100 кг бомб калиб</w:t>
      </w:r>
      <w:r w:rsidRPr="00722885">
        <w:rPr>
          <w:rFonts w:ascii="Times New Roman" w:hAnsi="Times New Roman"/>
          <w:color w:val="000000" w:themeColor="text1"/>
          <w:sz w:val="16"/>
          <w:szCs w:val="16"/>
        </w:rPr>
        <w:softHyphen/>
        <w:t>ра от 100 до 1000 кг. Встреч с истре</w:t>
      </w:r>
      <w:r w:rsidRPr="00722885">
        <w:rPr>
          <w:rFonts w:ascii="Times New Roman" w:hAnsi="Times New Roman"/>
          <w:color w:val="000000" w:themeColor="text1"/>
          <w:sz w:val="16"/>
          <w:szCs w:val="16"/>
        </w:rPr>
        <w:softHyphen/>
        <w:t>бителями противника и поражения зенитным огнем в процессе испыта ний не произошло.</w:t>
      </w:r>
    </w:p>
    <w:p w14:paraId="0B1D0B7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 по самолету гласило: «В самолете Ту-2 с двумя мотора</w:t>
      </w:r>
      <w:r w:rsidRPr="00722885">
        <w:rPr>
          <w:rFonts w:ascii="Times New Roman" w:hAnsi="Times New Roman"/>
          <w:color w:val="000000" w:themeColor="text1"/>
          <w:sz w:val="16"/>
          <w:szCs w:val="16"/>
        </w:rPr>
        <w:softHyphen/>
        <w:t>ми М-82 правильно разрешена так</w:t>
      </w:r>
      <w:r w:rsidRPr="00722885">
        <w:rPr>
          <w:rFonts w:ascii="Times New Roman" w:hAnsi="Times New Roman"/>
          <w:color w:val="000000" w:themeColor="text1"/>
          <w:sz w:val="16"/>
          <w:szCs w:val="16"/>
        </w:rPr>
        <w:softHyphen/>
        <w:t>тическая схема современного бомбар</w:t>
      </w:r>
      <w:r w:rsidRPr="00722885">
        <w:rPr>
          <w:rFonts w:ascii="Times New Roman" w:hAnsi="Times New Roman"/>
          <w:color w:val="000000" w:themeColor="text1"/>
          <w:sz w:val="16"/>
          <w:szCs w:val="16"/>
        </w:rPr>
        <w:softHyphen/>
        <w:t>дировщика. Его положительными бо</w:t>
      </w:r>
      <w:r w:rsidRPr="00722885">
        <w:rPr>
          <w:rFonts w:ascii="Times New Roman" w:hAnsi="Times New Roman"/>
          <w:color w:val="000000" w:themeColor="text1"/>
          <w:sz w:val="16"/>
          <w:szCs w:val="16"/>
        </w:rPr>
        <w:softHyphen/>
        <w:t>евыми свойствами являются:</w:t>
      </w:r>
    </w:p>
    <w:p w14:paraId="744CDCC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Большая бомбовая нагрузка при достаточном радиусе действия.</w:t>
      </w:r>
    </w:p>
    <w:p w14:paraId="43BF436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 Наличие моторов воздушного охлаждения.</w:t>
      </w:r>
    </w:p>
    <w:p w14:paraId="1B8A3A7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Хорошая огневая схема, являю</w:t>
      </w:r>
      <w:r w:rsidRPr="00722885">
        <w:rPr>
          <w:rFonts w:ascii="Times New Roman" w:hAnsi="Times New Roman"/>
          <w:color w:val="000000" w:themeColor="text1"/>
          <w:sz w:val="16"/>
          <w:szCs w:val="16"/>
        </w:rPr>
        <w:softHyphen/>
        <w:t>щаяся эффективной при установке тяжелых пулеметов и пушек.</w:t>
      </w:r>
    </w:p>
    <w:p w14:paraId="20F18B7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Экипаж 4 чел. И его размеще</w:t>
      </w:r>
      <w:r w:rsidRPr="00722885">
        <w:rPr>
          <w:rFonts w:ascii="Times New Roman" w:hAnsi="Times New Roman"/>
          <w:color w:val="000000" w:themeColor="text1"/>
          <w:sz w:val="16"/>
          <w:szCs w:val="16"/>
        </w:rPr>
        <w:softHyphen/>
        <w:t>ние, обеспечивающее надежно бое</w:t>
      </w:r>
      <w:r w:rsidRPr="00722885">
        <w:rPr>
          <w:rFonts w:ascii="Times New Roman" w:hAnsi="Times New Roman"/>
          <w:color w:val="000000" w:themeColor="text1"/>
          <w:sz w:val="16"/>
          <w:szCs w:val="16"/>
        </w:rPr>
        <w:softHyphen/>
        <w:t>вую работу штурману и летчику.</w:t>
      </w:r>
    </w:p>
    <w:p w14:paraId="6D815DA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Возможность полета на одном моторе.</w:t>
      </w:r>
    </w:p>
    <w:p w14:paraId="16F3AE2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Легкость освоения летным со</w:t>
      </w:r>
      <w:r w:rsidRPr="00722885">
        <w:rPr>
          <w:rFonts w:ascii="Times New Roman" w:hAnsi="Times New Roman"/>
          <w:color w:val="000000" w:themeColor="text1"/>
          <w:sz w:val="16"/>
          <w:szCs w:val="16"/>
        </w:rPr>
        <w:softHyphen/>
        <w:t>ставом после самолета Пе-2...</w:t>
      </w:r>
    </w:p>
    <w:p w14:paraId="1D6E102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Благодаря наличию моторов воз</w:t>
      </w:r>
      <w:r w:rsidRPr="00722885">
        <w:rPr>
          <w:rFonts w:ascii="Times New Roman" w:hAnsi="Times New Roman"/>
          <w:color w:val="000000" w:themeColor="text1"/>
          <w:sz w:val="16"/>
          <w:szCs w:val="16"/>
        </w:rPr>
        <w:softHyphen/>
        <w:t>душного охлаждения самолет Ту-2 имеет повышенную живучесть по от</w:t>
      </w:r>
      <w:r w:rsidRPr="00722885">
        <w:rPr>
          <w:rFonts w:ascii="Times New Roman" w:hAnsi="Times New Roman"/>
          <w:color w:val="000000" w:themeColor="text1"/>
          <w:sz w:val="16"/>
          <w:szCs w:val="16"/>
        </w:rPr>
        <w:softHyphen/>
        <w:t>ношению однотипного самолета с моторами жидкостного охлаждения (напр. Пе-2). Однако живучесть са</w:t>
      </w:r>
      <w:r w:rsidRPr="00722885">
        <w:rPr>
          <w:rFonts w:ascii="Times New Roman" w:hAnsi="Times New Roman"/>
          <w:color w:val="000000" w:themeColor="text1"/>
          <w:sz w:val="16"/>
          <w:szCs w:val="16"/>
        </w:rPr>
        <w:softHyphen/>
        <w:t>молета Ту-2 значительно снижается уязвимостью бензосистемы и систе</w:t>
      </w:r>
      <w:r w:rsidRPr="00722885">
        <w:rPr>
          <w:rFonts w:ascii="Times New Roman" w:hAnsi="Times New Roman"/>
          <w:color w:val="000000" w:themeColor="text1"/>
          <w:sz w:val="16"/>
          <w:szCs w:val="16"/>
        </w:rPr>
        <w:softHyphen/>
        <w:t>мы гидравлики...»</w:t>
      </w:r>
    </w:p>
    <w:p w14:paraId="226D674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Моторы М-82 в процессе испыта</w:t>
      </w:r>
      <w:r w:rsidRPr="00722885">
        <w:rPr>
          <w:rFonts w:ascii="Times New Roman" w:hAnsi="Times New Roman"/>
          <w:color w:val="000000" w:themeColor="text1"/>
          <w:sz w:val="16"/>
          <w:szCs w:val="16"/>
        </w:rPr>
        <w:softHyphen/>
        <w:t>ний Ту-2 работали надежно. Темпе</w:t>
      </w:r>
      <w:r w:rsidRPr="00722885">
        <w:rPr>
          <w:rFonts w:ascii="Times New Roman" w:hAnsi="Times New Roman"/>
          <w:color w:val="000000" w:themeColor="text1"/>
          <w:sz w:val="16"/>
          <w:szCs w:val="16"/>
        </w:rPr>
        <w:softHyphen/>
        <w:t>ратурные режимы, как правило, сохра</w:t>
      </w:r>
      <w:r w:rsidRPr="00722885">
        <w:rPr>
          <w:rFonts w:ascii="Times New Roman" w:hAnsi="Times New Roman"/>
          <w:color w:val="000000" w:themeColor="text1"/>
          <w:sz w:val="16"/>
          <w:szCs w:val="16"/>
        </w:rPr>
        <w:softHyphen/>
        <w:t>нялись в пределах нормы. Во второй части испытаний на отдельных мото</w:t>
      </w:r>
      <w:r w:rsidRPr="00722885">
        <w:rPr>
          <w:rFonts w:ascii="Times New Roman" w:hAnsi="Times New Roman"/>
          <w:color w:val="000000" w:themeColor="text1"/>
          <w:sz w:val="16"/>
          <w:szCs w:val="16"/>
        </w:rPr>
        <w:softHyphen/>
        <w:t>рах наблюдалась тряска. Причинами тряски являлись: преждевременный выход из строя свечей ВГ-12 (через 10-12 часов), биение коков винтов из-за плохой балансировки и быстрого износа центрирующих колец, наруше</w:t>
      </w:r>
      <w:r w:rsidRPr="00722885">
        <w:rPr>
          <w:rFonts w:ascii="Times New Roman" w:hAnsi="Times New Roman"/>
          <w:color w:val="000000" w:themeColor="text1"/>
          <w:sz w:val="16"/>
          <w:szCs w:val="16"/>
        </w:rPr>
        <w:softHyphen/>
        <w:t>ние регулировки зазоров газорасп</w:t>
      </w:r>
      <w:r w:rsidRPr="00722885">
        <w:rPr>
          <w:rFonts w:ascii="Times New Roman" w:hAnsi="Times New Roman"/>
          <w:color w:val="000000" w:themeColor="text1"/>
          <w:sz w:val="16"/>
          <w:szCs w:val="16"/>
        </w:rPr>
        <w:softHyphen/>
        <w:t>ределения ранее гарантированных заводом сроков на одном моторе через 20 часов вместо 50-ти. При этом моторы работали в до</w:t>
      </w:r>
      <w:r w:rsidRPr="00722885">
        <w:rPr>
          <w:rFonts w:ascii="Times New Roman" w:hAnsi="Times New Roman"/>
          <w:color w:val="000000" w:themeColor="text1"/>
          <w:sz w:val="16"/>
          <w:szCs w:val="16"/>
        </w:rPr>
        <w:softHyphen/>
        <w:t>вольно щадящем режиме. Даже взле</w:t>
      </w:r>
      <w:r w:rsidRPr="00722885">
        <w:rPr>
          <w:rFonts w:ascii="Times New Roman" w:hAnsi="Times New Roman"/>
          <w:color w:val="000000" w:themeColor="text1"/>
          <w:sz w:val="16"/>
          <w:szCs w:val="16"/>
        </w:rPr>
        <w:softHyphen/>
        <w:t>ты с наружной подвеской 2-х ФАБ-1000 производились с бетонной дорожки аэродрома Мигалово без фор</w:t>
      </w:r>
      <w:r w:rsidRPr="00722885">
        <w:rPr>
          <w:rFonts w:ascii="Times New Roman" w:hAnsi="Times New Roman"/>
          <w:color w:val="000000" w:themeColor="text1"/>
          <w:sz w:val="16"/>
          <w:szCs w:val="16"/>
        </w:rPr>
        <w:softHyphen/>
        <w:t>сажа, что увеличивало длину разбега до 1200-1300 м. Испытаниями была установлена относительно большая длительность подготовки самолетов к боевому вы</w:t>
      </w:r>
      <w:r w:rsidRPr="00722885">
        <w:rPr>
          <w:rFonts w:ascii="Times New Roman" w:hAnsi="Times New Roman"/>
          <w:color w:val="000000" w:themeColor="text1"/>
          <w:sz w:val="16"/>
          <w:szCs w:val="16"/>
        </w:rPr>
        <w:softHyphen/>
        <w:t>лету главным образом по причине ненадежности электроинерционного самопуска РИМ-24, который при тем</w:t>
      </w:r>
      <w:r w:rsidRPr="00722885">
        <w:rPr>
          <w:rFonts w:ascii="Times New Roman" w:hAnsi="Times New Roman"/>
          <w:color w:val="000000" w:themeColor="text1"/>
          <w:sz w:val="16"/>
          <w:szCs w:val="16"/>
        </w:rPr>
        <w:softHyphen/>
        <w:t>пературах воздуха ниже +10 °С не обеспечивал запуск моторов. Подго</w:t>
      </w:r>
      <w:r w:rsidRPr="00722885">
        <w:rPr>
          <w:rFonts w:ascii="Times New Roman" w:hAnsi="Times New Roman"/>
          <w:color w:val="000000" w:themeColor="text1"/>
          <w:sz w:val="16"/>
          <w:szCs w:val="16"/>
        </w:rPr>
        <w:softHyphen/>
        <w:t>товка к повторному вылету осложня</w:t>
      </w:r>
      <w:r w:rsidRPr="00722885">
        <w:rPr>
          <w:rFonts w:ascii="Times New Roman" w:hAnsi="Times New Roman"/>
          <w:color w:val="000000" w:themeColor="text1"/>
          <w:sz w:val="16"/>
          <w:szCs w:val="16"/>
        </w:rPr>
        <w:softHyphen/>
        <w:t>лась процессом заправки горючим. Неудовлетворительная работа бензи-номеров и пропускание обратных клапанов заставляли заливать бен</w:t>
      </w:r>
      <w:r w:rsidRPr="00722885">
        <w:rPr>
          <w:rFonts w:ascii="Times New Roman" w:hAnsi="Times New Roman"/>
          <w:color w:val="000000" w:themeColor="text1"/>
          <w:sz w:val="16"/>
          <w:szCs w:val="16"/>
        </w:rPr>
        <w:softHyphen/>
        <w:t>зобаки горючим полностью, а затем сливать его до требуемого количества. Полученные при испытаниях дан</w:t>
      </w:r>
      <w:r w:rsidRPr="00722885">
        <w:rPr>
          <w:rFonts w:ascii="Times New Roman" w:hAnsi="Times New Roman"/>
          <w:color w:val="000000" w:themeColor="text1"/>
          <w:sz w:val="16"/>
          <w:szCs w:val="16"/>
        </w:rPr>
        <w:softHyphen/>
        <w:t>ные расходов горючего в основном подтверждали результаты испытаний, проведенных в НИИ ВВС. Расход го</w:t>
      </w:r>
      <w:r w:rsidRPr="00722885">
        <w:rPr>
          <w:rFonts w:ascii="Times New Roman" w:hAnsi="Times New Roman"/>
          <w:color w:val="000000" w:themeColor="text1"/>
          <w:sz w:val="16"/>
          <w:szCs w:val="16"/>
        </w:rPr>
        <w:softHyphen/>
        <w:t>рючего у ведомых самолетов превы</w:t>
      </w:r>
      <w:r w:rsidRPr="00722885">
        <w:rPr>
          <w:rFonts w:ascii="Times New Roman" w:hAnsi="Times New Roman"/>
          <w:color w:val="000000" w:themeColor="text1"/>
          <w:sz w:val="16"/>
          <w:szCs w:val="16"/>
        </w:rPr>
        <w:softHyphen/>
        <w:t>шал на 7-8% расход ведущего само</w:t>
      </w:r>
      <w:r w:rsidRPr="00722885">
        <w:rPr>
          <w:rFonts w:ascii="Times New Roman" w:hAnsi="Times New Roman"/>
          <w:color w:val="000000" w:themeColor="text1"/>
          <w:sz w:val="16"/>
          <w:szCs w:val="16"/>
        </w:rPr>
        <w:softHyphen/>
        <w:t>лета. Управление секторами нормального газа в кабине летчика требовало больших усилий, что делало почти не</w:t>
      </w:r>
      <w:r w:rsidRPr="00722885">
        <w:rPr>
          <w:rFonts w:ascii="Times New Roman" w:hAnsi="Times New Roman"/>
          <w:color w:val="000000" w:themeColor="text1"/>
          <w:sz w:val="16"/>
          <w:szCs w:val="16"/>
        </w:rPr>
        <w:softHyphen/>
        <w:t>возможным полет в строю на близ</w:t>
      </w:r>
      <w:r w:rsidRPr="00722885">
        <w:rPr>
          <w:rFonts w:ascii="Times New Roman" w:hAnsi="Times New Roman"/>
          <w:color w:val="000000" w:themeColor="text1"/>
          <w:sz w:val="16"/>
          <w:szCs w:val="16"/>
        </w:rPr>
        <w:softHyphen/>
        <w:t>ких дистанциях. Испытания показали исключитель</w:t>
      </w:r>
      <w:r w:rsidRPr="00722885">
        <w:rPr>
          <w:rFonts w:ascii="Times New Roman" w:hAnsi="Times New Roman"/>
          <w:color w:val="000000" w:themeColor="text1"/>
          <w:sz w:val="16"/>
          <w:szCs w:val="16"/>
        </w:rPr>
        <w:softHyphen/>
        <w:t>но трудный подход к агрегатам, рас</w:t>
      </w:r>
      <w:r w:rsidRPr="00722885">
        <w:rPr>
          <w:rFonts w:ascii="Times New Roman" w:hAnsi="Times New Roman"/>
          <w:color w:val="000000" w:themeColor="text1"/>
          <w:sz w:val="16"/>
          <w:szCs w:val="16"/>
        </w:rPr>
        <w:softHyphen/>
        <w:t>положенным на задней крышке кар</w:t>
      </w:r>
      <w:r w:rsidRPr="00722885">
        <w:rPr>
          <w:rFonts w:ascii="Times New Roman" w:hAnsi="Times New Roman"/>
          <w:color w:val="000000" w:themeColor="text1"/>
          <w:sz w:val="16"/>
          <w:szCs w:val="16"/>
        </w:rPr>
        <w:softHyphen/>
        <w:t>тера мотора, что удлиняло время мон</w:t>
      </w:r>
      <w:r w:rsidRPr="00722885">
        <w:rPr>
          <w:rFonts w:ascii="Times New Roman" w:hAnsi="Times New Roman"/>
          <w:color w:val="000000" w:themeColor="text1"/>
          <w:sz w:val="16"/>
          <w:szCs w:val="16"/>
        </w:rPr>
        <w:softHyphen/>
        <w:t>тажа и демонтажа агрегатов, устра</w:t>
      </w:r>
      <w:r w:rsidRPr="00722885">
        <w:rPr>
          <w:rFonts w:ascii="Times New Roman" w:hAnsi="Times New Roman"/>
          <w:color w:val="000000" w:themeColor="text1"/>
          <w:sz w:val="16"/>
          <w:szCs w:val="16"/>
        </w:rPr>
        <w:softHyphen/>
        <w:t>нение дефектов на них. Так, напри</w:t>
      </w:r>
      <w:r w:rsidRPr="00722885">
        <w:rPr>
          <w:rFonts w:ascii="Times New Roman" w:hAnsi="Times New Roman"/>
          <w:color w:val="000000" w:themeColor="text1"/>
          <w:sz w:val="16"/>
          <w:szCs w:val="16"/>
        </w:rPr>
        <w:softHyphen/>
        <w:t>мер: замена прокладки агрегата трой</w:t>
      </w:r>
      <w:r w:rsidRPr="00722885">
        <w:rPr>
          <w:rFonts w:ascii="Times New Roman" w:hAnsi="Times New Roman"/>
          <w:color w:val="000000" w:themeColor="text1"/>
          <w:sz w:val="16"/>
          <w:szCs w:val="16"/>
        </w:rPr>
        <w:softHyphen/>
        <w:t>ного привода потребовала около 6 часов, а подтяжка гаек крепления РИМ-24, ГС-1000 и ПЦН требовала слива масла и снятия масляного бака. В качестве недостатка отмечалась также незащищенность агрегатов ВМГ, расположенных между задней крыш</w:t>
      </w:r>
      <w:r w:rsidRPr="00722885">
        <w:rPr>
          <w:rFonts w:ascii="Times New Roman" w:hAnsi="Times New Roman"/>
          <w:color w:val="000000" w:themeColor="text1"/>
          <w:sz w:val="16"/>
          <w:szCs w:val="16"/>
        </w:rPr>
        <w:softHyphen/>
        <w:t>кой картера мотора и противопожар</w:t>
      </w:r>
      <w:r w:rsidRPr="00722885">
        <w:rPr>
          <w:rFonts w:ascii="Times New Roman" w:hAnsi="Times New Roman"/>
          <w:color w:val="000000" w:themeColor="text1"/>
          <w:sz w:val="16"/>
          <w:szCs w:val="16"/>
        </w:rPr>
        <w:softHyphen/>
        <w:t>ной перегородкой. В целом Ту-2 получил положитель</w:t>
      </w:r>
      <w:r w:rsidRPr="00722885">
        <w:rPr>
          <w:rFonts w:ascii="Times New Roman" w:hAnsi="Times New Roman"/>
          <w:color w:val="000000" w:themeColor="text1"/>
          <w:sz w:val="16"/>
          <w:szCs w:val="16"/>
        </w:rPr>
        <w:softHyphen/>
        <w:t>ную оценку, но отчет по испытаниям был утвержден Главным инженером ВВС КА А.К. Репиным только 11 ок</w:t>
      </w:r>
      <w:r w:rsidRPr="00722885">
        <w:rPr>
          <w:rFonts w:ascii="Times New Roman" w:hAnsi="Times New Roman"/>
          <w:color w:val="000000" w:themeColor="text1"/>
          <w:sz w:val="16"/>
          <w:szCs w:val="16"/>
        </w:rPr>
        <w:softHyphen/>
        <w:t>тября 1942 года (10699).</w:t>
      </w:r>
    </w:p>
    <w:p w14:paraId="5A20E05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A4B74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16 сентября по 3 октября 1942 проводились войсковые испытания Ту-2 на Калининском фронте (438,858).</w:t>
      </w:r>
    </w:p>
    <w:p w14:paraId="7BD34899" w14:textId="77777777" w:rsidR="00090C9B" w:rsidRPr="00722885" w:rsidRDefault="00090C9B" w:rsidP="00722885">
      <w:pPr>
        <w:pStyle w:val="Iauiue"/>
        <w:jc w:val="both"/>
        <w:rPr>
          <w:color w:val="000000" w:themeColor="text1"/>
          <w:sz w:val="16"/>
          <w:szCs w:val="16"/>
        </w:rPr>
      </w:pPr>
    </w:p>
    <w:p w14:paraId="24811876" w14:textId="77777777" w:rsidR="007877EB" w:rsidRPr="00722885" w:rsidRDefault="007877E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16 сентября 1942 Ту-2 совершили первый боевой вылет в ходе второго этапа войсковых испытаний на Кали</w:t>
      </w:r>
      <w:r w:rsidRPr="00722885">
        <w:rPr>
          <w:rFonts w:ascii="Times New Roman" w:hAnsi="Times New Roman"/>
          <w:color w:val="0070C0"/>
          <w:sz w:val="16"/>
          <w:szCs w:val="16"/>
          <w:lang w:eastAsia="ru-RU" w:bidi="ru-RU"/>
        </w:rPr>
        <w:softHyphen/>
        <w:t>нинском фронте, где действовала 5-я воз</w:t>
      </w:r>
      <w:r w:rsidRPr="00722885">
        <w:rPr>
          <w:rFonts w:ascii="Times New Roman" w:hAnsi="Times New Roman"/>
          <w:color w:val="0070C0"/>
          <w:sz w:val="16"/>
          <w:szCs w:val="16"/>
          <w:lang w:eastAsia="ru-RU" w:bidi="ru-RU"/>
        </w:rPr>
        <w:softHyphen/>
        <w:t>душная армия. Обычно машины использо</w:t>
      </w:r>
      <w:r w:rsidRPr="00722885">
        <w:rPr>
          <w:rFonts w:ascii="Times New Roman" w:hAnsi="Times New Roman"/>
          <w:color w:val="0070C0"/>
          <w:sz w:val="16"/>
          <w:szCs w:val="16"/>
          <w:lang w:eastAsia="ru-RU" w:bidi="ru-RU"/>
        </w:rPr>
        <w:softHyphen/>
        <w:t>вались для бомбометания днем с гори</w:t>
      </w:r>
      <w:r w:rsidRPr="00722885">
        <w:rPr>
          <w:rFonts w:ascii="Times New Roman" w:hAnsi="Times New Roman"/>
          <w:color w:val="0070C0"/>
          <w:sz w:val="16"/>
          <w:szCs w:val="16"/>
          <w:lang w:eastAsia="ru-RU" w:bidi="ru-RU"/>
        </w:rPr>
        <w:softHyphen/>
        <w:t>зонтального полета. В зависимости от задания брали от 1000 до 2000 кг бомб. Всего за период испытаний совершили 25 боевых вылетов - примерно по од</w:t>
      </w:r>
      <w:r w:rsidRPr="00722885">
        <w:rPr>
          <w:rFonts w:ascii="Times New Roman" w:hAnsi="Times New Roman"/>
          <w:color w:val="0070C0"/>
          <w:sz w:val="16"/>
          <w:szCs w:val="16"/>
          <w:lang w:eastAsia="ru-RU" w:bidi="ru-RU"/>
        </w:rPr>
        <w:softHyphen/>
        <w:t>ному на самолет в сутки, при средней дальности 500 км.</w:t>
      </w:r>
    </w:p>
    <w:p w14:paraId="07942390" w14:textId="77777777" w:rsidR="007877EB" w:rsidRPr="00722885" w:rsidRDefault="007877E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Первоначально Ту-2 обязательно со</w:t>
      </w:r>
      <w:r w:rsidRPr="00722885">
        <w:rPr>
          <w:rFonts w:ascii="Times New Roman" w:hAnsi="Times New Roman"/>
          <w:color w:val="0070C0"/>
          <w:sz w:val="16"/>
          <w:szCs w:val="16"/>
          <w:lang w:eastAsia="ru-RU" w:bidi="ru-RU"/>
        </w:rPr>
        <w:softHyphen/>
        <w:t>провождали истребители, позже их стали выпускать и самостоятельно. Машины по</w:t>
      </w:r>
      <w:r w:rsidRPr="00722885">
        <w:rPr>
          <w:rFonts w:ascii="Times New Roman" w:hAnsi="Times New Roman"/>
          <w:color w:val="0070C0"/>
          <w:sz w:val="16"/>
          <w:szCs w:val="16"/>
          <w:lang w:eastAsia="ru-RU" w:bidi="ru-RU"/>
        </w:rPr>
        <w:softHyphen/>
        <w:t>падали под обстрел зенитной артиллерии, сталкивались с истребителями противника, но потерь не имели.</w:t>
      </w:r>
    </w:p>
    <w:p w14:paraId="592503BB" w14:textId="77777777" w:rsidR="007877EB" w:rsidRPr="00722885" w:rsidRDefault="007877E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 некоторых полетах участвовали лет</w:t>
      </w:r>
      <w:r w:rsidRPr="00722885">
        <w:rPr>
          <w:rFonts w:ascii="Times New Roman" w:hAnsi="Times New Roman"/>
          <w:color w:val="0070C0"/>
          <w:sz w:val="16"/>
          <w:szCs w:val="16"/>
          <w:lang w:eastAsia="ru-RU" w:bidi="ru-RU"/>
        </w:rPr>
        <w:softHyphen/>
        <w:t>чики 128-го полка, которые могли при этом сравнить два типа бомбардировщи</w:t>
      </w:r>
      <w:r w:rsidRPr="00722885">
        <w:rPr>
          <w:rFonts w:ascii="Times New Roman" w:hAnsi="Times New Roman"/>
          <w:color w:val="0070C0"/>
          <w:sz w:val="16"/>
          <w:szCs w:val="16"/>
          <w:lang w:eastAsia="ru-RU" w:bidi="ru-RU"/>
        </w:rPr>
        <w:softHyphen/>
        <w:t>ков: свои Пе-2 и новые Ту-2.</w:t>
      </w:r>
    </w:p>
    <w:p w14:paraId="7C0D1484" w14:textId="77777777" w:rsidR="007877EB" w:rsidRPr="00722885" w:rsidRDefault="007877E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 ходе испытаний Ту-2 наглядно про</w:t>
      </w:r>
      <w:r w:rsidRPr="00722885">
        <w:rPr>
          <w:rFonts w:ascii="Times New Roman" w:hAnsi="Times New Roman"/>
          <w:color w:val="0070C0"/>
          <w:sz w:val="16"/>
          <w:szCs w:val="16"/>
          <w:lang w:eastAsia="ru-RU" w:bidi="ru-RU"/>
        </w:rPr>
        <w:softHyphen/>
        <w:t>демонстрировали свои возможности. Са</w:t>
      </w:r>
      <w:r w:rsidRPr="00722885">
        <w:rPr>
          <w:rFonts w:ascii="Times New Roman" w:hAnsi="Times New Roman"/>
          <w:color w:val="0070C0"/>
          <w:sz w:val="16"/>
          <w:szCs w:val="16"/>
          <w:lang w:eastAsia="ru-RU" w:bidi="ru-RU"/>
        </w:rPr>
        <w:softHyphen/>
        <w:t>молеты атаковали железнодорожные станции, мосты, склады и аэродромы. Они сбрасывали бомбы всех калибров вплоть до 1000 кг с наружной и внутренней под</w:t>
      </w:r>
      <w:r w:rsidRPr="00722885">
        <w:rPr>
          <w:rFonts w:ascii="Times New Roman" w:hAnsi="Times New Roman"/>
          <w:color w:val="0070C0"/>
          <w:sz w:val="16"/>
          <w:szCs w:val="16"/>
          <w:lang w:eastAsia="ru-RU" w:bidi="ru-RU"/>
        </w:rPr>
        <w:softHyphen/>
        <w:t>вески. Всего за период испытаний на врага обрушили более 40 т боеприпасов. Пе-2 мог брать бомбы не крупнее 500 кг и при бомбометании с пикирования нес их только снаружи. По подсчетам, в сред</w:t>
      </w:r>
      <w:r w:rsidRPr="00722885">
        <w:rPr>
          <w:rFonts w:ascii="Times New Roman" w:hAnsi="Times New Roman"/>
          <w:color w:val="0070C0"/>
          <w:sz w:val="16"/>
          <w:szCs w:val="16"/>
          <w:lang w:eastAsia="ru-RU" w:bidi="ru-RU"/>
        </w:rPr>
        <w:softHyphen/>
        <w:t>нем в каждом вылете туполевская ма</w:t>
      </w:r>
      <w:r w:rsidRPr="00722885">
        <w:rPr>
          <w:rFonts w:ascii="Times New Roman" w:hAnsi="Times New Roman"/>
          <w:color w:val="0070C0"/>
          <w:sz w:val="16"/>
          <w:szCs w:val="16"/>
          <w:lang w:eastAsia="ru-RU" w:bidi="ru-RU"/>
        </w:rPr>
        <w:softHyphen/>
        <w:t>шина заменяла 2,5 Пе-2.</w:t>
      </w:r>
    </w:p>
    <w:p w14:paraId="1CD90843" w14:textId="77777777" w:rsidR="007877EB" w:rsidRPr="00722885" w:rsidRDefault="007877E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Возможность подвески крупнокали</w:t>
      </w:r>
      <w:r w:rsidRPr="00722885">
        <w:rPr>
          <w:rFonts w:ascii="Times New Roman" w:hAnsi="Times New Roman"/>
          <w:color w:val="0070C0"/>
          <w:sz w:val="16"/>
          <w:szCs w:val="16"/>
          <w:lang w:eastAsia="ru-RU" w:bidi="ru-RU"/>
        </w:rPr>
        <w:softHyphen/>
        <w:t>берных бомб была эффективно исполь</w:t>
      </w:r>
      <w:r w:rsidRPr="00722885">
        <w:rPr>
          <w:rFonts w:ascii="Times New Roman" w:hAnsi="Times New Roman"/>
          <w:color w:val="0070C0"/>
          <w:sz w:val="16"/>
          <w:szCs w:val="16"/>
          <w:lang w:eastAsia="ru-RU" w:bidi="ru-RU"/>
        </w:rPr>
        <w:softHyphen/>
        <w:t>зована при налете на немецкий под</w:t>
      </w:r>
      <w:r w:rsidRPr="00722885">
        <w:rPr>
          <w:rFonts w:ascii="Times New Roman" w:hAnsi="Times New Roman"/>
          <w:color w:val="0070C0"/>
          <w:sz w:val="16"/>
          <w:szCs w:val="16"/>
          <w:lang w:eastAsia="ru-RU" w:bidi="ru-RU"/>
        </w:rPr>
        <w:softHyphen/>
        <w:t>земный склад горючего у деревни Тро стено 27 сентября 1942 г. Его несколько раз бомбили Пе-2, использовавшие бомбы ФАБ-100, но безрезультатно. Ре</w:t>
      </w:r>
      <w:r w:rsidRPr="00722885">
        <w:rPr>
          <w:rFonts w:ascii="Times New Roman" w:hAnsi="Times New Roman"/>
          <w:color w:val="0070C0"/>
          <w:sz w:val="16"/>
          <w:szCs w:val="16"/>
          <w:lang w:eastAsia="ru-RU" w:bidi="ru-RU"/>
        </w:rPr>
        <w:softHyphen/>
        <w:t>шили попробовать взорвать его бомбами ФАБ-1000 с Ту-2. Тройку бомбардиров</w:t>
      </w:r>
      <w:r w:rsidRPr="00722885">
        <w:rPr>
          <w:rFonts w:ascii="Times New Roman" w:hAnsi="Times New Roman"/>
          <w:color w:val="0070C0"/>
          <w:sz w:val="16"/>
          <w:szCs w:val="16"/>
          <w:lang w:eastAsia="ru-RU" w:bidi="ru-RU"/>
        </w:rPr>
        <w:softHyphen/>
        <w:t>щиков сопровождали десять истребите</w:t>
      </w:r>
      <w:r w:rsidRPr="00722885">
        <w:rPr>
          <w:rFonts w:ascii="Times New Roman" w:hAnsi="Times New Roman"/>
          <w:color w:val="0070C0"/>
          <w:sz w:val="16"/>
          <w:szCs w:val="16"/>
          <w:lang w:eastAsia="ru-RU" w:bidi="ru-RU"/>
        </w:rPr>
        <w:softHyphen/>
        <w:t xml:space="preserve">лей ЛаГГ-5. Командиру прикрытия пригрозили, что за каждый потерянный Ту-2 он ответит головой. Голова у него была всего одна. Когда группу перехватили девять немецких истребителей </w:t>
      </w:r>
      <w:r w:rsidRPr="00722885">
        <w:rPr>
          <w:rFonts w:ascii="Times New Roman" w:hAnsi="Times New Roman"/>
          <w:color w:val="0070C0"/>
          <w:sz w:val="16"/>
          <w:szCs w:val="16"/>
          <w:lang w:val="en-US" w:bidi="en-US"/>
        </w:rPr>
        <w:t>Bf</w:t>
      </w:r>
      <w:r w:rsidRPr="00722885">
        <w:rPr>
          <w:rFonts w:ascii="Times New Roman" w:hAnsi="Times New Roman"/>
          <w:color w:val="0070C0"/>
          <w:sz w:val="16"/>
          <w:szCs w:val="16"/>
          <w:lang w:bidi="en-US"/>
        </w:rPr>
        <w:t xml:space="preserve"> </w:t>
      </w:r>
      <w:r w:rsidRPr="00722885">
        <w:rPr>
          <w:rFonts w:ascii="Times New Roman" w:hAnsi="Times New Roman"/>
          <w:color w:val="0070C0"/>
          <w:sz w:val="16"/>
          <w:szCs w:val="16"/>
          <w:lang w:eastAsia="ru-RU" w:bidi="ru-RU"/>
        </w:rPr>
        <w:t>109, часть нем</w:t>
      </w:r>
      <w:r w:rsidRPr="00722885">
        <w:rPr>
          <w:rFonts w:ascii="Times New Roman" w:hAnsi="Times New Roman"/>
          <w:color w:val="0070C0"/>
          <w:sz w:val="16"/>
          <w:szCs w:val="16"/>
          <w:lang w:eastAsia="ru-RU" w:bidi="ru-RU"/>
        </w:rPr>
        <w:softHyphen/>
        <w:t>цев попыталась оттеснить ЛаГГ-5, а другая ринулась к бомбардировщикам. Но ото</w:t>
      </w:r>
      <w:r w:rsidRPr="00722885">
        <w:rPr>
          <w:rFonts w:ascii="Times New Roman" w:hAnsi="Times New Roman"/>
          <w:color w:val="0070C0"/>
          <w:sz w:val="16"/>
          <w:szCs w:val="16"/>
          <w:lang w:eastAsia="ru-RU" w:bidi="ru-RU"/>
        </w:rPr>
        <w:softHyphen/>
        <w:t>рвать эскорт от Ту-2 не удалось. Совмест</w:t>
      </w:r>
      <w:r w:rsidRPr="00722885">
        <w:rPr>
          <w:rFonts w:ascii="Times New Roman" w:hAnsi="Times New Roman"/>
          <w:color w:val="0070C0"/>
          <w:sz w:val="16"/>
          <w:szCs w:val="16"/>
          <w:lang w:eastAsia="ru-RU" w:bidi="ru-RU"/>
        </w:rPr>
        <w:softHyphen/>
        <w:t>ными усилиями советских истребителей и стрелков на бомбардировщиках против</w:t>
      </w:r>
      <w:r w:rsidRPr="00722885">
        <w:rPr>
          <w:rFonts w:ascii="Times New Roman" w:hAnsi="Times New Roman"/>
          <w:color w:val="0070C0"/>
          <w:sz w:val="16"/>
          <w:szCs w:val="16"/>
          <w:lang w:eastAsia="ru-RU" w:bidi="ru-RU"/>
        </w:rPr>
        <w:softHyphen/>
        <w:t>ника отогнали. Экипажи успешно сбро</w:t>
      </w:r>
      <w:r w:rsidRPr="00722885">
        <w:rPr>
          <w:rFonts w:ascii="Times New Roman" w:hAnsi="Times New Roman"/>
          <w:color w:val="0070C0"/>
          <w:sz w:val="16"/>
          <w:szCs w:val="16"/>
          <w:lang w:eastAsia="ru-RU" w:bidi="ru-RU"/>
        </w:rPr>
        <w:softHyphen/>
        <w:t>сили бомбы на цель. Склад взлетел на воздух. Все три Ту-2 без помех вернулись в Мигалово.</w:t>
      </w:r>
    </w:p>
    <w:p w14:paraId="4D1EB301" w14:textId="77777777" w:rsidR="007877EB" w:rsidRPr="00722885" w:rsidRDefault="007877E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Громов не удержался и лично опро</w:t>
      </w:r>
      <w:r w:rsidRPr="00722885">
        <w:rPr>
          <w:rFonts w:ascii="Times New Roman" w:hAnsi="Times New Roman"/>
          <w:color w:val="0070C0"/>
          <w:sz w:val="16"/>
          <w:szCs w:val="16"/>
          <w:lang w:eastAsia="ru-RU" w:bidi="ru-RU"/>
        </w:rPr>
        <w:softHyphen/>
        <w:t>бовал новый самолет, отозвавшись о нем очень хорошо. В своих мемуарах он по</w:t>
      </w:r>
      <w:r w:rsidRPr="00722885">
        <w:rPr>
          <w:rFonts w:ascii="Times New Roman" w:hAnsi="Times New Roman"/>
          <w:color w:val="0070C0"/>
          <w:sz w:val="16"/>
          <w:szCs w:val="16"/>
          <w:lang w:eastAsia="ru-RU" w:bidi="ru-RU"/>
        </w:rPr>
        <w:softHyphen/>
        <w:t>том написал: «Я сам летал на Ту-2 с боль</w:t>
      </w:r>
      <w:r w:rsidRPr="00722885">
        <w:rPr>
          <w:rFonts w:ascii="Times New Roman" w:hAnsi="Times New Roman"/>
          <w:color w:val="0070C0"/>
          <w:sz w:val="16"/>
          <w:szCs w:val="16"/>
          <w:lang w:eastAsia="ru-RU" w:bidi="ru-RU"/>
        </w:rPr>
        <w:softHyphen/>
        <w:t>шим удовольствием».</w:t>
      </w:r>
    </w:p>
    <w:p w14:paraId="2DC5FDD6" w14:textId="77777777" w:rsidR="007877EB" w:rsidRPr="00722885" w:rsidRDefault="007877E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 отчете о войсковых испытаниях но</w:t>
      </w:r>
      <w:r w:rsidRPr="00722885">
        <w:rPr>
          <w:rFonts w:ascii="Times New Roman" w:hAnsi="Times New Roman"/>
          <w:color w:val="0070C0"/>
          <w:sz w:val="16"/>
          <w:szCs w:val="16"/>
          <w:lang w:eastAsia="ru-RU" w:bidi="ru-RU"/>
        </w:rPr>
        <w:softHyphen/>
        <w:t>вый бомбардировщик получил высокую оценку. В нем содержалась весьма при</w:t>
      </w:r>
      <w:r w:rsidRPr="00722885">
        <w:rPr>
          <w:rFonts w:ascii="Times New Roman" w:hAnsi="Times New Roman"/>
          <w:color w:val="0070C0"/>
          <w:sz w:val="16"/>
          <w:szCs w:val="16"/>
          <w:lang w:eastAsia="ru-RU" w:bidi="ru-RU"/>
        </w:rPr>
        <w:softHyphen/>
        <w:t>мечательная фраза: «Считать необходи</w:t>
      </w:r>
      <w:r w:rsidRPr="00722885">
        <w:rPr>
          <w:rFonts w:ascii="Times New Roman" w:hAnsi="Times New Roman"/>
          <w:color w:val="0070C0"/>
          <w:sz w:val="16"/>
          <w:szCs w:val="16"/>
          <w:lang w:eastAsia="ru-RU" w:bidi="ru-RU"/>
        </w:rPr>
        <w:softHyphen/>
        <w:t>мым ускорить внедрение самолета Ту-2 в ВВС КА». Среди достоинств самолета от</w:t>
      </w:r>
      <w:r w:rsidRPr="00722885">
        <w:rPr>
          <w:rFonts w:ascii="Times New Roman" w:hAnsi="Times New Roman"/>
          <w:color w:val="0070C0"/>
          <w:sz w:val="16"/>
          <w:szCs w:val="16"/>
          <w:lang w:eastAsia="ru-RU" w:bidi="ru-RU"/>
        </w:rPr>
        <w:softHyphen/>
        <w:t>метили большую бомбовую нагрузку в со</w:t>
      </w:r>
      <w:r w:rsidRPr="00722885">
        <w:rPr>
          <w:rFonts w:ascii="Times New Roman" w:hAnsi="Times New Roman"/>
          <w:color w:val="0070C0"/>
          <w:sz w:val="16"/>
          <w:szCs w:val="16"/>
          <w:lang w:eastAsia="ru-RU" w:bidi="ru-RU"/>
        </w:rPr>
        <w:softHyphen/>
        <w:t>четании со значительной дальностью по</w:t>
      </w:r>
      <w:r w:rsidRPr="00722885">
        <w:rPr>
          <w:rFonts w:ascii="Times New Roman" w:hAnsi="Times New Roman"/>
          <w:color w:val="0070C0"/>
          <w:sz w:val="16"/>
          <w:szCs w:val="16"/>
          <w:lang w:eastAsia="ru-RU" w:bidi="ru-RU"/>
        </w:rPr>
        <w:softHyphen/>
        <w:t>лета, мощные и менее уязвимые моторы воздушного охлаждения, сильное воору</w:t>
      </w:r>
      <w:r w:rsidRPr="00722885">
        <w:rPr>
          <w:rFonts w:ascii="Times New Roman" w:hAnsi="Times New Roman"/>
          <w:color w:val="0070C0"/>
          <w:sz w:val="16"/>
          <w:szCs w:val="16"/>
          <w:lang w:eastAsia="ru-RU" w:bidi="ru-RU"/>
        </w:rPr>
        <w:softHyphen/>
        <w:t>жение, удобное размещение экипажа, хо</w:t>
      </w:r>
      <w:r w:rsidRPr="00722885">
        <w:rPr>
          <w:rFonts w:ascii="Times New Roman" w:hAnsi="Times New Roman"/>
          <w:color w:val="0070C0"/>
          <w:sz w:val="16"/>
          <w:szCs w:val="16"/>
          <w:lang w:eastAsia="ru-RU" w:bidi="ru-RU"/>
        </w:rPr>
        <w:softHyphen/>
        <w:t>рошие летные данные и сравнительную простоту пилотирования. Машина без осо</w:t>
      </w:r>
      <w:r w:rsidRPr="00722885">
        <w:rPr>
          <w:rFonts w:ascii="Times New Roman" w:hAnsi="Times New Roman"/>
          <w:color w:val="0070C0"/>
          <w:sz w:val="16"/>
          <w:szCs w:val="16"/>
          <w:lang w:eastAsia="ru-RU" w:bidi="ru-RU"/>
        </w:rPr>
        <w:softHyphen/>
        <w:t>бых проблем летела на одном работа</w:t>
      </w:r>
      <w:r w:rsidRPr="00722885">
        <w:rPr>
          <w:rFonts w:ascii="Times New Roman" w:hAnsi="Times New Roman"/>
          <w:color w:val="0070C0"/>
          <w:sz w:val="16"/>
          <w:szCs w:val="16"/>
          <w:lang w:eastAsia="ru-RU" w:bidi="ru-RU"/>
        </w:rPr>
        <w:softHyphen/>
        <w:t>ющем моторе. В одном полете в двига</w:t>
      </w:r>
      <w:r w:rsidRPr="00722885">
        <w:rPr>
          <w:rFonts w:ascii="Times New Roman" w:hAnsi="Times New Roman"/>
          <w:color w:val="0070C0"/>
          <w:sz w:val="16"/>
          <w:szCs w:val="16"/>
          <w:lang w:eastAsia="ru-RU" w:bidi="ru-RU"/>
        </w:rPr>
        <w:softHyphen/>
        <w:t>тель Ту-2 угодил малокалиберный зенит</w:t>
      </w:r>
      <w:r w:rsidRPr="00722885">
        <w:rPr>
          <w:rFonts w:ascii="Times New Roman" w:hAnsi="Times New Roman"/>
          <w:color w:val="0070C0"/>
          <w:sz w:val="16"/>
          <w:szCs w:val="16"/>
          <w:lang w:eastAsia="ru-RU" w:bidi="ru-RU"/>
        </w:rPr>
        <w:softHyphen/>
        <w:t>ный снаряд (от «эрликона»), но самолет продолжил полет и благополучно призем</w:t>
      </w:r>
      <w:r w:rsidRPr="00722885">
        <w:rPr>
          <w:rFonts w:ascii="Times New Roman" w:hAnsi="Times New Roman"/>
          <w:color w:val="0070C0"/>
          <w:sz w:val="16"/>
          <w:szCs w:val="16"/>
          <w:lang w:eastAsia="ru-RU" w:bidi="ru-RU"/>
        </w:rPr>
        <w:softHyphen/>
        <w:t>лился на аэродроме.</w:t>
      </w:r>
    </w:p>
    <w:p w14:paraId="1FA7D7BB" w14:textId="77777777" w:rsidR="007877EB" w:rsidRPr="00722885" w:rsidRDefault="007877E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 отчете указали и недостатки, боль</w:t>
      </w:r>
      <w:r w:rsidRPr="00722885">
        <w:rPr>
          <w:rFonts w:ascii="Times New Roman" w:hAnsi="Times New Roman"/>
          <w:color w:val="0070C0"/>
          <w:sz w:val="16"/>
          <w:szCs w:val="16"/>
          <w:lang w:eastAsia="ru-RU" w:bidi="ru-RU"/>
        </w:rPr>
        <w:softHyphen/>
        <w:t>шая часть которых уже ранее была выяв</w:t>
      </w:r>
      <w:r w:rsidRPr="00722885">
        <w:rPr>
          <w:rFonts w:ascii="Times New Roman" w:hAnsi="Times New Roman"/>
          <w:color w:val="0070C0"/>
          <w:sz w:val="16"/>
          <w:szCs w:val="16"/>
          <w:lang w:eastAsia="ru-RU" w:bidi="ru-RU"/>
        </w:rPr>
        <w:softHyphen/>
        <w:t>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w:t>
      </w:r>
      <w:r w:rsidRPr="00722885">
        <w:rPr>
          <w:rFonts w:ascii="Times New Roman" w:hAnsi="Times New Roman"/>
          <w:color w:val="0070C0"/>
          <w:sz w:val="16"/>
          <w:szCs w:val="16"/>
          <w:lang w:eastAsia="ru-RU" w:bidi="ru-RU"/>
        </w:rPr>
        <w:softHyphen/>
        <w:t>сов мороза. Неудовлетворительная ра</w:t>
      </w:r>
      <w:r w:rsidRPr="00722885">
        <w:rPr>
          <w:rFonts w:ascii="Times New Roman" w:hAnsi="Times New Roman"/>
          <w:color w:val="0070C0"/>
          <w:sz w:val="16"/>
          <w:szCs w:val="16"/>
          <w:lang w:eastAsia="ru-RU" w:bidi="ru-RU"/>
        </w:rPr>
        <w:softHyphen/>
        <w:t>бота бензиномеров вкупе с подтеканием обратных клапанов вынуждала заправ</w:t>
      </w:r>
      <w:r w:rsidRPr="00722885">
        <w:rPr>
          <w:rFonts w:ascii="Times New Roman" w:hAnsi="Times New Roman"/>
          <w:color w:val="0070C0"/>
          <w:sz w:val="16"/>
          <w:szCs w:val="16"/>
          <w:lang w:eastAsia="ru-RU" w:bidi="ru-RU"/>
        </w:rPr>
        <w:softHyphen/>
        <w:t>лять баки доверху, а затем стравливать излишки. Управление секторами газа при</w:t>
      </w:r>
      <w:r w:rsidRPr="00722885">
        <w:rPr>
          <w:rFonts w:ascii="Times New Roman" w:hAnsi="Times New Roman"/>
          <w:color w:val="0070C0"/>
          <w:sz w:val="16"/>
          <w:szCs w:val="16"/>
          <w:lang w:eastAsia="ru-RU" w:bidi="ru-RU"/>
        </w:rPr>
        <w:softHyphen/>
        <w:t>знали слишком тугим, что усложняло по</w:t>
      </w:r>
      <w:r w:rsidRPr="00722885">
        <w:rPr>
          <w:rFonts w:ascii="Times New Roman" w:hAnsi="Times New Roman"/>
          <w:color w:val="0070C0"/>
          <w:sz w:val="16"/>
          <w:szCs w:val="16"/>
          <w:lang w:eastAsia="ru-RU" w:bidi="ru-RU"/>
        </w:rPr>
        <w:softHyphen/>
        <w:t>лет в строю. Еще раз обратили внимание на неудобный доступ ко многим агрега</w:t>
      </w:r>
      <w:r w:rsidRPr="00722885">
        <w:rPr>
          <w:rFonts w:ascii="Times New Roman" w:hAnsi="Times New Roman"/>
          <w:color w:val="0070C0"/>
          <w:sz w:val="16"/>
          <w:szCs w:val="16"/>
          <w:lang w:eastAsia="ru-RU" w:bidi="ru-RU"/>
        </w:rPr>
        <w:softHyphen/>
        <w:t>там мотоустановки.</w:t>
      </w:r>
    </w:p>
    <w:p w14:paraId="050BE45F" w14:textId="77777777" w:rsidR="007877EB" w:rsidRPr="00722885" w:rsidRDefault="007877EB"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lang w:eastAsia="ru-RU" w:bidi="ru-RU"/>
        </w:rPr>
        <w:t>Испытания закончили 5 октября, 11 октября главный инженер ВВС А.К. Ре</w:t>
      </w:r>
      <w:r w:rsidRPr="00722885">
        <w:rPr>
          <w:rFonts w:ascii="Times New Roman" w:hAnsi="Times New Roman"/>
          <w:color w:val="0070C0"/>
          <w:sz w:val="16"/>
          <w:szCs w:val="16"/>
          <w:lang w:eastAsia="ru-RU" w:bidi="ru-RU"/>
        </w:rPr>
        <w:softHyphen/>
        <w:t>пин утвердил оформленный испытате</w:t>
      </w:r>
      <w:r w:rsidRPr="00722885">
        <w:rPr>
          <w:rFonts w:ascii="Times New Roman" w:hAnsi="Times New Roman"/>
          <w:color w:val="0070C0"/>
          <w:sz w:val="16"/>
          <w:szCs w:val="16"/>
          <w:lang w:eastAsia="ru-RU" w:bidi="ru-RU"/>
        </w:rPr>
        <w:softHyphen/>
        <w:t>лями отчет. По воспоминаниям наркома авиапромышленности А.И. Шахурина, эта объемистая прошнурованная книга с гри</w:t>
      </w:r>
      <w:r w:rsidRPr="00722885">
        <w:rPr>
          <w:rFonts w:ascii="Times New Roman" w:hAnsi="Times New Roman"/>
          <w:color w:val="0070C0"/>
          <w:sz w:val="16"/>
          <w:szCs w:val="16"/>
          <w:lang w:eastAsia="ru-RU" w:bidi="ru-RU"/>
        </w:rPr>
        <w:softHyphen/>
        <w:t>фом «Совершенно секретно» прибыла в Москву дней через двадцать после под</w:t>
      </w:r>
      <w:r w:rsidRPr="00722885">
        <w:rPr>
          <w:rFonts w:ascii="Times New Roman" w:hAnsi="Times New Roman"/>
          <w:color w:val="0070C0"/>
          <w:sz w:val="16"/>
          <w:szCs w:val="16"/>
          <w:lang w:eastAsia="ru-RU" w:bidi="ru-RU"/>
        </w:rPr>
        <w:softHyphen/>
        <w:t>писания приказа о снятии бомбардиров</w:t>
      </w:r>
      <w:r w:rsidRPr="00722885">
        <w:rPr>
          <w:rFonts w:ascii="Times New Roman" w:hAnsi="Times New Roman"/>
          <w:color w:val="0070C0"/>
          <w:sz w:val="16"/>
          <w:szCs w:val="16"/>
          <w:lang w:eastAsia="ru-RU" w:bidi="ru-RU"/>
        </w:rPr>
        <w:softHyphen/>
        <w:t>щика с производства. Один из экземпля</w:t>
      </w:r>
      <w:r w:rsidRPr="00722885">
        <w:rPr>
          <w:rFonts w:ascii="Times New Roman" w:hAnsi="Times New Roman"/>
          <w:color w:val="0070C0"/>
          <w:sz w:val="16"/>
          <w:szCs w:val="16"/>
          <w:lang w:eastAsia="ru-RU" w:bidi="ru-RU"/>
        </w:rPr>
        <w:softHyphen/>
        <w:t>ров затребовал Сталин. После прочтения он вызвал Шахурина и сказал: «Оказыва</w:t>
      </w:r>
      <w:r w:rsidRPr="00722885">
        <w:rPr>
          <w:rFonts w:ascii="Times New Roman" w:hAnsi="Times New Roman"/>
          <w:color w:val="0070C0"/>
          <w:sz w:val="16"/>
          <w:szCs w:val="16"/>
          <w:lang w:eastAsia="ru-RU" w:bidi="ru-RU"/>
        </w:rPr>
        <w:softHyphen/>
        <w:t>ется, хвалят машину». Нарком стал отве</w:t>
      </w:r>
      <w:r w:rsidRPr="00722885">
        <w:rPr>
          <w:rFonts w:ascii="Times New Roman" w:hAnsi="Times New Roman"/>
          <w:color w:val="0070C0"/>
          <w:sz w:val="16"/>
          <w:szCs w:val="16"/>
          <w:lang w:eastAsia="ru-RU" w:bidi="ru-RU"/>
        </w:rPr>
        <w:softHyphen/>
        <w:t>чать, что он был против прекращения вы</w:t>
      </w:r>
      <w:r w:rsidRPr="00722885">
        <w:rPr>
          <w:rFonts w:ascii="Times New Roman" w:hAnsi="Times New Roman"/>
          <w:color w:val="0070C0"/>
          <w:sz w:val="16"/>
          <w:szCs w:val="16"/>
          <w:lang w:eastAsia="ru-RU" w:bidi="ru-RU"/>
        </w:rPr>
        <w:softHyphen/>
        <w:t>пуска Ту-2, но был прерван. «бы непра</w:t>
      </w:r>
      <w:r w:rsidRPr="00722885">
        <w:rPr>
          <w:rFonts w:ascii="Times New Roman" w:hAnsi="Times New Roman"/>
          <w:color w:val="0070C0"/>
          <w:sz w:val="16"/>
          <w:szCs w:val="16"/>
          <w:lang w:eastAsia="ru-RU" w:bidi="ru-RU"/>
        </w:rPr>
        <w:softHyphen/>
        <w:t>вильно поступили, - сказал Сталин. - бы должны были жаловаться на меня в ЦК».</w:t>
      </w:r>
    </w:p>
    <w:p w14:paraId="3444D645" w14:textId="77777777" w:rsidR="007877EB" w:rsidRPr="00722885" w:rsidRDefault="007877EB"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lang w:eastAsia="ru-RU" w:bidi="ru-RU"/>
        </w:rPr>
        <w:t>На этом войсковые испытания не за</w:t>
      </w:r>
      <w:r w:rsidRPr="00722885">
        <w:rPr>
          <w:rFonts w:ascii="Times New Roman" w:hAnsi="Times New Roman"/>
          <w:color w:val="0070C0"/>
          <w:sz w:val="16"/>
          <w:szCs w:val="16"/>
          <w:lang w:eastAsia="ru-RU" w:bidi="ru-RU"/>
        </w:rPr>
        <w:softHyphen/>
        <w:t>кончились. Наоборот, их масштабы увели</w:t>
      </w:r>
      <w:r w:rsidRPr="00722885">
        <w:rPr>
          <w:rFonts w:ascii="Times New Roman" w:hAnsi="Times New Roman"/>
          <w:color w:val="0070C0"/>
          <w:sz w:val="16"/>
          <w:szCs w:val="16"/>
          <w:lang w:eastAsia="ru-RU" w:bidi="ru-RU"/>
        </w:rPr>
        <w:softHyphen/>
        <w:t>чились. На фронт прибыл первый из под</w:t>
      </w:r>
      <w:r w:rsidRPr="00722885">
        <w:rPr>
          <w:rFonts w:ascii="Times New Roman" w:hAnsi="Times New Roman"/>
          <w:color w:val="0070C0"/>
          <w:sz w:val="16"/>
          <w:szCs w:val="16"/>
          <w:lang w:eastAsia="ru-RU" w:bidi="ru-RU"/>
        </w:rPr>
        <w:softHyphen/>
        <w:t>готовленных в Омске полков, 152-й от</w:t>
      </w:r>
      <w:r w:rsidRPr="00722885">
        <w:rPr>
          <w:rFonts w:ascii="Times New Roman" w:hAnsi="Times New Roman"/>
          <w:color w:val="0070C0"/>
          <w:sz w:val="16"/>
          <w:szCs w:val="16"/>
          <w:lang w:eastAsia="ru-RU" w:bidi="ru-RU"/>
        </w:rPr>
        <w:softHyphen/>
        <w:t>дельный бомбардировочный. Это была часть, уже имевшая боевой опыт; ра</w:t>
      </w:r>
      <w:r w:rsidRPr="00722885">
        <w:rPr>
          <w:rFonts w:ascii="Times New Roman" w:hAnsi="Times New Roman"/>
          <w:color w:val="0070C0"/>
          <w:sz w:val="16"/>
          <w:szCs w:val="16"/>
          <w:lang w:eastAsia="ru-RU" w:bidi="ru-RU"/>
        </w:rPr>
        <w:softHyphen/>
        <w:t>нее она воевала на самолетах СБ, Ар-2 и Пе-2. Переучивание экипажей заверши</w:t>
      </w:r>
      <w:r w:rsidRPr="00722885">
        <w:rPr>
          <w:rFonts w:ascii="Times New Roman" w:hAnsi="Times New Roman"/>
          <w:color w:val="0070C0"/>
          <w:sz w:val="16"/>
          <w:szCs w:val="16"/>
          <w:lang w:eastAsia="ru-RU" w:bidi="ru-RU"/>
        </w:rPr>
        <w:softHyphen/>
        <w:t>лось в сентябре 1942 г. Командовал пол</w:t>
      </w:r>
      <w:r w:rsidRPr="00722885">
        <w:rPr>
          <w:rFonts w:ascii="Times New Roman" w:hAnsi="Times New Roman"/>
          <w:color w:val="0070C0"/>
          <w:sz w:val="16"/>
          <w:szCs w:val="16"/>
          <w:lang w:eastAsia="ru-RU" w:bidi="ru-RU"/>
        </w:rPr>
        <w:softHyphen/>
        <w:t>ком подполковник А.С. Хлебников. Эта часть получила 29 бомбардировщиков Ту-2 разных серий; все они были воору</w:t>
      </w:r>
      <w:r w:rsidRPr="00722885">
        <w:rPr>
          <w:rFonts w:ascii="Times New Roman" w:hAnsi="Times New Roman"/>
          <w:color w:val="0070C0"/>
          <w:sz w:val="16"/>
          <w:szCs w:val="16"/>
          <w:lang w:eastAsia="ru-RU" w:bidi="ru-RU"/>
        </w:rPr>
        <w:softHyphen/>
        <w:t>жены двумя крупнокалиберными пулеме</w:t>
      </w:r>
      <w:r w:rsidRPr="00722885">
        <w:rPr>
          <w:rFonts w:ascii="Times New Roman" w:hAnsi="Times New Roman"/>
          <w:color w:val="0070C0"/>
          <w:sz w:val="16"/>
          <w:szCs w:val="16"/>
          <w:lang w:eastAsia="ru-RU" w:bidi="ru-RU"/>
        </w:rPr>
        <w:softHyphen/>
        <w:t>тами УБТ, а на одной машине смонтиро</w:t>
      </w:r>
      <w:r w:rsidRPr="00722885">
        <w:rPr>
          <w:rFonts w:ascii="Times New Roman" w:hAnsi="Times New Roman"/>
          <w:color w:val="0070C0"/>
          <w:sz w:val="16"/>
          <w:szCs w:val="16"/>
          <w:lang w:eastAsia="ru-RU" w:bidi="ru-RU"/>
        </w:rPr>
        <w:softHyphen/>
        <w:t>вали три УБТ - во всех задних установках. (21060).</w:t>
      </w:r>
    </w:p>
    <w:p w14:paraId="4FDCF307" w14:textId="77777777" w:rsidR="007877EB" w:rsidRPr="00722885" w:rsidRDefault="007877EB" w:rsidP="00722885">
      <w:pPr>
        <w:spacing w:after="0" w:line="240" w:lineRule="auto"/>
        <w:jc w:val="both"/>
        <w:rPr>
          <w:rFonts w:ascii="Times New Roman" w:hAnsi="Times New Roman"/>
          <w:color w:val="0070C0"/>
          <w:sz w:val="16"/>
          <w:szCs w:val="16"/>
          <w:lang w:eastAsia="ru-RU" w:bidi="ru-RU"/>
        </w:rPr>
      </w:pPr>
    </w:p>
    <w:p w14:paraId="739515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1942 совершили первый боевой вылет в рамках войсковых испытаний 3-х Ту-2.</w:t>
      </w:r>
    </w:p>
    <w:p w14:paraId="3957B3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из-за большого количества дефектов, присущих самолетам первых серий, удалось приступить ко второму этапу войсковых испытаний. Три самолета с экипажами из НИИ ВВС перелетели на Калининский фронт, где действовала 3-я воздушная армия. Армией командовал генерал-полковник М.М. Громов, в прошлом известный летчик-испытатель, знаменитый также целым рядом дальних перелетов, в том числе из Москвы в США через Северный полюс. Перед войной он руководил Летно-испытатель- ным институтом (ЛИИ). Не случайно к Громову направляли на войсковые испытания различные новые советские и иностранные боевые самолеты: все понимали, что он сможет дать им объективную оценку.</w:t>
      </w:r>
    </w:p>
    <w:p w14:paraId="747B13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Тройку Ту-2 разместили на аэродроме Мигалово под Калинином (ныне Тверь), где базировался 128-й ближнебомбардировочный полк, вооруженный пикировщиками Пе-2. От туполевского бюро туда прибыл Д.С. Марков.</w:t>
      </w:r>
    </w:p>
    <w:p w14:paraId="30A792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Обычно машины использовались для бомбометания днем с горизонтального полета. В зависимости от задания брали от 1000 до 2000 кг бомб. Всего за период испытаний совершили 25 боевых вылетов - примерно по одному на самолет в сутки, при средней дальности 500 км.</w:t>
      </w:r>
    </w:p>
    <w:p w14:paraId="27A66E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Первоначально Ту-2 обязательно сопровождали истребители, позже их стали выпускать и самостоятельно. Машины попадали под обстрел зенитной артиллерии, сталкивались с истребителями противника, но потерь не имели.</w:t>
      </w:r>
    </w:p>
    <w:p w14:paraId="36FA20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некоторых полетах участвовали летчики 128-го полка, которые могли при этом сравнить два типа бомбардировщиков - Пе-2 и новые Ту-2.</w:t>
      </w:r>
    </w:p>
    <w:p w14:paraId="34C1E8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испытаний Ту-2 наглядно продемонстрировали свои возможности. Самолеты атаковали железнодорожные станции, мосты, склады и аэродромы. Они сбрасывали бомбы всех калибров вплоть до 1000 кг с наружной и внутренней подвески. Всего за период испытаний на врага обрушили более 40 т боеприпасов. Пе-2 мог брать бомбы не крупнее 500 кг и при бомбометании с пикирования нес их только снаружи.</w:t>
      </w:r>
    </w:p>
    <w:p w14:paraId="0DFF4D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подсчетам, в среднем в каждом вылете туполевская машина заменяла 2,5 Пе-2.</w:t>
      </w:r>
    </w:p>
    <w:p w14:paraId="1641C4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Возможность подвески крупнокалиберных бомб была эффективно использована при налете на немецкий подземный склад горючего у деревни Тростено 27 сентября 1942 г. Его несколько раз бомбили Пе-2, использовавшие бомбы ФАБ-100, но безрезультатно. Решили попробовать взорвать его бомбами ФАБ-1000 с Ту-2. Тройку бомбардировщиков сопровождали десять истребителей ЛаГГ-3. Командиру прикрытия пригрозили, что за каждый потерянный Ту-2 он ответит головой. Голова у нею была всею одна. Когда группу перехватили девять немецких истребителей Bf 109, часть немцев попыталась оттеснить ЛаГГ-3, а другая ринулась к бомбардировщикам. Но оторвать эскорт от Ту-2 не удалось. Совместными усилиями советских истребителей и стрелков на бомбардировщиках противника отогнали. Экипажи успешно сбросили бомбы на цель. Склад взлетел на воздух. Все три Ту-2 без помех вернулись в Мигалово.</w:t>
      </w:r>
    </w:p>
    <w:p w14:paraId="74181D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Громов не удержался и лично опробовал новый самолет, отозвавшись о нем очень хорошо. В своих мемуарах он потом написал: "Я сам летал на Ту-2 с большим удовольствием".</w:t>
      </w:r>
    </w:p>
    <w:p w14:paraId="5C3EE3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отчете о войсковых испытаниях новый бомбардировщик получил высокую оценку. В нем содержалась весьма примечательная фраза: "Считать необходимым ускорить внедрение самолета Ту-2 в ВВС КА". Среди достоинств самолета отметили большую бомбовую нагрузку в сочетании со значительной дальностью полета, мощные и менее уязвимые моторы воздушного охлаждения, сильное вооружение, удобное размещение экипажа, хорошие летные данные и сравнительную простоту пилотирования. Машина без особых проблем летела на одном работающем моторе. В одном полете в двигатель Ту-2 угодил малокалиберный зенитный снаряд (от "эрликона"), но самолет продолжил свой путь и благополучно приземлился на аэродроме.</w:t>
      </w:r>
    </w:p>
    <w:p w14:paraId="73A210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отчете указали и недостатки, большая часть которых уже ранее была выявлена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градусов мороза. Неудовлетворительная работа бензиномеров вкупе с подтеканием обратных клапанов вынуждала заправлять баки доверху, а затем стравливать излишки. Управление секторами газа признали слишком тугим, что усложняло полет в строю. Еще раз обратили внимание на неудобный доступ ко многим агрегатам мотоустановки.</w:t>
      </w:r>
    </w:p>
    <w:p w14:paraId="2B714B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закончили 3 октября, 11 октября главный инженер ВВС Репин утвердил оформленный испытателями отчет. По воспоминаниям наркома авиапромышленности А.И. Шахурина, эта объемистая прошнурованная книга с грифом "Совершенно секретно" прибыла в Москву дней через двадцать после подписания приказа о снятии бомбардировщика с производства. Один из экземпляров затребовал Сталин. После прочтения он вызвал Шахурина и сказал: "Оказывается, хвалят машину". Нарком стал отвечать, что он был против прекращения выпуска Ту-2, но был прерван. "Вы неправильно поступили, - сказал Сталин. - Вы должны были жаловаться на меня в ЦК".</w:t>
      </w:r>
    </w:p>
    <w:p w14:paraId="346F94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По-видимому, Сталин понял ошибочность принятого решения, но не спешил его менять. Приказа о восстановлении производства Ту-2 сразу же не последовало (11988).</w:t>
      </w:r>
    </w:p>
    <w:p w14:paraId="37A9FF6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FB83670"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 16 сентября по 3 октября 1942 г. — прошли и войсковые испыта</w:t>
      </w:r>
      <w:r w:rsidRPr="00722885">
        <w:rPr>
          <w:rFonts w:ascii="Times New Roman" w:cs="Times New Roman"/>
          <w:color w:val="000000" w:themeColor="text1"/>
          <w:spacing w:val="0"/>
        </w:rPr>
        <w:softHyphen/>
        <w:t>ния первых трех серийных самолётов Ту-2 (№№ 101, 102 и 201) в 3-й ВА на Калинин</w:t>
      </w:r>
      <w:r w:rsidRPr="00722885">
        <w:rPr>
          <w:rFonts w:ascii="Times New Roman" w:cs="Times New Roman"/>
          <w:color w:val="000000" w:themeColor="text1"/>
          <w:spacing w:val="0"/>
        </w:rPr>
        <w:softHyphen/>
        <w:t>ском фронте. Моторы М-82 на них стояли 1-й серии с электроинерционным самопус</w:t>
      </w:r>
      <w:r w:rsidRPr="00722885">
        <w:rPr>
          <w:rFonts w:ascii="Times New Roman" w:cs="Times New Roman"/>
          <w:color w:val="000000" w:themeColor="text1"/>
          <w:spacing w:val="0"/>
        </w:rPr>
        <w:softHyphen/>
        <w:t>ком. За время испытаний в течение 9 лётных дней выполнили 48 самолёто-вылетов при общем налёте 76 час 20 мин, из них на боевые задания — 25 вылетов с налётом 64 час 41 мин. При выполнении боевых действий звено Ту-2 сбросило по различным целям 40100 кг бомб калибра от 100 до 1000 кг. Встреч с истребителями противника и пора</w:t>
      </w:r>
      <w:r w:rsidRPr="00722885">
        <w:rPr>
          <w:rFonts w:ascii="Times New Roman" w:cs="Times New Roman"/>
          <w:color w:val="000000" w:themeColor="text1"/>
          <w:spacing w:val="0"/>
        </w:rPr>
        <w:softHyphen/>
        <w:t>жения зенитным огнем в процессе испытаний не произошло.</w:t>
      </w:r>
    </w:p>
    <w:p w14:paraId="290D319E"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Заключение по самолёту гласило:</w:t>
      </w:r>
    </w:p>
    <w:p w14:paraId="7A354673"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самолёте Ту-2 с двумя моторами М-82 правильно разрешена тактическая схема современного бомбардировщика. Его положительными боевыми свойствами являются:</w:t>
      </w:r>
    </w:p>
    <w:p w14:paraId="68DC91A0" w14:textId="77777777" w:rsidR="00A65CDA" w:rsidRPr="00722885" w:rsidRDefault="00A65CDA" w:rsidP="00722885">
      <w:pPr>
        <w:pStyle w:val="27"/>
        <w:shd w:val="clear" w:color="auto" w:fill="auto"/>
        <w:tabs>
          <w:tab w:val="left" w:pos="42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 Большая бомбовая нагрузка при достаточном радиусе действия.</w:t>
      </w:r>
    </w:p>
    <w:p w14:paraId="70CB9E09" w14:textId="77777777" w:rsidR="00A65CDA" w:rsidRPr="00722885" w:rsidRDefault="00A65CDA" w:rsidP="00722885">
      <w:pPr>
        <w:pStyle w:val="27"/>
        <w:shd w:val="clear" w:color="auto" w:fill="auto"/>
        <w:tabs>
          <w:tab w:val="left" w:pos="440"/>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 Наличие моторов воздушного охлаждения.</w:t>
      </w:r>
    </w:p>
    <w:p w14:paraId="4E7AA339" w14:textId="77777777" w:rsidR="00A65CDA" w:rsidRPr="00722885" w:rsidRDefault="00A65CDA" w:rsidP="00722885">
      <w:pPr>
        <w:pStyle w:val="27"/>
        <w:shd w:val="clear" w:color="auto" w:fill="auto"/>
        <w:tabs>
          <w:tab w:val="left" w:pos="42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3. Хорошая огневая схема, являющаяся эффективной при установке тяжёлых пуле</w:t>
      </w:r>
      <w:r w:rsidRPr="00722885">
        <w:rPr>
          <w:rFonts w:ascii="Times New Roman" w:cs="Times New Roman"/>
          <w:color w:val="000000" w:themeColor="text1"/>
          <w:spacing w:val="0"/>
        </w:rPr>
        <w:softHyphen/>
        <w:t>мётов и пушек.</w:t>
      </w:r>
    </w:p>
    <w:p w14:paraId="51D4A789" w14:textId="77777777" w:rsidR="00A65CDA" w:rsidRPr="00722885" w:rsidRDefault="00A65CDA" w:rsidP="00722885">
      <w:pPr>
        <w:pStyle w:val="27"/>
        <w:shd w:val="clear" w:color="auto" w:fill="auto"/>
        <w:tabs>
          <w:tab w:val="left" w:pos="414"/>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4. Экипаж 4 чел. И его размещение, обеспечивающее надежно боевую работу штур</w:t>
      </w:r>
      <w:r w:rsidRPr="00722885">
        <w:rPr>
          <w:rFonts w:ascii="Times New Roman" w:cs="Times New Roman"/>
          <w:color w:val="000000" w:themeColor="text1"/>
          <w:spacing w:val="0"/>
        </w:rPr>
        <w:softHyphen/>
        <w:t>ману и летчику.</w:t>
      </w:r>
    </w:p>
    <w:p w14:paraId="662C06D6" w14:textId="77777777" w:rsidR="00A65CDA" w:rsidRPr="00722885" w:rsidRDefault="00A65CDA" w:rsidP="00722885">
      <w:pPr>
        <w:pStyle w:val="27"/>
        <w:shd w:val="clear" w:color="auto" w:fill="auto"/>
        <w:tabs>
          <w:tab w:val="left" w:pos="445"/>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5. Возможность полёта на одном моторе.</w:t>
      </w:r>
    </w:p>
    <w:p w14:paraId="420F384D" w14:textId="77777777" w:rsidR="00A65CDA" w:rsidRPr="00722885" w:rsidRDefault="00A65CDA" w:rsidP="00722885">
      <w:pPr>
        <w:pStyle w:val="27"/>
        <w:shd w:val="clear" w:color="auto" w:fill="auto"/>
        <w:tabs>
          <w:tab w:val="left" w:pos="430"/>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6. Лёгкость освоения лётным составом после самолёта Пе-2...</w:t>
      </w:r>
    </w:p>
    <w:p w14:paraId="5CEFC5C7"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Благодаря наличию моторов воздушного охлаждения самолёт Ту-2 имеет повышенную живучесть по отношению однотипного самолёта с моторами жидкостного охлаждения (напр. Пе-2). Однако живучесть самолёта Ту-2 значительно снижается уязвимостью бен- зосистемы и системы гидравлики...»</w:t>
      </w:r>
    </w:p>
    <w:p w14:paraId="75833B08"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Моторы М-82 в процессе испытаний Ту-2 работали надёжно. Температурные режимы, как правило, сохранялись в пределах нормы. Во второй части испытаний на отдельных мо</w:t>
      </w:r>
      <w:r w:rsidRPr="00722885">
        <w:rPr>
          <w:rFonts w:ascii="Times New Roman" w:cs="Times New Roman"/>
          <w:color w:val="000000" w:themeColor="text1"/>
          <w:spacing w:val="0"/>
        </w:rPr>
        <w:softHyphen/>
        <w:t>торах наблюдалась тряска. Причинами тряски являлись: преждевременный выход из строя свечей ВГ-12 (через 10-12 часов), биение коков винтов из-за плохой балансировки и бы</w:t>
      </w:r>
      <w:r w:rsidRPr="00722885">
        <w:rPr>
          <w:rFonts w:ascii="Times New Roman" w:cs="Times New Roman"/>
          <w:color w:val="000000" w:themeColor="text1"/>
          <w:spacing w:val="0"/>
        </w:rPr>
        <w:softHyphen/>
        <w:t>строго износа центрирующих колец, нарушение регулировки зазоров газораспределения ранее гарантированных заводом сроков на одном моторе через 20 часов вместо 50-ти.</w:t>
      </w:r>
    </w:p>
    <w:p w14:paraId="467C96A5"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При этом моторы работали в довольно щадящем режиме. Даже взлёты с наружной подвеской 2-х ФАБ-1000 производились с бетонной дорожки аэродрома Мигалово без форсажа, что увеличивало длину разбега до 1200-1300 м.</w:t>
      </w:r>
    </w:p>
    <w:p w14:paraId="34AC11C8"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Испытаниями установили относительно большую длительность подготовки самолётов к боевому вылету главным образом по причине ненадежности электроинерционного само</w:t>
      </w:r>
      <w:r w:rsidRPr="00722885">
        <w:rPr>
          <w:rFonts w:ascii="Times New Roman" w:cs="Times New Roman"/>
          <w:color w:val="000000" w:themeColor="text1"/>
          <w:spacing w:val="0"/>
        </w:rPr>
        <w:softHyphen/>
        <w:t>пуска РИМ-24, при температурах воздуха ниже +10°С он не обеспечивал запуск моторов. Подготовка к повторному вылету осложнялась процессом заправки горючим. Неудовле</w:t>
      </w:r>
      <w:r w:rsidRPr="00722885">
        <w:rPr>
          <w:rFonts w:ascii="Times New Roman" w:cs="Times New Roman"/>
          <w:color w:val="000000" w:themeColor="text1"/>
          <w:spacing w:val="0"/>
        </w:rPr>
        <w:softHyphen/>
        <w:t>творительная работа бензиномеров и пропускание обратных клапанов заставляли зали</w:t>
      </w:r>
      <w:r w:rsidRPr="00722885">
        <w:rPr>
          <w:rFonts w:ascii="Times New Roman" w:cs="Times New Roman"/>
          <w:color w:val="000000" w:themeColor="text1"/>
          <w:spacing w:val="0"/>
        </w:rPr>
        <w:softHyphen/>
        <w:t>вать бензобаки горючим полностью, а затем сливать его до требуемого количества.</w:t>
      </w:r>
    </w:p>
    <w:p w14:paraId="4832F754"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Полученные при испытаниях данные расходов горючего в основном подтверждали результаты испытаний, проведенных в НИИ ВВС. Расход горючего у ведомых самолё</w:t>
      </w:r>
      <w:r w:rsidRPr="00722885">
        <w:rPr>
          <w:rFonts w:ascii="Times New Roman" w:cs="Times New Roman"/>
          <w:color w:val="000000" w:themeColor="text1"/>
          <w:spacing w:val="0"/>
        </w:rPr>
        <w:softHyphen/>
        <w:t>тов превышал на 7-8% расход ведущего самолёта.</w:t>
      </w:r>
    </w:p>
    <w:p w14:paraId="66472AE7"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Управление секторами нормального газа в кабине лётчика требовало больших уси</w:t>
      </w:r>
      <w:r w:rsidRPr="00722885">
        <w:rPr>
          <w:rFonts w:ascii="Times New Roman" w:cs="Times New Roman"/>
          <w:color w:val="000000" w:themeColor="text1"/>
          <w:spacing w:val="0"/>
        </w:rPr>
        <w:softHyphen/>
        <w:t>лий, что делало почти невозможным полёт в строю на близких дистанциях.</w:t>
      </w:r>
    </w:p>
    <w:p w14:paraId="5345D481"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Испытания показали исключительно трудный подход к агрегатам, расположенным на задней крышке картера мотора, что удлиняло время монтажа и демонтажа агрегатов, ус</w:t>
      </w:r>
      <w:r w:rsidRPr="00722885">
        <w:rPr>
          <w:rFonts w:ascii="Times New Roman" w:cs="Times New Roman"/>
          <w:color w:val="000000" w:themeColor="text1"/>
          <w:spacing w:val="0"/>
        </w:rPr>
        <w:softHyphen/>
        <w:t>транение дефектов на них. Так, например: замена прокладки агрегата тройного привода потребовала около 6 час, а подтяжка гаек крепления РИМ-24, ГС-1000 и ПЦН требова</w:t>
      </w:r>
      <w:r w:rsidRPr="00722885">
        <w:rPr>
          <w:rFonts w:ascii="Times New Roman" w:cs="Times New Roman"/>
          <w:color w:val="000000" w:themeColor="text1"/>
          <w:spacing w:val="0"/>
        </w:rPr>
        <w:softHyphen/>
        <w:t>ла слива масла и снятия масляного бака.</w:t>
      </w:r>
    </w:p>
    <w:p w14:paraId="38F64AFB"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качестве недостат</w:t>
      </w:r>
      <w:r w:rsidRPr="00722885">
        <w:rPr>
          <w:rFonts w:ascii="Times New Roman" w:cs="Times New Roman"/>
          <w:color w:val="000000" w:themeColor="text1"/>
          <w:spacing w:val="0"/>
        </w:rPr>
        <w:softHyphen/>
        <w:t>ка отмечалась также незащищенность агре</w:t>
      </w:r>
      <w:r w:rsidRPr="00722885">
        <w:rPr>
          <w:rFonts w:ascii="Times New Roman" w:cs="Times New Roman"/>
          <w:color w:val="000000" w:themeColor="text1"/>
          <w:spacing w:val="0"/>
        </w:rPr>
        <w:softHyphen/>
        <w:t>гатов ВМГ, располо</w:t>
      </w:r>
      <w:r w:rsidRPr="00722885">
        <w:rPr>
          <w:rFonts w:ascii="Times New Roman" w:cs="Times New Roman"/>
          <w:color w:val="000000" w:themeColor="text1"/>
          <w:spacing w:val="0"/>
        </w:rPr>
        <w:softHyphen/>
        <w:t>женных между задней крышкой картера мото</w:t>
      </w:r>
      <w:r w:rsidRPr="00722885">
        <w:rPr>
          <w:rFonts w:ascii="Times New Roman" w:cs="Times New Roman"/>
          <w:color w:val="000000" w:themeColor="text1"/>
          <w:spacing w:val="0"/>
        </w:rPr>
        <w:softHyphen/>
        <w:t>ра и противопожарной перегородкой.</w:t>
      </w:r>
    </w:p>
    <w:p w14:paraId="5BA74B29"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целом Ту-2 получил положительную оценку, но отчёт по испытаниям Главный ин</w:t>
      </w:r>
      <w:r w:rsidRPr="00722885">
        <w:rPr>
          <w:rFonts w:ascii="Times New Roman" w:cs="Times New Roman"/>
          <w:color w:val="000000" w:themeColor="text1"/>
          <w:spacing w:val="0"/>
        </w:rPr>
        <w:softHyphen/>
        <w:t>женер ВВС КА А.К. Репин утвердил только 11 октября 1942 г. (15813).</w:t>
      </w:r>
    </w:p>
    <w:p w14:paraId="3BFB44C7"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p>
    <w:p w14:paraId="318A5A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сентября 1942 вышел приказ НКАП N 707с:</w:t>
      </w:r>
    </w:p>
    <w:p w14:paraId="23CAB3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исполнение постановления ГКО N 2302 от 13 сентября 1941:</w:t>
      </w:r>
    </w:p>
    <w:p w14:paraId="3249C3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Директорам заводов 47 Шаройко, 471 Грибовскому и 464 Перовскому организовать серийное производство 2 моторных легких самолетов Як-6 конструкции А.С.Я.</w:t>
      </w:r>
    </w:p>
    <w:p w14:paraId="52D76D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Директору завода 494 Шелухину организовать серийное производство самолетов С-2</w:t>
      </w:r>
    </w:p>
    <w:p w14:paraId="2D9EBD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Директору завода 168 Шпакову организовать серийное производство самолетов УТ-2</w:t>
      </w:r>
    </w:p>
    <w:p w14:paraId="3DCF5E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В целях создания необходимой мощности для производства самолетов Як-6 в Москве объединить завод 464, изготавливающий десантные планеры, и заводы 388 и 457 по производству деревянных агрегатов, присвоив объединенному заводу номер 464, освободив заводы 388 и 457 от производства самолетных агрегатов к машинам Пе-2 и МиГ-3.</w:t>
      </w:r>
    </w:p>
    <w:p w14:paraId="575AC0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В связи с организацией производства самолетов Як-6 и самолетов С-2 и УТ-2 на заводах 168, 471 и 494 освободить эти заводы от производства десантных планеров Г-11 и КЦ-20</w:t>
      </w:r>
    </w:p>
    <w:p w14:paraId="4F9B98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Утвердить программу выпуска самолетов Як-6 в 1942 в количестве 132 из них: в сентябре - 3, в октябре - 14, в ноябре - 40, в декабре - 75</w:t>
      </w:r>
    </w:p>
    <w:p w14:paraId="1F3C2E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Утвердить программу выпуска самолетов С-2 и УТ-2 в 1942 в следующих количествах: по 494 - С-2 35, по 168 - УТ-2 - 35</w:t>
      </w:r>
    </w:p>
    <w:p w14:paraId="62C3BF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Реорганизовать 11 ГУ (планерное) в ГУ по производству легкомоторных самолетов</w:t>
      </w:r>
    </w:p>
    <w:p w14:paraId="0A974F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Включить в состав 11 ГУ заводы 47, 116, 168, 387, 445, 463, 464, 468, 471, 494, 600</w:t>
      </w:r>
    </w:p>
    <w:p w14:paraId="69CBD0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Самолет конструкции А.С.Я. с 2-мя М-11 впредь именовать Як-6</w:t>
      </w:r>
    </w:p>
    <w:p w14:paraId="4B13C0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Перевезти до 1 октября 1942 завод 241 г. Тюмень на площади завода 463 в Рязань</w:t>
      </w:r>
    </w:p>
    <w:p w14:paraId="4FCBA5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19.а) прошедшие гос. испытания УТ планера А-2 и 7 местного десантного планера А-7 оставить в производстве на заводах: 499 - А-2 и А-7, 445 - А-7, 463 - А-7 (1591,48).</w:t>
      </w:r>
    </w:p>
    <w:p w14:paraId="5291F994" w14:textId="77777777" w:rsidR="00090C9B" w:rsidRPr="00722885" w:rsidRDefault="00090C9B" w:rsidP="00722885">
      <w:pPr>
        <w:pStyle w:val="Iauiue"/>
        <w:jc w:val="both"/>
        <w:rPr>
          <w:color w:val="000000" w:themeColor="text1"/>
          <w:sz w:val="16"/>
          <w:szCs w:val="16"/>
        </w:rPr>
      </w:pPr>
    </w:p>
    <w:p w14:paraId="452084D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16 сентября 1942 в Москве в НИИ ВВС закончились гос. испытания транспортной версии Як-6, которые проходили с 8 сентября 1942. Оценка в целом была положительная, но отметили продольную и поперечную неустойчивость, малую нагрузку на ручку управления, не позволяющую оценивать реальную ситуацию. Ночью машину использовать было нельзя, т.к. приборная доска отражалась в лобовом стекле. Неразъемное крыло затрудняло эксплуатацию</w:t>
      </w:r>
    </w:p>
    <w:p w14:paraId="0B9549C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Всего 34 полетаЭ вл м Лисицын, ви - м А.В.Синельников. В облете приняло участие 12 л (4657, 16).</w:t>
      </w:r>
    </w:p>
    <w:p w14:paraId="793B518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Отчет по облету, доложенный И.В.С.:</w:t>
      </w:r>
    </w:p>
    <w:p w14:paraId="73B438E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Самолет прост в пр-ве и эксплуатации, дешев. Не требует высококачественного горючего, м.б. использован как транспортный, санитарный, связной, НББ.</w:t>
      </w:r>
    </w:p>
    <w:p w14:paraId="63F8F0F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Он м.б. рекомендован для серийного пр-ва и принятия на вооружение при условии проведения следующих доводок:</w:t>
      </w:r>
    </w:p>
    <w:p w14:paraId="6041A406" w14:textId="77777777" w:rsidR="00090C9B" w:rsidRPr="00722885" w:rsidRDefault="00090C9B" w:rsidP="00722885">
      <w:pPr>
        <w:pStyle w:val="Iauiue"/>
        <w:numPr>
          <w:ilvl w:val="0"/>
          <w:numId w:val="10"/>
        </w:numPr>
        <w:tabs>
          <w:tab w:val="left" w:pos="11199"/>
        </w:tabs>
        <w:ind w:left="0" w:firstLine="0"/>
        <w:jc w:val="both"/>
        <w:rPr>
          <w:color w:val="000000" w:themeColor="text1"/>
          <w:sz w:val="16"/>
          <w:szCs w:val="16"/>
        </w:rPr>
      </w:pPr>
      <w:r w:rsidRPr="00722885">
        <w:rPr>
          <w:color w:val="000000" w:themeColor="text1"/>
          <w:sz w:val="16"/>
          <w:szCs w:val="16"/>
        </w:rPr>
        <w:t>Улучшение поперечной устойчивости,</w:t>
      </w:r>
    </w:p>
    <w:p w14:paraId="513E6806" w14:textId="77777777" w:rsidR="00090C9B" w:rsidRPr="00722885" w:rsidRDefault="00090C9B" w:rsidP="00722885">
      <w:pPr>
        <w:pStyle w:val="Iauiue"/>
        <w:numPr>
          <w:ilvl w:val="0"/>
          <w:numId w:val="10"/>
        </w:numPr>
        <w:tabs>
          <w:tab w:val="left" w:pos="11199"/>
        </w:tabs>
        <w:ind w:left="0" w:firstLine="0"/>
        <w:jc w:val="both"/>
        <w:rPr>
          <w:color w:val="000000" w:themeColor="text1"/>
          <w:sz w:val="16"/>
          <w:szCs w:val="16"/>
        </w:rPr>
      </w:pPr>
      <w:r w:rsidRPr="00722885">
        <w:rPr>
          <w:color w:val="000000" w:themeColor="text1"/>
          <w:sz w:val="16"/>
          <w:szCs w:val="16"/>
        </w:rPr>
        <w:t>Усиление нагрузки на рули,</w:t>
      </w:r>
    </w:p>
    <w:p w14:paraId="622992F5" w14:textId="77777777" w:rsidR="00090C9B" w:rsidRPr="00722885" w:rsidRDefault="00090C9B" w:rsidP="00722885">
      <w:pPr>
        <w:pStyle w:val="Iauiue"/>
        <w:numPr>
          <w:ilvl w:val="0"/>
          <w:numId w:val="10"/>
        </w:numPr>
        <w:tabs>
          <w:tab w:val="left" w:pos="11199"/>
        </w:tabs>
        <w:ind w:left="0" w:firstLine="0"/>
        <w:jc w:val="both"/>
        <w:rPr>
          <w:color w:val="000000" w:themeColor="text1"/>
          <w:sz w:val="16"/>
          <w:szCs w:val="16"/>
        </w:rPr>
      </w:pPr>
      <w:r w:rsidRPr="00722885">
        <w:rPr>
          <w:color w:val="000000" w:themeColor="text1"/>
          <w:sz w:val="16"/>
          <w:szCs w:val="16"/>
        </w:rPr>
        <w:t>Улучшение обзора вперед на рулежке и наборе,</w:t>
      </w:r>
    </w:p>
    <w:p w14:paraId="6FF7A69B" w14:textId="77777777" w:rsidR="00090C9B" w:rsidRPr="00722885" w:rsidRDefault="00090C9B" w:rsidP="00722885">
      <w:pPr>
        <w:pStyle w:val="Iauiue"/>
        <w:numPr>
          <w:ilvl w:val="0"/>
          <w:numId w:val="10"/>
        </w:numPr>
        <w:tabs>
          <w:tab w:val="left" w:pos="11199"/>
        </w:tabs>
        <w:ind w:left="0" w:firstLine="0"/>
        <w:jc w:val="both"/>
        <w:rPr>
          <w:color w:val="000000" w:themeColor="text1"/>
          <w:sz w:val="16"/>
          <w:szCs w:val="16"/>
        </w:rPr>
      </w:pPr>
      <w:r w:rsidRPr="00722885">
        <w:rPr>
          <w:color w:val="000000" w:themeColor="text1"/>
          <w:sz w:val="16"/>
          <w:szCs w:val="16"/>
        </w:rPr>
        <w:t>Введение разъемного крыла,</w:t>
      </w:r>
    </w:p>
    <w:p w14:paraId="0ABF6DD7" w14:textId="77777777" w:rsidR="00090C9B" w:rsidRPr="00722885" w:rsidRDefault="00090C9B" w:rsidP="00722885">
      <w:pPr>
        <w:pStyle w:val="Iauiue"/>
        <w:numPr>
          <w:ilvl w:val="0"/>
          <w:numId w:val="10"/>
        </w:numPr>
        <w:tabs>
          <w:tab w:val="left" w:pos="11199"/>
        </w:tabs>
        <w:ind w:left="0" w:firstLine="0"/>
        <w:jc w:val="both"/>
        <w:rPr>
          <w:color w:val="000000" w:themeColor="text1"/>
          <w:sz w:val="16"/>
          <w:szCs w:val="16"/>
        </w:rPr>
      </w:pPr>
      <w:r w:rsidRPr="00722885">
        <w:rPr>
          <w:color w:val="000000" w:themeColor="text1"/>
          <w:sz w:val="16"/>
          <w:szCs w:val="16"/>
        </w:rPr>
        <w:t>Доводка кабины для ночных полетов.</w:t>
      </w:r>
    </w:p>
    <w:p w14:paraId="6CE5896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Указанные доводки легко осуществимы и д.б. произведены с первого серийного с-та.” (4657, 16).</w:t>
      </w:r>
    </w:p>
    <w:p w14:paraId="3CD41186" w14:textId="77777777" w:rsidR="00090C9B" w:rsidRPr="00722885" w:rsidRDefault="00090C9B" w:rsidP="00722885">
      <w:pPr>
        <w:pStyle w:val="Iauiue"/>
        <w:tabs>
          <w:tab w:val="left" w:pos="11199"/>
        </w:tabs>
        <w:jc w:val="both"/>
        <w:rPr>
          <w:color w:val="000000" w:themeColor="text1"/>
          <w:sz w:val="16"/>
          <w:szCs w:val="16"/>
        </w:rPr>
      </w:pPr>
    </w:p>
    <w:p w14:paraId="2EB120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16 сентября 1943 г. по причине изношенности </w:t>
      </w:r>
      <w:r w:rsidRPr="00722885">
        <w:rPr>
          <w:rFonts w:ascii="Times New Roman" w:hAnsi="Times New Roman"/>
          <w:color w:val="000000" w:themeColor="text1"/>
          <w:sz w:val="16"/>
          <w:szCs w:val="16"/>
          <w:lang w:val="en-US"/>
        </w:rPr>
        <w:t>N</w:t>
      </w:r>
      <w:r w:rsidRPr="00722885">
        <w:rPr>
          <w:rFonts w:ascii="Times New Roman" w:hAnsi="Times New Roman"/>
          <w:color w:val="000000" w:themeColor="text1"/>
          <w:sz w:val="16"/>
          <w:szCs w:val="16"/>
        </w:rPr>
        <w:t>443 - бывший АНТ-373 Родина - списали, после чего следы его затерялись навсегда (11946).</w:t>
      </w:r>
    </w:p>
    <w:p w14:paraId="5C26073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9F02A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сентября 1942 года в соответствии с приказом НКАП № 707с от 11 гл. управление было реорганизовано в Главк по производству легко-моторных самолетов.</w:t>
      </w:r>
    </w:p>
    <w:p w14:paraId="4DA479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основании приказа № 141сс от 22 января 1951 года 11 гл. управление было ликвидировано. Заводы №№ 116, 272, 464, 473, 475, 797 были переданы 10 гл. управлению. Заводы №№ 47 и 168 были переданы 1 гл. управлению (10113).</w:t>
      </w:r>
    </w:p>
    <w:p w14:paraId="39D0C36C" w14:textId="77777777" w:rsidR="00090C9B" w:rsidRPr="00722885" w:rsidRDefault="00090C9B" w:rsidP="00722885">
      <w:pPr>
        <w:pStyle w:val="Iauiue"/>
        <w:jc w:val="both"/>
        <w:rPr>
          <w:color w:val="000000" w:themeColor="text1"/>
          <w:sz w:val="16"/>
          <w:szCs w:val="16"/>
        </w:rPr>
      </w:pPr>
    </w:p>
    <w:p w14:paraId="18E5C9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1942 г. по приказу № 707с завод Завод № 457 НКАП /г. Москва Наставнический пер., 3 (02.1942 г.)/ влит в состав завода № 464 НКАП и выбыл из числа действующих (11982).</w:t>
      </w:r>
    </w:p>
    <w:p w14:paraId="4270D18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D2201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1942 г. по приказу № 707с завод № 241 НКАП к 10.1942 г. переведен на площадку завода № 463 НКАП и влит в его состав.</w:t>
      </w:r>
    </w:p>
    <w:p w14:paraId="1CA826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в Москве действовал завод № 241.</w:t>
      </w:r>
    </w:p>
    <w:p w14:paraId="79EAA9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(1942 г.-)- А.Н. Рафаэлянц.</w:t>
      </w:r>
    </w:p>
    <w:p w14:paraId="3A6A8F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(-1942 г.)- А.Н. Рафаэлянц.</w:t>
      </w:r>
    </w:p>
    <w:p w14:paraId="2514D5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планеры: КЦ-2 (1941)- 2, А-7.</w:t>
      </w:r>
    </w:p>
    <w:p w14:paraId="2B552A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ОКБ гл. конструктора </w:t>
      </w:r>
      <w:r w:rsidRPr="00722885">
        <w:rPr>
          <w:rFonts w:ascii="Times New Roman" w:hAnsi="Times New Roman"/>
          <w:color w:val="000000" w:themeColor="text1"/>
          <w:sz w:val="16"/>
          <w:szCs w:val="16"/>
          <w:lang w:val="en-US"/>
        </w:rPr>
        <w:t>O</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K</w:t>
      </w:r>
      <w:r w:rsidRPr="00722885">
        <w:rPr>
          <w:rFonts w:ascii="Times New Roman" w:hAnsi="Times New Roman"/>
          <w:color w:val="000000" w:themeColor="text1"/>
          <w:sz w:val="16"/>
          <w:szCs w:val="16"/>
        </w:rPr>
        <w:t>. Антонова при заводе № 241 НКАП</w:t>
      </w:r>
    </w:p>
    <w:p w14:paraId="7D3B32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модификации планеров А-7, А-2.</w:t>
      </w:r>
    </w:p>
    <w:p w14:paraId="63087E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618с от 12.08.1942 г. ОКБ Антонова переведено с завода № 241 в Тушино на завод № 464 НКАП для продолжения работ по планерам (11982).</w:t>
      </w:r>
    </w:p>
    <w:p w14:paraId="57DD03A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4E2C5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1942 г. по приказу № 707с на площадку завода № 463 (Завод № 463 НКАП, МАП /г. Рязань/) к 10.1942 г. переведен из Тюмени завод № 241 НКАП с производством планера А-7 и влит в состав завода № 463. В годы войны производство лафетов вооружения, подвесных баков, наземного оборудования для техобслуживания самолетов, запчастей для У-2. Строились планеры Г-9, А-7. С 08.1942 г.- освоение выпуска подвесных кабин для У-2 и Р-5.</w:t>
      </w:r>
    </w:p>
    <w:p w14:paraId="1AB944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730с от 4.12.1943 г. на заводе № 463 организовано КБ по десантным планерам. В него переведен с завода № 471 и влит коллектив ОКБ В.К. Грибовского, который назначен гл. конструктором завода № 463.</w:t>
      </w:r>
    </w:p>
    <w:p w14:paraId="508B1D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306с/ 203пс от 24.07.1945 г. заводу передан личный состав и оборудование ликвидированного завода № 471 НКАП. С 1943 г.- подготова производства планера Г-11 (Гр-29).</w:t>
      </w:r>
    </w:p>
    <w:p w14:paraId="03FB3E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310с от 17.05.1947 г. вновь оговорена организация при заводе ОКБ по десантным планерам. Грибовский назначен директором завода. Тем же приказом завод оставлен в 11 ГУ, а ОКБ-463 подчинено 7ГУ. Вело сопровождение серии планеров Г-9, Г-11.</w:t>
      </w:r>
    </w:p>
    <w:p w14:paraId="588BB0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1948 г. планерное производство прекращено. Строился По-2 и его модификация «аэропыла»- </w:t>
      </w:r>
      <w:r w:rsidRPr="00722885">
        <w:rPr>
          <w:rFonts w:ascii="Times New Roman" w:hAnsi="Times New Roman"/>
          <w:color w:val="000000" w:themeColor="text1"/>
          <w:sz w:val="16"/>
          <w:szCs w:val="16"/>
          <w:lang w:val="en-US"/>
        </w:rPr>
        <w:t>AIL</w:t>
      </w:r>
    </w:p>
    <w:p w14:paraId="01FD80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440с от 21.06.1948 г. ОКБ-463 реорганизовано с 1.07.1948 г. в Серийное КБ завода № 463 МАП.</w:t>
      </w:r>
    </w:p>
    <w:p w14:paraId="7531BC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Еще в начале 1945 г. на заводе приступили к организации производства опознавательной аппаратуры. С 1951 г. завод полностью переведен на выпуск радиоаппаратуры, для чего с 1.09.1950 г. передан из 11ГУ в 17ГУ МАП.</w:t>
      </w:r>
    </w:p>
    <w:p w14:paraId="100F24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проведена реконструкция. Начато серийное производство РЛ-оборудования и БРЛС для Ил-28.</w:t>
      </w:r>
    </w:p>
    <w:p w14:paraId="30050A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1950-х  г. при заводе № 463 образовался филиал ОКБ-339 МАП для решения вопросов, связанных с серийным производством БРЛС. С 08.1957 г. при реорганизации аппарата МАП (передачи серийных заводов в СНХ) филиал ОКБ-339 на заводе № 463 передан во вновь образованное 4ГУ МАП.</w:t>
      </w:r>
    </w:p>
    <w:p w14:paraId="4C7CF5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СМ СССР № 713-342 от 26.06.1957 г. завод передан в ведение Рязанского СНХ РСФСР, с 1965 г. снова в МАП.</w:t>
      </w:r>
    </w:p>
    <w:p w14:paraId="70DF45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вероятно, завод имел наименование «п/я 141» и в 1963 г. был переименован в завод «Красное знамя».</w:t>
      </w:r>
    </w:p>
    <w:p w14:paraId="40789F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(08.1942 г.)- П.А. Букреев, (01.1943 г.)- П.В. Рычков, (12.1943; 06.1946 г.)- И.И. Девяткин, (02.1945 г.)- И.И. Копошилко, (05.1947 г.-)- В.К. Грибовский, (1951-52 г.)- А.Н. Голенищев, (1953-65 г.)- К.А. Машевский.</w:t>
      </w:r>
    </w:p>
    <w:p w14:paraId="6E9C1B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(12.1943 г.-)- В.К. Грибовский {7.09.1899-77}.</w:t>
      </w:r>
    </w:p>
    <w:p w14:paraId="75E4F1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производства (-1965 г.)- В.Д. Мельничук.</w:t>
      </w:r>
    </w:p>
    <w:p w14:paraId="6B1778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Н.И. Вахромов, В.Д. Мельничук.</w:t>
      </w:r>
    </w:p>
    <w:p w14:paraId="7E85D2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планеры: Г-9, А-7 (ВОВ), Г-11 (1943-45; 1946-48), Г-31 (1948); самолет По-2А (1946-49); крылья, в/винты; катапультные кресла, наземное оборудование для МиГ-15; прицельная станция бомбометания и навигации ПСБН-М для Ил-28 (1951); РЛС: РП-6 «Сокол» для Як-25М (1954-), «Эмблема» для Ил-18 (1956-), РЛ прицел РП-11 «Орел» для Су-11, Су-15, Як-28П (1959-).</w:t>
      </w:r>
    </w:p>
    <w:p w14:paraId="6EE241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ПО «Красное знамя» МРП, п/я 141, АООТ, ОАО «Завод «Красное знамя» /390043  г. Рязань пр. Шабулина, 2А тел. 93-85-17/</w:t>
      </w:r>
    </w:p>
    <w:p w14:paraId="78EED7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был в 1951 г. В конце 1950-х  г. освоен выпуск РЛ прицелов бомбометания для Ил-28.</w:t>
      </w:r>
    </w:p>
    <w:p w14:paraId="7DD97D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1963 г. предприятие «п/я 141» переименовано в завод «Красное знамя». В 1965 г. по приказу МРП из состава завода выделен самостоятельный ГРПЗ с производством авиационного РЭО.</w:t>
      </w:r>
    </w:p>
    <w:p w14:paraId="1BC1F9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1960-е  г. выпускалась РЭА для РН «Союз», «Протон». С конца 1960-х  г. - наземная аппаратура ЗРК СНР- 75РД, затем - бортовая аппаратура для С-200, С-300П, бортовые вычислительные комплексы для ракет морского базирования.</w:t>
      </w:r>
    </w:p>
    <w:p w14:paraId="7B8F25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1973 г. на базе завода «Красное знамя» создано ПО, в которое также вошло РКБ «Глобус».</w:t>
      </w:r>
    </w:p>
    <w:p w14:paraId="3DA767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1994 г. ПО «Красное знамя» преобразовано в АООТ «Завод «Красное знамя», с 1997 г.- ОАО.</w:t>
      </w:r>
    </w:p>
    <w:p w14:paraId="5A4506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505E2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(2004 г.): СКБ; промышленная испытательная лаборатория; (2008 г.) НПЦ. Имелись производства: точная механообработка, слесарно-каркасное и штамповочное, сварочное, термообработка, волноводов, гальваническое, электроэлементов и моточных узлов, инструментальное, двухслойных и многослойных печатных плат, сборочное радиоэлектронных изделий, лакокрасочных покрытий рабочих фотошаблонов для изготовления печатных плат, тонкопленочные технологии, настроечно-регулировочные работы и испытания РЭА.</w:t>
      </w:r>
    </w:p>
    <w:p w14:paraId="6DCF81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(1965-77 г.)- К.А. Машевский. Гендиректор (1994-96 г.)- С.Я. Выренков, (1996-2000 г.)- В.Ф. Шумилин, (2000-07 г.-)- А.И. Мороз.</w:t>
      </w:r>
    </w:p>
    <w:p w14:paraId="4CA7D1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по производству- П.П. Писчиков; по реконструкции и техническому перевооружению производства, эксплуатации основных фондов и оборудования- А.И. Мороз; по производству ТНП- В.Ф. Шумилин.</w:t>
      </w:r>
    </w:p>
    <w:p w14:paraId="5D0B0F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производства- И.А. Худыш. Коммерческий директор (2004 г.)- А.С. Евтюхин. Технический директор (2004 г.)- Д.Н. Адамов.</w:t>
      </w:r>
    </w:p>
    <w:p w14:paraId="0C57C0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(-1973 г.)- И.А. Худыш, (-1989 г.)- С.Я. Выренков, (-1996 г.)- В.Ф. Шумилин, (-2000 г.)- А.И. Мороз, (-2002 г.)- Д.А. Белых.</w:t>
      </w:r>
    </w:p>
    <w:p w14:paraId="1D8CC7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инженера- Д.А. Белых.</w:t>
      </w:r>
    </w:p>
    <w:p w14:paraId="3CC88E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контролер- С.Я. Выренков.</w:t>
      </w:r>
    </w:p>
    <w:p w14:paraId="751856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отделений: спецтехники- А.Н. Большаков.</w:t>
      </w:r>
    </w:p>
    <w:p w14:paraId="41CAB3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Д.А. Белых, (1982 г.-)- П.П. Писчиков, (-1997 г.)- Б.В. Сорокин, И.А. Худыш, В.Ф. Шумилин.</w:t>
      </w:r>
    </w:p>
    <w:p w14:paraId="1863C8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цеха: С.Я. Выренков, Б.В. Сорокин, В.Ф. Шумилин.</w:t>
      </w:r>
    </w:p>
    <w:p w14:paraId="4710E4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(-1997 г.)- А.Н. Большаков, С.Я. Выренков, (1991 г.-)- А.И. Мороз, П.П. Писчиков.</w:t>
      </w:r>
    </w:p>
    <w:p w14:paraId="6E2157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отдела: Д.А. Белых.</w:t>
      </w:r>
    </w:p>
    <w:p w14:paraId="101758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Начальники секторов: (2000-е)-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JI</w:t>
      </w:r>
      <w:r w:rsidRPr="00722885">
        <w:rPr>
          <w:rFonts w:ascii="Times New Roman" w:hAnsi="Times New Roman"/>
          <w:color w:val="000000" w:themeColor="text1"/>
          <w:sz w:val="16"/>
          <w:szCs w:val="16"/>
        </w:rPr>
        <w:t>. Колесников.</w:t>
      </w:r>
    </w:p>
    <w:p w14:paraId="6AA1D7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радиоизмерительной- И.А. Худыш.</w:t>
      </w:r>
    </w:p>
    <w:p w14:paraId="5DDC2A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бюро: КРТБ- А.Н. Большаков.</w:t>
      </w:r>
      <w:r w:rsidRPr="00722885">
        <w:rPr>
          <w:rFonts w:ascii="Times New Roman" w:hAnsi="Times New Roman"/>
          <w:color w:val="000000" w:themeColor="text1"/>
          <w:sz w:val="16"/>
          <w:szCs w:val="16"/>
          <w:vertAlign w:val="superscript"/>
        </w:rPr>
        <w:t>130</w:t>
      </w:r>
    </w:p>
    <w:p w14:paraId="624991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телевизоры:</w:t>
      </w:r>
      <w:r w:rsidRPr="00722885">
        <w:rPr>
          <w:rFonts w:ascii="Times New Roman" w:hAnsi="Times New Roman"/>
          <w:color w:val="000000" w:themeColor="text1"/>
          <w:sz w:val="16"/>
          <w:szCs w:val="16"/>
        </w:rPr>
        <w:t xml:space="preserve"> «Юность Р-603», «Сапфир-401, -402, -412, -455, 23ТБ-307, 23ТБ-311, 23ТБ-406, 23ТБ-431, 37ТЦ-4324, 37ТЦ-5211, 37ТЦ-6211, 37ТЦ-7311»; антенна СТВ-30; (2004 г.): система автоматизированного ведения пригородного электропоезда САВПЭ-М1; автоматизированная система прецизионного контроля печатных плат АСПК-ПП; извещатели: пожарный оптико-электронный ИП 212-49 (ДИП-49), охранный поверхностный вибрационный «Грань-2М», охранный объемный «Сапфир-ИК», прибор объемно-контрольныйпожарный ППКП-019-20/60-3; сигнализатор уровня жидкости СУЖ-П-И, информационно- измерительная система ИИС-2М, оптоволоконный сигнализатор горения СГ-02; горелки: дизельные РУСНИТ- 50100, газовые, автоматизированные электрокотлы РУСНИТ; светомузыкальный бокал </w:t>
      </w:r>
      <w:r w:rsidRPr="00722885">
        <w:rPr>
          <w:rFonts w:ascii="Times New Roman" w:hAnsi="Times New Roman"/>
          <w:color w:val="000000" w:themeColor="text1"/>
          <w:sz w:val="16"/>
          <w:szCs w:val="16"/>
          <w:lang w:val="en-US"/>
        </w:rPr>
        <w:t>cMB</w:t>
      </w:r>
      <w:r w:rsidRPr="00722885">
        <w:rPr>
          <w:rFonts w:ascii="Times New Roman" w:hAnsi="Times New Roman"/>
          <w:color w:val="000000" w:themeColor="text1"/>
          <w:sz w:val="16"/>
          <w:szCs w:val="16"/>
        </w:rPr>
        <w:t>-3.</w:t>
      </w:r>
      <w:r w:rsidRPr="00722885">
        <w:rPr>
          <w:rFonts w:ascii="Times New Roman" w:hAnsi="Times New Roman"/>
          <w:color w:val="000000" w:themeColor="text1"/>
          <w:sz w:val="16"/>
          <w:szCs w:val="16"/>
          <w:vertAlign w:val="superscript"/>
          <w:lang w:val="en-US"/>
        </w:rPr>
        <w:t>wwwkrasn</w:t>
      </w:r>
      <w:r w:rsidRPr="00722885">
        <w:rPr>
          <w:rFonts w:ascii="Times New Roman" w:hAnsi="Times New Roman"/>
          <w:color w:val="000000" w:themeColor="text1"/>
          <w:sz w:val="16"/>
          <w:szCs w:val="16"/>
          <w:vertAlign w:val="superscript"/>
        </w:rPr>
        <w:t>0</w:t>
      </w:r>
      <w:r w:rsidRPr="00722885">
        <w:rPr>
          <w:rFonts w:ascii="Times New Roman" w:hAnsi="Times New Roman"/>
          <w:color w:val="000000" w:themeColor="text1"/>
          <w:sz w:val="16"/>
          <w:szCs w:val="16"/>
          <w:vertAlign w:val="superscript"/>
          <w:lang w:val="en-US"/>
        </w:rPr>
        <w:t>yeznamyara</w:t>
      </w:r>
    </w:p>
    <w:p w14:paraId="3B61AC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Рязанское КБ (РКБ) «Глобус», ФГУП «РКБ «Глобус» /390013  г. Рязань ул. Высоковольтная, 6 тел. 75-32-08/</w:t>
      </w:r>
    </w:p>
    <w:p w14:paraId="2D1D18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по приказу МАП № 642 от 27.09.1955 г. для разработки первых отечественных автономных систем автоматизированного контроля.</w:t>
      </w:r>
    </w:p>
    <w:p w14:paraId="5032E5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1973 г. РКБ «Глобус» вошло в состав ПО «Красное знамя» (с самостоятельным балансом). В 1982 г. РКБ вышло из состава ПО.</w:t>
      </w:r>
    </w:p>
    <w:p w14:paraId="4B8FDF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97CE7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(2005 г.): автоматизированные контрольно-испытательные передвижные станции (АКИПС) для ТО изделий при эксплуатации в жестких условиях; автоматизированные контрольно-испытательные стационарные станции (АКИС); автоматизированная контрольно-измерительная аппаратура (АКИА).</w:t>
      </w:r>
    </w:p>
    <w:p w14:paraId="77D531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составе РКБ (2005 г.): научно-исследовательские подразделения, ОП, испытательная база, управленческие и обслуживающие подразделения.</w:t>
      </w:r>
    </w:p>
    <w:p w14:paraId="48D83A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(1989-2006 г.-)- Н.Н. Пономарев.</w:t>
      </w:r>
    </w:p>
    <w:p w14:paraId="2A4D67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(2004 г.)- Н.Н. Пономарев.</w:t>
      </w:r>
    </w:p>
    <w:p w14:paraId="7687E0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конструкторов: (-1970 г.)- А.Н. Осокин.</w:t>
      </w:r>
    </w:p>
    <w:p w14:paraId="55C43F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w:t>
      </w:r>
      <w:r w:rsidRPr="00722885">
        <w:rPr>
          <w:rFonts w:ascii="Times New Roman" w:hAnsi="Times New Roman"/>
          <w:color w:val="000000" w:themeColor="text1"/>
          <w:sz w:val="16"/>
          <w:szCs w:val="16"/>
        </w:rPr>
        <w:t xml:space="preserve"> автоматизированные системы ТО и контроля: 5К13, 5К43, 9В91, 9В95, 9В91М, 9В95М, 9В930, 9В97, 9В98, 70К6, 80К6,22Д6,23Д6,24Д6, Л088, «ОКА»; экспортные «ОКА-Э-1», «ОКА-190», АКИС 9В930М-1.</w:t>
      </w:r>
      <w:r w:rsidRPr="00722885">
        <w:rPr>
          <w:rFonts w:ascii="Times New Roman" w:hAnsi="Times New Roman"/>
          <w:color w:val="000000" w:themeColor="text1"/>
          <w:sz w:val="16"/>
          <w:szCs w:val="16"/>
          <w:vertAlign w:val="superscript"/>
        </w:rPr>
        <w:t xml:space="preserve">101 </w:t>
      </w:r>
      <w:r w:rsidRPr="00722885">
        <w:rPr>
          <w:rFonts w:ascii="Times New Roman" w:hAnsi="Times New Roman"/>
          <w:color w:val="000000" w:themeColor="text1"/>
          <w:sz w:val="16"/>
          <w:szCs w:val="16"/>
        </w:rPr>
        <w:t>Рязанский государственный приборный завод, ПО «Радиоприбор», ФГУП «Государственный Рязанский приборный завод» (ГРПЗ) ФАП /г. Рязань а/я 159/</w:t>
      </w:r>
    </w:p>
    <w:p w14:paraId="64BFDB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/390000  г. Рязань ул. (Каляева) Семинарская, 32 тел. (0912) 77-23-27,21-61-47/</w:t>
      </w:r>
    </w:p>
    <w:p w14:paraId="2F4A37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1965 г. из состава завода «Красное знамя» выделился самостоятельный Рязанский государственный приборный завод для производства авиационного РЭО. В 1979 г. действовало ПО «Радиоприбор».</w:t>
      </w:r>
    </w:p>
    <w:p w14:paraId="4D3A7E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1970-е  г. проведена реконструкция завода.</w:t>
      </w:r>
    </w:p>
    <w:p w14:paraId="581378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1990-е  г. велась разработка перспективных РЛПК совместно с НИИП им. Тихомирова. Подготовлено производство ФАР для РЛПК легких истребителей «Оса».</w:t>
      </w:r>
    </w:p>
    <w:p w14:paraId="7E0FE4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завод преобразован в ГП, далее - ФГУП ГРПЗ. В 1996 г. ГРПЗ вошёл в ВПК «МАЛО». По Указу Президента РФ № 1009 от 4.08.2004 г. вошло в перечень стратегических оборонных предприятий.</w:t>
      </w:r>
    </w:p>
    <w:p w14:paraId="42CAD4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1997 г. освоен выпуск медицинской техники.</w:t>
      </w:r>
    </w:p>
    <w:p w14:paraId="7A57C3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Имеет филиал (2002 г.)- Касимовский приборный завод.</w:t>
      </w:r>
    </w:p>
    <w:p w14:paraId="1404DC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Направления деятельности (2003 г.): РЭО для военной и гражданской авиации; системы управления вооружением, включая РЛС, антенные системы с электронным управлением лучом; изделия связи, телеметрии, точной механики, медицинской техники; (2005 г.): разработка многофункциональной системы обработки видеоизображений «Охотник» для оптико-электронной станции сопровождения целей; (2006 г.): лазерно-лучевые системы наведения (ЛЛСН) управляемого оружия.</w:t>
      </w:r>
    </w:p>
    <w:p w14:paraId="1993AB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2006 г. передана документация и велась подготовка к выпуску РЛ системы управления «Ирбис-Э» для Су-35.</w:t>
      </w:r>
    </w:p>
    <w:p w14:paraId="51252E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(1965-79 г.)- В.Д. Мельничук. Гендиректор (1979-85 г.)- А.И. Канащенков, (1985-94 г.)- А.Н. Червяков, (1994-2007 г.-)- А.Н. Червяков.</w:t>
      </w:r>
    </w:p>
    <w:p w14:paraId="1A6C0E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гендиректора (1994-2007 г.-)- Ю.И. Зеленюк. Зам. директора: по производству (-1988 г.)- Ю.И. Зеленюк; по общим вопросам и капстроительству (-1991 г.)- А.И. Мороз.</w:t>
      </w:r>
    </w:p>
    <w:p w14:paraId="3E645A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по производству и сбыту (2002 г.)- А. Г. Копнов;</w:t>
      </w:r>
      <w:r w:rsidRPr="00722885">
        <w:rPr>
          <w:rFonts w:ascii="Times New Roman" w:hAnsi="Times New Roman"/>
          <w:color w:val="000000" w:themeColor="text1"/>
          <w:sz w:val="16"/>
          <w:szCs w:val="16"/>
          <w:vertAlign w:val="superscript"/>
        </w:rPr>
        <w:t>69</w:t>
      </w:r>
      <w:r w:rsidRPr="00722885">
        <w:rPr>
          <w:rFonts w:ascii="Times New Roman" w:hAnsi="Times New Roman"/>
          <w:color w:val="000000" w:themeColor="text1"/>
          <w:sz w:val="16"/>
          <w:szCs w:val="16"/>
        </w:rPr>
        <w:t xml:space="preserve"> технический (1994-2007 г.-)- Ю.И. Зеленюк; Научно-конструкторского центра (НКЦ) (-2003-06 г.-)- Л. Костяшкин; Научно-технического центра (НТЦ) (-2003- 06 г.-)-  Г. Колодько; центра видеотехнологий (2007 г.)- Л. Костяшкин. Начальник производственного комплекса (2007 г.)- Ю. Клищенко.</w:t>
      </w:r>
    </w:p>
    <w:p w14:paraId="2AE611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Управляющий по коммерции (2001 г.)- В.В. Поспелов.</w:t>
      </w:r>
    </w:p>
    <w:p w14:paraId="573853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технического директора по ИАСУ (2007 г.)- А. Бурмакин.</w:t>
      </w:r>
    </w:p>
    <w:p w14:paraId="26E17C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(1965-71 г.)- С.Я. Гутник, (1971-88 г.)- Н.И. Вахромов. (1988-94 г.)- Ю.И. Зеленюк.</w:t>
      </w:r>
    </w:p>
    <w:p w14:paraId="3367BE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инженера- А.Н. Червяков.</w:t>
      </w:r>
    </w:p>
    <w:p w14:paraId="2E05D5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 А.Н. Червяков, (2007 г.)- М. Грибков. Гл. контролер (-1965 г.)- С .Я. Гутник, (-1971 г.)- Н.И. Вахромов.</w:t>
      </w:r>
    </w:p>
    <w:p w14:paraId="30EBDE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контролера- С.Я. Гутник.</w:t>
      </w:r>
    </w:p>
    <w:p w14:paraId="63D5F1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направления (2006 г.)- В. Семенков, (2006 г.)- В. Лебедев, (2007 г.)- Ю. Романов; НКЦ (-2003- 07 г.-)- Л. Костяшкин.</w:t>
      </w:r>
    </w:p>
    <w:p w14:paraId="219B4C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направления (2006 г.)- С. Стрепетов.</w:t>
      </w:r>
    </w:p>
    <w:p w14:paraId="5DC408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управлений: А.И. Мороз.</w:t>
      </w:r>
    </w:p>
    <w:p w14:paraId="447C26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Ю.И. Зеленюк, А.И. Мороз, А.Н. Червяков. Начальник КБ- С.Я. Гутник. Начальник ЭРМ, ЭРБ- С .Я. Гутник.</w:t>
      </w:r>
    </w:p>
    <w:p w14:paraId="69E5C9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цеха: Ю.И. Зеленюк, А.И. Мороз. Зам. начальника ОКБ- А.Н. Червяков. Зам. начальника НТЦ (2003 г.)- Е. Шершнев.</w:t>
      </w:r>
    </w:p>
    <w:p w14:paraId="2F7D20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групп: Ю.И. Зеленюк.</w:t>
      </w:r>
      <w:r w:rsidRPr="00722885">
        <w:rPr>
          <w:rFonts w:ascii="Times New Roman" w:hAnsi="Times New Roman"/>
          <w:color w:val="000000" w:themeColor="text1"/>
          <w:sz w:val="16"/>
          <w:szCs w:val="16"/>
          <w:vertAlign w:val="superscript"/>
        </w:rPr>
        <w:t>130</w:t>
      </w:r>
    </w:p>
    <w:p w14:paraId="6E41E3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РЛС:</w:t>
      </w:r>
      <w:r w:rsidRPr="00722885">
        <w:rPr>
          <w:rFonts w:ascii="Times New Roman" w:hAnsi="Times New Roman"/>
          <w:color w:val="000000" w:themeColor="text1"/>
          <w:sz w:val="16"/>
          <w:szCs w:val="16"/>
        </w:rPr>
        <w:t xml:space="preserve"> «Эмблема» для Ил-18 (1956-90-е), «изд. 323» для МиГ-23 (1969-), «Жук» для МиГ-29; РЛ прицел РП-11 «Орел» доя Су-11, Су-15, Як-28П (1959-);</w:t>
      </w:r>
      <w:r w:rsidRPr="00722885">
        <w:rPr>
          <w:rFonts w:ascii="Times New Roman" w:hAnsi="Times New Roman"/>
          <w:iCs/>
          <w:color w:val="000000" w:themeColor="text1"/>
          <w:sz w:val="16"/>
          <w:szCs w:val="16"/>
        </w:rPr>
        <w:t xml:space="preserve"> РЛПК:</w:t>
      </w:r>
      <w:r w:rsidRPr="00722885">
        <w:rPr>
          <w:rFonts w:ascii="Times New Roman" w:hAnsi="Times New Roman"/>
          <w:color w:val="000000" w:themeColor="text1"/>
          <w:sz w:val="16"/>
          <w:szCs w:val="16"/>
        </w:rPr>
        <w:t xml:space="preserve"> Н001, Н003, Н008, Н019 для МиГ-29, Ш-101 для Су-27 и Су-30, Н025Э для Ми-28НЭ (2005); навигационные РЛС РПСН-2, РПСН-3, КПЗ-А для Ил-18, Ан-24, Ан-26, Ил-76 и др.; системы управления для БР «СОБ», «ДРОБ»; БЦВМ «Багет-54» для РЛПК «Оса» (2003); ГН для авиаторпед «Щука»; бортовые радиотехнические системы ближней навигации для пассажирских и транспортных самолетов РСБН-85; ответчики госопознавания для всех отечественных ЛА: СРО, интегрированный 4280Э (2005); СУО для МиГ-29 и Су-27, РЛСУ «Барс» для Су-30МКИ, «Барс-29» для модернизации МиГ-29, РЛПК «Оса», РЭС «Адъютант», бортовая вычислительная машина «Соло-54»; выходные усилители мощности СВЧ-передатчико'в ЖР-2, КВУМ-716, Н11-2-01ИР (2005), модуль комплексированияи улучшения видеоизображений для танкового прибора наблюдения ТВН-10 (2007); изделия связи, телеметрии (2004 г.); система обработки информации (СОИ) «Охотник»; учебно-действующий стенд Н-19Э для обучения летно-технического персонала (2002); оптическая система телекоммуникаций «Мост», цифровые АТС «Протон- ССС», ЭАТС «Элком», РРЛ «Перевал», многоканальная система передачи ОК-420А, радиостанции «Заря» (2002), аппаратура для систем телемеханики (КП-Р, БРУ, М/ДК, «Гамма-КП», модем М50/200-Р), сварочные аппараты «Форсаж», печатные платы, медицинская техника (прибор измерения вну триглазного давления ИГД-02, ТГДц-01, электрокардиограф «Лекард»), сигнализатор «Метан», счетчики электроэнергии СЭТ-1, СЭТ-3, «Гамма» (2005); магнитофоны: «Русь-205, -207С, -309, М-309, М-310, П-310С», «Вымпел М-401», «Юниор», «Юниор-М»; магнитолы: «Русь-211С, РМ-212С»; «Русь </w:t>
      </w:r>
      <w:r w:rsidRPr="00722885">
        <w:rPr>
          <w:rFonts w:ascii="Times New Roman" w:hAnsi="Times New Roman"/>
          <w:color w:val="000000" w:themeColor="text1"/>
          <w:sz w:val="16"/>
          <w:szCs w:val="16"/>
          <w:lang w:val="en-US"/>
        </w:rPr>
        <w:t>Bn</w:t>
      </w:r>
      <w:r w:rsidRPr="00722885">
        <w:rPr>
          <w:rFonts w:ascii="Times New Roman" w:hAnsi="Times New Roman"/>
          <w:color w:val="000000" w:themeColor="text1"/>
          <w:sz w:val="16"/>
          <w:szCs w:val="16"/>
        </w:rPr>
        <w:t>-201».</w:t>
      </w:r>
      <w:r w:rsidRPr="00722885">
        <w:rPr>
          <w:rFonts w:ascii="Times New Roman" w:hAnsi="Times New Roman"/>
          <w:color w:val="000000" w:themeColor="text1"/>
          <w:sz w:val="16"/>
          <w:szCs w:val="16"/>
          <w:vertAlign w:val="superscript"/>
          <w:lang w:val="en-US"/>
        </w:rPr>
        <w:t>wwgrpzru</w:t>
      </w:r>
      <w:r w:rsidRPr="00722885">
        <w:rPr>
          <w:rFonts w:ascii="Times New Roman" w:hAnsi="Times New Roman"/>
          <w:color w:val="000000" w:themeColor="text1"/>
          <w:sz w:val="16"/>
          <w:szCs w:val="16"/>
        </w:rPr>
        <w:t>'</w:t>
      </w:r>
    </w:p>
    <w:p w14:paraId="70D247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Касимовский приборный завод, Государственный Касимовский приборный завод</w:t>
      </w:r>
    </w:p>
    <w:p w14:paraId="4E13A7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/391300 (391330)  г. Касимов Рязанской обл. ул. Индустриальная, 3/</w:t>
      </w:r>
    </w:p>
    <w:p w14:paraId="62FAF3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Касимовский приборный завод образован в 1971 г. как филиал ГРПЗ (и был им на 2002 г.).</w:t>
      </w:r>
    </w:p>
    <w:p w14:paraId="50653E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магнитофоны: «Вымпел М-401, М-411С», «Юниор-М»; магнитола «Вымпел РМ-421» (11982).</w:t>
      </w:r>
    </w:p>
    <w:p w14:paraId="5716C2DD" w14:textId="77777777" w:rsidR="00A65CDA" w:rsidRPr="00722885" w:rsidRDefault="00A65CDA" w:rsidP="00722885">
      <w:pPr>
        <w:spacing w:after="0" w:line="240" w:lineRule="auto"/>
        <w:jc w:val="both"/>
        <w:rPr>
          <w:rFonts w:ascii="Times New Roman" w:hAnsi="Times New Roman"/>
          <w:color w:val="000000" w:themeColor="text1"/>
          <w:sz w:val="16"/>
          <w:szCs w:val="16"/>
        </w:rPr>
      </w:pPr>
    </w:p>
    <w:p w14:paraId="1F3E77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1942 г. вышел приказ НКАП:</w:t>
      </w:r>
    </w:p>
    <w:p w14:paraId="3A8A5D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создания необходимой мощности для производства Як-6 в Москве объединить завод №464, изготавливающий десантные планеры, и заводы №388 и №457 по производству деревянных агрегатов самолетов, присвоив объединенному заводу номер 464». Бывший завод №388 стал Филиалом №1 завода №464. Заведовал им инженер Лавренов. Задачей Филиала было «производство крыла самолета со всеми монтирующимися на нем механизмами и легкими агрегатами» (10752).</w:t>
      </w:r>
    </w:p>
    <w:p w14:paraId="692BA19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E295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1942 г. нарком Шахурин издал приказ: «В целях создания необходимой мощности для производства Як-6 в Москве объединить завод №464, изготавливающий десантные планеры, и заводы №388 и №457 по производству деревянных агрегатов самолетов, присвоив объединенному заводу номер 464». Бывший завод №388 стал Филиалом №1 завода №464. Заведовал им инженер Лавренов. Задачей Филиала было «производство крыла самолета со всеми монтирующимися на нем механизмами и легкими агрегатами».</w:t>
      </w:r>
    </w:p>
    <w:p w14:paraId="149B22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Выпускать крылья Як-6 заводу на 2-й Рыбинской долго не пришлось. 10 октября 1942 г. последовал приказ наркома авиапромышленности «Об увеличении выпуска самолетов-истребителей», в соответствии с которым несколько заводов останавливали выпуск тяжелых машин и спешно переходили на строительство только легких истребителей. В их числе оказался и завод №381 в Москве. Он прекратил выпуск Ил-2 и переключился на строительство истребителей Ла-5. Завод обладал всем необходимым оборудованием для освоения производства истребителей, за исключением деревообделочного цеха. Этот недостаток руководство НКАП решило устранить переподчинением завода на 2-й Рыбинской новому предприятию. 10 августа 1943 г. нарком Шахурин распорядился: «...Директору завода №464 тов.Перовскому передать к 25.08.43 заводу №381 для организации деревообделочного производства московский филиал завода №464 (быв. Красносельская мебельная фабрика), кроме территории 2». Крылья Як-6 в производственной программе Филиала 1 заменили крылья Ла-5, а затем и Ла-7.</w:t>
      </w:r>
    </w:p>
    <w:p w14:paraId="1E7D3C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расположенной между 3-й и 2-й Рыбинскими улицами «территории №2» бывшей мебельной фабрики судьба с 1943 г. стала складываться по-другому (11242).</w:t>
      </w:r>
    </w:p>
    <w:p w14:paraId="4583F94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2FE6D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1942 г. по приказу НКАП № 707с в состав завода № 464 в Тушино влиты заводы № 388 и № 457 НКАП. Профиль завода изменен: вместо А-7 началось производство самолета Як-6 (10776).</w:t>
      </w:r>
    </w:p>
    <w:p w14:paraId="25ACA8F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BDB8E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16 сентября 1942 г. завод №464 для обеспечения производства самолетов Як-6 в соответствии с приказом НКАП №707 был объединен с мощностями завода №388 НКАП и завода №457 НКАП с образованием единого завода №464 НКАП. Изготовление планеров в связи с этим прекращено. Производство Як-6 шло здесь в период 1942-43гг. В соответствии с приказом №174 от 27.3.43 г. заводу №464 были переданы часть личного состава, металлорежущего оборудование реэвакуированного из г.Алапаевска завода №445 НКАП (10777). </w:t>
      </w:r>
    </w:p>
    <w:p w14:paraId="61063F6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7BC67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1942 г. по приказу № 707с в состав завода № 464 влиты заводы № 388 и № 457 НКАП. Профиль завода изменен: вместо А-7 началось производство самолета Як-6.</w:t>
      </w:r>
    </w:p>
    <w:p w14:paraId="21DD91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789с от 19.10.1942 г. при заводе № 464 образована группа ПМ (пластмасс), в ее состав переведен коллектив ОКБ завода № 294 НКАП гл. конструктора Д.А. Михайлова.</w:t>
      </w:r>
    </w:p>
    <w:p w14:paraId="4C219A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По приказу № 174с от 27.03.1943 г. заводу № 464 переданы часть личного состава, оборудования и материалы завода № 445 НКАП.</w:t>
      </w:r>
    </w:p>
    <w:p w14:paraId="4034FE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4C061F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21EC2C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1944 г. выпущена экспериментальная партия высокоточных планирующих бомб.</w:t>
      </w:r>
      <w:r w:rsidRPr="00722885">
        <w:rPr>
          <w:rFonts w:ascii="Times New Roman" w:hAnsi="Times New Roman"/>
          <w:color w:val="000000" w:themeColor="text1"/>
          <w:sz w:val="16"/>
          <w:szCs w:val="16"/>
          <w:vertAlign w:val="superscript"/>
        </w:rPr>
        <w:t>104</w:t>
      </w:r>
    </w:p>
    <w:p w14:paraId="7C7084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039D99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500C97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E1131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03.1958 г. при заводе создано ОКБ.</w:t>
      </w:r>
    </w:p>
    <w:p w14:paraId="44A221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01.1964 г. началось освоение производства Ан-2М.</w:t>
      </w:r>
    </w:p>
    <w:p w14:paraId="1AF5A5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5CEC6E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722885">
        <w:rPr>
          <w:rFonts w:ascii="Times New Roman" w:hAnsi="Times New Roman"/>
          <w:color w:val="000000" w:themeColor="text1"/>
          <w:sz w:val="16"/>
          <w:szCs w:val="16"/>
          <w:vertAlign w:val="superscript"/>
        </w:rPr>
        <w:t>58</w:t>
      </w:r>
      <w:r w:rsidRPr="00722885">
        <w:rPr>
          <w:rFonts w:ascii="Times New Roman" w:hAnsi="Times New Roman"/>
          <w:color w:val="000000" w:themeColor="text1"/>
          <w:sz w:val="16"/>
          <w:szCs w:val="16"/>
        </w:rPr>
        <w:t xml:space="preserve"> (1999-2006 г.-)-  Г.П. Ежов.</w:t>
      </w:r>
    </w:p>
    <w:p w14:paraId="7552AE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00076B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 (07.1941 г.-)- </w:t>
      </w:r>
      <w:r w:rsidRPr="00722885">
        <w:rPr>
          <w:rFonts w:ascii="Times New Roman" w:hAnsi="Times New Roman"/>
          <w:color w:val="000000" w:themeColor="text1"/>
          <w:sz w:val="16"/>
          <w:szCs w:val="16"/>
          <w:lang w:val="en-US"/>
        </w:rPr>
        <w:t>O</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K</w:t>
      </w:r>
      <w:r w:rsidRPr="00722885">
        <w:rPr>
          <w:rFonts w:ascii="Times New Roman" w:hAnsi="Times New Roman"/>
          <w:color w:val="000000" w:themeColor="text1"/>
          <w:sz w:val="16"/>
          <w:szCs w:val="16"/>
        </w:rPr>
        <w:t>. Антонов, (07.1946-47 г.)- А.С. Яковлев. Ген. конструктор (-1999-2004 г.-)- В.П. Эктов.</w:t>
      </w:r>
      <w:r w:rsidRPr="00722885">
        <w:rPr>
          <w:rFonts w:ascii="Times New Roman" w:hAnsi="Times New Roman"/>
          <w:color w:val="000000" w:themeColor="text1"/>
          <w:sz w:val="16"/>
          <w:szCs w:val="16"/>
          <w:vertAlign w:val="superscript"/>
        </w:rPr>
        <w:t>69</w:t>
      </w:r>
    </w:p>
    <w:p w14:paraId="37C310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(2004 г.)- А.П. Коробов.</w:t>
      </w:r>
    </w:p>
    <w:p w14:paraId="51505B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(2004 г.)- В.В. Кононов.</w:t>
      </w:r>
    </w:p>
    <w:p w14:paraId="12E54D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Ведущие конструкторы: (2004 г.)- А.П. Булашевич, (2004 г.)- В.В. Соков.</w:t>
      </w:r>
    </w:p>
    <w:p w14:paraId="01E786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планер А-7 (1941-42);</w:t>
      </w:r>
      <w:r w:rsidRPr="00722885">
        <w:rPr>
          <w:rFonts w:ascii="Times New Roman" w:hAnsi="Times New Roman"/>
          <w:iCs/>
          <w:color w:val="000000" w:themeColor="text1"/>
          <w:sz w:val="16"/>
          <w:szCs w:val="16"/>
        </w:rPr>
        <w:t xml:space="preserve"> самолеты:</w:t>
      </w:r>
      <w:r w:rsidRPr="00722885">
        <w:rPr>
          <w:rFonts w:ascii="Times New Roman" w:hAnsi="Times New Roman"/>
          <w:color w:val="000000" w:themeColor="text1"/>
          <w:sz w:val="16"/>
          <w:szCs w:val="16"/>
        </w:rPr>
        <w:t xml:space="preserve"> Як-6 (1942-43)- 50, У-2 (1943-45)- 1364, Як-14, Як-10 (1946)- 2, Як-12 (1948-51), Як-15УТ, Як-16, Ан-2М (1966-71)- 506;</w:t>
      </w:r>
      <w:r w:rsidRPr="00722885">
        <w:rPr>
          <w:rFonts w:ascii="Times New Roman" w:hAnsi="Times New Roman"/>
          <w:iCs/>
          <w:color w:val="000000" w:themeColor="text1"/>
          <w:sz w:val="16"/>
          <w:szCs w:val="16"/>
        </w:rPr>
        <w:t xml:space="preserve"> ЗУР:</w:t>
      </w:r>
      <w:r w:rsidRPr="00722885">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722885">
        <w:rPr>
          <w:rFonts w:ascii="Times New Roman" w:hAnsi="Times New Roman"/>
          <w:iCs/>
          <w:color w:val="000000" w:themeColor="text1"/>
          <w:sz w:val="16"/>
          <w:szCs w:val="16"/>
        </w:rPr>
        <w:t xml:space="preserve"> УР:</w:t>
      </w:r>
      <w:r w:rsidRPr="00722885">
        <w:rPr>
          <w:rFonts w:ascii="Times New Roman" w:hAnsi="Times New Roman"/>
          <w:color w:val="000000" w:themeColor="text1"/>
          <w:sz w:val="16"/>
          <w:szCs w:val="16"/>
        </w:rPr>
        <w:t xml:space="preserve"> Р-33 (1981-);</w:t>
      </w:r>
      <w:r w:rsidRPr="00722885">
        <w:rPr>
          <w:rFonts w:ascii="Times New Roman" w:hAnsi="Times New Roman"/>
          <w:iCs/>
          <w:color w:val="000000" w:themeColor="text1"/>
          <w:sz w:val="16"/>
          <w:szCs w:val="16"/>
        </w:rPr>
        <w:t xml:space="preserve"> противоракеты:</w:t>
      </w:r>
      <w:r w:rsidRPr="00722885">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722885">
        <w:rPr>
          <w:rFonts w:ascii="Times New Roman" w:hAnsi="Times New Roman"/>
          <w:color w:val="000000" w:themeColor="text1"/>
          <w:sz w:val="16"/>
          <w:szCs w:val="16"/>
          <w:lang w:val="en-US"/>
        </w:rPr>
        <w:t>II</w:t>
      </w:r>
      <w:r w:rsidRPr="00722885">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722885">
        <w:rPr>
          <w:rFonts w:ascii="Times New Roman" w:hAnsi="Times New Roman"/>
          <w:color w:val="000000" w:themeColor="text1"/>
          <w:sz w:val="16"/>
          <w:szCs w:val="16"/>
          <w:vertAlign w:val="superscript"/>
        </w:rPr>
        <w:t>101</w:t>
      </w:r>
      <w:r w:rsidRPr="00722885">
        <w:rPr>
          <w:rFonts w:ascii="Times New Roman" w:hAnsi="Times New Roman"/>
          <w:color w:val="000000" w:themeColor="text1"/>
          <w:sz w:val="16"/>
          <w:szCs w:val="16"/>
        </w:rPr>
        <w:t xml:space="preserve"> пассажирские кресла для ж/д вагонов (2009).</w:t>
      </w:r>
    </w:p>
    <w:p w14:paraId="2A2CFB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Ремонт:</w:t>
      </w:r>
      <w:r w:rsidRPr="00722885">
        <w:rPr>
          <w:rFonts w:ascii="Times New Roman" w:hAnsi="Times New Roman"/>
          <w:color w:val="000000" w:themeColor="text1"/>
          <w:sz w:val="16"/>
          <w:szCs w:val="16"/>
        </w:rPr>
        <w:t xml:space="preserve"> Як-6 (1943-).</w:t>
      </w:r>
    </w:p>
    <w:p w14:paraId="1ABC91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Заводской №:</w:t>
      </w:r>
      <w:r w:rsidRPr="00722885">
        <w:rPr>
          <w:rFonts w:ascii="Times New Roman" w:hAnsi="Times New Roman"/>
          <w:color w:val="000000" w:themeColor="text1"/>
          <w:sz w:val="16"/>
          <w:szCs w:val="16"/>
        </w:rPr>
        <w:t xml:space="preserve"> Ан-2М</w:t>
      </w:r>
      <w:r w:rsidRPr="00722885">
        <w:rPr>
          <w:rFonts w:ascii="Times New Roman" w:hAnsi="Times New Roman"/>
          <w:iCs/>
          <w:color w:val="000000" w:themeColor="text1"/>
          <w:sz w:val="16"/>
          <w:szCs w:val="16"/>
        </w:rPr>
        <w:t xml:space="preserve"> № 600810:</w:t>
      </w:r>
      <w:r w:rsidRPr="00722885">
        <w:rPr>
          <w:rFonts w:ascii="Times New Roman" w:hAnsi="Times New Roman"/>
          <w:color w:val="000000" w:themeColor="text1"/>
          <w:sz w:val="16"/>
          <w:szCs w:val="16"/>
        </w:rPr>
        <w:t xml:space="preserve"> 6- год выпуска, 008- серия, 10- № самолета в серии.</w:t>
      </w:r>
    </w:p>
    <w:p w14:paraId="4F2C43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ОКБ завода № 464 гл. конструктора </w:t>
      </w:r>
      <w:r w:rsidRPr="00722885">
        <w:rPr>
          <w:rFonts w:ascii="Times New Roman" w:hAnsi="Times New Roman"/>
          <w:color w:val="000000" w:themeColor="text1"/>
          <w:sz w:val="16"/>
          <w:szCs w:val="16"/>
          <w:lang w:val="en-US"/>
        </w:rPr>
        <w:t>O</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K</w:t>
      </w:r>
      <w:r w:rsidRPr="00722885">
        <w:rPr>
          <w:rFonts w:ascii="Times New Roman" w:hAnsi="Times New Roman"/>
          <w:color w:val="000000" w:themeColor="text1"/>
          <w:sz w:val="16"/>
          <w:szCs w:val="16"/>
        </w:rPr>
        <w:t>. Антонова</w:t>
      </w:r>
    </w:p>
    <w:p w14:paraId="7033E5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11E607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40B797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«ПМ» при заводе № 464 НКАП</w:t>
      </w:r>
    </w:p>
    <w:p w14:paraId="5E4DE7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6DC459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209B42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завода № 464</w:t>
      </w:r>
    </w:p>
    <w:p w14:paraId="7F5396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10.03.1958 г. для разработки и внедрения в серию ЗУР для систем ПВО и ПРО.</w:t>
      </w:r>
    </w:p>
    <w:p w14:paraId="44BD95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3825F6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23660F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1D756D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(2005 г.): разработка ракет 9МЗ17М, 9МЗ17А, 9МЗ17МА.</w:t>
      </w:r>
    </w:p>
    <w:p w14:paraId="3CFC13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(1958-61 г.)- Л. Г. Головин (снят).</w:t>
      </w:r>
    </w:p>
    <w:p w14:paraId="2D74D2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(-1961 г.)- Л. Г. Головин, (1961 г.-)- М.А. Любомудров.</w:t>
      </w:r>
    </w:p>
    <w:p w14:paraId="75C37D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В.П. Эктов (9М317).</w:t>
      </w:r>
    </w:p>
    <w:p w14:paraId="67AEE5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 ЗУР:</w:t>
      </w:r>
      <w:r w:rsidRPr="00722885">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3BB8C6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3AA385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2E36DC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Кнмовский завод металлоизделий /г. Кимовск Тульской обл./</w:t>
      </w:r>
    </w:p>
    <w:p w14:paraId="09BD31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Входил в ОАО «ДНПП» (2002 г.) (11982).</w:t>
      </w:r>
    </w:p>
    <w:p w14:paraId="3A1CA0EC" w14:textId="77777777" w:rsidR="00A65CDA" w:rsidRPr="00722885" w:rsidRDefault="00A65CDA" w:rsidP="00722885">
      <w:pPr>
        <w:spacing w:after="0" w:line="240" w:lineRule="auto"/>
        <w:jc w:val="both"/>
        <w:rPr>
          <w:rFonts w:ascii="Times New Roman" w:hAnsi="Times New Roman"/>
          <w:color w:val="000000" w:themeColor="text1"/>
          <w:sz w:val="16"/>
          <w:szCs w:val="16"/>
        </w:rPr>
      </w:pPr>
    </w:p>
    <w:p w14:paraId="77563E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1942 г. по приказу № 707с завод № 388 влит в состав завода № 464 НКАП.</w:t>
      </w:r>
    </w:p>
    <w:p w14:paraId="429BFF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(03.1942 г.)- В.Е. Мурков.</w:t>
      </w:r>
    </w:p>
    <w:p w14:paraId="75B59D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 КО (середина-конец 1942 г.)- </w:t>
      </w:r>
      <w:r w:rsidRPr="00722885">
        <w:rPr>
          <w:rFonts w:ascii="Times New Roman" w:hAnsi="Times New Roman"/>
          <w:color w:val="000000" w:themeColor="text1"/>
          <w:sz w:val="16"/>
          <w:szCs w:val="16"/>
          <w:lang w:val="en-US"/>
        </w:rPr>
        <w:t>O</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K</w:t>
      </w:r>
      <w:r w:rsidRPr="00722885">
        <w:rPr>
          <w:rFonts w:ascii="Times New Roman" w:hAnsi="Times New Roman"/>
          <w:color w:val="000000" w:themeColor="text1"/>
          <w:sz w:val="16"/>
          <w:szCs w:val="16"/>
        </w:rPr>
        <w:t>. Антонов (11982).</w:t>
      </w:r>
    </w:p>
    <w:p w14:paraId="5365749A" w14:textId="77777777" w:rsidR="00A65CDA" w:rsidRPr="00722885" w:rsidRDefault="00A65CDA" w:rsidP="00722885">
      <w:pPr>
        <w:pStyle w:val="Iauiue"/>
        <w:jc w:val="both"/>
        <w:rPr>
          <w:color w:val="000000" w:themeColor="text1"/>
          <w:sz w:val="16"/>
          <w:szCs w:val="16"/>
        </w:rPr>
      </w:pPr>
    </w:p>
    <w:p w14:paraId="76372A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сентября 1942 вышел приказ НКАП и ГУ ВВС N 700с/038:</w:t>
      </w:r>
    </w:p>
    <w:p w14:paraId="3D6C72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усиления противопожарной защиты боевых самолетов:</w:t>
      </w:r>
    </w:p>
    <w:p w14:paraId="047B3C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Нач. ВИАМ Туманову представить в комиссию к 15 сентября 1942 весь материал по защите бензобаков от вытекания горючего при простреле</w:t>
      </w:r>
    </w:p>
    <w:p w14:paraId="06CE5F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Директору завода 156 Ржищеву представить в комиссию к 15 сентября весь материал по применению инертного газа на самолетах (1590,130).</w:t>
      </w:r>
    </w:p>
    <w:p w14:paraId="3635D516" w14:textId="77777777" w:rsidR="00090C9B" w:rsidRPr="00722885" w:rsidRDefault="00090C9B" w:rsidP="00722885">
      <w:pPr>
        <w:pStyle w:val="Iauiue"/>
        <w:jc w:val="both"/>
        <w:rPr>
          <w:color w:val="000000" w:themeColor="text1"/>
          <w:sz w:val="16"/>
          <w:szCs w:val="16"/>
        </w:rPr>
      </w:pPr>
    </w:p>
    <w:p w14:paraId="4A3C6D6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B3EF6E5" w14:textId="77777777" w:rsidR="00090C9B" w:rsidRPr="00722885" w:rsidRDefault="00090C9B" w:rsidP="00722885">
      <w:pPr>
        <w:pStyle w:val="Iauiue"/>
        <w:jc w:val="both"/>
        <w:rPr>
          <w:iCs/>
          <w:color w:val="000000" w:themeColor="text1"/>
          <w:sz w:val="16"/>
          <w:szCs w:val="16"/>
        </w:rPr>
      </w:pPr>
    </w:p>
    <w:p w14:paraId="099272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сентября 1942 года на “Ржевском полигоне” были испытаны две мины 280мм мины МТБ, изготовленные на заводе им. Ленина и снаряженные в ГИПХе. Реактивные мины МТВ-280 имели зажигательный состав следующего состава: 27,35% бензина, 1,65% нафталат-алюминия, 3% серы и 68% бертолетовой соли. Стрельба производилась с позиции 7,4 полигона с деревянной рамы. После вылета с пускового устройства обе мины имели неправильный полет с кувырками. Тем не менее, первая мина разорвалась и образовала два очага, один был в воронке и горел в течение 6 минут, второй на расстоянии в семь метров. Вторая же мина просто не разорвалась. Вывод специалистов полигона был неутешительным, обе мины испытания не выдержали (6403, 42).</w:t>
      </w:r>
    </w:p>
    <w:p w14:paraId="52331106" w14:textId="77777777" w:rsidR="00090C9B" w:rsidRPr="00722885" w:rsidRDefault="00090C9B" w:rsidP="00722885">
      <w:pPr>
        <w:pStyle w:val="Iauiue"/>
        <w:jc w:val="both"/>
        <w:rPr>
          <w:color w:val="000000" w:themeColor="text1"/>
          <w:sz w:val="16"/>
          <w:szCs w:val="16"/>
        </w:rPr>
      </w:pPr>
    </w:p>
    <w:p w14:paraId="0C20E3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16 сентября 1942 года перед отправкой на фронт установочной партии 320мм зажигательных мин МТВ (ГМ-320), изготовленных на заводе им. Сталина и снаряженных заводом №522 ьыли проведены испытания на АНИОПе. На испытания было представлено восемь мин со следующим рецептом зажигательного состава: 15% бертолетовой соли, 10%) бензина, 15% порошкообразной нитроклетчатки и 60%&gt; дизельного топлива. Центральные трубки снаряжались термитом, составом авиабомб ЗАБ-100 и тетриловой шашкой. Испытания проводились с позиции 7,4 км полигона с деревянных рам при постоянном угле возвышения в 42 градуса. Мины </w:t>
      </w:r>
      <w:r w:rsidRPr="00722885">
        <w:rPr>
          <w:color w:val="000000" w:themeColor="text1"/>
          <w:sz w:val="16"/>
          <w:szCs w:val="16"/>
        </w:rPr>
        <w:lastRenderedPageBreak/>
        <w:t>122, 61 и 848 имели неправильный полет: на первом участке полета у мины были колебания хвостовой части, при дальнейшем полете мины беспорядочно кувыркались. Мина №122, тем не менее, взорвалась и образовала один очаг в воронке, который горел 35 минут. Мины №№ 61 и 848 даже не взорвались. В связи с этим, дальнейшие испытания остальных мин были прекращены. В результате анализа испытаний и характеристик мин специалисты полигона пришли к выводу, что вероятной причиной неудачи были: в снаряжении головных частей, т.к. до этого на испытания подавались мины с крупно-волокнистой нитроклетчаткой, а на последние - с порошкообразной нитроклетчаткой; в весе пороховых шашек, т.к. до этого они были весом в 6,5 кг, а на последних испытаниях их вес составил около 7,0 кг (6403, 42).</w:t>
      </w:r>
    </w:p>
    <w:p w14:paraId="64C49AE9" w14:textId="77777777" w:rsidR="00090C9B" w:rsidRPr="00722885" w:rsidRDefault="00090C9B" w:rsidP="00722885">
      <w:pPr>
        <w:pStyle w:val="Iauiue"/>
        <w:jc w:val="both"/>
        <w:rPr>
          <w:color w:val="000000" w:themeColor="text1"/>
          <w:sz w:val="16"/>
          <w:szCs w:val="16"/>
        </w:rPr>
      </w:pPr>
    </w:p>
    <w:p w14:paraId="6577CE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сентября 1942 года на АНИОПе была проведена стрельба снарядами ГМ-280 с целью составления таблиц стрельбы для облегченных мин. На них было испытано восемь облегченных 280мм фугасных мин МТВ (ГМ-280) весом 65 кг, снаряженные методом набивки аммо-толом 80/20. На снаряжение пошел тринитротолуол сульфатного завода №15 партии №4037, изготовленной в 1941 году, и селитра аммиачного завода АТЗ партия №24, изготовленная в 1942 году. Реактивная часть снарядов была снаряжена порохом МТВ ОХКК-5-42г. На минах применялся взрыватель ГВМЗ с установкой на “З”. Корпус одной мины был изготовлен заводом им. Ленина, остальные на заводе №232 (“Большевик”). Испытываемые мины имели вес от 65,1 кг до 66,4 кг. Результаты испытаний показали, что расхождение с имеющимися таблицами стрельбы для обычных мин ГМ-280 и облегченных мин менее Вд и корректировок таблиц стрельбы производить нет необходимости (6403, 42).</w:t>
      </w:r>
    </w:p>
    <w:p w14:paraId="4040FAF2" w14:textId="77777777" w:rsidR="00090C9B" w:rsidRPr="00722885" w:rsidRDefault="00090C9B" w:rsidP="00722885">
      <w:pPr>
        <w:pStyle w:val="Iauiue"/>
        <w:jc w:val="both"/>
        <w:rPr>
          <w:color w:val="000000" w:themeColor="text1"/>
          <w:sz w:val="16"/>
          <w:szCs w:val="16"/>
        </w:rPr>
      </w:pPr>
    </w:p>
    <w:p w14:paraId="17E7FA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1942 ГАБТУ и ГАУ КА приказом № 0107с была создана комиссия, которая должна была в кратчайший срок довести проекты зенитных танков до готовности опытных образцов и провести их испы</w:t>
      </w:r>
      <w:r w:rsidRPr="00722885">
        <w:rPr>
          <w:rFonts w:ascii="Times New Roman" w:hAnsi="Times New Roman"/>
          <w:color w:val="000000" w:themeColor="text1"/>
          <w:sz w:val="16"/>
          <w:szCs w:val="16"/>
        </w:rPr>
        <w:softHyphen/>
        <w:t>тания. В комиссию вошли председатель - подполковник Не-нароков, заместитель председателя - главный конструктор ГАЗа и завода № 37 по танку Т-70 Н. Астров, ведущий конст</w:t>
      </w:r>
      <w:r w:rsidRPr="00722885">
        <w:rPr>
          <w:rFonts w:ascii="Times New Roman" w:hAnsi="Times New Roman"/>
          <w:color w:val="000000" w:themeColor="text1"/>
          <w:sz w:val="16"/>
          <w:szCs w:val="16"/>
        </w:rPr>
        <w:softHyphen/>
        <w:t>руктор ГАЗа - А. Маклаков, от ОГК НКТП - руководитель группы самоходных зенитных машин И. Савин. Поскольку на ГАЗ в это время шло освоение модернизи</w:t>
      </w:r>
      <w:r w:rsidRPr="00722885">
        <w:rPr>
          <w:rFonts w:ascii="Times New Roman" w:hAnsi="Times New Roman"/>
          <w:color w:val="000000" w:themeColor="text1"/>
          <w:sz w:val="16"/>
          <w:szCs w:val="16"/>
        </w:rPr>
        <w:softHyphen/>
        <w:t>рованного танка Т-70М, естественно, что именно этот танк послужил базой для изделия ГАЗ, получившего индекс Т-90. Завод же № 37 в отведенный срок успел закончить опытный образец танка Т-70(3) («зенитный») и проработал вариант переделки танка Т-60 в Т-60-3 (Т-шестьдесят-три, или «063») путем установки на корпусе существующего танка башни со спаренной пулеметной установкой. Причем, несмотря на то, что согласно задания зенит</w:t>
      </w:r>
      <w:r w:rsidRPr="00722885">
        <w:rPr>
          <w:rFonts w:ascii="Times New Roman" w:hAnsi="Times New Roman"/>
          <w:color w:val="000000" w:themeColor="text1"/>
          <w:sz w:val="16"/>
          <w:szCs w:val="16"/>
        </w:rPr>
        <w:softHyphen/>
        <w:t>ный танк должен был конвертироваться из серийного пу</w:t>
      </w:r>
      <w:r w:rsidRPr="00722885">
        <w:rPr>
          <w:rFonts w:ascii="Times New Roman" w:hAnsi="Times New Roman"/>
          <w:color w:val="000000" w:themeColor="text1"/>
          <w:sz w:val="16"/>
          <w:szCs w:val="16"/>
        </w:rPr>
        <w:softHyphen/>
        <w:t>тем замены башни с вооружением и изменением боеукладки, ГАЗ пошел не только на замену штатной башни Т-70 сварной восьмигранной башней увеличенного диаметра с установленными в ее маске справа от продольной оси баш</w:t>
      </w:r>
      <w:r w:rsidRPr="00722885">
        <w:rPr>
          <w:rFonts w:ascii="Times New Roman" w:hAnsi="Times New Roman"/>
          <w:color w:val="000000" w:themeColor="text1"/>
          <w:sz w:val="16"/>
          <w:szCs w:val="16"/>
        </w:rPr>
        <w:softHyphen/>
        <w:t>ни двумя пулеметами ДШК с магазинным питанием, но и на более серьезные изменения компоновки танка Т-70М, вплоть до корректировки конструкции башенного погона, переделки системы питания двигателя. Т-70(3) представлял собой переделку стандартного танка Т-70, у которого даже башня в целом была сохранена, но в измененной маске которой на штатных кронштейнах вдоль продольной оси устанавливалась спарка пулеметов ДШКТ. Несмотря на то, что первоначально проект Т-70(3) делался под ленточное питание пулеметов, в октябре 1942 г. он был скорректирован под 30-патронные магазины, ана</w:t>
      </w:r>
      <w:r w:rsidRPr="00722885">
        <w:rPr>
          <w:rFonts w:ascii="Times New Roman" w:hAnsi="Times New Roman"/>
          <w:color w:val="000000" w:themeColor="text1"/>
          <w:sz w:val="16"/>
          <w:szCs w:val="16"/>
        </w:rPr>
        <w:softHyphen/>
        <w:t>логичные установленным на Т-90. Т-60-3 имел наименьшее число отличий от базового тан</w:t>
      </w:r>
      <w:r w:rsidRPr="00722885">
        <w:rPr>
          <w:rFonts w:ascii="Times New Roman" w:hAnsi="Times New Roman"/>
          <w:color w:val="000000" w:themeColor="text1"/>
          <w:sz w:val="16"/>
          <w:szCs w:val="16"/>
        </w:rPr>
        <w:softHyphen/>
        <w:t>ка, но его корпус уже был приспособлен под двигатель ЗИС-16, который сломался во время заводских испытаний. Боекомплект танков составлял 16 магазинов (480 пат</w:t>
      </w:r>
      <w:r w:rsidRPr="00722885">
        <w:rPr>
          <w:rFonts w:ascii="Times New Roman" w:hAnsi="Times New Roman"/>
          <w:color w:val="000000" w:themeColor="text1"/>
          <w:sz w:val="16"/>
          <w:szCs w:val="16"/>
        </w:rPr>
        <w:softHyphen/>
        <w:t>ронов) на Т-90 и 12 (360 патронов) на Т-70 (3) и Т-60-3. Для стрельбы по наземным целям предполагалось использовать телескопический прицел ТМФП, для стрельбы по зенит</w:t>
      </w:r>
      <w:r w:rsidRPr="00722885">
        <w:rPr>
          <w:rFonts w:ascii="Times New Roman" w:hAnsi="Times New Roman"/>
          <w:color w:val="000000" w:themeColor="text1"/>
          <w:sz w:val="16"/>
          <w:szCs w:val="16"/>
        </w:rPr>
        <w:softHyphen/>
        <w:t>ным — коллиматорный К-8Т (10782).</w:t>
      </w:r>
    </w:p>
    <w:p w14:paraId="3991DD8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BEBEA1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ГАБТУ и ГАУ КА приказом № 0107с была создана комиссия, которая должна была в кратчайший срок довести проекты зенитных танков до готовности опытных образцов и провести их испы</w:t>
      </w:r>
      <w:r w:rsidRPr="00722885">
        <w:rPr>
          <w:rFonts w:ascii="Times New Roman" w:hAnsi="Times New Roman"/>
          <w:color w:val="000000" w:themeColor="text1"/>
          <w:sz w:val="16"/>
          <w:szCs w:val="16"/>
        </w:rPr>
        <w:softHyphen/>
        <w:t>тания. В комиссию вошли председатель — подполковник Ненароков, заместитель председателя — главный конструктор ГАЗа и завода № 37 по танку Т-70 Н. Астров, ведущий конструктор ГАЗа — А. Маклаков, от ОГК НКТП — руководитель группы самоходных зенитных машин И. Савин.</w:t>
      </w:r>
    </w:p>
    <w:p w14:paraId="1481609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Поскольку на ГАЗ в это время шло освоение модерни</w:t>
      </w:r>
      <w:r w:rsidRPr="00722885">
        <w:rPr>
          <w:rFonts w:ascii="Times New Roman" w:hAnsi="Times New Roman"/>
          <w:color w:val="000000" w:themeColor="text1"/>
          <w:sz w:val="16"/>
          <w:szCs w:val="16"/>
        </w:rPr>
        <w:softHyphen/>
        <w:t>зированного танка Т-70М, вполне естественно, что именно этот танк послужил базой для изделия ГАЗ, получившего индекс Т-90. Завод же № 37 в отведенный срок успел за</w:t>
      </w:r>
      <w:r w:rsidRPr="00722885">
        <w:rPr>
          <w:rFonts w:ascii="Times New Roman" w:hAnsi="Times New Roman"/>
          <w:color w:val="000000" w:themeColor="text1"/>
          <w:sz w:val="16"/>
          <w:szCs w:val="16"/>
        </w:rPr>
        <w:softHyphen/>
        <w:t>кончить опытный образец танка Т-70(3) («зенитный») и проработал наиболее дешевый и простой в производстве вариант переделки танка Т-60 в Т-60-3 (Т-шестьдесят-три, или «063») путем установки на корпусе существующего танка башни со спаренной пулеметной установкой.</w:t>
      </w:r>
    </w:p>
    <w:p w14:paraId="42630C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Причем, несмотря на то, что согласно заданию зенит</w:t>
      </w:r>
      <w:r w:rsidRPr="00722885">
        <w:rPr>
          <w:rFonts w:ascii="Times New Roman" w:hAnsi="Times New Roman"/>
          <w:color w:val="000000" w:themeColor="text1"/>
          <w:sz w:val="16"/>
          <w:szCs w:val="16"/>
        </w:rPr>
        <w:softHyphen/>
        <w:t>ный танк должен был конвертироваться из серийного пу</w:t>
      </w:r>
      <w:r w:rsidRPr="00722885">
        <w:rPr>
          <w:rFonts w:ascii="Times New Roman" w:hAnsi="Times New Roman"/>
          <w:color w:val="000000" w:themeColor="text1"/>
          <w:sz w:val="16"/>
          <w:szCs w:val="16"/>
        </w:rPr>
        <w:softHyphen/>
        <w:t>тем замены башни с вооружением и изменением боеуклад-ки, ГАЗ пошел не только на замену штатной башни Т-70 сварной восьмигранной башней увеличенного диаметра с , установленными в ее маске справа от продольной оси баш-Ни двумя пулеметами ДШК с магазинным питанием, но и на более серьезные изменения компоновки танка Т-70М, рплоть до корректировки конструкции башенного погона, Переделки системы питания и охлаждения двигателя.</w:t>
      </w:r>
    </w:p>
    <w:p w14:paraId="6CD997B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Т-70(3) представлял собой достаточно простую передел</w:t>
      </w:r>
      <w:r w:rsidRPr="00722885">
        <w:rPr>
          <w:rFonts w:ascii="Times New Roman" w:hAnsi="Times New Roman"/>
          <w:color w:val="000000" w:themeColor="text1"/>
          <w:sz w:val="16"/>
          <w:szCs w:val="16"/>
        </w:rPr>
        <w:softHyphen/>
        <w:t>ку стандартного танка Т-70, которая могла проводиться на ремонтных предприятиях. Для этого у танка была в целом сохранена башня, маска менялась для возможности установ</w:t>
      </w:r>
      <w:r w:rsidRPr="00722885">
        <w:rPr>
          <w:rFonts w:ascii="Times New Roman" w:hAnsi="Times New Roman"/>
          <w:color w:val="000000" w:themeColor="text1"/>
          <w:sz w:val="16"/>
          <w:szCs w:val="16"/>
        </w:rPr>
        <w:softHyphen/>
        <w:t>ки на штатных кронштейнах вдоль продольной оси танка спарки пулеметов ДШКТ. Несмотря на то, что первоначаль</w:t>
      </w:r>
      <w:r w:rsidRPr="00722885">
        <w:rPr>
          <w:rFonts w:ascii="Times New Roman" w:hAnsi="Times New Roman"/>
          <w:color w:val="000000" w:themeColor="text1"/>
          <w:sz w:val="16"/>
          <w:szCs w:val="16"/>
        </w:rPr>
        <w:softHyphen/>
        <w:t>но проект Т-70(3) делался под ленточное питание пулеме</w:t>
      </w:r>
      <w:r w:rsidRPr="00722885">
        <w:rPr>
          <w:rFonts w:ascii="Times New Roman" w:hAnsi="Times New Roman"/>
          <w:color w:val="000000" w:themeColor="text1"/>
          <w:sz w:val="16"/>
          <w:szCs w:val="16"/>
        </w:rPr>
        <w:softHyphen/>
        <w:t>тов, в октябре 1942 г. он был скорректирован под 30-патронные магазины, аналогичные установленным на Т-90.</w:t>
      </w:r>
    </w:p>
    <w:p w14:paraId="729F191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Доставленный на испытания Т-60-3 имел еще меньшее число отличий от базового танка, чем даже Т-70(3), но его корпус уже был приспособлен под двигатель ЗИС-16, кото</w:t>
      </w:r>
      <w:r w:rsidRPr="00722885">
        <w:rPr>
          <w:rFonts w:ascii="Times New Roman" w:hAnsi="Times New Roman"/>
          <w:color w:val="000000" w:themeColor="text1"/>
          <w:sz w:val="16"/>
          <w:szCs w:val="16"/>
        </w:rPr>
        <w:softHyphen/>
        <w:t>рый планировалось ставить на Т-60 и который был сломан.</w:t>
      </w:r>
    </w:p>
    <w:p w14:paraId="5C930CE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Боекомплект танков составлял 16 магазинов (480 па</w:t>
      </w:r>
      <w:r w:rsidRPr="00722885">
        <w:rPr>
          <w:rFonts w:ascii="Times New Roman" w:hAnsi="Times New Roman"/>
          <w:color w:val="000000" w:themeColor="text1"/>
          <w:sz w:val="16"/>
          <w:szCs w:val="16"/>
        </w:rPr>
        <w:softHyphen/>
        <w:t>тронов) для Т-90 и 12 (360 патронов) для Т-70 (3) и Т-60-3. Для стрельбы по наземным целям предполагалось исполь</w:t>
      </w:r>
      <w:r w:rsidRPr="00722885">
        <w:rPr>
          <w:rFonts w:ascii="Times New Roman" w:hAnsi="Times New Roman"/>
          <w:color w:val="000000" w:themeColor="text1"/>
          <w:sz w:val="16"/>
          <w:szCs w:val="16"/>
        </w:rPr>
        <w:softHyphen/>
        <w:t>зовать телескопический прицел ТМФП, для стрельбы по зенитным — коллиматорный К-8Т (11417).</w:t>
      </w:r>
    </w:p>
    <w:p w14:paraId="1063E48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341B467" w14:textId="77777777" w:rsidR="00A65CDA" w:rsidRPr="00722885" w:rsidRDefault="00A65CDA"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ГАБТУ и ГАУ РККА приказом №0107с была создана комиссия, которая должна была в кратчайший срок довести проекты зенитных танков до готовности опытных образцов и провести их испытания. В комиссию вошли председатель – подполковник Ненароков, заместитель председателя – главный конструктор ГАЗа и завода №37 по танку Т-70 Н.А.Астров, ведущий конструктор ГАЗа А. Маклаков, от ОГК НКТП – руководитель группы самоходных зенитных машин И. Савин. Поскольку на ГАЗе в это время шло освоение модернизированного танка Т-70М, естественно, что именно этот танк послужил базой для изделия ГАЗа, получившего индекс Т-90. Завод же №37 в отведенный срок успел закончить опытный образец танка Т-70(З) («зенитный») и проработал вариант переделки танка Т-60 в Т-60-3 (Т-шестьдесят-три или «063») путем установки на корпусе существующего танка башни со спаренной пулеметной установкой.</w:t>
      </w:r>
    </w:p>
    <w:p w14:paraId="6AB2AC35" w14:textId="77777777" w:rsidR="00A65CDA" w:rsidRPr="00722885" w:rsidRDefault="00A65CDA"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Причем несмотря на то, что согласно заданию зенитный танк должен был конвертироваться из серийного путем замены башни с вооружением и изменением боеукладки, ГАЗ пошел не только на замену штатной башни Т-70 сварной восьмигранной башней увеличенного диаметра с установленными в ее маске справа от продольной оси двумя пулеметами ДШК с магазинным питанием, но и на более серьезные изменения компоновки танка Т-70М, вплоть до корректировки конструкции башенного погона, переделки системы питания двигателя (15218).</w:t>
      </w:r>
    </w:p>
    <w:p w14:paraId="63855075" w14:textId="77777777" w:rsidR="00A65CDA" w:rsidRPr="00722885" w:rsidRDefault="00A65CDA" w:rsidP="00722885">
      <w:pPr>
        <w:widowControl w:val="0"/>
        <w:spacing w:after="0" w:line="240" w:lineRule="auto"/>
        <w:jc w:val="both"/>
        <w:rPr>
          <w:rFonts w:ascii="Times New Roman" w:hAnsi="Times New Roman"/>
          <w:color w:val="000000" w:themeColor="text1"/>
          <w:sz w:val="16"/>
          <w:szCs w:val="16"/>
        </w:rPr>
      </w:pPr>
    </w:p>
    <w:p w14:paraId="0C6C853A"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16 сентября 1942 года вышел приказ по ГАБТУ и ГАУ КА № 0107с, согласно которому была создана комиссия, в состав которой вошли:</w:t>
      </w:r>
    </w:p>
    <w:p w14:paraId="3A3FCB0D"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Председатель: инженер-полковник Ненароков</w:t>
      </w:r>
    </w:p>
    <w:p w14:paraId="3C5D886A"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Члены от ГАБТУ: инженер-полковник Румянцев</w:t>
      </w:r>
    </w:p>
    <w:p w14:paraId="6B472A6A"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Инженер-капитан Василевский</w:t>
      </w:r>
    </w:p>
    <w:p w14:paraId="24331188"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Член от АК ГАУ: инженер-капитан Чемена</w:t>
      </w:r>
    </w:p>
    <w:p w14:paraId="56344CF8"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Член от НКСМ: Астров</w:t>
      </w:r>
    </w:p>
    <w:p w14:paraId="2F79B9A2"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Член от НКТП: Савин</w:t>
      </w:r>
    </w:p>
    <w:p w14:paraId="6BD35923"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Член от ГАЗ им. Молотова: Маклаков</w:t>
      </w:r>
    </w:p>
    <w:p w14:paraId="260F7307"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Задачей комиссии стало доведение в кратчайший срок образцов зенитных самоходных установок, а также проведение их испытаний. Опытные образцы легких зенитных танков были представлены на ис</w:t>
      </w:r>
      <w:r w:rsidRPr="00722885">
        <w:rPr>
          <w:rFonts w:eastAsia="Calibri"/>
          <w:color w:val="000000" w:themeColor="text1"/>
          <w:sz w:val="16"/>
          <w:szCs w:val="16"/>
        </w:rPr>
        <w:softHyphen/>
        <w:t>пытания к началу декабря 1942 года.</w:t>
      </w:r>
    </w:p>
    <w:p w14:paraId="39BC88D1"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Зенитные танки завода № 37 были созданы Савиным по отрабо</w:t>
      </w:r>
      <w:r w:rsidRPr="00722885">
        <w:rPr>
          <w:rFonts w:eastAsia="Calibri"/>
          <w:color w:val="000000" w:themeColor="text1"/>
          <w:sz w:val="16"/>
          <w:szCs w:val="16"/>
        </w:rPr>
        <w:softHyphen/>
        <w:t>танной им на предыдущих проектах концепции. За основу были взяты башни серийных танков, которые подверглись минимально возмож</w:t>
      </w:r>
      <w:r w:rsidRPr="00722885">
        <w:rPr>
          <w:rFonts w:eastAsia="Calibri"/>
          <w:color w:val="000000" w:themeColor="text1"/>
          <w:sz w:val="16"/>
          <w:szCs w:val="16"/>
        </w:rPr>
        <w:softHyphen/>
        <w:t>ным переделкам. С башен убрали крыши, а также переработали лобо</w:t>
      </w:r>
      <w:r w:rsidRPr="00722885">
        <w:rPr>
          <w:rFonts w:eastAsia="Calibri"/>
          <w:color w:val="000000" w:themeColor="text1"/>
          <w:sz w:val="16"/>
          <w:szCs w:val="16"/>
        </w:rPr>
        <w:softHyphen/>
        <w:t>вую часть (на Т-70 (зенитном) частично). ГАЗ же для своей машины, получившей индекс Т-90, создал новую восьмигранную башню с тол</w:t>
      </w:r>
      <w:r w:rsidRPr="00722885">
        <w:rPr>
          <w:rFonts w:eastAsia="Calibri"/>
          <w:color w:val="000000" w:themeColor="text1"/>
          <w:sz w:val="16"/>
          <w:szCs w:val="16"/>
        </w:rPr>
        <w:softHyphen/>
        <w:t>щиной стенок 35 мм на штатном погоне Т-70. У всех представленных образцов башни были открыты сверху, при этом на Т-90 и Т-60 (зенит</w:t>
      </w:r>
      <w:r w:rsidRPr="00722885">
        <w:rPr>
          <w:rFonts w:eastAsia="Calibri"/>
          <w:color w:val="000000" w:themeColor="text1"/>
          <w:sz w:val="16"/>
          <w:szCs w:val="16"/>
        </w:rPr>
        <w:softHyphen/>
        <w:t>ном) имелся складной тент для защиты от непогоды. В качестве воору</w:t>
      </w:r>
      <w:r w:rsidRPr="00722885">
        <w:rPr>
          <w:rFonts w:eastAsia="Calibri"/>
          <w:color w:val="000000" w:themeColor="text1"/>
          <w:sz w:val="16"/>
          <w:szCs w:val="16"/>
        </w:rPr>
        <w:softHyphen/>
        <w:t>жения на всех трех ЗСУ использовалась спаренная установка 12,7-мм пулеметов ДШКТ, которые по факту представляли собой возвращение к концепции ДК с барабанным магазином на 30 патронов. Аналогич</w:t>
      </w:r>
      <w:r w:rsidRPr="00722885">
        <w:rPr>
          <w:rFonts w:eastAsia="Calibri"/>
          <w:color w:val="000000" w:themeColor="text1"/>
          <w:sz w:val="16"/>
          <w:szCs w:val="16"/>
        </w:rPr>
        <w:softHyphen/>
        <w:t>ными были решения по прицельным приспособлениям: для стрельбы по наземным целямприменялся телескопический прицел ТМФП, для воздушной стрельбы применялся коллиматорный прицел К-8Т. Разли</w:t>
      </w:r>
      <w:r w:rsidRPr="00722885">
        <w:rPr>
          <w:rFonts w:eastAsia="Calibri"/>
          <w:color w:val="000000" w:themeColor="text1"/>
          <w:sz w:val="16"/>
          <w:szCs w:val="16"/>
        </w:rPr>
        <w:softHyphen/>
        <w:t>чия имелись в установке прицелов: на Т-90 они устанавливались слева от пулеметов, а на Т-70 (зенитный) и Т-60 (зенитный) — по центру, над пулеметами. Для размещения прицелов в масках зенитных танков за</w:t>
      </w:r>
      <w:r w:rsidRPr="00722885">
        <w:rPr>
          <w:rFonts w:eastAsia="Calibri"/>
          <w:color w:val="000000" w:themeColor="text1"/>
          <w:sz w:val="16"/>
          <w:szCs w:val="16"/>
        </w:rPr>
        <w:softHyphen/>
        <w:t>вода № 37 потребовалось сделать большие отверстия, которые явно не способствовали защите от огня противника (17485).</w:t>
      </w:r>
    </w:p>
    <w:p w14:paraId="10D99963"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p>
    <w:p w14:paraId="06DE2E2E" w14:textId="77777777" w:rsidR="009D3895" w:rsidRPr="00722885" w:rsidRDefault="009D3895"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К 16 сентября эскиз</w:t>
      </w:r>
      <w:r w:rsidRPr="00722885">
        <w:rPr>
          <w:rFonts w:eastAsia="Calibri"/>
          <w:color w:val="000000" w:themeColor="text1"/>
          <w:sz w:val="16"/>
          <w:szCs w:val="16"/>
        </w:rPr>
        <w:softHyphen/>
        <w:t>ный проект саней ДП-60 (десантный прицеп на базе танка Т-60), раз</w:t>
      </w:r>
      <w:r w:rsidRPr="00722885">
        <w:rPr>
          <w:rFonts w:eastAsia="Calibri"/>
          <w:color w:val="000000" w:themeColor="text1"/>
          <w:sz w:val="16"/>
          <w:szCs w:val="16"/>
        </w:rPr>
        <w:softHyphen/>
        <w:t>работанный инженерами НАТИ Л. Ф. Киселевым и В. Ф. Горановым, рассмотрели, и по нему было дано заключение:</w:t>
      </w:r>
    </w:p>
    <w:p w14:paraId="149E4B91"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«Представленный эскизный проект десантного прицепа в 3-х вариан</w:t>
      </w:r>
      <w:r w:rsidRPr="00722885">
        <w:rPr>
          <w:rFonts w:ascii="Times New Roman" w:hAnsi="Times New Roman"/>
          <w:color w:val="000000" w:themeColor="text1"/>
          <w:sz w:val="16"/>
          <w:szCs w:val="16"/>
        </w:rPr>
        <w:softHyphen/>
        <w:t>тах по идее сводится к использованию готового корпуса Т-60 для целей перевозки за танком живой силы и боеприпасов в зимних условиях.</w:t>
      </w:r>
    </w:p>
    <w:p w14:paraId="17C5BDA3"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Наибольшую ценность представляет вариант прицепа с башней и лы</w:t>
      </w:r>
      <w:r w:rsidRPr="00722885">
        <w:rPr>
          <w:rFonts w:ascii="Times New Roman" w:hAnsi="Times New Roman"/>
          <w:color w:val="000000" w:themeColor="text1"/>
          <w:sz w:val="16"/>
          <w:szCs w:val="16"/>
        </w:rPr>
        <w:softHyphen/>
        <w:t>жами, расположенными под днищем корпуса, который представляет сле</w:t>
      </w:r>
      <w:r w:rsidRPr="00722885">
        <w:rPr>
          <w:rFonts w:ascii="Times New Roman" w:hAnsi="Times New Roman"/>
          <w:color w:val="000000" w:themeColor="text1"/>
          <w:sz w:val="16"/>
          <w:szCs w:val="16"/>
        </w:rPr>
        <w:softHyphen/>
        <w:t>дующее.</w:t>
      </w:r>
    </w:p>
    <w:p w14:paraId="1808E664"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Корпус Т-60 со следующими изменениями: вырезка отверстий под вход</w:t>
      </w:r>
      <w:r w:rsidRPr="00722885">
        <w:rPr>
          <w:rFonts w:ascii="Times New Roman" w:hAnsi="Times New Roman"/>
          <w:color w:val="000000" w:themeColor="text1"/>
          <w:sz w:val="16"/>
          <w:szCs w:val="16"/>
        </w:rPr>
        <w:softHyphen/>
        <w:t>ной люк в кормовом листе, снятие жалюзи и их заделка новым броневым листом, заделка отверстий под торсионы, ось ленивца и бортовую пере применение для различных целей, как-то:</w:t>
      </w:r>
    </w:p>
    <w:p w14:paraId="287B4B71" w14:textId="77777777" w:rsidR="009D3895" w:rsidRPr="00722885" w:rsidRDefault="009D3895" w:rsidP="00722885">
      <w:pPr>
        <w:tabs>
          <w:tab w:val="left" w:pos="57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переброска десантов;</w:t>
      </w:r>
    </w:p>
    <w:p w14:paraId="1D0A01F9" w14:textId="77777777" w:rsidR="009D3895" w:rsidRPr="00722885" w:rsidRDefault="009D3895" w:rsidP="00722885">
      <w:pPr>
        <w:tabs>
          <w:tab w:val="left" w:pos="56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перевозка боеприпасов и горючего;</w:t>
      </w:r>
    </w:p>
    <w:p w14:paraId="23FA71B8" w14:textId="77777777" w:rsidR="009D3895" w:rsidRPr="00722885" w:rsidRDefault="009D3895" w:rsidP="00722885">
      <w:pPr>
        <w:tabs>
          <w:tab w:val="left" w:pos="55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вывоз раненых с поля боя;</w:t>
      </w:r>
    </w:p>
    <w:p w14:paraId="59E96587" w14:textId="77777777" w:rsidR="009D3895" w:rsidRPr="00722885" w:rsidRDefault="009D3895" w:rsidP="00722885">
      <w:pPr>
        <w:tabs>
          <w:tab w:val="left" w:pos="54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применение как легких бронированных пулеметных гнезд;</w:t>
      </w:r>
    </w:p>
    <w:p w14:paraId="69E8C308" w14:textId="77777777" w:rsidR="009D3895" w:rsidRPr="00722885" w:rsidRDefault="009D3895" w:rsidP="00722885">
      <w:pPr>
        <w:tabs>
          <w:tab w:val="left" w:pos="56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помощь саперам в подвозке ВВ.</w:t>
      </w:r>
    </w:p>
    <w:p w14:paraId="218F05B1"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обеспечения выполнения всех указанных условий при разработке технического проекта следует предусмотреть следующее:</w:t>
      </w:r>
    </w:p>
    <w:p w14:paraId="06DA0D7A" w14:textId="77777777" w:rsidR="009D3895" w:rsidRPr="00722885" w:rsidRDefault="009D3895" w:rsidP="00722885">
      <w:pPr>
        <w:tabs>
          <w:tab w:val="left" w:pos="52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Возможность отцепки приспособлений из танка.</w:t>
      </w:r>
    </w:p>
    <w:p w14:paraId="7643C14E" w14:textId="77777777" w:rsidR="009D3895" w:rsidRPr="00722885" w:rsidRDefault="009D3895" w:rsidP="00722885">
      <w:pPr>
        <w:tabs>
          <w:tab w:val="left" w:pos="55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Размещение боекомплекта и личного оружия.</w:t>
      </w:r>
    </w:p>
    <w:p w14:paraId="205BD230" w14:textId="77777777" w:rsidR="009D3895" w:rsidRPr="00722885" w:rsidRDefault="009D3895" w:rsidP="00722885">
      <w:pPr>
        <w:tabs>
          <w:tab w:val="left" w:pos="57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Отверстия в башне и в корпусе для пользования пехотным периско</w:t>
      </w:r>
      <w:r w:rsidRPr="00722885">
        <w:rPr>
          <w:rFonts w:ascii="Times New Roman" w:hAnsi="Times New Roman"/>
          <w:color w:val="000000" w:themeColor="text1"/>
          <w:sz w:val="16"/>
          <w:szCs w:val="16"/>
        </w:rPr>
        <w:softHyphen/>
        <w:t>пом разведчика.</w:t>
      </w:r>
    </w:p>
    <w:p w14:paraId="7D9B30DC" w14:textId="77777777" w:rsidR="009D3895" w:rsidRPr="00722885" w:rsidRDefault="009D3895" w:rsidP="00722885">
      <w:pPr>
        <w:tabs>
          <w:tab w:val="left" w:pos="56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Буксирного устройства на корме прицепа для составления поезда из прицепов.</w:t>
      </w:r>
    </w:p>
    <w:p w14:paraId="45AE5551" w14:textId="77777777" w:rsidR="009D3895" w:rsidRPr="00722885" w:rsidRDefault="009D3895" w:rsidP="00722885">
      <w:pPr>
        <w:tabs>
          <w:tab w:val="left" w:pos="54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Установку в башне пулеметов ДТ или ДП» (17485).</w:t>
      </w:r>
    </w:p>
    <w:p w14:paraId="4C0BE5C2" w14:textId="77777777" w:rsidR="009D3895" w:rsidRPr="00722885" w:rsidRDefault="009D3895" w:rsidP="00722885">
      <w:pPr>
        <w:pStyle w:val="a3"/>
        <w:rPr>
          <w:color w:val="000000" w:themeColor="text1"/>
          <w:lang w:val="ru-RU"/>
        </w:rPr>
      </w:pPr>
    </w:p>
    <w:p w14:paraId="7F7A1B70" w14:textId="77777777" w:rsidR="00C56FE3" w:rsidRPr="00722885" w:rsidRDefault="00C56FE3" w:rsidP="00722885">
      <w:pPr>
        <w:pStyle w:val="ae"/>
        <w:shd w:val="clear" w:color="auto" w:fill="FFFFFF"/>
        <w:spacing w:before="0" w:after="0"/>
        <w:jc w:val="both"/>
        <w:rPr>
          <w:color w:val="000000" w:themeColor="text1"/>
          <w:sz w:val="16"/>
          <w:szCs w:val="16"/>
        </w:rPr>
      </w:pPr>
      <w:r w:rsidRPr="00722885">
        <w:rPr>
          <w:color w:val="000000" w:themeColor="text1"/>
          <w:sz w:val="16"/>
          <w:szCs w:val="16"/>
        </w:rPr>
        <w:t>К 16 сентября 1942 эскизный проект саней ДП-60 (десантный прицеп на базе танка Т-60), разработанный инженерами НАТИ Л.Ф. Киселёвым и В.Ф. Горановым, был рассмотрен ГАБТУ КА. Проект предлагался в трёх вариантах. Наиболее интересной была признана версия с боевой массой 3,3 тонны. За основу брался корпус Т-60, в котором делался кормовой люк и закрываемые бойницы. Десант саней в этом варианте составлял 8 человек. Правда, первоначально в ГАБТУ более интересным посчитали вариант с сохранением орудийной башни с вооружением.</w:t>
      </w:r>
    </w:p>
    <w:p w14:paraId="0A7BA156" w14:textId="77777777" w:rsidR="00C56FE3" w:rsidRPr="00722885" w:rsidRDefault="00C56FE3" w:rsidP="00722885">
      <w:pPr>
        <w:pStyle w:val="ae"/>
        <w:shd w:val="clear" w:color="auto" w:fill="FFFFFF"/>
        <w:spacing w:before="0" w:after="0"/>
        <w:jc w:val="both"/>
        <w:rPr>
          <w:color w:val="000000" w:themeColor="text1"/>
          <w:sz w:val="16"/>
          <w:szCs w:val="16"/>
        </w:rPr>
      </w:pPr>
      <w:r w:rsidRPr="00722885">
        <w:rPr>
          <w:color w:val="000000" w:themeColor="text1"/>
          <w:sz w:val="16"/>
          <w:szCs w:val="16"/>
        </w:rPr>
        <w:t>Финальный вариант проекта был подготовлен в начале октября 1942 года. Прицеп, обозначенный как БП, имел боевую массу 3,5 тонны, его вместимость увеличилась до 10-12 человек. Кроме пехоты, он мог перевозить и 5-7 бочек горючего. В качестве тягача для прицепа предусматривалось использовать Т-34. Для этого к кормовым буксирным крюкам танка крепилась специальная упряжная конструкция, к которой, в свою очередь, крепилась сцепка прицепа. Расчёт прицепа в случае необходимости мог отцепиться от танка, не выходя наружу.</w:t>
      </w:r>
    </w:p>
    <w:p w14:paraId="43E90748" w14:textId="77777777" w:rsidR="00C56FE3" w:rsidRPr="00722885" w:rsidRDefault="00C56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аналогичные конструкции на базе проектов НАТИ разрабатывались ещё двумя предприятиями (17711).</w:t>
      </w:r>
    </w:p>
    <w:p w14:paraId="5DC920FB" w14:textId="77777777" w:rsidR="00C56FE3" w:rsidRPr="00722885" w:rsidRDefault="00C56FE3" w:rsidP="00722885">
      <w:pPr>
        <w:spacing w:after="0" w:line="240" w:lineRule="auto"/>
        <w:jc w:val="both"/>
        <w:rPr>
          <w:rFonts w:ascii="Times New Roman" w:eastAsia="Times New Roman" w:hAnsi="Times New Roman"/>
          <w:color w:val="000000" w:themeColor="text1"/>
          <w:sz w:val="16"/>
          <w:szCs w:val="16"/>
          <w:lang w:eastAsia="ru-RU"/>
        </w:rPr>
      </w:pPr>
    </w:p>
    <w:p w14:paraId="0803367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16 сентября 1942 года вышел приказ НКБ № 701с</w:t>
      </w:r>
    </w:p>
    <w:p w14:paraId="7E4E5C8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Во исполнение распоряжения СНК № 17667-рс от 13 сентября 1942 года:</w:t>
      </w:r>
    </w:p>
    <w:p w14:paraId="1F40C8A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612 4 гл. управления ликвидировать как самостоятельное (уставное) предприятие и передать его заводу № 73 (5943, 52).</w:t>
      </w:r>
    </w:p>
    <w:p w14:paraId="135EF3F5" w14:textId="77777777" w:rsidR="00090C9B" w:rsidRPr="00722885" w:rsidRDefault="00090C9B" w:rsidP="00722885">
      <w:pPr>
        <w:pStyle w:val="Iauiue"/>
        <w:tabs>
          <w:tab w:val="left" w:pos="11199"/>
        </w:tabs>
        <w:jc w:val="both"/>
        <w:rPr>
          <w:color w:val="000000" w:themeColor="text1"/>
          <w:sz w:val="16"/>
          <w:szCs w:val="16"/>
        </w:rPr>
      </w:pPr>
    </w:p>
    <w:p w14:paraId="3CC1BB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1942 Ждановцы подготовили к ходовым испытаниям (в отрыве от заводской базы) эсминец "Строгий" (10671).</w:t>
      </w:r>
    </w:p>
    <w:p w14:paraId="6F40DC2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64AB8E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BA4761F" w14:textId="77777777" w:rsidR="00090C9B" w:rsidRPr="00722885" w:rsidRDefault="00090C9B" w:rsidP="00722885">
      <w:pPr>
        <w:pStyle w:val="Iauiue"/>
        <w:jc w:val="both"/>
        <w:rPr>
          <w:iCs/>
          <w:color w:val="000000" w:themeColor="text1"/>
          <w:sz w:val="16"/>
          <w:szCs w:val="16"/>
        </w:rPr>
      </w:pPr>
    </w:p>
    <w:p w14:paraId="0F5454F0"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16 сентября </w:t>
      </w:r>
      <w:r w:rsidRPr="00722885">
        <w:rPr>
          <w:rFonts w:ascii="Times New Roman" w:hAnsi="Times New Roman"/>
          <w:color w:val="000000" w:themeColor="text1"/>
          <w:sz w:val="16"/>
          <w:szCs w:val="16"/>
        </w:rPr>
        <w:t>в 1942 году утреннее сообщение Совинформбюро:</w:t>
      </w:r>
    </w:p>
    <w:p w14:paraId="314B2E37"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16 сентября наши войска вели бои с противником западнее и юго-западнее Сталинграда и в районе Моздок. На других фронтах существенных изменений не произошло.</w:t>
      </w:r>
    </w:p>
    <w:p w14:paraId="2C38C235"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Сталинграда продолжались напряжённые бои. Противник, сосредоточив на узком участке пехоту и танки, а также значительные силы авиации, предпринял ряд ожесточённых атак. Ценой больших потерь немцам удалось несколько продвинуться вперёд. Огнём нашей артиллерии и бронебойщиков подбито 6 танков противника. Нашими лётчиками и огнём зенитной артиллерии в течение суток сбито 35 немецких самолётов.</w:t>
      </w:r>
    </w:p>
    <w:p w14:paraId="187F3702"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Н-ская часть Красной Армии, отражая атаки противника, уничтожила 2 танка, несколько орудий и до батальона немецкой пехоты. На другом участке бойцы части, где командиром тов. Чиликин, истребили 200 гитлеровцев, уничтожили 5 немецких танков, 10 автомашин и артиллерийскую батарею.</w:t>
      </w:r>
    </w:p>
    <w:p w14:paraId="636E13B4"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отбили атаку противника и уничтожили 6 немецких танков и до роты гитлеровцев. Советские лётчики уничтожили 4 танка и до 100 автомашин противника с войсками и грузами.</w:t>
      </w:r>
    </w:p>
    <w:p w14:paraId="10F6C147"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части морской пехоты под командованием тов. Вострикова за три дня боевых действий уничтожили до батальона пехоты противника. На другом участке черноморцы контрударом отбросили наступавших гитлеровцев. Противник оставил на поле боя 4 подбитых танка, б зенитных орудий, 10 автомашини 20 повозок с военными грузами.</w:t>
      </w:r>
    </w:p>
    <w:p w14:paraId="65616EF2"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Артиллерийское подразделение, где командиром тов. Кудрявцев (Краснознамённый Балтийский флот), произвело несколько огневых налётов на вражеские узлы сопротивления. Прямыми попаданиями снарядов уничтожено несколько артиллерийских батарей. Снайперы этого подразделения огнём из винтовок за один день истребили 78 гитлеровцев.</w:t>
      </w:r>
    </w:p>
    <w:p w14:paraId="65EA35EB"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записной книжки немецкого офицера, убитого на Западном фронте:</w:t>
      </w:r>
    </w:p>
    <w:p w14:paraId="652369D0"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«Наша дивизия состоит из остатков разгромленных частей. В этом месяце дивизию снова сильно потрепали. Большие потери понесла пехота от снайперского огня русских. Недаром нам в Вердене читали лекции о русских снайперах.</w:t>
      </w:r>
    </w:p>
    <w:p w14:paraId="1A9F2A8E"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Война против России напоминает мне авантюру... Господа командующие переоценили собственные силы. За это мы уже жестоко поплатились. Приближается зима. Солдаты и офицеры всё чаще и чаще заводят речь о великом зимнем отступлении. Люди пережили тогда нечто ужасное. До сих пор они еще не могут отделаться от тяжёлых воспоминаний.</w:t>
      </w:r>
    </w:p>
    <w:p w14:paraId="673042D4"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Ночью русские атаковали наш левый фланг. Атакам предшествовал очень сильный артиллерийский обстрел. У нас большие потери. Погиб мой старый друг лейтенант Биттнер... Впереди я не вижу ничего радостного».</w:t>
      </w:r>
    </w:p>
    <w:p w14:paraId="4180B687"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деревнях Смоленской области, освобождённых за последнее время от немецких оккупантов, вскрываются всё новые факты зверств гитлеровских мерзавцев над мирным населением и пленными красноармейцами. В деревне Тягочевка немцы подвергли мучительным пыткам, а затем расстреляли председателя колхоза «Ленинская искра» Прасковью Морозову.</w:t>
      </w:r>
    </w:p>
    <w:p w14:paraId="01E72806"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деревне Дубно фашистские бандиты долго истязали, а потом расстреляли двух раненых советских бойцов. Отступая из деревни Семеновское, гитлеровцы бросили в сарай с соломой и сожгли трёх пленных красноармейцев.</w:t>
      </w:r>
    </w:p>
    <w:p w14:paraId="1BF70C87"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патриоты добились новых успехов в борьбе против немецко-итальянских захватчиков. Итальянцы направили крупный отряд в помощь своему гарнизону, осаждённому в городе Удбине. Партизаны внезапно напали на этот отряд и истребили около 400 итальянских солдат и офицеров. В бою за город Н. партизаны истребили 140 итальянских оккупантов и захватили 106 винтовок, 8 пулемётов, много боеприпасов и продовольствия. В начале сентября патриоты пустили под откос бронепоезд неприятеля.» (14771).</w:t>
      </w:r>
    </w:p>
    <w:p w14:paraId="6FA8602C" w14:textId="77777777" w:rsidR="00A65CDA" w:rsidRPr="00722885" w:rsidRDefault="00A65CDA" w:rsidP="00722885">
      <w:pPr>
        <w:spacing w:after="0" w:line="240" w:lineRule="auto"/>
        <w:jc w:val="both"/>
        <w:rPr>
          <w:rFonts w:ascii="Times New Roman" w:hAnsi="Times New Roman"/>
          <w:color w:val="000000" w:themeColor="text1"/>
          <w:sz w:val="16"/>
          <w:szCs w:val="16"/>
        </w:rPr>
      </w:pPr>
    </w:p>
    <w:p w14:paraId="297E739E"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16 сентября </w:t>
      </w:r>
      <w:r w:rsidRPr="00722885">
        <w:rPr>
          <w:rFonts w:ascii="Times New Roman" w:hAnsi="Times New Roman"/>
          <w:color w:val="000000" w:themeColor="text1"/>
          <w:sz w:val="16"/>
          <w:szCs w:val="16"/>
        </w:rPr>
        <w:t>в 1942 году вечернее сообщение Совинформбюро:</w:t>
      </w:r>
    </w:p>
    <w:p w14:paraId="73264325"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16 сентября наши войска вели ожесточённые бои с противником на северо-западной окраине Сталинграда и в районе Моздок. На других фронтах существенных изменений не произошло.</w:t>
      </w:r>
    </w:p>
    <w:p w14:paraId="1DEADEFA"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15 сентября частями нашей авиации на различных участках фронта уничтожено или повреждено 10 немецких танков и бронемашин, до 70 автомашин с войсками и грузами, 20 повозок с боеприпасами, подавлен огонь 13 батарей полевей и зенитной артиллерии, рассеяно и частью уничтожено до пяти рот пехоты противника.</w:t>
      </w:r>
    </w:p>
    <w:p w14:paraId="5678CC19"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северо-западной окраине Сталинграда наши войска вели напряжённые бои. На одном участке противник отдельными группами танков и автоматчиков вклинился в нашу оборону. Завязались упорные бои, в ходе которых гитлеровцы, проникшие в расположение советских войск, были уничтожены. На другом участке бойцы Н-ского соединения в боях с наступающим противником разгромили полк румынской пехоты. Гвардейская миномётная часть под командованием тов. Дорофеева уничтожила до батальона немецкой пехоты, сожгла 13 танков, 22 автомашины и подавила огонь нескольких артиллерийских и миномётных батарей противника. С целью поддержки обескровленных дивизий немцы подбрасывают новые резервы, с которыми наши части ведут ожесточённые бои.</w:t>
      </w:r>
    </w:p>
    <w:p w14:paraId="733ACC85"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в воздушных боях сбили 32 немецких самолёта.</w:t>
      </w:r>
    </w:p>
    <w:p w14:paraId="31C50AAB"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наносили контрудары по группировке противника на южном берегу водного рубежа. Немцы неоднократно переходили в контратаки, которые были отбиты с большими для них потерями. Советские части продвинулись вперёд и заняли один населённый пункт, имеющий важное тактическое значение. Восточнее Моздока пехота и 80 танков противника вели атаки на наши позиции. Бойцы Н-ского соединения отбили все атаки войск противника. Подбито и сожжено до 30 немецких танков.</w:t>
      </w:r>
    </w:p>
    <w:p w14:paraId="6F3721CD"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Синявина наши части, преодолев упорное сопротивление гитлеровцев, заняли укреплённый пункт противника. Артиллеристы орудийного расчёта тов. Рогожкина подбили 4 немецких танка. Сапёр-разведчик тов. Грищенко за короткий срок обнаружил и обезвредил 120 немецких противотанковых и противопехотных мин. Отважный боец подполз к немецкому укреплению, пристрелил офицера и взорвал ДЗОТ. Продвигаясь дальше в глубь вражеской обороны, тов. Грищенко истребил 27 гитлеровцев.</w:t>
      </w:r>
    </w:p>
    <w:p w14:paraId="3118B3F4"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бойцы Н-ской части отбили атаку противника и уничтожили 3 немецких танка. На другом участке за два дня боевых действий одна наша часть захватила у немцев 2 орудия, 3 миномёта, 45 пулемётов, более 200 винтовок и 14 автомашин. За это же время уничтожено до 500 солдат и офицеров противника.</w:t>
      </w:r>
    </w:p>
    <w:p w14:paraId="1BBC627F"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Добровольно сдавшийся в плен солдат 377 артполка 377 немецкой пехотной дивизии Франц Г. рассказал: «Я был свидетелем жестокого обращения немецких солдат и офицеров с советскими военнопленными и гражданским населением. Недавно во время марша одно орудие застряло в грязи. По распоряжению командира батареи пригнали группу раненых пленных красноармейцев и заставили их вытаскивать орудие. Обессилевшие от ран и потери крови, они ничего не могли сделать. Тогда вахмистр Шмидеке нагайкой избил русских до полусмерти. В деревне Слобода пьяные солдаты перекололи штыками пять крестьянских семейств. Я заходил в избы и сам видел изуродованные трупы родителей и детей. В селе Никольском был расстрелян старый крестьянин за то, что он не снял шапки перед офицером».</w:t>
      </w:r>
    </w:p>
    <w:p w14:paraId="251B6739"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чтобы прокормить население Германии, грабят продовольствие у крестьян порабощенных ими стран. В провинции Брабант (Бельгия) гитлеровские чиновники оштрафовали и привлекли к суду за несдачу зерна несколько тысяч крестьян. Много крестьян арестовано, а их хозяйства реквизированы. Немецкие власти производят в деревнях массовые обыски и насильно отбирают весь хлеб, который им удаётся найти. В ответ на этот грабёж крестьяне близ Жамблу разгромили элеватор и сожгли необмолоченный хлеб. В районе Рошфора произошло вооружённое столкновение местного населения с полицией, прибывшей для реквизиции зерна.» (14771).</w:t>
      </w:r>
    </w:p>
    <w:p w14:paraId="2753BB51" w14:textId="77777777" w:rsidR="00A65CDA" w:rsidRPr="00722885" w:rsidRDefault="00A65CDA" w:rsidP="00722885">
      <w:pPr>
        <w:spacing w:after="0" w:line="240" w:lineRule="auto"/>
        <w:jc w:val="both"/>
        <w:rPr>
          <w:rFonts w:ascii="Times New Roman" w:hAnsi="Times New Roman"/>
          <w:color w:val="000000" w:themeColor="text1"/>
          <w:sz w:val="16"/>
          <w:szCs w:val="16"/>
        </w:rPr>
      </w:pPr>
    </w:p>
    <w:p w14:paraId="5245E273"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16 сентября </w:t>
      </w:r>
      <w:r w:rsidRPr="00722885">
        <w:rPr>
          <w:rFonts w:ascii="Times New Roman" w:hAnsi="Times New Roman"/>
          <w:color w:val="000000" w:themeColor="text1"/>
          <w:sz w:val="16"/>
          <w:szCs w:val="16"/>
        </w:rPr>
        <w:t>в 1942 году части 13-й гвардейской и 112-й стрелковой дивизий отбили у противника Мамаев курган (14771).</w:t>
      </w:r>
    </w:p>
    <w:p w14:paraId="5E0D2F51" w14:textId="77777777" w:rsidR="00A65CDA" w:rsidRPr="00722885" w:rsidRDefault="00A65CDA" w:rsidP="00722885">
      <w:pPr>
        <w:spacing w:after="0" w:line="240" w:lineRule="auto"/>
        <w:jc w:val="both"/>
        <w:rPr>
          <w:rFonts w:ascii="Times New Roman" w:hAnsi="Times New Roman"/>
          <w:color w:val="000000" w:themeColor="text1"/>
          <w:sz w:val="16"/>
          <w:szCs w:val="16"/>
        </w:rPr>
      </w:pPr>
    </w:p>
    <w:p w14:paraId="3ADD12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Начиная с 16 сентября 1942 самолеты 95-го иап и 13-го бап подключились к прикрытию с воздуха очередного союзного конвоя PQ-18, подвергавшегося непрерывным атакам подлодок и авиации противника. В зоне ответственности ВВС СФ конвой потерял только один транспорт, а до этого в английской зоне на дно ушли 12 судов (4476).</w:t>
      </w:r>
    </w:p>
    <w:p w14:paraId="4E1EEE5E" w14:textId="77777777" w:rsidR="00090C9B" w:rsidRPr="00722885" w:rsidRDefault="00090C9B" w:rsidP="00722885">
      <w:pPr>
        <w:pStyle w:val="Iauiue"/>
        <w:jc w:val="both"/>
        <w:rPr>
          <w:color w:val="000000" w:themeColor="text1"/>
          <w:sz w:val="16"/>
          <w:szCs w:val="16"/>
        </w:rPr>
      </w:pPr>
    </w:p>
    <w:p w14:paraId="13AB58E1"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16 1942 Germans penetrate Stalingrad suburbs (1037).</w:t>
      </w:r>
    </w:p>
    <w:p w14:paraId="2F7D6337" w14:textId="77777777" w:rsidR="00090C9B" w:rsidRPr="00722885" w:rsidRDefault="00090C9B" w:rsidP="00722885">
      <w:pPr>
        <w:pStyle w:val="Iauiue"/>
        <w:jc w:val="both"/>
        <w:rPr>
          <w:color w:val="000000" w:themeColor="text1"/>
          <w:sz w:val="16"/>
          <w:szCs w:val="16"/>
          <w:lang w:val="en-US"/>
        </w:rPr>
      </w:pPr>
    </w:p>
    <w:p w14:paraId="785406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сентября 1942 немцы вышли к окраинам Сталинграда (2245,8).</w:t>
      </w:r>
    </w:p>
    <w:p w14:paraId="4A900E0F" w14:textId="77777777" w:rsidR="00090C9B" w:rsidRPr="00722885" w:rsidRDefault="00090C9B" w:rsidP="00722885">
      <w:pPr>
        <w:pStyle w:val="Iauiue"/>
        <w:jc w:val="both"/>
        <w:rPr>
          <w:color w:val="000000" w:themeColor="text1"/>
          <w:sz w:val="16"/>
          <w:szCs w:val="16"/>
        </w:rPr>
      </w:pPr>
    </w:p>
    <w:p w14:paraId="137823C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16 сентября 1942 вышло Постановление ГКО № 2308 О строительстве Махачкалинского, Дербентского и Бакинского оборонительных рубежей. (7054, 134).</w:t>
      </w:r>
    </w:p>
    <w:p w14:paraId="03004F7A" w14:textId="77777777" w:rsidR="00090C9B" w:rsidRPr="00722885" w:rsidRDefault="00090C9B" w:rsidP="00722885">
      <w:pPr>
        <w:pStyle w:val="Iauiue"/>
        <w:tabs>
          <w:tab w:val="left" w:pos="11199"/>
        </w:tabs>
        <w:jc w:val="both"/>
        <w:rPr>
          <w:color w:val="000000" w:themeColor="text1"/>
          <w:sz w:val="16"/>
          <w:szCs w:val="16"/>
        </w:rPr>
      </w:pPr>
    </w:p>
    <w:p w14:paraId="3DF59CD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28DB8D3" w14:textId="77777777" w:rsidR="00090C9B" w:rsidRPr="00722885" w:rsidRDefault="00090C9B" w:rsidP="00722885">
      <w:pPr>
        <w:pStyle w:val="Iauiue"/>
        <w:jc w:val="both"/>
        <w:rPr>
          <w:iCs/>
          <w:color w:val="000000" w:themeColor="text1"/>
          <w:sz w:val="16"/>
          <w:szCs w:val="16"/>
        </w:rPr>
      </w:pPr>
    </w:p>
    <w:p w14:paraId="61F8384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16 сентября 1942 вышло Постановление ГКО № 2309 [О помощи колхозам и населению высокогорных районов Дагестанской АССР, пострадавших от стихийных бедствий, и назначении секретарем обкома Алиева Азиза вместо Лукина Н.И.] (7054, 135).</w:t>
      </w:r>
    </w:p>
    <w:p w14:paraId="0A944D39" w14:textId="77777777" w:rsidR="00090C9B" w:rsidRPr="00722885" w:rsidRDefault="00090C9B" w:rsidP="00722885">
      <w:pPr>
        <w:pStyle w:val="Iauiue"/>
        <w:tabs>
          <w:tab w:val="left" w:pos="11199"/>
        </w:tabs>
        <w:jc w:val="both"/>
        <w:rPr>
          <w:color w:val="000000" w:themeColor="text1"/>
          <w:sz w:val="16"/>
          <w:szCs w:val="16"/>
        </w:rPr>
      </w:pPr>
    </w:p>
    <w:p w14:paraId="76632B1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57A0C91" w14:textId="77777777" w:rsidR="00090C9B" w:rsidRPr="00722885" w:rsidRDefault="00090C9B" w:rsidP="00722885">
      <w:pPr>
        <w:pStyle w:val="Iauiue"/>
        <w:jc w:val="both"/>
        <w:rPr>
          <w:iCs/>
          <w:color w:val="000000" w:themeColor="text1"/>
          <w:sz w:val="16"/>
          <w:szCs w:val="16"/>
        </w:rPr>
      </w:pPr>
    </w:p>
    <w:p w14:paraId="2DB458FE"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16-17 сентября (ночь) 1842 369 британских бомбардировщиков атаковали Германию, потеряв 39 из своего числа, очень высокий уровень потерь 10,6%. Один немецкий пилот ночного истребителя , гауптманн Райнхольд Накке , ночью сбил пять бомбардировщиков (20793).</w:t>
      </w:r>
    </w:p>
    <w:p w14:paraId="7AC6C39D" w14:textId="77777777" w:rsidR="00FF6A85" w:rsidRPr="00722885" w:rsidRDefault="00FF6A85" w:rsidP="00722885">
      <w:pPr>
        <w:spacing w:after="0" w:line="240" w:lineRule="auto"/>
        <w:jc w:val="both"/>
        <w:rPr>
          <w:rFonts w:ascii="Times New Roman" w:hAnsi="Times New Roman"/>
          <w:color w:val="0070C0"/>
          <w:sz w:val="16"/>
          <w:szCs w:val="16"/>
        </w:rPr>
      </w:pPr>
    </w:p>
    <w:p w14:paraId="4640FB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сентября 1942 в Албании был образован национально-освободительный комитет, а в июле 1942 - НОА (2438,441).</w:t>
      </w:r>
    </w:p>
    <w:p w14:paraId="45FB76BE" w14:textId="77777777" w:rsidR="00090C9B" w:rsidRPr="00722885" w:rsidRDefault="00090C9B" w:rsidP="00722885">
      <w:pPr>
        <w:pStyle w:val="Iauiue"/>
        <w:jc w:val="both"/>
        <w:rPr>
          <w:color w:val="000000" w:themeColor="text1"/>
          <w:sz w:val="16"/>
          <w:szCs w:val="16"/>
        </w:rPr>
      </w:pPr>
    </w:p>
    <w:p w14:paraId="5B073C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сентября 1942 Пеза. На конференции групп Сопротивления создан Национально-освободительный фронт Албании (НОФА) и Генеральный национально-освободительный Совет Албании (ГНОСА) (7594).</w:t>
      </w:r>
    </w:p>
    <w:p w14:paraId="3FAACBC8" w14:textId="77777777" w:rsidR="00090C9B" w:rsidRPr="00722885" w:rsidRDefault="00090C9B" w:rsidP="00722885">
      <w:pPr>
        <w:pStyle w:val="Iauiue"/>
        <w:jc w:val="both"/>
        <w:rPr>
          <w:color w:val="000000" w:themeColor="text1"/>
          <w:sz w:val="16"/>
          <w:szCs w:val="16"/>
        </w:rPr>
      </w:pPr>
    </w:p>
    <w:p w14:paraId="16589A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сентября 1942 американская авиация под командованием г Дулитла бомбила японцев на алеутском острове Киска (2100).</w:t>
      </w:r>
    </w:p>
    <w:p w14:paraId="6025B78C" w14:textId="77777777" w:rsidR="00090C9B" w:rsidRPr="00722885" w:rsidRDefault="00090C9B" w:rsidP="00722885">
      <w:pPr>
        <w:pStyle w:val="Iauiue"/>
        <w:jc w:val="both"/>
        <w:rPr>
          <w:color w:val="000000" w:themeColor="text1"/>
          <w:sz w:val="16"/>
          <w:szCs w:val="16"/>
        </w:rPr>
      </w:pPr>
    </w:p>
    <w:p w14:paraId="21FF5B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сентября 1942 в Бразилии вышел декрет об обяхательной воинской повинности (3960, 363).</w:t>
      </w:r>
    </w:p>
    <w:p w14:paraId="5C6D4301" w14:textId="77777777" w:rsidR="00090C9B" w:rsidRPr="00722885" w:rsidRDefault="00090C9B" w:rsidP="00722885">
      <w:pPr>
        <w:pStyle w:val="Iauiue"/>
        <w:jc w:val="both"/>
        <w:rPr>
          <w:color w:val="000000" w:themeColor="text1"/>
          <w:sz w:val="16"/>
          <w:szCs w:val="16"/>
        </w:rPr>
      </w:pPr>
    </w:p>
    <w:p w14:paraId="66B075E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AA8C28B" w14:textId="77777777" w:rsidR="00090C9B" w:rsidRPr="00722885" w:rsidRDefault="00090C9B" w:rsidP="00722885">
      <w:pPr>
        <w:pStyle w:val="Iauiue"/>
        <w:jc w:val="both"/>
        <w:rPr>
          <w:iCs/>
          <w:color w:val="000000" w:themeColor="text1"/>
          <w:sz w:val="16"/>
          <w:szCs w:val="16"/>
        </w:rPr>
      </w:pPr>
    </w:p>
    <w:p w14:paraId="573BFFDF"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17 сентября 1942 вышел приказ НКАП (по Ил-2)</w:t>
      </w:r>
    </w:p>
    <w:p w14:paraId="33D402C0"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Приложение № 4</w:t>
      </w:r>
    </w:p>
    <w:tbl>
      <w:tblPr>
        <w:tblStyle w:val="afffff2"/>
        <w:tblW w:w="0" w:type="auto"/>
        <w:tblLook w:val="04A0" w:firstRow="1" w:lastRow="0" w:firstColumn="1" w:lastColumn="0" w:noHBand="0" w:noVBand="1"/>
      </w:tblPr>
      <w:tblGrid>
        <w:gridCol w:w="3626"/>
        <w:gridCol w:w="3626"/>
        <w:gridCol w:w="3627"/>
      </w:tblGrid>
      <w:tr w:rsidR="009B487A" w:rsidRPr="00722885" w14:paraId="566B5325" w14:textId="77777777" w:rsidTr="00B60247">
        <w:tc>
          <w:tcPr>
            <w:tcW w:w="3626" w:type="dxa"/>
          </w:tcPr>
          <w:p w14:paraId="677A5970"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Наименование агрегатов и деталей</w:t>
            </w:r>
          </w:p>
        </w:tc>
        <w:tc>
          <w:tcPr>
            <w:tcW w:w="3626" w:type="dxa"/>
          </w:tcPr>
          <w:p w14:paraId="5BC607C9"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Заменители</w:t>
            </w:r>
          </w:p>
        </w:tc>
        <w:tc>
          <w:tcPr>
            <w:tcW w:w="3627" w:type="dxa"/>
          </w:tcPr>
          <w:p w14:paraId="57258BA6"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Зкономия алюминиевых сплавов /по данным завода № 18/ в кг. на машину</w:t>
            </w:r>
          </w:p>
        </w:tc>
      </w:tr>
      <w:tr w:rsidR="009B487A" w:rsidRPr="00722885" w14:paraId="7CFFC5F1" w14:textId="77777777" w:rsidTr="00B60247">
        <w:tc>
          <w:tcPr>
            <w:tcW w:w="3626" w:type="dxa"/>
          </w:tcPr>
          <w:p w14:paraId="6E61853C"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Сидение пилота</w:t>
            </w:r>
          </w:p>
        </w:tc>
        <w:tc>
          <w:tcPr>
            <w:tcW w:w="3626" w:type="dxa"/>
          </w:tcPr>
          <w:p w14:paraId="2E4143FC"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фанера</w:t>
            </w:r>
          </w:p>
        </w:tc>
        <w:tc>
          <w:tcPr>
            <w:tcW w:w="3627" w:type="dxa"/>
          </w:tcPr>
          <w:p w14:paraId="18D9F7AF"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3,1</w:t>
            </w:r>
          </w:p>
        </w:tc>
      </w:tr>
      <w:tr w:rsidR="009B487A" w:rsidRPr="00722885" w14:paraId="0CC2B24E" w14:textId="77777777" w:rsidTr="00B60247">
        <w:tc>
          <w:tcPr>
            <w:tcW w:w="3626" w:type="dxa"/>
          </w:tcPr>
          <w:p w14:paraId="7B59B8CA"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Пульт пилота</w:t>
            </w:r>
          </w:p>
        </w:tc>
        <w:tc>
          <w:tcPr>
            <w:tcW w:w="3626" w:type="dxa"/>
          </w:tcPr>
          <w:p w14:paraId="3C132288"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балинит</w:t>
            </w:r>
          </w:p>
        </w:tc>
        <w:tc>
          <w:tcPr>
            <w:tcW w:w="3627" w:type="dxa"/>
          </w:tcPr>
          <w:p w14:paraId="45208CB4"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4,1</w:t>
            </w:r>
          </w:p>
        </w:tc>
      </w:tr>
      <w:tr w:rsidR="009B487A" w:rsidRPr="00722885" w14:paraId="7C6898FE" w14:textId="77777777" w:rsidTr="00B60247">
        <w:tc>
          <w:tcPr>
            <w:tcW w:w="3626" w:type="dxa"/>
          </w:tcPr>
          <w:p w14:paraId="243F16CE"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Панель доски</w:t>
            </w:r>
          </w:p>
        </w:tc>
        <w:tc>
          <w:tcPr>
            <w:tcW w:w="3626" w:type="dxa"/>
          </w:tcPr>
          <w:p w14:paraId="235AA6B8"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балинит</w:t>
            </w:r>
          </w:p>
        </w:tc>
        <w:tc>
          <w:tcPr>
            <w:tcW w:w="3627" w:type="dxa"/>
          </w:tcPr>
          <w:p w14:paraId="67BA9810"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1,1</w:t>
            </w:r>
          </w:p>
        </w:tc>
      </w:tr>
      <w:tr w:rsidR="009B487A" w:rsidRPr="00722885" w14:paraId="1DFEF822" w14:textId="77777777" w:rsidTr="00B60247">
        <w:tc>
          <w:tcPr>
            <w:tcW w:w="3626" w:type="dxa"/>
          </w:tcPr>
          <w:p w14:paraId="53C239CA"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Ящик аккумуляторный</w:t>
            </w:r>
          </w:p>
        </w:tc>
        <w:tc>
          <w:tcPr>
            <w:tcW w:w="3626" w:type="dxa"/>
          </w:tcPr>
          <w:p w14:paraId="5D2FDB6A"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дерево</w:t>
            </w:r>
          </w:p>
        </w:tc>
        <w:tc>
          <w:tcPr>
            <w:tcW w:w="3627" w:type="dxa"/>
          </w:tcPr>
          <w:p w14:paraId="100153F8"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1,5</w:t>
            </w:r>
          </w:p>
        </w:tc>
      </w:tr>
      <w:tr w:rsidR="009B487A" w:rsidRPr="00722885" w14:paraId="775220A3" w14:textId="77777777" w:rsidTr="00B60247">
        <w:tc>
          <w:tcPr>
            <w:tcW w:w="3626" w:type="dxa"/>
          </w:tcPr>
          <w:p w14:paraId="5981FC2E"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Щитки центроплана</w:t>
            </w:r>
          </w:p>
        </w:tc>
        <w:tc>
          <w:tcPr>
            <w:tcW w:w="3626" w:type="dxa"/>
          </w:tcPr>
          <w:p w14:paraId="6AB443A7"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дерево</w:t>
            </w:r>
          </w:p>
        </w:tc>
        <w:tc>
          <w:tcPr>
            <w:tcW w:w="3627" w:type="dxa"/>
          </w:tcPr>
          <w:p w14:paraId="209460CB"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17,8</w:t>
            </w:r>
          </w:p>
        </w:tc>
      </w:tr>
      <w:tr w:rsidR="009B487A" w:rsidRPr="00722885" w14:paraId="6FCCD1CD" w14:textId="77777777" w:rsidTr="00B60247">
        <w:tc>
          <w:tcPr>
            <w:tcW w:w="3626" w:type="dxa"/>
          </w:tcPr>
          <w:p w14:paraId="24BB05B4"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Люки нижние под ВЯ и ШВАК</w:t>
            </w:r>
          </w:p>
        </w:tc>
        <w:tc>
          <w:tcPr>
            <w:tcW w:w="3626" w:type="dxa"/>
          </w:tcPr>
          <w:p w14:paraId="35D680DD"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дерево</w:t>
            </w:r>
          </w:p>
        </w:tc>
        <w:tc>
          <w:tcPr>
            <w:tcW w:w="3627" w:type="dxa"/>
          </w:tcPr>
          <w:p w14:paraId="011A7A27"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11,8</w:t>
            </w:r>
          </w:p>
        </w:tc>
      </w:tr>
      <w:tr w:rsidR="009B487A" w:rsidRPr="00722885" w14:paraId="11F96C45" w14:textId="77777777" w:rsidTr="00B60247">
        <w:tc>
          <w:tcPr>
            <w:tcW w:w="3626" w:type="dxa"/>
          </w:tcPr>
          <w:p w14:paraId="1F99A90D"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Зализ фюзеляжа (задняя часть)</w:t>
            </w:r>
          </w:p>
        </w:tc>
        <w:tc>
          <w:tcPr>
            <w:tcW w:w="3626" w:type="dxa"/>
          </w:tcPr>
          <w:p w14:paraId="64F7153D"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дерево</w:t>
            </w:r>
          </w:p>
        </w:tc>
        <w:tc>
          <w:tcPr>
            <w:tcW w:w="3627" w:type="dxa"/>
          </w:tcPr>
          <w:p w14:paraId="75F6A3DE"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15,5</w:t>
            </w:r>
          </w:p>
        </w:tc>
      </w:tr>
      <w:tr w:rsidR="009B487A" w:rsidRPr="00722885" w14:paraId="26B47521" w14:textId="77777777" w:rsidTr="00B60247">
        <w:tc>
          <w:tcPr>
            <w:tcW w:w="3626" w:type="dxa"/>
          </w:tcPr>
          <w:p w14:paraId="28BB46D8"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Кассета КМБ-2</w:t>
            </w:r>
          </w:p>
        </w:tc>
        <w:tc>
          <w:tcPr>
            <w:tcW w:w="3626" w:type="dxa"/>
          </w:tcPr>
          <w:p w14:paraId="339993A7"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конструкция анулирована</w:t>
            </w:r>
          </w:p>
        </w:tc>
        <w:tc>
          <w:tcPr>
            <w:tcW w:w="3627" w:type="dxa"/>
          </w:tcPr>
          <w:p w14:paraId="25C23693"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15,5</w:t>
            </w:r>
          </w:p>
        </w:tc>
      </w:tr>
      <w:tr w:rsidR="009B487A" w:rsidRPr="00722885" w14:paraId="30D64F51" w14:textId="77777777" w:rsidTr="00B60247">
        <w:tc>
          <w:tcPr>
            <w:tcW w:w="3626" w:type="dxa"/>
          </w:tcPr>
          <w:p w14:paraId="73FE30A7"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Обтекатель шасси (без стрворок)</w:t>
            </w:r>
          </w:p>
        </w:tc>
        <w:tc>
          <w:tcPr>
            <w:tcW w:w="3626" w:type="dxa"/>
          </w:tcPr>
          <w:p w14:paraId="799D6350"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дерево</w:t>
            </w:r>
          </w:p>
        </w:tc>
        <w:tc>
          <w:tcPr>
            <w:tcW w:w="3627" w:type="dxa"/>
          </w:tcPr>
          <w:p w14:paraId="25F7DC97"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53,0</w:t>
            </w:r>
          </w:p>
        </w:tc>
      </w:tr>
      <w:tr w:rsidR="009B487A" w:rsidRPr="00722885" w14:paraId="0DE948E5" w14:textId="77777777" w:rsidTr="00B60247">
        <w:tc>
          <w:tcPr>
            <w:tcW w:w="3626" w:type="dxa"/>
          </w:tcPr>
          <w:p w14:paraId="28ADB4B0"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Обшивка пола пилота</w:t>
            </w:r>
          </w:p>
        </w:tc>
        <w:tc>
          <w:tcPr>
            <w:tcW w:w="3626" w:type="dxa"/>
          </w:tcPr>
          <w:p w14:paraId="2AF98ABF"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балинит</w:t>
            </w:r>
          </w:p>
        </w:tc>
        <w:tc>
          <w:tcPr>
            <w:tcW w:w="3627" w:type="dxa"/>
          </w:tcPr>
          <w:p w14:paraId="424C8DD0"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9</w:t>
            </w:r>
          </w:p>
        </w:tc>
      </w:tr>
      <w:tr w:rsidR="009B487A" w:rsidRPr="00722885" w14:paraId="1C317973" w14:textId="77777777" w:rsidTr="00B60247">
        <w:tc>
          <w:tcPr>
            <w:tcW w:w="3626" w:type="dxa"/>
          </w:tcPr>
          <w:p w14:paraId="499E34FC"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Балки крепления заднего бензобака</w:t>
            </w:r>
          </w:p>
        </w:tc>
        <w:tc>
          <w:tcPr>
            <w:tcW w:w="3626" w:type="dxa"/>
          </w:tcPr>
          <w:p w14:paraId="55637F70"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дерево</w:t>
            </w:r>
          </w:p>
        </w:tc>
        <w:tc>
          <w:tcPr>
            <w:tcW w:w="3627" w:type="dxa"/>
          </w:tcPr>
          <w:p w14:paraId="651CC7FF"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3,6</w:t>
            </w:r>
          </w:p>
        </w:tc>
      </w:tr>
      <w:tr w:rsidR="009B487A" w:rsidRPr="00722885" w14:paraId="77FE96E5" w14:textId="77777777" w:rsidTr="00B60247">
        <w:tc>
          <w:tcPr>
            <w:tcW w:w="3626" w:type="dxa"/>
          </w:tcPr>
          <w:p w14:paraId="310CF543"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Патронные ящики</w:t>
            </w:r>
          </w:p>
        </w:tc>
        <w:tc>
          <w:tcPr>
            <w:tcW w:w="3626" w:type="dxa"/>
          </w:tcPr>
          <w:p w14:paraId="5929E5ED"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балинит</w:t>
            </w:r>
          </w:p>
        </w:tc>
        <w:tc>
          <w:tcPr>
            <w:tcW w:w="3627" w:type="dxa"/>
          </w:tcPr>
          <w:p w14:paraId="3766A617"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11,6</w:t>
            </w:r>
          </w:p>
        </w:tc>
      </w:tr>
      <w:tr w:rsidR="009B487A" w:rsidRPr="00722885" w14:paraId="4F64FEEF" w14:textId="77777777" w:rsidTr="00B60247">
        <w:tc>
          <w:tcPr>
            <w:tcW w:w="3626" w:type="dxa"/>
          </w:tcPr>
          <w:p w14:paraId="7CEFC786"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Отъемная часть крыла</w:t>
            </w:r>
          </w:p>
        </w:tc>
        <w:tc>
          <w:tcPr>
            <w:tcW w:w="3626" w:type="dxa"/>
          </w:tcPr>
          <w:p w14:paraId="15C65518"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дерево</w:t>
            </w:r>
          </w:p>
        </w:tc>
        <w:tc>
          <w:tcPr>
            <w:tcW w:w="3627" w:type="dxa"/>
          </w:tcPr>
          <w:p w14:paraId="74BB4578"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318</w:t>
            </w:r>
          </w:p>
        </w:tc>
      </w:tr>
      <w:tr w:rsidR="009B487A" w:rsidRPr="00722885" w14:paraId="75DC9220" w14:textId="77777777" w:rsidTr="00B60247">
        <w:tc>
          <w:tcPr>
            <w:tcW w:w="3626" w:type="dxa"/>
          </w:tcPr>
          <w:p w14:paraId="7094F7DB"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Щиток крыла</w:t>
            </w:r>
          </w:p>
        </w:tc>
        <w:tc>
          <w:tcPr>
            <w:tcW w:w="3626" w:type="dxa"/>
          </w:tcPr>
          <w:p w14:paraId="1DF56F04"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дерево</w:t>
            </w:r>
          </w:p>
        </w:tc>
        <w:tc>
          <w:tcPr>
            <w:tcW w:w="3627" w:type="dxa"/>
          </w:tcPr>
          <w:p w14:paraId="6BB0BA00"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8</w:t>
            </w:r>
          </w:p>
        </w:tc>
      </w:tr>
      <w:tr w:rsidR="009B487A" w:rsidRPr="00722885" w14:paraId="46F8CA14" w14:textId="77777777" w:rsidTr="00B60247">
        <w:tc>
          <w:tcPr>
            <w:tcW w:w="3626" w:type="dxa"/>
          </w:tcPr>
          <w:p w14:paraId="29DEC6D8"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Элероны</w:t>
            </w:r>
          </w:p>
        </w:tc>
        <w:tc>
          <w:tcPr>
            <w:tcW w:w="3626" w:type="dxa"/>
          </w:tcPr>
          <w:p w14:paraId="627F11A0"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полотно</w:t>
            </w:r>
          </w:p>
        </w:tc>
        <w:tc>
          <w:tcPr>
            <w:tcW w:w="3627" w:type="dxa"/>
          </w:tcPr>
          <w:p w14:paraId="3FD41A11"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4,7</w:t>
            </w:r>
          </w:p>
        </w:tc>
      </w:tr>
      <w:tr w:rsidR="009B487A" w:rsidRPr="00722885" w14:paraId="4209CB55" w14:textId="77777777" w:rsidTr="00B60247">
        <w:tc>
          <w:tcPr>
            <w:tcW w:w="3626" w:type="dxa"/>
          </w:tcPr>
          <w:p w14:paraId="516D3B2E"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Удлиненная часть фюзеляжа</w:t>
            </w:r>
          </w:p>
        </w:tc>
        <w:tc>
          <w:tcPr>
            <w:tcW w:w="3626" w:type="dxa"/>
          </w:tcPr>
          <w:p w14:paraId="66842C59"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дерево</w:t>
            </w:r>
          </w:p>
        </w:tc>
        <w:tc>
          <w:tcPr>
            <w:tcW w:w="3627" w:type="dxa"/>
          </w:tcPr>
          <w:p w14:paraId="77A64DF6"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26</w:t>
            </w:r>
          </w:p>
        </w:tc>
      </w:tr>
      <w:tr w:rsidR="009B487A" w:rsidRPr="00722885" w14:paraId="6BFF58BF" w14:textId="77777777" w:rsidTr="00B60247">
        <w:tc>
          <w:tcPr>
            <w:tcW w:w="3626" w:type="dxa"/>
          </w:tcPr>
          <w:p w14:paraId="0CCA4430" w14:textId="77777777" w:rsidR="00BB2084" w:rsidRPr="00722885" w:rsidRDefault="00BB2084" w:rsidP="00722885">
            <w:pPr>
              <w:pStyle w:val="ae"/>
              <w:spacing w:before="0" w:after="0"/>
              <w:jc w:val="both"/>
              <w:textAlignment w:val="baseline"/>
              <w:rPr>
                <w:color w:val="000000" w:themeColor="text1"/>
                <w:sz w:val="16"/>
                <w:szCs w:val="16"/>
              </w:rPr>
            </w:pPr>
          </w:p>
        </w:tc>
        <w:tc>
          <w:tcPr>
            <w:tcW w:w="3626" w:type="dxa"/>
          </w:tcPr>
          <w:p w14:paraId="46A6A3C7" w14:textId="77777777" w:rsidR="00BB2084" w:rsidRPr="00722885" w:rsidRDefault="00BB2084" w:rsidP="00722885">
            <w:pPr>
              <w:pStyle w:val="ae"/>
              <w:spacing w:before="0" w:after="0"/>
              <w:jc w:val="both"/>
              <w:textAlignment w:val="baseline"/>
              <w:rPr>
                <w:color w:val="000000" w:themeColor="text1"/>
                <w:sz w:val="16"/>
                <w:szCs w:val="16"/>
              </w:rPr>
            </w:pPr>
          </w:p>
        </w:tc>
        <w:tc>
          <w:tcPr>
            <w:tcW w:w="3627" w:type="dxa"/>
          </w:tcPr>
          <w:p w14:paraId="01E5E7EE" w14:textId="77777777" w:rsidR="00BB2084" w:rsidRPr="00722885" w:rsidRDefault="00BB2084" w:rsidP="00722885">
            <w:pPr>
              <w:pStyle w:val="ae"/>
              <w:spacing w:before="0" w:after="0"/>
              <w:jc w:val="both"/>
              <w:textAlignment w:val="baseline"/>
              <w:rPr>
                <w:color w:val="000000" w:themeColor="text1"/>
                <w:sz w:val="16"/>
                <w:szCs w:val="16"/>
              </w:rPr>
            </w:pPr>
          </w:p>
        </w:tc>
      </w:tr>
    </w:tbl>
    <w:p w14:paraId="3DFC7593"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(19706).</w:t>
      </w:r>
    </w:p>
    <w:p w14:paraId="19375F3F" w14:textId="77777777" w:rsidR="00BB2084" w:rsidRPr="00722885" w:rsidRDefault="00BB2084" w:rsidP="00722885">
      <w:pPr>
        <w:pStyle w:val="ae"/>
        <w:spacing w:before="0" w:after="0"/>
        <w:jc w:val="both"/>
        <w:textAlignment w:val="baseline"/>
        <w:rPr>
          <w:color w:val="000000" w:themeColor="text1"/>
          <w:sz w:val="16"/>
          <w:szCs w:val="16"/>
        </w:rPr>
      </w:pPr>
    </w:p>
    <w:p w14:paraId="7C4DBB5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17 сентября 1942 года в Куйбышев приехал представитель президента США Рузвельта Уэндел Уилки. На безымянском заводском аэродроме его встречали зам. наркома иностранных дел СССР Лозовский, председатель Куйбышевского горсовета Волчков, зав. Протокольным отделом НКИД Молочков, представители посольства США. В тот же день Уилки нанес визит заместителю наркома иностранных дел А.Я.Вышинскому, а потом изъявил желание побывать на одном из оборонных предприятий. Его повезли на завод № 1. Вот как вспоминал про это сопровождавший высокого гостя Нарком авиационной промышленности А.И.Шахурин. Уилки приехал на завод вместе с представителем американского посольства Стенли и руководителями города Куйбышева. По стечению обстоятельств Стенли был на заводе № 1 еще в Москве и теперь увидел его снова. И конечно, не мог не изумиться хорошо спланированному огромному заводу, со светлыми, высокими корпусами, полностью укомплектованными станочным парком и современным оборудованием. Ко времени приезда американцев завод выпускал 15 штурмовиков в день и имел внушительные заделы в заготовительных цехах. Это свидетельствовало о том, что производство самолетов будет нарастать. Стенли внимательно всматривался в лица рабочих и сказал: </w:t>
      </w:r>
    </w:p>
    <w:p w14:paraId="4D19E9E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Да, этот тот завод, на котором я был в Москве. Я узнал многих рабочих и инженеров. </w:t>
      </w:r>
    </w:p>
    <w:p w14:paraId="76300EC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В инструментальном цехе начальник его показал американцам одного юношу, работающего на станке и сказал, что это сын директора завода. Американцы сначала не поверили, но сопровождавший делегацию директор завода А.Т.Третьяков смущенно подтвердил, что это так. </w:t>
      </w:r>
    </w:p>
    <w:p w14:paraId="2CB3AE6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Почти в каждом цехе рабочие задавали представителю президента США один и тот же вопрос: когда будет открыт второй фронт? Уилки отвечал, что с этой целью он и приехал сюда, чтобы скорее во всем разобраться, и он, безусловно будет содействовать открытию второго фронта. </w:t>
      </w:r>
    </w:p>
    <w:p w14:paraId="0437660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заводском аэродроме гости увидели множество самолетов, наблюдали за их испытаниями в воздухе. Потом Уилки сам сел в кабину штурмовика, попробовал на ощупь управление самолета и даже дал очередь из авиационных пулеметов. Все увиденное произвело на представителя правительства США и работников посольства огромное впечатление. Вернувшись в Москву в дни, когда немцы еще только подступали к Сталинграду, Уилки заявил: </w:t>
      </w:r>
    </w:p>
    <w:p w14:paraId="5C524A5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Русские в очень опасном положении, но при всем том их моральное состояние превосходное! </w:t>
      </w:r>
    </w:p>
    <w:p w14:paraId="5BFA30E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Без сомнения, этот визит представителя президента США на безымянский авиазавод № 1 сыграл свою положительную роль в укреплении доверия между союзниками и в том числе на наращивание поставок военной техники для Красной Армии. По данным американского историка Хьюберта Ван Гуйля, за годы войны США и Великобритания поставили в СССР 21 тысячу самолетов, 11 тысяч танков, тысячи грузовых машин, огромное количество продовольственных товаров. Это была весомая помощь. Но она отнюдь не была односторонней. В качестве платы за нее транспортные суда союзников, отправлявшиеся домой, загружались советским стратегическим сырьем. </w:t>
      </w:r>
    </w:p>
    <w:p w14:paraId="2834386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годы войны СССР поставил Америке по ленд-лизу 30 000 тонн хромовой и 32 000 тонн марганцевой руды, а также золото, платину, серебро, технологии производства вооружений. Даже американские историки признают, что ленд-лиз не был актом абсолютного бескорыстия. Помощь союзников помогла СССР победить сильного врага и предотвратить расползание коричневой чумы по всему земному шару. Эта помощь была оплачена кровью и жизнями наших воинов (11878).</w:t>
      </w:r>
    </w:p>
    <w:p w14:paraId="7664EA16"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187534F2" w14:textId="77777777" w:rsidR="005C48DA" w:rsidRPr="00722885" w:rsidRDefault="005C48DA" w:rsidP="00722885">
      <w:pPr>
        <w:pStyle w:val="ae"/>
        <w:shd w:val="clear" w:color="auto" w:fill="FFFFFF"/>
        <w:spacing w:before="0" w:after="0"/>
        <w:jc w:val="both"/>
        <w:rPr>
          <w:color w:val="000000" w:themeColor="text1"/>
          <w:sz w:val="16"/>
          <w:szCs w:val="16"/>
        </w:rPr>
      </w:pPr>
      <w:r w:rsidRPr="00722885">
        <w:rPr>
          <w:color w:val="000000" w:themeColor="text1"/>
          <w:sz w:val="16"/>
          <w:szCs w:val="16"/>
        </w:rPr>
        <w:t>17 сентября 1942 года в Куйбышев приехал представитель президента США Рузвельта Уэндел Уилки. На аэродроме его встречали зам. наркома иностранных дел СССР Лозовский, председатель Куйбышевского горсовета Волчков, зав. Протокольным отделом НКИД Молочков, представители посольства США. В тот же день Уилки нанес визит заместителю наркома иностранных дел А.Я.Вышинскому, а потом изъявил желание побывать на одном из оборонных предприятий. Его повезли на завод № 1. Вот как вспоминал про это сопровождавший высокого гостя Нарком авиационной промышленности А.И.Шахурин.</w:t>
      </w:r>
    </w:p>
    <w:p w14:paraId="637CF191" w14:textId="77777777" w:rsidR="005C48DA" w:rsidRPr="00722885" w:rsidRDefault="005C48DA" w:rsidP="00722885">
      <w:pPr>
        <w:pStyle w:val="ae"/>
        <w:shd w:val="clear" w:color="auto" w:fill="FFFFFF"/>
        <w:spacing w:before="0" w:after="0"/>
        <w:jc w:val="both"/>
        <w:rPr>
          <w:color w:val="000000" w:themeColor="text1"/>
          <w:sz w:val="16"/>
          <w:szCs w:val="16"/>
        </w:rPr>
      </w:pPr>
      <w:r w:rsidRPr="00722885">
        <w:rPr>
          <w:color w:val="000000" w:themeColor="text1"/>
          <w:sz w:val="16"/>
          <w:szCs w:val="16"/>
        </w:rPr>
        <w:t>Уилки приехал на завод вместе с представителем американского посольства Стенли и руководителями города Куйбышева. По стечению обстоятельств Стенли был на заводе № 1 еще в Москве и теперь увидел его снова. И конечно, не мог не изумиться хорошо спланированному огромному заводу, со светлыми, высокими корпусами, полностью укомплектованными станочным парком и современным оборудованием.</w:t>
      </w:r>
    </w:p>
    <w:p w14:paraId="4B4C36B8" w14:textId="77777777" w:rsidR="005C48DA" w:rsidRPr="00722885" w:rsidRDefault="005C48DA" w:rsidP="00722885">
      <w:pPr>
        <w:pStyle w:val="ae"/>
        <w:shd w:val="clear" w:color="auto" w:fill="FFFFFF"/>
        <w:spacing w:before="0" w:after="0"/>
        <w:jc w:val="both"/>
        <w:rPr>
          <w:color w:val="000000" w:themeColor="text1"/>
          <w:sz w:val="16"/>
          <w:szCs w:val="16"/>
        </w:rPr>
      </w:pPr>
      <w:r w:rsidRPr="00722885">
        <w:rPr>
          <w:color w:val="000000" w:themeColor="text1"/>
          <w:sz w:val="16"/>
          <w:szCs w:val="16"/>
        </w:rPr>
        <w:t>Ко времени приезда американцев завод выпускал 15 штурмовиков в день и имел внушительные заделы в заготовительных цехах. Это свидетельствовало о том, что производство самолетов будет нарастать. Стенли внимательно всматривался в лица рабочих и сказал:</w:t>
      </w:r>
    </w:p>
    <w:p w14:paraId="45DC1207" w14:textId="77777777" w:rsidR="005C48DA" w:rsidRPr="00722885" w:rsidRDefault="005C48DA" w:rsidP="00722885">
      <w:pPr>
        <w:pStyle w:val="ae"/>
        <w:shd w:val="clear" w:color="auto" w:fill="FFFFFF"/>
        <w:spacing w:before="0" w:after="0"/>
        <w:jc w:val="both"/>
        <w:rPr>
          <w:color w:val="000000" w:themeColor="text1"/>
          <w:sz w:val="16"/>
          <w:szCs w:val="16"/>
        </w:rPr>
      </w:pPr>
      <w:r w:rsidRPr="00722885">
        <w:rPr>
          <w:color w:val="000000" w:themeColor="text1"/>
          <w:sz w:val="16"/>
          <w:szCs w:val="16"/>
        </w:rPr>
        <w:t>- Да, этот тот завод, на котором я был в Москве. Я узнал многих рабочих и инженеров.</w:t>
      </w:r>
    </w:p>
    <w:p w14:paraId="26AC6093" w14:textId="77777777" w:rsidR="005C48DA" w:rsidRPr="00722885" w:rsidRDefault="005C48DA"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инструментальном цехе начальник его показал американцам одного юношу, работавшего на станке, и сказал, что это сын директора завода. Американцы сначала не поверили, но сопровождавший делегацию директор завода А.Т.Третьяков смущенно подтвердил, что это так.</w:t>
      </w:r>
    </w:p>
    <w:p w14:paraId="3E01AC90" w14:textId="77777777" w:rsidR="005C48DA" w:rsidRPr="00722885" w:rsidRDefault="005C48DA"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Почти в каждом цехе рабочие задавали представителю президента США один и тот же вопрос: когда будет открыт второй фронт? Уилки отвечал, что с этой целью он и приехал сюда, чтобы скорее во всем разобраться, и он, безусловно, будет содействовать открытию второго фронта.</w:t>
      </w:r>
    </w:p>
    <w:p w14:paraId="6145DCE3" w14:textId="77777777" w:rsidR="005C48DA" w:rsidRPr="00722885" w:rsidRDefault="005C48DA" w:rsidP="00722885">
      <w:pPr>
        <w:pStyle w:val="ae"/>
        <w:shd w:val="clear" w:color="auto" w:fill="FFFFFF"/>
        <w:spacing w:before="0" w:after="0"/>
        <w:jc w:val="both"/>
        <w:rPr>
          <w:color w:val="000000" w:themeColor="text1"/>
          <w:sz w:val="16"/>
          <w:szCs w:val="16"/>
        </w:rPr>
      </w:pPr>
      <w:r w:rsidRPr="00722885">
        <w:rPr>
          <w:color w:val="000000" w:themeColor="text1"/>
          <w:sz w:val="16"/>
          <w:szCs w:val="16"/>
        </w:rPr>
        <w:t>На заводском аэродроме гости увидели множество самолетов, наблюдали за их испытаниями в воздухе. Потом Уилки сам сел в кабину штурмовика, попробовал на ощупь управление самолета и даже дал очередь из авиационных пулеметов. Все увиденное произвело на представителя правительства США и работников посольства огромное впечатление. Вернувшись в Москву в дни, когда немцы еще только подступали к Сталинграду, Уилки заявил:</w:t>
      </w:r>
    </w:p>
    <w:p w14:paraId="5037E2BB" w14:textId="77777777" w:rsidR="005C48DA" w:rsidRPr="00722885" w:rsidRDefault="005C48DA" w:rsidP="00722885">
      <w:pPr>
        <w:pStyle w:val="ae"/>
        <w:shd w:val="clear" w:color="auto" w:fill="FFFFFF"/>
        <w:spacing w:before="0" w:after="0"/>
        <w:jc w:val="both"/>
        <w:rPr>
          <w:color w:val="000000" w:themeColor="text1"/>
          <w:sz w:val="16"/>
          <w:szCs w:val="16"/>
        </w:rPr>
      </w:pPr>
      <w:r w:rsidRPr="00722885">
        <w:rPr>
          <w:color w:val="000000" w:themeColor="text1"/>
          <w:sz w:val="16"/>
          <w:szCs w:val="16"/>
        </w:rPr>
        <w:t>- Русские в очень опасном положении, но при всем том их моральное состояние превосходное! (19828).</w:t>
      </w:r>
    </w:p>
    <w:p w14:paraId="0B01F9DA" w14:textId="77777777" w:rsidR="005C48DA" w:rsidRPr="00722885" w:rsidRDefault="005C48DA" w:rsidP="00722885">
      <w:pPr>
        <w:pStyle w:val="ae"/>
        <w:shd w:val="clear" w:color="auto" w:fill="FFFFFF"/>
        <w:spacing w:before="0" w:after="0"/>
        <w:jc w:val="both"/>
        <w:rPr>
          <w:color w:val="000000" w:themeColor="text1"/>
          <w:sz w:val="16"/>
          <w:szCs w:val="16"/>
        </w:rPr>
      </w:pPr>
    </w:p>
    <w:p w14:paraId="65DAD2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17 по 23 сентября 1942 л А.Г.Прошаков, ви М.А.Пронин, т Л.В.Николаев проводил гос. испытания Як-7ПД и выполнил 11 полетов продолжительностью 7:30. Остановили испытания из-за недоведенности автомата турбомуфты. Серии не было, так как в ПВО Москвы еще сохранились МиГ-3. Машину сделали на основе серийного Як-7Б N 22-02, на который поставили М-105ПД с нагнетателем Э-100 В.А.Доллежаля из ЦИАМ. Оставили одну мотор-пушку (65,98).</w:t>
      </w:r>
    </w:p>
    <w:p w14:paraId="16C9413A" w14:textId="77777777" w:rsidR="00090C9B" w:rsidRPr="00722885" w:rsidRDefault="00090C9B" w:rsidP="00722885">
      <w:pPr>
        <w:pStyle w:val="Iauiue"/>
        <w:jc w:val="both"/>
        <w:rPr>
          <w:color w:val="000000" w:themeColor="text1"/>
          <w:sz w:val="16"/>
          <w:szCs w:val="16"/>
        </w:rPr>
      </w:pPr>
    </w:p>
    <w:p w14:paraId="41D81CAC"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сентября 1942 г. в ГК НИИ ВВС начались государственные испытания высотного Як-7 (в рамках продолжения работ по самолету И-28, обо</w:t>
      </w:r>
      <w:r w:rsidRPr="00722885">
        <w:rPr>
          <w:rFonts w:ascii="Times New Roman" w:hAnsi="Times New Roman"/>
          <w:color w:val="000000" w:themeColor="text1"/>
          <w:sz w:val="16"/>
          <w:szCs w:val="16"/>
        </w:rPr>
        <w:softHyphen/>
        <w:t>рудовало серийный истребитель Як-7Б № 22-02 мотором М-105ПД с нагнетателем Э-100), но уже 23 сентября их приоста</w:t>
      </w:r>
      <w:r w:rsidRPr="00722885">
        <w:rPr>
          <w:rFonts w:ascii="Times New Roman" w:hAnsi="Times New Roman"/>
          <w:color w:val="000000" w:themeColor="text1"/>
          <w:sz w:val="16"/>
          <w:szCs w:val="16"/>
        </w:rPr>
        <w:softHyphen/>
        <w:t>новили из-за недоведённости мотора, проявлявшейся в дымлении и тряске двигате</w:t>
      </w:r>
      <w:r w:rsidRPr="00722885">
        <w:rPr>
          <w:rFonts w:ascii="Times New Roman" w:hAnsi="Times New Roman"/>
          <w:color w:val="000000" w:themeColor="text1"/>
          <w:sz w:val="16"/>
          <w:szCs w:val="16"/>
        </w:rPr>
        <w:softHyphen/>
        <w:t>ля, падении давления масла ниже допустимого значения на высотах больше 6800 м.</w:t>
      </w:r>
    </w:p>
    <w:p w14:paraId="1AD0BAB8"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Лётчик-испытатель А.Г. Прошаков выполнил 11 по</w:t>
      </w:r>
      <w:r w:rsidRPr="00722885">
        <w:rPr>
          <w:rFonts w:ascii="Times New Roman" w:hAnsi="Times New Roman"/>
          <w:color w:val="000000" w:themeColor="text1"/>
          <w:sz w:val="16"/>
          <w:szCs w:val="16"/>
        </w:rPr>
        <w:softHyphen/>
        <w:t>лётов общей продолжительностью 7 час 30 мин.</w:t>
      </w:r>
    </w:p>
    <w:p w14:paraId="5497DC37"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самолёта составил всего 11300 м, максимальная скорость у земли 500 км/ч, на высоте 7600 м — 611 км/ч, на высоте 10000 м — 591 км/ч.</w:t>
      </w:r>
    </w:p>
    <w:p w14:paraId="60E80CBC"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Хотя в Акте НИИ ВВС по результатам госиспытаний отмечалось, что Як-7 с двигателем М-105ПД после устранения дефектов и дооснащения может быть использован как пере</w:t>
      </w:r>
      <w:r w:rsidRPr="00722885">
        <w:rPr>
          <w:rFonts w:ascii="Times New Roman" w:hAnsi="Times New Roman"/>
          <w:color w:val="000000" w:themeColor="text1"/>
          <w:sz w:val="16"/>
          <w:szCs w:val="16"/>
        </w:rPr>
        <w:softHyphen/>
        <w:t>хватчик ПВО, и перед НКАП даже ставился вопрос о необходимости поставки ВВС 10 Як-7 М-105ПД для проверки их в боевых условиях, а также о целесообразности форси</w:t>
      </w:r>
      <w:r w:rsidRPr="00722885">
        <w:rPr>
          <w:rFonts w:ascii="Times New Roman" w:hAnsi="Times New Roman"/>
          <w:color w:val="000000" w:themeColor="text1"/>
          <w:sz w:val="16"/>
          <w:szCs w:val="16"/>
        </w:rPr>
        <w:softHyphen/>
        <w:t>рования М-105ПД без снижения его высотности и проведении повторных испытаний, Як-7ПД серийно не стро</w:t>
      </w:r>
      <w:r w:rsidRPr="00722885">
        <w:rPr>
          <w:rFonts w:ascii="Times New Roman" w:hAnsi="Times New Roman"/>
          <w:color w:val="000000" w:themeColor="text1"/>
          <w:sz w:val="16"/>
          <w:szCs w:val="16"/>
        </w:rPr>
        <w:softHyphen/>
        <w:t>или как из-за недоведённости двигате</w:t>
      </w:r>
      <w:r w:rsidRPr="00722885">
        <w:rPr>
          <w:rFonts w:ascii="Times New Roman" w:hAnsi="Times New Roman"/>
          <w:color w:val="000000" w:themeColor="text1"/>
          <w:sz w:val="16"/>
          <w:szCs w:val="16"/>
        </w:rPr>
        <w:softHyphen/>
        <w:t>ля, так и по другим причинам (в период работы над машиной немецкая авиация не летала так интенсивно над Москвой, в ПВО ещё оставались МиГ-3 и т.п.) (15830).</w:t>
      </w:r>
    </w:p>
    <w:p w14:paraId="413D7192" w14:textId="77777777" w:rsidR="00A65CDA" w:rsidRPr="00722885" w:rsidRDefault="00A65CDA" w:rsidP="00722885">
      <w:pPr>
        <w:spacing w:after="0" w:line="240" w:lineRule="auto"/>
        <w:jc w:val="both"/>
        <w:rPr>
          <w:rFonts w:ascii="Times New Roman" w:hAnsi="Times New Roman"/>
          <w:color w:val="000000" w:themeColor="text1"/>
          <w:sz w:val="16"/>
          <w:szCs w:val="16"/>
        </w:rPr>
      </w:pPr>
    </w:p>
    <w:p w14:paraId="6D3ACF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сентября 1942 ДС-3 присвоили обозначение Ли-2 по фамилии Б.П.Лисунова, руководившего его внедрением. До конца войны это обозначение использовалось только для военных машин. всего сделали 4937 ДС-3 (3772,6).</w:t>
      </w:r>
    </w:p>
    <w:p w14:paraId="0440A6D6" w14:textId="77777777" w:rsidR="00090C9B" w:rsidRPr="00722885" w:rsidRDefault="00090C9B" w:rsidP="00722885">
      <w:pPr>
        <w:pStyle w:val="Iauiue"/>
        <w:jc w:val="both"/>
        <w:rPr>
          <w:color w:val="000000" w:themeColor="text1"/>
          <w:sz w:val="16"/>
          <w:szCs w:val="16"/>
        </w:rPr>
      </w:pPr>
    </w:p>
    <w:p w14:paraId="3F4D08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сентября 1942 вышел приказ ГУ ГВФ № 72 г-л Ф.А.Астахова и военкомом бриг.ком. Антоновым О переименовании самолетов ПС-84:</w:t>
      </w:r>
    </w:p>
    <w:p w14:paraId="093DB0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основании приказа ВВС КА № 01743 от 8 сентября 1942 самолеты ПС-84 впредь именовать Ли-2 (Лисунов-2).</w:t>
      </w:r>
    </w:p>
    <w:p w14:paraId="1E9BC4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Подготовлен 16 сентября Сыткиным (3404, 12).</w:t>
      </w:r>
    </w:p>
    <w:p w14:paraId="58BBFDAF" w14:textId="77777777" w:rsidR="00090C9B" w:rsidRPr="00722885" w:rsidRDefault="00090C9B" w:rsidP="00722885">
      <w:pPr>
        <w:pStyle w:val="Iauiue"/>
        <w:jc w:val="both"/>
        <w:rPr>
          <w:color w:val="000000" w:themeColor="text1"/>
          <w:sz w:val="16"/>
          <w:szCs w:val="16"/>
        </w:rPr>
      </w:pPr>
    </w:p>
    <w:p w14:paraId="3F0004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17 сентября 1942 г. Отчет по испыт. винта Винт ВИШ-105СВ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379"/>
        <w:gridCol w:w="1686"/>
        <w:gridCol w:w="1774"/>
        <w:gridCol w:w="4036"/>
      </w:tblGrid>
      <w:tr w:rsidR="009B487A" w:rsidRPr="00722885" w14:paraId="6E1051DA"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7EC531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Винт ВИШ-105СВ.    Производство завода № 27 и № 467.    Конструктор Заславский и Бас-Дубов.</w:t>
            </w:r>
          </w:p>
        </w:tc>
      </w:tr>
      <w:tr w:rsidR="009B487A" w:rsidRPr="00722885" w14:paraId="56F8932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32110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68120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2C90A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Предназначен для</w:t>
            </w:r>
          </w:p>
          <w:p w14:paraId="35A1B0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70FDF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Як-1, Як-7Б, Як-9 и Лаг-3 с мотором М-105ПФ.</w:t>
            </w:r>
          </w:p>
        </w:tc>
      </w:tr>
      <w:tr w:rsidR="009B487A" w:rsidRPr="00722885" w14:paraId="62546FE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9322A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34A814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21EF3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E2794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526F9E29"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C554D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F873E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1275F61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501A98F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F136C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73FE4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91FB2C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F770BC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76B34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6D31D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C2F590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5DA006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50CA2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60BEDE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56103C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6C5CB7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74DF1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6428D2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D295C4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BD5B87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1A51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25BAE5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w:t>
            </w:r>
          </w:p>
          <w:p w14:paraId="0DF51A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модифицир.</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EFAEFF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5816357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1129B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21D9CC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B84289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59885E5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70F20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Минимальный установочный угол</w:t>
            </w:r>
          </w:p>
          <w:p w14:paraId="4A64868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D88C2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29C843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FBCDFE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F98D4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05174D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A13414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76ABF6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BE716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B442A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116168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8AE762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53E09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80C70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036282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5DEEA9F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7F742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3C034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F9C657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6E88AE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7FBCA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1A541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BC86C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Состояние</w:t>
            </w:r>
          </w:p>
          <w:p w14:paraId="12F7C9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6F994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Винт испытаия прошел удовлетворительно в 1942 году.</w:t>
            </w:r>
          </w:p>
          <w:p w14:paraId="6FD344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Находится в эксплоатации и в серийном производстве.</w:t>
            </w:r>
          </w:p>
        </w:tc>
      </w:tr>
      <w:tr w:rsidR="009B487A" w:rsidRPr="00722885" w14:paraId="2B7921A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2500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109501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F6707D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EA42DA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2A672E0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10C31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BCCFF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262E93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7992D2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D94A682"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35DA71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AE03AC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173BD6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Источник сведений: Отчет по испыт. винта от 17.9.42 г.</w:t>
            </w:r>
          </w:p>
        </w:tc>
      </w:tr>
    </w:tbl>
    <w:p w14:paraId="7AC4B6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(12227).</w:t>
      </w:r>
    </w:p>
    <w:p w14:paraId="6799138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68E03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сентября 1942 вышел приказ НКАП N 708 от об экономии цветного металла (1685,184).</w:t>
      </w:r>
    </w:p>
    <w:p w14:paraId="41318B1A" w14:textId="77777777" w:rsidR="00090C9B" w:rsidRPr="00722885" w:rsidRDefault="00090C9B" w:rsidP="00722885">
      <w:pPr>
        <w:pStyle w:val="Iauiue"/>
        <w:jc w:val="both"/>
        <w:rPr>
          <w:color w:val="000000" w:themeColor="text1"/>
          <w:sz w:val="16"/>
          <w:szCs w:val="16"/>
        </w:rPr>
      </w:pPr>
    </w:p>
    <w:p w14:paraId="24B235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сентября 1942 вышло Постановление ГКО № 2313 Об увеличении производства авиационных бомб ФАБ-100, ФАБ-50, АО-25 и САБ-100-55. РГАНИР, Фонд ГКО, д. 56, лл. 140-146, 147-161 (11012).</w:t>
      </w:r>
    </w:p>
    <w:p w14:paraId="63BED73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B525D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сентября 1942 вышло Постановление ГКО № 2317 О дополнительном плане строительства взлетно-посадочных полос для ВВС Красной Армии в 1942 г. РГАНИР, Фонд ГКО, д. 57, лл. 3-6, 7-11 (11012).</w:t>
      </w:r>
    </w:p>
    <w:p w14:paraId="11E8238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A8A57A4"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сентября 1942 г.</w:t>
      </w:r>
    </w:p>
    <w:p w14:paraId="7850D3D0"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О БОЕВОМ ПРИМЕНЕНИИ СНАРЯДОВ М-20</w:t>
      </w:r>
    </w:p>
    <w:p w14:paraId="4FDADD54"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00203</w:t>
      </w:r>
      <w:r w:rsidRPr="00722885">
        <w:rPr>
          <w:rFonts w:ascii="Times New Roman" w:hAnsi="Times New Roman"/>
          <w:color w:val="0070C0"/>
          <w:sz w:val="16"/>
          <w:szCs w:val="16"/>
        </w:rPr>
        <w:tab/>
        <w:t>17 сентября 1942 г.</w:t>
      </w:r>
    </w:p>
    <w:p w14:paraId="1A69C8A5"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Снаряды М-20, обладая большим фугасным действием, почти не уступающим снарядам М-30, предназначены также как и снаряды М-30 для разрушения и уничтожения опорных пунктов с укреплениями полевого типа (блиндажи, дзоты, окопы с перекрытиями и т. д.).</w:t>
      </w:r>
    </w:p>
    <w:p w14:paraId="67430F59"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Однако практика показывает, что большинство общевойсковых и артиллерийских начальников применяют снаряды М-20 неправильно, а именно:</w:t>
      </w:r>
    </w:p>
    <w:p w14:paraId="12B0A605"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Снаряды М-20 применяются, как обычные снаряды М-13, по живым целям, находящимся вне укрытий.</w:t>
      </w:r>
    </w:p>
    <w:p w14:paraId="1DDDDBBF"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При выполнении задач по уничтожению укрепленных опорных пунктов и узлов сопротивления, как правило, не создается достаточная плотность огня. По укрепленному пункту дают один дивизионный залп с установок М-13 (64 выстрела).</w:t>
      </w:r>
    </w:p>
    <w:p w14:paraId="6343DE44"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Опыт боевого применения снарядов М-20 показал, что для подавления и уничтожения опорного пункта с укреплениями полевого типа, необходим залп двумя-тремя дивизионами М-30, т. е. в этом случае по цели производится одновременный залп в 384—576 выстрелов.</w:t>
      </w:r>
    </w:p>
    <w:p w14:paraId="3DB2B32A"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Следовательно, опыт учит, что плотность огня одного дивизиона М-13 при стрельбе снарядами М-20 (64 выстрела) совершенно недостаточна для уничтожения укрепленного опорного пункта противника. Такая стрельба не достигает цели и приводит к напрасной трате снарядов.</w:t>
      </w:r>
    </w:p>
    <w:p w14:paraId="0B9031A5"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Приказываю:</w:t>
      </w:r>
    </w:p>
    <w:p w14:paraId="35CD432F"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Огонь снарядами М-20 вести только по укрепленным опорным пунктам противника.</w:t>
      </w:r>
    </w:p>
    <w:p w14:paraId="1E973D6A"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Огонь вести массированно, создавая плотность не менее 15—20 снарядов М-20 на 1 га. Давать по укрепленному опорному пункту залп тремя дивизионами М-13 одновременно.</w:t>
      </w:r>
    </w:p>
    <w:p w14:paraId="2B1BCF18"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довести до командира дивизии, начальника артиллерии дивизии и командира дивизиона гвардейских минометных частей СВГК.</w:t>
      </w:r>
    </w:p>
    <w:p w14:paraId="64E49F69"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обороны СССР И. СТАЛИН</w:t>
      </w:r>
    </w:p>
    <w:p w14:paraId="31C47B3A" w14:textId="77777777" w:rsidR="00FF6A85" w:rsidRPr="00722885" w:rsidRDefault="00FF6A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ф. 4, оп. 11, д. 68, л. 313—314. Подлинник (21092).</w:t>
      </w:r>
    </w:p>
    <w:p w14:paraId="59B8321E" w14:textId="77777777" w:rsidR="00FF6A85" w:rsidRPr="00722885" w:rsidRDefault="00FF6A85" w:rsidP="00722885">
      <w:pPr>
        <w:spacing w:after="0" w:line="240" w:lineRule="auto"/>
        <w:jc w:val="both"/>
        <w:rPr>
          <w:rFonts w:ascii="Times New Roman" w:hAnsi="Times New Roman"/>
          <w:color w:val="0070C0"/>
          <w:sz w:val="16"/>
          <w:szCs w:val="16"/>
        </w:rPr>
      </w:pPr>
    </w:p>
    <w:p w14:paraId="11A6F07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C64E970" w14:textId="77777777" w:rsidR="00090C9B" w:rsidRPr="00722885" w:rsidRDefault="00090C9B" w:rsidP="00722885">
      <w:pPr>
        <w:pStyle w:val="Iauiue"/>
        <w:jc w:val="both"/>
        <w:rPr>
          <w:iCs/>
          <w:color w:val="000000" w:themeColor="text1"/>
          <w:sz w:val="16"/>
          <w:szCs w:val="16"/>
        </w:rPr>
      </w:pPr>
    </w:p>
    <w:p w14:paraId="565C5B75"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17 сен</w:t>
      </w:r>
      <w:r w:rsidRPr="00722885">
        <w:rPr>
          <w:rFonts w:ascii="Times New Roman" w:cs="Times New Roman"/>
          <w:color w:val="000000" w:themeColor="text1"/>
          <w:spacing w:val="0"/>
        </w:rPr>
        <w:softHyphen/>
        <w:t>тября 1942 года было подписано постановле</w:t>
      </w:r>
      <w:r w:rsidRPr="00722885">
        <w:rPr>
          <w:rFonts w:ascii="Times New Roman" w:cs="Times New Roman"/>
          <w:color w:val="000000" w:themeColor="text1"/>
          <w:spacing w:val="0"/>
        </w:rPr>
        <w:softHyphen/>
        <w:t>ние ГКО № 2316сс «Об огнеметных танках КВ-8С», в котором говорилось:</w:t>
      </w:r>
    </w:p>
    <w:p w14:paraId="302D7551"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 Разрешить Наркомтанкпрому в течение сентября с.г. выпускать на Кировском заводе огнеметные танки КВ-8 с облегченным кор</w:t>
      </w:r>
      <w:r w:rsidRPr="00722885">
        <w:rPr>
          <w:rFonts w:ascii="Times New Roman" w:cs="Times New Roman"/>
          <w:color w:val="000000" w:themeColor="text1"/>
          <w:spacing w:val="0"/>
        </w:rPr>
        <w:softHyphen/>
        <w:t>пусом, старой башней и общим весом тан</w:t>
      </w:r>
      <w:r w:rsidRPr="00722885">
        <w:rPr>
          <w:rFonts w:ascii="Times New Roman" w:cs="Times New Roman"/>
          <w:color w:val="000000" w:themeColor="text1"/>
          <w:spacing w:val="0"/>
        </w:rPr>
        <w:softHyphen/>
        <w:t>ка до 43,2 т.</w:t>
      </w:r>
    </w:p>
    <w:p w14:paraId="5AFA67C9"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Наркомтанкпром т. Зальцмана и Директора Кировского завода т. Махони- на обеспечить с 1 октября с.г. выпуск огнеметных танков КВ-8С со следующим уточне</w:t>
      </w:r>
      <w:r w:rsidRPr="00722885">
        <w:rPr>
          <w:rFonts w:ascii="Times New Roman" w:hAnsi="Times New Roman"/>
          <w:color w:val="000000" w:themeColor="text1"/>
          <w:sz w:val="16"/>
          <w:szCs w:val="16"/>
        </w:rPr>
        <w:softHyphen/>
        <w:t>нием тактико-технической характеристики: вес танка КВ-8С - до 42,5 тн. количество огнеметных выстрелов — 40 шт. объем выстрела - 10 литров».</w:t>
      </w:r>
    </w:p>
    <w:p w14:paraId="536C6F2C"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выполнить постановление ГКО в срок завод не смог - не хватало корпусов для ли</w:t>
      </w:r>
      <w:r w:rsidRPr="00722885">
        <w:rPr>
          <w:rFonts w:ascii="Times New Roman" w:hAnsi="Times New Roman"/>
          <w:color w:val="000000" w:themeColor="text1"/>
          <w:sz w:val="16"/>
          <w:szCs w:val="16"/>
        </w:rPr>
        <w:softHyphen/>
        <w:t xml:space="preserve">нейных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чего уж говорить об огне</w:t>
      </w:r>
      <w:r w:rsidRPr="00722885">
        <w:rPr>
          <w:rFonts w:ascii="Times New Roman" w:hAnsi="Times New Roman"/>
          <w:color w:val="000000" w:themeColor="text1"/>
          <w:sz w:val="16"/>
          <w:szCs w:val="16"/>
        </w:rPr>
        <w:softHyphen/>
        <w:t>метных. В результате, в сентябре было сда</w:t>
      </w:r>
      <w:r w:rsidRPr="00722885">
        <w:rPr>
          <w:rFonts w:ascii="Times New Roman" w:hAnsi="Times New Roman"/>
          <w:color w:val="000000" w:themeColor="text1"/>
          <w:sz w:val="16"/>
          <w:szCs w:val="16"/>
        </w:rPr>
        <w:softHyphen/>
        <w:t xml:space="preserve">но только шесть КВ-8С с корпусом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и башней КВ-1, в октябре - еще девять машин.</w:t>
      </w:r>
    </w:p>
    <w:p w14:paraId="01F1CD12"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В связи с использованием корпуса от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у КВ-8С сократили боекомплект до 114 выстрелов к 45-мм пушке и до 2394 па</w:t>
      </w:r>
      <w:r w:rsidRPr="00722885">
        <w:rPr>
          <w:rFonts w:ascii="Times New Roman" w:cs="Times New Roman"/>
          <w:color w:val="000000" w:themeColor="text1"/>
          <w:spacing w:val="0"/>
        </w:rPr>
        <w:softHyphen/>
        <w:t>тронов к ДТ (38 дисков). Вместо трех баков, как на КВ-8, на КВ-8С на днище боевого от</w:t>
      </w:r>
      <w:r w:rsidRPr="00722885">
        <w:rPr>
          <w:rFonts w:ascii="Times New Roman" w:cs="Times New Roman"/>
          <w:color w:val="000000" w:themeColor="text1"/>
          <w:spacing w:val="0"/>
        </w:rPr>
        <w:softHyphen/>
        <w:t>деления установили только один бак для ог- несмеси емкостью 400 л (на 40 выстрелов). Количество пороховых патронов к огнемету составляло 44 штуки.</w:t>
      </w:r>
    </w:p>
    <w:p w14:paraId="3454D619"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То, что доработка КВ-8С (с башней от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затянулась, вызвало недовольство у руководства наркомата танковой промыш</w:t>
      </w:r>
      <w:r w:rsidRPr="00722885">
        <w:rPr>
          <w:rFonts w:ascii="Times New Roman" w:cs="Times New Roman"/>
          <w:color w:val="000000" w:themeColor="text1"/>
          <w:spacing w:val="0"/>
        </w:rPr>
        <w:softHyphen/>
        <w:t>ленности (15226).</w:t>
      </w:r>
    </w:p>
    <w:p w14:paraId="35A65D85" w14:textId="77777777" w:rsidR="00A65CDA" w:rsidRPr="00722885" w:rsidRDefault="00A65CDA" w:rsidP="00722885">
      <w:pPr>
        <w:pStyle w:val="27"/>
        <w:shd w:val="clear" w:color="auto" w:fill="auto"/>
        <w:spacing w:after="0" w:line="240" w:lineRule="auto"/>
        <w:ind w:firstLine="0"/>
        <w:rPr>
          <w:rFonts w:ascii="Times New Roman" w:cs="Times New Roman"/>
          <w:color w:val="000000" w:themeColor="text1"/>
          <w:spacing w:val="0"/>
        </w:rPr>
      </w:pPr>
    </w:p>
    <w:p w14:paraId="4A5E790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17 сентября 1942 вышло Постановление ГКО № 2310 О строительстве вагоностроительного завода в г. Барнаул. (7054, 136).</w:t>
      </w:r>
    </w:p>
    <w:p w14:paraId="2555E6D9" w14:textId="77777777" w:rsidR="00090C9B" w:rsidRPr="00722885" w:rsidRDefault="00090C9B" w:rsidP="00722885">
      <w:pPr>
        <w:pStyle w:val="Iauiue"/>
        <w:tabs>
          <w:tab w:val="left" w:pos="11199"/>
        </w:tabs>
        <w:jc w:val="both"/>
        <w:rPr>
          <w:color w:val="000000" w:themeColor="text1"/>
          <w:sz w:val="16"/>
          <w:szCs w:val="16"/>
        </w:rPr>
      </w:pPr>
    </w:p>
    <w:p w14:paraId="6B85DC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сентября 1942 вышло Постановление ГКО № 2314 О строительстве телеграфно-телефонной линии связи вдоль южного побережья Каспийского моря. РГАНИР, Фонд ГКО, д. 56, лл. 162-165, 166 (11012).</w:t>
      </w:r>
    </w:p>
    <w:p w14:paraId="0968701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6A103B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17 сентября 1942 года вышел приказ № 660с НКТП</w:t>
      </w:r>
    </w:p>
    <w:p w14:paraId="6A174EE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Ввиду завершения части строительства Барнаульского завода “С-10” и возможности пуска в эксплуатацию отдельных его цехов до окончания строительства в целом ………… (6129, 37).</w:t>
      </w:r>
    </w:p>
    <w:p w14:paraId="1B3AD733" w14:textId="77777777" w:rsidR="00090C9B" w:rsidRPr="00722885" w:rsidRDefault="00090C9B" w:rsidP="00722885">
      <w:pPr>
        <w:pStyle w:val="Iauiue"/>
        <w:tabs>
          <w:tab w:val="left" w:pos="11199"/>
        </w:tabs>
        <w:jc w:val="both"/>
        <w:rPr>
          <w:color w:val="000000" w:themeColor="text1"/>
          <w:sz w:val="16"/>
          <w:szCs w:val="16"/>
        </w:rPr>
      </w:pPr>
    </w:p>
    <w:p w14:paraId="3B5E8C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сентября 1942 вышло Постановление ГКО № 2315 О плане выпуска танков и дизелей по HКТП на IV квартал 1942 г. РГАНИР, Фонд ГКО, д. 57, лл. 1 (11012).</w:t>
      </w:r>
    </w:p>
    <w:p w14:paraId="354E726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D8849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сентября 1942 вышло Постановление ГКО № 2316 Об огнеметных танках КВ-8с. РГАНИР, Фонд ГКО, д. 57, лл. 2 (11012).</w:t>
      </w:r>
    </w:p>
    <w:p w14:paraId="1089589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017D7D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17 сентября 1942 вышло постановление ГКО № 2316 о выпуске КВ-8 с облегченным корпусом и башней - 42.5 т и запасом огнесмеси 400 л. Всего за 1942 сделали 127 огнеметных КВ, в т.ч. 15 КВ-8С (5219, 32).</w:t>
      </w:r>
    </w:p>
    <w:p w14:paraId="2DBF53A7" w14:textId="77777777" w:rsidR="00090C9B" w:rsidRPr="00722885" w:rsidRDefault="00090C9B" w:rsidP="00722885">
      <w:pPr>
        <w:pStyle w:val="Iauiue"/>
        <w:tabs>
          <w:tab w:val="left" w:pos="11199"/>
        </w:tabs>
        <w:jc w:val="both"/>
        <w:rPr>
          <w:color w:val="000000" w:themeColor="text1"/>
          <w:sz w:val="16"/>
          <w:szCs w:val="16"/>
        </w:rPr>
      </w:pPr>
    </w:p>
    <w:p w14:paraId="1FF908A2" w14:textId="77777777" w:rsidR="00A65CDA"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сентября 1942 вышло Постановление ГКО № 2318 О принятии на вооружение и производстве электрических торпед ЭТ-80 и глубоководных минных защитников ГМЗ. РГАНИР, Фонд ГКО, д. 57, лл. 12-14 (11012).</w:t>
      </w:r>
    </w:p>
    <w:p w14:paraId="2FCD0399" w14:textId="77777777" w:rsidR="00A65CDA" w:rsidRPr="00722885" w:rsidRDefault="00A65CDA" w:rsidP="00722885">
      <w:pPr>
        <w:spacing w:after="0" w:line="240" w:lineRule="auto"/>
        <w:jc w:val="both"/>
        <w:rPr>
          <w:rFonts w:ascii="Times New Roman" w:hAnsi="Times New Roman"/>
          <w:color w:val="000000" w:themeColor="text1"/>
          <w:sz w:val="16"/>
          <w:szCs w:val="16"/>
        </w:rPr>
      </w:pPr>
    </w:p>
    <w:p w14:paraId="670FC8C4" w14:textId="77777777" w:rsidR="00A65CDA"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сентября 1942 вышло:</w:t>
      </w:r>
    </w:p>
    <w:p w14:paraId="6395EC48" w14:textId="77777777" w:rsidR="00A65CDA"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КОМИТЕТ ОБОРОНЫ ПОСТАНОВЛЕНИЕ №2318сс</w:t>
      </w:r>
    </w:p>
    <w:p w14:paraId="09966146" w14:textId="77777777" w:rsidR="00A65CDA"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 17 " сентября 1942 г. Москва, Кремль.</w:t>
      </w:r>
    </w:p>
    <w:p w14:paraId="691E691C" w14:textId="77777777" w:rsidR="00090C9B"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color w:val="000000" w:themeColor="text1"/>
          <w:sz w:val="16"/>
          <w:szCs w:val="16"/>
        </w:rPr>
        <w:t>О принятии на вооружение и производстве электрических торпед «ЭТ-80» и глубоководных минных защитников «ГМЗ»</w:t>
      </w:r>
    </w:p>
    <w:p w14:paraId="4EB337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обеспечения Военно-Морского Флота Союза ССР электрическими торпедами "ЭТ-80" и глубоководными минными защитниками "ГМЗ", Государственный Комитет Обороны ПОСТАНОВЛЯЕТ:</w:t>
      </w:r>
    </w:p>
    <w:p w14:paraId="4C5AA7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Разрешить Наркомвоенморфлоту принять на вооружение ВМФ СССР:</w:t>
      </w:r>
    </w:p>
    <w:p w14:paraId="4CC694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электрическую торпеду "ЭТ-80";</w:t>
      </w:r>
    </w:p>
    <w:p w14:paraId="792E89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глубоководный минный защитник (ГМЗ).</w:t>
      </w:r>
    </w:p>
    <w:p w14:paraId="095D5A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Наркомсудпром (т. Носенко) организовать в 1У кв. 1942 г. на заводе № 231 НКСП (г.Уральск) серийное производство электроторпед «ЭТ-80» со сдачей НКВМФ в декабре 1942 г. 5 шт., электроторпед "ЭТ-80" без отстрела в море.</w:t>
      </w:r>
    </w:p>
    <w:p w14:paraId="5D703A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Установить по заводу № 231 HKCII (директор т. Компанец)</w:t>
      </w:r>
    </w:p>
    <w:p w14:paraId="35744E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электроторпед "ЭТ-80" в 1 кв. 1943 г. в количестве 80 штук,</w:t>
      </w:r>
    </w:p>
    <w:p w14:paraId="49E504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том числе:</w:t>
      </w:r>
    </w:p>
    <w:p w14:paraId="71D940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январь 1943 г. - 15 штук</w:t>
      </w:r>
    </w:p>
    <w:p w14:paraId="369D05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февраль " - 25 "</w:t>
      </w:r>
    </w:p>
    <w:p w14:paraId="40E29F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март " - 40 "</w:t>
      </w:r>
    </w:p>
    <w:p w14:paraId="510C6F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Для обеспечения производства электроторпед "ЭТ-80" на заводе № 231 НКСП обязать: Наркомэлектропром (тов. Кабанова):</w:t>
      </w:r>
    </w:p>
    <w:p w14:paraId="651692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изготовить на заводе № 627 НКЭП и поставить заводу № 231 НКСП электромоторы типа ПМ5-2 к 15 декабря 1942 г.- 5 штук и в 1 квартале 1943 г.- 30 штук, с равномерной поставкой по месяцам;</w:t>
      </w:r>
    </w:p>
    <w:p w14:paraId="2E1219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организовать производство электромоторов типа ПМ5-2 на заводе № 658 НКЭП и поставить их заводу № 231 НКСП в 1 кв.1943 г.- 60 штук, в том числе:</w:t>
      </w:r>
    </w:p>
    <w:p w14:paraId="0757EE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январе - 10 штук</w:t>
      </w:r>
    </w:p>
    <w:p w14:paraId="53638C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феврале - 20 штук</w:t>
      </w:r>
    </w:p>
    <w:p w14:paraId="2D1B1C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марте - 30 штук</w:t>
      </w:r>
    </w:p>
    <w:p w14:paraId="041306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для обеспечения сдачи заводами №№ 627 и 658 НКЭП электромоторов типа ПМ5-2 комплектно с сервомоторами, организовать производство сервомоторов на заводе № 653 НКЭП;</w:t>
      </w:r>
    </w:p>
    <w:p w14:paraId="68E518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изготовить на заводе № 236 НКЭП электробатареи типа "В-6" и поставить их заводу № 231 НКСП в следующих количествах и сроки:</w:t>
      </w:r>
    </w:p>
    <w:p w14:paraId="37F27B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IV квартале 1942 г. - 10 штук </w:t>
      </w:r>
    </w:p>
    <w:p w14:paraId="6C6E29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январе 1943 г. - 15 </w:t>
      </w:r>
    </w:p>
    <w:p w14:paraId="59494C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феврале - 25 </w:t>
      </w:r>
    </w:p>
    <w:p w14:paraId="6C1B85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марте - 40 </w:t>
      </w:r>
    </w:p>
    <w:p w14:paraId="76D259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 поставить заводу № 231 НКСП равными партиями в октябре-декабре 1942 г.: </w:t>
      </w:r>
    </w:p>
    <w:p w14:paraId="7ECA4C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Кабель ПРШМ сечением 120 кв.мм - 900 мет. </w:t>
      </w:r>
    </w:p>
    <w:p w14:paraId="31D67F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Провод ПРШМ 10 кв.мм - 450 " </w:t>
      </w:r>
    </w:p>
    <w:p w14:paraId="0CE812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Провод ПРШМ " 2,5 кв.мм - 450 "</w:t>
      </w:r>
    </w:p>
    <w:p w14:paraId="3E2131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 поставить в декабре 1942 г.-январе 1943 г. заводу № 231 НКСП приборы:</w:t>
      </w:r>
    </w:p>
    <w:p w14:paraId="1A6718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Вольтметры 3-15-150 вольт - 50 шт.</w:t>
      </w:r>
    </w:p>
    <w:p w14:paraId="0012B3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Сопротивления к ним - 30 шт.</w:t>
      </w:r>
    </w:p>
    <w:p w14:paraId="686D69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Амперметры на 150 делении с комплектом шунтов к ним</w:t>
      </w:r>
    </w:p>
    <w:p w14:paraId="487BD0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15-1500 ампер - 30 шт.</w:t>
      </w:r>
    </w:p>
    <w:p w14:paraId="50E8ED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Меггер типа M0M - 20 шт. </w:t>
      </w:r>
    </w:p>
    <w:p w14:paraId="12FE10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Наркомрезинпром (тов. Митрохина):</w:t>
      </w:r>
    </w:p>
    <w:p w14:paraId="37DA03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изготовить на заводе № 702 Наркомрезинпрома и поставить заводу № 236 НКЭП эбонитовые баки для батарей типа «В-6» комплектно с крышками в декабре месяце 1942 г. - 1000 штук и 1 кв. 1943 г. - 8000 штук;</w:t>
      </w:r>
    </w:p>
    <w:p w14:paraId="41BE1F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поставить заводу № 231 НКСП вентиляционные системы к батареям типа «В-6»:</w:t>
      </w:r>
    </w:p>
    <w:p w14:paraId="35BD13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- 5 комплектов</w:t>
      </w:r>
    </w:p>
    <w:p w14:paraId="31A6A4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декабре - 15 </w:t>
      </w:r>
    </w:p>
    <w:p w14:paraId="60FE2E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январе 1943 г. -25 </w:t>
      </w:r>
    </w:p>
    <w:p w14:paraId="124432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феврале -40 </w:t>
      </w:r>
    </w:p>
    <w:p w14:paraId="5D5A8D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Наркомлес СССР (тов.Салтыкова):</w:t>
      </w:r>
    </w:p>
    <w:p w14:paraId="75EF19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Обеспечить поставку заводу № 236 НКЭП, по заявке последнего, листового ольхового и кедрового рифленого шпона, необходимого для производства электробатарей типа "В-6".</w:t>
      </w:r>
    </w:p>
    <w:p w14:paraId="70A9C4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Наркомхимпром (тов.Первухина):</w:t>
      </w:r>
    </w:p>
    <w:p w14:paraId="3BF10B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Изготовить и поставить заводу № 231 НКСП 4500 штук волокнитовых рамок в следующие сроки:</w:t>
      </w:r>
    </w:p>
    <w:p w14:paraId="29644A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ноябрь 1942 г. - 300 штук</w:t>
      </w:r>
    </w:p>
    <w:p w14:paraId="0794DA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декабрь - 800 *</w:t>
      </w:r>
    </w:p>
    <w:p w14:paraId="748A96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январь 1943 г. -1400 штук</w:t>
      </w:r>
    </w:p>
    <w:p w14:paraId="03B3EF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февраль -2000 *</w:t>
      </w:r>
    </w:p>
    <w:p w14:paraId="2905FB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Наркомавиапром (тов.Шахурина):</w:t>
      </w:r>
    </w:p>
    <w:p w14:paraId="65A087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Поставить заводу № 231 HKCП в IV кв. 1942 года:</w:t>
      </w:r>
    </w:p>
    <w:p w14:paraId="5A8D59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труб диаметром 68± 0,5 мм толщиной стенки 5,5 ± 0,5 мм - 1000 п.м.</w:t>
      </w:r>
    </w:p>
    <w:p w14:paraId="7BB777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диаметром 110 ± 1,0 мм толщиной стенки 7,%±0,5 мм - 350 пог. метр. </w:t>
      </w:r>
    </w:p>
    <w:p w14:paraId="486D88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Специального профиля для рельс АО из материала Д-6-т 350 кг </w:t>
      </w:r>
    </w:p>
    <w:p w14:paraId="2D16E8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Полосы из материала Д-6-Т - 1,0 тн.</w:t>
      </w:r>
    </w:p>
    <w:p w14:paraId="62EA22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Разрешить НКАП по согласованию с НКСП и НКВМФ использовать для производства торпед «ЭТ-80» стандартные трубы и др. профиля алюминиевых сплавов, применяемых в авиационной промышленности.</w:t>
      </w:r>
    </w:p>
    <w:p w14:paraId="4B4B8A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Обязать НКСП (т. Носенко) изготовить кондуктора для сверления фланцев крепления гребных валов и отверстий крепления мотора в торпеде для заводов № № 627 и 658 НКЭП, а также валы якоря мотора в количестве 5 штук в IV квартале 1942 г. и 100 штук в 1 кв. 1943 г.</w:t>
      </w:r>
    </w:p>
    <w:p w14:paraId="2C1817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Обязать Наркомминвооружения (т.Паршина) изготовить на заводе им.Фрунзе и сдать Военно-Морскому Флоту в IV квартале 1942 г. - 60 штук глубоководных минных защитников (ГМЗ) и в 1 квартале 1943 г. -180 штук за счет соответственного сокращения производства нормальных минных защитников.</w:t>
      </w:r>
    </w:p>
    <w:p w14:paraId="335B20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Размер сокращения производства нормальных минных защитников установить НКМВ совместно с НКВМФ и Госпланом СССР. </w:t>
      </w:r>
    </w:p>
    <w:p w14:paraId="49FFED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 И. СТАЛИН (11652).</w:t>
      </w:r>
    </w:p>
    <w:p w14:paraId="7A5569F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9CFF0E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17 сентября 1942 вышло Постановление ГКО № 2319 О расширении и реконструкции производственных помещений ремонтных баз Главного автобронетанкового управления Красной Армии. (7055, 15-17,18-22).</w:t>
      </w:r>
    </w:p>
    <w:p w14:paraId="795A3152" w14:textId="77777777" w:rsidR="00090C9B" w:rsidRPr="00722885" w:rsidRDefault="00090C9B" w:rsidP="00722885">
      <w:pPr>
        <w:pStyle w:val="Iauiue"/>
        <w:tabs>
          <w:tab w:val="left" w:pos="11199"/>
        </w:tabs>
        <w:jc w:val="both"/>
        <w:rPr>
          <w:color w:val="000000" w:themeColor="text1"/>
          <w:sz w:val="16"/>
          <w:szCs w:val="16"/>
        </w:rPr>
      </w:pPr>
    </w:p>
    <w:p w14:paraId="142321B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17 сентября 1942 вышло Постановление ГКО № 2312 О мероприятиях по подготовке к переводу подлодок типа М с Черноморского флота в состав Северного флота. (7054, 138-139).</w:t>
      </w:r>
    </w:p>
    <w:p w14:paraId="22D0ED9B" w14:textId="77777777" w:rsidR="00090C9B" w:rsidRPr="00722885" w:rsidRDefault="00090C9B" w:rsidP="00722885">
      <w:pPr>
        <w:pStyle w:val="Iauiue"/>
        <w:tabs>
          <w:tab w:val="left" w:pos="11199"/>
        </w:tabs>
        <w:jc w:val="both"/>
        <w:rPr>
          <w:color w:val="000000" w:themeColor="text1"/>
          <w:sz w:val="16"/>
          <w:szCs w:val="16"/>
        </w:rPr>
      </w:pPr>
    </w:p>
    <w:p w14:paraId="443806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сентября 1942 ГКО принял постановление о переводе с ЧМФ в состав СФ 17 п/л типа М путем доставки их ж/д и речным путем (3398,334).</w:t>
      </w:r>
    </w:p>
    <w:p w14:paraId="345ABF57" w14:textId="77777777" w:rsidR="00090C9B" w:rsidRPr="00722885" w:rsidRDefault="00090C9B" w:rsidP="00722885">
      <w:pPr>
        <w:pStyle w:val="Iauiue"/>
        <w:jc w:val="both"/>
        <w:rPr>
          <w:color w:val="000000" w:themeColor="text1"/>
          <w:sz w:val="16"/>
          <w:szCs w:val="16"/>
        </w:rPr>
      </w:pPr>
    </w:p>
    <w:p w14:paraId="186B34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ночь на 17 сентября 1942 года «Петропавловск» всплыл, буксиры «Айсберг» и К-1 увели его из-под носа врага и доставили на Балтийский завод. 17 сентября 1941 огнём немецкой артиллерии «Петропавловск» был сильно повреждён и лёг на грунт, погрузившись в воду до броневой палубы. Это произошло неподалеку от переднего края противника. Тем не менее летом 1942 года моряки крейсера, флотские водолазы и специалисты Балтийского судостроительного завода под носом у немцев провели подготовительные работы по подъёму крейсера. К началу Великой Отечественной войны готовность корабля достигала 70%. Тем не менее ленинградские судостроители смогли ввести его в строй без помощи немецких специалистов. Корабль использовался как плавучая батарея. Когда немцы подошли к Ленинграду, 7 сентября 1941 года четыре 203-мм орудия крейсера открыли огонь. В течение 10 дней по врагу было выпущено свыше 650 снарядов (11208).</w:t>
      </w:r>
    </w:p>
    <w:p w14:paraId="63BFD48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14882F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5D48A8D" w14:textId="77777777" w:rsidR="00090C9B" w:rsidRPr="00722885" w:rsidRDefault="00090C9B" w:rsidP="00722885">
      <w:pPr>
        <w:pStyle w:val="Iauiue"/>
        <w:jc w:val="both"/>
        <w:rPr>
          <w:iCs/>
          <w:color w:val="000000" w:themeColor="text1"/>
          <w:sz w:val="16"/>
          <w:szCs w:val="16"/>
        </w:rPr>
      </w:pPr>
    </w:p>
    <w:p w14:paraId="25D4411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17 сентября </w:t>
      </w:r>
      <w:r w:rsidRPr="00722885">
        <w:rPr>
          <w:rFonts w:ascii="Times New Roman" w:hAnsi="Times New Roman"/>
          <w:color w:val="000000" w:themeColor="text1"/>
          <w:sz w:val="16"/>
          <w:szCs w:val="16"/>
        </w:rPr>
        <w:t>в 1942 году утреннее сообщение Совинформбюро:</w:t>
      </w:r>
    </w:p>
    <w:p w14:paraId="5AD2624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17 сентября наши войска вели бои с противником на северо-западной окраине Сталинграда и в районе Моздок. На других фронтах существенных изменений не произошло.</w:t>
      </w:r>
    </w:p>
    <w:p w14:paraId="541123D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северо-западной окраине Сталинграда автоматчики противника при поддержке танков атаковали позиции, которые обороняет Н-ская стрелковая часть. Наши бойцы отбили атаку гитлеровцев. Огнём из противотанковых ружей, гранатами и бутылками с зажигательной смесью они подбили и сожгли 6 немецких танков. Отряд автоматчиков противника был окружён и уничтожен. На другом участке в результате упорных боёв, неоднократно переходивших в рукопашные схватки, уничтожено до 400 немецких солдат и офицеров.</w:t>
      </w:r>
    </w:p>
    <w:p w14:paraId="3098FE7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отбивали атаки танков и пехоты противника. Только на одном из участков уничтожено 11 немецких танков и до 250 гитлеровцев. Артиллеристы Н-ской части произвели огневой налёт на скопление противника и уничтожили 3 бронемашины и 12 автомашин с боеприпасами.</w:t>
      </w:r>
    </w:p>
    <w:p w14:paraId="7866213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наша гвардейская часть захватила у немцев танк, 2 орудия, 4 автомашины, 28 пулемётов, 33 ящика с минами и штабную машину с документами.</w:t>
      </w:r>
    </w:p>
    <w:p w14:paraId="011652D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одном из участков Западного фронта наши части овладели укреплённым рубежом противника и истребили до 900 немецких солдат и офицеров. Артиллерийским огнём разбито 10 блиндажей и 26 ДЗОТов, уничтожено 5 орудий, 14 пулемётов и 4 миномётные батареи.</w:t>
      </w:r>
    </w:p>
    <w:p w14:paraId="5073E92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обер-фельдфебель 5 роты 10 мотострелкового немецкого полка Алоиз Игель рассказал: «За один месяц 5 рота потеряла убитыми и ранеными 126 человек. Мы дважды получали пополнение. В последнем бою русские атаковали наши позиции. Командир роты лейтенант Шуберт приказал держаться до последнего человека. Однако, когда поблизости показались русские танки, Шуберт струсил и первый сбежал. Как только танки подошли к нашим позициям, несколько солдат вылезли из окопов и подняли руки вверх. Я тоже вышел из окопа, поднял руки и скомандовал солдатам: «Вылезайте, бросайте оружие!» 60 солдат нашей роты сдались в плен. Только один бросился бежать и был убит».</w:t>
      </w:r>
    </w:p>
    <w:p w14:paraId="09C5479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5 роты 4 полка 7 венгерской пехотной дивизии Георге Трифу рассказал: «Весной, когда мы отправлялись на фронт, офицеры говорили, что нас через шесть месяцев сменят. Еще недавно некоторые солдаты думали, что они скоро возвратятся в Венгрию. Теперь такой надежды больше ни у кого нет. Солдаты с горечью говорят: «Да, нас скоро сменят, потому что от роты осталось всего лишь 20 человек. Гитлер теперь прикажет на смену убитым прислать новых венгерских солдат».</w:t>
      </w:r>
    </w:p>
    <w:p w14:paraId="7058C59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Париже почти ежедневно происходят столкновения населения с немецко-фашистскими оккупантами. Недавно на одной из улиц Парижа женщины, стоявшие в очереди у продовольственного магазина, остановили автомобиль, в котором ехали немецкие офицеры, обезоружили и избили их. Близ Парижа немцы закрыли текстильную фабрику и объявили рабочим, что они должны в трёхдневный срок выехать в Германию. Рабочие и работницы фабрики заявили, что они никуда не поедут, и в знак протеста сожгли склад готовой продукции.» (14772).</w:t>
      </w:r>
    </w:p>
    <w:p w14:paraId="18A15294"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7FE9C311"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17 сентября </w:t>
      </w:r>
      <w:r w:rsidRPr="00722885">
        <w:rPr>
          <w:rFonts w:ascii="Times New Roman" w:hAnsi="Times New Roman"/>
          <w:color w:val="000000" w:themeColor="text1"/>
          <w:sz w:val="16"/>
          <w:szCs w:val="16"/>
        </w:rPr>
        <w:t>в 1942 году вечернее сообщение Совинформбюро:</w:t>
      </w:r>
    </w:p>
    <w:p w14:paraId="45ED521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17 сентября наши войска вели ожесточённые бои с противником на северо-западной окраине Сталинграда и в районе Моздок. На других фронтах существенных изменений не произошло.</w:t>
      </w:r>
    </w:p>
    <w:p w14:paraId="3C724FC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16 сентября частями нашей авиации на различных участках фронта уничтожено или повреждено 10 немецких танков и бронемашин, до 50 автомашин с войсками и грузами, подавлен огонь 10 батарей полевой и зенитной артиллерии, взорвано 5 складов боеприпасов, разбит железнодорожный состав, рассеяно и частью уничтожено до четырёх рот пехоты противника.</w:t>
      </w:r>
    </w:p>
    <w:p w14:paraId="086BA44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северо-западной окраине Сталинграда продолжались ожесточённые бои. Противник, стремясь любой ценой сломить сопротивление защитников города, непрерывно атакует наши части. Отдельным отрядам гитлеровцев ночью удалось проникнуть на некоторые улицы города. Завязались тяжёлые уличные бои, переходившие в рукопашные схватки. К исходу дня все группы противника, проникшие в расположение наших войск, были отброшены. Немцы отступили, оставив на поле боя сотни трупов, подбитые орудия и танки. Бойцы под командованием тов. Крылова за два дня уничтожили 54 немецких танка, 21 орудие, 12 автомашин и истребили до 1.500 солдат и офицеров противника. На другом участке наши гвардейцы разгромили два батальона пехоты противника, уничтожили , 8 танков, 2 миномётные батареи и 15 автомашин.</w:t>
      </w:r>
    </w:p>
    <w:p w14:paraId="248A95A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отбивали атаки противника. Н-ская часть выбила немцев из одного населённого пункта. В боях за этот населённый пункт уничтожено 8 немецких танков, 4 орудия, 11 автомашин и до 300 гитлеровцев.</w:t>
      </w:r>
    </w:p>
    <w:p w14:paraId="739C21A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части морской пехоты отбили несколько атак противника и уничтожили до батальона вражеской пехоты.</w:t>
      </w:r>
    </w:p>
    <w:p w14:paraId="47C3D26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Бомбардировщики части, где командиром тов. Токарев, совершили налёт на оккупированный немцами порт на Чёрном море. Прямым попаданием бомб потоплено 2 неприятельских тральщика, 3 торпедных катера и взорван склад с боеприпасами.</w:t>
      </w:r>
    </w:p>
    <w:p w14:paraId="3E6C291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войска вели наступательные бои. Бойцы Н-ской части при поддержке танкистов атаковали один населённый пункт и после ожесточённого бояв ыбили из него гитлеровцев. Захвачено 9 орудий, 14 пулемётов, 2 радиостанции и уничтожено до трёх батальонов пехоты противника. На другом участке наши части за два дня боевых действий уничтожили более 100 огневых точек и до полка пехоты противника. Нашими бойцами захвачено 18 орудий, 41 пулемёт и другое вооружение. Взяты пленные.</w:t>
      </w:r>
    </w:p>
    <w:p w14:paraId="567219F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немецкая пехота, прикрываясь танками, атаковала наши подразделения. Встретив упорное сопротивление, немцы в середине дня ввели в бой ещё два полка пехоты и 40 танков и несколько потеснили наши части. Контрударом наши бойцы остановили продвижение гитлеровцев, а затем отбросили их и восстановили положение. В ходе боя уничтожено 22 танка и до 1.200 немецких солдат и офицеров.</w:t>
      </w:r>
    </w:p>
    <w:p w14:paraId="725C2B0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Отряды смоленских партизан успешно разрушают коммуникации немецко-фашистских оккупантов. В начале сентября партизаны взорвали железнодорожное полотно в то время, когда по нему проходил поезд. Паровоз и 10 вагонов разбиты. Под обломками вагонов погибло более 150 гитлеровцев.</w:t>
      </w:r>
    </w:p>
    <w:p w14:paraId="54EB416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немецкого унтер-офицера Гергардта Линдемана найдено письмо из Фурта (Германия) от некоего Генриха. В письме говорится: «В прошлом году на всех перекрёстках кричали, что война с Россией окончится через несколько месяцев. Наши стратеги осрамились. Сверх всяких ожиданий война приняла очень затяжной характер, и чем дальше она продолжается, тем меньше надежд на благополучный для нас исход. Сколько и каких тяжёлых жертв ещё потребует от нас эта война! В городах, где нет иностранцев, безлюдно и пустынно. Могу тебе сообщить, что за 14 месяцев войны из нашего маленького городка уже погибло на Востоке более 800 человек. За все четыре года войны 1914—1918 гг. было убито в два раза меньше».</w:t>
      </w:r>
    </w:p>
    <w:p w14:paraId="6039A79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сентября в районе города Схаген (Голландия) группа вооружённых голландцев напала на немецкий аэродром. В ожесточённой схватке с охраной голландские патриоты перебили 16 гитлеровцев, а затем сожгли 6 самолётов и склад горючего.» (14772).</w:t>
      </w:r>
    </w:p>
    <w:p w14:paraId="1EDE75FD"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57613E9B"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Начиная с 17 сентября 1942 советские штурмовики, помимо уже ставших традиционными для них атак аэродромов и дорог в немецком тылу, стали принимать активное участие в уличных боях в Сталинграде. Появляясь из-за Волги большими группами в сопровождении истребителей, они с малой высоты атаковали улицы, площади и здания в занятой немцами части города, сбрасывая бомбы и пуская ракеты, а также обстреливали их из пушек и пулеметов. Над городом и его ближайшими окрестностями то и дело вспыхивали воздушные бои.</w:t>
      </w:r>
    </w:p>
    <w:p w14:paraId="48AB9607"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Так, 18 сентября шесть Ил-2 из 245-го шап под прикрытием пятерки Як-1 вылетели в очередной раз атаковать немецкие позиции. На пути к цели группа встретилась с «Мессершмиттами», которые быстро отсекли Яки и беспрепятственно атаковали штурмовики. В результате два «горбатых» были сбиты, остальные с тяжелыми повреждениями с трудом перетянули через линию фронта и совершили вынужденные посадки в степи (19522).</w:t>
      </w:r>
    </w:p>
    <w:p w14:paraId="79A75C96" w14:textId="77777777" w:rsidR="00BB2084" w:rsidRPr="00722885" w:rsidRDefault="00BB2084" w:rsidP="00722885">
      <w:pPr>
        <w:pStyle w:val="ae"/>
        <w:spacing w:before="0" w:after="0"/>
        <w:jc w:val="both"/>
        <w:textAlignment w:val="baseline"/>
        <w:rPr>
          <w:color w:val="000000" w:themeColor="text1"/>
          <w:sz w:val="16"/>
          <w:szCs w:val="16"/>
        </w:rPr>
      </w:pPr>
    </w:p>
    <w:p w14:paraId="2497E2B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17 сентября </w:t>
      </w:r>
      <w:r w:rsidRPr="00722885">
        <w:rPr>
          <w:rFonts w:ascii="Times New Roman" w:hAnsi="Times New Roman"/>
          <w:color w:val="000000" w:themeColor="text1"/>
          <w:sz w:val="16"/>
          <w:szCs w:val="16"/>
        </w:rPr>
        <w:t>в 1942 году немецкие войска прорвались к вокзалу Сталинграда (14772).</w:t>
      </w:r>
    </w:p>
    <w:p w14:paraId="71E1B356"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7AA9EC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17 сентября 1942 восьмерка Ил-2 504-го </w:t>
      </w:r>
      <w:r w:rsidRPr="00722885">
        <w:rPr>
          <w:iCs/>
          <w:color w:val="000000" w:themeColor="text1"/>
          <w:sz w:val="16"/>
          <w:szCs w:val="16"/>
        </w:rPr>
        <w:t>шап</w:t>
      </w:r>
      <w:r w:rsidRPr="00722885">
        <w:rPr>
          <w:color w:val="000000" w:themeColor="text1"/>
          <w:sz w:val="16"/>
          <w:szCs w:val="16"/>
        </w:rPr>
        <w:t xml:space="preserve"> 226-й </w:t>
      </w:r>
      <w:r w:rsidRPr="00722885">
        <w:rPr>
          <w:iCs/>
          <w:color w:val="000000" w:themeColor="text1"/>
          <w:sz w:val="16"/>
          <w:szCs w:val="16"/>
        </w:rPr>
        <w:t>шад</w:t>
      </w:r>
      <w:r w:rsidRPr="00722885">
        <w:rPr>
          <w:color w:val="000000" w:themeColor="text1"/>
          <w:sz w:val="16"/>
          <w:szCs w:val="16"/>
        </w:rPr>
        <w:t xml:space="preserve"> под командованием ст. л-та И.И.Пстыго успешно атаковала танки противника на западной окраине завода "Красный Ок</w:t>
      </w:r>
      <w:r w:rsidRPr="00722885">
        <w:rPr>
          <w:color w:val="000000" w:themeColor="text1"/>
          <w:sz w:val="16"/>
          <w:szCs w:val="16"/>
        </w:rPr>
        <w:softHyphen/>
        <w:t>тябрь" (6467).</w:t>
      </w:r>
    </w:p>
    <w:p w14:paraId="63D60642" w14:textId="77777777" w:rsidR="00090C9B" w:rsidRPr="00722885" w:rsidRDefault="00090C9B" w:rsidP="00722885">
      <w:pPr>
        <w:pStyle w:val="Iauiue"/>
        <w:jc w:val="both"/>
        <w:rPr>
          <w:color w:val="000000" w:themeColor="text1"/>
          <w:sz w:val="16"/>
          <w:szCs w:val="16"/>
        </w:rPr>
      </w:pPr>
    </w:p>
    <w:p w14:paraId="70C1F3BC"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17 сентября 1942 советские штурмовики, помимо уже ставших традиционными для них атак аэродромов и дорог в немецком тылу, стали принимать активное участие в уличных боях в Сталинграде. Появляясь из</w:t>
      </w:r>
      <w:r w:rsidRPr="00722885">
        <w:rPr>
          <w:rFonts w:ascii="Times New Roman" w:hAnsi="Times New Roman"/>
          <w:color w:val="0070C0"/>
          <w:sz w:val="16"/>
          <w:szCs w:val="16"/>
        </w:rPr>
        <w:noBreakHyphen/>
        <w:t>за Волги большими группами в сопровождении истребителей, они с малой высоты атаковали улицы, площади и здания в занятой немцами части города, сбрасывая бомбы и пуская ракеты, а также обстреливали их из пушек и пулеметов. Над городом и его ближайшими окрестностями то и дело вспыхивали воздушные бои (23199).</w:t>
      </w:r>
    </w:p>
    <w:p w14:paraId="5BB05587" w14:textId="77777777" w:rsidR="005B5EE0" w:rsidRPr="00722885" w:rsidRDefault="005B5EE0" w:rsidP="00722885">
      <w:pPr>
        <w:spacing w:after="0" w:line="240" w:lineRule="auto"/>
        <w:jc w:val="both"/>
        <w:rPr>
          <w:rFonts w:ascii="Times New Roman" w:hAnsi="Times New Roman"/>
          <w:color w:val="0070C0"/>
          <w:sz w:val="16"/>
          <w:szCs w:val="16"/>
        </w:rPr>
      </w:pPr>
    </w:p>
    <w:p w14:paraId="24BB0D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сентября 1942 г. вышел ПРИКАЗ НКО №296 О МУЖЕСТВЕ И ХРАБРОСТИ, ПРОЯВЛЕННЫМИ ПИЛОТОМ 237-го ИСТРЕБИТЕЛЬНОГО АВИАПОЛКА СЕРЖАНТОМ И. М. ЧУМБАРЕВЫМПРИ ЗАЩИТЕ СТАЛИНГРАДА С ВОЗДУХА</w:t>
      </w:r>
    </w:p>
    <w:p w14:paraId="3708C8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сентября с. г. пилот 237-го истребительного авиационного полка сержант Чумбарев Илья Михайлович вылетел из засады на перехват бомбардировщика противника “Фокке—Вульф”. Будучи точно наведенным по радио на противника, подошел к нему вплотную снизу и протаранил его, отбив лопастями винта своего самолета оперение “Фокке-Вульфа”. Самолет противника рассыпался в воздухе, его экипаж взят в плен. Сам Чумбарев благополучно сел в районе своего аэродрома.</w:t>
      </w:r>
    </w:p>
    <w:p w14:paraId="66F2F7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отважную и самоотверженную борьбу по защите города Сталинграда и проявленные при этом доблесть и мужество сержанту Чумбареву Илье Михайловичу присваиваю внеочередное военное звание “лейтенант”.</w:t>
      </w:r>
    </w:p>
    <w:p w14:paraId="120FBA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 объявить всему летному составу.</w:t>
      </w:r>
    </w:p>
    <w:p w14:paraId="006C2E1E"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 xml:space="preserve">Заместитель Народного комиссара обороны СССР генерал-лейтенант авиации А.НОВИКОВ </w:t>
      </w:r>
      <w:r w:rsidRPr="00722885">
        <w:rPr>
          <w:color w:val="000000" w:themeColor="text1"/>
          <w:sz w:val="16"/>
          <w:szCs w:val="16"/>
        </w:rPr>
        <w:t>(9844).</w:t>
      </w:r>
    </w:p>
    <w:p w14:paraId="5131E334" w14:textId="77777777" w:rsidR="00090C9B" w:rsidRPr="00722885" w:rsidRDefault="00090C9B" w:rsidP="00722885">
      <w:pPr>
        <w:pStyle w:val="Iauiue"/>
        <w:jc w:val="both"/>
        <w:rPr>
          <w:color w:val="000000" w:themeColor="text1"/>
          <w:sz w:val="16"/>
          <w:szCs w:val="16"/>
        </w:rPr>
      </w:pPr>
    </w:p>
    <w:p w14:paraId="01E625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сентября 1942 вышло Постановление ГКО № 2311 О военизации вольнонаемного состава вспомогательных судов и плавучих средств Военно-Морского Флота. РГАНИР, Фонд ГКО, д. 56, лл. 137 (11012).</w:t>
      </w:r>
    </w:p>
    <w:p w14:paraId="7538614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EF7F3B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594CF8F6" w14:textId="77777777" w:rsidR="00090C9B" w:rsidRPr="00722885" w:rsidRDefault="00090C9B" w:rsidP="00722885">
      <w:pPr>
        <w:pStyle w:val="Iauiue"/>
        <w:jc w:val="both"/>
        <w:rPr>
          <w:iCs/>
          <w:color w:val="000000" w:themeColor="text1"/>
          <w:sz w:val="16"/>
          <w:szCs w:val="16"/>
        </w:rPr>
      </w:pPr>
    </w:p>
    <w:p w14:paraId="78F7D4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17 сентября 1942 г. бункер - «Особый объект № 74» в Горьком был сдан в эксплуатацию Общая площадь помещений, залегавших на глубине 36 м, составила около 1200 кв. м. Восемь кабинетов, предназначенных для самого высокого начальства, были отделаны дорогой фанерой с дубовыми накладками, карнизами и плинтусами. </w:t>
      </w:r>
      <w:r w:rsidRPr="00722885">
        <w:rPr>
          <w:rFonts w:ascii="Times New Roman" w:hAnsi="Times New Roman"/>
          <w:color w:val="000000" w:themeColor="text1"/>
          <w:sz w:val="16"/>
          <w:szCs w:val="16"/>
        </w:rPr>
        <w:lastRenderedPageBreak/>
        <w:t>В бункере имелись две электростанции, автономная система воздухообеспечения, водопровод и канализация, была подведена связь. Защитно-герметичные двери гарантированно защищали от попаданий бомб и отравляющих газов. Впоследствии наибольшую известность получил бункер в Куйбышеве. Его, как и в Горьком, проектировали и возводили московские метростроевцы. Для этого в Куйбышев был откомандирован отряд аж из 600 специалистов. Им в помощь под подписку о неразглашении гостайны были приданы и местные рабочие. Для стройки был выбран двор невысокого здания обкома партии, расположенного недалеко от берега Волги, в северной части города. Работы шли стахановскими темпами, круглосуточно, в три смены. Ели и спали строители здесь же, на стройплощадке. Чтобы не привлекать внимание жителей, выемка грунта производилась практически вручную, затем землю аккуратно складывали в специальные мешочки и вывозили на неприметных «полуторках». Тем не менее работы затянулись. Проект оказался слишком масштабным и дорогостоящим. Если у Черчилля, в Лондоне, и у Рузвельта, в Вашингтоне, бункеры находились на уровне второго подземного этажа, а у Гитлера, в Берлине, – на глубине 16 м, то куйбышевский бункер замыслили разместить на глубине 37 м! Засев в таком сооружении, человек мог не бояться попаданий бомб любых калибров. Сооружение перекрывал монолитный бетон толщиной три метра, песчаная прослойка и еще один метровый бетонный «тюфяк». При его возведении были вынуты 20 тыс. кв. м грунта и уложено 10 тыс. куб. м бетона. В итоге объект был сдан в эксплуатацию лишь 1 ноября 1942 г., т.е. в разгар Сталинградской битвы. С точки зрения строительного искусства это было уникальное сооружение. Система жизнеобеспечения убежища действовала полностью автономно. В бункере имелись мощная электростанция и установки регенерации воздуха. На самом нижнем, двенадцатом, этаже находился зал заседаний с таким же, как и в Кремле, длинным Т-образным столом, покрытым зеленым сукном. За ним могли одновременно разместиться 115 человек! Тут же, через коридор, располагался личный кабинет Сталина, имевший, как и кремлевский, несколько выходов. На верхних этажах располагались помещения для охраны, складов и служб технического обеспечения. Вход в бункер находился в холле обкома, справа от парадной лестницы, причем возле неприметной двери круглосуточно дежурил сотрудник НКВД. Еще одно секретное убежище было сооружено в Сталинграде. Вход в него был скрыт в огромном овраге, по которому текла река Царица. По воспоминаниям очевидцев, это было огромное помещение под землей, в центре которого имелся зал высотой десять метров. Самое невероятное заключается в том, что в зале стояли танк (!) и самолет По-2. Последний в случае необходимости должен был взлететь по пойме реки Царица в сторону Волги. Танком, вероятно, предполагалось воспользоваться в случае внезапного появления противника в районе убежища. Появилось тайное убежище и в Ярославской области. В 20 км от областного центра, на территории санатория «Красный холм», был сооружен большой бункер, в котором среди обычных помещений и коридоров с железными дверями, по рассказам очевидцев, был даже зал с мраморными колоннами (11774).</w:t>
      </w:r>
    </w:p>
    <w:p w14:paraId="56A10CB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B72BCCC" w14:textId="77777777" w:rsidR="00A65CDA" w:rsidRPr="00722885" w:rsidRDefault="00A65CD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сентября 1942 г. «Особый объект № 74» был сдан в эксплуатацию. Общая площадь помещений, залегавших на глубине 36 м, составила около 1200 кв. м. Восемь кабинетов, предназначенных для самого высокого начальства, были отделаны дорогой фанерой с дубовыми накладками, карнизами и плинтусами. В бункере имелись две электростанции, автономная система воздухообеспечения, водопровод и канализация, была подведена связь. Защитно-герметичные двери гарантированно защищали от попаданий бомб и отравляющих газов. Еще 15 ноября 1941 в Горьком местный комитет обороны рассмотрел вопрос о передаче Центральной гостиницы на Верхневолжской набережной для нужд особого объекта. Именно здесь, в сотне метров от нижегородского Кремля, было решено построить секретный бункер для Сталина. Для работ были привлечены инженеры и рабочие московского метростроя под общим управлением местного НКВД. Затем горкомитет обороны принял решение передать под бомбо– и газоубежища весь комплекс зданий, примыкавших к гостинице (дома №№ 3, 4, 5, 6 и 7). В дальнейшем весь квартал от площади Советской до бывшего особняка купца Рукавишникова был огорожен высоким заборам, и лишь по постукиванию кирок и лопат да выезжающим из ворот грузовикам с грунтом нижегородцы могли догадываться о размахе ведущегося здесь строительства. (15721).</w:t>
      </w:r>
    </w:p>
    <w:p w14:paraId="7BC1CDE6" w14:textId="77777777" w:rsidR="00A65CDA" w:rsidRPr="00722885" w:rsidRDefault="00A65CDA" w:rsidP="00722885">
      <w:pPr>
        <w:spacing w:after="0" w:line="240" w:lineRule="auto"/>
        <w:jc w:val="both"/>
        <w:rPr>
          <w:rFonts w:ascii="Times New Roman" w:hAnsi="Times New Roman"/>
          <w:color w:val="000000" w:themeColor="text1"/>
          <w:sz w:val="16"/>
          <w:szCs w:val="16"/>
        </w:rPr>
      </w:pPr>
    </w:p>
    <w:p w14:paraId="5504F1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Между 17 и 23 сентября 1942 вышел Указ Президиума Верховного Совета СССР О переводе на положение мобилизованных рабочих, служащих и инженерно-технических работников в близких к фронту районах </w:t>
      </w:r>
    </w:p>
    <w:p w14:paraId="39A093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Установить, что все рабочие, служащие и инженерно-технические работники мужского и женского пола, работающие в государственных предприятиях и учреждениях в районах, близких к фронту, переводятся на положение мобилизованных и закрепляются за теми предприятиями и учреждениями, в которых они работают. В необходимых случаях указанные рабочие, служащие и инженерно-технические работники подлежат по решению Правительства обязательной эвакуации в организованном порядке... </w:t>
      </w:r>
    </w:p>
    <w:p w14:paraId="604F56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Семьи эвакуируемых рабочих, служащих и инженерно-технических работников подлежат эвакуации в районы, в которые переводится данное предприятие (учреждение). </w:t>
      </w:r>
    </w:p>
    <w:p w14:paraId="5EBB2A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Эвакуируемому рабочему, служащему и инженерно-техническому работнику выдавать подъемное пособие в размере среднемесячного заработка за последние 3 месяца, его жене — одну четверть и на каждого неработающего члена семьи — по одной восьмой заработка. Пособие выдается по приезду на новое место работы. Расходы по перевозке эвакуируемых рабочих, служащих и инженерно-технических работников и членов их семей, а также багажа в размере до 100 килограммов на главу семьи и до 40 килограммов на каждого члена семьи производить за счет государства. </w:t>
      </w:r>
    </w:p>
    <w:p w14:paraId="4D4A98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Самовольный уход с предприятий и учреждений рабочих, служащих и инженерно-технических работников, переведенных на положение мобилизованных, рассматривать как дезертирство, и лиц, виновных в самовольном уходе (дезертирстве), карать, согласно Указу Президиума Верховного Совета СССР от 26 декабря 1941 г., тюремным заключением на срок от 5 до 8 лет. </w:t>
      </w:r>
    </w:p>
    <w:p w14:paraId="41D333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Установить, что дела о лицах, виновных в самовольном уходе (ст. 6), а также в уклонении от обязательной эвакуации, рассматриваются военными трибуналами. </w:t>
      </w:r>
    </w:p>
    <w:p w14:paraId="5E6F6E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Руководитель предприятия (учреждения), не обеспечивший организованной и полной эвакуации рабочих, служащих и инженерно-технических работников, привлекается к уголовной ответственности и подвергается по приговору военного трибунала тюремному заключению на срок от 5 до 10 лет (11652).</w:t>
      </w:r>
    </w:p>
    <w:p w14:paraId="73F73F2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F3F228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641D2B1A" w14:textId="77777777" w:rsidR="00090C9B" w:rsidRPr="00722885" w:rsidRDefault="00090C9B" w:rsidP="00722885">
      <w:pPr>
        <w:pStyle w:val="Iauiue"/>
        <w:jc w:val="both"/>
        <w:rPr>
          <w:iCs/>
          <w:color w:val="000000" w:themeColor="text1"/>
          <w:sz w:val="16"/>
          <w:szCs w:val="16"/>
        </w:rPr>
      </w:pPr>
    </w:p>
    <w:p w14:paraId="4E0B60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сентября 1942 У.Черчиль встретился с И.В.С. в Москве (2100).</w:t>
      </w:r>
    </w:p>
    <w:p w14:paraId="2594638A" w14:textId="77777777" w:rsidR="00090C9B" w:rsidRPr="00722885" w:rsidRDefault="00090C9B" w:rsidP="00722885">
      <w:pPr>
        <w:pStyle w:val="Iauiue"/>
        <w:jc w:val="both"/>
        <w:rPr>
          <w:color w:val="000000" w:themeColor="text1"/>
          <w:sz w:val="16"/>
          <w:szCs w:val="16"/>
        </w:rPr>
      </w:pPr>
    </w:p>
    <w:p w14:paraId="48BB5D41"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56F56253" w14:textId="77777777" w:rsidR="00090C9B" w:rsidRPr="00722885" w:rsidRDefault="00090C9B" w:rsidP="00722885">
      <w:pPr>
        <w:pStyle w:val="Iauiue"/>
        <w:jc w:val="both"/>
        <w:rPr>
          <w:iCs/>
          <w:color w:val="000000" w:themeColor="text1"/>
          <w:sz w:val="16"/>
          <w:szCs w:val="16"/>
          <w:lang w:val="en-US"/>
        </w:rPr>
      </w:pPr>
    </w:p>
    <w:p w14:paraId="1EC9F095"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17, 1942 - Col. Leslie Richard Groves is notified at 10:30 a.m. by Gen. Brehon Somervell that his assignment overseas has been cancelled and that he will take another assignment - command of the Manhattan Engineer District. Groves' previous assignment had required overseeing ten billion dollars worth of construction projects, including the construction of the Pentagon (1039).</w:t>
      </w:r>
    </w:p>
    <w:p w14:paraId="441F4338" w14:textId="77777777" w:rsidR="00090C9B" w:rsidRPr="00722885" w:rsidRDefault="00090C9B" w:rsidP="00722885">
      <w:pPr>
        <w:pStyle w:val="Iauiue"/>
        <w:jc w:val="both"/>
        <w:rPr>
          <w:color w:val="000000" w:themeColor="text1"/>
          <w:sz w:val="16"/>
          <w:szCs w:val="16"/>
          <w:lang w:val="en-US"/>
        </w:rPr>
      </w:pPr>
    </w:p>
    <w:p w14:paraId="7E6292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сентября 1942 г Гровсу сообщили, что он возглавит Манхеттенский проект (1039).</w:t>
      </w:r>
    </w:p>
    <w:p w14:paraId="26ABC1A1" w14:textId="77777777" w:rsidR="00090C9B" w:rsidRPr="00722885" w:rsidRDefault="00090C9B" w:rsidP="00722885">
      <w:pPr>
        <w:pStyle w:val="Iauiue"/>
        <w:jc w:val="both"/>
        <w:rPr>
          <w:color w:val="000000" w:themeColor="text1"/>
          <w:sz w:val="16"/>
          <w:szCs w:val="16"/>
        </w:rPr>
      </w:pPr>
    </w:p>
    <w:p w14:paraId="262FF90F"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17 1942 Rationoning of farm machinery begins in the US (1242).</w:t>
      </w:r>
    </w:p>
    <w:p w14:paraId="19727770" w14:textId="77777777" w:rsidR="00090C9B" w:rsidRPr="00722885" w:rsidRDefault="00090C9B" w:rsidP="00722885">
      <w:pPr>
        <w:pStyle w:val="Iauiue"/>
        <w:jc w:val="both"/>
        <w:rPr>
          <w:color w:val="000000" w:themeColor="text1"/>
          <w:sz w:val="16"/>
          <w:szCs w:val="16"/>
          <w:lang w:val="en-US"/>
        </w:rPr>
      </w:pPr>
    </w:p>
    <w:p w14:paraId="575CC5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сентября 1942 в США началась продажа по карточкам сельскохозяйственных машин (1242).</w:t>
      </w:r>
    </w:p>
    <w:p w14:paraId="1D24BE53" w14:textId="77777777" w:rsidR="00090C9B" w:rsidRPr="00722885" w:rsidRDefault="00090C9B" w:rsidP="00722885">
      <w:pPr>
        <w:pStyle w:val="Iauiue"/>
        <w:jc w:val="both"/>
        <w:rPr>
          <w:color w:val="000000" w:themeColor="text1"/>
          <w:sz w:val="16"/>
          <w:szCs w:val="16"/>
        </w:rPr>
      </w:pPr>
    </w:p>
    <w:p w14:paraId="25A6453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6B9A791" w14:textId="77777777" w:rsidR="00090C9B" w:rsidRPr="00722885" w:rsidRDefault="00090C9B" w:rsidP="00722885">
      <w:pPr>
        <w:pStyle w:val="Iauiue"/>
        <w:jc w:val="both"/>
        <w:rPr>
          <w:iCs/>
          <w:color w:val="000000" w:themeColor="text1"/>
          <w:sz w:val="16"/>
          <w:szCs w:val="16"/>
        </w:rPr>
      </w:pPr>
    </w:p>
    <w:p w14:paraId="4B5E510C" w14:textId="77777777" w:rsidR="00BB2084" w:rsidRPr="00722885" w:rsidRDefault="00BB208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18 сентября 1942 по инициативе помощника начальника 1-го отдела УОС ГУ ИАС ВВС инженер-капитана Бобровского последовал доклад начальника управления бригинженера Лешукова по вопросу войсковых испытаний Ил-2 АМ-38 с кабиной воздушного стрелка на имя главного инженера ВВС КА генерал-лейтенанта Репина. Судя по переписке, самолеты Ил-2 АМ-38 с кабиной воздушного стрелка планировалось после сокращенных заводских испытаний сразу поставить на поток и направить в строевые части для производства войсковых испытаний.</w:t>
      </w:r>
    </w:p>
    <w:p w14:paraId="7C581E6F" w14:textId="77777777" w:rsidR="00BB2084" w:rsidRPr="00722885" w:rsidRDefault="00BB208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Спустя сутки в адрес начальника НИИ ВВС генерал-майора Лосюкова ушло распо</w:t>
      </w:r>
      <w:r w:rsidRPr="00722885">
        <w:rPr>
          <w:rFonts w:ascii="Times New Roman" w:hAnsi="Times New Roman" w:cs="Times New Roman"/>
          <w:color w:val="000000" w:themeColor="text1"/>
          <w:sz w:val="16"/>
          <w:szCs w:val="16"/>
        </w:rPr>
        <w:softHyphen/>
        <w:t>ряжение Репина «принять на испытания с завода № 30 самолеты Ил-2 с АМ-38 в двухместном варианте и провести их в кратчайший срок с целью внесения воз</w:t>
      </w:r>
      <w:r w:rsidRPr="00722885">
        <w:rPr>
          <w:rFonts w:ascii="Times New Roman" w:hAnsi="Times New Roman" w:cs="Times New Roman"/>
          <w:color w:val="000000" w:themeColor="text1"/>
          <w:sz w:val="16"/>
          <w:szCs w:val="16"/>
        </w:rPr>
        <w:softHyphen/>
        <w:t>можных изменений в изготовлявшуюся войсковую серию этих самолетов» (19111).</w:t>
      </w:r>
    </w:p>
    <w:p w14:paraId="5B9489CD" w14:textId="77777777" w:rsidR="00BB2084" w:rsidRPr="00722885" w:rsidRDefault="00BB208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646B0357" w14:textId="77777777" w:rsidR="000E5750" w:rsidRPr="00722885" w:rsidRDefault="000E5750" w:rsidP="00722885">
      <w:pPr>
        <w:pStyle w:val="95"/>
        <w:shd w:val="clear" w:color="auto" w:fill="auto"/>
        <w:spacing w:after="0" w:line="240" w:lineRule="auto"/>
        <w:ind w:firstLine="0"/>
        <w:jc w:val="both"/>
        <w:rPr>
          <w:rStyle w:val="aff6"/>
          <w:rFonts w:ascii="Times New Roman" w:hAnsi="Times New Roman" w:cs="Times New Roman"/>
          <w:i w:val="0"/>
          <w:iCs w:val="0"/>
          <w:color w:val="0070C0"/>
        </w:rPr>
      </w:pPr>
      <w:r w:rsidRPr="00722885">
        <w:rPr>
          <w:color w:val="0070C0"/>
          <w:sz w:val="16"/>
          <w:szCs w:val="16"/>
        </w:rPr>
        <w:t>18 сентября 1942 последовал доклад начальника управления бригинженера Лешукова на имя главного инженера ВВС КА генерал-лейтенанта Репина о том, что испытания двухместного Ил-2 не планируется, а планировалось после сокращен</w:t>
      </w:r>
      <w:r w:rsidRPr="00722885">
        <w:rPr>
          <w:color w:val="0070C0"/>
          <w:sz w:val="16"/>
          <w:szCs w:val="16"/>
        </w:rPr>
        <w:softHyphen/>
        <w:t>ных заводских испытаний сразу поставить на поток и направить в строевые части для проведения войсковых испытаний. Спустя сутки в адрес начальника НИИ ВВС генерал-майора Лосюкова ушло распоряжение Репина</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«при</w:t>
      </w:r>
      <w:r w:rsidRPr="00722885">
        <w:rPr>
          <w:rStyle w:val="aff6"/>
          <w:rFonts w:ascii="Times New Roman" w:hAnsi="Times New Roman" w:cs="Times New Roman"/>
          <w:i w:val="0"/>
          <w:iCs w:val="0"/>
          <w:color w:val="0070C0"/>
        </w:rPr>
        <w:softHyphen/>
        <w:t>нять на испытания с завода №30 самолеты Ил-2 с АМ-38 в двухместном варианте и про</w:t>
      </w:r>
      <w:r w:rsidRPr="00722885">
        <w:rPr>
          <w:rStyle w:val="aff6"/>
          <w:rFonts w:ascii="Times New Roman" w:hAnsi="Times New Roman" w:cs="Times New Roman"/>
          <w:i w:val="0"/>
          <w:iCs w:val="0"/>
          <w:color w:val="0070C0"/>
        </w:rPr>
        <w:softHyphen/>
        <w:t>вести их в кратчайший срок с целью внесения возможных изменений в изготовлявшуюся вой</w:t>
      </w:r>
      <w:r w:rsidRPr="00722885">
        <w:rPr>
          <w:rStyle w:val="aff6"/>
          <w:rFonts w:ascii="Times New Roman" w:hAnsi="Times New Roman" w:cs="Times New Roman"/>
          <w:i w:val="0"/>
          <w:iCs w:val="0"/>
          <w:color w:val="0070C0"/>
        </w:rPr>
        <w:softHyphen/>
        <w:t>сковую серию этих самолетов» (19877).</w:t>
      </w:r>
    </w:p>
    <w:p w14:paraId="786C0109" w14:textId="77777777" w:rsidR="000E5750" w:rsidRPr="00722885" w:rsidRDefault="000E5750" w:rsidP="00722885">
      <w:pPr>
        <w:pStyle w:val="95"/>
        <w:shd w:val="clear" w:color="auto" w:fill="auto"/>
        <w:spacing w:after="0" w:line="240" w:lineRule="auto"/>
        <w:ind w:firstLine="0"/>
        <w:jc w:val="both"/>
        <w:rPr>
          <w:color w:val="0070C0"/>
          <w:sz w:val="16"/>
          <w:szCs w:val="16"/>
        </w:rPr>
      </w:pPr>
    </w:p>
    <w:p w14:paraId="6C7752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сентября 1942 Кузнецов писал Наркому стройматериалов Соснину письмо N 1658-12:</w:t>
      </w:r>
    </w:p>
    <w:p w14:paraId="38A572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"Практическим назначением самолета штурмовика Ил-2 требует наилучшего обзора земных целей, что при существующей конструкции бронестекол, составляемых из отдельных таблеток, становится затруднительным.</w:t>
      </w:r>
    </w:p>
    <w:p w14:paraId="3E13B1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Указывая на это обстоятельство ГК самолета Ил-2 С.В.И. обратился в Правительство с просьбой о разрешении замены прозрачной брони из составных бронестекол - цельными.</w:t>
      </w:r>
    </w:p>
    <w:p w14:paraId="149A22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Настоящим прошу Ваших указаний директору завода "Моховые горы" о срочном изготовлении опытной партии сталинита по прилагаемым чертежам в количестве 100 комплектов (1667,62).</w:t>
      </w:r>
    </w:p>
    <w:p w14:paraId="783AC32C" w14:textId="77777777" w:rsidR="00090C9B" w:rsidRPr="00722885" w:rsidRDefault="00090C9B" w:rsidP="00722885">
      <w:pPr>
        <w:pStyle w:val="Iauiue"/>
        <w:jc w:val="both"/>
        <w:rPr>
          <w:color w:val="000000" w:themeColor="text1"/>
          <w:sz w:val="16"/>
          <w:szCs w:val="16"/>
        </w:rPr>
      </w:pPr>
    </w:p>
    <w:p w14:paraId="015E70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сентября 1942 Нач. ЦИАМ Поликовский писал А.И.Ш. справку N 1138с</w:t>
      </w:r>
    </w:p>
    <w:p w14:paraId="1F0D33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"Справка о разработке глушителей-пламягасителей конструкции ЦИАМ</w:t>
      </w:r>
    </w:p>
    <w:p w14:paraId="588D51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ЦИАМ разработаны глушители-плямягасители к М-88 на самолет Ил-4 (ГАМ-9) и к М-62ИР на самолет Ли-2 (ГАМ-10).</w:t>
      </w:r>
    </w:p>
    <w:p w14:paraId="408446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Глушители успешно прошли официальные испытания в НИИ ВВС и эксплуатационные испытания в частях АДД.</w:t>
      </w:r>
    </w:p>
    <w:p w14:paraId="2D90EE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отзывам летного состава и командования частей АДД, самолеты, оборудованные глушителями-пламягасителями, приобретают существенные технические преимущества. Эти самолеты не обнаруживаются в воздухе вражескими ночными истребителями. В связи с полным гашением пламени выхлопа моторов и уменьшением шума моторов, самолеты, оборудованные ГАМ значительно труднее обнаруживаются постами наблюдения зенитных баз противника. Штурманы самолетов, оборудованных ГАМ, имеют возможность без помех просматривать цель, т.к. исключена возможность ослепления их от пламени выхлопа мотора.</w:t>
      </w:r>
    </w:p>
    <w:p w14:paraId="2C1484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Наряду с этими преимуществами, в результате эксплуатации в боевых условиях, установлено, что применение глушителей не вызывает ухудшения технических качеств самолета, оказывает влияния на взлет, набор высоты, скорость, грузоподъемность и т.п.</w:t>
      </w:r>
    </w:p>
    <w:p w14:paraId="2A18F2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Применение глушителей никаких осложнений и неудобств в эксплуатации самолетов не вызывает.</w:t>
      </w:r>
    </w:p>
    <w:p w14:paraId="1A20E3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решению... Дементьева, глушителями ГАМ оборудуются все самолеты Ил-4 и Ли-2, изготовляемые заводами для АДД и находящимися в эксплуатации в частях.</w:t>
      </w:r>
    </w:p>
    <w:p w14:paraId="7ABBFD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настоящее время организовано серийное производства ГАМ-9 и ГАМ-10." (1783,145).</w:t>
      </w:r>
    </w:p>
    <w:p w14:paraId="190C0C5C" w14:textId="77777777" w:rsidR="00090C9B" w:rsidRPr="00722885" w:rsidRDefault="00090C9B" w:rsidP="00722885">
      <w:pPr>
        <w:pStyle w:val="Iauiue"/>
        <w:jc w:val="both"/>
        <w:rPr>
          <w:color w:val="000000" w:themeColor="text1"/>
          <w:sz w:val="16"/>
          <w:szCs w:val="16"/>
        </w:rPr>
      </w:pPr>
    </w:p>
    <w:p w14:paraId="7E42EE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18 сентября по 2 октября 1942 в 3ВА согласно письма Нач. инспекции ВВС КА п В.И.Сталина зам. НКО г-ла А.А.Новикову и НКАП А.И.Ш. были проведены войсковые испытания Ту-2. Полеты производили 3 самолетами с аэродрома Мигалово. Сделано 25 боевых вылетов с налетом 65 час. Боевые вылеты выполнялись один раз в сутки. Радиус полета - 180-500 км, высота 1600-4800 м, скорость про прибору - 360-380 км/час, бомбовая нагрузка - 1000, 1500, 2000 кг в зависимости от характера цели. Сброшено: ФАБ-1000 - 15; ФАБ-500 - 4; ФАБ-250 - 64; ФАБ-100 - 60 и ЗАБ-100 - 9.</w:t>
      </w:r>
    </w:p>
    <w:p w14:paraId="68C39B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процессе полетов встреч с истребителями противника - не было. Обстрелу ЗА подвергались почти в каждом полете. Самолеты имеют несколько пробоин и был случай выхода мотора из строя, л пришел на одном м и нормально произвел посадку.</w:t>
      </w:r>
    </w:p>
    <w:p w14:paraId="3343C8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Летный состав о самолете отзывается хорошо. По сравнению с е-2 ту-2 имеет ряд положительных качеств...Увеличена бомбовая нагрузка, за счет горючего он может брать до 3000 кг. Хорошее вооружение...скорость горизонтального полета - больше, чем у е-2 примерно на 100 км/час 9470-480 по прибору) на высоте 800-1000 м.</w:t>
      </w:r>
    </w:p>
    <w:p w14:paraId="4A6122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хорошо управляем, прост в технике пилотирования и легко пилотируется с одним неработающим мотором. На посадке допускает несколько высокое выравнивание и не валится на крыло как Пе-2.</w:t>
      </w:r>
    </w:p>
    <w:p w14:paraId="0B6B0A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Недостатком Ту-2 является трудность хождения в строю по причине тугого хода секторов газа (причина неустранима до смены карбюратора на этом моторе). После каждого полета на самолете обнаруживались неисправности, особенно в гидро и маслосистеме, повторных вылетов не производилось. Для эксплуатации ту-2 требуется аэродром больших размеров, т.к. разбег при взлете с бомбовой нагрузкой в 2000 кг достигает 1100 м и пробег в пределах 600-700 м.</w:t>
      </w:r>
    </w:p>
    <w:p w14:paraId="247F8F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полетов по проведению войсковых испытаний привлекались экипажи из НИИ ВВС (к Чернышенко - выполнил 6) и 128 бап (м Лаухин - 2, ст.л. Свиридов и Паршин - по 7 и 3 и л Мусинский - 7.” (4407,3).</w:t>
      </w:r>
    </w:p>
    <w:p w14:paraId="4CACF1ED" w14:textId="77777777" w:rsidR="00090C9B" w:rsidRPr="00722885" w:rsidRDefault="00090C9B" w:rsidP="00722885">
      <w:pPr>
        <w:pStyle w:val="Iauiue"/>
        <w:jc w:val="both"/>
        <w:rPr>
          <w:color w:val="000000" w:themeColor="text1"/>
          <w:sz w:val="16"/>
          <w:szCs w:val="16"/>
        </w:rPr>
      </w:pPr>
    </w:p>
    <w:p w14:paraId="21CA01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18 сентября по 2 октября 1942 г., согласно письма начальника инспекции ВВС Красной Армии при заместителе наркома обороны СССР полковника В.И. Сталина наркому авиационной промышленности А.И. Шахурину от 2 октября 1942 года, в 3-й Воздушной армии проведены войсковые испытания Ту-2. Полеты производились днем тремя самолетами с аэродрома Мигалово (Тверь. - Прим. авт.). Сделано 25 боевых вылетов с общим налетом 65 часов. Боевые вылеты выполнялись один раз в сутки. Радиус полета 180-500 км, высота 1600-4800 м, скорость по прибору 360-380 км/ч, бомбовая нагрузка 1000, 1500, 2000 кг (в зависимости от характера цели). За период полетов сброшено: ФАБ-1000 - 15 шт., ФАБ-500 - 4 шт., ФАБ-250 - 64 шт., ФАБ-100 60 шт. и ЗАБ-100 - 9 шт.</w:t>
      </w:r>
    </w:p>
    <w:p w14:paraId="5DB943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процессе полетов встреч с истребителями противника не было. Обстрелу ЗА (зенитной артиллерии - прим. авт.) подвергались почти в каждом полете. Самолеты имеют несколько пробоин и был случай вывода из строя мотора, летчик пришел на одном моторе и нормально произвел посадку.</w:t>
      </w:r>
    </w:p>
    <w:p w14:paraId="27522F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состав о самолете отзывается хорошо. По сравнению с Пе-2 Ту-2 имеет ряд положительных качеств. Основные из них следующие:</w:t>
      </w:r>
    </w:p>
    <w:p w14:paraId="16FE80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Увеличена бомбовая нагрузка, за счет горючего он может брать до 3000 кг.</w:t>
      </w:r>
    </w:p>
    <w:p w14:paraId="3C95F2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Хорошее вооружение: имеет - две пушки, пару БС и три LLIKAC.</w:t>
      </w:r>
    </w:p>
    <w:p w14:paraId="5F94F1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Скорость горизонтального полета больше, чем у самолета Пе-2, примерно на 100 км (470-480 км/ч по прибору на высоте 800-1000 м).</w:t>
      </w:r>
    </w:p>
    <w:p w14:paraId="700069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Самолет хорошо управляем, прост в технике пилотирования.</w:t>
      </w:r>
    </w:p>
    <w:p w14:paraId="5ACCE2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Легко пилотируется с одним неработающим мотором.</w:t>
      </w:r>
    </w:p>
    <w:p w14:paraId="011999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На посадке допускает несколько высокое выравнивание и не валится на крыло как Пе-2.</w:t>
      </w:r>
    </w:p>
    <w:p w14:paraId="4E1DA1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Недостатком Ту-2 является.</w:t>
      </w:r>
    </w:p>
    <w:p w14:paraId="61D09E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Трудность хождения в строю по причине тугого хода секторов газа (причина неустранима до смены карбюраторов на этом моторе).</w:t>
      </w:r>
    </w:p>
    <w:p w14:paraId="1B4C38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После каждого полета на самолете обнаруживались неисправности, особенно в гидро- и маслосистеме, повторных вылетов не производилось.</w:t>
      </w:r>
    </w:p>
    <w:p w14:paraId="561146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Для эксплуатации Ту-2 требуется аэродром больших размеров, так как разбег при взлете с бомбовой нагрузкой в 2000 кг достигает 1100 м и пробег - в пределах 600-700 м.</w:t>
      </w:r>
    </w:p>
    <w:p w14:paraId="6FC72B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полетов по проведению войсковых испытаний привлекались экипажи из НИИ ВВС КА. Капитан Чернышенко - выполнил шесть боевых вылетов и экипажи 128-го бап (базировавшегося на аэродроме Мигалово. - Прим.авт.), которые выполнили: майор Лаухин - два боевых вылета, старший лейтенант Свиридов - семь, старший лейтенант Паршин - три, и лейтенант Мусин- ский - семь боевых вылетов" (12035).</w:t>
      </w:r>
    </w:p>
    <w:p w14:paraId="46E9E76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65FC7B8" w14:textId="77777777" w:rsidR="00227E16" w:rsidRPr="00722885" w:rsidRDefault="00227E1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18 сентября 1942 была собрана первая пушка, а 7 ноября — послед</w:t>
      </w:r>
      <w:r w:rsidRPr="00722885">
        <w:rPr>
          <w:color w:val="000000" w:themeColor="text1"/>
          <w:sz w:val="16"/>
          <w:szCs w:val="16"/>
        </w:rPr>
        <w:softHyphen/>
        <w:t>няя пушка партии. Как докладывал начальник 1-го отдела Управления заказов вооружения и боепри</w:t>
      </w:r>
      <w:r w:rsidRPr="00722885">
        <w:rPr>
          <w:color w:val="000000" w:themeColor="text1"/>
          <w:sz w:val="16"/>
          <w:szCs w:val="16"/>
        </w:rPr>
        <w:softHyphen/>
        <w:t>пасов ГУЗ ВВС инженер-полковник Минин, военной приемкой в ноябре 1942 г. было принято 20 кры</w:t>
      </w:r>
      <w:r w:rsidRPr="00722885">
        <w:rPr>
          <w:color w:val="000000" w:themeColor="text1"/>
          <w:sz w:val="16"/>
          <w:szCs w:val="16"/>
        </w:rPr>
        <w:softHyphen/>
        <w:t>льевых и 16 моторных пушек 11П. Остальные 4 мо</w:t>
      </w:r>
      <w:r w:rsidRPr="00722885">
        <w:rPr>
          <w:color w:val="000000" w:themeColor="text1"/>
          <w:sz w:val="16"/>
          <w:szCs w:val="16"/>
        </w:rPr>
        <w:softHyphen/>
        <w:t>торные пушки были сданы по бою в следующем месяце. Все пушки считались опытными (17500).</w:t>
      </w:r>
    </w:p>
    <w:p w14:paraId="737D9B22" w14:textId="77777777" w:rsidR="00227E16" w:rsidRPr="00722885" w:rsidRDefault="00227E16" w:rsidP="00722885">
      <w:pPr>
        <w:spacing w:after="0" w:line="240" w:lineRule="auto"/>
        <w:jc w:val="both"/>
        <w:rPr>
          <w:rFonts w:ascii="Times New Roman" w:hAnsi="Times New Roman"/>
          <w:color w:val="000000" w:themeColor="text1"/>
          <w:sz w:val="16"/>
          <w:szCs w:val="16"/>
        </w:rPr>
      </w:pPr>
    </w:p>
    <w:p w14:paraId="34B557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сентября 1942 было одобрено для эксплуатации главным конструктором Як-1 А.С.Я. лыжное шасси с новым кабаном и пружинным амортизатором конструкции Жохова. К этому времени острота проблемы с обеспечением батальонов аэродромного обслуживания автотранспортом и топливом спала и командование ВВС, наученное горьким опытом применения лыж на истребителях, значительно ухудшавших их боевые качества, приняло решение лыжи снять, а аэродромы в зимнее время укатывать (12048).</w:t>
      </w:r>
    </w:p>
    <w:p w14:paraId="2BEB600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FCF0C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сентября 1942 вышел приказ НКАП N 711 "О пересмотре и присвоении классов ли НКАП"</w:t>
      </w:r>
    </w:p>
    <w:p w14:paraId="45248F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Из 3 во 2 - А.Н.Гринчик (ЛИИ), В.Б.Иншанов (21), В.К.Коккинаки (30);</w:t>
      </w:r>
    </w:p>
    <w:p w14:paraId="26B042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Из 4 в 3 - М.Г.Иванов (21), Г.М.Хрустов (153), И.И.Шелест (ЛИИ);</w:t>
      </w:r>
    </w:p>
    <w:p w14:paraId="5304E4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Сохранили:</w:t>
      </w:r>
    </w:p>
    <w:p w14:paraId="7DC790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 Н.В.Гаврилов (ЛИИ), М.М.Гаранину (30)...В.В.Шевченко (482);</w:t>
      </w:r>
    </w:p>
    <w:p w14:paraId="6C0D00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 М.К.Байкалов (ЛИИ), Г.А.Мищенко (21).</w:t>
      </w:r>
    </w:p>
    <w:p w14:paraId="49E720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Присвоили:</w:t>
      </w:r>
    </w:p>
    <w:p w14:paraId="42CE70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 А.Ефимову (ЛИИ), Г.Н.Уляхину (30)...(907,5).</w:t>
      </w:r>
    </w:p>
    <w:p w14:paraId="04AD9345" w14:textId="77777777" w:rsidR="00090C9B" w:rsidRPr="00722885" w:rsidRDefault="00090C9B" w:rsidP="00722885">
      <w:pPr>
        <w:pStyle w:val="Iauiue"/>
        <w:jc w:val="both"/>
        <w:rPr>
          <w:color w:val="000000" w:themeColor="text1"/>
          <w:sz w:val="16"/>
          <w:szCs w:val="16"/>
        </w:rPr>
      </w:pPr>
    </w:p>
    <w:p w14:paraId="11F76A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сентября 1942 вышел приказ НКАП № 709с:</w:t>
      </w:r>
    </w:p>
    <w:p w14:paraId="5BC8FE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 присвоении номера з-ду № 1 Оргавиапрома</w:t>
      </w:r>
    </w:p>
    <w:p w14:paraId="48E417DA" w14:textId="77777777" w:rsidR="00090C9B" w:rsidRPr="00722885" w:rsidRDefault="00090C9B" w:rsidP="00722885">
      <w:pPr>
        <w:pStyle w:val="Iauiue"/>
        <w:numPr>
          <w:ilvl w:val="0"/>
          <w:numId w:val="11"/>
        </w:numPr>
        <w:ind w:left="0" w:firstLine="0"/>
        <w:jc w:val="both"/>
        <w:rPr>
          <w:color w:val="000000" w:themeColor="text1"/>
          <w:sz w:val="16"/>
          <w:szCs w:val="16"/>
        </w:rPr>
      </w:pPr>
      <w:r w:rsidRPr="00722885">
        <w:rPr>
          <w:color w:val="000000" w:themeColor="text1"/>
          <w:sz w:val="16"/>
          <w:szCs w:val="16"/>
        </w:rPr>
        <w:t>1-му з-ду Оргавиапром в г. Куйбышеве присвоить № 165,</w:t>
      </w:r>
    </w:p>
    <w:p w14:paraId="7173D910" w14:textId="77777777" w:rsidR="00090C9B" w:rsidRPr="00722885" w:rsidRDefault="00090C9B" w:rsidP="00722885">
      <w:pPr>
        <w:pStyle w:val="Iauiue"/>
        <w:numPr>
          <w:ilvl w:val="0"/>
          <w:numId w:val="11"/>
        </w:numPr>
        <w:ind w:left="0" w:firstLine="0"/>
        <w:jc w:val="both"/>
        <w:rPr>
          <w:color w:val="000000" w:themeColor="text1"/>
          <w:sz w:val="16"/>
          <w:szCs w:val="16"/>
        </w:rPr>
      </w:pPr>
      <w:r w:rsidRPr="00722885">
        <w:rPr>
          <w:color w:val="000000" w:themeColor="text1"/>
          <w:sz w:val="16"/>
          <w:szCs w:val="16"/>
        </w:rPr>
        <w:t>З-ду № 165 (б. З-д № 1 Оргавиапрома) оставить в подчинении треста Оргавиапром.</w:t>
      </w:r>
    </w:p>
    <w:p w14:paraId="045B36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Шахурин (1591, 130).</w:t>
      </w:r>
    </w:p>
    <w:p w14:paraId="3A58A12F" w14:textId="77777777" w:rsidR="00090C9B" w:rsidRPr="00722885" w:rsidRDefault="00090C9B" w:rsidP="00722885">
      <w:pPr>
        <w:pStyle w:val="Iauiue"/>
        <w:jc w:val="both"/>
        <w:rPr>
          <w:color w:val="000000" w:themeColor="text1"/>
          <w:sz w:val="16"/>
          <w:szCs w:val="16"/>
        </w:rPr>
      </w:pPr>
    </w:p>
    <w:p w14:paraId="752C60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18 сентября 1942 года Приказом НКАП за № 709 инструментальный завод № 1 Оргавиапрома переименован в завод № 165. На основании приказа НКАП за № 459 от 3 июля 1943 года завод № 165 был реэвакуирован в Москву на площади завода № 453. С апреля 1946 года заводу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w:t>
      </w:r>
      <w:r w:rsidRPr="00722885">
        <w:rPr>
          <w:color w:val="000000" w:themeColor="text1"/>
          <w:sz w:val="16"/>
          <w:szCs w:val="16"/>
        </w:rPr>
        <w:lastRenderedPageBreak/>
        <w:t>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428A01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436CFB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46F222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520F30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Москва, Фабричная линия, д. 11, п/я 2382 (9842).</w:t>
      </w:r>
    </w:p>
    <w:p w14:paraId="2BB4D73F" w14:textId="77777777" w:rsidR="00090C9B" w:rsidRPr="00722885" w:rsidRDefault="00090C9B" w:rsidP="00722885">
      <w:pPr>
        <w:pStyle w:val="Iauiue"/>
        <w:jc w:val="both"/>
        <w:rPr>
          <w:color w:val="000000" w:themeColor="text1"/>
          <w:sz w:val="16"/>
          <w:szCs w:val="16"/>
        </w:rPr>
      </w:pPr>
    </w:p>
    <w:p w14:paraId="53B24D2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сентября 1942 г. по приказу НКАП № 709с Инструментальный завод № 1 ОАП НКАП в Куйбышеве был переименован в завод № 165 НКАП в ведении Управления снабжения.</w:t>
      </w:r>
    </w:p>
    <w:p w14:paraId="7A468C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459с от 31.07.1943 г. завод № 453 </w:t>
      </w:r>
      <w:r w:rsidRPr="00722885">
        <w:rPr>
          <w:rFonts w:ascii="Times New Roman" w:hAnsi="Times New Roman"/>
          <w:color w:val="000000" w:themeColor="text1"/>
          <w:sz w:val="16"/>
          <w:szCs w:val="16"/>
          <w:lang w:val="en-US"/>
        </w:rPr>
        <w:t>HKAII</w:t>
      </w:r>
      <w:r w:rsidRPr="00722885">
        <w:rPr>
          <w:rFonts w:ascii="Times New Roman" w:hAnsi="Times New Roman"/>
          <w:color w:val="000000" w:themeColor="text1"/>
          <w:sz w:val="16"/>
          <w:szCs w:val="16"/>
        </w:rPr>
        <w:t xml:space="preserve"> (Тушино) реорганизован в филиал завода № 165 ОАП НКАГ1. На нем началась организация производства специнструмента и приспособлений. С завода № 165 из Куйбышева туда для укрепления производства переведена группа рабочих и ИТР (120 чел.). В том же году завод № 165 НКАП переведен на площадку филиала в Тушино.</w:t>
      </w:r>
    </w:p>
    <w:p w14:paraId="7F8F11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Производство лафетов для пушки «ВЯ». В 07.1943 г. работы переданы на заводы № 481 и № 454 НКАП. В 05.1944 г. заводу поручено изготовление опытной серии из 5 ТРД С-18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Люльки. В 06.1944 г. заводу поручены работы по изготовлению приспособлений для производства моторов для завода № 466 НКАП, в 08.1944 г.- оказать помощь в изготовлении частей опытного ПуВРД конструкции В.Н. Челомея.</w:t>
      </w:r>
    </w:p>
    <w:p w14:paraId="2EA9C5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377с от 2.06.1944 г. завод передан из ОАП в Управление оборудования НКАП.</w:t>
      </w:r>
    </w:p>
    <w:p w14:paraId="421620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705сс от 29.12.1944 г. на заводе началась организация производства пяти опытных образцов ТРД С-18 конструкции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Люльки. Для этого на завод откомандирована группа конструкторов во главе с зам. гл. конструктора Луссом.</w:t>
      </w:r>
    </w:p>
    <w:p w14:paraId="65E84A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1B849E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49CE84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1950 г. двигателям ОКБ присвоено наименование «АЛ».</w:t>
      </w:r>
    </w:p>
    <w:p w14:paraId="12BC5A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Решением СМ СССР от 06.1950 г. ОКБ выдано задание на создание ТРД АЛ-5.</w:t>
      </w:r>
    </w:p>
    <w:p w14:paraId="5EFB77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ПСМ № 355-161сс от 2.03.1954 г. начата разработка АЛ-7.</w:t>
      </w:r>
    </w:p>
    <w:p w14:paraId="7028F5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6E5317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04C85D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15BA78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1965 г. КБ переехало в новое здание.</w:t>
      </w:r>
    </w:p>
    <w:p w14:paraId="2DAD34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68B356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1960-е  г. разрабатывался воздушно-водородный двигатель </w:t>
      </w:r>
      <w:r w:rsidRPr="00722885">
        <w:rPr>
          <w:rFonts w:ascii="Times New Roman" w:hAnsi="Times New Roman"/>
          <w:color w:val="000000" w:themeColor="text1"/>
          <w:sz w:val="16"/>
          <w:szCs w:val="16"/>
          <w:lang w:val="en-US"/>
        </w:rPr>
        <w:t>AJI</w:t>
      </w:r>
      <w:r w:rsidRPr="00722885">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722885">
        <w:rPr>
          <w:rFonts w:ascii="Times New Roman" w:hAnsi="Times New Roman"/>
          <w:color w:val="000000" w:themeColor="text1"/>
          <w:sz w:val="16"/>
          <w:szCs w:val="16"/>
          <w:lang w:val="en-US"/>
        </w:rPr>
        <w:t>AJI</w:t>
      </w:r>
      <w:r w:rsidRPr="00722885">
        <w:rPr>
          <w:rFonts w:ascii="Times New Roman" w:hAnsi="Times New Roman"/>
          <w:color w:val="000000" w:themeColor="text1"/>
          <w:sz w:val="16"/>
          <w:szCs w:val="16"/>
        </w:rPr>
        <w:t>-31.</w:t>
      </w:r>
    </w:p>
    <w:p w14:paraId="42FCF8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7DC9A0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722885">
        <w:rPr>
          <w:rFonts w:ascii="Times New Roman" w:hAnsi="Times New Roman"/>
          <w:color w:val="000000" w:themeColor="text1"/>
          <w:sz w:val="16"/>
          <w:szCs w:val="16"/>
          <w:vertAlign w:val="superscript"/>
        </w:rPr>
        <w:t>140</w:t>
      </w:r>
    </w:p>
    <w:p w14:paraId="3B178E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11C3A1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192681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753AEF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2000-е  г. продолжались работы по двигателю следующего поколения АЛ-41Ф и АЛ-31ФП с поворотным соплом; двигателя </w:t>
      </w:r>
      <w:r w:rsidRPr="00722885">
        <w:rPr>
          <w:rFonts w:ascii="Times New Roman" w:hAnsi="Times New Roman"/>
          <w:color w:val="000000" w:themeColor="text1"/>
          <w:sz w:val="16"/>
          <w:szCs w:val="16"/>
          <w:lang w:val="en-US"/>
        </w:rPr>
        <w:t>SaM</w:t>
      </w:r>
      <w:r w:rsidRPr="00722885">
        <w:rPr>
          <w:rFonts w:ascii="Times New Roman" w:hAnsi="Times New Roman"/>
          <w:color w:val="000000" w:themeColor="text1"/>
          <w:sz w:val="16"/>
          <w:szCs w:val="16"/>
        </w:rPr>
        <w:t xml:space="preserve"> 146 для </w:t>
      </w:r>
      <w:r w:rsidRPr="00722885">
        <w:rPr>
          <w:rFonts w:ascii="Times New Roman" w:hAnsi="Times New Roman"/>
          <w:color w:val="000000" w:themeColor="text1"/>
          <w:sz w:val="16"/>
          <w:szCs w:val="16"/>
          <w:lang w:val="en-US"/>
        </w:rPr>
        <w:t>RRJ</w:t>
      </w:r>
      <w:r w:rsidRPr="00722885">
        <w:rPr>
          <w:rFonts w:ascii="Times New Roman" w:hAnsi="Times New Roman"/>
          <w:color w:val="000000" w:themeColor="text1"/>
          <w:sz w:val="16"/>
          <w:szCs w:val="16"/>
        </w:rPr>
        <w:t xml:space="preserve">.20. В 2006 г. построено 5 экспериментальных образцов двигателя V поколения (тема «117С», совместно с УМПО). В 06.2006 г. построен 1-й </w:t>
      </w:r>
      <w:r w:rsidRPr="00722885">
        <w:rPr>
          <w:rFonts w:ascii="Times New Roman" w:hAnsi="Times New Roman"/>
          <w:color w:val="000000" w:themeColor="text1"/>
          <w:sz w:val="16"/>
          <w:szCs w:val="16"/>
          <w:lang w:val="en-US"/>
        </w:rPr>
        <w:t>SaM</w:t>
      </w:r>
      <w:r w:rsidRPr="00722885">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710089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722885">
        <w:rPr>
          <w:rFonts w:ascii="Times New Roman" w:hAnsi="Times New Roman"/>
          <w:color w:val="000000" w:themeColor="text1"/>
          <w:sz w:val="16"/>
          <w:szCs w:val="16"/>
          <w:lang w:val="en-US"/>
        </w:rPr>
        <w:t>Lakshya</w:t>
      </w:r>
      <w:r w:rsidRPr="00722885">
        <w:rPr>
          <w:rFonts w:ascii="Times New Roman" w:hAnsi="Times New Roman"/>
          <w:color w:val="000000" w:themeColor="text1"/>
          <w:sz w:val="16"/>
          <w:szCs w:val="16"/>
        </w:rPr>
        <w:t>.</w:t>
      </w:r>
    </w:p>
    <w:p w14:paraId="3CAECA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18ABC3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(1941 г.)- более 2000 чел.</w:t>
      </w:r>
    </w:p>
    <w:p w14:paraId="107925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Хартов.</w:t>
      </w:r>
      <w:r w:rsidRPr="00722885">
        <w:rPr>
          <w:rFonts w:ascii="Times New Roman" w:hAnsi="Times New Roman"/>
          <w:color w:val="000000" w:themeColor="text1"/>
          <w:sz w:val="16"/>
          <w:szCs w:val="16"/>
          <w:vertAlign w:val="superscript"/>
        </w:rPr>
        <w:t>68</w:t>
      </w:r>
      <w:r w:rsidRPr="00722885">
        <w:rPr>
          <w:rFonts w:ascii="Times New Roman" w:hAnsi="Times New Roman"/>
          <w:color w:val="000000" w:themeColor="text1"/>
          <w:sz w:val="16"/>
          <w:szCs w:val="16"/>
        </w:rPr>
        <w:t xml:space="preserve"> Гендиректор (-1998-2002 г.-)- В.М. Чепкин, В.А. Лебедев.</w:t>
      </w:r>
    </w:p>
    <w:p w14:paraId="12A64B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Ответственный руководитель (25.04.1946 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Люлька.</w:t>
      </w:r>
    </w:p>
    <w:p w14:paraId="109A85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12EDF3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 (25.04.1946-56 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xml:space="preserve">. Люлька. Ген. конструктор (12.1956-84 г.)- академик (1968 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4D9D71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Хартов, (1978 г.)- В.К. Кобченко, (1978 г.)- В.А. Горелов, (1997-98 г.)- М.Л. Кузменко, Е.Ю. Марчуков.</w:t>
      </w:r>
    </w:p>
    <w:p w14:paraId="2C1FCE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5B3268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(1980-е)-  Г.И. Зуев.</w:t>
      </w:r>
    </w:p>
    <w:p w14:paraId="37DC10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производства- А.В. Чуркин (около 20 лет).</w:t>
      </w:r>
    </w:p>
    <w:p w14:paraId="1077E3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626684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11F8A0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Н.Н. Якунин.</w:t>
      </w:r>
    </w:p>
    <w:p w14:paraId="0A2938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отдела внешних связей и протокола (2002 г.)- В. Г. Нестеров.</w:t>
      </w:r>
    </w:p>
    <w:p w14:paraId="6A6E4F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бригад: (2006 г.)- Н.В. Кикоть.</w:t>
      </w:r>
    </w:p>
    <w:p w14:paraId="24FA56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(1970-е)- А.Ф. Кричигина.</w:t>
      </w:r>
    </w:p>
    <w:p w14:paraId="32D38E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722885">
        <w:rPr>
          <w:rFonts w:ascii="Times New Roman" w:hAnsi="Times New Roman"/>
          <w:color w:val="000000" w:themeColor="text1"/>
          <w:sz w:val="16"/>
          <w:szCs w:val="16"/>
          <w:vertAlign w:val="superscript"/>
        </w:rPr>
        <w:t>68</w:t>
      </w:r>
      <w:r w:rsidRPr="00722885">
        <w:rPr>
          <w:rFonts w:ascii="Times New Roman" w:hAnsi="Times New Roman"/>
          <w:color w:val="000000" w:themeColor="text1"/>
          <w:sz w:val="16"/>
          <w:szCs w:val="16"/>
        </w:rPr>
        <w:t xml:space="preserve"> проекты: ЯСУ РД-А для М-30 (1950-е), открытого типа ТРДА ПАС для М-60 (1955)</w:t>
      </w:r>
      <w:r w:rsidRPr="00722885">
        <w:rPr>
          <w:rFonts w:ascii="Times New Roman" w:hAnsi="Times New Roman"/>
          <w:color w:val="000000" w:themeColor="text1"/>
          <w:sz w:val="16"/>
          <w:szCs w:val="16"/>
          <w:vertAlign w:val="superscript"/>
        </w:rPr>
        <w:t>93</w:t>
      </w:r>
      <w:r w:rsidRPr="00722885">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790C208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1498E1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DDD3D02" w14:textId="77777777" w:rsidR="00090C9B" w:rsidRPr="00722885" w:rsidRDefault="00090C9B" w:rsidP="00722885">
      <w:pPr>
        <w:pStyle w:val="Iauiue"/>
        <w:jc w:val="both"/>
        <w:rPr>
          <w:iCs/>
          <w:color w:val="000000" w:themeColor="text1"/>
          <w:sz w:val="16"/>
          <w:szCs w:val="16"/>
        </w:rPr>
      </w:pPr>
    </w:p>
    <w:p w14:paraId="0B7A4D1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18 сентября 1942 года вышел приказ НКБ № 710</w:t>
      </w:r>
    </w:p>
    <w:p w14:paraId="6DEC639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Во исполнение распоряжения СНК за № 17805-рс от 16 сентября 1942 года:</w:t>
      </w:r>
    </w:p>
    <w:p w14:paraId="20B66C5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На площадях Мясокомбината им. Микояна г. Тбилиси организовать снаряжение 50 мм мин, 82 мм мин и ручных гранат. Заводу присвоить № 316 и подчинить 1 Гл. управлению (5943, 77).</w:t>
      </w:r>
    </w:p>
    <w:p w14:paraId="1166BABE" w14:textId="77777777" w:rsidR="00090C9B" w:rsidRPr="00722885" w:rsidRDefault="00090C9B" w:rsidP="00722885">
      <w:pPr>
        <w:pStyle w:val="Iauiue"/>
        <w:tabs>
          <w:tab w:val="left" w:pos="11199"/>
        </w:tabs>
        <w:jc w:val="both"/>
        <w:rPr>
          <w:color w:val="000000" w:themeColor="text1"/>
          <w:sz w:val="16"/>
          <w:szCs w:val="16"/>
        </w:rPr>
      </w:pPr>
    </w:p>
    <w:p w14:paraId="2D16D7E7" w14:textId="77777777" w:rsidR="009D3895" w:rsidRPr="00722885" w:rsidRDefault="009D3895" w:rsidP="00722885">
      <w:pPr>
        <w:pStyle w:val="a3"/>
        <w:rPr>
          <w:color w:val="000000" w:themeColor="text1"/>
          <w:lang w:val="ru-RU"/>
        </w:rPr>
      </w:pPr>
      <w:r w:rsidRPr="00722885">
        <w:rPr>
          <w:color w:val="000000" w:themeColor="text1"/>
          <w:lang w:val="ru-RU"/>
        </w:rPr>
        <w:t>К 18 сентября 1942 в ходе заводских испытаний мортиры М-4 со стволом-моноблоком, которые начались 25 ав</w:t>
      </w:r>
      <w:r w:rsidRPr="00722885">
        <w:rPr>
          <w:color w:val="000000" w:themeColor="text1"/>
          <w:lang w:val="ru-RU"/>
        </w:rPr>
        <w:softHyphen/>
        <w:t>густа, был произведен 71 выстрел. В общей же сложности в ходе испытаний провели около сотни выстрелов. Кроме того, с 18 сентября по 21 октября система прошла испытания возкой. Всего М-4 прошла 400 километров. Деформаций по итогам испытаний не было обнаружено. Один дефект все же имел место, но не по причине конструктивных недостатков. На одном из подъемов возивший гауби</w:t>
      </w:r>
      <w:r w:rsidRPr="00722885">
        <w:rPr>
          <w:color w:val="000000" w:themeColor="text1"/>
          <w:lang w:val="ru-RU"/>
        </w:rPr>
        <w:softHyphen/>
        <w:t>цу тягач сдал назад и ударился в левую станину, деформировав кокор.</w:t>
      </w:r>
    </w:p>
    <w:p w14:paraId="60657A54" w14:textId="77777777" w:rsidR="009D3895" w:rsidRPr="00722885" w:rsidRDefault="009D3895" w:rsidP="00722885">
      <w:pPr>
        <w:pStyle w:val="a3"/>
        <w:rPr>
          <w:color w:val="000000" w:themeColor="text1"/>
          <w:lang w:val="ru-RU"/>
        </w:rPr>
      </w:pPr>
      <w:r w:rsidRPr="00722885">
        <w:rPr>
          <w:color w:val="000000" w:themeColor="text1"/>
          <w:lang w:val="ru-RU"/>
        </w:rPr>
        <w:t>Согласно распоряжению начальника ГАУ генерал-полковника Яковлева, 5 ноября 1942 года система М-4 была отправлена на артилле</w:t>
      </w:r>
      <w:r w:rsidRPr="00722885">
        <w:rPr>
          <w:color w:val="000000" w:themeColor="text1"/>
          <w:lang w:val="ru-RU"/>
        </w:rPr>
        <w:softHyphen/>
        <w:t>рийский полигон ГАНИОП (станция Ильино Горьковской железной дороги). Вместе с системой передавалась и техническая документация. Испытания мортиры проходили с 21 января по 13 марта 1943 года. За это время мортира произвела 456 выстрелов и прошла 458 километров по различным типам дорог, покрытых снегом. Испытания пробегом прошли не без происшествий: 27 февраля во время ухода от встречной машины тягач «Ворошиловец» произвел маневр, в результате которого система М-4 упала в кювет и получила ряд повреждений (17484).</w:t>
      </w:r>
    </w:p>
    <w:p w14:paraId="3012D84F" w14:textId="77777777" w:rsidR="009D3895" w:rsidRPr="00722885" w:rsidRDefault="009D3895" w:rsidP="00722885">
      <w:pPr>
        <w:spacing w:after="0" w:line="240" w:lineRule="auto"/>
        <w:jc w:val="both"/>
        <w:rPr>
          <w:rFonts w:ascii="Times New Roman" w:hAnsi="Times New Roman"/>
          <w:color w:val="000000" w:themeColor="text1"/>
          <w:sz w:val="16"/>
          <w:szCs w:val="16"/>
        </w:rPr>
      </w:pPr>
    </w:p>
    <w:p w14:paraId="5E0128D6" w14:textId="77777777" w:rsidR="009D3895" w:rsidRPr="00722885" w:rsidRDefault="009D3895" w:rsidP="00722885">
      <w:pPr>
        <w:pStyle w:val="a3"/>
        <w:rPr>
          <w:color w:val="000000" w:themeColor="text1"/>
          <w:lang w:val="ru-RU"/>
        </w:rPr>
      </w:pPr>
      <w:r w:rsidRPr="00722885">
        <w:rPr>
          <w:color w:val="000000" w:themeColor="text1"/>
          <w:lang w:val="ru-RU"/>
        </w:rPr>
        <w:t>С 18 сентября по 21 октября 1942 система М-4 прошла испытания возкой. Всего М-4 прошла 400 километров. Деформаций по итогам испытаний не было обнаружено. Один дефект все же имел место, но не по причине конструктивных недостатков. На одном из подъемов возивший гауби</w:t>
      </w:r>
      <w:r w:rsidRPr="00722885">
        <w:rPr>
          <w:color w:val="000000" w:themeColor="text1"/>
          <w:lang w:val="ru-RU"/>
        </w:rPr>
        <w:softHyphen/>
        <w:t>цу тягач сдал назад и ударился в левую станину, деформировав кокор.</w:t>
      </w:r>
    </w:p>
    <w:p w14:paraId="6D888749" w14:textId="77777777" w:rsidR="009D3895" w:rsidRPr="00722885" w:rsidRDefault="009D3895" w:rsidP="00722885">
      <w:pPr>
        <w:pStyle w:val="a3"/>
        <w:rPr>
          <w:color w:val="000000" w:themeColor="text1"/>
          <w:lang w:val="ru-RU"/>
        </w:rPr>
      </w:pPr>
      <w:r w:rsidRPr="00722885">
        <w:rPr>
          <w:color w:val="000000" w:themeColor="text1"/>
          <w:lang w:val="ru-RU"/>
        </w:rPr>
        <w:t>Согласно распоряжению начальника ГАУ генерал-полковника Яковлева, 5 ноября 1942 года система М-4 была отправлена на артилле</w:t>
      </w:r>
      <w:r w:rsidRPr="00722885">
        <w:rPr>
          <w:color w:val="000000" w:themeColor="text1"/>
          <w:lang w:val="ru-RU"/>
        </w:rPr>
        <w:softHyphen/>
        <w:t>рийский полигон ГАНИОП (станция Ильино Горьковской железной дороги). Вместе с системой передавалась и техническая документация. Испытания мортиры проходили с 21 января по 13 марта 1943 года. За это время мортира произвела 456 выстрелов и прошла 458 километров по различным типам дорог, покрытых снегом. Испытания пробегом прошли не без происшествий: 27 февраля во время ухода от встречной машины тягач «Ворошиловец» произвел маневр, в результате которого система М-4 упала в кювет и получила ряд повреждений (17484).</w:t>
      </w:r>
    </w:p>
    <w:p w14:paraId="29BAEACA" w14:textId="77777777" w:rsidR="009D3895" w:rsidRPr="00722885" w:rsidRDefault="009D3895" w:rsidP="00722885">
      <w:pPr>
        <w:spacing w:after="0" w:line="240" w:lineRule="auto"/>
        <w:jc w:val="both"/>
        <w:rPr>
          <w:rFonts w:ascii="Times New Roman" w:hAnsi="Times New Roman"/>
          <w:color w:val="000000" w:themeColor="text1"/>
          <w:sz w:val="16"/>
          <w:szCs w:val="16"/>
        </w:rPr>
      </w:pPr>
    </w:p>
    <w:p w14:paraId="02CE17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сентября 1942 вышло Постановление ГКО № 2321 О вводе в действие Актюбинского ферросплавного завода. РГАНИР, Фонд ГКО, д. 57, лл. 25-30, 31 (11012).</w:t>
      </w:r>
    </w:p>
    <w:p w14:paraId="375C2AB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5DF4A4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231858C" w14:textId="77777777" w:rsidR="00090C9B" w:rsidRPr="00722885" w:rsidRDefault="00090C9B" w:rsidP="00722885">
      <w:pPr>
        <w:pStyle w:val="Iauiue"/>
        <w:jc w:val="both"/>
        <w:rPr>
          <w:iCs/>
          <w:color w:val="000000" w:themeColor="text1"/>
          <w:sz w:val="16"/>
          <w:szCs w:val="16"/>
        </w:rPr>
      </w:pPr>
    </w:p>
    <w:p w14:paraId="00DD1A1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СЕНТЯБРЯ 1942 УТРЕННЕЕ СООБЩЕНИЕ Совинформбюро:</w:t>
      </w:r>
    </w:p>
    <w:p w14:paraId="3D3E89B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течение ночи на 18 сентября наши войска вели бои с противником на северо-западной окраине Сталинграда и в районе Моздок. На других фронтах существенных изменений не произошло. </w:t>
      </w:r>
    </w:p>
    <w:p w14:paraId="2337305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северо-западной окраине Сталинграда наши войска отбивали атаки танков и пехоты противника. Артиллеристы части, где командиром тов. Толбухин, уничтожили 12 немецких танков и до двух рот гитлеровцев. На другом участке два батальона пехоты противника ворвались на одну из улиц города. Наши бойцы встретили немцев сосредоточенным огнём из пулемётов и автоматов. В завязавшейся затем рукопашной схватке гитлеровцы были разгромлены и отступили, потеряв убитыми и ранеными до 500 солдат и офицеров. </w:t>
      </w:r>
    </w:p>
    <w:p w14:paraId="17474C2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Наши лётчики в воздушных боях сбили 19 немецких самолётов. </w:t>
      </w:r>
    </w:p>
    <w:p w14:paraId="254080D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Моздока наши части ночью атаковали противника и уничтожили 4 танка и до роты немецкой пехоты. Смелость и отвагу проявил в этом бою старший сержант тов. Аварин. Он подполз к немецкому пулемётчику, убил его и огнём из трофейного пулемёта истребил до 30 гитлеровцев. Танкист тов. Брехов уничтожил 5 противотанковых орудий неприятеля. </w:t>
      </w:r>
    </w:p>
    <w:p w14:paraId="369C167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Юго-восточнее Новороссийска моряки подразделения тов. Сидорова за два дня боевых действий уничтожили 3 немецких танка, противотанковую пушку и истребили до роты гитлеровцев. </w:t>
      </w:r>
    </w:p>
    <w:p w14:paraId="1D17BDD0"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одном из участков Карельского фронта бойцы под командованием лейтенантов Кузнецова и Коновалова атаковали позиции противника. Застигнутые врасплох, белофинны отступили, бросая оружие и боеприпасы. Вскоре противник предпринял несколько контратак, которые были отбиты нашими бойцами. В ходе боя истреблено до двух рот солдат противника, уничтожены артиллерийская батарея и 4 станковых пулемёта. Захвачены трофеи: противотанковое орудие, 10 пулемётов, 2 радиостанции, винтовки и гранаты. </w:t>
      </w:r>
    </w:p>
    <w:p w14:paraId="32D9867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одном из районов Украины, оккупированном немцами, гитлеровцы создали базу, куда ссыпали хлеб, награбленный у крестьян. Партизанский отряд тов. К. совершил нападение на охрану складов и уничтожил 27 немецких солдат и 2 офицеров. Значительную часть хлеба партизаны роздали крестьянам. Узнав от разведки о приближении немецкой карательной экспедиции, советские патриоты облили оставшееся зерно керосином и подожгли склады. </w:t>
      </w:r>
    </w:p>
    <w:p w14:paraId="5E085C0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Захваченный в плен под Сталинградом солдат 7 роты 26 румынского полка Ион Димитру рассказал: «Девять раз немцы гоняли наш полк в атаку. Мы несли ужасные потери, и когда пошли в девятую атаку, русские миномёты открыли убийственный огонь. Мины летели, издавая дикий рёв и свист. Кругом всё горело. Мы не выдержали и в панике бежали. Находившиеся позади нас немецкие танки и пулемёты стали расстреливать убегавших румын. Я забрался в блиндаж, где пролежал до вечера. Ночью я вылез и пошёл разыскивать свою роту, но был задержан русской разведкой и взят в плен». </w:t>
      </w:r>
    </w:p>
    <w:p w14:paraId="01BF0F0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Сдавшийся в плен солдат 510 полка 293 немецкой пехотной дивизии Роман Г. рассказал о зверском обращении немецких властей с советскими военнопленными: «22 августа 1942 года я был на станции Орша. Там стояли товарные вагоны, в которых находились раненые русские военнопленные. Немецкие солдаты, сопровождавшие пленных, заявили мне, что русские уже шесть суток не получали никакой пищи. Позднее я сам видел, как из вагонов выбрасывали трупы красноармейцев, умерших от голода. Пленные, оставшиеся в вагонах, умоляли прохожих дать им хоть немного воды, но охрана никого близко не подпускала. Мне известен приказ командира 293 пехотной дивизии генерала Форста, в котором предписывается всех русских пленных расстреливать, предварительно сняв с них обмундирование и обувь». </w:t>
      </w:r>
    </w:p>
    <w:p w14:paraId="19B01F8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патриоты организовали недалеко от станции Кайе крушение немецкого воинского эшелона. В Булони выведено из строя оборудование железнодорожной станции и на длительное время нарушено движение поездов (14773).</w:t>
      </w:r>
    </w:p>
    <w:p w14:paraId="14B6BA1E"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410ED83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СЕНТЯБРЯ 1942 ВЕЧЕРНЕЕ СООБЩЕНИЕ Совинформбюро:</w:t>
      </w:r>
    </w:p>
    <w:p w14:paraId="718A264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течение 18 сентября наши войска вели ожесточённые бои с противником в районе Сталинграда и в районе Моздок. На других фронтах существенных изменений не произошло. </w:t>
      </w:r>
    </w:p>
    <w:p w14:paraId="5BEB394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 17 сентября частями нашей авиации на различных участках фронта уничтожено или повреждено до 15 немецких танков и бронемашин, 70 автомашин с войсками и грузами, подавлен огонь 8 батарей полевой и зенитной артиллерии, взорвано 5 складов боеприпасов, разбит железнодорожный эшелон, рассеяно и частью истреблено до двух рот пехоты противника. </w:t>
      </w:r>
    </w:p>
    <w:p w14:paraId="6A01175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северо-западной окраине Сталинграда наши войска вели ожесточённые бои с противником. На одном из участков, где гитлеровцы сосредоточили крупные силы пехоты и танков, им удалось ценой больших потерь захватить несколько улиц. В течение дня наши бойцы вернули часть оставленных позиций. На другом участке продолжаются напряжённые бои за командную высоту. Все попытки немцев захватить эту выгодную позицию потерпели неудачу. Наши части отбили атаки противника и уничтожили 26 танков, 49 автомашин и до двух батальонов немецкой пехоты. </w:t>
      </w:r>
    </w:p>
    <w:p w14:paraId="46E9F19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Моздока наши части вели активные боевые действия. Немцы предприняли несколько контратак, которые были отбиты нашими бойцами с большими для противника потерями. Только на участке Н-ского соединения уничтожено 10 танков, 2 миномётные батареи и до двух рот пехоты противника. Восточнее Моздока </w:t>
      </w:r>
      <w:r w:rsidRPr="00722885">
        <w:rPr>
          <w:rFonts w:ascii="Times New Roman" w:hAnsi="Times New Roman"/>
          <w:color w:val="000000" w:themeColor="text1"/>
          <w:sz w:val="16"/>
          <w:szCs w:val="16"/>
        </w:rPr>
        <w:lastRenderedPageBreak/>
        <w:t xml:space="preserve">гитлеровцы четыре раза атаковали наши позиции, действуя при поддержке 100 танков. В упорных оборонительных боях наши бойцы подбили 16 немецких танков и уничтожили до 900 солдат и офицеров противника. На этом же участке захвачен один исправный немецкий танк. </w:t>
      </w:r>
    </w:p>
    <w:p w14:paraId="17E657D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Юго-восточнее Новороссийска моряки части, где командиром тов. Кузьмин, в боях с противником в течение трёх дней истребили до батальона немецкой пехоты. Две роты гитлеровцев и несколько танков атаковали миномётную батарею лейтенанта Мещерякова. Миномётчики подбили один танк, уничтожили до 100 немецких солдат и отбили атаку противника. </w:t>
      </w:r>
    </w:p>
    <w:p w14:paraId="7AC5BEF4"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Воронежа наши части атаковали противника, оказывающего сильное огневое сопротивление. В результате упорного боя уничтожено до двух батальонов немецкой пехоты, 3 артиллерийских и 11 миномётных батарей, 13 тяжёлых пулемётов и несколько наблюдательных пунктов. Нашими бойцами захвачены 8 орудий, 11 миномётов, 24 пулемёта, винтовки и боеприпасы. </w:t>
      </w:r>
    </w:p>
    <w:p w14:paraId="0F3B98A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Разведчики-партизаны отряда тов. Л., действующего в одном из районов Курской области, обнаружили местонахождение немецкого аэродрома. В течение нескольких дней партизаны наблюдали за тем, что делается на аэродроме. Выбрав подходящий момент, они порвали связь, сняли часовых и уничтожили 4 бомбардировщика «Юнкерс-88». Уходя с аэродрома, партизаны подожгли склад горючего. </w:t>
      </w:r>
    </w:p>
    <w:p w14:paraId="7C5BAB1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Захваченный в плен в районе Сталинграда солдат 3 роты 671 немецкого пехотного полка Вильгельм Цискольский рассказал: «За две недели боёв наш полк понёс жуткие потери. Некоторые роты совершенно обескровлены. В 3 роте, получившей пополнение, было 180 человек. За первую неделю рота потеряла 138 человек. В последние дни из строя выбыло ещё 22 солдата. Сейчас в роте осталось всего лишь 20 человек. Столь же велики потери и в других ротах». </w:t>
      </w:r>
    </w:p>
    <w:p w14:paraId="63C041B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 убитого немецкого солдата Альберта Валя найдено письмо от жены Марии. В письме говорится: «Наконец-то и я получила украинку. Она крепкого телосложения, ловкая и всё умеет делать. Поверь мне, что я не даю ей сидеть сложа руки ни минуты. Ест она два раза в день. Я даю ей объедки. Маленький Гельмут собирает все остатки, сливает в посуду, из которой кушает наша собачка, и выносит ей в кухню. У этой украинки дома остались двое маленьких детей. Она нас ненавидит и нисколько не скрывает этого. Нам, немцам, нужно всеми средствами сломить гордый дух сопротивления и непокорства русских. Конечно, это очень трудно сделать». </w:t>
      </w:r>
    </w:p>
    <w:p w14:paraId="61A5DCB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Советские люди запомнят каждое слово этой немецкой гадины и отомстят захватчикам за страдания женщин и детей, оккупированных немцами районов нашей страны. </w:t>
      </w:r>
    </w:p>
    <w:p w14:paraId="33119DD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Администрация судоверфи Блом и Фосс в Гамбурге (Германия) лишает рабочих, которые не выполняют нормы выработки, продовольственных карточек на срок до 10 дней. Каждый, кто не выработал норму, объявляется саботажником и попадает под надзор полиции. Ежедневно на допрос в гестапо вызываются десятки рабочих. Недавно в связи с аварией электросети полиция арестовала 40 человек. Особенно жестоко расправляются с иностранными рабочими. 5 сентября гестаповцы казнили трёх голландцев за попытку бежать на родину (14773).</w:t>
      </w:r>
    </w:p>
    <w:p w14:paraId="45E12BE1"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6A5D2A5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18 сентября </w:t>
      </w:r>
      <w:r w:rsidRPr="00722885">
        <w:rPr>
          <w:rFonts w:ascii="Times New Roman" w:hAnsi="Times New Roman"/>
          <w:color w:val="000000" w:themeColor="text1"/>
          <w:sz w:val="16"/>
          <w:szCs w:val="16"/>
        </w:rPr>
        <w:t>в 1942 году оперативная сводка Совинформбюро:</w:t>
      </w:r>
    </w:p>
    <w:p w14:paraId="132EDA2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ночью атаковали противника и уничтожили 4 танка и до роты немецкой пехоты. Смелость и отвагу проявил в этом бою старший сержант тов. Аварин. Он подполз к немецкому пулемётчику, убил его и огнём из трофейного пулемёта истребил до 30 гитлеровцев. Танкист тов. Брехов уничтожил 5 противотанковых орудий неприятеля.»</w:t>
      </w:r>
    </w:p>
    <w:p w14:paraId="0774A028"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746495E2"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сентября 1942 шесть Ил</w:t>
      </w:r>
      <w:r w:rsidRPr="00722885">
        <w:rPr>
          <w:rFonts w:ascii="Times New Roman" w:hAnsi="Times New Roman"/>
          <w:color w:val="0070C0"/>
          <w:sz w:val="16"/>
          <w:szCs w:val="16"/>
        </w:rPr>
        <w:noBreakHyphen/>
        <w:t>2 из 245</w:t>
      </w:r>
      <w:r w:rsidRPr="00722885">
        <w:rPr>
          <w:rFonts w:ascii="Times New Roman" w:hAnsi="Times New Roman"/>
          <w:color w:val="0070C0"/>
          <w:sz w:val="16"/>
          <w:szCs w:val="16"/>
        </w:rPr>
        <w:noBreakHyphen/>
        <w:t>го шап под прикрытием пятерки Як</w:t>
      </w:r>
      <w:r w:rsidRPr="00722885">
        <w:rPr>
          <w:rFonts w:ascii="Times New Roman" w:hAnsi="Times New Roman"/>
          <w:color w:val="0070C0"/>
          <w:sz w:val="16"/>
          <w:szCs w:val="16"/>
        </w:rPr>
        <w:noBreakHyphen/>
        <w:t>1 вылетели в очередной раз атаковать немецкие позиции. На пути к цели группа встретилась с «Мессершмиттами», которые быстро отсекли Яки и беспрепятственно атаковали штурмовики. В результате два «горбатых» были сбиты, остальные с тяжелыми повреждениями с трудом перетянули через линию фронта и совершили вынужденные посадки в степи (23199).</w:t>
      </w:r>
    </w:p>
    <w:p w14:paraId="51D6E6E0" w14:textId="77777777" w:rsidR="005B5EE0" w:rsidRPr="00722885" w:rsidRDefault="005B5EE0" w:rsidP="00722885">
      <w:pPr>
        <w:spacing w:after="0" w:line="240" w:lineRule="auto"/>
        <w:jc w:val="both"/>
        <w:rPr>
          <w:rFonts w:ascii="Times New Roman" w:hAnsi="Times New Roman"/>
          <w:color w:val="0070C0"/>
          <w:sz w:val="16"/>
          <w:szCs w:val="16"/>
        </w:rPr>
      </w:pPr>
    </w:p>
    <w:p w14:paraId="2030CD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18 сентября 1942 г. в 688-м </w:t>
      </w:r>
      <w:r w:rsidRPr="00722885">
        <w:rPr>
          <w:iCs/>
          <w:color w:val="000000" w:themeColor="text1"/>
          <w:sz w:val="16"/>
          <w:szCs w:val="16"/>
        </w:rPr>
        <w:t>шап</w:t>
      </w:r>
      <w:r w:rsidRPr="00722885">
        <w:rPr>
          <w:color w:val="000000" w:themeColor="text1"/>
          <w:sz w:val="16"/>
          <w:szCs w:val="16"/>
        </w:rPr>
        <w:t xml:space="preserve"> 228-й </w:t>
      </w:r>
      <w:r w:rsidRPr="00722885">
        <w:rPr>
          <w:iCs/>
          <w:color w:val="000000" w:themeColor="text1"/>
          <w:sz w:val="16"/>
          <w:szCs w:val="16"/>
        </w:rPr>
        <w:t>шад</w:t>
      </w:r>
      <w:r w:rsidRPr="00722885">
        <w:rPr>
          <w:color w:val="000000" w:themeColor="text1"/>
          <w:sz w:val="16"/>
          <w:szCs w:val="16"/>
        </w:rPr>
        <w:t xml:space="preserve"> 16-й ВА, по-видимому, впервые в Отечественной войне была осуществле</w:t>
      </w:r>
      <w:r w:rsidRPr="00722885">
        <w:rPr>
          <w:color w:val="000000" w:themeColor="text1"/>
          <w:sz w:val="16"/>
          <w:szCs w:val="16"/>
        </w:rPr>
        <w:softHyphen/>
        <w:t>на с самолета Ил-2 постановка дымо</w:t>
      </w:r>
      <w:r w:rsidRPr="00722885">
        <w:rPr>
          <w:color w:val="000000" w:themeColor="text1"/>
          <w:sz w:val="16"/>
          <w:szCs w:val="16"/>
        </w:rPr>
        <w:softHyphen/>
        <w:t xml:space="preserve">вых завес на поле боя. В этот день летчики 688-го </w:t>
      </w:r>
      <w:r w:rsidRPr="00722885">
        <w:rPr>
          <w:iCs/>
          <w:color w:val="000000" w:themeColor="text1"/>
          <w:sz w:val="16"/>
          <w:szCs w:val="16"/>
        </w:rPr>
        <w:t>шап</w:t>
      </w:r>
      <w:r w:rsidRPr="00722885">
        <w:rPr>
          <w:color w:val="000000" w:themeColor="text1"/>
          <w:sz w:val="16"/>
          <w:szCs w:val="16"/>
        </w:rPr>
        <w:t xml:space="preserve"> поставили дымовую завесу на открытой местности перед фронтом 1-й гвардейской армии, выпол</w:t>
      </w:r>
      <w:r w:rsidRPr="00722885">
        <w:rPr>
          <w:color w:val="000000" w:themeColor="text1"/>
          <w:sz w:val="16"/>
          <w:szCs w:val="16"/>
        </w:rPr>
        <w:softHyphen/>
        <w:t>нявшей контрудар по немецким войс</w:t>
      </w:r>
      <w:r w:rsidRPr="00722885">
        <w:rPr>
          <w:color w:val="000000" w:themeColor="text1"/>
          <w:sz w:val="16"/>
          <w:szCs w:val="16"/>
        </w:rPr>
        <w:softHyphen/>
        <w:t>кам в направлении Гумрак в целях об</w:t>
      </w:r>
      <w:r w:rsidRPr="00722885">
        <w:rPr>
          <w:color w:val="000000" w:themeColor="text1"/>
          <w:sz w:val="16"/>
          <w:szCs w:val="16"/>
        </w:rPr>
        <w:softHyphen/>
        <w:t>легчения положения 62-й армии. Для этого группе штурмовиков требовалось пройти на бреющем полете непосред</w:t>
      </w:r>
      <w:r w:rsidRPr="00722885">
        <w:rPr>
          <w:color w:val="000000" w:themeColor="text1"/>
          <w:sz w:val="16"/>
          <w:szCs w:val="16"/>
        </w:rPr>
        <w:softHyphen/>
        <w:t>ственно перед линией обороны против</w:t>
      </w:r>
      <w:r w:rsidRPr="00722885">
        <w:rPr>
          <w:color w:val="000000" w:themeColor="text1"/>
          <w:sz w:val="16"/>
          <w:szCs w:val="16"/>
        </w:rPr>
        <w:softHyphen/>
        <w:t>ника в зоне сильного ружейно-пулемет</w:t>
      </w:r>
      <w:r w:rsidRPr="00722885">
        <w:rPr>
          <w:color w:val="000000" w:themeColor="text1"/>
          <w:sz w:val="16"/>
          <w:szCs w:val="16"/>
        </w:rPr>
        <w:softHyphen/>
        <w:t>ного и зенитного огня. Командир полка м-р К.В.Яровой лично возглавил груп</w:t>
      </w:r>
      <w:r w:rsidRPr="00722885">
        <w:rPr>
          <w:color w:val="000000" w:themeColor="text1"/>
          <w:sz w:val="16"/>
          <w:szCs w:val="16"/>
        </w:rPr>
        <w:softHyphen/>
        <w:t>пу. Задача была выполнена, пехота по</w:t>
      </w:r>
      <w:r w:rsidRPr="00722885">
        <w:rPr>
          <w:color w:val="000000" w:themeColor="text1"/>
          <w:sz w:val="16"/>
          <w:szCs w:val="16"/>
        </w:rPr>
        <w:softHyphen/>
        <w:t>шла в наступление и выбила противни</w:t>
      </w:r>
      <w:r w:rsidRPr="00722885">
        <w:rPr>
          <w:color w:val="000000" w:themeColor="text1"/>
          <w:sz w:val="16"/>
          <w:szCs w:val="16"/>
        </w:rPr>
        <w:softHyphen/>
        <w:t>ка с занимаемых позиций. Майор Яро</w:t>
      </w:r>
      <w:r w:rsidRPr="00722885">
        <w:rPr>
          <w:color w:val="000000" w:themeColor="text1"/>
          <w:sz w:val="16"/>
          <w:szCs w:val="16"/>
        </w:rPr>
        <w:softHyphen/>
        <w:t xml:space="preserve">вой был сбит. На Ил-2 использовались УХАП-250. Тяжелые потери понес в этот день 245-й </w:t>
      </w:r>
      <w:r w:rsidRPr="00722885">
        <w:rPr>
          <w:iCs/>
          <w:color w:val="000000" w:themeColor="text1"/>
          <w:sz w:val="16"/>
          <w:szCs w:val="16"/>
        </w:rPr>
        <w:t>шап</w:t>
      </w:r>
      <w:r w:rsidRPr="00722885">
        <w:rPr>
          <w:color w:val="000000" w:themeColor="text1"/>
          <w:sz w:val="16"/>
          <w:szCs w:val="16"/>
        </w:rPr>
        <w:t xml:space="preserve"> 291-й </w:t>
      </w:r>
      <w:r w:rsidRPr="00722885">
        <w:rPr>
          <w:iCs/>
          <w:color w:val="000000" w:themeColor="text1"/>
          <w:sz w:val="16"/>
          <w:szCs w:val="16"/>
        </w:rPr>
        <w:t>шад</w:t>
      </w:r>
      <w:r w:rsidRPr="00722885">
        <w:rPr>
          <w:color w:val="000000" w:themeColor="text1"/>
          <w:sz w:val="16"/>
          <w:szCs w:val="16"/>
        </w:rPr>
        <w:t xml:space="preserve"> (291-я </w:t>
      </w:r>
      <w:r w:rsidRPr="00722885">
        <w:rPr>
          <w:iCs/>
          <w:color w:val="000000" w:themeColor="text1"/>
          <w:sz w:val="16"/>
          <w:szCs w:val="16"/>
        </w:rPr>
        <w:t>сад</w:t>
      </w:r>
      <w:r w:rsidRPr="00722885">
        <w:rPr>
          <w:color w:val="000000" w:themeColor="text1"/>
          <w:sz w:val="16"/>
          <w:szCs w:val="16"/>
        </w:rPr>
        <w:t xml:space="preserve"> после замены 30-го </w:t>
      </w:r>
      <w:r w:rsidRPr="00722885">
        <w:rPr>
          <w:iCs/>
          <w:color w:val="000000" w:themeColor="text1"/>
          <w:sz w:val="16"/>
          <w:szCs w:val="16"/>
        </w:rPr>
        <w:t>бап</w:t>
      </w:r>
      <w:r w:rsidRPr="00722885">
        <w:rPr>
          <w:color w:val="000000" w:themeColor="text1"/>
          <w:sz w:val="16"/>
          <w:szCs w:val="16"/>
        </w:rPr>
        <w:t xml:space="preserve"> на 312-й </w:t>
      </w:r>
      <w:r w:rsidRPr="00722885">
        <w:rPr>
          <w:iCs/>
          <w:color w:val="000000" w:themeColor="text1"/>
          <w:sz w:val="16"/>
          <w:szCs w:val="16"/>
        </w:rPr>
        <w:t>шап</w:t>
      </w:r>
      <w:r w:rsidRPr="00722885">
        <w:rPr>
          <w:color w:val="000000" w:themeColor="text1"/>
          <w:sz w:val="16"/>
          <w:szCs w:val="16"/>
        </w:rPr>
        <w:t xml:space="preserve"> и прибы</w:t>
      </w:r>
      <w:r w:rsidRPr="00722885">
        <w:rPr>
          <w:color w:val="000000" w:themeColor="text1"/>
          <w:sz w:val="16"/>
          <w:szCs w:val="16"/>
        </w:rPr>
        <w:softHyphen/>
        <w:t xml:space="preserve">тия в ее состав 954-го </w:t>
      </w:r>
      <w:r w:rsidRPr="00722885">
        <w:rPr>
          <w:iCs/>
          <w:color w:val="000000" w:themeColor="text1"/>
          <w:sz w:val="16"/>
          <w:szCs w:val="16"/>
        </w:rPr>
        <w:t>шап</w:t>
      </w:r>
      <w:r w:rsidRPr="00722885">
        <w:rPr>
          <w:color w:val="000000" w:themeColor="text1"/>
          <w:sz w:val="16"/>
          <w:szCs w:val="16"/>
        </w:rPr>
        <w:t xml:space="preserve"> получила наименование штурмовой). В воздушном бою шестерки Ил-2 этого полка и при</w:t>
      </w:r>
      <w:r w:rsidRPr="00722885">
        <w:rPr>
          <w:color w:val="000000" w:themeColor="text1"/>
          <w:sz w:val="16"/>
          <w:szCs w:val="16"/>
        </w:rPr>
        <w:softHyphen/>
        <w:t xml:space="preserve">крывающей их пятерки Як-1 из 283-й </w:t>
      </w:r>
      <w:r w:rsidRPr="00722885">
        <w:rPr>
          <w:iCs/>
          <w:color w:val="000000" w:themeColor="text1"/>
          <w:sz w:val="16"/>
          <w:szCs w:val="16"/>
        </w:rPr>
        <w:t>иад с</w:t>
      </w:r>
      <w:r w:rsidRPr="00722885">
        <w:rPr>
          <w:color w:val="000000" w:themeColor="text1"/>
          <w:sz w:val="16"/>
          <w:szCs w:val="16"/>
        </w:rPr>
        <w:t xml:space="preserve"> немецкими истребителями все 6 "Илов" были потеряны (погибли два эки</w:t>
      </w:r>
      <w:r w:rsidRPr="00722885">
        <w:rPr>
          <w:color w:val="000000" w:themeColor="text1"/>
          <w:sz w:val="16"/>
          <w:szCs w:val="16"/>
        </w:rPr>
        <w:softHyphen/>
        <w:t>пажа). Разбор боя показал, что "Яки" прикрытия, втянувшись в бой с немец</w:t>
      </w:r>
      <w:r w:rsidRPr="00722885">
        <w:rPr>
          <w:color w:val="000000" w:themeColor="text1"/>
          <w:sz w:val="16"/>
          <w:szCs w:val="16"/>
        </w:rPr>
        <w:softHyphen/>
        <w:t>кими истребителями, распылили свои силы и не смогли защитить своих подо</w:t>
      </w:r>
      <w:r w:rsidRPr="00722885">
        <w:rPr>
          <w:color w:val="000000" w:themeColor="text1"/>
          <w:sz w:val="16"/>
          <w:szCs w:val="16"/>
        </w:rPr>
        <w:softHyphen/>
        <w:t>печных. Последние же группового воз</w:t>
      </w:r>
      <w:r w:rsidRPr="00722885">
        <w:rPr>
          <w:color w:val="000000" w:themeColor="text1"/>
          <w:sz w:val="16"/>
          <w:szCs w:val="16"/>
        </w:rPr>
        <w:softHyphen/>
        <w:t>душного боя не вели (6467).</w:t>
      </w:r>
    </w:p>
    <w:p w14:paraId="0B4EAFE7" w14:textId="77777777" w:rsidR="00090C9B" w:rsidRPr="00722885" w:rsidRDefault="00090C9B" w:rsidP="00722885">
      <w:pPr>
        <w:pStyle w:val="Iauiue"/>
        <w:jc w:val="both"/>
        <w:rPr>
          <w:color w:val="000000" w:themeColor="text1"/>
          <w:sz w:val="16"/>
          <w:szCs w:val="16"/>
        </w:rPr>
      </w:pPr>
    </w:p>
    <w:p w14:paraId="64BEEC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сентября 1942 летчики 688-го шап 228-й шад поставили дымовую завесу на открытой местности перед фронтом 1-й гвардейской армии, наносившей контрудар по немецким войскам в направлении Гумрак. Для этого группе Ил-2 требовалось пройти на бреющем полете без маневра непосредственно перед линией обороны противника в зоне сильного ружейно-пулеметного и зенитного огня. Командир полка майор К. В. Яровой лично возглавил группу. Задача была выполнена, пехота выбила противника с занимаемых позиций. Майор Яровой был сбит и погиб (12020).</w:t>
      </w:r>
    </w:p>
    <w:p w14:paraId="0B8EB9E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D7DC4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сентября 1942:</w:t>
      </w:r>
    </w:p>
    <w:p w14:paraId="5CF8B0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Боевая живучесть экипажей Ил-2 175-го гшап в 1942-45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9B487A" w:rsidRPr="00722885" w14:paraId="78E8987B" w14:textId="77777777" w:rsidTr="00CC5360">
        <w:tc>
          <w:tcPr>
            <w:tcW w:w="1601" w:type="dxa"/>
            <w:tcBorders>
              <w:top w:val="single" w:sz="12" w:space="0" w:color="auto"/>
            </w:tcBorders>
          </w:tcPr>
          <w:p w14:paraId="4B8FA1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Периоды </w:t>
            </w:r>
          </w:p>
        </w:tc>
        <w:tc>
          <w:tcPr>
            <w:tcW w:w="1601" w:type="dxa"/>
            <w:tcBorders>
              <w:top w:val="single" w:sz="12" w:space="0" w:color="auto"/>
            </w:tcBorders>
          </w:tcPr>
          <w:p w14:paraId="6032D8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27.06.42-18.09.42</w:t>
            </w:r>
          </w:p>
        </w:tc>
        <w:tc>
          <w:tcPr>
            <w:tcW w:w="1601" w:type="dxa"/>
            <w:tcBorders>
              <w:top w:val="single" w:sz="12" w:space="0" w:color="auto"/>
            </w:tcBorders>
          </w:tcPr>
          <w:p w14:paraId="199677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26.01.43-01.04.43</w:t>
            </w:r>
          </w:p>
        </w:tc>
        <w:tc>
          <w:tcPr>
            <w:tcW w:w="1601" w:type="dxa"/>
            <w:tcBorders>
              <w:top w:val="single" w:sz="12" w:space="0" w:color="auto"/>
            </w:tcBorders>
          </w:tcPr>
          <w:p w14:paraId="3C6FBC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05.07.43-30.07.43</w:t>
            </w:r>
          </w:p>
        </w:tc>
        <w:tc>
          <w:tcPr>
            <w:tcW w:w="1601" w:type="dxa"/>
            <w:tcBorders>
              <w:top w:val="single" w:sz="12" w:space="0" w:color="auto"/>
            </w:tcBorders>
          </w:tcPr>
          <w:p w14:paraId="258F29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01.08.43-31.08.43 </w:t>
            </w:r>
          </w:p>
        </w:tc>
        <w:tc>
          <w:tcPr>
            <w:tcW w:w="1601" w:type="dxa"/>
            <w:tcBorders>
              <w:top w:val="single" w:sz="12" w:space="0" w:color="auto"/>
            </w:tcBorders>
          </w:tcPr>
          <w:p w14:paraId="003047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01.09.43-27.04.45</w:t>
            </w:r>
          </w:p>
        </w:tc>
        <w:tc>
          <w:tcPr>
            <w:tcW w:w="1601" w:type="dxa"/>
            <w:tcBorders>
              <w:top w:val="single" w:sz="12" w:space="0" w:color="auto"/>
            </w:tcBorders>
          </w:tcPr>
          <w:p w14:paraId="5729C7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27.06.42-27.04.45</w:t>
            </w:r>
          </w:p>
        </w:tc>
      </w:tr>
      <w:tr w:rsidR="009B487A" w:rsidRPr="00722885" w14:paraId="40AEBC69" w14:textId="77777777" w:rsidTr="00CC5360">
        <w:tc>
          <w:tcPr>
            <w:tcW w:w="1601" w:type="dxa"/>
          </w:tcPr>
          <w:p w14:paraId="0E2EA1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Общее кол-во боевых вылетов полка</w:t>
            </w:r>
          </w:p>
        </w:tc>
        <w:tc>
          <w:tcPr>
            <w:tcW w:w="1601" w:type="dxa"/>
          </w:tcPr>
          <w:p w14:paraId="2E01AD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236</w:t>
            </w:r>
          </w:p>
        </w:tc>
        <w:tc>
          <w:tcPr>
            <w:tcW w:w="1601" w:type="dxa"/>
          </w:tcPr>
          <w:p w14:paraId="1156EB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w:t>
            </w:r>
          </w:p>
        </w:tc>
        <w:tc>
          <w:tcPr>
            <w:tcW w:w="1601" w:type="dxa"/>
          </w:tcPr>
          <w:p w14:paraId="4E91F2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258</w:t>
            </w:r>
          </w:p>
        </w:tc>
        <w:tc>
          <w:tcPr>
            <w:tcW w:w="1601" w:type="dxa"/>
          </w:tcPr>
          <w:p w14:paraId="5002FE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253</w:t>
            </w:r>
          </w:p>
        </w:tc>
        <w:tc>
          <w:tcPr>
            <w:tcW w:w="1601" w:type="dxa"/>
          </w:tcPr>
          <w:p w14:paraId="1DDC3A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3325</w:t>
            </w:r>
          </w:p>
        </w:tc>
        <w:tc>
          <w:tcPr>
            <w:tcW w:w="1601" w:type="dxa"/>
          </w:tcPr>
          <w:p w14:paraId="24CBFC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4282</w:t>
            </w:r>
          </w:p>
        </w:tc>
      </w:tr>
      <w:tr w:rsidR="009B487A" w:rsidRPr="00722885" w14:paraId="0C9D5E29" w14:textId="77777777" w:rsidTr="00CC5360">
        <w:tc>
          <w:tcPr>
            <w:tcW w:w="1601" w:type="dxa"/>
          </w:tcPr>
          <w:p w14:paraId="0A7EE3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Кол-во боевых дней по отношению к общему кол-ву дней пребывания полка на фронте, %</w:t>
            </w:r>
          </w:p>
        </w:tc>
        <w:tc>
          <w:tcPr>
            <w:tcW w:w="1601" w:type="dxa"/>
          </w:tcPr>
          <w:p w14:paraId="40F82E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33,3</w:t>
            </w:r>
          </w:p>
        </w:tc>
        <w:tc>
          <w:tcPr>
            <w:tcW w:w="1601" w:type="dxa"/>
          </w:tcPr>
          <w:p w14:paraId="0C2F5F0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34,9</w:t>
            </w:r>
          </w:p>
        </w:tc>
        <w:tc>
          <w:tcPr>
            <w:tcW w:w="1601" w:type="dxa"/>
          </w:tcPr>
          <w:p w14:paraId="105C5A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63,3</w:t>
            </w:r>
          </w:p>
        </w:tc>
        <w:tc>
          <w:tcPr>
            <w:tcW w:w="1601" w:type="dxa"/>
          </w:tcPr>
          <w:p w14:paraId="420C39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w:t>
            </w:r>
          </w:p>
        </w:tc>
        <w:tc>
          <w:tcPr>
            <w:tcW w:w="1601" w:type="dxa"/>
          </w:tcPr>
          <w:p w14:paraId="6A0CC3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33,3</w:t>
            </w:r>
          </w:p>
        </w:tc>
        <w:tc>
          <w:tcPr>
            <w:tcW w:w="1601" w:type="dxa"/>
          </w:tcPr>
          <w:p w14:paraId="06C69D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45,6</w:t>
            </w:r>
          </w:p>
        </w:tc>
      </w:tr>
      <w:tr w:rsidR="009B487A" w:rsidRPr="00722885" w14:paraId="7E8441B3" w14:textId="77777777" w:rsidTr="00CC5360">
        <w:tc>
          <w:tcPr>
            <w:tcW w:w="1601" w:type="dxa"/>
          </w:tcPr>
          <w:p w14:paraId="0C31F4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Кол-во боевых вылетов, приходящихся на одну боевую потерю Ил-2</w:t>
            </w:r>
          </w:p>
        </w:tc>
        <w:tc>
          <w:tcPr>
            <w:tcW w:w="1601" w:type="dxa"/>
          </w:tcPr>
          <w:p w14:paraId="738B44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1601" w:type="dxa"/>
          </w:tcPr>
          <w:p w14:paraId="40D3E0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w:t>
            </w:r>
          </w:p>
        </w:tc>
        <w:tc>
          <w:tcPr>
            <w:tcW w:w="1601" w:type="dxa"/>
          </w:tcPr>
          <w:p w14:paraId="1B52A1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10,8</w:t>
            </w:r>
          </w:p>
        </w:tc>
        <w:tc>
          <w:tcPr>
            <w:tcW w:w="1601" w:type="dxa"/>
          </w:tcPr>
          <w:p w14:paraId="4C181B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42,2</w:t>
            </w:r>
          </w:p>
        </w:tc>
        <w:tc>
          <w:tcPr>
            <w:tcW w:w="1601" w:type="dxa"/>
          </w:tcPr>
          <w:p w14:paraId="53D5D9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69,3</w:t>
            </w:r>
          </w:p>
        </w:tc>
        <w:tc>
          <w:tcPr>
            <w:tcW w:w="1601" w:type="dxa"/>
          </w:tcPr>
          <w:p w14:paraId="4E0A5C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28,7</w:t>
            </w:r>
          </w:p>
        </w:tc>
      </w:tr>
      <w:tr w:rsidR="009B487A" w:rsidRPr="00722885" w14:paraId="4355E33F" w14:textId="77777777" w:rsidTr="00CC5360">
        <w:tc>
          <w:tcPr>
            <w:tcW w:w="1601" w:type="dxa"/>
            <w:tcBorders>
              <w:bottom w:val="single" w:sz="12" w:space="0" w:color="auto"/>
            </w:tcBorders>
          </w:tcPr>
          <w:p w14:paraId="32D96B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Кол-во боевых вылетов, приходящихся на одну боевую безвозвратную потерю летчика</w:t>
            </w:r>
          </w:p>
        </w:tc>
        <w:tc>
          <w:tcPr>
            <w:tcW w:w="1601" w:type="dxa"/>
            <w:tcBorders>
              <w:bottom w:val="single" w:sz="12" w:space="0" w:color="auto"/>
            </w:tcBorders>
          </w:tcPr>
          <w:p w14:paraId="5A0401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18,2</w:t>
            </w:r>
          </w:p>
        </w:tc>
        <w:tc>
          <w:tcPr>
            <w:tcW w:w="1601" w:type="dxa"/>
            <w:tcBorders>
              <w:bottom w:val="single" w:sz="12" w:space="0" w:color="auto"/>
            </w:tcBorders>
          </w:tcPr>
          <w:p w14:paraId="66ACBE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1601" w:type="dxa"/>
            <w:tcBorders>
              <w:bottom w:val="single" w:sz="12" w:space="0" w:color="auto"/>
            </w:tcBorders>
          </w:tcPr>
          <w:p w14:paraId="0C193C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14,3</w:t>
            </w:r>
          </w:p>
        </w:tc>
        <w:tc>
          <w:tcPr>
            <w:tcW w:w="1601" w:type="dxa"/>
            <w:tcBorders>
              <w:bottom w:val="single" w:sz="12" w:space="0" w:color="auto"/>
            </w:tcBorders>
          </w:tcPr>
          <w:p w14:paraId="3F25FA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84,3</w:t>
            </w:r>
          </w:p>
        </w:tc>
        <w:tc>
          <w:tcPr>
            <w:tcW w:w="1601" w:type="dxa"/>
            <w:tcBorders>
              <w:bottom w:val="single" w:sz="12" w:space="0" w:color="auto"/>
            </w:tcBorders>
          </w:tcPr>
          <w:p w14:paraId="2F11ED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127,9</w:t>
            </w:r>
          </w:p>
        </w:tc>
        <w:tc>
          <w:tcPr>
            <w:tcW w:w="1601" w:type="dxa"/>
            <w:tcBorders>
              <w:bottom w:val="single" w:sz="12" w:space="0" w:color="auto"/>
            </w:tcBorders>
          </w:tcPr>
          <w:p w14:paraId="5DC0AA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55,9</w:t>
            </w:r>
          </w:p>
        </w:tc>
      </w:tr>
    </w:tbl>
    <w:p w14:paraId="50FBB9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(12020).</w:t>
      </w:r>
    </w:p>
    <w:p w14:paraId="64103C1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DDDB7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сентября 1942 был первый и единственный боевой вылет 23 Хэмпденов с аэродрома Ваэнга под Мурманском. Патрулировали подходы к Альтен-иорду, где был Тирпиц, но немецких судов не встретили. Когда 22 сентября проводка PQ-18 закончилась машины оставили и они вошли в состав 24 мтап, в котором первая эскадрилья имела 9 ДБ-3Ф, а вторая и треться - по 10 Хэмпденов (два - разбили), а два - повредили во время переучивания. Использовались до середины 1943 (5493, 47).</w:t>
      </w:r>
    </w:p>
    <w:p w14:paraId="1DD9CE8A" w14:textId="77777777" w:rsidR="00090C9B" w:rsidRPr="00722885" w:rsidRDefault="00090C9B" w:rsidP="00722885">
      <w:pPr>
        <w:pStyle w:val="Iauiue"/>
        <w:jc w:val="both"/>
        <w:rPr>
          <w:color w:val="000000" w:themeColor="text1"/>
          <w:sz w:val="16"/>
          <w:szCs w:val="16"/>
        </w:rPr>
      </w:pPr>
    </w:p>
    <w:p w14:paraId="47D549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сентября 1942 г. севернее Тосно ЛаГГи 41-го ИАП завалили кавалера Рыцарского креста гауптмана Герберта Финдейзена (67 побед), летчик выпрыгнул с парашютом и попал в плен (4707).</w:t>
      </w:r>
    </w:p>
    <w:p w14:paraId="5C60EF36" w14:textId="77777777" w:rsidR="00090C9B" w:rsidRPr="00722885" w:rsidRDefault="00090C9B" w:rsidP="00722885">
      <w:pPr>
        <w:pStyle w:val="Iauiue"/>
        <w:jc w:val="both"/>
        <w:rPr>
          <w:color w:val="000000" w:themeColor="text1"/>
          <w:sz w:val="16"/>
          <w:szCs w:val="16"/>
        </w:rPr>
      </w:pPr>
    </w:p>
    <w:p w14:paraId="0DC5C2E3" w14:textId="77777777" w:rsidR="00F05BFB" w:rsidRPr="00722885" w:rsidRDefault="00F05BFB" w:rsidP="00722885">
      <w:pPr>
        <w:spacing w:after="0" w:line="240" w:lineRule="auto"/>
        <w:jc w:val="both"/>
        <w:rPr>
          <w:rStyle w:val="ucoz-forum-post"/>
          <w:rFonts w:ascii="Times New Roman" w:eastAsia="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18 сентября 1942 года В лётной книжке лётчика-истребителя ст. лейтенанта А.И. Сукова появилась следующая запись: «...Боевой вылет: 1 час 09 мин. ЛаГГ-3. Ведущий группы. Обеспечение действий Ил-2 из 448-го штурмового авиаполка. Воздушный бой с 8-ю Ме-109 севернее станции Тосно. Сбил ведущего фашистской группы, награжденного Рыцарским крестом».</w:t>
      </w:r>
    </w:p>
    <w:p w14:paraId="76D230E3" w14:textId="77777777" w:rsidR="00F05BFB" w:rsidRPr="00722885" w:rsidRDefault="00F05BFB" w:rsidP="00722885">
      <w:pPr>
        <w:spacing w:after="0" w:line="240" w:lineRule="auto"/>
        <w:jc w:val="both"/>
        <w:rPr>
          <w:rStyle w:val="ucoz-forum-post"/>
          <w:rFonts w:ascii="Times New Roman" w:eastAsia="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lastRenderedPageBreak/>
        <w:t>В этот день шестёрка лётчиков 41-го иап, сошлась в бою с пилотами из II.JG 54. Сначала к Ил-2, штурмовавшим ст. Тосно, пытались прорваться 4 «Мессершмитта», затем число атакующих удвоилось. Тем не менее, советские лётчики, действуя парами на вертикалях и горизонталях и применяя взаимную поддержку и выручку, обеспечили работу штурмовиков. Hи в группе Ил-2, ни в группе сопровождения потерь не было. Безуспешные атаки стоили «Grunherz» одного истребителя и одного лётчика: выпрыгнувший с парашютом, чемпион Германии по боксу в лёгком весе, гауптман Херберт Финдейзен, имевший к этому времени 67 побед, попал в плен.</w:t>
      </w:r>
    </w:p>
    <w:p w14:paraId="78AA7E08" w14:textId="77777777" w:rsidR="00F05BFB" w:rsidRPr="00722885" w:rsidRDefault="00F05BFB" w:rsidP="00722885">
      <w:pPr>
        <w:spacing w:after="0" w:line="240" w:lineRule="auto"/>
        <w:jc w:val="both"/>
        <w:rPr>
          <w:rStyle w:val="ucoz-forum-post"/>
          <w:rFonts w:ascii="Times New Roman" w:eastAsia="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18 сентября 1944 года Последний челночный полёт самолётов США из Полтавы для бомбардировки городов и объектов Германии, операция «Фрэнтик» (14773).</w:t>
      </w:r>
    </w:p>
    <w:p w14:paraId="3FB1E5A1" w14:textId="77777777" w:rsidR="00F05BFB" w:rsidRPr="00722885" w:rsidRDefault="00F05BFB" w:rsidP="00722885">
      <w:pPr>
        <w:spacing w:after="0" w:line="240" w:lineRule="auto"/>
        <w:jc w:val="both"/>
        <w:rPr>
          <w:rStyle w:val="ucoz-forum-post"/>
          <w:rFonts w:ascii="Times New Roman" w:eastAsia="Times New Roman" w:hAnsi="Times New Roman"/>
          <w:color w:val="000000" w:themeColor="text1"/>
          <w:sz w:val="16"/>
          <w:szCs w:val="16"/>
        </w:rPr>
      </w:pPr>
    </w:p>
    <w:p w14:paraId="26C31A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сентября 1942 вышло Постановление ГКО № 2322 Об организации городского комитета обороны в г. Гурьеве. РГАНИР, Фонд ГКО, д. 57, лл. 32 (11012).</w:t>
      </w:r>
    </w:p>
    <w:p w14:paraId="25DE242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61DEE5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554C86D2" w14:textId="77777777" w:rsidR="00090C9B" w:rsidRPr="00722885" w:rsidRDefault="00090C9B" w:rsidP="00722885">
      <w:pPr>
        <w:pStyle w:val="Iauiue"/>
        <w:jc w:val="both"/>
        <w:rPr>
          <w:iCs/>
          <w:color w:val="000000" w:themeColor="text1"/>
          <w:sz w:val="16"/>
          <w:szCs w:val="16"/>
        </w:rPr>
      </w:pPr>
    </w:p>
    <w:p w14:paraId="73DD079E" w14:textId="77777777" w:rsidR="00090C9B" w:rsidRPr="00722885" w:rsidRDefault="00090C9B" w:rsidP="00722885">
      <w:pPr>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18 сентября 1942 вышло Постановление ГКО № 2320 Об использовании иранской военной промышленности. РГАНИР</w:t>
      </w:r>
      <w:r w:rsidRPr="00722885">
        <w:rPr>
          <w:rFonts w:ascii="Times New Roman" w:hAnsi="Times New Roman"/>
          <w:color w:val="000000" w:themeColor="text1"/>
          <w:sz w:val="16"/>
          <w:szCs w:val="16"/>
          <w:lang w:val="en-US"/>
        </w:rPr>
        <w:t xml:space="preserve">, </w:t>
      </w:r>
      <w:r w:rsidRPr="00722885">
        <w:rPr>
          <w:rFonts w:ascii="Times New Roman" w:hAnsi="Times New Roman"/>
          <w:color w:val="000000" w:themeColor="text1"/>
          <w:sz w:val="16"/>
          <w:szCs w:val="16"/>
        </w:rPr>
        <w:t>ФондГКО</w:t>
      </w:r>
      <w:r w:rsidRPr="00722885">
        <w:rPr>
          <w:rFonts w:ascii="Times New Roman" w:hAnsi="Times New Roman"/>
          <w:color w:val="000000" w:themeColor="text1"/>
          <w:sz w:val="16"/>
          <w:szCs w:val="16"/>
          <w:lang w:val="en-US"/>
        </w:rPr>
        <w:t xml:space="preserve">, </w:t>
      </w:r>
      <w:r w:rsidRPr="00722885">
        <w:rPr>
          <w:rFonts w:ascii="Times New Roman" w:hAnsi="Times New Roman"/>
          <w:color w:val="000000" w:themeColor="text1"/>
          <w:sz w:val="16"/>
          <w:szCs w:val="16"/>
        </w:rPr>
        <w:t>д</w:t>
      </w:r>
      <w:r w:rsidRPr="00722885">
        <w:rPr>
          <w:rFonts w:ascii="Times New Roman" w:hAnsi="Times New Roman"/>
          <w:color w:val="000000" w:themeColor="text1"/>
          <w:sz w:val="16"/>
          <w:szCs w:val="16"/>
          <w:lang w:val="en-US"/>
        </w:rPr>
        <w:t xml:space="preserve">. 57, </w:t>
      </w:r>
      <w:r w:rsidRPr="00722885">
        <w:rPr>
          <w:rFonts w:ascii="Times New Roman" w:hAnsi="Times New Roman"/>
          <w:color w:val="000000" w:themeColor="text1"/>
          <w:sz w:val="16"/>
          <w:szCs w:val="16"/>
        </w:rPr>
        <w:t>лл</w:t>
      </w:r>
      <w:r w:rsidRPr="00722885">
        <w:rPr>
          <w:rFonts w:ascii="Times New Roman" w:hAnsi="Times New Roman"/>
          <w:color w:val="000000" w:themeColor="text1"/>
          <w:sz w:val="16"/>
          <w:szCs w:val="16"/>
          <w:lang w:val="en-US"/>
        </w:rPr>
        <w:t>. 23-24 (11012).</w:t>
      </w:r>
    </w:p>
    <w:p w14:paraId="017A36BB" w14:textId="77777777" w:rsidR="00090C9B" w:rsidRPr="00722885" w:rsidRDefault="00090C9B" w:rsidP="00722885">
      <w:pPr>
        <w:spacing w:after="0" w:line="240" w:lineRule="auto"/>
        <w:jc w:val="both"/>
        <w:rPr>
          <w:rFonts w:ascii="Times New Roman" w:hAnsi="Times New Roman"/>
          <w:color w:val="000000" w:themeColor="text1"/>
          <w:sz w:val="16"/>
          <w:szCs w:val="16"/>
          <w:lang w:val="en-US"/>
        </w:rPr>
      </w:pPr>
    </w:p>
    <w:p w14:paraId="48926100"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32A01844" w14:textId="77777777" w:rsidR="00090C9B" w:rsidRPr="00722885" w:rsidRDefault="00090C9B" w:rsidP="00722885">
      <w:pPr>
        <w:pStyle w:val="Iauiue"/>
        <w:jc w:val="both"/>
        <w:rPr>
          <w:iCs/>
          <w:color w:val="000000" w:themeColor="text1"/>
          <w:sz w:val="16"/>
          <w:szCs w:val="16"/>
          <w:lang w:val="en-US"/>
        </w:rPr>
      </w:pPr>
    </w:p>
    <w:p w14:paraId="42CFB0C9" w14:textId="77777777" w:rsidR="00F05BFB" w:rsidRPr="00722885" w:rsidRDefault="00F05BFB" w:rsidP="00722885">
      <w:pPr>
        <w:pStyle w:val="Iauiue"/>
        <w:jc w:val="both"/>
        <w:rPr>
          <w:color w:val="000000" w:themeColor="text1"/>
          <w:sz w:val="16"/>
          <w:szCs w:val="16"/>
          <w:lang w:val="en-US"/>
        </w:rPr>
      </w:pPr>
      <w:r w:rsidRPr="00722885">
        <w:rPr>
          <w:color w:val="000000" w:themeColor="text1"/>
          <w:sz w:val="16"/>
          <w:szCs w:val="16"/>
          <w:lang w:val="en-US"/>
        </w:rPr>
        <w:t>September 18, 1942 - Groves buys 1250 tons of high quality Belgian Congo uranium ore stored on Staten Island (1039).</w:t>
      </w:r>
    </w:p>
    <w:p w14:paraId="34BDDED2" w14:textId="77777777" w:rsidR="00F05BFB" w:rsidRPr="00722885" w:rsidRDefault="00F05BFB" w:rsidP="00722885">
      <w:pPr>
        <w:pStyle w:val="Iauiue"/>
        <w:jc w:val="both"/>
        <w:rPr>
          <w:color w:val="000000" w:themeColor="text1"/>
          <w:sz w:val="16"/>
          <w:szCs w:val="16"/>
          <w:lang w:val="en-US"/>
        </w:rPr>
      </w:pPr>
    </w:p>
    <w:p w14:paraId="7319E2EC" w14:textId="77777777" w:rsidR="00F05BFB" w:rsidRPr="00722885" w:rsidRDefault="00F05BFB" w:rsidP="00722885">
      <w:pPr>
        <w:pStyle w:val="Iauiue"/>
        <w:jc w:val="both"/>
        <w:rPr>
          <w:color w:val="000000" w:themeColor="text1"/>
          <w:sz w:val="16"/>
          <w:szCs w:val="16"/>
        </w:rPr>
      </w:pPr>
      <w:r w:rsidRPr="00722885">
        <w:rPr>
          <w:color w:val="000000" w:themeColor="text1"/>
          <w:sz w:val="16"/>
          <w:szCs w:val="16"/>
        </w:rPr>
        <w:t>18 сентября 1942 Гровс закупил 1250 тон высококачественной урановой руды, добытой в Бельгийском Конго (1039).</w:t>
      </w:r>
    </w:p>
    <w:p w14:paraId="43236042" w14:textId="77777777" w:rsidR="00F05BFB" w:rsidRPr="00722885" w:rsidRDefault="00F05BFB" w:rsidP="00722885">
      <w:pPr>
        <w:pStyle w:val="Iauiue"/>
        <w:jc w:val="both"/>
        <w:rPr>
          <w:color w:val="000000" w:themeColor="text1"/>
          <w:sz w:val="16"/>
          <w:szCs w:val="16"/>
        </w:rPr>
      </w:pPr>
    </w:p>
    <w:p w14:paraId="3F30AC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сентября 1942 нацисты снизили пайки для евреев (1798).</w:t>
      </w:r>
    </w:p>
    <w:p w14:paraId="496212BB" w14:textId="77777777" w:rsidR="00090C9B" w:rsidRPr="00722885" w:rsidRDefault="00090C9B" w:rsidP="00722885">
      <w:pPr>
        <w:pStyle w:val="Iauiue"/>
        <w:jc w:val="both"/>
        <w:rPr>
          <w:color w:val="000000" w:themeColor="text1"/>
          <w:sz w:val="16"/>
          <w:szCs w:val="16"/>
        </w:rPr>
      </w:pPr>
    </w:p>
    <w:p w14:paraId="52757D1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18 сентября </w:t>
      </w:r>
      <w:r w:rsidRPr="00722885">
        <w:rPr>
          <w:rFonts w:ascii="Times New Roman" w:hAnsi="Times New Roman"/>
          <w:color w:val="000000" w:themeColor="text1"/>
          <w:sz w:val="16"/>
          <w:szCs w:val="16"/>
        </w:rPr>
        <w:t>в 1942 году Витцель (Патан) сообщает из Афганистана о массовых арестах германской агентуры британскими спецслужбами (14773).</w:t>
      </w:r>
    </w:p>
    <w:p w14:paraId="004D413D"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2ECC7F2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635D0C8" w14:textId="77777777" w:rsidR="00090C9B" w:rsidRPr="00722885" w:rsidRDefault="00090C9B" w:rsidP="00722885">
      <w:pPr>
        <w:pStyle w:val="Iauiue"/>
        <w:jc w:val="both"/>
        <w:rPr>
          <w:iCs/>
          <w:color w:val="000000" w:themeColor="text1"/>
          <w:sz w:val="16"/>
          <w:szCs w:val="16"/>
        </w:rPr>
      </w:pPr>
    </w:p>
    <w:p w14:paraId="09976EF0" w14:textId="77777777" w:rsidR="00BB2084" w:rsidRPr="00722885" w:rsidRDefault="00BB208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19 сентября 1942 в адрес начальника НИИ ВВС генерал-майора Лосюкова ушло распо</w:t>
      </w:r>
      <w:r w:rsidRPr="00722885">
        <w:rPr>
          <w:rFonts w:ascii="Times New Roman" w:hAnsi="Times New Roman" w:cs="Times New Roman"/>
          <w:color w:val="000000" w:themeColor="text1"/>
          <w:sz w:val="16"/>
          <w:szCs w:val="16"/>
        </w:rPr>
        <w:softHyphen/>
        <w:t>ряжение Репина «принять на испытания с завода № 30 самолеты Ил-2 с АМ-38 в двухместном варианте и провести их в кратчайший срок с целью внесения воз</w:t>
      </w:r>
      <w:r w:rsidRPr="00722885">
        <w:rPr>
          <w:rFonts w:ascii="Times New Roman" w:hAnsi="Times New Roman" w:cs="Times New Roman"/>
          <w:color w:val="000000" w:themeColor="text1"/>
          <w:sz w:val="16"/>
          <w:szCs w:val="16"/>
        </w:rPr>
        <w:softHyphen/>
        <w:t>можных изменений в изготовлявшуюся войсковую серию этих самолетов» (19111).</w:t>
      </w:r>
    </w:p>
    <w:p w14:paraId="11879E6B" w14:textId="77777777" w:rsidR="00BB2084" w:rsidRPr="00722885" w:rsidRDefault="00BB208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0AFE98E9" w14:textId="77777777" w:rsidR="00797B7A" w:rsidRPr="00722885" w:rsidRDefault="00797B7A" w:rsidP="00722885">
      <w:pPr>
        <w:pStyle w:val="95"/>
        <w:shd w:val="clear" w:color="auto" w:fill="auto"/>
        <w:spacing w:after="0" w:line="240" w:lineRule="auto"/>
        <w:ind w:firstLine="0"/>
        <w:jc w:val="both"/>
        <w:rPr>
          <w:rStyle w:val="aff6"/>
          <w:rFonts w:ascii="Times New Roman" w:hAnsi="Times New Roman" w:cs="Times New Roman"/>
          <w:i w:val="0"/>
          <w:iCs w:val="0"/>
          <w:color w:val="0070C0"/>
        </w:rPr>
      </w:pPr>
      <w:r w:rsidRPr="00722885">
        <w:rPr>
          <w:color w:val="0070C0"/>
          <w:sz w:val="16"/>
          <w:szCs w:val="16"/>
        </w:rPr>
        <w:t>19 сентября 1942 в адрес начальника НИИ ВВС генерал-майора Лосюкова ушло распоряжение Репина</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«при</w:t>
      </w:r>
      <w:r w:rsidRPr="00722885">
        <w:rPr>
          <w:rStyle w:val="aff6"/>
          <w:rFonts w:ascii="Times New Roman" w:hAnsi="Times New Roman" w:cs="Times New Roman"/>
          <w:i w:val="0"/>
          <w:iCs w:val="0"/>
          <w:color w:val="0070C0"/>
        </w:rPr>
        <w:softHyphen/>
        <w:t>нять на испытания с завода №30 самолеты Ил-2 с АМ-38 в двухместном варианте и про</w:t>
      </w:r>
      <w:r w:rsidRPr="00722885">
        <w:rPr>
          <w:rStyle w:val="aff6"/>
          <w:rFonts w:ascii="Times New Roman" w:hAnsi="Times New Roman" w:cs="Times New Roman"/>
          <w:i w:val="0"/>
          <w:iCs w:val="0"/>
          <w:color w:val="0070C0"/>
        </w:rPr>
        <w:softHyphen/>
        <w:t>вести их в кратчайший срок с целью внесения возможных изменений в изготовлявшуюся вой</w:t>
      </w:r>
      <w:r w:rsidRPr="00722885">
        <w:rPr>
          <w:rStyle w:val="aff6"/>
          <w:rFonts w:ascii="Times New Roman" w:hAnsi="Times New Roman" w:cs="Times New Roman"/>
          <w:i w:val="0"/>
          <w:iCs w:val="0"/>
          <w:color w:val="0070C0"/>
        </w:rPr>
        <w:softHyphen/>
        <w:t>сковую серию этих самолетов» (19877).</w:t>
      </w:r>
    </w:p>
    <w:p w14:paraId="643CEAA6" w14:textId="77777777" w:rsidR="00797B7A" w:rsidRPr="00722885" w:rsidRDefault="00797B7A" w:rsidP="00722885">
      <w:pPr>
        <w:pStyle w:val="95"/>
        <w:shd w:val="clear" w:color="auto" w:fill="auto"/>
        <w:spacing w:after="0" w:line="240" w:lineRule="auto"/>
        <w:ind w:firstLine="0"/>
        <w:jc w:val="both"/>
        <w:rPr>
          <w:color w:val="0070C0"/>
          <w:sz w:val="16"/>
          <w:szCs w:val="16"/>
        </w:rPr>
      </w:pPr>
    </w:p>
    <w:p w14:paraId="1AD52F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сентября 1942 Дир. завода 18 Шенкман и Нач. ОЭР Бобров писали письмо в сопровождение материалов проверки причин срыва поставки самолетов на фронт формирующихся с 15 января по 15 июня под непосредственным руководством 1 ЗАБ, базирующейся на станции Кряж. Просили поставить вопрос перед командованием о более серьезной организации работ по формированию полков в ЗАБ:</w:t>
      </w:r>
    </w:p>
    <w:p w14:paraId="7F84CBA0" w14:textId="77777777" w:rsidR="00090C9B" w:rsidRPr="00722885" w:rsidRDefault="00090C9B" w:rsidP="00722885">
      <w:pPr>
        <w:pStyle w:val="Iauiue"/>
        <w:numPr>
          <w:ilvl w:val="0"/>
          <w:numId w:val="12"/>
        </w:numPr>
        <w:ind w:left="0" w:firstLine="0"/>
        <w:jc w:val="both"/>
        <w:rPr>
          <w:color w:val="000000" w:themeColor="text1"/>
          <w:sz w:val="16"/>
          <w:szCs w:val="16"/>
        </w:rPr>
      </w:pPr>
      <w:r w:rsidRPr="00722885">
        <w:rPr>
          <w:color w:val="000000" w:themeColor="text1"/>
          <w:sz w:val="16"/>
          <w:szCs w:val="16"/>
        </w:rPr>
        <w:t>Обеспечить аэродромы, формирующие ап Ил-2 БАО и ПАРМ и т.п....(1635,113).</w:t>
      </w:r>
    </w:p>
    <w:p w14:paraId="2484C8D7" w14:textId="77777777" w:rsidR="00090C9B" w:rsidRPr="00722885" w:rsidRDefault="00090C9B" w:rsidP="00722885">
      <w:pPr>
        <w:pStyle w:val="Iauiue"/>
        <w:jc w:val="both"/>
        <w:rPr>
          <w:color w:val="000000" w:themeColor="text1"/>
          <w:sz w:val="16"/>
          <w:szCs w:val="16"/>
        </w:rPr>
      </w:pPr>
    </w:p>
    <w:p w14:paraId="1519A2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сентября 1942 г. начались Государственные испытания ДБ-3Ф с крылом со стрелкой. Они показали, что максимальная скорость полета уменьшилась до 404 км/ч на высоте 6660 м, но зато значительно возросла дальность полета. С бомбовым грузом в 1000 кг на внутренней подвеске дальность увеличилась до 3585 км при скорости 340 км/ч и до 4265 км при 250 км/ч. Наружная подвеска трех бомб ФАБ-500 уменьшала максимальную скорость полета на 14-16 км/ч.</w:t>
      </w:r>
    </w:p>
    <w:p w14:paraId="137E72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Применение нового флюгируемого воздушного винта АВ-5Ф-158 диаметром 3,5 м, устанавливаемого на отдельных экземплярах, и увеличение на 2 м2 площади посадочных щитков позволяло этому самолету действовать с тех же грунтовых фронтовых аэродромов, с которых эксплуатировались и ранее выпущенные самолеты ДБ-3Ф и Ил-4.</w:t>
      </w:r>
    </w:p>
    <w:p w14:paraId="750C27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оценке летчиков В.В.Лисицина и М.А.Нюхтикова, управляемость и маневренность самолета со “стрелкой” в воздухе улучшилась. С зажатым управлением самолет был продольно устойчивым. Устойчивость сохранялась и с брошенным управлением, хотя уже была близка к нейтральной. Уменьшились нагрузки от элеронов на штурвал, и поперечное управление облегчилось. Пилотирование самолета в воздухе, в целом, стало приятнее.</w:t>
      </w:r>
    </w:p>
    <w:p w14:paraId="6E672E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Самолеты Ил-4, имевшие крыло со “стрелкой”, строились серийно, сначала с деревянными, а затем и с металлическими отъемными частями крыла (9528).</w:t>
      </w:r>
    </w:p>
    <w:p w14:paraId="075F0025" w14:textId="77777777" w:rsidR="00090C9B" w:rsidRPr="00722885" w:rsidRDefault="00090C9B" w:rsidP="00722885">
      <w:pPr>
        <w:pStyle w:val="Iauiue"/>
        <w:jc w:val="both"/>
        <w:rPr>
          <w:color w:val="000000" w:themeColor="text1"/>
          <w:sz w:val="16"/>
          <w:szCs w:val="16"/>
        </w:rPr>
      </w:pPr>
    </w:p>
    <w:p w14:paraId="629547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сентября 1942 вышел приказ НКАП N 714с:</w:t>
      </w:r>
    </w:p>
    <w:p w14:paraId="13DD80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сентября 1942 П.Воронин писал ГИ АДД г-м иас Маркову писбмо N Н-36/4127:</w:t>
      </w:r>
    </w:p>
    <w:p w14:paraId="3399C6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выпускаемых самолетах Ли-2 с 15 сентября 1942 устанавливаются турели УТК-1 вместо МВ-3." (1315,124).</w:t>
      </w:r>
    </w:p>
    <w:p w14:paraId="2D5324E7" w14:textId="77777777" w:rsidR="00090C9B" w:rsidRPr="00722885" w:rsidRDefault="00090C9B" w:rsidP="00722885">
      <w:pPr>
        <w:pStyle w:val="Iauiue"/>
        <w:jc w:val="both"/>
        <w:rPr>
          <w:color w:val="000000" w:themeColor="text1"/>
          <w:sz w:val="16"/>
          <w:szCs w:val="16"/>
        </w:rPr>
      </w:pPr>
    </w:p>
    <w:p w14:paraId="69BB72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19 сентября по 2 октября 1942 на заводе № 47 в Оренбурге проходили заводские испытания НББ Як-6 № 0247. Поставили РСИ-4 и РПК-10ю Мог нести 500 кг бомб под крылом. Поставили ШКАС на шкворневой установке ОП-102. Ви - Р.А.Стасевич. Летал л П.П.Скарандеев. Выполнили 15 полетов (4657, 17).</w:t>
      </w:r>
    </w:p>
    <w:p w14:paraId="57330E15" w14:textId="77777777" w:rsidR="00090C9B" w:rsidRPr="00722885" w:rsidRDefault="00090C9B" w:rsidP="00722885">
      <w:pPr>
        <w:pStyle w:val="Iauiue"/>
        <w:jc w:val="both"/>
        <w:rPr>
          <w:color w:val="000000" w:themeColor="text1"/>
          <w:sz w:val="16"/>
          <w:szCs w:val="16"/>
        </w:rPr>
      </w:pPr>
    </w:p>
    <w:p w14:paraId="5CB02E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сентября 1942 закончились гос. испытания М-107. Но решили выпуск не начинать, а форсировать и начать производство с октября как М-107А (198,54).</w:t>
      </w:r>
    </w:p>
    <w:p w14:paraId="6DF48311" w14:textId="77777777" w:rsidR="00090C9B" w:rsidRPr="00722885" w:rsidRDefault="00090C9B" w:rsidP="00722885">
      <w:pPr>
        <w:pStyle w:val="Iauiue"/>
        <w:jc w:val="both"/>
        <w:rPr>
          <w:color w:val="000000" w:themeColor="text1"/>
          <w:sz w:val="16"/>
          <w:szCs w:val="16"/>
        </w:rPr>
      </w:pPr>
    </w:p>
    <w:p w14:paraId="585527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сентября 1942 г. успешными испытаниями закончилась доводка М-107, наяатая в январе 1942. Но, в связи с работами по аналогичному мотору М-106П, начатыми в том же месяце, было принято решение серийного выпуска М-107 не начинать, а форсировать его мощность и приступить к изготовлению форсированного образца с октября 1942 г. под наименованием М-107А.</w:t>
      </w:r>
    </w:p>
    <w:p w14:paraId="55DC0A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форсированию М-107 прошли успешно, хотя с некоторым запозданием, и с марта 1943 г. М- 107А с номинальной мощностью 1600/1500 л.с. (первая/вторая скорости нагнетателя) начали выпускать серийно. Новый мотор тут же попытались "вписать" в конструкцию Як-1. Атак как по времени это совпало с созданием Як-IM, то все лучшее, накопленное при его разработке, было перенесено и на новую машину. К апрелю самолет был готов. От Як-1М его отличали мотор М-107А с винтом ВИШ-107, еще меньшая площадь элеронов (0,5 м2 по сравнению с 1,0 м2 на Як-IM). В связи с установкой нового мотора капоты и каркас капотов были удлинены на 100 мм. Запас топлива размещался в четырех крыльевых бензобаках и одном расходном баке. Вес конструкции при этом составил 2438 кг против 2133 кг у Як-1 М (здесь и выше имеется в виду первый прототип Як-1М).</w:t>
      </w:r>
    </w:p>
    <w:p w14:paraId="7594FA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в отношении этого варианта Як-1, как и Як-IM с форсированным М-105ПФ. встала проблема соответствия устройств охлаждения новому мотору. Причем для Як- 1М особенно, так как теплоотдача М-107А. по сравнению с М-105ПФ, возросла с 7500 до 9500 кал/мин. Продувками модели Як-1 с М-107 с различными типами охлаждающих устройств в аэродинамической трубе Т-106 ЦАГИ и на основе результатов продувок Як- I М подобрали наиболее рациональную компоновку радиаторов. По результатам этих исследовательских работ самолет в сентябре 1943 г. подвергся переделкам. Ко 2 октября он был готов и 5 октября совершил свой первый полет (12048).</w:t>
      </w:r>
    </w:p>
    <w:p w14:paraId="6F65A9B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A2DA4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сентября 1942 вышел приказ НКАП № 714с:</w:t>
      </w:r>
    </w:p>
    <w:p w14:paraId="34194B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соответствии с решением ГОКО от 26 мая 1942 и от 26 июня 1942 (№ 2107) и от 6 августа 1942 (№ 2143):</w:t>
      </w:r>
    </w:p>
    <w:p w14:paraId="4980E209" w14:textId="77777777" w:rsidR="00090C9B" w:rsidRPr="00722885" w:rsidRDefault="00090C9B" w:rsidP="00722885">
      <w:pPr>
        <w:pStyle w:val="Iauiue"/>
        <w:numPr>
          <w:ilvl w:val="0"/>
          <w:numId w:val="13"/>
        </w:numPr>
        <w:ind w:left="0" w:firstLine="0"/>
        <w:jc w:val="both"/>
        <w:rPr>
          <w:color w:val="000000" w:themeColor="text1"/>
          <w:sz w:val="16"/>
          <w:szCs w:val="16"/>
        </w:rPr>
      </w:pPr>
      <w:r w:rsidRPr="00722885">
        <w:rPr>
          <w:color w:val="000000" w:themeColor="text1"/>
          <w:sz w:val="16"/>
          <w:szCs w:val="16"/>
        </w:rPr>
        <w:t>Безыменскому автогенному з-ду присвоить № 52,</w:t>
      </w:r>
    </w:p>
    <w:p w14:paraId="706C514D" w14:textId="77777777" w:rsidR="00090C9B" w:rsidRPr="00722885" w:rsidRDefault="00090C9B" w:rsidP="00722885">
      <w:pPr>
        <w:pStyle w:val="Iauiue"/>
        <w:numPr>
          <w:ilvl w:val="0"/>
          <w:numId w:val="13"/>
        </w:numPr>
        <w:ind w:left="0" w:firstLine="0"/>
        <w:jc w:val="both"/>
        <w:rPr>
          <w:color w:val="000000" w:themeColor="text1"/>
          <w:sz w:val="16"/>
          <w:szCs w:val="16"/>
        </w:rPr>
      </w:pPr>
      <w:r w:rsidRPr="00722885">
        <w:rPr>
          <w:color w:val="000000" w:themeColor="text1"/>
          <w:sz w:val="16"/>
          <w:szCs w:val="16"/>
        </w:rPr>
        <w:t>Принятому от НКХП Алексеевскому з-ду пластмасс присвоить № 53,</w:t>
      </w:r>
    </w:p>
    <w:p w14:paraId="0677F59B" w14:textId="77777777" w:rsidR="00090C9B" w:rsidRPr="00722885" w:rsidRDefault="00090C9B" w:rsidP="00722885">
      <w:pPr>
        <w:pStyle w:val="Iauiue"/>
        <w:numPr>
          <w:ilvl w:val="0"/>
          <w:numId w:val="13"/>
        </w:numPr>
        <w:ind w:left="0" w:firstLine="0"/>
        <w:jc w:val="both"/>
        <w:rPr>
          <w:color w:val="000000" w:themeColor="text1"/>
          <w:sz w:val="16"/>
          <w:szCs w:val="16"/>
        </w:rPr>
      </w:pPr>
      <w:r w:rsidRPr="00722885">
        <w:rPr>
          <w:color w:val="000000" w:themeColor="text1"/>
          <w:sz w:val="16"/>
          <w:szCs w:val="16"/>
        </w:rPr>
        <w:t>Вновь построенному карбидному з-ду присвоить № 57,</w:t>
      </w:r>
    </w:p>
    <w:p w14:paraId="4315EDE3" w14:textId="77777777" w:rsidR="00090C9B" w:rsidRPr="00722885" w:rsidRDefault="00090C9B" w:rsidP="00722885">
      <w:pPr>
        <w:pStyle w:val="Iauiue"/>
        <w:numPr>
          <w:ilvl w:val="0"/>
          <w:numId w:val="13"/>
        </w:numPr>
        <w:ind w:left="0" w:firstLine="0"/>
        <w:jc w:val="both"/>
        <w:rPr>
          <w:color w:val="000000" w:themeColor="text1"/>
          <w:sz w:val="16"/>
          <w:szCs w:val="16"/>
        </w:rPr>
      </w:pPr>
      <w:r w:rsidRPr="00722885">
        <w:rPr>
          <w:color w:val="000000" w:themeColor="text1"/>
          <w:sz w:val="16"/>
          <w:szCs w:val="16"/>
        </w:rPr>
        <w:t>з-ды 52, 53, 57 подчинить 15 ГУ</w:t>
      </w:r>
    </w:p>
    <w:p w14:paraId="3B53E8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Дементьев (1603, 27).</w:t>
      </w:r>
    </w:p>
    <w:p w14:paraId="1D017701" w14:textId="77777777" w:rsidR="00090C9B" w:rsidRPr="00722885" w:rsidRDefault="00090C9B" w:rsidP="00722885">
      <w:pPr>
        <w:pStyle w:val="Iauiue"/>
        <w:jc w:val="both"/>
        <w:rPr>
          <w:color w:val="000000" w:themeColor="text1"/>
          <w:sz w:val="16"/>
          <w:szCs w:val="16"/>
        </w:rPr>
      </w:pPr>
    </w:p>
    <w:p w14:paraId="5C3F2B1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E65075D" w14:textId="77777777" w:rsidR="00090C9B" w:rsidRPr="00722885" w:rsidRDefault="00090C9B" w:rsidP="00722885">
      <w:pPr>
        <w:pStyle w:val="Iauiue"/>
        <w:jc w:val="both"/>
        <w:rPr>
          <w:iCs/>
          <w:color w:val="000000" w:themeColor="text1"/>
          <w:sz w:val="16"/>
          <w:szCs w:val="16"/>
        </w:rPr>
      </w:pPr>
    </w:p>
    <w:p w14:paraId="04D87E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сентября 1942 г. по приказу № 714с Алексеевский завод НКХП был передан в НКАП и получил наименование ГС завод № 53 НКАП 15ГУ (далее- трест № 1). По приказу № 263 от 18.07.1945 г. завод № 53 влит в состав завода № 454 НКАП 2ГУ. Производство изделий из пластмасс (11982).</w:t>
      </w:r>
    </w:p>
    <w:p w14:paraId="006EA82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0366F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сентября 1942 года была подготовлена справка:</w:t>
      </w:r>
    </w:p>
    <w:p w14:paraId="336297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Директора завода № 621 Макарущенко освободить, назначить Володина К.А. (9270).</w:t>
      </w:r>
    </w:p>
    <w:p w14:paraId="68495B05" w14:textId="77777777" w:rsidR="00090C9B" w:rsidRPr="00722885" w:rsidRDefault="00090C9B" w:rsidP="00722885">
      <w:pPr>
        <w:pStyle w:val="Iauiue"/>
        <w:jc w:val="both"/>
        <w:rPr>
          <w:color w:val="000000" w:themeColor="text1"/>
          <w:sz w:val="16"/>
          <w:szCs w:val="16"/>
        </w:rPr>
      </w:pPr>
    </w:p>
    <w:p w14:paraId="6135C51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сентября 1942 из бронелиста средней твердости на УЗТМ были отштампо</w:t>
      </w:r>
      <w:r w:rsidRPr="00722885">
        <w:rPr>
          <w:rFonts w:ascii="Times New Roman" w:hAnsi="Times New Roman"/>
          <w:color w:val="000000" w:themeColor="text1"/>
          <w:sz w:val="16"/>
          <w:szCs w:val="16"/>
        </w:rPr>
        <w:softHyphen/>
        <w:t>ваны первые три башенных купола, прозванные заводчана-ми «формочками». Эксперимент показал, что, вопреки вы</w:t>
      </w:r>
      <w:r w:rsidRPr="00722885">
        <w:rPr>
          <w:rFonts w:ascii="Times New Roman" w:hAnsi="Times New Roman"/>
          <w:color w:val="000000" w:themeColor="text1"/>
          <w:sz w:val="16"/>
          <w:szCs w:val="16"/>
        </w:rPr>
        <w:softHyphen/>
        <w:t>сказываниям скептиков, купола получились целыми, без разрывов и трещин. Термообработка не привела к значи</w:t>
      </w:r>
      <w:r w:rsidRPr="00722885">
        <w:rPr>
          <w:rFonts w:ascii="Times New Roman" w:hAnsi="Times New Roman"/>
          <w:color w:val="000000" w:themeColor="text1"/>
          <w:sz w:val="16"/>
          <w:szCs w:val="16"/>
        </w:rPr>
        <w:softHyphen/>
        <w:t>тельным деформациям, а главное — снарядостойкость штампованного купола оказалась куда лучшей, чем таковая у самой лучшей литой башни, несмотря на меньшую тол</w:t>
      </w:r>
      <w:r w:rsidRPr="00722885">
        <w:rPr>
          <w:rFonts w:ascii="Times New Roman" w:hAnsi="Times New Roman"/>
          <w:color w:val="000000" w:themeColor="text1"/>
          <w:sz w:val="16"/>
          <w:szCs w:val="16"/>
        </w:rPr>
        <w:softHyphen/>
        <w:t>щину стенок. Стоимость новой башни оказалась на 5000 рублей выше, чем У литой, но производительность труда при штамповке была высочайшей. Механизмы для танка УЗТМ получал первоначально от УТЗ им. Сталина, позднее — от ЧКЗ. Первые 5 танков Т-34 УЗТМ сдал заказчику в сентябре 1942 г., до конца 1942 г. это количество составило 266 машин, из них со штампованной башней — 106. ЧКЗ, производивший прежде тяжелые танки КВ, на</w:t>
      </w:r>
      <w:r w:rsidRPr="00722885">
        <w:rPr>
          <w:rFonts w:ascii="Times New Roman" w:hAnsi="Times New Roman"/>
          <w:color w:val="000000" w:themeColor="text1"/>
          <w:sz w:val="16"/>
          <w:szCs w:val="16"/>
        </w:rPr>
        <w:softHyphen/>
        <w:t>ходился в более выгодном положении в плане выпуска Т-34 перед другими, ведь распоряжением наркома НКТП В. Малышева завод прорабатывал вопрос об освоении вы</w:t>
      </w:r>
      <w:r w:rsidRPr="00722885">
        <w:rPr>
          <w:rFonts w:ascii="Times New Roman" w:hAnsi="Times New Roman"/>
          <w:color w:val="000000" w:themeColor="text1"/>
          <w:sz w:val="16"/>
          <w:szCs w:val="16"/>
        </w:rPr>
        <w:softHyphen/>
        <w:t>пуска Т-34 еще осенью 1941 г. Но тогда время челябинских «тридцатьчетверок» еще не настало (10782).</w:t>
      </w:r>
    </w:p>
    <w:p w14:paraId="66D6E5A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D356A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сентября 1942 г. по приказу № 714с Куйбышевский карбилный завод получил наименование ГС завод № 57 НКАП при 15ГУ.</w:t>
      </w:r>
    </w:p>
    <w:p w14:paraId="6538E0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июля 1942 г. вышло постановление ГКО № 2107 о организации Куйбышевского карбидного завода (ГС Завод № 57 НКАП, МАП, Куйбышевский карбндный завод, Куйбышевский Карбидно-Кислородный завод, ЗАО «Самарский кислородный завод» (СаКиЗ) /443052  г. Самара ул. Береговая, 5/), который строился с конца 1941.</w:t>
      </w:r>
    </w:p>
    <w:p w14:paraId="521404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 г. после начала войны в Куйбышев эвакуированы Воронежский кислородный и Запорожский карбидный заводы, начали производственную деятельность в 1942 г.</w:t>
      </w:r>
    </w:p>
    <w:p w14:paraId="64FD13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введен в строй в 1942 г.</w:t>
      </w:r>
    </w:p>
    <w:p w14:paraId="5BD6FC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СМ СССР № 713-342 от 26.06.1957 г. передан в ведение Куйбышевского СНХ РСФСР. Пост. СНХ в 1959 г. все заводы были объединены в Куйбышевский Карбидно-Кислородный завод.</w:t>
      </w:r>
    </w:p>
    <w:p w14:paraId="61AA13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1979-81 г. была проведена полная реконструкция завода, установлено современное оборудование на новой производственной площадке. В 1994 г. начат выпуск водорода, поверочных газовых смесей, «бананового газа».</w:t>
      </w:r>
    </w:p>
    <w:p w14:paraId="54BE14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предприятие было акционировано и преобразовано в ОАО «Самарский кислородный завод». В 02.2007 г. СаКиЗ куплен немецким концерном «Линде-газ».</w:t>
      </w:r>
    </w:p>
    <w:p w14:paraId="1B3180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Гендиректор (-2005-07 г.-)- </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 Мухтаров.</w:t>
      </w:r>
    </w:p>
    <w:p w14:paraId="550947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Коммерческий директор (2007 г.)- С. Каляев (11982).</w:t>
      </w:r>
    </w:p>
    <w:p w14:paraId="6014C409" w14:textId="77777777" w:rsidR="00F05BFB" w:rsidRPr="00722885" w:rsidRDefault="00F05BFB" w:rsidP="00722885">
      <w:pPr>
        <w:pStyle w:val="Iauiue"/>
        <w:jc w:val="both"/>
        <w:rPr>
          <w:iCs/>
          <w:color w:val="000000" w:themeColor="text1"/>
          <w:sz w:val="16"/>
          <w:szCs w:val="16"/>
        </w:rPr>
      </w:pPr>
    </w:p>
    <w:p w14:paraId="17B1866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07EF8CA" w14:textId="77777777" w:rsidR="00090C9B" w:rsidRPr="00722885" w:rsidRDefault="00090C9B" w:rsidP="00722885">
      <w:pPr>
        <w:pStyle w:val="Iauiue"/>
        <w:jc w:val="both"/>
        <w:rPr>
          <w:iCs/>
          <w:color w:val="000000" w:themeColor="text1"/>
          <w:sz w:val="16"/>
          <w:szCs w:val="16"/>
        </w:rPr>
      </w:pPr>
    </w:p>
    <w:p w14:paraId="721B142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19 сентября </w:t>
      </w:r>
      <w:r w:rsidRPr="00722885">
        <w:rPr>
          <w:rFonts w:ascii="Times New Roman" w:hAnsi="Times New Roman"/>
          <w:color w:val="000000" w:themeColor="text1"/>
          <w:sz w:val="16"/>
          <w:szCs w:val="16"/>
        </w:rPr>
        <w:t>в 1942 году утреннее сообщение Совинформбюро:</w:t>
      </w:r>
    </w:p>
    <w:p w14:paraId="13E113E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19 сентября наши войска вели бои с противником в районе Сталинграда и в районе Моздок. На других фронтах существенных изменений не произошло.</w:t>
      </w:r>
    </w:p>
    <w:p w14:paraId="3CC568F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северо-западной окраине Сталинграда продолжались ожесточённые бои. Н-ская часть отбила несколько атак противника и уничтожила 4 немецких танка, 3 противотанковых орудия и истребила свыше 200 гитлеровцев. Немцы неоднократно пытались захватить наши позиции, прикрывающие подступы к одному важному объекту. Защитники Сталинграда гранатами уничтожили 6 танков, а затем в рукопашнойсхватке истребили 170 немецких солдат и офицеров. Противник был вынужден отступить.</w:t>
      </w:r>
    </w:p>
    <w:p w14:paraId="7C57F88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бойцы Н-ской части Красной Армии в ожесточённом бою уничтожили 7 немецких танков, 6 орудий, 13 автомашин с войсками и боеприпасами и истребили до 300 солдат и офицеров противника. Захвачено у немцев 2 миномёта, орудие, 8 пулемётов и 3 автомашины со снарядами. Взяты пленные. На другом участке наши артиллеристы произвели огневой налёт на скопление противника и уничтожили 20 автомашин и до двух рот гитлеровцев.</w:t>
      </w:r>
    </w:p>
    <w:p w14:paraId="55E76E5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в воздушных боях сбили 12 немецких самолётов.</w:t>
      </w:r>
    </w:p>
    <w:p w14:paraId="2A80410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наши подразделения под командованием тов. Корчица вели активные боевые действия и несколько потеснили противника. На окраине одного населённого пункта завязался бой, в ходе которого немцы потеряли убитыми и ранеными несколько сот солдат и офицеров.</w:t>
      </w:r>
    </w:p>
    <w:p w14:paraId="154C032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наших сапёров во главе с т. Галли совершила рейд в тыл неприятеля. Сапёры взорвали железнодорожный мост на магистрали, по которой немцы перебрасывали подкрепления. Движение по железной дороге было прекращено на несколько дней.</w:t>
      </w:r>
    </w:p>
    <w:p w14:paraId="20211BC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 Краснознамённого Балтийского флота произвели ночной налёт на вражеский порт. Преодолев мощный зенитный огонь, наши лётчики сбросили бомбы по заданным целям. В порту возникло пять очагов пожаров и произошло шесть сильных взрывов.</w:t>
      </w:r>
    </w:p>
    <w:p w14:paraId="31334E6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1 роты 704 полка 281 охранной дивизии Иосиф Марковец рассказал: «Бургомистр одного села прислал коменданту лейтенанту Янсену полицейского с донесением. Бургомистр сообщил, что партизаны готовят на него нападение, и просил защиты. Янсен направил в деревню 10 солдат с фельдфебелем Эрнстом Митигом. Я тоже попал в эту группу. Партизаны, очевидно, следили за нами. По дороге они напали на нас. Из всей группы уцелели только я и ещё один солдат, с которым мы вместе сдались в плен».</w:t>
      </w:r>
    </w:p>
    <w:p w14:paraId="1853863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записной книжки, найденной у убитого венгерского ефрейтора Дюла Янко: «Прошли три деревни и сожгли их дотла. В них не осталось ни одного целого дома. Потом четыре дня отдыхали. Пришли ещё в одну деревню, ждали приказа о дальнейших действиях. После обеда получили приказ — все дома сжечь. Лейтенант спросил, кто возьмётся выполнить этот приказ. Вызвались я и мой друг —ефрейтор Папаи. Мы принялись за дело. Поджигали дом за домом... Одной старухе я отрубил голову топором, другую женщину пристрелил из винтовки».</w:t>
      </w:r>
    </w:p>
    <w:p w14:paraId="575163D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деревне Николаевка, Воронежской области, немецко-фашистские мерзавцы захватили в доме крестьянина Никифорова тяжело раненного красноармейца Озерова Ивана Николаевича. Гитлеровские бандиты живым зарыли в землю раненого бойца. За то, что крестьянин приютил у себя в доме раненого красноармейца, фашисты расстреляли Никифорова, его жену и трёх их детей.</w:t>
      </w:r>
    </w:p>
    <w:p w14:paraId="68702A3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Тронхейме (Норвегия) в результате обвала железнодорожной насыпи, подорванной в нескольких местах минами, разрушен железнодорожный путь. Движение поездов приостановлено. За последнее время норвежские патриоты в районе Тронхейма произвели также несколько диверсий на промышленных предприятиях, захваченных немцами.» (14774).</w:t>
      </w:r>
    </w:p>
    <w:p w14:paraId="3210442B"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3513E45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сентября в 1942 году вечернее сообщение Совинформбюро:</w:t>
      </w:r>
    </w:p>
    <w:p w14:paraId="572B925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19 сентября наши войска вели ожесточённые бои с противником в районе Сталинграда и в районе Моздок.</w:t>
      </w:r>
    </w:p>
    <w:p w14:paraId="3D9A821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боях в районе Моздока убит командующий немецкой первой танковой армией генерал-полковник фон Клейст.</w:t>
      </w:r>
    </w:p>
    <w:p w14:paraId="6B7DFF80"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других фронтах существенных изменений не произошло.</w:t>
      </w:r>
    </w:p>
    <w:p w14:paraId="5BBFCC7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18 сентября частями нашей авиации на различных участках фронта уничтожено или повреждено 12 немецких танков и бронемашин, 70 автомашин с войсками и грузами, подавлен огонь 10 батарей полевой и зенитной артиллерии, рассеяно и частью уничтожено до батальона пехоты противника.</w:t>
      </w:r>
    </w:p>
    <w:p w14:paraId="68138130"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Наши части предприняли ряд контратак, в результате которых очистили от гитлеровцев несколько улиц. На одном участке окружена и полностью истреблена рота немецких автоматчиков.Противник пытался оказать помощь окружённой роте и бросил в бой 20 танков. Наши бойцы огнём из противотанковых ружей, гранатами и бутылками с зажигательной смесью подбили и сожгли 8 немецких танков.</w:t>
      </w:r>
    </w:p>
    <w:p w14:paraId="4F5002B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отбит ряд контратак противника. Наши бойцы захватили 3 немецких танка и сразу же использовали их в борьбе против гитлеровцев. Восточнее Моздока Н-ская часть уничтожила до двух рот немецкой пехоты. Артиллеристы этой же части совместно с бронебойщиками сожгли и подбили 5 танков противника.</w:t>
      </w:r>
    </w:p>
    <w:p w14:paraId="4B856FD0"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в районе Воронежа два полка пехоты противника при поддержке танков в течение дня восемь раз атаковали наши позиции. Бойцы Н-скойчасти отбили все атаки гитлеровцев. Уничтожено до двух батальонов пехоты и 10 танков противника.</w:t>
      </w:r>
    </w:p>
    <w:p w14:paraId="591F5B0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действиями наших разведывательных групп, снайперов и артиллерийским огнём за три дня уничтожено до 400 солдат и офицеров противника. Лётчики и зенитчики Ленинградского фронта, отражая налёты вражеской авиации, сбили 10 и подбили 8 немецких самолётов.</w:t>
      </w:r>
    </w:p>
    <w:p w14:paraId="22F3D491"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Снайперы одного из подразделений, где командиром тов. Трухан, за 20 дней уничтожили 318 гитлеровцев. Снайпер т. Фролов истребил 43 гитлеровца, т.Коновалов — 38, т. Васильев — 36 немцев.</w:t>
      </w:r>
    </w:p>
    <w:p w14:paraId="7F2E7AE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сентября группа партизан организовала на железнодорожном участкеПсков—Луга крушение немецкого эшелона, следовавшего к фронту. Разбито 12 платформ с танками и 16 вагонов. На другом участке этой дороги партизаны пустили под откос воинский эшелон. В результате крушения насчитывается много убитых и раненых немецких оккупантов.</w:t>
      </w:r>
    </w:p>
    <w:p w14:paraId="352E64B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Добровольно перешедший на сторону Красной Армии немецкий унтер-офицер Август Д. рассказал: «Когда-то Геринг говорил, что ни один самолёт противника никогда не достигнет Германии. Геринг уверял, что на Германию не будет сброшено ни одной бомбы. Простаки и глупцы верили ему. Однако всё это оказалось бахвальством, обманом. Сейчас Германия больше, чем какая-либо другая страна в мире, подвергается налётам авиации. В связи с этим растёт недовольство войной и гитлеровским режимом. Я разговаривал с беженцами из Бремена, Кельна, Кенигсберга и других городов. Они сообщили, что целые кварталы этих городов превращены в развалины. На уцелевших стенах разрушенных предприятий и домов часто появляются надписи: «Благодарите фюрера. Это он сделал».</w:t>
      </w:r>
    </w:p>
    <w:p w14:paraId="4FDA5DC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акт о злодеяниях немецко-румынских оккупантов, совершённыхими в деревне Кызбурун, Кабардино-Балкарской АССР.</w:t>
      </w:r>
    </w:p>
    <w:p w14:paraId="074C75F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«Мы, нижеподписавшиеся, составили настоящий акт о нижеследующем: на другой день после того, как Красная Армия изгнала немецко-румынских захватчиков из села Кызбурун, Кабардино-Балкарской АССР, мы обошли селение, заходили во все дома, беседовали с крестьянами. Смерть и запустение принесли гитлеровцы горцам. За короткий срок немецко-румынские мерзавцы опустошили и разрушили некогда цветущее кабардинское селение Кызбурун. Немцы и румыны угнали скот горцев, разграбили их имущество. Бандиты забирали всё: одежду, обувь, ковры, подушки, одеяла, посуду. Во всём селении нет ни одного неразграбленного дома. Всё, что гитлеровские бандиты не могли унести с собой, они уничтожили и сожгли. Грабежи сопровождались убийствами мирных граждан, насилием над женщинами и девушками. Гитлеровцы обстреляли из автоматов дом жены красноармейца Гисымоловой и тяжело ранили Гисымолову, а её десятилетнего сына убили. Немецко-румынские людоеды замучили и расстреляли больше 50 мирных жителей деревни. Среди жертв гитлеровских убийц —старик Сату Куршев, 12-летний Зарамук Саблиров и другие. Жену красноармейца Мухяжиру А. изнасиловали два немецких ефрейтора. Группа пьяных солдат ворваласьв дом колхозницы Б. и изнасиловала её. Отступая под ударами Красной Армии, гитлеровцы угнали с собой 11 семей колхозников и много девушек и женщин, не успевших скрыться в горах.</w:t>
      </w:r>
    </w:p>
    <w:p w14:paraId="1B56099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Такова горькая правда о кошмарных преступлениях немецко-румынских оккупантовв кавказско-мусульманском селении Кызбурун».</w:t>
      </w:r>
    </w:p>
    <w:p w14:paraId="4EBB2B5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Акт подписали: колхозники Муса Албагачиев, Хусейн Муцульгов, Осман Ажигов, Виса Харачеев, Кеха Кокяев, депутат Верховного Совета Чечено-Ингушской АССР Халид Мурадов, ингушский писатель Идрис Базоркин и другие. Всего 28 человек.» (14774).</w:t>
      </w:r>
    </w:p>
    <w:p w14:paraId="7D7B877E"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0709DE85"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19 сентября 1942 «Мессершмитты» из I./JG53 встретили над Сталинградом очередную группу Ил-2. Едва фельдфебель Вильгельм Будке из 2-й эскадрильи вышел в хвост одному из «цементбомберов», как по его Bf-109G-2 был выпущен «эрэс» с другого Ила. Ракета взорвалась прямо перед лобовым стеклом фонаря кабины. Будке получил тяжелейшие ранения, но все же смог выпрыгнуть на парашюте. Он опустился в расположение немецких войск и был немедленно доставлен на самолете в госпиталь в Сталино (ныне Донецк), где, несмотря на все усилия врачей, 11 ноября скончался от полученных ранений (19522).</w:t>
      </w:r>
    </w:p>
    <w:p w14:paraId="20AA3D9B" w14:textId="77777777" w:rsidR="00BB2084" w:rsidRPr="00722885" w:rsidRDefault="00BB2084" w:rsidP="00722885">
      <w:pPr>
        <w:pStyle w:val="ae"/>
        <w:spacing w:before="0" w:after="0"/>
        <w:jc w:val="both"/>
        <w:textAlignment w:val="baseline"/>
        <w:rPr>
          <w:color w:val="000000" w:themeColor="text1"/>
          <w:sz w:val="16"/>
          <w:szCs w:val="16"/>
        </w:rPr>
      </w:pPr>
    </w:p>
    <w:p w14:paraId="3E0A1A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сентября 1942 г. четверка Пе-3, возглавляемая командиром полка подполковником А.В. Жатьковым, отразила полет 24 бомбардировщиков Ju 88, попытавшихся атаковать суда конвоя PQ-18 на рейде Молотовска. Два немецких самолета были уничтожены, несколько повреждено. По немецким данным, в ходе боя, происходившего 20 сентября, русские Пе-3 сбили Ju 88А № 881422 из I/KG30 - экипаж погиб в Белом море (12042).</w:t>
      </w:r>
    </w:p>
    <w:p w14:paraId="2494892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15D9E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сентября 1942 г. вышел ПРИКАЗ НКО № 0728 О ВНЕДРЕНИИ В БОЕВУЮ ПРАКТИКУ ТАНКОВЫХ ВОЙСК СТРЕЛЬБЫ ИЗ ТАНКОВ С ХОДА</w:t>
      </w:r>
    </w:p>
    <w:p w14:paraId="2FA92E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Опыт отечественной войны показывает, что наши танкисты не используют в бою всей огневой мощи танков, не ведут по противнику интенсивного артиллерийского и пулеметного огня с хода, а ограничиваются прицельной* стрельбой только из орудий, да и то с коротких остановок.</w:t>
      </w:r>
    </w:p>
    <w:p w14:paraId="085FF4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Практикуемые нашими войсками танковые атаки без достаточно интенсивного огня всех огневых средств танков создают благоприятные условия для безнаказанной работы орудийных расчетов артиллерии противника.</w:t>
      </w:r>
    </w:p>
    <w:p w14:paraId="643CC5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Такая неправильная практика значительно уменьшает силу огневого и морального воздействия наших танков на противника и приводит к большим потерям в танках от артиллерийского огня врага.</w:t>
      </w:r>
    </w:p>
    <w:p w14:paraId="0A8242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Приказываю:</w:t>
      </w:r>
    </w:p>
    <w:p w14:paraId="423A6E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Танковым частям действующей армии с момента подхода к боевым порядкам своей пехоты атаку противника начинать мощным огнем с хода из всего танкового вооружения как из орудий, так и из пулеметов, не боясь того, что стрельба получится не всегда прицельная. Стрельба из танков с хода должна быть основным видом огневого воздействия наших танков на противника и прежде всего на его живую силу.</w:t>
      </w:r>
    </w:p>
    <w:p w14:paraId="56B921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Увеличить боекомплект в танках, доведя его на танке КВ до 114 снарядов, на танке Т-34 — до 100 снарядов и на танке Т-70 — до 90 снарядов.</w:t>
      </w:r>
    </w:p>
    <w:p w14:paraId="174768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танковых бригадах и полках иметь три боекомплекта, из них один возимый в танках.</w:t>
      </w:r>
    </w:p>
    <w:p w14:paraId="297421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В целях увеличения дальности действия танков возобновить к 1.10.42 г. установку запасных баков для горючего на танках КВ и Т-34 емкостью для КВ 360 л и для Т-34 270 л.</w:t>
      </w:r>
    </w:p>
    <w:p w14:paraId="673D8E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Начальнику Главного автобронетанкового управления Красной Армии дать указания начальникам танковых училищ и командирам учебных танковых частей о внесении в программы обучения изменений в соответствии с данным приказом.</w:t>
      </w:r>
    </w:p>
    <w:p w14:paraId="3FA289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Начальникам Главного артиллерийского управления Красной Армии и Управления снабжения горючим Красной Армии внести соответствующие изменения в нормы отпуска танковым частям боеприпасов и горюче-смазочных материалов.</w:t>
      </w:r>
    </w:p>
    <w:p w14:paraId="598B53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Приказ разослать командующим танковых армий, командирам танковых корпусов и мехкорпусов, танковых бригад, полков, батальонов и начальникам танковых училищ.</w:t>
      </w:r>
    </w:p>
    <w:p w14:paraId="510C8424" w14:textId="77777777" w:rsidR="00090C9B" w:rsidRPr="00722885" w:rsidRDefault="00090C9B" w:rsidP="00722885">
      <w:pPr>
        <w:pStyle w:val="Iauiue"/>
        <w:jc w:val="both"/>
        <w:rPr>
          <w:iCs/>
          <w:color w:val="000000" w:themeColor="text1"/>
          <w:sz w:val="16"/>
          <w:szCs w:val="16"/>
        </w:rPr>
      </w:pPr>
      <w:r w:rsidRPr="00722885">
        <w:rPr>
          <w:iCs/>
          <w:color w:val="000000" w:themeColor="text1"/>
          <w:sz w:val="16"/>
          <w:szCs w:val="16"/>
        </w:rPr>
        <w:t>Народный комиссар обороны И. СТАЛИН (9844).</w:t>
      </w:r>
    </w:p>
    <w:p w14:paraId="68364978" w14:textId="77777777" w:rsidR="00090C9B" w:rsidRPr="00722885" w:rsidRDefault="00090C9B" w:rsidP="00722885">
      <w:pPr>
        <w:pStyle w:val="Iauiue"/>
        <w:jc w:val="both"/>
        <w:rPr>
          <w:iCs/>
          <w:color w:val="000000" w:themeColor="text1"/>
          <w:sz w:val="16"/>
          <w:szCs w:val="16"/>
        </w:rPr>
      </w:pPr>
    </w:p>
    <w:p w14:paraId="05AD6C1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69198779" w14:textId="77777777" w:rsidR="00090C9B" w:rsidRPr="00722885" w:rsidRDefault="00090C9B" w:rsidP="00722885">
      <w:pPr>
        <w:pStyle w:val="Iauiue"/>
        <w:jc w:val="both"/>
        <w:rPr>
          <w:iCs/>
          <w:color w:val="000000" w:themeColor="text1"/>
          <w:sz w:val="16"/>
          <w:szCs w:val="16"/>
        </w:rPr>
      </w:pPr>
    </w:p>
    <w:p w14:paraId="136F1F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Style w:val="af0"/>
          <w:rFonts w:ascii="Times New Roman" w:hAnsi="Times New Roman"/>
          <w:i w:val="0"/>
          <w:iCs w:val="0"/>
          <w:color w:val="000000" w:themeColor="text1"/>
          <w:sz w:val="16"/>
          <w:szCs w:val="16"/>
        </w:rPr>
        <w:t xml:space="preserve">19 сентября 1942 г. </w:t>
      </w:r>
      <w:r w:rsidRPr="00722885">
        <w:rPr>
          <w:rFonts w:ascii="Times New Roman" w:hAnsi="Times New Roman"/>
          <w:color w:val="000000" w:themeColor="text1"/>
          <w:sz w:val="16"/>
          <w:szCs w:val="16"/>
        </w:rPr>
        <w:t>были начаты работы по созданию правительственного лимузина высшего класса ЗИС-110. Верховный заказчик пожелал за образец автомобиля взять лимузин фирмы «Паккард».</w:t>
      </w:r>
    </w:p>
    <w:p w14:paraId="290DA79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BE4576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1F9DFB0" w14:textId="77777777" w:rsidR="00090C9B" w:rsidRPr="00722885" w:rsidRDefault="00090C9B" w:rsidP="00722885">
      <w:pPr>
        <w:pStyle w:val="Iauiue"/>
        <w:jc w:val="both"/>
        <w:rPr>
          <w:iCs/>
          <w:color w:val="000000" w:themeColor="text1"/>
          <w:sz w:val="16"/>
          <w:szCs w:val="16"/>
        </w:rPr>
      </w:pPr>
    </w:p>
    <w:p w14:paraId="7A0731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сентября 1942 г. третий образец ХР-39Е с новым оперением поднялся в воздух. К этому вре-мени из уцелевших обломков восстано-вили вторую машину, и тоже привлекли к испытаниям. Однако 8 февраля 1943 г. её «грохнули» во второй раз.</w:t>
      </w:r>
    </w:p>
    <w:p w14:paraId="010443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к этому моменту уже было ясно, что, как говорится, «фокус не удался». Скорость истребителя увеличилась, но не настолько, как предполагали. Зато уве-личилась посадочная скорость, затянулся разбег, ухудшились скороподъёмность и манёвренность, уменьшился практичес-кий потолок. Р-39Е забраковали, планы массового производства этой модифи-кации отбросили.</w:t>
      </w:r>
    </w:p>
    <w:p w14:paraId="1B9924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сама идея внедрения лами-нарного крыла продолжала оставаться многообещающей. Поэтому параллель-но с «моделью 23» стали разрабатывать проект «модели 33», являвшейся уже но-вым истребителем, но сохранявшим ту же компоновку с размещением двигателя за кабиной пилота и передачей вращения на винт через длинный вал и вынесенный вперёд редуктор (12265).</w:t>
      </w:r>
    </w:p>
    <w:p w14:paraId="5D1AE51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BD2D85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19 сентября 1942 фашистами в Париже введен комендантский час (4962).</w:t>
      </w:r>
    </w:p>
    <w:p w14:paraId="12C16575" w14:textId="77777777" w:rsidR="00090C9B" w:rsidRPr="00722885" w:rsidRDefault="00090C9B" w:rsidP="00722885">
      <w:pPr>
        <w:pStyle w:val="Iauiue"/>
        <w:tabs>
          <w:tab w:val="left" w:pos="11199"/>
        </w:tabs>
        <w:jc w:val="both"/>
        <w:rPr>
          <w:color w:val="000000" w:themeColor="text1"/>
          <w:sz w:val="16"/>
          <w:szCs w:val="16"/>
        </w:rPr>
      </w:pPr>
    </w:p>
    <w:p w14:paraId="205DFEAA"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19, 1942 - Groves buys Site X, 52000 acres of land on the Clinch River in Tennessee, the future site of Oak Ridge. Preliminary construction work begins soon after (1039).</w:t>
      </w:r>
    </w:p>
    <w:p w14:paraId="50FF8C55" w14:textId="77777777" w:rsidR="00090C9B" w:rsidRPr="00722885" w:rsidRDefault="00090C9B" w:rsidP="00722885">
      <w:pPr>
        <w:pStyle w:val="Iauiue"/>
        <w:jc w:val="both"/>
        <w:rPr>
          <w:color w:val="000000" w:themeColor="text1"/>
          <w:sz w:val="16"/>
          <w:szCs w:val="16"/>
          <w:lang w:val="en-US"/>
        </w:rPr>
      </w:pPr>
    </w:p>
    <w:p w14:paraId="76B78B24"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 xml:space="preserve">19 </w:t>
      </w:r>
      <w:r w:rsidRPr="00722885">
        <w:rPr>
          <w:color w:val="000000" w:themeColor="text1"/>
          <w:sz w:val="16"/>
          <w:szCs w:val="16"/>
        </w:rPr>
        <w:t>сентября</w:t>
      </w:r>
      <w:r w:rsidRPr="00722885">
        <w:rPr>
          <w:color w:val="000000" w:themeColor="text1"/>
          <w:sz w:val="16"/>
          <w:szCs w:val="16"/>
          <w:lang w:val="en-US"/>
        </w:rPr>
        <w:t xml:space="preserve"> 1942 </w:t>
      </w:r>
      <w:r w:rsidRPr="00722885">
        <w:rPr>
          <w:color w:val="000000" w:themeColor="text1"/>
          <w:sz w:val="16"/>
          <w:szCs w:val="16"/>
        </w:rPr>
        <w:t>гГровсприобрел</w:t>
      </w:r>
      <w:r w:rsidRPr="00722885">
        <w:rPr>
          <w:color w:val="000000" w:themeColor="text1"/>
          <w:sz w:val="16"/>
          <w:szCs w:val="16"/>
          <w:lang w:val="en-US"/>
        </w:rPr>
        <w:t xml:space="preserve"> 52 </w:t>
      </w:r>
      <w:r w:rsidRPr="00722885">
        <w:rPr>
          <w:color w:val="000000" w:themeColor="text1"/>
          <w:sz w:val="16"/>
          <w:szCs w:val="16"/>
        </w:rPr>
        <w:t>тыс</w:t>
      </w:r>
      <w:r w:rsidRPr="00722885">
        <w:rPr>
          <w:color w:val="000000" w:themeColor="text1"/>
          <w:sz w:val="16"/>
          <w:szCs w:val="16"/>
          <w:lang w:val="en-US"/>
        </w:rPr>
        <w:t xml:space="preserve">. </w:t>
      </w:r>
      <w:r w:rsidRPr="00722885">
        <w:rPr>
          <w:color w:val="000000" w:themeColor="text1"/>
          <w:sz w:val="16"/>
          <w:szCs w:val="16"/>
        </w:rPr>
        <w:t>акровземли</w:t>
      </w:r>
      <w:r w:rsidRPr="00722885">
        <w:rPr>
          <w:color w:val="000000" w:themeColor="text1"/>
          <w:sz w:val="16"/>
          <w:szCs w:val="16"/>
          <w:lang w:val="en-US"/>
        </w:rPr>
        <w:t xml:space="preserve">, </w:t>
      </w:r>
      <w:r w:rsidRPr="00722885">
        <w:rPr>
          <w:color w:val="000000" w:themeColor="text1"/>
          <w:sz w:val="16"/>
          <w:szCs w:val="16"/>
        </w:rPr>
        <w:t>гдепотомпостроилОакРидж</w:t>
      </w:r>
      <w:r w:rsidRPr="00722885">
        <w:rPr>
          <w:color w:val="000000" w:themeColor="text1"/>
          <w:sz w:val="16"/>
          <w:szCs w:val="16"/>
          <w:lang w:val="en-US"/>
        </w:rPr>
        <w:t xml:space="preserve"> (1039).</w:t>
      </w:r>
    </w:p>
    <w:p w14:paraId="7A61E45A" w14:textId="77777777" w:rsidR="00090C9B" w:rsidRPr="00722885" w:rsidRDefault="00090C9B" w:rsidP="00722885">
      <w:pPr>
        <w:pStyle w:val="Iauiue"/>
        <w:jc w:val="both"/>
        <w:rPr>
          <w:color w:val="000000" w:themeColor="text1"/>
          <w:sz w:val="16"/>
          <w:szCs w:val="16"/>
          <w:lang w:val="en-US"/>
        </w:rPr>
      </w:pPr>
    </w:p>
    <w:p w14:paraId="18824FB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A385B5F" w14:textId="77777777" w:rsidR="00090C9B" w:rsidRPr="00722885" w:rsidRDefault="00090C9B" w:rsidP="00722885">
      <w:pPr>
        <w:pStyle w:val="Iauiue"/>
        <w:jc w:val="both"/>
        <w:rPr>
          <w:iCs/>
          <w:color w:val="000000" w:themeColor="text1"/>
          <w:sz w:val="16"/>
          <w:szCs w:val="16"/>
        </w:rPr>
      </w:pPr>
    </w:p>
    <w:p w14:paraId="3F1621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 сентября 1942 ОКБ П.О.С., размещенное на заводе 19 в Молотове (Пермь) передало в производство чертежи Су-8 с двумя М-71, проектирование которого началось в мае 1942. Строительство началось еще в августе 1942 (1062,7).</w:t>
      </w:r>
    </w:p>
    <w:p w14:paraId="4EFFE6BD" w14:textId="77777777" w:rsidR="00090C9B" w:rsidRPr="00722885" w:rsidRDefault="00090C9B" w:rsidP="00722885">
      <w:pPr>
        <w:pStyle w:val="Iauiue"/>
        <w:jc w:val="both"/>
        <w:rPr>
          <w:color w:val="000000" w:themeColor="text1"/>
          <w:sz w:val="16"/>
          <w:szCs w:val="16"/>
        </w:rPr>
      </w:pPr>
    </w:p>
    <w:p w14:paraId="4A43BE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20 сентября 1942 г. ОКБ П.О.С. подготовило и передало в производство чертежи и всю техническую документацию и уже к 27 ноября 1942 г. заводом № 289 была изготовлена вся необходимая оснастка и приспособления для двух машин (9649).</w:t>
      </w:r>
    </w:p>
    <w:p w14:paraId="23FA6ACD" w14:textId="77777777" w:rsidR="00090C9B" w:rsidRPr="00722885" w:rsidRDefault="00090C9B" w:rsidP="00722885">
      <w:pPr>
        <w:pStyle w:val="Iauiue"/>
        <w:jc w:val="both"/>
        <w:rPr>
          <w:color w:val="000000" w:themeColor="text1"/>
          <w:sz w:val="16"/>
          <w:szCs w:val="16"/>
        </w:rPr>
      </w:pPr>
    </w:p>
    <w:p w14:paraId="58E00F24" w14:textId="77777777" w:rsidR="00651661" w:rsidRPr="00722885" w:rsidRDefault="0065166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20 сентября 1942 г. ОКБ подготовило и пере</w:t>
      </w:r>
      <w:r w:rsidRPr="00722885">
        <w:rPr>
          <w:color w:val="000000" w:themeColor="text1"/>
          <w:sz w:val="16"/>
          <w:szCs w:val="16"/>
        </w:rPr>
        <w:softHyphen/>
        <w:t>дало в производство чертежи и всю техническую документацию, и уже к 27 ноября 1942 г. заводом № 289 была изготовлена вся необходимая оснаст</w:t>
      </w:r>
      <w:r w:rsidRPr="00722885">
        <w:rPr>
          <w:color w:val="000000" w:themeColor="text1"/>
          <w:sz w:val="16"/>
          <w:szCs w:val="16"/>
        </w:rPr>
        <w:softHyphen/>
        <w:t>ка и приспособления для 2 самолетов. Окончание постройки 1-го экземпляра ДДБШ 2М-71 плани</w:t>
      </w:r>
      <w:r w:rsidRPr="00722885">
        <w:rPr>
          <w:color w:val="000000" w:themeColor="text1"/>
          <w:sz w:val="16"/>
          <w:szCs w:val="16"/>
        </w:rPr>
        <w:softHyphen/>
        <w:t>ровалось к 1 мая 1943 г. Однако, поскольку завод не обладал достаточным станочным парком, эти сроки оказались нереальными. Поэтому при фор</w:t>
      </w:r>
      <w:r w:rsidRPr="00722885">
        <w:rPr>
          <w:color w:val="000000" w:themeColor="text1"/>
          <w:sz w:val="16"/>
          <w:szCs w:val="16"/>
        </w:rPr>
        <w:softHyphen/>
        <w:t>мировании плана опытного самолетостроения на 1943 г. передачу штурмовика на государственные летные испытания наметили на 1 сентября этого года (17500).</w:t>
      </w:r>
    </w:p>
    <w:p w14:paraId="26B1BBA9" w14:textId="77777777" w:rsidR="00651661" w:rsidRPr="00722885" w:rsidRDefault="00651661" w:rsidP="00722885">
      <w:pPr>
        <w:spacing w:after="0" w:line="240" w:lineRule="auto"/>
        <w:jc w:val="both"/>
        <w:rPr>
          <w:rFonts w:ascii="Times New Roman" w:hAnsi="Times New Roman"/>
          <w:color w:val="000000" w:themeColor="text1"/>
          <w:sz w:val="16"/>
          <w:szCs w:val="16"/>
        </w:rPr>
      </w:pPr>
    </w:p>
    <w:p w14:paraId="0B7905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 сентября 1942 года был составлен Паспорт завода № 23 по состоянию на 1 января 1942</w:t>
      </w:r>
    </w:p>
    <w:p w14:paraId="3CCA83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Иосилович (9478).</w:t>
      </w:r>
    </w:p>
    <w:p w14:paraId="4017078D" w14:textId="77777777" w:rsidR="00090C9B" w:rsidRPr="00722885" w:rsidRDefault="00090C9B" w:rsidP="00722885">
      <w:pPr>
        <w:pStyle w:val="Iauiue"/>
        <w:jc w:val="both"/>
        <w:rPr>
          <w:color w:val="000000" w:themeColor="text1"/>
          <w:sz w:val="16"/>
          <w:szCs w:val="16"/>
        </w:rPr>
      </w:pPr>
    </w:p>
    <w:p w14:paraId="4E897A8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B2E3967" w14:textId="77777777" w:rsidR="00090C9B" w:rsidRPr="00722885" w:rsidRDefault="00090C9B" w:rsidP="00722885">
      <w:pPr>
        <w:pStyle w:val="Iauiue"/>
        <w:jc w:val="both"/>
        <w:rPr>
          <w:iCs/>
          <w:color w:val="000000" w:themeColor="text1"/>
          <w:sz w:val="16"/>
          <w:szCs w:val="16"/>
        </w:rPr>
      </w:pPr>
    </w:p>
    <w:p w14:paraId="075CEC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сентября 1942 началась сборка первых Т-34 на заводе в Омске. Но сразу же встали проблемы, связанные с неприспособленностью завода с точки зрения полного цикла производства танков. Рост числа крупных деталей, которые необходимо было изготавливать литьём, привел к тому, что литейные цеха не могли более обеспечивать производство. Достать новое оборудование было просто негде. Директор УЗТМ Б. Г. Музруков принял решение перейти от литья башни к её штамповке. Для этой цели был задействован уникальный пресс мощностью 10000 тонн. Хотя таким способом удалось выйти из сложного положения, но новый метод привёл к значительному росту затрат энергии и материалов, которые превышали расходы на литую башню более чем в двое (ГАРФ. Ф. Р-5446. Оп. 44а. Д. 7522. Л. 51-52). 21 сентября были сданы военной приёмке первые пять танков. В ноябре уже был произведён 101 танк (12290).</w:t>
      </w:r>
    </w:p>
    <w:p w14:paraId="12E11AB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0C9A2EF" w14:textId="77777777" w:rsidR="00F05BFB" w:rsidRPr="00722885" w:rsidRDefault="00F05BF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20 сентября 1942 по</w:t>
      </w:r>
      <w:r w:rsidRPr="00722885">
        <w:rPr>
          <w:rFonts w:ascii="Times New Roman" w:cs="Times New Roman"/>
          <w:color w:val="000000" w:themeColor="text1"/>
          <w:spacing w:val="0"/>
        </w:rPr>
        <w:softHyphen/>
        <w:t>становлением ГКО № 2323сс Челябинско</w:t>
      </w:r>
      <w:r w:rsidRPr="00722885">
        <w:rPr>
          <w:rFonts w:ascii="Times New Roman" w:cs="Times New Roman"/>
          <w:color w:val="000000" w:themeColor="text1"/>
          <w:spacing w:val="0"/>
        </w:rPr>
        <w:softHyphen/>
        <w:t>му Кировскому заводу предписывалось вы</w:t>
      </w:r>
      <w:r w:rsidRPr="00722885">
        <w:rPr>
          <w:rFonts w:ascii="Times New Roman" w:cs="Times New Roman"/>
          <w:color w:val="000000" w:themeColor="text1"/>
          <w:spacing w:val="0"/>
        </w:rPr>
        <w:softHyphen/>
        <w:t xml:space="preserve">пускать танки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с дополнительны</w:t>
      </w:r>
      <w:r w:rsidRPr="00722885">
        <w:rPr>
          <w:rFonts w:ascii="Times New Roman" w:cs="Times New Roman"/>
          <w:color w:val="000000" w:themeColor="text1"/>
          <w:spacing w:val="0"/>
        </w:rPr>
        <w:softHyphen/>
        <w:t>ми топливными баками и увеличенным до 114 выстрелов боекомплектом (перво</w:t>
      </w:r>
      <w:r w:rsidRPr="00722885">
        <w:rPr>
          <w:rFonts w:ascii="Times New Roman" w:cs="Times New Roman"/>
          <w:color w:val="000000" w:themeColor="text1"/>
          <w:spacing w:val="0"/>
        </w:rPr>
        <w:softHyphen/>
        <w:t>начально на КВ-1С имелось 90 снарядов). В связи с этим увеличилась до 43,4 т и мас</w:t>
      </w:r>
      <w:r w:rsidRPr="00722885">
        <w:rPr>
          <w:rFonts w:ascii="Times New Roman" w:cs="Times New Roman"/>
          <w:color w:val="000000" w:themeColor="text1"/>
          <w:spacing w:val="0"/>
        </w:rPr>
        <w:softHyphen/>
        <w:t>са танка. Это увеличение, согласно докла</w:t>
      </w:r>
      <w:r w:rsidRPr="00722885">
        <w:rPr>
          <w:rFonts w:ascii="Times New Roman" w:cs="Times New Roman"/>
          <w:color w:val="000000" w:themeColor="text1"/>
          <w:spacing w:val="0"/>
        </w:rPr>
        <w:softHyphen/>
        <w:t>да директора ЧКЗ С. Махонина и главно</w:t>
      </w:r>
      <w:r w:rsidRPr="00722885">
        <w:rPr>
          <w:rFonts w:ascii="Times New Roman" w:cs="Times New Roman"/>
          <w:color w:val="000000" w:themeColor="text1"/>
          <w:spacing w:val="0"/>
        </w:rPr>
        <w:softHyphen/>
        <w:t>го конструктора Ж. Котина, произошло за счет следующего:</w:t>
      </w:r>
    </w:p>
    <w:p w14:paraId="327C923A" w14:textId="77777777" w:rsidR="00F05BFB" w:rsidRPr="00722885" w:rsidRDefault="00F05BF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 Четырех дополнительных бачков с кре</w:t>
      </w:r>
      <w:r w:rsidRPr="00722885">
        <w:rPr>
          <w:rFonts w:ascii="Times New Roman" w:cs="Times New Roman"/>
          <w:color w:val="000000" w:themeColor="text1"/>
          <w:spacing w:val="0"/>
        </w:rPr>
        <w:softHyphen/>
        <w:t>плением, для топлива - 104 кг.</w:t>
      </w:r>
    </w:p>
    <w:p w14:paraId="70028805" w14:textId="77777777" w:rsidR="00F05BFB" w:rsidRPr="00722885" w:rsidRDefault="00F05BFB" w:rsidP="00722885">
      <w:pPr>
        <w:pStyle w:val="27"/>
        <w:shd w:val="clear" w:color="auto" w:fill="auto"/>
        <w:tabs>
          <w:tab w:val="left" w:pos="42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 Одного дополнительного бачка с кре</w:t>
      </w:r>
      <w:r w:rsidRPr="00722885">
        <w:rPr>
          <w:rFonts w:ascii="Times New Roman" w:cs="Times New Roman"/>
          <w:color w:val="000000" w:themeColor="text1"/>
          <w:spacing w:val="0"/>
        </w:rPr>
        <w:softHyphen/>
        <w:t>плением, для масла - 26 кг.</w:t>
      </w:r>
    </w:p>
    <w:p w14:paraId="2C291690" w14:textId="77777777" w:rsidR="00F05BFB" w:rsidRPr="00722885" w:rsidRDefault="00F05BFB" w:rsidP="00722885">
      <w:pPr>
        <w:pStyle w:val="27"/>
        <w:shd w:val="clear" w:color="auto" w:fill="auto"/>
        <w:tabs>
          <w:tab w:val="left" w:pos="385"/>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3. Дополнительной пулеметной укладки - 4 кг.</w:t>
      </w:r>
    </w:p>
    <w:p w14:paraId="3F5357C5" w14:textId="77777777" w:rsidR="00F05BFB" w:rsidRPr="00722885" w:rsidRDefault="00F05BFB" w:rsidP="00722885">
      <w:pPr>
        <w:pStyle w:val="27"/>
        <w:shd w:val="clear" w:color="auto" w:fill="auto"/>
        <w:tabs>
          <w:tab w:val="left" w:pos="390"/>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4. Дополнительной снарядной укладки - 19 кг.</w:t>
      </w:r>
    </w:p>
    <w:p w14:paraId="7B5B0903" w14:textId="77777777" w:rsidR="00F05BFB" w:rsidRPr="00722885" w:rsidRDefault="00F05BFB" w:rsidP="00722885">
      <w:pPr>
        <w:pStyle w:val="27"/>
        <w:shd w:val="clear" w:color="auto" w:fill="auto"/>
        <w:tabs>
          <w:tab w:val="left" w:pos="457"/>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5. Дополнительного запаса топлива, 400 литров — 350 кг.</w:t>
      </w:r>
    </w:p>
    <w:p w14:paraId="6E75C03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Дополнительного запаса масла, 100 ли</w:t>
      </w:r>
      <w:r w:rsidRPr="00722885">
        <w:rPr>
          <w:rFonts w:ascii="Times New Roman" w:hAnsi="Times New Roman"/>
          <w:color w:val="000000" w:themeColor="text1"/>
          <w:sz w:val="16"/>
          <w:szCs w:val="16"/>
        </w:rPr>
        <w:softHyphen/>
        <w:t>тров - 90 кг</w:t>
      </w:r>
    </w:p>
    <w:p w14:paraId="365C9949" w14:textId="77777777" w:rsidR="00F05BFB" w:rsidRPr="00722885" w:rsidRDefault="00F05BFB" w:rsidP="00722885">
      <w:pPr>
        <w:pStyle w:val="27"/>
        <w:shd w:val="clear" w:color="auto" w:fill="auto"/>
        <w:tabs>
          <w:tab w:val="left" w:pos="392"/>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7. 24-х дополнительных 76-мм снарядов — 230 кг.</w:t>
      </w:r>
    </w:p>
    <w:p w14:paraId="1971571E" w14:textId="77777777" w:rsidR="00F05BFB" w:rsidRPr="00722885" w:rsidRDefault="00F05BFB" w:rsidP="00722885">
      <w:pPr>
        <w:pStyle w:val="27"/>
        <w:shd w:val="clear" w:color="auto" w:fill="auto"/>
        <w:tabs>
          <w:tab w:val="left" w:pos="382"/>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8. Семи дополнительных пулеметных мага</w:t>
      </w:r>
      <w:r w:rsidRPr="00722885">
        <w:rPr>
          <w:rFonts w:ascii="Times New Roman" w:cs="Times New Roman"/>
          <w:color w:val="000000" w:themeColor="text1"/>
          <w:spacing w:val="0"/>
        </w:rPr>
        <w:softHyphen/>
        <w:t>зинов к ДТ - 23 кг.</w:t>
      </w:r>
    </w:p>
    <w:p w14:paraId="2C27EC52" w14:textId="77777777" w:rsidR="00F05BFB" w:rsidRPr="00722885" w:rsidRDefault="00F05BFB" w:rsidP="00722885">
      <w:pPr>
        <w:pStyle w:val="27"/>
        <w:shd w:val="clear" w:color="auto" w:fill="auto"/>
        <w:tabs>
          <w:tab w:val="left" w:pos="234"/>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9. Ящиков для ЗИПа и т.д. - 54 кг.</w:t>
      </w:r>
    </w:p>
    <w:p w14:paraId="12A1D823" w14:textId="77777777" w:rsidR="00F05BFB" w:rsidRPr="00722885" w:rsidRDefault="00F05BF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Итого: 900 кг» (15226).</w:t>
      </w:r>
    </w:p>
    <w:p w14:paraId="65ED8217" w14:textId="77777777" w:rsidR="00F05BFB" w:rsidRPr="00722885" w:rsidRDefault="00F05BFB" w:rsidP="00722885">
      <w:pPr>
        <w:pStyle w:val="27"/>
        <w:shd w:val="clear" w:color="auto" w:fill="auto"/>
        <w:spacing w:after="0" w:line="240" w:lineRule="auto"/>
        <w:ind w:firstLine="0"/>
        <w:rPr>
          <w:rFonts w:ascii="Times New Roman" w:cs="Times New Roman"/>
          <w:color w:val="000000" w:themeColor="text1"/>
          <w:spacing w:val="0"/>
        </w:rPr>
      </w:pPr>
    </w:p>
    <w:p w14:paraId="63A4A2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сентября 1942 вышло Постановление ГКО № 2323 Об увеличении боекомплекта и запаса горюче-смазочных материалов на танках. РГАНИР, Фонд ГКО, д. 57, лл. 33 (11012).</w:t>
      </w:r>
    </w:p>
    <w:p w14:paraId="3DF00D7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D4187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 сентября 1942 вышло распоряжение ГКО "Об организации работ по урану" и требовал к 1 апреля 1943 доклада о возможности создания атомной бомбы или уранового топлива (1566,212).</w:t>
      </w:r>
    </w:p>
    <w:p w14:paraId="15EE166A" w14:textId="77777777" w:rsidR="00090C9B" w:rsidRPr="00722885" w:rsidRDefault="00090C9B" w:rsidP="00722885">
      <w:pPr>
        <w:pStyle w:val="Iauiue"/>
        <w:jc w:val="both"/>
        <w:rPr>
          <w:color w:val="000000" w:themeColor="text1"/>
          <w:sz w:val="16"/>
          <w:szCs w:val="16"/>
        </w:rPr>
      </w:pPr>
    </w:p>
    <w:p w14:paraId="69DE9F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 сентября 1942 г. во время жестокого штор</w:t>
      </w:r>
      <w:r w:rsidRPr="00722885">
        <w:rPr>
          <w:color w:val="000000" w:themeColor="text1"/>
          <w:sz w:val="16"/>
          <w:szCs w:val="16"/>
        </w:rPr>
        <w:softHyphen/>
        <w:t>ма в том же Баренцевом море на эсминце "Сокрушительный" ото</w:t>
      </w:r>
      <w:r w:rsidRPr="00722885">
        <w:rPr>
          <w:color w:val="000000" w:themeColor="text1"/>
          <w:sz w:val="16"/>
          <w:szCs w:val="16"/>
        </w:rPr>
        <w:softHyphen/>
        <w:t>рвалась корма вместе с рулем, винтами и кормовым 130-мм ору</w:t>
      </w:r>
      <w:r w:rsidRPr="00722885">
        <w:rPr>
          <w:color w:val="000000" w:themeColor="text1"/>
          <w:sz w:val="16"/>
          <w:szCs w:val="16"/>
        </w:rPr>
        <w:softHyphen/>
        <w:t>дием и 37-мм автоматом. Деформация, а вскоре за ней и перелом корпуса произошли в районе 173-го шп. — как раз там, где закан</w:t>
      </w:r>
      <w:r w:rsidRPr="00722885">
        <w:rPr>
          <w:color w:val="000000" w:themeColor="text1"/>
          <w:sz w:val="16"/>
          <w:szCs w:val="16"/>
        </w:rPr>
        <w:softHyphen/>
        <w:t>чивались стрингеры и начинались элементы поперечной системы набора. Лишившийся хода корабль более двух суток оставался на пла</w:t>
      </w:r>
      <w:r w:rsidRPr="00722885">
        <w:rPr>
          <w:color w:val="000000" w:themeColor="text1"/>
          <w:sz w:val="16"/>
          <w:szCs w:val="16"/>
        </w:rPr>
        <w:softHyphen/>
        <w:t>ву. Большую часть людей удалось спасти эсминцам "Урицкий" и "Куйбышев" (типа "Орфей"), которые оказались более прочными и мореходными, чем "семерки". И все же "Сокрушительный" затонул, жертвами катастрофы стали 35 моряков (3898).</w:t>
      </w:r>
    </w:p>
    <w:p w14:paraId="1C9AA84E" w14:textId="77777777" w:rsidR="00090C9B" w:rsidRPr="00722885" w:rsidRDefault="00090C9B" w:rsidP="00722885">
      <w:pPr>
        <w:pStyle w:val="Iauiue"/>
        <w:jc w:val="both"/>
        <w:rPr>
          <w:color w:val="000000" w:themeColor="text1"/>
          <w:sz w:val="16"/>
          <w:szCs w:val="16"/>
        </w:rPr>
      </w:pPr>
    </w:p>
    <w:p w14:paraId="74377CE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FBF3EC0" w14:textId="77777777" w:rsidR="00090C9B" w:rsidRPr="00722885" w:rsidRDefault="00090C9B" w:rsidP="00722885">
      <w:pPr>
        <w:pStyle w:val="Iauiue"/>
        <w:jc w:val="both"/>
        <w:rPr>
          <w:iCs/>
          <w:color w:val="000000" w:themeColor="text1"/>
          <w:sz w:val="16"/>
          <w:szCs w:val="16"/>
        </w:rPr>
      </w:pPr>
    </w:p>
    <w:p w14:paraId="36D7126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20 сентября </w:t>
      </w:r>
      <w:r w:rsidRPr="00722885">
        <w:rPr>
          <w:rFonts w:ascii="Times New Roman" w:hAnsi="Times New Roman"/>
          <w:color w:val="000000" w:themeColor="text1"/>
          <w:sz w:val="16"/>
          <w:szCs w:val="16"/>
        </w:rPr>
        <w:t>в 1942 году утреннее сообщение Совинформбюро:</w:t>
      </w:r>
    </w:p>
    <w:p w14:paraId="73EA04A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20 сентября наши войска вели бои с противником в районе Сталинграда и в районе Моздок. На других фронтах существенных изменений непроизошло.</w:t>
      </w:r>
    </w:p>
    <w:p w14:paraId="73C0A76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часто переходившие в рукопашные схватки. Наши части очистили от противника ещё несколько улиц. Большой урон нанесли врагу бойцы Н-ской стрелковой части. По неполным данным,они уничтожили до двух батальонов немецкой пехоты, 5 танков, 43 автомашины и 38 повозок с боеприпасами. Часть, где командиром тов. Чекалов, в упорном бою с неприятелем уничтожила 6 немецких танков и истребила более роты гитлеровцев.</w:t>
      </w:r>
    </w:p>
    <w:p w14:paraId="40E3BBB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Н-ская часть отбила контратаку противника и уничтожила 3 немецких танка, бронемашину и до 250 гитлеровцев. Окружён и истреблён взвод немецких автоматчиков. Огнём нашей артиллерии уничтожено 12 автомашин с пехотой противника.</w:t>
      </w:r>
    </w:p>
    <w:p w14:paraId="7BA54174"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Синявина продолжаются бои, в ходе которых враг несёт большие потери.Только на одном участке нашей артиллерией за два дня разрушено 53 немецких блиндажа, 13 ДЗОТов, уничтожено 10 танков (5 из них были зарыты в землю), 13 орудий разного калибра и истреблено до 800 немецких солдат и офицеров. Противник подтянул резервы и оказывает упорное сопротивление.</w:t>
      </w:r>
    </w:p>
    <w:p w14:paraId="0DCD078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Брянского фронта наши подразделения выбили немцев из населённого пункта. В бою за этот населённый пункт уничтожено до роты немецких солдат. Нашими бойцами захвачены трофеи: 10 автомашин, 15.000 патронов, винтовки и другое военное имущество.</w:t>
      </w:r>
    </w:p>
    <w:p w14:paraId="0DA5F68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ленинградских партизан совершил нападение на немецкие гарнизоны, расположенные в ряде деревень. Советские патриоты истребили 140 немецко-фашистских оккупантов, уничтожили 2 бронемашины, 2 орудия, миномёт и взорвали склад с боеприпасами. Группа партизан уничтожила на шоссе легковую машину генерал-майора немецкой армии Рихарда Виртча. Немецкий генерал и сопровождавший его офицер убиты. Партизаны захватили важные документы.</w:t>
      </w:r>
    </w:p>
    <w:p w14:paraId="32F0170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неотправленном письме немецкого солдата Ганса Вольфа к родителям говорится: «...От нашей роты осталось всего 25 человек. Вчера моё отделение снова пережило чёрный день. Нас было 7 человек. На рассвете солдат, стоявший на посту, был сражён пулей русского снайпера. Через несколько часов очередью из автомата был убит второй солдат. Вслед за ним погиб ещё один. В полдень ещё двое выбыли из строя. Один из них — Зонн, мой друг из Ингберга. Он выдвинулся со своим пулемётом в воронку перед нашей позицией и был убит вместе со своим вторым номером. В живых остались только двое: я и командир отделения... Рота опять получила пополнение. Командир взвода предупредил новичков, что надо остерегаться русских снайперов. В связи с этим новички боятся шагу ступить. Они дрожат при каждом упоминании слова «снайпер».</w:t>
      </w:r>
    </w:p>
    <w:p w14:paraId="3FB11E6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Разведчики Н-ской части пробрались в занятое немцами село Томилино. Там они узнали о зверской расправе гитлеровцев над мирными жителями этого села. 12 сентября немцы загнали в один из домов женщин и детей и жестоко избили их. Несколько женщин с детьми на руках пытались бежать, но были расстреляны из автоматов.</w:t>
      </w:r>
    </w:p>
    <w:p w14:paraId="08E8E0C4"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Парижском округе французские патриоты обстреляли в лесу немецкий карательный отряд и убили двух жандармов. В Париже группа французов ночью подожгла гараж немецкой части. Сгорело 16 автомашин и 2 броневика. На одной железнодорожной станции в департаменте Сены-и-Уазы на минах взорвался немецкий воинский поезд.» (14775).</w:t>
      </w:r>
    </w:p>
    <w:p w14:paraId="69037646"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44DD48A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сентября в 1942 году вечернее сообщение Совинформбюро:</w:t>
      </w:r>
    </w:p>
    <w:p w14:paraId="7839E83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20 сентября наши войска вели ожесточённые бои с противником в районе Сталинграда и в районе Моздока. На других фронтах существенных изменений не произошло.</w:t>
      </w:r>
    </w:p>
    <w:p w14:paraId="608F72B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13 по 19 сентября включительно, в воздушных боях, на аэродромах и огнём зенитной артиллерии уничтожено 310 немецких самолётов. Наши потери за это же время — 205 самолётов.</w:t>
      </w:r>
    </w:p>
    <w:p w14:paraId="7A31527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 корабль в Чёрном море потопил миноносец противника.</w:t>
      </w:r>
    </w:p>
    <w:p w14:paraId="5135739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19 сентября частями нашей авиации на различных участках фронта уничтожено или повреждено 10 немецких танков, до 60 автомашин с войсками и грузами, взорван склад боеприпасов, подавлен огонь 6 батарей полевой и зенитной артиллерии, рассеяно и частью истреблено до четырёх рот пехоты противника.</w:t>
      </w:r>
    </w:p>
    <w:p w14:paraId="0AA0A2C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нанесли немцам ряд контрударов. На отдельных участках советские бойцы отбросили противника и отбили несколько улиц. Н-ская часть в ожесточённом бою с врагом уничтожила 6 немецких танков, 14 автомашин, 2 орудия, 7 пулемётов и истребила до 300 гитлеровцев. Рота немецких автоматчиков атаковала отделение младшего сержанта тов. Емельянова, находившееся в боевом охранении. Метким огнём наши бойцы отразили атаку неприятеля. Гитлеровцы попытались тогда обойти отделение с флангов. Сержант Емельянов первым выскочилиз окопа и поднял отделение в атаку. Красноармейцы уничтожили 40 немцев, а остальные разбежались.</w:t>
      </w:r>
    </w:p>
    <w:p w14:paraId="4F9273B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продолжались ожесточённые бои. Наши конники истребили до роты пехоты и уничтожили 12 автомашин противника. На другом участке до сотни немецких танков атаковали советские оборонительные рубежи. Наши бойцы отразили натиск противника, подбили и сожгли 18 танков и истребили свыше 200 немецких автоматчиков.</w:t>
      </w:r>
    </w:p>
    <w:p w14:paraId="406E9DE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морская пехота под командованием тов. Гордеева в упорных боях с противником истребила две роты немецких солдат. Моряки уничтожили 4 танка, 2 артиллерийские батареи, 22 пулемётные точки, 7 миномётных батарей и 24 автомашины противника. Краснофлотцы захватили 24 пулемёта, 4 миномёта, 14 автоматов, радиостанцию и другие трофеи.</w:t>
      </w:r>
    </w:p>
    <w:p w14:paraId="6EAD9AD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Воронежа наши войска отбили несколько контратак противника и нанесли немцам большой урон. На одном из участков за три дня боевых действий наши части уничтожили более 3.000 солдат и офицеров противника. За это же время уничтожены 5 миномётных и 3 артиллерийские батареи, 26 орудий, 8 танков и бронемашина. Нашими бойцами захвачены у немцев 2 орудия, 13 миномётов, 46 пулемётов, винтовкии разное военное имущество.</w:t>
      </w:r>
    </w:p>
    <w:p w14:paraId="151ADD3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Крайнем Севере отряд советских моряков высадился в тылу противника и внезапным налётом уничтожил более 150 немецких солдат и офицеров, 10 дерево-земляных укреплений, склад с боеприпасами и пять блиндажей.</w:t>
      </w:r>
    </w:p>
    <w:p w14:paraId="42A6359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 партизанского отряда, действующего в одном из районов Белоруссии, немецко-фашистские захватчики двинули полк пехоты с танками и бронемашинами. Занеделю боевых действий партизаны истребили свыше 500 немецких солдат и офицеров.</w:t>
      </w:r>
    </w:p>
    <w:p w14:paraId="7D63BAA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лейтенант батальона «Вестоне» 6 полка 2 итальянской альпийской дивизии «Тридентина» Вискардо Даволи рассказал: «В альпийские дивизии отбирают физически крепких и выносливых солдат, преимущественно из жителей горных районов Италии. Нашу дивизию посылали на самые опасные фронты. Она была и в Албании, где с первого до последнего дня участвовала в боях. Но никогда и нигде дивизия «Тридентина» ещё не терпела такого разгрома, какой она понесла в донских степях. В конце июля мы выехали из Турина (Италия) и в последние дни августа прибыли на передовые позиции. Через несколько дней был получен приказ о наступлении. Русские встретили нас шквальным огнём, а затем перешли в контратаку. Солдаты разбежались. Я потерял связь с командованием и с соседними подразделениями. Немцы, благоразумно избравшие себе позиции далеко позади передовых линий, тоже отошли и открыли огонь по отступающим итальянцам. Я вместе с остатками взвода сдался в плен. Я не из трусости сложил оружие. Я сдался потому, что увидел безнадёжность нашего дела. Эта операция меня многому научила. Я понял, что Муссолини продал Италию и предал итальянский народ. Итальянцев гонят на убой, потому что этого требует Гитлер. Поэтому я себя считаю свободным от присяги» (14775).</w:t>
      </w:r>
    </w:p>
    <w:p w14:paraId="75FD553D"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12BBEFA3"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20 сентября 1942 в результате налета «Штук» на аэродром Кулькино, расположенный северо-восточнее Сталинграда, было уничтожено сразу семнадцать истребителей Як-7, а также бочки с горючим и боеприпасы. Сигнал тревоги же, как правило, объявлялся или за пару минут до удара, или в момент, когда самолеты противника уже пикировали на аэродром. Кроме бомб немецкие самолеты еще и засыпали аэродромы издевательскими листовками типа «Советские летчики отважные, да самолеты у них бумажные!».</w:t>
      </w:r>
    </w:p>
    <w:p w14:paraId="4EE4F809" w14:textId="77777777" w:rsidR="00BB2084" w:rsidRPr="00722885" w:rsidRDefault="00BB2084" w:rsidP="00722885">
      <w:pPr>
        <w:pStyle w:val="ae"/>
        <w:spacing w:before="0" w:after="0"/>
        <w:jc w:val="both"/>
        <w:textAlignment w:val="baseline"/>
        <w:rPr>
          <w:color w:val="000000" w:themeColor="text1"/>
          <w:sz w:val="16"/>
          <w:szCs w:val="16"/>
        </w:rPr>
      </w:pPr>
      <w:r w:rsidRPr="00722885">
        <w:rPr>
          <w:color w:val="000000" w:themeColor="text1"/>
          <w:sz w:val="16"/>
          <w:szCs w:val="16"/>
        </w:rPr>
        <w:t>В связи с этим штаб 8-й воздушной армии запретил размещать в одном месте более 20–30 самолетов. Все неисправные машины рекомендовалось немедленно транспортировать в мастерские подальше от летного поля. В степи на восточном берегу Волги были размещены дополнительные посты ВНОС (19522).</w:t>
      </w:r>
    </w:p>
    <w:p w14:paraId="410C5779" w14:textId="77777777" w:rsidR="00BB2084" w:rsidRPr="00722885" w:rsidRDefault="00BB2084" w:rsidP="00722885">
      <w:pPr>
        <w:pStyle w:val="ae"/>
        <w:spacing w:before="0" w:after="0"/>
        <w:jc w:val="both"/>
        <w:textAlignment w:val="baseline"/>
        <w:rPr>
          <w:color w:val="000000" w:themeColor="text1"/>
          <w:sz w:val="16"/>
          <w:szCs w:val="16"/>
        </w:rPr>
      </w:pPr>
    </w:p>
    <w:p w14:paraId="452500FB"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 сентября 1942 в результате налета «Штук» на аэродром Кулькино, расположенный северо</w:t>
      </w:r>
      <w:r w:rsidRPr="00722885">
        <w:rPr>
          <w:rFonts w:ascii="Times New Roman" w:hAnsi="Times New Roman"/>
          <w:color w:val="0070C0"/>
          <w:sz w:val="16"/>
          <w:szCs w:val="16"/>
        </w:rPr>
        <w:noBreakHyphen/>
        <w:t>восточнее Сталинграда, было уничтожено сразу семнадцать истребителей Як</w:t>
      </w:r>
      <w:r w:rsidRPr="00722885">
        <w:rPr>
          <w:rFonts w:ascii="Times New Roman" w:hAnsi="Times New Roman"/>
          <w:color w:val="0070C0"/>
          <w:sz w:val="16"/>
          <w:szCs w:val="16"/>
        </w:rPr>
        <w:noBreakHyphen/>
        <w:t>7, а также бочки с горючим и боеприпасы. Сигнал тревоги же, как правило, объявлялся или за пару минут до удара, или в момент, когда самолеты противника уже пикировали на аэродром. Кроме бомб немецкие самолеты еще и засыпали аэродромы издевательскими листовками типа «Советские летчики отважные, да самолеты у них бумажные!».</w:t>
      </w:r>
    </w:p>
    <w:p w14:paraId="37A3894E"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связи с этим штаб 8</w:t>
      </w:r>
      <w:r w:rsidRPr="00722885">
        <w:rPr>
          <w:rFonts w:ascii="Times New Roman" w:hAnsi="Times New Roman"/>
          <w:color w:val="0070C0"/>
          <w:sz w:val="16"/>
          <w:szCs w:val="16"/>
        </w:rPr>
        <w:noBreakHyphen/>
        <w:t>й воздушной армии запретил размещать в одном месте более 20–30 самолетов. Все неисправные машины рекомендовалось немедленно транспортировать в мастерские подальше от летного поля. В степи на восточном берегу Волги были размещены дополнительные посты ВНОС. К концу сентября 1942 г. инженерная служба армии изготовила 50 самодельных зенитных 12,7</w:t>
      </w:r>
      <w:r w:rsidRPr="00722885">
        <w:rPr>
          <w:rFonts w:ascii="Times New Roman" w:hAnsi="Times New Roman"/>
          <w:color w:val="0070C0"/>
          <w:sz w:val="16"/>
          <w:szCs w:val="16"/>
        </w:rPr>
        <w:noBreakHyphen/>
        <w:t>мм пулеметных установок и 100 установок со скорострельными 23</w:t>
      </w:r>
      <w:r w:rsidRPr="00722885">
        <w:rPr>
          <w:rFonts w:ascii="Times New Roman" w:hAnsi="Times New Roman"/>
          <w:color w:val="0070C0"/>
          <w:sz w:val="16"/>
          <w:szCs w:val="16"/>
        </w:rPr>
        <w:noBreakHyphen/>
        <w:t>мм пушками. Кроме того, некие умельцы даже смастерили шесть пусковых установок для реактивных снарядов, этакий прообраз ракет «земля – воздух». Чтобы обслуживать все эти технические новинки при батальонах аэродромного обслуживания, были сформированы зенитные взводы из стрелков</w:t>
      </w:r>
      <w:r w:rsidRPr="00722885">
        <w:rPr>
          <w:rFonts w:ascii="Times New Roman" w:hAnsi="Times New Roman"/>
          <w:color w:val="0070C0"/>
          <w:sz w:val="16"/>
          <w:szCs w:val="16"/>
        </w:rPr>
        <w:noBreakHyphen/>
        <w:t>оружейников (23199).</w:t>
      </w:r>
    </w:p>
    <w:p w14:paraId="17D7534C" w14:textId="77777777" w:rsidR="005B5EE0" w:rsidRPr="00722885" w:rsidRDefault="005B5EE0" w:rsidP="00722885">
      <w:pPr>
        <w:spacing w:after="0" w:line="240" w:lineRule="auto"/>
        <w:jc w:val="both"/>
        <w:rPr>
          <w:rFonts w:ascii="Times New Roman" w:hAnsi="Times New Roman"/>
          <w:color w:val="0070C0"/>
          <w:sz w:val="16"/>
          <w:szCs w:val="16"/>
        </w:rPr>
      </w:pPr>
    </w:p>
    <w:p w14:paraId="11848D8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20 сентября </w:t>
      </w:r>
      <w:r w:rsidRPr="00722885">
        <w:rPr>
          <w:rFonts w:ascii="Times New Roman" w:hAnsi="Times New Roman"/>
          <w:color w:val="000000" w:themeColor="text1"/>
          <w:sz w:val="16"/>
          <w:szCs w:val="16"/>
        </w:rPr>
        <w:t>в 1942 году закончились бои войск 46-й Армии Закавказского фронта на перевалах центральной части Главного Кавказского хребта. Остатки разбитых частей противника отброшены на северные склоны по всей центральной части Главного Кавказского хребта; германскому командованию не удалось осуществить план перехвата черноморских коммуникаций (14775).</w:t>
      </w:r>
    </w:p>
    <w:p w14:paraId="253571D2"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0E5C449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20 сентября </w:t>
      </w:r>
      <w:r w:rsidRPr="00722885">
        <w:rPr>
          <w:rFonts w:ascii="Times New Roman" w:hAnsi="Times New Roman"/>
          <w:color w:val="000000" w:themeColor="text1"/>
          <w:sz w:val="16"/>
          <w:szCs w:val="16"/>
        </w:rPr>
        <w:t>в 1942 году немцы заняли восточную окраину Мелеховской. Сводная бригада под натиском противника начала самовольный отход. Действиями заградотряда 47-й армии Черноморской группы войск в бригаде был наведён порядок. Бригада заняла прежние рубежи и по инициативе политрука роты этого же заградотряда Пестова, совместными действиями с бригадой противник был отброшен от Мелеховской (14775).</w:t>
      </w:r>
    </w:p>
    <w:p w14:paraId="04C0B472"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6FD72D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20 сентября 1942 в боях на улицах города действовало уже пять групп Ил-2 206-й и 226-й </w:t>
      </w:r>
      <w:r w:rsidRPr="00722885">
        <w:rPr>
          <w:iCs/>
          <w:color w:val="000000" w:themeColor="text1"/>
          <w:sz w:val="16"/>
          <w:szCs w:val="16"/>
        </w:rPr>
        <w:t>шад</w:t>
      </w:r>
      <w:r w:rsidRPr="00722885">
        <w:rPr>
          <w:color w:val="000000" w:themeColor="text1"/>
          <w:sz w:val="16"/>
          <w:szCs w:val="16"/>
        </w:rPr>
        <w:t xml:space="preserve"> под прикрытием истреби</w:t>
      </w:r>
      <w:r w:rsidRPr="00722885">
        <w:rPr>
          <w:color w:val="000000" w:themeColor="text1"/>
          <w:sz w:val="16"/>
          <w:szCs w:val="16"/>
        </w:rPr>
        <w:softHyphen/>
        <w:t xml:space="preserve">телей 268-й и 288-й </w:t>
      </w:r>
      <w:r w:rsidRPr="00722885">
        <w:rPr>
          <w:iCs/>
          <w:color w:val="000000" w:themeColor="text1"/>
          <w:sz w:val="16"/>
          <w:szCs w:val="16"/>
        </w:rPr>
        <w:t xml:space="preserve">иад. </w:t>
      </w:r>
      <w:r w:rsidRPr="00722885">
        <w:rPr>
          <w:color w:val="000000" w:themeColor="text1"/>
          <w:sz w:val="16"/>
          <w:szCs w:val="16"/>
        </w:rPr>
        <w:t xml:space="preserve">В 6.45 8 Ил-2 504-го </w:t>
      </w:r>
      <w:r w:rsidRPr="00722885">
        <w:rPr>
          <w:iCs/>
          <w:color w:val="000000" w:themeColor="text1"/>
          <w:sz w:val="16"/>
          <w:szCs w:val="16"/>
        </w:rPr>
        <w:t>шап</w:t>
      </w:r>
      <w:r w:rsidRPr="00722885">
        <w:rPr>
          <w:color w:val="000000" w:themeColor="text1"/>
          <w:sz w:val="16"/>
          <w:szCs w:val="16"/>
        </w:rPr>
        <w:t xml:space="preserve"> (ведущий штурман полка к-н С.Д.Прутков) атако</w:t>
      </w:r>
      <w:r w:rsidRPr="00722885">
        <w:rPr>
          <w:color w:val="000000" w:themeColor="text1"/>
          <w:sz w:val="16"/>
          <w:szCs w:val="16"/>
        </w:rPr>
        <w:softHyphen/>
        <w:t>вали танки и автомашины противника с пехотой в районе Авиагородка и Цен</w:t>
      </w:r>
      <w:r w:rsidRPr="00722885">
        <w:rPr>
          <w:color w:val="000000" w:themeColor="text1"/>
          <w:sz w:val="16"/>
          <w:szCs w:val="16"/>
        </w:rPr>
        <w:softHyphen/>
        <w:t>трального аэродрома. Повторный бомбоштурмовой удар по противнику в рай</w:t>
      </w:r>
      <w:r w:rsidRPr="00722885">
        <w:rPr>
          <w:color w:val="000000" w:themeColor="text1"/>
          <w:sz w:val="16"/>
          <w:szCs w:val="16"/>
        </w:rPr>
        <w:softHyphen/>
        <w:t xml:space="preserve">оне Авиагородка в 10.10 нанесла семерка "Илов" 505-го </w:t>
      </w:r>
      <w:r w:rsidRPr="00722885">
        <w:rPr>
          <w:iCs/>
          <w:color w:val="000000" w:themeColor="text1"/>
          <w:sz w:val="16"/>
          <w:szCs w:val="16"/>
        </w:rPr>
        <w:t>шап</w:t>
      </w:r>
      <w:r w:rsidRPr="00722885">
        <w:rPr>
          <w:color w:val="000000" w:themeColor="text1"/>
          <w:sz w:val="16"/>
          <w:szCs w:val="16"/>
        </w:rPr>
        <w:t xml:space="preserve"> (ведущий штурман полка м-р С.Ф.Васильев). Третья груп</w:t>
      </w:r>
      <w:r w:rsidRPr="00722885">
        <w:rPr>
          <w:color w:val="000000" w:themeColor="text1"/>
          <w:sz w:val="16"/>
          <w:szCs w:val="16"/>
        </w:rPr>
        <w:softHyphen/>
        <w:t xml:space="preserve">па в составе 8 Ил-2, которую вел комэск 504-го </w:t>
      </w:r>
      <w:r w:rsidRPr="00722885">
        <w:rPr>
          <w:iCs/>
          <w:color w:val="000000" w:themeColor="text1"/>
          <w:sz w:val="16"/>
          <w:szCs w:val="16"/>
        </w:rPr>
        <w:t>шап</w:t>
      </w:r>
      <w:r w:rsidRPr="00722885">
        <w:rPr>
          <w:color w:val="000000" w:themeColor="text1"/>
          <w:sz w:val="16"/>
          <w:szCs w:val="16"/>
        </w:rPr>
        <w:t xml:space="preserve"> ст.л-т И.И.Пстыго, в 13.00 ата</w:t>
      </w:r>
      <w:r w:rsidRPr="00722885">
        <w:rPr>
          <w:color w:val="000000" w:themeColor="text1"/>
          <w:sz w:val="16"/>
          <w:szCs w:val="16"/>
        </w:rPr>
        <w:softHyphen/>
        <w:t>ковала танки и автомашины немцев в районе железнодорожного вокзала, на вокзальной площади и на улицах Ком</w:t>
      </w:r>
      <w:r w:rsidRPr="00722885">
        <w:rPr>
          <w:color w:val="000000" w:themeColor="text1"/>
          <w:sz w:val="16"/>
          <w:szCs w:val="16"/>
        </w:rPr>
        <w:softHyphen/>
        <w:t>мунистическая и Саратовская. Вслед за ней по пехоте противника вдоль полот</w:t>
      </w:r>
      <w:r w:rsidRPr="00722885">
        <w:rPr>
          <w:color w:val="000000" w:themeColor="text1"/>
          <w:sz w:val="16"/>
          <w:szCs w:val="16"/>
        </w:rPr>
        <w:softHyphen/>
        <w:t>на железной дороги и севернее вокза</w:t>
      </w:r>
      <w:r w:rsidRPr="00722885">
        <w:rPr>
          <w:color w:val="000000" w:themeColor="text1"/>
          <w:sz w:val="16"/>
          <w:szCs w:val="16"/>
        </w:rPr>
        <w:softHyphen/>
        <w:t xml:space="preserve">ла действовала шестерка Ил-2 607-го </w:t>
      </w:r>
      <w:r w:rsidRPr="00722885">
        <w:rPr>
          <w:iCs/>
          <w:color w:val="000000" w:themeColor="text1"/>
          <w:sz w:val="16"/>
          <w:szCs w:val="16"/>
        </w:rPr>
        <w:t>шап</w:t>
      </w:r>
      <w:r w:rsidRPr="00722885">
        <w:rPr>
          <w:color w:val="000000" w:themeColor="text1"/>
          <w:sz w:val="16"/>
          <w:szCs w:val="16"/>
        </w:rPr>
        <w:t xml:space="preserve"> (ведущий командир эскадрильи ст.л-т С.И.Лобанов). Пятая группа - сме</w:t>
      </w:r>
      <w:r w:rsidRPr="00722885">
        <w:rPr>
          <w:color w:val="000000" w:themeColor="text1"/>
          <w:sz w:val="16"/>
          <w:szCs w:val="16"/>
        </w:rPr>
        <w:softHyphen/>
        <w:t xml:space="preserve">шанная группа в составе 6 Ил-2 из 504-го и 944-го </w:t>
      </w:r>
      <w:r w:rsidRPr="00722885">
        <w:rPr>
          <w:iCs/>
          <w:color w:val="000000" w:themeColor="text1"/>
          <w:sz w:val="16"/>
          <w:szCs w:val="16"/>
        </w:rPr>
        <w:t>шап</w:t>
      </w:r>
      <w:r w:rsidRPr="00722885">
        <w:rPr>
          <w:color w:val="000000" w:themeColor="text1"/>
          <w:sz w:val="16"/>
          <w:szCs w:val="16"/>
        </w:rPr>
        <w:t xml:space="preserve"> при поддержке 10 ЛаГГ-3 296-го </w:t>
      </w:r>
      <w:r w:rsidRPr="00722885">
        <w:rPr>
          <w:iCs/>
          <w:color w:val="000000" w:themeColor="text1"/>
          <w:sz w:val="16"/>
          <w:szCs w:val="16"/>
        </w:rPr>
        <w:t>иап</w:t>
      </w:r>
      <w:r w:rsidRPr="00722885">
        <w:rPr>
          <w:color w:val="000000" w:themeColor="text1"/>
          <w:sz w:val="16"/>
          <w:szCs w:val="16"/>
        </w:rPr>
        <w:t xml:space="preserve"> (ведущий комэск м-р Б.Ч. Еремин), атаковала танки и мотопехоту противника в районе 2,5 км юго-запад</w:t>
      </w:r>
      <w:r w:rsidRPr="00722885">
        <w:rPr>
          <w:color w:val="000000" w:themeColor="text1"/>
          <w:sz w:val="16"/>
          <w:szCs w:val="16"/>
        </w:rPr>
        <w:softHyphen/>
        <w:t>нее Малахова кургана (6467).</w:t>
      </w:r>
    </w:p>
    <w:p w14:paraId="2CF8F7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Особенно эффективными оказались удары групп 504-го и 505-го </w:t>
      </w:r>
      <w:r w:rsidRPr="00722885">
        <w:rPr>
          <w:iCs/>
          <w:color w:val="000000" w:themeColor="text1"/>
          <w:sz w:val="16"/>
          <w:szCs w:val="16"/>
        </w:rPr>
        <w:t>шап,</w:t>
      </w:r>
      <w:r w:rsidRPr="00722885">
        <w:rPr>
          <w:color w:val="000000" w:themeColor="text1"/>
          <w:sz w:val="16"/>
          <w:szCs w:val="16"/>
        </w:rPr>
        <w:t xml:space="preserve"> дей</w:t>
      </w:r>
      <w:r w:rsidRPr="00722885">
        <w:rPr>
          <w:color w:val="000000" w:themeColor="text1"/>
          <w:sz w:val="16"/>
          <w:szCs w:val="16"/>
        </w:rPr>
        <w:softHyphen/>
        <w:t>ствовавших в районе железнодорожного вокзала и примыкающих к нему улиц. За их действиями с КП наблюдали ко</w:t>
      </w:r>
      <w:r w:rsidRPr="00722885">
        <w:rPr>
          <w:color w:val="000000" w:themeColor="text1"/>
          <w:sz w:val="16"/>
          <w:szCs w:val="16"/>
        </w:rPr>
        <w:softHyphen/>
        <w:t xml:space="preserve">мандующие В.И.Чуйков и Т.Т.Хрюкин, последний позже подписал приказ, в котором, в частности, отметил, что </w:t>
      </w:r>
      <w:r w:rsidRPr="00722885">
        <w:rPr>
          <w:iCs/>
          <w:color w:val="000000" w:themeColor="text1"/>
          <w:sz w:val="16"/>
          <w:szCs w:val="16"/>
        </w:rPr>
        <w:t>"эки</w:t>
      </w:r>
      <w:r w:rsidRPr="00722885">
        <w:rPr>
          <w:iCs/>
          <w:color w:val="000000" w:themeColor="text1"/>
          <w:sz w:val="16"/>
          <w:szCs w:val="16"/>
        </w:rPr>
        <w:softHyphen/>
        <w:t>пажи 504 и 505 штурмовых авиаполков в привокзальном районе проявили дол</w:t>
      </w:r>
      <w:r w:rsidRPr="00722885">
        <w:rPr>
          <w:iCs/>
          <w:color w:val="000000" w:themeColor="text1"/>
          <w:sz w:val="16"/>
          <w:szCs w:val="16"/>
        </w:rPr>
        <w:softHyphen/>
        <w:t>жную активность, и удар наших штурмо</w:t>
      </w:r>
      <w:r w:rsidRPr="00722885">
        <w:rPr>
          <w:iCs/>
          <w:color w:val="000000" w:themeColor="text1"/>
          <w:sz w:val="16"/>
          <w:szCs w:val="16"/>
        </w:rPr>
        <w:softHyphen/>
        <w:t>виков оказал неоценимую помощь на</w:t>
      </w:r>
      <w:r w:rsidRPr="00722885">
        <w:rPr>
          <w:iCs/>
          <w:color w:val="000000" w:themeColor="text1"/>
          <w:sz w:val="16"/>
          <w:szCs w:val="16"/>
        </w:rPr>
        <w:softHyphen/>
        <w:t>земным войскам в уличных боях".</w:t>
      </w:r>
    </w:p>
    <w:p w14:paraId="663A6F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Ведущему третьей группы И.И.Псты</w:t>
      </w:r>
      <w:r w:rsidRPr="00722885">
        <w:rPr>
          <w:color w:val="000000" w:themeColor="text1"/>
          <w:sz w:val="16"/>
          <w:szCs w:val="16"/>
        </w:rPr>
        <w:softHyphen/>
        <w:t>го за этот бой было присвоено очеред</w:t>
      </w:r>
      <w:r w:rsidRPr="00722885">
        <w:rPr>
          <w:color w:val="000000" w:themeColor="text1"/>
          <w:sz w:val="16"/>
          <w:szCs w:val="16"/>
        </w:rPr>
        <w:softHyphen/>
        <w:t>ное воинское звание капитан и сделано представление к награде. Не был обой</w:t>
      </w:r>
      <w:r w:rsidRPr="00722885">
        <w:rPr>
          <w:color w:val="000000" w:themeColor="text1"/>
          <w:sz w:val="16"/>
          <w:szCs w:val="16"/>
        </w:rPr>
        <w:softHyphen/>
        <w:t>ден наградой и ведомый И.И.Пстыго -сержант И.П.Веденин, который был на</w:t>
      </w:r>
      <w:r w:rsidRPr="00722885">
        <w:rPr>
          <w:color w:val="000000" w:themeColor="text1"/>
          <w:sz w:val="16"/>
          <w:szCs w:val="16"/>
        </w:rPr>
        <w:softHyphen/>
        <w:t>гражден орденом Красного Знамени и повышен в воинском звании. Последний, отстав от основной группы (на взлете забарахлил мотор и пришлось устранять неисправность), работал над целью в одиночку без прикрытия истребителей (6467).</w:t>
      </w:r>
    </w:p>
    <w:p w14:paraId="6AC77D6A" w14:textId="77777777" w:rsidR="00090C9B" w:rsidRPr="00722885" w:rsidRDefault="00090C9B" w:rsidP="00722885">
      <w:pPr>
        <w:pStyle w:val="Iauiue"/>
        <w:jc w:val="both"/>
        <w:rPr>
          <w:color w:val="000000" w:themeColor="text1"/>
          <w:sz w:val="16"/>
          <w:szCs w:val="16"/>
        </w:rPr>
      </w:pPr>
    </w:p>
    <w:p w14:paraId="02233F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сентября 1942 в боях на улицах города действовало уже пять групп Ил-2 от 206-й и 226-й штурмовых авиадивизий под прикрытием истребителей от 268-й и 288-й иад.</w:t>
      </w:r>
    </w:p>
    <w:p w14:paraId="1D4AAB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6.45 8 Ил-2 от 504-го шап (ведущий штурман полка капитан Прутков) атаковала танки и автомашины противника с пехотой в районе Авиагородка и Центрального аэродрома. Повторный удар по противнику в районе Авиагородка в 10.10 нанесли 7 Ил-2 от 505-го шап (ведущий штурман полка майор Васильев). Третья группа в составе 8 Ил-2, которую вел ст. лейтенант Пстыго, в 13.00 атаковала танки и автомашины в районе железнодорожного вокзала, на вокзальной площади и на улицах Коммунистическая и Саратовская. Вслед за ней по пехоте противника вдоль полотна железной дороги и севернее вокзала отработала шестерка Ил-2 от 607-го шап (ведущий комэск ст. лейтенант Лобанов). Пятая группа - сводная группа в составе 6 Ил-2 от 504-го и 944-го шап при поддержке 10 ЛаГГ-3 от 296-го иап (ведущий комэск майор Еремин), атаковала танки и мотопехоту противника в районе 2,5 км юго-западнее Малахова кургана.</w:t>
      </w:r>
    </w:p>
    <w:p w14:paraId="54AE3A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 эффективными оказались удары групп 504-го и 505-го шап. Их действия получили высокую оценку командующего 62 А генерала Чуйкова и генерала Хрюкина.</w:t>
      </w:r>
    </w:p>
    <w:p w14:paraId="3B01A6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Ведущему третьей группы ст. лейтенанту Пстыго за этот бой было присвоено очередное воинское звание капитан и сделано представление к награде. Не был обойден и его ведомый - сержант Веденин, который был награжден орденом Красного Знамени и повышен в воинском звании. Отстав от основной группы, Веденин работал над целью в одиночку без прикрытия истребителей (12020).</w:t>
      </w:r>
    </w:p>
    <w:p w14:paraId="4951D70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3B231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 сентября 1942 НКВМФ Н.Г.Кузнецов выпустил директиву N 6/196 об использовании авиации ТОФ против нарушителей границы (2120).</w:t>
      </w:r>
    </w:p>
    <w:p w14:paraId="46202527" w14:textId="77777777" w:rsidR="00090C9B" w:rsidRPr="00722885" w:rsidRDefault="00090C9B" w:rsidP="00722885">
      <w:pPr>
        <w:pStyle w:val="Iauiue"/>
        <w:jc w:val="both"/>
        <w:rPr>
          <w:color w:val="000000" w:themeColor="text1"/>
          <w:sz w:val="16"/>
          <w:szCs w:val="16"/>
        </w:rPr>
      </w:pPr>
    </w:p>
    <w:p w14:paraId="5A3E263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сентября 1942 г. была подготовлена ВЫПИСКА ИЗ ДОНЕСЕНИЯ ОФИЦЕРА ГШ КА ПРИ 28-м тк О ДЕЙСТВИЯХ КОРПУСА С 5 ПО 9 АВГУСТА 1942 г.</w:t>
      </w:r>
    </w:p>
    <w:p w14:paraId="1D4D6FD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28-й тк имел задачу наступать в северном направлении и уничтожить Липо-Логовскую груп</w:t>
      </w:r>
      <w:r w:rsidRPr="00722885">
        <w:rPr>
          <w:rFonts w:ascii="Times New Roman" w:hAnsi="Times New Roman"/>
          <w:color w:val="000000" w:themeColor="text1"/>
          <w:sz w:val="16"/>
          <w:szCs w:val="16"/>
        </w:rPr>
        <w:softHyphen/>
        <w:t>пировку противника; наступал 5.08.1942 г., а затем оборонялся.</w:t>
      </w:r>
    </w:p>
    <w:p w14:paraId="3EC84CB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Результаты наступления корпуса были незначительными, потери же в матчасти большие. Из 20 атаковавших 5.08.1942 г. танков вернулся только 1, остальные были потеряны с личным составом (подбиты или сгорели).</w:t>
      </w:r>
    </w:p>
    <w:p w14:paraId="2534F35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Причины больших потерь:</w:t>
      </w:r>
    </w:p>
    <w:p w14:paraId="7B68DE3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слабая тактическая подготовка личного состава танковых экипажей, включая и средний ком</w:t>
      </w:r>
      <w:r w:rsidRPr="00722885">
        <w:rPr>
          <w:rFonts w:ascii="Times New Roman" w:hAnsi="Times New Roman"/>
          <w:color w:val="000000" w:themeColor="text1"/>
          <w:sz w:val="16"/>
          <w:szCs w:val="16"/>
        </w:rPr>
        <w:softHyphen/>
        <w:t>состав;</w:t>
      </w:r>
    </w:p>
    <w:p w14:paraId="012112D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очень медленное движение танков, длительные и ненужные остановки в бою, движение пря</w:t>
      </w:r>
      <w:r w:rsidRPr="00722885">
        <w:rPr>
          <w:rFonts w:ascii="Times New Roman" w:hAnsi="Times New Roman"/>
          <w:color w:val="000000" w:themeColor="text1"/>
          <w:sz w:val="16"/>
          <w:szCs w:val="16"/>
        </w:rPr>
        <w:softHyphen/>
        <w:t>мыми курсами, отсутствие даже какой-нибудь попытки к маневрированию;</w:t>
      </w:r>
    </w:p>
    <w:p w14:paraId="6CDC5A2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отсутствие учета тактики врага;</w:t>
      </w:r>
    </w:p>
    <w:p w14:paraId="5C7B962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стремление бить в лоб, даже слабыми силами, вместо того, чтобы упорно искать слабые места в обороне противника и туда направлять основные усилия;</w:t>
      </w:r>
    </w:p>
    <w:p w14:paraId="0C3B876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слабое прикрытие танков от нападения авиации противника.</w:t>
      </w:r>
    </w:p>
    <w:p w14:paraId="62C6F1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4. Противник, по опыту обороны 28 тк, перед атакой упорно «обрабатывает» оборону своей бом</w:t>
      </w:r>
      <w:r w:rsidRPr="00722885">
        <w:rPr>
          <w:rFonts w:ascii="Times New Roman" w:hAnsi="Times New Roman"/>
          <w:color w:val="000000" w:themeColor="text1"/>
          <w:sz w:val="16"/>
          <w:szCs w:val="16"/>
        </w:rPr>
        <w:softHyphen/>
        <w:t>бардировочной авиацией, после чего атакует танками, за которыми следует пехота на машинах. При этом противник ищет слабые места в нашей обороне и действиями авиации проталкивает свои тан</w:t>
      </w:r>
      <w:r w:rsidRPr="00722885">
        <w:rPr>
          <w:rFonts w:ascii="Times New Roman" w:hAnsi="Times New Roman"/>
          <w:color w:val="000000" w:themeColor="text1"/>
          <w:sz w:val="16"/>
          <w:szCs w:val="16"/>
        </w:rPr>
        <w:softHyphen/>
        <w:t>ки вперед, затрудняя бомбежками ведение нашей борьбы с танками.</w:t>
      </w:r>
    </w:p>
    <w:p w14:paraId="05270A7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Установлено, что противник бережет свои танки, не пускает их «на рожон», демонстрирует мел</w:t>
      </w:r>
      <w:r w:rsidRPr="00722885">
        <w:rPr>
          <w:rFonts w:ascii="Times New Roman" w:hAnsi="Times New Roman"/>
          <w:color w:val="000000" w:themeColor="text1"/>
          <w:sz w:val="16"/>
          <w:szCs w:val="16"/>
        </w:rPr>
        <w:softHyphen/>
        <w:t>кими группами (3-5 машин) и разведывает таким путем систему нашей ПТО. Разведав слабые места в нашей обороне, действует всей массой танков и устремляется вперед к намеченной цели, не счи</w:t>
      </w:r>
      <w:r w:rsidRPr="00722885">
        <w:rPr>
          <w:rFonts w:ascii="Times New Roman" w:hAnsi="Times New Roman"/>
          <w:color w:val="000000" w:themeColor="text1"/>
          <w:sz w:val="16"/>
          <w:szCs w:val="16"/>
        </w:rPr>
        <w:softHyphen/>
        <w:t>таясь с потерями.</w:t>
      </w:r>
    </w:p>
    <w:p w14:paraId="45C8D3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Офицер Генштаба КА при 28-м тк майор И.А. Иванов</w:t>
      </w:r>
    </w:p>
    <w:p w14:paraId="44636A1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Выписку составил подполковник Уткин</w:t>
      </w:r>
    </w:p>
    <w:p w14:paraId="34E9D35E"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11353. Д. 14. Л. 221-222. Подлинник (11211).</w:t>
      </w:r>
    </w:p>
    <w:p w14:paraId="095E7CEB" w14:textId="77777777" w:rsidR="00090C9B" w:rsidRPr="00722885" w:rsidRDefault="00090C9B" w:rsidP="00722885">
      <w:pPr>
        <w:pStyle w:val="afff2"/>
        <w:jc w:val="both"/>
        <w:rPr>
          <w:i w:val="0"/>
          <w:iCs w:val="0"/>
          <w:color w:val="000000" w:themeColor="text1"/>
          <w:spacing w:val="0"/>
          <w:kern w:val="0"/>
          <w:position w:val="0"/>
          <w:sz w:val="16"/>
          <w:szCs w:val="16"/>
        </w:rPr>
      </w:pPr>
    </w:p>
    <w:p w14:paraId="08EAE6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День 20 сентября 1942 в Южном Поволжье выдался солнечным. На немецком аэродроме Тацинская шла повседневная работа. Периодически садились «Юнкерсы», возвращавшиеся с очередного задания. Им на смену в воздух с ревом поднимались следующие группы и растворялись в небе на востоке. В 250 км отсюда дивизии Вермахта штурмовали развалины Сталинграда. Одни механики и техники осматривали повреждения на только что приземлившихся машинах, другие катили по полю ящики с бомбами, третьи подвешивали их в бомбоотсеки. Бензовозы заливали в «Юнкерсы» топливо, на траве и в палатках отдыхали летчики.</w:t>
      </w:r>
    </w:p>
    <w:p w14:paraId="369CF0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Командир 76-й бомбардировочной эскадры 45-летний оберет Эрнст Борманн пребывал в хорошем настроении. Всего две недели назад он из рук Гитлера получил Дубовые Листья к Рыцарскому Кресту, и его карьера была на своем пике. Боевые действия в Южном Поволжье развивались успешно, и эскадра Борманна в полном составе участвовала в этом историческом этапе войны. И вот адъютант принес телеграмму из штаба 4-го воздушного флота, в которой был приказ силами П. и III./KG76 разбомбить нефтеперегонный завод и склады горючего в Саратове. Штаб эскадры немедленно приступил к разработке плана операции. Расстояние от аэродрома Тацинская до цели составляло по прямой около 470 км. Аэрофотоснимки Саратова показывали, что указанный объект находится на южной окраине города на берегу Волги. Площадь завода составляла 2,7 кв. км. Обнаружение и выход на цель не представляли сложностей, т.к. она окружена незаселенными возвышенностями и хорошо просматривалась среди поросших зеленью холмов. Первый вылет был назначен на 16.30 по берлинскому времени. Пилоты получили задание и побежали к машинам, уже загруженным фугасными бомбами. Вскоре девять «Юнкерсов» уже мчались по взлетной полосе, а затем один за другим исчезали на северо-востоке…В Саратове вечер 20 сентября был ничем не примечательным. На улицах исторического центра текла бурная жизнь, кто-то стоял в очередях за хлебом, другие спешили по своим делам, третьи прогуливались среди облезлых домов. Монотонно стучали переполненные народом трамваи, в окнах госпиталей курили обмотанные бинтами раненые красноармейцы. Из громкоговорителей звучала патриотическая музыка, время от времени передавались сводки Совинформбюро о боях под Сталинградом. На юго-западе в розовой полосе заката дымили трубы крупнейших предприятий: авиазавода, ГПЗ-3 и дальше к югу – крекинг-завода им. Кирова. В Саратовском речном порту также шла повседневная работа. Больше всего дыхание войны ощущалось именно в нем. Причалы были забиты всевозможными судами. С юга непрерывно подходили санитарные транспорты, причем на многих пароходах виднелись пробоины от пуль и вмятины. Некоторые выгружались в Саратове, другие шли дальше вверх по Волге. Страшное зрелище представляла высадка раненых: истошные стоны, бесконечные носилки, кровь. Многие были искалечены. Тех, кто не дожил до конца плавания, здесь же грузили на полуторки и отправляли на кладбища. Затем проводилась короткая санобработка, и на освободившиеся места спешно грузились новые воинские части для Сталинградского фронта. Тут же пароходы заправлялись мазутом или углем, после чего отправлялись на юг по заминированной реке. Солнце уже скрылось за грядами холмов, когда в 19.34 в городе протяжно завыли гудки. Висящие повсюду громкоговорители начали передавать знакомые фразы: «Граждане! Воздушная тревога!» Все находившиеся на улице саратовцы стали вглядываться в темнеющее небо, вскоре послышались выстрелы зениток. В это время у пристани Князевка, находящейся около крекинг-завода № 416 им. Кирова, была пришвартована баржа, битком набитая людьми. Это были 127 эвакуированных семей, ожидавших буксира, который должен был везти их вверх по Волге, в Краснокамск. В речном порту места для судна не нашлось, и его временно поставили здесь, на окраине города. На берегу в трехстах метрах темнели корпуса нефтеперегонного завода, обвитые переплетениями всевозможных труб, дальше тянулись поросшие зеленью горы, с другой стороны в дымке постепенно скрывался пологий восточный берег, а вниз по реке еще можно было различить четырехугольные пролеты моста. На тесной барже царило напряжение, дети постоянно стонали, просили есть и пить. Услышав гудки воздушной тревоги, почти четыре сотни женщин, детей и стариков стали нервно смотреть на осеннее небо. Неужели и здесь, в трехстах километрах от Сталинграда молох войны может настичь их? Но на берег никто идти не хотел, т.к. в любой момент мог поступить сигнал к отходу. И вот в 19.45 с юга послышался нарастающий гул авиационных моторов. Где-то на берегу стреляли зенитки, то там, то здесь в небе бесшумно вспыхивали разрывы зенитных снарядов. Вдруг кто-то прокричал, что видит самолет. И действительно, к ужасу находившихся на барже людей, над рекой появился черный силуэт бомбардировщика. Было видно, как он резко повернул влево и перешел в пикирование, быстро увеличиваясь в размерах и надсадно ревя моторами. Женщины начали кричать, прижимая к себе плачущих детей, в воде послышались всплески – кто-то решил плыть к берегу. Но было поздно… Прогремели три мощнейших взрыва, вверх взметнулись столбы воды, а также многочисленные обломки и куски разорванных тел. Баржа сразу переломилась пополам, объятые пламенем нос и корма задрались вверх и начали стремительно тонуть, увлекая за собой десятки людей. Несколько бомб попали в пришвартованную неподалеку нефтеналивную баржу. В результате она быстро затонула, а горящая нефть растеклась по Волге, окутав прибрежные районы Саратова едким дымом. Огонь ярко осветил берег и восточную сторону крекинг-завода. Оказавшиеся в воде люди, контуженные и оглушенные взрывами, кто еще мог грести, стали, отчаянно барахтаясь, плыть к берегу, до которого было совсем рядом. Матери, потерявшие своих детей, отчаянно крича, пытались найти их среди пенящейся воды и обломков, тем временем горящая нефть быстро подбиралась к ним и поглощала. В это время вверх по течению шел пароход «Гражданин» с ранеными на борту, направлявшийся в г. Хвалынск. Его матрос Петр Харламов вспоминал:  «Идем… Подходим к Саратову, там только-только бомбежка закончилась. Разбомбил немец нефтяную баржу. Все горит. Нефть, горящая, по воде растеклась, люди среди огня плывут. Страшно».  Расползающийся дым частично скрыл нефтеперегонный завод, затрудняя немецким штурманам прицеливание. В 20.47 над городом появилась следующая группа «Юнкерсов», сбросившая восемь крупных фугасных бомб, из них пять упали в Волгу, а три – около совхоза «Ударник». Затем в 21.18 последовал новый удар. На этот раз две бомбы взорвались на заводской территории, и осколками пробило резервуары №№ 2, 3,7, 8, 9 и 10, а так же перебило силовую шестикиловольтную линию. Еще две бомбы упали в районе поселка Князевка. Тем временем начались работы по спасению уцелевших людей с потопленной баржи. В 22.00 наконец-то прибыл пожарный пароход, но тушение нефти, разлившейся уже до железнодорожного моста, продолжалось до утра. На берегу в борьбе с огнем участвовали три автонасоса. Удалось спасти лишь 33 человека, но из них трое затем скончались в больнице. Таким образом, число погибших на барже составило 256 человек. В 22.05 прозвучал сигнал «Отбой ВТ», но, как оказалось, с ним поспешили. И в 00.50 21 сентября одиночный «Юнкере» сбросил три бомбы на территорию 2-го бронетанкового училища. По счастливой случайности был ранен лишь один человек. В четырех казармах взрывной волной выбило около сорока окон (11774).</w:t>
      </w:r>
    </w:p>
    <w:p w14:paraId="3DC5CFF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3D8E472" w14:textId="37F97139" w:rsidR="00F35F0F" w:rsidRPr="00722885" w:rsidRDefault="00F35F0F" w:rsidP="00722885">
      <w:pPr>
        <w:pStyle w:val="Iauiue"/>
        <w:jc w:val="both"/>
        <w:rPr>
          <w:i/>
          <w:iCs/>
          <w:color w:val="000000" w:themeColor="text1"/>
          <w:sz w:val="16"/>
          <w:szCs w:val="16"/>
        </w:rPr>
      </w:pPr>
      <w:r w:rsidRPr="00722885">
        <w:rPr>
          <w:i/>
          <w:iCs/>
          <w:color w:val="000000" w:themeColor="text1"/>
          <w:sz w:val="16"/>
          <w:szCs w:val="16"/>
        </w:rPr>
        <w:t>За рубежом:</w:t>
      </w:r>
    </w:p>
    <w:p w14:paraId="67C78984" w14:textId="77777777" w:rsidR="00F35F0F" w:rsidRPr="00722885" w:rsidRDefault="00F35F0F" w:rsidP="00722885">
      <w:pPr>
        <w:pStyle w:val="Iauiue"/>
        <w:jc w:val="both"/>
        <w:rPr>
          <w:i/>
          <w:iCs/>
          <w:color w:val="000000" w:themeColor="text1"/>
          <w:sz w:val="16"/>
          <w:szCs w:val="16"/>
        </w:rPr>
      </w:pPr>
    </w:p>
    <w:p w14:paraId="77797776"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 сентября 1942 года — первый полёт поршневого истребителя FFVS J 22. /Швеция/</w:t>
      </w:r>
    </w:p>
    <w:p w14:paraId="09E8EF51"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1940 году правительство Швеции заказало в США 264 истребителя для замены своих устаревших бипланов Gloster Gladiator. Но после оккупации Норвегии немцами США наложили эмбарго на поставки вооружения европейским странам, кроме Великобритании. В ответ шведы решили разработать истребитель своими силами. Проект получил обозначение FFVS J 22.</w:t>
      </w:r>
    </w:p>
    <w:p w14:paraId="4831BD3C"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J 22 был типичным для своего времени низкопланом с убирающимся шасси. Конструкция смешанная — деревянно-стальная. Оснащался двигателем SFA STWC3-G (шведский вариант американского Pratt &amp; Whitney Twin Wasp). Максимальная скорость — 575 км/ч, дальность полёта — 1270 км. Вооружение состояло из 4 × 13,2-мм пулемётов Akan m/39A.</w:t>
      </w:r>
    </w:p>
    <w:p w14:paraId="37357339"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Истребитель обладал хорошими лётными характеристиками и маневренностью и нравился лётчикам. Всего выпустили 198 единиц FFVS J 22. Они стояли на вооружении ВВС Швеции с 1943 по 1952 год. До наших дней сохранилось 3 самолёта J 22 (22300).</w:t>
      </w:r>
    </w:p>
    <w:p w14:paraId="1892360A" w14:textId="77777777" w:rsidR="00F35F0F" w:rsidRPr="00722885" w:rsidRDefault="00F35F0F" w:rsidP="00722885">
      <w:pPr>
        <w:pStyle w:val="95"/>
        <w:shd w:val="clear" w:color="auto" w:fill="auto"/>
        <w:spacing w:after="0" w:line="240" w:lineRule="auto"/>
        <w:ind w:firstLine="0"/>
        <w:jc w:val="both"/>
        <w:rPr>
          <w:color w:val="0070C0"/>
          <w:sz w:val="16"/>
          <w:szCs w:val="16"/>
        </w:rPr>
      </w:pPr>
    </w:p>
    <w:p w14:paraId="68C899D6" w14:textId="72C0C161"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2C295C8" w14:textId="77777777" w:rsidR="00090C9B" w:rsidRPr="00722885" w:rsidRDefault="00090C9B" w:rsidP="00722885">
      <w:pPr>
        <w:pStyle w:val="Iauiue"/>
        <w:jc w:val="both"/>
        <w:rPr>
          <w:iCs/>
          <w:color w:val="000000" w:themeColor="text1"/>
          <w:sz w:val="16"/>
          <w:szCs w:val="16"/>
        </w:rPr>
      </w:pPr>
    </w:p>
    <w:p w14:paraId="2DF9213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сентября 1942 г. вышел ПРИКАЗ НКТП СССР О ВЫПУСКЕ ОГНЕМЕТНЫХ ТАНКОВ № 663сс</w:t>
      </w:r>
    </w:p>
    <w:p w14:paraId="497B91F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исполнение Постановления ГОКО за № 2316сс от 17 сентября с.г. - ПРИКАЗЫВАЮ: 1. Директору Кировского завода т. Махонину.</w:t>
      </w:r>
    </w:p>
    <w:p w14:paraId="249CAFC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 1 октября с.г. обеспечить выпуск огнеметных танков КВ-8с с облегченными корпусом и баш</w:t>
      </w:r>
      <w:r w:rsidRPr="00722885">
        <w:rPr>
          <w:rFonts w:ascii="Times New Roman" w:hAnsi="Times New Roman"/>
          <w:color w:val="000000" w:themeColor="text1"/>
          <w:sz w:val="16"/>
          <w:szCs w:val="16"/>
        </w:rPr>
        <w:softHyphen/>
        <w:t>ней, имеющих следующую тактико-техническую характеристику:</w:t>
      </w:r>
    </w:p>
    <w:p w14:paraId="2A0FBAA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Вес танка 42,5 тонны;</w:t>
      </w:r>
    </w:p>
    <w:p w14:paraId="3878B1A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Количество огневыстрелов не менее 40;</w:t>
      </w:r>
    </w:p>
    <w:p w14:paraId="0944E9E1"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3) Объем одного выстрела 10 литров.</w:t>
      </w:r>
    </w:p>
    <w:p w14:paraId="33CD20C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К 1 октября с.г. изготовить опытный образец танка КВ-8с, предъявить его совместно с черте</w:t>
      </w:r>
      <w:r w:rsidRPr="00722885">
        <w:rPr>
          <w:rFonts w:ascii="Times New Roman" w:hAnsi="Times New Roman"/>
          <w:color w:val="000000" w:themeColor="text1"/>
          <w:sz w:val="16"/>
          <w:szCs w:val="16"/>
        </w:rPr>
        <w:softHyphen/>
        <w:t>жами НКТП и ГАБТУ КА на утверждение, для чего к 24 сентября передать заводу № 200 модели и чертежи для изготовления бронедеталей к новой башне КВ-8с.</w:t>
      </w:r>
    </w:p>
    <w:p w14:paraId="5F6F231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Директору завода № 200 т. Щербакову изготовить в трехдневный срок все детали для башни танка КВ-8с согласно заявки Кировского завода.</w:t>
      </w:r>
    </w:p>
    <w:p w14:paraId="45A14CE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Директору Кировского завода т. Махонину учесть, что этим постановлением заводу разреша</w:t>
      </w:r>
      <w:r w:rsidRPr="00722885">
        <w:rPr>
          <w:rFonts w:ascii="Times New Roman" w:hAnsi="Times New Roman"/>
          <w:color w:val="000000" w:themeColor="text1"/>
          <w:sz w:val="16"/>
          <w:szCs w:val="16"/>
        </w:rPr>
        <w:softHyphen/>
        <w:t>ется в сентябре выпускать танки КВ-8с, имеющие облегченный корпус и старую башню с общим ве</w:t>
      </w:r>
      <w:r w:rsidRPr="00722885">
        <w:rPr>
          <w:rFonts w:ascii="Times New Roman" w:hAnsi="Times New Roman"/>
          <w:color w:val="000000" w:themeColor="text1"/>
          <w:sz w:val="16"/>
          <w:szCs w:val="16"/>
        </w:rPr>
        <w:softHyphen/>
        <w:t>сом танка до 43,2 тонны.</w:t>
      </w:r>
    </w:p>
    <w:p w14:paraId="580FC17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Контроль за выполнением настоящего приказа возлагаю на моего заместителя т. Котина.</w:t>
      </w:r>
    </w:p>
    <w:p w14:paraId="6F7E992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Народный комиссар танковой промышленности СССР И. Зальцман</w:t>
      </w:r>
    </w:p>
    <w:p w14:paraId="66C61E3E"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11355. Д. 676. Л. 3. Копия (11211).</w:t>
      </w:r>
    </w:p>
    <w:p w14:paraId="59832FD3" w14:textId="77777777" w:rsidR="00090C9B" w:rsidRPr="00722885" w:rsidRDefault="00090C9B" w:rsidP="00722885">
      <w:pPr>
        <w:pStyle w:val="afff2"/>
        <w:jc w:val="both"/>
        <w:rPr>
          <w:i w:val="0"/>
          <w:iCs w:val="0"/>
          <w:color w:val="000000" w:themeColor="text1"/>
          <w:spacing w:val="0"/>
          <w:kern w:val="0"/>
          <w:position w:val="0"/>
          <w:sz w:val="16"/>
          <w:szCs w:val="16"/>
        </w:rPr>
      </w:pPr>
    </w:p>
    <w:p w14:paraId="18CEA2CC" w14:textId="77777777" w:rsidR="00651661" w:rsidRPr="00722885" w:rsidRDefault="0065166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21 сентября 1942 года следующая партия танков Черчиль пришла с конвоем PQ-18 в Архангельск. На этот раз до портов добралось 74 Churchill. Этот конвой стал последним, в котором прибыли Churchill II. Английские источники утверждают, что всего в СССР было отправлено 45 Churchill II, из которых прибыли на место 26 штук. Цифра эта несколько отличается от реальности: из 74 танков, прибывших с конвоем PQ-18, к Churchill II относилось 15 машин. В общей же сложности поступило 20 таких танков, из них 19 отправили в 50-й </w:t>
      </w:r>
      <w:hyperlink r:id="rId115" w:history="1">
        <w:r w:rsidRPr="00722885">
          <w:rPr>
            <w:rFonts w:ascii="Times New Roman" w:eastAsia="Times New Roman" w:hAnsi="Times New Roman"/>
            <w:color w:val="000000" w:themeColor="text1"/>
            <w:sz w:val="16"/>
            <w:szCs w:val="16"/>
            <w:lang w:eastAsia="ru-RU"/>
          </w:rPr>
          <w:t>гвардейский тяжелый танковый полк</w:t>
        </w:r>
      </w:hyperlink>
      <w:r w:rsidRPr="00722885">
        <w:rPr>
          <w:rFonts w:ascii="Times New Roman" w:eastAsia="Times New Roman" w:hAnsi="Times New Roman"/>
          <w:color w:val="000000" w:themeColor="text1"/>
          <w:sz w:val="16"/>
          <w:szCs w:val="16"/>
          <w:lang w:eastAsia="ru-RU"/>
        </w:rPr>
        <w:t>. Еще один танк оказался в составе 194-й учебной танковой бригады (17691).</w:t>
      </w:r>
    </w:p>
    <w:p w14:paraId="4A482A3A" w14:textId="77777777" w:rsidR="00651661" w:rsidRPr="00722885" w:rsidRDefault="00651661" w:rsidP="00722885">
      <w:pPr>
        <w:spacing w:after="0" w:line="240" w:lineRule="auto"/>
        <w:jc w:val="both"/>
        <w:rPr>
          <w:rFonts w:ascii="Times New Roman" w:hAnsi="Times New Roman"/>
          <w:color w:val="000000" w:themeColor="text1"/>
          <w:sz w:val="16"/>
          <w:szCs w:val="16"/>
        </w:rPr>
      </w:pPr>
    </w:p>
    <w:p w14:paraId="4D88BC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 сентября 1942 года была подготовлена справка:</w:t>
      </w:r>
    </w:p>
    <w:p w14:paraId="11BFD4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Заводы №№ 548, 325, 606 НКБ (9266).</w:t>
      </w:r>
    </w:p>
    <w:p w14:paraId="07398654" w14:textId="77777777" w:rsidR="00090C9B" w:rsidRPr="00722885" w:rsidRDefault="00090C9B" w:rsidP="00722885">
      <w:pPr>
        <w:pStyle w:val="Iauiue"/>
        <w:jc w:val="both"/>
        <w:rPr>
          <w:color w:val="000000" w:themeColor="text1"/>
          <w:sz w:val="16"/>
          <w:szCs w:val="16"/>
        </w:rPr>
      </w:pPr>
    </w:p>
    <w:p w14:paraId="44E2E8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сентября 1942 Военный совет фронта решил построить на Адмиралтейском заводе первые два монитора по проекту с Большой земли (пр. № 161) со сдачей головного корабля в 1942 г (10671).</w:t>
      </w:r>
    </w:p>
    <w:p w14:paraId="5000779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CF893D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74BF9CB" w14:textId="77777777" w:rsidR="00090C9B" w:rsidRPr="00722885" w:rsidRDefault="00090C9B" w:rsidP="00722885">
      <w:pPr>
        <w:pStyle w:val="Iauiue"/>
        <w:jc w:val="both"/>
        <w:rPr>
          <w:iCs/>
          <w:color w:val="000000" w:themeColor="text1"/>
          <w:sz w:val="16"/>
          <w:szCs w:val="16"/>
        </w:rPr>
      </w:pPr>
    </w:p>
    <w:p w14:paraId="28BAA90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сентября в 1942 году утреннее сообщение Совинформбюро:</w:t>
      </w:r>
    </w:p>
    <w:p w14:paraId="1BF43C6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21 сентября наши войска вели бои с противником в районе Сталинграда и в районе Моздока. На других фронтах существенных изменений не произошло.</w:t>
      </w:r>
    </w:p>
    <w:p w14:paraId="03BF003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В ходе этих боёв нашими частями уничтожено до двух полков немецкой пехоты, 11 танков, 89 автомашин, подавлен огонь 2 артиллерийских и 8 миномётных батарей.</w:t>
      </w:r>
    </w:p>
    <w:p w14:paraId="5178C11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Н-ская часть Красной Армии отбила несколько атак противника. Уничтожено 3 немецких танка. Наши бойцы истребили до роты гитлеровцев и захватили орудие, 2 пулемёта, 3 автомата и пленных. Лейтенант Досмурабетов из противотанкового ружья подбил немецкий танк.</w:t>
      </w:r>
    </w:p>
    <w:p w14:paraId="209420D1"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миномётное подразделение старшего лейтенанта Аккунинова отбило несколько атак противника и истребило 150 немецких солдат. Артиллерийская батарея командира Богданова произвела несколько огневых налётов и уничтожила артиллерийскую и миномётную батареи противника, 30 автомашин и рассеяла до батальона пехоты неприятеля.</w:t>
      </w:r>
    </w:p>
    <w:p w14:paraId="6DBBB1C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Карельского фронта противник, стремясь вернуть потерянные несколько дней назад позиции, предпринял ряд контратак. Наши бойцы отбили все контратаки неприятеля с большими для него потерями. За три дня наши подразделения истребили до батальона белофиннов, уничтожили 25 пулемётов и подавили огонь 7 артиллерийских и 6 миномётных батарей. Захвачены противотанковое орудие, 16 пулемётов, 2 противотанковых ружья, 4 радиостанции и другие трофеи.</w:t>
      </w:r>
    </w:p>
    <w:p w14:paraId="549F7CC0"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партизан, действующий в одном из районов Орловской области, напал на гитлеровцев, охранявших железнодорожный мост. Партизаны истребили 13 немецких солдат и взорвали мост. В это же время другая группа партизан совершила налёт на станцию, уничтожила селекторную связь и взорвала железнодорожный путь.</w:t>
      </w:r>
    </w:p>
    <w:p w14:paraId="0581B5C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9 роты 594 полка 323 немецкой пехотной дивизии Людвиг Зеер рассказал: «В феврале 1942 года меня призвали в армию и отправили на фронт.Здесь я был зачислен в погребальную команду. В селе Николаевке мы похоронили 620 солдат. На кладбище похоронены командир 591 пехотного полка полковник Беттер, обер-лейтенанты Шнабе, Адами и другие. Очень велико в нашей дивизии количество раненых. По самым скромным подсчётам, число их достигает 4.500 человек. 15 сентября командование дивизии ввиду больших потерь направило на передовые позиции многих солдат из тыловых служб и нестроевых команд. Я попал в 9 роту и воевал только один день. Я был ранен и сдался в плен».</w:t>
      </w:r>
    </w:p>
    <w:p w14:paraId="5C277FF0"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партизанами в Витебской области немецкого солдата Франца Клатихапеля найдено письмо к жене. В нём говорится: «Партизаны ежедневно нападают на нас. Они обстреливают, когда мы едем на станцию за продуктами и почтой, закладывают мины, на которых уже подорвалось много машин. По ночам мы лежим в окопах из страха быть захваченными врасплох. С партизанами мы не справимся, их с каждым днём становится всё больше».</w:t>
      </w:r>
    </w:p>
    <w:p w14:paraId="7264028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патриоты продолжают вести упорные бои с оккупантами в окрестностях города Банья Лука. В боях с партизанами за последние дни итальянцы потеряли убитыми и ранеными более 300 солдат и офицеров. Партизаны захватили у оккупантов поезд с боеприпасами, в том числе 250.000 патронов, много гранат и снарядов. За две недели огнем из винтовок и пулеметов партизаны сбили 6 немецкихи итальянских самолётов.» (14776).</w:t>
      </w:r>
    </w:p>
    <w:p w14:paraId="01C32921"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370D902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сентября в 1942 году вечернее сообщение Совинформбюро:</w:t>
      </w:r>
    </w:p>
    <w:p w14:paraId="1E603F14"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2l сентября наши войска вели ожесточённые бои с противником врайоне Сталинграда и в районе Моздока. На других фронтах никаких изменений не произошло.</w:t>
      </w:r>
    </w:p>
    <w:p w14:paraId="6D60A600"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20 сентября частями нашей авиации на различных участках фронта уничтожено или повреждено 8 немецких танков, до 70 автомашин с войсками и грузами, взорвано 2 склада боеприпасов, подавлен огонь 7 артиллерийских и 3 миномётных батарей, рассеяно и частью уничтожено до двух рот пехоты противника.</w:t>
      </w:r>
    </w:p>
    <w:p w14:paraId="2FCD2FA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 одном из участков полк немецкой пехоты при поддержке танков предпринял несколько атак, Все атаки противника отбиты с большими для него потерями. Бойцы Н-ской части в уличном бою истребили 230 гитлеровцев и уничтожили 24 автомашины и 3 миномётные батареи. На другом участке наши подразделения потеснили противника и уничтожили 2 танка, 12 автомашин и до двух рот немецкой пехоты.</w:t>
      </w:r>
    </w:p>
    <w:p w14:paraId="6DA9276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противник, сосредоточив большую группу автоматчиков и танков, предпринял наступление на один населённый пункт. Группа наших бойцов под командованием лейтенанта Русадзе вступила в бой с численно превосходящими силами врага. Расчёт противотанкового ружья младшего лейтенанта Эбралидзе уничтожил 3 немецких танка и несколько десятков гитлеровцев. Бронебойщики тт. Боголадзе, Горгадзе и Заберадзе под командованием старшего сержанта Хитнадзе сожгли и подбили 4 танка противника. Немцы потеряли более 250 солдат и офицеров.</w:t>
      </w:r>
    </w:p>
    <w:p w14:paraId="0D59742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войска вели оборонительные бои с противником. Наш разведывательный отряд за два дня уничтожил 4 автомашины, 50 немецких солдат и офицеров и взорвал склад с боеприпасами противника. Пять краснофлотцев и младший командир т. Петин, находясь в разведке, натолкнулись на вражескую засаду. В ожесточённой схватке моряки штыками и гранатами истребили 30 гитлеровцев.</w:t>
      </w:r>
    </w:p>
    <w:p w14:paraId="3BCAF9E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Синявина наши части отбили несколько контратак противника. Часть, где командиром т. Рогинский, выбила немцев из одного опорного пункта. В результате этого боя захвачено 30 блиндажей и землянок и уничтожено 3 немецких танка.</w:t>
      </w:r>
    </w:p>
    <w:p w14:paraId="74E2E48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совершил один за другим два налёта на железнодорожную станцию, занятую немецко-фашистскими оккупантами. Партизаны истребили 67 немецких солдат, разрушили станционные здания и пути и уничтожили склад с военным имуществом.</w:t>
      </w:r>
    </w:p>
    <w:p w14:paraId="3F66947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лейтенант 5 пехотного полка 4 румынской дивизии Александр Радою рассказал: «В последних боях наша дивизия понесла тяжёлые потери. Русские миномёты опустошили многие роты. В связи с потерями в полку участились факты нарушения дисциплины. Недавно солдаты 5 и 6 рот отказались пойти в атаку. Майор Маздрас трижды повторил приказ, но лишь одиночки поднялись с места. Об этом узнали немцы. Они без предупреждения открыли огонь по румынам. Румынские солдаты отстреливались. С обеих сторон были десятки убитых и раненых. Не только солдаты,но и румынские офицеры начинают теперь понимать, что Румыния превращена в немецкую колонию. Нашу Трансильванию Гитлер безвозвратно отдал Венгрии. Немцы считают румын недостойными людьми, низкими существами. Я знаю немало солдат и даже офицеров, которые мечтают о том, чтобы любым способом, любой ценой выйти из войны».</w:t>
      </w:r>
    </w:p>
    <w:p w14:paraId="5D5A8FB1"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разрушили и сожгли десятки деревень Дедовичского района, Ленинградской области. Сожжено 2.205 жилых домов, 1.317 хозяйственных построек колхозников, 76 школ, клубов и других культурных учреждений. В 26 деревнях этого района гитлеровские палачи замучили, повесили и расстреляли 340 мирных жителей, в том числе многих женщин и детей.</w:t>
      </w:r>
    </w:p>
    <w:p w14:paraId="764759C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различных районах оккупированной Франции организуются отряды свободных стрелков. Эти отряды истребляют гитлеровцев, захватывают склады с оружием, нарушают немецкие коммуникации. Отряд свободных стрелков, действующий в департаменте Уазы, в течение месяца истребил 57 немецких солдат и четырёх офицеров. На перегоне Крэль—Компьен свободные стрелки пустили под откос товарный поезд оккупантов. На одной из улиц Парижа группа свободных стрелков задержала автомобиль с немецкими офицерами. Патриоты застрелили трёх гитлеровцев, а машину угнали.» (14776).</w:t>
      </w:r>
    </w:p>
    <w:p w14:paraId="2A4D323E"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6E8D387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сентября в 1942 году немецкие войска заняли центр и южные районы Сталинграда (14776).</w:t>
      </w:r>
    </w:p>
    <w:p w14:paraId="3ABCBD39"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75B3F4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21 сентября 1942 в центре Сталинграда, совсем недалеко от Волги, шли ожесточенные бои с применением артиллерии, танков и огнеметов. Мобильные группы немецких автоматчиков появились в городском саду, недалеко от центрального универмага. Яростные перестрелки шли на Смоленской и Коммунистической улицах. В трех километрах к югу, едва различимый среди клубов дыма, оборонялся элеватор. Но пожалуй, самая страшная картина днем 21 сентября складывалась на берегу, в районе центральной переправы. Среди обгоревших развалин портовых складов и сооружений, беспорядочно сваленного заводского оборудования, которое не успели эвакуировать, скопились сотни жителей и беженцев, ожидавших погрузки на корабли. Здесь же вповалку лежали множество раненых, брошенных на произвол судьбы. Помощь им никто не оказывал, продовольствия почти не было. Мучаясь от жажды, многие люди подползали к реке и пили воду прямо из нее. Повсюду среди воронок валялись изуродованные трупы и человеческие останки, которые никто не хоронил. Вонь от разлагающихся тел, стоны раненых, крики женщин и плач детей, грохот </w:t>
      </w:r>
      <w:r w:rsidRPr="00722885">
        <w:rPr>
          <w:rFonts w:ascii="Times New Roman" w:hAnsi="Times New Roman"/>
          <w:color w:val="000000" w:themeColor="text1"/>
          <w:sz w:val="16"/>
          <w:szCs w:val="16"/>
        </w:rPr>
        <w:lastRenderedPageBreak/>
        <w:t>взрывов и вой сирен немецких пикирующих бомбардировщиков создавали у любого, кто видел этот ад, ощущение конца света. Когда к берегу причаливала очередная баржа или паром, начиналась поспешная разгрузка. Спрыгивающие на берег солдаты стремились поскорее попасть под обрыв, чтобы уйти с открытого пространства. Беженцы, наоборот, хотели как можно скорее попасть на судно. В этот момент начиналась страшная давка. Потерявшие человеческий облик люди, сминая и втаптывая в грязь друг друга, с дикими криками ломились на причал. Малочисленные сотрудники НКВД с автоматами были не в силах контролировать этот процесс. И тут происходит самое страшное: в небе появляются немецкие самолеты. С ощущением собственной безнаказанности они ровным строем идут прямо над берегом. С ужасом люди видят, как отделяются бомбы и с воем устремляются вниз. Корабли тут же отчаливают и устремляются прочь от берега. Люди виснут на бортах, многие падают в воду, но их никто не спасает, каждый предоставлен сам себе. Те, что на суше, бегут, наталкиваясь друг на друга и спотыкаясь, ища какие-нибудь укрытия. Кто-то просто ложится там, где стоял, и закрывает голову руками. Гремят взрывы, в небо поднимаются огромные столбы воды, песка и щебня. Некоторые бомбы взрываются прямо в толпе, разбрасывая на сотни метров куски человеческих тел и ошметки одежды. Вскоре две последние уцелевшие пристани охвачены огнем. Пламя и дым полностью скрывают из вида восточный берег. Через некоторое время налет заканчивается и все повторяется сначала. Трупы и останки погибших никто не убирает, до них вообще нет дела. Тяжелораненые тоже брошены умирать. Вскоре по ним уже ездят автомобили, раскатывая в дорожной колее то, что еще недавно было человеком. 22 сентября части 4-й танковой армии Вермахта прорвались к Волге в районе центральной переправы. «Штуки» из эскадры StG2 «Иммельман» весь день под вой сирен беспрерывно бомбили стоянки судов у восточного берега, одновременно по кораблям наносила удары немецкая артиллерия. Солдаты советской 62-й армии могли наблюдать, как на другой стороне реки горели временные причалы, поднимались столбы воды, огня и песка. Через некоторое время все это рассеивалось, но появлялись новые группы «Юнкерсов», которые виртуозно входили в пике, и вновь воздух сотрясали мощнейшие взрывы. В результате к концу дня были потоплены катера «Четвертый», «Тринадцатый» и «Лейтенант Здоровцев», а также газоходы № 71 и № 99, тяжелые повреждения получили три парома СП-19. Все это значительно осложнило доставку подкреплений, оружия и боеприпасов на западный берег. Теперь основная нагрузка легла на переправы в районе завода «Красный Октябрь». Лавируя между остовами затонувших судов и мелями, уцелевшие корабли под непрерывными бомбежками и артобстрелом совершали по три-четыре рейса в сутки, в основном по ночам (11774).</w:t>
      </w:r>
    </w:p>
    <w:p w14:paraId="13C9AFF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B6FDF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Вечером 21 сентября 1942 пятнадцать «Юнкерсов» из KG76 вновь взлетели с аэродрома Тацинская и взяли курс на Саратов. Самолеты шли на цель группами по три – пять машин. После почти полутора часов полета летчики увидели знакомые очертания города. Хотя улицы были затемнены, можно было отчетливо разглядеть разбросанные по холмам силуэты жилых кварталов и крупные промышленные объекты на южной окраине. Вскоре с земли небо прорезали острые лучи прожекторов, где-то внизу в темноте сверкнули выстрелы зениток. Идентифицировав объект атаки, пилоты начали один за другим переводить машины в пике. Рули высоты опустились вниз, плавно вышли воздушные тормоза, и бомбардировщики, рассекая холодные массы осеннего воздуха, понеслись к цели. С короткими интервалами на нефтеперегонный завод были сброшены 13 фугасных и около 200 зажигательных бомб, в т.ч. Brand 50Аи Brand 250Д начиненные смесью бензина, каучука и фосфора. В результате возник пожар в четырех нефтеямах, были разрушены полотно железной дороги и сырьевая насосная станция № 3, перебиты две высоковольтные линии. На этот раз удар немцев не был внезапным, и с аэродрома Анисовка на перехват бомбардировщиков взлетели ночные истребители из женского 586-го ИАП, однако сильный и беспорядочный зенитный огонь не позволил им даже приблизиться к южной части города, которая и подвергалась атаке. В результате все «Яки» вернулись на аэродром, не имея ни одного контакта с противником. Летчицы были взбешены тем, что опять ничем не смогли помочь городу.Хотя к утру пожары были потушены, после второго налета крекинг-завод практически полностью прекратил работу. В течение следующего дня части ПВО в лихорадочной обстановке изучали полученный опыт, пытались выявить недостатки и выработать какую-нибудь новую тактику. При этом зенитчики всю вину валили на прожектористов, мол, мало держат в лучах, не могут поймать самолет, те, в свою очередь, обвиняли зенитчиков в медленной реакции. Выявилось полное отсутствие взаимодействия между наземными войсками и ночными истребителями. На нефтеперегонном заводе тем временем подсчитывали убытки и жаловались в разные инстанции на слабую защиту объекта. Досталось и пожарникам, за то, что те якобы «слишком медленно» ездят (11774).</w:t>
      </w:r>
    </w:p>
    <w:p w14:paraId="4DE9DC9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FBF94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 сентября 1942 танк типа “Хеншель” с фабричным номером № 250004 впервые в целях разведки в 10 ч. 30 мин. выдвинулся в район п. Мга-Горы. Это стало известно лишь 25 января 1943 г. после того. как переводчик Брескер закончил работу но “расшифровке''- захваченного вместе с танком “Тигр” путевого журнала № 1, т.ч. факт первого применения Тигра имел место, но, скорее всего, для советского командования остался незамеченным (6001,20).</w:t>
      </w:r>
    </w:p>
    <w:p w14:paraId="13BA36B6" w14:textId="77777777" w:rsidR="00090C9B" w:rsidRPr="00722885" w:rsidRDefault="00090C9B" w:rsidP="00722885">
      <w:pPr>
        <w:pStyle w:val="Iauiue"/>
        <w:jc w:val="both"/>
        <w:rPr>
          <w:color w:val="000000" w:themeColor="text1"/>
          <w:sz w:val="16"/>
          <w:szCs w:val="16"/>
        </w:rPr>
      </w:pPr>
    </w:p>
    <w:p w14:paraId="64115305"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21 сентября 1942 конвой PQ 18 прибывает в Архангельск. Во время своего путешествия, самолеты британского авианосца HMS Avenger атаковали 16 немецких подводных лодок и способствовала потопления одной. Avenger и зенитки конвоя сбили 41 немецкий самолет. Из-за этих высоких потерь немецкая авиация атакует арктические конвои существенно реже (20793).</w:t>
      </w:r>
    </w:p>
    <w:p w14:paraId="07AAD74A" w14:textId="77777777" w:rsidR="00F35F0F" w:rsidRPr="00722885" w:rsidRDefault="00F35F0F" w:rsidP="00722885">
      <w:pPr>
        <w:spacing w:after="0" w:line="240" w:lineRule="auto"/>
        <w:jc w:val="both"/>
        <w:rPr>
          <w:rFonts w:ascii="Times New Roman" w:hAnsi="Times New Roman"/>
          <w:color w:val="0070C0"/>
          <w:sz w:val="16"/>
          <w:szCs w:val="16"/>
        </w:rPr>
      </w:pPr>
    </w:p>
    <w:p w14:paraId="69D196F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89A74ED" w14:textId="77777777" w:rsidR="00090C9B" w:rsidRPr="00722885" w:rsidRDefault="00090C9B" w:rsidP="00722885">
      <w:pPr>
        <w:pStyle w:val="Iauiue"/>
        <w:jc w:val="both"/>
        <w:rPr>
          <w:iCs/>
          <w:color w:val="000000" w:themeColor="text1"/>
          <w:sz w:val="16"/>
          <w:szCs w:val="16"/>
        </w:rPr>
      </w:pPr>
    </w:p>
    <w:p w14:paraId="48847C18" w14:textId="77777777" w:rsidR="00F05BFB" w:rsidRPr="00722885" w:rsidRDefault="00F05BFB" w:rsidP="00722885">
      <w:pPr>
        <w:pStyle w:val="Iauiue"/>
        <w:jc w:val="both"/>
        <w:rPr>
          <w:color w:val="000000" w:themeColor="text1"/>
          <w:sz w:val="16"/>
          <w:szCs w:val="16"/>
        </w:rPr>
      </w:pPr>
      <w:r w:rsidRPr="00722885">
        <w:rPr>
          <w:color w:val="000000" w:themeColor="text1"/>
          <w:sz w:val="16"/>
          <w:szCs w:val="16"/>
        </w:rPr>
        <w:t>21 сентября 1942 состоялся первый полет самолета В-29 (1847,73).</w:t>
      </w:r>
    </w:p>
    <w:p w14:paraId="1D996FF3" w14:textId="77777777" w:rsidR="00F05BFB" w:rsidRPr="00722885" w:rsidRDefault="00F05BFB" w:rsidP="00722885">
      <w:pPr>
        <w:pStyle w:val="Iauiue"/>
        <w:jc w:val="both"/>
        <w:rPr>
          <w:color w:val="000000" w:themeColor="text1"/>
          <w:sz w:val="16"/>
          <w:szCs w:val="16"/>
        </w:rPr>
      </w:pPr>
    </w:p>
    <w:p w14:paraId="22687ED7" w14:textId="77777777" w:rsidR="00F05BFB" w:rsidRPr="00722885" w:rsidRDefault="00F05BFB" w:rsidP="00722885">
      <w:pPr>
        <w:pStyle w:val="95"/>
        <w:shd w:val="clear" w:color="auto" w:fill="auto"/>
        <w:spacing w:after="0" w:line="240" w:lineRule="auto"/>
        <w:ind w:firstLine="0"/>
        <w:jc w:val="both"/>
        <w:rPr>
          <w:color w:val="000000" w:themeColor="text1"/>
          <w:sz w:val="16"/>
          <w:szCs w:val="16"/>
        </w:rPr>
      </w:pPr>
      <w:r w:rsidRPr="00722885">
        <w:rPr>
          <w:color w:val="000000" w:themeColor="text1"/>
          <w:sz w:val="16"/>
          <w:szCs w:val="16"/>
        </w:rPr>
        <w:t>21 сентября 1942 года первый прототип ХВ-29 (серийный но</w:t>
      </w:r>
      <w:r w:rsidRPr="00722885">
        <w:rPr>
          <w:color w:val="000000" w:themeColor="text1"/>
          <w:sz w:val="16"/>
          <w:szCs w:val="16"/>
        </w:rPr>
        <w:softHyphen/>
        <w:t>мер 41-0002). укомплектованный двигате</w:t>
      </w:r>
      <w:r w:rsidRPr="00722885">
        <w:rPr>
          <w:color w:val="000000" w:themeColor="text1"/>
          <w:sz w:val="16"/>
          <w:szCs w:val="16"/>
        </w:rPr>
        <w:softHyphen/>
        <w:t>лями К-3350-12 с трехлопастными винтами, летчик-испытатель компании Эдди Аллен поднял в воздух. К то</w:t>
      </w:r>
      <w:r w:rsidRPr="00722885">
        <w:rPr>
          <w:color w:val="000000" w:themeColor="text1"/>
          <w:sz w:val="16"/>
          <w:szCs w:val="16"/>
        </w:rPr>
        <w:softHyphen/>
        <w:t>му времени, «Боинг» имела заказ на 1664 са</w:t>
      </w:r>
      <w:r w:rsidRPr="00722885">
        <w:rPr>
          <w:color w:val="000000" w:themeColor="text1"/>
          <w:sz w:val="16"/>
          <w:szCs w:val="16"/>
        </w:rPr>
        <w:softHyphen/>
        <w:t>молета. Испытания проходили тяжело, в основном из-за проблем с двигателями, не</w:t>
      </w:r>
      <w:r w:rsidRPr="00722885">
        <w:rPr>
          <w:color w:val="000000" w:themeColor="text1"/>
          <w:sz w:val="16"/>
          <w:szCs w:val="16"/>
        </w:rPr>
        <w:softHyphen/>
        <w:t>редко перегревавшимися, а порой и воспла</w:t>
      </w:r>
      <w:r w:rsidRPr="00722885">
        <w:rPr>
          <w:color w:val="000000" w:themeColor="text1"/>
          <w:sz w:val="16"/>
          <w:szCs w:val="16"/>
        </w:rPr>
        <w:softHyphen/>
        <w:t>менявшимися. За два месяца на опытномсамолете моторы меняли 16 раз. Но летные данные иначе как выдающимися не назо</w:t>
      </w:r>
      <w:r w:rsidRPr="00722885">
        <w:rPr>
          <w:color w:val="000000" w:themeColor="text1"/>
          <w:sz w:val="16"/>
          <w:szCs w:val="16"/>
        </w:rPr>
        <w:softHyphen/>
        <w:t>вешь, что обнадеживало (12292).</w:t>
      </w:r>
    </w:p>
    <w:p w14:paraId="1DD6D579" w14:textId="77777777" w:rsidR="00F05BFB" w:rsidRPr="00722885" w:rsidRDefault="00F05BFB" w:rsidP="00722885">
      <w:pPr>
        <w:pStyle w:val="95"/>
        <w:shd w:val="clear" w:color="auto" w:fill="auto"/>
        <w:spacing w:after="0" w:line="240" w:lineRule="auto"/>
        <w:ind w:firstLine="0"/>
        <w:jc w:val="both"/>
        <w:rPr>
          <w:color w:val="000000" w:themeColor="text1"/>
          <w:sz w:val="16"/>
          <w:szCs w:val="16"/>
        </w:rPr>
      </w:pPr>
    </w:p>
    <w:p w14:paraId="55C854D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сентября в 1942 году состоялся первый полёт стратегического бомбардировщика «B-29» "Superfortress". Этот очень удачный бомбардировщик впоследствии был скопирован в СССР и выпускался как «Ту-4» (14776).</w:t>
      </w:r>
    </w:p>
    <w:p w14:paraId="016C1D7E"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51CDE72B"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21 сентября 1942 года состоялся первый полет прототипа Boeing XB-29 Superfortress (20793).</w:t>
      </w:r>
    </w:p>
    <w:p w14:paraId="632A3BDA" w14:textId="77777777" w:rsidR="00F35F0F" w:rsidRPr="00722885" w:rsidRDefault="00F35F0F" w:rsidP="00722885">
      <w:pPr>
        <w:spacing w:after="0" w:line="240" w:lineRule="auto"/>
        <w:jc w:val="both"/>
        <w:rPr>
          <w:rFonts w:ascii="Times New Roman" w:hAnsi="Times New Roman"/>
          <w:color w:val="0070C0"/>
          <w:sz w:val="16"/>
          <w:szCs w:val="16"/>
        </w:rPr>
      </w:pPr>
    </w:p>
    <w:p w14:paraId="6647153A"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21 сентября 1942 - Первый полёт американского тяжёлого бомбардировщика Boeing ХВ-29 «Superfortress», экипаж лётчика-испытателя Э.Аллена.</w:t>
      </w:r>
    </w:p>
    <w:p w14:paraId="500635A6"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 фоне других тогдашних бомбардировщиков В-29 выглядел как пришелец из будущего, поскольку в нём воплотились все новейшие достижения авиационно технической мысли: герметичные кабины экипажа, мощные и высотные 2200-сильные моторы с турбокомпрессорами, радиолокационный бомбовый прицел, сопряженный с автопилотом, позволявший точно бомбить в любое время суток и в любую погоду, дистанционно-управляемые пулемётные турели с бортовым вычислителем, автоматически вносившим поправки на параллакс, направление и силу ветра. Под стать конструкции были и лётные характеристики. На испытаниях XB-29 развил фантастическую для тяжёлого, четырёхмоторного поршневого самолёта скорость 644 км/ч. В серийной конфигурации бомбардировщик разгонялся до 604-607 км/ч на высоте 9 километров. Рабочий потолок превышал 12 километров. Максимальная бомбовая нагрузка - 9 тонн, дальность полёта с такой нагрузкой - 4865 км, а с четырьмя тоннами бомб - 6820 км (22358).</w:t>
      </w:r>
    </w:p>
    <w:p w14:paraId="19450A82" w14:textId="77777777" w:rsidR="00F35F0F" w:rsidRPr="00722885" w:rsidRDefault="00F35F0F" w:rsidP="00722885">
      <w:pPr>
        <w:spacing w:after="0" w:line="240" w:lineRule="auto"/>
        <w:jc w:val="both"/>
        <w:rPr>
          <w:rFonts w:ascii="Times New Roman" w:hAnsi="Times New Roman"/>
          <w:color w:val="0070C0"/>
          <w:sz w:val="16"/>
          <w:szCs w:val="16"/>
        </w:rPr>
      </w:pPr>
    </w:p>
    <w:p w14:paraId="2BB42CA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сентября в 1942 году немецкие войска заняли центр и южные районы Сталинграда (14776).</w:t>
      </w:r>
    </w:p>
    <w:p w14:paraId="3A213618"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272503A2" w14:textId="77777777" w:rsidR="00F05BFB" w:rsidRPr="00722885" w:rsidRDefault="00F05BFB" w:rsidP="00722885">
      <w:pPr>
        <w:spacing w:after="0" w:line="240" w:lineRule="auto"/>
        <w:jc w:val="both"/>
        <w:rPr>
          <w:rStyle w:val="ucoz-forum-post"/>
          <w:rFonts w:ascii="Times New Roman" w:eastAsia="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21 сентября 1942 года Первый полет американского тяжелого бомбардировщика Boeing ХВ-29 «Superfortres» (14776).</w:t>
      </w:r>
    </w:p>
    <w:p w14:paraId="520935F7" w14:textId="77777777" w:rsidR="00F05BFB" w:rsidRPr="00722885" w:rsidRDefault="00F05BFB" w:rsidP="00722885">
      <w:pPr>
        <w:spacing w:after="0" w:line="240" w:lineRule="auto"/>
        <w:jc w:val="both"/>
        <w:rPr>
          <w:rStyle w:val="ucoz-forum-post"/>
          <w:rFonts w:ascii="Times New Roman" w:eastAsia="Times New Roman" w:hAnsi="Times New Roman"/>
          <w:color w:val="000000" w:themeColor="text1"/>
          <w:sz w:val="16"/>
          <w:szCs w:val="16"/>
        </w:rPr>
      </w:pPr>
    </w:p>
    <w:p w14:paraId="466835F2"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21, 1942: RAF raids on Munich and the Saar valley (3819).</w:t>
      </w:r>
    </w:p>
    <w:p w14:paraId="26EA705D" w14:textId="77777777" w:rsidR="00090C9B" w:rsidRPr="00722885" w:rsidRDefault="00090C9B" w:rsidP="00722885">
      <w:pPr>
        <w:pStyle w:val="Iauiue"/>
        <w:jc w:val="both"/>
        <w:rPr>
          <w:color w:val="000000" w:themeColor="text1"/>
          <w:sz w:val="16"/>
          <w:szCs w:val="16"/>
          <w:lang w:val="en-US"/>
        </w:rPr>
      </w:pPr>
    </w:p>
    <w:p w14:paraId="0AE565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 сентября 1942 Королевские ВВС выполнили налет на Мюнхен и Саарскую долину (3819).</w:t>
      </w:r>
    </w:p>
    <w:p w14:paraId="1D6FA3B8" w14:textId="77777777" w:rsidR="00090C9B" w:rsidRPr="00722885" w:rsidRDefault="00090C9B" w:rsidP="00722885">
      <w:pPr>
        <w:pStyle w:val="Iauiue"/>
        <w:jc w:val="both"/>
        <w:rPr>
          <w:color w:val="000000" w:themeColor="text1"/>
          <w:sz w:val="16"/>
          <w:szCs w:val="16"/>
        </w:rPr>
      </w:pPr>
    </w:p>
    <w:p w14:paraId="5EE87D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 сентября 1942 британцы атаковали японцев в Бирме (2100).</w:t>
      </w:r>
    </w:p>
    <w:p w14:paraId="181104FB" w14:textId="77777777" w:rsidR="00090C9B" w:rsidRPr="00722885" w:rsidRDefault="00090C9B" w:rsidP="00722885">
      <w:pPr>
        <w:pStyle w:val="Iauiue"/>
        <w:jc w:val="both"/>
        <w:rPr>
          <w:color w:val="000000" w:themeColor="text1"/>
          <w:sz w:val="16"/>
          <w:szCs w:val="16"/>
        </w:rPr>
      </w:pPr>
    </w:p>
    <w:p w14:paraId="5FF8D4B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8047D63" w14:textId="77777777" w:rsidR="00090C9B" w:rsidRPr="00722885" w:rsidRDefault="00090C9B" w:rsidP="00722885">
      <w:pPr>
        <w:pStyle w:val="Iauiue"/>
        <w:jc w:val="both"/>
        <w:rPr>
          <w:iCs/>
          <w:color w:val="000000" w:themeColor="text1"/>
          <w:sz w:val="16"/>
          <w:szCs w:val="16"/>
        </w:rPr>
      </w:pPr>
    </w:p>
    <w:p w14:paraId="0F4B3F2C" w14:textId="77777777" w:rsidR="009D3895" w:rsidRPr="00722885" w:rsidRDefault="009D38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и 29 октября 1942 г. испытания на пулестойкость бронестекла, проведен</w:t>
      </w:r>
      <w:r w:rsidRPr="00722885">
        <w:rPr>
          <w:rFonts w:ascii="Times New Roman" w:hAnsi="Times New Roman"/>
          <w:color w:val="000000" w:themeColor="text1"/>
          <w:sz w:val="16"/>
          <w:szCs w:val="16"/>
        </w:rPr>
        <w:softHyphen/>
        <w:t>ные совместно с НИИ ВВС, показали вполне удовлет</w:t>
      </w:r>
      <w:r w:rsidRPr="00722885">
        <w:rPr>
          <w:rFonts w:ascii="Times New Roman" w:hAnsi="Times New Roman"/>
          <w:color w:val="000000" w:themeColor="text1"/>
          <w:sz w:val="16"/>
          <w:szCs w:val="16"/>
        </w:rPr>
        <w:softHyphen/>
        <w:t>ворительные результаты, хотя</w:t>
      </w:r>
      <w:r w:rsidRPr="00722885">
        <w:rPr>
          <w:rStyle w:val="aff6"/>
          <w:rFonts w:ascii="Times New Roman" w:hAnsi="Times New Roman" w:cs="Times New Roman"/>
          <w:i w:val="0"/>
          <w:color w:val="000000" w:themeColor="text1"/>
        </w:rPr>
        <w:t xml:space="preserve"> «в сравнении с прозрачной броней серийного изготовления, опытные</w:t>
      </w:r>
      <w:r w:rsidRPr="00722885">
        <w:rPr>
          <w:rFonts w:ascii="Times New Roman" w:hAnsi="Times New Roman"/>
          <w:color w:val="000000" w:themeColor="text1"/>
          <w:sz w:val="16"/>
          <w:szCs w:val="16"/>
        </w:rPr>
        <w:t xml:space="preserve"> образцы</w:t>
      </w:r>
      <w:r w:rsidRPr="00722885">
        <w:rPr>
          <w:rStyle w:val="aff6"/>
          <w:rFonts w:ascii="Times New Roman" w:hAnsi="Times New Roman" w:cs="Times New Roman"/>
          <w:i w:val="0"/>
          <w:color w:val="000000" w:themeColor="text1"/>
        </w:rPr>
        <w:t xml:space="preserve"> по</w:t>
      </w:r>
      <w:r w:rsidRPr="00722885">
        <w:rPr>
          <w:rFonts w:ascii="Times New Roman" w:hAnsi="Times New Roman"/>
          <w:color w:val="000000" w:themeColor="text1"/>
          <w:sz w:val="16"/>
          <w:szCs w:val="16"/>
        </w:rPr>
        <w:t xml:space="preserve"> пулестойкости стоят </w:t>
      </w:r>
      <w:r w:rsidRPr="00722885">
        <w:rPr>
          <w:rStyle w:val="aff6"/>
          <w:rFonts w:ascii="Times New Roman" w:hAnsi="Times New Roman" w:cs="Times New Roman"/>
          <w:i w:val="0"/>
          <w:color w:val="000000" w:themeColor="text1"/>
        </w:rPr>
        <w:t>ниже».</w:t>
      </w:r>
      <w:r w:rsidRPr="00722885">
        <w:rPr>
          <w:rFonts w:ascii="Times New Roman" w:hAnsi="Times New Roman"/>
          <w:color w:val="000000" w:themeColor="text1"/>
          <w:sz w:val="16"/>
          <w:szCs w:val="16"/>
        </w:rPr>
        <w:t xml:space="preserve"> Опытные образцы прозрачной брони «держали» бронебойную пулю Б-30 калибра 7,62 мм при обстреле</w:t>
      </w:r>
      <w:r w:rsidRPr="00722885">
        <w:rPr>
          <w:rStyle w:val="aff6"/>
          <w:rFonts w:ascii="Times New Roman" w:hAnsi="Times New Roman" w:cs="Times New Roman"/>
          <w:i w:val="0"/>
          <w:color w:val="000000" w:themeColor="text1"/>
        </w:rPr>
        <w:t xml:space="preserve"> «из винтовки драгунско</w:t>
      </w:r>
      <w:r w:rsidRPr="00722885">
        <w:rPr>
          <w:rStyle w:val="aff6"/>
          <w:rFonts w:ascii="Times New Roman" w:hAnsi="Times New Roman" w:cs="Times New Roman"/>
          <w:i w:val="0"/>
          <w:color w:val="000000" w:themeColor="text1"/>
        </w:rPr>
        <w:softHyphen/>
        <w:t>го образца»</w:t>
      </w:r>
      <w:r w:rsidRPr="00722885">
        <w:rPr>
          <w:rFonts w:ascii="Times New Roman" w:hAnsi="Times New Roman"/>
          <w:color w:val="000000" w:themeColor="text1"/>
          <w:sz w:val="16"/>
          <w:szCs w:val="16"/>
        </w:rPr>
        <w:t xml:space="preserve"> с дистанции 100 м под углами 40' к нормали. В то же время прозрачная броня серийного изготовления при той же толщине, как и опытные образцы, «держала» бронебой</w:t>
      </w:r>
      <w:r w:rsidRPr="00722885">
        <w:rPr>
          <w:rFonts w:ascii="Times New Roman" w:hAnsi="Times New Roman"/>
          <w:color w:val="000000" w:themeColor="text1"/>
          <w:sz w:val="16"/>
          <w:szCs w:val="16"/>
        </w:rPr>
        <w:softHyphen/>
        <w:t>ную пулю калибра 7,62 мм с дистанции 100 м под углом обстрела 30' к нормали.</w:t>
      </w:r>
    </w:p>
    <w:p w14:paraId="54C3264B" w14:textId="77777777" w:rsidR="009D3895" w:rsidRPr="00722885" w:rsidRDefault="009D3895" w:rsidP="00722885">
      <w:pPr>
        <w:pStyle w:val="72"/>
        <w:shd w:val="clear" w:color="auto" w:fill="auto"/>
        <w:spacing w:line="240" w:lineRule="auto"/>
        <w:rPr>
          <w:rStyle w:val="7e"/>
          <w:rFonts w:ascii="Times New Roman" w:hAnsi="Times New Roman" w:cs="Times New Roman"/>
          <w:i w:val="0"/>
          <w:color w:val="000000" w:themeColor="text1"/>
          <w:sz w:val="16"/>
          <w:szCs w:val="16"/>
        </w:rPr>
      </w:pPr>
      <w:r w:rsidRPr="00722885">
        <w:rPr>
          <w:rStyle w:val="7e"/>
          <w:rFonts w:ascii="Times New Roman" w:hAnsi="Times New Roman" w:cs="Times New Roman"/>
          <w:i w:val="0"/>
          <w:color w:val="000000" w:themeColor="text1"/>
          <w:sz w:val="16"/>
          <w:szCs w:val="16"/>
        </w:rPr>
        <w:lastRenderedPageBreak/>
        <w:t>Тем не менее, учитывая</w:t>
      </w:r>
      <w:r w:rsidRPr="00722885">
        <w:rPr>
          <w:rFonts w:ascii="Times New Roman" w:cs="Times New Roman"/>
          <w:color w:val="000000" w:themeColor="text1"/>
          <w:spacing w:val="0"/>
          <w:sz w:val="16"/>
          <w:szCs w:val="16"/>
        </w:rPr>
        <w:t xml:space="preserve"> «возможность обеспечить значительную экономию в элек</w:t>
      </w:r>
      <w:r w:rsidRPr="00722885">
        <w:rPr>
          <w:rFonts w:ascii="Times New Roman" w:cs="Times New Roman"/>
          <w:color w:val="000000" w:themeColor="text1"/>
          <w:spacing w:val="0"/>
          <w:sz w:val="16"/>
          <w:szCs w:val="16"/>
        </w:rPr>
        <w:softHyphen/>
        <w:t>троэнергии и материалах, высвободить боль</w:t>
      </w:r>
      <w:r w:rsidRPr="00722885">
        <w:rPr>
          <w:rFonts w:ascii="Times New Roman" w:cs="Times New Roman"/>
          <w:color w:val="000000" w:themeColor="text1"/>
          <w:spacing w:val="0"/>
          <w:sz w:val="16"/>
          <w:szCs w:val="16"/>
        </w:rPr>
        <w:softHyphen/>
        <w:t>шое количество рабочих и оборудования, /.../ и значительно увеличить количественный вы</w:t>
      </w:r>
      <w:r w:rsidRPr="00722885">
        <w:rPr>
          <w:rFonts w:ascii="Times New Roman" w:cs="Times New Roman"/>
          <w:color w:val="000000" w:themeColor="text1"/>
          <w:spacing w:val="0"/>
          <w:sz w:val="16"/>
          <w:szCs w:val="16"/>
        </w:rPr>
        <w:softHyphen/>
        <w:t>пуск бронекозырьков, актуально потребных Красной Армией»,</w:t>
      </w:r>
      <w:r w:rsidRPr="00722885">
        <w:rPr>
          <w:rStyle w:val="7e"/>
          <w:rFonts w:ascii="Times New Roman" w:hAnsi="Times New Roman" w:cs="Times New Roman"/>
          <w:i w:val="0"/>
          <w:color w:val="000000" w:themeColor="text1"/>
          <w:sz w:val="16"/>
          <w:szCs w:val="16"/>
        </w:rPr>
        <w:t xml:space="preserve"> директор завода Артемьев 21 ноября обратился в ЦК ВКП(б) к</w:t>
      </w:r>
      <w:r w:rsidRPr="00722885">
        <w:rPr>
          <w:rFonts w:ascii="Times New Roman" w:cs="Times New Roman"/>
          <w:color w:val="000000" w:themeColor="text1"/>
          <w:spacing w:val="0"/>
          <w:sz w:val="16"/>
          <w:szCs w:val="16"/>
        </w:rPr>
        <w:t xml:space="preserve"> «тов. Колотушкину»</w:t>
      </w:r>
      <w:r w:rsidRPr="00722885">
        <w:rPr>
          <w:rStyle w:val="7e"/>
          <w:rFonts w:ascii="Times New Roman" w:hAnsi="Times New Roman" w:cs="Times New Roman"/>
          <w:i w:val="0"/>
          <w:color w:val="000000" w:themeColor="text1"/>
          <w:sz w:val="16"/>
          <w:szCs w:val="16"/>
        </w:rPr>
        <w:t xml:space="preserve"> с просьбой оказать содействие в скорейшем внедрении в производство броне</w:t>
      </w:r>
      <w:r w:rsidRPr="00722885">
        <w:rPr>
          <w:rStyle w:val="7e"/>
          <w:rFonts w:ascii="Times New Roman" w:hAnsi="Times New Roman" w:cs="Times New Roman"/>
          <w:i w:val="0"/>
          <w:color w:val="000000" w:themeColor="text1"/>
          <w:sz w:val="16"/>
          <w:szCs w:val="16"/>
        </w:rPr>
        <w:softHyphen/>
        <w:t>стекла новой конструкции (17481).</w:t>
      </w:r>
    </w:p>
    <w:p w14:paraId="5DA0E4A2"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p>
    <w:p w14:paraId="00700F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сентября 1942 и 1 октября 1942 вышли постановления ГКО, разрешившие снимать дополнительный бензобак за кабиной пилота на Як-7Б (65,85).</w:t>
      </w:r>
    </w:p>
    <w:p w14:paraId="660D2DCD" w14:textId="77777777" w:rsidR="00090C9B" w:rsidRPr="00722885" w:rsidRDefault="00090C9B" w:rsidP="00722885">
      <w:pPr>
        <w:pStyle w:val="Iauiue"/>
        <w:jc w:val="both"/>
        <w:rPr>
          <w:color w:val="000000" w:themeColor="text1"/>
          <w:sz w:val="16"/>
          <w:szCs w:val="16"/>
        </w:rPr>
      </w:pPr>
    </w:p>
    <w:p w14:paraId="22A303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1942 вышло Постановление ГКО № 2329 О мероприятиях по упрощению производства и облегчению конструкции серийных истребителей. РГАНИР, Фонд ГКО, д. 57, лл. 159, 160 (11012).</w:t>
      </w:r>
    </w:p>
    <w:p w14:paraId="62D62EE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DD26D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1942 г. По постановлению ГКО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1CB20F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7612A3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9B487A" w:rsidRPr="00722885" w14:paraId="1FB2E1AC" w14:textId="77777777" w:rsidTr="00CC5360">
        <w:tc>
          <w:tcPr>
            <w:tcW w:w="2802" w:type="dxa"/>
            <w:tcBorders>
              <w:top w:val="single" w:sz="12" w:space="0" w:color="auto"/>
            </w:tcBorders>
          </w:tcPr>
          <w:p w14:paraId="441EBB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данные</w:t>
            </w:r>
          </w:p>
        </w:tc>
        <w:tc>
          <w:tcPr>
            <w:tcW w:w="2802" w:type="dxa"/>
            <w:tcBorders>
              <w:top w:val="single" w:sz="12" w:space="0" w:color="auto"/>
            </w:tcBorders>
          </w:tcPr>
          <w:p w14:paraId="6A1C72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2898</w:t>
            </w:r>
          </w:p>
        </w:tc>
        <w:tc>
          <w:tcPr>
            <w:tcW w:w="2802" w:type="dxa"/>
            <w:tcBorders>
              <w:top w:val="single" w:sz="12" w:space="0" w:color="auto"/>
            </w:tcBorders>
          </w:tcPr>
          <w:p w14:paraId="605DA4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0370F6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1699</w:t>
            </w:r>
          </w:p>
        </w:tc>
      </w:tr>
      <w:tr w:rsidR="009B487A" w:rsidRPr="00722885" w14:paraId="6FA27A46" w14:textId="77777777" w:rsidTr="00CC5360">
        <w:tc>
          <w:tcPr>
            <w:tcW w:w="2802" w:type="dxa"/>
          </w:tcPr>
          <w:p w14:paraId="2C8853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кг</w:t>
            </w:r>
          </w:p>
        </w:tc>
        <w:tc>
          <w:tcPr>
            <w:tcW w:w="2802" w:type="dxa"/>
          </w:tcPr>
          <w:p w14:paraId="04EA1C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2940</w:t>
            </w:r>
          </w:p>
        </w:tc>
        <w:tc>
          <w:tcPr>
            <w:tcW w:w="2802" w:type="dxa"/>
          </w:tcPr>
          <w:p w14:paraId="2450D8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2780</w:t>
            </w:r>
          </w:p>
        </w:tc>
        <w:tc>
          <w:tcPr>
            <w:tcW w:w="2802" w:type="dxa"/>
          </w:tcPr>
          <w:p w14:paraId="4C9E4A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2920</w:t>
            </w:r>
          </w:p>
        </w:tc>
      </w:tr>
      <w:tr w:rsidR="009B487A" w:rsidRPr="00722885" w14:paraId="59C22DF4" w14:textId="77777777" w:rsidTr="00CC5360">
        <w:tc>
          <w:tcPr>
            <w:tcW w:w="2802" w:type="dxa"/>
          </w:tcPr>
          <w:p w14:paraId="4739C3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км/ч у земли</w:t>
            </w:r>
          </w:p>
        </w:tc>
        <w:tc>
          <w:tcPr>
            <w:tcW w:w="2802" w:type="dxa"/>
          </w:tcPr>
          <w:p w14:paraId="0E10808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516</w:t>
            </w:r>
          </w:p>
        </w:tc>
        <w:tc>
          <w:tcPr>
            <w:tcW w:w="2802" w:type="dxa"/>
          </w:tcPr>
          <w:p w14:paraId="2A1E54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526</w:t>
            </w:r>
          </w:p>
        </w:tc>
        <w:tc>
          <w:tcPr>
            <w:tcW w:w="2802" w:type="dxa"/>
          </w:tcPr>
          <w:p w14:paraId="68993C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524</w:t>
            </w:r>
          </w:p>
        </w:tc>
      </w:tr>
      <w:tr w:rsidR="009B487A" w:rsidRPr="00722885" w14:paraId="239519D6" w14:textId="77777777" w:rsidTr="00CC5360">
        <w:tc>
          <w:tcPr>
            <w:tcW w:w="2802" w:type="dxa"/>
          </w:tcPr>
          <w:p w14:paraId="0969C0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39159C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566</w:t>
            </w:r>
          </w:p>
        </w:tc>
        <w:tc>
          <w:tcPr>
            <w:tcW w:w="2802" w:type="dxa"/>
          </w:tcPr>
          <w:p w14:paraId="0D0EF3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586</w:t>
            </w:r>
          </w:p>
        </w:tc>
        <w:tc>
          <w:tcPr>
            <w:tcW w:w="2802" w:type="dxa"/>
          </w:tcPr>
          <w:p w14:paraId="119BDD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584</w:t>
            </w:r>
          </w:p>
        </w:tc>
      </w:tr>
      <w:tr w:rsidR="009B487A" w:rsidRPr="00722885" w14:paraId="6D740E9E" w14:textId="77777777" w:rsidTr="00CC5360">
        <w:tc>
          <w:tcPr>
            <w:tcW w:w="2802" w:type="dxa"/>
          </w:tcPr>
          <w:p w14:paraId="2A0CD9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49F709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569</w:t>
            </w:r>
          </w:p>
        </w:tc>
        <w:tc>
          <w:tcPr>
            <w:tcW w:w="2802" w:type="dxa"/>
          </w:tcPr>
          <w:p w14:paraId="253BDA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592</w:t>
            </w:r>
          </w:p>
        </w:tc>
        <w:tc>
          <w:tcPr>
            <w:tcW w:w="2802" w:type="dxa"/>
          </w:tcPr>
          <w:p w14:paraId="04312C1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B81100C" w14:textId="77777777" w:rsidTr="00CC5360">
        <w:tc>
          <w:tcPr>
            <w:tcW w:w="2802" w:type="dxa"/>
            <w:tcBorders>
              <w:bottom w:val="single" w:sz="12" w:space="0" w:color="auto"/>
            </w:tcBorders>
          </w:tcPr>
          <w:p w14:paraId="1861B5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776C15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w:t>
            </w:r>
          </w:p>
        </w:tc>
        <w:tc>
          <w:tcPr>
            <w:tcW w:w="2802" w:type="dxa"/>
            <w:tcBorders>
              <w:bottom w:val="single" w:sz="12" w:space="0" w:color="auto"/>
            </w:tcBorders>
          </w:tcPr>
          <w:p w14:paraId="088C73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2802" w:type="dxa"/>
            <w:tcBorders>
              <w:bottom w:val="single" w:sz="12" w:space="0" w:color="auto"/>
            </w:tcBorders>
          </w:tcPr>
          <w:p w14:paraId="0F4600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r>
    </w:tbl>
    <w:p w14:paraId="715146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55FAE7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1585741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BC4406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2E83870" w14:textId="77777777" w:rsidR="00090C9B" w:rsidRPr="00722885" w:rsidRDefault="00090C9B" w:rsidP="00722885">
      <w:pPr>
        <w:pStyle w:val="Iauiue"/>
        <w:jc w:val="both"/>
        <w:rPr>
          <w:iCs/>
          <w:color w:val="000000" w:themeColor="text1"/>
          <w:sz w:val="16"/>
          <w:szCs w:val="16"/>
        </w:rPr>
      </w:pPr>
    </w:p>
    <w:p w14:paraId="51CA0C49" w14:textId="77777777" w:rsidR="003E7C14" w:rsidRPr="00722885" w:rsidRDefault="003E7C1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22 сентября 1942 года прошло совещание, на котором проект легкой САУ кафедры боевых машин института им. Баумана решили переделывать. Вместо И-13–52 планировалось использовать «45-мм пушку повышенной мощности», а базу СТЗ-5 пришлось заменить агрегатами Т-70 и мотором ЗИС-5. Проект этот прошел несколько стадий, после чего его благополучно закрыли в виду ненадобности (17683).</w:t>
      </w:r>
    </w:p>
    <w:p w14:paraId="4F462010" w14:textId="77777777" w:rsidR="003E7C14" w:rsidRPr="00722885" w:rsidRDefault="003E7C14" w:rsidP="00722885">
      <w:pPr>
        <w:spacing w:after="0" w:line="240" w:lineRule="auto"/>
        <w:jc w:val="both"/>
        <w:rPr>
          <w:rFonts w:ascii="Times New Roman" w:hAnsi="Times New Roman"/>
          <w:color w:val="000000" w:themeColor="text1"/>
          <w:sz w:val="16"/>
          <w:szCs w:val="16"/>
        </w:rPr>
      </w:pPr>
    </w:p>
    <w:p w14:paraId="5048F3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сентября 1942 года установка ЛАП-7 под мины МТБ прибыла для испытаний обкаткой и стрельбой на АНИОП (6403, 42).</w:t>
      </w:r>
    </w:p>
    <w:p w14:paraId="19C3D84C" w14:textId="77777777" w:rsidR="00090C9B" w:rsidRPr="00722885" w:rsidRDefault="00090C9B" w:rsidP="00722885">
      <w:pPr>
        <w:pStyle w:val="Iauiue"/>
        <w:jc w:val="both"/>
        <w:rPr>
          <w:color w:val="000000" w:themeColor="text1"/>
          <w:sz w:val="16"/>
          <w:szCs w:val="16"/>
        </w:rPr>
      </w:pPr>
    </w:p>
    <w:p w14:paraId="1C00B878"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С 22 по 29 сентября 1942 года на НИБТ Полигоне провели испытания ЗУТ-37. Всего произвели 120 выстрелов, при этом к машине в целом набралось немало вопросов. Самым главным оказалась перезарядка. Как показали испытания, для перезарядки Ш-37 требовалось 4 минуты 50 секунд. Установка орудия вверх ногами снизила надежность при стрельбе. Баллона, который использовался для пневматической перезарядки пушки, хватало всего на 10-15 раз, после чего его требовалось менять. При стрельбе отмечались низкая кучность, сбиваемость прицела и большой объем пороховых газов. Очень скромными оказались данные по скорости поворота башни: для поворота на 180 градусов требовалось 25 секунд. После первого этапа испытаний была пауза, далее провели дополнительные испытания.</w:t>
      </w:r>
    </w:p>
    <w:p w14:paraId="62B191C8"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В теории, ЗУТ-37 обладала неплохими техническими данными. Боевая масса оказалась ниже, нежели чем у Т-70 - она составляла 8800 кг. Угол возвышения составлял 70 градусов, лишь влево он снижался до 67 градусов. Впрочем, углы склонения оказались ниже, чем у штатной башни Т-70 - не более -1/-2 градусов. Это привело к тому, что орудие имело непростреливаемые зоны в пределах 15-19 метров. Неприятной новостью стало снижение боекомплекта до 50 патронов, для ЗСУ это очень мало (20346).</w:t>
      </w:r>
    </w:p>
    <w:p w14:paraId="51329CB7"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С 14 по 24 октября 1942 года прошли дополнительные испытания ЗУТ-37. К тому моменту было поставлено приспособление, предназначенное для проворачивания ленты магазина. Время перезарядки снизилось до 2 минут 20 секунд, что всё равно очень много. По итогам испытания сильно сократили, исключив стрельбу с хода и испытания пробегом. Вердикт по ЗСУ оказался, скажем так, крайне неоднозначным:</w:t>
      </w:r>
    </w:p>
    <w:p w14:paraId="1DB30A60"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"Установка 37 мм. автоматической пушки конструкции Шпитального на танке Т-70 требует дополнительной доработки.</w:t>
      </w:r>
    </w:p>
    <w:p w14:paraId="78A1BBF2"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По пушке:</w:t>
      </w:r>
    </w:p>
    <w:p w14:paraId="6FB42028"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1. Сделать приемник для питания пушки пятизарядными обоймами.</w:t>
      </w:r>
    </w:p>
    <w:p w14:paraId="6C429870"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2. Зарядку обойм свободно должен производить как стреляющий, так и заряжающий (водитель).</w:t>
      </w:r>
    </w:p>
    <w:p w14:paraId="51DEEEE8"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3. Перезаряжание обойм должно производиться без дополнительного отвода подвижных частей пушки в заднее положение.</w:t>
      </w:r>
    </w:p>
    <w:p w14:paraId="70801B9C"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4. Практическую скорострельность с заряжающим довести до 60 выстрелов в минуту.</w:t>
      </w:r>
    </w:p>
    <w:p w14:paraId="7DB02DFF"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5. Снять пневматическую перезарядку орудия.</w:t>
      </w:r>
    </w:p>
    <w:p w14:paraId="6AE1996D"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6. Доработать замок механической перезарядки.</w:t>
      </w:r>
    </w:p>
    <w:p w14:paraId="6BC7EC4C"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7. Установить на пушке ручной предохранитель, обеспечивающий безопасность при прекращении огня.</w:t>
      </w:r>
    </w:p>
    <w:p w14:paraId="6FC109A1"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8. Установить на опытный образец 37 мм пушку, работающую надежно в перевернутом на 180 градусов положении</w:t>
      </w:r>
    </w:p>
    <w:p w14:paraId="5B9B6697"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По установке:</w:t>
      </w:r>
    </w:p>
    <w:p w14:paraId="73BB877E"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1. Установить для стрельбы по наземным целям телескопический прицел с налобником.</w:t>
      </w:r>
    </w:p>
    <w:p w14:paraId="7C49E867"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2. Сделать более надежной броневую защиту качающейся части пушки и стрелка. Закрыть противооткатные устройства съемным чехлом.</w:t>
      </w:r>
    </w:p>
    <w:p w14:paraId="3A65AC88"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3. Подъемный механизм сделать необратимым с сохранением скорости наводки и удобства работы.</w:t>
      </w:r>
    </w:p>
    <w:p w14:paraId="6998B3A6"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4. Упростить конструкцию выверки коллиматорного прицела и усилить жесткость кронштейна.</w:t>
      </w:r>
    </w:p>
    <w:p w14:paraId="2230C3C5"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5. Увеличить укладку боекомплекта до 150 выстрелов.</w:t>
      </w:r>
    </w:p>
    <w:p w14:paraId="43D31596"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6. Снять установку пулемета ДТ и предусмотреть укладку пистолета-пулемета ППШ и магазинов к нему.</w:t>
      </w:r>
    </w:p>
    <w:p w14:paraId="13EFFE1A"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7. Увеличить угол возвышения установки до +80 градусов.</w:t>
      </w:r>
    </w:p>
    <w:p w14:paraId="78F3E06B"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8. Походное положение пушки по зениту и по горизонту сделать внутри башни.</w:t>
      </w:r>
    </w:p>
    <w:p w14:paraId="3EF552D2"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9. Предусмотреть защиту установки пушки и стрелка от проникновения грязи и воды, для чего иметь откидные крышки башни.</w:t>
      </w:r>
    </w:p>
    <w:p w14:paraId="64771622"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10. Предусмотреть выключение поворотного механизма башни для обеспечения быстрого переноса огня."</w:t>
      </w:r>
    </w:p>
    <w:p w14:paraId="4798FA02"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[ЦАМО РФ, фонд 38, опись 11355, дело №991, л.7-8] (20346).</w:t>
      </w:r>
    </w:p>
    <w:p w14:paraId="52BBE888" w14:textId="77777777" w:rsidR="00F35F0F" w:rsidRPr="00722885" w:rsidRDefault="00F35F0F" w:rsidP="00722885">
      <w:pPr>
        <w:pStyle w:val="article-renderblock"/>
        <w:shd w:val="clear" w:color="auto" w:fill="FFFFFF"/>
        <w:spacing w:before="0" w:beforeAutospacing="0" w:after="0" w:afterAutospacing="0"/>
        <w:jc w:val="both"/>
        <w:rPr>
          <w:color w:val="0070C0"/>
          <w:sz w:val="16"/>
          <w:szCs w:val="16"/>
        </w:rPr>
      </w:pPr>
    </w:p>
    <w:p w14:paraId="094D8A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1942 вышло Постановление ГКО № 2331 О сокращении расхода алюминия при изготовлении танковых дизелей. РГАНИР, Фонд ГКО, д. 57, лл. 162, 163-166 (11012).</w:t>
      </w:r>
    </w:p>
    <w:p w14:paraId="7EC1F8C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27314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марта 1942 вышло Постановление ГКО № 2324 О производстве боеприпасов в Закавказье. РГАНИР, Фонд ГКО, д. 57, лл. 34-37, 38-59 (11012).</w:t>
      </w:r>
    </w:p>
    <w:p w14:paraId="43D47A6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68B93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lastRenderedPageBreak/>
        <w:t>22 сентября 1942 вышло Постановление ГКО № 2325 О мероприятиях по всемерному форсированию увеличения добычи нефти в Казахстаннефтекомбинате, Молотовнефтекомбинате и в трестах "Бугурусланнефть", "Сызраньнефть", "Ишимбайнефть", "Туймазанефть", "Туркменнефть", "Калининнефть" и "Ворошиловнефть". (7055, 60-94,95-105).</w:t>
      </w:r>
    </w:p>
    <w:p w14:paraId="5196D0EB" w14:textId="77777777" w:rsidR="00090C9B" w:rsidRPr="00722885" w:rsidRDefault="00090C9B" w:rsidP="00722885">
      <w:pPr>
        <w:pStyle w:val="Iauiue"/>
        <w:tabs>
          <w:tab w:val="left" w:pos="11199"/>
        </w:tabs>
        <w:jc w:val="both"/>
        <w:rPr>
          <w:color w:val="000000" w:themeColor="text1"/>
          <w:sz w:val="16"/>
          <w:szCs w:val="16"/>
        </w:rPr>
      </w:pPr>
    </w:p>
    <w:p w14:paraId="21D9A1F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в 1942 году ГКО принял постановление о мероприятиях по всемерному увеличению добычи нефти в Казахстане, Поволжье, Башкирии и Средней Азии (14777).</w:t>
      </w:r>
    </w:p>
    <w:p w14:paraId="352724FF"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39C3212E"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22 сентября 1942 г. ГКО принял постановление «О мероприятиях по всемерному форсированию увеличения добычи нефти в Казахстаннефтекомбинате, Пермьнефтекомбинате и в трестах «Бугурусланнефть», «Сызраньнефть», «Ишимбайнефть», «Туймазанефть», «Туркменнефть», «Калининнефть» и «Ворошиловнефть». По существу это была развернутая программа создания мощного нефтедобывающего и нефтеперерабатывающего региона в Волго-Уральском регионе. К 73 Из истории нефтяной промышленности СССР концу 1942 г. в восточных районах намечалось увеличить среднесуточную добычу в 1,5 раза по сравнению с августом того же года.</w:t>
      </w:r>
    </w:p>
    <w:p w14:paraId="0DDCB3B0"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Объем эксплуатационного бурения до конца 1942 г. устанавливался в 208,7 тыс. м, а разведочного – 93,4 тыс. м. В этот регион из Азербайджанской ССР в составе геологических организаций, буровых контор, нефтедобывающих трестов должно было переехать около 11 тыс. квалифицированных специалистов.</w:t>
      </w:r>
    </w:p>
    <w:p w14:paraId="66E60F79"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Реализация этого важного правительственного решения потребовала от сотрудников Наркомнефти большого напряжения сил и энергии, и основные задачи были выполнены с честью (11523).</w:t>
      </w:r>
    </w:p>
    <w:p w14:paraId="22EC7910" w14:textId="77777777" w:rsidR="00090C9B" w:rsidRPr="00722885" w:rsidRDefault="00090C9B" w:rsidP="00722885">
      <w:pPr>
        <w:pStyle w:val="afff2"/>
        <w:jc w:val="both"/>
        <w:rPr>
          <w:i w:val="0"/>
          <w:iCs w:val="0"/>
          <w:color w:val="000000" w:themeColor="text1"/>
          <w:spacing w:val="0"/>
          <w:kern w:val="0"/>
          <w:position w:val="0"/>
          <w:sz w:val="16"/>
          <w:szCs w:val="16"/>
        </w:rPr>
      </w:pPr>
    </w:p>
    <w:p w14:paraId="64ED281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22 сентября 1942 вышло Постановление ГКО № 2326 О всемерном форсировании увеличения производства авиабензина, автобензина, толуола, масел и смазок на нефтеперерабатывающих заводах Центра, Востока и Средней Азии. (7055, 106-118,119-123).</w:t>
      </w:r>
    </w:p>
    <w:p w14:paraId="7926D210" w14:textId="77777777" w:rsidR="00090C9B" w:rsidRPr="00722885" w:rsidRDefault="00090C9B" w:rsidP="00722885">
      <w:pPr>
        <w:pStyle w:val="Iauiue"/>
        <w:tabs>
          <w:tab w:val="left" w:pos="11199"/>
        </w:tabs>
        <w:jc w:val="both"/>
        <w:rPr>
          <w:color w:val="000000" w:themeColor="text1"/>
          <w:sz w:val="16"/>
          <w:szCs w:val="16"/>
        </w:rPr>
      </w:pPr>
    </w:p>
    <w:p w14:paraId="6155B1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1942 вышло Постановление ГКО № 2327 О переводе на время войны рабочих, служащих и инженерно-технических работников предприятий нефтяной промышленности на положение мобилизованных. РГАНИР, Фонд ГКО, д. 57, лл. 124-125 (11012).</w:t>
      </w:r>
    </w:p>
    <w:p w14:paraId="2F8218E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D0105E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22 сентября 1942 вышло Постановление ГКО № 2328 Об улучшении работы дорог им. л. М. Кагановича, Южно-Уральской, Омской и Оренбургской. (7055, 126-140,141-158.).</w:t>
      </w:r>
    </w:p>
    <w:p w14:paraId="1B4CD939" w14:textId="77777777" w:rsidR="00090C9B" w:rsidRPr="00722885" w:rsidRDefault="00090C9B" w:rsidP="00722885">
      <w:pPr>
        <w:pStyle w:val="Iauiue"/>
        <w:tabs>
          <w:tab w:val="left" w:pos="11199"/>
        </w:tabs>
        <w:jc w:val="both"/>
        <w:rPr>
          <w:color w:val="000000" w:themeColor="text1"/>
          <w:sz w:val="16"/>
          <w:szCs w:val="16"/>
        </w:rPr>
      </w:pPr>
    </w:p>
    <w:p w14:paraId="6E3612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1942 вышло Постановление ГКО № 2330 О поручении члену ГКО Берии Л.П. наблюдение и оказание повседневной помощи НКХП. РГАНИР, Фонд ГКО, д. 57, лл. 161 (11012).</w:t>
      </w:r>
    </w:p>
    <w:p w14:paraId="2B7C646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E243E6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сентября 1942 года приняли последние эсминцы завода № 190 "Стройный" и "Строгий" во временную эксплуатацию без хо</w:t>
      </w:r>
      <w:r w:rsidRPr="00722885">
        <w:rPr>
          <w:color w:val="000000" w:themeColor="text1"/>
          <w:sz w:val="16"/>
          <w:szCs w:val="16"/>
        </w:rPr>
        <w:softHyphen/>
        <w:t>довых испытаний. Последние завершились только в октябре 1945 г. (3898).</w:t>
      </w:r>
    </w:p>
    <w:p w14:paraId="2F7AA260" w14:textId="77777777" w:rsidR="00090C9B" w:rsidRPr="00722885" w:rsidRDefault="00090C9B" w:rsidP="00722885">
      <w:pPr>
        <w:pStyle w:val="Iauiue"/>
        <w:jc w:val="both"/>
        <w:rPr>
          <w:color w:val="000000" w:themeColor="text1"/>
          <w:sz w:val="16"/>
          <w:szCs w:val="16"/>
        </w:rPr>
      </w:pPr>
    </w:p>
    <w:p w14:paraId="0EB416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1942 эсминцы "Стройный" и "Строгий" приняты в эксплуатацию ВМФ без выполнения ходовых испытаний. (10671).</w:t>
      </w:r>
    </w:p>
    <w:p w14:paraId="2DC13D3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9552E6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3E3238E" w14:textId="77777777" w:rsidR="00090C9B" w:rsidRPr="00722885" w:rsidRDefault="00090C9B" w:rsidP="00722885">
      <w:pPr>
        <w:pStyle w:val="Iauiue"/>
        <w:jc w:val="both"/>
        <w:rPr>
          <w:iCs/>
          <w:color w:val="000000" w:themeColor="text1"/>
          <w:sz w:val="16"/>
          <w:szCs w:val="16"/>
        </w:rPr>
      </w:pPr>
    </w:p>
    <w:p w14:paraId="3BD7C02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в 1942 году утреннее сообщение Совинформбюро:</w:t>
      </w:r>
    </w:p>
    <w:p w14:paraId="5EF3492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22 сентября наши войска вели бои с противником в районе Сталинграда и в районе Моздока. На других фронтах существенных изменений не произошло.</w:t>
      </w:r>
    </w:p>
    <w:p w14:paraId="364AEEE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Наши части отбили ряд атак противника и на отдельных участках продвинулись вперёд. Советские артиллеристы и миномётчики уничтожили 10 немецких танков, 48 автомашин с различными грузами, 2 артиллерийские батареи, 2 автоматические пушки, 5 станковых пулемётов, подавили огонь 6 артиллерийских и 7 миномётных батарей. Бойцы Н-ской гвардейской части в упорном бою с противником истребили более 400 немецких солдат и офицеров, уничтожили 3 танка и 2 бронемашины.</w:t>
      </w:r>
    </w:p>
    <w:p w14:paraId="73BB1C0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советские войска вели упорные бои против немецко-фашистских войск. На одном участке противник силами танков и пехоты атаковал наши укреплённые рубежи. В результате боя подбито и сожжено 5 немецких танков. На другом участке гитлеровцы ценой больших потерь захватили высоту и населённый пункт.</w:t>
      </w:r>
    </w:p>
    <w:p w14:paraId="6C2F4721"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Комиссар авиационной части т. Шаповалов вступил в бой с группой немецких самолётов и сбил истребитель противника. Немецкий лётчик взят в плен. Оноказался опытным воздушным пиратом и за бандитские набеги на мирные советские города и сёла был награждён четырьмя железными крестами.</w:t>
      </w:r>
    </w:p>
    <w:p w14:paraId="6CC8B04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за населённый пункт. Наша часть ворвалась в расположение противника и потеснила его. Гитлеровцы предприняли контратаку, но были отброшены и понесли большие потери. На поле боя осталось более двухсот вражеских трупов. Захвачено 6 миномётов и несколько пулемётов. Взяты пленные.</w:t>
      </w:r>
    </w:p>
    <w:p w14:paraId="6A2068C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белорусских партизан за неделю боевых действий уничтожил 33 железнодорожных вагона с войсками противника, 27 вагонов с боеприпасами, 10 платформ с автомашинами и 52 вагона порожняка. Кроме того, партизаны уничтожили 3 немецких танка и взорвали 3.200 метров железнодорожного пути. За это же время партизаны истребили 320 немецких солдат и 43 офицера.</w:t>
      </w:r>
    </w:p>
    <w:p w14:paraId="7861001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немецкого солдата Георга найдено неотправленное письмо к жене Элизе. В нём говорится: «Мы находимся на Кавказе. Русские лётчики бомбили нас 14 дней подряд. В прошлую ночь они произвели 50 нападений. Количество жертв очень велико. Для меня и многих моих товарищей до сих пор остаётся загадкой, где они берут так много самолётов?.. Выберемся ли мы из этой страны или все до одного погибнем здесь?»</w:t>
      </w:r>
    </w:p>
    <w:p w14:paraId="3C4D9C71"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Близ деревни Заречье, Ленинградской области, немецко-фашистские бандиты схватили бригадира колхоза «Красный Остров» Осипова Егора и потребовали, чтобы он указал им лагерь партизан. Колхозник заявил, что он разыскивает свою семью и о партизанах ничего не знает. Гитлеровские мерзавцы подвергли Осипова зверским пыткам. Они, накинув колхознику на шею верёвку, три раза подвешивали его и снова снимали с петли. Не добившись никаких сведений, немецкие бандиты расстреляли колхозника.</w:t>
      </w:r>
    </w:p>
    <w:p w14:paraId="0877817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Билгорая (Польша) немецкий карательный отряд разграбил три польские деревни. Возвращаясь в свой гарнизон, каратели остановились на ночлег в имениине мецкого помещика и устроили пьяную оргию. Ночью группа польских патриотов подожгла имение и истребила 37 немецко-фашистских оккупантов.» (14777).</w:t>
      </w:r>
    </w:p>
    <w:p w14:paraId="6BAF0AC5"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353D258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в 1942 году вечернее сообщение Совинформбюро:</w:t>
      </w:r>
    </w:p>
    <w:p w14:paraId="05D5463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22 сентября наши войска вели ожесточённые бои с противником в районе Сталинграда и в районе Моздока. На других фронтах существенных изменений не произошло.</w:t>
      </w:r>
    </w:p>
    <w:p w14:paraId="61F2AEB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21 сентября частями нашей авиации на различных участках фронта уничтожено или повреждено 5 немецких танков, 25 автомашин с войсками и грузами, подавлен огонь 8 артиллерийских батарей, рассеяно и частью уничтожено до батальона пехоты противника.</w:t>
      </w:r>
    </w:p>
    <w:p w14:paraId="3624EE4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 южной окраине города два полка пехоты противника перешли в наступление. Гвардейская миномётная часть, где командиром гвардии майор тов. Никонов, дала по наступающим гитлеровцам несколько огневых залпов и уничтожила до батальона немецкой пехоты. Атака неприятеля была сорвана. На другом участке после ожесточённого боя противник занял две улицы. Наши подразделения истребили более 300 немецких солдат и офицеров, подбили 10 танков, уничтожили 9 автомашин, 3 орудия и 7 пулемётов.</w:t>
      </w:r>
    </w:p>
    <w:p w14:paraId="41D51CA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активные боевые действия и нанесли противнику большой урон. По неполным данным, за два дня истреблено до 3.000 немецких солдат и офицеров, уничтожено 20 танков, 4 артиллерийских и 12 миномётных батарей, 21 орудие, 8 миномётов, 27 пулемётов, 45 автомашин с войсками и грузами. Только за один день сбито 12 немецких самолётов. Н-ская часть отбила атаку танков противника, уничтожив при этом 12 немецких танков. Артиллерийский дивизион под командованием тов. Гарбара уничтожил 6 танков и артиллерийскую батарею противника.</w:t>
      </w:r>
    </w:p>
    <w:p w14:paraId="27B97290"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вели бои с танками и мотопехотой противника. Батарея под командованием тов. Кононенко, отражая атаку гитлеровцев, уничтожила 5 немецких танков. Бронебойщик т. Кисловский из противотанкового ружья подбил танк противника. В бою за одну высоту наши бойцы истребили до роты немецких автоматчиков.</w:t>
      </w:r>
    </w:p>
    <w:p w14:paraId="106CB8C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отбивали атаки противника. На одном участке огнём нашей артиллерии уничтожено 4 орудия и подавлен огонь 3 миномётныхи 4 артиллерийских батарей неприятеля. Разведывательная группа краснофлотцев высадилась ночью с катеров в районе западнее Новороссийска. Сняв часовых, краснофлотцы окружили дома и уничтожили до 60 румынских солдат и 2 офицеров. Разведгруппа без потерь вернулась на свою базу. На переходе морем был потоплен мотобот противника.</w:t>
      </w:r>
    </w:p>
    <w:p w14:paraId="35F8B80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Синявина гитлеровцы крупными силами перешли в атаку с целью вернуть потерянные позиции. К исходу дня атака немцев была отбита нашими частями с большими для противника потерями. Советские лётчики и зенитчики сбили на этом участке фронта 10 немецких самолётов.</w:t>
      </w:r>
    </w:p>
    <w:p w14:paraId="21B8BE4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отряда, действующего в Витебской области, совершили внезапное нападение на немецкое подразделение. В завязавшейся схватке партизаны истребили 25 гитлеровцев и сожгли два грузовика. Захватив у противника автомашину, 4 пулемёта, 38 винтовок и 5.000 патронов, партизаны скрылись.</w:t>
      </w:r>
    </w:p>
    <w:p w14:paraId="4769A76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Крестьянин деревни Павлово, Ленинградской области, Бережков П. В., пробравшийся через линию фронта в расположение наших частей, рассказал о тяжёлой участи советских граждан в оккупированных фашистами районах.</w:t>
      </w:r>
    </w:p>
    <w:p w14:paraId="3B47F7E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«Немцы, — сообщил он, — как саранча, опустошили нашу деревню и оставили всех жителей раздетыми, разутыми и без куска хлеба. Зимой люди пухли и умирали голодной смертью. Весной немецкие власти всячески уговаривали крестьян засеять все поля. Они говорили, что после того, как крестьяне осенью сдадут незначительное количество хлеба для нужд германской армии, весь урожай останется в их полном распоряжении. Отдельные крестьяне поддались на эту удочку гитлеровцев и засеяли по нескольку гектаров земли. Остальные же колхозники засеяли лишь приусадебные участки. Когда хлеб созрел, немцы объявили весь урожай с крестьянских полей собственностью германской армии. Под страхом расстрела они обязали крестьян убрать, обмолотить и сдать весь хлеб, до последнего зёрнышка. Крестьяне нашей деревни наотрез отказались выполнить этот приказ. Тогда к нам приехал карательный отряд и учинил кровавую расправу. Фашистские изверги расстреляли колхозников Ручьёва Федота, Кожемякина Петра, Багрова Ивана, ПаловуАнну, Кущаева Николая и других, разграбили и сожгли дотла всю деревню» (14777).</w:t>
      </w:r>
    </w:p>
    <w:p w14:paraId="52FF3350"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236053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сентября 1942 командующий ВВС потребовал от командующих ВА значительного усиления действий б а ночью и подготовки в каждом ш и и ап по 5 экипажей для действий ночью. Ил-2 за период обороны Сталинграда выполнили 406 ночных вылетов по опорным пунктам, скоплению войск и техники (340,98).</w:t>
      </w:r>
    </w:p>
    <w:p w14:paraId="4169EAD3" w14:textId="77777777" w:rsidR="00090C9B" w:rsidRPr="00722885" w:rsidRDefault="00090C9B" w:rsidP="00722885">
      <w:pPr>
        <w:pStyle w:val="Iauiue"/>
        <w:jc w:val="both"/>
        <w:rPr>
          <w:color w:val="000000" w:themeColor="text1"/>
          <w:sz w:val="16"/>
          <w:szCs w:val="16"/>
        </w:rPr>
      </w:pPr>
    </w:p>
    <w:p w14:paraId="17627FAA" w14:textId="77777777" w:rsidR="00BB2084" w:rsidRPr="00722885" w:rsidRDefault="00BB208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1942 Р-10 23-й шап вновь начали перелет на аэродром Абаша, как и предусматривалось пер</w:t>
      </w:r>
      <w:r w:rsidRPr="00722885">
        <w:rPr>
          <w:rFonts w:ascii="Times New Roman" w:hAnsi="Times New Roman"/>
          <w:color w:val="000000" w:themeColor="text1"/>
          <w:sz w:val="16"/>
          <w:szCs w:val="16"/>
        </w:rPr>
        <w:softHyphen/>
        <w:t>воначальным планом. Всего с 13 по 20 сентября полк совершил 51 боевой вылет, сбросил на немцев 76 ФАБ-50 и 290 АО-25, израсходовал 4294 патрона к пулеметам ШКАС. За неделю боевой работы полк потерял четыре Р-10, двух пилотов и трех штурманов. Еще че</w:t>
      </w:r>
      <w:r w:rsidRPr="00722885">
        <w:rPr>
          <w:rFonts w:ascii="Times New Roman" w:hAnsi="Times New Roman"/>
          <w:color w:val="000000" w:themeColor="text1"/>
          <w:sz w:val="16"/>
          <w:szCs w:val="16"/>
        </w:rPr>
        <w:softHyphen/>
        <w:t>тыре человека получили ранения. Все безвозвратные потери связаны с дей</w:t>
      </w:r>
      <w:r w:rsidRPr="00722885">
        <w:rPr>
          <w:rFonts w:ascii="Times New Roman" w:hAnsi="Times New Roman"/>
          <w:color w:val="000000" w:themeColor="text1"/>
          <w:sz w:val="16"/>
          <w:szCs w:val="16"/>
        </w:rPr>
        <w:softHyphen/>
        <w:t>ствиями немецких истребителей. Три Р-10 были сбиты в бою. Один (старший лейтенант Кудрявцев и младший лей</w:t>
      </w:r>
      <w:r w:rsidRPr="00722885">
        <w:rPr>
          <w:rFonts w:ascii="Times New Roman" w:hAnsi="Times New Roman"/>
          <w:color w:val="000000" w:themeColor="text1"/>
          <w:sz w:val="16"/>
          <w:szCs w:val="16"/>
        </w:rPr>
        <w:softHyphen/>
        <w:t>тенант Салакая) был подбит, но благо</w:t>
      </w:r>
      <w:r w:rsidRPr="00722885">
        <w:rPr>
          <w:rFonts w:ascii="Times New Roman" w:hAnsi="Times New Roman"/>
          <w:color w:val="000000" w:themeColor="text1"/>
          <w:sz w:val="16"/>
          <w:szCs w:val="16"/>
        </w:rPr>
        <w:softHyphen/>
        <w:t>получно совершил вынужденную по</w:t>
      </w:r>
      <w:r w:rsidRPr="00722885">
        <w:rPr>
          <w:rFonts w:ascii="Times New Roman" w:hAnsi="Times New Roman"/>
          <w:color w:val="000000" w:themeColor="text1"/>
          <w:sz w:val="16"/>
          <w:szCs w:val="16"/>
        </w:rPr>
        <w:softHyphen/>
        <w:t>садку. Однако экипаж не зная на чьей территории он приземлился, сжег свою машину. Еще один Р-10 был поврежден зенитной артиллерией, а его экипаж получил ранения (19085).</w:t>
      </w:r>
    </w:p>
    <w:p w14:paraId="38C85C86" w14:textId="77777777" w:rsidR="00BB2084" w:rsidRPr="00722885" w:rsidRDefault="00BB2084" w:rsidP="00722885">
      <w:pPr>
        <w:spacing w:after="0" w:line="240" w:lineRule="auto"/>
        <w:jc w:val="both"/>
        <w:rPr>
          <w:rFonts w:ascii="Times New Roman" w:hAnsi="Times New Roman"/>
          <w:color w:val="000000" w:themeColor="text1"/>
          <w:sz w:val="16"/>
          <w:szCs w:val="16"/>
        </w:rPr>
      </w:pPr>
    </w:p>
    <w:p w14:paraId="79924A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22 сентября по 1 декабря 1942 г. летчиками 812-го иап на Як-1 было уничтожено 43 самолета противника, в том числе 13 бомбардировщиков. Проведя 856 боевых вылетов и 52 воздушных боя полк потерял пять своих пилотов (12048).</w:t>
      </w:r>
    </w:p>
    <w:p w14:paraId="7C37AE0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F1D0E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сентября 1942 г. учитывая летно-технические характеристики самолета В-25 и большие потери, которые несла 222 бад при выполнении дневных боевых вылетов, по предложению командира дивизии полковника Ф.В. Титов переподчинили АДД (3198).</w:t>
      </w:r>
    </w:p>
    <w:p w14:paraId="18B2CC25" w14:textId="77777777" w:rsidR="00090C9B" w:rsidRPr="00722885" w:rsidRDefault="00090C9B" w:rsidP="00722885">
      <w:pPr>
        <w:pStyle w:val="Iauiue"/>
        <w:jc w:val="both"/>
        <w:rPr>
          <w:color w:val="000000" w:themeColor="text1"/>
          <w:sz w:val="16"/>
          <w:szCs w:val="16"/>
        </w:rPr>
      </w:pPr>
    </w:p>
    <w:p w14:paraId="1E4E73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сентября 1942 первые четыре Тигра на Восточном фронте в сопровождении одного PzKpfwIII двинулись в атаку на поселок Гайтолово. Первым на дамба подбили T-III. Затем получил повреждение Тигр командира и мотор заглох, а экипаж покинул машину. Потом подбили еще два Тигра, а один - увяз в болоте. вытащить под огнем не смогли и через 2 дня, сняв все оптическое и электрооборудование и отрезав автогеном пушку - взорвали (3570).</w:t>
      </w:r>
    </w:p>
    <w:p w14:paraId="42A05166" w14:textId="77777777" w:rsidR="00090C9B" w:rsidRPr="00722885" w:rsidRDefault="00090C9B" w:rsidP="00722885">
      <w:pPr>
        <w:pStyle w:val="Iauiue"/>
        <w:jc w:val="both"/>
        <w:rPr>
          <w:color w:val="000000" w:themeColor="text1"/>
          <w:sz w:val="16"/>
          <w:szCs w:val="16"/>
        </w:rPr>
      </w:pPr>
    </w:p>
    <w:p w14:paraId="1B5F9F2F"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22, 1942: At Stalingrad, units of the 6th Army (von Paulus) anf 4th Panzerarmee (Hoth) split the Soviet 62nd Army (Yeremenko) in two and capture nearly the entire southern part of the city, including the huge grain elevator defended by Soviet marines (3819).</w:t>
      </w:r>
    </w:p>
    <w:p w14:paraId="3E6A7B7B" w14:textId="77777777" w:rsidR="00090C9B" w:rsidRPr="00722885" w:rsidRDefault="00090C9B" w:rsidP="00722885">
      <w:pPr>
        <w:pStyle w:val="Iauiue"/>
        <w:jc w:val="both"/>
        <w:rPr>
          <w:color w:val="000000" w:themeColor="text1"/>
          <w:sz w:val="16"/>
          <w:szCs w:val="16"/>
          <w:lang w:val="en-US"/>
        </w:rPr>
      </w:pPr>
    </w:p>
    <w:p w14:paraId="160FFA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сентября 1942 в Сталинграде части 6А (фон Паулюс) и 4ТГ (Гот) разделили советскую 62А на две части и захватили почти всю южную часть города, включая элеватор, обороняемый морской пехотой (3819).</w:t>
      </w:r>
    </w:p>
    <w:p w14:paraId="7E04DC6F" w14:textId="77777777" w:rsidR="00090C9B" w:rsidRPr="00722885" w:rsidRDefault="00090C9B" w:rsidP="00722885">
      <w:pPr>
        <w:pStyle w:val="Iauiue"/>
        <w:jc w:val="both"/>
        <w:rPr>
          <w:color w:val="000000" w:themeColor="text1"/>
          <w:sz w:val="16"/>
          <w:szCs w:val="16"/>
        </w:rPr>
      </w:pPr>
    </w:p>
    <w:p w14:paraId="1B898A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в ночь на 23 сентября 1942 в Саратове вновь было неспокойно, все ждали нового налета. Посты ВНОС в районе Камышина, Котово и Рудни с напряжением вслушивались в небо, но, кроме отдаленного воя волков где-то в лесах, ничто не нарушало тишины. В 100 км к северу в темноте у зениток суетились артиллеристы, многие нервно курили, возбуждение царило и на аэродромах. Но все было тихо. После полуночи всем стало ясно, что налета не будет. Лишь утром высоко в небе над Саратовом прошел самолет-разведчик. Несколько зениток бабахнули по нему, хотя все знали, что это бесполезно. Тем временем на городском аэродроме из только что приземлившегося самолета вышел член Военного совета Западного фронта Н. А. Булганин. Он сразу отправился в штаб диврайона ПВО и собрал командный состав на срочное совещание. Булганин напомнил о важнейшем значении для страны крекинг-завода им. Кирова и потребовал срочно навести порядок в вопросах взаимодействия войск ПВО. В частности, было принято решение, согласно которому после попадания немецкого самолета в лучи прожекторов зенитчики должны прекращать вести огонь, давая возможность ночным истребителям выполнить атаку. В то же время в 470 км к юго-западу, в Тацинской, штаб эскадры KG76 изучал аэрофотоснимки, зафиксировавшие разрушения на нефтеперегонном заводе в Саратове. Было видно, что ряд объектов полностью уничтожен, однако не все бомбы попали в цель. Значительная часть предприятия не получила сильных повреждений. Тогда Эрнст Борманн решил в следующую ночь нанести массированный удар по объекту, запросив помощи у эскадры KG55 «Грайф». В 19.00 по берлинскому времени (21.00 по московскому) с аэродромов Морозовская и Тацинская взлетели в общей сложности 38 бомбардировщиков Ju-88 и Не-111. После 22.00 в штаб Саратовского дивизионного района ПВО от постов ВНОС стали поступать доклады о том, что над ними в сторону города идут большие группы самолетов. В 22.36 по приказу полковника М.В. Антоненко был дан сигнал «ВТ». Зенитная артиллерия начала заградительный огонь, пытаясь поставить на предполагаемом курсе бомбардировщиков неподвижную огневую завесу. Прожектористы включили свои приборы, воткнув в небо световые лучи. Вскоре кто-то нервно крикнул, что освещен самолет… Однако части ПВО вновь не смогли помешать налету. Вышковые наблюдатели крекинг-завода отчетливо видели, как из мрака ночи, надсадно ревя моторами, словно хищные птицы, один за другим вываливаются черные силуэты «Юнкерсов», они проходят низко, прямо над заводскими трубами, и в этот момент воздух пронизывает леденящий кровь вой падающих бомб. Затем все вокруг сотрясается от взрывов, в небо поднимаются огромные языки пламени. Всего немецкие бомбардировщики произвели на объект 16 заходов одиночными самолетами и группами по две-три машины, сбросив на него 120 фугасных и около 800 зажигательных бомб разных типов. В результате на заводе возник огромный пожар, охвативший сразу 20 объектов. Прекратилась подача воды, пара и электроэнергии. Куски листового резервуарного железа от взрывов поднимались в воздух и разлетались в радиусе 250—300 м. Огненный смерч, раскаляя воздух до колоссальной температуры, воспламенял одно здание за другим, уничтожая нефтяные баки, трубопроводы, перегонные установки и все, что попадалось на его пути. Десятки людей сгорели живьем. Городской штаб МПВО сразу по окончании налета направил на крекинг-завод все, что было под рукой, в т.ч. пожарные и аварийно-восстановительные формирования, бойцов Саратовского гарнизона. Но поначалу борьбу с огнем вели только сами рабочие. Часть персонала убежала, многие погибли, но оставшиеся на своих постах совершали поистине героические поступки. Большую выдержку и самоотверженность проявили мастера цехов завода Ильин и Чернов начальники караулов военизированной пожарной охраны А. Сергеев и В. Денисов, пожарники Панфилов и Захаров (оба погибли при ликвидации очагов пожаров), тяжелое ранение получил помощник начальника команды Красновельмов, был контужен взрывом бомбы начальник цеха водоснабжения Савельев. Боец Конахин лично потушил более 20 мелких зажигательных бомб, начальник медико-санитарной службы завода Техтеева, несмотря на бомбежку, оказала помощь шести пострадавшим.</w:t>
      </w:r>
    </w:p>
    <w:p w14:paraId="06A3A9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Бомбардировке также подверглись станция Князевка, поселок Увек, железнодорожный мост через Волгу и деревня Нахаловка. Кроме того, несколько бомб упали на аэродром авиазавода № 292, расположенный на юго-западной окраине города. В результате были повреждены взлетно-посадочная полоса и 12 истребителей Як-1. Части ПВО были ошарашены столь сильным ударом, и отбой «ВТ» был подан только в 05.30 утра. Советские ночные истребители совершили несколько боевых вылетов, но контакта с противником по-прежнему не имели. Основные очаги пожара были локализованы к 07.00, однако пламя по-прежнему полыхало в нефтеямах, и его тушили весь следующий день. Клубы черного дыма поднимались высоко в небо, и все жители Саратова понимали, что на крекинг-заводе им. Кирова случилось нечто страшное. Предприятие действительно было полностью разрушено. Человеческие жертвы тоже оказались большими. Всего от налета пострадали 200 человек, из них 129 погибли. Многие трупы невозможно было даже опознать. А в Тацинской Эрнст Борманн оценивал результаты налета. Летчики сообщали об огромном пожаре, который было видно за многие километры от цели, при этом все бомбардировщики вернулись на свои аэродромы. Тогда, предположив, что с нефтеперегонным заводом покончено, командование эскадры решило напоследок разбомбить еще и Увекскую нефтебазу, расположенную в двух с половиной километрах южнее Саратова. В 18.30, по берлинскому времени, в воздух поднимаются «Юнкерсы» из III./KG76 гауптмана Генриха Швайкхарда. На командном пункте ПВО в Саратове полковник Антоненко вновь получает донесение о приближении с юга немецких самолетов. Тяжело вздохнув, он отдает приказ снова дать сигнал «Воздушная тревога» и одновременно звонит на аэродром Анисовка, приказывая ночным истребителям подняться в воздух. Вскоре по слегка освещенной полосе мчатся два Як-1 командира эскадрильи 586-го ИАП ПВО Евгении Прохоровой и ее ведомой лейтенанта Валерии Хомяковой. Набирая высоту, они летят в сторону южной окраины Саратова. Внизу виднелась широкая полоса реки и вдоль нее затемненный город. Небо прорезали трассеры снарядов зенитной артиллерии и тонкие лучи прожекторов. Затем в районе крекинг-завода появились вспышки разрывов. Направив истребитель в район южнее Саратова, Валерия Хомякова, внимательно всматриваясь в темное небо, вдруг увидела прямо перед собой в перекрестии прожекторных лучей черный силуэт двухмоторного бомбардировщика. Это был Ju-88A-4 WNr.144010 «F1+HR» командира 7-й эскадрильи KG76 обер-лейтенанта Герхарда Маака. В 22.10 Хомякова приблизилась к нему и дала очередь, целясь по кабине. </w:t>
      </w:r>
      <w:r w:rsidRPr="00722885">
        <w:rPr>
          <w:rFonts w:ascii="Times New Roman" w:hAnsi="Times New Roman"/>
          <w:color w:val="000000" w:themeColor="text1"/>
          <w:sz w:val="16"/>
          <w:szCs w:val="16"/>
        </w:rPr>
        <w:lastRenderedPageBreak/>
        <w:t>Бортстрелок «Юнкерса» ефрейтор Фридрих Бренгер, видимо, был застигнут врасплох и с опозданием открыл ответный огонь, но безрезультатно. Вслед за этим самолет резко накренился влево и перешел в беспорядочное пикирование. Хомякова некоторое время преследовала его, но, опасаясь столкновения с землей, вскоре выровняла машину. Впоследствии летчица утверждала, что гонялась еще за двумя «Юнкерсами», но  «подвели прожектористы, слишком рано гасившие свои приборы». Прохорова также заявила о контакте с противником, но на ее Як-1 отказало вооружение. Немецкие экипажи, несмотря на ночное время, видели атаки советских истребителей и падение самолета своего товарища, после чего даже составили отчет о тактике русских в этом бою. Самолет, сбитый Хомяковой, на следующее утро был обнаружен в степи около деревни Квасниковка, в 10 км юго-восточнее Саратова. На место падения вместе с летчицей выехал командир авиадивизии М. Нога. Оказалось, что два члена экипажа погибли, видимо, не успев выпрыгнуть из отвесно падающего самолета. И хотя, по словам летчицы,  «картина произвела на нее тяжелое впечатление», она не побрезговала забрать с трупов парашюты  «для пошива белья», а потом поехала в часть праздновать победу с водкой и арбузами. Командир сбитого Ju-88 Герхард Маак был взят в плен. По легенде, когда обер-лейтенанту сообщили о том, что его сбила женщина, он был настолько потрясен, что тут же заплакал. Поскольку этот «Юнкере» стал первым германским самолетом, сбитым истребителем ПВО в районе Саратова, к тому же сбитым женщиной, этот факт привлек к себе огромное внимание. Было заявлено, что  «сбитый гитлеровский офицер Г. Маак руководил налетами на Саратов». Хомякова получила денежную премию в 2000 рублей, ей срочно присвоили звание старшего лейтенанта и назначили командиром третьей эскадрильи полка. Но все это не могло скрыть настоящих результатов – Саратовский диврайон ПВО оказался не в состоянии отразить налеты на важнейшие промышленные объекты. Командование Люфтваффе оценило рейды эскадры KG76 на Саратов как успешные, а германское радио официально объявило, что  «немецкие летчики полностью разрушили крупнейший в России нефтеперерабатывающий завод».  Сумма ущерба была впоследствии оценена государственной комиссией в 25,5 млн рублей. 25 сентября Саратовский городской комитет обороны принял специальное постановление «О ликвидации разрушений на заводе имени С. М. Кирова». Несмотря на героические усилия коллектива завода, личного состава формирований МПВО, солдат Саратовского гарнизона, восстановить предприятие не удалось до конца 1942 г. Хотя формально считалось, что завод «мог работать» уже с 1 октября, неповрежденных емкостей для нефтепродуктов практически не осталось, что делало нефтеперегонку невозможной. В итоге продукция с крекинг-завода не поступала ни в октябре, ни в ноябре. Часть заказов пришлось в срочном порядке разместить на других предприятиях Поволжья. Так, нефтеперегонный завод № 2 «Нефтегаз» в Горьком получил задание выработать до конца года 10 000 т дизельного топлива и 10 000 т мазута (11774).</w:t>
      </w:r>
    </w:p>
    <w:p w14:paraId="4F9724F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472DC6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757DEA67" w14:textId="77777777" w:rsidR="00090C9B" w:rsidRPr="00722885" w:rsidRDefault="00090C9B" w:rsidP="00722885">
      <w:pPr>
        <w:pStyle w:val="Iauiue"/>
        <w:jc w:val="both"/>
        <w:rPr>
          <w:iCs/>
          <w:color w:val="000000" w:themeColor="text1"/>
          <w:sz w:val="16"/>
          <w:szCs w:val="16"/>
        </w:rPr>
      </w:pPr>
    </w:p>
    <w:p w14:paraId="7A9657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сентября 1942 СНК и ЦК ВКП(б) приняли постановление о расширении посевов зерновых в совхозах Алтайского и Красноярского краев, Новосибирской, Омской, Челябинской, Акмолинской, Павлодарской, Северо-Кавказской, Кустанайской и Семипалатинской областей - увеличили на 5 млн. га по сравнению с 1940 (512,275).</w:t>
      </w:r>
    </w:p>
    <w:p w14:paraId="74B4DEFE" w14:textId="77777777" w:rsidR="00090C9B" w:rsidRPr="00722885" w:rsidRDefault="00090C9B" w:rsidP="00722885">
      <w:pPr>
        <w:pStyle w:val="Iauiue"/>
        <w:jc w:val="both"/>
        <w:rPr>
          <w:color w:val="000000" w:themeColor="text1"/>
          <w:sz w:val="16"/>
          <w:szCs w:val="16"/>
        </w:rPr>
      </w:pPr>
    </w:p>
    <w:p w14:paraId="59DBBB45" w14:textId="77777777" w:rsidR="00F05BF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DAC2FCA" w14:textId="77777777" w:rsidR="00F05BFB" w:rsidRPr="00722885" w:rsidRDefault="00F05BFB" w:rsidP="00722885">
      <w:pPr>
        <w:pStyle w:val="Iauiue"/>
        <w:jc w:val="both"/>
        <w:rPr>
          <w:iCs/>
          <w:color w:val="000000" w:themeColor="text1"/>
          <w:sz w:val="16"/>
          <w:szCs w:val="16"/>
        </w:rPr>
      </w:pPr>
    </w:p>
    <w:p w14:paraId="31B23D8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сентября в 1942 году директива президента США категорически предписывала не сотрудничать с войсками «Сражающейся Франции» в ходе десантной операции «Торч» (14777).</w:t>
      </w:r>
    </w:p>
    <w:p w14:paraId="1DEF92DA"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0AE1861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8E30D56" w14:textId="77777777" w:rsidR="00090C9B" w:rsidRPr="00722885" w:rsidRDefault="00090C9B" w:rsidP="00722885">
      <w:pPr>
        <w:pStyle w:val="Iauiue"/>
        <w:jc w:val="both"/>
        <w:rPr>
          <w:iCs/>
          <w:color w:val="000000" w:themeColor="text1"/>
          <w:sz w:val="16"/>
          <w:szCs w:val="16"/>
        </w:rPr>
      </w:pPr>
    </w:p>
    <w:p w14:paraId="098346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Зам. НКО Новиков писал И.В.С.:</w:t>
      </w:r>
    </w:p>
    <w:p w14:paraId="0C45C6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 воздушном противнике перед Сталинградским и Юго-западным фронтами</w:t>
      </w:r>
    </w:p>
    <w:p w14:paraId="6BE297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 боевом составе авиации 8 и 16 ВА</w:t>
      </w:r>
    </w:p>
    <w:p w14:paraId="6ECCE2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ВА на 24 сентября имела исправных: 22 истребителя и 30 штурмовиков Ил-2, а также 36 Пе-2</w:t>
      </w:r>
    </w:p>
    <w:p w14:paraId="4518FD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ВА на 24 сентября имела исправных: 57 истребителей и 91 штурмовиков Ил-2</w:t>
      </w:r>
    </w:p>
    <w:p w14:paraId="6ACE2E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 недостатках в подготовке наших летчиков-истребителей</w:t>
      </w:r>
    </w:p>
    <w:p w14:paraId="02D0C8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О недостатках наших самолетов:</w:t>
      </w:r>
    </w:p>
    <w:p w14:paraId="1EB831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Ускорить производство 2-х местных Ил-2 с установкой на турели в кабине стрелка крупнокалиберного пулемета для стрельбы вверх и люкового пулемета для стрельбы вниз. Это мероприятие позволит штурмовиков водить в бой без прикрытия истребителей, которых на фронте большая нужда для борьбы с бомбардировщиками противника." (1315,256).</w:t>
      </w:r>
    </w:p>
    <w:p w14:paraId="1B59081D" w14:textId="77777777" w:rsidR="00090C9B" w:rsidRPr="00722885" w:rsidRDefault="00090C9B" w:rsidP="00722885">
      <w:pPr>
        <w:pStyle w:val="Iauiue"/>
        <w:jc w:val="both"/>
        <w:rPr>
          <w:color w:val="000000" w:themeColor="text1"/>
          <w:sz w:val="16"/>
          <w:szCs w:val="16"/>
        </w:rPr>
      </w:pPr>
    </w:p>
    <w:p w14:paraId="419912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С.В.И. писал А.И.Ш. письмо N 20/В40:</w:t>
      </w:r>
    </w:p>
    <w:p w14:paraId="287913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"ОКБ НКАП в октябре 1940 было эвакуировано в г. Куйбышев.</w:t>
      </w:r>
    </w:p>
    <w:p w14:paraId="47E82F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апреля 1942 постановлением ГКО N 1573 было возвращено в Москву и слито с заводом 240.</w:t>
      </w:r>
    </w:p>
    <w:p w14:paraId="3162BB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Семьи личного состава работников остались в Куйбышеве и его районах.</w:t>
      </w:r>
    </w:p>
    <w:p w14:paraId="33BC2D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протяжении 10 месяцев семьи указанных выше работников находятся в тяжелых бытовых и материальных условиях, а при отъезде основных работников в Москву, они естественно ухудшились, а с наступлением зимы положение еще больше ухудшился, т.к. это будет связано с заготовкой топлива и т.п.</w:t>
      </w:r>
    </w:p>
    <w:p w14:paraId="552C00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связи с этим настроение конструкторов, ИТР и рабочих пониженное и сильно отзывается на их работе.</w:t>
      </w:r>
    </w:p>
    <w:p w14:paraId="140E4C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Прошу Вашего ходатайства о перевозке в Москву из Куйбышева и его районов по прилагаемому списку семьи работников нашего завода (1680,168).</w:t>
      </w:r>
    </w:p>
    <w:p w14:paraId="039317E6" w14:textId="77777777" w:rsidR="00090C9B" w:rsidRPr="00722885" w:rsidRDefault="00090C9B" w:rsidP="00722885">
      <w:pPr>
        <w:pStyle w:val="Iauiue"/>
        <w:jc w:val="both"/>
        <w:rPr>
          <w:color w:val="000000" w:themeColor="text1"/>
          <w:sz w:val="16"/>
          <w:szCs w:val="16"/>
        </w:rPr>
      </w:pPr>
    </w:p>
    <w:p w14:paraId="3D087C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А.И.Шахурин писал И.В.С. письмо № Н-20/3832 "Заводом 24 проведены 50 часовые испытания мотора АМ-38 на повышенной мощности - 1700 л.с. вместо 1600 л.с. и оборотах 2350 вместо 2150. Мотор АМ-38 с этими данными удовлетворительно прошел 50 часовые испытания...Учитывая необходимость повышения летных взлетных данных самолета И-2 путем замены на них более мощных моторов АМ-38Ф и АМ-42, прошу Вас рассмотреть и утвердить прилагаемый проект решения ГКО (927,75).</w:t>
      </w:r>
    </w:p>
    <w:p w14:paraId="09A9227D" w14:textId="77777777" w:rsidR="00090C9B" w:rsidRPr="00722885" w:rsidRDefault="00090C9B" w:rsidP="00722885">
      <w:pPr>
        <w:pStyle w:val="Iauiue"/>
        <w:jc w:val="both"/>
        <w:rPr>
          <w:color w:val="000000" w:themeColor="text1"/>
          <w:sz w:val="16"/>
          <w:szCs w:val="16"/>
        </w:rPr>
      </w:pPr>
    </w:p>
    <w:p w14:paraId="389CD0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года Шахурин писал письмо N Н-20/3832 Сталину.</w:t>
      </w:r>
    </w:p>
    <w:p w14:paraId="72FB90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Заводом N 24 проведено 50-ти часовое испытание мотора АМ-38 на повышенных взлетной мощности - 1700 л.с. вместо 1600 л.с. и оборотах 2350 об/м вместо 2150 об/м.</w:t>
      </w:r>
    </w:p>
    <w:p w14:paraId="37EF78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Мотор Ам-38 с этими данными удовлетворительно прошел 50-ти часовые испытания.</w:t>
      </w:r>
    </w:p>
    <w:p w14:paraId="78FBC4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Применение форсированного мотора Ам-38 с увеличенными взлетной мощностью и числом оборотов на самолетах Ил-2 повышают его взлетные свойства по уменьшению разбега и улучшению взлета: для одноместного самолета Ил-2 до 30% и двухместный самолет Ил-2 по разбегу и взлету становится равным одноместному самолету Ил-2 с нефорсированным мотором Ам-38.</w:t>
      </w:r>
    </w:p>
    <w:p w14:paraId="6DBE4C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Кроме того, в целях обеспечения модифицированного двухместного штурмовика конструкции С.В.И. современными летно-тактическими данными, необходимо иметь мотор со взлетной мощностью 2000 л.с. и номинальной мощностью не менее 1650 л.с.</w:t>
      </w:r>
    </w:p>
    <w:p w14:paraId="38778E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заявлению гл. конструктора завода N 24 Микулина, на базе мотора АМ-38 путем конструктивных переделок некоторых узлов мотора, как-то: коленчатого вала, редуктора, головок блока, распределительного механизма, всасывающей системы и др. можно в непродолжительное время получить мотор с указанными выше данными.</w:t>
      </w:r>
    </w:p>
    <w:p w14:paraId="5DA926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Учитывая необходимость повышения взлетных данных самолетов Ил-2 путем установки на них более мощных моторов АМ-38Ф и АМ-42, прошу Вас рассмотреть и утвердить прилагаемый проект решения ГОКО (927,75).</w:t>
      </w:r>
    </w:p>
    <w:p w14:paraId="3D28FBC2" w14:textId="77777777" w:rsidR="00090C9B" w:rsidRPr="00722885" w:rsidRDefault="00090C9B" w:rsidP="00722885">
      <w:pPr>
        <w:pStyle w:val="Iauiue"/>
        <w:jc w:val="both"/>
        <w:rPr>
          <w:color w:val="000000" w:themeColor="text1"/>
          <w:sz w:val="16"/>
          <w:szCs w:val="16"/>
        </w:rPr>
      </w:pPr>
    </w:p>
    <w:p w14:paraId="684F22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закончились гос. испытания Як-7ПД, которые начались 17 сентября 1942. В бригаде были А.Г.Прошаков, ви М.А.Пронин, т Л.В.Николаев. Выполнили 7 полетов продолжительностью 7:30 (65,98).</w:t>
      </w:r>
    </w:p>
    <w:p w14:paraId="3EF1776D" w14:textId="77777777" w:rsidR="00090C9B" w:rsidRPr="00722885" w:rsidRDefault="00090C9B" w:rsidP="00722885">
      <w:pPr>
        <w:pStyle w:val="Iauiue"/>
        <w:jc w:val="both"/>
        <w:rPr>
          <w:color w:val="000000" w:themeColor="text1"/>
          <w:sz w:val="16"/>
          <w:szCs w:val="16"/>
        </w:rPr>
      </w:pPr>
    </w:p>
    <w:p w14:paraId="3BC08A81"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23 сентября 1942 года.</w:t>
      </w:r>
    </w:p>
    <w:p w14:paraId="648E3CEB"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Получено 23 сентября 1942 года.</w:t>
      </w:r>
    </w:p>
    <w:p w14:paraId="3FC3FD34"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ЛИЧНОЕ И СЕКРЕТНОЕ ПОСЛАНИЕ ОТ ПРЕМЬЕР-МИНИСТРА г-на УИНСТОНА ЧЕРЧИЛЛЯ ПРЕМЬЕРУ СТАЛИНУ</w:t>
      </w:r>
    </w:p>
    <w:p w14:paraId="5CD59B11"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Мы произвели следующую оценку германского производства боевых самолетов, которая, по мнению Министерства Авиации, заслуживает доверия. Эта оценка, может быть, представляет для Вас интерес, и я хотел бы узнать, если Вы сочтете возможным об этом сообщить, насколько она совпадает с Вашей собственной оценкой производства противника.</w:t>
      </w:r>
    </w:p>
    <w:p w14:paraId="09AAB997"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Следующие данные представляют собой упомянутую оценку.</w:t>
      </w:r>
    </w:p>
    <w:p w14:paraId="759E843C"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ГЕРМАНСКОЕ ПРОИЗВОДСТВО САМОЛЕТОВ (боевых типов) на 1 сентября 1942 года</w:t>
      </w:r>
    </w:p>
    <w:p w14:paraId="5D43DC58"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Среднее</w:t>
      </w:r>
    </w:p>
    <w:p w14:paraId="0F690133"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Тип</w:t>
      </w:r>
      <w:r w:rsidRPr="00722885">
        <w:rPr>
          <w:rFonts w:ascii="Times New Roman" w:hAnsi="Times New Roman"/>
          <w:color w:val="0070C0"/>
          <w:sz w:val="16"/>
          <w:szCs w:val="16"/>
        </w:rPr>
        <w:tab/>
        <w:t>Сборочный завод</w:t>
      </w:r>
      <w:r w:rsidRPr="00722885">
        <w:rPr>
          <w:rFonts w:ascii="Times New Roman" w:hAnsi="Times New Roman"/>
          <w:color w:val="0070C0"/>
          <w:sz w:val="16"/>
          <w:szCs w:val="16"/>
        </w:rPr>
        <w:tab/>
        <w:t>производство в месяц</w:t>
      </w:r>
    </w:p>
    <w:p w14:paraId="4A5FC437"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Бомбардировщики</w:t>
      </w:r>
    </w:p>
    <w:p w14:paraId="56F73EC8"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дальнего действия</w:t>
      </w:r>
    </w:p>
    <w:p w14:paraId="66305F76"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«Юнкерс-88»</w:t>
      </w:r>
      <w:r w:rsidRPr="00722885">
        <w:rPr>
          <w:rFonts w:ascii="Times New Roman" w:hAnsi="Times New Roman"/>
          <w:color w:val="0070C0"/>
          <w:sz w:val="16"/>
          <w:szCs w:val="16"/>
        </w:rPr>
        <w:tab/>
        <w:t>A.T.G., Лейпциг.............................30</w:t>
      </w:r>
    </w:p>
    <w:p w14:paraId="68CB25C7"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«Юнкерс-88»</w:t>
      </w:r>
      <w:r w:rsidRPr="00722885">
        <w:rPr>
          <w:rFonts w:ascii="Times New Roman" w:hAnsi="Times New Roman"/>
          <w:color w:val="0070C0"/>
          <w:sz w:val="16"/>
          <w:szCs w:val="16"/>
        </w:rPr>
        <w:tab/>
        <w:t>Арадо, Бранденбург, Нойендорф...............30</w:t>
      </w:r>
    </w:p>
    <w:p w14:paraId="5475436B"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«Юнкерс-88»</w:t>
      </w:r>
      <w:r w:rsidRPr="00722885">
        <w:rPr>
          <w:rFonts w:ascii="Times New Roman" w:hAnsi="Times New Roman"/>
          <w:color w:val="0070C0"/>
          <w:sz w:val="16"/>
          <w:szCs w:val="16"/>
        </w:rPr>
        <w:tab/>
        <w:t>Арадо, Ратехов..............................25</w:t>
      </w:r>
      <w:r w:rsidRPr="00722885">
        <w:rPr>
          <w:rFonts w:ascii="Times New Roman" w:hAnsi="Times New Roman"/>
          <w:color w:val="0070C0"/>
          <w:sz w:val="16"/>
          <w:szCs w:val="16"/>
        </w:rPr>
        <w:tab/>
        <w:t>?</w:t>
      </w:r>
    </w:p>
    <w:p w14:paraId="31A850F0"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«Юнкерс-88»</w:t>
      </w:r>
      <w:r w:rsidRPr="00722885">
        <w:rPr>
          <w:rFonts w:ascii="Times New Roman" w:hAnsi="Times New Roman"/>
          <w:color w:val="0070C0"/>
          <w:sz w:val="16"/>
          <w:szCs w:val="16"/>
        </w:rPr>
        <w:tab/>
        <w:t>Хейнкель, Ораниенбург...................... 15</w:t>
      </w:r>
    </w:p>
    <w:p w14:paraId="2135E4B3"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«Юнкерс-88»</w:t>
      </w:r>
      <w:r w:rsidRPr="00722885">
        <w:rPr>
          <w:rFonts w:ascii="Times New Roman" w:hAnsi="Times New Roman"/>
          <w:color w:val="0070C0"/>
          <w:sz w:val="16"/>
          <w:szCs w:val="16"/>
        </w:rPr>
        <w:tab/>
        <w:t>Хеншель, Шонфельд...........................35</w:t>
      </w:r>
    </w:p>
    <w:p w14:paraId="2B9374E1"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«Юнкерс-88»</w:t>
      </w:r>
      <w:r w:rsidRPr="00722885">
        <w:rPr>
          <w:rFonts w:ascii="Times New Roman" w:hAnsi="Times New Roman"/>
          <w:color w:val="0070C0"/>
          <w:sz w:val="16"/>
          <w:szCs w:val="16"/>
        </w:rPr>
        <w:tab/>
        <w:t>Юнкере (Дессау и Бернберг) .................75</w:t>
      </w:r>
    </w:p>
    <w:p w14:paraId="52F7AB03"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«Юнкерс-88»</w:t>
      </w:r>
      <w:r w:rsidRPr="00722885">
        <w:rPr>
          <w:rFonts w:ascii="Times New Roman" w:hAnsi="Times New Roman"/>
          <w:color w:val="0070C0"/>
          <w:sz w:val="16"/>
          <w:szCs w:val="16"/>
        </w:rPr>
        <w:tab/>
        <w:t>Зибель, Халле ..............................25</w:t>
      </w:r>
    </w:p>
    <w:p w14:paraId="026872AD"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«Юнкерс-88»</w:t>
      </w:r>
      <w:r w:rsidRPr="00722885">
        <w:rPr>
          <w:rFonts w:ascii="Times New Roman" w:hAnsi="Times New Roman"/>
          <w:color w:val="0070C0"/>
          <w:sz w:val="16"/>
          <w:szCs w:val="16"/>
        </w:rPr>
        <w:tab/>
        <w:t>Не опознан ................................ 15</w:t>
      </w:r>
    </w:p>
    <w:p w14:paraId="7C040F7D"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«Юнкерс-88» .......................250</w:t>
      </w:r>
    </w:p>
    <w:p w14:paraId="42D33AE7"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«Хейнкель-111»</w:t>
      </w:r>
      <w:r w:rsidRPr="00722885">
        <w:rPr>
          <w:rFonts w:ascii="Times New Roman" w:hAnsi="Times New Roman"/>
          <w:color w:val="0070C0"/>
          <w:sz w:val="16"/>
          <w:szCs w:val="16"/>
        </w:rPr>
        <w:tab/>
        <w:t>Хейнкель (Росток и Ораниенбург) . . .</w:t>
      </w:r>
      <w:r w:rsidRPr="00722885">
        <w:rPr>
          <w:rFonts w:ascii="Times New Roman" w:hAnsi="Times New Roman"/>
          <w:color w:val="0070C0"/>
          <w:sz w:val="16"/>
          <w:szCs w:val="16"/>
        </w:rPr>
        <w:tab/>
        <w:t>100</w:t>
      </w:r>
    </w:p>
    <w:p w14:paraId="3C879080"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DO-217</w:t>
      </w:r>
      <w:r w:rsidRPr="00722885">
        <w:rPr>
          <w:rFonts w:ascii="Times New Roman" w:hAnsi="Times New Roman"/>
          <w:color w:val="0070C0"/>
          <w:sz w:val="16"/>
          <w:szCs w:val="16"/>
        </w:rPr>
        <w:tab/>
        <w:t>Дорнье, Алльмансвейлер .....................30</w:t>
      </w:r>
    </w:p>
    <w:p w14:paraId="37BF5D83"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DO-217</w:t>
      </w:r>
      <w:r w:rsidRPr="00722885">
        <w:rPr>
          <w:rFonts w:ascii="Times New Roman" w:hAnsi="Times New Roman"/>
          <w:color w:val="0070C0"/>
          <w:sz w:val="16"/>
          <w:szCs w:val="16"/>
        </w:rPr>
        <w:tab/>
        <w:t>Дорнье, Оберпфафенхофен ....................30</w:t>
      </w:r>
    </w:p>
    <w:p w14:paraId="43732A5B"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DO-217</w:t>
      </w:r>
      <w:r w:rsidRPr="00722885">
        <w:rPr>
          <w:rFonts w:ascii="Times New Roman" w:hAnsi="Times New Roman"/>
          <w:color w:val="0070C0"/>
          <w:sz w:val="16"/>
          <w:szCs w:val="16"/>
        </w:rPr>
        <w:tab/>
        <w:t>Дорнье, Виссмар ............................25</w:t>
      </w:r>
    </w:p>
    <w:p w14:paraId="342CAEA4"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DO-217............................. 85</w:t>
      </w:r>
    </w:p>
    <w:p w14:paraId="31348B4B"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НЕ-177</w:t>
      </w:r>
      <w:r w:rsidRPr="00722885">
        <w:rPr>
          <w:rFonts w:ascii="Times New Roman" w:hAnsi="Times New Roman"/>
          <w:color w:val="0070C0"/>
          <w:sz w:val="16"/>
          <w:szCs w:val="16"/>
        </w:rPr>
        <w:tab/>
        <w:t>Хейнкель (Росток и Ораниенбург) ...</w:t>
      </w:r>
      <w:r w:rsidRPr="00722885">
        <w:rPr>
          <w:rFonts w:ascii="Times New Roman" w:hAnsi="Times New Roman"/>
          <w:color w:val="0070C0"/>
          <w:sz w:val="16"/>
          <w:szCs w:val="16"/>
        </w:rPr>
        <w:tab/>
        <w:t>15</w:t>
      </w:r>
    </w:p>
    <w:p w14:paraId="47D07B30"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FW-200</w:t>
      </w:r>
      <w:r w:rsidRPr="00722885">
        <w:rPr>
          <w:rFonts w:ascii="Times New Roman" w:hAnsi="Times New Roman"/>
          <w:color w:val="0070C0"/>
          <w:sz w:val="16"/>
          <w:szCs w:val="16"/>
        </w:rPr>
        <w:tab/>
        <w:t>Фокке Вульф, Бремен......................... 5</w:t>
      </w:r>
      <w:r w:rsidRPr="00722885">
        <w:rPr>
          <w:rFonts w:ascii="Times New Roman" w:hAnsi="Times New Roman"/>
          <w:color w:val="0070C0"/>
          <w:sz w:val="16"/>
          <w:szCs w:val="16"/>
        </w:rPr>
        <w:tab/>
        <w:t>?</w:t>
      </w:r>
    </w:p>
    <w:p w14:paraId="2412AA18"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бомбардировщиков дальнего действия ..................................455</w:t>
      </w:r>
    </w:p>
    <w:p w14:paraId="7B142365"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Пикирующие бомбардировщики</w:t>
      </w:r>
    </w:p>
    <w:p w14:paraId="4E9EE13C"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«Юнкерс-87»</w:t>
      </w:r>
      <w:r w:rsidRPr="00722885">
        <w:rPr>
          <w:rFonts w:ascii="Times New Roman" w:hAnsi="Times New Roman"/>
          <w:color w:val="0070C0"/>
          <w:sz w:val="16"/>
          <w:szCs w:val="16"/>
        </w:rPr>
        <w:tab/>
        <w:t>Вессер, Бремен и Лемвердер............80</w:t>
      </w:r>
    </w:p>
    <w:p w14:paraId="4033AB44"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HS-129</w:t>
      </w:r>
      <w:r w:rsidRPr="00722885">
        <w:rPr>
          <w:rFonts w:ascii="Times New Roman" w:hAnsi="Times New Roman"/>
          <w:color w:val="0070C0"/>
          <w:sz w:val="16"/>
          <w:szCs w:val="16"/>
        </w:rPr>
        <w:tab/>
        <w:t>Хеншель, Шлезвиг—Гольштейн ...........20</w:t>
      </w:r>
    </w:p>
    <w:p w14:paraId="193E1BD5"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пикирующих бомбардировщиков 100</w:t>
      </w:r>
    </w:p>
    <w:p w14:paraId="7EBE82D5"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Одномоторные истребители.</w:t>
      </w:r>
    </w:p>
    <w:p w14:paraId="6DAE1804"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ME-109</w:t>
      </w:r>
      <w:r w:rsidRPr="00722885">
        <w:rPr>
          <w:rFonts w:ascii="Times New Roman" w:hAnsi="Times New Roman"/>
          <w:color w:val="0070C0"/>
          <w:sz w:val="16"/>
          <w:szCs w:val="16"/>
        </w:rPr>
        <w:tab/>
        <w:t xml:space="preserve"> Аго, Ошерслебен ..........................55</w:t>
      </w:r>
    </w:p>
    <w:p w14:paraId="4ADC4E5C"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ME-109</w:t>
      </w:r>
      <w:r w:rsidRPr="00722885">
        <w:rPr>
          <w:rFonts w:ascii="Times New Roman" w:hAnsi="Times New Roman"/>
          <w:color w:val="0070C0"/>
          <w:sz w:val="16"/>
          <w:szCs w:val="16"/>
        </w:rPr>
        <w:tab/>
        <w:t xml:space="preserve"> Эрла, Лейпциг ............................85</w:t>
      </w:r>
    </w:p>
    <w:p w14:paraId="00B6F179"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ME-109</w:t>
      </w:r>
      <w:r w:rsidRPr="00722885">
        <w:rPr>
          <w:rFonts w:ascii="Times New Roman" w:hAnsi="Times New Roman"/>
          <w:color w:val="0070C0"/>
          <w:sz w:val="16"/>
          <w:szCs w:val="16"/>
        </w:rPr>
        <w:tab/>
        <w:t xml:space="preserve"> Физелер, Кассель (полагают, что переходит на производство FW-190)</w:t>
      </w:r>
      <w:r w:rsidRPr="00722885">
        <w:rPr>
          <w:rFonts w:ascii="Times New Roman" w:hAnsi="Times New Roman"/>
          <w:color w:val="0070C0"/>
          <w:sz w:val="16"/>
          <w:szCs w:val="16"/>
        </w:rPr>
        <w:tab/>
        <w:t>40</w:t>
      </w:r>
    </w:p>
    <w:p w14:paraId="055A5E77"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ME-109</w:t>
      </w:r>
      <w:r w:rsidRPr="00722885">
        <w:rPr>
          <w:rFonts w:ascii="Times New Roman" w:hAnsi="Times New Roman"/>
          <w:color w:val="0070C0"/>
          <w:sz w:val="16"/>
          <w:szCs w:val="16"/>
        </w:rPr>
        <w:tab/>
        <w:t xml:space="preserve"> Мессершмитт, Регенсбург .......</w:t>
      </w:r>
      <w:r w:rsidRPr="00722885">
        <w:rPr>
          <w:rFonts w:ascii="Times New Roman" w:hAnsi="Times New Roman"/>
          <w:color w:val="0070C0"/>
          <w:sz w:val="16"/>
          <w:szCs w:val="16"/>
        </w:rPr>
        <w:tab/>
        <w:t>45</w:t>
      </w:r>
    </w:p>
    <w:p w14:paraId="76E6B4D9"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ME-109</w:t>
      </w:r>
      <w:r w:rsidRPr="00722885">
        <w:rPr>
          <w:rFonts w:ascii="Times New Roman" w:hAnsi="Times New Roman"/>
          <w:color w:val="0070C0"/>
          <w:sz w:val="16"/>
          <w:szCs w:val="16"/>
        </w:rPr>
        <w:tab/>
        <w:t xml:space="preserve"> Винер Нейштадтер, Винер Нейштадт . .</w:t>
      </w:r>
      <w:r w:rsidRPr="00722885">
        <w:rPr>
          <w:rFonts w:ascii="Times New Roman" w:hAnsi="Times New Roman"/>
          <w:color w:val="0070C0"/>
          <w:sz w:val="16"/>
          <w:szCs w:val="16"/>
        </w:rPr>
        <w:tab/>
        <w:t>85</w:t>
      </w:r>
    </w:p>
    <w:p w14:paraId="0BB4E852"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ME-109............................310</w:t>
      </w:r>
    </w:p>
    <w:p w14:paraId="36415334"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FW-190</w:t>
      </w:r>
      <w:r w:rsidRPr="00722885">
        <w:rPr>
          <w:rFonts w:ascii="Times New Roman" w:hAnsi="Times New Roman"/>
          <w:color w:val="0070C0"/>
          <w:sz w:val="16"/>
          <w:szCs w:val="16"/>
        </w:rPr>
        <w:tab/>
        <w:t xml:space="preserve"> Фокке Вульф, Бремен.......................50</w:t>
      </w:r>
    </w:p>
    <w:p w14:paraId="0321BB53"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FW-190</w:t>
      </w:r>
      <w:r w:rsidRPr="00722885">
        <w:rPr>
          <w:rFonts w:ascii="Times New Roman" w:hAnsi="Times New Roman"/>
          <w:color w:val="0070C0"/>
          <w:sz w:val="16"/>
          <w:szCs w:val="16"/>
        </w:rPr>
        <w:tab/>
        <w:t>Арадо, Варнемюнде.........................40</w:t>
      </w:r>
      <w:r w:rsidRPr="00722885">
        <w:rPr>
          <w:rFonts w:ascii="Times New Roman" w:hAnsi="Times New Roman"/>
          <w:color w:val="0070C0"/>
          <w:sz w:val="16"/>
          <w:szCs w:val="16"/>
        </w:rPr>
        <w:tab/>
        <w:t>?</w:t>
      </w:r>
    </w:p>
    <w:p w14:paraId="401C12EE"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FW-190</w:t>
      </w:r>
      <w:r w:rsidRPr="00722885">
        <w:rPr>
          <w:rFonts w:ascii="Times New Roman" w:hAnsi="Times New Roman"/>
          <w:color w:val="0070C0"/>
          <w:sz w:val="16"/>
          <w:szCs w:val="16"/>
        </w:rPr>
        <w:tab/>
        <w:t>Физелер, Кассель ........................ 10</w:t>
      </w:r>
      <w:r w:rsidRPr="00722885">
        <w:rPr>
          <w:rFonts w:ascii="Times New Roman" w:hAnsi="Times New Roman"/>
          <w:color w:val="0070C0"/>
          <w:sz w:val="16"/>
          <w:szCs w:val="16"/>
        </w:rPr>
        <w:tab/>
        <w:t>?</w:t>
      </w:r>
    </w:p>
    <w:p w14:paraId="100EFBA6"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FW-190...........................100</w:t>
      </w:r>
    </w:p>
    <w:p w14:paraId="29D8C8DA"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одномоторных истребителей 410</w:t>
      </w:r>
    </w:p>
    <w:p w14:paraId="7C9E19D9"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Двухмоторные истребители</w:t>
      </w:r>
    </w:p>
    <w:p w14:paraId="5852A50C"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МЕ-110 и 210</w:t>
      </w:r>
      <w:r w:rsidRPr="00722885">
        <w:rPr>
          <w:rFonts w:ascii="Times New Roman" w:hAnsi="Times New Roman"/>
          <w:color w:val="0070C0"/>
          <w:sz w:val="16"/>
          <w:szCs w:val="16"/>
        </w:rPr>
        <w:tab/>
        <w:t>Готар, Гота................................ 10</w:t>
      </w:r>
    </w:p>
    <w:p w14:paraId="7592AA14"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МЕ-110 и 210</w:t>
      </w:r>
      <w:r w:rsidRPr="00722885">
        <w:rPr>
          <w:rFonts w:ascii="Times New Roman" w:hAnsi="Times New Roman"/>
          <w:color w:val="0070C0"/>
          <w:sz w:val="16"/>
          <w:szCs w:val="16"/>
        </w:rPr>
        <w:tab/>
        <w:t>Мессершмитт, Аугсбург......................80</w:t>
      </w:r>
    </w:p>
    <w:p w14:paraId="1693B09D"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МЕ-110 и 210</w:t>
      </w:r>
      <w:r w:rsidRPr="00722885">
        <w:rPr>
          <w:rFonts w:ascii="Times New Roman" w:hAnsi="Times New Roman"/>
          <w:color w:val="0070C0"/>
          <w:sz w:val="16"/>
          <w:szCs w:val="16"/>
        </w:rPr>
        <w:tab/>
        <w:t>Миаг, Брунсвик (Брауншвейг}................25</w:t>
      </w:r>
    </w:p>
    <w:p w14:paraId="3AEB2784"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двухмоторных истребителей . .</w:t>
      </w:r>
      <w:r w:rsidRPr="00722885">
        <w:rPr>
          <w:rFonts w:ascii="Times New Roman" w:hAnsi="Times New Roman"/>
          <w:color w:val="0070C0"/>
          <w:sz w:val="16"/>
          <w:szCs w:val="16"/>
        </w:rPr>
        <w:tab/>
        <w:t>115</w:t>
      </w:r>
    </w:p>
    <w:p w14:paraId="6A57BA6F"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Армейские разведывательные</w:t>
      </w:r>
    </w:p>
    <w:p w14:paraId="4298191A"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HS-126</w:t>
      </w:r>
      <w:r w:rsidRPr="00722885">
        <w:rPr>
          <w:rFonts w:ascii="Times New Roman" w:hAnsi="Times New Roman"/>
          <w:color w:val="0070C0"/>
          <w:sz w:val="16"/>
          <w:szCs w:val="16"/>
        </w:rPr>
        <w:tab/>
        <w:t>Хеншель, Шонфельд..........................40</w:t>
      </w:r>
    </w:p>
    <w:p w14:paraId="6007E00C"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FW-189</w:t>
      </w:r>
      <w:r w:rsidRPr="00722885">
        <w:rPr>
          <w:rFonts w:ascii="Times New Roman" w:hAnsi="Times New Roman"/>
          <w:color w:val="0070C0"/>
          <w:sz w:val="16"/>
          <w:szCs w:val="16"/>
        </w:rPr>
        <w:tab/>
        <w:t>Фокке Вульф, Бремен.......................15</w:t>
      </w:r>
    </w:p>
    <w:p w14:paraId="292B11E4"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BV-141</w:t>
      </w:r>
      <w:r w:rsidRPr="00722885">
        <w:rPr>
          <w:rFonts w:ascii="Times New Roman" w:hAnsi="Times New Roman"/>
          <w:color w:val="0070C0"/>
          <w:sz w:val="16"/>
          <w:szCs w:val="16"/>
        </w:rPr>
        <w:tab/>
        <w:t>Блом и Фосс, Гамбург......................10</w:t>
      </w:r>
    </w:p>
    <w:p w14:paraId="745A1005"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«Юнкерс-86» (Р-1 и P-2)</w:t>
      </w:r>
      <w:r w:rsidRPr="00722885">
        <w:rPr>
          <w:rFonts w:ascii="Times New Roman" w:hAnsi="Times New Roman"/>
          <w:color w:val="0070C0"/>
          <w:sz w:val="16"/>
          <w:szCs w:val="16"/>
        </w:rPr>
        <w:tab/>
        <w:t>Юнкере, Дессау............................. 5</w:t>
      </w:r>
    </w:p>
    <w:p w14:paraId="3E2598DC"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армейских разведывательных . .</w:t>
      </w:r>
      <w:r w:rsidRPr="00722885">
        <w:rPr>
          <w:rFonts w:ascii="Times New Roman" w:hAnsi="Times New Roman"/>
          <w:color w:val="0070C0"/>
          <w:sz w:val="16"/>
          <w:szCs w:val="16"/>
        </w:rPr>
        <w:tab/>
        <w:t>70</w:t>
      </w:r>
    </w:p>
    <w:p w14:paraId="4366124E"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Береговые</w:t>
      </w:r>
    </w:p>
    <w:p w14:paraId="3DD900C5"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val="en-US"/>
        </w:rPr>
        <w:t>AR</w:t>
      </w:r>
      <w:r w:rsidRPr="00722885">
        <w:rPr>
          <w:rFonts w:ascii="Times New Roman" w:hAnsi="Times New Roman"/>
          <w:color w:val="0070C0"/>
          <w:sz w:val="16"/>
          <w:szCs w:val="16"/>
        </w:rPr>
        <w:t>-196</w:t>
      </w:r>
      <w:r w:rsidRPr="00722885">
        <w:rPr>
          <w:rFonts w:ascii="Times New Roman" w:hAnsi="Times New Roman"/>
          <w:color w:val="0070C0"/>
          <w:sz w:val="16"/>
          <w:szCs w:val="16"/>
        </w:rPr>
        <w:tab/>
        <w:t>Арадо, Варнемюнде ....................... 15</w:t>
      </w:r>
    </w:p>
    <w:p w14:paraId="48FF5584"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val="en-US"/>
        </w:rPr>
        <w:t>BV</w:t>
      </w:r>
      <w:r w:rsidRPr="00722885">
        <w:rPr>
          <w:rFonts w:ascii="Times New Roman" w:hAnsi="Times New Roman"/>
          <w:color w:val="0070C0"/>
          <w:sz w:val="16"/>
          <w:szCs w:val="16"/>
        </w:rPr>
        <w:t>-138</w:t>
      </w:r>
      <w:r w:rsidRPr="00722885">
        <w:rPr>
          <w:rFonts w:ascii="Times New Roman" w:hAnsi="Times New Roman"/>
          <w:color w:val="0070C0"/>
          <w:sz w:val="16"/>
          <w:szCs w:val="16"/>
        </w:rPr>
        <w:tab/>
        <w:t>Блом и Фосс, Гамбург.....................20</w:t>
      </w:r>
    </w:p>
    <w:p w14:paraId="06807B87"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val="en-US"/>
        </w:rPr>
        <w:t>DO</w:t>
      </w:r>
      <w:r w:rsidRPr="00722885">
        <w:rPr>
          <w:rFonts w:ascii="Times New Roman" w:hAnsi="Times New Roman"/>
          <w:color w:val="0070C0"/>
          <w:sz w:val="16"/>
          <w:szCs w:val="16"/>
        </w:rPr>
        <w:t>-24</w:t>
      </w:r>
      <w:r w:rsidRPr="00722885">
        <w:rPr>
          <w:rFonts w:ascii="Times New Roman" w:hAnsi="Times New Roman"/>
          <w:color w:val="0070C0"/>
          <w:sz w:val="16"/>
          <w:szCs w:val="16"/>
        </w:rPr>
        <w:tab/>
        <w:t>Дорнье, Манцелль.......................... 5</w:t>
      </w:r>
    </w:p>
    <w:p w14:paraId="0A0FA3F7"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val="en-US"/>
        </w:rPr>
        <w:t>DO</w:t>
      </w:r>
      <w:r w:rsidRPr="00722885">
        <w:rPr>
          <w:rFonts w:ascii="Times New Roman" w:hAnsi="Times New Roman"/>
          <w:color w:val="0070C0"/>
          <w:sz w:val="16"/>
          <w:szCs w:val="16"/>
        </w:rPr>
        <w:t>-24</w:t>
      </w:r>
      <w:r w:rsidRPr="00722885">
        <w:rPr>
          <w:rFonts w:ascii="Times New Roman" w:hAnsi="Times New Roman"/>
          <w:color w:val="0070C0"/>
          <w:sz w:val="16"/>
          <w:szCs w:val="16"/>
        </w:rPr>
        <w:tab/>
        <w:t>Авиоланда, Папендрахт .................... 5</w:t>
      </w:r>
    </w:p>
    <w:p w14:paraId="1511FDDF"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DO-24............................ 10</w:t>
      </w:r>
    </w:p>
    <w:p w14:paraId="6E44FDE5"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береговых.........................45</w:t>
      </w:r>
    </w:p>
    <w:p w14:paraId="67CD28A2"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Разные типы и неопознанное производство 55</w:t>
      </w:r>
    </w:p>
    <w:p w14:paraId="449CC52A" w14:textId="77777777" w:rsidR="00F35F0F" w:rsidRPr="00722885" w:rsidRDefault="00F35F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боевых самолетов</w:t>
      </w:r>
      <w:r w:rsidRPr="00722885">
        <w:rPr>
          <w:rFonts w:ascii="Times New Roman" w:hAnsi="Times New Roman"/>
          <w:color w:val="0070C0"/>
          <w:sz w:val="16"/>
          <w:szCs w:val="16"/>
        </w:rPr>
        <w:tab/>
        <w:t>1250 (21103).</w:t>
      </w:r>
    </w:p>
    <w:p w14:paraId="4D44AED4" w14:textId="77777777" w:rsidR="00F35F0F" w:rsidRPr="00722885" w:rsidRDefault="00F35F0F" w:rsidP="00722885">
      <w:pPr>
        <w:spacing w:after="0" w:line="240" w:lineRule="auto"/>
        <w:jc w:val="both"/>
        <w:rPr>
          <w:rFonts w:ascii="Times New Roman" w:hAnsi="Times New Roman"/>
          <w:color w:val="0070C0"/>
          <w:sz w:val="16"/>
          <w:szCs w:val="16"/>
        </w:rPr>
      </w:pPr>
    </w:p>
    <w:p w14:paraId="507F55C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009C00E" w14:textId="77777777" w:rsidR="00090C9B" w:rsidRPr="00722885" w:rsidRDefault="00090C9B" w:rsidP="00722885">
      <w:pPr>
        <w:pStyle w:val="Iauiue"/>
        <w:jc w:val="both"/>
        <w:rPr>
          <w:iCs/>
          <w:color w:val="000000" w:themeColor="text1"/>
          <w:sz w:val="16"/>
          <w:szCs w:val="16"/>
        </w:rPr>
      </w:pPr>
    </w:p>
    <w:p w14:paraId="5119A4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года на АНИОПе производились испытания 320-мм зажигательных мин первой установочной партии, переоснащеных заводом №522. Было представлено на испытания четыре реактивные мины, имеющие следующий состав горючей смеси: 10% бензина, 15% бертолетовой соли, 15% нитроклетчатки (на минах №№26 и 27 она была крупноволокнистая, на минах №№166 и 65 - порошкообразная), 60% дизельное топливо. На минах были установлены взрыватели МКТМЗ и пороховые шашки двух типоразмеров: на первых двух минах были шашки весом около 7,0 кг, на двух других - по 6,5 кг. Пуски производились с позиции 7,4 км с деревянной рамы с углом возвышения 42 градуса. Мины №№26 и 27 имели неправильный полет, они улетели на расстояние 2090 м, после подрыва образовалось по одному очагу, который горел около 30 минут. У мины №166 при пуске сорвало сопло, она пролетела 70 метров. Последняя мина №65 имела правильный полет, после разрыва на дальности 1800 метров образовался один очаг (6403, 42).</w:t>
      </w:r>
    </w:p>
    <w:p w14:paraId="5FDB57D3" w14:textId="77777777" w:rsidR="00090C9B" w:rsidRPr="00722885" w:rsidRDefault="00090C9B" w:rsidP="00722885">
      <w:pPr>
        <w:pStyle w:val="Iauiue"/>
        <w:jc w:val="both"/>
        <w:rPr>
          <w:color w:val="000000" w:themeColor="text1"/>
          <w:sz w:val="16"/>
          <w:szCs w:val="16"/>
        </w:rPr>
      </w:pPr>
    </w:p>
    <w:p w14:paraId="7CC512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года машина ЛАП-7 под мины МТБ окончательно была подготовлена к стрельбе. Переделанный в установку ЛАП-7 автомобиль ГАЗ-АА был оборудован следующим образом: над задней осью в шасси был заделан шворневой брус и на дне кузова была укреплена поворотная платформа артиллерийской части боевой машины. На поворотной платформе установки было размещено три деревянные рамы МТВ-2Д, на каждой из которых укладывалось для ведения огня по два ящика с минами ГМ-280. Горизонтальное и вертикальное наведение рам было раздельным. Каждой раме независимо можно было придавать отличные углы возвышения от 10 до 45 градусов. Пуск реактивных мин производился электрозапалом от подрывной машинки ПМ-2. Грубая наводка установки на цель производилась маневрированием машины, точная прицелом. Боевой расчет установки ЛАП-7 состоял из четырех человек.</w:t>
      </w:r>
    </w:p>
    <w:p w14:paraId="2F5B9C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установке ЛАП-7 для повышения эффективности стрельбы было размещено прицельное приспособление от 50-мм ротного миномета. Заданные углы возвышения придавались по квадранту в соответствии с данными таблиц стрельбы. С целью защиты заднего стекла кабины был поднят передний борт кузова на 400 мм и поставлено визирное устройство для трубки наводки машиной по заданному направлению.</w:t>
      </w:r>
    </w:p>
    <w:p w14:paraId="689042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испытания стрельбой установки ЛАП-7 были выделены 280-мм фугасные мины, изготовленные на заводе имени Ленина. Мины имели взрыватели ГВМЗ и пороховые шашки весом 6,8-7,1 кг, изготовленные Охтинским химкомбинатом.</w:t>
      </w:r>
    </w:p>
    <w:p w14:paraId="015BC9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Перед стрельбой машина совершила пробег в 11 км. Рамам установки были заданы разные углы возвышения: 13 (в пути переустановлен на 21 градус), 23 и 37 градусов. Стрельба производилась с позиции 9,2 км полигона при следующих углах возвышения: 42 градуса - одиночный выстрел, 42 градуса - залп из двух мин, при 8. 13 и 13 градусах одиночные выстрелы (6403, 42).</w:t>
      </w:r>
    </w:p>
    <w:p w14:paraId="39504871" w14:textId="77777777" w:rsidR="00090C9B" w:rsidRPr="00722885" w:rsidRDefault="00090C9B" w:rsidP="00722885">
      <w:pPr>
        <w:pStyle w:val="Iauiue"/>
        <w:jc w:val="both"/>
        <w:rPr>
          <w:color w:val="000000" w:themeColor="text1"/>
          <w:sz w:val="16"/>
          <w:szCs w:val="16"/>
        </w:rPr>
      </w:pPr>
    </w:p>
    <w:p w14:paraId="57F7FA8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23 сентября 1942 года на АНИОПе были выполнены следующие испытания 280-мм реактивных мин, изготовленных на заводе № 522 и снаряженных синалом. Для испытаний было выделено две мины, пуски проводились с позиции 7,4 км полигона, с деревянной рамы с углом возвышения 20 градусов. Первая мина была снабжена </w:t>
      </w:r>
      <w:r w:rsidRPr="00722885">
        <w:rPr>
          <w:color w:val="000000" w:themeColor="text1"/>
          <w:sz w:val="16"/>
          <w:szCs w:val="16"/>
        </w:rPr>
        <w:lastRenderedPageBreak/>
        <w:t>взрывателем МКТМЗ, вторая - ГВМЗ с установкой "З". Мины имели вес около 66 кг, они были снаряжены по технологическому процессу завода №522 с заменой амматола 80/20 "синалом", который был произведен ЛГИ. Первая мина совершила полет по правильной траектории, сработал взрыватель, но разрыва ВВ не произошло. Испытания второй мины произошли успешно, она совершила правильный полет и после срабатывания взрывателя произошел полный поверхностный разрыв. Прорабатывался снаряд ГМ-280 (М-28) с мягкой каморой (6403, 42).</w:t>
      </w:r>
    </w:p>
    <w:p w14:paraId="5F540748" w14:textId="77777777" w:rsidR="00090C9B" w:rsidRPr="00722885" w:rsidRDefault="00090C9B" w:rsidP="00722885">
      <w:pPr>
        <w:pStyle w:val="Iauiue"/>
        <w:jc w:val="both"/>
        <w:rPr>
          <w:color w:val="000000" w:themeColor="text1"/>
          <w:sz w:val="16"/>
          <w:szCs w:val="16"/>
        </w:rPr>
      </w:pPr>
    </w:p>
    <w:p w14:paraId="35A82C00"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период с 25 сентября по 9 октября 1942 годана Гороховецком АНИОПпроизводилсяобстрел образцов экранов для Т-34. На корпус и башню Т-34 были установлены различные экраны, как вплотную к листам, так и на различном расстоянии от них. Выяснилось, что экраны толщиной 10 и 20 мм без воздушного зазора легко пробиваются кумулятивными снарядами как советской 76-мм полковой пушки, так и немецкой 75-мм пушки KwK L/24, установленной в Pz.Kpfw.IVAusf.E.</w:t>
      </w:r>
    </w:p>
    <w:p w14:paraId="0FACC37C"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Наилучшие результаты показали экраны толщиной 5 и 20 мм, установленные на расстоянии 425–480 мм от основного листа. Такую комбинацию кумулятивные снаряды не пробили. Также выяснилось, что башня танка, даже без экранов, более устойчива к кумулятивным снарядам, чем борт корпуса. Была выявлена и низкая живучесть экранов. Экран толщиной 16 мм, как показали испытания, разрушался при попадании двух подкалиберных либо трёх кумулятивных снарядов (18883).</w:t>
      </w:r>
    </w:p>
    <w:p w14:paraId="71D42A76"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p>
    <w:p w14:paraId="736DD6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года на ГАЗ в связи с недостаточной эффективностью 7,62-мм пулемета Дегтярева, проявившейся с первых же эпизодов боевого применения, БА-64была предпринята попытка заменить ДТ на ДШК на БА-64, без каких-либо значительных переделок узлов бронеавтомобиля. "Модернизации" подвергся узкоколейный БА-64. На следующий день машина была представлена Н.А.Астрову, который оказался доволен "новой" машиной и высказал ряд весьма ценных замечаний. Проект был одобрен и новая модификация получила обозначение БА-64Д ("Д" означает ДШК) (3862).</w:t>
      </w:r>
    </w:p>
    <w:p w14:paraId="57C99F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Тем не менее, простая установка такого мощного вооружения (масса секундного залпа ДШК составляла 0,52 кг при скорострельности 125 выстр/мин) требовала определенных переделок как бронеавтомобиля, так и самого пулемета. Большая масса ДШК - 34 кг - требовала усиления опоры башни, а также введением шестереночного привода наведения самого пулемета. Кроме того, для стрельбы по воздушным целям был введен коллиматорный прицел К-8Т. Для наземной стрельбы сохранялся телескопический прицел ТМФП (3862).</w:t>
      </w:r>
    </w:p>
    <w:p w14:paraId="6CEA46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Переделка приближала трудоемкость ее изготовления к трудоемкости изготовления танковой башни. Механизм поворота башни уже содержал в себе узлы от аналогичного механизма танка Т-60. Отличие состояло в том, что механизм поворота башни был сделан отключаемым для быстрого горизонтального наведения. Помимо прочих изменений, толщину бронелистов башни довели до 12 мм, что было необходимо для надежного крепления пулемета (3862).</w:t>
      </w:r>
    </w:p>
    <w:p w14:paraId="72AEA8D6" w14:textId="77777777" w:rsidR="00090C9B" w:rsidRPr="00722885" w:rsidRDefault="00090C9B" w:rsidP="00722885">
      <w:pPr>
        <w:pStyle w:val="Iauiue"/>
        <w:jc w:val="both"/>
        <w:rPr>
          <w:color w:val="000000" w:themeColor="text1"/>
          <w:sz w:val="16"/>
          <w:szCs w:val="16"/>
        </w:rPr>
      </w:pPr>
    </w:p>
    <w:p w14:paraId="31901E7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сентября 1942 года вышел приказ НКБ № 729с</w:t>
      </w:r>
    </w:p>
    <w:p w14:paraId="00ECA2E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распоряжением СНК от 17 сентября 1942 года № 15542-рс.</w:t>
      </w:r>
    </w:p>
    <w:p w14:paraId="1132473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Присвоить Люберецкому силикатному заводу №527 НКБ (5942, 27).</w:t>
      </w:r>
    </w:p>
    <w:p w14:paraId="50E20362" w14:textId="77777777" w:rsidR="00090C9B" w:rsidRPr="00722885" w:rsidRDefault="00090C9B" w:rsidP="00722885">
      <w:pPr>
        <w:pStyle w:val="Iauiue"/>
        <w:tabs>
          <w:tab w:val="left" w:pos="11199"/>
        </w:tabs>
        <w:jc w:val="both"/>
        <w:rPr>
          <w:color w:val="000000" w:themeColor="text1"/>
          <w:sz w:val="16"/>
          <w:szCs w:val="16"/>
        </w:rPr>
      </w:pPr>
    </w:p>
    <w:p w14:paraId="09A8B1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сентября 1942 вышло Постановление ГКО № 2332 О ежемесячном подведении итогов социалистического соревнования по машинно-тракторным мастерским и мотороремонтным заводам Наркомзема и установлении ежемесячных премий. РГАНИР, Фонд ГКО, д. 57, лл. 167 (11012).</w:t>
      </w:r>
    </w:p>
    <w:p w14:paraId="279F73E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B2E8B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сентября 1942 вышло Постановление ГКО № 2333 О создании в г. Свердловске завода по выпуску аккумуляторов для танковых заводов Урала и увеличении выпуска аккумуляторов на заводе № 389 Наркомэлектропрома в г. Черемхове. РГАНИР, Фонд ГКО, д. 57, лл. 168-172, 173-175 (11012).</w:t>
      </w:r>
    </w:p>
    <w:p w14:paraId="33A425F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B51C9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сентября 1942 вышло Постановление ГКО № 2334 О мерах помощи заводу № 174 Наркомтанкопрома. для обеспечения выпуска танков Т-34. РГАНИР, Фонд ГКО, д. 57, лл. 176-179, 180-186 (11012).</w:t>
      </w:r>
    </w:p>
    <w:p w14:paraId="4BAA349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BB1643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сентября 1942 года вышел приказ № 0263с/669с Наркомата судостроительной промышленности и НКТП</w:t>
      </w:r>
    </w:p>
    <w:p w14:paraId="3F5DA0F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На основании распоряжения СНК № 18038-рс от 19 сентября 1942 года:</w:t>
      </w:r>
    </w:p>
    <w:p w14:paraId="05F5E70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Кулебакское Торфоуправление в Горьковской области и Сафроновское Торфоуправление в Ивановской области треста “Судолес” НКСП передать заводу № 178 НКТП (6129, 72).</w:t>
      </w:r>
    </w:p>
    <w:p w14:paraId="45AD88BB" w14:textId="77777777" w:rsidR="00090C9B" w:rsidRPr="00722885" w:rsidRDefault="00090C9B" w:rsidP="00722885">
      <w:pPr>
        <w:pStyle w:val="Iauiue"/>
        <w:tabs>
          <w:tab w:val="left" w:pos="11199"/>
        </w:tabs>
        <w:jc w:val="both"/>
        <w:rPr>
          <w:color w:val="000000" w:themeColor="text1"/>
          <w:sz w:val="16"/>
          <w:szCs w:val="16"/>
        </w:rPr>
      </w:pPr>
    </w:p>
    <w:p w14:paraId="2D6351D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6467745" w14:textId="77777777" w:rsidR="00090C9B" w:rsidRPr="00722885" w:rsidRDefault="00090C9B" w:rsidP="00722885">
      <w:pPr>
        <w:pStyle w:val="Iauiue"/>
        <w:jc w:val="both"/>
        <w:rPr>
          <w:iCs/>
          <w:color w:val="000000" w:themeColor="text1"/>
          <w:sz w:val="16"/>
          <w:szCs w:val="16"/>
        </w:rPr>
      </w:pPr>
    </w:p>
    <w:p w14:paraId="685A82A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23 сентября </w:t>
      </w:r>
      <w:r w:rsidRPr="00722885">
        <w:rPr>
          <w:rFonts w:ascii="Times New Roman" w:hAnsi="Times New Roman"/>
          <w:color w:val="000000" w:themeColor="text1"/>
          <w:sz w:val="16"/>
          <w:szCs w:val="16"/>
        </w:rPr>
        <w:t>в 1942 году утреннее сообщение Совинформбюро:</w:t>
      </w:r>
    </w:p>
    <w:p w14:paraId="73544DA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23 сентября наши войска вели бои с противником в районе Сталинграда и в районе Моздока. На других фронтах существенных изменений не произошло.</w:t>
      </w:r>
    </w:p>
    <w:p w14:paraId="04334CC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напряжённые бои. Отдельные улицы и дома по нескольку раз переходят из рук в руки. На одном из участков пехоте противника, действующей при поддержке больше сотни танков, удалось потеснить наши части и захватить несколько улиц. На остальных участках все атаки противника отбиты. В северной части города наши бойцы уничтожили 6 немецких танков, 14 автомашин исвыше 400 гитлеровцев. Танкисты Н-ской части в ожесточённом бою сожгли и подбили 11 немецких танков, уничтожили 7 противотанковых орудий, 12 автомашин и до двух рот немецкой пехоты.</w:t>
      </w:r>
    </w:p>
    <w:p w14:paraId="3F15D4D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одном из участков немцы предприняли ряд ожесточённых контратак. Наши войска отбили все атаки противника и истребили более 1.000 немецких солдат и офицеров. На другом участке наши части потеснили противника и оседлали одну важную дорогу. Н-ская гвардейская часть уничтожила до батальона гитлеровцев, 4 миномётные батареи, тяжёлый танк и 8 противотанковых орудий.</w:t>
      </w:r>
    </w:p>
    <w:p w14:paraId="43935F2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продолжались бои с танками и автоматчиками противника. 40 немецких танков с десантом автоматчиков атаковали позиции, которые обороняет Н-ская стрелковая часть. Наши бойцы отбили атаку гитлеровцев, уничтожив при этом 8 немецких танков и более 100 автоматчиков противника.</w:t>
      </w:r>
    </w:p>
    <w:p w14:paraId="07B6183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огнём артиллерии за последние три дня разрушено 19 вражеских ДЗОТов, 10 блиндажей и уничтожено 2 орудия противника. В результате активных действий наших снайперов и разведывательных групп гитлеровцы потеряли убитыми до 200 солдат и офицеров. На подступах к Ленинграду наши лётчики и зенитчики сбили 3 немецких самолёта «Мессершмитт-109». Четвёртый самолёт противника сбил огнём из винтовки младший сержант тов. Опиенко.</w:t>
      </w:r>
    </w:p>
    <w:p w14:paraId="6FCC910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Смоленские партизаны в районе станции Ш. обстреляли ружейно-пулемётным огнём немецкий бомбардировщик. Самолёт загорелся и врезался в землю. Четыре немецких лётчика сгорели.</w:t>
      </w:r>
    </w:p>
    <w:p w14:paraId="15E5CF6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в плен на одном из участков Западного фронта обер-ефрейтор 2 батальона 430 полка 129 немецкой пехотной дивизии Фриц Лангенен рассказал: «К началу сентября наш батальон был обескровлен. В ротах оставалось от 15 до 40 человек. 9 сентября батальон потерпел полный разгром. В этот день наша рота была уничтожена. С утра русские начали артиллерийский обстрел наших позиций. Командир роты обер-лейтенант Этман приказал продержаться два часа, пока подойдёт подкрепление. Однако солдаты не выдержали и побежали. Почти все они погибли под градом пуль и снарядов. Я с четырьмя солдатами решил сохранить себе жизнь. Мы остались в окопе и, когда подошли красноармейцы, сложили оружие и сдались в плен».</w:t>
      </w:r>
    </w:p>
    <w:p w14:paraId="2C5386D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истребляют мирное население оккупированных советских районов. В первых числах сентября немецкий комендант города Первомайска, Одесской области, приказал многим жителям явиться в комендатуру, захватив с собой необходимые вещи и трёхдневный запас продовольствия. В назначенное время у комендатуры собралось около 200 человек. Многие женщины пришли с детьми. Гестаповцы вывели собравшихся за город к противотанковым рвам и расстреляли их.</w:t>
      </w:r>
    </w:p>
    <w:p w14:paraId="1B69358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своего господства в Чехословакии немецкие оккупанты замучили и расстреляли тысячи представителей чешской интеллигенции. Недавно в Праге в застенках гестапо было расстреляно 86 учителей. В концентрационном лагере близ «Йиглавы больше года томятся около 500 чешских учителей, журналистов и профессоров. От голода и болезней только за 6 месяцев в этом лагере умерло 150 человек. Немцы всячески издеваются над заключёнными чехами и даже запретили им говорить на родном языке.» (14778).</w:t>
      </w:r>
    </w:p>
    <w:p w14:paraId="2E368DAD"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7DE5EA54"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23 сентября </w:t>
      </w:r>
      <w:r w:rsidRPr="00722885">
        <w:rPr>
          <w:rFonts w:ascii="Times New Roman" w:hAnsi="Times New Roman"/>
          <w:color w:val="000000" w:themeColor="text1"/>
          <w:sz w:val="16"/>
          <w:szCs w:val="16"/>
        </w:rPr>
        <w:t>в 1942 году вечернее сообщение Совинформбюро:</w:t>
      </w:r>
    </w:p>
    <w:p w14:paraId="785B997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23 сентября наши войска вели ожесточённые бои с противником в районе Сталинграда и в районе Моздока. На других фронтах существенных изменений не произошло.</w:t>
      </w:r>
    </w:p>
    <w:p w14:paraId="6D1B5B4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22 сентября частями нашей авиации на различных участках фронта уничтожено или повреждено 5 немецких танков, 25 автомашин с войсками и грузами, 30 повозок с боеприпасами, подавлен огонь 8 батарей полевой и зенитной артиллерии, взорван склад боеприпасов, рассеяно и частью уничтожено до двух рот пехоты противника.</w:t>
      </w:r>
    </w:p>
    <w:p w14:paraId="4D8A503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уличные бои. Противник крупными силами пехоты и танков при поддержке авиации непрерывно атаковал позиции советских войск. Н-ское гвардейское соединение отбило 12 атак противника и уничтожило 42 немецких танка. Гитлеровцы понесли большие потери в живой силе. На другом участке боевыми действиями нашей пехоты и огнём артиллерии за три дня истреблено до 2.000 немецких солдат и офицеров, подбито и сожжено 44 танка, уничтожено 18 орудий, 30 автомашин, 6 миномётных батарей и 39 пулемётных точек.</w:t>
      </w:r>
    </w:p>
    <w:p w14:paraId="4E33630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Корабли Волжской военной флотилии за последние дни нанесли немецко-фашистским войскам под Сталинградом ряд ударов. Артиллерийским огнём наших кораблей истреблено, по меньшей мере, два батальона немецких и румынских солдат, подавлен огонь 8 артиллерийских и 3 миномётных батарей противника.</w:t>
      </w:r>
    </w:p>
    <w:p w14:paraId="246C089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продолжали вести активные боевые действия и несколько продвинулись вперёд. В ходе боёв наши части истребили более 2.000 вражеских солдат и офицеров, уничтожили 10 немецких танков, 4 артиллерийские и 7 миномётных батарей, 2 батареи противотанковых орудий и 66 пулемётов. Кроме того, нашими бойцами захвачены у противника 11 орудий, 13 пулемётов, 4 миномёта и радиостанция. На другом участке танкисты Н-ской части подбили 13 немецких танков, уничтожили 16 автомашин и истребили до 300 гитлеровцев. Рота командира т. Тарлецкого в бою против численно превосходящихсил противника захватила несколько немецких ДЗОТов и истребила 90 гитлеровцев.</w:t>
      </w:r>
    </w:p>
    <w:p w14:paraId="5F91A5E0"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части Н-ского соединения вели бои с перешедшими в наступление танками и пехотой противника. Встретив упорное сопротивление советских бойцов, немцы были вынуждены отойти, потеряв 5 танков, 24 автомашины и до 200 солдат и офицеров.</w:t>
      </w:r>
    </w:p>
    <w:p w14:paraId="71955E3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до четырёх полков немецкой пехоты при поддержке 75 танков перешли в наступление. Противник был встречен огнём наших пехотных частей, артиллерии, миномётов и ударами советской авиации. После четырёхчасового сражения атака немецко-фашистских войск была отбита. На поле боя остались сотни убитых гитлеровцев. Через некоторое время немцы ещё два раза безуспешно пытались атаковать наши позиции. Все атаки противника отбиты. В этих боях подбито и сожжено 14 танков и уничтожено свыше 1.500 солдат и офицеров противника. Огнём зенитной артиллерии сбито 4 немецких самолёта.</w:t>
      </w:r>
    </w:p>
    <w:p w14:paraId="0A4D182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Немецкому ефрейтору Гюнтеру Глетцеру пишет некий Генрих Якобшнейер: «Здесь мало радости и много горя. Повсюду чувствуется война, видны следы разрушений. Английские лётчики всё чаще посещают нас. Бомбоубежище стало нашей главной квартирой. Вчера среди белого дня «томми» сбросили бомбы на Дуйсбург... Сюда прибыли целые эшелоны с русскими женщинами. Они работают в промышленности. У них измождённые лица. Некоторые так истощены, что не в состоянии передвигать ноги и умирают с голода... У нас ползут тревожные слухи. Каждый день может случиться что-то неожиданное и непоправимое. От одного этого можно прийти в отчаяние».</w:t>
      </w:r>
    </w:p>
    <w:p w14:paraId="4AA4BA2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селе Рождественка, Запорожской области, немецкий офицер нашёл у престарелой колхозницы Елены Палинюк несколько советских газет на украинском языке. По его приказу гитлеровцы учинили над колхозницей кровавую расправу. Бандиты вырезали у Палинюк груди, выжгли на спине пятиконечную звезду и после зверских издевательств повесили колхозницу.</w:t>
      </w:r>
    </w:p>
    <w:p w14:paraId="2C875605" w14:textId="77777777" w:rsidR="00F05BFB" w:rsidRPr="00722885" w:rsidRDefault="00F05BFB" w:rsidP="00722885">
      <w:pPr>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 xml:space="preserve">Гитлеровский подручный в Норвегии Квислинг получил из Берлина приказ мобилизовать и отправить на советско-германский фронт всех норвежских фашистов в возрасте от 18 до 45 лет. Это распоряжение вызвало смятение в рядах квислинговцев. Многие из них заявили о своём выходе из партии. В Осло большинство штурмовиков уклонилось от регистрации, а многие скрылись. В области Хедмарк распалось восемь штурмовых отрядов. 60 штурмовиков были задержаны на шведской границе при попытке к бегству. Теперь Квислинг создал отряды для розыска и поимки своих штурмовиков.» </w:t>
      </w:r>
      <w:r w:rsidRPr="00722885">
        <w:rPr>
          <w:rFonts w:ascii="Times New Roman" w:hAnsi="Times New Roman"/>
          <w:color w:val="000000" w:themeColor="text1"/>
          <w:sz w:val="16"/>
          <w:szCs w:val="16"/>
          <w:lang w:val="en-US"/>
        </w:rPr>
        <w:t>(14778).</w:t>
      </w:r>
    </w:p>
    <w:p w14:paraId="5EFBD974" w14:textId="77777777" w:rsidR="00F05BFB" w:rsidRPr="00722885" w:rsidRDefault="00F05BFB" w:rsidP="00722885">
      <w:pPr>
        <w:spacing w:after="0" w:line="240" w:lineRule="auto"/>
        <w:jc w:val="both"/>
        <w:rPr>
          <w:rFonts w:ascii="Times New Roman" w:hAnsi="Times New Roman"/>
          <w:color w:val="000000" w:themeColor="text1"/>
          <w:sz w:val="16"/>
          <w:szCs w:val="16"/>
          <w:lang w:val="en-US"/>
        </w:rPr>
      </w:pPr>
    </w:p>
    <w:p w14:paraId="7ED21699"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23, 1942: At Stalingrad, Soviet counterattacks to dislodge German advance units near the Volga landing stage are unsuccessful. In North Africa, Field Marshal Rommel takes a medical leave and hands over command of the Afrikakorps to General von Thoma. Wendell Willkie, 1940 Republican presidential candidate, confers with Stalin and calls for a second front at the earliest possible moment (3819).</w:t>
      </w:r>
    </w:p>
    <w:p w14:paraId="5CB9D528" w14:textId="77777777" w:rsidR="00090C9B" w:rsidRPr="00722885" w:rsidRDefault="00090C9B" w:rsidP="00722885">
      <w:pPr>
        <w:pStyle w:val="Iauiue"/>
        <w:jc w:val="both"/>
        <w:rPr>
          <w:color w:val="000000" w:themeColor="text1"/>
          <w:sz w:val="16"/>
          <w:szCs w:val="16"/>
          <w:lang w:val="en-US"/>
        </w:rPr>
      </w:pPr>
    </w:p>
    <w:p w14:paraId="603336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в СА фельдмаршал Роммель получил отпуск для лечения и передал командование г фон Тома. Вендель Вилки, кандидат от республиканцев призвал к немедленному открытию второго фронта (3819).</w:t>
      </w:r>
    </w:p>
    <w:p w14:paraId="27CB0795" w14:textId="77777777" w:rsidR="00090C9B" w:rsidRPr="00722885" w:rsidRDefault="00090C9B" w:rsidP="00722885">
      <w:pPr>
        <w:pStyle w:val="Iauiue"/>
        <w:jc w:val="both"/>
        <w:rPr>
          <w:color w:val="000000" w:themeColor="text1"/>
          <w:sz w:val="16"/>
          <w:szCs w:val="16"/>
        </w:rPr>
      </w:pPr>
    </w:p>
    <w:p w14:paraId="32EEAB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немцы вышли в центр Сталинграда (2245,8).</w:t>
      </w:r>
    </w:p>
    <w:p w14:paraId="0929EB91" w14:textId="77777777" w:rsidR="00090C9B" w:rsidRPr="00722885" w:rsidRDefault="00090C9B" w:rsidP="00722885">
      <w:pPr>
        <w:pStyle w:val="Iauiue"/>
        <w:jc w:val="both"/>
        <w:rPr>
          <w:color w:val="000000" w:themeColor="text1"/>
          <w:sz w:val="16"/>
          <w:szCs w:val="16"/>
        </w:rPr>
      </w:pPr>
    </w:p>
    <w:p w14:paraId="283EC3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фронтовая авиация и АДД бомбили центральную часть Сталинграда (340,96).</w:t>
      </w:r>
    </w:p>
    <w:p w14:paraId="0AE6F323" w14:textId="77777777" w:rsidR="00090C9B" w:rsidRPr="00722885" w:rsidRDefault="00090C9B" w:rsidP="00722885">
      <w:pPr>
        <w:pStyle w:val="Iauiue"/>
        <w:jc w:val="both"/>
        <w:rPr>
          <w:color w:val="000000" w:themeColor="text1"/>
          <w:sz w:val="16"/>
          <w:szCs w:val="16"/>
        </w:rPr>
      </w:pPr>
    </w:p>
    <w:p w14:paraId="590A4D4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23 сентября </w:t>
      </w:r>
      <w:r w:rsidRPr="00722885">
        <w:rPr>
          <w:rFonts w:ascii="Times New Roman" w:hAnsi="Times New Roman"/>
          <w:color w:val="000000" w:themeColor="text1"/>
          <w:sz w:val="16"/>
          <w:szCs w:val="16"/>
        </w:rPr>
        <w:t>в 1942 году под командованием генерала Чуйкова начался советский контрудар под Орловкой (14778).</w:t>
      </w:r>
    </w:p>
    <w:p w14:paraId="7B433BCF"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5D5A7C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г. пара Пе-3 майора Горечкина, прикрывая транспорты на участке Туапсе-Геленджик, в течение 20 минут вела воздушный бой с четверкой Bf 109. Сбив один истребитель противника, майор Горечкин получил ранение в ногу, но сумел довести подбитую машину до аэродрома Лазаревское. Вторая “пешка” также была подбита, и ее экипаж вынужден был покинуть самолет с парашютами (4476).</w:t>
      </w:r>
    </w:p>
    <w:p w14:paraId="735597F8" w14:textId="77777777" w:rsidR="00090C9B" w:rsidRPr="00722885" w:rsidRDefault="00090C9B" w:rsidP="00722885">
      <w:pPr>
        <w:pStyle w:val="Iauiue"/>
        <w:jc w:val="both"/>
        <w:rPr>
          <w:color w:val="000000" w:themeColor="text1"/>
          <w:sz w:val="16"/>
          <w:szCs w:val="16"/>
        </w:rPr>
      </w:pPr>
    </w:p>
    <w:p w14:paraId="35B40D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сентября 1942 вышло Постановление ГКО № 2335 О переводе с ДВФ и ЗАБ ВО 100 тыс. т авиабензина поближе к фронту. РГАНИР, Фонд ГКО, д. 57, лл. 187 (11012).</w:t>
      </w:r>
    </w:p>
    <w:p w14:paraId="5775582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BC4E7A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5BF6DC2F" w14:textId="77777777" w:rsidR="00090C9B" w:rsidRPr="00722885" w:rsidRDefault="00090C9B" w:rsidP="00722885">
      <w:pPr>
        <w:pStyle w:val="Iauiue"/>
        <w:jc w:val="both"/>
        <w:rPr>
          <w:iCs/>
          <w:color w:val="000000" w:themeColor="text1"/>
          <w:sz w:val="16"/>
          <w:szCs w:val="16"/>
        </w:rPr>
      </w:pPr>
    </w:p>
    <w:p w14:paraId="2869E8F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сентября 1942 года было получено:</w:t>
      </w:r>
    </w:p>
    <w:p w14:paraId="021B29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ЛИЧНОЕ И СЕКРЕТНОЕ ПОСЛАНИЕ ОТ ПРЕМЬЕР-МИНИСТРА г-на УИНСТОНА ЧЕРЧИЛЛЯ ПРЕМЬЕРУ СТАЛИНУ</w:t>
      </w:r>
    </w:p>
    <w:p w14:paraId="67071D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Мы произвели следующую оценку германского производства боевых самолетов, которая, по мнению Министерства Авиации, заслуживает доверия. Эта оценка, может быть, представляет для Вас интерес, и я хотел бы узнать, если Вы сочтете возможным об этом сообщить, насколько она совпадает с Вашей собственной оценкой производства противника.</w:t>
      </w:r>
    </w:p>
    <w:p w14:paraId="1703B1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Следующие данные представляют собой упомянутую оценку.</w:t>
      </w:r>
    </w:p>
    <w:p w14:paraId="03B428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ГЕРМАНСКОЕ ПРОИЗВОДСТВО САМОЛЕТОВ (боевых типов) на 1 сентября 1942 года</w:t>
      </w:r>
    </w:p>
    <w:p w14:paraId="317692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Среднее</w:t>
      </w:r>
    </w:p>
    <w:p w14:paraId="2CEE7D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Тип Сборочный завод производство</w:t>
      </w:r>
    </w:p>
    <w:p w14:paraId="544289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месяц</w:t>
      </w:r>
    </w:p>
    <w:tbl>
      <w:tblPr>
        <w:tblW w:w="0" w:type="auto"/>
        <w:jc w:val="center"/>
        <w:tblLayout w:type="fixed"/>
        <w:tblCellMar>
          <w:left w:w="30" w:type="dxa"/>
          <w:right w:w="30" w:type="dxa"/>
        </w:tblCellMar>
        <w:tblLook w:val="0000" w:firstRow="0" w:lastRow="0" w:firstColumn="0" w:lastColumn="0" w:noHBand="0" w:noVBand="0"/>
      </w:tblPr>
      <w:tblGrid>
        <w:gridCol w:w="3541"/>
        <w:gridCol w:w="5103"/>
        <w:gridCol w:w="781"/>
      </w:tblGrid>
      <w:tr w:rsidR="009B487A" w:rsidRPr="00722885" w14:paraId="088C5969"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179502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Тип</w:t>
            </w:r>
          </w:p>
        </w:tc>
        <w:tc>
          <w:tcPr>
            <w:tcW w:w="5103" w:type="dxa"/>
            <w:tcBorders>
              <w:top w:val="single" w:sz="6" w:space="0" w:color="000000"/>
              <w:left w:val="single" w:sz="6" w:space="0" w:color="000000"/>
              <w:bottom w:val="single" w:sz="6" w:space="0" w:color="000000"/>
              <w:right w:val="single" w:sz="6" w:space="0" w:color="000000"/>
            </w:tcBorders>
          </w:tcPr>
          <w:p w14:paraId="4A9FE7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Сборочный завод</w:t>
            </w:r>
          </w:p>
        </w:tc>
        <w:tc>
          <w:tcPr>
            <w:tcW w:w="781" w:type="dxa"/>
            <w:tcBorders>
              <w:top w:val="single" w:sz="6" w:space="0" w:color="000000"/>
              <w:left w:val="single" w:sz="6" w:space="0" w:color="000000"/>
              <w:bottom w:val="single" w:sz="6" w:space="0" w:color="000000"/>
              <w:right w:val="single" w:sz="6" w:space="0" w:color="000000"/>
            </w:tcBorders>
          </w:tcPr>
          <w:p w14:paraId="738D23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Среднее производство в месяц</w:t>
            </w:r>
          </w:p>
        </w:tc>
      </w:tr>
      <w:tr w:rsidR="009B487A" w:rsidRPr="00722885" w14:paraId="68BFCF16" w14:textId="77777777" w:rsidTr="00CC5360">
        <w:trPr>
          <w:trHeight w:val="240"/>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0B4ECA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Бомбардировщики дальнего действия</w:t>
            </w:r>
          </w:p>
        </w:tc>
      </w:tr>
      <w:tr w:rsidR="009B487A" w:rsidRPr="00722885" w14:paraId="50B3A8B8"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217867F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23395A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А.Т.О., Лейпциг</w:t>
            </w:r>
          </w:p>
        </w:tc>
        <w:tc>
          <w:tcPr>
            <w:tcW w:w="781" w:type="dxa"/>
            <w:tcBorders>
              <w:top w:val="single" w:sz="6" w:space="0" w:color="000000"/>
              <w:left w:val="single" w:sz="6" w:space="0" w:color="000000"/>
              <w:bottom w:val="single" w:sz="6" w:space="0" w:color="000000"/>
              <w:right w:val="single" w:sz="6" w:space="0" w:color="000000"/>
            </w:tcBorders>
          </w:tcPr>
          <w:p w14:paraId="6A621B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w:t>
            </w:r>
          </w:p>
        </w:tc>
      </w:tr>
      <w:tr w:rsidR="009B487A" w:rsidRPr="00722885" w14:paraId="7E17A458"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175C78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517969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Арадо, Бранденбург, Нойендорф</w:t>
            </w:r>
          </w:p>
        </w:tc>
        <w:tc>
          <w:tcPr>
            <w:tcW w:w="781" w:type="dxa"/>
            <w:tcBorders>
              <w:top w:val="single" w:sz="6" w:space="0" w:color="000000"/>
              <w:left w:val="single" w:sz="6" w:space="0" w:color="000000"/>
              <w:bottom w:val="single" w:sz="6" w:space="0" w:color="000000"/>
              <w:right w:val="single" w:sz="6" w:space="0" w:color="000000"/>
            </w:tcBorders>
          </w:tcPr>
          <w:p w14:paraId="39C964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w:t>
            </w:r>
          </w:p>
        </w:tc>
      </w:tr>
      <w:tr w:rsidR="009B487A" w:rsidRPr="00722885" w14:paraId="16221CFD"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6C08AD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23F684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Арадо, Ратехов </w:t>
            </w:r>
          </w:p>
        </w:tc>
        <w:tc>
          <w:tcPr>
            <w:tcW w:w="781" w:type="dxa"/>
            <w:tcBorders>
              <w:top w:val="single" w:sz="6" w:space="0" w:color="000000"/>
              <w:left w:val="single" w:sz="6" w:space="0" w:color="000000"/>
              <w:bottom w:val="single" w:sz="6" w:space="0" w:color="000000"/>
              <w:right w:val="single" w:sz="6" w:space="0" w:color="000000"/>
            </w:tcBorders>
          </w:tcPr>
          <w:p w14:paraId="435104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w:t>
            </w:r>
          </w:p>
        </w:tc>
      </w:tr>
      <w:tr w:rsidR="009B487A" w:rsidRPr="00722885" w14:paraId="442EDD60"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35BED3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74BC1B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Хейнкель, Ораниенбург </w:t>
            </w:r>
          </w:p>
        </w:tc>
        <w:tc>
          <w:tcPr>
            <w:tcW w:w="781" w:type="dxa"/>
            <w:tcBorders>
              <w:top w:val="single" w:sz="6" w:space="0" w:color="000000"/>
              <w:left w:val="single" w:sz="6" w:space="0" w:color="000000"/>
              <w:bottom w:val="single" w:sz="6" w:space="0" w:color="000000"/>
              <w:right w:val="single" w:sz="6" w:space="0" w:color="000000"/>
            </w:tcBorders>
          </w:tcPr>
          <w:p w14:paraId="6F7A5C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w:t>
            </w:r>
          </w:p>
        </w:tc>
      </w:tr>
      <w:tr w:rsidR="009B487A" w:rsidRPr="00722885" w14:paraId="6D3E90F3"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54EF7A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022EE3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Хеншель, Шонфельд </w:t>
            </w:r>
          </w:p>
        </w:tc>
        <w:tc>
          <w:tcPr>
            <w:tcW w:w="781" w:type="dxa"/>
            <w:tcBorders>
              <w:top w:val="single" w:sz="6" w:space="0" w:color="000000"/>
              <w:left w:val="single" w:sz="6" w:space="0" w:color="000000"/>
              <w:bottom w:val="single" w:sz="6" w:space="0" w:color="000000"/>
              <w:right w:val="single" w:sz="6" w:space="0" w:color="000000"/>
            </w:tcBorders>
          </w:tcPr>
          <w:p w14:paraId="5BC9F16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35</w:t>
            </w:r>
          </w:p>
        </w:tc>
      </w:tr>
      <w:tr w:rsidR="009B487A" w:rsidRPr="00722885" w14:paraId="336FC683"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144BA2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349D5C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Юнкере (Дессау и Бернберг) </w:t>
            </w:r>
          </w:p>
        </w:tc>
        <w:tc>
          <w:tcPr>
            <w:tcW w:w="781" w:type="dxa"/>
            <w:tcBorders>
              <w:top w:val="single" w:sz="6" w:space="0" w:color="000000"/>
              <w:left w:val="single" w:sz="6" w:space="0" w:color="000000"/>
              <w:bottom w:val="single" w:sz="6" w:space="0" w:color="000000"/>
              <w:right w:val="single" w:sz="6" w:space="0" w:color="000000"/>
            </w:tcBorders>
          </w:tcPr>
          <w:p w14:paraId="13E42B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75</w:t>
            </w:r>
          </w:p>
        </w:tc>
      </w:tr>
      <w:tr w:rsidR="009B487A" w:rsidRPr="00722885" w14:paraId="1E6B4056"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621F4D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65FD82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Зибель, Халле</w:t>
            </w:r>
          </w:p>
        </w:tc>
        <w:tc>
          <w:tcPr>
            <w:tcW w:w="781" w:type="dxa"/>
            <w:tcBorders>
              <w:top w:val="single" w:sz="6" w:space="0" w:color="000000"/>
              <w:left w:val="single" w:sz="6" w:space="0" w:color="000000"/>
              <w:bottom w:val="single" w:sz="6" w:space="0" w:color="000000"/>
              <w:right w:val="single" w:sz="6" w:space="0" w:color="000000"/>
            </w:tcBorders>
          </w:tcPr>
          <w:p w14:paraId="4974BC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w:t>
            </w:r>
          </w:p>
        </w:tc>
      </w:tr>
      <w:tr w:rsidR="009B487A" w:rsidRPr="00722885" w14:paraId="5193DEA6" w14:textId="77777777" w:rsidTr="00CC5360">
        <w:trPr>
          <w:trHeight w:val="240"/>
          <w:jc w:val="center"/>
        </w:trPr>
        <w:tc>
          <w:tcPr>
            <w:tcW w:w="3541" w:type="dxa"/>
            <w:tcBorders>
              <w:top w:val="single" w:sz="6" w:space="0" w:color="000000"/>
              <w:left w:val="single" w:sz="6" w:space="0" w:color="000000"/>
              <w:bottom w:val="single" w:sz="6" w:space="0" w:color="000000"/>
              <w:right w:val="single" w:sz="6" w:space="0" w:color="000000"/>
            </w:tcBorders>
          </w:tcPr>
          <w:p w14:paraId="138FE31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“Юнкерс-88”</w:t>
            </w:r>
          </w:p>
        </w:tc>
        <w:tc>
          <w:tcPr>
            <w:tcW w:w="5103" w:type="dxa"/>
            <w:tcBorders>
              <w:top w:val="single" w:sz="6" w:space="0" w:color="000000"/>
              <w:left w:val="single" w:sz="6" w:space="0" w:color="000000"/>
              <w:bottom w:val="single" w:sz="6" w:space="0" w:color="000000"/>
              <w:right w:val="single" w:sz="6" w:space="0" w:color="000000"/>
            </w:tcBorders>
          </w:tcPr>
          <w:p w14:paraId="12076D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 опознан</w:t>
            </w:r>
          </w:p>
        </w:tc>
        <w:tc>
          <w:tcPr>
            <w:tcW w:w="781" w:type="dxa"/>
            <w:tcBorders>
              <w:top w:val="single" w:sz="6" w:space="0" w:color="000000"/>
              <w:left w:val="single" w:sz="6" w:space="0" w:color="000000"/>
              <w:bottom w:val="single" w:sz="6" w:space="0" w:color="000000"/>
              <w:right w:val="single" w:sz="6" w:space="0" w:color="000000"/>
            </w:tcBorders>
          </w:tcPr>
          <w:p w14:paraId="41F43B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w:t>
            </w:r>
          </w:p>
        </w:tc>
      </w:tr>
      <w:tr w:rsidR="009B487A" w:rsidRPr="00722885" w14:paraId="754C59B2" w14:textId="77777777" w:rsidTr="00CC5360">
        <w:trPr>
          <w:trHeight w:val="240"/>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30D172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 “Юнкерс-88”</w:t>
            </w:r>
          </w:p>
        </w:tc>
        <w:tc>
          <w:tcPr>
            <w:tcW w:w="781" w:type="dxa"/>
            <w:tcBorders>
              <w:top w:val="single" w:sz="6" w:space="0" w:color="000000"/>
              <w:left w:val="single" w:sz="6" w:space="0" w:color="000000"/>
              <w:bottom w:val="single" w:sz="6" w:space="0" w:color="000000"/>
              <w:right w:val="single" w:sz="6" w:space="0" w:color="000000"/>
            </w:tcBorders>
          </w:tcPr>
          <w:p w14:paraId="6E2DFC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250</w:t>
            </w:r>
          </w:p>
        </w:tc>
      </w:tr>
      <w:tr w:rsidR="009B487A" w:rsidRPr="00722885" w14:paraId="29AA6C9E"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D1A06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“Хейнкель-111” </w:t>
            </w:r>
          </w:p>
        </w:tc>
        <w:tc>
          <w:tcPr>
            <w:tcW w:w="5103" w:type="dxa"/>
            <w:tcBorders>
              <w:top w:val="single" w:sz="6" w:space="0" w:color="000000"/>
              <w:left w:val="single" w:sz="6" w:space="0" w:color="000000"/>
              <w:bottom w:val="single" w:sz="6" w:space="0" w:color="000000"/>
              <w:right w:val="single" w:sz="6" w:space="0" w:color="000000"/>
            </w:tcBorders>
          </w:tcPr>
          <w:p w14:paraId="3A89EA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Хейнкель(Росток и Ораниенбург) </w:t>
            </w:r>
          </w:p>
        </w:tc>
        <w:tc>
          <w:tcPr>
            <w:tcW w:w="781" w:type="dxa"/>
            <w:tcBorders>
              <w:top w:val="single" w:sz="6" w:space="0" w:color="000000"/>
              <w:left w:val="single" w:sz="6" w:space="0" w:color="000000"/>
              <w:bottom w:val="single" w:sz="6" w:space="0" w:color="000000"/>
              <w:right w:val="single" w:sz="6" w:space="0" w:color="000000"/>
            </w:tcBorders>
          </w:tcPr>
          <w:p w14:paraId="57F9EA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100</w:t>
            </w:r>
          </w:p>
        </w:tc>
      </w:tr>
      <w:tr w:rsidR="009B487A" w:rsidRPr="00722885" w14:paraId="5BE485B1"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A15AC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DO-217 </w:t>
            </w:r>
          </w:p>
        </w:tc>
        <w:tc>
          <w:tcPr>
            <w:tcW w:w="5103" w:type="dxa"/>
            <w:tcBorders>
              <w:top w:val="single" w:sz="6" w:space="0" w:color="000000"/>
              <w:left w:val="single" w:sz="6" w:space="0" w:color="000000"/>
              <w:bottom w:val="single" w:sz="6" w:space="0" w:color="000000"/>
              <w:right w:val="single" w:sz="6" w:space="0" w:color="000000"/>
            </w:tcBorders>
          </w:tcPr>
          <w:p w14:paraId="7C7D54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Дорнье,Алльмансвейлер </w:t>
            </w:r>
          </w:p>
        </w:tc>
        <w:tc>
          <w:tcPr>
            <w:tcW w:w="781" w:type="dxa"/>
            <w:tcBorders>
              <w:top w:val="single" w:sz="6" w:space="0" w:color="000000"/>
              <w:left w:val="single" w:sz="6" w:space="0" w:color="000000"/>
              <w:bottom w:val="single" w:sz="6" w:space="0" w:color="000000"/>
              <w:right w:val="single" w:sz="6" w:space="0" w:color="000000"/>
            </w:tcBorders>
          </w:tcPr>
          <w:p w14:paraId="6F20E4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w:t>
            </w:r>
          </w:p>
        </w:tc>
      </w:tr>
      <w:tr w:rsidR="009B487A" w:rsidRPr="00722885" w14:paraId="553AA3F5"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68E9B8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DO-217 </w:t>
            </w:r>
          </w:p>
        </w:tc>
        <w:tc>
          <w:tcPr>
            <w:tcW w:w="5103" w:type="dxa"/>
            <w:tcBorders>
              <w:top w:val="single" w:sz="6" w:space="0" w:color="000000"/>
              <w:left w:val="single" w:sz="6" w:space="0" w:color="000000"/>
              <w:bottom w:val="single" w:sz="6" w:space="0" w:color="000000"/>
              <w:right w:val="single" w:sz="6" w:space="0" w:color="000000"/>
            </w:tcBorders>
          </w:tcPr>
          <w:p w14:paraId="6945F7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Дорнье,Оберпфафенхофен </w:t>
            </w:r>
          </w:p>
        </w:tc>
        <w:tc>
          <w:tcPr>
            <w:tcW w:w="781" w:type="dxa"/>
            <w:tcBorders>
              <w:top w:val="single" w:sz="6" w:space="0" w:color="000000"/>
              <w:left w:val="single" w:sz="6" w:space="0" w:color="000000"/>
              <w:bottom w:val="single" w:sz="6" w:space="0" w:color="000000"/>
              <w:right w:val="single" w:sz="6" w:space="0" w:color="000000"/>
            </w:tcBorders>
          </w:tcPr>
          <w:p w14:paraId="3C4244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w:t>
            </w:r>
          </w:p>
        </w:tc>
      </w:tr>
      <w:tr w:rsidR="009B487A" w:rsidRPr="00722885" w14:paraId="6267F648"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45B0CF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DO-217 </w:t>
            </w:r>
          </w:p>
        </w:tc>
        <w:tc>
          <w:tcPr>
            <w:tcW w:w="5103" w:type="dxa"/>
            <w:tcBorders>
              <w:top w:val="single" w:sz="6" w:space="0" w:color="000000"/>
              <w:left w:val="single" w:sz="6" w:space="0" w:color="000000"/>
              <w:bottom w:val="single" w:sz="6" w:space="0" w:color="000000"/>
              <w:right w:val="single" w:sz="6" w:space="0" w:color="000000"/>
            </w:tcBorders>
          </w:tcPr>
          <w:p w14:paraId="2B036E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Дорнье,Виссмар </w:t>
            </w:r>
          </w:p>
        </w:tc>
        <w:tc>
          <w:tcPr>
            <w:tcW w:w="781" w:type="dxa"/>
            <w:tcBorders>
              <w:top w:val="single" w:sz="6" w:space="0" w:color="000000"/>
              <w:left w:val="single" w:sz="6" w:space="0" w:color="000000"/>
              <w:bottom w:val="single" w:sz="6" w:space="0" w:color="000000"/>
              <w:right w:val="single" w:sz="6" w:space="0" w:color="000000"/>
            </w:tcBorders>
          </w:tcPr>
          <w:p w14:paraId="3DBBA2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w:t>
            </w:r>
          </w:p>
        </w:tc>
      </w:tr>
      <w:tr w:rsidR="009B487A" w:rsidRPr="00722885" w14:paraId="37761B2B"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496021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 DO-2I7</w:t>
            </w:r>
          </w:p>
        </w:tc>
        <w:tc>
          <w:tcPr>
            <w:tcW w:w="781" w:type="dxa"/>
            <w:tcBorders>
              <w:top w:val="single" w:sz="6" w:space="0" w:color="000000"/>
              <w:left w:val="single" w:sz="6" w:space="0" w:color="000000"/>
              <w:bottom w:val="single" w:sz="6" w:space="0" w:color="000000"/>
              <w:right w:val="single" w:sz="6" w:space="0" w:color="000000"/>
            </w:tcBorders>
          </w:tcPr>
          <w:p w14:paraId="07F0AE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85</w:t>
            </w:r>
          </w:p>
        </w:tc>
      </w:tr>
      <w:tr w:rsidR="009B487A" w:rsidRPr="00722885" w14:paraId="0358AB06"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48FD12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НЕ-177 </w:t>
            </w:r>
          </w:p>
        </w:tc>
        <w:tc>
          <w:tcPr>
            <w:tcW w:w="5103" w:type="dxa"/>
            <w:tcBorders>
              <w:top w:val="single" w:sz="6" w:space="0" w:color="000000"/>
              <w:left w:val="single" w:sz="6" w:space="0" w:color="000000"/>
              <w:bottom w:val="single" w:sz="6" w:space="0" w:color="000000"/>
              <w:right w:val="single" w:sz="6" w:space="0" w:color="000000"/>
            </w:tcBorders>
          </w:tcPr>
          <w:p w14:paraId="2FC4DF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Хейнкель (Росток и Ораниенбург)</w:t>
            </w:r>
          </w:p>
        </w:tc>
        <w:tc>
          <w:tcPr>
            <w:tcW w:w="781" w:type="dxa"/>
            <w:tcBorders>
              <w:top w:val="single" w:sz="6" w:space="0" w:color="000000"/>
              <w:left w:val="single" w:sz="6" w:space="0" w:color="000000"/>
              <w:bottom w:val="single" w:sz="6" w:space="0" w:color="000000"/>
              <w:right w:val="single" w:sz="6" w:space="0" w:color="000000"/>
            </w:tcBorders>
          </w:tcPr>
          <w:p w14:paraId="2ECCD6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15 </w:t>
            </w:r>
          </w:p>
        </w:tc>
      </w:tr>
      <w:tr w:rsidR="009B487A" w:rsidRPr="00722885" w14:paraId="5F920FE0"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7BA5BC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FW-200 </w:t>
            </w:r>
          </w:p>
        </w:tc>
        <w:tc>
          <w:tcPr>
            <w:tcW w:w="5103" w:type="dxa"/>
            <w:tcBorders>
              <w:top w:val="single" w:sz="6" w:space="0" w:color="000000"/>
              <w:left w:val="single" w:sz="6" w:space="0" w:color="000000"/>
              <w:bottom w:val="single" w:sz="6" w:space="0" w:color="000000"/>
              <w:right w:val="single" w:sz="6" w:space="0" w:color="000000"/>
            </w:tcBorders>
          </w:tcPr>
          <w:p w14:paraId="202B30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Фокке Вульф, Бремен </w:t>
            </w:r>
          </w:p>
        </w:tc>
        <w:tc>
          <w:tcPr>
            <w:tcW w:w="781" w:type="dxa"/>
            <w:tcBorders>
              <w:top w:val="single" w:sz="6" w:space="0" w:color="000000"/>
              <w:left w:val="single" w:sz="6" w:space="0" w:color="000000"/>
              <w:bottom w:val="single" w:sz="6" w:space="0" w:color="000000"/>
              <w:right w:val="single" w:sz="6" w:space="0" w:color="000000"/>
            </w:tcBorders>
          </w:tcPr>
          <w:p w14:paraId="33FF2D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w:t>
            </w:r>
          </w:p>
        </w:tc>
      </w:tr>
      <w:tr w:rsidR="009B487A" w:rsidRPr="00722885" w14:paraId="5D992EF9"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0177ED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Всего бомбардировщиков дальнего действия </w:t>
            </w:r>
          </w:p>
        </w:tc>
        <w:tc>
          <w:tcPr>
            <w:tcW w:w="781" w:type="dxa"/>
            <w:tcBorders>
              <w:top w:val="single" w:sz="6" w:space="0" w:color="000000"/>
              <w:left w:val="single" w:sz="6" w:space="0" w:color="000000"/>
              <w:bottom w:val="single" w:sz="6" w:space="0" w:color="000000"/>
              <w:right w:val="single" w:sz="6" w:space="0" w:color="000000"/>
            </w:tcBorders>
          </w:tcPr>
          <w:p w14:paraId="70D95B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455</w:t>
            </w:r>
          </w:p>
        </w:tc>
      </w:tr>
      <w:tr w:rsidR="009B487A" w:rsidRPr="00722885" w14:paraId="54A05717" w14:textId="77777777" w:rsidTr="00CC5360">
        <w:trPr>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58ABDF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Пикирующие бомбардировщики</w:t>
            </w:r>
          </w:p>
        </w:tc>
      </w:tr>
      <w:tr w:rsidR="009B487A" w:rsidRPr="00722885" w14:paraId="7742C2AC"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639FA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“Юнкерс-87”</w:t>
            </w:r>
          </w:p>
        </w:tc>
        <w:tc>
          <w:tcPr>
            <w:tcW w:w="5103" w:type="dxa"/>
            <w:tcBorders>
              <w:top w:val="single" w:sz="6" w:space="0" w:color="000000"/>
              <w:left w:val="single" w:sz="6" w:space="0" w:color="000000"/>
              <w:bottom w:val="single" w:sz="6" w:space="0" w:color="000000"/>
              <w:right w:val="single" w:sz="6" w:space="0" w:color="000000"/>
            </w:tcBorders>
          </w:tcPr>
          <w:p w14:paraId="193B9A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Вессер, Бремен и Лемвердер</w:t>
            </w:r>
          </w:p>
        </w:tc>
        <w:tc>
          <w:tcPr>
            <w:tcW w:w="781" w:type="dxa"/>
            <w:tcBorders>
              <w:top w:val="single" w:sz="6" w:space="0" w:color="000000"/>
              <w:left w:val="single" w:sz="6" w:space="0" w:color="000000"/>
              <w:bottom w:val="single" w:sz="6" w:space="0" w:color="000000"/>
              <w:right w:val="single" w:sz="6" w:space="0" w:color="000000"/>
            </w:tcBorders>
          </w:tcPr>
          <w:p w14:paraId="1E9939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80</w:t>
            </w:r>
          </w:p>
        </w:tc>
      </w:tr>
      <w:tr w:rsidR="009B487A" w:rsidRPr="00722885" w14:paraId="47BD3505"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57332D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HS-129</w:t>
            </w:r>
          </w:p>
        </w:tc>
        <w:tc>
          <w:tcPr>
            <w:tcW w:w="5103" w:type="dxa"/>
            <w:tcBorders>
              <w:top w:val="single" w:sz="6" w:space="0" w:color="000000"/>
              <w:left w:val="single" w:sz="6" w:space="0" w:color="000000"/>
              <w:bottom w:val="single" w:sz="6" w:space="0" w:color="000000"/>
              <w:right w:val="single" w:sz="6" w:space="0" w:color="000000"/>
            </w:tcBorders>
          </w:tcPr>
          <w:p w14:paraId="616592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Хеншель, Шлезвиг—Гольштейн</w:t>
            </w:r>
          </w:p>
        </w:tc>
        <w:tc>
          <w:tcPr>
            <w:tcW w:w="781" w:type="dxa"/>
            <w:tcBorders>
              <w:top w:val="single" w:sz="6" w:space="0" w:color="000000"/>
              <w:left w:val="single" w:sz="6" w:space="0" w:color="000000"/>
              <w:bottom w:val="single" w:sz="6" w:space="0" w:color="000000"/>
              <w:right w:val="single" w:sz="6" w:space="0" w:color="000000"/>
            </w:tcBorders>
          </w:tcPr>
          <w:p w14:paraId="10BD42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w:t>
            </w:r>
          </w:p>
        </w:tc>
      </w:tr>
      <w:tr w:rsidR="009B487A" w:rsidRPr="00722885" w14:paraId="637974CC"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40A7E0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Всего пикирующих бомбардировщиков </w:t>
            </w:r>
          </w:p>
        </w:tc>
        <w:tc>
          <w:tcPr>
            <w:tcW w:w="781" w:type="dxa"/>
            <w:tcBorders>
              <w:top w:val="single" w:sz="6" w:space="0" w:color="000000"/>
              <w:left w:val="single" w:sz="6" w:space="0" w:color="000000"/>
              <w:bottom w:val="single" w:sz="6" w:space="0" w:color="000000"/>
              <w:right w:val="single" w:sz="6" w:space="0" w:color="000000"/>
            </w:tcBorders>
          </w:tcPr>
          <w:p w14:paraId="034E07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100 </w:t>
            </w:r>
          </w:p>
        </w:tc>
      </w:tr>
      <w:tr w:rsidR="009B487A" w:rsidRPr="00722885" w14:paraId="3F34EACB" w14:textId="77777777" w:rsidTr="00CC5360">
        <w:trPr>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45829F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Одномоторные истребители </w:t>
            </w:r>
          </w:p>
        </w:tc>
      </w:tr>
      <w:tr w:rsidR="009B487A" w:rsidRPr="00722885" w14:paraId="79E3B579"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6C204F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ME-109</w:t>
            </w:r>
          </w:p>
        </w:tc>
        <w:tc>
          <w:tcPr>
            <w:tcW w:w="5103" w:type="dxa"/>
            <w:tcBorders>
              <w:top w:val="single" w:sz="6" w:space="0" w:color="000000"/>
              <w:left w:val="single" w:sz="6" w:space="0" w:color="000000"/>
              <w:bottom w:val="single" w:sz="6" w:space="0" w:color="000000"/>
              <w:right w:val="single" w:sz="6" w:space="0" w:color="000000"/>
            </w:tcBorders>
          </w:tcPr>
          <w:p w14:paraId="2E83AA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Аго, Ошерслебен </w:t>
            </w:r>
          </w:p>
        </w:tc>
        <w:tc>
          <w:tcPr>
            <w:tcW w:w="781" w:type="dxa"/>
            <w:tcBorders>
              <w:top w:val="single" w:sz="6" w:space="0" w:color="000000"/>
              <w:left w:val="single" w:sz="6" w:space="0" w:color="000000"/>
              <w:bottom w:val="single" w:sz="6" w:space="0" w:color="000000"/>
              <w:right w:val="single" w:sz="6" w:space="0" w:color="000000"/>
            </w:tcBorders>
          </w:tcPr>
          <w:p w14:paraId="0C2B72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55</w:t>
            </w:r>
          </w:p>
        </w:tc>
      </w:tr>
      <w:tr w:rsidR="009B487A" w:rsidRPr="00722885" w14:paraId="3D69E30C"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FB5CD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ME-109</w:t>
            </w:r>
          </w:p>
        </w:tc>
        <w:tc>
          <w:tcPr>
            <w:tcW w:w="5103" w:type="dxa"/>
            <w:tcBorders>
              <w:top w:val="single" w:sz="6" w:space="0" w:color="000000"/>
              <w:left w:val="single" w:sz="6" w:space="0" w:color="000000"/>
              <w:bottom w:val="single" w:sz="6" w:space="0" w:color="000000"/>
              <w:right w:val="single" w:sz="6" w:space="0" w:color="000000"/>
            </w:tcBorders>
          </w:tcPr>
          <w:p w14:paraId="6C9C92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Эрла, Лейпциг</w:t>
            </w:r>
          </w:p>
        </w:tc>
        <w:tc>
          <w:tcPr>
            <w:tcW w:w="781" w:type="dxa"/>
            <w:tcBorders>
              <w:top w:val="single" w:sz="6" w:space="0" w:color="000000"/>
              <w:left w:val="single" w:sz="6" w:space="0" w:color="000000"/>
              <w:bottom w:val="single" w:sz="6" w:space="0" w:color="000000"/>
              <w:right w:val="single" w:sz="6" w:space="0" w:color="000000"/>
            </w:tcBorders>
          </w:tcPr>
          <w:p w14:paraId="4DBBEC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85</w:t>
            </w:r>
          </w:p>
        </w:tc>
      </w:tr>
      <w:tr w:rsidR="009B487A" w:rsidRPr="00722885" w14:paraId="21295BCF"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23807D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ME-109</w:t>
            </w:r>
          </w:p>
        </w:tc>
        <w:tc>
          <w:tcPr>
            <w:tcW w:w="5103" w:type="dxa"/>
            <w:tcBorders>
              <w:top w:val="single" w:sz="6" w:space="0" w:color="000000"/>
              <w:left w:val="single" w:sz="6" w:space="0" w:color="000000"/>
              <w:bottom w:val="single" w:sz="6" w:space="0" w:color="000000"/>
              <w:right w:val="single" w:sz="6" w:space="0" w:color="000000"/>
            </w:tcBorders>
          </w:tcPr>
          <w:p w14:paraId="5A91C4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Физелер, Кассель (полагают, что переходит на производство FW-190)</w:t>
            </w:r>
          </w:p>
        </w:tc>
        <w:tc>
          <w:tcPr>
            <w:tcW w:w="781" w:type="dxa"/>
            <w:tcBorders>
              <w:top w:val="single" w:sz="6" w:space="0" w:color="000000"/>
              <w:left w:val="single" w:sz="6" w:space="0" w:color="000000"/>
              <w:bottom w:val="single" w:sz="6" w:space="0" w:color="000000"/>
              <w:right w:val="single" w:sz="6" w:space="0" w:color="000000"/>
            </w:tcBorders>
          </w:tcPr>
          <w:p w14:paraId="251B3E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w:t>
            </w:r>
          </w:p>
        </w:tc>
      </w:tr>
      <w:tr w:rsidR="009B487A" w:rsidRPr="00722885" w14:paraId="2D99CC82"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4AB3E6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ME-109 </w:t>
            </w:r>
          </w:p>
        </w:tc>
        <w:tc>
          <w:tcPr>
            <w:tcW w:w="5103" w:type="dxa"/>
            <w:tcBorders>
              <w:top w:val="single" w:sz="6" w:space="0" w:color="000000"/>
              <w:left w:val="single" w:sz="6" w:space="0" w:color="000000"/>
              <w:bottom w:val="single" w:sz="6" w:space="0" w:color="000000"/>
              <w:right w:val="single" w:sz="6" w:space="0" w:color="000000"/>
            </w:tcBorders>
          </w:tcPr>
          <w:p w14:paraId="7291F4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Мессершмитт, Регепсбург </w:t>
            </w:r>
          </w:p>
        </w:tc>
        <w:tc>
          <w:tcPr>
            <w:tcW w:w="781" w:type="dxa"/>
            <w:tcBorders>
              <w:top w:val="single" w:sz="6" w:space="0" w:color="000000"/>
              <w:left w:val="single" w:sz="6" w:space="0" w:color="000000"/>
              <w:bottom w:val="single" w:sz="6" w:space="0" w:color="000000"/>
              <w:right w:val="single" w:sz="6" w:space="0" w:color="000000"/>
            </w:tcBorders>
          </w:tcPr>
          <w:p w14:paraId="646C66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w:t>
            </w:r>
          </w:p>
        </w:tc>
      </w:tr>
      <w:tr w:rsidR="009B487A" w:rsidRPr="00722885" w14:paraId="56B9EBAF"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04755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ME-109</w:t>
            </w:r>
          </w:p>
        </w:tc>
        <w:tc>
          <w:tcPr>
            <w:tcW w:w="5103" w:type="dxa"/>
            <w:tcBorders>
              <w:top w:val="single" w:sz="6" w:space="0" w:color="000000"/>
              <w:left w:val="single" w:sz="6" w:space="0" w:color="000000"/>
              <w:bottom w:val="single" w:sz="6" w:space="0" w:color="000000"/>
              <w:right w:val="single" w:sz="6" w:space="0" w:color="000000"/>
            </w:tcBorders>
          </w:tcPr>
          <w:p w14:paraId="4B993B1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Винер Нейштадтер, Винер Нейштадт</w:t>
            </w:r>
          </w:p>
        </w:tc>
        <w:tc>
          <w:tcPr>
            <w:tcW w:w="781" w:type="dxa"/>
            <w:tcBorders>
              <w:top w:val="single" w:sz="6" w:space="0" w:color="000000"/>
              <w:left w:val="single" w:sz="6" w:space="0" w:color="000000"/>
              <w:bottom w:val="single" w:sz="6" w:space="0" w:color="000000"/>
              <w:right w:val="single" w:sz="6" w:space="0" w:color="000000"/>
            </w:tcBorders>
          </w:tcPr>
          <w:p w14:paraId="507C97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85</w:t>
            </w:r>
          </w:p>
        </w:tc>
      </w:tr>
      <w:tr w:rsidR="009B487A" w:rsidRPr="00722885" w14:paraId="2C80103A"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35938F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Всего МЕ-109 </w:t>
            </w:r>
          </w:p>
        </w:tc>
        <w:tc>
          <w:tcPr>
            <w:tcW w:w="781" w:type="dxa"/>
            <w:tcBorders>
              <w:top w:val="single" w:sz="6" w:space="0" w:color="000000"/>
              <w:left w:val="single" w:sz="6" w:space="0" w:color="000000"/>
              <w:bottom w:val="single" w:sz="6" w:space="0" w:color="000000"/>
              <w:right w:val="single" w:sz="6" w:space="0" w:color="000000"/>
            </w:tcBorders>
          </w:tcPr>
          <w:p w14:paraId="78E60C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310</w:t>
            </w:r>
          </w:p>
        </w:tc>
      </w:tr>
      <w:tr w:rsidR="009B487A" w:rsidRPr="00722885" w14:paraId="414CCFC1"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47FB455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FW-190</w:t>
            </w:r>
          </w:p>
        </w:tc>
        <w:tc>
          <w:tcPr>
            <w:tcW w:w="5103" w:type="dxa"/>
            <w:tcBorders>
              <w:top w:val="single" w:sz="6" w:space="0" w:color="000000"/>
              <w:left w:val="single" w:sz="6" w:space="0" w:color="000000"/>
              <w:bottom w:val="single" w:sz="6" w:space="0" w:color="000000"/>
              <w:right w:val="single" w:sz="6" w:space="0" w:color="000000"/>
            </w:tcBorders>
          </w:tcPr>
          <w:p w14:paraId="0D9F93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Фокке Вульф, Бремен 50</w:t>
            </w:r>
          </w:p>
        </w:tc>
        <w:tc>
          <w:tcPr>
            <w:tcW w:w="781" w:type="dxa"/>
            <w:tcBorders>
              <w:top w:val="single" w:sz="6" w:space="0" w:color="000000"/>
              <w:left w:val="single" w:sz="6" w:space="0" w:color="000000"/>
              <w:bottom w:val="single" w:sz="6" w:space="0" w:color="000000"/>
              <w:right w:val="single" w:sz="6" w:space="0" w:color="000000"/>
            </w:tcBorders>
          </w:tcPr>
          <w:p w14:paraId="3DECD2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w:t>
            </w:r>
          </w:p>
        </w:tc>
      </w:tr>
      <w:tr w:rsidR="009B487A" w:rsidRPr="00722885" w14:paraId="2679FFAB"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3ACAFB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FW-190</w:t>
            </w:r>
          </w:p>
        </w:tc>
        <w:tc>
          <w:tcPr>
            <w:tcW w:w="5103" w:type="dxa"/>
            <w:tcBorders>
              <w:top w:val="single" w:sz="6" w:space="0" w:color="000000"/>
              <w:left w:val="single" w:sz="6" w:space="0" w:color="000000"/>
              <w:bottom w:val="single" w:sz="6" w:space="0" w:color="000000"/>
              <w:right w:val="single" w:sz="6" w:space="0" w:color="000000"/>
            </w:tcBorders>
          </w:tcPr>
          <w:p w14:paraId="1824F5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Арадо, Варнемюнде</w:t>
            </w:r>
          </w:p>
        </w:tc>
        <w:tc>
          <w:tcPr>
            <w:tcW w:w="781" w:type="dxa"/>
            <w:tcBorders>
              <w:top w:val="single" w:sz="6" w:space="0" w:color="000000"/>
              <w:left w:val="single" w:sz="6" w:space="0" w:color="000000"/>
              <w:bottom w:val="single" w:sz="6" w:space="0" w:color="000000"/>
              <w:right w:val="single" w:sz="6" w:space="0" w:color="000000"/>
            </w:tcBorders>
          </w:tcPr>
          <w:p w14:paraId="5CF10C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 ?</w:t>
            </w:r>
          </w:p>
        </w:tc>
      </w:tr>
      <w:tr w:rsidR="009B487A" w:rsidRPr="00722885" w14:paraId="6B9E36A7"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315203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FW-190 </w:t>
            </w:r>
          </w:p>
        </w:tc>
        <w:tc>
          <w:tcPr>
            <w:tcW w:w="5103" w:type="dxa"/>
            <w:tcBorders>
              <w:top w:val="single" w:sz="6" w:space="0" w:color="000000"/>
              <w:left w:val="single" w:sz="6" w:space="0" w:color="000000"/>
              <w:bottom w:val="single" w:sz="6" w:space="0" w:color="000000"/>
              <w:right w:val="single" w:sz="6" w:space="0" w:color="000000"/>
            </w:tcBorders>
          </w:tcPr>
          <w:p w14:paraId="325107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Физелер, Кассель</w:t>
            </w:r>
          </w:p>
        </w:tc>
        <w:tc>
          <w:tcPr>
            <w:tcW w:w="781" w:type="dxa"/>
            <w:tcBorders>
              <w:top w:val="single" w:sz="6" w:space="0" w:color="000000"/>
              <w:left w:val="single" w:sz="6" w:space="0" w:color="000000"/>
              <w:bottom w:val="single" w:sz="6" w:space="0" w:color="000000"/>
              <w:right w:val="single" w:sz="6" w:space="0" w:color="000000"/>
            </w:tcBorders>
          </w:tcPr>
          <w:p w14:paraId="699A9D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w:t>
            </w:r>
          </w:p>
        </w:tc>
      </w:tr>
      <w:tr w:rsidR="009B487A" w:rsidRPr="00722885" w14:paraId="2ED283EE"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FA386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w:t>
            </w:r>
          </w:p>
        </w:tc>
        <w:tc>
          <w:tcPr>
            <w:tcW w:w="5103" w:type="dxa"/>
            <w:tcBorders>
              <w:top w:val="single" w:sz="6" w:space="0" w:color="000000"/>
              <w:left w:val="single" w:sz="6" w:space="0" w:color="000000"/>
              <w:bottom w:val="single" w:sz="6" w:space="0" w:color="000000"/>
              <w:right w:val="single" w:sz="6" w:space="0" w:color="000000"/>
            </w:tcBorders>
          </w:tcPr>
          <w:p w14:paraId="2F6F85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FW-190 </w:t>
            </w:r>
          </w:p>
        </w:tc>
        <w:tc>
          <w:tcPr>
            <w:tcW w:w="781" w:type="dxa"/>
            <w:tcBorders>
              <w:top w:val="single" w:sz="6" w:space="0" w:color="000000"/>
              <w:left w:val="single" w:sz="6" w:space="0" w:color="000000"/>
              <w:bottom w:val="single" w:sz="6" w:space="0" w:color="000000"/>
              <w:right w:val="single" w:sz="6" w:space="0" w:color="000000"/>
            </w:tcBorders>
          </w:tcPr>
          <w:p w14:paraId="644E67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100</w:t>
            </w:r>
          </w:p>
        </w:tc>
      </w:tr>
      <w:tr w:rsidR="009B487A" w:rsidRPr="00722885" w14:paraId="30455688"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5D1C10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Всего одномоторных истребителей </w:t>
            </w:r>
          </w:p>
        </w:tc>
        <w:tc>
          <w:tcPr>
            <w:tcW w:w="781" w:type="dxa"/>
            <w:tcBorders>
              <w:top w:val="single" w:sz="6" w:space="0" w:color="000000"/>
              <w:left w:val="single" w:sz="6" w:space="0" w:color="000000"/>
              <w:bottom w:val="single" w:sz="6" w:space="0" w:color="000000"/>
              <w:right w:val="single" w:sz="6" w:space="0" w:color="000000"/>
            </w:tcBorders>
          </w:tcPr>
          <w:p w14:paraId="18C09C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410</w:t>
            </w:r>
          </w:p>
        </w:tc>
      </w:tr>
      <w:tr w:rsidR="009B487A" w:rsidRPr="00722885" w14:paraId="220DA346" w14:textId="77777777" w:rsidTr="00CC5360">
        <w:trPr>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6F155F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Двухмоторные истребители</w:t>
            </w:r>
          </w:p>
        </w:tc>
      </w:tr>
      <w:tr w:rsidR="009B487A" w:rsidRPr="00722885" w14:paraId="4A153056"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03D73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МЕ-110и210</w:t>
            </w:r>
          </w:p>
        </w:tc>
        <w:tc>
          <w:tcPr>
            <w:tcW w:w="5103" w:type="dxa"/>
            <w:tcBorders>
              <w:top w:val="single" w:sz="6" w:space="0" w:color="000000"/>
              <w:left w:val="single" w:sz="6" w:space="0" w:color="000000"/>
              <w:bottom w:val="single" w:sz="6" w:space="0" w:color="000000"/>
              <w:right w:val="single" w:sz="6" w:space="0" w:color="000000"/>
            </w:tcBorders>
          </w:tcPr>
          <w:p w14:paraId="507CED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Готар, Гота</w:t>
            </w:r>
          </w:p>
        </w:tc>
        <w:tc>
          <w:tcPr>
            <w:tcW w:w="781" w:type="dxa"/>
            <w:tcBorders>
              <w:top w:val="single" w:sz="6" w:space="0" w:color="000000"/>
              <w:left w:val="single" w:sz="6" w:space="0" w:color="000000"/>
              <w:bottom w:val="single" w:sz="6" w:space="0" w:color="000000"/>
              <w:right w:val="single" w:sz="6" w:space="0" w:color="000000"/>
            </w:tcBorders>
          </w:tcPr>
          <w:p w14:paraId="63A849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w:t>
            </w:r>
          </w:p>
        </w:tc>
      </w:tr>
      <w:tr w:rsidR="009B487A" w:rsidRPr="00722885" w14:paraId="77FA7E98"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9EC42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МЕ-110и210</w:t>
            </w:r>
          </w:p>
        </w:tc>
        <w:tc>
          <w:tcPr>
            <w:tcW w:w="5103" w:type="dxa"/>
            <w:tcBorders>
              <w:top w:val="single" w:sz="6" w:space="0" w:color="000000"/>
              <w:left w:val="single" w:sz="6" w:space="0" w:color="000000"/>
              <w:bottom w:val="single" w:sz="6" w:space="0" w:color="000000"/>
              <w:right w:val="single" w:sz="6" w:space="0" w:color="000000"/>
            </w:tcBorders>
          </w:tcPr>
          <w:p w14:paraId="67BAAB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Мессершмитт, Аугсбург</w:t>
            </w:r>
          </w:p>
        </w:tc>
        <w:tc>
          <w:tcPr>
            <w:tcW w:w="781" w:type="dxa"/>
            <w:tcBorders>
              <w:top w:val="single" w:sz="6" w:space="0" w:color="000000"/>
              <w:left w:val="single" w:sz="6" w:space="0" w:color="000000"/>
              <w:bottom w:val="single" w:sz="6" w:space="0" w:color="000000"/>
              <w:right w:val="single" w:sz="6" w:space="0" w:color="000000"/>
            </w:tcBorders>
          </w:tcPr>
          <w:p w14:paraId="7F54EC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80</w:t>
            </w:r>
          </w:p>
        </w:tc>
      </w:tr>
      <w:tr w:rsidR="009B487A" w:rsidRPr="00722885" w14:paraId="47639B2E"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5FD77C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МЕ-110и210</w:t>
            </w:r>
          </w:p>
        </w:tc>
        <w:tc>
          <w:tcPr>
            <w:tcW w:w="5103" w:type="dxa"/>
            <w:tcBorders>
              <w:top w:val="single" w:sz="6" w:space="0" w:color="000000"/>
              <w:left w:val="single" w:sz="6" w:space="0" w:color="000000"/>
              <w:bottom w:val="single" w:sz="6" w:space="0" w:color="000000"/>
              <w:right w:val="single" w:sz="6" w:space="0" w:color="000000"/>
            </w:tcBorders>
          </w:tcPr>
          <w:p w14:paraId="68D556F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Миаг, Брунсвик (Брауншвейг)</w:t>
            </w:r>
          </w:p>
        </w:tc>
        <w:tc>
          <w:tcPr>
            <w:tcW w:w="781" w:type="dxa"/>
            <w:tcBorders>
              <w:top w:val="single" w:sz="6" w:space="0" w:color="000000"/>
              <w:left w:val="single" w:sz="6" w:space="0" w:color="000000"/>
              <w:bottom w:val="single" w:sz="6" w:space="0" w:color="000000"/>
              <w:right w:val="single" w:sz="6" w:space="0" w:color="000000"/>
            </w:tcBorders>
          </w:tcPr>
          <w:p w14:paraId="5B758B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w:t>
            </w:r>
          </w:p>
        </w:tc>
      </w:tr>
      <w:tr w:rsidR="009B487A" w:rsidRPr="00722885" w14:paraId="4A21B81A"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534515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Всего двухмоторных истребителей </w:t>
            </w:r>
          </w:p>
        </w:tc>
        <w:tc>
          <w:tcPr>
            <w:tcW w:w="781" w:type="dxa"/>
            <w:tcBorders>
              <w:top w:val="single" w:sz="6" w:space="0" w:color="000000"/>
              <w:left w:val="single" w:sz="6" w:space="0" w:color="000000"/>
              <w:bottom w:val="single" w:sz="6" w:space="0" w:color="000000"/>
              <w:right w:val="single" w:sz="6" w:space="0" w:color="000000"/>
            </w:tcBorders>
          </w:tcPr>
          <w:p w14:paraId="1C537E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115 </w:t>
            </w:r>
          </w:p>
        </w:tc>
      </w:tr>
      <w:tr w:rsidR="009B487A" w:rsidRPr="00722885" w14:paraId="4C406F8E" w14:textId="77777777" w:rsidTr="00CC5360">
        <w:trPr>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0AA08C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Армейские разведывательные </w:t>
            </w:r>
          </w:p>
        </w:tc>
      </w:tr>
      <w:tr w:rsidR="009B487A" w:rsidRPr="00722885" w14:paraId="570682DF"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5F047D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HS-126</w:t>
            </w:r>
          </w:p>
        </w:tc>
        <w:tc>
          <w:tcPr>
            <w:tcW w:w="5103" w:type="dxa"/>
            <w:tcBorders>
              <w:top w:val="single" w:sz="6" w:space="0" w:color="000000"/>
              <w:left w:val="single" w:sz="6" w:space="0" w:color="000000"/>
              <w:bottom w:val="single" w:sz="6" w:space="0" w:color="000000"/>
              <w:right w:val="single" w:sz="6" w:space="0" w:color="000000"/>
            </w:tcBorders>
          </w:tcPr>
          <w:p w14:paraId="4A57BB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Хеншель, Шонфельд </w:t>
            </w:r>
          </w:p>
        </w:tc>
        <w:tc>
          <w:tcPr>
            <w:tcW w:w="781" w:type="dxa"/>
            <w:tcBorders>
              <w:top w:val="single" w:sz="6" w:space="0" w:color="000000"/>
              <w:left w:val="single" w:sz="6" w:space="0" w:color="000000"/>
              <w:bottom w:val="single" w:sz="6" w:space="0" w:color="000000"/>
              <w:right w:val="single" w:sz="6" w:space="0" w:color="000000"/>
            </w:tcBorders>
          </w:tcPr>
          <w:p w14:paraId="22B6B9E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w:t>
            </w:r>
          </w:p>
        </w:tc>
      </w:tr>
      <w:tr w:rsidR="009B487A" w:rsidRPr="00722885" w14:paraId="0C531FE4"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2FD788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FW-189</w:t>
            </w:r>
          </w:p>
        </w:tc>
        <w:tc>
          <w:tcPr>
            <w:tcW w:w="5103" w:type="dxa"/>
            <w:tcBorders>
              <w:top w:val="single" w:sz="6" w:space="0" w:color="000000"/>
              <w:left w:val="single" w:sz="6" w:space="0" w:color="000000"/>
              <w:bottom w:val="single" w:sz="6" w:space="0" w:color="000000"/>
              <w:right w:val="single" w:sz="6" w:space="0" w:color="000000"/>
            </w:tcBorders>
          </w:tcPr>
          <w:p w14:paraId="7A9A32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Фокке Вульф, Бремен </w:t>
            </w:r>
          </w:p>
        </w:tc>
        <w:tc>
          <w:tcPr>
            <w:tcW w:w="781" w:type="dxa"/>
            <w:tcBorders>
              <w:top w:val="single" w:sz="6" w:space="0" w:color="000000"/>
              <w:left w:val="single" w:sz="6" w:space="0" w:color="000000"/>
              <w:bottom w:val="single" w:sz="6" w:space="0" w:color="000000"/>
              <w:right w:val="single" w:sz="6" w:space="0" w:color="000000"/>
            </w:tcBorders>
          </w:tcPr>
          <w:p w14:paraId="08890A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w:t>
            </w:r>
          </w:p>
        </w:tc>
      </w:tr>
      <w:tr w:rsidR="009B487A" w:rsidRPr="00722885" w14:paraId="2C3D08B0"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6BFB23C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BV-141 </w:t>
            </w:r>
          </w:p>
        </w:tc>
        <w:tc>
          <w:tcPr>
            <w:tcW w:w="5103" w:type="dxa"/>
            <w:tcBorders>
              <w:top w:val="single" w:sz="6" w:space="0" w:color="000000"/>
              <w:left w:val="single" w:sz="6" w:space="0" w:color="000000"/>
              <w:bottom w:val="single" w:sz="6" w:space="0" w:color="000000"/>
              <w:right w:val="single" w:sz="6" w:space="0" w:color="000000"/>
            </w:tcBorders>
          </w:tcPr>
          <w:p w14:paraId="1C985A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Блом и Фосс, Гамбург </w:t>
            </w:r>
          </w:p>
        </w:tc>
        <w:tc>
          <w:tcPr>
            <w:tcW w:w="781" w:type="dxa"/>
            <w:tcBorders>
              <w:top w:val="single" w:sz="6" w:space="0" w:color="000000"/>
              <w:left w:val="single" w:sz="6" w:space="0" w:color="000000"/>
              <w:bottom w:val="single" w:sz="6" w:space="0" w:color="000000"/>
              <w:right w:val="single" w:sz="6" w:space="0" w:color="000000"/>
            </w:tcBorders>
          </w:tcPr>
          <w:p w14:paraId="1BDDEF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w:t>
            </w:r>
          </w:p>
        </w:tc>
      </w:tr>
      <w:tr w:rsidR="009B487A" w:rsidRPr="00722885" w14:paraId="4F3C882C"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3C830E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“Юнкерс-86” (Р-1 и Р-2)</w:t>
            </w:r>
          </w:p>
        </w:tc>
        <w:tc>
          <w:tcPr>
            <w:tcW w:w="5103" w:type="dxa"/>
            <w:tcBorders>
              <w:top w:val="single" w:sz="6" w:space="0" w:color="000000"/>
              <w:left w:val="single" w:sz="6" w:space="0" w:color="000000"/>
              <w:bottom w:val="single" w:sz="6" w:space="0" w:color="000000"/>
              <w:right w:val="single" w:sz="6" w:space="0" w:color="000000"/>
            </w:tcBorders>
          </w:tcPr>
          <w:p w14:paraId="0ACE02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Юнкерc, Дессау</w:t>
            </w:r>
          </w:p>
        </w:tc>
        <w:tc>
          <w:tcPr>
            <w:tcW w:w="781" w:type="dxa"/>
            <w:tcBorders>
              <w:top w:val="single" w:sz="6" w:space="0" w:color="000000"/>
              <w:left w:val="single" w:sz="6" w:space="0" w:color="000000"/>
              <w:bottom w:val="single" w:sz="6" w:space="0" w:color="000000"/>
              <w:right w:val="single" w:sz="6" w:space="0" w:color="000000"/>
            </w:tcBorders>
          </w:tcPr>
          <w:p w14:paraId="1C3C45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w:t>
            </w:r>
          </w:p>
        </w:tc>
      </w:tr>
      <w:tr w:rsidR="009B487A" w:rsidRPr="00722885" w14:paraId="358C5CD5"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6040E5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Всего армейских разведывательных </w:t>
            </w:r>
          </w:p>
        </w:tc>
        <w:tc>
          <w:tcPr>
            <w:tcW w:w="781" w:type="dxa"/>
            <w:tcBorders>
              <w:top w:val="single" w:sz="6" w:space="0" w:color="000000"/>
              <w:left w:val="single" w:sz="6" w:space="0" w:color="000000"/>
              <w:bottom w:val="single" w:sz="6" w:space="0" w:color="000000"/>
              <w:right w:val="single" w:sz="6" w:space="0" w:color="000000"/>
            </w:tcBorders>
          </w:tcPr>
          <w:p w14:paraId="34C2F0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70 </w:t>
            </w:r>
          </w:p>
        </w:tc>
      </w:tr>
      <w:tr w:rsidR="009B487A" w:rsidRPr="00722885" w14:paraId="6A9252BC" w14:textId="77777777" w:rsidTr="00CC5360">
        <w:trPr>
          <w:jc w:val="center"/>
        </w:trPr>
        <w:tc>
          <w:tcPr>
            <w:tcW w:w="3541" w:type="dxa"/>
            <w:gridSpan w:val="3"/>
            <w:tcBorders>
              <w:top w:val="single" w:sz="6" w:space="0" w:color="000000"/>
              <w:left w:val="single" w:sz="6" w:space="0" w:color="000000"/>
              <w:bottom w:val="single" w:sz="6" w:space="0" w:color="000000"/>
              <w:right w:val="single" w:sz="6" w:space="0" w:color="000000"/>
            </w:tcBorders>
          </w:tcPr>
          <w:p w14:paraId="64D215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Береговые </w:t>
            </w:r>
          </w:p>
        </w:tc>
      </w:tr>
      <w:tr w:rsidR="009B487A" w:rsidRPr="00722885" w14:paraId="60C23585"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A7CE8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AR-196</w:t>
            </w:r>
          </w:p>
        </w:tc>
        <w:tc>
          <w:tcPr>
            <w:tcW w:w="5103" w:type="dxa"/>
            <w:tcBorders>
              <w:top w:val="single" w:sz="6" w:space="0" w:color="000000"/>
              <w:left w:val="single" w:sz="6" w:space="0" w:color="000000"/>
              <w:bottom w:val="single" w:sz="6" w:space="0" w:color="000000"/>
              <w:right w:val="single" w:sz="6" w:space="0" w:color="000000"/>
            </w:tcBorders>
          </w:tcPr>
          <w:p w14:paraId="74E456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Арадо, Варнемюнде </w:t>
            </w:r>
          </w:p>
        </w:tc>
        <w:tc>
          <w:tcPr>
            <w:tcW w:w="781" w:type="dxa"/>
            <w:tcBorders>
              <w:top w:val="single" w:sz="6" w:space="0" w:color="000000"/>
              <w:left w:val="single" w:sz="6" w:space="0" w:color="000000"/>
              <w:bottom w:val="single" w:sz="6" w:space="0" w:color="000000"/>
              <w:right w:val="single" w:sz="6" w:space="0" w:color="000000"/>
            </w:tcBorders>
          </w:tcPr>
          <w:p w14:paraId="76E596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w:t>
            </w:r>
          </w:p>
        </w:tc>
      </w:tr>
      <w:tr w:rsidR="009B487A" w:rsidRPr="00722885" w14:paraId="161DE089"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158C1D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BV-138</w:t>
            </w:r>
          </w:p>
        </w:tc>
        <w:tc>
          <w:tcPr>
            <w:tcW w:w="5103" w:type="dxa"/>
            <w:tcBorders>
              <w:top w:val="single" w:sz="6" w:space="0" w:color="000000"/>
              <w:left w:val="single" w:sz="6" w:space="0" w:color="000000"/>
              <w:bottom w:val="single" w:sz="6" w:space="0" w:color="000000"/>
              <w:right w:val="single" w:sz="6" w:space="0" w:color="000000"/>
            </w:tcBorders>
          </w:tcPr>
          <w:p w14:paraId="3B55F2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Блом и Фосс, Гамбург</w:t>
            </w:r>
          </w:p>
        </w:tc>
        <w:tc>
          <w:tcPr>
            <w:tcW w:w="781" w:type="dxa"/>
            <w:tcBorders>
              <w:top w:val="single" w:sz="6" w:space="0" w:color="000000"/>
              <w:left w:val="single" w:sz="6" w:space="0" w:color="000000"/>
              <w:bottom w:val="single" w:sz="6" w:space="0" w:color="000000"/>
              <w:right w:val="single" w:sz="6" w:space="0" w:color="000000"/>
            </w:tcBorders>
          </w:tcPr>
          <w:p w14:paraId="6B32C7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w:t>
            </w:r>
          </w:p>
        </w:tc>
      </w:tr>
      <w:tr w:rsidR="009B487A" w:rsidRPr="00722885" w14:paraId="11E800D9"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133BB4B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DO-24</w:t>
            </w:r>
          </w:p>
        </w:tc>
        <w:tc>
          <w:tcPr>
            <w:tcW w:w="5103" w:type="dxa"/>
            <w:tcBorders>
              <w:top w:val="single" w:sz="6" w:space="0" w:color="000000"/>
              <w:left w:val="single" w:sz="6" w:space="0" w:color="000000"/>
              <w:bottom w:val="single" w:sz="6" w:space="0" w:color="000000"/>
              <w:right w:val="single" w:sz="6" w:space="0" w:color="000000"/>
            </w:tcBorders>
          </w:tcPr>
          <w:p w14:paraId="7490E5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Дорнье, Манцелль </w:t>
            </w:r>
          </w:p>
        </w:tc>
        <w:tc>
          <w:tcPr>
            <w:tcW w:w="781" w:type="dxa"/>
            <w:tcBorders>
              <w:top w:val="single" w:sz="6" w:space="0" w:color="000000"/>
              <w:left w:val="single" w:sz="6" w:space="0" w:color="000000"/>
              <w:bottom w:val="single" w:sz="6" w:space="0" w:color="000000"/>
              <w:right w:val="single" w:sz="6" w:space="0" w:color="000000"/>
            </w:tcBorders>
          </w:tcPr>
          <w:p w14:paraId="75C497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w:t>
            </w:r>
          </w:p>
        </w:tc>
      </w:tr>
      <w:tr w:rsidR="009B487A" w:rsidRPr="00722885" w14:paraId="43FB2C00" w14:textId="77777777" w:rsidTr="00CC5360">
        <w:trPr>
          <w:jc w:val="center"/>
        </w:trPr>
        <w:tc>
          <w:tcPr>
            <w:tcW w:w="3541" w:type="dxa"/>
            <w:tcBorders>
              <w:top w:val="single" w:sz="6" w:space="0" w:color="000000"/>
              <w:left w:val="single" w:sz="6" w:space="0" w:color="000000"/>
              <w:bottom w:val="single" w:sz="6" w:space="0" w:color="000000"/>
              <w:right w:val="single" w:sz="6" w:space="0" w:color="000000"/>
            </w:tcBorders>
          </w:tcPr>
          <w:p w14:paraId="0C754F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DO-24 </w:t>
            </w:r>
          </w:p>
        </w:tc>
        <w:tc>
          <w:tcPr>
            <w:tcW w:w="5103" w:type="dxa"/>
            <w:tcBorders>
              <w:top w:val="single" w:sz="6" w:space="0" w:color="000000"/>
              <w:left w:val="single" w:sz="6" w:space="0" w:color="000000"/>
              <w:bottom w:val="single" w:sz="6" w:space="0" w:color="000000"/>
              <w:right w:val="single" w:sz="6" w:space="0" w:color="000000"/>
            </w:tcBorders>
          </w:tcPr>
          <w:p w14:paraId="0B7918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Авиоланда, Папендрахт</w:t>
            </w:r>
          </w:p>
        </w:tc>
        <w:tc>
          <w:tcPr>
            <w:tcW w:w="781" w:type="dxa"/>
            <w:tcBorders>
              <w:top w:val="single" w:sz="6" w:space="0" w:color="000000"/>
              <w:left w:val="single" w:sz="6" w:space="0" w:color="000000"/>
              <w:bottom w:val="single" w:sz="6" w:space="0" w:color="000000"/>
              <w:right w:val="single" w:sz="6" w:space="0" w:color="000000"/>
            </w:tcBorders>
          </w:tcPr>
          <w:p w14:paraId="3FA550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w:t>
            </w:r>
          </w:p>
        </w:tc>
      </w:tr>
      <w:tr w:rsidR="009B487A" w:rsidRPr="00722885" w14:paraId="613167D7"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15D3DC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Всего DO-24 </w:t>
            </w:r>
          </w:p>
        </w:tc>
        <w:tc>
          <w:tcPr>
            <w:tcW w:w="781" w:type="dxa"/>
            <w:tcBorders>
              <w:top w:val="single" w:sz="6" w:space="0" w:color="000000"/>
              <w:left w:val="single" w:sz="6" w:space="0" w:color="000000"/>
              <w:bottom w:val="single" w:sz="6" w:space="0" w:color="000000"/>
              <w:right w:val="single" w:sz="6" w:space="0" w:color="000000"/>
            </w:tcBorders>
          </w:tcPr>
          <w:p w14:paraId="7BC21F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w:t>
            </w:r>
          </w:p>
        </w:tc>
      </w:tr>
      <w:tr w:rsidR="009B487A" w:rsidRPr="00722885" w14:paraId="74DEC084"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3F6993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Всего береговых </w:t>
            </w:r>
          </w:p>
        </w:tc>
        <w:tc>
          <w:tcPr>
            <w:tcW w:w="781" w:type="dxa"/>
            <w:tcBorders>
              <w:top w:val="single" w:sz="6" w:space="0" w:color="000000"/>
              <w:left w:val="single" w:sz="6" w:space="0" w:color="000000"/>
              <w:bottom w:val="single" w:sz="6" w:space="0" w:color="000000"/>
              <w:right w:val="single" w:sz="6" w:space="0" w:color="000000"/>
            </w:tcBorders>
          </w:tcPr>
          <w:p w14:paraId="503DFB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w:t>
            </w:r>
          </w:p>
        </w:tc>
      </w:tr>
      <w:tr w:rsidR="009B487A" w:rsidRPr="00722885" w14:paraId="1E7FB55A"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208C78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Разные типы и неопознанное производство </w:t>
            </w:r>
          </w:p>
        </w:tc>
        <w:tc>
          <w:tcPr>
            <w:tcW w:w="781" w:type="dxa"/>
            <w:tcBorders>
              <w:top w:val="single" w:sz="6" w:space="0" w:color="000000"/>
              <w:left w:val="single" w:sz="6" w:space="0" w:color="000000"/>
              <w:bottom w:val="single" w:sz="6" w:space="0" w:color="000000"/>
              <w:right w:val="single" w:sz="6" w:space="0" w:color="000000"/>
            </w:tcBorders>
          </w:tcPr>
          <w:p w14:paraId="47F1B3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55</w:t>
            </w:r>
          </w:p>
        </w:tc>
      </w:tr>
      <w:tr w:rsidR="009B487A" w:rsidRPr="00722885" w14:paraId="3A5A3CC7" w14:textId="77777777" w:rsidTr="00CC5360">
        <w:trPr>
          <w:jc w:val="center"/>
        </w:trPr>
        <w:tc>
          <w:tcPr>
            <w:tcW w:w="3541" w:type="dxa"/>
            <w:gridSpan w:val="2"/>
            <w:tcBorders>
              <w:top w:val="single" w:sz="6" w:space="0" w:color="000000"/>
              <w:left w:val="single" w:sz="6" w:space="0" w:color="000000"/>
              <w:bottom w:val="single" w:sz="6" w:space="0" w:color="000000"/>
              <w:right w:val="single" w:sz="6" w:space="0" w:color="000000"/>
            </w:tcBorders>
          </w:tcPr>
          <w:p w14:paraId="245D099A"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u w:val="single"/>
              </w:rPr>
              <w:t xml:space="preserve">Всего боевых самолетов </w:t>
            </w:r>
          </w:p>
        </w:tc>
        <w:tc>
          <w:tcPr>
            <w:tcW w:w="781" w:type="dxa"/>
            <w:tcBorders>
              <w:top w:val="single" w:sz="6" w:space="0" w:color="000000"/>
              <w:left w:val="single" w:sz="6" w:space="0" w:color="000000"/>
              <w:bottom w:val="single" w:sz="6" w:space="0" w:color="000000"/>
              <w:right w:val="single" w:sz="6" w:space="0" w:color="000000"/>
            </w:tcBorders>
          </w:tcPr>
          <w:p w14:paraId="20460C80"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u w:val="single"/>
              </w:rPr>
              <w:t>1250</w:t>
            </w:r>
          </w:p>
        </w:tc>
      </w:tr>
    </w:tbl>
    <w:p w14:paraId="32DA739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(7430).</w:t>
      </w:r>
    </w:p>
    <w:p w14:paraId="019029EB" w14:textId="77777777" w:rsidR="00090C9B" w:rsidRPr="00722885" w:rsidRDefault="00090C9B" w:rsidP="00722885">
      <w:pPr>
        <w:pStyle w:val="Iauiue"/>
        <w:tabs>
          <w:tab w:val="left" w:pos="11199"/>
        </w:tabs>
        <w:jc w:val="both"/>
        <w:rPr>
          <w:color w:val="000000" w:themeColor="text1"/>
          <w:sz w:val="16"/>
          <w:szCs w:val="16"/>
        </w:rPr>
      </w:pPr>
    </w:p>
    <w:p w14:paraId="12A4BE3E" w14:textId="77777777" w:rsidR="00A40B67" w:rsidRPr="00722885" w:rsidRDefault="00A40B6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сентября 1942 г. в беседе с личным представителем президента США У. Уилки Председателя СНК СССР И.В. Сталина отметил: «Если союзники испытывают недостаток тоннажа, то мы могли бы им пойти навстречу, чтобы облегчить их положение путем сокращения списка поставок до минимума». Сталин был бы готов «ограничить поставки США истребителями, грузовыми автомашинами, алюминием и взрывчатыми веществами, которые в Америке имеются в достаточном количестве. Все остальное можно было бы выкинуть» (19151).</w:t>
      </w:r>
    </w:p>
    <w:p w14:paraId="552307E5" w14:textId="77777777" w:rsidR="00A40B67" w:rsidRPr="00722885" w:rsidRDefault="00A40B67" w:rsidP="00722885">
      <w:pPr>
        <w:spacing w:after="0" w:line="240" w:lineRule="auto"/>
        <w:jc w:val="both"/>
        <w:rPr>
          <w:rFonts w:ascii="Times New Roman" w:hAnsi="Times New Roman"/>
          <w:color w:val="000000" w:themeColor="text1"/>
          <w:sz w:val="16"/>
          <w:szCs w:val="16"/>
        </w:rPr>
      </w:pPr>
    </w:p>
    <w:p w14:paraId="3BF2CA7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C4D6F4C" w14:textId="77777777" w:rsidR="00090C9B" w:rsidRPr="00722885" w:rsidRDefault="00090C9B" w:rsidP="00722885">
      <w:pPr>
        <w:pStyle w:val="Iauiue"/>
        <w:jc w:val="both"/>
        <w:rPr>
          <w:iCs/>
          <w:color w:val="000000" w:themeColor="text1"/>
          <w:sz w:val="16"/>
          <w:szCs w:val="16"/>
        </w:rPr>
      </w:pPr>
    </w:p>
    <w:p w14:paraId="71B3A86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23 сентября </w:t>
      </w:r>
      <w:r w:rsidRPr="00722885">
        <w:rPr>
          <w:rFonts w:ascii="Times New Roman" w:hAnsi="Times New Roman"/>
          <w:color w:val="000000" w:themeColor="text1"/>
          <w:sz w:val="16"/>
          <w:szCs w:val="16"/>
        </w:rPr>
        <w:t>в 1942 году правительство США передало проект разработки атомной бомбы в ведение военного руководства (14778).</w:t>
      </w:r>
    </w:p>
    <w:p w14:paraId="14513425"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0A4A1B2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сентября 1942 немецкий фельдмаршал Э. фон Роммель покинул “Африканский корпус” и отправился на лечение в Германию (4962).</w:t>
      </w:r>
    </w:p>
    <w:p w14:paraId="57FF707E" w14:textId="77777777" w:rsidR="00090C9B" w:rsidRPr="00722885" w:rsidRDefault="00090C9B" w:rsidP="00722885">
      <w:pPr>
        <w:pStyle w:val="Iauiue"/>
        <w:tabs>
          <w:tab w:val="left" w:pos="11199"/>
        </w:tabs>
        <w:jc w:val="both"/>
        <w:rPr>
          <w:color w:val="000000" w:themeColor="text1"/>
          <w:sz w:val="16"/>
          <w:szCs w:val="16"/>
        </w:rPr>
      </w:pPr>
    </w:p>
    <w:p w14:paraId="7D8B71C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сентября 1942 английские войска захватили столицу Мадагаскара Антананариву (4962).</w:t>
      </w:r>
    </w:p>
    <w:p w14:paraId="6997ED1A" w14:textId="77777777" w:rsidR="00090C9B" w:rsidRPr="00722885" w:rsidRDefault="00090C9B" w:rsidP="00722885">
      <w:pPr>
        <w:pStyle w:val="Iauiue"/>
        <w:tabs>
          <w:tab w:val="left" w:pos="11199"/>
        </w:tabs>
        <w:jc w:val="both"/>
        <w:rPr>
          <w:color w:val="000000" w:themeColor="text1"/>
          <w:sz w:val="16"/>
          <w:szCs w:val="16"/>
        </w:rPr>
      </w:pPr>
    </w:p>
    <w:p w14:paraId="046FDF2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23 сентября </w:t>
      </w:r>
      <w:r w:rsidRPr="00722885">
        <w:rPr>
          <w:rFonts w:ascii="Times New Roman" w:hAnsi="Times New Roman"/>
          <w:color w:val="000000" w:themeColor="text1"/>
          <w:sz w:val="16"/>
          <w:szCs w:val="16"/>
        </w:rPr>
        <w:t>в 1942 году примерно 36 французских евреев депортируются в нацистскую Германию (14778).</w:t>
      </w:r>
    </w:p>
    <w:p w14:paraId="52D1AE4B"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5118512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CED4FAF" w14:textId="77777777" w:rsidR="00090C9B" w:rsidRPr="00722885" w:rsidRDefault="00090C9B" w:rsidP="00722885">
      <w:pPr>
        <w:pStyle w:val="Iauiue"/>
        <w:jc w:val="both"/>
        <w:rPr>
          <w:iCs/>
          <w:color w:val="000000" w:themeColor="text1"/>
          <w:sz w:val="16"/>
          <w:szCs w:val="16"/>
        </w:rPr>
      </w:pPr>
    </w:p>
    <w:p w14:paraId="2716A7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сентября 1942 А.И.Шахурин издал приказ НКАП N 722c:</w:t>
      </w:r>
    </w:p>
    <w:p w14:paraId="2B1AD7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"Пар. 1.</w:t>
      </w:r>
    </w:p>
    <w:p w14:paraId="3FDC85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вооружения в строевых частях самолетов Ил-2 пулеметом ШКАС с вторым человеком, обязать главного конструктора самолета Ил-2 тов. Ильюшина спроектировать такую установку и смонтировать ее на одном из самолетов Ил-2".</w:t>
      </w:r>
    </w:p>
    <w:p w14:paraId="09FD97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Ил-2 с этой установкой должен быть предъявлен готовым в полет 1 октября 1942.</w:t>
      </w:r>
    </w:p>
    <w:p w14:paraId="60A2F7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Пар. 2.</w:t>
      </w:r>
    </w:p>
    <w:p w14:paraId="6706C4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увеличения емкости крыльевых бензобаков Ил-4 до 600 кг взамен имеющихся подвесных баков емкостью 450 кг обязать ГК Ил-4 С.В.И. спроектировать и предъявить один Ил-4 с такими баками к 1 ноября 1942."</w:t>
      </w:r>
    </w:p>
    <w:p w14:paraId="099C48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Нарком А.И.Шахурин (Подлинник) (484,9).</w:t>
      </w:r>
    </w:p>
    <w:p w14:paraId="4B902A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Вторым пунктом было поручено увеличить емкость крыльевых бензобаков самолета Ил-4 до 600 кг взамен имеющихся подвесных баков емкостью 450 кг к 01 ноября 1942 (484,9).</w:t>
      </w:r>
    </w:p>
    <w:p w14:paraId="74AB9130" w14:textId="77777777" w:rsidR="00090C9B" w:rsidRPr="00722885" w:rsidRDefault="00090C9B" w:rsidP="00722885">
      <w:pPr>
        <w:pStyle w:val="Iauiue"/>
        <w:jc w:val="both"/>
        <w:rPr>
          <w:color w:val="000000" w:themeColor="text1"/>
          <w:sz w:val="16"/>
          <w:szCs w:val="16"/>
        </w:rPr>
      </w:pPr>
    </w:p>
    <w:p w14:paraId="3CF63C90" w14:textId="77777777" w:rsidR="00776B5F" w:rsidRPr="00722885" w:rsidRDefault="00776B5F" w:rsidP="00722885">
      <w:pPr>
        <w:pStyle w:val="95"/>
        <w:shd w:val="clear" w:color="auto" w:fill="auto"/>
        <w:spacing w:after="0" w:line="240" w:lineRule="auto"/>
        <w:ind w:firstLine="0"/>
        <w:jc w:val="both"/>
        <w:rPr>
          <w:color w:val="0070C0"/>
          <w:sz w:val="16"/>
          <w:szCs w:val="16"/>
        </w:rPr>
      </w:pPr>
      <w:r w:rsidRPr="00722885">
        <w:rPr>
          <w:color w:val="0070C0"/>
          <w:sz w:val="16"/>
          <w:szCs w:val="16"/>
        </w:rPr>
        <w:t>24 сентября 1942 г. вышел приказ наркома авиапромышленности Шахурина №722с, со</w:t>
      </w:r>
      <w:r w:rsidRPr="00722885">
        <w:rPr>
          <w:color w:val="0070C0"/>
          <w:sz w:val="16"/>
          <w:szCs w:val="16"/>
        </w:rPr>
        <w:softHyphen/>
        <w:t>гласно которому Ильюшин должен был «для вооружения в строевых частях самолетов Ил-2 пулеметом ШКАС со вторым человеком /.../ спроектировать такую установку и смонти</w:t>
      </w:r>
      <w:r w:rsidRPr="00722885">
        <w:rPr>
          <w:color w:val="0070C0"/>
          <w:sz w:val="16"/>
          <w:szCs w:val="16"/>
        </w:rPr>
        <w:softHyphen/>
        <w:t>ровать ее на одном из самолетов Ил-2». Дора</w:t>
      </w:r>
      <w:r w:rsidRPr="00722885">
        <w:rPr>
          <w:color w:val="0070C0"/>
          <w:sz w:val="16"/>
          <w:szCs w:val="16"/>
        </w:rPr>
        <w:softHyphen/>
        <w:t>ботанный штурмовик требовалось предъявить на испытания не позже 1 октября.</w:t>
      </w:r>
    </w:p>
    <w:p w14:paraId="4D7E4145" w14:textId="77777777" w:rsidR="00776B5F" w:rsidRPr="00722885" w:rsidRDefault="00776B5F" w:rsidP="00722885">
      <w:pPr>
        <w:pStyle w:val="95"/>
        <w:shd w:val="clear" w:color="auto" w:fill="auto"/>
        <w:spacing w:after="0" w:line="240" w:lineRule="auto"/>
        <w:ind w:firstLine="0"/>
        <w:jc w:val="both"/>
        <w:rPr>
          <w:color w:val="0070C0"/>
          <w:sz w:val="16"/>
          <w:szCs w:val="16"/>
        </w:rPr>
      </w:pPr>
      <w:r w:rsidRPr="00722885">
        <w:rPr>
          <w:color w:val="0070C0"/>
          <w:sz w:val="16"/>
          <w:szCs w:val="16"/>
        </w:rPr>
        <w:t>Надо полагать, «фронтовой вариант» Ил-2 с пулеметом ШКАС к тому моменту уже по</w:t>
      </w:r>
      <w:r w:rsidRPr="00722885">
        <w:rPr>
          <w:color w:val="0070C0"/>
          <w:sz w:val="16"/>
          <w:szCs w:val="16"/>
        </w:rPr>
        <w:softHyphen/>
        <w:t>строили, и теперь необходимо было этот само</w:t>
      </w:r>
      <w:r w:rsidRPr="00722885">
        <w:rPr>
          <w:color w:val="0070C0"/>
          <w:sz w:val="16"/>
          <w:szCs w:val="16"/>
        </w:rPr>
        <w:softHyphen/>
        <w:t>лет узаконить (19877).</w:t>
      </w:r>
    </w:p>
    <w:p w14:paraId="7F9ACF8D" w14:textId="77777777" w:rsidR="00776B5F" w:rsidRPr="00722885" w:rsidRDefault="00776B5F" w:rsidP="00722885">
      <w:pPr>
        <w:pStyle w:val="95"/>
        <w:shd w:val="clear" w:color="auto" w:fill="auto"/>
        <w:spacing w:after="0" w:line="240" w:lineRule="auto"/>
        <w:ind w:firstLine="0"/>
        <w:jc w:val="both"/>
        <w:rPr>
          <w:color w:val="0070C0"/>
          <w:sz w:val="16"/>
          <w:szCs w:val="16"/>
        </w:rPr>
      </w:pPr>
    </w:p>
    <w:p w14:paraId="74EDE0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24-26 сентября 1942 был выполнен выпуск документации по оборудованию Ил-2 пулеметами УБТ 12.7 мм с боезапасом 200 патронов. Оценка войсковых испытаний: "Двухместный Ил-2 с задней стрелковой установкой под УБТ может быть эффективно использован в штурмовых частях ВВС и выполнять боевые задачи без сопровождения истребителей (3846,18).</w:t>
      </w:r>
    </w:p>
    <w:p w14:paraId="64D0A7E8" w14:textId="77777777" w:rsidR="00090C9B" w:rsidRPr="00722885" w:rsidRDefault="00090C9B" w:rsidP="00722885">
      <w:pPr>
        <w:pStyle w:val="Iauiue"/>
        <w:jc w:val="both"/>
        <w:rPr>
          <w:color w:val="000000" w:themeColor="text1"/>
          <w:sz w:val="16"/>
          <w:szCs w:val="16"/>
        </w:rPr>
      </w:pPr>
    </w:p>
    <w:p w14:paraId="33C65A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24-30 сентября 1942 был выполнен выпуск конструкторской документации по оборудованию Ил-2 пулеметами ШКАС (3846,18).</w:t>
      </w:r>
    </w:p>
    <w:p w14:paraId="5B8ADDEE" w14:textId="77777777" w:rsidR="00090C9B" w:rsidRPr="00722885" w:rsidRDefault="00090C9B" w:rsidP="00722885">
      <w:pPr>
        <w:pStyle w:val="Iauiue"/>
        <w:jc w:val="both"/>
        <w:rPr>
          <w:color w:val="000000" w:themeColor="text1"/>
          <w:sz w:val="16"/>
          <w:szCs w:val="16"/>
        </w:rPr>
      </w:pPr>
    </w:p>
    <w:p w14:paraId="7970CF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сентября 1942 г. Отчет по испытаниям с-та Ил-2 № 1876522</w:t>
      </w:r>
    </w:p>
    <w:tbl>
      <w:tblPr>
        <w:tblW w:w="4928" w:type="pct"/>
        <w:jc w:val="center"/>
        <w:tblCellSpacing w:w="7" w:type="dxa"/>
        <w:tblCellMar>
          <w:top w:w="30" w:type="dxa"/>
          <w:left w:w="30" w:type="dxa"/>
          <w:bottom w:w="30" w:type="dxa"/>
          <w:right w:w="30" w:type="dxa"/>
        </w:tblCellMar>
        <w:tblLook w:val="04A0" w:firstRow="1" w:lastRow="0" w:firstColumn="1" w:lastColumn="0" w:noHBand="0" w:noVBand="1"/>
      </w:tblPr>
      <w:tblGrid>
        <w:gridCol w:w="2971"/>
        <w:gridCol w:w="1351"/>
        <w:gridCol w:w="1421"/>
        <w:gridCol w:w="5422"/>
      </w:tblGrid>
      <w:tr w:rsidR="009B487A" w:rsidRPr="00722885" w14:paraId="49C4A79D" w14:textId="77777777" w:rsidTr="00CC5360">
        <w:trPr>
          <w:tblCellSpacing w:w="7" w:type="dxa"/>
          <w:jc w:val="center"/>
        </w:trPr>
        <w:tc>
          <w:tcPr>
            <w:tcW w:w="4987" w:type="pct"/>
            <w:gridSpan w:val="4"/>
            <w:tcBorders>
              <w:top w:val="single" w:sz="4" w:space="0" w:color="auto"/>
              <w:left w:val="single" w:sz="4" w:space="0" w:color="auto"/>
              <w:bottom w:val="single" w:sz="4" w:space="0" w:color="auto"/>
              <w:right w:val="single" w:sz="4" w:space="0" w:color="auto"/>
            </w:tcBorders>
            <w:vAlign w:val="center"/>
            <w:hideMark/>
          </w:tcPr>
          <w:p w14:paraId="77E290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Винт ВИШ-22Т.    Производство завода № 35.    Конструктор Кузьмин.</w:t>
            </w:r>
          </w:p>
        </w:tc>
      </w:tr>
      <w:tr w:rsidR="009B487A" w:rsidRPr="00722885" w14:paraId="32B6A1E2"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185F0D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1855F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4BFDE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Предназначен для</w:t>
            </w:r>
          </w:p>
          <w:p w14:paraId="0FB47A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9C196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Ил-2 с АМ-38.</w:t>
            </w:r>
          </w:p>
        </w:tc>
      </w:tr>
      <w:tr w:rsidR="009B487A" w:rsidRPr="00722885" w14:paraId="341A59D0"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236D33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2F6115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A84991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F0E8A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AA81F80"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71F43F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24081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3FA1BBA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F0AD80E"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5ECD4F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0576D2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80ECD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55ACBFA"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5E0F9D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180BC1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5FF7C9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2CCE687C"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074FEE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ширина лопастей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2081F1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40B33C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FD5BA2E"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058B14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Относительная толщина лопастей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43AF4E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76BDBA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E0EBCDD"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055458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0FE214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Clark-Y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F3ACE7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94E96A4"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56702E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28C1F6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408310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C348DD7"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16F5E0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Минимальный установочный угол</w:t>
            </w:r>
          </w:p>
          <w:p w14:paraId="71A04D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2DBE83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0C7CDF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AFDFAA3"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57322B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AAF39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F4DE95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B450053"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1C850A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6E019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E43D4B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45774EF"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412A23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089A29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D3DBBB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20A514EC"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0A2DCE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A5E21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0,732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835525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CCA1B4D"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78206D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F1520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88856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Состояние</w:t>
            </w:r>
          </w:p>
          <w:p w14:paraId="617E57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6E001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 испытания прошел удовлетворительно в 1942 году совместно с самолетом Ил-2 с АМ-38</w:t>
            </w:r>
          </w:p>
          <w:p w14:paraId="1A97CE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Находится в эксплоатации. С серийного производства снят и заменен винтом АВ5-158.</w:t>
            </w:r>
          </w:p>
        </w:tc>
      </w:tr>
      <w:tr w:rsidR="009B487A" w:rsidRPr="00722885" w14:paraId="528E161D"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008635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37C842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Р-2 и 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A023E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8EFD0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EA3A27D"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2FF33A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10C33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2497E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E5380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6579FAF" w14:textId="77777777" w:rsidTr="00CC5360">
        <w:trPr>
          <w:tblCellSpacing w:w="7" w:type="dxa"/>
          <w:jc w:val="center"/>
        </w:trPr>
        <w:tc>
          <w:tcPr>
            <w:tcW w:w="1326" w:type="pct"/>
            <w:tcBorders>
              <w:top w:val="single" w:sz="4" w:space="0" w:color="auto"/>
              <w:left w:val="single" w:sz="4" w:space="0" w:color="auto"/>
              <w:bottom w:val="single" w:sz="4" w:space="0" w:color="auto"/>
              <w:right w:val="single" w:sz="4" w:space="0" w:color="auto"/>
            </w:tcBorders>
            <w:vAlign w:val="center"/>
            <w:hideMark/>
          </w:tcPr>
          <w:p w14:paraId="269D5A7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DA57FB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512292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Источник сведений: Отчет по испытаниям с-та Ил-2 № 1876522 от 24.9.42 г.</w:t>
            </w:r>
          </w:p>
        </w:tc>
      </w:tr>
    </w:tbl>
    <w:p w14:paraId="5A95D8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(12227).</w:t>
      </w:r>
    </w:p>
    <w:p w14:paraId="41A88E2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A62FA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сентября 1942 Постановлением ГКО была утверждена схема перевооружения "Бостон", предложенная ОКБ завода № 43: два неподвижных УБК по бортам штурманской кабины, сверху УТК-1 с УБТ и еще одни УБТ в люке на установке от Пе-2. Переделке подлежали все Б-3 (т.е. DB-7B, DB-7 С и А-20С). Первые 30 самолетов требовалось перевооружить уже в сентябре 1942 года (3457,102).</w:t>
      </w:r>
    </w:p>
    <w:p w14:paraId="4238F1F5" w14:textId="77777777" w:rsidR="00090C9B" w:rsidRPr="00722885" w:rsidRDefault="00090C9B" w:rsidP="00722885">
      <w:pPr>
        <w:pStyle w:val="Iauiue"/>
        <w:jc w:val="both"/>
        <w:rPr>
          <w:color w:val="000000" w:themeColor="text1"/>
          <w:sz w:val="16"/>
          <w:szCs w:val="16"/>
        </w:rPr>
      </w:pPr>
    </w:p>
    <w:p w14:paraId="1DA715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сентября 1942 вышло Постановление ГКО № 2336 О перевооружении самолетов "Бостон-3". РГАНИР, Фонд ГКО, д. 58, лл. 1 (11012).</w:t>
      </w:r>
    </w:p>
    <w:p w14:paraId="2DFA471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586C746" w14:textId="77777777" w:rsidR="00EA3361" w:rsidRPr="00722885" w:rsidRDefault="00EA33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сентября 1942 вышло Постановление ГКО № 2336 О перевооружении самолетов "Бостон-3"</w:t>
      </w:r>
    </w:p>
    <w:p w14:paraId="4E97BAEB" w14:textId="77777777" w:rsidR="00EA3361" w:rsidRPr="00722885" w:rsidRDefault="00EA3361"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 целях повышения боевых качеств самолета "Бостон-3", состоящего на вооружении ВВС КА, Государственный Комитет Обороны постановляет:</w:t>
      </w:r>
    </w:p>
    <w:p w14:paraId="2DEAB831" w14:textId="77777777" w:rsidR="00EA3361" w:rsidRPr="00722885" w:rsidRDefault="00EA3361" w:rsidP="00722885">
      <w:pPr>
        <w:pStyle w:val="6"/>
        <w:shd w:val="clear" w:color="auto" w:fill="auto"/>
        <w:tabs>
          <w:tab w:val="left" w:pos="968"/>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1. Снять существующие турельную и люковую установки пулеметов "Браунинг" и "Виккерс" калибра </w:t>
      </w:r>
      <w:r w:rsidRPr="00722885">
        <w:rPr>
          <w:rStyle w:val="0pt"/>
          <w:rFonts w:ascii="Times New Roman" w:hAnsi="Times New Roman" w:cs="Times New Roman"/>
          <w:color w:val="000000" w:themeColor="text1"/>
          <w:spacing w:val="0"/>
          <w:sz w:val="16"/>
          <w:szCs w:val="16"/>
        </w:rPr>
        <w:t>7,7</w:t>
      </w:r>
      <w:r w:rsidRPr="00722885">
        <w:rPr>
          <w:rFonts w:ascii="Times New Roman" w:hAnsi="Times New Roman" w:cs="Times New Roman"/>
          <w:color w:val="000000" w:themeColor="text1"/>
          <w:spacing w:val="0"/>
          <w:sz w:val="16"/>
          <w:szCs w:val="16"/>
        </w:rPr>
        <w:t xml:space="preserve"> мм и поставить вместо них отечественные турельную установку УТК-1 с пуле</w:t>
      </w:r>
      <w:r w:rsidRPr="00722885">
        <w:rPr>
          <w:rFonts w:ascii="Times New Roman" w:hAnsi="Times New Roman" w:cs="Times New Roman"/>
          <w:color w:val="000000" w:themeColor="text1"/>
          <w:spacing w:val="0"/>
          <w:sz w:val="16"/>
          <w:szCs w:val="16"/>
        </w:rPr>
        <w:softHyphen/>
        <w:t xml:space="preserve">метом "УБТ" калибра </w:t>
      </w:r>
      <w:r w:rsidRPr="00722885">
        <w:rPr>
          <w:rStyle w:val="0pt"/>
          <w:rFonts w:ascii="Times New Roman" w:hAnsi="Times New Roman" w:cs="Times New Roman"/>
          <w:color w:val="000000" w:themeColor="text1"/>
          <w:spacing w:val="0"/>
          <w:sz w:val="16"/>
          <w:szCs w:val="16"/>
        </w:rPr>
        <w:t>12.7</w:t>
      </w:r>
      <w:r w:rsidRPr="00722885">
        <w:rPr>
          <w:rFonts w:ascii="Times New Roman" w:hAnsi="Times New Roman" w:cs="Times New Roman"/>
          <w:color w:val="000000" w:themeColor="text1"/>
          <w:spacing w:val="0"/>
          <w:sz w:val="16"/>
          <w:szCs w:val="16"/>
        </w:rPr>
        <w:t xml:space="preserve"> мм и люковую установку ЛУ-Пе-2 также с пулеметом "УБТ" калибра </w:t>
      </w:r>
      <w:r w:rsidRPr="00722885">
        <w:rPr>
          <w:rStyle w:val="0pt"/>
          <w:rFonts w:ascii="Times New Roman" w:hAnsi="Times New Roman" w:cs="Times New Roman"/>
          <w:color w:val="000000" w:themeColor="text1"/>
          <w:spacing w:val="0"/>
          <w:sz w:val="16"/>
          <w:szCs w:val="16"/>
        </w:rPr>
        <w:t>12,7</w:t>
      </w:r>
      <w:r w:rsidRPr="00722885">
        <w:rPr>
          <w:rFonts w:ascii="Times New Roman" w:hAnsi="Times New Roman" w:cs="Times New Roman"/>
          <w:color w:val="000000" w:themeColor="text1"/>
          <w:spacing w:val="0"/>
          <w:sz w:val="16"/>
          <w:szCs w:val="16"/>
        </w:rPr>
        <w:t xml:space="preserve"> мм.</w:t>
      </w:r>
    </w:p>
    <w:p w14:paraId="20A8FC14" w14:textId="77777777" w:rsidR="00EA3361" w:rsidRPr="00722885" w:rsidRDefault="00EA3361" w:rsidP="00722885">
      <w:pPr>
        <w:pStyle w:val="6"/>
        <w:shd w:val="clear" w:color="auto" w:fill="auto"/>
        <w:tabs>
          <w:tab w:val="left" w:pos="960"/>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3. Повысить бомбовую загруэку самолета до 800-1000 кг., для чего переделать бомбодержатели самолета для подвески 8 бомб ФАБ-100, или 4 бомб аАБ-250 цк или же 4 кассет мел</w:t>
      </w:r>
      <w:r w:rsidRPr="00722885">
        <w:rPr>
          <w:rFonts w:ascii="Times New Roman" w:hAnsi="Times New Roman" w:cs="Times New Roman"/>
          <w:color w:val="000000" w:themeColor="text1"/>
          <w:spacing w:val="0"/>
          <w:sz w:val="16"/>
          <w:szCs w:val="16"/>
        </w:rPr>
        <w:softHyphen/>
        <w:t>ких бомб.</w:t>
      </w:r>
    </w:p>
    <w:p w14:paraId="0DDB61A9" w14:textId="77777777" w:rsidR="00EA3361" w:rsidRPr="00722885" w:rsidRDefault="00EA3361" w:rsidP="00722885">
      <w:pPr>
        <w:pStyle w:val="6"/>
        <w:shd w:val="clear" w:color="auto" w:fill="auto"/>
        <w:tabs>
          <w:tab w:val="left" w:pos="1948"/>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3. Обязать Наркомавиапром т.Шахурина произвести пере</w:t>
      </w:r>
      <w:r w:rsidRPr="00722885">
        <w:rPr>
          <w:rFonts w:ascii="Times New Roman" w:hAnsi="Times New Roman" w:cs="Times New Roman"/>
          <w:color w:val="000000" w:themeColor="text1"/>
          <w:spacing w:val="0"/>
          <w:sz w:val="16"/>
          <w:szCs w:val="16"/>
        </w:rPr>
        <w:softHyphen/>
        <w:t>вооружение самолетов "Бостон-3", в соответствии с п.п.1 и 2 настоящего постановления, в следующие сроки: 30 самоле</w:t>
      </w:r>
      <w:r w:rsidRPr="00722885">
        <w:rPr>
          <w:rFonts w:ascii="Times New Roman" w:hAnsi="Times New Roman" w:cs="Times New Roman"/>
          <w:color w:val="000000" w:themeColor="text1"/>
          <w:spacing w:val="0"/>
          <w:sz w:val="16"/>
          <w:szCs w:val="16"/>
        </w:rPr>
        <w:softHyphen/>
        <w:t xml:space="preserve">тов - в сентябре, 50 самолетов - в октябре, 75 самолетов - в ноябре, </w:t>
      </w:r>
      <w:r w:rsidRPr="00722885">
        <w:rPr>
          <w:rStyle w:val="0pt"/>
          <w:rFonts w:ascii="Times New Roman" w:hAnsi="Times New Roman" w:cs="Times New Roman"/>
          <w:color w:val="000000" w:themeColor="text1"/>
          <w:spacing w:val="0"/>
          <w:sz w:val="16"/>
          <w:szCs w:val="16"/>
        </w:rPr>
        <w:t>100</w:t>
      </w:r>
      <w:r w:rsidRPr="00722885">
        <w:rPr>
          <w:rFonts w:ascii="Times New Roman" w:hAnsi="Times New Roman" w:cs="Times New Roman"/>
          <w:color w:val="000000" w:themeColor="text1"/>
          <w:spacing w:val="0"/>
          <w:sz w:val="16"/>
          <w:szCs w:val="16"/>
        </w:rPr>
        <w:t xml:space="preserve"> самолетов - в декабре с.г."и далее по мере по</w:t>
      </w:r>
      <w:r w:rsidRPr="00722885">
        <w:rPr>
          <w:rFonts w:ascii="Times New Roman" w:hAnsi="Times New Roman" w:cs="Times New Roman"/>
          <w:color w:val="000000" w:themeColor="text1"/>
          <w:spacing w:val="0"/>
          <w:sz w:val="16"/>
          <w:szCs w:val="16"/>
        </w:rPr>
        <w:softHyphen/>
        <w:t>ступления самолетов (19367).</w:t>
      </w:r>
    </w:p>
    <w:p w14:paraId="343E546E" w14:textId="77777777" w:rsidR="0016028C" w:rsidRPr="00722885" w:rsidRDefault="0016028C" w:rsidP="00722885">
      <w:pPr>
        <w:spacing w:after="0" w:line="240" w:lineRule="auto"/>
        <w:jc w:val="both"/>
        <w:rPr>
          <w:rFonts w:ascii="Times New Roman" w:hAnsi="Times New Roman"/>
          <w:color w:val="000000" w:themeColor="text1"/>
          <w:sz w:val="16"/>
          <w:szCs w:val="16"/>
        </w:rPr>
      </w:pPr>
    </w:p>
    <w:p w14:paraId="5639D7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сентября 1942 вышло Постановление ГКО № 2337 О подвесных бензобаках для ВВС Красной Армии. РГАНИР, Фонд ГКО, д. 58, лл. 2, 3-4 (11012).</w:t>
      </w:r>
    </w:p>
    <w:p w14:paraId="03FDE3C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E1903C4" w14:textId="77777777" w:rsidR="00EA3361" w:rsidRPr="00722885" w:rsidRDefault="00EA33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сентября 1942 вышло Постановление ГКО № 2337 О подвесных бензобаках для ВВС Красной Армии</w:t>
      </w:r>
    </w:p>
    <w:p w14:paraId="60B25D4E"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Государственный Комитет Обороны постановляет:</w:t>
      </w:r>
    </w:p>
    <w:p w14:paraId="35B250C7" w14:textId="77777777" w:rsidR="00EA3361" w:rsidRPr="00722885" w:rsidRDefault="00EA3361" w:rsidP="00722885">
      <w:pPr>
        <w:pStyle w:val="36"/>
        <w:shd w:val="clear" w:color="auto" w:fill="auto"/>
        <w:tabs>
          <w:tab w:val="left" w:pos="1065"/>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1. Обязать Наркомстройматериалов СССР (т.Соснина) обеспе</w:t>
      </w:r>
      <w:r w:rsidRPr="00722885">
        <w:rPr>
          <w:rFonts w:ascii="Times New Roman" w:cs="Times New Roman"/>
          <w:color w:val="000000" w:themeColor="text1"/>
          <w:spacing w:val="0"/>
          <w:sz w:val="16"/>
          <w:szCs w:val="16"/>
        </w:rPr>
        <w:softHyphen/>
        <w:t>чить на заводе "Москватоль" выпуск подвесных</w:t>
      </w:r>
      <w:r w:rsidRPr="00722885">
        <w:rPr>
          <w:rStyle w:val="75pt"/>
          <w:rFonts w:ascii="Times New Roman" w:hAnsi="Times New Roman" w:cs="Times New Roman"/>
          <w:color w:val="000000" w:themeColor="text1"/>
          <w:sz w:val="16"/>
          <w:szCs w:val="16"/>
        </w:rPr>
        <w:t xml:space="preserve"> бензобакоЕ ПЛБ</w:t>
      </w:r>
      <w:r w:rsidRPr="00722885">
        <w:rPr>
          <w:rFonts w:ascii="Times New Roman" w:cs="Times New Roman"/>
          <w:color w:val="000000" w:themeColor="text1"/>
          <w:spacing w:val="0"/>
          <w:sz w:val="16"/>
          <w:szCs w:val="16"/>
        </w:rPr>
        <w:t>Г-350 для ВВС КА с 1 ноября с.г. по 100 штук в сутки, с 15 ноября с.г. по 150 штук в сутки и с 15 декабря с.г. по 200 штук в сутки.</w:t>
      </w:r>
    </w:p>
    <w:p w14:paraId="14D1BB29" w14:textId="77777777" w:rsidR="00EA3361" w:rsidRPr="00722885" w:rsidRDefault="00EA3361" w:rsidP="00722885">
      <w:pPr>
        <w:pStyle w:val="36"/>
        <w:shd w:val="clear" w:color="auto" w:fill="auto"/>
        <w:tabs>
          <w:tab w:val="left" w:pos="2250"/>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2. мероприятия по обеспечению производства под</w:t>
      </w:r>
      <w:r w:rsidRPr="00722885">
        <w:rPr>
          <w:rFonts w:ascii="Times New Roman" w:cs="Times New Roman"/>
          <w:color w:val="000000" w:themeColor="text1"/>
          <w:spacing w:val="0"/>
          <w:sz w:val="16"/>
          <w:szCs w:val="16"/>
        </w:rPr>
        <w:softHyphen/>
        <w:t>весных бензобаклв заводе "Москватоль" Наркомстройматериалов СССР (см. приложение) (10368).</w:t>
      </w:r>
    </w:p>
    <w:p w14:paraId="4D05D7B4" w14:textId="77777777" w:rsidR="00EA3361" w:rsidRPr="00722885" w:rsidRDefault="00EA3361" w:rsidP="00722885">
      <w:pPr>
        <w:spacing w:after="0" w:line="240" w:lineRule="auto"/>
        <w:jc w:val="both"/>
        <w:rPr>
          <w:rFonts w:ascii="Times New Roman" w:hAnsi="Times New Roman"/>
          <w:color w:val="000000" w:themeColor="text1"/>
          <w:sz w:val="16"/>
          <w:szCs w:val="16"/>
        </w:rPr>
      </w:pPr>
    </w:p>
    <w:p w14:paraId="7430FCF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66665A2" w14:textId="77777777" w:rsidR="00090C9B" w:rsidRPr="00722885" w:rsidRDefault="00090C9B" w:rsidP="00722885">
      <w:pPr>
        <w:pStyle w:val="Iauiue"/>
        <w:jc w:val="both"/>
        <w:rPr>
          <w:iCs/>
          <w:color w:val="000000" w:themeColor="text1"/>
          <w:sz w:val="16"/>
          <w:szCs w:val="16"/>
        </w:rPr>
      </w:pPr>
    </w:p>
    <w:p w14:paraId="7155A4B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24 сентября 1942 года вышел приказ № 675сс НКТП</w:t>
      </w:r>
    </w:p>
    <w:p w14:paraId="7D9D929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Ввести с 1 октября 1942 года единую систему нумерации танков, двигателей и корпусов ………</w:t>
      </w:r>
    </w:p>
    <w:p w14:paraId="210CAF9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Номер танка составляется следующим образом:</w:t>
      </w:r>
    </w:p>
    <w:p w14:paraId="7EB9623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Р3084569, где</w:t>
      </w:r>
    </w:p>
    <w:p w14:paraId="28F9A57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Буква – индекс завода</w:t>
      </w:r>
    </w:p>
    <w:p w14:paraId="0C4D4C7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Первая цифра – индекс года</w:t>
      </w:r>
    </w:p>
    <w:p w14:paraId="0C7AB48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Вторая и третья цифры – индекс месяца</w:t>
      </w:r>
    </w:p>
    <w:p w14:paraId="5A6CE70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Остальные цифры, но не более четырех – у словный номер машины, даваемой заводом</w:t>
      </w:r>
    </w:p>
    <w:p w14:paraId="1EE7C9A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Соответственно этой системе присвоены индексы:</w:t>
      </w:r>
    </w:p>
    <w:p w14:paraId="3D305B9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177 - В</w:t>
      </w:r>
    </w:p>
    <w:p w14:paraId="0336B21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178 - Д</w:t>
      </w:r>
    </w:p>
    <w:p w14:paraId="645A9DA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176 - М</w:t>
      </w:r>
    </w:p>
    <w:p w14:paraId="035E06B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183 - Т</w:t>
      </w:r>
    </w:p>
    <w:p w14:paraId="4933F05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112 - Г</w:t>
      </w:r>
    </w:p>
    <w:p w14:paraId="6899433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76 - Е</w:t>
      </w:r>
    </w:p>
    <w:p w14:paraId="5AB401C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77 - Б</w:t>
      </w:r>
    </w:p>
    <w:p w14:paraId="46B5DC2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200 - Ч</w:t>
      </w:r>
    </w:p>
    <w:p w14:paraId="49CAC2D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174 - О</w:t>
      </w:r>
    </w:p>
    <w:p w14:paraId="02A19EA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180 - С</w:t>
      </w:r>
    </w:p>
    <w:p w14:paraId="0D51344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38 - Л</w:t>
      </w:r>
    </w:p>
    <w:p w14:paraId="7F4E808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УЗТМ - У</w:t>
      </w:r>
    </w:p>
    <w:p w14:paraId="01A6710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Кировский завод - К (6129, 121-122).</w:t>
      </w:r>
    </w:p>
    <w:p w14:paraId="694A5BE0" w14:textId="77777777" w:rsidR="00090C9B" w:rsidRPr="00722885" w:rsidRDefault="00090C9B" w:rsidP="00722885">
      <w:pPr>
        <w:pStyle w:val="Iauiue"/>
        <w:tabs>
          <w:tab w:val="left" w:pos="11199"/>
        </w:tabs>
        <w:jc w:val="both"/>
        <w:rPr>
          <w:color w:val="000000" w:themeColor="text1"/>
          <w:sz w:val="16"/>
          <w:szCs w:val="16"/>
        </w:rPr>
      </w:pPr>
    </w:p>
    <w:p w14:paraId="64B38DC5" w14:textId="77777777" w:rsidR="00F05BFB" w:rsidRPr="00722885" w:rsidRDefault="00F05BFB"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24 сентября 1942 года в адрес главного инженера УЗТМ М. Г. Умнягина пришло письмо, подписанное начальником 6 отдела БТУ ГАБТУ КА инженером-полковником Ковалёвым:</w:t>
      </w:r>
    </w:p>
    <w:p w14:paraId="5752AB5C" w14:textId="77777777" w:rsidR="00F05BFB" w:rsidRPr="00722885" w:rsidRDefault="00F05BFB"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iCs/>
          <w:color w:val="000000" w:themeColor="text1"/>
          <w:sz w:val="16"/>
          <w:szCs w:val="16"/>
        </w:rPr>
        <w:t>«На Ваш №3655/48с от 4.9.42 года о проекте самоходной установки «У-18» сообщаю, что аналогичный проект, предложенный товарищем Петровым с 12.9 по 14.9.42 года обсуждался на заседании Технического Комитета Совета Наркомата Вооружения».</w:t>
      </w:r>
    </w:p>
    <w:p w14:paraId="1984DEBC" w14:textId="77777777" w:rsidR="00F05BFB" w:rsidRPr="00722885" w:rsidRDefault="00F05BFB"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lastRenderedPageBreak/>
        <w:t>Вот так, совершенно внезапно, история У-18 закончилась, даже не успев толком начаться. Самоходы У-18 и У-19, разработанные под руководством Горлицкого, так и остались бумажными проектами. Они настолько плотно осели в архивах, что о них забыли напрочь. На слуху остались только индексы, которые позже, ввиду недостатка информации, отечественные историки присвоили проектам, разрабатывавшимся в КБ завода №8 под руководством Ф. Ф. Петрова (15838).</w:t>
      </w:r>
    </w:p>
    <w:p w14:paraId="1961A4DF" w14:textId="77777777" w:rsidR="00F05BFB" w:rsidRPr="00722885" w:rsidRDefault="00F05BFB" w:rsidP="00722885">
      <w:pPr>
        <w:spacing w:after="0" w:line="240" w:lineRule="auto"/>
        <w:jc w:val="both"/>
        <w:rPr>
          <w:rFonts w:ascii="Times New Roman" w:eastAsia="Times New Roman" w:hAnsi="Times New Roman"/>
          <w:color w:val="000000" w:themeColor="text1"/>
          <w:sz w:val="16"/>
          <w:szCs w:val="16"/>
        </w:rPr>
      </w:pPr>
    </w:p>
    <w:p w14:paraId="51FEB8EE" w14:textId="77777777" w:rsidR="003E7C14" w:rsidRPr="00722885" w:rsidRDefault="003E7C1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24 сентября 1942 года в адрес главного инженера УЗТМ М. Г. Умнягина пришло письмо, подписанное начальником 6 отдела БТУ ГАБТУ КА инженером-полковником Ковалёвым:</w:t>
      </w:r>
    </w:p>
    <w:p w14:paraId="34096BF6" w14:textId="77777777" w:rsidR="003E7C14" w:rsidRPr="00722885" w:rsidRDefault="003E7C1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«На Ваш №3655/48с от 4.9.42 года о проекте самоходной установки «У-18» сообщаю, что аналогичный проект, предложенный товарищем Петровым с 12.9 по 14.9.42 года обсуждался на заседании Технического Комитета Совета Наркомата Вооружения».</w:t>
      </w:r>
    </w:p>
    <w:p w14:paraId="687F8C9D" w14:textId="77777777" w:rsidR="003E7C14" w:rsidRPr="00722885" w:rsidRDefault="003E7C1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Вот так, совершенно внезапно, история У-18 закончилась, даже не успев толком начаться. Самоходы У-18 и У-19, разработанные под руководством Горлицкого, так и остались бумажными проектами. Они настолько плотно осели в архивах, что о них забыли напрочь. На слуху остались только индексы, которые позже, ввиду недостатка информации, отечественные историки присвоили проектам, разрабатывавшимся в КБ завода №8 под руководством Ф. Ф. Петрова (17647).</w:t>
      </w:r>
    </w:p>
    <w:p w14:paraId="0042517C" w14:textId="77777777" w:rsidR="003E7C14" w:rsidRPr="00722885" w:rsidRDefault="003E7C14" w:rsidP="00722885">
      <w:pPr>
        <w:spacing w:after="0" w:line="240" w:lineRule="auto"/>
        <w:jc w:val="both"/>
        <w:rPr>
          <w:rFonts w:ascii="Times New Roman" w:hAnsi="Times New Roman"/>
          <w:color w:val="000000" w:themeColor="text1"/>
          <w:sz w:val="16"/>
          <w:szCs w:val="16"/>
        </w:rPr>
      </w:pPr>
    </w:p>
    <w:p w14:paraId="0B3CAB7C" w14:textId="77777777" w:rsidR="009D3895" w:rsidRPr="00722885" w:rsidRDefault="009D3895" w:rsidP="00722885">
      <w:pPr>
        <w:pStyle w:val="a3"/>
        <w:rPr>
          <w:color w:val="000000" w:themeColor="text1"/>
          <w:lang w:val="ru-RU"/>
        </w:rPr>
      </w:pPr>
      <w:r w:rsidRPr="00722885">
        <w:rPr>
          <w:color w:val="000000" w:themeColor="text1"/>
          <w:lang w:val="ru-RU"/>
        </w:rPr>
        <w:t>24 сентября 1942 года в адрес главного инженера УЗТМ М.Г. Умнягина пришло письмо, подписанное начальником 6-го отдела БТУ ГАБТУ КА инженер-полковником Ковалевым:</w:t>
      </w:r>
    </w:p>
    <w:p w14:paraId="318B78AF"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«На Ваш №3655/48с от 4.9.42 года о проекте самоходной установки «У-18» сообщаю, что аналогичный проект, предложенный товарищем Петровым с 12.9 по 14.9.42 года обсуждался на заседании Технического Комитета Совета Наркомата Вооружения» (17484).</w:t>
      </w:r>
    </w:p>
    <w:p w14:paraId="4EA1A21D"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p>
    <w:p w14:paraId="29D507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сентября 1942 ЦК ВКП(б) рассмотрел положение с выполнением производственной программы в угольной промышленности восточных регионов (338,28).</w:t>
      </w:r>
    </w:p>
    <w:p w14:paraId="6C83A971" w14:textId="77777777" w:rsidR="00090C9B" w:rsidRPr="00722885" w:rsidRDefault="00090C9B" w:rsidP="00722885">
      <w:pPr>
        <w:pStyle w:val="Iauiue"/>
        <w:jc w:val="both"/>
        <w:rPr>
          <w:color w:val="000000" w:themeColor="text1"/>
          <w:sz w:val="16"/>
          <w:szCs w:val="16"/>
        </w:rPr>
      </w:pPr>
    </w:p>
    <w:p w14:paraId="12083EAD" w14:textId="77777777" w:rsidR="00090C9B" w:rsidRPr="00722885" w:rsidRDefault="00090C9B" w:rsidP="00722885">
      <w:pPr>
        <w:pStyle w:val="ae"/>
        <w:shd w:val="clear" w:color="auto" w:fill="FFFFFF"/>
        <w:spacing w:before="0" w:after="0"/>
        <w:jc w:val="both"/>
        <w:rPr>
          <w:bCs/>
          <w:color w:val="000000" w:themeColor="text1"/>
          <w:sz w:val="16"/>
          <w:szCs w:val="16"/>
        </w:rPr>
      </w:pPr>
      <w:r w:rsidRPr="00722885">
        <w:rPr>
          <w:bCs/>
          <w:color w:val="000000" w:themeColor="text1"/>
          <w:sz w:val="16"/>
          <w:szCs w:val="16"/>
        </w:rPr>
        <w:t>24 сентября 1942 на «Красном Сормове» спустили на воду Подводную лодку «М-104» — «Малютка» (заводский номер 301, «Ярославский комсомолец»), приемный акт подписан 10.09.1943. Капитан-лейтенант Федор Иванович Лукьянов принял «М-104» 24 февраля 1943 года. В этот день делегация Ярославской области в торжественной обстановке передала морякам Северного флота подводную лодку, построенную на средства комсомольцев области.</w:t>
      </w:r>
    </w:p>
    <w:p w14:paraId="6159389B" w14:textId="77777777" w:rsidR="00090C9B" w:rsidRPr="00722885" w:rsidRDefault="00090C9B" w:rsidP="00722885">
      <w:pPr>
        <w:pStyle w:val="ae"/>
        <w:shd w:val="clear" w:color="auto" w:fill="FFFFFF"/>
        <w:spacing w:before="0" w:after="0"/>
        <w:jc w:val="both"/>
        <w:rPr>
          <w:color w:val="000000" w:themeColor="text1"/>
          <w:sz w:val="16"/>
          <w:szCs w:val="16"/>
        </w:rPr>
      </w:pPr>
      <w:r w:rsidRPr="00722885">
        <w:rPr>
          <w:color w:val="000000" w:themeColor="text1"/>
          <w:sz w:val="16"/>
          <w:szCs w:val="16"/>
        </w:rPr>
        <w:t>8 мая 1943 «М-104» пошла в свой второй поход и попала в беду. Вот что пишет об этом в своей книге «Подводные рейды» флагмех бригады подводных лодок Северного Флота капитан I ранга П. А. Мирошниченко. Субмарина попала под массированную бомбежку немецкой авиации. Получила повреждения, казалось бы, несовместимые с живучестью корабля, но осталась на плаву и пришла на базу. «… Трещина в прочном корпусе метр с лишним длиной, — пишет флагмех Мирошниченко, — и в комплекте с ней одна или две пробоины от авиационных снарядов. По всему видно, две-три бомбы разорвались рядом с «Малюткой». Сила гидравлического удара была такова, что — это я видел впервые — поломались чугунные лапы, на которых в лодке намертво крепился корпус помпы — компрессора, образовалась трещина во фланцах крепления дизеля. Все перекосило, заклинило, сорвало…</w:t>
      </w:r>
    </w:p>
    <w:p w14:paraId="36DD7045" w14:textId="77777777" w:rsidR="00090C9B" w:rsidRPr="00722885" w:rsidRDefault="00090C9B" w:rsidP="00722885">
      <w:pPr>
        <w:pStyle w:val="ae"/>
        <w:shd w:val="clear" w:color="auto" w:fill="FFFFFF"/>
        <w:spacing w:before="0" w:after="0"/>
        <w:jc w:val="both"/>
        <w:rPr>
          <w:bCs/>
          <w:color w:val="000000" w:themeColor="text1"/>
          <w:sz w:val="16"/>
          <w:szCs w:val="16"/>
        </w:rPr>
      </w:pPr>
      <w:r w:rsidRPr="00722885">
        <w:rPr>
          <w:color w:val="000000" w:themeColor="text1"/>
          <w:sz w:val="16"/>
          <w:szCs w:val="16"/>
        </w:rPr>
        <w:t>… Изумлению моему не было предела, когда в первом отсеке я обнаружил в целости и сохранности двадцатилитровую бутыль со спиртом в плетенке, привязанную к трубопроводу по правому борту! Объяснить этот факт известными мне законами физики я не в состоянии. Я смотрел на эту двухведерную стеклянную емкость, как на восьмое чудо света. Бутыль сохранилась словно для того, чтобы озадачить каждого, кто попадал в отсек…. Трудное испытание ярославской «Малютки» подробно изучили на других лодках и «проиграли» на учениях по борьбе за живучесть. Опыт «Ярославского комсомольца» еще раз подтвердил боевую стойкость подводников и надежность небольшого, но добротно построенного корабля.</w:t>
      </w:r>
      <w:r w:rsidRPr="00722885">
        <w:rPr>
          <w:bCs/>
          <w:color w:val="000000" w:themeColor="text1"/>
          <w:sz w:val="16"/>
          <w:szCs w:val="16"/>
        </w:rPr>
        <w:t xml:space="preserve"> (12190).</w:t>
      </w:r>
    </w:p>
    <w:p w14:paraId="6828D85D" w14:textId="77777777" w:rsidR="00090C9B" w:rsidRPr="00722885" w:rsidRDefault="00090C9B" w:rsidP="00722885">
      <w:pPr>
        <w:pStyle w:val="ae"/>
        <w:shd w:val="clear" w:color="auto" w:fill="FFFFFF"/>
        <w:spacing w:before="0" w:after="0"/>
        <w:jc w:val="both"/>
        <w:rPr>
          <w:color w:val="000000" w:themeColor="text1"/>
          <w:sz w:val="16"/>
          <w:szCs w:val="16"/>
        </w:rPr>
      </w:pPr>
    </w:p>
    <w:p w14:paraId="020144B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5B54380" w14:textId="77777777" w:rsidR="00090C9B" w:rsidRPr="00722885" w:rsidRDefault="00090C9B" w:rsidP="00722885">
      <w:pPr>
        <w:pStyle w:val="Iauiue"/>
        <w:jc w:val="both"/>
        <w:rPr>
          <w:iCs/>
          <w:color w:val="000000" w:themeColor="text1"/>
          <w:sz w:val="16"/>
          <w:szCs w:val="16"/>
        </w:rPr>
      </w:pPr>
    </w:p>
    <w:p w14:paraId="15EB290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СЕНТЯБРЯ 1942 УТРЕННЕЕ СООБЩЕНИЕ Совинформбюро</w:t>
      </w:r>
    </w:p>
    <w:p w14:paraId="7991730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течение ночи на 24 сентября наши войска вели бои с противником в районе Сталинграда и в районе Моздока. На других фронтах существенных изменений не произошло. </w:t>
      </w:r>
    </w:p>
    <w:p w14:paraId="5BF6DCC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Сталинграда продолжались напряжённые бои. Наши части отбили несколько ожесточённых атак противника. Немцы несут большие потери и спешно подбрасывают подкрепления на самолётах. Н-ская танковая часть выбила немцев из укреплённых позиций, уничтожила 600 гитлеровцев, 6 вражеских танков и несколько автомашин. Бойцы части гвардии майора Никитина истребили 160 гитлеровцев и уничтожили артиллерийскую и 3 миномётные батареи противника. Красноармеец т. Кузнецов огнём из противотанкового ружья подбил 3 немецких танка. </w:t>
      </w:r>
    </w:p>
    <w:p w14:paraId="28807884"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Артиллерийским огнём кораблей Волжской военной флотилии подбито 3 танка, рассеяно и частью уничтожено до роты пехоты противника. </w:t>
      </w:r>
    </w:p>
    <w:p w14:paraId="639C189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Северо-западнее Сталинграда наши войска наносили контрудары немецко-фашистским войскам. Н-ская часть Красной Армии стремительной атакой выбила противника из одного населённого пункта. На поле Соя немцы оставили более 250 трупов. Нашими бойцами захвачено 3 орудия, 2 миномёта и 4 пулемёта. На другом участке Н-ское соединение отбило несколько атак противника и уничтожило до 700 немецких солдат и офицеров. Лейтенант Шошин огнём из противотанкового ружья сбил вражеский бомбардировщик. Старший лейтенант Мирохин пулемётным огнём зажёг «Хейнкель-111». Оба самолёта упали на территорию, занятую нашими войсками. </w:t>
      </w:r>
    </w:p>
    <w:p w14:paraId="76688BB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Юго-восточнее Новороссийска гитлеровцы, сосредоточив значительные силы, атаковали наши позиции. Атака противника отбита нашими частями. Уничтожено более 300 немецких солдат и офицеров, подавлен огонь артиллерийской и 2 миномётных батарей противника. Перейдя в контратаку, наши бойцы несколько потеснили противника. </w:t>
      </w:r>
    </w:p>
    <w:p w14:paraId="23C48EB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Синявина попытки противника вернуть потерянные ранее позиции потерпели неудачу. Наши войска отразили все атаки гитлеровцев и уничтожили 8 немецких танков. Захваченные в плен солдаты 49 полка 28 немецкой пехотной дивизии сообщили, что в ротах этого полка осталось по 20 и менее человек. Огнём нашей зенитной артиллерии и пехотного оружия сбито 16 немецких самолётов. </w:t>
      </w:r>
    </w:p>
    <w:p w14:paraId="46A32AE4"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Партизанский отряд, действующий в одном из районов Орловской области, отразил многочисленные атаки гитлеровцев, пытавшихся окружить лагерь партизан. Партизаны истребили в этих боях до 200 немецко-фашистских оккупантов. </w:t>
      </w:r>
    </w:p>
    <w:p w14:paraId="7CB139B4"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Пленный ефрейтор 5 роты 111 мотострелкового полка 11 немецкой танковой дивизии Эрвин Шольтц рассказал: «В июле я в составе запасного батальона выехал из Верхней Силезии на фронт. По пути из Брянска в Орёл я видел очень много разбитых вагонов и исковерканных цистерн. Солдаты мне говорили, что партизаны очень часто пускают под откос поезда с военными грузами. Уже свыше месяца на этом участке дороги курсирует немецкий бронепоезд, но аварии не прекращаются. Партизаны попрежнему минируют путь и подрывают мосты. </w:t>
      </w:r>
    </w:p>
    <w:p w14:paraId="35FF962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фронте я пробыл очень недолго. В первых же боях наша рота потеряла 7 приданных ей танков и большое количество солдат. В последнем бою я был ранен. Я попросил товарищей взять меня с собой, но они ответили: «Некогда нам с тобой возиться, русские уже близко». Я остался в блиндаже и попал в плен». </w:t>
      </w:r>
    </w:p>
    <w:p w14:paraId="2930B921"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деревне Захаровка, Курской области, немецкий комендант объявил населению, что 4 сентября все взрослые и дети обязаны явиться в помещение школы, где им сделают прививки. Крестьяне отказались от прививок и не пошли в школу. Тогда комендант с помощью солдат согнал во двор большую группу жителей. Немецкие врачи отобрали 26 человек, в том числе Солнцева Петра — 14 лет, Грачёву Веру— 11 лет, Дворникову Екатерину — 9 лет и других, и взяли у них большие дозы крови, не считаясь ни с какими медицинскими нормами. От большой потери крови умерло 9 человек, в том числе 5 подростков. </w:t>
      </w:r>
    </w:p>
    <w:p w14:paraId="4D3AE1B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Бреста (Франция) группа свободных стрелков напала на немецкий патруль. Истребив четырёх гитлеровцев, патриоты скрылись. В лесу близ Мальтруа отряд эсэсовцев попал в засаду и был уничтожен свободными стрелками. Патриоты захватили 11 автоматов и патроны (14779).</w:t>
      </w:r>
    </w:p>
    <w:p w14:paraId="66F2AC5B"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06CB0EB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СЕНТЯБРЯ 1942 ВЕЧЕРНЕЕ СООБЩЕНИЕ Совинформбюро:</w:t>
      </w:r>
    </w:p>
    <w:p w14:paraId="36FFDB9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течение 24 сентября наши войска вели ожесточённые бои с противником в районе Сталинграда, в районе Моздока и в районе Синявино. На других фронтах существенных изменений не произошло. </w:t>
      </w:r>
    </w:p>
    <w:p w14:paraId="109825A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 23 сентября частями нашей авиации на различных участках фронта уничтожено или повреждено до 10 немецких танков, 15 автомашин с войсками и грузами, подавлен огонь артиллерийской батареи и 8 зенитно-пулемётных точек, взорваны 2 склада боеприпасов и склад горючего, рассеяно и частью уничтожено до батальона пехоты противника. </w:t>
      </w:r>
    </w:p>
    <w:p w14:paraId="37E8F31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Сталинграда наши войска отбили атаки противника. Гвардейцы-миномётчики огневыми налётами по войскам неприятеля уничтожили два батальона немецкой пехоты. Бойцы Н-ской части Красной Армии в ожесточённом бою истребили 250 гитлеровцев, сожгли 3 немецких танка, уничтожили 5 орудий, 4 миномёта, 7 пулемётов и взорвали склад с боеприпасами. </w:t>
      </w:r>
    </w:p>
    <w:p w14:paraId="7EC2DCD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Несколькими залпами артиллерии кораблей Волжской военной флотилии уничтожены 8 немецких орудий и большая группа вражеских войск. </w:t>
      </w:r>
    </w:p>
    <w:p w14:paraId="149F57B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Северо-западнее Сталинграда наши войска вели активные боевые действия и на отдельных участках несколько продвинулись вперёд. Противник неоднократно пытался вернуть одну высоту, занятую вчера нашей частью. В течение дня гитлеровцы предприняли семь контратак, которые были отбиты нашими бойцами с большими для противника потерями. В этом бою уничтожено 35 немецких танков и до батальона пехоты противника. </w:t>
      </w:r>
    </w:p>
    <w:p w14:paraId="3FF4A3B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Моздока большой урон танкам и пехоте противника наносят советские артиллеристы и миномётчики. Орудийный расчёт тов. Дёмина, подпустив неприятеля на близкое расстояние, метким огнём подбил 12 танков и уничтожил шрапнелью до роты немецких автоматчиков. Наводчик тов. Филимонин уничтожил пять </w:t>
      </w:r>
      <w:r w:rsidRPr="00722885">
        <w:rPr>
          <w:rFonts w:ascii="Times New Roman" w:hAnsi="Times New Roman"/>
          <w:color w:val="000000" w:themeColor="text1"/>
          <w:sz w:val="16"/>
          <w:szCs w:val="16"/>
        </w:rPr>
        <w:lastRenderedPageBreak/>
        <w:t xml:space="preserve">немецких танков. Миномётчики Н-ской части истребили до двух взводов пехоты противника. На другом участке наша часть после упорных боёв оставила один населённый пункт. </w:t>
      </w:r>
    </w:p>
    <w:p w14:paraId="273A02C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Синявина происходили упорные бои с противником, пытавшимся вклиниться в нашу оборону. Танк старшего сержанта Мороза огнём и гусеницами уничтожил 9 лёгких немецких танков, 4 противотанковые пушки с расчётами и истребил до взвода гитлеровцев. </w:t>
      </w:r>
    </w:p>
    <w:p w14:paraId="7788FE21"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Карело-финский партизанский отряд, действующий в тылу противника, разрушил высоковольтную линию, взорвал мост и уничтожил броневик белофиннов. Партизаны другого отряда уничтожили легковую и две грузовые машины, истребили 10 солдат и 6 офицеров противника. </w:t>
      </w:r>
    </w:p>
    <w:p w14:paraId="5D8A2B8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Пленный ефрейтор 9 роты 518 полка 295 немецкой пехотной дивизии Руди Грисгаммер заявил: «Количество солдат 9 роты, убитых и раненых за время войны на Восточном фронте, по численности равно целому батальону. Рота очень много раз получала пополнения, но их хватало ненадолго. В последних боях убит командир нашей дивизии генерал-майор Гейтнер. Командование пытается скрыть от населения Германии потери немецких войск на советско-германском фронте. Однако правды не скроешь. Многие получают извещения о том, что их родные или близкие погибли на фронте. Нескончаемый поток раненых говорит населению гораздо больше, чем лживые сводки германского командования. Моя невеста работает ткачихой на фабрике в Меране. Она мне пишет, что в этом маленьком городе все школы и многие частные дома заняты под госпитали и лазареты. Все они набиты до отказа». </w:t>
      </w:r>
    </w:p>
    <w:p w14:paraId="18B4B77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приближением годовщины Великой Октябрьской социалистической революции трудящиеся нашей страны готовят подарки бойцам, командирам и политработникам Красной Армии. В Азербайджанской республике уже собрано 12 вагонов подарков, в Бурят-Монгольской республике — 15 вагонов, в Киргизской республике—4 вагона, в Мордовской республике — 2 вагона и т. д. В числе подарков — тёплые вещи, табак, папиросы, вино, печенье, перчатки, мыло и другие предметы личного обихода. В каждую посылку трудящиеся вкладывают письма к защитникам родины. Сбор подарков развёртывается также и в других республиках и областях (14779).</w:t>
      </w:r>
    </w:p>
    <w:p w14:paraId="67EFB090"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71557E1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сентября 1942 г. вышла инструкция начальника оперативного отдела штаба ВВС Ле</w:t>
      </w:r>
      <w:r w:rsidRPr="00722885">
        <w:rPr>
          <w:rFonts w:ascii="Times New Roman" w:hAnsi="Times New Roman"/>
          <w:color w:val="000000" w:themeColor="text1"/>
          <w:sz w:val="16"/>
          <w:szCs w:val="16"/>
        </w:rPr>
        <w:softHyphen/>
        <w:t>нинградского фронта полковник Иволгина по боевым действиям штурмовиков по аэродромам и точечным целям противника с приме</w:t>
      </w:r>
      <w:r w:rsidRPr="00722885">
        <w:rPr>
          <w:rFonts w:ascii="Times New Roman" w:hAnsi="Times New Roman"/>
          <w:color w:val="000000" w:themeColor="text1"/>
          <w:sz w:val="16"/>
          <w:szCs w:val="16"/>
        </w:rPr>
        <w:softHyphen/>
        <w:t>нением взрывателей мгновенного действия: Пункт 4. Атака целей. ...При выборе направления пикирования на цель, нужно учесть последовательность использования боевой зарядки Ил-2: сначала пулеметно-пушечная очередь, потом реактивные снаря</w:t>
      </w:r>
      <w:r w:rsidRPr="00722885">
        <w:rPr>
          <w:rFonts w:ascii="Times New Roman" w:hAnsi="Times New Roman"/>
          <w:color w:val="000000" w:themeColor="text1"/>
          <w:sz w:val="16"/>
          <w:szCs w:val="16"/>
        </w:rPr>
        <w:softHyphen/>
        <w:t>ды, затем перед выходом из пикирования сбрасывание бомб по той же цели; с выходом из пикирования пушечно-пулеметный огонь и огонь реактивных снарядов переносится на другую цель, находящуюся в на</w:t>
      </w:r>
      <w:r w:rsidRPr="00722885">
        <w:rPr>
          <w:rFonts w:ascii="Times New Roman" w:hAnsi="Times New Roman"/>
          <w:color w:val="000000" w:themeColor="text1"/>
          <w:sz w:val="16"/>
          <w:szCs w:val="16"/>
        </w:rPr>
        <w:softHyphen/>
        <w:t>правлении атаки... После первой атаки может быть сделана вторая. В этом случае атаковавшие самолеты, сбросив бомбы, не расходуют весь боевой запас в первой атаке, а со снижением на повышенной ско</w:t>
      </w:r>
      <w:r w:rsidRPr="00722885">
        <w:rPr>
          <w:rFonts w:ascii="Times New Roman" w:hAnsi="Times New Roman"/>
          <w:color w:val="000000" w:themeColor="text1"/>
          <w:sz w:val="16"/>
          <w:szCs w:val="16"/>
        </w:rPr>
        <w:softHyphen/>
        <w:t>рости уходят из зоны зенитной артиллерии, собравшись в заранее на</w:t>
      </w:r>
      <w:r w:rsidRPr="00722885">
        <w:rPr>
          <w:rFonts w:ascii="Times New Roman" w:hAnsi="Times New Roman"/>
          <w:color w:val="000000" w:themeColor="text1"/>
          <w:sz w:val="16"/>
          <w:szCs w:val="16"/>
        </w:rPr>
        <w:softHyphen/>
        <w:t>меченном районе, разворачиваются на 180° и атакуют объект вторично с малых высот и бреющего полета огнем реактивных снарядов и пу-шечно-пулеметным огнем.</w:t>
      </w:r>
    </w:p>
    <w:p w14:paraId="77D258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Пункт 7. Особенности прикрытия штурмовиков. ...Эффективное ис</w:t>
      </w:r>
      <w:r w:rsidRPr="00722885">
        <w:rPr>
          <w:rFonts w:ascii="Times New Roman" w:hAnsi="Times New Roman"/>
          <w:color w:val="000000" w:themeColor="text1"/>
          <w:sz w:val="16"/>
          <w:szCs w:val="16"/>
        </w:rPr>
        <w:softHyphen/>
        <w:t>пользование огневой мощи штурмовика достигается тем, что при выхо</w:t>
      </w:r>
      <w:r w:rsidRPr="00722885">
        <w:rPr>
          <w:rFonts w:ascii="Times New Roman" w:hAnsi="Times New Roman"/>
          <w:color w:val="000000" w:themeColor="text1"/>
          <w:sz w:val="16"/>
          <w:szCs w:val="16"/>
        </w:rPr>
        <w:softHyphen/>
        <w:t>де на цель каждый экипаж самостоятельно выбирает себе цель и атакует ее последовательно - сначала реактивными снарядами и пушечным ог</w:t>
      </w:r>
      <w:r w:rsidRPr="00722885">
        <w:rPr>
          <w:rFonts w:ascii="Times New Roman" w:hAnsi="Times New Roman"/>
          <w:color w:val="000000" w:themeColor="text1"/>
          <w:sz w:val="16"/>
          <w:szCs w:val="16"/>
        </w:rPr>
        <w:softHyphen/>
        <w:t>нем деморализует и уничтожает зенитную артиллерию и зенитные пуле</w:t>
      </w:r>
      <w:r w:rsidRPr="00722885">
        <w:rPr>
          <w:rFonts w:ascii="Times New Roman" w:hAnsi="Times New Roman"/>
          <w:color w:val="000000" w:themeColor="text1"/>
          <w:sz w:val="16"/>
          <w:szCs w:val="16"/>
        </w:rPr>
        <w:softHyphen/>
        <w:t>меты, потом сбрасывает бомбы на цель, затем, снижаясь, атакует цель пушечно-пулеметным огнем».</w:t>
      </w:r>
    </w:p>
    <w:p w14:paraId="5BA379E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свидетельствам М.П.Одинцова, пока не появились противотан</w:t>
      </w:r>
      <w:r w:rsidRPr="00722885">
        <w:rPr>
          <w:rFonts w:ascii="Times New Roman" w:hAnsi="Times New Roman"/>
          <w:color w:val="000000" w:themeColor="text1"/>
          <w:sz w:val="16"/>
          <w:szCs w:val="16"/>
        </w:rPr>
        <w:softHyphen/>
        <w:t>ковые авиабомбы ПТАБ, наряд на уничтожения одного танка строился из расчета четырех самолетов. После вооружения ПТАБами он сократил</w:t>
      </w:r>
      <w:r w:rsidRPr="00722885">
        <w:rPr>
          <w:rFonts w:ascii="Times New Roman" w:hAnsi="Times New Roman"/>
          <w:color w:val="000000" w:themeColor="text1"/>
          <w:sz w:val="16"/>
          <w:szCs w:val="16"/>
        </w:rPr>
        <w:softHyphen/>
        <w:t>ся вдвое. Летчикам-снайперам удавалось еще более сократить и этот норматив. Наибольшую трудность представлял именно поиск цели. За</w:t>
      </w:r>
      <w:r w:rsidRPr="00722885">
        <w:rPr>
          <w:rFonts w:ascii="Times New Roman" w:hAnsi="Times New Roman"/>
          <w:color w:val="000000" w:themeColor="text1"/>
          <w:sz w:val="16"/>
          <w:szCs w:val="16"/>
        </w:rPr>
        <w:softHyphen/>
        <w:t>то, когда пилот ее обнаруживал, мог в двух заходах поразить танк двумя РОФС-132.</w:t>
      </w:r>
    </w:p>
    <w:p w14:paraId="298900D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Сандомирском плацдарме был случай, характерный для дуэли танков с самолетами-штурмовиками. М.П.Одинцов тогда воевал в соста</w:t>
      </w:r>
      <w:r w:rsidRPr="00722885">
        <w:rPr>
          <w:rFonts w:ascii="Times New Roman" w:hAnsi="Times New Roman"/>
          <w:color w:val="000000" w:themeColor="text1"/>
          <w:sz w:val="16"/>
          <w:szCs w:val="16"/>
        </w:rPr>
        <w:softHyphen/>
        <w:t>ве 1 -го гвардейского штурмового авиакорпуса. Вот как он описывает те события: «В разгар боев разведка доложила, что пехота противника полу</w:t>
      </w:r>
      <w:r w:rsidRPr="00722885">
        <w:rPr>
          <w:rFonts w:ascii="Times New Roman" w:hAnsi="Times New Roman"/>
          <w:color w:val="000000" w:themeColor="text1"/>
          <w:sz w:val="16"/>
          <w:szCs w:val="16"/>
        </w:rPr>
        <w:softHyphen/>
        <w:t>чила сильное подкрепление - несколько десятков «Тигров» были скрыт</w:t>
      </w:r>
      <w:r w:rsidRPr="00722885">
        <w:rPr>
          <w:rFonts w:ascii="Times New Roman" w:hAnsi="Times New Roman"/>
          <w:color w:val="000000" w:themeColor="text1"/>
          <w:sz w:val="16"/>
          <w:szCs w:val="16"/>
        </w:rPr>
        <w:softHyphen/>
        <w:t>но переброшены по железной дороге. Танки уже разгрузили с платформ, и они колонной двигались в район боевых действий.</w:t>
      </w:r>
    </w:p>
    <w:p w14:paraId="07F1209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отметить, что в штурмовых авиадивизиях всегда дежурила противотанковая эскадрилья, вооруженная ПТАБ и РС М-13. Сначала по команде командира корпуса подняли в воздух только дежурные эс</w:t>
      </w:r>
      <w:r w:rsidRPr="00722885">
        <w:rPr>
          <w:rFonts w:ascii="Times New Roman" w:hAnsi="Times New Roman"/>
          <w:color w:val="000000" w:themeColor="text1"/>
          <w:sz w:val="16"/>
          <w:szCs w:val="16"/>
        </w:rPr>
        <w:softHyphen/>
        <w:t>кадрильи. Будучи заместителем командира полка, я полетел со своей эс</w:t>
      </w:r>
      <w:r w:rsidRPr="00722885">
        <w:rPr>
          <w:rFonts w:ascii="Times New Roman" w:hAnsi="Times New Roman"/>
          <w:color w:val="000000" w:themeColor="text1"/>
          <w:sz w:val="16"/>
          <w:szCs w:val="16"/>
        </w:rPr>
        <w:softHyphen/>
        <w:t>кадрильей. Мы застали колонну на марше и «поработав» над ней, унич</w:t>
      </w:r>
      <w:r w:rsidRPr="00722885">
        <w:rPr>
          <w:rFonts w:ascii="Times New Roman" w:hAnsi="Times New Roman"/>
          <w:color w:val="000000" w:themeColor="text1"/>
          <w:sz w:val="16"/>
          <w:szCs w:val="16"/>
        </w:rPr>
        <w:softHyphen/>
        <w:t>тожили 4-5 машин противника. При стрельбе РС колонну наземной тех</w:t>
      </w:r>
      <w:r w:rsidRPr="00722885">
        <w:rPr>
          <w:rFonts w:ascii="Times New Roman" w:hAnsi="Times New Roman"/>
          <w:color w:val="000000" w:themeColor="text1"/>
          <w:sz w:val="16"/>
          <w:szCs w:val="16"/>
        </w:rPr>
        <w:softHyphen/>
        <w:t>ники атаковали в развернутом строю поперек или под близкими к этому ракурсу углами. Таким образом, не мешали прицеливаться соседнему са</w:t>
      </w:r>
      <w:r w:rsidRPr="00722885">
        <w:rPr>
          <w:rFonts w:ascii="Times New Roman" w:hAnsi="Times New Roman"/>
          <w:color w:val="000000" w:themeColor="text1"/>
          <w:sz w:val="16"/>
          <w:szCs w:val="16"/>
        </w:rPr>
        <w:softHyphen/>
        <w:t>молету и выдерживали требуемые высоту и угол пикирования.</w:t>
      </w:r>
    </w:p>
    <w:p w14:paraId="487C832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Немцы знали, что наши противотанковые бомбы были с взрывателя</w:t>
      </w:r>
      <w:r w:rsidRPr="00722885">
        <w:rPr>
          <w:rFonts w:ascii="Times New Roman" w:hAnsi="Times New Roman"/>
          <w:color w:val="000000" w:themeColor="text1"/>
          <w:sz w:val="16"/>
          <w:szCs w:val="16"/>
        </w:rPr>
        <w:softHyphen/>
        <w:t>ми мгновенного действия, поэтому решили укрыться в лесном массиве, рассчитывая на срабатывание авиабомб по верхним ветвям деревьев. При этом стрелять из пушек и реактивными снарядами вслепую было невозможно. Тогда мы вызвали эскадрилью штурмовиков с зажигатель</w:t>
      </w:r>
      <w:r w:rsidRPr="00722885">
        <w:rPr>
          <w:rFonts w:ascii="Times New Roman" w:hAnsi="Times New Roman"/>
          <w:color w:val="000000" w:themeColor="text1"/>
          <w:sz w:val="16"/>
          <w:szCs w:val="16"/>
        </w:rPr>
        <w:softHyphen/>
        <w:t>ными авиабомбами и ампулами. В лесу были сожжены все танки» (11402).</w:t>
      </w:r>
    </w:p>
    <w:p w14:paraId="6BBFFC0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F3588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сентября 1942 фронтовая авиация и АДД бомбили южную часть Сталинграда (340,96).</w:t>
      </w:r>
    </w:p>
    <w:p w14:paraId="03B78BD0" w14:textId="77777777" w:rsidR="00090C9B" w:rsidRPr="00722885" w:rsidRDefault="00090C9B" w:rsidP="00722885">
      <w:pPr>
        <w:pStyle w:val="Iauiue"/>
        <w:jc w:val="both"/>
        <w:rPr>
          <w:color w:val="000000" w:themeColor="text1"/>
          <w:sz w:val="16"/>
          <w:szCs w:val="16"/>
        </w:rPr>
      </w:pPr>
    </w:p>
    <w:p w14:paraId="337B5845"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24, 1942: General Halder is forced to resign as chief of staff of OKH by Hitler and is replaced by General Zeitzler. In the Caucasus, units of Heeresgruppe A (List) launch an attack against the Black Sea port of Tuapse (3819).</w:t>
      </w:r>
    </w:p>
    <w:p w14:paraId="1DF62144" w14:textId="77777777" w:rsidR="00090C9B" w:rsidRPr="00722885" w:rsidRDefault="00090C9B" w:rsidP="00722885">
      <w:pPr>
        <w:pStyle w:val="Iauiue"/>
        <w:jc w:val="both"/>
        <w:rPr>
          <w:color w:val="000000" w:themeColor="text1"/>
          <w:sz w:val="16"/>
          <w:szCs w:val="16"/>
          <w:lang w:val="en-US"/>
        </w:rPr>
      </w:pPr>
    </w:p>
    <w:p w14:paraId="0666EB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сентября 1942 А.Г. выгнал в отставку нач. генштаба сухопутных войск г-п Ф.Гальдера и назначил на этот пост Нач. штаба группы армий Запад К.Цейтлера (3186).</w:t>
      </w:r>
    </w:p>
    <w:p w14:paraId="3557C22F" w14:textId="77777777" w:rsidR="00090C9B" w:rsidRPr="00722885" w:rsidRDefault="00090C9B" w:rsidP="00722885">
      <w:pPr>
        <w:pStyle w:val="Iauiue"/>
        <w:jc w:val="both"/>
        <w:rPr>
          <w:color w:val="000000" w:themeColor="text1"/>
          <w:sz w:val="16"/>
          <w:szCs w:val="16"/>
        </w:rPr>
      </w:pPr>
    </w:p>
    <w:p w14:paraId="02C1537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24 сентября 1942 за неудачи под Сталинградом Гитлер уволил начальника германского Генштаба генерала Франца фон Гальдера (4962).</w:t>
      </w:r>
    </w:p>
    <w:p w14:paraId="4DAB3C77" w14:textId="77777777" w:rsidR="00090C9B" w:rsidRPr="00722885" w:rsidRDefault="00090C9B" w:rsidP="00722885">
      <w:pPr>
        <w:pStyle w:val="Iauiue"/>
        <w:tabs>
          <w:tab w:val="left" w:pos="11199"/>
        </w:tabs>
        <w:jc w:val="both"/>
        <w:rPr>
          <w:color w:val="000000" w:themeColor="text1"/>
          <w:sz w:val="16"/>
          <w:szCs w:val="16"/>
        </w:rPr>
      </w:pPr>
    </w:p>
    <w:p w14:paraId="3D3B8B55"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24 сентября 1942 г. Командующий военно-воздушными силами Ленинградского фронта генерал-майор авиации Рыбальченко и Военный комиссар военно-воздушных сил Ленинградского фронта бригадный комиссар Иванов утвердили:</w:t>
      </w:r>
    </w:p>
    <w:p w14:paraId="305D0E27"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Инструкция</w:t>
      </w:r>
    </w:p>
    <w:p w14:paraId="7CF4B293"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ПО БОЕВЫМ ДЕЙСТВИЯМ ШТУРМОВИКОВ ПО АЭРОДРОМАМ и ТОЧЕЧНЫМ ЦЕЛЯМ ПРОТИВНИКА С ПРИМЕНЕНИЕМ ВЗРЫВАТЕЛЕЙ МГНОВЕННОГО ДЕЙСТВИЯ</w:t>
      </w:r>
    </w:p>
    <w:p w14:paraId="5273AB63"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 Выбор и распределение целей между экипажами. Основным вопросом. определяющим атаку и маневр над целью, является изучение цели по карте крупного масштаба или по аэрофотоснимку. При изучении цели командир штурмовой группы распределяет объекты атаки между подразделениями. Для наиболее эффективного использования всей огневой мощи Ил-2 желательно выбирать направление атаки, проходящее через несколько створных целей.</w:t>
      </w:r>
    </w:p>
    <w:p w14:paraId="3A82C3B7"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2. Выбор маршрута и боевой порядок следования.</w:t>
      </w:r>
    </w:p>
    <w:p w14:paraId="459B19A6"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а) Маршрут к цели выбирается по району, наименее насыщенному зенитной артиллерией. Скорость следования ведущего при полной боевой зарядке должна быть в пределах 270 - 290 км/час, высота 800 - 1500 я. Радиосвязь поверяется периодически на маршруте.</w:t>
      </w:r>
    </w:p>
    <w:p w14:paraId="6A33CACC"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б) Наиболее удобный боевой порядок следования к цели должен состоять из мелких групп, каждая в правом пеленге идущих в кильватере друг за другом на дистанции 200 - 300 м с некоторым принижением.</w:t>
      </w:r>
    </w:p>
    <w:p w14:paraId="5FF7D79D"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3. Подход к цели. Исходный пункт выхода на цель для атаки выбирается в стороне от цели в 6 - 10 км. Высота при подходе к исходному пункту должна быть не ниже 800 м. Отсюда группы расходятся для атаки своих объектов.</w:t>
      </w:r>
    </w:p>
    <w:p w14:paraId="42178444"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4. Атака целей.</w:t>
      </w:r>
    </w:p>
    <w:p w14:paraId="1B3A0391"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а) При сильном противодействии зенитной артиллерии. При наличии данных о большом насыщении зенитной артиллерией района цели штурмовикам надо выделять около 1/3 своих сил для подавления ее, что окупается точностью бомбометания при уменьшении зенитного огня и дает возможность повторных атак. При сильном противодействии с земли атака производится с одного захода, а при наличии удобной для маневра местности — с двух заходов. В обоих случаях для наиболее эффективного использования всей мощи своего огня атаку надо строить следующим образом: группа самолетов Ил-2, подходя к цели в боевом порядке “змейки” из пар или в кильватере из одиночных самолетов на высоте 800 - 1200 м, производит противозенитный маневр, выдерживая средний курс к точке начала пикирования или точке разворота для входа в пикирование, которое производится с заданным углом, пользуясь прицелом, иначе бомбометание и вся атака будет впустую. При выборе направления пикирования на цель нужно учесть последовательность использования боевой зарядки Ил-2: сначала пулеметно-пушечная очередь, потом реактивные снаряды, затем перед выходом из пикирования сбрасывание бомб по той же цели; с выходом из пикирования пушечно-пулеметный огонь и огонь реактивных снарядов переносится на другую цель, находящуюся в направлении атаки. Эта последовательность вызывается тем, что наилучший угол пикирования для сбрасывания бомб будет равен 35 - 40°, наивыгоднейший угол обстрела из пушек и пулеметов 20 - 30°, причем высота после бомбометания будет не выше 300 м, что даст возможность на облегченном самолете доводить атаку пулеметно-пушечным огнем до бреющего полета.</w:t>
      </w:r>
    </w:p>
    <w:p w14:paraId="1BA78381"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При подходе к цели ведущий по радио или другим сигналом дает команду “атака”. После этой команды самолеты начинают пикировать не все одновременно, а каждый самолет атакует цель при выходе в положение визирования ее под расчетным углом пикирования.</w:t>
      </w:r>
    </w:p>
    <w:p w14:paraId="046CBDB0"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После первой атаки может быть сделана вторая. В этом случае атаковавшие самолеты, сбросив бомбы, не расходуют весь боевой запас в первой атаке, а со снижением на повышенной скорости уходят из зоны зенитной артиллерии, собравшись в заранее намеченном районе, разворачиваются на 180° и атакуют объект вторично с малых высот и бреющего полета огнем реактивных снарядов и пушечно-пулеметным огнем.</w:t>
      </w:r>
    </w:p>
    <w:p w14:paraId="5AB5C9E6"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lastRenderedPageBreak/>
        <w:t>б) При надежном подавлении зенитной артиллерии или ее слабой активности применяется атака из круга, при которой все самолеты становятся в круг над объектом и неоднократно атакуют цели, индивидуально выбранные как с пикирования, так и с бреющего полета. При этом надо учитывать последовательность использования огневых средств, чтобы осколками своих бомб не поразить своего соседа, перешедшего на бреющий полет.</w:t>
      </w:r>
    </w:p>
    <w:p w14:paraId="0B0F68E8"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5. Уход от цели, сбор и обратный маршрут.</w:t>
      </w:r>
    </w:p>
    <w:p w14:paraId="6938326B"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Уход от цели производится по команде ведущего по радио. По этой команде экипажи уходят в район сбора, находящийся на обратном маршруте, причем ведущий группы, выйдя из зоны зенитного огня, идет на небольшой скорости для того, чтобы подтянуться остальным. После сбора группы ведущий командир должен идти точно по намеченному обратному маршруту. Особенно важно, чтобы обратный маршрут пролегал вне района зенитного огня противника. Обратный маршрут должен быть хорошо известен сопровождающим истребителям, а знание обратного маршрута штурмовиками позволит всем собраться и исключить беспорядочное возвращение разрозненными группами.</w:t>
      </w:r>
    </w:p>
    <w:p w14:paraId="2BF31E2C"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6. Активная оборона против истребителей противника и взаимодействие с прикрывающей группой истребителей. При следовании к цели и от цели необходимо распределить между подразделениями ответственные сектора наблюдения за воздухом и назначить сигнал “воздушный противник” (трасса пуль, снарядов в сторону противника, сигнал по радио). Для ведения воздушного оборонительного боя группа Ил-2 строит замкнутый круг, вытягивая его в направлении своей территории. Для построения круга количество самолетов в группе должно быть не менее шести; дистанция между самолетами в кругу должна быть в пределах 300 - 400 м, высота не ниже 300 м, а крены при разворотах допускаются от 15 до 40°. Каждый из экипажей, находясь в кругу, несет полную ответственность за защиту впереди идущего самолета и не имеет права оставлять своего места. В целях отражения атак экипажи имеют право и обязаны маневрировать по горизонту разворотами влево и вправо до 45°, а по вертикали — кабрированием и планированием под углом до 30°.</w:t>
      </w:r>
    </w:p>
    <w:p w14:paraId="28D935A8"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Если штурмовики следуют под прикрытием истребителей, то они не должны отрываться от них при встрече с противником, а, приняв оборонительный порядок “круг” ниже своих истребителей, взаимодействовать с ними по отражению атак противника. Небольшие группы штурмовиков в 2 - 4 самолета должны включаться в этом случае в боевой порядок истребителей и совместно с ними вести воздушный бой (Директива командующего Военно-воздушными силами Красной Армии от 22.8.42 г. № 332597с).</w:t>
      </w:r>
    </w:p>
    <w:p w14:paraId="2FEC464C"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7. Особенности прикрытия штурмовиков. Важнейшим условием, исключающим потери штурмовиков от истребителей противника, является знание прикрывающими истребителями маршрута следования штурмовиков к цели и особенно от цели, осведомленность, как штурмовики будут выполнять боевую задачу. Это достигается только личной договоренностью командира группы истребителей с командиром группы штурмовиков.</w:t>
      </w:r>
    </w:p>
    <w:p w14:paraId="1651AA67"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а) Одна из особенностей прикрытия штурмовиков является не только.защита самолетов от истребителей противника, но и обеспечение возможности максимально использовать всю огневую мощь штурмовика при атаке цели. Эффективное использование огневой мощи штурмовика достигается тем, что при выходе на цель каждый экипаж самостоятельно выбирает себе цель и атакует ее последовательно — сначала реактивными снарядами и пушечным огнем деморализует и уничтожает зенитную артиллерию и зенитные пулеметы, потом сбрасывает бомбы на цель, затем, снижаясь, атакует цель пушечно-пулеметным огнем.</w:t>
      </w:r>
    </w:p>
    <w:p w14:paraId="5602EE42"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б) Группа непосредственного прикрытия планирует вместе со штурмовиками, атакуя цель пушечным огнем до высоты 400 - 500 м. При выходе штурмовиков из атаки на малой высоте группа прикрытия окаймляет штурмовиков со всех сторон, находясь на высоте 400 - 500 м, и не допускает внезапных атак самолетов противника, не подвергаясь огню зенитных пулеметов.</w:t>
      </w:r>
    </w:p>
    <w:p w14:paraId="497B46B2"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в) При следовании штурмовиков на высоте бреющего полета над лесистой местностью истребители сопровождения следуют также на этой высоте, обходя лесные поляны так, чтобы истребителям не было видно противоположной опушки леса.</w:t>
      </w:r>
    </w:p>
    <w:p w14:paraId="19540A03"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г) Уход штурмовиков от цели не всегда может быть организованным вследствие неодновременности атак объектов цели. Прикрытие штурмовиков при уходе от цели осуществляется следующим порядком: группа непосредственного прикрытия уходит с первым штурмовиком, закончившим атаку, и следует на свой аэродром со средней скоростью. Ударно-сковывающая группа уходит с последним штурмовиком на повышенной скорости с целью догона впереди идущих. При таком построении прикрытия исключается возможность безнаказанной атаки отдельных штурмовиков истребителями противника.</w:t>
      </w:r>
    </w:p>
    <w:p w14:paraId="4810C56B"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д) При отсутствии воздушного противника в районе цели подавление огня зенитной артиллерии и зенитных пулеметов можно возлагать на группу непосредственного прикрытия.</w:t>
      </w:r>
    </w:p>
    <w:p w14:paraId="467279C7"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8. Использование бомб и взрывателей. Правильный выбор бомб и взрывателей по различным целям значительно повышает эффективность бомбометания, приводя к наибольшему разрушению и максимальному уничтожению техники и живой силы противника. Выбор бомб и взрывателей полностью зависит от характера цели.</w:t>
      </w:r>
    </w:p>
    <w:p w14:paraId="30B6B451"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1. Цели, требующие разрушения с глубоким проникновением бомбы (доты, дзоты, подземные склады, здания городского типа и др.), требуют применения бомб со взрывателями АПУВ с установкой их на 0,1 - 0,3 секунды.</w:t>
      </w:r>
    </w:p>
    <w:p w14:paraId="6C3045EA"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2. Все неукрытые цели: войска на походе, танки, бронемашины, орудия на огневых позициях, бронепоезда, железнодорожный транспорт, населенные пункты сельского типа — требуют применения бомб со взрывателями АПУВ с мгновенным действием и АМ-А.</w:t>
      </w:r>
    </w:p>
    <w:p w14:paraId="12F70E95"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3. Крупные железнодорожные станции, города с плотной застройкой требуют применения комбинированных бомб с мгновенными и замедленными взрывателями. При этом чем плотнее застройка, тем необходимо больше бомб с замедленным взрывателем, но не более 75% от общего числа.</w:t>
      </w:r>
    </w:p>
    <w:p w14:paraId="2AF72540"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4. Переправы, плоты, баржи требуют применения фугасных и осколочных бомб с мгновенными взрывателями.</w:t>
      </w:r>
    </w:p>
    <w:p w14:paraId="665CC7CA"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5. При бомбометании по танкам, бронемашинам, артиллерийским позициям и материальной части на аэродромах с успехом применяются бомбы ФАБ-50 М-2 с мгновенным взрывателем.</w:t>
      </w:r>
    </w:p>
    <w:p w14:paraId="10696B6D"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6. При бомбардировании живой силы в укрытиях (окопах) применять осколочные бомбы от АО-2,5 до АО-25.</w:t>
      </w:r>
    </w:p>
    <w:p w14:paraId="374ADC4F"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7. Бомбы с замедленным действием по целям, перечисленным в пп. 4, 5 и 6, разрешается применять только при штурмовых действиях.</w:t>
      </w:r>
    </w:p>
    <w:p w14:paraId="4DF2A6E1" w14:textId="77777777" w:rsidR="00090C9B" w:rsidRPr="00722885" w:rsidRDefault="00090C9B" w:rsidP="00722885">
      <w:pPr>
        <w:pStyle w:val="Blockquote"/>
        <w:widowControl/>
        <w:tabs>
          <w:tab w:val="left" w:pos="11199"/>
        </w:tabs>
        <w:spacing w:before="0" w:after="0"/>
        <w:ind w:left="0" w:right="0"/>
        <w:jc w:val="both"/>
        <w:rPr>
          <w:iCs/>
          <w:color w:val="000000" w:themeColor="text1"/>
          <w:sz w:val="16"/>
          <w:szCs w:val="16"/>
          <w:lang w:val="ru-RU"/>
        </w:rPr>
      </w:pPr>
      <w:r w:rsidRPr="00722885">
        <w:rPr>
          <w:color w:val="000000" w:themeColor="text1"/>
          <w:sz w:val="16"/>
          <w:szCs w:val="16"/>
          <w:lang w:val="ru-RU"/>
        </w:rPr>
        <w:t>8. Бомбы ЗАБ-50 ТГ применять только для создания пожаров в домах, имеющих не менее 2 - 3 этажей. В остальных случаях применять зажигательные бомбы мелкого калибра.</w:t>
      </w:r>
    </w:p>
    <w:p w14:paraId="70F8D9F4"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r w:rsidRPr="00722885">
        <w:rPr>
          <w:color w:val="000000" w:themeColor="text1"/>
          <w:sz w:val="16"/>
          <w:szCs w:val="16"/>
          <w:lang w:val="ru-RU"/>
        </w:rPr>
        <w:t>Начальник оперативного отдела штаба военно-воздушных сил Ленинградского фронта полковник ИВОЛГИН (4964).</w:t>
      </w:r>
    </w:p>
    <w:p w14:paraId="15CE6C24" w14:textId="77777777" w:rsidR="00090C9B" w:rsidRPr="00722885" w:rsidRDefault="00090C9B" w:rsidP="00722885">
      <w:pPr>
        <w:pStyle w:val="Blockquote"/>
        <w:widowControl/>
        <w:tabs>
          <w:tab w:val="left" w:pos="11199"/>
        </w:tabs>
        <w:spacing w:before="0" w:after="0"/>
        <w:ind w:left="0" w:right="0"/>
        <w:jc w:val="both"/>
        <w:rPr>
          <w:color w:val="000000" w:themeColor="text1"/>
          <w:sz w:val="16"/>
          <w:szCs w:val="16"/>
          <w:lang w:val="ru-RU"/>
        </w:rPr>
      </w:pPr>
    </w:p>
    <w:p w14:paraId="2B1756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сентября 1942 л 856 женского иап В.Д.Хомякова в районе Саратова сбила Ю-88 ночью (438,857).</w:t>
      </w:r>
    </w:p>
    <w:p w14:paraId="39589A28" w14:textId="77777777" w:rsidR="00090C9B" w:rsidRPr="00722885" w:rsidRDefault="00090C9B" w:rsidP="00722885">
      <w:pPr>
        <w:pStyle w:val="Iauiue"/>
        <w:jc w:val="both"/>
        <w:rPr>
          <w:color w:val="000000" w:themeColor="text1"/>
          <w:sz w:val="16"/>
          <w:szCs w:val="16"/>
        </w:rPr>
      </w:pPr>
    </w:p>
    <w:p w14:paraId="171EB3B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24 сентября 1942 под Сталинградом советская летчица Ольга Ямщикова стала первой в мире женщиной-пилотом, сбившим вражеский самолет (4962).</w:t>
      </w:r>
    </w:p>
    <w:p w14:paraId="0FE2573E" w14:textId="77777777" w:rsidR="00090C9B" w:rsidRPr="00722885" w:rsidRDefault="00090C9B" w:rsidP="00722885">
      <w:pPr>
        <w:pStyle w:val="Iauiue"/>
        <w:tabs>
          <w:tab w:val="left" w:pos="11199"/>
        </w:tabs>
        <w:jc w:val="both"/>
        <w:rPr>
          <w:color w:val="000000" w:themeColor="text1"/>
          <w:sz w:val="16"/>
          <w:szCs w:val="16"/>
        </w:rPr>
      </w:pPr>
    </w:p>
    <w:p w14:paraId="7939A9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сентября 1942 немецкие самолеты атаковали различные цели в Южном Поволжье. Одиночный бомбардировщик сбросил 1000-кг бомбу на железнодорожную станцию Астрахань-2. В результате были разрушены несколько зданий, повреждены пути и опрокинут паровоз. Погибли и получили ранения восемь человек. В 12.15 стоящий во Владимировском затоне в Ахтубинске, между пристанью и нефтебазой, пароход «Сократ» с пикирования атаковали сразу четыре Ju-87. Сброшенные ими бомбы взорвались по правому борту. Капитан Кривцов сразу отдал приказ поднять якорь и идти на открытую воду. После этого пароход атаковали еще несколько бомбардировщиков, но опять не добились прямых попаданий. В 17.00, взяв на буксир три баржи, «Сократ» отправился в рейс к Сталинграду. На следующий день в 13.15 в районе поселка Цаца одиночный Не-111 на бреющем полете обстрелял караван из пулеметов. Впоследствии зенитчики с «Сократа» утверждали, что подбили «Хейнкель» и тот, задымив, ушел в сторону берега (11774).</w:t>
      </w:r>
    </w:p>
    <w:p w14:paraId="3427CA3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585AD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сентября 1942 вышло Постановление ГКО № 2338 О снабжении теплыми вещами личного состава Красной Армии на зиму 1942-43 гг. РГАНИР, Фонд ГКО, д. 58, лл. 5-6, 7 (11012).</w:t>
      </w:r>
    </w:p>
    <w:p w14:paraId="246FE4F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3AF20C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08A7992" w14:textId="77777777" w:rsidR="00090C9B" w:rsidRPr="00722885" w:rsidRDefault="00090C9B" w:rsidP="00722885">
      <w:pPr>
        <w:pStyle w:val="Iauiue"/>
        <w:jc w:val="both"/>
        <w:rPr>
          <w:iCs/>
          <w:color w:val="000000" w:themeColor="text1"/>
          <w:sz w:val="16"/>
          <w:szCs w:val="16"/>
        </w:rPr>
      </w:pPr>
    </w:p>
    <w:p w14:paraId="7B669D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г. Постановлением Комитета обороны опытному конструкторскому бюро С.В.Ильюшина и серийному авиазаводу № 18 поручалось создать два варианта модернизированного штурмовика Ил-2: один, с улучшенными аэродинамикой и центровкой, с более высокими летными данными, но суменьшенной бомбовой нагрузкой; второй -тяжелый штурмовик-бомбардировщик с усиленным бронированием экипажа и жизненно-важных элементов самолета с максимальной бомбовой нагрузкой 1000 кг, включающей авиабомбы калибра 500 кг, и с летными данными несколько худшими, чем у первого варианта (9649).</w:t>
      </w:r>
    </w:p>
    <w:p w14:paraId="2AC43B73" w14:textId="77777777" w:rsidR="00090C9B" w:rsidRPr="00722885" w:rsidRDefault="00090C9B" w:rsidP="00722885">
      <w:pPr>
        <w:pStyle w:val="Iauiue"/>
        <w:jc w:val="both"/>
        <w:rPr>
          <w:color w:val="000000" w:themeColor="text1"/>
          <w:sz w:val="16"/>
          <w:szCs w:val="16"/>
        </w:rPr>
      </w:pPr>
    </w:p>
    <w:p w14:paraId="45297B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г. выщло постановление ГКО, согласно которому ОКБ Ильюшина и заводу № 18 по</w:t>
      </w:r>
      <w:r w:rsidRPr="00722885">
        <w:rPr>
          <w:rFonts w:ascii="Times New Roman" w:hAnsi="Times New Roman"/>
          <w:color w:val="000000" w:themeColor="text1"/>
          <w:sz w:val="16"/>
          <w:szCs w:val="16"/>
        </w:rPr>
        <w:softHyphen/>
        <w:t>ручалось к 1 марта 1943 г. построить два варианта модернизированного штурмо</w:t>
      </w:r>
      <w:r w:rsidRPr="00722885">
        <w:rPr>
          <w:rFonts w:ascii="Times New Roman" w:hAnsi="Times New Roman"/>
          <w:color w:val="000000" w:themeColor="text1"/>
          <w:sz w:val="16"/>
          <w:szCs w:val="16"/>
        </w:rPr>
        <w:softHyphen/>
        <w:t>вика Ил-2 с мотором АМ-42. Первый ва</w:t>
      </w:r>
      <w:r w:rsidRPr="00722885">
        <w:rPr>
          <w:rFonts w:ascii="Times New Roman" w:hAnsi="Times New Roman"/>
          <w:color w:val="000000" w:themeColor="text1"/>
          <w:sz w:val="16"/>
          <w:szCs w:val="16"/>
        </w:rPr>
        <w:softHyphen/>
        <w:t>риант— Ил-2М АМ-42 — представлял собой тяжелый штурмовик-бомбарди</w:t>
      </w:r>
      <w:r w:rsidRPr="00722885">
        <w:rPr>
          <w:rFonts w:ascii="Times New Roman" w:hAnsi="Times New Roman"/>
          <w:color w:val="000000" w:themeColor="text1"/>
          <w:sz w:val="16"/>
          <w:szCs w:val="16"/>
        </w:rPr>
        <w:softHyphen/>
        <w:t>ровщик с усиленным бронированием и максимальной бомбовой нагрузкой 1000 кг; при этом предусматривалась подвеска бомб калибром до 500 кг. Вто</w:t>
      </w:r>
      <w:r w:rsidRPr="00722885">
        <w:rPr>
          <w:rFonts w:ascii="Times New Roman" w:hAnsi="Times New Roman"/>
          <w:color w:val="000000" w:themeColor="text1"/>
          <w:sz w:val="16"/>
          <w:szCs w:val="16"/>
        </w:rPr>
        <w:softHyphen/>
        <w:t>рой вариант, Ил-2 АМ-42 (он же С-42) — отличался от первого улучшенной аэро</w:t>
      </w:r>
      <w:r w:rsidRPr="00722885">
        <w:rPr>
          <w:rFonts w:ascii="Times New Roman" w:hAnsi="Times New Roman"/>
          <w:color w:val="000000" w:themeColor="text1"/>
          <w:sz w:val="16"/>
          <w:szCs w:val="16"/>
        </w:rPr>
        <w:softHyphen/>
        <w:t>динамикой, более высокими летными данными, но имел уменьшенную бомбо</w:t>
      </w:r>
      <w:r w:rsidRPr="00722885">
        <w:rPr>
          <w:rFonts w:ascii="Times New Roman" w:hAnsi="Times New Roman"/>
          <w:color w:val="000000" w:themeColor="text1"/>
          <w:sz w:val="16"/>
          <w:szCs w:val="16"/>
        </w:rPr>
        <w:softHyphen/>
        <w:t>вую нагрузку (10680).</w:t>
      </w:r>
    </w:p>
    <w:p w14:paraId="6384021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A5057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вышло постановление ГКО N 2347сс о модификации самолета Ил-2 под АМ-38Ф (1699,196).</w:t>
      </w:r>
    </w:p>
    <w:p w14:paraId="573DEB2A" w14:textId="77777777" w:rsidR="00090C9B" w:rsidRPr="00722885" w:rsidRDefault="00090C9B" w:rsidP="00722885">
      <w:pPr>
        <w:pStyle w:val="Iauiue"/>
        <w:jc w:val="both"/>
        <w:rPr>
          <w:color w:val="000000" w:themeColor="text1"/>
          <w:sz w:val="16"/>
          <w:szCs w:val="16"/>
        </w:rPr>
      </w:pPr>
    </w:p>
    <w:p w14:paraId="7D738EE2"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25 сентября 1942 года вышло постановление ГКО № 2347 сс, согласно которому ОКБ-240 (С. В. Ильюшин) и заводу № 18 (А. А. Белянский) поручалось построить модифицированный самолет-штурмовик Ил-2 с мотором АМ-42 и обеспечить к 1 марта 1943 года окончание его государственных испытаний. Одновременно А. А. Микулин и директор завода № 24 М. С. Жезлов обязывались к 1 января 1943 года провести совместные 50-часовые испытания мотора АМ-42, к 15 января – передать Ильюшину два мотора АМ-42 и с апреля месяца приступить к серийному выпуску мотора АМ-42. Соответствующий приказ по наркомату авиапромышленности № 732 вышел 29 сентября 1942 года.</w:t>
      </w:r>
    </w:p>
    <w:p w14:paraId="553D7221"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Компоновочная схема большой модификации «двойки» – Ил-2М, площадь, размах и аэродинамический профиль крыла (Clark-YH – относительная толщина 14 % у корня, 10 % на концах) и конструктивные решения многих узлов и агрегатов остались такими же, как и на Ил-2 АМ-38ф, но по некоторым геометрическим параметрам и конструкции машину следует считать все же новым самолетом.</w:t>
      </w:r>
    </w:p>
    <w:p w14:paraId="315049E9"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повышения эффективности хвостового оперения закабинная часть фюзеляжа по сравнению с самолетом Ил-2 стала длиннее на 1,25 м. Крыло и узлы его подвески с целью повышения эксплуатационных качеств были значительно усилены.</w:t>
      </w:r>
    </w:p>
    <w:p w14:paraId="70303507"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Консоли крыла смешанной конструкции: лонжероны – металлические, нервюры – деревянные, обшивка – фанерная.</w:t>
      </w:r>
    </w:p>
    <w:p w14:paraId="046F2F07"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Новым было введение взлетного (отклонение на 17°) и посадочного (отклонение на 45°) положения щитков.</w:t>
      </w:r>
    </w:p>
    <w:p w14:paraId="386BDF28"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использованием воздушного винта серии АВ-5 диаметром 4,0 м удлинили стойки основного шасси. Соответственно изменились по форме и габаритам обтекатели, в которые убиралось шасси. Само же шасси выполнялось, как и на Ил-2, двухстоечным. Амортизаторы – воздушно-масляные. Управление уборкой и выпуском шасси – от воздушной системы. Усиливались фермы костыля и шпангоут крепления.</w:t>
      </w:r>
    </w:p>
    <w:p w14:paraId="1D5CE38A"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Некоторое улучшение аэродинамики Ил-2М достигалось размещением водо- и маслорадиаторов в одном воздушном канале внутри бронекорпуса, который был выполнен по типу самолета Ил-2. При этом «первым по потоку стоит масляный радиатор, за ним водяной». Всасывающий патрубок мотора расположили на левом борту фюзеляжа. На нем монтировался воздушный пылефильтр типа ЦАГИ.</w:t>
      </w:r>
    </w:p>
    <w:p w14:paraId="0F91EF17"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Установка радиаторов внутри бронекапота повышала и боевую живучесть самолета. С этой же целью на Ил-2М предполагалось усилить бронирование мотора, его агрегатов, бензо- и маслобаков с магистралями, применить топливные баки, оснащенные протектором, а также установить систему заполнения бензобаков нейтральным газом от выхлопа мотора. Стрелок полностью бронировался. Со стороны хвоста стрелок защищался 16-мм броней. Посадка и покидание стрелка осуществлялись через специальный люк в полу кабины. В самом люке планировалось устанавливать фотоаппарат АФА-1. Люк имел аварийный сброс в полете. Фонарю кабины летчика была «придана лучшая аэродинамическая форма». Для повышения обзорности прозрачная броня предполагалась сплошной, вместо таблеток как на Ил-2.</w:t>
      </w:r>
    </w:p>
    <w:p w14:paraId="6C8E038B"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должен был иметь максимальную бомбовую нагрузку до 1000 кг, включающую авиабомбы калибра 500 кг.</w:t>
      </w:r>
    </w:p>
    <w:p w14:paraId="1F2AE28F"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Стрелково-пушечное вооружение самолета было вполне «стандартным» для этого периода войны и включало две пушки ВЯ (300 патронов) и два пулемета ШКАС (1500 патронов) в крыле. Ракетное вооружение не предполагалось.</w:t>
      </w:r>
    </w:p>
    <w:p w14:paraId="4B42538D"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Особенностью Ил-2М являлась шарообразная бронированная башня стрелка-радиста (по типу башни самолета БШ-М-71), обеспечивающая одновременно хорошую защиту стрелка и большие углы обстрела из крупнокалиберного пулемета УБК: вправо и влево – до 120°, вверх – до 49°, вниз с бортов – до 15°.</w:t>
      </w:r>
    </w:p>
    <w:p w14:paraId="4A8C2CA0" w14:textId="77777777" w:rsidR="003E7C14" w:rsidRPr="00722885" w:rsidRDefault="003E7C1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Попутно отметим, что никаких других самолетов семейства Ил-2 с индексом «М» и другими цифровыми «довесками», как это указывается в ряде публикаций, никогда не строилось и тем более серийно не выпускалось (17490).</w:t>
      </w:r>
    </w:p>
    <w:p w14:paraId="7E98DF3F" w14:textId="77777777" w:rsidR="003E7C14" w:rsidRPr="00722885" w:rsidRDefault="003E7C14" w:rsidP="00722885">
      <w:pPr>
        <w:spacing w:after="0" w:line="240" w:lineRule="auto"/>
        <w:jc w:val="both"/>
        <w:rPr>
          <w:rFonts w:ascii="Times New Roman" w:hAnsi="Times New Roman"/>
          <w:color w:val="000000" w:themeColor="text1"/>
          <w:sz w:val="16"/>
          <w:szCs w:val="16"/>
        </w:rPr>
      </w:pPr>
    </w:p>
    <w:p w14:paraId="49B96E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вышло Постановление ГКО № 2347 О постройке и испытании моторов АМ-38Ф и АМ-42 на заводе N24. РГАНИР, Фонд ГКО, д. 58, лл. 30-33, 34 (11012).</w:t>
      </w:r>
    </w:p>
    <w:p w14:paraId="69BE92A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F0CEC88" w14:textId="77777777" w:rsidR="00EA3361" w:rsidRPr="00722885" w:rsidRDefault="00EA33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вышло Постановление ГКО № 2347 О постройке и испытании моторов АМ-38Ф и АМ-42 на заводе N24</w:t>
      </w:r>
    </w:p>
    <w:p w14:paraId="3DDAEB68" w14:textId="77777777" w:rsidR="00EA3361" w:rsidRPr="00722885" w:rsidRDefault="00EA3361"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 целью повышения боевых качеств самолетов штурмови</w:t>
      </w:r>
      <w:r w:rsidRPr="00722885">
        <w:rPr>
          <w:rFonts w:ascii="Times New Roman" w:hAnsi="Times New Roman" w:cs="Times New Roman"/>
          <w:color w:val="000000" w:themeColor="text1"/>
          <w:spacing w:val="0"/>
          <w:sz w:val="16"/>
          <w:szCs w:val="16"/>
        </w:rPr>
        <w:softHyphen/>
        <w:t>ков за счет установки на них моторов повышенной мощности, Государственный Комитет Обороны постановляет:</w:t>
      </w:r>
    </w:p>
    <w:p w14:paraId="1285D1FF" w14:textId="77777777" w:rsidR="00EA3361" w:rsidRPr="00722885" w:rsidRDefault="00EA3361"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1. Обязать директора завода № 24 тов.Жзлова и глав</w:t>
      </w:r>
      <w:r w:rsidRPr="00722885">
        <w:rPr>
          <w:rFonts w:ascii="Times New Roman" w:hAnsi="Times New Roman" w:cs="Times New Roman"/>
          <w:color w:val="000000" w:themeColor="text1"/>
          <w:spacing w:val="0"/>
          <w:sz w:val="16"/>
          <w:szCs w:val="16"/>
        </w:rPr>
        <w:softHyphen/>
        <w:t>ного конструктора тов.Микулина:</w:t>
      </w:r>
    </w:p>
    <w:p w14:paraId="32D5D59D" w14:textId="77777777" w:rsidR="00EA3361" w:rsidRPr="00722885" w:rsidRDefault="00EA3361" w:rsidP="00722885">
      <w:pPr>
        <w:pStyle w:val="6"/>
        <w:shd w:val="clear" w:color="auto" w:fill="auto"/>
        <w:tabs>
          <w:tab w:val="left" w:pos="995"/>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а) закончить доводку и провести в октябре </w:t>
      </w:r>
      <w:r w:rsidRPr="00722885">
        <w:rPr>
          <w:rFonts w:ascii="Times New Roman" w:hAnsi="Times New Roman" w:cs="Times New Roman"/>
          <w:color w:val="000000" w:themeColor="text1"/>
          <w:spacing w:val="0"/>
          <w:sz w:val="16"/>
          <w:szCs w:val="16"/>
          <w:lang w:val="en-US"/>
        </w:rPr>
        <w:t>L</w:t>
      </w:r>
      <w:r w:rsidRPr="00722885">
        <w:rPr>
          <w:rFonts w:ascii="Times New Roman" w:hAnsi="Times New Roman" w:cs="Times New Roman"/>
          <w:color w:val="000000" w:themeColor="text1"/>
          <w:spacing w:val="0"/>
          <w:sz w:val="16"/>
          <w:szCs w:val="16"/>
        </w:rPr>
        <w:t xml:space="preserve">942 года официальные, длительные 100-часовые испытания мотора </w:t>
      </w:r>
      <w:r w:rsidRPr="00722885">
        <w:rPr>
          <w:rFonts w:ascii="Times New Roman" w:hAnsi="Times New Roman" w:cs="Times New Roman"/>
          <w:color w:val="000000" w:themeColor="text1"/>
          <w:spacing w:val="0"/>
          <w:sz w:val="16"/>
          <w:szCs w:val="16"/>
          <w:lang w:val="en-US"/>
        </w:rPr>
        <w:t>AM</w:t>
      </w:r>
      <w:r w:rsidRPr="00722885">
        <w:rPr>
          <w:rFonts w:ascii="Times New Roman" w:hAnsi="Times New Roman" w:cs="Times New Roman"/>
          <w:color w:val="000000" w:themeColor="text1"/>
          <w:spacing w:val="0"/>
          <w:sz w:val="16"/>
          <w:szCs w:val="16"/>
        </w:rPr>
        <w:t>-38Ф со следующими данными:</w:t>
      </w:r>
    </w:p>
    <w:p w14:paraId="5070C7CB" w14:textId="77777777" w:rsidR="00EA3361" w:rsidRPr="00722885" w:rsidRDefault="00EA3361" w:rsidP="00722885">
      <w:pPr>
        <w:pStyle w:val="6"/>
        <w:shd w:val="clear" w:color="auto" w:fill="auto"/>
        <w:tabs>
          <w:tab w:val="left" w:pos="4843"/>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взлетная мощность</w:t>
      </w:r>
      <w:r w:rsidRPr="00722885">
        <w:rPr>
          <w:rFonts w:ascii="Times New Roman" w:hAnsi="Times New Roman" w:cs="Times New Roman"/>
          <w:color w:val="000000" w:themeColor="text1"/>
          <w:spacing w:val="0"/>
          <w:sz w:val="16"/>
          <w:szCs w:val="16"/>
        </w:rPr>
        <w:tab/>
        <w:t>- 1700 л.с.</w:t>
      </w:r>
    </w:p>
    <w:p w14:paraId="11AD95D5" w14:textId="77777777" w:rsidR="00EA3361" w:rsidRPr="00722885" w:rsidRDefault="00EA3361" w:rsidP="00722885">
      <w:pPr>
        <w:pStyle w:val="6"/>
        <w:shd w:val="clear" w:color="auto" w:fill="auto"/>
        <w:tabs>
          <w:tab w:val="left" w:pos="4850"/>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число оборотов на взлете</w:t>
      </w:r>
      <w:r w:rsidRPr="00722885">
        <w:rPr>
          <w:rFonts w:ascii="Times New Roman" w:hAnsi="Times New Roman" w:cs="Times New Roman"/>
          <w:color w:val="000000" w:themeColor="text1"/>
          <w:spacing w:val="0"/>
          <w:sz w:val="16"/>
          <w:szCs w:val="16"/>
        </w:rPr>
        <w:tab/>
        <w:t>- 2350 об/мин.</w:t>
      </w:r>
    </w:p>
    <w:p w14:paraId="4B59D31C" w14:textId="77777777" w:rsidR="00EA3361" w:rsidRPr="00722885" w:rsidRDefault="00EA3361" w:rsidP="00722885">
      <w:pPr>
        <w:pStyle w:val="6"/>
        <w:shd w:val="clear" w:color="auto" w:fill="auto"/>
        <w:tabs>
          <w:tab w:val="left" w:pos="4850"/>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номинальная мощность земная</w:t>
      </w:r>
      <w:r w:rsidRPr="00722885">
        <w:rPr>
          <w:rFonts w:ascii="Times New Roman" w:hAnsi="Times New Roman" w:cs="Times New Roman"/>
          <w:color w:val="000000" w:themeColor="text1"/>
          <w:spacing w:val="0"/>
          <w:sz w:val="16"/>
          <w:szCs w:val="16"/>
        </w:rPr>
        <w:tab/>
        <w:t xml:space="preserve">- 1500 </w:t>
      </w:r>
      <w:r w:rsidRPr="00722885">
        <w:rPr>
          <w:rStyle w:val="1pt"/>
          <w:rFonts w:ascii="Times New Roman" w:hAnsi="Times New Roman" w:cs="Times New Roman"/>
          <w:color w:val="000000" w:themeColor="text1"/>
          <w:spacing w:val="0"/>
          <w:sz w:val="16"/>
          <w:szCs w:val="16"/>
        </w:rPr>
        <w:t>л.с.</w:t>
      </w:r>
    </w:p>
    <w:p w14:paraId="5004C4FE" w14:textId="77777777" w:rsidR="00EA3361" w:rsidRPr="00722885" w:rsidRDefault="00EA3361"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Повышение взлетной мощности и одновременное повышение числа оборотов мотора </w:t>
      </w:r>
      <w:r w:rsidRPr="00722885">
        <w:rPr>
          <w:rFonts w:ascii="Times New Roman" w:hAnsi="Times New Roman" w:cs="Times New Roman"/>
          <w:color w:val="000000" w:themeColor="text1"/>
          <w:spacing w:val="0"/>
          <w:sz w:val="16"/>
          <w:szCs w:val="16"/>
          <w:lang w:val="en-US"/>
        </w:rPr>
        <w:t>A</w:t>
      </w:r>
      <w:r w:rsidRPr="00722885">
        <w:rPr>
          <w:rFonts w:ascii="Times New Roman" w:hAnsi="Times New Roman" w:cs="Times New Roman"/>
          <w:color w:val="000000" w:themeColor="text1"/>
          <w:spacing w:val="0"/>
          <w:sz w:val="16"/>
          <w:szCs w:val="16"/>
        </w:rPr>
        <w:t xml:space="preserve">М-38Ф, по сравнению с мотором </w:t>
      </w:r>
      <w:r w:rsidRPr="00722885">
        <w:rPr>
          <w:rFonts w:ascii="Times New Roman" w:hAnsi="Times New Roman" w:cs="Times New Roman"/>
          <w:color w:val="000000" w:themeColor="text1"/>
          <w:spacing w:val="0"/>
          <w:sz w:val="16"/>
          <w:szCs w:val="16"/>
          <w:lang w:val="en-US"/>
        </w:rPr>
        <w:t>A</w:t>
      </w:r>
      <w:r w:rsidRPr="00722885">
        <w:rPr>
          <w:rFonts w:ascii="Times New Roman" w:hAnsi="Times New Roman" w:cs="Times New Roman"/>
          <w:color w:val="000000" w:themeColor="text1"/>
          <w:spacing w:val="0"/>
          <w:sz w:val="16"/>
          <w:szCs w:val="16"/>
        </w:rPr>
        <w:t xml:space="preserve">М-38 (взлетная мощность 1600 </w:t>
      </w:r>
      <w:r w:rsidRPr="00722885">
        <w:rPr>
          <w:rStyle w:val="1pt"/>
          <w:rFonts w:ascii="Times New Roman" w:hAnsi="Times New Roman" w:cs="Times New Roman"/>
          <w:color w:val="000000" w:themeColor="text1"/>
          <w:spacing w:val="0"/>
          <w:sz w:val="16"/>
          <w:szCs w:val="16"/>
        </w:rPr>
        <w:t>л.с.</w:t>
      </w:r>
      <w:r w:rsidRPr="00722885">
        <w:rPr>
          <w:rFonts w:ascii="Times New Roman" w:hAnsi="Times New Roman" w:cs="Times New Roman"/>
          <w:color w:val="000000" w:themeColor="text1"/>
          <w:spacing w:val="0"/>
          <w:sz w:val="16"/>
          <w:szCs w:val="16"/>
        </w:rPr>
        <w:t xml:space="preserve"> при числе оборотов на взлете 2150 </w:t>
      </w:r>
      <w:r w:rsidRPr="00722885">
        <w:rPr>
          <w:rStyle w:val="1pt"/>
          <w:rFonts w:ascii="Times New Roman" w:hAnsi="Times New Roman" w:cs="Times New Roman"/>
          <w:color w:val="000000" w:themeColor="text1"/>
          <w:spacing w:val="0"/>
          <w:sz w:val="16"/>
          <w:szCs w:val="16"/>
        </w:rPr>
        <w:t>об/мин.),</w:t>
      </w:r>
      <w:r w:rsidRPr="00722885">
        <w:rPr>
          <w:rFonts w:ascii="Times New Roman" w:hAnsi="Times New Roman" w:cs="Times New Roman"/>
          <w:color w:val="000000" w:themeColor="text1"/>
          <w:spacing w:val="0"/>
          <w:sz w:val="16"/>
          <w:szCs w:val="16"/>
        </w:rPr>
        <w:t xml:space="preserve"> улучшает взлет и уменьшает разбег одномест</w:t>
      </w:r>
      <w:r w:rsidRPr="00722885">
        <w:rPr>
          <w:rFonts w:ascii="Times New Roman" w:hAnsi="Times New Roman" w:cs="Times New Roman"/>
          <w:color w:val="000000" w:themeColor="text1"/>
          <w:spacing w:val="0"/>
          <w:sz w:val="16"/>
          <w:szCs w:val="16"/>
        </w:rPr>
        <w:softHyphen/>
        <w:t>ного самолета Ил-2 на 30%, а также обеспечивает возмож</w:t>
      </w:r>
      <w:r w:rsidRPr="00722885">
        <w:rPr>
          <w:rFonts w:ascii="Times New Roman" w:hAnsi="Times New Roman" w:cs="Times New Roman"/>
          <w:color w:val="000000" w:themeColor="text1"/>
          <w:spacing w:val="0"/>
          <w:sz w:val="16"/>
          <w:szCs w:val="16"/>
        </w:rPr>
        <w:softHyphen/>
        <w:t>ность выпуска двухместных самолетов лл-2 без ухудшения их взлетных свойств;</w:t>
      </w:r>
    </w:p>
    <w:p w14:paraId="62062CB9"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б) для обеспечения указанных данных и повышения надеж</w:t>
      </w:r>
      <w:r w:rsidRPr="00722885">
        <w:rPr>
          <w:rFonts w:ascii="Times New Roman" w:cs="Times New Roman"/>
          <w:color w:val="000000" w:themeColor="text1"/>
          <w:spacing w:val="0"/>
          <w:sz w:val="16"/>
          <w:szCs w:val="16"/>
        </w:rPr>
        <w:softHyphen/>
        <w:t xml:space="preserve">ности работы мотора </w:t>
      </w:r>
      <w:r w:rsidRPr="00722885">
        <w:rPr>
          <w:rFonts w:ascii="Times New Roman" w:cs="Times New Roman"/>
          <w:color w:val="000000" w:themeColor="text1"/>
          <w:spacing w:val="0"/>
          <w:sz w:val="16"/>
          <w:szCs w:val="16"/>
          <w:lang w:val="en-US"/>
        </w:rPr>
        <w:t>A</w:t>
      </w:r>
      <w:r w:rsidRPr="00722885">
        <w:rPr>
          <w:rFonts w:ascii="Times New Roman" w:cs="Times New Roman"/>
          <w:color w:val="000000" w:themeColor="text1"/>
          <w:spacing w:val="0"/>
          <w:sz w:val="16"/>
          <w:szCs w:val="16"/>
        </w:rPr>
        <w:t xml:space="preserve">М-38Ф разрешить заводу 24 ввести в конструкцию мотора </w:t>
      </w:r>
      <w:r w:rsidRPr="00722885">
        <w:rPr>
          <w:rFonts w:ascii="Times New Roman" w:cs="Times New Roman"/>
          <w:color w:val="000000" w:themeColor="text1"/>
          <w:spacing w:val="0"/>
          <w:sz w:val="16"/>
          <w:szCs w:val="16"/>
          <w:lang w:val="en-US"/>
        </w:rPr>
        <w:t>A</w:t>
      </w:r>
      <w:r w:rsidRPr="00722885">
        <w:rPr>
          <w:rFonts w:ascii="Times New Roman" w:cs="Times New Roman"/>
          <w:color w:val="000000" w:themeColor="text1"/>
          <w:spacing w:val="0"/>
          <w:sz w:val="16"/>
          <w:szCs w:val="16"/>
        </w:rPr>
        <w:t>М-38 следующие изменения: коническую передачу газо-распределения взамен существующей винтовой, усиленные шестерни редуктора, усиленные распределительные' валики и усиленные клапаны;</w:t>
      </w:r>
    </w:p>
    <w:p w14:paraId="21EE96FE" w14:textId="77777777" w:rsidR="00EA3361" w:rsidRPr="00722885" w:rsidRDefault="00EA3361" w:rsidP="00722885">
      <w:pPr>
        <w:pStyle w:val="36"/>
        <w:shd w:val="clear" w:color="auto" w:fill="auto"/>
        <w:tabs>
          <w:tab w:val="left" w:pos="1035"/>
          <w:tab w:val="left" w:leader="underscore" w:pos="2648"/>
          <w:tab w:val="left" w:leader="underscore" w:pos="2708"/>
          <w:tab w:val="left" w:pos="3848"/>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в) для обеспечения возможности эксплоатации мотора </w:t>
      </w:r>
      <w:r w:rsidRPr="00722885">
        <w:rPr>
          <w:rFonts w:ascii="Times New Roman" w:cs="Times New Roman"/>
          <w:color w:val="000000" w:themeColor="text1"/>
          <w:spacing w:val="0"/>
          <w:sz w:val="16"/>
          <w:szCs w:val="16"/>
          <w:lang w:val="en-US"/>
        </w:rPr>
        <w:t>A</w:t>
      </w:r>
      <w:r w:rsidRPr="00722885">
        <w:rPr>
          <w:rFonts w:ascii="Times New Roman" w:cs="Times New Roman"/>
          <w:color w:val="000000" w:themeColor="text1"/>
          <w:spacing w:val="0"/>
          <w:sz w:val="16"/>
          <w:szCs w:val="16"/>
        </w:rPr>
        <w:t>М-38М на уфимском бензине 4Б-78 и американском бензине Б-95 ввести. на основании опытных работ завода и умень</w:t>
      </w:r>
      <w:r w:rsidRPr="00722885">
        <w:rPr>
          <w:rFonts w:ascii="Times New Roman" w:cs="Times New Roman"/>
          <w:color w:val="000000" w:themeColor="text1"/>
          <w:spacing w:val="0"/>
          <w:sz w:val="16"/>
          <w:szCs w:val="16"/>
        </w:rPr>
        <w:softHyphen/>
        <w:t>шенную степень сжатия и измененное положение свечей в ка</w:t>
      </w:r>
      <w:r w:rsidRPr="00722885">
        <w:rPr>
          <w:rFonts w:ascii="Times New Roman" w:cs="Times New Roman"/>
          <w:color w:val="000000" w:themeColor="text1"/>
          <w:spacing w:val="0"/>
          <w:sz w:val="16"/>
          <w:szCs w:val="16"/>
        </w:rPr>
        <w:softHyphen/>
        <w:t>мере сгорания.</w:t>
      </w:r>
    </w:p>
    <w:p w14:paraId="59234352" w14:textId="77777777" w:rsidR="00EA3361" w:rsidRPr="00722885" w:rsidRDefault="00EA3361" w:rsidP="00722885">
      <w:pPr>
        <w:pStyle w:val="36"/>
        <w:shd w:val="clear" w:color="auto" w:fill="auto"/>
        <w:tabs>
          <w:tab w:val="left" w:pos="1035"/>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г) выпустить в счет серийной программы завода № 24 мо</w:t>
      </w:r>
      <w:r w:rsidRPr="00722885">
        <w:rPr>
          <w:rFonts w:ascii="Times New Roman" w:cs="Times New Roman"/>
          <w:color w:val="000000" w:themeColor="text1"/>
          <w:spacing w:val="0"/>
          <w:sz w:val="16"/>
          <w:szCs w:val="16"/>
        </w:rPr>
        <w:softHyphen/>
        <w:t>торов АМ-38Ф в 1942 году: в октябре - 10,</w:t>
      </w:r>
    </w:p>
    <w:p w14:paraId="38DA91B5" w14:textId="77777777" w:rsidR="00EA3361" w:rsidRPr="00722885" w:rsidRDefault="00EA3361" w:rsidP="00722885">
      <w:pPr>
        <w:pStyle w:val="36"/>
        <w:shd w:val="clear" w:color="auto" w:fill="auto"/>
        <w:tabs>
          <w:tab w:val="left" w:pos="1035"/>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ноябре - 100</w:t>
      </w:r>
    </w:p>
    <w:p w14:paraId="34149C54"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декабре - 300,</w:t>
      </w:r>
    </w:p>
    <w:p w14:paraId="15BE189C"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январе 1943 года - 500</w:t>
      </w:r>
    </w:p>
    <w:p w14:paraId="38C2E733"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и с февраля 1943 года выпускать только форсированные моторы АМ-38Ф.</w:t>
      </w:r>
    </w:p>
    <w:p w14:paraId="282C50CB"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2. Обязать директора завода № 24 т. Жезлова и главного коне тру кт ора т.Микулина:</w:t>
      </w:r>
    </w:p>
    <w:p w14:paraId="4724373D" w14:textId="77777777" w:rsidR="00EA3361" w:rsidRPr="00722885" w:rsidRDefault="00EA3361" w:rsidP="00722885">
      <w:pPr>
        <w:pStyle w:val="36"/>
        <w:shd w:val="clear" w:color="auto" w:fill="auto"/>
        <w:tabs>
          <w:tab w:val="left" w:pos="1043"/>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а) построить и провести к 1 января 1943 года совместные 100-часовые испытания нового опытного мотора л. АМ-42 со следую</w:t>
      </w:r>
      <w:r w:rsidRPr="00722885">
        <w:rPr>
          <w:rFonts w:ascii="Times New Roman" w:cs="Times New Roman"/>
          <w:color w:val="000000" w:themeColor="text1"/>
          <w:spacing w:val="0"/>
          <w:sz w:val="16"/>
          <w:szCs w:val="16"/>
        </w:rPr>
        <w:softHyphen/>
        <w:t>щими данными:</w:t>
      </w:r>
    </w:p>
    <w:p w14:paraId="5368018A" w14:textId="77777777" w:rsidR="00EA3361" w:rsidRPr="00722885" w:rsidRDefault="00EA3361" w:rsidP="00722885">
      <w:pPr>
        <w:pStyle w:val="36"/>
        <w:shd w:val="clear" w:color="auto" w:fill="auto"/>
        <w:tabs>
          <w:tab w:val="left" w:pos="3823"/>
        </w:tabs>
        <w:spacing w:after="0" w:line="240" w:lineRule="auto"/>
        <w:jc w:val="both"/>
        <w:rPr>
          <w:rFonts w:ascii="Times New Roman" w:cs="Times New Roman"/>
          <w:color w:val="000000" w:themeColor="text1"/>
          <w:spacing w:val="0"/>
          <w:sz w:val="16"/>
          <w:szCs w:val="16"/>
        </w:rPr>
      </w:pPr>
      <w:bookmarkStart w:id="5" w:name="bookmark1"/>
      <w:r w:rsidRPr="00722885">
        <w:rPr>
          <w:rFonts w:ascii="Times New Roman" w:cs="Times New Roman"/>
          <w:color w:val="000000" w:themeColor="text1"/>
          <w:spacing w:val="0"/>
          <w:sz w:val="16"/>
          <w:szCs w:val="16"/>
        </w:rPr>
        <w:t>взлетная мощность - 2000 л.с.</w:t>
      </w:r>
      <w:bookmarkEnd w:id="5"/>
    </w:p>
    <w:p w14:paraId="580FF7ED"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при числе оборотов - 2350-2400</w:t>
      </w:r>
    </w:p>
    <w:p w14:paraId="77A73568"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номинальная мощность земная - 1650</w:t>
      </w:r>
    </w:p>
    <w:p w14:paraId="64B8CFB7"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при числе оборотов - 2200-2250</w:t>
      </w:r>
    </w:p>
    <w:p w14:paraId="21057FEA"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октановое число топлива - 95</w:t>
      </w:r>
    </w:p>
    <w:p w14:paraId="6B090514"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степень редукции - 0,59</w:t>
      </w:r>
    </w:p>
    <w:p w14:paraId="5414BEA2"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вес мотора - 900</w:t>
      </w:r>
    </w:p>
    <w:p w14:paraId="3AE23C1F"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допускаемая максимальная темпе</w:t>
      </w:r>
      <w:r w:rsidRPr="00722885">
        <w:rPr>
          <w:rFonts w:ascii="Times New Roman" w:cs="Times New Roman"/>
          <w:color w:val="000000" w:themeColor="text1"/>
          <w:spacing w:val="0"/>
          <w:sz w:val="16"/>
          <w:szCs w:val="16"/>
        </w:rPr>
        <w:softHyphen/>
        <w:t>ратура воды на выходе из мотора на режимах взлета и набора высоты - 120</w:t>
      </w:r>
    </w:p>
    <w:p w14:paraId="142940FD"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на режиме горизонтального полета - 130</w:t>
      </w:r>
    </w:p>
    <w:p w14:paraId="0DAEE794" w14:textId="77777777" w:rsidR="00EA3361" w:rsidRPr="00722885" w:rsidRDefault="00EA336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максимальная температура масла на входе в мотор - 85</w:t>
      </w:r>
    </w:p>
    <w:p w14:paraId="09F6DF0D" w14:textId="77777777" w:rsidR="00EA3361" w:rsidRPr="00722885" w:rsidRDefault="00EA3361" w:rsidP="00722885">
      <w:pPr>
        <w:pStyle w:val="36"/>
        <w:shd w:val="clear" w:color="auto" w:fill="auto"/>
        <w:tabs>
          <w:tab w:val="left" w:pos="1043"/>
          <w:tab w:val="left" w:pos="5423"/>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б) закончить доводку и провести государственные 100-часовые испытания мотора АМ-42 к 1 марта 1943 года;</w:t>
      </w:r>
    </w:p>
    <w:p w14:paraId="5ED7B7BC" w14:textId="77777777" w:rsidR="00EA3361" w:rsidRPr="00722885" w:rsidRDefault="00EA3361" w:rsidP="00722885">
      <w:pPr>
        <w:pStyle w:val="36"/>
        <w:shd w:val="clear" w:color="auto" w:fill="auto"/>
        <w:tabs>
          <w:tab w:val="left" w:pos="1035"/>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в) изготовить в счет серийнои </w:t>
      </w:r>
      <w:r w:rsidRPr="00722885">
        <w:rPr>
          <w:rStyle w:val="-1pt"/>
          <w:rFonts w:ascii="Times New Roman" w:hAnsi="Times New Roman" w:cs="Times New Roman"/>
          <w:color w:val="000000" w:themeColor="text1"/>
          <w:spacing w:val="0"/>
          <w:sz w:val="16"/>
          <w:szCs w:val="16"/>
        </w:rPr>
        <w:t>программы</w:t>
      </w:r>
      <w:r w:rsidRPr="00722885">
        <w:rPr>
          <w:rFonts w:ascii="Times New Roman" w:cs="Times New Roman"/>
          <w:color w:val="000000" w:themeColor="text1"/>
          <w:spacing w:val="0"/>
          <w:sz w:val="16"/>
          <w:szCs w:val="16"/>
        </w:rPr>
        <w:t xml:space="preserve"> завода для про</w:t>
      </w:r>
      <w:r w:rsidRPr="00722885">
        <w:rPr>
          <w:rFonts w:ascii="Times New Roman" w:cs="Times New Roman"/>
          <w:color w:val="000000" w:themeColor="text1"/>
          <w:spacing w:val="0"/>
          <w:sz w:val="16"/>
          <w:szCs w:val="16"/>
        </w:rPr>
        <w:softHyphen/>
        <w:t>ведения доводочных работ, стендовых и летных испытаний мото- ров</w:t>
      </w:r>
      <w:r w:rsidRPr="00722885">
        <w:rPr>
          <w:rStyle w:val="FranklinGothicBook105pt-1pt"/>
          <w:rFonts w:ascii="Times New Roman" w:hAnsi="Times New Roman" w:cs="Times New Roman"/>
          <w:color w:val="000000" w:themeColor="text1"/>
          <w:spacing w:val="0"/>
          <w:sz w:val="16"/>
          <w:szCs w:val="16"/>
        </w:rPr>
        <w:t xml:space="preserve"> М—38Ф</w:t>
      </w:r>
      <w:r w:rsidRPr="00722885">
        <w:rPr>
          <w:rFonts w:ascii="Times New Roman" w:cs="Times New Roman"/>
          <w:color w:val="000000" w:themeColor="text1"/>
          <w:spacing w:val="0"/>
          <w:sz w:val="16"/>
          <w:szCs w:val="16"/>
        </w:rPr>
        <w:t xml:space="preserve"> в 1942 году в ноябре 5 моторов, в декабре 10 мото</w:t>
      </w:r>
      <w:r w:rsidRPr="00722885">
        <w:rPr>
          <w:rFonts w:ascii="Times New Roman" w:cs="Times New Roman"/>
          <w:color w:val="000000" w:themeColor="text1"/>
          <w:spacing w:val="0"/>
          <w:sz w:val="16"/>
          <w:szCs w:val="16"/>
        </w:rPr>
        <w:softHyphen/>
        <w:t>ров, в 1943 году в январе 10 моторов, в феврале 20 моторов, в марте 50 моторов;</w:t>
      </w:r>
    </w:p>
    <w:p w14:paraId="14B0821D" w14:textId="77777777" w:rsidR="00EA3361" w:rsidRPr="00722885" w:rsidRDefault="00EA3361" w:rsidP="00722885">
      <w:pPr>
        <w:pStyle w:val="34"/>
        <w:shd w:val="clear" w:color="auto" w:fill="auto"/>
        <w:tabs>
          <w:tab w:val="left" w:pos="973"/>
        </w:tabs>
        <w:spacing w:line="240" w:lineRule="auto"/>
        <w:jc w:val="both"/>
        <w:rPr>
          <w:rFonts w:ascii="Times New Roman" w:cs="Times New Roman"/>
          <w:color w:val="000000" w:themeColor="text1"/>
          <w:spacing w:val="0"/>
          <w:sz w:val="16"/>
          <w:szCs w:val="16"/>
        </w:rPr>
      </w:pPr>
      <w:r w:rsidRPr="00722885">
        <w:rPr>
          <w:rStyle w:val="385pt"/>
          <w:rFonts w:ascii="Times New Roman" w:hAnsi="Times New Roman" w:cs="Times New Roman"/>
          <w:color w:val="000000" w:themeColor="text1"/>
          <w:sz w:val="16"/>
          <w:szCs w:val="16"/>
        </w:rPr>
        <w:t xml:space="preserve">г) </w:t>
      </w:r>
      <w:r w:rsidRPr="00722885">
        <w:rPr>
          <w:rFonts w:ascii="Times New Roman" w:cs="Times New Roman"/>
          <w:color w:val="000000" w:themeColor="text1"/>
          <w:spacing w:val="0"/>
          <w:sz w:val="16"/>
          <w:szCs w:val="16"/>
        </w:rPr>
        <w:t>подготовку</w:t>
      </w:r>
      <w:r w:rsidRPr="00722885">
        <w:rPr>
          <w:rStyle w:val="385pt"/>
          <w:rFonts w:ascii="Times New Roman" w:hAnsi="Times New Roman" w:cs="Times New Roman"/>
          <w:color w:val="000000" w:themeColor="text1"/>
          <w:sz w:val="16"/>
          <w:szCs w:val="16"/>
        </w:rPr>
        <w:t xml:space="preserve"> к</w:t>
      </w:r>
      <w:r w:rsidRPr="00722885">
        <w:rPr>
          <w:rFonts w:ascii="Times New Roman" w:cs="Times New Roman"/>
          <w:color w:val="000000" w:themeColor="text1"/>
          <w:spacing w:val="0"/>
          <w:sz w:val="16"/>
          <w:szCs w:val="16"/>
        </w:rPr>
        <w:t xml:space="preserve"> серийному производству </w:t>
      </w:r>
      <w:r w:rsidRPr="00722885">
        <w:rPr>
          <w:rFonts w:ascii="Times New Roman" w:cs="Times New Roman"/>
          <w:color w:val="000000" w:themeColor="text1"/>
          <w:spacing w:val="0"/>
          <w:sz w:val="16"/>
          <w:szCs w:val="16"/>
          <w:lang w:val="en-US"/>
        </w:rPr>
        <w:t>MOTODCB</w:t>
      </w:r>
      <w:r w:rsidRPr="00722885">
        <w:rPr>
          <w:rStyle w:val="385pt"/>
          <w:rFonts w:ascii="Times New Roman" w:hAnsi="Times New Roman" w:cs="Times New Roman"/>
          <w:color w:val="000000" w:themeColor="text1"/>
          <w:sz w:val="16"/>
          <w:szCs w:val="16"/>
        </w:rPr>
        <w:t xml:space="preserve"> АМ-42 </w:t>
      </w:r>
      <w:r w:rsidRPr="00722885">
        <w:rPr>
          <w:rFonts w:ascii="Times New Roman" w:cs="Times New Roman"/>
          <w:color w:val="000000" w:themeColor="text1"/>
          <w:spacing w:val="0"/>
          <w:sz w:val="16"/>
          <w:szCs w:val="16"/>
        </w:rPr>
        <w:t>закончить к апрелю</w:t>
      </w:r>
      <w:r w:rsidRPr="00722885">
        <w:rPr>
          <w:rStyle w:val="385pt"/>
          <w:rFonts w:ascii="Times New Roman" w:hAnsi="Times New Roman" w:cs="Times New Roman"/>
          <w:color w:val="000000" w:themeColor="text1"/>
          <w:sz w:val="16"/>
          <w:szCs w:val="16"/>
        </w:rPr>
        <w:t xml:space="preserve"> 1945</w:t>
      </w:r>
      <w:r w:rsidRPr="00722885">
        <w:rPr>
          <w:rFonts w:ascii="Times New Roman" w:cs="Times New Roman"/>
          <w:color w:val="000000" w:themeColor="text1"/>
          <w:spacing w:val="0"/>
          <w:sz w:val="16"/>
          <w:szCs w:val="16"/>
        </w:rPr>
        <w:t xml:space="preserve"> года и, начиная с апреля</w:t>
      </w:r>
      <w:r w:rsidRPr="00722885">
        <w:rPr>
          <w:rStyle w:val="385pt"/>
          <w:rFonts w:ascii="Times New Roman" w:hAnsi="Times New Roman" w:cs="Times New Roman"/>
          <w:color w:val="000000" w:themeColor="text1"/>
          <w:sz w:val="16"/>
          <w:szCs w:val="16"/>
        </w:rPr>
        <w:t xml:space="preserve"> 1943</w:t>
      </w:r>
      <w:r w:rsidRPr="00722885">
        <w:rPr>
          <w:rFonts w:ascii="Times New Roman" w:cs="Times New Roman"/>
          <w:color w:val="000000" w:themeColor="text1"/>
          <w:spacing w:val="0"/>
          <w:sz w:val="16"/>
          <w:szCs w:val="16"/>
        </w:rPr>
        <w:t xml:space="preserve"> го</w:t>
      </w:r>
      <w:r w:rsidRPr="00722885">
        <w:rPr>
          <w:rFonts w:ascii="Times New Roman" w:cs="Times New Roman"/>
          <w:color w:val="000000" w:themeColor="text1"/>
          <w:spacing w:val="0"/>
          <w:sz w:val="16"/>
          <w:szCs w:val="16"/>
        </w:rPr>
        <w:softHyphen/>
        <w:t>да, приступить к серийному выпуску моторов</w:t>
      </w:r>
      <w:r w:rsidRPr="00722885">
        <w:rPr>
          <w:rStyle w:val="385pt"/>
          <w:rFonts w:ascii="Times New Roman" w:hAnsi="Times New Roman" w:cs="Times New Roman"/>
          <w:color w:val="000000" w:themeColor="text1"/>
          <w:sz w:val="16"/>
          <w:szCs w:val="16"/>
        </w:rPr>
        <w:t xml:space="preserve"> АМ-42;</w:t>
      </w:r>
    </w:p>
    <w:p w14:paraId="527C4BB4" w14:textId="77777777" w:rsidR="00EA3361" w:rsidRPr="00722885" w:rsidRDefault="00EA3361" w:rsidP="00722885">
      <w:pPr>
        <w:tabs>
          <w:tab w:val="left" w:pos="96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 передать главкому конструктору тов.Ильюшину к 15 января 1943 года 2 мотора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М-42 для проведения летних ис</w:t>
      </w:r>
      <w:r w:rsidRPr="00722885">
        <w:rPr>
          <w:rFonts w:ascii="Times New Roman" w:hAnsi="Times New Roman"/>
          <w:color w:val="000000" w:themeColor="text1"/>
          <w:sz w:val="16"/>
          <w:szCs w:val="16"/>
        </w:rPr>
        <w:softHyphen/>
        <w:t>пытаний.</w:t>
      </w:r>
    </w:p>
    <w:p w14:paraId="057128F0" w14:textId="77777777" w:rsidR="00EA3361" w:rsidRPr="00722885" w:rsidRDefault="00EA3361" w:rsidP="00722885">
      <w:pPr>
        <w:tabs>
          <w:tab w:val="left" w:pos="97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главного конструктора тов.Ильюшина обеспечить окончание государственных испытаний самолета-штурмовика с мотором АМ-42 к 1 марта 1943 года.</w:t>
      </w:r>
    </w:p>
    <w:p w14:paraId="613C2BEB" w14:textId="77777777" w:rsidR="00EA3361" w:rsidRPr="00722885" w:rsidRDefault="00EA3361" w:rsidP="00722885">
      <w:pPr>
        <w:tabs>
          <w:tab w:val="left" w:pos="98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Считать., что изготовление опытных моторов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М-38Ф и АМ-42 и деталей к ним является первоочередной задачей завода № 24 и что невыполнение задания по моторам АМ-38Ф и АМ-42 в указанные сроки будет рассматриваться как невыпол</w:t>
      </w:r>
      <w:r w:rsidRPr="00722885">
        <w:rPr>
          <w:rFonts w:ascii="Times New Roman" w:hAnsi="Times New Roman"/>
          <w:color w:val="000000" w:themeColor="text1"/>
          <w:sz w:val="16"/>
          <w:szCs w:val="16"/>
        </w:rPr>
        <w:softHyphen/>
        <w:t>нение государственного плана заводом.</w:t>
      </w:r>
    </w:p>
    <w:p w14:paraId="5C6DC111" w14:textId="77777777" w:rsidR="00EA3361" w:rsidRPr="00722885" w:rsidRDefault="00EA3361" w:rsidP="00722885">
      <w:pPr>
        <w:tabs>
          <w:tab w:val="left" w:pos="96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Для обеспечение опытных работ по мотору АМ-42 обязать:</w:t>
      </w:r>
    </w:p>
    <w:p w14:paraId="79949C30" w14:textId="77777777" w:rsidR="00EA3361" w:rsidRPr="00722885" w:rsidRDefault="00EA3361" w:rsidP="00722885">
      <w:pPr>
        <w:tabs>
          <w:tab w:val="left" w:pos="97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заместителя Наркомавиапрома тов. Дементьева и дирек</w:t>
      </w:r>
      <w:r w:rsidRPr="00722885">
        <w:rPr>
          <w:rFonts w:ascii="Times New Roman" w:hAnsi="Times New Roman"/>
          <w:color w:val="000000" w:themeColor="text1"/>
          <w:sz w:val="16"/>
          <w:szCs w:val="16"/>
        </w:rPr>
        <w:softHyphen/>
        <w:t>тора завода № 24 тов.Жезлова к 1 ноября 1942 года восстано</w:t>
      </w:r>
      <w:r w:rsidRPr="00722885">
        <w:rPr>
          <w:rFonts w:ascii="Times New Roman" w:hAnsi="Times New Roman"/>
          <w:color w:val="000000" w:themeColor="text1"/>
          <w:sz w:val="16"/>
          <w:szCs w:val="16"/>
        </w:rPr>
        <w:softHyphen/>
        <w:t>вить</w:t>
      </w:r>
      <w:r w:rsidRPr="00722885">
        <w:rPr>
          <w:rStyle w:val="95pt"/>
          <w:rFonts w:ascii="Times New Roman" w:hAnsi="Times New Roman" w:cs="Times New Roman"/>
          <w:color w:val="000000" w:themeColor="text1"/>
          <w:sz w:val="16"/>
          <w:szCs w:val="16"/>
        </w:rPr>
        <w:t xml:space="preserve"> О</w:t>
      </w:r>
      <w:r w:rsidRPr="00722885">
        <w:rPr>
          <w:rFonts w:ascii="Times New Roman" w:hAnsi="Times New Roman"/>
          <w:color w:val="000000" w:themeColor="text1"/>
          <w:sz w:val="16"/>
          <w:szCs w:val="16"/>
        </w:rPr>
        <w:t>КБ главного конструктора завода № 24</w:t>
      </w:r>
      <w:r w:rsidRPr="00722885">
        <w:rPr>
          <w:rStyle w:val="95pt"/>
          <w:rFonts w:ascii="Times New Roman" w:hAnsi="Times New Roman" w:cs="Times New Roman"/>
          <w:color w:val="000000" w:themeColor="text1"/>
          <w:sz w:val="16"/>
          <w:szCs w:val="16"/>
        </w:rPr>
        <w:t xml:space="preserve"> </w:t>
      </w:r>
      <w:r w:rsidRPr="00722885">
        <w:rPr>
          <w:rStyle w:val="95pt"/>
          <w:rFonts w:ascii="Times New Roman" w:hAnsi="Times New Roman" w:cs="Times New Roman"/>
          <w:color w:val="000000" w:themeColor="text1"/>
          <w:sz w:val="16"/>
          <w:szCs w:val="16"/>
          <w:lang w:val="en-US"/>
        </w:rPr>
        <w:t>to</w:t>
      </w:r>
      <w:r w:rsidRPr="00722885">
        <w:rPr>
          <w:rStyle w:val="95pt"/>
          <w:rFonts w:ascii="Times New Roman" w:hAnsi="Times New Roman" w:cs="Times New Roman"/>
          <w:color w:val="000000" w:themeColor="text1"/>
          <w:sz w:val="16"/>
          <w:szCs w:val="16"/>
        </w:rPr>
        <w:t>в</w:t>
      </w:r>
      <w:r w:rsidRPr="00722885">
        <w:rPr>
          <w:rFonts w:ascii="Times New Roman" w:hAnsi="Times New Roman"/>
          <w:color w:val="000000" w:themeColor="text1"/>
          <w:sz w:val="16"/>
          <w:szCs w:val="16"/>
        </w:rPr>
        <w:t>.Микулина в об"сме, соответствующем доэвакуационному периоду, по произ</w:t>
      </w:r>
      <w:r w:rsidRPr="00722885">
        <w:rPr>
          <w:rFonts w:ascii="Times New Roman" w:hAnsi="Times New Roman"/>
          <w:color w:val="000000" w:themeColor="text1"/>
          <w:sz w:val="16"/>
          <w:szCs w:val="16"/>
        </w:rPr>
        <w:softHyphen/>
        <w:t>водственным площадям, оборудованию и штату, укомплектовав его бывшими работниками ОКБ завода № 24 за счет перевода их обратно из серийных цехов завода № 24 на завод № 45;</w:t>
      </w:r>
    </w:p>
    <w:p w14:paraId="5538D6AC" w14:textId="77777777" w:rsidR="00EA3361" w:rsidRPr="00722885" w:rsidRDefault="00EA3361" w:rsidP="00722885">
      <w:pPr>
        <w:tabs>
          <w:tab w:val="left" w:pos="97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начальника УОС НКВД т.Лепилова закончить монтаж ла</w:t>
      </w:r>
      <w:r w:rsidRPr="00722885">
        <w:rPr>
          <w:rFonts w:ascii="Times New Roman" w:hAnsi="Times New Roman"/>
          <w:color w:val="000000" w:themeColor="text1"/>
          <w:sz w:val="16"/>
          <w:szCs w:val="16"/>
        </w:rPr>
        <w:softHyphen/>
        <w:t>боратории и монтажного цеха ОКБ завода № 24 к 1 ноября 1942 года.</w:t>
      </w:r>
    </w:p>
    <w:p w14:paraId="00905A6E" w14:textId="77777777" w:rsidR="00EA3361" w:rsidRPr="00722885" w:rsidRDefault="00EA33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Обяэать Наркомчермет тов.Тевосяна поставлять заводу № 24 в четвертом квартале 1942 года ежемесячно по 100 комп</w:t>
      </w:r>
      <w:r w:rsidRPr="00722885">
        <w:rPr>
          <w:rFonts w:ascii="Times New Roman" w:hAnsi="Times New Roman"/>
          <w:color w:val="000000" w:themeColor="text1"/>
          <w:sz w:val="16"/>
          <w:szCs w:val="16"/>
        </w:rPr>
        <w:softHyphen/>
        <w:t>лектов поковок коленвалов, шатунов и противовесов мотора АМ-42.</w:t>
      </w:r>
    </w:p>
    <w:p w14:paraId="3CE9EE8D" w14:textId="77777777" w:rsidR="00EA3361" w:rsidRPr="00722885" w:rsidRDefault="00EA3361" w:rsidP="00722885">
      <w:pPr>
        <w:tabs>
          <w:tab w:val="left" w:pos="98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Обязать Нархомвнешторг т.Микояна заказать для завода №</w:t>
      </w:r>
      <w:r w:rsidRPr="00722885">
        <w:rPr>
          <w:rStyle w:val="Candara12pt"/>
          <w:rFonts w:ascii="Times New Roman" w:hAnsi="Times New Roman" w:cs="Times New Roman"/>
          <w:color w:val="000000" w:themeColor="text1"/>
          <w:sz w:val="16"/>
          <w:szCs w:val="16"/>
        </w:rPr>
        <w:t xml:space="preserve"> 24</w:t>
      </w:r>
      <w:r w:rsidRPr="00722885">
        <w:rPr>
          <w:rFonts w:ascii="Times New Roman" w:hAnsi="Times New Roman"/>
          <w:color w:val="000000" w:themeColor="text1"/>
          <w:sz w:val="16"/>
          <w:szCs w:val="16"/>
        </w:rPr>
        <w:t xml:space="preserve"> импортное оборудование и запасные части в соответствии с приложением.</w:t>
      </w:r>
    </w:p>
    <w:p w14:paraId="757160BA" w14:textId="77777777" w:rsidR="00EA3361" w:rsidRPr="00722885" w:rsidRDefault="00EA3361" w:rsidP="00722885">
      <w:pPr>
        <w:tabs>
          <w:tab w:val="left" w:pos="463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8. Обязать Наркомпищепром т.Пронина знделить целевым назначением заводу № 24 в четвертом квартале 1942 года табачных изделий - 5000 кг.</w:t>
      </w:r>
    </w:p>
    <w:p w14:paraId="1998AC25" w14:textId="77777777" w:rsidR="00EA3361" w:rsidRPr="00722885" w:rsidRDefault="00EA336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Обязать Наркомфин СССР тов.Зверева выделить Наркома</w:t>
      </w:r>
      <w:r w:rsidRPr="00722885">
        <w:rPr>
          <w:rFonts w:ascii="Times New Roman" w:hAnsi="Times New Roman"/>
          <w:color w:val="000000" w:themeColor="text1"/>
          <w:sz w:val="16"/>
          <w:szCs w:val="16"/>
        </w:rPr>
        <w:softHyphen/>
        <w:t xml:space="preserve">ту авиационной промышленности из резервного &lt;£онда </w:t>
      </w:r>
      <w:r w:rsidRPr="00722885">
        <w:rPr>
          <w:rFonts w:ascii="Times New Roman" w:hAnsi="Times New Roman"/>
          <w:color w:val="000000" w:themeColor="text1"/>
          <w:sz w:val="16"/>
          <w:szCs w:val="16"/>
          <w:lang w:val="en-US"/>
        </w:rPr>
        <w:t>Ciiii</w:t>
      </w:r>
      <w:r w:rsidRPr="00722885">
        <w:rPr>
          <w:rFonts w:ascii="Times New Roman" w:hAnsi="Times New Roman"/>
          <w:color w:val="000000" w:themeColor="text1"/>
          <w:sz w:val="16"/>
          <w:szCs w:val="16"/>
        </w:rPr>
        <w:t xml:space="preserve"> СССР:</w:t>
      </w:r>
    </w:p>
    <w:p w14:paraId="1110C290" w14:textId="77777777" w:rsidR="00EA3361" w:rsidRPr="00722885" w:rsidRDefault="00EA3361" w:rsidP="00722885">
      <w:pPr>
        <w:tabs>
          <w:tab w:val="left" w:pos="98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на постановку производства мотора АМ-42 на заводе №</w:t>
      </w:r>
      <w:r w:rsidRPr="00722885">
        <w:rPr>
          <w:rStyle w:val="TimesNewRoman105pt"/>
          <w:rFonts w:eastAsia="Calibri"/>
          <w:color w:val="000000" w:themeColor="text1"/>
          <w:sz w:val="16"/>
          <w:szCs w:val="16"/>
        </w:rPr>
        <w:t xml:space="preserve"> 24</w:t>
      </w:r>
      <w:r w:rsidRPr="00722885">
        <w:rPr>
          <w:rFonts w:ascii="Times New Roman" w:hAnsi="Times New Roman"/>
          <w:color w:val="000000" w:themeColor="text1"/>
          <w:sz w:val="16"/>
          <w:szCs w:val="16"/>
        </w:rPr>
        <w:t xml:space="preserve"> 10 млн. рублей, из них 2 млн .рублей на</w:t>
      </w:r>
      <w:r w:rsidRPr="00722885">
        <w:rPr>
          <w:rStyle w:val="TimesNewRoman105pt"/>
          <w:rFonts w:eastAsia="Calibri"/>
          <w:color w:val="000000" w:themeColor="text1"/>
          <w:sz w:val="16"/>
          <w:szCs w:val="16"/>
        </w:rPr>
        <w:t xml:space="preserve"> </w:t>
      </w:r>
      <w:r w:rsidRPr="00722885">
        <w:rPr>
          <w:rStyle w:val="TimesNewRoman105pt"/>
          <w:rFonts w:eastAsia="Batang"/>
          <w:color w:val="000000" w:themeColor="text1"/>
          <w:sz w:val="16"/>
          <w:szCs w:val="16"/>
        </w:rPr>
        <w:t xml:space="preserve">1942 </w:t>
      </w:r>
      <w:r w:rsidRPr="00722885">
        <w:rPr>
          <w:rStyle w:val="TimesNewRoman105pt"/>
          <w:rFonts w:eastAsia="Calibri"/>
          <w:color w:val="000000" w:themeColor="text1"/>
          <w:sz w:val="16"/>
          <w:szCs w:val="16"/>
        </w:rPr>
        <w:t>год</w:t>
      </w:r>
      <w:r w:rsidRPr="00722885">
        <w:rPr>
          <w:rFonts w:ascii="Times New Roman" w:hAnsi="Times New Roman"/>
          <w:color w:val="000000" w:themeColor="text1"/>
          <w:sz w:val="16"/>
          <w:szCs w:val="16"/>
        </w:rPr>
        <w:t xml:space="preserve"> и 8 милионов рублей на 1943 год;</w:t>
      </w:r>
    </w:p>
    <w:p w14:paraId="4B04CDDA" w14:textId="77777777" w:rsidR="00EA3361" w:rsidRPr="00722885" w:rsidRDefault="00EA3361" w:rsidP="00722885">
      <w:pPr>
        <w:tabs>
          <w:tab w:val="left" w:pos="97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для премирования рабочих, ИТР и служащих завода № 24, за своевременное выполнение работ по мотору</w:t>
      </w:r>
      <w:r w:rsidRPr="00722885">
        <w:rPr>
          <w:rStyle w:val="TimesNewRoman105pt"/>
          <w:rFonts w:eastAsia="Calibri"/>
          <w:color w:val="000000" w:themeColor="text1"/>
          <w:sz w:val="16"/>
          <w:szCs w:val="16"/>
        </w:rPr>
        <w:t xml:space="preserve"> </w:t>
      </w:r>
      <w:r w:rsidRPr="00722885">
        <w:rPr>
          <w:rStyle w:val="TimesNewRoman105pt"/>
          <w:rFonts w:eastAsia="Calibri"/>
          <w:color w:val="000000" w:themeColor="text1"/>
          <w:sz w:val="16"/>
          <w:szCs w:val="16"/>
          <w:lang w:val="en-US"/>
        </w:rPr>
        <w:t>A</w:t>
      </w:r>
      <w:r w:rsidRPr="00722885">
        <w:rPr>
          <w:rStyle w:val="TimesNewRoman105pt"/>
          <w:rFonts w:eastAsia="Batang"/>
          <w:color w:val="000000" w:themeColor="text1"/>
          <w:sz w:val="16"/>
          <w:szCs w:val="16"/>
        </w:rPr>
        <w:t>М</w:t>
      </w:r>
      <w:r w:rsidRPr="00722885">
        <w:rPr>
          <w:rStyle w:val="TimesNewRoman105pt"/>
          <w:rFonts w:eastAsia="Calibri"/>
          <w:color w:val="000000" w:themeColor="text1"/>
          <w:sz w:val="16"/>
          <w:szCs w:val="16"/>
        </w:rPr>
        <w:t>-4</w:t>
      </w:r>
      <w:r w:rsidRPr="00722885">
        <w:rPr>
          <w:rFonts w:ascii="Times New Roman" w:hAnsi="Times New Roman"/>
          <w:color w:val="000000" w:themeColor="text1"/>
          <w:sz w:val="16"/>
          <w:szCs w:val="16"/>
        </w:rPr>
        <w:t>2 - 2 миллио</w:t>
      </w:r>
      <w:r w:rsidRPr="00722885">
        <w:rPr>
          <w:rFonts w:ascii="Times New Roman" w:hAnsi="Times New Roman"/>
          <w:color w:val="000000" w:themeColor="text1"/>
          <w:sz w:val="16"/>
          <w:szCs w:val="16"/>
        </w:rPr>
        <w:softHyphen/>
        <w:t>на рублей(19369).</w:t>
      </w:r>
    </w:p>
    <w:p w14:paraId="1259FF3C" w14:textId="77777777" w:rsidR="00EA3361" w:rsidRPr="00722885" w:rsidRDefault="00EA3361" w:rsidP="00722885">
      <w:pPr>
        <w:spacing w:after="0" w:line="240" w:lineRule="auto"/>
        <w:jc w:val="both"/>
        <w:rPr>
          <w:rFonts w:ascii="Times New Roman" w:hAnsi="Times New Roman"/>
          <w:color w:val="000000" w:themeColor="text1"/>
          <w:sz w:val="16"/>
          <w:szCs w:val="16"/>
        </w:rPr>
      </w:pPr>
    </w:p>
    <w:p w14:paraId="21A16E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вышло постановление ГКО о строительстве модификации самолета Ил-2 под АМ-42. Эта модификация самолета выпускается на испытания 15 января 1943 (1632,292).</w:t>
      </w:r>
    </w:p>
    <w:p w14:paraId="49274531" w14:textId="77777777" w:rsidR="00090C9B" w:rsidRPr="00722885" w:rsidRDefault="00090C9B" w:rsidP="00722885">
      <w:pPr>
        <w:pStyle w:val="Iauiue"/>
        <w:jc w:val="both"/>
        <w:rPr>
          <w:color w:val="000000" w:themeColor="text1"/>
          <w:sz w:val="16"/>
          <w:szCs w:val="16"/>
        </w:rPr>
      </w:pPr>
    </w:p>
    <w:p w14:paraId="02963D0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г. после обсуждения предложения А. А. Микулина и С. В. Ильюшина вышло Постанов</w:t>
      </w:r>
      <w:r w:rsidRPr="00722885">
        <w:rPr>
          <w:rFonts w:ascii="Times New Roman" w:hAnsi="Times New Roman"/>
          <w:color w:val="000000" w:themeColor="text1"/>
          <w:sz w:val="16"/>
          <w:szCs w:val="16"/>
        </w:rPr>
        <w:softHyphen/>
        <w:t>ление ГОКО, согласно которому ОКБ С. В. Ильюшина и авиазаводу № 18 поручалось к 1 марта 1943 г. пост</w:t>
      </w:r>
      <w:r w:rsidRPr="00722885">
        <w:rPr>
          <w:rFonts w:ascii="Times New Roman" w:hAnsi="Times New Roman"/>
          <w:color w:val="000000" w:themeColor="text1"/>
          <w:sz w:val="16"/>
          <w:szCs w:val="16"/>
        </w:rPr>
        <w:softHyphen/>
        <w:t>роить опытный штурмовик-бомбарди</w:t>
      </w:r>
      <w:r w:rsidRPr="00722885">
        <w:rPr>
          <w:rFonts w:ascii="Times New Roman" w:hAnsi="Times New Roman"/>
          <w:color w:val="000000" w:themeColor="text1"/>
          <w:sz w:val="16"/>
          <w:szCs w:val="16"/>
        </w:rPr>
        <w:softHyphen/>
        <w:t>ровщик Ил-2М с мотором АМ-42.</w:t>
      </w:r>
    </w:p>
    <w:p w14:paraId="58AFC8F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Компоновочная схема Ил-2М, площадь, размах и аэродинамичес</w:t>
      </w:r>
      <w:r w:rsidRPr="00722885">
        <w:rPr>
          <w:rFonts w:ascii="Times New Roman" w:hAnsi="Times New Roman"/>
          <w:color w:val="000000" w:themeColor="text1"/>
          <w:sz w:val="16"/>
          <w:szCs w:val="16"/>
        </w:rPr>
        <w:softHyphen/>
        <w:t>кий профиль крыла, и конструктив</w:t>
      </w:r>
      <w:r w:rsidRPr="00722885">
        <w:rPr>
          <w:rFonts w:ascii="Times New Roman" w:hAnsi="Times New Roman"/>
          <w:color w:val="000000" w:themeColor="text1"/>
          <w:sz w:val="16"/>
          <w:szCs w:val="16"/>
        </w:rPr>
        <w:softHyphen/>
        <w:t>ные решения многих узлов и агрега</w:t>
      </w:r>
      <w:r w:rsidRPr="00722885">
        <w:rPr>
          <w:rFonts w:ascii="Times New Roman" w:hAnsi="Times New Roman"/>
          <w:color w:val="000000" w:themeColor="text1"/>
          <w:sz w:val="16"/>
          <w:szCs w:val="16"/>
        </w:rPr>
        <w:softHyphen/>
        <w:t>тов остались такими же, как и на Ил-2 АМ-38ф, но по некоторым гео</w:t>
      </w:r>
      <w:r w:rsidRPr="00722885">
        <w:rPr>
          <w:rFonts w:ascii="Times New Roman" w:hAnsi="Times New Roman"/>
          <w:color w:val="000000" w:themeColor="text1"/>
          <w:sz w:val="16"/>
          <w:szCs w:val="16"/>
        </w:rPr>
        <w:softHyphen/>
        <w:t>метрическим параметрам и конструк</w:t>
      </w:r>
      <w:r w:rsidRPr="00722885">
        <w:rPr>
          <w:rFonts w:ascii="Times New Roman" w:hAnsi="Times New Roman"/>
          <w:color w:val="000000" w:themeColor="text1"/>
          <w:sz w:val="16"/>
          <w:szCs w:val="16"/>
        </w:rPr>
        <w:softHyphen/>
        <w:t>ции машина являлась все же новым самолетом.</w:t>
      </w:r>
    </w:p>
    <w:p w14:paraId="6ABCEDD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повышения эффективности хвостового оперения закабинная часть фюзеляжа по сравнению с са</w:t>
      </w:r>
      <w:r w:rsidRPr="00722885">
        <w:rPr>
          <w:rFonts w:ascii="Times New Roman" w:hAnsi="Times New Roman"/>
          <w:color w:val="000000" w:themeColor="text1"/>
          <w:sz w:val="16"/>
          <w:szCs w:val="16"/>
        </w:rPr>
        <w:softHyphen/>
        <w:t>молетом Ил-2 стала длиннее на 1,25 м. Крыло и узлы его подвески с целью повышения эксплуатационных качеств были значительно усилены.</w:t>
      </w:r>
    </w:p>
    <w:p w14:paraId="6CFD409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Новым было введение взлетного (отклонение на 17°) и посадочного (отклонение на 45°) положения щит</w:t>
      </w:r>
      <w:r w:rsidRPr="00722885">
        <w:rPr>
          <w:rFonts w:ascii="Times New Roman" w:hAnsi="Times New Roman"/>
          <w:color w:val="000000" w:themeColor="text1"/>
          <w:sz w:val="16"/>
          <w:szCs w:val="16"/>
        </w:rPr>
        <w:softHyphen/>
        <w:t>ков.</w:t>
      </w:r>
    </w:p>
    <w:p w14:paraId="4AA4123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использованием воздуш</w:t>
      </w:r>
      <w:r w:rsidRPr="00722885">
        <w:rPr>
          <w:rFonts w:ascii="Times New Roman" w:hAnsi="Times New Roman"/>
          <w:color w:val="000000" w:themeColor="text1"/>
          <w:sz w:val="16"/>
          <w:szCs w:val="16"/>
        </w:rPr>
        <w:softHyphen/>
        <w:t>ного винта большего диаметра — 4,0 м, стойки основного шасси были удлинены, изменились соответствен</w:t>
      </w:r>
      <w:r w:rsidRPr="00722885">
        <w:rPr>
          <w:rFonts w:ascii="Times New Roman" w:hAnsi="Times New Roman"/>
          <w:color w:val="000000" w:themeColor="text1"/>
          <w:sz w:val="16"/>
          <w:szCs w:val="16"/>
        </w:rPr>
        <w:softHyphen/>
        <w:t>но гондолы, в которые убиралось шасси. Само же шасси выполнялось, как и на Ил-2, двухстоечным. Амор</w:t>
      </w:r>
      <w:r w:rsidRPr="00722885">
        <w:rPr>
          <w:rFonts w:ascii="Times New Roman" w:hAnsi="Times New Roman"/>
          <w:color w:val="000000" w:themeColor="text1"/>
          <w:sz w:val="16"/>
          <w:szCs w:val="16"/>
        </w:rPr>
        <w:softHyphen/>
        <w:t>тизаторы — воздушно-масляные. Уп</w:t>
      </w:r>
      <w:r w:rsidRPr="00722885">
        <w:rPr>
          <w:rFonts w:ascii="Times New Roman" w:hAnsi="Times New Roman"/>
          <w:color w:val="000000" w:themeColor="text1"/>
          <w:sz w:val="16"/>
          <w:szCs w:val="16"/>
        </w:rPr>
        <w:softHyphen/>
        <w:t>равление уборкой и выпуском шас</w:t>
      </w:r>
      <w:r w:rsidRPr="00722885">
        <w:rPr>
          <w:rFonts w:ascii="Times New Roman" w:hAnsi="Times New Roman"/>
          <w:color w:val="000000" w:themeColor="text1"/>
          <w:sz w:val="16"/>
          <w:szCs w:val="16"/>
        </w:rPr>
        <w:softHyphen/>
        <w:t>си от воздушной системы.</w:t>
      </w:r>
    </w:p>
    <w:p w14:paraId="135B795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Некоторое улучшение аэродинамики Ил-2М достигалось размеще</w:t>
      </w:r>
      <w:r w:rsidRPr="00722885">
        <w:rPr>
          <w:rFonts w:ascii="Times New Roman" w:hAnsi="Times New Roman"/>
          <w:color w:val="000000" w:themeColor="text1"/>
          <w:sz w:val="16"/>
          <w:szCs w:val="16"/>
        </w:rPr>
        <w:softHyphen/>
        <w:t>нием маслорадиатора рядом с во</w:t>
      </w:r>
      <w:r w:rsidRPr="00722885">
        <w:rPr>
          <w:rFonts w:ascii="Times New Roman" w:hAnsi="Times New Roman"/>
          <w:color w:val="000000" w:themeColor="text1"/>
          <w:sz w:val="16"/>
          <w:szCs w:val="16"/>
        </w:rPr>
        <w:softHyphen/>
        <w:t>дяным в воздушном канале внутри бронекорпуса, который был выпол</w:t>
      </w:r>
      <w:r w:rsidRPr="00722885">
        <w:rPr>
          <w:rFonts w:ascii="Times New Roman" w:hAnsi="Times New Roman"/>
          <w:color w:val="000000" w:themeColor="text1"/>
          <w:sz w:val="16"/>
          <w:szCs w:val="16"/>
        </w:rPr>
        <w:softHyphen/>
        <w:t>нен по типу самолета Ил-2. Всасы</w:t>
      </w:r>
      <w:r w:rsidRPr="00722885">
        <w:rPr>
          <w:rFonts w:ascii="Times New Roman" w:hAnsi="Times New Roman"/>
          <w:color w:val="000000" w:themeColor="text1"/>
          <w:sz w:val="16"/>
          <w:szCs w:val="16"/>
        </w:rPr>
        <w:softHyphen/>
        <w:t>вающий патрубок мотора располо</w:t>
      </w:r>
      <w:r w:rsidRPr="00722885">
        <w:rPr>
          <w:rFonts w:ascii="Times New Roman" w:hAnsi="Times New Roman"/>
          <w:color w:val="000000" w:themeColor="text1"/>
          <w:sz w:val="16"/>
          <w:szCs w:val="16"/>
        </w:rPr>
        <w:softHyphen/>
        <w:t>жили на левом борту фюзеляжа. На нем монтировался воздушный пыле-фильтр типа ЦАГИ.</w:t>
      </w:r>
    </w:p>
    <w:p w14:paraId="374B8CC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Установка масляного радиатора внутри бронекапота одновременно повышала и боевую живучесть са</w:t>
      </w:r>
      <w:r w:rsidRPr="00722885">
        <w:rPr>
          <w:rFonts w:ascii="Times New Roman" w:hAnsi="Times New Roman"/>
          <w:color w:val="000000" w:themeColor="text1"/>
          <w:sz w:val="16"/>
          <w:szCs w:val="16"/>
        </w:rPr>
        <w:softHyphen/>
        <w:t>молета. С этой же целью на Ил-2М предполагалось усилить бронирова</w:t>
      </w:r>
      <w:r w:rsidRPr="00722885">
        <w:rPr>
          <w:rFonts w:ascii="Times New Roman" w:hAnsi="Times New Roman"/>
          <w:color w:val="000000" w:themeColor="text1"/>
          <w:sz w:val="16"/>
          <w:szCs w:val="16"/>
        </w:rPr>
        <w:softHyphen/>
        <w:t>ние мотора, его агрегатов, бензо- и маслобаков с магистралями, приме</w:t>
      </w:r>
      <w:r w:rsidRPr="00722885">
        <w:rPr>
          <w:rFonts w:ascii="Times New Roman" w:hAnsi="Times New Roman"/>
          <w:color w:val="000000" w:themeColor="text1"/>
          <w:sz w:val="16"/>
          <w:szCs w:val="16"/>
        </w:rPr>
        <w:softHyphen/>
        <w:t>нить топливные баки, оснащенные протектором, а также систему запол</w:t>
      </w:r>
      <w:r w:rsidRPr="00722885">
        <w:rPr>
          <w:rFonts w:ascii="Times New Roman" w:hAnsi="Times New Roman"/>
          <w:color w:val="000000" w:themeColor="text1"/>
          <w:sz w:val="16"/>
          <w:szCs w:val="16"/>
        </w:rPr>
        <w:softHyphen/>
        <w:t>нения их нейтральным газом.</w:t>
      </w:r>
    </w:p>
    <w:p w14:paraId="686547C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заданию самолет должен был иметь максимальную бомбовую на</w:t>
      </w:r>
      <w:r w:rsidRPr="00722885">
        <w:rPr>
          <w:rFonts w:ascii="Times New Roman" w:hAnsi="Times New Roman"/>
          <w:color w:val="000000" w:themeColor="text1"/>
          <w:sz w:val="16"/>
          <w:szCs w:val="16"/>
        </w:rPr>
        <w:softHyphen/>
        <w:t>грузку до 1000 кг, включающую авиа</w:t>
      </w:r>
      <w:r w:rsidRPr="00722885">
        <w:rPr>
          <w:rFonts w:ascii="Times New Roman" w:hAnsi="Times New Roman"/>
          <w:color w:val="000000" w:themeColor="text1"/>
          <w:sz w:val="16"/>
          <w:szCs w:val="16"/>
        </w:rPr>
        <w:softHyphen/>
        <w:t>бомбы калибра 500 кг. Стрелок, в отличие от серийного Ил-2, был пол</w:t>
      </w:r>
      <w:r w:rsidRPr="00722885">
        <w:rPr>
          <w:rFonts w:ascii="Times New Roman" w:hAnsi="Times New Roman"/>
          <w:color w:val="000000" w:themeColor="text1"/>
          <w:sz w:val="16"/>
          <w:szCs w:val="16"/>
        </w:rPr>
        <w:softHyphen/>
        <w:t>ностью забронирован.</w:t>
      </w:r>
    </w:p>
    <w:p w14:paraId="1080473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Стрелково-пушечное вооружение самолета было вполне "стандартным" для этого периода войны и включа</w:t>
      </w:r>
      <w:r w:rsidRPr="00722885">
        <w:rPr>
          <w:rFonts w:ascii="Times New Roman" w:hAnsi="Times New Roman"/>
          <w:color w:val="000000" w:themeColor="text1"/>
          <w:sz w:val="16"/>
          <w:szCs w:val="16"/>
        </w:rPr>
        <w:softHyphen/>
        <w:t>ло: две пушки ВЯ (300 снарядов), два пулемета ШКАС (1500 патронов). Ра</w:t>
      </w:r>
      <w:r w:rsidRPr="00722885">
        <w:rPr>
          <w:rFonts w:ascii="Times New Roman" w:hAnsi="Times New Roman"/>
          <w:color w:val="000000" w:themeColor="text1"/>
          <w:sz w:val="16"/>
          <w:szCs w:val="16"/>
        </w:rPr>
        <w:softHyphen/>
        <w:t>кетное вооружение устанавливать не предполагалось.</w:t>
      </w:r>
    </w:p>
    <w:p w14:paraId="24389DE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Особенностью Ил-2М являлась шарообразная бронированная баш</w:t>
      </w:r>
      <w:r w:rsidRPr="00722885">
        <w:rPr>
          <w:rFonts w:ascii="Times New Roman" w:hAnsi="Times New Roman"/>
          <w:color w:val="000000" w:themeColor="text1"/>
          <w:sz w:val="16"/>
          <w:szCs w:val="16"/>
        </w:rPr>
        <w:softHyphen/>
        <w:t>ня стрелка-радиста (по типу башни самолета БШ-М-71), обеспечиваю</w:t>
      </w:r>
      <w:r w:rsidRPr="00722885">
        <w:rPr>
          <w:rFonts w:ascii="Times New Roman" w:hAnsi="Times New Roman"/>
          <w:color w:val="000000" w:themeColor="text1"/>
          <w:sz w:val="16"/>
          <w:szCs w:val="16"/>
        </w:rPr>
        <w:softHyphen/>
        <w:t>щая одновременно хорошую защи</w:t>
      </w:r>
      <w:r w:rsidRPr="00722885">
        <w:rPr>
          <w:rFonts w:ascii="Times New Roman" w:hAnsi="Times New Roman"/>
          <w:color w:val="000000" w:themeColor="text1"/>
          <w:sz w:val="16"/>
          <w:szCs w:val="16"/>
        </w:rPr>
        <w:softHyphen/>
        <w:t>ту стрелка и большие углы обстрела из крупнокалиберного пулемета УБК: вправо и влево - до 120°, вверх -до 49°, вниз с бортов - до 15°.</w:t>
      </w:r>
    </w:p>
    <w:p w14:paraId="2B0DDA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Попутно отметим, что никаких других самолетов семейства Ил-2 с индексом "М" и другими цифровыми "довесками", как это указывается в ряде публикаций, никогда не строилось и тем более, серийно не про</w:t>
      </w:r>
      <w:r w:rsidRPr="00722885">
        <w:rPr>
          <w:rFonts w:ascii="Times New Roman" w:hAnsi="Times New Roman"/>
          <w:color w:val="000000" w:themeColor="text1"/>
          <w:sz w:val="16"/>
          <w:szCs w:val="16"/>
        </w:rPr>
        <w:softHyphen/>
        <w:t>изводилось (11426).</w:t>
      </w:r>
    </w:p>
    <w:p w14:paraId="4D95225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D537F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г. вышло Постановление ГКО, согласно которому ОКБ Ильюшина и заводу №18 поручалось к I марта 1943 г. построить штурмовик-бомбардировщик Ил-2М с АМ-42.</w:t>
      </w:r>
    </w:p>
    <w:p w14:paraId="3741FE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Компоновочная схема Ил-2М, площадь, размах и аэродинамический профиль крыла, а также конструктивные решения многих узлов и агрегатов остались такими же, как и на Ил-2 с АМ-38ф, но по некоторым геометрическим параметрам и конструкции машина являлась все же новым самолетом.</w:t>
      </w:r>
    </w:p>
    <w:p w14:paraId="79D3B7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Закабинная часть фюзеляжа стала длиннее на 1,25 м. Крыло и узлы его подвески усиливались. В связи с использованием воздушного винта большего диаметра - 4,0 м, стойки шасси были удлинены. Соответственно, изменились и гондолы, в которые они убирались.</w:t>
      </w:r>
    </w:p>
    <w:p w14:paraId="4A3620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Некоторое улучшение аэродинамики и повышение боевой живучести Ил-2М достигалось размещением маслорадиатора рядом с водяным внутри бронекорпуса в воздушном канале, который был выполнен по типу Ил-2.</w:t>
      </w:r>
    </w:p>
    <w:p w14:paraId="198A8F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Ил-2М предполагалось усилить бронирование мотора, его агрегатов, бензо- и маслобаков с магистралями, применить бензобаки с протектором и систему заполнения их нейтральным газом. Стрелок полностью бронировался.</w:t>
      </w:r>
    </w:p>
    <w:p w14:paraId="73ACD4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заданию штурмовик должен был иметь максимальную бомбовую нагрузку до 1000 кг, две пушки ВЯ (300 снарядов) и два пулемета ШКАС (1500 патронов). Ракетное вооружение устанавливать не предполагалось.</w:t>
      </w:r>
    </w:p>
    <w:p w14:paraId="485E9A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Особенностью Ил-2М являлась шарообразная бронированная башня с пулеметом УБК, обеспечивающая одновременно хорошую защиту стрелка и большие углы обстрела.</w:t>
      </w:r>
    </w:p>
    <w:p w14:paraId="706CAE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Отметим, что никаких других самолетов семейства Ил-2 с индексом "М" и другими цифровыми "довесками", как это указывается в ряде публикаций, никогда не строилось и тем более, серийно не производилось (12020).</w:t>
      </w:r>
    </w:p>
    <w:p w14:paraId="1477249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9C31E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Зам. ГК завода 21 Грушиным была подготовлена справка по облегчению Ла-5 М-82Ф - на 200 кг (1684,271).</w:t>
      </w:r>
    </w:p>
    <w:p w14:paraId="0D85554B" w14:textId="77777777" w:rsidR="00090C9B" w:rsidRPr="00722885" w:rsidRDefault="00090C9B" w:rsidP="00722885">
      <w:pPr>
        <w:pStyle w:val="Iauiue"/>
        <w:jc w:val="both"/>
        <w:rPr>
          <w:color w:val="000000" w:themeColor="text1"/>
          <w:sz w:val="16"/>
          <w:szCs w:val="16"/>
        </w:rPr>
      </w:pPr>
    </w:p>
    <w:p w14:paraId="4F25DB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г. в соответствии с решением ГКО № 2346 директор завода № 22 В.А. Окулов и главный конструктор А.И. Путилов получили задание построить три модифицированных самолета Пе-2 с моторами М-107 и закончить их летные испытания к 15 декабря 1942 г (4476).</w:t>
      </w:r>
    </w:p>
    <w:p w14:paraId="7A6CA68C" w14:textId="77777777" w:rsidR="00090C9B" w:rsidRPr="00722885" w:rsidRDefault="00090C9B" w:rsidP="00722885">
      <w:pPr>
        <w:pStyle w:val="Iauiue"/>
        <w:jc w:val="both"/>
        <w:rPr>
          <w:color w:val="000000" w:themeColor="text1"/>
          <w:sz w:val="16"/>
          <w:szCs w:val="16"/>
        </w:rPr>
      </w:pPr>
    </w:p>
    <w:p w14:paraId="353E397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вышло решение ГОКО N 2346, которое обязало директора завода 22 В.А.Окулова и ГК А.И.Путилова построить 3 модифицированных Пе-2 с М-107 и закончить летные испытания к 15 декабря 1942 (2205,36).</w:t>
      </w:r>
    </w:p>
    <w:p w14:paraId="2F2FD776" w14:textId="77777777" w:rsidR="00090C9B" w:rsidRPr="00722885" w:rsidRDefault="00090C9B" w:rsidP="00722885">
      <w:pPr>
        <w:pStyle w:val="Iauiue"/>
        <w:jc w:val="both"/>
        <w:rPr>
          <w:color w:val="000000" w:themeColor="text1"/>
          <w:sz w:val="16"/>
          <w:szCs w:val="16"/>
        </w:rPr>
      </w:pPr>
    </w:p>
    <w:p w14:paraId="596991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г. Пост. ГКО № 2346 заводу № 22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 (11982).</w:t>
      </w:r>
    </w:p>
    <w:p w14:paraId="41EE68A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230B8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вышло Постановление ГКО № 2346 О форсировании работ по постройке и испытанию моторов М-107А и М-106 на заводе № 26. РГАНИР, Фонд ГКО, д. 58, лл. 26-29 (11012).</w:t>
      </w:r>
    </w:p>
    <w:p w14:paraId="5217D3A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71F4D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г. Постановление ГКО № 2346 обязывало уфимских моторостроителей к середине ноября этого года закончить 50-часовые испытания мотора М-107А, а к концу года довести его ресурс до 100 ч. Этот вариант двигателя существенно отличался от еще довоенного "сто седьмого". Конструкторы разработали новый приводной центробежный нагнетатель с поворотными лопатками В.И. Поликовского. Мотор форсировали по наддуву, в результате чего его взлетная мощность возросла до 1600 л.с., а номинальная - до 1500 л.с. на высоте 4500 м. Полученные данные ставили М-107А в один ряд с лучшим зарубежными образцами. Если М-105ПФ имел удельную мощность 34,5 л.с./л, то М-107А - уже 42,7 л.с./л. Вскоре двигатель установили на яковлевский истребитель, и летчик-испытатель П.Я. Федрови достиг на Як-7 М-107А максимальной скорости 590 км/ч у земли и 680 км/ч на высоте 5800 м. Он внес предложение срочно изготовить 10-15 таких истребителей для войсковых испытаний (9025).</w:t>
      </w:r>
    </w:p>
    <w:p w14:paraId="06F33BBE" w14:textId="77777777" w:rsidR="00090C9B" w:rsidRPr="00722885" w:rsidRDefault="00090C9B" w:rsidP="00722885">
      <w:pPr>
        <w:pStyle w:val="Iauiue"/>
        <w:jc w:val="both"/>
        <w:rPr>
          <w:color w:val="000000" w:themeColor="text1"/>
          <w:sz w:val="16"/>
          <w:szCs w:val="16"/>
        </w:rPr>
      </w:pPr>
    </w:p>
    <w:p w14:paraId="3C4798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г вышло Постановление ГКО № 22-16, которое обязывало уфимских моторостроителей к середине ноября этого года закончить 50-часовые испытания, а к концу года - довести ресурс мотора до 100 часов (4537).</w:t>
      </w:r>
    </w:p>
    <w:p w14:paraId="21B25459" w14:textId="77777777" w:rsidR="00090C9B" w:rsidRPr="00722885" w:rsidRDefault="00090C9B" w:rsidP="00722885">
      <w:pPr>
        <w:pStyle w:val="Iauiue"/>
        <w:jc w:val="both"/>
        <w:rPr>
          <w:color w:val="000000" w:themeColor="text1"/>
          <w:sz w:val="16"/>
          <w:szCs w:val="16"/>
        </w:rPr>
      </w:pPr>
    </w:p>
    <w:p w14:paraId="515A98BF" w14:textId="77777777" w:rsidR="00575617" w:rsidRPr="00722885" w:rsidRDefault="00575617"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25 сентября 1942 г. мотор М-107П государственные 100-часовые испытания, которые шли с 10 сентября, пройти не смог из-за поломки шатуна. Интерес ВВС к мотору неуклонно снижался. К тому же наметился опре</w:t>
      </w:r>
      <w:r w:rsidRPr="00722885">
        <w:rPr>
          <w:color w:val="000000" w:themeColor="text1"/>
          <w:sz w:val="16"/>
          <w:szCs w:val="16"/>
        </w:rPr>
        <w:softHyphen/>
        <w:t>деленный успех с доводкой мотора М-106П-1ск (1250/1350 л.с.), который, в отличие от М-107П, имел те же габаритные размеры и посадочные места, что и у массового мотора М-105ПФ, и при этом был легче (600 кг вместо 745 кг — у М-107П и 645 кг — у М-105ПФ). Считалось, что при установке его на серийные самолеты серьезных доработок винтомо</w:t>
      </w:r>
      <w:r w:rsidRPr="00722885">
        <w:rPr>
          <w:color w:val="000000" w:themeColor="text1"/>
          <w:sz w:val="16"/>
          <w:szCs w:val="16"/>
        </w:rPr>
        <w:softHyphen/>
        <w:t>торной группы не потребуется. С этим мотором на заводе № 292 в Саратове предполагалась большая серия истребителей Як-1. Но в ходе доводки М-107П его форсировали по наддуву и понизили высот</w:t>
      </w:r>
      <w:r w:rsidRPr="00722885">
        <w:rPr>
          <w:color w:val="000000" w:themeColor="text1"/>
          <w:sz w:val="16"/>
          <w:szCs w:val="16"/>
        </w:rPr>
        <w:softHyphen/>
        <w:t>ность. Мощность мотора возросла до 1650 л.с. на взлетном режиме и 1550 и 1450 л.с. — на 1-й и 2-й границах высотности соответственно. Постанов</w:t>
      </w:r>
      <w:r w:rsidRPr="00722885">
        <w:rPr>
          <w:color w:val="000000" w:themeColor="text1"/>
          <w:sz w:val="16"/>
          <w:szCs w:val="16"/>
        </w:rPr>
        <w:softHyphen/>
        <w:t>лением ГОКО от 25 сентября и приказом НКАП от 29 сентября 1942 г. ОКБ В. Я. Климова и завод № 26 обязывались к концу года обеспечить 100-часовой ресурс М-107А (М-107ПА) и подготовить его серий</w:t>
      </w:r>
      <w:r w:rsidRPr="00722885">
        <w:rPr>
          <w:color w:val="000000" w:themeColor="text1"/>
          <w:sz w:val="16"/>
          <w:szCs w:val="16"/>
        </w:rPr>
        <w:softHyphen/>
        <w:t>ное производство. Одновременно постановлением ГКО от 10 октября 1942 г. заводу № 26 устанавли</w:t>
      </w:r>
      <w:r w:rsidRPr="00722885">
        <w:rPr>
          <w:color w:val="000000" w:themeColor="text1"/>
          <w:sz w:val="16"/>
          <w:szCs w:val="16"/>
        </w:rPr>
        <w:softHyphen/>
        <w:t>вался план по изготовлению до конца года 37 мото</w:t>
      </w:r>
      <w:r w:rsidRPr="00722885">
        <w:rPr>
          <w:color w:val="000000" w:themeColor="text1"/>
          <w:sz w:val="16"/>
          <w:szCs w:val="16"/>
        </w:rPr>
        <w:softHyphen/>
        <w:t>ров М-107А. Однако возникшие проблемы с надеж</w:t>
      </w:r>
      <w:r w:rsidRPr="00722885">
        <w:rPr>
          <w:color w:val="000000" w:themeColor="text1"/>
          <w:sz w:val="16"/>
          <w:szCs w:val="16"/>
        </w:rPr>
        <w:softHyphen/>
        <w:t>ностью и устойчивостью в работе моторов М-107А не позволили в полном объеме выполнить это за</w:t>
      </w:r>
      <w:r w:rsidRPr="00722885">
        <w:rPr>
          <w:color w:val="000000" w:themeColor="text1"/>
          <w:sz w:val="16"/>
          <w:szCs w:val="16"/>
        </w:rPr>
        <w:softHyphen/>
        <w:t>дание. Фактически завод № 26 уже в декабре пре</w:t>
      </w:r>
      <w:r w:rsidRPr="00722885">
        <w:rPr>
          <w:color w:val="000000" w:themeColor="text1"/>
          <w:sz w:val="16"/>
          <w:szCs w:val="16"/>
        </w:rPr>
        <w:softHyphen/>
        <w:t xml:space="preserve">кратил </w:t>
      </w:r>
      <w:r w:rsidRPr="00722885">
        <w:rPr>
          <w:color w:val="000000" w:themeColor="text1"/>
          <w:sz w:val="16"/>
          <w:szCs w:val="16"/>
        </w:rPr>
        <w:lastRenderedPageBreak/>
        <w:t>серийное изготовление моторов этого типа. Только в январе 1943 г. мотор М-107А удовлетво</w:t>
      </w:r>
      <w:r w:rsidRPr="00722885">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722885">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1BA2BCFE" w14:textId="77777777" w:rsidR="00575617" w:rsidRPr="00722885" w:rsidRDefault="00575617" w:rsidP="00722885">
      <w:pPr>
        <w:spacing w:after="0" w:line="240" w:lineRule="auto"/>
        <w:jc w:val="both"/>
        <w:rPr>
          <w:rFonts w:ascii="Times New Roman" w:eastAsia="Times New Roman" w:hAnsi="Times New Roman"/>
          <w:color w:val="000000" w:themeColor="text1"/>
          <w:sz w:val="16"/>
          <w:szCs w:val="16"/>
          <w:lang w:eastAsia="ru-RU"/>
        </w:rPr>
      </w:pPr>
    </w:p>
    <w:p w14:paraId="650747A3" w14:textId="77777777" w:rsidR="00776B5F" w:rsidRPr="00722885" w:rsidRDefault="00776B5F" w:rsidP="00722885">
      <w:pPr>
        <w:pStyle w:val="95"/>
        <w:shd w:val="clear" w:color="auto" w:fill="auto"/>
        <w:spacing w:after="0" w:line="240" w:lineRule="auto"/>
        <w:ind w:firstLine="0"/>
        <w:jc w:val="both"/>
        <w:rPr>
          <w:color w:val="0070C0"/>
          <w:sz w:val="16"/>
          <w:szCs w:val="16"/>
        </w:rPr>
      </w:pPr>
      <w:r w:rsidRPr="00722885">
        <w:rPr>
          <w:color w:val="0070C0"/>
          <w:sz w:val="16"/>
          <w:szCs w:val="16"/>
        </w:rPr>
        <w:t>25 сентября 1942 командующий ВВС маршал авиации А.А. Новиков доложил о применении противником новых немецких машин Сталину (23186).</w:t>
      </w:r>
    </w:p>
    <w:p w14:paraId="6354223D" w14:textId="77777777" w:rsidR="00776B5F" w:rsidRPr="00722885" w:rsidRDefault="00776B5F" w:rsidP="00722885">
      <w:pPr>
        <w:pStyle w:val="95"/>
        <w:shd w:val="clear" w:color="auto" w:fill="auto"/>
        <w:spacing w:after="0" w:line="240" w:lineRule="auto"/>
        <w:ind w:firstLine="0"/>
        <w:jc w:val="both"/>
        <w:rPr>
          <w:color w:val="0070C0"/>
          <w:sz w:val="16"/>
          <w:szCs w:val="16"/>
        </w:rPr>
      </w:pPr>
    </w:p>
    <w:p w14:paraId="4D391B7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2DE7640" w14:textId="77777777" w:rsidR="00090C9B" w:rsidRPr="00722885" w:rsidRDefault="00090C9B" w:rsidP="00722885">
      <w:pPr>
        <w:pStyle w:val="Iauiue"/>
        <w:jc w:val="both"/>
        <w:rPr>
          <w:iCs/>
          <w:color w:val="000000" w:themeColor="text1"/>
          <w:sz w:val="16"/>
          <w:szCs w:val="16"/>
        </w:rPr>
      </w:pPr>
    </w:p>
    <w:p w14:paraId="4B6B3191" w14:textId="77777777" w:rsidR="009D3895" w:rsidRPr="00722885" w:rsidRDefault="009D3895" w:rsidP="00722885">
      <w:pPr>
        <w:pStyle w:val="a3"/>
        <w:rPr>
          <w:color w:val="000000" w:themeColor="text1"/>
          <w:lang w:val="ru-RU"/>
        </w:rPr>
      </w:pPr>
      <w:r w:rsidRPr="00722885">
        <w:rPr>
          <w:color w:val="000000" w:themeColor="text1"/>
          <w:lang w:val="ru-RU"/>
        </w:rPr>
        <w:t>25 сентября 1942 года были подготовленные и подписанны ТТТ, базирова</w:t>
      </w:r>
      <w:r w:rsidRPr="00722885">
        <w:rPr>
          <w:color w:val="000000" w:themeColor="text1"/>
          <w:lang w:val="ru-RU"/>
        </w:rPr>
        <w:softHyphen/>
        <w:t>лись как на ТТТ истребителя ДОТов, датированных апрелем месяцем, так и на замечаниях по проекту ЗИК-20:</w:t>
      </w:r>
    </w:p>
    <w:p w14:paraId="6A5969FB"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«I. Определение</w:t>
      </w:r>
    </w:p>
    <w:p w14:paraId="0343A804" w14:textId="77777777" w:rsidR="009D3895" w:rsidRPr="00722885" w:rsidRDefault="009D3895" w:rsidP="00722885">
      <w:pPr>
        <w:pStyle w:val="Bodytext141"/>
        <w:shd w:val="clear" w:color="auto" w:fill="auto"/>
        <w:tabs>
          <w:tab w:val="left" w:pos="81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1. 152-мм самоходной гаубицей называется самоходное артиллерий</w:t>
      </w:r>
      <w:r w:rsidRPr="00722885">
        <w:rPr>
          <w:rStyle w:val="Bodytext145"/>
          <w:i w:val="0"/>
          <w:iCs w:val="0"/>
          <w:color w:val="000000" w:themeColor="text1"/>
          <w:sz w:val="16"/>
          <w:szCs w:val="16"/>
        </w:rPr>
        <w:softHyphen/>
        <w:t>ское орудие, изготовленное из качающейся части 152-мм кор</w:t>
      </w:r>
      <w:r w:rsidRPr="00722885">
        <w:rPr>
          <w:rStyle w:val="Bodytext145"/>
          <w:i w:val="0"/>
          <w:iCs w:val="0"/>
          <w:color w:val="000000" w:themeColor="text1"/>
          <w:sz w:val="16"/>
          <w:szCs w:val="16"/>
        </w:rPr>
        <w:softHyphen/>
        <w:t xml:space="preserve">пусной гаубицы обр.1937 года (МЛ-20), установленной на шасси танка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xml:space="preserve"> с неподвижной призматической установкой.</w:t>
      </w:r>
    </w:p>
    <w:p w14:paraId="55914F29" w14:textId="77777777" w:rsidR="009D3895" w:rsidRPr="00722885" w:rsidRDefault="009D3895" w:rsidP="00722885">
      <w:pPr>
        <w:pStyle w:val="Bodytext141"/>
        <w:shd w:val="clear" w:color="auto" w:fill="auto"/>
        <w:tabs>
          <w:tab w:val="left" w:pos="627"/>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lang w:val="en-US"/>
        </w:rPr>
        <w:t>II</w:t>
      </w:r>
      <w:r w:rsidRPr="00722885">
        <w:rPr>
          <w:rStyle w:val="Bodytext145"/>
          <w:i w:val="0"/>
          <w:iCs w:val="0"/>
          <w:color w:val="000000" w:themeColor="text1"/>
          <w:sz w:val="16"/>
          <w:szCs w:val="16"/>
        </w:rPr>
        <w:t>. Тактическое назначение</w:t>
      </w:r>
    </w:p>
    <w:p w14:paraId="4296AA18" w14:textId="77777777" w:rsidR="009D3895" w:rsidRPr="00722885" w:rsidRDefault="009D3895" w:rsidP="00722885">
      <w:pPr>
        <w:pStyle w:val="Bodytext141"/>
        <w:shd w:val="clear" w:color="auto" w:fill="auto"/>
        <w:tabs>
          <w:tab w:val="left" w:pos="854"/>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1. 152-мм самоходная гаубица предназначается для сопровождения мотомеханизированных и пехотных частей при прорыве оборони</w:t>
      </w:r>
      <w:r w:rsidRPr="00722885">
        <w:rPr>
          <w:rStyle w:val="Bodytext145"/>
          <w:i w:val="0"/>
          <w:iCs w:val="0"/>
          <w:color w:val="000000" w:themeColor="text1"/>
          <w:sz w:val="16"/>
          <w:szCs w:val="16"/>
        </w:rPr>
        <w:softHyphen/>
        <w:t>тельных полос противника и служит для разрушения инженерно- оборонительных сооружений, для борьбы с артиллерией и танка</w:t>
      </w:r>
      <w:r w:rsidRPr="00722885">
        <w:rPr>
          <w:rStyle w:val="Bodytext145"/>
          <w:i w:val="0"/>
          <w:iCs w:val="0"/>
          <w:color w:val="000000" w:themeColor="text1"/>
          <w:sz w:val="16"/>
          <w:szCs w:val="16"/>
        </w:rPr>
        <w:softHyphen/>
        <w:t>ми противника, для огневых налетов за районы сосредоточений контратакующих группировок противника.</w:t>
      </w:r>
    </w:p>
    <w:p w14:paraId="29082F2A" w14:textId="77777777" w:rsidR="009D3895" w:rsidRPr="00722885" w:rsidRDefault="009D3895" w:rsidP="00722885">
      <w:pPr>
        <w:pStyle w:val="Bodytext141"/>
        <w:shd w:val="clear" w:color="auto" w:fill="auto"/>
        <w:tabs>
          <w:tab w:val="left" w:pos="85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2. 152-мм самоходная гаубица ведет огонь в основном прямой навод</w:t>
      </w:r>
      <w:r w:rsidRPr="00722885">
        <w:rPr>
          <w:rStyle w:val="Bodytext145"/>
          <w:i w:val="0"/>
          <w:iCs w:val="0"/>
          <w:color w:val="000000" w:themeColor="text1"/>
          <w:sz w:val="16"/>
          <w:szCs w:val="16"/>
        </w:rPr>
        <w:softHyphen/>
        <w:t>кой на близких дистанциях, передвигаясь короткими скачками от рубежа к рубежу. В отдельных случаях боя ведет огонь с за</w:t>
      </w:r>
      <w:r w:rsidRPr="00722885">
        <w:rPr>
          <w:rStyle w:val="Bodytext145"/>
          <w:i w:val="0"/>
          <w:iCs w:val="0"/>
          <w:color w:val="000000" w:themeColor="text1"/>
          <w:sz w:val="16"/>
          <w:szCs w:val="16"/>
        </w:rPr>
        <w:softHyphen/>
        <w:t>крытых позиций непрямой наводкой; стрельба с хода предполага</w:t>
      </w:r>
      <w:r w:rsidRPr="00722885">
        <w:rPr>
          <w:rStyle w:val="Bodytext145"/>
          <w:i w:val="0"/>
          <w:iCs w:val="0"/>
          <w:color w:val="000000" w:themeColor="text1"/>
          <w:sz w:val="16"/>
          <w:szCs w:val="16"/>
        </w:rPr>
        <w:softHyphen/>
        <w:t>ется, как редкие случаи.</w:t>
      </w:r>
    </w:p>
    <w:p w14:paraId="3A062CEF" w14:textId="77777777" w:rsidR="009D3895" w:rsidRPr="00722885" w:rsidRDefault="009D3895" w:rsidP="00722885">
      <w:pPr>
        <w:pStyle w:val="Bodytext141"/>
        <w:shd w:val="clear" w:color="auto" w:fill="auto"/>
        <w:tabs>
          <w:tab w:val="left" w:pos="723"/>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lang w:val="en-US"/>
        </w:rPr>
        <w:t>III</w:t>
      </w:r>
      <w:r w:rsidRPr="00722885">
        <w:rPr>
          <w:rStyle w:val="Bodytext145"/>
          <w:i w:val="0"/>
          <w:iCs w:val="0"/>
          <w:color w:val="000000" w:themeColor="text1"/>
          <w:sz w:val="16"/>
          <w:szCs w:val="16"/>
        </w:rPr>
        <w:t>. Технические требования</w:t>
      </w:r>
    </w:p>
    <w:p w14:paraId="19F69C07" w14:textId="77777777" w:rsidR="009D3895" w:rsidRPr="00722885" w:rsidRDefault="009D3895" w:rsidP="00722885">
      <w:pPr>
        <w:pStyle w:val="Bodytext141"/>
        <w:shd w:val="clear" w:color="auto" w:fill="auto"/>
        <w:tabs>
          <w:tab w:val="left" w:pos="83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1. Самоходная гаубица изготавливается с наименьшими переделка</w:t>
      </w:r>
      <w:r w:rsidRPr="00722885">
        <w:rPr>
          <w:rStyle w:val="Bodytext145"/>
          <w:i w:val="0"/>
          <w:iCs w:val="0"/>
          <w:color w:val="000000" w:themeColor="text1"/>
          <w:sz w:val="16"/>
          <w:szCs w:val="16"/>
        </w:rPr>
        <w:softHyphen/>
        <w:t xml:space="preserve">ми штатных образцов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xml:space="preserve"> (152-мм гаубицы обр. 1937года и тан</w:t>
      </w:r>
      <w:r w:rsidRPr="00722885">
        <w:rPr>
          <w:rStyle w:val="Bodytext145"/>
          <w:i w:val="0"/>
          <w:iCs w:val="0"/>
          <w:color w:val="000000" w:themeColor="text1"/>
          <w:sz w:val="16"/>
          <w:szCs w:val="16"/>
        </w:rPr>
        <w:softHyphen/>
        <w:t xml:space="preserve">ка типа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- 7).</w:t>
      </w:r>
    </w:p>
    <w:p w14:paraId="24CC6BCC" w14:textId="77777777" w:rsidR="009D3895" w:rsidRPr="00722885" w:rsidRDefault="009D3895" w:rsidP="00722885">
      <w:pPr>
        <w:pStyle w:val="Bodytext141"/>
        <w:shd w:val="clear" w:color="auto" w:fill="auto"/>
        <w:tabs>
          <w:tab w:val="left" w:pos="82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2. Габаритные размеры самохода — ширина, высота и высота линии огня, должны иметь наибольшее приближение к таковым же ве</w:t>
      </w:r>
      <w:r w:rsidRPr="00722885">
        <w:rPr>
          <w:rStyle w:val="Bodytext145"/>
          <w:i w:val="0"/>
          <w:iCs w:val="0"/>
          <w:color w:val="000000" w:themeColor="text1"/>
          <w:sz w:val="16"/>
          <w:szCs w:val="16"/>
        </w:rPr>
        <w:softHyphen/>
        <w:t>личинам танка КВ-1. Увеличение высоты танка и высоты линии огня не должно превосходить 100 мм.</w:t>
      </w:r>
    </w:p>
    <w:p w14:paraId="51502DE0" w14:textId="77777777" w:rsidR="009D3895" w:rsidRPr="00722885" w:rsidRDefault="009D3895" w:rsidP="00722885">
      <w:pPr>
        <w:pStyle w:val="Bodytext141"/>
        <w:shd w:val="clear" w:color="auto" w:fill="auto"/>
        <w:tabs>
          <w:tab w:val="left" w:pos="81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3. Вес самохода с боеукладкой, расчетом и полной заправкой должен находиться в пределах 45—50 тонн. Желательно получение вы</w:t>
      </w:r>
      <w:r w:rsidRPr="00722885">
        <w:rPr>
          <w:rStyle w:val="Bodytext145"/>
          <w:i w:val="0"/>
          <w:iCs w:val="0"/>
          <w:color w:val="000000" w:themeColor="text1"/>
          <w:sz w:val="16"/>
          <w:szCs w:val="16"/>
        </w:rPr>
        <w:softHyphen/>
        <w:t>шеуказанного веса.</w:t>
      </w:r>
    </w:p>
    <w:p w14:paraId="0BFCD022" w14:textId="77777777" w:rsidR="009D3895" w:rsidRPr="00722885" w:rsidRDefault="009D3895" w:rsidP="00722885">
      <w:pPr>
        <w:pStyle w:val="Bodytext141"/>
        <w:shd w:val="clear" w:color="auto" w:fill="auto"/>
        <w:tabs>
          <w:tab w:val="left" w:pos="80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4. Основные технические характеристики самоходной гаубицы: Калибр — 152 мм.</w:t>
      </w:r>
    </w:p>
    <w:p w14:paraId="7CC94F16"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r w:rsidRPr="00722885">
        <w:rPr>
          <w:rStyle w:val="Bodytext145"/>
          <w:rFonts w:ascii="Times New Roman" w:cs="Times New Roman"/>
          <w:color w:val="000000" w:themeColor="text1"/>
          <w:spacing w:val="0"/>
          <w:sz w:val="16"/>
          <w:szCs w:val="16"/>
        </w:rPr>
        <w:t>Вертикальный обстрел — от —2° до +15—20° Горизонтальный обстрел: +/—5° + +/—6° Скорость наведения — от 30 до 45мин. за 1 оборот маховика Длина отката предельная — не более 850мм Сопротивление откату — не более 30—35 т</w:t>
      </w:r>
    </w:p>
    <w:p w14:paraId="51EBFBAC"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Наибольшая скорострельность — до 8 выстр./мин.</w:t>
      </w:r>
    </w:p>
    <w:p w14:paraId="6522D8EA"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С исправлением наводки</w:t>
      </w:r>
    </w:p>
    <w:p w14:paraId="04E86446"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Усилия на маховиках механизма — 3 кг</w:t>
      </w:r>
    </w:p>
    <w:p w14:paraId="625B8E0B"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при установившемся движении</w:t>
      </w:r>
    </w:p>
    <w:p w14:paraId="6D653A2C"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Боекомплект 30 выстрелов</w:t>
      </w:r>
    </w:p>
    <w:p w14:paraId="5F75A5B0" w14:textId="77777777" w:rsidR="009D3895" w:rsidRPr="00722885" w:rsidRDefault="009D3895" w:rsidP="00722885">
      <w:pPr>
        <w:pStyle w:val="Bodytext141"/>
        <w:shd w:val="clear" w:color="auto" w:fill="auto"/>
        <w:tabs>
          <w:tab w:val="left" w:pos="35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lang w:val="en-US"/>
        </w:rPr>
        <w:t>IV</w:t>
      </w:r>
      <w:r w:rsidRPr="00722885">
        <w:rPr>
          <w:rStyle w:val="Bodytext145"/>
          <w:i w:val="0"/>
          <w:iCs w:val="0"/>
          <w:color w:val="000000" w:themeColor="text1"/>
          <w:sz w:val="16"/>
          <w:szCs w:val="16"/>
        </w:rPr>
        <w:t>. Эксплуатационные требования</w:t>
      </w:r>
    </w:p>
    <w:p w14:paraId="3F624CF2" w14:textId="77777777" w:rsidR="009D3895" w:rsidRPr="00722885" w:rsidRDefault="009D3895" w:rsidP="00722885">
      <w:pPr>
        <w:pStyle w:val="Bodytext141"/>
        <w:shd w:val="clear" w:color="auto" w:fill="auto"/>
        <w:tabs>
          <w:tab w:val="left" w:pos="52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1. Гаубица обслуживается расчетом из 6 человек: командир само</w:t>
      </w:r>
      <w:r w:rsidRPr="00722885">
        <w:rPr>
          <w:rStyle w:val="Bodytext145"/>
          <w:i w:val="0"/>
          <w:iCs w:val="0"/>
          <w:color w:val="000000" w:themeColor="text1"/>
          <w:sz w:val="16"/>
          <w:szCs w:val="16"/>
        </w:rPr>
        <w:softHyphen/>
        <w:t>хода, механик-водитель, наводчик, заряжающий, замковый, ра- дист-пулеметчик.</w:t>
      </w:r>
    </w:p>
    <w:p w14:paraId="392EAAFE" w14:textId="77777777" w:rsidR="009D3895" w:rsidRPr="00722885" w:rsidRDefault="009D3895" w:rsidP="00722885">
      <w:pPr>
        <w:pStyle w:val="Bodytext141"/>
        <w:shd w:val="clear" w:color="auto" w:fill="auto"/>
        <w:tabs>
          <w:tab w:val="left" w:pos="515"/>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2. Бронировка качающейся части должна иметь свободный доступ для обслуживания противооткатных устройств.</w:t>
      </w:r>
    </w:p>
    <w:p w14:paraId="4E62AC43" w14:textId="77777777" w:rsidR="009D3895" w:rsidRPr="00722885" w:rsidRDefault="009D3895" w:rsidP="00722885">
      <w:pPr>
        <w:pStyle w:val="Bodytext141"/>
        <w:shd w:val="clear" w:color="auto" w:fill="auto"/>
        <w:tabs>
          <w:tab w:val="left" w:pos="592"/>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3. Боевое отделение наводчика: сиденье, координаты маховиков ме</w:t>
      </w:r>
      <w:r w:rsidRPr="00722885">
        <w:rPr>
          <w:rStyle w:val="Bodytext145"/>
          <w:i w:val="0"/>
          <w:iCs w:val="0"/>
          <w:color w:val="000000" w:themeColor="text1"/>
          <w:sz w:val="16"/>
          <w:szCs w:val="16"/>
        </w:rPr>
        <w:softHyphen/>
        <w:t>ханизмов наведения и окуляра прицела должны обеспечивать сво</w:t>
      </w:r>
      <w:r w:rsidRPr="00722885">
        <w:rPr>
          <w:rStyle w:val="Bodytext145"/>
          <w:i w:val="0"/>
          <w:iCs w:val="0"/>
          <w:color w:val="000000" w:themeColor="text1"/>
          <w:sz w:val="16"/>
          <w:szCs w:val="16"/>
        </w:rPr>
        <w:softHyphen/>
        <w:t>бодное и неутомительное наведение гаубицы в цель на ходу и на месте. Усилие на рукояти спускового механизма не должно пре</w:t>
      </w:r>
      <w:r w:rsidRPr="00722885">
        <w:rPr>
          <w:rStyle w:val="Bodytext145"/>
          <w:i w:val="0"/>
          <w:iCs w:val="0"/>
          <w:color w:val="000000" w:themeColor="text1"/>
          <w:sz w:val="16"/>
          <w:szCs w:val="16"/>
        </w:rPr>
        <w:softHyphen/>
        <w:t>вышать 8 кг; управление спуском желательно иметь на рукояти подъемного механизма.</w:t>
      </w:r>
    </w:p>
    <w:p w14:paraId="3A7765F3" w14:textId="77777777" w:rsidR="009D3895" w:rsidRPr="00722885" w:rsidRDefault="009D3895" w:rsidP="00722885">
      <w:pPr>
        <w:pStyle w:val="Bodytext141"/>
        <w:shd w:val="clear" w:color="auto" w:fill="auto"/>
        <w:tabs>
          <w:tab w:val="left" w:pos="62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4. Боевое место командира танка должно быть оборудовано ко</w:t>
      </w:r>
      <w:r w:rsidRPr="00722885">
        <w:rPr>
          <w:rStyle w:val="Bodytext145"/>
          <w:i w:val="0"/>
          <w:iCs w:val="0"/>
          <w:color w:val="000000" w:themeColor="text1"/>
          <w:sz w:val="16"/>
          <w:szCs w:val="16"/>
        </w:rPr>
        <w:softHyphen/>
        <w:t>мандирской башенкой, штатной для танка КБ-1С.</w:t>
      </w:r>
    </w:p>
    <w:p w14:paraId="118EEC6E" w14:textId="77777777" w:rsidR="009D3895" w:rsidRPr="00722885" w:rsidRDefault="009D3895" w:rsidP="00722885">
      <w:pPr>
        <w:pStyle w:val="Bodytext141"/>
        <w:shd w:val="clear" w:color="auto" w:fill="auto"/>
        <w:tabs>
          <w:tab w:val="left" w:pos="669"/>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5. Гаубица должна быть снабжена ограждением — откидным лотком, которое должно обеспечивать подготовку снаряда для очередного выстрела и автоматическую блокировку спусково</w:t>
      </w:r>
      <w:r w:rsidRPr="00722885">
        <w:rPr>
          <w:rStyle w:val="Bodytext145"/>
          <w:i w:val="0"/>
          <w:iCs w:val="0"/>
          <w:color w:val="000000" w:themeColor="text1"/>
          <w:sz w:val="16"/>
          <w:szCs w:val="16"/>
        </w:rPr>
        <w:softHyphen/>
        <w:t>го механизма до полного заряжания гаубицы. При разработке откидного лотка необходимо обеспечить наибольшие удобства работы заряжающего при наименьшей затрате мускульной энергии.</w:t>
      </w:r>
    </w:p>
    <w:p w14:paraId="3310E093" w14:textId="77777777" w:rsidR="009D3895" w:rsidRPr="00722885" w:rsidRDefault="009D3895" w:rsidP="00722885">
      <w:pPr>
        <w:pStyle w:val="Bodytext141"/>
        <w:shd w:val="clear" w:color="auto" w:fill="auto"/>
        <w:tabs>
          <w:tab w:val="left" w:pos="611"/>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6. На рабочих участках замкового и заряжающего высота боевого отделения должна быть не менее 1700мм.</w:t>
      </w:r>
    </w:p>
    <w:p w14:paraId="29842C1D" w14:textId="77777777" w:rsidR="009D3895" w:rsidRPr="00722885" w:rsidRDefault="009D3895" w:rsidP="00722885">
      <w:pPr>
        <w:pStyle w:val="Bodytext141"/>
        <w:shd w:val="clear" w:color="auto" w:fill="auto"/>
        <w:tabs>
          <w:tab w:val="left" w:pos="611"/>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7. Укладка боекомплекта должна быть прочной, не подверженной деформации, а также должна обеспечивать свободное и наибо</w:t>
      </w:r>
      <w:r w:rsidRPr="00722885">
        <w:rPr>
          <w:rStyle w:val="Bodytext145"/>
          <w:i w:val="0"/>
          <w:iCs w:val="0"/>
          <w:color w:val="000000" w:themeColor="text1"/>
          <w:sz w:val="16"/>
          <w:szCs w:val="16"/>
        </w:rPr>
        <w:softHyphen/>
        <w:t>лее удобное извлечение элементов выстрела с целью достижения наибольшей заданной скорострельности.</w:t>
      </w:r>
    </w:p>
    <w:p w14:paraId="4E9D1DAA" w14:textId="77777777" w:rsidR="009D3895" w:rsidRPr="00722885" w:rsidRDefault="009D3895" w:rsidP="00722885">
      <w:pPr>
        <w:pStyle w:val="Bodytext141"/>
        <w:shd w:val="clear" w:color="auto" w:fill="auto"/>
        <w:tabs>
          <w:tab w:val="left" w:pos="621"/>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8. Размещение выстрелов в боеукладке должно соответствовать распределению операций при заряжании между замковым и за</w:t>
      </w:r>
      <w:r w:rsidRPr="00722885">
        <w:rPr>
          <w:rStyle w:val="Bodytext145"/>
          <w:i w:val="0"/>
          <w:iCs w:val="0"/>
          <w:color w:val="000000" w:themeColor="text1"/>
          <w:sz w:val="16"/>
          <w:szCs w:val="16"/>
        </w:rPr>
        <w:softHyphen/>
        <w:t>ряжающим: заряжающий подготавливает и вводит в патронник снаряд, замковый открывает и закрывает затвор и вводит в па</w:t>
      </w:r>
      <w:r w:rsidRPr="00722885">
        <w:rPr>
          <w:rStyle w:val="Bodytext145"/>
          <w:i w:val="0"/>
          <w:iCs w:val="0"/>
          <w:color w:val="000000" w:themeColor="text1"/>
          <w:sz w:val="16"/>
          <w:szCs w:val="16"/>
        </w:rPr>
        <w:softHyphen/>
        <w:t>тронник гильзу.</w:t>
      </w:r>
    </w:p>
    <w:p w14:paraId="7C87E762" w14:textId="77777777" w:rsidR="009D3895" w:rsidRPr="00722885" w:rsidRDefault="009D3895" w:rsidP="00722885">
      <w:pPr>
        <w:pStyle w:val="Bodytext141"/>
        <w:shd w:val="clear" w:color="auto" w:fill="auto"/>
        <w:tabs>
          <w:tab w:val="left" w:pos="592"/>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9. Ручной экстрактор, ключи для установки взрывателей и прибой</w:t>
      </w:r>
      <w:r w:rsidRPr="00722885">
        <w:rPr>
          <w:rStyle w:val="Bodytext145"/>
          <w:i w:val="0"/>
          <w:iCs w:val="0"/>
          <w:color w:val="000000" w:themeColor="text1"/>
          <w:sz w:val="16"/>
          <w:szCs w:val="16"/>
        </w:rPr>
        <w:softHyphen/>
        <w:t>ник должны быть укреплены на стенках башни.</w:t>
      </w:r>
    </w:p>
    <w:p w14:paraId="04C498A3" w14:textId="77777777" w:rsidR="009D3895" w:rsidRPr="00722885" w:rsidRDefault="009D3895" w:rsidP="00722885">
      <w:pPr>
        <w:pStyle w:val="Bodytext141"/>
        <w:shd w:val="clear" w:color="auto" w:fill="auto"/>
        <w:tabs>
          <w:tab w:val="left" w:pos="27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lang w:val="en-US"/>
        </w:rPr>
        <w:t>V</w:t>
      </w:r>
      <w:r w:rsidRPr="00722885">
        <w:rPr>
          <w:rStyle w:val="Bodytext145"/>
          <w:i w:val="0"/>
          <w:iCs w:val="0"/>
          <w:color w:val="000000" w:themeColor="text1"/>
          <w:sz w:val="16"/>
          <w:szCs w:val="16"/>
        </w:rPr>
        <w:t>. Требования к башне и ее оборудованию</w:t>
      </w:r>
    </w:p>
    <w:p w14:paraId="05204669" w14:textId="77777777" w:rsidR="009D3895" w:rsidRPr="00722885" w:rsidRDefault="009D3895" w:rsidP="00722885">
      <w:pPr>
        <w:pStyle w:val="Bodytext141"/>
        <w:shd w:val="clear" w:color="auto" w:fill="auto"/>
        <w:tabs>
          <w:tab w:val="left" w:pos="592"/>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1. В задней стенке башни должен быть лаз для расчета, для загруз</w:t>
      </w:r>
      <w:r w:rsidRPr="00722885">
        <w:rPr>
          <w:rStyle w:val="Bodytext145"/>
          <w:i w:val="0"/>
          <w:iCs w:val="0"/>
          <w:color w:val="000000" w:themeColor="text1"/>
          <w:sz w:val="16"/>
          <w:szCs w:val="16"/>
        </w:rPr>
        <w:softHyphen/>
        <w:t>ки боекомплекта и для вентиляции внутрибашенного отделения в особых случаях боя.</w:t>
      </w:r>
    </w:p>
    <w:p w14:paraId="4239EF87" w14:textId="77777777" w:rsidR="009D3895" w:rsidRPr="00722885" w:rsidRDefault="009D3895" w:rsidP="00722885">
      <w:pPr>
        <w:pStyle w:val="a3"/>
        <w:rPr>
          <w:color w:val="000000" w:themeColor="text1"/>
          <w:lang w:val="ru-RU"/>
        </w:rPr>
      </w:pPr>
      <w:r w:rsidRPr="00722885">
        <w:rPr>
          <w:rStyle w:val="Bodytext145"/>
          <w:color w:val="000000" w:themeColor="text1"/>
          <w:lang w:val="ru-RU"/>
        </w:rPr>
        <w:t>В стенках башни должны быть предусмотрены отверстия с бро</w:t>
      </w:r>
      <w:r w:rsidRPr="00722885">
        <w:rPr>
          <w:rStyle w:val="Bodytext145"/>
          <w:color w:val="000000" w:themeColor="text1"/>
          <w:lang w:val="ru-RU"/>
        </w:rPr>
        <w:softHyphen/>
        <w:t>невыми пробками для стрельбы из пистолетов-пулеметов и щели дополнительного обзора и наблюдения за местностью. В кормо</w:t>
      </w:r>
      <w:r w:rsidRPr="00722885">
        <w:rPr>
          <w:rStyle w:val="Bodytext145"/>
          <w:color w:val="000000" w:themeColor="text1"/>
          <w:lang w:val="ru-RU"/>
        </w:rPr>
        <w:softHyphen/>
        <w:t>вой стенке башни желательно иметь шаровую установку тан</w:t>
      </w:r>
      <w:r w:rsidRPr="00722885">
        <w:rPr>
          <w:rStyle w:val="Bodytext145"/>
          <w:color w:val="000000" w:themeColor="text1"/>
          <w:lang w:val="ru-RU"/>
        </w:rPr>
        <w:softHyphen/>
        <w:t>кового пулемета ДТ.</w:t>
      </w:r>
    </w:p>
    <w:p w14:paraId="43A6EF86" w14:textId="77777777" w:rsidR="009D3895" w:rsidRPr="00722885" w:rsidRDefault="009D3895" w:rsidP="00722885">
      <w:pPr>
        <w:pStyle w:val="Bodytext141"/>
        <w:shd w:val="clear" w:color="auto" w:fill="auto"/>
        <w:tabs>
          <w:tab w:val="left" w:pos="413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2. Личное оружие расчета должно быть размещено в надежных и удобных стойках около их рабочих мест.</w:t>
      </w:r>
    </w:p>
    <w:p w14:paraId="763FCD94" w14:textId="77777777" w:rsidR="009D3895" w:rsidRPr="00722885" w:rsidRDefault="009D3895" w:rsidP="00722885">
      <w:pPr>
        <w:pStyle w:val="Bodytext141"/>
        <w:shd w:val="clear" w:color="auto" w:fill="auto"/>
        <w:tabs>
          <w:tab w:val="left" w:pos="4165"/>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3. В крыше башни около рабочего места командира должен быть лючок для сигнализации ракетами, а в кормовой части люк, раз</w:t>
      </w:r>
      <w:r w:rsidRPr="00722885">
        <w:rPr>
          <w:rStyle w:val="Bodytext145"/>
          <w:i w:val="0"/>
          <w:iCs w:val="0"/>
          <w:color w:val="000000" w:themeColor="text1"/>
          <w:sz w:val="16"/>
          <w:szCs w:val="16"/>
        </w:rPr>
        <w:softHyphen/>
        <w:t>решающий вести бой ручными гранатами.</w:t>
      </w:r>
    </w:p>
    <w:p w14:paraId="08BEA82C" w14:textId="77777777" w:rsidR="009D3895" w:rsidRPr="00722885" w:rsidRDefault="009D3895" w:rsidP="00722885">
      <w:pPr>
        <w:pStyle w:val="Bodytext141"/>
        <w:shd w:val="clear" w:color="auto" w:fill="auto"/>
        <w:tabs>
          <w:tab w:val="left" w:pos="417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4. Освещение башни должно обеспечивать свободное ведение огне</w:t>
      </w:r>
      <w:r w:rsidRPr="00722885">
        <w:rPr>
          <w:rStyle w:val="Bodytext145"/>
          <w:i w:val="0"/>
          <w:iCs w:val="0"/>
          <w:color w:val="000000" w:themeColor="text1"/>
          <w:sz w:val="16"/>
          <w:szCs w:val="16"/>
        </w:rPr>
        <w:softHyphen/>
        <w:t>вого боя и наблюдение за орудием.</w:t>
      </w:r>
    </w:p>
    <w:p w14:paraId="154647C6" w14:textId="77777777" w:rsidR="009D3895" w:rsidRPr="00722885" w:rsidRDefault="009D3895" w:rsidP="00722885">
      <w:pPr>
        <w:pStyle w:val="Bodytext141"/>
        <w:shd w:val="clear" w:color="auto" w:fill="auto"/>
        <w:tabs>
          <w:tab w:val="left" w:pos="414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5. Радио- и телефонная связь в танке осуществляется использова</w:t>
      </w:r>
      <w:r w:rsidRPr="00722885">
        <w:rPr>
          <w:rStyle w:val="Bodytext145"/>
          <w:i w:val="0"/>
          <w:iCs w:val="0"/>
          <w:color w:val="000000" w:themeColor="text1"/>
          <w:sz w:val="16"/>
          <w:szCs w:val="16"/>
        </w:rPr>
        <w:softHyphen/>
        <w:t>нием штатной танковой рации и ТПУ.</w:t>
      </w:r>
    </w:p>
    <w:p w14:paraId="443C3BB7" w14:textId="77777777" w:rsidR="009D3895" w:rsidRPr="00722885" w:rsidRDefault="009D3895" w:rsidP="00722885">
      <w:pPr>
        <w:pStyle w:val="Bodytext141"/>
        <w:shd w:val="clear" w:color="auto" w:fill="auto"/>
        <w:tabs>
          <w:tab w:val="left" w:pos="4131"/>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6. Бронировка башни: лобовая не менее 90мм, кормовая и боковая до 50 мм, углы наклона боковых стенок желательно иметь 30° от вертикали.</w:t>
      </w:r>
    </w:p>
    <w:p w14:paraId="55CBAB94" w14:textId="77777777" w:rsidR="009D3895" w:rsidRPr="00722885" w:rsidRDefault="009D3895" w:rsidP="00722885">
      <w:pPr>
        <w:pStyle w:val="Bodytext141"/>
        <w:shd w:val="clear" w:color="auto" w:fill="auto"/>
        <w:tabs>
          <w:tab w:val="left" w:pos="413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7. Рабочее место командира должно обеспечивать свободную рабо</w:t>
      </w:r>
      <w:r w:rsidRPr="00722885">
        <w:rPr>
          <w:rStyle w:val="Bodytext145"/>
          <w:i w:val="0"/>
          <w:iCs w:val="0"/>
          <w:color w:val="000000" w:themeColor="text1"/>
          <w:sz w:val="16"/>
          <w:szCs w:val="16"/>
        </w:rPr>
        <w:softHyphen/>
        <w:t>ту с картой и огневым планшетом.</w:t>
      </w:r>
    </w:p>
    <w:p w14:paraId="01822D47" w14:textId="77777777" w:rsidR="009D3895" w:rsidRPr="00722885" w:rsidRDefault="009D3895" w:rsidP="00722885">
      <w:pPr>
        <w:pStyle w:val="Bodytext141"/>
        <w:shd w:val="clear" w:color="auto" w:fill="auto"/>
        <w:tabs>
          <w:tab w:val="left" w:pos="4160"/>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8. Каждому номеру расчета должно быть предусмотрено удобное сиденье для отдыха и для похода. Сиденья замкового и заряжаю</w:t>
      </w:r>
      <w:r w:rsidRPr="00722885">
        <w:rPr>
          <w:rStyle w:val="Bodytext145"/>
          <w:i w:val="0"/>
          <w:iCs w:val="0"/>
          <w:color w:val="000000" w:themeColor="text1"/>
          <w:sz w:val="16"/>
          <w:szCs w:val="16"/>
        </w:rPr>
        <w:softHyphen/>
        <w:t>щего должны быть откидными к стенкам и не должны стеснять их при ведении огневого боя.</w:t>
      </w:r>
    </w:p>
    <w:p w14:paraId="7A0FAE78" w14:textId="77777777" w:rsidR="009D3895" w:rsidRPr="00722885" w:rsidRDefault="009D3895" w:rsidP="00722885">
      <w:pPr>
        <w:pStyle w:val="Bodytext141"/>
        <w:shd w:val="clear" w:color="auto" w:fill="auto"/>
        <w:tabs>
          <w:tab w:val="left" w:pos="4136"/>
        </w:tabs>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9. Внутри башни самохода должны быть предусмотрены места для аптечки, аварийного пайка и запаса питьевой воды» (17484).</w:t>
      </w:r>
    </w:p>
    <w:p w14:paraId="46A51BD8" w14:textId="77777777" w:rsidR="009D3895" w:rsidRPr="00722885" w:rsidRDefault="009D3895" w:rsidP="00722885">
      <w:pPr>
        <w:pStyle w:val="a3"/>
        <w:rPr>
          <w:color w:val="000000" w:themeColor="text1"/>
          <w:lang w:val="ru-RU"/>
        </w:rPr>
      </w:pPr>
    </w:p>
    <w:p w14:paraId="472A02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вышло Постановление ГКО № 2339 О т.т. Гаврилове И.А. и Гаевом А.И. РГАНИР, Фонд ГКО, д. 58, лл. 8 (11012).</w:t>
      </w:r>
    </w:p>
    <w:p w14:paraId="31A3BC2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1767C5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25 сентября 1942 вышло Постановление ГКО № 2340 [О расширении пропускной способности Красноводского порта.] Д.58, 9 ).</w:t>
      </w:r>
    </w:p>
    <w:p w14:paraId="698CCA5A" w14:textId="77777777" w:rsidR="00090C9B" w:rsidRPr="00722885" w:rsidRDefault="00090C9B" w:rsidP="00722885">
      <w:pPr>
        <w:pStyle w:val="Iauiue"/>
        <w:tabs>
          <w:tab w:val="left" w:pos="11199"/>
        </w:tabs>
        <w:jc w:val="both"/>
        <w:rPr>
          <w:color w:val="000000" w:themeColor="text1"/>
          <w:sz w:val="16"/>
          <w:szCs w:val="16"/>
        </w:rPr>
      </w:pPr>
    </w:p>
    <w:p w14:paraId="593BDA1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25 сентября 1942 вышло Постановление ГКО № 2341 О передаче HКВД СССР работ по достройке железнодорожной линии Саратов - Вольск. (7056, 10 ).</w:t>
      </w:r>
    </w:p>
    <w:p w14:paraId="682AF780" w14:textId="77777777" w:rsidR="00090C9B" w:rsidRPr="00722885" w:rsidRDefault="00090C9B" w:rsidP="00722885">
      <w:pPr>
        <w:pStyle w:val="Iauiue"/>
        <w:tabs>
          <w:tab w:val="left" w:pos="11199"/>
        </w:tabs>
        <w:jc w:val="both"/>
        <w:rPr>
          <w:color w:val="000000" w:themeColor="text1"/>
          <w:sz w:val="16"/>
          <w:szCs w:val="16"/>
        </w:rPr>
      </w:pPr>
    </w:p>
    <w:p w14:paraId="5365E4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вышло Постановление ГКО № 2343 О мероприятиях по обеспечению строительства порохового завода № 580 НКБ. РГАНИР, Фонд ГКО, д. 58, лл. 12-15, 16-23 (11012).</w:t>
      </w:r>
    </w:p>
    <w:p w14:paraId="06FA391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86DFAD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E3D7DEC" w14:textId="77777777" w:rsidR="00090C9B" w:rsidRPr="00722885" w:rsidRDefault="00090C9B" w:rsidP="00722885">
      <w:pPr>
        <w:pStyle w:val="Iauiue"/>
        <w:jc w:val="both"/>
        <w:rPr>
          <w:iCs/>
          <w:color w:val="000000" w:themeColor="text1"/>
          <w:sz w:val="16"/>
          <w:szCs w:val="16"/>
        </w:rPr>
      </w:pPr>
    </w:p>
    <w:p w14:paraId="5814A2D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в 1942 году утреннее сообщение Совинформбюро:</w:t>
      </w:r>
    </w:p>
    <w:p w14:paraId="2AB7353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25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5180900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Н-ская часть в уличном бою истребила более 200 гитлеровцев и уничтожила 5 немецких танков, 3 противотанковых орудия и 4 миномёта. Немцам удалось проникнуть в некоторые дома и создать угрозу флангу нашей части. Советские бойцы перешли в контратаку и восстановили положение. На другом участке наши миномётчики уничтожили 12 автомашин с войсками и боеприпасами, сожгли 3 танка и истребили до батальона пехоты противника.</w:t>
      </w:r>
    </w:p>
    <w:p w14:paraId="4C219C8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отбивали атаки немецко-фашистских войск. Танкисты Н-ской части в течение дня уничтожили 2 тяжёлых немецких танка и до двух рот гитлеровцев. В этом же бою захвачено у немцев 6 миномётов, 20 пулемётов, более 100 винтовок, 2 радиостанции, 1.500 мин и 10.000 патронов. В бою у населённого пункта Р. наши бойцы уничтожили до 500 солдат и офицеров противника. Захвачены трофеи и пленные.</w:t>
      </w:r>
    </w:p>
    <w:p w14:paraId="407FC8C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Моздока противник силами танков и автоматчиков пытался вклиниться в нашу оборону. Все атаки гитлеровцев отбиты. В результате боя уничтожено 8 танков, 15 автомашин и до 200 немецких автоматчиков. На другом участке действиями нашей конницы разгромлен батальон румынской пехоты.</w:t>
      </w:r>
    </w:p>
    <w:p w14:paraId="0146684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вели упорные бои с противником. Бойцы гвардии старшего лейтенанта Проваторова подбили 4 танка и уничтожили до двух рот немецкой пехоты.</w:t>
      </w:r>
    </w:p>
    <w:p w14:paraId="051BAB3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огнём артиллерии и миномётов за два дня разрушено 26 вражеских ДЗОТов и блиндажей, уничтожено 10 автомашин, несколько станковых пулемётов и миномётов. За это же время огнём наших снайперов истреблено до 200 солдат и офицеров противника.</w:t>
      </w:r>
    </w:p>
    <w:p w14:paraId="1184FA2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железнодорожном участке Брянск — Гомель за три недели партизанские отряды пустили под откос 5 железнодорожных эшелонов с военными грузами и войсками противника.</w:t>
      </w:r>
    </w:p>
    <w:p w14:paraId="357DC24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радист роты управления 6 полка 2 итальянской альпийской дивизии «Тридентина» Джузеппе Бозетти рассказал: «Я воевал всего несколько дней. В бою наш батальон был разгромлен, такая же участь, по всей вероятности, постигла и остальные батальоны полка. Танки, приданные нам, были выведены из строя еще в начале боя. Когда полк пошел в наступление, никто из нас не верил в успех сражения. И действительно, русские быстро опрокинули нас. Остатки рот в беспорядке отступили. Я и ещё пять человек натолкнулись на русских и сдались в плен».</w:t>
      </w:r>
    </w:p>
    <w:p w14:paraId="349408E1"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письменное заявление ефрейтора 8 батареи артполка 1 словацкой моторизованной дивизии Михаила Мудрака: «Я считаю своим долгом рассказать о зверствах, которые чинят немцы над советским населением и красноармейцами, попавшими в плен. Вот что было в Днепропетровске. Здесь всюз иму существовал концентрационный лагерь для пленных красноармейцев. От голода и холода в лагере ежедневно умирало 5—8 человек. Немцы десятками расстреливали пленных русских за малейшую провинность. Больше половины находившихся в этом лагере пленных погибло. Я видел, как по улице вели группу русских военнопленных. Они были голодны и просили у граждан чего-нибудь поесть. Некоторые женщины выносили сухари, но немецкие солдаты не подпускали их. Один из пленных пытался подхватить кусок хлеба, брошенный женщиной. Немецкий солдат тут же застрелил красноармейца.</w:t>
      </w:r>
    </w:p>
    <w:p w14:paraId="2E2563E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 не мог дольше оставаться в этом бандитском таборе и добровольно перешёл на сторону Красной Армии. Прошу командование Красной Армии дать мне возможность с оружием в руках сражаться против немецко-фашистских захватчиков — этих злейших врагов славянских народов. Ефрейтор 8 батареи артполка 1 словацкой мотодивизии Михаил Мудрак».</w:t>
      </w:r>
    </w:p>
    <w:p w14:paraId="6B7739C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сентября около города Линца группа французских военнопленных напала на немецкую охрану, перебила 7 гитлеровцев и ушла в горы. О побегах французских военнопленных сообщают и из других районов. На днях получены сведения, что большой отряд пленных французов, бежавших из лагерей, пробрался в Югославию и присоединился к партизанам.» (14780).</w:t>
      </w:r>
    </w:p>
    <w:p w14:paraId="57F1BBAD"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6FB9B0E4"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в 1942 году вечернее сообщение Совинформбюро:</w:t>
      </w:r>
    </w:p>
    <w:p w14:paraId="41C3FAE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25 сентября наши войска вели ожесточённые бои с противником врайоне Сталинграда, в районе Моздока и в районе Синявино. На других фронтах существенных изменений не произошло.</w:t>
      </w:r>
    </w:p>
    <w:p w14:paraId="167CAB3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24 сентября частями нашей авиации на различных участках фронта уничтожено или повреждено до 45 автомашин с войсками и грузами, подавлен огонь 6 батарей полевой артиллерии, 6 миномётных батарей и 17 зенитно-пулемётных точек, взорвано 2 склада боеприпасов, рассеяно и частью уничтожено до пяти рот пехоты противника.</w:t>
      </w:r>
    </w:p>
    <w:p w14:paraId="47C0FAC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противник непрерывно обстреливал артиллерийским и миномётным огнём боевые порядки наших войск. Преодолевая упорное сопротивление немцев, наши подразделения заняли одну выгодную позицию. В этом бою истребленодо 200 гитлеровцев, уничтожены 10 автомашин, 24 повозки и склад с боеприпасами. Нашими бойцами захвачены 3 пулемёта, миномёт, винтовки и боеприпасы. Взятый в плен солдат 64 мотоциклетно-стрелкового батальона Иоганн Фриндт сообщил, что вего роте, насчитывавшей 4 офицеров и около 200 солдат, после десяти дней боёв под Сталинградом осталось всего лишь 30 солдат и один офицер. Остальные убиты, ранены или сдались в плен.</w:t>
      </w:r>
    </w:p>
    <w:p w14:paraId="51626F8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активные боевые действия. Немцы спешно подтягивают на этот участок фронта новые резервы и переходят в контратаки. Н-ское соединение Красной Армия в течение дня отбило три атаки гитлеровцев и уничтожило до 1.500 солдат и офицеров противника, 12 танков, 20 орудий, 9 станковых пулемётов и 10 миномётов. Захвачены трофеи и пленные. На другом участке наши танкисты подбили 5 немецких танков и 5 бронемашин, уничтожили 4 орудия, 6 тягачей, 2 миномётные батареи и более роты гитлеровцев.</w:t>
      </w:r>
    </w:p>
    <w:p w14:paraId="485E4F5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отбивали атаки гитлеровцев. Бойцы Н-ского соединения в боях с противником за четыре дня уничтожили батальон немецкой пехоты, 10 танков, 4 бронемашины, 6 автомашин, 7 пулемётов и другое вооружение. На другом участке группа наших автоматчиков истребила 60 немецких солдат и офицеров. Гвардии красноармеец тов. Зотин подполз к немецкому танку и, бросив в открытый люк связку гранат, взорвал машину вместе с её экипажем.</w:t>
      </w:r>
    </w:p>
    <w:p w14:paraId="65166B49"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за три дня боёв нашими частями уничтожено до 2.000 вражеских солдат и офицеров, в том числе два полковника. Захвачено у немцев 10 станковых пулемётов, 12 миномётов, более 1.000 винтовок и большое количество боеприпасов.</w:t>
      </w:r>
    </w:p>
    <w:p w14:paraId="281EAF94"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Синявина противник предпринял несколько контратак. Ценой больших потерь немцам удалось вклиниться в расположение одной нашей части. Контрударом наших бойцов дальнейшее продвижение противника приостановлено. Продолжаются бои по уничтожению этой группы гитлеровцев.</w:t>
      </w:r>
    </w:p>
    <w:p w14:paraId="3C42955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2 роты 54 полка итальянской дивизии «Сфорцеска» Джиованни Диалла рассказал: «В России я нахожусь три месяца. В последнем бою дьявольский огонь русской артиллерии и миномётов причинил нам огромные потеря. В полку осталось около 1.000 человек. Все остальные убиты или ранены. Я ненавижу Муссолини за то, что он продал итальянцев Гитлеру и послал на убой в Россию».</w:t>
      </w:r>
    </w:p>
    <w:p w14:paraId="6168C70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деревне Слобода, Белорусской ССР, немецкий военный комендант Шклер приказал населению в трёхдневный срок сдать в комендатуру 10 овчинных полушубков, 5 тулупов, 10 пар валенок, 20 саней и все лыжи. Крестьяне отказались выполнить этот приказ и заявили, что немецкие солдаты еще в прошлом году отняли у населения все тёплые вещи. По истечении трёхдневного срока в деревню прибыл карательный отряд эсэсовцев и учинил расправу над крестьянами. В центре деревни, на виду у всего населения, гитлеровские мерзавцы расстреляли 8 колхозников, в том числе 64-летнего Савчука Власа, 52-летнего Багдановича Луку, мать 4-х детей Черных Варвару и других. Многих крестьян, в том числе женщин и детей, каратели угнали с собой.» (14780).</w:t>
      </w:r>
    </w:p>
    <w:p w14:paraId="0BA86B3B"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57266A6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в 1942 году начался переход из Петропавловска-Камчатского в Заполярье (через Панамский канал) шести подводных лодок (командиры капитаны 3 ранга И.Ф.Кучеренко, Л.М.Сушин, капитан-лейтенанты В.И.Комаров, Д.Ф.Гусаров, Д.К.Братишко, Г.И.Щедрин) В пути подводная лодка капитана 3 ранга Кучерено погибла от японской торпеды. В Полярный лодки прибыли в январе - июне 1943 г (14780).</w:t>
      </w:r>
    </w:p>
    <w:p w14:paraId="77CE0068"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34F29F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командующий ВВС в донесении ГК писал: "Для быстрого вызова наших истребителей на поле боя и для наведения их на вражеские самолеты мы отработали управление авиацией по радио с земли и с воздуха. Это мероприятие дает хорошие результаты, предупреждая наших л от неожиданных атак истребителей врага и в то же время командами, подаваемыми микрофоном с земли, помогает нашим и находить в воздухе бомбардировщиков противника." (518,282).</w:t>
      </w:r>
    </w:p>
    <w:p w14:paraId="5ACC8692" w14:textId="77777777" w:rsidR="00090C9B" w:rsidRPr="00722885" w:rsidRDefault="00090C9B" w:rsidP="00722885">
      <w:pPr>
        <w:pStyle w:val="Iauiue"/>
        <w:jc w:val="both"/>
        <w:rPr>
          <w:color w:val="000000" w:themeColor="text1"/>
          <w:sz w:val="16"/>
          <w:szCs w:val="16"/>
        </w:rPr>
      </w:pPr>
    </w:p>
    <w:p w14:paraId="735368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C 25 сентября по 20 декабря 1942 была Туапсинская оборонительная операция (3186).</w:t>
      </w:r>
    </w:p>
    <w:p w14:paraId="61DCF20E" w14:textId="77777777" w:rsidR="00090C9B" w:rsidRPr="00722885" w:rsidRDefault="00090C9B" w:rsidP="00722885">
      <w:pPr>
        <w:pStyle w:val="Iauiue"/>
        <w:jc w:val="both"/>
        <w:rPr>
          <w:color w:val="000000" w:themeColor="text1"/>
          <w:sz w:val="16"/>
          <w:szCs w:val="16"/>
        </w:rPr>
      </w:pPr>
    </w:p>
    <w:p w14:paraId="743EF1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25 сентября до 20 декабря 1942 была оборона Туапсе.</w:t>
      </w:r>
    </w:p>
    <w:p w14:paraId="2DB65E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Летом 1942 Туапсе стал важным пунктом в обороне Кавказа. Он прикрывал фланг наших войск на участке Новороссийск — Туапсе, что лишало противника возможности наступать вдоль побережья Черного моря на Поти и Батуми. Кроме того, на ВМБ Туапсе базировались силы ЧФ, а через порт осуществлялись воинские перевозки. </w:t>
      </w:r>
    </w:p>
    <w:p w14:paraId="4861AA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23.8 решением Военного совета Северо-Кавказского фронта был создан Туапсинский оборонительный район (командующий командир Туапсинской ВМБ контр-адмирал Г. В. Жуков), подчиненный 18-й армии (командующий генерал-лейтенант Ф. В. Камков, с 19.10 генерал [319] -майор А. А. Гречко). Сухопутная оборона Туапсе состояла из внешнего и внутреннего рубежей, проходивших в 20 и 5 км от базы и упиравшихся флангами в море, третий оборонительный рубеж проходил по окраине города. К началу обороны инженерное оборудование рубежей не было закончено. Численность войск составляла 32 тыс. человек, 244 орудия, 262 миномета. Береговая артиллерия имела 23 орудия, зенитная — 38, а также пулеметы. С моря оборону обеспечивали корабли ОВР (1 ЗМ, 2 ТЩ, 15 СКА, 10 КАТЩ, 4 КА, 2 буксира). </w:t>
      </w:r>
    </w:p>
    <w:p w14:paraId="65D44A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25.9 17-я армия противника (более 162 тыс. человек, 147 танков и штурмовых орудий, 1316 орудий, 950 минометов) при поддержке части сил 4-го воздушного флота (350 самолетов) перешла в наступление и к исходу 30.9 вклинилась в оборону 18-й армии на глубину 5–10 км. Но в результате нескольких контрударов к 9.10 вражеское наступление было остановлено, гитлеровцы потеряли около 10 тыс. солдат и офицеров. </w:t>
      </w:r>
    </w:p>
    <w:p w14:paraId="1C4D2C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14.10 противник возобновил наступление с целью окружить 18-ю армию и прорваться к Туапсе. 18-я армия была усилена морской пехотой и стрелковыми частями. В результате ожесточенных боев 23.10 вражеское наступление было вновь остановлено. Третья попытка противника прорваться к Туапсе в середине ноября была также сорвана. 23.11 он перешел к обороне, а 26.11 главные силы 18-й армии при содействии авиации 5-й воздушной армии и сил ЧФ отбросили противника и к 20.12 ликвидировали его группировку. </w:t>
      </w:r>
    </w:p>
    <w:p w14:paraId="57BD19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Активное участие в операции принимали морская пехота (около 10 тыс. человек), береговая артиллерия, авиация ЧФ, совершившая 2 тыс. самолето-вылетов, и корабли, обеспечивавшие бесперебойное снабжение войск. За сентябрь — декабрь через Туапсинскую ВМБ на фронт было отправлено до 74,5 тыс. человек и 68,1 тыс. т грузов (11712).</w:t>
      </w:r>
    </w:p>
    <w:p w14:paraId="0C7AD51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F4DD1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г. командующий 1-й Воздушной армией генерал С.А.Худяков докладывал командующему ВВС Красной Армии генералу А.А.Новикову: “в боевых операциях последних месяцев наша авиация понесла тяжелые потери от истребителей противника. Советские истребители не смогли должным образом противодействовать истребителям противника и обеспечить превосходство в воздухе.</w:t>
      </w:r>
    </w:p>
    <w:p w14:paraId="475B0A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Бесспорно, что в числе причин были недостатки организации, подготовки летного состава, тактических приемов и пр. Но было бы ошибкой полагать, что виноваты все, кроме наших самолетов, которые якобы имеют отличные данные, превосходящие противника, и только использовать их летчики как следуют не умеют. Такое обвинение можно предъявить отдельным бойцам, подразделениям и даже частям, но не всем поголовно истребителям, как это у нас сейчас принято.</w:t>
      </w:r>
    </w:p>
    <w:p w14:paraId="0ABD94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Систематическое наблюдение с земли на передовой линии и контроль действий наших истребителей, производимых командирами авиасоединений от армии до звена включительно, неопровержимо говорит о том, что немецкие истребители, как правило, держат инициативу боя в своих руках, атакуют лишь в выгодных условиях, а при неблагоприятной обстановке безнаказанно выходят из боя. часто не применяя даже маневра, по прямой набирая высоту.” (4537).</w:t>
      </w:r>
    </w:p>
    <w:p w14:paraId="2600BEB4" w14:textId="77777777" w:rsidR="00090C9B" w:rsidRPr="00722885" w:rsidRDefault="00090C9B" w:rsidP="00722885">
      <w:pPr>
        <w:pStyle w:val="Iauiue"/>
        <w:jc w:val="both"/>
        <w:rPr>
          <w:color w:val="000000" w:themeColor="text1"/>
          <w:sz w:val="16"/>
          <w:szCs w:val="16"/>
        </w:rPr>
      </w:pPr>
    </w:p>
    <w:p w14:paraId="05A0CC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с Чукотки для перегонки 25 самолетов С-47 и 4-х С-53 на Аляску прибыли советские экипажи. Однако американская сторона приостановила сдачу С-47 до получения специального приказа, поступившего только в начале октября (3457,134).</w:t>
      </w:r>
    </w:p>
    <w:p w14:paraId="04C9347C" w14:textId="77777777" w:rsidR="00090C9B" w:rsidRPr="00722885" w:rsidRDefault="00090C9B" w:rsidP="00722885">
      <w:pPr>
        <w:pStyle w:val="Iauiue"/>
        <w:jc w:val="both"/>
        <w:rPr>
          <w:color w:val="000000" w:themeColor="text1"/>
          <w:sz w:val="16"/>
          <w:szCs w:val="16"/>
        </w:rPr>
      </w:pPr>
    </w:p>
    <w:p w14:paraId="35EF1C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с Чукотки в Лэнд-филд на Аляске прибыли наши пилоты для перегона первых пяти С-47 и трех С-53 (военный вариант), но до 10 октября была задержка. Потом поступило 704 (1367,6).</w:t>
      </w:r>
    </w:p>
    <w:p w14:paraId="31165EAD" w14:textId="77777777" w:rsidR="00090C9B" w:rsidRPr="00722885" w:rsidRDefault="00090C9B" w:rsidP="00722885">
      <w:pPr>
        <w:pStyle w:val="Iauiue"/>
        <w:jc w:val="both"/>
        <w:rPr>
          <w:color w:val="000000" w:themeColor="text1"/>
          <w:sz w:val="16"/>
          <w:szCs w:val="16"/>
        </w:rPr>
      </w:pPr>
    </w:p>
    <w:p w14:paraId="423ADA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вышло Постановление ГКО № 2344 О т. Мехлисе Л.З. РГАНИР, Фонд ГКО, д. 58, лл. 24 (11012).</w:t>
      </w:r>
    </w:p>
    <w:p w14:paraId="66CB2DC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BA954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вышло Постановление ГКО № 2345 О т.т. Лахтарине П.М. и Мальцеве Е.Е. РГАНИР, Фонд ГКО, д. 58, лл. 25 (11012).</w:t>
      </w:r>
    </w:p>
    <w:p w14:paraId="4A13588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338DF8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7E3403E" w14:textId="77777777" w:rsidR="00090C9B" w:rsidRPr="00722885" w:rsidRDefault="00090C9B" w:rsidP="00722885">
      <w:pPr>
        <w:pStyle w:val="Iauiue"/>
        <w:jc w:val="both"/>
        <w:rPr>
          <w:iCs/>
          <w:color w:val="000000" w:themeColor="text1"/>
          <w:sz w:val="16"/>
          <w:szCs w:val="16"/>
        </w:rPr>
      </w:pPr>
    </w:p>
    <w:p w14:paraId="04243EF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25 сентября 1942 вышло Постановление ГКО № 2342 О мерах борьбы с "мешочничеством". (7056, 11 ).</w:t>
      </w:r>
    </w:p>
    <w:p w14:paraId="7D90B5FD" w14:textId="77777777" w:rsidR="00090C9B" w:rsidRPr="00722885" w:rsidRDefault="00090C9B" w:rsidP="00722885">
      <w:pPr>
        <w:pStyle w:val="Iauiue"/>
        <w:tabs>
          <w:tab w:val="left" w:pos="11199"/>
        </w:tabs>
        <w:jc w:val="both"/>
        <w:rPr>
          <w:color w:val="000000" w:themeColor="text1"/>
          <w:sz w:val="16"/>
          <w:szCs w:val="16"/>
        </w:rPr>
      </w:pPr>
    </w:p>
    <w:p w14:paraId="33A29B7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00328464" w14:textId="77777777" w:rsidR="00090C9B" w:rsidRPr="00722885" w:rsidRDefault="00090C9B" w:rsidP="00722885">
      <w:pPr>
        <w:pStyle w:val="Iauiue"/>
        <w:jc w:val="both"/>
        <w:rPr>
          <w:iCs/>
          <w:color w:val="000000" w:themeColor="text1"/>
          <w:sz w:val="16"/>
          <w:szCs w:val="16"/>
        </w:rPr>
      </w:pPr>
    </w:p>
    <w:p w14:paraId="2D0D9C3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сентября 1942 г. первый замес</w:t>
      </w:r>
      <w:r w:rsidRPr="00722885">
        <w:rPr>
          <w:rFonts w:ascii="Times New Roman" w:hAnsi="Times New Roman"/>
          <w:color w:val="000000" w:themeColor="text1"/>
          <w:sz w:val="16"/>
          <w:szCs w:val="16"/>
        </w:rPr>
        <w:softHyphen/>
        <w:t>титель командующего ВВС Ворожей-кин в письме к Сталину просил доби</w:t>
      </w:r>
      <w:r w:rsidRPr="00722885">
        <w:rPr>
          <w:rFonts w:ascii="Times New Roman" w:hAnsi="Times New Roman"/>
          <w:color w:val="000000" w:themeColor="text1"/>
          <w:sz w:val="16"/>
          <w:szCs w:val="16"/>
        </w:rPr>
        <w:softHyphen/>
        <w:t>ваться того, чтобы уже до конца года три четверти поставляемых из Великоб</w:t>
      </w:r>
      <w:r w:rsidRPr="00722885">
        <w:rPr>
          <w:rFonts w:ascii="Times New Roman" w:hAnsi="Times New Roman"/>
          <w:color w:val="000000" w:themeColor="text1"/>
          <w:sz w:val="16"/>
          <w:szCs w:val="16"/>
        </w:rPr>
        <w:softHyphen/>
        <w:t>ритании истребителей были "спитфайрами", а с начала 1943 г. ими закры</w:t>
      </w:r>
      <w:r w:rsidRPr="00722885">
        <w:rPr>
          <w:rFonts w:ascii="Times New Roman" w:hAnsi="Times New Roman"/>
          <w:color w:val="000000" w:themeColor="text1"/>
          <w:sz w:val="16"/>
          <w:szCs w:val="16"/>
        </w:rPr>
        <w:softHyphen/>
        <w:t>вался весь объем поставок (10790).</w:t>
      </w:r>
    </w:p>
    <w:p w14:paraId="7E2F949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263870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F40A150" w14:textId="77777777" w:rsidR="00090C9B" w:rsidRPr="00722885" w:rsidRDefault="00090C9B" w:rsidP="00722885">
      <w:pPr>
        <w:pStyle w:val="Iauiue"/>
        <w:jc w:val="both"/>
        <w:rPr>
          <w:iCs/>
          <w:color w:val="000000" w:themeColor="text1"/>
          <w:sz w:val="16"/>
          <w:szCs w:val="16"/>
        </w:rPr>
      </w:pPr>
    </w:p>
    <w:p w14:paraId="2D795E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сентября 1942 в США правительство потребовало равной оплаты для мужчин и женщин (2100).</w:t>
      </w:r>
    </w:p>
    <w:p w14:paraId="242FBB1A" w14:textId="77777777" w:rsidR="00090C9B" w:rsidRPr="00722885" w:rsidRDefault="00090C9B" w:rsidP="00722885">
      <w:pPr>
        <w:pStyle w:val="Iauiue"/>
        <w:jc w:val="both"/>
        <w:rPr>
          <w:color w:val="000000" w:themeColor="text1"/>
          <w:sz w:val="16"/>
          <w:szCs w:val="16"/>
        </w:rPr>
      </w:pPr>
    </w:p>
    <w:p w14:paraId="562996E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48F208B" w14:textId="77777777" w:rsidR="00090C9B" w:rsidRPr="00722885" w:rsidRDefault="00090C9B" w:rsidP="00722885">
      <w:pPr>
        <w:pStyle w:val="Iauiue"/>
        <w:jc w:val="both"/>
        <w:rPr>
          <w:iCs/>
          <w:color w:val="000000" w:themeColor="text1"/>
          <w:sz w:val="16"/>
          <w:szCs w:val="16"/>
        </w:rPr>
      </w:pPr>
    </w:p>
    <w:p w14:paraId="51E03B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Зам. нач. НИИ ВВС П.А.Лосюков утвердил Отчет по специальным 50-часовым летным испытаниям форсированного мотора АМ-38Ф на самолете Ил-2.</w:t>
      </w:r>
    </w:p>
    <w:p w14:paraId="224FEB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Заключение: мотор АМ-38Ф специальные летные 50-часовые испытания прошел удовлетворительно. За время испытаний мотор и его агрегаты работали надежно и дефектов не имели. Мотор наработал на взлетном режиме 2 час. 08 мин. на номинале и на 0,9 номинала - 43 час. 14 мин. (485).</w:t>
      </w:r>
    </w:p>
    <w:p w14:paraId="6F147C2B" w14:textId="77777777" w:rsidR="00090C9B" w:rsidRPr="00722885" w:rsidRDefault="00090C9B" w:rsidP="00722885">
      <w:pPr>
        <w:pStyle w:val="Iauiue"/>
        <w:jc w:val="both"/>
        <w:rPr>
          <w:color w:val="000000" w:themeColor="text1"/>
          <w:sz w:val="16"/>
          <w:szCs w:val="16"/>
        </w:rPr>
      </w:pPr>
    </w:p>
    <w:p w14:paraId="7FEC5FC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сентября 1942 г. в акте по результатам испытаний, утвержденном замести</w:t>
      </w:r>
      <w:r w:rsidRPr="00722885">
        <w:rPr>
          <w:rFonts w:ascii="Times New Roman" w:hAnsi="Times New Roman"/>
          <w:color w:val="000000" w:themeColor="text1"/>
          <w:sz w:val="16"/>
          <w:szCs w:val="16"/>
        </w:rPr>
        <w:softHyphen/>
        <w:t>телем начальника НИИ ВВС генерал-майором П.А. Лосюковым, указывалось, что мотор АМ-38ф с ре</w:t>
      </w:r>
      <w:r w:rsidRPr="00722885">
        <w:rPr>
          <w:rFonts w:ascii="Times New Roman" w:hAnsi="Times New Roman"/>
          <w:color w:val="000000" w:themeColor="text1"/>
          <w:sz w:val="16"/>
          <w:szCs w:val="16"/>
        </w:rPr>
        <w:softHyphen/>
        <w:t>сурсом 50 ч специальные летные испытания прошел удовле</w:t>
      </w:r>
      <w:r w:rsidRPr="00722885">
        <w:rPr>
          <w:rFonts w:ascii="Times New Roman" w:hAnsi="Times New Roman"/>
          <w:color w:val="000000" w:themeColor="text1"/>
          <w:sz w:val="16"/>
          <w:szCs w:val="16"/>
        </w:rPr>
        <w:softHyphen/>
        <w:t>творительно. Рекомендовалось его скорейшее внедрение в серийное производство и доведение ресурса до первой пере</w:t>
      </w:r>
      <w:r w:rsidRPr="00722885">
        <w:rPr>
          <w:rFonts w:ascii="Times New Roman" w:hAnsi="Times New Roman"/>
          <w:color w:val="000000" w:themeColor="text1"/>
          <w:sz w:val="16"/>
          <w:szCs w:val="16"/>
        </w:rPr>
        <w:softHyphen/>
        <w:t>борки до 100ч. (11474,301).</w:t>
      </w:r>
    </w:p>
    <w:p w14:paraId="2A232D5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28F00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26 сентября 1942 г. АМ-38ф (взлетная мощность 1700 л.с.) удовлетворитель</w:t>
      </w:r>
      <w:r w:rsidRPr="00722885">
        <w:rPr>
          <w:color w:val="000000" w:themeColor="text1"/>
          <w:sz w:val="16"/>
          <w:szCs w:val="16"/>
        </w:rPr>
        <w:softHyphen/>
        <w:t>но прошел специальные 50-часовые летные испытания в НИИ ВВС КА (6467).</w:t>
      </w:r>
    </w:p>
    <w:p w14:paraId="63079B10" w14:textId="77777777" w:rsidR="00090C9B" w:rsidRPr="00722885" w:rsidRDefault="00090C9B" w:rsidP="00722885">
      <w:pPr>
        <w:pStyle w:val="Iauiue"/>
        <w:jc w:val="both"/>
        <w:rPr>
          <w:color w:val="000000" w:themeColor="text1"/>
          <w:sz w:val="16"/>
          <w:szCs w:val="16"/>
        </w:rPr>
      </w:pPr>
    </w:p>
    <w:p w14:paraId="35D49C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года командующий 1 воздушной армии генерал-майор авиации Худяков, военный комиссар 1 возд. армии бригадный комиссар Литвиненко и зам. начальника штаба 1 ВА полковник Глухов писали письмо командующему ВВС генерал-лейтенанту авиации Новикову.</w:t>
      </w:r>
    </w:p>
    <w:p w14:paraId="387C96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боевых операциях последних месяцев наша авиация понесла тяжелые потери от истребителей противника. Наши истребители не смогли должным образом противодействовать истребителям противника и обеспечить превосходство в воздухе.</w:t>
      </w:r>
    </w:p>
    <w:p w14:paraId="1EB221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Бесспорно, ч то в числе причин были недостатки организации, подготовки летного состава, тактических приемов и пр., но было бы ошибкой полагать, что виноваты все, кроме наших самолетов, которые якобы имеют отличные, превосходящие немецкие истребители данные и только использовать их как следует летчики не умеют. Такое обвинение можно предъявить отдельным летчикам, подразделениям и даже частям, но не всем поголовно истребителям, как это у нас сейчас принято.</w:t>
      </w:r>
    </w:p>
    <w:p w14:paraId="32AC81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Систематическое наблюдение с земли на передовой линии и контроль действий наших истребителей, производимых командирами авиасоединений от Армии до звена включительно, неопровержимо говорит о том, что немецкие истребители, как правило, держат инициативу боя в своих руках, атакуют либо в выгодных условиях, а при неблагоприятной обстановке безнаказнно выходят из боя, часто даже не применяя маневра по прямой с набором высоты.</w:t>
      </w:r>
    </w:p>
    <w:p w14:paraId="1EFB13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Как правило, при встрече с нашими истребителями, немецкие берут превосходство в высоте, а затем атакуют с пикирования.</w:t>
      </w:r>
    </w:p>
    <w:p w14:paraId="211C3A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Вынужденные обороняться, наши истребители становятся в вираж и оказываются скованными, зачастую меньшей по количеству группой самолетов противника, висящей сверху. При таком положении выход из виража возможен только пикированием и каждый оторвавшийся от общей группы легко становится жертвой.</w:t>
      </w:r>
    </w:p>
    <w:p w14:paraId="530042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Подавляющее большинство сбитых в воздушных боях самолетов оказываются нашими.</w:t>
      </w:r>
    </w:p>
    <w:p w14:paraId="4C0A5A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Чувствуя свое превосходство, Ме-109Ф и Хе-113 небольшими группами, часто парами, заходят в наш тыл на 30-40 км блокируют аэродромы и действуют не только по одиночным самолетам, но атакуют и группы.</w:t>
      </w:r>
    </w:p>
    <w:p w14:paraId="442FC2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Наряду с тем, что основная масса наших летчиков показывает образцы храбрости и геройства, более слабые теряют уверенность, часто доходящую до трусости.</w:t>
      </w:r>
    </w:p>
    <w:p w14:paraId="774B82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Мы потеряли значительное количество старых опытных истребителей, которые привыкли только побеждать.</w:t>
      </w:r>
    </w:p>
    <w:p w14:paraId="26E399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Летчики жалуются на недостаточные летные данные наших истребителей и многие выражают желание летать на И-16, на котором как все равно и на современном нашем истребителе, "Мессера" не догонишь, но зато в оборонительном бою вероятность сбить противника больше, а быть сбитым самому - меньше.</w:t>
      </w:r>
    </w:p>
    <w:p w14:paraId="0482B6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Создавшееся положение объясняется тем, что немцы резко повысили качество своих истребителей как улучшением аэродинамики, так и повышением мощности мотора.</w:t>
      </w:r>
    </w:p>
    <w:p w14:paraId="2598ACE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Учитывая вышеизложенное, необходимо принять ряд мер и использовать все возможности для достижения превосходства над противником.</w:t>
      </w:r>
    </w:p>
    <w:p w14:paraId="6D2DAF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Наряду с улучшением подготовки летчиков, разработки тактических приемов и организационных мероприятий, как-то: обязательное закрепление самолетов за летчиками, уменьшение количества боевых вылетов с боями на летчика до 1-2 в день и необходимо улучшить летно-технические данные наших самолетов и моторов путем повышения качества производства, хотя бы за счет количества выпускаемых машин с одной стороны и ряда конструктивных изменений.</w:t>
      </w:r>
    </w:p>
    <w:p w14:paraId="0CC0E0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изучения создавшейся обстановки и установления истинного положения, прошу назначить компетентную комиссию для определения действительных летно-технических данных наших истребителей по сравнению с немецкими непосредственно в воздушных боях.</w:t>
      </w:r>
    </w:p>
    <w:p w14:paraId="5E6A69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своей стороны считаю, что серийные самолеты Як-7, Як- и Лагг-3 не обладают теми летно-тактическими данными, которые им приписывают в официальной печати (1632,98).</w:t>
      </w:r>
    </w:p>
    <w:p w14:paraId="3354B6AF" w14:textId="77777777" w:rsidR="00090C9B" w:rsidRPr="00722885" w:rsidRDefault="00090C9B" w:rsidP="00722885">
      <w:pPr>
        <w:pStyle w:val="Iauiue"/>
        <w:jc w:val="both"/>
        <w:rPr>
          <w:color w:val="000000" w:themeColor="text1"/>
          <w:sz w:val="16"/>
          <w:szCs w:val="16"/>
        </w:rPr>
      </w:pPr>
    </w:p>
    <w:p w14:paraId="53F129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года командир 202 ИАД полковник Янсен и военком 202 ИАД полковой комиссар Лобан.</w:t>
      </w:r>
    </w:p>
    <w:p w14:paraId="65DC4E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Боевые качества самолета Як-7б</w:t>
      </w:r>
    </w:p>
    <w:p w14:paraId="4FB76A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опыту боевого использования).</w:t>
      </w:r>
    </w:p>
    <w:p w14:paraId="4A740D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Як-7б по своим летно-техническим качествам и вооружению является наилучшим самолетом-истребителем ВВС и особенно в сравнении с самолетами Лагг-</w:t>
      </w:r>
      <w:r w:rsidRPr="00722885">
        <w:rPr>
          <w:color w:val="000000" w:themeColor="text1"/>
          <w:sz w:val="16"/>
          <w:szCs w:val="16"/>
        </w:rPr>
        <w:lastRenderedPageBreak/>
        <w:t>3 и Миг-3.</w:t>
      </w:r>
    </w:p>
    <w:p w14:paraId="61497C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Як-7б прост во всех видах техники пилотирования, в полете устойчив, прост в эксплуатации.</w:t>
      </w:r>
    </w:p>
    <w:p w14:paraId="5B3DE3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Из опыта многих воздушных боев можно сделать следующие выводы:</w:t>
      </w:r>
    </w:p>
    <w:p w14:paraId="70546B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Як-7б легко ведет воздушный бой с Ме-109 на виражах так и на вертикальных фигурах. На горизонтальных фигурах Як-7б имеет преимущества и быстро заходит в хвост Ме-109. По горизонтальной скорости Як-7б и Ме-109 одинаковы.</w:t>
      </w:r>
    </w:p>
    <w:p w14:paraId="71BA0A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От Ме-109ф Як-7б отстает на вертикальных фигурах. Объясняется это тем, что Як-7б медленно набирает скорость, а Ме-109 "ходит за газом".</w:t>
      </w:r>
    </w:p>
    <w:p w14:paraId="0942B8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горизонтальной скорости Як-7б уступает Ме-109ф, на пикировании также отстает, хотя практически по горизонтали и на пикировании нашим летчикам приходилось гнаться за Ме-109ф очень короткое время и поэтому полных выводов сделать нельзя. Возможно при продолжительном горизонтальном полете и пикировании Як-7б может догнать Ме-109ф.</w:t>
      </w:r>
    </w:p>
    <w:p w14:paraId="5FBAAC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В воздушных боях с другими типами немецких самолетов как-то: Ме-110, Ю-87, Хе-111, Як-7б имеет преимущество как в горизонтальной, так и в вертикальной плоскости, что дает возможность производить по несколько атак по этим типам самолетов.</w:t>
      </w:r>
    </w:p>
    <w:p w14:paraId="17826A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Основные недостатки Як-7б.</w:t>
      </w:r>
    </w:p>
    <w:p w14:paraId="013659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Тяжел в весе, что затрудняет быстрый набор скорости.</w:t>
      </w:r>
    </w:p>
    <w:p w14:paraId="1D186C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Имеет лишнее большое сопротивление за счет водяного и масляного радиатора.</w:t>
      </w:r>
    </w:p>
    <w:p w14:paraId="4D0802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Не имеет обзора назад.</w:t>
      </w:r>
    </w:p>
    <w:p w14:paraId="475AD2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Плохой целлулоид в фонаре, что затрудняет наблюдение и не дает возможности летать с закрытым колпаком.</w:t>
      </w:r>
    </w:p>
    <w:p w14:paraId="02424E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Мотор (особенно нефорсированный) не соответствует по своему весу этому типу самолета. Желательно иметь более мощный мотор. В крайнем случае, ставить форсированные моторы.</w:t>
      </w:r>
    </w:p>
    <w:p w14:paraId="44CD5A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При стрельбе приходится бросать ручку с сектора газа и переносить на гашетку, что ухудшает управление самолетом, а также сбивает точность прицела. Необходимо заменить гашетки для стрельбы из пулеметов и пушек кнопкой на ручке управления или на секторе газа.</w:t>
      </w:r>
    </w:p>
    <w:p w14:paraId="1519DA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Пробег и разбег самолета велики, что требует хороших площадок по длине.</w:t>
      </w:r>
    </w:p>
    <w:p w14:paraId="1BD305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Кроме устранения указанных недостатков желательно:</w:t>
      </w:r>
    </w:p>
    <w:p w14:paraId="099817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Улучшить аэродинамические качества самолета за счет лучшей его внешней отделки.</w:t>
      </w:r>
    </w:p>
    <w:p w14:paraId="2AD66C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Поставить бронезащитное стекло впереди прицела и избежать забрызгивания козырька маслом.</w:t>
      </w:r>
    </w:p>
    <w:p w14:paraId="7F1D2B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Кроме снятия с замков шасси аварийным рычагом, необходимо сделать тросовой дожим, так как часто воздушную систему перебивают.</w:t>
      </w:r>
    </w:p>
    <w:p w14:paraId="1D1A5C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Защитить летчика броней с боков, а также голову.</w:t>
      </w:r>
    </w:p>
    <w:p w14:paraId="175AE77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Упростить работу с триммером в воздухе, сделать как на самолете Як-1.</w:t>
      </w:r>
    </w:p>
    <w:p w14:paraId="156EF2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Устроить добавочное тросовое управление к рулям глубины (1632,100).</w:t>
      </w:r>
    </w:p>
    <w:p w14:paraId="5C567DBC" w14:textId="77777777" w:rsidR="00090C9B" w:rsidRPr="00722885" w:rsidRDefault="00090C9B" w:rsidP="00722885">
      <w:pPr>
        <w:pStyle w:val="Iauiue"/>
        <w:jc w:val="both"/>
        <w:rPr>
          <w:color w:val="000000" w:themeColor="text1"/>
          <w:sz w:val="16"/>
          <w:szCs w:val="16"/>
        </w:rPr>
      </w:pPr>
    </w:p>
    <w:p w14:paraId="7D227C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Командир 234 ИАП подполковник Ярославцев писал письмо командующему 1 ВА генерал-майору авиации Худякову.</w:t>
      </w:r>
    </w:p>
    <w:p w14:paraId="2EFFAD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основании вашего приказания от 10.9.42 г. произведен опрос летно-технического состава 18 ГИАП и 146 ИАП о боевых качествах самолета Як-7б и суммированные данные дают следующее:</w:t>
      </w:r>
    </w:p>
    <w:p w14:paraId="219D35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Як-7б по своим качествам превосходит все предыдущие виды данной конструкции:</w:t>
      </w:r>
    </w:p>
    <w:p w14:paraId="271AD2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по скорости;</w:t>
      </w:r>
    </w:p>
    <w:p w14:paraId="4B0014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 вертикальному маневру;</w:t>
      </w:r>
    </w:p>
    <w:p w14:paraId="5D0C13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при включении второй скорости на Н=1500 метров, его наилучшие качества снимаются на Н=2000-4000 метров;</w:t>
      </w:r>
    </w:p>
    <w:p w14:paraId="335204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достигнуто наиболее удобное расположение приборов, устройство запуска и т.д.</w:t>
      </w:r>
    </w:p>
    <w:p w14:paraId="6C8D36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Як-7б обладает безукоризненным безотказным запуском мотора.</w:t>
      </w:r>
    </w:p>
    <w:p w14:paraId="007F3C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Сильное вооружение вполне достаточное для воздушного боя с любым типом истребителей и бомбардировщиков противника.</w:t>
      </w:r>
    </w:p>
    <w:p w14:paraId="2C453C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Обладает хорошей живучестью при повреждении от 3А и в воздушном бою.</w:t>
      </w:r>
    </w:p>
    <w:p w14:paraId="771C04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Достаточно прост в технике пилотирования (взлет, посадка, пилотирование в воздухе).</w:t>
      </w:r>
    </w:p>
    <w:p w14:paraId="08F5C2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Недостатки:</w:t>
      </w:r>
    </w:p>
    <w:p w14:paraId="5726A1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Велик пробег, не дающий возможности работать с площадок, ограниченных размеров.</w:t>
      </w:r>
    </w:p>
    <w:p w14:paraId="0002D0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На пробеге тянет на нос, не дает возможности пользоваться тормозами.</w:t>
      </w:r>
    </w:p>
    <w:p w14:paraId="06F781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Не достает скорости 30-50 км для боя с преимуществом с современными истребителями Ме-109ф.</w:t>
      </w:r>
    </w:p>
    <w:p w14:paraId="602DA4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Забрызгивает козырек маслом, в результате чего не всегда представляется возможность полета с закрытым фонарем а отсюда, потеря 15-20 км в скорости.</w:t>
      </w:r>
    </w:p>
    <w:p w14:paraId="5216DD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Подчас неудовлетворительный плексиглас, искажающий видимость в козырьке.</w:t>
      </w:r>
    </w:p>
    <w:p w14:paraId="5233A0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Отсутствует бронь с левой стороны для руки и ноги.</w:t>
      </w:r>
    </w:p>
    <w:p w14:paraId="21A6A8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Неудобна защелка сидения, не дающая возможность регулировать летчику.</w:t>
      </w:r>
    </w:p>
    <w:p w14:paraId="118B65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Необходима замена гашеток кнопки (1632,108).</w:t>
      </w:r>
    </w:p>
    <w:p w14:paraId="2BC1D5F7" w14:textId="77777777" w:rsidR="00090C9B" w:rsidRPr="00722885" w:rsidRDefault="00090C9B" w:rsidP="00722885">
      <w:pPr>
        <w:pStyle w:val="Iauiue"/>
        <w:jc w:val="both"/>
        <w:rPr>
          <w:color w:val="000000" w:themeColor="text1"/>
          <w:sz w:val="16"/>
          <w:szCs w:val="16"/>
        </w:rPr>
      </w:pPr>
    </w:p>
    <w:p w14:paraId="463A1E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Командир 248 ИАП полковник, военный комиссар 248 ИАП батальон. комиссар, начальник штаба 248 ИАП майор Болотов.</w:t>
      </w:r>
    </w:p>
    <w:p w14:paraId="3EBF4F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ЯК-7б по сравнению с Як-1.</w:t>
      </w:r>
    </w:p>
    <w:p w14:paraId="4C567F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процессе боевой эксплуатации самолета Як-7б в 248 ИАП действовавшим на одном из участков фронта, летный состав полка ранее воевавший на самолете Як-1, обнаружил следующие отрицательные стороны:</w:t>
      </w:r>
    </w:p>
    <w:p w14:paraId="2D6FFE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Расход горючего на самолете Як-7б по сравнению с самолетом Як-1, несмотря на одинаковую емкость бензинобака и один и тот же мотор, меньше. 25.8.42 летчик Сапрыкин, пролетав 1.0 минут, ведя один воздушный бой на форсаже прилетел на свой аэродром, имея в баках горючего 8 кг, тогда как на Як-1 он же летал 1.40 на форсированном газу и горючего оставалось 12 кг.</w:t>
      </w:r>
    </w:p>
    <w:p w14:paraId="3C8A44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Пробег самолета увеличенный. Самолет Як-7б, пилотируемый капитаном Руденко, вследствие неисправности воздушной системы был вынужден садиться без тормозов и щитков. При точном расчете, имея запас площади в 1500 м, самолету не хватало рабочей площади, тогда как самолеты Як-1 при этих же условиях ограничивались 1200 метров.</w:t>
      </w:r>
    </w:p>
    <w:p w14:paraId="1F7E8C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Управление рулями глубины тяжелее и усложненное, самолет плохо выходит из пикирования, с большой осадкой, пикируя с 4000 м, до 1500 при скорости до 700 км/час, после вывода самолет вышел в горизонтальный полет на Н=400 метров. Если отрегулировать триммер на пикирование, то при выводе в горизонтальный полет управление не удержит.</w:t>
      </w:r>
    </w:p>
    <w:p w14:paraId="54EA43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Если самолет отрегулировать для горизонтального полета, то на вираже очень сильно опускает нос, не дает возможности подбора ручки, сваливается в крутую спираль с зарыванием, причем, скорость и радиус виража резко возрастают. Таким образом, чтобы избежать этих недостатков, летчику постоянно в полете приходится изменять положение триммера руля глубины в зависимости от режима полета, что при ограниченном времени очень затрудняет летчика.</w:t>
      </w:r>
    </w:p>
    <w:p w14:paraId="3A1FA2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Управление элеронами очень вялое, замедленное, при перекладывании из крена в крен ручка бьет по ногам летчика, вследствие очень узкого расположения педалей. Особенно плохо слушается самолет элеронов на малых скоростях порядка 220-250 км/час.</w:t>
      </w:r>
    </w:p>
    <w:p w14:paraId="6AB999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Управление рулем поворота слабее, с большим запозданием движение больше по размаху, напоминает большой транспортный самолет, а не истребитель. На больших скоростях для управления требуется приложить значительную физическую нагрузку.</w:t>
      </w:r>
    </w:p>
    <w:p w14:paraId="6D4CB4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При потере скорости до 260-230 км/час при выполнении боевых разворотов, виражей и других криволинейных режимов, рулями можно болтать сколько угодно, самолет почти не слушается особенно на боевых разворотах.</w:t>
      </w:r>
    </w:p>
    <w:p w14:paraId="32C379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В процессе воздушного боя, гонясь за противником, на высоту, иногда возникает необходимость резко перевести самолет из режима набора в пикирование с разворота. На Як-7б это почти не удается. Так как самолет обладает большой устойчивостью, не сваливается на крыло, а медленно сыпется на хвост, представляя из себя прекрасную беспомощную мишень для противника.</w:t>
      </w:r>
    </w:p>
    <w:p w14:paraId="100A77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Самолет Як-7б не терпит резких переходов, очень медленно набирает скорость и очень медленно погашает ее.</w:t>
      </w:r>
    </w:p>
    <w:p w14:paraId="7C9355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Самолет рассчитан по центровке на экипаж в 2 человека, летая по одному, центровка перемещается вперед и самолет не допускает продолжительно и энергичного торможения немедленно переходит на нос и даже капотирует.</w:t>
      </w:r>
    </w:p>
    <w:p w14:paraId="3B411A7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При посадке с одним летчиком требует энергичного добора ручки, иначе хвост не добирается и посадка производится с полуопущенным хвостом. Так. нагрузка на рули весьма значительна.</w:t>
      </w:r>
    </w:p>
    <w:p w14:paraId="4BA199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Общий вывод:</w:t>
      </w:r>
    </w:p>
    <w:p w14:paraId="117B72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Як-7б по сравнению с самолетом Як-1 очень тяжел в управлении имеет меньшую маневренность в горизонтальной плоскости, инертен, имеет меньшую максимальную скорость горизонтального полета. Як-1 в среднем дает 440-450 км в час, самолет Як-7б из 20 имевшихся в полку только лучшие экземпляры давали эту скорость. При новом моторе. В среднем можно считать скорость порядка 400-410 км/час.</w:t>
      </w:r>
    </w:p>
    <w:p w14:paraId="47D272D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Таковы предварительные данные о самолете Як-7б, замеченные в процессе боевой эксплуатации, на самолетах серии от 23-17 до 24-106 бывшие на вооружении 248 ИАП.</w:t>
      </w:r>
    </w:p>
    <w:p w14:paraId="6F8CD5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Данные взяты с опроса летного состава 248 ИАП (1632,108).</w:t>
      </w:r>
    </w:p>
    <w:p w14:paraId="08F24987" w14:textId="77777777" w:rsidR="00090C9B" w:rsidRPr="00722885" w:rsidRDefault="00090C9B" w:rsidP="00722885">
      <w:pPr>
        <w:pStyle w:val="Iauiue"/>
        <w:jc w:val="both"/>
        <w:rPr>
          <w:color w:val="000000" w:themeColor="text1"/>
          <w:sz w:val="16"/>
          <w:szCs w:val="16"/>
        </w:rPr>
      </w:pPr>
    </w:p>
    <w:p w14:paraId="51FB7A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командир 202 ИАД Янсен и военком Лобан писали Ком. ВВС Новикову о том, что в поражениях от немецких истребителей виноваты не только л, но и самолеты и дал оценки Як-7б и Як-1 (1632,105).</w:t>
      </w:r>
    </w:p>
    <w:p w14:paraId="37A53A51" w14:textId="77777777" w:rsidR="00090C9B" w:rsidRPr="00722885" w:rsidRDefault="00090C9B" w:rsidP="00722885">
      <w:pPr>
        <w:pStyle w:val="Iauiue"/>
        <w:jc w:val="both"/>
        <w:rPr>
          <w:color w:val="000000" w:themeColor="text1"/>
          <w:sz w:val="16"/>
          <w:szCs w:val="16"/>
        </w:rPr>
      </w:pPr>
    </w:p>
    <w:p w14:paraId="58BAFA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вышел приказ НКАП N 727 "Об упрощении и облегчении конструкции серийных истребителей Як и ЛаГГ", утвердивший мероприятия, представленные Зам. Наркомом А.С.Я. и ГИ ВВС А.E.Репиным - уменьшить вес на 25-30 кг (908,70).</w:t>
      </w:r>
    </w:p>
    <w:p w14:paraId="182C19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ГКО своим постановлением... утвердил мероприятия по упрощению и облегчению конструкции серийных истребителей, представленный зам. НКАП тов. А.С.Я. и ГИ ВВС КА тов. Репиным.</w:t>
      </w:r>
    </w:p>
    <w:p w14:paraId="6ECA93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Приказываю:</w:t>
      </w:r>
    </w:p>
    <w:p w14:paraId="6C872F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И.о. нач. ПГУ тов. Тихомирову, директору завода № 21 тов. Агаджанову, № 31 тов. Саладзе, № 82 тов. Бугрову, № 153 тов. Романову и № 292 тов. Левину в целях производственного и эксплуатационного упрощения, а также и облегчения конструкции серийных истребителей Як и ЛаГГ провести следующие мероприятия (всякие мелочи - обогреватель трубки Питол, фара с выключателем и предохранителем, арматуру подсветки щитка, обогрев часов, розетка хвостового АНО, манометр вооружения, вариометр и т.п.).</w:t>
      </w:r>
    </w:p>
    <w:p w14:paraId="1947EF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Только для ПВО оставили фару.</w:t>
      </w:r>
    </w:p>
    <w:p w14:paraId="77B6E4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Уменьшение веса на 25-30 кг.</w:t>
      </w:r>
    </w:p>
    <w:p w14:paraId="3E767B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 А.И.Ш. (908,70).</w:t>
      </w:r>
    </w:p>
    <w:p w14:paraId="625E653F" w14:textId="77777777" w:rsidR="00090C9B" w:rsidRPr="00722885" w:rsidRDefault="00090C9B" w:rsidP="00722885">
      <w:pPr>
        <w:pStyle w:val="Iauiue"/>
        <w:jc w:val="both"/>
        <w:rPr>
          <w:color w:val="000000" w:themeColor="text1"/>
          <w:sz w:val="16"/>
          <w:szCs w:val="16"/>
        </w:rPr>
      </w:pPr>
    </w:p>
    <w:p w14:paraId="5A5F0D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г., по воспоминаниям маршала авиации А.А.Новикова (тогда - командующего ВВС Красной Армии), его неожиданно пригласили в Ставку. Причиной вызова стало предложение возобновить выпуск старых истребителей: “С.А.Худяков (Командующий ВВС 1-й Воздушной армии) при поддержке Члена Военного Совета Н.А.Булганина написал в сентябре 1942 г. Сталину письмо, в котором просил восстановить производство истребителей И-16 и И-153. Сделал это Худяков под нажимом командира истребительной авиадивизии Немцовича.</w:t>
      </w:r>
    </w:p>
    <w:p w14:paraId="0BA660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Сталин, прочитав письмо, вызвал Худякова и Булганина. Выслушав, он не согласился с ними и сказал, что вызовет меня с фронта, переговорит со мной, прежде чем примет какое-нибудь решение.</w:t>
      </w:r>
    </w:p>
    <w:p w14:paraId="08DD07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 был у Сталина 28 сентября 1942 г. Он сказал мне, что Худяков и Булганин просят восстановить производство И-16 и И-153, но он не согласен с ними. Я ответил, что И-16 и И-153 хороши в оборонительном бою, но ни как не в наступательном. А мы собираемся наступать, завоевывать превосходство в воздухе. Поэтому производство И-16 и И-153 восстанавливать нецелесообразно. Сталин согласился с моими доводами и производство старых самолетов не было восстановлено...” (6592).</w:t>
      </w:r>
    </w:p>
    <w:p w14:paraId="226F9782" w14:textId="77777777" w:rsidR="00090C9B" w:rsidRPr="00722885" w:rsidRDefault="00090C9B" w:rsidP="00722885">
      <w:pPr>
        <w:pStyle w:val="Iauiue"/>
        <w:jc w:val="both"/>
        <w:rPr>
          <w:color w:val="000000" w:themeColor="text1"/>
          <w:sz w:val="16"/>
          <w:szCs w:val="16"/>
        </w:rPr>
      </w:pPr>
    </w:p>
    <w:p w14:paraId="2E1416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сентября 1942 г., по воспоминаниям маршала авиации А.А.Новикова (тогда - командующего ВВС Красной Армии),  его неожиданно пригласили в Ставку. Причиной вызова стало предложение возобновить выпуск старых истребителей:</w:t>
      </w:r>
    </w:p>
    <w:p w14:paraId="53A51A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"С.А.Худяков (Командующий ВВС Западного фронта - М.М.) при поддержке Члена Военного Совета Н.А.Булганина написал в сентябре 1942 года Сталину письмо, в котором просил восстановить производство истребителей И-16 и И-153. Сделал это Худяков под нажимом командира истребительной авиадивизии Немцовича.</w:t>
      </w:r>
    </w:p>
    <w:p w14:paraId="7FF522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Сталин, прочитав письмо, вызвал Худякова и Булганина. Выслушав их, он не согласился с ними и сказал, что вызовет меня с фронта, переговорит со мной, прежде чем примет какое-нибудь решение.</w:t>
      </w:r>
    </w:p>
    <w:p w14:paraId="7A4A5D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 был у Сталина 28 сентября 1942 года. Он сказал мне, что Худяков и Булганин просят восстановить производство И-16 и И-153, но он не согласен с ними. Я сказал, что И-16 и И-153 хороши в оборонительном бою, но ни как не в наступательном. А мы собираемся наступать, завоевывать превосходство в воздухе. Поэтому производство И-16 и И-153 восстанавливать нецелесообразно. Сталин согласился с моими доводами, и производство старых самолетов не было восстановлено..." (12014)</w:t>
      </w:r>
    </w:p>
    <w:p w14:paraId="1204255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419A5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26 сентября по 5 октября 1942 состоялись совместные испытания на стенде ГИПТ в Свердловске ЖРД Д-1-А-1000 (2928,7).</w:t>
      </w:r>
    </w:p>
    <w:p w14:paraId="2700DE62" w14:textId="77777777" w:rsidR="00090C9B" w:rsidRPr="00722885" w:rsidRDefault="00090C9B" w:rsidP="00722885">
      <w:pPr>
        <w:pStyle w:val="Iauiue"/>
        <w:jc w:val="both"/>
        <w:rPr>
          <w:color w:val="000000" w:themeColor="text1"/>
          <w:sz w:val="16"/>
          <w:szCs w:val="16"/>
        </w:rPr>
      </w:pPr>
    </w:p>
    <w:p w14:paraId="67600D6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AEFCE6F" w14:textId="77777777" w:rsidR="00090C9B" w:rsidRPr="00722885" w:rsidRDefault="00090C9B" w:rsidP="00722885">
      <w:pPr>
        <w:pStyle w:val="Iauiue"/>
        <w:jc w:val="both"/>
        <w:rPr>
          <w:iCs/>
          <w:color w:val="000000" w:themeColor="text1"/>
          <w:sz w:val="16"/>
          <w:szCs w:val="16"/>
        </w:rPr>
      </w:pPr>
    </w:p>
    <w:p w14:paraId="030F93E6" w14:textId="77777777" w:rsidR="00776B5F" w:rsidRPr="00722885" w:rsidRDefault="00776B5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26 сентября 1942 года Технический Совет НКВ дал указание о доработке орудия, что ОКБЛ-46 и сделало. С 5 декабря 1942 по 12 января 1943 года прошли заводские испытания улучшенной версии ЧК. Конструкцию орудия весьма существенно доработали, в частности, появился более развитый дульный тормоз. Боевая масса в походном положении составила 213 кг, а в боевом - 204 кг. В третий раз на испытания ГАУ орудие вышло в феврале 1943 года, несмотря на некоторые дефекты, отмечался прогресс в работах. В ГАУ КА отмечали, что орудие хоть и чуть уступает 45-мм противотанковой пушке, но хорошо подходит для авиадесантных частей (20126).</w:t>
      </w:r>
    </w:p>
    <w:p w14:paraId="07A988BE" w14:textId="77777777" w:rsidR="00776B5F" w:rsidRPr="00722885" w:rsidRDefault="00776B5F"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0CCF6F3D" w14:textId="77777777" w:rsidR="00575617" w:rsidRPr="00722885" w:rsidRDefault="0057561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26 сентября 1942 года КВ-13 отправился в первый тестовый пробег. В его ходе все механизмы трансмиссии и ходовой части работали нормально, но уже тогда случились первые поломки. При повышенных оборотах двигателя давление масла падало до двух атмосфер. Причину выявили быстро – неисправность работы масляного редуктора мотора. Гораздо больше проблем принес следующий день, когда была определена максимальная скорость танка – 55 км/ч. Замерить ее удалось по показаниям идущего сзади автомобиля ГАЗ М1. Результаты вполне удовлетворительные, но закончились испытания целым букетом неисправностей. На 30-м километре ухудшилась работа привода КПП, начался перегрев двигателя, на 9-й передаче наблюдалась слабая тяга. Наконец, слетели и потерялись крышки с трех опорных катков. Также отмечалось очень тяжелое управление машиной.</w:t>
      </w:r>
    </w:p>
    <w:p w14:paraId="0CEB34D4" w14:textId="77777777" w:rsidR="00575617" w:rsidRPr="00722885" w:rsidRDefault="0057561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Пробег 26–27 сентября упомянут в книге Шашмурина «50 лет противоборства». В этих мемуарах талантливый конструктор в полной мере выразил свое отношение к затее сделать тяжелый танк с массой и размерами среднего. Отчасти именно его поведение в ходе испытаний привело к поломкам, о чем Николай Федорович не без удовольствия написал (правда, у него в мемуарах смешались первый и второй образец КВ-13):</w:t>
      </w:r>
    </w:p>
    <w:p w14:paraId="36566F4D" w14:textId="77777777" w:rsidR="00575617" w:rsidRPr="00722885" w:rsidRDefault="0057561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«Следует иметь в виду, что в заводских условиях, при сдаточных испытаниях водители наловчились избегать опасных нагрузок, характер испытательных трасс известен и освоен, а также объем испытаний крайне ограничен. Имеют место случаи бесконтрольной замены дефектных деталей и прочее.</w:t>
      </w:r>
    </w:p>
    <w:p w14:paraId="2CF89EFC" w14:textId="77777777" w:rsidR="00575617" w:rsidRPr="00722885" w:rsidRDefault="0057561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Составив особое задание на пробег всего лишь в объеме 50 километров, я провел его в особом режиме. Маршрут: Челябинск-Копейск-обратно. Трасса – неустроенная булыжная дорога. Экипаж: Шашмурин – зам. Г. конструктора, Ковш- мастер вождения, Розов – военпред.</w:t>
      </w:r>
    </w:p>
    <w:p w14:paraId="58F8045C" w14:textId="77777777" w:rsidR="00575617" w:rsidRPr="00722885" w:rsidRDefault="0057561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В одном направлении машину вел Ковш. Всё обошлось благополучно, лишь на паре опорных катков обнаружились мелкие трещины. Обратно машину вел сам, на предельно высоких скоростях. Прибыл на завод с побитыми катками. Был учинен скандал, а позднее за эту «самодеятельность» имел крупные неприятности. Но судьба танка КВ-13 была предрешена, этот феномен скончался».</w:t>
      </w:r>
    </w:p>
    <w:p w14:paraId="3DCC1CF5" w14:textId="77777777" w:rsidR="00575617" w:rsidRPr="00722885" w:rsidRDefault="0057561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Шашмурин сильно рисковал, поскольку его могли обвинить во вредительстве. В целом же Николай Федорович был прав – танк получился очень сырой и крайне сомнительный с точки зрения возможного запуска в серию. Эпизод с катками был лишь одним из длинного списка проблем. Например, под формулировкой «тяжелое управление» скрывалось то, что усилие на рычагах составляло до 60 килограмм, а на педали главного фрикциона – 90 килограмм. Была масса других проблем, связанных с удобством работы механика-водителя. Имелись и проблемы с обслуживанием машины, например, воздушный фильтр без демонтажа масляных радиаторов оказалось невозможно снять. Обнаружились неприятности с механизмом натяжения гусениц, которые никак нельзя было отнести к последствиям лихой езды. Наконец, проявились конструктивные просчеты с башней: во время движения стопор башни самопроизвольно отворачивался, а замки пистолетных портов были признаны непригодными к эксплуатации.</w:t>
      </w:r>
    </w:p>
    <w:p w14:paraId="5A7FAD2E" w14:textId="77777777" w:rsidR="00575617" w:rsidRPr="00722885" w:rsidRDefault="0057561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 том, насколько серьезные проблемы были выявлены при первом пробеге КВ-13, говорит тот факт, что устранялись дефекты больше недели. После переделки механизмов крепления рычагов усилие на них удалось снизить до 24 килограмм. Гораздо интереснее то, что идею ходовой части с использованием элементов Т-34 признали неудачной. После устранения недостатков испытания продолжились. А на заводе №100 стали работать над изготовлением второго комплекта механизмов трансмиссии и ходовой части. Траки было решено заменить на КВ-шные, по образцу и подобию КВ делались и ведущие колеса (17637).</w:t>
      </w:r>
    </w:p>
    <w:p w14:paraId="6F23B72B" w14:textId="77777777" w:rsidR="00575617" w:rsidRPr="00722885" w:rsidRDefault="00575617" w:rsidP="00722885">
      <w:pPr>
        <w:spacing w:after="0" w:line="240" w:lineRule="auto"/>
        <w:jc w:val="both"/>
        <w:rPr>
          <w:rFonts w:ascii="Times New Roman" w:eastAsia="Times New Roman" w:hAnsi="Times New Roman"/>
          <w:color w:val="000000" w:themeColor="text1"/>
          <w:sz w:val="16"/>
          <w:szCs w:val="16"/>
          <w:lang w:eastAsia="ru-RU"/>
        </w:rPr>
      </w:pPr>
    </w:p>
    <w:p w14:paraId="4836D752" w14:textId="77777777" w:rsidR="00575617" w:rsidRPr="00722885" w:rsidRDefault="0057561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xml:space="preserve">26 сентября 1942 года на испытания вышел </w:t>
      </w:r>
      <w:hyperlink r:id="rId116" w:history="1">
        <w:r w:rsidRPr="00722885">
          <w:rPr>
            <w:rFonts w:ascii="Times New Roman" w:eastAsia="Times New Roman" w:hAnsi="Times New Roman"/>
            <w:iCs/>
            <w:color w:val="000000" w:themeColor="text1"/>
            <w:sz w:val="16"/>
            <w:szCs w:val="16"/>
            <w:lang w:eastAsia="ru-RU"/>
          </w:rPr>
          <w:t xml:space="preserve">первый </w:t>
        </w:r>
      </w:hyperlink>
      <w:hyperlink r:id="rId117" w:history="1">
        <w:r w:rsidRPr="00722885">
          <w:rPr>
            <w:rFonts w:ascii="Times New Roman" w:eastAsia="Times New Roman" w:hAnsi="Times New Roman"/>
            <w:iCs/>
            <w:color w:val="000000" w:themeColor="text1"/>
            <w:sz w:val="16"/>
            <w:szCs w:val="16"/>
            <w:lang w:eastAsia="ru-RU"/>
          </w:rPr>
          <w:t>опытный образец</w:t>
        </w:r>
      </w:hyperlink>
      <w:r w:rsidRPr="00722885">
        <w:rPr>
          <w:rFonts w:ascii="Times New Roman" w:eastAsia="Times New Roman" w:hAnsi="Times New Roman"/>
          <w:iCs/>
          <w:color w:val="000000" w:themeColor="text1"/>
          <w:sz w:val="16"/>
          <w:szCs w:val="16"/>
          <w:lang w:eastAsia="ru-RU"/>
        </w:rPr>
        <w:t xml:space="preserve"> тяжёлого танка КВ-13. Машина получилась крайне необычной: обладая защищённостью тяжёлого танка, она одновременно имела размеры и массу среднего. Позже это стало причиной появления у исследователей целого ряда гипотез и даже обозначения «средний танк тяжёлого бронирования». В реальности средним КВ-13 никогда не был — он разрабатывался именно как тяжёлый, а его относительно небольшие размеры и масса стали прямым следствием полученного из Главного автобронетанкового управления Красной армии (ГАБТУ КА) технического задания. По ряду </w:t>
      </w:r>
      <w:r w:rsidRPr="00722885">
        <w:rPr>
          <w:rFonts w:ascii="Times New Roman" w:eastAsia="Times New Roman" w:hAnsi="Times New Roman"/>
          <w:iCs/>
          <w:color w:val="000000" w:themeColor="text1"/>
          <w:sz w:val="16"/>
          <w:szCs w:val="16"/>
          <w:lang w:eastAsia="ru-RU"/>
        </w:rPr>
        <w:lastRenderedPageBreak/>
        <w:t>причин дальше второго опытного экземпляра работы над КВ-13, получившим в ходе создания альтернативное название ИС-1, не пошли. Но он стал важной вехой на пути к советскому тяжёлому танку нового поколения (17688).</w:t>
      </w:r>
    </w:p>
    <w:p w14:paraId="7AEF3170" w14:textId="77777777" w:rsidR="00575617" w:rsidRPr="00722885" w:rsidRDefault="00575617" w:rsidP="00722885">
      <w:pPr>
        <w:spacing w:after="0" w:line="240" w:lineRule="auto"/>
        <w:jc w:val="both"/>
        <w:rPr>
          <w:rFonts w:ascii="Times New Roman" w:eastAsia="Times New Roman" w:hAnsi="Times New Roman"/>
          <w:color w:val="000000" w:themeColor="text1"/>
          <w:sz w:val="16"/>
          <w:szCs w:val="16"/>
          <w:lang w:eastAsia="ru-RU"/>
        </w:rPr>
      </w:pPr>
    </w:p>
    <w:p w14:paraId="45488EEC" w14:textId="77777777" w:rsidR="00090C9B" w:rsidRPr="00722885" w:rsidRDefault="00090C9B"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26 сентября 1942 года был утвержден план проведения модернизации ГАЗ-64. Над новой легковой машиной, получившей индекс "67", работали ведущий конструктор Г.М.Вассерман, конструкторы Ф.А.Лепендин (компоновка), В.В.Банников, А.Л.Иванов, Ю.М. Немцов, А.Г.Кузин - под руководством В.А.Грачева. На ГАЗ-67 восстановили нормальную колею, единую для обеих осей, усилили раму (добавлены косынки, накладки, задняя поперечина); переделали переднюю часть кузова, ввели передние и задние крылья, установили подножки. Задние рессоры были вынесены над балкой заднего моста (это увеличило и дорожный просвет) и расположены снаружи рамы, дополнительный бензобак (31 л) размещен под сиденьем водителя. Были усилены элементы подвески, рулевого управления, буксирного прибора. Стал не нужен задний стабилизатор поперечной устойчивости. Мощность двигателя возросла до гарантированных 54 л.с. за счет применения более совершенного карбюратора К-23 типа "Стромберг" (ставился и раньше на ГАЗ-64). Габариты автомобиля ГАЗ-67 увеличились незначительно в длину и заметно в ширину (на 185, потом на 155 мм). Параметры профильной проходимости в целом не изменились и были достаточно высокими: подъем - до 38°, с прицепом 800 кг - до 20°, устойчивый крен - 25°. Существенно улучшилась подвижность по разбитым фронтовым дорогам с глубокими колеями (до 0,45 м). Машина в них хорошо вписывалась и могла уверенно выходить на обочину через кюветы с крутыми склонами, двигаться по косогорам с уклоном до 22° без сползания. Преодолевался и проселок с жидкой грязью глубиной до 0,8 м. Прицеп в любых дорожных условиях мог иметь массу до 1200 кг (затем она была ограничена до 800 кг). ГАЗ-67 стал надежнее и добротнее своего предшественника, устойчиво работал на низкокачественных горюче-смазочных материалах, выдерживал значительные перегрузки и отрабатывал заданный срок службы (9638).</w:t>
      </w:r>
    </w:p>
    <w:p w14:paraId="0B9FC9AE" w14:textId="77777777" w:rsidR="00090C9B" w:rsidRPr="00722885" w:rsidRDefault="00090C9B" w:rsidP="00722885">
      <w:pPr>
        <w:pStyle w:val="a8"/>
        <w:widowControl/>
        <w:jc w:val="both"/>
        <w:rPr>
          <w:rFonts w:ascii="Times New Roman" w:hAnsi="Times New Roman" w:cs="Times New Roman"/>
          <w:color w:val="000000" w:themeColor="text1"/>
        </w:rPr>
      </w:pPr>
    </w:p>
    <w:p w14:paraId="0C08D8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года вышло распоряжение СНК № 18396-рс и 9 октября 1942 года вышел приказ НКБ № 779с, согласно которым на площадях завода № 398 был организован Московский филиал ЦКБ № 22 (10118).</w:t>
      </w:r>
    </w:p>
    <w:p w14:paraId="4A71F9FA" w14:textId="77777777" w:rsidR="00090C9B" w:rsidRPr="00722885" w:rsidRDefault="00090C9B" w:rsidP="00722885">
      <w:pPr>
        <w:pStyle w:val="Iauiue"/>
        <w:jc w:val="both"/>
        <w:rPr>
          <w:color w:val="000000" w:themeColor="text1"/>
          <w:sz w:val="16"/>
          <w:szCs w:val="16"/>
        </w:rPr>
      </w:pPr>
    </w:p>
    <w:p w14:paraId="118FCC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года вышло Постановление СНК от № 18398 РС и 28 ноября 1942 года вышел приказ НКБ за № 740с, которыми завод № 677 с 1 октября 1942 года был выделен в самостоятельный завод № 677 НКБ.</w:t>
      </w:r>
    </w:p>
    <w:p w14:paraId="54B589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Затем завод переходил в Министерство с/х машиностроения, Министерство машиностроения и в МОП, не меняя в основном своего профиля производства – взрыватели.</w:t>
      </w:r>
    </w:p>
    <w:p w14:paraId="5369A2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Новосибирск, Кировский район, п/я 159</w:t>
      </w:r>
    </w:p>
    <w:p w14:paraId="169D83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Гутов (10043).</w:t>
      </w:r>
    </w:p>
    <w:p w14:paraId="33CD4777" w14:textId="77777777" w:rsidR="00090C9B" w:rsidRPr="00722885" w:rsidRDefault="00090C9B" w:rsidP="00722885">
      <w:pPr>
        <w:pStyle w:val="Iauiue"/>
        <w:jc w:val="both"/>
        <w:rPr>
          <w:color w:val="000000" w:themeColor="text1"/>
          <w:sz w:val="16"/>
          <w:szCs w:val="16"/>
        </w:rPr>
      </w:pPr>
    </w:p>
    <w:p w14:paraId="653B686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сентября в 1942 году в Новосибирске решением комиссариата СССР был образован государственный завод №677 союзного подчинения (ныне ФГУП "НПО "Луч"). В годы войны завод был полностью ориентирован на выпуск продукции, приближающий День Великой Победы. По окончании ВОВ перед заводом встала задача перехода на выпуск мирной продукции. Важным этапом становления предприятия стал период с 1950 по 1954 гг., когда были организованы новые производства - пластмассовое и радиотехническое. Позднее именно они определили путь развития "НПО "Луч". С течением времени продукция предприятия получила широкое распространение по всей территории Советского Союза. Наиболее известными образцами стали: электронная клавишная вычислительная машина «Рось» (1971 г.); электронная клавишная вычислительная машина «Электроника ЭПОС - 73А» (1978 г.); серия магнитофонных приставок «Нота», за разработку которых группа конструкторов нашего объединения награждена дипломами и медалями ВДНХ СССР (1981 г.); детская настольная игра «Хоккей» (1965 г.) (14781).</w:t>
      </w:r>
    </w:p>
    <w:p w14:paraId="332074BC"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7F2B10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сентября 1942 Адмиралтейцы закончили аварийно-боевой ремонт крейсерской ПЛ К-52, подготовив ее к испытаниям (10671).</w:t>
      </w:r>
    </w:p>
    <w:p w14:paraId="3230BE1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2F9AA5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F0781C1" w14:textId="77777777" w:rsidR="00090C9B" w:rsidRPr="00722885" w:rsidRDefault="00090C9B" w:rsidP="00722885">
      <w:pPr>
        <w:pStyle w:val="Iauiue"/>
        <w:jc w:val="both"/>
        <w:rPr>
          <w:iCs/>
          <w:color w:val="000000" w:themeColor="text1"/>
          <w:sz w:val="16"/>
          <w:szCs w:val="16"/>
        </w:rPr>
      </w:pPr>
    </w:p>
    <w:p w14:paraId="2E096F8E"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сентября в 1942 году оперативная сводка Совинформбюро:</w:t>
      </w:r>
    </w:p>
    <w:p w14:paraId="3B09550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26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700FE174"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В упорном уличном бою наша гвардейская часть уничтожила 10 немецких танков и 285 солдат и офицеров противника. На другом участке наши бойцы отбили атаку и истребили до роты пехоты противника. Захвачены 6 пулемётов, 6 миномётов, 130 винтовок и боеприпасы.</w:t>
      </w:r>
    </w:p>
    <w:p w14:paraId="2C491F4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противник предпринял несколько контратак, которые были отбиты с большими для него потерями. Н-ская стрелковая часть уничтожила до 300 гитлеровцев и захватила 200 тысяч винтовочных патронов. На другом участке бойцы Н-ского соединения отбили контратаку противника, продвинулись вперёд и заняли более выгодные рубежи. В ходе этого боя уничтожено 600 немецких солдат и офицеров, 10 танков, 12 орудий, несколько миномётов и пулемётов.</w:t>
      </w:r>
    </w:p>
    <w:p w14:paraId="0C4164E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отбили атаку пехоты и танков противника. Немцы отошли на исходные позиции, оставив на поле боя 6 повреждённых танков, 10автомашин, 7 орудий, 13 пулемётов и до 200 убитых и тяжело раненных солдат и офицеров.</w:t>
      </w:r>
    </w:p>
    <w:p w14:paraId="43C976D1"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морской пехоты в бою с противником уничтожили до батальона румынской пехоты, подбили и сожгли 2 немецких танка и 3 бронемашины. Захвачены трофеи и пленные.</w:t>
      </w:r>
    </w:p>
    <w:p w14:paraId="22E01BE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публикуются выдержки из дневника командира взвода 9 роты 317 полка 211немецкой пехотной дивизии унтер-офицера Франца Гарцера.</w:t>
      </w:r>
    </w:p>
    <w:p w14:paraId="0A9B169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«Мы должны овладеть очагами сопротивления русских в лесу. Отлично замаскировавшись, они ведут огонь по нашим солдатам, которые сгрудились на самом краю леса. Вдруг раздаётся пронзительное «ура» русских... Батальон безнадёжно отступает. Операция провалилась. Лейтенант Шнейдер ранен, унтер-офицеры Крише, Гросс, Веймер убиты. Манескрейн и Гирсберг пропали без вести. Это была одна из самых печальных страниц в истории 9 роты... У меня всё больше крепнет желание убраться отсюда поскорее.</w:t>
      </w:r>
    </w:p>
    <w:p w14:paraId="7ABE054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нас теперь в ходу шутка о «миноискателе 1942 г.». Под этим подразумеваются русские женщины, которых мы гоним на минные поля.</w:t>
      </w:r>
    </w:p>
    <w:p w14:paraId="66DE5D7F"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...Ужасные новости. Убиты: унтер-офицер Гельм, Глеба, Вальк, Винклер. Масса раненых. В моём взводе осталось только 2 человека. Так страшно видеть мёртвые тела своих товарищей, сложенные в штабеля.</w:t>
      </w:r>
    </w:p>
    <w:p w14:paraId="7BB5BB2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Солдаты стонут. Все стремятся унести ноги из России. Мне не верится, что мы выберемся отсюда. Я окончательно отчаялся в будущем и думаю, что Россия станет для нас могилой».</w:t>
      </w:r>
    </w:p>
    <w:p w14:paraId="05D9EE90"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деревне Анновка, Кировоградской области, семилетний сын колхозника Науменко сорвал приказ немецкой комендатуры и сделал из него бумажный змей. Немецко-фашистские изверги схватили мальчика, долго глумились над ним, а затем расстреляли его. По распоряжению капитана Брауна гитлеровские разбойники сожгли дом колхозника Науменко, а всю семью арестовали и отправили на принудительные работы.</w:t>
      </w:r>
    </w:p>
    <w:p w14:paraId="14A1B5B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греческих партизан, действующий в Родопских горах (Северная Греция), совершил нападение на автоколонну оккупантов. Партизаны перебили более 30 гитлеровцев и, захватив винтовки и патроны, скрылись в горах.» (14781).</w:t>
      </w:r>
    </w:p>
    <w:p w14:paraId="1AC44E06"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77F20648"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сентября в 1942 году вечернее сообщение Совинформбюро:</w:t>
      </w:r>
    </w:p>
    <w:p w14:paraId="1AE7EAA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26 сентября наши войска вели ожесточённые бои с противником в районе Сталинграда, в районе Моздока и в районе Синявино. На других фронтах существенных изменений не произошло.</w:t>
      </w:r>
    </w:p>
    <w:p w14:paraId="4E21AAC3"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25 сентября частями нашей авиации на различных участках фронта уничтожено или повреждено до 30 автомашин с войсками и грузами, подавлен огонь 6 батарей полевой артиллерии, взорвано 3 склада боеприпасов, подожжено 7 железнодорожных эшелонов, рассеяно и частью уничтожено до роты пехоты противника.</w:t>
      </w:r>
    </w:p>
    <w:p w14:paraId="7CA0C71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бойцы Н-ской части атаковали немцев и выбили их из ряда зданий. Противник потерял убитыми до 400 солдат и офицеров. Захвачено 3 пулемёта, 4 миномёта и много винтовок. На окраине города наши артиллеристы и гвардейцы-миномётчики несколькими огневыми налётами уничтожили до батальона вражеской пехоты, 3 танка, 23 автомашины, 11 мотоциклов и артиллерийскую батарею противника. Южнее Сталинграда Н-ская часть Красной Армии вела активные боевые действия и истребила более 800 солдат и офицеров противника. Уничтожено 11 немецких танков, 18 автомашин и 3 миномётные батареи. Нашими бойцами захвачено150 немецких автомашин с различными военными грузами.</w:t>
      </w:r>
    </w:p>
    <w:p w14:paraId="3F03A04B"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советские войска продолжали вести бои и несколько продвинулись вперёд. Немцы неоднократно переходили в контратаки, но каждый раз под ударами наших частей откатывались на исходные позиции. В ходе боёв гитлеровцы несут большие потери. За истекшие сутки уничтожено до 2.000 вражеских солдат и офицеров, сожжено и подбито 37 немецких танков, уничтожено 21 орудие, 8 миномётных батарей, 32 пулемёта, 3 бронемашины и 12 специальных автомашин. Захвачены трофеи и пленные.</w:t>
      </w:r>
    </w:p>
    <w:p w14:paraId="0929215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и зенитчики в течение дня сбили 9 немецких самолётов.</w:t>
      </w:r>
    </w:p>
    <w:p w14:paraId="09F17E2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немецкая пехота при поддержке сотни танков пять раз атаковала наш оборонительный рубеж. Все атаки противника отбиты. В результате этого боя гитлеровцы потеряли 18 танков и до двух рот пехоты.</w:t>
      </w:r>
    </w:p>
    <w:p w14:paraId="108216DC"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Юго-восточнее Новороссийска наши войска отбили атаку крупных сил противника, пытавшихся захватить одну высоту. В боях за эту высоту уничтожено до 1.150 немецких солдат и офицеров. Нашими бойцами захвачены 31 пулемёт, много винтовок и боеприпасов.</w:t>
      </w:r>
    </w:p>
    <w:p w14:paraId="69B3A43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Синявина наши войска отбивали атаки противника. В течение дняуничтожено 10 танков и сбито 6 немецких бомбардировщиков.</w:t>
      </w:r>
    </w:p>
    <w:p w14:paraId="2BB028A7"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Крыму, истребил до 200 немецких оккупантов, уничтожил 12 автомашин и взорвал на шоссе несколько мостов.</w:t>
      </w:r>
    </w:p>
    <w:p w14:paraId="2014518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Пленные солдаты 11 роты 266 полка 72 немецкой пехотной дивизии Леон Заммель и Пауль Крушке рассказали:</w:t>
      </w:r>
    </w:p>
    <w:p w14:paraId="46879C9A"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боях под Севастополем 72 дивизия была разбита. В ротах нашего полка осталось по нескольку человек. Например, в 11 роте осталось всего лишь 8 солдат. Вскоре мы получили пополнение и были переброшены на Центральный фронт. Нас прямос марша ввели в бой, и полк в течение двух дней вновь понёс огромные потери. Русские обрушили на нас страшный артиллерийский и миномётный огонь. Солдаты были морально подавлены. Им было безразлично, чем закончится бой. Каждый старался укрыться, чтобы только спасти свою жизнь».</w:t>
      </w:r>
    </w:p>
    <w:p w14:paraId="5B8F9882"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Карательный отряд белофиннов учинил кровавую расправу над населением деревни Сосницы, Ленинградской области. Ворвавшись в деревню, белофинны согнали жителей на площадь и потребовали, чтобы они указали, где находится партизанский лагерь. Все крестьяне молча выслушали требование финского офицера и не проронили ни одного слова. Тогда белофинны схватили пожилого колхозника Жукова и вприсутствии всех жителей повесили его. Не добившись и после этого от колхозников сведений о партизанах, бандита убили 20 жителей деревни.» (14781).</w:t>
      </w:r>
    </w:p>
    <w:p w14:paraId="2EDAA7E4"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1567A88D"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сентября в 1942 году войска Невской оперативной группы Ленинградского фронта овладели плацдармом в районе Московской Дубровки. В Сталинграде на отдельных участках фронта противник вышел к Волге. Завершилась Новороссийская операция: советские войска н силы флота сорвали план противника прорваться в Закавказье через Новороссийск (14781).</w:t>
      </w:r>
    </w:p>
    <w:p w14:paraId="44B9F114"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2C626D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исходу 26 сентября 1942 немецкие вой</w:t>
      </w:r>
      <w:r w:rsidRPr="00722885">
        <w:rPr>
          <w:color w:val="000000" w:themeColor="text1"/>
          <w:sz w:val="16"/>
          <w:szCs w:val="16"/>
        </w:rPr>
        <w:softHyphen/>
        <w:t>ска после упорных боев овладели по</w:t>
      </w:r>
      <w:r w:rsidRPr="00722885">
        <w:rPr>
          <w:color w:val="000000" w:themeColor="text1"/>
          <w:sz w:val="16"/>
          <w:szCs w:val="16"/>
        </w:rPr>
        <w:softHyphen/>
        <w:t>чти всем центром и южной частью Ста</w:t>
      </w:r>
      <w:r w:rsidRPr="00722885">
        <w:rPr>
          <w:color w:val="000000" w:themeColor="text1"/>
          <w:sz w:val="16"/>
          <w:szCs w:val="16"/>
        </w:rPr>
        <w:softHyphen/>
        <w:t>линграда (6467).</w:t>
      </w:r>
    </w:p>
    <w:p w14:paraId="57107EAD" w14:textId="77777777" w:rsidR="00090C9B" w:rsidRPr="00722885" w:rsidRDefault="00090C9B" w:rsidP="00722885">
      <w:pPr>
        <w:pStyle w:val="Iauiue"/>
        <w:jc w:val="both"/>
        <w:rPr>
          <w:color w:val="000000" w:themeColor="text1"/>
          <w:sz w:val="16"/>
          <w:szCs w:val="16"/>
        </w:rPr>
      </w:pPr>
    </w:p>
    <w:p w14:paraId="2ED89A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C 26 сентября по 5 ноября 1943 состоялась Мелитопольская операция. Продвинулись на 50-320 км и вышли к Днепру и Крымским перешейкам (2438,402).</w:t>
      </w:r>
    </w:p>
    <w:p w14:paraId="46A25634" w14:textId="77777777" w:rsidR="00090C9B" w:rsidRPr="00722885" w:rsidRDefault="00090C9B" w:rsidP="00722885">
      <w:pPr>
        <w:pStyle w:val="Iauiue"/>
        <w:jc w:val="both"/>
        <w:rPr>
          <w:color w:val="000000" w:themeColor="text1"/>
          <w:sz w:val="16"/>
          <w:szCs w:val="16"/>
        </w:rPr>
      </w:pPr>
    </w:p>
    <w:p w14:paraId="5CD1D14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8562FBC" w14:textId="77777777" w:rsidR="00090C9B" w:rsidRPr="00722885" w:rsidRDefault="00090C9B" w:rsidP="00722885">
      <w:pPr>
        <w:pStyle w:val="Iauiue"/>
        <w:jc w:val="both"/>
        <w:rPr>
          <w:iCs/>
          <w:color w:val="000000" w:themeColor="text1"/>
          <w:sz w:val="16"/>
          <w:szCs w:val="16"/>
        </w:rPr>
      </w:pPr>
    </w:p>
    <w:p w14:paraId="1D7240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И.В.С. на обеде с Уилки спросил "Почему посольство США не возвращается из Куйбышева в Москву?" и добавил "Вы боитесь возвратиться" (512,305).</w:t>
      </w:r>
    </w:p>
    <w:p w14:paraId="4314C202" w14:textId="77777777" w:rsidR="00090C9B" w:rsidRPr="00722885" w:rsidRDefault="00090C9B" w:rsidP="00722885">
      <w:pPr>
        <w:pStyle w:val="Iauiue"/>
        <w:jc w:val="both"/>
        <w:rPr>
          <w:color w:val="000000" w:themeColor="text1"/>
          <w:sz w:val="16"/>
          <w:szCs w:val="16"/>
        </w:rPr>
      </w:pPr>
    </w:p>
    <w:p w14:paraId="0E63A16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F334AED" w14:textId="77777777" w:rsidR="00090C9B" w:rsidRPr="00722885" w:rsidRDefault="00090C9B" w:rsidP="00722885">
      <w:pPr>
        <w:pStyle w:val="Iauiue"/>
        <w:jc w:val="both"/>
        <w:rPr>
          <w:iCs/>
          <w:color w:val="000000" w:themeColor="text1"/>
          <w:sz w:val="16"/>
          <w:szCs w:val="16"/>
        </w:rPr>
      </w:pPr>
    </w:p>
    <w:p w14:paraId="0DCE3886"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сентября в 1942 году Адольф Гитлер сместил генерал-полковника Гальдера с поста начальника штаба сухопутных войск и назначил вместо него генерала Цейцлера (14781).</w:t>
      </w:r>
    </w:p>
    <w:p w14:paraId="3B5B18AA"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30CDFD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сентября 1942 нацисты в Освенциме ввели учет и сбор личных вещей заключенных, направляющихся для казни (1798).</w:t>
      </w:r>
    </w:p>
    <w:p w14:paraId="6974F736" w14:textId="77777777" w:rsidR="00090C9B" w:rsidRPr="00722885" w:rsidRDefault="00090C9B" w:rsidP="00722885">
      <w:pPr>
        <w:pStyle w:val="Iauiue"/>
        <w:jc w:val="both"/>
        <w:rPr>
          <w:color w:val="000000" w:themeColor="text1"/>
          <w:sz w:val="16"/>
          <w:szCs w:val="16"/>
        </w:rPr>
      </w:pPr>
    </w:p>
    <w:p w14:paraId="473CC81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1D58675" w14:textId="77777777" w:rsidR="00090C9B" w:rsidRPr="00722885" w:rsidRDefault="00090C9B" w:rsidP="00722885">
      <w:pPr>
        <w:pStyle w:val="Iauiue"/>
        <w:jc w:val="both"/>
        <w:rPr>
          <w:iCs/>
          <w:color w:val="000000" w:themeColor="text1"/>
          <w:sz w:val="16"/>
          <w:szCs w:val="16"/>
        </w:rPr>
      </w:pPr>
    </w:p>
    <w:p w14:paraId="7793F7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сентября 1942 Зам. начальника ГУ инженерно-авиационной службы бригинженер Лапин утвердил инструкцию по ТО Ил-2, которая 25 сентября 1942 была утверждена зам. нач. управления технической эксплуатации ВВС КА г-м ис. Уже упоминался двухместный, но одноместный был все еще основным (10,1).</w:t>
      </w:r>
    </w:p>
    <w:p w14:paraId="02869CB6" w14:textId="77777777" w:rsidR="00090C9B" w:rsidRPr="00722885" w:rsidRDefault="00090C9B" w:rsidP="00722885">
      <w:pPr>
        <w:pStyle w:val="Iauiue"/>
        <w:jc w:val="both"/>
        <w:rPr>
          <w:color w:val="000000" w:themeColor="text1"/>
          <w:sz w:val="16"/>
          <w:szCs w:val="16"/>
        </w:rPr>
      </w:pPr>
    </w:p>
    <w:p w14:paraId="0136B3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сентября 1942 г. в ходе войсковых испытаний Ту-2 была эффективно использована возможность подвески крупнокалиберных бомб при налете на немецкий подземный склад горючего у деревни Тростено. Его несколько раз бомбили Пе-2, использовавшие бомбы ФАБ-100, но безрезультатно. Решили попробовать взорвать его бомбами ФАБ-1000 с Ту-2. Тройку бомбардировщиков сопровождали десять истребителей ЛаГГ-3. Командиру прикрытия пригрозили, что за каждый потерянный Ту-2 он ответит головой. Голова у нею была всею одна. Когда группу перехватили девять немецких истребителей Bf 109, часть немцев попыталась оттеснить ЛаГГ-3, а другая ринулась к бомбардировщикам. Но оторвать эскорт от Ту-2 не удалось. Совместными усилиями советских истребителей и стрелков на бомбардировщиках противника отогнали. Экипажи успешно сбросили бомбы на цель. Склад взлетел на воздух. Все три Ту-2 без помех вернулись в Мигалово.</w:t>
      </w:r>
    </w:p>
    <w:p w14:paraId="2A8C72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Громов не удержался и лично опробовал новый самолет, отозвавшись о нем очень хорошо. В своих мемуарах он потом написал: "Я сам летал на Ту-2 с большим удовольствием".</w:t>
      </w:r>
    </w:p>
    <w:p w14:paraId="6901FC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отчете о войсковых испытаниях новый бомбардировщик получил высокую оценку. В нем содержалась весьма примечательная фраза: "Считать необходимым ускорить внедрение самолета Ту-2 в ВВС КА". Среди достоинств самолета отметили большую бомбовую нагрузку в сочетании со значительной дальностью полета, мощные и менее уязвимые моторы воздушного охлаждения, сильное вооружение, удобное размещение экипажа, хорошие летные данные и сравнительную простоту пилотирования. Машина без особых проблем летела на одном работающем моторе. В одном полете в двигатель Ту-2 угодил малокалиберный зенитный снаряд (от "эрликона"), но самолет продолжил свой путь и благополучно приземлился на аэродроме.</w:t>
      </w:r>
    </w:p>
    <w:p w14:paraId="0C311B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отчете указали и недостатки, большая часть которых уже ранее была выявлена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градусов мороза. Неудовлетворительная работа бензиномеров вкупе с подтеканием обратных клапанов вынуждала заправлять баки доверху, а затем стравливать излишки. Управление секторами газа признали слишком тугим, что усложняло полет в строю. Еще раз обратили внимание на неудобный доступ ко многим агрегатам мотоустановки.</w:t>
      </w:r>
    </w:p>
    <w:p w14:paraId="52FF43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закончили 3 октября, 11 октября главный инженер ВВС Репин утвердил оформленный испытателями отчет. По воспоминаниям наркома авиапромышленности А.И. Шахурина, эта объемистая прошнурованная книга с грифом "Совершенно секретно" прибыла в Москву дней через двадцать после подписания приказа о снятии бомбардировщика с производства. Один из экземпляров затребовал Сталин. После прочтения он вызвал Шахурина и сказал: "Оказывается, хвалят машину". Нарком стал отвечать, что он был против прекращения выпуска Ту-2, но был прерван. "Вы неправильно поступили, - сказал Сталин. - Вы должны были жаловаться на меня в ЦК".</w:t>
      </w:r>
    </w:p>
    <w:p w14:paraId="25C740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По-видимому, Сталин понял ошибочность принятого решения, но не спешил его менять. Приказа о восстановлении производства Ту-2 сразу же не последовало (11988).</w:t>
      </w:r>
    </w:p>
    <w:p w14:paraId="680B6E3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DA698F0" w14:textId="77777777" w:rsidR="00776B5F" w:rsidRPr="00722885" w:rsidRDefault="00776B5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27 сентября 1942 г. возможность подвески крупнокали</w:t>
      </w:r>
      <w:r w:rsidRPr="00722885">
        <w:rPr>
          <w:rFonts w:ascii="Times New Roman" w:hAnsi="Times New Roman"/>
          <w:color w:val="0070C0"/>
          <w:sz w:val="16"/>
          <w:szCs w:val="16"/>
          <w:lang w:eastAsia="ru-RU" w:bidi="ru-RU"/>
        </w:rPr>
        <w:softHyphen/>
        <w:t>берных бомб на Ту-2 была эффективно исполь</w:t>
      </w:r>
      <w:r w:rsidRPr="00722885">
        <w:rPr>
          <w:rFonts w:ascii="Times New Roman" w:hAnsi="Times New Roman"/>
          <w:color w:val="0070C0"/>
          <w:sz w:val="16"/>
          <w:szCs w:val="16"/>
          <w:lang w:eastAsia="ru-RU" w:bidi="ru-RU"/>
        </w:rPr>
        <w:softHyphen/>
        <w:t>зована при налете на немецкий под</w:t>
      </w:r>
      <w:r w:rsidRPr="00722885">
        <w:rPr>
          <w:rFonts w:ascii="Times New Roman" w:hAnsi="Times New Roman"/>
          <w:color w:val="0070C0"/>
          <w:sz w:val="16"/>
          <w:szCs w:val="16"/>
          <w:lang w:eastAsia="ru-RU" w:bidi="ru-RU"/>
        </w:rPr>
        <w:softHyphen/>
        <w:t>земный склад горючего у деревни Тростено в ходе второго этапа войсковых испытаний. Его несколько раз бомбили Пе-2, использовавшие бомбы ФАБ-100, но безрезультатно. Ре</w:t>
      </w:r>
      <w:r w:rsidRPr="00722885">
        <w:rPr>
          <w:rFonts w:ascii="Times New Roman" w:hAnsi="Times New Roman"/>
          <w:color w:val="0070C0"/>
          <w:sz w:val="16"/>
          <w:szCs w:val="16"/>
          <w:lang w:eastAsia="ru-RU" w:bidi="ru-RU"/>
        </w:rPr>
        <w:softHyphen/>
        <w:t>шили попробовать взорвать его бомбами ФАБ-1000 с Ту-2. Тройку бомбардиров</w:t>
      </w:r>
      <w:r w:rsidRPr="00722885">
        <w:rPr>
          <w:rFonts w:ascii="Times New Roman" w:hAnsi="Times New Roman"/>
          <w:color w:val="0070C0"/>
          <w:sz w:val="16"/>
          <w:szCs w:val="16"/>
          <w:lang w:eastAsia="ru-RU" w:bidi="ru-RU"/>
        </w:rPr>
        <w:softHyphen/>
        <w:t>щиков сопровождали десять истребите</w:t>
      </w:r>
      <w:r w:rsidRPr="00722885">
        <w:rPr>
          <w:rFonts w:ascii="Times New Roman" w:hAnsi="Times New Roman"/>
          <w:color w:val="0070C0"/>
          <w:sz w:val="16"/>
          <w:szCs w:val="16"/>
          <w:lang w:eastAsia="ru-RU" w:bidi="ru-RU"/>
        </w:rPr>
        <w:softHyphen/>
        <w:t xml:space="preserve">лей ЛаГГ-5. Командиру прикрытия пригрозили, что за каждый потерянный Ту-2 он ответит головой. Голова у него была всего одна. Когда группу перехватили девять немецких истребителей </w:t>
      </w:r>
      <w:r w:rsidRPr="00722885">
        <w:rPr>
          <w:rFonts w:ascii="Times New Roman" w:hAnsi="Times New Roman"/>
          <w:color w:val="0070C0"/>
          <w:sz w:val="16"/>
          <w:szCs w:val="16"/>
          <w:lang w:val="en-US" w:bidi="en-US"/>
        </w:rPr>
        <w:t>Bf</w:t>
      </w:r>
      <w:r w:rsidRPr="00722885">
        <w:rPr>
          <w:rFonts w:ascii="Times New Roman" w:hAnsi="Times New Roman"/>
          <w:color w:val="0070C0"/>
          <w:sz w:val="16"/>
          <w:szCs w:val="16"/>
          <w:lang w:bidi="en-US"/>
        </w:rPr>
        <w:t xml:space="preserve"> </w:t>
      </w:r>
      <w:r w:rsidRPr="00722885">
        <w:rPr>
          <w:rFonts w:ascii="Times New Roman" w:hAnsi="Times New Roman"/>
          <w:color w:val="0070C0"/>
          <w:sz w:val="16"/>
          <w:szCs w:val="16"/>
          <w:lang w:eastAsia="ru-RU" w:bidi="ru-RU"/>
        </w:rPr>
        <w:t>109, часть нем</w:t>
      </w:r>
      <w:r w:rsidRPr="00722885">
        <w:rPr>
          <w:rFonts w:ascii="Times New Roman" w:hAnsi="Times New Roman"/>
          <w:color w:val="0070C0"/>
          <w:sz w:val="16"/>
          <w:szCs w:val="16"/>
          <w:lang w:eastAsia="ru-RU" w:bidi="ru-RU"/>
        </w:rPr>
        <w:softHyphen/>
        <w:t>цев попыталась оттеснить ЛаГГ-5, а другая ринулась к бомбардировщикам. Но ото</w:t>
      </w:r>
      <w:r w:rsidRPr="00722885">
        <w:rPr>
          <w:rFonts w:ascii="Times New Roman" w:hAnsi="Times New Roman"/>
          <w:color w:val="0070C0"/>
          <w:sz w:val="16"/>
          <w:szCs w:val="16"/>
          <w:lang w:eastAsia="ru-RU" w:bidi="ru-RU"/>
        </w:rPr>
        <w:softHyphen/>
        <w:t>рвать эскорт от Ту-2 не удалось. Совмест</w:t>
      </w:r>
      <w:r w:rsidRPr="00722885">
        <w:rPr>
          <w:rFonts w:ascii="Times New Roman" w:hAnsi="Times New Roman"/>
          <w:color w:val="0070C0"/>
          <w:sz w:val="16"/>
          <w:szCs w:val="16"/>
          <w:lang w:eastAsia="ru-RU" w:bidi="ru-RU"/>
        </w:rPr>
        <w:softHyphen/>
        <w:t>ными усилиями советских истребителей и стрелков на бомбардировщиках против</w:t>
      </w:r>
      <w:r w:rsidRPr="00722885">
        <w:rPr>
          <w:rFonts w:ascii="Times New Roman" w:hAnsi="Times New Roman"/>
          <w:color w:val="0070C0"/>
          <w:sz w:val="16"/>
          <w:szCs w:val="16"/>
          <w:lang w:eastAsia="ru-RU" w:bidi="ru-RU"/>
        </w:rPr>
        <w:softHyphen/>
        <w:t>ника отогнали. Экипажи успешно сбро</w:t>
      </w:r>
      <w:r w:rsidRPr="00722885">
        <w:rPr>
          <w:rFonts w:ascii="Times New Roman" w:hAnsi="Times New Roman"/>
          <w:color w:val="0070C0"/>
          <w:sz w:val="16"/>
          <w:szCs w:val="16"/>
          <w:lang w:eastAsia="ru-RU" w:bidi="ru-RU"/>
        </w:rPr>
        <w:softHyphen/>
        <w:t>сили бомбы на цель. Склад взлетел на воздух. Все три Ту-2 без помех вернулись в Мигалово.</w:t>
      </w:r>
    </w:p>
    <w:p w14:paraId="1B45F89F" w14:textId="77777777" w:rsidR="00776B5F" w:rsidRPr="00722885" w:rsidRDefault="00776B5F" w:rsidP="00722885">
      <w:pPr>
        <w:spacing w:after="0" w:line="240" w:lineRule="auto"/>
        <w:jc w:val="both"/>
        <w:rPr>
          <w:rFonts w:ascii="Times New Roman" w:hAnsi="Times New Roman"/>
          <w:color w:val="0070C0"/>
          <w:sz w:val="16"/>
          <w:szCs w:val="16"/>
          <w:lang w:eastAsia="ru-RU" w:bidi="ru-RU"/>
        </w:rPr>
      </w:pPr>
    </w:p>
    <w:p w14:paraId="19905933" w14:textId="77777777" w:rsidR="00A40B67" w:rsidRPr="00722885" w:rsidRDefault="00A40B67"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27 сентября 1942 г. начались летные испытания ЛаГГ-3 в Японии, которые проводили летчики Исследовательского центра авиации Импе</w:t>
      </w:r>
      <w:r w:rsidRPr="00722885">
        <w:rPr>
          <w:rFonts w:ascii="Times New Roman" w:hAnsi="Times New Roman" w:cs="Times New Roman"/>
          <w:color w:val="000000" w:themeColor="text1"/>
          <w:sz w:val="16"/>
          <w:szCs w:val="16"/>
        </w:rPr>
        <w:softHyphen/>
        <w:t>раторской армии, руководимые м-ром Ямамото. Сравнитель</w:t>
      </w:r>
      <w:r w:rsidRPr="00722885">
        <w:rPr>
          <w:rFonts w:ascii="Times New Roman" w:hAnsi="Times New Roman" w:cs="Times New Roman"/>
          <w:color w:val="000000" w:themeColor="text1"/>
          <w:sz w:val="16"/>
          <w:szCs w:val="16"/>
        </w:rPr>
        <w:softHyphen/>
        <w:t>ные бои с маневренными Ки-27 и Ки-43 «ЛаГГ» проиграл вчи</w:t>
      </w:r>
      <w:r w:rsidRPr="00722885">
        <w:rPr>
          <w:rFonts w:ascii="Times New Roman" w:hAnsi="Times New Roman" w:cs="Times New Roman"/>
          <w:color w:val="000000" w:themeColor="text1"/>
          <w:sz w:val="16"/>
          <w:szCs w:val="16"/>
        </w:rPr>
        <w:softHyphen/>
        <w:t>стую, но заслужил положительную оценку как устойчивая плат</w:t>
      </w:r>
      <w:r w:rsidRPr="00722885">
        <w:rPr>
          <w:rFonts w:ascii="Times New Roman" w:hAnsi="Times New Roman" w:cs="Times New Roman"/>
          <w:color w:val="000000" w:themeColor="text1"/>
          <w:sz w:val="16"/>
          <w:szCs w:val="16"/>
        </w:rPr>
        <w:softHyphen/>
        <w:t>форма при стрельбе из пушки. Дальнейшая судьба этой машины неведома (19106).</w:t>
      </w:r>
    </w:p>
    <w:p w14:paraId="51BAC0DC" w14:textId="77777777" w:rsidR="00A40B67" w:rsidRPr="00722885" w:rsidRDefault="00A40B67" w:rsidP="00722885">
      <w:pPr>
        <w:pStyle w:val="5f2"/>
        <w:shd w:val="clear" w:color="auto" w:fill="auto"/>
        <w:spacing w:before="0" w:after="0" w:line="240" w:lineRule="auto"/>
        <w:rPr>
          <w:rFonts w:ascii="Times New Roman" w:hAnsi="Times New Roman" w:cs="Times New Roman"/>
          <w:color w:val="000000" w:themeColor="text1"/>
          <w:sz w:val="16"/>
          <w:szCs w:val="16"/>
        </w:rPr>
      </w:pPr>
    </w:p>
    <w:p w14:paraId="04858EC5" w14:textId="77777777" w:rsidR="00F05BFB" w:rsidRPr="00722885" w:rsidRDefault="00F05BF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27 сентября 1942 г. решение Буденного было оформлено в виде Постановления Военного Совета Черноморской группы войск Закавказского фронта №00107. Этим документом Военному Совету ОГ ГМЧ Черноморской группы войск Закавказского фронта предписывалось: «…1. Организовать производство горных установок PC и изготовить их в октябре месяце в количестве 48 шт., т. е. на 12 батарей. 2. Сформировать в октябре месяце 12 горных батарей PC. Изготовление установок и формирование батарей возложить на Военный Совет ОГ ГМЧ Черноморской группы войск Закавказского фронта. 3. Для охраны побережья установить на 4-х железнодорожных дрезинах горные установки PC, сформировав из них батарею PC при Опергруппе ГМЧ. 4. Организовать постоянную железнодорожную летучку в составе: одной пассажирской дрезины, одного мотовоза и трех крытых вагонов, для организации бесперебойного питания боеприпасами частей группы ГМЧ…». По этому же постановлению: начальник Управления АБТВ в 19-м армейском ремонтно-восстановительном батальоне должен был организовать в октябре месяце изготовление 48 штук узлов №1 горной установки PC (пакет, пульт управления и электрооборудование);  начальник ВОСО и начальник железной дороги в мастерских депо города Сочи должны были организовать изготовление в октябре месяце 48 штук узлов №№2, 3 (ферма, лафет);  начальник связи должен был обеспечить ОГ ГМЧ </w:t>
      </w:r>
      <w:r w:rsidRPr="00722885">
        <w:rPr>
          <w:rFonts w:ascii="Times New Roman" w:hAnsi="Times New Roman"/>
          <w:color w:val="000000" w:themeColor="text1"/>
          <w:sz w:val="16"/>
          <w:szCs w:val="16"/>
        </w:rPr>
        <w:lastRenderedPageBreak/>
        <w:t>12-вольтовыми щелочными аккумуляторными батареями (48 шт.) и соответствующим количеством электропроводов;  сборку и пристрелку установок предписано было производить ОГ ГМЧ;  утверждался план выпуска горных установок: в первой декаде октября – 8 установок, во второй – 20, в третьей – 20;  начальником формирования горных батарей назначался подполковник М. П. Горохов, комиссаром формирования – батальонный комиссар Т. В. Попов. О решении Военного Совета фронта и предложениях по организации подразделений было доложено командованию ГМЧ. Сборку горных установок развернули на территории санатория «Ривьера» (г. Сочи), куда была передислоцирована мастерская ПРМ-6 (15796).</w:t>
      </w:r>
    </w:p>
    <w:p w14:paraId="12C2BCB0" w14:textId="77777777" w:rsidR="00F05BFB" w:rsidRPr="00722885" w:rsidRDefault="00F05BFB" w:rsidP="00722885">
      <w:pPr>
        <w:spacing w:after="0" w:line="240" w:lineRule="auto"/>
        <w:jc w:val="both"/>
        <w:rPr>
          <w:rFonts w:ascii="Times New Roman" w:hAnsi="Times New Roman"/>
          <w:color w:val="000000" w:themeColor="text1"/>
          <w:sz w:val="16"/>
          <w:szCs w:val="16"/>
        </w:rPr>
      </w:pPr>
    </w:p>
    <w:p w14:paraId="53CD6A5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A75E44D" w14:textId="77777777" w:rsidR="00090C9B" w:rsidRPr="00722885" w:rsidRDefault="00090C9B" w:rsidP="00722885">
      <w:pPr>
        <w:pStyle w:val="Iauiue"/>
        <w:jc w:val="both"/>
        <w:rPr>
          <w:iCs/>
          <w:color w:val="000000" w:themeColor="text1"/>
          <w:sz w:val="16"/>
          <w:szCs w:val="16"/>
        </w:rPr>
      </w:pPr>
    </w:p>
    <w:p w14:paraId="67C41D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сентября 1942 года с завода №371 на "Ржевский полигон" был доставлен второй опытный образец установки ЛАП-7, который отличался поворотным механизмом - был поставлен винт вместо рычажного привода. При внешнем осмотре и опробывании механизмов установки специалисты АНИОПа выявили следующее:</w:t>
      </w:r>
    </w:p>
    <w:p w14:paraId="699EA6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кронштейны для поддержки откидного борта вибрировали и не давали прочной опоры для работы расчета;</w:t>
      </w:r>
    </w:p>
    <w:p w14:paraId="065DAE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подъемный механизм при малых углах возвышения мог "сдавать", а при слабом зажатии его стопора мог сдавать и при больших углах возвышения (6403, 42).</w:t>
      </w:r>
    </w:p>
    <w:p w14:paraId="52ED4A7A" w14:textId="77777777" w:rsidR="00090C9B" w:rsidRPr="00722885" w:rsidRDefault="00090C9B" w:rsidP="00722885">
      <w:pPr>
        <w:pStyle w:val="Iauiue"/>
        <w:jc w:val="both"/>
        <w:rPr>
          <w:color w:val="000000" w:themeColor="text1"/>
          <w:sz w:val="16"/>
          <w:szCs w:val="16"/>
        </w:rPr>
      </w:pPr>
    </w:p>
    <w:p w14:paraId="744F102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сентября 1942 г. был изготовлен опытный образец Т-70 с двухместной башней и ис</w:t>
      </w:r>
      <w:r w:rsidRPr="00722885">
        <w:rPr>
          <w:rFonts w:ascii="Times New Roman" w:hAnsi="Times New Roman"/>
          <w:color w:val="000000" w:themeColor="text1"/>
          <w:sz w:val="16"/>
          <w:szCs w:val="16"/>
        </w:rPr>
        <w:softHyphen/>
        <w:t>пытан в период с 27 сентября по 2 октября того же года. На вооружении и в серийном производстве не состоял. Танк был создан на базе серийного танка Т-70 (первого выпуска) и от</w:t>
      </w:r>
      <w:r w:rsidRPr="00722885">
        <w:rPr>
          <w:rFonts w:ascii="Times New Roman" w:hAnsi="Times New Roman"/>
          <w:color w:val="000000" w:themeColor="text1"/>
          <w:sz w:val="16"/>
          <w:szCs w:val="16"/>
        </w:rPr>
        <w:softHyphen/>
        <w:t>личался от него размещением новой двухместной башни со спаренной ус</w:t>
      </w:r>
      <w:r w:rsidRPr="00722885">
        <w:rPr>
          <w:rFonts w:ascii="Times New Roman" w:hAnsi="Times New Roman"/>
          <w:color w:val="000000" w:themeColor="text1"/>
          <w:sz w:val="16"/>
          <w:szCs w:val="16"/>
        </w:rPr>
        <w:softHyphen/>
        <w:t>тановкой 45-мм танковой пушки и 7,62-мм пулемета ДТ. Спаренный пу</w:t>
      </w:r>
      <w:r w:rsidRPr="00722885">
        <w:rPr>
          <w:rFonts w:ascii="Times New Roman" w:hAnsi="Times New Roman"/>
          <w:color w:val="000000" w:themeColor="text1"/>
          <w:sz w:val="16"/>
          <w:szCs w:val="16"/>
        </w:rPr>
        <w:softHyphen/>
        <w:t>лемет ДТ устанавливался справа от пушки. Вертикальные углы наводки спаренной установки составляли от —6 до +25°. После проведения испы</w:t>
      </w:r>
      <w:r w:rsidRPr="00722885">
        <w:rPr>
          <w:rFonts w:ascii="Times New Roman" w:hAnsi="Times New Roman"/>
          <w:color w:val="000000" w:themeColor="text1"/>
          <w:sz w:val="16"/>
          <w:szCs w:val="16"/>
        </w:rPr>
        <w:softHyphen/>
        <w:t>таний был изготовлен второй опытный образец башни с возможностью стрельбы из 45-мм пушки при больших углах возвышения - до +65°. Для установки новой башни подбашенный и надмоторный листы корпуса бы</w:t>
      </w:r>
      <w:r w:rsidRPr="00722885">
        <w:rPr>
          <w:rFonts w:ascii="Times New Roman" w:hAnsi="Times New Roman"/>
          <w:color w:val="000000" w:themeColor="text1"/>
          <w:sz w:val="16"/>
          <w:szCs w:val="16"/>
        </w:rPr>
        <w:softHyphen/>
        <w:t>ли объединены в один. Поэтому демонтаж двигателей был возможен только после снятия башни. Опытный образец танка со вторым образцом двухместной башни получил заводское обозначение 0-80 (10703).</w:t>
      </w:r>
    </w:p>
    <w:p w14:paraId="182B55E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61D17D9" w14:textId="77777777" w:rsidR="00776B5F" w:rsidRPr="00722885" w:rsidRDefault="00776B5F" w:rsidP="00722885">
      <w:pPr>
        <w:spacing w:after="0" w:line="240" w:lineRule="auto"/>
        <w:jc w:val="both"/>
        <w:rPr>
          <w:rFonts w:ascii="Times New Roman" w:hAnsi="Times New Roman"/>
          <w:color w:val="0070C0"/>
          <w:sz w:val="16"/>
          <w:szCs w:val="16"/>
          <w:shd w:val="clear" w:color="auto" w:fill="FFFFFF"/>
        </w:rPr>
      </w:pPr>
      <w:r w:rsidRPr="00722885">
        <w:rPr>
          <w:rFonts w:ascii="Times New Roman" w:hAnsi="Times New Roman"/>
          <w:color w:val="0070C0"/>
          <w:sz w:val="16"/>
          <w:szCs w:val="16"/>
          <w:shd w:val="clear" w:color="auto" w:fill="FFFFFF"/>
        </w:rPr>
        <w:t>К 27 сентября 1942 года, то есть менее чем за 3 недели, Т-70 с двухместной башней был готов. С 27 числа начались испытания на полигоне 27-го отдельного учебного танкового батальона. Главной задачей испытаний, который продолжались до 2 октября, стало определение удобства работы в новой башне, а также скорострельности орудия. Для чистоты эксперимента роль испытателей взяли на себя экипажи маршевых рот 1-го запасного танкового полка, имевшие опыт эксплуатации серийных Т-70. Всего было собрано 4 экипажа, каждый из которых предварительно провел по 3 выстрела из орудия Т-70 и по 5 выстрелов из орудия Т-70 с двухместной башней. Вместо простой стрельбы по мишеням имитировалась атака со стрельбой с коротких остановок, дистанция до цели составляла 600 метров. Для чистоты эксперимента экипажи не знали точного маршрута следования, а после каждой атаки экипажи сменялись.</w:t>
      </w:r>
    </w:p>
    <w:p w14:paraId="2528A1FF" w14:textId="77777777" w:rsidR="00776B5F" w:rsidRPr="00722885" w:rsidRDefault="00776B5F" w:rsidP="00722885">
      <w:pPr>
        <w:spacing w:after="0" w:line="240" w:lineRule="auto"/>
        <w:jc w:val="both"/>
        <w:rPr>
          <w:rFonts w:ascii="Times New Roman" w:hAnsi="Times New Roman"/>
          <w:color w:val="0070C0"/>
          <w:sz w:val="16"/>
          <w:szCs w:val="16"/>
          <w:shd w:val="clear" w:color="auto" w:fill="FFFFFF"/>
        </w:rPr>
      </w:pPr>
      <w:r w:rsidRPr="00722885">
        <w:rPr>
          <w:rFonts w:ascii="Times New Roman" w:hAnsi="Times New Roman"/>
          <w:color w:val="0070C0"/>
          <w:sz w:val="16"/>
          <w:szCs w:val="16"/>
          <w:shd w:val="clear" w:color="auto" w:fill="FFFFFF"/>
        </w:rPr>
        <w:t>Результаты совместный испытаний показали, что для танка с двухместной башней скорострельность при стрельбе с места составила 8-9 выстрелов в минуту. Для сравнения, в тех же условиях скорострельность серийного Т-70 не превышала 4-5 выстрелов в минуту. Столь существенная разница была связана с методикой испытаний. Существенной оказалась разница и по точности стрельбы. Поражаемость увеличилась с 47,5 до 71 процента. Наводчик мог вести огонь, не отвлекаясь на наблюдение за полем боя, поскольку у заряжающего также имелся перископический прибор наблюдения. Следует отметить, что условия испытаний изначально оказались такими, чтобы избежать "показухи". Для чистоты эксперимента экипажи не знали точного маршрута следования, а после каждой атаки экипажи сменялись. Таким образом, идея двухместной башни однозначно показала свою состоятельность. Впрочем, не всё было гладко. Обзорность признали недостаточной, а идея с единым люком себя не оправдала. Становилось очевидно, что и на этом танке надо ставить раздельные люки. Выяснилось, что изменение конструкций укладок, прежде всего первой очереди, привело к существенным проблемам при определенных углах поворота башни. Левой укладкой в нише башни пользоваться было невозможно, поскольку дотянуться до нее заряжающий не мог. В результате после 10 выстрелов, когда пустела правая снарядная укладка в нише башни, на определенных углах поворота башни заряжающий оказывался почти без снарядов. В такой ситуации скорострельность падала до 5 выстрелов в минуту. Имелись проблемы и к доступу к основной укладке на разных углах поворота башни.</w:t>
      </w:r>
    </w:p>
    <w:p w14:paraId="22DB7606" w14:textId="77777777" w:rsidR="00776B5F" w:rsidRPr="00722885" w:rsidRDefault="00776B5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shd w:val="clear" w:color="auto" w:fill="FFFFFF"/>
        </w:rPr>
        <w:t>Испытания показали, что танк явно требует доработки по целому ряду узлов и деталей. Вместе с тем, становилось очевидно, что сама по себе его конструкция имеет большие перспективы. Посему общий вердикт оказался вполне положительным. Т-70 с двухместной башней рекомендовали, после доработок, для принятия на вооружение Красной Армии. Примерно в это же время танк получил новое обозначение - Т-80. Правда, в серию такая версия Т-80 не пошла  (21138).</w:t>
      </w:r>
    </w:p>
    <w:p w14:paraId="584B9B78" w14:textId="77777777" w:rsidR="00776B5F" w:rsidRPr="00722885" w:rsidRDefault="00776B5F" w:rsidP="00722885">
      <w:pPr>
        <w:spacing w:after="0" w:line="240" w:lineRule="auto"/>
        <w:jc w:val="both"/>
        <w:rPr>
          <w:rFonts w:ascii="Times New Roman" w:hAnsi="Times New Roman"/>
          <w:color w:val="0070C0"/>
          <w:sz w:val="16"/>
          <w:szCs w:val="16"/>
        </w:rPr>
      </w:pPr>
    </w:p>
    <w:p w14:paraId="518A44B8" w14:textId="77777777" w:rsidR="00CD5398" w:rsidRPr="00722885" w:rsidRDefault="00CD5398"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 27 сентября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ГАЗ был изготовлен опытный образец Т-70, разработанный в КБ Горьковского автозавода под руководством Н.А. Астрова с двухместной башней и испытан в период с 27 сентября по 2 октября того же года. На вооружении и в серийном производстве не состоял (15218).</w:t>
      </w:r>
    </w:p>
    <w:p w14:paraId="407B3896" w14:textId="77777777" w:rsidR="00CD5398" w:rsidRPr="00722885" w:rsidRDefault="00CD5398" w:rsidP="00722885">
      <w:pPr>
        <w:widowControl w:val="0"/>
        <w:spacing w:after="0" w:line="240" w:lineRule="auto"/>
        <w:jc w:val="both"/>
        <w:rPr>
          <w:rFonts w:ascii="Times New Roman" w:hAnsi="Times New Roman"/>
          <w:color w:val="000000" w:themeColor="text1"/>
          <w:sz w:val="16"/>
          <w:szCs w:val="16"/>
        </w:rPr>
      </w:pPr>
    </w:p>
    <w:p w14:paraId="5236A1F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27 сентября по 2 октября 1942 года прошел испытания образец Т-70 с двухместной башней. На вооружении и в серийном производстве не состоял. Танк был создан на базе серийного танка Т-70 (первого выпуска) и от</w:t>
      </w:r>
      <w:r w:rsidRPr="00722885">
        <w:rPr>
          <w:rFonts w:ascii="Times New Roman" w:hAnsi="Times New Roman"/>
          <w:color w:val="000000" w:themeColor="text1"/>
          <w:sz w:val="16"/>
          <w:szCs w:val="16"/>
        </w:rPr>
        <w:softHyphen/>
        <w:t>личался от него размещением новой двухместной башни со спаренной ус</w:t>
      </w:r>
      <w:r w:rsidRPr="00722885">
        <w:rPr>
          <w:rFonts w:ascii="Times New Roman" w:hAnsi="Times New Roman"/>
          <w:color w:val="000000" w:themeColor="text1"/>
          <w:sz w:val="16"/>
          <w:szCs w:val="16"/>
        </w:rPr>
        <w:softHyphen/>
        <w:t>тановкой 45-мм танковой пушки и 7,62-мм пулемета ДТ. Спаренный пу</w:t>
      </w:r>
      <w:r w:rsidRPr="00722885">
        <w:rPr>
          <w:rFonts w:ascii="Times New Roman" w:hAnsi="Times New Roman"/>
          <w:color w:val="000000" w:themeColor="text1"/>
          <w:sz w:val="16"/>
          <w:szCs w:val="16"/>
        </w:rPr>
        <w:softHyphen/>
        <w:t>лемет ДТ устанавливался справа от пушки. Вертикальные углы наводки спаренной установки составляли от —6 до +25°. После проведения испы</w:t>
      </w:r>
      <w:r w:rsidRPr="00722885">
        <w:rPr>
          <w:rFonts w:ascii="Times New Roman" w:hAnsi="Times New Roman"/>
          <w:color w:val="000000" w:themeColor="text1"/>
          <w:sz w:val="16"/>
          <w:szCs w:val="16"/>
        </w:rPr>
        <w:softHyphen/>
        <w:t>таний был изготовлен второй опытный образец башни с возможностью стрельбы из 45-мм пушки при больших углах возвышения - до +65°. Для установки новой башни подбашенный и надмоторный листы корпуса бы</w:t>
      </w:r>
      <w:r w:rsidRPr="00722885">
        <w:rPr>
          <w:rFonts w:ascii="Times New Roman" w:hAnsi="Times New Roman"/>
          <w:color w:val="000000" w:themeColor="text1"/>
          <w:sz w:val="16"/>
          <w:szCs w:val="16"/>
        </w:rPr>
        <w:softHyphen/>
        <w:t>ли объединены в один. Поэтому демонтаж двигателей был возможен только после снятия башни. Опытный образец танка со вторым образцом двухместной башни получил заводское обозначение 0-80 (10703).</w:t>
      </w:r>
    </w:p>
    <w:p w14:paraId="14F15C6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A7287B4" w14:textId="77777777" w:rsidR="00575617" w:rsidRPr="00722885" w:rsidRDefault="00575617" w:rsidP="00722885">
      <w:pPr>
        <w:pStyle w:val="ae"/>
        <w:shd w:val="clear" w:color="auto" w:fill="FFFFFF"/>
        <w:spacing w:before="0" w:after="0"/>
        <w:jc w:val="both"/>
        <w:rPr>
          <w:color w:val="000000" w:themeColor="text1"/>
          <w:sz w:val="16"/>
          <w:szCs w:val="16"/>
        </w:rPr>
      </w:pPr>
      <w:r w:rsidRPr="00722885">
        <w:rPr>
          <w:color w:val="000000" w:themeColor="text1"/>
          <w:sz w:val="16"/>
          <w:szCs w:val="16"/>
        </w:rPr>
        <w:t>27 сентября 1942 начались заводские испытания Т-70, переделанного под двухместную башню, которые продолжались до 2 октября. Их целью было определение скорострельности орудия, а также удобства работы в двухместной башне. Для чистоты эксперимента огневые испытания проводились четырьмя экипажами. Каждый экипаж отстрелялся сначала в двухместной, а затем в одноместной башне. Выяснилось, что скорострельность в двухместной башне составляла 8-9 выстрелов в минуту (для сравнения: в одноместной башне не удавалось добиться более 4-5 выстрелов в минуту). Поражаемость увеличилась с 47,5 до 71 процента. Наводчик мог вести огонь, не отвлекаясь на наблюдение за полем боя, поскольку у заряжающего тоже имелся перископический прибор.</w:t>
      </w:r>
    </w:p>
    <w:p w14:paraId="66CCC547" w14:textId="77777777" w:rsidR="00575617" w:rsidRPr="00722885" w:rsidRDefault="00575617" w:rsidP="00722885">
      <w:pPr>
        <w:pStyle w:val="ae"/>
        <w:shd w:val="clear" w:color="auto" w:fill="FFFFFF"/>
        <w:spacing w:before="0" w:after="0"/>
        <w:jc w:val="both"/>
        <w:rPr>
          <w:color w:val="000000" w:themeColor="text1"/>
          <w:sz w:val="16"/>
          <w:szCs w:val="16"/>
        </w:rPr>
      </w:pPr>
      <w:r w:rsidRPr="00722885">
        <w:rPr>
          <w:color w:val="000000" w:themeColor="text1"/>
          <w:sz w:val="16"/>
          <w:szCs w:val="16"/>
        </w:rPr>
        <w:t>Не обошлось и без недостатков. Крепление сидений в башне и размещение боекомплекта не позволяли одинаково удобно доставать снаряды при различных углах горизонтального поворота. В определённых положениях башни скорострельность падала до 5 выстрелов в минуту. Левая укладка на 10 патронов могла использоваться только для перевозки боеприпасов, поскольку для заряжающего она оказалась недоступной. При движении танка патроны из укладок неоднократно выпадали. Повторилась история с башенным люком Т-34: большой люк оказался чересчур тяжёлым. Кроме того, во время движения заряжающий ударялся головой о рукоятку сигнального лючка и походного упора основного люка. Педаль спускового механизма была расположена неудобно.</w:t>
      </w:r>
    </w:p>
    <w:p w14:paraId="58B91A2B" w14:textId="77777777" w:rsidR="00575617" w:rsidRPr="00722885" w:rsidRDefault="00575617"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Всего различных дефектов и недочётов набралось более полутора десятка. Башне требовалась существенная доработка. Тем не менее сама идея двухместной башни оказалась верной. Танк, который в отчёте получил название Т-80, был рекомендован для принятия на вооружение Красной армией после устранения недостатков (17712).</w:t>
      </w:r>
    </w:p>
    <w:p w14:paraId="502DDA9B" w14:textId="77777777" w:rsidR="00575617" w:rsidRPr="00722885" w:rsidRDefault="00575617" w:rsidP="00722885">
      <w:pPr>
        <w:spacing w:after="0" w:line="240" w:lineRule="auto"/>
        <w:jc w:val="both"/>
        <w:rPr>
          <w:rFonts w:ascii="Times New Roman" w:eastAsia="Times New Roman" w:hAnsi="Times New Roman"/>
          <w:color w:val="000000" w:themeColor="text1"/>
          <w:sz w:val="16"/>
          <w:szCs w:val="16"/>
          <w:lang w:eastAsia="ru-RU"/>
        </w:rPr>
      </w:pPr>
    </w:p>
    <w:p w14:paraId="0A28573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8A753FD" w14:textId="77777777" w:rsidR="00090C9B" w:rsidRPr="00722885" w:rsidRDefault="00090C9B" w:rsidP="00722885">
      <w:pPr>
        <w:pStyle w:val="Iauiue"/>
        <w:jc w:val="both"/>
        <w:rPr>
          <w:iCs/>
          <w:color w:val="000000" w:themeColor="text1"/>
          <w:sz w:val="16"/>
          <w:szCs w:val="16"/>
        </w:rPr>
      </w:pPr>
    </w:p>
    <w:p w14:paraId="564DFDC8"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сентября в 1942 году утреннее сообщение Совинформбюро:</w:t>
      </w:r>
    </w:p>
    <w:p w14:paraId="090DB894"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27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6E6EADDA"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 одном участке ценой больших потерь подразделениям противника удалось проникнуть в расположение наших войск. Наши части ведут упорные бои по уничтожению этих подразделений противника. На другом участке гвардейцы-миномётчики истребили более 600 немецкихсолдат и офицеров и уничтожили 20 автомашин. Артиллеристы под командованием тов. Матвеева подбили 3 немецких танка, 2 бронемашины, подавили огонь 8 миномётных батарей, рассеяли и частью уничтожили до 4 рот пехоты противника.</w:t>
      </w:r>
    </w:p>
    <w:p w14:paraId="271064DB"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активные боевые действия. На участок, обороняемый бойцами под командованием тов. Джанджигаева, немцы бросили в контрнаступление группу танков. Советские бойцы огнём из противотанковых ружей подбили и сожгли 9 немецких танков. На другом участке бойцы Н-ской части в течение дня отбили пять контратак противника и уничтожили до 500 немецких солдат и офицеров.</w:t>
      </w:r>
    </w:p>
    <w:p w14:paraId="3AF9E553"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противник силою до двух полков пехоты и 60 танков перешёл в наступление. Наши части контратаковали немцев, остановили их и нанесли им большой урон. В этом бою уничтожено 9 немецких танков и до двух рот пехоты противника.</w:t>
      </w:r>
    </w:p>
    <w:p w14:paraId="1FDF6ABC"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происходили упорные бои за одну высоту. Наши части морской пехоты уничтожили до 300 гитлеровцев, захватила 9 пулемётов и большое количество винтовок и патронов. Огнём артиллерии рассеяна рота немецких автоматчиков, пытавшихся вклиниться в нашу оборону.</w:t>
      </w:r>
    </w:p>
    <w:p w14:paraId="590E7002"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происходили бои местного значения. Подразделение тов. Абилова разгромило укреплённый узел противника и захватило 5 пулемётов, миномёт и тысячу мин. На поле боя осталось 80 вражеских трупов. На другом участке часть, которой командует тов. Корчиц, уничтожила 13 немецких пулемётов,2 миномёта, разрушила 12 ДЗОТов и истребила роту гитлеровцев. Зенитчики подразделения тов. Смирнова сбили 4 немецких самолёта.</w:t>
      </w:r>
    </w:p>
    <w:p w14:paraId="19EBE208"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Карело-финский партизанский отряд совершил нападение на железнодорожный эшелон противника. Сожжено 2 цистерны с бензином, 16 товарных вагонов с грузамии 3 классных вагона. Убито 60 вражеских солдат и офицеров.</w:t>
      </w:r>
    </w:p>
    <w:p w14:paraId="094B1690"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солдат 377 артполка 377 немецкой пехотной дивизии Август Б. рассказал: «Я работал механиком на военном заводе в городе Эрфурте. Весной этого года меня мобилизовали в армию. В части я был послан на наблюдательный пункт дивизиона. Там находились лейтенант Мюллер и фельдфебель Гейнц Биске. Когда русские на нашем участке начали наступление, я и фельдфебель бросили своё оружие и сдались в плен. Лейтенант Мюллер оказал сопротивление и был убит. Многие солдаты нашего полка жалуются на усталость. Они говорят, чтоуже по горло сыты войной. О размерах потерь немецких войск они судят не по сводкам германского командования, а по потерям своей части».</w:t>
      </w:r>
    </w:p>
    <w:p w14:paraId="20AD5AFF"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наших разведчиков северо-западнее Сталинграда обнаружила в тылу противника изуродованный труп младшего лейтенанта Логинова Сергея Петровича.Захватив в плен раненого советского командира, гитлеровские палачи зверски пытали его. Они изрезали тело Логинова ножами, переломали ему пальцы, раздробили челюсти и выкололи глаза.</w:t>
      </w:r>
    </w:p>
    <w:p w14:paraId="3588A375"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продолжают вести успешные бои с итало-немецкими оккупантами. В Хорватии партизаны разгромили один итальянский гарнизон и истребили более 200 солдат и офицеров. Партизаны захватили 160 винтовок, 8 ручных пулемётов и 25.000 патронов. В одном селении партизаны захватили у оккупантов большой склад пшеницы и роздали населению несколько тысяч пудов зерна.» (14782).</w:t>
      </w:r>
    </w:p>
    <w:p w14:paraId="55F38988" w14:textId="77777777" w:rsidR="00CD5398" w:rsidRPr="00722885" w:rsidRDefault="00CD5398" w:rsidP="00722885">
      <w:pPr>
        <w:spacing w:after="0" w:line="240" w:lineRule="auto"/>
        <w:jc w:val="both"/>
        <w:rPr>
          <w:rFonts w:ascii="Times New Roman" w:hAnsi="Times New Roman"/>
          <w:color w:val="000000" w:themeColor="text1"/>
          <w:sz w:val="16"/>
          <w:szCs w:val="16"/>
        </w:rPr>
      </w:pPr>
    </w:p>
    <w:p w14:paraId="7AF011ED"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сентября в 1942 году вечернее сообщение Совинформбюро:</w:t>
      </w:r>
    </w:p>
    <w:p w14:paraId="66ECA409"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27 сентября наши войска вели ожесточённые бои с противником в районе Сталинграда, в районе Моздока и в районе Синявино. На других фронтах существенных изменений не произошло.</w:t>
      </w:r>
    </w:p>
    <w:p w14:paraId="1F5DDFB0"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20 по 26 сентября включительно, в воздушных боях, на аэродромах и огнём зенитной артиллерии уничтожено 206 немецких самолётов. Наши потери за это же время — 156 самолётов.</w:t>
      </w:r>
    </w:p>
    <w:p w14:paraId="6F5B246C"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Чёрном море потоплен транспорт противника водоизмещением в 2.000 тонн.</w:t>
      </w:r>
    </w:p>
    <w:p w14:paraId="16913A00"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26 сентября частями нашей авиации на различных участках фронта подавлен огонь 8 батарей полевой артиллерии, взорвано 2 склада боеприпасов, рассеяно и частью уничтожено до роты пехоты противника.</w:t>
      </w:r>
    </w:p>
    <w:p w14:paraId="5C6AC1BA"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упорные бои, отбивая яростные атаки противника. Особенно напряжённое сражение завязалось на участке, где немцам удалось несколько продвинуться вперёд. Борьба на этом участке идёт за каждый дом. Наши бойцы атаковали гитлеровцев и истребили 200 немецких автоматчиков, уничтожили 10 пулемётов и 2 миномёта. Захвачены пленные и трофеи. На другом участке наши подразделения очистили от врага ряд зданий и истребили до 600 немецких солдат и офицеров.</w:t>
      </w:r>
    </w:p>
    <w:p w14:paraId="0696F176"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советские войска вели активные бои и на отдельных участках отбивали атаки противника. Бойцами Н-ского соединения Красной Армии уничтожено до 2.500 немецких солдат и офицеров, 18 танков, бронемашина, 30 орудий разных калибров, 4 батареи шестиствольных миномётов, 9 миномётов, 19 пулемётов и 3 самолёта противника. Захвачены трофеи: 2 орудия, 23 станковых и ручных пулемёта, 2 миномёта, 60.000 винтовочных патронов, 500 мин, автоматы ивинтовки и другое вооружение. На другом участке пехота противника при поддержке 40 танков в течение дня восемь раз атаковала наши позиции. Все атаки гитлеровцев отбиты. Подбито и сожжено 10 немецких танков.</w:t>
      </w:r>
    </w:p>
    <w:p w14:paraId="67B9FD21"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продолжались бои с крупными силами танков и пехоты противника. Группа бойцов во главе с командиром т. Честяковым в бою за железнодорожную станцию уничтожила 5 бронемашин и танкетку противника. На другом участке наши части под давлением численно превосходящих сил противника оставили населённый пункт.</w:t>
      </w:r>
    </w:p>
    <w:p w14:paraId="6530BCD8"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бойцы Н-ского соединения заняли несколько высот и населённых пунктов. За день уничтожено до 1.200 вражеских солдат и офицеров, подбито 6 танков, захвачено 5 пулемётов и 4 миномёта. Советские лётчики совершили два налёта на аэродром противника и уничтожили 11 немецких самолётов.</w:t>
      </w:r>
    </w:p>
    <w:p w14:paraId="19C98CDA"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Синявина продолжаются бои на уничтожение вклинившегося в нашу оборону противника. В ходе этих боёв уничтожены 21 немецкий танк и бронемашина.</w:t>
      </w:r>
    </w:p>
    <w:p w14:paraId="642D4DA0"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Севернее Воронежа наши части полностью очистили от немцев одну рощу, за которую в течение нескольких дней происходили упорные бои. В этой роще гитлеровцы оставили 1.673 трупа, 3 орудия, 6 миномётов, 18 автомашин, несколько сот автоматов и винтовок, много мин и винтовочных патронов.</w:t>
      </w:r>
    </w:p>
    <w:p w14:paraId="3907E970"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лейтенант 14 роты противотанковых орудий 378 полка 169 немецкой пехотной дивизии Юрген Шрамм рассказал: «Наш полк находится на Восточном фронте с самого начала войны. По официальным данным, полк за год потерял 840 человек убитыми и 2.100 ранеными. На самом деле потери во много раз больше. Из солдат и офицеров полка, в июле прошлого года пришедших в Россию, осталось всего несколько человек. Все остальные убиты, ранены или пропали без вести. Полк пополнялся уже много раз. Прибывающее пополнение очень ненадёжно. Недавно у нас исчез солдат Шведлер. В приказе было объявлено, что Шведлер прибыл в часть в составе пополнения и пытался перебежать к русским, но был убит в перестрелке с немецкими часовыми. Однако на другой день русская звуковещательная станция передавала выступление Шведлера. Он призывал солдат последовать его примеру. После этого чиновники из гестапо учинили строжайшую проверку всех солдат-новичков и многих из них направили в тыл».</w:t>
      </w:r>
    </w:p>
    <w:p w14:paraId="7F934041"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учинили зверскую расправу над жителями деревни Знаменское, Орловской области. Недалеко от этой деревни неизвестно кто в нескольких местах оборвал провода телефонной линии. Гитлеровские бандиты схватили десять первых попавшихся крестьян и расстреляли их. В числе расстрелянных — 75-летний колхозник Морозов Андрей Михайлович, 68-летний Сысоев Петр Николаевич и другие.» (14782).</w:t>
      </w:r>
    </w:p>
    <w:p w14:paraId="4F150442" w14:textId="77777777" w:rsidR="00CD5398" w:rsidRPr="00722885" w:rsidRDefault="00CD5398" w:rsidP="00722885">
      <w:pPr>
        <w:spacing w:after="0" w:line="240" w:lineRule="auto"/>
        <w:jc w:val="both"/>
        <w:rPr>
          <w:rFonts w:ascii="Times New Roman" w:hAnsi="Times New Roman"/>
          <w:color w:val="000000" w:themeColor="text1"/>
          <w:sz w:val="16"/>
          <w:szCs w:val="16"/>
        </w:rPr>
      </w:pPr>
    </w:p>
    <w:p w14:paraId="7451418C"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сентября в 1942 году в Сталинграде противник закрепился на западном склоне Мамаева кургана (14782).</w:t>
      </w:r>
    </w:p>
    <w:p w14:paraId="6C4C9570" w14:textId="77777777" w:rsidR="00CD5398" w:rsidRPr="00722885" w:rsidRDefault="00CD5398" w:rsidP="00722885">
      <w:pPr>
        <w:spacing w:after="0" w:line="240" w:lineRule="auto"/>
        <w:jc w:val="both"/>
        <w:rPr>
          <w:rFonts w:ascii="Times New Roman" w:hAnsi="Times New Roman"/>
          <w:color w:val="000000" w:themeColor="text1"/>
          <w:sz w:val="16"/>
          <w:szCs w:val="16"/>
        </w:rPr>
      </w:pPr>
    </w:p>
    <w:p w14:paraId="510DD403"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сентября в 1942 году в ночь разведгруппа (3 бойца во главе с сержантом Я.Ф.Павловым) 42-го стрелкового полка 13-й гвардейской стрелковой дивизии захватила единственный уцелевший от бомбежки в этом районе дом и удерживала его почти трое суток. В последующем гарнизон "Дома Павлова" (24 бойца различных национальностей, командир - лейтенант И.Ф.Афанасьев) в течение 58 дней отбивал атаки противника, а 24 ноября 1942 в составе полка перешел в наступление. Оборона "Дома Павлова" войдет яркой страницей в мсторию Великой Отечественной войны. За проявленное мужество Павлову будет присвоено звание Героя Советского Союза (14782).</w:t>
      </w:r>
    </w:p>
    <w:p w14:paraId="1A8B4757" w14:textId="77777777" w:rsidR="00CD5398" w:rsidRPr="00722885" w:rsidRDefault="00CD5398" w:rsidP="00722885">
      <w:pPr>
        <w:spacing w:after="0" w:line="240" w:lineRule="auto"/>
        <w:jc w:val="both"/>
        <w:rPr>
          <w:rFonts w:ascii="Times New Roman" w:hAnsi="Times New Roman"/>
          <w:color w:val="000000" w:themeColor="text1"/>
          <w:sz w:val="16"/>
          <w:szCs w:val="16"/>
        </w:rPr>
      </w:pPr>
    </w:p>
    <w:p w14:paraId="6C3C9CAF"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сентября в 1942 году в Сталинграде советские войска начали бои за удержание заводских поселков Красный Октябрь и Баррикады, а затем непосредственно за заводы (14782).</w:t>
      </w:r>
    </w:p>
    <w:p w14:paraId="6C53DBBC" w14:textId="77777777" w:rsidR="00CD5398" w:rsidRPr="00722885" w:rsidRDefault="00CD5398" w:rsidP="00722885">
      <w:pPr>
        <w:spacing w:after="0" w:line="240" w:lineRule="auto"/>
        <w:jc w:val="both"/>
        <w:rPr>
          <w:rFonts w:ascii="Times New Roman" w:hAnsi="Times New Roman"/>
          <w:color w:val="000000" w:themeColor="text1"/>
          <w:sz w:val="16"/>
          <w:szCs w:val="16"/>
        </w:rPr>
      </w:pPr>
    </w:p>
    <w:p w14:paraId="6821A65E"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September 27, 1942: At Stalingrad, units of 6.Armee succeed in capturing most of the strategic Mamayev Kurgan hill, and penetrating the heavily defended Red October and Barricades housing estates (3819).</w:t>
      </w:r>
    </w:p>
    <w:p w14:paraId="6DF853B7" w14:textId="77777777" w:rsidR="00090C9B" w:rsidRPr="00722885" w:rsidRDefault="00090C9B" w:rsidP="00722885">
      <w:pPr>
        <w:pStyle w:val="Iauiue"/>
        <w:jc w:val="both"/>
        <w:rPr>
          <w:color w:val="000000" w:themeColor="text1"/>
          <w:sz w:val="16"/>
          <w:szCs w:val="16"/>
          <w:lang w:val="en-US"/>
        </w:rPr>
      </w:pPr>
    </w:p>
    <w:p w14:paraId="6AB07F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сентября 1942 части 6А захватили почти весь Мамаев Курган и продвинулась в районах Красный октябрь и баррикады (3819).</w:t>
      </w:r>
    </w:p>
    <w:p w14:paraId="1007F5D0" w14:textId="77777777" w:rsidR="00090C9B" w:rsidRPr="00722885" w:rsidRDefault="00090C9B" w:rsidP="00722885">
      <w:pPr>
        <w:pStyle w:val="Iauiue"/>
        <w:jc w:val="both"/>
        <w:rPr>
          <w:color w:val="000000" w:themeColor="text1"/>
          <w:sz w:val="16"/>
          <w:szCs w:val="16"/>
        </w:rPr>
      </w:pPr>
    </w:p>
    <w:p w14:paraId="1C6DF4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сентября 1942 три Ту-2 под прикрытием 10 ЛаГГ-3 использовали для уничтожения подземного склада оружия 1000 кг бомбами. В полете были атакованы 9 Ме-109 из двух групп, из которых одна сковывала ЛаГГи, а другая - атаковывала Ту-2. Отбились и два Ту-2 разбомбили склад, но все вернулись на аэродром Мигалово (1835,21).</w:t>
      </w:r>
    </w:p>
    <w:p w14:paraId="4143AE42" w14:textId="77777777" w:rsidR="00090C9B" w:rsidRPr="00722885" w:rsidRDefault="00090C9B" w:rsidP="00722885">
      <w:pPr>
        <w:pStyle w:val="Iauiue"/>
        <w:jc w:val="both"/>
        <w:rPr>
          <w:color w:val="000000" w:themeColor="text1"/>
          <w:sz w:val="16"/>
          <w:szCs w:val="16"/>
        </w:rPr>
      </w:pPr>
    </w:p>
    <w:p w14:paraId="5C80EF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сентября 1942 ночью активными непрерывными действиями АДД и нб 8ВА была сорвана готовившаяся атака крупных сил противника в районе западнее и южнее сталинградских заводов (518,229).</w:t>
      </w:r>
    </w:p>
    <w:p w14:paraId="596152BE" w14:textId="77777777" w:rsidR="00090C9B" w:rsidRPr="00722885" w:rsidRDefault="00090C9B" w:rsidP="00722885">
      <w:pPr>
        <w:pStyle w:val="Iauiue"/>
        <w:jc w:val="both"/>
        <w:rPr>
          <w:color w:val="000000" w:themeColor="text1"/>
          <w:sz w:val="16"/>
          <w:szCs w:val="16"/>
        </w:rPr>
      </w:pPr>
    </w:p>
    <w:p w14:paraId="05B039D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27 сентября 1942 вышло Постановление ГКО № 2348 [О передаче 222-й авиадивизии в АДД.] (7056, 35 ).</w:t>
      </w:r>
    </w:p>
    <w:p w14:paraId="54A889E8" w14:textId="77777777" w:rsidR="00090C9B" w:rsidRPr="00722885" w:rsidRDefault="00090C9B" w:rsidP="00722885">
      <w:pPr>
        <w:pStyle w:val="Iauiue"/>
        <w:tabs>
          <w:tab w:val="left" w:pos="11199"/>
        </w:tabs>
        <w:jc w:val="both"/>
        <w:rPr>
          <w:color w:val="000000" w:themeColor="text1"/>
          <w:sz w:val="16"/>
          <w:szCs w:val="16"/>
        </w:rPr>
      </w:pPr>
    </w:p>
    <w:p w14:paraId="60BF73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сентября 1942 вышло Постановление ГКО № 2349 О передаче из АДД в ВВС КА 4 самолетов "Дуглас" до 1 октября. РГАНИР, Фонд ГКО, д. 58, лл. 36 (11012).</w:t>
      </w:r>
    </w:p>
    <w:p w14:paraId="2BAEB26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8A90CB2" w14:textId="77777777" w:rsidR="00776B5F" w:rsidRPr="00722885" w:rsidRDefault="00776B5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27 сентября 1942 - Постановление № ГОКО-2348сс. О самолётах Б-25. "Обязать ВВС КА т. Новикова передать 222-ую дальнебомбардировочную дивизию, вооруженную самолётами Б-25, в количестве 58 самолётов с лётным и техническим составом в авиацию дальнего действия т. Голованову".</w:t>
      </w:r>
      <w:r w:rsidRPr="00722885">
        <w:rPr>
          <w:rFonts w:ascii="Times New Roman" w:hAnsi="Times New Roman"/>
          <w:color w:val="0070C0"/>
          <w:sz w:val="16"/>
          <w:szCs w:val="16"/>
        </w:rPr>
        <w:br/>
        <w:t>До этого во фронтовой авиации "Митчеллы" поработали недолго. На малых высотах довольно громоздкий В-25 вёл себя инертно и представлял неплохую мишень для немецких зенитчиков. Потери начали расти. В итоге пришли к выводу, что использование В-25 по тактическим целям неэффективно (22351).</w:t>
      </w:r>
    </w:p>
    <w:p w14:paraId="6858DB75" w14:textId="77777777" w:rsidR="00776B5F" w:rsidRPr="00722885" w:rsidRDefault="00776B5F" w:rsidP="00722885">
      <w:pPr>
        <w:spacing w:after="0" w:line="240" w:lineRule="auto"/>
        <w:jc w:val="both"/>
        <w:rPr>
          <w:rFonts w:ascii="Times New Roman" w:hAnsi="Times New Roman"/>
          <w:color w:val="0070C0"/>
          <w:sz w:val="16"/>
          <w:szCs w:val="16"/>
        </w:rPr>
      </w:pPr>
    </w:p>
    <w:p w14:paraId="67FE5DE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24661E66" w14:textId="77777777" w:rsidR="00090C9B" w:rsidRPr="00722885" w:rsidRDefault="00090C9B" w:rsidP="00722885">
      <w:pPr>
        <w:pStyle w:val="Iauiue"/>
        <w:jc w:val="both"/>
        <w:rPr>
          <w:iCs/>
          <w:color w:val="000000" w:themeColor="text1"/>
          <w:sz w:val="16"/>
          <w:szCs w:val="16"/>
        </w:rPr>
      </w:pPr>
    </w:p>
    <w:p w14:paraId="7CA8E59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27 сентября 1942 Япония подтвердила, что не намерена воевать против СССР (4962).</w:t>
      </w:r>
    </w:p>
    <w:p w14:paraId="767D27C6" w14:textId="77777777" w:rsidR="00090C9B" w:rsidRPr="00722885" w:rsidRDefault="00090C9B" w:rsidP="00722885">
      <w:pPr>
        <w:pStyle w:val="Iauiue"/>
        <w:tabs>
          <w:tab w:val="left" w:pos="11199"/>
        </w:tabs>
        <w:jc w:val="both"/>
        <w:rPr>
          <w:color w:val="000000" w:themeColor="text1"/>
          <w:sz w:val="16"/>
          <w:szCs w:val="16"/>
        </w:rPr>
      </w:pPr>
    </w:p>
    <w:p w14:paraId="3A6BC73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3C7A084" w14:textId="77777777" w:rsidR="00090C9B" w:rsidRPr="00722885" w:rsidRDefault="00090C9B" w:rsidP="00722885">
      <w:pPr>
        <w:pStyle w:val="Iauiue"/>
        <w:jc w:val="both"/>
        <w:rPr>
          <w:iCs/>
          <w:color w:val="000000" w:themeColor="text1"/>
          <w:sz w:val="16"/>
          <w:szCs w:val="16"/>
        </w:rPr>
      </w:pPr>
    </w:p>
    <w:p w14:paraId="2C65BF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сентября 1942 японцы начали испытания ЛаГГ-3 с ВЯ-23 8-й серии, захваченного весной 1942 на территории Манчжоу-Го в районе Чиамуса. Руководил испытаниями майор Ямамото из Испытательного центра армейской авиации. Испытывали на базе Мутанчанг в Манчжурии. Вообще почти все ЛаГГ-3, выпущенные до войны, были отправлены на Дальний восток и в первые дни войны не использовались (1285,20).</w:t>
      </w:r>
    </w:p>
    <w:p w14:paraId="5674FE2B" w14:textId="77777777" w:rsidR="00090C9B" w:rsidRPr="00722885" w:rsidRDefault="00090C9B" w:rsidP="00722885">
      <w:pPr>
        <w:pStyle w:val="Iauiue"/>
        <w:jc w:val="both"/>
        <w:rPr>
          <w:color w:val="000000" w:themeColor="text1"/>
          <w:sz w:val="16"/>
          <w:szCs w:val="16"/>
        </w:rPr>
      </w:pPr>
    </w:p>
    <w:p w14:paraId="6951B72B" w14:textId="77777777" w:rsidR="00776B5F" w:rsidRPr="00722885" w:rsidRDefault="00776B5F" w:rsidP="00722885">
      <w:pPr>
        <w:spacing w:after="0" w:line="240" w:lineRule="auto"/>
        <w:jc w:val="both"/>
        <w:rPr>
          <w:rFonts w:ascii="Times New Roman" w:hAnsi="Times New Roman"/>
          <w:color w:val="0070C0"/>
          <w:sz w:val="16"/>
          <w:szCs w:val="16"/>
          <w:shd w:val="clear" w:color="auto" w:fill="FFFFFF"/>
        </w:rPr>
      </w:pPr>
      <w:r w:rsidRPr="00722885">
        <w:rPr>
          <w:rFonts w:ascii="Times New Roman" w:hAnsi="Times New Roman"/>
          <w:color w:val="0070C0"/>
          <w:sz w:val="16"/>
          <w:szCs w:val="16"/>
          <w:shd w:val="clear" w:color="auto" w:fill="FFFFFF"/>
        </w:rPr>
        <w:t>27 сентября 1941 года в США были одновременно спущены на воду первые 14 грузовых пароходов типа ES2-S-C1MK "Либерти" ("Свобода") - самых массовых морских судов в мировой истории. Всего в течение 1941-44 годов было построено 2710 таких кораблей, в среднем со стапелей сходили по три штуки ежедневно.</w:t>
      </w:r>
    </w:p>
    <w:p w14:paraId="7EECEDDE" w14:textId="77777777" w:rsidR="00776B5F" w:rsidRPr="00722885" w:rsidRDefault="00776B5F"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Изначально эти суда предназначались для доставки в Англию военных грузов, поставляемых по программе ленд-лиза. Сооружение одного корабля от закладки до ввода в строй занимало 30 дней, но к 1943 году процесс удалось ускорить до 24 суток, при этом в постройке одновременно находились десятки "Либерти". И это были не какие-то мелкие суденышки, а очень солидные транспорты длиной 135 метров и водоизмещением 15 тысяч тонн.</w:t>
      </w:r>
    </w:p>
    <w:p w14:paraId="626E6A83" w14:textId="77777777" w:rsidR="00776B5F" w:rsidRPr="00722885" w:rsidRDefault="00776B5F" w:rsidP="00722885">
      <w:pPr>
        <w:shd w:val="clear" w:color="auto" w:fill="FFFFFF"/>
        <w:spacing w:after="0" w:line="240" w:lineRule="auto"/>
        <w:jc w:val="both"/>
        <w:rPr>
          <w:rFonts w:ascii="Times New Roman" w:hAnsi="Times New Roman"/>
          <w:color w:val="0070C0"/>
          <w:sz w:val="16"/>
          <w:szCs w:val="16"/>
          <w:shd w:val="clear" w:color="auto" w:fill="FFFFFF"/>
        </w:rPr>
      </w:pPr>
      <w:r w:rsidRPr="00722885">
        <w:rPr>
          <w:rFonts w:ascii="Times New Roman" w:hAnsi="Times New Roman"/>
          <w:color w:val="0070C0"/>
          <w:sz w:val="16"/>
          <w:szCs w:val="16"/>
          <w:shd w:val="clear" w:color="auto" w:fill="FFFFFF"/>
        </w:rPr>
        <w:t>Силовая установка "Либерти" - трехцилиндровая паровая машина тройного расширения мощностью 2360 л.с. и ее схема. Эта машина позволяла кораблю развивать скорость до 11 узлов. Интересно, что у большинства судов котлы отапливались мазутом, но у транспортов, предназначенных для Британии и Советского Союза, они работали на угле, который в этих странах более доступен. Силовая установка "Либерти" - трехцилиндровая паровая машина тройного расширения мощностью 2360 л.с. и ее схема. Эта машина позволяла кораблю развивать скорость до 11 узлов. Интересно, что у большинства судов котлы отапливались мазутом, но у транспортов, предназначенных для Британии и Советского Союза, они работали на угле, который в этих странах более доступен.</w:t>
      </w:r>
    </w:p>
    <w:p w14:paraId="40F91003" w14:textId="77777777" w:rsidR="00776B5F" w:rsidRPr="00722885" w:rsidRDefault="00776B5F"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Каждый из них мог взять на борт 2800 джипов, либо 260 танков "Шерман", либо 440 легких танков "Стюарт". Корабли оснащались 50-тонными подъемными кранами и могли самостоятельно осуществлять погрузку-разгрузку в необорудованных портах. Для ускорения строительства везде, где только можно, применялись упрощенные технологии, в частности, при сборке корпусов применялась не клепка, а сварка, хотя, это снижало их надежность и долговечность.</w:t>
      </w:r>
    </w:p>
    <w:p w14:paraId="2DE81690" w14:textId="77777777" w:rsidR="00776B5F" w:rsidRPr="00722885" w:rsidRDefault="00776B5F"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Кроме того, было решено отказаться от деревянных палубных настилов, стальные палубы просто покрывали антикоррозийной мастикой. Однако на самом святом не экономили: "Либерти" оснащались качественными гальюнами с отдельными кабинками, фаянсовыми унитазами, рукомойниками и креплениями для рулонов туалетной бумаги.\</w:t>
      </w:r>
    </w:p>
    <w:p w14:paraId="3BB65320" w14:textId="77777777" w:rsidR="00776B5F" w:rsidRPr="00722885" w:rsidRDefault="00776B5F"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Размах судостроительной программы "Либерти" просто поражает воображение, ни одна страна мира, кроме США, не смогла бы осилить ничего подобного, особенно, если учесть, что в то же самое время на американских верфях строились сотни других кораблей самых разных классов, вплоть до линкоров и авианосцев.</w:t>
      </w:r>
    </w:p>
    <w:p w14:paraId="5C9FD109" w14:textId="77777777" w:rsidR="00776B5F" w:rsidRPr="00722885" w:rsidRDefault="00776B5F"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Можно сказать, что без тысяч "Либерти" вряд ли было бы возможно открытие Второго фронта и многочисленные американские десанты на Тихом океане. Нашим морякам эти суда тоже были знакомы: 38 "Либерти" СССР получил по ленд-лизу в 1943-44 годах, а еще 10 были куплены в 1963 году. Наиболее интересным образом к нам попали пароходы, впоследствии названные "Кировым" и "Тбилиси". В 1942 году американцы передали их Великобритании, потом они были захвачены итальянцами в Средиземноморье, а в 1946 году - получены Советским Союзом из Италии в счет репараций.</w:t>
      </w:r>
    </w:p>
    <w:p w14:paraId="7A231B03" w14:textId="77777777" w:rsidR="00776B5F" w:rsidRPr="00722885" w:rsidRDefault="00776B5F"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Более 300 "Либерти" погибли в ходе Второй мировой войны. Подавляющее большинство из них стало жертвами немецких подводных лодок, некоторые попали под бомбы, напоролись на мины или были протаранены камикадзе. 19 кораблей затонули из-за дефектов сварки корпусов, неизбежных при столь бешеном темпе производства.</w:t>
      </w:r>
    </w:p>
    <w:p w14:paraId="2FD02CA4" w14:textId="77777777" w:rsidR="00776B5F" w:rsidRPr="00722885" w:rsidRDefault="00776B5F"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Изначально срок службы пароходов был установлен всего в пять лет, но, вопреки прогнозам, "Либерти", несмотря на относительно тонкие листы обшивки, оказались довольно живучими. После войны они проплавали еще долго и, по большей части, были списаны по износу в конце 1960-х  - начале 1970-х годов (21575).</w:t>
      </w:r>
    </w:p>
    <w:p w14:paraId="604D4E71" w14:textId="77777777" w:rsidR="00776B5F" w:rsidRPr="00722885" w:rsidRDefault="00776B5F" w:rsidP="00722885">
      <w:pPr>
        <w:spacing w:after="0" w:line="240" w:lineRule="auto"/>
        <w:jc w:val="both"/>
        <w:rPr>
          <w:rFonts w:ascii="Times New Roman" w:hAnsi="Times New Roman"/>
          <w:color w:val="0070C0"/>
          <w:sz w:val="16"/>
          <w:szCs w:val="16"/>
        </w:rPr>
      </w:pPr>
    </w:p>
    <w:p w14:paraId="6147956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23C86B0" w14:textId="77777777" w:rsidR="00090C9B" w:rsidRPr="00722885" w:rsidRDefault="00090C9B" w:rsidP="00722885">
      <w:pPr>
        <w:pStyle w:val="Iauiue"/>
        <w:jc w:val="both"/>
        <w:rPr>
          <w:iCs/>
          <w:color w:val="000000" w:themeColor="text1"/>
          <w:sz w:val="16"/>
          <w:szCs w:val="16"/>
        </w:rPr>
      </w:pPr>
    </w:p>
    <w:p w14:paraId="3707CC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сентября 1942 г. И.В.С. сообщил маршалу авиации А.А.Новикову (тогда - командующему ВВС Красной Армии), что Худяков и Булганин просят восстановить производство И-16 и И-153, но он не согласен с ними. Новиков ответил, что И-16 и И-153 хороши в оборонительном бою, но ни как не в наступательном. А мы собираемся наступать, завоевывать превосходство в воздухе. Поэтому производство И-16 и И-153 восстанавливать нецелесообразно. Сталин согласился с моими доводами и производство старых самолетов не было восстановлено...” (6592).</w:t>
      </w:r>
    </w:p>
    <w:p w14:paraId="4145DDA7" w14:textId="77777777" w:rsidR="00090C9B" w:rsidRPr="00722885" w:rsidRDefault="00090C9B" w:rsidP="00722885">
      <w:pPr>
        <w:pStyle w:val="Iauiue"/>
        <w:jc w:val="both"/>
        <w:rPr>
          <w:color w:val="000000" w:themeColor="text1"/>
          <w:sz w:val="16"/>
          <w:szCs w:val="16"/>
        </w:rPr>
      </w:pPr>
    </w:p>
    <w:p w14:paraId="305520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сентября 1942 года, по воспоминаниям маршала авиации А.А.Новикова (тогда - командующего ВВС Красной Армии), И.В.С., что Худяков и Булганин просят восстановить производство И-16 и И-153, но он не согласен с ними. Я сказал, что И-16 и И-153 хороши в оборонительном бою, но ни как не в наступательном. А мы собираемся наступать, завоевывать превосходство в воздухе. Поэтому производство И-16 и И-153 восстанавливать нецелесообразно. Сталин согласился с моими доводами, и производство старых самолетов не было восстановлено..." (12014)</w:t>
      </w:r>
    </w:p>
    <w:p w14:paraId="4CD0214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799E4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28 сентября по 2 октября 1942 прошел войсковые испытания в 989 нбап прицел для бомбометания с У-2 и Р-5 с горизонтального полета и с планирования под 30 гр и, разработанный по июньскому заданию ГУ ВВС на заводе № 217. Показал хорошие результаты, но на вооружение принят не был, т.к. визир з-да № 387, разработанный и испытанный в мае 1942 показывал лучшие результаты. Потом испытали еще в мае 1943 и с июня 1944 был утвержден ГИ ВВС А.И. Репиным как НКПБ-8 (4542, 14).</w:t>
      </w:r>
    </w:p>
    <w:p w14:paraId="15F15303" w14:textId="77777777" w:rsidR="00090C9B" w:rsidRPr="00722885" w:rsidRDefault="00090C9B" w:rsidP="00722885">
      <w:pPr>
        <w:pStyle w:val="Iauiue"/>
        <w:jc w:val="both"/>
        <w:rPr>
          <w:color w:val="000000" w:themeColor="text1"/>
          <w:sz w:val="16"/>
          <w:szCs w:val="16"/>
        </w:rPr>
      </w:pPr>
    </w:p>
    <w:p w14:paraId="660A62EB"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с 28 сентября по 2 октября 1942 г. созданный на заводе № 217 прицел для У-2ВС прошел войсковые испытания в 989-м нбап и показал хорошие результаты. Однако на вооружение был принят пока все-таки бортовой визир завода № 387 как показавший при сравнительных полигонных испытаниях лучшие результаты. Прицел завода №217 после испытаний, проведенных в НИИ АВ ВВС РККА в мае 1943 г., был утвержден Главным инженером ВВС РККА генералом А. И. Репиным для установки на У-2 лишь через год, в июне 1944 г., после завершения доводочных работ, с присвоением ему шифра НП-У-2 (НКПБ-8). НКПБ-8 обеспечивал бомбардирование с горизонтального полета на скоростях 30-200 км/ч в диапазоне углов прицеливания от +85° до 0°. При этом угол прицеливания определялся для высот от 50 до 500 м (15142).</w:t>
      </w:r>
    </w:p>
    <w:p w14:paraId="3781C07E" w14:textId="77777777" w:rsidR="00CD5398" w:rsidRPr="00722885" w:rsidRDefault="00CD5398" w:rsidP="00722885">
      <w:pPr>
        <w:spacing w:after="0" w:line="240" w:lineRule="auto"/>
        <w:jc w:val="both"/>
        <w:rPr>
          <w:rFonts w:ascii="Times New Roman" w:hAnsi="Times New Roman"/>
          <w:color w:val="000000" w:themeColor="text1"/>
          <w:sz w:val="16"/>
          <w:szCs w:val="16"/>
        </w:rPr>
      </w:pPr>
    </w:p>
    <w:p w14:paraId="07C2639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7725138" w14:textId="77777777" w:rsidR="00090C9B" w:rsidRPr="00722885" w:rsidRDefault="00090C9B" w:rsidP="00722885">
      <w:pPr>
        <w:pStyle w:val="Iauiue"/>
        <w:jc w:val="both"/>
        <w:rPr>
          <w:iCs/>
          <w:color w:val="000000" w:themeColor="text1"/>
          <w:sz w:val="16"/>
          <w:szCs w:val="16"/>
        </w:rPr>
      </w:pPr>
    </w:p>
    <w:p w14:paraId="07A2BD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сентября 1942 года было выполнено опробование второго опытного образца установки ЛАП-7 с главной батареи полигона двумя выстрелами при угле возвышения пусковых рам 11,5 и 13 градусов. Для стрельбы были использованы первая и последняя рамы от кабины шофера.</w:t>
      </w:r>
    </w:p>
    <w:p w14:paraId="0942BC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Машина при стрельбе давала боковую качку в 35 мм при одиночном выстреле и 45-50 мм при выстреле залпом из двух мин. Боковых прыжков при стрельбе не наблюдалось. Газовой струёй реактивных мин раздало угол крыши кабины опытной машины. Замечаний по поворотному и подъемному механизму при стрельбе не было отмечено (6403, 42).</w:t>
      </w:r>
    </w:p>
    <w:p w14:paraId="6049576D" w14:textId="77777777" w:rsidR="00090C9B" w:rsidRPr="00722885" w:rsidRDefault="00090C9B" w:rsidP="00722885">
      <w:pPr>
        <w:pStyle w:val="Iauiue"/>
        <w:jc w:val="both"/>
        <w:rPr>
          <w:color w:val="000000" w:themeColor="text1"/>
          <w:sz w:val="16"/>
          <w:szCs w:val="16"/>
        </w:rPr>
      </w:pPr>
    </w:p>
    <w:p w14:paraId="78ABCC62" w14:textId="77777777" w:rsidR="00D453C8" w:rsidRPr="00722885" w:rsidRDefault="00D453C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28–29 сентября 1942 года в ходе успешно закончилившихся испытаний, проведенные на НИБТ Полигоне, сравнивалась проходимость СУ-31 и Т-70, и выяснилось, что она одинаковая. А вот силовая установка СУ-32 в ходе испытаний перегревалась. Да и сам Гинзбург выступал за схему с параллельным расположением двигателей. Не удивительно, что именно СУ-31 выбрали в качестве основы для новой САУ завода № 38.</w:t>
      </w:r>
    </w:p>
    <w:p w14:paraId="71CCB8FF" w14:textId="77777777" w:rsidR="00D453C8" w:rsidRPr="00722885" w:rsidRDefault="00D453C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Но при выборе шасси были проигнорированы некоторые другие особенности машин. Например, СУ-31 строили на базе агрегатов более раннего малого танка </w:t>
      </w:r>
      <w:hyperlink r:id="rId118" w:history="1">
        <w:r w:rsidRPr="00722885">
          <w:rPr>
            <w:rFonts w:ascii="Times New Roman" w:eastAsia="Times New Roman" w:hAnsi="Times New Roman"/>
            <w:color w:val="000000" w:themeColor="text1"/>
            <w:sz w:val="16"/>
            <w:szCs w:val="16"/>
            <w:lang w:eastAsia="ru-RU"/>
          </w:rPr>
          <w:t>Т-60</w:t>
        </w:r>
      </w:hyperlink>
      <w:r w:rsidRPr="00722885">
        <w:rPr>
          <w:rFonts w:ascii="Times New Roman" w:eastAsia="Times New Roman" w:hAnsi="Times New Roman"/>
          <w:color w:val="000000" w:themeColor="text1"/>
          <w:sz w:val="16"/>
          <w:szCs w:val="16"/>
          <w:lang w:eastAsia="ru-RU"/>
        </w:rPr>
        <w:t>, в то время как СУ-32 строили на базе Т-70. Кроме того, машины относились к разным типам самоходных установок (СУ-31 была зенитной самоходной установкой (</w:t>
      </w:r>
      <w:hyperlink r:id="rId119" w:history="1">
        <w:r w:rsidRPr="00722885">
          <w:rPr>
            <w:rFonts w:ascii="Times New Roman" w:eastAsia="Times New Roman" w:hAnsi="Times New Roman"/>
            <w:color w:val="000000" w:themeColor="text1"/>
            <w:sz w:val="16"/>
            <w:szCs w:val="16"/>
            <w:lang w:eastAsia="ru-RU"/>
          </w:rPr>
          <w:t>ЗСУ</w:t>
        </w:r>
      </w:hyperlink>
      <w:r w:rsidRPr="00722885">
        <w:rPr>
          <w:rFonts w:ascii="Times New Roman" w:eastAsia="Times New Roman" w:hAnsi="Times New Roman"/>
          <w:color w:val="000000" w:themeColor="text1"/>
          <w:sz w:val="16"/>
          <w:szCs w:val="16"/>
          <w:lang w:eastAsia="ru-RU"/>
        </w:rPr>
        <w:t>), а СУ-32 построили как штурмовую САУ). Соответственно, разным было и бронирование машин (17600).</w:t>
      </w:r>
    </w:p>
    <w:p w14:paraId="55E1EFF8" w14:textId="77777777" w:rsidR="00D453C8" w:rsidRPr="00722885" w:rsidRDefault="00D453C8" w:rsidP="00722885">
      <w:pPr>
        <w:spacing w:after="0" w:line="240" w:lineRule="auto"/>
        <w:jc w:val="both"/>
        <w:rPr>
          <w:rFonts w:ascii="Times New Roman" w:eastAsia="Times New Roman" w:hAnsi="Times New Roman"/>
          <w:color w:val="000000" w:themeColor="text1"/>
          <w:sz w:val="16"/>
          <w:szCs w:val="16"/>
          <w:lang w:eastAsia="ru-RU"/>
        </w:rPr>
      </w:pPr>
    </w:p>
    <w:p w14:paraId="57BFD52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28 сентября 1942 года вышел приказ НКБ № 751с</w:t>
      </w:r>
    </w:p>
    <w:p w14:paraId="7560639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распоряжением СНК № 18398рс от 26 сентября 1942 года:</w:t>
      </w:r>
    </w:p>
    <w:p w14:paraId="0DD9D427" w14:textId="77777777" w:rsidR="00090C9B" w:rsidRPr="00722885" w:rsidRDefault="00090C9B" w:rsidP="00722885">
      <w:pPr>
        <w:pStyle w:val="Iauiue"/>
        <w:numPr>
          <w:ilvl w:val="0"/>
          <w:numId w:val="14"/>
        </w:numPr>
        <w:tabs>
          <w:tab w:val="left" w:pos="360"/>
          <w:tab w:val="left" w:pos="11199"/>
        </w:tabs>
        <w:ind w:left="0" w:firstLine="0"/>
        <w:jc w:val="both"/>
        <w:rPr>
          <w:color w:val="000000" w:themeColor="text1"/>
          <w:sz w:val="16"/>
          <w:szCs w:val="16"/>
        </w:rPr>
      </w:pPr>
      <w:r w:rsidRPr="00722885">
        <w:rPr>
          <w:color w:val="000000" w:themeColor="text1"/>
          <w:sz w:val="16"/>
          <w:szCs w:val="16"/>
        </w:rPr>
        <w:t>Выделить завод № 2 из состава Комбината № 179 в самостоятельное (уставное) предприятие</w:t>
      </w:r>
    </w:p>
    <w:p w14:paraId="78ACA179" w14:textId="77777777" w:rsidR="00090C9B" w:rsidRPr="00722885" w:rsidRDefault="00090C9B" w:rsidP="00722885">
      <w:pPr>
        <w:pStyle w:val="31"/>
        <w:widowControl/>
        <w:tabs>
          <w:tab w:val="left" w:pos="11199"/>
        </w:tabs>
        <w:jc w:val="both"/>
        <w:rPr>
          <w:color w:val="000000" w:themeColor="text1"/>
        </w:rPr>
      </w:pPr>
      <w:r w:rsidRPr="00722885">
        <w:rPr>
          <w:color w:val="000000" w:themeColor="text1"/>
        </w:rPr>
        <w:t>Выделенному заводу присвоить № 677 (5942, 84).</w:t>
      </w:r>
    </w:p>
    <w:p w14:paraId="11BB9FD6" w14:textId="77777777" w:rsidR="00090C9B" w:rsidRPr="00722885" w:rsidRDefault="00090C9B" w:rsidP="00722885">
      <w:pPr>
        <w:pStyle w:val="31"/>
        <w:widowControl/>
        <w:tabs>
          <w:tab w:val="left" w:pos="11199"/>
        </w:tabs>
        <w:jc w:val="both"/>
        <w:rPr>
          <w:color w:val="000000" w:themeColor="text1"/>
        </w:rPr>
      </w:pPr>
    </w:p>
    <w:p w14:paraId="65EF986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28 сентября 1942 года вышел приказ НКБ № 737с</w:t>
      </w:r>
    </w:p>
    <w:p w14:paraId="33B6821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637 – Комсомольск-на-Амуре</w:t>
      </w:r>
    </w:p>
    <w:p w14:paraId="7BA9313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569 – Загорск</w:t>
      </w:r>
    </w:p>
    <w:p w14:paraId="24D2507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386 – Новосибирск (5942, 102).</w:t>
      </w:r>
    </w:p>
    <w:p w14:paraId="3366C41F" w14:textId="77777777" w:rsidR="00090C9B" w:rsidRPr="00722885" w:rsidRDefault="00090C9B" w:rsidP="00722885">
      <w:pPr>
        <w:pStyle w:val="Iauiue"/>
        <w:tabs>
          <w:tab w:val="left" w:pos="11199"/>
        </w:tabs>
        <w:jc w:val="both"/>
        <w:rPr>
          <w:color w:val="000000" w:themeColor="text1"/>
          <w:sz w:val="16"/>
          <w:szCs w:val="16"/>
        </w:rPr>
      </w:pPr>
    </w:p>
    <w:p w14:paraId="087EA4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28 сентября 1942 года в виде Распоряжения Государственного Комитета Обороны "Об организации работ по урану" - первое принципиальное решение, определившие развертывание работ по советскому атомному проекту. Этим распоряжением Академии наук СССР было предписано возобновить работы по исследованию осуществимости использования энергии, выделяемой при делении ядер урана, и представить к 1 апреля 1943 года доклад о возможности создания атомной бомбы или уранового топлива для ядерного реактора (10549).</w:t>
      </w:r>
    </w:p>
    <w:p w14:paraId="7D7EF71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AD989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сентября 1942 вышло Распоряжение ГКО № 2352 Об организации работ по урану. РГАНИР, Фонд ГКО, д. 58, лл. 40-41 (11012).</w:t>
      </w:r>
    </w:p>
    <w:p w14:paraId="567893F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AD19EB5"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28 сентября 1942 г. </w:t>
      </w:r>
    </w:p>
    <w:p w14:paraId="06C26B23"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Распоряжение ГКО № 2352сс </w:t>
      </w:r>
    </w:p>
    <w:p w14:paraId="6B94C80C"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«Об организации работ по урану»1</w:t>
      </w:r>
    </w:p>
    <w:p w14:paraId="45CB6640"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Сов. секретно </w:t>
      </w:r>
    </w:p>
    <w:p w14:paraId="271E82B0"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Распоряжение Государственного комитета обороны </w:t>
      </w:r>
    </w:p>
    <w:p w14:paraId="588860D2"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 2352сс </w:t>
      </w:r>
    </w:p>
    <w:p w14:paraId="02F72BB0"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28 сентября 1942 г., Москва, Кремль </w:t>
      </w:r>
    </w:p>
    <w:p w14:paraId="5F53B8C8"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Об организации работ по урану </w:t>
      </w:r>
    </w:p>
    <w:p w14:paraId="29E4B331"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Обязать Академию наук СССР (акад[емик] Иоффе) возобновить работы по исследованию осуществимости использования атомной энергии путем расщепления ядра урана и представить Государственному комитету обороны к 1 апреля 1943 года доклад о возможности создания урановой бомбы или уранового топлива. Для этой цели: </w:t>
      </w:r>
    </w:p>
    <w:p w14:paraId="45BB23CF"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1. Президиуму Академии наук СССР: </w:t>
      </w:r>
    </w:p>
    <w:p w14:paraId="3759A134"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а) организовать при Академии наук специальную лабораторию атомного ядра2; </w:t>
      </w:r>
    </w:p>
    <w:p w14:paraId="048A1C0A"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б) к 1 января 1943 года в Институте радиологии3 разработать и изготовить установку для термодиффузионного выделения урана-235; </w:t>
      </w:r>
    </w:p>
    <w:p w14:paraId="41625E6F"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в) к 1 марта 1943 года в Институте радиологии и Физико-техническом институте4 изготовить методами центрифугирования и термодиффузии уран-235 в количестве, необходимом для физических исследований, и к 1 апреля 1943 года произвести в лаборатории атомного ядра исследования осуществимости расщепления ядер урана-235. </w:t>
      </w:r>
    </w:p>
    <w:p w14:paraId="75CDA801"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2. Академии наук УССР (акад[емик] Богомолец) организовать под руководством проф[ессора] Ланге разработку проекта лабораторной установки для выделения урана-235 методом центрифугирования5 и к 20 октября 1942 года сдать технический проект казанскому заводу «Серп и молот» Наркомата тяжелого машиностроения. </w:t>
      </w:r>
    </w:p>
    <w:p w14:paraId="6DB32CD7"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3. Народному комиссариату тяжелого машиностроения (т. Казаков) изготовить на казанском заводе подъемно-транспортного машиностроения «Серп и молот» для Академии наук СССР к 1 января 1943 года лабораторную установку центрифуги по проекту проф[ессора] Ланге, разрабатываемому в Академии наук УССР. </w:t>
      </w:r>
    </w:p>
    <w:p w14:paraId="0DCC2553"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4. Народному комиссариату финансов СССР (т. Зверев) передать к 1 ноября 1942 года Академии наук СССР один грамм радия для приготовления постоянного источника нейтронов и 30 граммов платины для изготовления лабораторной установки центрифуги. </w:t>
      </w:r>
    </w:p>
    <w:p w14:paraId="6BC0A64F"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5. Обязать Народный комиссариат черной металлургии (т. Тевосяна), Народный комиссариат цветной металлургии (т. Ломако) выделить и отгрузить к 1 ноября 1942 года Академии наук СССР следующие материалы по спецификации Академии наук: </w:t>
      </w:r>
    </w:p>
    <w:p w14:paraId="58B917A3"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а) Наркомчермет – сталей разных марок 6 тонн, </w:t>
      </w:r>
    </w:p>
    <w:p w14:paraId="4FCCBAA1"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б) Наркомцветмет – цветных металлов 0,5 тонны, а также обязать НКстанкопром выделить два токарных станка за счет производства. </w:t>
      </w:r>
    </w:p>
    <w:p w14:paraId="7C209A56"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6. Народному комиссариату внешней торговли (т. Микоян) закупить за границей по заявкам Академии наук СССР для лаборатории атомного ядра аппаратуры и химикатов на 30 тысяч рублей.</w:t>
      </w:r>
    </w:p>
    <w:p w14:paraId="09CDCC02"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7. Главному управлению гражданского воздушного флота (т. Астахов) обеспечить к 5 октября 1942 года доставку самолетом в г. Казань из г. Ленинграда принадлежащих Физико-техническому институту АН СССР 20 кг урана и 200 кг аппаратуры для физических исследований. </w:t>
      </w:r>
    </w:p>
    <w:p w14:paraId="37181875"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8. Совнаркому Татарской АССР (т. Гафиатуллин) предоставить с 15 октября 1942 года Академии наук СССР в г. Казани помещение площадью 500 кв.м для размещения лаборатории атомного ядра и жилую площадь для 10 научных сотрудников. </w:t>
      </w:r>
    </w:p>
    <w:p w14:paraId="326F0F08"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Председатель Государственного комитета обороны И. Сталин6 </w:t>
      </w:r>
    </w:p>
    <w:p w14:paraId="69A0672B"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[Помета:] Подпись на списке – см. ГОКО-23547. </w:t>
      </w:r>
    </w:p>
    <w:p w14:paraId="49A2BE7A"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АП РФ. Ф.22, оп.1, д.95, л.99-101. Подлинник. </w:t>
      </w:r>
    </w:p>
    <w:p w14:paraId="037230B5"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vertAlign w:val="superscript"/>
        </w:rPr>
        <w:t xml:space="preserve">1 </w:t>
      </w:r>
      <w:r w:rsidRPr="00722885">
        <w:rPr>
          <w:color w:val="000000" w:themeColor="text1"/>
          <w:sz w:val="16"/>
          <w:szCs w:val="16"/>
        </w:rPr>
        <w:t xml:space="preserve">В правом верхнем углу первого листа документа зачеркнуто: проект; число месяца в дате и номер распоряжения проставлены от руки. В названии распоряжения зачеркнуто, а затем вновь вписано от руки над строкой: урану. При просмотре документов выявлено два экземпляра этого распоряжения, отпечатанных раздельно, но идентичных по содержанию. К документу приложен список на рассылку, полный текст распоряжения был направлен В.М. Молотову, С.В. Кафтанову, А.Ф. Иоффе, В.Л. Комарову, Я.Е. Чадаеву, выписки – упоминаемым в тексте ответственным за выполнение конкретных поручений (АП РФ. Ф.22, оп.1, д.95, л. 102). </w:t>
      </w:r>
    </w:p>
    <w:p w14:paraId="4EC32FD3"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vertAlign w:val="superscript"/>
        </w:rPr>
        <w:t xml:space="preserve">2 </w:t>
      </w:r>
      <w:r w:rsidRPr="00722885">
        <w:rPr>
          <w:color w:val="000000" w:themeColor="text1"/>
          <w:sz w:val="16"/>
          <w:szCs w:val="16"/>
        </w:rPr>
        <w:t xml:space="preserve">Речь идет о Лаборатории № 2 (это название она получила в 1943 г.). Лаборатория создавалась на базе ЛФТИ в г. Казани, по Постановлению ГКО № 2872сс от 11 февраля 1943 г. Лаборатория переведена в Москву. </w:t>
      </w:r>
    </w:p>
    <w:p w14:paraId="310E819A"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vertAlign w:val="superscript"/>
        </w:rPr>
        <w:t xml:space="preserve">3 </w:t>
      </w:r>
      <w:r w:rsidRPr="00722885">
        <w:rPr>
          <w:color w:val="000000" w:themeColor="text1"/>
          <w:sz w:val="16"/>
          <w:szCs w:val="16"/>
        </w:rPr>
        <w:t xml:space="preserve">Так в документе – сведения об институте с таким названием не обнаружены, существовал Институт рентгенологии и радиологии НКЗ СССР, но никаких сведений о его участии в этих работах до 1946 г. в известных нам документах нет. Возможно, допущена опечатка и имелся в виду Радиевый институт. В списке на рассылку упоминаний о руководителях Радиологического или Радиевого институтов нет. </w:t>
      </w:r>
    </w:p>
    <w:p w14:paraId="148EC385"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vertAlign w:val="superscript"/>
        </w:rPr>
        <w:t xml:space="preserve">4 </w:t>
      </w:r>
      <w:r w:rsidRPr="00722885">
        <w:rPr>
          <w:color w:val="000000" w:themeColor="text1"/>
          <w:sz w:val="16"/>
          <w:szCs w:val="16"/>
        </w:rPr>
        <w:t xml:space="preserve">Вероятно, речь идет об ЛФТИ. </w:t>
      </w:r>
    </w:p>
    <w:p w14:paraId="43EF7F3C"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vertAlign w:val="superscript"/>
        </w:rPr>
        <w:t xml:space="preserve">5 </w:t>
      </w:r>
      <w:r w:rsidRPr="00722885">
        <w:rPr>
          <w:color w:val="000000" w:themeColor="text1"/>
          <w:sz w:val="16"/>
          <w:szCs w:val="16"/>
        </w:rPr>
        <w:t xml:space="preserve">В 1942 г. Фриц Ланге работал в Уфе в Институте физики и математики АН УССР. О сути проекта Ланге и этапах его реализации – см. документы № 147, 162, 164. Сохранилось несколько телеграмм АН УССР в Казань А.Ф. Иоффе за 1942 г. о ходе проектирования центрифуги: </w:t>
      </w:r>
    </w:p>
    <w:p w14:paraId="55F10A4B"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22 октября – «...Технический проект выполнен. Выслан сегодня спешной [в] Казань заводу. Богомолец»; </w:t>
      </w:r>
    </w:p>
    <w:p w14:paraId="1B24D5DC"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25 октября – «Задержусь, выеду [в] Казань поездом 29 октября. Ланге»; </w:t>
      </w:r>
    </w:p>
    <w:p w14:paraId="6F2D2100"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5 ноября – «Пока не было возможности выехать, днями выеду, привезу рабочие чертежи. Ланге»; </w:t>
      </w:r>
    </w:p>
    <w:p w14:paraId="3157F32A"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6 ноября – «Девятого заканчиваются рабочие чертежи. Ланге вылетает [при] первой возможности. Палладин» (Архив РАН. Ф.2, оп.1а(41), д.236, л.48–51). </w:t>
      </w:r>
    </w:p>
    <w:p w14:paraId="161856F8"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vertAlign w:val="superscript"/>
        </w:rPr>
        <w:t xml:space="preserve">6 </w:t>
      </w:r>
      <w:r w:rsidRPr="00722885">
        <w:rPr>
          <w:color w:val="000000" w:themeColor="text1"/>
          <w:sz w:val="16"/>
          <w:szCs w:val="16"/>
        </w:rPr>
        <w:t xml:space="preserve">Подпись отсутствует. </w:t>
      </w:r>
    </w:p>
    <w:p w14:paraId="3ECD31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vertAlign w:val="superscript"/>
        </w:rPr>
        <w:t xml:space="preserve">7 </w:t>
      </w:r>
      <w:r w:rsidRPr="00722885">
        <w:rPr>
          <w:rFonts w:ascii="Times New Roman" w:hAnsi="Times New Roman"/>
          <w:color w:val="000000" w:themeColor="text1"/>
          <w:sz w:val="16"/>
          <w:szCs w:val="16"/>
        </w:rPr>
        <w:t>Речь идет о «Списке вопросов, находящихся на утверждении в ЦК ВКП(б) по состоянию на 28.09.42 г.» (АП РФ. Ф.22, оп.1, д.95, л.116) (11323).</w:t>
      </w:r>
    </w:p>
    <w:p w14:paraId="60E63C5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BA586E8"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28 сентября </w:t>
      </w:r>
      <w:r w:rsidRPr="00722885">
        <w:rPr>
          <w:rFonts w:ascii="Times New Roman" w:hAnsi="Times New Roman"/>
          <w:color w:val="000000" w:themeColor="text1"/>
          <w:sz w:val="16"/>
          <w:szCs w:val="16"/>
        </w:rPr>
        <w:t>в 1942 году вышло распоряжение Государственного комитета обороны (ГКО) "Об организации работ по урану". Секретный документ предписывал ученым "возобновить работы по исследованию осуществимости использования атомной энергии путем расщепления ядра урана и представить комитету обороны к 1 апреля 1943 года доклад о возможности создания урановой бомбы или уранового топлива". Как самостоятельная отрасль, Росатом ведет отсчет лет с августа 1945 года, когда было принято постановление ГКО об учреждении специального комитета по созданию ядерного оружия в СССР. В разрушенной войной стране за четыре года построили секретные города и заводы, освоили абсолютно новые технологии. А уже в августе 1949 года на Семипалатинском полигоне испытали первую отечественную атомную бомбу РДС-1. День работника атомной промышленности — профессиональный праздник работников атомной отрасли. Установлен Указом Президента Российской Федерации от 3 июня 2005 г (14783).</w:t>
      </w:r>
    </w:p>
    <w:p w14:paraId="1835600E" w14:textId="77777777" w:rsidR="00CD5398" w:rsidRPr="00722885" w:rsidRDefault="00CD5398" w:rsidP="00722885">
      <w:pPr>
        <w:spacing w:after="0" w:line="240" w:lineRule="auto"/>
        <w:jc w:val="both"/>
        <w:rPr>
          <w:rFonts w:ascii="Times New Roman" w:hAnsi="Times New Roman"/>
          <w:color w:val="000000" w:themeColor="text1"/>
          <w:sz w:val="16"/>
          <w:szCs w:val="16"/>
        </w:rPr>
      </w:pPr>
    </w:p>
    <w:p w14:paraId="52B2B09B"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сентября 1942 г. в соответствии с постановле</w:t>
      </w:r>
      <w:r w:rsidRPr="00722885">
        <w:rPr>
          <w:rFonts w:ascii="Times New Roman" w:hAnsi="Times New Roman"/>
          <w:color w:val="000000" w:themeColor="text1"/>
          <w:sz w:val="16"/>
          <w:szCs w:val="16"/>
        </w:rPr>
        <w:softHyphen/>
        <w:t>нием ГКО № 2352 «Об организации работ по урану» была создана Лаборатория атомного ядра АН СССР от. 12 апреля 1943 г. она получила кодовое название лаборатории № 2 АН СССР (15493).</w:t>
      </w:r>
    </w:p>
    <w:p w14:paraId="2C2E1B01" w14:textId="77777777" w:rsidR="00CD5398" w:rsidRPr="00722885" w:rsidRDefault="00CD5398" w:rsidP="00722885">
      <w:pPr>
        <w:spacing w:after="0" w:line="240" w:lineRule="auto"/>
        <w:jc w:val="both"/>
        <w:rPr>
          <w:rFonts w:ascii="Times New Roman" w:hAnsi="Times New Roman"/>
          <w:color w:val="000000" w:themeColor="text1"/>
          <w:sz w:val="16"/>
          <w:szCs w:val="16"/>
        </w:rPr>
      </w:pPr>
    </w:p>
    <w:p w14:paraId="7FCEB00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28 сентября 1942 вышло Постановление ГКО № 2350 [О сокращении обменного фонда вагонов НКПС для строек НКВД.] (7056, 37 ).</w:t>
      </w:r>
    </w:p>
    <w:p w14:paraId="3744055D" w14:textId="77777777" w:rsidR="00090C9B" w:rsidRPr="00722885" w:rsidRDefault="00090C9B" w:rsidP="00722885">
      <w:pPr>
        <w:pStyle w:val="Iauiue"/>
        <w:tabs>
          <w:tab w:val="left" w:pos="11199"/>
        </w:tabs>
        <w:jc w:val="both"/>
        <w:rPr>
          <w:color w:val="000000" w:themeColor="text1"/>
          <w:sz w:val="16"/>
          <w:szCs w:val="16"/>
        </w:rPr>
      </w:pPr>
    </w:p>
    <w:p w14:paraId="478E8E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сентября 1942 вышло Постановление ГКО № 2353 План производства в IV квартале 1942 года танков Т-70 на Горьковском автозаводе имени Молотова Наркомсредмаша. РГАНИР, Фонд ГКО, д. 58, лл. 42 (11012).</w:t>
      </w:r>
    </w:p>
    <w:p w14:paraId="42F7530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5383E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сентября 1942 вышло Постановление ГКО № 2356 О плане производства и поставок лыжных установок, волокуш, лодок-волокушь, снегоступов для артиллерийского, минометного и стрелкового вооружения на IV квартал 1942 г. РГАНИР, Фонд ГКО, д. 58, лл. 46, 47-51 (11012).</w:t>
      </w:r>
    </w:p>
    <w:p w14:paraId="79BFDF7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0ECF2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сентября 1942 вышло Постановление ГКО № 2357 О плане производства и поставок в октябре и IV квартале 1942 г. химикатов для выпуска боеприпасов. РГАНИР, Фонд ГКО, д. 58, лл. 52-61, 62-78 (11012).</w:t>
      </w:r>
    </w:p>
    <w:p w14:paraId="2D2BBE8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239E86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 xml:space="preserve">28 сентября 1942 вышло Постановление ГКО № 2354 О переоборудовании 12 буксирных пароходов под кан[онерские] лодки на заводах НКРФ в Ярославле, Горьком </w:t>
      </w:r>
      <w:r w:rsidRPr="00722885">
        <w:rPr>
          <w:color w:val="000000" w:themeColor="text1"/>
          <w:sz w:val="16"/>
          <w:szCs w:val="16"/>
        </w:rPr>
        <w:lastRenderedPageBreak/>
        <w:t>и Куйбышеве. (7056, 43,44 ).</w:t>
      </w:r>
    </w:p>
    <w:p w14:paraId="0295DF09" w14:textId="77777777" w:rsidR="00090C9B" w:rsidRPr="00722885" w:rsidRDefault="00090C9B" w:rsidP="00722885">
      <w:pPr>
        <w:pStyle w:val="Iauiue"/>
        <w:tabs>
          <w:tab w:val="left" w:pos="11199"/>
        </w:tabs>
        <w:jc w:val="both"/>
        <w:rPr>
          <w:color w:val="000000" w:themeColor="text1"/>
          <w:sz w:val="16"/>
          <w:szCs w:val="16"/>
        </w:rPr>
      </w:pPr>
    </w:p>
    <w:p w14:paraId="4A9A1C6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28 сентября 1942 вышло Постановление ГКО № 2355 Об отмене решений ГОКО о возложении на органы прокуратуры и начальников железных дорог контроля и регулирования отгрузки угля. (7056, 45 ).</w:t>
      </w:r>
    </w:p>
    <w:p w14:paraId="1540C534" w14:textId="77777777" w:rsidR="00090C9B" w:rsidRPr="00722885" w:rsidRDefault="00090C9B" w:rsidP="00722885">
      <w:pPr>
        <w:pStyle w:val="Iauiue"/>
        <w:tabs>
          <w:tab w:val="left" w:pos="11199"/>
        </w:tabs>
        <w:jc w:val="both"/>
        <w:rPr>
          <w:color w:val="000000" w:themeColor="text1"/>
          <w:sz w:val="16"/>
          <w:szCs w:val="16"/>
        </w:rPr>
      </w:pPr>
    </w:p>
    <w:p w14:paraId="70DA1E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сентября 1942 были начаты сдаточные испытания ПЛ К-52 по сокращенной программе. Катеростроители отремонтировали 26 катеров, адмиралтейцы - три ПЛ типа "щука" (Щ-302, Щ-318, Щ-408) и 6 БК (10671).</w:t>
      </w:r>
    </w:p>
    <w:p w14:paraId="7AD6C06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BA1658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9C0A19F" w14:textId="77777777" w:rsidR="00090C9B" w:rsidRPr="00722885" w:rsidRDefault="00090C9B" w:rsidP="00722885">
      <w:pPr>
        <w:pStyle w:val="Iauiue"/>
        <w:jc w:val="both"/>
        <w:rPr>
          <w:iCs/>
          <w:color w:val="000000" w:themeColor="text1"/>
          <w:sz w:val="16"/>
          <w:szCs w:val="16"/>
        </w:rPr>
      </w:pPr>
    </w:p>
    <w:p w14:paraId="0E04FF5F"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28 сентября </w:t>
      </w:r>
      <w:r w:rsidRPr="00722885">
        <w:rPr>
          <w:rFonts w:ascii="Times New Roman" w:hAnsi="Times New Roman"/>
          <w:color w:val="000000" w:themeColor="text1"/>
          <w:sz w:val="16"/>
          <w:szCs w:val="16"/>
        </w:rPr>
        <w:t>в 1942 году утреннее сообщение Совинформбюро:</w:t>
      </w:r>
    </w:p>
    <w:p w14:paraId="70C5923C"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28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668806E0"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Н-ское танковое подразделение отбило две атаки противника. Танкисты уничтожили 7 орудий, 5 пулемётов, 11 автомашин и истребили до двух рот гитлеровцев. На другом участке гвардейцы-миномётчики произвели огневой налёт на готовившегося к атаке противника. Огнём миномётчиков рассеяно и частью уничтожено до батальона немецкой пехоты.</w:t>
      </w:r>
    </w:p>
    <w:p w14:paraId="0B7C9B9E"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Н-ского гвардейского соединения за два дня боёв с противником истребили до 2.000 немецких солдат и офицеров, сожгли и подбили 15 танков и 2 бронемашины, уничтожили 11 орудий, 23 пулемёта и 3 миномётные батареи. На другом участке немцы несколько раз атаковали одну нашу стрелковую часть. Атаки противника отбиты. Гитлеровцы потеряли в этом бою только убитыми до 300 солдат и офицеров. Нашими бойцами захвачено около 200 винтовок,19 пулемётов, 42.000 патронов, 10 километров телефонного кабеля и другое военное имущество.</w:t>
      </w:r>
    </w:p>
    <w:p w14:paraId="466AA084"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Н-ская часть в упорном бою с противником уничтожила 4 танка и истребила свыше роты немецкой пехоты. Группа бойцов под командованием лейтенанта Цветова заняла одну высоту. В схватке с врагом боец тов. Сакварелидзе одним из первых ворвался на высоту и гранатой уничтожил 8 гитлеровцев.</w:t>
      </w:r>
    </w:p>
    <w:p w14:paraId="039CB090"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огнём нашей артиллерии за два дня разрушено 22 вражеских ДЗОТа, уничтожено 4 станковых пулемёта, 3 миномёта и 12 грузовых автомашин. Активными действиями наших снайперов и разведывательных групп истреблено до 300 гитлеровцев. На подступах к Ленинграду огнём зенитной артиллерии сбито 4 немецких самолёта.</w:t>
      </w:r>
    </w:p>
    <w:p w14:paraId="2D2E382A"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батальон пехоты и 8 танков противника пытались атаковать наши позиции. Огнём артиллерии и пехотного оружия все вражеские танки были уничтожены, а пехота рассеяна.</w:t>
      </w:r>
    </w:p>
    <w:p w14:paraId="612D7168"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фельдфебель 695 полка 340 немецкой пехотной дивизии Вильгельм К. рассказал: «Когда мы находились во Франции, туда прибыла дивизия, разбитая в боях на Восточном фронте. От этой дивизии по сути дела остался всего один батальон. Солдаты рассказали нам о тяжёлых боях, в которых они участвовали. Эти рассказы окончательно испортили нам настроение. По дороге в Россию солдаты ругались и проклинали войну. То, что мы пережили здесь за несколько дней, превзошло самые худшие предположения. Русские всё время обстреливали нас из орудий и миномётов, причиняя большие потери. На днях на нашем участке прорвались русские танки. Находившийся поблизости лейтенант Рейнп сбежал. Когда танки прекратили огонь, мы, 19 человек, вышли из щелей и сдались в плен».</w:t>
      </w:r>
    </w:p>
    <w:p w14:paraId="27648DEE"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Голландские патриоты самыми различными способами ведут борьбу с немецкими оккупантами, поработившими их страну. На одной консервной фабрике гитлеровцы организовали производство консервов для германской армии. Как теперь стало известно, во многих партиях консервов обнаружено битое стекло. В Вееспе на складе крупной фабрики было собрано много шерстяного утиля, предназначенного к отправке в Германию. Склады были подожжены. Пожар продолжался несколько дней, все запасы шерстяного утиля уничтожены.» (14783).</w:t>
      </w:r>
    </w:p>
    <w:p w14:paraId="57A5B38F" w14:textId="77777777" w:rsidR="00CD5398" w:rsidRPr="00722885" w:rsidRDefault="00CD5398" w:rsidP="00722885">
      <w:pPr>
        <w:spacing w:after="0" w:line="240" w:lineRule="auto"/>
        <w:jc w:val="both"/>
        <w:rPr>
          <w:rFonts w:ascii="Times New Roman" w:hAnsi="Times New Roman"/>
          <w:color w:val="000000" w:themeColor="text1"/>
          <w:sz w:val="16"/>
          <w:szCs w:val="16"/>
        </w:rPr>
      </w:pPr>
    </w:p>
    <w:p w14:paraId="0AE65576"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28 сентября </w:t>
      </w:r>
      <w:r w:rsidRPr="00722885">
        <w:rPr>
          <w:rFonts w:ascii="Times New Roman" w:hAnsi="Times New Roman"/>
          <w:color w:val="000000" w:themeColor="text1"/>
          <w:sz w:val="16"/>
          <w:szCs w:val="16"/>
        </w:rPr>
        <w:t>в 1942 году вечернее сообщение Совинформбюро:</w:t>
      </w:r>
    </w:p>
    <w:p w14:paraId="4169418B"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28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7E045BBE"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27 сентября частями нашей авиации на различных участках фронта уничтожено14 немецких танков, 26 автомашин, подавлен огонь 8 батарей полевой артиллерии, рассеяно и частью уничтожено до трёх рот пехоты противника.</w:t>
      </w:r>
    </w:p>
    <w:p w14:paraId="08407798"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тяжёлые бои с численно превосходящими силами противника. На северо-западной окраине перешли в наступление до двух немецких пехотных дивизий и 150 танков. После упорного боя группе вражеских танков удалось проникнуть в рабочий посёлок, в котором происходят бои. В течение дня нашими бойцами уничтожено до двух полков немецкой пехоты и подбито около 50 танков противника.</w:t>
      </w:r>
    </w:p>
    <w:p w14:paraId="2C38C787"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советские войска продолжали вести активные боевые действия. За истекшие сутки, по неполным данным, уничтожено 8 немецких танков и истреблено более 1.000 вражеских солдат и офицеров. Захвачены у противника 11 пулемётов, в том числе 3 крупнокалиберных, 2 орудия, боеприпасы и разное военное имущество. На участке Н-ской части гитлеровцы, стремясь вернуть потерянные накануне позиции, предприняли несколько контратак. Наши бойцы отбили все контратаки и истребили до трёх рот немецкой пехоты. Бойцы подразделения тов. Тарлецкого стремительно ворвались в расположение противника, уничтожили несколько ДЗОТов и истребили до 100 гитлеровцев.</w:t>
      </w:r>
    </w:p>
    <w:p w14:paraId="194B608F"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Ржева наши войска после артиллерийской подготовки прорвали оборонительные рубежи противника. В результате двухдневных боёв освобождено от немецко-фашистских захватчиков 25 населённых пунктов. За это время, по неполным данным, уничтожено более 2.000 немецких солдат и офицеров, 8 самолётов, 6 артиллерийских и 5 миномётных батарей, 16 противотанковых орудий, 26 пулемётов, 3 склада с боеприпасами, разрушено 75 блиндажей и ДЗОТов. Захвачены трофеи и пленные.</w:t>
      </w:r>
    </w:p>
    <w:p w14:paraId="7BC4119B"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 одном участке танки и пехота противника предприняли несколько ожесточённых атак. После упорного боя противнику удалось занять населённый пункт. Бойцы Н-ской части уничтожили 10 танков и свыше 200 гитлеровцев.</w:t>
      </w:r>
    </w:p>
    <w:p w14:paraId="2BE46856"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вели активные боевые действия и несколько продвинулись вперёд. В течение дня уничтожено свыше 1.200 немецких и румынских солдат и офицеров. Захвачены трофеи: танк, 50 ручных и станковых пулемётов, 20 миномётов и 800 винтовок. Взяты пленные.</w:t>
      </w:r>
    </w:p>
    <w:p w14:paraId="74837CFC"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Синявина наши войска вели бои с противником, вклинившимся в нашу оборону. Атакой бойцов части, где командиром тов. Бураковский, немцы выбиты с одной имеющей важное значение высоты. Уничтожено 3 немецких танка, 2 бронемашиныи до роты гитлеровцев.</w:t>
      </w:r>
    </w:p>
    <w:p w14:paraId="735ED644"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12 роты 266 полка 72 немецкой пехотной дивизии Георг Эккерт рассказал: «В конце августа наш полк, получив пополнение, был переброшен из Крыма на Центральный фронт. За короткий срок русские нанесли нам тяжёлые потери. Третий батальон совершенно обескровлен. 11 рота насчитывает 17 человек, 12 рота— 15, а 10—ещё меньше. Почти всё вооружение уничтожено. В бою убит командир 3-го батальона капитан Ореншник».</w:t>
      </w:r>
    </w:p>
    <w:p w14:paraId="184EDF53" w14:textId="77777777" w:rsidR="00CD5398" w:rsidRPr="00722885" w:rsidRDefault="00CD539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разоряют белорусские города и истребляют их жителей. В начале сентября гестаповцы арестовали и заключили в тюрьму свыше 150 жителей города Борисова, Минской области, за то, что они не явились на работу по ремонту дорог. В числе арестованных было много истощённых от голода и больных женщин. 19 сентября банда эсэсовцев ворвалась в городскую тюрьму и учинила кровавую расправу над арестованными. Их сначала подвергли зверским пыткам, а затем всех расстреляли.» (14783).</w:t>
      </w:r>
    </w:p>
    <w:p w14:paraId="24DA26EE" w14:textId="77777777" w:rsidR="00CD5398" w:rsidRPr="00722885" w:rsidRDefault="00CD5398" w:rsidP="00722885">
      <w:pPr>
        <w:spacing w:after="0" w:line="240" w:lineRule="auto"/>
        <w:jc w:val="both"/>
        <w:rPr>
          <w:rFonts w:ascii="Times New Roman" w:hAnsi="Times New Roman"/>
          <w:color w:val="000000" w:themeColor="text1"/>
          <w:sz w:val="16"/>
          <w:szCs w:val="16"/>
        </w:rPr>
      </w:pPr>
    </w:p>
    <w:p w14:paraId="60143F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сентября 1942 Сталинградский фронт был переименован в Донской, а Ю-В - в СФ (340,98).</w:t>
      </w:r>
    </w:p>
    <w:p w14:paraId="03DA65DA" w14:textId="77777777" w:rsidR="00090C9B" w:rsidRPr="00722885" w:rsidRDefault="00090C9B" w:rsidP="00722885">
      <w:pPr>
        <w:pStyle w:val="Iauiue"/>
        <w:jc w:val="both"/>
        <w:rPr>
          <w:color w:val="000000" w:themeColor="text1"/>
          <w:sz w:val="16"/>
          <w:szCs w:val="16"/>
        </w:rPr>
      </w:pPr>
    </w:p>
    <w:p w14:paraId="6C82058E"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28 сентября </w:t>
      </w:r>
      <w:r w:rsidRPr="00722885">
        <w:rPr>
          <w:rFonts w:ascii="Times New Roman" w:hAnsi="Times New Roman"/>
          <w:color w:val="000000" w:themeColor="text1"/>
          <w:sz w:val="16"/>
          <w:szCs w:val="16"/>
        </w:rPr>
        <w:t>в 1942 году директива Ставки ВГК об упразднении единого командования войсками Юго-Восточного и Сталинградского фронтов и переименовании их соответственно в Сталинградский и Донской фронты (14783).</w:t>
      </w:r>
    </w:p>
    <w:p w14:paraId="531BFC9D" w14:textId="77777777" w:rsidR="00C7427F" w:rsidRPr="00722885" w:rsidRDefault="00C7427F" w:rsidP="00722885">
      <w:pPr>
        <w:spacing w:after="0" w:line="240" w:lineRule="auto"/>
        <w:jc w:val="both"/>
        <w:rPr>
          <w:rFonts w:ascii="Times New Roman" w:hAnsi="Times New Roman"/>
          <w:color w:val="000000" w:themeColor="text1"/>
          <w:sz w:val="16"/>
          <w:szCs w:val="16"/>
        </w:rPr>
      </w:pPr>
    </w:p>
    <w:p w14:paraId="73B6FFC1"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28 сентября </w:t>
      </w:r>
      <w:r w:rsidRPr="00722885">
        <w:rPr>
          <w:rFonts w:ascii="Times New Roman" w:hAnsi="Times New Roman"/>
          <w:color w:val="000000" w:themeColor="text1"/>
          <w:sz w:val="16"/>
          <w:szCs w:val="16"/>
        </w:rPr>
        <w:t>в 1942 году завершилась Моздок-Малгобекская операция: советские войска заставили германское командование отказаться от наступления на грозненском направлении. Моздокская группировка противника, усиленная дивизией СС «Викинг», захватила Терек, Плановское, Эльхотово, Илларионовку (14783).</w:t>
      </w:r>
    </w:p>
    <w:p w14:paraId="4E7E7E75" w14:textId="77777777" w:rsidR="00C7427F" w:rsidRPr="00722885" w:rsidRDefault="00C7427F" w:rsidP="00722885">
      <w:pPr>
        <w:spacing w:after="0" w:line="240" w:lineRule="auto"/>
        <w:jc w:val="both"/>
        <w:rPr>
          <w:rFonts w:ascii="Times New Roman" w:hAnsi="Times New Roman"/>
          <w:color w:val="000000" w:themeColor="text1"/>
          <w:sz w:val="16"/>
          <w:szCs w:val="16"/>
        </w:rPr>
      </w:pPr>
    </w:p>
    <w:p w14:paraId="65C625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сентября 1942 г. вышел ПРИКАЗ НКО № 0760 ОБ ОТНЕСЕНИИ ДОЛЖНОСТЕЙ ЛЕТНОГО СОСТАВА РАЗВЕДЫВАТЕЛЬНОЙ АВИАЦИИ ВВС КРАСНОЙ АРМИИ К КОМАНДНЫМ ДОЛЖНОСТЯМ И ОБ УСТАНОВЛЕНИИ ЛЕТНОМУ СОСТАВУ ПОВЫШЕННЫХ ОКЛАДОВ СОДЕРЖАНИЯ</w:t>
      </w:r>
    </w:p>
    <w:p w14:paraId="7D938E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повышения качества боевой работы разведывательной авиации приказываю:</w:t>
      </w:r>
    </w:p>
    <w:p w14:paraId="20DAA6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Во всех частях разведывательной авиации ВВС Красной Армии штатные должности пилотов и стрелков-бомбардиров отнести к должностям среднего начсостава.</w:t>
      </w:r>
    </w:p>
    <w:p w14:paraId="7F2C3D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Установить с 1 октября 1942 года оклады содержания летному составу разведывательной авиации, фактически несущему боевую летную работу, в среднем на 40 % выше против существующих окладов для ближне-бомбарди-ровочной авиации.</w:t>
      </w:r>
    </w:p>
    <w:p w14:paraId="5F37DF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Размеры окладов по каждой должности установить начальнику Финансового управления совместно с УВВС Красной Армии.</w:t>
      </w:r>
    </w:p>
    <w:p w14:paraId="7D8BE41A"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 xml:space="preserve">Народный комиссар обороны СССР И. СТАЛИН </w:t>
      </w:r>
      <w:r w:rsidRPr="00722885">
        <w:rPr>
          <w:color w:val="000000" w:themeColor="text1"/>
          <w:sz w:val="16"/>
          <w:szCs w:val="16"/>
        </w:rPr>
        <w:t>(9844).</w:t>
      </w:r>
    </w:p>
    <w:p w14:paraId="7ABAC2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ф. 4, оп. 11, д. 72, л. 435. Подлинник.</w:t>
      </w:r>
    </w:p>
    <w:p w14:paraId="69D27738" w14:textId="77777777" w:rsidR="00090C9B" w:rsidRPr="00722885" w:rsidRDefault="00090C9B" w:rsidP="00722885">
      <w:pPr>
        <w:pStyle w:val="Iauiue"/>
        <w:jc w:val="both"/>
        <w:rPr>
          <w:color w:val="000000" w:themeColor="text1"/>
          <w:sz w:val="16"/>
          <w:szCs w:val="16"/>
        </w:rPr>
      </w:pPr>
    </w:p>
    <w:p w14:paraId="4A347E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сентября 1942 г. вышел ПРИКАЗ НКО № 298 С ОБЪЯВЛЕНИЕМ ПОЛОЖЕНИЙ О ШТРАФНЫХ БАТАЛЬОНАХ И РОТАХ* И ШТАТОВ ШТРАФНОГО БАТАЛЬОНА, РОТЫ И ЗАГРАДИТЕЛЬНОГО ОТРЯДА ДЕЙСТВУЮЩЕЙ АРМИИ</w:t>
      </w:r>
    </w:p>
    <w:p w14:paraId="5AE8C8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Объявляю для руководства:</w:t>
      </w:r>
    </w:p>
    <w:p w14:paraId="2F5E2D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Положение о штрафных батальонах действующей армии.</w:t>
      </w:r>
    </w:p>
    <w:p w14:paraId="4B13E0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Положение о штрафных ротах действующей армии.</w:t>
      </w:r>
    </w:p>
    <w:p w14:paraId="5489B9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Штат № 04/393 отдельного штрафного батальона действующей армии.</w:t>
      </w:r>
    </w:p>
    <w:p w14:paraId="42A37A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Штат № 04/392 отдельной штрафной роты действующей армии.</w:t>
      </w:r>
    </w:p>
    <w:p w14:paraId="14AA18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Штат №04/391 отдельного заградительного отряда действующей армии.**</w:t>
      </w:r>
    </w:p>
    <w:p w14:paraId="5C8C41B9"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Заместитель Народного комиссара обороны СССР армейский комиссар I ранга Е. Щ АДЕН КО</w:t>
      </w:r>
      <w:r w:rsidRPr="00722885">
        <w:rPr>
          <w:color w:val="000000" w:themeColor="text1"/>
          <w:sz w:val="16"/>
          <w:szCs w:val="16"/>
        </w:rPr>
        <w:t xml:space="preserve"> (9844).</w:t>
      </w:r>
    </w:p>
    <w:p w14:paraId="0BC244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26 сентября 1942 г. Заместитель Народного комиссара обороны СССР генерал армии </w:t>
      </w:r>
      <w:r w:rsidRPr="00722885">
        <w:rPr>
          <w:iCs/>
          <w:color w:val="000000" w:themeColor="text1"/>
          <w:sz w:val="16"/>
          <w:szCs w:val="16"/>
        </w:rPr>
        <w:t>Г. ЖУКОВ</w:t>
      </w:r>
      <w:r w:rsidRPr="00722885">
        <w:rPr>
          <w:color w:val="000000" w:themeColor="text1"/>
          <w:sz w:val="16"/>
          <w:szCs w:val="16"/>
        </w:rPr>
        <w:t xml:space="preserve"> утвердил:</w:t>
      </w:r>
    </w:p>
    <w:p w14:paraId="36C7EA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ПОЛОЖЕНИЕ О ШТРАФНЫХ БАТАЛЬОНАХ ДЕЙСТВУЮЩЕЙ АРМИИ</w:t>
      </w:r>
    </w:p>
    <w:p w14:paraId="2E89A4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I. Общие положения</w:t>
      </w:r>
    </w:p>
    <w:p w14:paraId="717AC2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Штрафные батальоны имеют целью дать возможность лицам среднего и старшего командного, политического и начальствующего состава всех родов войск, провинившимся в нарушении дисциплины по трусости или неустойчивости, кровью искупить свои преступления перед Родиной отважной борьбой с врагом на более трудном участке боевых действий.</w:t>
      </w:r>
    </w:p>
    <w:p w14:paraId="0D9730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Организация, численный и боевой состав, а также оклады содержания постоянному составу штрафных батальонов определяются особым штатом.</w:t>
      </w:r>
    </w:p>
    <w:p w14:paraId="7C3A56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Штрафные батальоны находятся в ведении военных советов фронтов. В пределах каждого фронта создаются от одного до трех штрафных батальонов, смотря по обстановке.</w:t>
      </w:r>
    </w:p>
    <w:p w14:paraId="651E83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Штрафной батальон придается стрелковой дивизии (отдельной срелко-вой бригаде), на участок которой он поставлен распоряжением военного совета фронта.</w:t>
      </w:r>
    </w:p>
    <w:p w14:paraId="5E9FF7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II. О постоянном составе штрафных батальонов</w:t>
      </w:r>
    </w:p>
    <w:p w14:paraId="39E754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Командиры и военные комиссары батальона и рот, командиры и политические руководители взводов, а также остальной постоянный начальствующий состав штрафных батальонов назначаются на должность приказом по войскам фронта из числа волевых и наиболее отличившихся в боях командиров и политработников.</w:t>
      </w:r>
    </w:p>
    <w:p w14:paraId="7AB1D6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Командир и военный комиссар штрафного батальона пользуются по отношению к штрафникам дисциплинарной властью командира и военного комиссара дивизии; заместители командира и военного комиссара батальона — властью командира и военного комиссара полка; командиры и военные комиссары рот — властью командира и военного комиссара батальона, а командиры и политические руководители взводов — властью командиров и политических руководителей рот.</w:t>
      </w:r>
    </w:p>
    <w:p w14:paraId="1391D8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Всему постоянному составу штрафных батальонов сроки выслуги в званиях, по сравнению с командным, политическим и начальствующим составом строевых частей действующей армии, сокращаются наполовину.</w:t>
      </w:r>
    </w:p>
    <w:p w14:paraId="5D34BE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Каждый месяц службы в постоянном составе штрафного батальона засчитывается при назначении пенсии за шесть месяцев.</w:t>
      </w:r>
    </w:p>
    <w:p w14:paraId="4B7467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III. О штрафниках</w:t>
      </w:r>
    </w:p>
    <w:p w14:paraId="4BBA7F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Лица среднего и старшего командного, политического и начальствующего состава направляются в штрафные батальоны приказом по дивизии или бригаде (по корпусу — в отношении личного состава корпусных частей или по армии и фронту — в отношении частей армейского и фронтового подчинения соответственно) на срок от одного до трех месяцев.</w:t>
      </w:r>
    </w:p>
    <w:p w14:paraId="4CC437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штрафные батальоны на те же сроки могут направляться также по приговору военных трибуналов (действующей армии и тыловых) лица среднего и старшего командного, политического и начальствующего состава, осужденные с применением отсрочки исполнения приговора (примечание 2 к ст. 28 Уголовного кодекса РСФСР).</w:t>
      </w:r>
    </w:p>
    <w:p w14:paraId="1E9F82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 лицах, направленных в штрафной батальон, немедленно доносится по команде и военному совету фронта с приложением копии приказа или приговора.</w:t>
      </w:r>
    </w:p>
    <w:p w14:paraId="685027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Примечание. Командиры и военные комиссары батальонов и</w:t>
      </w:r>
    </w:p>
    <w:p w14:paraId="66014D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полков могут быть направлены в штрафной батальон не иначе как по</w:t>
      </w:r>
    </w:p>
    <w:p w14:paraId="5B1589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приговору военного трибунала фронта.</w:t>
      </w:r>
    </w:p>
    <w:p w14:paraId="644703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Лица среднего и старшего командного, политического и начальствующего состава, направляемые в штрафной батальон, тем же приказом по дивизии или бригаде (корпусу, армии или войскам фронта соответственно) (ст. 9) подлежат разжалованию в рядовые.</w:t>
      </w:r>
    </w:p>
    <w:p w14:paraId="13596A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Перед направлением в штрафной батальон штрафник ставится перед строем своей части (подразделения), зачитывается приказ по дивизии или бригаде (корпусу, армии или войскам фронта соответственно) и разъясняется сущность совершенного преступления.</w:t>
      </w:r>
    </w:p>
    <w:p w14:paraId="685FDD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Ордена и медали у штрафника отбираются и на время его нахождения в штрафном батальоне передаются на хранение в отдел кадров фронта.</w:t>
      </w:r>
    </w:p>
    <w:p w14:paraId="40BF5E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Штрафникам выдается красноармейская книжка специального образца.</w:t>
      </w:r>
    </w:p>
    <w:p w14:paraId="08AC04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За неисполнение приказа, членовредительство, побег с поля боя или попытку перехода к врагу командный и политический состав штрафного батальона обязан применить все меры воздействия вплоть до расстрела на месте.</w:t>
      </w:r>
    </w:p>
    <w:p w14:paraId="4A328E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Штрафники могут быть приказом по штрафному батальону назначены на должности младшего командного состава с присвоением званий ефрейтора, младшего сержанта и сержанта.</w:t>
      </w:r>
    </w:p>
    <w:p w14:paraId="108D15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Штрафникам, назначенным на должности младшего командного состава, выплачивается содержание по занимаемым должностям, остальным штрафникам — в размере 8 руб. 50 коп, в месяц. Полевые деньги штрафникам не выплачиваются.</w:t>
      </w:r>
    </w:p>
    <w:p w14:paraId="0F8654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Выплата денег семье по денежному аттестату прекращается и она переводится на пособие, установленное для семей красноармейцев и младших командиров Указами Президиума Верховного Совета СССР от 26 июня 1941 г.* и от 19 июля 1942 г.**</w:t>
      </w:r>
    </w:p>
    <w:p w14:paraId="2F65E3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За боевое отличие штрафник может быть освобожден досрочно по представлению командования штрафного батальона, утвержденному военным советом фронта.</w:t>
      </w:r>
    </w:p>
    <w:p w14:paraId="72E166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особо выдающееся боевое отличие штрафник, кроме того, представляется к правительственной награде.</w:t>
      </w:r>
    </w:p>
    <w:p w14:paraId="4C2412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Перед оставлением штрафного батальона досрочно освобожденный ставится перед строем батальона, зачитывается приказ о досрочном освобождении и разъясняется сущность совершенного подвига.</w:t>
      </w:r>
    </w:p>
    <w:p w14:paraId="1EF912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По отбытии назначенного срока штрафники представляются командованием батальона военному совету фронта на предмет освобождения и по утверждении представления освобождаются из штрафного батальона.</w:t>
      </w:r>
    </w:p>
    <w:p w14:paraId="545536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Все освобожденные из штрафного батальона восстанавливаются в звании и во всех правах.</w:t>
      </w:r>
    </w:p>
    <w:p w14:paraId="64083A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Штрафники, получившие ранение в бою, считаются отбывшими наказание, восстанавливаются в звании и во всех правах и по выздоровлении направляются для дальнейшего прохождения службы, а инвалидам назначается пенсия из оклада содержания по последней должности перед зачислением в штрафной батальон.</w:t>
      </w:r>
    </w:p>
    <w:p w14:paraId="2ABB80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Семьям погибших штрафников назначается пенсия на общих основаниях со всеми семьями командиров из оклада содержания по последней должности до направления в штрафной батальон.</w:t>
      </w:r>
    </w:p>
    <w:p w14:paraId="764FC86A" w14:textId="77777777" w:rsidR="00090C9B" w:rsidRPr="00722885" w:rsidRDefault="00090C9B" w:rsidP="00722885">
      <w:pPr>
        <w:pStyle w:val="Iauiue"/>
        <w:jc w:val="both"/>
        <w:rPr>
          <w:color w:val="000000" w:themeColor="text1"/>
          <w:sz w:val="16"/>
          <w:szCs w:val="16"/>
        </w:rPr>
      </w:pPr>
    </w:p>
    <w:p w14:paraId="6DC883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сентября 1942 налету подверглись предприятия Микояновского района г. Астрахани. Были разрушены четыре жилых дома, убиты и ранены 15 человек. При этом сильно пострадал судостроительный завод. После чего Астраханским горкомитетом обороны было принято решение об эвакуации его рабочего и инженерно-технического персонала в город Пржевальск, на озере Иссык-Куль, с тем чтобы строить бронекатера уже там. В тот же день Люфтваффе нанесли серию ударов по сталинградскому берегу, удерживаемому советскими войсками, заводам «Красный Октябрь» и «Баррикады», а также по переправам через Волгу. При этом были тяжело повреждены пять из шести резервных кораблей, использовавшихся для доставки продовольствия и боеприпасов. 29 сентября «Штуки» совершили несколько налетов на тракторный завод. В итоге в девятнадцати цехах возникли новые пожары, некоторые здания были полностью уничтожены (11774).</w:t>
      </w:r>
    </w:p>
    <w:p w14:paraId="4061A69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D40E0A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28 сентября 1942 вышло Постановление ГКО № 2351 Вопросы партизанского движения. (7056, 38-39 ).</w:t>
      </w:r>
    </w:p>
    <w:p w14:paraId="3CF7FCF4" w14:textId="77777777" w:rsidR="00090C9B" w:rsidRPr="00722885" w:rsidRDefault="00090C9B" w:rsidP="00722885">
      <w:pPr>
        <w:pStyle w:val="Iauiue"/>
        <w:tabs>
          <w:tab w:val="left" w:pos="11199"/>
        </w:tabs>
        <w:jc w:val="both"/>
        <w:rPr>
          <w:color w:val="000000" w:themeColor="text1"/>
          <w:sz w:val="16"/>
          <w:szCs w:val="16"/>
        </w:rPr>
      </w:pPr>
    </w:p>
    <w:p w14:paraId="10AFE7CC"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28 сентября </w:t>
      </w:r>
      <w:r w:rsidRPr="00722885">
        <w:rPr>
          <w:rFonts w:ascii="Times New Roman" w:hAnsi="Times New Roman"/>
          <w:color w:val="000000" w:themeColor="text1"/>
          <w:sz w:val="16"/>
          <w:szCs w:val="16"/>
        </w:rPr>
        <w:t>в 1942 году ГКО принял постановление о переформировании штабов партизанского движения в представительства Центрального ШПД на фронтах (14783).</w:t>
      </w:r>
    </w:p>
    <w:p w14:paraId="475C37B4" w14:textId="77777777" w:rsidR="00C7427F" w:rsidRPr="00722885" w:rsidRDefault="00C7427F" w:rsidP="00722885">
      <w:pPr>
        <w:spacing w:after="0" w:line="240" w:lineRule="auto"/>
        <w:jc w:val="both"/>
        <w:rPr>
          <w:rFonts w:ascii="Times New Roman" w:hAnsi="Times New Roman"/>
          <w:color w:val="000000" w:themeColor="text1"/>
          <w:sz w:val="16"/>
          <w:szCs w:val="16"/>
        </w:rPr>
      </w:pPr>
    </w:p>
    <w:p w14:paraId="37D1CFE1" w14:textId="77777777" w:rsidR="007E1EF8" w:rsidRPr="00722885" w:rsidRDefault="007E1EF8"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0720BC44" w14:textId="77777777" w:rsidR="007E1EF8" w:rsidRPr="00722885" w:rsidRDefault="007E1EF8" w:rsidP="00722885">
      <w:pPr>
        <w:pStyle w:val="Iauiue"/>
        <w:jc w:val="both"/>
        <w:rPr>
          <w:iCs/>
          <w:color w:val="000000" w:themeColor="text1"/>
          <w:sz w:val="16"/>
          <w:szCs w:val="16"/>
        </w:rPr>
      </w:pPr>
    </w:p>
    <w:p w14:paraId="0DE321CC" w14:textId="77777777" w:rsidR="007E1EF8" w:rsidRPr="00722885" w:rsidRDefault="007E1EF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сентября 1942. На экраны кинотеатров вышел художественный фильм "Как закалялась сталь" по роману Н. Островского (18696).</w:t>
      </w:r>
    </w:p>
    <w:p w14:paraId="5D943F36" w14:textId="77777777" w:rsidR="007E1EF8" w:rsidRPr="00722885" w:rsidRDefault="007E1EF8" w:rsidP="00722885">
      <w:pPr>
        <w:spacing w:after="0" w:line="240" w:lineRule="auto"/>
        <w:jc w:val="both"/>
        <w:rPr>
          <w:rFonts w:ascii="Times New Roman" w:hAnsi="Times New Roman"/>
          <w:color w:val="000000" w:themeColor="text1"/>
          <w:sz w:val="16"/>
          <w:szCs w:val="16"/>
        </w:rPr>
      </w:pPr>
    </w:p>
    <w:p w14:paraId="1B49EBFC" w14:textId="77777777" w:rsidR="00C7427F"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DEEF590" w14:textId="77777777" w:rsidR="00C7427F" w:rsidRPr="00722885" w:rsidRDefault="00C7427F" w:rsidP="00722885">
      <w:pPr>
        <w:pStyle w:val="Iauiue"/>
        <w:jc w:val="both"/>
        <w:rPr>
          <w:iCs/>
          <w:color w:val="000000" w:themeColor="text1"/>
          <w:sz w:val="16"/>
          <w:szCs w:val="16"/>
        </w:rPr>
      </w:pPr>
    </w:p>
    <w:p w14:paraId="534F9F68"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lastRenderedPageBreak/>
        <w:t xml:space="preserve">28 сентября </w:t>
      </w:r>
      <w:r w:rsidRPr="00722885">
        <w:rPr>
          <w:rFonts w:ascii="Times New Roman" w:hAnsi="Times New Roman"/>
          <w:color w:val="000000" w:themeColor="text1"/>
          <w:sz w:val="16"/>
          <w:szCs w:val="16"/>
        </w:rPr>
        <w:t>в 1942 году в «Правде» опубликовано советско-французское коммюнике «Об отношении правительства СССР к движению «Сражающаяся Франция» и французскому национальному комитету» (14783).</w:t>
      </w:r>
    </w:p>
    <w:p w14:paraId="30A329A1" w14:textId="77777777" w:rsidR="00C7427F" w:rsidRPr="00722885" w:rsidRDefault="00C7427F" w:rsidP="00722885">
      <w:pPr>
        <w:spacing w:after="0" w:line="240" w:lineRule="auto"/>
        <w:jc w:val="both"/>
        <w:rPr>
          <w:rFonts w:ascii="Times New Roman" w:hAnsi="Times New Roman"/>
          <w:color w:val="000000" w:themeColor="text1"/>
          <w:sz w:val="16"/>
          <w:szCs w:val="16"/>
        </w:rPr>
      </w:pPr>
    </w:p>
    <w:p w14:paraId="7E80DEF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0F60BD6" w14:textId="77777777" w:rsidR="00090C9B" w:rsidRPr="00722885" w:rsidRDefault="00090C9B" w:rsidP="00722885">
      <w:pPr>
        <w:pStyle w:val="Iauiue"/>
        <w:jc w:val="both"/>
        <w:rPr>
          <w:iCs/>
          <w:color w:val="000000" w:themeColor="text1"/>
          <w:sz w:val="16"/>
          <w:szCs w:val="16"/>
        </w:rPr>
      </w:pPr>
    </w:p>
    <w:p w14:paraId="6A30D87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28 сентября 1942 в районе Алеутских островов канадские самолеты совершили первую атаку против японских военных кораблей (4962).</w:t>
      </w:r>
    </w:p>
    <w:p w14:paraId="6EEC8718" w14:textId="77777777" w:rsidR="00090C9B" w:rsidRPr="00722885" w:rsidRDefault="00090C9B" w:rsidP="00722885">
      <w:pPr>
        <w:pStyle w:val="Iauiue"/>
        <w:tabs>
          <w:tab w:val="left" w:pos="11199"/>
        </w:tabs>
        <w:jc w:val="both"/>
        <w:rPr>
          <w:color w:val="000000" w:themeColor="text1"/>
          <w:sz w:val="16"/>
          <w:szCs w:val="16"/>
        </w:rPr>
      </w:pPr>
    </w:p>
    <w:p w14:paraId="0307A3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сентября 1942 г. после неудачного боя с американским (вооруженным!) сухогрузом корабль затонул в</w:t>
      </w:r>
      <w:r w:rsidRPr="00722885">
        <w:rPr>
          <w:rStyle w:val="198"/>
          <w:color w:val="000000" w:themeColor="text1"/>
          <w:sz w:val="16"/>
          <w:szCs w:val="16"/>
        </w:rPr>
        <w:t xml:space="preserve"> Южной</w:t>
      </w:r>
      <w:r w:rsidRPr="00722885">
        <w:rPr>
          <w:rFonts w:ascii="Times New Roman" w:hAnsi="Times New Roman"/>
          <w:color w:val="000000" w:themeColor="text1"/>
          <w:sz w:val="16"/>
          <w:szCs w:val="16"/>
        </w:rPr>
        <w:t xml:space="preserve"> Атлантике вместе с самолетами. В 1938—40 гг. фирмой «Арадо» был спроектиро</w:t>
      </w:r>
      <w:r w:rsidRPr="00722885">
        <w:rPr>
          <w:rFonts w:ascii="Times New Roman" w:hAnsi="Times New Roman"/>
          <w:color w:val="000000" w:themeColor="text1"/>
          <w:sz w:val="16"/>
          <w:szCs w:val="16"/>
        </w:rPr>
        <w:softHyphen/>
        <w:t>ван и построен в количестве шести экземпля</w:t>
      </w:r>
      <w:r w:rsidRPr="00722885">
        <w:rPr>
          <w:rFonts w:ascii="Times New Roman" w:hAnsi="Times New Roman"/>
          <w:color w:val="000000" w:themeColor="text1"/>
          <w:sz w:val="16"/>
          <w:szCs w:val="16"/>
        </w:rPr>
        <w:softHyphen/>
        <w:t>ров складной гидросамолет Аг.231. Все изго</w:t>
      </w:r>
      <w:r w:rsidRPr="00722885">
        <w:rPr>
          <w:rFonts w:ascii="Times New Roman" w:hAnsi="Times New Roman"/>
          <w:color w:val="000000" w:themeColor="text1"/>
          <w:sz w:val="16"/>
          <w:szCs w:val="16"/>
        </w:rPr>
        <w:softHyphen/>
        <w:t>товленные аппараты считались прототипа</w:t>
      </w:r>
      <w:r w:rsidRPr="00722885">
        <w:rPr>
          <w:rFonts w:ascii="Times New Roman" w:hAnsi="Times New Roman"/>
          <w:color w:val="000000" w:themeColor="text1"/>
          <w:sz w:val="16"/>
          <w:szCs w:val="16"/>
        </w:rPr>
        <w:softHyphen/>
        <w:t>ми, однако это не помешало попытаться ис</w:t>
      </w:r>
      <w:r w:rsidRPr="00722885">
        <w:rPr>
          <w:rFonts w:ascii="Times New Roman" w:hAnsi="Times New Roman"/>
          <w:color w:val="000000" w:themeColor="text1"/>
          <w:sz w:val="16"/>
          <w:szCs w:val="16"/>
        </w:rPr>
        <w:softHyphen/>
        <w:t>пользовать их на практике. В частности, в связи с возобновлением «пароходного» рей- дерства их можно было пристроить на один из новоявленных вспомогательных крейсе</w:t>
      </w:r>
      <w:r w:rsidRPr="00722885">
        <w:rPr>
          <w:rFonts w:ascii="Times New Roman" w:hAnsi="Times New Roman"/>
          <w:color w:val="000000" w:themeColor="text1"/>
          <w:sz w:val="16"/>
          <w:szCs w:val="16"/>
        </w:rPr>
        <w:softHyphen/>
        <w:t>ров. Два экземпляра Аг.231 разместили на замаскированном под пассажирский паро</w:t>
      </w:r>
      <w:r w:rsidRPr="00722885">
        <w:rPr>
          <w:rFonts w:ascii="Times New Roman" w:hAnsi="Times New Roman"/>
          <w:color w:val="000000" w:themeColor="text1"/>
          <w:sz w:val="16"/>
          <w:szCs w:val="16"/>
        </w:rPr>
        <w:softHyphen/>
        <w:t>ход судне «5пег», которое вышло в море в мае 1942 г. Очень скоро выяснилось, что самоле</w:t>
      </w:r>
      <w:r w:rsidRPr="00722885">
        <w:rPr>
          <w:rFonts w:ascii="Times New Roman" w:hAnsi="Times New Roman"/>
          <w:color w:val="000000" w:themeColor="text1"/>
          <w:sz w:val="16"/>
          <w:szCs w:val="16"/>
        </w:rPr>
        <w:softHyphen/>
        <w:t>ты Аг.231 совершенно неудачны, поэтому на практике они не использовались. Да и сам пароход «5иег» оказался одним из самых не</w:t>
      </w:r>
      <w:r w:rsidRPr="00722885">
        <w:rPr>
          <w:rFonts w:ascii="Times New Roman" w:hAnsi="Times New Roman"/>
          <w:color w:val="000000" w:themeColor="text1"/>
          <w:sz w:val="16"/>
          <w:szCs w:val="16"/>
        </w:rPr>
        <w:softHyphen/>
        <w:t>счастливых немецких рейдеров (12301).</w:t>
      </w:r>
    </w:p>
    <w:p w14:paraId="5711678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1BD0DE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CCBCE7B" w14:textId="77777777" w:rsidR="00090C9B" w:rsidRPr="00722885" w:rsidRDefault="00090C9B" w:rsidP="00722885">
      <w:pPr>
        <w:pStyle w:val="Iauiue"/>
        <w:jc w:val="both"/>
        <w:rPr>
          <w:iCs/>
          <w:color w:val="000000" w:themeColor="text1"/>
          <w:sz w:val="16"/>
          <w:szCs w:val="16"/>
        </w:rPr>
      </w:pPr>
    </w:p>
    <w:p w14:paraId="11BD23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сентября 1942 С.В.И. писал письмо N 546с НКВ Устинову (копия Зам. ГИ ВВС А.А.Лапину и Нач. ОКБ-16 Глухареву):</w:t>
      </w:r>
    </w:p>
    <w:p w14:paraId="2017C3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модифицированный Ил-2 мною предполагается установить пушки ОКБ-16 11-П.</w:t>
      </w:r>
    </w:p>
    <w:p w14:paraId="4AA23A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того, чтобы технически правильно рассчитать крепление пушки, мне необходимо иметь действительное усилие отдачи этой пушки.</w:t>
      </w:r>
    </w:p>
    <w:p w14:paraId="4CA012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Прошу вашего распоряжения о замере фактического усилия отдачи пушки 11-П.</w:t>
      </w:r>
    </w:p>
    <w:p w14:paraId="33FEB6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 Ваших решениях прошу меня уведомить." (1775,212).</w:t>
      </w:r>
    </w:p>
    <w:p w14:paraId="4DB27053" w14:textId="77777777" w:rsidR="00090C9B" w:rsidRPr="00722885" w:rsidRDefault="00090C9B" w:rsidP="00722885">
      <w:pPr>
        <w:pStyle w:val="Iauiue"/>
        <w:jc w:val="both"/>
        <w:rPr>
          <w:color w:val="000000" w:themeColor="text1"/>
          <w:sz w:val="16"/>
          <w:szCs w:val="16"/>
        </w:rPr>
      </w:pPr>
    </w:p>
    <w:p w14:paraId="518BEE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сентября 1942-го, в обеспечение вышедшего 25 сентября 1942 Постановления ГКО вышел Приказ по НКАП № 732, согласно которому Главный конструктор ОКБ завода № 24 А.М.Микулин и директор завода М.С.Жезлов обязывались: к 1 января 1943 г. построить и провести совместные 50-часовые испытания мотора АМ-42 с жидкостным охлаждением со следующими данными: взлетная мощность Nвзл=2000 л. с. при п=2350-2400 об/мин, номинальная мощность Мо=1б50л. с.</w:t>
      </w:r>
    </w:p>
    <w:p w14:paraId="0047AA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15 января 1943 г. передать Главному конструктору С. В. Ильюшину два мотора АМ-42 и обеспечить к 1 марта окончание государственных испытаний самолета-штурмовика с мотором АМ-42, а с апреля месяца приступить к серийному выпуску нового мотора (9649).</w:t>
      </w:r>
    </w:p>
    <w:p w14:paraId="5872A824" w14:textId="77777777" w:rsidR="00090C9B" w:rsidRPr="00722885" w:rsidRDefault="00090C9B" w:rsidP="00722885">
      <w:pPr>
        <w:pStyle w:val="Iauiue"/>
        <w:jc w:val="both"/>
        <w:rPr>
          <w:color w:val="000000" w:themeColor="text1"/>
          <w:sz w:val="16"/>
          <w:szCs w:val="16"/>
        </w:rPr>
      </w:pPr>
    </w:p>
    <w:p w14:paraId="41A94E56"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сентября 1942 года во исполнение постановления ГКО № 2347 сс от 25 сентября (согласно которому ОКБ-240 (С. В. Ильюшин) и заводу № 18 (А. А. Белянский) поручалось построить модифицированный самолет-штурмовик Ил-2 с мотором АМ-42 и обеспечить к 1 марта 1943 года окончание его государственных испытаний. Одновременно А. А. Микулин и директор завода № 24 М. С. Жезлов обязывались к 1 января 1943 года провести совместные 50-часовые испытания мотора АМ-42, к 15 января – передать Ильюшину два мотора АМ-42 и с апреля месяца приступить к серийному выпуску мотора АМ-42), вышел соответствующий приказ по наркомату авиапромышленности № 732.</w:t>
      </w:r>
    </w:p>
    <w:p w14:paraId="172F18A1"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Компоновочная схема большой модификации «двойки» – Ил-2М, площадь, размах и аэродинамический профиль крыла (Clark-YH – относительная толщина 14 % у корня, 10 % на концах) и конструктивные решения многих узлов и агрегатов остались такими же, как и на Ил-2 АМ-38ф, но по некоторым геометрическим параметрам и конструкции машину следует считать все же новым самолетом.</w:t>
      </w:r>
    </w:p>
    <w:p w14:paraId="04D094BC"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повышения эффективности хвостового оперения закабинная часть фюзеляжа по сравнению с самолетом Ил-2 стала длиннее на 1,25 м. Крыло и узлы его подвески с целью повышения эксплуатационных качеств были значительно усилены.</w:t>
      </w:r>
    </w:p>
    <w:p w14:paraId="50E6A545"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Консоли крыла смешанной конструкции: лонжероны – металлические, нервюры – деревянные, обшивка – фанерная.</w:t>
      </w:r>
    </w:p>
    <w:p w14:paraId="3B5F3204"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Новым было введение взлетного (отклонение на 17°) и посадочного (отклонение на 45°) положения щитков.</w:t>
      </w:r>
    </w:p>
    <w:p w14:paraId="4E0E9726"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использованием воздушного винта серии АВ-5 диаметром 4,0 м удлинили стойки основного шасси. Соответственно изменились по форме и габаритам обтекатели, в которые убиралось шасси. Само же шасси выполнялось, как и на Ил-2, двухстоечным. Амортизаторы – воздушно-масляные. Управление уборкой и выпуском шасси – от воздушной системы. Усиливались фермы костыля и шпангоут крепления.</w:t>
      </w:r>
    </w:p>
    <w:p w14:paraId="20C96286"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Некоторое улучшение аэродинамики Ил-2М достигалось размещением водо- и маслорадиаторов в одном воздушном канале внутри бронекорпуса, который был выполнен по типу самолета Ил-2. При этом «первым по потоку стоит масляный радиатор, за ним водяной». Всасывающий патрубок мотора расположили на левом борту фюзеляжа. На нем монтировался воздушный пылефильтр типа ЦАГИ.</w:t>
      </w:r>
    </w:p>
    <w:p w14:paraId="68D580B9"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Установка радиаторов внутри бронекапота повышала и боевую живучесть самолета. С этой же целью на Ил-2М предполагалось усилить бронирование мотора, его агрегатов, бензо- и маслобаков с магистралями, применить топливные баки, оснащенные протектором, а также установить систему заполнения бензобаков нейтральным газом от выхлопа мотора. Стрелок полностью бронировался. Со стороны хвоста стрелок защищался 16-мм броней. Посадка и покидание стрелка осуществлялись через специальный люк в полу кабины. В самом люке планировалось устанавливать фотоаппарат АФА-1. Люк имел аварийный сброс в полете. Фонарю кабины летчика была «придана лучшая аэродинамическая форма». Для повышения обзорности прозрачная броня предполагалась сплошной, вместо таблеток как на Ил-2.</w:t>
      </w:r>
    </w:p>
    <w:p w14:paraId="61B83570"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должен был иметь максимальную бомбовую нагрузку до 1000 кг, включающую авиабомбы калибра 500 кг.</w:t>
      </w:r>
    </w:p>
    <w:p w14:paraId="72E6E9AB"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Стрелково-пушечное вооружение самолета было вполне «стандартным» для этого периода войны и включало две пушки ВЯ (300 патронов) и два пулемета ШКАС (1500 патронов) в крыле. Ракетное вооружение не предполагалось.</w:t>
      </w:r>
    </w:p>
    <w:p w14:paraId="1F9F391D"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Особенностью Ил-2М являлась шарообразная бронированная башня стрелка-радиста (по типу башни самолета БШ-М-71), обеспечивающая одновременно хорошую защиту стрелка и большие углы обстрела из крупнокалиберного пулемета УБК: вправо и влево – до 120°, вверх – до 49°, вниз с бортов – до 15°.</w:t>
      </w:r>
    </w:p>
    <w:p w14:paraId="3A5EC7E8"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Попутно отметим, что никаких других самолетов семейства Ил-2 с индексом «М» и другими цифровыми «довесками», как это указывается в ряде публикаций, никогда не строилось и тем более серийно не выпускалось (17490).</w:t>
      </w:r>
    </w:p>
    <w:p w14:paraId="6127D5DD" w14:textId="77777777" w:rsidR="00CE4D22" w:rsidRPr="00722885" w:rsidRDefault="00CE4D22" w:rsidP="00722885">
      <w:pPr>
        <w:spacing w:after="0" w:line="240" w:lineRule="auto"/>
        <w:jc w:val="both"/>
        <w:rPr>
          <w:rFonts w:ascii="Times New Roman" w:hAnsi="Times New Roman"/>
          <w:color w:val="000000" w:themeColor="text1"/>
          <w:sz w:val="16"/>
          <w:szCs w:val="16"/>
        </w:rPr>
      </w:pPr>
    </w:p>
    <w:p w14:paraId="50445D2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сентября 1942 приказом по НКАП главный конструктор завода № 24 А.А. Микулин и директор предприятия М.С. Жезлов обязывались к 1 января 1943 г. провести совместные 50-часовые испытания мотора АМ-42, к 15 января передать Ильюшину два таких двигате</w:t>
      </w:r>
      <w:r w:rsidRPr="00722885">
        <w:rPr>
          <w:rFonts w:ascii="Times New Roman" w:hAnsi="Times New Roman"/>
          <w:color w:val="000000" w:themeColor="text1"/>
          <w:sz w:val="16"/>
          <w:szCs w:val="16"/>
        </w:rPr>
        <w:softHyphen/>
        <w:t>ля и к 1 марта обеспечить окончание го</w:t>
      </w:r>
      <w:r w:rsidRPr="00722885">
        <w:rPr>
          <w:rFonts w:ascii="Times New Roman" w:hAnsi="Times New Roman"/>
          <w:color w:val="000000" w:themeColor="text1"/>
          <w:sz w:val="16"/>
          <w:szCs w:val="16"/>
        </w:rPr>
        <w:softHyphen/>
        <w:t>сударственных испытаний штурмовика с АМ-42. С апреля же планировалось при</w:t>
      </w:r>
      <w:r w:rsidRPr="00722885">
        <w:rPr>
          <w:rFonts w:ascii="Times New Roman" w:hAnsi="Times New Roman"/>
          <w:color w:val="000000" w:themeColor="text1"/>
          <w:sz w:val="16"/>
          <w:szCs w:val="16"/>
        </w:rPr>
        <w:softHyphen/>
        <w:t>ступить уже к серийному выпуску ново</w:t>
      </w:r>
      <w:r w:rsidRPr="00722885">
        <w:rPr>
          <w:rFonts w:ascii="Times New Roman" w:hAnsi="Times New Roman"/>
          <w:color w:val="000000" w:themeColor="text1"/>
          <w:sz w:val="16"/>
          <w:szCs w:val="16"/>
        </w:rPr>
        <w:softHyphen/>
        <w:t>го мотора (10680).</w:t>
      </w:r>
    </w:p>
    <w:p w14:paraId="69B72B5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3057D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сентября 1942 вышел приказ НКАП N 732сс "Во исполнение постановления ГКО Обороны СССР N ГОКО-2347сс от 25 сентября 1943 приказываю:</w:t>
      </w:r>
    </w:p>
    <w:p w14:paraId="749CE4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директору завода N 24 М.С.Жезлову и Гл. конструктору. Микулину:</w:t>
      </w:r>
    </w:p>
    <w:p w14:paraId="41EA5F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закончить доводку и провести в октябре 1942 официальные длительные 100 часовые испытания мотора АМ-38Ф со следующими данными:</w:t>
      </w:r>
    </w:p>
    <w:p w14:paraId="576814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мощность - 1700 л.с.,</w:t>
      </w:r>
    </w:p>
    <w:p w14:paraId="4EED24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число оборотов на взлете - 2350 об/мин,</w:t>
      </w:r>
    </w:p>
    <w:p w14:paraId="7AA140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номинальная мощность у земли - 1500 л.с.</w:t>
      </w:r>
    </w:p>
    <w:p w14:paraId="173E9A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Повышение взлетной мощности и одновременное повышение числа оборотов мотора АМ-38Ф, по сравнению с моторами АМ-38, улучшает взлет и уменьшает разбег одноместного самолета Ил-2 на 30%, а также обеспечит возможность выпуска двухместных самолетов Ил-2 без ухудшения их взлетных свойств;</w:t>
      </w:r>
    </w:p>
    <w:p w14:paraId="57C6D2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для обеспечения указанных данных и повышения надежности работы АМ-38 разрешить заводу 24 ввести в конструкцию АМ-38 следующие изменения...</w:t>
      </w:r>
    </w:p>
    <w:p w14:paraId="018601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для обеспечения возможности эксплуатации АМ-38Ф на Уфимском бензине 4Б-78 и американском бензине Б-95 ввести на основании опытных работ завода 24 уменьшенную степень сжатия и измененное положение свечей в камере сгорания.</w:t>
      </w:r>
    </w:p>
    <w:p w14:paraId="0D0550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выпустить в счет серийной программы завода N 24 АМ-38Ф в 1942г.: в октябре - 10, в ноябре - 100, в декабре - 300, в январе 1943 - 600 моторов, а с февраля 1943 выпускать только форсированные моторы АМ-38Ф.</w:t>
      </w:r>
    </w:p>
    <w:p w14:paraId="1FDC99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Директору завода N 24 М.С.Жезлову и Гл. конструктору. Микулину</w:t>
      </w:r>
    </w:p>
    <w:p w14:paraId="6CF9B1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построить и провести к 1 января 1943 совместные 50 часовые испытания нового мотора АМ-42 со следующими данными:</w:t>
      </w:r>
    </w:p>
    <w:p w14:paraId="421111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мощность - 2000 л.с.</w:t>
      </w:r>
    </w:p>
    <w:p w14:paraId="23EA23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числе оборотов 2350-2400 об/мин.</w:t>
      </w:r>
    </w:p>
    <w:p w14:paraId="6854E4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Номинальная мощность - 1650 л.с. (у земли).</w:t>
      </w:r>
    </w:p>
    <w:p w14:paraId="1BBE55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числе оборотов - 2200-2250 об/мин.</w:t>
      </w:r>
    </w:p>
    <w:p w14:paraId="6FD50E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октановое число топлива - 98</w:t>
      </w:r>
    </w:p>
    <w:p w14:paraId="5B92CA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степень редукции - 0,59</w:t>
      </w:r>
    </w:p>
    <w:p w14:paraId="296CE72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допускаемая максимальная температура ыоды на выходе из мотора на режимах взлета и набора высоты - 120</w:t>
      </w:r>
    </w:p>
    <w:p w14:paraId="51ECB3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режиме горизонтального полета - 110</w:t>
      </w:r>
    </w:p>
    <w:p w14:paraId="00ABA0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максимальная температура масла на входе в мотор - 85</w:t>
      </w:r>
    </w:p>
    <w:p w14:paraId="5341FA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закончить доводку и провести государственные 100 часовые испытания мотора АМ-42 к 1 марта 1943 г.</w:t>
      </w:r>
    </w:p>
    <w:p w14:paraId="253D89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изготовить в счет серийной программы завода, для проведения доводочных работ, стендовых и летных испытаний моторов АМ-42 в 1942: в ноябре - 5, в декабре - 10, в 1943 в январе - 10, в феврале - 20, в марте - 50</w:t>
      </w:r>
    </w:p>
    <w:p w14:paraId="44C7E2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подготовку к серийному производству АМ-42 закончить к апрелю 1943 и, начиная, с апреля 1943, приступить к серийному выпуску АМ-42</w:t>
      </w:r>
    </w:p>
    <w:p w14:paraId="433AB9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передать ГК С.В.И. к 15 января 1943 2 АМ-42 для проведения летных испытаний</w:t>
      </w:r>
    </w:p>
    <w:p w14:paraId="3EDBB4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Гл. конструктору Ильюшину обеспечить окончание гос. испытаний самолета-штурмовика с мотором АМ-42 к 1 марта 1943 г.</w:t>
      </w:r>
    </w:p>
    <w:p w14:paraId="0DB793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Считать, что изготовление опытных АМ-38Ф и АМ-42 и деталей к ним является первоочередной задачей завода 24 и что невыполнение задания по АМ-38Ф и АМ-42 в указанные сроки будет рассматриваться, как невыполнение гос. задания заводом.</w:t>
      </w:r>
    </w:p>
    <w:p w14:paraId="56A64F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В целях обеспечения опытных работ по АМ-42 обязать Зам. НКАП Дементьева и директора завода 24 Жезлова к 1 ноября 1942 восстановить ОКБ ГК завода 24 А.А.М. в объеме, соответствующем доэвакуационному периоду по производственным площадям, оборудованию и штату, укомплектовав его б. работниками ОКБ завода 24 за счет перевода их обратно из серийных цехов завода 24 и 45.</w:t>
      </w:r>
    </w:p>
    <w:p w14:paraId="454BFD7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Директору завода № 219 - т. Жхареву приступить к опытному, производству литья головок блока АМ-42 по чертежам завода № 24 с поставкой в следующие сроки: 20.</w:t>
      </w:r>
      <w:r w:rsidRPr="00722885">
        <w:rPr>
          <w:rFonts w:ascii="Times New Roman" w:hAnsi="Times New Roman"/>
          <w:color w:val="000000" w:themeColor="text1"/>
          <w:sz w:val="16"/>
          <w:szCs w:val="16"/>
          <w:lang w:val="en-US"/>
        </w:rPr>
        <w:t>XI</w:t>
      </w:r>
      <w:r w:rsidRPr="00722885">
        <w:rPr>
          <w:rFonts w:ascii="Times New Roman" w:hAnsi="Times New Roman"/>
          <w:color w:val="000000" w:themeColor="text1"/>
          <w:sz w:val="16"/>
          <w:szCs w:val="16"/>
        </w:rPr>
        <w:t>. - 5 комп</w:t>
      </w:r>
      <w:r w:rsidRPr="00722885">
        <w:rPr>
          <w:rFonts w:ascii="Times New Roman" w:hAnsi="Times New Roman"/>
          <w:color w:val="000000" w:themeColor="text1"/>
          <w:sz w:val="16"/>
          <w:szCs w:val="16"/>
        </w:rPr>
        <w:softHyphen/>
        <w:t>лектов, 25.Х1. - 5 комплектов, 1.ХП. - 10 комплектов и 15.ХП - 50 комплектов.</w:t>
      </w:r>
    </w:p>
    <w:p w14:paraId="0F48632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Дальнейшую поставку производить в соответствии с программой завода № 24.</w:t>
      </w:r>
    </w:p>
    <w:p w14:paraId="670F9DB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Директору завода № 24 - т. Жезлову обеспечить завод № 219 чертежами головок блока к 5.</w:t>
      </w:r>
      <w:r w:rsidRPr="00722885">
        <w:rPr>
          <w:rFonts w:ascii="Times New Roman" w:hAnsi="Times New Roman"/>
          <w:color w:val="000000" w:themeColor="text1"/>
          <w:sz w:val="16"/>
          <w:szCs w:val="16"/>
          <w:lang w:val="en-US"/>
        </w:rPr>
        <w:t>X</w:t>
      </w:r>
      <w:r w:rsidRPr="00722885">
        <w:rPr>
          <w:rFonts w:ascii="Times New Roman" w:hAnsi="Times New Roman"/>
          <w:color w:val="000000" w:themeColor="text1"/>
          <w:sz w:val="16"/>
          <w:szCs w:val="16"/>
        </w:rPr>
        <w:t>.1942 года.</w:t>
      </w:r>
    </w:p>
    <w:p w14:paraId="5D2330B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Начальнику Оргавиапрома - т. Лисицыну, директору за-да № 165 т. Мизюрову и директору завода № 25 - т. Исакову переключить мощности завода № 165 и завода № 25 на изготовле</w:t>
      </w:r>
      <w:r w:rsidRPr="00722885">
        <w:rPr>
          <w:rFonts w:ascii="Times New Roman" w:hAnsi="Times New Roman"/>
          <w:color w:val="000000" w:themeColor="text1"/>
          <w:sz w:val="16"/>
          <w:szCs w:val="16"/>
        </w:rPr>
        <w:softHyphen/>
        <w:t>ние оснастки по мотору АМ-42: в ноябре 1942 года - 25% мощно сти завода, в декабре 1942 года - 30% мощности завода и в первом квартале 1943 года.- 40% мощности завода.</w:t>
      </w:r>
    </w:p>
    <w:p w14:paraId="2A10497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Директору завода № 33 - т. Сильнову и главному кон</w:t>
      </w:r>
      <w:r w:rsidRPr="00722885">
        <w:rPr>
          <w:rFonts w:ascii="Times New Roman" w:hAnsi="Times New Roman"/>
          <w:color w:val="000000" w:themeColor="text1"/>
          <w:sz w:val="16"/>
          <w:szCs w:val="16"/>
        </w:rPr>
        <w:softHyphen/>
        <w:t>структору - т. Короткову к 15.Х.1942 года обеспечить постав</w:t>
      </w:r>
      <w:r w:rsidRPr="00722885">
        <w:rPr>
          <w:rFonts w:ascii="Times New Roman" w:hAnsi="Times New Roman"/>
          <w:color w:val="000000" w:themeColor="text1"/>
          <w:sz w:val="16"/>
          <w:szCs w:val="16"/>
        </w:rPr>
        <w:softHyphen/>
        <w:t>ку карбюраторов для опытных образцов моторов АМ-42 и после</w:t>
      </w:r>
      <w:r w:rsidRPr="00722885">
        <w:rPr>
          <w:rFonts w:ascii="Times New Roman" w:hAnsi="Times New Roman"/>
          <w:color w:val="000000" w:themeColor="text1"/>
          <w:sz w:val="16"/>
          <w:szCs w:val="16"/>
        </w:rPr>
        <w:softHyphen/>
        <w:t>дующую поставку, согласно намеченных для завода № 24 сроков.</w:t>
      </w:r>
    </w:p>
    <w:p w14:paraId="4DDE955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Этим же постановлением ГОКО обязал:</w:t>
      </w:r>
    </w:p>
    <w:p w14:paraId="6F153A1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Начальника УОС НКВД - т. Лепилова закончить монтаж лаборатории и монтажного цеха ОКБ завода № 24 к 1 ноября 1942 года.</w:t>
      </w:r>
    </w:p>
    <w:p w14:paraId="1C63A49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Наркомчермет - т. Тевосяна поставлять заводу № 24 в четвертом квартале 1942 года ежемесячно по 100 комплектов поковок коленвалов, шатунов и противовесов мотора АМ-42.</w:t>
      </w:r>
    </w:p>
    <w:p w14:paraId="35ADC29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Наркомвнешторг - т. Микояна заказать для завода № 24 импортное оборудование и запасные части в соответствии с приложением.</w:t>
      </w:r>
    </w:p>
    <w:p w14:paraId="660E17B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Наркомпищепром - т. Пронина выделить целевым назна</w:t>
      </w:r>
      <w:r w:rsidRPr="00722885">
        <w:rPr>
          <w:rFonts w:ascii="Times New Roman" w:hAnsi="Times New Roman"/>
          <w:color w:val="000000" w:themeColor="text1"/>
          <w:sz w:val="16"/>
          <w:szCs w:val="16"/>
        </w:rPr>
        <w:softHyphen/>
        <w:t>чением заводу № 24 в четвертом квартале 1942 года табачных изделий - 5000 кг.</w:t>
      </w:r>
    </w:p>
    <w:p w14:paraId="45B13FB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Наркомфин СССР - т. Зверева выделить Наркомату Авиа</w:t>
      </w:r>
      <w:r w:rsidRPr="00722885">
        <w:rPr>
          <w:rFonts w:ascii="Times New Roman" w:hAnsi="Times New Roman"/>
          <w:color w:val="000000" w:themeColor="text1"/>
          <w:sz w:val="16"/>
          <w:szCs w:val="16"/>
        </w:rPr>
        <w:softHyphen/>
        <w:t>ционной промышленности из резервного фонда СНК СССР:</w:t>
      </w:r>
    </w:p>
    <w:p w14:paraId="3BE6471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на постановку производства мотора АМ-42 на заводе № 24  - 10 млн рублей, из них 2 млн рублей на 1942 год и 8 млн руби лей на 1943 год;</w:t>
      </w:r>
    </w:p>
    <w:p w14:paraId="0C412D1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для премирования рабочих, ИТР и служащих завода № 24  за своевременное выполнение работ по мотору АМ-42 - два миллио</w:t>
      </w:r>
      <w:r w:rsidRPr="00722885">
        <w:rPr>
          <w:rFonts w:ascii="Times New Roman" w:hAnsi="Times New Roman"/>
          <w:color w:val="000000" w:themeColor="text1"/>
          <w:sz w:val="16"/>
          <w:szCs w:val="16"/>
        </w:rPr>
        <w:softHyphen/>
        <w:t>на рублей.</w:t>
      </w:r>
    </w:p>
    <w:p w14:paraId="3B6CBED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 авиапрома СССР А.И.Шахурин (Подлинник) (486,12).</w:t>
      </w:r>
    </w:p>
    <w:p w14:paraId="55E27AB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C8A062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сентября 1942 г. приказом по НКАП А. А. Микулин и директор завода № 24 М. С. Жезлов обязывались:</w:t>
      </w:r>
    </w:p>
    <w:p w14:paraId="061A2FC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 янва</w:t>
      </w:r>
      <w:r w:rsidRPr="00722885">
        <w:rPr>
          <w:rFonts w:ascii="Times New Roman" w:hAnsi="Times New Roman"/>
          <w:color w:val="000000" w:themeColor="text1"/>
          <w:sz w:val="16"/>
          <w:szCs w:val="16"/>
        </w:rPr>
        <w:softHyphen/>
        <w:t>ря 1943 г. построить и провести со</w:t>
      </w:r>
      <w:r w:rsidRPr="00722885">
        <w:rPr>
          <w:rFonts w:ascii="Times New Roman" w:hAnsi="Times New Roman"/>
          <w:color w:val="000000" w:themeColor="text1"/>
          <w:sz w:val="16"/>
          <w:szCs w:val="16"/>
        </w:rPr>
        <w:softHyphen/>
        <w:t>вместные 50-часовые испытания мо</w:t>
      </w:r>
      <w:r w:rsidRPr="00722885">
        <w:rPr>
          <w:rFonts w:ascii="Times New Roman" w:hAnsi="Times New Roman"/>
          <w:color w:val="000000" w:themeColor="text1"/>
          <w:sz w:val="16"/>
          <w:szCs w:val="16"/>
        </w:rPr>
        <w:softHyphen/>
        <w:t>тора АМ-42;</w:t>
      </w:r>
    </w:p>
    <w:p w14:paraId="35A7AEA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15 января 1943 г. пе</w:t>
      </w:r>
      <w:r w:rsidRPr="00722885">
        <w:rPr>
          <w:rFonts w:ascii="Times New Roman" w:hAnsi="Times New Roman"/>
          <w:color w:val="000000" w:themeColor="text1"/>
          <w:sz w:val="16"/>
          <w:szCs w:val="16"/>
        </w:rPr>
        <w:softHyphen/>
        <w:t>редать С. В. Ильюшину два мотора АМ-42 и обеспечить к 1 марта окон</w:t>
      </w:r>
      <w:r w:rsidRPr="00722885">
        <w:rPr>
          <w:rFonts w:ascii="Times New Roman" w:hAnsi="Times New Roman"/>
          <w:color w:val="000000" w:themeColor="text1"/>
          <w:sz w:val="16"/>
          <w:szCs w:val="16"/>
        </w:rPr>
        <w:softHyphen/>
        <w:t>чание государственных испытаний са</w:t>
      </w:r>
      <w:r w:rsidRPr="00722885">
        <w:rPr>
          <w:rFonts w:ascii="Times New Roman" w:hAnsi="Times New Roman"/>
          <w:color w:val="000000" w:themeColor="text1"/>
          <w:sz w:val="16"/>
          <w:szCs w:val="16"/>
        </w:rPr>
        <w:softHyphen/>
        <w:t>молета-штурмовика с этим мотором, а с апреля месяца приступить к се</w:t>
      </w:r>
      <w:r w:rsidRPr="00722885">
        <w:rPr>
          <w:rFonts w:ascii="Times New Roman" w:hAnsi="Times New Roman"/>
          <w:color w:val="000000" w:themeColor="text1"/>
          <w:sz w:val="16"/>
          <w:szCs w:val="16"/>
        </w:rPr>
        <w:softHyphen/>
        <w:t>рийному выпуску АМ-42 (11426).</w:t>
      </w:r>
    </w:p>
    <w:p w14:paraId="7CE3E97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E80B89F"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сентября 1942 года получив официальное задание на разработку нового мотора, ОКБ А. А. Микулина и опытное производство 24-го завода в срочном порядке приступили к изготовлению деталей для пяти моторов. Уже через 30 суток первый мотор АМ-42 «выкатили» на заводские испытания. Были получены весьма обнадеживающие результаты. На взлетном режиме мотор развил мощность 1978 л. с., что было почти на четыре сотни «лошадей» больше, чем «выдавал» серийный АМ-38. На номинальном режиме АМ-42 показал мощность 1762 л. с.</w:t>
      </w:r>
    </w:p>
    <w:p w14:paraId="3B379ABB"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мотора в такие короткие сроки не могла не сказаться на качестве его проектирования и изготовления: требовалась тщательная доводка всех агрегатов и узлов. Первый мотор прошел внутризаводские 50-часовые испытания лишь к 9 января 1943 года. Однако все последующие моторы снимались с испытаний из-за многочисленных дефектов: разрушение шестерни редуктора, прогар клапанов, поломка шатунов, задир поршней и т. д.</w:t>
      </w:r>
    </w:p>
    <w:p w14:paraId="5F37D225" w14:textId="77777777" w:rsidR="00CE4D22" w:rsidRPr="00722885" w:rsidRDefault="00CE4D2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Только в мае 1943 года АМ-42 удовлетворительно прошел совместные 50-часовые испытания. В ходе испытаний была получена мощность 1940 л. с. – на взлетном и 1766 л. с. – на номинальном режиме (17490).</w:t>
      </w:r>
    </w:p>
    <w:p w14:paraId="7B85C9F4" w14:textId="77777777" w:rsidR="00CE4D22" w:rsidRPr="00722885" w:rsidRDefault="00CE4D22" w:rsidP="00722885">
      <w:pPr>
        <w:spacing w:after="0" w:line="240" w:lineRule="auto"/>
        <w:jc w:val="both"/>
        <w:rPr>
          <w:rFonts w:ascii="Times New Roman" w:hAnsi="Times New Roman"/>
          <w:color w:val="000000" w:themeColor="text1"/>
          <w:sz w:val="16"/>
          <w:szCs w:val="16"/>
        </w:rPr>
      </w:pPr>
    </w:p>
    <w:p w14:paraId="56A180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сентября 1942 вышел приказ НКАП N 733 "Во исполнение постановления ГКО Обороны СССР от 25 сентября 1942 приказано:</w:t>
      </w:r>
    </w:p>
    <w:p w14:paraId="0CD695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директору и ГИ завода 26 (909,26):</w:t>
      </w:r>
    </w:p>
    <w:p w14:paraId="1F372F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провести 50 часовые испытания мотора М-107 к 15 ноября 1942 и к 30 декабря подготовить производство к серийному выпуску и провести 100 часовые гос. испытания (909,26);</w:t>
      </w:r>
    </w:p>
    <w:p w14:paraId="2336B3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к 25 декабря 1942 провести доводку и официальные 100 часовые испытания М-105ПФ и мотор именовать М-106 (909,26).</w:t>
      </w:r>
    </w:p>
    <w:p w14:paraId="0495C5C3" w14:textId="77777777" w:rsidR="00090C9B" w:rsidRPr="00722885" w:rsidRDefault="00090C9B" w:rsidP="00722885">
      <w:pPr>
        <w:pStyle w:val="Iauiue"/>
        <w:jc w:val="both"/>
        <w:rPr>
          <w:color w:val="000000" w:themeColor="text1"/>
          <w:sz w:val="16"/>
          <w:szCs w:val="16"/>
        </w:rPr>
      </w:pPr>
    </w:p>
    <w:p w14:paraId="00D08C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сентября 1942 на вооружение КА приказом НКО был принят аэростат заграждения БАЗ-136 к В.Н.Архангельского из ЦАГИ (1783,203).</w:t>
      </w:r>
    </w:p>
    <w:p w14:paraId="5B97C4C0" w14:textId="77777777" w:rsidR="00090C9B" w:rsidRPr="00722885" w:rsidRDefault="00090C9B" w:rsidP="00722885">
      <w:pPr>
        <w:pStyle w:val="Iauiue"/>
        <w:jc w:val="both"/>
        <w:rPr>
          <w:color w:val="000000" w:themeColor="text1"/>
          <w:sz w:val="16"/>
          <w:szCs w:val="16"/>
        </w:rPr>
      </w:pPr>
    </w:p>
    <w:p w14:paraId="6863D10A"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сентября </w:t>
      </w:r>
      <w:r w:rsidRPr="00722885">
        <w:rPr>
          <w:rFonts w:ascii="Times New Roman" w:hAnsi="Times New Roman"/>
          <w:color w:val="000000" w:themeColor="text1"/>
          <w:sz w:val="16"/>
          <w:szCs w:val="16"/>
        </w:rPr>
        <w:t>в 1942 году начала действовать авиатрасса Аляска – Сибирь (АЛСИБ) от Фербенкса до Красноярска (6334 км) для перегона американских самолётов. Начальник И.П.Мазурук (14784).</w:t>
      </w:r>
    </w:p>
    <w:p w14:paraId="58576963" w14:textId="77777777" w:rsidR="00C7427F" w:rsidRPr="00722885" w:rsidRDefault="00C7427F" w:rsidP="00722885">
      <w:pPr>
        <w:spacing w:after="0" w:line="240" w:lineRule="auto"/>
        <w:jc w:val="both"/>
        <w:rPr>
          <w:rFonts w:ascii="Times New Roman" w:hAnsi="Times New Roman"/>
          <w:color w:val="000000" w:themeColor="text1"/>
          <w:sz w:val="16"/>
          <w:szCs w:val="16"/>
        </w:rPr>
      </w:pPr>
    </w:p>
    <w:p w14:paraId="2C72E55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ED5F7ED" w14:textId="77777777" w:rsidR="00090C9B" w:rsidRPr="00722885" w:rsidRDefault="00090C9B" w:rsidP="00722885">
      <w:pPr>
        <w:pStyle w:val="Iauiue"/>
        <w:jc w:val="both"/>
        <w:rPr>
          <w:iCs/>
          <w:color w:val="000000" w:themeColor="text1"/>
          <w:sz w:val="16"/>
          <w:szCs w:val="16"/>
        </w:rPr>
      </w:pPr>
    </w:p>
    <w:p w14:paraId="019522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сентября 1942 НКТП подписал к исполнению чертежи Т-43 с башней третьего варианта и литой командирской башенкой (7518, 28).</w:t>
      </w:r>
    </w:p>
    <w:p w14:paraId="5157906F" w14:textId="77777777" w:rsidR="00090C9B" w:rsidRPr="00722885" w:rsidRDefault="00090C9B" w:rsidP="00722885">
      <w:pPr>
        <w:pStyle w:val="Iauiue"/>
        <w:jc w:val="both"/>
        <w:rPr>
          <w:color w:val="000000" w:themeColor="text1"/>
          <w:sz w:val="16"/>
          <w:szCs w:val="16"/>
        </w:rPr>
      </w:pPr>
    </w:p>
    <w:p w14:paraId="274CD96E"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29 сентября 1942 на имя директора заво</w:t>
      </w:r>
      <w:r w:rsidRPr="00722885">
        <w:rPr>
          <w:rFonts w:eastAsia="Calibri"/>
          <w:color w:val="000000" w:themeColor="text1"/>
          <w:sz w:val="16"/>
          <w:szCs w:val="16"/>
        </w:rPr>
        <w:softHyphen/>
        <w:t>да № 180 ушло письмо, в котором предлагалось изготовить 4 опытных образца прицепов к танку Т-34, использовав для этого корпуса танка Т-60. Аналогичное распоряжение от наркома среднего машинострое</w:t>
      </w:r>
      <w:r w:rsidRPr="00722885">
        <w:rPr>
          <w:rFonts w:eastAsia="Calibri"/>
          <w:color w:val="000000" w:themeColor="text1"/>
          <w:sz w:val="16"/>
          <w:szCs w:val="16"/>
        </w:rPr>
        <w:softHyphen/>
        <w:t>ния Акопова было отправлено и на ГАЗ. Состояние работ на 6 октября на ГАЗ им. Молотова характеризовалось следующим образом:</w:t>
      </w:r>
    </w:p>
    <w:p w14:paraId="4A3E0D81"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вопросу изготовления десантных саней из корпусов Т-60. Завод получил указание от своего наркомата изготовить сани из корпусов Т-60 с установкой башни и пулемета ДТ. Наши требования — изготов</w:t>
      </w:r>
      <w:r w:rsidRPr="00722885">
        <w:rPr>
          <w:rFonts w:ascii="Times New Roman" w:hAnsi="Times New Roman"/>
          <w:color w:val="000000" w:themeColor="text1"/>
          <w:sz w:val="16"/>
          <w:szCs w:val="16"/>
        </w:rPr>
        <w:softHyphen/>
        <w:t>ление саней без башни. Для изготовления чертежей завод просит выслать ему тактико-технические требования на эти сани, после чего он при</w:t>
      </w:r>
      <w:r w:rsidRPr="00722885">
        <w:rPr>
          <w:rFonts w:ascii="Times New Roman" w:hAnsi="Times New Roman"/>
          <w:color w:val="000000" w:themeColor="text1"/>
          <w:sz w:val="16"/>
          <w:szCs w:val="16"/>
        </w:rPr>
        <w:softHyphen/>
        <w:t>ступит к изготовлению чертежей. Для выполнения этого заказа дирек</w:t>
      </w:r>
      <w:r w:rsidRPr="00722885">
        <w:rPr>
          <w:rFonts w:ascii="Times New Roman" w:hAnsi="Times New Roman"/>
          <w:color w:val="000000" w:themeColor="text1"/>
          <w:sz w:val="16"/>
          <w:szCs w:val="16"/>
        </w:rPr>
        <w:softHyphen/>
        <w:t>тор завода обещал его передать ремесленному училищу, однако указаний никаких ему не дал. Мною по этому поводу был разговор с директором ре</w:t>
      </w:r>
      <w:r w:rsidRPr="00722885">
        <w:rPr>
          <w:rFonts w:ascii="Times New Roman" w:hAnsi="Times New Roman"/>
          <w:color w:val="000000" w:themeColor="text1"/>
          <w:sz w:val="16"/>
          <w:szCs w:val="16"/>
        </w:rPr>
        <w:softHyphen/>
        <w:t>месленного училища, он не возражает принять этот заказ, но для окон</w:t>
      </w:r>
      <w:r w:rsidRPr="00722885">
        <w:rPr>
          <w:rFonts w:ascii="Times New Roman" w:hAnsi="Times New Roman"/>
          <w:color w:val="000000" w:themeColor="text1"/>
          <w:sz w:val="16"/>
          <w:szCs w:val="16"/>
        </w:rPr>
        <w:softHyphen/>
        <w:t>чательной договоренности о сроках и количестве необходимы чертежи»</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998DEB6"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В переписке детище ГАЗ именуется как «бронесани», лишь в одном документе нашелся индекс данного аппарата — БП-60. Как и в Сара</w:t>
      </w:r>
      <w:r w:rsidRPr="00722885">
        <w:rPr>
          <w:rFonts w:eastAsia="Calibri"/>
          <w:color w:val="000000" w:themeColor="text1"/>
          <w:sz w:val="16"/>
          <w:szCs w:val="16"/>
        </w:rPr>
        <w:softHyphen/>
        <w:t xml:space="preserve">тове, разработка на ГАЗ шла при участии инженеров </w:t>
      </w:r>
      <w:r w:rsidRPr="00722885">
        <w:rPr>
          <w:rFonts w:eastAsia="Calibri"/>
          <w:color w:val="000000" w:themeColor="text1"/>
          <w:sz w:val="16"/>
          <w:szCs w:val="16"/>
          <w:lang w:val="en-US"/>
        </w:rPr>
        <w:t>HAT</w:t>
      </w:r>
      <w:r w:rsidRPr="00722885">
        <w:rPr>
          <w:rFonts w:eastAsia="Calibri"/>
          <w:color w:val="000000" w:themeColor="text1"/>
          <w:sz w:val="16"/>
          <w:szCs w:val="16"/>
        </w:rPr>
        <w:t xml:space="preserve"> И. Согласно переписке, чертежи БП-60 были высланы на ГАЗ 22 октября 1942 года, а на завод № 180 30 октября. Бронесани представляли собой корпус Т-60, установленный на два деревянных бруса. К деревянным брусьям снизу были прикреплены стальные полосы, которые выполняли роль полозьев. Корпус Т-60 подвергли следующим переделкам:</w:t>
      </w:r>
    </w:p>
    <w:p w14:paraId="08A4C596" w14:textId="77777777" w:rsidR="00A50962" w:rsidRPr="00722885" w:rsidRDefault="00A50962" w:rsidP="00722885">
      <w:pPr>
        <w:pStyle w:val="162"/>
        <w:shd w:val="clear" w:color="auto" w:fill="auto"/>
        <w:tabs>
          <w:tab w:val="left" w:pos="3870"/>
        </w:tabs>
        <w:spacing w:line="240" w:lineRule="auto"/>
        <w:jc w:val="both"/>
        <w:rPr>
          <w:color w:val="000000" w:themeColor="text1"/>
          <w:sz w:val="16"/>
          <w:szCs w:val="16"/>
        </w:rPr>
      </w:pPr>
      <w:r w:rsidRPr="00722885">
        <w:rPr>
          <w:rFonts w:eastAsia="Calibri"/>
          <w:color w:val="000000" w:themeColor="text1"/>
          <w:sz w:val="16"/>
          <w:szCs w:val="16"/>
        </w:rPr>
        <w:t>Подбашенный погон закрыли броневой крышкой, заделали люки монтажа бортовых передач, отверстия под торсионные валы, а также люки воздухопритоков.</w:t>
      </w:r>
    </w:p>
    <w:p w14:paraId="343CBA53" w14:textId="77777777" w:rsidR="00A50962" w:rsidRPr="00722885" w:rsidRDefault="00A50962" w:rsidP="00722885">
      <w:pPr>
        <w:pStyle w:val="a3"/>
        <w:rPr>
          <w:color w:val="000000" w:themeColor="text1"/>
          <w:lang w:val="ru-RU"/>
        </w:rPr>
      </w:pPr>
      <w:r w:rsidRPr="00722885">
        <w:rPr>
          <w:color w:val="000000" w:themeColor="text1"/>
          <w:lang w:val="ru-RU"/>
        </w:rPr>
        <w:t>В кормовом листе было вырезано отверстие размером 1080 х 670 мм, в которое установили двустворчатую дверцу с петлями, находящимися сверху. Через этот люк осуществлялся выход десанта и его посадка, также для этой цели использовался сохраненный люк механика-водителя</w:t>
      </w:r>
    </w:p>
    <w:p w14:paraId="18C4C9C9" w14:textId="77777777" w:rsidR="00A50962" w:rsidRPr="00722885" w:rsidRDefault="00A50962" w:rsidP="00722885">
      <w:pPr>
        <w:pStyle w:val="162"/>
        <w:shd w:val="clear" w:color="auto" w:fill="auto"/>
        <w:tabs>
          <w:tab w:val="left" w:pos="905"/>
        </w:tabs>
        <w:spacing w:line="240" w:lineRule="auto"/>
        <w:jc w:val="both"/>
        <w:rPr>
          <w:color w:val="000000" w:themeColor="text1"/>
          <w:sz w:val="16"/>
          <w:szCs w:val="16"/>
        </w:rPr>
      </w:pPr>
      <w:r w:rsidRPr="00722885">
        <w:rPr>
          <w:rFonts w:eastAsia="Calibri"/>
          <w:color w:val="000000" w:themeColor="text1"/>
          <w:sz w:val="16"/>
          <w:szCs w:val="16"/>
        </w:rPr>
        <w:t>С каждого борта на высоте 670 мм было вырезано по три амбразуры, закрываемые броневыми заслонками. Заслонки открыва</w:t>
      </w:r>
      <w:r w:rsidRPr="00722885">
        <w:rPr>
          <w:rFonts w:eastAsia="Calibri"/>
          <w:color w:val="000000" w:themeColor="text1"/>
          <w:sz w:val="16"/>
          <w:szCs w:val="16"/>
        </w:rPr>
        <w:softHyphen/>
        <w:t>лись и закрывались изнутри корпуса. Кроме того, две амбразуры были вырезаны в кормо</w:t>
      </w:r>
      <w:r w:rsidRPr="00722885">
        <w:rPr>
          <w:rFonts w:eastAsia="Calibri"/>
          <w:color w:val="000000" w:themeColor="text1"/>
          <w:sz w:val="16"/>
          <w:szCs w:val="16"/>
        </w:rPr>
        <w:softHyphen/>
        <w:t>вом листе. Стрельба вперед осуществлялась через люк механика-водителя.</w:t>
      </w:r>
    </w:p>
    <w:p w14:paraId="507DF05F" w14:textId="77777777" w:rsidR="00A50962" w:rsidRPr="00722885" w:rsidRDefault="00A50962" w:rsidP="00722885">
      <w:pPr>
        <w:pStyle w:val="162"/>
        <w:shd w:val="clear" w:color="auto" w:fill="auto"/>
        <w:tabs>
          <w:tab w:val="left" w:pos="924"/>
        </w:tabs>
        <w:spacing w:line="240" w:lineRule="auto"/>
        <w:jc w:val="both"/>
        <w:rPr>
          <w:color w:val="000000" w:themeColor="text1"/>
          <w:sz w:val="16"/>
          <w:szCs w:val="16"/>
        </w:rPr>
      </w:pPr>
      <w:r w:rsidRPr="00722885">
        <w:rPr>
          <w:rFonts w:eastAsia="Calibri"/>
          <w:color w:val="000000" w:themeColor="text1"/>
          <w:sz w:val="16"/>
          <w:szCs w:val="16"/>
        </w:rPr>
        <w:t>Внутри саней по крыше, вдоль про</w:t>
      </w:r>
      <w:r w:rsidRPr="00722885">
        <w:rPr>
          <w:rFonts w:eastAsia="Calibri"/>
          <w:color w:val="000000" w:themeColor="text1"/>
          <w:sz w:val="16"/>
          <w:szCs w:val="16"/>
        </w:rPr>
        <w:softHyphen/>
        <w:t>дольной оси корпуса, натянули веревку, за которую держался десант во время движения.</w:t>
      </w:r>
    </w:p>
    <w:p w14:paraId="0A7B49E0" w14:textId="77777777" w:rsidR="00A50962" w:rsidRPr="00722885" w:rsidRDefault="00A50962" w:rsidP="00722885">
      <w:pPr>
        <w:pStyle w:val="162"/>
        <w:shd w:val="clear" w:color="auto" w:fill="auto"/>
        <w:tabs>
          <w:tab w:val="left" w:pos="914"/>
        </w:tabs>
        <w:spacing w:line="240" w:lineRule="auto"/>
        <w:jc w:val="both"/>
        <w:rPr>
          <w:color w:val="000000" w:themeColor="text1"/>
          <w:sz w:val="16"/>
          <w:szCs w:val="16"/>
        </w:rPr>
      </w:pPr>
      <w:r w:rsidRPr="00722885">
        <w:rPr>
          <w:rFonts w:eastAsia="Calibri"/>
          <w:color w:val="000000" w:themeColor="text1"/>
          <w:sz w:val="16"/>
          <w:szCs w:val="16"/>
        </w:rPr>
        <w:t>К кормовому листу крыши были при</w:t>
      </w:r>
      <w:r w:rsidRPr="00722885">
        <w:rPr>
          <w:rFonts w:eastAsia="Calibri"/>
          <w:color w:val="000000" w:themeColor="text1"/>
          <w:sz w:val="16"/>
          <w:szCs w:val="16"/>
        </w:rPr>
        <w:softHyphen/>
        <w:t>варены два крюка, за которые цеплялись еще одни бронесани.</w:t>
      </w:r>
    </w:p>
    <w:p w14:paraId="36CDD64A"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lastRenderedPageBreak/>
        <w:t>Масса бронесаней составила 4 тонны, что вполне соответствовало требованиям ГАБТУ. Согласно концепции, за Т-34 друг за другом цеплялось два прицепа, общая численность десанта при этом достигала 20 человек. Сани цеплялись к Т-34 при помощи дышла, изготовленного из стальных труб. На дышле имелся специальный замок с подведенным к нему тросом, дергая за который, экипаж саней мог их отцепить от носителя.</w:t>
      </w:r>
    </w:p>
    <w:p w14:paraId="11A2AC67" w14:textId="77777777" w:rsidR="00A50962" w:rsidRPr="00722885" w:rsidRDefault="00A50962" w:rsidP="00722885">
      <w:pPr>
        <w:pStyle w:val="162"/>
        <w:shd w:val="clear" w:color="auto" w:fill="auto"/>
        <w:spacing w:line="240" w:lineRule="auto"/>
        <w:jc w:val="both"/>
        <w:rPr>
          <w:rFonts w:eastAsia="Calibri"/>
          <w:color w:val="000000" w:themeColor="text1"/>
          <w:sz w:val="16"/>
          <w:szCs w:val="16"/>
        </w:rPr>
      </w:pPr>
      <w:r w:rsidRPr="00722885">
        <w:rPr>
          <w:rFonts w:eastAsia="Calibri"/>
          <w:color w:val="000000" w:themeColor="text1"/>
          <w:sz w:val="16"/>
          <w:szCs w:val="16"/>
        </w:rPr>
        <w:t>Первые 4 образца бронесаней были изготовлены на заводе № 180 к концу ноября 1942 года, работы курировал старший конструк</w:t>
      </w:r>
      <w:r w:rsidRPr="00722885">
        <w:rPr>
          <w:rFonts w:eastAsia="Calibri"/>
          <w:color w:val="000000" w:themeColor="text1"/>
          <w:sz w:val="16"/>
          <w:szCs w:val="16"/>
        </w:rPr>
        <w:softHyphen/>
        <w:t>тор НАТИ Гаранов, один из их авторов. Сани были выпущены в двух вариантах, отличавшихся друг от друга конструкцией сцепного устрой</w:t>
      </w:r>
      <w:r w:rsidRPr="00722885">
        <w:rPr>
          <w:rFonts w:eastAsia="Calibri"/>
          <w:color w:val="000000" w:themeColor="text1"/>
          <w:sz w:val="16"/>
          <w:szCs w:val="16"/>
        </w:rPr>
        <w:softHyphen/>
        <w:t>ства. Первый вариант устройства оснащался крюками, второй рыма</w:t>
      </w:r>
      <w:r w:rsidRPr="00722885">
        <w:rPr>
          <w:rFonts w:eastAsia="Calibri"/>
          <w:color w:val="000000" w:themeColor="text1"/>
          <w:sz w:val="16"/>
          <w:szCs w:val="16"/>
        </w:rPr>
        <w:softHyphen/>
        <w:t>ми. По результатам заводских испытаний 27 ноября на заводе прошло техническое совещание, по которому было принято решение о внесе</w:t>
      </w:r>
      <w:r w:rsidRPr="00722885">
        <w:rPr>
          <w:rFonts w:eastAsia="Calibri"/>
          <w:color w:val="000000" w:themeColor="text1"/>
          <w:sz w:val="16"/>
          <w:szCs w:val="16"/>
        </w:rPr>
        <w:softHyphen/>
        <w:t>нии в конструкцию саней ряда изменений. Лыжи удлинялись в перед</w:t>
      </w:r>
      <w:r w:rsidRPr="00722885">
        <w:rPr>
          <w:rFonts w:eastAsia="Calibri"/>
          <w:color w:val="000000" w:themeColor="text1"/>
          <w:sz w:val="16"/>
          <w:szCs w:val="16"/>
        </w:rPr>
        <w:softHyphen/>
        <w:t>ней и задней части, переделывалась конструкция сцепных устройств, усиливались задние рымы. Позднее Гаранов был направлен на ГАЗ им. Молтова, где также участвовал в подготовке производства бронеса</w:t>
      </w:r>
      <w:r w:rsidRPr="00722885">
        <w:rPr>
          <w:rFonts w:eastAsia="Calibri"/>
          <w:color w:val="000000" w:themeColor="text1"/>
          <w:sz w:val="16"/>
          <w:szCs w:val="16"/>
        </w:rPr>
        <w:softHyphen/>
        <w:t>ней. Первые образцы БП-60 были готовы в Горьком к январю 1943 года.</w:t>
      </w:r>
    </w:p>
    <w:p w14:paraId="28BCA4E4"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Согласно первоначальной программе испытаний, бронесани испытывались ездой за танком (25 километров по шоссе и 25 километров по целине), кроме того, планировались тактические учения с исполь</w:t>
      </w:r>
      <w:r w:rsidRPr="00722885">
        <w:rPr>
          <w:rFonts w:eastAsia="Calibri"/>
          <w:color w:val="000000" w:themeColor="text1"/>
          <w:sz w:val="16"/>
          <w:szCs w:val="16"/>
        </w:rPr>
        <w:softHyphen/>
        <w:t>зованием трех экземпляров бронесаней для определения возможности их использования как бронированных огневых точек. По факту же ис</w:t>
      </w:r>
      <w:r w:rsidRPr="00722885">
        <w:rPr>
          <w:rFonts w:eastAsia="Calibri"/>
          <w:color w:val="000000" w:themeColor="text1"/>
          <w:sz w:val="16"/>
          <w:szCs w:val="16"/>
        </w:rPr>
        <w:softHyphen/>
        <w:t>пытания, проведенные 13—14 января 1943 года на полигоне НИИБТ в Кубинке, пришлось проводить по сокращенной программе. В ходе определения наименьшего радиуса разворота, дышла оказались по</w:t>
      </w:r>
      <w:r w:rsidRPr="00722885">
        <w:rPr>
          <w:rFonts w:eastAsia="Calibri"/>
          <w:color w:val="000000" w:themeColor="text1"/>
          <w:sz w:val="16"/>
          <w:szCs w:val="16"/>
        </w:rPr>
        <w:softHyphen/>
        <w:t>гнуты. Удалось произвести два контрольных выезда: в первом, про</w:t>
      </w:r>
      <w:r w:rsidRPr="00722885">
        <w:rPr>
          <w:rFonts w:eastAsia="Calibri"/>
          <w:color w:val="000000" w:themeColor="text1"/>
          <w:sz w:val="16"/>
          <w:szCs w:val="16"/>
        </w:rPr>
        <w:softHyphen/>
        <w:t>тяженностью 5 километров, участвовали двое бронесаней, во втором, протяженностью 3 километра — одни бронесани, в обоих случаях сани буксировались с полным десантом. Бронесани уверенно буксировались за Т-34 как в одиночку, так и парой со средней скоростью 25 км/ч по шоссе и 20 км/ч по снежной целине (толщина снежного покрова достигала 400 мм). В ходе испытаний выяснилось, что с радиусом пово</w:t>
      </w:r>
      <w:r w:rsidRPr="00722885">
        <w:rPr>
          <w:rFonts w:eastAsia="Calibri"/>
          <w:color w:val="000000" w:themeColor="text1"/>
          <w:sz w:val="16"/>
          <w:szCs w:val="16"/>
        </w:rPr>
        <w:softHyphen/>
        <w:t>рота меньше 20 метров начинает гнуться дышло и начинают отрывать</w:t>
      </w:r>
      <w:r w:rsidRPr="00722885">
        <w:rPr>
          <w:rFonts w:eastAsia="Calibri"/>
          <w:color w:val="000000" w:themeColor="text1"/>
          <w:sz w:val="16"/>
          <w:szCs w:val="16"/>
        </w:rPr>
        <w:softHyphen/>
        <w:t>ся буксирные крюки.</w:t>
      </w:r>
    </w:p>
    <w:p w14:paraId="680E7E84" w14:textId="77777777" w:rsidR="00A50962" w:rsidRPr="00722885" w:rsidRDefault="00A50962" w:rsidP="00722885">
      <w:pPr>
        <w:pStyle w:val="162"/>
        <w:shd w:val="clear" w:color="auto" w:fill="auto"/>
        <w:spacing w:line="240" w:lineRule="auto"/>
        <w:jc w:val="both"/>
        <w:rPr>
          <w:rFonts w:eastAsia="Calibri"/>
          <w:color w:val="000000" w:themeColor="text1"/>
          <w:sz w:val="16"/>
          <w:szCs w:val="16"/>
        </w:rPr>
      </w:pPr>
      <w:r w:rsidRPr="00722885">
        <w:rPr>
          <w:rFonts w:eastAsia="Calibri"/>
          <w:color w:val="000000" w:themeColor="text1"/>
          <w:sz w:val="16"/>
          <w:szCs w:val="16"/>
        </w:rPr>
        <w:t>Во время испытаний десант из 10 человек с личным оружием за</w:t>
      </w:r>
      <w:r w:rsidRPr="00722885">
        <w:rPr>
          <w:rFonts w:eastAsia="Calibri"/>
          <w:color w:val="000000" w:themeColor="text1"/>
          <w:sz w:val="16"/>
          <w:szCs w:val="16"/>
        </w:rPr>
        <w:softHyphen/>
        <w:t>нимал бронесани за 20—25 секунд, высадка занимала 30—35 секунд. Конструкцию задних десантных люков с петлями сбоку признали не очень удобной и рекомендовали переделать. Внутри десант раз</w:t>
      </w:r>
      <w:r w:rsidRPr="00722885">
        <w:rPr>
          <w:rFonts w:eastAsia="Calibri"/>
          <w:color w:val="000000" w:themeColor="text1"/>
          <w:sz w:val="16"/>
          <w:szCs w:val="16"/>
        </w:rPr>
        <w:softHyphen/>
        <w:t>мещался прямо на полу (скамьи ввиду небольшой высоты корпуса Т-60 не были предусмотрены), что вызывало немало неудобств, од</w:t>
      </w:r>
      <w:r w:rsidRPr="00722885">
        <w:rPr>
          <w:rFonts w:eastAsia="Calibri"/>
          <w:color w:val="000000" w:themeColor="text1"/>
          <w:sz w:val="16"/>
          <w:szCs w:val="16"/>
        </w:rPr>
        <w:softHyphen/>
        <w:t>нако при движении излишней тряски не ощущалось. По результа</w:t>
      </w:r>
      <w:r w:rsidRPr="00722885">
        <w:rPr>
          <w:rFonts w:eastAsia="Calibri"/>
          <w:color w:val="000000" w:themeColor="text1"/>
          <w:sz w:val="16"/>
          <w:szCs w:val="16"/>
        </w:rPr>
        <w:softHyphen/>
        <w:t>там испытаний стрельбу из бойниц, а также конструкцию крышек амбразур признали вполне удобной. Вместе с тем, во время движе</w:t>
      </w:r>
      <w:r w:rsidRPr="00722885">
        <w:rPr>
          <w:rFonts w:eastAsia="Calibri"/>
          <w:color w:val="000000" w:themeColor="text1"/>
          <w:sz w:val="16"/>
          <w:szCs w:val="16"/>
        </w:rPr>
        <w:softHyphen/>
        <w:t>ния по снежной целине и проселочным дорогам поднималось облако снежной пыли, делавшее невозможным прицельную стрельбу десан</w:t>
      </w:r>
      <w:r w:rsidRPr="00722885">
        <w:rPr>
          <w:rFonts w:eastAsia="Calibri"/>
          <w:color w:val="000000" w:themeColor="text1"/>
          <w:sz w:val="16"/>
          <w:szCs w:val="16"/>
        </w:rPr>
        <w:softHyphen/>
        <w:t>та из бойниц. Кроме того, испытания стрельбой выявили наличие мертвых зон обстрела из саней.</w:t>
      </w:r>
    </w:p>
    <w:p w14:paraId="0F1876EE"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Несмотря на выявленные в ходе испытаний недостатки, общее за</w:t>
      </w:r>
      <w:r w:rsidRPr="00722885">
        <w:rPr>
          <w:rFonts w:eastAsia="Calibri"/>
          <w:color w:val="000000" w:themeColor="text1"/>
          <w:sz w:val="16"/>
          <w:szCs w:val="16"/>
        </w:rPr>
        <w:softHyphen/>
        <w:t>ключение по саням оказалось вполне положительным:</w:t>
      </w:r>
    </w:p>
    <w:p w14:paraId="38974E4B"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Представленные для испытаний бронесани могут быть использова</w:t>
      </w:r>
      <w:r w:rsidRPr="00722885">
        <w:rPr>
          <w:rFonts w:ascii="Times New Roman" w:hAnsi="Times New Roman"/>
          <w:color w:val="000000" w:themeColor="text1"/>
          <w:sz w:val="16"/>
          <w:szCs w:val="16"/>
        </w:rPr>
        <w:softHyphen/>
        <w:t>ны для переброски пехотного десанта в количестве 10 человек, а также как бронированные огневые точки при стрельбе с места.</w:t>
      </w:r>
    </w:p>
    <w:p w14:paraId="1FA3782D" w14:textId="77777777" w:rsidR="00A50962" w:rsidRPr="00722885" w:rsidRDefault="00A50962" w:rsidP="00722885">
      <w:pPr>
        <w:tabs>
          <w:tab w:val="left" w:pos="55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За танком Т-34 возможна одновременная буксировка двух броне</w:t>
      </w:r>
      <w:r w:rsidRPr="00722885">
        <w:rPr>
          <w:rFonts w:ascii="Times New Roman" w:hAnsi="Times New Roman"/>
          <w:color w:val="000000" w:themeColor="text1"/>
          <w:sz w:val="16"/>
          <w:szCs w:val="16"/>
        </w:rPr>
        <w:softHyphen/>
        <w:t>саней.</w:t>
      </w:r>
    </w:p>
    <w:p w14:paraId="5D462386" w14:textId="77777777" w:rsidR="00A50962" w:rsidRPr="00722885" w:rsidRDefault="00A50962" w:rsidP="00722885">
      <w:pPr>
        <w:tabs>
          <w:tab w:val="left" w:pos="529"/>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Конструкция прицепного устройства позволяет производить отцеп</w:t>
      </w:r>
      <w:r w:rsidRPr="00722885">
        <w:rPr>
          <w:rFonts w:ascii="Times New Roman" w:hAnsi="Times New Roman"/>
          <w:color w:val="000000" w:themeColor="text1"/>
          <w:sz w:val="16"/>
          <w:szCs w:val="16"/>
        </w:rPr>
        <w:softHyphen/>
        <w:t>ку бронесаней на ходу.</w:t>
      </w:r>
    </w:p>
    <w:p w14:paraId="66CDA8F7" w14:textId="77777777" w:rsidR="00A50962" w:rsidRPr="00722885" w:rsidRDefault="00A50962" w:rsidP="00722885">
      <w:pPr>
        <w:tabs>
          <w:tab w:val="left" w:pos="54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Прочность прицепного дышла не обеспечивает поворота бронесаней с радиусом менее 20 метров.</w:t>
      </w:r>
    </w:p>
    <w:p w14:paraId="7AD7EB09" w14:textId="77777777" w:rsidR="00A50962" w:rsidRPr="00722885" w:rsidRDefault="00A50962" w:rsidP="00722885">
      <w:pPr>
        <w:tabs>
          <w:tab w:val="left" w:pos="54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4860BA45"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Таким образом, наконец серийному производству бронесаней был дан зеленый свет. Производство саней из корпусов Т-60 началось на ГАЗ в конце января 1943 года, в январе же начался выпуск саней и в Са</w:t>
      </w:r>
      <w:r w:rsidRPr="00722885">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722885">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41D6C89A"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722885">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722885">
        <w:rPr>
          <w:rFonts w:eastAsia="Calibri"/>
          <w:color w:val="000000" w:themeColor="text1"/>
          <w:sz w:val="16"/>
          <w:szCs w:val="16"/>
        </w:rPr>
        <w:softHyphen/>
        <w:t>де № 180 оценивается в районе 300 штук (17485).</w:t>
      </w:r>
    </w:p>
    <w:p w14:paraId="67DA861F" w14:textId="77777777" w:rsidR="00A50962" w:rsidRPr="00722885" w:rsidRDefault="00A50962" w:rsidP="00722885">
      <w:pPr>
        <w:pStyle w:val="a3"/>
        <w:rPr>
          <w:color w:val="000000" w:themeColor="text1"/>
          <w:lang w:val="ru-RU"/>
        </w:rPr>
      </w:pPr>
    </w:p>
    <w:p w14:paraId="45584CB8" w14:textId="77777777" w:rsidR="00E93E03" w:rsidRPr="00722885" w:rsidRDefault="00E93E03" w:rsidP="00722885">
      <w:pPr>
        <w:pStyle w:val="ae"/>
        <w:shd w:val="clear" w:color="auto" w:fill="FFFFFF"/>
        <w:spacing w:before="0" w:after="0"/>
        <w:jc w:val="both"/>
        <w:rPr>
          <w:color w:val="000000" w:themeColor="text1"/>
          <w:sz w:val="16"/>
          <w:szCs w:val="16"/>
        </w:rPr>
      </w:pPr>
      <w:r w:rsidRPr="00722885">
        <w:rPr>
          <w:color w:val="000000" w:themeColor="text1"/>
          <w:sz w:val="16"/>
          <w:szCs w:val="16"/>
        </w:rPr>
        <w:t>29 сентября 1942 на имя директора завода №180 ушло письмо, в котором предлагалось изготовить 4 опытных образца прицепов к танку Т-34, использовав для этого корпуса танка Т-60. Аналогичное распоряжение от наркома среднего машиностроения Акопова было отправлено и на ГАЗ. В переписке детище ГАЗ именуется «бронесанями», лишь в одном документе упоминается индекс изделия — БП-60 (бронеприцеп на базе Т-60).</w:t>
      </w:r>
    </w:p>
    <w:p w14:paraId="6784198A" w14:textId="77777777" w:rsidR="00E93E03" w:rsidRPr="00722885" w:rsidRDefault="00E93E03" w:rsidP="00722885">
      <w:pPr>
        <w:pStyle w:val="ae"/>
        <w:shd w:val="clear" w:color="auto" w:fill="FFFFFF"/>
        <w:spacing w:before="0" w:after="0"/>
        <w:jc w:val="both"/>
        <w:rPr>
          <w:color w:val="000000" w:themeColor="text1"/>
          <w:sz w:val="16"/>
          <w:szCs w:val="16"/>
        </w:rPr>
      </w:pPr>
      <w:r w:rsidRPr="00722885">
        <w:rPr>
          <w:color w:val="000000" w:themeColor="text1"/>
          <w:sz w:val="16"/>
          <w:szCs w:val="16"/>
        </w:rPr>
        <w:t>Как и в Саратове, разработка на ГАЗ шла при участии инженеров НАТИ. Согласно переписке, чертежи БП-60 были высланы на ГАЗ 22 октября 1942 года, а на завод №180 — 30 октября. Бронесани представляли собой корпус Т-60, установленный на два деревянных бруса. К деревянным брусьям снизу должны были крепиться стальные полосы, выполнявшие роль полозьев. Корпус Т-60 конструкторы подвергли следующим переделкам:</w:t>
      </w:r>
    </w:p>
    <w:p w14:paraId="51D4B626" w14:textId="77777777" w:rsidR="00E93E03" w:rsidRPr="00722885" w:rsidRDefault="00E93E03"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Подбашенный погон закрыли броневой крышкой, также заделали люки монтажа бортовых передач, отверстия под торсионные валы и люки воздухопритоков;</w:t>
      </w:r>
    </w:p>
    <w:p w14:paraId="685CA2AC" w14:textId="77777777" w:rsidR="00E93E03" w:rsidRPr="00722885" w:rsidRDefault="00E93E03"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кормовом листе было вырезано отверстие размером 1080×670 мм, в которое установили двустворчатую дверцу с петлями, находящимися сверху. Через этот люк осуществлялся выход десанта и его посадка, также для этой цели использовался сохранённый люк механика-водителя.</w:t>
      </w:r>
    </w:p>
    <w:p w14:paraId="44D99CA4" w14:textId="77777777" w:rsidR="00E93E03" w:rsidRPr="00722885" w:rsidRDefault="00E93E03"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каждого борта на высоте 670 мм было вырезано по три амбразуры, закрываемые броневыми заслонками. Заслонки открывались и закрывались изнутри корпуса. Кроме того, две амбразуры были вырезаны в кормовом листе. Стрельба вперед осуществлялась через люк механика-водителя.</w:t>
      </w:r>
    </w:p>
    <w:p w14:paraId="6B5B1897" w14:textId="77777777" w:rsidR="00E93E03" w:rsidRPr="00722885" w:rsidRDefault="00E93E03"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Внутри саней по крыше, вдоль продольной оси корпуса, была натянута верёвка, за которую держался десант во время движения;</w:t>
      </w:r>
    </w:p>
    <w:p w14:paraId="20CB50F8" w14:textId="77777777" w:rsidR="00E93E03" w:rsidRPr="00722885" w:rsidRDefault="00E93E03"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Сзади к крыше были приварены два крюка, за которые цеплялись ещё одни бронесани.</w:t>
      </w:r>
    </w:p>
    <w:p w14:paraId="32EDF42A" w14:textId="77777777" w:rsidR="00E93E03" w:rsidRPr="00722885" w:rsidRDefault="00E93E03" w:rsidP="00722885">
      <w:pPr>
        <w:pStyle w:val="ae"/>
        <w:shd w:val="clear" w:color="auto" w:fill="FFFFFF"/>
        <w:spacing w:before="0" w:after="0"/>
        <w:jc w:val="both"/>
        <w:rPr>
          <w:color w:val="000000" w:themeColor="text1"/>
          <w:sz w:val="16"/>
          <w:szCs w:val="16"/>
        </w:rPr>
      </w:pPr>
      <w:r w:rsidRPr="00722885">
        <w:rPr>
          <w:color w:val="000000" w:themeColor="text1"/>
          <w:sz w:val="16"/>
          <w:szCs w:val="16"/>
        </w:rPr>
        <w:t>Масса бронесаней составила 4 тонны, что вполне вписывалось в требования ГАБТУ. За одним Т-34 можно было зацепить два прицепа, общая численность десанта при этом достигала 20 человек. Сани цеплялись к Т-34 при помощи дышла, изготовленного из стальных труб. На дышле имелся специальный замок с подведённым к нему тросом, дёргая за который экипаж саней мог их отцепить от носителя (17711).</w:t>
      </w:r>
    </w:p>
    <w:p w14:paraId="6DBCC054" w14:textId="77777777" w:rsidR="00E93E03" w:rsidRPr="00722885" w:rsidRDefault="00E93E03" w:rsidP="00722885">
      <w:pPr>
        <w:spacing w:after="0" w:line="240" w:lineRule="auto"/>
        <w:jc w:val="both"/>
        <w:rPr>
          <w:rFonts w:ascii="Times New Roman" w:hAnsi="Times New Roman"/>
          <w:color w:val="000000" w:themeColor="text1"/>
          <w:sz w:val="16"/>
          <w:szCs w:val="16"/>
        </w:rPr>
      </w:pPr>
    </w:p>
    <w:p w14:paraId="7D2B44E2" w14:textId="77777777" w:rsidR="00C7427F"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FFE815E" w14:textId="77777777" w:rsidR="00C7427F" w:rsidRPr="00722885" w:rsidRDefault="00C7427F" w:rsidP="00722885">
      <w:pPr>
        <w:pStyle w:val="Iauiue"/>
        <w:jc w:val="both"/>
        <w:rPr>
          <w:iCs/>
          <w:color w:val="000000" w:themeColor="text1"/>
          <w:sz w:val="16"/>
          <w:szCs w:val="16"/>
        </w:rPr>
      </w:pPr>
    </w:p>
    <w:p w14:paraId="61B5E94F"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сентября </w:t>
      </w:r>
      <w:r w:rsidRPr="00722885">
        <w:rPr>
          <w:rFonts w:ascii="Times New Roman" w:hAnsi="Times New Roman"/>
          <w:color w:val="000000" w:themeColor="text1"/>
          <w:sz w:val="16"/>
          <w:szCs w:val="16"/>
        </w:rPr>
        <w:t>в 1942 году утреннее сообщение Совинформбюро:</w:t>
      </w:r>
    </w:p>
    <w:p w14:paraId="1AC466C6"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29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7BA7830E"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продолжали вести тяжёлые бои с противником. Большой урон врагу наносят советские артиллеристы. Они подбили 8 немецких танков, уничтожили 15 автомашин, 13 пулемётов, подавили огонь 3 артиллерийских и 4 миномётных батарей и рассеяли колонну из 200 автомашин противника. Командира миномётной батареи — гвардии старшего лейтенанта Солодкова, находившегося нанаблюдательном пункте, окружили 6 вражеских танков и взвод автоматчиков. Отважный командир вызвал огонь на себя. Батарея дала залп. 3 танка и свыше 30 гитлеровцев были уничтожены. Тов. Солодков остался невредимым.</w:t>
      </w:r>
    </w:p>
    <w:p w14:paraId="645BBB13"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передовые отряды Н-ского соединения несколько продвинулись вперёд. Наши бойцы уничтожили более роты гитлеровцев и захватили 7 пулемётов и 2 миномёта. Подразделения под командованием тт. Валюгина и Маслова ночью ворвались в укреплённый район противника и после непродолжительной схватки заняли несколько высот и балок. Уничтожено до двух рот немецкой пехоты. Захвачены 10 орудий, 20 пулемётов и пленные.</w:t>
      </w:r>
    </w:p>
    <w:p w14:paraId="2E24C602"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упорные бои с танками и мотопехотой противника. Бойцы Н-ского соединения в течение ночи отбили три атаки немецких автоматчиков, поддержанных танками. Уничтожено 6 танков, 15 автомашин и до роты автоматчиков противника.</w:t>
      </w:r>
    </w:p>
    <w:p w14:paraId="53CD091A"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участке Западного фронта Н-ская часть Красной Армии в результате стремительной атаки заняла высоту, имеющую важное тактическое значение. Подтянув резервы, немцы пытались вернуть утерянный рубеж и предприняли пять контратак. Все контратаки гитлеровцев были отбиты. Противник потерял в этом бою до 500 солдат и офицеров. Сожжено и подбито 18 немецких танков, уничтожены 3 самоходные пушки. Захвачено 5 орудий.</w:t>
      </w:r>
    </w:p>
    <w:p w14:paraId="7BE30422"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карело-финских партизан взорвал железнодорожный мост в то время, когда по нему проходил эшелон с войсками. Во время крушения погибло много солдат и офицеров противника.</w:t>
      </w:r>
    </w:p>
    <w:p w14:paraId="4F227673"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8 роты 7 полка 252 немецкой пехотной дивизии Людвиг Барон рассказал: «За три дня боёв наш батальон потерял убитыми и ранеными свыше 400 человек. В числе убитых командир батальона капитан Фалькхауэр и обер-лейтенант Фогель. Из 12 станковых пулемётов в батальоне осталось лишь 4. Солдаты никак не могут опомниться после этого удара».</w:t>
      </w:r>
    </w:p>
    <w:p w14:paraId="7826FB68"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немецкого ефрейтора Людвига Ланде найдено неотправленное письмо к брату в Верхнюю Силезию. В письме говорится: «Всё время ведём бои с партизанами. Нас обстреливают из пулемётов и гранатомётов по нескольку раз в день. Мы никогда не гарантированы от пули. Ночью нам вообще не приходится спать... Партизаны заваливают дороги деревьями, а когда мы убираем препятствия, начинается стрельба. Мы несём теперь очень большие потери. Часто машины вместе с людьми взлетают на воздух. Наш батальон основательно растаял».</w:t>
      </w:r>
    </w:p>
    <w:p w14:paraId="0A87B8A0"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Гитлеровские мерзавцы сожгли 138 домов в селе Ямное, Сумской области. Они разграбили у крестьян всё имущество и продовольствие. Фашистские бандиты замучили и расстреляли в этом селе более 120 мирных советских граждан.</w:t>
      </w:r>
    </w:p>
    <w:p w14:paraId="13C27EB6"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Германский чрезвычайный суд в Познани приговорил к смертной казни через повешение польскую девушку, отказавшуюся работать у немецкой помещицы. В приговоре суда между прочим говорится: «Всякий поляк, отказывающийся работать на немцев, должен за это поплатиться жизнью» (14784).</w:t>
      </w:r>
    </w:p>
    <w:p w14:paraId="2783C284" w14:textId="77777777" w:rsidR="00C7427F" w:rsidRPr="00722885" w:rsidRDefault="00C7427F" w:rsidP="00722885">
      <w:pPr>
        <w:spacing w:after="0" w:line="240" w:lineRule="auto"/>
        <w:jc w:val="both"/>
        <w:rPr>
          <w:rFonts w:ascii="Times New Roman" w:hAnsi="Times New Roman"/>
          <w:color w:val="000000" w:themeColor="text1"/>
          <w:sz w:val="16"/>
          <w:szCs w:val="16"/>
        </w:rPr>
      </w:pPr>
    </w:p>
    <w:p w14:paraId="04CA16DA"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сентября </w:t>
      </w:r>
      <w:r w:rsidRPr="00722885">
        <w:rPr>
          <w:rFonts w:ascii="Times New Roman" w:hAnsi="Times New Roman"/>
          <w:color w:val="000000" w:themeColor="text1"/>
          <w:sz w:val="16"/>
          <w:szCs w:val="16"/>
        </w:rPr>
        <w:t>в 1942 году вечернее сообщение Совинформбюро:</w:t>
      </w:r>
    </w:p>
    <w:p w14:paraId="57DB54F4"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29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1456F17B"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28 сентября частями нашей авиации на различных участках фронта уничтожено 5 немецких танков, 20 автомашин с войсками и грузами, подавлен огонь 5 батарей полевой артиллерии, взорвано 5 складов боеприпасов, рассеяно и частью уничтожено до двух рот пехоты противника.</w:t>
      </w:r>
    </w:p>
    <w:p w14:paraId="667AB12E"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В течение всего дня крупные силы танков и пехоты противника при поддержке авиации предпринимали одну за другой атаки наших позиций на северо-западной окраине города. Все атаки гитлеровцев отбиты с большими для них потерями. Наши части оставались на прежних позициях. В течение дня уничтожено 29 немецких танков и более 1.500 солдат и офицеров противника. Особенно большие потери немцы понесли в бою у одной высоты. На подступах к высоте осталось до 700 вражеских трупов. Советские лётчики уничтожили 3 немецких самолёта, 8 танков, 24 автомашины, 3 бензоцистерны и взорвали склад с боеприпасами противника.</w:t>
      </w:r>
    </w:p>
    <w:p w14:paraId="0BEC2614"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Корабли Волжской военной флотилии артиллерийским огнём рассеяли и частью уничтожили до двух батальонов немецкой пехоты.</w:t>
      </w:r>
    </w:p>
    <w:p w14:paraId="7D7D841C"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активные боевые действия. Части Н-ского соединения Красной Армии за три дня ожесточённых боёв с противником подбили и сожгли 49 немецких танков, уничтожили 18 орудий, 23 миномёта и 41 пулемёт. За это же время уничтожено до 2.000 солдат и офицеров противника. По показаниям пленных, разгромлены в этих боях танковая и мотодивизии противника. В ротах этих частей осталось по 15—25 солдат. На другом участке, обороняемом Н-ской частью, немцы предприняли контратаку. Наши бойцы сожгли 3 и подбили 8 немецких танков и уничтожили до двух рот пехоты противника.</w:t>
      </w:r>
    </w:p>
    <w:p w14:paraId="534224E0"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части Н-ского соединения отразили несколько атак противника. В результате боя уничтожено 11 немецких танков и 350 гитлеровцев. На другом участке наши подразделения под давлением численно превосходящих сил неприятеля были вынуждены отойти. Вскоре, получив подкрепление, советские бойцы перешли в контратаку и отбросили немцев на исходные позиции.</w:t>
      </w:r>
    </w:p>
    <w:p w14:paraId="2B8D8536"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позиции атаковала румынская горнострелковая дивизия. Часть морской пехоты под командованием тов. Гордеева нанесла румынам контрудар и отбросила их назад. В этом бою подразделение тов. Кузьмина разгромило 10 горнострелковый батальон противника. Уничтожено 300 румынских солдат и офицеров. Бойцы подразделения тов. Шитова уничтожили до двух рот гитлеровцев и захватили 11 пулемётов и 3 миномёта.</w:t>
      </w:r>
    </w:p>
    <w:p w14:paraId="6F3C284E"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в результате боевых действий отдельных наших подразделений, снайперов и разведчиков за два дня истреблено до 200 вражеских солдат и офицеров. Уничтожено 4 немецких танка, несколько станковых пулемётов, 5 автомашин и 4 повозки с военным грузом. Ефрейторы тт. Вех и Ваваев и краснофлотец т. Боющук огнём из миномёта взорвали склад с минами и артиллерийскими снарядами противника.</w:t>
      </w:r>
    </w:p>
    <w:p w14:paraId="71E3214F"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участке Волховского фронта взят в плен ефрейтор санитар 1 роты 83 полка 28 немецкой пехотной дивизии Гейнц Гюнтер Олиас. Пленный — доктор философии — ранее работал ассистентом секции истории искусств Краковского университета. Гейнц Олиас сообщил: «Под Керчью наша дивизия потеряла свыше 50 процентов личного состава. Позднее дивизия участвовала в боях под Балаклавой. Здесь 83-й полк был разбит. В его ротах осталось по 10—15 солдат. Когда дивизия получила пополнение, её перебросили на Волховский фронт. Настроение у солдат подавленное. С ужасом и со страхом они думают о приближающейся зиме. Многие солдаты приходят к выводу, что Россию нельзя победить. Они говорят: «У русских сильная армия, бесконечное количество техники и обширные пространства».</w:t>
      </w:r>
    </w:p>
    <w:p w14:paraId="3181BFF9"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заключение пленный рассказал: «Украина представляет собой картину разрушения и запустения. Огромные земельные площади не обрабатываются. Население оккупированных районов голодает. В Николаеве, Херсоне, Первомайске, Константиновке и других городах военные власти расстреляли десятки тысяч мирных граждан. В Николаеве после налёта партизан на аэродром немецкие власти арестовали и расстреляли свыше 500 ни в чём не повинных людей. На одной из улиц я видел 12 повешенных и среди них 3 женщин» (14784).</w:t>
      </w:r>
    </w:p>
    <w:p w14:paraId="59AE7910" w14:textId="77777777" w:rsidR="00C7427F" w:rsidRPr="00722885" w:rsidRDefault="00C7427F" w:rsidP="00722885">
      <w:pPr>
        <w:spacing w:after="0" w:line="240" w:lineRule="auto"/>
        <w:jc w:val="both"/>
        <w:rPr>
          <w:rFonts w:ascii="Times New Roman" w:hAnsi="Times New Roman"/>
          <w:color w:val="000000" w:themeColor="text1"/>
          <w:sz w:val="16"/>
          <w:szCs w:val="16"/>
        </w:rPr>
      </w:pPr>
    </w:p>
    <w:p w14:paraId="15675134" w14:textId="77777777" w:rsidR="00FC52A4" w:rsidRPr="00722885" w:rsidRDefault="00FC52A4" w:rsidP="00722885">
      <w:pPr>
        <w:pStyle w:val="ae"/>
        <w:spacing w:before="0" w:after="0"/>
        <w:jc w:val="both"/>
        <w:textAlignment w:val="baseline"/>
        <w:rPr>
          <w:color w:val="000000" w:themeColor="text1"/>
          <w:sz w:val="16"/>
          <w:szCs w:val="16"/>
        </w:rPr>
      </w:pPr>
      <w:r w:rsidRPr="00722885">
        <w:rPr>
          <w:color w:val="000000" w:themeColor="text1"/>
          <w:sz w:val="16"/>
          <w:szCs w:val="16"/>
        </w:rPr>
        <w:t>Утром 29 сентября 1942 семь Ил-2 из 505-го шап нанесли удар по скоплению пехоты и танков в балке Сухая Мечетка. Во время выхода из второй атаки в двигатель самолета 20-летнего старшего сержанта Ивана Веденина попал зенитный снаряд. Ил загорелся, причем большие языки пламени закрыли и кабину. Он быстро приближался к земле, но, согласно донесениям очевидцев, из его маневров следовало, что самолет еще управляется Ведениным. Через несколько мгновений горящий штурмовик врезался прямо в центр колонны танков, только втянувшейся в балку (19522).</w:t>
      </w:r>
    </w:p>
    <w:p w14:paraId="37A2EB11" w14:textId="77777777" w:rsidR="00FC52A4" w:rsidRPr="00722885" w:rsidRDefault="00FC52A4" w:rsidP="00722885">
      <w:pPr>
        <w:pStyle w:val="ae"/>
        <w:spacing w:before="0" w:after="0"/>
        <w:jc w:val="both"/>
        <w:textAlignment w:val="baseline"/>
        <w:rPr>
          <w:color w:val="000000" w:themeColor="text1"/>
          <w:sz w:val="16"/>
          <w:szCs w:val="16"/>
        </w:rPr>
      </w:pPr>
    </w:p>
    <w:p w14:paraId="0020C758"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сентября </w:t>
      </w:r>
      <w:r w:rsidRPr="00722885">
        <w:rPr>
          <w:rFonts w:ascii="Times New Roman" w:hAnsi="Times New Roman"/>
          <w:color w:val="000000" w:themeColor="text1"/>
          <w:sz w:val="16"/>
          <w:szCs w:val="16"/>
        </w:rPr>
        <w:t>в 1942 году в ходе частных наступательных операций в районе озер Сарпа, Цаца, Барманцак, продолжавшихся по 4 октября, советские войска расширили плацдарм на правом берегу Волги, выбили противника из межозерных дефиле (14784).</w:t>
      </w:r>
    </w:p>
    <w:p w14:paraId="048C181F" w14:textId="77777777" w:rsidR="00C7427F" w:rsidRPr="00722885" w:rsidRDefault="00C7427F" w:rsidP="00722885">
      <w:pPr>
        <w:spacing w:after="0" w:line="240" w:lineRule="auto"/>
        <w:jc w:val="both"/>
        <w:rPr>
          <w:rFonts w:ascii="Times New Roman" w:hAnsi="Times New Roman"/>
          <w:color w:val="000000" w:themeColor="text1"/>
          <w:sz w:val="16"/>
          <w:szCs w:val="16"/>
        </w:rPr>
      </w:pPr>
    </w:p>
    <w:p w14:paraId="0D8603A1"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сентября </w:t>
      </w:r>
      <w:r w:rsidRPr="00722885">
        <w:rPr>
          <w:rFonts w:ascii="Times New Roman" w:hAnsi="Times New Roman"/>
          <w:color w:val="000000" w:themeColor="text1"/>
          <w:sz w:val="16"/>
          <w:szCs w:val="16"/>
        </w:rPr>
        <w:t>в 1942 году обер-ефрейтор вермахта Герман Вигребе, сражающийся под Сталинградом, пишет своему брату Густаву: "4 недели нет подвоза мяса и жиров, и единственная мысль, беспокоящая меня, - это о моем желудке... На днях пробегали собаки, я стрелял, но та, которую я подстрелил, оказалась очень тощей". Для солдат 6-й армии ПАулюса за два месяца до окружения собака уже является деликатесом (14784).</w:t>
      </w:r>
    </w:p>
    <w:p w14:paraId="6945F956" w14:textId="77777777" w:rsidR="00C7427F" w:rsidRPr="00722885" w:rsidRDefault="00C7427F" w:rsidP="00722885">
      <w:pPr>
        <w:spacing w:after="0" w:line="240" w:lineRule="auto"/>
        <w:jc w:val="both"/>
        <w:rPr>
          <w:rFonts w:ascii="Times New Roman" w:hAnsi="Times New Roman"/>
          <w:color w:val="000000" w:themeColor="text1"/>
          <w:sz w:val="16"/>
          <w:szCs w:val="16"/>
        </w:rPr>
      </w:pPr>
    </w:p>
    <w:p w14:paraId="3C7B34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сентября 1942 года 222-ю дивизию, вооруженную В-25, официально передали в Авиацию дальнего действия (АДД). Для роли фронтового бомбардировщика у нас гораздо лучше подходили Пе-2 и А-20, а в АДД можно было в полной мере использовать и большой радиус действия В-25, и отличное навигационное радиооборудование, и мощное вооружение, и значительную бомбовую нагрузку. По всем этим характеристикам он более соответствовал дальнему Ил-4, нежели нашим фронтовым бомбардировщикам. В некоторых отношениях - по скорости, оборонительному вооружению, оборудованию В-25 превосходил Ил-4, но кое в чем и уступал ему (3457,91).</w:t>
      </w:r>
    </w:p>
    <w:p w14:paraId="5D9D6D01" w14:textId="77777777" w:rsidR="00090C9B" w:rsidRPr="00722885" w:rsidRDefault="00090C9B" w:rsidP="00722885">
      <w:pPr>
        <w:pStyle w:val="Iauiue"/>
        <w:jc w:val="both"/>
        <w:rPr>
          <w:color w:val="000000" w:themeColor="text1"/>
          <w:sz w:val="16"/>
          <w:szCs w:val="16"/>
        </w:rPr>
      </w:pPr>
    </w:p>
    <w:p w14:paraId="7B6BAB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сентября 1942 начались тренировки наших летчиков-перегонщиков "Бостон" А-20, а уже на следующий день группа из 12 А-20В, ведомая майором П.В.Недосекиным, взяла курс на Ном. Из-за плохой погоды лишь 7 октября эти самолеты прибыли в Марково, где проходила смена экипажей. До конца 1942 года "Бостонов" но АЛСИБу перегнали немного. Основной ноток пошел на следующий год (3457,103).</w:t>
      </w:r>
    </w:p>
    <w:p w14:paraId="6CA451BF" w14:textId="77777777" w:rsidR="00090C9B" w:rsidRPr="00722885" w:rsidRDefault="00090C9B" w:rsidP="00722885">
      <w:pPr>
        <w:pStyle w:val="Iauiue"/>
        <w:jc w:val="both"/>
        <w:rPr>
          <w:color w:val="000000" w:themeColor="text1"/>
          <w:sz w:val="16"/>
          <w:szCs w:val="16"/>
        </w:rPr>
      </w:pPr>
    </w:p>
    <w:p w14:paraId="76E0FB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сентября 1942 г. вышел ПРИКАЗ НКО № 0765 О ВВЕДЕНИИ В ДЕЙСТВИЕ ИНСТРУКЦИИ ПО УПРАВЛЕНИЮ, ОПОВЕЩЕНИЮ И НАВЕДЕНИЮ ПО РАДИО АВИАЦИИ</w:t>
      </w:r>
    </w:p>
    <w:p w14:paraId="3028EB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Несмотря на большое насыщение частей ВВС радиосредствами, до сих пор управление авиацией продолжается главным образом посредством телефона и телеграфа. В современной войне эти средства, т. е. телефон и телеграф, в управлении авиацией являются устаревшими средствами, связывающими в значительной степени вызов авиации на поле боя и ее маневр.</w:t>
      </w:r>
    </w:p>
    <w:p w14:paraId="2CE222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Такое положение объясняю исключительной косностью руководящего командного состава ВВС, который не знает радиотехники и в силу этого не может успешно для боя использовать радиосредства в управлении авиацией на земле и в воздухе.</w:t>
      </w:r>
    </w:p>
    <w:p w14:paraId="7A608E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Неумение нашими командирами управлять своими авиачастями по радио лишает их возможности быстро наращивать свои авиасилы в районе их действия, что ведет к боям наших самолетов с превосходящими силами противника в воздухе.</w:t>
      </w:r>
    </w:p>
    <w:p w14:paraId="65569E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Пренебрежение к радиоуправлению ведет к частому опаздыванию штурмовиков с нанесением удара, а иногда и его срыву по подвижным объектам, обнаруженным нашей авиаразведкой.</w:t>
      </w:r>
    </w:p>
    <w:p w14:paraId="47081D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Неумение использовать имеющиеся у нас радиосредства приводит к тому, что поднятые на перехват группы истребителей либо запаздывают с вылетом, либо, даже вылетев вовремя, не могут быть наведены на противника.</w:t>
      </w:r>
    </w:p>
    <w:p w14:paraId="1D5CCA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Воздушный бой из-за отсутствия радиоуправления как с земли, так и в воздухе проходит неорганизованно, что влечет за собой излишние потери с нашей стороны и уменьшает потери противника. Этого до сих пор не понимают многие наши авиационные командиры и поэтому не используют радио как основное средство по управлению авиачастями.</w:t>
      </w:r>
    </w:p>
    <w:p w14:paraId="0BD2EC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Приказываю:</w:t>
      </w:r>
    </w:p>
    <w:p w14:paraId="35D9C1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С 1 октября 1942 г. ввести в действие во всех частях ВВС Красной Армии “Инструкцию по управлению, оповещению и наведению по радио авиации”.*</w:t>
      </w:r>
    </w:p>
    <w:p w14:paraId="7DF2A2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Указанную Инструкцию изучить всему летному и штабному составу от командующих воздушных армий до рядового пилота, стрелка-бомбардира.</w:t>
      </w:r>
    </w:p>
    <w:p w14:paraId="603DDD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В кратчайший срок привести в порядок все имеющееся радиооборудование как наземное, так и самолетное.</w:t>
      </w:r>
    </w:p>
    <w:p w14:paraId="406A28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Для быстрого вылета к цели истребителей и штурмовиков держать постоянно на аэродромах дежурные группы, вызываемые к цели по радио.</w:t>
      </w:r>
    </w:p>
    <w:p w14:paraId="43A9E0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Задачи на боевое применение истребительной авиации ставить так, чтобы совершенно исключить бесцельное болтание истребителей над объектом прикрытия, используя для этой цели существующую систему ВНОС, а особенно установки “Редут” там, где они есть. При грамотном использовании этих средств, правильной дислокации своих сил можно надежно прикрывать свои войска даже и на переднем крае, не патрулируя над ними, а приходя туда по мере необходимости.</w:t>
      </w:r>
    </w:p>
    <w:p w14:paraId="672137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В штаты № 015/270 отдельного полка связи воздушной армии (ВВС фронта) и № 015/215 отдельного батальона связи ВВС фронта дополнительно включить в радиороты по четыре радиостанции типа РСБ с обслуживающим составом по пять человек для каждой радиостанции.</w:t>
      </w:r>
    </w:p>
    <w:p w14:paraId="00643A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6. К 20 октября 1942 г. организовать управление воздушными боями по радио с земли как над аэродромами, так и над передним краем, расставив в нужных местах родиостанции наведения.</w:t>
      </w:r>
    </w:p>
    <w:p w14:paraId="202EE9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Ответственность за выполнение настоящего приказа возлагаю на командующих воздушными армиями и командующих ВВС фронтов.</w:t>
      </w:r>
    </w:p>
    <w:p w14:paraId="42D15E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Начальнику штаба ВВС Красной Армии организовать поверку выполнения настоящего приказа. Результаты поверки доложить мне 1 ноября 1942 г.</w:t>
      </w:r>
    </w:p>
    <w:p w14:paraId="751A93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Командующим воздушными армиями и командующим ВВС фронтов о ходе выполнения приказа доносить мне 1 октября, 15 октября и 1 ноября 1942 г.</w:t>
      </w:r>
    </w:p>
    <w:p w14:paraId="179D2B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 ввести в действие по телеграфу.</w:t>
      </w:r>
    </w:p>
    <w:p w14:paraId="038F1C79"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 xml:space="preserve">Заместитель Народного комиссара обороны СССР генерал-лейтенант авиации НОВИКОВ </w:t>
      </w:r>
      <w:r w:rsidRPr="00722885">
        <w:rPr>
          <w:color w:val="000000" w:themeColor="text1"/>
          <w:sz w:val="16"/>
          <w:szCs w:val="16"/>
        </w:rPr>
        <w:t>(9844).</w:t>
      </w:r>
    </w:p>
    <w:p w14:paraId="2443F260" w14:textId="77777777" w:rsidR="00090C9B" w:rsidRPr="00722885" w:rsidRDefault="00090C9B" w:rsidP="00722885">
      <w:pPr>
        <w:pStyle w:val="Iauiue"/>
        <w:jc w:val="both"/>
        <w:rPr>
          <w:color w:val="000000" w:themeColor="text1"/>
          <w:sz w:val="16"/>
          <w:szCs w:val="16"/>
        </w:rPr>
      </w:pPr>
    </w:p>
    <w:p w14:paraId="5DB60AFD" w14:textId="77777777" w:rsidR="00C7427F"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2BD07C01" w14:textId="77777777" w:rsidR="00C7427F" w:rsidRPr="00722885" w:rsidRDefault="00C7427F" w:rsidP="00722885">
      <w:pPr>
        <w:pStyle w:val="Iauiue"/>
        <w:jc w:val="both"/>
        <w:rPr>
          <w:iCs/>
          <w:color w:val="000000" w:themeColor="text1"/>
          <w:sz w:val="16"/>
          <w:szCs w:val="16"/>
        </w:rPr>
      </w:pPr>
    </w:p>
    <w:p w14:paraId="78320202"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сентября 1942 г. был издан Указ Президиума Верховного Совета СССР «О переводе на положение мобилизованных рабочих, служащих и инженерно- технических работников в близких к фронту районах». Этот Указ устанавливал, что все рабочие, служащие и инженерно- технические работники мужского и женского пола, работавшие в государственных учреждениях и на предприятиях в районах, близких к фронту, переводились на положение мобилизованных и закреплялись за теми предприятиями и учреждениями, в которых они работали. Самовольный уход с работы указанной категории лиц карался по Указу от 26 декабря 1941 г. Дела о лицах, виновных в самовольном уходе, а также в уклонения от обязательной эвакуации, рассматривались военными трибуналами. Несли уголовную ответственность и руководители предприятий (учреждений), не обеспечившие организованной и полной эвакуации рабочих, служащих и инженерно-технических работников. Таким образом, этот Указ вывел практически всех рабочих и служащих в близких к фронту районах из сферы действия Указа от 26 декабря 1941 г. и подвел их под действие Указа от 26 декабря 1941 г. и таким образом значительно ужесточил уголовную ответственность для этой категории лиц (17460).</w:t>
      </w:r>
    </w:p>
    <w:p w14:paraId="31840A27" w14:textId="77777777" w:rsidR="00C7427F" w:rsidRPr="00722885" w:rsidRDefault="00C7427F" w:rsidP="00722885">
      <w:pPr>
        <w:spacing w:after="0" w:line="240" w:lineRule="auto"/>
        <w:jc w:val="both"/>
        <w:rPr>
          <w:rFonts w:ascii="Times New Roman" w:hAnsi="Times New Roman"/>
          <w:color w:val="000000" w:themeColor="text1"/>
          <w:sz w:val="16"/>
          <w:szCs w:val="16"/>
        </w:rPr>
      </w:pPr>
    </w:p>
    <w:p w14:paraId="318644B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07073CC9" w14:textId="77777777" w:rsidR="00090C9B" w:rsidRPr="00722885" w:rsidRDefault="00090C9B" w:rsidP="00722885">
      <w:pPr>
        <w:pStyle w:val="Iauiue"/>
        <w:jc w:val="both"/>
        <w:rPr>
          <w:iCs/>
          <w:color w:val="000000" w:themeColor="text1"/>
          <w:sz w:val="16"/>
          <w:szCs w:val="16"/>
        </w:rPr>
      </w:pPr>
    </w:p>
    <w:p w14:paraId="3BB39A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сентября 1942 СССР признало Национальный комитет "Сражающаяся Франция" (512,297).</w:t>
      </w:r>
    </w:p>
    <w:p w14:paraId="74448646" w14:textId="77777777" w:rsidR="00090C9B" w:rsidRPr="00722885" w:rsidRDefault="00090C9B" w:rsidP="00722885">
      <w:pPr>
        <w:pStyle w:val="Iauiue"/>
        <w:jc w:val="both"/>
        <w:rPr>
          <w:color w:val="000000" w:themeColor="text1"/>
          <w:sz w:val="16"/>
          <w:szCs w:val="16"/>
        </w:rPr>
      </w:pPr>
    </w:p>
    <w:p w14:paraId="03E0130F" w14:textId="77777777" w:rsidR="00C7427F" w:rsidRPr="00722885" w:rsidRDefault="00C7427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сентября </w:t>
      </w:r>
      <w:r w:rsidRPr="00722885">
        <w:rPr>
          <w:rFonts w:ascii="Times New Roman" w:hAnsi="Times New Roman"/>
          <w:color w:val="000000" w:themeColor="text1"/>
          <w:sz w:val="16"/>
          <w:szCs w:val="16"/>
        </w:rPr>
        <w:t>в 1942 году опубликование советско-французского коммюнике. СССР признал Французский национальный комитет - руководящий орган «Сражающейся Франции» - единственным органом, представляющим интересы французских граждан и французских территорий (14784).</w:t>
      </w:r>
    </w:p>
    <w:p w14:paraId="4647E204" w14:textId="77777777" w:rsidR="00C7427F" w:rsidRPr="00722885" w:rsidRDefault="00C7427F" w:rsidP="00722885">
      <w:pPr>
        <w:spacing w:after="0" w:line="240" w:lineRule="auto"/>
        <w:jc w:val="both"/>
        <w:rPr>
          <w:rFonts w:ascii="Times New Roman" w:hAnsi="Times New Roman"/>
          <w:color w:val="000000" w:themeColor="text1"/>
          <w:sz w:val="16"/>
          <w:szCs w:val="16"/>
        </w:rPr>
      </w:pPr>
    </w:p>
    <w:p w14:paraId="4EB69CC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EAA4D26" w14:textId="77777777" w:rsidR="00090C9B" w:rsidRPr="00722885" w:rsidRDefault="00090C9B" w:rsidP="00722885">
      <w:pPr>
        <w:pStyle w:val="Iauiue"/>
        <w:jc w:val="both"/>
        <w:rPr>
          <w:iCs/>
          <w:color w:val="000000" w:themeColor="text1"/>
          <w:sz w:val="16"/>
          <w:szCs w:val="16"/>
        </w:rPr>
      </w:pPr>
    </w:p>
    <w:p w14:paraId="765E7B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сентября 1942 г. был выдан Заказ на серийное производство «Кингкобр», когда ни один опытный образец ещё не летал. Первые серийные Р-63А изготовили на заводе в Буффало в октябре 1943 г. До конца года построили всего 31 машину типа Р-63А-1, практически идентичных опытному ХР-63А, но без бомбодержателей под крыльями и фюзеляжем (самолёт не мог нести ни бомбы, ни подвесные топливные баки) и отличающимися по очертаниям подкрыльными пулемётными гондолами. Истребитель комплектовался мотором «Аллисон» \/-1710-93 номинальной мощностью 1325 л.е., вращавшим четырёхлопастный пропеллер «Аэро- продактс». На первых серийных истребителях сохранялись внутренние щитки шасси, навешивавшиеся на центроплане. Далее от них отказались, и часть коле-са в убранном положении оставалась в полёте открытой. К крупносерийному выпуску «Кингкобр» приступили уже в начале 1944 г., их собирали на конвейерных линиях параллельно с Р-390.</w:t>
      </w:r>
    </w:p>
    <w:p w14:paraId="21A670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Когда принималось решение о запуске нового истребителя в серию, уже было совершенно ясно, что основным «пот-ребителем» этих машин станет советс-кая авиация. В США не очень жаловали и «Аэрокобру». Её лётные данные на больших высотах были не ахти какими (из-за использования одноступенчатого нагнетателя), а размещение мотора в средней части фюзеляжа не давало воз-можности втиснуть туда дополнительные топливные баки; последнее отрицатель-но сказывалось на радиусе действия. В итоге Р-39 не подходил ни для сопро-вождения тяжёлых бомбардировщиков в дальних рейдах над Европой, ни для боевых действий на Тихом океане, где аэродромов имелось мало и летать при-ходилось далеко. Единственное место, где их довольно успешно использовали - Новая Гвинея; здесь всю войну против-ники практически топтались на месте. Поэтому большую часть «Аэрокобр» по ленд-лизу отправили в Советский Союз; там они «пришлись ко двору», поскольку от них не требовалось ни работы на боль-ших высотах, ни полётов на огромную дальность (12265).</w:t>
      </w:r>
    </w:p>
    <w:p w14:paraId="0924FB6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ACCD0F1" w14:textId="77777777" w:rsidR="00C7427F"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E788E6F" w14:textId="77777777" w:rsidR="00C7427F" w:rsidRPr="00722885" w:rsidRDefault="00C7427F" w:rsidP="00722885">
      <w:pPr>
        <w:pStyle w:val="Iauiue"/>
        <w:jc w:val="both"/>
        <w:rPr>
          <w:iCs/>
          <w:color w:val="000000" w:themeColor="text1"/>
          <w:sz w:val="16"/>
          <w:szCs w:val="16"/>
        </w:rPr>
      </w:pPr>
    </w:p>
    <w:p w14:paraId="01FD0CEC" w14:textId="77777777" w:rsidR="00C7427F" w:rsidRPr="00722885" w:rsidRDefault="00C7427F"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20-х числах сентября 1942 года сопровождением работ по теме ЗИК-20 занялся помощник начальника 2-го отдела Арткома ГАУ КА инженер-майор П.Ф. Соломонов. Работа у него оказалась непростой, поскольку ЗИК-20 проектировалась под КВ-1, а с сентября ЧКЗ перешел на производство КВ-1с. Первым делом Соломонов направился в Челябинск, где состоялись совещания с участием Котина и конструкторов опытного завода №100 Народного комиссариата тяжелой промышленности (НКТП). По итогам совещаний было решено от идеи использования корпусов КВ-7 отказаться окончательно. По заказу Арткомитета Завод №100 и ЧКЗ обязались изготовить шасси самохода, а также произвести монтаж системы и оборудования боевого отделения. Для увязки работ по проектированию ЧКЗ отправлял на завод №8 двух конструкторов.</w:t>
      </w:r>
    </w:p>
    <w:p w14:paraId="63E56FFB" w14:textId="77777777" w:rsidR="00C7427F" w:rsidRPr="00722885" w:rsidRDefault="00C7427F"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Прибыв в Свердловск, Соломонов рассмотрел чертежи проекта и дал конструкторам необходимые указания по переделкам. 25 сентября были оформлены тактико-технические требования. Согласно им, боевая масса ЗИК-20 на шасси КВ-1с определялась в 45,5 тонн. В основном, характеристики машины оставались на уровне эскизного проекта, но при этом были учтены замечания, высказанные в ходе утверждения ЗИК на совещании Технического Совета НКВ 15 сентября.</w:t>
      </w:r>
    </w:p>
    <w:p w14:paraId="7405DD81" w14:textId="77777777" w:rsidR="00C7427F" w:rsidRPr="00722885" w:rsidRDefault="00C7427F"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К 25 октября заводу поручалось доработать чертежи и изготовить деревянный макет установки. Для изготовления деревянного макета по личному распоряжению директора завода №8 Б.А. Фрадкина была выделена бригада модельщиков и плотников. Руководить работами по изготовлению макета назначили конструктора А.Г. Усенко. Для того чтобы по проекту имелся необходимый объем конструкторов и чертежниц, были приняты меры по возвращению работников завода №8, занятых на уборке урожая и лесозаготовках.</w:t>
      </w:r>
    </w:p>
    <w:p w14:paraId="200F8F3B" w14:textId="77777777" w:rsidR="00C7427F" w:rsidRPr="00722885" w:rsidRDefault="00C7427F"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Казалось, что затормозившаяся на полгода и исчезнувшая из плана опытных работ тема 152-мм САУ на базе КВ, наконец, сдвинулось с мертвой точки. Несмотря на то, что теперь базой являлся уже не КВ-1, а КВ-1с, общая концепция самоходной установки не менялась, и в сроки можно было вполне уложиться. Представители ЧКЗ действительно выезжали на завод №8 и ознакомились с проектной документацией ЗИК-20, а работы по заданной теме вплотную подошли к практической стадии. Но изготовление макета затянулось, а в самом конце октября произошло событие, серьезно повлиявшее на весь ход работ (15806).</w:t>
      </w:r>
    </w:p>
    <w:p w14:paraId="0FF69D88" w14:textId="77777777" w:rsidR="00C7427F" w:rsidRPr="00722885" w:rsidRDefault="00C7427F" w:rsidP="00722885">
      <w:pPr>
        <w:shd w:val="clear" w:color="auto" w:fill="FFFFFF"/>
        <w:spacing w:after="0" w:line="240" w:lineRule="auto"/>
        <w:jc w:val="both"/>
        <w:rPr>
          <w:rFonts w:ascii="Times New Roman" w:eastAsia="Times New Roman" w:hAnsi="Times New Roman"/>
          <w:color w:val="000000" w:themeColor="text1"/>
          <w:sz w:val="16"/>
          <w:szCs w:val="16"/>
        </w:rPr>
      </w:pPr>
    </w:p>
    <w:p w14:paraId="03062EBF" w14:textId="77777777" w:rsidR="009D3895" w:rsidRPr="00722885" w:rsidRDefault="009D3895" w:rsidP="00722885">
      <w:pPr>
        <w:pStyle w:val="a3"/>
        <w:rPr>
          <w:color w:val="000000" w:themeColor="text1"/>
          <w:lang w:val="ru-RU"/>
        </w:rPr>
      </w:pPr>
      <w:r w:rsidRPr="00722885">
        <w:rPr>
          <w:rStyle w:val="BodytextItalic"/>
          <w:i w:val="0"/>
          <w:color w:val="000000" w:themeColor="text1"/>
          <w:sz w:val="16"/>
          <w:szCs w:val="16"/>
          <w:lang w:val="ru-RU"/>
        </w:rPr>
        <w:t>С</w:t>
      </w:r>
      <w:r w:rsidRPr="00722885">
        <w:rPr>
          <w:color w:val="000000" w:themeColor="text1"/>
          <w:lang w:val="ru-RU"/>
        </w:rPr>
        <w:t xml:space="preserve"> 20-х чисел сентября 1942 года сопровождением работ по теме ЗИК-20 занялся помощник начальника 2-го отдела Арткома П.Ф. Соломонов, к тому моменту уже дослужившийся до звания инженер-майора. Как и в конце 1941 года, ему пришлось ездить по заводам, чтобы лично контролировать внедрение новых конструк</w:t>
      </w:r>
      <w:r w:rsidRPr="00722885">
        <w:rPr>
          <w:color w:val="000000" w:themeColor="text1"/>
          <w:lang w:val="ru-RU"/>
        </w:rPr>
        <w:softHyphen/>
        <w:t>ций. Первым пунктом поездки стал Челябинск, где состоялись совещания с участием Котина (к тому моменту он также являлся и главным конструктором НКТП) и конструкторов опытного завода №100 НКТП:</w:t>
      </w:r>
    </w:p>
    <w:p w14:paraId="1F3BFBAD"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«На этом совещании и при переговорах с тов. Котиным принято сле</w:t>
      </w:r>
      <w:r w:rsidRPr="00722885">
        <w:rPr>
          <w:rStyle w:val="Bodytext145"/>
          <w:i w:val="0"/>
          <w:iCs w:val="0"/>
          <w:color w:val="000000" w:themeColor="text1"/>
          <w:sz w:val="16"/>
          <w:szCs w:val="16"/>
        </w:rPr>
        <w:softHyphen/>
        <w:t>дующее решение: завод №100 и Кировский завод по заказу Арткомите- та изготавливают шасси самохода и монтируют артиллерийский блок и оборудование боевого отделение. Для увязки работ по проектированиюКировский завод командирует в город Свердловск на завод №8 двух кон</w:t>
      </w:r>
      <w:r w:rsidRPr="00722885">
        <w:rPr>
          <w:rStyle w:val="Bodytext145"/>
          <w:i w:val="0"/>
          <w:iCs w:val="0"/>
          <w:color w:val="000000" w:themeColor="text1"/>
          <w:sz w:val="16"/>
          <w:szCs w:val="16"/>
        </w:rPr>
        <w:softHyphen/>
        <w:t xml:space="preserve">структоров. Заводу необходимо выслать уточненные ТТТ, ибо в </w:t>
      </w:r>
      <w:r w:rsidRPr="00722885">
        <w:rPr>
          <w:rStyle w:val="Bodytext145"/>
          <w:i w:val="0"/>
          <w:iCs w:val="0"/>
          <w:color w:val="000000" w:themeColor="text1"/>
          <w:sz w:val="16"/>
          <w:szCs w:val="16"/>
          <w:lang w:val="en-US"/>
        </w:rPr>
        <w:t>mom</w:t>
      </w:r>
      <w:r w:rsidRPr="00722885">
        <w:rPr>
          <w:rStyle w:val="Bodytext145"/>
          <w:i w:val="0"/>
          <w:iCs w:val="0"/>
          <w:color w:val="000000" w:themeColor="text1"/>
          <w:sz w:val="16"/>
          <w:szCs w:val="16"/>
        </w:rPr>
        <w:t xml:space="preserve"> пе</w:t>
      </w:r>
      <w:r w:rsidRPr="00722885">
        <w:rPr>
          <w:rStyle w:val="Bodytext145"/>
          <w:i w:val="0"/>
          <w:iCs w:val="0"/>
          <w:color w:val="000000" w:themeColor="text1"/>
          <w:sz w:val="16"/>
          <w:szCs w:val="16"/>
        </w:rPr>
        <w:softHyphen/>
        <w:t xml:space="preserve">риод недостаточно ясно стоял вопрос о полноте использования корпуса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xml:space="preserve">- 7. Так как габариты корпуса предполагались несколько большие, чем у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- 7, то, по мнению конструкторов завода №100 (начальник конструк</w:t>
      </w:r>
      <w:r w:rsidRPr="00722885">
        <w:rPr>
          <w:rStyle w:val="Bodytext145"/>
          <w:i w:val="0"/>
          <w:iCs w:val="0"/>
          <w:color w:val="000000" w:themeColor="text1"/>
          <w:sz w:val="16"/>
          <w:szCs w:val="16"/>
        </w:rPr>
        <w:softHyphen/>
        <w:t xml:space="preserve">торского бюро тов. Ермолаев), целесообразнее взять коробку облегченного танка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-1С и оборудовать ее запроектированной неподвижной призма</w:t>
      </w:r>
      <w:r w:rsidRPr="00722885">
        <w:rPr>
          <w:rStyle w:val="Bodytext145"/>
          <w:i w:val="0"/>
          <w:iCs w:val="0"/>
          <w:color w:val="000000" w:themeColor="text1"/>
          <w:sz w:val="16"/>
          <w:szCs w:val="16"/>
        </w:rPr>
        <w:softHyphen/>
        <w:t>тической башней.</w:t>
      </w:r>
    </w:p>
    <w:p w14:paraId="5B32EEB8"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При таком решении изготовление коробки должно быть произведено заводом УЗТМ; монтаж двигателя, трансмиссии и движителя — в серий</w:t>
      </w:r>
      <w:r w:rsidRPr="00722885">
        <w:rPr>
          <w:rStyle w:val="Bodytext145"/>
          <w:i w:val="0"/>
          <w:iCs w:val="0"/>
          <w:color w:val="000000" w:themeColor="text1"/>
          <w:sz w:val="16"/>
          <w:szCs w:val="16"/>
        </w:rPr>
        <w:softHyphen/>
        <w:t>ных цехах Кировского завода; монтаж артблока, изготовление и монтаж боеуколадки на заводе №100. Чертежи коробки с башней по эскизам заво</w:t>
      </w:r>
      <w:r w:rsidRPr="00722885">
        <w:rPr>
          <w:rStyle w:val="Bodytext145"/>
          <w:i w:val="0"/>
          <w:iCs w:val="0"/>
          <w:color w:val="000000" w:themeColor="text1"/>
          <w:sz w:val="16"/>
          <w:szCs w:val="16"/>
        </w:rPr>
        <w:softHyphen/>
        <w:t>да №8разрабатываются в КБ-100 и Кировского завода.</w:t>
      </w:r>
    </w:p>
    <w:p w14:paraId="4BFCF5A4"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В такой плоскости необходимо договориться в Наркомтанкопроме, добиться, в развитие существующей договоренности по изготовлению самохода, приказа наркома с соответствующим распределением работы и сроков.</w:t>
      </w:r>
    </w:p>
    <w:p w14:paraId="42686487" w14:textId="77777777" w:rsidR="009D3895" w:rsidRPr="00722885" w:rsidRDefault="009D3895" w:rsidP="00722885">
      <w:pPr>
        <w:pStyle w:val="Bodytext141"/>
        <w:shd w:val="clear" w:color="auto" w:fill="auto"/>
        <w:spacing w:line="240" w:lineRule="auto"/>
        <w:ind w:firstLine="0"/>
        <w:jc w:val="both"/>
        <w:rPr>
          <w:rStyle w:val="Bodytext145"/>
          <w:i w:val="0"/>
          <w:iCs w:val="0"/>
          <w:color w:val="000000" w:themeColor="text1"/>
          <w:sz w:val="16"/>
          <w:szCs w:val="16"/>
        </w:rPr>
      </w:pPr>
      <w:r w:rsidRPr="00722885">
        <w:rPr>
          <w:rStyle w:val="Bodytext145"/>
          <w:i w:val="0"/>
          <w:iCs w:val="0"/>
          <w:color w:val="000000" w:themeColor="text1"/>
          <w:sz w:val="16"/>
          <w:szCs w:val="16"/>
        </w:rPr>
        <w:t>Заключение договора с заводом отложено до утверждения деревянного макета и уточнения общего проекта».</w:t>
      </w:r>
    </w:p>
    <w:p w14:paraId="39E5619D" w14:textId="77777777" w:rsidR="009D3895" w:rsidRPr="00722885" w:rsidRDefault="009D3895" w:rsidP="00722885">
      <w:pPr>
        <w:pStyle w:val="a3"/>
        <w:rPr>
          <w:color w:val="000000" w:themeColor="text1"/>
          <w:lang w:val="ru-RU"/>
        </w:rPr>
      </w:pPr>
      <w:r w:rsidRPr="00722885">
        <w:rPr>
          <w:color w:val="000000" w:themeColor="text1"/>
          <w:lang w:val="ru-RU"/>
        </w:rPr>
        <w:t>Прибыв в Свердловск, Соломонов рассмотрел чертежи проекта и дал конструкторам необходимые указания по переделкам, утвержденным Техническим советом НКВ Союза ССР. В ходе проведенного на заво</w:t>
      </w:r>
      <w:r w:rsidRPr="00722885">
        <w:rPr>
          <w:color w:val="000000" w:themeColor="text1"/>
          <w:lang w:val="ru-RU"/>
        </w:rPr>
        <w:softHyphen/>
        <w:t>де №8 совещания было принято решение, по которому завод обязы</w:t>
      </w:r>
      <w:r w:rsidRPr="00722885">
        <w:rPr>
          <w:color w:val="000000" w:themeColor="text1"/>
          <w:lang w:val="ru-RU"/>
        </w:rPr>
        <w:softHyphen/>
        <w:t>вался к 25 октября доработать чертежи и изготовить деревянный макет установки. Для изготовления деревянного макета по личному распо</w:t>
      </w:r>
      <w:r w:rsidRPr="00722885">
        <w:rPr>
          <w:color w:val="000000" w:themeColor="text1"/>
          <w:lang w:val="ru-RU"/>
        </w:rPr>
        <w:softHyphen/>
        <w:t>ряжению директора завода №8 Б.А. Фрадкина была выделена брига</w:t>
      </w:r>
      <w:r w:rsidRPr="00722885">
        <w:rPr>
          <w:color w:val="000000" w:themeColor="text1"/>
          <w:lang w:val="ru-RU"/>
        </w:rPr>
        <w:softHyphen/>
        <w:t>да модельщиков и плотников. Руководить работами по изготовлению макета назначили конструктора А.Г. Усенко. Для того чтобы по проек</w:t>
      </w:r>
      <w:r w:rsidRPr="00722885">
        <w:rPr>
          <w:color w:val="000000" w:themeColor="text1"/>
          <w:lang w:val="ru-RU"/>
        </w:rPr>
        <w:softHyphen/>
        <w:t>ту имелся необходимый объем конструкторов и чертежниц, были при</w:t>
      </w:r>
      <w:r w:rsidRPr="00722885">
        <w:rPr>
          <w:color w:val="000000" w:themeColor="text1"/>
          <w:lang w:val="ru-RU"/>
        </w:rPr>
        <w:softHyphen/>
        <w:t>няты меры по возвращению работников завода №8, занятых на уборке урожая и лесозаготовках.</w:t>
      </w:r>
    </w:p>
    <w:p w14:paraId="2FDEA452" w14:textId="77777777" w:rsidR="009D3895" w:rsidRPr="00722885" w:rsidRDefault="009D3895"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Поскольку у завода №8 отсутствовали четкие требования к опытно</w:t>
      </w:r>
      <w:r w:rsidRPr="00722885">
        <w:rPr>
          <w:i w:val="0"/>
          <w:color w:val="000000" w:themeColor="text1"/>
          <w:sz w:val="16"/>
          <w:szCs w:val="16"/>
        </w:rPr>
        <w:softHyphen/>
        <w:t xml:space="preserve">му образцу установки, Соломонов взялся за составление ТТТ </w:t>
      </w:r>
      <w:r w:rsidRPr="00722885">
        <w:rPr>
          <w:rStyle w:val="Bodytext145"/>
          <w:i w:val="0"/>
          <w:iCs w:val="0"/>
          <w:color w:val="000000" w:themeColor="text1"/>
          <w:sz w:val="16"/>
          <w:szCs w:val="16"/>
        </w:rPr>
        <w:t xml:space="preserve"> (17484).</w:t>
      </w:r>
    </w:p>
    <w:p w14:paraId="0B52A0EE" w14:textId="77777777" w:rsidR="009D3895" w:rsidRPr="00722885" w:rsidRDefault="009D3895" w:rsidP="00722885">
      <w:pPr>
        <w:pStyle w:val="72"/>
        <w:shd w:val="clear" w:color="auto" w:fill="auto"/>
        <w:spacing w:line="240" w:lineRule="auto"/>
        <w:rPr>
          <w:rFonts w:ascii="Times New Roman" w:cs="Times New Roman"/>
          <w:color w:val="000000" w:themeColor="text1"/>
          <w:spacing w:val="0"/>
          <w:sz w:val="16"/>
          <w:szCs w:val="16"/>
        </w:rPr>
      </w:pPr>
    </w:p>
    <w:p w14:paraId="7BF47458" w14:textId="77777777" w:rsidR="00E93E03" w:rsidRPr="00722885" w:rsidRDefault="00E93E0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20-х числах сентября 1942 года сопровождением работ по теме ЗИК-20 занялся помощник начальника 2-го отдела Арткома ГАУ КА инженер-майор П. Ф. Соломонов. Работа у него оказалась непростой, поскольку ЗИК-20 проектировалась под КВ-1, а с сентября ЧКЗ перешёл на производство КВ-1с. Первым делом Соломонов направился в Челябинск, где состоялись совещания с участием Котина и конструкторов опытного завода №100 Народного комиссариата тяжёлой промышленности (НКТП). По итогам совещаний было решено от идеи использования корпусов КВ-7 отказаться окончательно. По заказу Арткомитета Завод №100 и ЧКЗ обязались изготовить шасси самохода, а также произвести монтаж системы и оборудования боевого отделения. Для увязки работ по проектированию ЧКЗ отправлял на завод №8 двух конструкторов.</w:t>
      </w:r>
    </w:p>
    <w:p w14:paraId="6C204269" w14:textId="77777777" w:rsidR="00E93E03" w:rsidRPr="00722885" w:rsidRDefault="00E93E0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Прибыв в Свердловск, Соломонов рассмотрел чертежи проекта и дал конструкторам необходимые указания по переделкам. 25 сентября были оформлены тактико-технические требования. Согласно им, боевая масса ЗИК-20 на шасси КВ-1с определялась в 45,5 тонн. В основном, характеристики машины оставались на уровне эскизного проекта, но при этом были учтены замечания, высказанные в ходе утверждения ЗИК на совещании Технического Совета НКВ 15 сентября.</w:t>
      </w:r>
    </w:p>
    <w:p w14:paraId="2CA0AC75" w14:textId="77777777" w:rsidR="00E93E03" w:rsidRPr="00722885" w:rsidRDefault="00E93E0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25 октября заводу поручалось доработать чертежи и изготовить деревянный макет установки. Для изготовления деревянного макета по личному распоряжению директора завода №8 Б. А. Фрадкина была выделена бригада модельщиков и плотников. Руководить работами по изготовлению макета назначили конструктора А. Г. Усенко. Для того чтобы по проекту имелся необходимый объём конструкторов и чертёжниц, были приняты меры по возвращению работников завода №8, занятых на уборке урожая и лесозаготовках.</w:t>
      </w:r>
    </w:p>
    <w:p w14:paraId="2B04D727" w14:textId="77777777" w:rsidR="00E93E03" w:rsidRPr="00722885" w:rsidRDefault="00E93E0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Казалось, что затормозившаяся на полгода и исчезнувшая из плана опытных работ тема 152-мм САУ на базе КВ, наконец, сдвинулась с мёртвой точки. Несмотря на то, что теперь базой являлся уже не КВ-1, а КВ-1с, общая концепция самоходной установки не менялась, и в сроки можно было вполне уложиться. Представители ЧКЗ действительно выезжали на завод №8 и ознакомились с проектной документацией ЗИК-20, а работы по заданной теме вплотную подошли к практической стадии. Но изготовление макета затянулось, а в самом конце октября произошло событие, серьёзно повлиявшее на весь ход работ (17648).</w:t>
      </w:r>
    </w:p>
    <w:p w14:paraId="73BEB40E" w14:textId="77777777" w:rsidR="00E93E03" w:rsidRPr="00722885" w:rsidRDefault="00E93E03" w:rsidP="00722885">
      <w:pPr>
        <w:spacing w:after="0" w:line="240" w:lineRule="auto"/>
        <w:jc w:val="both"/>
        <w:rPr>
          <w:rFonts w:ascii="Times New Roman" w:hAnsi="Times New Roman"/>
          <w:color w:val="000000" w:themeColor="text1"/>
          <w:sz w:val="16"/>
          <w:szCs w:val="16"/>
        </w:rPr>
      </w:pPr>
    </w:p>
    <w:p w14:paraId="760E627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0E43FEE" w14:textId="77777777" w:rsidR="00090C9B" w:rsidRPr="00722885" w:rsidRDefault="00090C9B" w:rsidP="00722885">
      <w:pPr>
        <w:pStyle w:val="Iauiue"/>
        <w:jc w:val="both"/>
        <w:rPr>
          <w:iCs/>
          <w:color w:val="000000" w:themeColor="text1"/>
          <w:sz w:val="16"/>
          <w:szCs w:val="16"/>
        </w:rPr>
      </w:pPr>
    </w:p>
    <w:p w14:paraId="6F755910" w14:textId="77777777" w:rsidR="00FC52A4" w:rsidRPr="00722885" w:rsidRDefault="00FC52A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30 сентября 1942 г. в НИИ ВВС поступили два самолета Ил-2 АМ-38 производства завода № 30 с кабинами воздушного стрелка: один (зав. № 30897) - с пулеметом ШКАС, другой (зав. № 30887) - с УБТ.</w:t>
      </w:r>
    </w:p>
    <w:p w14:paraId="03E69F38" w14:textId="77777777" w:rsidR="00FC52A4" w:rsidRPr="00722885" w:rsidRDefault="00FC52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Переделки были минимальными. За пределами бронекорпуса в фюзеляже делался вырез, устанавливалась турель с пулеметом и крепилась брезентовая лента, на которой сидел стрелок. Вырез в верхней части фюзеляжа под кабину стрелка окантовывался отштампованным из дюралюминиевого листа жестким кольцом.</w:t>
      </w:r>
    </w:p>
    <w:p w14:paraId="4176EA1B" w14:textId="77777777" w:rsidR="00FC52A4" w:rsidRPr="00722885" w:rsidRDefault="00FC52A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 Ил-2 зав. № 887 было введено взлетное положение посадочных щитков под углом 17±1°, что позволяло сократить разбег при взлете, и механический ука</w:t>
      </w:r>
      <w:r w:rsidRPr="00722885">
        <w:rPr>
          <w:rFonts w:ascii="Times New Roman" w:hAnsi="Times New Roman" w:cs="Times New Roman"/>
          <w:color w:val="000000" w:themeColor="text1"/>
          <w:sz w:val="16"/>
          <w:szCs w:val="16"/>
        </w:rPr>
        <w:softHyphen/>
        <w:t>затель отклонения щитков. Самолет Ил-2 зав. № 897 такого новшества не имел.</w:t>
      </w:r>
    </w:p>
    <w:p w14:paraId="09FFE195" w14:textId="77777777" w:rsidR="00FC52A4" w:rsidRPr="00722885" w:rsidRDefault="00FC52A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Пулеметы ШКАС и УБТ монтировались на установке ВУБ-3 конструкции И.И. Торопова (завод № 32). Установка с пулеметом ШКАС позволяла вести огонь вверх - до 40°, вниз по борту - до 15</w:t>
      </w:r>
      <w:r w:rsidRPr="00722885">
        <w:rPr>
          <w:rFonts w:ascii="Times New Roman" w:hAnsi="Times New Roman" w:cs="Times New Roman"/>
          <w:color w:val="000000" w:themeColor="text1"/>
          <w:sz w:val="16"/>
          <w:szCs w:val="16"/>
          <w:vertAlign w:val="superscript"/>
        </w:rPr>
        <w:t>е</w:t>
      </w:r>
      <w:r w:rsidRPr="00722885">
        <w:rPr>
          <w:rFonts w:ascii="Times New Roman" w:hAnsi="Times New Roman" w:cs="Times New Roman"/>
          <w:color w:val="000000" w:themeColor="text1"/>
          <w:sz w:val="16"/>
          <w:szCs w:val="16"/>
        </w:rPr>
        <w:t>, вправо и влево - по 45°, а под пулемет УБТ - 35° вверх, до 6° вниз по борту, 35° вправо и 28° влево.</w:t>
      </w:r>
    </w:p>
    <w:p w14:paraId="387DC774" w14:textId="77777777" w:rsidR="00FC52A4" w:rsidRPr="00722885" w:rsidRDefault="00FC52A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Полетный вес двухместных Ил-2 вырос: с пулеметом ШКАС - на 200 кг, с пулеметом УБТ - на 270 кг. Центровка самолетов при нормальном полетном весе сместилась назад на 2,3-3,5% САХ, что составило 31,6% САХ для Ил-2 зав. №897, и 32,85% САХ для Ил-2 зав. №887. Как следствие, ухудшилась продольная устойчивость самолетов.</w:t>
      </w:r>
    </w:p>
    <w:p w14:paraId="4C597B11" w14:textId="77777777" w:rsidR="00FC52A4" w:rsidRPr="00722885" w:rsidRDefault="00FC52A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Лучшей была признана кабина с пулеметом УБТ. Считалось, что мощь огня УБТ в сочетании с маневром штурмовика обеспечит более надежную защиту от атак истребителей противника со стороны задней полусферы, чем пулемет ШКАС. Вопрос о броневой защите стрелка снизу и с боков предполагалось решить после проведения войсковых испытаний (19111).</w:t>
      </w:r>
    </w:p>
    <w:p w14:paraId="1FD3116C" w14:textId="77777777" w:rsidR="00FC52A4" w:rsidRPr="00722885" w:rsidRDefault="00FC52A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4648293D" w14:textId="77777777" w:rsidR="000F1FA6" w:rsidRPr="00722885" w:rsidRDefault="000F1FA6" w:rsidP="00722885">
      <w:pPr>
        <w:pStyle w:val="95"/>
        <w:shd w:val="clear" w:color="auto" w:fill="auto"/>
        <w:spacing w:after="0" w:line="240" w:lineRule="auto"/>
        <w:ind w:firstLine="0"/>
        <w:jc w:val="both"/>
        <w:rPr>
          <w:color w:val="0070C0"/>
          <w:sz w:val="16"/>
          <w:szCs w:val="16"/>
        </w:rPr>
      </w:pPr>
      <w:r w:rsidRPr="00722885">
        <w:rPr>
          <w:color w:val="0070C0"/>
          <w:sz w:val="16"/>
          <w:szCs w:val="16"/>
        </w:rPr>
        <w:t>30 сентября 1942 г. в НИИ ВВС поступили два Ил-2 АМ-38 завода №30 с кабинами воз</w:t>
      </w:r>
      <w:r w:rsidRPr="00722885">
        <w:rPr>
          <w:color w:val="0070C0"/>
          <w:sz w:val="16"/>
          <w:szCs w:val="16"/>
        </w:rPr>
        <w:softHyphen/>
        <w:t>душного стрелка: один (зав. №30897) - с пу</w:t>
      </w:r>
      <w:r w:rsidRPr="00722885">
        <w:rPr>
          <w:color w:val="0070C0"/>
          <w:sz w:val="16"/>
          <w:szCs w:val="16"/>
        </w:rPr>
        <w:softHyphen/>
        <w:t>леметом ШКАС, другой (зав. №30887) - с УБТ.</w:t>
      </w:r>
    </w:p>
    <w:p w14:paraId="5962DBCE" w14:textId="77777777" w:rsidR="000F1FA6" w:rsidRPr="00722885" w:rsidRDefault="000F1FA6"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Переделки были минимальными. За бронекорпусом в фюзеляже делался вырез, уста</w:t>
      </w:r>
      <w:r w:rsidRPr="00722885">
        <w:rPr>
          <w:rFonts w:ascii="Times New Roman" w:hAnsi="Times New Roman"/>
          <w:color w:val="0070C0"/>
          <w:sz w:val="16"/>
          <w:szCs w:val="16"/>
        </w:rPr>
        <w:softHyphen/>
        <w:t>навливалась турель с пулеметом и крепилась брезентовая лента, на которой сидел стрелок. Фонарь кабины стрелка откидывался в сторону, на правый борт самолета. Вырез в верхней ча</w:t>
      </w:r>
      <w:r w:rsidRPr="00722885">
        <w:rPr>
          <w:rFonts w:ascii="Times New Roman" w:hAnsi="Times New Roman"/>
          <w:color w:val="0070C0"/>
          <w:sz w:val="16"/>
          <w:szCs w:val="16"/>
        </w:rPr>
        <w:softHyphen/>
        <w:t>сти фюзеляжа под кабину стрелка окантовы</w:t>
      </w:r>
      <w:r w:rsidRPr="00722885">
        <w:rPr>
          <w:rFonts w:ascii="Times New Roman" w:hAnsi="Times New Roman"/>
          <w:color w:val="0070C0"/>
          <w:sz w:val="16"/>
          <w:szCs w:val="16"/>
        </w:rPr>
        <w:softHyphen/>
        <w:t>вался жестким кольцом, отштампованным из дюралюминиевого листа. Со стороны хвоста стрелок защищался 6-мм бронещитком, в ко</w:t>
      </w:r>
      <w:r w:rsidRPr="00722885">
        <w:rPr>
          <w:rFonts w:ascii="Times New Roman" w:hAnsi="Times New Roman"/>
          <w:color w:val="0070C0"/>
          <w:sz w:val="16"/>
          <w:szCs w:val="16"/>
        </w:rPr>
        <w:softHyphen/>
        <w:t>тором имелась небольшая дверка для доступа к оборудованию в хвостовой части фюзеляжа. Броня снизу и с боков отсутствовала. Пол ка</w:t>
      </w:r>
      <w:r w:rsidRPr="00722885">
        <w:rPr>
          <w:rFonts w:ascii="Times New Roman" w:hAnsi="Times New Roman"/>
          <w:color w:val="0070C0"/>
          <w:sz w:val="16"/>
          <w:szCs w:val="16"/>
        </w:rPr>
        <w:softHyphen/>
        <w:t>бины выполнили из бакелитовой фанеры.</w:t>
      </w:r>
    </w:p>
    <w:p w14:paraId="40975516" w14:textId="77777777" w:rsidR="000F1FA6" w:rsidRPr="00722885" w:rsidRDefault="000F1FA6" w:rsidP="00722885">
      <w:pPr>
        <w:pStyle w:val="95"/>
        <w:shd w:val="clear" w:color="auto" w:fill="auto"/>
        <w:spacing w:after="0" w:line="240" w:lineRule="auto"/>
        <w:ind w:firstLine="0"/>
        <w:jc w:val="both"/>
        <w:rPr>
          <w:color w:val="0070C0"/>
          <w:sz w:val="16"/>
          <w:szCs w:val="16"/>
        </w:rPr>
      </w:pPr>
      <w:r w:rsidRPr="00722885">
        <w:rPr>
          <w:color w:val="0070C0"/>
          <w:sz w:val="16"/>
          <w:szCs w:val="16"/>
        </w:rPr>
        <w:t>Для связи летчика и стрелка служили переговорное устройство СПУ-2 и трехцвет</w:t>
      </w:r>
      <w:r w:rsidRPr="00722885">
        <w:rPr>
          <w:color w:val="0070C0"/>
          <w:sz w:val="16"/>
          <w:szCs w:val="16"/>
        </w:rPr>
        <w:softHyphen/>
        <w:t>ная сигнализация. Ракетные орудия поначалу сняли, но в ходе испытаний вновь установили.</w:t>
      </w:r>
    </w:p>
    <w:p w14:paraId="08A81260" w14:textId="77777777" w:rsidR="000F1FA6" w:rsidRPr="00722885" w:rsidRDefault="000F1FA6" w:rsidP="00722885">
      <w:pPr>
        <w:pStyle w:val="95"/>
        <w:shd w:val="clear" w:color="auto" w:fill="auto"/>
        <w:spacing w:after="0" w:line="240" w:lineRule="auto"/>
        <w:ind w:firstLine="0"/>
        <w:jc w:val="both"/>
        <w:rPr>
          <w:color w:val="0070C0"/>
          <w:sz w:val="16"/>
          <w:szCs w:val="16"/>
        </w:rPr>
      </w:pPr>
      <w:r w:rsidRPr="00722885">
        <w:rPr>
          <w:color w:val="0070C0"/>
          <w:sz w:val="16"/>
          <w:szCs w:val="16"/>
        </w:rPr>
        <w:t>На Ил-2 №30887 ввели взлетное положе</w:t>
      </w:r>
      <w:r w:rsidRPr="00722885">
        <w:rPr>
          <w:color w:val="0070C0"/>
          <w:sz w:val="16"/>
          <w:szCs w:val="16"/>
        </w:rPr>
        <w:softHyphen/>
        <w:t>ние посадочных щитков под углом 17°±1°, что позволяло сократить разбег при взлете, и ме</w:t>
      </w:r>
      <w:r w:rsidRPr="00722885">
        <w:rPr>
          <w:color w:val="0070C0"/>
          <w:sz w:val="16"/>
          <w:szCs w:val="16"/>
        </w:rPr>
        <w:softHyphen/>
        <w:t>ханический указатель их отклонения. Самолет №30897 не получил такого новшества.</w:t>
      </w:r>
    </w:p>
    <w:p w14:paraId="32D59723" w14:textId="77777777" w:rsidR="000F1FA6" w:rsidRPr="00722885" w:rsidRDefault="000F1FA6" w:rsidP="00722885">
      <w:pPr>
        <w:pStyle w:val="95"/>
        <w:shd w:val="clear" w:color="auto" w:fill="auto"/>
        <w:spacing w:after="0" w:line="240" w:lineRule="auto"/>
        <w:ind w:firstLine="0"/>
        <w:jc w:val="both"/>
        <w:rPr>
          <w:color w:val="0070C0"/>
          <w:sz w:val="16"/>
          <w:szCs w:val="16"/>
        </w:rPr>
      </w:pPr>
      <w:r w:rsidRPr="00722885">
        <w:rPr>
          <w:color w:val="0070C0"/>
          <w:sz w:val="16"/>
          <w:szCs w:val="16"/>
        </w:rPr>
        <w:t>Пулеметы ШКАС и УБТ монтировались на установке ВУБ-3 конструкции И.И. Торопова (завод №32). Установка с пулеметом ШКАС по</w:t>
      </w:r>
      <w:r w:rsidRPr="00722885">
        <w:rPr>
          <w:color w:val="0070C0"/>
          <w:sz w:val="16"/>
          <w:szCs w:val="16"/>
        </w:rPr>
        <w:softHyphen/>
        <w:t>зволяла вести огонь вверх - до 40°, вниз по борту - до 15°, вправо и влево - по 45°, а под пулемет УБТ - 35° вверх, до 6° вниз по борту, 35° вправо и 28° влево.</w:t>
      </w:r>
    </w:p>
    <w:p w14:paraId="4713DE46" w14:textId="77777777" w:rsidR="000F1FA6" w:rsidRPr="00722885" w:rsidRDefault="000F1FA6" w:rsidP="00722885">
      <w:pPr>
        <w:pStyle w:val="95"/>
        <w:shd w:val="clear" w:color="auto" w:fill="auto"/>
        <w:spacing w:after="0" w:line="240" w:lineRule="auto"/>
        <w:ind w:firstLine="0"/>
        <w:jc w:val="both"/>
        <w:rPr>
          <w:color w:val="0070C0"/>
          <w:sz w:val="16"/>
          <w:szCs w:val="16"/>
        </w:rPr>
      </w:pPr>
      <w:r w:rsidRPr="00722885">
        <w:rPr>
          <w:color w:val="0070C0"/>
          <w:sz w:val="16"/>
          <w:szCs w:val="16"/>
        </w:rPr>
        <w:t>Питание пулеметов было ленточное, с помощью электромотора МУ-50, который подключался к бортовой сети самолета. Па</w:t>
      </w:r>
      <w:r w:rsidRPr="00722885">
        <w:rPr>
          <w:color w:val="0070C0"/>
          <w:sz w:val="16"/>
          <w:szCs w:val="16"/>
        </w:rPr>
        <w:softHyphen/>
        <w:t>тронные ящики вмещали 200 (для УБТ) и 500 (для ШКАС) патронов в ленте. Гильзы и звенья собирались в специальный быстросъемный брезентовый мешок. Отмечалось, что ВУБ-3 характеризовалась</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«чрезвычайно большим ко</w:t>
      </w:r>
      <w:r w:rsidRPr="00722885">
        <w:rPr>
          <w:rStyle w:val="aff6"/>
          <w:rFonts w:ascii="Times New Roman" w:hAnsi="Times New Roman" w:cs="Times New Roman"/>
          <w:i w:val="0"/>
          <w:iCs w:val="0"/>
          <w:color w:val="0070C0"/>
        </w:rPr>
        <w:softHyphen/>
        <w:t>личеством механических деталей и техноло</w:t>
      </w:r>
      <w:r w:rsidRPr="00722885">
        <w:rPr>
          <w:rStyle w:val="aff6"/>
          <w:rFonts w:ascii="Times New Roman" w:hAnsi="Times New Roman" w:cs="Times New Roman"/>
          <w:i w:val="0"/>
          <w:iCs w:val="0"/>
          <w:color w:val="0070C0"/>
        </w:rPr>
        <w:softHyphen/>
        <w:t>гической сложностью изготовления большин</w:t>
      </w:r>
      <w:r w:rsidRPr="00722885">
        <w:rPr>
          <w:rStyle w:val="aff6"/>
          <w:rFonts w:ascii="Times New Roman" w:hAnsi="Times New Roman" w:cs="Times New Roman"/>
          <w:i w:val="0"/>
          <w:iCs w:val="0"/>
          <w:color w:val="0070C0"/>
        </w:rPr>
        <w:softHyphen/>
        <w:t>ства из них».</w:t>
      </w:r>
      <w:r w:rsidRPr="00722885">
        <w:rPr>
          <w:i/>
          <w:iCs/>
          <w:color w:val="0070C0"/>
          <w:sz w:val="16"/>
          <w:szCs w:val="16"/>
        </w:rPr>
        <w:t xml:space="preserve"> </w:t>
      </w:r>
      <w:r w:rsidRPr="00722885">
        <w:rPr>
          <w:color w:val="0070C0"/>
          <w:sz w:val="16"/>
          <w:szCs w:val="16"/>
        </w:rPr>
        <w:t>Она состояла из 859 деталей, в том числе 346 механически обрабатываемых деталей, 260 готовых нормалей (уже освоен</w:t>
      </w:r>
      <w:r w:rsidRPr="00722885">
        <w:rPr>
          <w:color w:val="0070C0"/>
          <w:sz w:val="16"/>
          <w:szCs w:val="16"/>
        </w:rPr>
        <w:softHyphen/>
        <w:t>ных в производстве), восьми шарикоподшип</w:t>
      </w:r>
      <w:r w:rsidRPr="00722885">
        <w:rPr>
          <w:color w:val="0070C0"/>
          <w:sz w:val="16"/>
          <w:szCs w:val="16"/>
        </w:rPr>
        <w:softHyphen/>
        <w:t>ников и одного электромотора.</w:t>
      </w:r>
    </w:p>
    <w:p w14:paraId="604304FC" w14:textId="77777777" w:rsidR="000F1FA6" w:rsidRPr="00722885" w:rsidRDefault="000F1FA6" w:rsidP="00722885">
      <w:pPr>
        <w:pStyle w:val="95"/>
        <w:shd w:val="clear" w:color="auto" w:fill="auto"/>
        <w:spacing w:after="0" w:line="240" w:lineRule="auto"/>
        <w:ind w:firstLine="0"/>
        <w:jc w:val="both"/>
        <w:rPr>
          <w:color w:val="0070C0"/>
          <w:sz w:val="16"/>
          <w:szCs w:val="16"/>
        </w:rPr>
      </w:pPr>
      <w:r w:rsidRPr="00722885">
        <w:rPr>
          <w:color w:val="0070C0"/>
          <w:sz w:val="16"/>
          <w:szCs w:val="16"/>
        </w:rPr>
        <w:t>Основная деталь установки - полукольцо - изготавливалась литьем из сталистого чу</w:t>
      </w:r>
      <w:r w:rsidRPr="00722885">
        <w:rPr>
          <w:color w:val="0070C0"/>
          <w:sz w:val="16"/>
          <w:szCs w:val="16"/>
        </w:rPr>
        <w:softHyphen/>
        <w:t>гуна, с последующей механической обработ</w:t>
      </w:r>
      <w:r w:rsidRPr="00722885">
        <w:rPr>
          <w:color w:val="0070C0"/>
          <w:sz w:val="16"/>
          <w:szCs w:val="16"/>
        </w:rPr>
        <w:softHyphen/>
        <w:t>кой, долбежкой зуба на нарезном станке и разрезкой. Каретка, на которой монтирова</w:t>
      </w:r>
      <w:r w:rsidRPr="00722885">
        <w:rPr>
          <w:color w:val="0070C0"/>
          <w:sz w:val="16"/>
          <w:szCs w:val="16"/>
        </w:rPr>
        <w:softHyphen/>
        <w:t xml:space="preserve">лись лафет, электроподтяг, патронный ящик, мешок для сбора гильз и звеньев и прицел К8-Т, также выполнялась литой, из сплава АЛ-9. Наличие множества деталей позволяло </w:t>
      </w:r>
      <w:r w:rsidRPr="00722885">
        <w:rPr>
          <w:rStyle w:val="aff6"/>
          <w:rFonts w:ascii="Times New Roman" w:hAnsi="Times New Roman" w:cs="Times New Roman"/>
          <w:color w:val="0070C0"/>
        </w:rPr>
        <w:t>«изготавливать установку лишь заводом с большим парком механических станков».</w:t>
      </w:r>
      <w:r w:rsidRPr="00722885">
        <w:rPr>
          <w:color w:val="0070C0"/>
          <w:sz w:val="16"/>
          <w:szCs w:val="16"/>
        </w:rPr>
        <w:t xml:space="preserve"> Зна</w:t>
      </w:r>
      <w:r w:rsidRPr="00722885">
        <w:rPr>
          <w:color w:val="0070C0"/>
          <w:sz w:val="16"/>
          <w:szCs w:val="16"/>
        </w:rPr>
        <w:softHyphen/>
        <w:t>чительное количество кинематических цепей вынуждало</w:t>
      </w:r>
      <w:r w:rsidRPr="00722885">
        <w:rPr>
          <w:rStyle w:val="aff6"/>
          <w:rFonts w:ascii="Times New Roman" w:hAnsi="Times New Roman" w:cs="Times New Roman"/>
          <w:color w:val="0070C0"/>
        </w:rPr>
        <w:t xml:space="preserve"> «изготавливать установку с вы</w:t>
      </w:r>
      <w:r w:rsidRPr="00722885">
        <w:rPr>
          <w:rStyle w:val="aff6"/>
          <w:rFonts w:ascii="Times New Roman" w:hAnsi="Times New Roman" w:cs="Times New Roman"/>
          <w:color w:val="0070C0"/>
        </w:rPr>
        <w:softHyphen/>
        <w:t>сокой степенью точности во избежание зае</w:t>
      </w:r>
      <w:r w:rsidRPr="00722885">
        <w:rPr>
          <w:rStyle w:val="aff6"/>
          <w:rFonts w:ascii="Times New Roman" w:hAnsi="Times New Roman" w:cs="Times New Roman"/>
          <w:color w:val="0070C0"/>
        </w:rPr>
        <w:softHyphen/>
        <w:t>даний в шестернях и для обеспечения легкого хода каретки».</w:t>
      </w:r>
      <w:r w:rsidRPr="00722885">
        <w:rPr>
          <w:color w:val="0070C0"/>
          <w:sz w:val="16"/>
          <w:szCs w:val="16"/>
        </w:rPr>
        <w:t xml:space="preserve"> Применение гибкого рукава питания, шарикоподшипников, работающих на удар, весовой компенсации и электроподтяга усложняло регулировку установки.</w:t>
      </w:r>
    </w:p>
    <w:p w14:paraId="0623246C" w14:textId="77777777" w:rsidR="000F1FA6" w:rsidRPr="00722885" w:rsidRDefault="000F1FA6" w:rsidP="00722885">
      <w:pPr>
        <w:pStyle w:val="95"/>
        <w:shd w:val="clear" w:color="auto" w:fill="auto"/>
        <w:spacing w:after="0" w:line="240" w:lineRule="auto"/>
        <w:ind w:firstLine="0"/>
        <w:jc w:val="both"/>
        <w:rPr>
          <w:color w:val="0070C0"/>
          <w:sz w:val="16"/>
          <w:szCs w:val="16"/>
        </w:rPr>
      </w:pPr>
      <w:r w:rsidRPr="00722885">
        <w:rPr>
          <w:color w:val="0070C0"/>
          <w:sz w:val="16"/>
          <w:szCs w:val="16"/>
        </w:rPr>
        <w:t>Полетный вес двухместных Ил-2 вырос: с пулеметом ШКАС - на 200 кг, с УБТ - на 270 кг. Центровка самолетов при нормальном полет</w:t>
      </w:r>
      <w:r w:rsidRPr="00722885">
        <w:rPr>
          <w:color w:val="0070C0"/>
          <w:sz w:val="16"/>
          <w:szCs w:val="16"/>
        </w:rPr>
        <w:softHyphen/>
        <w:t>ном весе сместилась назад на 2,3-3,5% САХ, что составило 31,6% САХ - для Ил-2 №30897, и 32,85% САХ - для Ил-2 №30887. Как следст</w:t>
      </w:r>
      <w:r w:rsidRPr="00722885">
        <w:rPr>
          <w:color w:val="0070C0"/>
          <w:sz w:val="16"/>
          <w:szCs w:val="16"/>
        </w:rPr>
        <w:softHyphen/>
        <w:t>вие, ухудшилась их продольная устойчивость. Именно поэтому защита воздушного стрелка состояла лишь из 6-мм бронещитка, а усилить ее без переделки бронекорпуса было нельзя, так как центровка самолета становилась опас</w:t>
      </w:r>
      <w:r w:rsidRPr="00722885">
        <w:rPr>
          <w:color w:val="0070C0"/>
          <w:sz w:val="16"/>
          <w:szCs w:val="16"/>
        </w:rPr>
        <w:softHyphen/>
        <w:t>ной для полетов.</w:t>
      </w:r>
    </w:p>
    <w:p w14:paraId="0D38F3CB" w14:textId="77777777" w:rsidR="000F1FA6" w:rsidRPr="00722885" w:rsidRDefault="000F1FA6" w:rsidP="00722885">
      <w:pPr>
        <w:pStyle w:val="95"/>
        <w:shd w:val="clear" w:color="auto" w:fill="auto"/>
        <w:spacing w:after="0" w:line="240" w:lineRule="auto"/>
        <w:ind w:firstLine="0"/>
        <w:jc w:val="both"/>
        <w:rPr>
          <w:i/>
          <w:iCs/>
          <w:color w:val="0070C0"/>
          <w:sz w:val="16"/>
          <w:szCs w:val="16"/>
        </w:rPr>
      </w:pPr>
      <w:r w:rsidRPr="00722885">
        <w:rPr>
          <w:color w:val="0070C0"/>
          <w:sz w:val="16"/>
          <w:szCs w:val="16"/>
        </w:rPr>
        <w:t xml:space="preserve">Учебные воздушные бои, проведенные с трофейным немецким истребителем </w:t>
      </w:r>
      <w:r w:rsidRPr="00722885">
        <w:rPr>
          <w:color w:val="0070C0"/>
          <w:sz w:val="16"/>
          <w:szCs w:val="16"/>
          <w:lang w:val="en-US"/>
        </w:rPr>
        <w:t>Bf</w:t>
      </w:r>
      <w:r w:rsidRPr="00722885">
        <w:rPr>
          <w:color w:val="0070C0"/>
          <w:sz w:val="16"/>
          <w:szCs w:val="16"/>
        </w:rPr>
        <w:t>109</w:t>
      </w:r>
      <w:r w:rsidRPr="00722885">
        <w:rPr>
          <w:color w:val="0070C0"/>
          <w:sz w:val="16"/>
          <w:szCs w:val="16"/>
          <w:lang w:val="en-US"/>
        </w:rPr>
        <w:t>F</w:t>
      </w:r>
      <w:r w:rsidRPr="00722885">
        <w:rPr>
          <w:color w:val="0070C0"/>
          <w:sz w:val="16"/>
          <w:szCs w:val="16"/>
        </w:rPr>
        <w:t xml:space="preserve">, показали, что установка с пулеметом ШКАС </w:t>
      </w:r>
      <w:r w:rsidRPr="00722885">
        <w:rPr>
          <w:rStyle w:val="aff6"/>
          <w:rFonts w:ascii="Times New Roman" w:hAnsi="Times New Roman" w:cs="Times New Roman"/>
          <w:i w:val="0"/>
          <w:iCs w:val="0"/>
          <w:color w:val="0070C0"/>
        </w:rPr>
        <w:t>«при изменении положения атакующего само</w:t>
      </w:r>
      <w:r w:rsidRPr="00722885">
        <w:rPr>
          <w:rStyle w:val="aff6"/>
          <w:rFonts w:ascii="Times New Roman" w:hAnsi="Times New Roman" w:cs="Times New Roman"/>
          <w:i w:val="0"/>
          <w:iCs w:val="0"/>
          <w:color w:val="0070C0"/>
        </w:rPr>
        <w:softHyphen/>
        <w:t>лета быстро может быть поставлена в не</w:t>
      </w:r>
      <w:r w:rsidRPr="00722885">
        <w:rPr>
          <w:rStyle w:val="aff6"/>
          <w:rFonts w:ascii="Times New Roman" w:hAnsi="Times New Roman" w:cs="Times New Roman"/>
          <w:i w:val="0"/>
          <w:iCs w:val="0"/>
          <w:color w:val="0070C0"/>
        </w:rPr>
        <w:softHyphen/>
        <w:t>обходимое положение для отражения атаки»</w:t>
      </w:r>
      <w:r w:rsidRPr="00722885">
        <w:rPr>
          <w:rStyle w:val="aff6"/>
          <w:rFonts w:ascii="Times New Roman" w:hAnsi="Times New Roman" w:cs="Times New Roman"/>
          <w:color w:val="0070C0"/>
        </w:rPr>
        <w:t xml:space="preserve">. </w:t>
      </w:r>
      <w:r w:rsidRPr="00722885">
        <w:rPr>
          <w:color w:val="0070C0"/>
          <w:sz w:val="16"/>
          <w:szCs w:val="16"/>
        </w:rPr>
        <w:t>Маневренность установки с пулеметом УБТ была «несколько затруднительна»; управле</w:t>
      </w:r>
      <w:r w:rsidRPr="00722885">
        <w:rPr>
          <w:color w:val="0070C0"/>
          <w:sz w:val="16"/>
          <w:szCs w:val="16"/>
        </w:rPr>
        <w:softHyphen/>
        <w:t>ние установкой на горизонтальных режимах и близких к нему режимах особых трудностей не представляло, но на виражах управлять ей было тяжело. Из-за тесноты кабины манев</w:t>
      </w:r>
      <w:r w:rsidRPr="00722885">
        <w:rPr>
          <w:color w:val="0070C0"/>
          <w:sz w:val="16"/>
          <w:szCs w:val="16"/>
        </w:rPr>
        <w:softHyphen/>
        <w:t>рировать установками оказалось неудобно (особенно в зимнем обмундировании), вести прицельный огонь было сложно</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«из-за от</w:t>
      </w:r>
      <w:r w:rsidRPr="00722885">
        <w:rPr>
          <w:rStyle w:val="aff6"/>
          <w:rFonts w:ascii="Times New Roman" w:hAnsi="Times New Roman" w:cs="Times New Roman"/>
          <w:i w:val="0"/>
          <w:iCs w:val="0"/>
          <w:color w:val="0070C0"/>
        </w:rPr>
        <w:softHyphen/>
        <w:t>сутствия упоров для ноги и подстилки под колено»,</w:t>
      </w:r>
      <w:r w:rsidRPr="00722885">
        <w:rPr>
          <w:color w:val="0070C0"/>
          <w:sz w:val="16"/>
          <w:szCs w:val="16"/>
        </w:rPr>
        <w:t xml:space="preserve"> а перезаряжать пулеметы в полете - трудно. Отмечалось, что флюгер-мушка пу</w:t>
      </w:r>
      <w:r w:rsidRPr="00722885">
        <w:rPr>
          <w:color w:val="0070C0"/>
          <w:sz w:val="16"/>
          <w:szCs w:val="16"/>
        </w:rPr>
        <w:softHyphen/>
        <w:t>лемета ШКАС</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«из-за завихрения потока за кабиной ведет себя ненормально (все время вертится)».</w:t>
      </w:r>
    </w:p>
    <w:p w14:paraId="5CED5AD5" w14:textId="77777777" w:rsidR="000F1FA6" w:rsidRPr="00722885" w:rsidRDefault="000F1FA6" w:rsidP="00722885">
      <w:pPr>
        <w:pStyle w:val="95"/>
        <w:shd w:val="clear" w:color="auto" w:fill="auto"/>
        <w:spacing w:after="0" w:line="240" w:lineRule="auto"/>
        <w:ind w:firstLine="0"/>
        <w:jc w:val="both"/>
        <w:rPr>
          <w:i/>
          <w:iCs/>
          <w:color w:val="0070C0"/>
          <w:sz w:val="16"/>
          <w:szCs w:val="16"/>
        </w:rPr>
      </w:pPr>
      <w:r w:rsidRPr="00722885">
        <w:rPr>
          <w:color w:val="0070C0"/>
          <w:sz w:val="16"/>
          <w:szCs w:val="16"/>
        </w:rPr>
        <w:t>Фонарь кабины стрелка «в ее зауженной части» признали неудачным: в крайнем левом положении каретки установки прицел упи</w:t>
      </w:r>
      <w:r w:rsidRPr="00722885">
        <w:rPr>
          <w:color w:val="0070C0"/>
          <w:sz w:val="16"/>
          <w:szCs w:val="16"/>
        </w:rPr>
        <w:softHyphen/>
        <w:t>рался в плексиглас фонаря, что</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«уменьшало обстрел влево на 7°».</w:t>
      </w:r>
    </w:p>
    <w:p w14:paraId="18C27E0A" w14:textId="77777777" w:rsidR="000F1FA6" w:rsidRPr="00722885" w:rsidRDefault="000F1FA6" w:rsidP="00722885">
      <w:pPr>
        <w:pStyle w:val="95"/>
        <w:shd w:val="clear" w:color="auto" w:fill="auto"/>
        <w:spacing w:after="0" w:line="240" w:lineRule="auto"/>
        <w:ind w:firstLine="0"/>
        <w:jc w:val="both"/>
        <w:rPr>
          <w:color w:val="0070C0"/>
          <w:sz w:val="16"/>
          <w:szCs w:val="16"/>
        </w:rPr>
      </w:pPr>
      <w:r w:rsidRPr="00722885">
        <w:rPr>
          <w:color w:val="0070C0"/>
          <w:sz w:val="16"/>
          <w:szCs w:val="16"/>
        </w:rPr>
        <w:t>Обе установки были предъявлены на ис</w:t>
      </w:r>
      <w:r w:rsidRPr="00722885">
        <w:rPr>
          <w:color w:val="0070C0"/>
          <w:sz w:val="16"/>
          <w:szCs w:val="16"/>
        </w:rPr>
        <w:softHyphen/>
        <w:t>пытания в неотработанном виде и доводились уже в процессе наземной стрельбы. Так, после отстрела примерно одного боекомплекта на установке с пулеметом ШКАС</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«появились боль</w:t>
      </w:r>
      <w:r w:rsidRPr="00722885">
        <w:rPr>
          <w:rStyle w:val="aff6"/>
          <w:rFonts w:ascii="Times New Roman" w:hAnsi="Times New Roman" w:cs="Times New Roman"/>
          <w:i w:val="0"/>
          <w:iCs w:val="0"/>
          <w:color w:val="0070C0"/>
        </w:rPr>
        <w:softHyphen/>
        <w:t>шие горизонтальные люфты в каретке»,</w:t>
      </w:r>
      <w:r w:rsidRPr="00722885">
        <w:rPr>
          <w:i/>
          <w:iCs/>
          <w:color w:val="0070C0"/>
          <w:sz w:val="16"/>
          <w:szCs w:val="16"/>
        </w:rPr>
        <w:t xml:space="preserve"> а при стрельбе происходило</w:t>
      </w:r>
      <w:r w:rsidRPr="00722885">
        <w:rPr>
          <w:rStyle w:val="aff6"/>
          <w:rFonts w:ascii="Times New Roman" w:hAnsi="Times New Roman" w:cs="Times New Roman"/>
          <w:i w:val="0"/>
          <w:iCs w:val="0"/>
          <w:color w:val="0070C0"/>
        </w:rPr>
        <w:t xml:space="preserve"> «отсоединение рукава питания к горловине патронной коробки».</w:t>
      </w:r>
      <w:r w:rsidRPr="00722885">
        <w:rPr>
          <w:color w:val="0070C0"/>
          <w:sz w:val="16"/>
          <w:szCs w:val="16"/>
        </w:rPr>
        <w:t xml:space="preserve"> На установках отсутствовал механизм фиксации в походном положении. Для сбора гильз и зве</w:t>
      </w:r>
      <w:r w:rsidRPr="00722885">
        <w:rPr>
          <w:color w:val="0070C0"/>
          <w:sz w:val="16"/>
          <w:szCs w:val="16"/>
        </w:rPr>
        <w:softHyphen/>
        <w:t>ньев имелся всего один мешок, который вме</w:t>
      </w:r>
      <w:r w:rsidRPr="00722885">
        <w:rPr>
          <w:color w:val="0070C0"/>
          <w:sz w:val="16"/>
          <w:szCs w:val="16"/>
        </w:rPr>
        <w:softHyphen/>
        <w:t>щал 100 звеньев и 100 гильз от пулемета УБТ, а</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«собирание звеньев и гильз второй половины боекомплекта»</w:t>
      </w:r>
      <w:r w:rsidRPr="00722885">
        <w:rPr>
          <w:color w:val="0070C0"/>
          <w:sz w:val="16"/>
          <w:szCs w:val="16"/>
        </w:rPr>
        <w:t xml:space="preserve"> не предусматривалось.</w:t>
      </w:r>
    </w:p>
    <w:p w14:paraId="786A053E" w14:textId="77777777" w:rsidR="000F1FA6" w:rsidRPr="00722885" w:rsidRDefault="000F1FA6" w:rsidP="00722885">
      <w:pPr>
        <w:pStyle w:val="95"/>
        <w:shd w:val="clear" w:color="auto" w:fill="auto"/>
        <w:spacing w:after="0" w:line="240" w:lineRule="auto"/>
        <w:ind w:firstLine="0"/>
        <w:jc w:val="both"/>
        <w:rPr>
          <w:color w:val="0070C0"/>
          <w:sz w:val="16"/>
          <w:szCs w:val="16"/>
        </w:rPr>
      </w:pPr>
      <w:r w:rsidRPr="00722885">
        <w:rPr>
          <w:color w:val="0070C0"/>
          <w:sz w:val="16"/>
          <w:szCs w:val="16"/>
        </w:rPr>
        <w:t>Несмотря на многочисленные недостатки, лучшей признали кабину с установкой ВУБ-3 и пулеметом УБТ. Считалось, что мощь огня УБТ в сочетании с маневром штурмовика обес</w:t>
      </w:r>
      <w:r w:rsidRPr="00722885">
        <w:rPr>
          <w:color w:val="0070C0"/>
          <w:sz w:val="16"/>
          <w:szCs w:val="16"/>
        </w:rPr>
        <w:softHyphen/>
        <w:t>печит ему более надежную защиту от атак истребителей противника со стороны задней полусферы, чем пулемет ШКАС. Вопрос о бро</w:t>
      </w:r>
      <w:r w:rsidRPr="00722885">
        <w:rPr>
          <w:color w:val="0070C0"/>
          <w:sz w:val="16"/>
          <w:szCs w:val="16"/>
        </w:rPr>
        <w:softHyphen/>
        <w:t>невой защите стрелка снизу и с боков предпо</w:t>
      </w:r>
      <w:r w:rsidRPr="00722885">
        <w:rPr>
          <w:color w:val="0070C0"/>
          <w:sz w:val="16"/>
          <w:szCs w:val="16"/>
        </w:rPr>
        <w:softHyphen/>
        <w:t>лагалось решить после проведения испытаний в боевых условиях. Кроме того, требовалось переделать фонарь кабины стрелка</w:t>
      </w:r>
      <w:r w:rsidRPr="00722885">
        <w:rPr>
          <w:rStyle w:val="aff6"/>
          <w:rFonts w:ascii="Times New Roman" w:hAnsi="Times New Roman" w:cs="Times New Roman"/>
          <w:color w:val="0070C0"/>
        </w:rPr>
        <w:t xml:space="preserve"> «для уве</w:t>
      </w:r>
      <w:r w:rsidRPr="00722885">
        <w:rPr>
          <w:rStyle w:val="aff6"/>
          <w:rFonts w:ascii="Times New Roman" w:hAnsi="Times New Roman" w:cs="Times New Roman"/>
          <w:color w:val="0070C0"/>
        </w:rPr>
        <w:softHyphen/>
        <w:t>личения обзора при прицеливании и увеличения прицельных углов обстрела».</w:t>
      </w:r>
    </w:p>
    <w:p w14:paraId="165823E5" w14:textId="77777777" w:rsidR="000F1FA6" w:rsidRPr="00722885" w:rsidRDefault="000F1FA6" w:rsidP="00722885">
      <w:pPr>
        <w:spacing w:after="0" w:line="240" w:lineRule="auto"/>
        <w:jc w:val="both"/>
        <w:rPr>
          <w:rFonts w:ascii="Times New Roman" w:hAnsi="Times New Roman"/>
          <w:color w:val="0070C0"/>
          <w:sz w:val="16"/>
          <w:szCs w:val="16"/>
        </w:rPr>
      </w:pPr>
      <w:r w:rsidRPr="00722885">
        <w:rPr>
          <w:rStyle w:val="3fa"/>
          <w:rFonts w:ascii="Times New Roman" w:hAnsi="Times New Roman" w:cs="Times New Roman"/>
          <w:i w:val="0"/>
          <w:iCs w:val="0"/>
          <w:color w:val="0070C0"/>
          <w:spacing w:val="0"/>
          <w:sz w:val="16"/>
          <w:szCs w:val="16"/>
        </w:rPr>
        <w:t>Заключение по результатам испытаний двухместных Ил-2 начальник НИИ ВВС ге</w:t>
      </w:r>
      <w:r w:rsidRPr="00722885">
        <w:rPr>
          <w:rStyle w:val="3fa"/>
          <w:rFonts w:ascii="Times New Roman" w:hAnsi="Times New Roman" w:cs="Times New Roman"/>
          <w:i w:val="0"/>
          <w:iCs w:val="0"/>
          <w:color w:val="0070C0"/>
          <w:spacing w:val="0"/>
          <w:sz w:val="16"/>
          <w:szCs w:val="16"/>
        </w:rPr>
        <w:softHyphen/>
        <w:t>нерал-майор Лосюков подписал 3 октября и тогда же его утвердил заместитель главного инженера ВВС генерал-майор Лапин. В этот же день на имя наркома авиапрома Шахурина и главного инженера ВВС генерал-лейтенанта Репина последовал доклад (за подписью Лосюкова и Ильюшина), в котором предлагалось</w:t>
      </w:r>
      <w:r w:rsidRPr="00722885">
        <w:rPr>
          <w:rStyle w:val="3fa"/>
          <w:rFonts w:ascii="Times New Roman" w:hAnsi="Times New Roman" w:cs="Times New Roman"/>
          <w:color w:val="0070C0"/>
          <w:spacing w:val="0"/>
          <w:sz w:val="16"/>
          <w:szCs w:val="16"/>
        </w:rPr>
        <w:t xml:space="preserve"> </w:t>
      </w:r>
      <w:r w:rsidRPr="00722885">
        <w:rPr>
          <w:rFonts w:ascii="Times New Roman" w:hAnsi="Times New Roman"/>
          <w:color w:val="0070C0"/>
          <w:sz w:val="16"/>
          <w:szCs w:val="16"/>
        </w:rPr>
        <w:t>«...запустить в серийное производство двух</w:t>
      </w:r>
      <w:r w:rsidRPr="00722885">
        <w:rPr>
          <w:rFonts w:ascii="Times New Roman" w:hAnsi="Times New Roman"/>
          <w:color w:val="0070C0"/>
          <w:sz w:val="16"/>
          <w:szCs w:val="16"/>
        </w:rPr>
        <w:softHyphen/>
        <w:t>местный вариант самолета Ил-2 (с мотором АМ-38, винтом АВ5-Л158, и щитками, установ</w:t>
      </w:r>
      <w:r w:rsidRPr="00722885">
        <w:rPr>
          <w:rFonts w:ascii="Times New Roman" w:hAnsi="Times New Roman"/>
          <w:color w:val="0070C0"/>
          <w:sz w:val="16"/>
          <w:szCs w:val="16"/>
        </w:rPr>
        <w:softHyphen/>
        <w:t>ленными на взлетный угол) с установкой на нем пулемета Березина калибра 12,7 мм для стрельбы назад, с нормальной нагрузкой: либо 400 кг бомб, либо 200 кг бомб плюс 8 РС кали</w:t>
      </w:r>
      <w:r w:rsidRPr="00722885">
        <w:rPr>
          <w:rFonts w:ascii="Times New Roman" w:hAnsi="Times New Roman"/>
          <w:color w:val="0070C0"/>
          <w:sz w:val="16"/>
          <w:szCs w:val="16"/>
        </w:rPr>
        <w:softHyphen/>
        <w:t>бра 82 мм. Для улучшения взлетных свойств самолета и доведения бомбовой нагрузки до одноместного варианта, необходим быстрей</w:t>
      </w:r>
      <w:r w:rsidRPr="00722885">
        <w:rPr>
          <w:rFonts w:ascii="Times New Roman" w:hAnsi="Times New Roman"/>
          <w:color w:val="0070C0"/>
          <w:sz w:val="16"/>
          <w:szCs w:val="16"/>
        </w:rPr>
        <w:softHyphen/>
        <w:t>ший переход на форсированный мотор АМ- 38ф» (19877).</w:t>
      </w:r>
    </w:p>
    <w:p w14:paraId="4E65D225" w14:textId="77777777" w:rsidR="000F1FA6" w:rsidRPr="00722885" w:rsidRDefault="000F1FA6" w:rsidP="00722885">
      <w:pPr>
        <w:spacing w:after="0" w:line="240" w:lineRule="auto"/>
        <w:jc w:val="both"/>
        <w:rPr>
          <w:rFonts w:ascii="Times New Roman" w:hAnsi="Times New Roman"/>
          <w:color w:val="0070C0"/>
          <w:sz w:val="16"/>
          <w:szCs w:val="16"/>
        </w:rPr>
      </w:pPr>
    </w:p>
    <w:p w14:paraId="7F50125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30 сентября 1942 вышел приказ НКАП о постройке опытного экземпляра тяжелого ш Ил-8 под М-42 (3846,18).</w:t>
      </w:r>
    </w:p>
    <w:p w14:paraId="3DDC2643" w14:textId="77777777" w:rsidR="00090C9B" w:rsidRPr="00722885" w:rsidRDefault="00090C9B" w:rsidP="00722885">
      <w:pPr>
        <w:pStyle w:val="Iauiue"/>
        <w:jc w:val="both"/>
        <w:rPr>
          <w:color w:val="000000" w:themeColor="text1"/>
          <w:sz w:val="16"/>
          <w:szCs w:val="16"/>
        </w:rPr>
      </w:pPr>
    </w:p>
    <w:p w14:paraId="41B4BB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30 сентября 1942 в опытном цехе завода 1 им. Сталина (на бывшей территории завода № 1 в Москве) было готовых два варианта ДИС (МиГ-5) с 2хАМ-37 с АВ-5-Л114 и 2хМ-82 c АВ-118 (990,8).</w:t>
      </w:r>
    </w:p>
    <w:p w14:paraId="4D7791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- 2-х моторный одноместный истребитель с 2АМ-37, 3-х лопастным винтом ААВ-5-Л11У д. 3.1 м</w:t>
      </w:r>
    </w:p>
    <w:p w14:paraId="7F0738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в центроплане 2хВЯ 23 мм и 4хБС 12.7мм с предусмотреной подвеской бомб до 1000 кг</w:t>
      </w:r>
    </w:p>
    <w:p w14:paraId="52FF9E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8000, размах крыла 15,3, длина 11,2 м, пл. Крыла 38,9 м, цт 21.4% САХ (шасси выпущено, без горюч. Т боеприпасов) и 24.5% (норм. Вариант шасси выпущено), нагрузка 207 кг/м2, емкость бензобаков: фюзеляж 765 л, центроплан 2х685 = 1370 л., дополнительный 455 л, итого: 2590 л</w:t>
      </w:r>
    </w:p>
    <w:p w14:paraId="336D8D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 скорость на 7520 м = 560 км/час</w:t>
      </w:r>
    </w:p>
    <w:p w14:paraId="0CEB48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проходил летные испытания в ЛИИ НКАП с 11 июля 1941 по 5 октября 1941 г.</w:t>
      </w:r>
    </w:p>
    <w:p w14:paraId="394134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самолета сняты моторы для переборки. Самолет находится на ЛИС завода в ангаре.</w:t>
      </w:r>
    </w:p>
    <w:p w14:paraId="159152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2-й - с 2М-82 с 4-х лопастным винтом АВ-118 д. 3.2</w:t>
      </w:r>
    </w:p>
    <w:p w14:paraId="03173E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в центроплане 2хВЯ 23 мм и 4хБС 12.7мм с предусмотреной подвеской бомб до 1000 кг</w:t>
      </w:r>
    </w:p>
    <w:p w14:paraId="2DBB6B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самолете устраняются дефекты, после чегон будет передан в ЛИИ НКАП для производства летных испытаний.</w:t>
      </w:r>
    </w:p>
    <w:p w14:paraId="0A0690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январе 1943 с с-та сняты моторы. Планер после этого находится в ангаре ЛИС завода (990,8).</w:t>
      </w:r>
    </w:p>
    <w:p w14:paraId="38EB8A49" w14:textId="77777777" w:rsidR="00090C9B" w:rsidRPr="00722885" w:rsidRDefault="00090C9B" w:rsidP="00722885">
      <w:pPr>
        <w:pStyle w:val="Iauiue"/>
        <w:jc w:val="both"/>
        <w:rPr>
          <w:color w:val="000000" w:themeColor="text1"/>
          <w:sz w:val="16"/>
          <w:szCs w:val="16"/>
        </w:rPr>
      </w:pPr>
    </w:p>
    <w:p w14:paraId="3F24F460"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На 30 сентября 1942 г. самолет</w:t>
      </w:r>
      <w:r w:rsidRPr="00722885">
        <w:rPr>
          <w:rStyle w:val="aff8"/>
          <w:rFonts w:ascii="Times New Roman" w:eastAsia="Arial Narrow" w:cs="Times New Roman"/>
          <w:b w:val="0"/>
          <w:color w:val="000000" w:themeColor="text1"/>
          <w:spacing w:val="0"/>
          <w:sz w:val="16"/>
          <w:szCs w:val="16"/>
        </w:rPr>
        <w:t xml:space="preserve"> ДИС-200 стоял</w:t>
      </w:r>
      <w:r w:rsidRPr="00722885">
        <w:rPr>
          <w:rStyle w:val="0pt1"/>
          <w:rFonts w:eastAsia="Arial Narrow"/>
          <w:b w:val="0"/>
          <w:color w:val="000000" w:themeColor="text1"/>
          <w:spacing w:val="0"/>
          <w:sz w:val="16"/>
          <w:szCs w:val="16"/>
        </w:rPr>
        <w:t xml:space="preserve"> без моторов, ко</w:t>
      </w:r>
      <w:r w:rsidRPr="00722885">
        <w:rPr>
          <w:rFonts w:ascii="Times New Roman" w:cs="Times New Roman"/>
          <w:color w:val="000000" w:themeColor="text1"/>
          <w:spacing w:val="0"/>
        </w:rPr>
        <w:t>торые были сняты</w:t>
      </w:r>
      <w:r w:rsidRPr="00722885">
        <w:rPr>
          <w:rStyle w:val="aff8"/>
          <w:rFonts w:ascii="Times New Roman" w:eastAsia="Arial Narrow" w:cs="Times New Roman"/>
          <w:b w:val="0"/>
          <w:color w:val="000000" w:themeColor="text1"/>
          <w:spacing w:val="0"/>
          <w:sz w:val="16"/>
          <w:szCs w:val="16"/>
        </w:rPr>
        <w:t xml:space="preserve"> для</w:t>
      </w:r>
      <w:r w:rsidRPr="00722885">
        <w:rPr>
          <w:rStyle w:val="0pt1"/>
          <w:rFonts w:eastAsia="Arial Narrow"/>
          <w:b w:val="0"/>
          <w:color w:val="000000" w:themeColor="text1"/>
          <w:spacing w:val="0"/>
          <w:sz w:val="16"/>
          <w:szCs w:val="16"/>
        </w:rPr>
        <w:t xml:space="preserve"> перебора. В </w:t>
      </w:r>
      <w:r w:rsidRPr="00722885">
        <w:rPr>
          <w:rFonts w:ascii="Times New Roman" w:cs="Times New Roman"/>
          <w:color w:val="000000" w:themeColor="text1"/>
          <w:spacing w:val="0"/>
        </w:rPr>
        <w:t>от</w:t>
      </w:r>
      <w:r w:rsidRPr="00722885">
        <w:rPr>
          <w:rFonts w:ascii="Times New Roman" w:cs="Times New Roman"/>
          <w:color w:val="000000" w:themeColor="text1"/>
          <w:spacing w:val="0"/>
        </w:rPr>
        <w:softHyphen/>
        <w:t>личие от Поликарпова,</w:t>
      </w:r>
      <w:r w:rsidRPr="00722885">
        <w:rPr>
          <w:rStyle w:val="aff8"/>
          <w:rFonts w:ascii="Times New Roman" w:eastAsia="Arial Narrow" w:cs="Times New Roman"/>
          <w:b w:val="0"/>
          <w:color w:val="000000" w:themeColor="text1"/>
          <w:spacing w:val="0"/>
          <w:sz w:val="16"/>
          <w:szCs w:val="16"/>
        </w:rPr>
        <w:t xml:space="preserve"> Миккоян решил </w:t>
      </w:r>
      <w:r w:rsidRPr="00722885">
        <w:rPr>
          <w:rFonts w:ascii="Times New Roman" w:cs="Times New Roman"/>
          <w:color w:val="000000" w:themeColor="text1"/>
          <w:spacing w:val="0"/>
        </w:rPr>
        <w:t>машину с АМ-37 не</w:t>
      </w:r>
      <w:r w:rsidRPr="00722885">
        <w:rPr>
          <w:rStyle w:val="aff8"/>
          <w:rFonts w:ascii="Times New Roman" w:eastAsia="Arial Narrow" w:cs="Times New Roman"/>
          <w:b w:val="0"/>
          <w:color w:val="000000" w:themeColor="text1"/>
          <w:spacing w:val="0"/>
          <w:sz w:val="16"/>
          <w:szCs w:val="16"/>
        </w:rPr>
        <w:t xml:space="preserve"> доводить,</w:t>
      </w:r>
      <w:r w:rsidRPr="00722885">
        <w:rPr>
          <w:rStyle w:val="0pt1"/>
          <w:rFonts w:eastAsia="Arial Narrow"/>
          <w:b w:val="0"/>
          <w:color w:val="000000" w:themeColor="text1"/>
          <w:spacing w:val="0"/>
          <w:sz w:val="16"/>
          <w:szCs w:val="16"/>
        </w:rPr>
        <w:t xml:space="preserve"> а</w:t>
      </w:r>
      <w:r w:rsidRPr="00722885">
        <w:rPr>
          <w:rStyle w:val="aff8"/>
          <w:rFonts w:ascii="Times New Roman" w:eastAsia="Arial Narrow" w:cs="Times New Roman"/>
          <w:b w:val="0"/>
          <w:color w:val="000000" w:themeColor="text1"/>
          <w:spacing w:val="0"/>
          <w:sz w:val="16"/>
          <w:szCs w:val="16"/>
        </w:rPr>
        <w:t xml:space="preserve"> сосре</w:t>
      </w:r>
      <w:r w:rsidRPr="00722885">
        <w:rPr>
          <w:rStyle w:val="aff8"/>
          <w:rFonts w:ascii="Times New Roman" w:eastAsia="Arial Narrow" w:cs="Times New Roman"/>
          <w:b w:val="0"/>
          <w:color w:val="000000" w:themeColor="text1"/>
          <w:spacing w:val="0"/>
          <w:sz w:val="16"/>
          <w:szCs w:val="16"/>
        </w:rPr>
        <w:softHyphen/>
      </w:r>
      <w:r w:rsidRPr="00722885">
        <w:rPr>
          <w:rFonts w:ascii="Times New Roman" w:cs="Times New Roman"/>
          <w:color w:val="000000" w:themeColor="text1"/>
          <w:spacing w:val="0"/>
        </w:rPr>
        <w:t>доточить усилия на достройке</w:t>
      </w:r>
      <w:r w:rsidRPr="00722885">
        <w:rPr>
          <w:rStyle w:val="0pt1"/>
          <w:rFonts w:eastAsia="Arial Narrow"/>
          <w:b w:val="0"/>
          <w:color w:val="000000" w:themeColor="text1"/>
          <w:spacing w:val="0"/>
          <w:sz w:val="16"/>
          <w:szCs w:val="16"/>
        </w:rPr>
        <w:t xml:space="preserve"> второго </w:t>
      </w:r>
      <w:r w:rsidRPr="00722885">
        <w:rPr>
          <w:rFonts w:ascii="Times New Roman" w:cs="Times New Roman"/>
          <w:color w:val="000000" w:themeColor="text1"/>
          <w:spacing w:val="0"/>
        </w:rPr>
        <w:t>экземпляра ДИС-200 (ИТ) с</w:t>
      </w:r>
      <w:r w:rsidRPr="00722885">
        <w:rPr>
          <w:rStyle w:val="aff8"/>
          <w:rFonts w:ascii="Times New Roman" w:eastAsia="Arial Narrow" w:cs="Times New Roman"/>
          <w:b w:val="0"/>
          <w:color w:val="000000" w:themeColor="text1"/>
          <w:spacing w:val="0"/>
          <w:sz w:val="16"/>
          <w:szCs w:val="16"/>
        </w:rPr>
        <w:t xml:space="preserve"> серийным </w:t>
      </w:r>
      <w:r w:rsidRPr="00722885">
        <w:rPr>
          <w:rFonts w:ascii="Times New Roman" w:cs="Times New Roman"/>
          <w:color w:val="000000" w:themeColor="text1"/>
          <w:spacing w:val="0"/>
        </w:rPr>
        <w:t>моторами М-82А.</w:t>
      </w:r>
    </w:p>
    <w:p w14:paraId="07BFE942"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требованию военных вооружение ДИС-200 (ИТ) усилили. Под фюзеляжем установили две пушки ВЯ и в центропла</w:t>
      </w:r>
      <w:r w:rsidRPr="00722885">
        <w:rPr>
          <w:rFonts w:ascii="Times New Roman" w:cs="Times New Roman"/>
          <w:color w:val="000000" w:themeColor="text1"/>
          <w:spacing w:val="0"/>
        </w:rPr>
        <w:softHyphen/>
        <w:t>не четыре крупнокалиберных пулеме</w:t>
      </w:r>
      <w:r w:rsidRPr="00722885">
        <w:rPr>
          <w:rFonts w:ascii="Times New Roman" w:cs="Times New Roman"/>
          <w:color w:val="000000" w:themeColor="text1"/>
          <w:spacing w:val="0"/>
        </w:rPr>
        <w:softHyphen/>
        <w:t>та БК. Бомбардировочное вооружение осталось без изменений (15755).</w:t>
      </w:r>
    </w:p>
    <w:p w14:paraId="68644F68"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p>
    <w:p w14:paraId="6B473F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сентября 1942 п/п П.Дементьева было подготовлено письмо N Н-1/3929 И.о. нач. ПГУ Тихомирову (копия нач. ВИАМ Туманову и Зам. нач. Главсбыта:</w:t>
      </w:r>
    </w:p>
    <w:p w14:paraId="274C4E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"Предлагаю к 1 ноября с.г. произвести окраску самолетов трудновоспламеняемыми покрытиями, разработанными ВИАМ: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B487A" w:rsidRPr="00722885" w14:paraId="13020F82" w14:textId="77777777" w:rsidTr="00CC5360">
        <w:tc>
          <w:tcPr>
            <w:tcW w:w="5636" w:type="dxa"/>
            <w:tcBorders>
              <w:top w:val="single" w:sz="12" w:space="0" w:color="auto"/>
            </w:tcBorders>
          </w:tcPr>
          <w:p w14:paraId="35644D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153</w:t>
            </w:r>
          </w:p>
        </w:tc>
        <w:tc>
          <w:tcPr>
            <w:tcW w:w="5636" w:type="dxa"/>
            <w:tcBorders>
              <w:top w:val="single" w:sz="12" w:space="0" w:color="auto"/>
            </w:tcBorders>
          </w:tcPr>
          <w:p w14:paraId="63F6ED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150 машин</w:t>
            </w:r>
          </w:p>
        </w:tc>
      </w:tr>
      <w:tr w:rsidR="009B487A" w:rsidRPr="00722885" w14:paraId="5D064A0A" w14:textId="77777777" w:rsidTr="00CC5360">
        <w:tc>
          <w:tcPr>
            <w:tcW w:w="5636" w:type="dxa"/>
          </w:tcPr>
          <w:p w14:paraId="5119B7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292</w:t>
            </w:r>
          </w:p>
        </w:tc>
        <w:tc>
          <w:tcPr>
            <w:tcW w:w="5636" w:type="dxa"/>
          </w:tcPr>
          <w:p w14:paraId="629083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150 машин</w:t>
            </w:r>
          </w:p>
        </w:tc>
      </w:tr>
      <w:tr w:rsidR="009B487A" w:rsidRPr="00722885" w14:paraId="7B0754FA" w14:textId="77777777" w:rsidTr="00CC5360">
        <w:tc>
          <w:tcPr>
            <w:tcW w:w="5636" w:type="dxa"/>
            <w:tcBorders>
              <w:bottom w:val="single" w:sz="12" w:space="0" w:color="auto"/>
            </w:tcBorders>
          </w:tcPr>
          <w:p w14:paraId="55534D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82</w:t>
            </w:r>
          </w:p>
        </w:tc>
        <w:tc>
          <w:tcPr>
            <w:tcW w:w="5636" w:type="dxa"/>
            <w:tcBorders>
              <w:bottom w:val="single" w:sz="12" w:space="0" w:color="auto"/>
            </w:tcBorders>
          </w:tcPr>
          <w:p w14:paraId="77E082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 с момента получения материала...(2493)</w:t>
            </w:r>
          </w:p>
        </w:tc>
      </w:tr>
    </w:tbl>
    <w:p w14:paraId="6353FEEB" w14:textId="77777777" w:rsidR="00090C9B" w:rsidRPr="00722885" w:rsidRDefault="00090C9B" w:rsidP="00722885">
      <w:pPr>
        <w:pStyle w:val="Iauiue"/>
        <w:jc w:val="both"/>
        <w:rPr>
          <w:color w:val="000000" w:themeColor="text1"/>
          <w:sz w:val="16"/>
          <w:szCs w:val="16"/>
        </w:rPr>
      </w:pPr>
    </w:p>
    <w:p w14:paraId="286760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сентября 1942 был выведен на аэродром первый из трех Пе-2 с 2М-107 N 5/134 и 1 октября состоялся первый полет (2205,36).</w:t>
      </w:r>
    </w:p>
    <w:p w14:paraId="20E274C6" w14:textId="77777777" w:rsidR="00090C9B" w:rsidRPr="00722885" w:rsidRDefault="00090C9B" w:rsidP="00722885">
      <w:pPr>
        <w:pStyle w:val="Iauiue"/>
        <w:jc w:val="both"/>
        <w:rPr>
          <w:color w:val="000000" w:themeColor="text1"/>
          <w:sz w:val="16"/>
          <w:szCs w:val="16"/>
        </w:rPr>
      </w:pPr>
    </w:p>
    <w:p w14:paraId="2AA687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сентября 1942 г. первый опытный самолет Пе-2 № 5/134 с моторами М-107 был выведен из опытного цеха завода № 22 (4476).</w:t>
      </w:r>
    </w:p>
    <w:p w14:paraId="519BB7FC" w14:textId="77777777" w:rsidR="00090C9B" w:rsidRPr="00722885" w:rsidRDefault="00090C9B" w:rsidP="00722885">
      <w:pPr>
        <w:pStyle w:val="Iauiue"/>
        <w:jc w:val="both"/>
        <w:rPr>
          <w:color w:val="000000" w:themeColor="text1"/>
          <w:sz w:val="16"/>
          <w:szCs w:val="16"/>
        </w:rPr>
      </w:pPr>
    </w:p>
    <w:p w14:paraId="5DEE30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сентября 1942 г. первый опытный Пе-2 зав. № 5/134 с моторами М-107 был выведен из опытного цеха. На следующий день состоялся первый полет. Он был оценен как вполне успешный, отмечалась лишь неустойчивая работа регулятора постоянных оборотов винта Р-7А. Однако в октябре 1942 г. выяснилось, что двигатели М-107 непригодны к летной эксплуатации. Почти каждый полет завершался вынужденной посадкой. К тому же потребовалось увеличить производительность водорадиаторов, поскольку мотор М-107 был заметно мощнее М-105. Без существенных переделок "втиснуть" увеличенные радиаторы в носок обычных консолей от серийного Пе-2 не удавалось. Поэтому временно, до получения новых двигателей М-107А, работы над этим вариантом "пешки" пришлось прекратить.</w:t>
      </w:r>
    </w:p>
    <w:p w14:paraId="15B6B6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Усовершенствованные моторы М-107А поступили на завод № 22 только в конце декабря 1942 г. Однако ни в январе, ни в феврале, ни в марте 1943 г. ОКО-22 не занималось этой машиной. Все внимание в данный момент было отдано серии и любимому детищу А.И. Путилова - высотному истребителю ВИ с моторами М-105ПД. Лишь в начале лета 1943 г., после "прихода к власти" В.М. Мясищева, двигатели М-107А смонтировали на серийном Пе-2. Недостаток рабочей силы на заводе № 22 и трудности доводки силовой установки заставили пойти на несколько необычный шаг - отправить самолет на моторный завод № 26, где он находился вплоть до осени 1943 г. Летом 1943 г. в переписке ОК.О-22 с заказчиками этот вариант машины стали называть Пе-2Д (12042).</w:t>
      </w:r>
    </w:p>
    <w:p w14:paraId="1D8E7F0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EAD0D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сентября 1942 вышло постановление прокурора ТатАССР Д. Исурова:</w:t>
      </w:r>
    </w:p>
    <w:p w14:paraId="4FEFE5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мая в боевом полете разбился Пе-2 № 5/74, погиб летчик. Причина - небрежный монтаж бензосистемы. 25 мая на заводе, при контрольно-сдаточном полете разбился Пе-2 № 19/81 с человеческими жертвами. Причина - отказ управления рулем высоты. Кроме того, на ряде Пе-2 зафиксированы некачественный монтаж бензо- масло- водосистем, отсутствие болтов и незашплинтованные гайки. 4 июня Пе-2 № 1/85 разбился из-за отсоединения тяги газа.</w:t>
      </w:r>
    </w:p>
    <w:p w14:paraId="4135D3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дефекты наблюдались на машинах выпуска февраль-март, когда шла наладка производства. Сейчас положение резко улучшилось, потери в скорости уменьшились - 9-18 км/ч, против 30-40 км/ч весной. (...) Дело прекращено» (12049).</w:t>
      </w:r>
    </w:p>
    <w:p w14:paraId="48F2EA9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A1E981F" w14:textId="77777777" w:rsidR="00C7427F"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2BE9B00" w14:textId="77777777" w:rsidR="00C7427F" w:rsidRPr="00722885" w:rsidRDefault="00C7427F" w:rsidP="00722885">
      <w:pPr>
        <w:pStyle w:val="Iauiue"/>
        <w:jc w:val="both"/>
        <w:rPr>
          <w:iCs/>
          <w:color w:val="000000" w:themeColor="text1"/>
          <w:sz w:val="16"/>
          <w:szCs w:val="16"/>
        </w:rPr>
      </w:pPr>
    </w:p>
    <w:p w14:paraId="154D429E" w14:textId="77777777" w:rsidR="00C7427F" w:rsidRPr="00722885" w:rsidRDefault="00C7427F" w:rsidP="00722885">
      <w:pPr>
        <w:pStyle w:val="Iauiue"/>
        <w:tabs>
          <w:tab w:val="left" w:pos="11199"/>
        </w:tabs>
        <w:jc w:val="both"/>
        <w:rPr>
          <w:color w:val="000000" w:themeColor="text1"/>
          <w:sz w:val="16"/>
          <w:szCs w:val="16"/>
        </w:rPr>
      </w:pPr>
      <w:r w:rsidRPr="00722885">
        <w:rPr>
          <w:color w:val="000000" w:themeColor="text1"/>
          <w:sz w:val="16"/>
          <w:szCs w:val="16"/>
        </w:rPr>
        <w:t>30 сентября 1942 года вышел приказ № 684сс НКТП</w:t>
      </w:r>
    </w:p>
    <w:p w14:paraId="5001655D" w14:textId="77777777" w:rsidR="00C7427F" w:rsidRPr="00722885" w:rsidRDefault="00C7427F"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распоряжением СНК № 18528рс от 28 сентября 1942 года:</w:t>
      </w:r>
    </w:p>
    <w:p w14:paraId="609A82F1" w14:textId="77777777" w:rsidR="00C7427F" w:rsidRPr="00722885" w:rsidRDefault="00C7427F" w:rsidP="00722885">
      <w:pPr>
        <w:pStyle w:val="Iauiue"/>
        <w:tabs>
          <w:tab w:val="left" w:pos="11199"/>
        </w:tabs>
        <w:jc w:val="both"/>
        <w:rPr>
          <w:color w:val="000000" w:themeColor="text1"/>
          <w:sz w:val="16"/>
          <w:szCs w:val="16"/>
        </w:rPr>
      </w:pPr>
      <w:r w:rsidRPr="00722885">
        <w:rPr>
          <w:color w:val="000000" w:themeColor="text1"/>
          <w:sz w:val="16"/>
          <w:szCs w:val="16"/>
        </w:rPr>
        <w:t>С 1 октября 1942 года выделить в самостоятельные предприятия:</w:t>
      </w:r>
    </w:p>
    <w:p w14:paraId="229E2F72" w14:textId="77777777" w:rsidR="00C7427F" w:rsidRPr="00722885" w:rsidRDefault="00C7427F" w:rsidP="00722885">
      <w:pPr>
        <w:pStyle w:val="Iauiue"/>
        <w:tabs>
          <w:tab w:val="left" w:pos="11199"/>
        </w:tabs>
        <w:jc w:val="both"/>
        <w:rPr>
          <w:color w:val="000000" w:themeColor="text1"/>
          <w:sz w:val="16"/>
          <w:szCs w:val="16"/>
        </w:rPr>
      </w:pPr>
      <w:r w:rsidRPr="00722885">
        <w:rPr>
          <w:color w:val="000000" w:themeColor="text1"/>
          <w:sz w:val="16"/>
          <w:szCs w:val="16"/>
        </w:rPr>
        <w:t>Московский филиал завода № 37 с присвоением ему номера 37.</w:t>
      </w:r>
    </w:p>
    <w:p w14:paraId="298EDE5D" w14:textId="77777777" w:rsidR="00C7427F" w:rsidRPr="00722885" w:rsidRDefault="00C7427F" w:rsidP="00722885">
      <w:pPr>
        <w:pStyle w:val="Iauiue"/>
        <w:tabs>
          <w:tab w:val="left" w:pos="11199"/>
        </w:tabs>
        <w:jc w:val="both"/>
        <w:rPr>
          <w:color w:val="000000" w:themeColor="text1"/>
          <w:sz w:val="16"/>
          <w:szCs w:val="16"/>
        </w:rPr>
      </w:pPr>
      <w:r w:rsidRPr="00722885">
        <w:rPr>
          <w:color w:val="000000" w:themeColor="text1"/>
          <w:sz w:val="16"/>
          <w:szCs w:val="16"/>
        </w:rPr>
        <w:t>Московский филиал завода № 76 с присвоением ему номера 39 (6129, 160).</w:t>
      </w:r>
    </w:p>
    <w:p w14:paraId="68F5673B" w14:textId="77777777" w:rsidR="00C7427F" w:rsidRPr="00722885" w:rsidRDefault="00C7427F" w:rsidP="00722885">
      <w:pPr>
        <w:pStyle w:val="Iauiue"/>
        <w:tabs>
          <w:tab w:val="left" w:pos="11199"/>
        </w:tabs>
        <w:jc w:val="both"/>
        <w:rPr>
          <w:color w:val="000000" w:themeColor="text1"/>
          <w:sz w:val="16"/>
          <w:szCs w:val="16"/>
        </w:rPr>
      </w:pPr>
    </w:p>
    <w:p w14:paraId="29862D48"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30 сентября 1942 на адрес директора НАТИ В. Я. Слонимского было отправлено письмо из ГАБТУ:</w:t>
      </w:r>
    </w:p>
    <w:p w14:paraId="1B83FDBF"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«Предложенный Вашим институтом проект использования корпуса танка Т-60 для создания бронированного танкового прицепа представляет интерес. Для изготовления 4-х опытных образцов предлагаемого Вамитанкового прицепа народный комиссар танковой промышленности дал за</w:t>
      </w:r>
      <w:r w:rsidRPr="00722885">
        <w:rPr>
          <w:rFonts w:ascii="Times New Roman" w:hAnsi="Times New Roman"/>
          <w:color w:val="000000" w:themeColor="text1"/>
          <w:sz w:val="16"/>
          <w:szCs w:val="16"/>
        </w:rPr>
        <w:softHyphen/>
        <w:t>водам 10-дневный срок.</w:t>
      </w:r>
    </w:p>
    <w:p w14:paraId="31AA5304"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Ввиду этого прошу срочно разработать и представить на утвержде</w:t>
      </w:r>
      <w:r w:rsidRPr="00722885">
        <w:rPr>
          <w:rFonts w:ascii="Times New Roman" w:hAnsi="Times New Roman"/>
          <w:color w:val="000000" w:themeColor="text1"/>
          <w:sz w:val="16"/>
          <w:szCs w:val="16"/>
        </w:rPr>
        <w:softHyphen/>
        <w:t>ние рабочие чертежи прицепа, в которых необходимо учесть следующее:</w:t>
      </w:r>
    </w:p>
    <w:p w14:paraId="6E3F96FE" w14:textId="77777777" w:rsidR="00A50962" w:rsidRPr="00722885" w:rsidRDefault="00A50962" w:rsidP="00722885">
      <w:pPr>
        <w:tabs>
          <w:tab w:val="left" w:pos="376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Прицеп не должен иметь башни и сидения механика-водителя.</w:t>
      </w:r>
    </w:p>
    <w:p w14:paraId="1890869C" w14:textId="77777777" w:rsidR="00A50962" w:rsidRPr="00722885" w:rsidRDefault="00A50962" w:rsidP="00722885">
      <w:pPr>
        <w:tabs>
          <w:tab w:val="left" w:pos="3759"/>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Задний люк должен откидываться вниз и быть приспособлен для про</w:t>
      </w:r>
      <w:r w:rsidRPr="00722885">
        <w:rPr>
          <w:rFonts w:ascii="Times New Roman" w:hAnsi="Times New Roman"/>
          <w:color w:val="000000" w:themeColor="text1"/>
          <w:sz w:val="16"/>
          <w:szCs w:val="16"/>
        </w:rPr>
        <w:softHyphen/>
        <w:t>изводства погрузочно-разгрузочных работ.</w:t>
      </w:r>
    </w:p>
    <w:p w14:paraId="7B88DDB8" w14:textId="77777777" w:rsidR="00A50962" w:rsidRPr="00722885" w:rsidRDefault="00A50962" w:rsidP="00722885">
      <w:pPr>
        <w:tabs>
          <w:tab w:val="left" w:pos="378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Сцепное устройство должно обеспечивать производство сцепки без выхода экипажей из машин как с танка, так и из прицепа.</w:t>
      </w:r>
    </w:p>
    <w:p w14:paraId="4CAECDE2" w14:textId="77777777" w:rsidR="00A50962" w:rsidRPr="00722885" w:rsidRDefault="00A50962" w:rsidP="00722885">
      <w:pPr>
        <w:tabs>
          <w:tab w:val="left" w:pos="379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 корпусе прицепа предусмотреть отверстия для стрельбы из лич</w:t>
      </w:r>
      <w:r w:rsidRPr="00722885">
        <w:rPr>
          <w:rFonts w:ascii="Times New Roman" w:hAnsi="Times New Roman"/>
          <w:color w:val="000000" w:themeColor="text1"/>
          <w:sz w:val="16"/>
          <w:szCs w:val="16"/>
        </w:rPr>
        <w:softHyphen/>
        <w:t>ного оружия» (17485).</w:t>
      </w:r>
    </w:p>
    <w:p w14:paraId="691D429F" w14:textId="77777777" w:rsidR="00A50962" w:rsidRPr="00722885" w:rsidRDefault="00A50962" w:rsidP="00722885">
      <w:pPr>
        <w:pStyle w:val="a3"/>
        <w:rPr>
          <w:color w:val="000000" w:themeColor="text1"/>
          <w:lang w:val="ru-RU"/>
        </w:rPr>
      </w:pPr>
    </w:p>
    <w:p w14:paraId="2291C0B4"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в Подмосковье достигнут довоенный месячный объем добычи угля (14785).</w:t>
      </w:r>
    </w:p>
    <w:p w14:paraId="4C9A854B"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5EF86829" w14:textId="77777777" w:rsidR="00C7427F"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AC0C588" w14:textId="77777777" w:rsidR="00C7427F" w:rsidRPr="00722885" w:rsidRDefault="00C7427F" w:rsidP="00722885">
      <w:pPr>
        <w:pStyle w:val="Iauiue"/>
        <w:jc w:val="both"/>
        <w:rPr>
          <w:iCs/>
          <w:color w:val="000000" w:themeColor="text1"/>
          <w:sz w:val="16"/>
          <w:szCs w:val="16"/>
        </w:rPr>
      </w:pPr>
    </w:p>
    <w:p w14:paraId="5066EE0A"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утреннее сообщение Совинформбюро:</w:t>
      </w:r>
    </w:p>
    <w:p w14:paraId="17C6C463"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30 сентября наши войска вели бои с противником в районе Сталинграда, в районе Моздока и в районе Синявино. На других фронтах существенных изменений не произошло.</w:t>
      </w:r>
    </w:p>
    <w:p w14:paraId="3F68B9C5"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ожесточённые бои с танками и пехотой противника. Наши артиллеристы уничтожили 71 автомашину, 2 артиллерийские батареи и несколько немецких танков. Гвардейская миномётная часть, где командиром т. Никитин, истребила 800 гитлеровцев.</w:t>
      </w:r>
    </w:p>
    <w:p w14:paraId="2FAB9010"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продолжались упорные бои. Артиллеристы Н-скойчасти истребили до 600 гитлеровцев, подбили и сожгли 16 танков, уничтожили 5 орудий, 35 пулемётов и 27 автомашин с военным грузом. На участке гвардейской части немецкая пехота при поддержке танков атаковала наши позиции. Когда танки противника подошли на близкое расстояние, наши бронебойщики открыли огонь и сожгли 4 немецких танка. Уничтожено до роты немецкой пехоты.</w:t>
      </w:r>
    </w:p>
    <w:p w14:paraId="63C272F4"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отбивали атаки противника. Бойцы Н-ской части уничтожили 4 вражеских танка, 9 автомашин с боеприпасами и разгромили немецкий батальон. Огнём артиллерии и миномётов рассеяно крупное скопление танков и мотопехоты противника.</w:t>
      </w:r>
    </w:p>
    <w:p w14:paraId="35C0DCDF"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части морской пехоты вели упорные бои с противником и овладели одной высотой. Разрушено 7 ДЗОТов, 45 блиндажей и 4 командных пункта противника. Уничтожено до 500 немецких и румынских солдат и офицеров.</w:t>
      </w:r>
    </w:p>
    <w:p w14:paraId="42E635DF"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Авиация Черноморского флота за две недели потопила 5 тральщиков, 6 барж, 4 самоходных понтона и 7 торпедных катеров противника.</w:t>
      </w:r>
    </w:p>
    <w:p w14:paraId="14AD8435"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Лётчики авиачасти, где командиром тов. Архипенко (Карельский фронт), совершили налёт на несколько вражеских аэродромов. Несмотря на сильный огонь зенитной артиллерии, все сброшенные бомбы попали в цель. На аэродромах возникло18 очагов пожара и произошло два сильных взрыва. В районе Мурманска наши лётчики в воздушном бою сбили 3 немецких самолёта.</w:t>
      </w:r>
    </w:p>
    <w:p w14:paraId="5FB590B6"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железнодорожном участке Брянск — Орёл партизаны пустили под откос два немецких железнодорожных эшелона с живой силой и вооружением. Разбито два паровоза, много вагонов и платформ.</w:t>
      </w:r>
    </w:p>
    <w:p w14:paraId="537D7D71"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307 железнодорожной роты 9 немецкого армейского корпуса Бруно Рехенберг рассказал: «В моей роте очень много пожилых солдат. Мне, например, 44 года, но есть и постарше. Недавно нас послали на передовые позиции и погнали в бой. Русские окружили роту и уничтожили свыше 60 человек. Небольшая группа солдат попала в плен, остальные разбежались.</w:t>
      </w:r>
    </w:p>
    <w:p w14:paraId="10424466"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апреле этого года я был в деревне Квикборн около Гамбурга. Там мне сообщили, что до 1 января 1942 года на Восточном фронте убито 45 жителей этой деревни. А за четыре года первой мировой войны из деревни Квикборн на фронтах погибло только 30 человек.</w:t>
      </w:r>
    </w:p>
    <w:p w14:paraId="5946C98E"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первых числах сентября в Кировограде неизвестно кем были убиты три немецких солдата. Несколько дней гестаповцы устраивали по городу обыски и облавы, но не обнаружили лиц, причастных к убийству. Тогда немецкие бандиты учинили расправу над мирным населением. 11 сентября гестаповцы арестовали более 100 советских граждан и расстреляли их.</w:t>
      </w:r>
    </w:p>
    <w:p w14:paraId="0BAF37E3"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Франции близ Жизора отряд свободных стрелков захватил немецкий самолёт, совершивший вынужденную посадку. Французские патриоты перебили немецких лётчиков, забрали их оружие, а бомбардировщик сожгли.» (14785).</w:t>
      </w:r>
    </w:p>
    <w:p w14:paraId="5BFFB723"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7C2191FA"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вечернее сообщение Совинформбюро:</w:t>
      </w:r>
    </w:p>
    <w:p w14:paraId="2EEA22FA"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30 сентября наши войска вели бои с противником в районе Сталинграда и в районе Моздока. На других фронтах существенных изменений не произошло.</w:t>
      </w:r>
    </w:p>
    <w:p w14:paraId="674C8DBC"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 корабль в Балтийском море потопил немецкий транспорт водоизмещением в 10.000 тонн.</w:t>
      </w:r>
    </w:p>
    <w:p w14:paraId="7EE658FC"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29 сентября частями нашей авиации на различных участках фронта уничтожено или повреждено 10 немецких танков, до 20 автомашин с войсками и грузами, 15 повозок с боеприпасами, рассеяно и частью уничтожено до батальона пехоты противника.</w:t>
      </w:r>
    </w:p>
    <w:p w14:paraId="65F0A6C4"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 северо-западной окраине города немцы бросили в наступление ещё одну танковую дивизию. Ценой больших потерь противник на одном участке потеснил наши части. В ходе этих боёв уничтожено 15 вражеских танков, 2 бронемашины, 14 автомашин, 2 миномётные батареи и до двух батальонов немецкой пехоты.</w:t>
      </w:r>
    </w:p>
    <w:p w14:paraId="5C3AAAB5"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самоотверженно ведут борьбу с численно превосходящими силами немецкой авиации. Младший лейтенант Кочетов за один день сбил «Юнкерс-87» и «Мессершмитт-109». Два вражеских истребителя уничтожил старшина Гультяев. Лейтенант Фёдоров за два дня сбил «Мессершмитт-109» и «Макки-200». Кроме того, тов. Фёдоров совместно со старшиной Смирновым уничтожили «Юнкерс-88».</w:t>
      </w:r>
    </w:p>
    <w:p w14:paraId="51B3C51C"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продолжались упорные бои. Немецкие автоматчики при поддержке танков атаковали рубеж, который обороняет Н-ская стрелковая часть. Наши бойцы встретили гитлеровцев огнём из противотанковых ружей и пулемётов. Потеряв 2 танка и до 100 солдат убитыми, противник отступил. На другом участке в течение всего дня происходили ожесточённые бои за одну высоту. Сломив упорное сопротивление противника, наши части к исходу дня овладели этой высотой. Гитлеровцы понесли большие потери.</w:t>
      </w:r>
    </w:p>
    <w:p w14:paraId="789D9777"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крупные силы мотопехоты и танков противника пытались прорвать наши оборонительные рубежи. Наши войска отбили все атаки немцев. На этом участке за два дня боёв подбито и сожжено 26 немецких танков и истребленодо 1.500 вражеских солдат и офицеров. В воздушных боях и на аэродромах противника уничтожено 18 немецких самолётов.</w:t>
      </w:r>
    </w:p>
    <w:p w14:paraId="50C89755"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в упорных боях с противником разгромили 3 румынскую горнострелковую дивизию, которая потеряла убитыми и ранеными до 8.000 солдат и офицеров. Уничтожено 25 орудий, 7 танков, 75 пулемётов, 50 автомашин и 2 склада боеприпасов. Захвачены трофеи.</w:t>
      </w:r>
    </w:p>
    <w:p w14:paraId="3A626F52"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сторону Красной Армии перешёл взвод румынских солдат. Командир взвода младший лейтенант Григоре Пробаж заявил: «Наша дивизия занимала оборону. 22 сентября русские перешли в наступление. Наш батальон не выдержал натиска русских и после первого же удара откатился, понеся большие потери. Я предложил солдатам моего взвода остаться и сдаться в плен. Солдаты единодушно меня поддержали. К нам присоединились ещё 6 солдат из других взводов. Румыны ненавидят немцев зато, что они принесли нам несчастья, а теперь и вконец поработили Румынию».</w:t>
      </w:r>
    </w:p>
    <w:p w14:paraId="6D5575A7"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лейтенант 2 роты 81 полка итальянской дивизии «Торино» Дарио Агостини рассказал: «Сейчас итальянские солдаты и офицеры много говорят о зиме. Все очень боятся русских морозов. Зимнего обмундирования у нас нет. Свыше 60 процентов всех итальянских солдат, находившихся в прошлом году на Восточном фронте, были обморожены. Многие погибли от морозов. При мысли о том, что нас ждёт такая же участь, солдаты приходят в ужас».</w:t>
      </w:r>
    </w:p>
    <w:p w14:paraId="028F71D8"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Близ города Красныстав (Польша) гитлеровцы согнали на молотьбу в имение немецкого помещика более двухсот крестьян. Ночью крестьяне поломали две молотилки, подожгли несколько скирд не обмолоченного хлеба и скрылись.</w:t>
      </w:r>
    </w:p>
    <w:p w14:paraId="540F2DC8"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Оснабрюк (Германия) еще в июне месяце бесследно исчезли 18 итальянцев, работавших на заводах авиационных бомб. Как теперь выяснилось, они были арестованы гестапо по обвинению в саботаже и расстреляны. Родственникам этих рабочих в Италии об их судьбе до сих пор ничего неизвестно.» (14785).</w:t>
      </w:r>
    </w:p>
    <w:p w14:paraId="655C21FB"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1A90803D"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немецкие войска заняли северные подступы к Сталинграду (14785).</w:t>
      </w:r>
    </w:p>
    <w:p w14:paraId="349466C6"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3C377FC3"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в Калмыкии началось формирование кавалерийских частей из местного населения и пленных красноармейцев в составе вермахта (14785).</w:t>
      </w:r>
    </w:p>
    <w:p w14:paraId="382D40C5"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3B1A92BE"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в занятом немецкими войсками Новочеркасске собрался Штаб Войска Донского во главе с бывшим полковником РККА С.В.Павловым, приступивший к формированию казачьих частей для борьбы против Советской армии (14785).</w:t>
      </w:r>
    </w:p>
    <w:p w14:paraId="057C6050"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0F879603"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органы НКГБ арестовывают в Сталинградской области 26 агентов-парашютистов Абвера (14785).</w:t>
      </w:r>
    </w:p>
    <w:p w14:paraId="5F92A65D"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18051D3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73FBD1A" w14:textId="77777777" w:rsidR="00090C9B" w:rsidRPr="00722885" w:rsidRDefault="00090C9B" w:rsidP="00722885">
      <w:pPr>
        <w:pStyle w:val="Iauiue"/>
        <w:jc w:val="both"/>
        <w:rPr>
          <w:iCs/>
          <w:color w:val="000000" w:themeColor="text1"/>
          <w:sz w:val="16"/>
          <w:szCs w:val="16"/>
        </w:rPr>
      </w:pPr>
    </w:p>
    <w:p w14:paraId="03463F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сентября 1942 в Краснодонске была создана Молодая Гвардия (3263,551).</w:t>
      </w:r>
    </w:p>
    <w:p w14:paraId="38F730EF" w14:textId="77777777" w:rsidR="00090C9B" w:rsidRPr="00722885" w:rsidRDefault="00090C9B" w:rsidP="00722885">
      <w:pPr>
        <w:pStyle w:val="Iauiue"/>
        <w:jc w:val="both"/>
        <w:rPr>
          <w:color w:val="000000" w:themeColor="text1"/>
          <w:sz w:val="16"/>
          <w:szCs w:val="16"/>
        </w:rPr>
      </w:pPr>
    </w:p>
    <w:p w14:paraId="7E1D10FF"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в городе Краснодоне (Донбасс), захваченном фашистами, создается комсомольская подпольная организация "Молодая гвардия" (14785).</w:t>
      </w:r>
    </w:p>
    <w:p w14:paraId="3C22051E"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002B1AC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10AE2333" w14:textId="77777777" w:rsidR="00090C9B" w:rsidRPr="00722885" w:rsidRDefault="00090C9B" w:rsidP="00722885">
      <w:pPr>
        <w:pStyle w:val="Iauiue"/>
        <w:jc w:val="both"/>
        <w:rPr>
          <w:iCs/>
          <w:color w:val="000000" w:themeColor="text1"/>
          <w:sz w:val="16"/>
          <w:szCs w:val="16"/>
        </w:rPr>
      </w:pPr>
    </w:p>
    <w:p w14:paraId="038921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сентября 1942 года</w:t>
      </w:r>
    </w:p>
    <w:p w14:paraId="3EC91A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СТРОГО СЕКРЕТНОЕ И ЛИЧНОЕ ПОСЛАНИЕ ОТ ПРЕМЬЕР-МИНИСТРА г-на УИНСТОНА ЧЕРЧИЛЛЯ г-ну СТАЛИНУ</w:t>
      </w:r>
    </w:p>
    <w:p w14:paraId="43FB5A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Из того же самого источника, который был использован мною для того, чтобы предупредить Вас о предстоящем нападении на Россию полтора года тому назад</w:t>
      </w:r>
      <w:r w:rsidRPr="00722885">
        <w:rPr>
          <w:color w:val="000000" w:themeColor="text1"/>
          <w:sz w:val="16"/>
          <w:szCs w:val="16"/>
          <w:vertAlign w:val="superscript"/>
        </w:rPr>
        <w:t>30</w:t>
      </w:r>
      <w:r w:rsidRPr="00722885">
        <w:rPr>
          <w:color w:val="000000" w:themeColor="text1"/>
          <w:sz w:val="16"/>
          <w:szCs w:val="16"/>
        </w:rPr>
        <w:t>, я получил следующую информацию. Я полагаю, что этот источник заслуживает абсолютного доверия. Пожалуйста, пусть это будет только для Вашего сведения,</w:t>
      </w:r>
    </w:p>
    <w:p w14:paraId="1CC7F0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Начало:</w:t>
      </w:r>
    </w:p>
    <w:p w14:paraId="3D5857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“Немцы уже назначили адмирала, которому будут поручены военно-морские операции на Каспийском море. Они избрали Махач-Кала в качестве своей главной военно-морской базы. Около 20 судов, включая итальянские подводные лодки, итальянские торпедные катера и тральщики, должны быть доставлены по железной дороге из Мариуполя на Каспий, как только будет открыта линия. Ввиду замерзания Азовского моря подводные лодки будут погружены до окончания строительства железнодорожной линии”.</w:t>
      </w:r>
    </w:p>
    <w:p w14:paraId="0127BF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Конец.</w:t>
      </w:r>
    </w:p>
    <w:p w14:paraId="6CF4A6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Несомненно, Вы уже подготовлены к нападению такого рода. Мне кажется, что тем большее значение приобретает план, о котором я говорил Вам, усиления нами с американской помощью Ваших военно-воздушных сил на каспийском и кавказском театрах двадцатью британскими и американскими эскадрильями. После нашей встречи я не прекращал работы над этим, и я надеюсь, что приблизительно через неделю получу от Президента окончательное одобрение и смогу сделать Вам определенное совместное предложение.</w:t>
      </w:r>
    </w:p>
    <w:p w14:paraId="009452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3. Что касается 154 “Аэрокобр”, которые были сняты с P. Q. 19 , то я лично разрешил это по настоятельной просьбе генерала Маршалла — американского главнокомандующего. Это были американские машины, предназначавшиеся для нас и нами предназначенные для Вас. Требование американцев было настоятельным и определенным и было связано с “Факелом” </w:t>
      </w:r>
      <w:r w:rsidRPr="00722885">
        <w:rPr>
          <w:color w:val="000000" w:themeColor="text1"/>
          <w:sz w:val="16"/>
          <w:szCs w:val="16"/>
          <w:vertAlign w:val="superscript"/>
        </w:rPr>
        <w:t>24</w:t>
      </w:r>
      <w:r w:rsidRPr="00722885">
        <w:rPr>
          <w:color w:val="000000" w:themeColor="text1"/>
          <w:sz w:val="16"/>
          <w:szCs w:val="16"/>
        </w:rPr>
        <w:t>. Генерал Маршалл обязался немедленно возместить их Другими самолетами по маршруту через Аляску.</w:t>
      </w:r>
    </w:p>
    <w:p w14:paraId="5527A9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течение ближайших 10 дней я сообщу Вам о дальнейшем по телеграфу (7430).</w:t>
      </w:r>
    </w:p>
    <w:p w14:paraId="6D9A8711" w14:textId="77777777" w:rsidR="00090C9B" w:rsidRPr="00722885" w:rsidRDefault="00090C9B" w:rsidP="00722885">
      <w:pPr>
        <w:pStyle w:val="Iauiue"/>
        <w:jc w:val="both"/>
        <w:rPr>
          <w:color w:val="000000" w:themeColor="text1"/>
          <w:sz w:val="16"/>
          <w:szCs w:val="16"/>
        </w:rPr>
      </w:pPr>
    </w:p>
    <w:p w14:paraId="5C3C9AC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C099018" w14:textId="77777777" w:rsidR="00090C9B" w:rsidRPr="00722885" w:rsidRDefault="00090C9B" w:rsidP="00722885">
      <w:pPr>
        <w:pStyle w:val="Iauiue"/>
        <w:jc w:val="both"/>
        <w:rPr>
          <w:iCs/>
          <w:color w:val="000000" w:themeColor="text1"/>
          <w:sz w:val="16"/>
          <w:szCs w:val="16"/>
        </w:rPr>
      </w:pPr>
    </w:p>
    <w:p w14:paraId="69095A52" w14:textId="77777777" w:rsidR="00EB4546" w:rsidRPr="00722885" w:rsidRDefault="00EB454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30 сентября с 1 июня 1943 немецкие ночные истребители, защищающие Германию, сбили 435 британских бомбардировщиков (20793).</w:t>
      </w:r>
    </w:p>
    <w:p w14:paraId="26DAE524" w14:textId="77777777" w:rsidR="00EB4546" w:rsidRPr="00722885" w:rsidRDefault="00EB4546" w:rsidP="00722885">
      <w:pPr>
        <w:spacing w:after="0" w:line="240" w:lineRule="auto"/>
        <w:jc w:val="both"/>
        <w:rPr>
          <w:rFonts w:ascii="Times New Roman" w:hAnsi="Times New Roman"/>
          <w:color w:val="0070C0"/>
          <w:sz w:val="16"/>
          <w:szCs w:val="16"/>
        </w:rPr>
      </w:pPr>
    </w:p>
    <w:p w14:paraId="35E9A21D"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в Германии создан радиолокационный приемник «Метокс», увеличивший скрытность немецких подводных лодок (14785).</w:t>
      </w:r>
    </w:p>
    <w:p w14:paraId="5EFD119E"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2D99C77F" w14:textId="77777777" w:rsidR="00511E5F" w:rsidRPr="00722885" w:rsidRDefault="00511E5F" w:rsidP="00722885">
      <w:pPr>
        <w:pStyle w:val="Iauiue"/>
        <w:jc w:val="both"/>
        <w:rPr>
          <w:color w:val="000000" w:themeColor="text1"/>
          <w:sz w:val="16"/>
          <w:szCs w:val="16"/>
          <w:lang w:val="en-US"/>
        </w:rPr>
      </w:pPr>
      <w:r w:rsidRPr="00722885">
        <w:rPr>
          <w:color w:val="000000" w:themeColor="text1"/>
          <w:sz w:val="16"/>
          <w:szCs w:val="16"/>
          <w:lang w:val="en-US"/>
        </w:rPr>
        <w:t>September 30, 1942: Top-scoring Luftwaffe ace and Diamonds winner Hans-Joachim Marseille (158 British aircraft) of 3./JG 27 is killed by an accident in North Africa (3819).</w:t>
      </w:r>
    </w:p>
    <w:p w14:paraId="7F871897" w14:textId="77777777" w:rsidR="00511E5F" w:rsidRPr="00722885" w:rsidRDefault="00511E5F" w:rsidP="00722885">
      <w:pPr>
        <w:pStyle w:val="Iauiue"/>
        <w:jc w:val="both"/>
        <w:rPr>
          <w:color w:val="000000" w:themeColor="text1"/>
          <w:sz w:val="16"/>
          <w:szCs w:val="16"/>
          <w:lang w:val="en-US"/>
        </w:rPr>
      </w:pPr>
    </w:p>
    <w:p w14:paraId="7CC767AA" w14:textId="77777777" w:rsidR="00511E5F" w:rsidRPr="00722885" w:rsidRDefault="00511E5F" w:rsidP="00722885">
      <w:pPr>
        <w:pStyle w:val="Iauiue"/>
        <w:jc w:val="both"/>
        <w:rPr>
          <w:color w:val="000000" w:themeColor="text1"/>
          <w:sz w:val="16"/>
          <w:szCs w:val="16"/>
        </w:rPr>
      </w:pPr>
      <w:r w:rsidRPr="00722885">
        <w:rPr>
          <w:color w:val="000000" w:themeColor="text1"/>
          <w:sz w:val="16"/>
          <w:szCs w:val="16"/>
        </w:rPr>
        <w:t>30 сентября 1942 ведущий ас Люфтваффе Марселье, сбивший 158 британских самолетов, случайно погиб в МА (3819).</w:t>
      </w:r>
    </w:p>
    <w:p w14:paraId="08E0ED0E" w14:textId="77777777" w:rsidR="00511E5F" w:rsidRPr="00722885" w:rsidRDefault="00511E5F" w:rsidP="00722885">
      <w:pPr>
        <w:pStyle w:val="Iauiue"/>
        <w:jc w:val="both"/>
        <w:rPr>
          <w:color w:val="000000" w:themeColor="text1"/>
          <w:sz w:val="16"/>
          <w:szCs w:val="16"/>
        </w:rPr>
      </w:pPr>
    </w:p>
    <w:p w14:paraId="543592B3" w14:textId="77777777" w:rsidR="00EB4546" w:rsidRPr="00722885" w:rsidRDefault="00EB454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 сентября 1942 немецкий ас Ханс-Иоахим Марсель погиб, когда его самолет Bf 109G загорелся. На его счету было 158 побед (20793).</w:t>
      </w:r>
    </w:p>
    <w:p w14:paraId="2649B538" w14:textId="77777777" w:rsidR="00EB4546" w:rsidRPr="00722885" w:rsidRDefault="00EB4546" w:rsidP="00722885">
      <w:pPr>
        <w:spacing w:after="0" w:line="240" w:lineRule="auto"/>
        <w:jc w:val="both"/>
        <w:rPr>
          <w:rFonts w:ascii="Times New Roman" w:hAnsi="Times New Roman"/>
          <w:color w:val="0070C0"/>
          <w:sz w:val="16"/>
          <w:szCs w:val="16"/>
        </w:rPr>
      </w:pPr>
    </w:p>
    <w:p w14:paraId="37F2F526" w14:textId="77777777" w:rsidR="00511E5F" w:rsidRPr="00722885" w:rsidRDefault="00511E5F" w:rsidP="00722885">
      <w:pPr>
        <w:pStyle w:val="Iauiue"/>
        <w:jc w:val="both"/>
        <w:rPr>
          <w:color w:val="000000" w:themeColor="text1"/>
          <w:sz w:val="16"/>
          <w:szCs w:val="16"/>
        </w:rPr>
      </w:pPr>
      <w:r w:rsidRPr="00722885">
        <w:rPr>
          <w:color w:val="000000" w:themeColor="text1"/>
          <w:sz w:val="16"/>
          <w:szCs w:val="16"/>
        </w:rPr>
        <w:t>30 сентября 1942 был создан 4-й штаффель SchG 2, которая стала следующей частью, оснащенной Hs 129, поставки которого никогда не достигли пропорций характерных для массового производства. Группа была сформирована в сентябре 1942 в Демблин-Ирене в Польше из второй III.ZG 1 в составе двенадцати Hs 129. К 10-му ноября 1942 часть прибыла в Северную Африку, но к этому моменту ее состав уменьшился до восьми Hs 129, половина которых были боеспособными (3188).</w:t>
      </w:r>
    </w:p>
    <w:p w14:paraId="7EB37C15" w14:textId="77777777" w:rsidR="00511E5F" w:rsidRPr="00722885" w:rsidRDefault="00511E5F" w:rsidP="00722885">
      <w:pPr>
        <w:pStyle w:val="Iauiue"/>
        <w:jc w:val="both"/>
        <w:rPr>
          <w:color w:val="000000" w:themeColor="text1"/>
          <w:sz w:val="16"/>
          <w:szCs w:val="16"/>
        </w:rPr>
      </w:pPr>
    </w:p>
    <w:p w14:paraId="46AC24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сентября 1942 первая английская миссия связи прибыла в Грецию (2261).</w:t>
      </w:r>
    </w:p>
    <w:p w14:paraId="54F561A9" w14:textId="77777777" w:rsidR="00090C9B" w:rsidRPr="00722885" w:rsidRDefault="00090C9B" w:rsidP="00722885">
      <w:pPr>
        <w:pStyle w:val="Iauiue"/>
        <w:jc w:val="both"/>
        <w:rPr>
          <w:color w:val="000000" w:themeColor="text1"/>
          <w:sz w:val="16"/>
          <w:szCs w:val="16"/>
        </w:rPr>
      </w:pPr>
    </w:p>
    <w:p w14:paraId="64B085E1"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за 6 недель СС уничтожает 3 500 Евреев в Zelov Lodz, Польша, (14785).</w:t>
      </w:r>
    </w:p>
    <w:p w14:paraId="630D01BF"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0508E3A4"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в Тулузе (Франция) создан комитет действий по объединению итальянского народа против войны, за мир и свержение фашизма (14785).</w:t>
      </w:r>
    </w:p>
    <w:p w14:paraId="4111C998"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626F9CD7"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итальянский комитет за мир и свободу призвал народ своей страны выступить против Муссолини, агрессии и фашистского ига (14785).</w:t>
      </w:r>
    </w:p>
    <w:p w14:paraId="6EE0CF07"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4173211A"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крупнейшие профсоюзы Мексики направили правительствам США и Великобритании послания с требованием немедленно открыть второй фронт для оказания помощи Советскому Союзу (14785).</w:t>
      </w:r>
    </w:p>
    <w:p w14:paraId="78C9A919"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6B692F4C"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алжирская компартия обратилась ко всем патриотам с призывом образовать объединенный «фронт свободы против проникновения германских фашистов в Алжир» (14785).</w:t>
      </w:r>
    </w:p>
    <w:p w14:paraId="3D486355"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29F410B1" w14:textId="77777777" w:rsidR="00EB4546" w:rsidRPr="00722885" w:rsidRDefault="00EB454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 сентября 1942 пилот поплавкового истребителя Императорского флота Японии Накадзима A6M2-N (союзное название «Руф») обнаруживает американскую базу на Адаке на Алеутских островах через месяц после ее основания. Японские самолеты из Киски бомбят Адак ежедневно в течение следующих пяти дней, но их самый большой налет, совершенный 4 октября, включает всего три самолетов. Остальные рейды состоят из одиночных самолетов и Адак практически не получает повреждений (20793).</w:t>
      </w:r>
    </w:p>
    <w:p w14:paraId="133114F2" w14:textId="77777777" w:rsidR="00EB4546" w:rsidRPr="00722885" w:rsidRDefault="00EB4546" w:rsidP="00722885">
      <w:pPr>
        <w:spacing w:after="0" w:line="240" w:lineRule="auto"/>
        <w:jc w:val="both"/>
        <w:rPr>
          <w:rFonts w:ascii="Times New Roman" w:hAnsi="Times New Roman"/>
          <w:color w:val="0070C0"/>
          <w:sz w:val="16"/>
          <w:szCs w:val="16"/>
        </w:rPr>
      </w:pPr>
    </w:p>
    <w:p w14:paraId="1D177CF0"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на севере Бирмы стали действовать партизанские отряды, возглавляемые местными коммунистами (14785).</w:t>
      </w:r>
    </w:p>
    <w:p w14:paraId="2920BA7C"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679F02D5"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на Филиппинах начались столкновения партизан, возглавляемых коммунистами с японскими войсками (14785).</w:t>
      </w:r>
    </w:p>
    <w:p w14:paraId="5A3C92C6"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60D79743"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прояпонская Армия независимости Бирмы преобразована в Армию обороны Бирмы численностю 3 тысячи человек. Командующим АОБ стал Аун Сан (14785).</w:t>
      </w:r>
    </w:p>
    <w:p w14:paraId="49D2BD4E"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34B53C9E"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в Бирме из числа пленных индийских солдат сформирована прояпонская Индийская национальная армия (14785).</w:t>
      </w:r>
    </w:p>
    <w:p w14:paraId="27E346BA"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551D126E"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японские оккупационные власти разгромили подпольные организации Коммунистической партии Малайи в Куала-Лумпуре и Сингапуре (14785).</w:t>
      </w:r>
    </w:p>
    <w:p w14:paraId="5758DD07"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072431EF"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в Египте впервые в истории страны легализованы профсоюзы (14785).</w:t>
      </w:r>
    </w:p>
    <w:p w14:paraId="129C4FE1"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11B12B1B"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на секретном совещании высшего руководства Управления Аусланд/Абвер/ОКВ с главой итальянской контрразведки генералом Аме, командиром итальянского «Арабского легиона» оберстом Ивреа и муфтием Иерусалимским Амином аль-Хуссейни принимается решение о создании антибританского диверсионно-разведывательного центра «Северная Африка» (14785).</w:t>
      </w:r>
    </w:p>
    <w:p w14:paraId="54CF5F68"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328C0641" w14:textId="77777777" w:rsidR="00511E5F" w:rsidRPr="00722885" w:rsidRDefault="00511E5F"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сентября </w:t>
      </w:r>
      <w:r w:rsidRPr="00722885">
        <w:rPr>
          <w:rFonts w:ascii="Times New Roman" w:hAnsi="Times New Roman"/>
          <w:color w:val="000000" w:themeColor="text1"/>
          <w:sz w:val="16"/>
          <w:szCs w:val="16"/>
        </w:rPr>
        <w:t>в 1942 году в США введено нормированное распределение бензина (14785).</w:t>
      </w:r>
    </w:p>
    <w:p w14:paraId="40D8AD8D" w14:textId="77777777" w:rsidR="00511E5F" w:rsidRPr="00722885" w:rsidRDefault="00511E5F" w:rsidP="00722885">
      <w:pPr>
        <w:spacing w:after="0" w:line="240" w:lineRule="auto"/>
        <w:jc w:val="both"/>
        <w:rPr>
          <w:rFonts w:ascii="Times New Roman" w:hAnsi="Times New Roman"/>
          <w:color w:val="000000" w:themeColor="text1"/>
          <w:sz w:val="16"/>
          <w:szCs w:val="16"/>
        </w:rPr>
      </w:pPr>
    </w:p>
    <w:p w14:paraId="5386CE1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59C45D4" w14:textId="77777777" w:rsidR="00090C9B" w:rsidRPr="00722885" w:rsidRDefault="00090C9B" w:rsidP="00722885">
      <w:pPr>
        <w:pStyle w:val="Iauiue"/>
        <w:jc w:val="both"/>
        <w:rPr>
          <w:iCs/>
          <w:color w:val="000000" w:themeColor="text1"/>
          <w:sz w:val="16"/>
          <w:szCs w:val="16"/>
        </w:rPr>
      </w:pPr>
    </w:p>
    <w:p w14:paraId="072FC6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 второй половина сентября 1942 вышел отчет заводского корпуса №5 СТЗ за период с 23 августа по 12 сентября 1942 года:</w:t>
      </w:r>
    </w:p>
    <w:p w14:paraId="4ED2CF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момента подхода фашистских банд к заводу, бомбежек и обстрелов заводской территории корпусом №5 проделана следующая работа:</w:t>
      </w:r>
    </w:p>
    <w:p w14:paraId="087972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выпуск новых танков - 68 штук, отремонтировано танков - 23. Кроме того, оказана помощь Красной Армии в ремонте путем посылки высококвалифицированных рабочих в ремонтные бригады, а также выдачи запасных частей и различного оборудования (3862).</w:t>
      </w:r>
    </w:p>
    <w:p w14:paraId="361B89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промежуток указанного времени в корпус попало шесть фугасных бомб, около 154 зажигательных бомб и один снаряд. Сгорело газойльхранилище, разрушена в двух местах крыша" (3862).</w:t>
      </w:r>
    </w:p>
    <w:p w14:paraId="596B01A7" w14:textId="77777777" w:rsidR="00090C9B" w:rsidRPr="00722885" w:rsidRDefault="00090C9B" w:rsidP="00722885">
      <w:pPr>
        <w:pStyle w:val="Iauiue"/>
        <w:jc w:val="both"/>
        <w:rPr>
          <w:color w:val="000000" w:themeColor="text1"/>
          <w:sz w:val="16"/>
          <w:szCs w:val="16"/>
        </w:rPr>
      </w:pPr>
    </w:p>
    <w:p w14:paraId="792B503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DB21592" w14:textId="77777777" w:rsidR="00090C9B" w:rsidRPr="00722885" w:rsidRDefault="00090C9B" w:rsidP="00722885">
      <w:pPr>
        <w:pStyle w:val="Iauiue"/>
        <w:jc w:val="both"/>
        <w:rPr>
          <w:iCs/>
          <w:color w:val="000000" w:themeColor="text1"/>
          <w:sz w:val="16"/>
          <w:szCs w:val="16"/>
        </w:rPr>
      </w:pPr>
    </w:p>
    <w:p w14:paraId="03F23A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сентября 1942-го двухместны и Ил-2 передали в НИИ ВВС на госиспытания (9532,4).</w:t>
      </w:r>
    </w:p>
    <w:p w14:paraId="7EBF51D4" w14:textId="77777777" w:rsidR="00090C9B" w:rsidRPr="00722885" w:rsidRDefault="00090C9B" w:rsidP="00722885">
      <w:pPr>
        <w:pStyle w:val="Iauiue"/>
        <w:jc w:val="both"/>
        <w:rPr>
          <w:color w:val="000000" w:themeColor="text1"/>
          <w:sz w:val="16"/>
          <w:szCs w:val="16"/>
        </w:rPr>
      </w:pPr>
    </w:p>
    <w:p w14:paraId="0CB326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сентября 1942 г. оба двухместных самолета Ил-2 поступили на госиспытания.</w:t>
      </w:r>
    </w:p>
    <w:p w14:paraId="4FC8B5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Кабину разместили вне бронекорпуса за бронеперегородкой заднего топливного бака, спиной к ней на подвесной брезентовой лямке сидел стрелок, защищенный со стороны хвоста 6-мм бронеперегородкой. Вырез в верхней части фюзеляжа под кабину стрелка окантовали штампованным из дюралюминиевого листа жестким кольцом. Кабину стрелка закрывал откидывающийся на правый борт фонарь. Для сравнительной оценки опытные двухместные Ил-2 вооружали как ШКАСами, так и УБТ. Пулеметы монтировали на полутурельных установках, причем ШКАС имел несколько большие углы обстрела по сравнению с УБТ. Кабина стрелка с вооружением увеличила полетный вес машины на 210 (ШКАС)-275 (УБТ) кг.</w:t>
      </w:r>
    </w:p>
    <w:p w14:paraId="61D630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Испытания показали, что для сохранения такой же длины разбега, как у одноместного варианта, посадочные щитки на взлете должны отклоняться на угол 17°. Самолеты труднее поднимали хвост на взлете и быстрее опускали его на посадке. Возросшая нагрузка на хвостовое колесо потребовала увеличить его размеры ш усилить ферму крепления колеса к фюзеляжу. Максимальная скорость двухместных машин уменьшилась, они стали тяжелей в управлении. Однако при отрегулированном надлежащим образом триммере руля высоты особой разницы между одноместным и двухместным вариантами летчики не ощущали. За боевой разворот двухместный штурмовик набирал высоту 300 м. И все таки для улучшения летно-технических и маневренных характеристик двухместного Ил-2 требовалось увеличить мощность двигателя АМ-38. ОКБ А.А.Микулина рочно приступило к решению этой задачи.</w:t>
      </w:r>
    </w:p>
    <w:p w14:paraId="710C9F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результатам госиспытаний к серийной постройке рекомендовали самолет с 12,7-мм УБТ, по мощи огня и дальности поражения значительно превосходивший ШКАС винтовочного калибра. На серийных Ил-2 пулеметы УБТ имели боезапас в 150 патронов и следующие тлы обстрела: вверх 35гр, вниз 7°, вправо от стрелка 35° и лево 25° (9528).</w:t>
      </w:r>
    </w:p>
    <w:p w14:paraId="0C58DCD8" w14:textId="77777777" w:rsidR="00090C9B" w:rsidRPr="00722885" w:rsidRDefault="00090C9B" w:rsidP="00722885">
      <w:pPr>
        <w:pStyle w:val="Iauiue"/>
        <w:jc w:val="both"/>
        <w:rPr>
          <w:color w:val="000000" w:themeColor="text1"/>
          <w:sz w:val="16"/>
          <w:szCs w:val="16"/>
        </w:rPr>
      </w:pPr>
    </w:p>
    <w:p w14:paraId="481D138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сентября 1942 г. в НИИ ВВС поступили два самолета Ил-2 производства завода № 30 с кабинами воздушного стрелка: один — с пулеметом ШКАС, другой - с УБТ. Переделки были минимальными. За пределами бронекор-пуса в фюзеляже делался вырез, устанавливалась турель с пуле</w:t>
      </w:r>
      <w:r w:rsidRPr="00722885">
        <w:rPr>
          <w:rFonts w:ascii="Times New Roman" w:hAnsi="Times New Roman"/>
          <w:color w:val="000000" w:themeColor="text1"/>
          <w:sz w:val="16"/>
          <w:szCs w:val="16"/>
        </w:rPr>
        <w:softHyphen/>
        <w:t xml:space="preserve">метом и крепилась брезентовая лента, </w:t>
      </w:r>
      <w:r w:rsidRPr="00722885">
        <w:rPr>
          <w:rFonts w:ascii="Times New Roman" w:hAnsi="Times New Roman"/>
          <w:color w:val="000000" w:themeColor="text1"/>
          <w:sz w:val="16"/>
          <w:szCs w:val="16"/>
        </w:rPr>
        <w:lastRenderedPageBreak/>
        <w:t>на которой сидел стре</w:t>
      </w:r>
      <w:r w:rsidRPr="00722885">
        <w:rPr>
          <w:rFonts w:ascii="Times New Roman" w:hAnsi="Times New Roman"/>
          <w:color w:val="000000" w:themeColor="text1"/>
          <w:sz w:val="16"/>
          <w:szCs w:val="16"/>
        </w:rPr>
        <w:softHyphen/>
        <w:t>лок. На самолетах устанавливался воздушный винт АВ-5л-158 диаметром 3,6 м, который к этому времени был рекомендован к установке на все серийные Ил-2. Проведенные в НИИ ВВС в августе месяце летные испытания показали, что этот тип винта улучшает взлетные свойства самолета. Полетный вес двухместных Ил-2 увеличился. Летные дан</w:t>
      </w:r>
      <w:r w:rsidRPr="00722885">
        <w:rPr>
          <w:rFonts w:ascii="Times New Roman" w:hAnsi="Times New Roman"/>
          <w:color w:val="000000" w:themeColor="text1"/>
          <w:sz w:val="16"/>
          <w:szCs w:val="16"/>
        </w:rPr>
        <w:softHyphen/>
        <w:t>ные и маневренные качества снизились. Разбег и пробег уве</w:t>
      </w:r>
      <w:r w:rsidRPr="00722885">
        <w:rPr>
          <w:rFonts w:ascii="Times New Roman" w:hAnsi="Times New Roman"/>
          <w:color w:val="000000" w:themeColor="text1"/>
          <w:sz w:val="16"/>
          <w:szCs w:val="16"/>
        </w:rPr>
        <w:softHyphen/>
        <w:t>личились. В связи со смещением центровки самолетов назад на 2,5—3,5% САХ продольная устойчивость ухудшилась. Именно поэтому зашита воздушного стрелка состояла лишь из 6-мм бронещитка со стороны хвоста. Усилить защиту без пере</w:t>
      </w:r>
      <w:r w:rsidRPr="00722885">
        <w:rPr>
          <w:rFonts w:ascii="Times New Roman" w:hAnsi="Times New Roman"/>
          <w:color w:val="000000" w:themeColor="text1"/>
          <w:sz w:val="16"/>
          <w:szCs w:val="16"/>
        </w:rPr>
        <w:softHyphen/>
        <w:t>делки бронекорпуса было нельзя, так как центровка самолета становилась опасной для полетов. Для сохранения длины разбега на прежнем уровне было введено взлетное положение посадочных щитков под углом 17—18°, а нормальная боевая нагрузка уменьшена на 200 кг. Штурмовику явно не хватало мощности мотора. По результатам испытаний в НИИ ВВС лучшей была при</w:t>
      </w:r>
      <w:r w:rsidRPr="00722885">
        <w:rPr>
          <w:rFonts w:ascii="Times New Roman" w:hAnsi="Times New Roman"/>
          <w:color w:val="000000" w:themeColor="text1"/>
          <w:sz w:val="16"/>
          <w:szCs w:val="16"/>
        </w:rPr>
        <w:softHyphen/>
        <w:t>знана кабина с оборонительной установкой ВУБ-3 и пулеметом УБТ. Вопрос о броневой защите стрелка снизу и с боков предполагалось решить после проведения испытаний в боевых условиях. Несмотря на явные недостатки предложенного ОКБ вариан</w:t>
      </w:r>
      <w:r w:rsidRPr="00722885">
        <w:rPr>
          <w:rFonts w:ascii="Times New Roman" w:hAnsi="Times New Roman"/>
          <w:color w:val="000000" w:themeColor="text1"/>
          <w:sz w:val="16"/>
          <w:szCs w:val="16"/>
        </w:rPr>
        <w:softHyphen/>
        <w:t>та кабины стрелка, Государственный комитет обороны, не до</w:t>
      </w:r>
      <w:r w:rsidRPr="00722885">
        <w:rPr>
          <w:rFonts w:ascii="Times New Roman" w:hAnsi="Times New Roman"/>
          <w:color w:val="000000" w:themeColor="text1"/>
          <w:sz w:val="16"/>
          <w:szCs w:val="16"/>
        </w:rPr>
        <w:softHyphen/>
        <w:t>жидаясь результатов войсковых испытаний, Постановлением от 5 октября обязал НКАП наладить серийный выпуск двухмест</w:t>
      </w:r>
      <w:r w:rsidRPr="00722885">
        <w:rPr>
          <w:rFonts w:ascii="Times New Roman" w:hAnsi="Times New Roman"/>
          <w:color w:val="000000" w:themeColor="text1"/>
          <w:sz w:val="16"/>
          <w:szCs w:val="16"/>
        </w:rPr>
        <w:softHyphen/>
        <w:t>ного варианта Ил-2 с пулеметом УБТ. Нормальная бомбовая нагрузка устанавливалась в 300 кг. Ракетное вооружение сокра</w:t>
      </w:r>
      <w:r w:rsidRPr="00722885">
        <w:rPr>
          <w:rFonts w:ascii="Times New Roman" w:hAnsi="Times New Roman"/>
          <w:color w:val="000000" w:themeColor="text1"/>
          <w:sz w:val="16"/>
          <w:szCs w:val="16"/>
        </w:rPr>
        <w:softHyphen/>
        <w:t>щалось до четырех РО-82 (11474,289).</w:t>
      </w:r>
    </w:p>
    <w:p w14:paraId="1E82D95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CD8BA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сентября 1942 в НИИ ВВС поступили два самолета Ил-2 производства завода №30 с кабинами воздушного стрелка: один - с пулеметом ШКАС, другой - с УБТ.</w:t>
      </w:r>
    </w:p>
    <w:p w14:paraId="41737B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Переделки были минимальными. За пределами бронекорпуса в фюзеляже делался вырез, устанавливалась турель и крепилась брезентовая лента, на которой сидел стрелок. </w:t>
      </w:r>
    </w:p>
    <w:p w14:paraId="065E49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увеличился. Летные данные и маневренные качества снизились. Разбег и пробег увеличились. В связи со смещением центровки самолетов назад на 2,5-3,5% САХ продольная устойчивость ухудшилась. Именно поэтому защита воздушного стрелка состояла лишь из 6-мм бронешитка со стороны хвоста. Усилить защиту без переделки бронекорпуса было нельзя, так как центровка самолета становилась опасной для полетов.</w:t>
      </w:r>
    </w:p>
    <w:p w14:paraId="6A380B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сохранения длины разбега на прежнем уровне было введено взлетное положение посадочных щитков под углом 17-18°, а нормальная боевая нагрузка уменьшена на 200 кг. Штурмовику явно не хватало мощности мотора.</w:t>
      </w:r>
    </w:p>
    <w:p w14:paraId="030EA1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результатам испытаний в НИИ ВВС лучшей была признана кабина с оборонительной установкой ВУБ-3 и пулеметом УБТ. Вопрос о броневой защите стрелка снизу и с боков предполагалось решить после проведения испытаний в боевых условиях (12020).</w:t>
      </w:r>
    </w:p>
    <w:p w14:paraId="63513A1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E2F2F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сентября 1942 закончились испытания Як-6 НББ, которые велись с августа 1942 (1022,170).</w:t>
      </w:r>
    </w:p>
    <w:p w14:paraId="333A23C3" w14:textId="77777777" w:rsidR="00090C9B" w:rsidRPr="00722885" w:rsidRDefault="00090C9B" w:rsidP="00722885">
      <w:pPr>
        <w:pStyle w:val="Iauiue"/>
        <w:jc w:val="both"/>
        <w:rPr>
          <w:color w:val="000000" w:themeColor="text1"/>
          <w:sz w:val="16"/>
          <w:szCs w:val="16"/>
        </w:rPr>
      </w:pPr>
    </w:p>
    <w:p w14:paraId="587AC3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сентября 1942 на аэродром Арское поле под Казанью на ЛИС 22 завода закончились заводские испытания Пе-2 М-82 АВ-5Л-118А, который был выведен с завода еще 30 июня 1943, но потом доделывался и с 21 июля 1943 начал полеты. Для переделки использовали машину N 19/31, который строился как эталонная машина для 125 завода. На машине смонтировали и ВУБ-2 с УБТ. для улучшения центровки колеса вынесли вперед на 60 мм и вес вырос на 400 кг (2205,37).</w:t>
      </w:r>
    </w:p>
    <w:p w14:paraId="789DD522" w14:textId="77777777" w:rsidR="00090C9B" w:rsidRPr="00722885" w:rsidRDefault="00090C9B" w:rsidP="00722885">
      <w:pPr>
        <w:pStyle w:val="Iauiue"/>
        <w:jc w:val="both"/>
        <w:rPr>
          <w:color w:val="000000" w:themeColor="text1"/>
          <w:sz w:val="16"/>
          <w:szCs w:val="16"/>
        </w:rPr>
      </w:pPr>
    </w:p>
    <w:p w14:paraId="5A06600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сентября Пе-2 с М-82, который выполнил первый полет 21 июля 1942, выполнил 17 полетов и налетал 15 ч. Все полеты были связаны с отладкой работы винтомоторной группы.</w:t>
      </w:r>
    </w:p>
    <w:p w14:paraId="419DDA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переделки использовали самолет зав. № 19/31 выпуска 1941 г., который первоначально строился как эталон для иркутского завода № 125 (с упрощенным вооружением). На машине смонтировали верхнюю экранированную турель штурмана ВУБ-2 с пулеметом УБТ.</w:t>
      </w:r>
    </w:p>
    <w:p w14:paraId="5FD486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Мощные 14-цилиндровые звездообразные двигатели конструкции А.Д. Швецова обладали большей массой и "лбом" по сравнению с М-105. Центровка машины значительно сместилась вперед, несмотря на укладку в хвосте свинцового груза массой 68 кг. Помимо замены мотоустановки, на самолете убрали носовой ШКАС и бортовой пулеметстрел- ка-радиста. Кроме того, были сняты бомбодержатели в мотогондолах, смонтирован более совершенный радиополукомпас РПК-10, а колеса основных стоек шасси вынесли на 60 мм вперед путем удлинения подкосов. Последнее мероприятие позволило пилоту эффективно тормозить на пробеге, не опасаясь "клевка". Пустой опытный самолет получился примерно на 400 кг тяжелее серийного.</w:t>
      </w:r>
    </w:p>
    <w:p w14:paraId="77348A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Выявился перегрев масла, выброс его из суф- лерных трубок моторов при полете на высотах более 3000 м. В результате полетов получились следующие результаты:- значительно улучшились взлетно-по- садочные характеристики по сравнению с серийной машиной;</w:t>
      </w:r>
    </w:p>
    <w:p w14:paraId="359F6D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пилотажные свойства в основном остались как у обычного Пе-2 с М-105Р;</w:t>
      </w:r>
    </w:p>
    <w:p w14:paraId="402D55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на первой границе высотности (3250 м) получена максимальная скорость 545 км/ч, что хорошо согласовывалось с расчетным значением.</w:t>
      </w:r>
    </w:p>
    <w:p w14:paraId="2626D8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Позднее для улучшения температурных режимов силовой установки пришлось уменьшить проходное сечение в кольце капота, изменить конструкцию передних жалюзи, усилить юбки капота и всасывающий патрубок. Система питания двигателей маслом была переделана по типу Ту-2. После доработок максимальная скорость полета на первой границе высотности уменьшилась до 530 км/ч, зато температурные режимы моторов пришли в норму. Добиться нормальной работы двигателей на второй скорости нагнетателя не удалось из-за проблем с карбюратором АК-82. В полете на высотах более 4500 м возникала сильная тряска.</w:t>
      </w:r>
    </w:p>
    <w:p w14:paraId="3B4321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Моторы увеличенной мощности породили значительный разворачивающий момент при взлете. Пришлось установить на самолете несимметричный костыль для компенсации момента. Трудностей в процессе доводки встретилось много, и часть из них носила субъективный характер. По мнению старшего военпреда инженер-подполковника Романова, завод № 22 неоправданно затягивал отработку опытного самолета. В декабре 1942 г. Романов докладывал в ГУЗ и ТС ВВС:</w:t>
      </w:r>
    </w:p>
    <w:p w14:paraId="196C47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(главный конструктор и директор) не заинтересован в модернизации самолета Пе-2 на М-82. Работы, проводимые опытным цехом, делались наспех и лишь бы от них отделаться. ЛИС проводил испытания неорганизованно. В результате повторяются прежние дефекты...</w:t>
      </w:r>
    </w:p>
    <w:p w14:paraId="6A006C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Ведущий инженер Розенфельд медлителен, больше занимается вычислениями и отчетами, чем реальной работой. Прошу оказать воздействие..."</w:t>
      </w:r>
    </w:p>
    <w:p w14:paraId="2D4EF9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Главным объективным сдерживающим фактором была низкая надежность моторов М-82 ранних серий. Прошло шесть месяцев доработок и переделок, прежде чем завод № 22 рискнул выставить самолет на государственные испытания в НИИ ВВС. В периоде января по март 1943 г. майор Хрипков выполнил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М-Ю5ПФ.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49D72F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5F4DB2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42CF6F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2B06B5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3B6697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69CD0B5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A39E0E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сентября 1942 г. летчики 728-го гиа( капитан Д.Купин, старший лейтенант Н.Игнатьев, сержанты А.Боровых, А.Томильченко и группа техников были направлены в служебную ко мандировку в Москву, где они узнали, что ии предстоит провести фронтовые испытания истребителя И-185 конструкции Н.Н.Поликарпова. Все они прекрасно владели техникой пилотирования, имели достаточный фронтовой опыт. По прибытии в Москву фронтовики подр; ководством инженеров ОКБ Поликарпова в чение месяца занимались изучением материальной части, вел и подготовку и приемку И-185 для проведения испытаний. Заводской летчи испытатель П.Е.Логинов консультировал фронтовиков по практике пилотирования машин. Некоторые особенности конструкции поясн сам Поликарпов. В ходе тренировок каждый из пилотов выполнил по нескольку полетов в зону для от| ботки высшего пилотажа и отстрела пушек.</w:t>
      </w:r>
    </w:p>
    <w:p w14:paraId="1975C9E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конце сентября 1942 два самолета Ил-2 с двигателем АМ-38 завода № 30 самолетов — один (зав. № 30897) под пу</w:t>
      </w:r>
      <w:r w:rsidRPr="00722885">
        <w:rPr>
          <w:rFonts w:ascii="Times New Roman" w:hAnsi="Times New Roman"/>
          <w:color w:val="000000" w:themeColor="text1"/>
          <w:sz w:val="16"/>
          <w:szCs w:val="16"/>
        </w:rPr>
        <w:softHyphen/>
        <w:t>лемет ШКАС, второй (зав. № 30887) под пулемет УБТ были готовы и переданы в НИИ ВВС КА для прохождения государственных испытаний чтобы определить лучший вариант (10695).</w:t>
      </w:r>
    </w:p>
    <w:p w14:paraId="56CF373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686682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сентября 1942 г. был получен приказ: капи</w:t>
      </w:r>
      <w:r w:rsidRPr="00722885">
        <w:rPr>
          <w:rFonts w:ascii="Times New Roman" w:hAnsi="Times New Roman"/>
          <w:color w:val="000000" w:themeColor="text1"/>
          <w:sz w:val="16"/>
          <w:szCs w:val="16"/>
        </w:rPr>
        <w:softHyphen/>
        <w:t>тану Д.Купину, старшему лейтенанту Н.Игнатьеву, сержантам А.Боровых, А.Томильченко и группе техников отправиться в служебную командировку в Москву. В Москве летчики узнали, что им доверено провести фронтовые испытания истребителя И-185 конструкции Н.Н.Поликарпова. Все они прекрасно владели техникой пилотирова</w:t>
      </w:r>
      <w:r w:rsidRPr="00722885">
        <w:rPr>
          <w:rFonts w:ascii="Times New Roman" w:hAnsi="Times New Roman"/>
          <w:color w:val="000000" w:themeColor="text1"/>
          <w:sz w:val="16"/>
          <w:szCs w:val="16"/>
        </w:rPr>
        <w:softHyphen/>
        <w:t>ния, имели достаточный фронтовой опыт, бесстрашно вступали в бой с численно превосходящим противни</w:t>
      </w:r>
      <w:r w:rsidRPr="00722885">
        <w:rPr>
          <w:rFonts w:ascii="Times New Roman" w:hAnsi="Times New Roman"/>
          <w:color w:val="000000" w:themeColor="text1"/>
          <w:sz w:val="16"/>
          <w:szCs w:val="16"/>
        </w:rPr>
        <w:softHyphen/>
        <w:t>ком. Так, в июле 1942 г. восьмерка И-16 во главе с Н.П.Игнатьевым в районе Ржева встретилась с 70 вра</w:t>
      </w:r>
      <w:r w:rsidRPr="00722885">
        <w:rPr>
          <w:rFonts w:ascii="Times New Roman" w:hAnsi="Times New Roman"/>
          <w:color w:val="000000" w:themeColor="text1"/>
          <w:sz w:val="16"/>
          <w:szCs w:val="16"/>
        </w:rPr>
        <w:softHyphen/>
        <w:t>жескими самолетами. 54 бомбардировщика Юнкере Ju-88 под прикрытием 16 истребителей Мессершмитт Вf-109 шли к линии фронта. «Небо было черным от са</w:t>
      </w:r>
      <w:r w:rsidRPr="00722885">
        <w:rPr>
          <w:rFonts w:ascii="Times New Roman" w:hAnsi="Times New Roman"/>
          <w:color w:val="000000" w:themeColor="text1"/>
          <w:sz w:val="16"/>
          <w:szCs w:val="16"/>
        </w:rPr>
        <w:softHyphen/>
        <w:t>молетов», - вспоминал Игнатьев. Метким огнем удалось сбить шесть фашистских бомбардировщиков, осталь</w:t>
      </w:r>
      <w:r w:rsidRPr="00722885">
        <w:rPr>
          <w:rFonts w:ascii="Times New Roman" w:hAnsi="Times New Roman"/>
          <w:color w:val="000000" w:themeColor="text1"/>
          <w:sz w:val="16"/>
          <w:szCs w:val="16"/>
        </w:rPr>
        <w:softHyphen/>
        <w:t>ные повернули обратно. В завязавшемся воздушном бою уничтожили еще три «Мессершмитта». Наша вось</w:t>
      </w:r>
      <w:r w:rsidRPr="00722885">
        <w:rPr>
          <w:rFonts w:ascii="Times New Roman" w:hAnsi="Times New Roman"/>
          <w:color w:val="000000" w:themeColor="text1"/>
          <w:sz w:val="16"/>
          <w:szCs w:val="16"/>
        </w:rPr>
        <w:softHyphen/>
        <w:t>мерка без потерь вернулась на свой аэродром. За этот подвиг начальник штаба 3-й воздушной армии полковник Дагаев вручил каждому летчику орден Крас</w:t>
      </w:r>
      <w:r w:rsidRPr="00722885">
        <w:rPr>
          <w:rFonts w:ascii="Times New Roman" w:hAnsi="Times New Roman"/>
          <w:color w:val="000000" w:themeColor="text1"/>
          <w:sz w:val="16"/>
          <w:szCs w:val="16"/>
        </w:rPr>
        <w:softHyphen/>
        <w:t>ной Звезды. Николай Николаевич тепло встретил прибывших фронтовиков, расспрашивал о боевых действиях на фронте, о том, какие доработки по их мнению необхо</w:t>
      </w:r>
      <w:r w:rsidRPr="00722885">
        <w:rPr>
          <w:rFonts w:ascii="Times New Roman" w:hAnsi="Times New Roman"/>
          <w:color w:val="000000" w:themeColor="text1"/>
          <w:sz w:val="16"/>
          <w:szCs w:val="16"/>
        </w:rPr>
        <w:softHyphen/>
        <w:t>димо сделать в ремонтируемых И-16. Пожелания в ос</w:t>
      </w:r>
      <w:r w:rsidRPr="00722885">
        <w:rPr>
          <w:rFonts w:ascii="Times New Roman" w:hAnsi="Times New Roman"/>
          <w:color w:val="000000" w:themeColor="text1"/>
          <w:sz w:val="16"/>
          <w:szCs w:val="16"/>
        </w:rPr>
        <w:softHyphen/>
        <w:t>новном сводились к установке реактивных снарядов РС-82, так как на фронте качество выполнения подоб</w:t>
      </w:r>
      <w:r w:rsidRPr="00722885">
        <w:rPr>
          <w:rFonts w:ascii="Times New Roman" w:hAnsi="Times New Roman"/>
          <w:color w:val="000000" w:themeColor="text1"/>
          <w:sz w:val="16"/>
          <w:szCs w:val="16"/>
        </w:rPr>
        <w:softHyphen/>
        <w:t>ных работ снижалось. Согласившись с этим, Поликар</w:t>
      </w:r>
      <w:r w:rsidRPr="00722885">
        <w:rPr>
          <w:rFonts w:ascii="Times New Roman" w:hAnsi="Times New Roman"/>
          <w:color w:val="000000" w:themeColor="text1"/>
          <w:sz w:val="16"/>
          <w:szCs w:val="16"/>
        </w:rPr>
        <w:softHyphen/>
        <w:t>пов заметил, что квалифицированных кадров на заводе мало - работают в основном пятнадцатилетние подро</w:t>
      </w:r>
      <w:r w:rsidRPr="00722885">
        <w:rPr>
          <w:rFonts w:ascii="Times New Roman" w:hAnsi="Times New Roman"/>
          <w:color w:val="000000" w:themeColor="text1"/>
          <w:sz w:val="16"/>
          <w:szCs w:val="16"/>
        </w:rPr>
        <w:softHyphen/>
        <w:t>стки. Он попросил механиков помочь обучить их мон</w:t>
      </w:r>
      <w:r w:rsidRPr="00722885">
        <w:rPr>
          <w:rFonts w:ascii="Times New Roman" w:hAnsi="Times New Roman"/>
          <w:color w:val="000000" w:themeColor="text1"/>
          <w:sz w:val="16"/>
          <w:szCs w:val="16"/>
        </w:rPr>
        <w:softHyphen/>
        <w:t>тажу установок для РС-82. «Работа закипела. Мальчишки лет 14-15 оказались весьма сообразительными и умелыми, — вспоминал один из фронтовых техников Л.Офенгейм. - В переры</w:t>
      </w:r>
      <w:r w:rsidRPr="00722885">
        <w:rPr>
          <w:rFonts w:ascii="Times New Roman" w:hAnsi="Times New Roman"/>
          <w:color w:val="000000" w:themeColor="text1"/>
          <w:sz w:val="16"/>
          <w:szCs w:val="16"/>
        </w:rPr>
        <w:softHyphen/>
        <w:t>вах между изучением и приемкой самолетов И-185 я с моими юными помощниками оборудовал несколько ре</w:t>
      </w:r>
      <w:r w:rsidRPr="00722885">
        <w:rPr>
          <w:rFonts w:ascii="Times New Roman" w:hAnsi="Times New Roman"/>
          <w:color w:val="000000" w:themeColor="text1"/>
          <w:sz w:val="16"/>
          <w:szCs w:val="16"/>
        </w:rPr>
        <w:softHyphen/>
        <w:t>монтировавшихся самолетов И-16 установками для ре</w:t>
      </w:r>
      <w:r w:rsidRPr="00722885">
        <w:rPr>
          <w:rFonts w:ascii="Times New Roman" w:hAnsi="Times New Roman"/>
          <w:color w:val="000000" w:themeColor="text1"/>
          <w:sz w:val="16"/>
          <w:szCs w:val="16"/>
        </w:rPr>
        <w:softHyphen/>
        <w:t>активных снарядов. После этого по готовым схемам и стапелям подростки успешно стали делать самостоятельное вооружение И-16 реактивными снарядами. Мне никогда не забыть этих замечательных мальчишек, жад</w:t>
      </w:r>
      <w:r w:rsidRPr="00722885">
        <w:rPr>
          <w:rFonts w:ascii="Times New Roman" w:hAnsi="Times New Roman"/>
          <w:color w:val="000000" w:themeColor="text1"/>
          <w:sz w:val="16"/>
          <w:szCs w:val="16"/>
        </w:rPr>
        <w:softHyphen/>
        <w:t>но интересовавшихся нашими фронтовыми буднями, старательно работавших, заменивших своих отцов, ушедших на фронт. В дни, когда Родине было трудно, их фронт был на авиационном заводе». Николай Николаевич попросил летчиков помочь с испытаниями И-16 после капитального ремонта. Один из полетов чуть не закончился аварией: не выпустилась стойка шасси. Но Н.П.Игнатьев сумел посадить самолет «на брюхо» с минимальными повреждениями. Но главным оставалось изучение материальной час</w:t>
      </w:r>
      <w:r w:rsidRPr="00722885">
        <w:rPr>
          <w:rFonts w:ascii="Times New Roman" w:hAnsi="Times New Roman"/>
          <w:color w:val="000000" w:themeColor="text1"/>
          <w:sz w:val="16"/>
          <w:szCs w:val="16"/>
        </w:rPr>
        <w:softHyphen/>
        <w:t>ти, подготовка И-185 для проведения испытаний. Нико</w:t>
      </w:r>
      <w:r w:rsidRPr="00722885">
        <w:rPr>
          <w:rFonts w:ascii="Times New Roman" w:hAnsi="Times New Roman"/>
          <w:color w:val="000000" w:themeColor="text1"/>
          <w:sz w:val="16"/>
          <w:szCs w:val="16"/>
        </w:rPr>
        <w:softHyphen/>
        <w:t>лай Николаевич прикрепил к фронтовым летчикам и техникам инженера из ОКБ, под руководством которого проводилось изучение самолета. Некоторые особеннос</w:t>
      </w:r>
      <w:r w:rsidRPr="00722885">
        <w:rPr>
          <w:rFonts w:ascii="Times New Roman" w:hAnsi="Times New Roman"/>
          <w:color w:val="000000" w:themeColor="text1"/>
          <w:sz w:val="16"/>
          <w:szCs w:val="16"/>
        </w:rPr>
        <w:softHyphen/>
        <w:t>ти конструкции пояснял сам Поликарпов. П.Е.Логинов консультировал фронтовиков по практике пилотирова</w:t>
      </w:r>
      <w:r w:rsidRPr="00722885">
        <w:rPr>
          <w:rFonts w:ascii="Times New Roman" w:hAnsi="Times New Roman"/>
          <w:color w:val="000000" w:themeColor="text1"/>
          <w:sz w:val="16"/>
          <w:szCs w:val="16"/>
        </w:rPr>
        <w:softHyphen/>
        <w:t>ния машины. Летчики сделали по одной рулежке по аэ</w:t>
      </w:r>
      <w:r w:rsidRPr="00722885">
        <w:rPr>
          <w:rFonts w:ascii="Times New Roman" w:hAnsi="Times New Roman"/>
          <w:color w:val="000000" w:themeColor="text1"/>
          <w:sz w:val="16"/>
          <w:szCs w:val="16"/>
        </w:rPr>
        <w:softHyphen/>
        <w:t>родрому, после чего выполнили по два полета по кругу, в зону для высшего пилотажа и для отстрела пушек. В конце ноября началась подготовка к вылету на фронт (10667).</w:t>
      </w:r>
    </w:p>
    <w:p w14:paraId="4D56E0A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8F57F3A"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конце сентября 1942 появился второй отчёт по войсковым испытаниям самолёта Ла-5, теперь уже по опыту боевой работы 287-й иад:</w:t>
      </w:r>
    </w:p>
    <w:p w14:paraId="1D1E80A8"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«За период с 20 августа по 13 сентября 1942 года частями 287 ИАД выполнено 226 самолёто-вылетов на разведку войск противника и 571 самолёто-вылет на прикрытие войск и перехват самолётов противника. В результате воздушных боев сбито: бом</w:t>
      </w:r>
      <w:r w:rsidRPr="00722885">
        <w:rPr>
          <w:rFonts w:ascii="Times New Roman" w:cs="Times New Roman"/>
          <w:color w:val="000000" w:themeColor="text1"/>
          <w:spacing w:val="0"/>
        </w:rPr>
        <w:softHyphen/>
        <w:t xml:space="preserve">бардировщиков — 51, истребителей </w:t>
      </w:r>
      <w:r w:rsidRPr="00722885">
        <w:rPr>
          <w:rFonts w:ascii="Times New Roman" w:cs="Times New Roman"/>
          <w:color w:val="000000" w:themeColor="text1"/>
          <w:spacing w:val="0"/>
          <w:lang w:val="en-US"/>
        </w:rPr>
        <w:t>Me</w:t>
      </w:r>
      <w:r w:rsidRPr="00722885">
        <w:rPr>
          <w:rFonts w:ascii="Times New Roman" w:cs="Times New Roman"/>
          <w:color w:val="000000" w:themeColor="text1"/>
          <w:spacing w:val="0"/>
        </w:rPr>
        <w:t>-109 — 19 и Ме-109Ф — 17.</w:t>
      </w:r>
    </w:p>
    <w:p w14:paraId="363A636E"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На Сталинградском фронте самолёты Ла-5 с М-82 вели бои с немецкими истреби</w:t>
      </w:r>
      <w:r w:rsidRPr="00722885">
        <w:rPr>
          <w:rFonts w:ascii="Times New Roman" w:cs="Times New Roman"/>
          <w:color w:val="000000" w:themeColor="text1"/>
          <w:spacing w:val="0"/>
        </w:rPr>
        <w:softHyphen/>
        <w:t>телями Ме-109Ф-4 с мотором ДБ-601Е и Ме-109Г-2 с мотором ДБ-605А1, а также с бомбардировщиками Ю-88, Ю-87, Ме-110, Хе-111.</w:t>
      </w:r>
    </w:p>
    <w:p w14:paraId="790547DA"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воздушном бою с немецкими самолётами Ме-109Ф-4 и Ме-109Г-2 самолёт Ла-5 значительно уступает им как по вертикальному маневру, так и по горизонтальной скоро</w:t>
      </w:r>
      <w:r w:rsidRPr="00722885">
        <w:rPr>
          <w:rFonts w:ascii="Times New Roman" w:cs="Times New Roman"/>
          <w:color w:val="000000" w:themeColor="text1"/>
          <w:spacing w:val="0"/>
        </w:rPr>
        <w:softHyphen/>
        <w:t>сти. В результате чего Ла-5 не может вести с немецкими истребителями Ме-109Ф-4 и Ме-109Г-2 активного воздушного боя, а вынужден вести оборонительный бой.</w:t>
      </w:r>
    </w:p>
    <w:p w14:paraId="5AA26EAE"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воздушном бою с немецкими самолётами Ю-88, Ме-110 и Хе-111 самолёт Ла-5 отвечает всем требованиям современного истребителя по скорости и маневру. Воо</w:t>
      </w:r>
      <w:r w:rsidRPr="00722885">
        <w:rPr>
          <w:rFonts w:ascii="Times New Roman" w:cs="Times New Roman"/>
          <w:color w:val="000000" w:themeColor="text1"/>
          <w:spacing w:val="0"/>
        </w:rPr>
        <w:softHyphen/>
        <w:t>ружение требует усиления мощности огня...</w:t>
      </w:r>
    </w:p>
    <w:p w14:paraId="247CE60D"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Моторы М-82 в процессе боевой работы эксплуатировались на топливе 4Б-78 и ма</w:t>
      </w:r>
      <w:r w:rsidRPr="00722885">
        <w:rPr>
          <w:rFonts w:ascii="Times New Roman" w:cs="Times New Roman"/>
          <w:color w:val="000000" w:themeColor="text1"/>
          <w:spacing w:val="0"/>
        </w:rPr>
        <w:softHyphen/>
        <w:t>сле МК. По характеру боевой работы (разведка с бреющего полёта, воздушный бой с бомбардировщиками и истребителями и патрулирование) моторы большую часть вре</w:t>
      </w:r>
      <w:r w:rsidRPr="00722885">
        <w:rPr>
          <w:rFonts w:ascii="Times New Roman" w:cs="Times New Roman"/>
          <w:color w:val="000000" w:themeColor="text1"/>
          <w:spacing w:val="0"/>
        </w:rPr>
        <w:softHyphen/>
        <w:t>мени работали на номинальном режиме... Течь масла из-под крышек клапанных коро</w:t>
      </w:r>
      <w:r w:rsidRPr="00722885">
        <w:rPr>
          <w:rFonts w:ascii="Times New Roman" w:cs="Times New Roman"/>
          <w:color w:val="000000" w:themeColor="text1"/>
          <w:spacing w:val="0"/>
        </w:rPr>
        <w:softHyphen/>
        <w:t>бок, из подшипника оси коромысел, из-под гайки кожухов тяг толкателей. Выбивание масла из-под агрегатов задней крышки мотора и в соединениях маслосистемы. Из-за этого возвращались с боевого задания, так как козырек весь забрызгивает маслом, и самолёт становится слепым...»</w:t>
      </w:r>
    </w:p>
    <w:p w14:paraId="66923638"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результате сделали вывод, что: «Самолёт Ла-5 с мотором М-82 вследствие боль</w:t>
      </w:r>
      <w:r w:rsidRPr="00722885">
        <w:rPr>
          <w:rFonts w:ascii="Times New Roman" w:cs="Times New Roman"/>
          <w:color w:val="000000" w:themeColor="text1"/>
          <w:spacing w:val="0"/>
        </w:rPr>
        <w:softHyphen/>
        <w:t xml:space="preserve">шой удельной нагрузки на крыло значительно уступает в воздушном бою немецким истребителям </w:t>
      </w:r>
      <w:r w:rsidRPr="00722885">
        <w:rPr>
          <w:rFonts w:ascii="Times New Roman" w:cs="Times New Roman"/>
          <w:color w:val="000000" w:themeColor="text1"/>
          <w:spacing w:val="0"/>
          <w:lang w:val="en-US"/>
        </w:rPr>
        <w:t>Me</w:t>
      </w:r>
      <w:r w:rsidRPr="00722885">
        <w:rPr>
          <w:rFonts w:ascii="Times New Roman" w:cs="Times New Roman"/>
          <w:color w:val="000000" w:themeColor="text1"/>
          <w:spacing w:val="0"/>
        </w:rPr>
        <w:t>-109</w:t>
      </w:r>
      <w:r w:rsidRPr="00722885">
        <w:rPr>
          <w:rFonts w:ascii="Times New Roman" w:cs="Times New Roman"/>
          <w:color w:val="000000" w:themeColor="text1"/>
          <w:spacing w:val="0"/>
          <w:lang w:val="en-US"/>
        </w:rPr>
        <w:t>F</w:t>
      </w:r>
      <w:r w:rsidRPr="00722885">
        <w:rPr>
          <w:rFonts w:ascii="Times New Roman" w:cs="Times New Roman"/>
          <w:color w:val="000000" w:themeColor="text1"/>
          <w:spacing w:val="0"/>
        </w:rPr>
        <w:t xml:space="preserve">-4 и </w:t>
      </w:r>
      <w:r w:rsidRPr="00722885">
        <w:rPr>
          <w:rFonts w:ascii="Times New Roman" w:cs="Times New Roman"/>
          <w:color w:val="000000" w:themeColor="text1"/>
          <w:spacing w:val="0"/>
          <w:lang w:val="en-US"/>
        </w:rPr>
        <w:t>Me</w:t>
      </w:r>
      <w:r w:rsidRPr="00722885">
        <w:rPr>
          <w:rFonts w:ascii="Times New Roman" w:cs="Times New Roman"/>
          <w:color w:val="000000" w:themeColor="text1"/>
          <w:spacing w:val="0"/>
        </w:rPr>
        <w:t>-109</w:t>
      </w:r>
      <w:r w:rsidRPr="00722885">
        <w:rPr>
          <w:rFonts w:ascii="Times New Roman" w:cs="Times New Roman"/>
          <w:color w:val="000000" w:themeColor="text1"/>
          <w:spacing w:val="0"/>
          <w:lang w:val="en-US"/>
        </w:rPr>
        <w:t>G</w:t>
      </w:r>
      <w:r w:rsidRPr="00722885">
        <w:rPr>
          <w:rFonts w:ascii="Times New Roman" w:cs="Times New Roman"/>
          <w:color w:val="000000" w:themeColor="text1"/>
          <w:spacing w:val="0"/>
        </w:rPr>
        <w:t>-2 как по вертикальному маневру, так и по гори</w:t>
      </w:r>
      <w:r w:rsidRPr="00722885">
        <w:rPr>
          <w:rFonts w:ascii="Times New Roman" w:cs="Times New Roman"/>
          <w:color w:val="000000" w:themeColor="text1"/>
          <w:spacing w:val="0"/>
        </w:rPr>
        <w:softHyphen/>
        <w:t>зонтальной скорости.</w:t>
      </w:r>
    </w:p>
    <w:p w14:paraId="1236F6B6"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Самолёт Ла-5 может вести воздушный бой с указанными немецкими истребителя</w:t>
      </w:r>
      <w:r w:rsidRPr="00722885">
        <w:rPr>
          <w:rFonts w:ascii="Times New Roman" w:cs="Times New Roman"/>
          <w:color w:val="000000" w:themeColor="text1"/>
          <w:spacing w:val="0"/>
        </w:rPr>
        <w:softHyphen/>
        <w:t>ми — только оборонительный, так как, имея превосходство в горизонтальной скорости и вертикальном маневре истребители противника имеют большое преимущество в вы</w:t>
      </w:r>
      <w:r w:rsidRPr="00722885">
        <w:rPr>
          <w:rFonts w:ascii="Times New Roman" w:cs="Times New Roman"/>
          <w:color w:val="000000" w:themeColor="text1"/>
          <w:spacing w:val="0"/>
        </w:rPr>
        <w:softHyphen/>
        <w:t>боре наивыгоднейших позиций для атаки, что дает возможность их численно меньшей группе сковывать численно превосходящую группу самолётов Ла-5 и навязывать ей бой на выгодных для себя условиях...» (15813).</w:t>
      </w:r>
    </w:p>
    <w:p w14:paraId="61A35AF7"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p>
    <w:p w14:paraId="52E58E12"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конце сентября 1942 был отчёте о командировке в 287-ю иад ст. л-та Тимошенко А.Д.:</w:t>
      </w:r>
    </w:p>
    <w:p w14:paraId="4B88284C"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«Мотор М-82 лётным составом эксплуатировался всё время на номинальном и взлёт</w:t>
      </w:r>
      <w:r w:rsidRPr="00722885">
        <w:rPr>
          <w:rFonts w:ascii="Times New Roman" w:cs="Times New Roman"/>
          <w:color w:val="000000" w:themeColor="text1"/>
          <w:spacing w:val="0"/>
        </w:rPr>
        <w:softHyphen/>
        <w:t>ном режимах, в результате чего ни один мотор по причине износа газоуплотнительных поршневых колец не выработал своего ресурса и, как правило, выходил из строя после 35-40 часов. За время эксплуатации моторы работали хорошо, но имели ряд дефектов...</w:t>
      </w:r>
    </w:p>
    <w:p w14:paraId="417ECAB2"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За время с 18 августа по 21 октября было 46 случаев возврата самолётов с боевого задания по причине неисправности моторов и 26 случаев невозвращения самолётов по неизвестным причинам, всего на 21 октября в дивизии от 110 самолётов осталось только 12 самолётов, из них 4 самолёта без моторов...</w:t>
      </w:r>
    </w:p>
    <w:p w14:paraId="3832D566"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Дивизия была укомплектована самолётами и лётным составом перед самым вылетом на фронт. Лётный состав не имел должной тренировки на самолётах Ла-5 и на фронт прибыл впервые, не имея боевого опыта, что серьезно отразилось на выход матчасти из строя. Не имея знаний матчасти, лётный состав во время ведения боя придерживал</w:t>
      </w:r>
      <w:r w:rsidRPr="00722885">
        <w:rPr>
          <w:rFonts w:ascii="Times New Roman" w:cs="Times New Roman"/>
          <w:color w:val="000000" w:themeColor="text1"/>
          <w:spacing w:val="0"/>
        </w:rPr>
        <w:softHyphen/>
        <w:t>ся низких высот, не используя преимущество мотора М-82, что давало возможность ис</w:t>
      </w:r>
      <w:r w:rsidRPr="00722885">
        <w:rPr>
          <w:rFonts w:ascii="Times New Roman" w:cs="Times New Roman"/>
          <w:color w:val="000000" w:themeColor="text1"/>
          <w:spacing w:val="0"/>
        </w:rPr>
        <w:softHyphen/>
        <w:t>требителям противника находиться выше наших самолётов. Не имея боевого опыта, лётный состав бросал ведущий самолёт в бою, уход из боя мотивировал неисправно</w:t>
      </w:r>
      <w:r w:rsidRPr="00722885">
        <w:rPr>
          <w:rFonts w:ascii="Times New Roman" w:cs="Times New Roman"/>
          <w:color w:val="000000" w:themeColor="text1"/>
          <w:spacing w:val="0"/>
        </w:rPr>
        <w:softHyphen/>
        <w:t>стью мотора, что никогда не подтверждалось, или потерей ведущего самолёта...</w:t>
      </w:r>
    </w:p>
    <w:p w14:paraId="11316F84"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Причина потерь самолётов:</w:t>
      </w:r>
    </w:p>
    <w:p w14:paraId="308FDD0B"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причине неимения боевого опыта лётным составом</w:t>
      </w:r>
      <w:r w:rsidRPr="00722885">
        <w:rPr>
          <w:rFonts w:ascii="Times New Roman" w:cs="Times New Roman"/>
          <w:color w:val="000000" w:themeColor="text1"/>
          <w:spacing w:val="0"/>
        </w:rPr>
        <w:tab/>
        <w:t>- 20%</w:t>
      </w:r>
    </w:p>
    <w:p w14:paraId="1A1FAA6B"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причине незнания мат.части лётным составом</w:t>
      </w:r>
      <w:r w:rsidRPr="00722885">
        <w:rPr>
          <w:rFonts w:ascii="Times New Roman" w:cs="Times New Roman"/>
          <w:color w:val="000000" w:themeColor="text1"/>
          <w:spacing w:val="0"/>
        </w:rPr>
        <w:tab/>
        <w:t>- 10%</w:t>
      </w:r>
    </w:p>
    <w:p w14:paraId="4BD97FEC"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причине незнания мат.части техническим составом</w:t>
      </w:r>
      <w:r w:rsidRPr="00722885">
        <w:rPr>
          <w:rFonts w:ascii="Times New Roman" w:cs="Times New Roman"/>
          <w:color w:val="000000" w:themeColor="text1"/>
          <w:spacing w:val="0"/>
        </w:rPr>
        <w:tab/>
        <w:t>- 10%</w:t>
      </w:r>
    </w:p>
    <w:p w14:paraId="720D4B49"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причине дефектов завода 21</w:t>
      </w:r>
      <w:r w:rsidRPr="00722885">
        <w:rPr>
          <w:rFonts w:ascii="Times New Roman" w:cs="Times New Roman"/>
          <w:color w:val="000000" w:themeColor="text1"/>
          <w:spacing w:val="0"/>
        </w:rPr>
        <w:tab/>
        <w:t xml:space="preserve">- 15% </w:t>
      </w:r>
    </w:p>
    <w:p w14:paraId="030E2576"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причине дефектов завода 21</w:t>
      </w:r>
      <w:r w:rsidRPr="00722885">
        <w:rPr>
          <w:rFonts w:ascii="Times New Roman" w:cs="Times New Roman"/>
          <w:color w:val="000000" w:themeColor="text1"/>
          <w:spacing w:val="0"/>
        </w:rPr>
        <w:tab/>
        <w:t>- 15%</w:t>
      </w:r>
    </w:p>
    <w:p w14:paraId="50BFCFBF"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причине дефектов завода 19</w:t>
      </w:r>
      <w:r w:rsidRPr="00722885">
        <w:rPr>
          <w:rFonts w:ascii="Times New Roman" w:cs="Times New Roman"/>
          <w:color w:val="000000" w:themeColor="text1"/>
          <w:spacing w:val="0"/>
        </w:rPr>
        <w:tab/>
        <w:t>- 5%</w:t>
      </w:r>
    </w:p>
    <w:p w14:paraId="6991AED9"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Потери в боях</w:t>
      </w:r>
      <w:r w:rsidRPr="00722885">
        <w:rPr>
          <w:rFonts w:ascii="Times New Roman" w:cs="Times New Roman"/>
          <w:color w:val="000000" w:themeColor="text1"/>
          <w:spacing w:val="0"/>
        </w:rPr>
        <w:tab/>
        <w:t>- 40%</w:t>
      </w:r>
    </w:p>
    <w:p w14:paraId="14EDB139"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Лётный состав дивизии считает самолёт Ла-5 современным истребителем. На само</w:t>
      </w:r>
      <w:r w:rsidRPr="00722885">
        <w:rPr>
          <w:rFonts w:ascii="Times New Roman" w:cs="Times New Roman"/>
          <w:color w:val="000000" w:themeColor="text1"/>
          <w:spacing w:val="0"/>
        </w:rPr>
        <w:softHyphen/>
        <w:t>лёте Ла-5 можно вести борьбу со всеми самолётами противника, за исключением истре</w:t>
      </w:r>
      <w:r w:rsidRPr="00722885">
        <w:rPr>
          <w:rFonts w:ascii="Times New Roman" w:cs="Times New Roman"/>
          <w:color w:val="000000" w:themeColor="text1"/>
          <w:spacing w:val="0"/>
        </w:rPr>
        <w:softHyphen/>
        <w:t>бителя противника Мессершмитт 109-Ф-З, который имеет преимущество по вертикаль</w:t>
      </w:r>
      <w:r w:rsidRPr="00722885">
        <w:rPr>
          <w:rFonts w:ascii="Times New Roman" w:cs="Times New Roman"/>
          <w:color w:val="000000" w:themeColor="text1"/>
          <w:spacing w:val="0"/>
        </w:rPr>
        <w:softHyphen/>
        <w:t>ной и горизонтальной скоростям. Инженерно-технический состав дивизии считает, что мотор М-82 является современным, требующим серьёзного знания матчасти мотора для его эксплуатации. При правильной эксплуатации мотор работает безотказно...» (15813).</w:t>
      </w:r>
    </w:p>
    <w:p w14:paraId="7DB48AE1" w14:textId="77777777" w:rsidR="00511E5F" w:rsidRPr="00722885" w:rsidRDefault="00511E5F" w:rsidP="00722885">
      <w:pPr>
        <w:pStyle w:val="27"/>
        <w:shd w:val="clear" w:color="auto" w:fill="auto"/>
        <w:spacing w:after="0" w:line="240" w:lineRule="auto"/>
        <w:ind w:firstLine="0"/>
        <w:rPr>
          <w:rFonts w:ascii="Times New Roman" w:cs="Times New Roman"/>
          <w:color w:val="000000" w:themeColor="text1"/>
          <w:spacing w:val="0"/>
        </w:rPr>
      </w:pPr>
    </w:p>
    <w:p w14:paraId="1240DC4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D4EE05D" w14:textId="77777777" w:rsidR="00090C9B" w:rsidRPr="00722885" w:rsidRDefault="00090C9B" w:rsidP="00722885">
      <w:pPr>
        <w:pStyle w:val="Iauiue"/>
        <w:jc w:val="both"/>
        <w:rPr>
          <w:iCs/>
          <w:color w:val="000000" w:themeColor="text1"/>
          <w:sz w:val="16"/>
          <w:szCs w:val="16"/>
        </w:rPr>
      </w:pPr>
    </w:p>
    <w:p w14:paraId="36022A7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сентября 1942 г. танк КВ-13 показали наркому И. Зальцману. Но уже к этому моменту (еще до проведения ходовых испытаний) в танке отмечались следующие недо</w:t>
      </w:r>
      <w:r w:rsidRPr="00722885">
        <w:rPr>
          <w:rFonts w:ascii="Times New Roman" w:hAnsi="Times New Roman"/>
          <w:color w:val="000000" w:themeColor="text1"/>
          <w:sz w:val="16"/>
          <w:szCs w:val="16"/>
        </w:rPr>
        <w:softHyphen/>
        <w:t>статки: «недостаточный обзор... и чрезмерная загруженность командира танка» (10782).</w:t>
      </w:r>
    </w:p>
    <w:p w14:paraId="0C234F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1A8E84C" w14:textId="77777777" w:rsidR="00DC353C" w:rsidRPr="00722885" w:rsidRDefault="00DC353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В конце сентября 1942 на испытания вышел </w:t>
      </w:r>
      <w:hyperlink r:id="rId120" w:history="1">
        <w:r w:rsidRPr="00722885">
          <w:rPr>
            <w:rFonts w:ascii="Times New Roman" w:eastAsia="Times New Roman" w:hAnsi="Times New Roman"/>
            <w:color w:val="000000" w:themeColor="text1"/>
            <w:sz w:val="16"/>
            <w:szCs w:val="16"/>
            <w:lang w:eastAsia="ru-RU"/>
          </w:rPr>
          <w:t>КВ-13</w:t>
        </w:r>
      </w:hyperlink>
      <w:r w:rsidRPr="00722885">
        <w:rPr>
          <w:rFonts w:ascii="Times New Roman" w:eastAsia="Times New Roman" w:hAnsi="Times New Roman"/>
          <w:color w:val="000000" w:themeColor="text1"/>
          <w:sz w:val="16"/>
          <w:szCs w:val="16"/>
          <w:lang w:eastAsia="ru-RU"/>
        </w:rPr>
        <w:t>, у ЧКЗ хватало забот по обеспечению запуска в серию КВ-1с, никуда не девалась и тема Т-34. В сентябре 1942 года нарком танковой промышленности И.М. Зальцман отправил в Челябинск предписание прекратить все опытные работы и сосредоточиться на организации производства Т-34. Неудивительно, что работы по теме тяжелой самоходной установки в Челябинске первое время продвигались крайне медленно. Так о них в своих мемуарах писал Н.Ф. Шашмурин:</w:t>
      </w:r>
    </w:p>
    <w:p w14:paraId="07E47DF6" w14:textId="77777777" w:rsidR="00DC353C" w:rsidRPr="00722885" w:rsidRDefault="00DC353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r w:rsidRPr="00722885">
        <w:rPr>
          <w:rFonts w:ascii="Times New Roman" w:eastAsia="Times New Roman" w:hAnsi="Times New Roman"/>
          <w:iCs/>
          <w:color w:val="000000" w:themeColor="text1"/>
          <w:sz w:val="16"/>
          <w:szCs w:val="16"/>
          <w:lang w:eastAsia="ru-RU"/>
        </w:rPr>
        <w:t>К вопросу о разработке СУ-152. Совсем не безразлично, на какой базе осуществляется эта задача. В наш коллектив прислали инженера Троянова Л.С., который произвел эскизную компоновку на платформе на восьми парах опорных катков с использованием элементов танка КВ-1С.</w:t>
      </w:r>
    </w:p>
    <w:p w14:paraId="63C0EB61" w14:textId="77777777" w:rsidR="00DC353C" w:rsidRPr="00722885" w:rsidRDefault="00DC353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xml:space="preserve">Заканчивался 1942 год. Понятно, что такое решение являлось чистейшим абсурдом. Нас могло устраивать только решение с сохранением основной базы КВ-1С. Котин пришел ко мне в отдел, нарисовал картинку – на КВ-1С установлена пушка калибра 152 мм, вместо башни – рубка по типу КВ-7. Конечно, это единственно правильное решение. Задание: “к 3-м часам ночи проработать возможность такого варианта”. Оставил эскиз пушки, который ему привез Рыбин Г.Н. от Петрова Ф.Ф.. Компоновку мы подготовили к утру. Исполнители: Федорчук Н.Т., Зельцер М.И. Получилось с сильной перегрузкой передних подвесок ходовой части и излишним выступанием пушки вперед. На совещании ведущих конструкторов разных мнений не было. При исполнении этого задания основная трудность была возложена на корпусников по </w:t>
      </w:r>
      <w:r w:rsidRPr="00722885">
        <w:rPr>
          <w:rFonts w:ascii="Times New Roman" w:eastAsia="Times New Roman" w:hAnsi="Times New Roman"/>
          <w:iCs/>
          <w:color w:val="000000" w:themeColor="text1"/>
          <w:sz w:val="16"/>
          <w:szCs w:val="16"/>
          <w:lang w:eastAsia="ru-RU"/>
        </w:rPr>
        <w:lastRenderedPageBreak/>
        <w:t>главе с Таротько В.И. и артиллеристов во главе с Петровым Ф.Ф., машина КВ-1С и основное производство были сохранены. Общий объем проектных и производственных работ был невелик и через месяц опытный образец СУ-152 был готов».</w:t>
      </w:r>
    </w:p>
    <w:p w14:paraId="7B12DE19" w14:textId="77777777" w:rsidR="00DC353C" w:rsidRPr="00722885" w:rsidRDefault="00DC353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Как можно понять из этого отрывка, первоначальный проект тяжёлой САУ несколько отличался о того, что получилось в итоге. А реальное ускорение работ по этой теме началось никак не раньше самого конца 1942 года. Об этом прямо говорит чертежный индекс будущей СУ-152. Машина получила внутренний номер 236, а номер 234 получил вариант КВ-13 с гаубицей У-11 (активность по этой машине началась примерно в декабре 1942 года). Следующий номер 235 получил огнемётный танк КВ-8с. Что же касается установки с номером «236», позже получившей индекс КВ-14 (также изредка использовался индекс СУ-14), то по ней работы в авральном режиме активизировались ближе к концу декабря. Причины этой активизации оказались теми же, в связи с которыми этот проект в принципе возник – явные проблемы с разработкой ЗИК-20 (17696).</w:t>
      </w:r>
    </w:p>
    <w:p w14:paraId="1DDF5A92" w14:textId="77777777" w:rsidR="00DC353C" w:rsidRPr="00722885" w:rsidRDefault="00DC353C" w:rsidP="00722885">
      <w:pPr>
        <w:spacing w:after="0" w:line="240" w:lineRule="auto"/>
        <w:jc w:val="both"/>
        <w:rPr>
          <w:rFonts w:ascii="Times New Roman" w:hAnsi="Times New Roman"/>
          <w:color w:val="000000" w:themeColor="text1"/>
          <w:sz w:val="16"/>
          <w:szCs w:val="16"/>
        </w:rPr>
      </w:pPr>
    </w:p>
    <w:p w14:paraId="04E6598E" w14:textId="77777777" w:rsidR="00EB4546" w:rsidRPr="00722885" w:rsidRDefault="00EB4546" w:rsidP="00722885">
      <w:pPr>
        <w:pStyle w:val="1162"/>
        <w:shd w:val="clear" w:color="auto" w:fill="auto"/>
        <w:spacing w:after="0" w:line="240" w:lineRule="auto"/>
        <w:ind w:firstLine="0"/>
        <w:jc w:val="both"/>
        <w:rPr>
          <w:rStyle w:val="930"/>
          <w:rFonts w:ascii="Times New Roman" w:hAnsi="Times New Roman" w:cs="Times New Roman"/>
          <w:color w:val="0070C0"/>
          <w:sz w:val="16"/>
          <w:szCs w:val="16"/>
        </w:rPr>
      </w:pPr>
      <w:r w:rsidRPr="00722885">
        <w:rPr>
          <w:rStyle w:val="930"/>
          <w:rFonts w:ascii="Times New Roman" w:hAnsi="Times New Roman" w:cs="Times New Roman"/>
          <w:color w:val="0070C0"/>
          <w:sz w:val="16"/>
          <w:szCs w:val="16"/>
          <w:lang w:val="ru-RU"/>
        </w:rPr>
        <w:t>К</w:t>
      </w:r>
      <w:r w:rsidRPr="00722885">
        <w:rPr>
          <w:rStyle w:val="930"/>
          <w:rFonts w:ascii="Times New Roman" w:hAnsi="Times New Roman" w:cs="Times New Roman"/>
          <w:color w:val="0070C0"/>
          <w:sz w:val="16"/>
          <w:szCs w:val="16"/>
        </w:rPr>
        <w:t xml:space="preserve"> концу сентября 1942 года</w:t>
      </w:r>
      <w:r w:rsidRPr="00722885">
        <w:rPr>
          <w:rStyle w:val="930"/>
          <w:rFonts w:ascii="Times New Roman" w:hAnsi="Times New Roman" w:cs="Times New Roman"/>
          <w:color w:val="0070C0"/>
          <w:sz w:val="16"/>
          <w:szCs w:val="16"/>
          <w:lang w:val="ru-RU"/>
        </w:rPr>
        <w:t xml:space="preserve"> построили опытный экземпляр КВ-13</w:t>
      </w:r>
      <w:r w:rsidRPr="00722885">
        <w:rPr>
          <w:rStyle w:val="930"/>
          <w:rFonts w:ascii="Times New Roman" w:hAnsi="Times New Roman" w:cs="Times New Roman"/>
          <w:color w:val="0070C0"/>
          <w:sz w:val="16"/>
          <w:szCs w:val="16"/>
        </w:rPr>
        <w:t xml:space="preserve">, </w:t>
      </w:r>
      <w:r w:rsidRPr="00722885">
        <w:rPr>
          <w:rStyle w:val="930"/>
          <w:rFonts w:ascii="Times New Roman" w:hAnsi="Times New Roman" w:cs="Times New Roman"/>
          <w:color w:val="0070C0"/>
          <w:sz w:val="16"/>
          <w:szCs w:val="16"/>
          <w:lang w:val="ru-RU"/>
        </w:rPr>
        <w:t xml:space="preserve">но испытания </w:t>
      </w:r>
      <w:r w:rsidRPr="00722885">
        <w:rPr>
          <w:rStyle w:val="930"/>
          <w:rFonts w:ascii="Times New Roman" w:hAnsi="Times New Roman" w:cs="Times New Roman"/>
          <w:color w:val="0070C0"/>
          <w:sz w:val="16"/>
          <w:szCs w:val="16"/>
        </w:rPr>
        <w:t>показали, что танк «сырой». В ходе испытаний выяснилось, что идея с гусеничными лентами Т-34 оказалась неверной, позже поставили траки от КВ-1с и ведущие колеса с цевочным зацеплением. Всего за сентябрь-ноябрь 1942 года КВ-13 преодолел 715 километров, в ходе которых выявилось около 50 различных дефектов. Кроме того, уже имелся опыт разработки КВ- 1с - надо сказать, что два танка периодиче</w:t>
      </w:r>
      <w:r w:rsidRPr="00722885">
        <w:rPr>
          <w:rStyle w:val="930"/>
          <w:rFonts w:ascii="Times New Roman" w:hAnsi="Times New Roman" w:cs="Times New Roman"/>
          <w:color w:val="0070C0"/>
          <w:sz w:val="16"/>
          <w:szCs w:val="16"/>
        </w:rPr>
        <w:softHyphen/>
        <w:t>ски в некотором смысле дополняли друг друга. Одним словом, осенью 1942 года стало ясно: КВ-13 требует серьезной переработки</w:t>
      </w:r>
      <w:r w:rsidRPr="00722885">
        <w:rPr>
          <w:rStyle w:val="930"/>
          <w:rFonts w:ascii="Times New Roman" w:hAnsi="Times New Roman" w:cs="Times New Roman"/>
          <w:color w:val="0070C0"/>
          <w:sz w:val="16"/>
          <w:szCs w:val="16"/>
          <w:lang w:val="ru-RU"/>
        </w:rPr>
        <w:t xml:space="preserve"> (19872)</w:t>
      </w:r>
      <w:r w:rsidRPr="00722885">
        <w:rPr>
          <w:rStyle w:val="930"/>
          <w:rFonts w:ascii="Times New Roman" w:hAnsi="Times New Roman" w:cs="Times New Roman"/>
          <w:color w:val="0070C0"/>
          <w:sz w:val="16"/>
          <w:szCs w:val="16"/>
        </w:rPr>
        <w:t>.</w:t>
      </w:r>
    </w:p>
    <w:p w14:paraId="140649B2" w14:textId="77777777" w:rsidR="00EB4546" w:rsidRPr="00722885" w:rsidRDefault="00EB4546" w:rsidP="00722885">
      <w:pPr>
        <w:pStyle w:val="1162"/>
        <w:shd w:val="clear" w:color="auto" w:fill="auto"/>
        <w:spacing w:after="0" w:line="240" w:lineRule="auto"/>
        <w:ind w:firstLine="0"/>
        <w:jc w:val="both"/>
        <w:rPr>
          <w:rStyle w:val="930"/>
          <w:rFonts w:ascii="Times New Roman" w:hAnsi="Times New Roman" w:cs="Times New Roman"/>
          <w:color w:val="0070C0"/>
          <w:sz w:val="16"/>
          <w:szCs w:val="16"/>
        </w:rPr>
      </w:pPr>
    </w:p>
    <w:p w14:paraId="1CA265B0" w14:textId="77777777" w:rsidR="00EE27EF" w:rsidRPr="00722885" w:rsidRDefault="00EE27E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самом конце сентября ГАЗ им. Молотова сдал первые два Т-70Б. Официально же новую ходовую часть «ввели в строй» 1 октября вместе с дополнительной снарядной укладкой. Последняя позволила увеличить боекомплект до 90 патронов к 45-мм пушке. Новые крылья у Т-70 появились позже – с 10 октября. Параллельно с этим производство Т-70Б было организовано на заводе №38. Стоит отметить, что к тому моменту танки двух заводов были одинаковыми по конструкции. Литые спицованные опорные катки пропали с кировских машин еще летом 1942 года. Единственным элементом, который позволял отличить танки разных заводов, стала система нумерации. Согласно приказу по Народному комиссариату танковой промышленности (НКТП) №676сс от 24 сентября 1942 года, продукция завода №38 получила в начале серийного номера букву Л. Одновременно этот приказ ликвидировал разнобой с серийными номерами у танков разных заводов.</w:t>
      </w:r>
    </w:p>
    <w:p w14:paraId="1D23D1D4" w14:textId="77777777" w:rsidR="00EE27EF" w:rsidRPr="00722885" w:rsidRDefault="00EE27E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таком виде танки обоих заводов выпускались вплоть до конца 1942 года. К началу 1943 года ГАЗ им. Молотова оказался единственным, выпускавшим танки Т-70. В соответствии с постановлением ГКО №2559 «Об организации производства самоходных артиллерийских установок на Уралмашзаводе и заводе № 38», вместо Т-70Б в Кирове начался выпуск самоходных установок СУ-12. Вместо завода №38 второй площадкой для производства лёгких танков становился завод №40, созданный путём реорганизации завода №592. С одним нюансом – вместо Т-70 там планировалось выпускать Т-80. Впоследствии на выпуск новых танков должен был перейти и ГАЗ, правда, производство Т-80 там так и не заладилось. Всего же за 1942 год ГАЗ им. Молотова сдал 3495 Т-70, из них 2252 линейных и 1243 радийных. Что же касается завода №38, то он, согласно ведомостям, сдал 1378 танков (17695).</w:t>
      </w:r>
    </w:p>
    <w:p w14:paraId="02357109" w14:textId="77777777" w:rsidR="00EE27EF" w:rsidRPr="00722885" w:rsidRDefault="00EE27EF" w:rsidP="00722885">
      <w:pPr>
        <w:spacing w:after="0" w:line="240" w:lineRule="auto"/>
        <w:jc w:val="both"/>
        <w:rPr>
          <w:rFonts w:ascii="Times New Roman" w:hAnsi="Times New Roman"/>
          <w:color w:val="000000" w:themeColor="text1"/>
          <w:sz w:val="16"/>
          <w:szCs w:val="16"/>
        </w:rPr>
      </w:pPr>
    </w:p>
    <w:p w14:paraId="573E108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сентября 1942 г. завод получил заказ на 10 ма</w:t>
      </w:r>
      <w:r w:rsidRPr="00722885">
        <w:rPr>
          <w:rFonts w:ascii="Times New Roman" w:hAnsi="Times New Roman"/>
          <w:color w:val="000000" w:themeColor="text1"/>
          <w:sz w:val="16"/>
          <w:szCs w:val="16"/>
        </w:rPr>
        <w:softHyphen/>
        <w:t>шин улучшенной конструкции, который до декабря 1942 г. не выполнялся ввиду непоставки шасси немецких танков. Интересно отметить, что сотрудники заводов № 37 и № 592, ведущих изготовление САУ утверждают, что от</w:t>
      </w:r>
      <w:r w:rsidRPr="00722885">
        <w:rPr>
          <w:rFonts w:ascii="Times New Roman" w:hAnsi="Times New Roman"/>
          <w:color w:val="000000" w:themeColor="text1"/>
          <w:sz w:val="16"/>
          <w:szCs w:val="16"/>
        </w:rPr>
        <w:softHyphen/>
        <w:t>грузка СГ-122 началась в марте 1942 г., и при этом говорят, что заводиться немецкие моторы на мартовских морозах отказывались и механикам приходилось заливать прямо в карбюраторы горящий бензин, чтобы реанимировать их. Автор же считает, что этот эпизод относится, скорее к вес</w:t>
      </w:r>
      <w:r w:rsidRPr="00722885">
        <w:rPr>
          <w:rFonts w:ascii="Times New Roman" w:hAnsi="Times New Roman"/>
          <w:color w:val="000000" w:themeColor="text1"/>
          <w:sz w:val="16"/>
          <w:szCs w:val="16"/>
        </w:rPr>
        <w:softHyphen/>
        <w:t>не 1943 г., когда на фронт начали отгружать уже СУ-С-1, более известные под именем СУ-76(И). Заказ же на СГ-122 выполнен в полном объеме не был, так как уже в конце января последовало распоряжение об остановке ра</w:t>
      </w:r>
      <w:r w:rsidRPr="00722885">
        <w:rPr>
          <w:rFonts w:ascii="Times New Roman" w:hAnsi="Times New Roman"/>
          <w:color w:val="000000" w:themeColor="text1"/>
          <w:sz w:val="16"/>
          <w:szCs w:val="16"/>
        </w:rPr>
        <w:softHyphen/>
        <w:t>бот по САУ на трофейном шасси ввиду начала работ над опытным образцом СГ-122 на шасси танка Т-34.</w:t>
      </w:r>
    </w:p>
    <w:p w14:paraId="030CF5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Сегодня нет точных данных об общем количестве изго</w:t>
      </w:r>
      <w:r w:rsidRPr="00722885">
        <w:rPr>
          <w:rFonts w:ascii="Times New Roman" w:hAnsi="Times New Roman"/>
          <w:color w:val="000000" w:themeColor="text1"/>
          <w:sz w:val="16"/>
          <w:szCs w:val="16"/>
        </w:rPr>
        <w:softHyphen/>
        <w:t xml:space="preserve">товленных СГ-122, но вместе с </w:t>
      </w:r>
      <w:r w:rsidRPr="00722885">
        <w:rPr>
          <w:rFonts w:ascii="Times New Roman" w:hAnsi="Times New Roman"/>
          <w:color w:val="000000" w:themeColor="text1"/>
          <w:sz w:val="16"/>
          <w:szCs w:val="16"/>
          <w:lang w:val="en-US"/>
        </w:rPr>
        <w:t>StugIII</w:t>
      </w:r>
      <w:r w:rsidRPr="00722885">
        <w:rPr>
          <w:rFonts w:ascii="Times New Roman" w:hAnsi="Times New Roman"/>
          <w:color w:val="000000" w:themeColor="text1"/>
          <w:sz w:val="16"/>
          <w:szCs w:val="16"/>
        </w:rPr>
        <w:t>, перевооруженными 76-мм пушками, до конца 1942 г. заводом их было сдано 8 шт., а также 2 опытные машины были изготовлены на шасси срешнего танка Т-34. К15 ноября 1942 г. на артиллерийском полигоне под Свердловском имелось три СГ-122 на шасси трофейных танков и две на шасси штурмовых орудий. Кро</w:t>
      </w:r>
      <w:r w:rsidRPr="00722885">
        <w:rPr>
          <w:rFonts w:ascii="Times New Roman" w:hAnsi="Times New Roman"/>
          <w:color w:val="000000" w:themeColor="text1"/>
          <w:sz w:val="16"/>
          <w:szCs w:val="16"/>
        </w:rPr>
        <w:softHyphen/>
        <w:t>ме того 5 декабря на Гороховецкий полигон для сравнитель</w:t>
      </w:r>
      <w:r w:rsidRPr="00722885">
        <w:rPr>
          <w:rFonts w:ascii="Times New Roman" w:hAnsi="Times New Roman"/>
          <w:color w:val="000000" w:themeColor="text1"/>
          <w:sz w:val="16"/>
          <w:szCs w:val="16"/>
        </w:rPr>
        <w:softHyphen/>
        <w:t>ных Государственных испытаний с У-35 (будущей СУ-122) конструкции Уралмашзавода была доставлена первая СГ-122 завода № 592 на шасси Т-34. А 11 февраля 1943 г. в виду принятия на вооружение У-35, все изготовленные САУ (в том числе и опытные), хранившиеся на территории завода № 592, приказом по НКВ были переданы для формирования учебных самоходных частей и подразделений (11417).</w:t>
      </w:r>
    </w:p>
    <w:p w14:paraId="2344FD4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8B5E3B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4ECC5AE" w14:textId="77777777" w:rsidR="00090C9B" w:rsidRPr="00722885" w:rsidRDefault="00090C9B" w:rsidP="00722885">
      <w:pPr>
        <w:pStyle w:val="Iauiue"/>
        <w:jc w:val="both"/>
        <w:rPr>
          <w:iCs/>
          <w:color w:val="000000" w:themeColor="text1"/>
          <w:sz w:val="16"/>
          <w:szCs w:val="16"/>
        </w:rPr>
      </w:pPr>
    </w:p>
    <w:p w14:paraId="6A688FE1" w14:textId="77777777" w:rsidR="0082225C" w:rsidRPr="00722885" w:rsidRDefault="0082225C" w:rsidP="00722885">
      <w:pPr>
        <w:pStyle w:val="ae"/>
        <w:spacing w:before="0" w:after="0"/>
        <w:jc w:val="both"/>
        <w:textAlignment w:val="baseline"/>
        <w:rPr>
          <w:color w:val="000000" w:themeColor="text1"/>
          <w:sz w:val="16"/>
          <w:szCs w:val="16"/>
        </w:rPr>
      </w:pPr>
      <w:r w:rsidRPr="00722885">
        <w:rPr>
          <w:color w:val="000000" w:themeColor="text1"/>
          <w:sz w:val="16"/>
          <w:szCs w:val="16"/>
        </w:rPr>
        <w:t>К концу сентября 1942 г. инженерная служба 8 воздушной армии изготовила 50 самодельных зенитных 12,7-мм пулеметных установок и 100 установок со скорострельными 23-мм пушками. Кроме того, некие умельцы даже смастерили шесть пусковых установок для реактивных снарядов, этакий прообраз ракет «земля — воздух». Чтобы обслуживать все эти технические новинки при батальонах аэродромного обслуживания, были сформированы зенитные взводы из стрелков-оружейников (19522).</w:t>
      </w:r>
    </w:p>
    <w:p w14:paraId="4864AB9D" w14:textId="77777777" w:rsidR="0082225C" w:rsidRPr="00722885" w:rsidRDefault="0082225C" w:rsidP="00722885">
      <w:pPr>
        <w:pStyle w:val="ae"/>
        <w:spacing w:before="0" w:after="0"/>
        <w:jc w:val="both"/>
        <w:textAlignment w:val="baseline"/>
        <w:rPr>
          <w:color w:val="000000" w:themeColor="text1"/>
          <w:sz w:val="16"/>
          <w:szCs w:val="16"/>
        </w:rPr>
      </w:pPr>
    </w:p>
    <w:p w14:paraId="591890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сентября 1942 года из 436-го полка сообщалось, что "Моторы "Аллисон" на Р-40 часто выходили из строя по причине "стружки"...". Там за короткое время отказали двигатели 16 истребителей. Ресурс моторов тогда не превышал 30-40% от поминального, а около трети выходило из строя при наработке всею около 30 часов. Причины оставались все те же - эксплуатация на советском масле, плохая его очистка, некачественный бензин, чрезмерное пользование форсажем. Но постепенно накапливавшийся опыт обслуживания американских двигателей приносил свои плоды. Правильный подбор масел, тщательная регулировка после ремонта, соблюдение регламента и оптимальных режимов постепенно позволили значительно поднять ресурс мотора, доведя его до расчетного значения. Зимой на "Киттихауке" приходилось утеплять трубопроводы, менять масляный манометр. Для полного слива масла и охлаждающей жидкости в магистрали врезали дополнительные сливные краны. "Аллисоны" эксплуатировались на штатной смеси "Престол", советских антифризах (с заменой редукционного клапана) или дорабатывались под заливку горячей воды, подобно "Харрикейну" (3457,68).</w:t>
      </w:r>
    </w:p>
    <w:p w14:paraId="1E5B6A1D" w14:textId="77777777" w:rsidR="00090C9B" w:rsidRPr="00722885" w:rsidRDefault="00090C9B" w:rsidP="00722885">
      <w:pPr>
        <w:pStyle w:val="Iauiue"/>
        <w:jc w:val="both"/>
        <w:rPr>
          <w:color w:val="000000" w:themeColor="text1"/>
          <w:sz w:val="16"/>
          <w:szCs w:val="16"/>
        </w:rPr>
      </w:pPr>
    </w:p>
    <w:p w14:paraId="3402AC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сентября 1942 пилоты "хеншелей" 13.(Pz.)/JG51 были выведены из боя и под руководством специалистов 3-й и 5-й инспекций генерального штаба люфтваффе приступили к усиленным тренировкам на полигоне стрельбой в воздухе по макетам советских танков. Когда точность стрельбы из МК101 достигла приемлемого уровня, эскадрилья в конце ноября 42-го вновь вернулась к боевым действиям (8907).</w:t>
      </w:r>
    </w:p>
    <w:p w14:paraId="659266C5" w14:textId="77777777" w:rsidR="00090C9B" w:rsidRPr="00722885" w:rsidRDefault="00090C9B" w:rsidP="00722885">
      <w:pPr>
        <w:pStyle w:val="Iauiue"/>
        <w:jc w:val="both"/>
        <w:rPr>
          <w:color w:val="000000" w:themeColor="text1"/>
          <w:sz w:val="16"/>
          <w:szCs w:val="16"/>
        </w:rPr>
      </w:pPr>
    </w:p>
    <w:p w14:paraId="3C7D8C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сентября 1942 пилоты «хеншелей» Нз 129В-1/Й2 были выведены из боя и под руководством спе</w:t>
      </w:r>
      <w:r w:rsidRPr="00722885">
        <w:rPr>
          <w:rFonts w:ascii="Times New Roman" w:hAnsi="Times New Roman"/>
          <w:color w:val="000000" w:themeColor="text1"/>
          <w:sz w:val="16"/>
          <w:szCs w:val="16"/>
        </w:rPr>
        <w:softHyphen/>
        <w:t>циалистов инспекций генерального штаба люфтваффе приступили к усиленным тре</w:t>
      </w:r>
      <w:r w:rsidRPr="00722885">
        <w:rPr>
          <w:rFonts w:ascii="Times New Roman" w:hAnsi="Times New Roman"/>
          <w:color w:val="000000" w:themeColor="text1"/>
          <w:sz w:val="16"/>
          <w:szCs w:val="16"/>
        </w:rPr>
        <w:softHyphen/>
        <w:t>нировкам на полигоне стрельбой по маке</w:t>
      </w:r>
      <w:r w:rsidRPr="00722885">
        <w:rPr>
          <w:rFonts w:ascii="Times New Roman" w:hAnsi="Times New Roman"/>
          <w:color w:val="000000" w:themeColor="text1"/>
          <w:sz w:val="16"/>
          <w:szCs w:val="16"/>
        </w:rPr>
        <w:softHyphen/>
        <w:t>там советских танков. Лишь после того, как точность стрельбы достигла приемлемого уровня, эскадрилья в конце ноября 1942 г. вновь вернулась к боевым действиям.</w:t>
      </w:r>
    </w:p>
    <w:p w14:paraId="377B4B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временем в связи с успешным контрнаступлением Красной Армии под Сталинградом для немецких войск созда</w:t>
      </w:r>
      <w:r w:rsidRPr="00722885">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722885">
        <w:rPr>
          <w:rFonts w:ascii="Times New Roman" w:hAnsi="Times New Roman"/>
          <w:color w:val="000000" w:themeColor="text1"/>
          <w:sz w:val="16"/>
          <w:szCs w:val="16"/>
        </w:rPr>
        <w:softHyphen/>
        <w:t>но переброшена на средний Дон.</w:t>
      </w:r>
    </w:p>
    <w:p w14:paraId="0FFFA6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5DA2B22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59A14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сентября - начале октября 1942 г. был разработан и утвержден комплекс мероприятий, направленных на создание превосходства над хорошо вооруженным и подготовленным противником. Прежде всего требовалось значительно увеличить производство истребителей (4537).</w:t>
      </w:r>
    </w:p>
    <w:p w14:paraId="43164BBD" w14:textId="77777777" w:rsidR="00090C9B" w:rsidRPr="00722885" w:rsidRDefault="00090C9B" w:rsidP="00722885">
      <w:pPr>
        <w:pStyle w:val="Iauiue"/>
        <w:jc w:val="both"/>
        <w:rPr>
          <w:color w:val="000000" w:themeColor="text1"/>
          <w:sz w:val="16"/>
          <w:szCs w:val="16"/>
        </w:rPr>
      </w:pPr>
    </w:p>
    <w:p w14:paraId="4964770A" w14:textId="77777777" w:rsidR="00DC353C" w:rsidRPr="00722885" w:rsidRDefault="00DC35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конце сентября 1942 года три опытных прицепа ТД-200 были направлены в 19-ю танковую бригаду, в которой, к слову, испытывались и приборы ночного вождения танков. Увы, в документах бригады прицепы не упоминаются (17711).</w:t>
      </w:r>
    </w:p>
    <w:p w14:paraId="2E378B42" w14:textId="77777777" w:rsidR="00DC353C" w:rsidRPr="00722885" w:rsidRDefault="00DC353C" w:rsidP="00722885">
      <w:pPr>
        <w:spacing w:after="0" w:line="240" w:lineRule="auto"/>
        <w:jc w:val="both"/>
        <w:rPr>
          <w:rFonts w:ascii="Times New Roman" w:eastAsia="Times New Roman" w:hAnsi="Times New Roman"/>
          <w:color w:val="000000" w:themeColor="text1"/>
          <w:sz w:val="16"/>
          <w:szCs w:val="16"/>
          <w:lang w:eastAsia="ru-RU"/>
        </w:rPr>
      </w:pPr>
    </w:p>
    <w:p w14:paraId="23E6278A" w14:textId="77777777" w:rsidR="00DC353C" w:rsidRPr="00722885" w:rsidRDefault="00DC353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До конца сентября 1942 года «Черчилли» были сосредоточены в 194-й учебной танковой бригаде. Она была сформирована в апреле 1942 года для обучения экипажей английских танков. Помимо экипажей «Черчиллей», здесь готовили экипажи </w:t>
      </w:r>
      <w:hyperlink r:id="rId121" w:history="1">
        <w:r w:rsidRPr="00722885">
          <w:rPr>
            <w:rFonts w:ascii="Times New Roman" w:eastAsia="Times New Roman" w:hAnsi="Times New Roman"/>
            <w:color w:val="000000" w:themeColor="text1"/>
            <w:sz w:val="16"/>
            <w:szCs w:val="16"/>
            <w:lang w:eastAsia="ru-RU"/>
          </w:rPr>
          <w:t>«Валентайнов»</w:t>
        </w:r>
      </w:hyperlink>
      <w:r w:rsidRPr="00722885">
        <w:rPr>
          <w:rFonts w:ascii="Times New Roman" w:eastAsia="Times New Roman" w:hAnsi="Times New Roman"/>
          <w:color w:val="000000" w:themeColor="text1"/>
          <w:sz w:val="16"/>
          <w:szCs w:val="16"/>
          <w:lang w:eastAsia="ru-RU"/>
        </w:rPr>
        <w:t xml:space="preserve"> и «Матильд». В дальнейшем все прибывавшие в Горьковский автобронетанковый центр «Черчилли» также сначала проходили через 194-ю танковую бригаду. Помимо обучения экипажей, здесь же выявлялись и неисправности.</w:t>
      </w:r>
    </w:p>
    <w:p w14:paraId="4F879453" w14:textId="77777777" w:rsidR="00DC353C" w:rsidRPr="00722885" w:rsidRDefault="00DC353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Формирование новых частей началось в октябре 1942 года. Все английские танки данного типа попадали в отдельные гвардейские танковые полки, формировавшиеся по штату № 010/267. Согласно штатному расписанию, в каждый полк входил 21 танк и 3 бронемашины. Первыми 8 октября 1942 года сформировали 47-й, 48-й, 49-й и 50-й отдельные гвардейские танковые полки. 50-й гв. тп первоначально имел на вооружении исключительно Churchill II, но позже его доукомплектовали двумя Churchill III.</w:t>
      </w:r>
    </w:p>
    <w:p w14:paraId="1F522107" w14:textId="77777777" w:rsidR="00DC353C" w:rsidRPr="00722885" w:rsidRDefault="00DC353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Процесс подготовки «Черчиллей» к боевым действиям лишний раз показывает правоту испытателей НИБТ Полигона, назвавших танк не до конца доведенным. «Воевать» с английской машиной пришлось довольно долго. Для начала, при участии завода №92 были утсранены дефекты, связанные с воздействием стрельбы 6-фунтовой пушки. Были заменены пружины и расточены цилиндры накатников, такой переделке подверглись орудия всех Churchill III, прибывших в 1942 году.</w:t>
      </w:r>
    </w:p>
    <w:p w14:paraId="2CC9BA19" w14:textId="77777777" w:rsidR="00DC353C" w:rsidRPr="00722885" w:rsidRDefault="00DC353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Никуда не делись и проблемы с моторами, решать их пришлось при помощи еще одного горьковского предприятия – ГАЗ им. Молотова. Отмечались поломки литых траков, осей ведущих колес и ленивцев, гибких приводов бензиновой помпы. Еще одной проблемой, выявленной в ноябре 1942 года, стало недостаточное сцепление </w:t>
      </w:r>
      <w:r w:rsidRPr="00722885">
        <w:rPr>
          <w:rFonts w:ascii="Times New Roman" w:eastAsia="Times New Roman" w:hAnsi="Times New Roman"/>
          <w:color w:val="000000" w:themeColor="text1"/>
          <w:sz w:val="16"/>
          <w:szCs w:val="16"/>
          <w:lang w:eastAsia="ru-RU"/>
        </w:rPr>
        <w:lastRenderedPageBreak/>
        <w:t>гусеничных лент со снегом и льдом. Эту проблемы решили силами 47-го гв. тп: в опытном порядке на танк с WD-номером T.68768 поставили траки с наваренными грунтозацепами. Испытания, проведенные 21 декабря 1942 года, показали правильность идеи. По итогам испытаний был отдан приказ таким же образом переделать траки и на остальных танках. При эксплуатации в зимних условиях пришлось столкнуться с забиванием снега. Его набивалось под крыльями столько, что после 8–10 километров езды по снегу крылья часто просто вырывало.</w:t>
      </w:r>
    </w:p>
    <w:p w14:paraId="51F51F88" w14:textId="77777777" w:rsidR="00DC353C" w:rsidRPr="00722885" w:rsidRDefault="00DC353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целом статистика по количеству танков, имевших различные дефекты, выглядела далеко не радужно. В 47-м гвардейском танковом полку те или иные неисправности обнаружились на 12 танках, в 48-м гв. тп на 16, в 49-м гв. тп на 15 и в 50 гв. тп – на 8. Неудивительно, что отправка на фронт затянулась.</w:t>
      </w:r>
    </w:p>
    <w:p w14:paraId="43C78510" w14:textId="77777777" w:rsidR="00DC353C" w:rsidRPr="00722885" w:rsidRDefault="00DC353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Первым был признан боеготовым 48-й гвардейский танковый полк. 31 декабря 1942 года он поступил в распоряжение командующего Донского фронта. 16 января матчасть полка прибыла на станцию Кочалино. 19 числа танки оказались в районе станции Питомник, где поступили в распоряжение командования 21-й армии. 21 января полк поддерживал наступление 216-го и 218-го стрелковых полков на станцию Гумрак. Итогом первого дня боев стал захват хутора Гончара, трофеями стали 5 вражеских танков, 70 орудий, 15 минометов, 20 мотоциклов и около 800 автомашин. Собственные потери составили 4 поврежденных танка, 1 человек был убит, трое получили 3 ранения (17691).</w:t>
      </w:r>
    </w:p>
    <w:p w14:paraId="58489CCA" w14:textId="77777777" w:rsidR="00DC353C" w:rsidRPr="00722885" w:rsidRDefault="00DC353C" w:rsidP="00722885">
      <w:pPr>
        <w:spacing w:after="0" w:line="240" w:lineRule="auto"/>
        <w:jc w:val="both"/>
        <w:rPr>
          <w:rFonts w:ascii="Times New Roman" w:hAnsi="Times New Roman"/>
          <w:color w:val="000000" w:themeColor="text1"/>
          <w:sz w:val="16"/>
          <w:szCs w:val="16"/>
        </w:rPr>
      </w:pPr>
    </w:p>
    <w:p w14:paraId="74B3D36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1C16D49" w14:textId="77777777" w:rsidR="00090C9B" w:rsidRPr="00722885" w:rsidRDefault="00090C9B" w:rsidP="00722885">
      <w:pPr>
        <w:pStyle w:val="Iauiue"/>
        <w:jc w:val="both"/>
        <w:rPr>
          <w:iCs/>
          <w:color w:val="000000" w:themeColor="text1"/>
          <w:sz w:val="16"/>
          <w:szCs w:val="16"/>
        </w:rPr>
      </w:pPr>
    </w:p>
    <w:p w14:paraId="648A47C8"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До сентября 1942-го затянулась постройка заказанной войсковой серии Ил-2 с пушками ШФК-37 в Куйбышеве, при этом вместо 20 было построено только 9 машин (то есть всего 10 самолетов этого типа, включая один опытный "Ил"), которые после проведения летчиком-испытателем Е.Н.Ломакиным заводских испытаний и были направлены под Сталинград в состав 228-й шад 16-й ВА Донского фронта.</w:t>
      </w:r>
    </w:p>
    <w:p w14:paraId="27F0C1B0"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За все время войсковых испытаний на фронте под Сталинградом Ил-2 с ШФК-37 совершили 75 боевых самолето-вылетов с общим налетом 68 часов 42 минуты, выполняя задания совместно с "Илами", вооруженными пушками ВЯ и ШВАК. Боевые вылеты выполнялись как без сопровождения, так и в сопровождении истребителей. Один Ил-2 с ШФК-37 был сбит над целью, второй — подбит (сел на вынужденную на линии фронта на нейтральной полосе и ввиду невозможности эвакуации был уничтожен бомбами). Остальные машины получили повреждения. От начала и до конца войсковых испытаний прошли только два "Ила", которые выполнили 44 боевых вылета.</w:t>
      </w:r>
    </w:p>
    <w:p w14:paraId="5A434458"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Штурмовики действовали главным образом по самолетам на аэродромах и автотранспорту противника. В отдельных случаях — по огневым точкам на поле боя, ДЗОТам, бронемашинам и танкам.</w:t>
      </w:r>
    </w:p>
    <w:p w14:paraId="61A1C1C7"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Атаки наземных целей производились с планирования под углами 25-30 градусов с высот 1300-1000 м. По донесениям летчиков огнем пушек ШФК-37 было уничтожено 2 танка, 4 самолета на аэродромах, около 50 автомашин, один склад с боеприпасами и 2 зенитные батареи. Кроме того, летчиками наблюдались попадания в 3 танка, 4 самолета, 14 автомашин и 1 бронемашину, но достоверность поражения целей подтвердить не могли.</w:t>
      </w:r>
    </w:p>
    <w:p w14:paraId="1593D905"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Средний расход боекомплекта к пушкам ШФК-37 за один самолето-вылетов составил 37,6%. Это, с одной стороны, говорит о том, что целей, достойных для пушек ШФК-37, в боевых вылетах было мало, а с другой стороны, указывает на недостаточную эффективность стрельбы с самолета Ил-2 из такой пушки по малоразмерным целям.</w:t>
      </w:r>
    </w:p>
    <w:p w14:paraId="63F9539B"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За время войсковых испытаний отмечалось несколько случаев применения ШФК-37 по воздушным целям, но все они были неудачными.</w:t>
      </w:r>
    </w:p>
    <w:p w14:paraId="6F094363"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течение всего времени испытаний пушки ШФК-37 работали ненадежно — средний процент настрела боекомплекта, приходящийся на один отказ, составил всего 54%. То есть почти каждый второй вылет на боевое задание Ил-2 с пушками ШФК-37 сопровождался отказом хотя бы одной из пушек. Ведение же прицельной стрельбы из одной пушки было практически невозможным. Кроме того, малый запас продольной устойчивости и усложнение техники пилотирования самолета Ил-2 с пушками ШФК-37 в сочетании с недостаточной жесткостью крыльевых пушечных установок и сильной отдачей самих пушек при стрельбе приводили к тому, что строевые летчики в одной прицельной очереди могли использовать не более 2-3-х снарядов. Максимальная же бомбовая нагрузка штурмовика составляла всего 200 кг. Все это существенно снижало боевую ценность нового штурмовика.</w:t>
      </w:r>
    </w:p>
    <w:p w14:paraId="516B2440"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результате установка пушек ШФК-37 на самолет Ил-2 у большинства строевых летчиков поддержки не нашла.</w:t>
      </w:r>
    </w:p>
    <w:p w14:paraId="165A8BB0"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заключение "Доклада о войсковых испытаниях на боевое применение самолетов Ил-2 АМ-38, вооруженных 37-мм пушками конструкции ОКБ-15" (отв. исполнители — Белякин, Никитин, Лорченко), указывалось, что:</w:t>
      </w:r>
    </w:p>
    <w:p w14:paraId="2AAD89A6"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rStyle w:val="af0"/>
          <w:i w:val="0"/>
          <w:color w:val="000000" w:themeColor="text1"/>
          <w:sz w:val="16"/>
          <w:szCs w:val="16"/>
          <w:bdr w:val="none" w:sz="0" w:space="0" w:color="auto" w:frame="1"/>
        </w:rPr>
        <w:t> "1, Самолеты Ил-2 с пушкой ШФК-37, испытание на боевое применение не дали должной эффективности в связи с недоработкой пушек, невозможностью ведения прицельного огня по точечным целям, большим рассеиванием снарядов и ухудшением маневренности самолета.</w:t>
      </w:r>
    </w:p>
    <w:p w14:paraId="5E866D4F"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rStyle w:val="af0"/>
          <w:i w:val="0"/>
          <w:color w:val="000000" w:themeColor="text1"/>
          <w:sz w:val="16"/>
          <w:szCs w:val="16"/>
          <w:bdr w:val="none" w:sz="0" w:space="0" w:color="auto" w:frame="1"/>
        </w:rPr>
        <w:t> 2. Считать необходимым иметь на вооружении ВВС КА самолеты Ил-2 с пушками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661C5EE4"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итоге Ил-2 с ШФК-37 в крупномасштабное серийное производство запущен не был (19169).</w:t>
      </w:r>
    </w:p>
    <w:p w14:paraId="69713FF2" w14:textId="77777777" w:rsidR="007E5095" w:rsidRPr="00722885" w:rsidRDefault="007E5095" w:rsidP="00722885">
      <w:pPr>
        <w:pStyle w:val="rtejustify"/>
        <w:shd w:val="clear" w:color="auto" w:fill="FFFFFF"/>
        <w:spacing w:before="0" w:beforeAutospacing="0" w:after="0" w:afterAutospacing="0"/>
        <w:jc w:val="both"/>
        <w:textAlignment w:val="baseline"/>
        <w:rPr>
          <w:color w:val="000000" w:themeColor="text1"/>
          <w:sz w:val="16"/>
          <w:szCs w:val="16"/>
        </w:rPr>
      </w:pPr>
    </w:p>
    <w:p w14:paraId="38AF0F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параллельно с отработкой заводом № 30 двухместного варианта Ил-2 на заводе № 1 им. И.В.Сталина был пост</w:t>
      </w:r>
      <w:r w:rsidRPr="00722885">
        <w:rPr>
          <w:color w:val="000000" w:themeColor="text1"/>
          <w:sz w:val="16"/>
          <w:szCs w:val="16"/>
        </w:rPr>
        <w:softHyphen/>
        <w:t>роен самолет Ил-2бис (зав. № 4434) с мотором АМ-38, имевший полностью бронированную кабину стрелка с блистерной установкой БЛУБ (блистерная установка Березина) под пулемет УБТ с магазинным питанием и боекомплектом в 150 патронов (3 магазина).</w:t>
      </w:r>
    </w:p>
    <w:p w14:paraId="2EE1C51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Предложенная заводом № 1 кабина стрелка имела много общих компоновоч</w:t>
      </w:r>
      <w:r w:rsidRPr="00722885">
        <w:rPr>
          <w:color w:val="000000" w:themeColor="text1"/>
          <w:sz w:val="16"/>
          <w:szCs w:val="16"/>
        </w:rPr>
        <w:softHyphen/>
        <w:t>ных и конструктивных решений с каби</w:t>
      </w:r>
      <w:r w:rsidRPr="00722885">
        <w:rPr>
          <w:color w:val="000000" w:themeColor="text1"/>
          <w:sz w:val="16"/>
          <w:szCs w:val="16"/>
        </w:rPr>
        <w:softHyphen/>
        <w:t>нами стрелков на самолетах БШ-2 АМ-35 и Ил-2 М-82. Кабина стрелка была оборудована на месте заднего фюзеляж</w:t>
      </w:r>
      <w:r w:rsidRPr="00722885">
        <w:rPr>
          <w:color w:val="000000" w:themeColor="text1"/>
          <w:sz w:val="16"/>
          <w:szCs w:val="16"/>
        </w:rPr>
        <w:softHyphen/>
        <w:t>ного бензобака, вместо которого в двух внутренних бомбоотсеках в центропла</w:t>
      </w:r>
      <w:r w:rsidRPr="00722885">
        <w:rPr>
          <w:color w:val="000000" w:themeColor="text1"/>
          <w:sz w:val="16"/>
          <w:szCs w:val="16"/>
        </w:rPr>
        <w:softHyphen/>
        <w:t>не самолета были установлены два бен</w:t>
      </w:r>
      <w:r w:rsidRPr="00722885">
        <w:rPr>
          <w:color w:val="000000" w:themeColor="text1"/>
          <w:sz w:val="16"/>
          <w:szCs w:val="16"/>
        </w:rPr>
        <w:softHyphen/>
        <w:t>зобака такого же объема. Бензобаки в бомбоотсеках были забронированы. То есть кабина стрелка оказалась в брони</w:t>
      </w:r>
      <w:r w:rsidRPr="00722885">
        <w:rPr>
          <w:color w:val="000000" w:themeColor="text1"/>
          <w:sz w:val="16"/>
          <w:szCs w:val="16"/>
        </w:rPr>
        <w:softHyphen/>
        <w:t>рованной части бронекорпуса самоле</w:t>
      </w:r>
      <w:r w:rsidRPr="00722885">
        <w:rPr>
          <w:color w:val="000000" w:themeColor="text1"/>
          <w:sz w:val="16"/>
          <w:szCs w:val="16"/>
        </w:rPr>
        <w:softHyphen/>
        <w:t>та. От огня со стороны хвоста самолета и сверху стрелок защищался бронестенкой толщиной 8 мм, прозрачной броней на блистере пулемета толщиной 64 мм и 5-мм броневым листом, установлен</w:t>
      </w:r>
      <w:r w:rsidRPr="00722885">
        <w:rPr>
          <w:color w:val="000000" w:themeColor="text1"/>
          <w:sz w:val="16"/>
          <w:szCs w:val="16"/>
        </w:rPr>
        <w:softHyphen/>
        <w:t>ным над головой на сдвижной части фонаря его кабины. Кроме этого, каби</w:t>
      </w:r>
      <w:r w:rsidRPr="00722885">
        <w:rPr>
          <w:color w:val="000000" w:themeColor="text1"/>
          <w:sz w:val="16"/>
          <w:szCs w:val="16"/>
        </w:rPr>
        <w:softHyphen/>
        <w:t>на стрелка имела бронированный пол толщиной 5 мм, а между летчиком и стрелком устанавливалась бронеплита толщиной 7 мм. Таким образом, стрелок на Ил-2бис имел броневую защиту, по</w:t>
      </w:r>
      <w:r w:rsidRPr="00722885">
        <w:rPr>
          <w:color w:val="000000" w:themeColor="text1"/>
          <w:sz w:val="16"/>
          <w:szCs w:val="16"/>
        </w:rPr>
        <w:softHyphen/>
        <w:t>чти аналогичную защите летчика.</w:t>
      </w:r>
    </w:p>
    <w:p w14:paraId="2652A2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Связь летчика и стрелка, помимо СПУ-2ф и трехцветной световой сигнализа</w:t>
      </w:r>
      <w:r w:rsidRPr="00722885">
        <w:rPr>
          <w:color w:val="000000" w:themeColor="text1"/>
          <w:sz w:val="16"/>
          <w:szCs w:val="16"/>
        </w:rPr>
        <w:softHyphen/>
        <w:t>ции, осуществлялась еще и через зад</w:t>
      </w:r>
      <w:r w:rsidRPr="00722885">
        <w:rPr>
          <w:color w:val="000000" w:themeColor="text1"/>
          <w:sz w:val="16"/>
          <w:szCs w:val="16"/>
        </w:rPr>
        <w:softHyphen/>
        <w:t>нее бронестекло кабины летчика.</w:t>
      </w:r>
    </w:p>
    <w:p w14:paraId="4B31DE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Внутренняя подвеска бомб состави</w:t>
      </w:r>
      <w:r w:rsidRPr="00722885">
        <w:rPr>
          <w:color w:val="000000" w:themeColor="text1"/>
          <w:sz w:val="16"/>
          <w:szCs w:val="16"/>
        </w:rPr>
        <w:softHyphen/>
        <w:t>ла 200 кг. Две крыльевые пушки ШВАК имели боезапас 500 снарядов на обе пушки, 2 пулемета ШКАС - 1500 патро</w:t>
      </w:r>
      <w:r w:rsidRPr="00722885">
        <w:rPr>
          <w:color w:val="000000" w:themeColor="text1"/>
          <w:sz w:val="16"/>
          <w:szCs w:val="16"/>
        </w:rPr>
        <w:softHyphen/>
        <w:t>нов. Помимо этого, на самолете устанав</w:t>
      </w:r>
      <w:r w:rsidRPr="00722885">
        <w:rPr>
          <w:color w:val="000000" w:themeColor="text1"/>
          <w:sz w:val="16"/>
          <w:szCs w:val="16"/>
        </w:rPr>
        <w:softHyphen/>
        <w:t>ливались 8 РО-82.</w:t>
      </w:r>
    </w:p>
    <w:p w14:paraId="532242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Несмотря на установку бронирован</w:t>
      </w:r>
      <w:r w:rsidRPr="00722885">
        <w:rPr>
          <w:color w:val="000000" w:themeColor="text1"/>
          <w:sz w:val="16"/>
          <w:szCs w:val="16"/>
        </w:rPr>
        <w:softHyphen/>
        <w:t>ной кабины стрелка, центровка самоле</w:t>
      </w:r>
      <w:r w:rsidRPr="00722885">
        <w:rPr>
          <w:color w:val="000000" w:themeColor="text1"/>
          <w:sz w:val="16"/>
          <w:szCs w:val="16"/>
        </w:rPr>
        <w:softHyphen/>
        <w:t>та оказалась такой же, как и у одномес</w:t>
      </w:r>
      <w:r w:rsidRPr="00722885">
        <w:rPr>
          <w:color w:val="000000" w:themeColor="text1"/>
          <w:sz w:val="16"/>
          <w:szCs w:val="16"/>
        </w:rPr>
        <w:softHyphen/>
        <w:t>тного Ил-2 производства этого же заво</w:t>
      </w:r>
      <w:r w:rsidRPr="00722885">
        <w:rPr>
          <w:color w:val="000000" w:themeColor="text1"/>
          <w:sz w:val="16"/>
          <w:szCs w:val="16"/>
        </w:rPr>
        <w:softHyphen/>
        <w:t>да. Нормальный полетный вес самоле</w:t>
      </w:r>
      <w:r w:rsidRPr="00722885">
        <w:rPr>
          <w:color w:val="000000" w:themeColor="text1"/>
          <w:sz w:val="16"/>
          <w:szCs w:val="16"/>
        </w:rPr>
        <w:softHyphen/>
        <w:t>та - 5980 кг (6467).</w:t>
      </w:r>
    </w:p>
    <w:p w14:paraId="64674ECF" w14:textId="77777777" w:rsidR="00090C9B" w:rsidRPr="00722885" w:rsidRDefault="00090C9B" w:rsidP="00722885">
      <w:pPr>
        <w:pStyle w:val="Iauiue"/>
        <w:jc w:val="both"/>
        <w:rPr>
          <w:color w:val="000000" w:themeColor="text1"/>
          <w:sz w:val="16"/>
          <w:szCs w:val="16"/>
        </w:rPr>
      </w:pPr>
    </w:p>
    <w:p w14:paraId="6A47489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на заводе № 1 были построены два эк</w:t>
      </w:r>
      <w:r w:rsidRPr="00722885">
        <w:rPr>
          <w:rFonts w:ascii="Times New Roman" w:hAnsi="Times New Roman"/>
          <w:color w:val="000000" w:themeColor="text1"/>
          <w:sz w:val="16"/>
          <w:szCs w:val="16"/>
        </w:rPr>
        <w:softHyphen/>
        <w:t>земпляра самолета Ил-2бис АМ-38, имевшие полностью бро</w:t>
      </w:r>
      <w:r w:rsidRPr="00722885">
        <w:rPr>
          <w:rFonts w:ascii="Times New Roman" w:hAnsi="Times New Roman"/>
          <w:color w:val="000000" w:themeColor="text1"/>
          <w:sz w:val="16"/>
          <w:szCs w:val="16"/>
        </w:rPr>
        <w:softHyphen/>
        <w:t>нированную кабину стрелка с блистерной установкой под пуле</w:t>
      </w:r>
      <w:r w:rsidRPr="00722885">
        <w:rPr>
          <w:rFonts w:ascii="Times New Roman" w:hAnsi="Times New Roman"/>
          <w:color w:val="000000" w:themeColor="text1"/>
          <w:sz w:val="16"/>
          <w:szCs w:val="16"/>
        </w:rPr>
        <w:softHyphen/>
        <w:t>мет УБТ. Инициировал эту работу начальник СКО-21 завода В.П. Яценко.</w:t>
      </w:r>
    </w:p>
    <w:p w14:paraId="4BB8D08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w:t>
      </w:r>
      <w:r w:rsidRPr="00722885">
        <w:rPr>
          <w:rFonts w:ascii="Times New Roman" w:hAnsi="Times New Roman"/>
          <w:color w:val="000000" w:themeColor="text1"/>
          <w:sz w:val="16"/>
          <w:szCs w:val="16"/>
        </w:rPr>
        <w:softHyphen/>
        <w:t>довалась на месте заднего бензобака. За счет этого она оказалась более просторной, чем кабина завода № 30. Уровень защищен</w:t>
      </w:r>
      <w:r w:rsidRPr="00722885">
        <w:rPr>
          <w:rFonts w:ascii="Times New Roman" w:hAnsi="Times New Roman"/>
          <w:color w:val="000000" w:themeColor="text1"/>
          <w:sz w:val="16"/>
          <w:szCs w:val="16"/>
        </w:rPr>
        <w:softHyphen/>
        <w:t>ности стрелка не уступал защите летчика. В двух бомбоотсеках в центроплане крыла дополнительно устанавливались два бен</w:t>
      </w:r>
      <w:r w:rsidRPr="00722885">
        <w:rPr>
          <w:rFonts w:ascii="Times New Roman" w:hAnsi="Times New Roman"/>
          <w:color w:val="000000" w:themeColor="text1"/>
          <w:sz w:val="16"/>
          <w:szCs w:val="16"/>
        </w:rPr>
        <w:softHyphen/>
        <w:t>зобака, которые бронировались. Внутренняя загрузка бомб уменьшалась до 200 кг. На внешних узлах допускалась подвес</w:t>
      </w:r>
      <w:r w:rsidRPr="00722885">
        <w:rPr>
          <w:rFonts w:ascii="Times New Roman" w:hAnsi="Times New Roman"/>
          <w:color w:val="000000" w:themeColor="text1"/>
          <w:sz w:val="16"/>
          <w:szCs w:val="16"/>
        </w:rPr>
        <w:softHyphen/>
        <w:t>ка еще 200 кг бомб. Направляющие под восемь РС-82 сохраня</w:t>
      </w:r>
      <w:r w:rsidRPr="00722885">
        <w:rPr>
          <w:rFonts w:ascii="Times New Roman" w:hAnsi="Times New Roman"/>
          <w:color w:val="000000" w:themeColor="text1"/>
          <w:sz w:val="16"/>
          <w:szCs w:val="16"/>
        </w:rPr>
        <w:softHyphen/>
        <w:t>лись.</w:t>
      </w:r>
    </w:p>
    <w:p w14:paraId="0C25893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w:t>
      </w:r>
    </w:p>
    <w:p w14:paraId="170CD9B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Судя по документам, Ильюшин активно противился рабо</w:t>
      </w:r>
      <w:r w:rsidRPr="00722885">
        <w:rPr>
          <w:rFonts w:ascii="Times New Roman" w:hAnsi="Times New Roman"/>
          <w:color w:val="000000" w:themeColor="text1"/>
          <w:sz w:val="16"/>
          <w:szCs w:val="16"/>
        </w:rPr>
        <w:softHyphen/>
        <w:t>там по Ил-2бис. Дело в том, что на заводе № 30 он уже строил 20 самолетов с незащищенным стрелком.</w:t>
      </w:r>
    </w:p>
    <w:p w14:paraId="6309352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Инженер-инспектор Инспекции ВВС КА инженер-майор Ложечников был вынужден 4 октября обратиться непосредст</w:t>
      </w:r>
      <w:r w:rsidRPr="00722885">
        <w:rPr>
          <w:rFonts w:ascii="Times New Roman" w:hAnsi="Times New Roman"/>
          <w:color w:val="000000" w:themeColor="text1"/>
          <w:sz w:val="16"/>
          <w:szCs w:val="16"/>
        </w:rPr>
        <w:softHyphen/>
        <w:t>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w:t>
      </w:r>
      <w:r w:rsidRPr="00722885">
        <w:rPr>
          <w:rFonts w:ascii="Times New Roman" w:hAnsi="Times New Roman"/>
          <w:color w:val="000000" w:themeColor="text1"/>
          <w:sz w:val="16"/>
          <w:szCs w:val="16"/>
        </w:rPr>
        <w:softHyphen/>
        <w:t>лад он подкрепил обращением дирекции завода № 1 и стар</w:t>
      </w:r>
      <w:r w:rsidRPr="00722885">
        <w:rPr>
          <w:rFonts w:ascii="Times New Roman" w:hAnsi="Times New Roman"/>
          <w:color w:val="000000" w:themeColor="text1"/>
          <w:sz w:val="16"/>
          <w:szCs w:val="16"/>
        </w:rPr>
        <w:softHyphen/>
        <w:t>шего военпреда на заводе инженер-майора С. С. Фатеева.</w:t>
      </w:r>
    </w:p>
    <w:p w14:paraId="73499DD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вмешательства В. И. Сталина работы по самолету ускорились. Уже 15 октября Ил-2бис (зав. № 4434) поступил в НИИ ВВС. Военным летчикам новый штурмовик понра</w:t>
      </w:r>
      <w:r w:rsidRPr="00722885">
        <w:rPr>
          <w:rFonts w:ascii="Times New Roman" w:hAnsi="Times New Roman"/>
          <w:color w:val="000000" w:themeColor="text1"/>
          <w:sz w:val="16"/>
          <w:szCs w:val="16"/>
        </w:rPr>
        <w:softHyphen/>
        <w:t>вился. Учебные бои с истребителем Як-7 показали вполне хо</w:t>
      </w:r>
      <w:r w:rsidRPr="00722885">
        <w:rPr>
          <w:rFonts w:ascii="Times New Roman" w:hAnsi="Times New Roman"/>
          <w:color w:val="000000" w:themeColor="text1"/>
          <w:sz w:val="16"/>
          <w:szCs w:val="16"/>
        </w:rPr>
        <w:softHyphen/>
        <w:t>рошие результаты. В отчете от 5 ноября делался вывод, что Ил-2бис уступает Ил-2 завода № 30 только по весу загружае</w:t>
      </w:r>
      <w:r w:rsidRPr="00722885">
        <w:rPr>
          <w:rFonts w:ascii="Times New Roman" w:hAnsi="Times New Roman"/>
          <w:color w:val="000000" w:themeColor="text1"/>
          <w:sz w:val="16"/>
          <w:szCs w:val="16"/>
        </w:rPr>
        <w:softHyphen/>
        <w:t>мых в бомбоотсеки мелких авиабомб, но превосходит его по боевой живучести, летным и пилотажным качествам. Само</w:t>
      </w:r>
      <w:r w:rsidRPr="00722885">
        <w:rPr>
          <w:rFonts w:ascii="Times New Roman" w:hAnsi="Times New Roman"/>
          <w:color w:val="000000" w:themeColor="text1"/>
          <w:sz w:val="16"/>
          <w:szCs w:val="16"/>
        </w:rPr>
        <w:softHyphen/>
        <w:t>лет рекомендовался для постановки в массовую серию. Одна</w:t>
      </w:r>
      <w:r w:rsidRPr="00722885">
        <w:rPr>
          <w:rFonts w:ascii="Times New Roman" w:hAnsi="Times New Roman"/>
          <w:color w:val="000000" w:themeColor="text1"/>
          <w:sz w:val="16"/>
          <w:szCs w:val="16"/>
        </w:rPr>
        <w:softHyphen/>
        <w:t>ко окончательное решение в пользу одного из самолетов предлагалось принять после проведения войсковых испыта</w:t>
      </w:r>
      <w:r w:rsidRPr="00722885">
        <w:rPr>
          <w:rFonts w:ascii="Times New Roman" w:hAnsi="Times New Roman"/>
          <w:color w:val="000000" w:themeColor="text1"/>
          <w:sz w:val="16"/>
          <w:szCs w:val="16"/>
        </w:rPr>
        <w:softHyphen/>
        <w:t>ний (11474,292).</w:t>
      </w:r>
    </w:p>
    <w:p w14:paraId="6A393E8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B70226A" w14:textId="77777777" w:rsidR="004F02C4" w:rsidRPr="00722885" w:rsidRDefault="004F02C4" w:rsidP="00722885">
      <w:pPr>
        <w:pStyle w:val="36"/>
        <w:shd w:val="clear" w:color="auto" w:fill="auto"/>
        <w:spacing w:after="0" w:line="240" w:lineRule="auto"/>
        <w:jc w:val="both"/>
        <w:rPr>
          <w:rFonts w:ascii="Times New Roman" w:cs="Times New Roman"/>
          <w:color w:val="0070C0"/>
          <w:spacing w:val="0"/>
          <w:sz w:val="16"/>
          <w:szCs w:val="16"/>
        </w:rPr>
      </w:pPr>
      <w:r w:rsidRPr="00722885">
        <w:rPr>
          <w:rFonts w:ascii="Times New Roman" w:cs="Times New Roman"/>
          <w:color w:val="0070C0"/>
          <w:spacing w:val="0"/>
          <w:sz w:val="16"/>
          <w:szCs w:val="16"/>
        </w:rPr>
        <w:t>В сентябре 1942 г. на авиазаводе № 1 построили два экземп</w:t>
      </w:r>
      <w:r w:rsidRPr="00722885">
        <w:rPr>
          <w:rFonts w:ascii="Times New Roman" w:cs="Times New Roman"/>
          <w:color w:val="0070C0"/>
          <w:spacing w:val="0"/>
          <w:sz w:val="16"/>
          <w:szCs w:val="16"/>
        </w:rPr>
        <w:softHyphen/>
        <w:t>ляра двухместного штурмовика</w:t>
      </w:r>
      <w:r w:rsidRPr="00722885">
        <w:rPr>
          <w:rStyle w:val="aff8"/>
          <w:rFonts w:ascii="Times New Roman" w:cs="Times New Roman"/>
          <w:color w:val="0070C0"/>
          <w:spacing w:val="0"/>
          <w:sz w:val="16"/>
          <w:szCs w:val="16"/>
        </w:rPr>
        <w:t xml:space="preserve"> </w:t>
      </w:r>
      <w:r w:rsidRPr="00722885">
        <w:rPr>
          <w:rStyle w:val="aff8"/>
          <w:rFonts w:ascii="Times New Roman" w:cs="Times New Roman"/>
          <w:b w:val="0"/>
          <w:bCs w:val="0"/>
          <w:color w:val="0070C0"/>
          <w:spacing w:val="0"/>
          <w:sz w:val="16"/>
          <w:szCs w:val="16"/>
        </w:rPr>
        <w:t>Ил-2бис АМ-38</w:t>
      </w:r>
      <w:r w:rsidRPr="00722885">
        <w:rPr>
          <w:rFonts w:ascii="Times New Roman" w:cs="Times New Roman"/>
          <w:color w:val="0070C0"/>
          <w:spacing w:val="0"/>
          <w:sz w:val="16"/>
          <w:szCs w:val="16"/>
        </w:rPr>
        <w:t xml:space="preserve"> (заводские №№ 4434 и 4435), разработанного конструкторским отделом этого предприятия. Кабину стрелка с пулеметом УБТ в блистер</w:t>
      </w:r>
      <w:r w:rsidRPr="00722885">
        <w:rPr>
          <w:rFonts w:ascii="Times New Roman" w:cs="Times New Roman"/>
          <w:color w:val="0070C0"/>
          <w:spacing w:val="0"/>
          <w:sz w:val="16"/>
          <w:szCs w:val="16"/>
        </w:rPr>
        <w:softHyphen/>
        <w:t>ной установке разместили внутри немного удлиненного броне</w:t>
      </w:r>
      <w:r w:rsidRPr="00722885">
        <w:rPr>
          <w:rFonts w:ascii="Times New Roman" w:cs="Times New Roman"/>
          <w:color w:val="0070C0"/>
          <w:spacing w:val="0"/>
          <w:sz w:val="16"/>
          <w:szCs w:val="16"/>
        </w:rPr>
        <w:softHyphen/>
        <w:t>корпуса на месте заднего топливного бака. Она находилась близ</w:t>
      </w:r>
      <w:r w:rsidRPr="00722885">
        <w:rPr>
          <w:rFonts w:ascii="Times New Roman" w:cs="Times New Roman"/>
          <w:color w:val="0070C0"/>
          <w:spacing w:val="0"/>
          <w:sz w:val="16"/>
          <w:szCs w:val="16"/>
        </w:rPr>
        <w:softHyphen/>
        <w:t>ко к центру масс самолета и мало влияла на центровку, поэтому Ил-2бис почти не отличался от одноместного штурмовика по устойчивости и управляемости. Чтобы сохранить запас топлива, два бронированных бака установили во внутренних бомбоотсеках центроплана, уменьшив их вместимость с 400 кг до 200 кг бомб.</w:t>
      </w:r>
    </w:p>
    <w:p w14:paraId="07E4FAB4" w14:textId="77777777" w:rsidR="004F02C4" w:rsidRPr="00722885" w:rsidRDefault="004F02C4" w:rsidP="00722885">
      <w:pPr>
        <w:pStyle w:val="36"/>
        <w:shd w:val="clear" w:color="auto" w:fill="auto"/>
        <w:spacing w:after="0" w:line="240" w:lineRule="auto"/>
        <w:jc w:val="both"/>
        <w:rPr>
          <w:rFonts w:ascii="Times New Roman" w:cs="Times New Roman"/>
          <w:color w:val="0070C0"/>
          <w:spacing w:val="0"/>
          <w:sz w:val="16"/>
          <w:szCs w:val="16"/>
        </w:rPr>
      </w:pPr>
      <w:r w:rsidRPr="00722885">
        <w:rPr>
          <w:rFonts w:ascii="Times New Roman" w:cs="Times New Roman"/>
          <w:color w:val="0070C0"/>
          <w:spacing w:val="0"/>
          <w:sz w:val="16"/>
          <w:szCs w:val="16"/>
        </w:rPr>
        <w:lastRenderedPageBreak/>
        <w:t>Ил-2бис успешно прошел не только Государственные, но и войсковые испытания. В своем отзыве командир 6-го ГвШАП подп-к К.М. Чубченков назвал этот само</w:t>
      </w:r>
      <w:r w:rsidRPr="00722885">
        <w:rPr>
          <w:rFonts w:ascii="Times New Roman" w:cs="Times New Roman"/>
          <w:color w:val="0070C0"/>
          <w:spacing w:val="0"/>
          <w:sz w:val="16"/>
          <w:szCs w:val="16"/>
        </w:rPr>
        <w:softHyphen/>
        <w:t>лет</w:t>
      </w:r>
      <w:r w:rsidRPr="00722885">
        <w:rPr>
          <w:rStyle w:val="1pt1"/>
          <w:rFonts w:ascii="Times New Roman" w:hAnsi="Times New Roman" w:cs="Times New Roman"/>
          <w:i w:val="0"/>
          <w:iCs w:val="0"/>
          <w:color w:val="0070C0"/>
          <w:spacing w:val="0"/>
          <w:sz w:val="16"/>
          <w:szCs w:val="16"/>
        </w:rPr>
        <w:t xml:space="preserve"> «наилучшей машиной такого типа».</w:t>
      </w:r>
      <w:r w:rsidRPr="00722885">
        <w:rPr>
          <w:rFonts w:ascii="Times New Roman" w:cs="Times New Roman"/>
          <w:color w:val="0070C0"/>
          <w:spacing w:val="0"/>
          <w:sz w:val="16"/>
          <w:szCs w:val="16"/>
        </w:rPr>
        <w:t xml:space="preserve"> Он также подчеркнул, что коллектив 1-го завода создал</w:t>
      </w:r>
      <w:r w:rsidRPr="00722885">
        <w:rPr>
          <w:rStyle w:val="1pt1"/>
          <w:rFonts w:ascii="Times New Roman" w:hAnsi="Times New Roman" w:cs="Times New Roman"/>
          <w:i w:val="0"/>
          <w:iCs w:val="0"/>
          <w:color w:val="0070C0"/>
          <w:spacing w:val="0"/>
          <w:sz w:val="16"/>
          <w:szCs w:val="16"/>
        </w:rPr>
        <w:t xml:space="preserve"> «за</w:t>
      </w:r>
      <w:r w:rsidRPr="00722885">
        <w:rPr>
          <w:rStyle w:val="1pt1"/>
          <w:rFonts w:ascii="Times New Roman" w:hAnsi="Times New Roman" w:cs="Times New Roman"/>
          <w:i w:val="0"/>
          <w:iCs w:val="0"/>
          <w:color w:val="0070C0"/>
          <w:spacing w:val="0"/>
          <w:sz w:val="16"/>
          <w:szCs w:val="16"/>
        </w:rPr>
        <w:softHyphen/>
        <w:t>мечательную кабину стрелка».</w:t>
      </w:r>
      <w:r w:rsidRPr="00722885">
        <w:rPr>
          <w:rFonts w:ascii="Times New Roman" w:cs="Times New Roman"/>
          <w:color w:val="0070C0"/>
          <w:spacing w:val="0"/>
          <w:sz w:val="16"/>
          <w:szCs w:val="16"/>
        </w:rPr>
        <w:t xml:space="preserve"> Однако этот штурмо</w:t>
      </w:r>
      <w:r w:rsidRPr="00722885">
        <w:rPr>
          <w:rFonts w:ascii="Times New Roman" w:cs="Times New Roman"/>
          <w:color w:val="0070C0"/>
          <w:spacing w:val="0"/>
          <w:sz w:val="16"/>
          <w:szCs w:val="16"/>
        </w:rPr>
        <w:softHyphen/>
        <w:t>вик так и не строили серийно, посчитав, что потребу</w:t>
      </w:r>
      <w:r w:rsidRPr="00722885">
        <w:rPr>
          <w:rFonts w:ascii="Times New Roman" w:cs="Times New Roman"/>
          <w:color w:val="0070C0"/>
          <w:spacing w:val="0"/>
          <w:sz w:val="16"/>
          <w:szCs w:val="16"/>
        </w:rPr>
        <w:softHyphen/>
        <w:t>ются значительные доработки бронекорпуса и пере</w:t>
      </w:r>
      <w:r w:rsidRPr="00722885">
        <w:rPr>
          <w:rFonts w:ascii="Times New Roman" w:cs="Times New Roman"/>
          <w:color w:val="0070C0"/>
          <w:spacing w:val="0"/>
          <w:sz w:val="16"/>
          <w:szCs w:val="16"/>
        </w:rPr>
        <w:softHyphen/>
        <w:t>компоновка топливных баков, а внедрить эти новшества в производство без снижения темпов выпуска практически невозможно (19854).</w:t>
      </w:r>
    </w:p>
    <w:p w14:paraId="767275B9" w14:textId="77777777" w:rsidR="004F02C4" w:rsidRPr="00722885" w:rsidRDefault="004F02C4" w:rsidP="00722885">
      <w:pPr>
        <w:spacing w:after="0" w:line="240" w:lineRule="auto"/>
        <w:jc w:val="both"/>
        <w:rPr>
          <w:rFonts w:ascii="Times New Roman" w:hAnsi="Times New Roman"/>
          <w:color w:val="0070C0"/>
          <w:sz w:val="16"/>
          <w:szCs w:val="16"/>
        </w:rPr>
      </w:pPr>
    </w:p>
    <w:p w14:paraId="3120EA4F" w14:textId="77777777" w:rsidR="00197386" w:rsidRPr="00722885" w:rsidRDefault="0019738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 сентябре 1942 на заводе № 1 были построены два эк¬земпляра самолета Ил-2бис АМ-38, имевшие полностью бро¬нированную кабину стрелка с блистерной установкой под пуле¬мет УБТ. Инициировал эту работу начальник СКО-21 завода В.П. Яценко.</w:t>
      </w:r>
    </w:p>
    <w:p w14:paraId="56C998B0" w14:textId="77777777" w:rsidR="00197386" w:rsidRPr="00722885" w:rsidRDefault="0019738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обору¬довалась на месте заднего бензобака. За счет этого она оказалась более просторной, чем кабина завода № 30. Уровень защищен¬ности стрелка не уступал защите летчика. В двух бомбоотсеках в центроплане крыла дополнительно устанавливались два бен¬зобака, которые бронировались. Внутренняя загрузка бомб уменьшалась до 200 кг. На внешних узлах допускалась подвес¬ка еще 200 кг бомб. Направляющие под восемь РС-82 сохраня¬лись.</w:t>
      </w:r>
    </w:p>
    <w:p w14:paraId="0EF3766D" w14:textId="77777777" w:rsidR="00197386" w:rsidRPr="00722885" w:rsidRDefault="00197386"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 (19539).</w:t>
      </w:r>
    </w:p>
    <w:p w14:paraId="2D12E8F3" w14:textId="77777777" w:rsidR="00197386" w:rsidRPr="00722885" w:rsidRDefault="00197386" w:rsidP="00722885">
      <w:pPr>
        <w:pStyle w:val="ae"/>
        <w:shd w:val="clear" w:color="auto" w:fill="FFFFFF"/>
        <w:spacing w:before="0" w:after="0"/>
        <w:jc w:val="both"/>
        <w:textAlignment w:val="baseline"/>
        <w:rPr>
          <w:color w:val="000000" w:themeColor="text1"/>
          <w:sz w:val="16"/>
          <w:szCs w:val="16"/>
        </w:rPr>
      </w:pPr>
    </w:p>
    <w:p w14:paraId="497F7257" w14:textId="77777777" w:rsidR="008972A4" w:rsidRPr="00722885" w:rsidRDefault="008972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на заводе № 1 были построены два эк¬земпляра самолета Ил-2бис АМ-38, имевшие полностью бро¬нированную кабину стрелка с блистерной установкой под пуле¬мет УБТ. Инициировал эту работу начальник СКО-21 завода В.П. Яценко.</w:t>
      </w:r>
    </w:p>
    <w:p w14:paraId="3952590F" w14:textId="77777777" w:rsidR="008972A4" w:rsidRPr="00722885" w:rsidRDefault="008972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обору¬довалась на месте заднего бензобака. За счет этого она оказалась более просторной, чем кабина завода № 30. Уровень защищен¬ности стрелка не уступал защите летчика. В двух бомбоотсеках в центроплане крыла дополнительно устанавливались два бен¬зобака, которые бронировались. Внутренняя загрузка бомб уменьшалась до 200 кг. На внешних узлах допускалась подвес¬ка еще 200 кг бомб. Направляющие под восемь РС-82 сохраня¬лись.</w:t>
      </w:r>
    </w:p>
    <w:p w14:paraId="272F6C0B" w14:textId="77777777" w:rsidR="008972A4" w:rsidRPr="00722885" w:rsidRDefault="008972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 (15543).</w:t>
      </w:r>
    </w:p>
    <w:p w14:paraId="6150A26F" w14:textId="77777777" w:rsidR="008972A4" w:rsidRPr="00722885" w:rsidRDefault="008972A4" w:rsidP="00722885">
      <w:pPr>
        <w:spacing w:after="0" w:line="240" w:lineRule="auto"/>
        <w:jc w:val="both"/>
        <w:rPr>
          <w:rFonts w:ascii="Times New Roman" w:hAnsi="Times New Roman"/>
          <w:color w:val="000000" w:themeColor="text1"/>
          <w:sz w:val="16"/>
          <w:szCs w:val="16"/>
        </w:rPr>
      </w:pPr>
    </w:p>
    <w:p w14:paraId="6D745E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комиссия руководителей ВВС и АП осмотрела в Москве самодельную заднюю установку Ил-2, предложенную командиром 243 ШАД 6 ВА при активном участии ГИ 6 ВА В.Кобликова. Одобрили и предложили аналогично доработать и другие (180,102).</w:t>
      </w:r>
    </w:p>
    <w:p w14:paraId="2450CCF7" w14:textId="77777777" w:rsidR="00090C9B" w:rsidRPr="00722885" w:rsidRDefault="00090C9B" w:rsidP="00722885">
      <w:pPr>
        <w:pStyle w:val="Iauiue"/>
        <w:jc w:val="both"/>
        <w:rPr>
          <w:color w:val="000000" w:themeColor="text1"/>
          <w:sz w:val="16"/>
          <w:szCs w:val="16"/>
        </w:rPr>
      </w:pPr>
    </w:p>
    <w:p w14:paraId="7ADF371B"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сентябре 1942 Ил-2 с пулеметом ШKAC осматривался в Москве специальной комиссией ВВС и НКАП, которая одобрила этот вариант кабины стрелка и рекомендовала к внедрению в строевых частях (21180).</w:t>
      </w:r>
    </w:p>
    <w:p w14:paraId="60520EF4" w14:textId="77777777" w:rsidR="003A2E79" w:rsidRPr="00722885" w:rsidRDefault="003A2E79" w:rsidP="00722885">
      <w:pPr>
        <w:spacing w:after="0" w:line="240" w:lineRule="auto"/>
        <w:jc w:val="both"/>
        <w:rPr>
          <w:rFonts w:ascii="Times New Roman" w:hAnsi="Times New Roman"/>
          <w:color w:val="0070C0"/>
          <w:sz w:val="16"/>
          <w:szCs w:val="16"/>
        </w:rPr>
      </w:pPr>
    </w:p>
    <w:p w14:paraId="47148221" w14:textId="77777777" w:rsidR="003A2E79" w:rsidRPr="00722885" w:rsidRDefault="003A2E79"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 xml:space="preserve">В сентябре </w:t>
      </w:r>
      <w:r w:rsidRPr="00722885">
        <w:rPr>
          <w:rFonts w:ascii="Times New Roman" w:hAnsi="Times New Roman" w:cs="Times New Roman"/>
          <w:color w:val="0070C0"/>
          <w:w w:val="100"/>
          <w:sz w:val="16"/>
          <w:szCs w:val="16"/>
          <w:lang w:val="ru-RU"/>
        </w:rPr>
        <w:t xml:space="preserve">1942 </w:t>
      </w:r>
      <w:r w:rsidRPr="00722885">
        <w:rPr>
          <w:rFonts w:ascii="Times New Roman" w:hAnsi="Times New Roman" w:cs="Times New Roman"/>
          <w:color w:val="0070C0"/>
          <w:w w:val="100"/>
          <w:sz w:val="16"/>
          <w:szCs w:val="16"/>
        </w:rPr>
        <w:t>Ил-2 с пулеметом ШКАС ос</w:t>
      </w:r>
      <w:r w:rsidRPr="00722885">
        <w:rPr>
          <w:rFonts w:ascii="Times New Roman" w:hAnsi="Times New Roman" w:cs="Times New Roman"/>
          <w:color w:val="0070C0"/>
          <w:w w:val="100"/>
          <w:sz w:val="16"/>
          <w:szCs w:val="16"/>
        </w:rPr>
        <w:softHyphen/>
        <w:t>матривала в Москве специальная комиссия ВВС и НКАП, которая одобрила этот вариант кабины стрелка и рекомендовала его к вне</w:t>
      </w:r>
      <w:r w:rsidRPr="00722885">
        <w:rPr>
          <w:rFonts w:ascii="Times New Roman" w:hAnsi="Times New Roman" w:cs="Times New Roman"/>
          <w:color w:val="0070C0"/>
          <w:w w:val="100"/>
          <w:sz w:val="16"/>
          <w:szCs w:val="16"/>
        </w:rPr>
        <w:softHyphen/>
        <w:t>дрению в строевых частях. К этому времени в 17-й ВА силами технического состава армии переделали 66 штурмовиков в двухместный вариант с пулеметом УБТ</w:t>
      </w:r>
      <w:r w:rsidRPr="00722885">
        <w:rPr>
          <w:rFonts w:ascii="Times New Roman" w:hAnsi="Times New Roman" w:cs="Times New Roman"/>
          <w:color w:val="0070C0"/>
          <w:w w:val="100"/>
          <w:sz w:val="16"/>
          <w:szCs w:val="16"/>
          <w:lang w:val="ru-RU"/>
        </w:rPr>
        <w:t xml:space="preserve"> (19878)</w:t>
      </w:r>
      <w:r w:rsidRPr="00722885">
        <w:rPr>
          <w:rFonts w:ascii="Times New Roman" w:hAnsi="Times New Roman" w:cs="Times New Roman"/>
          <w:color w:val="0070C0"/>
          <w:w w:val="100"/>
          <w:sz w:val="16"/>
          <w:szCs w:val="16"/>
        </w:rPr>
        <w:t>.</w:t>
      </w:r>
    </w:p>
    <w:p w14:paraId="78D0FD82" w14:textId="77777777" w:rsidR="003A2E79" w:rsidRPr="00722885" w:rsidRDefault="003A2E79" w:rsidP="00722885">
      <w:pPr>
        <w:pStyle w:val="11b"/>
        <w:shd w:val="clear" w:color="auto" w:fill="auto"/>
        <w:spacing w:before="0" w:line="240" w:lineRule="auto"/>
        <w:rPr>
          <w:rFonts w:ascii="Times New Roman" w:hAnsi="Times New Roman" w:cs="Times New Roman"/>
          <w:color w:val="0070C0"/>
          <w:w w:val="100"/>
          <w:sz w:val="16"/>
          <w:szCs w:val="16"/>
        </w:rPr>
      </w:pPr>
    </w:p>
    <w:p w14:paraId="4AD3E2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243 шад разработала свою версию переделки одноместного Ил-2 в двухместный к июню 1942. П Я.Давидов и и В.Кобликов демонстрировали эту установку командованию ВВС. Переделка легко делалась на дивизионном уровне и была рекомендована для массового внедрения (241,14).</w:t>
      </w:r>
    </w:p>
    <w:p w14:paraId="3D9950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298 и 637 шап 17 ВА под командованием г-л С.А.Красовского были на юго-западном фронте. Там в двухместные переделали 66 осенью 1942 и их использовали в битве за Сталинград (241,14).</w:t>
      </w:r>
    </w:p>
    <w:p w14:paraId="3DA13C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другим данным в 198 шап инженеры рассчитали, что изменение центра тяжесть при установке заднего пулемета будет приемлемым. Вырезали полукруглое отверстие в хвостовой части фюзеляжа и поставили 7.62 мм. Стрелок сидел на патронном ящике и были вырезаны отверстия для тяг управления (241,14).</w:t>
      </w:r>
    </w:p>
    <w:p w14:paraId="6D9F6C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воспоминаниям в одном из полков пулемет укрепили проволокой к лодочной уключине, которая, в свою очередь устанавливалась в отверстии на деревянном фюзеляже. В качестве сидения для стрелка использовался укрепленный рейками ящик из-под макарон. В одном из полетов на этой машине был сбит Ме-109 (7,54).</w:t>
      </w:r>
    </w:p>
    <w:p w14:paraId="180651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Часто использовали турели и пулеметы от Р-5 (241,14).</w:t>
      </w:r>
    </w:p>
    <w:p w14:paraId="457BAE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Есть два фото переделок с полудугой (возможно, именно от Р-5) - побитый из книги ОКБ и фото найденного на Невем Мху. Возможно это как раз стандарт, который потом широко использовался.</w:t>
      </w:r>
    </w:p>
    <w:p w14:paraId="34DFB72F" w14:textId="77777777" w:rsidR="00090C9B" w:rsidRPr="00722885" w:rsidRDefault="00090C9B" w:rsidP="00722885">
      <w:pPr>
        <w:pStyle w:val="Iauiue"/>
        <w:jc w:val="both"/>
        <w:rPr>
          <w:color w:val="000000" w:themeColor="text1"/>
          <w:sz w:val="16"/>
          <w:szCs w:val="16"/>
        </w:rPr>
      </w:pPr>
    </w:p>
    <w:p w14:paraId="05835E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г. самолет № 19/78, поступивший в ЛИИ НКАП в мае, испытали уже в несколько усовершенствованном виде. Изменения сводились к следующему: была улучшена подгонка щитков, капотов, лючков, сопряжении частей фюзеляжа, крыльевых зализов. Обеспечили лучшую герметизацию всего самолета, изменили форму тоннелей маслорадиаторов, установили всасывающие патрубки карбюраторов с улучшенной аэродинамической формой. В результате перечисленных усовершенствований максимальная скорость полета у земли возросла на 25 км/час, а на второй границе высотности - на 28 км/час, достигнув 531 км/час (3542).</w:t>
      </w:r>
    </w:p>
    <w:p w14:paraId="1BC42887" w14:textId="77777777" w:rsidR="00090C9B" w:rsidRPr="00722885" w:rsidRDefault="00090C9B" w:rsidP="00722885">
      <w:pPr>
        <w:pStyle w:val="Iauiue"/>
        <w:jc w:val="both"/>
        <w:rPr>
          <w:color w:val="000000" w:themeColor="text1"/>
          <w:sz w:val="16"/>
          <w:szCs w:val="16"/>
        </w:rPr>
      </w:pPr>
    </w:p>
    <w:p w14:paraId="4F5384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сентября 1942 завод 18 перешел на выпуск двухместных Ил-2 (3846,17).</w:t>
      </w:r>
    </w:p>
    <w:p w14:paraId="51FC06B5" w14:textId="77777777" w:rsidR="00090C9B" w:rsidRPr="00722885" w:rsidRDefault="00090C9B" w:rsidP="00722885">
      <w:pPr>
        <w:pStyle w:val="Iauiue"/>
        <w:jc w:val="both"/>
        <w:rPr>
          <w:color w:val="000000" w:themeColor="text1"/>
          <w:sz w:val="16"/>
          <w:szCs w:val="16"/>
        </w:rPr>
      </w:pPr>
    </w:p>
    <w:p w14:paraId="4C9A409E" w14:textId="77777777" w:rsidR="00197386" w:rsidRPr="00722885" w:rsidRDefault="00197386"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сентябре 1942 вышел приказ НКАП № 147сс</w:t>
      </w:r>
    </w:p>
    <w:p w14:paraId="54ADD8B2" w14:textId="77777777" w:rsidR="00197386" w:rsidRPr="00722885" w:rsidRDefault="00197386" w:rsidP="00722885">
      <w:pPr>
        <w:pStyle w:val="ae"/>
        <w:shd w:val="clear" w:color="auto" w:fill="FFFFFF"/>
        <w:spacing w:before="0" w:after="0"/>
        <w:jc w:val="both"/>
        <w:rPr>
          <w:color w:val="000000" w:themeColor="text1"/>
          <w:sz w:val="16"/>
          <w:szCs w:val="16"/>
        </w:rPr>
      </w:pPr>
      <w:r w:rsidRPr="00722885">
        <w:rPr>
          <w:color w:val="000000" w:themeColor="text1"/>
          <w:sz w:val="16"/>
          <w:szCs w:val="16"/>
        </w:rPr>
        <w:t>С 1.10.42 на каждый третий самолет Ил-2 устанавливать радиостанцию РСИ-4; с 15.08.42 на каждый пятый самолет, а с 1.10.42 на каждый третий самолет устанавливать радиополукомпас РПК-10 и остальные самолеты оборудовать под возможную их установку в войсках (19706).</w:t>
      </w:r>
    </w:p>
    <w:p w14:paraId="2C5F02B3" w14:textId="77777777" w:rsidR="00197386" w:rsidRPr="00722885" w:rsidRDefault="00197386" w:rsidP="00722885">
      <w:pPr>
        <w:pStyle w:val="ae"/>
        <w:shd w:val="clear" w:color="auto" w:fill="FFFFFF"/>
        <w:spacing w:before="0" w:after="0"/>
        <w:jc w:val="both"/>
        <w:rPr>
          <w:color w:val="000000" w:themeColor="text1"/>
          <w:sz w:val="16"/>
          <w:szCs w:val="16"/>
        </w:rPr>
      </w:pPr>
    </w:p>
    <w:p w14:paraId="53F7654B" w14:textId="77777777" w:rsidR="00197386" w:rsidRPr="00722885" w:rsidRDefault="00197386"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сентябре 1942 вышел приказ НКАП № 157сс</w:t>
      </w:r>
    </w:p>
    <w:p w14:paraId="54F5C709" w14:textId="77777777" w:rsidR="00197386" w:rsidRPr="00722885" w:rsidRDefault="00197386" w:rsidP="00722885">
      <w:pPr>
        <w:pStyle w:val="ae"/>
        <w:shd w:val="clear" w:color="auto" w:fill="FFFFFF"/>
        <w:spacing w:before="0" w:after="0"/>
        <w:jc w:val="both"/>
        <w:rPr>
          <w:color w:val="000000" w:themeColor="text1"/>
          <w:sz w:val="16"/>
          <w:szCs w:val="16"/>
        </w:rPr>
      </w:pPr>
      <w:r w:rsidRPr="00722885">
        <w:rPr>
          <w:color w:val="000000" w:themeColor="text1"/>
          <w:sz w:val="16"/>
          <w:szCs w:val="16"/>
        </w:rPr>
        <w:t>С 15.09.42 Ил-2 выпускать с удлиненной деревянной частью фюзеляжа, изъяв из конструкции дюралюминиевое кольцо, соединяющее хвостовую часть фюзеляжа с центропланом. Заводам 18 и 381 выпускать с 15.09.42 самолеты с деревянной консолью крыла по образцу завода № 1 (19706).</w:t>
      </w:r>
    </w:p>
    <w:p w14:paraId="73E18779" w14:textId="77777777" w:rsidR="00197386" w:rsidRPr="00722885" w:rsidRDefault="00197386" w:rsidP="00722885">
      <w:pPr>
        <w:pStyle w:val="ae"/>
        <w:shd w:val="clear" w:color="auto" w:fill="FFFFFF"/>
        <w:spacing w:before="0" w:after="0"/>
        <w:jc w:val="both"/>
        <w:rPr>
          <w:color w:val="000000" w:themeColor="text1"/>
          <w:sz w:val="16"/>
          <w:szCs w:val="16"/>
        </w:rPr>
      </w:pPr>
    </w:p>
    <w:p w14:paraId="2E1719AE" w14:textId="77777777" w:rsidR="00152C26" w:rsidRPr="00722885" w:rsidRDefault="00152C2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комиссия руководителей ВВС и авиапромышленности при осмотре в Москве одобрила доработку Ил-2 с установкой на одноместном штурмовике кабины стрелка с пулеметной установкой ШКАС, предложенную командиром 243-й шад подполковник И. Данилов при активном участии главного инженера 6-й ВА В. Кобликова и высказалась за проведение аналогичной доработки самолетов, находящихся в воинских частях.</w:t>
      </w:r>
    </w:p>
    <w:p w14:paraId="4740F144" w14:textId="77777777" w:rsidR="00152C26" w:rsidRPr="00722885" w:rsidRDefault="00152C26" w:rsidP="00722885">
      <w:pPr>
        <w:spacing w:after="0" w:line="240" w:lineRule="auto"/>
        <w:jc w:val="both"/>
        <w:rPr>
          <w:rFonts w:ascii="Times New Roman" w:hAnsi="Times New Roman"/>
          <w:color w:val="000000" w:themeColor="text1"/>
          <w:sz w:val="16"/>
          <w:szCs w:val="16"/>
        </w:rPr>
      </w:pPr>
    </w:p>
    <w:p w14:paraId="21749B5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сентября 1942 г. из-за сильной загруженности ОКБ и серийного завода налажи</w:t>
      </w:r>
      <w:r w:rsidRPr="00722885">
        <w:rPr>
          <w:rFonts w:ascii="Times New Roman" w:hAnsi="Times New Roman"/>
          <w:color w:val="000000" w:themeColor="text1"/>
          <w:sz w:val="16"/>
          <w:szCs w:val="16"/>
        </w:rPr>
        <w:softHyphen/>
        <w:t>ванием бесперебойного производства «Илов» на новом месте в Куйбышеве задержалась постройка войсковой серии Ил-2 с пушками ШФК-37. При этом вместо 20 было построено только 9 машин (то есть всего 10 самолетов этого типа, включая один опытный «Ил»), которые после проведения летчиком-испы</w:t>
      </w:r>
      <w:r w:rsidRPr="00722885">
        <w:rPr>
          <w:rFonts w:ascii="Times New Roman" w:hAnsi="Times New Roman"/>
          <w:color w:val="000000" w:themeColor="text1"/>
          <w:sz w:val="16"/>
          <w:szCs w:val="16"/>
        </w:rPr>
        <w:softHyphen/>
        <w:t>тателем Е.Н. Ломакиным заводских испытаний и были направле</w:t>
      </w:r>
      <w:r w:rsidRPr="00722885">
        <w:rPr>
          <w:rFonts w:ascii="Times New Roman" w:hAnsi="Times New Roman"/>
          <w:color w:val="000000" w:themeColor="text1"/>
          <w:sz w:val="16"/>
          <w:szCs w:val="16"/>
        </w:rPr>
        <w:softHyphen/>
        <w:t>ны под Сталинград в состав 228-й штурмовой авиадивизии 16-й воздушной армии Донского фронта. За все время войсковых испытаний на фронте под Сталингра</w:t>
      </w:r>
      <w:r w:rsidRPr="00722885">
        <w:rPr>
          <w:rFonts w:ascii="Times New Roman" w:hAnsi="Times New Roman"/>
          <w:color w:val="000000" w:themeColor="text1"/>
          <w:sz w:val="16"/>
          <w:szCs w:val="16"/>
        </w:rPr>
        <w:softHyphen/>
        <w:t>дом Ил-2 с ШФК-37 совершили 75 боевых самолето-вылетов с об</w:t>
      </w:r>
      <w:r w:rsidRPr="00722885">
        <w:rPr>
          <w:rFonts w:ascii="Times New Roman" w:hAnsi="Times New Roman"/>
          <w:color w:val="000000" w:themeColor="text1"/>
          <w:sz w:val="16"/>
          <w:szCs w:val="16"/>
        </w:rPr>
        <w:softHyphen/>
        <w:t>щим налетом 68 ч. 42 мин., выполняя задания совместно с «Ила-ми», вооруженными пушками ВЯ и ШВАК. Боевые вьшеты выпол</w:t>
      </w:r>
      <w:r w:rsidRPr="00722885">
        <w:rPr>
          <w:rFonts w:ascii="Times New Roman" w:hAnsi="Times New Roman"/>
          <w:color w:val="000000" w:themeColor="text1"/>
          <w:sz w:val="16"/>
          <w:szCs w:val="16"/>
        </w:rPr>
        <w:softHyphen/>
        <w:t>нялись как без сопровождения, так и в сопровождении истребите</w:t>
      </w:r>
      <w:r w:rsidRPr="00722885">
        <w:rPr>
          <w:rFonts w:ascii="Times New Roman" w:hAnsi="Times New Roman"/>
          <w:color w:val="000000" w:themeColor="text1"/>
          <w:sz w:val="16"/>
          <w:szCs w:val="16"/>
        </w:rPr>
        <w:softHyphen/>
        <w:t>лей. Один Ил-2 с ШФК-37 был сбит над целью, второй подбит (со</w:t>
      </w:r>
      <w:r w:rsidRPr="00722885">
        <w:rPr>
          <w:rFonts w:ascii="Times New Roman" w:hAnsi="Times New Roman"/>
          <w:color w:val="000000" w:themeColor="text1"/>
          <w:sz w:val="16"/>
          <w:szCs w:val="16"/>
        </w:rPr>
        <w:softHyphen/>
        <w:t>вершил вынужденную посадку на линии фронта на нейтральной полосе и из-за невозможности эвакуации был уничтожен бомба</w:t>
      </w:r>
      <w:r w:rsidRPr="00722885">
        <w:rPr>
          <w:rFonts w:ascii="Times New Roman" w:hAnsi="Times New Roman"/>
          <w:color w:val="000000" w:themeColor="text1"/>
          <w:sz w:val="16"/>
          <w:szCs w:val="16"/>
        </w:rPr>
        <w:softHyphen/>
        <w:t>ми). Остальные машины получили повреждения. От начала и до конца войсковых испытаний прошли только два «Ила», которые выполнили 44 боевых вылета. Штурмовики действовали главным образом по самолетам на аэ</w:t>
      </w:r>
      <w:r w:rsidRPr="00722885">
        <w:rPr>
          <w:rFonts w:ascii="Times New Roman" w:hAnsi="Times New Roman"/>
          <w:color w:val="000000" w:themeColor="text1"/>
          <w:sz w:val="16"/>
          <w:szCs w:val="16"/>
        </w:rPr>
        <w:softHyphen/>
        <w:t>родромах и автотранспорту противника, в отдельных случаях — по огневым точкам на поле боя, дзотам, бронемашинам и танкам. Об</w:t>
      </w:r>
      <w:r w:rsidRPr="00722885">
        <w:rPr>
          <w:rFonts w:ascii="Times New Roman" w:hAnsi="Times New Roman"/>
          <w:color w:val="000000" w:themeColor="text1"/>
          <w:sz w:val="16"/>
          <w:szCs w:val="16"/>
        </w:rPr>
        <w:softHyphen/>
        <w:t>щий расход боеприпасов составил: к пушкам ШФК-37 — 2255 сна-</w:t>
      </w:r>
      <w:r w:rsidRPr="00722885">
        <w:rPr>
          <w:rFonts w:ascii="Times New Roman" w:hAnsi="Times New Roman"/>
          <w:smallCaps/>
          <w:color w:val="000000" w:themeColor="text1"/>
          <w:sz w:val="16"/>
          <w:szCs w:val="16"/>
        </w:rPr>
        <w:t xml:space="preserve">рядов, </w:t>
      </w:r>
      <w:r w:rsidRPr="00722885">
        <w:rPr>
          <w:rFonts w:ascii="Times New Roman" w:hAnsi="Times New Roman"/>
          <w:color w:val="000000" w:themeColor="text1"/>
          <w:sz w:val="16"/>
          <w:szCs w:val="16"/>
        </w:rPr>
        <w:t>к пулеметам ШКАС — 26 840 патронов, РС-82 - 523, фугас</w:t>
      </w:r>
      <w:r w:rsidRPr="00722885">
        <w:rPr>
          <w:rFonts w:ascii="Times New Roman" w:hAnsi="Times New Roman"/>
          <w:color w:val="000000" w:themeColor="text1"/>
          <w:sz w:val="16"/>
          <w:szCs w:val="16"/>
        </w:rPr>
        <w:softHyphen/>
        <w:t>ных авиабомб типа ФАБ-100 — 107, осколочных авиабомб типа АО-25 - 87. Атаки наземных целей производились с планирования под угла</w:t>
      </w:r>
      <w:r w:rsidRPr="00722885">
        <w:rPr>
          <w:rFonts w:ascii="Times New Roman" w:hAnsi="Times New Roman"/>
          <w:color w:val="000000" w:themeColor="text1"/>
          <w:sz w:val="16"/>
          <w:szCs w:val="16"/>
        </w:rPr>
        <w:softHyphen/>
        <w:t>ми 25-30° с высот 1300-1000 м. По донесениям летчиков огнем пу</w:t>
      </w:r>
      <w:r w:rsidRPr="00722885">
        <w:rPr>
          <w:rFonts w:ascii="Times New Roman" w:hAnsi="Times New Roman"/>
          <w:color w:val="000000" w:themeColor="text1"/>
          <w:sz w:val="16"/>
          <w:szCs w:val="16"/>
        </w:rPr>
        <w:softHyphen/>
        <w:t>шек ШФК-37 было уничтожено 2 танка, 4 самолета на аэродромах, около 50 автомашин, один склад с боеприпасами и 2 зенитные ба</w:t>
      </w:r>
      <w:r w:rsidRPr="00722885">
        <w:rPr>
          <w:rFonts w:ascii="Times New Roman" w:hAnsi="Times New Roman"/>
          <w:color w:val="000000" w:themeColor="text1"/>
          <w:sz w:val="16"/>
          <w:szCs w:val="16"/>
        </w:rPr>
        <w:softHyphen/>
        <w:t>тареи. Кроме того, летчиками наблюдались попадания в 3 танка, 4 самолета, 14 автомашин и 1 бронемашину, но достоверность пора</w:t>
      </w:r>
      <w:r w:rsidRPr="00722885">
        <w:rPr>
          <w:rFonts w:ascii="Times New Roman" w:hAnsi="Times New Roman"/>
          <w:color w:val="000000" w:themeColor="text1"/>
          <w:sz w:val="16"/>
          <w:szCs w:val="16"/>
        </w:rPr>
        <w:softHyphen/>
        <w:t>жения целей они подтвердить не могли. Средний расход боекомплекта к пушкам ШФК-37 за один само</w:t>
      </w:r>
      <w:r w:rsidRPr="00722885">
        <w:rPr>
          <w:rFonts w:ascii="Times New Roman" w:hAnsi="Times New Roman"/>
          <w:color w:val="000000" w:themeColor="text1"/>
          <w:sz w:val="16"/>
          <w:szCs w:val="16"/>
        </w:rPr>
        <w:softHyphen/>
        <w:t>летовылет составил 37,6%. Это, с одной стороны, говорит о том, что целей, достойных для пушек ШФК-37, в боевых вылетах было мало, а с другой стороны, указывает на недостаточную эффектив</w:t>
      </w:r>
      <w:r w:rsidRPr="00722885">
        <w:rPr>
          <w:rFonts w:ascii="Times New Roman" w:hAnsi="Times New Roman"/>
          <w:color w:val="000000" w:themeColor="text1"/>
          <w:sz w:val="16"/>
          <w:szCs w:val="16"/>
        </w:rPr>
        <w:softHyphen/>
        <w:t>ность стрельбы с самолета Ил-2 из такой пушки по малоразмерным целям. За время войсковых испытаний отмечалось несколько случаев применения ШФК-37 по воздушным целям, но все они были не</w:t>
      </w:r>
      <w:r w:rsidRPr="00722885">
        <w:rPr>
          <w:rFonts w:ascii="Times New Roman" w:hAnsi="Times New Roman"/>
          <w:color w:val="000000" w:themeColor="text1"/>
          <w:sz w:val="16"/>
          <w:szCs w:val="16"/>
        </w:rPr>
        <w:softHyphen/>
        <w:t>удачными. В течение всего времени испытаний пушки ШФК-37 работали ненадежно — средний процент настрела боекомплекта, приходя</w:t>
      </w:r>
      <w:r w:rsidRPr="00722885">
        <w:rPr>
          <w:rFonts w:ascii="Times New Roman" w:hAnsi="Times New Roman"/>
          <w:color w:val="000000" w:themeColor="text1"/>
          <w:sz w:val="16"/>
          <w:szCs w:val="16"/>
        </w:rPr>
        <w:softHyphen/>
        <w:t>щийся на один отказ, составил всего 54%. То есть почти каждый второй вылет на боевое задание Ил-2 с пушками ШФК-37 сопро</w:t>
      </w:r>
      <w:r w:rsidRPr="00722885">
        <w:rPr>
          <w:rFonts w:ascii="Times New Roman" w:hAnsi="Times New Roman"/>
          <w:color w:val="000000" w:themeColor="text1"/>
          <w:sz w:val="16"/>
          <w:szCs w:val="16"/>
        </w:rPr>
        <w:softHyphen/>
        <w:t>вождался отказом хотя бы одной из пушек. Ведение же прицельной стрельбы из одной пушки, как уже говорилось, исключалось. Кро</w:t>
      </w:r>
      <w:r w:rsidRPr="00722885">
        <w:rPr>
          <w:rFonts w:ascii="Times New Roman" w:hAnsi="Times New Roman"/>
          <w:color w:val="000000" w:themeColor="text1"/>
          <w:sz w:val="16"/>
          <w:szCs w:val="16"/>
        </w:rPr>
        <w:softHyphen/>
        <w:t>ме того, малый запас продольной устойчивости и усложнение тех</w:t>
      </w:r>
      <w:r w:rsidRPr="00722885">
        <w:rPr>
          <w:rFonts w:ascii="Times New Roman" w:hAnsi="Times New Roman"/>
          <w:color w:val="000000" w:themeColor="text1"/>
          <w:sz w:val="16"/>
          <w:szCs w:val="16"/>
        </w:rPr>
        <w:softHyphen/>
        <w:t>ники пилотирования самолета Ил-2 с пушками ШФК-37 в сочета</w:t>
      </w:r>
      <w:r w:rsidRPr="00722885">
        <w:rPr>
          <w:rFonts w:ascii="Times New Roman" w:hAnsi="Times New Roman"/>
          <w:color w:val="000000" w:themeColor="text1"/>
          <w:sz w:val="16"/>
          <w:szCs w:val="16"/>
        </w:rPr>
        <w:softHyphen/>
        <w:t>нии с недостаточной жесткостью крыльевых пушечных установок и сильной отдачей самих пушек при стрельбе приводили к тому, что строевые летчики в одной прицельной очереди могли исполь</w:t>
      </w:r>
      <w:r w:rsidRPr="00722885">
        <w:rPr>
          <w:rFonts w:ascii="Times New Roman" w:hAnsi="Times New Roman"/>
          <w:color w:val="000000" w:themeColor="text1"/>
          <w:sz w:val="16"/>
          <w:szCs w:val="16"/>
        </w:rPr>
        <w:softHyphen/>
        <w:t xml:space="preserve">зовать не более двух-трех снарядов. Максимальная же бомбовая нагрузка штурмовика составляла всего 200 кг. Все это существенно снижало боевую ценность нового штурмовика. </w:t>
      </w:r>
      <w:r w:rsidRPr="00722885">
        <w:rPr>
          <w:rFonts w:ascii="Times New Roman" w:hAnsi="Times New Roman"/>
          <w:color w:val="000000" w:themeColor="text1"/>
          <w:sz w:val="16"/>
          <w:szCs w:val="16"/>
        </w:rPr>
        <w:lastRenderedPageBreak/>
        <w:t>Оценки показывают, что в реальных условиях боев летчик с хо</w:t>
      </w:r>
      <w:r w:rsidRPr="00722885">
        <w:rPr>
          <w:rFonts w:ascii="Times New Roman" w:hAnsi="Times New Roman"/>
          <w:color w:val="000000" w:themeColor="text1"/>
          <w:sz w:val="16"/>
          <w:szCs w:val="16"/>
        </w:rPr>
        <w:softHyphen/>
        <w:t>рошей летной и стрелковой подготовкой на Ил-2 с ШФК-37 мог обеспечить вероятность поражения немецкого среднего танка типа Рг.Ш С в одном заходе (атака сбоку, угол планирования 25-30°, дистанция открытия огня 300-400 м) порядка 0,04-0,02, а бронет</w:t>
      </w:r>
      <w:r w:rsidRPr="00722885">
        <w:rPr>
          <w:rFonts w:ascii="Times New Roman" w:hAnsi="Times New Roman"/>
          <w:color w:val="000000" w:themeColor="text1"/>
          <w:sz w:val="16"/>
          <w:szCs w:val="16"/>
        </w:rPr>
        <w:softHyphen/>
        <w:t>ранспортера типа 5с1.Кг2.250 — около 0,09-0,06. То есть для гаран</w:t>
      </w:r>
      <w:r w:rsidRPr="00722885">
        <w:rPr>
          <w:rFonts w:ascii="Times New Roman" w:hAnsi="Times New Roman"/>
          <w:color w:val="000000" w:themeColor="text1"/>
          <w:sz w:val="16"/>
          <w:szCs w:val="16"/>
        </w:rPr>
        <w:softHyphen/>
        <w:t>тированного уничтожения на поле боя одной единицы бронетехники вермахта необходимо было выделять, как минимум, два де</w:t>
      </w:r>
      <w:r w:rsidRPr="00722885">
        <w:rPr>
          <w:rFonts w:ascii="Times New Roman" w:hAnsi="Times New Roman"/>
          <w:color w:val="000000" w:themeColor="text1"/>
          <w:sz w:val="16"/>
          <w:szCs w:val="16"/>
        </w:rPr>
        <w:softHyphen/>
        <w:t>сятка бронированных Ил-2 (10695).</w:t>
      </w:r>
    </w:p>
    <w:p w14:paraId="11791A9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DFD40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на заводе № 30 был изготовлен самолет УИл-2 зав. № 30790, который налетал 326 часов и выполнил 1120 посадок. В ноябре 1942 на заводе № 18 был изготовлен УИл-2 зав. № 7230, который налетал 526 часов и произвел 3256 посадок. При этом обе машины имели допуск к полетам. Боевые варианты Ил-2 ввиду незна</w:t>
      </w:r>
      <w:r w:rsidRPr="00722885">
        <w:rPr>
          <w:rFonts w:ascii="Times New Roman" w:hAnsi="Times New Roman"/>
          <w:color w:val="000000" w:themeColor="text1"/>
          <w:sz w:val="16"/>
          <w:szCs w:val="16"/>
        </w:rPr>
        <w:softHyphen/>
        <w:t>чительного времени жизни на фронте свой ресурс большей ча</w:t>
      </w:r>
      <w:r w:rsidRPr="00722885">
        <w:rPr>
          <w:rFonts w:ascii="Times New Roman" w:hAnsi="Times New Roman"/>
          <w:color w:val="000000" w:themeColor="text1"/>
          <w:sz w:val="16"/>
          <w:szCs w:val="16"/>
        </w:rPr>
        <w:softHyphen/>
        <w:t>стью не вырабатывали. Износ отдельных частей конструкции планера самолетов оказался сравнительно невысоким и был связан главным образом с де</w:t>
      </w:r>
      <w:r w:rsidRPr="00722885">
        <w:rPr>
          <w:rFonts w:ascii="Times New Roman" w:hAnsi="Times New Roman"/>
          <w:color w:val="000000" w:themeColor="text1"/>
          <w:sz w:val="16"/>
          <w:szCs w:val="16"/>
        </w:rPr>
        <w:softHyphen/>
        <w:t>формацией лонжеронов центроплана, расслоением и загнива</w:t>
      </w:r>
      <w:r w:rsidRPr="00722885">
        <w:rPr>
          <w:rFonts w:ascii="Times New Roman" w:hAnsi="Times New Roman"/>
          <w:color w:val="000000" w:themeColor="text1"/>
          <w:sz w:val="16"/>
          <w:szCs w:val="16"/>
        </w:rPr>
        <w:softHyphen/>
        <w:t>нием деревянных рам и шпона фюзеляжа. (11474,314).</w:t>
      </w:r>
    </w:p>
    <w:p w14:paraId="279DC3A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A67DC12" w14:textId="77777777" w:rsidR="004A0609" w:rsidRPr="00722885" w:rsidRDefault="004A060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Ильюшин снял проект МШ-АМ-38 с повестки дня и прекратил по нему все работы (17490).</w:t>
      </w:r>
    </w:p>
    <w:p w14:paraId="2D7288CA" w14:textId="77777777" w:rsidR="004A0609" w:rsidRPr="00722885" w:rsidRDefault="004A0609" w:rsidP="00722885">
      <w:pPr>
        <w:spacing w:after="0" w:line="240" w:lineRule="auto"/>
        <w:jc w:val="both"/>
        <w:rPr>
          <w:rFonts w:ascii="Times New Roman" w:eastAsia="Times New Roman" w:hAnsi="Times New Roman"/>
          <w:color w:val="000000" w:themeColor="text1"/>
          <w:sz w:val="16"/>
          <w:szCs w:val="16"/>
          <w:lang w:eastAsia="ru-RU"/>
        </w:rPr>
      </w:pPr>
    </w:p>
    <w:p w14:paraId="1DF676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были закончены специальные 50 час. летные испытания АМ-38Ф на Ил-2 и мотор проработал 65:52 без дефектов. Готовы 3 для 100 час. стендовых испытания к 12 октября. По АМ-42 была подготовлена к запуску в производство опытная партия АМ-42 (1684,304).</w:t>
      </w:r>
    </w:p>
    <w:p w14:paraId="13304418" w14:textId="77777777" w:rsidR="00090C9B" w:rsidRPr="00722885" w:rsidRDefault="00090C9B" w:rsidP="00722885">
      <w:pPr>
        <w:pStyle w:val="Iauiue"/>
        <w:jc w:val="both"/>
        <w:rPr>
          <w:color w:val="000000" w:themeColor="text1"/>
          <w:sz w:val="16"/>
          <w:szCs w:val="16"/>
        </w:rPr>
      </w:pPr>
    </w:p>
    <w:p w14:paraId="3DB0F9E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были проведены повторные 50-ча</w:t>
      </w:r>
      <w:r w:rsidRPr="00722885">
        <w:rPr>
          <w:rFonts w:ascii="Times New Roman" w:hAnsi="Times New Roman"/>
          <w:color w:val="000000" w:themeColor="text1"/>
          <w:sz w:val="16"/>
          <w:szCs w:val="16"/>
        </w:rPr>
        <w:softHyphen/>
        <w:t>совые специальные летные испытания мотора на самолете Ил-2. За время испытаний мотор и его агрегаты работали на</w:t>
      </w:r>
      <w:r w:rsidRPr="00722885">
        <w:rPr>
          <w:rFonts w:ascii="Times New Roman" w:hAnsi="Times New Roman"/>
          <w:color w:val="000000" w:themeColor="text1"/>
          <w:sz w:val="16"/>
          <w:szCs w:val="16"/>
        </w:rPr>
        <w:softHyphen/>
        <w:t>дежно и дефектов не имели. Наработка мотора на взлетном ре</w:t>
      </w:r>
      <w:r w:rsidRPr="00722885">
        <w:rPr>
          <w:rFonts w:ascii="Times New Roman" w:hAnsi="Times New Roman"/>
          <w:color w:val="000000" w:themeColor="text1"/>
          <w:sz w:val="16"/>
          <w:szCs w:val="16"/>
        </w:rPr>
        <w:softHyphen/>
        <w:t>жиме составила 2 ч 5 мин., а на номинальном и 0,5 от номи</w:t>
      </w:r>
      <w:r w:rsidRPr="00722885">
        <w:rPr>
          <w:rFonts w:ascii="Times New Roman" w:hAnsi="Times New Roman"/>
          <w:color w:val="000000" w:themeColor="text1"/>
          <w:sz w:val="16"/>
          <w:szCs w:val="16"/>
        </w:rPr>
        <w:softHyphen/>
        <w:t>нального — 43 ч 14 мин. (11474,300).</w:t>
      </w:r>
    </w:p>
    <w:p w14:paraId="496FDAB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325DF5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завод № 45 перевыполнил программу, предусматривавшую изго</w:t>
      </w:r>
      <w:r w:rsidRPr="00722885">
        <w:rPr>
          <w:rFonts w:ascii="Times New Roman" w:hAnsi="Times New Roman"/>
          <w:color w:val="000000" w:themeColor="text1"/>
          <w:sz w:val="16"/>
          <w:szCs w:val="16"/>
        </w:rPr>
        <w:softHyphen/>
        <w:t>товление 85 моторов, и занял третье место среди предприятий наркомата. Так же уверенно завод работал и в ок</w:t>
      </w:r>
      <w:r w:rsidRPr="00722885">
        <w:rPr>
          <w:rFonts w:ascii="Times New Roman" w:hAnsi="Times New Roman"/>
          <w:color w:val="000000" w:themeColor="text1"/>
          <w:sz w:val="16"/>
          <w:szCs w:val="16"/>
        </w:rPr>
        <w:softHyphen/>
        <w:t>тябре, доведя месячную производитель</w:t>
      </w:r>
      <w:r w:rsidRPr="00722885">
        <w:rPr>
          <w:rFonts w:ascii="Times New Roman" w:hAnsi="Times New Roman"/>
          <w:color w:val="000000" w:themeColor="text1"/>
          <w:sz w:val="16"/>
          <w:szCs w:val="16"/>
        </w:rPr>
        <w:softHyphen/>
        <w:t>ность до 130 единиц (11159). Однако в конце года из-за проблем с кадрами и плохих погодных условий ситуация ухудшилась. Достаточно ска</w:t>
      </w:r>
      <w:r w:rsidRPr="00722885">
        <w:rPr>
          <w:rFonts w:ascii="Times New Roman" w:hAnsi="Times New Roman"/>
          <w:color w:val="000000" w:themeColor="text1"/>
          <w:sz w:val="16"/>
          <w:szCs w:val="16"/>
        </w:rPr>
        <w:softHyphen/>
        <w:t>зать, что за 1942 г. на завод было при</w:t>
      </w:r>
      <w:r w:rsidRPr="00722885">
        <w:rPr>
          <w:rFonts w:ascii="Times New Roman" w:hAnsi="Times New Roman"/>
          <w:color w:val="000000" w:themeColor="text1"/>
          <w:sz w:val="16"/>
          <w:szCs w:val="16"/>
        </w:rPr>
        <w:softHyphen/>
        <w:t>нято 14 238 человек, в том числе 7260 рабочих и 1769 инженеров и техни</w:t>
      </w:r>
      <w:r w:rsidRPr="00722885">
        <w:rPr>
          <w:rFonts w:ascii="Times New Roman" w:hAnsi="Times New Roman"/>
          <w:color w:val="000000" w:themeColor="text1"/>
          <w:sz w:val="16"/>
          <w:szCs w:val="16"/>
        </w:rPr>
        <w:softHyphen/>
        <w:t>ков. Из указанного числа рабочих толь</w:t>
      </w:r>
      <w:r w:rsidRPr="00722885">
        <w:rPr>
          <w:rFonts w:ascii="Times New Roman" w:hAnsi="Times New Roman"/>
          <w:color w:val="000000" w:themeColor="text1"/>
          <w:sz w:val="16"/>
          <w:szCs w:val="16"/>
        </w:rPr>
        <w:softHyphen/>
        <w:t>ко 40 % имели опыт работы на заводе, остальные были «зелеными» новичка</w:t>
      </w:r>
      <w:r w:rsidRPr="00722885">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722885">
        <w:rPr>
          <w:rFonts w:ascii="Times New Roman" w:hAnsi="Times New Roman"/>
          <w:color w:val="000000" w:themeColor="text1"/>
          <w:sz w:val="16"/>
          <w:szCs w:val="16"/>
        </w:rPr>
        <w:softHyphen/>
        <w:t>рей, 82 слесаря, 273 шлифовщика и 360 фрезеровщиков).</w:t>
      </w:r>
    </w:p>
    <w:p w14:paraId="3EF4FB8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Недостаточная квалификация ра</w:t>
      </w:r>
      <w:r w:rsidRPr="00722885">
        <w:rPr>
          <w:rFonts w:ascii="Times New Roman" w:hAnsi="Times New Roman"/>
          <w:color w:val="000000" w:themeColor="text1"/>
          <w:sz w:val="16"/>
          <w:szCs w:val="16"/>
        </w:rPr>
        <w:softHyphen/>
        <w:t>ботников грозила срывом производ</w:t>
      </w:r>
      <w:r w:rsidRPr="00722885">
        <w:rPr>
          <w:rFonts w:ascii="Times New Roman" w:hAnsi="Times New Roman"/>
          <w:color w:val="000000" w:themeColor="text1"/>
          <w:sz w:val="16"/>
          <w:szCs w:val="16"/>
        </w:rPr>
        <w:softHyphen/>
        <w:t>ственных планов. Три мотора, постав</w:t>
      </w:r>
      <w:r w:rsidRPr="00722885">
        <w:rPr>
          <w:rFonts w:ascii="Times New Roman" w:hAnsi="Times New Roman"/>
          <w:color w:val="000000" w:themeColor="text1"/>
          <w:sz w:val="16"/>
          <w:szCs w:val="16"/>
        </w:rPr>
        <w:softHyphen/>
        <w:t>ленные на длительные испытания осе</w:t>
      </w:r>
      <w:r w:rsidRPr="00722885">
        <w:rPr>
          <w:rFonts w:ascii="Times New Roman" w:hAnsi="Times New Roman"/>
          <w:color w:val="000000" w:themeColor="text1"/>
          <w:sz w:val="16"/>
          <w:szCs w:val="16"/>
        </w:rPr>
        <w:softHyphen/>
        <w:t>нью 1942 г., не отработали установлен</w:t>
      </w:r>
      <w:r w:rsidRPr="00722885">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722885">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722885">
        <w:rPr>
          <w:rFonts w:ascii="Times New Roman" w:hAnsi="Times New Roman"/>
          <w:color w:val="000000" w:themeColor="text1"/>
          <w:sz w:val="16"/>
          <w:szCs w:val="16"/>
        </w:rPr>
        <w:softHyphen/>
        <w:t>рен и поломки клапанов, что было выз</w:t>
      </w:r>
      <w:r w:rsidRPr="00722885">
        <w:rPr>
          <w:rFonts w:ascii="Times New Roman" w:hAnsi="Times New Roman"/>
          <w:color w:val="000000" w:themeColor="text1"/>
          <w:sz w:val="16"/>
          <w:szCs w:val="16"/>
        </w:rPr>
        <w:softHyphen/>
        <w:t>вано нетолько невысоким качеством из</w:t>
      </w:r>
      <w:r w:rsidRPr="00722885">
        <w:rPr>
          <w:rFonts w:ascii="Times New Roman" w:hAnsi="Times New Roman"/>
          <w:color w:val="000000" w:themeColor="text1"/>
          <w:sz w:val="16"/>
          <w:szCs w:val="16"/>
        </w:rPr>
        <w:softHyphen/>
        <w:t>готовления моторов, но и низкокаче</w:t>
      </w:r>
      <w:r w:rsidRPr="00722885">
        <w:rPr>
          <w:rFonts w:ascii="Times New Roman" w:hAnsi="Times New Roman"/>
          <w:color w:val="000000" w:themeColor="text1"/>
          <w:sz w:val="16"/>
          <w:szCs w:val="16"/>
        </w:rPr>
        <w:softHyphen/>
        <w:t>ственным третьесортным бензином, которым снабжался завод (11159).</w:t>
      </w:r>
    </w:p>
    <w:p w14:paraId="5762EA8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8CBE7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проходили летные испытания Пе-2 N 19/78 с лобовым сопротивлением, уменьшенным по рекомендациям ЦАГИ производства завода № 22 апреля-мая 1942.</w:t>
      </w:r>
    </w:p>
    <w:p w14:paraId="116FA0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октября 1942 Зам. нач. ЛИИ НКАП А.В.Чесалов утвердил Отчет о рез-тах летных испытаний Пе-2 N 19/78 с лобовым сопротивлением, уменьшенным по рекомендациям ЦАГИ производства завода № 22 апреля-мая 1942, которые проходили в сентябре 1942 (810,3).</w:t>
      </w:r>
    </w:p>
    <w:p w14:paraId="025FE1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и М.И.Хейфец</w:t>
      </w:r>
    </w:p>
    <w:p w14:paraId="336CAC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л М.Л.Галлай</w:t>
      </w:r>
    </w:p>
    <w:p w14:paraId="6B3005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Объект испытаний</w:t>
      </w:r>
    </w:p>
    <w:p w14:paraId="2C42B7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Пе-2 № 19/78 производства завода № 22 апреля-мая 1942 подвергнут проверочным испытаниям в Казанском филиале ЛИИ (Отчет об испытаниях серийного с-та Пе-2 № 19-78 выпуска мая 1942, вед. и А.Е.Брук)</w:t>
      </w:r>
    </w:p>
    <w:p w14:paraId="16933A3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испытаниях было установлено, что с-т Пе-2 № 19-78 значительно отличается от с-тов первых серий по качеству выполнения:</w:t>
      </w:r>
    </w:p>
    <w:p w14:paraId="292D80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поверхность крыла неровная и образует продольные и поперечные волны, концы слальных лент у задней кромки крыла образуют щели шириной 10х60 мм</w:t>
      </w:r>
    </w:p>
    <w:p w14:paraId="51A239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посадочные щитки плохо подогнаны и в верхнем состоянии образуют уступ высотой 3-5 мм</w:t>
      </w:r>
    </w:p>
    <w:p w14:paraId="57882C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задняя кромка крыла между мотогондолой и фюзеляжем долстигает толщины примерно 20 мм</w:t>
      </w:r>
    </w:p>
    <w:p w14:paraId="1E1EF6E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лючки на нижней части крыла и меют зазоры до 3-5 мм</w:t>
      </w:r>
    </w:p>
    <w:p w14:paraId="24F2A056"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в полете отсасывает лючек горловины б/б на 5 мм</w:t>
      </w:r>
    </w:p>
    <w:p w14:paraId="0AFDC15C"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поверхность фюзеляжа не ровная, на местах проклейки - волны</w:t>
      </w:r>
    </w:p>
    <w:p w14:paraId="43EFB027"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зализ стабилизатора плохо подогнан</w:t>
      </w:r>
    </w:p>
    <w:p w14:paraId="5D4597D1"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бомболюки полностью не закрываются, образуя зазор в 6 мм при стоянке на земле и 8-9 мм в полете</w:t>
      </w:r>
    </w:p>
    <w:p w14:paraId="51DE09FC"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задний обтекатель фонаря кабины смещен в бок, вследствие чего получаются уступы до 15 мм. Щель между замком и обтекателем имеет ширину порядка 10 мм и т.д. и т.п.</w:t>
      </w:r>
    </w:p>
    <w:p w14:paraId="4E31F950"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После окончания летных испытаний в Казани с-т был передан в 1 лабораторию ЦАГИ для продувки а трубе Т-101. На основе продувок был начемен ряд мероприятий, позволяющих снизити Сх на 0,0042.</w:t>
      </w:r>
    </w:p>
    <w:p w14:paraId="6E365A0F"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Из числа намеченных улучшений на с-те Пе-2 № 19-78 были проведены следующие мероприятия:</w:t>
      </w:r>
    </w:p>
    <w:p w14:paraId="3629F626"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поверхность крыла выправлена нитрошпаклевкой по шаблонам и покрыта нитрокраской при помощи пульверизатора</w:t>
      </w:r>
    </w:p>
    <w:p w14:paraId="02D4DDA9"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обеспечено полное поджатие к крылу посадочных щитков по всему размаху и уничтожен выступ у передней кромки щитков, а также около мотогондолы и фюзеляжа</w:t>
      </w:r>
    </w:p>
    <w:p w14:paraId="3B48454E"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уменьшены боковые щели между элероном и крылом, а также щели между внешними и внутренними частями элерона</w:t>
      </w:r>
    </w:p>
    <w:p w14:paraId="5E97A1EB"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выправлены стыковочные ленты</w:t>
      </w:r>
    </w:p>
    <w:p w14:paraId="7A2BAA61"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проверена и улучшена герметизация водорадиатора</w:t>
      </w:r>
    </w:p>
    <w:p w14:paraId="78344EA9"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удалены уступы, щели между другими элементами конструкции. Поверхность капотов выправлена выколоткой</w:t>
      </w:r>
    </w:p>
    <w:p w14:paraId="09BA9A51"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проведена герметизация капотов путем постановки в местах стыка крышек капота скользящих металлических прокладок</w:t>
      </w:r>
    </w:p>
    <w:p w14:paraId="56BEBEB6"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проведена и улучшена герметизация тоннелей маслорадиатора. Улучшена аэродинамика входного отверстия тоннеля</w:t>
      </w:r>
    </w:p>
    <w:p w14:paraId="6EA7292D"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проведена герметизация фюзеляжа, мотогондол, куполов шасси и хвостового колеса (люков)</w:t>
      </w:r>
    </w:p>
    <w:p w14:paraId="1DE3941E"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Весь с-т был окрашен заново нитрокраской при помощи стабилизатора.</w:t>
      </w:r>
    </w:p>
    <w:p w14:paraId="3EB6049C"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После этого, он был передан в ЛИИ для летных испытаний.</w:t>
      </w:r>
    </w:p>
    <w:p w14:paraId="67DBB9F9"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Результаты испытаний:</w:t>
      </w:r>
    </w:p>
    <w:p w14:paraId="737A7579"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Испытывался при полетном весе 7650 кг</w:t>
      </w:r>
    </w:p>
    <w:p w14:paraId="3BF99200"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Выводы:</w:t>
      </w:r>
    </w:p>
    <w:p w14:paraId="7062EB54"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1. Улучшение внешней отделки с-та качества стыковки отдельных деталей и узлов и герметизация фюзеляжа и мотогондол значительно снизили общее лобовое сопрпотивление с-та. Это привело к увеличению максимальной скорости на 25-28 км/час.</w:t>
      </w:r>
    </w:p>
    <w:p w14:paraId="1DEAF3D9"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2. Изменение профилировки тоннелей маслорадиаторов улучшило охлаждение масла и позволило производить набор высоты при 100-105 гр, при открытии совков маслорадиаторов на 67-75 при температуре, превышающей стандартную на 10 гр.</w:t>
      </w:r>
    </w:p>
    <w:p w14:paraId="599988E6"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Подписл И.о. гач. 2 лаб. ЛИИ В.Н.Сагинов и вед. исп. М.И.Хейфец 12 октября 1942 (810,3).</w:t>
      </w:r>
    </w:p>
    <w:p w14:paraId="7225BAD1" w14:textId="77777777" w:rsidR="00090C9B" w:rsidRPr="00722885" w:rsidRDefault="00090C9B" w:rsidP="00722885">
      <w:pPr>
        <w:pStyle w:val="Iauiue"/>
        <w:widowControl/>
        <w:jc w:val="both"/>
        <w:rPr>
          <w:color w:val="000000" w:themeColor="text1"/>
          <w:sz w:val="16"/>
          <w:szCs w:val="16"/>
        </w:rPr>
      </w:pPr>
    </w:p>
    <w:p w14:paraId="2C7CC6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самолет № 19/78 испытали в несколько усовершенствованном виде. Изменения сводились к следующему: была улучшена подгонка щитков, капотов, лючков, сопряжений частей фюзеляжа, крыльевых зализов. Обеспечили лучшую герметизацию всего самолета, изменили форму тоннелей маслорадиаторов, установили всасывающие патрубки карбюраторов с улучшенной аэродинамической формой, а также выполнили ряд мероприятий по уменьшению сопротивления мелких деталей. Наконец, самолет заново окрасили.</w:t>
      </w:r>
    </w:p>
    <w:p w14:paraId="49E78A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внесения перечисленных выше усовершенствований максимальная скорость полета у земли возросла на 25 км/ч, а на второй границе высотности - на 28 км/ч, достигнув 531 км/ч. В марте 1943 г. этот же самолет был испытан в третий раз, причем на нем дополнительно сделали следующие изменения: установили индивидуальные реактивные выхлопные патрубки, а вместо жалюзи на входе тоннелей водоради- аторов - установили заслонки типа ЦАГИ, изменили форму входного отверстия тоннелей водорадиаторов, рамку антенны РПК-10 перенесли внутрь фанерного кока Ф-1. Крыло машины зашпаклевали и в третий раз окрасили. С такими улучшениями самолет добавил в скорости еше примерно 20 км/ч у земли (469 км/ч) и 16 км/ч на второй границе высотности (4650 м), перекрыв результат головного серийного Пе-2 на 7 км/ч.</w:t>
      </w:r>
    </w:p>
    <w:p w14:paraId="52AC96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Полностью внедрить в серию все предложенные ЦАГИ изменения не удалось (да и не все они оправдали себя), однако часть улучшений была внедрена в производство с августа 1943 г. (главным образом, начиная с 205-й серии,). Помимо указанных выше изменений с того же времени на самолеты Пе- 2 стали устанавливать обтекатели </w:t>
      </w:r>
      <w:r w:rsidRPr="00722885">
        <w:rPr>
          <w:rFonts w:ascii="Times New Roman" w:hAnsi="Times New Roman"/>
          <w:color w:val="000000" w:themeColor="text1"/>
          <w:sz w:val="16"/>
          <w:szCs w:val="16"/>
        </w:rPr>
        <w:lastRenderedPageBreak/>
        <w:t>на тормозные решетки и новый однолопастныи компенсатор турели ВУБ-1, а вот от шпатлевки крыла с целью улучшения качества поверхности пришлось отказаться - покрытие на тонкой металлической обшивке оказалось нестойким и начинало крошиться через 3-5 ч полета.</w:t>
      </w:r>
    </w:p>
    <w:p w14:paraId="420EB3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этого на 205-й серии сделали другую нижнюю крышку капота мотора, поставили новые всасывающие патрубки, переместили вперед мачту радиоантенны вместе с трубкой приемника воздушного давления, улучшили стыковку фонаря и турели ВУБ-1. Начиная с этой же серии на 100 самолетах установили индивидуальные реактивные выхлопные патрубки (по два одиночных и два спаренных с каждой стороны) вместо стоявших ранее коллекторов. Чуть позднее, на 211-й серии, убрали внутрь крыла балки наружных бомбодержателей, ранее располагавшиеся в выступах под крылом (12042).</w:t>
      </w:r>
    </w:p>
    <w:p w14:paraId="48F80AE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EC84D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чтобы проверить, как в Омске исправляют дефекты нового бомбардировщика один немного доработанный (с двумя пулеметами УБТ) Ту-2 № 100308 представили на контрольные испытания в НИИ ВВС. Испытания вели на аэродроме Кольцово под Свердловском (ныне Екатеринбург), куда был эвакуирован НИИ. С 13 сентября по 28 октября летчики Жданов, Васякин и Нюхтиков совершили там 44 полета. Последний из них закончился аварией, при вынужденной посадке бомбардировщик получил повреждения.</w:t>
      </w:r>
    </w:p>
    <w:p w14:paraId="154EA6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большую часть программы успели выполнить. Заключение по результатам испытаний начиналось вполне благополучно: "Серийный самолет... по своим ЛТД стоит на уровне современных 2-х моторных бомбардировщиков и имеет возможности для дальнейшего модифицирования". Но далее прямо говорилось, что машина не удовлетворяет условиям договора с ВВС по максимальной скорости (она была меньше оговоренной на 66 км/ч) и практическому потолку (ниже на 800 м). Отдельный раздел был посвящен дефектам винтомоторной группы. Выше 6000 м постоянно наблюдались тряска и выбросы масла из суфлеров. Перераскрутка винтов делала бомбометание с пикирования крайне опасным. Путевую устойчивость самолета оценили как недостаточную. Летчики ругали неудобную конструкцию узкого фонаря. Радисты жаловались, что при повороте кресла от пулемета к радиостанции задевают за кабели. Был выявлен целый ряд дефектов гидросистемы, приборного оборудования, вооружения. Использование бомбового прицела ПС-1 на практике оказалось невозможным.</w:t>
      </w:r>
    </w:p>
    <w:p w14:paraId="054863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целом из документа следовало, что военные продолжали считать Ту-2 необходимым ВВС РККА, но оценивали его как конструктивно "сырой", пока еще непригодный для использования на фронте. К такому же выводу можно было прийти, отслеживая результаты освоения первых серийных бомбардировщиков строевыми летчиками. Еще в июне 1942 г. завод получил приказ укомплектовать новыми бомбардировщиками два полка. Но темпы сдачи серийных Ту-2 существенно отставали от плана, а уже выпущенные машины постоянно дорабатывались заводскими бригадами, устранявшими выявленные дефекты. В результате на фронт никак не могли отправить хотя бы эскадрилью Ту-2.</w:t>
      </w:r>
    </w:p>
    <w:p w14:paraId="4514AC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одной стороны, завод заработал, новые бомбардировщики начали строить. С другой - пользы военным от них пока не было никакой (11988).</w:t>
      </w:r>
    </w:p>
    <w:p w14:paraId="453BB52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648B984" w14:textId="77777777" w:rsidR="00CC65A3" w:rsidRPr="00722885" w:rsidRDefault="00CC65A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осени 1942 г. из-за вынужденного прекращения производства многих типоразмеров алюминиевого проката на Пе-2 пришлось заменить обшивки толщиной 0,8 мм на 1 мм, а 1,2 мм на 1,5 мм, носки крыльев стали делать из четырех деталей вместо одной, из-за чего рос вес и в обшивке появлялись «хлопуны», волнистость и трещины. Хвостовой кок фюзеляжа и вовсе стал фанерным, а она впитывала сырость и коробилась. Скорость на границе высотности к середине месяца упала до 494 км/ч, но тогда другого выхода не было.</w:t>
      </w:r>
    </w:p>
    <w:p w14:paraId="2F01B59A" w14:textId="77777777" w:rsidR="00CC65A3" w:rsidRPr="00722885" w:rsidRDefault="00CC65A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Нехватка нужных материалов и комплектующих была в трудном 1942-м общей бедой советской промышленности — приходилось экономить на всем. Если уменьшение остекления носка фюзеляжа не вызвало нареканий Заказчика, так как через его плексигласовый передний кок и боковые окна все равно почти ничего не было видно, то снятие стекла в «крыше» кабины штурмана не только ухудшило комфорт, но и испортило аэродинамику хвостовой части, потому его пришлось восстановить (22828).</w:t>
      </w:r>
    </w:p>
    <w:p w14:paraId="6FA094B5" w14:textId="77777777" w:rsidR="00CC65A3" w:rsidRPr="00722885" w:rsidRDefault="00CC65A3" w:rsidP="00722885">
      <w:pPr>
        <w:spacing w:after="0" w:line="240" w:lineRule="auto"/>
        <w:jc w:val="both"/>
        <w:rPr>
          <w:rFonts w:ascii="Times New Roman" w:hAnsi="Times New Roman"/>
          <w:color w:val="0070C0"/>
          <w:sz w:val="16"/>
          <w:szCs w:val="16"/>
        </w:rPr>
      </w:pPr>
    </w:p>
    <w:p w14:paraId="7E75D3B1" w14:textId="77777777" w:rsidR="00CC65A3" w:rsidRPr="00722885" w:rsidRDefault="00CC65A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осени 1942 г. и по декабрь 1945 г. завод № 22 выпустил 671 учебно-тренировочный самолет Пе-2УТ и УПе-2 с отдельной кабиной инструктора на месте топливного бака над бомбоотсеком. С июня 1945 г. все «Пешки» сдавались в таком варианте (22828).</w:t>
      </w:r>
    </w:p>
    <w:p w14:paraId="09473BE5" w14:textId="77777777" w:rsidR="00CC65A3" w:rsidRPr="00722885" w:rsidRDefault="00CC65A3" w:rsidP="00722885">
      <w:pPr>
        <w:spacing w:after="0" w:line="240" w:lineRule="auto"/>
        <w:jc w:val="both"/>
        <w:rPr>
          <w:rFonts w:ascii="Times New Roman" w:hAnsi="Times New Roman"/>
          <w:color w:val="0070C0"/>
          <w:sz w:val="16"/>
          <w:szCs w:val="16"/>
        </w:rPr>
      </w:pPr>
    </w:p>
    <w:p w14:paraId="1EA263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из-за большого количества дефектов, присущих самолетам первых серий, удалось приступить ко второму этапу войсковых испытаний. Три самолета с экипажами из НИИ ВВС перелетели на Калининский фронт, где действовала 3-я воздушная армия. Армией командовал генерал-полковник М.М. Громов, в прошлом известный летчик-испытатель, знаменитый также целым рядом дальних перелетов, в том числе из Москвы в США через Северный полюс. Перед войной он руководил Летно-испытатель- ным институтом (ЛИИ). Не случайно к Громову направляли на войсковые испытания различные новые советские и иностранные боевые самолеты: все понимали, что он сможет дать им объективную оценку.</w:t>
      </w:r>
    </w:p>
    <w:p w14:paraId="56CE26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Тройку Ту-2 разместили на аэродроме Мигалово под Калинином (ныне Тверь), где базировался 128-й ближ- небомбардировочный полк, вооруженный пикировщиками Пе-2. Оттуполев- ского бюро туда прибыл Д.С. Марков.</w:t>
      </w:r>
    </w:p>
    <w:p w14:paraId="3DA3AE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боевой вылет совершили 16 сентября. Обычно машины использовались для бомбометания днем с горизонтального полета. В зависимости от задания брали от 1000 до 2000 кг бомб. Всего за период испытаний совершили 25 боевых вылетов - примерно по одному на самолет в сутки, при средней дальности 500 км.</w:t>
      </w:r>
    </w:p>
    <w:p w14:paraId="4B6D65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Первоначально Ту-2 обязательно сопровождали истребители, позже их стали выпускать и самостоятельно. Машины попадали под обстрел зенитной артиллерии, сталкивались с истребителями противника, но потерь не имели.</w:t>
      </w:r>
    </w:p>
    <w:p w14:paraId="3ED4B0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некоторых полетах участвовали летчики 128-го полка, которые могли при этом сравнить два типа бомбардировщиков - Пе-2 и новые Ту-2.</w:t>
      </w:r>
    </w:p>
    <w:p w14:paraId="008194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испытаний Ту-2 наглядно продемонстрировали свои возможности. Самолеты атаковали железнодорожные станции, мосты, склады и аэродромы. Они сбрасывали бомбы всех калибров вплоть до 1000 кг с наружной и внутренней подвески. Всего за период испытаний на врага обрушили более 40 т боеприпасов. Пе-2 мог брать бомбы не крупнее 500 кг и при бомбометании с пикирования нес их только снаружи.</w:t>
      </w:r>
    </w:p>
    <w:p w14:paraId="062F93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подсчетам, в среднем в каждом вылете туполевская машина заменяла 2,5 Пе-2.</w:t>
      </w:r>
    </w:p>
    <w:p w14:paraId="6A2AD8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Возможность подвески крупнокалиберных бомб была эффективно использована при налете на немецкий подземный склад горючего у деревни Тростено 27 сентября 1942 г. Его несколько раз бомбили Пе-2, использовавшие бомбы ФАБ-100, но безрезультатно. Решили попробовать взорвать его бомбами ФАБ-1000 с Ту-2. Тройку бомбардировщиков сопровождали десять истребителей ЛаГГ-3. Командиру прикрытия пригрозили, что за каждый потерянный Ту-2 он ответит головой. Голова у нею была всею одна. Когда группу перехватили девять немецких истребителей Bf 109, часть немцев попыталась оттеснить ЛаГГ-3, а другая ринулась к бомбардировщикам. Но оторвать эскорт от Ту-2 не удалось. Совместными усилиями советских истребителей и стрелков на бомбардировщиках противника отогнали. Экипажи успешно сбросили бомбы на цель. Склад взлетел на воздух. Все три Ту-2 без помех вернулись в Мигалово.</w:t>
      </w:r>
    </w:p>
    <w:p w14:paraId="08CC61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Громов не удержался и лично опробовал новый самолет, отозвавшись о нем очень хорошо. В своих мемуарах он потом написал: "Я сам летал на Ту-2 с большим удовольствием".</w:t>
      </w:r>
    </w:p>
    <w:p w14:paraId="23C1DC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отчете о войсковых испытаниях новый бомбардировщик получил высокую оценку. В нем содержалась весьма примечательная фраза: "Считать необходимым ускорить внедрение самолета Ту-2 в ВВС КА". Среди достоинств самолета отметили большую бомбовую нагрузку в сочетании со значительной дальностью полета, мощные и менее уязвимые моторы воздушного охлаждения, сильное вооружение, удобное размещение экипажа, хорошие летные данные и сравнительную простоту пилотирования. Машина без особых проблем летела на одном работающем моторе. В одном полете в двигатель Ту-2 угодил малокалиберный зенитный снаряд (от "эрликона"), но самолет продолжил свой путь и благополучно приземлился на аэродроме.</w:t>
      </w:r>
    </w:p>
    <w:p w14:paraId="5F320E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отчете указали и недостатки, большая часть которых уже ранее была выявлена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градусов мороза. Неудовлетворительная работа бензиномеров вкупе с подтеканием обратных клапанов вынуждала заправлять баки доверху, а затем стравливать излишки. Управление секторами газа признали слишком тугим, что усложняло полет в строю. Еще раз обратили внимание на неудобный доступ ко многим агрегатам мотоустановки.</w:t>
      </w:r>
    </w:p>
    <w:p w14:paraId="1E735E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закончили 3 октября, 11 октября главный инженер ВВС Репин утвердил оформленный испытателями отчет. По воспоминаниям наркома авиапромышленности А.И. Шахурина, эта объемистая прошнурованная книга с грифом "Совершенно секретно" прибыла в Москву дней через двадцать после подписания приказа о снятии бомбардировщика с производства. Один из экземпляров затребовал Сталин. После прочтения он вызвал Шахурина и сказал: "Оказывается, хвалят машину". Нарком стал отвечать, что он был против прекращения выпуска Ту-2, но был прерван. "Вы неправильно поступили, - сказал Сталин. - Вы должны были жаловаться на меня в ЦК".</w:t>
      </w:r>
    </w:p>
    <w:p w14:paraId="4B0EB4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По-видимому, Сталин понял ошибочность принятого решения, но не спешил его менять. Приказа о восстановлении производства Ту-2 сразу же не последовало (11988).</w:t>
      </w:r>
    </w:p>
    <w:p w14:paraId="0E1EF2E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45A46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завершилось переучивание экипажей 132-го отдельного бомбардировочного полка на Ту-2. Командовал полком подполковник А.С. Хлебников. Эта часть получила 29 бомбардировщиков Ту-2 разных серий; все они были вооружены двумя крупнокалиберными пулеметами УБТ, а на одной машине смонтировали три УБТ - во всех задних установках. Ранее она воевала на самолетах СБ, Ар-2 и Пе-2.</w:t>
      </w:r>
    </w:p>
    <w:p w14:paraId="264FF6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4 декабря 1942 г. 132-й полк принимал участие в боевых операциях на Калининском фронте. Его самолеты наносили удары по целям у передовой, а также по различным объектам в районе Смоленска, Витебска и Великих Лук. Летали днем, обычно без сопровождения истребителей. Как пикировщики Ту-2 не использовали, работали только с горизонтального полета. В частности, 15 декабря 12 Ту-2 бомбили скопление войск и техники у станции Сычевка, сбросив по 2000 кг бомб каждый. </w:t>
      </w:r>
      <w:r w:rsidRPr="00722885">
        <w:rPr>
          <w:rFonts w:ascii="Times New Roman" w:hAnsi="Times New Roman"/>
          <w:color w:val="000000" w:themeColor="text1"/>
          <w:sz w:val="16"/>
          <w:szCs w:val="16"/>
        </w:rPr>
        <w:lastRenderedPageBreak/>
        <w:t>В конце декабря организовали налет на окруженный в Великих Луках немецкий гарнизон. Самолеты несли бомбы ФАБ-1000. Их сбросили с высоты 1000 м. Внизу остались двадцатиметровые воронки. В радиусе 50 - 70 м от места падения бомбы все было разрушено. Результаты налета признали "достаточно эффективными".</w:t>
      </w:r>
    </w:p>
    <w:p w14:paraId="64A95C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Летали с полевых аэродромов, устроенных на заснеженных полях, окруженных лесом. Взлетную полосу и рулежные дорожки утрамбовывали и плотно укатывали. Подготовка самолета к старту (в условиях зимы) занимала полтора-два часа. На земле машины рассредоточивали среди деревьев, укрывая сверху маскировочными сетями.</w:t>
      </w:r>
    </w:p>
    <w:p w14:paraId="504A2F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февраля 1943 г. полк перебросили на Юго-Западный фронт. 18 машин перебазировались на временный аэродром Кошары в 50 км южнее Миллерова. С 12 февраля полк совершил оттуда 39 вылетов на бомбометание. Здесь уже Ту-2 не поручали атаку войск у линии фронта. Используя большие дальность полета и бомбовую нагрузку, чем Пе-2, новые самолеты специализировались на налетах на железнодорожные узлы и аэродромы. Целями стали Запорожье, Днепропетровск, Дебальцево, Красноармейск, Сине- льниково, Ясиноватская.</w:t>
      </w:r>
    </w:p>
    <w:p w14:paraId="490A9D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распутица препятствовала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сбрасывали на Днепропетровск и Донецк (11988).</w:t>
      </w:r>
    </w:p>
    <w:p w14:paraId="374DD6F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03CCB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того же года первый полнокровный авиаполк Ту-2 под командованием майора А.С. Хлебникова вошел в состав 3-й воздушной армии, которой командовал М.М. Громов, и вылетел в Калинин (Тверь) на аэродром Мигалово.</w:t>
      </w:r>
    </w:p>
    <w:p w14:paraId="77614E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Почти одновременно со 132-м бап в Мигалово вылетели три Ту-2 с экипажами НИИ ВВС (ведущий инженер Н.И. Шауров) для проведения войсковых испытаний. 2 октября 1942 года начальник инспекции ВВС Красной Армии при заместителе наркома обороны СССР полковник В.И. Сталин докладывал наркому авиационной промышленности А.И. Шахурину:</w:t>
      </w:r>
    </w:p>
    <w:p w14:paraId="6B0F74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18 сентября по 2 октября 1942 г. в 3-й Воздушной армии проведены войсковые испытания Ту-2. Полеты производились днем тремя самолетами с аэродрома Мигалово (Тверь. - Прим. авт.). Сделано 25 боевых вылетов с общим налетом 65 часов. Боевые вылеты выполнялись один раз в сутки. Радиус полета 180-500 км, высота 1600-4800 м, скорость по прибору 360-380 км/ч, бомбовая нагрузка 1000, 1500, 2000 кг (в зависимости от характера цели). За период полетов сброшено: ФАБ-1000 - 15 шт., ФАБ-500 - 4 шт., ФАБ-250 - 64 шт., ФАБ-100 60 шт. и ЗАБ-100 - 9 шт.</w:t>
      </w:r>
    </w:p>
    <w:p w14:paraId="4AE9C7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процессе полетов встреч с истребителями противника не было. Обстрелу ЗА (зенитной артиллерии - прим. авт.) подвергались почти в каждом полете. Самолеты имеют несколько пробоин и был случай вывода из строя мотора, летчик пришел на одном моторе и нормально произвел посадку.</w:t>
      </w:r>
    </w:p>
    <w:p w14:paraId="05A401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состав о самолете отзывается хорошо. По сравнению с Пе-2 Ту-2 имеет ряд положительных качеств. Основные из них следующие:</w:t>
      </w:r>
    </w:p>
    <w:p w14:paraId="7FD01F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Увеличена бомбовая нагрузка, за счет горючего он может брать до 3000 кг.</w:t>
      </w:r>
    </w:p>
    <w:p w14:paraId="6E63E6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Хорошее вооружение: имеет - две пушки, пару БС и три LLIKAC.</w:t>
      </w:r>
    </w:p>
    <w:p w14:paraId="0996A4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Скорость горизонтального полета больше, чем у самолета Пе-2, примерно на 100 км (470-480 км/ч по прибору на высоте 800-1000 м).</w:t>
      </w:r>
    </w:p>
    <w:p w14:paraId="7326B2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Самолет хорошо управляем, прост в технике пилотирования.</w:t>
      </w:r>
    </w:p>
    <w:p w14:paraId="2E9D1D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Легко пилотируется с одним неработающим мотором.</w:t>
      </w:r>
    </w:p>
    <w:p w14:paraId="5C7AB8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На посадке допускает несколько высокое выравнивание и не валится на крыло как Пе-2.</w:t>
      </w:r>
    </w:p>
    <w:p w14:paraId="6B14D8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Недостатком Ту-2 является.</w:t>
      </w:r>
    </w:p>
    <w:p w14:paraId="19D3CA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Трудность хождения в строю по причине тугого хода секторов газа (причина неустранима до смены карбюраторов на этом моторе).</w:t>
      </w:r>
    </w:p>
    <w:p w14:paraId="6D06C4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После каждого полета на самолете обнаруживались неисправности, особенно в гидро- и маслосистеме, повторных вылетов не производилось.</w:t>
      </w:r>
    </w:p>
    <w:p w14:paraId="379CDD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Для эксплуатации Ту-2 требуется аэродром больших размеров, так как разбег при взлете с бомбовой нагрузкой в 2000 кг достигает 1100 м и пробег - в пределах 600-700 м.</w:t>
      </w:r>
    </w:p>
    <w:p w14:paraId="17EB48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полетов по проведению войсковых испытаний привлекались экипажи из НИИ ВВС КА. Капитан Чернышенко - выполнил шесть боевых вылетов и экипажи 128-го бап (базировавшегося на аэродроме Мигалово. - Прим.авт.), которые выполнили: майор Лаухин - два боевых вылета, старший лейтенант Свиридов - семь, старший лейтенант Паршин - три, и лейтенант Мусин- ский - семь боевых вылетов" (12035).</w:t>
      </w:r>
    </w:p>
    <w:p w14:paraId="384D1D8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26F14CC"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 сентябре 1942 г. один немного до</w:t>
      </w:r>
      <w:r w:rsidRPr="00722885">
        <w:rPr>
          <w:rFonts w:ascii="Times New Roman" w:hAnsi="Times New Roman"/>
          <w:color w:val="0070C0"/>
          <w:sz w:val="16"/>
          <w:szCs w:val="16"/>
          <w:lang w:eastAsia="ru-RU" w:bidi="ru-RU"/>
        </w:rPr>
        <w:softHyphen/>
        <w:t>работанных (с двумя пулеметами УБТ) Ту-2 №100308 представили на контроль</w:t>
      </w:r>
      <w:r w:rsidRPr="00722885">
        <w:rPr>
          <w:rFonts w:ascii="Times New Roman" w:hAnsi="Times New Roman"/>
          <w:color w:val="0070C0"/>
          <w:sz w:val="16"/>
          <w:szCs w:val="16"/>
          <w:lang w:eastAsia="ru-RU" w:bidi="ru-RU"/>
        </w:rPr>
        <w:softHyphen/>
        <w:t>ные испытания в НИИ ВВС. Испытания проводили на аэродроме Кольцово под Свердловском (ныне Екатеринбург), куда эвакуировали институт. С 13 сентября по 28 октября летчики Жданов, Васякин и Нюхтиков совершили 44 полета. Послед</w:t>
      </w:r>
      <w:r w:rsidRPr="00722885">
        <w:rPr>
          <w:rFonts w:ascii="Times New Roman" w:hAnsi="Times New Roman"/>
          <w:color w:val="0070C0"/>
          <w:sz w:val="16"/>
          <w:szCs w:val="16"/>
          <w:lang w:eastAsia="ru-RU" w:bidi="ru-RU"/>
        </w:rPr>
        <w:softHyphen/>
        <w:t>ний из них закончился аварией, при вы</w:t>
      </w:r>
      <w:r w:rsidRPr="00722885">
        <w:rPr>
          <w:rFonts w:ascii="Times New Roman" w:hAnsi="Times New Roman"/>
          <w:color w:val="0070C0"/>
          <w:sz w:val="16"/>
          <w:szCs w:val="16"/>
          <w:lang w:eastAsia="ru-RU" w:bidi="ru-RU"/>
        </w:rPr>
        <w:softHyphen/>
        <w:t>нужденной посадке бомбардировщик по</w:t>
      </w:r>
      <w:r w:rsidRPr="00722885">
        <w:rPr>
          <w:rFonts w:ascii="Times New Roman" w:hAnsi="Times New Roman"/>
          <w:color w:val="0070C0"/>
          <w:sz w:val="16"/>
          <w:szCs w:val="16"/>
          <w:lang w:eastAsia="ru-RU" w:bidi="ru-RU"/>
        </w:rPr>
        <w:softHyphen/>
        <w:t>лучил повреждения.</w:t>
      </w:r>
    </w:p>
    <w:p w14:paraId="4A7D962C"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Однако большую часть программы успели выполнить. Заключение по резуль</w:t>
      </w:r>
      <w:r w:rsidRPr="00722885">
        <w:rPr>
          <w:rFonts w:ascii="Times New Roman" w:hAnsi="Times New Roman"/>
          <w:color w:val="0070C0"/>
          <w:sz w:val="16"/>
          <w:szCs w:val="16"/>
          <w:lang w:eastAsia="ru-RU" w:bidi="ru-RU"/>
        </w:rPr>
        <w:softHyphen/>
        <w:t>татам испытаний начиналось вполне бла</w:t>
      </w:r>
      <w:r w:rsidRPr="00722885">
        <w:rPr>
          <w:rFonts w:ascii="Times New Roman" w:hAnsi="Times New Roman"/>
          <w:color w:val="0070C0"/>
          <w:sz w:val="16"/>
          <w:szCs w:val="16"/>
          <w:lang w:eastAsia="ru-RU" w:bidi="ru-RU"/>
        </w:rPr>
        <w:softHyphen/>
        <w:t>гополучно: «Серийный самолет... по своим ЛТД стоит на уровне современных 2-х мо</w:t>
      </w:r>
      <w:r w:rsidRPr="00722885">
        <w:rPr>
          <w:rFonts w:ascii="Times New Roman" w:hAnsi="Times New Roman"/>
          <w:color w:val="0070C0"/>
          <w:sz w:val="16"/>
          <w:szCs w:val="16"/>
          <w:lang w:eastAsia="ru-RU" w:bidi="ru-RU"/>
        </w:rPr>
        <w:softHyphen/>
        <w:t>торных бомбардировщиков и имеет воз</w:t>
      </w:r>
      <w:r w:rsidRPr="00722885">
        <w:rPr>
          <w:rFonts w:ascii="Times New Roman" w:hAnsi="Times New Roman"/>
          <w:color w:val="0070C0"/>
          <w:sz w:val="16"/>
          <w:szCs w:val="16"/>
          <w:lang w:eastAsia="ru-RU" w:bidi="ru-RU"/>
        </w:rPr>
        <w:softHyphen/>
        <w:t>можности для дальнейшего модифициро</w:t>
      </w:r>
      <w:r w:rsidRPr="00722885">
        <w:rPr>
          <w:rFonts w:ascii="Times New Roman" w:hAnsi="Times New Roman"/>
          <w:color w:val="0070C0"/>
          <w:sz w:val="16"/>
          <w:szCs w:val="16"/>
          <w:lang w:eastAsia="ru-RU" w:bidi="ru-RU"/>
        </w:rPr>
        <w:softHyphen/>
        <w:t>вания». Но далее прямо говорилось, что машина не удовлетворяет условиям до</w:t>
      </w:r>
      <w:r w:rsidRPr="00722885">
        <w:rPr>
          <w:rFonts w:ascii="Times New Roman" w:hAnsi="Times New Roman"/>
          <w:color w:val="0070C0"/>
          <w:sz w:val="16"/>
          <w:szCs w:val="16"/>
          <w:lang w:eastAsia="ru-RU" w:bidi="ru-RU"/>
        </w:rPr>
        <w:softHyphen/>
        <w:t>говора с ВВС по максимальной скоро</w:t>
      </w:r>
      <w:r w:rsidRPr="00722885">
        <w:rPr>
          <w:rFonts w:ascii="Times New Roman" w:hAnsi="Times New Roman"/>
          <w:color w:val="0070C0"/>
          <w:sz w:val="16"/>
          <w:szCs w:val="16"/>
          <w:lang w:eastAsia="ru-RU" w:bidi="ru-RU"/>
        </w:rPr>
        <w:softHyphen/>
        <w:t>сти (она была меньше оговоренной на 66 км/ч) и практическому потолку (ниже на 800 м). Отдельный раздел посвящался дефектам винтомоторной группы. Выше 6000 м постоянно наблюдались тряска и выбросы масла из суфлеров. Перера- скрутка винтов делала бомбометание с пикирования крайне опасным. Путевую устойчивость самолета оценили как не</w:t>
      </w:r>
      <w:r w:rsidRPr="00722885">
        <w:rPr>
          <w:rFonts w:ascii="Times New Roman" w:hAnsi="Times New Roman"/>
          <w:color w:val="0070C0"/>
          <w:sz w:val="16"/>
          <w:szCs w:val="16"/>
          <w:lang w:eastAsia="ru-RU" w:bidi="ru-RU"/>
        </w:rPr>
        <w:softHyphen/>
        <w:t>достаточную. Летчики ругали неудобную конструкцию узкого фонаря. Радисты жа</w:t>
      </w:r>
      <w:r w:rsidRPr="00722885">
        <w:rPr>
          <w:rFonts w:ascii="Times New Roman" w:hAnsi="Times New Roman"/>
          <w:color w:val="0070C0"/>
          <w:sz w:val="16"/>
          <w:szCs w:val="16"/>
          <w:lang w:eastAsia="ru-RU" w:bidi="ru-RU"/>
        </w:rPr>
        <w:softHyphen/>
        <w:t>ловались, что при повороте кресла от пу</w:t>
      </w:r>
      <w:r w:rsidRPr="00722885">
        <w:rPr>
          <w:rFonts w:ascii="Times New Roman" w:hAnsi="Times New Roman"/>
          <w:color w:val="0070C0"/>
          <w:sz w:val="16"/>
          <w:szCs w:val="16"/>
          <w:lang w:eastAsia="ru-RU" w:bidi="ru-RU"/>
        </w:rPr>
        <w:softHyphen/>
        <w:t>лемета к радиостанции задевают за ка</w:t>
      </w:r>
      <w:r w:rsidRPr="00722885">
        <w:rPr>
          <w:rFonts w:ascii="Times New Roman" w:hAnsi="Times New Roman"/>
          <w:color w:val="0070C0"/>
          <w:sz w:val="16"/>
          <w:szCs w:val="16"/>
          <w:lang w:eastAsia="ru-RU" w:bidi="ru-RU"/>
        </w:rPr>
        <w:softHyphen/>
        <w:t>бели. Выявили целый ряд дефектов ги</w:t>
      </w:r>
      <w:r w:rsidRPr="00722885">
        <w:rPr>
          <w:rFonts w:ascii="Times New Roman" w:hAnsi="Times New Roman"/>
          <w:color w:val="0070C0"/>
          <w:sz w:val="16"/>
          <w:szCs w:val="16"/>
          <w:lang w:eastAsia="ru-RU" w:bidi="ru-RU"/>
        </w:rPr>
        <w:softHyphen/>
        <w:t>дросистемы, приборного оборудования, вооружения. Использование бомбового прицела ПС-1 на практике оказалось не</w:t>
      </w:r>
      <w:r w:rsidRPr="00722885">
        <w:rPr>
          <w:rFonts w:ascii="Times New Roman" w:hAnsi="Times New Roman"/>
          <w:color w:val="0070C0"/>
          <w:sz w:val="16"/>
          <w:szCs w:val="16"/>
          <w:lang w:eastAsia="ru-RU" w:bidi="ru-RU"/>
        </w:rPr>
        <w:softHyphen/>
        <w:t>возможным.</w:t>
      </w:r>
    </w:p>
    <w:p w14:paraId="4EF6FB70" w14:textId="77777777" w:rsidR="003A2E79" w:rsidRPr="00722885" w:rsidRDefault="003A2E79"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lang w:eastAsia="ru-RU" w:bidi="ru-RU"/>
        </w:rPr>
        <w:t>В целом из документа следовало, что военные продолжали считать Ту-2 необ</w:t>
      </w:r>
      <w:r w:rsidRPr="00722885">
        <w:rPr>
          <w:rFonts w:ascii="Times New Roman" w:hAnsi="Times New Roman"/>
          <w:color w:val="0070C0"/>
          <w:sz w:val="16"/>
          <w:szCs w:val="16"/>
          <w:lang w:eastAsia="ru-RU" w:bidi="ru-RU"/>
        </w:rPr>
        <w:softHyphen/>
        <w:t>ходимым ВВС, но оценивали его как кон</w:t>
      </w:r>
      <w:r w:rsidRPr="00722885">
        <w:rPr>
          <w:rFonts w:ascii="Times New Roman" w:hAnsi="Times New Roman"/>
          <w:color w:val="0070C0"/>
          <w:sz w:val="16"/>
          <w:szCs w:val="16"/>
          <w:lang w:eastAsia="ru-RU" w:bidi="ru-RU"/>
        </w:rPr>
        <w:softHyphen/>
        <w:t>структивно «сырой», пока еще непригод</w:t>
      </w:r>
      <w:r w:rsidRPr="00722885">
        <w:rPr>
          <w:rFonts w:ascii="Times New Roman" w:hAnsi="Times New Roman"/>
          <w:color w:val="0070C0"/>
          <w:sz w:val="16"/>
          <w:szCs w:val="16"/>
          <w:lang w:eastAsia="ru-RU" w:bidi="ru-RU"/>
        </w:rPr>
        <w:softHyphen/>
        <w:t>ный для использования на фронте (21061).</w:t>
      </w:r>
    </w:p>
    <w:p w14:paraId="7418CF47" w14:textId="77777777" w:rsidR="003A2E79" w:rsidRPr="00722885" w:rsidRDefault="003A2E79" w:rsidP="00722885">
      <w:pPr>
        <w:spacing w:after="0" w:line="240" w:lineRule="auto"/>
        <w:jc w:val="both"/>
        <w:rPr>
          <w:rFonts w:ascii="Times New Roman" w:hAnsi="Times New Roman"/>
          <w:color w:val="0070C0"/>
          <w:sz w:val="16"/>
          <w:szCs w:val="16"/>
          <w:lang w:eastAsia="ru-RU" w:bidi="ru-RU"/>
        </w:rPr>
      </w:pPr>
    </w:p>
    <w:p w14:paraId="76D4BD97" w14:textId="77777777" w:rsidR="003A2E79" w:rsidRPr="00722885" w:rsidRDefault="003A2E79"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lang w:eastAsia="ru-RU" w:bidi="ru-RU"/>
        </w:rPr>
        <w:t>В сентябре 1942 г. удалось приступить ко второму этапу войско</w:t>
      </w:r>
      <w:r w:rsidRPr="00722885">
        <w:rPr>
          <w:rFonts w:ascii="Times New Roman" w:hAnsi="Times New Roman"/>
          <w:color w:val="0070C0"/>
          <w:sz w:val="16"/>
          <w:szCs w:val="16"/>
          <w:lang w:eastAsia="ru-RU" w:bidi="ru-RU"/>
        </w:rPr>
        <w:softHyphen/>
        <w:t>вых испытаний Ту-2. Три самолета с экипа</w:t>
      </w:r>
      <w:r w:rsidRPr="00722885">
        <w:rPr>
          <w:rFonts w:ascii="Times New Roman" w:hAnsi="Times New Roman"/>
          <w:color w:val="0070C0"/>
          <w:sz w:val="16"/>
          <w:szCs w:val="16"/>
          <w:lang w:eastAsia="ru-RU" w:bidi="ru-RU"/>
        </w:rPr>
        <w:softHyphen/>
        <w:t>жами из НИИ ВВС перелетели на Кали</w:t>
      </w:r>
      <w:r w:rsidRPr="00722885">
        <w:rPr>
          <w:rFonts w:ascii="Times New Roman" w:hAnsi="Times New Roman"/>
          <w:color w:val="0070C0"/>
          <w:sz w:val="16"/>
          <w:szCs w:val="16"/>
          <w:lang w:eastAsia="ru-RU" w:bidi="ru-RU"/>
        </w:rPr>
        <w:softHyphen/>
        <w:t>нинский фронт, где действовала 5-я воз</w:t>
      </w:r>
      <w:r w:rsidRPr="00722885">
        <w:rPr>
          <w:rFonts w:ascii="Times New Roman" w:hAnsi="Times New Roman"/>
          <w:color w:val="0070C0"/>
          <w:sz w:val="16"/>
          <w:szCs w:val="16"/>
          <w:lang w:eastAsia="ru-RU" w:bidi="ru-RU"/>
        </w:rPr>
        <w:softHyphen/>
        <w:t>душная армия.</w:t>
      </w:r>
    </w:p>
    <w:p w14:paraId="5A7A5226"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Армией командовал гене</w:t>
      </w:r>
      <w:r w:rsidRPr="00722885">
        <w:rPr>
          <w:rFonts w:ascii="Times New Roman" w:hAnsi="Times New Roman"/>
          <w:color w:val="0070C0"/>
          <w:sz w:val="16"/>
          <w:szCs w:val="16"/>
          <w:lang w:eastAsia="ru-RU" w:bidi="ru-RU"/>
        </w:rPr>
        <w:softHyphen/>
        <w:t>рал-полковник М.М. Громов, в прошлом известный летчик-испытатель, знамени</w:t>
      </w:r>
      <w:r w:rsidRPr="00722885">
        <w:rPr>
          <w:rFonts w:ascii="Times New Roman" w:hAnsi="Times New Roman"/>
          <w:color w:val="0070C0"/>
          <w:sz w:val="16"/>
          <w:szCs w:val="16"/>
          <w:lang w:eastAsia="ru-RU" w:bidi="ru-RU"/>
        </w:rPr>
        <w:softHyphen/>
        <w:t>тый также целым рядом дальних переле</w:t>
      </w:r>
      <w:r w:rsidRPr="00722885">
        <w:rPr>
          <w:rFonts w:ascii="Times New Roman" w:hAnsi="Times New Roman"/>
          <w:color w:val="0070C0"/>
          <w:sz w:val="16"/>
          <w:szCs w:val="16"/>
          <w:lang w:eastAsia="ru-RU" w:bidi="ru-RU"/>
        </w:rPr>
        <w:softHyphen/>
        <w:t>тов, в том числе из Москвы в США через Северный полюс. Перед войной он руко</w:t>
      </w:r>
      <w:r w:rsidRPr="00722885">
        <w:rPr>
          <w:rFonts w:ascii="Times New Roman" w:hAnsi="Times New Roman"/>
          <w:color w:val="0070C0"/>
          <w:sz w:val="16"/>
          <w:szCs w:val="16"/>
          <w:lang w:eastAsia="ru-RU" w:bidi="ru-RU"/>
        </w:rPr>
        <w:softHyphen/>
        <w:t>водил Летно-испытательным институтом (ЛИИ). Не случайно к Громову направляли на войсковые испытания различные но</w:t>
      </w:r>
      <w:r w:rsidRPr="00722885">
        <w:rPr>
          <w:rFonts w:ascii="Times New Roman" w:hAnsi="Times New Roman"/>
          <w:color w:val="0070C0"/>
          <w:sz w:val="16"/>
          <w:szCs w:val="16"/>
          <w:lang w:eastAsia="ru-RU" w:bidi="ru-RU"/>
        </w:rPr>
        <w:softHyphen/>
        <w:t>вые советские и иностранные боевые са</w:t>
      </w:r>
      <w:r w:rsidRPr="00722885">
        <w:rPr>
          <w:rFonts w:ascii="Times New Roman" w:hAnsi="Times New Roman"/>
          <w:color w:val="0070C0"/>
          <w:sz w:val="16"/>
          <w:szCs w:val="16"/>
          <w:lang w:eastAsia="ru-RU" w:bidi="ru-RU"/>
        </w:rPr>
        <w:softHyphen/>
        <w:t>молеты: все понимали, что он сможет дать им объективную оценку.</w:t>
      </w:r>
    </w:p>
    <w:p w14:paraId="21AE653B"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Тройку Ту-2 разместили на аэродроме Мигалово под Калинином (ныне Тверь), где базировался 128-й ближнебомбарди</w:t>
      </w:r>
      <w:r w:rsidRPr="00722885">
        <w:rPr>
          <w:rFonts w:ascii="Times New Roman" w:hAnsi="Times New Roman"/>
          <w:color w:val="0070C0"/>
          <w:sz w:val="16"/>
          <w:szCs w:val="16"/>
          <w:lang w:eastAsia="ru-RU" w:bidi="ru-RU"/>
        </w:rPr>
        <w:softHyphen/>
        <w:t>ровочный полк (ббап), вооруженный пи</w:t>
      </w:r>
      <w:r w:rsidRPr="00722885">
        <w:rPr>
          <w:rFonts w:ascii="Times New Roman" w:hAnsi="Times New Roman"/>
          <w:color w:val="0070C0"/>
          <w:sz w:val="16"/>
          <w:szCs w:val="16"/>
          <w:lang w:eastAsia="ru-RU" w:bidi="ru-RU"/>
        </w:rPr>
        <w:softHyphen/>
        <w:t>кировщиками Пе-2. От туполевского бюро туда прибыл Д.С. Марков.</w:t>
      </w:r>
    </w:p>
    <w:p w14:paraId="3A6E51B7"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Первый боевой вылет совершили 16 сентября. Обычно машины использо</w:t>
      </w:r>
      <w:r w:rsidRPr="00722885">
        <w:rPr>
          <w:rFonts w:ascii="Times New Roman" w:hAnsi="Times New Roman"/>
          <w:color w:val="0070C0"/>
          <w:sz w:val="16"/>
          <w:szCs w:val="16"/>
          <w:lang w:eastAsia="ru-RU" w:bidi="ru-RU"/>
        </w:rPr>
        <w:softHyphen/>
        <w:t>вались для бомбометания днем с гори</w:t>
      </w:r>
      <w:r w:rsidRPr="00722885">
        <w:rPr>
          <w:rFonts w:ascii="Times New Roman" w:hAnsi="Times New Roman"/>
          <w:color w:val="0070C0"/>
          <w:sz w:val="16"/>
          <w:szCs w:val="16"/>
          <w:lang w:eastAsia="ru-RU" w:bidi="ru-RU"/>
        </w:rPr>
        <w:softHyphen/>
        <w:t>зонтального полета. В зависимости от задания брали от 1000 до 2000 кг бомб. Всего за период испытаний совершили 25 боевых вылетов - примерно по од</w:t>
      </w:r>
      <w:r w:rsidRPr="00722885">
        <w:rPr>
          <w:rFonts w:ascii="Times New Roman" w:hAnsi="Times New Roman"/>
          <w:color w:val="0070C0"/>
          <w:sz w:val="16"/>
          <w:szCs w:val="16"/>
          <w:lang w:eastAsia="ru-RU" w:bidi="ru-RU"/>
        </w:rPr>
        <w:softHyphen/>
        <w:t>ному на самолет в сутки, при средней дальности 500 км.</w:t>
      </w:r>
    </w:p>
    <w:p w14:paraId="3541A5AF"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Первоначально Ту-2 обязательно со</w:t>
      </w:r>
      <w:r w:rsidRPr="00722885">
        <w:rPr>
          <w:rFonts w:ascii="Times New Roman" w:hAnsi="Times New Roman"/>
          <w:color w:val="0070C0"/>
          <w:sz w:val="16"/>
          <w:szCs w:val="16"/>
          <w:lang w:eastAsia="ru-RU" w:bidi="ru-RU"/>
        </w:rPr>
        <w:softHyphen/>
        <w:t>провождали истребители, позже их стали выпускать и самостоятельно. Машины по</w:t>
      </w:r>
      <w:r w:rsidRPr="00722885">
        <w:rPr>
          <w:rFonts w:ascii="Times New Roman" w:hAnsi="Times New Roman"/>
          <w:color w:val="0070C0"/>
          <w:sz w:val="16"/>
          <w:szCs w:val="16"/>
          <w:lang w:eastAsia="ru-RU" w:bidi="ru-RU"/>
        </w:rPr>
        <w:softHyphen/>
        <w:t>падали под обстрел зенитной артиллерии, сталкивались с истребителями противника, но потерь не имели.</w:t>
      </w:r>
    </w:p>
    <w:p w14:paraId="327DFA00"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 некоторых полетах участвовали лет</w:t>
      </w:r>
      <w:r w:rsidRPr="00722885">
        <w:rPr>
          <w:rFonts w:ascii="Times New Roman" w:hAnsi="Times New Roman"/>
          <w:color w:val="0070C0"/>
          <w:sz w:val="16"/>
          <w:szCs w:val="16"/>
          <w:lang w:eastAsia="ru-RU" w:bidi="ru-RU"/>
        </w:rPr>
        <w:softHyphen/>
        <w:t>чики 128-го полка, которые могли при этом сравнить два типа бомбардировщи</w:t>
      </w:r>
      <w:r w:rsidRPr="00722885">
        <w:rPr>
          <w:rFonts w:ascii="Times New Roman" w:hAnsi="Times New Roman"/>
          <w:color w:val="0070C0"/>
          <w:sz w:val="16"/>
          <w:szCs w:val="16"/>
          <w:lang w:eastAsia="ru-RU" w:bidi="ru-RU"/>
        </w:rPr>
        <w:softHyphen/>
        <w:t>ков: свои Пе-2 и новые Ту-2.</w:t>
      </w:r>
    </w:p>
    <w:p w14:paraId="25EC9A28"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 ходе испытаний Ту-2 наглядно про</w:t>
      </w:r>
      <w:r w:rsidRPr="00722885">
        <w:rPr>
          <w:rFonts w:ascii="Times New Roman" w:hAnsi="Times New Roman"/>
          <w:color w:val="0070C0"/>
          <w:sz w:val="16"/>
          <w:szCs w:val="16"/>
          <w:lang w:eastAsia="ru-RU" w:bidi="ru-RU"/>
        </w:rPr>
        <w:softHyphen/>
        <w:t>демонстрировали свои возможности. Са</w:t>
      </w:r>
      <w:r w:rsidRPr="00722885">
        <w:rPr>
          <w:rFonts w:ascii="Times New Roman" w:hAnsi="Times New Roman"/>
          <w:color w:val="0070C0"/>
          <w:sz w:val="16"/>
          <w:szCs w:val="16"/>
          <w:lang w:eastAsia="ru-RU" w:bidi="ru-RU"/>
        </w:rPr>
        <w:softHyphen/>
        <w:t>молеты атаковали железнодорожные станции, мосты, склады и аэродромы. Они сбрасывали бомбы всех калибров вплоть до 1000 кг с наружной и внутренней под</w:t>
      </w:r>
      <w:r w:rsidRPr="00722885">
        <w:rPr>
          <w:rFonts w:ascii="Times New Roman" w:hAnsi="Times New Roman"/>
          <w:color w:val="0070C0"/>
          <w:sz w:val="16"/>
          <w:szCs w:val="16"/>
          <w:lang w:eastAsia="ru-RU" w:bidi="ru-RU"/>
        </w:rPr>
        <w:softHyphen/>
        <w:t>вески. Всего за период испытаний на врага обрушили более 40 т боеприпасов. Пе-2 мог брать бомбы не крупнее 500 кг и при бомбометании с пикирования нес их только снаружи. По подсчетам, в сред</w:t>
      </w:r>
      <w:r w:rsidRPr="00722885">
        <w:rPr>
          <w:rFonts w:ascii="Times New Roman" w:hAnsi="Times New Roman"/>
          <w:color w:val="0070C0"/>
          <w:sz w:val="16"/>
          <w:szCs w:val="16"/>
          <w:lang w:eastAsia="ru-RU" w:bidi="ru-RU"/>
        </w:rPr>
        <w:softHyphen/>
        <w:t>нем в каждом вылете туполевская ма</w:t>
      </w:r>
      <w:r w:rsidRPr="00722885">
        <w:rPr>
          <w:rFonts w:ascii="Times New Roman" w:hAnsi="Times New Roman"/>
          <w:color w:val="0070C0"/>
          <w:sz w:val="16"/>
          <w:szCs w:val="16"/>
          <w:lang w:eastAsia="ru-RU" w:bidi="ru-RU"/>
        </w:rPr>
        <w:softHyphen/>
        <w:t>шина заменяла 2,5 Пе-2.</w:t>
      </w:r>
    </w:p>
    <w:p w14:paraId="00E2C74D"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Возможность подвески крупнокали</w:t>
      </w:r>
      <w:r w:rsidRPr="00722885">
        <w:rPr>
          <w:rFonts w:ascii="Times New Roman" w:hAnsi="Times New Roman"/>
          <w:color w:val="0070C0"/>
          <w:sz w:val="16"/>
          <w:szCs w:val="16"/>
          <w:lang w:eastAsia="ru-RU" w:bidi="ru-RU"/>
        </w:rPr>
        <w:softHyphen/>
        <w:t>берных бомб была эффективно исполь</w:t>
      </w:r>
      <w:r w:rsidRPr="00722885">
        <w:rPr>
          <w:rFonts w:ascii="Times New Roman" w:hAnsi="Times New Roman"/>
          <w:color w:val="0070C0"/>
          <w:sz w:val="16"/>
          <w:szCs w:val="16"/>
          <w:lang w:eastAsia="ru-RU" w:bidi="ru-RU"/>
        </w:rPr>
        <w:softHyphen/>
        <w:t>зована при налете на немецкий под</w:t>
      </w:r>
      <w:r w:rsidRPr="00722885">
        <w:rPr>
          <w:rFonts w:ascii="Times New Roman" w:hAnsi="Times New Roman"/>
          <w:color w:val="0070C0"/>
          <w:sz w:val="16"/>
          <w:szCs w:val="16"/>
          <w:lang w:eastAsia="ru-RU" w:bidi="ru-RU"/>
        </w:rPr>
        <w:softHyphen/>
        <w:t>земный склад горючего у деревни Тро- стено 27 сентября 1942 г. Его несколько раз бомбили Пе-2, использовавшие бомбы ФАБ-100, но безрезультатно. Ре</w:t>
      </w:r>
      <w:r w:rsidRPr="00722885">
        <w:rPr>
          <w:rFonts w:ascii="Times New Roman" w:hAnsi="Times New Roman"/>
          <w:color w:val="0070C0"/>
          <w:sz w:val="16"/>
          <w:szCs w:val="16"/>
          <w:lang w:eastAsia="ru-RU" w:bidi="ru-RU"/>
        </w:rPr>
        <w:softHyphen/>
        <w:t>шили попробовать взорвать его бомбами ФАБ-1000 с Ту-2. Тройку бомбардиров</w:t>
      </w:r>
      <w:r w:rsidRPr="00722885">
        <w:rPr>
          <w:rFonts w:ascii="Times New Roman" w:hAnsi="Times New Roman"/>
          <w:color w:val="0070C0"/>
          <w:sz w:val="16"/>
          <w:szCs w:val="16"/>
          <w:lang w:eastAsia="ru-RU" w:bidi="ru-RU"/>
        </w:rPr>
        <w:softHyphen/>
        <w:t>щиков сопровождали десять истребите</w:t>
      </w:r>
      <w:r w:rsidRPr="00722885">
        <w:rPr>
          <w:rFonts w:ascii="Times New Roman" w:hAnsi="Times New Roman"/>
          <w:color w:val="0070C0"/>
          <w:sz w:val="16"/>
          <w:szCs w:val="16"/>
          <w:lang w:eastAsia="ru-RU" w:bidi="ru-RU"/>
        </w:rPr>
        <w:softHyphen/>
        <w:t xml:space="preserve">лей ЛаГГ-5. Командиру прикрытия пригрозили, что за каждый потерянный Ту-2 он ответит головой. Голова у него была всего одна. Когда группу перехватили девять немецких истребителей </w:t>
      </w:r>
      <w:r w:rsidRPr="00722885">
        <w:rPr>
          <w:rFonts w:ascii="Times New Roman" w:hAnsi="Times New Roman"/>
          <w:color w:val="0070C0"/>
          <w:sz w:val="16"/>
          <w:szCs w:val="16"/>
          <w:lang w:val="en-US" w:bidi="en-US"/>
        </w:rPr>
        <w:t>Bf</w:t>
      </w:r>
      <w:r w:rsidRPr="00722885">
        <w:rPr>
          <w:rFonts w:ascii="Times New Roman" w:hAnsi="Times New Roman"/>
          <w:color w:val="0070C0"/>
          <w:sz w:val="16"/>
          <w:szCs w:val="16"/>
          <w:lang w:bidi="en-US"/>
        </w:rPr>
        <w:t xml:space="preserve"> </w:t>
      </w:r>
      <w:r w:rsidRPr="00722885">
        <w:rPr>
          <w:rFonts w:ascii="Times New Roman" w:hAnsi="Times New Roman"/>
          <w:color w:val="0070C0"/>
          <w:sz w:val="16"/>
          <w:szCs w:val="16"/>
          <w:lang w:eastAsia="ru-RU" w:bidi="ru-RU"/>
        </w:rPr>
        <w:t>109, часть нем</w:t>
      </w:r>
      <w:r w:rsidRPr="00722885">
        <w:rPr>
          <w:rFonts w:ascii="Times New Roman" w:hAnsi="Times New Roman"/>
          <w:color w:val="0070C0"/>
          <w:sz w:val="16"/>
          <w:szCs w:val="16"/>
          <w:lang w:eastAsia="ru-RU" w:bidi="ru-RU"/>
        </w:rPr>
        <w:softHyphen/>
        <w:t>цев попыталась оттеснить ЛаГГ-5, а другая ринулась к бомбардировщикам. Но ото</w:t>
      </w:r>
      <w:r w:rsidRPr="00722885">
        <w:rPr>
          <w:rFonts w:ascii="Times New Roman" w:hAnsi="Times New Roman"/>
          <w:color w:val="0070C0"/>
          <w:sz w:val="16"/>
          <w:szCs w:val="16"/>
          <w:lang w:eastAsia="ru-RU" w:bidi="ru-RU"/>
        </w:rPr>
        <w:softHyphen/>
        <w:t>рвать эскорт от Ту-2 не удалось. Совмест</w:t>
      </w:r>
      <w:r w:rsidRPr="00722885">
        <w:rPr>
          <w:rFonts w:ascii="Times New Roman" w:hAnsi="Times New Roman"/>
          <w:color w:val="0070C0"/>
          <w:sz w:val="16"/>
          <w:szCs w:val="16"/>
          <w:lang w:eastAsia="ru-RU" w:bidi="ru-RU"/>
        </w:rPr>
        <w:softHyphen/>
        <w:t>ными усилиями советских истребителей и стрелков на бомбардировщиках против</w:t>
      </w:r>
      <w:r w:rsidRPr="00722885">
        <w:rPr>
          <w:rFonts w:ascii="Times New Roman" w:hAnsi="Times New Roman"/>
          <w:color w:val="0070C0"/>
          <w:sz w:val="16"/>
          <w:szCs w:val="16"/>
          <w:lang w:eastAsia="ru-RU" w:bidi="ru-RU"/>
        </w:rPr>
        <w:softHyphen/>
        <w:t>ника отогнали. Экипажи успешно сбро</w:t>
      </w:r>
      <w:r w:rsidRPr="00722885">
        <w:rPr>
          <w:rFonts w:ascii="Times New Roman" w:hAnsi="Times New Roman"/>
          <w:color w:val="0070C0"/>
          <w:sz w:val="16"/>
          <w:szCs w:val="16"/>
          <w:lang w:eastAsia="ru-RU" w:bidi="ru-RU"/>
        </w:rPr>
        <w:softHyphen/>
        <w:t>сили бомбы на цель. Склад взлетел на воздух. Все три Ту-2 без помех вернулись в Мигалово.</w:t>
      </w:r>
    </w:p>
    <w:p w14:paraId="1704957D"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Громов не удержался и лично опро</w:t>
      </w:r>
      <w:r w:rsidRPr="00722885">
        <w:rPr>
          <w:rFonts w:ascii="Times New Roman" w:hAnsi="Times New Roman"/>
          <w:color w:val="0070C0"/>
          <w:sz w:val="16"/>
          <w:szCs w:val="16"/>
          <w:lang w:eastAsia="ru-RU" w:bidi="ru-RU"/>
        </w:rPr>
        <w:softHyphen/>
        <w:t>бовал новый самолет, отозвавшись о нем очень хорошо. В своих мемуарах он по</w:t>
      </w:r>
      <w:r w:rsidRPr="00722885">
        <w:rPr>
          <w:rFonts w:ascii="Times New Roman" w:hAnsi="Times New Roman"/>
          <w:color w:val="0070C0"/>
          <w:sz w:val="16"/>
          <w:szCs w:val="16"/>
          <w:lang w:eastAsia="ru-RU" w:bidi="ru-RU"/>
        </w:rPr>
        <w:softHyphen/>
        <w:t>том написал: «Я сам летал на Ту-2 с боль</w:t>
      </w:r>
      <w:r w:rsidRPr="00722885">
        <w:rPr>
          <w:rFonts w:ascii="Times New Roman" w:hAnsi="Times New Roman"/>
          <w:color w:val="0070C0"/>
          <w:sz w:val="16"/>
          <w:szCs w:val="16"/>
          <w:lang w:eastAsia="ru-RU" w:bidi="ru-RU"/>
        </w:rPr>
        <w:softHyphen/>
        <w:t>шим удовольствием».</w:t>
      </w:r>
    </w:p>
    <w:p w14:paraId="25E79EF3"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 отчете о войсковых испытаниях но</w:t>
      </w:r>
      <w:r w:rsidRPr="00722885">
        <w:rPr>
          <w:rFonts w:ascii="Times New Roman" w:hAnsi="Times New Roman"/>
          <w:color w:val="0070C0"/>
          <w:sz w:val="16"/>
          <w:szCs w:val="16"/>
          <w:lang w:eastAsia="ru-RU" w:bidi="ru-RU"/>
        </w:rPr>
        <w:softHyphen/>
        <w:t>вый бомбардировщик получил высокую оценку. В нем содержалась весьма при</w:t>
      </w:r>
      <w:r w:rsidRPr="00722885">
        <w:rPr>
          <w:rFonts w:ascii="Times New Roman" w:hAnsi="Times New Roman"/>
          <w:color w:val="0070C0"/>
          <w:sz w:val="16"/>
          <w:szCs w:val="16"/>
          <w:lang w:eastAsia="ru-RU" w:bidi="ru-RU"/>
        </w:rPr>
        <w:softHyphen/>
        <w:t>мечательная фраза: «Считать необходи</w:t>
      </w:r>
      <w:r w:rsidRPr="00722885">
        <w:rPr>
          <w:rFonts w:ascii="Times New Roman" w:hAnsi="Times New Roman"/>
          <w:color w:val="0070C0"/>
          <w:sz w:val="16"/>
          <w:szCs w:val="16"/>
          <w:lang w:eastAsia="ru-RU" w:bidi="ru-RU"/>
        </w:rPr>
        <w:softHyphen/>
        <w:t>мым ускорить внедрение самолета Ту-2 в ВВС КА». Среди достоинств самолета от</w:t>
      </w:r>
      <w:r w:rsidRPr="00722885">
        <w:rPr>
          <w:rFonts w:ascii="Times New Roman" w:hAnsi="Times New Roman"/>
          <w:color w:val="0070C0"/>
          <w:sz w:val="16"/>
          <w:szCs w:val="16"/>
          <w:lang w:eastAsia="ru-RU" w:bidi="ru-RU"/>
        </w:rPr>
        <w:softHyphen/>
        <w:t>метили большую бомбовую нагрузку в со</w:t>
      </w:r>
      <w:r w:rsidRPr="00722885">
        <w:rPr>
          <w:rFonts w:ascii="Times New Roman" w:hAnsi="Times New Roman"/>
          <w:color w:val="0070C0"/>
          <w:sz w:val="16"/>
          <w:szCs w:val="16"/>
          <w:lang w:eastAsia="ru-RU" w:bidi="ru-RU"/>
        </w:rPr>
        <w:softHyphen/>
        <w:t>четании со значительной дальностью по</w:t>
      </w:r>
      <w:r w:rsidRPr="00722885">
        <w:rPr>
          <w:rFonts w:ascii="Times New Roman" w:hAnsi="Times New Roman"/>
          <w:color w:val="0070C0"/>
          <w:sz w:val="16"/>
          <w:szCs w:val="16"/>
          <w:lang w:eastAsia="ru-RU" w:bidi="ru-RU"/>
        </w:rPr>
        <w:softHyphen/>
        <w:t>лета, мощные и менее уязвимые моторы воздушного охлаждения, сильное воору</w:t>
      </w:r>
      <w:r w:rsidRPr="00722885">
        <w:rPr>
          <w:rFonts w:ascii="Times New Roman" w:hAnsi="Times New Roman"/>
          <w:color w:val="0070C0"/>
          <w:sz w:val="16"/>
          <w:szCs w:val="16"/>
          <w:lang w:eastAsia="ru-RU" w:bidi="ru-RU"/>
        </w:rPr>
        <w:softHyphen/>
        <w:t>жение, удобное размещение экипажа, хо</w:t>
      </w:r>
      <w:r w:rsidRPr="00722885">
        <w:rPr>
          <w:rFonts w:ascii="Times New Roman" w:hAnsi="Times New Roman"/>
          <w:color w:val="0070C0"/>
          <w:sz w:val="16"/>
          <w:szCs w:val="16"/>
          <w:lang w:eastAsia="ru-RU" w:bidi="ru-RU"/>
        </w:rPr>
        <w:softHyphen/>
        <w:t>рошие летные данные и сравнительную простоту пилотирования. Машина без осо</w:t>
      </w:r>
      <w:r w:rsidRPr="00722885">
        <w:rPr>
          <w:rFonts w:ascii="Times New Roman" w:hAnsi="Times New Roman"/>
          <w:color w:val="0070C0"/>
          <w:sz w:val="16"/>
          <w:szCs w:val="16"/>
          <w:lang w:eastAsia="ru-RU" w:bidi="ru-RU"/>
        </w:rPr>
        <w:softHyphen/>
        <w:t>бых проблем летела на одном работа</w:t>
      </w:r>
      <w:r w:rsidRPr="00722885">
        <w:rPr>
          <w:rFonts w:ascii="Times New Roman" w:hAnsi="Times New Roman"/>
          <w:color w:val="0070C0"/>
          <w:sz w:val="16"/>
          <w:szCs w:val="16"/>
          <w:lang w:eastAsia="ru-RU" w:bidi="ru-RU"/>
        </w:rPr>
        <w:softHyphen/>
        <w:t>ющем моторе. В одном полете в двига</w:t>
      </w:r>
      <w:r w:rsidRPr="00722885">
        <w:rPr>
          <w:rFonts w:ascii="Times New Roman" w:hAnsi="Times New Roman"/>
          <w:color w:val="0070C0"/>
          <w:sz w:val="16"/>
          <w:szCs w:val="16"/>
          <w:lang w:eastAsia="ru-RU" w:bidi="ru-RU"/>
        </w:rPr>
        <w:softHyphen/>
        <w:t>тель Ту-2 угодил малокалиберный зенит</w:t>
      </w:r>
      <w:r w:rsidRPr="00722885">
        <w:rPr>
          <w:rFonts w:ascii="Times New Roman" w:hAnsi="Times New Roman"/>
          <w:color w:val="0070C0"/>
          <w:sz w:val="16"/>
          <w:szCs w:val="16"/>
          <w:lang w:eastAsia="ru-RU" w:bidi="ru-RU"/>
        </w:rPr>
        <w:softHyphen/>
        <w:t>ный снаряд (от «эрликона»), но самолет продолжил полет и благополучно призем</w:t>
      </w:r>
      <w:r w:rsidRPr="00722885">
        <w:rPr>
          <w:rFonts w:ascii="Times New Roman" w:hAnsi="Times New Roman"/>
          <w:color w:val="0070C0"/>
          <w:sz w:val="16"/>
          <w:szCs w:val="16"/>
          <w:lang w:eastAsia="ru-RU" w:bidi="ru-RU"/>
        </w:rPr>
        <w:softHyphen/>
        <w:t>лился на аэродроме.</w:t>
      </w:r>
    </w:p>
    <w:p w14:paraId="41C99AA5"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В отчете указали и недостатки, боль</w:t>
      </w:r>
      <w:r w:rsidRPr="00722885">
        <w:rPr>
          <w:rFonts w:ascii="Times New Roman" w:hAnsi="Times New Roman"/>
          <w:color w:val="0070C0"/>
          <w:sz w:val="16"/>
          <w:szCs w:val="16"/>
          <w:lang w:eastAsia="ru-RU" w:bidi="ru-RU"/>
        </w:rPr>
        <w:softHyphen/>
        <w:t>шая часть которых уже ранее была выяв</w:t>
      </w:r>
      <w:r w:rsidRPr="00722885">
        <w:rPr>
          <w:rFonts w:ascii="Times New Roman" w:hAnsi="Times New Roman"/>
          <w:color w:val="0070C0"/>
          <w:sz w:val="16"/>
          <w:szCs w:val="16"/>
          <w:lang w:eastAsia="ru-RU" w:bidi="ru-RU"/>
        </w:rPr>
        <w:softHyphen/>
        <w:t>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w:t>
      </w:r>
      <w:r w:rsidRPr="00722885">
        <w:rPr>
          <w:rFonts w:ascii="Times New Roman" w:hAnsi="Times New Roman"/>
          <w:color w:val="0070C0"/>
          <w:sz w:val="16"/>
          <w:szCs w:val="16"/>
          <w:lang w:eastAsia="ru-RU" w:bidi="ru-RU"/>
        </w:rPr>
        <w:softHyphen/>
        <w:t>сов мороза. Неудовлетворительная ра</w:t>
      </w:r>
      <w:r w:rsidRPr="00722885">
        <w:rPr>
          <w:rFonts w:ascii="Times New Roman" w:hAnsi="Times New Roman"/>
          <w:color w:val="0070C0"/>
          <w:sz w:val="16"/>
          <w:szCs w:val="16"/>
          <w:lang w:eastAsia="ru-RU" w:bidi="ru-RU"/>
        </w:rPr>
        <w:softHyphen/>
        <w:t xml:space="preserve">бота </w:t>
      </w:r>
      <w:r w:rsidRPr="00722885">
        <w:rPr>
          <w:rFonts w:ascii="Times New Roman" w:hAnsi="Times New Roman"/>
          <w:color w:val="0070C0"/>
          <w:sz w:val="16"/>
          <w:szCs w:val="16"/>
          <w:lang w:eastAsia="ru-RU" w:bidi="ru-RU"/>
        </w:rPr>
        <w:lastRenderedPageBreak/>
        <w:t>бензиномеров вкупе с подтеканием обратных клапанов вынуждала заправ</w:t>
      </w:r>
      <w:r w:rsidRPr="00722885">
        <w:rPr>
          <w:rFonts w:ascii="Times New Roman" w:hAnsi="Times New Roman"/>
          <w:color w:val="0070C0"/>
          <w:sz w:val="16"/>
          <w:szCs w:val="16"/>
          <w:lang w:eastAsia="ru-RU" w:bidi="ru-RU"/>
        </w:rPr>
        <w:softHyphen/>
        <w:t>лять баки доверху, а затем стравливать излишки. Управление секторами газа при</w:t>
      </w:r>
      <w:r w:rsidRPr="00722885">
        <w:rPr>
          <w:rFonts w:ascii="Times New Roman" w:hAnsi="Times New Roman"/>
          <w:color w:val="0070C0"/>
          <w:sz w:val="16"/>
          <w:szCs w:val="16"/>
          <w:lang w:eastAsia="ru-RU" w:bidi="ru-RU"/>
        </w:rPr>
        <w:softHyphen/>
        <w:t>знали слишком тугим, что усложняло по</w:t>
      </w:r>
      <w:r w:rsidRPr="00722885">
        <w:rPr>
          <w:rFonts w:ascii="Times New Roman" w:hAnsi="Times New Roman"/>
          <w:color w:val="0070C0"/>
          <w:sz w:val="16"/>
          <w:szCs w:val="16"/>
          <w:lang w:eastAsia="ru-RU" w:bidi="ru-RU"/>
        </w:rPr>
        <w:softHyphen/>
        <w:t>лет в строю. Еще раз обратили внимание на неудобный доступ ко многим агрега</w:t>
      </w:r>
      <w:r w:rsidRPr="00722885">
        <w:rPr>
          <w:rFonts w:ascii="Times New Roman" w:hAnsi="Times New Roman"/>
          <w:color w:val="0070C0"/>
          <w:sz w:val="16"/>
          <w:szCs w:val="16"/>
          <w:lang w:eastAsia="ru-RU" w:bidi="ru-RU"/>
        </w:rPr>
        <w:softHyphen/>
        <w:t>там мотоустановки.</w:t>
      </w:r>
    </w:p>
    <w:p w14:paraId="6E3E7D46" w14:textId="77777777" w:rsidR="003A2E79" w:rsidRPr="00722885" w:rsidRDefault="003A2E79"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lang w:eastAsia="ru-RU" w:bidi="ru-RU"/>
        </w:rPr>
        <w:t>Испытания закончили 5 октября, 11 октября главный инженер ВВС А.К. Ре</w:t>
      </w:r>
      <w:r w:rsidRPr="00722885">
        <w:rPr>
          <w:rFonts w:ascii="Times New Roman" w:hAnsi="Times New Roman"/>
          <w:color w:val="0070C0"/>
          <w:sz w:val="16"/>
          <w:szCs w:val="16"/>
          <w:lang w:eastAsia="ru-RU" w:bidi="ru-RU"/>
        </w:rPr>
        <w:softHyphen/>
        <w:t>пин утвердил оформленный испытате</w:t>
      </w:r>
      <w:r w:rsidRPr="00722885">
        <w:rPr>
          <w:rFonts w:ascii="Times New Roman" w:hAnsi="Times New Roman"/>
          <w:color w:val="0070C0"/>
          <w:sz w:val="16"/>
          <w:szCs w:val="16"/>
          <w:lang w:eastAsia="ru-RU" w:bidi="ru-RU"/>
        </w:rPr>
        <w:softHyphen/>
        <w:t>лями отчет. По воспоминаниям наркома авиапромышленности А.И. Шахурина, эта объемистая прошнурованная книга с гри</w:t>
      </w:r>
      <w:r w:rsidRPr="00722885">
        <w:rPr>
          <w:rFonts w:ascii="Times New Roman" w:hAnsi="Times New Roman"/>
          <w:color w:val="0070C0"/>
          <w:sz w:val="16"/>
          <w:szCs w:val="16"/>
          <w:lang w:eastAsia="ru-RU" w:bidi="ru-RU"/>
        </w:rPr>
        <w:softHyphen/>
        <w:t>фом «Совершенно секретно» прибыла в Москву дней через двадцать после под</w:t>
      </w:r>
      <w:r w:rsidRPr="00722885">
        <w:rPr>
          <w:rFonts w:ascii="Times New Roman" w:hAnsi="Times New Roman"/>
          <w:color w:val="0070C0"/>
          <w:sz w:val="16"/>
          <w:szCs w:val="16"/>
          <w:lang w:eastAsia="ru-RU" w:bidi="ru-RU"/>
        </w:rPr>
        <w:softHyphen/>
        <w:t>писания приказа о снятии бомбардиров</w:t>
      </w:r>
      <w:r w:rsidRPr="00722885">
        <w:rPr>
          <w:rFonts w:ascii="Times New Roman" w:hAnsi="Times New Roman"/>
          <w:color w:val="0070C0"/>
          <w:sz w:val="16"/>
          <w:szCs w:val="16"/>
          <w:lang w:eastAsia="ru-RU" w:bidi="ru-RU"/>
        </w:rPr>
        <w:softHyphen/>
        <w:t>щика с производства. Один из экземпля</w:t>
      </w:r>
      <w:r w:rsidRPr="00722885">
        <w:rPr>
          <w:rFonts w:ascii="Times New Roman" w:hAnsi="Times New Roman"/>
          <w:color w:val="0070C0"/>
          <w:sz w:val="16"/>
          <w:szCs w:val="16"/>
          <w:lang w:eastAsia="ru-RU" w:bidi="ru-RU"/>
        </w:rPr>
        <w:softHyphen/>
        <w:t>ров затребовал Сталин. После прочтения он вызвал Шахурина и сказал: «Оказыва</w:t>
      </w:r>
      <w:r w:rsidRPr="00722885">
        <w:rPr>
          <w:rFonts w:ascii="Times New Roman" w:hAnsi="Times New Roman"/>
          <w:color w:val="0070C0"/>
          <w:sz w:val="16"/>
          <w:szCs w:val="16"/>
          <w:lang w:eastAsia="ru-RU" w:bidi="ru-RU"/>
        </w:rPr>
        <w:softHyphen/>
        <w:t>ется, хвалят машину». Нарком стал отве</w:t>
      </w:r>
      <w:r w:rsidRPr="00722885">
        <w:rPr>
          <w:rFonts w:ascii="Times New Roman" w:hAnsi="Times New Roman"/>
          <w:color w:val="0070C0"/>
          <w:sz w:val="16"/>
          <w:szCs w:val="16"/>
          <w:lang w:eastAsia="ru-RU" w:bidi="ru-RU"/>
        </w:rPr>
        <w:softHyphen/>
        <w:t>чать, что он был против прекращения вы</w:t>
      </w:r>
      <w:r w:rsidRPr="00722885">
        <w:rPr>
          <w:rFonts w:ascii="Times New Roman" w:hAnsi="Times New Roman"/>
          <w:color w:val="0070C0"/>
          <w:sz w:val="16"/>
          <w:szCs w:val="16"/>
          <w:lang w:eastAsia="ru-RU" w:bidi="ru-RU"/>
        </w:rPr>
        <w:softHyphen/>
        <w:t>пуска Ту-2, но был прерван. «бы непра</w:t>
      </w:r>
      <w:r w:rsidRPr="00722885">
        <w:rPr>
          <w:rFonts w:ascii="Times New Roman" w:hAnsi="Times New Roman"/>
          <w:color w:val="0070C0"/>
          <w:sz w:val="16"/>
          <w:szCs w:val="16"/>
          <w:lang w:eastAsia="ru-RU" w:bidi="ru-RU"/>
        </w:rPr>
        <w:softHyphen/>
        <w:t>вильно поступили, - сказал Сталин. - бы должны были жаловаться на меня в ЦК» (21060).</w:t>
      </w:r>
    </w:p>
    <w:p w14:paraId="6E58D9F7" w14:textId="77777777" w:rsidR="003A2E79" w:rsidRPr="00722885" w:rsidRDefault="003A2E79" w:rsidP="00722885">
      <w:pPr>
        <w:spacing w:after="0" w:line="240" w:lineRule="auto"/>
        <w:jc w:val="both"/>
        <w:rPr>
          <w:rFonts w:ascii="Times New Roman" w:hAnsi="Times New Roman"/>
          <w:color w:val="0070C0"/>
          <w:sz w:val="16"/>
          <w:szCs w:val="16"/>
          <w:lang w:eastAsia="ru-RU" w:bidi="ru-RU"/>
        </w:rPr>
      </w:pPr>
    </w:p>
    <w:p w14:paraId="0171A4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прервали гос. испытания (а точнее - совместные, т.к. проводили вместе с ЛИИ) ДВБ-102, которые начались с апреля 1942. Летали л В.И.Жданов, ш-и Н.П.Цветков, стрелок-радист М.Дугин. Ви от НИИ ВВС М.И.Ефимов, а от ЛИИ - и Г.И.Поляков (3337,14).</w:t>
      </w:r>
    </w:p>
    <w:p w14:paraId="7FBBA76D" w14:textId="77777777" w:rsidR="00090C9B" w:rsidRPr="00722885" w:rsidRDefault="00090C9B" w:rsidP="00722885">
      <w:pPr>
        <w:pStyle w:val="Iauiue"/>
        <w:jc w:val="both"/>
        <w:rPr>
          <w:color w:val="000000" w:themeColor="text1"/>
          <w:sz w:val="16"/>
          <w:szCs w:val="16"/>
        </w:rPr>
      </w:pPr>
    </w:p>
    <w:p w14:paraId="5D12F56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на несколько месяцев были прерваны испытания ДВБ-102 и в дальнейшем самолет проходил с двигателями без турбокомпрессоров, что самым нега</w:t>
      </w:r>
      <w:r w:rsidRPr="00722885">
        <w:rPr>
          <w:rFonts w:ascii="Times New Roman" w:hAnsi="Times New Roman"/>
          <w:color w:val="000000" w:themeColor="text1"/>
          <w:sz w:val="16"/>
          <w:szCs w:val="16"/>
        </w:rPr>
        <w:softHyphen/>
        <w:t>тивным образом отразилось на и без того заниженных, по сравнению с заданными, характеристиках машины. Так, практический потолок не превосходил 8300 м, а максимальная скорость — 542 км/ч на высоте 6250 м. В то же время в акте по государственным испытаниям отмечалось, что «... максимальная скорость самолета 542 км/ч — выше максимальной скорости существую</w:t>
      </w:r>
      <w:r w:rsidRPr="00722885">
        <w:rPr>
          <w:rFonts w:ascii="Times New Roman" w:hAnsi="Times New Roman"/>
          <w:color w:val="000000" w:themeColor="text1"/>
          <w:sz w:val="16"/>
          <w:szCs w:val="16"/>
        </w:rPr>
        <w:softHyphen/>
        <w:t>щих дальних бомбардировщиков... Оборудование гер</w:t>
      </w:r>
      <w:r w:rsidRPr="00722885">
        <w:rPr>
          <w:rFonts w:ascii="Times New Roman" w:hAnsi="Times New Roman"/>
          <w:color w:val="000000" w:themeColor="text1"/>
          <w:sz w:val="16"/>
          <w:szCs w:val="16"/>
        </w:rPr>
        <w:softHyphen/>
        <w:t>метических кабин значительно улучшает условия ра</w:t>
      </w:r>
      <w:r w:rsidRPr="00722885">
        <w:rPr>
          <w:rFonts w:ascii="Times New Roman" w:hAnsi="Times New Roman"/>
          <w:color w:val="000000" w:themeColor="text1"/>
          <w:sz w:val="16"/>
          <w:szCs w:val="16"/>
        </w:rPr>
        <w:softHyphen/>
        <w:t>боты экипажа на большой высоте, что особенно важно в длительном полете...» (11446).</w:t>
      </w:r>
    </w:p>
    <w:p w14:paraId="3B5DA96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33933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прошел 100 час. испытания М-30 (АЧ-30Б) на станке и предварительные летные испытания на ДБ-240. Это был М-40 В.М.Яковлева, на котором А.Д.Чаромский снял 2 из 4-х ТК и поставил приводной центробежный нагнетатель (2865,10).</w:t>
      </w:r>
    </w:p>
    <w:p w14:paraId="1475E5D7" w14:textId="77777777" w:rsidR="00090C9B" w:rsidRPr="00722885" w:rsidRDefault="00090C9B" w:rsidP="00722885">
      <w:pPr>
        <w:pStyle w:val="Iauiue"/>
        <w:jc w:val="both"/>
        <w:rPr>
          <w:color w:val="000000" w:themeColor="text1"/>
          <w:sz w:val="16"/>
          <w:szCs w:val="16"/>
        </w:rPr>
      </w:pPr>
    </w:p>
    <w:p w14:paraId="09FF20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М-30Б (с 1944 г. - АЧ-30Б) конструкции А.Д. Чаромского, работавших на тракторном керосине, прошел 100-часовые испытания на стенде и предварительные испытания на летающей лаборатории Ер-2. Самолет, построенный на заводе № 39 в Иркутске и испытывавшийся с января 1943 г., получил обозначение Ер-2 № 4 (иногда его ошибочно называют Ер-4). Из-за установки на двигатели воздушных винтов ВИШ-24 диаметром 4,1 м пришлось увеличить расстояние между двигателями, что увеличило размах крыла (11994).</w:t>
      </w:r>
    </w:p>
    <w:p w14:paraId="1B8AEB3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B6E1749" w14:textId="77777777" w:rsidR="00090C9B" w:rsidRPr="00722885" w:rsidRDefault="00090C9B" w:rsidP="00722885">
      <w:pPr>
        <w:pStyle w:val="afffa"/>
        <w:spacing w:before="0" w:after="0"/>
        <w:jc w:val="both"/>
        <w:rPr>
          <w:color w:val="000000" w:themeColor="text1"/>
          <w:sz w:val="16"/>
          <w:szCs w:val="16"/>
        </w:rPr>
      </w:pPr>
      <w:r w:rsidRPr="00722885">
        <w:rPr>
          <w:color w:val="000000" w:themeColor="text1"/>
          <w:sz w:val="16"/>
          <w:szCs w:val="16"/>
        </w:rPr>
        <w:t>В сентябре 1942 в ОКБ П.О.С. была завершена работа эс</w:t>
      </w:r>
      <w:r w:rsidRPr="00722885">
        <w:rPr>
          <w:color w:val="000000" w:themeColor="text1"/>
          <w:sz w:val="16"/>
          <w:szCs w:val="16"/>
        </w:rPr>
        <w:softHyphen/>
        <w:t>кизному проектированию дальнего ночного бомбардировщика с дви</w:t>
      </w:r>
      <w:r w:rsidRPr="00722885">
        <w:rPr>
          <w:color w:val="000000" w:themeColor="text1"/>
          <w:sz w:val="16"/>
          <w:szCs w:val="16"/>
        </w:rPr>
        <w:softHyphen/>
        <w:t>гателем АМ-37. При проектиро</w:t>
      </w:r>
      <w:r w:rsidRPr="00722885">
        <w:rPr>
          <w:color w:val="000000" w:themeColor="text1"/>
          <w:sz w:val="16"/>
          <w:szCs w:val="16"/>
        </w:rPr>
        <w:softHyphen/>
        <w:t>вании ДБ-АМ-37 конструкторы ста</w:t>
      </w:r>
      <w:r w:rsidRPr="00722885">
        <w:rPr>
          <w:color w:val="000000" w:themeColor="text1"/>
          <w:sz w:val="16"/>
          <w:szCs w:val="16"/>
        </w:rPr>
        <w:softHyphen/>
        <w:t>вили перед собой задачу создать экономичный, простой в производ</w:t>
      </w:r>
      <w:r w:rsidRPr="00722885">
        <w:rPr>
          <w:color w:val="000000" w:themeColor="text1"/>
          <w:sz w:val="16"/>
          <w:szCs w:val="16"/>
        </w:rPr>
        <w:softHyphen/>
        <w:t>стве дальний бомбардировщик с летными характеристиками, близки</w:t>
      </w:r>
      <w:r w:rsidRPr="00722885">
        <w:rPr>
          <w:color w:val="000000" w:themeColor="text1"/>
          <w:sz w:val="16"/>
          <w:szCs w:val="16"/>
        </w:rPr>
        <w:softHyphen/>
        <w:t>ми к характеристикам самолета ТБ-7 (Пе-8). По мнению проектантов при сравнении этих двух самолетов, самолет ДБ-АМ-37 обладал явным преимуществом, т.к. «...для пере</w:t>
      </w:r>
      <w:r w:rsidRPr="00722885">
        <w:rPr>
          <w:color w:val="000000" w:themeColor="text1"/>
          <w:sz w:val="16"/>
          <w:szCs w:val="16"/>
        </w:rPr>
        <w:softHyphen/>
        <w:t>броски при равных скоростях оди</w:t>
      </w:r>
      <w:r w:rsidRPr="00722885">
        <w:rPr>
          <w:color w:val="000000" w:themeColor="text1"/>
          <w:sz w:val="16"/>
          <w:szCs w:val="16"/>
        </w:rPr>
        <w:softHyphen/>
        <w:t>накового груза на равные рас</w:t>
      </w:r>
      <w:r w:rsidRPr="00722885">
        <w:rPr>
          <w:color w:val="000000" w:themeColor="text1"/>
          <w:sz w:val="16"/>
          <w:szCs w:val="16"/>
        </w:rPr>
        <w:softHyphen/>
        <w:t>стояния, самолет ДБ потребует в 4 раза меньше моторов и горючего и в 2-2,5 раза меньше членов эки</w:t>
      </w:r>
      <w:r w:rsidRPr="00722885">
        <w:rPr>
          <w:color w:val="000000" w:themeColor="text1"/>
          <w:sz w:val="16"/>
          <w:szCs w:val="16"/>
        </w:rPr>
        <w:softHyphen/>
        <w:t>пажа. Кроме того, для изготовле</w:t>
      </w:r>
      <w:r w:rsidRPr="00722885">
        <w:rPr>
          <w:color w:val="000000" w:themeColor="text1"/>
          <w:sz w:val="16"/>
          <w:szCs w:val="16"/>
        </w:rPr>
        <w:softHyphen/>
        <w:t>ния самолета ДБ на заводе будет требоваться в 15-20 раз меньше дюраля и в 4-5 раз меньшая трудо</w:t>
      </w:r>
      <w:r w:rsidRPr="00722885">
        <w:rPr>
          <w:color w:val="000000" w:themeColor="text1"/>
          <w:sz w:val="16"/>
          <w:szCs w:val="16"/>
        </w:rPr>
        <w:softHyphen/>
        <w:t>емкость...»</w:t>
      </w:r>
    </w:p>
    <w:p w14:paraId="09802CD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эскизному проекту самолет ДБ-АМ-37 представлял со</w:t>
      </w:r>
      <w:r w:rsidRPr="00722885">
        <w:rPr>
          <w:rFonts w:ascii="Times New Roman" w:hAnsi="Times New Roman"/>
          <w:color w:val="000000" w:themeColor="text1"/>
          <w:sz w:val="16"/>
          <w:szCs w:val="16"/>
        </w:rPr>
        <w:softHyphen/>
        <w:t>бой одномоторный трехместный свободнонесущий среднеплан с однокилевым хвостовым оперением и убирающимся шасси.</w:t>
      </w:r>
    </w:p>
    <w:p w14:paraId="15457F2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Фюзеляж технологически делил</w:t>
      </w:r>
      <w:r w:rsidRPr="00722885">
        <w:rPr>
          <w:rFonts w:ascii="Times New Roman" w:hAnsi="Times New Roman"/>
          <w:color w:val="000000" w:themeColor="text1"/>
          <w:sz w:val="16"/>
          <w:szCs w:val="16"/>
        </w:rPr>
        <w:softHyphen/>
        <w:t>ся на две части: кабину пилота и штурмана и основную часть фюзе</w:t>
      </w:r>
      <w:r w:rsidRPr="00722885">
        <w:rPr>
          <w:rFonts w:ascii="Times New Roman" w:hAnsi="Times New Roman"/>
          <w:color w:val="000000" w:themeColor="text1"/>
          <w:sz w:val="16"/>
          <w:szCs w:val="16"/>
        </w:rPr>
        <w:softHyphen/>
        <w:t>ляжа:</w:t>
      </w:r>
    </w:p>
    <w:p w14:paraId="262C2B2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кабина пилота и штурмана была выполнена целиком из бро</w:t>
      </w:r>
      <w:r w:rsidRPr="00722885">
        <w:rPr>
          <w:rFonts w:ascii="Times New Roman" w:hAnsi="Times New Roman"/>
          <w:color w:val="000000" w:themeColor="text1"/>
          <w:sz w:val="16"/>
          <w:szCs w:val="16"/>
        </w:rPr>
        <w:softHyphen/>
        <w:t>невой стали толщиной 1,5 мм и крепилась к основной части фюзе</w:t>
      </w:r>
      <w:r w:rsidRPr="00722885">
        <w:rPr>
          <w:rFonts w:ascii="Times New Roman" w:hAnsi="Times New Roman"/>
          <w:color w:val="000000" w:themeColor="text1"/>
          <w:sz w:val="16"/>
          <w:szCs w:val="16"/>
        </w:rPr>
        <w:softHyphen/>
        <w:t>ляжа при помощи стыковых узлов;</w:t>
      </w:r>
    </w:p>
    <w:p w14:paraId="07812AA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основная часть фюзеляжа представляла собой монокок дере</w:t>
      </w:r>
      <w:r w:rsidRPr="00722885">
        <w:rPr>
          <w:rFonts w:ascii="Times New Roman" w:hAnsi="Times New Roman"/>
          <w:color w:val="000000" w:themeColor="text1"/>
          <w:sz w:val="16"/>
          <w:szCs w:val="16"/>
        </w:rPr>
        <w:softHyphen/>
        <w:t>вянной конструкции. Спереди, ввер</w:t>
      </w:r>
      <w:r w:rsidRPr="00722885">
        <w:rPr>
          <w:rFonts w:ascii="Times New Roman" w:hAnsi="Times New Roman"/>
          <w:color w:val="000000" w:themeColor="text1"/>
          <w:sz w:val="16"/>
          <w:szCs w:val="16"/>
        </w:rPr>
        <w:softHyphen/>
        <w:t>ху располагалась турель УТК-1. В нижней части под крылом - бомбовый отсек. Над бомбовым отсеком размещался стальной сварной бен</w:t>
      </w:r>
      <w:r w:rsidRPr="00722885">
        <w:rPr>
          <w:rFonts w:ascii="Times New Roman" w:hAnsi="Times New Roman"/>
          <w:color w:val="000000" w:themeColor="text1"/>
          <w:sz w:val="16"/>
          <w:szCs w:val="16"/>
        </w:rPr>
        <w:softHyphen/>
        <w:t>зиновый бак. В задней части фюзеляжа помещался стрелок, обслуживаюший люковой установкой размещалось различное управление, а также оборудование.</w:t>
      </w:r>
    </w:p>
    <w:p w14:paraId="014EF3B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Крыло - двухлонжеронное, тра</w:t>
      </w:r>
      <w:r w:rsidRPr="00722885">
        <w:rPr>
          <w:rFonts w:ascii="Times New Roman" w:hAnsi="Times New Roman"/>
          <w:color w:val="000000" w:themeColor="text1"/>
          <w:sz w:val="16"/>
          <w:szCs w:val="16"/>
        </w:rPr>
        <w:softHyphen/>
        <w:t>пециевидной формы в плане состо</w:t>
      </w:r>
      <w:r w:rsidRPr="00722885">
        <w:rPr>
          <w:rFonts w:ascii="Times New Roman" w:hAnsi="Times New Roman"/>
          <w:color w:val="000000" w:themeColor="text1"/>
          <w:sz w:val="16"/>
          <w:szCs w:val="16"/>
        </w:rPr>
        <w:softHyphen/>
        <w:t>яло из двух отъемных консолей, сты</w:t>
      </w:r>
      <w:r w:rsidRPr="00722885">
        <w:rPr>
          <w:rFonts w:ascii="Times New Roman" w:hAnsi="Times New Roman"/>
          <w:color w:val="000000" w:themeColor="text1"/>
          <w:sz w:val="16"/>
          <w:szCs w:val="16"/>
        </w:rPr>
        <w:softHyphen/>
        <w:t>кующихся с узлами на фюзеляже. Передний лонжерон коробчатой конструкции с полками из клееного березового шпона и фанерными стенками. Задний лонжерон с пол</w:t>
      </w:r>
      <w:r w:rsidRPr="00722885">
        <w:rPr>
          <w:rFonts w:ascii="Times New Roman" w:hAnsi="Times New Roman"/>
          <w:color w:val="000000" w:themeColor="text1"/>
          <w:sz w:val="16"/>
          <w:szCs w:val="16"/>
        </w:rPr>
        <w:softHyphen/>
        <w:t>ками из сосны и фанерными стен</w:t>
      </w:r>
      <w:r w:rsidRPr="00722885">
        <w:rPr>
          <w:rFonts w:ascii="Times New Roman" w:hAnsi="Times New Roman"/>
          <w:color w:val="000000" w:themeColor="text1"/>
          <w:sz w:val="16"/>
          <w:szCs w:val="16"/>
        </w:rPr>
        <w:softHyphen/>
        <w:t>ками. Нервюры - деревянной конструкции, за исключением бортовой и второй нервюры (в зоне крепле</w:t>
      </w:r>
      <w:r w:rsidRPr="00722885">
        <w:rPr>
          <w:rFonts w:ascii="Times New Roman" w:hAnsi="Times New Roman"/>
          <w:color w:val="000000" w:themeColor="text1"/>
          <w:sz w:val="16"/>
          <w:szCs w:val="16"/>
        </w:rPr>
        <w:softHyphen/>
        <w:t>ния шасси). Обшивка из фанеры. В носке крыла и между лонжеронами располагались бензобаки (по два в каждой консоли) сварной конст</w:t>
      </w:r>
      <w:r w:rsidRPr="00722885">
        <w:rPr>
          <w:rFonts w:ascii="Times New Roman" w:hAnsi="Times New Roman"/>
          <w:color w:val="000000" w:themeColor="text1"/>
          <w:sz w:val="16"/>
          <w:szCs w:val="16"/>
        </w:rPr>
        <w:softHyphen/>
        <w:t>рукции из броневой стали, толщи</w:t>
      </w:r>
      <w:r w:rsidRPr="00722885">
        <w:rPr>
          <w:rFonts w:ascii="Times New Roman" w:hAnsi="Times New Roman"/>
          <w:color w:val="000000" w:themeColor="text1"/>
          <w:sz w:val="16"/>
          <w:szCs w:val="16"/>
        </w:rPr>
        <w:softHyphen/>
        <w:t>ной 1,5 мм. Носковый бак и нижняя панель межлонжеронного бака были включены в силовую схему крыла. Механизация крыла включала элероны и посадочные щитки типа «Шренк». Каркас элеронов и посадочные щитки выполнены из дюраля. Элероны обтянуты полот</w:t>
      </w:r>
      <w:r w:rsidRPr="00722885">
        <w:rPr>
          <w:rFonts w:ascii="Times New Roman" w:hAnsi="Times New Roman"/>
          <w:color w:val="000000" w:themeColor="text1"/>
          <w:sz w:val="16"/>
          <w:szCs w:val="16"/>
        </w:rPr>
        <w:softHyphen/>
        <w:t>ном. На правом элероне имелся триммер.</w:t>
      </w:r>
    </w:p>
    <w:p w14:paraId="4CE83DD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Хвостовое оперение состояло из киля и стабилизатора деревянной конструкции с обшивкой из фане</w:t>
      </w:r>
      <w:r w:rsidRPr="00722885">
        <w:rPr>
          <w:rFonts w:ascii="Times New Roman" w:hAnsi="Times New Roman"/>
          <w:color w:val="000000" w:themeColor="text1"/>
          <w:sz w:val="16"/>
          <w:szCs w:val="16"/>
        </w:rPr>
        <w:softHyphen/>
        <w:t>ры. Каркасы рулей выполнены из дюралюминия с полотняной обшив</w:t>
      </w:r>
      <w:r w:rsidRPr="00722885">
        <w:rPr>
          <w:rFonts w:ascii="Times New Roman" w:hAnsi="Times New Roman"/>
          <w:color w:val="000000" w:themeColor="text1"/>
          <w:sz w:val="16"/>
          <w:szCs w:val="16"/>
        </w:rPr>
        <w:softHyphen/>
        <w:t>кой. Рули имели весовую и аэроди</w:t>
      </w:r>
      <w:r w:rsidRPr="00722885">
        <w:rPr>
          <w:rFonts w:ascii="Times New Roman" w:hAnsi="Times New Roman"/>
          <w:color w:val="000000" w:themeColor="text1"/>
          <w:sz w:val="16"/>
          <w:szCs w:val="16"/>
        </w:rPr>
        <w:softHyphen/>
        <w:t>намическую компенсацию и были снабжены триммерами.</w:t>
      </w:r>
    </w:p>
    <w:p w14:paraId="04987DA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Шасси - трехколесное с хвос</w:t>
      </w:r>
      <w:r w:rsidRPr="00722885">
        <w:rPr>
          <w:rFonts w:ascii="Times New Roman" w:hAnsi="Times New Roman"/>
          <w:color w:val="000000" w:themeColor="text1"/>
          <w:sz w:val="16"/>
          <w:szCs w:val="16"/>
        </w:rPr>
        <w:softHyphen/>
        <w:t>товым колесом. Основные опоры убирались по потоку в специальные обтекатели на крыле, а колеса с поворотом на 90° - в ниши крыла. Хвостовая опора с колесом убира</w:t>
      </w:r>
      <w:r w:rsidRPr="00722885">
        <w:rPr>
          <w:rFonts w:ascii="Times New Roman" w:hAnsi="Times New Roman"/>
          <w:color w:val="000000" w:themeColor="text1"/>
          <w:sz w:val="16"/>
          <w:szCs w:val="16"/>
        </w:rPr>
        <w:softHyphen/>
        <w:t>лась в фюзеляж. Уборка и выпуск шасси и посадочных щитков осу</w:t>
      </w:r>
      <w:r w:rsidRPr="00722885">
        <w:rPr>
          <w:rFonts w:ascii="Times New Roman" w:hAnsi="Times New Roman"/>
          <w:color w:val="000000" w:themeColor="text1"/>
          <w:sz w:val="16"/>
          <w:szCs w:val="16"/>
        </w:rPr>
        <w:softHyphen/>
        <w:t>ществлялась при помощи гидроси</w:t>
      </w:r>
      <w:r w:rsidRPr="00722885">
        <w:rPr>
          <w:rFonts w:ascii="Times New Roman" w:hAnsi="Times New Roman"/>
          <w:color w:val="000000" w:themeColor="text1"/>
          <w:sz w:val="16"/>
          <w:szCs w:val="16"/>
        </w:rPr>
        <w:softHyphen/>
        <w:t>стемы. Источник давления - элект</w:t>
      </w:r>
      <w:r w:rsidRPr="00722885">
        <w:rPr>
          <w:rFonts w:ascii="Times New Roman" w:hAnsi="Times New Roman"/>
          <w:color w:val="000000" w:themeColor="text1"/>
          <w:sz w:val="16"/>
          <w:szCs w:val="16"/>
        </w:rPr>
        <w:softHyphen/>
        <w:t>роприводной гидронасос.</w:t>
      </w:r>
    </w:p>
    <w:p w14:paraId="691A39B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Система управления самолетом - жесткого типа.</w:t>
      </w:r>
    </w:p>
    <w:p w14:paraId="2E25734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Поршневой двигатель жидкостно</w:t>
      </w:r>
      <w:r w:rsidRPr="00722885">
        <w:rPr>
          <w:rFonts w:ascii="Times New Roman" w:hAnsi="Times New Roman"/>
          <w:color w:val="000000" w:themeColor="text1"/>
          <w:sz w:val="16"/>
          <w:szCs w:val="16"/>
        </w:rPr>
        <w:softHyphen/>
        <w:t>го охлаждения АМ-37 (1400 л.с.) с воздушным винтом изменяемого шага монтировался на стальной мотораме сварной конструкции, крепящейся к узлам кабины. Двига</w:t>
      </w:r>
      <w:r w:rsidRPr="00722885">
        <w:rPr>
          <w:rFonts w:ascii="Times New Roman" w:hAnsi="Times New Roman"/>
          <w:color w:val="000000" w:themeColor="text1"/>
          <w:sz w:val="16"/>
          <w:szCs w:val="16"/>
        </w:rPr>
        <w:softHyphen/>
        <w:t>тель закрывался капотом, нижними створками которого служили броневые листы толщиной 1,5 мм. Мас-лорадиатор помещался под двига</w:t>
      </w:r>
      <w:r w:rsidRPr="00722885">
        <w:rPr>
          <w:rFonts w:ascii="Times New Roman" w:hAnsi="Times New Roman"/>
          <w:color w:val="000000" w:themeColor="text1"/>
          <w:sz w:val="16"/>
          <w:szCs w:val="16"/>
        </w:rPr>
        <w:softHyphen/>
        <w:t>телем, а радиатор системы охлаж</w:t>
      </w:r>
      <w:r w:rsidRPr="00722885">
        <w:rPr>
          <w:rFonts w:ascii="Times New Roman" w:hAnsi="Times New Roman"/>
          <w:color w:val="000000" w:themeColor="text1"/>
          <w:sz w:val="16"/>
          <w:szCs w:val="16"/>
        </w:rPr>
        <w:softHyphen/>
        <w:t>дения двигателя - в носке корне</w:t>
      </w:r>
      <w:r w:rsidRPr="00722885">
        <w:rPr>
          <w:rFonts w:ascii="Times New Roman" w:hAnsi="Times New Roman"/>
          <w:color w:val="000000" w:themeColor="text1"/>
          <w:sz w:val="16"/>
          <w:szCs w:val="16"/>
        </w:rPr>
        <w:softHyphen/>
        <w:t>вой части правой консоли крыла.</w:t>
      </w:r>
    </w:p>
    <w:p w14:paraId="6DC45B6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Стрелковое вооружение - вер</w:t>
      </w:r>
      <w:r w:rsidRPr="00722885">
        <w:rPr>
          <w:rFonts w:ascii="Times New Roman" w:hAnsi="Times New Roman"/>
          <w:color w:val="000000" w:themeColor="text1"/>
          <w:sz w:val="16"/>
          <w:szCs w:val="16"/>
        </w:rPr>
        <w:softHyphen/>
        <w:t>хняя турель УТК-1 с пулеметом ка</w:t>
      </w:r>
      <w:r w:rsidRPr="00722885">
        <w:rPr>
          <w:rFonts w:ascii="Times New Roman" w:hAnsi="Times New Roman"/>
          <w:color w:val="000000" w:themeColor="text1"/>
          <w:sz w:val="16"/>
          <w:szCs w:val="16"/>
        </w:rPr>
        <w:softHyphen/>
        <w:t>либра 12,7 мм и боекомплектом 200 патронов обслуживалась штурма</w:t>
      </w:r>
      <w:r w:rsidRPr="00722885">
        <w:rPr>
          <w:rFonts w:ascii="Times New Roman" w:hAnsi="Times New Roman"/>
          <w:color w:val="000000" w:themeColor="text1"/>
          <w:sz w:val="16"/>
          <w:szCs w:val="16"/>
        </w:rPr>
        <w:softHyphen/>
        <w:t>ном. Люковая установка с пулеме</w:t>
      </w:r>
      <w:r w:rsidRPr="00722885">
        <w:rPr>
          <w:rFonts w:ascii="Times New Roman" w:hAnsi="Times New Roman"/>
          <w:color w:val="000000" w:themeColor="text1"/>
          <w:sz w:val="16"/>
          <w:szCs w:val="16"/>
        </w:rPr>
        <w:softHyphen/>
        <w:t>том калибра 12,7 мм и боекомплек</w:t>
      </w:r>
      <w:r w:rsidRPr="00722885">
        <w:rPr>
          <w:rFonts w:ascii="Times New Roman" w:hAnsi="Times New Roman"/>
          <w:color w:val="000000" w:themeColor="text1"/>
          <w:sz w:val="16"/>
          <w:szCs w:val="16"/>
        </w:rPr>
        <w:softHyphen/>
        <w:t>том 200 патронов обслуживалась стрелком.</w:t>
      </w:r>
    </w:p>
    <w:p w14:paraId="20F3A53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Бомбовое вооружение разме</w:t>
      </w:r>
      <w:r w:rsidRPr="00722885">
        <w:rPr>
          <w:rFonts w:ascii="Times New Roman" w:hAnsi="Times New Roman"/>
          <w:color w:val="000000" w:themeColor="text1"/>
          <w:sz w:val="16"/>
          <w:szCs w:val="16"/>
        </w:rPr>
        <w:softHyphen/>
        <w:t>щалось в бомбоотсеке. Нормаль</w:t>
      </w:r>
      <w:r w:rsidRPr="00722885">
        <w:rPr>
          <w:rFonts w:ascii="Times New Roman" w:hAnsi="Times New Roman"/>
          <w:color w:val="000000" w:themeColor="text1"/>
          <w:sz w:val="16"/>
          <w:szCs w:val="16"/>
        </w:rPr>
        <w:softHyphen/>
        <w:t>ная бомбовая нагрузка - 1000 кг, в перегрузочном варианте - 2000 кг.</w:t>
      </w:r>
    </w:p>
    <w:p w14:paraId="3E15C8F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состоял из трех человек: летчика, штурмана-стрелка-радис</w:t>
      </w:r>
      <w:r w:rsidRPr="00722885">
        <w:rPr>
          <w:rFonts w:ascii="Times New Roman" w:hAnsi="Times New Roman"/>
          <w:color w:val="000000" w:themeColor="text1"/>
          <w:sz w:val="16"/>
          <w:szCs w:val="16"/>
        </w:rPr>
        <w:softHyphen/>
        <w:t>та, стрелка.</w:t>
      </w:r>
    </w:p>
    <w:p w14:paraId="64CC202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Бронирование экипажа, мотора, масло-водорадиаторов и бензоба</w:t>
      </w:r>
      <w:r w:rsidRPr="00722885">
        <w:rPr>
          <w:rFonts w:ascii="Times New Roman" w:hAnsi="Times New Roman"/>
          <w:color w:val="000000" w:themeColor="text1"/>
          <w:sz w:val="16"/>
          <w:szCs w:val="16"/>
        </w:rPr>
        <w:softHyphen/>
        <w:t>ков обеспечивало защиту от оскол</w:t>
      </w:r>
      <w:r w:rsidRPr="00722885">
        <w:rPr>
          <w:rFonts w:ascii="Times New Roman" w:hAnsi="Times New Roman"/>
          <w:color w:val="000000" w:themeColor="text1"/>
          <w:sz w:val="16"/>
          <w:szCs w:val="16"/>
        </w:rPr>
        <w:softHyphen/>
        <w:t>ков зенитных снарядов. Кроме того, для защиты сзади от крупнокали</w:t>
      </w:r>
      <w:r w:rsidRPr="00722885">
        <w:rPr>
          <w:rFonts w:ascii="Times New Roman" w:hAnsi="Times New Roman"/>
          <w:color w:val="000000" w:themeColor="text1"/>
          <w:sz w:val="16"/>
          <w:szCs w:val="16"/>
        </w:rPr>
        <w:softHyphen/>
        <w:t>берного оружия летчик и штурман имели бронеспинки толщиной 15 мм, а стрелок люковой установки -бронеплиту толщиной 15 мм.</w:t>
      </w:r>
    </w:p>
    <w:p w14:paraId="05FA18E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Эскизный проект дальнего ноч</w:t>
      </w:r>
      <w:r w:rsidRPr="00722885">
        <w:rPr>
          <w:rFonts w:ascii="Times New Roman" w:hAnsi="Times New Roman"/>
          <w:color w:val="000000" w:themeColor="text1"/>
          <w:sz w:val="16"/>
          <w:szCs w:val="16"/>
        </w:rPr>
        <w:softHyphen/>
        <w:t>ного бомбардировщика ДБ с АМ-37 был рассмотрен в НИИ ВВС КА. В Заключении, утвержденном глав</w:t>
      </w:r>
      <w:r w:rsidRPr="00722885">
        <w:rPr>
          <w:rFonts w:ascii="Times New Roman" w:hAnsi="Times New Roman"/>
          <w:color w:val="000000" w:themeColor="text1"/>
          <w:sz w:val="16"/>
          <w:szCs w:val="16"/>
        </w:rPr>
        <w:softHyphen/>
        <w:t>ным инженером ВВС 21.10.42 г., от</w:t>
      </w:r>
      <w:r w:rsidRPr="00722885">
        <w:rPr>
          <w:rFonts w:ascii="Times New Roman" w:hAnsi="Times New Roman"/>
          <w:color w:val="000000" w:themeColor="text1"/>
          <w:sz w:val="16"/>
          <w:szCs w:val="16"/>
        </w:rPr>
        <w:softHyphen/>
        <w:t>мечалось, что предъявленный эскиз</w:t>
      </w:r>
      <w:r w:rsidRPr="00722885">
        <w:rPr>
          <w:rFonts w:ascii="Times New Roman" w:hAnsi="Times New Roman"/>
          <w:color w:val="000000" w:themeColor="text1"/>
          <w:sz w:val="16"/>
          <w:szCs w:val="16"/>
        </w:rPr>
        <w:softHyphen/>
        <w:t>ный проект: «...утвержден быть не может, по следующим причинам:</w:t>
      </w:r>
    </w:p>
    <w:p w14:paraId="669A8AF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Одномоторная схема само</w:t>
      </w:r>
      <w:r w:rsidRPr="00722885">
        <w:rPr>
          <w:rFonts w:ascii="Times New Roman" w:hAnsi="Times New Roman"/>
          <w:color w:val="000000" w:themeColor="text1"/>
          <w:sz w:val="16"/>
          <w:szCs w:val="16"/>
        </w:rPr>
        <w:softHyphen/>
        <w:t>лета дальнего действия, из условий надежности и безопасности поле</w:t>
      </w:r>
      <w:r w:rsidRPr="00722885">
        <w:rPr>
          <w:rFonts w:ascii="Times New Roman" w:hAnsi="Times New Roman"/>
          <w:color w:val="000000" w:themeColor="text1"/>
          <w:sz w:val="16"/>
          <w:szCs w:val="16"/>
        </w:rPr>
        <w:softHyphen/>
        <w:t>та нецелесообразна.</w:t>
      </w:r>
    </w:p>
    <w:p w14:paraId="51D139C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 самолете автор проекта предполагает установить мотор АМ-37. Мотор с производства снят, в широкой эксплуатации не прове</w:t>
      </w:r>
      <w:r w:rsidRPr="00722885">
        <w:rPr>
          <w:rFonts w:ascii="Times New Roman" w:hAnsi="Times New Roman"/>
          <w:color w:val="000000" w:themeColor="text1"/>
          <w:sz w:val="16"/>
          <w:szCs w:val="16"/>
        </w:rPr>
        <w:softHyphen/>
        <w:t>рен и имеет ряд существенных де</w:t>
      </w:r>
      <w:r w:rsidRPr="00722885">
        <w:rPr>
          <w:rFonts w:ascii="Times New Roman" w:hAnsi="Times New Roman"/>
          <w:color w:val="000000" w:themeColor="text1"/>
          <w:sz w:val="16"/>
          <w:szCs w:val="16"/>
        </w:rPr>
        <w:softHyphen/>
        <w:t>фектов.</w:t>
      </w:r>
    </w:p>
    <w:p w14:paraId="62A1AB2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Взлетные свойства самолета (тем более, ночного) неудовлетво</w:t>
      </w:r>
      <w:r w:rsidRPr="00722885">
        <w:rPr>
          <w:rFonts w:ascii="Times New Roman" w:hAnsi="Times New Roman"/>
          <w:color w:val="000000" w:themeColor="text1"/>
          <w:sz w:val="16"/>
          <w:szCs w:val="16"/>
        </w:rPr>
        <w:softHyphen/>
        <w:t>рительные. (Разбег 1030 м в нор</w:t>
      </w:r>
      <w:r w:rsidRPr="00722885">
        <w:rPr>
          <w:rFonts w:ascii="Times New Roman" w:hAnsi="Times New Roman"/>
          <w:color w:val="000000" w:themeColor="text1"/>
          <w:sz w:val="16"/>
          <w:szCs w:val="16"/>
        </w:rPr>
        <w:softHyphen/>
        <w:t>мальном варианте).</w:t>
      </w:r>
    </w:p>
    <w:p w14:paraId="6F2F012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Размещение и количество эки</w:t>
      </w:r>
      <w:r w:rsidRPr="00722885">
        <w:rPr>
          <w:rFonts w:ascii="Times New Roman" w:hAnsi="Times New Roman"/>
          <w:color w:val="000000" w:themeColor="text1"/>
          <w:sz w:val="16"/>
          <w:szCs w:val="16"/>
        </w:rPr>
        <w:softHyphen/>
        <w:t>пажа не обеспечит нормальное выполнение боевого задания:</w:t>
      </w:r>
    </w:p>
    <w:p w14:paraId="794C322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одному летчику физически трудно производить полет ночью в течение 10 часов на высоте 6000 -8000 м;</w:t>
      </w:r>
    </w:p>
    <w:p w14:paraId="7B2CB4B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штурман не сможет выполнять обязанности^, навигатора, бомбар</w:t>
      </w:r>
      <w:r w:rsidRPr="00722885">
        <w:rPr>
          <w:rFonts w:ascii="Times New Roman" w:hAnsi="Times New Roman"/>
          <w:color w:val="000000" w:themeColor="text1"/>
          <w:sz w:val="16"/>
          <w:szCs w:val="16"/>
        </w:rPr>
        <w:softHyphen/>
        <w:t>дира и стрелка-радиста, тем более, что рабочие места его располо</w:t>
      </w:r>
      <w:r w:rsidRPr="00722885">
        <w:rPr>
          <w:rFonts w:ascii="Times New Roman" w:hAnsi="Times New Roman"/>
          <w:color w:val="000000" w:themeColor="text1"/>
          <w:sz w:val="16"/>
          <w:szCs w:val="16"/>
        </w:rPr>
        <w:softHyphen/>
        <w:t>жены в разных кабинах».</w:t>
      </w:r>
    </w:p>
    <w:p w14:paraId="7D1ECE3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в Заключение по эскизному проекту ДБ-АМ-37 были включены замечания консультанта НИИ ВВС КА генерал-майора ИАС В.С.Пышнова:</w:t>
      </w:r>
    </w:p>
    <w:p w14:paraId="21DAE5A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«Желание построить бомбар</w:t>
      </w:r>
      <w:r w:rsidRPr="00722885">
        <w:rPr>
          <w:rFonts w:ascii="Times New Roman" w:hAnsi="Times New Roman"/>
          <w:color w:val="000000" w:themeColor="text1"/>
          <w:sz w:val="16"/>
          <w:szCs w:val="16"/>
        </w:rPr>
        <w:softHyphen/>
        <w:t>дировщик с большой производитель</w:t>
      </w:r>
      <w:r w:rsidRPr="00722885">
        <w:rPr>
          <w:rFonts w:ascii="Times New Roman" w:hAnsi="Times New Roman"/>
          <w:color w:val="000000" w:themeColor="text1"/>
          <w:sz w:val="16"/>
          <w:szCs w:val="16"/>
        </w:rPr>
        <w:softHyphen/>
        <w:t>ностью, т.е. хорошим соотношени</w:t>
      </w:r>
      <w:r w:rsidRPr="00722885">
        <w:rPr>
          <w:rFonts w:ascii="Times New Roman" w:hAnsi="Times New Roman"/>
          <w:color w:val="000000" w:themeColor="text1"/>
          <w:sz w:val="16"/>
          <w:szCs w:val="16"/>
        </w:rPr>
        <w:softHyphen/>
        <w:t>ем между весом бомб и расходом горючего, заслуживает одобрения. Однако в этом деле не следует очень увлекаться. Улучшение про</w:t>
      </w:r>
      <w:r w:rsidRPr="00722885">
        <w:rPr>
          <w:rFonts w:ascii="Times New Roman" w:hAnsi="Times New Roman"/>
          <w:color w:val="000000" w:themeColor="text1"/>
          <w:sz w:val="16"/>
          <w:szCs w:val="16"/>
        </w:rPr>
        <w:softHyphen/>
        <w:t>изводительности дается ценой боль</w:t>
      </w:r>
      <w:r w:rsidRPr="00722885">
        <w:rPr>
          <w:rFonts w:ascii="Times New Roman" w:hAnsi="Times New Roman"/>
          <w:color w:val="000000" w:themeColor="text1"/>
          <w:sz w:val="16"/>
          <w:szCs w:val="16"/>
        </w:rPr>
        <w:softHyphen/>
        <w:t>шой работы над конструкцией и удачным замыслом.</w:t>
      </w:r>
    </w:p>
    <w:p w14:paraId="65AA373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Обещание увеличить произво</w:t>
      </w:r>
      <w:r w:rsidRPr="00722885">
        <w:rPr>
          <w:rFonts w:ascii="Times New Roman" w:hAnsi="Times New Roman"/>
          <w:color w:val="000000" w:themeColor="text1"/>
          <w:sz w:val="16"/>
          <w:szCs w:val="16"/>
        </w:rPr>
        <w:softHyphen/>
        <w:t>дительность в 4 раза не может не вызвать сомнений.</w:t>
      </w:r>
    </w:p>
    <w:p w14:paraId="4E157EF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Во-первых, едва ли целесообраз</w:t>
      </w:r>
      <w:r w:rsidRPr="00722885">
        <w:rPr>
          <w:rFonts w:ascii="Times New Roman" w:hAnsi="Times New Roman"/>
          <w:color w:val="000000" w:themeColor="text1"/>
          <w:sz w:val="16"/>
          <w:szCs w:val="16"/>
        </w:rPr>
        <w:softHyphen/>
        <w:t>но одномоторный бомбардировщик делать дальним. Здесь дело не толь</w:t>
      </w:r>
      <w:r w:rsidRPr="00722885">
        <w:rPr>
          <w:rFonts w:ascii="Times New Roman" w:hAnsi="Times New Roman"/>
          <w:color w:val="000000" w:themeColor="text1"/>
          <w:sz w:val="16"/>
          <w:szCs w:val="16"/>
        </w:rPr>
        <w:softHyphen/>
        <w:t>ко в надежности, но и в возможно</w:t>
      </w:r>
      <w:r w:rsidRPr="00722885">
        <w:rPr>
          <w:rFonts w:ascii="Times New Roman" w:hAnsi="Times New Roman"/>
          <w:color w:val="000000" w:themeColor="text1"/>
          <w:sz w:val="16"/>
          <w:szCs w:val="16"/>
        </w:rPr>
        <w:softHyphen/>
        <w:t>сти размещения спецоборудования. В самолете применено необычное размещение экипажа. Обстрел штурмана сильно стеснен крылом.</w:t>
      </w:r>
    </w:p>
    <w:p w14:paraId="29B3B95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Основной вопрос о полетном весе. Ночной старт труден и его не следует выполнять с предельно большим весом. Нормальный полет</w:t>
      </w:r>
      <w:r w:rsidRPr="00722885">
        <w:rPr>
          <w:rFonts w:ascii="Times New Roman" w:hAnsi="Times New Roman"/>
          <w:color w:val="000000" w:themeColor="text1"/>
          <w:sz w:val="16"/>
          <w:szCs w:val="16"/>
        </w:rPr>
        <w:softHyphen/>
        <w:t>ный вес данного самолета едва ли можно принять более 8000 - 8500 кг. Потребная величина аэродро</w:t>
      </w:r>
      <w:r w:rsidRPr="00722885">
        <w:rPr>
          <w:rFonts w:ascii="Times New Roman" w:hAnsi="Times New Roman"/>
          <w:color w:val="000000" w:themeColor="text1"/>
          <w:sz w:val="16"/>
          <w:szCs w:val="16"/>
        </w:rPr>
        <w:softHyphen/>
        <w:t>ма должна быть, примерно в 2 раза более длины разбега, т.е. свыше 2 км. Следует предложить конструк</w:t>
      </w:r>
      <w:r w:rsidRPr="00722885">
        <w:rPr>
          <w:rFonts w:ascii="Times New Roman" w:hAnsi="Times New Roman"/>
          <w:color w:val="000000" w:themeColor="text1"/>
          <w:sz w:val="16"/>
          <w:szCs w:val="16"/>
        </w:rPr>
        <w:softHyphen/>
        <w:t>тору еще поработать над проек</w:t>
      </w:r>
      <w:r w:rsidRPr="00722885">
        <w:rPr>
          <w:rFonts w:ascii="Times New Roman" w:hAnsi="Times New Roman"/>
          <w:color w:val="000000" w:themeColor="text1"/>
          <w:sz w:val="16"/>
          <w:szCs w:val="16"/>
        </w:rPr>
        <w:softHyphen/>
        <w:t>том» (11758).</w:t>
      </w:r>
    </w:p>
    <w:p w14:paraId="6EDA3DF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588BE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проходили контрольные гос. испытания первого серийного Як-1 с М-105ПФ N 29-85 выпуска августа 1942. В бригаде были л В.И.Хомяков, и М.А.Пронин и т. В.Ф.Сбитнев (65,57).</w:t>
      </w:r>
    </w:p>
    <w:p w14:paraId="29F923AE" w14:textId="77777777" w:rsidR="00090C9B" w:rsidRPr="00722885" w:rsidRDefault="00090C9B" w:rsidP="00722885">
      <w:pPr>
        <w:pStyle w:val="Iauiue"/>
        <w:jc w:val="both"/>
        <w:rPr>
          <w:color w:val="000000" w:themeColor="text1"/>
          <w:sz w:val="16"/>
          <w:szCs w:val="16"/>
        </w:rPr>
      </w:pPr>
    </w:p>
    <w:p w14:paraId="55DA9B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292 завод сделал 20 облегченных Як-1 96 серии (65,63).</w:t>
      </w:r>
    </w:p>
    <w:p w14:paraId="3E840787" w14:textId="77777777" w:rsidR="00090C9B" w:rsidRPr="00722885" w:rsidRDefault="00090C9B" w:rsidP="00722885">
      <w:pPr>
        <w:pStyle w:val="Iauiue"/>
        <w:jc w:val="both"/>
        <w:rPr>
          <w:color w:val="000000" w:themeColor="text1"/>
          <w:sz w:val="16"/>
          <w:szCs w:val="16"/>
        </w:rPr>
      </w:pPr>
    </w:p>
    <w:p w14:paraId="6A218E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сентября 1942 292 завод стал производить Як-1б и с октября перешли на него полностью (65,66).</w:t>
      </w:r>
    </w:p>
    <w:p w14:paraId="2472F0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Выпустили и 20 облегченных на 173 кг Як-1 96 серии (65,63).</w:t>
      </w:r>
    </w:p>
    <w:p w14:paraId="68730A23" w14:textId="77777777" w:rsidR="00090C9B" w:rsidRPr="00722885" w:rsidRDefault="00090C9B" w:rsidP="00722885">
      <w:pPr>
        <w:pStyle w:val="Iauiue"/>
        <w:jc w:val="both"/>
        <w:rPr>
          <w:color w:val="000000" w:themeColor="text1"/>
          <w:sz w:val="16"/>
          <w:szCs w:val="16"/>
        </w:rPr>
      </w:pPr>
    </w:p>
    <w:p w14:paraId="2058CC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В сентябре 1942 был готов 1942 Як-7 (1046,37), так что, наверное, испытания были совместными.</w:t>
      </w:r>
    </w:p>
    <w:p w14:paraId="09BCCB72" w14:textId="77777777" w:rsidR="00090C9B" w:rsidRPr="00722885" w:rsidRDefault="00090C9B" w:rsidP="00722885">
      <w:pPr>
        <w:pStyle w:val="Iauiue"/>
        <w:jc w:val="both"/>
        <w:rPr>
          <w:color w:val="000000" w:themeColor="text1"/>
          <w:sz w:val="16"/>
          <w:szCs w:val="16"/>
        </w:rPr>
      </w:pPr>
    </w:p>
    <w:p w14:paraId="2AD59D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сентября 1942 г. (со 102-й серии) на Як-1 стали устанавливать на самолетах новую систему НГ, которая успешно прошла испытания. По указанию Главного инженера ВВС КА № 88 от 14 сентября 1942 г. истребители Як-1 более ранних серий выпуска должны были пройти доработку.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на нравом пульте кабины сообщал баки или с системой НГ, или, для заправки топливом на земле, с атмосферой.</w:t>
      </w:r>
    </w:p>
    <w:p w14:paraId="6006E2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наступления холодов в эксплуатации не представилось возможным испытать эту схему. При понижении температуры наружного воздуха завод получил много 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 КАП, Н И И ВВС и завода № 156 во главе с Хайкешиевым и Погосским. В процессе жарких теоретических споров по схеме НГ был разработан ряд 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0322B36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5493D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заводом 31 был выпущен ЛаГГ-3 с полетным весом 2865 кг (вместо обычного в 3070-3100 кг) и передан на гос. испытания в НИИ ВВС (2504,23).</w:t>
      </w:r>
    </w:p>
    <w:p w14:paraId="45C7461D" w14:textId="77777777" w:rsidR="00090C9B" w:rsidRPr="00722885" w:rsidRDefault="00090C9B" w:rsidP="00722885">
      <w:pPr>
        <w:pStyle w:val="Iauiue"/>
        <w:jc w:val="both"/>
        <w:rPr>
          <w:color w:val="000000" w:themeColor="text1"/>
          <w:sz w:val="16"/>
          <w:szCs w:val="16"/>
        </w:rPr>
      </w:pPr>
    </w:p>
    <w:p w14:paraId="08D98F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обозначение самолета ЛаГГ-3 с М-82 было изменено на Ла-5 (10686).</w:t>
      </w:r>
    </w:p>
    <w:p w14:paraId="1D55324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87735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заказчик получил первые девять ЛаГГ-5 (ЛаГ-5), облетанных заводским летчиком А.В. Большаковым, а всего завод построил 21 истребитель под этим обозначением. Лишь в конце лета окончательно перешли на новую машину. Первые серийные ЛаГГ-5 потяжелели по сравнению с опытным до 3376 кг. Но к концу года, как следует из отчета завода № 21 за 1942 год, вес Ла-5 снизили до 3200 кг. Этого удалось добиться, в частности, переходом на трех- баковую топливную систему, заменой одной пушки ШВАК пулеметом БС и отказом от протектированных бензобаков. Защита последних с помощью резинового протектора оказалась, как показывал опыт войны, неэффективной от снарядов авиационных пушек.</w:t>
      </w:r>
    </w:p>
    <w:p w14:paraId="40484E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серийного ЛаГГ-5 по сравнению с первым образцом машины увеличилась с 515 км/ч (без учета установки антенны радиостанции, предкрылков и ухватов для бомб) до 520 км/ч (на какой высоте не указывается и, видимо, у земли на номинальном режиме работы двигателя) (12032).</w:t>
      </w:r>
    </w:p>
    <w:p w14:paraId="31055E3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AAD3F46"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Сентябрь 1942</w:t>
      </w:r>
    </w:p>
    <w:p w14:paraId="23614296"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ПИСЬМО ЛЕТНОГО СОСТАВА 737 ИАП С.А ЛАВОЧКИНУ (СЕНТЯБРЬ 1942 Г.)</w:t>
      </w:r>
    </w:p>
    <w:p w14:paraId="65444C62"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начале сентября 42 г. 737 ИАП, работавший на ЛаГГ-3, получил один ЛаГГ-5. Получил в неисправном виде, но технический состав быстро освоил его и привел в боевую готовность. Самолет был получен без инструкции по технике пилотирования и другой литературы. № 37210114.</w:t>
      </w:r>
    </w:p>
    <w:p w14:paraId="083327EB"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Выводы летчиков (положительные):</w:t>
      </w:r>
    </w:p>
    <w:p w14:paraId="2D8F0D75"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Самолет значительно устойчивее на взлете, посадке и на различных режимах полета.</w:t>
      </w:r>
    </w:p>
    <w:p w14:paraId="640405FD"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Управляемость самолета стала значительно легче, перекладывание из одной фигуры в другую производится легко.</w:t>
      </w:r>
    </w:p>
    <w:p w14:paraId="09669581"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Скороподъемность значительно улучшена.</w:t>
      </w:r>
    </w:p>
    <w:p w14:paraId="3F821A21"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Замечания:</w:t>
      </w:r>
    </w:p>
    <w:p w14:paraId="7D313A87"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На высоте 1000 м скорость самолета по прибору не выше 410 км/час, что почти не отличает его от ЛаГГ-3.</w:t>
      </w:r>
    </w:p>
    <w:p w14:paraId="649F4560"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Запуск мотора и переход с малого газа на нормальную работу очень затруднителен.</w:t>
      </w:r>
    </w:p>
    <w:p w14:paraId="4D35694A"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Пожелания:</w:t>
      </w:r>
    </w:p>
    <w:p w14:paraId="15150790"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Облегчить самолет хотя бы на 150-180 кг.</w:t>
      </w:r>
    </w:p>
    <w:p w14:paraId="62CFE452"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Улучшить бронирование летчика: поставить переднее бронестекло, подлокотники и самое главное надголовник; большинство наших потерь происходит из-за смертельных ранений летчиков в голову.</w:t>
      </w:r>
    </w:p>
    <w:p w14:paraId="5C7702CA"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Увеличить скорость самолета</w:t>
      </w:r>
    </w:p>
    <w:p w14:paraId="5CB2F9E4"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Упростить эксплуатацию (например, для регулировки заднего узла крепления пушек пушки надо снимать).</w:t>
      </w:r>
    </w:p>
    <w:p w14:paraId="592978FE"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Командир 737 ИАП БАРЧУК Комиссар КРАМАРЕНКО</w:t>
      </w:r>
    </w:p>
    <w:p w14:paraId="271387F5"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Ст[арший] инженер КОВАЛЬ.</w:t>
      </w:r>
    </w:p>
    <w:p w14:paraId="33539A1F"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ЦАНО. Ф 2066. Оп. 6. Д. 739. Л. 8.</w:t>
      </w:r>
    </w:p>
    <w:p w14:paraId="294C621E" w14:textId="77777777" w:rsidR="003A2E79" w:rsidRPr="00722885" w:rsidRDefault="003A2E7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Подлинник. Машинопись (20963).</w:t>
      </w:r>
    </w:p>
    <w:p w14:paraId="725CDDFB" w14:textId="77777777" w:rsidR="003A2E79" w:rsidRPr="00722885" w:rsidRDefault="003A2E79" w:rsidP="00722885">
      <w:pPr>
        <w:spacing w:after="0" w:line="240" w:lineRule="auto"/>
        <w:jc w:val="both"/>
        <w:rPr>
          <w:rFonts w:ascii="Times New Roman" w:hAnsi="Times New Roman"/>
          <w:color w:val="0070C0"/>
          <w:sz w:val="16"/>
          <w:szCs w:val="16"/>
        </w:rPr>
      </w:pPr>
    </w:p>
    <w:p w14:paraId="35FBD1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1942-го летчики 737-го иап в письме конструктору просили облегчить самолет ЛаГ-5 хотя бы на 150-180 кг, улучшить бронирование летчика, установить переднее бронестекло, поскольку 'большинство наших потерь происходит из-за смертельных ранений летчиков в голову'. Просили увеличить скорость самолета и упростить его эксплуатацию (4573).</w:t>
      </w:r>
    </w:p>
    <w:p w14:paraId="189D0E19" w14:textId="77777777" w:rsidR="00090C9B" w:rsidRPr="00722885" w:rsidRDefault="00090C9B" w:rsidP="00722885">
      <w:pPr>
        <w:pStyle w:val="Iauiue"/>
        <w:jc w:val="both"/>
        <w:rPr>
          <w:color w:val="000000" w:themeColor="text1"/>
          <w:sz w:val="16"/>
          <w:szCs w:val="16"/>
        </w:rPr>
      </w:pPr>
    </w:p>
    <w:p w14:paraId="5C3298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1942-го Ведущий инженер ОКБ Лавочкина П.Г.Питерин, командированный в 49-й гиап, отметил, что на высоте 4000 м и ниже ЛаГТ-5 имеет несравненные преимущества перед Me 109Ф во всех отношениях; у самолета тяжелое управление рулем поворота и наоборот - легкое элеронами, он устойчив, при резких выводах из фигур не сваливается в штопор, прост в управлении и при посадке. Оружие мощное и безотказное, самолет прочен, живуч и не горит. Руководящий и летный состав 49-го гиап очень доволен самолетом и утверждает, что на такой машине можно воевать с большим успехом, но требуется уменьшить вес, улучшить вентиляцию кабины, установить бронестекло. Именно в 49-м гиап предложили снять протектор с консольных бензобаков, вместо двух пушек поставить одну и один БС, убрать из кабины механическую перезарядку оружия (4573).</w:t>
      </w:r>
    </w:p>
    <w:p w14:paraId="1C232B4D" w14:textId="77777777" w:rsidR="00090C9B" w:rsidRPr="00722885" w:rsidRDefault="00090C9B" w:rsidP="00722885">
      <w:pPr>
        <w:pStyle w:val="Iauiue"/>
        <w:jc w:val="both"/>
        <w:rPr>
          <w:color w:val="000000" w:themeColor="text1"/>
          <w:sz w:val="16"/>
          <w:szCs w:val="16"/>
        </w:rPr>
      </w:pPr>
    </w:p>
    <w:p w14:paraId="0C40EE3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w:t>
      </w:r>
      <w:r w:rsidRPr="00722885">
        <w:rPr>
          <w:rFonts w:ascii="Times New Roman" w:hAnsi="Times New Roman"/>
          <w:color w:val="000000" w:themeColor="text1"/>
          <w:sz w:val="16"/>
          <w:szCs w:val="16"/>
        </w:rPr>
        <w:softHyphen/>
        <w:t>тябре 1942 вышел приказ НКАП о серийном выпуске карбюраторов ВК-82 с октября 1942 года. К 1 января 1943 года было вы</w:t>
      </w:r>
      <w:r w:rsidRPr="00722885">
        <w:rPr>
          <w:rFonts w:ascii="Times New Roman" w:hAnsi="Times New Roman"/>
          <w:color w:val="000000" w:themeColor="text1"/>
          <w:sz w:val="16"/>
          <w:szCs w:val="16"/>
        </w:rPr>
        <w:softHyphen/>
        <w:t>пущено всего 30 штук ВК-82. Но в серию на заводе №19 этот карбю</w:t>
      </w:r>
      <w:r w:rsidRPr="00722885">
        <w:rPr>
          <w:rFonts w:ascii="Times New Roman" w:hAnsi="Times New Roman"/>
          <w:color w:val="000000" w:themeColor="text1"/>
          <w:sz w:val="16"/>
          <w:szCs w:val="16"/>
        </w:rPr>
        <w:softHyphen/>
        <w:t>ратор так и не пошел. Одновременно продолжалась до</w:t>
      </w:r>
      <w:r w:rsidRPr="00722885">
        <w:rPr>
          <w:rFonts w:ascii="Times New Roman" w:hAnsi="Times New Roman"/>
          <w:color w:val="000000" w:themeColor="text1"/>
          <w:sz w:val="16"/>
          <w:szCs w:val="16"/>
        </w:rPr>
        <w:softHyphen/>
        <w:t>водка штатного карбюратора АК-82БП. В июне 1942 года завод №33 выпустил АК-82БП серии А-3. Основ</w:t>
      </w:r>
      <w:r w:rsidRPr="00722885">
        <w:rPr>
          <w:rFonts w:ascii="Times New Roman" w:hAnsi="Times New Roman"/>
          <w:color w:val="000000" w:themeColor="text1"/>
          <w:sz w:val="16"/>
          <w:szCs w:val="16"/>
        </w:rPr>
        <w:softHyphen/>
        <w:t>ное отличие этой серии от 2-й со</w:t>
      </w:r>
      <w:r w:rsidRPr="00722885">
        <w:rPr>
          <w:rFonts w:ascii="Times New Roman" w:hAnsi="Times New Roman"/>
          <w:color w:val="000000" w:themeColor="text1"/>
          <w:sz w:val="16"/>
          <w:szCs w:val="16"/>
        </w:rPr>
        <w:softHyphen/>
        <w:t>стояло в том, что все резиновые плос</w:t>
      </w:r>
      <w:r w:rsidRPr="00722885">
        <w:rPr>
          <w:rFonts w:ascii="Times New Roman" w:hAnsi="Times New Roman"/>
          <w:color w:val="000000" w:themeColor="text1"/>
          <w:sz w:val="16"/>
          <w:szCs w:val="16"/>
        </w:rPr>
        <w:softHyphen/>
        <w:t>кие мембраны главной дозирующей системы и клапана экономайзера были заменены мембранами с гоф</w:t>
      </w:r>
      <w:r w:rsidRPr="00722885">
        <w:rPr>
          <w:rFonts w:ascii="Times New Roman" w:hAnsi="Times New Roman"/>
          <w:color w:val="000000" w:themeColor="text1"/>
          <w:sz w:val="16"/>
          <w:szCs w:val="16"/>
        </w:rPr>
        <w:softHyphen/>
        <w:t>ром, а также введены изменения по диаметрам жиклеров и т.д. В июле вышла серия А-4, отличающаяся по</w:t>
      </w:r>
      <w:r w:rsidRPr="00722885">
        <w:rPr>
          <w:rFonts w:ascii="Times New Roman" w:hAnsi="Times New Roman"/>
          <w:color w:val="000000" w:themeColor="text1"/>
          <w:sz w:val="16"/>
          <w:szCs w:val="16"/>
        </w:rPr>
        <w:softHyphen/>
        <w:t>вышением твердости ролика дозиру</w:t>
      </w:r>
      <w:r w:rsidRPr="00722885">
        <w:rPr>
          <w:rFonts w:ascii="Times New Roman" w:hAnsi="Times New Roman"/>
          <w:color w:val="000000" w:themeColor="text1"/>
          <w:sz w:val="16"/>
          <w:szCs w:val="16"/>
        </w:rPr>
        <w:softHyphen/>
        <w:t>ющей иглы для снижения его выра</w:t>
      </w:r>
      <w:r w:rsidRPr="00722885">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722885">
        <w:rPr>
          <w:rFonts w:ascii="Times New Roman" w:hAnsi="Times New Roman"/>
          <w:color w:val="000000" w:themeColor="text1"/>
          <w:sz w:val="16"/>
          <w:szCs w:val="16"/>
        </w:rPr>
        <w:softHyphen/>
        <w:t>тики и др. К весне 1943 года вышла серия А-6, на которой вместо жикле</w:t>
      </w:r>
      <w:r w:rsidRPr="00722885">
        <w:rPr>
          <w:rFonts w:ascii="Times New Roman" w:hAnsi="Times New Roman"/>
          <w:color w:val="000000" w:themeColor="text1"/>
          <w:sz w:val="16"/>
          <w:szCs w:val="16"/>
        </w:rPr>
        <w:softHyphen/>
        <w:t>ра экономайзера была введена ре</w:t>
      </w:r>
      <w:r w:rsidRPr="00722885">
        <w:rPr>
          <w:rFonts w:ascii="Times New Roman" w:hAnsi="Times New Roman"/>
          <w:color w:val="000000" w:themeColor="text1"/>
          <w:sz w:val="16"/>
          <w:szCs w:val="16"/>
        </w:rPr>
        <w:softHyphen/>
        <w:t>гулировочная игла в ниппеле трубки экономайзера и т.д. Даже краткое перечисление этих изменений наводит на мысль, что до</w:t>
      </w:r>
      <w:r w:rsidRPr="00722885">
        <w:rPr>
          <w:rFonts w:ascii="Times New Roman" w:hAnsi="Times New Roman"/>
          <w:color w:val="000000" w:themeColor="text1"/>
          <w:sz w:val="16"/>
          <w:szCs w:val="16"/>
        </w:rPr>
        <w:softHyphen/>
        <w:t>водка карбюратора проходила в ос</w:t>
      </w:r>
      <w:r w:rsidRPr="00722885">
        <w:rPr>
          <w:rFonts w:ascii="Times New Roman" w:hAnsi="Times New Roman"/>
          <w:color w:val="000000" w:themeColor="text1"/>
          <w:sz w:val="16"/>
          <w:szCs w:val="16"/>
        </w:rPr>
        <w:softHyphen/>
        <w:t>новном все тем же методом проб и ошибок. Никаких существенных ре</w:t>
      </w:r>
      <w:r w:rsidRPr="00722885">
        <w:rPr>
          <w:rFonts w:ascii="Times New Roman" w:hAnsi="Times New Roman"/>
          <w:color w:val="000000" w:themeColor="text1"/>
          <w:sz w:val="16"/>
          <w:szCs w:val="16"/>
        </w:rPr>
        <w:softHyphen/>
        <w:t>зультатов по улучшению работы АК-82БП получено не было (10705).</w:t>
      </w:r>
    </w:p>
    <w:p w14:paraId="31FF3AC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77F92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г. был построен первый опытный экземпляр И-220, и после наземной отработки его 20 ноября передали на заводские испытания. Ответственными за их проведение назначили ведущего инженера А.Г.Брунова и летчика-испытателя А.И.Жукова (5669).</w:t>
      </w:r>
    </w:p>
    <w:p w14:paraId="641AA1E6" w14:textId="77777777" w:rsidR="00090C9B" w:rsidRPr="00722885" w:rsidRDefault="00090C9B" w:rsidP="00722885">
      <w:pPr>
        <w:pStyle w:val="Iauiue"/>
        <w:jc w:val="both"/>
        <w:rPr>
          <w:color w:val="000000" w:themeColor="text1"/>
          <w:sz w:val="16"/>
          <w:szCs w:val="16"/>
        </w:rPr>
      </w:pPr>
    </w:p>
    <w:p w14:paraId="6CC1F00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был построен первый опытный экземпляр И—220, а 20 ноября его передали на завод</w:t>
      </w:r>
      <w:r w:rsidRPr="00722885">
        <w:rPr>
          <w:rFonts w:ascii="Times New Roman" w:hAnsi="Times New Roman"/>
          <w:color w:val="000000" w:themeColor="text1"/>
          <w:sz w:val="16"/>
          <w:szCs w:val="16"/>
        </w:rPr>
        <w:softHyphen/>
        <w:t>ские испытания, которые проводили ведущий инже</w:t>
      </w:r>
      <w:r w:rsidRPr="00722885">
        <w:rPr>
          <w:rFonts w:ascii="Times New Roman" w:hAnsi="Times New Roman"/>
          <w:color w:val="000000" w:themeColor="text1"/>
          <w:sz w:val="16"/>
          <w:szCs w:val="16"/>
        </w:rPr>
        <w:softHyphen/>
        <w:t>нер А.Г.Брунов и летчик-испытатель А.И.Жуков (9984).</w:t>
      </w:r>
    </w:p>
    <w:p w14:paraId="6722704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F3AE4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первый опытный экземпляр И-220 был построен. Заводские испытания проводили ведущий инженер А. Г. Врунов и летчик-испытатель A.M. Жуков. В первый полет И-220 зав. № 01 отправился с обычным, нефорсированным мотором АМ-38 ввиду отсутствия АМ-39. К 8 января 1943 г. мотор заменили на АМ-38Ф, усилили центроплан и провели ряд других доработок. Возобновившиеся в феврале 1943 г. полеты в основном имели-1хелью отработку шасси, поначалу не желавшего убираться. Даже с мотором АМ-38Ф самолет обладал неплохой Двигатель АМ-39 скоростью: 576 км/ч у земли и 624 км/ч на высоте 2650 м. Высоту 3000 м самолет набирал за 2,5 мин, а 5000 м - за 4,6 мин. В начале 1943 г. на высотах до 4000...5000 м истребитель И-220 мог уверенно потягаться с любой серийной неприятельской машиной.</w:t>
      </w:r>
    </w:p>
    <w:p w14:paraId="014FB6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В апреле 1943 г. был получен опытный мотор АМ-39. Первый вылет И-220 с новым "сердцем" выполнил 25 мая 1943 г.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6A1898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B487A" w:rsidRPr="00722885" w14:paraId="06BB5F70" w14:textId="77777777" w:rsidTr="00CC5360">
        <w:tc>
          <w:tcPr>
            <w:tcW w:w="1868" w:type="dxa"/>
            <w:tcBorders>
              <w:top w:val="single" w:sz="12" w:space="0" w:color="auto"/>
            </w:tcBorders>
          </w:tcPr>
          <w:p w14:paraId="4CA7DD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Характеристика</w:t>
            </w:r>
          </w:p>
        </w:tc>
        <w:tc>
          <w:tcPr>
            <w:tcW w:w="1868" w:type="dxa"/>
            <w:tcBorders>
              <w:top w:val="single" w:sz="12" w:space="0" w:color="auto"/>
            </w:tcBorders>
          </w:tcPr>
          <w:p w14:paraId="5EF128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МиГ-3</w:t>
            </w:r>
          </w:p>
        </w:tc>
        <w:tc>
          <w:tcPr>
            <w:tcW w:w="1868" w:type="dxa"/>
            <w:tcBorders>
              <w:top w:val="single" w:sz="12" w:space="0" w:color="auto"/>
            </w:tcBorders>
          </w:tcPr>
          <w:p w14:paraId="64A3A0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МиГ-9</w:t>
            </w:r>
          </w:p>
        </w:tc>
        <w:tc>
          <w:tcPr>
            <w:tcW w:w="1868" w:type="dxa"/>
            <w:tcBorders>
              <w:top w:val="single" w:sz="12" w:space="0" w:color="auto"/>
            </w:tcBorders>
          </w:tcPr>
          <w:p w14:paraId="7448DE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И-220</w:t>
            </w:r>
          </w:p>
        </w:tc>
        <w:tc>
          <w:tcPr>
            <w:tcW w:w="1868" w:type="dxa"/>
            <w:tcBorders>
              <w:top w:val="single" w:sz="12" w:space="0" w:color="auto"/>
            </w:tcBorders>
          </w:tcPr>
          <w:p w14:paraId="2A9051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И-224</w:t>
            </w:r>
          </w:p>
        </w:tc>
        <w:tc>
          <w:tcPr>
            <w:tcW w:w="1868" w:type="dxa"/>
            <w:tcBorders>
              <w:top w:val="single" w:sz="12" w:space="0" w:color="auto"/>
            </w:tcBorders>
          </w:tcPr>
          <w:p w14:paraId="7D8F8A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И-225</w:t>
            </w:r>
          </w:p>
        </w:tc>
      </w:tr>
      <w:tr w:rsidR="009B487A" w:rsidRPr="00722885" w14:paraId="3D800E68" w14:textId="77777777" w:rsidTr="00CC5360">
        <w:tc>
          <w:tcPr>
            <w:tcW w:w="1868" w:type="dxa"/>
          </w:tcPr>
          <w:p w14:paraId="5D48FC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двигателя</w:t>
            </w:r>
          </w:p>
        </w:tc>
        <w:tc>
          <w:tcPr>
            <w:tcW w:w="1868" w:type="dxa"/>
          </w:tcPr>
          <w:p w14:paraId="5415C4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АМ-38</w:t>
            </w:r>
          </w:p>
        </w:tc>
        <w:tc>
          <w:tcPr>
            <w:tcW w:w="1868" w:type="dxa"/>
          </w:tcPr>
          <w:p w14:paraId="620FAA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М-82</w:t>
            </w:r>
          </w:p>
        </w:tc>
        <w:tc>
          <w:tcPr>
            <w:tcW w:w="1868" w:type="dxa"/>
          </w:tcPr>
          <w:p w14:paraId="0E0700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АМ-39</w:t>
            </w:r>
          </w:p>
        </w:tc>
        <w:tc>
          <w:tcPr>
            <w:tcW w:w="1868" w:type="dxa"/>
          </w:tcPr>
          <w:p w14:paraId="3DBB9A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АМ-39ФБ</w:t>
            </w:r>
          </w:p>
        </w:tc>
        <w:tc>
          <w:tcPr>
            <w:tcW w:w="1868" w:type="dxa"/>
          </w:tcPr>
          <w:p w14:paraId="6116A9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АМ-42ФБ</w:t>
            </w:r>
          </w:p>
        </w:tc>
      </w:tr>
      <w:tr w:rsidR="009B487A" w:rsidRPr="00722885" w14:paraId="27ED08AB" w14:textId="77777777" w:rsidTr="00CC5360">
        <w:tc>
          <w:tcPr>
            <w:tcW w:w="1868" w:type="dxa"/>
          </w:tcPr>
          <w:p w14:paraId="74B574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Взлетная мощность, л.с.</w:t>
            </w:r>
          </w:p>
        </w:tc>
        <w:tc>
          <w:tcPr>
            <w:tcW w:w="1868" w:type="dxa"/>
          </w:tcPr>
          <w:p w14:paraId="703BF4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1665</w:t>
            </w:r>
          </w:p>
        </w:tc>
        <w:tc>
          <w:tcPr>
            <w:tcW w:w="1868" w:type="dxa"/>
          </w:tcPr>
          <w:p w14:paraId="47184D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1700</w:t>
            </w:r>
          </w:p>
        </w:tc>
        <w:tc>
          <w:tcPr>
            <w:tcW w:w="1868" w:type="dxa"/>
          </w:tcPr>
          <w:p w14:paraId="0A5090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1800</w:t>
            </w:r>
          </w:p>
        </w:tc>
        <w:tc>
          <w:tcPr>
            <w:tcW w:w="1868" w:type="dxa"/>
          </w:tcPr>
          <w:p w14:paraId="4FD052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1850</w:t>
            </w:r>
          </w:p>
        </w:tc>
        <w:tc>
          <w:tcPr>
            <w:tcW w:w="1868" w:type="dxa"/>
          </w:tcPr>
          <w:p w14:paraId="05E7C7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r>
      <w:tr w:rsidR="009B487A" w:rsidRPr="00722885" w14:paraId="36E38EC7" w14:textId="77777777" w:rsidTr="00CC5360">
        <w:tc>
          <w:tcPr>
            <w:tcW w:w="1868" w:type="dxa"/>
          </w:tcPr>
          <w:p w14:paraId="4B7245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самолета, м</w:t>
            </w:r>
          </w:p>
        </w:tc>
        <w:tc>
          <w:tcPr>
            <w:tcW w:w="1868" w:type="dxa"/>
          </w:tcPr>
          <w:p w14:paraId="79E09D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8,25</w:t>
            </w:r>
          </w:p>
        </w:tc>
        <w:tc>
          <w:tcPr>
            <w:tcW w:w="1868" w:type="dxa"/>
          </w:tcPr>
          <w:p w14:paraId="38FAE6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8,078</w:t>
            </w:r>
          </w:p>
        </w:tc>
        <w:tc>
          <w:tcPr>
            <w:tcW w:w="1868" w:type="dxa"/>
          </w:tcPr>
          <w:p w14:paraId="0C6C48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w:t>
            </w:r>
          </w:p>
        </w:tc>
        <w:tc>
          <w:tcPr>
            <w:tcW w:w="1868" w:type="dxa"/>
          </w:tcPr>
          <w:p w14:paraId="312372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w:t>
            </w:r>
          </w:p>
        </w:tc>
        <w:tc>
          <w:tcPr>
            <w:tcW w:w="1868" w:type="dxa"/>
          </w:tcPr>
          <w:p w14:paraId="37E067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w:t>
            </w:r>
          </w:p>
        </w:tc>
      </w:tr>
      <w:tr w:rsidR="009B487A" w:rsidRPr="00722885" w14:paraId="6F9EB795" w14:textId="77777777" w:rsidTr="00CC5360">
        <w:tc>
          <w:tcPr>
            <w:tcW w:w="1868" w:type="dxa"/>
          </w:tcPr>
          <w:p w14:paraId="52E949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w:t>
            </w:r>
          </w:p>
        </w:tc>
        <w:tc>
          <w:tcPr>
            <w:tcW w:w="1868" w:type="dxa"/>
          </w:tcPr>
          <w:p w14:paraId="5AA917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w:t>
            </w:r>
          </w:p>
        </w:tc>
        <w:tc>
          <w:tcPr>
            <w:tcW w:w="1868" w:type="dxa"/>
          </w:tcPr>
          <w:p w14:paraId="240575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w:t>
            </w:r>
          </w:p>
        </w:tc>
        <w:tc>
          <w:tcPr>
            <w:tcW w:w="1868" w:type="dxa"/>
          </w:tcPr>
          <w:p w14:paraId="007189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w:t>
            </w:r>
          </w:p>
        </w:tc>
        <w:tc>
          <w:tcPr>
            <w:tcW w:w="1868" w:type="dxa"/>
          </w:tcPr>
          <w:p w14:paraId="1EAE0F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w:t>
            </w:r>
          </w:p>
        </w:tc>
        <w:tc>
          <w:tcPr>
            <w:tcW w:w="1868" w:type="dxa"/>
          </w:tcPr>
          <w:p w14:paraId="1687B7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w:t>
            </w:r>
          </w:p>
        </w:tc>
      </w:tr>
      <w:tr w:rsidR="009B487A" w:rsidRPr="00722885" w14:paraId="213D60CE" w14:textId="77777777" w:rsidTr="00CC5360">
        <w:tc>
          <w:tcPr>
            <w:tcW w:w="1868" w:type="dxa"/>
          </w:tcPr>
          <w:p w14:paraId="36F5D3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м2</w:t>
            </w:r>
          </w:p>
        </w:tc>
        <w:tc>
          <w:tcPr>
            <w:tcW w:w="1868" w:type="dxa"/>
          </w:tcPr>
          <w:p w14:paraId="0FB0EB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17,44</w:t>
            </w:r>
          </w:p>
        </w:tc>
        <w:tc>
          <w:tcPr>
            <w:tcW w:w="1868" w:type="dxa"/>
          </w:tcPr>
          <w:p w14:paraId="11366B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17,44</w:t>
            </w:r>
          </w:p>
        </w:tc>
        <w:tc>
          <w:tcPr>
            <w:tcW w:w="1868" w:type="dxa"/>
          </w:tcPr>
          <w:p w14:paraId="6FB4B7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20,38</w:t>
            </w:r>
          </w:p>
        </w:tc>
        <w:tc>
          <w:tcPr>
            <w:tcW w:w="1868" w:type="dxa"/>
          </w:tcPr>
          <w:p w14:paraId="02EE6A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22,4</w:t>
            </w:r>
          </w:p>
        </w:tc>
        <w:tc>
          <w:tcPr>
            <w:tcW w:w="1868" w:type="dxa"/>
          </w:tcPr>
          <w:p w14:paraId="0F71F1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20,4</w:t>
            </w:r>
          </w:p>
        </w:tc>
      </w:tr>
      <w:tr w:rsidR="009B487A" w:rsidRPr="00722885" w14:paraId="2A80AACA" w14:textId="77777777" w:rsidTr="00CC5360">
        <w:tc>
          <w:tcPr>
            <w:tcW w:w="1868" w:type="dxa"/>
          </w:tcPr>
          <w:p w14:paraId="4AB77E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самолета, м</w:t>
            </w:r>
          </w:p>
        </w:tc>
        <w:tc>
          <w:tcPr>
            <w:tcW w:w="1868" w:type="dxa"/>
          </w:tcPr>
          <w:p w14:paraId="7C6C84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3,325</w:t>
            </w:r>
          </w:p>
        </w:tc>
        <w:tc>
          <w:tcPr>
            <w:tcW w:w="1868" w:type="dxa"/>
          </w:tcPr>
          <w:p w14:paraId="6A214E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2762</w:t>
            </w:r>
          </w:p>
        </w:tc>
        <w:tc>
          <w:tcPr>
            <w:tcW w:w="1868" w:type="dxa"/>
          </w:tcPr>
          <w:p w14:paraId="1ACE272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3,66</w:t>
            </w:r>
          </w:p>
        </w:tc>
        <w:tc>
          <w:tcPr>
            <w:tcW w:w="1868" w:type="dxa"/>
          </w:tcPr>
          <w:p w14:paraId="71C0A6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3,66</w:t>
            </w:r>
          </w:p>
        </w:tc>
        <w:tc>
          <w:tcPr>
            <w:tcW w:w="1868" w:type="dxa"/>
          </w:tcPr>
          <w:p w14:paraId="06C765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w:t>
            </w:r>
          </w:p>
        </w:tc>
      </w:tr>
      <w:tr w:rsidR="009B487A" w:rsidRPr="00722885" w14:paraId="30217F33" w14:textId="77777777" w:rsidTr="00CC5360">
        <w:tc>
          <w:tcPr>
            <w:tcW w:w="1868" w:type="dxa"/>
          </w:tcPr>
          <w:p w14:paraId="2524D9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Масса пустого самолета, кг</w:t>
            </w:r>
          </w:p>
        </w:tc>
        <w:tc>
          <w:tcPr>
            <w:tcW w:w="1868" w:type="dxa"/>
          </w:tcPr>
          <w:p w14:paraId="11B906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3325</w:t>
            </w:r>
          </w:p>
        </w:tc>
        <w:tc>
          <w:tcPr>
            <w:tcW w:w="1868" w:type="dxa"/>
          </w:tcPr>
          <w:p w14:paraId="0242DC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3382</w:t>
            </w:r>
          </w:p>
        </w:tc>
        <w:tc>
          <w:tcPr>
            <w:tcW w:w="1868" w:type="dxa"/>
          </w:tcPr>
          <w:p w14:paraId="5A20E4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3103</w:t>
            </w:r>
          </w:p>
        </w:tc>
        <w:tc>
          <w:tcPr>
            <w:tcW w:w="1868" w:type="dxa"/>
          </w:tcPr>
          <w:p w14:paraId="3AF776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3105</w:t>
            </w:r>
          </w:p>
        </w:tc>
        <w:tc>
          <w:tcPr>
            <w:tcW w:w="1868" w:type="dxa"/>
          </w:tcPr>
          <w:p w14:paraId="427F7E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ЗОЮ</w:t>
            </w:r>
          </w:p>
        </w:tc>
      </w:tr>
      <w:tr w:rsidR="009B487A" w:rsidRPr="00722885" w14:paraId="40D6F6F0" w14:textId="77777777" w:rsidTr="00CC5360">
        <w:tc>
          <w:tcPr>
            <w:tcW w:w="1868" w:type="dxa"/>
          </w:tcPr>
          <w:p w14:paraId="1019A7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Взлетная масса, кг</w:t>
            </w:r>
          </w:p>
        </w:tc>
        <w:tc>
          <w:tcPr>
            <w:tcW w:w="1868" w:type="dxa"/>
          </w:tcPr>
          <w:p w14:paraId="43393A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3595</w:t>
            </w:r>
          </w:p>
        </w:tc>
        <w:tc>
          <w:tcPr>
            <w:tcW w:w="1868" w:type="dxa"/>
          </w:tcPr>
          <w:p w14:paraId="058026D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205E32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3835</w:t>
            </w:r>
          </w:p>
        </w:tc>
        <w:tc>
          <w:tcPr>
            <w:tcW w:w="1868" w:type="dxa"/>
          </w:tcPr>
          <w:p w14:paraId="58D203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3780</w:t>
            </w:r>
          </w:p>
        </w:tc>
        <w:tc>
          <w:tcPr>
            <w:tcW w:w="1868" w:type="dxa"/>
          </w:tcPr>
          <w:p w14:paraId="0BD68C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3912</w:t>
            </w:r>
          </w:p>
        </w:tc>
      </w:tr>
      <w:tr w:rsidR="009B487A" w:rsidRPr="00722885" w14:paraId="4B078AB0" w14:textId="77777777" w:rsidTr="00CC5360">
        <w:tc>
          <w:tcPr>
            <w:tcW w:w="1868" w:type="dxa"/>
          </w:tcPr>
          <w:p w14:paraId="11CC22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 топлива, кг</w:t>
            </w:r>
          </w:p>
        </w:tc>
        <w:tc>
          <w:tcPr>
            <w:tcW w:w="1868" w:type="dxa"/>
          </w:tcPr>
          <w:p w14:paraId="5F63462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7E87A2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360</w:t>
            </w:r>
          </w:p>
        </w:tc>
        <w:tc>
          <w:tcPr>
            <w:tcW w:w="1868" w:type="dxa"/>
          </w:tcPr>
          <w:p w14:paraId="3461DD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335</w:t>
            </w:r>
          </w:p>
        </w:tc>
        <w:tc>
          <w:tcPr>
            <w:tcW w:w="1868" w:type="dxa"/>
          </w:tcPr>
          <w:p w14:paraId="298A3A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3551</w:t>
            </w:r>
          </w:p>
        </w:tc>
        <w:tc>
          <w:tcPr>
            <w:tcW w:w="1868" w:type="dxa"/>
          </w:tcPr>
          <w:p w14:paraId="36FE0B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3252</w:t>
            </w:r>
          </w:p>
        </w:tc>
      </w:tr>
      <w:tr w:rsidR="009B487A" w:rsidRPr="00722885" w14:paraId="78A058BC" w14:textId="77777777" w:rsidTr="00CC5360">
        <w:tc>
          <w:tcPr>
            <w:tcW w:w="1868" w:type="dxa"/>
          </w:tcPr>
          <w:p w14:paraId="7B6064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полета, км/ч:</w:t>
            </w:r>
          </w:p>
        </w:tc>
        <w:tc>
          <w:tcPr>
            <w:tcW w:w="1868" w:type="dxa"/>
          </w:tcPr>
          <w:p w14:paraId="3C09835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53FF93F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0EDC46E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339882B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7CDB001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2174CAF9" w14:textId="77777777" w:rsidTr="00CC5360">
        <w:tc>
          <w:tcPr>
            <w:tcW w:w="1868" w:type="dxa"/>
          </w:tcPr>
          <w:p w14:paraId="3A791C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 земли</w:t>
            </w:r>
          </w:p>
        </w:tc>
        <w:tc>
          <w:tcPr>
            <w:tcW w:w="1868" w:type="dxa"/>
          </w:tcPr>
          <w:p w14:paraId="5343A2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519</w:t>
            </w:r>
          </w:p>
        </w:tc>
        <w:tc>
          <w:tcPr>
            <w:tcW w:w="1868" w:type="dxa"/>
          </w:tcPr>
          <w:p w14:paraId="64B2E9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475</w:t>
            </w:r>
          </w:p>
        </w:tc>
        <w:tc>
          <w:tcPr>
            <w:tcW w:w="1868" w:type="dxa"/>
          </w:tcPr>
          <w:p w14:paraId="3EA386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625</w:t>
            </w:r>
          </w:p>
        </w:tc>
        <w:tc>
          <w:tcPr>
            <w:tcW w:w="1868" w:type="dxa"/>
          </w:tcPr>
          <w:p w14:paraId="225C0F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574</w:t>
            </w:r>
          </w:p>
        </w:tc>
        <w:tc>
          <w:tcPr>
            <w:tcW w:w="1868" w:type="dxa"/>
          </w:tcPr>
          <w:p w14:paraId="40CD5C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560</w:t>
            </w:r>
          </w:p>
        </w:tc>
      </w:tr>
      <w:tr w:rsidR="009B487A" w:rsidRPr="00722885" w14:paraId="04EDD296" w14:textId="77777777" w:rsidTr="00CC5360">
        <w:tc>
          <w:tcPr>
            <w:tcW w:w="1868" w:type="dxa"/>
          </w:tcPr>
          <w:p w14:paraId="189B78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на высоте 5000 м</w:t>
            </w:r>
          </w:p>
        </w:tc>
        <w:tc>
          <w:tcPr>
            <w:tcW w:w="1868" w:type="dxa"/>
          </w:tcPr>
          <w:p w14:paraId="1F6573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5923</w:t>
            </w:r>
          </w:p>
        </w:tc>
        <w:tc>
          <w:tcPr>
            <w:tcW w:w="1868" w:type="dxa"/>
          </w:tcPr>
          <w:p w14:paraId="1213C9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1C2B03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3924A4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4DCB22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w:t>
            </w:r>
          </w:p>
        </w:tc>
      </w:tr>
      <w:tr w:rsidR="009B487A" w:rsidRPr="00722885" w14:paraId="1E03F3E2" w14:textId="77777777" w:rsidTr="00CC5360">
        <w:tc>
          <w:tcPr>
            <w:tcW w:w="1868" w:type="dxa"/>
          </w:tcPr>
          <w:p w14:paraId="32B476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на высоте 10 ООО м</w:t>
            </w:r>
          </w:p>
        </w:tc>
        <w:tc>
          <w:tcPr>
            <w:tcW w:w="1868" w:type="dxa"/>
          </w:tcPr>
          <w:p w14:paraId="50235A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77407F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5654</w:t>
            </w:r>
          </w:p>
        </w:tc>
        <w:tc>
          <w:tcPr>
            <w:tcW w:w="1868" w:type="dxa"/>
          </w:tcPr>
          <w:p w14:paraId="00617E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6955</w:t>
            </w:r>
          </w:p>
        </w:tc>
        <w:tc>
          <w:tcPr>
            <w:tcW w:w="1868" w:type="dxa"/>
          </w:tcPr>
          <w:p w14:paraId="373A00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6936</w:t>
            </w:r>
          </w:p>
        </w:tc>
        <w:tc>
          <w:tcPr>
            <w:tcW w:w="1868" w:type="dxa"/>
          </w:tcPr>
          <w:p w14:paraId="471F7C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726</w:t>
            </w:r>
          </w:p>
        </w:tc>
      </w:tr>
      <w:tr w:rsidR="009B487A" w:rsidRPr="00722885" w14:paraId="3E044027" w14:textId="77777777" w:rsidTr="00CC5360">
        <w:tc>
          <w:tcPr>
            <w:tcW w:w="1868" w:type="dxa"/>
          </w:tcPr>
          <w:p w14:paraId="18AFE1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мин</w:t>
            </w:r>
          </w:p>
        </w:tc>
        <w:tc>
          <w:tcPr>
            <w:tcW w:w="1868" w:type="dxa"/>
          </w:tcPr>
          <w:p w14:paraId="2E5948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7,93</w:t>
            </w:r>
          </w:p>
        </w:tc>
        <w:tc>
          <w:tcPr>
            <w:tcW w:w="1868" w:type="dxa"/>
          </w:tcPr>
          <w:p w14:paraId="324B9A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6,7</w:t>
            </w:r>
          </w:p>
        </w:tc>
        <w:tc>
          <w:tcPr>
            <w:tcW w:w="1868" w:type="dxa"/>
          </w:tcPr>
          <w:p w14:paraId="197B7D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w:t>
            </w:r>
          </w:p>
        </w:tc>
        <w:tc>
          <w:tcPr>
            <w:tcW w:w="1868" w:type="dxa"/>
          </w:tcPr>
          <w:p w14:paraId="3186BC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18EFAE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r>
      <w:tr w:rsidR="009B487A" w:rsidRPr="00722885" w14:paraId="0441CA23" w14:textId="77777777" w:rsidTr="00CC5360">
        <w:tc>
          <w:tcPr>
            <w:tcW w:w="1868" w:type="dxa"/>
          </w:tcPr>
          <w:p w14:paraId="441DF1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м</w:t>
            </w:r>
          </w:p>
        </w:tc>
        <w:tc>
          <w:tcPr>
            <w:tcW w:w="1868" w:type="dxa"/>
          </w:tcPr>
          <w:p w14:paraId="4BD448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29F436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8700</w:t>
            </w:r>
          </w:p>
        </w:tc>
        <w:tc>
          <w:tcPr>
            <w:tcW w:w="1868" w:type="dxa"/>
          </w:tcPr>
          <w:p w14:paraId="18E1E5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11 000</w:t>
            </w:r>
          </w:p>
        </w:tc>
        <w:tc>
          <w:tcPr>
            <w:tcW w:w="1868" w:type="dxa"/>
          </w:tcPr>
          <w:p w14:paraId="2D2401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14 100</w:t>
            </w:r>
          </w:p>
        </w:tc>
        <w:tc>
          <w:tcPr>
            <w:tcW w:w="1868" w:type="dxa"/>
          </w:tcPr>
          <w:p w14:paraId="595DF3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12 600</w:t>
            </w:r>
          </w:p>
        </w:tc>
      </w:tr>
      <w:tr w:rsidR="009B487A" w:rsidRPr="00722885" w14:paraId="1E041719" w14:textId="77777777" w:rsidTr="00CC5360">
        <w:tc>
          <w:tcPr>
            <w:tcW w:w="1868" w:type="dxa"/>
          </w:tcPr>
          <w:p w14:paraId="6AF44B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разбега, м</w:t>
            </w:r>
          </w:p>
        </w:tc>
        <w:tc>
          <w:tcPr>
            <w:tcW w:w="1868" w:type="dxa"/>
          </w:tcPr>
          <w:p w14:paraId="3909DC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4A4D16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146</w:t>
            </w:r>
          </w:p>
        </w:tc>
        <w:tc>
          <w:tcPr>
            <w:tcW w:w="1868" w:type="dxa"/>
          </w:tcPr>
          <w:p w14:paraId="0A6FA1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77941A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w:t>
            </w:r>
          </w:p>
        </w:tc>
        <w:tc>
          <w:tcPr>
            <w:tcW w:w="1868" w:type="dxa"/>
          </w:tcPr>
          <w:p w14:paraId="07D8AA2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257</w:t>
            </w:r>
          </w:p>
        </w:tc>
      </w:tr>
      <w:tr w:rsidR="009B487A" w:rsidRPr="00722885" w14:paraId="6F2CCDEC" w14:textId="77777777" w:rsidTr="00CC5360">
        <w:tc>
          <w:tcPr>
            <w:tcW w:w="1868" w:type="dxa"/>
          </w:tcPr>
          <w:p w14:paraId="1DF6E2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пробега, м</w:t>
            </w:r>
          </w:p>
        </w:tc>
        <w:tc>
          <w:tcPr>
            <w:tcW w:w="1868" w:type="dxa"/>
          </w:tcPr>
          <w:p w14:paraId="236634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22E694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410</w:t>
            </w:r>
          </w:p>
        </w:tc>
        <w:tc>
          <w:tcPr>
            <w:tcW w:w="1868" w:type="dxa"/>
          </w:tcPr>
          <w:p w14:paraId="02D0A0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18B4BE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440</w:t>
            </w:r>
          </w:p>
        </w:tc>
        <w:tc>
          <w:tcPr>
            <w:tcW w:w="1868" w:type="dxa"/>
          </w:tcPr>
          <w:p w14:paraId="690B3C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w:t>
            </w:r>
          </w:p>
        </w:tc>
      </w:tr>
      <w:tr w:rsidR="009B487A" w:rsidRPr="00722885" w14:paraId="58C956BD" w14:textId="77777777" w:rsidTr="00CC5360">
        <w:tc>
          <w:tcPr>
            <w:tcW w:w="1868" w:type="dxa"/>
            <w:tcBorders>
              <w:bottom w:val="single" w:sz="12" w:space="0" w:color="auto"/>
            </w:tcBorders>
          </w:tcPr>
          <w:p w14:paraId="24E4CC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788CB8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Borders>
              <w:bottom w:val="single" w:sz="12" w:space="0" w:color="auto"/>
            </w:tcBorders>
          </w:tcPr>
          <w:p w14:paraId="499794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135</w:t>
            </w:r>
          </w:p>
        </w:tc>
        <w:tc>
          <w:tcPr>
            <w:tcW w:w="1868" w:type="dxa"/>
            <w:tcBorders>
              <w:bottom w:val="single" w:sz="12" w:space="0" w:color="auto"/>
            </w:tcBorders>
          </w:tcPr>
          <w:p w14:paraId="5716D6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Borders>
              <w:bottom w:val="single" w:sz="12" w:space="0" w:color="auto"/>
            </w:tcBorders>
          </w:tcPr>
          <w:p w14:paraId="222D77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127</w:t>
            </w:r>
          </w:p>
        </w:tc>
        <w:tc>
          <w:tcPr>
            <w:tcW w:w="1868" w:type="dxa"/>
            <w:tcBorders>
              <w:bottom w:val="single" w:sz="12" w:space="0" w:color="auto"/>
            </w:tcBorders>
          </w:tcPr>
          <w:p w14:paraId="4543E5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134</w:t>
            </w:r>
          </w:p>
        </w:tc>
      </w:tr>
    </w:tbl>
    <w:p w14:paraId="3F1183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Примечания:</w:t>
      </w:r>
    </w:p>
    <w:p w14:paraId="1DF556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 в крыльевых топливных баках в перегрузку еще 124 кг;</w:t>
      </w:r>
    </w:p>
    <w:p w14:paraId="680CA6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 в крыльевых топливных баках в перегрузку еще 127 кг;</w:t>
      </w:r>
    </w:p>
    <w:p w14:paraId="486194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 на высоте 3400 м;</w:t>
      </w:r>
    </w:p>
    <w:p w14:paraId="62806D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 на высоте 6150 м;</w:t>
      </w:r>
    </w:p>
    <w:p w14:paraId="73E95E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 на высоте 7500 м при боевом режиме работы мотора;</w:t>
      </w:r>
    </w:p>
    <w:p w14:paraId="5ACAA2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 расчетная на высоте 13 100 м. </w:t>
      </w:r>
    </w:p>
    <w:p w14:paraId="2ACE60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4A4B3A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431E1EC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A9DB1FB" w14:textId="77777777" w:rsidR="00CC65A3" w:rsidRPr="00722885" w:rsidRDefault="00CC65A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сентябре 1942 года ГАБТУ ответил на предложение по ТИС-1, расписав то, зачем эти машины строить не надо. Письмо из ГАБТУ КА выглядело немного смешно, поскольку в 1940-41 годах проводились испытания пулеметовоза НАТИ, которые закончились вполне успешно. И там концепция была не особо отличавшейся. Критика забрасывания приборов наблюдения выглядела немного странно, особенно если учитывать, что в походном положении ТИС-1 управлялся сидя (как и пулеметовоз НАТИ). При этом в ГАБТУ КА даже не поняли, что это не просто танкетка, а машина снабжения пехотного подразделения (22573).</w:t>
      </w:r>
    </w:p>
    <w:p w14:paraId="1EC1C66C" w14:textId="77777777" w:rsidR="00CC65A3" w:rsidRPr="00722885" w:rsidRDefault="00CC65A3" w:rsidP="00722885">
      <w:pPr>
        <w:spacing w:after="0" w:line="240" w:lineRule="auto"/>
        <w:jc w:val="both"/>
        <w:rPr>
          <w:rFonts w:ascii="Times New Roman" w:hAnsi="Times New Roman"/>
          <w:color w:val="0070C0"/>
          <w:sz w:val="16"/>
          <w:szCs w:val="16"/>
          <w:lang w:eastAsia="ru-RU" w:bidi="ru-RU"/>
        </w:rPr>
      </w:pPr>
    </w:p>
    <w:p w14:paraId="75909B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С.А.Худяков (Командующий ВВС 1-й Воздушной армии) при поддержке Члена Военного Совета Н.А.Булганина написал Сталину письмо, в котором просил восстановить производство истребителей И-16 и И-153. Сделал это Худяков под нажимом командира истребительной авиадивизии Немцовича (6592).</w:t>
      </w:r>
    </w:p>
    <w:p w14:paraId="47AE49D2" w14:textId="77777777" w:rsidR="00090C9B" w:rsidRPr="00722885" w:rsidRDefault="00090C9B" w:rsidP="00722885">
      <w:pPr>
        <w:pStyle w:val="Iauiue"/>
        <w:jc w:val="both"/>
        <w:rPr>
          <w:color w:val="000000" w:themeColor="text1"/>
          <w:sz w:val="16"/>
          <w:szCs w:val="16"/>
        </w:rPr>
      </w:pPr>
    </w:p>
    <w:p w14:paraId="0452E6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rомандированные на Сталин</w:t>
      </w:r>
      <w:r w:rsidRPr="00722885">
        <w:rPr>
          <w:rFonts w:ascii="Times New Roman" w:hAnsi="Times New Roman"/>
          <w:color w:val="000000" w:themeColor="text1"/>
          <w:sz w:val="16"/>
          <w:szCs w:val="16"/>
        </w:rPr>
        <w:softHyphen/>
        <w:t>градский и Донской фронты представители НИИ ВВС КА Аноприенко, Зайцев, Степанец констатировали, что Як-1 и Як-7 с мотором М-105ПФ уступают немецким истребителям в скорости в опреде</w:t>
      </w:r>
      <w:r w:rsidRPr="00722885">
        <w:rPr>
          <w:rFonts w:ascii="Times New Roman" w:hAnsi="Times New Roman"/>
          <w:color w:val="000000" w:themeColor="text1"/>
          <w:sz w:val="16"/>
          <w:szCs w:val="16"/>
        </w:rPr>
        <w:softHyphen/>
        <w:t>ленных диапазонах высот, скороподъемности и верти</w:t>
      </w:r>
      <w:r w:rsidRPr="00722885">
        <w:rPr>
          <w:rFonts w:ascii="Times New Roman" w:hAnsi="Times New Roman"/>
          <w:color w:val="000000" w:themeColor="text1"/>
          <w:sz w:val="16"/>
          <w:szCs w:val="16"/>
        </w:rPr>
        <w:softHyphen/>
        <w:t>кальному маневру и способны вести с ними только оборонительные бои. Отмечалось слабое вооружение Як-1 и приводилось мнение фронтовых летчиков о том, что для успешного ведения воздушных боев в этих ус</w:t>
      </w:r>
      <w:r w:rsidRPr="00722885">
        <w:rPr>
          <w:rFonts w:ascii="Times New Roman" w:hAnsi="Times New Roman"/>
          <w:color w:val="000000" w:themeColor="text1"/>
          <w:sz w:val="16"/>
          <w:szCs w:val="16"/>
        </w:rPr>
        <w:softHyphen/>
        <w:t>ловиях необходимо иметь двойное превосходство сил. Это же относилось, правда в меньшей степени, и к истребителю Ла-5 (10667).</w:t>
      </w:r>
    </w:p>
    <w:p w14:paraId="7B58848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DE160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на заводе № 84 проходили испытания Ли-2 № 1841314 с гусеничным шасси Н.А.Чкчубалина. Комиссию возглавил Мосолов. Рулили по нормальному аэродрому, по пахоте (картофельное поле), по болоту с водным покрытием 700 мм.</w:t>
      </w:r>
    </w:p>
    <w:p w14:paraId="1A4780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акте отметили, что:</w:t>
      </w:r>
    </w:p>
    <w:p w14:paraId="441108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“...гусеницы могут служить взлетно-посадочным приспособлением для всех типов самолетов, позволяющим производить взлет и посадку на вспаханном поле, размокшем аэродроме и болотистой местности, непригодных для взлета и посадки на обычном шасси. Летные и взлетно-посадочные данные с-та на гусеницах, а также техника пилотирования по сравнению с выпущенным колесным шасси не ухудшилась.</w:t>
      </w:r>
    </w:p>
    <w:p w14:paraId="5C6E8F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незначительных конструктивных переделках на данном самолете шасси может убираться. Убирание гнусениц м.б. достигнуто на большинстве боевых самолетов. Вес опытных гусений по отношению к весу колес больше в 2 раза, а по отношению к лыжам - в 1.25-1.3. Вес гусениц может быть уменьшен при дальнейшей работе над их конструкцией.” (3404, 15).</w:t>
      </w:r>
    </w:p>
    <w:p w14:paraId="1885C9E0" w14:textId="77777777" w:rsidR="00090C9B" w:rsidRPr="00722885" w:rsidRDefault="00090C9B" w:rsidP="00722885">
      <w:pPr>
        <w:pStyle w:val="Iauiue"/>
        <w:jc w:val="both"/>
        <w:rPr>
          <w:color w:val="000000" w:themeColor="text1"/>
          <w:sz w:val="16"/>
          <w:szCs w:val="16"/>
        </w:rPr>
      </w:pPr>
    </w:p>
    <w:p w14:paraId="5F9E4B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закончились гос. испытания транспортного Як-6 и был готов НББ (4,348).</w:t>
      </w:r>
    </w:p>
    <w:p w14:paraId="56D47E3F" w14:textId="77777777" w:rsidR="00090C9B" w:rsidRPr="00722885" w:rsidRDefault="00090C9B" w:rsidP="00722885">
      <w:pPr>
        <w:pStyle w:val="Iauiue"/>
        <w:jc w:val="both"/>
        <w:rPr>
          <w:color w:val="000000" w:themeColor="text1"/>
          <w:sz w:val="16"/>
          <w:szCs w:val="16"/>
        </w:rPr>
      </w:pPr>
    </w:p>
    <w:p w14:paraId="30FC0F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сентября 1942 г. на заводе (ГС Завод № 471 НКАП /г. Шумерля Чувашской АССР/) началось освоение выпуска Як-6. На 10.1944 г. завод действовал при 11ГУ.</w:t>
      </w:r>
    </w:p>
    <w:p w14:paraId="50FDC2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1945 г. завод № 471 НКАГ1 ликвидирован. По приказу № 306с/ 203пс от 24.07.1945 г. личный состав и оборудование переданы заводу № 463 НКАП, площадка передана в НКлеса, и на ней организован Комбинат автомобильных фургонов.</w:t>
      </w:r>
    </w:p>
    <w:p w14:paraId="321CDE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(конец 1941 г.)- Егоров, (05.1942 г.)- В.К. Грибовский, (08.1943 г.)- И.Н. Мартынов, (-12.1943- 08.1944 г.-)- П.Н. Голубков, (07.1945 г.)- Шаройко.</w:t>
      </w:r>
    </w:p>
    <w:p w14:paraId="187DBD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(05.1942 г.)- В.К. Грибовский.</w:t>
      </w:r>
    </w:p>
    <w:p w14:paraId="2AD062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КБ (11.1941 г.-)-  Г.Ф. Грошев.</w:t>
      </w:r>
    </w:p>
    <w:p w14:paraId="176D6C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планер Г-11 (1941-42-)- 138; самолеты: Як-6 (1942-43)- 82, У-2 (1943-45)- 1127; кузова- фургоны: «Волга», «Двина» (ВОВ).</w:t>
      </w:r>
    </w:p>
    <w:p w14:paraId="5BDA48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гл. конструктора В.К. Грибовского при заводе № 471 НКАП</w:t>
      </w:r>
    </w:p>
    <w:p w14:paraId="602A31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По приказам № 995сс от 18.09.1941 г. и № 1050сс от 8.10.1941 г. на площадку завода № 471 переведена основная часть ОКБ-28 11ГУ НКАП гл. конструктора В.К. Грибовского и вошла в состав завода. Работы по сопровождению серии десантного планера Гр-29 (Г-11).</w:t>
      </w:r>
    </w:p>
    <w:p w14:paraId="4DB73F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после прекращения выпуска Г-11, ОКБ было ликвидировано. Личный состав ОКБ-28 перевели в подчинение завода № 471, а Грибовский убыл в распоряжение НКАП. Затем часть коллектива ОКБ с техдокументацией переведена на вновь образованный завод № 463 в Рязань. По приказу № 730с от 4.12.1943 г. остатки ОКБ В.К. Грибовского переведены с завода № 471 на завод № 463 во вновь организованное КБ по десантным планерам. Грибовский назначен гл. конструктором завода № 463.</w:t>
      </w:r>
    </w:p>
    <w:p w14:paraId="0A08F2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ОАО «Комбинат автомобильных фургонов» /Чувашия 429120  г. Шумерля ул. Ленина, 21А тел. 5-23-93/</w:t>
      </w:r>
    </w:p>
    <w:p w14:paraId="14553B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Комбинат создан после войны на площадке ликвидированного завода № 471 НКАП.</w:t>
      </w:r>
    </w:p>
    <w:p w14:paraId="24C7BF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Освоено производство мебели, кузовов-фургонов на автомобильном и прицепном шасси для армии. В 1950-е  г. комбинат разрабатывал и выпускал унифицированные кузова для размещения пунктов управления огнем, стартовых комплексов ракетных войск (11982).</w:t>
      </w:r>
    </w:p>
    <w:p w14:paraId="1DF99205" w14:textId="77777777" w:rsidR="008972A4" w:rsidRPr="00722885" w:rsidRDefault="008972A4" w:rsidP="00722885">
      <w:pPr>
        <w:pStyle w:val="Iauiue"/>
        <w:jc w:val="both"/>
        <w:rPr>
          <w:color w:val="000000" w:themeColor="text1"/>
          <w:sz w:val="16"/>
          <w:szCs w:val="16"/>
        </w:rPr>
      </w:pPr>
    </w:p>
    <w:p w14:paraId="0A638F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года на рассмотрение И.В.С. был направлен проект постановления ГКО: "0пыт боевой работы 221 бад &lt;...&gt; показал, что существующее стрелковое вооружение этого самолета ("Бостон") только пулеметами калибра 7,7 мм не обеспечит надежной его защиты от огня истребителей противника. Вследствие этого самолеты "Бостон-3" в боевых операциях несут большие потери". Действительно, 221-я дивизия за месяц боев потеряла 38 машин, 27 из них сбили вражеские истребители. Началась срочная разработка проектов перевооружения "Бостона". Первые такие переделки выполнялись прямо на фронте. Вместо "Браунингов" ставили отечественные крупнокалиберные пулеметы УБ. Верхнюю установку со спаренными пулеметами, имевшую недостаточное поле обстрела, меняли на турель МВ-3 с пулеметом ШКАС или на УТК-1 с УБТ (3457,102).</w:t>
      </w:r>
    </w:p>
    <w:p w14:paraId="2873B945" w14:textId="77777777" w:rsidR="00090C9B" w:rsidRPr="00722885" w:rsidRDefault="00090C9B" w:rsidP="00722885">
      <w:pPr>
        <w:pStyle w:val="Iauiue"/>
        <w:jc w:val="both"/>
        <w:rPr>
          <w:color w:val="000000" w:themeColor="text1"/>
          <w:sz w:val="16"/>
          <w:szCs w:val="16"/>
        </w:rPr>
      </w:pPr>
    </w:p>
    <w:p w14:paraId="7A9753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в НИИ АВ испытывали заводские управляемые батареи РС-82 РУБ-4 и РУБ-2Л (люковая) для Пе-2, снабженные прицелом ОПТ-2. Они были разработаны летом 1942 двумя конструкторами 22 завода - В.Заулошновым и А.Виноградовым. Не пошло, так как прицеливаться было невозможно из-за некомпенсированности лобового сопротивления. Кроме того, с лета 1941 на Пе-2 ставили РС-82 для стрельбы назад. То же делали и в 1943 (1056,47).</w:t>
      </w:r>
    </w:p>
    <w:p w14:paraId="1A788620" w14:textId="77777777" w:rsidR="00090C9B" w:rsidRPr="00722885" w:rsidRDefault="00090C9B" w:rsidP="00722885">
      <w:pPr>
        <w:pStyle w:val="Iauiue"/>
        <w:jc w:val="both"/>
        <w:rPr>
          <w:color w:val="000000" w:themeColor="text1"/>
          <w:sz w:val="16"/>
          <w:szCs w:val="16"/>
        </w:rPr>
      </w:pPr>
    </w:p>
    <w:p w14:paraId="1CBE28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в Казанском филиале ЛИИ проходили гос. испытания Пе-2 N 19/78 производства завода 22 апреля-мая 1942 с лобовым сопротивлением, уменьшенным по рекомендациям ЦАГИ. Вед. исп. Хейфец, вед. летч. М.Л.Галлай (810,3).</w:t>
      </w:r>
    </w:p>
    <w:p w14:paraId="4622D823" w14:textId="77777777" w:rsidR="00090C9B" w:rsidRPr="00722885" w:rsidRDefault="00090C9B" w:rsidP="00722885">
      <w:pPr>
        <w:pStyle w:val="Iauiue"/>
        <w:jc w:val="both"/>
        <w:rPr>
          <w:color w:val="000000" w:themeColor="text1"/>
          <w:sz w:val="16"/>
          <w:szCs w:val="16"/>
        </w:rPr>
      </w:pPr>
    </w:p>
    <w:p w14:paraId="41CA83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в Омске на 166 заводе заводским л-и Я.Г.Паулем и строевыми л А.Д.Перелетом и В.Н.Терещенко были подготовлены л 132 ОБАП и на 29 Ту-2 под командованием пп А.Хлебнокова вылетели на Калининский фронт (1835,22).</w:t>
      </w:r>
    </w:p>
    <w:p w14:paraId="1113008A" w14:textId="77777777" w:rsidR="00090C9B" w:rsidRPr="00722885" w:rsidRDefault="00090C9B" w:rsidP="00722885">
      <w:pPr>
        <w:pStyle w:val="Iauiue"/>
        <w:jc w:val="both"/>
        <w:rPr>
          <w:color w:val="000000" w:themeColor="text1"/>
          <w:sz w:val="16"/>
          <w:szCs w:val="16"/>
        </w:rPr>
      </w:pPr>
    </w:p>
    <w:p w14:paraId="21086E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сентября 1942 ПС-84 стал Ли-2 по имени Б.П.Лисунова (4,135).</w:t>
      </w:r>
    </w:p>
    <w:p w14:paraId="5B7299E0" w14:textId="77777777" w:rsidR="00090C9B" w:rsidRPr="00722885" w:rsidRDefault="00090C9B" w:rsidP="00722885">
      <w:pPr>
        <w:pStyle w:val="Iauiue"/>
        <w:jc w:val="both"/>
        <w:rPr>
          <w:color w:val="000000" w:themeColor="text1"/>
          <w:sz w:val="16"/>
          <w:szCs w:val="16"/>
        </w:rPr>
      </w:pPr>
    </w:p>
    <w:p w14:paraId="568606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готовность рабочих чертежей НБ Н.П.П. составляла 60% и началось изготовление плазов и шаблоно. Работа шла трудно, т.к. многие работники покинули КБ и з-д, перейдя на з-д № 153 (4621, 21).</w:t>
      </w:r>
    </w:p>
    <w:p w14:paraId="6EA9054E" w14:textId="77777777" w:rsidR="00090C9B" w:rsidRPr="00722885" w:rsidRDefault="00090C9B" w:rsidP="00722885">
      <w:pPr>
        <w:pStyle w:val="Iauiue"/>
        <w:jc w:val="both"/>
        <w:rPr>
          <w:color w:val="000000" w:themeColor="text1"/>
          <w:sz w:val="16"/>
          <w:szCs w:val="16"/>
        </w:rPr>
      </w:pPr>
    </w:p>
    <w:p w14:paraId="653D6A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ОКБ П.О.С. разработало проект одномоторного ДБ с АМ-37 с ТК-3 (1454,59).</w:t>
      </w:r>
    </w:p>
    <w:p w14:paraId="002444FA" w14:textId="77777777" w:rsidR="00090C9B" w:rsidRPr="00722885" w:rsidRDefault="00090C9B" w:rsidP="00722885">
      <w:pPr>
        <w:pStyle w:val="Iauiue"/>
        <w:jc w:val="both"/>
        <w:rPr>
          <w:color w:val="000000" w:themeColor="text1"/>
          <w:sz w:val="16"/>
          <w:szCs w:val="16"/>
        </w:rPr>
      </w:pPr>
    </w:p>
    <w:p w14:paraId="0A76C9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сентября 1942 года самолет УТ-2МВ с производства завода № 47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0A2FDE55" w14:textId="77777777" w:rsidR="00090C9B" w:rsidRPr="00722885" w:rsidRDefault="00090C9B" w:rsidP="00722885">
      <w:pPr>
        <w:pStyle w:val="Iauiue"/>
        <w:numPr>
          <w:ilvl w:val="0"/>
          <w:numId w:val="15"/>
        </w:numPr>
        <w:tabs>
          <w:tab w:val="left" w:pos="360"/>
        </w:tabs>
        <w:ind w:left="0" w:firstLine="0"/>
        <w:jc w:val="both"/>
        <w:rPr>
          <w:color w:val="000000" w:themeColor="text1"/>
          <w:sz w:val="16"/>
          <w:szCs w:val="16"/>
        </w:rPr>
      </w:pPr>
      <w:r w:rsidRPr="00722885">
        <w:rPr>
          <w:color w:val="000000" w:themeColor="text1"/>
          <w:sz w:val="16"/>
          <w:szCs w:val="16"/>
        </w:rPr>
        <w:t>С/х</w:t>
      </w:r>
    </w:p>
    <w:p w14:paraId="6971288D" w14:textId="77777777" w:rsidR="00090C9B" w:rsidRPr="00722885" w:rsidRDefault="00090C9B" w:rsidP="00722885">
      <w:pPr>
        <w:pStyle w:val="Iauiue"/>
        <w:numPr>
          <w:ilvl w:val="0"/>
          <w:numId w:val="16"/>
        </w:numPr>
        <w:tabs>
          <w:tab w:val="left" w:pos="360"/>
        </w:tabs>
        <w:ind w:left="0" w:firstLine="0"/>
        <w:jc w:val="both"/>
        <w:rPr>
          <w:color w:val="000000" w:themeColor="text1"/>
          <w:sz w:val="16"/>
          <w:szCs w:val="16"/>
        </w:rPr>
      </w:pPr>
      <w:r w:rsidRPr="00722885">
        <w:rPr>
          <w:color w:val="000000" w:themeColor="text1"/>
          <w:sz w:val="16"/>
          <w:szCs w:val="16"/>
        </w:rPr>
        <w:t>Дизельный (с двумя дизельмоторами)</w:t>
      </w:r>
    </w:p>
    <w:p w14:paraId="352D9752" w14:textId="77777777" w:rsidR="00090C9B" w:rsidRPr="00722885" w:rsidRDefault="00090C9B" w:rsidP="00722885">
      <w:pPr>
        <w:pStyle w:val="Iauiue"/>
        <w:numPr>
          <w:ilvl w:val="0"/>
          <w:numId w:val="16"/>
        </w:numPr>
        <w:tabs>
          <w:tab w:val="left" w:pos="360"/>
        </w:tabs>
        <w:ind w:left="0" w:firstLine="0"/>
        <w:jc w:val="both"/>
        <w:rPr>
          <w:color w:val="000000" w:themeColor="text1"/>
          <w:sz w:val="16"/>
          <w:szCs w:val="16"/>
        </w:rPr>
      </w:pPr>
      <w:r w:rsidRPr="00722885">
        <w:rPr>
          <w:color w:val="000000" w:themeColor="text1"/>
          <w:sz w:val="16"/>
          <w:szCs w:val="16"/>
        </w:rPr>
        <w:t>Модернизированный</w:t>
      </w:r>
    </w:p>
    <w:p w14:paraId="3112FF87" w14:textId="77777777" w:rsidR="00090C9B" w:rsidRPr="00722885" w:rsidRDefault="00090C9B" w:rsidP="00722885">
      <w:pPr>
        <w:pStyle w:val="Iauiue"/>
        <w:numPr>
          <w:ilvl w:val="0"/>
          <w:numId w:val="16"/>
        </w:numPr>
        <w:tabs>
          <w:tab w:val="left" w:pos="360"/>
        </w:tabs>
        <w:ind w:left="0" w:firstLine="0"/>
        <w:jc w:val="both"/>
        <w:rPr>
          <w:color w:val="000000" w:themeColor="text1"/>
          <w:sz w:val="16"/>
          <w:szCs w:val="16"/>
        </w:rPr>
      </w:pPr>
      <w:r w:rsidRPr="00722885">
        <w:rPr>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40E1B6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2E274C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34C0BF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61730F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И.о. директора – Шевченко А.М.</w:t>
      </w:r>
    </w:p>
    <w:p w14:paraId="16290E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Оренбург, п/я 936</w:t>
      </w:r>
    </w:p>
    <w:p w14:paraId="402EB7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Производственный профиль – реактивная техника</w:t>
      </w:r>
    </w:p>
    <w:p w14:paraId="5B4EDA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7B288540" w14:textId="77777777" w:rsidR="00090C9B" w:rsidRPr="00722885" w:rsidRDefault="00090C9B" w:rsidP="00722885">
      <w:pPr>
        <w:pStyle w:val="Iauiue"/>
        <w:jc w:val="both"/>
        <w:rPr>
          <w:color w:val="000000" w:themeColor="text1"/>
          <w:sz w:val="16"/>
          <w:szCs w:val="16"/>
        </w:rPr>
      </w:pPr>
    </w:p>
    <w:p w14:paraId="5C8CD6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сентября 1942 г. заводом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Ростов-на-Дону ул. Новаторов, 5 тел. 97-72-21/ /Московское представительство:  г. Москва Вишняковский пер., 4; 1-я Рыбинская ул., 13 тел. 297-74-93/), эвакуированнымв пос. Лопатино ( г. Волжск) Марийской АССР на территорию деревообделочного комбината НКлеса, началось освоение производства УТ-2, в 1943 г. построен бомбардировочный вариант УТ-2МВ.</w:t>
      </w:r>
    </w:p>
    <w:p w14:paraId="2220BA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1943-начале 1944 г. часть специалистов завода переведены на завод № 468 в ОКБ гл. конструктора П.В. Цыбина.</w:t>
      </w:r>
    </w:p>
    <w:p w14:paraId="5C9013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6639сс от 1.10.1944 г. и приказом № 640с/ 721/ ЦЗ от 31.10.1944 г. завод № 168 переведен из Волжска в  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  г. имел наименование «п/я 13». В 1977 г. на базе Ростовского вертолетного завода создано РВПО.</w:t>
      </w:r>
    </w:p>
    <w:p w14:paraId="1E3C3A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07995C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1956 г. завод перешел на производство вертолетов.</w:t>
      </w:r>
    </w:p>
    <w:p w14:paraId="218B21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71A19D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10.1977 г. в серию запущен Ми-26.</w:t>
      </w:r>
    </w:p>
    <w:p w14:paraId="602028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4CB108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3E9C46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722885">
        <w:rPr>
          <w:rFonts w:ascii="Times New Roman" w:hAnsi="Times New Roman"/>
          <w:color w:val="000000" w:themeColor="text1"/>
          <w:sz w:val="16"/>
          <w:szCs w:val="16"/>
          <w:vertAlign w:val="superscript"/>
        </w:rPr>
        <w:t>Ъ</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vertAlign w:val="superscript"/>
        </w:rPr>
        <w:t>17 06 03</w:t>
      </w:r>
    </w:p>
    <w:p w14:paraId="0C36BE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(2004 г.): подготовка производства Ми-28Н, легкого учебно-тренировочного Ми-бОМАИ; программа модернизации Ми-26, Ми-24/ Ми-35.</w:t>
      </w:r>
    </w:p>
    <w:p w14:paraId="2B4387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2007 г. выпущено 7 предсерийных и первые 4 серийные Ми-28Н, в 2008 г. - 6 серийных машин.</w:t>
      </w:r>
    </w:p>
    <w:p w14:paraId="58AE8A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(1.01.2002 г.)- 7339 чел., (2004 г.)- 7100 чел.</w:t>
      </w:r>
    </w:p>
    <w:p w14:paraId="3AF31C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(01.1940 г.-)- П.Е. Лишанин, (07.1941 г.)- М.А. Кутюрин, (-01.1943-05.1944 г.-)- И.М. Шпаков. Ген. директор (1979-2000 г.-)- М.В. Нагибин, (-2002-05 г.-)- Б.Н. Слюсарь.</w:t>
      </w:r>
    </w:p>
    <w:p w14:paraId="1BA46C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0DD762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А.Б. Шибитов, (2009 г.)- А. Латоцкий.</w:t>
      </w:r>
    </w:p>
    <w:p w14:paraId="1AE9B1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(1976-79 г.)- М.В. Нагибин, (2002 г.)- И.А. Семенов,</w:t>
      </w:r>
      <w:r w:rsidRPr="00722885">
        <w:rPr>
          <w:rFonts w:ascii="Times New Roman" w:hAnsi="Times New Roman"/>
          <w:color w:val="000000" w:themeColor="text1"/>
          <w:sz w:val="16"/>
          <w:szCs w:val="16"/>
          <w:vertAlign w:val="superscript"/>
        </w:rPr>
        <w:t>69</w:t>
      </w:r>
      <w:r w:rsidRPr="00722885">
        <w:rPr>
          <w:rFonts w:ascii="Times New Roman" w:hAnsi="Times New Roman"/>
          <w:color w:val="000000" w:themeColor="text1"/>
          <w:sz w:val="16"/>
          <w:szCs w:val="16"/>
        </w:rPr>
        <w:t xml:space="preserve"> (2009 г.)- А. Варфоломеев.</w:t>
      </w:r>
    </w:p>
    <w:p w14:paraId="124C14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Руководитель московского представительства (2004 г.)- Н.П. Зайцев.</w:t>
      </w:r>
    </w:p>
    <w:p w14:paraId="0BCBD1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(1941 г.)- П.В. Цыбин, (1941 г.)- Д.Н. Колесников.</w:t>
      </w:r>
    </w:p>
    <w:p w14:paraId="253473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летной службы- Ю. Шевченко.</w:t>
      </w:r>
    </w:p>
    <w:p w14:paraId="6843F4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w:t>
      </w:r>
    </w:p>
    <w:p w14:paraId="121226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топливозаправщики ТЗ-6 (2004): спортивный автомобиль «Ода», минигрузовик «Хомка», прицепы к легковым автомобилям (2004).</w:t>
      </w:r>
    </w:p>
    <w:p w14:paraId="5D5222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ОАО «ОКБ «Ростов-Миль» /344038  г. Ростов-на-Дону, ул. Новаторов, 5 тел. 97-72-54/ ТО, ремонт и модернизация Ми-2 (2004 г.).</w:t>
      </w:r>
    </w:p>
    <w:p w14:paraId="32FB58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(11.2004 г.)- И.П. Шимко (11982).</w:t>
      </w:r>
    </w:p>
    <w:p w14:paraId="6F863AE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B8F2131"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С сентября 1942 г. два опытных образца М-12 Коссова проходили заводские испытания. В начале 1943 г. собирались выставить М-12 на 100-часовые совместные испытания, но они не состоялись. Доводка велась весь год, включая полеты на биплане У-2, а затем на моноплане УТ-1. В марте 1944 г. проводили госиспытания на стенде, прерванные из-за поломки через 30 ч. Всего изготовили шесть-семь опытных экземпляров. Работы по М-12 Коссов вел до осени 1944 г. Впоследствии узлы коссовского М-12 скомбинировали с цилиндровой группой двигателя М-11Д, получив М-11ФР, запущенный в серию (11478).</w:t>
      </w:r>
    </w:p>
    <w:p w14:paraId="0CF903C9" w14:textId="77777777" w:rsidR="00090C9B" w:rsidRPr="00722885" w:rsidRDefault="00090C9B" w:rsidP="00722885">
      <w:pPr>
        <w:pStyle w:val="afff2"/>
        <w:jc w:val="both"/>
        <w:rPr>
          <w:i w:val="0"/>
          <w:iCs w:val="0"/>
          <w:color w:val="000000" w:themeColor="text1"/>
          <w:spacing w:val="0"/>
          <w:kern w:val="0"/>
          <w:position w:val="0"/>
          <w:sz w:val="16"/>
          <w:szCs w:val="16"/>
        </w:rPr>
      </w:pPr>
    </w:p>
    <w:p w14:paraId="4812E53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М-105ПД повторно проходил летные испытания на истребителе Як-7ПД, а затем на Як-9ПД в апреле — июне 1943 г. На двигателях выпуска 1943 г. увеличено передаточное число привода к ПЦН. Двигатель первоначально не имел интеркулера (введенного лишь в сентябре 1943 г.), что приводило к перегревам. ВК-105ПД доводился до 1945 г. На 1-й квартал 1945 г. было дано задание на выпуск 459 ВК-105ПД на заводе № 26 и 10 — на за</w:t>
      </w:r>
      <w:r w:rsidRPr="00722885">
        <w:rPr>
          <w:rFonts w:ascii="Times New Roman" w:hAnsi="Times New Roman"/>
          <w:color w:val="000000" w:themeColor="text1"/>
          <w:sz w:val="16"/>
          <w:szCs w:val="16"/>
        </w:rPr>
        <w:softHyphen/>
        <w:t>воде № 16. На моторе предусматривалась установка пушки ШВАК (20 мм) (11852).</w:t>
      </w:r>
    </w:p>
    <w:p w14:paraId="17F0A62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62410D3" w14:textId="77777777" w:rsidR="008972A4" w:rsidRPr="00722885" w:rsidRDefault="008972A4"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сентябре 1942 всё же вышел приказ НКАП о серийном выпуске ВК-82 с ок</w:t>
      </w:r>
      <w:r w:rsidRPr="00722885">
        <w:rPr>
          <w:rFonts w:ascii="Times New Roman" w:cs="Times New Roman"/>
          <w:color w:val="000000" w:themeColor="text1"/>
          <w:spacing w:val="0"/>
        </w:rPr>
        <w:softHyphen/>
        <w:t>тября 1942 г. К 1 января 1943 г. выпустили всего 30 штук ВК-82. Но в серию на заводе № 19 этот карбюратор так и не пошёл (15813).</w:t>
      </w:r>
    </w:p>
    <w:p w14:paraId="30A62786" w14:textId="77777777" w:rsidR="008972A4" w:rsidRPr="00722885" w:rsidRDefault="008972A4" w:rsidP="00722885">
      <w:pPr>
        <w:pStyle w:val="27"/>
        <w:shd w:val="clear" w:color="auto" w:fill="auto"/>
        <w:spacing w:after="0" w:line="240" w:lineRule="auto"/>
        <w:ind w:firstLine="0"/>
        <w:rPr>
          <w:rFonts w:ascii="Times New Roman" w:cs="Times New Roman"/>
          <w:color w:val="000000" w:themeColor="text1"/>
          <w:spacing w:val="0"/>
        </w:rPr>
      </w:pPr>
    </w:p>
    <w:p w14:paraId="714714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сентября 1942 г. два опытных образца М-12: один с головками ци</w:t>
      </w:r>
      <w:r w:rsidRPr="00722885">
        <w:rPr>
          <w:rFonts w:ascii="Times New Roman" w:hAnsi="Times New Roman"/>
          <w:color w:val="000000" w:themeColor="text1"/>
          <w:sz w:val="16"/>
          <w:szCs w:val="16"/>
        </w:rPr>
        <w:softHyphen/>
        <w:t>линдров по типу М-11, другой — с головками, похожими на американский Райт «Циклон».проходили заводские испытания. Разрабатывался под руководством М.А. Коссова в кон</w:t>
      </w:r>
      <w:r w:rsidRPr="00722885">
        <w:rPr>
          <w:rFonts w:ascii="Times New Roman" w:hAnsi="Times New Roman"/>
          <w:color w:val="000000" w:themeColor="text1"/>
          <w:sz w:val="16"/>
          <w:szCs w:val="16"/>
        </w:rPr>
        <w:softHyphen/>
        <w:t>структорском бюро завода № 154 в Андижане. Двигатель включал в себя часть деталей и узлов серийного М-11Д и МГ-11. По сравнению с М-И новый мотор был существенно форсирован по оборотам и степени сжатия. В 1942 г. изготовили Оба В начале 1943 г. собирались выставить М-12 на 100-часовые совместные испытания, но они не состоялись. Доводка велась весь 1943 г. В том же году М-12 испытывали на биплане У-2. В марте 1944 г. проводили госи</w:t>
      </w:r>
      <w:r w:rsidRPr="00722885">
        <w:rPr>
          <w:rFonts w:ascii="Times New Roman" w:hAnsi="Times New Roman"/>
          <w:color w:val="000000" w:themeColor="text1"/>
          <w:sz w:val="16"/>
          <w:szCs w:val="16"/>
        </w:rPr>
        <w:softHyphen/>
        <w:t>спытания на стенде, прерванные из-за поломки через 30 ч. Всего изготовили 6-7 опытных экземпляров, включая два, собранных в июле 1944 г. на заводе № 41 в Москве из деталей, привезенных из Ан</w:t>
      </w:r>
      <w:r w:rsidRPr="00722885">
        <w:rPr>
          <w:rFonts w:ascii="Times New Roman" w:hAnsi="Times New Roman"/>
          <w:color w:val="000000" w:themeColor="text1"/>
          <w:sz w:val="16"/>
          <w:szCs w:val="16"/>
        </w:rPr>
        <w:softHyphen/>
        <w:t>дижана. Работы по М-12 Коссова велись до осени 1944 г. Впоследствии узлы М-12 скомбинировали с цилиндровой группой двигателя М-ИД, по</w:t>
      </w:r>
      <w:r w:rsidRPr="00722885">
        <w:rPr>
          <w:rFonts w:ascii="Times New Roman" w:hAnsi="Times New Roman"/>
          <w:color w:val="000000" w:themeColor="text1"/>
          <w:sz w:val="16"/>
          <w:szCs w:val="16"/>
        </w:rPr>
        <w:softHyphen/>
        <w:t>лучив М-11ФР.</w:t>
      </w:r>
    </w:p>
    <w:p w14:paraId="4EE47DE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Характеристики:</w:t>
      </w:r>
    </w:p>
    <w:p w14:paraId="2EBF3CE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5-цилиндровый, звездообразный, воздушного охлаждения, четырех</w:t>
      </w:r>
      <w:r w:rsidRPr="00722885">
        <w:rPr>
          <w:rFonts w:ascii="Times New Roman" w:hAnsi="Times New Roman"/>
          <w:color w:val="000000" w:themeColor="text1"/>
          <w:sz w:val="16"/>
          <w:szCs w:val="16"/>
        </w:rPr>
        <w:softHyphen/>
        <w:t>тактный, безредукторный, без наддува;</w:t>
      </w:r>
    </w:p>
    <w:p w14:paraId="7990E51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объем 8,6 л;</w:t>
      </w:r>
    </w:p>
    <w:p w14:paraId="46B104B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диаметр цилиндра/ход поршня 125/140 мм;</w:t>
      </w:r>
    </w:p>
    <w:p w14:paraId="100E88D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степень сжатия 6,2;</w:t>
      </w:r>
    </w:p>
    <w:p w14:paraId="18A582D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мощность 190/200 мм;</w:t>
      </w:r>
    </w:p>
    <w:p w14:paraId="2098616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вес (с головками типа М-11) 215 кг, вес по заданию 165-170 кг. Мотор М-12 устанавливался на единичных экземплярах самолетов У-2 и УТ-1 (11852).</w:t>
      </w:r>
    </w:p>
    <w:p w14:paraId="10DE29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5E62A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под Москвой окончились испытания доработанного планера КГ Л.П.Курбалы, которые проводились с июня 1942 (112,175).</w:t>
      </w:r>
    </w:p>
    <w:p w14:paraId="59EA2CAB" w14:textId="77777777" w:rsidR="00090C9B" w:rsidRPr="00722885" w:rsidRDefault="00090C9B" w:rsidP="00722885">
      <w:pPr>
        <w:pStyle w:val="Iauiue"/>
        <w:jc w:val="both"/>
        <w:rPr>
          <w:color w:val="000000" w:themeColor="text1"/>
          <w:sz w:val="16"/>
          <w:szCs w:val="16"/>
        </w:rPr>
      </w:pPr>
    </w:p>
    <w:p w14:paraId="07C074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планер КЦ-20 перегнали из Казани на подмосковный аэродром — по-видимому, для показа начальству. При перелете этого КЦ-20 с аэродрома ЛИИ на оперативный аэродром Медвежьи Озера про</w:t>
      </w:r>
      <w:r w:rsidRPr="00722885">
        <w:rPr>
          <w:rFonts w:ascii="Times New Roman" w:hAnsi="Times New Roman"/>
          <w:color w:val="000000" w:themeColor="text1"/>
          <w:sz w:val="16"/>
          <w:szCs w:val="16"/>
        </w:rPr>
        <w:softHyphen/>
        <w:t>изошла катастрофа. Перед вылетом у самолета-бук</w:t>
      </w:r>
      <w:r w:rsidRPr="00722885">
        <w:rPr>
          <w:rFonts w:ascii="Times New Roman" w:hAnsi="Times New Roman"/>
          <w:color w:val="000000" w:themeColor="text1"/>
          <w:sz w:val="16"/>
          <w:szCs w:val="16"/>
        </w:rPr>
        <w:softHyphen/>
        <w:t>сировщика забарахлил мотор. Механики, покопав</w:t>
      </w:r>
      <w:r w:rsidRPr="00722885">
        <w:rPr>
          <w:rFonts w:ascii="Times New Roman" w:hAnsi="Times New Roman"/>
          <w:color w:val="000000" w:themeColor="text1"/>
          <w:sz w:val="16"/>
          <w:szCs w:val="16"/>
        </w:rPr>
        <w:softHyphen/>
        <w:t>шись под капотом, нашли и устранили дефект. После этого по-быстрому выполнили облет самолета без планера, по кругу, в районе аэродрома. Решили идти на Медвежьи Озера в составе аэросцепки.</w:t>
      </w:r>
    </w:p>
    <w:p w14:paraId="7D3AF2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Планер пилотировали пилот И. Кочергин и кон</w:t>
      </w:r>
      <w:r w:rsidRPr="00722885">
        <w:rPr>
          <w:rFonts w:ascii="Times New Roman" w:hAnsi="Times New Roman"/>
          <w:color w:val="000000" w:themeColor="text1"/>
          <w:sz w:val="16"/>
          <w:szCs w:val="16"/>
        </w:rPr>
        <w:softHyphen/>
        <w:t>структор П.В. Цыбин. На взлете, как всегда, планер оторвался раньше, а у самолета в конце разбега вновь отказал мотор. Самолет, прекратив взлет, выкатился за пределы взлетной полосы к Москве-реке. Цыбин пытался отцепить буксировочный леер, но сделать это не удалось. Планер перелетел самолет, а так как трос не был сброшен, то он рывком перевернул са</w:t>
      </w:r>
      <w:r w:rsidRPr="00722885">
        <w:rPr>
          <w:rFonts w:ascii="Times New Roman" w:hAnsi="Times New Roman"/>
          <w:color w:val="000000" w:themeColor="text1"/>
          <w:sz w:val="16"/>
          <w:szCs w:val="16"/>
        </w:rPr>
        <w:softHyphen/>
        <w:t>молет на спину и сбросил его в реку, а сам планер, удерживаемый леером, по дуге, носом врезался в землю. Летчик Кочергин погиб, а конструктора Цыби</w:t>
      </w:r>
      <w:r w:rsidRPr="00722885">
        <w:rPr>
          <w:rFonts w:ascii="Times New Roman" w:hAnsi="Times New Roman"/>
          <w:color w:val="000000" w:themeColor="text1"/>
          <w:sz w:val="16"/>
          <w:szCs w:val="16"/>
        </w:rPr>
        <w:softHyphen/>
        <w:t>на П.В. выбросило через фонарь из планера. В тяже</w:t>
      </w:r>
      <w:r w:rsidRPr="00722885">
        <w:rPr>
          <w:rFonts w:ascii="Times New Roman" w:hAnsi="Times New Roman"/>
          <w:color w:val="000000" w:themeColor="text1"/>
          <w:sz w:val="16"/>
          <w:szCs w:val="16"/>
        </w:rPr>
        <w:softHyphen/>
        <w:t>лом состоянии его доставили в госпиталь, где после длительного лечения Цыбина удалось поставить на ноги. Экипаж самолета отделался легкими ушибами.</w:t>
      </w:r>
    </w:p>
    <w:p w14:paraId="5984AF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Две катастрофы планера КЦ, а также постоянные поломки в эксплуатации породили настороженное отношение к данной машине со стороны строевых пилотов. Несмотря на это, планер запустили в серий</w:t>
      </w:r>
      <w:r w:rsidRPr="00722885">
        <w:rPr>
          <w:rFonts w:ascii="Times New Roman" w:hAnsi="Times New Roman"/>
          <w:color w:val="000000" w:themeColor="text1"/>
          <w:sz w:val="16"/>
          <w:szCs w:val="16"/>
        </w:rPr>
        <w:softHyphen/>
        <w:t>ное производство, которое продолжалось до конца 1943 г. За этот период построили 68 (по другим ис</w:t>
      </w:r>
      <w:r w:rsidRPr="00722885">
        <w:rPr>
          <w:rFonts w:ascii="Times New Roman" w:hAnsi="Times New Roman"/>
          <w:color w:val="000000" w:themeColor="text1"/>
          <w:sz w:val="16"/>
          <w:szCs w:val="16"/>
        </w:rPr>
        <w:softHyphen/>
        <w:t>точникам — 50) планеров КЦ-20. После постройки опытных экземпляров и после катастрофы Цыбин был переведен на другую работу, а серию вел один Колес</w:t>
      </w:r>
      <w:r w:rsidRPr="00722885">
        <w:rPr>
          <w:rFonts w:ascii="Times New Roman" w:hAnsi="Times New Roman"/>
          <w:color w:val="000000" w:themeColor="text1"/>
          <w:sz w:val="16"/>
          <w:szCs w:val="16"/>
        </w:rPr>
        <w:softHyphen/>
        <w:t>ников Д.Н. Уже в процессе эксплуатации обнаружи</w:t>
      </w:r>
      <w:r w:rsidRPr="00722885">
        <w:rPr>
          <w:rFonts w:ascii="Times New Roman" w:hAnsi="Times New Roman"/>
          <w:color w:val="000000" w:themeColor="text1"/>
          <w:sz w:val="16"/>
          <w:szCs w:val="16"/>
        </w:rPr>
        <w:softHyphen/>
        <w:t>лась слабость конструкции крыла, да и сам матери</w:t>
      </w:r>
      <w:r w:rsidRPr="00722885">
        <w:rPr>
          <w:rFonts w:ascii="Times New Roman" w:hAnsi="Times New Roman"/>
          <w:color w:val="000000" w:themeColor="text1"/>
          <w:sz w:val="16"/>
          <w:szCs w:val="16"/>
        </w:rPr>
        <w:softHyphen/>
        <w:t>ал — дерево — не способствовал долговечности пла</w:t>
      </w:r>
      <w:r w:rsidRPr="00722885">
        <w:rPr>
          <w:rFonts w:ascii="Times New Roman" w:hAnsi="Times New Roman"/>
          <w:color w:val="000000" w:themeColor="text1"/>
          <w:sz w:val="16"/>
          <w:szCs w:val="16"/>
        </w:rPr>
        <w:softHyphen/>
        <w:t>нера, поэтому боевая служба КЦ-20 была не долгой.</w:t>
      </w:r>
    </w:p>
    <w:p w14:paraId="524AD5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заключение следует сказать, что производство КЦ-20 было небольшим, еще меньше их поступило в войска. Узкие грузовые двери не позволяли загру</w:t>
      </w:r>
      <w:r w:rsidRPr="00722885">
        <w:rPr>
          <w:rFonts w:ascii="Times New Roman" w:hAnsi="Times New Roman"/>
          <w:color w:val="000000" w:themeColor="text1"/>
          <w:sz w:val="16"/>
          <w:szCs w:val="16"/>
        </w:rPr>
        <w:softHyphen/>
        <w:t>жать тяжелую технику и реализовать возможности, заложенные в проекте планера. На более легких А-7 и Г-11 это было не так заметно. Наличие значительного балансировочного груза в носу говорит о серьезной ошибке в проектировании. Эта проблема значитель</w:t>
      </w:r>
      <w:r w:rsidRPr="00722885">
        <w:rPr>
          <w:rFonts w:ascii="Times New Roman" w:hAnsi="Times New Roman"/>
          <w:color w:val="000000" w:themeColor="text1"/>
          <w:sz w:val="16"/>
          <w:szCs w:val="16"/>
        </w:rPr>
        <w:softHyphen/>
        <w:t>но обострялась в войсках, где плохо разбирались в правилах погрузки и не следили за центровкой. В ре</w:t>
      </w:r>
      <w:r w:rsidRPr="00722885">
        <w:rPr>
          <w:rFonts w:ascii="Times New Roman" w:hAnsi="Times New Roman"/>
          <w:color w:val="000000" w:themeColor="text1"/>
          <w:sz w:val="16"/>
          <w:szCs w:val="16"/>
        </w:rPr>
        <w:softHyphen/>
        <w:t>зультате разбилось несколько планеров всех типов. С другой стороны, наличие двух пилотов значитель</w:t>
      </w:r>
      <w:r w:rsidRPr="00722885">
        <w:rPr>
          <w:rFonts w:ascii="Times New Roman" w:hAnsi="Times New Roman"/>
          <w:color w:val="000000" w:themeColor="text1"/>
          <w:sz w:val="16"/>
          <w:szCs w:val="16"/>
        </w:rPr>
        <w:softHyphen/>
        <w:t>но облегчало выполнение полетов. И последний ню</w:t>
      </w:r>
      <w:r w:rsidRPr="00722885">
        <w:rPr>
          <w:rFonts w:ascii="Times New Roman" w:hAnsi="Times New Roman"/>
          <w:color w:val="000000" w:themeColor="text1"/>
          <w:sz w:val="16"/>
          <w:szCs w:val="16"/>
        </w:rPr>
        <w:softHyphen/>
        <w:t>анс — у нас КЦ-20 относятся к классу тяжелых плане</w:t>
      </w:r>
      <w:r w:rsidRPr="00722885">
        <w:rPr>
          <w:rFonts w:ascii="Times New Roman" w:hAnsi="Times New Roman"/>
          <w:color w:val="000000" w:themeColor="text1"/>
          <w:sz w:val="16"/>
          <w:szCs w:val="16"/>
        </w:rPr>
        <w:softHyphen/>
        <w:t>ров, а у наших союзников и у немцев планеры такой размерности относятся к средним. Тяжелые планеры там значительно крупнее (12300).</w:t>
      </w:r>
    </w:p>
    <w:p w14:paraId="1BDAF44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9DA7B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П.Ивенсен встретился с Р.Л.Б. в Коломзино, Омск (1105,7).</w:t>
      </w:r>
    </w:p>
    <w:p w14:paraId="0DC83A14" w14:textId="77777777" w:rsidR="00090C9B" w:rsidRPr="00722885" w:rsidRDefault="00090C9B" w:rsidP="00722885">
      <w:pPr>
        <w:pStyle w:val="Iauiue"/>
        <w:jc w:val="both"/>
        <w:rPr>
          <w:color w:val="000000" w:themeColor="text1"/>
          <w:sz w:val="16"/>
          <w:szCs w:val="16"/>
        </w:rPr>
      </w:pPr>
    </w:p>
    <w:p w14:paraId="5568BF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года завод № 41 был переведен с территории ЦИАМ в Коптево (9431).</w:t>
      </w:r>
    </w:p>
    <w:p w14:paraId="2E8D077E" w14:textId="77777777" w:rsidR="00090C9B" w:rsidRPr="00722885" w:rsidRDefault="00090C9B" w:rsidP="00722885">
      <w:pPr>
        <w:pStyle w:val="Iauiue"/>
        <w:jc w:val="both"/>
        <w:rPr>
          <w:color w:val="000000" w:themeColor="text1"/>
          <w:sz w:val="16"/>
          <w:szCs w:val="16"/>
        </w:rPr>
      </w:pPr>
    </w:p>
    <w:p w14:paraId="73652B7C" w14:textId="77777777" w:rsidR="008972A4" w:rsidRPr="00722885" w:rsidRDefault="008972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в строй кораблей ВВФ вошли еще четыре бронекатера, вооруженных опытными установками М-8-М.</w:t>
      </w:r>
    </w:p>
    <w:p w14:paraId="0B423587" w14:textId="77777777" w:rsidR="008972A4" w:rsidRPr="00722885" w:rsidRDefault="008972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Отработка конструкции, монтаж и испытания опытных установок проводились представителями АУ и УК совместно.</w:t>
      </w:r>
    </w:p>
    <w:p w14:paraId="060C2ABA" w14:textId="77777777" w:rsidR="008972A4" w:rsidRPr="00722885" w:rsidRDefault="008972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Вопросы боевого использования, обучение команд, обеспечение боезапасом, таблицами стрельбы, инструментами и директивными указаниями флотам по использованию Р.С. проводились АУ ВМФ (15982).</w:t>
      </w:r>
    </w:p>
    <w:p w14:paraId="1BCFDB45" w14:textId="77777777" w:rsidR="008972A4" w:rsidRPr="00722885" w:rsidRDefault="008972A4" w:rsidP="00722885">
      <w:pPr>
        <w:spacing w:after="0" w:line="240" w:lineRule="auto"/>
        <w:jc w:val="both"/>
        <w:rPr>
          <w:rFonts w:ascii="Times New Roman" w:hAnsi="Times New Roman"/>
          <w:color w:val="000000" w:themeColor="text1"/>
          <w:sz w:val="16"/>
          <w:szCs w:val="16"/>
        </w:rPr>
      </w:pPr>
    </w:p>
    <w:p w14:paraId="101B944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D150439" w14:textId="77777777" w:rsidR="00090C9B" w:rsidRPr="00722885" w:rsidRDefault="00090C9B" w:rsidP="00722885">
      <w:pPr>
        <w:pStyle w:val="Iauiue"/>
        <w:jc w:val="both"/>
        <w:rPr>
          <w:iCs/>
          <w:color w:val="000000" w:themeColor="text1"/>
          <w:sz w:val="16"/>
          <w:szCs w:val="16"/>
        </w:rPr>
      </w:pPr>
    </w:p>
    <w:p w14:paraId="7A4FC5A9" w14:textId="77777777" w:rsidR="008972A4" w:rsidRPr="00722885" w:rsidRDefault="008972A4" w:rsidP="00722885">
      <w:pPr>
        <w:pStyle w:val="book"/>
        <w:ind w:firstLine="0"/>
        <w:jc w:val="both"/>
        <w:rPr>
          <w:color w:val="000000" w:themeColor="text1"/>
          <w:sz w:val="16"/>
          <w:szCs w:val="16"/>
        </w:rPr>
      </w:pPr>
      <w:r w:rsidRPr="00722885">
        <w:rPr>
          <w:color w:val="000000" w:themeColor="text1"/>
          <w:sz w:val="16"/>
          <w:szCs w:val="16"/>
        </w:rPr>
        <w:t>В сентябре 1942 г. первый образец гаубицы СГ-122А был испытан пробегом (480 км) и стрельбой (66 выстрелов). Испытания подтвердили высокие боевые возможности СГ-122А, однако выявили и большое количество недостатков: недостаточная проходимость на мягком грунте и большая нагрузка на передние опорные катки, большая нагрузка на командира САУ, малый запас хода, невозможность ведения огня из личного оружия через бортовые амбразуры из-за неудачного их расположения, быстрая загазованность боевого отделения из-за отсутствия вентилятора.</w:t>
      </w:r>
    </w:p>
    <w:p w14:paraId="615EE51F" w14:textId="77777777" w:rsidR="008972A4" w:rsidRPr="00722885" w:rsidRDefault="008972A4" w:rsidP="00722885">
      <w:pPr>
        <w:pStyle w:val="book"/>
        <w:ind w:firstLine="0"/>
        <w:jc w:val="both"/>
        <w:rPr>
          <w:color w:val="000000" w:themeColor="text1"/>
          <w:sz w:val="16"/>
          <w:szCs w:val="16"/>
        </w:rPr>
      </w:pPr>
      <w:r w:rsidRPr="00722885">
        <w:rPr>
          <w:color w:val="000000" w:themeColor="text1"/>
          <w:sz w:val="16"/>
          <w:szCs w:val="16"/>
        </w:rPr>
        <w:t>Заводу было отдано распоряжение об изготовлении нового варианта самоходной гаубицы с учетом устранения отмеченных недостатков. Рекомендовалось также провести разработку варианта боевой рубки для установки ее на танк Pz. Kpfw III, ходовых частей которого имелось больше, чем ходовых частей штурмовых орудий.</w:t>
      </w:r>
    </w:p>
    <w:p w14:paraId="1088B280" w14:textId="77777777" w:rsidR="008972A4" w:rsidRPr="00722885" w:rsidRDefault="008972A4" w:rsidP="00722885">
      <w:pPr>
        <w:pStyle w:val="book"/>
        <w:ind w:firstLine="0"/>
        <w:jc w:val="both"/>
        <w:rPr>
          <w:color w:val="000000" w:themeColor="text1"/>
          <w:sz w:val="16"/>
          <w:szCs w:val="16"/>
        </w:rPr>
      </w:pPr>
      <w:r w:rsidRPr="00722885">
        <w:rPr>
          <w:color w:val="000000" w:themeColor="text1"/>
          <w:sz w:val="16"/>
          <w:szCs w:val="16"/>
        </w:rPr>
        <w:t>После доработки проекта завод № 592 изготовил два улучшенных варианта СГ-122, отличавшихся типом примененного шасси (штурмового орудия и танка Pz. Kpfw III), которые имели ряд отличий от прототипа.</w:t>
      </w:r>
    </w:p>
    <w:p w14:paraId="6734A2FA" w14:textId="77777777" w:rsidR="008972A4" w:rsidRPr="00722885" w:rsidRDefault="008972A4" w:rsidP="00722885">
      <w:pPr>
        <w:pStyle w:val="book"/>
        <w:ind w:firstLine="0"/>
        <w:jc w:val="both"/>
        <w:rPr>
          <w:color w:val="000000" w:themeColor="text1"/>
          <w:sz w:val="16"/>
          <w:szCs w:val="16"/>
        </w:rPr>
      </w:pPr>
      <w:r w:rsidRPr="00722885">
        <w:rPr>
          <w:color w:val="000000" w:themeColor="text1"/>
          <w:sz w:val="16"/>
          <w:szCs w:val="16"/>
        </w:rPr>
        <w:t>По отчету завода № 592 за 1942 год всего было изготовлено десять СГ-122, (при плане на год 63 машины), причем одна на шасси Pz. III, а остальные — на шасси StuG III. К 15 ноября 1942 г. на артиллерийском полигоне под Свердловском имелось пять СГ-122. Одна из двух СГ-122 «улучшенных» (на шасси танка Pz. Kpfw III) 5 декабря была доставлена на Гороховецкий полигон для сравнительных Государственных испытаний с У-35 (будущей СУ-122) конструкции Уралмашзавода (15225).</w:t>
      </w:r>
    </w:p>
    <w:p w14:paraId="695D3FC9" w14:textId="77777777" w:rsidR="008972A4" w:rsidRPr="00722885" w:rsidRDefault="008972A4" w:rsidP="00722885">
      <w:pPr>
        <w:pStyle w:val="book"/>
        <w:ind w:firstLine="0"/>
        <w:jc w:val="both"/>
        <w:rPr>
          <w:color w:val="000000" w:themeColor="text1"/>
          <w:sz w:val="16"/>
          <w:szCs w:val="16"/>
        </w:rPr>
      </w:pPr>
    </w:p>
    <w:p w14:paraId="39650299" w14:textId="77777777" w:rsidR="009C054D" w:rsidRPr="00722885" w:rsidRDefault="009C054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В сентябре 1942 года проект отправился на рассмотрение в Артком ГАУ. Председатель технического совета НКВ Сатель весьма высоко оценил перспективы ЗИК-5. Правда, с одной существенной оговоркой – «в случае возобновления производства 25 мм пушек 72-К». Производство этой зенитной системы прекратилось после эвакуации завода №4, возобновился же выпуск только в 1943 году. На этом фоне ЗИК-5 выглядела, скорее, как «проект в стол».</w:t>
      </w:r>
    </w:p>
    <w:p w14:paraId="732175BB" w14:textId="77777777" w:rsidR="009C054D" w:rsidRPr="00722885" w:rsidRDefault="009C054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Артком ГАУ также одобрил проект 25-мм ЗСУ, предложив несколько его переделать. Листы щитового прикрытия переделывались по типу СУ-31, по тому же принципу менялась и укладка боеприпасов. Поскольку в конце 1942 года возобновления выпуска 72-К еще не предвиделось, ЗИК-5 отправился туда же, куда и остальные самоходные установки КБ завода №8 – в архив. Далее разработка советских ЗСУ на самоходной базе происходила с использованием в качестве вооружения 61-К (17683).</w:t>
      </w:r>
    </w:p>
    <w:p w14:paraId="65AE7214" w14:textId="77777777" w:rsidR="009C054D" w:rsidRPr="00722885" w:rsidRDefault="009C054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Итоги изучения Pz.Kpfw.38(t) в СССР позволяют сказать, что этот танк рядом историков явно переоценен. В конце 30-х годов он действительно был одним из лучших танков в своем классе, но при этом проблема с броней значительно снижала его боевую эффективность. Кроме того, в 1940 – 1941 годах появилось несколько танков аналогичного класса, которые были явно не хуже. Прежде всего, это касается Light Tank M3. По совокупности характеристик он явно превосходил Pz.Kpfw.38(t), в первую очередь за счет подвижности. Больше того, и Strv m/41, шведский близнец Pz.Kpfw.38(t), был лучше его, особенно это касается танков второй серии. В отличие от чешской брони, шведская проблемами с хрупкостью не страдала (17687).</w:t>
      </w:r>
    </w:p>
    <w:p w14:paraId="705B5FE0" w14:textId="77777777" w:rsidR="009C054D" w:rsidRPr="00722885" w:rsidRDefault="009C054D" w:rsidP="00722885">
      <w:pPr>
        <w:spacing w:after="0" w:line="240" w:lineRule="auto"/>
        <w:jc w:val="both"/>
        <w:rPr>
          <w:rFonts w:ascii="Times New Roman" w:eastAsia="Times New Roman" w:hAnsi="Times New Roman"/>
          <w:color w:val="000000" w:themeColor="text1"/>
          <w:sz w:val="16"/>
          <w:szCs w:val="16"/>
          <w:lang w:eastAsia="ru-RU"/>
        </w:rPr>
      </w:pPr>
    </w:p>
    <w:p w14:paraId="7C7A02D1" w14:textId="77777777" w:rsidR="008972A4" w:rsidRPr="00722885" w:rsidRDefault="008972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в Артком ГАУ поступил проект У-19, по ряду причин его отклонили. Тем не менее, идея штурмовой САУ с Б-4 возникала еще неоднократно, в том числе и на Уралмаше (15640).</w:t>
      </w:r>
    </w:p>
    <w:p w14:paraId="6FCB023C" w14:textId="77777777" w:rsidR="008972A4" w:rsidRPr="00722885" w:rsidRDefault="008972A4" w:rsidP="00722885">
      <w:pPr>
        <w:spacing w:after="0" w:line="240" w:lineRule="auto"/>
        <w:jc w:val="both"/>
        <w:rPr>
          <w:rFonts w:ascii="Times New Roman" w:hAnsi="Times New Roman"/>
          <w:color w:val="000000" w:themeColor="text1"/>
          <w:sz w:val="16"/>
          <w:szCs w:val="16"/>
        </w:rPr>
      </w:pPr>
    </w:p>
    <w:p w14:paraId="5A21B0CE" w14:textId="77777777" w:rsidR="008972A4" w:rsidRPr="00722885" w:rsidRDefault="008972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была создана одноствольная версия с</w:t>
      </w:r>
      <w:hyperlink r:id="rId122"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для пуска реактивной противо</w:t>
      </w:r>
      <w:hyperlink r:id="rId123"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овой мины МП-10. Конструкция была полностью аналогична двуствольному образцу. К сожалению, ТТХ данных РПГ и характеристик противо</w:t>
      </w:r>
      <w:hyperlink r:id="rId124"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овой реактивной мины МП-10 и результатов испытаний не обнаружено…(15596).</w:t>
      </w:r>
    </w:p>
    <w:p w14:paraId="5988B629" w14:textId="77777777" w:rsidR="008972A4" w:rsidRPr="00722885" w:rsidRDefault="008972A4" w:rsidP="00722885">
      <w:pPr>
        <w:spacing w:after="0" w:line="240" w:lineRule="auto"/>
        <w:jc w:val="both"/>
        <w:rPr>
          <w:rFonts w:ascii="Times New Roman" w:hAnsi="Times New Roman"/>
          <w:color w:val="000000" w:themeColor="text1"/>
          <w:sz w:val="16"/>
          <w:szCs w:val="16"/>
        </w:rPr>
      </w:pPr>
    </w:p>
    <w:p w14:paraId="6CC12F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из комбината № 179 в самостоятельный завод был выделен № 677 2ГУ НКБ (Завод № 677 НКБ, Новосибирский электромеханический завод, ПО «Луч», ФГУП «Новосибирское ПО «Луч» Росбоеприпаса, ОАО «Новосибирский электромеханический завод» /630039  г. Новосибирск ул. Автогенная, 136/ /630108  г. Новосибирск ул. Станционная, 32/) для производства комплектующих к артиллерийским выстрелам. В соответствии с пост. ГКО № 4606 от 20.11.1943 г. на заводы № 564 и 677 мобилизовано 950 чел. 16.05.1944 г. вышло распоряжение ГКО № 5902 о поставке заводу 672 т стали для изготовления минных взрывателей. К 1945 г. на заводе выпускалось до 20 тыс. изделий в смену.</w:t>
      </w:r>
    </w:p>
    <w:p w14:paraId="4A3E2A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08.1943-09.1944 г. - в ведении 2ГУ.</w:t>
      </w:r>
    </w:p>
    <w:p w14:paraId="4DDF13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продолжено производство оборонной продукции (в т.ч. комплектующих для БР), а также освоен выпуск ТНП: дверных замков, бельевых прищепок, пуговиц, игрушек. В начале 1950-х  г. организовано производство пластмасс, расширено гальваническое производство. С 1956 г. начат выпуск бытовой радиотехники, с начала 1960-х  г. - разработка магнитофонов. Был создан первый отечественный двухкассетный магнитофон «Нота-220С». Всего по 1990-е  г. выпущено более 6 млн. магнитофонов.</w:t>
      </w:r>
    </w:p>
    <w:p w14:paraId="01FDED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1960-е  г.- в ведении Управления точного машиностроения Западно-Сибирского совнархоза. В 1980-е  г. Новосибирский электромеханический завод вошел в состав ПО «Луч».</w:t>
      </w:r>
    </w:p>
    <w:p w14:paraId="05829E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и производство низковольтного коммутационного оборудования.</w:t>
      </w:r>
    </w:p>
    <w:p w14:paraId="7EFC7D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759EB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(2008 г.): оборудование для метеостанций.</w:t>
      </w:r>
    </w:p>
    <w:p w14:paraId="0F9DC4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(12.1942 г.)- 6689 чел.</w:t>
      </w:r>
      <w:r w:rsidRPr="00722885">
        <w:rPr>
          <w:rFonts w:ascii="Times New Roman" w:hAnsi="Times New Roman"/>
          <w:color w:val="000000" w:themeColor="text1"/>
          <w:sz w:val="16"/>
          <w:szCs w:val="16"/>
          <w:vertAlign w:val="superscript"/>
        </w:rPr>
        <w:t>132</w:t>
      </w:r>
    </w:p>
    <w:p w14:paraId="327BC9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электрограммофон «Тайга» (1956-); магнитофоны: МП-65, «Нота» (1964-), «Нота-М (МП-64, 1969-), -303 (1972-), -304, -202С (1976-), -203С, МП-220, М-222С, -225С, -101С», «Иней-302 (1972-), -303 (1976-)»; усилитель «Нота» 35У-120С (1986-) (11982).</w:t>
      </w:r>
    </w:p>
    <w:p w14:paraId="51FC031E" w14:textId="77777777" w:rsidR="008972A4" w:rsidRPr="00722885" w:rsidRDefault="008972A4" w:rsidP="00722885">
      <w:pPr>
        <w:pStyle w:val="Iauiue"/>
        <w:jc w:val="both"/>
        <w:rPr>
          <w:color w:val="000000" w:themeColor="text1"/>
          <w:sz w:val="16"/>
          <w:szCs w:val="16"/>
        </w:rPr>
      </w:pPr>
    </w:p>
    <w:p w14:paraId="4C107BF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Воткинским заводом было освоено производство новой 76 мм противотанковой дивизионной пушки ЗИС-3 конструкции В.Г.Грабина. Эта пушка считалась лучшей в своем классе, что признавали даже немцы. В этом же году было освоено производство 45 мм корабельной пушки (21К), которая устанавливалась на подводных лодках. Производилась 45 мм танковая пушка "Верочка", завод выпускал также запасные части , корпуса авиабомб и мин. Для выполнения важных и сложных задач специалистами завода были разработаны и внедрены новые технологические процессы: автоматическая сварка, глубокое сверление стволов, карбюраторный способ выплавки стали, прокатка моноблока пушки , центробежная отливка стволов (впервые в СССР) и т.д. Трудовые победы коллектива завода были отмечены приказом Наркома вооружения Д.Ф. Устинова , 48 рабочих и специалистов были награждены орденами и медалями СССР. В 1942 году завод произвел и отправил на фронт 16000 орудий, из них 11000 противотанковых (9699).</w:t>
      </w:r>
    </w:p>
    <w:p w14:paraId="2F700241" w14:textId="77777777" w:rsidR="00090C9B" w:rsidRPr="00722885" w:rsidRDefault="00090C9B" w:rsidP="00722885">
      <w:pPr>
        <w:pStyle w:val="Iauiue"/>
        <w:jc w:val="both"/>
        <w:rPr>
          <w:color w:val="000000" w:themeColor="text1"/>
          <w:sz w:val="16"/>
          <w:szCs w:val="16"/>
        </w:rPr>
      </w:pPr>
    </w:p>
    <w:p w14:paraId="77133D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 сентября 1942 года строительство объектов завода № 677 входило в состав производств Комбината № 179 и велось с 1938-39 гг. В 1940-1941 гг. объекты завода, как одно из производств (2-е производство) Комбината № 179 были пущены в эксплуатацию по производству взрывателей ГВМЗ.</w:t>
      </w:r>
    </w:p>
    <w:p w14:paraId="382923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 исполнение Постановления СНК от 26 сентября 1942 года № 18398 РС и приказа НКБ за № 740с от 28 ноября 1942 года – завод с 1 октября 1942 года был выделен в самостоятельный завод № 677 НКБ.</w:t>
      </w:r>
    </w:p>
    <w:p w14:paraId="1D3DB4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Затем завод переходил в Министерство с/х машиностроения, Министерство машиностроения и в МОП, не меняя в основном своего профиля производства – взрыватели (10043).</w:t>
      </w:r>
    </w:p>
    <w:p w14:paraId="6337AC99" w14:textId="77777777" w:rsidR="00090C9B" w:rsidRPr="00722885" w:rsidRDefault="00090C9B" w:rsidP="00722885">
      <w:pPr>
        <w:pStyle w:val="Iauiue"/>
        <w:jc w:val="both"/>
        <w:rPr>
          <w:color w:val="000000" w:themeColor="text1"/>
          <w:sz w:val="16"/>
          <w:szCs w:val="16"/>
        </w:rPr>
      </w:pPr>
    </w:p>
    <w:p w14:paraId="69E544C4" w14:textId="77777777" w:rsidR="008972A4" w:rsidRPr="00722885" w:rsidRDefault="008972A4"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сентябре 1942 Красная Армия получила уже 220 танков Т-34 челябинской сборки. В дальнейшем вы</w:t>
      </w:r>
      <w:r w:rsidRPr="00722885">
        <w:rPr>
          <w:rFonts w:ascii="Times New Roman" w:cs="Times New Roman"/>
          <w:color w:val="000000" w:themeColor="text1"/>
          <w:spacing w:val="0"/>
        </w:rPr>
        <w:softHyphen/>
        <w:t>пуск Т-34 на ЧКЗ продолжал расти. При этом около 75% оборудования Кировского завода было задействовано на производстве танков Т-34, на остальных мощностях производился тяжелый танк КВ (15226).</w:t>
      </w:r>
    </w:p>
    <w:p w14:paraId="1B8C1595" w14:textId="77777777" w:rsidR="008972A4" w:rsidRPr="00722885" w:rsidRDefault="008972A4" w:rsidP="00722885">
      <w:pPr>
        <w:pStyle w:val="27"/>
        <w:shd w:val="clear" w:color="auto" w:fill="auto"/>
        <w:spacing w:after="0" w:line="240" w:lineRule="auto"/>
        <w:ind w:firstLine="0"/>
        <w:rPr>
          <w:rFonts w:ascii="Times New Roman" w:cs="Times New Roman"/>
          <w:color w:val="000000" w:themeColor="text1"/>
          <w:spacing w:val="0"/>
        </w:rPr>
      </w:pPr>
    </w:p>
    <w:p w14:paraId="6824AAB3" w14:textId="77777777" w:rsidR="008972A4" w:rsidRPr="00722885" w:rsidRDefault="008972A4"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сентябре 1942 года ситуация с произ</w:t>
      </w:r>
      <w:r w:rsidRPr="00722885">
        <w:rPr>
          <w:rFonts w:ascii="Times New Roman" w:cs="Times New Roman"/>
          <w:color w:val="000000" w:themeColor="text1"/>
          <w:spacing w:val="0"/>
        </w:rPr>
        <w:softHyphen/>
        <w:t xml:space="preserve">водством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на Кировском заводе улуч</w:t>
      </w:r>
      <w:r w:rsidRPr="00722885">
        <w:rPr>
          <w:rFonts w:ascii="Times New Roman" w:cs="Times New Roman"/>
          <w:color w:val="000000" w:themeColor="text1"/>
          <w:spacing w:val="0"/>
        </w:rPr>
        <w:softHyphen/>
        <w:t>шилась - предприятие даже перевыполнило план по этим машинам, сдав армии 176 ма</w:t>
      </w:r>
      <w:r w:rsidRPr="00722885">
        <w:rPr>
          <w:rFonts w:ascii="Times New Roman" w:cs="Times New Roman"/>
          <w:color w:val="000000" w:themeColor="text1"/>
          <w:spacing w:val="0"/>
        </w:rPr>
        <w:softHyphen/>
        <w:t>шин при плане 155 танков. Однако с ка</w:t>
      </w:r>
      <w:r w:rsidRPr="00722885">
        <w:rPr>
          <w:rFonts w:ascii="Times New Roman" w:cs="Times New Roman"/>
          <w:color w:val="000000" w:themeColor="text1"/>
          <w:spacing w:val="0"/>
        </w:rPr>
        <w:softHyphen/>
        <w:t>чеством машин было еще не все хорошо. Например, в рабочих записях заместите</w:t>
      </w:r>
      <w:r w:rsidRPr="00722885">
        <w:rPr>
          <w:rFonts w:ascii="Times New Roman" w:cs="Times New Roman"/>
          <w:color w:val="000000" w:themeColor="text1"/>
          <w:spacing w:val="0"/>
        </w:rPr>
        <w:softHyphen/>
        <w:t>ля начальника ГАБТУ КА по политической части генерал-полковника танковых войск Н.И. Бирюкова есть такая запись:</w:t>
      </w:r>
    </w:p>
    <w:p w14:paraId="61B5905C" w14:textId="77777777" w:rsidR="008972A4" w:rsidRPr="00722885" w:rsidRDefault="008972A4"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 октября 1942 г. Указания тов. Сталина.</w:t>
      </w:r>
    </w:p>
    <w:p w14:paraId="0D6FF284" w14:textId="77777777" w:rsidR="008972A4" w:rsidRPr="00722885" w:rsidRDefault="008972A4"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Проверить с конструкторской и техниче</w:t>
      </w:r>
      <w:r w:rsidRPr="00722885">
        <w:rPr>
          <w:rFonts w:ascii="Times New Roman" w:cs="Times New Roman"/>
          <w:color w:val="000000" w:themeColor="text1"/>
          <w:spacing w:val="0"/>
        </w:rPr>
        <w:softHyphen/>
        <w:t xml:space="preserve">ской стороны новый танк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 С. Нельзя по</w:t>
      </w:r>
      <w:r w:rsidRPr="00722885">
        <w:rPr>
          <w:rFonts w:ascii="Times New Roman" w:cs="Times New Roman"/>
          <w:color w:val="000000" w:themeColor="text1"/>
          <w:spacing w:val="0"/>
        </w:rPr>
        <w:softHyphen/>
        <w:t>лагаться на конструктора Котина. Он маши</w:t>
      </w:r>
      <w:r w:rsidRPr="00722885">
        <w:rPr>
          <w:rFonts w:ascii="Times New Roman" w:cs="Times New Roman"/>
          <w:color w:val="000000" w:themeColor="text1"/>
          <w:spacing w:val="0"/>
        </w:rPr>
        <w:softHyphen/>
        <w:t xml:space="preserve">ны не доделывает. Выяснить, кто виновник, что 5 танков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вышли из строя, и о вино</w:t>
      </w:r>
      <w:r w:rsidRPr="00722885">
        <w:rPr>
          <w:rFonts w:ascii="Times New Roman" w:cs="Times New Roman"/>
          <w:color w:val="000000" w:themeColor="text1"/>
          <w:spacing w:val="0"/>
        </w:rPr>
        <w:softHyphen/>
        <w:t>вниках доложить тов. Сталину» (15226).</w:t>
      </w:r>
    </w:p>
    <w:p w14:paraId="1AB7644F" w14:textId="77777777" w:rsidR="008972A4" w:rsidRPr="00722885" w:rsidRDefault="008972A4" w:rsidP="00722885">
      <w:pPr>
        <w:pStyle w:val="27"/>
        <w:shd w:val="clear" w:color="auto" w:fill="auto"/>
        <w:spacing w:after="0" w:line="240" w:lineRule="auto"/>
        <w:ind w:firstLine="0"/>
        <w:rPr>
          <w:rFonts w:ascii="Times New Roman" w:cs="Times New Roman"/>
          <w:color w:val="000000" w:themeColor="text1"/>
          <w:spacing w:val="0"/>
        </w:rPr>
      </w:pPr>
    </w:p>
    <w:p w14:paraId="088FE094" w14:textId="77777777" w:rsidR="008972A4" w:rsidRPr="00722885" w:rsidRDefault="008972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несмотря на перевыполнение пла</w:t>
      </w:r>
      <w:r w:rsidRPr="00722885">
        <w:rPr>
          <w:rFonts w:ascii="Times New Roman" w:hAnsi="Times New Roman"/>
          <w:color w:val="000000" w:themeColor="text1"/>
          <w:sz w:val="16"/>
          <w:szCs w:val="16"/>
        </w:rPr>
        <w:softHyphen/>
        <w:t xml:space="preserve">на по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у Челябинского Кировского завода возникла про</w:t>
      </w:r>
      <w:r w:rsidRPr="00722885">
        <w:rPr>
          <w:rFonts w:ascii="Times New Roman" w:hAnsi="Times New Roman"/>
          <w:color w:val="000000" w:themeColor="text1"/>
          <w:sz w:val="16"/>
          <w:szCs w:val="16"/>
        </w:rPr>
        <w:softHyphen/>
        <w:t>блема с получением бронекорпусов и башен для этих машин. Дело в том, что в связи с пре</w:t>
      </w:r>
      <w:r w:rsidRPr="00722885">
        <w:rPr>
          <w:rFonts w:ascii="Times New Roman" w:hAnsi="Times New Roman"/>
          <w:color w:val="000000" w:themeColor="text1"/>
          <w:sz w:val="16"/>
          <w:szCs w:val="16"/>
        </w:rPr>
        <w:softHyphen/>
        <w:t>кращением деятельности завода № 264 в Ста</w:t>
      </w:r>
      <w:r w:rsidRPr="00722885">
        <w:rPr>
          <w:rFonts w:ascii="Times New Roman" w:hAnsi="Times New Roman"/>
          <w:color w:val="000000" w:themeColor="text1"/>
          <w:sz w:val="16"/>
          <w:szCs w:val="16"/>
        </w:rPr>
        <w:softHyphen/>
        <w:t>линграде для выпуска бронекорпусов Т-34 привлеюш Уралмашзавод, до этого произво</w:t>
      </w:r>
      <w:r w:rsidRPr="00722885">
        <w:rPr>
          <w:rFonts w:ascii="Times New Roman" w:hAnsi="Times New Roman"/>
          <w:color w:val="000000" w:themeColor="text1"/>
          <w:sz w:val="16"/>
          <w:szCs w:val="16"/>
        </w:rPr>
        <w:softHyphen/>
        <w:t>дивший корпуса и башни для КВ. В результа</w:t>
      </w:r>
      <w:r w:rsidRPr="00722885">
        <w:rPr>
          <w:rFonts w:ascii="Times New Roman" w:hAnsi="Times New Roman"/>
          <w:color w:val="000000" w:themeColor="text1"/>
          <w:sz w:val="16"/>
          <w:szCs w:val="16"/>
        </w:rPr>
        <w:softHyphen/>
        <w:t>те, «кэвэшные» бронедетали остались в про</w:t>
      </w:r>
      <w:r w:rsidRPr="00722885">
        <w:rPr>
          <w:rFonts w:ascii="Times New Roman" w:hAnsi="Times New Roman"/>
          <w:color w:val="000000" w:themeColor="text1"/>
          <w:sz w:val="16"/>
          <w:szCs w:val="16"/>
        </w:rPr>
        <w:softHyphen/>
        <w:t>изводстве только на заводе № 200. Несмотря на то, что последний в сентябре сумел увели</w:t>
      </w:r>
      <w:r w:rsidRPr="00722885">
        <w:rPr>
          <w:rFonts w:ascii="Times New Roman" w:hAnsi="Times New Roman"/>
          <w:color w:val="000000" w:themeColor="text1"/>
          <w:sz w:val="16"/>
          <w:szCs w:val="16"/>
        </w:rPr>
        <w:softHyphen/>
        <w:t xml:space="preserve">чить выпуск корпусов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почти в два раза, для обеспечения программы производства тя</w:t>
      </w:r>
      <w:r w:rsidRPr="00722885">
        <w:rPr>
          <w:rFonts w:ascii="Times New Roman" w:hAnsi="Times New Roman"/>
          <w:color w:val="000000" w:themeColor="text1"/>
          <w:sz w:val="16"/>
          <w:szCs w:val="16"/>
        </w:rPr>
        <w:softHyphen/>
        <w:t>желых танков на ЧКЗ в октябре требовалось изготовить корпусов в два раза больше, чем в сентябре. А этого завод № 200 не мог выпол</w:t>
      </w:r>
      <w:r w:rsidRPr="00722885">
        <w:rPr>
          <w:rFonts w:ascii="Times New Roman" w:hAnsi="Times New Roman"/>
          <w:color w:val="000000" w:themeColor="text1"/>
          <w:sz w:val="16"/>
          <w:szCs w:val="16"/>
        </w:rPr>
        <w:softHyphen/>
        <w:t>нить физически - предприятию не хватало рабочих, оборудования и материалов.  Меры, принятые по линии наркомата танковой про</w:t>
      </w:r>
      <w:r w:rsidRPr="00722885">
        <w:rPr>
          <w:rFonts w:ascii="Times New Roman" w:hAnsi="Times New Roman"/>
          <w:color w:val="000000" w:themeColor="text1"/>
          <w:sz w:val="16"/>
          <w:szCs w:val="16"/>
        </w:rPr>
        <w:softHyphen/>
        <w:t>мышленности, не помогли, но выход удалось найти (15226).</w:t>
      </w:r>
    </w:p>
    <w:p w14:paraId="12A731E2" w14:textId="77777777" w:rsidR="008972A4" w:rsidRPr="00722885" w:rsidRDefault="008972A4" w:rsidP="00722885">
      <w:pPr>
        <w:spacing w:after="0" w:line="240" w:lineRule="auto"/>
        <w:jc w:val="both"/>
        <w:rPr>
          <w:rFonts w:ascii="Times New Roman" w:hAnsi="Times New Roman"/>
          <w:color w:val="000000" w:themeColor="text1"/>
          <w:sz w:val="16"/>
          <w:szCs w:val="16"/>
        </w:rPr>
      </w:pPr>
    </w:p>
    <w:p w14:paraId="333173B5" w14:textId="77777777" w:rsidR="009C054D" w:rsidRPr="00722885" w:rsidRDefault="009C054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сентябре 1942 года возобновились работы по КВ-13. Проектированием и сборкой танка занимался опытный завод №100 (17637).</w:t>
      </w:r>
    </w:p>
    <w:p w14:paraId="0B30C0F9" w14:textId="77777777" w:rsidR="009C054D" w:rsidRPr="00722885" w:rsidRDefault="009C054D" w:rsidP="00722885">
      <w:pPr>
        <w:spacing w:after="0" w:line="240" w:lineRule="auto"/>
        <w:jc w:val="both"/>
        <w:rPr>
          <w:rFonts w:ascii="Times New Roman" w:eastAsia="Times New Roman" w:hAnsi="Times New Roman"/>
          <w:color w:val="000000" w:themeColor="text1"/>
          <w:sz w:val="16"/>
          <w:szCs w:val="16"/>
          <w:lang w:eastAsia="ru-RU"/>
        </w:rPr>
      </w:pPr>
    </w:p>
    <w:p w14:paraId="6867B83E" w14:textId="77777777" w:rsidR="008972A4" w:rsidRPr="00722885" w:rsidRDefault="008972A4"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сентября 1942 года завод №38 и ГАЗ перешли на выпуск танков Т-70М с усовершенствованной ходовой частью. Боекомплект пушки был сокращен до 70 выстрелов. В результате работ по модернизации ходовой части были увеличены ширина и шаг траков, ширина опорных катков, а также диаметр торсионов подвески и зубчатых венцов ведущих колес. За счет увеличения шага трака их численность в одной гусенице была сокращена с 91 до 80 штук. Кроме того, были усилены поддерживающие катки, остановочные тормоза и бортовые редукторы. Масса танка возросла до 10 т, а запас хода по шоссе снизился до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250 км</w:t>
        </w:r>
      </w:smartTag>
      <w:r w:rsidRPr="00722885">
        <w:rPr>
          <w:rFonts w:ascii="Times New Roman" w:hAnsi="Times New Roman"/>
          <w:color w:val="000000" w:themeColor="text1"/>
          <w:sz w:val="16"/>
          <w:szCs w:val="16"/>
        </w:rPr>
        <w:t>. Всего было выпущено 8226 танков модификаций Т-70 и Т-70М (15218).</w:t>
      </w:r>
    </w:p>
    <w:p w14:paraId="6E140DAB" w14:textId="77777777" w:rsidR="008972A4" w:rsidRPr="00722885" w:rsidRDefault="008972A4" w:rsidP="00722885">
      <w:pPr>
        <w:widowControl w:val="0"/>
        <w:spacing w:after="0" w:line="240" w:lineRule="auto"/>
        <w:jc w:val="both"/>
        <w:rPr>
          <w:rFonts w:ascii="Times New Roman" w:hAnsi="Times New Roman"/>
          <w:color w:val="000000" w:themeColor="text1"/>
          <w:sz w:val="16"/>
          <w:szCs w:val="16"/>
        </w:rPr>
      </w:pPr>
    </w:p>
    <w:p w14:paraId="125D4F96" w14:textId="77777777" w:rsidR="009C054D" w:rsidRPr="00722885" w:rsidRDefault="009C054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До сентября 1942 года продолжались испытания СУ-31 и СУ-32. По их итогам выбор был сделан в пользу шасси «31» с параллельным размещением двигателей ГАЗ-202. Именно такую схему взяли в работу на заводе № 38. С другой стороны, в Главном артиллерийском управлении (ГАУ) и Главном автобронетанковом управлении (ГАБТУ) Красной армии решили подстраховаться. Серьёзные задержки имели место по всем направлениям развития советских самоходных установок. В этот момент и возникла идея привлечь к программе создания лёгких САУ КБ ГАЗ им. Молотова. Танковое направление там возглавлял заместитель главного конструктора Н. А. Астров. В тот момент КБ работало над модернизацией Т-70, но от срочного задания сверху отказываться не стало. Таким образом, начались работы над ещё одной машиной. В случае неудачи КБ завода № 38 и Гинзбурга она стала бы той самой СУ-76, которую ждали в войсках (17690).</w:t>
      </w:r>
    </w:p>
    <w:p w14:paraId="20C2E7B7" w14:textId="77777777" w:rsidR="009C054D" w:rsidRPr="00722885" w:rsidRDefault="009C054D" w:rsidP="00722885">
      <w:pPr>
        <w:spacing w:after="0" w:line="240" w:lineRule="auto"/>
        <w:jc w:val="both"/>
        <w:rPr>
          <w:rFonts w:ascii="Times New Roman" w:eastAsia="Times New Roman" w:hAnsi="Times New Roman"/>
          <w:color w:val="000000" w:themeColor="text1"/>
          <w:sz w:val="16"/>
          <w:szCs w:val="16"/>
          <w:lang w:eastAsia="ru-RU"/>
        </w:rPr>
      </w:pPr>
    </w:p>
    <w:p w14:paraId="21CB5E9B" w14:textId="77777777" w:rsidR="00F35B4C" w:rsidRPr="00722885" w:rsidRDefault="00F35B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сентябре 1942 года танк №271 Pz.Kpfw.35 S (f) участвовал в испытаниях обстрелом, которые проводились на НИБТ Полигоне под Казанью. Машина, можно сказать, отомстила за май-июнь 1940 года, поскольку она обстреливала лобовую часть немецкой штурмовой САУ StuG III Ausf.B. На дистанции 25 метров 47-мм пушка SA 35 смогла пробить 50-мм лобовую часть корпуса. Один снаряд с такой дистанции дал вмятину глубиной 45 мм, с выколом с внутренней стороны. Также удалось добиться пробития лба StuG III на дистанции 400 метров. Впрочем, в отчете указывалось, что снаряд, после пробития, не срабатывал. То есть его форма оставалась такой же. Это означало, что поражения экипажа и внутренних агрегатов осколками зачастую не фиксировалось (22391).</w:t>
      </w:r>
    </w:p>
    <w:p w14:paraId="11F91330" w14:textId="77777777" w:rsidR="00F35B4C" w:rsidRPr="00722885" w:rsidRDefault="00F35B4C" w:rsidP="00722885">
      <w:pPr>
        <w:spacing w:after="0" w:line="240" w:lineRule="auto"/>
        <w:jc w:val="both"/>
        <w:rPr>
          <w:rFonts w:ascii="Times New Roman" w:hAnsi="Times New Roman"/>
          <w:color w:val="0070C0"/>
          <w:sz w:val="16"/>
          <w:szCs w:val="16"/>
        </w:rPr>
      </w:pPr>
    </w:p>
    <w:p w14:paraId="70401020" w14:textId="77777777" w:rsidR="009C054D" w:rsidRPr="00722885" w:rsidRDefault="009C054D"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сентябре 1942 года с идеей создания бронированных саней на базе Т-60 в ГАБТУ обратились представители Научного автотракторного института (НАТИ). К 16 сентября эскизный проект саней ДП-60 (десантный прицеп на базе танка Т-60), разработанный инженерами НАТИ Л.Ф. Киселёвым и В.Ф. Горановым, был рассмотрен ГАБТУ КА. Проект предлагался в трёх вариантах. Наиболее интересной была признана версия с боевой массой 3,3 тонны. За основу брался корпус Т-60, в котором делался кормовой люк и закрываемые бойницы. Десант саней в этом варианте составлял 8 человек. Правда, первоначально в ГАБТУ более интересным посчитали вариант с сохранением орудийной башни с вооружением.</w:t>
      </w:r>
    </w:p>
    <w:p w14:paraId="64B781C0" w14:textId="77777777" w:rsidR="009C054D" w:rsidRPr="00722885" w:rsidRDefault="009C054D" w:rsidP="00722885">
      <w:pPr>
        <w:pStyle w:val="ae"/>
        <w:shd w:val="clear" w:color="auto" w:fill="FFFFFF"/>
        <w:spacing w:before="0" w:after="0"/>
        <w:jc w:val="both"/>
        <w:rPr>
          <w:color w:val="000000" w:themeColor="text1"/>
          <w:sz w:val="16"/>
          <w:szCs w:val="16"/>
        </w:rPr>
      </w:pPr>
      <w:r w:rsidRPr="00722885">
        <w:rPr>
          <w:color w:val="000000" w:themeColor="text1"/>
          <w:sz w:val="16"/>
          <w:szCs w:val="16"/>
        </w:rPr>
        <w:t>Финальный вариант проекта был подготовлен в начале октября 1942 года. Прицеп, обозначенный как БП, имел боевую массу 3,5 тонны, его вместимость увеличилась до 10-12 человек. Кроме пехоты, он мог перевозить и 5-7 бочек горючего. В качестве тягача для прицепа предусматривалось использовать Т-34. Для этого к кормовым буксирным крюкам танка крепилась специальная упряжная конструкция, к которой, в свою очередь, крепилась сцепка прицепа. Расчёт прицепа в случае необходимости мог отцепиться от танка, не выходя наружу.</w:t>
      </w:r>
    </w:p>
    <w:p w14:paraId="6EF992C4" w14:textId="77777777" w:rsidR="009C054D" w:rsidRPr="00722885" w:rsidRDefault="009C054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аналогичные конструкции на базе проектов НАТИ разрабатывались ещё двумя предприятиями (17711).</w:t>
      </w:r>
    </w:p>
    <w:p w14:paraId="7780583E" w14:textId="77777777" w:rsidR="009C054D" w:rsidRPr="00722885" w:rsidRDefault="009C054D" w:rsidP="00722885">
      <w:pPr>
        <w:spacing w:after="0" w:line="240" w:lineRule="auto"/>
        <w:jc w:val="both"/>
        <w:rPr>
          <w:rFonts w:ascii="Times New Roman" w:eastAsia="Times New Roman" w:hAnsi="Times New Roman"/>
          <w:color w:val="000000" w:themeColor="text1"/>
          <w:sz w:val="16"/>
          <w:szCs w:val="16"/>
          <w:lang w:eastAsia="ru-RU"/>
        </w:rPr>
      </w:pPr>
    </w:p>
    <w:p w14:paraId="11C64A39" w14:textId="77777777" w:rsidR="008972A4" w:rsidRPr="00722885" w:rsidRDefault="008972A4"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в Красной Армии началось формирование 10 отдельных броневых батальонов, в состав каждого из которых входило по 32 БА-64, а также 15 отдельных батальонов бронемашин, каждый из которых состоял из двух рот броневиков БА-64 и роты танков Т-70, всего 22 бронемашины и 7 Т-70. Как правило, эти батальоны включались в состав танковых или механизированных корпусов. Иногда в их состав могли включать бронеавтомобили БА-20 или БА-10, хотя по штату они в состав этих батальонов не входили. Чуть позже, в октябре 1942 года, началось формирование 25 бронетранспортерных батальонов, имевших по штату 12 БА-64 и 12 английских бронетранспортеров (БТР) «Универсал» (15218).</w:t>
      </w:r>
    </w:p>
    <w:p w14:paraId="7F1A1E62" w14:textId="77777777" w:rsidR="008972A4" w:rsidRPr="00722885" w:rsidRDefault="008972A4" w:rsidP="00722885">
      <w:pPr>
        <w:widowControl w:val="0"/>
        <w:spacing w:after="0" w:line="240" w:lineRule="auto"/>
        <w:jc w:val="both"/>
        <w:rPr>
          <w:rFonts w:ascii="Times New Roman" w:hAnsi="Times New Roman"/>
          <w:color w:val="000000" w:themeColor="text1"/>
          <w:sz w:val="16"/>
          <w:szCs w:val="16"/>
        </w:rPr>
      </w:pPr>
    </w:p>
    <w:p w14:paraId="280C7FDA" w14:textId="77777777" w:rsidR="008972A4" w:rsidRPr="00722885" w:rsidRDefault="008972A4"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на БА-64 ввели дополнительный лючок, в крыше моторного отделения (по типу бронемашины БА-10), что позволило несколько улучшить охлаждение двигателя, который из-за недостаточного притока воздуха часто перегревался (15218).</w:t>
      </w:r>
    </w:p>
    <w:p w14:paraId="0291978E" w14:textId="77777777" w:rsidR="008972A4" w:rsidRPr="00722885" w:rsidRDefault="008972A4" w:rsidP="00722885">
      <w:pPr>
        <w:widowControl w:val="0"/>
        <w:spacing w:after="0" w:line="240" w:lineRule="auto"/>
        <w:jc w:val="both"/>
        <w:rPr>
          <w:rFonts w:ascii="Times New Roman" w:hAnsi="Times New Roman"/>
          <w:color w:val="000000" w:themeColor="text1"/>
          <w:sz w:val="16"/>
          <w:szCs w:val="16"/>
        </w:rPr>
      </w:pPr>
    </w:p>
    <w:p w14:paraId="266FCF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была принята на вооружение бесследная электрическая торпеда ЭТ-80, которая позволила значительно повысить эффективность и ударную мощь торпедного оружия (10700).</w:t>
      </w:r>
    </w:p>
    <w:p w14:paraId="2A74210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422B6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на вооружение приняли электроторпеду ЭТ-80, созданную Н.Н.Шамариным (384,240).</w:t>
      </w:r>
    </w:p>
    <w:p w14:paraId="02B3802B" w14:textId="77777777" w:rsidR="00090C9B" w:rsidRPr="00722885" w:rsidRDefault="00090C9B" w:rsidP="00722885">
      <w:pPr>
        <w:pStyle w:val="Iauiue"/>
        <w:jc w:val="both"/>
        <w:rPr>
          <w:color w:val="000000" w:themeColor="text1"/>
          <w:sz w:val="16"/>
          <w:szCs w:val="16"/>
        </w:rPr>
      </w:pPr>
    </w:p>
    <w:p w14:paraId="3B489E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состоялась конференция НКТП по качеству. В ней приняли участие конструкторы, производственники, работники ОТК, представители армии. В ходе конференции жестко и правдиво обсуждалось качество наших танков, искались пути его улучшения (11788).</w:t>
      </w:r>
    </w:p>
    <w:p w14:paraId="6BEFCD6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9A77F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года начался серийный выпуск Т-34 на Уралмашзаводе (3862).</w:t>
      </w:r>
    </w:p>
    <w:p w14:paraId="59CD4349" w14:textId="77777777" w:rsidR="00090C9B" w:rsidRPr="00722885" w:rsidRDefault="00090C9B" w:rsidP="00722885">
      <w:pPr>
        <w:pStyle w:val="Iauiue"/>
        <w:jc w:val="both"/>
        <w:rPr>
          <w:color w:val="000000" w:themeColor="text1"/>
          <w:sz w:val="16"/>
          <w:szCs w:val="16"/>
        </w:rPr>
      </w:pPr>
    </w:p>
    <w:p w14:paraId="329B2C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на УЗТМ началась сборка первой партии танков Т-34, и уже 22 сентября провели испытание первой собранной тридцатьчетверки. Всего за сентябрь сдали 15 танков Т-34, в октябре 51, в ноябре 101 и 100 в декабре. При этом постепенно, за счет организации собственного производства, уменьшалось количество узлов и деталей, получаемых с других заводов, а в ноябре УЗТМ начал выпуск тридцатьчетверок из своих агрегатов (не считая покупных деталей, получаемых с кооперированных заводов).</w:t>
      </w:r>
    </w:p>
    <w:p w14:paraId="05F6A5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Кстати, Уралмаш стал первым устанавливать на Т-34 новые, пятиступенчатые коробки перемены передач. Дело в том, что опытные образцы такой коробки, разработанные в КБ завода № 183, прошли успешные испытания еще в июне-июле 1942 года. Поэтому когда велась подготовка к производству Т-34 на УЗТМ, завод № 183 передал им чертежи новой коробки. В результате, из 267 Т-34, сданных УЗТМ заказчику в 1942 году, более половины имели пятиступенчатую коробку перемены передач, а в 1943 году все тридцатьчетверки Уралмаша оснащались такой коробкой. Всего за 1943 год, до окончания производства Т-34 в сентябре, УЗТМ сдал 464 Т-34. При этом с декабря 1942 года выпуск танков шел параллельно с изготовлением самоходных установок, а с октября Уралмаш полностью переключился только на самоходки.</w:t>
      </w:r>
    </w:p>
    <w:p w14:paraId="623BD0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серийного производства Т-34, конструкторское бюро УЗТМ внесло в конструкцию машин ряд изменений. Наиболее существенным из них стало введение штампованной башни.</w:t>
      </w:r>
    </w:p>
    <w:p w14:paraId="2BB98F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Дело в том, что в октябре 1942 года из-за увеличения программы производства, литейные цеха УЗТМ не смогли обеспечить нужного количества башен для Т-34. По решению директора завода Б.Г. Мазур- кова решено было использовать для производства башен мощности мало использовавшегося 10000-тонного пресса. Под руководством конструктора Уралмаша И.Ф. Вахрушева и технолога В.С. Ананьева в срочном порядке была разработана конструкция штампованной башни, изготовлена оснастка для штамповки, и в течение октября 1942 года отработан процесс изготовления штампованных башен для танка Т-34. Всего до окончания производства в марте 1944 года Уралмаш изготовил 2050 штампованных башен. Причем большая часть этих башен была отправлена «на сторону» - заводам № 183 и № 174.</w:t>
      </w:r>
    </w:p>
    <w:p w14:paraId="08BEDC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сказать, что качество штампованных башен УЗТМ оказались на очень высоком уровне, так как «конструктивная прочность и бронестойкость штампованной башни была выше, чем литой». Кроме того, изготовление штампованной башни из бронелиста большой толщины являлось большим достижением. В отчете о работе УЗТМ за годы войны говорилось: «Штампованная башня танка Т-34 является единственным технологическим уникумом среди сотен образцов различных танков: никто ни в Союзе, ни за границей подобной штамповки башни из листа размером 3 х 5,5 метров, толщиной 45 мм не производил».</w:t>
      </w:r>
    </w:p>
    <w:p w14:paraId="1D20C6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то, что штампованная башня была на 5000 рублей дороже литой, их изготовление позволило решить Уралмашу наиболее важную задачу - обеспечение выпуска заданного количества танков Т-34, а также из корпусов и башен в срок.</w:t>
      </w:r>
    </w:p>
    <w:p w14:paraId="0D7760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Помимо введения в серию штампованных башен УЗТМ провел большое</w:t>
      </w:r>
    </w:p>
    <w:p w14:paraId="37B6E5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опытныхработ по танку Т-34, целью которых было устранение затруднений в производстве или введение заменителей дефицитных материалов. К наиболее существенным экспериментам можно отнести следующие:</w:t>
      </w:r>
    </w:p>
    <w:p w14:paraId="7EA0BC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испытание опорных катков с пониженным резиновым массивом пробегом на 2000 километров. Целью испытания являлось определение того типа резинового профиля, который обеспечивает наибольшую долговечность. В результате был найден такойпрофиль;</w:t>
      </w:r>
    </w:p>
    <w:p w14:paraId="776776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испытание разрезных штампованных траков для проверки их капества при эксплуатации. Заключение о качестве таких траков послужило основанием для принятия таких траков к производству;</w:t>
      </w:r>
    </w:p>
    <w:p w14:paraId="573D05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испытание выключателя массы новой конструкции. После положительных испытаний новые выключатели приняли к серийному производству;</w:t>
      </w:r>
    </w:p>
    <w:p w14:paraId="5B09C5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испытание биметаллических втулок балансиров;</w:t>
      </w:r>
    </w:p>
    <w:p w14:paraId="20FC57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испытание танков с бандажами опорных катков, изготовленных из металлического профиля (вместо точеных на станках). Результаты оказались отрицательными, так как эбонитовый слой плохо держался на бандаже из профиля и резина разрушалась достаточно быстро;</w:t>
      </w:r>
    </w:p>
    <w:p w14:paraId="0BC3AF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испытание топливной системы без воздушного насоса и без трубок для воздушной магистрали подтвердило возможность работы топливной системы по предложенной схеме, что давало экономию в 20 метров медных трубок на каждом танке и упрощало конструкцию всего устройства.</w:t>
      </w:r>
    </w:p>
    <w:p w14:paraId="6D3FD2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сказать, что на УЗТМ отсутствовал нормальный экспериментальный цех, поэтому все испытания проводились только в пробегах на танках. Отмечалось, что «изготовление опытных деталей было затруднено, сборка опытных узлов шла в ущерб серийному производству, испытания отдельных узлов производить было невозможно, а в целом порядок производства экспериментов был очень громоздким и выполнение опытов проходило в чрезвычайно сжатые сроки».</w:t>
      </w:r>
    </w:p>
    <w:p w14:paraId="448087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в течение года производства Т-34 на Уралмаше в конструкцию машины внесли большое количество изменений, улучшающих качество танка в целом, было выпушено более 700 приказов на изменения с целью упрощения его производства. Наиболее существенными из них были:</w:t>
      </w:r>
    </w:p>
    <w:p w14:paraId="11C869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введение нового воздухоочистителя «Циклон» вместо устанавливавшегося ранее «Помон», что позволило значительно уменьшить износ двигателя;</w:t>
      </w:r>
    </w:p>
    <w:p w14:paraId="507739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введение маслоподкачивающе- го насоса для предварительной смазки шеек коленчатого вала двигателя перед запуском, что устранило случаи задира шеек коленвала;</w:t>
      </w:r>
    </w:p>
    <w:p w14:paraId="08E16F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усиление кривошипа ленивца;</w:t>
      </w:r>
    </w:p>
    <w:p w14:paraId="4B82F1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введение усовершенствованного выключателя массы;</w:t>
      </w:r>
    </w:p>
    <w:p w14:paraId="798658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установка вентилятора в башне;</w:t>
      </w:r>
    </w:p>
    <w:p w14:paraId="320C40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введение десантных поручней;</w:t>
      </w:r>
    </w:p>
    <w:p w14:paraId="1B1FA2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установка дополнительных топливных баков.</w:t>
      </w:r>
    </w:p>
    <w:p w14:paraId="279732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увеличение орудийного боекомплекта с 70 до 110 выстрелов;</w:t>
      </w:r>
    </w:p>
    <w:p w14:paraId="6E6F56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введение радиатора, охлаждающего масло в системе смазки двигателя для улучшения работы танка в летних условиях;</w:t>
      </w:r>
    </w:p>
    <w:p w14:paraId="405A49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введение командирской башен - ки и более совершенных призматических смотровых приборов;</w:t>
      </w:r>
    </w:p>
    <w:p w14:paraId="62B83C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введение управляемых жалюзи радиаторов для лучшей регулировки температуры.</w:t>
      </w:r>
    </w:p>
    <w:p w14:paraId="5103E1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для упрощения производства Т-34 и его удешевления ряд деталей перевели с литья на штамповку (бронировка картеров и выхлопных труб) и с литья на прокат или катано-сварную конструкцию (балка носа, кронштейны балансиров).</w:t>
      </w:r>
    </w:p>
    <w:p w14:paraId="1CF73E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проведенных упрощений конструкции и технологических улучшений улучшилось качество танков, уменьшилось число рекламаций, поступающих из войск, а также снизилась трудоемкость (на 15,7% за 11 месяцев) и себестоимость танка (на 18%) (12217).</w:t>
      </w:r>
    </w:p>
    <w:p w14:paraId="541A8CC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998D05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октября 1942 г. шестигранная башня завода № 183 была рекомендован для освоения всеми предприятиями наркомата (10782).</w:t>
      </w:r>
    </w:p>
    <w:p w14:paraId="167C9B9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56942A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рабо</w:t>
      </w:r>
      <w:r w:rsidRPr="00722885">
        <w:rPr>
          <w:rFonts w:ascii="Times New Roman" w:hAnsi="Times New Roman"/>
          <w:color w:val="000000" w:themeColor="text1"/>
          <w:sz w:val="16"/>
          <w:szCs w:val="16"/>
        </w:rPr>
        <w:softHyphen/>
        <w:t>ты по доработке первого опытного образца огнеметного прибора ОП-34, установленного на танке Т-34 еще до войны, были возобновлены в Нижнем Тагиле инженером-исследователем Томашпольским под руководством начальника отдела "530" завода № 183 Гут</w:t>
      </w:r>
      <w:r w:rsidRPr="00722885">
        <w:rPr>
          <w:rFonts w:ascii="Times New Roman" w:hAnsi="Times New Roman"/>
          <w:color w:val="000000" w:themeColor="text1"/>
          <w:sz w:val="16"/>
          <w:szCs w:val="16"/>
        </w:rPr>
        <w:softHyphen/>
        <w:t>мана. Доработанный опытный образец прибора ОП-34 в январе-апреле 1943 г. прошел полигонные испытания. В марте 1943 г. установка огне</w:t>
      </w:r>
      <w:r w:rsidRPr="00722885">
        <w:rPr>
          <w:rFonts w:ascii="Times New Roman" w:hAnsi="Times New Roman"/>
          <w:color w:val="000000" w:themeColor="text1"/>
          <w:sz w:val="16"/>
          <w:szCs w:val="16"/>
        </w:rPr>
        <w:softHyphen/>
        <w:t>мета ОП-34 была проверена работой на трех танках Т-34-76. Испытания показали целесообразность применения на танке Т-34 огнемета ОП-34 и после внесения соответствующих доработок по замечаниям комиссии он был рекомендован к принятию на вооружение. На вооружение танк Т-34-76 с огнеметом ОП-34 не принимался и в серийном производстве не состоял (10703).</w:t>
      </w:r>
    </w:p>
    <w:p w14:paraId="722FAC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9F4F4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нарком танковой промышленности Зальцман поручил опытному заводу № 100 разработать и изготовить в октябре месяце опытный образец огнеметного танка со спаренной установкой АТО-41,45-мм пушки и пулемета ДТ. Примерно в это же время ГАБТУ КА. не удовлетворенное работой огнемета АТО-41 предложило Наркомтанкопрому разработать новый огнемет пневматического действия. Однако это вызвало протест со стороны наркома танковой промышленности Зальцмана, который 6 сентября 1942 года направил на имя заместителя председателя ГКО В. Молотова следующее письмо:</w:t>
      </w:r>
    </w:p>
    <w:p w14:paraId="355AAE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«Считаю нецелесообразной разработку нового танкового пневматического огнемета, предлагаемую ГАБТУ КА Этот тип огнемета в 1941 году был заменен на пороховой автоматический огнемет АТО-41 из-за наличия в первом серьезных недостатков и ненадежной работы, не устраненных и по сие время (громоздкость и большой вес установки, ненадежность всех соединений трубопроводов, работающих под высоким давлением, меньшая дальность действия, большая потребность в расходе сжатого воздуха и т.п.).</w:t>
      </w:r>
    </w:p>
    <w:p w14:paraId="72EF77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Предложение ГАБТУ КА по осуществлению подзарядки баллонов сжатым воздухом от танкового двигателя для пневматического огнемета является неприемлемым; так как до сего времени конструкторам заводов НКТП еще не удалось удовлетворительно разрешить эту задачу даже для более простого случая аварийного запуска сжатым воздухом самого двигателя.</w:t>
      </w:r>
    </w:p>
    <w:p w14:paraId="67D9DB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обеспечения выпуска огнеметных танков и повышения их качества, считаю необходимым специализировать на выпуск огнеметных танков Т-34 только один завод № 174 с декабря с.г., освободив от этого вида производства другие заводы.</w:t>
      </w:r>
    </w:p>
    <w:p w14:paraId="2BBE14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 мероприятие позволит улучшить технологию производства, сделав ее более массовой и повысить качество изготовления огнеметных танков на танковых заводах, а по линии ГАБТУ КА улучшить качество подготовки команд огнеметных танков путем создания на этом заводе учебных подразделений, что также является неотложной необходимостью в деле повышения боевых качеств огнеметных танков».</w:t>
      </w:r>
    </w:p>
    <w:p w14:paraId="362826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упоминаемого в письме Зальцмана пневматического огнемета с подзарядкой баллонов сжатым воздухом от танкового двигателя, то работы над такой конструкцией велись на заводе №183 с сентября 1942 года инженером Томашпольским под руководством начальника опытного отдела 540 Гутника. Установка получила обозначение ОП-34- так же, как и огнемет, созданный заводом № 183 еще весной 1941 года. В январе 1943 года были закончены монтажные работы по установке ОП-34 в тридцатьчетверку, после чего начались испытания, продолжавшиеся с перерывами до апреля 1943 года. Принцип работы ОП-34 был следующим.</w:t>
      </w:r>
    </w:p>
    <w:p w14:paraId="3D65EA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Выброс огнесмеси производился под давлением сжатого газа, поступающего в резервуар из баллонов через редуктор. Зарядка и дозаряд- ка баллонов газами производилась одним из цилиндров дизельмотора В-2-34 через специальный клапан. Согласно отчету, ОП-34 имел следующие данные:</w:t>
      </w:r>
    </w:p>
    <w:p w14:paraId="09E140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Рабочее давление для эффективного огнеметания - 20-25 атмосфер, дальность огнеметания на мазуте - до 55 метров, на спецсмеси до 90 метров, емкость резервуара 100 литров, количество выстрелов —12 коротких, 9 нормальных или 4 затяжных, скорострельность —8 выстрелов в минуту масса установки с заправкой - 225 кг. На испытании всего было проведено 112 выстрелов (12 заправок). В заключении комиссии говорилось: «После внесения изменений может быть, рекомендован для установки на Т-34 взамен пулемета стрелка-радиста.</w:t>
      </w:r>
    </w:p>
    <w:p w14:paraId="216AFA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Положительные качества: простой в изготовлении и монтаже, надежен, легок в обслуживании, небольшие габариты.</w:t>
      </w:r>
    </w:p>
    <w:p w14:paraId="200853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Недостатки: рабочее давление 2025 атм., при огнеметании вязкой смесью через насадки диаметром 20 мм является недостаточным. При запасе газа с давлением 50-55 атм. недостаточная контактность струи, отсутс- вие продувки брандспойта после выстрела, большое время заправки резервуара вязкой огнесмесью».</w:t>
      </w:r>
    </w:p>
    <w:p w14:paraId="7A6774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ряд преимуществ перед АТО - меньшие размеры, более легкая установка и обслуживание - ОП-34 имел и недостатки. И хотя комиссия, проводившая испытания, рекомендовала его для принятия на вооружение, он остался только в опытном экземпляре (12217).</w:t>
      </w:r>
    </w:p>
    <w:p w14:paraId="6DEACE8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4028D06" w14:textId="77777777" w:rsidR="00090C9B" w:rsidRPr="00722885" w:rsidRDefault="00090C9B" w:rsidP="00722885">
      <w:pPr>
        <w:pStyle w:val="a3"/>
        <w:rPr>
          <w:color w:val="000000" w:themeColor="text1"/>
          <w:lang w:val="ru-RU"/>
        </w:rPr>
      </w:pPr>
      <w:r w:rsidRPr="00722885">
        <w:rPr>
          <w:color w:val="000000" w:themeColor="text1"/>
          <w:lang w:val="ru-RU"/>
        </w:rPr>
        <w:t>В сентябре 1942 построили опытный образец машины КВ-13. В октябре 1942 г. он прошел завод</w:t>
      </w:r>
      <w:r w:rsidRPr="00722885">
        <w:rPr>
          <w:color w:val="000000" w:themeColor="text1"/>
          <w:lang w:val="ru-RU"/>
        </w:rPr>
        <w:softHyphen/>
        <w:t>ские испытания, в ходе которых выявилась недоработанность ряда узлов и агрегатов. Отмечалась также недостаточная численность экипажа — 3 чел.</w:t>
      </w:r>
    </w:p>
    <w:p w14:paraId="50E919FD" w14:textId="77777777" w:rsidR="00090C9B" w:rsidRPr="00722885" w:rsidRDefault="00090C9B" w:rsidP="00722885">
      <w:pPr>
        <w:pStyle w:val="a3"/>
        <w:rPr>
          <w:color w:val="000000" w:themeColor="text1"/>
          <w:lang w:val="ru-RU"/>
        </w:rPr>
      </w:pPr>
      <w:r w:rsidRPr="00722885">
        <w:rPr>
          <w:color w:val="000000" w:themeColor="text1"/>
          <w:lang w:val="ru-RU"/>
        </w:rPr>
        <w:t>С учетом недостатков первого образца КВ-13 конструкторы Опытного завода №100 при ЧКЗ доработали его конструкцию. Боевая масса машины при этом возросла до 38 т. Теперь танк обозначался как «Объект 233». Первый опытный образец был изготовлен в конце 1942 г.</w:t>
      </w:r>
    </w:p>
    <w:p w14:paraId="1996CD96" w14:textId="77777777" w:rsidR="00090C9B" w:rsidRPr="00722885" w:rsidRDefault="00090C9B" w:rsidP="00722885">
      <w:pPr>
        <w:pStyle w:val="a3"/>
        <w:rPr>
          <w:color w:val="000000" w:themeColor="text1"/>
          <w:lang w:val="ru-RU"/>
        </w:rPr>
      </w:pPr>
      <w:r w:rsidRPr="00722885">
        <w:rPr>
          <w:color w:val="000000" w:themeColor="text1"/>
          <w:lang w:val="ru-RU"/>
        </w:rPr>
        <w:t>Опыт боевого применения и эксплуатации тяжелого танка КВ выявил ряд его существен</w:t>
      </w:r>
      <w:r w:rsidRPr="00722885">
        <w:rPr>
          <w:color w:val="000000" w:themeColor="text1"/>
          <w:lang w:val="ru-RU"/>
        </w:rPr>
        <w:softHyphen/>
        <w:t>ных недостатков. Другой советский танк, средний Т-34, имел практически одинаковое с ним вооружение, незначительно уступал ему в броневой защите, но был более маневренным и имел значительно меньшую боевую массу. Машину хорошо освоили в войсках, а выпуск ее параллельно бсуществлялся на нескольких заводах. Вследствие этого в танковом парке Красной Армии средних танков Т-34 было при</w:t>
      </w:r>
      <w:r w:rsidRPr="00722885">
        <w:rPr>
          <w:color w:val="000000" w:themeColor="text1"/>
          <w:lang w:val="ru-RU"/>
        </w:rPr>
        <w:softHyphen/>
        <w:t>мерно в 6 раз больше, чем КВ (12617).</w:t>
      </w:r>
    </w:p>
    <w:p w14:paraId="4959C2B1" w14:textId="77777777" w:rsidR="00090C9B" w:rsidRPr="00722885" w:rsidRDefault="00090C9B" w:rsidP="00722885">
      <w:pPr>
        <w:pStyle w:val="a3"/>
        <w:rPr>
          <w:color w:val="000000" w:themeColor="text1"/>
          <w:lang w:val="ru-RU"/>
        </w:rPr>
      </w:pPr>
    </w:p>
    <w:p w14:paraId="138ED9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первый прототип КВ-13 был готов. Разработка более сложного и перспективного проекта КВ-13 задерживалась. В Челябинске всё внимание было переключено на освоение Т-34 и новый проект КВ-1С. Танк был защищён броней толщиной до 80-мм и вооружен той же пушкой, что и КВ. Лобовая часть корпуса впервые в истории отечественного танкостроения была выполнена литой. Таким путём предполагалось значительно снизить трудоёмкость его изготовления. В танке было минимизировано применение цветных металлов.</w:t>
      </w:r>
    </w:p>
    <w:p w14:paraId="6A4AC9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танка оказались долгим и трудным делом. КВ-13 быстро заслужил прозвище «чёртова дюжина». В ходе испытаний он ломался почти каждый день, и среди рабочих стало модным заключать пари, сломается ли танк сегодня. Разочаровывающие результаты принёс обстрел танка из трофейной 88-мм зенитной пушки. Эти недостатки предполагалось устранить в новом варианте танка, который, кроме того, ещё был бы оснащён увеличенной трёхместной башней. Новый вариант был готов в начале 1943 года (12290).</w:t>
      </w:r>
    </w:p>
    <w:p w14:paraId="5213297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42AADB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первые испытания КВ-13 пробегом усугубили впечатление о машине. Отмечались многочисленные поломки ходовой части (вследствие неудачного крепления опорных катков), КПП и ПМП, перегрев и выход из строя двигателя при движении на повышенных оборотах...</w:t>
      </w:r>
    </w:p>
    <w:p w14:paraId="34565BF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«Язапомнил этот танк тем, что он ломался каждый день, как только выезжал с завода... Рабочие даже спорили на кусо</w:t>
      </w:r>
      <w:r w:rsidRPr="00722885">
        <w:rPr>
          <w:rFonts w:ascii="Times New Roman" w:hAnsi="Times New Roman"/>
          <w:color w:val="000000" w:themeColor="text1"/>
          <w:sz w:val="16"/>
          <w:szCs w:val="16"/>
        </w:rPr>
        <w:softHyphen/>
        <w:t>чек сахара, сломается ли «чертова дюжина» за воротами заво</w:t>
      </w:r>
      <w:r w:rsidRPr="00722885">
        <w:rPr>
          <w:rFonts w:ascii="Times New Roman" w:hAnsi="Times New Roman"/>
          <w:color w:val="000000" w:themeColor="text1"/>
          <w:sz w:val="16"/>
          <w:szCs w:val="16"/>
        </w:rPr>
        <w:softHyphen/>
        <w:t>да, или успеет вернуться с полигона...» — вспоминал Л. Горлицкий. Танк ремонтировали и в ходе ремонта вносили не</w:t>
      </w:r>
      <w:r w:rsidRPr="00722885">
        <w:rPr>
          <w:rFonts w:ascii="Times New Roman" w:hAnsi="Times New Roman"/>
          <w:color w:val="000000" w:themeColor="text1"/>
          <w:sz w:val="16"/>
          <w:szCs w:val="16"/>
        </w:rPr>
        <w:softHyphen/>
        <w:t>которые улучшения в его конструкцию. В частности, в ок</w:t>
      </w:r>
      <w:r w:rsidRPr="00722885">
        <w:rPr>
          <w:rFonts w:ascii="Times New Roman" w:hAnsi="Times New Roman"/>
          <w:color w:val="000000" w:themeColor="text1"/>
          <w:sz w:val="16"/>
          <w:szCs w:val="16"/>
        </w:rPr>
        <w:softHyphen/>
        <w:t>тябре 1942 г. на танке было сменено более половины потре</w:t>
      </w:r>
      <w:r w:rsidRPr="00722885">
        <w:rPr>
          <w:rFonts w:ascii="Times New Roman" w:hAnsi="Times New Roman"/>
          <w:color w:val="000000" w:themeColor="text1"/>
          <w:sz w:val="16"/>
          <w:szCs w:val="16"/>
        </w:rPr>
        <w:softHyphen/>
        <w:t>бителей электрооборудования, бортовые редукторы (10782).</w:t>
      </w:r>
    </w:p>
    <w:p w14:paraId="70138F9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979554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был изготовлен опытный образец танка КВ-13, который имел боевую массу 32 т. На нем была установлена 76,2-мм пушка ЗИС-5. Дизель мощностью в 444 кВт (600 л.с.) позволял танку разви</w:t>
      </w:r>
      <w:r w:rsidRPr="00722885">
        <w:rPr>
          <w:rFonts w:ascii="Times New Roman" w:hAnsi="Times New Roman"/>
          <w:color w:val="000000" w:themeColor="text1"/>
          <w:sz w:val="16"/>
          <w:szCs w:val="16"/>
        </w:rPr>
        <w:softHyphen/>
        <w:t>вать максимальную скорость до 65 км/ч. Через месяц опытный образец танка КВ-13 прошел заводские испытания, в ходе которых пробег танка составил свыше 1200 км. Во время испытаний машины была выявлена низкая надежность работы узлов и агрегатов силовой установки, транс</w:t>
      </w:r>
      <w:r w:rsidRPr="00722885">
        <w:rPr>
          <w:rFonts w:ascii="Times New Roman" w:hAnsi="Times New Roman"/>
          <w:color w:val="000000" w:themeColor="text1"/>
          <w:sz w:val="16"/>
          <w:szCs w:val="16"/>
        </w:rPr>
        <w:softHyphen/>
        <w:t>миссии и ходовой части (10703).</w:t>
      </w:r>
    </w:p>
    <w:p w14:paraId="7ECA27B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C6363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сентябре 1942 г. был изготовлен опытный образец танка КВ-13. В октябре 1942 г. танк прошел заводские испытания, в ходе которых выявилась низкая надежность узлов и агрегатов силовой установки, трансмиссии и ходовой части. Учитывая недостатки первого варианта, конструкторское бюро опытного завода № 100 в Челябинске, выпустило рабочие чертежи второго опытного танка КВ-13. В декабре 1942 г. завод № 100 приступил к изготовлению двух танков КВ-13 второго варианта. Оба опытных танка отличалисъ от первого варианта танка КВ-13 конструкцией башни и носовой части. Изготовленные корпуса и башни, опытных образцов </w:t>
      </w:r>
      <w:r w:rsidRPr="00722885">
        <w:rPr>
          <w:rFonts w:ascii="Times New Roman" w:hAnsi="Times New Roman"/>
          <w:color w:val="000000" w:themeColor="text1"/>
          <w:sz w:val="16"/>
          <w:szCs w:val="16"/>
        </w:rPr>
        <w:lastRenderedPageBreak/>
        <w:t>КВ-13 послужили базой для создания в дальнейшем опытных обр новых тяжелых танков "Объект 233" и "Объект 234". На вооружение и серийное производство танк КВ-13 не принимался (10703).</w:t>
      </w:r>
    </w:p>
    <w:p w14:paraId="7BE9A6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DAF44B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после того, как немцы применили против советских танков бронебойные кумулятивные снаряды работы по применению экранов на танке Т-34 были вновь начаты. Усиление бр защиты бортов корпуса и башни танка было разработано констру ским бюро под руководством В.В. Крылова на заводе № 112 в г. Горьком. В связи с тем, что число поражений танков Т-34 кумуляти снарядами было сравнительно небольшим, до конца войны на : промышленности установка экранов на танки не производилась. Силами ремонтных частей и подразделений из подручных материалов изготавливались решетки и сетчатые экраны для защиты танков от фауст-патронов, которые немцы применяли в конце войны. Как правило, доп нительная защита танка располагалась на удалении 250 - 600 мм от основной брони корпуса и башни (10703).</w:t>
      </w:r>
    </w:p>
    <w:p w14:paraId="57EC954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A27620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сентября 1942 г. на ЧКЗ начал серийно выпускаться КВ-1С (10703).</w:t>
      </w:r>
    </w:p>
    <w:p w14:paraId="43E8072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767128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сентября 1942 г. по август 1943 г. было организовано серийное производство танка КВ-8С, который был разработан в 1942 г. в СКБ-2 Челя</w:t>
      </w:r>
      <w:r w:rsidRPr="00722885">
        <w:rPr>
          <w:rFonts w:ascii="Times New Roman" w:hAnsi="Times New Roman"/>
          <w:color w:val="000000" w:themeColor="text1"/>
          <w:sz w:val="16"/>
          <w:szCs w:val="16"/>
        </w:rPr>
        <w:softHyphen/>
        <w:t>бинского Кировского завода под руководством Ж.Я. Котина на базе тя</w:t>
      </w:r>
      <w:r w:rsidRPr="00722885">
        <w:rPr>
          <w:rFonts w:ascii="Times New Roman" w:hAnsi="Times New Roman"/>
          <w:color w:val="000000" w:themeColor="text1"/>
          <w:sz w:val="16"/>
          <w:szCs w:val="16"/>
        </w:rPr>
        <w:softHyphen/>
        <w:t>желого танка КВ-1 С. Всего было выпущено 35 огнеметных тан</w:t>
      </w:r>
      <w:r w:rsidRPr="00722885">
        <w:rPr>
          <w:rFonts w:ascii="Times New Roman" w:hAnsi="Times New Roman"/>
          <w:color w:val="000000" w:themeColor="text1"/>
          <w:sz w:val="16"/>
          <w:szCs w:val="16"/>
        </w:rPr>
        <w:softHyphen/>
        <w:t>ков, которые применялись на фронтах Великой Отечественной войны. Огнеметный танк КВ-8С отличался от своего предшественника -танка КВ-8 установкой вооружения в новой литой башне с командир</w:t>
      </w:r>
      <w:r w:rsidRPr="00722885">
        <w:rPr>
          <w:rFonts w:ascii="Times New Roman" w:hAnsi="Times New Roman"/>
          <w:color w:val="000000" w:themeColor="text1"/>
          <w:sz w:val="16"/>
          <w:szCs w:val="16"/>
        </w:rPr>
        <w:softHyphen/>
        <w:t>ской башенкой и отсутствием спаренного с пушкой 7,62-мм пулемета ДТ. На танках выпуска 1942 г. в спаренной установке с 45-мм пушкой монтировался автоматический огнемет АТО-41. На 15 машинах этого года выпуска из-за отсутствия достаточного количества литых башен танков КВ-1С устанавливались башни танков КВ-1 обр. 1941 г. Масса этих машин достигала 43,2 т. На танках выпуска 1943 г. (выпущено 10 машин) был установлен автоматический огнемет АТО-42. Экипаж тан</w:t>
      </w:r>
      <w:r w:rsidRPr="00722885">
        <w:rPr>
          <w:rFonts w:ascii="Times New Roman" w:hAnsi="Times New Roman"/>
          <w:color w:val="000000" w:themeColor="text1"/>
          <w:sz w:val="16"/>
          <w:szCs w:val="16"/>
        </w:rPr>
        <w:softHyphen/>
        <w:t>ка состоял из четырех человек (10703).</w:t>
      </w:r>
    </w:p>
    <w:p w14:paraId="083E70B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E77657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w:t>
      </w:r>
      <w:r w:rsidRPr="00722885">
        <w:rPr>
          <w:rFonts w:ascii="Times New Roman" w:hAnsi="Times New Roman"/>
          <w:color w:val="000000" w:themeColor="text1"/>
          <w:sz w:val="16"/>
          <w:szCs w:val="16"/>
        </w:rPr>
        <w:softHyphen/>
        <w:t>тябре 1942 года по результатам испытаний опытного образца СГ-122 на базе танка Т-Ш были изготовлены два улучшен</w:t>
      </w:r>
      <w:r w:rsidRPr="00722885">
        <w:rPr>
          <w:rFonts w:ascii="Times New Roman" w:hAnsi="Times New Roman"/>
          <w:color w:val="000000" w:themeColor="text1"/>
          <w:sz w:val="16"/>
          <w:szCs w:val="16"/>
        </w:rPr>
        <w:softHyphen/>
        <w:t>ных образца машины, один из которых прошел испытания на Гороховецком АНИОПе в период с 5 по 19 декабря 1942 г. В связи с развертыва</w:t>
      </w:r>
      <w:r w:rsidRPr="00722885">
        <w:rPr>
          <w:rFonts w:ascii="Times New Roman" w:hAnsi="Times New Roman"/>
          <w:color w:val="000000" w:themeColor="text1"/>
          <w:sz w:val="16"/>
          <w:szCs w:val="16"/>
        </w:rPr>
        <w:softHyphen/>
        <w:t>нием серийного производства само</w:t>
      </w:r>
      <w:r w:rsidRPr="00722885">
        <w:rPr>
          <w:rFonts w:ascii="Times New Roman" w:hAnsi="Times New Roman"/>
          <w:color w:val="000000" w:themeColor="text1"/>
          <w:sz w:val="16"/>
          <w:szCs w:val="16"/>
        </w:rPr>
        <w:softHyphen/>
        <w:t>ходных установок СУ-122 на базе танка Т-34 и недостаточного количе</w:t>
      </w:r>
      <w:r w:rsidRPr="00722885">
        <w:rPr>
          <w:rFonts w:ascii="Times New Roman" w:hAnsi="Times New Roman"/>
          <w:color w:val="000000" w:themeColor="text1"/>
          <w:sz w:val="16"/>
          <w:szCs w:val="16"/>
        </w:rPr>
        <w:softHyphen/>
        <w:t>ства исправных трофейных танков (штурмовых орудий), а также запас</w:t>
      </w:r>
      <w:r w:rsidRPr="00722885">
        <w:rPr>
          <w:rFonts w:ascii="Times New Roman" w:hAnsi="Times New Roman"/>
          <w:color w:val="000000" w:themeColor="text1"/>
          <w:sz w:val="16"/>
          <w:szCs w:val="16"/>
        </w:rPr>
        <w:softHyphen/>
        <w:t>ных частей к ним, заводом № 592 в 1942 - 1943 гг. была выпущена не</w:t>
      </w:r>
      <w:r w:rsidRPr="00722885">
        <w:rPr>
          <w:rFonts w:ascii="Times New Roman" w:hAnsi="Times New Roman"/>
          <w:color w:val="000000" w:themeColor="text1"/>
          <w:sz w:val="16"/>
          <w:szCs w:val="16"/>
        </w:rPr>
        <w:softHyphen/>
        <w:t>большая партия самоходных установок (10703).</w:t>
      </w:r>
    </w:p>
    <w:p w14:paraId="257B59A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82BE9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сентября 1942 Т-70 выпускались с усиленной ходовой частью (в т.ч. уширенной гусеницей) (3848,83).</w:t>
      </w:r>
    </w:p>
    <w:p w14:paraId="179AB7E8" w14:textId="77777777" w:rsidR="00090C9B" w:rsidRPr="00722885" w:rsidRDefault="00090C9B" w:rsidP="00722885">
      <w:pPr>
        <w:pStyle w:val="Iauiue"/>
        <w:jc w:val="both"/>
        <w:rPr>
          <w:color w:val="000000" w:themeColor="text1"/>
          <w:sz w:val="16"/>
          <w:szCs w:val="16"/>
        </w:rPr>
      </w:pPr>
    </w:p>
    <w:p w14:paraId="258E05D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сентября 1942 г. завод № 38 и ГАЗ перешли на выпуск танков Т-70М с усовершенствованной ходовой частью. Боекомплект пушки;! был сокращен до 70 выстрелов. В результате работ по модернизации хо</w:t>
      </w:r>
      <w:r w:rsidRPr="00722885">
        <w:rPr>
          <w:rFonts w:ascii="Times New Roman" w:hAnsi="Times New Roman"/>
          <w:color w:val="000000" w:themeColor="text1"/>
          <w:sz w:val="16"/>
          <w:szCs w:val="16"/>
        </w:rPr>
        <w:softHyphen/>
        <w:t>довой части были: увеличены ширина и шаг траков (до 300 мм и 111 мм соответственно), ширина опорных катков (со 104 до 130 мм), а также $ диаметр торсионов подвески (с 34 до 36 мм) и зубчатых венцов ведущих колес. За счет увеличения шага трака, их число в одной гусенице было { сокращено с 91 до 80 шт. Кроме того, были усилены поддерживающие!! катки, остановочные тормоза (увеличена ширина тормозной ленты барабана с 90 до 124 мм) и бортовые редукторы. Масса танка возросла до 10 т, а запас хода по шоссе снизился до 250 км (10703).</w:t>
      </w:r>
    </w:p>
    <w:p w14:paraId="5483CD2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F62DB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г. началось формирование механизированных корпусов. По мере накопления боевого опыта и поступления достаточного количества техники, танковые армии получили более однородную организацию. Как правило, они состояли из двух танковых и одного механизированного корпуса. Танковые корпуса состояли из трех танковых и одной мотострелковой бригады и в 1944 г. насчитывали 207 средних танков (все Т-34) и 63 СУ. В состав танковых армий вводились также самоходные артиллерийские бригады. Теперь все танковые бригады стали однородного состава, то есть состояли только из танков Т-34. Организация танковой бригады по штатам 1943 г. (оставшаяся практически без изменений до конца войны). Танковая же армия (их стало шесть) к концу войны при численности более 50 тысяч человек, насчитывала 900 танков и СУ. Правда, не все они и далеко не всегда имели полный состав (3905).</w:t>
      </w:r>
    </w:p>
    <w:p w14:paraId="6E846D18" w14:textId="77777777" w:rsidR="00090C9B" w:rsidRPr="00722885" w:rsidRDefault="00090C9B" w:rsidP="00722885">
      <w:pPr>
        <w:pStyle w:val="Iauiue"/>
        <w:jc w:val="both"/>
        <w:rPr>
          <w:color w:val="000000" w:themeColor="text1"/>
          <w:sz w:val="16"/>
          <w:szCs w:val="16"/>
        </w:rPr>
      </w:pPr>
    </w:p>
    <w:p w14:paraId="695A14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маршал бронетанковых войск М.Е.Катуков был вызван в Ставку. Спросили мнение о танках. Ответил, что Т-34 полностью оправдывают свое назначение, а КВ неповоротливы и медлительны, преодолевают с трудом препятствие и ломают мосты. Нужна более сильная пушка (3828,30).</w:t>
      </w:r>
    </w:p>
    <w:p w14:paraId="3FC4CFE6" w14:textId="77777777" w:rsidR="00090C9B" w:rsidRPr="00722885" w:rsidRDefault="00090C9B" w:rsidP="00722885">
      <w:pPr>
        <w:pStyle w:val="Iauiue"/>
        <w:jc w:val="both"/>
        <w:rPr>
          <w:color w:val="000000" w:themeColor="text1"/>
          <w:sz w:val="16"/>
          <w:szCs w:val="16"/>
        </w:rPr>
      </w:pPr>
    </w:p>
    <w:p w14:paraId="7C6884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сен</w:t>
      </w:r>
      <w:r w:rsidRPr="00722885">
        <w:rPr>
          <w:rFonts w:ascii="Times New Roman" w:hAnsi="Times New Roman"/>
          <w:color w:val="000000" w:themeColor="text1"/>
          <w:sz w:val="16"/>
          <w:szCs w:val="16"/>
        </w:rPr>
        <w:softHyphen/>
        <w:t>тября 1942 г. на УЗТМ начался серийный выпуск средних танков. При освоении серийного производства танка Т-34 из-за расширения номен</w:t>
      </w:r>
      <w:r w:rsidRPr="00722885">
        <w:rPr>
          <w:rFonts w:ascii="Times New Roman" w:hAnsi="Times New Roman"/>
          <w:color w:val="000000" w:themeColor="text1"/>
          <w:sz w:val="16"/>
          <w:szCs w:val="16"/>
        </w:rPr>
        <w:softHyphen/>
        <w:t>клатуры литых деталей, на УЗТМ возникла проблема по увеличению программы выпуска литых башен. Литейные цеха не могли уже обеспе</w:t>
      </w:r>
      <w:r w:rsidRPr="00722885">
        <w:rPr>
          <w:rFonts w:ascii="Times New Roman" w:hAnsi="Times New Roman"/>
          <w:color w:val="000000" w:themeColor="text1"/>
          <w:sz w:val="16"/>
          <w:szCs w:val="16"/>
        </w:rPr>
        <w:softHyphen/>
        <w:t>чить программу выпуска танков. В соответствии с решением директора завода конструктором И.Ф. Вахрушевым и технологом В.С. Ананьевым была разработана конструкция штампованной башни. Для ее изготов</w:t>
      </w:r>
      <w:r w:rsidRPr="00722885">
        <w:rPr>
          <w:rFonts w:ascii="Times New Roman" w:hAnsi="Times New Roman"/>
          <w:color w:val="000000" w:themeColor="text1"/>
          <w:sz w:val="16"/>
          <w:szCs w:val="16"/>
        </w:rPr>
        <w:softHyphen/>
        <w:t>ления были задействованы свободные мощности десятитысячетонного пресса. С октября 1942 г. по март 1944 г. на УЗТМ было изготовлено 2670 штампованных башен. Причем качество этих башен, изготовлен</w:t>
      </w:r>
      <w:r w:rsidRPr="00722885">
        <w:rPr>
          <w:rFonts w:ascii="Times New Roman" w:hAnsi="Times New Roman"/>
          <w:color w:val="000000" w:themeColor="text1"/>
          <w:sz w:val="16"/>
          <w:szCs w:val="16"/>
        </w:rPr>
        <w:softHyphen/>
        <w:t>ных из брони толщиной 45 мм, не уступало качеству литых башен, имевших толщину 52 мм. По бронестойкости качество штампованных башен было даже несколько выше, чем литых (10703).</w:t>
      </w:r>
    </w:p>
    <w:p w14:paraId="50A9087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FB7A7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с задержкой из-за отсутствия необходимого оборудования, материалов и недостатка кадров первый образец гаубицы был испытан пробегом (480 км) и стрельбой (66 выстрелов) только Испытания подтвердили высокие боевые возможности СГ-122А, однако выявили и большое количество недостатков: недостаточная проходимость на мягком фунте и большая нагрузка на передние опорные катки, большая нагрузка на командира САУ, малый запас хода, невозможность ведения огня из личного оружия через бортовые амбразуры из-за неудачного их расположения, быстрая загазованность боевого отделения из-за отсутствия вентилятора. Заводу было отдано распоряжение об изготовлении нового варианта самоходной гаубицы с учетом устранения отмеченных недостатков. Рекомендовалось также провести разработку варианта боевой рубки для установки ее на танк Pz. Kpfw III, ходовых частей которого имелось больше, чем ходовых частей штурмовых орудий (12687).</w:t>
      </w:r>
    </w:p>
    <w:p w14:paraId="439C493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DB29AAD"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В сентябре 1942 года с идеей создания бронированных саней на базе Т-60 в ГАБТУ обратились представители НАТИ. К 16 сентября эскиз</w:t>
      </w:r>
      <w:r w:rsidRPr="00722885">
        <w:rPr>
          <w:rFonts w:eastAsia="Calibri"/>
          <w:color w:val="000000" w:themeColor="text1"/>
          <w:sz w:val="16"/>
          <w:szCs w:val="16"/>
        </w:rPr>
        <w:softHyphen/>
        <w:t>ный проект саней ДП-60 (десантный прицеп на базе танка Т-60), раз</w:t>
      </w:r>
      <w:r w:rsidRPr="00722885">
        <w:rPr>
          <w:rFonts w:eastAsia="Calibri"/>
          <w:color w:val="000000" w:themeColor="text1"/>
          <w:sz w:val="16"/>
          <w:szCs w:val="16"/>
        </w:rPr>
        <w:softHyphen/>
        <w:t>работанный инженерами НАТИ Л. Ф. Киселевым и В. Ф. Горановым, рассмотрели, и по нему было дано заключение:</w:t>
      </w:r>
    </w:p>
    <w:p w14:paraId="27E4BFCF"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«Представленный эскизный проект десантного прицепа в 3-х вариан</w:t>
      </w:r>
      <w:r w:rsidRPr="00722885">
        <w:rPr>
          <w:rFonts w:ascii="Times New Roman" w:hAnsi="Times New Roman"/>
          <w:color w:val="000000" w:themeColor="text1"/>
          <w:sz w:val="16"/>
          <w:szCs w:val="16"/>
        </w:rPr>
        <w:softHyphen/>
        <w:t>тах по идее сводится к использованию готового корпуса Т-60 для целей перевозки за танком живой силы и боеприпасов в зимних условиях.</w:t>
      </w:r>
    </w:p>
    <w:p w14:paraId="0D9F1D54"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Наибольшую ценность представляет вариант прицепа с башней и лы</w:t>
      </w:r>
      <w:r w:rsidRPr="00722885">
        <w:rPr>
          <w:rFonts w:ascii="Times New Roman" w:hAnsi="Times New Roman"/>
          <w:color w:val="000000" w:themeColor="text1"/>
          <w:sz w:val="16"/>
          <w:szCs w:val="16"/>
        </w:rPr>
        <w:softHyphen/>
        <w:t>жами, расположенными под днищем корпуса, который представляет сле</w:t>
      </w:r>
      <w:r w:rsidRPr="00722885">
        <w:rPr>
          <w:rFonts w:ascii="Times New Roman" w:hAnsi="Times New Roman"/>
          <w:color w:val="000000" w:themeColor="text1"/>
          <w:sz w:val="16"/>
          <w:szCs w:val="16"/>
        </w:rPr>
        <w:softHyphen/>
        <w:t>дующее.</w:t>
      </w:r>
    </w:p>
    <w:p w14:paraId="2C34CAAD"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Корпус Т-60 со следующими изменениями: вырезка отверстий под вход</w:t>
      </w:r>
      <w:r w:rsidRPr="00722885">
        <w:rPr>
          <w:rFonts w:ascii="Times New Roman" w:hAnsi="Times New Roman"/>
          <w:color w:val="000000" w:themeColor="text1"/>
          <w:sz w:val="16"/>
          <w:szCs w:val="16"/>
        </w:rPr>
        <w:softHyphen/>
        <w:t>ной люк в кормовом листе, снятие жалюзи и их заделка новым броневым листом, заделка отверстий под торсионы, ось ленивца и бортовую пере применение для различных целей, как-то:</w:t>
      </w:r>
    </w:p>
    <w:p w14:paraId="00501A4E" w14:textId="77777777" w:rsidR="00A50962" w:rsidRPr="00722885" w:rsidRDefault="00A50962" w:rsidP="00722885">
      <w:pPr>
        <w:tabs>
          <w:tab w:val="left" w:pos="57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переброска десантов;</w:t>
      </w:r>
    </w:p>
    <w:p w14:paraId="1C0DD271" w14:textId="77777777" w:rsidR="00A50962" w:rsidRPr="00722885" w:rsidRDefault="00A50962" w:rsidP="00722885">
      <w:pPr>
        <w:tabs>
          <w:tab w:val="left" w:pos="56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перевозка боеприпасов и горючего;</w:t>
      </w:r>
    </w:p>
    <w:p w14:paraId="594F040E" w14:textId="77777777" w:rsidR="00A50962" w:rsidRPr="00722885" w:rsidRDefault="00A50962" w:rsidP="00722885">
      <w:pPr>
        <w:tabs>
          <w:tab w:val="left" w:pos="55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вывоз раненых с поля боя;</w:t>
      </w:r>
    </w:p>
    <w:p w14:paraId="475B6E7E" w14:textId="77777777" w:rsidR="00A50962" w:rsidRPr="00722885" w:rsidRDefault="00A50962" w:rsidP="00722885">
      <w:pPr>
        <w:tabs>
          <w:tab w:val="left" w:pos="54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применение как легких бронированных пулеметных гнезд;</w:t>
      </w:r>
    </w:p>
    <w:p w14:paraId="19AAB6B6" w14:textId="77777777" w:rsidR="00A50962" w:rsidRPr="00722885" w:rsidRDefault="00A50962" w:rsidP="00722885">
      <w:pPr>
        <w:tabs>
          <w:tab w:val="left" w:pos="56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помощь саперам в подвозке ВВ.</w:t>
      </w:r>
    </w:p>
    <w:p w14:paraId="45301CEA"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обеспечения выполнения всех указанных условий при разработке технического проекта следует предусмотреть следующее:</w:t>
      </w:r>
    </w:p>
    <w:p w14:paraId="61D20AB5" w14:textId="77777777" w:rsidR="00A50962" w:rsidRPr="00722885" w:rsidRDefault="00A50962" w:rsidP="00722885">
      <w:pPr>
        <w:tabs>
          <w:tab w:val="left" w:pos="52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Возможность отцепки приспособлений из танка.</w:t>
      </w:r>
    </w:p>
    <w:p w14:paraId="51F1A974" w14:textId="77777777" w:rsidR="00A50962" w:rsidRPr="00722885" w:rsidRDefault="00A50962" w:rsidP="00722885">
      <w:pPr>
        <w:tabs>
          <w:tab w:val="left" w:pos="55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Размещение боекомплекта и личного оружия.</w:t>
      </w:r>
    </w:p>
    <w:p w14:paraId="3EFEAFF7" w14:textId="77777777" w:rsidR="00A50962" w:rsidRPr="00722885" w:rsidRDefault="00A50962" w:rsidP="00722885">
      <w:pPr>
        <w:tabs>
          <w:tab w:val="left" w:pos="57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Отверстия в башне и в корпусе для пользования пехотным периско</w:t>
      </w:r>
      <w:r w:rsidRPr="00722885">
        <w:rPr>
          <w:rFonts w:ascii="Times New Roman" w:hAnsi="Times New Roman"/>
          <w:color w:val="000000" w:themeColor="text1"/>
          <w:sz w:val="16"/>
          <w:szCs w:val="16"/>
        </w:rPr>
        <w:softHyphen/>
        <w:t>пом разведчика.</w:t>
      </w:r>
    </w:p>
    <w:p w14:paraId="4BB174FD" w14:textId="77777777" w:rsidR="00A50962" w:rsidRPr="00722885" w:rsidRDefault="00A50962" w:rsidP="00722885">
      <w:pPr>
        <w:tabs>
          <w:tab w:val="left" w:pos="56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Буксирного устройства на корме прицепа для составления поезда из прицепов.</w:t>
      </w:r>
    </w:p>
    <w:p w14:paraId="71E1FB14" w14:textId="77777777" w:rsidR="00A50962" w:rsidRPr="00722885" w:rsidRDefault="00A50962" w:rsidP="00722885">
      <w:pPr>
        <w:tabs>
          <w:tab w:val="left" w:pos="54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Установку в башне пулеметов ДТ или ДП» (17485).</w:t>
      </w:r>
    </w:p>
    <w:p w14:paraId="056A210F" w14:textId="77777777" w:rsidR="00A50962" w:rsidRPr="00722885" w:rsidRDefault="00A50962" w:rsidP="00722885">
      <w:pPr>
        <w:pStyle w:val="a3"/>
        <w:rPr>
          <w:color w:val="000000" w:themeColor="text1"/>
          <w:lang w:val="ru-RU"/>
        </w:rPr>
      </w:pPr>
    </w:p>
    <w:p w14:paraId="5382FA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сентябре 1942 г. началось производство ЗИС-42 и их первая партия поступила на Сталинградский фронт. Они использовались в дивизионной артиллерии и для перевозки военных грузов в условиях бездорожья и распутицы. За создание этой машины Г. А. Сонкин удостоен Государственной премии СССР. В период 1942-1944 гг. изготовлен 5931 автомобиль ЗИС-42 и ЗИС-42М. Весной 1942 г. недостаточное </w:t>
      </w:r>
      <w:r w:rsidRPr="00722885">
        <w:rPr>
          <w:rStyle w:val="a7"/>
          <w:rFonts w:ascii="Times New Roman" w:hAnsi="Times New Roman"/>
          <w:b w:val="0"/>
          <w:bCs w:val="0"/>
          <w:color w:val="000000" w:themeColor="text1"/>
          <w:sz w:val="16"/>
          <w:szCs w:val="16"/>
        </w:rPr>
        <w:t>количество артиллерийских тягачей</w:t>
      </w:r>
      <w:r w:rsidRPr="00722885">
        <w:rPr>
          <w:rFonts w:ascii="Times New Roman" w:hAnsi="Times New Roman"/>
          <w:color w:val="000000" w:themeColor="text1"/>
          <w:sz w:val="16"/>
          <w:szCs w:val="16"/>
        </w:rPr>
        <w:t xml:space="preserve"> в Красной Армии и отсутствие грузовых автомобилей повышенной проходимости заставили вернуться к производству полугусеничных грузовиков. Взяв за основу </w:t>
      </w:r>
      <w:r w:rsidRPr="00722885">
        <w:rPr>
          <w:rStyle w:val="a7"/>
          <w:rFonts w:ascii="Times New Roman" w:hAnsi="Times New Roman"/>
          <w:b w:val="0"/>
          <w:bCs w:val="0"/>
          <w:color w:val="000000" w:themeColor="text1"/>
          <w:sz w:val="16"/>
          <w:szCs w:val="16"/>
        </w:rPr>
        <w:t>довоенный образец</w:t>
      </w:r>
      <w:r w:rsidRPr="00722885">
        <w:rPr>
          <w:rFonts w:ascii="Times New Roman" w:hAnsi="Times New Roman"/>
          <w:color w:val="000000" w:themeColor="text1"/>
          <w:sz w:val="16"/>
          <w:szCs w:val="16"/>
        </w:rPr>
        <w:t xml:space="preserve"> ЗИС-22М, группа конструкторов во главе с Г. А. </w:t>
      </w:r>
      <w:r w:rsidRPr="00722885">
        <w:rPr>
          <w:rStyle w:val="af0"/>
          <w:rFonts w:ascii="Times New Roman" w:hAnsi="Times New Roman"/>
          <w:i w:val="0"/>
          <w:iCs w:val="0"/>
          <w:color w:val="000000" w:themeColor="text1"/>
          <w:sz w:val="16"/>
          <w:szCs w:val="16"/>
        </w:rPr>
        <w:t>Сонкиным разработала машину</w:t>
      </w:r>
      <w:r w:rsidRPr="00722885">
        <w:rPr>
          <w:rFonts w:ascii="Times New Roman" w:hAnsi="Times New Roman"/>
          <w:color w:val="000000" w:themeColor="text1"/>
          <w:sz w:val="16"/>
          <w:szCs w:val="16"/>
        </w:rPr>
        <w:t xml:space="preserve"> ЗИС-42М с резиновыми гусеницами, более широкими (415 мм), чем на ЗИС-22. Крутящий момент к ним передавался не с помощью трения, как прежде, а посредством зацепления, а сами ленты имели металлические башмаки. ЗИС-42М оснащался либо 73-</w:t>
      </w:r>
      <w:r w:rsidRPr="00722885">
        <w:rPr>
          <w:rStyle w:val="af0"/>
          <w:rFonts w:ascii="Times New Roman" w:hAnsi="Times New Roman"/>
          <w:i w:val="0"/>
          <w:iCs w:val="0"/>
          <w:color w:val="000000" w:themeColor="text1"/>
          <w:sz w:val="16"/>
          <w:szCs w:val="16"/>
        </w:rPr>
        <w:t>сильным двигателем</w:t>
      </w:r>
      <w:r w:rsidRPr="00722885">
        <w:rPr>
          <w:rFonts w:ascii="Times New Roman" w:hAnsi="Times New Roman"/>
          <w:color w:val="000000" w:themeColor="text1"/>
          <w:sz w:val="16"/>
          <w:szCs w:val="16"/>
        </w:rPr>
        <w:t xml:space="preserve"> ЗИС-5, либо 85-сильной его модификацией ЗИС-16. В отличие от базовой модели полугусеничный грузовик комплектовался защитной решеткой перед радиатором и фарами, щитками, предотвращавшими зары-вание в грунт клыков рамы, и увеличенными до 300 л бензобаками. </w:t>
      </w:r>
      <w:r w:rsidRPr="00722885">
        <w:rPr>
          <w:rStyle w:val="a7"/>
          <w:rFonts w:ascii="Times New Roman" w:hAnsi="Times New Roman"/>
          <w:b w:val="0"/>
          <w:bCs w:val="0"/>
          <w:color w:val="000000" w:themeColor="text1"/>
          <w:sz w:val="16"/>
          <w:szCs w:val="16"/>
        </w:rPr>
        <w:t xml:space="preserve">Последнее обстоятельство объясняется </w:t>
      </w:r>
      <w:r w:rsidRPr="00722885">
        <w:rPr>
          <w:rStyle w:val="a7"/>
          <w:rFonts w:ascii="Times New Roman" w:hAnsi="Times New Roman"/>
          <w:b w:val="0"/>
          <w:bCs w:val="0"/>
          <w:color w:val="000000" w:themeColor="text1"/>
          <w:sz w:val="16"/>
          <w:szCs w:val="16"/>
        </w:rPr>
        <w:lastRenderedPageBreak/>
        <w:t>тем</w:t>
      </w:r>
      <w:r w:rsidRPr="00722885">
        <w:rPr>
          <w:rFonts w:ascii="Times New Roman" w:hAnsi="Times New Roman"/>
          <w:color w:val="000000" w:themeColor="text1"/>
          <w:sz w:val="16"/>
          <w:szCs w:val="16"/>
        </w:rPr>
        <w:t xml:space="preserve">, что весьма тяжелый (масса в снаряженном состоянии 5250 кг) ЗИС-42М даже на шоссе расходовал 55-60 л топлива на 100 км пути! Наибольшая скорость же-45 км/ч. Габарит: длина - 6095 мм, ширина - 2360 мм, высота - 2950 мм; </w:t>
      </w:r>
      <w:r w:rsidRPr="00722885">
        <w:rPr>
          <w:rStyle w:val="af0"/>
          <w:rFonts w:ascii="Times New Roman" w:hAnsi="Times New Roman"/>
          <w:i w:val="0"/>
          <w:iCs w:val="0"/>
          <w:color w:val="000000" w:themeColor="text1"/>
          <w:sz w:val="16"/>
          <w:szCs w:val="16"/>
        </w:rPr>
        <w:t>дорожный просвет</w:t>
      </w:r>
      <w:r w:rsidRPr="00722885">
        <w:rPr>
          <w:rFonts w:ascii="Times New Roman" w:hAnsi="Times New Roman"/>
          <w:color w:val="000000" w:themeColor="text1"/>
          <w:sz w:val="16"/>
          <w:szCs w:val="16"/>
        </w:rPr>
        <w:t xml:space="preserve"> - 395 мм. Кроме ЗИС-42 в 1942 г. ЗИС создал другую конструкцию полугусеничного тягача. На машине АТ-14 были установлены два силовых агрегата (двигатели с коробками передач) ЗИС-16 и узлы гусеничного хода от </w:t>
      </w:r>
      <w:r w:rsidRPr="00722885">
        <w:rPr>
          <w:rStyle w:val="af0"/>
          <w:rFonts w:ascii="Times New Roman" w:hAnsi="Times New Roman"/>
          <w:i w:val="0"/>
          <w:iCs w:val="0"/>
          <w:color w:val="000000" w:themeColor="text1"/>
          <w:sz w:val="16"/>
          <w:szCs w:val="16"/>
        </w:rPr>
        <w:t>легкого танка</w:t>
      </w:r>
      <w:r w:rsidRPr="00722885">
        <w:rPr>
          <w:rFonts w:ascii="Times New Roman" w:hAnsi="Times New Roman"/>
          <w:color w:val="000000" w:themeColor="text1"/>
          <w:sz w:val="16"/>
          <w:szCs w:val="16"/>
        </w:rPr>
        <w:t xml:space="preserve"> Т-70. Тягачи получились громоздкими, и </w:t>
      </w:r>
      <w:r w:rsidRPr="00722885">
        <w:rPr>
          <w:rStyle w:val="a7"/>
          <w:rFonts w:ascii="Times New Roman" w:hAnsi="Times New Roman"/>
          <w:b w:val="0"/>
          <w:bCs w:val="0"/>
          <w:color w:val="000000" w:themeColor="text1"/>
          <w:sz w:val="16"/>
          <w:szCs w:val="16"/>
        </w:rPr>
        <w:t>завод изготовил</w:t>
      </w:r>
      <w:r w:rsidRPr="00722885">
        <w:rPr>
          <w:rFonts w:ascii="Times New Roman" w:hAnsi="Times New Roman"/>
          <w:color w:val="000000" w:themeColor="text1"/>
          <w:sz w:val="16"/>
          <w:szCs w:val="16"/>
        </w:rPr>
        <w:t xml:space="preserve"> их только десять экземпляров. Горьковский автомобильный завод после начала военных действий выпускал грузовики ГАЗ-ММ и ГАЗ-ААА, </w:t>
      </w:r>
      <w:r w:rsidRPr="00722885">
        <w:rPr>
          <w:rStyle w:val="af0"/>
          <w:rFonts w:ascii="Times New Roman" w:hAnsi="Times New Roman"/>
          <w:i w:val="0"/>
          <w:iCs w:val="0"/>
          <w:color w:val="000000" w:themeColor="text1"/>
          <w:sz w:val="16"/>
          <w:szCs w:val="16"/>
        </w:rPr>
        <w:t>санитарные машины</w:t>
      </w:r>
      <w:r w:rsidRPr="00722885">
        <w:rPr>
          <w:rFonts w:ascii="Times New Roman" w:hAnsi="Times New Roman"/>
          <w:color w:val="000000" w:themeColor="text1"/>
          <w:sz w:val="16"/>
          <w:szCs w:val="16"/>
        </w:rPr>
        <w:t xml:space="preserve"> ГАЗ-55, полугусеничные автомобили ГАЗ-60, штабные автобусы ГАЗ-05-193, а также и легковые машины ГАЗ-М1, ГАЗ-61, а также джипы ГАЗ-64 (12098).</w:t>
      </w:r>
    </w:p>
    <w:p w14:paraId="62CD96A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419CFA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были выполнены первые проработки на макете машины БА-64 по размещению десантников в корпусе бронеавтомобиля. С этой целью с машины была демонтирована башня с вооруже</w:t>
      </w:r>
      <w:r w:rsidRPr="00722885">
        <w:rPr>
          <w:rFonts w:ascii="Times New Roman" w:hAnsi="Times New Roman"/>
          <w:color w:val="000000" w:themeColor="text1"/>
          <w:sz w:val="16"/>
          <w:szCs w:val="16"/>
        </w:rPr>
        <w:softHyphen/>
        <w:t>нием, удалена крыша над боевым отделением, кроме участка с воздухо</w:t>
      </w:r>
      <w:r w:rsidRPr="00722885">
        <w:rPr>
          <w:rFonts w:ascii="Times New Roman" w:hAnsi="Times New Roman"/>
          <w:color w:val="000000" w:themeColor="text1"/>
          <w:sz w:val="16"/>
          <w:szCs w:val="16"/>
        </w:rPr>
        <w:softHyphen/>
        <w:t>заборником над водителем. В передней части крыши корпуса предпола</w:t>
      </w:r>
      <w:r w:rsidRPr="00722885">
        <w:rPr>
          <w:rFonts w:ascii="Times New Roman" w:hAnsi="Times New Roman"/>
          <w:color w:val="000000" w:themeColor="text1"/>
          <w:sz w:val="16"/>
          <w:szCs w:val="16"/>
        </w:rPr>
        <w:softHyphen/>
        <w:t>галась установка 7,62-мм пулемета ДТ на открытой турели. Топливный бак из кормовой части был перенесен к левому борту под продольное трехместное сидение, а в корме была сделана входная дверь. Емкость топливного бака была уменьшена до 55 л. Дальнейшие работы над дан</w:t>
      </w:r>
      <w:r w:rsidRPr="00722885">
        <w:rPr>
          <w:rFonts w:ascii="Times New Roman" w:hAnsi="Times New Roman"/>
          <w:color w:val="000000" w:themeColor="text1"/>
          <w:sz w:val="16"/>
          <w:szCs w:val="16"/>
        </w:rPr>
        <w:softHyphen/>
        <w:t>ным образном были прекращены до весны 1943 г. (10703).</w:t>
      </w:r>
    </w:p>
    <w:p w14:paraId="6D3FEF9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8D851D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на инженерном полигоне в Нахабино была организована первая выставка инженерной техники, проводимая ГВИУ Красной Армии, которая являлась не только пропагандой выпускаемых военных средств и боевой техники, но и создавали атмосферу взаимопонимания и сотрудничества между заказчиком и поставщиком. Демонстрация противотанковых мин проводилась в действии на трофейном танке; понтонных парков — на паромных и мостовых переправах на плаву, с загрузкой артиллерийскими системами или автомашинами. (РГАЭ. Ф. 215. Оп. 1. Д. 36. Л. 11—12). 25 РГАЭ. Ф. 215. Оп. 1. Д. 36. Л. 8) (19730).</w:t>
      </w:r>
    </w:p>
    <w:p w14:paraId="2DC8B665" w14:textId="77777777" w:rsidR="00C306A4" w:rsidRPr="00722885" w:rsidRDefault="00C306A4" w:rsidP="00722885">
      <w:pPr>
        <w:spacing w:after="0" w:line="240" w:lineRule="auto"/>
        <w:jc w:val="both"/>
        <w:rPr>
          <w:rFonts w:ascii="Times New Roman" w:hAnsi="Times New Roman"/>
          <w:color w:val="000000" w:themeColor="text1"/>
          <w:sz w:val="16"/>
          <w:szCs w:val="16"/>
        </w:rPr>
      </w:pPr>
    </w:p>
    <w:p w14:paraId="0809FB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сентябре 1942 ГКО утвердил образец нового </w:t>
      </w:r>
      <w:r w:rsidRPr="00722885">
        <w:rPr>
          <w:rStyle w:val="af0"/>
          <w:rFonts w:ascii="Times New Roman" w:hAnsi="Times New Roman"/>
          <w:i w:val="0"/>
          <w:iCs w:val="0"/>
          <w:color w:val="000000" w:themeColor="text1"/>
          <w:sz w:val="16"/>
          <w:szCs w:val="16"/>
        </w:rPr>
        <w:t>легкового автомобиля</w:t>
      </w:r>
      <w:r w:rsidRPr="00722885">
        <w:rPr>
          <w:rFonts w:ascii="Times New Roman" w:hAnsi="Times New Roman"/>
          <w:color w:val="000000" w:themeColor="text1"/>
          <w:sz w:val="16"/>
          <w:szCs w:val="16"/>
        </w:rPr>
        <w:t xml:space="preserve">, который по шасси был идентичен американскому "Паккарду-180" 1942 г. Эта представительская машина, первый опытный образец которой отправился на испытания 11 августа 1945 г., </w:t>
      </w:r>
      <w:r w:rsidRPr="00722885">
        <w:rPr>
          <w:rStyle w:val="a7"/>
          <w:rFonts w:ascii="Times New Roman" w:hAnsi="Times New Roman"/>
          <w:b w:val="0"/>
          <w:bCs w:val="0"/>
          <w:color w:val="000000" w:themeColor="text1"/>
          <w:sz w:val="16"/>
          <w:szCs w:val="16"/>
        </w:rPr>
        <w:t>начала выпускаться мелкими</w:t>
      </w:r>
      <w:r w:rsidRPr="00722885">
        <w:rPr>
          <w:rFonts w:ascii="Times New Roman" w:hAnsi="Times New Roman"/>
          <w:color w:val="000000" w:themeColor="text1"/>
          <w:sz w:val="16"/>
          <w:szCs w:val="16"/>
        </w:rPr>
        <w:t xml:space="preserve"> сериями с июля 1946 г. (12098).</w:t>
      </w:r>
    </w:p>
    <w:p w14:paraId="0210F9F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0529C5F" w14:textId="77777777" w:rsidR="00391FC0" w:rsidRPr="00722885" w:rsidRDefault="00391FC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Тюменским заводом были сданы первые 30 мотоциклов. В последующие три месяца изготовили 102, 5 и 50 мотоциклов соответственно. Вопрос числа изготовленных мотоциклов и запчастей к ним также неоднозначен, хотя техника и принималась военпредом. Статистические документы завода из архивов Тюменской области и Наркомата в Москве содержат противоречия. Например, в одном из источников указано, что в 1942 г. завод вновь изготовил четыре мотоцикла М-72, а в другом, что мотоциклов этой марки вообще не изготавливал, и на самом деле мотоциклы прошли капремонт. Впрочем, мотоцикл новой марки завод все-таки сумел изготовить. Это были опытные образцы уникального ТМЗ-53 с приводом на колесо коляски и колесами с широкопрофильными шинами. В ноябре 1943 г. решением ГКО деятельность ТМЗ была прекращена. Оборудование и кадры были направлены на укомплектование Горьковского мотоциклетного завода. Существенная часть архивов поступила в областное архивное управление НКВД и позднее стала доступна исследователям в составе фондов Государтвенного архива Тюменской области. Мотоциклы ТИЗ разных лет выпуска сохранились в бывшем СССР у ряда коллекционеров. Скудость информации (сложно найти инструкции, технические описания и чертежную документацию) способствует тому, что далеко не все из них на ходу и в приемлемом состоянии. При сборке АМ-600 в Тюмени активно использовались комплектующие от М-72, наиболее заметными были седла и иногда даже коляски. Имея в виду освоение перспективного ТИЗ-50 и с учетом использования комплектующих от М-72, в ряде документов мотоцикл именовали АМ-650 (19776).</w:t>
      </w:r>
    </w:p>
    <w:p w14:paraId="5C45DD53" w14:textId="77777777" w:rsidR="00391FC0" w:rsidRPr="00722885" w:rsidRDefault="00391FC0" w:rsidP="00722885">
      <w:pPr>
        <w:spacing w:after="0" w:line="240" w:lineRule="auto"/>
        <w:jc w:val="both"/>
        <w:rPr>
          <w:rFonts w:ascii="Times New Roman" w:hAnsi="Times New Roman"/>
          <w:color w:val="000000" w:themeColor="text1"/>
          <w:sz w:val="16"/>
          <w:szCs w:val="16"/>
        </w:rPr>
      </w:pPr>
    </w:p>
    <w:p w14:paraId="7F48B0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Томский государственный химический завод «Линоксин» отдела местной промышленности Томского горсовета был преобразован в ГС завод № 673 НКЭП (ГС завод № 673 НКЭП, МЭП, МЭСЭП, МЭТП, Томский государственный химический завод «Линоксин» /г. Томск/), с 1946 г.- в ведении МЭП, с 1953 г.- в ведении МЭСЭП, с 1954 г.- МЭТП.</w:t>
      </w:r>
    </w:p>
    <w:p w14:paraId="22B3F8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лакокрасочные изделия для электропромышленности.</w:t>
      </w:r>
    </w:p>
    <w:p w14:paraId="6D501C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15.11.1955 г. завод № 673 влит в качестве цеха в состав Томского кабельного завода «Томкабель» и ликвидирован как самостоятельное предприятие (11982).</w:t>
      </w:r>
    </w:p>
    <w:p w14:paraId="356D3B4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A875713"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было принято специальное постановление Государственного Комитета Обороны (ГКО) о переводе специалистов-телевизионщиков в Москву. Так А.А Расплетин, Е.Е. Фридберг, В.И. Сушкевич, Н.И. Оганов, Б.И. Круссер, А.С. Бучинский, Турлевич, Г.Г. Чашников стали москвичами.</w:t>
      </w:r>
    </w:p>
    <w:p w14:paraId="752456A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ОКБ Всесоюзного энергетического института (ВЭИ) была создана специальная лаборатория. А.А. Расплетина назначили научным руководителем группы по созданию телевизионной системы наведения истребителей на цель, получившей шифр РД-1 [3]. Уже к середине октября Александр Андреевич сконструировал телевизионный приёмник. Из Ленинграда перевезли портативную передающую телевизионную установку, созданную ещё до войны А.А. Железовым. Необходимо было собрать воедино макеты аппаратуры и начать испытания. В конце октября лабораторные образцы аппаратуры сосредоточили в лётно-испытательном институте в Кратово. Приёмник А.А. Расплетина установили на самолете «Аэрокобра». Предстояло снять все необходимые для дальнейшей работы технические характеристики, испытать приёмник в различных режимах полета. ТВ-передатчик установили на базе в Сустово (теперь Солнцево).</w:t>
      </w:r>
    </w:p>
    <w:p w14:paraId="0E1D544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Управление истребительной авиации ПВО, весьма заинтересованное в создании телевизионной установки для наведения истребителей на цель, ещё в июле 1942 г. откомандировало в ОКБ ВЭИ из 72-го отдельного радиобатальона ПВО Ленинградского фронта Э.И. Голованевского, И.Ф. Песьяцкого, А.А. Железова и В.А. Подгорного для подготовки и проведения испытаний новой аппаратуры.</w:t>
      </w:r>
    </w:p>
    <w:p w14:paraId="1638161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под Москвой продолжались. Полученные данные говорили, что аппаратура действует устойчиво при неплохих эксплуатационных параметрах. Надо было всерьёз приступать к её серийному выпуску. Но к этому времени и в Управлении истребительной авиации ПВО, и в наркомате, и даже в дирекции ОКБ возникли различные точки зрения на масштаб работ («Порой исключающие друг друга», – как замечал Расплетин). Конечно, такой разнобой тормозил дело, вызывал нервозность.</w:t>
      </w:r>
    </w:p>
    <w:p w14:paraId="00B55851"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тем не менее, под руководством А.А. Расплетина испытания продолжались.</w:t>
      </w:r>
    </w:p>
    <w:p w14:paraId="4809BF9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Вскоре в ОКБ поступил заказ: изготовить комплект аппаратуры РД-1 для проверки его тактико-технических характеристик во фронтовых условиях.</w:t>
      </w:r>
    </w:p>
    <w:p w14:paraId="3908DFF9"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руководство осторожничало: пускай, мол, сперва выше решат вопрос о развитии этой тематики, а потом будем брать заказы. А.А. Расплетин категорически возражал против такого подхода. И в конце концов настоял на своём.</w:t>
      </w:r>
    </w:p>
    <w:p w14:paraId="24853504"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этому времени в ОКБ ВЭИ произошли серьёзные организационные изменения.</w:t>
      </w:r>
    </w:p>
    <w:p w14:paraId="254FA0F6"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1943 г. группа телевизионщиков из ОКБ ВЭИ была переведена в новый радиолокационный институт – Всесоюзный НИИ-108 [4]. Этот институт был создан 4 июля 1943 г. по постановлению ГКО для решения научно-технических вопросов с целью дальнейшего развития в стране радиолокационной техники (18591).</w:t>
      </w:r>
    </w:p>
    <w:p w14:paraId="7ADED448" w14:textId="77777777" w:rsidR="00C306A4" w:rsidRPr="00722885" w:rsidRDefault="00C306A4" w:rsidP="00722885">
      <w:pPr>
        <w:spacing w:after="0" w:line="240" w:lineRule="auto"/>
        <w:jc w:val="both"/>
        <w:rPr>
          <w:rFonts w:ascii="Times New Roman" w:hAnsi="Times New Roman"/>
          <w:color w:val="000000" w:themeColor="text1"/>
          <w:sz w:val="16"/>
          <w:szCs w:val="16"/>
        </w:rPr>
      </w:pPr>
    </w:p>
    <w:p w14:paraId="5182C2F8" w14:textId="77777777" w:rsidR="00090C9B" w:rsidRPr="00722885" w:rsidRDefault="00090C9B" w:rsidP="00722885">
      <w:pPr>
        <w:tabs>
          <w:tab w:val="left" w:pos="26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Наркомсудпром принял от Наркомлеса Союза ССР Красноярскую судоверфь и переименовал ее в завод №399. До начала войны верфь выпускала в год до 50 единиц мелких речных буксирных и пассажирских катеров. В III-м квартале 1943 года производственные площади и часть оборудования были переданы Наркомлесом эвакуированному в Красноярск Онежскому заводу, а верфь передана на площадку законсервированного с 1936 г. строительства новой верфи. Основной контингент квалифицированных рабочих был взят в армию. Никаких мер по окончанию строительства новой верфи принято не было.</w:t>
      </w:r>
    </w:p>
    <w:p w14:paraId="207E84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Решениями Государственного комитета обороны от 13/VIII-1941 года и 4/XII-1941 года на верфь было возложено строительство морских катеров- охотников типа «МО-IV» в количестве 15 единиц и 10 единиц катеров- тральщиков типа «МСВ-38-Б». Из них подлежало сдачи в 3-м квартале 1942 года «МО-IV» – 4 един[иц] и «МСВ-38-Б» – 6 [единиц], в IV-м квартале 1942 г. «МО-IV» – 8 един[иц] и «МСВ-38-Б» – 4 [единицы].</w:t>
      </w:r>
    </w:p>
    <w:p w14:paraId="30BA7F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Обеспеченность программы 1942 года производственными мощностями представлялась в следующем виде: </w:t>
      </w:r>
    </w:p>
    <w:p w14:paraId="7DBDEE77" w14:textId="77777777" w:rsidR="00090C9B" w:rsidRPr="00722885" w:rsidRDefault="00090C9B" w:rsidP="00722885">
      <w:pPr>
        <w:tabs>
          <w:tab w:val="left" w:pos="1788"/>
          <w:tab w:val="left" w:pos="26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Производственные площади:</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3212"/>
        <w:gridCol w:w="3212"/>
        <w:gridCol w:w="3163"/>
      </w:tblGrid>
      <w:tr w:rsidR="009B487A" w:rsidRPr="00722885" w14:paraId="3B2272AB" w14:textId="77777777" w:rsidTr="00CC5360">
        <w:tc>
          <w:tcPr>
            <w:tcW w:w="3212" w:type="dxa"/>
            <w:tcBorders>
              <w:top w:val="single" w:sz="12" w:space="0" w:color="auto"/>
            </w:tcBorders>
          </w:tcPr>
          <w:p w14:paraId="7A723BEB"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Наименование цехов</w:t>
            </w:r>
          </w:p>
        </w:tc>
        <w:tc>
          <w:tcPr>
            <w:tcW w:w="3212" w:type="dxa"/>
            <w:tcBorders>
              <w:top w:val="single" w:sz="12" w:space="0" w:color="auto"/>
            </w:tcBorders>
          </w:tcPr>
          <w:p w14:paraId="0B71ADC5"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Потребная площадь</w:t>
            </w:r>
          </w:p>
        </w:tc>
        <w:tc>
          <w:tcPr>
            <w:tcW w:w="3163" w:type="dxa"/>
            <w:tcBorders>
              <w:top w:val="single" w:sz="12" w:space="0" w:color="auto"/>
            </w:tcBorders>
          </w:tcPr>
          <w:p w14:paraId="23241ABC"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Наличие</w:t>
            </w:r>
          </w:p>
        </w:tc>
      </w:tr>
      <w:tr w:rsidR="009B487A" w:rsidRPr="00722885" w14:paraId="3FD10E56" w14:textId="77777777" w:rsidTr="00CC5360">
        <w:tc>
          <w:tcPr>
            <w:tcW w:w="3212" w:type="dxa"/>
          </w:tcPr>
          <w:p w14:paraId="3395D1D4"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1. Катеросборочный</w:t>
            </w:r>
          </w:p>
        </w:tc>
        <w:tc>
          <w:tcPr>
            <w:tcW w:w="3212" w:type="dxa"/>
          </w:tcPr>
          <w:p w14:paraId="159F8557"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2800 кв. М</w:t>
            </w:r>
          </w:p>
        </w:tc>
        <w:tc>
          <w:tcPr>
            <w:tcW w:w="3163" w:type="dxa"/>
          </w:tcPr>
          <w:p w14:paraId="23CB0D7C"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1130 кв. м</w:t>
            </w:r>
          </w:p>
        </w:tc>
      </w:tr>
      <w:tr w:rsidR="009B487A" w:rsidRPr="00722885" w14:paraId="42C35332" w14:textId="77777777" w:rsidTr="00CC5360">
        <w:tc>
          <w:tcPr>
            <w:tcW w:w="3212" w:type="dxa"/>
          </w:tcPr>
          <w:p w14:paraId="521FCD3C"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2. Кузнечно-пресервый</w:t>
            </w:r>
          </w:p>
        </w:tc>
        <w:tc>
          <w:tcPr>
            <w:tcW w:w="3212" w:type="dxa"/>
          </w:tcPr>
          <w:p w14:paraId="29116864"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740</w:t>
            </w:r>
          </w:p>
        </w:tc>
        <w:tc>
          <w:tcPr>
            <w:tcW w:w="3163" w:type="dxa"/>
          </w:tcPr>
          <w:p w14:paraId="1BDE85E5"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Нет</w:t>
            </w:r>
          </w:p>
        </w:tc>
      </w:tr>
      <w:tr w:rsidR="009B487A" w:rsidRPr="00722885" w14:paraId="71694920" w14:textId="77777777" w:rsidTr="00CC5360">
        <w:tc>
          <w:tcPr>
            <w:tcW w:w="3212" w:type="dxa"/>
          </w:tcPr>
          <w:p w14:paraId="5A5B770F"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3. Чугунно-литейный</w:t>
            </w:r>
          </w:p>
        </w:tc>
        <w:tc>
          <w:tcPr>
            <w:tcW w:w="3212" w:type="dxa"/>
          </w:tcPr>
          <w:p w14:paraId="01F368BF"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400</w:t>
            </w:r>
          </w:p>
        </w:tc>
        <w:tc>
          <w:tcPr>
            <w:tcW w:w="3163" w:type="dxa"/>
          </w:tcPr>
          <w:p w14:paraId="7206293F"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Нет</w:t>
            </w:r>
          </w:p>
        </w:tc>
      </w:tr>
      <w:tr w:rsidR="009B487A" w:rsidRPr="00722885" w14:paraId="7ABF15D9" w14:textId="77777777" w:rsidTr="00CC5360">
        <w:tc>
          <w:tcPr>
            <w:tcW w:w="3212" w:type="dxa"/>
          </w:tcPr>
          <w:p w14:paraId="6F274F7A"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4. Трубомедницкий</w:t>
            </w:r>
          </w:p>
        </w:tc>
        <w:tc>
          <w:tcPr>
            <w:tcW w:w="3212" w:type="dxa"/>
          </w:tcPr>
          <w:p w14:paraId="5220E917"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400</w:t>
            </w:r>
          </w:p>
        </w:tc>
        <w:tc>
          <w:tcPr>
            <w:tcW w:w="3163" w:type="dxa"/>
          </w:tcPr>
          <w:p w14:paraId="539AF53D"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Нет</w:t>
            </w:r>
          </w:p>
        </w:tc>
      </w:tr>
      <w:tr w:rsidR="009B487A" w:rsidRPr="00722885" w14:paraId="62C27F21" w14:textId="77777777" w:rsidTr="00CC5360">
        <w:tc>
          <w:tcPr>
            <w:tcW w:w="3212" w:type="dxa"/>
          </w:tcPr>
          <w:p w14:paraId="0FB62D3B"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5. Механический</w:t>
            </w:r>
          </w:p>
        </w:tc>
        <w:tc>
          <w:tcPr>
            <w:tcW w:w="3212" w:type="dxa"/>
          </w:tcPr>
          <w:p w14:paraId="5AF1EC9A"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740</w:t>
            </w:r>
          </w:p>
        </w:tc>
        <w:tc>
          <w:tcPr>
            <w:tcW w:w="3163" w:type="dxa"/>
          </w:tcPr>
          <w:p w14:paraId="0E0EA451"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740</w:t>
            </w:r>
          </w:p>
        </w:tc>
      </w:tr>
      <w:tr w:rsidR="009B487A" w:rsidRPr="00722885" w14:paraId="7013AC10" w14:textId="77777777" w:rsidTr="00CC5360">
        <w:tc>
          <w:tcPr>
            <w:tcW w:w="3212" w:type="dxa"/>
            <w:tcBorders>
              <w:bottom w:val="single" w:sz="12" w:space="0" w:color="auto"/>
            </w:tcBorders>
          </w:tcPr>
          <w:p w14:paraId="5A940EAC"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6. Деревообделочный</w:t>
            </w:r>
          </w:p>
        </w:tc>
        <w:tc>
          <w:tcPr>
            <w:tcW w:w="3212" w:type="dxa"/>
            <w:tcBorders>
              <w:bottom w:val="single" w:sz="12" w:space="0" w:color="auto"/>
            </w:tcBorders>
          </w:tcPr>
          <w:p w14:paraId="7D03B5B8"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600</w:t>
            </w:r>
          </w:p>
        </w:tc>
        <w:tc>
          <w:tcPr>
            <w:tcW w:w="3163" w:type="dxa"/>
            <w:tcBorders>
              <w:bottom w:val="single" w:sz="12" w:space="0" w:color="auto"/>
            </w:tcBorders>
          </w:tcPr>
          <w:p w14:paraId="125F60DD"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 xml:space="preserve"> 1200</w:t>
            </w:r>
          </w:p>
        </w:tc>
      </w:tr>
    </w:tbl>
    <w:p w14:paraId="3DBCE157" w14:textId="77777777" w:rsidR="00090C9B" w:rsidRPr="00722885" w:rsidRDefault="00090C9B" w:rsidP="00722885">
      <w:pPr>
        <w:tabs>
          <w:tab w:val="left" w:pos="26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Оборудование</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4260"/>
        <w:gridCol w:w="2790"/>
        <w:gridCol w:w="2589"/>
      </w:tblGrid>
      <w:tr w:rsidR="009B487A" w:rsidRPr="00722885" w14:paraId="73E97E0C" w14:textId="77777777" w:rsidTr="00CC5360">
        <w:tc>
          <w:tcPr>
            <w:tcW w:w="4260" w:type="dxa"/>
            <w:tcBorders>
              <w:top w:val="single" w:sz="12" w:space="0" w:color="auto"/>
            </w:tcBorders>
          </w:tcPr>
          <w:p w14:paraId="121DA671"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Группа оборудования</w:t>
            </w:r>
          </w:p>
        </w:tc>
        <w:tc>
          <w:tcPr>
            <w:tcW w:w="2790" w:type="dxa"/>
            <w:tcBorders>
              <w:top w:val="single" w:sz="12" w:space="0" w:color="auto"/>
            </w:tcBorders>
          </w:tcPr>
          <w:p w14:paraId="1686FCBE"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Потреб.</w:t>
            </w:r>
          </w:p>
        </w:tc>
        <w:tc>
          <w:tcPr>
            <w:tcW w:w="2589" w:type="dxa"/>
            <w:tcBorders>
              <w:top w:val="single" w:sz="12" w:space="0" w:color="auto"/>
            </w:tcBorders>
          </w:tcPr>
          <w:p w14:paraId="539AC7A2"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Наличие</w:t>
            </w:r>
          </w:p>
        </w:tc>
      </w:tr>
      <w:tr w:rsidR="009B487A" w:rsidRPr="00722885" w14:paraId="590DF87F" w14:textId="77777777" w:rsidTr="00CC5360">
        <w:tc>
          <w:tcPr>
            <w:tcW w:w="4260" w:type="dxa"/>
          </w:tcPr>
          <w:p w14:paraId="5F957749"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Металлорежущие станки</w:t>
            </w:r>
          </w:p>
        </w:tc>
        <w:tc>
          <w:tcPr>
            <w:tcW w:w="2790" w:type="dxa"/>
          </w:tcPr>
          <w:p w14:paraId="040E1F23"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55</w:t>
            </w:r>
          </w:p>
        </w:tc>
        <w:tc>
          <w:tcPr>
            <w:tcW w:w="2589" w:type="dxa"/>
          </w:tcPr>
          <w:p w14:paraId="2CCD3F9B"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22</w:t>
            </w:r>
          </w:p>
        </w:tc>
      </w:tr>
      <w:tr w:rsidR="009B487A" w:rsidRPr="00722885" w14:paraId="723A8383" w14:textId="77777777" w:rsidTr="00CC5360">
        <w:tc>
          <w:tcPr>
            <w:tcW w:w="4260" w:type="dxa"/>
          </w:tcPr>
          <w:p w14:paraId="0802FC27"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Деревообделочные станки</w:t>
            </w:r>
          </w:p>
        </w:tc>
        <w:tc>
          <w:tcPr>
            <w:tcW w:w="2790" w:type="dxa"/>
          </w:tcPr>
          <w:p w14:paraId="759019BD"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15</w:t>
            </w:r>
          </w:p>
        </w:tc>
        <w:tc>
          <w:tcPr>
            <w:tcW w:w="2589" w:type="dxa"/>
          </w:tcPr>
          <w:p w14:paraId="343862FE"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12</w:t>
            </w:r>
          </w:p>
        </w:tc>
      </w:tr>
      <w:tr w:rsidR="009B487A" w:rsidRPr="00722885" w14:paraId="5EE7EE34" w14:textId="77777777" w:rsidTr="00CC5360">
        <w:tc>
          <w:tcPr>
            <w:tcW w:w="4260" w:type="dxa"/>
          </w:tcPr>
          <w:p w14:paraId="49D41F3E"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 xml:space="preserve">Кузнечно-прессовое оборудование </w:t>
            </w:r>
          </w:p>
        </w:tc>
        <w:tc>
          <w:tcPr>
            <w:tcW w:w="2790" w:type="dxa"/>
          </w:tcPr>
          <w:p w14:paraId="69BF61AA"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8</w:t>
            </w:r>
          </w:p>
        </w:tc>
        <w:tc>
          <w:tcPr>
            <w:tcW w:w="2589" w:type="dxa"/>
          </w:tcPr>
          <w:p w14:paraId="6E12B649"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4</w:t>
            </w:r>
          </w:p>
        </w:tc>
      </w:tr>
      <w:tr w:rsidR="009B487A" w:rsidRPr="00722885" w14:paraId="4BF40BCB" w14:textId="77777777" w:rsidTr="00CC5360">
        <w:tc>
          <w:tcPr>
            <w:tcW w:w="4260" w:type="dxa"/>
          </w:tcPr>
          <w:p w14:paraId="02AA1916"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lastRenderedPageBreak/>
              <w:t>Вагранка</w:t>
            </w:r>
          </w:p>
        </w:tc>
        <w:tc>
          <w:tcPr>
            <w:tcW w:w="2790" w:type="dxa"/>
          </w:tcPr>
          <w:p w14:paraId="52910C73"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1</w:t>
            </w:r>
          </w:p>
        </w:tc>
        <w:tc>
          <w:tcPr>
            <w:tcW w:w="2589" w:type="dxa"/>
          </w:tcPr>
          <w:p w14:paraId="21977F1C"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Нет</w:t>
            </w:r>
          </w:p>
        </w:tc>
      </w:tr>
      <w:tr w:rsidR="009B487A" w:rsidRPr="00722885" w14:paraId="60305DAA" w14:textId="77777777" w:rsidTr="00CC5360">
        <w:tc>
          <w:tcPr>
            <w:tcW w:w="4260" w:type="dxa"/>
            <w:tcBorders>
              <w:bottom w:val="single" w:sz="12" w:space="0" w:color="auto"/>
            </w:tcBorders>
          </w:tcPr>
          <w:p w14:paraId="6C75548B"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Печь для цветного литья</w:t>
            </w:r>
          </w:p>
        </w:tc>
        <w:tc>
          <w:tcPr>
            <w:tcW w:w="2790" w:type="dxa"/>
            <w:tcBorders>
              <w:bottom w:val="single" w:sz="12" w:space="0" w:color="auto"/>
            </w:tcBorders>
          </w:tcPr>
          <w:p w14:paraId="6C39449E"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1</w:t>
            </w:r>
          </w:p>
        </w:tc>
        <w:tc>
          <w:tcPr>
            <w:tcW w:w="2589" w:type="dxa"/>
            <w:tcBorders>
              <w:bottom w:val="single" w:sz="12" w:space="0" w:color="auto"/>
            </w:tcBorders>
          </w:tcPr>
          <w:p w14:paraId="6C0A3F6E" w14:textId="77777777" w:rsidR="00090C9B" w:rsidRPr="00722885" w:rsidRDefault="00090C9B" w:rsidP="00722885">
            <w:pPr>
              <w:pStyle w:val="affff6"/>
              <w:jc w:val="both"/>
              <w:rPr>
                <w:rFonts w:ascii="Times New Roman" w:hAnsi="Times New Roman" w:cs="Times New Roman"/>
                <w:color w:val="000000" w:themeColor="text1"/>
                <w:kern w:val="0"/>
                <w:sz w:val="16"/>
                <w:szCs w:val="16"/>
              </w:rPr>
            </w:pPr>
            <w:r w:rsidRPr="00722885">
              <w:rPr>
                <w:rFonts w:ascii="Times New Roman" w:hAnsi="Times New Roman" w:cs="Times New Roman"/>
                <w:color w:val="000000" w:themeColor="text1"/>
                <w:kern w:val="0"/>
                <w:sz w:val="16"/>
                <w:szCs w:val="16"/>
              </w:rPr>
              <w:t>Нет</w:t>
            </w:r>
          </w:p>
        </w:tc>
      </w:tr>
    </w:tbl>
    <w:p w14:paraId="3A8622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Рабочая сила.</w:t>
      </w:r>
    </w:p>
    <w:p w14:paraId="46E9E0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Обеспеченность плана рабочей силой составляла в начале года 12% и в IV квартале – 26%. Причем средний разряд квалификации имеющейся рабочей силы 2,5 вместо 5,2 по плану.</w:t>
      </w:r>
    </w:p>
    <w:p w14:paraId="15660D42" w14:textId="77777777" w:rsidR="00090C9B" w:rsidRPr="00722885" w:rsidRDefault="00090C9B" w:rsidP="00722885">
      <w:pPr>
        <w:tabs>
          <w:tab w:val="left" w:pos="11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Материально-техническое обеспечение.</w:t>
      </w:r>
    </w:p>
    <w:p w14:paraId="071762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Поступление материалов по плану 1942 года практически началось в третьем квартале 1942 года, а основными видами материалов и судового оборудования выпуск судов не обеспечен до сего времени. Так, для выпуска катеров-тральщиков «МСВ-38-Б» до сего времени не имеется: двигателей «ЗИС-5», гребных винтов, двигателей «Л/6-2», гребных валов, генераторов «ПН-28-5», якорей «Холла», цветного литья, листовой латуни, масляных радиаторов и друг[ого]. Выпуск катеров «МО-IV» также до сего времени не обеспечен оборудованием валопроводов, гребными винтами, электрооборудованием и друг.</w:t>
      </w:r>
    </w:p>
    <w:p w14:paraId="27368421" w14:textId="77777777" w:rsidR="00090C9B" w:rsidRPr="00722885" w:rsidRDefault="00090C9B" w:rsidP="00722885">
      <w:pPr>
        <w:tabs>
          <w:tab w:val="left" w:pos="114"/>
          <w:tab w:val="left" w:pos="26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Произведенные монтажные работы (фундаменты) приходится переделывать, потому что вместо требующихся по проекту моторов «ГАМ» в декабре заводу присланы моторы «Поккорд».</w:t>
      </w:r>
    </w:p>
    <w:p w14:paraId="7177B329" w14:textId="77777777" w:rsidR="00090C9B" w:rsidRPr="00722885" w:rsidRDefault="00090C9B" w:rsidP="00722885">
      <w:pPr>
        <w:tabs>
          <w:tab w:val="left" w:pos="114"/>
          <w:tab w:val="left" w:pos="26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Вместо укрепления верфи и оказания ей необходимой помощи Наркомлес СССР сделал все, чтобы избавиться от этого предприятия и освободиться от ответственности за срыв плана Государственного Комитета Обороны.</w:t>
      </w:r>
    </w:p>
    <w:p w14:paraId="18212F8C" w14:textId="77777777" w:rsidR="00090C9B" w:rsidRPr="00722885" w:rsidRDefault="00090C9B" w:rsidP="00722885">
      <w:pPr>
        <w:tabs>
          <w:tab w:val="left" w:pos="26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существующих производственных возможностях верфи удалось в 1942 году заложить 4 единицы катеров-охотников «МО-IV» и 6 единиц тральщиков «МСВ-38-Б». Готовность судов на 1/I-1943 г. составляет «МО-IV» – 38-42%, «МСВ-38-Б» – 14%-23%.</w:t>
      </w:r>
    </w:p>
    <w:p w14:paraId="4C29C6E1" w14:textId="77777777" w:rsidR="00090C9B" w:rsidRPr="00722885" w:rsidRDefault="00090C9B" w:rsidP="00722885">
      <w:pPr>
        <w:tabs>
          <w:tab w:val="left" w:pos="26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Приняв от Наркомлеса верфь, Наркомсудпром наметил ряд совершенно правильных и неотложных мероприятий. На место была прислана бригада 2-го Государственного проектного института, составившая проект реконструкции завода.</w:t>
      </w:r>
    </w:p>
    <w:p w14:paraId="79BF88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Зам[еститель] наркома тов. Каплун телеграммой директору завода и крайкому ВКП (б) сообщил, что в ноябре на завод будет прислано 300 чел[овек] квалифицированных рабочих-судостроителей. Фактически же в ноябре-декабре на завод прислан ряд руководящих инженерно-технических работников.</w:t>
      </w:r>
    </w:p>
    <w:p w14:paraId="43DE73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к сожалению, дальше этого дела укрепление завода №399 не пошло. Никаких практических мер по выполнению плана реконструкции не принято. Обещанные 300 чел[овек] квалифицированных рабочих не присланы. План на 1943 год приспособляется к существующим производственным возможностям. Возможности же эти, по сути дела, ограничиваются строительством небольшого количества судовых корпусов и для законченного судостроения требуют большой кооперации с другими предприятиями.</w:t>
      </w:r>
    </w:p>
    <w:p w14:paraId="47FA615C" w14:textId="77777777" w:rsidR="00090C9B" w:rsidRPr="00722885" w:rsidRDefault="00090C9B" w:rsidP="00722885">
      <w:pPr>
        <w:tabs>
          <w:tab w:val="left" w:pos="26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Таким образом, реконструкция и развитие завода №399 откладывается на неопределенное время, без серьезных на то оснований. Между тем по заявлению работников НКПС необходимое заводу №399 оборудование в Наркомате имеется и может быть ему выделено. Потребность [в] строительных материалах, в основном, обеспечивается местными ресурсами. В связи с окончанием в 1-м квартале 1943 г. строительства Красноярского гидролизного завода </w:t>
      </w:r>
      <w:r w:rsidRPr="00722885">
        <w:rPr>
          <w:rFonts w:ascii="Times New Roman" w:hAnsi="Times New Roman"/>
          <w:iCs/>
          <w:color w:val="000000" w:themeColor="text1"/>
          <w:sz w:val="16"/>
          <w:szCs w:val="16"/>
        </w:rPr>
        <w:t>ЕНЛАГ НКВД</w:t>
      </w:r>
      <w:r w:rsidRPr="00722885">
        <w:rPr>
          <w:rFonts w:ascii="Times New Roman" w:hAnsi="Times New Roman"/>
          <w:color w:val="000000" w:themeColor="text1"/>
          <w:sz w:val="16"/>
          <w:szCs w:val="16"/>
        </w:rPr>
        <w:t xml:space="preserve"> имеет возможность осуществить строительные работы.</w:t>
      </w:r>
    </w:p>
    <w:p w14:paraId="6B75E115" w14:textId="77777777" w:rsidR="00090C9B" w:rsidRPr="00722885" w:rsidRDefault="00090C9B" w:rsidP="00722885">
      <w:pPr>
        <w:tabs>
          <w:tab w:val="left" w:pos="26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военного судостроения, необходимость развития завода №399 в мощную судостроительную базу диктуется нуждами народного хозяйства Красноярского края. Енисейское речное пароходство имеет совершенно недостаточные возможности (Судоремзавод) для пополнения своего флота новыми судами. Наличный же флот уже в настоящее время не справляется со все возрастающим грузооборотом в Енисейском водном бассейне. Рост лесной, рыбной и полиметаллической промышленности края (Норильск), особенно в северных районах, также требует большого количества речных судов. Учитывая все эти обстоятельства, крайком ВКП (б) считает совершенно необходимым и неотложным делом проведение следующих мероприятий:</w:t>
      </w:r>
    </w:p>
    <w:p w14:paraId="2448DA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 1943 г. провести реконструкцию и расширение завода №399 в соответствии с планом военного судостроения и удовлетворением растущих потребностей в судах Енисейского пароходства.</w:t>
      </w:r>
    </w:p>
    <w:p w14:paraId="19F6A5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Путем переброски других заводов создать основной костяк квалифицированных кадров рабочих-судостроителей (250-300 чел[овек]).</w:t>
      </w:r>
    </w:p>
    <w:p w14:paraId="263247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 кратчайший срок обеспечить материалом и оборудованием строящиеся военные суда, что даст возможность закончить их и освободить стапеля для закладки новых.</w:t>
      </w:r>
    </w:p>
    <w:p w14:paraId="71DB0558" w14:textId="77777777" w:rsidR="00090C9B" w:rsidRPr="00722885" w:rsidRDefault="00090C9B" w:rsidP="00722885">
      <w:pPr>
        <w:tabs>
          <w:tab w:val="left" w:pos="26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Придавая поднятому вопросу большое значение, крайком ВКП (б) просит Вас одобрить предлагаемые мероприятия и поручить НКПС принять необходимые меры к их осуществлению.</w:t>
      </w:r>
    </w:p>
    <w:p w14:paraId="7A68F734" w14:textId="77777777" w:rsidR="00090C9B" w:rsidRPr="00722885" w:rsidRDefault="00090C9B" w:rsidP="00722885">
      <w:pPr>
        <w:tabs>
          <w:tab w:val="left" w:pos="26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крайкома ВКП (б) подпись И. Голубев</w:t>
      </w:r>
    </w:p>
    <w:p w14:paraId="27E07802" w14:textId="77777777" w:rsidR="00090C9B" w:rsidRPr="00722885" w:rsidRDefault="00090C9B" w:rsidP="00722885">
      <w:pPr>
        <w:spacing w:after="0" w:line="240" w:lineRule="auto"/>
        <w:jc w:val="both"/>
        <w:rPr>
          <w:rFonts w:ascii="Times New Roman" w:hAnsi="Times New Roman"/>
          <w:iCs/>
          <w:color w:val="000000" w:themeColor="text1"/>
          <w:sz w:val="16"/>
          <w:szCs w:val="16"/>
        </w:rPr>
      </w:pPr>
      <w:r w:rsidRPr="00722885">
        <w:rPr>
          <w:rFonts w:ascii="Times New Roman" w:hAnsi="Times New Roman"/>
          <w:iCs/>
          <w:color w:val="000000" w:themeColor="text1"/>
          <w:sz w:val="16"/>
          <w:szCs w:val="16"/>
        </w:rPr>
        <w:t>ГАКК. Ф.П-26. Оп.4. Д.1.Л.14-17. Подлинник. Машинопись (11805).</w:t>
      </w:r>
    </w:p>
    <w:p w14:paraId="6968B0C7" w14:textId="77777777" w:rsidR="00090C9B" w:rsidRPr="00722885" w:rsidRDefault="00090C9B" w:rsidP="00722885">
      <w:pPr>
        <w:spacing w:after="0" w:line="240" w:lineRule="auto"/>
        <w:jc w:val="both"/>
        <w:rPr>
          <w:rFonts w:ascii="Times New Roman" w:hAnsi="Times New Roman"/>
          <w:iCs/>
          <w:color w:val="000000" w:themeColor="text1"/>
          <w:sz w:val="16"/>
          <w:szCs w:val="16"/>
        </w:rPr>
      </w:pPr>
    </w:p>
    <w:p w14:paraId="7052AA2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E561DD7" w14:textId="77777777" w:rsidR="00090C9B" w:rsidRPr="00722885" w:rsidRDefault="00090C9B" w:rsidP="00722885">
      <w:pPr>
        <w:pStyle w:val="Iauiue"/>
        <w:jc w:val="both"/>
        <w:rPr>
          <w:iCs/>
          <w:color w:val="000000" w:themeColor="text1"/>
          <w:sz w:val="16"/>
          <w:szCs w:val="16"/>
        </w:rPr>
      </w:pPr>
    </w:p>
    <w:p w14:paraId="38C397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Начиная с сентября 1942 г. в 8-й и 16-й ВА штурмовики Ил-2, в основном наиболее опытные экипажи, начали вы</w:t>
      </w:r>
      <w:r w:rsidRPr="00722885">
        <w:rPr>
          <w:color w:val="000000" w:themeColor="text1"/>
          <w:sz w:val="16"/>
          <w:szCs w:val="16"/>
        </w:rPr>
        <w:softHyphen/>
        <w:t>летать на боевые задания в сумерках и в светлые ночи, поскольку истребитель</w:t>
      </w:r>
      <w:r w:rsidRPr="00722885">
        <w:rPr>
          <w:color w:val="000000" w:themeColor="text1"/>
          <w:sz w:val="16"/>
          <w:szCs w:val="16"/>
        </w:rPr>
        <w:softHyphen/>
        <w:t>ная авиация противника, как, впрочем, и его зенитная артиллерия, не могли ока</w:t>
      </w:r>
      <w:r w:rsidRPr="00722885">
        <w:rPr>
          <w:color w:val="000000" w:themeColor="text1"/>
          <w:sz w:val="16"/>
          <w:szCs w:val="16"/>
        </w:rPr>
        <w:softHyphen/>
        <w:t>зать в это время суток эффективного противодействия. Это привело к существенному сни</w:t>
      </w:r>
      <w:r w:rsidRPr="00722885">
        <w:rPr>
          <w:color w:val="000000" w:themeColor="text1"/>
          <w:sz w:val="16"/>
          <w:szCs w:val="16"/>
        </w:rPr>
        <w:softHyphen/>
        <w:t>жению боевых потерь, которые (по опы</w:t>
      </w:r>
      <w:r w:rsidRPr="00722885">
        <w:rPr>
          <w:color w:val="000000" w:themeColor="text1"/>
          <w:sz w:val="16"/>
          <w:szCs w:val="16"/>
        </w:rPr>
        <w:softHyphen/>
        <w:t>ту 16-й ВА) составили один потерянный Ил-2 на 20 боевых вылетов, что было в 1,5-2 раза выше среднего показателя за другие периоды времени (6467).</w:t>
      </w:r>
    </w:p>
    <w:p w14:paraId="428C4E0D" w14:textId="77777777" w:rsidR="00090C9B" w:rsidRPr="00722885" w:rsidRDefault="00090C9B" w:rsidP="00722885">
      <w:pPr>
        <w:pStyle w:val="Iauiue"/>
        <w:jc w:val="both"/>
        <w:rPr>
          <w:color w:val="000000" w:themeColor="text1"/>
          <w:sz w:val="16"/>
          <w:szCs w:val="16"/>
        </w:rPr>
      </w:pPr>
    </w:p>
    <w:p w14:paraId="1B9B305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одиноч</w:t>
      </w:r>
      <w:r w:rsidRPr="00722885">
        <w:rPr>
          <w:rFonts w:ascii="Times New Roman" w:hAnsi="Times New Roman"/>
          <w:color w:val="000000" w:themeColor="text1"/>
          <w:sz w:val="16"/>
          <w:szCs w:val="16"/>
        </w:rPr>
        <w:softHyphen/>
        <w:t>ный разведчик Пе-2 Л.Боброва перехватила пара Вf 109 в районе Сталинграда над аэро</w:t>
      </w:r>
      <w:r w:rsidRPr="00722885">
        <w:rPr>
          <w:rFonts w:ascii="Times New Roman" w:hAnsi="Times New Roman"/>
          <w:color w:val="000000" w:themeColor="text1"/>
          <w:sz w:val="16"/>
          <w:szCs w:val="16"/>
        </w:rPr>
        <w:softHyphen/>
        <w:t>дромом Тузов. Обнаружив, что пулемёт штурмана отказал, немцы пристроились сбоку, жестами указывая на безысходность положения советского самолёта. В ответ командир бросил машину в сторону, подста</w:t>
      </w:r>
      <w:r w:rsidRPr="00722885">
        <w:rPr>
          <w:rFonts w:ascii="Times New Roman" w:hAnsi="Times New Roman"/>
          <w:color w:val="000000" w:themeColor="text1"/>
          <w:sz w:val="16"/>
          <w:szCs w:val="16"/>
        </w:rPr>
        <w:softHyphen/>
        <w:t>вив брюхо ведущего «мессершмитта» под очередь заранее изготовившегося стрелка, и тот расстрелял немца в упор. Ведомый, шокированный результатом, вышел из боя (11392).</w:t>
      </w:r>
    </w:p>
    <w:p w14:paraId="2B9AA83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7331B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был подготовлен доклад о применении танкового оружия по опыту боев 1 -го танкового корпуса, имевшего на вооружении Т-34:</w:t>
      </w:r>
    </w:p>
    <w:p w14:paraId="2EBF0D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стрельбы с места типичной дистанцией (наиболее эффективной) является 800-900 м в наступательном бою танки ведут неприцельный интенсивный огонь по направлению расположения противника после прохождения своей пехоты. Действительный огонь при наступлении танками ведется с дистанции 400— 500 м, так как большинство противотанковых средств противника не открывает огонь по танкам до приближения их к полосе инженерных заграждений.</w:t>
      </w:r>
    </w:p>
    <w:p w14:paraId="727E42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Практическая скорострельность из пушки Ф-34 - 6-8 выстрелов в минуту. Для уничтожения одного танка противника с расстояния 800-900 м требуется 3-5 снарядов, для уничтожения противотанкового орудия с места или коротких остановок хорошо натренированному стреляющему требуется 2-3 снаряда, если цель обнаружена наверняка. Для разрушения ДЗОТа требуется 10 и более снарядов, в зависимости от числа перекрытий. Были случаи, когда танк подходил к ДЗОТу на 150-200 м и выпускал в упор 20 снарядов, но гарнизон продолжал вести огонь.</w:t>
      </w:r>
    </w:p>
    <w:p w14:paraId="70BCCB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расход снарядов при стрельбе с места по площади, по вероятным местам расположения огневых средств противника составляет 6-8 выстрелов в минуту. При таком темпе огня боекомплект Т-34 расходуется за 1,5-2 часа, при этом в танке скапливается много газов, вызывающих головокружение и рвоту у экипажа; известны случаи смертельного отравления.</w:t>
      </w:r>
    </w:p>
    <w:p w14:paraId="15C884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стрельбе с коротких остановок остановки не должны превышать 8-10 секунд, остановки производятся путем выключения сцепления» (12217).</w:t>
      </w:r>
    </w:p>
    <w:p w14:paraId="489E7CE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329DF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в ожесточенных боях на подступах к Сталинграду в года принимала участие и 91-я танковая бригада, один батальон которой имел на вооружении танки Т-60. При этом маленькие машины носили такие впечатляющие названия, как "Грозный", "Орел", "Смелый". Сталинградская битва и прорыв блокады Ленинграда стали апогеем боевой карьеры "шестидесяток".</w:t>
      </w:r>
    </w:p>
    <w:p w14:paraId="786DB6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в боях за центр и южную часть Ста</w:t>
      </w:r>
      <w:r w:rsidRPr="00722885">
        <w:rPr>
          <w:color w:val="000000" w:themeColor="text1"/>
          <w:sz w:val="16"/>
          <w:szCs w:val="16"/>
        </w:rPr>
        <w:softHyphen/>
        <w:t>линграда родился новый в мировой практике вид боевых действий штурмо</w:t>
      </w:r>
      <w:r w:rsidRPr="00722885">
        <w:rPr>
          <w:color w:val="000000" w:themeColor="text1"/>
          <w:sz w:val="16"/>
          <w:szCs w:val="16"/>
        </w:rPr>
        <w:softHyphen/>
        <w:t>вых авиачастей, а именно, непосред</w:t>
      </w:r>
      <w:r w:rsidRPr="00722885">
        <w:rPr>
          <w:color w:val="000000" w:themeColor="text1"/>
          <w:sz w:val="16"/>
          <w:szCs w:val="16"/>
        </w:rPr>
        <w:softHyphen/>
        <w:t>ственное и самое широкое (до 57% всех самолето-вылетов) участие штурмови</w:t>
      </w:r>
      <w:r w:rsidRPr="00722885">
        <w:rPr>
          <w:color w:val="000000" w:themeColor="text1"/>
          <w:sz w:val="16"/>
          <w:szCs w:val="16"/>
        </w:rPr>
        <w:softHyphen/>
        <w:t>ков Ил-2 в уличных боях с ворвавшим</w:t>
      </w:r>
      <w:r w:rsidRPr="00722885">
        <w:rPr>
          <w:color w:val="000000" w:themeColor="text1"/>
          <w:sz w:val="16"/>
          <w:szCs w:val="16"/>
        </w:rPr>
        <w:softHyphen/>
        <w:t>ся в пределы города противником. Надо сказать, что к этому времени, ввиду малочисленности бомбардировоч</w:t>
      </w:r>
      <w:r w:rsidRPr="00722885">
        <w:rPr>
          <w:color w:val="000000" w:themeColor="text1"/>
          <w:sz w:val="16"/>
          <w:szCs w:val="16"/>
        </w:rPr>
        <w:softHyphen/>
        <w:t>ной авиации, штурмовики Ил-2 являлись основной ударной силой командования Сталинградского фронта (6467).</w:t>
      </w:r>
    </w:p>
    <w:p w14:paraId="24091FF9" w14:textId="77777777" w:rsidR="00090C9B" w:rsidRPr="00722885" w:rsidRDefault="00090C9B" w:rsidP="00722885">
      <w:pPr>
        <w:pStyle w:val="Iauiue"/>
        <w:jc w:val="both"/>
        <w:rPr>
          <w:color w:val="000000" w:themeColor="text1"/>
          <w:sz w:val="16"/>
          <w:szCs w:val="16"/>
        </w:rPr>
      </w:pPr>
    </w:p>
    <w:p w14:paraId="0D1C68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"Бостоны" с советскими пулеметами уже начали действовать на фронте. Один такой самолет в 221-й дивизии за пять вылетов сбил два немецких истребителя Bf 109 (3457,102).</w:t>
      </w:r>
    </w:p>
    <w:p w14:paraId="15ED560B" w14:textId="77777777" w:rsidR="00090C9B" w:rsidRPr="00722885" w:rsidRDefault="00090C9B" w:rsidP="00722885">
      <w:pPr>
        <w:pStyle w:val="Iauiue"/>
        <w:jc w:val="both"/>
        <w:rPr>
          <w:color w:val="000000" w:themeColor="text1"/>
          <w:sz w:val="16"/>
          <w:szCs w:val="16"/>
        </w:rPr>
      </w:pPr>
    </w:p>
    <w:p w14:paraId="4D0AA8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 сентябре 1942 года начал работать АЛСИБ - путь, который вел через Аляску на Чукотку и далее на Красноярск, в связи с чем официально в нашей стране именовался Красноярской трассой, решение о подготовке которой приняли в июле 1941. Трассу обслуживала специальная 1-я перегоночная авиадивизия под командованием известного полярного летчика И.И.Мазурука (впоследствии его сменил А.И.Мельников). Приемка техники осуществлялась советской военной миссией в Фэрбенксе на Аляске, куда самолеты доставляли американские перегонщики. Далее самолеты гнали по эстафете пять полков, обслуживавших каждый свой участок трассы. Иногда какие-то особо ценные или нужные самолеты один и тот же экипаж вел до Красноярска или даже до Москвы. А Красноярске технику принимали летчики </w:t>
      </w:r>
      <w:r w:rsidRPr="00722885">
        <w:rPr>
          <w:color w:val="000000" w:themeColor="text1"/>
          <w:sz w:val="16"/>
          <w:szCs w:val="16"/>
        </w:rPr>
        <w:lastRenderedPageBreak/>
        <w:t>строевых полков, и она следовала на запад по воздуху плп по железной дороге. По АЛСИБу поступило более половины всех американских самолетов. Начиная с 1944 года но нему шло уже в полтора раза больше машин, чем через Иран. Последние самолеты пролетели через Берингов пролив в сентябре 1945 года. Около полутора десятков истребителей, уже прошедших советскую военную приемку в Фэрбенксе, вернули обратно американцам (3457,57).</w:t>
      </w:r>
    </w:p>
    <w:p w14:paraId="2CDFF1EC" w14:textId="77777777" w:rsidR="00090C9B" w:rsidRPr="00722885" w:rsidRDefault="00090C9B" w:rsidP="00722885">
      <w:pPr>
        <w:pStyle w:val="Iauiue"/>
        <w:jc w:val="both"/>
        <w:rPr>
          <w:color w:val="000000" w:themeColor="text1"/>
          <w:sz w:val="16"/>
          <w:szCs w:val="16"/>
        </w:rPr>
      </w:pPr>
    </w:p>
    <w:p w14:paraId="2650A3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года при проводке конвоя PQ-18 на озере Красное разместили десяток английских "Каталин" 210-и эскадрильи, которые патрулировали зоны, недоступные для МБР-2 (3457,127).</w:t>
      </w:r>
    </w:p>
    <w:p w14:paraId="7EA145F9" w14:textId="77777777" w:rsidR="00090C9B" w:rsidRPr="00722885" w:rsidRDefault="00090C9B" w:rsidP="00722885">
      <w:pPr>
        <w:pStyle w:val="Iauiue"/>
        <w:jc w:val="both"/>
        <w:rPr>
          <w:color w:val="000000" w:themeColor="text1"/>
          <w:sz w:val="16"/>
          <w:szCs w:val="16"/>
        </w:rPr>
      </w:pPr>
    </w:p>
    <w:p w14:paraId="0C066B6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три машины Спитфайр типа PR IV перелетели в Африканду на Коль</w:t>
      </w:r>
      <w:r w:rsidRPr="00722885">
        <w:rPr>
          <w:rFonts w:ascii="Times New Roman" w:hAnsi="Times New Roman"/>
          <w:color w:val="000000" w:themeColor="text1"/>
          <w:sz w:val="16"/>
          <w:szCs w:val="16"/>
        </w:rPr>
        <w:softHyphen/>
        <w:t>ском полуострове. Маленькое подраз</w:t>
      </w:r>
      <w:r w:rsidRPr="00722885">
        <w:rPr>
          <w:rFonts w:ascii="Times New Roman" w:hAnsi="Times New Roman"/>
          <w:color w:val="000000" w:themeColor="text1"/>
          <w:sz w:val="16"/>
          <w:szCs w:val="16"/>
        </w:rPr>
        <w:softHyphen/>
        <w:t>деление разведчиков лейтенанта Фэйрхерста входило в сводную группу груп-кэптена Хоппса, которая должна была участвовать в проводке конвоя РQ 18 (операция "Оратор"). С аэро</w:t>
      </w:r>
      <w:r w:rsidRPr="00722885">
        <w:rPr>
          <w:rFonts w:ascii="Times New Roman" w:hAnsi="Times New Roman"/>
          <w:color w:val="000000" w:themeColor="text1"/>
          <w:sz w:val="16"/>
          <w:szCs w:val="16"/>
        </w:rPr>
        <w:softHyphen/>
        <w:t>дрома Ваенга под Мурманском само</w:t>
      </w:r>
      <w:r w:rsidRPr="00722885">
        <w:rPr>
          <w:rFonts w:ascii="Times New Roman" w:hAnsi="Times New Roman"/>
          <w:color w:val="000000" w:themeColor="text1"/>
          <w:sz w:val="16"/>
          <w:szCs w:val="16"/>
        </w:rPr>
        <w:softHyphen/>
        <w:t>леты отправлялись фотографировать немецкие корабли в Северной Норве</w:t>
      </w:r>
      <w:r w:rsidRPr="00722885">
        <w:rPr>
          <w:rFonts w:ascii="Times New Roman" w:hAnsi="Times New Roman"/>
          <w:color w:val="000000" w:themeColor="text1"/>
          <w:sz w:val="16"/>
          <w:szCs w:val="16"/>
        </w:rPr>
        <w:softHyphen/>
        <w:t>гии. 9 сентября один из фоторазведчи</w:t>
      </w:r>
      <w:r w:rsidRPr="00722885">
        <w:rPr>
          <w:rFonts w:ascii="Times New Roman" w:hAnsi="Times New Roman"/>
          <w:color w:val="000000" w:themeColor="text1"/>
          <w:sz w:val="16"/>
          <w:szCs w:val="16"/>
        </w:rPr>
        <w:softHyphen/>
        <w:t>ков во время налета авиации против</w:t>
      </w:r>
      <w:r w:rsidRPr="00722885">
        <w:rPr>
          <w:rFonts w:ascii="Times New Roman" w:hAnsi="Times New Roman"/>
          <w:color w:val="000000" w:themeColor="text1"/>
          <w:sz w:val="16"/>
          <w:szCs w:val="16"/>
        </w:rPr>
        <w:softHyphen/>
        <w:t>ника был выведен из строя осколками бомб, и ему срочно прислали замену. 27 сентября машина пилота Уолкера не вернулась со съемки Альтен-фьорда. После завершения операции анг</w:t>
      </w:r>
      <w:r w:rsidRPr="00722885">
        <w:rPr>
          <w:rFonts w:ascii="Times New Roman" w:hAnsi="Times New Roman"/>
          <w:color w:val="000000" w:themeColor="text1"/>
          <w:sz w:val="16"/>
          <w:szCs w:val="16"/>
        </w:rPr>
        <w:softHyphen/>
        <w:t>личане отказались от опасной обрат</w:t>
      </w:r>
      <w:r w:rsidRPr="00722885">
        <w:rPr>
          <w:rFonts w:ascii="Times New Roman" w:hAnsi="Times New Roman"/>
          <w:color w:val="000000" w:themeColor="text1"/>
          <w:sz w:val="16"/>
          <w:szCs w:val="16"/>
        </w:rPr>
        <w:softHyphen/>
        <w:t>ной перегонки "Спитфайров" и передали их как подарок ВВС Се</w:t>
      </w:r>
      <w:r w:rsidRPr="00722885">
        <w:rPr>
          <w:rFonts w:ascii="Times New Roman" w:hAnsi="Times New Roman"/>
          <w:color w:val="000000" w:themeColor="text1"/>
          <w:sz w:val="16"/>
          <w:szCs w:val="16"/>
        </w:rPr>
        <w:softHyphen/>
        <w:t>верного флота. По мнению ан</w:t>
      </w:r>
      <w:r w:rsidRPr="00722885">
        <w:rPr>
          <w:rFonts w:ascii="Times New Roman" w:hAnsi="Times New Roman"/>
          <w:color w:val="000000" w:themeColor="text1"/>
          <w:sz w:val="16"/>
          <w:szCs w:val="16"/>
        </w:rPr>
        <w:softHyphen/>
        <w:t>глийских механиков, два само</w:t>
      </w:r>
      <w:r w:rsidRPr="00722885">
        <w:rPr>
          <w:rFonts w:ascii="Times New Roman" w:hAnsi="Times New Roman"/>
          <w:color w:val="000000" w:themeColor="text1"/>
          <w:sz w:val="16"/>
          <w:szCs w:val="16"/>
        </w:rPr>
        <w:softHyphen/>
        <w:t>лета еще вполне могли летать, а третий годился только на зап</w:t>
      </w:r>
      <w:r w:rsidRPr="00722885">
        <w:rPr>
          <w:rFonts w:ascii="Times New Roman" w:hAnsi="Times New Roman"/>
          <w:color w:val="000000" w:themeColor="text1"/>
          <w:sz w:val="16"/>
          <w:szCs w:val="16"/>
        </w:rPr>
        <w:softHyphen/>
        <w:t>части (10790).</w:t>
      </w:r>
    </w:p>
    <w:p w14:paraId="6D53115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6CCA5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г. первая группа эскадры JG51 "Мельдерс" вернулась из Германии после переучивания на FW 190A-3. Появление сильно вооруженного и довольно скоростного (630 км/ч на второй границе высотности) истребителя особенно сильно сказалось на потерях советских бомбардировщиков (9020).</w:t>
      </w:r>
    </w:p>
    <w:p w14:paraId="13EB5027" w14:textId="77777777" w:rsidR="00090C9B" w:rsidRPr="00722885" w:rsidRDefault="00090C9B" w:rsidP="00722885">
      <w:pPr>
        <w:pStyle w:val="Iauiue"/>
        <w:jc w:val="both"/>
        <w:rPr>
          <w:color w:val="000000" w:themeColor="text1"/>
          <w:sz w:val="16"/>
          <w:szCs w:val="16"/>
        </w:rPr>
      </w:pPr>
    </w:p>
    <w:p w14:paraId="456EB6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года в связи с созданием мехкорпусов (имевшиеся к началу войны танковые полки кавдивизий здесь не рассматриваются, так для их вооружения Т-34 не предназначался) началось формирование танковых полков. По штату № 010/292 танковый полк состоял из 39 танков - 23 Т-34 и 16 Т-70.</w:t>
      </w:r>
    </w:p>
    <w:p w14:paraId="43694B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Эти части включались в состав мех- бригад механизированных корпусов или были отдельными. В последнем случае они придавались стрелковым дивизиям как средство развития тактического успеха (12217).</w:t>
      </w:r>
    </w:p>
    <w:p w14:paraId="3988B8B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D23E76D" w14:textId="77777777" w:rsidR="00090C9B" w:rsidRPr="00722885" w:rsidRDefault="00090C9B" w:rsidP="00722885">
      <w:pPr>
        <w:pStyle w:val="a3"/>
        <w:rPr>
          <w:color w:val="000000" w:themeColor="text1"/>
          <w:lang w:val="ru-RU"/>
        </w:rPr>
      </w:pPr>
      <w:r w:rsidRPr="00722885">
        <w:rPr>
          <w:color w:val="000000" w:themeColor="text1"/>
          <w:lang w:val="ru-RU"/>
        </w:rPr>
        <w:t>В сентябре 1942 года первое применение танка «Тигр» под Ленинградом в районе станции Мга и не произвело никакого впечатления ни на немецкие, ни на советские войска. Немецкое командование выбрало для атаки танков невыгодный участок местности, по которому из-за заболоченности танки могли перемещаться только вдоль дороги один за другим. Из-за этой тактической ошибки танки попали под огонь с фланга, и головной танк был подбит советскими противотанковыми орудиями. При этом один из танков не удалось эвакуировать, и он несколько дней простоял на нейтральной полосе, прежде чем был взорван немцами. Далее «Тигры» действовали в конце 1942-начале 1943 годов на Кавказе и в районе Ростова-на-Дону, где тоже не обратили на себя внимание советского командования.</w:t>
      </w:r>
    </w:p>
    <w:p w14:paraId="75722659" w14:textId="77777777" w:rsidR="00090C9B" w:rsidRPr="00722885" w:rsidRDefault="00090C9B" w:rsidP="00722885">
      <w:pPr>
        <w:pStyle w:val="a3"/>
        <w:rPr>
          <w:color w:val="000000" w:themeColor="text1"/>
          <w:lang w:val="ru-RU"/>
        </w:rPr>
      </w:pPr>
      <w:r w:rsidRPr="00722885">
        <w:rPr>
          <w:color w:val="000000" w:themeColor="text1"/>
          <w:lang w:val="ru-RU"/>
        </w:rPr>
        <w:t>Осознание той угрозы, которую представляли собой немецкие танки, начало приходить только после того, как один из них был захвачен Красной Армией. Произошло это 14 января 1943 года во время прорыва блокады Ленинграда. Существует много вариантов описания обстоятельств захвата первого «Тигра». В одном случае эта честь приписывается пехотинцам- бронебойщикам. В другом - артиллеристам 267-го корпусного артиллерийского полка, подбившим танк из 122-мм пушки. В третьем варианте танк просто застрял в болотистой местности и был брошен экипажем. Четвёртая версия событий приписывает честь захвата трофея танкистам 86-го отдельного танкового батальона. Современный историк М. Барятинский выдвинул ещё одну версию событий, согласно которой было захвачено два танка. В любом случае, в феврале 1942 года уже имелись первые сведения об уровне защищённости нового немецкого танка (12290).</w:t>
      </w:r>
    </w:p>
    <w:p w14:paraId="373617C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13BC38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сентябре 1942 года в полосе обороны 37-й армии на западном берегу Терека и южном берегу Баксана кроме 26 250 противотанковых мин, 250 противотанковых огнефугасов установили 300 «танковых качалок». </w:t>
      </w:r>
      <w:r w:rsidRPr="00722885">
        <w:rPr>
          <w:rStyle w:val="a7"/>
          <w:rFonts w:ascii="Times New Roman" w:hAnsi="Times New Roman"/>
          <w:b w:val="0"/>
          <w:color w:val="000000" w:themeColor="text1"/>
          <w:sz w:val="16"/>
          <w:szCs w:val="16"/>
        </w:rPr>
        <w:t>«Танковые качалки»</w:t>
      </w:r>
      <w:r w:rsidRPr="00722885">
        <w:rPr>
          <w:rFonts w:ascii="Times New Roman" w:hAnsi="Times New Roman"/>
          <w:color w:val="000000" w:themeColor="text1"/>
          <w:sz w:val="16"/>
          <w:szCs w:val="16"/>
        </w:rPr>
        <w:t>: к раме из металлических труб крепили изогнутые дуги и зарывали конструкцию так, чтобы при наезде танка качалка опрокидывалась и забрасывала бутылки КС на танк (12233).</w:t>
      </w:r>
    </w:p>
    <w:p w14:paraId="5CC7EFE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D4B21B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6588D05" w14:textId="77777777" w:rsidR="00090C9B" w:rsidRPr="00722885" w:rsidRDefault="00090C9B" w:rsidP="00722885">
      <w:pPr>
        <w:pStyle w:val="Iauiue"/>
        <w:jc w:val="both"/>
        <w:rPr>
          <w:iCs/>
          <w:color w:val="000000" w:themeColor="text1"/>
          <w:sz w:val="16"/>
          <w:szCs w:val="16"/>
        </w:rPr>
      </w:pPr>
    </w:p>
    <w:p w14:paraId="6D9F33AC" w14:textId="77777777" w:rsidR="00C7043C" w:rsidRPr="00722885" w:rsidRDefault="00C7043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В сентябре 1942 года завод «Армстронг-Уитворт» в Багинтоне был сдал первый серийный «Ланкастер» Mk.II с моторами «Геркулес» VI. Стрелковое вооружение осталось таким же, как и у Mk.I: носовая турель F.N.5A, верхняя F.N.50 и нижняя F.N.64 имели по два 7,69-мм пулемета, хвост прикрывала счетверенная установка F.N.120, все с гидравлическим управлением. Мощность серийных моторов «Геркулес» VI была понижена с 1675 л.с. до 1615 л.с. на взлете и 1300 л.с. на высоте 4100 м, но это все равно было больше, чем у старых «Мерлин» ХХ. А с 28-го серийного экземпляра пошли еще более мощные «Геркулес» XVI (по 1735 л.с. на взлете), которые поставлялись фирмой «Бристоль» с винтами, рамами крепления, навесными агрегатами и мотогондолами в комплектах, унифицированных с тяжелым истребителем «Бофайтер». Теперь полезную нагрузку можно было увеличить на тонну, но под дополнительные бомбодержатели пришлось бы менять силовой набор. Вместо этого сделали выступающие створки бомбоотсека, но с ними нагрузка не достигла заявленной фирмой величины в 6530 кг. Обычно подвешивали 8 бомб калибра 454 кг (фактический вес около 4 т). Реализовать резервы можно было лишь при подвеске специальных бомб особо больших калибров, но об этом мы поговорим позже. Все «ланкастеры» II имели радионавигационную бомбардировочную систему «Джи», а последние получили новую G-H, но она работала ненадежно. Некоторые самолеты несли и радар H2S. Серийно их выпускал завод «Армстронг-Уитворт» в Бэгинтоне, первый самолет он сдал в сентябре 1942 года, а последний 375-й — в марте 1944-го (22866). </w:t>
      </w:r>
    </w:p>
    <w:p w14:paraId="0F8E45D3" w14:textId="77777777" w:rsidR="00C7043C" w:rsidRPr="00722885" w:rsidRDefault="00C7043C" w:rsidP="00722885">
      <w:pPr>
        <w:spacing w:after="0" w:line="240" w:lineRule="auto"/>
        <w:jc w:val="both"/>
        <w:rPr>
          <w:rFonts w:ascii="Times New Roman" w:hAnsi="Times New Roman"/>
          <w:color w:val="0070C0"/>
          <w:sz w:val="16"/>
          <w:szCs w:val="16"/>
        </w:rPr>
      </w:pPr>
    </w:p>
    <w:p w14:paraId="60195856" w14:textId="77777777" w:rsidR="00C7043C" w:rsidRPr="00722885" w:rsidRDefault="00C7043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сентябре 1942 года начались поставки Р-47С. Фирма Репаблик затянула их начало, но все равно не успела устранить все замечания. Новые самолеты пришлось дорабатывать уже в Англии, и первый боевой вылет на Р-47С состоялся только 10 марта 1943 года.</w:t>
      </w:r>
    </w:p>
    <w:p w14:paraId="475ECD48" w14:textId="77777777" w:rsidR="00C7043C" w:rsidRPr="00722885" w:rsidRDefault="00C7043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Всего было построено 602 таких самолета, но этого уже было мало, и фирма получила субсидию на расширение производства. Для синхронного внедрения доработок на обоих заводах ввели единую систему документации, и новым самолетам из Фармингдейла был присвоен индекс P-47D-RE, а продукцию нового завода в Ивансвилле обозначали P-47D-RA. Также у машины появилось официальное наименование «Тандерболт».</w:t>
      </w:r>
    </w:p>
    <w:p w14:paraId="1AF62E88" w14:textId="77777777" w:rsidR="00C7043C" w:rsidRPr="00722885" w:rsidRDefault="00C7043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выпуску самолета присоединился завод «Кертисс» в Буффало, тамошние P-47G-CU по конструкции соответствовали старым Р-47С-1, к тому же фирме пришлось ставить некоторые узлы со строившихся там ранее Р-40, и они использовались только в качестве учебных (22889).</w:t>
      </w:r>
    </w:p>
    <w:p w14:paraId="7163D60B" w14:textId="77777777" w:rsidR="00C7043C" w:rsidRPr="00722885" w:rsidRDefault="00C7043C" w:rsidP="00722885">
      <w:pPr>
        <w:spacing w:after="0" w:line="240" w:lineRule="auto"/>
        <w:jc w:val="both"/>
        <w:rPr>
          <w:rFonts w:ascii="Times New Roman" w:hAnsi="Times New Roman"/>
          <w:color w:val="0070C0"/>
          <w:sz w:val="16"/>
          <w:szCs w:val="16"/>
        </w:rPr>
      </w:pPr>
    </w:p>
    <w:p w14:paraId="0E2A0CF6" w14:textId="77777777" w:rsidR="00C7043C" w:rsidRPr="00722885" w:rsidRDefault="00C7043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Сентябрь 1942 Италия начинает преобразование пассажирского лайнера MS Augustus во второй авианосец, первоначально названный Falco (" Сокол "), а затем переименованный в Sparviero (" Воробей "). Преобразование будет остановлено, когда Италия сдастся союзникам в сентябре 1943 года, и никогда не будет завершено (20793).</w:t>
      </w:r>
    </w:p>
    <w:p w14:paraId="7E3FF2E9" w14:textId="77777777" w:rsidR="00C7043C" w:rsidRPr="00722885" w:rsidRDefault="00C7043C" w:rsidP="00722885">
      <w:pPr>
        <w:spacing w:after="0" w:line="240" w:lineRule="auto"/>
        <w:jc w:val="both"/>
        <w:rPr>
          <w:rFonts w:ascii="Times New Roman" w:hAnsi="Times New Roman"/>
          <w:color w:val="0070C0"/>
          <w:sz w:val="16"/>
          <w:szCs w:val="16"/>
        </w:rPr>
      </w:pPr>
    </w:p>
    <w:p w14:paraId="7656C1AA" w14:textId="77777777" w:rsidR="00C7043C" w:rsidRPr="00722885" w:rsidRDefault="00C7043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Сентябрь 1942 ВМС США и Pan American World Airways подписали контракт, согласно которому Naval Air транспортной служба берет под контроль летающие лодки Martin M-130 и Boeing 314 ПанАм для Военно - морского флота в обслуживании полетов между Калифорнией и территорией Гавайских островов в течение всего срока Второй Мировой Войны. Сотрудники Pan American становятся служащими военно-морских силам до конца войны (20793).</w:t>
      </w:r>
    </w:p>
    <w:p w14:paraId="79507BAF" w14:textId="77777777" w:rsidR="00C7043C" w:rsidRPr="00722885" w:rsidRDefault="00C7043C" w:rsidP="00722885">
      <w:pPr>
        <w:spacing w:after="0" w:line="240" w:lineRule="auto"/>
        <w:jc w:val="both"/>
        <w:rPr>
          <w:rFonts w:ascii="Times New Roman" w:hAnsi="Times New Roman"/>
          <w:color w:val="0070C0"/>
          <w:sz w:val="16"/>
          <w:szCs w:val="16"/>
        </w:rPr>
      </w:pPr>
    </w:p>
    <w:p w14:paraId="4E26CD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1942-го в Польше сформировали 4-ю эскадрилью 2-й штурмовой авиационной эскадры и уже 30 ноября 1942 12 Hs 129B-1 вылетели на помощь африканскому корпусу Роммеля (3039,29).</w:t>
      </w:r>
    </w:p>
    <w:p w14:paraId="419D5204" w14:textId="77777777" w:rsidR="00090C9B" w:rsidRPr="00722885" w:rsidRDefault="00090C9B" w:rsidP="00722885">
      <w:pPr>
        <w:pStyle w:val="Iauiue"/>
        <w:jc w:val="both"/>
        <w:rPr>
          <w:color w:val="000000" w:themeColor="text1"/>
          <w:sz w:val="16"/>
          <w:szCs w:val="16"/>
        </w:rPr>
      </w:pPr>
    </w:p>
    <w:p w14:paraId="4B6032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была сформирована часть, вооруженная Hs 129, специально для противотанковых задач и под названием Panzer Jager Staffel (эскадрилья истребителей танков), которая находилась в составе JG 51 "Holders" (3188).</w:t>
      </w:r>
    </w:p>
    <w:p w14:paraId="44840A48" w14:textId="77777777" w:rsidR="00090C9B" w:rsidRPr="00722885" w:rsidRDefault="00090C9B" w:rsidP="00722885">
      <w:pPr>
        <w:pStyle w:val="Iauiue"/>
        <w:jc w:val="both"/>
        <w:rPr>
          <w:color w:val="000000" w:themeColor="text1"/>
          <w:sz w:val="16"/>
          <w:szCs w:val="16"/>
        </w:rPr>
      </w:pPr>
    </w:p>
    <w:p w14:paraId="188B4F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на аэродроме Пипера под Бухарестом снимали фильм Белая эскадрилья, в котором Не 112 из 51 эскадрильи изображали советские истребители (2576,41).</w:t>
      </w:r>
    </w:p>
    <w:p w14:paraId="336D8946" w14:textId="77777777" w:rsidR="00090C9B" w:rsidRPr="00722885" w:rsidRDefault="00090C9B" w:rsidP="00722885">
      <w:pPr>
        <w:pStyle w:val="Iauiue"/>
        <w:jc w:val="both"/>
        <w:rPr>
          <w:color w:val="000000" w:themeColor="text1"/>
          <w:sz w:val="16"/>
          <w:szCs w:val="16"/>
        </w:rPr>
      </w:pPr>
    </w:p>
    <w:p w14:paraId="0C380F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г. для отработки методов применения Fritz Х на авиабазе Грац было сформировано 21-е учебно-испытательное командование на самолетах Не111Н и Do217K. Впоследствии оно вошло в состав 100-й бомбардировочной эскадры в качестве его III группы (9524).</w:t>
      </w:r>
    </w:p>
    <w:p w14:paraId="5DB8AAB9" w14:textId="77777777" w:rsidR="00090C9B" w:rsidRPr="00722885" w:rsidRDefault="00090C9B" w:rsidP="00722885">
      <w:pPr>
        <w:pStyle w:val="Iauiue"/>
        <w:jc w:val="both"/>
        <w:rPr>
          <w:color w:val="000000" w:themeColor="text1"/>
          <w:sz w:val="16"/>
          <w:szCs w:val="16"/>
        </w:rPr>
      </w:pPr>
    </w:p>
    <w:p w14:paraId="107A5E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фирма МАН изготовила первый опытный образец танка Пантера (355,9).</w:t>
      </w:r>
    </w:p>
    <w:p w14:paraId="418D6E7A" w14:textId="77777777" w:rsidR="00090C9B" w:rsidRPr="00722885" w:rsidRDefault="00090C9B" w:rsidP="00722885">
      <w:pPr>
        <w:pStyle w:val="Iauiue"/>
        <w:jc w:val="both"/>
        <w:rPr>
          <w:color w:val="000000" w:themeColor="text1"/>
          <w:sz w:val="16"/>
          <w:szCs w:val="16"/>
        </w:rPr>
      </w:pPr>
    </w:p>
    <w:p w14:paraId="69D421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Первый опытный ХВ-29 поднялся в небо только в сентябре 1942 года сказалась большая сложность машины, потребовавшая длительной доводки многих агрегатов (3457,117).</w:t>
      </w:r>
    </w:p>
    <w:p w14:paraId="0A0E5ECB" w14:textId="77777777" w:rsidR="00090C9B" w:rsidRPr="00722885" w:rsidRDefault="00090C9B" w:rsidP="00722885">
      <w:pPr>
        <w:pStyle w:val="Iauiue"/>
        <w:jc w:val="both"/>
        <w:rPr>
          <w:color w:val="000000" w:themeColor="text1"/>
          <w:sz w:val="16"/>
          <w:szCs w:val="16"/>
        </w:rPr>
      </w:pPr>
    </w:p>
    <w:p w14:paraId="645740B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Авиапромышленность:</w:t>
      </w:r>
    </w:p>
    <w:p w14:paraId="025AF524" w14:textId="77777777" w:rsidR="00090C9B" w:rsidRPr="00722885" w:rsidRDefault="00090C9B" w:rsidP="00722885">
      <w:pPr>
        <w:pStyle w:val="Iauiue"/>
        <w:jc w:val="both"/>
        <w:rPr>
          <w:iCs/>
          <w:color w:val="000000" w:themeColor="text1"/>
          <w:sz w:val="16"/>
          <w:szCs w:val="16"/>
        </w:rPr>
      </w:pPr>
    </w:p>
    <w:p w14:paraId="767B2A2F" w14:textId="77777777" w:rsidR="00152C26" w:rsidRPr="00722885" w:rsidRDefault="00152C2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 октябре 1942 года завод №18 стал выпускать двухместные штурмовики не доработочного, а основного варианта с характеристиками даже лучшими, нежели упоминавшаяся опытная машина Ил-2 марта 1942. В частности, сократилась длина разбега на взлете, так как к этому времени мотористы несколько увеличили мощность двигателя, введя форсированный режим. Мотор на «иле» стал называться АМ-38Ф (19823).</w:t>
      </w:r>
    </w:p>
    <w:p w14:paraId="6E0E518C" w14:textId="77777777" w:rsidR="00152C26" w:rsidRPr="00722885" w:rsidRDefault="00152C26" w:rsidP="00722885">
      <w:pPr>
        <w:spacing w:after="0" w:line="240" w:lineRule="auto"/>
        <w:jc w:val="both"/>
        <w:rPr>
          <w:rFonts w:ascii="Times New Roman" w:hAnsi="Times New Roman"/>
          <w:color w:val="000000" w:themeColor="text1"/>
          <w:sz w:val="16"/>
          <w:szCs w:val="16"/>
        </w:rPr>
      </w:pPr>
    </w:p>
    <w:p w14:paraId="365B5E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сентябре-октябре 1942-го Ил-4 завода №126 с деревянными консолями и винтами АВ-5Ф-158А проходил госиспытания. Испытания он выдержал. Новинки рекомендовали к внедрению в серию (7666).</w:t>
      </w:r>
    </w:p>
    <w:p w14:paraId="6A3890A1" w14:textId="77777777" w:rsidR="00090C9B" w:rsidRPr="00722885" w:rsidRDefault="00090C9B" w:rsidP="00722885">
      <w:pPr>
        <w:pStyle w:val="Iauiue"/>
        <w:jc w:val="both"/>
        <w:rPr>
          <w:color w:val="000000" w:themeColor="text1"/>
          <w:sz w:val="16"/>
          <w:szCs w:val="16"/>
        </w:rPr>
      </w:pPr>
    </w:p>
    <w:p w14:paraId="171157B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сентябре-октябре 1942-го. Ил-4 завода № 126 с деревянными консоля</w:t>
      </w:r>
      <w:r w:rsidRPr="00722885">
        <w:rPr>
          <w:rFonts w:ascii="Times New Roman" w:hAnsi="Times New Roman"/>
          <w:color w:val="000000" w:themeColor="text1"/>
          <w:sz w:val="16"/>
          <w:szCs w:val="16"/>
        </w:rPr>
        <w:softHyphen/>
        <w:t>ми и винтами АВ-5Ф-158А проходил госиспытания Испытания он выдержал. Новинки рекомендовали к внедрению в серию (10734,71).</w:t>
      </w:r>
    </w:p>
    <w:p w14:paraId="0F5FD30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A2FF7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сентябре-ок</w:t>
      </w:r>
      <w:r w:rsidRPr="00722885">
        <w:rPr>
          <w:rFonts w:ascii="Times New Roman" w:hAnsi="Times New Roman"/>
          <w:color w:val="000000" w:themeColor="text1"/>
          <w:sz w:val="16"/>
          <w:szCs w:val="16"/>
        </w:rPr>
        <w:softHyphen/>
        <w:t>тябре 1942 года один МиГ с М-82 из серии из 5-ти самоле</w:t>
      </w:r>
      <w:r w:rsidRPr="00722885">
        <w:rPr>
          <w:rFonts w:ascii="Times New Roman" w:hAnsi="Times New Roman"/>
          <w:color w:val="000000" w:themeColor="text1"/>
          <w:sz w:val="16"/>
          <w:szCs w:val="16"/>
        </w:rPr>
        <w:softHyphen/>
        <w:t>тов прошел госиспыта</w:t>
      </w:r>
      <w:r w:rsidRPr="00722885">
        <w:rPr>
          <w:rFonts w:ascii="Times New Roman" w:hAnsi="Times New Roman"/>
          <w:color w:val="000000" w:themeColor="text1"/>
          <w:sz w:val="16"/>
          <w:szCs w:val="16"/>
        </w:rPr>
        <w:softHyphen/>
        <w:t>ния. Несмотря на проведенную до</w:t>
      </w:r>
      <w:r w:rsidRPr="00722885">
        <w:rPr>
          <w:rFonts w:ascii="Times New Roman" w:hAnsi="Times New Roman"/>
          <w:color w:val="000000" w:themeColor="text1"/>
          <w:sz w:val="16"/>
          <w:szCs w:val="16"/>
        </w:rPr>
        <w:softHyphen/>
        <w:t>водку ВМГ, его данные оказались не</w:t>
      </w:r>
      <w:r w:rsidRPr="00722885">
        <w:rPr>
          <w:rFonts w:ascii="Times New Roman" w:hAnsi="Times New Roman"/>
          <w:color w:val="000000" w:themeColor="text1"/>
          <w:sz w:val="16"/>
          <w:szCs w:val="16"/>
        </w:rPr>
        <w:softHyphen/>
        <w:t>высоки и составили: у земли - 475 км/ч, на 1-й границе высотности 3075 м - 534 км/ч, на 2-й границе высотности 6150 м — 565 км/ч, время набора 5000 м - 6,7 минут (10686). В 1943 году ОКБ Микояна пост</w:t>
      </w:r>
      <w:r w:rsidRPr="00722885">
        <w:rPr>
          <w:rFonts w:ascii="Times New Roman" w:hAnsi="Times New Roman"/>
          <w:color w:val="000000" w:themeColor="text1"/>
          <w:sz w:val="16"/>
          <w:szCs w:val="16"/>
        </w:rPr>
        <w:softHyphen/>
        <w:t>роило новый опытный самолет И-211 с полностью переконструированной силовой установкой мотора М-82Ф. Особое внимание было уделено тща</w:t>
      </w:r>
      <w:r w:rsidRPr="00722885">
        <w:rPr>
          <w:rFonts w:ascii="Times New Roman" w:hAnsi="Times New Roman"/>
          <w:color w:val="000000" w:themeColor="text1"/>
          <w:sz w:val="16"/>
          <w:szCs w:val="16"/>
        </w:rPr>
        <w:softHyphen/>
        <w:t>тельной внешней и внутренней гер</w:t>
      </w:r>
      <w:r w:rsidRPr="00722885">
        <w:rPr>
          <w:rFonts w:ascii="Times New Roman" w:hAnsi="Times New Roman"/>
          <w:color w:val="000000" w:themeColor="text1"/>
          <w:sz w:val="16"/>
          <w:szCs w:val="16"/>
        </w:rPr>
        <w:softHyphen/>
        <w:t>метизации капота, выполненного, кста</w:t>
      </w:r>
      <w:r w:rsidRPr="00722885">
        <w:rPr>
          <w:rFonts w:ascii="Times New Roman" w:hAnsi="Times New Roman"/>
          <w:color w:val="000000" w:themeColor="text1"/>
          <w:sz w:val="16"/>
          <w:szCs w:val="16"/>
        </w:rPr>
        <w:softHyphen/>
        <w:t>ти, по схеме с боковыми створками. Маслорадиаторы убрали полностью внутрь фюзеляжа. Вооружение соста</w:t>
      </w:r>
      <w:r w:rsidRPr="00722885">
        <w:rPr>
          <w:rFonts w:ascii="Times New Roman" w:hAnsi="Times New Roman"/>
          <w:color w:val="000000" w:themeColor="text1"/>
          <w:sz w:val="16"/>
          <w:szCs w:val="16"/>
        </w:rPr>
        <w:softHyphen/>
        <w:t>вили две синхронные пушки ШВАК. И-211 получился значительно лучше предшественника и на летных испы</w:t>
      </w:r>
      <w:r w:rsidRPr="00722885">
        <w:rPr>
          <w:rFonts w:ascii="Times New Roman" w:hAnsi="Times New Roman"/>
          <w:color w:val="000000" w:themeColor="text1"/>
          <w:sz w:val="16"/>
          <w:szCs w:val="16"/>
        </w:rPr>
        <w:softHyphen/>
        <w:t>таниях достиг скорости 670 км/ч на высоте 7100 м. Но этот результат был получен слишком поздно для того, что</w:t>
      </w:r>
      <w:r w:rsidRPr="00722885">
        <w:rPr>
          <w:rFonts w:ascii="Times New Roman" w:hAnsi="Times New Roman"/>
          <w:color w:val="000000" w:themeColor="text1"/>
          <w:sz w:val="16"/>
          <w:szCs w:val="16"/>
        </w:rPr>
        <w:softHyphen/>
        <w:t>бы самолет мог претендовать на за</w:t>
      </w:r>
      <w:r w:rsidRPr="00722885">
        <w:rPr>
          <w:rFonts w:ascii="Times New Roman" w:hAnsi="Times New Roman"/>
          <w:color w:val="000000" w:themeColor="text1"/>
          <w:sz w:val="16"/>
          <w:szCs w:val="16"/>
        </w:rPr>
        <w:softHyphen/>
        <w:t>пуск в серию (10686).</w:t>
      </w:r>
    </w:p>
    <w:p w14:paraId="4D2D638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1506053" w14:textId="77777777" w:rsidR="008972A4" w:rsidRPr="00722885" w:rsidRDefault="008972A4" w:rsidP="00722885">
      <w:pPr>
        <w:pStyle w:val="a3"/>
        <w:rPr>
          <w:color w:val="000000" w:themeColor="text1"/>
          <w:lang w:val="ru-RU"/>
        </w:rPr>
      </w:pPr>
      <w:r w:rsidRPr="00722885">
        <w:rPr>
          <w:color w:val="000000" w:themeColor="text1"/>
          <w:lang w:val="ru-RU"/>
        </w:rPr>
        <w:t>В сентябре—октябре 1942 г. один из пяти МиГ-9 с М-82 прошел госиспытания. Несмотря проведенную доводку ВМГ, его данные оказались невысоки и составили: у земли 475 км/ч, на 1-й границе высотности 3075 м — 534 км/ч, на 2-й границе высотное</w:t>
      </w:r>
      <w:r w:rsidRPr="00722885">
        <w:rPr>
          <w:color w:val="000000" w:themeColor="text1"/>
          <w:vertAlign w:val="superscript"/>
          <w:lang w:val="ru-RU"/>
        </w:rPr>
        <w:t xml:space="preserve">- </w:t>
      </w:r>
      <w:r w:rsidRPr="00722885">
        <w:rPr>
          <w:color w:val="000000" w:themeColor="text1"/>
          <w:lang w:val="ru-RU"/>
        </w:rPr>
        <w:t>6150 м — 565 км/ч, время набора 5000 м — 6,7 минут (15788).</w:t>
      </w:r>
    </w:p>
    <w:p w14:paraId="638C3D05" w14:textId="77777777" w:rsidR="008972A4" w:rsidRPr="00722885" w:rsidRDefault="008972A4" w:rsidP="00722885">
      <w:pPr>
        <w:pStyle w:val="a3"/>
        <w:rPr>
          <w:color w:val="000000" w:themeColor="text1"/>
          <w:lang w:val="ru-RU"/>
        </w:rPr>
      </w:pPr>
    </w:p>
    <w:p w14:paraId="160DE619" w14:textId="77777777" w:rsidR="00DA508E" w:rsidRPr="00722885" w:rsidRDefault="00DA508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сентябре — октябре 1942 г. на НИП АВ про</w:t>
      </w:r>
      <w:r w:rsidRPr="00722885">
        <w:rPr>
          <w:color w:val="000000" w:themeColor="text1"/>
          <w:sz w:val="16"/>
          <w:szCs w:val="16"/>
        </w:rPr>
        <w:softHyphen/>
        <w:t>ходили испытания опытные образцы авиационных пулеметов калибра 14,5 мм конструкции Салище- ва—Галкина (СГ-14,5) и Волкова—Ярцева (ВЯ-14,5).</w:t>
      </w:r>
    </w:p>
    <w:p w14:paraId="2E411B89" w14:textId="77777777" w:rsidR="00DA508E" w:rsidRPr="00722885" w:rsidRDefault="00DA508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Первый пулемет проектировался под штатный патрон для противотанковых ружей, а второй — под новый, большой мощности патрон разработ</w:t>
      </w:r>
      <w:r w:rsidRPr="00722885">
        <w:rPr>
          <w:color w:val="000000" w:themeColor="text1"/>
          <w:sz w:val="16"/>
          <w:szCs w:val="16"/>
        </w:rPr>
        <w:softHyphen/>
        <w:t>ки ОКБ-16. Начальная скорость бронебойной пули у ВЯ-14,5 была выше, чем у СГ-14,5 (1200 против 1000 м/с), соответственно, лучше была и броне- пробиваемость. Танковую броню 30 мм пуля БС-41 пулемета ВЯ-14,5 пробивала с 600 м по нормали и с 400 м под углом 35° к нормали, а Б-32 — с 500 м по нормали и с 400 м под углом 15° к нормали. Бронепробиваемость СГ-14,5 практически совпада</w:t>
      </w:r>
      <w:r w:rsidRPr="00722885">
        <w:rPr>
          <w:color w:val="000000" w:themeColor="text1"/>
          <w:sz w:val="16"/>
          <w:szCs w:val="16"/>
        </w:rPr>
        <w:softHyphen/>
        <w:t>ла с таковой для снаряда БЗ-23 к пушке ВЯ, в силу чего этот пулемет заметного интереса у военных не вызвал, несмотря на его почти вдвое меньший вес по сравнению с пулеметом ВЯ-14,5 (17500).</w:t>
      </w:r>
    </w:p>
    <w:p w14:paraId="12CA1111" w14:textId="77777777" w:rsidR="00DA508E" w:rsidRPr="00722885" w:rsidRDefault="00DA508E" w:rsidP="00722885">
      <w:pPr>
        <w:spacing w:after="0" w:line="240" w:lineRule="auto"/>
        <w:jc w:val="both"/>
        <w:rPr>
          <w:rFonts w:ascii="Times New Roman" w:eastAsia="Times New Roman" w:hAnsi="Times New Roman"/>
          <w:color w:val="000000" w:themeColor="text1"/>
          <w:sz w:val="16"/>
          <w:szCs w:val="16"/>
          <w:lang w:eastAsia="ru-RU"/>
        </w:rPr>
      </w:pPr>
    </w:p>
    <w:p w14:paraId="6CFD78CA" w14:textId="77777777" w:rsidR="00C306A4" w:rsidRPr="00722885" w:rsidRDefault="00C306A4"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сентябре-октябре 1942 года проходила испытания Пушка ВЯ-14,5, разработанная на базе пушки ВЯ в 1942 году 14,5-мм версия орудия под патрон М. Н. Блюма повышенной начальной скорости, полученный путем переобжатия штатной 23-мм гильзы до калибра 14,5 мм. Патрон 14,5×147 комплектовался штатными бронебойными пулями Б-32 и композитными БС-41 с сердечником из карбида вольфрама от противотанковых ружей. Это позволяло получить начальную скорость порядка 1200 м/с и, соответственно, повышенную бронепробиваемость. Применение такого патрона позволяло уменьшить отдачу пушки, повысить точность огня. Но при темпе стрельбы около 700 выстр/мин отмечалась неудовлетворительная работа автоматики и газового регулятора, быстрый разгар газоотводных отверстий и затрудненная экстракция гильз. Кроме того, высоко</w:t>
      </w:r>
      <w:r w:rsidRPr="00722885">
        <w:rPr>
          <w:color w:val="000000" w:themeColor="text1"/>
          <w:sz w:val="16"/>
          <w:szCs w:val="16"/>
        </w:rPr>
        <w:softHyphen/>
        <w:t>форси</w:t>
      </w:r>
      <w:r w:rsidRPr="00722885">
        <w:rPr>
          <w:color w:val="000000" w:themeColor="text1"/>
          <w:sz w:val="16"/>
          <w:szCs w:val="16"/>
        </w:rPr>
        <w:softHyphen/>
        <w:t>ро</w:t>
      </w:r>
      <w:r w:rsidRPr="00722885">
        <w:rPr>
          <w:color w:val="000000" w:themeColor="text1"/>
          <w:sz w:val="16"/>
          <w:szCs w:val="16"/>
        </w:rPr>
        <w:softHyphen/>
        <w:t>ванная баллистика патрона 14,5×147 резко снижала живучесть оружия.</w:t>
      </w:r>
    </w:p>
    <w:p w14:paraId="530FBF63" w14:textId="77777777" w:rsidR="00C306A4" w:rsidRPr="00722885" w:rsidRDefault="00C306A4"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К лету 1943 года испытания ВЯ-14,5 были свернуты как ввиду низкой надежности системы, так и узкой специализации этого оружия, по бронепробиваемости не превосходящего штатной 23-мм ВЯ.</w:t>
      </w:r>
    </w:p>
    <w:p w14:paraId="1E2E2949" w14:textId="77777777" w:rsidR="00C306A4" w:rsidRPr="00722885" w:rsidRDefault="00C306A4"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Аналогичную работу по 14,5-мм авиапушке вели конструктора Салищев и Галкин на своей версии СГ-14,5, правда, в отличие от Волкова с Ярцевым они полностью переработали свою предвоенную версию СГ-23, изменив схему автоматики с короткого отката ствола на газоотвод. Кроме того, в пушке СГ-14,5 применили стандартный серийный патрон 14,5х114 от противотанковых ружей ПТРД и ПТРС. Баллистика СГ-14,5 получилась не столь форсированной, начальная скорость бронебойной пули достигала 1000 выстр/мин. Но неудовлетворительная надежность системы поставила крест и на этой разработке (19192).</w:t>
      </w:r>
    </w:p>
    <w:p w14:paraId="6BF293B5" w14:textId="77777777" w:rsidR="00C306A4" w:rsidRPr="00722885" w:rsidRDefault="00C306A4" w:rsidP="00722885">
      <w:pPr>
        <w:pStyle w:val="rtecenter"/>
        <w:shd w:val="clear" w:color="auto" w:fill="FFFFFF"/>
        <w:spacing w:before="0" w:beforeAutospacing="0" w:after="0" w:afterAutospacing="0"/>
        <w:jc w:val="both"/>
        <w:textAlignment w:val="baseline"/>
        <w:rPr>
          <w:color w:val="000000" w:themeColor="text1"/>
          <w:sz w:val="16"/>
          <w:szCs w:val="16"/>
        </w:rPr>
      </w:pPr>
    </w:p>
    <w:p w14:paraId="54197DD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0FC8687" w14:textId="77777777" w:rsidR="00090C9B" w:rsidRPr="00722885" w:rsidRDefault="00090C9B" w:rsidP="00722885">
      <w:pPr>
        <w:pStyle w:val="Iauiue"/>
        <w:jc w:val="both"/>
        <w:rPr>
          <w:iCs/>
          <w:color w:val="000000" w:themeColor="text1"/>
          <w:sz w:val="16"/>
          <w:szCs w:val="16"/>
        </w:rPr>
      </w:pPr>
    </w:p>
    <w:p w14:paraId="22C1CD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сентябре-октябре 1942 года на Гороховецком полигоне был испытан 160-мм миномет ЗИФ-14А завода № 7. По проекту начальная скорость должна была быть 180 м/с, а вес мины 40 кг (3861).</w:t>
      </w:r>
    </w:p>
    <w:p w14:paraId="7FF37789" w14:textId="77777777" w:rsidR="00090C9B" w:rsidRPr="00722885" w:rsidRDefault="00090C9B" w:rsidP="00722885">
      <w:pPr>
        <w:pStyle w:val="Iauiue"/>
        <w:jc w:val="both"/>
        <w:rPr>
          <w:color w:val="000000" w:themeColor="text1"/>
          <w:sz w:val="16"/>
          <w:szCs w:val="16"/>
        </w:rPr>
      </w:pPr>
    </w:p>
    <w:p w14:paraId="3A3DBCE7" w14:textId="77777777" w:rsidR="00C306A4" w:rsidRPr="00722885" w:rsidRDefault="00C306A4"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сентябре — октябре 1942 года провели испытания Т-70 с Ш-37. При этом после первого этапа танк пришлось отправить на доработку — выяснилось, что ёмкости баллона со сжатым воздухом (он использовался для перезарядки пушки) хватает всего на 10-15 включений, также отмечалось большое время для перезарядки орудия и низкая скорость вращения башни (19169).</w:t>
      </w:r>
    </w:p>
    <w:p w14:paraId="6D84C6C0" w14:textId="77777777" w:rsidR="00C306A4" w:rsidRPr="00722885" w:rsidRDefault="00C306A4" w:rsidP="00722885">
      <w:pPr>
        <w:pStyle w:val="rtejustify"/>
        <w:shd w:val="clear" w:color="auto" w:fill="FFFFFF"/>
        <w:spacing w:before="0" w:beforeAutospacing="0" w:after="0" w:afterAutospacing="0"/>
        <w:jc w:val="both"/>
        <w:textAlignment w:val="baseline"/>
        <w:rPr>
          <w:color w:val="000000" w:themeColor="text1"/>
          <w:sz w:val="16"/>
          <w:szCs w:val="16"/>
        </w:rPr>
      </w:pPr>
    </w:p>
    <w:p w14:paraId="19C9B5F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Сентябрь-октябрь 1942</w:t>
      </w:r>
    </w:p>
    <w:p w14:paraId="6A5705F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ПОРАЖАЕМОСТЬ ТАНКОВ КРАСНОЙ АРМИИ И ПРИЧИНЫ ВЫХОДА ИХ ИЗ СТРОЯ.</w:t>
      </w:r>
    </w:p>
    <w:p w14:paraId="278CE63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 1</w:t>
      </w:r>
    </w:p>
    <w:p w14:paraId="6369A89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 Т-34.</w:t>
      </w:r>
    </w:p>
    <w:p w14:paraId="6776BC44"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РГАЭ Фонд 8752 Опись 7 Дело 17 лист 1 – 20 </w:t>
      </w:r>
    </w:p>
    <w:p w14:paraId="51217B1B"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СОВ.СЕКРЕТНО </w:t>
      </w:r>
    </w:p>
    <w:p w14:paraId="0C7CA50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Экз. № 4</w:t>
      </w:r>
    </w:p>
    <w:p w14:paraId="24D4F9A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Н.К.Т.П. – С.С.С.Р.</w:t>
      </w:r>
    </w:p>
    <w:p w14:paraId="197A674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ЦЕНТРАЛЬНЫЙ НАУЧНО-ИССЛЕДОВАТЕЛЬСКИЙ ИНСТИТУТ № 48</w:t>
      </w:r>
    </w:p>
    <w:p w14:paraId="07D86F40"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МОСКОВСКАЯ ГРУППА</w:t>
      </w:r>
    </w:p>
    <w:p w14:paraId="1530B209"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ПОРАЖАЕМОСТЬ ТАНКОВ КРАСНОЙ АРМИИ И ПРИЧИНЫ ВЫХОДА ИХ ИЗ СТРОЯ.</w:t>
      </w:r>
    </w:p>
    <w:p w14:paraId="082AB733"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 1</w:t>
      </w:r>
    </w:p>
    <w:p w14:paraId="69C2CE4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 Т-34.</w:t>
      </w:r>
    </w:p>
    <w:p w14:paraId="7170872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выполнена:</w:t>
      </w:r>
    </w:p>
    <w:p w14:paraId="04FEE68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 Инженером ЦНИИ-48 – АРДЕНТОВЫМ</w:t>
      </w:r>
    </w:p>
    <w:p w14:paraId="41DF65F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Инженером ЦНИИ-48 – ЩЕЛКАНОВЫМ</w:t>
      </w:r>
    </w:p>
    <w:p w14:paraId="3258B903"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МОСКВА</w:t>
      </w:r>
    </w:p>
    <w:p w14:paraId="10BE659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Сентябрь 1942 г. Октябрь.</w:t>
      </w:r>
    </w:p>
    <w:p w14:paraId="734CCA04"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 Т-34</w:t>
      </w:r>
    </w:p>
    <w:p w14:paraId="63EEEC12"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Удачная конструкция бронирования, мощное вооружение и хорошие ходовые качества танков Т-34 создали исключительную популярность их в частях Красной Армии. Из документов, захваченных нашими частями у немцев, следует, что танки Т-34 оцениваются врагом как самые современные и мощные боевые машины, потребовавшие введения в германской армии новых видов оружия и методов борьбы с ними. </w:t>
      </w:r>
    </w:p>
    <w:p w14:paraId="5FE348A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танк Т-34 стал в нашей армии самой массовой боевой машиной, в связи с чем, изучение поражаемости его в бою и причины выхода из строя является весьма нужным и важным вопросом. </w:t>
      </w:r>
    </w:p>
    <w:p w14:paraId="2D68026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Исходные данные и метод их обработки.</w:t>
      </w:r>
    </w:p>
    <w:p w14:paraId="0A30A59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качестве исходных данных, взятых для изучения причин выхода танков Т-34 из строя, являлись сведения, собранные работниками Московской группы ЦНИИ-48 на рембазах г. Москвы, а также материалы БТУ ГАБТУ КА, полученные с рембазы при заводе № 112. </w:t>
      </w:r>
    </w:p>
    <w:p w14:paraId="074DAE4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таким образом были собраны сведения по 178 вышедшим из строя танкам, из которых: </w:t>
      </w:r>
    </w:p>
    <w:p w14:paraId="4A24CA5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 танк осмотрен на рембазе № 1 </w:t>
      </w:r>
    </w:p>
    <w:p w14:paraId="00743E6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танков осмотрено на рембазе № 6 </w:t>
      </w:r>
    </w:p>
    <w:p w14:paraId="068BEA57"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 танк осмотрен на рембазе при заводе № 112. </w:t>
      </w:r>
    </w:p>
    <w:p w14:paraId="40A9C00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каждый вышедший из строя танк заполнялась карта поражений, в которой фиксировалось: </w:t>
      </w:r>
    </w:p>
    <w:p w14:paraId="4B39C41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Количество снарядных попаданий по танку, </w:t>
      </w:r>
    </w:p>
    <w:p w14:paraId="02258420"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 Место и координаты попаданий, </w:t>
      </w:r>
    </w:p>
    <w:p w14:paraId="744A6F34"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Характер поражений и разрушений брони, </w:t>
      </w:r>
    </w:p>
    <w:p w14:paraId="669904D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Калибр снаряда (ориентировочно, по размерам поражения), </w:t>
      </w:r>
    </w:p>
    <w:p w14:paraId="175BB30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Последствия поражений и причины выхода танка из строя. </w:t>
      </w:r>
    </w:p>
    <w:p w14:paraId="33F0D8B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Естественно, что данные пунктов 4 и 5 не могут являться абсолютно точными, а лишь ориентировочными, но поскольку заполнение карт производилось работниками, имеющими достаточный опыт в этих вопросах, решено при анализе поражений данные п.п. 4 и 5 принимать как действительные. </w:t>
      </w:r>
    </w:p>
    <w:p w14:paraId="39B76410"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вышедшие из строя танки Т-34 были разделены на две основные группы: </w:t>
      </w:r>
    </w:p>
    <w:p w14:paraId="4B868364"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группа – танки, вышедшие из строя без поражения броневой защиты в результате порчи внутренних механизмов привода и моторов, ходовой части и т.п. </w:t>
      </w:r>
    </w:p>
    <w:p w14:paraId="026B7B6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группа – танки, вышедшие из строя с поражениями броневой защиты в результате повреждений, нанесенных снарядами противотанковой и танковой артиллерии противника, минометным огнем, подрыва на минах и т.п. </w:t>
      </w:r>
    </w:p>
    <w:p w14:paraId="706A03B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произведенного деления установлено, что значительное количество танков выходит из строя без поражений броневой защиты. </w:t>
      </w:r>
    </w:p>
    <w:p w14:paraId="2E1D99D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вывод, однако, сделан только по части вышедших из строя танков, т.е. по 69 машинам, осмотренным на рембазах № 1 и № 6, в число которых вошли все без исключения танки Т-34, находившиеся на указанных рембазах в период 20 Августа – 10 Сентября с/г, а именно: </w:t>
      </w:r>
    </w:p>
    <w:p w14:paraId="40A492F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45 танков (65%) вышли из строя с поражениями броневой защиты и </w:t>
      </w:r>
    </w:p>
    <w:p w14:paraId="04A70C37"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24 танка (35%) вышли из строя без поражения броневой защиты вследствие порчи внутренних механизмов и ходовой части. </w:t>
      </w:r>
    </w:p>
    <w:p w14:paraId="178C3E79"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Остальные 109 машин, к сожалению, не могли быть учтены при определении процента вышедших из строя танков без поражения броневой защиты, т.к. все они являются специально отобранными, как имеющие поражения броневой защиты. </w:t>
      </w:r>
    </w:p>
    <w:p w14:paraId="7A456D0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Танки Т-34, вышедшие из строя без поражений броневой защиты.</w:t>
      </w:r>
    </w:p>
    <w:p w14:paraId="5475049B"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было обследовано 24 танка Т-34, вышедших из строя без поражений броневой защиты. Причины выхода этих машин из строя распределяются следующим образом: </w:t>
      </w:r>
    </w:p>
    <w:p w14:paraId="283E7E69"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Порча мотора – 11 шт. или 45,8% </w:t>
      </w:r>
    </w:p>
    <w:p w14:paraId="00843C4B"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Порча мотора и ходовой части 7 шт. или 29,2% </w:t>
      </w:r>
    </w:p>
    <w:p w14:paraId="6C09BAE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Порча ходовой части 4 шт. или 16,7% </w:t>
      </w:r>
    </w:p>
    <w:p w14:paraId="4C54D9F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От пожара (вероятно от бутылки) 2 шт. или 8,3% </w:t>
      </w:r>
    </w:p>
    <w:p w14:paraId="6E3B6D4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24 шт. или 100%. </w:t>
      </w:r>
    </w:p>
    <w:p w14:paraId="78DC9A6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видно из приведенных данных, основной причиной выхода танков из строя без поражения броневой защиты, является порча мотора. Установить, явился ли выход танка из строя следствием поломки мотора или следствием отработки им установленных мото-часов, во время сбора материалов не представилось возможным. </w:t>
      </w:r>
    </w:p>
    <w:p w14:paraId="421D5330"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Потребность в ремонте мотора выявилась на 18 машинах, что составляет 75% от осмотренного количества. </w:t>
      </w:r>
    </w:p>
    <w:p w14:paraId="7A0D418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III. Танки Т-34, вышедшие из строя с поражениями броневой защиты.</w:t>
      </w:r>
    </w:p>
    <w:p w14:paraId="6999051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было обследовано 154 танка Т-34 вышедшие из строя с поражениями броневой защиты, которые распределились следующим образом: </w:t>
      </w:r>
    </w:p>
    <w:p w14:paraId="2E64D377"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Поражений на корпусе 432 шт. или 81% </w:t>
      </w:r>
    </w:p>
    <w:p w14:paraId="6D115817"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Поражений на башне 102 шт. или 19% </w:t>
      </w:r>
    </w:p>
    <w:p w14:paraId="4D6D5EB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534 шт. 100 % </w:t>
      </w:r>
    </w:p>
    <w:p w14:paraId="77D79620"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разбить все поражения на 2 группы, опасные и безопасные, т.е. с нарушением тыльной прочности, когда снаряд проникает за броню и причиняет разрушения механизмам и выводит из строя экипаж, и без нарушения тыльной прочности (выбоины, вмятины), то получается, что из 534 поражений: </w:t>
      </w:r>
    </w:p>
    <w:p w14:paraId="24A74F4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безопасных – 289 или 54% </w:t>
      </w:r>
    </w:p>
    <w:p w14:paraId="4199F23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опасных – 245 или 46% </w:t>
      </w:r>
    </w:p>
    <w:p w14:paraId="49EF3A5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таблице № 1 показано количественное распределение всех поражений по калибрам снарядов, которыми они были нанесены. </w:t>
      </w:r>
    </w:p>
    <w:p w14:paraId="799E2B8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w:t>
      </w:r>
    </w:p>
    <w:p w14:paraId="43F94AB6"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таблицы № 1 видно, что основным средством борьбы с танками Т-34 является артиллерия калибра 50 мм и более половины всех поражений нанесено именно этим калибром. </w:t>
      </w:r>
    </w:p>
    <w:p w14:paraId="4DB41271"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таблице № 2 приведено количественное соотношение безопасных и опасных поражений отдельно по каждому калибру снарядов. </w:t>
      </w:r>
    </w:p>
    <w:p w14:paraId="1034493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2</w:t>
      </w:r>
    </w:p>
    <w:p w14:paraId="40E9F72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приведенных данных видно, что наиболее эффективными снарядами по своему действию, являются снаряды калибра 88 мм, 75 мм и 50 мм. Несколько искаженными получились данные по снаряду калибра 105 мм, это можно объяснить тем, что подавляющее большинство поражений снарядами этого калибра было на верхней лобовой детали корпуса, установленной под большим углом наклона и имеющей, благодаря этому, значительно повышенную бронестойкость по сравнению с другими деталями такой же толщины. </w:t>
      </w:r>
    </w:p>
    <w:p w14:paraId="6ABC99F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таблице № 3 показано распределение поражений по корпусу и башне и средние количества поражений, приходящихся на один танк, корпус и башню. </w:t>
      </w:r>
    </w:p>
    <w:p w14:paraId="606C8FE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3</w:t>
      </w:r>
    </w:p>
    <w:p w14:paraId="3FD9303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видно из таблицы № 3, танк Т-34 выводится из строя сравнительно небольшим количеством опасных поражений, т.е. 1,59 поражения на один танк. Число попаданий по машинам колеблется от 1 до 17, причем оказалось что: </w:t>
      </w:r>
    </w:p>
    <w:p w14:paraId="0A1C6B2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 машина имеет по 1 поражению </w:t>
      </w:r>
    </w:p>
    <w:p w14:paraId="7F478C9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 машины имеют по 2 поражения </w:t>
      </w:r>
    </w:p>
    <w:p w14:paraId="76E93307"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машины имеют по 3 поражения </w:t>
      </w:r>
    </w:p>
    <w:p w14:paraId="6B5779F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машин имеют по 4 поражения </w:t>
      </w:r>
    </w:p>
    <w:p w14:paraId="15EF04A0"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машин имеют по 5 поражений </w:t>
      </w:r>
    </w:p>
    <w:p w14:paraId="0D912666"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машин имеют по 6 поражений </w:t>
      </w:r>
    </w:p>
    <w:p w14:paraId="147ADA5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машин имеют по 7 поражений </w:t>
      </w:r>
    </w:p>
    <w:p w14:paraId="481719C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машины имеют по 8 поражений </w:t>
      </w:r>
    </w:p>
    <w:p w14:paraId="39454096"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машин имеют по 9 поражений </w:t>
      </w:r>
    </w:p>
    <w:p w14:paraId="30CB8B0B"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машины имеют по 10 поражений </w:t>
      </w:r>
    </w:p>
    <w:p w14:paraId="0BA1E297"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машины имеют по 11 поражений </w:t>
      </w:r>
    </w:p>
    <w:p w14:paraId="5C7E7A2B"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машина имеет 13 поражений </w:t>
      </w:r>
    </w:p>
    <w:p w14:paraId="7B21B01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машина имеет 16 поражений </w:t>
      </w:r>
    </w:p>
    <w:p w14:paraId="566E4956"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машина имеет 17 поражений </w:t>
      </w:r>
    </w:p>
    <w:p w14:paraId="60004B5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таблице № 4 приведены данные по распределению всех поражений (по характеру и по калибру снаряда) по отдельным деталям корпуса и башни танка. </w:t>
      </w:r>
    </w:p>
    <w:p w14:paraId="0658614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4</w:t>
      </w:r>
    </w:p>
    <w:p w14:paraId="07983AC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таблице № 5 дано распределение поражений различными калибрами снарядов по деталям корпуса и башни в %% от общего количества поражений по 154 танкам. </w:t>
      </w:r>
    </w:p>
    <w:p w14:paraId="7614C726"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5</w:t>
      </w:r>
    </w:p>
    <w:p w14:paraId="1629069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артиллерийского обстрела танки Т-34 выходят из строя в результате подрыва на минах или пожара от зажигательных бутылок. Из общего количества обследованных танков на 9 из них (5,9%) кроме следов артиллерийского обстрела были обнаружены следы подрыва на минах. Во всех случаях эти танки имели сильные повреждения днища, а в отдельных случаях силой взрыва оказывались сорванными башня танка и крыша моторного отделения. </w:t>
      </w:r>
    </w:p>
    <w:p w14:paraId="3EEEF6E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Наличие пожара на танках с поврежденной броневой защитой было установлено на 38 машинах (24,6%), причем на 31 машине из этого количества пожар возник в результате артиллерийского обстрела, а на 7 машинах кроме артиллерийского обстрела имелись разрушения в результате подрыва на мине, что же, однако, явилось действительной причиной возникновения пожара (артобстрел или подрыв на мине) в упомянутых 7 случаях установить не удалось. </w:t>
      </w:r>
    </w:p>
    <w:p w14:paraId="70837F51"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приводятся данные по характеру и количеству поражений отдельных броневых деталей танка снарядами различных калибров. </w:t>
      </w:r>
    </w:p>
    <w:p w14:paraId="7FB8407B"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Верхняя лобовая деталь.</w:t>
      </w:r>
    </w:p>
    <w:p w14:paraId="5A8EAAD7"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на 154 машинах зарегистрировано 109 поражений верхнего лобового листа, из которых 89 (82%) безопасных. Все эти поражения являются результатом обстрела бронебойными снарядами из противотанковой, танковой, полевой и зенитной артиллерии всех калибров. В таблице № 6 приведены данные по количеству поражений верхнего лобового листа снарядами различного калибра и данные по характеру поражений. </w:t>
      </w:r>
    </w:p>
    <w:p w14:paraId="2E3CD332"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6</w:t>
      </w:r>
    </w:p>
    <w:p w14:paraId="6E7EFDE0"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Эффективность действия снарядов разных калибров по верхней лобовой детали различна. Как видно из таблицы № 7, наиболее эффективными оказались снаряды калибром 88 мм. </w:t>
      </w:r>
    </w:p>
    <w:p w14:paraId="18DE7CF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7</w:t>
      </w:r>
    </w:p>
    <w:p w14:paraId="2A6D4D60"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Действие остальных снарядов по верхней лобовой детали малоэффективно. По всем калибрам всего оказалось только 18% опасных поражений, приходящихся, в основном, на калибры выше 75 мм. Опасные поражения калибра 20 мм явились, очевидно, результатом обстрела детали подкалиберными снарядами. Наиболее массовый 50 мм снаряд (39,6% поражений этим калибром) оказался мало эффективным – он дал всего 11% опасных поражений. В целом следует отметить высокую бронестойкость верхней лобовой детали благодаря ее наклонному положению. </w:t>
      </w:r>
    </w:p>
    <w:p w14:paraId="3E3E2B73"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Нижняя лобовая деталь.</w:t>
      </w:r>
    </w:p>
    <w:p w14:paraId="7215B0D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нижней лобовой детали было обнаружено всего 12 поражений (2,25%) – т.е. количество весьма незначительное. В таблице № 8 показано распределение поражений по их характеру и по калибрам снарядов. </w:t>
      </w:r>
    </w:p>
    <w:p w14:paraId="452F2989"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8</w:t>
      </w:r>
    </w:p>
    <w:p w14:paraId="3D59546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видно из таблицы, большая часть поражений (66%) являются безопасными. </w:t>
      </w:r>
    </w:p>
    <w:p w14:paraId="2707888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Борта и подкрылки.</w:t>
      </w:r>
    </w:p>
    <w:p w14:paraId="670E453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уже указывалось выше (таблица № 4), наибольшая часть всех поражений приходится на борта и подкрылки. В сумме на этих деталях оказалось 270 поражений, т.е. – 50,50% от общего количества, причем 157 поражения (или 58% от всех поражений по этим деталям) приходится на переднюю часть этих деталей (защита отделения управления и боевого отделения) и 113 поражений (42,0%) – на заднюю часть (защита моторного и трансмиссионного отделения). В приводимых ниже таблицах показано количественное и качественное распределение всех поражений по этим деталям. </w:t>
      </w:r>
    </w:p>
    <w:p w14:paraId="298321F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9</w:t>
      </w:r>
    </w:p>
    <w:p w14:paraId="26BA83F4"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Распределение поражений от снарядов различных калибров по бортам танков Т-34.</w:t>
      </w:r>
    </w:p>
    <w:p w14:paraId="5C64FA36"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ПРИМЕЧАНИЕ: В таблице приведены %% отнесенные к общему количеству поражений только на бортах. </w:t>
      </w:r>
    </w:p>
    <w:p w14:paraId="28DFC9E7"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10</w:t>
      </w:r>
    </w:p>
    <w:p w14:paraId="2C51660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Эффективность действия снарядов различного калибра по бортам танка Т-34. </w:t>
      </w:r>
    </w:p>
    <w:p w14:paraId="49C4F75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видно из приведенных таблиц, наиболее массовым средством борьбы является, как это уже отмечалось выше, снаряды калибром 50 мм. Наиболее эффективными являются снаряды калибром 75, 88 и 105 мм. Все попадания этими снарядами оказались опасными. Калибр 50 мм также оказался достаточно эффективным – 61,5% поражений этим калибром получились опасными. </w:t>
      </w:r>
    </w:p>
    <w:p w14:paraId="24516653"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своему характеру поражения на бортовых деталях располагаются следующим образом: </w:t>
      </w:r>
    </w:p>
    <w:p w14:paraId="61CF4DF3"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11</w:t>
      </w:r>
    </w:p>
    <w:p w14:paraId="68EE4E46"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12</w:t>
      </w:r>
    </w:p>
    <w:p w14:paraId="193DBBF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Распределение поражений от снарядов различных калибров по подкрылкам танка Т-34.</w:t>
      </w:r>
    </w:p>
    <w:p w14:paraId="70606863"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ПРИМЕЧАНИЕ: В таблице приведены %% отнесенные к общему количеству поражений только на подкрылках. </w:t>
      </w:r>
    </w:p>
    <w:p w14:paraId="3D919B9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таблицах №№ 13 и 14 дано распределение поражений по их характеру и данные по эффективности действия снарядов различного калибра по подкрылкам. </w:t>
      </w:r>
    </w:p>
    <w:p w14:paraId="160BEDC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13</w:t>
      </w:r>
    </w:p>
    <w:p w14:paraId="62AD4B39"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Распределение поражений по их характеру от снарядов различного калибра.</w:t>
      </w:r>
    </w:p>
    <w:p w14:paraId="2D2BAD70"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14</w:t>
      </w:r>
    </w:p>
    <w:p w14:paraId="7FA9727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Эффективность действия снарядов различного калибра по подкрылкам. </w:t>
      </w:r>
    </w:p>
    <w:p w14:paraId="2298EB5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Сравнивая данные таблицы № 9 и № 12, становится очевидным то значительное увеличение бронестойкости, которое получается у подкрылков за счет их наклона. В то время как 67,6% всех попаданий по бортам являются для них опасными, для подкрылков оказались опасными только 28,6%. </w:t>
      </w:r>
    </w:p>
    <w:p w14:paraId="5F8A282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Кормовые детали и крыша.</w:t>
      </w:r>
    </w:p>
    <w:p w14:paraId="52341492"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Поражение кормовых деталей наблюдается сравнительно редко. Всего на кормовых деталях зафиксировано 40 попаданий, из которых 21 попадание (или 3,94% от всех попаданий по всем танкам) приходится на верхнюю кормовую деталь, и 19 попаданий (3,58%) на нижнюю кормовую деталь. Поражение крыши корпуса артиллерийским огнем зарегистрировано только на одной машине из 154. Распределение поражений приведено в таблицах №№ 15 – 18. </w:t>
      </w:r>
    </w:p>
    <w:p w14:paraId="3306172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15</w:t>
      </w:r>
    </w:p>
    <w:p w14:paraId="0BB32583"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Распределение попаданий снарядами различных калибров по количеству и характеру поражения</w:t>
      </w:r>
    </w:p>
    <w:p w14:paraId="72B2CD1B"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верхней кормовой детали.</w:t>
      </w:r>
    </w:p>
    <w:p w14:paraId="50737FB1"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 от общего количества поражений всеми калибрами по этой детали) </w:t>
      </w:r>
    </w:p>
    <w:p w14:paraId="79F67EF1"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16</w:t>
      </w:r>
    </w:p>
    <w:p w14:paraId="0070D4F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Эффективность действия снарядов различного калибра по верхней кормовой детали. </w:t>
      </w:r>
    </w:p>
    <w:p w14:paraId="03A7EE6B"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17</w:t>
      </w:r>
    </w:p>
    <w:p w14:paraId="5C721FB0"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Распределение попаданий снарядами различных калибров по количеству и характеру поражения</w:t>
      </w:r>
    </w:p>
    <w:p w14:paraId="21369DB4"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нижней кормовой детали.</w:t>
      </w:r>
    </w:p>
    <w:p w14:paraId="474CD92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 от общего количества поражений всеми калибрами по этой детали) </w:t>
      </w:r>
    </w:p>
    <w:p w14:paraId="6A33BA68"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18</w:t>
      </w:r>
    </w:p>
    <w:p w14:paraId="5D8310A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Эффективность действия снарядов различного калибра по нижней кормовой детали. </w:t>
      </w:r>
    </w:p>
    <w:p w14:paraId="0823C871"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Детали башни.</w:t>
      </w:r>
    </w:p>
    <w:p w14:paraId="5FCD59B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таблицах №№ 19 – 24 показано распределение попаданий на деталях башни по калибру и характеру поражений, и по эффективности действия снарядов различных калибров. </w:t>
      </w:r>
    </w:p>
    <w:p w14:paraId="63F87476"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19</w:t>
      </w:r>
    </w:p>
    <w:p w14:paraId="4D98B3A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Распределение поражений на лобовой детали и маске башни по калибрам снарядов и характеру поражений</w:t>
      </w:r>
    </w:p>
    <w:p w14:paraId="7631C16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 от общего количества поражений по этим деталям) </w:t>
      </w:r>
    </w:p>
    <w:p w14:paraId="6DD53FD1"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20</w:t>
      </w:r>
    </w:p>
    <w:p w14:paraId="28FE262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Эффективность действия снарядов различных калибров по лобовой детали башни и маски. </w:t>
      </w:r>
    </w:p>
    <w:p w14:paraId="390A1E9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21</w:t>
      </w:r>
    </w:p>
    <w:p w14:paraId="5444C68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Распределение поражений на бортах башни по калибрам снарядов и характеру поражений</w:t>
      </w:r>
    </w:p>
    <w:p w14:paraId="6D80CE94"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 от общего количества поражений на этих деталях) </w:t>
      </w:r>
    </w:p>
    <w:p w14:paraId="0182040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22</w:t>
      </w:r>
    </w:p>
    <w:p w14:paraId="73E1F2A2"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Эффективность действия снарядов различного калибра по бортам башни. </w:t>
      </w:r>
    </w:p>
    <w:p w14:paraId="3E262C7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23</w:t>
      </w:r>
    </w:p>
    <w:p w14:paraId="59856B2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Эффективность действия снарядов различных калибров по корме башни</w:t>
      </w:r>
    </w:p>
    <w:p w14:paraId="6E6DD79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 от общего количества поражений по этим деталям). </w:t>
      </w:r>
    </w:p>
    <w:p w14:paraId="06F5B7A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24</w:t>
      </w:r>
    </w:p>
    <w:p w14:paraId="1B93EAE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Эффективность действия снарядов различных калибров по крыше, юбке башни и орудию. </w:t>
      </w:r>
    </w:p>
    <w:p w14:paraId="14A8245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Замечания по качеству брони танка Т-34.</w:t>
      </w:r>
    </w:p>
    <w:p w14:paraId="118812A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Имеющиеся данные по поражениям основных деталей позволяют по количеству хрупких поражений дать оценку качества брони, применяемой для танка Т-34. </w:t>
      </w:r>
    </w:p>
    <w:p w14:paraId="2C41393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таблице № 25 приведены сводные данные по характеру всех поражений по всем деталям снарядами различных калибров в %% от общего количества зафиксированных попаданий. </w:t>
      </w:r>
    </w:p>
    <w:p w14:paraId="5D3D8A16"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25</w:t>
      </w:r>
    </w:p>
    <w:p w14:paraId="1CE75F49"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Распределение всех попаданий снарядами различных калибров по характеру поражения</w:t>
      </w:r>
    </w:p>
    <w:p w14:paraId="733F3F92"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 от общего количества поражений). </w:t>
      </w:r>
    </w:p>
    <w:p w14:paraId="5C76ABE3"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видно из таблицы, процент хрупких поражений (проломы, проломы с трещинами, отколы и расколы) весьма невелик – суммарно он равен 3,9%, причем основная масса хрупких поражений явилась результатом попаданий по танку снарядов калибра свыше 50 мм и невыясненными калибрами, которыми могли быть и авиабомбы, и гранаты, и мины, и т.п. В целом по характеру поражений качество брони следует признать вполне удовлетворительным. Оценку брони по бронестойкости, в виду неизвестных дистанций и углов обстрела, дать не представляется возможным. </w:t>
      </w:r>
    </w:p>
    <w:p w14:paraId="4FAD1A60"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3ED9B8D4"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Приведенный в настоящем отчете материал дает представление о поражаемости броневой защиты танков Т-34 и причинах выхода их из строя. </w:t>
      </w:r>
    </w:p>
    <w:p w14:paraId="419482B2"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Установлено, что 35% обследованных танков вышло из строя без поражения броневой защиты, в результате порчи внутренних механизмов, ходовой части, и в основном в результате отказа моторной группы. Это обстоятельство указывает на необходимость повышения качества внутренних механизмов или увеличения сроков их службы. </w:t>
      </w:r>
    </w:p>
    <w:p w14:paraId="7966ACCB"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Что же касается качества брони, то броня танка Т-34 по сопротивляемости снаряда расчетного калибра 45 мм вполне удовлетворительна. Процент хрупких поражений (3,9%), получившихся в основном в результате попаданий снарядами крупного или "неустановленного" калибра, для брони высокой твердости следует признать не высоким. </w:t>
      </w:r>
    </w:p>
    <w:p w14:paraId="72FFE88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показал анализ распределения попаданий по отдельным деталям, более всего подвергаются обстрелу борта и подкрылки корпуса (50,5%), лоб корпуса танка (22,65%) и башня (19,14%). Эффективность же попаданий по этим деталям весьма различна и зависит, в основном, от геометрического положения детали на корпусе, от ее конструктивного угла наклона. Так, например, на верхней лобовой детали, установленной под углом 60˚ к вертикали, опасных поражений оказалось всего лишь 18%. Наиболее очевидным это положение становится при сравнении результатов попаданий по бортам и подкрылкам корпуса. На бортах корпуса, расположенных вертикально, из 123 попаданий 83 попадания или 67,7% оказались опасными, в то время как на подкрылках, расположенных под углом 40˚ к вертикали, оказалось опасных поражений всего 28,6% (42 попадания из 147). Совершенно очевидно, что еще большее увеличение угла наклона этой детали обеспечит дальнейшее уменьшение процента опасных поражений. </w:t>
      </w:r>
    </w:p>
    <w:p w14:paraId="5E8925F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Наиболее массовым средством, применяемым германской армией для борьбы с танками Т-34, является артиллерия калибром до 50 мм. В большинстве своем немцы применяют против наших танков снаряды обычные, бронебойные. </w:t>
      </w:r>
    </w:p>
    <w:p w14:paraId="4E8340B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же касается применения подкалиберных снарядов, то к ним могут быть отнесены поражения диаметром не более 37 мм. Количество таких попаданий (суммарно Ø 20 и 37 мм) составляет всего 14,7%, причем часть из них может быть результатом попаданий обычными бронебойными снарядами калибром 20 и 37 мм. Таким образом, на основании этих цифр можно считать весьма незначительным распространением подкалиберных снарядов в немецкой армии в период Май – Июль м-цы. </w:t>
      </w:r>
    </w:p>
    <w:p w14:paraId="1C5766BB"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эффективности действия на броню танков Т-34 на первом месте стоят снаряды калибром 88 мм, т.к. 95% от всех поражений этим калибром оказались опасными. Это обстоятельство может быть объяснено тем, что по имеющимся данным, стрельба снарядами этого калибра производится из зенитных пушек, отличающихся большой начальной скоростью снарядов. 105 мм снаряды оказались менее эффективными (31% опасных поражений), что возможно явилось следствием того обстоятельства, что большая часть поражений этими снарядами пришлась на верхнюю лобовую деталь корпуса, а также, возможно по причинам относящимся к области баллистики этих снарядов (крутизна траектории, начальная скорость). </w:t>
      </w:r>
    </w:p>
    <w:p w14:paraId="600CE621"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Рассматривая количество поражений по отельным деталям можно получить некоторое представление о тактике ведения боя. То обстоятельство, что наибольшее количество поражений (50,5%) приходятся на борта и подкрылки корпуса, обладающие значительно меньшей бронестойкостью, чем лобовые части танка, возможно является следствием или незнания и недооценки тактических свойств танка Т-34 его экипажем, или неумением использовать тактические свойства танка, а возможно является следствием затрудненности ведения наблюдений во время боя по причинам, заложенным в самой конструкции танка, и, в результате этого, несвоевременного обнаружения огневых точек противника. </w:t>
      </w:r>
    </w:p>
    <w:p w14:paraId="69E563C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всего вышеизложенного следует, что борьба за увеличение живучести танков Т-34 должна вестись в основном в двух направлениях: </w:t>
      </w:r>
    </w:p>
    <w:p w14:paraId="20323A7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Путем повышения качества внутренних механизмов и ходовой части танков и </w:t>
      </w:r>
    </w:p>
    <w:p w14:paraId="41FA9BC9"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Путем правильного использования тактических свойств и преимущества танка Т-34 экипажем машины, для чего необходимо резко повысить качество тактической подготовки экипажей.</w:t>
      </w:r>
    </w:p>
    <w:p w14:paraId="463747B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МОСКОВСКОЙ ГРУППЫ ЦНИИ-48 подпись (ЛАРИН)</w:t>
      </w:r>
    </w:p>
    <w:p w14:paraId="51C6D4DA"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СТАРШИЙ ИНЖЕНЕР ЦНИИ-48 подпись (АРДЕНТОВ)</w:t>
      </w:r>
    </w:p>
    <w:p w14:paraId="53E090D3"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ИНЖЕНЕР ЦНИИ-48 подпись (ЩЕЛКАНОВ)</w:t>
      </w:r>
    </w:p>
    <w:p w14:paraId="6920E27D"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Отп. 6 экз. </w:t>
      </w:r>
    </w:p>
    <w:p w14:paraId="2D9DCE92"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НКТП – ПОПОВУ </w:t>
      </w:r>
    </w:p>
    <w:p w14:paraId="1A0A85DE"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ГАБТУ – Коробкову </w:t>
      </w:r>
    </w:p>
    <w:p w14:paraId="20BE4C6C"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ГАУ – Хохлову </w:t>
      </w:r>
    </w:p>
    <w:p w14:paraId="3F869C9B"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ГУ НКТП – Хабахпашеву </w:t>
      </w:r>
    </w:p>
    <w:p w14:paraId="2A32CA31"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ЦНИИ-48 т. Завьялову </w:t>
      </w:r>
    </w:p>
    <w:p w14:paraId="79837225"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дело МГ ЦНИИ-48 </w:t>
      </w:r>
    </w:p>
    <w:p w14:paraId="42BEE60F"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 АРДЕНТОВ </w:t>
      </w:r>
    </w:p>
    <w:p w14:paraId="308CA797" w14:textId="77777777" w:rsidR="00C306A4" w:rsidRPr="00722885" w:rsidRDefault="00C306A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5 3.XI-42 г. (18421).</w:t>
      </w:r>
    </w:p>
    <w:p w14:paraId="1F06130A" w14:textId="77777777" w:rsidR="00C306A4" w:rsidRPr="00722885" w:rsidRDefault="00C306A4" w:rsidP="00722885">
      <w:pPr>
        <w:spacing w:after="0" w:line="240" w:lineRule="auto"/>
        <w:jc w:val="both"/>
        <w:rPr>
          <w:rFonts w:ascii="Times New Roman" w:hAnsi="Times New Roman"/>
          <w:color w:val="000000" w:themeColor="text1"/>
          <w:sz w:val="16"/>
          <w:szCs w:val="16"/>
        </w:rPr>
      </w:pPr>
    </w:p>
    <w:p w14:paraId="47152F8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w:t>
      </w:r>
      <w:r w:rsidRPr="00722885">
        <w:rPr>
          <w:rFonts w:ascii="Times New Roman" w:hAnsi="Times New Roman"/>
          <w:color w:val="000000" w:themeColor="text1"/>
          <w:sz w:val="16"/>
          <w:szCs w:val="16"/>
        </w:rPr>
        <w:softHyphen/>
        <w:t>тябре-октябре 1942 г. Завод № 76 вышел на запланированные мощности. Прекратились пе</w:t>
      </w:r>
      <w:r w:rsidRPr="00722885">
        <w:rPr>
          <w:rFonts w:ascii="Times New Roman" w:hAnsi="Times New Roman"/>
          <w:color w:val="000000" w:themeColor="text1"/>
          <w:sz w:val="16"/>
          <w:szCs w:val="16"/>
        </w:rPr>
        <w:softHyphen/>
        <w:t>ребои с сырьем и материалами, что моментально сказалось на качестве выпускаемых двигателей - их ресурс много</w:t>
      </w:r>
      <w:r w:rsidRPr="00722885">
        <w:rPr>
          <w:rFonts w:ascii="Times New Roman" w:hAnsi="Times New Roman"/>
          <w:color w:val="000000" w:themeColor="text1"/>
          <w:sz w:val="16"/>
          <w:szCs w:val="16"/>
        </w:rPr>
        <w:softHyphen/>
        <w:t>кратно возрос. Нет, завод по-прежнему гарантировал нара</w:t>
      </w:r>
      <w:r w:rsidRPr="00722885">
        <w:rPr>
          <w:rFonts w:ascii="Times New Roman" w:hAnsi="Times New Roman"/>
          <w:color w:val="000000" w:themeColor="text1"/>
          <w:sz w:val="16"/>
          <w:szCs w:val="16"/>
        </w:rPr>
        <w:softHyphen/>
        <w:t>ботку на отказ в районе 100-150 часов, но реально уже не было исключением, если установленный на Т-34 В-2 отра</w:t>
      </w:r>
      <w:r w:rsidRPr="00722885">
        <w:rPr>
          <w:rFonts w:ascii="Times New Roman" w:hAnsi="Times New Roman"/>
          <w:color w:val="000000" w:themeColor="text1"/>
          <w:sz w:val="16"/>
          <w:szCs w:val="16"/>
        </w:rPr>
        <w:softHyphen/>
        <w:t>батывал и много больше. В запасном полку был зафикси</w:t>
      </w:r>
      <w:r w:rsidRPr="00722885">
        <w:rPr>
          <w:rFonts w:ascii="Times New Roman" w:hAnsi="Times New Roman"/>
          <w:color w:val="000000" w:themeColor="text1"/>
          <w:sz w:val="16"/>
          <w:szCs w:val="16"/>
        </w:rPr>
        <w:softHyphen/>
        <w:t>рован факт работы двигателя свыше 660 часов без поломок (10782).</w:t>
      </w:r>
    </w:p>
    <w:p w14:paraId="12CD90D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33B059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-октябре 1942 г. был разработан Танк Т-90 в КБ Горьковского автозавода под общим руководством Н.А. Астрова (проектирова</w:t>
      </w:r>
      <w:r w:rsidRPr="00722885">
        <w:rPr>
          <w:rFonts w:ascii="Times New Roman" w:hAnsi="Times New Roman"/>
          <w:color w:val="000000" w:themeColor="text1"/>
          <w:sz w:val="16"/>
          <w:szCs w:val="16"/>
        </w:rPr>
        <w:softHyphen/>
        <w:t>ние, изготовление и испытания проводились под руководством инжене</w:t>
      </w:r>
      <w:r w:rsidRPr="00722885">
        <w:rPr>
          <w:rFonts w:ascii="Times New Roman" w:hAnsi="Times New Roman"/>
          <w:color w:val="000000" w:themeColor="text1"/>
          <w:sz w:val="16"/>
          <w:szCs w:val="16"/>
        </w:rPr>
        <w:softHyphen/>
        <w:t>ра Василевского) на базе танка Т-70М. Ведущим инженером машины был Маклаков. Опытный образец танка был изготовлен в ноябре 1942 г. и предъявлен на предварительные испытания, которые прошли в пери</w:t>
      </w:r>
      <w:r w:rsidRPr="00722885">
        <w:rPr>
          <w:rFonts w:ascii="Times New Roman" w:hAnsi="Times New Roman"/>
          <w:color w:val="000000" w:themeColor="text1"/>
          <w:sz w:val="16"/>
          <w:szCs w:val="16"/>
        </w:rPr>
        <w:softHyphen/>
        <w:t>од с 12 по 18 ноября 1942 г. С 5 по 12 декабря танк Т-90 выдержал срав</w:t>
      </w:r>
      <w:r w:rsidRPr="00722885">
        <w:rPr>
          <w:rFonts w:ascii="Times New Roman" w:hAnsi="Times New Roman"/>
          <w:color w:val="000000" w:themeColor="text1"/>
          <w:sz w:val="16"/>
          <w:szCs w:val="16"/>
        </w:rPr>
        <w:softHyphen/>
        <w:t>нительные полигонные испытания с танком Т-70-3, продемонстриро</w:t>
      </w:r>
      <w:r w:rsidRPr="00722885">
        <w:rPr>
          <w:rFonts w:ascii="Times New Roman" w:hAnsi="Times New Roman"/>
          <w:color w:val="000000" w:themeColor="text1"/>
          <w:sz w:val="16"/>
          <w:szCs w:val="16"/>
        </w:rPr>
        <w:softHyphen/>
        <w:t>вав возможность ведения огня как по наземным, так и по воздушным целям. По результатам испытаний после устранения выявленных недо</w:t>
      </w:r>
      <w:r w:rsidRPr="00722885">
        <w:rPr>
          <w:rFonts w:ascii="Times New Roman" w:hAnsi="Times New Roman"/>
          <w:color w:val="000000" w:themeColor="text1"/>
          <w:sz w:val="16"/>
          <w:szCs w:val="16"/>
        </w:rPr>
        <w:softHyphen/>
        <w:t>статков машина была рекомендована для принятия на вооружение РККА, но в связи с прекращением выпуска легких танков Т-70М и Т-80 (при проектировании был предусмотрен вариант использования и это</w:t>
      </w:r>
      <w:r w:rsidRPr="00722885">
        <w:rPr>
          <w:rFonts w:ascii="Times New Roman" w:hAnsi="Times New Roman"/>
          <w:color w:val="000000" w:themeColor="text1"/>
          <w:sz w:val="16"/>
          <w:szCs w:val="16"/>
        </w:rPr>
        <w:softHyphen/>
        <w:t>го шасси) и изменения ТТТ к такого рода машинам, дальнейшие рабо</w:t>
      </w:r>
      <w:r w:rsidRPr="00722885">
        <w:rPr>
          <w:rFonts w:ascii="Times New Roman" w:hAnsi="Times New Roman"/>
          <w:color w:val="000000" w:themeColor="text1"/>
          <w:sz w:val="16"/>
          <w:szCs w:val="16"/>
        </w:rPr>
        <w:softHyphen/>
        <w:t>ты по танку Т-90 были прекращены. Опытный образец танка Т-90 был изготовлен на базе серийного тан</w:t>
      </w:r>
      <w:r w:rsidRPr="00722885">
        <w:rPr>
          <w:rFonts w:ascii="Times New Roman" w:hAnsi="Times New Roman"/>
          <w:color w:val="000000" w:themeColor="text1"/>
          <w:sz w:val="16"/>
          <w:szCs w:val="16"/>
        </w:rPr>
        <w:softHyphen/>
        <w:t>ка Т-70 (первого выпуска) и отличался от него установкой вооружения и измененной конструкцией башни. Схема общей компоновки машины принципиально была такой же, как у танка Т-70. Экипаж машины со</w:t>
      </w:r>
      <w:r w:rsidRPr="00722885">
        <w:rPr>
          <w:rFonts w:ascii="Times New Roman" w:hAnsi="Times New Roman"/>
          <w:color w:val="000000" w:themeColor="text1"/>
          <w:sz w:val="16"/>
          <w:szCs w:val="16"/>
        </w:rPr>
        <w:softHyphen/>
        <w:t>стоял из двух человек. Механик-водитель размещался в отделении уп</w:t>
      </w:r>
      <w:r w:rsidRPr="00722885">
        <w:rPr>
          <w:rFonts w:ascii="Times New Roman" w:hAnsi="Times New Roman"/>
          <w:color w:val="000000" w:themeColor="text1"/>
          <w:sz w:val="16"/>
          <w:szCs w:val="16"/>
        </w:rPr>
        <w:softHyphen/>
        <w:t>равления у левого борта. Во вращающейся открытой сверху башне, сме</w:t>
      </w:r>
      <w:r w:rsidRPr="00722885">
        <w:rPr>
          <w:rFonts w:ascii="Times New Roman" w:hAnsi="Times New Roman"/>
          <w:color w:val="000000" w:themeColor="text1"/>
          <w:sz w:val="16"/>
          <w:szCs w:val="16"/>
        </w:rPr>
        <w:softHyphen/>
        <w:t>щенной к левому борту от продольной оси корпуса, располагался ко</w:t>
      </w:r>
      <w:r w:rsidRPr="00722885">
        <w:rPr>
          <w:rFonts w:ascii="Times New Roman" w:hAnsi="Times New Roman"/>
          <w:color w:val="000000" w:themeColor="text1"/>
          <w:sz w:val="16"/>
          <w:szCs w:val="16"/>
        </w:rPr>
        <w:softHyphen/>
        <w:t>мандир танка. Посадка и выход экипажа производились или через люк в отделении управления, располагавшийся в верхнем лобовом листе корпуса и закрывавшийся броневой крышкой, или через борта башни. В днище корпуса размещался аварийный (запасный) люк. Наблюдение за полем боя осуществлялось: механиком-водителем через смотровой пе</w:t>
      </w:r>
      <w:r w:rsidRPr="00722885">
        <w:rPr>
          <w:rFonts w:ascii="Times New Roman" w:hAnsi="Times New Roman"/>
          <w:color w:val="000000" w:themeColor="text1"/>
          <w:sz w:val="16"/>
          <w:szCs w:val="16"/>
        </w:rPr>
        <w:softHyphen/>
        <w:t>рископический прибор, установленный в крышке люка, командиром -поверх бортов башни или телескопический прицел (10703).</w:t>
      </w:r>
    </w:p>
    <w:p w14:paraId="3A52382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F407F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НИБТ полигон ГАБТУ КА подготиовил “Отчет по испытанию немецких танков обстрелом бронебойными и осколочно-фугасными снарядами”. Обстреляли Прага 38t, Т-III, Т-IV и Арт-Штурм из отечественной танковой пушки Ф-34. Пробивала 60 мм с 900 м (7377, 28).</w:t>
      </w:r>
    </w:p>
    <w:p w14:paraId="685E2FE8" w14:textId="77777777" w:rsidR="00090C9B" w:rsidRPr="00722885" w:rsidRDefault="00090C9B" w:rsidP="00722885">
      <w:pPr>
        <w:pStyle w:val="Iauiue"/>
        <w:jc w:val="both"/>
        <w:rPr>
          <w:color w:val="000000" w:themeColor="text1"/>
          <w:sz w:val="16"/>
          <w:szCs w:val="16"/>
        </w:rPr>
      </w:pPr>
    </w:p>
    <w:p w14:paraId="0060D517" w14:textId="77777777" w:rsidR="00DA508E" w:rsidRPr="00722885" w:rsidRDefault="00DA508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сентябре-октябре 1942 года были проведены испытания обстрелом трофейных танков. Кроме того, испытывались и огневые возможности пушек трофейных танков. При стрельбе из 37-мм пушки KwK 38(t) бронебойными снарядами по StuG III Ausf.B лобовой лист толщиной 50 мм не пробивался со всех дистанций, при этом борта успешно поражались на дистанции 850 метров. В случае использования подкалиберного снаряда лоб немецкой самоходной установки пробивался на дистанции 400 метров.</w:t>
      </w:r>
    </w:p>
    <w:p w14:paraId="1DDB85DC" w14:textId="77777777" w:rsidR="00DA508E" w:rsidRPr="00722885" w:rsidRDefault="00DA508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Далее был проведен обстрел корпуса Pz.Kpfw.38(t) с башенным номером 121. В целом толщина брони чешского танка выглядела вполне достойно, но лишь до тех пор, пока не был проведен обстрел. Наиболее стойко броня показала себя против бронебойных снарядов 2-фунтовой (40 мм) английской пушки. На дистанции 200 метров из нее не удалось пробить ни лобовой лист корпуса, ни лоб подбашенной коробки, но при этом попадания сопровождались трещинами. Это означало, что после нескольких таких попаданий броня все равно будет пробита. При стрельбе из ДШК с дистанции 200 метров по корме корпуса было получено 100% пробитий. На дистанции 200 метров при стрельбе по борту корпуса в районе моторного отделения из 13 попаданий удалось добиться 4 пробитий. При сокращении дистанции до 150 метров из 9 попаданий не пробили броню всего 2 пули.</w:t>
      </w:r>
    </w:p>
    <w:p w14:paraId="09AB0CBD" w14:textId="77777777" w:rsidR="00DA508E" w:rsidRPr="00722885" w:rsidRDefault="00DA508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Результаты стрельбы по чешскому танку из 45-мм пушки примерно соответствовали результатам обстрела, произведенного в августе 1941 года. На дистанции 200 метров из трех выстрелов два увенчались сквозным пробитием. На дистанции 400 метров пробивался первый лист. Что же касается бортов, то они уверенно пробивались на дистанции до 1000 метров. Похожим образом показала себя броня Pz.Kpfw.38(t) при обстреле из 37-мм пушки американского легкого танка M3.</w:t>
      </w:r>
    </w:p>
    <w:p w14:paraId="021458EC" w14:textId="77777777" w:rsidR="00DA508E" w:rsidRPr="00722885" w:rsidRDefault="00DA508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Впрочем, к тому моменту основным противником Pz.Kpfw.38(t) были советские средние танки Т-34, встреча с которыми не сулила для него ничего хорошего. По танку с дистанции 800 метров из пушки советского среднего танка был выпущен всего один снаряд, чего оказалось достаточно. Лобовой лист подбашенной коробки сорвало и разбило на куски. Стрельба осколочно-фугасными снарядами дала очень похожий эффект. При попадании рвало клепаные соединения и гнуло листы. Попадание в правый борт башни раскололо его на куски.</w:t>
      </w:r>
    </w:p>
    <w:p w14:paraId="61A41A4B" w14:textId="77777777" w:rsidR="00DA508E" w:rsidRPr="00722885" w:rsidRDefault="00DA508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Полученные результаты не должны сильно удивлять. Проблемы с броней у чехословацких танков начались еще в 30-е годы, и к началу войны их так и не удалось устранить. По результатам обстрела был сделан вывод, что чешская броня хрупкая. То же самое в своем заключении отразили и специалисты НИИ-48, изучавшие осенью 1942 года зарубежные танки. Исследования показали, что присадки никеля, повышающие вязкость стали, сведены в этой броне на нет. Дополнительная </w:t>
      </w:r>
      <w:r w:rsidRPr="00722885">
        <w:rPr>
          <w:rFonts w:ascii="Times New Roman" w:eastAsia="Times New Roman" w:hAnsi="Times New Roman"/>
          <w:color w:val="000000" w:themeColor="text1"/>
          <w:sz w:val="16"/>
          <w:szCs w:val="16"/>
          <w:lang w:eastAsia="ru-RU"/>
        </w:rPr>
        <w:lastRenderedPageBreak/>
        <w:t>проблема заключалась в том, что корпус и башня Pz.Kpfw.38(t) собирались при помощи клепаных соединений. При попадании снаряда внутренняя часть заклепки отрывалась и превращалась в поражающий элемент.</w:t>
      </w:r>
    </w:p>
    <w:p w14:paraId="6F9190CD" w14:textId="77777777" w:rsidR="00DA508E" w:rsidRPr="00722885" w:rsidRDefault="00DA508E" w:rsidP="00722885">
      <w:pPr>
        <w:spacing w:after="0" w:line="240" w:lineRule="auto"/>
        <w:jc w:val="both"/>
        <w:rPr>
          <w:rFonts w:ascii="Times New Roman" w:eastAsia="Times New Roman" w:hAnsi="Times New Roman"/>
          <w:color w:val="000000" w:themeColor="text1"/>
          <w:sz w:val="16"/>
          <w:szCs w:val="16"/>
          <w:lang w:eastAsia="ru-RU"/>
        </w:rPr>
      </w:pPr>
    </w:p>
    <w:p w14:paraId="3E6D0C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 феврале 1943 г. рабочие Горьковской области построили два бронепоезда - "Козьма Минин" и "Илья Муромец". Они были намного ниже прежних, с наклонной броней и литыми башнями. По своей огневой мощи они превосходили созданные ранее боевые машины - на них впервые появились реактивные установки и надежное зенитно-артиллерийское вооружение.</w:t>
      </w:r>
    </w:p>
    <w:p w14:paraId="787F80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боевое формирование бронепоезда типа "Козьма Минин" входили бронепаровоз серии О, две крытые и две открытые артиллерийские бронеплощадки и четыре двухосные контрольные платформы. Бронепаровоз серии О нес следующее бронирование: на будке машиниста, цилиндрах, рубке командира бронепоезда - 45 мм; на тендере, котле, сухопарнике, ходовой части - 30 мм. Крытая артиллерийская бронеплощадка имела бортовую броню толщиной 45 мм, а верхнюю - 20 мм. Она вооружалась двумя 76-мм пушками в танковых башнях от Т-34 и четырьмя бортовыми станковыми пулеметами в шаровых установках.</w:t>
      </w:r>
    </w:p>
    <w:p w14:paraId="4E655A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открытой артиллерийской бронеплощадке с боковой броней толщиной 45 мм устанавливались 25- и 37-мм полуавтоматические зенитные пушки. Кроме того, на отдельных площадках размещались реактивные установки М-8. Для борьбы с авиацией противника на контрольные платформы дополнительно устанавливались крупнокалиберные пулеметы системы ДШК и строенные зенитные пулеметы ПВ-1.</w:t>
      </w:r>
    </w:p>
    <w:p w14:paraId="2147E9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31-му отдельному бронедивизиону, состоявшему из "Козьмы Минина" и "Ильи Муромца", были приданы "черный" паровоз С-179, бронедрезина БД-39, две бронемашины БА-20, три мотоцикла М-72 и ИЖ-9, шесть грузовых автомашин ГАЗ-АА, две машины М-1, две ГАЗ-64, специальные вагоны: штабной, медпункт, мастерская, кухня, баня, жилые. Личный состав дивизиона вместе с приданной десантно-минометной ротой состоял из 335 человек. "Черный" паровоз - локомотив, используемый для приведения в движение бронепоезда в небоевых условиях (11148).</w:t>
      </w:r>
    </w:p>
    <w:p w14:paraId="5EC4F7C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561AB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сентябре-декабре 1942 года завод 638 сдал пл С-104 и С-15 ("Колхозница"). Согласно поста</w:t>
      </w:r>
      <w:r w:rsidRPr="00722885">
        <w:rPr>
          <w:color w:val="000000" w:themeColor="text1"/>
          <w:sz w:val="16"/>
          <w:szCs w:val="16"/>
        </w:rPr>
        <w:softHyphen/>
        <w:t>новлению ГКО от 22 апреля 1943 г., они были переведены на Север по внутренним водным путям. Лодки переводили в виде экспе</w:t>
      </w:r>
      <w:r w:rsidRPr="00722885">
        <w:rPr>
          <w:color w:val="000000" w:themeColor="text1"/>
          <w:sz w:val="16"/>
          <w:szCs w:val="16"/>
        </w:rPr>
        <w:softHyphen/>
        <w:t>диции особого назначения с привлечением АСС ВМФ, пароходств Наркомречфлота и судостроителей. Для преодоления мелководный Северо-Двинской водной системы лодки были максимально раз</w:t>
      </w:r>
      <w:r w:rsidRPr="00722885">
        <w:rPr>
          <w:color w:val="000000" w:themeColor="text1"/>
          <w:sz w:val="16"/>
          <w:szCs w:val="16"/>
        </w:rPr>
        <w:softHyphen/>
        <w:t>гружены с демонтажем части механизмов и вооружения и установ</w:t>
      </w:r>
      <w:r w:rsidRPr="00722885">
        <w:rPr>
          <w:color w:val="000000" w:themeColor="text1"/>
          <w:sz w:val="16"/>
          <w:szCs w:val="16"/>
        </w:rPr>
        <w:softHyphen/>
        <w:t>лены в специальные доки. Сборка и сдача их Северному флоту осу</w:t>
      </w:r>
      <w:r w:rsidRPr="00722885">
        <w:rPr>
          <w:color w:val="000000" w:themeColor="text1"/>
          <w:sz w:val="16"/>
          <w:szCs w:val="16"/>
        </w:rPr>
        <w:softHyphen/>
        <w:t>ществлялась в Молотовске. Таким же способом были переведены на Север С-16 ("Герой Советского Союза Нурсеитов") и С-19, сдан</w:t>
      </w:r>
      <w:r w:rsidRPr="00722885">
        <w:rPr>
          <w:color w:val="000000" w:themeColor="text1"/>
          <w:sz w:val="16"/>
          <w:szCs w:val="16"/>
        </w:rPr>
        <w:softHyphen/>
        <w:t>ные астраханским заводом на Каспии в феврале 1944 г. (3898).</w:t>
      </w:r>
    </w:p>
    <w:p w14:paraId="4EF7D91D" w14:textId="77777777" w:rsidR="00090C9B" w:rsidRPr="00722885" w:rsidRDefault="00090C9B" w:rsidP="00722885">
      <w:pPr>
        <w:pStyle w:val="Iauiue"/>
        <w:jc w:val="both"/>
        <w:rPr>
          <w:color w:val="000000" w:themeColor="text1"/>
          <w:sz w:val="16"/>
          <w:szCs w:val="16"/>
        </w:rPr>
      </w:pPr>
    </w:p>
    <w:p w14:paraId="15510E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сентябре—октябре 1942 г. на эскадренном траулере Владимир Полухин в Кронштад</w:t>
      </w:r>
      <w:r w:rsidRPr="00722885">
        <w:rPr>
          <w:color w:val="000000" w:themeColor="text1"/>
          <w:sz w:val="16"/>
          <w:szCs w:val="16"/>
        </w:rPr>
        <w:softHyphen/>
        <w:t>те по сокращенной программе. Проходили ходовые испытания (3898).</w:t>
      </w:r>
    </w:p>
    <w:p w14:paraId="61A8B321" w14:textId="77777777" w:rsidR="00090C9B" w:rsidRPr="00722885" w:rsidRDefault="00090C9B" w:rsidP="00722885">
      <w:pPr>
        <w:pStyle w:val="Iauiue"/>
        <w:jc w:val="both"/>
        <w:rPr>
          <w:color w:val="000000" w:themeColor="text1"/>
          <w:sz w:val="16"/>
          <w:szCs w:val="16"/>
        </w:rPr>
      </w:pPr>
    </w:p>
    <w:p w14:paraId="1FECECC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F4373F0" w14:textId="77777777" w:rsidR="00090C9B" w:rsidRPr="00722885" w:rsidRDefault="00090C9B" w:rsidP="00722885">
      <w:pPr>
        <w:pStyle w:val="Iauiue"/>
        <w:jc w:val="both"/>
        <w:rPr>
          <w:iCs/>
          <w:color w:val="000000" w:themeColor="text1"/>
          <w:sz w:val="16"/>
          <w:szCs w:val="16"/>
        </w:rPr>
      </w:pPr>
    </w:p>
    <w:p w14:paraId="39C3B7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сентябре-октябре 1942 финны перегнали из Брянска в Финляндию пять Ил-4, купленных у немцев и присвоили номера с DF-21 по DF-25 и после ремонта 4 (22 повредили при перегоне) передали в PLevLv 48 (1855,39).</w:t>
      </w:r>
    </w:p>
    <w:p w14:paraId="24635FE6" w14:textId="77777777" w:rsidR="00090C9B" w:rsidRPr="00722885" w:rsidRDefault="00090C9B" w:rsidP="00722885">
      <w:pPr>
        <w:pStyle w:val="Iauiue"/>
        <w:jc w:val="both"/>
        <w:rPr>
          <w:color w:val="000000" w:themeColor="text1"/>
          <w:sz w:val="16"/>
          <w:szCs w:val="16"/>
        </w:rPr>
      </w:pPr>
    </w:p>
    <w:p w14:paraId="1362CF7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0BD40E6" w14:textId="77777777" w:rsidR="00090C9B" w:rsidRPr="00722885" w:rsidRDefault="00090C9B" w:rsidP="00722885">
      <w:pPr>
        <w:pStyle w:val="Iauiue"/>
        <w:jc w:val="both"/>
        <w:rPr>
          <w:iCs/>
          <w:color w:val="000000" w:themeColor="text1"/>
          <w:sz w:val="16"/>
          <w:szCs w:val="16"/>
        </w:rPr>
      </w:pPr>
    </w:p>
    <w:p w14:paraId="076F94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осени 1942 года в Ленинграде была изготовлена шестизарядная установка ЛАП-7 (Ленинградский артиллерийский полигон, седьмая). Метательная установка монтировалась на модифицированном шасси грузового автомобиля ГАЗ-АА. Она предназначалась для запуска снарядов из укупорок. Проведенные испытания показали, что установка соответствует основным требованиям ракетного оружия. Она была рекомендована для принятия на вооружение [49]. С 1942 по 1943 год в Ленинграде, в период блокады, на основе немецких турбореактивных мин была разработана турбореактивная мина М-28 калибра 280 мм с фугасной головной частью и несколько типов станков. Снаряд был разработан группой конструкторов Ленинградского научно-исследовательского артиллерийского института под руководством генерала С.М. Серебрякова [48] (11772).</w:t>
      </w:r>
    </w:p>
    <w:p w14:paraId="5E9C9C3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920D1CD" w14:textId="77777777" w:rsidR="008F2AD6" w:rsidRPr="00722885" w:rsidRDefault="008F2AD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осени 1942 года в Ленинграде также была изготовлена шестизарядная установка ЛАП-7 (Ленинградский артиллерийский полигон, седьмая). Метательная установка монтировалась на доработанном шасси грузового автомобиля ГАЗ-АА. Она предназначалась для запуска снарядов из укупорок. Проведенные испытания показали, что установка соответствует основным требованиям ракетного оружия. Она была рекомендована для принятия на вооружение (15981).</w:t>
      </w:r>
    </w:p>
    <w:p w14:paraId="3B1D82AF" w14:textId="77777777" w:rsidR="008F2AD6" w:rsidRPr="00722885" w:rsidRDefault="008F2AD6" w:rsidP="00722885">
      <w:pPr>
        <w:spacing w:after="0" w:line="240" w:lineRule="auto"/>
        <w:jc w:val="both"/>
        <w:rPr>
          <w:rFonts w:ascii="Times New Roman" w:hAnsi="Times New Roman"/>
          <w:color w:val="000000" w:themeColor="text1"/>
          <w:sz w:val="16"/>
          <w:szCs w:val="16"/>
        </w:rPr>
      </w:pPr>
    </w:p>
    <w:p w14:paraId="762B4BE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60C2FC3" w14:textId="77777777" w:rsidR="00090C9B" w:rsidRPr="00722885" w:rsidRDefault="00090C9B" w:rsidP="00722885">
      <w:pPr>
        <w:pStyle w:val="Iauiue"/>
        <w:jc w:val="both"/>
        <w:rPr>
          <w:iCs/>
          <w:color w:val="000000" w:themeColor="text1"/>
          <w:sz w:val="16"/>
          <w:szCs w:val="16"/>
        </w:rPr>
      </w:pPr>
    </w:p>
    <w:p w14:paraId="58F511EF" w14:textId="77777777" w:rsidR="00437338" w:rsidRPr="00722885" w:rsidRDefault="00437338" w:rsidP="00722885">
      <w:pPr>
        <w:spacing w:after="0" w:line="240" w:lineRule="auto"/>
        <w:jc w:val="both"/>
        <w:rPr>
          <w:rFonts w:ascii="Times New Roman" w:hAnsi="Times New Roman"/>
          <w:color w:val="0070C0"/>
          <w:sz w:val="16"/>
          <w:szCs w:val="16"/>
          <w:shd w:val="clear" w:color="auto" w:fill="FFFFFF"/>
        </w:rPr>
      </w:pPr>
      <w:r w:rsidRPr="00722885">
        <w:rPr>
          <w:rFonts w:ascii="Times New Roman" w:hAnsi="Times New Roman"/>
          <w:color w:val="0070C0"/>
          <w:sz w:val="16"/>
          <w:szCs w:val="16"/>
          <w:shd w:val="clear" w:color="auto" w:fill="FFFFFF"/>
        </w:rPr>
        <w:t>Осенью 1942 свой ремонтный вариант кабины стрелка разработало и ОКБ Ильюшина. Соответствующая инструкция по доработке Ил-2 силами техсостава частей в октябре была отправлена в действующую армию.</w:t>
      </w:r>
    </w:p>
    <w:p w14:paraId="4CBDEBE5" w14:textId="77777777" w:rsidR="00437338" w:rsidRPr="00722885" w:rsidRDefault="0043733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Аналогичные переделки выполнялись в 1, 2 и 3-й воздушных армиях. Всего же на фронте в двухместные было переоборудовано около 1200 Ил-2.</w:t>
      </w:r>
      <w:r w:rsidRPr="00722885">
        <w:rPr>
          <w:rFonts w:ascii="Times New Roman" w:hAnsi="Times New Roman"/>
          <w:color w:val="0070C0"/>
          <w:sz w:val="16"/>
          <w:szCs w:val="16"/>
          <w:shd w:val="clear" w:color="auto" w:fill="FFFFFF"/>
        </w:rPr>
        <w:t xml:space="preserve"> (21180).</w:t>
      </w:r>
    </w:p>
    <w:p w14:paraId="2D0F8383" w14:textId="77777777" w:rsidR="00437338" w:rsidRPr="00722885" w:rsidRDefault="00437338" w:rsidP="00722885">
      <w:pPr>
        <w:spacing w:after="0" w:line="240" w:lineRule="auto"/>
        <w:jc w:val="both"/>
        <w:rPr>
          <w:rFonts w:ascii="Times New Roman" w:hAnsi="Times New Roman"/>
          <w:color w:val="0070C0"/>
          <w:sz w:val="16"/>
          <w:szCs w:val="16"/>
        </w:rPr>
      </w:pPr>
    </w:p>
    <w:p w14:paraId="4C91517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при переходе к двухместному варианту Ил-2 полет</w:t>
      </w:r>
      <w:r w:rsidRPr="00722885">
        <w:rPr>
          <w:rFonts w:ascii="Times New Roman" w:hAnsi="Times New Roman"/>
          <w:color w:val="000000" w:themeColor="text1"/>
          <w:sz w:val="16"/>
          <w:szCs w:val="16"/>
        </w:rPr>
        <w:softHyphen/>
        <w:t>ный вес самолета увеличился. Ухуд</w:t>
      </w:r>
      <w:r w:rsidRPr="00722885">
        <w:rPr>
          <w:rFonts w:ascii="Times New Roman" w:hAnsi="Times New Roman"/>
          <w:color w:val="000000" w:themeColor="text1"/>
          <w:sz w:val="16"/>
          <w:szCs w:val="16"/>
        </w:rPr>
        <w:softHyphen/>
        <w:t>шились вертикальная и горизонталь</w:t>
      </w:r>
      <w:r w:rsidRPr="00722885">
        <w:rPr>
          <w:rFonts w:ascii="Times New Roman" w:hAnsi="Times New Roman"/>
          <w:color w:val="000000" w:themeColor="text1"/>
          <w:sz w:val="16"/>
          <w:szCs w:val="16"/>
        </w:rPr>
        <w:softHyphen/>
        <w:t>ная маневренность, а также взлет</w:t>
      </w:r>
      <w:r w:rsidRPr="00722885">
        <w:rPr>
          <w:rFonts w:ascii="Times New Roman" w:hAnsi="Times New Roman"/>
          <w:color w:val="000000" w:themeColor="text1"/>
          <w:sz w:val="16"/>
          <w:szCs w:val="16"/>
        </w:rPr>
        <w:softHyphen/>
        <w:t>ные и пилотажные качества. Одно</w:t>
      </w:r>
      <w:r w:rsidRPr="00722885">
        <w:rPr>
          <w:rFonts w:ascii="Times New Roman" w:hAnsi="Times New Roman"/>
          <w:color w:val="000000" w:themeColor="text1"/>
          <w:sz w:val="16"/>
          <w:szCs w:val="16"/>
        </w:rPr>
        <w:softHyphen/>
        <w:t>временно на 3,5% САХ сместилась назад центровка самолета. Продоль</w:t>
      </w:r>
      <w:r w:rsidRPr="00722885">
        <w:rPr>
          <w:rFonts w:ascii="Times New Roman" w:hAnsi="Times New Roman"/>
          <w:color w:val="000000" w:themeColor="text1"/>
          <w:sz w:val="16"/>
          <w:szCs w:val="16"/>
        </w:rPr>
        <w:softHyphen/>
        <w:t>ная устойчивость самолета значи</w:t>
      </w:r>
      <w:r w:rsidRPr="00722885">
        <w:rPr>
          <w:rFonts w:ascii="Times New Roman" w:hAnsi="Times New Roman"/>
          <w:color w:val="000000" w:themeColor="text1"/>
          <w:sz w:val="16"/>
          <w:szCs w:val="16"/>
        </w:rPr>
        <w:softHyphen/>
        <w:t>тельно ухудшилась. Поэтому воздуш</w:t>
      </w:r>
      <w:r w:rsidRPr="00722885">
        <w:rPr>
          <w:rFonts w:ascii="Times New Roman" w:hAnsi="Times New Roman"/>
          <w:color w:val="000000" w:themeColor="text1"/>
          <w:sz w:val="16"/>
          <w:szCs w:val="16"/>
        </w:rPr>
        <w:softHyphen/>
        <w:t>ный стрелок оказался фактически по пояс "голым" - лишь со стороны хво</w:t>
      </w:r>
      <w:r w:rsidRPr="00722885">
        <w:rPr>
          <w:rFonts w:ascii="Times New Roman" w:hAnsi="Times New Roman"/>
          <w:color w:val="000000" w:themeColor="text1"/>
          <w:sz w:val="16"/>
          <w:szCs w:val="16"/>
        </w:rPr>
        <w:softHyphen/>
        <w:t>ста его прикрывал 6-мм бронещиток. В тоже время именно на верхнюю часть туловища (голова, лицо, верх</w:t>
      </w:r>
      <w:r w:rsidRPr="00722885">
        <w:rPr>
          <w:rFonts w:ascii="Times New Roman" w:hAnsi="Times New Roman"/>
          <w:color w:val="000000" w:themeColor="text1"/>
          <w:sz w:val="16"/>
          <w:szCs w:val="16"/>
        </w:rPr>
        <w:softHyphen/>
        <w:t>ние конечности, спина, живот) при</w:t>
      </w:r>
      <w:r w:rsidRPr="00722885">
        <w:rPr>
          <w:rFonts w:ascii="Times New Roman" w:hAnsi="Times New Roman"/>
          <w:color w:val="000000" w:themeColor="text1"/>
          <w:sz w:val="16"/>
          <w:szCs w:val="16"/>
        </w:rPr>
        <w:softHyphen/>
        <w:t>ходилось свыше 70% ранений воз</w:t>
      </w:r>
      <w:r w:rsidRPr="00722885">
        <w:rPr>
          <w:rFonts w:ascii="Times New Roman" w:hAnsi="Times New Roman"/>
          <w:color w:val="000000" w:themeColor="text1"/>
          <w:sz w:val="16"/>
          <w:szCs w:val="16"/>
        </w:rPr>
        <w:softHyphen/>
        <w:t>душных стрелков Ил-2. Любой оско</w:t>
      </w:r>
      <w:r w:rsidRPr="00722885">
        <w:rPr>
          <w:rFonts w:ascii="Times New Roman" w:hAnsi="Times New Roman"/>
          <w:color w:val="000000" w:themeColor="text1"/>
          <w:sz w:val="16"/>
          <w:szCs w:val="16"/>
        </w:rPr>
        <w:softHyphen/>
        <w:t>лочный снаряд, попавший в кабину воздушного стрелка, если не попадал в стрелка, то разрывался на зад</w:t>
      </w:r>
      <w:r w:rsidRPr="00722885">
        <w:rPr>
          <w:rFonts w:ascii="Times New Roman" w:hAnsi="Times New Roman"/>
          <w:color w:val="000000" w:themeColor="text1"/>
          <w:sz w:val="16"/>
          <w:szCs w:val="16"/>
        </w:rPr>
        <w:softHyphen/>
        <w:t>ней поперечной броне бронекорпу-са и осколками поражал его. Про осколки зенитных снарядов средне</w:t>
      </w:r>
      <w:r w:rsidRPr="00722885">
        <w:rPr>
          <w:rFonts w:ascii="Times New Roman" w:hAnsi="Times New Roman"/>
          <w:color w:val="000000" w:themeColor="text1"/>
          <w:sz w:val="16"/>
          <w:szCs w:val="16"/>
        </w:rPr>
        <w:softHyphen/>
        <w:t>го калибра и говорить не приходить</w:t>
      </w:r>
      <w:r w:rsidRPr="00722885">
        <w:rPr>
          <w:rFonts w:ascii="Times New Roman" w:hAnsi="Times New Roman"/>
          <w:color w:val="000000" w:themeColor="text1"/>
          <w:sz w:val="16"/>
          <w:szCs w:val="16"/>
        </w:rPr>
        <w:softHyphen/>
        <w:t>ся — их было много, и они прошива</w:t>
      </w:r>
      <w:r w:rsidRPr="00722885">
        <w:rPr>
          <w:rFonts w:ascii="Times New Roman" w:hAnsi="Times New Roman"/>
          <w:color w:val="000000" w:themeColor="text1"/>
          <w:sz w:val="16"/>
          <w:szCs w:val="16"/>
        </w:rPr>
        <w:softHyphen/>
        <w:t>ли кабину стрелка с бортов насквозь. Однако усилить защиту стрелка без кардинальной переделки бронекор-пуса было нельзя, так как центровка самолета становилась опасной для полетов.</w:t>
      </w:r>
    </w:p>
    <w:p w14:paraId="7DEE0A6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этого, габариты кабины и конструкция сидения не позволяли воздушному стрелку вести прицель</w:t>
      </w:r>
      <w:r w:rsidRPr="00722885">
        <w:rPr>
          <w:rFonts w:ascii="Times New Roman" w:hAnsi="Times New Roman"/>
          <w:color w:val="000000" w:themeColor="text1"/>
          <w:sz w:val="16"/>
          <w:szCs w:val="16"/>
        </w:rPr>
        <w:softHyphen/>
        <w:t>ный огонь. В боевой обстановке воз</w:t>
      </w:r>
      <w:r w:rsidRPr="00722885">
        <w:rPr>
          <w:rFonts w:ascii="Times New Roman" w:hAnsi="Times New Roman"/>
          <w:color w:val="000000" w:themeColor="text1"/>
          <w:sz w:val="16"/>
          <w:szCs w:val="16"/>
        </w:rPr>
        <w:softHyphen/>
        <w:t>душный стрелок вынужден был нахо</w:t>
      </w:r>
      <w:r w:rsidRPr="00722885">
        <w:rPr>
          <w:rFonts w:ascii="Times New Roman" w:hAnsi="Times New Roman"/>
          <w:color w:val="000000" w:themeColor="text1"/>
          <w:sz w:val="16"/>
          <w:szCs w:val="16"/>
        </w:rPr>
        <w:softHyphen/>
        <w:t>диться в полусогнутом положении, "что очень стесняет действия и утом</w:t>
      </w:r>
      <w:r w:rsidRPr="00722885">
        <w:rPr>
          <w:rFonts w:ascii="Times New Roman" w:hAnsi="Times New Roman"/>
          <w:color w:val="000000" w:themeColor="text1"/>
          <w:sz w:val="16"/>
          <w:szCs w:val="16"/>
        </w:rPr>
        <w:softHyphen/>
        <w:t>ляет его". При этом углы обстрела пулемета УБТ калибра 1 2,7 мм обо</w:t>
      </w:r>
      <w:r w:rsidRPr="00722885">
        <w:rPr>
          <w:rFonts w:ascii="Times New Roman" w:hAnsi="Times New Roman"/>
          <w:color w:val="000000" w:themeColor="text1"/>
          <w:sz w:val="16"/>
          <w:szCs w:val="16"/>
        </w:rPr>
        <w:softHyphen/>
        <w:t>ронительной установки ВУБ-3 (вверх - до 32°, влево и вправо - по 43°, вниз по борту — 11°) оказались "слишком малы и не обеспечивали достаточной защиты задней полусфе</w:t>
      </w:r>
      <w:r w:rsidRPr="00722885">
        <w:rPr>
          <w:rFonts w:ascii="Times New Roman" w:hAnsi="Times New Roman"/>
          <w:color w:val="000000" w:themeColor="text1"/>
          <w:sz w:val="16"/>
          <w:szCs w:val="16"/>
        </w:rPr>
        <w:softHyphen/>
        <w:t>ры и взаимной огневой поддержки между самолетами при действии в составе группы".</w:t>
      </w:r>
    </w:p>
    <w:p w14:paraId="3013088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Потери воздушных стрелков были довольно высокими. По воспомина</w:t>
      </w:r>
      <w:r w:rsidRPr="00722885">
        <w:rPr>
          <w:rFonts w:ascii="Times New Roman" w:hAnsi="Times New Roman"/>
          <w:color w:val="000000" w:themeColor="text1"/>
          <w:sz w:val="16"/>
          <w:szCs w:val="16"/>
        </w:rPr>
        <w:softHyphen/>
        <w:t>ниям ветеранов, если была встреча с немецкими истребителями, и велся воздушный бой, то обязательно од</w:t>
      </w:r>
      <w:r w:rsidRPr="00722885">
        <w:rPr>
          <w:rFonts w:ascii="Times New Roman" w:hAnsi="Times New Roman"/>
          <w:color w:val="000000" w:themeColor="text1"/>
          <w:sz w:val="16"/>
          <w:szCs w:val="16"/>
        </w:rPr>
        <w:softHyphen/>
        <w:t>ного-двух стрелков из состава груп</w:t>
      </w:r>
      <w:r w:rsidRPr="00722885">
        <w:rPr>
          <w:rFonts w:ascii="Times New Roman" w:hAnsi="Times New Roman"/>
          <w:color w:val="000000" w:themeColor="text1"/>
          <w:sz w:val="16"/>
          <w:szCs w:val="16"/>
        </w:rPr>
        <w:softHyphen/>
        <w:t>пы привозили ранеными или убиты</w:t>
      </w:r>
      <w:r w:rsidRPr="00722885">
        <w:rPr>
          <w:rFonts w:ascii="Times New Roman" w:hAnsi="Times New Roman"/>
          <w:color w:val="000000" w:themeColor="text1"/>
          <w:sz w:val="16"/>
          <w:szCs w:val="16"/>
        </w:rPr>
        <w:softHyphen/>
        <w:t>ми.</w:t>
      </w:r>
    </w:p>
    <w:p w14:paraId="653A487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Установка форсированного мото</w:t>
      </w:r>
      <w:r w:rsidRPr="00722885">
        <w:rPr>
          <w:rFonts w:ascii="Times New Roman" w:hAnsi="Times New Roman"/>
          <w:color w:val="000000" w:themeColor="text1"/>
          <w:sz w:val="16"/>
          <w:szCs w:val="16"/>
        </w:rPr>
        <w:softHyphen/>
        <w:t>ра АМ-38ф позволила улучшить взлетные свойства штурмовика, но маневренные и пилотажные качества оставались все же неудовлетвори</w:t>
      </w:r>
      <w:r w:rsidRPr="00722885">
        <w:rPr>
          <w:rFonts w:ascii="Times New Roman" w:hAnsi="Times New Roman"/>
          <w:color w:val="000000" w:themeColor="text1"/>
          <w:sz w:val="16"/>
          <w:szCs w:val="16"/>
        </w:rPr>
        <w:softHyphen/>
        <w:t>тельными. Пилотирование самолетом требовало от летчиков повышенно</w:t>
      </w:r>
      <w:r w:rsidRPr="00722885">
        <w:rPr>
          <w:rFonts w:ascii="Times New Roman" w:hAnsi="Times New Roman"/>
          <w:color w:val="000000" w:themeColor="text1"/>
          <w:sz w:val="16"/>
          <w:szCs w:val="16"/>
        </w:rPr>
        <w:softHyphen/>
        <w:t>го внимания, особенно на виражах и боевых разворотах, которые Ил-2 выполнял с колебаниями по продоль</w:t>
      </w:r>
      <w:r w:rsidRPr="00722885">
        <w:rPr>
          <w:rFonts w:ascii="Times New Roman" w:hAnsi="Times New Roman"/>
          <w:color w:val="000000" w:themeColor="text1"/>
          <w:sz w:val="16"/>
          <w:szCs w:val="16"/>
        </w:rPr>
        <w:softHyphen/>
        <w:t>ной оси. При перекладывании штур</w:t>
      </w:r>
      <w:r w:rsidRPr="00722885">
        <w:rPr>
          <w:rFonts w:ascii="Times New Roman" w:hAnsi="Times New Roman"/>
          <w:color w:val="000000" w:themeColor="text1"/>
          <w:sz w:val="16"/>
          <w:szCs w:val="16"/>
        </w:rPr>
        <w:softHyphen/>
        <w:t>мовика из виража в вираж отмеча</w:t>
      </w:r>
      <w:r w:rsidRPr="00722885">
        <w:rPr>
          <w:rFonts w:ascii="Times New Roman" w:hAnsi="Times New Roman"/>
          <w:color w:val="000000" w:themeColor="text1"/>
          <w:sz w:val="16"/>
          <w:szCs w:val="16"/>
        </w:rPr>
        <w:softHyphen/>
        <w:t>лись большие нагрузки на рули. Осо</w:t>
      </w:r>
      <w:r w:rsidRPr="00722885">
        <w:rPr>
          <w:rFonts w:ascii="Times New Roman" w:hAnsi="Times New Roman"/>
          <w:color w:val="000000" w:themeColor="text1"/>
          <w:sz w:val="16"/>
          <w:szCs w:val="16"/>
        </w:rPr>
        <w:softHyphen/>
        <w:t>бые затруднения возникали при ма</w:t>
      </w:r>
      <w:r w:rsidRPr="00722885">
        <w:rPr>
          <w:rFonts w:ascii="Times New Roman" w:hAnsi="Times New Roman"/>
          <w:color w:val="000000" w:themeColor="text1"/>
          <w:sz w:val="16"/>
          <w:szCs w:val="16"/>
        </w:rPr>
        <w:softHyphen/>
        <w:t>неврировании в составе группы. Повышенная инертность двухместно</w:t>
      </w:r>
      <w:r w:rsidRPr="00722885">
        <w:rPr>
          <w:rFonts w:ascii="Times New Roman" w:hAnsi="Times New Roman"/>
          <w:color w:val="000000" w:themeColor="text1"/>
          <w:sz w:val="16"/>
          <w:szCs w:val="16"/>
        </w:rPr>
        <w:softHyphen/>
        <w:t>го Ил-2 потребовала увеличить дис</w:t>
      </w:r>
      <w:r w:rsidRPr="00722885">
        <w:rPr>
          <w:rFonts w:ascii="Times New Roman" w:hAnsi="Times New Roman"/>
          <w:color w:val="000000" w:themeColor="text1"/>
          <w:sz w:val="16"/>
          <w:szCs w:val="16"/>
        </w:rPr>
        <w:softHyphen/>
        <w:t>танции между самолетами в боевых порядках.</w:t>
      </w:r>
    </w:p>
    <w:p w14:paraId="07FA733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Боевое маневрирование и про</w:t>
      </w:r>
      <w:r w:rsidRPr="00722885">
        <w:rPr>
          <w:rFonts w:ascii="Times New Roman" w:hAnsi="Times New Roman"/>
          <w:color w:val="000000" w:themeColor="text1"/>
          <w:sz w:val="16"/>
          <w:szCs w:val="16"/>
        </w:rPr>
        <w:softHyphen/>
        <w:t>тивозенитный маневр усложнились и выполнялись с меньшими средними перегрузками. Область возможных кривых атак наземных целей при прочих равных условиях уменьши</w:t>
      </w:r>
      <w:r w:rsidRPr="00722885">
        <w:rPr>
          <w:rFonts w:ascii="Times New Roman" w:hAnsi="Times New Roman"/>
          <w:color w:val="000000" w:themeColor="text1"/>
          <w:sz w:val="16"/>
          <w:szCs w:val="16"/>
        </w:rPr>
        <w:softHyphen/>
        <w:t>лась, и притом существенно. По этим причинам вероятность сбития двух</w:t>
      </w:r>
      <w:r w:rsidRPr="00722885">
        <w:rPr>
          <w:rFonts w:ascii="Times New Roman" w:hAnsi="Times New Roman"/>
          <w:color w:val="000000" w:themeColor="text1"/>
          <w:sz w:val="16"/>
          <w:szCs w:val="16"/>
        </w:rPr>
        <w:softHyphen/>
        <w:t>местного Ил-2 зенитным огнем ока</w:t>
      </w:r>
      <w:r w:rsidRPr="00722885">
        <w:rPr>
          <w:rFonts w:ascii="Times New Roman" w:hAnsi="Times New Roman"/>
          <w:color w:val="000000" w:themeColor="text1"/>
          <w:sz w:val="16"/>
          <w:szCs w:val="16"/>
        </w:rPr>
        <w:softHyphen/>
        <w:t>зывалась повышенной.</w:t>
      </w:r>
    </w:p>
    <w:p w14:paraId="2E21EB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Поскольку, в продольном отноше</w:t>
      </w:r>
      <w:r w:rsidRPr="00722885">
        <w:rPr>
          <w:rFonts w:ascii="Times New Roman" w:hAnsi="Times New Roman"/>
          <w:color w:val="000000" w:themeColor="text1"/>
          <w:sz w:val="16"/>
          <w:szCs w:val="16"/>
        </w:rPr>
        <w:softHyphen/>
        <w:t>нии штурмовик стал менее устойчи</w:t>
      </w:r>
      <w:r w:rsidRPr="00722885">
        <w:rPr>
          <w:rFonts w:ascii="Times New Roman" w:hAnsi="Times New Roman"/>
          <w:color w:val="000000" w:themeColor="text1"/>
          <w:sz w:val="16"/>
          <w:szCs w:val="16"/>
        </w:rPr>
        <w:softHyphen/>
        <w:t>вым, то условия для ведения прицельного огня из стрелково-пушечного во</w:t>
      </w:r>
      <w:r w:rsidRPr="00722885">
        <w:rPr>
          <w:rFonts w:ascii="Times New Roman" w:hAnsi="Times New Roman"/>
          <w:color w:val="000000" w:themeColor="text1"/>
          <w:sz w:val="16"/>
          <w:szCs w:val="16"/>
        </w:rPr>
        <w:softHyphen/>
        <w:t>оружения самолета, особенно на пи</w:t>
      </w:r>
      <w:r w:rsidRPr="00722885">
        <w:rPr>
          <w:rFonts w:ascii="Times New Roman" w:hAnsi="Times New Roman"/>
          <w:color w:val="000000" w:themeColor="text1"/>
          <w:sz w:val="16"/>
          <w:szCs w:val="16"/>
        </w:rPr>
        <w:softHyphen/>
        <w:t>кировании и в боевом порядке "круг", ухудшились.</w:t>
      </w:r>
    </w:p>
    <w:p w14:paraId="665853C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Пикировать необходимо было с осторожностью, так как при дости</w:t>
      </w:r>
      <w:r w:rsidRPr="00722885">
        <w:rPr>
          <w:rFonts w:ascii="Times New Roman" w:hAnsi="Times New Roman"/>
          <w:color w:val="000000" w:themeColor="text1"/>
          <w:sz w:val="16"/>
          <w:szCs w:val="16"/>
        </w:rPr>
        <w:softHyphen/>
        <w:t>жении скорости свыше 440 км/ч са</w:t>
      </w:r>
      <w:r w:rsidRPr="00722885">
        <w:rPr>
          <w:rFonts w:ascii="Times New Roman" w:hAnsi="Times New Roman"/>
          <w:color w:val="000000" w:themeColor="text1"/>
          <w:sz w:val="16"/>
          <w:szCs w:val="16"/>
        </w:rPr>
        <w:softHyphen/>
        <w:t>молет становился трудноуправляе мым и стремился к увеличению угла пикирования. На выводе из пикиро</w:t>
      </w:r>
      <w:r w:rsidRPr="00722885">
        <w:rPr>
          <w:rFonts w:ascii="Times New Roman" w:hAnsi="Times New Roman"/>
          <w:color w:val="000000" w:themeColor="text1"/>
          <w:sz w:val="16"/>
          <w:szCs w:val="16"/>
        </w:rPr>
        <w:softHyphen/>
        <w:t>вания самолет имел тенденцию к резкому кабрированию. Пикирова</w:t>
      </w:r>
      <w:r w:rsidRPr="00722885">
        <w:rPr>
          <w:rFonts w:ascii="Times New Roman" w:hAnsi="Times New Roman"/>
          <w:color w:val="000000" w:themeColor="text1"/>
          <w:sz w:val="16"/>
          <w:szCs w:val="16"/>
        </w:rPr>
        <w:softHyphen/>
        <w:t>ние под углами 40° и выше летчикам не рекомендовалось (если строго следовать инструкциям, то запреща</w:t>
      </w:r>
      <w:r w:rsidRPr="00722885">
        <w:rPr>
          <w:rFonts w:ascii="Times New Roman" w:hAnsi="Times New Roman"/>
          <w:color w:val="000000" w:themeColor="text1"/>
          <w:sz w:val="16"/>
          <w:szCs w:val="16"/>
        </w:rPr>
        <w:softHyphen/>
        <w:t>лось).</w:t>
      </w:r>
    </w:p>
    <w:p w14:paraId="6591E0A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 сложным самолет стал для молодых летчиков, не имеющих достаточной летной подготовки и налета на Ил-2.</w:t>
      </w:r>
    </w:p>
    <w:p w14:paraId="2864B38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штаба ВВС КА гене</w:t>
      </w:r>
      <w:r w:rsidRPr="00722885">
        <w:rPr>
          <w:rFonts w:ascii="Times New Roman" w:hAnsi="Times New Roman"/>
          <w:color w:val="000000" w:themeColor="text1"/>
          <w:sz w:val="16"/>
          <w:szCs w:val="16"/>
        </w:rPr>
        <w:softHyphen/>
        <w:t>рал-лейтенант Ф. Я. Фалалеев в од</w:t>
      </w:r>
      <w:r w:rsidRPr="00722885">
        <w:rPr>
          <w:rFonts w:ascii="Times New Roman" w:hAnsi="Times New Roman"/>
          <w:color w:val="000000" w:themeColor="text1"/>
          <w:sz w:val="16"/>
          <w:szCs w:val="16"/>
        </w:rPr>
        <w:softHyphen/>
        <w:t>ном из своих докладов командова</w:t>
      </w:r>
      <w:r w:rsidRPr="00722885">
        <w:rPr>
          <w:rFonts w:ascii="Times New Roman" w:hAnsi="Times New Roman"/>
          <w:color w:val="000000" w:themeColor="text1"/>
          <w:sz w:val="16"/>
          <w:szCs w:val="16"/>
        </w:rPr>
        <w:softHyphen/>
        <w:t>нию в ноябре 1942 г. особо подчер</w:t>
      </w:r>
      <w:r w:rsidRPr="00722885">
        <w:rPr>
          <w:rFonts w:ascii="Times New Roman" w:hAnsi="Times New Roman"/>
          <w:color w:val="000000" w:themeColor="text1"/>
          <w:sz w:val="16"/>
          <w:szCs w:val="16"/>
        </w:rPr>
        <w:softHyphen/>
        <w:t>кивал, что "устранение в кратчайший срок всех ...недочетов самолета Ил-2 является задачей первостепенной важности и должно быть выполнено к весне / 943 г.".</w:t>
      </w:r>
    </w:p>
    <w:p w14:paraId="3A47E66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ВВС требовался более совершен</w:t>
      </w:r>
      <w:r w:rsidRPr="00722885">
        <w:rPr>
          <w:rFonts w:ascii="Times New Roman" w:hAnsi="Times New Roman"/>
          <w:color w:val="000000" w:themeColor="text1"/>
          <w:sz w:val="16"/>
          <w:szCs w:val="16"/>
        </w:rPr>
        <w:softHyphen/>
        <w:t>ный, чем Ил-2, штурмовой самолет, способный с большей эффективнос</w:t>
      </w:r>
      <w:r w:rsidRPr="00722885">
        <w:rPr>
          <w:rFonts w:ascii="Times New Roman" w:hAnsi="Times New Roman"/>
          <w:color w:val="000000" w:themeColor="text1"/>
          <w:sz w:val="16"/>
          <w:szCs w:val="16"/>
        </w:rPr>
        <w:softHyphen/>
        <w:t>тью выполнять задачи непосредствен</w:t>
      </w:r>
      <w:r w:rsidRPr="00722885">
        <w:rPr>
          <w:rFonts w:ascii="Times New Roman" w:hAnsi="Times New Roman"/>
          <w:color w:val="000000" w:themeColor="text1"/>
          <w:sz w:val="16"/>
          <w:szCs w:val="16"/>
        </w:rPr>
        <w:softHyphen/>
        <w:t>ной авиационной поддержки войск в условиях высокой активности огне</w:t>
      </w:r>
      <w:r w:rsidRPr="00722885">
        <w:rPr>
          <w:rFonts w:ascii="Times New Roman" w:hAnsi="Times New Roman"/>
          <w:color w:val="000000" w:themeColor="text1"/>
          <w:sz w:val="16"/>
          <w:szCs w:val="16"/>
        </w:rPr>
        <w:softHyphen/>
        <w:t>вых средств войсковой ПВО и истре</w:t>
      </w:r>
      <w:r w:rsidRPr="00722885">
        <w:rPr>
          <w:rFonts w:ascii="Times New Roman" w:hAnsi="Times New Roman"/>
          <w:color w:val="000000" w:themeColor="text1"/>
          <w:sz w:val="16"/>
          <w:szCs w:val="16"/>
        </w:rPr>
        <w:softHyphen/>
        <w:t>бительной авиации противника.</w:t>
      </w:r>
    </w:p>
    <w:p w14:paraId="735E1B1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Новый штурмовик должен был иметь более мощное вооружение, более высокие средние скорости бо</w:t>
      </w:r>
      <w:r w:rsidRPr="00722885">
        <w:rPr>
          <w:rFonts w:ascii="Times New Roman" w:hAnsi="Times New Roman"/>
          <w:color w:val="000000" w:themeColor="text1"/>
          <w:sz w:val="16"/>
          <w:szCs w:val="16"/>
        </w:rPr>
        <w:softHyphen/>
        <w:t>евого маневрирования и маневрен</w:t>
      </w:r>
      <w:r w:rsidRPr="00722885">
        <w:rPr>
          <w:rFonts w:ascii="Times New Roman" w:hAnsi="Times New Roman"/>
          <w:color w:val="000000" w:themeColor="text1"/>
          <w:sz w:val="16"/>
          <w:szCs w:val="16"/>
        </w:rPr>
        <w:softHyphen/>
        <w:t>ность при хорошей управляемости во всем диапазоне "рабочих" высот и скоростей, эффективную систему обеспечения боевой живучести, от</w:t>
      </w:r>
      <w:r w:rsidRPr="00722885">
        <w:rPr>
          <w:rFonts w:ascii="Times New Roman" w:hAnsi="Times New Roman"/>
          <w:color w:val="000000" w:themeColor="text1"/>
          <w:sz w:val="16"/>
          <w:szCs w:val="16"/>
        </w:rPr>
        <w:softHyphen/>
        <w:t>личный обзор и т.д. При этом с точ</w:t>
      </w:r>
      <w:r w:rsidRPr="00722885">
        <w:rPr>
          <w:rFonts w:ascii="Times New Roman" w:hAnsi="Times New Roman"/>
          <w:color w:val="000000" w:themeColor="text1"/>
          <w:sz w:val="16"/>
          <w:szCs w:val="16"/>
        </w:rPr>
        <w:softHyphen/>
        <w:t>ки зрения живучести и весовой эф</w:t>
      </w:r>
      <w:r w:rsidRPr="00722885">
        <w:rPr>
          <w:rFonts w:ascii="Times New Roman" w:hAnsi="Times New Roman"/>
          <w:color w:val="000000" w:themeColor="text1"/>
          <w:sz w:val="16"/>
          <w:szCs w:val="16"/>
        </w:rPr>
        <w:softHyphen/>
        <w:t>фективности требовалось использо</w:t>
      </w:r>
      <w:r w:rsidRPr="00722885">
        <w:rPr>
          <w:rFonts w:ascii="Times New Roman" w:hAnsi="Times New Roman"/>
          <w:color w:val="000000" w:themeColor="text1"/>
          <w:sz w:val="16"/>
          <w:szCs w:val="16"/>
        </w:rPr>
        <w:softHyphen/>
        <w:t>вать мотор воздушного охлаждения, который значительно лучше, чем мотор жидкостного охлаждения, "дер</w:t>
      </w:r>
      <w:r w:rsidRPr="00722885">
        <w:rPr>
          <w:rFonts w:ascii="Times New Roman" w:hAnsi="Times New Roman"/>
          <w:color w:val="000000" w:themeColor="text1"/>
          <w:sz w:val="16"/>
          <w:szCs w:val="16"/>
        </w:rPr>
        <w:softHyphen/>
        <w:t>жал" попадания осколков зенитных снарядов, малокалиберных снарядов и крупнокалиберных пуль.</w:t>
      </w:r>
    </w:p>
    <w:p w14:paraId="7C42F56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 сожалению, вопросами оптими</w:t>
      </w:r>
      <w:r w:rsidRPr="00722885">
        <w:rPr>
          <w:rFonts w:ascii="Times New Roman" w:hAnsi="Times New Roman"/>
          <w:color w:val="000000" w:themeColor="text1"/>
          <w:sz w:val="16"/>
          <w:szCs w:val="16"/>
        </w:rPr>
        <w:softHyphen/>
        <w:t>зации состава вооружения и боеком</w:t>
      </w:r>
      <w:r w:rsidRPr="00722885">
        <w:rPr>
          <w:rFonts w:ascii="Times New Roman" w:hAnsi="Times New Roman"/>
          <w:color w:val="000000" w:themeColor="text1"/>
          <w:sz w:val="16"/>
          <w:szCs w:val="16"/>
        </w:rPr>
        <w:softHyphen/>
        <w:t>плекта самолетов штурмовой авиа</w:t>
      </w:r>
      <w:r w:rsidRPr="00722885">
        <w:rPr>
          <w:rFonts w:ascii="Times New Roman" w:hAnsi="Times New Roman"/>
          <w:color w:val="000000" w:themeColor="text1"/>
          <w:sz w:val="16"/>
          <w:szCs w:val="16"/>
        </w:rPr>
        <w:softHyphen/>
        <w:t>ции применительно к типовым зада</w:t>
      </w:r>
      <w:r w:rsidRPr="00722885">
        <w:rPr>
          <w:rFonts w:ascii="Times New Roman" w:hAnsi="Times New Roman"/>
          <w:color w:val="000000" w:themeColor="text1"/>
          <w:sz w:val="16"/>
          <w:szCs w:val="16"/>
        </w:rPr>
        <w:softHyphen/>
        <w:t>чам авиационной поддержки войск, что позволило бы поднять боевую эф</w:t>
      </w:r>
      <w:r w:rsidRPr="00722885">
        <w:rPr>
          <w:rFonts w:ascii="Times New Roman" w:hAnsi="Times New Roman"/>
          <w:color w:val="000000" w:themeColor="text1"/>
          <w:sz w:val="16"/>
          <w:szCs w:val="16"/>
        </w:rPr>
        <w:softHyphen/>
        <w:t>фективность Ил-2 без повышения мощности силовой установки, ни военные, ни гражданские специали</w:t>
      </w:r>
      <w:r w:rsidRPr="00722885">
        <w:rPr>
          <w:rFonts w:ascii="Times New Roman" w:hAnsi="Times New Roman"/>
          <w:color w:val="000000" w:themeColor="text1"/>
          <w:sz w:val="16"/>
          <w:szCs w:val="16"/>
        </w:rPr>
        <w:softHyphen/>
        <w:t>сты в то время не занимались, хотя, как следует из архивных документов, методические проработки и все не</w:t>
      </w:r>
      <w:r w:rsidRPr="00722885">
        <w:rPr>
          <w:rFonts w:ascii="Times New Roman" w:hAnsi="Times New Roman"/>
          <w:color w:val="000000" w:themeColor="text1"/>
          <w:sz w:val="16"/>
          <w:szCs w:val="16"/>
        </w:rPr>
        <w:softHyphen/>
        <w:t>обходимые исходные данные для та</w:t>
      </w:r>
      <w:r w:rsidRPr="00722885">
        <w:rPr>
          <w:rFonts w:ascii="Times New Roman" w:hAnsi="Times New Roman"/>
          <w:color w:val="000000" w:themeColor="text1"/>
          <w:sz w:val="16"/>
          <w:szCs w:val="16"/>
        </w:rPr>
        <w:softHyphen/>
        <w:t>кой работы имелись.</w:t>
      </w:r>
    </w:p>
    <w:p w14:paraId="2FCCA6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Первым боевым самолетом, от</w:t>
      </w:r>
      <w:r w:rsidRPr="00722885">
        <w:rPr>
          <w:rFonts w:ascii="Times New Roman" w:hAnsi="Times New Roman"/>
          <w:color w:val="000000" w:themeColor="text1"/>
          <w:sz w:val="16"/>
          <w:szCs w:val="16"/>
        </w:rPr>
        <w:softHyphen/>
        <w:t>вечавшим, хотя и не полностью, тре</w:t>
      </w:r>
      <w:r w:rsidRPr="00722885">
        <w:rPr>
          <w:rFonts w:ascii="Times New Roman" w:hAnsi="Times New Roman"/>
          <w:color w:val="000000" w:themeColor="text1"/>
          <w:sz w:val="16"/>
          <w:szCs w:val="16"/>
        </w:rPr>
        <w:softHyphen/>
        <w:t>бованиям к штурмовику нового по</w:t>
      </w:r>
      <w:r w:rsidRPr="00722885">
        <w:rPr>
          <w:rFonts w:ascii="Times New Roman" w:hAnsi="Times New Roman"/>
          <w:color w:val="000000" w:themeColor="text1"/>
          <w:sz w:val="16"/>
          <w:szCs w:val="16"/>
        </w:rPr>
        <w:softHyphen/>
        <w:t>коления, оказался самолет Су-6 кон</w:t>
      </w:r>
      <w:r w:rsidRPr="00722885">
        <w:rPr>
          <w:rFonts w:ascii="Times New Roman" w:hAnsi="Times New Roman"/>
          <w:color w:val="000000" w:themeColor="text1"/>
          <w:sz w:val="16"/>
          <w:szCs w:val="16"/>
        </w:rPr>
        <w:softHyphen/>
        <w:t>струкции ОКБ П. О. Сухого с мото</w:t>
      </w:r>
      <w:r w:rsidRPr="00722885">
        <w:rPr>
          <w:rFonts w:ascii="Times New Roman" w:hAnsi="Times New Roman"/>
          <w:color w:val="000000" w:themeColor="text1"/>
          <w:sz w:val="16"/>
          <w:szCs w:val="16"/>
        </w:rPr>
        <w:softHyphen/>
        <w:t>ром воздушного охлаждения М-71 мощностью 2000 л.с.</w:t>
      </w:r>
    </w:p>
    <w:p w14:paraId="591532B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Штурмовик был вооружен двумя пушками ВЯ-23 (230 снарядов) и че</w:t>
      </w:r>
      <w:r w:rsidRPr="00722885">
        <w:rPr>
          <w:rFonts w:ascii="Times New Roman" w:hAnsi="Times New Roman"/>
          <w:color w:val="000000" w:themeColor="text1"/>
          <w:sz w:val="16"/>
          <w:szCs w:val="16"/>
        </w:rPr>
        <w:softHyphen/>
        <w:t>тырьмя пулеметами ШКАС (3000 пат</w:t>
      </w:r>
      <w:r w:rsidRPr="00722885">
        <w:rPr>
          <w:rFonts w:ascii="Times New Roman" w:hAnsi="Times New Roman"/>
          <w:color w:val="000000" w:themeColor="text1"/>
          <w:sz w:val="16"/>
          <w:szCs w:val="16"/>
        </w:rPr>
        <w:softHyphen/>
        <w:t>ронов). Все они размещались в кры ле. Ракетное вооружение состояло из десяти РО-132 или РО-82. Нор</w:t>
      </w:r>
      <w:r w:rsidRPr="00722885">
        <w:rPr>
          <w:rFonts w:ascii="Times New Roman" w:hAnsi="Times New Roman"/>
          <w:color w:val="000000" w:themeColor="text1"/>
          <w:sz w:val="16"/>
          <w:szCs w:val="16"/>
        </w:rPr>
        <w:softHyphen/>
        <w:t>мальная бомбовая нагрузка устанав</w:t>
      </w:r>
      <w:r w:rsidRPr="00722885">
        <w:rPr>
          <w:rFonts w:ascii="Times New Roman" w:hAnsi="Times New Roman"/>
          <w:color w:val="000000" w:themeColor="text1"/>
          <w:sz w:val="16"/>
          <w:szCs w:val="16"/>
        </w:rPr>
        <w:softHyphen/>
        <w:t>ливалась 200 кг (в перегрузку 400 кг). При этом кассеты мелких бомб обес</w:t>
      </w:r>
      <w:r w:rsidRPr="00722885">
        <w:rPr>
          <w:rFonts w:ascii="Times New Roman" w:hAnsi="Times New Roman"/>
          <w:color w:val="000000" w:themeColor="text1"/>
          <w:sz w:val="16"/>
          <w:szCs w:val="16"/>
        </w:rPr>
        <w:softHyphen/>
        <w:t>печивали полное использование гру</w:t>
      </w:r>
      <w:r w:rsidRPr="00722885">
        <w:rPr>
          <w:rFonts w:ascii="Times New Roman" w:hAnsi="Times New Roman"/>
          <w:color w:val="000000" w:themeColor="text1"/>
          <w:sz w:val="16"/>
          <w:szCs w:val="16"/>
        </w:rPr>
        <w:softHyphen/>
        <w:t>зоподъемности самолета при загруз</w:t>
      </w:r>
      <w:r w:rsidRPr="00722885">
        <w:rPr>
          <w:rFonts w:ascii="Times New Roman" w:hAnsi="Times New Roman"/>
          <w:color w:val="000000" w:themeColor="text1"/>
          <w:sz w:val="16"/>
          <w:szCs w:val="16"/>
        </w:rPr>
        <w:softHyphen/>
        <w:t>ке осколочными авиабомбами всех типов - от 200 до 400 кг.</w:t>
      </w:r>
    </w:p>
    <w:p w14:paraId="1D466BC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Летные данные и маневренные ка</w:t>
      </w:r>
      <w:r w:rsidRPr="00722885">
        <w:rPr>
          <w:rFonts w:ascii="Times New Roman" w:hAnsi="Times New Roman"/>
          <w:color w:val="000000" w:themeColor="text1"/>
          <w:sz w:val="16"/>
          <w:szCs w:val="16"/>
        </w:rPr>
        <w:softHyphen/>
        <w:t>чества Су-6 оказались значительно выше, чем у серийного штурмовика Ил-2. С нормальной боевой нагруз</w:t>
      </w:r>
      <w:r w:rsidRPr="00722885">
        <w:rPr>
          <w:rFonts w:ascii="Times New Roman" w:hAnsi="Times New Roman"/>
          <w:color w:val="000000" w:themeColor="text1"/>
          <w:sz w:val="16"/>
          <w:szCs w:val="16"/>
        </w:rPr>
        <w:softHyphen/>
        <w:t>кой (то есть, с 10 РС-132 и 200 кг бомб) самолет развивал у земли ско</w:t>
      </w:r>
      <w:r w:rsidRPr="00722885">
        <w:rPr>
          <w:rFonts w:ascii="Times New Roman" w:hAnsi="Times New Roman"/>
          <w:color w:val="000000" w:themeColor="text1"/>
          <w:sz w:val="16"/>
          <w:szCs w:val="16"/>
        </w:rPr>
        <w:softHyphen/>
        <w:t>рость 445 км/ч, на высоте 2500 м -491 км/ч. Вертикальная скорость у земли равнялась 9,8 м/с. Время подъема на высоту 1 000 м было не хуже 1,7 мин. Даже с 400 кг бомб и 10 РС-132 "сухой" превосходил Ил-2 по всем определяющим летно-бое-вым показателям.</w:t>
      </w:r>
    </w:p>
    <w:p w14:paraId="31A22D2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Су-6 демонстрировал прекрас</w:t>
      </w:r>
      <w:r w:rsidRPr="00722885">
        <w:rPr>
          <w:rFonts w:ascii="Times New Roman" w:hAnsi="Times New Roman"/>
          <w:color w:val="000000" w:themeColor="text1"/>
          <w:sz w:val="16"/>
          <w:szCs w:val="16"/>
        </w:rPr>
        <w:softHyphen/>
        <w:t>ную управляемость и маневренность. Наличие на самолете автоматичес</w:t>
      </w:r>
      <w:r w:rsidRPr="00722885">
        <w:rPr>
          <w:rFonts w:ascii="Times New Roman" w:hAnsi="Times New Roman"/>
          <w:color w:val="000000" w:themeColor="text1"/>
          <w:sz w:val="16"/>
          <w:szCs w:val="16"/>
        </w:rPr>
        <w:softHyphen/>
        <w:t>ких предкрылков и щитков Шренка обеспечивало устойчивое поведение самолета на больших углах атаки. Взлет и посадка были простыми, хотя и несколько сложнее, чем на Ил-2.</w:t>
      </w:r>
    </w:p>
    <w:p w14:paraId="35AA116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Весьма важным преимуществом Су-6 М-71 перед Ил-2 АМ-38 явля</w:t>
      </w:r>
      <w:r w:rsidRPr="00722885">
        <w:rPr>
          <w:rFonts w:ascii="Times New Roman" w:hAnsi="Times New Roman"/>
          <w:color w:val="000000" w:themeColor="text1"/>
          <w:sz w:val="16"/>
          <w:szCs w:val="16"/>
        </w:rPr>
        <w:softHyphen/>
        <w:t>лись более высокие величины манев</w:t>
      </w:r>
      <w:r w:rsidRPr="00722885">
        <w:rPr>
          <w:rFonts w:ascii="Times New Roman" w:hAnsi="Times New Roman"/>
          <w:color w:val="000000" w:themeColor="text1"/>
          <w:sz w:val="16"/>
          <w:szCs w:val="16"/>
        </w:rPr>
        <w:softHyphen/>
        <w:t>ренной перегрузки (на 36%) и ско</w:t>
      </w:r>
      <w:r w:rsidRPr="00722885">
        <w:rPr>
          <w:rFonts w:ascii="Times New Roman" w:hAnsi="Times New Roman"/>
          <w:color w:val="000000" w:themeColor="text1"/>
          <w:sz w:val="16"/>
          <w:szCs w:val="16"/>
        </w:rPr>
        <w:softHyphen/>
        <w:t>роподъемности (на 20%), а также лучшая приемистость (примерно на 17%). Это позволяло значительно дольше маневрировать без потери энергии и повышало эффективность противозенитного и противоистреби-тельного маневров.</w:t>
      </w:r>
    </w:p>
    <w:p w14:paraId="586B2C2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качестве достоинства отмеча</w:t>
      </w:r>
      <w:r w:rsidRPr="00722885">
        <w:rPr>
          <w:rFonts w:ascii="Times New Roman" w:hAnsi="Times New Roman"/>
          <w:color w:val="000000" w:themeColor="text1"/>
          <w:sz w:val="16"/>
          <w:szCs w:val="16"/>
        </w:rPr>
        <w:softHyphen/>
        <w:t>лось, что схема бронирования штур</w:t>
      </w:r>
      <w:r w:rsidRPr="00722885">
        <w:rPr>
          <w:rFonts w:ascii="Times New Roman" w:hAnsi="Times New Roman"/>
          <w:color w:val="000000" w:themeColor="text1"/>
          <w:sz w:val="16"/>
          <w:szCs w:val="16"/>
        </w:rPr>
        <w:softHyphen/>
        <w:t>мовика (общий вес брони 660 кг) надежно защищает от пуль калибра 12,7 мм и осколков зенитных снаря</w:t>
      </w:r>
      <w:r w:rsidRPr="00722885">
        <w:rPr>
          <w:rFonts w:ascii="Times New Roman" w:hAnsi="Times New Roman"/>
          <w:color w:val="000000" w:themeColor="text1"/>
          <w:sz w:val="16"/>
          <w:szCs w:val="16"/>
        </w:rPr>
        <w:softHyphen/>
        <w:t>дов. При этом удельный вес брони к полетному весу самолета у "сухого" составлял 12,7% против 13,8% у са</w:t>
      </w:r>
      <w:r w:rsidRPr="00722885">
        <w:rPr>
          <w:rFonts w:ascii="Times New Roman" w:hAnsi="Times New Roman"/>
          <w:color w:val="000000" w:themeColor="text1"/>
          <w:sz w:val="16"/>
          <w:szCs w:val="16"/>
        </w:rPr>
        <w:softHyphen/>
        <w:t>молета Ил-2 АМ-38. По весовой отдаче, то есть по отношению веса по</w:t>
      </w:r>
      <w:r w:rsidRPr="00722885">
        <w:rPr>
          <w:rFonts w:ascii="Times New Roman" w:hAnsi="Times New Roman"/>
          <w:color w:val="000000" w:themeColor="text1"/>
          <w:sz w:val="16"/>
          <w:szCs w:val="16"/>
        </w:rPr>
        <w:softHyphen/>
        <w:t>лезной нагрузки к полетному весу самолета, Су-6 также превосходил Ил-2 на 12,3%.</w:t>
      </w:r>
    </w:p>
    <w:p w14:paraId="228AD9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недостаткам Су-6 М-71, пожа</w:t>
      </w:r>
      <w:r w:rsidRPr="00722885">
        <w:rPr>
          <w:rFonts w:ascii="Times New Roman" w:hAnsi="Times New Roman"/>
          <w:color w:val="000000" w:themeColor="text1"/>
          <w:sz w:val="16"/>
          <w:szCs w:val="16"/>
        </w:rPr>
        <w:softHyphen/>
        <w:t>луй, можно отнести применение гид</w:t>
      </w:r>
      <w:r w:rsidRPr="00722885">
        <w:rPr>
          <w:rFonts w:ascii="Times New Roman" w:hAnsi="Times New Roman"/>
          <w:color w:val="000000" w:themeColor="text1"/>
          <w:sz w:val="16"/>
          <w:szCs w:val="16"/>
        </w:rPr>
        <w:softHyphen/>
        <w:t>равлической системы выпуска и убор</w:t>
      </w:r>
      <w:r w:rsidRPr="00722885">
        <w:rPr>
          <w:rFonts w:ascii="Times New Roman" w:hAnsi="Times New Roman"/>
          <w:color w:val="000000" w:themeColor="text1"/>
          <w:sz w:val="16"/>
          <w:szCs w:val="16"/>
        </w:rPr>
        <w:softHyphen/>
        <w:t>ки шасси, которая в пожарном от</w:t>
      </w:r>
      <w:r w:rsidRPr="00722885">
        <w:rPr>
          <w:rFonts w:ascii="Times New Roman" w:hAnsi="Times New Roman"/>
          <w:color w:val="000000" w:themeColor="text1"/>
          <w:sz w:val="16"/>
          <w:szCs w:val="16"/>
        </w:rPr>
        <w:softHyphen/>
        <w:t>ношении уступала воздушной системе, стоявшей на Ил-2. Не совсем удачным оказался выбор скоростно</w:t>
      </w:r>
      <w:r w:rsidRPr="00722885">
        <w:rPr>
          <w:rFonts w:ascii="Times New Roman" w:hAnsi="Times New Roman"/>
          <w:color w:val="000000" w:themeColor="text1"/>
          <w:sz w:val="16"/>
          <w:szCs w:val="16"/>
        </w:rPr>
        <w:softHyphen/>
        <w:t>го аэродинамического профиля ЦАГИ типа "В" для крыла Су-6. Тогда как крыло Ил-2, где использовался про</w:t>
      </w:r>
      <w:r w:rsidRPr="00722885">
        <w:rPr>
          <w:rFonts w:ascii="Times New Roman" w:hAnsi="Times New Roman"/>
          <w:color w:val="000000" w:themeColor="text1"/>
          <w:sz w:val="16"/>
          <w:szCs w:val="16"/>
        </w:rPr>
        <w:softHyphen/>
        <w:t>филь С1агк-УН, не теряло несущих свойств даже при значительном раз</w:t>
      </w:r>
      <w:r w:rsidRPr="00722885">
        <w:rPr>
          <w:rFonts w:ascii="Times New Roman" w:hAnsi="Times New Roman"/>
          <w:color w:val="000000" w:themeColor="text1"/>
          <w:sz w:val="16"/>
          <w:szCs w:val="16"/>
        </w:rPr>
        <w:softHyphen/>
        <w:t>рушении обшивки. Кроме этого, от</w:t>
      </w:r>
      <w:r w:rsidRPr="00722885">
        <w:rPr>
          <w:rFonts w:ascii="Times New Roman" w:hAnsi="Times New Roman"/>
          <w:color w:val="000000" w:themeColor="text1"/>
          <w:sz w:val="16"/>
          <w:szCs w:val="16"/>
        </w:rPr>
        <w:softHyphen/>
        <w:t>сутствовало дублирование в систе</w:t>
      </w:r>
      <w:r w:rsidRPr="00722885">
        <w:rPr>
          <w:rFonts w:ascii="Times New Roman" w:hAnsi="Times New Roman"/>
          <w:color w:val="000000" w:themeColor="text1"/>
          <w:sz w:val="16"/>
          <w:szCs w:val="16"/>
        </w:rPr>
        <w:softHyphen/>
        <w:t>ме управления самолетом и в пер</w:t>
      </w:r>
      <w:r w:rsidRPr="00722885">
        <w:rPr>
          <w:rFonts w:ascii="Times New Roman" w:hAnsi="Times New Roman"/>
          <w:color w:val="000000" w:themeColor="text1"/>
          <w:sz w:val="16"/>
          <w:szCs w:val="16"/>
        </w:rPr>
        <w:softHyphen/>
        <w:t>вую очередь в канале управления ру</w:t>
      </w:r>
      <w:r w:rsidRPr="00722885">
        <w:rPr>
          <w:rFonts w:ascii="Times New Roman" w:hAnsi="Times New Roman"/>
          <w:color w:val="000000" w:themeColor="text1"/>
          <w:sz w:val="16"/>
          <w:szCs w:val="16"/>
        </w:rPr>
        <w:softHyphen/>
        <w:t>лем высоты. Впрочем, этим же недо</w:t>
      </w:r>
      <w:r w:rsidRPr="00722885">
        <w:rPr>
          <w:rFonts w:ascii="Times New Roman" w:hAnsi="Times New Roman"/>
          <w:color w:val="000000" w:themeColor="text1"/>
          <w:sz w:val="16"/>
          <w:szCs w:val="16"/>
        </w:rPr>
        <w:softHyphen/>
        <w:t>статком страдал и Ил-2 (11426).</w:t>
      </w:r>
    </w:p>
    <w:p w14:paraId="43CC6F3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4D3C7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строился первый вариант нового штурмовика, который по документам имел обозначение “Ил-2 АМ-42 с улучшенной аэродинамикой” или самолет “С-42”.</w:t>
      </w:r>
    </w:p>
    <w:p w14:paraId="1B8E0C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этом самолете с целью повышения продольной устойчивости консоли крыла были отведены назад на 6°. Для улучшения управляемости машины была увеличена площадь осевой компенсации руля высоты. Новым было введение взлетного положения щитков (отклонение на 17°).</w:t>
      </w:r>
    </w:p>
    <w:p w14:paraId="338278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Улучшение аэродинамики самолета достигалось применением клепки впотай, уборки хвостового колеса и размещением маслорадиатора в тоннеле водорадиатора.</w:t>
      </w:r>
    </w:p>
    <w:p w14:paraId="2F66AB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улучшения защиты стрелка-радиста бронекорпус был удлинен.</w:t>
      </w:r>
    </w:p>
    <w:p w14:paraId="10D650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Крыло и узлы его подвески с целью повышения эксплуатационных качеств штурмовика были значительно усилены.</w:t>
      </w:r>
    </w:p>
    <w:p w14:paraId="08CC51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Кроме этого, для размещения снарядов к пушкам и патронов к пулеметам в крыле, вместо съемных ящиков, были введены специальные отсеки.</w:t>
      </w:r>
    </w:p>
    <w:p w14:paraId="214E95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строился, но, ввиду недоведенности мотора АМ-42, работы по нему завершены не были (9649).</w:t>
      </w:r>
    </w:p>
    <w:p w14:paraId="5EBE9CD1" w14:textId="77777777" w:rsidR="00090C9B" w:rsidRPr="00722885" w:rsidRDefault="00090C9B" w:rsidP="00722885">
      <w:pPr>
        <w:pStyle w:val="Iauiue"/>
        <w:jc w:val="both"/>
        <w:rPr>
          <w:color w:val="000000" w:themeColor="text1"/>
          <w:sz w:val="16"/>
          <w:szCs w:val="16"/>
        </w:rPr>
      </w:pPr>
    </w:p>
    <w:p w14:paraId="5192EF3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w:t>
      </w:r>
      <w:r w:rsidRPr="00722885">
        <w:rPr>
          <w:rFonts w:ascii="Times New Roman" w:hAnsi="Times New Roman"/>
          <w:color w:val="000000" w:themeColor="text1"/>
          <w:sz w:val="16"/>
          <w:szCs w:val="16"/>
        </w:rPr>
        <w:softHyphen/>
        <w:t>нью 1942 г. три мотора АМ-38 завода № 45 были поставлены на длительные испытапния и не отработали установлен</w:t>
      </w:r>
      <w:r w:rsidRPr="00722885">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722885">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722885">
        <w:rPr>
          <w:rFonts w:ascii="Times New Roman" w:hAnsi="Times New Roman"/>
          <w:color w:val="000000" w:themeColor="text1"/>
          <w:sz w:val="16"/>
          <w:szCs w:val="16"/>
        </w:rPr>
        <w:softHyphen/>
        <w:t>рен и поломки клапанов, что было выз</w:t>
      </w:r>
      <w:r w:rsidRPr="00722885">
        <w:rPr>
          <w:rFonts w:ascii="Times New Roman" w:hAnsi="Times New Roman"/>
          <w:color w:val="000000" w:themeColor="text1"/>
          <w:sz w:val="16"/>
          <w:szCs w:val="16"/>
        </w:rPr>
        <w:softHyphen/>
        <w:t>вано нетолько невысоким качеством из</w:t>
      </w:r>
      <w:r w:rsidRPr="00722885">
        <w:rPr>
          <w:rFonts w:ascii="Times New Roman" w:hAnsi="Times New Roman"/>
          <w:color w:val="000000" w:themeColor="text1"/>
          <w:sz w:val="16"/>
          <w:szCs w:val="16"/>
        </w:rPr>
        <w:softHyphen/>
        <w:t>готовления моторов, но и низкокаче</w:t>
      </w:r>
      <w:r w:rsidRPr="00722885">
        <w:rPr>
          <w:rFonts w:ascii="Times New Roman" w:hAnsi="Times New Roman"/>
          <w:color w:val="000000" w:themeColor="text1"/>
          <w:sz w:val="16"/>
          <w:szCs w:val="16"/>
        </w:rPr>
        <w:softHyphen/>
        <w:t>ственным третьесортным бензином, которым снабжался завод (11159).</w:t>
      </w:r>
    </w:p>
    <w:p w14:paraId="0CF0036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EBF218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взаимоотношения А.А.Микулина, перебравшегося в Москву и организовавшего новый опытный завод № 300, и руководства серийного заво</w:t>
      </w:r>
      <w:r w:rsidRPr="00722885">
        <w:rPr>
          <w:rFonts w:ascii="Times New Roman" w:hAnsi="Times New Roman"/>
          <w:color w:val="000000" w:themeColor="text1"/>
          <w:sz w:val="16"/>
          <w:szCs w:val="16"/>
        </w:rPr>
        <w:softHyphen/>
        <w:t>да № 24 стали прохладными. Фактически занявший в Куйбышеве место главного конструктора М.Р.Флиский (формально главным там оставался АА.Микулин) предложил собственный план совершенствова</w:t>
      </w:r>
      <w:r w:rsidRPr="00722885">
        <w:rPr>
          <w:rFonts w:ascii="Times New Roman" w:hAnsi="Times New Roman"/>
          <w:color w:val="000000" w:themeColor="text1"/>
          <w:sz w:val="16"/>
          <w:szCs w:val="16"/>
        </w:rPr>
        <w:softHyphen/>
        <w:t>ния характеристик выпускавшихся двигателей, связанный, главным образом, с повышением частоты вращения коленвала. Микулин категорически не соглашался с таким решением, но дирекция завода № 24 поддержала М.Р.Флиского. Более того, тот по</w:t>
      </w:r>
      <w:r w:rsidRPr="00722885">
        <w:rPr>
          <w:rFonts w:ascii="Times New Roman" w:hAnsi="Times New Roman"/>
          <w:color w:val="000000" w:themeColor="text1"/>
          <w:sz w:val="16"/>
          <w:szCs w:val="16"/>
        </w:rPr>
        <w:softHyphen/>
        <w:t>лучил «карт-бланш» на разработку от наркома авиа</w:t>
      </w:r>
      <w:r w:rsidRPr="00722885">
        <w:rPr>
          <w:rFonts w:ascii="Times New Roman" w:hAnsi="Times New Roman"/>
          <w:color w:val="000000" w:themeColor="text1"/>
          <w:sz w:val="16"/>
          <w:szCs w:val="16"/>
        </w:rPr>
        <w:softHyphen/>
        <w:t>промышленности. Так у моторов АМ стало сразу как бы два «хозяина», причем каждый проповедовал соб</w:t>
      </w:r>
      <w:r w:rsidRPr="00722885">
        <w:rPr>
          <w:rFonts w:ascii="Times New Roman" w:hAnsi="Times New Roman"/>
          <w:color w:val="000000" w:themeColor="text1"/>
          <w:sz w:val="16"/>
          <w:szCs w:val="16"/>
        </w:rPr>
        <w:softHyphen/>
        <w:t>ственный путь их дальнейшего совершенствования. В соответствии с предложениями Микулина, за</w:t>
      </w:r>
      <w:r w:rsidRPr="00722885">
        <w:rPr>
          <w:rFonts w:ascii="Times New Roman" w:hAnsi="Times New Roman"/>
          <w:color w:val="000000" w:themeColor="text1"/>
          <w:sz w:val="16"/>
          <w:szCs w:val="16"/>
        </w:rPr>
        <w:softHyphen/>
        <w:t>воду № 300 в 1943 г. поручалось создание семейства моторов АМ—39, АМ—39А и АМ—39Ф. Планирова</w:t>
      </w:r>
      <w:r w:rsidRPr="00722885">
        <w:rPr>
          <w:rFonts w:ascii="Times New Roman" w:hAnsi="Times New Roman"/>
          <w:color w:val="000000" w:themeColor="text1"/>
          <w:sz w:val="16"/>
          <w:szCs w:val="16"/>
        </w:rPr>
        <w:softHyphen/>
        <w:t>лось довести турбокомпрессоры ТК—3 до 50-часово</w:t>
      </w:r>
      <w:r w:rsidRPr="00722885">
        <w:rPr>
          <w:rFonts w:ascii="Times New Roman" w:hAnsi="Times New Roman"/>
          <w:color w:val="000000" w:themeColor="text1"/>
          <w:sz w:val="16"/>
          <w:szCs w:val="16"/>
        </w:rPr>
        <w:softHyphen/>
        <w:t>го ресурса и внедрить их в серию. Намечалось также построить и испытать мотор АМ—43ТР с турбореак-тором, двигатель АМ—35А с непосредственным впрыском топлива и с турбокомпрессором. И все же «тридцать девятые» были одной из главных тем для ОКБ Микулина. По конструкции отдельных узлов мотор АМ—39 являлся высотным вариантом мотора АМ—38. Основным его отличием на первом этапе разработки стало применение оригинальной двухскоростной ко</w:t>
      </w:r>
      <w:r w:rsidRPr="00722885">
        <w:rPr>
          <w:rFonts w:ascii="Times New Roman" w:hAnsi="Times New Roman"/>
          <w:color w:val="000000" w:themeColor="text1"/>
          <w:sz w:val="16"/>
          <w:szCs w:val="16"/>
        </w:rPr>
        <w:softHyphen/>
        <w:t>робки скоростей, которая, будучи объединена с на</w:t>
      </w:r>
      <w:r w:rsidRPr="00722885">
        <w:rPr>
          <w:rFonts w:ascii="Times New Roman" w:hAnsi="Times New Roman"/>
          <w:color w:val="000000" w:themeColor="text1"/>
          <w:sz w:val="16"/>
          <w:szCs w:val="16"/>
        </w:rPr>
        <w:softHyphen/>
        <w:t>гнетателем мотора АМ-38, повышала высотность до 6800 м. Внедрение этой коробки не требовало ломки технологии производства нагнетателя. На моторе АМ—39, как и на АМ—37, имелся водо-воздушный радиатор для охлаждения воздуха на выходе из на</w:t>
      </w:r>
      <w:r w:rsidRPr="00722885">
        <w:rPr>
          <w:rFonts w:ascii="Times New Roman" w:hAnsi="Times New Roman"/>
          <w:color w:val="000000" w:themeColor="text1"/>
          <w:sz w:val="16"/>
          <w:szCs w:val="16"/>
        </w:rPr>
        <w:softHyphen/>
        <w:t>гнетателя. Его применение давало прирост мощнос</w:t>
      </w:r>
      <w:r w:rsidRPr="00722885">
        <w:rPr>
          <w:rFonts w:ascii="Times New Roman" w:hAnsi="Times New Roman"/>
          <w:color w:val="000000" w:themeColor="text1"/>
          <w:sz w:val="16"/>
          <w:szCs w:val="16"/>
        </w:rPr>
        <w:softHyphen/>
        <w:t>ти, эквивалентный 200 л.с. Однако за все нужно пла</w:t>
      </w:r>
      <w:r w:rsidRPr="00722885">
        <w:rPr>
          <w:rFonts w:ascii="Times New Roman" w:hAnsi="Times New Roman"/>
          <w:color w:val="000000" w:themeColor="text1"/>
          <w:sz w:val="16"/>
          <w:szCs w:val="16"/>
        </w:rPr>
        <w:softHyphen/>
        <w:t>тить — усложнение конструкции двигателя привело к затягиванию заводских испытаний АМ—39 вплоть до середины 1943 г. (9984).</w:t>
      </w:r>
    </w:p>
    <w:p w14:paraId="3576A1E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32DA44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П.О.Сухой продолжал ра</w:t>
      </w:r>
      <w:r w:rsidRPr="00722885">
        <w:rPr>
          <w:rFonts w:ascii="Times New Roman" w:hAnsi="Times New Roman"/>
          <w:color w:val="000000" w:themeColor="text1"/>
          <w:sz w:val="16"/>
          <w:szCs w:val="16"/>
        </w:rPr>
        <w:softHyphen/>
        <w:t>боты по совершенствованию Су-6. Полным ходом шли работы по уста</w:t>
      </w:r>
      <w:r w:rsidRPr="00722885">
        <w:rPr>
          <w:rFonts w:ascii="Times New Roman" w:hAnsi="Times New Roman"/>
          <w:color w:val="000000" w:themeColor="text1"/>
          <w:sz w:val="16"/>
          <w:szCs w:val="16"/>
        </w:rPr>
        <w:softHyphen/>
        <w:t>новке на Су-6 крупнокалиберных пушек и мотора М-71ф, форсирован</w:t>
      </w:r>
      <w:r w:rsidRPr="00722885">
        <w:rPr>
          <w:rFonts w:ascii="Times New Roman" w:hAnsi="Times New Roman"/>
          <w:color w:val="000000" w:themeColor="text1"/>
          <w:sz w:val="16"/>
          <w:szCs w:val="16"/>
        </w:rPr>
        <w:softHyphen/>
        <w:t>ного до 2200 л.с. на взлетном режи</w:t>
      </w:r>
      <w:r w:rsidRPr="00722885">
        <w:rPr>
          <w:rFonts w:ascii="Times New Roman" w:hAnsi="Times New Roman"/>
          <w:color w:val="000000" w:themeColor="text1"/>
          <w:sz w:val="16"/>
          <w:szCs w:val="16"/>
        </w:rPr>
        <w:softHyphen/>
        <w:t>ме. В декабре 1942 г. все это было сделано, однако самолет на испы</w:t>
      </w:r>
      <w:r w:rsidRPr="00722885">
        <w:rPr>
          <w:rFonts w:ascii="Times New Roman" w:hAnsi="Times New Roman"/>
          <w:color w:val="000000" w:themeColor="text1"/>
          <w:sz w:val="16"/>
          <w:szCs w:val="16"/>
        </w:rPr>
        <w:softHyphen/>
        <w:t>тания не передавался, так как в на</w:t>
      </w:r>
      <w:r w:rsidRPr="00722885">
        <w:rPr>
          <w:rFonts w:ascii="Times New Roman" w:hAnsi="Times New Roman"/>
          <w:color w:val="000000" w:themeColor="text1"/>
          <w:sz w:val="16"/>
          <w:szCs w:val="16"/>
        </w:rPr>
        <w:softHyphen/>
        <w:t>чале января 1943 г. Сухой предста</w:t>
      </w:r>
      <w:r w:rsidRPr="00722885">
        <w:rPr>
          <w:rFonts w:ascii="Times New Roman" w:hAnsi="Times New Roman"/>
          <w:color w:val="000000" w:themeColor="text1"/>
          <w:sz w:val="16"/>
          <w:szCs w:val="16"/>
        </w:rPr>
        <w:softHyphen/>
        <w:t>вил эскизный проект двухместного варианта Су-6 с М-71ф. Проект по</w:t>
      </w:r>
      <w:r w:rsidRPr="00722885">
        <w:rPr>
          <w:rFonts w:ascii="Times New Roman" w:hAnsi="Times New Roman"/>
          <w:color w:val="000000" w:themeColor="text1"/>
          <w:sz w:val="16"/>
          <w:szCs w:val="16"/>
        </w:rPr>
        <w:softHyphen/>
        <w:t>лучил одобрение у военных, и 20 января с небольшими замечаниями в части улучшения бронирования был утвержден (11426).</w:t>
      </w:r>
    </w:p>
    <w:p w14:paraId="2904530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5F2B4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осени 1942 г. завод № 39 в Иркутске перешел на массовый выпуск дальних бомбардировщиков Ил-4 (7644).</w:t>
      </w:r>
    </w:p>
    <w:p w14:paraId="6B08199E" w14:textId="77777777" w:rsidR="00090C9B" w:rsidRPr="00722885" w:rsidRDefault="00090C9B" w:rsidP="00722885">
      <w:pPr>
        <w:pStyle w:val="Iauiue"/>
        <w:jc w:val="both"/>
        <w:rPr>
          <w:color w:val="000000" w:themeColor="text1"/>
          <w:sz w:val="16"/>
          <w:szCs w:val="16"/>
        </w:rPr>
      </w:pPr>
    </w:p>
    <w:p w14:paraId="30CBA4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г. был закончен эскизный проект Ил-6 (9528).</w:t>
      </w:r>
    </w:p>
    <w:p w14:paraId="0F7D532B" w14:textId="77777777" w:rsidR="00090C9B" w:rsidRPr="00722885" w:rsidRDefault="00090C9B" w:rsidP="00722885">
      <w:pPr>
        <w:pStyle w:val="Iauiue"/>
        <w:jc w:val="both"/>
        <w:rPr>
          <w:color w:val="000000" w:themeColor="text1"/>
          <w:sz w:val="16"/>
          <w:szCs w:val="16"/>
        </w:rPr>
      </w:pPr>
    </w:p>
    <w:p w14:paraId="55EC49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был построен первый опытный Пе-8 с М-82 N 42047 и с 1 т бомб имел дальность 4300 км (1792,6).</w:t>
      </w:r>
    </w:p>
    <w:p w14:paraId="64C011CC" w14:textId="77777777" w:rsidR="00090C9B" w:rsidRPr="00722885" w:rsidRDefault="00090C9B" w:rsidP="00722885">
      <w:pPr>
        <w:pStyle w:val="Iauiue"/>
        <w:jc w:val="both"/>
        <w:rPr>
          <w:color w:val="000000" w:themeColor="text1"/>
          <w:sz w:val="16"/>
          <w:szCs w:val="16"/>
        </w:rPr>
      </w:pPr>
    </w:p>
    <w:p w14:paraId="37779F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М.М.Громов проводил испытания Пе-8 (ТБ-7) N 42047 с АШ-82 (1103,102).</w:t>
      </w:r>
    </w:p>
    <w:p w14:paraId="0339082F" w14:textId="77777777" w:rsidR="00090C9B" w:rsidRPr="00722885" w:rsidRDefault="00090C9B" w:rsidP="00722885">
      <w:pPr>
        <w:pStyle w:val="Iauiue"/>
        <w:jc w:val="both"/>
        <w:rPr>
          <w:color w:val="000000" w:themeColor="text1"/>
          <w:sz w:val="16"/>
          <w:szCs w:val="16"/>
        </w:rPr>
      </w:pPr>
    </w:p>
    <w:p w14:paraId="3DFBAE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наряду с установкой двигателей М-82, конструкторскому бюро Незваля было рекомендовано заняться улучшением аэродинамики самолета. Предлагалось, в частности, заменить носовую башню НЭБ со спаркой пулеметов ШКАС на более обтекаемую установку под крупнокалиберный пулемет Березина. Подобные установки уже применялись на самолетах Ер-2.</w:t>
      </w:r>
    </w:p>
    <w:p w14:paraId="7B6A92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вся носовая часть Пе-8 была полностью переконструирована. Серийные самолеты с 1943 г. стали выпускать с аэродинамически облагороженным, или удлиненным "носом", что привело к некоторому повышению дальности полета и увеличению максимальной скорости (первый такой модернизированный Пе-8 №42049 уже упоминался в предыдущей главе). Пулемет УБТ калибра 12,7 мм установили в центре прозрачной полусферы, в так называемом "яблочном" шарнире. Установка получилась компактная, легкая, хорошо управлялась стрелком, имела большие углы обстрела. Особенно нравилось то, что по сравнению со старой установкой внутри самолета стало комфортнее, исчез раздражающий пилотов сквозняк. Одновременно с изменением внешнего вида изменилась внутренняя компоновка кабины штурмана. Учитывая, что большинство боевых действий выполнялось в ночное время, в кабине установили ночной коллиматорный прицел НКПБ-4. Бомбовый синхронный прицел ПС-1 заменили сначала на оптический прицел ОПБ-2МУ, позднее на ОПБ-1Р. Недостатки отечественных прицелов были известны, в действующей армии это иногда приводило к тому, что устанавливались немецкие или американские прицелы с разбитых самолетов. Наряду с вышеперечисленным, силами ОКБ было осуществлено множество доработок, направленных на обеспечение достаточного комфорта для летного экипажа в длительных полетах (12025).</w:t>
      </w:r>
    </w:p>
    <w:p w14:paraId="428E97A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35D42D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Осенью 1942 г. на заводе в г. Казани построили первый опытный экземпляр самолета Пе-2 с М-82. Для этого переделали один из самолетов 31 -и серии (№ 19/31), выпущенный заводом № 22 в 1941 г. Кроме замены мотоустановки, на нем убрали носовой ШКАС, бортовой пулемет стрелка-радиста и поставили экспериментальную турель ВУБ-2 с пулеметом БК у штурмана. Помимо этого сняли бомбодержатели в гондолах, смонтировали более совершенный радиополукомпас РПК-10; колеса шасси вынесли на 60 мм вперед за счет удлинения подкосов, что позволило удержать капотажный угол в пределах 26-27°, как и у варианта с М-105ПФ. Пустой опытный самолет получился примерно на 600 кг тяжелее серийного. Эта машина проходила заводские испытания на аэродроме "Арское поле" под Казанью. Летные данные действительно оказались выше, чем у бомбардировщиков с М-105ПФ. Например, увеличились максимальные скорости полета на всех высотах, вырос </w:t>
      </w:r>
      <w:r w:rsidRPr="00722885">
        <w:rPr>
          <w:color w:val="000000" w:themeColor="text1"/>
          <w:sz w:val="16"/>
          <w:szCs w:val="16"/>
        </w:rPr>
        <w:lastRenderedPageBreak/>
        <w:t>практический потолок, сократился разбег. Но моторы М-82 ранних серий были весьма ненадежны. На заводских испытаниях № 19/31 неоднократно фиксировались случаи выброса масла из суфлеров, приводящие к масляному голоданию и заклиниванию двигателя. Масло скапливалось в головках нижних цилиндров, что вызывало жесткий удар поршней и обрыв головок. Много неприятностей было связано с неудовлетворительным функционированием маслорадиаторов, ненадежной работой моторов на режиме малого газа (3542).</w:t>
      </w:r>
    </w:p>
    <w:p w14:paraId="5BD99256" w14:textId="77777777" w:rsidR="00090C9B" w:rsidRPr="00722885" w:rsidRDefault="00090C9B" w:rsidP="00722885">
      <w:pPr>
        <w:pStyle w:val="Iauiue"/>
        <w:jc w:val="both"/>
        <w:rPr>
          <w:color w:val="000000" w:themeColor="text1"/>
          <w:sz w:val="16"/>
          <w:szCs w:val="16"/>
        </w:rPr>
      </w:pPr>
    </w:p>
    <w:p w14:paraId="44CFC6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общее ухудшение обстановки на фронте, захват немцами обширных пространств вплоть до р. Волги вызвал резкое снижение объемов и номенклатуры выпускаемых промышленностью дюралюминиевых листов и профилей. Пришлось на Пе-2 в ряде случаев увеличивать толщину обшивки самолета с 0,8 мм до 1 мм или с 1,2 мм до 1,5 мм, что вело к возрастанию веса машины. Поставки листов уменьшенных размеров, наличие в них брака - "хлопунов", волнистости и трещин - заставили вводить непредусмотренные исходной конструкцией стыки, часто выполняемые внахлест. Носок консолей стали делать из нескольких кусков. Все это негативно сказалось на летных данных серийных самолетов Пе-2. Скорость на второй границе высотности упала к середине сентября 1942 г. до 494 км/час (3542).</w:t>
      </w:r>
    </w:p>
    <w:p w14:paraId="71FE4355" w14:textId="77777777" w:rsidR="00090C9B" w:rsidRPr="00722885" w:rsidRDefault="00090C9B" w:rsidP="00722885">
      <w:pPr>
        <w:pStyle w:val="Iauiue"/>
        <w:jc w:val="both"/>
        <w:rPr>
          <w:color w:val="000000" w:themeColor="text1"/>
          <w:sz w:val="16"/>
          <w:szCs w:val="16"/>
        </w:rPr>
      </w:pPr>
    </w:p>
    <w:p w14:paraId="426A0E3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1941 г. завод же № 32 был эвакуиро</w:t>
      </w:r>
      <w:r w:rsidRPr="00722885">
        <w:rPr>
          <w:rFonts w:ascii="Times New Roman" w:hAnsi="Times New Roman"/>
          <w:color w:val="000000" w:themeColor="text1"/>
          <w:sz w:val="16"/>
          <w:szCs w:val="16"/>
        </w:rPr>
        <w:softHyphen/>
        <w:t>ван из Москвы в Казань. Там Можаровский и Веневидов вместе с главным конструктором завода № 266 А.А. Енгибаряном решили оснастить серийный пикирующий бомбардировщик Пе-2 автома</w:t>
      </w:r>
      <w:r w:rsidRPr="00722885">
        <w:rPr>
          <w:rFonts w:ascii="Times New Roman" w:hAnsi="Times New Roman"/>
          <w:color w:val="000000" w:themeColor="text1"/>
          <w:sz w:val="16"/>
          <w:szCs w:val="16"/>
        </w:rPr>
        <w:softHyphen/>
        <w:t>тической комбинированной артиллерийской батареей АКАБ. Для равномерности распределения разрывов в зоне поражения в кинематику установки ввели криволинейную направляющую, по которой скользила каретка электропривода, наклоняя лафет. Она обеспечивала плавное изменение угла наклона оружия: в нача</w:t>
      </w:r>
      <w:r w:rsidRPr="00722885">
        <w:rPr>
          <w:rFonts w:ascii="Times New Roman" w:hAnsi="Times New Roman"/>
          <w:color w:val="000000" w:themeColor="text1"/>
          <w:sz w:val="16"/>
          <w:szCs w:val="16"/>
        </w:rPr>
        <w:softHyphen/>
        <w:t>ле очереди лафет АКАБ поворачивался медленнее, а при подлете к цели — быстрее). Установленная на Пе-2 АКАБ состояла из двух рам, смонтиро</w:t>
      </w:r>
      <w:r w:rsidRPr="00722885">
        <w:rPr>
          <w:rFonts w:ascii="Times New Roman" w:hAnsi="Times New Roman"/>
          <w:color w:val="000000" w:themeColor="text1"/>
          <w:sz w:val="16"/>
          <w:szCs w:val="16"/>
        </w:rPr>
        <w:softHyphen/>
        <w:t>ванных одна за другой, каждая из которых несла спаренную 20-мм пушку ШВАК и 12,7-мм пулемет УБК (возможны были и другие варианты вооружения) и приводилась в движение собственным электромотором с помощью ходового винта-. АКАБ находилась в фюзеляжном обтекателе, закрытом съемными панелями на шом</w:t>
      </w:r>
      <w:r w:rsidRPr="00722885">
        <w:rPr>
          <w:rFonts w:ascii="Times New Roman" w:hAnsi="Times New Roman"/>
          <w:color w:val="000000" w:themeColor="text1"/>
          <w:sz w:val="16"/>
          <w:szCs w:val="16"/>
        </w:rPr>
        <w:softHyphen/>
        <w:t>полах. Рабочее место стрелка-радиста ликвидировали, разместив в его кабине патронные ящики задней установки, а боезапас пере</w:t>
      </w:r>
      <w:r w:rsidRPr="00722885">
        <w:rPr>
          <w:rFonts w:ascii="Times New Roman" w:hAnsi="Times New Roman"/>
          <w:color w:val="000000" w:themeColor="text1"/>
          <w:sz w:val="16"/>
          <w:szCs w:val="16"/>
        </w:rPr>
        <w:softHyphen/>
        <w:t>дней установки размещался в фюзеляжном бомбоотсеке. Задняя установка была несколько опущена по отношению к пе</w:t>
      </w:r>
      <w:r w:rsidRPr="00722885">
        <w:rPr>
          <w:rFonts w:ascii="Times New Roman" w:hAnsi="Times New Roman"/>
          <w:color w:val="000000" w:themeColor="text1"/>
          <w:sz w:val="16"/>
          <w:szCs w:val="16"/>
        </w:rPr>
        <w:softHyphen/>
        <w:t>редней, чтобы при нулевом угле все стволы АКАБ могли вести огонь вперед, обстреливая цели на пикировании. Эта же конфигу</w:t>
      </w:r>
      <w:r w:rsidRPr="00722885">
        <w:rPr>
          <w:rFonts w:ascii="Times New Roman" w:hAnsi="Times New Roman"/>
          <w:color w:val="000000" w:themeColor="text1"/>
          <w:sz w:val="16"/>
          <w:szCs w:val="16"/>
        </w:rPr>
        <w:softHyphen/>
        <w:t>рация предусматривалась для ведения воздушного боя. Помимо сопроводительного огня АКАБ могла поражать протяженные и площадные цели при заданном постоянном угле наклона, то есть «методом полива», как называли его конструкторы. Общий вес АКАБ составлял 434 кг, из которых 150 кг приходи</w:t>
      </w:r>
      <w:r w:rsidRPr="00722885">
        <w:rPr>
          <w:rFonts w:ascii="Times New Roman" w:hAnsi="Times New Roman"/>
          <w:color w:val="000000" w:themeColor="text1"/>
          <w:sz w:val="16"/>
          <w:szCs w:val="16"/>
        </w:rPr>
        <w:softHyphen/>
        <w:t>лось на конструкцию и приводы, 122 кг весило само оружие и 162 кг — боекомплект (340 снарядов к пушкам и 440 патронов к пу</w:t>
      </w:r>
      <w:r w:rsidRPr="00722885">
        <w:rPr>
          <w:rFonts w:ascii="Times New Roman" w:hAnsi="Times New Roman"/>
          <w:color w:val="000000" w:themeColor="text1"/>
          <w:sz w:val="16"/>
          <w:szCs w:val="16"/>
        </w:rPr>
        <w:softHyphen/>
        <w:t>леметам). Все управление АКАБ находилось в кабине летчика. В зависи</w:t>
      </w:r>
      <w:r w:rsidRPr="00722885">
        <w:rPr>
          <w:rFonts w:ascii="Times New Roman" w:hAnsi="Times New Roman"/>
          <w:color w:val="000000" w:themeColor="text1"/>
          <w:sz w:val="16"/>
          <w:szCs w:val="16"/>
        </w:rPr>
        <w:softHyphen/>
        <w:t>мости от скорости и высоты полета он задавал угловую скорость поворота батареи, на командном пункте КП-3 (так называемом «меню») устанавливал вид огня («поливной», «сосредоточенный» или «с бомбометанием»), выставлял коллиматорный прицел на угол 9°, соответствующий начальному направлению стволов (угол был выбран по условиям обзора из кабины) и, поймав цель в пере</w:t>
      </w:r>
      <w:r w:rsidRPr="00722885">
        <w:rPr>
          <w:rFonts w:ascii="Times New Roman" w:hAnsi="Times New Roman"/>
          <w:color w:val="000000" w:themeColor="text1"/>
          <w:sz w:val="16"/>
          <w:szCs w:val="16"/>
        </w:rPr>
        <w:softHyphen/>
        <w:t>крестье, нажимал боевую кнопку. После разового прицеливания летчику нужно было лишь удер</w:t>
      </w:r>
      <w:r w:rsidRPr="00722885">
        <w:rPr>
          <w:rFonts w:ascii="Times New Roman" w:hAnsi="Times New Roman"/>
          <w:color w:val="000000" w:themeColor="text1"/>
          <w:sz w:val="16"/>
          <w:szCs w:val="16"/>
        </w:rPr>
        <w:softHyphen/>
        <w:t>живать самолет на боевом курсе. Стволы оружия следовали за це</w:t>
      </w:r>
      <w:r w:rsidRPr="00722885">
        <w:rPr>
          <w:rFonts w:ascii="Times New Roman" w:hAnsi="Times New Roman"/>
          <w:color w:val="000000" w:themeColor="text1"/>
          <w:sz w:val="16"/>
          <w:szCs w:val="16"/>
        </w:rPr>
        <w:softHyphen/>
        <w:t>лью автоматически, а в соответствующий момент временное реле замыкало цепь сброса бомб. После отклонения на предельный угол 40° срабатывал концевой выключатель, и оружие автоматически возвращалось («вскидыва</w:t>
      </w:r>
      <w:r w:rsidRPr="00722885">
        <w:rPr>
          <w:rFonts w:ascii="Times New Roman" w:hAnsi="Times New Roman"/>
          <w:color w:val="000000" w:themeColor="text1"/>
          <w:sz w:val="16"/>
          <w:szCs w:val="16"/>
        </w:rPr>
        <w:softHyphen/>
        <w:t>лось») в начальное положение, подготавливаясь к повторному за</w:t>
      </w:r>
      <w:r w:rsidRPr="00722885">
        <w:rPr>
          <w:rFonts w:ascii="Times New Roman" w:hAnsi="Times New Roman"/>
          <w:color w:val="000000" w:themeColor="text1"/>
          <w:sz w:val="16"/>
          <w:szCs w:val="16"/>
        </w:rPr>
        <w:softHyphen/>
        <w:t>ходу (10695).</w:t>
      </w:r>
    </w:p>
    <w:p w14:paraId="79B1057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72B6E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трудности со снабжением заставили завод № 22, оставшийся с IV квартала 1942 г. единственным в стране производителем пикирующих бомбардировщиков (завод № 39 переключили на постройку Ил-4), искать замену цельнометаллическим узлам самолета. На серийной машине № 20/115 была смонтирована хвостовая часть фюзеляжа Ф-3, выполненная из дерева (шпангоуты деревянные, обшивка фанерная). Аналогичную конструкцию имел и стабилизатор, а кили остались металлическими. Летчик майор Ашитков выполнил с деревянным хвостом полную программу испытаний, включая пикирование с углами 60-65° как с выпущенными тормозными решетками, так и без них при перегрузке на выходе до 3-3,5 ед. В дальнейшем на отдельных Пе-2 в разных сериях устанавливались деревянные Ф-3 и стабилизаторы, но в связи с отсутствием на заводе № 22 базы для их массового выпуска (завод работал исключительно с металлом), масштабы производства Пе-2 смешанной конструкции были относительно небольшими. Прижился только деревянный хвостовой кок, который, впрочем, в дальнейшем вызвал нелестные отзывы из войсковых частей из-за коробления и разбухания фанерной обшивки. Из-за нехватки оргстекла значительно уменьшили площадь остекления кабин. Сперва исчез прозрачный "пятачок" спереди, затем небольшие прямоугольные окошки сверху в хвостовой части, постепенно сузилось остекление сбоку в носовой части и, наконец, последнее совсем исчезло и осталась только плоская панель снизу (3542).</w:t>
      </w:r>
    </w:p>
    <w:p w14:paraId="78450215" w14:textId="77777777" w:rsidR="00090C9B" w:rsidRPr="00722885" w:rsidRDefault="00090C9B" w:rsidP="00722885">
      <w:pPr>
        <w:pStyle w:val="Iauiue"/>
        <w:jc w:val="both"/>
        <w:rPr>
          <w:color w:val="000000" w:themeColor="text1"/>
          <w:sz w:val="16"/>
          <w:szCs w:val="16"/>
        </w:rPr>
      </w:pPr>
    </w:p>
    <w:p w14:paraId="0A6DD8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осени 1942 г. учебные Пе-2 стали малыми партиями изготавливаться на заводе № 22. Их месячный выпуск вначале составлял 2-5 машин, а в марте 1943 г. ВВС заказали уже 100 самолетов Пе-2 в учебном варианте с темпом производства 10 машин в месяц.</w:t>
      </w:r>
    </w:p>
    <w:p w14:paraId="330E6D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Любопытная деталь: строившиеся параллельно самолеты Пе-2 варианта “разведчик” имели, как правило, первый номер в серии, а учебные самолеты - номера “10” или “20”, т. е. замыкали серию или ее первую половину. В связи с тем, что учебный Пе-2 выпускался как бы “внутри” серии, то все ее особенности, включая марку моторов (на разведчики старались, по возможности, ставить М-105РА), измененную аэродинамику, размещение элементов конструкции и отдельных агрегатов, соответствовали параметрам обычного боевого Пе-2 того же периода выпуска, а сами машины обладали подобными же летными характеристиками (4476).</w:t>
      </w:r>
    </w:p>
    <w:p w14:paraId="4B8284E5" w14:textId="77777777" w:rsidR="00090C9B" w:rsidRPr="00722885" w:rsidRDefault="00090C9B" w:rsidP="00722885">
      <w:pPr>
        <w:pStyle w:val="Iauiue"/>
        <w:jc w:val="both"/>
        <w:rPr>
          <w:color w:val="000000" w:themeColor="text1"/>
          <w:sz w:val="16"/>
          <w:szCs w:val="16"/>
        </w:rPr>
      </w:pPr>
    </w:p>
    <w:p w14:paraId="693132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осени 1942 г. учебные Пе-2 стали малыми партиями изготавливаться на заводе № 22. Их месячный выпуск вначале составлял 2-5 машин, а в марте 1943 г. ВВС заказали уже 100 самолетов Пе-2 в учебном варианте с темпом производства 10 машин в месяц (12042). </w:t>
      </w:r>
    </w:p>
    <w:p w14:paraId="1F5A66B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A23E2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г., когда ОКБ Ермолаева прорабатывало два варианта машины Ер-2, Ер-2 2АМ-39 с взлетной мощностью 1700 л.с. и номинальной 1300 л.с. некоторое время рассматривались в качестве альтернативы машине с дизелями А.Д.Чаромского. По состоянию на 1 января 1943 г. проектные работы были выполнены по первому варианту на 89%, а по второму - на 31%. В производство запустили некоторые узлы силовой установки, но до постройки опытного самолета с моторами AM-39 дело так и не дошло. Вероятно, в тот период времени перспективы "дизельного" Ер-2 расценивались как более предпочтительные, а новый микулинский супер-мотор имел весьма отдаленное и неясное будущее... (3322,33).</w:t>
      </w:r>
    </w:p>
    <w:p w14:paraId="7DB0AA41" w14:textId="77777777" w:rsidR="00090C9B" w:rsidRPr="00722885" w:rsidRDefault="00090C9B" w:rsidP="00722885">
      <w:pPr>
        <w:pStyle w:val="Iauiue"/>
        <w:jc w:val="both"/>
        <w:rPr>
          <w:color w:val="000000" w:themeColor="text1"/>
          <w:sz w:val="16"/>
          <w:szCs w:val="16"/>
        </w:rPr>
      </w:pPr>
    </w:p>
    <w:p w14:paraId="7D808BF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г. немцы применили на советско-германском фронте "Густава" - очередную модификацию Bf 109G-2. В отличие от предшественников, этот истребитель оснащался новым мотором DB 605A. Из "шестьсот первого" было высосано все, что он мог дать, поэтому немецким конструкторам пришлось сделать радикальный шаг - у DB 605A диаметр цилиндров увеличили на 4 мм и повысили число оборотов. Взлетная мощность двигателя в результате этого выросла до 1650 л.с., а высотность - до 6000 м благодаря применению нового ПЦН с увеличенным диаметром крыльчатки (9020).</w:t>
      </w:r>
    </w:p>
    <w:p w14:paraId="4785F1B9" w14:textId="77777777" w:rsidR="00090C9B" w:rsidRPr="00722885" w:rsidRDefault="00090C9B" w:rsidP="00722885">
      <w:pPr>
        <w:pStyle w:val="Iauiue"/>
        <w:jc w:val="both"/>
        <w:rPr>
          <w:color w:val="000000" w:themeColor="text1"/>
          <w:sz w:val="16"/>
          <w:szCs w:val="16"/>
        </w:rPr>
      </w:pPr>
    </w:p>
    <w:p w14:paraId="789717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г. начались работы по модернизации Ла-5. Направление - традиционное: уменьшение массы машины вкупе с попытками поднять мощность двигателя. Массу снизили за счет отказа от крыльевых топливных баков (как и на ЛаГГе), уменьшения с 10 до 8,5 мм толщины бронес-пинки В декабре 1942 г. моторостроительное КБ Швецова выпустило модификацию М-82 - М-82Ф, у которого было расширено время работы на взлетном режиме, фактически данный режим работы двигателя стал номинальным (М-82 имел 10-минутное ограничение), на практике это означало прибавку мощности в бою на 200-300 лошадиных сил. Облегченный Ла-5 с М-82Ф пошел в серию под обозначением Ла-5Ф (4707).</w:t>
      </w:r>
    </w:p>
    <w:p w14:paraId="57620D4A" w14:textId="77777777" w:rsidR="00090C9B" w:rsidRPr="00722885" w:rsidRDefault="00090C9B" w:rsidP="00722885">
      <w:pPr>
        <w:pStyle w:val="Iauiue"/>
        <w:jc w:val="both"/>
        <w:rPr>
          <w:color w:val="000000" w:themeColor="text1"/>
          <w:sz w:val="16"/>
          <w:szCs w:val="16"/>
        </w:rPr>
      </w:pPr>
    </w:p>
    <w:p w14:paraId="67A4C3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Осенью 1942 года самолеты ЛаГГ-3 выпускались только на единственном заводе в Тбилиси. ГКО СССР снова потребовал от конструкторов улучшить летные характеристики самолета. Следовало увеличить скорость, уменьшить массу, улучшить маневренность и сократить разбег и пробег. Завод № 31 обязался облегчить самолет сначала до 2850 кг, а в середине ноября появилось новое решение облегчить машину еще на 100 кг. Главный конструктор завода Горбунов приложил массу усилий, чтобы выполнить взятые на себя обязательства. Нарком авиационной промышленности вскоре докладывал Сталину о том, что массу истребителя удалось уменьшить на 120 кг. Это в сочетании с облагороженной аэродинамикой позволило увеличить скорость самолета на 30 км/ ч. Тем временем Горбунов продолжал дальше облегчать ЛаГГ. План предусматривал, что с 25)октября завод № 31 будет выпускать самолет массой 2850 кг вместо прежних 3160 кг. Полностью исправить аэродинамику самолета могло внедрение полностью убиравшегося в полете хвостового колеса. На прототипе И-301 такое колесо уже имелось, но на серийных самолетах ставили колесо, заклиненное в выпущенном состоянии, поскольку сложный механизм уборки колеса не отличался надежностью. Теперь колесо снова делали убирающимся, но механизм уборки теперь был совершенно иным. Колесную нишу снабдили выпуклыми крышками, полностью закрывавшими колесо в убранном состоянии. Все самолеты, начиная с 35-й производственной серии, оснащались убирающимся хвостовым колесом. </w:t>
      </w:r>
    </w:p>
    <w:p w14:paraId="36E143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Облегчение конструкции ЛаГГа-3 позволило ему набирать высоту 5000 м за 5,8 мин вместо прежних 6,4. Полный разворот на высоте 1500 м самолет теперь производил за 20 секунд вместо прежних 21 секунды. Разбег сократился с 370 до 280 м. Выпуклое остекление фонаря заменили плоским, что улучшило обзор вперед. Маслосистема стала меньше терять масло и уже не пачкала фонарь. На самолет установили прицел с красной подсветкой, что повысило точность прицеливания. Но всех требований, определенных в указе НКАП, выполнить не удалось. В начале 1943 года главной целью завода № 31 было сократить массу серийного самолета до 2950 кг, подняв при этом максимальную скорость у земли до 526 км/ч, а на оперативной высоте до 590 км/ч. Облегченный самолет пустили в серию без статичных и летных испытаний. Его массу уменьшили, уменьшив толщину некоторых деталей, используя облегчающие отверстия, а также уменьшив запас прочности фюзеляжа. </w:t>
      </w:r>
    </w:p>
    <w:p w14:paraId="7AF706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передней части фюзеляжа толщину обшивки уменьшили с 9,5 до 7 мм, облегчили каркас капота, два маслобака заменили на один. С самолета сняли узлы для крепления подвесных топливных баков, у внутренних топливных баков уменьшили толщину стенок. Использование новых тросиков управления газом, а также ряд </w:t>
      </w:r>
      <w:r w:rsidRPr="00722885">
        <w:rPr>
          <w:rFonts w:ascii="Times New Roman" w:hAnsi="Times New Roman"/>
          <w:color w:val="000000" w:themeColor="text1"/>
          <w:sz w:val="16"/>
          <w:szCs w:val="16"/>
        </w:rPr>
        <w:lastRenderedPageBreak/>
        <w:t>других изменений в конструкции позволили в общей сложности облегчить самолет на 252-283 кг. С другой стороны переделка воздухозаборников водяного и масляного радиаторов, герметизация противопожарной переборки, установка обтекателей на выхлопные патрубки и доработка форсированного двигателя М-105ПФ (на двигатель поставили усиленный коленвал) добавили к массе самолета 55 кг. В результате массу не удалось понизить больше чем до 2962 кг. Серийные самолеты часто весили на 9% больше, опытных машин. Эту проблему часто обсуждали в НКАП (11749).</w:t>
      </w:r>
    </w:p>
    <w:p w14:paraId="71D2992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74A57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ЛаГГ-3 продолжали строить только в Тбилиси. ГКО вновь потребовал повысить летные качества машины. Следовало увеличить скорость, снизить вес, улучшить маневренность и взлетно-посадочные характеристики. Завод № 31 обязали внедрить в серийное производство ЛаГГ-3 сначала весом 2850 кг, а к середине ноября облегчить самолет еще на 100 кг. Главному конструктору предприятия Горбунову пришлось приложить массу усилий для выполнения этого распоряжения. Рапортуя о результатах, из НКАП направили Сталину доклад, в котором отмечалось, что вес истребителя действительно снижен на 120 кг, введение аэродинамических усовершенствований дает увеличение скорости на 30 км/ч, а Горбунов продолжает работу по снижению веса. Планировалось, что с 25 ноября завод № 31 будет серийно выпускать самолеты с весом 2850 кг вместо истребителей весом 3160 кг, которые изготавливали ранее горьковчане.</w:t>
      </w:r>
    </w:p>
    <w:p w14:paraId="39FFCD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Некоторое улучшение аэродинамики должно было обеспечиваться введением уборки хвостового колеса. На опытном образце И-301оно поднималось в фюзеляж, позднее из-за недостаточной надежности перешли к неубирающемуся варианту. Теперь его опять стали складывать, но несколько иначе. Внешне это выразилось в появлении выпуклых створок, закрывающих костыль в полетном положении. Все самолеты после 35-й серии отличались убирающимся хвостовым колесом.</w:t>
      </w:r>
    </w:p>
    <w:p w14:paraId="257CFF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Облегчение ЛаГГ-3 позволило ускорить набор высоты 5000 м с 6,4 до 5,8 мин, сократить время виража на высоте 1500 м с 21 до 20 с, а разбег - с 370 до 280 м. Одновременно выпуклые стекла фонаря кабины летчика заменили плоскими, что улучшило обзор вперед, устранили забрызгивание передней части фонаря маслом и увеличили точность стрельбы, установив в коллиматорном прицеле красную лампу подсветки. Но как ни старались конструкторы, полностью выполнить нормативы приказа НКАП им не удалось (11983).</w:t>
      </w:r>
    </w:p>
    <w:p w14:paraId="476A445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2CC1D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серийный истребитель Як-7 (заводской № 23-01) переделали на заводе № 115 в Москве в вариант Як-9 с двигателем М-106-ICK, как дублер опытного истребителя Як-7ДИ с М-105ПФ. Як-7 до этого находился в эксплуатации и прошел серию испытаний, в процессе которых на нем выполнили свыше 1000 фигур высшего пилотажа и 500 посадок.</w:t>
      </w:r>
    </w:p>
    <w:p w14:paraId="7B8A75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Замена силовой установки на более мощную потребовала новых водо- и маслорадиаторов. Тогда же облагородили внешние формы самолета, улучшив его аэродинамические характеристики - в частности, костыльное колесо стало полностью убирающимся, понизили гаргрот и придали фонарю кабины пилота более обтекаемую форму. Одновременно на нем установили переднее и заднее бронестекла, а на выхлопные коллекторы мотора надели обтекатели. Улучшили герметизацию фюзеляжа и устранили щель между стабилизатором и рулем высоты. Вместо штурвального управления шагом воздушного винта применили более удобное - рычажное. На самолете установили радиополукомпас РГЖ-10. Были и другие мелкие доработки, но способствовавшие повышению боевых возможностей истребителя. </w:t>
      </w:r>
    </w:p>
    <w:p w14:paraId="09B7FB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ходе госиспытаний Як-9 с мотором М-106-1СК и ВИШ-61П (зав. № 2391, завода N°115) в октябре 1942 года обнаружился выброс масла в полете при 2700 оборотах двигателя в минуту (заправка масла - 40 литров) </w:t>
      </w:r>
    </w:p>
    <w:p w14:paraId="724046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Заводские испытания машины (летчик П.Я. Федрови) проходили с 17 ноября 1942 г. по 20 января 1943 г. Спустя неделю, в НИИ ВВС начались государственные испытания Як-9М-106-1ск. Ведущими на этом этапе были инженер А.Т. Степанец и летчик В.И. Хомяков.</w:t>
      </w:r>
    </w:p>
    <w:p w14:paraId="26D46D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через суфлер. Выявленные дефекты двигателя делали невозможной эксплуатацию машины в строевых частях.</w:t>
      </w:r>
    </w:p>
    <w:p w14:paraId="3E8071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"Акте по результатам государственных испытаний..." ведущий летчик Хомяков отметил:</w:t>
      </w:r>
    </w:p>
    <w:p w14:paraId="607E96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736494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74A949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1D656A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высотах от 3000 до 4500 м самолеты Як-9 и Me-109G-2 имеют практически одинаковую маневренность в вертикальной плоскости.</w:t>
      </w:r>
    </w:p>
    <w:p w14:paraId="56C66D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155C64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147A76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итоге НИИ ВВС рекомендовал НКАП к 1 апреля 1943 года довести винто-мотор- ную группу Як-9 до состояния нормальной эксплуатации. Но это пожелание так и не реализовали, и Як-9М-106-1ск остался в единственном экземпляре (12046).</w:t>
      </w:r>
    </w:p>
    <w:p w14:paraId="3930036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1FFB348" w14:textId="77777777" w:rsidR="004F7EA1" w:rsidRPr="00722885" w:rsidRDefault="004F7EA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Осенью 1942 г. серийный Як-7 на заводе № 115 в Москве переделали в вариант Як-9 сМ-106-1 ск, являвшийся дублёром опытного Як-7ДИ с М-105ПФ. Замена силовой уста</w:t>
      </w:r>
      <w:r w:rsidRPr="00722885">
        <w:rPr>
          <w:rFonts w:ascii="Times New Roman" w:cs="Times New Roman"/>
          <w:color w:val="000000" w:themeColor="text1"/>
          <w:spacing w:val="0"/>
        </w:rPr>
        <w:softHyphen/>
        <w:t>новки на более мощную вынудила смонти</w:t>
      </w:r>
      <w:r w:rsidRPr="00722885">
        <w:rPr>
          <w:rFonts w:ascii="Times New Roman" w:cs="Times New Roman"/>
          <w:color w:val="000000" w:themeColor="text1"/>
          <w:spacing w:val="0"/>
        </w:rPr>
        <w:softHyphen/>
        <w:t>ровать новые водяной и масляный радиато</w:t>
      </w:r>
      <w:r w:rsidRPr="00722885">
        <w:rPr>
          <w:rFonts w:ascii="Times New Roman" w:cs="Times New Roman"/>
          <w:color w:val="000000" w:themeColor="text1"/>
          <w:spacing w:val="0"/>
        </w:rPr>
        <w:softHyphen/>
        <w:t>ры. Тогда же облагородили внешние формы самолёта. В частности, костыльное колесо стало полностью убирающимся, гаргрот по</w:t>
      </w:r>
      <w:r w:rsidRPr="00722885">
        <w:rPr>
          <w:rFonts w:ascii="Times New Roman" w:cs="Times New Roman"/>
          <w:color w:val="000000" w:themeColor="text1"/>
          <w:spacing w:val="0"/>
        </w:rPr>
        <w:softHyphen/>
        <w:t>низили и придали фонарю кабины более обтекаемую форму. Одновременно устано</w:t>
      </w:r>
      <w:r w:rsidRPr="00722885">
        <w:rPr>
          <w:rFonts w:ascii="Times New Roman" w:cs="Times New Roman"/>
          <w:color w:val="000000" w:themeColor="text1"/>
          <w:spacing w:val="0"/>
        </w:rPr>
        <w:softHyphen/>
        <w:t>вили переднее и заднее бронестёкла, а на выхлопных коллекторах мотора появились обтекатели. Одновременно улучшили герме</w:t>
      </w:r>
      <w:r w:rsidRPr="00722885">
        <w:rPr>
          <w:rFonts w:ascii="Times New Roman" w:cs="Times New Roman"/>
          <w:color w:val="000000" w:themeColor="text1"/>
          <w:spacing w:val="0"/>
        </w:rPr>
        <w:softHyphen/>
        <w:t>тизацию фюзеляжа и устранили щель между стабилизатором и рулём высоты. Вместо штурвального управления шагом воздушно</w:t>
      </w:r>
      <w:r w:rsidRPr="00722885">
        <w:rPr>
          <w:rFonts w:ascii="Times New Roman" w:cs="Times New Roman"/>
          <w:color w:val="000000" w:themeColor="text1"/>
          <w:spacing w:val="0"/>
        </w:rPr>
        <w:softHyphen/>
        <w:t>го винта применили рычажное. На самолёте поставили радиополукомпас РПК-10. Были и другие доработки, способствовавшие по</w:t>
      </w:r>
      <w:r w:rsidRPr="00722885">
        <w:rPr>
          <w:rFonts w:ascii="Times New Roman" w:cs="Times New Roman"/>
          <w:color w:val="000000" w:themeColor="text1"/>
          <w:spacing w:val="0"/>
        </w:rPr>
        <w:softHyphen/>
        <w:t>вышению боевых возможностей.</w:t>
      </w:r>
    </w:p>
    <w:p w14:paraId="498D865B" w14:textId="77777777" w:rsidR="004F7EA1" w:rsidRPr="00722885" w:rsidRDefault="004F7E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Заводские испытания машины (лётчик П.Я. Федрови) проходили с 17 ноября 1942 г. по 20 января 1943 г. Спустя неделю, в НИИ ВВС начались госиспытания Як-9М-106-1ск</w:t>
      </w:r>
    </w:p>
    <w:p w14:paraId="5568298D" w14:textId="77777777" w:rsidR="004F7EA1" w:rsidRPr="00722885" w:rsidRDefault="004F7EA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акте по результатам испытаний Хомяков отметил: «По технике пилотирования... Як-9 М-106-1ск ничем не отличается от серийных самолётов Як-9 М-105ПФ, за исключени</w:t>
      </w:r>
      <w:r w:rsidRPr="00722885">
        <w:rPr>
          <w:rFonts w:ascii="Times New Roman" w:cs="Times New Roman"/>
          <w:color w:val="000000" w:themeColor="text1"/>
          <w:spacing w:val="0"/>
        </w:rPr>
        <w:softHyphen/>
        <w:t>ем увеличенной горизонтальной скорости, улучшения скороподъёмности и сокраще</w:t>
      </w:r>
      <w:r w:rsidRPr="00722885">
        <w:rPr>
          <w:rFonts w:ascii="Times New Roman" w:cs="Times New Roman"/>
          <w:color w:val="000000" w:themeColor="text1"/>
          <w:spacing w:val="0"/>
        </w:rPr>
        <w:softHyphen/>
        <w:t>ния времени разбега.</w:t>
      </w:r>
    </w:p>
    <w:p w14:paraId="180EE48F" w14:textId="77777777" w:rsidR="004F7EA1" w:rsidRPr="00722885" w:rsidRDefault="004F7EA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Работа мотора на 2600 об/мин удовлетво</w:t>
      </w:r>
      <w:r w:rsidRPr="00722885">
        <w:rPr>
          <w:rFonts w:ascii="Times New Roman" w:cs="Times New Roman"/>
          <w:color w:val="000000" w:themeColor="text1"/>
          <w:spacing w:val="0"/>
        </w:rPr>
        <w:softHyphen/>
        <w:t>рительная, на 2700 об/мин мотор работает грубо и трясёт, с выхлопами чёрного дыма. Температурный режим охлаждающей жид</w:t>
      </w:r>
      <w:r w:rsidRPr="00722885">
        <w:rPr>
          <w:rFonts w:ascii="Times New Roman" w:cs="Times New Roman"/>
          <w:color w:val="000000" w:themeColor="text1"/>
          <w:spacing w:val="0"/>
        </w:rPr>
        <w:softHyphen/>
        <w:t>кости на 2600 об/мин с полностью открытой заслонкой радиатора не обеспечивает воз</w:t>
      </w:r>
      <w:r w:rsidRPr="00722885">
        <w:rPr>
          <w:rFonts w:ascii="Times New Roman" w:cs="Times New Roman"/>
          <w:color w:val="000000" w:themeColor="text1"/>
          <w:spacing w:val="0"/>
        </w:rPr>
        <w:softHyphen/>
        <w:t>можности набора высоты на режиме наивы</w:t>
      </w:r>
      <w:r w:rsidRPr="00722885">
        <w:rPr>
          <w:rFonts w:ascii="Times New Roman" w:cs="Times New Roman"/>
          <w:color w:val="000000" w:themeColor="text1"/>
          <w:spacing w:val="0"/>
        </w:rPr>
        <w:softHyphen/>
        <w:t>годнейшей скороподъёмности; температура воды достигает 105° при температуре на</w:t>
      </w:r>
      <w:r w:rsidRPr="00722885">
        <w:rPr>
          <w:rFonts w:ascii="Times New Roman" w:cs="Times New Roman"/>
          <w:color w:val="000000" w:themeColor="text1"/>
          <w:spacing w:val="0"/>
        </w:rPr>
        <w:softHyphen/>
        <w:t>ружного воздуха 15 - 20°. В горизонтальном полёте с заслонками радиаторов, установ</w:t>
      </w:r>
      <w:r w:rsidRPr="00722885">
        <w:rPr>
          <w:rFonts w:ascii="Times New Roman" w:cs="Times New Roman"/>
          <w:color w:val="000000" w:themeColor="text1"/>
          <w:spacing w:val="0"/>
        </w:rPr>
        <w:softHyphen/>
        <w:t>ленными по потоку, температура воды могла находиться на верхнем пределе...</w:t>
      </w:r>
    </w:p>
    <w:p w14:paraId="0E630FBA" w14:textId="77777777" w:rsidR="004F7EA1" w:rsidRPr="00722885" w:rsidRDefault="004F7EA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Давление на ручку от элеронов на... Як-9 с мотором М-106-1ск значительно больше, чем на самолётах Як-1 и Як-7».</w:t>
      </w:r>
    </w:p>
    <w:p w14:paraId="095F1AE1" w14:textId="77777777" w:rsidR="004F7EA1" w:rsidRPr="00722885" w:rsidRDefault="004F7EA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Воздушный «бой» Як-9 с М-106-1ск, проведённый с трофейным истребителем </w:t>
      </w:r>
      <w:r w:rsidRPr="00722885">
        <w:rPr>
          <w:rFonts w:ascii="Times New Roman" w:cs="Times New Roman"/>
          <w:color w:val="000000" w:themeColor="text1"/>
          <w:spacing w:val="0"/>
          <w:lang w:val="en-US"/>
        </w:rPr>
        <w:t>Bf</w:t>
      </w:r>
      <w:r w:rsidRPr="00722885">
        <w:rPr>
          <w:rFonts w:ascii="Times New Roman" w:cs="Times New Roman"/>
          <w:color w:val="000000" w:themeColor="text1"/>
          <w:spacing w:val="0"/>
        </w:rPr>
        <w:t xml:space="preserve"> 109</w:t>
      </w:r>
      <w:r w:rsidRPr="00722885">
        <w:rPr>
          <w:rFonts w:ascii="Times New Roman" w:cs="Times New Roman"/>
          <w:color w:val="000000" w:themeColor="text1"/>
          <w:spacing w:val="0"/>
          <w:lang w:val="en-US"/>
        </w:rPr>
        <w:t>G</w:t>
      </w:r>
      <w:r w:rsidRPr="00722885">
        <w:rPr>
          <w:rFonts w:ascii="Times New Roman" w:cs="Times New Roman"/>
          <w:color w:val="000000" w:themeColor="text1"/>
          <w:spacing w:val="0"/>
        </w:rPr>
        <w:t>-2 в «пятиточечном» варианте (с до</w:t>
      </w:r>
      <w:r w:rsidRPr="00722885">
        <w:rPr>
          <w:rFonts w:ascii="Times New Roman" w:cs="Times New Roman"/>
          <w:color w:val="000000" w:themeColor="text1"/>
          <w:spacing w:val="0"/>
        </w:rPr>
        <w:softHyphen/>
        <w:t>полнительными пушками под крылом) пока</w:t>
      </w:r>
      <w:r w:rsidRPr="00722885">
        <w:rPr>
          <w:rFonts w:ascii="Times New Roman" w:cs="Times New Roman"/>
          <w:color w:val="000000" w:themeColor="text1"/>
          <w:spacing w:val="0"/>
        </w:rPr>
        <w:softHyphen/>
        <w:t>зал, что «як» имел значительное преимущес</w:t>
      </w:r>
      <w:r w:rsidRPr="00722885">
        <w:rPr>
          <w:rFonts w:ascii="Times New Roman" w:cs="Times New Roman"/>
          <w:color w:val="000000" w:themeColor="text1"/>
          <w:spacing w:val="0"/>
        </w:rPr>
        <w:softHyphen/>
        <w:t xml:space="preserve">тво перед «немцем» при маневрировании в горизонтальной плоскости. На высотах до 3000 м он превосходил </w:t>
      </w:r>
      <w:r w:rsidRPr="00722885">
        <w:rPr>
          <w:rFonts w:ascii="Times New Roman" w:cs="Times New Roman"/>
          <w:color w:val="000000" w:themeColor="text1"/>
          <w:spacing w:val="0"/>
          <w:lang w:val="en-US"/>
        </w:rPr>
        <w:t>Bf</w:t>
      </w:r>
      <w:r w:rsidRPr="00722885">
        <w:rPr>
          <w:rFonts w:ascii="Times New Roman" w:cs="Times New Roman"/>
          <w:color w:val="000000" w:themeColor="text1"/>
          <w:spacing w:val="0"/>
        </w:rPr>
        <w:t xml:space="preserve"> 109</w:t>
      </w:r>
      <w:r w:rsidRPr="00722885">
        <w:rPr>
          <w:rFonts w:ascii="Times New Roman" w:cs="Times New Roman"/>
          <w:color w:val="000000" w:themeColor="text1"/>
          <w:spacing w:val="0"/>
          <w:lang w:val="en-US"/>
        </w:rPr>
        <w:t>G</w:t>
      </w:r>
      <w:r w:rsidRPr="00722885">
        <w:rPr>
          <w:rFonts w:ascii="Times New Roman" w:cs="Times New Roman"/>
          <w:color w:val="000000" w:themeColor="text1"/>
          <w:spacing w:val="0"/>
        </w:rPr>
        <w:t>-2 и на вер</w:t>
      </w:r>
      <w:r w:rsidRPr="00722885">
        <w:rPr>
          <w:rFonts w:ascii="Times New Roman" w:cs="Times New Roman"/>
          <w:color w:val="000000" w:themeColor="text1"/>
          <w:spacing w:val="0"/>
        </w:rPr>
        <w:softHyphen/>
        <w:t>тикалях. На горке и боевом развороте Як-9 всегда оказывался выше «мессершмитта». Скорости пикирования у них были практи</w:t>
      </w:r>
      <w:r w:rsidRPr="00722885">
        <w:rPr>
          <w:rFonts w:ascii="Times New Roman" w:cs="Times New Roman"/>
          <w:color w:val="000000" w:themeColor="text1"/>
          <w:spacing w:val="0"/>
        </w:rPr>
        <w:softHyphen/>
        <w:t>чески равны. На высотах 3000 - 4500 м оба имели почти одинаковую манёвренность в вертикальной плоскости. Обзор зад</w:t>
      </w:r>
      <w:r w:rsidRPr="00722885">
        <w:rPr>
          <w:rFonts w:ascii="Times New Roman" w:cs="Times New Roman"/>
          <w:color w:val="000000" w:themeColor="text1"/>
          <w:spacing w:val="0"/>
        </w:rPr>
        <w:softHyphen/>
        <w:t xml:space="preserve">ней полусферы из кабины </w:t>
      </w:r>
      <w:r w:rsidRPr="00722885">
        <w:rPr>
          <w:rFonts w:ascii="Times New Roman" w:cs="Times New Roman"/>
          <w:color w:val="000000" w:themeColor="text1"/>
          <w:spacing w:val="0"/>
          <w:lang w:val="en-US"/>
        </w:rPr>
        <w:t>Bf</w:t>
      </w:r>
      <w:r w:rsidRPr="00722885">
        <w:rPr>
          <w:rFonts w:ascii="Times New Roman" w:cs="Times New Roman"/>
          <w:color w:val="000000" w:themeColor="text1"/>
          <w:spacing w:val="0"/>
        </w:rPr>
        <w:t xml:space="preserve"> 109</w:t>
      </w:r>
      <w:r w:rsidRPr="00722885">
        <w:rPr>
          <w:rFonts w:ascii="Times New Roman" w:cs="Times New Roman"/>
          <w:color w:val="000000" w:themeColor="text1"/>
          <w:spacing w:val="0"/>
          <w:lang w:val="en-US"/>
        </w:rPr>
        <w:t>G</w:t>
      </w:r>
      <w:r w:rsidRPr="00722885">
        <w:rPr>
          <w:rFonts w:ascii="Times New Roman" w:cs="Times New Roman"/>
          <w:color w:val="000000" w:themeColor="text1"/>
          <w:spacing w:val="0"/>
        </w:rPr>
        <w:t>-2 был значительно хуже, чем на Як-9.</w:t>
      </w:r>
    </w:p>
    <w:p w14:paraId="2096E815" w14:textId="77777777" w:rsidR="004F7EA1" w:rsidRPr="00722885" w:rsidRDefault="004F7EA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итоге НИИ ВВС рекомендовал НКАП к 1 апреля 1943 г. довести винтомоторную группу истребителя до состояния нормаль</w:t>
      </w:r>
      <w:r w:rsidRPr="00722885">
        <w:rPr>
          <w:rFonts w:ascii="Times New Roman" w:cs="Times New Roman"/>
          <w:color w:val="000000" w:themeColor="text1"/>
          <w:spacing w:val="0"/>
        </w:rPr>
        <w:softHyphen/>
        <w:t>ной эксплуатации. Но это пожелание так и не реализовали; Як-9М-106-1ск остался в единственном экземпляре (19103).</w:t>
      </w:r>
    </w:p>
    <w:p w14:paraId="585225E6" w14:textId="77777777" w:rsidR="004F7EA1" w:rsidRPr="00722885" w:rsidRDefault="004F7EA1" w:rsidP="00722885">
      <w:pPr>
        <w:pStyle w:val="27"/>
        <w:shd w:val="clear" w:color="auto" w:fill="auto"/>
        <w:spacing w:after="0" w:line="240" w:lineRule="auto"/>
        <w:ind w:firstLine="0"/>
        <w:rPr>
          <w:rFonts w:ascii="Times New Roman" w:cs="Times New Roman"/>
          <w:color w:val="000000" w:themeColor="text1"/>
          <w:spacing w:val="0"/>
        </w:rPr>
      </w:pPr>
    </w:p>
    <w:p w14:paraId="6284D2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г. А.С.Я. решился на кардинальную модификацию своего детища. Точнее на две модификации: в первой планировалось улучшить летно-тактические данные путем значительного облегчения конструкции и прежде всего за счет сокращения размеров крыла, а во втором - упор был сделан на установку более мощных двигателей жидкостного охлаждения. Совершенно четко угадывается замысел главного конструктора: сократить удельную нагрузку на мощность и тем самым лишить немецких истребителей их главного козыря - преимущества в вертикальном маневре. Первая работа привела к созданию Як-3, в рамках второй появилась модификации Як-9 с двигателем М-107А (4537).</w:t>
      </w:r>
    </w:p>
    <w:p w14:paraId="1C80F314" w14:textId="77777777" w:rsidR="00090C9B" w:rsidRPr="00722885" w:rsidRDefault="00090C9B" w:rsidP="00722885">
      <w:pPr>
        <w:pStyle w:val="Iauiue"/>
        <w:jc w:val="both"/>
        <w:rPr>
          <w:color w:val="000000" w:themeColor="text1"/>
          <w:sz w:val="16"/>
          <w:szCs w:val="16"/>
        </w:rPr>
      </w:pPr>
    </w:p>
    <w:p w14:paraId="19FA061B" w14:textId="77777777" w:rsidR="00D76574" w:rsidRPr="00722885" w:rsidRDefault="00D765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Осенью 1942 г., когда Як-7ДИ был готов к запуску в серию под обозначением Як-9, война снова стала позиционной. Его выпуск пошел в варианте легкого истребителя с запасом топлива 320 кг и дальностью 875 км, а поставки Як-9Д с баками на 480 кг топлива и дальностью 1360 км начались только в марте 1943 г.</w:t>
      </w:r>
    </w:p>
    <w:p w14:paraId="27C90A5C" w14:textId="77777777" w:rsidR="00D76574" w:rsidRPr="00722885" w:rsidRDefault="00D765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Сталин прекрасно чувствовал наметившуюся во всем мире тенденцию: рост мощности дает прибавку дальности без потери скорости.</w:t>
      </w:r>
    </w:p>
    <w:p w14:paraId="669F2903" w14:textId="77777777" w:rsidR="00D76574" w:rsidRPr="00722885" w:rsidRDefault="00D765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Именно в такой концепции были созданы американские одномоторные тяжелые истребители сопровождения Рипаблик P-47D "Тандерболт" и Норт Америкен Р-51В/С "Мустанг", которые появились в 1943 г. и показали свою высокую эффективность в той тактической ситуации, в которой применялись. Потому он и ожидал от отечественных истребителей с моторами повышенной мощности не только скорости и маневренности, но и дальности (17737).</w:t>
      </w:r>
    </w:p>
    <w:p w14:paraId="02F53DC6" w14:textId="77777777" w:rsidR="00D76574" w:rsidRPr="00722885" w:rsidRDefault="00D765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4F74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когда был предложен облегченный вариант Як- 1М "Москит" с мотором М-106П, началась история создания Як-3 (не путать с опытным истребителем И-30 образца 1941 года, имевшем второе такое же обозначение), одного из лучших (по летным данным) истребителей Второй мировой. Помимо этого, к самолету примерили двигатели: М-105ПФ и М-107А.</w:t>
      </w:r>
    </w:p>
    <w:p w14:paraId="243CD1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проекту Як-1М с М-106П еще сохранял планер серийного Як-1 с гаргро- том за кабиной летчика. Затем проект существенно переработали, взяв за основу фюзеляж серийного Як-1, отличавшийся лишь узлами крепления нового туннеля водорадиатора и пулемета БС.</w:t>
      </w:r>
    </w:p>
    <w:p w14:paraId="4C3CBC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Крыло заимствовали от Як-9, уменьшив его размах до 9,2 метра и габаритную площадь - до 14,7 м2 (при этом удельная нагрузка на крыло не превышала аналогичный параметр истребителя Як-9 с тем же вооружением). Относительная толщина профиля у законцовок несущей поверхности составила 7%.</w:t>
      </w:r>
    </w:p>
    <w:p w14:paraId="511038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Конструкция шасси сохранилась, как и у Як-1, и отличалась лишь увеличенным ходом амортизации. Из-за этого пришлось детали амортизационной стойки заимствовать у истребителя Як-7. Костыль - убирающийся - был целиком взят с Як-1.</w:t>
      </w:r>
    </w:p>
    <w:p w14:paraId="76583D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Небольшие отличия были и в системе управления самолетом: так, педали опустили на 50 мм, изменили расположение тяг к рулю высоты.</w:t>
      </w:r>
    </w:p>
    <w:p w14:paraId="324F0F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Оперение сохранилось от Як-1, за исключением того, что передние лонжероны стабилизатора и киля присоединили к передним ребрам обтекателей, которые стали работать как продолжение лонжеронов.</w:t>
      </w:r>
    </w:p>
    <w:p w14:paraId="1E04B8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расчетам, полетный вес не должен был превышать 2650 кг, и с форсированным мотором М-105ПФ новый истребитель мог развить максимальную скорость 630-640 км/ч.</w:t>
      </w:r>
    </w:p>
    <w:p w14:paraId="361BCB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сократили до минимума: мотор-пушка МП-20 (120 патронов) и синхронный крупнокалиберный пулемет БС (200 патронов), расположенный слева над двигателем (12047).</w:t>
      </w:r>
    </w:p>
    <w:p w14:paraId="634E7C3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4FF9E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двухскоростной М-106ск своим появлением запаздывал, и моторостроители предъявили односкоростной двигатель М106-1ск, который установили на Як-9 (дублер опытного истребителя Як-7ДИ с мотором М-105ПФ). Однако заводские испытания самолета Як-9 с М-106-1ск, начавшиеся в ноябре 1942 года, выявили серьезные дефекты двигателя.</w:t>
      </w:r>
    </w:p>
    <w:p w14:paraId="6D65C78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4A533B4"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Осенью 1942 г. самолетом И-185 вновь заинтересовалось командования ВВС, которое озаботилось состоянием летно-испытательной службы ОКБ-51 и помогло ему кадрами. Специально для испытаний И-185 отозвали с фронта инженера НИИ ВВС И.Г. Лазарева, а также командировали опытнейшего летчика-испытателя этот института Петра Михайловича Стефановского.</w:t>
      </w:r>
    </w:p>
    <w:p w14:paraId="00BD6553"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 тот момент И-185 М-71 №6204, И-185 М-82 №2 и "Эталон" №1 готовились к отправке на войсковые испытания, а И-185 М-71 №6202 и первый самолет с М-82 ремонтировались, и в распоряжении ОКБ оставался только "Эталон" №2. Стефановский был в восторге от новой машины, первый полет на которой он выполнил 20 ноября 1942 г. Облетал ее также летчик-испытатель П.Я. Федрови.</w:t>
      </w:r>
    </w:p>
    <w:p w14:paraId="7CE4C809"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Он достигал скоростей до 708 км/ч, но на таком режиме "площадку не держал" из-за дефектов карбюратора АК-71ВП и магнето, которое на границе высотности работало неустойчиво. Постоянные нарекания вызывали свечи ВГ-12 - на М-71 они вели себя еще хуже, чем на других самолетах. Стефановский сделал два полета на километраж, но на максимальную дальность пока не летали. Дальнейшие испытания прервало зимнее ненастье.</w:t>
      </w:r>
    </w:p>
    <w:p w14:paraId="6FDB0BE3"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 том, что было дальше, сам Стефановский пишет в книге "Триста неизвестных" так:</w:t>
      </w:r>
    </w:p>
    <w:p w14:paraId="4163EA31"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"Непогодь отступила только 16 декабря. Самолет, сметая кучи снега, круто устремился в залитое солнцем небо. Высота 7500 метров. Гэризонтальная площадка на максимальной скорости. Показания непривычно велики! Такие же площадки на высотах 9500, 5500, 4000 метров. Сразу будем иметь всю кривую значения максимальных скоростей по высотам. Завидная удача!</w:t>
      </w:r>
    </w:p>
    <w:p w14:paraId="311C34D7"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Радость как рукой сняло: раздался глухой удар. Что-то заскрежетало внутри мотора. Затрясся и остановился винт. Скорее на аэродром! Он находится немного в стороне.</w:t>
      </w:r>
    </w:p>
    <w:p w14:paraId="2223EA2F"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Разворот, планирование, выпуск шасси и закрылков. Посадка на центр аэродрома. Навстречу мчится машина с испытательной бригадой. Осмотр и вывод: мотор заклинило, нужно ждать присылки нового".</w:t>
      </w:r>
    </w:p>
    <w:p w14:paraId="56DBCAE4"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Причиной происшествия оказалась поломка валика шестеренчатого насоса MLU-5 двигателя М-71, который из-за отсутствия смазки полностью вышел из стоя. Нужен был новый мотор.</w:t>
      </w:r>
    </w:p>
    <w:p w14:paraId="4903610C"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"Ждали десять дней. 26 декабря состоялся пробный полет с новым мотором. На следующий день я поднялся на 6500 метров. Выполняю площадку для получения максимальных скоростей через каждую тысячу метров, Сколько их уже выполнил за свою долгую испытательскую работу!</w:t>
      </w:r>
    </w:p>
    <w:p w14:paraId="21AEE97F"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Высота 2000 метров. И снова удар! Все повторяется, как в предыдущем полете. На этот раз аэродром оказался несколько дальше, к тому же и высота была вдвое меньше. Она катастрофически теряется, а спасительный пятачок земли приближается томительно медленно.</w:t>
      </w:r>
    </w:p>
    <w:p w14:paraId="4E406256"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Кажется, все-таки дотяну. Под крылом уже вершины елей. Шасси на выпуск. Но что это? Вдоль границы аэродрома полно бомбардировщиков дальней авиации. Они, рассредоточившись, заняли почти четвертую часть посадочной площадки.</w:t>
      </w:r>
    </w:p>
    <w:p w14:paraId="170955BC"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Нос моей машины направлен прямо в фюзеляж Б-25. Вижу, как от него разбегаются техники, мотористы.</w:t>
      </w:r>
    </w:p>
    <w:p w14:paraId="5C2AD4A1"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Ничего не остается, как уменьшить угол планирования, а следовательно, и потерять скорость. Без работающего мотора ее уже не восстановишь.</w:t>
      </w:r>
    </w:p>
    <w:p w14:paraId="722BFB54"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Проскакиваю мимо бомбардировщика, резко беру ручку на себя, чтобы за счет максимальной подъемной силы на большом угле атаки крыла компенсировать недостающую скорость. Но, увы, самолет резко проваливается. Большой ход амортизаторов несколько смягчает удар, однако силовые узлы конструкции не выдерживают и крылья самолета складываются над моей головой наподобие шалаша.</w:t>
      </w:r>
    </w:p>
    <w:p w14:paraId="1C55B35D"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Вылез из самолета, снял парашют, с грустью смотрю на искалеченную стальную птицу. А ведь могло кончиться куда хуже. Значит, хороший самолет, надежный. Может стать верным товарищем в бою. Только вот мотор"...</w:t>
      </w:r>
    </w:p>
    <w:p w14:paraId="1ECEB55A" w14:textId="77777777" w:rsidR="00891CFA" w:rsidRPr="00722885" w:rsidRDefault="00891CF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 этот раз причина отказа М-71 была новая - выпало седло клапана. Сколько еще может быть "узких мест" в этом моторе, который мучительно доводился вот уже третий год?! По программе испытаний "Эталон" №2 успел сделать 8 полетов общей продолжительностью 5 ч 13 мин и восстановлению не подлежал.</w:t>
      </w:r>
    </w:p>
    <w:p w14:paraId="7B100ADE" w14:textId="77777777" w:rsidR="00891CFA" w:rsidRPr="00722885" w:rsidRDefault="00891CFA" w:rsidP="00722885">
      <w:pPr>
        <w:spacing w:after="0" w:line="240" w:lineRule="auto"/>
        <w:jc w:val="both"/>
        <w:rPr>
          <w:rFonts w:ascii="Times New Roman" w:eastAsia="Times New Roman" w:hAnsi="Times New Roman"/>
          <w:color w:val="000000" w:themeColor="text1"/>
          <w:sz w:val="16"/>
          <w:szCs w:val="16"/>
          <w:lang w:eastAsia="ru-RU"/>
        </w:rPr>
      </w:pPr>
    </w:p>
    <w:p w14:paraId="317DEA4C" w14:textId="77777777" w:rsidR="00891CFA" w:rsidRPr="00722885" w:rsidRDefault="00891CF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ОКБ-483 было расформировано. Оставшийся после гибели В. К. Таирова (29 октября 1941 года Таиров погиб в авиационной катастрофе) его заместитель В. Н. Елагин не показался руководителям НКАП фигурой, способной самостоятельно создавать новые самолеты (17490).</w:t>
      </w:r>
    </w:p>
    <w:p w14:paraId="469244FE" w14:textId="77777777" w:rsidR="00891CFA" w:rsidRPr="00722885" w:rsidRDefault="00891CFA" w:rsidP="00722885">
      <w:pPr>
        <w:spacing w:after="0" w:line="240" w:lineRule="auto"/>
        <w:jc w:val="both"/>
        <w:rPr>
          <w:rFonts w:ascii="Times New Roman" w:hAnsi="Times New Roman"/>
          <w:color w:val="000000" w:themeColor="text1"/>
          <w:sz w:val="16"/>
          <w:szCs w:val="16"/>
        </w:rPr>
      </w:pPr>
    </w:p>
    <w:p w14:paraId="746DA6E0" w14:textId="77777777" w:rsidR="00891CFA" w:rsidRPr="00722885" w:rsidRDefault="00891CF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ОКБ-483 было расформировано. Большую часть сотрудников — 45 человек — направили на завод № 1, 20 человек — на завод № 18, 5—6 человек — в ОКБ Микояна, около 10 человек попали в ЛИИ НКАП (17500).</w:t>
      </w:r>
    </w:p>
    <w:p w14:paraId="2DA7E114" w14:textId="77777777" w:rsidR="00891CFA" w:rsidRPr="00722885" w:rsidRDefault="00891CFA" w:rsidP="00722885">
      <w:pPr>
        <w:spacing w:after="0" w:line="240" w:lineRule="auto"/>
        <w:jc w:val="both"/>
        <w:rPr>
          <w:rFonts w:ascii="Times New Roman" w:hAnsi="Times New Roman"/>
          <w:color w:val="000000" w:themeColor="text1"/>
          <w:sz w:val="16"/>
          <w:szCs w:val="16"/>
        </w:rPr>
      </w:pPr>
    </w:p>
    <w:p w14:paraId="1C727FEE" w14:textId="77777777" w:rsidR="00D9194F" w:rsidRPr="00722885" w:rsidRDefault="00D919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же года советская сторона официально запросила один экземпляр бомбардировщика Москито для изуче</w:t>
      </w:r>
      <w:r w:rsidRPr="00722885">
        <w:rPr>
          <w:rFonts w:ascii="Times New Roman" w:hAnsi="Times New Roman"/>
          <w:color w:val="000000" w:themeColor="text1"/>
          <w:sz w:val="16"/>
          <w:szCs w:val="16"/>
        </w:rPr>
        <w:softHyphen/>
        <w:t>ния. На этот раз британское правитель</w:t>
      </w:r>
      <w:r w:rsidRPr="00722885">
        <w:rPr>
          <w:rFonts w:ascii="Times New Roman" w:hAnsi="Times New Roman"/>
          <w:color w:val="000000" w:themeColor="text1"/>
          <w:sz w:val="16"/>
          <w:szCs w:val="16"/>
        </w:rPr>
        <w:softHyphen/>
        <w:t>ство ответило согласием (19655).</w:t>
      </w:r>
    </w:p>
    <w:p w14:paraId="6FA281C2" w14:textId="77777777" w:rsidR="00D9194F" w:rsidRPr="00722885" w:rsidRDefault="00D9194F" w:rsidP="00722885">
      <w:pPr>
        <w:spacing w:after="0" w:line="240" w:lineRule="auto"/>
        <w:jc w:val="both"/>
        <w:rPr>
          <w:rFonts w:ascii="Times New Roman" w:hAnsi="Times New Roman"/>
          <w:color w:val="000000" w:themeColor="text1"/>
          <w:sz w:val="16"/>
          <w:szCs w:val="16"/>
        </w:rPr>
      </w:pPr>
    </w:p>
    <w:p w14:paraId="4858E7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командование Красной Армии решило заменить серийное производство десантно-транспортных планеров выпуском легких транспортных самолетов, и нарком Шахурин издал 16 сентября 1942 г. приказ: «В целях создания необходимой мощности для производства Як-6 в Москве объединить завод №464, изготавливающий десантные планеры, и заводы №388 и №457 по производству деревянных агрегатов самолетов, присвоив объединенному заводу номер 464». Бывший завод №388 стал Филиалом №1 завода №464. Заведовал им инженер Лавренов. Задачей Филиала было «производство крыла самолета со всеми монтирующимися на нем механизмами и легкими агрегатами».</w:t>
      </w:r>
    </w:p>
    <w:p w14:paraId="15B386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Выпускать крылья Як-6 заводу на 2-й Рыбинской долго не пришлось. 10 октября 1942 г. последовал приказ наркома авиапромышленности «Об увеличении выпуска самолетов-истребителей», в соответствии с которым несколько заводов останавливали выпуск тяжелых машин и спешно переходили на строительство только легких истребителей. В их числе оказался и завод №381 в Москве. Он прекратил выпуск Ил-2 и переключился на строительство истребителей Ла-5. Завод обладал всем необходимым оборудованием для освоения производства истребителей, за исключением деревообделочного цеха. Этот недостаток руководство НКАП решило устранить переподчинением завода на 2-й Рыбинской новому предприятию. 10 августа 1943 г. нарком Шахурин распорядился: «...Директору завода №464 тов.Перовскому передать к 25.08.43 заводу №381 для организации деревообделочного производства московский филиал завода №464 (быв. Красносельская мебельная фабрика), кроме территории 2». Крылья Як-6 в производственной программе Филиала 1 заменили крылья Ла-5, а затем и Ла-7.</w:t>
      </w:r>
    </w:p>
    <w:p w14:paraId="232F92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расположенной между 3-й и 2-й Рыбинскими улицами «территории №2» бывшей мебельной фабрики судьба с 1943 г. стала складываться по-другому (11242).</w:t>
      </w:r>
    </w:p>
    <w:p w14:paraId="730FCD9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04EC3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года состоялся испытательный полет планера КТ на буксире у ТБ-3 (планерист, он же механик-летчик-испытатель С. Н. Анохин) показал, что идея летающего легкого танка целесообразна и вполне осуществима. Однако ввиду большого аэродинамического сопротивления планера КТ, еще не имевшего обтекателей, буксировка потребовала использования максимальной мощности уже порядком изношенных двигателей старенького ТБ-3, которые стали перегреваться. Планер пришлось в аварийном порядке отцепить. На удивление он нормально спланировал и удачно сел на кочковатом поле в районе Раменского аэродрома, вызвав панику среди зенитчиков и не предупрежденной команды батальона аэродромного обслуживания. Сбросив крылья, Т-60 своим ходом благополучно вернулся на базу в Монино. Из-за отсутствия других подходящих для данной цели бомбардировщиков, лучшим из которых был бы Пе-8, эта интересная работа не имела дальнейшего продолжения (3862).</w:t>
      </w:r>
    </w:p>
    <w:p w14:paraId="28A9B8E7" w14:textId="77777777" w:rsidR="00090C9B" w:rsidRPr="00722885" w:rsidRDefault="00090C9B" w:rsidP="00722885">
      <w:pPr>
        <w:pStyle w:val="Iauiue"/>
        <w:jc w:val="both"/>
        <w:rPr>
          <w:color w:val="000000" w:themeColor="text1"/>
          <w:sz w:val="16"/>
          <w:szCs w:val="16"/>
        </w:rPr>
      </w:pPr>
    </w:p>
    <w:p w14:paraId="122741E6" w14:textId="77777777" w:rsidR="00D9194F" w:rsidRPr="00722885" w:rsidRDefault="00D9194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планер КТ впервые поднялся в воздух. Увы, этот первый испытательный полёт оказался единственным. Командиром самолёта-буксировщика – четырёхмоторного ТБ-3 с двигателями АМ-34РНВ – был П.А.Еремеев. Пилотом танка-планёра, а одновременно и механиком-водителем, стал лётчик-испытатель С.Н.Анохин. Согласно отчёту, разбег и отрыв производился при взлётном форсаже моторов. Вес самолёта был равен 17500 кг. Планёр оторвался на скорости 110-115 км/час, самолёт на скорости 120 км/час. Как оказалось, мощность четырёх двигателей самолёта ТБ-3 явно не обеспечивала уверенного полёта. Процитируем отчёт об испытаниях: «При форсированных оборотах мотора была набрана высота 30-40 м. После частичной уборки форсажа /…/ поезд сохранил горизонтальный полёт на скорости 130 км/час. При увеличении скорости до 140 км/час поезд снижался с вертикальной скоростью 0,5 м/сек. Не имея возможности набрать высоту, было принято решение сделать отцепку планера с прямой над аэродромом Быково. Посадка был сделана благополучно. /…/ После приземления планер немного развернуло. Длина пробега около 20 метров /…/. С быковского аэродрома на аэродром (название замазано, речь идёт о Монино) (8 км) планер «АТ» без разборки был доставлен самоходом. Ввиду недостатка мощности на самолете ТБ-3 4АМ34РНВ для буксировки планера «АТ», дальнейшие испытания были приостановлены». «Летающий танк» Антонова вернули в Кратово (на аэродром ЛИИ), и более он никогда не поднимался в воздух. Результаты могли бы быть более успешными в случае использовании в качестве буксировщика самолёта ТБ-7 (Пе-8). Однако это было бы непозволительной роскошью – таких самолётов насчитывалось в строю всего около 40, и они были остро необходимы для других целей. По этой причине работа над «летающим танком» КТ (А-40) не получила продолжения (19165).</w:t>
      </w:r>
    </w:p>
    <w:p w14:paraId="0717CF14" w14:textId="77777777" w:rsidR="00D9194F" w:rsidRPr="00722885" w:rsidRDefault="00D9194F" w:rsidP="00722885">
      <w:pPr>
        <w:spacing w:after="0" w:line="240" w:lineRule="auto"/>
        <w:jc w:val="both"/>
        <w:rPr>
          <w:rFonts w:ascii="Times New Roman" w:hAnsi="Times New Roman"/>
          <w:color w:val="000000" w:themeColor="text1"/>
          <w:sz w:val="16"/>
          <w:szCs w:val="16"/>
        </w:rPr>
      </w:pPr>
    </w:p>
    <w:p w14:paraId="376FE0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М-71 прошел госиспытания, но в большую серию не запускался.</w:t>
      </w:r>
    </w:p>
    <w:p w14:paraId="5A0164E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Характеристики:</w:t>
      </w:r>
    </w:p>
    <w:p w14:paraId="0287D6D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диаметр цилиндра/ход поршня 155 5/174 5 мм-</w:t>
      </w:r>
    </w:p>
    <w:p w14:paraId="3048E9E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объем 59,7 л;</w:t>
      </w:r>
    </w:p>
    <w:p w14:paraId="7842959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мощность к вес в зависимости от модификации.</w:t>
      </w:r>
    </w:p>
    <w:p w14:paraId="2D72B68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Известны модификации:</w:t>
      </w:r>
    </w:p>
    <w:p w14:paraId="24D2054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М-71, мощность 1700/2000 л.с. (по проекту 1800/2000 л.с.), вес 970 кг (по проекту 900 кг). Проходил заводские испытания в 1940 г. В фев</w:t>
      </w:r>
      <w:r w:rsidRPr="00722885">
        <w:rPr>
          <w:rFonts w:ascii="Times New Roman" w:hAnsi="Times New Roman"/>
          <w:color w:val="000000" w:themeColor="text1"/>
          <w:sz w:val="16"/>
          <w:szCs w:val="16"/>
        </w:rPr>
        <w:softHyphen/>
        <w:t>рале — марте 1942 г. испытывался на истребителе И-185.</w:t>
      </w:r>
    </w:p>
    <w:p w14:paraId="28216EA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М-71ТК, выполненный в 1939 г. проект варианта М-71 с турбонаг</w:t>
      </w:r>
      <w:r w:rsidRPr="00722885">
        <w:rPr>
          <w:rFonts w:ascii="Times New Roman" w:hAnsi="Times New Roman"/>
          <w:color w:val="000000" w:themeColor="text1"/>
          <w:sz w:val="16"/>
          <w:szCs w:val="16"/>
        </w:rPr>
        <w:softHyphen/>
        <w:t>нетателями ТК-М. Мощность 1500/2000 л.с.</w:t>
      </w:r>
    </w:p>
    <w:p w14:paraId="259DD74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М-71Ф, вариант, форсированный по оборотам, 1850/2200 л.с. Изго</w:t>
      </w:r>
      <w:r w:rsidRPr="00722885">
        <w:rPr>
          <w:rFonts w:ascii="Times New Roman" w:hAnsi="Times New Roman"/>
          <w:color w:val="000000" w:themeColor="text1"/>
          <w:sz w:val="16"/>
          <w:szCs w:val="16"/>
        </w:rPr>
        <w:softHyphen/>
        <w:t>товлен малой серией.</w:t>
      </w:r>
    </w:p>
    <w:p w14:paraId="3359836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М-71Ф-ТК, вариант предыдущего типа с турбонагнетателями ТК-3. Проходил летные испытания на бомбардировщике ДВБ-102 летом 1943 г.</w:t>
      </w:r>
    </w:p>
    <w:p w14:paraId="0C121B5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Двигатели М-71 устанавливались на опытных самолетах И-185, Су-6, Су-8, Ла-7. Их использование также предусматривалось в проектах ПБ-ИС, ПБ-1, СПБ, ДБ-ЛК, Р-9 (ЛБШ), И-187, Д, НБ (Т), «64» (Ту-10), ОПБ (11852).</w:t>
      </w:r>
    </w:p>
    <w:p w14:paraId="2DAFE98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09E5208" w14:textId="77777777" w:rsidR="00297596" w:rsidRPr="00722885" w:rsidRDefault="0029759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Осенью 1942 г. когда Королев появился в Казане, он был уверен, что Глушко виновен в его аресте. Глушко приложил много усилий, чтобы отвести от себя подозрения, и всю вину за аресты в НИИ-3 возложить на Костикова. Но до конца Королев Глушко не поверил. Он всегда тяготился официальным подчинением Глушко в Казане, и всячески старался освободиться от его опеки  (19590). </w:t>
      </w:r>
    </w:p>
    <w:p w14:paraId="64BDD804" w14:textId="77777777" w:rsidR="00297596" w:rsidRPr="00722885" w:rsidRDefault="00297596" w:rsidP="00722885">
      <w:pPr>
        <w:spacing w:after="0" w:line="240" w:lineRule="auto"/>
        <w:jc w:val="both"/>
        <w:rPr>
          <w:rFonts w:ascii="Times New Roman" w:hAnsi="Times New Roman"/>
          <w:color w:val="000000" w:themeColor="text1"/>
          <w:sz w:val="16"/>
          <w:szCs w:val="16"/>
        </w:rPr>
      </w:pPr>
    </w:p>
    <w:p w14:paraId="62150C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года при первых заморозках столкнулись с массовыми отказами агрегатов, приборов, вооружения B-25. Причиной оказалась неморозостойкость шлангов гидросистемы. Появились разрывы маслорадиаторов. Но с этими проблемами довольно быстро справились. Впоследствии все поступавшие из США самолеты проходили "винтеризацию" - подготовку к зимней эксплуатации. Предусматривался полный слив бензина и масла. Машины снаряжали зимними смазками и гидросмесью. На бомбардировщики ставили специальные зимние прокладки, шланги, шипованные покрышки колес. Вообще В-25 был хорошо приспособлен к холодам: имел систему разжижения масла бензином, колодцы для быстрого разогрева маслобаков, обогрев кабин и вооружения, обдув стекол кабины теплым воздухом, пневматические антиобледенители на крыле и оперении, смывание спиртом лопастей винтов (3457,92).</w:t>
      </w:r>
    </w:p>
    <w:p w14:paraId="5C9B33FB" w14:textId="77777777" w:rsidR="00090C9B" w:rsidRPr="00722885" w:rsidRDefault="00090C9B" w:rsidP="00722885">
      <w:pPr>
        <w:pStyle w:val="Iauiue"/>
        <w:jc w:val="both"/>
        <w:rPr>
          <w:color w:val="000000" w:themeColor="text1"/>
          <w:sz w:val="16"/>
          <w:szCs w:val="16"/>
        </w:rPr>
      </w:pPr>
    </w:p>
    <w:p w14:paraId="4925F8C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осени 1942 г. немецы подготовили опросник по вопросам ракетостроения в СССР для допросов советских военнопленных.</w:t>
      </w:r>
    </w:p>
    <w:p w14:paraId="50C5C6E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Общее. В Германии давно известно, что профессор Циолковский многие годы занимался проблемой космических полетов (ракетно-космических кораблей). Перед институтом, носящим его имя, была поставлена задача заложить теоретические и практические основы для дальнейшего развития этой идеи. Мы хотим знать, что Вам известно об этом и насколько далеко продвинулась работа института, особенно в практической области.</w:t>
      </w:r>
    </w:p>
    <w:p w14:paraId="4E6C793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Можете ли Вы назвать место расположения экспериментальных и испытательных пло</w:t>
      </w:r>
      <w:r w:rsidRPr="00722885">
        <w:rPr>
          <w:rFonts w:ascii="Times New Roman" w:hAnsi="Times New Roman"/>
          <w:color w:val="000000" w:themeColor="text1"/>
          <w:sz w:val="16"/>
          <w:szCs w:val="16"/>
        </w:rPr>
        <w:softHyphen/>
        <w:t>щадок в России и рассказать что-либо об организации научных и практических работ.</w:t>
      </w:r>
    </w:p>
    <w:p w14:paraId="3273F38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Известны ли Вам, кроме института Циолковского, другие учреждения, занимающи</w:t>
      </w:r>
      <w:r w:rsidRPr="00722885">
        <w:rPr>
          <w:rFonts w:ascii="Times New Roman" w:hAnsi="Times New Roman"/>
          <w:color w:val="000000" w:themeColor="text1"/>
          <w:sz w:val="16"/>
          <w:szCs w:val="16"/>
        </w:rPr>
        <w:softHyphen/>
        <w:t>еся в СССР проблемой космических полетов и ракетно-космических кораблей?</w:t>
      </w:r>
    </w:p>
    <w:p w14:paraId="255237C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Отдельные вопросы.</w:t>
      </w:r>
    </w:p>
    <w:p w14:paraId="5E323D1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Что Вы знаете о работах института Циолковского или других учреждений в облас</w:t>
      </w:r>
      <w:r w:rsidRPr="00722885">
        <w:rPr>
          <w:rFonts w:ascii="Times New Roman" w:hAnsi="Times New Roman"/>
          <w:color w:val="000000" w:themeColor="text1"/>
          <w:sz w:val="16"/>
          <w:szCs w:val="16"/>
        </w:rPr>
        <w:softHyphen/>
        <w:t>ти твердотопливных ракет?</w:t>
      </w:r>
    </w:p>
    <w:p w14:paraId="485F2C0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Можете ли Вы подробнее остановиться на технических деталях? Если да, то оха</w:t>
      </w:r>
      <w:r w:rsidRPr="00722885">
        <w:rPr>
          <w:rFonts w:ascii="Times New Roman" w:hAnsi="Times New Roman"/>
          <w:color w:val="000000" w:themeColor="text1"/>
          <w:sz w:val="16"/>
          <w:szCs w:val="16"/>
        </w:rPr>
        <w:softHyphen/>
        <w:t>рактеризуйте:</w:t>
      </w:r>
    </w:p>
    <w:p w14:paraId="0628954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конструкцию ракет и отдельных приборов;</w:t>
      </w:r>
    </w:p>
    <w:p w14:paraId="5DF3C05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сорта порохов и способ создания реактивной тяги;</w:t>
      </w:r>
    </w:p>
    <w:p w14:paraId="6B27045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стабилизацию ракеты в полете;</w:t>
      </w:r>
    </w:p>
    <w:p w14:paraId="52DDD6D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дальность стрельбы;</w:t>
      </w:r>
    </w:p>
    <w:p w14:paraId="2388E01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пусковые установки.</w:t>
      </w:r>
    </w:p>
    <w:p w14:paraId="550972E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Где находилась или находится опытная площадка и испытательный полигон?</w:t>
      </w:r>
    </w:p>
    <w:p w14:paraId="6688CEC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Нам известны ракетные снаряды М8 и М13 (также называемые «Катюша», «Мария Ивановна» и т.д.) конструкции инженера Костикова. Работал ли он совместно с инсти</w:t>
      </w:r>
      <w:r w:rsidRPr="00722885">
        <w:rPr>
          <w:rFonts w:ascii="Times New Roman" w:hAnsi="Times New Roman"/>
          <w:color w:val="000000" w:themeColor="text1"/>
          <w:sz w:val="16"/>
          <w:szCs w:val="16"/>
        </w:rPr>
        <w:softHyphen/>
        <w:t>тутом Циолковского? Что Вам известно об усовершенствовании ракетного оружия?</w:t>
      </w:r>
    </w:p>
    <w:p w14:paraId="29713BC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Ракеты на жидком топливе:</w:t>
      </w:r>
    </w:p>
    <w:p w14:paraId="780EFD7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Велись ли в институте Циолковского исследования по осуществлению страто</w:t>
      </w:r>
      <w:r w:rsidRPr="00722885">
        <w:rPr>
          <w:rFonts w:ascii="Times New Roman" w:hAnsi="Times New Roman"/>
          <w:color w:val="000000" w:themeColor="text1"/>
          <w:sz w:val="16"/>
          <w:szCs w:val="16"/>
        </w:rPr>
        <w:softHyphen/>
        <w:t>сферного полета и по созданию ракетно-космических кораблей?</w:t>
      </w:r>
    </w:p>
    <w:p w14:paraId="721E6C3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Можете ли Вы сообщить технические подробности о:</w:t>
      </w:r>
    </w:p>
    <w:p w14:paraId="142B280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конструкции,</w:t>
      </w:r>
    </w:p>
    <w:p w14:paraId="56AB02C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способе создания реактивной тяги — использовалось ли жидкое топливо, и какое именно?</w:t>
      </w:r>
    </w:p>
    <w:p w14:paraId="7996B0F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проводились ли только эксперимен</w:t>
      </w:r>
      <w:r w:rsidRPr="00722885">
        <w:rPr>
          <w:rFonts w:ascii="Times New Roman" w:hAnsi="Times New Roman"/>
          <w:color w:val="000000" w:themeColor="text1"/>
          <w:sz w:val="16"/>
          <w:szCs w:val="16"/>
        </w:rPr>
        <w:softHyphen/>
        <w:t>ты с ракетным двигателем или уже ракеты были испытаны в полете?</w:t>
      </w:r>
    </w:p>
    <w:p w14:paraId="251096D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каковы были размеры ракетных дви</w:t>
      </w:r>
      <w:r w:rsidRPr="00722885">
        <w:rPr>
          <w:rFonts w:ascii="Times New Roman" w:hAnsi="Times New Roman"/>
          <w:color w:val="000000" w:themeColor="text1"/>
          <w:sz w:val="16"/>
          <w:szCs w:val="16"/>
        </w:rPr>
        <w:softHyphen/>
        <w:t>гателей. Известна ли Вам развивавшаяся ими тяга и расход топлива в секунду?</w:t>
      </w:r>
    </w:p>
    <w:p w14:paraId="0877106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где располагались испытательные полигоны? Как они были оборудованы? Как выглядели испытательные стенды и пуско</w:t>
      </w:r>
      <w:r w:rsidRPr="00722885">
        <w:rPr>
          <w:rFonts w:ascii="Times New Roman" w:hAnsi="Times New Roman"/>
          <w:color w:val="000000" w:themeColor="text1"/>
          <w:sz w:val="16"/>
          <w:szCs w:val="16"/>
        </w:rPr>
        <w:softHyphen/>
        <w:t>вые устройства? Сколько сотрудников было занято в экспериментах и испытаниях? Если Вам не известно точное число, укажите — было их 10, 100 или 1000 человек 4. Ракеты на жидком топливе, испытанные в полете.</w:t>
      </w:r>
    </w:p>
    <w:p w14:paraId="5ABDA4B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Как они выглядели?</w:t>
      </w:r>
    </w:p>
    <w:p w14:paraId="386439F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Можете ли Вы начертить их с указанием длины, калибра и других технических ха</w:t>
      </w:r>
      <w:r w:rsidRPr="00722885">
        <w:rPr>
          <w:rFonts w:ascii="Times New Roman" w:hAnsi="Times New Roman"/>
          <w:color w:val="000000" w:themeColor="text1"/>
          <w:sz w:val="16"/>
          <w:szCs w:val="16"/>
        </w:rPr>
        <w:softHyphen/>
        <w:t>рактеристик?</w:t>
      </w:r>
    </w:p>
    <w:p w14:paraId="7810E23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Можете ли Вы привести другие технические детали, например, вес пустых ракет и заправленных топливом, развивавшуюся тягу, время работы двигателя?</w:t>
      </w:r>
    </w:p>
    <w:p w14:paraId="3AC3533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Управлялась ли ракета в полете? Откуда и как именно?</w:t>
      </w:r>
    </w:p>
    <w:p w14:paraId="725D1D5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Если да, как осуществлялась стабилизация?</w:t>
      </w:r>
    </w:p>
    <w:p w14:paraId="793C0FD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Имели ли ракеты стабилизирующие плоскости? Где они размещались?</w:t>
      </w:r>
    </w:p>
    <w:p w14:paraId="1039690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С какой практической целью создавались ракеты? Какова дальность их полета, какой полезный груз они способны нести? 5. Планы.</w:t>
      </w:r>
    </w:p>
    <w:p w14:paraId="057EFFF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Что Вам известно о планах института Циолковского на ближайшее время</w:t>
      </w:r>
      <w:r w:rsidRPr="00722885">
        <w:rPr>
          <w:rFonts w:ascii="Times New Roman" w:hAnsi="Times New Roman"/>
          <w:color w:val="000000" w:themeColor="text1"/>
          <w:sz w:val="16"/>
          <w:szCs w:val="16"/>
          <w:vertAlign w:val="superscript"/>
        </w:rPr>
        <w:t>9</w:t>
      </w:r>
    </w:p>
    <w:p w14:paraId="742F93E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Могут ли быть эти планы в скором времени успешно реализованы и что Вам из</w:t>
      </w:r>
      <w:r w:rsidRPr="00722885">
        <w:rPr>
          <w:rFonts w:ascii="Times New Roman" w:hAnsi="Times New Roman"/>
          <w:color w:val="000000" w:themeColor="text1"/>
          <w:sz w:val="16"/>
          <w:szCs w:val="16"/>
        </w:rPr>
        <w:softHyphen/>
        <w:t>вестно о состоянии предварительных работ?</w:t>
      </w:r>
    </w:p>
    <w:p w14:paraId="604AF77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Сколько людей занято в этих работах — 10, 100, 1000 или более?» (11696).</w:t>
      </w:r>
    </w:p>
    <w:p w14:paraId="370365C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864077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08026D8" w14:textId="77777777" w:rsidR="00090C9B" w:rsidRPr="00722885" w:rsidRDefault="00090C9B" w:rsidP="00722885">
      <w:pPr>
        <w:pStyle w:val="Iauiue"/>
        <w:jc w:val="both"/>
        <w:rPr>
          <w:iCs/>
          <w:color w:val="000000" w:themeColor="text1"/>
          <w:sz w:val="16"/>
          <w:szCs w:val="16"/>
        </w:rPr>
      </w:pPr>
    </w:p>
    <w:p w14:paraId="5F5EFD8A" w14:textId="77777777" w:rsidR="00C84F76" w:rsidRPr="00722885" w:rsidRDefault="00C84F76"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Осенью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xml:space="preserve">. командование Красной Армии запланировало проведение ряда крупных наступательных операций, при разработке которых делалась попытка учесть уроки зимнего наступления под Москвой, когда артиллерия среднего (и, особенно, крупного) калибра, столь необходимая для сокрушения вражеских укреплений и противодействия танкам, постоянно отставала от наступающих танковых и пехотных подразделений. 19 октября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xml:space="preserve">. по ходатайству ГАУ РККА Государственный Комитет Обороны принял решение №2429сс о разработке и подготовке серийного производства «артиллерийских самоходов» калибром от 37 до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152 мм</w:t>
        </w:r>
      </w:smartTag>
      <w:r w:rsidRPr="00722885">
        <w:rPr>
          <w:rFonts w:ascii="Times New Roman" w:hAnsi="Times New Roman"/>
          <w:color w:val="000000" w:themeColor="text1"/>
          <w:sz w:val="16"/>
          <w:szCs w:val="16"/>
        </w:rPr>
        <w:t>. Ответственными исполнителями по «штурмовым САУ» были назначены Коломенский завод №38 им. Куйбышева и ГАЗ им. Молотова, по зенитным САУ – завод №37, а по тягачу и транспортерам – КБ НАТИ (15218).</w:t>
      </w:r>
    </w:p>
    <w:p w14:paraId="5A318580" w14:textId="77777777" w:rsidR="00C84F76" w:rsidRPr="00722885" w:rsidRDefault="00C84F76" w:rsidP="00722885">
      <w:pPr>
        <w:widowControl w:val="0"/>
        <w:spacing w:after="0" w:line="240" w:lineRule="auto"/>
        <w:jc w:val="both"/>
        <w:rPr>
          <w:rFonts w:ascii="Times New Roman" w:hAnsi="Times New Roman"/>
          <w:color w:val="000000" w:themeColor="text1"/>
          <w:sz w:val="16"/>
          <w:szCs w:val="16"/>
        </w:rPr>
      </w:pPr>
    </w:p>
    <w:p w14:paraId="38DB6EB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был отработан 76-мм катушечный подкалиберный снаряд БР-350П, но в серию пошел также лишь с нового года (11135).</w:t>
      </w:r>
    </w:p>
    <w:p w14:paraId="55326B6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A4FD0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на АНИОПе по заданию ГАУ были проведены сравнительные испытания, которые показали, что фугасная, химическая и зажигательная мины ГМ-280 и ГМ-320 эффективнее реактивных снарядов М-30. Воронки и глубина действия МТВ-28 значительно больше М-30, МТВ-28 несравнима в применении с М-30. По результатам сравнительных испытаний был сделан вывод, что заменять МТВ-28 на М-30 в Ленинградском фонте нецелесообразно (6403, 42).</w:t>
      </w:r>
    </w:p>
    <w:p w14:paraId="32EC3C17" w14:textId="77777777" w:rsidR="00090C9B" w:rsidRPr="00722885" w:rsidRDefault="00090C9B" w:rsidP="00722885">
      <w:pPr>
        <w:pStyle w:val="Iauiue"/>
        <w:jc w:val="both"/>
        <w:rPr>
          <w:color w:val="000000" w:themeColor="text1"/>
          <w:sz w:val="16"/>
          <w:szCs w:val="16"/>
        </w:rPr>
      </w:pPr>
    </w:p>
    <w:p w14:paraId="2BCA03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специалистами АНИОПа были подготовлены предложения по повышению маневренности минометов тяжелого вооружения МТВ. Руководил работами и последующими опытами начальник первого отдела КБ АНИОПа М.Н.Алешков. Предполагалось установить рамы с реактивными минами ГМ-280 на автомобильное шасси. В результате специалистами полигона и ленинградскими предприятиями была создана опытная установка миномета тяжелого вооружения МТВ на базе полуторатонной автомашины ГАЗ-АА. Установка получила индекс ЛАП-7. Автомобильная установка ЛАП-7 представляла собой опытную установку на три деревянные рамы МТВ, смонтированную на серийном машине ГАЗ-АА. Один полный зал установки был равен шести реактивным минам (6403, 42).</w:t>
      </w:r>
    </w:p>
    <w:p w14:paraId="00040AE3" w14:textId="77777777" w:rsidR="00090C9B" w:rsidRPr="00722885" w:rsidRDefault="00090C9B" w:rsidP="00722885">
      <w:pPr>
        <w:pStyle w:val="Iauiue"/>
        <w:jc w:val="both"/>
        <w:rPr>
          <w:color w:val="000000" w:themeColor="text1"/>
          <w:sz w:val="16"/>
          <w:szCs w:val="16"/>
        </w:rPr>
      </w:pPr>
    </w:p>
    <w:p w14:paraId="36225D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реактивная система МТВ-280 (М-28) была принята на вооружение командованием Ленинградского фронта. Серийное производство реактивных снарядов и пусковых установок было налажено на предприятиях блокадного Ленинграда. Для изготовления снарядов МТВ-280 привлекались многие заводы Ленинграда, только заводом №232 (“Большевик”) было изготовлено 5000 реактивных мин. Снаряды М-28 применялись на Ленинградском фронте в составе одного дивизиона. Первоначально снаряды ГМ-280 (М-28) применялись в 300-ом тяжелом минометном гвардейском дивизионе 38 гвардейского минометного полка Ленинградского фронта. В дальнейшем установки МТВ-280 применяли в 55 и 23 армиях Ленинград-ского фронта. В дивизионе по штату было 192 снаряда - по 64 в каждой из трех батарей. В каждой батарее было 4 взвода по 16 снарядов (6403, 42).</w:t>
      </w:r>
    </w:p>
    <w:p w14:paraId="5F73DDA0" w14:textId="77777777" w:rsidR="00090C9B" w:rsidRPr="00722885" w:rsidRDefault="00090C9B" w:rsidP="00722885">
      <w:pPr>
        <w:pStyle w:val="Iauiue"/>
        <w:jc w:val="both"/>
        <w:rPr>
          <w:color w:val="000000" w:themeColor="text1"/>
          <w:sz w:val="16"/>
          <w:szCs w:val="16"/>
        </w:rPr>
      </w:pPr>
    </w:p>
    <w:p w14:paraId="7B0A3E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кроме работ по самоходной колесной боевой машине для 280-мм реактивных мин ГМ-280 проводились работы по созданию зимних сошников и лыжно-санной пусковой установки для этих снарядов. Кроме фугасного снаряжения мин у нас, как и у немцев, отрабатывалось снаряжение зажигательных мин. На Государственном союзном заводе №371 им. Сталина были изготовлены опытные образцы зажигательных мин ГМ-320. Они были подвергнуты гидравлическим испытаниям на 10 атмосфер. После проведения этих испытаний только отдельные, чрезвычайно редкие экземпляры мин не имели течи в корпусе, предназначенном для размещения зажигательной смеси. Конструкция корпуса оказалась непригодной для заполнения ее самозагорающейся легкотекучей жидкостью. При этом в массовом производстве нельзя было гарантировать качества сварных швов (6403, 42).</w:t>
      </w:r>
    </w:p>
    <w:p w14:paraId="530807B9" w14:textId="77777777" w:rsidR="00090C9B" w:rsidRPr="00722885" w:rsidRDefault="00090C9B" w:rsidP="00722885">
      <w:pPr>
        <w:pStyle w:val="Iauiue"/>
        <w:jc w:val="both"/>
        <w:rPr>
          <w:color w:val="000000" w:themeColor="text1"/>
          <w:sz w:val="16"/>
          <w:szCs w:val="16"/>
        </w:rPr>
      </w:pPr>
    </w:p>
    <w:p w14:paraId="761D21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в рамках разработки танка Т-43 на одну из опытных тридцатьчетверок завода № 183 установили 5-скоростную КПП и башню с командирской башенкой - такую же, как испытывалась летом. Этот танк в документах также именуется как Т-34С, он испытывался осенью - зимой 1942 года, причем совместно с опытным Т-43 (12217).</w:t>
      </w:r>
    </w:p>
    <w:p w14:paraId="56897ED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3D48C12" w14:textId="77777777" w:rsidR="00086AD6" w:rsidRPr="00722885" w:rsidRDefault="00086AD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башенный погон удалось отстоять — в результате первый опытный Т-43, построенный в декабре 1942 года, имел погон диаметром 1420 мм. Благодаря переделке как самой башни, так и командирской башенки, условия работы командира улучшились. Тем не менее старший помощник начальника 6-го отдела БТУ ГБТУ КА инженер-майор П.К. Ворошилов подверг конструкцию башни и место командира обоснованной критике. Несмотря на все улучшения, размещение командира за орудием, как это было ещё на Т-34М зимой-весной 1941 года, имело ряд недостатков. Для попадания внутрь не через командирскую башенку, а из боевого отделения, требовалось произвести несколько операций, включая опускание гильзоулавливателя. Кроме того, имелись ограничения по росту командира. Одним словом, изменение расположения командирской башенки и увеличение диаметра башенного погона до 1600 мм стали одними из первоочередных требований при улучшении конструкции Т-43 (18587).</w:t>
      </w:r>
    </w:p>
    <w:p w14:paraId="3C0E79B0" w14:textId="77777777" w:rsidR="00086AD6" w:rsidRPr="00722885" w:rsidRDefault="00086AD6" w:rsidP="00722885">
      <w:pPr>
        <w:spacing w:after="0" w:line="240" w:lineRule="auto"/>
        <w:jc w:val="both"/>
        <w:rPr>
          <w:rFonts w:ascii="Times New Roman" w:hAnsi="Times New Roman"/>
          <w:color w:val="000000" w:themeColor="text1"/>
          <w:sz w:val="16"/>
          <w:szCs w:val="16"/>
        </w:rPr>
      </w:pPr>
    </w:p>
    <w:p w14:paraId="125F2530" w14:textId="77777777" w:rsidR="00086AD6" w:rsidRPr="00722885" w:rsidRDefault="00086AD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когда Морозов выступал резко против расширения башенного погона, одним из главных аргументов был рост массы. Именно это и случилось с переработанным Т-43.</w:t>
      </w:r>
    </w:p>
    <w:p w14:paraId="67226A84" w14:textId="77777777" w:rsidR="00086AD6" w:rsidRPr="00722885" w:rsidRDefault="00086AD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Требование расширить погон и убрать командира из кормовой ниши привело к тому, что башню пришлось перепроектировать. Фактически это была новая башня, лишь напоминавшая предыдущую конструкцию. От старой башни взяли установку вооружения, которую пришлось несколько изменить. Ввиду того, что командир теперь размещался с левой стороны, установку вооружения пришлось сдвинуть немного вперёд и вправо. Вентиляцию башни перенесли в кормовую часть крыши, а наводчик лишился люка и теперь попадал внутрь через командирскую башенку. Поскольку башня стала больше, в ней появилось пространство для размещения боекомплекта. Укладки для патронов калибра 76 мм разместили на правой стенке башни и в кормовой нише. Таким образом, КБ завода №183 выполнило требование ГБТУ КА об увеличении боекомплекта.</w:t>
      </w:r>
    </w:p>
    <w:p w14:paraId="2E5D401E" w14:textId="77777777" w:rsidR="00086AD6" w:rsidRPr="00722885" w:rsidRDefault="00086AD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Изменение башни и её погона повлияло и на конструкцию корпуса. Подбашенную коробку пришлось расширять до уровня боковых воздухозаборников. Ещё пара важных изменений произошла в носовой части корпуса (они также стали результатом требований ГБТУ КА). Во-первых, на место вернулась установка курсового пулемёта, размещавшаяся справа от механика-водителя (она имелась на Т-34М 1942 года, но при создании Т-43 пулемёт убрали). Вторым изменением стало появление люка механика-водителя. Ситуацию, когда механик-водитель попадал на своё место через боевое отделение, посчитали неприемлемой. Появление полноценного люка снижало стойкость лобового листа, но в ГБТУ КА посчитали, что такое изменение конструкции необходимо.</w:t>
      </w:r>
    </w:p>
    <w:p w14:paraId="4A718388" w14:textId="77777777" w:rsidR="00086AD6" w:rsidRPr="00722885" w:rsidRDefault="00086AD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расчётам, боевая масса доработанной машины составила 33,5 т (для сравнения, Т-34 к маю 1943 года имел боевую массу 31 т). Это повлияло и на удельное давление на грунт, и на подвижность машины. Правда, в расчётах указывалась одинаковая для Т-43 и Т-34 средняя скорость, что вызвало в ГБТУ КА и НКТП справедливые сомнения. В любом случае требования по увеличению башни исходили от ГБТУ КА и НКТП, где с ними пришлось согласиться — тем более что ситуация на фронте начала постепенно меняться, и не в лучшую сторону (18587).</w:t>
      </w:r>
    </w:p>
    <w:p w14:paraId="7FCFE0ED" w14:textId="77777777" w:rsidR="00086AD6" w:rsidRPr="00722885" w:rsidRDefault="00086AD6" w:rsidP="00722885">
      <w:pPr>
        <w:spacing w:after="0" w:line="240" w:lineRule="auto"/>
        <w:jc w:val="both"/>
        <w:rPr>
          <w:rFonts w:ascii="Times New Roman" w:hAnsi="Times New Roman"/>
          <w:color w:val="000000" w:themeColor="text1"/>
          <w:sz w:val="16"/>
          <w:szCs w:val="16"/>
        </w:rPr>
      </w:pPr>
    </w:p>
    <w:p w14:paraId="64F4F3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г. были изготовлены три образца танка КВ-13. Варианты различались вооружением (76,2-мм пушки Ф-32 или ЗИС-5, или 122-мм гаубица М-30) и ходовой частью. Машины были оснащены как и KB дизелем В-2К мощностью 600 л.с. Это позволяло при массе танка 31 т получить скорость движения до 55 км/ ч. Пять катков на борт (таких же, как и у KB) без обрезинки, торсионная подвеска и три поддерживающих ролика - такой была ходовая часть с вариациями ведущих и направляющих колес и типа гусениц от Т-34, либо КВ. Литая лобовая деталь корпуса позже была использована в тяжелом танке ИС-1. Пулемета в шаровой установке не было, стоял лишь фиксированный лобовой пулемет. Экипаж - всего три человека. Толщина брони (катанная на сварке): лоб корпуса - 120, борт - 75, корма - 65, башня - 85 мм.</w:t>
      </w:r>
    </w:p>
    <w:p w14:paraId="242336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Машина оказалась неудачной. Агрегаты силовой установки показали низкую надежность. Это была четвертая попытка "подкопа" под Т-34 (Т-34М, Т-50, Т-43 - другие три) (3905).</w:t>
      </w:r>
    </w:p>
    <w:p w14:paraId="75DDB650" w14:textId="77777777" w:rsidR="00090C9B" w:rsidRPr="00722885" w:rsidRDefault="00090C9B" w:rsidP="00722885">
      <w:pPr>
        <w:pStyle w:val="Iauiue"/>
        <w:jc w:val="both"/>
        <w:rPr>
          <w:color w:val="000000" w:themeColor="text1"/>
          <w:sz w:val="16"/>
          <w:szCs w:val="16"/>
        </w:rPr>
      </w:pPr>
    </w:p>
    <w:p w14:paraId="55A8053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инфракрасный прибор; ночного видения механика-водителя, установленный в танке Т-34-85, прошел испытания на НИБТ . Полученные при проектировании, изготовлении и испытании результаты были использованы при создании приборов ночного видения на первом послевоенном периоде советского танкостроения (10703).</w:t>
      </w:r>
    </w:p>
    <w:p w14:paraId="29DDB77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AA01F09" w14:textId="77777777" w:rsidR="00437338" w:rsidRPr="00722885" w:rsidRDefault="0043733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Осенью 1942 изучение французских трофейных танков Pz.Kpfw.35 S (f) провели специалисты НИИ-48. У них измерения толщин брони Pz.Kpfw.35 S (f) оказалось ближе к правде, а некоторые ошибки связаны скорее со сложностями измерения литых деталей. Следует отметить, что ни конструкция корпуса с башней, ни состав броневой стали французского танка НИИ-48 не впечатлил. Там указали, что наличие дорогих присадок никеля делало сталь мало интересной для советской промышленности (22391).</w:t>
      </w:r>
    </w:p>
    <w:p w14:paraId="0BD35F42" w14:textId="77777777" w:rsidR="00437338" w:rsidRPr="00722885" w:rsidRDefault="00437338" w:rsidP="00722885">
      <w:pPr>
        <w:spacing w:after="0" w:line="240" w:lineRule="auto"/>
        <w:jc w:val="both"/>
        <w:rPr>
          <w:rFonts w:ascii="Times New Roman" w:hAnsi="Times New Roman"/>
          <w:color w:val="0070C0"/>
          <w:sz w:val="16"/>
          <w:szCs w:val="16"/>
        </w:rPr>
      </w:pPr>
    </w:p>
    <w:p w14:paraId="39D46D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Осенью 1942 г., для изучения, в США были направлены танки Т-34 и КВ-1. 29 ноября испытания начались и продолжались ровно год, достаточно неспешно. В итоге двигатель Т-34 вышел из строя через 72,5 часа, КВ-1 - через 66,4 часа. Т-34 про-шел всего 665 км. Двигатель под нагрузкой проработал 58,45 часа, без нагрузки - 14,05 часа. Всего произошло 14 поломок. В заключении по итогам испытаний отмечалось, что воздухоочи-ститель совершенно не годится для данного двигателя, практиче-ски не задерживает пыли и скорее способствует ускорению износа и снижению надежности (11224).</w:t>
      </w:r>
    </w:p>
    <w:p w14:paraId="2571323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29FE6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американцы получили по два экземпляра наших танков Т- 34 и КВ. Изучение этих танков представляло для них большой интерес. Дело в том, что в США танковое производство накануне войны находилось в зачаточном состоянии. Хотя там и были талантливые конструкторы, работавшие в этой области (например, тот же Дж. Кристи), однако ограниченный спрос на продукцию со стороны государства сковывал их деятельность. Фактически до 1941 года американская промышленность имела опыт мелкосерийного производства трех типов танков: легкого танка М1 с пулеметным вооружением и противопульной броней, легкого танка М2, вооруженного 37-миллиметровой пушкой и защищенного также только против пуль и осколков, и среднего танка М1, вооруженного также 37- миллиметровой пушкой и защищенного броней, достаточной только для защиты от малокалиберной противотанковой артиллерии. Правда, летом 1941 года было начато производство нового танка М3 Сепега1 ^ее, который был вооружен и защищен значительно лучше (броня 50 мм, две пушки калибром 37 и 75 миллиметров). Однако и он оставлял желать лучшего. Маневренность и проходимость были у танка слабым местом, что в сочетании с огромными размерами (высота свыше 3-х метров) превращало его в удобную мишень. Архаичная компоновка, предусматривающая многоярусное расположение вооружения, была бы еще уместна в тридцатые годы, но на полях сражений Второй мировой войны выглядела устаревшей. В 1941 году американцы начали разработку своего нового танка М4 Сепега1 8Ьегтап, при создании которого были частично исправлены недостатки предыдущих моделей, хотя некоторые (например, большая высота) сохранились. Танк начали производить в феврале 1942 года. Поскольку США вступили во Вторую мировую войну и предполагали принять в ней активное участие, их армии требовалось все больше и больше танков, а опыт их создания и производства был небольшой. Естественно, возник интерес к советским разработкам.</w:t>
      </w:r>
    </w:p>
    <w:p w14:paraId="4B6B23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Танки были доставлены в США еще осенью 1942 года, однако из-за различных задержек испытания проводились уже в 1943 году. В ходе испытаний было проведено тщательное всестороннее исследование танков. Особое внимание уделялось изучению работы отдельных узлов машин (\в противоположность распространенному в нашей стране подходу, который сводил испытания к длительному пробегу). Это объясняется, возможно, тем, что американцев интересовал не столько танк сам по себе, сколько технические решения советских конструкторов. По этой же причине, по признанию самих авторов отчета об испытаниях, при изучении «упор делался на те пункты, где танк показал свои лучшие качества, так как не было смысла обсуждать его слабые места» (РГАЭ. Ф. 8752. Оп. 4. Д. 281. Л. 3).</w:t>
      </w:r>
    </w:p>
    <w:p w14:paraId="684A87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целом танк произвел на американцев хорошее впечатление. Они отметили многие его положительные качества, такие, как: удобство для «массового производства полуквалифицированной рабочей силой», «низкий силуэт с приятным внешним видом», простота конструкции, хорошая проходимость, и даже. отличные прицелы и хорошую обзорность из танка (видимо, это свидетельствует в первую очередь о неопытности американских танкостроителей и низком качестве их собственных машин, по сравнению с которыми даже не очень хорошие с точки зрения оптики и обзорности советские танки выглядели привлекательно). Сильное впечатление на американцев произвела торсионная подвеска танка КВ, тем более что в этот момент сами американцы ничего подобного не производили. Сравнивая Т-34 и собственный танк М-4, американцы отмечали, что советский танк «обладает высокими эксплуатационными скоростями, меньшим сопротивлением качению и лучшей проходимостью, чем американский танк». Кроме того, они признали удобное расположение боеприпасов и возможность легко устанавливать и легко снимать пулеметы. Таким образом, американцев нельзя обвинить в предвзятости по отношению к нашим танкам. Мы можем считать обнаруженные ими недостатки результатом объективного исследования. Так же отнеслись к результатам испытаний участники заседания ГБТУ 25 февраля 1943 года, на котором работники управления в целом согласились с большинством выводов американцев и обсудили возможные пути устранения обнаруженных ими недостатков (некоторые из них, например негодный воздухоочиститель, были к этому моменту уже ликвидированы) (Главное автобронетанковое управление. Люди, события, факты в документах - 1943-1944 гг. С. 422-427).</w:t>
      </w:r>
    </w:p>
    <w:p w14:paraId="0E38A5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Абердинские испытания выявили ряд слабых звеньев в конструкции Т-34 и КВ. Они показали, например, что воздухоочиститель, задача которого была предохранять мотор от попадания пыли, песка и прочих нежелательных элементов, не справляется со своей работой. Из за небольших запасов масла в нём, которые быстро поглощались при работе в пыльной атмосфере (например, во время марша по грунтовой дороге летом), он мог эффективно функционировать только в течение 15 минут, по истечении которых неочищенный воздух, содержащий пыль и песок, начнёт попадать в мотор и разрушать его (РГАЭ. Ф. 8752. Оп. 4. Д. 281. Л. 9. 135). После поломки Т-34, произошедшей в ходе испытаний, в двигателе было обнаружено большое количество грязи и песка. Схожие недостатки имел воздухоочиститель танка КВ (РГАЭ. Ф. 8752. Оп. 4. Д. 112. Л. 83-84). Этот случай можно считать наглядной иллюстрацией пословицы «скупой платит дважды». Экономия на воздухоочистителе существенно снизила моторесурс танка.</w:t>
      </w:r>
    </w:p>
    <w:p w14:paraId="2E3B86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Слабым звеном танка КВ являлась система охлаждения двигателя. При летней температуре его мотор не мог развить мощность более 200 л. с. (при максимальной мощности в 500 л.с.), так как в системе водяного охлаждения закипала вода. Эти данные согласуются и с результатами наших испытаний. Танк КВ-1 выпуска Кировского завода в Челябинске при температуре 36 градусов Цельсия мог использовать мощь своего двигателя только наполовину, так как система охлаждения могла обеспечить его работу только при мощности не более 270 лошадиных сил. Для танка КВ-1С, модернизированного образца танка КВ-1, этот предел поднимался до 350 лошадиных сил (РГАЭ.Ф. 8798. Оп. 4. Д. 5. Л. 194). Окончательно эта проблема, так же, как и проблема воздухоочистителя, была решена только на танке ИС-2. Система охлаждения танка Т-34 также была далека от идеала, и двигатель не мог работать на полную мощность при температуре 24 градуса Цельсия.</w:t>
      </w:r>
    </w:p>
    <w:p w14:paraId="3CB113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Двигатель В-2 был значительно мощнее современных ему иностранных танковых двигателей. Сравним мощность В-2 с двигателями танков, существовавших в момент появления Т-34. Мощность В-2 составляла 500 лошадиных сил. Дизельные двигатели польского танка 7ТР и японского Те-ке имели мощность всего 111 л.с. и 65 л.с. соответственно. Немецкие танки Рг IV и Рг III имели бензиновый двигатель мощностью в 300 л.с. Двигатель французского тяжелого танка В-1 имел мощность 305 л.с. Таким образом, советский двигатель В-2 был на тот момент уникален. Нет ничего удивительного в том, что советским конструкторам не удалось поначалу создать вполне удовлетворительную систему охлаждения для такого мотора. Ведь большая мощность двигателя и необычная конструкция требовали долгой и тщательной работы. Такая работа проводилась уже в ходе войны. Ряд дефектов дизеля В-2 отмечали и советские военные (Главное автобронетанковое управление. Люди, события, факты в документах - 1940-1942 гг. С. 205).</w:t>
      </w:r>
    </w:p>
    <w:p w14:paraId="703FC8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этих и других недостатков конструкции танка снижался срок работы двигателя. Это подтверждается и советскими данными. На испытаниях танка КВ-1С, проведенных летом 1942 года при его принятии на вооружение, этот танк показал в целом возросшую надежность многих узлов своей конструкции. Особенно высокую оценку получила надежность новой 8-скоростной коробки перемены передач, у которой не было ни поломок, ни быстрого износа зубьев. Однако в ходе испытаний танку пришлось сменить три двигателя. Первый из них проработал всего 22 часа 46 минут. Второй продержался дольше всех - 54 часа 15 минут, а третий - 51 час 30 минут (РГАЭ. Ф. 8752. Оп. 4. Д. 314. Л. 120). Между тем, гарантийный срок двигателя В-2 составлял 150 часов, в три раза выше фактического.</w:t>
      </w:r>
    </w:p>
    <w:p w14:paraId="5A014C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Еще одним слабым местом Т-34 и КВ оказалась недолговечность главного и бортовых фрикционов танка, действие которых было основано на сухом трении. По этой причине танк КВ на испытаниях вышел из строя. Эта трудность была известна советским танкостроителям, и они предусмотрели возможность быстрой замены дисков фрикционов и их наличие в комплекте запчастей.</w:t>
      </w:r>
    </w:p>
    <w:p w14:paraId="7ED4BD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Еще одним недостатком, выявленным в ходе Абердинских испытаний, были плохие условия работы механика-водителя танка, который, во-первых, находился в очень неудобном положении и, во-вторых, должен был управлять танком переключением бортовых передач, что требовало больших физических усилий. Привод поворота башни имел малый диапазон скоростей, что мешало точной наводке на цель (12290).</w:t>
      </w:r>
    </w:p>
    <w:p w14:paraId="42697AB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39516D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конструкция трала ПТ-34 была усовершенствована с целью обеспечения ого крепления ко всем типам средних и тяжелых танков. После проведения всесторонних испытаний трал под маркой ПТ-3 в марте 1943 г. был принят для серий</w:t>
      </w:r>
      <w:r w:rsidRPr="00722885">
        <w:rPr>
          <w:rFonts w:ascii="Times New Roman" w:hAnsi="Times New Roman"/>
          <w:color w:val="000000" w:themeColor="text1"/>
          <w:sz w:val="16"/>
          <w:szCs w:val="16"/>
        </w:rPr>
        <w:softHyphen/>
        <w:t>ного производства па Тульском машиностроительном заводе и заводе "Комсомолец". Таким образом, с апреля 1943 г. на вооружение броне</w:t>
      </w:r>
      <w:r w:rsidRPr="00722885">
        <w:rPr>
          <w:rFonts w:ascii="Times New Roman" w:hAnsi="Times New Roman"/>
          <w:color w:val="000000" w:themeColor="text1"/>
          <w:sz w:val="16"/>
          <w:szCs w:val="16"/>
        </w:rPr>
        <w:softHyphen/>
        <w:t>танковых и механизированных войск РККА стал поступать серийно из</w:t>
      </w:r>
      <w:r w:rsidRPr="00722885">
        <w:rPr>
          <w:rFonts w:ascii="Times New Roman" w:hAnsi="Times New Roman"/>
          <w:color w:val="000000" w:themeColor="text1"/>
          <w:sz w:val="16"/>
          <w:szCs w:val="16"/>
        </w:rPr>
        <w:softHyphen/>
        <w:t>готавливавшийся катковый минный трал ПТ-3, созданный иод непо</w:t>
      </w:r>
      <w:r w:rsidRPr="00722885">
        <w:rPr>
          <w:rFonts w:ascii="Times New Roman" w:hAnsi="Times New Roman"/>
          <w:color w:val="000000" w:themeColor="text1"/>
          <w:sz w:val="16"/>
          <w:szCs w:val="16"/>
        </w:rPr>
        <w:softHyphen/>
        <w:t>средственным руководством П.М. Мугалева - преподавателя Вое-нпо-ипжсперной академии им. Куйбышева (10703). Трал ПТ-3 вполне оправдал себя в ходе боевых действий. Первое бо</w:t>
      </w:r>
      <w:r w:rsidRPr="00722885">
        <w:rPr>
          <w:rFonts w:ascii="Times New Roman" w:hAnsi="Times New Roman"/>
          <w:color w:val="000000" w:themeColor="text1"/>
          <w:sz w:val="16"/>
          <w:szCs w:val="16"/>
        </w:rPr>
        <w:softHyphen/>
        <w:t>евое крещение отдельная танковая рота, тапки которой были оснащены градами ПТ-3, получила па Центральном фронте в полосе действия 16 Л, а два танковых полка, с установленными на тапки этими же трала</w:t>
      </w:r>
      <w:r w:rsidRPr="00722885">
        <w:rPr>
          <w:rFonts w:ascii="Times New Roman" w:hAnsi="Times New Roman"/>
          <w:color w:val="000000" w:themeColor="text1"/>
          <w:sz w:val="16"/>
          <w:szCs w:val="16"/>
        </w:rPr>
        <w:softHyphen/>
        <w:t>ми, в июле</w:t>
      </w:r>
      <w:r w:rsidRPr="00722885">
        <w:rPr>
          <w:rFonts w:ascii="Times New Roman" w:hAnsi="Times New Roman"/>
          <w:color w:val="000000" w:themeColor="text1"/>
          <w:sz w:val="16"/>
          <w:szCs w:val="16"/>
          <w:vertAlign w:val="superscript"/>
        </w:rPr>
        <w:t>1</w:t>
      </w:r>
      <w:r w:rsidRPr="00722885">
        <w:rPr>
          <w:rFonts w:ascii="Times New Roman" w:hAnsi="Times New Roman"/>
          <w:color w:val="000000" w:themeColor="text1"/>
          <w:sz w:val="16"/>
          <w:szCs w:val="16"/>
        </w:rPr>
        <w:t xml:space="preserve"> 1943 г. в ходе наступления на Курской дуге (10703).</w:t>
      </w:r>
    </w:p>
    <w:p w14:paraId="699A32E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BA0EC30" w14:textId="77777777" w:rsidR="0051074C" w:rsidRPr="00722885" w:rsidRDefault="005107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Осенью 1942 года первый образец КВ-13 показал на испытаниях отличную скорость 56 км/ч и одновременно — множество дефектов конструкции. Начался процесс доработок, в ходе которого масса танка выросла до 38 тонн, а экипаж увеличился до четырёх человек. К весне следующего года за машиной уже официально закрепили индекс ИС-1. Сокращение расшифровывалось как «Иосиф Сталин» (17638).</w:t>
      </w:r>
    </w:p>
    <w:p w14:paraId="4791E6D2" w14:textId="77777777" w:rsidR="0051074C" w:rsidRPr="00722885" w:rsidRDefault="0051074C" w:rsidP="00722885">
      <w:pPr>
        <w:pStyle w:val="12a"/>
        <w:shd w:val="clear" w:color="auto" w:fill="auto"/>
        <w:spacing w:after="0" w:line="240" w:lineRule="auto"/>
        <w:jc w:val="both"/>
        <w:rPr>
          <w:color w:val="000000" w:themeColor="text1"/>
          <w:sz w:val="16"/>
          <w:szCs w:val="16"/>
        </w:rPr>
      </w:pPr>
    </w:p>
    <w:p w14:paraId="4350EA05" w14:textId="77777777" w:rsidR="0051074C" w:rsidRPr="00722885" w:rsidRDefault="005107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Осенью 1942 года была предпринята четвертая (и последняя) попытка поставить в башню КВ-1 орудие калибра 85 мм. Проект орудия ЗИС-25 разрабатывался в КБ завода №92. Само орудие забраковали, и прежде всего по той причине, что условия работы его расчета должны были оказаться далёкими от идеала. Особенно тяжело было бы заряжающему, поскольку патрон калибра 85 мм был длиннее, чем у 76-мм пушки ЗИС-5, которой вооружался КВ-1. Кроме того, осенью 1942 года танк КВ-1 уже не производился, его место на конвейере занял КВ-1с (17698).</w:t>
      </w:r>
    </w:p>
    <w:p w14:paraId="122E9298" w14:textId="77777777" w:rsidR="0051074C" w:rsidRPr="00722885" w:rsidRDefault="0051074C" w:rsidP="00722885">
      <w:pPr>
        <w:pStyle w:val="12a"/>
        <w:shd w:val="clear" w:color="auto" w:fill="auto"/>
        <w:spacing w:after="0" w:line="240" w:lineRule="auto"/>
        <w:jc w:val="both"/>
        <w:rPr>
          <w:color w:val="000000" w:themeColor="text1"/>
          <w:sz w:val="16"/>
          <w:szCs w:val="16"/>
        </w:rPr>
      </w:pPr>
    </w:p>
    <w:p w14:paraId="1FBA7D5B" w14:textId="77777777" w:rsidR="0051074C" w:rsidRPr="00722885" w:rsidRDefault="0051074C" w:rsidP="00722885">
      <w:pPr>
        <w:spacing w:after="0" w:line="240" w:lineRule="auto"/>
        <w:jc w:val="both"/>
        <w:textAlignment w:val="baseline"/>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lastRenderedPageBreak/>
        <w:t>Осенью 1942 года проводились испытания трофейных немецких танков обстрелом. Для них были отобраны Pz.Kpfw.III Ausf.H, Pz.Kpfw.38(t), StuG III Ausf.B и PZ.Kpfw.IV Ausf.E. Обстреливали их как отечественными, так и зарубежными орудиями на дистанциях 50, 100, 200, 400, 800 и 900 метров. Первой по немецкому среднему танку отстрелялась 2-фунтовая (40-мм) пушка, установленная в Valentine VII. Стрельба велась только по лобовой части машины, поскольку толщина бортов Pz.Kpfw.III и обстреливавшегося ранее StuG III была одинаковой. Выяснилось, что даже на дистанции 50 метров максимум, на что способен бронебойный снаряд английской пушки — это сделать вмятины глубиной 18 мм в экранах. Одинаковые результаты были получены при стрельбе по лбу корпуса и по лобовой части подбашенной коробки.</w:t>
      </w:r>
    </w:p>
    <w:p w14:paraId="5067BF02" w14:textId="77777777" w:rsidR="0051074C" w:rsidRPr="00722885" w:rsidRDefault="0051074C" w:rsidP="00722885">
      <w:pPr>
        <w:spacing w:after="0" w:line="240" w:lineRule="auto"/>
        <w:jc w:val="both"/>
        <w:textAlignment w:val="baseline"/>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Результаты стрельбы из 45-мм пушки, установленной на лёгком танке БТ-7, поначалу также выглядели не впечатляющими. С дистанции 50 метров на экране лобового листа подбашенной коробки образовалась вмятина глубиной 15 мм. Вердикт тот же — не «пробивает на любой дистанции». Но следующий выстрел оказался куда интереснее: после него болтовые соединения, которые крепили экран, оказались разрушены, после чего экран упал на землю. Таким образом, экран выдержал всего четыре попадания.</w:t>
      </w:r>
    </w:p>
    <w:p w14:paraId="37179D59" w14:textId="77777777" w:rsidR="0051074C" w:rsidRPr="00722885" w:rsidRDefault="0051074C" w:rsidP="00722885">
      <w:pPr>
        <w:spacing w:after="0" w:line="240" w:lineRule="auto"/>
        <w:jc w:val="both"/>
        <w:textAlignment w:val="baseline"/>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Большой неожиданностью это не стало: ещё весной 1941 года, когда разрабатывались экраны для КВ-1, отмечалось, что экранировка выдержит 3–4 попадания. В Ленинграде как в воду глядели: после тех самых 3–4 попаданий не выдержали и крепления немецкого экрана.</w:t>
      </w:r>
    </w:p>
    <w:p w14:paraId="1FFC2F35" w14:textId="77777777" w:rsidR="0051074C" w:rsidRPr="00722885" w:rsidRDefault="0051074C" w:rsidP="00722885">
      <w:pPr>
        <w:spacing w:after="0" w:line="240" w:lineRule="auto"/>
        <w:jc w:val="both"/>
        <w:textAlignment w:val="baseline"/>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Что же касается брони толщиной 30 мм, то ситуация оказалась совсем иной. На дистанции 800 и даже 900 метров 45-мм пушка каждый раз оставляла сквозную пробоину. Только один раз, при стрельбе на дистанции 900 метров, снаряд срикошетировал от борта башни. При этом на броне образовалась вмятина глубиной 15 мм и трещина длиной 200 мм. При попадании в командирскую башенку сорвало защитную крышку, вместе с ней вылетели 6 болтов, из которых 4 попали внутрь башни. Стоит отметить, что стрельба велась снарядами довоенного выпуска. Эвакуационный люк купленного до войны Pz.Kpfw.III Ausf.G был разбит во время обстрела вдребезги совсем не случайностью.</w:t>
      </w:r>
    </w:p>
    <w:p w14:paraId="28ABCFDC" w14:textId="77777777" w:rsidR="0051074C" w:rsidRPr="00722885" w:rsidRDefault="0051074C" w:rsidP="00722885">
      <w:pPr>
        <w:spacing w:after="0" w:line="240" w:lineRule="auto"/>
        <w:jc w:val="both"/>
        <w:textAlignment w:val="baseline"/>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При стрельбе по немецкому танку из 76-мм пушки Ф-34, установленной на танке Т-34, на дистанции в 900 метров бронебойный снаряд пробил нижний лобовой лист вместе с экраном и повредил коробку передач. Второе попадание, пришедшееся по верхнему лобовому листу, имело ещё больший эффект — лист не просто пробило вместе с экраном, метровый участок просто разлетелся вдребезги. Лопнул сварной шов длиной 1,5 метра. При попадании осколочно-фугасным снарядом в борт подбашенной коробки выломало участок шириной в 1 метр. Очень похожая картина наблюдалась и при стрельбе по другим частям танка. На этом испытания прекратились, поскольку стрелять по куче обломков не имело никакого смысла.</w:t>
      </w:r>
    </w:p>
    <w:p w14:paraId="6251E8F6" w14:textId="77777777" w:rsidR="0051074C" w:rsidRPr="00722885" w:rsidRDefault="0051074C" w:rsidP="00722885">
      <w:pPr>
        <w:spacing w:after="0" w:line="240" w:lineRule="auto"/>
        <w:jc w:val="both"/>
        <w:textAlignment w:val="baseline"/>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Специалистами НИИ-48 был изучен состав немецкой брони. По сравнению с Pz.Kpfw.III Ausf.G общая схема бронирования не изменилась. Лобовые листы, включая экраны, изготовлялись из цементированной на глубину 2,5–3 мм брони, а бортовые листы были выполнены из гомогенной брони. К слову, у StuG III гомогенными были все листы. Качество брони немецкого среднего танка было оценено высоко, по составу она была близка к советским маркам стали 5140 и 5150. Отмечалось довольно высокое содержание кремния и хорошая снарядостойкость, броня не кололась. Специалисты НИИ-48 посчитали немецкую хромистую сталь наиболее подходящей для производства в СССР.</w:t>
      </w:r>
    </w:p>
    <w:p w14:paraId="7B630E7D" w14:textId="77777777" w:rsidR="0051074C" w:rsidRPr="00722885" w:rsidRDefault="0051074C" w:rsidP="00722885">
      <w:pPr>
        <w:spacing w:after="0" w:line="240" w:lineRule="auto"/>
        <w:jc w:val="both"/>
        <w:textAlignment w:val="baseline"/>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Стоит отметить, что с испытаниями обстрелом советские военные явно опоздали. К тому времени в вермахте основной версией Pz.Kpfw.III являлась Ausf.J, а также её развитие — модификации Ausf.L и Ausf.M. Толщина лобовой брони этих машин составляла 50 мм. Вдобавок с весны 1942 года эти танки, а также ранее выпущенные, стали оснащаться экранами толщиной 20 мм. Выполненное по методу разнесённой брони экранирование позволило защитить машину от бронебойного снаряда Ф-34 в лобовой проекции. Правда, и тут нужно сделать оговорку — такой экран тоже выдерживал лишь несколько попаданий.</w:t>
      </w:r>
    </w:p>
    <w:p w14:paraId="222FCB8C" w14:textId="77777777" w:rsidR="0051074C" w:rsidRPr="00722885" w:rsidRDefault="0051074C" w:rsidP="00722885">
      <w:pPr>
        <w:spacing w:after="0" w:line="240" w:lineRule="auto"/>
        <w:jc w:val="both"/>
        <w:textAlignment w:val="baseline"/>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Как бы то ни было, изучение Pz.Kpfw.III Ausf.H позволило полноценно оценить основной немецкий танк первого года Великой Отечественной войны. Безусловно, это была опасная машина, особенно для лёгких Т-26 и БТ. Тем не менее превосходство даже над лёгкими советскими танками не являлось абсолютным. Pz.Kpfw.III Ausf.H был уязвим и для танков, и для противотанковой артиллерии Красной армии. И броня, и динамические характеристики этого танка явно переоценены некоторыми авторами (17720).</w:t>
      </w:r>
    </w:p>
    <w:p w14:paraId="1EA07056" w14:textId="77777777" w:rsidR="0051074C" w:rsidRPr="00722885" w:rsidRDefault="0051074C" w:rsidP="00722885">
      <w:pPr>
        <w:pStyle w:val="12a"/>
        <w:shd w:val="clear" w:color="auto" w:fill="auto"/>
        <w:spacing w:after="0" w:line="240" w:lineRule="auto"/>
        <w:jc w:val="both"/>
        <w:rPr>
          <w:color w:val="000000" w:themeColor="text1"/>
          <w:sz w:val="16"/>
          <w:szCs w:val="16"/>
        </w:rPr>
      </w:pPr>
    </w:p>
    <w:p w14:paraId="0C0248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 осени 1942 г. НКТП серьезно не возвращался к вопросу развертывания работ по созданию САУ. Как говорил Л.Горлицкий: “Других забот тогда хватало.” (5742, 14).</w:t>
      </w:r>
    </w:p>
    <w:p w14:paraId="4EAD6F06" w14:textId="77777777" w:rsidR="00090C9B" w:rsidRPr="00722885" w:rsidRDefault="00090C9B" w:rsidP="00722885">
      <w:pPr>
        <w:pStyle w:val="Iauiue"/>
        <w:jc w:val="both"/>
        <w:rPr>
          <w:color w:val="000000" w:themeColor="text1"/>
          <w:sz w:val="16"/>
          <w:szCs w:val="16"/>
        </w:rPr>
      </w:pPr>
    </w:p>
    <w:p w14:paraId="6E891663" w14:textId="77777777" w:rsidR="0051074C" w:rsidRPr="00722885" w:rsidRDefault="0051074C" w:rsidP="00722885">
      <w:pPr>
        <w:pStyle w:val="12a"/>
        <w:shd w:val="clear" w:color="auto" w:fill="auto"/>
        <w:spacing w:after="0" w:line="240" w:lineRule="auto"/>
        <w:jc w:val="both"/>
        <w:rPr>
          <w:color w:val="000000" w:themeColor="text1"/>
          <w:sz w:val="16"/>
          <w:szCs w:val="16"/>
          <w:lang w:eastAsia="ru-RU"/>
        </w:rPr>
      </w:pPr>
      <w:r w:rsidRPr="00722885">
        <w:rPr>
          <w:color w:val="000000" w:themeColor="text1"/>
          <w:sz w:val="16"/>
          <w:szCs w:val="16"/>
          <w:lang w:eastAsia="ru-RU"/>
        </w:rPr>
        <w:t>С осени 1942 года Коломенский машиностроительный заводе им. Куйбышева, который эвакуировали в Киров, где на его базе создали завод №38, стал главным местом разработки советских лёгких САУ (17641).</w:t>
      </w:r>
    </w:p>
    <w:p w14:paraId="1C2CD2AC" w14:textId="77777777" w:rsidR="0051074C" w:rsidRPr="00722885" w:rsidRDefault="0051074C" w:rsidP="00722885">
      <w:pPr>
        <w:pStyle w:val="12a"/>
        <w:shd w:val="clear" w:color="auto" w:fill="auto"/>
        <w:spacing w:after="0" w:line="240" w:lineRule="auto"/>
        <w:jc w:val="both"/>
        <w:rPr>
          <w:color w:val="000000" w:themeColor="text1"/>
          <w:sz w:val="16"/>
          <w:szCs w:val="16"/>
        </w:rPr>
      </w:pPr>
    </w:p>
    <w:p w14:paraId="7E9AC9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после принятия постановления ГКО № 2429сс был разработан ещё один любопытный проект - самоходная артиллерийская установка на базе танка Т-34, вооружённая 122-мм гаубицей. Целью этой САУ было уничтожение огнём прямой наводки огневых точек и противотанковых батарей. Её спроектировала на УЗТМ группа конструкторов под руководством Л. И. Горлицкого. Всего через 15 дней после принятия постановления № 2429сс проект самоходки У-35 был представлен 29 октября на утверждение межведомственной комиссии ГАУ и НКТП. А 30 ноября начались испытания опытного образца самоходки. В декабре машину приняли на вооружение под обозначением СУ-122. В январе началось их серийное производство.</w:t>
      </w:r>
    </w:p>
    <w:p w14:paraId="13427B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Впрочем, начальники технического отдела и отдела снабжением вооружением и оптикой ГАБТУ инженер-полковники Ковалёв и Ненароков подвергли новую машину жесткой критике. Кроме длинного списка изменений, которые должны были быть внесены в СУ-122 после начала серийного производства, военные отметили ключевой неустранимый недостаток - тесноту боевого отделения, вызванную тем, что конструкторы самоходки вооружили её полевой гаубицей М-30, не внеся в неё принципиальных изменений. Поэтому ГАБТУ потребовала создания новой самоходки с танковой гаубицей У-11. Тем не менее, по окончания работ над новой машиной было решено начать производство СУ-122 с гаубицей М-30. А когда новая самоходка была разработана, новые задачи, стоящие перед отраслью, заставили переориентироваться на производство совсем другой модели (12290).</w:t>
      </w:r>
    </w:p>
    <w:p w14:paraId="78901E6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BEC0F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советское командование планировало провести целый ряд масштабных наступательных операций на различных фронтах с применением подвижных артиллерийских подразделений. В первую очередь, это касалось прорыва блокады Ленинграда. При разработке плана этих наступательных операций впервые широко учитывались уроки зимнего наступления 1941 42 гг. под Москвой, ког да артиллерия среднего и крупного калибра (столь необходимая для сокрушения вражеских укреплений) постоянно отставала от наступавших танковых и пехотных подразделений. Поэтому впервые при отработке будущих операций было принято решение о широком применении самоходно артиллерийских установок среднего (от 76 мм до 122 мм) и крупного (более 122 мм) калибров, которые требовалось спешно создать (11300).</w:t>
      </w:r>
    </w:p>
    <w:p w14:paraId="3A1665F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85350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командование Красной Армии заплани</w:t>
      </w:r>
      <w:r w:rsidRPr="00722885">
        <w:rPr>
          <w:rFonts w:ascii="Times New Roman" w:hAnsi="Times New Roman"/>
          <w:color w:val="000000" w:themeColor="text1"/>
          <w:sz w:val="16"/>
          <w:szCs w:val="16"/>
        </w:rPr>
        <w:softHyphen/>
        <w:t>ровало проведение ряда крупных наступательных операций, при разработке которых делалась попытка учесть уроки зим</w:t>
      </w:r>
      <w:r w:rsidRPr="00722885">
        <w:rPr>
          <w:rFonts w:ascii="Times New Roman" w:hAnsi="Times New Roman"/>
          <w:color w:val="000000" w:themeColor="text1"/>
          <w:sz w:val="16"/>
          <w:szCs w:val="16"/>
        </w:rPr>
        <w:softHyphen/>
        <w:t>него наступления под Москвой, когда артиллерия среднего, (и, особенно, крупного) калибра, столь необходимая для со</w:t>
      </w:r>
      <w:r w:rsidRPr="00722885">
        <w:rPr>
          <w:rFonts w:ascii="Times New Roman" w:hAnsi="Times New Roman"/>
          <w:color w:val="000000" w:themeColor="text1"/>
          <w:sz w:val="16"/>
          <w:szCs w:val="16"/>
        </w:rPr>
        <w:softHyphen/>
        <w:t>крушения вражеских укреплений и противодействия тан</w:t>
      </w:r>
      <w:r w:rsidRPr="00722885">
        <w:rPr>
          <w:rFonts w:ascii="Times New Roman" w:hAnsi="Times New Roman"/>
          <w:color w:val="000000" w:themeColor="text1"/>
          <w:sz w:val="16"/>
          <w:szCs w:val="16"/>
        </w:rPr>
        <w:softHyphen/>
        <w:t>кам, постоянно отставала от наступающих танковых (и пе</w:t>
      </w:r>
      <w:r w:rsidRPr="00722885">
        <w:rPr>
          <w:rFonts w:ascii="Times New Roman" w:hAnsi="Times New Roman"/>
          <w:color w:val="000000" w:themeColor="text1"/>
          <w:sz w:val="16"/>
          <w:szCs w:val="16"/>
        </w:rPr>
        <w:softHyphen/>
        <w:t>хотных) подразделений. 19 октября 1942 г. по ходатайству ГАУ РККА Государственный комитет обороны принял ре</w:t>
      </w:r>
      <w:r w:rsidRPr="00722885">
        <w:rPr>
          <w:rFonts w:ascii="Times New Roman" w:hAnsi="Times New Roman"/>
          <w:color w:val="000000" w:themeColor="text1"/>
          <w:sz w:val="16"/>
          <w:szCs w:val="16"/>
        </w:rPr>
        <w:softHyphen/>
        <w:t>шение № 2429сс о разработке и подготовке серийного про</w:t>
      </w:r>
      <w:r w:rsidRPr="00722885">
        <w:rPr>
          <w:rFonts w:ascii="Times New Roman" w:hAnsi="Times New Roman"/>
          <w:color w:val="000000" w:themeColor="text1"/>
          <w:sz w:val="16"/>
          <w:szCs w:val="16"/>
        </w:rPr>
        <w:softHyphen/>
        <w:t>изводства «артиллерийских самоходов» калибром от 37 до 152 мм. Ответственными исполнителями по «штурмовым САУ» были назначены Коломенский завод № 38 им. Куйбы</w:t>
      </w:r>
      <w:r w:rsidRPr="00722885">
        <w:rPr>
          <w:rFonts w:ascii="Times New Roman" w:hAnsi="Times New Roman"/>
          <w:color w:val="000000" w:themeColor="text1"/>
          <w:sz w:val="16"/>
          <w:szCs w:val="16"/>
        </w:rPr>
        <w:softHyphen/>
        <w:t>шева и ГАЗ им. Молотова, по зенитным САУ — завод № 37, а по тягачу и транспортерам — КБ НАТИ.</w:t>
      </w:r>
    </w:p>
    <w:p w14:paraId="7F409A2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заданными тактико-техническими требованиями в ноябре 1942 г. завод № 38 и ГАЗ представи</w:t>
      </w:r>
      <w:r w:rsidRPr="00722885">
        <w:rPr>
          <w:rFonts w:ascii="Times New Roman" w:hAnsi="Times New Roman"/>
          <w:color w:val="000000" w:themeColor="text1"/>
          <w:sz w:val="16"/>
          <w:szCs w:val="16"/>
        </w:rPr>
        <w:softHyphen/>
        <w:t>ли на госиспытания свои первые образцы «штурмовых САУ», вооруженных 76-мм дивизионной пушкой ЗИС-3 на шасси с параллельно спаренными двигателями, работаю</w:t>
      </w:r>
      <w:r w:rsidRPr="00722885">
        <w:rPr>
          <w:rFonts w:ascii="Times New Roman" w:hAnsi="Times New Roman"/>
          <w:color w:val="000000" w:themeColor="text1"/>
          <w:sz w:val="16"/>
          <w:szCs w:val="16"/>
        </w:rPr>
        <w:softHyphen/>
        <w:t>щими на общий вал. Машина горьковчан имела индекс ГАЗ-71, а машина завода № 38 - СУ-12.</w:t>
      </w:r>
    </w:p>
    <w:p w14:paraId="6C665A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то, что ГАЗ-71 несла два параллельно спа</w:t>
      </w:r>
      <w:r w:rsidRPr="00722885">
        <w:rPr>
          <w:rFonts w:ascii="Times New Roman" w:hAnsi="Times New Roman"/>
          <w:color w:val="000000" w:themeColor="text1"/>
          <w:sz w:val="16"/>
          <w:szCs w:val="16"/>
        </w:rPr>
        <w:softHyphen/>
        <w:t>ренных двигателя, ее компоновка отличалась от рекомен</w:t>
      </w:r>
      <w:r w:rsidRPr="00722885">
        <w:rPr>
          <w:rFonts w:ascii="Times New Roman" w:hAnsi="Times New Roman"/>
          <w:color w:val="000000" w:themeColor="text1"/>
          <w:sz w:val="16"/>
          <w:szCs w:val="16"/>
        </w:rPr>
        <w:softHyphen/>
        <w:t>дованной спецбюро САУ НКТП. Вместо того, чтобы раз</w:t>
      </w:r>
      <w:r w:rsidRPr="00722885">
        <w:rPr>
          <w:rFonts w:ascii="Times New Roman" w:hAnsi="Times New Roman"/>
          <w:color w:val="000000" w:themeColor="text1"/>
          <w:sz w:val="16"/>
          <w:szCs w:val="16"/>
        </w:rPr>
        <w:softHyphen/>
        <w:t>местить механика-водителя между двигателями по оси ма</w:t>
      </w:r>
      <w:r w:rsidRPr="00722885">
        <w:rPr>
          <w:rFonts w:ascii="Times New Roman" w:hAnsi="Times New Roman"/>
          <w:color w:val="000000" w:themeColor="text1"/>
          <w:sz w:val="16"/>
          <w:szCs w:val="16"/>
        </w:rPr>
        <w:softHyphen/>
        <w:t>шины, как то предписывалось рекомендациями, получен</w:t>
      </w:r>
      <w:r w:rsidRPr="00722885">
        <w:rPr>
          <w:rFonts w:ascii="Times New Roman" w:hAnsi="Times New Roman"/>
          <w:color w:val="000000" w:themeColor="text1"/>
          <w:sz w:val="16"/>
          <w:szCs w:val="16"/>
        </w:rPr>
        <w:softHyphen/>
        <w:t>ными от НКТП, горьковчане поместили оба двигателя ти</w:t>
      </w:r>
      <w:r w:rsidRPr="00722885">
        <w:rPr>
          <w:rFonts w:ascii="Times New Roman" w:hAnsi="Times New Roman"/>
          <w:color w:val="000000" w:themeColor="text1"/>
          <w:sz w:val="16"/>
          <w:szCs w:val="16"/>
        </w:rPr>
        <w:softHyphen/>
        <w:t>па ГАЗ-60 у правого борта машины, тогда как механик-во</w:t>
      </w:r>
      <w:r w:rsidRPr="00722885">
        <w:rPr>
          <w:rFonts w:ascii="Times New Roman" w:hAnsi="Times New Roman"/>
          <w:color w:val="000000" w:themeColor="text1"/>
          <w:sz w:val="16"/>
          <w:szCs w:val="16"/>
        </w:rPr>
        <w:softHyphen/>
        <w:t>дитель сместился к левому борту. Ведущее колесо при этом было перенесено назад, что, по мнению проектировщиков, Давало преимущества с точки зрения защищенности ходо</w:t>
      </w:r>
      <w:r w:rsidRPr="00722885">
        <w:rPr>
          <w:rFonts w:ascii="Times New Roman" w:hAnsi="Times New Roman"/>
          <w:color w:val="000000" w:themeColor="text1"/>
          <w:sz w:val="16"/>
          <w:szCs w:val="16"/>
        </w:rPr>
        <w:softHyphen/>
        <w:t>вой части от огня противника. С одной стороны, такое решение давало и контсрукционные преимущества, так как позволяло обойтись одной КПП, но всякая палка имеет два конца. Необходимость синхронизировать обороты двига</w:t>
      </w:r>
      <w:r w:rsidRPr="00722885">
        <w:rPr>
          <w:rFonts w:ascii="Times New Roman" w:hAnsi="Times New Roman"/>
          <w:color w:val="000000" w:themeColor="text1"/>
          <w:sz w:val="16"/>
          <w:szCs w:val="16"/>
        </w:rPr>
        <w:softHyphen/>
        <w:t>телей и применения длинного карданного вала значитель</w:t>
      </w:r>
      <w:r w:rsidRPr="00722885">
        <w:rPr>
          <w:rFonts w:ascii="Times New Roman" w:hAnsi="Times New Roman"/>
          <w:color w:val="000000" w:themeColor="text1"/>
          <w:sz w:val="16"/>
          <w:szCs w:val="16"/>
        </w:rPr>
        <w:softHyphen/>
        <w:t>но усложняли трансмиссию и ухудшали ее надежность (11417).</w:t>
      </w:r>
    </w:p>
    <w:p w14:paraId="2DB0910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9B7D98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в КБ Горьковского автозавода под руководством Н.А. Астрова был разработан танк Т-80. Опытный образец машины в декабре 1942 г. прошел полигонные испытания. Танк был поставлен на производство на заводе № 40 в г. Мытищи Московской области. Всего было изготовлено 75 танков и в 1943 г. их выпуск был прекращен. Танк был последним образцом отечественных легких танков периода Отечественной войны (10703).</w:t>
      </w:r>
    </w:p>
    <w:p w14:paraId="4D22290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28BCDF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когда нужно было улучшить защиту танков от широко примененных в боях августа 1942 г. на фронте подкалиберных боеприпасов, обсуждались вопросы усиления бронирования совет</w:t>
      </w:r>
      <w:r w:rsidRPr="00722885">
        <w:rPr>
          <w:rFonts w:ascii="Times New Roman" w:hAnsi="Times New Roman"/>
          <w:color w:val="000000" w:themeColor="text1"/>
          <w:sz w:val="16"/>
          <w:szCs w:val="16"/>
        </w:rPr>
        <w:softHyphen/>
        <w:t>ских танков. Проведенные в августе — ноябре испытания бронекор-пусов танков Т-60, «Валентайн» и Т-34 показали, что бро</w:t>
      </w:r>
      <w:r w:rsidRPr="00722885">
        <w:rPr>
          <w:rFonts w:ascii="Times New Roman" w:hAnsi="Times New Roman"/>
          <w:color w:val="000000" w:themeColor="text1"/>
          <w:sz w:val="16"/>
          <w:szCs w:val="16"/>
        </w:rPr>
        <w:softHyphen/>
        <w:t>невая защита танка Т-60 недостаточна для применения указанного танка в бою против противника, вооруженного противотанковой артиллерией любого типа; броневая за</w:t>
      </w:r>
      <w:r w:rsidRPr="00722885">
        <w:rPr>
          <w:rFonts w:ascii="Times New Roman" w:hAnsi="Times New Roman"/>
          <w:color w:val="000000" w:themeColor="text1"/>
          <w:sz w:val="16"/>
          <w:szCs w:val="16"/>
        </w:rPr>
        <w:softHyphen/>
        <w:t xml:space="preserve">щита танка «валентайн» эффективна против бронебойного и подкалиберного 37-мм снаряда, а также бронебойного снаряда 50-мм противотанковой пушки </w:t>
      </w:r>
      <w:r w:rsidRPr="00722885">
        <w:rPr>
          <w:rFonts w:ascii="Times New Roman" w:hAnsi="Times New Roman"/>
          <w:color w:val="000000" w:themeColor="text1"/>
          <w:sz w:val="16"/>
          <w:szCs w:val="16"/>
        </w:rPr>
        <w:lastRenderedPageBreak/>
        <w:t>РаК 38... Броневая же защита танка Т-34 от огня 37-мм и 50-мм немецких бро</w:t>
      </w:r>
      <w:r w:rsidRPr="00722885">
        <w:rPr>
          <w:rFonts w:ascii="Times New Roman" w:hAnsi="Times New Roman"/>
          <w:color w:val="000000" w:themeColor="text1"/>
          <w:sz w:val="16"/>
          <w:szCs w:val="16"/>
        </w:rPr>
        <w:softHyphen/>
        <w:t>небойных снарядов на дистанции свыше 300 м удовлетворительна. 50-мм подкалиберный же снаряд остается очень эффективным против брони Т-34 на всех дистанциях. «Не</w:t>
      </w:r>
      <w:r w:rsidRPr="00722885">
        <w:rPr>
          <w:rFonts w:ascii="Times New Roman" w:hAnsi="Times New Roman"/>
          <w:color w:val="000000" w:themeColor="text1"/>
          <w:sz w:val="16"/>
          <w:szCs w:val="16"/>
        </w:rPr>
        <w:softHyphen/>
        <w:t>обходимо срочно, не откладывая, разработать комплекс мер по усилению бронирования танка Т-34 против бронебойных подкалиберных катушечных боеприпасов» - звучало практи</w:t>
      </w:r>
      <w:r w:rsidRPr="00722885">
        <w:rPr>
          <w:rFonts w:ascii="Times New Roman" w:hAnsi="Times New Roman"/>
          <w:color w:val="000000" w:themeColor="text1"/>
          <w:sz w:val="16"/>
          <w:szCs w:val="16"/>
        </w:rPr>
        <w:softHyphen/>
        <w:t>чески во всех отчетах и рекомендациях того времени (11135).</w:t>
      </w:r>
    </w:p>
    <w:p w14:paraId="3869B5A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A6AAC9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автозаводом были выпущены два опытных образца самоходной установки СУ-71, которая была разработана в КБ Горьковского автозавода под руководством Н.А. Астрова по заданию ГКО, один из которых (СУ-71) в ноябре того же года прошел завод</w:t>
      </w:r>
      <w:r w:rsidRPr="00722885">
        <w:rPr>
          <w:rFonts w:ascii="Times New Roman" w:hAnsi="Times New Roman"/>
          <w:color w:val="000000" w:themeColor="text1"/>
          <w:sz w:val="16"/>
          <w:szCs w:val="16"/>
        </w:rPr>
        <w:softHyphen/>
        <w:t>ские испытания. Дальнейшие работы над установкой были прекращены в связи с принятием на вооружение РККА установки СУ-76 конструк</w:t>
      </w:r>
      <w:r w:rsidRPr="00722885">
        <w:rPr>
          <w:rFonts w:ascii="Times New Roman" w:hAnsi="Times New Roman"/>
          <w:color w:val="000000" w:themeColor="text1"/>
          <w:sz w:val="16"/>
          <w:szCs w:val="16"/>
        </w:rPr>
        <w:softHyphen/>
        <w:t>ции завода № 38 (10703).</w:t>
      </w:r>
    </w:p>
    <w:p w14:paraId="796C36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77D8DC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автозаводом был выпущен опытный обра</w:t>
      </w:r>
      <w:r w:rsidRPr="00722885">
        <w:rPr>
          <w:rFonts w:ascii="Times New Roman" w:hAnsi="Times New Roman"/>
          <w:color w:val="000000" w:themeColor="text1"/>
          <w:sz w:val="16"/>
          <w:szCs w:val="16"/>
        </w:rPr>
        <w:softHyphen/>
        <w:t>зец машины СУ-72, которая была разработана в КБ Горьковского автозавода под руководством Н.А. Астрова по заданию ГКО в 1942 г. Дальнейшие работы над установкой были прекращены в связи с прекращением заводом № 38 работ над усовершенствованием унифицированного шасси. Самоходная установка СУ-72 была разработана на базе унифициро</w:t>
      </w:r>
      <w:r w:rsidRPr="00722885">
        <w:rPr>
          <w:rFonts w:ascii="Times New Roman" w:hAnsi="Times New Roman"/>
          <w:color w:val="000000" w:themeColor="text1"/>
          <w:sz w:val="16"/>
          <w:szCs w:val="16"/>
        </w:rPr>
        <w:softHyphen/>
        <w:t>ванного шасси и относилась к типу полузакрытых самоходных устано</w:t>
      </w:r>
      <w:r w:rsidRPr="00722885">
        <w:rPr>
          <w:rFonts w:ascii="Times New Roman" w:hAnsi="Times New Roman"/>
          <w:color w:val="000000" w:themeColor="text1"/>
          <w:sz w:val="16"/>
          <w:szCs w:val="16"/>
        </w:rPr>
        <w:softHyphen/>
        <w:t>вок. В ее конструкции были использованы узлы и агрегаты легких тан</w:t>
      </w:r>
      <w:r w:rsidRPr="00722885">
        <w:rPr>
          <w:rFonts w:ascii="Times New Roman" w:hAnsi="Times New Roman"/>
          <w:color w:val="000000" w:themeColor="text1"/>
          <w:sz w:val="16"/>
          <w:szCs w:val="16"/>
        </w:rPr>
        <w:softHyphen/>
        <w:t>ков Т-60 и Т-70. Схема общей компоновки предусматривала переднее расположение силовой установки и трансмиссии и кормовое размеще</w:t>
      </w:r>
      <w:r w:rsidRPr="00722885">
        <w:rPr>
          <w:rFonts w:ascii="Times New Roman" w:hAnsi="Times New Roman"/>
          <w:color w:val="000000" w:themeColor="text1"/>
          <w:sz w:val="16"/>
          <w:szCs w:val="16"/>
        </w:rPr>
        <w:softHyphen/>
        <w:t>ние неподвижной броневой рубки и ведущих колес. В силовой установ</w:t>
      </w:r>
      <w:r w:rsidRPr="00722885">
        <w:rPr>
          <w:rFonts w:ascii="Times New Roman" w:hAnsi="Times New Roman"/>
          <w:color w:val="000000" w:themeColor="text1"/>
          <w:sz w:val="16"/>
          <w:szCs w:val="16"/>
        </w:rPr>
        <w:softHyphen/>
        <w:t>ке использовались два двигателя, работавших параллельно. Отделение управления размещалось в носовой части корпуса и было смещено к ле</w:t>
      </w:r>
      <w:r w:rsidRPr="00722885">
        <w:rPr>
          <w:rFonts w:ascii="Times New Roman" w:hAnsi="Times New Roman"/>
          <w:color w:val="000000" w:themeColor="text1"/>
          <w:sz w:val="16"/>
          <w:szCs w:val="16"/>
        </w:rPr>
        <w:softHyphen/>
        <w:t>вому борту, справа от него находилось моторное отделение. У механика-водителя имелся свой входной люк, располагавшийся в верхнем лобо</w:t>
      </w:r>
      <w:r w:rsidRPr="00722885">
        <w:rPr>
          <w:rFonts w:ascii="Times New Roman" w:hAnsi="Times New Roman"/>
          <w:color w:val="000000" w:themeColor="text1"/>
          <w:sz w:val="16"/>
          <w:szCs w:val="16"/>
        </w:rPr>
        <w:softHyphen/>
        <w:t>вом листе корпуса, в крышке которого устанавливался смотровой пери</w:t>
      </w:r>
      <w:r w:rsidRPr="00722885">
        <w:rPr>
          <w:rFonts w:ascii="Times New Roman" w:hAnsi="Times New Roman"/>
          <w:color w:val="000000" w:themeColor="text1"/>
          <w:sz w:val="16"/>
          <w:szCs w:val="16"/>
        </w:rPr>
        <w:softHyphen/>
        <w:t>скопический зеркальный прибор. Командир машины и заряжающий на</w:t>
      </w:r>
      <w:r w:rsidRPr="00722885">
        <w:rPr>
          <w:rFonts w:ascii="Times New Roman" w:hAnsi="Times New Roman"/>
          <w:color w:val="000000" w:themeColor="text1"/>
          <w:sz w:val="16"/>
          <w:szCs w:val="16"/>
        </w:rPr>
        <w:softHyphen/>
        <w:t>ходились у правого борта броневой рубки, наводчик - слева от пушки. Посадка и выход экипажа, а также загрузка боекомплекта производи</w:t>
      </w:r>
      <w:r w:rsidRPr="00722885">
        <w:rPr>
          <w:rFonts w:ascii="Times New Roman" w:hAnsi="Times New Roman"/>
          <w:color w:val="000000" w:themeColor="text1"/>
          <w:sz w:val="16"/>
          <w:szCs w:val="16"/>
        </w:rPr>
        <w:softHyphen/>
        <w:t>лась через дверь, располагавшуюся в кормовом листе боевой рубки (10703).</w:t>
      </w:r>
    </w:p>
    <w:p w14:paraId="36B4513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E9CDA50" w14:textId="77777777" w:rsidR="00A50962" w:rsidRPr="00722885" w:rsidRDefault="00A50962" w:rsidP="00722885">
      <w:pPr>
        <w:pStyle w:val="a3"/>
        <w:rPr>
          <w:color w:val="000000" w:themeColor="text1"/>
          <w:lang w:val="ru-RU"/>
        </w:rPr>
      </w:pPr>
      <w:r w:rsidRPr="00722885">
        <w:rPr>
          <w:color w:val="000000" w:themeColor="text1"/>
          <w:lang w:val="ru-RU"/>
        </w:rPr>
        <w:t>Осенью 1942 года впервые была выска</w:t>
      </w:r>
      <w:r w:rsidRPr="00722885">
        <w:rPr>
          <w:color w:val="000000" w:themeColor="text1"/>
          <w:lang w:val="ru-RU"/>
        </w:rPr>
        <w:softHyphen/>
        <w:t xml:space="preserve">зана идея использования базы танка </w:t>
      </w:r>
      <w:r w:rsidRPr="00722885">
        <w:rPr>
          <w:color w:val="000000" w:themeColor="text1"/>
        </w:rPr>
        <w:t>KB</w:t>
      </w:r>
      <w:r w:rsidRPr="00722885">
        <w:rPr>
          <w:color w:val="000000" w:themeColor="text1"/>
          <w:lang w:val="ru-RU"/>
        </w:rPr>
        <w:t xml:space="preserve"> в качестве базы для открытой установки артиллерии большой мощности (17484).</w:t>
      </w:r>
    </w:p>
    <w:p w14:paraId="22700A67" w14:textId="77777777" w:rsidR="00A50962" w:rsidRPr="00722885" w:rsidRDefault="00A50962" w:rsidP="00722885">
      <w:pPr>
        <w:pStyle w:val="a3"/>
        <w:rPr>
          <w:color w:val="000000" w:themeColor="text1"/>
          <w:lang w:val="ru-RU"/>
        </w:rPr>
      </w:pPr>
    </w:p>
    <w:p w14:paraId="3C0F2677" w14:textId="77777777" w:rsidR="00437338" w:rsidRPr="00722885" w:rsidRDefault="0043733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shd w:val="clear" w:color="auto" w:fill="FFFFFF"/>
        </w:rPr>
        <w:t>Осенью 1942 года вновь вытащили на свет идею с высокими углами наведения орудия, которая изначально появилась после боев в Испании. Теперь она понадобилась для ведения заградительного зенитного огня. Так получилось, что американский танк Medium Tank M3 имел очень похожую на требования 1937 года установку 37-мм пушки. Посему было решено переделать башню Т-80 под переработанную установку вооружения. По хорошему счету, это привело к созданию принципиально новой башни (21138).</w:t>
      </w:r>
    </w:p>
    <w:p w14:paraId="2C436D56" w14:textId="77777777" w:rsidR="00437338" w:rsidRPr="00722885" w:rsidRDefault="00437338" w:rsidP="00722885">
      <w:pPr>
        <w:spacing w:after="0" w:line="240" w:lineRule="auto"/>
        <w:jc w:val="both"/>
        <w:rPr>
          <w:rFonts w:ascii="Times New Roman" w:hAnsi="Times New Roman"/>
          <w:color w:val="0070C0"/>
          <w:sz w:val="16"/>
          <w:szCs w:val="16"/>
        </w:rPr>
      </w:pPr>
    </w:p>
    <w:p w14:paraId="31C6485F" w14:textId="77777777" w:rsidR="00437338" w:rsidRPr="00722885" w:rsidRDefault="00437338"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 xml:space="preserve">Осенью 1942 года начались работы над зенитным танком с орудием 11-П. Самое интересное, что инициатива исходила не от ОКБ-16, а от Наркомата Вооружений. Данный проект получил в ОКБ-16 индекс 72-П. Ведущим инженером проекта 72-П стал С.С. Розанов (20346). </w:t>
      </w:r>
    </w:p>
    <w:p w14:paraId="1ED32CF8" w14:textId="77777777" w:rsidR="00437338" w:rsidRPr="00722885" w:rsidRDefault="00437338" w:rsidP="00722885">
      <w:pPr>
        <w:pStyle w:val="article-renderblock"/>
        <w:shd w:val="clear" w:color="auto" w:fill="FFFFFF"/>
        <w:spacing w:before="0" w:beforeAutospacing="0" w:after="0" w:afterAutospacing="0"/>
        <w:jc w:val="both"/>
        <w:rPr>
          <w:color w:val="0070C0"/>
          <w:sz w:val="16"/>
          <w:szCs w:val="16"/>
        </w:rPr>
      </w:pPr>
    </w:p>
    <w:p w14:paraId="3F4BD501" w14:textId="77777777" w:rsidR="00086AD6" w:rsidRPr="00722885" w:rsidRDefault="00086AD6" w:rsidP="00722885">
      <w:pPr>
        <w:pStyle w:val="ae"/>
        <w:spacing w:before="0" w:after="0"/>
        <w:jc w:val="both"/>
        <w:textAlignment w:val="baseline"/>
        <w:rPr>
          <w:color w:val="000000" w:themeColor="text1"/>
          <w:sz w:val="16"/>
          <w:szCs w:val="16"/>
        </w:rPr>
      </w:pPr>
      <w:r w:rsidRPr="00722885">
        <w:rPr>
          <w:color w:val="000000" w:themeColor="text1"/>
          <w:sz w:val="16"/>
          <w:szCs w:val="16"/>
        </w:rPr>
        <w:t>Осенью 1942 года прошёл конвой PQ-18, а американские танки попали в СССР позже в ходе операции ФБ. Во время операции, проведённой в ноябре 1942 года, англичане опробовали тактику прохода одиночных кораблей. Несмотря на то, что операцию признали неудачной и вернулись к прежней тактике (полноценным </w:t>
      </w:r>
      <w:hyperlink r:id="rId125" w:history="1">
        <w:r w:rsidRPr="00722885">
          <w:rPr>
            <w:rStyle w:val="a5"/>
            <w:bCs/>
            <w:iCs/>
            <w:color w:val="000000" w:themeColor="text1"/>
            <w:sz w:val="16"/>
            <w:szCs w:val="16"/>
            <w:bdr w:val="none" w:sz="0" w:space="0" w:color="auto" w:frame="1"/>
          </w:rPr>
          <w:t>конвоям</w:t>
        </w:r>
      </w:hyperlink>
      <w:r w:rsidRPr="00722885">
        <w:rPr>
          <w:color w:val="000000" w:themeColor="text1"/>
          <w:sz w:val="16"/>
          <w:szCs w:val="16"/>
        </w:rPr>
        <w:t>), в СССР удалось привезти большой объём бронетехники, включая 26 танков M4A2. Следующая партия из 10 машин прибыла южным путём к концу декабря. Танки, прибывшие северным путём, направили в Горьковский АБТ центр — впрочем, случилось это не сразу. Практически сразу же обнаружились проблемы с инжекторами двигателей, которые выходили из строя после 5-10 часов работы. Начался разбор проблемы, к которому почти сразу привлекли американцев. Выяснилось, что инжекторы делятся на три типа: S предназначались для моторов пехотных танков </w:t>
      </w:r>
      <w:hyperlink r:id="rId126" w:history="1">
        <w:r w:rsidRPr="00722885">
          <w:rPr>
            <w:rStyle w:val="a5"/>
            <w:bCs/>
            <w:iCs/>
            <w:color w:val="000000" w:themeColor="text1"/>
            <w:sz w:val="16"/>
            <w:szCs w:val="16"/>
            <w:bdr w:val="none" w:sz="0" w:space="0" w:color="auto" w:frame="1"/>
          </w:rPr>
          <w:t>Valentine</w:t>
        </w:r>
      </w:hyperlink>
      <w:r w:rsidRPr="00722885">
        <w:rPr>
          <w:color w:val="000000" w:themeColor="text1"/>
          <w:sz w:val="16"/>
          <w:szCs w:val="16"/>
        </w:rPr>
        <w:t> (140 л.с.); A — для тракторов (165 л.с.); M — для моторов GM 6046 (220 л.с.). Проблемы возникли с инжекторами M. Первым делом была проведена попытка поставить инжекторы типа S. Испытания показали, что надёжность мало изменилась, зато на 10-15% снизилась скорость движения, одновременно на 12-20% вырос расход топлива. Американская сторона предложила перенастроить инжекторы типа A и поставить их; более того, несколько сотен таких инжекторов направили в СССР самолётом.</w:t>
      </w:r>
    </w:p>
    <w:p w14:paraId="5B375B0F" w14:textId="77777777" w:rsidR="00086AD6" w:rsidRPr="00722885" w:rsidRDefault="00086AD6" w:rsidP="00722885">
      <w:pPr>
        <w:spacing w:after="0" w:line="240" w:lineRule="auto"/>
        <w:jc w:val="both"/>
        <w:textAlignment w:val="baseline"/>
        <w:rPr>
          <w:rFonts w:ascii="Times New Roman" w:hAnsi="Times New Roman"/>
          <w:color w:val="000000" w:themeColor="text1"/>
          <w:sz w:val="16"/>
          <w:szCs w:val="16"/>
        </w:rPr>
      </w:pPr>
      <w:r w:rsidRPr="00722885">
        <w:rPr>
          <w:rFonts w:ascii="Times New Roman" w:hAnsi="Times New Roman"/>
          <w:color w:val="000000" w:themeColor="text1"/>
          <w:sz w:val="16"/>
          <w:szCs w:val="16"/>
        </w:rPr>
        <w:t>Танки поставлялись с противопылевыми экранами, но они, как и в американской армии, долго в условиях фронта не жили.</w:t>
      </w:r>
    </w:p>
    <w:p w14:paraId="75AD242A" w14:textId="77777777" w:rsidR="00086AD6" w:rsidRPr="00722885" w:rsidRDefault="00086AD6" w:rsidP="00722885">
      <w:pPr>
        <w:pStyle w:val="ae"/>
        <w:spacing w:before="0" w:after="0"/>
        <w:jc w:val="both"/>
        <w:textAlignment w:val="baseline"/>
        <w:rPr>
          <w:color w:val="000000" w:themeColor="text1"/>
          <w:sz w:val="16"/>
          <w:szCs w:val="16"/>
        </w:rPr>
      </w:pPr>
      <w:r w:rsidRPr="00722885">
        <w:rPr>
          <w:color w:val="000000" w:themeColor="text1"/>
          <w:sz w:val="16"/>
          <w:szCs w:val="16"/>
        </w:rPr>
        <w:t>Дальнейшие разбирательства выявили неправильную эксплуатацию танковых моторов, о которой, впрочем, сами американцы не предупредили. Версия про эксплуатацию была американской, а вот у советской стороны на этот счёт имелось иное мнение. Изучение дефектных моторов выявило ещё и плохое качество изготовления элементов моторов. Более того, присланные запасные клапана и сёдла к ним фактически были пригнанными, что также вызывало ряд вопросов по качеству. Кроме того, в ходе зимней эксплуатации возникли другие проблемы. Всё это привело к тому, что танки, прибывавшие северными конвоями, пришли в полную боеготовность только ближе к лету 1943 года (19038).</w:t>
      </w:r>
    </w:p>
    <w:p w14:paraId="0E5157AC" w14:textId="77777777" w:rsidR="00086AD6" w:rsidRPr="00722885" w:rsidRDefault="00086AD6" w:rsidP="00722885">
      <w:pPr>
        <w:pStyle w:val="ae"/>
        <w:spacing w:before="0" w:after="0"/>
        <w:jc w:val="both"/>
        <w:textAlignment w:val="baseline"/>
        <w:rPr>
          <w:color w:val="000000" w:themeColor="text1"/>
          <w:sz w:val="16"/>
          <w:szCs w:val="16"/>
        </w:rPr>
      </w:pPr>
    </w:p>
    <w:p w14:paraId="619D1110" w14:textId="77777777" w:rsidR="0051074C" w:rsidRPr="00722885" w:rsidRDefault="0051074C" w:rsidP="00722885">
      <w:pPr>
        <w:pStyle w:val="ae"/>
        <w:shd w:val="clear" w:color="auto" w:fill="FFFFFF"/>
        <w:spacing w:before="0" w:after="0"/>
        <w:jc w:val="both"/>
        <w:rPr>
          <w:color w:val="000000" w:themeColor="text1"/>
          <w:sz w:val="16"/>
          <w:szCs w:val="16"/>
        </w:rPr>
      </w:pPr>
      <w:r w:rsidRPr="00722885">
        <w:rPr>
          <w:color w:val="000000" w:themeColor="text1"/>
          <w:sz w:val="16"/>
          <w:szCs w:val="16"/>
        </w:rPr>
        <w:t xml:space="preserve">Осенью 1942 года на заводе №92 под руководством П.Ф. Муравьева был разработан эскизный проект установки 400-мм мортиры на шасси либо Т-34, либо КВ-1. Что именно за орудие предполагалось установить на танковое шасси — неизвестно. Рецепт изготовления оказался предельно простым: с танка снималась башня, а на её место ставилась та самая мортира. Также предусматривались опоры, устанавливаемые во время приведения машины в боевое положение. В конце ноября 1942 года в качестве базы для самоходной мортиры вместо КВ-1 предполагалось использовать шасси </w:t>
      </w:r>
      <w:hyperlink r:id="rId127" w:history="1">
        <w:r w:rsidRPr="00722885">
          <w:rPr>
            <w:rStyle w:val="a5"/>
            <w:color w:val="000000" w:themeColor="text1"/>
            <w:sz w:val="16"/>
            <w:szCs w:val="16"/>
          </w:rPr>
          <w:t>КВ-1с</w:t>
        </w:r>
      </w:hyperlink>
      <w:r w:rsidRPr="00722885">
        <w:rPr>
          <w:color w:val="000000" w:themeColor="text1"/>
          <w:sz w:val="16"/>
          <w:szCs w:val="16"/>
        </w:rPr>
        <w:t>.</w:t>
      </w:r>
    </w:p>
    <w:p w14:paraId="61A479C3" w14:textId="77777777" w:rsidR="0051074C" w:rsidRPr="00722885" w:rsidRDefault="0051074C"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Мортира и опоры утяжеляли танк на 20 тонн, то есть в случае демонтажа башни, орудия и боекомплекта к нему масса САУ составила бы 55 тонн. Правда, на заводе №92 ошиблись и занизили массу САУ на 5 тонн, поскольку считали, что КВ-1с имеет боевую массу 37 тонн, а не 42, как на самом деле. 14 декабря 1942 года из Главного автобронетанкового управления Красной армии (ГАБТУ КА) на запрос директора завода №92 А.С. Еляна пришёл такой ответ:</w:t>
      </w:r>
    </w:p>
    <w:p w14:paraId="7DE01DB4" w14:textId="77777777" w:rsidR="0051074C" w:rsidRPr="00722885" w:rsidRDefault="0051074C"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«Опыт эксплуатации танков КВ показал, что при весе танка в 50 тонн ходовая часть и мотор работают с большой перегрузкой и часто выходят из строя. Это обстоятельство заставило создать более лёгкий танк КВ-1с весом 42,5 тонн.</w:t>
      </w:r>
    </w:p>
    <w:p w14:paraId="19E089DD" w14:textId="77777777" w:rsidR="0051074C" w:rsidRPr="00722885" w:rsidRDefault="0051074C"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Мощность мотора, его расположение и прочность элементов подвески и корпуса танка КВ-1с, по сравнению с танком КВ-1, изменилась незначительно.</w:t>
      </w:r>
    </w:p>
    <w:p w14:paraId="5615A658" w14:textId="77777777" w:rsidR="0051074C" w:rsidRPr="00722885" w:rsidRDefault="0051074C"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Выдержит ли подвеска танка нагрузку от выстрела, равную 100 тонн, сообщить мы не можем в виду отсутствия опыта по использованию установок с подобными нагрузками.</w:t>
      </w:r>
    </w:p>
    <w:p w14:paraId="179B6D9D" w14:textId="77777777" w:rsidR="0051074C" w:rsidRPr="00722885" w:rsidRDefault="0051074C" w:rsidP="00722885">
      <w:pPr>
        <w:pStyle w:val="ae"/>
        <w:shd w:val="clear" w:color="auto" w:fill="FFFFFF"/>
        <w:spacing w:before="0" w:after="0"/>
        <w:jc w:val="both"/>
        <w:rPr>
          <w:iCs/>
          <w:color w:val="000000" w:themeColor="text1"/>
          <w:sz w:val="16"/>
          <w:szCs w:val="16"/>
        </w:rPr>
      </w:pPr>
      <w:r w:rsidRPr="00722885">
        <w:rPr>
          <w:iCs/>
          <w:color w:val="000000" w:themeColor="text1"/>
          <w:sz w:val="16"/>
          <w:szCs w:val="16"/>
        </w:rPr>
        <w:t>Отсутствие характеристики конструкции устанавливаемой мортиры не даёт возможности сделать вывод о целесообразности установки её в танк» (18075).</w:t>
      </w:r>
    </w:p>
    <w:p w14:paraId="40C8EC3D" w14:textId="77777777" w:rsidR="0051074C" w:rsidRPr="00722885" w:rsidRDefault="0051074C" w:rsidP="00722885">
      <w:pPr>
        <w:pStyle w:val="ae"/>
        <w:shd w:val="clear" w:color="auto" w:fill="FFFFFF"/>
        <w:spacing w:before="0" w:after="0"/>
        <w:jc w:val="both"/>
        <w:rPr>
          <w:color w:val="000000" w:themeColor="text1"/>
          <w:sz w:val="16"/>
          <w:szCs w:val="16"/>
        </w:rPr>
      </w:pPr>
    </w:p>
    <w:p w14:paraId="771BAF9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автомобиль ГАЗ-64, на базе которого выпускался бронеавтомобиль БА-64, был модернизирован и ему была присвоена марка ГАЗ-67. На сто базе в феврале 1943 г. был изготовлен опытный образен бронеавтомобиля БА-64Б. Основные мероприятия при прове</w:t>
      </w:r>
      <w:r w:rsidRPr="00722885">
        <w:rPr>
          <w:rFonts w:ascii="Times New Roman" w:hAnsi="Times New Roman"/>
          <w:color w:val="000000" w:themeColor="text1"/>
          <w:sz w:val="16"/>
          <w:szCs w:val="16"/>
        </w:rPr>
        <w:softHyphen/>
        <w:t>дении модернизации были направлены на повышение подвижности ма</w:t>
      </w:r>
      <w:r w:rsidRPr="00722885">
        <w:rPr>
          <w:rFonts w:ascii="Times New Roman" w:hAnsi="Times New Roman"/>
          <w:color w:val="000000" w:themeColor="text1"/>
          <w:sz w:val="16"/>
          <w:szCs w:val="16"/>
        </w:rPr>
        <w:softHyphen/>
        <w:t>шины за счет увеличения колеи машины, применения двигателя мощ</w:t>
      </w:r>
      <w:r w:rsidRPr="00722885">
        <w:rPr>
          <w:rFonts w:ascii="Times New Roman" w:hAnsi="Times New Roman"/>
          <w:color w:val="000000" w:themeColor="text1"/>
          <w:sz w:val="16"/>
          <w:szCs w:val="16"/>
        </w:rPr>
        <w:softHyphen/>
        <w:t>ностью 54 л.с. и более эффективной системы охлаждения, а также двух дополнительных гидроамортизаторов в передних узлах подвески. Бла</w:t>
      </w:r>
      <w:r w:rsidRPr="00722885">
        <w:rPr>
          <w:rFonts w:ascii="Times New Roman" w:hAnsi="Times New Roman"/>
          <w:color w:val="000000" w:themeColor="text1"/>
          <w:sz w:val="16"/>
          <w:szCs w:val="16"/>
        </w:rPr>
        <w:softHyphen/>
        <w:t>годаря увеличенной колее, машина могла двигаться с максимальным уг</w:t>
      </w:r>
      <w:r w:rsidRPr="00722885">
        <w:rPr>
          <w:rFonts w:ascii="Times New Roman" w:hAnsi="Times New Roman"/>
          <w:color w:val="000000" w:themeColor="text1"/>
          <w:sz w:val="16"/>
          <w:szCs w:val="16"/>
        </w:rPr>
        <w:softHyphen/>
        <w:t>лом крена 25°. С сентября 1943 г. бронеавтомобиль БА-64Б был постав</w:t>
      </w:r>
      <w:r w:rsidRPr="00722885">
        <w:rPr>
          <w:rFonts w:ascii="Times New Roman" w:hAnsi="Times New Roman"/>
          <w:color w:val="000000" w:themeColor="text1"/>
          <w:sz w:val="16"/>
          <w:szCs w:val="16"/>
        </w:rPr>
        <w:softHyphen/>
        <w:t>лен на серийное производство вместо бронеавтомобиля БА-64 (10703).</w:t>
      </w:r>
    </w:p>
    <w:p w14:paraId="7C2BD5A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8B0182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и весной 1943 г. на Горьковском автозаводе велись проектные работы по установке на бронеавтомобиле БА-64 самозаряд</w:t>
      </w:r>
      <w:r w:rsidRPr="00722885">
        <w:rPr>
          <w:rFonts w:ascii="Times New Roman" w:hAnsi="Times New Roman"/>
          <w:color w:val="000000" w:themeColor="text1"/>
          <w:sz w:val="16"/>
          <w:szCs w:val="16"/>
        </w:rPr>
        <w:softHyphen/>
        <w:t>ного 14,5-мм противотанкового ружья Симонова ПТРС-41 и противо</w:t>
      </w:r>
      <w:r w:rsidRPr="00722885">
        <w:rPr>
          <w:rFonts w:ascii="Times New Roman" w:hAnsi="Times New Roman"/>
          <w:color w:val="000000" w:themeColor="text1"/>
          <w:sz w:val="16"/>
          <w:szCs w:val="16"/>
        </w:rPr>
        <w:softHyphen/>
        <w:t>откатного устройства (амортизатора), способного гасить сильную отда</w:t>
      </w:r>
      <w:r w:rsidRPr="00722885">
        <w:rPr>
          <w:rFonts w:ascii="Times New Roman" w:hAnsi="Times New Roman"/>
          <w:color w:val="000000" w:themeColor="text1"/>
          <w:sz w:val="16"/>
          <w:szCs w:val="16"/>
        </w:rPr>
        <w:softHyphen/>
        <w:t>чу оружия при стрельбе. Ввиду установки на бронеавтомобиль БА-64 крупнокалиберного пулемета ДШК, дальнейшие работы в этом направ</w:t>
      </w:r>
      <w:r w:rsidRPr="00722885">
        <w:rPr>
          <w:rFonts w:ascii="Times New Roman" w:hAnsi="Times New Roman"/>
          <w:color w:val="000000" w:themeColor="text1"/>
          <w:sz w:val="16"/>
          <w:szCs w:val="16"/>
        </w:rPr>
        <w:softHyphen/>
        <w:t>лении были прекращены. В войсках собственными силами на единич</w:t>
      </w:r>
      <w:r w:rsidRPr="00722885">
        <w:rPr>
          <w:rFonts w:ascii="Times New Roman" w:hAnsi="Times New Roman"/>
          <w:color w:val="000000" w:themeColor="text1"/>
          <w:sz w:val="16"/>
          <w:szCs w:val="16"/>
        </w:rPr>
        <w:softHyphen/>
        <w:t>ных образцах бронеавтомобилей были установлены 14,5-мм противо</w:t>
      </w:r>
      <w:r w:rsidRPr="00722885">
        <w:rPr>
          <w:rFonts w:ascii="Times New Roman" w:hAnsi="Times New Roman"/>
          <w:color w:val="000000" w:themeColor="text1"/>
          <w:sz w:val="16"/>
          <w:szCs w:val="16"/>
        </w:rPr>
        <w:softHyphen/>
        <w:t>танковые ружья ПТРД (10703).</w:t>
      </w:r>
    </w:p>
    <w:p w14:paraId="569B315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AC1822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осени 1942 г. в средней части крышки люка над моторным отделением БА-64 в целях продув</w:t>
      </w:r>
      <w:r w:rsidRPr="00722885">
        <w:rPr>
          <w:rFonts w:ascii="Times New Roman" w:hAnsi="Times New Roman"/>
          <w:color w:val="000000" w:themeColor="text1"/>
          <w:sz w:val="16"/>
          <w:szCs w:val="16"/>
        </w:rPr>
        <w:softHyphen/>
        <w:t>ки и дополнительного охлаждения отделения был сделан броневой ко</w:t>
      </w:r>
      <w:r w:rsidRPr="00722885">
        <w:rPr>
          <w:rFonts w:ascii="Times New Roman" w:hAnsi="Times New Roman"/>
          <w:color w:val="000000" w:themeColor="text1"/>
          <w:sz w:val="16"/>
          <w:szCs w:val="16"/>
        </w:rPr>
        <w:softHyphen/>
        <w:t>зырек регулируемого воздухопритока (10703).</w:t>
      </w:r>
    </w:p>
    <w:p w14:paraId="0CAB8D1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C510459" w14:textId="77777777" w:rsidR="008F2AD6" w:rsidRPr="00722885" w:rsidRDefault="008F2AD6"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конструкторы ГАЗа начали работы по совершенствованию конструкции БА-64. Естественно, основной работой стало проектирование машины с более широкой колеей. Уже в конце октября 1942 года опытный образец такого броневика, получившего заводской индекс ГАЗ-64-125Б, вышел на испытания. Несмотря на несколько возросшую массу – 2,425 т против 2,36 т у БА-64, – динамические качества новой машины не изменились, а благодаря более широкой колее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1446 мм</w:t>
        </w:r>
      </w:smartTag>
      <w:r w:rsidRPr="00722885">
        <w:rPr>
          <w:rFonts w:ascii="Times New Roman" w:hAnsi="Times New Roman"/>
          <w:color w:val="000000" w:themeColor="text1"/>
          <w:sz w:val="16"/>
          <w:szCs w:val="16"/>
        </w:rPr>
        <w:t xml:space="preserve">, у БА-64 – 1290 передние, 1245 задние) значительно возросла боковая устойчивость. Кроме того, были внесены изменения в конструкцию подвески: на передней оси установили 4 гидроамортизатора, в результате чего значительно улучшилась ее работа по сравнению с БА-64, а также упразднили торсионный стабилизатор боковой устойчивости. Кроме того, на новой машине несколько повысили мощность двигателя (до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54 л</w:t>
        </w:r>
      </w:smartTag>
      <w:r w:rsidRPr="00722885">
        <w:rPr>
          <w:rFonts w:ascii="Times New Roman" w:hAnsi="Times New Roman"/>
          <w:color w:val="000000" w:themeColor="text1"/>
          <w:sz w:val="16"/>
          <w:szCs w:val="16"/>
        </w:rPr>
        <w:t>.с.), улучшили охлаждение двигателя, а в передней части бортов прорезали два круглых лючка для улучшения обзорности водителя. Все новые элементы прошли испытания на нескольких опытных образцах осенью 1942 – зимой 1943 годов, а в конце февраля началась сборка первого серийного образца модернизированного бронеавтомобиля, получившего обозначение БА-64Б (15218).</w:t>
      </w:r>
    </w:p>
    <w:p w14:paraId="3B20A55F" w14:textId="77777777" w:rsidR="008F2AD6" w:rsidRPr="00722885" w:rsidRDefault="008F2AD6" w:rsidP="00722885">
      <w:pPr>
        <w:widowControl w:val="0"/>
        <w:spacing w:after="0" w:line="240" w:lineRule="auto"/>
        <w:jc w:val="both"/>
        <w:rPr>
          <w:rFonts w:ascii="Times New Roman" w:hAnsi="Times New Roman"/>
          <w:color w:val="000000" w:themeColor="text1"/>
          <w:sz w:val="16"/>
          <w:szCs w:val="16"/>
        </w:rPr>
      </w:pPr>
    </w:p>
    <w:p w14:paraId="6E74FB9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в КБ Горь-ковского автозавода под руководством В.А. Грачева был разработан Бронеавтомобиль БА-64Б. В качестве базового шасси был использован легковой двухосный полпоприводный автомо</w:t>
      </w:r>
      <w:r w:rsidRPr="00722885">
        <w:rPr>
          <w:rFonts w:ascii="Times New Roman" w:hAnsi="Times New Roman"/>
          <w:color w:val="000000" w:themeColor="text1"/>
          <w:sz w:val="16"/>
          <w:szCs w:val="16"/>
        </w:rPr>
        <w:softHyphen/>
        <w:t>биль ГАЗ-67. Ведущим инженером машины был ГМ. Вассерман. Опыт</w:t>
      </w:r>
      <w:r w:rsidRPr="00722885">
        <w:rPr>
          <w:rFonts w:ascii="Times New Roman" w:hAnsi="Times New Roman"/>
          <w:color w:val="000000" w:themeColor="text1"/>
          <w:sz w:val="16"/>
          <w:szCs w:val="16"/>
        </w:rPr>
        <w:softHyphen/>
        <w:t xml:space="preserve">ный образец бронеавтомобиля был изготовлен 2 </w:t>
      </w:r>
      <w:r w:rsidRPr="00722885">
        <w:rPr>
          <w:rFonts w:ascii="Times New Roman" w:hAnsi="Times New Roman"/>
          <w:color w:val="000000" w:themeColor="text1"/>
          <w:sz w:val="16"/>
          <w:szCs w:val="16"/>
        </w:rPr>
        <w:lastRenderedPageBreak/>
        <w:t>марта 1943 г. После ус</w:t>
      </w:r>
      <w:r w:rsidRPr="00722885">
        <w:rPr>
          <w:rFonts w:ascii="Times New Roman" w:hAnsi="Times New Roman"/>
          <w:color w:val="000000" w:themeColor="text1"/>
          <w:sz w:val="16"/>
          <w:szCs w:val="16"/>
        </w:rPr>
        <w:softHyphen/>
        <w:t>пешно проведенных заводских испытаний машина с 1 сентября 1943 г. бы</w:t>
      </w:r>
      <w:r w:rsidRPr="00722885">
        <w:rPr>
          <w:rFonts w:ascii="Times New Roman" w:hAnsi="Times New Roman"/>
          <w:color w:val="000000" w:themeColor="text1"/>
          <w:sz w:val="16"/>
          <w:szCs w:val="16"/>
        </w:rPr>
        <w:softHyphen/>
        <w:t>ла запущена в серийное производство на Горьковском автозаводе вместо бронеавтомобиля БА-64. Серийное производство машины продолжалось до 1946 г, а выпуск запасных частей для существующего парка машин - до 1953 г. Всего за годы Великой Отечественной войны было выпущено 4273 бронеавтомобиля БА-64Б, из них с радиостанцией - 2038 машин. Бронеавтомобиль БА-64Б был выполнен по той же компоновочной схеме, что и бронеавтомобиль БА-64 и отличался от него базовым шас</w:t>
      </w:r>
      <w:r w:rsidRPr="00722885">
        <w:rPr>
          <w:rFonts w:ascii="Times New Roman" w:hAnsi="Times New Roman"/>
          <w:color w:val="000000" w:themeColor="text1"/>
          <w:sz w:val="16"/>
          <w:szCs w:val="16"/>
        </w:rPr>
        <w:softHyphen/>
        <w:t>си (с расширенной до 1446 мм колеей, против 1290/1245 мм - у БА-64), усиленной броневой защитой, установкой более мощного двигателя (10703).</w:t>
      </w:r>
    </w:p>
    <w:p w14:paraId="18E48DA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E828C07" w14:textId="77777777" w:rsidR="00437338" w:rsidRPr="00722885" w:rsidRDefault="0043733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Осенью 1942 началось серийное производство полугусеничных вездеходов ЗИС-42. С конвейера автомобили уходили на Сталинградский фронт. Всего был изготовлен 5931 автомобиль. Работа над постановкой автомобиля на производство началась сразу после возвращения завода из эвакуации и была выполнена в кратчайшие сроки. Для некоторых сотрудников института это означало возвращение из командировки, которая длилась больше года (22518).</w:t>
      </w:r>
    </w:p>
    <w:p w14:paraId="4142A10A" w14:textId="77777777" w:rsidR="00437338" w:rsidRPr="00722885" w:rsidRDefault="00437338" w:rsidP="00722885">
      <w:pPr>
        <w:spacing w:after="0" w:line="240" w:lineRule="auto"/>
        <w:jc w:val="both"/>
        <w:rPr>
          <w:rFonts w:ascii="Times New Roman" w:hAnsi="Times New Roman"/>
          <w:color w:val="0070C0"/>
          <w:sz w:val="16"/>
          <w:szCs w:val="16"/>
        </w:rPr>
      </w:pPr>
    </w:p>
    <w:p w14:paraId="131BD3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началось проектирование эсминца проекта 40 водоизмещением 2700 т. В 1943 г. для него ОКБ-172 разработало модернизированный вариант 130-мм универсальной установки Б-2-У-ТЛ. Строительство эсминцев проекта 40 предполагалось начать в 1946 г., но уже в 1945 г. работы по ним и по Б-2-У-ТЛ были прекращены (12705).</w:t>
      </w:r>
    </w:p>
    <w:p w14:paraId="2D98606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B6DA2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6DB2338" w14:textId="77777777" w:rsidR="00090C9B" w:rsidRPr="00722885" w:rsidRDefault="00090C9B" w:rsidP="00722885">
      <w:pPr>
        <w:pStyle w:val="Iauiue"/>
        <w:jc w:val="both"/>
        <w:rPr>
          <w:iCs/>
          <w:color w:val="000000" w:themeColor="text1"/>
          <w:sz w:val="16"/>
          <w:szCs w:val="16"/>
        </w:rPr>
      </w:pPr>
    </w:p>
    <w:p w14:paraId="1FE2DF28" w14:textId="77777777" w:rsidR="00086AD6" w:rsidRPr="00722885" w:rsidRDefault="00086AD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 1942. Призыв в армию молодежи 1924 и 1925 годов рождения (18696).</w:t>
      </w:r>
    </w:p>
    <w:p w14:paraId="5D97C3C4" w14:textId="77777777" w:rsidR="00086AD6" w:rsidRPr="00722885" w:rsidRDefault="00086AD6" w:rsidP="00722885">
      <w:pPr>
        <w:spacing w:after="0" w:line="240" w:lineRule="auto"/>
        <w:jc w:val="both"/>
        <w:rPr>
          <w:rFonts w:ascii="Times New Roman" w:hAnsi="Times New Roman"/>
          <w:color w:val="000000" w:themeColor="text1"/>
          <w:sz w:val="16"/>
          <w:szCs w:val="16"/>
        </w:rPr>
      </w:pPr>
    </w:p>
    <w:p w14:paraId="223E25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Осенью 1942-го </w:t>
      </w:r>
      <w:r w:rsidR="00086AD6" w:rsidRPr="00722885">
        <w:rPr>
          <w:rFonts w:ascii="Times New Roman" w:hAnsi="Times New Roman"/>
          <w:color w:val="000000" w:themeColor="text1"/>
          <w:sz w:val="16"/>
          <w:szCs w:val="16"/>
        </w:rPr>
        <w:t>н</w:t>
      </w:r>
      <w:r w:rsidRPr="00722885">
        <w:rPr>
          <w:rFonts w:ascii="Times New Roman" w:hAnsi="Times New Roman"/>
          <w:color w:val="000000" w:themeColor="text1"/>
          <w:sz w:val="16"/>
          <w:szCs w:val="16"/>
        </w:rPr>
        <w:t>ачалась боевая работа 132-го бап на Ту-2 сначала на Калининском, а с февраля следующего года - на Юго-Западном фронте и продолжалась до середины апреля. За это время было потеряно свыше половины самолетов, как в ходе боевых вылетов, так и в летных происшествиях. Известно, что в боевых вылетах бомбардировщики не всегда сопровождались истребителями, и удары по неприятелю наносились преимущественно с горизонтального полета. Читая это, невольно задаешься вопросом: зачем советским ВВС нужен был пикирующий бомбардировщик, поскольку личный состав строевых частей так и не освоил этот вид бомбометания? Дополнительное же оборудование и увеличенный запас прочности машин лишь ухудшали их летно-тактические данные. В 1943 году 132-й бап вывели в тыл на перевооружение (12035).</w:t>
      </w:r>
    </w:p>
    <w:p w14:paraId="4541A1E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1ED0C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нехватка истребителей и привлече</w:t>
      </w:r>
      <w:r w:rsidRPr="00722885">
        <w:rPr>
          <w:color w:val="000000" w:themeColor="text1"/>
          <w:sz w:val="16"/>
          <w:szCs w:val="16"/>
        </w:rPr>
        <w:softHyphen/>
        <w:t>ние части зенитной артиллерии ПВО для борьбы с танками противника на ста</w:t>
      </w:r>
      <w:r w:rsidRPr="00722885">
        <w:rPr>
          <w:color w:val="000000" w:themeColor="text1"/>
          <w:sz w:val="16"/>
          <w:szCs w:val="16"/>
        </w:rPr>
        <w:softHyphen/>
        <w:t>линградском направлении вынудили командование 8-й и 16-й ВА использовать для перехвата немец</w:t>
      </w:r>
      <w:r w:rsidRPr="00722885">
        <w:rPr>
          <w:color w:val="000000" w:themeColor="text1"/>
          <w:sz w:val="16"/>
          <w:szCs w:val="16"/>
        </w:rPr>
        <w:softHyphen/>
        <w:t>ких бомбардировщиков штурмовики Ил-2, так как его хорошая маневренность, мощное пушечное и ракетное вооружение позволяли вполне успешно вести воздушный бой с немецкими бомбардировщиками типа Ju88, Ju87 и Не111. Опыт боевых действий Ил-2 против бомбардировщиков противника показал, что для ведения успешного наступательного воздушного боя с последними, наиболее удобной во всех отношениях яв</w:t>
      </w:r>
      <w:r w:rsidRPr="00722885">
        <w:rPr>
          <w:color w:val="000000" w:themeColor="text1"/>
          <w:sz w:val="16"/>
          <w:szCs w:val="16"/>
        </w:rPr>
        <w:softHyphen/>
        <w:t>ляется группа из 6-8</w:t>
      </w:r>
    </w:p>
    <w:p w14:paraId="7E089F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штурмовиков. При этом особое внимание уделялось вне</w:t>
      </w:r>
      <w:r w:rsidRPr="00722885">
        <w:rPr>
          <w:color w:val="000000" w:themeColor="text1"/>
          <w:sz w:val="16"/>
          <w:szCs w:val="16"/>
        </w:rPr>
        <w:softHyphen/>
        <w:t>запности первой атаки, которую штур</w:t>
      </w:r>
      <w:r w:rsidRPr="00722885">
        <w:rPr>
          <w:color w:val="000000" w:themeColor="text1"/>
          <w:sz w:val="16"/>
          <w:szCs w:val="16"/>
        </w:rPr>
        <w:softHyphen/>
        <w:t>мовики производили, как правило, сходу, врезаясь в боевые порядки бомбарди</w:t>
      </w:r>
      <w:r w:rsidRPr="00722885">
        <w:rPr>
          <w:color w:val="000000" w:themeColor="text1"/>
          <w:sz w:val="16"/>
          <w:szCs w:val="16"/>
        </w:rPr>
        <w:softHyphen/>
        <w:t>ровщиков, и, стремясь сосредоточенным огнем всей группы с коротких дистан</w:t>
      </w:r>
      <w:r w:rsidRPr="00722885">
        <w:rPr>
          <w:color w:val="000000" w:themeColor="text1"/>
          <w:sz w:val="16"/>
          <w:szCs w:val="16"/>
        </w:rPr>
        <w:softHyphen/>
        <w:t>ций уничтожить в первую очередь ведущих немецких групп. При этом с целью нарушения боевого порядка часто при</w:t>
      </w:r>
      <w:r w:rsidRPr="00722885">
        <w:rPr>
          <w:color w:val="000000" w:themeColor="text1"/>
          <w:sz w:val="16"/>
          <w:szCs w:val="16"/>
        </w:rPr>
        <w:softHyphen/>
        <w:t>менялось реактивное оружие. Пуск РСов (с дистанционным взрывателем) осуще</w:t>
      </w:r>
      <w:r w:rsidRPr="00722885">
        <w:rPr>
          <w:color w:val="000000" w:themeColor="text1"/>
          <w:sz w:val="16"/>
          <w:szCs w:val="16"/>
        </w:rPr>
        <w:softHyphen/>
        <w:t>ствлялся залпом по 2-4 снаряда с дистанции 400-500 м. После нарушения бо</w:t>
      </w:r>
      <w:r w:rsidRPr="00722885">
        <w:rPr>
          <w:color w:val="000000" w:themeColor="text1"/>
          <w:sz w:val="16"/>
          <w:szCs w:val="16"/>
        </w:rPr>
        <w:softHyphen/>
        <w:t>евого порядка бомбардировщиков Ил-2 продолжали вести воздушный бой уже с отдельными самолетами и мелкими группами самолетов противника. Пара штурмовиков брала одиночный самолет противника в "клещи", чередуя одиноч</w:t>
      </w:r>
      <w:r w:rsidRPr="00722885">
        <w:rPr>
          <w:color w:val="000000" w:themeColor="text1"/>
          <w:sz w:val="16"/>
          <w:szCs w:val="16"/>
        </w:rPr>
        <w:softHyphen/>
        <w:t>ные атаки справа и слева...(6467).</w:t>
      </w:r>
    </w:p>
    <w:p w14:paraId="2BC97C6E" w14:textId="77777777" w:rsidR="00090C9B" w:rsidRPr="00722885" w:rsidRDefault="00090C9B" w:rsidP="00722885">
      <w:pPr>
        <w:pStyle w:val="Iauiue"/>
        <w:jc w:val="both"/>
        <w:rPr>
          <w:color w:val="000000" w:themeColor="text1"/>
          <w:sz w:val="16"/>
          <w:szCs w:val="16"/>
        </w:rPr>
      </w:pPr>
    </w:p>
    <w:p w14:paraId="57762D48" w14:textId="77777777" w:rsidR="00437338" w:rsidRPr="00722885" w:rsidRDefault="0043733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осени 1942 г. ДБ-3 стали использо</w:t>
      </w:r>
      <w:r w:rsidRPr="00722885">
        <w:rPr>
          <w:rFonts w:ascii="Times New Roman" w:hAnsi="Times New Roman"/>
          <w:color w:val="0070C0"/>
          <w:sz w:val="16"/>
          <w:szCs w:val="16"/>
        </w:rPr>
        <w:softHyphen/>
        <w:t>вать как буксировщики транспортных планеров А-7 и Ц-11 из состава 1 -го и 2-го отдельных авиапланерных полков. В основном полеты выполняли для достав</w:t>
      </w:r>
      <w:r w:rsidRPr="00722885">
        <w:rPr>
          <w:rFonts w:ascii="Times New Roman" w:hAnsi="Times New Roman"/>
          <w:color w:val="0070C0"/>
          <w:sz w:val="16"/>
          <w:szCs w:val="16"/>
        </w:rPr>
        <w:softHyphen/>
        <w:t>ки партизанам необходимых грузов (19944).</w:t>
      </w:r>
    </w:p>
    <w:p w14:paraId="6BB40F80" w14:textId="77777777" w:rsidR="00437338" w:rsidRPr="00722885" w:rsidRDefault="00437338" w:rsidP="00722885">
      <w:pPr>
        <w:spacing w:after="0" w:line="240" w:lineRule="auto"/>
        <w:jc w:val="both"/>
        <w:rPr>
          <w:rFonts w:ascii="Times New Roman" w:hAnsi="Times New Roman"/>
          <w:color w:val="0070C0"/>
          <w:sz w:val="16"/>
          <w:szCs w:val="16"/>
          <w:shd w:val="clear" w:color="auto" w:fill="FFFFFF"/>
        </w:rPr>
      </w:pPr>
    </w:p>
    <w:p w14:paraId="6BB74A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осени 1942 г. в архивных документах появляются первые упоминания об участии авиационных представителей в планировании боевых действий наземных соединений (8270).</w:t>
      </w:r>
    </w:p>
    <w:p w14:paraId="71C02EB7" w14:textId="77777777" w:rsidR="00090C9B" w:rsidRPr="00722885" w:rsidRDefault="00090C9B" w:rsidP="00722885">
      <w:pPr>
        <w:pStyle w:val="Iauiue"/>
        <w:jc w:val="both"/>
        <w:rPr>
          <w:color w:val="000000" w:themeColor="text1"/>
          <w:sz w:val="16"/>
          <w:szCs w:val="16"/>
        </w:rPr>
      </w:pPr>
    </w:p>
    <w:p w14:paraId="74CD1D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1942 г. командование Красной Армии запланировало проведение ряда крупных наступательных операций, при разработке которых делалась попытка учесть уроки зимнего наступления под Москвой, когда артиллерия среднего, и особенно, - крупного калибра (столь необходимая для сокрушения вражеских укреплений и противодействия танкам) постоянно отставала от наступающих танковых (и пехотных) подразделений (6205, 14).</w:t>
      </w:r>
    </w:p>
    <w:p w14:paraId="7BE96EA1" w14:textId="77777777" w:rsidR="00090C9B" w:rsidRPr="00722885" w:rsidRDefault="00090C9B" w:rsidP="00722885">
      <w:pPr>
        <w:pStyle w:val="Iauiue"/>
        <w:jc w:val="both"/>
        <w:rPr>
          <w:color w:val="000000" w:themeColor="text1"/>
          <w:sz w:val="16"/>
          <w:szCs w:val="16"/>
        </w:rPr>
      </w:pPr>
    </w:p>
    <w:p w14:paraId="454613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летчики 5-го гвардейского иап в письме самолетостроителям завода № 21 сообщали:</w:t>
      </w:r>
    </w:p>
    <w:p w14:paraId="2C575C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 гвардейский истребительный авиаполк дерется с фашистскими стервятниками на самолетах типа Ла-5, выпущенных вашим заводом. Летчики- гвардейцы довольны вашими самолетами и горячо благодарят за самоотверженный труд. В воздушных боях с фашистскими самолетами Ла-5 показал себя исключительно с хорошей стороны. Машина проста в пилотировании, устойчива и вынослива. Пресловутые "Мессершмитты" всех модификаций в открытый бой с нами не вступают. Можем доложить вам, что на ваших самолетах гвардейцы-летчики нашего полка только за месяц сбили 47 фашистских самолетов, не потеряв своего ни одного" (12032).</w:t>
      </w:r>
    </w:p>
    <w:p w14:paraId="2E7B0FF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22055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Начиная с осени 1942 г., стали все больше практиковаться посадки на партизанские "аэродромы". Это потребовало от летчиков высочайшего мастерства, ведь люди, готовившие эти площадки, чаще всего имели весьма отдаленные представления о том, какими должна быть полоса для приема тяжелого по тем временам воздушного корабля и подходы к ней. Необходимо отметить, что благодаря посадочному способу партизанам удалось доставить даже тяжелое вооружение. Известно, что за годы войны партизанам по воздуху было переправлено около 17000 т боеприпасов, медикаментов, вооружений и т. п. Львиную долю этих грузов доставили именно Ли-2АДД и ГВФ. Рейсы в тыл противника требовали ювелирной штурманской работы, иначе найти ночью на лесистой местности крохотную площадку, обозначенную всего несколькими кострами, было просто невозможно. В течение первого года абсолютное большинство "посылок с Большой земли" сбрасывалось на парашютах. Но в этом случае часть из них неизбежно утрачивалась, а на земле оставались не эвакуированные раненые, больные, дети (3772).</w:t>
      </w:r>
    </w:p>
    <w:p w14:paraId="6D71FAB1" w14:textId="77777777" w:rsidR="00090C9B" w:rsidRPr="00722885" w:rsidRDefault="00090C9B" w:rsidP="00722885">
      <w:pPr>
        <w:pStyle w:val="Iauiue"/>
        <w:jc w:val="both"/>
        <w:rPr>
          <w:color w:val="000000" w:themeColor="text1"/>
          <w:sz w:val="16"/>
          <w:szCs w:val="16"/>
        </w:rPr>
      </w:pPr>
    </w:p>
    <w:p w14:paraId="48AB3EBA" w14:textId="77777777" w:rsidR="00090C9B" w:rsidRPr="00722885" w:rsidRDefault="00090C9B"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Осенью 1942 года во время боев на Северном Кавказе особенно активно использовались бронепоезда ОБ-3. Здесь бронепоездам приходилось часто принимать на себя танковые удары противника, порой ценой собственной гибели сдерживая натиск врага (9642).</w:t>
      </w:r>
    </w:p>
    <w:p w14:paraId="6C924B19" w14:textId="77777777" w:rsidR="00090C9B" w:rsidRPr="00722885" w:rsidRDefault="00090C9B" w:rsidP="00722885">
      <w:pPr>
        <w:pStyle w:val="a8"/>
        <w:widowControl/>
        <w:jc w:val="both"/>
        <w:rPr>
          <w:rFonts w:ascii="Times New Roman" w:hAnsi="Times New Roman" w:cs="Times New Roman"/>
          <w:color w:val="000000" w:themeColor="text1"/>
        </w:rPr>
      </w:pPr>
    </w:p>
    <w:p w14:paraId="4357DCA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CB86269" w14:textId="77777777" w:rsidR="00090C9B" w:rsidRPr="00722885" w:rsidRDefault="00090C9B" w:rsidP="00722885">
      <w:pPr>
        <w:pStyle w:val="Iauiue"/>
        <w:jc w:val="both"/>
        <w:rPr>
          <w:iCs/>
          <w:color w:val="000000" w:themeColor="text1"/>
          <w:sz w:val="16"/>
          <w:szCs w:val="16"/>
        </w:rPr>
      </w:pPr>
    </w:p>
    <w:p w14:paraId="68A420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Москвич В.Семенов описывал, как “мешочники” выезжали за пределы Москвы и обменивали на детские соски по 3 кг пшеницы за штуку. На рынках у Павелецкого вокзала, Тетеринском, по свидетельству В. Семенова, можно было купить или обменять практически все необходимые в быту товары. По мнению Ю.Хесслера, “ колхозный рынок ” сохранил только вывеску, на самом деле он стал местом, где любой мог продавать свой “ товар ” . Сведения о социальном облике продавцов на одном из московских рынков за ноябрь 1944 г., собранные американским посольством, свидетельствуют о том, что среди продавцов печеного хлеба было 37 рабочих, 9 служащих, 39 домохозяек, 11 инвалидов, 5 крестьян. Если взять процентные соотношения продавцов по всем товарам, то рабочих будет 26,9%, крестьян - 10,2%. Но официальная партийная идеология, - заключает Ю.Хесслер, неохотно мирилась с наличием народной рыночной инициативы, а советские люди воспринимали рынок как отрицание официальной экономики и официального мира. Попытки установления жесткого административного контроля за колхозным рынком давали отрицательный эффект. Желание ретивых администраторов ограничить в Куйбышеве цены на мясо в конце октября 1941 г. уровнем в 18-23 руб. вместо сложившегося уровня в 45 рублей привело к уменьшению числа торговцев на рынке. Они торговали мясом, молоком, яйцами, картофелем рядом с домом. На протяжении всей войны власти, по сути, не тронули свободной торговли. Не было установлено государственной монополии на товары, включая зерно. Даже в 1943г., когда временно были урезаны нормы выдачи по карточкам, в СССР не было “черного рынка” продуктов питания. Его роли выполнял колхозный рынок, где открыто продавались продукты. Регулирование снабжения продовольствием и товарами повседнего спроса позволило избежать потрясений. Власти стремились в основном ограничить спекуляцию. Прежде всего была усилена уголовная ответственность. Статьи о спекуляции в уголовных кодексах союзных республик 1922 – 1928 гг. (в УК РСФСР 1926 г. – статья 107) карали не вообще за скупку и перепродажу товаров, которая была разрешенной формой деятельности частных торговцев, а лишь за такую, которая сопровождалась злостным повышением цен, сокрытием или невыпуском товаров на рынок. Закон “О борьбе со спекуляцией”, изданный 22 августа 1932 г., включенный затем в уголовные кодексы, признавал спекуляцией скупку и перепродажу частными лицами в целях наживы продуктов сельского хозяйства, предметов массового потребления.</w:t>
      </w:r>
    </w:p>
    <w:p w14:paraId="7B6D63C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54E8D31" w14:textId="414F9A45" w:rsidR="00F16C61" w:rsidRPr="00722885" w:rsidRDefault="00F16C61" w:rsidP="00722885">
      <w:pPr>
        <w:pStyle w:val="Iauiue"/>
        <w:jc w:val="both"/>
        <w:rPr>
          <w:i/>
          <w:iCs/>
          <w:color w:val="000000" w:themeColor="text1"/>
          <w:sz w:val="16"/>
          <w:szCs w:val="16"/>
        </w:rPr>
      </w:pPr>
      <w:r w:rsidRPr="00722885">
        <w:rPr>
          <w:i/>
          <w:iCs/>
          <w:color w:val="000000" w:themeColor="text1"/>
          <w:sz w:val="16"/>
          <w:szCs w:val="16"/>
        </w:rPr>
        <w:t>За рубежом:</w:t>
      </w:r>
    </w:p>
    <w:p w14:paraId="0DA93A31" w14:textId="77777777" w:rsidR="00F16C61" w:rsidRPr="00722885" w:rsidRDefault="00F16C61" w:rsidP="00722885">
      <w:pPr>
        <w:pStyle w:val="Iauiue"/>
        <w:jc w:val="both"/>
        <w:rPr>
          <w:i/>
          <w:iCs/>
          <w:color w:val="000000" w:themeColor="text1"/>
          <w:sz w:val="16"/>
          <w:szCs w:val="16"/>
        </w:rPr>
      </w:pPr>
    </w:p>
    <w:p w14:paraId="25DE2C59" w14:textId="77777777" w:rsidR="00F16C61" w:rsidRPr="00722885" w:rsidRDefault="00F16C6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Осенью 1942 г. в США первые PB4Y-1 поступили на Флот, но освоение их шло медленно — летный состав набирали из летчиков, не имевших опыта полета на тяжелых машинах, а «Либерейтор» был отнюдь не простым в управлении. Морской «Либерейтор» был обозначен PB4Y-1 — патрульный бомбардировщик, 4-й тип фирмы «Консолидейтед» (за ней была закреплена литера Y), 1-я модификация, отличаясь от B-24D лишь дополнительным радиооборудованием, а также подвеской глубинных и ориентирно-сигнальных бомб и облегченным оборонительным вооружением. На многих самолетах на месте нижней огневой установки ставили РЛС.</w:t>
      </w:r>
    </w:p>
    <w:p w14:paraId="57581FA8" w14:textId="77777777" w:rsidR="00F16C61" w:rsidRPr="00722885" w:rsidRDefault="00F16C6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Флот получил 869 бомбардировщиков PB4Y-1 в базовом варианте и 102 разведчика-бомбардировщика PB4Y-1P. Еще два PB4Y-1J и L были обычными B-24J и L, они пошли в бомбардировочную эскадрилью VPB-105. Два PB4Y-1Z были самолетами радиоразведки и постановки помех, один PB4Y-1Q служил носителем беспилотных мишеней в ПВО. Наконец, последний PB4Y-1F стал штабным самолетом с VIP-салоном. Всего построили 977 самолетов PB4Y-1 (23002).</w:t>
      </w:r>
    </w:p>
    <w:p w14:paraId="6AC35B40" w14:textId="77777777" w:rsidR="00F16C61" w:rsidRPr="00722885" w:rsidRDefault="00F16C61" w:rsidP="00722885">
      <w:pPr>
        <w:spacing w:after="0" w:line="240" w:lineRule="auto"/>
        <w:jc w:val="both"/>
        <w:rPr>
          <w:rFonts w:ascii="Times New Roman" w:hAnsi="Times New Roman"/>
          <w:color w:val="0070C0"/>
          <w:sz w:val="16"/>
          <w:szCs w:val="16"/>
        </w:rPr>
      </w:pPr>
    </w:p>
    <w:p w14:paraId="2E992B06" w14:textId="718B7234"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5145055" w14:textId="77777777" w:rsidR="00090C9B" w:rsidRPr="00722885" w:rsidRDefault="00090C9B" w:rsidP="00722885">
      <w:pPr>
        <w:pStyle w:val="Iauiue"/>
        <w:jc w:val="both"/>
        <w:rPr>
          <w:iCs/>
          <w:color w:val="000000" w:themeColor="text1"/>
          <w:sz w:val="16"/>
          <w:szCs w:val="16"/>
        </w:rPr>
      </w:pPr>
    </w:p>
    <w:p w14:paraId="375AAD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 летом 1943:</w:t>
      </w:r>
    </w:p>
    <w:p w14:paraId="2CCBC6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Среднемесячная зарплата (руб.) сотрудников авиапромышленности осенью 1942 — летом 1943 г.</w:t>
      </w:r>
      <w:r w:rsidRPr="00722885">
        <w:rPr>
          <w:rFonts w:ascii="Times New Roman" w:hAnsi="Times New Roman"/>
          <w:color w:val="000000" w:themeColor="text1"/>
          <w:sz w:val="16"/>
          <w:szCs w:val="16"/>
          <w:vertAlign w:val="superscript"/>
        </w:rPr>
        <w:t>2</w:t>
      </w:r>
    </w:p>
    <w:tbl>
      <w:tblPr>
        <w:tblW w:w="0" w:type="auto"/>
        <w:tblInd w:w="8" w:type="dxa"/>
        <w:tblLayout w:type="fixed"/>
        <w:tblCellMar>
          <w:left w:w="0" w:type="dxa"/>
          <w:right w:w="0" w:type="dxa"/>
        </w:tblCellMar>
        <w:tblLook w:val="0000" w:firstRow="0" w:lastRow="0" w:firstColumn="0" w:lastColumn="0" w:noHBand="0" w:noVBand="0"/>
      </w:tblPr>
      <w:tblGrid>
        <w:gridCol w:w="1493"/>
        <w:gridCol w:w="1478"/>
        <w:gridCol w:w="1478"/>
        <w:gridCol w:w="1493"/>
      </w:tblGrid>
      <w:tr w:rsidR="009B487A" w:rsidRPr="00722885" w14:paraId="256E2D47" w14:textId="77777777" w:rsidTr="00CC5360">
        <w:trPr>
          <w:trHeight w:val="235"/>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208096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Категория персонала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02C00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Ноябрь 1942 г.</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31A5E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Март 1943 г.</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15BA41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Впль 1943 г.</w:t>
            </w:r>
          </w:p>
        </w:tc>
      </w:tr>
      <w:tr w:rsidR="009B487A" w:rsidRPr="00722885" w14:paraId="0E642F20" w14:textId="77777777" w:rsidTr="00CC5360">
        <w:trPr>
          <w:trHeight w:val="221"/>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0ECBB5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рабочих</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7F98F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613</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7C1404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2701E2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614</w:t>
            </w:r>
          </w:p>
        </w:tc>
      </w:tr>
      <w:tr w:rsidR="009B487A" w:rsidRPr="00722885" w14:paraId="0255AEB3" w14:textId="77777777" w:rsidTr="00CC5360">
        <w:trPr>
          <w:trHeight w:val="226"/>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347096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ИТР</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E4B59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1199</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BB4DC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1144</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488E2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1141</w:t>
            </w:r>
          </w:p>
        </w:tc>
      </w:tr>
      <w:tr w:rsidR="009B487A" w:rsidRPr="00722885" w14:paraId="468C37DB" w14:textId="77777777" w:rsidTr="00CC5360">
        <w:trPr>
          <w:trHeight w:val="221"/>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2C1BBA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служащих</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ED0B5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534</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67DF210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542</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760205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535</w:t>
            </w:r>
          </w:p>
        </w:tc>
      </w:tr>
      <w:tr w:rsidR="009B487A" w:rsidRPr="00722885" w14:paraId="425A92B2" w14:textId="77777777" w:rsidTr="00CC5360">
        <w:trPr>
          <w:trHeight w:val="221"/>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0C4797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МОП</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17D03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249</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3ED1F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257</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5AD542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257</w:t>
            </w:r>
          </w:p>
        </w:tc>
      </w:tr>
      <w:tr w:rsidR="009B487A" w:rsidRPr="00722885" w14:paraId="4DA2337F" w14:textId="77777777" w:rsidTr="00CC5360">
        <w:trPr>
          <w:trHeight w:val="221"/>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27BA98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учеников</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C7A08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216</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0AC81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64EF5B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211</w:t>
            </w:r>
          </w:p>
        </w:tc>
      </w:tr>
      <w:tr w:rsidR="009B487A" w:rsidRPr="00722885" w14:paraId="262FD27B" w14:textId="77777777" w:rsidTr="00CC5360">
        <w:trPr>
          <w:trHeight w:val="619"/>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629E6F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Вневедомственная вооружённа* и пожарши охрана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732545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w:t>
            </w:r>
            <w:r w:rsidRPr="00722885">
              <w:rPr>
                <w:rFonts w:ascii="Times New Roman" w:hAnsi="Times New Roman"/>
                <w:smallCaps/>
                <w:color w:val="000000" w:themeColor="text1"/>
                <w:sz w:val="16"/>
                <w:szCs w:val="16"/>
              </w:rPr>
              <w:t>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77E31D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359</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5EF989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350</w:t>
            </w:r>
          </w:p>
        </w:tc>
      </w:tr>
    </w:tbl>
    <w:p w14:paraId="13AA80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Основная масса выплат из фонда заработной платы рабо</w:t>
      </w:r>
      <w:r w:rsidRPr="00722885">
        <w:rPr>
          <w:rFonts w:ascii="Times New Roman" w:hAnsi="Times New Roman"/>
          <w:color w:val="000000" w:themeColor="text1"/>
          <w:sz w:val="16"/>
          <w:szCs w:val="16"/>
        </w:rPr>
        <w:softHyphen/>
        <w:t>чим осенью 1942 г. (Приводятся данные за октябрь 1942 г.) приходилась на сдельную оплату по та</w:t>
      </w:r>
      <w:r w:rsidRPr="00722885">
        <w:rPr>
          <w:rFonts w:ascii="Times New Roman" w:hAnsi="Times New Roman"/>
          <w:color w:val="000000" w:themeColor="text1"/>
          <w:sz w:val="16"/>
          <w:szCs w:val="16"/>
        </w:rPr>
        <w:softHyphen/>
        <w:t>рифу (47 % всех выплат) и повременную оплату по тарифу (20,8 %), основным стимулирующим вариантом доплат были сдельные приработки, которые без доплат по прогрессивной шкале сдельщины давали 13,6 % фонда заработной платы, а с доплатами —15,2 %. В этом плане премии повременщикам (2,4 %) выглядели маловажными, уступая даже доплатам за сверхурочные работы (6,2 %)*. Для ИТР и служащих основ</w:t>
      </w:r>
      <w:r w:rsidRPr="00722885">
        <w:rPr>
          <w:rFonts w:ascii="Times New Roman" w:hAnsi="Times New Roman"/>
          <w:color w:val="000000" w:themeColor="text1"/>
          <w:sz w:val="16"/>
          <w:szCs w:val="16"/>
        </w:rPr>
        <w:softHyphen/>
        <w:t>ная масса выплат приходилась именно на основные оклады (соответственно — 73,9 и 82,2% фонда зарплаты), причём, если ИТР ещё 16,2 % фонда зарплаты получали в форме пре</w:t>
      </w:r>
      <w:r w:rsidRPr="00722885">
        <w:rPr>
          <w:rFonts w:ascii="Times New Roman" w:hAnsi="Times New Roman"/>
          <w:color w:val="000000" w:themeColor="text1"/>
          <w:sz w:val="16"/>
          <w:szCs w:val="16"/>
        </w:rPr>
        <w:softHyphen/>
        <w:t>мий, то служащие на это рассчитывать практически не мог</w:t>
      </w:r>
      <w:r w:rsidRPr="00722885">
        <w:rPr>
          <w:rFonts w:ascii="Times New Roman" w:hAnsi="Times New Roman"/>
          <w:color w:val="000000" w:themeColor="text1"/>
          <w:sz w:val="16"/>
          <w:szCs w:val="16"/>
        </w:rPr>
        <w:softHyphen/>
        <w:t xml:space="preserve">ли, для них премиальные составляли лишь 5,2 % выплат. Эти пропорции в общих чертах сохранялись весь период осень 1942 — лето 1943 г. (РГАЭ. Ф. 8044. </w:t>
      </w:r>
      <w:r w:rsidRPr="00722885">
        <w:rPr>
          <w:rFonts w:ascii="Times New Roman" w:hAnsi="Times New Roman"/>
          <w:color w:val="000000" w:themeColor="text1"/>
          <w:sz w:val="16"/>
          <w:szCs w:val="16"/>
          <w:lang w:val="en-US"/>
        </w:rPr>
        <w:t>On</w:t>
      </w:r>
      <w:r w:rsidRPr="00722885">
        <w:rPr>
          <w:rFonts w:ascii="Times New Roman" w:hAnsi="Times New Roman"/>
          <w:color w:val="000000" w:themeColor="text1"/>
          <w:sz w:val="16"/>
          <w:szCs w:val="16"/>
        </w:rPr>
        <w:t>. 1. Д. 2879. Л. 123—124)</w:t>
      </w:r>
    </w:p>
    <w:p w14:paraId="0F03B0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Рост выработки и средней зарплаты (руб.) (РГАЭ. Ф. 8044. </w:t>
      </w:r>
      <w:r w:rsidRPr="00722885">
        <w:rPr>
          <w:rFonts w:ascii="Times New Roman" w:hAnsi="Times New Roman"/>
          <w:color w:val="000000" w:themeColor="text1"/>
          <w:sz w:val="16"/>
          <w:szCs w:val="16"/>
          <w:lang w:val="en-US"/>
        </w:rPr>
        <w:t>On</w:t>
      </w:r>
      <w:r w:rsidRPr="00722885">
        <w:rPr>
          <w:rFonts w:ascii="Times New Roman" w:hAnsi="Times New Roman"/>
          <w:color w:val="000000" w:themeColor="text1"/>
          <w:sz w:val="16"/>
          <w:szCs w:val="16"/>
        </w:rPr>
        <w:t>. 1. Д. 2878. Л. 53)</w:t>
      </w:r>
    </w:p>
    <w:tbl>
      <w:tblPr>
        <w:tblW w:w="0" w:type="auto"/>
        <w:tblInd w:w="8" w:type="dxa"/>
        <w:tblLayout w:type="fixed"/>
        <w:tblCellMar>
          <w:left w:w="0" w:type="dxa"/>
          <w:right w:w="0" w:type="dxa"/>
        </w:tblCellMar>
        <w:tblLook w:val="0000" w:firstRow="0" w:lastRow="0" w:firstColumn="0" w:lastColumn="0" w:noHBand="0" w:noVBand="0"/>
      </w:tblPr>
      <w:tblGrid>
        <w:gridCol w:w="2510"/>
        <w:gridCol w:w="859"/>
        <w:gridCol w:w="854"/>
        <w:gridCol w:w="850"/>
        <w:gridCol w:w="874"/>
      </w:tblGrid>
      <w:tr w:rsidR="009B487A" w:rsidRPr="00722885" w14:paraId="7D250E3C" w14:textId="77777777" w:rsidTr="00CC5360">
        <w:trPr>
          <w:trHeight w:val="235"/>
        </w:trPr>
        <w:tc>
          <w:tcPr>
            <w:tcW w:w="2510" w:type="dxa"/>
            <w:tcBorders>
              <w:top w:val="single" w:sz="6" w:space="0" w:color="auto"/>
              <w:left w:val="single" w:sz="6" w:space="0" w:color="auto"/>
              <w:bottom w:val="single" w:sz="6" w:space="0" w:color="auto"/>
              <w:right w:val="single" w:sz="6" w:space="0" w:color="auto"/>
            </w:tcBorders>
            <w:shd w:val="clear" w:color="auto" w:fill="FFFFFF"/>
          </w:tcPr>
          <w:p w14:paraId="1B852EE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5F6406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B5BBA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915FA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4B4A51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w:t>
            </w:r>
          </w:p>
        </w:tc>
      </w:tr>
      <w:tr w:rsidR="009B487A" w:rsidRPr="00722885" w14:paraId="1BBE07F3" w14:textId="77777777" w:rsidTr="00CC5360">
        <w:trPr>
          <w:trHeight w:val="221"/>
        </w:trPr>
        <w:tc>
          <w:tcPr>
            <w:tcW w:w="2510" w:type="dxa"/>
            <w:tcBorders>
              <w:top w:val="single" w:sz="6" w:space="0" w:color="auto"/>
              <w:left w:val="single" w:sz="6" w:space="0" w:color="auto"/>
              <w:bottom w:val="single" w:sz="6" w:space="0" w:color="auto"/>
              <w:right w:val="single" w:sz="6" w:space="0" w:color="auto"/>
            </w:tcBorders>
            <w:shd w:val="clear" w:color="auto" w:fill="FFFFFF"/>
          </w:tcPr>
          <w:p w14:paraId="11A00E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Выработка на 1 рабочего</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444EBF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23377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C2027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24105 (3)*</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188653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31331 (30)</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74487B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36323(16)</w:t>
            </w:r>
          </w:p>
        </w:tc>
      </w:tr>
      <w:tr w:rsidR="009B487A" w:rsidRPr="00722885" w14:paraId="7C01F6D6" w14:textId="77777777" w:rsidTr="00CC5360">
        <w:trPr>
          <w:trHeight w:val="226"/>
        </w:trPr>
        <w:tc>
          <w:tcPr>
            <w:tcW w:w="2510" w:type="dxa"/>
            <w:tcBorders>
              <w:top w:val="single" w:sz="6" w:space="0" w:color="auto"/>
              <w:left w:val="single" w:sz="6" w:space="0" w:color="auto"/>
              <w:bottom w:val="single" w:sz="6" w:space="0" w:color="auto"/>
              <w:right w:val="single" w:sz="6" w:space="0" w:color="auto"/>
            </w:tcBorders>
            <w:shd w:val="clear" w:color="auto" w:fill="FFFFFF"/>
          </w:tcPr>
          <w:p w14:paraId="6443B6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Среднемесячная зарплата рабочего</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14B32E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473</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390BFD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508(7,4)</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1C11B3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593(16,7)</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6E2E29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618(4)</w:t>
            </w:r>
          </w:p>
        </w:tc>
      </w:tr>
      <w:tr w:rsidR="009B487A" w:rsidRPr="00722885" w14:paraId="6AF254BC" w14:textId="77777777" w:rsidTr="00CC5360">
        <w:trPr>
          <w:trHeight w:val="235"/>
        </w:trPr>
        <w:tc>
          <w:tcPr>
            <w:tcW w:w="2510" w:type="dxa"/>
            <w:tcBorders>
              <w:top w:val="single" w:sz="6" w:space="0" w:color="auto"/>
              <w:left w:val="single" w:sz="6" w:space="0" w:color="auto"/>
              <w:bottom w:val="single" w:sz="6" w:space="0" w:color="auto"/>
              <w:right w:val="single" w:sz="6" w:space="0" w:color="auto"/>
            </w:tcBorders>
            <w:shd w:val="clear" w:color="auto" w:fill="FFFFFF"/>
          </w:tcPr>
          <w:p w14:paraId="72676F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Среднемесячная зарплата ИТР</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051BEA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892</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AF505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977(9,5)</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4D302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1123(15)</w:t>
            </w:r>
          </w:p>
        </w:tc>
        <w:tc>
          <w:tcPr>
            <w:tcW w:w="874" w:type="dxa"/>
            <w:tcBorders>
              <w:top w:val="single" w:sz="6" w:space="0" w:color="auto"/>
              <w:left w:val="single" w:sz="6" w:space="0" w:color="auto"/>
              <w:bottom w:val="single" w:sz="6" w:space="0" w:color="auto"/>
              <w:right w:val="single" w:sz="6" w:space="0" w:color="auto"/>
            </w:tcBorders>
            <w:shd w:val="clear" w:color="auto" w:fill="FFFFFF"/>
          </w:tcPr>
          <w:p w14:paraId="6E19B2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1185(5,5)</w:t>
            </w:r>
          </w:p>
        </w:tc>
      </w:tr>
    </w:tbl>
    <w:p w14:paraId="6DA9AF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Для наглядности в скобках привадится рост (в %) по отношению к предыдуще</w:t>
      </w:r>
      <w:r w:rsidRPr="00722885">
        <w:rPr>
          <w:rFonts w:ascii="Times New Roman" w:hAnsi="Times New Roman"/>
          <w:color w:val="000000" w:themeColor="text1"/>
          <w:sz w:val="16"/>
          <w:szCs w:val="16"/>
        </w:rPr>
        <w:softHyphen/>
        <w:t>му году.</w:t>
      </w:r>
    </w:p>
    <w:p w14:paraId="21B6F2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основной рост и выработки, и зарплат пришёлся на 1942 г. Причём если в 1941 г. темпы прироста выработки существенно отставали от аналогичного показате</w:t>
      </w:r>
      <w:r w:rsidRPr="00722885">
        <w:rPr>
          <w:rFonts w:ascii="Times New Roman" w:hAnsi="Times New Roman"/>
          <w:color w:val="000000" w:themeColor="text1"/>
          <w:sz w:val="16"/>
          <w:szCs w:val="16"/>
        </w:rPr>
        <w:softHyphen/>
        <w:t>ля зарплат, то с 1942 г. тенденция кардинально меняется.</w:t>
      </w:r>
    </w:p>
    <w:p w14:paraId="027AE3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Движение персонала (среднесписочные данные, чел.) (РГАЭ. Ф. 8044. </w:t>
      </w:r>
      <w:r w:rsidRPr="00722885">
        <w:rPr>
          <w:rFonts w:ascii="Times New Roman" w:hAnsi="Times New Roman"/>
          <w:color w:val="000000" w:themeColor="text1"/>
          <w:sz w:val="16"/>
          <w:szCs w:val="16"/>
          <w:lang w:val="en-US"/>
        </w:rPr>
        <w:t xml:space="preserve">On. </w:t>
      </w:r>
      <w:r w:rsidRPr="00722885">
        <w:rPr>
          <w:rFonts w:ascii="Times New Roman" w:hAnsi="Times New Roman"/>
          <w:color w:val="000000" w:themeColor="text1"/>
          <w:sz w:val="16"/>
          <w:szCs w:val="16"/>
        </w:rPr>
        <w:t>1. Д. 2878. Л. 54)</w:t>
      </w:r>
    </w:p>
    <w:tbl>
      <w:tblPr>
        <w:tblW w:w="0" w:type="auto"/>
        <w:tblInd w:w="8" w:type="dxa"/>
        <w:tblLayout w:type="fixed"/>
        <w:tblCellMar>
          <w:left w:w="0" w:type="dxa"/>
          <w:right w:w="0" w:type="dxa"/>
        </w:tblCellMar>
        <w:tblLook w:val="0000" w:firstRow="0" w:lastRow="0" w:firstColumn="0" w:lastColumn="0" w:noHBand="0" w:noVBand="0"/>
      </w:tblPr>
      <w:tblGrid>
        <w:gridCol w:w="3178"/>
        <w:gridCol w:w="571"/>
        <w:gridCol w:w="566"/>
        <w:gridCol w:w="571"/>
        <w:gridCol w:w="1066"/>
      </w:tblGrid>
      <w:tr w:rsidR="009B487A" w:rsidRPr="00722885" w14:paraId="240EC33B" w14:textId="77777777" w:rsidTr="00CC5360">
        <w:trPr>
          <w:trHeight w:val="235"/>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3F65F49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5662B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B9B6B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47AD4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74458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w:t>
            </w:r>
          </w:p>
        </w:tc>
      </w:tr>
      <w:tr w:rsidR="009B487A" w:rsidRPr="00722885" w14:paraId="7AEA2FBD" w14:textId="77777777" w:rsidTr="00CC5360">
        <w:trPr>
          <w:trHeight w:val="413"/>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656468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Промперсонал. В том числе: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8042E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466432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36D04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554073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84F1E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610259</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E5556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644528 (138,2)*</w:t>
            </w:r>
          </w:p>
        </w:tc>
      </w:tr>
      <w:tr w:rsidR="009B487A" w:rsidRPr="00722885" w14:paraId="6BA84677" w14:textId="77777777" w:rsidTr="00CC5360">
        <w:trPr>
          <w:trHeight w:val="221"/>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053655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06D9D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294684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84B72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360225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17F03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394393</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0BDC7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424733(144,1)</w:t>
            </w:r>
          </w:p>
        </w:tc>
      </w:tr>
      <w:tr w:rsidR="009B487A" w:rsidRPr="00722885" w14:paraId="70E5B493" w14:textId="77777777" w:rsidTr="00CC5360">
        <w:trPr>
          <w:trHeight w:val="226"/>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31A428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ИТР</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AE19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56587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F21DF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70907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17DFF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78915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79BA08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82343 (145,5)</w:t>
            </w:r>
          </w:p>
        </w:tc>
      </w:tr>
      <w:tr w:rsidR="009B487A" w:rsidRPr="00722885" w14:paraId="2B5F6273" w14:textId="77777777" w:rsidTr="00CC5360">
        <w:trPr>
          <w:trHeight w:val="221"/>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374D58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служащие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D518B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32582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C671C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34910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AA9E4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33858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2ACD4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30026(92,1)</w:t>
            </w:r>
          </w:p>
        </w:tc>
      </w:tr>
      <w:tr w:rsidR="009B487A" w:rsidRPr="00722885" w14:paraId="36CC7ECF" w14:textId="77777777" w:rsidTr="00CC5360">
        <w:trPr>
          <w:trHeight w:val="221"/>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055096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ученики</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FA55D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26427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606B0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25036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9B885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41185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6E0BD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23957(90,7)</w:t>
            </w:r>
          </w:p>
        </w:tc>
      </w:tr>
      <w:tr w:rsidR="009B487A" w:rsidRPr="00722885" w14:paraId="62F276EB" w14:textId="77777777" w:rsidTr="00CC5360">
        <w:trPr>
          <w:trHeight w:val="245"/>
        </w:trPr>
        <w:tc>
          <w:tcPr>
            <w:tcW w:w="3178" w:type="dxa"/>
            <w:tcBorders>
              <w:top w:val="single" w:sz="6" w:space="0" w:color="auto"/>
              <w:left w:val="single" w:sz="6" w:space="0" w:color="auto"/>
              <w:bottom w:val="single" w:sz="6" w:space="0" w:color="auto"/>
              <w:right w:val="single" w:sz="6" w:space="0" w:color="auto"/>
            </w:tcBorders>
            <w:shd w:val="clear" w:color="auto" w:fill="FFFFFF"/>
          </w:tcPr>
          <w:p w14:paraId="5E299A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Непромышленный персонал</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D1DB4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28953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79A04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32918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ABBB8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36958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EABE1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54080(186,8)</w:t>
            </w:r>
          </w:p>
        </w:tc>
      </w:tr>
    </w:tbl>
    <w:p w14:paraId="0AC8FB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Для наглядности в скобках приводится процентное отношение к 1940 г.</w:t>
      </w:r>
    </w:p>
    <w:p w14:paraId="5B53E7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Таким образом, из таблицы видно, что наибольший темп прироста численности персонала был развит в 1942 г., а в 1943 г. хотя персонал продолжал увеличиваться, но скорость прироста снизилась. Причём в 1943 г. появляется новая, нехарактерная для предыдущих лет, тенденция. Общая скорос роста промышленного персонала снижается за счёт </w:t>
      </w:r>
      <w:r w:rsidRPr="00722885">
        <w:rPr>
          <w:rFonts w:ascii="Times New Roman" w:hAnsi="Times New Roman"/>
          <w:color w:val="000000" w:themeColor="text1"/>
          <w:sz w:val="16"/>
          <w:szCs w:val="16"/>
          <w:lang w:val="en-US"/>
        </w:rPr>
        <w:t>ct</w:t>
      </w:r>
      <w:r w:rsidRPr="00722885">
        <w:rPr>
          <w:rFonts w:ascii="Times New Roman" w:hAnsi="Times New Roman"/>
          <w:color w:val="000000" w:themeColor="text1"/>
          <w:sz w:val="16"/>
          <w:szCs w:val="16"/>
        </w:rPr>
        <w:t xml:space="preserve"> ния (в абсолютных цифрах!) его отдельных групп — служа</w:t>
      </w:r>
      <w:r w:rsidRPr="00722885">
        <w:rPr>
          <w:rFonts w:ascii="Times New Roman" w:hAnsi="Times New Roman"/>
          <w:color w:val="000000" w:themeColor="text1"/>
          <w:sz w:val="16"/>
          <w:szCs w:val="16"/>
        </w:rPr>
        <w:softHyphen/>
        <w:t>щих и учеников (12011).</w:t>
      </w:r>
    </w:p>
    <w:p w14:paraId="3CF296FF" w14:textId="77777777" w:rsidR="00C84F76" w:rsidRPr="00722885" w:rsidRDefault="00C84F76" w:rsidP="00722885">
      <w:pPr>
        <w:pStyle w:val="Iauiue"/>
        <w:jc w:val="both"/>
        <w:rPr>
          <w:iCs/>
          <w:color w:val="000000" w:themeColor="text1"/>
          <w:sz w:val="16"/>
          <w:szCs w:val="16"/>
        </w:rPr>
      </w:pPr>
    </w:p>
    <w:p w14:paraId="419797B1" w14:textId="77777777" w:rsidR="00086AD6" w:rsidRPr="00722885" w:rsidRDefault="00086AD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FA34015" w14:textId="77777777" w:rsidR="00086AD6" w:rsidRPr="00722885" w:rsidRDefault="00086AD6" w:rsidP="00722885">
      <w:pPr>
        <w:pStyle w:val="Iauiue"/>
        <w:jc w:val="both"/>
        <w:rPr>
          <w:iCs/>
          <w:color w:val="000000" w:themeColor="text1"/>
          <w:sz w:val="16"/>
          <w:szCs w:val="16"/>
        </w:rPr>
      </w:pPr>
    </w:p>
    <w:p w14:paraId="64DE5D36" w14:textId="77777777" w:rsidR="00086AD6" w:rsidRPr="00722885" w:rsidRDefault="00086AD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Осенью-зимой 1942 испытывался Т-34 завода № 183, на который установили 5-скоростную КПП и башню с командирской башенкой - такую же, как испытывалась летом, причем совместно с опытным Т-43 (12217).</w:t>
      </w:r>
    </w:p>
    <w:p w14:paraId="41AADCEC" w14:textId="77777777" w:rsidR="00086AD6" w:rsidRPr="00722885" w:rsidRDefault="00086AD6" w:rsidP="00722885">
      <w:pPr>
        <w:spacing w:after="0" w:line="240" w:lineRule="auto"/>
        <w:jc w:val="both"/>
        <w:rPr>
          <w:rFonts w:ascii="Times New Roman" w:hAnsi="Times New Roman"/>
          <w:color w:val="000000" w:themeColor="text1"/>
          <w:sz w:val="16"/>
          <w:szCs w:val="16"/>
        </w:rPr>
      </w:pPr>
    </w:p>
    <w:p w14:paraId="52EA30AF" w14:textId="77777777" w:rsidR="004F59B2"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D5A9970" w14:textId="77777777" w:rsidR="004F59B2" w:rsidRPr="00722885" w:rsidRDefault="004F59B2" w:rsidP="00722885">
      <w:pPr>
        <w:pStyle w:val="Iauiue"/>
        <w:jc w:val="both"/>
        <w:rPr>
          <w:iCs/>
          <w:color w:val="000000" w:themeColor="text1"/>
          <w:sz w:val="16"/>
          <w:szCs w:val="16"/>
        </w:rPr>
      </w:pPr>
    </w:p>
    <w:p w14:paraId="17BD6529" w14:textId="77777777" w:rsidR="004F59B2" w:rsidRPr="00722885" w:rsidRDefault="004F59B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К октябрю 1942 г. в полном соответствии с рекомендациями НИИ ВВС на заводе №22 разработали схему усиленного бронирова</w:t>
      </w:r>
      <w:r w:rsidRPr="00722885">
        <w:rPr>
          <w:rFonts w:ascii="Times New Roman" w:cs="Times New Roman"/>
          <w:color w:val="000000" w:themeColor="text1"/>
          <w:spacing w:val="0"/>
          <w:sz w:val="16"/>
          <w:szCs w:val="16"/>
        </w:rPr>
        <w:softHyphen/>
        <w:t>ния бомбардировщика Пе-2. При сохранении принципиальной схемы бронирования, реа</w:t>
      </w:r>
      <w:r w:rsidRPr="00722885">
        <w:rPr>
          <w:rFonts w:ascii="Times New Roman" w:cs="Times New Roman"/>
          <w:color w:val="000000" w:themeColor="text1"/>
          <w:spacing w:val="0"/>
          <w:sz w:val="16"/>
          <w:szCs w:val="16"/>
        </w:rPr>
        <w:softHyphen/>
        <w:t>лизованной на серийных самолетах, толщина броневых плит была увеличена из расчета</w:t>
      </w:r>
      <w:r w:rsidRPr="00722885">
        <w:rPr>
          <w:rStyle w:val="aff6"/>
          <w:rFonts w:ascii="Times New Roman" w:eastAsia="Arial Narrow" w:hAnsi="Times New Roman" w:cs="Times New Roman"/>
          <w:i w:val="0"/>
          <w:color w:val="000000" w:themeColor="text1"/>
          <w:spacing w:val="0"/>
        </w:rPr>
        <w:t xml:space="preserve"> «на защиту экипажа от бронебойных пуль калибра 15 мм и снарядов калибра 20 мм с дистанции 350-400 м».</w:t>
      </w:r>
      <w:r w:rsidRPr="00722885">
        <w:rPr>
          <w:rFonts w:ascii="Times New Roman" w:cs="Times New Roman"/>
          <w:color w:val="000000" w:themeColor="text1"/>
          <w:spacing w:val="0"/>
          <w:sz w:val="16"/>
          <w:szCs w:val="16"/>
        </w:rPr>
        <w:t xml:space="preserve"> Как отмечалось, вес брони</w:t>
      </w:r>
      <w:r w:rsidRPr="00722885">
        <w:rPr>
          <w:rStyle w:val="aff6"/>
          <w:rFonts w:ascii="Times New Roman" w:eastAsia="Arial Narrow" w:hAnsi="Times New Roman" w:cs="Times New Roman"/>
          <w:i w:val="0"/>
          <w:color w:val="000000" w:themeColor="text1"/>
          <w:spacing w:val="0"/>
        </w:rPr>
        <w:t xml:space="preserve"> «по новой схеме выражается в 194,8 кг вместо 154,9 кг существующих в настоящее время на серийных самолетах».</w:t>
      </w:r>
    </w:p>
    <w:p w14:paraId="57DE98F4" w14:textId="77777777" w:rsidR="004F59B2" w:rsidRPr="00722885" w:rsidRDefault="004F59B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Специалистов НИИ ВВС предложенная схема бронирования Пе-2 полностью устро</w:t>
      </w:r>
      <w:r w:rsidRPr="00722885">
        <w:rPr>
          <w:rFonts w:ascii="Times New Roman" w:cs="Times New Roman"/>
          <w:color w:val="000000" w:themeColor="text1"/>
          <w:spacing w:val="0"/>
          <w:sz w:val="16"/>
          <w:szCs w:val="16"/>
        </w:rPr>
        <w:softHyphen/>
        <w:t>ила. Единственное замечание касалось рас</w:t>
      </w:r>
      <w:r w:rsidRPr="00722885">
        <w:rPr>
          <w:rFonts w:ascii="Times New Roman" w:cs="Times New Roman"/>
          <w:color w:val="000000" w:themeColor="text1"/>
          <w:spacing w:val="0"/>
          <w:sz w:val="16"/>
          <w:szCs w:val="16"/>
        </w:rPr>
        <w:softHyphen/>
        <w:t>положения</w:t>
      </w:r>
      <w:r w:rsidRPr="00722885">
        <w:rPr>
          <w:rStyle w:val="aff6"/>
          <w:rFonts w:ascii="Times New Roman" w:eastAsia="Arial Narrow" w:hAnsi="Times New Roman" w:cs="Times New Roman"/>
          <w:i w:val="0"/>
          <w:color w:val="000000" w:themeColor="text1"/>
          <w:spacing w:val="0"/>
        </w:rPr>
        <w:t xml:space="preserve"> «верхней брони стрелка-радиста, чтобы последняя не закрывала бортового обзора».</w:t>
      </w:r>
    </w:p>
    <w:p w14:paraId="119EB849" w14:textId="77777777" w:rsidR="004F59B2" w:rsidRPr="00722885" w:rsidRDefault="004F59B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Положительное заключение за подписью начальника института генерал-майора П.А. Лосюкова и начальника 14-го отдела инженер- полковника Д.В. Лагутина 8 октября было от</w:t>
      </w:r>
      <w:r w:rsidRPr="00722885">
        <w:rPr>
          <w:rFonts w:ascii="Times New Roman" w:cs="Times New Roman"/>
          <w:color w:val="000000" w:themeColor="text1"/>
          <w:spacing w:val="0"/>
          <w:sz w:val="16"/>
          <w:szCs w:val="16"/>
        </w:rPr>
        <w:softHyphen/>
        <w:t>правлено генерал-лейтенанту А.К. Репину, ко</w:t>
      </w:r>
      <w:r w:rsidRPr="00722885">
        <w:rPr>
          <w:rFonts w:ascii="Times New Roman" w:cs="Times New Roman"/>
          <w:color w:val="000000" w:themeColor="text1"/>
          <w:spacing w:val="0"/>
          <w:sz w:val="16"/>
          <w:szCs w:val="16"/>
        </w:rPr>
        <w:softHyphen/>
        <w:t>торый уже через два дня его утвердил с заме</w:t>
      </w:r>
      <w:r w:rsidRPr="00722885">
        <w:rPr>
          <w:rFonts w:ascii="Times New Roman" w:cs="Times New Roman"/>
          <w:color w:val="000000" w:themeColor="text1"/>
          <w:spacing w:val="0"/>
          <w:sz w:val="16"/>
          <w:szCs w:val="16"/>
        </w:rPr>
        <w:softHyphen/>
        <w:t>чанием:</w:t>
      </w:r>
      <w:r w:rsidRPr="00722885">
        <w:rPr>
          <w:rStyle w:val="aff6"/>
          <w:rFonts w:ascii="Times New Roman" w:eastAsia="Arial Narrow" w:hAnsi="Times New Roman" w:cs="Times New Roman"/>
          <w:i w:val="0"/>
          <w:color w:val="000000" w:themeColor="text1"/>
          <w:spacing w:val="0"/>
        </w:rPr>
        <w:t xml:space="preserve"> «Считать необходимым до запуска в массовое производство предложенной схемы бронирования, оборудовать броней по этой схеме один полк с целью проверки ее в боевых условиях» (15778).</w:t>
      </w:r>
    </w:p>
    <w:p w14:paraId="111094BA" w14:textId="77777777" w:rsidR="004F59B2" w:rsidRPr="00722885" w:rsidRDefault="004F59B2" w:rsidP="00722885">
      <w:pPr>
        <w:pStyle w:val="36"/>
        <w:shd w:val="clear" w:color="auto" w:fill="auto"/>
        <w:spacing w:after="0" w:line="240" w:lineRule="auto"/>
        <w:jc w:val="both"/>
        <w:rPr>
          <w:rFonts w:ascii="Times New Roman" w:cs="Times New Roman"/>
          <w:color w:val="000000" w:themeColor="text1"/>
          <w:spacing w:val="0"/>
          <w:sz w:val="16"/>
          <w:szCs w:val="16"/>
        </w:rPr>
      </w:pPr>
    </w:p>
    <w:p w14:paraId="44264CA2" w14:textId="77777777" w:rsidR="00337233" w:rsidRPr="00722885" w:rsidRDefault="0033723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октябрю 1942 Уральский завод тяжелого машиностроения (УЗТМ), один из двух поставщиков корпусов и башен для КВ, был полностью переориентирован на корпусное производство для Т-34. В результате единственным поставщиком корпусов КВ остался завод №200, который с резко выросшей нагрузкой быстро справиться не мог. Выйти из сложившейся ситуации помог имевшийся задел корпусов для КВ-1 (17682).</w:t>
      </w:r>
    </w:p>
    <w:p w14:paraId="0C56AB03" w14:textId="77777777" w:rsidR="00337233" w:rsidRPr="00722885" w:rsidRDefault="00337233" w:rsidP="00722885">
      <w:pPr>
        <w:pStyle w:val="12a"/>
        <w:shd w:val="clear" w:color="auto" w:fill="auto"/>
        <w:spacing w:after="0" w:line="240" w:lineRule="auto"/>
        <w:jc w:val="both"/>
        <w:rPr>
          <w:color w:val="000000" w:themeColor="text1"/>
          <w:sz w:val="16"/>
          <w:szCs w:val="16"/>
        </w:rPr>
      </w:pPr>
    </w:p>
    <w:p w14:paraId="2D2CFB48" w14:textId="77777777" w:rsidR="00552B25" w:rsidRPr="00722885" w:rsidRDefault="00552B25"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1B0C104" w14:textId="77777777" w:rsidR="00552B25" w:rsidRPr="00722885" w:rsidRDefault="00552B25" w:rsidP="00722885">
      <w:pPr>
        <w:pStyle w:val="Iauiue"/>
        <w:jc w:val="both"/>
        <w:rPr>
          <w:iCs/>
          <w:color w:val="000000" w:themeColor="text1"/>
          <w:sz w:val="16"/>
          <w:szCs w:val="16"/>
        </w:rPr>
      </w:pPr>
    </w:p>
    <w:p w14:paraId="208DAE15" w14:textId="77777777" w:rsidR="00552B25" w:rsidRPr="00722885" w:rsidRDefault="00552B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началу октября 1942 на заводе № 1 были построены два экземпляра самолета Ил-2бис АМ-38, имевшие полностью бронированную кабину стрелка с блистерной установкой под пулемет УБТ. Инициировал эту работу начальник СКО-21 завода В. П. Яценко.</w:t>
      </w:r>
    </w:p>
    <w:p w14:paraId="765C0FC7" w14:textId="77777777" w:rsidR="00552B25" w:rsidRPr="00722885" w:rsidRDefault="00552B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оборудовалась на месте заднего бензобака. За счет этого она оказалась более просторной, чем кабина завода №30. Уровень защищенности стрелка не </w:t>
      </w:r>
      <w:r w:rsidRPr="00722885">
        <w:rPr>
          <w:rFonts w:ascii="Times New Roman" w:hAnsi="Times New Roman"/>
          <w:color w:val="000000" w:themeColor="text1"/>
          <w:sz w:val="16"/>
          <w:szCs w:val="16"/>
        </w:rPr>
        <w:lastRenderedPageBreak/>
        <w:t>уступал защите летчика. В двух бомбоотсеках в центроплане крыла дополнительно устанавливались два бензобака, которые бронировались. Внутренняя загрузка бомб уменьшалась до 200 кг. На внешних узлах допускалась подвеска еще 200 кг бомб. Направляющие под 8 РС-82 сохранялись.</w:t>
      </w:r>
    </w:p>
    <w:p w14:paraId="44D63AD1" w14:textId="77777777" w:rsidR="00552B25" w:rsidRPr="00722885" w:rsidRDefault="00552B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Важно, что в отличие от варианта завода №30, центровка Ил-2бис не изменилась. Испытания показали, что по своим летным и пилотажным качествам он практически ничем не отличается от одноместного Ил-2.</w:t>
      </w:r>
    </w:p>
    <w:p w14:paraId="699B4D59" w14:textId="77777777" w:rsidR="00552B25" w:rsidRPr="00722885" w:rsidRDefault="00552B2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Судя по документам, Ильюшин противился работам по Ил-2бис. Дело в том, что на заводе №30 он уже строил 20 самолетов с незащищенным стрелком (12020).</w:t>
      </w:r>
    </w:p>
    <w:p w14:paraId="05F33EFB" w14:textId="77777777" w:rsidR="00552B25" w:rsidRPr="00722885" w:rsidRDefault="00552B25" w:rsidP="00722885">
      <w:pPr>
        <w:spacing w:after="0" w:line="240" w:lineRule="auto"/>
        <w:jc w:val="both"/>
        <w:rPr>
          <w:rFonts w:ascii="Times New Roman" w:hAnsi="Times New Roman"/>
          <w:color w:val="000000" w:themeColor="text1"/>
          <w:sz w:val="16"/>
          <w:szCs w:val="16"/>
        </w:rPr>
      </w:pPr>
    </w:p>
    <w:p w14:paraId="2556C195" w14:textId="77777777" w:rsidR="00A8719E" w:rsidRPr="00722885" w:rsidRDefault="00A8719E"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C4D3120" w14:textId="77777777" w:rsidR="00A8719E" w:rsidRPr="00722885" w:rsidRDefault="00A8719E" w:rsidP="00722885">
      <w:pPr>
        <w:pStyle w:val="Iauiue"/>
        <w:jc w:val="both"/>
        <w:rPr>
          <w:iCs/>
          <w:color w:val="000000" w:themeColor="text1"/>
          <w:sz w:val="16"/>
          <w:szCs w:val="16"/>
        </w:rPr>
      </w:pPr>
    </w:p>
    <w:p w14:paraId="28385501" w14:textId="77777777" w:rsidR="00A8719E" w:rsidRPr="00722885" w:rsidRDefault="00A8719E"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К началу октября 1942 в переписке ГАЗ стала фигурировать "зенитная установка спаренных пулеметов ДШК на танке Т-70". Боевая масса снижалась до 6,5 тонн, а угол вертикального обстрела снизился до 70 градусов. Дальнейшее развитие данного проекта привело к созданию зенитного танка, получившего индекс Т-90 (21193).</w:t>
      </w:r>
    </w:p>
    <w:p w14:paraId="1421BDB0" w14:textId="77777777" w:rsidR="00A8719E" w:rsidRPr="00722885" w:rsidRDefault="00A8719E"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36D3C4D6" w14:textId="77777777" w:rsidR="00552B25" w:rsidRPr="00722885" w:rsidRDefault="00552B25"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К началу октября 1941 года в серию пошли танки Т-30 с утолщенными корпусами и без водоходного оборудования. При этом 20-я и 22-е танковые бригады продолжали упорно их именовать Т-40. Лишь когда пошли танки с ТНШ, их перестали именовать как Т-60. По злой иронии судьбы, называли их... Т-60. Индекс Т-30 в документах частей стал постоянным явлением только с 1942 года. Наконец, опорные катки с литыми спицованными дисками, которые так любят моделисты, почти не использовались на танках московского выпуска. В лучшем случае под самый конец выпуска (21348).</w:t>
      </w:r>
    </w:p>
    <w:p w14:paraId="75331769" w14:textId="77777777" w:rsidR="00552B25" w:rsidRPr="00722885" w:rsidRDefault="00552B25"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73EB427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362C2A7" w14:textId="77777777" w:rsidR="00090C9B" w:rsidRPr="00722885" w:rsidRDefault="00090C9B" w:rsidP="00722885">
      <w:pPr>
        <w:pStyle w:val="Iauiue"/>
        <w:jc w:val="both"/>
        <w:rPr>
          <w:iCs/>
          <w:color w:val="000000" w:themeColor="text1"/>
          <w:sz w:val="16"/>
          <w:szCs w:val="16"/>
        </w:rPr>
      </w:pPr>
    </w:p>
    <w:p w14:paraId="1ED24348" w14:textId="77777777" w:rsidR="002878ED" w:rsidRPr="00722885" w:rsidRDefault="002878ED" w:rsidP="00722885">
      <w:pPr>
        <w:pStyle w:val="ae"/>
        <w:spacing w:before="0" w:after="0"/>
        <w:jc w:val="both"/>
        <w:textAlignment w:val="baseline"/>
        <w:rPr>
          <w:color w:val="000000" w:themeColor="text1"/>
          <w:sz w:val="16"/>
          <w:szCs w:val="16"/>
        </w:rPr>
      </w:pPr>
      <w:r w:rsidRPr="00722885">
        <w:rPr>
          <w:color w:val="000000" w:themeColor="text1"/>
          <w:sz w:val="16"/>
          <w:szCs w:val="16"/>
        </w:rPr>
        <w:t>На 1 октября 1942 г. около 50 % штурмовиков, находившихся в боевых частях, требовали текущего или капитального ремонта. Отказы шасси, вооружения, перегрев и быстрый выход из строя моторов, возгорания в воздухе из-за вытекания бензина были массовым явлением. В порядке вещей был срыв обшивки во время полета, обрыв тросов управления, отказ бензопомпы и т. п. Часто поступивший с завода Ил-2 сразу же отправлялся в ремонт, а большинство машин перед вводом в эксплуатацию дорабатывались техническим персоналом и самими летчиками.</w:t>
      </w:r>
    </w:p>
    <w:p w14:paraId="036BE6FE" w14:textId="77777777" w:rsidR="002878ED" w:rsidRPr="00722885" w:rsidRDefault="002878ED" w:rsidP="00722885">
      <w:pPr>
        <w:pStyle w:val="ae"/>
        <w:spacing w:before="0" w:after="0"/>
        <w:jc w:val="both"/>
        <w:textAlignment w:val="baseline"/>
        <w:rPr>
          <w:color w:val="000000" w:themeColor="text1"/>
          <w:sz w:val="16"/>
          <w:szCs w:val="16"/>
        </w:rPr>
      </w:pPr>
      <w:r w:rsidRPr="00722885">
        <w:rPr>
          <w:color w:val="000000" w:themeColor="text1"/>
          <w:sz w:val="16"/>
          <w:szCs w:val="16"/>
        </w:rPr>
        <w:t>Конструкторы мотора AM-38 вообще приготовили летчикам «сюрприз». Дело было в том, что пилоты, дабы кратковременно повысить мощность двигателя, часто увеличивали наддув, не изменяя при этом оборотов. Никто и подумать не мог, что в этом случае может произойти детонация горючего. Так, в сентябре 1942 г. по этой причине в ходе боевого вылета взорвались в воздухе сразу два Ил-2 из 806-го шап. Были у мотора и другие недостатки. Например, преждевременный выход из строя поршневых колец, из-за чего во время полета за штурмовиком тянулся хорошо заметный шлейф белого дыма, по которому его было легко обнаружить (19522).</w:t>
      </w:r>
    </w:p>
    <w:p w14:paraId="5D895CD6" w14:textId="77777777" w:rsidR="002878ED" w:rsidRPr="00722885" w:rsidRDefault="002878ED" w:rsidP="00722885">
      <w:pPr>
        <w:pStyle w:val="ae"/>
        <w:spacing w:before="0" w:after="0"/>
        <w:jc w:val="both"/>
        <w:textAlignment w:val="baseline"/>
        <w:rPr>
          <w:color w:val="000000" w:themeColor="text1"/>
          <w:sz w:val="16"/>
          <w:szCs w:val="16"/>
        </w:rPr>
      </w:pPr>
    </w:p>
    <w:p w14:paraId="79BB71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октября 1942 Нач. ГУЗ и ТС ВВС Селезнев и военком Шаповалов писали письмо N 390455сс А.И.Ш.:</w:t>
      </w:r>
    </w:p>
    <w:p w14:paraId="26F5B4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"Произведенной проверкой в частях ВВС Сталинградского фронта стрелково-пушечного вооружения на Як-7, ЛаГГ-3 и Як-1 комиссией установлены (Акт от 26 сентября 1942) массовые случаи отказов в стрельбе пулеметов БС 12.7 мм и пушек ШВАК 20 мм по причине конструктивных недостатков установок и недоброкачественного монтажа их на самолетах." (1315,93).</w:t>
      </w:r>
    </w:p>
    <w:p w14:paraId="3B18326F" w14:textId="77777777" w:rsidR="00090C9B" w:rsidRPr="00722885" w:rsidRDefault="00090C9B" w:rsidP="00722885">
      <w:pPr>
        <w:pStyle w:val="Iauiue"/>
        <w:jc w:val="both"/>
        <w:rPr>
          <w:color w:val="000000" w:themeColor="text1"/>
          <w:sz w:val="16"/>
          <w:szCs w:val="16"/>
        </w:rPr>
      </w:pPr>
    </w:p>
    <w:p w14:paraId="2A53AE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октября вышло постановление ГКО, подтвердившее аналогичное постановление от 22 сентября, разрешившее снимать дополнительный бензобак за кабиной пилота на Як-7Б с М-105ПА (65,85).</w:t>
      </w:r>
    </w:p>
    <w:p w14:paraId="676ABB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 было решение ГКО N 2359сс от 1 октября 1942 по улучшению качеств и устранению дефектов, выявленных при боевом применении самолетов-истребителей. Этим же постановлением ГКО обязал:</w:t>
      </w:r>
    </w:p>
    <w:p w14:paraId="04B36B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командующего ВВС Новикова к 4 октября с.г. доложить ГКО о результатах испытаний в НИИ ВВС 2 местных штурмовиков Ил-2 (1594,104).</w:t>
      </w:r>
    </w:p>
    <w:p w14:paraId="721EF224" w14:textId="77777777" w:rsidR="00090C9B" w:rsidRPr="00722885" w:rsidRDefault="00090C9B" w:rsidP="00722885">
      <w:pPr>
        <w:pStyle w:val="Iauiue"/>
        <w:jc w:val="both"/>
        <w:rPr>
          <w:color w:val="000000" w:themeColor="text1"/>
          <w:sz w:val="16"/>
          <w:szCs w:val="16"/>
        </w:rPr>
      </w:pPr>
    </w:p>
    <w:p w14:paraId="283C4B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октября 1942 ГКО приняло постановление “по улучшению качества и устранению дефектов, выявленных при боевом применении самолетов-истребителей”, этот документ потребовал от А.С.Яковлева для улучшения обзора передней полусферы установить на истребители фонарь с плоскими стеклами вместо гнутого козырька, а также сделать более удобным для пилота пользование коллиматорным прицелом. Предохранительные сальники конструкции ЛИИ должны были устранить, наконец, забрызгивание маслом козырька пилота. Для облегчения управления огнем требовалось заменить существующий пнев-мо-механический спуск на пневмо-электри-ческий и взамен гашеток поставить кнопки по типу самолета “Мессершмитт”.</w:t>
      </w:r>
    </w:p>
    <w:p w14:paraId="2C1C35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Практически одновременно развернулись работы по усовершенствованию аэродинамики истребителей. На одном серийном Як-1 для герметизации фюзеляжа установили дополнительные перегородки, изменили форму кока винта, сняли сетку с гондолы водора-диатора, ввели обтекатели на выхлопные патрубки, изменили форму водо- и маслоради-аторов. Большой эффект принесло улучшение общей отделки самолета (4537).</w:t>
      </w:r>
    </w:p>
    <w:p w14:paraId="514E346B" w14:textId="77777777" w:rsidR="00090C9B" w:rsidRPr="00722885" w:rsidRDefault="00090C9B" w:rsidP="00722885">
      <w:pPr>
        <w:pStyle w:val="Iauiue"/>
        <w:jc w:val="both"/>
        <w:rPr>
          <w:color w:val="000000" w:themeColor="text1"/>
          <w:sz w:val="16"/>
          <w:szCs w:val="16"/>
        </w:rPr>
      </w:pPr>
    </w:p>
    <w:p w14:paraId="403DCC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октября 1942 состоялся первый полет Пе-2 № 5/134 с моторами М-107. Он был оценен как вполне успешный, хотя отмечалась неустойчивая работа регулятора постоянных оборотов винта Р-7А (4476).</w:t>
      </w:r>
    </w:p>
    <w:p w14:paraId="1DE8BB30" w14:textId="77777777" w:rsidR="00090C9B" w:rsidRPr="00722885" w:rsidRDefault="00090C9B" w:rsidP="00722885">
      <w:pPr>
        <w:pStyle w:val="Iauiue"/>
        <w:jc w:val="both"/>
        <w:rPr>
          <w:color w:val="000000" w:themeColor="text1"/>
          <w:sz w:val="16"/>
          <w:szCs w:val="16"/>
        </w:rPr>
      </w:pPr>
    </w:p>
    <w:p w14:paraId="0461DA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октября 1942 состоялся первый полет первого из трех Пе-2 с 2М-107 N 5/134, который 30 сентября 1942 был выведен на аэродром завода 22 в Казани (2205,36).</w:t>
      </w:r>
    </w:p>
    <w:p w14:paraId="3913FDC8" w14:textId="77777777" w:rsidR="00090C9B" w:rsidRPr="00722885" w:rsidRDefault="00090C9B" w:rsidP="00722885">
      <w:pPr>
        <w:pStyle w:val="Iauiue"/>
        <w:jc w:val="both"/>
        <w:rPr>
          <w:color w:val="000000" w:themeColor="text1"/>
          <w:sz w:val="16"/>
          <w:szCs w:val="16"/>
        </w:rPr>
      </w:pPr>
    </w:p>
    <w:p w14:paraId="4EFBBF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выяснили, что М-107 не пригодны к эксплуатации и почти каждый полет заканчивался вынужденной посадкой. Решили ждать М-107А (2205,36).</w:t>
      </w:r>
    </w:p>
    <w:p w14:paraId="2AF001D4" w14:textId="77777777" w:rsidR="00090C9B" w:rsidRPr="00722885" w:rsidRDefault="00090C9B" w:rsidP="00722885">
      <w:pPr>
        <w:pStyle w:val="Iauiue"/>
        <w:jc w:val="both"/>
        <w:rPr>
          <w:color w:val="000000" w:themeColor="text1"/>
          <w:sz w:val="16"/>
          <w:szCs w:val="16"/>
        </w:rPr>
      </w:pPr>
    </w:p>
    <w:p w14:paraId="5482DC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октября 1942 г. первый опытный Пе-2 зав. № 5/134 с моторами М-107, который был выведен из опытного цеха 30 сентября 1942, выполнил первый полет. Он был оценен как вполне успешный, отмечалась лишь неустойчивая работа регулятора постоянных оборотов винта Р-7А. Однако в октябре 1942 г. выяснилось, что двигатели М-107 непригодны к летной эксплуатации. Почти каждый полет завершался вынужденной посадкой. К тому же потребовалось увеличить производительность водорадиаторов, поскольку мотор М-107 был заметно мощнее М-105. Без существенных переделок "втиснуть" увеличенные радиаторы в носок обычных консолей от серийного Пе-2 не удавалось. Поэтому временно, до получения новых двигателей М-107А, работы над этим вариантом "пешки" пришлось прекратить.</w:t>
      </w:r>
    </w:p>
    <w:p w14:paraId="3B5908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Усовершенствованные моторы М-107А поступили на завод № 22 только в конце декабря 1942 г. Однако ни в январе, ни в феврале, ни в марте 1943 г. ОКО-22 не занималось этой машиной. Все внимание в данный момент было отдано серии и любимому детищу А.И. Путилова - высотному истребителю ВИ с моторами М-105ПД. Лишь в начале лета 1943 г., после "прихода к власти" В.М. Мясищева, двигатели М-107А смонтировали на серийном Пе-2. Недостаток рабочей силы на заводе № 22 и трудности доводки силовой установки заставили пойти на несколько необычный шаг - отправить самолет на моторный завод № 26, где он находился вплоть до осени 1943 г. Летом 1943 г. в переписке ОК.О-22 с заказчиками этот вариант машины стали называть Пе-2Д (12042).</w:t>
      </w:r>
    </w:p>
    <w:p w14:paraId="6195E84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EFDEA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октября 1942 появились в документах сведения о второй опытной машине ТБ-7, «дублере», почему-то с номером 385 (вероятно, это был уже арктический номер Н-385). Было приказано установить на ней двигатели АМ-35А, пулеметы «БТ» в кормовой установке и использовать самолет для тренировки личного состава и транспортных перевозок (12049).</w:t>
      </w:r>
    </w:p>
    <w:p w14:paraId="7E1B0FF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F4139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октября 1942 вышел отчет по гос. испытаниям ДВБ-102 с 2М-120ТК В.М.М., сделанный на заводе 288 (1785).</w:t>
      </w:r>
    </w:p>
    <w:p w14:paraId="344E5087" w14:textId="77777777" w:rsidR="00090C9B" w:rsidRPr="00722885" w:rsidRDefault="00090C9B" w:rsidP="00722885">
      <w:pPr>
        <w:pStyle w:val="Iauiue"/>
        <w:jc w:val="both"/>
        <w:rPr>
          <w:color w:val="000000" w:themeColor="text1"/>
          <w:sz w:val="16"/>
          <w:szCs w:val="16"/>
        </w:rPr>
      </w:pPr>
    </w:p>
    <w:p w14:paraId="3B742B2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октября 1942 Нач. ЦАГИ Шишкиным, Нач. ЦИАМ Поликовским и Зам. Нач. ЛИИ была подготовлена справка:</w:t>
      </w:r>
    </w:p>
    <w:p w14:paraId="72A938E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Мессершмитт Ма-109 G-2</w:t>
      </w:r>
    </w:p>
    <w:p w14:paraId="60F91B2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материалам предварительного обследования).</w:t>
      </w:r>
    </w:p>
    <w:p w14:paraId="4F92D51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Осмотренный нами обитый немецкий самолет изготовлен на заводе "Вена-Нейштадт”.</w:t>
      </w:r>
    </w:p>
    <w:p w14:paraId="4F06E41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имеет марку Ме-109 G2.</w:t>
      </w:r>
    </w:p>
    <w:p w14:paraId="5668704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самолета имеет марку Даймлер-Бенц ДВ605А1 и изготовлен фирмой Хеншель в Касселе.</w:t>
      </w:r>
    </w:p>
    <w:p w14:paraId="7FA79F7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находится в сильно поврежденном состоянии: мотор имеет сквозной прогар блоков, водо-радиатор пробит пулей, законцовка крыла отсутствует, рули смяты, .приборное оборудование кабины вбольшинстве своем отсутствует.</w:t>
      </w:r>
    </w:p>
    <w:p w14:paraId="5C9E86D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Осмотр показал, что основная модмфикацмя самолета заключается в коренном изменения винтомоторной группы.</w:t>
      </w:r>
    </w:p>
    <w:p w14:paraId="48A8508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ДВ605А1 является глубокой модификацией мотора ДВ601Е, испы</w:t>
      </w:r>
      <w:r w:rsidRPr="00722885">
        <w:rPr>
          <w:rFonts w:ascii="Times New Roman" w:hAnsi="Times New Roman"/>
          <w:color w:val="000000" w:themeColor="text1"/>
          <w:sz w:val="16"/>
          <w:szCs w:val="16"/>
        </w:rPr>
        <w:softHyphen/>
        <w:t>танного в ЦИАМ и в нем изменены: картер, цилиндровая группа, коленчатый вал, блоки, шатуны, подшипники, нагнетатель и т.д.</w:t>
      </w:r>
    </w:p>
    <w:p w14:paraId="7C273EF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Мощность мотора ДВ605А1, по сравнению с мощностью ДВ601Е, увеличена приблизительно на 200 л.с.,- т.е. номинал мотора 1400 л.с. на высоте 5000-6000 м. Это получено за счет:</w:t>
      </w:r>
    </w:p>
    <w:p w14:paraId="08A83CD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Увеличения диаметра цилиндров на 4 мм, т.е. литража на 5,5%.</w:t>
      </w:r>
    </w:p>
    <w:p w14:paraId="3933B2B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 Увеличение числа оборотов, для чего в моторе облегчены поршни, шатуны и т.п.</w:t>
      </w:r>
    </w:p>
    <w:p w14:paraId="0F5CEF4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Высотность мотора также увеличена, за счет:</w:t>
      </w:r>
    </w:p>
    <w:p w14:paraId="7B55335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Увеличения числа оборотов мотора,</w:t>
      </w:r>
    </w:p>
    <w:p w14:paraId="0EA0613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Увеличения диаметра крыльчатки нагнетателя на 5 мм, т.е. на </w:t>
      </w:r>
      <w:r w:rsidRPr="00722885">
        <w:rPr>
          <w:rFonts w:ascii="Times New Roman" w:hAnsi="Times New Roman"/>
          <w:iCs/>
          <w:color w:val="000000" w:themeColor="text1"/>
          <w:sz w:val="16"/>
          <w:szCs w:val="16"/>
        </w:rPr>
        <w:t xml:space="preserve">2,3%. </w:t>
      </w:r>
      <w:r w:rsidRPr="00722885">
        <w:rPr>
          <w:rFonts w:ascii="Times New Roman" w:hAnsi="Times New Roman"/>
          <w:color w:val="000000" w:themeColor="text1"/>
          <w:sz w:val="16"/>
          <w:szCs w:val="16"/>
        </w:rPr>
        <w:t>Это дает увеличение высотности примерно на 1 кл.</w:t>
      </w:r>
    </w:p>
    <w:p w14:paraId="39BD1F3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Взлетная мощность мотора около 1600 л.с.</w:t>
      </w:r>
    </w:p>
    <w:p w14:paraId="2763645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взлетного форсажа, мотор имеет 3-х минутный боевой форсаж, позволяющий повысить мощность на 100 л.с., на всех высотах, против номинала.</w:t>
      </w:r>
    </w:p>
    <w:p w14:paraId="2B0D0B8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Степень сжатия и октановое число топлива сохранены такими же, как у мотора ДВ601Е, установленного на Ме-109F4 и понижены по сравнении с 601N1, установленного на Ме-109F2.</w:t>
      </w:r>
    </w:p>
    <w:p w14:paraId="2E806DD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w:t>
      </w:r>
    </w:p>
    <w:p w14:paraId="1003DB7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 йирмы VDMимеет новые лопасти со значительно, до 50 мм, увеличенной шириной их.</w:t>
      </w:r>
    </w:p>
    <w:p w14:paraId="7F06CA0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Конструкция самолета.</w:t>
      </w:r>
    </w:p>
    <w:p w14:paraId="4280728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крупные части самолета остались неизмененными, а именно не изменялись: крыло, фюзеляж, шасси, оперение. На многих частях (шасси, редуктор мотора) даже остались старые марки с обозначением Ме-109F2. Неизмененным осталось и вооружение самолета, состоящее как и на Ме-109 F из 1 пушки 15 или 20 мм и 2 малокалиберных~пулеметов.</w:t>
      </w:r>
    </w:p>
    <w:p w14:paraId="54B6DA7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Замечены конструктивные изменения в самолете лишь в тунелях водо</w:t>
      </w:r>
      <w:r w:rsidRPr="00722885">
        <w:rPr>
          <w:rFonts w:ascii="Times New Roman" w:hAnsi="Times New Roman"/>
          <w:smallCaps/>
          <w:color w:val="000000" w:themeColor="text1"/>
          <w:sz w:val="16"/>
          <w:szCs w:val="16"/>
        </w:rPr>
        <w:t>-</w:t>
      </w:r>
      <w:r w:rsidRPr="00722885">
        <w:rPr>
          <w:rFonts w:ascii="Times New Roman" w:hAnsi="Times New Roman"/>
          <w:color w:val="000000" w:themeColor="text1"/>
          <w:sz w:val="16"/>
          <w:szCs w:val="16"/>
        </w:rPr>
        <w:t>радиаторов и в моторной раме.</w:t>
      </w:r>
    </w:p>
    <w:p w14:paraId="05E717B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Предположительные летные данные.</w:t>
      </w:r>
    </w:p>
    <w:p w14:paraId="0D867CB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Скорость. Скорость самолета у земли должна быть 535 км/час</w:t>
      </w:r>
    </w:p>
    <w:p w14:paraId="7B6B1DC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высоте 6000 1.1., без форсажа - 600 км/час.</w:t>
      </w:r>
    </w:p>
    <w:p w14:paraId="5762E01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с 3-х минутным форсажем:</w:t>
      </w:r>
    </w:p>
    <w:p w14:paraId="073CC3F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земли - 550 км/час»</w:t>
      </w:r>
    </w:p>
    <w:p w14:paraId="413728E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6000 м. - 620 км/час.</w:t>
      </w:r>
    </w:p>
    <w:p w14:paraId="7C2A2DD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Скоропод"емность: Скоропод"емность на 5000 м. должна улучшиться на 16-17% т.е. будет 4,5 м., вместо 5,4 м., что было замерено на Ме-109 F2</w:t>
      </w:r>
    </w:p>
    <w:p w14:paraId="792E7DB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Взлет. Разбег самолета должен сократиться на 18%</w:t>
      </w:r>
    </w:p>
    <w:p w14:paraId="07995D8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ОБЩИЕ ВЫВОДЫ</w:t>
      </w:r>
    </w:p>
    <w:p w14:paraId="21A4BBC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по своим максимальным скоростям самолет Ме-109G2 несколько превосходит наши серийные истребители.</w:t>
      </w:r>
    </w:p>
    <w:p w14:paraId="47C3ED8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Значительно большbе преимущества этот самолет имеет перед нашими истребителями по скоропод"емности и, следовательно, по маневру из-за большего избытка мощности, особенно с учетом 3-х минутного форсаза, при небольшом весе.</w:t>
      </w:r>
    </w:p>
    <w:p w14:paraId="427C04A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Обращает на себя внимание дальнейшее увеличение высотности мотора: DB601А имел высотность 4000 м., ДВ601Е - Д3603N- 5000 м. и ДВ605А1 -не менее 6000 м (1458,70).</w:t>
      </w:r>
    </w:p>
    <w:p w14:paraId="2ACC0FE7" w14:textId="77777777" w:rsidR="00090C9B" w:rsidRPr="00722885" w:rsidRDefault="00090C9B" w:rsidP="00722885">
      <w:pPr>
        <w:pStyle w:val="Iauiue"/>
        <w:jc w:val="both"/>
        <w:rPr>
          <w:color w:val="000000" w:themeColor="text1"/>
          <w:sz w:val="16"/>
          <w:szCs w:val="16"/>
        </w:rPr>
      </w:pPr>
    </w:p>
    <w:p w14:paraId="718AED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 октября 1942 год Паспорт завода № 20</w:t>
      </w:r>
    </w:p>
    <w:p w14:paraId="79C461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Борисов</w:t>
      </w:r>
    </w:p>
    <w:p w14:paraId="7DDCFD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Омск, п/я 38</w:t>
      </w:r>
    </w:p>
    <w:p w14:paraId="21F268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 20 эвакуирован из Москвы в течение октября-ноября 1941 года и восстановлен на базе завода № 495, который в свою очередь был организован как филиал завода № 20 в Омске в июле-августе 1941 года.</w:t>
      </w:r>
    </w:p>
    <w:p w14:paraId="6BA002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с/х машиностроения им. Куйбышева расположен в северо-восточной части Омска фасадом по ул. Герцена – западная граница, с юга граница идет по ул. Октябрьской, далее в северо-восточной части территория завода граничит с Шепелевским кладбищем и с северной стороны ограничивается ул. им. 5-й Армии.</w:t>
      </w:r>
    </w:p>
    <w:p w14:paraId="747D15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организации производства агрегатов авиамоторов была проделана коренная реорганизация завода.</w:t>
      </w:r>
    </w:p>
    <w:p w14:paraId="7DAB03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августе 1941 года, кода завод № 495 еще не имел достаточного количества оборудования и были свободные площади, завод № 29 НКАП по приказу зам. наркома Дементьева разместил на территории завода № 495 инструментальный и кузнечный цеха.</w:t>
      </w:r>
    </w:p>
    <w:p w14:paraId="24BB0B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Ивайкин (9413).</w:t>
      </w:r>
    </w:p>
    <w:p w14:paraId="36BEB777" w14:textId="77777777" w:rsidR="00090C9B" w:rsidRPr="00722885" w:rsidRDefault="00090C9B" w:rsidP="00722885">
      <w:pPr>
        <w:pStyle w:val="Iauiue"/>
        <w:jc w:val="both"/>
        <w:rPr>
          <w:color w:val="000000" w:themeColor="text1"/>
          <w:sz w:val="16"/>
          <w:szCs w:val="16"/>
        </w:rPr>
      </w:pPr>
    </w:p>
    <w:p w14:paraId="4D912D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 октября 1942 года Паспорт филиала завода № 20</w:t>
      </w:r>
    </w:p>
    <w:p w14:paraId="558EE0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Начальник филиала завода – Чичерин</w:t>
      </w:r>
    </w:p>
    <w:p w14:paraId="65394F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эвакуирован в октябре 1941 года из Москвы</w:t>
      </w:r>
    </w:p>
    <w:p w14:paraId="62B9D7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Год ввода в эксплуатацию:</w:t>
      </w:r>
    </w:p>
    <w:p w14:paraId="0E8C6F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частичного – 1941-42 гг.</w:t>
      </w:r>
    </w:p>
    <w:p w14:paraId="3CA768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Реконструируемое</w:t>
      </w:r>
    </w:p>
    <w:p w14:paraId="7D580B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Характер производства – мелкосерийное</w:t>
      </w:r>
    </w:p>
    <w:p w14:paraId="35B4EE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Наименование производства – агрегатостроение</w:t>
      </w:r>
    </w:p>
    <w:p w14:paraId="79259A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Березовск Свердловской области, п/я 11 (9414)</w:t>
      </w:r>
    </w:p>
    <w:p w14:paraId="329DF9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 октября 1942 года Паспорт завода № 27</w:t>
      </w:r>
    </w:p>
    <w:p w14:paraId="718063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Казаков</w:t>
      </w:r>
    </w:p>
    <w:p w14:paraId="6577DB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Москва, 22, п/я 2263 (9520)</w:t>
      </w:r>
    </w:p>
    <w:p w14:paraId="423868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 октября 1942 года Паспорт завода № 28</w:t>
      </w:r>
    </w:p>
    <w:p w14:paraId="08FC51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Еремееев (9518)</w:t>
      </w:r>
    </w:p>
    <w:p w14:paraId="52D53D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 октября 1942 года Паспорт завода № 26</w:t>
      </w:r>
    </w:p>
    <w:p w14:paraId="59A421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Уфа, п/я 20 (9522)</w:t>
      </w:r>
    </w:p>
    <w:p w14:paraId="08A8DD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Осенью 1943 года часть завода № 9 реэвакуировалась в Подольск, а часть рабочих и оборудования влились в завод № 296 (9512).</w:t>
      </w:r>
    </w:p>
    <w:p w14:paraId="514043BF" w14:textId="77777777" w:rsidR="00090C9B" w:rsidRPr="00722885" w:rsidRDefault="00090C9B" w:rsidP="00722885">
      <w:pPr>
        <w:pStyle w:val="Iauiue"/>
        <w:jc w:val="both"/>
        <w:rPr>
          <w:color w:val="000000" w:themeColor="text1"/>
          <w:sz w:val="16"/>
          <w:szCs w:val="16"/>
        </w:rPr>
      </w:pPr>
    </w:p>
    <w:p w14:paraId="2973DA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октября 1942 НКАП А.И.Ш. и 28 октября 1942 Зам. Ком. ВВС КА Воржейкин утвердили:</w:t>
      </w:r>
    </w:p>
    <w:p w14:paraId="5CA040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Программа совместных заводских и государственных испытаний дублера самолета БИ с двигетелем Д1-А-1100 конструкции ГИРТ СНК</w:t>
      </w:r>
    </w:p>
    <w:p w14:paraId="0AD298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Цели испытаний...</w:t>
      </w:r>
    </w:p>
    <w:p w14:paraId="4C4019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А. Наземные испытания двигательной установки...</w:t>
      </w:r>
    </w:p>
    <w:p w14:paraId="52201A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Наземные испытания с-та...</w:t>
      </w:r>
    </w:p>
    <w:p w14:paraId="34A36F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Летные испытания (14 полетов) и облетать (3-5 летчиков)</w:t>
      </w:r>
    </w:p>
    <w:p w14:paraId="7CF613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1-й полет, скорость 360 км/час на высоте 3000 м</w:t>
      </w:r>
    </w:p>
    <w:p w14:paraId="076413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2-й полет, скорость 450 км/час на высоте 3500 м</w:t>
      </w:r>
    </w:p>
    <w:p w14:paraId="254320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3-й полет, скорость 550 км/час на высоте 3500 м</w:t>
      </w:r>
    </w:p>
    <w:p w14:paraId="1B3C9C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4-й полет, скорость 650 км/час на высоте 3000 м</w:t>
      </w:r>
    </w:p>
    <w:p w14:paraId="7F42F3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5-й полет, скорость 700 км/час на высоте 2500 м</w:t>
      </w:r>
    </w:p>
    <w:p w14:paraId="467BD5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6-й полет, скорость 750 км/час на высоте 2000 м</w:t>
      </w:r>
    </w:p>
    <w:p w14:paraId="17AE8F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7-й полет, на определение высоты и скороподъемности на скорости 600 км/час</w:t>
      </w:r>
    </w:p>
    <w:p w14:paraId="1ED4F3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Подписали:</w:t>
      </w:r>
    </w:p>
    <w:p w14:paraId="6A9DDF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Зам. дир. и ГК Завода № 293 И.Ф.Флоров</w:t>
      </w:r>
    </w:p>
    <w:p w14:paraId="4596F1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 НИИ ВВС</w:t>
      </w:r>
    </w:p>
    <w:p w14:paraId="4ABBB9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военкома НИИ ВВС Пономарев</w:t>
      </w:r>
    </w:p>
    <w:p w14:paraId="1EC0BE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ГИРТ СНК гм ис Костиков )(909,72).</w:t>
      </w:r>
    </w:p>
    <w:p w14:paraId="634D94B3" w14:textId="77777777" w:rsidR="00090C9B" w:rsidRPr="00722885" w:rsidRDefault="00090C9B" w:rsidP="00722885">
      <w:pPr>
        <w:pStyle w:val="Iauiue"/>
        <w:jc w:val="both"/>
        <w:rPr>
          <w:color w:val="000000" w:themeColor="text1"/>
          <w:sz w:val="16"/>
          <w:szCs w:val="16"/>
        </w:rPr>
      </w:pPr>
    </w:p>
    <w:p w14:paraId="324E7FA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8830CD9" w14:textId="77777777" w:rsidR="00090C9B" w:rsidRPr="00722885" w:rsidRDefault="00090C9B" w:rsidP="00722885">
      <w:pPr>
        <w:pStyle w:val="Iauiue"/>
        <w:jc w:val="both"/>
        <w:rPr>
          <w:iCs/>
          <w:color w:val="000000" w:themeColor="text1"/>
          <w:sz w:val="16"/>
          <w:szCs w:val="16"/>
        </w:rPr>
      </w:pPr>
    </w:p>
    <w:p w14:paraId="26908D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октября 1942 года с главной батареи АНИОПа были проведены показательные стрельбы двумя минами в серийном снаряжении с первой опытной установки ЛАП-7 для командования Ленинградского фронта, на которых присутствовал Военный комиссар артуправления фронта Голубев. Все прошло нормально, замечаний не было.</w:t>
      </w:r>
    </w:p>
    <w:p w14:paraId="129697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По результатам всех испытаний установки ЛАП-7 были сделаны следующие выводы: прочность установки удовлетворительная; поворотные механизмы испытания </w:t>
      </w:r>
      <w:r w:rsidRPr="00722885">
        <w:rPr>
          <w:color w:val="000000" w:themeColor="text1"/>
          <w:sz w:val="16"/>
          <w:szCs w:val="16"/>
        </w:rPr>
        <w:lastRenderedPageBreak/>
        <w:t>выдержали; подъемный механизм следует доработать; боковые борта удлинить; кабину покрыть стальными листами; пуск мин не отработан - изменить электросеть; для работы с прицелом установить фонарь.</w:t>
      </w:r>
    </w:p>
    <w:p w14:paraId="364D81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После проведения испытаний этой установки на АНИОПе предполагалось заказать первую серию из 12 боевых машин ЛАП-7 (в последствии они получили наименование - БМ-28) (6403, 42).</w:t>
      </w:r>
    </w:p>
    <w:p w14:paraId="5672F719" w14:textId="77777777" w:rsidR="00090C9B" w:rsidRPr="00722885" w:rsidRDefault="00090C9B" w:rsidP="00722885">
      <w:pPr>
        <w:pStyle w:val="Iauiue"/>
        <w:jc w:val="both"/>
        <w:rPr>
          <w:color w:val="000000" w:themeColor="text1"/>
          <w:sz w:val="16"/>
          <w:szCs w:val="16"/>
        </w:rPr>
      </w:pPr>
    </w:p>
    <w:p w14:paraId="137E4C5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 октября 1942 года вышел приказ НКБ № 751с</w:t>
      </w:r>
    </w:p>
    <w:p w14:paraId="6F44037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Заводу им. Орджоникидзе в Сталинобаде НКБ присвоить № 679 (5942, 117).</w:t>
      </w:r>
    </w:p>
    <w:p w14:paraId="1F45E637" w14:textId="77777777" w:rsidR="00090C9B" w:rsidRPr="00722885" w:rsidRDefault="00090C9B" w:rsidP="00722885">
      <w:pPr>
        <w:pStyle w:val="Iauiue"/>
        <w:tabs>
          <w:tab w:val="left" w:pos="11199"/>
        </w:tabs>
        <w:jc w:val="both"/>
        <w:rPr>
          <w:color w:val="000000" w:themeColor="text1"/>
          <w:sz w:val="16"/>
          <w:szCs w:val="16"/>
        </w:rPr>
      </w:pPr>
    </w:p>
    <w:p w14:paraId="579D9A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 октября 1942 года во исполнение Постановления СНК № 18398 РС от 26 сентября 1942 года и приказа НКБ за № 740с от 28 ноября 1942 года вышел, завод № 677 был выделен в самостоятельный завод из завода № 179.</w:t>
      </w:r>
    </w:p>
    <w:p w14:paraId="5445CE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Затем завод переходил в Министерство с/х машиностроения, Министерство машиностроения и в МОП, не меняя в основном своего профиля производства – взрыватели.</w:t>
      </w:r>
    </w:p>
    <w:p w14:paraId="150090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Новосибирск, Кировский район, п/я 159</w:t>
      </w:r>
    </w:p>
    <w:p w14:paraId="51C52A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Гутов (10043).</w:t>
      </w:r>
    </w:p>
    <w:p w14:paraId="1403AA89" w14:textId="77777777" w:rsidR="00090C9B" w:rsidRPr="00722885" w:rsidRDefault="00090C9B" w:rsidP="00722885">
      <w:pPr>
        <w:pStyle w:val="Iauiue"/>
        <w:jc w:val="both"/>
        <w:rPr>
          <w:color w:val="000000" w:themeColor="text1"/>
          <w:sz w:val="16"/>
          <w:szCs w:val="16"/>
        </w:rPr>
      </w:pPr>
    </w:p>
    <w:p w14:paraId="6BB2024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октября 1942 г. в протоколе совещания по устранению недостатков КВ-13 появилась запись: «предусмотреть установку на существующем корпусе трех</w:t>
      </w:r>
      <w:r w:rsidRPr="00722885">
        <w:rPr>
          <w:rFonts w:ascii="Times New Roman" w:hAnsi="Times New Roman"/>
          <w:color w:val="000000" w:themeColor="text1"/>
          <w:sz w:val="16"/>
          <w:szCs w:val="16"/>
        </w:rPr>
        <w:softHyphen/>
        <w:t>местной башни». Точно такая же запись имела место быть и в протоколе совещания по устранению недостатков Т-34 (10782).</w:t>
      </w:r>
    </w:p>
    <w:p w14:paraId="270DC2E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5FA9D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октября 1942 вышло Постановление ГКО № 2358 О поручении Берия Л.П. наблюдения и оказания повседневной помощи НКНП. РГАНИР, Фонд ГКО, д. 58, лл. 79 (11012).</w:t>
      </w:r>
    </w:p>
    <w:p w14:paraId="0A69434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3472F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октября 1942 вышло Постановление ГКО № 2360 Об обеспечении Красной Армии лыжами на зиму 1942-43 гг. РГАНИР, Фонд ГКО, д. 58, лл. 82-83, 84-88 (11012).</w:t>
      </w:r>
    </w:p>
    <w:p w14:paraId="5CFF7F4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0C2151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0B10055" w14:textId="77777777" w:rsidR="00090C9B" w:rsidRPr="00722885" w:rsidRDefault="00090C9B" w:rsidP="00722885">
      <w:pPr>
        <w:pStyle w:val="Iauiue"/>
        <w:jc w:val="both"/>
        <w:rPr>
          <w:iCs/>
          <w:color w:val="000000" w:themeColor="text1"/>
          <w:sz w:val="16"/>
          <w:szCs w:val="16"/>
        </w:rPr>
      </w:pPr>
    </w:p>
    <w:p w14:paraId="61668DF3"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 октября </w:t>
      </w:r>
      <w:r w:rsidRPr="00722885">
        <w:rPr>
          <w:rFonts w:ascii="Times New Roman" w:hAnsi="Times New Roman"/>
          <w:color w:val="000000" w:themeColor="text1"/>
          <w:sz w:val="16"/>
          <w:szCs w:val="16"/>
        </w:rPr>
        <w:t>в 1942 году утреннее сообщение Совинформбюро:</w:t>
      </w:r>
    </w:p>
    <w:p w14:paraId="366091A6"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 октября наши войска вели бои с противником в районе Сталинграда и в районе Моздока. На других фронтах существенных изменений не произошло.</w:t>
      </w:r>
    </w:p>
    <w:p w14:paraId="31C05623"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 северо-западной окраине города происходила артиллерийская и миномётная перестрелка. Гвардейцы-миномётчики подбили и сожгли 13 танков, уничтожили шестиствольный миномёт и истребили до 500 гитлеровцев. Юго-западнее Сталинграда наши части выбили немцев из пригородного села. Беззаветное мужество и героизм проявили 14 бойцов во главе со старшим лейтенантом т. Носковым. В течение дня они отбили многочисленные атаки немцев, уничтожили до 200 гитлеровцев и подбили два танка противника.</w:t>
      </w:r>
    </w:p>
    <w:p w14:paraId="3AB54579"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на отдельных участках вели бои спротивником. Бойцы Н-ской части отбили две атаки немецкой пехоты и танков. В результате этого боя истреблено до 350 немецких солдат и офицеров, уничтожены танк, 6 противотанковых орудий, 2 миномёта, несколько автомашин и повозок с боеприпасами. На другом участке артиллеристы гвардейской части подбили 2 немецких танка, уничтожили 3 станковых пулемёта и истребили до двух рот пехоты противника.</w:t>
      </w:r>
    </w:p>
    <w:p w14:paraId="5736F4BE"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Н-ское подразделение ночью устроило засаду около хутора, занятого противником, и истребило 60 немецких солдат и офицеров. Автоматчики тт.Бондин, Гиринов и Быков гранатами уничтожили 3 немецких танка вместе с их экипажами.</w:t>
      </w:r>
    </w:p>
    <w:p w14:paraId="7258094B"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отбили несколько контратак гитлеровцев, уничтожив при этом свыше роты румынской пехоты. На другом участке наши подразделения вели бои с вклинившимся в нашу оборону противником.</w:t>
      </w:r>
    </w:p>
    <w:p w14:paraId="36696E25"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происходили бои местного значения. Группа наших разведчиков, переправившись через водный рубеж, проникла в расположение противника и уничтожила 40 немцев. Другая группа разведчиков южнее Воронежа истребила 35 вражеских солдат. Огнём артиллерии уничтожено до роты гитлеровцев, миномётная батарея и 10 автомашин с грузами.</w:t>
      </w:r>
    </w:p>
    <w:p w14:paraId="05B34A80"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орловских партизан в течение одного дня пустил под откос 3 железнодорожных эшелона немецко-фашистских оккупантов. Первый состав шёл со строительными материалами. Вагоны с грузами сгорели. Во втором эшелоне немцы везли скот в Германию. В третьем поезде было 12 пассажирских вагонов, в которых ехали лётчики, офицеры и солдаты танковых войск. Во время крушения погибло до 200 гитлеровцев.</w:t>
      </w:r>
    </w:p>
    <w:p w14:paraId="4A3DC7CC"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солдат 407 полка 121 немецкой пехотной дивизии Карл Р. сообщил: «В городе Даугавпилсе (Латвия) немецкие военные власти расстреляли несколько сот жителей. Огромную толпу людей под конвоем вывели за город. Там их заставили вырыть большую канаву, выстроили всех около неё и расстреляли из пулемёта»,</w:t>
      </w:r>
    </w:p>
    <w:p w14:paraId="3F26B8E6"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разграбили и разрушили деревню Пологино, Ленинградской области. Гитлеровцы расстреляли и повесили 36 мирных жителей деревни, в том числе 58-летнего колхозника Дмитриева Антона Дмитриевича, 53-летнего Максимова Василия Ивановича, 46-летнего Гусарова Степана Ивановича, 40-летнего Крюкова Антона Алексеевича и других.» (14786).</w:t>
      </w:r>
    </w:p>
    <w:p w14:paraId="4B901696" w14:textId="77777777" w:rsidR="00C84F76" w:rsidRPr="00722885" w:rsidRDefault="00C84F76" w:rsidP="00722885">
      <w:pPr>
        <w:spacing w:after="0" w:line="240" w:lineRule="auto"/>
        <w:jc w:val="both"/>
        <w:rPr>
          <w:rFonts w:ascii="Times New Roman" w:hAnsi="Times New Roman"/>
          <w:color w:val="000000" w:themeColor="text1"/>
          <w:sz w:val="16"/>
          <w:szCs w:val="16"/>
        </w:rPr>
      </w:pPr>
    </w:p>
    <w:p w14:paraId="71BF59D2"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 октября </w:t>
      </w:r>
      <w:r w:rsidRPr="00722885">
        <w:rPr>
          <w:rFonts w:ascii="Times New Roman" w:hAnsi="Times New Roman"/>
          <w:color w:val="000000" w:themeColor="text1"/>
          <w:sz w:val="16"/>
          <w:szCs w:val="16"/>
        </w:rPr>
        <w:t>в 1942 году вечернее сообщение Совинформбюро:</w:t>
      </w:r>
    </w:p>
    <w:p w14:paraId="54E5CB9E"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 октября наши войска вели бои с противником в районе Сталинграда и в районе Моздока. На других фронтах существенных изменений не произошло. Нашими кораблями в Балтийском море потоплено два немецких транспорта общим водоизмещением в 18 тысяч тонн.</w:t>
      </w:r>
    </w:p>
    <w:p w14:paraId="0EC14FD5"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30 сентября частями нашей авиации на различных участках фронта уничтожено или повреждено до 15 немецких танков и 70 автомашин с войсками и грузами, взорвано 4 склада боеприпасов, подавлен огонь 10 артиллерийских батарей, потоплен немецкий транспорт водоизмещением в 4.000 тонн, рассеяно и частью уничтожено до четырёх рот пехоты противника.</w:t>
      </w:r>
    </w:p>
    <w:p w14:paraId="29205348"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бои. На северо-западной окраине города крупные силы противника в течение дня шесть раз атаковали наши позиции. Пять атак были отбиты советскими войсками, и только в результате шестой атаки немцам удалось незначительно продвинуться вперёд. В ходе этих боёв враг понёс большиепотери. Только на одном участке наши бойцы уничтожили 900 гитлеровцев, 12 немецких танков и 30 автомашин.</w:t>
      </w:r>
    </w:p>
    <w:p w14:paraId="5827ADC6"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части выбили немцев из одного населённого пункта. В бою за этот населённый пункт истреблено до 400 немецких солдат и офицеров. Нашими бойцами захвачены 6 орудий, 10 пулемётов, 15 автомашин, 3 склада и другие трофеи. Противник предпринял несколько контратак, но, потеряв до двух рот пехоты, был вынужден отойти.</w:t>
      </w:r>
    </w:p>
    <w:p w14:paraId="05425CC0"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активные боевые действия. Советские артиллеристы, поддерживая пехотные части, подбили 5 немецких танков, подавили огонь 2 артиллерийских и 3 миномётных батарей противника. Немецкие танки пытались высадить десант автоматчиков в тылу Н-ской части. Наши бойцы вовремя заметили манёвр врага. Огнём противотанковых орудий они подбили 6 танков и истребили до 200 немецких автоматчиков.</w:t>
      </w:r>
    </w:p>
    <w:p w14:paraId="5DECE0BB"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бойцы Н-ской части Красной Армии отбили атаку противника и уничтожили 3 танка, 2 бронемашины и до 200 гитлеровцев. На другом участке наши миномётчики совершили огневой налёт на скопление немцев. Уничтожено 20 автомашин с войсками и боеприпасами противника.</w:t>
      </w:r>
    </w:p>
    <w:p w14:paraId="63763B80"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части морской пехоты под командованием тов. Кравченко вели активные бои. За два дня краснофлотцы уничтожили до 500 вражеских солдат и офицеров. По неполным данным, захвачено 30 пулемётов, 21 миномёт, 37 автоматов, 200 мин, 100 гранат и свыше 50.000 винтовочных патронов. Взяты пленные. Над передним краем обороны сбито 6 немецких самолётов.</w:t>
      </w:r>
    </w:p>
    <w:p w14:paraId="49D587F9"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наши части вели оборонительные бои. В течение дня немецкая пехота несколько раз атаковала наши позиции. Бойцы Н-ского соединения отбили атаки гитлеровцев и уничтожили до 700 солдат и офицеров противника. На другом участке фронта наши части в результате активных действий несколько потеснили противника и захватили 2 миномёта, 20 пулемётов, 80 винтовок, 2 радиостанции и другие трофеи.</w:t>
      </w:r>
    </w:p>
    <w:p w14:paraId="1FCE3992"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солдат 594 полка 323 немецкой пехотной дивизии Рудольф Б. рассказал: «Роты 594 полка насчитывали по 160—180 человек каждая. В ходе боёв численный состав полка непрерывно уменьшался. Недавно командир 7 роты обер-фельдфебель Паттерман в разговоре с фельдфебелем Шейке сказал: «У меня в роте осталось 48 солдат и унтер-офицеров». Шейке ответил: «А у меня ещё меньше». В полку нет ни одной роты, в которой было бы больше 50 солдат. Из строя выбыло много офицеров. Убиты командиры 6 и 9 рот. Командир батальона капитан Гофман ранен. Дивизия в целом понесла огромные потери и вот уже около трёх месяцев топчется на одном месте, не имея сил наступать. Многие солдаты говорят, что Гитлер обещал окончить войну к рождеству 1941 года, но обманул нас. Приближается второе рождество, а конца войны еще не видно».</w:t>
      </w:r>
    </w:p>
    <w:p w14:paraId="45834EE9"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массовом истреблении советских военнопленных и мирных советских граждан, заключённых в концентрационном лагере близ Катовиц. В этом лагере недавно вспыхнула эпидемия тифа. По приказу немецких военных властей гитлеровские палачи расстреляли всех заключённых — больных и здоровых.» (14786).</w:t>
      </w:r>
    </w:p>
    <w:p w14:paraId="59771550" w14:textId="77777777" w:rsidR="00C84F76" w:rsidRPr="00722885" w:rsidRDefault="00C84F76" w:rsidP="00722885">
      <w:pPr>
        <w:spacing w:after="0" w:line="240" w:lineRule="auto"/>
        <w:jc w:val="both"/>
        <w:rPr>
          <w:rFonts w:ascii="Times New Roman" w:hAnsi="Times New Roman"/>
          <w:color w:val="000000" w:themeColor="text1"/>
          <w:sz w:val="16"/>
          <w:szCs w:val="16"/>
        </w:rPr>
      </w:pPr>
    </w:p>
    <w:p w14:paraId="487981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1 октября 1942 в единственном 432 авиационном полку, вооруженном ТБ-7, имелось 14 машин, из них только 8 исправных. Даже эти весьма ограниченные силы Сталин постарался выделить из ВВС и непосредственно подчинить себе. Для начала 30 ноября 1941 года Постановлением ГКО, а затем приказом Наркома обороны 81-я дивизия преобразовывалась в 3-ю авиационную дивизию дальнего действия с особым подчинением. Давались довольно широкие права командиру дивизии. Назначения, начиная с командира полка, лично подписывал Сталин. Штаб дивизии переместили в Петровский дворец на Ленинградском шоссе. Через какое-то время, как только немцев отогнали от Москвы, ТБ-7 переместились на аэродром Кратово под Москву (ныне аэродром ЛИИ в Жуковском) (12726).</w:t>
      </w:r>
    </w:p>
    <w:p w14:paraId="786F59C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2D4020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 октября 1942 вышло Постановление ГКО № 2359 Об улучшении подготовки летчиков-истребителей и качеств самолетов-истребителей. (7056, 80-81 ).</w:t>
      </w:r>
    </w:p>
    <w:p w14:paraId="7A5EC58B" w14:textId="77777777" w:rsidR="00090C9B" w:rsidRPr="00722885" w:rsidRDefault="00090C9B" w:rsidP="00722885">
      <w:pPr>
        <w:pStyle w:val="Iauiue"/>
        <w:tabs>
          <w:tab w:val="left" w:pos="11199"/>
        </w:tabs>
        <w:jc w:val="both"/>
        <w:rPr>
          <w:color w:val="000000" w:themeColor="text1"/>
          <w:sz w:val="16"/>
          <w:szCs w:val="16"/>
        </w:rPr>
      </w:pPr>
    </w:p>
    <w:p w14:paraId="20CD6121" w14:textId="77777777" w:rsidR="00E6736D" w:rsidRPr="00722885" w:rsidRDefault="00E6736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октября 1942 вышло Постановление ГКО № 2359 Об улучшении подготовки летчиков-истребителей и качеств самолетов-истребителей</w:t>
      </w:r>
    </w:p>
    <w:p w14:paraId="0213FDBE" w14:textId="77777777" w:rsidR="00E6736D" w:rsidRPr="00722885" w:rsidRDefault="00E6736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улучшения боевой подготовки летчиков- истребителей и устранения имеющихся недостатков на самолетах-истребителях Государственный Комитет Оборо</w:t>
      </w:r>
      <w:r w:rsidRPr="00722885">
        <w:rPr>
          <w:rFonts w:ascii="Times New Roman" w:hAnsi="Times New Roman"/>
          <w:color w:val="000000" w:themeColor="text1"/>
          <w:sz w:val="16"/>
          <w:szCs w:val="16"/>
        </w:rPr>
        <w:softHyphen/>
        <w:t>ны постановляет:</w:t>
      </w:r>
    </w:p>
    <w:p w14:paraId="53FA11D4" w14:textId="77777777" w:rsidR="00E6736D" w:rsidRPr="00722885" w:rsidRDefault="00E6736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Командующего ВВС КА т.Новикова формируе</w:t>
      </w:r>
      <w:r w:rsidRPr="00722885">
        <w:rPr>
          <w:rFonts w:ascii="Times New Roman" w:hAnsi="Times New Roman"/>
          <w:color w:val="000000" w:themeColor="text1"/>
          <w:sz w:val="16"/>
          <w:szCs w:val="16"/>
        </w:rPr>
        <w:softHyphen/>
        <w:t>мые истребительные полки обучать: во-первых, грамотному владению самолетом; во-вторых, хорошо и отлично прицель</w:t>
      </w:r>
      <w:r w:rsidRPr="00722885">
        <w:rPr>
          <w:rFonts w:ascii="Times New Roman" w:hAnsi="Times New Roman"/>
          <w:color w:val="000000" w:themeColor="text1"/>
          <w:sz w:val="16"/>
          <w:szCs w:val="16"/>
        </w:rPr>
        <w:softHyphen/>
        <w:t>но стрелять, хорошо и отлично вести воздушный бой оди</w:t>
      </w:r>
      <w:r w:rsidRPr="00722885">
        <w:rPr>
          <w:rFonts w:ascii="Times New Roman" w:hAnsi="Times New Roman"/>
          <w:color w:val="000000" w:themeColor="text1"/>
          <w:sz w:val="16"/>
          <w:szCs w:val="16"/>
        </w:rPr>
        <w:softHyphen/>
        <w:t>ночно, в паре и в группе. Бее отработки этих качеств полки на фронт не отправлять.</w:t>
      </w:r>
    </w:p>
    <w:p w14:paraId="3B8AC783" w14:textId="77777777" w:rsidR="00E6736D" w:rsidRPr="00722885" w:rsidRDefault="00E6736D" w:rsidP="00722885">
      <w:pPr>
        <w:tabs>
          <w:tab w:val="left" w:pos="240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Вернуть в строй летчиков-истребителей, имеющих боевой опыт и отлично владеющих самолетом, находящихся на заводах НКАП, во внутренних округах, в школах, запасных полках и бригадах. Кроме этого, заменить в системе ПВО Территории Страны </w:t>
      </w:r>
      <w:r w:rsidRPr="00722885">
        <w:rPr>
          <w:rStyle w:val="0pt"/>
          <w:rFonts w:ascii="Times New Roman" w:hAnsi="Times New Roman" w:cs="Times New Roman"/>
          <w:color w:val="000000" w:themeColor="text1"/>
          <w:spacing w:val="0"/>
          <w:sz w:val="16"/>
          <w:szCs w:val="16"/>
        </w:rPr>
        <w:t>100</w:t>
      </w:r>
      <w:r w:rsidRPr="00722885">
        <w:rPr>
          <w:rFonts w:ascii="Times New Roman" w:hAnsi="Times New Roman"/>
          <w:color w:val="000000" w:themeColor="text1"/>
          <w:sz w:val="16"/>
          <w:szCs w:val="16"/>
        </w:rPr>
        <w:t xml:space="preserve"> летчиков-истребителей, имею</w:t>
      </w:r>
      <w:r w:rsidRPr="00722885">
        <w:rPr>
          <w:rFonts w:ascii="Times New Roman" w:hAnsi="Times New Roman"/>
          <w:color w:val="000000" w:themeColor="text1"/>
          <w:sz w:val="16"/>
          <w:szCs w:val="16"/>
        </w:rPr>
        <w:softHyphen/>
        <w:t xml:space="preserve">щих боевой опыт и с хорошей техникой пилотирования, на молодых летчиков-истребителей, окончивших летные школы </w:t>
      </w:r>
      <w:r w:rsidRPr="00722885">
        <w:rPr>
          <w:rStyle w:val="0pt"/>
          <w:rFonts w:ascii="Times New Roman" w:hAnsi="Times New Roman" w:cs="Times New Roman"/>
          <w:color w:val="000000" w:themeColor="text1"/>
          <w:spacing w:val="0"/>
          <w:sz w:val="16"/>
          <w:szCs w:val="16"/>
        </w:rPr>
        <w:t>в 1942</w:t>
      </w:r>
      <w:r w:rsidRPr="00722885">
        <w:rPr>
          <w:rFonts w:ascii="Times New Roman" w:hAnsi="Times New Roman"/>
          <w:color w:val="000000" w:themeColor="text1"/>
          <w:sz w:val="16"/>
          <w:szCs w:val="16"/>
        </w:rPr>
        <w:t xml:space="preserve"> году.</w:t>
      </w:r>
    </w:p>
    <w:p w14:paraId="5614C0BC" w14:textId="77777777" w:rsidR="00E6736D" w:rsidRPr="00722885" w:rsidRDefault="00E6736D" w:rsidP="00722885">
      <w:pPr>
        <w:tabs>
          <w:tab w:val="left" w:pos="1710"/>
        </w:tabs>
        <w:spacing w:after="0" w:line="240" w:lineRule="auto"/>
        <w:jc w:val="both"/>
        <w:rPr>
          <w:rFonts w:ascii="Times New Roman" w:hAnsi="Times New Roman"/>
          <w:color w:val="000000" w:themeColor="text1"/>
          <w:sz w:val="16"/>
          <w:szCs w:val="16"/>
        </w:rPr>
      </w:pPr>
      <w:r w:rsidRPr="00722885">
        <w:rPr>
          <w:rStyle w:val="0pt"/>
          <w:rFonts w:ascii="Times New Roman" w:hAnsi="Times New Roman" w:cs="Times New Roman"/>
          <w:color w:val="000000" w:themeColor="text1"/>
          <w:spacing w:val="0"/>
          <w:sz w:val="16"/>
          <w:szCs w:val="16"/>
        </w:rPr>
        <w:t xml:space="preserve">3. В </w:t>
      </w:r>
      <w:r w:rsidRPr="00722885">
        <w:rPr>
          <w:rFonts w:ascii="Times New Roman" w:hAnsi="Times New Roman"/>
          <w:color w:val="000000" w:themeColor="text1"/>
          <w:sz w:val="16"/>
          <w:szCs w:val="16"/>
        </w:rPr>
        <w:t>целях бесперебойной и безотказной работы вооружения на самолете-истребителе и обкатки мотора и самоле</w:t>
      </w:r>
      <w:r w:rsidRPr="00722885">
        <w:rPr>
          <w:rFonts w:ascii="Times New Roman" w:hAnsi="Times New Roman"/>
          <w:color w:val="000000" w:themeColor="text1"/>
          <w:sz w:val="16"/>
          <w:szCs w:val="16"/>
        </w:rPr>
        <w:softHyphen/>
        <w:t>та, разрешить Командующему ВВС КА т.Новикову, после по</w:t>
      </w:r>
      <w:r w:rsidRPr="00722885">
        <w:rPr>
          <w:rFonts w:ascii="Times New Roman" w:hAnsi="Times New Roman"/>
          <w:color w:val="000000" w:themeColor="text1"/>
          <w:sz w:val="16"/>
          <w:szCs w:val="16"/>
        </w:rPr>
        <w:softHyphen/>
        <w:t>лучения самолетов с завода, довести налет в запасном полку на каждый самолет не менее 10 часов.</w:t>
      </w:r>
    </w:p>
    <w:p w14:paraId="7532C575" w14:textId="77777777" w:rsidR="00E6736D" w:rsidRPr="00722885" w:rsidRDefault="00E6736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целях улучшения боевых качеств самолетов </w:t>
      </w:r>
      <w:r w:rsidRPr="00722885">
        <w:rPr>
          <w:rStyle w:val="0pt"/>
          <w:rFonts w:ascii="Times New Roman" w:hAnsi="Times New Roman" w:cs="Times New Roman"/>
          <w:color w:val="000000" w:themeColor="text1"/>
          <w:spacing w:val="0"/>
          <w:sz w:val="16"/>
          <w:szCs w:val="16"/>
        </w:rPr>
        <w:t>Як-1, Як-7,</w:t>
      </w:r>
      <w:r w:rsidRPr="00722885">
        <w:rPr>
          <w:rFonts w:ascii="Times New Roman" w:hAnsi="Times New Roman"/>
          <w:color w:val="000000" w:themeColor="text1"/>
          <w:sz w:val="16"/>
          <w:szCs w:val="16"/>
        </w:rPr>
        <w:t xml:space="preserve"> Лагг-3 и Л</w:t>
      </w:r>
      <w:r w:rsidRPr="00722885">
        <w:rPr>
          <w:rStyle w:val="0pt"/>
          <w:rFonts w:ascii="Times New Roman" w:hAnsi="Times New Roman" w:cs="Times New Roman"/>
          <w:color w:val="000000" w:themeColor="text1"/>
          <w:spacing w:val="0"/>
          <w:sz w:val="16"/>
          <w:szCs w:val="16"/>
          <w:lang w:val="en-US"/>
        </w:rPr>
        <w:t>a</w:t>
      </w:r>
      <w:r w:rsidRPr="00722885">
        <w:rPr>
          <w:rStyle w:val="0pt"/>
          <w:rFonts w:ascii="Times New Roman" w:hAnsi="Times New Roman" w:cs="Times New Roman"/>
          <w:color w:val="000000" w:themeColor="text1"/>
          <w:spacing w:val="0"/>
          <w:sz w:val="16"/>
          <w:szCs w:val="16"/>
        </w:rPr>
        <w:t>-5</w:t>
      </w:r>
      <w:r w:rsidRPr="00722885">
        <w:rPr>
          <w:rFonts w:ascii="Times New Roman" w:hAnsi="Times New Roman"/>
          <w:color w:val="000000" w:themeColor="text1"/>
          <w:sz w:val="16"/>
          <w:szCs w:val="16"/>
        </w:rPr>
        <w:t xml:space="preserve"> обязать НКАП т.Шахурина и директо</w:t>
      </w:r>
      <w:r w:rsidRPr="00722885">
        <w:rPr>
          <w:rFonts w:ascii="Times New Roman" w:hAnsi="Times New Roman"/>
          <w:color w:val="000000" w:themeColor="text1"/>
          <w:sz w:val="16"/>
          <w:szCs w:val="16"/>
        </w:rPr>
        <w:softHyphen/>
        <w:t xml:space="preserve">ров заводов: № </w:t>
      </w:r>
      <w:r w:rsidRPr="00722885">
        <w:rPr>
          <w:rStyle w:val="0pt"/>
          <w:rFonts w:ascii="Times New Roman" w:hAnsi="Times New Roman" w:cs="Times New Roman"/>
          <w:color w:val="000000" w:themeColor="text1"/>
          <w:spacing w:val="0"/>
          <w:sz w:val="16"/>
          <w:szCs w:val="16"/>
        </w:rPr>
        <w:t>292</w:t>
      </w:r>
      <w:r w:rsidRPr="00722885">
        <w:rPr>
          <w:rFonts w:ascii="Times New Roman" w:hAnsi="Times New Roman"/>
          <w:color w:val="000000" w:themeColor="text1"/>
          <w:sz w:val="16"/>
          <w:szCs w:val="16"/>
        </w:rPr>
        <w:t xml:space="preserve"> тов.Левина, № </w:t>
      </w:r>
      <w:r w:rsidRPr="00722885">
        <w:rPr>
          <w:rStyle w:val="0pt"/>
          <w:rFonts w:ascii="Times New Roman" w:hAnsi="Times New Roman" w:cs="Times New Roman"/>
          <w:color w:val="000000" w:themeColor="text1"/>
          <w:spacing w:val="0"/>
          <w:sz w:val="16"/>
          <w:szCs w:val="16"/>
        </w:rPr>
        <w:t>153</w:t>
      </w:r>
      <w:r w:rsidRPr="00722885">
        <w:rPr>
          <w:rFonts w:ascii="Times New Roman" w:hAnsi="Times New Roman"/>
          <w:color w:val="000000" w:themeColor="text1"/>
          <w:sz w:val="16"/>
          <w:szCs w:val="16"/>
        </w:rPr>
        <w:t xml:space="preserve"> т.Романова, № 21 т.Агадэанова, № 31 т.Саладзе, главных конструкторов т.Яковлева и т.Лавочкина:</w:t>
      </w:r>
    </w:p>
    <w:p w14:paraId="37CE1F8D" w14:textId="77777777" w:rsidR="00E6736D" w:rsidRPr="00722885" w:rsidRDefault="00E6736D" w:rsidP="00722885">
      <w:pPr>
        <w:tabs>
          <w:tab w:val="left" w:pos="276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Выпускать, начиная с 10 октября с.г. самолеты </w:t>
      </w:r>
      <w:r w:rsidRPr="00722885">
        <w:rPr>
          <w:rStyle w:val="0pt"/>
          <w:rFonts w:ascii="Times New Roman" w:hAnsi="Times New Roman" w:cs="Times New Roman"/>
          <w:color w:val="000000" w:themeColor="text1"/>
          <w:spacing w:val="0"/>
          <w:sz w:val="16"/>
          <w:szCs w:val="16"/>
        </w:rPr>
        <w:t>Як-1,</w:t>
      </w:r>
      <w:r w:rsidRPr="00722885">
        <w:rPr>
          <w:rFonts w:ascii="Times New Roman" w:hAnsi="Times New Roman"/>
          <w:color w:val="000000" w:themeColor="text1"/>
          <w:sz w:val="16"/>
          <w:szCs w:val="16"/>
        </w:rPr>
        <w:t xml:space="preserve"> Як-7 и с 15 октября с.г. самолеты Лагг и Ла-5 с улучшенным обзором передней части фонаря пилота (вза</w:t>
      </w:r>
      <w:r w:rsidRPr="00722885">
        <w:rPr>
          <w:rFonts w:ascii="Times New Roman" w:hAnsi="Times New Roman"/>
          <w:color w:val="000000" w:themeColor="text1"/>
          <w:sz w:val="16"/>
          <w:szCs w:val="16"/>
        </w:rPr>
        <w:softHyphen/>
        <w:t>мен выгнутых ставить плоские стекла).</w:t>
      </w:r>
    </w:p>
    <w:p w14:paraId="799D3C69" w14:textId="77777777" w:rsidR="00E6736D" w:rsidRPr="00722885" w:rsidRDefault="00E6736D" w:rsidP="00722885">
      <w:pPr>
        <w:tabs>
          <w:tab w:val="left" w:pos="273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Немедленно улучшить коллиматорный прицел, путем обязательного применения подсвета я окраски в красный цвет лампочки подсвета.</w:t>
      </w:r>
    </w:p>
    <w:p w14:paraId="20238055" w14:textId="77777777" w:rsidR="00E6736D" w:rsidRPr="00722885" w:rsidRDefault="00E6736D" w:rsidP="00722885">
      <w:pPr>
        <w:tabs>
          <w:tab w:val="left" w:pos="240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Ставить на самолетах Як-1 и Ла-5 с 1 октября с.г. и на самолетах Як-7 и Лагг-3 с 15 октября с.г. передаточную радиостанцию на каждом втором выпускаемом самолете.</w:t>
      </w:r>
    </w:p>
    <w:p w14:paraId="0CFEFDD8" w14:textId="77777777" w:rsidR="00E6736D" w:rsidRPr="00722885" w:rsidRDefault="00E6736D" w:rsidP="00722885">
      <w:pPr>
        <w:tabs>
          <w:tab w:val="left" w:pos="116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 целях облегчения управления огнем ввести с 10 нояб</w:t>
      </w:r>
      <w:r w:rsidRPr="00722885">
        <w:rPr>
          <w:rFonts w:ascii="Times New Roman" w:hAnsi="Times New Roman"/>
          <w:color w:val="000000" w:themeColor="text1"/>
          <w:sz w:val="16"/>
          <w:szCs w:val="16"/>
        </w:rPr>
        <w:softHyphen/>
        <w:t>ря на самолетах Як-7 и Ла-5 взамен существующего пневмо</w:t>
      </w:r>
      <w:r w:rsidRPr="00722885">
        <w:rPr>
          <w:rFonts w:ascii="Times New Roman" w:hAnsi="Times New Roman"/>
          <w:color w:val="000000" w:themeColor="text1"/>
          <w:sz w:val="16"/>
          <w:szCs w:val="16"/>
        </w:rPr>
        <w:softHyphen/>
        <w:t>механического спуска - пневмоэлектрический спуск, заменив гашеточное управление на кнопочное по типу самолета "Мессершмит".</w:t>
      </w:r>
    </w:p>
    <w:p w14:paraId="2D5D0D74" w14:textId="77777777" w:rsidR="00E6736D" w:rsidRPr="00722885" w:rsidRDefault="00E6736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Первые 20 самолетов Як-7 и 20 самолетов Ла-5 с пневмо</w:t>
      </w:r>
      <w:r w:rsidRPr="00722885">
        <w:rPr>
          <w:rFonts w:ascii="Times New Roman" w:hAnsi="Times New Roman"/>
          <w:color w:val="000000" w:themeColor="text1"/>
          <w:sz w:val="16"/>
          <w:szCs w:val="16"/>
        </w:rPr>
        <w:softHyphen/>
        <w:t>электрический спуском дать в строевые части к 20 октября с.г.</w:t>
      </w:r>
    </w:p>
    <w:p w14:paraId="65D9E7A4" w14:textId="77777777" w:rsidR="00E6736D" w:rsidRPr="00722885" w:rsidRDefault="00E6736D" w:rsidP="00722885">
      <w:pPr>
        <w:tabs>
          <w:tab w:val="left" w:pos="206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Устранить забрызгивание маслом ковырька фонаря пило</w:t>
      </w:r>
      <w:r w:rsidRPr="00722885">
        <w:rPr>
          <w:rFonts w:ascii="Times New Roman" w:hAnsi="Times New Roman"/>
          <w:color w:val="000000" w:themeColor="text1"/>
          <w:sz w:val="16"/>
          <w:szCs w:val="16"/>
        </w:rPr>
        <w:softHyphen/>
        <w:t>та на самолетах Як-1, Як-7 и Лагг-3 путем установки предо</w:t>
      </w:r>
      <w:r w:rsidRPr="00722885">
        <w:rPr>
          <w:rFonts w:ascii="Times New Roman" w:hAnsi="Times New Roman"/>
          <w:color w:val="000000" w:themeColor="text1"/>
          <w:sz w:val="16"/>
          <w:szCs w:val="16"/>
        </w:rPr>
        <w:softHyphen/>
        <w:t>хранительных сальников конструкции ЛИИ НКАП на самолетах, имеющих винты ВИШ-61, и установкой дренажной трубки для само</w:t>
      </w:r>
      <w:r w:rsidRPr="00722885">
        <w:rPr>
          <w:rFonts w:ascii="Times New Roman" w:hAnsi="Times New Roman"/>
          <w:color w:val="000000" w:themeColor="text1"/>
          <w:sz w:val="16"/>
          <w:szCs w:val="16"/>
        </w:rPr>
        <w:softHyphen/>
        <w:t>летов, имеющих винты ВИШ-105.</w:t>
      </w:r>
    </w:p>
    <w:p w14:paraId="739869DF" w14:textId="77777777" w:rsidR="00E6736D" w:rsidRPr="00722885" w:rsidRDefault="00E6736D" w:rsidP="00722885">
      <w:pPr>
        <w:tabs>
          <w:tab w:val="left" w:pos="115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К 20 октября передать для испытаний в НИИ ВВС КА самолеты Як-7 и Лагг-3, оборудованные совмещенным управле</w:t>
      </w:r>
      <w:r w:rsidRPr="00722885">
        <w:rPr>
          <w:rFonts w:ascii="Times New Roman" w:hAnsi="Times New Roman"/>
          <w:color w:val="000000" w:themeColor="text1"/>
          <w:sz w:val="16"/>
          <w:szCs w:val="16"/>
        </w:rPr>
        <w:softHyphen/>
        <w:t>нием ручкой газа и винта.</w:t>
      </w:r>
    </w:p>
    <w:p w14:paraId="39229469" w14:textId="77777777" w:rsidR="00E6736D" w:rsidRPr="00722885" w:rsidRDefault="00E6736D" w:rsidP="00722885">
      <w:pPr>
        <w:tabs>
          <w:tab w:val="left" w:pos="206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Установку дополнительного бака в фюзеляже самолета Як-7 прекратить, а на самолетах, находящихся в строевых час</w:t>
      </w:r>
      <w:r w:rsidRPr="00722885">
        <w:rPr>
          <w:rFonts w:ascii="Times New Roman" w:hAnsi="Times New Roman"/>
          <w:color w:val="000000" w:themeColor="text1"/>
          <w:sz w:val="16"/>
          <w:szCs w:val="16"/>
        </w:rPr>
        <w:softHyphen/>
        <w:t>тях ВВС КА, дополнительные фюзеляжные бензобаки снять.</w:t>
      </w:r>
    </w:p>
    <w:p w14:paraId="7EA4587B" w14:textId="77777777" w:rsidR="00E6736D" w:rsidRPr="00722885" w:rsidRDefault="00E6736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Отработать до 12 октября на самолете Пе-2 пикировоч</w:t>
      </w:r>
      <w:r w:rsidRPr="00722885">
        <w:rPr>
          <w:rFonts w:ascii="Times New Roman" w:hAnsi="Times New Roman"/>
          <w:color w:val="000000" w:themeColor="text1"/>
          <w:sz w:val="16"/>
          <w:szCs w:val="16"/>
        </w:rPr>
        <w:softHyphen/>
        <w:t>ную сирену.</w:t>
      </w:r>
    </w:p>
    <w:p w14:paraId="01E36CCF" w14:textId="77777777" w:rsidR="00E6736D" w:rsidRPr="00722885" w:rsidRDefault="00E6736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 ноября с.г. самолеты П</w:t>
      </w:r>
      <w:r w:rsidRPr="00722885">
        <w:rPr>
          <w:rFonts w:ascii="Times New Roman" w:hAnsi="Times New Roman"/>
          <w:color w:val="000000" w:themeColor="text1"/>
          <w:sz w:val="16"/>
          <w:szCs w:val="16"/>
          <w:lang w:val="en-US"/>
        </w:rPr>
        <w:t>e</w:t>
      </w:r>
      <w:r w:rsidRPr="00722885">
        <w:rPr>
          <w:rFonts w:ascii="Times New Roman" w:hAnsi="Times New Roman"/>
          <w:color w:val="000000" w:themeColor="text1"/>
          <w:sz w:val="16"/>
          <w:szCs w:val="16"/>
        </w:rPr>
        <w:t>-2, выпускаемые эаводом № 22, оборудовать пикировочными сиренами.</w:t>
      </w:r>
    </w:p>
    <w:p w14:paraId="0CD1FA13" w14:textId="77777777" w:rsidR="00E6736D" w:rsidRPr="00722885" w:rsidRDefault="00E6736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Обязать Командующего ВВС КА т.Новикова к 4 октября с.г. доложить результаты испытаний в НИИ ВВС КА двухместных штурмовиков Ил-2 (19370).</w:t>
      </w:r>
    </w:p>
    <w:p w14:paraId="6E735935" w14:textId="77777777" w:rsidR="007F0FC1" w:rsidRPr="00722885" w:rsidRDefault="007F0FC1" w:rsidP="00722885">
      <w:pPr>
        <w:pStyle w:val="Iauiue"/>
        <w:tabs>
          <w:tab w:val="left" w:pos="11199"/>
        </w:tabs>
        <w:jc w:val="both"/>
        <w:rPr>
          <w:color w:val="000000" w:themeColor="text1"/>
          <w:sz w:val="16"/>
          <w:szCs w:val="16"/>
        </w:rPr>
      </w:pPr>
    </w:p>
    <w:p w14:paraId="5A3240D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октября 1942 46-й полк отвели на пере</w:t>
      </w:r>
      <w:r w:rsidRPr="00722885">
        <w:rPr>
          <w:color w:val="000000" w:themeColor="text1"/>
          <w:sz w:val="16"/>
          <w:szCs w:val="16"/>
        </w:rPr>
        <w:softHyphen/>
        <w:t>формирование, но его 2-я эскадрилья, в которую вошли девять оставшихся в строю самолетов, воевала до конца декабря, когда семь УТ-16 раздали в дру</w:t>
      </w:r>
      <w:r w:rsidRPr="00722885">
        <w:rPr>
          <w:color w:val="000000" w:themeColor="text1"/>
          <w:sz w:val="16"/>
          <w:szCs w:val="16"/>
        </w:rPr>
        <w:softHyphen/>
        <w:t>гие полки. Эти машины разоружили и использовали далее как тренировочные и связные. Например, в октябре 1943 г. на персональном “утенке” летал коман</w:t>
      </w:r>
      <w:r w:rsidRPr="00722885">
        <w:rPr>
          <w:color w:val="000000" w:themeColor="text1"/>
          <w:sz w:val="16"/>
          <w:szCs w:val="16"/>
        </w:rPr>
        <w:softHyphen/>
        <w:t>дующий ВВС Черноморского флота ге</w:t>
      </w:r>
      <w:r w:rsidRPr="00722885">
        <w:rPr>
          <w:color w:val="000000" w:themeColor="text1"/>
          <w:sz w:val="16"/>
          <w:szCs w:val="16"/>
        </w:rPr>
        <w:softHyphen/>
        <w:t>нерал В.В. Ермаченков (3955).</w:t>
      </w:r>
    </w:p>
    <w:p w14:paraId="54EDD603" w14:textId="77777777" w:rsidR="00090C9B" w:rsidRPr="00722885" w:rsidRDefault="00090C9B" w:rsidP="00722885">
      <w:pPr>
        <w:pStyle w:val="Iauiue"/>
        <w:jc w:val="both"/>
        <w:rPr>
          <w:color w:val="000000" w:themeColor="text1"/>
          <w:sz w:val="16"/>
          <w:szCs w:val="16"/>
        </w:rPr>
      </w:pPr>
    </w:p>
    <w:p w14:paraId="433818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Наличие "Коминтернов" на фронтах и в округах на 1 сентября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567"/>
      </w:tblGrid>
      <w:tr w:rsidR="009B487A" w:rsidRPr="00722885" w14:paraId="6DEE16F2" w14:textId="77777777" w:rsidTr="00CC5360">
        <w:tc>
          <w:tcPr>
            <w:tcW w:w="2943" w:type="dxa"/>
            <w:tcBorders>
              <w:top w:val="single" w:sz="12" w:space="0" w:color="auto"/>
            </w:tcBorders>
          </w:tcPr>
          <w:p w14:paraId="5A1066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Карельский фронт</w:t>
            </w:r>
          </w:p>
        </w:tc>
        <w:tc>
          <w:tcPr>
            <w:tcW w:w="567" w:type="dxa"/>
            <w:tcBorders>
              <w:top w:val="single" w:sz="12" w:space="0" w:color="auto"/>
            </w:tcBorders>
          </w:tcPr>
          <w:p w14:paraId="4241B5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r>
      <w:tr w:rsidR="009B487A" w:rsidRPr="00722885" w14:paraId="207F5572" w14:textId="77777777" w:rsidTr="00CC5360">
        <w:tc>
          <w:tcPr>
            <w:tcW w:w="2943" w:type="dxa"/>
          </w:tcPr>
          <w:p w14:paraId="61F342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Ленинградский фронт</w:t>
            </w:r>
          </w:p>
        </w:tc>
        <w:tc>
          <w:tcPr>
            <w:tcW w:w="567" w:type="dxa"/>
          </w:tcPr>
          <w:p w14:paraId="4C5629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w:t>
            </w:r>
          </w:p>
        </w:tc>
      </w:tr>
      <w:tr w:rsidR="009B487A" w:rsidRPr="00722885" w14:paraId="4A1A8CF0" w14:textId="77777777" w:rsidTr="00CC5360">
        <w:tc>
          <w:tcPr>
            <w:tcW w:w="2943" w:type="dxa"/>
          </w:tcPr>
          <w:p w14:paraId="4FFDC8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Волховский фронт</w:t>
            </w:r>
          </w:p>
        </w:tc>
        <w:tc>
          <w:tcPr>
            <w:tcW w:w="567" w:type="dxa"/>
          </w:tcPr>
          <w:p w14:paraId="55EEED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r>
      <w:tr w:rsidR="009B487A" w:rsidRPr="00722885" w14:paraId="4182BD8C" w14:textId="77777777" w:rsidTr="00CC5360">
        <w:tc>
          <w:tcPr>
            <w:tcW w:w="2943" w:type="dxa"/>
          </w:tcPr>
          <w:p w14:paraId="779D9E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Северо-Западный фронт</w:t>
            </w:r>
          </w:p>
        </w:tc>
        <w:tc>
          <w:tcPr>
            <w:tcW w:w="567" w:type="dxa"/>
          </w:tcPr>
          <w:p w14:paraId="74D8F0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23A291A3" w14:textId="77777777" w:rsidTr="00CC5360">
        <w:tc>
          <w:tcPr>
            <w:tcW w:w="2943" w:type="dxa"/>
          </w:tcPr>
          <w:p w14:paraId="4FAE7D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Калининский фронт</w:t>
            </w:r>
          </w:p>
        </w:tc>
        <w:tc>
          <w:tcPr>
            <w:tcW w:w="567" w:type="dxa"/>
          </w:tcPr>
          <w:p w14:paraId="74134D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r>
      <w:tr w:rsidR="009B487A" w:rsidRPr="00722885" w14:paraId="0659ABCD" w14:textId="77777777" w:rsidTr="00CC5360">
        <w:tc>
          <w:tcPr>
            <w:tcW w:w="2943" w:type="dxa"/>
          </w:tcPr>
          <w:p w14:paraId="2EB9E7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Западный фронт</w:t>
            </w:r>
          </w:p>
        </w:tc>
        <w:tc>
          <w:tcPr>
            <w:tcW w:w="567" w:type="dxa"/>
          </w:tcPr>
          <w:p w14:paraId="2CFD23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r>
      <w:tr w:rsidR="009B487A" w:rsidRPr="00722885" w14:paraId="3CBE514F" w14:textId="77777777" w:rsidTr="00CC5360">
        <w:tc>
          <w:tcPr>
            <w:tcW w:w="2943" w:type="dxa"/>
          </w:tcPr>
          <w:p w14:paraId="39208E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Брянский фронт</w:t>
            </w:r>
          </w:p>
        </w:tc>
        <w:tc>
          <w:tcPr>
            <w:tcW w:w="567" w:type="dxa"/>
          </w:tcPr>
          <w:p w14:paraId="310C37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r>
      <w:tr w:rsidR="009B487A" w:rsidRPr="00722885" w14:paraId="2643DA63" w14:textId="77777777" w:rsidTr="00CC5360">
        <w:tc>
          <w:tcPr>
            <w:tcW w:w="2943" w:type="dxa"/>
          </w:tcPr>
          <w:p w14:paraId="6C4224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Воронежский фронт</w:t>
            </w:r>
          </w:p>
        </w:tc>
        <w:tc>
          <w:tcPr>
            <w:tcW w:w="567" w:type="dxa"/>
          </w:tcPr>
          <w:p w14:paraId="4076BD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6022B58" w14:textId="77777777" w:rsidTr="00CC5360">
        <w:tc>
          <w:tcPr>
            <w:tcW w:w="2943" w:type="dxa"/>
          </w:tcPr>
          <w:p w14:paraId="141DD1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Сталинградский фронт</w:t>
            </w:r>
          </w:p>
        </w:tc>
        <w:tc>
          <w:tcPr>
            <w:tcW w:w="567" w:type="dxa"/>
          </w:tcPr>
          <w:p w14:paraId="56FCA9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r>
      <w:tr w:rsidR="009B487A" w:rsidRPr="00722885" w14:paraId="582E9204" w14:textId="77777777" w:rsidTr="00CC5360">
        <w:tc>
          <w:tcPr>
            <w:tcW w:w="2943" w:type="dxa"/>
          </w:tcPr>
          <w:p w14:paraId="0C4598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Юго-Восточный фронт</w:t>
            </w:r>
          </w:p>
        </w:tc>
        <w:tc>
          <w:tcPr>
            <w:tcW w:w="567" w:type="dxa"/>
          </w:tcPr>
          <w:p w14:paraId="64FCFA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r>
      <w:tr w:rsidR="009B487A" w:rsidRPr="00722885" w14:paraId="173ACCDA" w14:textId="77777777" w:rsidTr="00CC5360">
        <w:tc>
          <w:tcPr>
            <w:tcW w:w="2943" w:type="dxa"/>
          </w:tcPr>
          <w:p w14:paraId="0DA493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Северо-Кавказский фронт</w:t>
            </w:r>
          </w:p>
        </w:tc>
        <w:tc>
          <w:tcPr>
            <w:tcW w:w="567" w:type="dxa"/>
          </w:tcPr>
          <w:p w14:paraId="7DC8B0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B6A860E" w14:textId="77777777" w:rsidTr="00CC5360">
        <w:tc>
          <w:tcPr>
            <w:tcW w:w="2943" w:type="dxa"/>
          </w:tcPr>
          <w:p w14:paraId="45D193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Закавказский</w:t>
            </w:r>
          </w:p>
        </w:tc>
        <w:tc>
          <w:tcPr>
            <w:tcW w:w="567" w:type="dxa"/>
          </w:tcPr>
          <w:p w14:paraId="140ABF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r>
      <w:tr w:rsidR="009B487A" w:rsidRPr="00722885" w14:paraId="264E8F8E" w14:textId="77777777" w:rsidTr="00CC5360">
        <w:tc>
          <w:tcPr>
            <w:tcW w:w="2943" w:type="dxa"/>
          </w:tcPr>
          <w:p w14:paraId="40A5C3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7-я отдельная армия</w:t>
            </w:r>
          </w:p>
        </w:tc>
        <w:tc>
          <w:tcPr>
            <w:tcW w:w="567" w:type="dxa"/>
          </w:tcPr>
          <w:p w14:paraId="32489A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r>
      <w:tr w:rsidR="009B487A" w:rsidRPr="00722885" w14:paraId="471C7849" w14:textId="77777777" w:rsidTr="00CC5360">
        <w:tc>
          <w:tcPr>
            <w:tcW w:w="2943" w:type="dxa"/>
          </w:tcPr>
          <w:p w14:paraId="2EE5F5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Забайкальский фронт</w:t>
            </w:r>
          </w:p>
        </w:tc>
        <w:tc>
          <w:tcPr>
            <w:tcW w:w="567" w:type="dxa"/>
          </w:tcPr>
          <w:p w14:paraId="470FE0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w:t>
            </w:r>
          </w:p>
        </w:tc>
      </w:tr>
      <w:tr w:rsidR="009B487A" w:rsidRPr="00722885" w14:paraId="5AABC246" w14:textId="77777777" w:rsidTr="00CC5360">
        <w:tc>
          <w:tcPr>
            <w:tcW w:w="2943" w:type="dxa"/>
          </w:tcPr>
          <w:p w14:paraId="2A3F56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Дальневосточный фронт</w:t>
            </w:r>
          </w:p>
        </w:tc>
        <w:tc>
          <w:tcPr>
            <w:tcW w:w="567" w:type="dxa"/>
          </w:tcPr>
          <w:p w14:paraId="5AE9E9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253</w:t>
            </w:r>
          </w:p>
        </w:tc>
      </w:tr>
      <w:tr w:rsidR="009B487A" w:rsidRPr="00722885" w14:paraId="56168BDD" w14:textId="77777777" w:rsidTr="00CC5360">
        <w:tc>
          <w:tcPr>
            <w:tcW w:w="2943" w:type="dxa"/>
          </w:tcPr>
          <w:p w14:paraId="0A48D7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Московская зона обороны</w:t>
            </w:r>
          </w:p>
        </w:tc>
        <w:tc>
          <w:tcPr>
            <w:tcW w:w="567" w:type="dxa"/>
          </w:tcPr>
          <w:p w14:paraId="27828A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r>
      <w:tr w:rsidR="009B487A" w:rsidRPr="00722885" w14:paraId="5FE85206" w14:textId="77777777" w:rsidTr="00CC5360">
        <w:tc>
          <w:tcPr>
            <w:tcW w:w="2943" w:type="dxa"/>
          </w:tcPr>
          <w:p w14:paraId="3A008A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Архангельский военный округ</w:t>
            </w:r>
          </w:p>
        </w:tc>
        <w:tc>
          <w:tcPr>
            <w:tcW w:w="567" w:type="dxa"/>
          </w:tcPr>
          <w:p w14:paraId="41E096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r>
      <w:tr w:rsidR="009B487A" w:rsidRPr="00722885" w14:paraId="70E0FFD5" w14:textId="77777777" w:rsidTr="00CC5360">
        <w:tc>
          <w:tcPr>
            <w:tcW w:w="2943" w:type="dxa"/>
          </w:tcPr>
          <w:p w14:paraId="6E9F94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Московский военный округ</w:t>
            </w:r>
          </w:p>
        </w:tc>
        <w:tc>
          <w:tcPr>
            <w:tcW w:w="567" w:type="dxa"/>
          </w:tcPr>
          <w:p w14:paraId="7B2260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w:t>
            </w:r>
          </w:p>
        </w:tc>
      </w:tr>
      <w:tr w:rsidR="009B487A" w:rsidRPr="00722885" w14:paraId="3D6BD9BD" w14:textId="77777777" w:rsidTr="00CC5360">
        <w:tc>
          <w:tcPr>
            <w:tcW w:w="2943" w:type="dxa"/>
          </w:tcPr>
          <w:p w14:paraId="02C393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Южно-Уральский военный округ</w:t>
            </w:r>
          </w:p>
        </w:tc>
        <w:tc>
          <w:tcPr>
            <w:tcW w:w="567" w:type="dxa"/>
          </w:tcPr>
          <w:p w14:paraId="23F9B3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r>
      <w:tr w:rsidR="009B487A" w:rsidRPr="00722885" w14:paraId="2604EED6" w14:textId="77777777" w:rsidTr="00CC5360">
        <w:tc>
          <w:tcPr>
            <w:tcW w:w="2943" w:type="dxa"/>
          </w:tcPr>
          <w:p w14:paraId="6D8CFA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Сталинградский военный округ</w:t>
            </w:r>
          </w:p>
        </w:tc>
        <w:tc>
          <w:tcPr>
            <w:tcW w:w="567" w:type="dxa"/>
          </w:tcPr>
          <w:p w14:paraId="546E49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r>
      <w:tr w:rsidR="009B487A" w:rsidRPr="00722885" w14:paraId="0059D49A" w14:textId="77777777" w:rsidTr="00CC5360">
        <w:tc>
          <w:tcPr>
            <w:tcW w:w="2943" w:type="dxa"/>
          </w:tcPr>
          <w:p w14:paraId="264B5F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Средне-Азиатский военный округ</w:t>
            </w:r>
          </w:p>
        </w:tc>
        <w:tc>
          <w:tcPr>
            <w:tcW w:w="567" w:type="dxa"/>
          </w:tcPr>
          <w:p w14:paraId="34A386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r>
      <w:tr w:rsidR="009B487A" w:rsidRPr="00722885" w14:paraId="43183DA7" w14:textId="77777777" w:rsidTr="00CC5360">
        <w:tc>
          <w:tcPr>
            <w:tcW w:w="2943" w:type="dxa"/>
          </w:tcPr>
          <w:p w14:paraId="113DB6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Северо-Кавказский военный округ</w:t>
            </w:r>
          </w:p>
        </w:tc>
        <w:tc>
          <w:tcPr>
            <w:tcW w:w="567" w:type="dxa"/>
          </w:tcPr>
          <w:p w14:paraId="078CE4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r>
      <w:tr w:rsidR="009B487A" w:rsidRPr="00722885" w14:paraId="0CED350A" w14:textId="77777777" w:rsidTr="00CC5360">
        <w:tc>
          <w:tcPr>
            <w:tcW w:w="2943" w:type="dxa"/>
          </w:tcPr>
          <w:p w14:paraId="14020B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w:t>
            </w:r>
          </w:p>
        </w:tc>
        <w:tc>
          <w:tcPr>
            <w:tcW w:w="567" w:type="dxa"/>
          </w:tcPr>
          <w:p w14:paraId="2D7217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624</w:t>
            </w:r>
          </w:p>
        </w:tc>
      </w:tr>
      <w:tr w:rsidR="009B487A" w:rsidRPr="00722885" w14:paraId="02EE9F6C" w14:textId="77777777" w:rsidTr="00CC5360">
        <w:tc>
          <w:tcPr>
            <w:tcW w:w="2943" w:type="dxa"/>
            <w:tcBorders>
              <w:bottom w:val="single" w:sz="12" w:space="0" w:color="auto"/>
            </w:tcBorders>
          </w:tcPr>
          <w:p w14:paraId="031866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Состав парка, %</w:t>
            </w:r>
          </w:p>
        </w:tc>
        <w:tc>
          <w:tcPr>
            <w:tcW w:w="567" w:type="dxa"/>
            <w:tcBorders>
              <w:bottom w:val="single" w:sz="12" w:space="0" w:color="auto"/>
            </w:tcBorders>
          </w:tcPr>
          <w:p w14:paraId="5A0EC0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r>
    </w:tbl>
    <w:p w14:paraId="176691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Составлено по: Механическая тяга артиллерии в Великой Отечественной войне. - М., 1957, с. 48, 49, со ссылкой на архив Штаба артиллерии Советской армии, ф. I, on. 523 сс, арх. 7, л. 50 (12006).</w:t>
      </w:r>
    </w:p>
    <w:p w14:paraId="54D6AC7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AA3F3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октября 1942 вышло Постановление ГКО № 2361 Об утверждении плана отпуска вещевого имущества для Красной Армии на октябрь 1942 г. РГАНИР, Фонд ГКО, д. 58, лл. 89, 90-93 (11012).</w:t>
      </w:r>
    </w:p>
    <w:p w14:paraId="0ED2A87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2969CE0"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 октября </w:t>
      </w:r>
      <w:r w:rsidRPr="00722885">
        <w:rPr>
          <w:rFonts w:ascii="Times New Roman" w:hAnsi="Times New Roman"/>
          <w:color w:val="000000" w:themeColor="text1"/>
          <w:sz w:val="16"/>
          <w:szCs w:val="16"/>
        </w:rPr>
        <w:t>в 1942 году (1-8 октября) немецкие войска заняли северные районы Сталинграда (14786).</w:t>
      </w:r>
    </w:p>
    <w:p w14:paraId="270D1292" w14:textId="77777777" w:rsidR="00C84F76" w:rsidRPr="00722885" w:rsidRDefault="00C84F76" w:rsidP="00722885">
      <w:pPr>
        <w:spacing w:after="0" w:line="240" w:lineRule="auto"/>
        <w:jc w:val="both"/>
        <w:rPr>
          <w:rFonts w:ascii="Times New Roman" w:hAnsi="Times New Roman"/>
          <w:color w:val="000000" w:themeColor="text1"/>
          <w:sz w:val="16"/>
          <w:szCs w:val="16"/>
        </w:rPr>
      </w:pPr>
    </w:p>
    <w:p w14:paraId="3B8E32AC"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 октября </w:t>
      </w:r>
      <w:r w:rsidRPr="00722885">
        <w:rPr>
          <w:rFonts w:ascii="Times New Roman" w:hAnsi="Times New Roman"/>
          <w:color w:val="000000" w:themeColor="text1"/>
          <w:sz w:val="16"/>
          <w:szCs w:val="16"/>
        </w:rPr>
        <w:t>в 1942 году советской подводной лодкой «М-118» потоплено грузовое судно "Salzburg" (1742 брт; бывший "Jonge Anthoni" построен на голландской верфи "V.D Groot" в 1921 году). Перед войной куплен судоходной компанией из Гамбурга. Начало войны застало его в Средиземном море, где он оказался заперт и был передан начальнику морских перевозок "Юго-восток". В начале 1942 переведен на Черное море. 1 октября 1942 г. следовал в составе конвоя, совместно с болгарским транспортом "Zar Ferdinand" в охранении румынских канонерских лодок "Locotenent Commandor Stihi Eugen" и "Sublocotenent Ghigulescu Konstantin" и моторного тральщика MR.7 из Одессы в Сулину. На борту "Зальцбурга" находились 2300 советских военнопленных и 840 тонн руды. В 13:57 судно было торпедировано советской подводной лодкой «М-118» (предположительно, так как лодка об атаке не доносила, связи с ней после выхода на позицию не было и в базу она не вернулась). Спасено 16 немцев, 47 румын и чуть более 200 пленных (14786).</w:t>
      </w:r>
    </w:p>
    <w:p w14:paraId="593ABCD6" w14:textId="77777777" w:rsidR="00C84F76" w:rsidRPr="00722885" w:rsidRDefault="00C84F76" w:rsidP="00722885">
      <w:pPr>
        <w:spacing w:after="0" w:line="240" w:lineRule="auto"/>
        <w:jc w:val="both"/>
        <w:rPr>
          <w:rFonts w:ascii="Times New Roman" w:hAnsi="Times New Roman"/>
          <w:color w:val="000000" w:themeColor="text1"/>
          <w:sz w:val="16"/>
          <w:szCs w:val="16"/>
        </w:rPr>
      </w:pPr>
    </w:p>
    <w:p w14:paraId="3D6B3B1A" w14:textId="77777777" w:rsidR="00587E7C" w:rsidRPr="00722885" w:rsidRDefault="00587E7C" w:rsidP="00722885">
      <w:pPr>
        <w:pStyle w:val="Iauiue"/>
        <w:jc w:val="both"/>
        <w:rPr>
          <w:iCs/>
          <w:color w:val="000000" w:themeColor="text1"/>
          <w:sz w:val="16"/>
          <w:szCs w:val="16"/>
        </w:rPr>
      </w:pPr>
      <w:r w:rsidRPr="00722885">
        <w:rPr>
          <w:i/>
          <w:iCs/>
          <w:color w:val="000000" w:themeColor="text1"/>
          <w:sz w:val="16"/>
          <w:szCs w:val="16"/>
        </w:rPr>
        <w:lastRenderedPageBreak/>
        <w:t>Жизнь и внутренняя политика:</w:t>
      </w:r>
    </w:p>
    <w:p w14:paraId="55C73AB9" w14:textId="77777777" w:rsidR="00587E7C" w:rsidRPr="00722885" w:rsidRDefault="00587E7C" w:rsidP="00722885">
      <w:pPr>
        <w:pStyle w:val="Iauiue"/>
        <w:jc w:val="both"/>
        <w:rPr>
          <w:iCs/>
          <w:color w:val="000000" w:themeColor="text1"/>
          <w:sz w:val="16"/>
          <w:szCs w:val="16"/>
        </w:rPr>
      </w:pPr>
    </w:p>
    <w:p w14:paraId="5724A2B9" w14:textId="77777777" w:rsidR="00587E7C" w:rsidRPr="00722885" w:rsidRDefault="00587E7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октября 1942. Первый день занятий учащихся старших классов московских школ (младшие приступили к занятиям на десять дней раньше) (18696).</w:t>
      </w:r>
    </w:p>
    <w:p w14:paraId="3383730B" w14:textId="77777777" w:rsidR="00587E7C" w:rsidRPr="00722885" w:rsidRDefault="00587E7C" w:rsidP="00722885">
      <w:pPr>
        <w:spacing w:after="0" w:line="240" w:lineRule="auto"/>
        <w:jc w:val="both"/>
        <w:rPr>
          <w:rFonts w:ascii="Times New Roman" w:hAnsi="Times New Roman"/>
          <w:color w:val="000000" w:themeColor="text1"/>
          <w:sz w:val="16"/>
          <w:szCs w:val="16"/>
        </w:rPr>
      </w:pPr>
    </w:p>
    <w:p w14:paraId="54E12CA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5D7C1E8C" w14:textId="77777777" w:rsidR="00090C9B" w:rsidRPr="00722885" w:rsidRDefault="00090C9B" w:rsidP="00722885">
      <w:pPr>
        <w:pStyle w:val="Iauiue"/>
        <w:jc w:val="both"/>
        <w:rPr>
          <w:iCs/>
          <w:color w:val="000000" w:themeColor="text1"/>
          <w:sz w:val="16"/>
          <w:szCs w:val="16"/>
        </w:rPr>
      </w:pPr>
    </w:p>
    <w:p w14:paraId="7DACCD0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октября 1942 г. во вре</w:t>
      </w:r>
      <w:r w:rsidRPr="00722885">
        <w:rPr>
          <w:rFonts w:ascii="Times New Roman" w:hAnsi="Times New Roman"/>
          <w:color w:val="000000" w:themeColor="text1"/>
          <w:sz w:val="16"/>
          <w:szCs w:val="16"/>
        </w:rPr>
        <w:softHyphen/>
        <w:t>мя дальнего тренировочного полета в районе Цзяюйгуань исчез вместе с эки</w:t>
      </w:r>
      <w:r w:rsidRPr="00722885">
        <w:rPr>
          <w:rFonts w:ascii="Times New Roman" w:hAnsi="Times New Roman"/>
          <w:color w:val="000000" w:themeColor="text1"/>
          <w:sz w:val="16"/>
          <w:szCs w:val="16"/>
        </w:rPr>
        <w:softHyphen/>
        <w:t>пажем бомбардировщик командира 6-й эскадрильи Чжоу Шиюна (10734,39).</w:t>
      </w:r>
    </w:p>
    <w:p w14:paraId="6943770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C39A1B4"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29FD5AA5" w14:textId="77777777" w:rsidR="00090C9B" w:rsidRPr="00722885" w:rsidRDefault="00090C9B" w:rsidP="00722885">
      <w:pPr>
        <w:pStyle w:val="Iauiue"/>
        <w:jc w:val="both"/>
        <w:rPr>
          <w:iCs/>
          <w:color w:val="000000" w:themeColor="text1"/>
          <w:sz w:val="16"/>
          <w:szCs w:val="16"/>
          <w:lang w:val="en-US"/>
        </w:rPr>
      </w:pPr>
    </w:p>
    <w:p w14:paraId="778B4720" w14:textId="77777777" w:rsidR="00C84F76" w:rsidRPr="00722885" w:rsidRDefault="00C84F76" w:rsidP="00722885">
      <w:pPr>
        <w:pStyle w:val="Iauiue"/>
        <w:jc w:val="both"/>
        <w:rPr>
          <w:color w:val="000000" w:themeColor="text1"/>
          <w:sz w:val="16"/>
          <w:szCs w:val="16"/>
        </w:rPr>
      </w:pPr>
      <w:r w:rsidRPr="00722885">
        <w:rPr>
          <w:color w:val="000000" w:themeColor="text1"/>
          <w:sz w:val="16"/>
          <w:szCs w:val="16"/>
          <w:lang w:val="en-US"/>
        </w:rPr>
        <w:t xml:space="preserve">1 </w:t>
      </w:r>
      <w:r w:rsidRPr="00722885">
        <w:rPr>
          <w:color w:val="000000" w:themeColor="text1"/>
          <w:sz w:val="16"/>
          <w:szCs w:val="16"/>
        </w:rPr>
        <w:t>октября</w:t>
      </w:r>
      <w:r w:rsidRPr="00722885">
        <w:rPr>
          <w:color w:val="000000" w:themeColor="text1"/>
          <w:sz w:val="16"/>
          <w:szCs w:val="16"/>
          <w:lang w:val="en-US"/>
        </w:rPr>
        <w:t xml:space="preserve"> 1942 </w:t>
      </w:r>
      <w:r w:rsidRPr="00722885">
        <w:rPr>
          <w:color w:val="000000" w:themeColor="text1"/>
          <w:sz w:val="16"/>
          <w:szCs w:val="16"/>
        </w:rPr>
        <w:t>состоялсяпервыйполетБелл</w:t>
      </w:r>
      <w:r w:rsidRPr="00722885">
        <w:rPr>
          <w:color w:val="000000" w:themeColor="text1"/>
          <w:sz w:val="16"/>
          <w:szCs w:val="16"/>
          <w:lang w:val="en-US"/>
        </w:rPr>
        <w:t xml:space="preserve"> - X</w:t>
      </w:r>
      <w:r w:rsidRPr="00722885">
        <w:rPr>
          <w:color w:val="000000" w:themeColor="text1"/>
          <w:sz w:val="16"/>
          <w:szCs w:val="16"/>
        </w:rPr>
        <w:t>Р</w:t>
      </w:r>
      <w:r w:rsidRPr="00722885">
        <w:rPr>
          <w:color w:val="000000" w:themeColor="text1"/>
          <w:sz w:val="16"/>
          <w:szCs w:val="16"/>
          <w:lang w:val="en-US"/>
        </w:rPr>
        <w:t xml:space="preserve">-59A Aircomet (237,200) from the British Whittle prototype, made at Muroc Dry Lake, Calif., with Robert Stanley as pilot (1038). </w:t>
      </w:r>
      <w:r w:rsidRPr="00722885">
        <w:rPr>
          <w:color w:val="000000" w:themeColor="text1"/>
          <w:sz w:val="16"/>
          <w:szCs w:val="16"/>
        </w:rPr>
        <w:t>За 2 дня сделали 8 полетов (3408).</w:t>
      </w:r>
    </w:p>
    <w:p w14:paraId="35349900" w14:textId="77777777" w:rsidR="00C84F76" w:rsidRPr="00722885" w:rsidRDefault="00C84F76" w:rsidP="00722885">
      <w:pPr>
        <w:pStyle w:val="Iauiue"/>
        <w:jc w:val="both"/>
        <w:rPr>
          <w:color w:val="000000" w:themeColor="text1"/>
          <w:sz w:val="16"/>
          <w:szCs w:val="16"/>
        </w:rPr>
      </w:pPr>
    </w:p>
    <w:p w14:paraId="3DDE70F0"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 октября </w:t>
      </w:r>
      <w:r w:rsidRPr="00722885">
        <w:rPr>
          <w:rFonts w:ascii="Times New Roman" w:hAnsi="Times New Roman"/>
          <w:color w:val="000000" w:themeColor="text1"/>
          <w:sz w:val="16"/>
          <w:szCs w:val="16"/>
        </w:rPr>
        <w:t>в 1942 году первый полет американского реактивного самолёта «Bell» «P-59A». Самолет «Белл» «Р-59А» "Эркомет" является первым самолетом с турбореактивным двигателем, построенным в США. Первый полет самолета ХР-59А с двумя турбореактивными двигателями «Дженерал электрик» «1-А», построенными по патенту английского конструктора Уиттла, состоялся 1 октября 1942 г. Максимальная скорость самолета составляла 660 км/час и его практический потолок - 14 000 м. Взлетный вес самолета был равен 5750 кг при весе пустого самолета 3500 кг. Максимальная дальность полета с запасом топлива 1090 л в основных и 1140 л в двух подвесных сбрасываемых баках составляла 830 км на высоте 6000 м при крейсерской скорости 460 км/час. Размеры самолета: размах крыла 13,8 м, длина самолета 11,5 м, высота самолета 3,65 м, площадь крыла 35,4 м2 (14786).</w:t>
      </w:r>
    </w:p>
    <w:p w14:paraId="199F7C29" w14:textId="77777777" w:rsidR="00C84F76" w:rsidRPr="00722885" w:rsidRDefault="00C84F76" w:rsidP="00722885">
      <w:pPr>
        <w:spacing w:after="0" w:line="240" w:lineRule="auto"/>
        <w:jc w:val="both"/>
        <w:rPr>
          <w:rFonts w:ascii="Times New Roman" w:hAnsi="Times New Roman"/>
          <w:color w:val="000000" w:themeColor="text1"/>
          <w:sz w:val="16"/>
          <w:szCs w:val="16"/>
        </w:rPr>
      </w:pPr>
    </w:p>
    <w:p w14:paraId="166AE3A0" w14:textId="77777777" w:rsidR="00C84F76" w:rsidRPr="00722885" w:rsidRDefault="00C84F76" w:rsidP="00722885">
      <w:pPr>
        <w:spacing w:after="0" w:line="240" w:lineRule="auto"/>
        <w:jc w:val="both"/>
        <w:rPr>
          <w:rStyle w:val="ucoz-forum-post"/>
          <w:rFonts w:ascii="Times New Roman" w:eastAsia="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1 октября 1942 года</w:t>
      </w:r>
      <w:r w:rsidRPr="00722885">
        <w:rPr>
          <w:rStyle w:val="ucoz-forum-post"/>
          <w:rFonts w:ascii="Times New Roman" w:eastAsia="Times New Roman" w:hAnsi="Times New Roman"/>
          <w:color w:val="000000" w:themeColor="text1"/>
          <w:sz w:val="16"/>
          <w:szCs w:val="16"/>
        </w:rPr>
        <w:t xml:space="preserve"> Первый полет американского реактивного самолёта Bell P-59A. Самолет Белл Р-59А "Эркомет" является первым самолетом с турбореактивным двигателем, построенным в США. Первый полет самолета ХР-59А с двумя турбореактивными двигателями Дженерал электрик 1-А, построенными по патенту английского конструктора Уиттла, состоялся 1 октября 1942 г. Максимальная скорость самолета составляла 660 км/час и его практический потолок - 14 000 м. Взлетный вес самолета был равен 5750 кг при весе пустого самолета 3500 кг. Максимальная дальность полета с запасом топлива 1090 л в основных и 1140 л в двух подвесных сбрасываемых баках составляла 830 км на высоте 6000 м при крейсерской скорости 460 км/час. Размеры самолета: размах крыла 13,8 м, длина самолета 11,5 м, высота самолета 3,65 м, площадь крыла 35,4 м2.</w:t>
      </w:r>
    </w:p>
    <w:p w14:paraId="1DAB237B" w14:textId="77777777" w:rsidR="00C84F76" w:rsidRPr="00722885" w:rsidRDefault="00C84F76" w:rsidP="00722885">
      <w:pPr>
        <w:spacing w:after="0" w:line="240" w:lineRule="auto"/>
        <w:jc w:val="both"/>
        <w:rPr>
          <w:rStyle w:val="ucoz-forum-post"/>
          <w:rFonts w:ascii="Times New Roman" w:eastAsia="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Никакой роли в боевых действиях «Эркомет» не сыграл. Для этого, как выразился командующий ВВС США генерал Арнольд, у самолета были «ноги коротки». Первые реактивные самолеты «Эркомет» унаследовали от быстроходных винтовых машин необузданный нрав: случалось, что на предельных скоростях они вдруг выходили из-под контроля и вопреки усилиям пилотов переходили в неуправляемое пикирование. Затягивание в пикирование, тряска и прочие неприятности были «первыми звоночками», извещавшими о приближении авиации к так называемому звуковому барьеру. И, вопреки распространенному представлению, преодолевать это препятствие пришлось не одним только машинам, способным обогнать звук (14786).</w:t>
      </w:r>
    </w:p>
    <w:p w14:paraId="497CDB8F" w14:textId="77777777" w:rsidR="00C84F76" w:rsidRPr="00722885" w:rsidRDefault="00C84F76" w:rsidP="00722885">
      <w:pPr>
        <w:spacing w:after="0" w:line="240" w:lineRule="auto"/>
        <w:jc w:val="both"/>
        <w:rPr>
          <w:rStyle w:val="ucoz-forum-post"/>
          <w:rFonts w:ascii="Times New Roman" w:eastAsia="Times New Roman" w:hAnsi="Times New Roman"/>
          <w:color w:val="000000" w:themeColor="text1"/>
          <w:sz w:val="16"/>
          <w:szCs w:val="16"/>
        </w:rPr>
      </w:pPr>
    </w:p>
    <w:p w14:paraId="3E23B563" w14:textId="77777777" w:rsidR="00416559" w:rsidRPr="00722885" w:rsidRDefault="0041655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или 2 октября 1942 года состоялся первый полет прототипа Bell XP-59A Airacomet (20793).</w:t>
      </w:r>
    </w:p>
    <w:p w14:paraId="7AF2779E" w14:textId="77777777" w:rsidR="00416559" w:rsidRPr="00722885" w:rsidRDefault="00416559" w:rsidP="00722885">
      <w:pPr>
        <w:spacing w:after="0" w:line="240" w:lineRule="auto"/>
        <w:jc w:val="both"/>
        <w:rPr>
          <w:rFonts w:ascii="Times New Roman" w:hAnsi="Times New Roman"/>
          <w:color w:val="0070C0"/>
          <w:sz w:val="16"/>
          <w:szCs w:val="16"/>
        </w:rPr>
      </w:pPr>
    </w:p>
    <w:p w14:paraId="55FFC76D"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 октября </w:t>
      </w:r>
      <w:r w:rsidRPr="00722885">
        <w:rPr>
          <w:rFonts w:ascii="Times New Roman" w:hAnsi="Times New Roman"/>
          <w:color w:val="000000" w:themeColor="text1"/>
          <w:sz w:val="16"/>
          <w:szCs w:val="16"/>
        </w:rPr>
        <w:t>в 1942 году в Греции на парашютах была сброшена английская военная миссия с целью укрепить правомонархические антигерманские группировки (14786).</w:t>
      </w:r>
    </w:p>
    <w:p w14:paraId="50928F91" w14:textId="77777777" w:rsidR="00C84F76" w:rsidRPr="00722885" w:rsidRDefault="00C84F76" w:rsidP="00722885">
      <w:pPr>
        <w:spacing w:after="0" w:line="240" w:lineRule="auto"/>
        <w:jc w:val="both"/>
        <w:rPr>
          <w:rFonts w:ascii="Times New Roman" w:hAnsi="Times New Roman"/>
          <w:color w:val="000000" w:themeColor="text1"/>
          <w:sz w:val="16"/>
          <w:szCs w:val="16"/>
        </w:rPr>
      </w:pPr>
    </w:p>
    <w:p w14:paraId="219A87E4"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 октября </w:t>
      </w:r>
      <w:r w:rsidRPr="00722885">
        <w:rPr>
          <w:rFonts w:ascii="Times New Roman" w:hAnsi="Times New Roman"/>
          <w:color w:val="000000" w:themeColor="text1"/>
          <w:sz w:val="16"/>
          <w:szCs w:val="16"/>
        </w:rPr>
        <w:t>в 1942 году Германия располагает 368 подводными лодками (14786).</w:t>
      </w:r>
    </w:p>
    <w:p w14:paraId="405C03FB" w14:textId="77777777" w:rsidR="00C84F76" w:rsidRPr="00722885" w:rsidRDefault="00C84F76" w:rsidP="00722885">
      <w:pPr>
        <w:spacing w:after="0" w:line="240" w:lineRule="auto"/>
        <w:jc w:val="both"/>
        <w:rPr>
          <w:rFonts w:ascii="Times New Roman" w:hAnsi="Times New Roman"/>
          <w:color w:val="000000" w:themeColor="text1"/>
          <w:sz w:val="16"/>
          <w:szCs w:val="16"/>
        </w:rPr>
      </w:pPr>
    </w:p>
    <w:p w14:paraId="251178F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 октября 1942 у берегов Китая американской подлодкой потоплен японский корабль, перевозивший американских и канадских военнопленных, 840 из которых погибли (4962).</w:t>
      </w:r>
    </w:p>
    <w:p w14:paraId="2A5A9232" w14:textId="77777777" w:rsidR="00090C9B" w:rsidRPr="00722885" w:rsidRDefault="00090C9B" w:rsidP="00722885">
      <w:pPr>
        <w:pStyle w:val="Iauiue"/>
        <w:tabs>
          <w:tab w:val="left" w:pos="11199"/>
        </w:tabs>
        <w:jc w:val="both"/>
        <w:rPr>
          <w:color w:val="000000" w:themeColor="text1"/>
          <w:sz w:val="16"/>
          <w:szCs w:val="16"/>
        </w:rPr>
      </w:pPr>
    </w:p>
    <w:p w14:paraId="6FA7424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EA7A8BD" w14:textId="77777777" w:rsidR="00090C9B" w:rsidRPr="00722885" w:rsidRDefault="00090C9B" w:rsidP="00722885">
      <w:pPr>
        <w:pStyle w:val="Iauiue"/>
        <w:jc w:val="both"/>
        <w:rPr>
          <w:iCs/>
          <w:color w:val="000000" w:themeColor="text1"/>
          <w:sz w:val="16"/>
          <w:szCs w:val="16"/>
        </w:rPr>
      </w:pPr>
    </w:p>
    <w:p w14:paraId="010144FD"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 октября 1942 г. в Акте «По полигонному отстрелу самолета Ил-2, вооруженного 2 крыльевыми пушками ка</w:t>
      </w:r>
      <w:r w:rsidRPr="00722885">
        <w:rPr>
          <w:color w:val="000000" w:themeColor="text1"/>
          <w:sz w:val="16"/>
          <w:szCs w:val="16"/>
        </w:rPr>
        <w:softHyphen/>
        <w:t>либра 37 мм системы Шпитального (ОКБ-15)» от отмечалось, что «для повышения эффективности стрельбы необходимо организо</w:t>
      </w:r>
      <w:r w:rsidRPr="00722885">
        <w:rPr>
          <w:color w:val="000000" w:themeColor="text1"/>
          <w:sz w:val="16"/>
          <w:szCs w:val="16"/>
        </w:rPr>
        <w:softHyphen/>
        <w:t>вать систематическую тренировку летного состава в стрельбе по танкам».</w:t>
      </w:r>
    </w:p>
    <w:p w14:paraId="28C047CC"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состоял в том, что штурмовик Ил-2 с пушками Ш-37 является мощным средством борьбы с немецкими легкими и средними танками. Для его эффективного боевого применения летный состав должен быть хорошо натренирован в веде</w:t>
      </w:r>
      <w:r w:rsidRPr="00722885">
        <w:rPr>
          <w:color w:val="000000" w:themeColor="text1"/>
          <w:sz w:val="16"/>
          <w:szCs w:val="16"/>
        </w:rPr>
        <w:softHyphen/>
        <w:t>нии прицельного огня короткими очередями (3—5 снарядов в очереди) по малоразмерным целям (от</w:t>
      </w:r>
      <w:r w:rsidRPr="00722885">
        <w:rPr>
          <w:color w:val="000000" w:themeColor="text1"/>
          <w:sz w:val="16"/>
          <w:szCs w:val="16"/>
        </w:rPr>
        <w:softHyphen/>
        <w:t>дельный танк, автомашина и т.д.) и иметь отличную летную подготовку.</w:t>
      </w:r>
    </w:p>
    <w:p w14:paraId="738F2530"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Рекомендовалось построить небольшую серию таких самолетов для проведения войсковых испы</w:t>
      </w:r>
      <w:r w:rsidRPr="00722885">
        <w:rPr>
          <w:color w:val="000000" w:themeColor="text1"/>
          <w:sz w:val="16"/>
          <w:szCs w:val="16"/>
        </w:rPr>
        <w:softHyphen/>
        <w:t>таний и сформировать в полках специальные груп</w:t>
      </w:r>
      <w:r w:rsidRPr="00722885">
        <w:rPr>
          <w:color w:val="000000" w:themeColor="text1"/>
          <w:sz w:val="16"/>
          <w:szCs w:val="16"/>
        </w:rPr>
        <w:softHyphen/>
        <w:t>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w:t>
      </w:r>
    </w:p>
    <w:p w14:paraId="5592A41A"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Попутно заметим, что последнее положение, например, нашло свое отражение в «Основных ука</w:t>
      </w:r>
      <w:r w:rsidRPr="00722885">
        <w:rPr>
          <w:color w:val="000000" w:themeColor="text1"/>
          <w:sz w:val="16"/>
          <w:szCs w:val="16"/>
        </w:rPr>
        <w:softHyphen/>
        <w:t>заниях по использованию германской штурмовой авиации для действий по танкам» от 3 июня 1942 г., где указывается: «Для действий по танкам исполь</w:t>
      </w:r>
      <w:r w:rsidRPr="00722885">
        <w:rPr>
          <w:color w:val="000000" w:themeColor="text1"/>
          <w:sz w:val="16"/>
          <w:szCs w:val="16"/>
        </w:rPr>
        <w:softHyphen/>
        <w:t>зуются специально подготовленные экипажи. Ис</w:t>
      </w:r>
      <w:r w:rsidRPr="00722885">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722885">
        <w:rPr>
          <w:color w:val="000000" w:themeColor="text1"/>
          <w:sz w:val="16"/>
          <w:szCs w:val="16"/>
        </w:rPr>
        <w:softHyphen/>
        <w:t>вую подготовку».</w:t>
      </w:r>
    </w:p>
    <w:p w14:paraId="75AE4CD6"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утверждения результатов по полигон</w:t>
      </w:r>
      <w:r w:rsidRPr="00722885">
        <w:rPr>
          <w:color w:val="000000" w:themeColor="text1"/>
          <w:sz w:val="16"/>
          <w:szCs w:val="16"/>
        </w:rPr>
        <w:softHyphen/>
        <w:t>ным испытаниям вооружения самолета Ил-2 на эффективность действия по трофейным немец</w:t>
      </w:r>
      <w:r w:rsidRPr="00722885">
        <w:rPr>
          <w:color w:val="000000" w:themeColor="text1"/>
          <w:sz w:val="16"/>
          <w:szCs w:val="16"/>
        </w:rPr>
        <w:softHyphen/>
        <w:t>ким танкам и бронемашинам начальником НИП АВ ВВС полковником Л. П. Лобачевым материалы 21 июля были направлены главному инженеру ВВС генерал-лейтенанту А. К. Репину, который ут</w:t>
      </w:r>
      <w:r w:rsidRPr="00722885">
        <w:rPr>
          <w:color w:val="000000" w:themeColor="text1"/>
          <w:sz w:val="16"/>
          <w:szCs w:val="16"/>
        </w:rPr>
        <w:softHyphen/>
        <w:t>вердил отчет 24 июля. Уже через два дня, 26 июля, с отчетом ознакомился командующий ВВС гене</w:t>
      </w:r>
      <w:r w:rsidRPr="00722885">
        <w:rPr>
          <w:color w:val="000000" w:themeColor="text1"/>
          <w:sz w:val="16"/>
          <w:szCs w:val="16"/>
        </w:rPr>
        <w:softHyphen/>
        <w:t>рал-лейтенант А. А. Новиков и утвердил результа</w:t>
      </w:r>
      <w:r w:rsidRPr="00722885">
        <w:rPr>
          <w:color w:val="000000" w:themeColor="text1"/>
          <w:sz w:val="16"/>
          <w:szCs w:val="16"/>
        </w:rPr>
        <w:softHyphen/>
        <w:t>ты испытаний.</w:t>
      </w:r>
    </w:p>
    <w:p w14:paraId="3AC6B450"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распоряжению командующего ВВС один эк</w:t>
      </w:r>
      <w:r w:rsidRPr="00722885">
        <w:rPr>
          <w:color w:val="000000" w:themeColor="text1"/>
          <w:sz w:val="16"/>
          <w:szCs w:val="16"/>
        </w:rPr>
        <w:softHyphen/>
        <w:t>земпляр отчета 31 июля был направлен для озна</w:t>
      </w:r>
      <w:r w:rsidRPr="00722885">
        <w:rPr>
          <w:color w:val="000000" w:themeColor="text1"/>
          <w:sz w:val="16"/>
          <w:szCs w:val="16"/>
        </w:rPr>
        <w:softHyphen/>
        <w:t>комления начальнику Генерального штаба Красной Армии маршалу Б. М. Шапошникову. По одному экземпляру получили начальник НИИ ВВС гене</w:t>
      </w:r>
      <w:r w:rsidRPr="00722885">
        <w:rPr>
          <w:color w:val="000000" w:themeColor="text1"/>
          <w:sz w:val="16"/>
          <w:szCs w:val="16"/>
        </w:rPr>
        <w:softHyphen/>
        <w:t>рал-майор П. А. Лосюков и заместитель командую</w:t>
      </w:r>
      <w:r w:rsidRPr="00722885">
        <w:rPr>
          <w:color w:val="000000" w:themeColor="text1"/>
          <w:sz w:val="16"/>
          <w:szCs w:val="16"/>
        </w:rPr>
        <w:softHyphen/>
        <w:t>щего ВВС КА по воздушно-стрелковой службе гене</w:t>
      </w:r>
      <w:r w:rsidRPr="00722885">
        <w:rPr>
          <w:color w:val="000000" w:themeColor="text1"/>
          <w:sz w:val="16"/>
          <w:szCs w:val="16"/>
        </w:rPr>
        <w:softHyphen/>
        <w:t>рал-майор А. М. Рафалович.</w:t>
      </w:r>
    </w:p>
    <w:p w14:paraId="74004397"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подойти критически к оценке результатов полигонных испытаний, то можно сказать следую</w:t>
      </w:r>
      <w:r w:rsidRPr="00722885">
        <w:rPr>
          <w:color w:val="000000" w:themeColor="text1"/>
          <w:sz w:val="16"/>
          <w:szCs w:val="16"/>
        </w:rPr>
        <w:softHyphen/>
        <w:t>щее. Испытание пушечного вооружения было про</w:t>
      </w:r>
      <w:r w:rsidRPr="00722885">
        <w:rPr>
          <w:color w:val="000000" w:themeColor="text1"/>
          <w:sz w:val="16"/>
          <w:szCs w:val="16"/>
        </w:rPr>
        <w:softHyphen/>
        <w:t>ведено достаточно тщательно, а испытание бомб и ракетных снарядов — неполно.</w:t>
      </w:r>
    </w:p>
    <w:p w14:paraId="492DF296"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например, с целью определения эффектив</w:t>
      </w:r>
      <w:r w:rsidRPr="00722885">
        <w:rPr>
          <w:color w:val="000000" w:themeColor="text1"/>
          <w:sz w:val="16"/>
          <w:szCs w:val="16"/>
        </w:rPr>
        <w:softHyphen/>
        <w:t>ности действия были испытаны подрывом бом</w:t>
      </w:r>
      <w:r w:rsidRPr="00722885">
        <w:rPr>
          <w:color w:val="000000" w:themeColor="text1"/>
          <w:sz w:val="16"/>
          <w:szCs w:val="16"/>
        </w:rPr>
        <w:softHyphen/>
        <w:t>бы типа АО-25сл, АО-25м13, ФАБ-50сч, ФАБ-100цк и ФАБ-250, тогда как наиболее успешно применя</w:t>
      </w:r>
      <w:r w:rsidRPr="00722885">
        <w:rPr>
          <w:color w:val="000000" w:themeColor="text1"/>
          <w:sz w:val="16"/>
          <w:szCs w:val="16"/>
        </w:rPr>
        <w:softHyphen/>
        <w:t>ются в условиях боя бомбы ФАБ-50м2 и ФАБ-50м9. Опытные бомбы типа ФАБ-50—100 вообще не ис- пытывались.</w:t>
      </w:r>
    </w:p>
    <w:p w14:paraId="02C052B7"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Методика испытаний подрывами бомб на по</w:t>
      </w:r>
      <w:r w:rsidRPr="00722885">
        <w:rPr>
          <w:color w:val="000000" w:themeColor="text1"/>
          <w:sz w:val="16"/>
          <w:szCs w:val="16"/>
        </w:rPr>
        <w:softHyphen/>
        <w:t>верхности грунта не отражает работу бомб при сбрасывании их с самолета в боевой обстановке. Действительно, бомба с взрывателем мгновенного действия, сброшенная с высоты, благодаря инерт</w:t>
      </w:r>
      <w:r w:rsidRPr="00722885">
        <w:rPr>
          <w:color w:val="000000" w:themeColor="text1"/>
          <w:sz w:val="16"/>
          <w:szCs w:val="16"/>
        </w:rPr>
        <w:softHyphen/>
        <w:t>ности последнего успевает углубиться в преграду. При взрыве образуется воронка глубиной до 0,6 м и часть наиболее крупных осколков от головной части бомбы перехватывается преградой или ча</w:t>
      </w:r>
      <w:r w:rsidRPr="00722885">
        <w:rPr>
          <w:color w:val="000000" w:themeColor="text1"/>
          <w:sz w:val="16"/>
          <w:szCs w:val="16"/>
        </w:rPr>
        <w:softHyphen/>
        <w:t>стично выбрасывается вместе с преградой со зна</w:t>
      </w:r>
      <w:r w:rsidRPr="00722885">
        <w:rPr>
          <w:color w:val="000000" w:themeColor="text1"/>
          <w:sz w:val="16"/>
          <w:szCs w:val="16"/>
        </w:rPr>
        <w:softHyphen/>
        <w:t>чительно меньшей начальной скоростью, чем при открытом взрыве. Кроме того, выбранные значения углов места, при которых проводились подрывы бомб, не соответствуют углам падения бомб при сбросе с типовых высот боевого применения штур</w:t>
      </w:r>
      <w:r w:rsidRPr="00722885">
        <w:rPr>
          <w:color w:val="000000" w:themeColor="text1"/>
          <w:sz w:val="16"/>
          <w:szCs w:val="16"/>
        </w:rPr>
        <w:softHyphen/>
        <w:t>мовика Ил-2.</w:t>
      </w:r>
    </w:p>
    <w:p w14:paraId="2731F160"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Таким образом, предложенный метод подрыва бомб не давал полной картины действительных ус</w:t>
      </w:r>
      <w:r w:rsidRPr="00722885">
        <w:rPr>
          <w:color w:val="000000" w:themeColor="text1"/>
          <w:sz w:val="16"/>
          <w:szCs w:val="16"/>
        </w:rPr>
        <w:softHyphen/>
        <w:t>ловий взрыва ни бомб, сброшенных с высоты, ни бомб, сброшенных на штурмовом полете, так как в последнем случае, как правило, бомбы рвутся в горизонтальном положении, после падения их на земле.</w:t>
      </w:r>
    </w:p>
    <w:p w14:paraId="4205C0E0"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Выводы о действии бомб и РОФС по танкам были сделаны, судя по отчету, на основании еди</w:t>
      </w:r>
      <w:r w:rsidRPr="00722885">
        <w:rPr>
          <w:color w:val="000000" w:themeColor="text1"/>
          <w:sz w:val="16"/>
          <w:szCs w:val="16"/>
        </w:rPr>
        <w:softHyphen/>
        <w:t>ничных наблюдений, а потому не могут быть пол</w:t>
      </w:r>
      <w:r w:rsidRPr="00722885">
        <w:rPr>
          <w:color w:val="000000" w:themeColor="text1"/>
          <w:sz w:val="16"/>
          <w:szCs w:val="16"/>
        </w:rPr>
        <w:softHyphen/>
        <w:t>ными и безупречными. В частности, РОФС-132 был подорван на удалении 1 м от танка и дал меньшее поражение танка по сравнению с АО-25м13 (явля</w:t>
      </w:r>
      <w:r w:rsidRPr="00722885">
        <w:rPr>
          <w:color w:val="000000" w:themeColor="text1"/>
          <w:sz w:val="16"/>
          <w:szCs w:val="16"/>
        </w:rPr>
        <w:softHyphen/>
        <w:t>ющейся переделкой из головной части РОФС-132), подорванной на удалении 3 м от танка.</w:t>
      </w:r>
    </w:p>
    <w:p w14:paraId="71C5296A"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Кроме того, в рекомендациях строевым частям были значительно завышены дальности стрельбы ракетными снарядами и не совсем корректно обо</w:t>
      </w:r>
      <w:r w:rsidRPr="00722885">
        <w:rPr>
          <w:color w:val="000000" w:themeColor="text1"/>
          <w:sz w:val="16"/>
          <w:szCs w:val="16"/>
        </w:rPr>
        <w:softHyphen/>
        <w:t>сновано использование двух видов вооружения (например, РС и пушек или пушек и бомб) в одном заходе.</w:t>
      </w:r>
    </w:p>
    <w:p w14:paraId="33D2B1C2"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Действительно, как следует из расчетов по ре</w:t>
      </w:r>
      <w:r w:rsidRPr="00722885">
        <w:rPr>
          <w:color w:val="000000" w:themeColor="text1"/>
          <w:sz w:val="16"/>
          <w:szCs w:val="16"/>
        </w:rPr>
        <w:softHyphen/>
        <w:t>зультатам полигонных испытаний и анализа бое</w:t>
      </w:r>
      <w:r w:rsidRPr="00722885">
        <w:rPr>
          <w:color w:val="000000" w:themeColor="text1"/>
          <w:sz w:val="16"/>
          <w:szCs w:val="16"/>
        </w:rPr>
        <w:softHyphen/>
        <w:t>вого опыта, выполнение одиночных или парных пусков РС-82 с дальности 600 м, как это рекомен</w:t>
      </w:r>
      <w:r w:rsidRPr="00722885">
        <w:rPr>
          <w:color w:val="000000" w:themeColor="text1"/>
          <w:sz w:val="16"/>
          <w:szCs w:val="16"/>
        </w:rPr>
        <w:softHyphen/>
        <w:t>довалось НИП АВ, обеспечивало вероятность поражения танка в 6—7 раз меньше, чем стрельба залпом по 4—8 ракетных снарядов с дальности 400—300 м.</w:t>
      </w:r>
    </w:p>
    <w:p w14:paraId="34FA28D5"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использование двух видов во</w:t>
      </w:r>
      <w:r w:rsidRPr="00722885">
        <w:rPr>
          <w:color w:val="000000" w:themeColor="text1"/>
          <w:sz w:val="16"/>
          <w:szCs w:val="16"/>
        </w:rPr>
        <w:softHyphen/>
        <w:t>оружения штурмовика в одном заходе не позволя</w:t>
      </w:r>
      <w:r w:rsidRPr="00722885">
        <w:rPr>
          <w:color w:val="000000" w:themeColor="text1"/>
          <w:sz w:val="16"/>
          <w:szCs w:val="16"/>
        </w:rPr>
        <w:softHyphen/>
        <w:t>ло с максимальной эффективностью использовать второй по счету вид оружия, поскольку точность прицеливания для этого вида оружия снижалась примерно на 20—25% по сравнению с ситуацией, когда в одном заходе используется только одно оружие.</w:t>
      </w:r>
    </w:p>
    <w:p w14:paraId="7BFD468C"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Анализ боевых возможностей Ил-2 показывает, что более правильным было бы атаковывать ко</w:t>
      </w:r>
      <w:r w:rsidRPr="00722885">
        <w:rPr>
          <w:color w:val="000000" w:themeColor="text1"/>
          <w:sz w:val="16"/>
          <w:szCs w:val="16"/>
        </w:rPr>
        <w:softHyphen/>
        <w:t>роткую цель (бронированную или небронирован ную) как минимум в трех заходах с планирования под углом 25—30° с высоты 500—800 м, применяя в каждом заходе только один вид оружия. Напри</w:t>
      </w:r>
      <w:r w:rsidRPr="00722885">
        <w:rPr>
          <w:color w:val="000000" w:themeColor="text1"/>
          <w:sz w:val="16"/>
          <w:szCs w:val="16"/>
        </w:rPr>
        <w:softHyphen/>
        <w:t xml:space="preserve">мер, в первом заходе осуществляется </w:t>
      </w:r>
      <w:r w:rsidRPr="00722885">
        <w:rPr>
          <w:color w:val="000000" w:themeColor="text1"/>
          <w:sz w:val="16"/>
          <w:szCs w:val="16"/>
        </w:rPr>
        <w:lastRenderedPageBreak/>
        <w:t>пуск реак</w:t>
      </w:r>
      <w:r w:rsidRPr="00722885">
        <w:rPr>
          <w:color w:val="000000" w:themeColor="text1"/>
          <w:sz w:val="16"/>
          <w:szCs w:val="16"/>
        </w:rPr>
        <w:softHyphen/>
        <w:t>тивных снарядов залпом из 4 снарядов с дально</w:t>
      </w:r>
      <w:r w:rsidRPr="00722885">
        <w:rPr>
          <w:color w:val="000000" w:themeColor="text1"/>
          <w:sz w:val="16"/>
          <w:szCs w:val="16"/>
        </w:rPr>
        <w:softHyphen/>
        <w:t>сти не более 400—300 м. Затем, во втором заходе, на выходе из планирования выполняется сброс бомб. Начиная с третьего захода, цель обстрели</w:t>
      </w:r>
      <w:r w:rsidRPr="00722885">
        <w:rPr>
          <w:color w:val="000000" w:themeColor="text1"/>
          <w:sz w:val="16"/>
          <w:szCs w:val="16"/>
        </w:rPr>
        <w:softHyphen/>
        <w:t>вается пушечно-пулеметным огнем с дистанции до 400—300 м. Атака длинной цели вполне могла производиться с бреющего полета, как это реко</w:t>
      </w:r>
      <w:r w:rsidRPr="00722885">
        <w:rPr>
          <w:color w:val="000000" w:themeColor="text1"/>
          <w:sz w:val="16"/>
          <w:szCs w:val="16"/>
        </w:rPr>
        <w:softHyphen/>
        <w:t>мендовали специалисты НИП АВ, но обязательно с раздельным использованием каждого вида во</w:t>
      </w:r>
      <w:r w:rsidRPr="00722885">
        <w:rPr>
          <w:color w:val="000000" w:themeColor="text1"/>
          <w:sz w:val="16"/>
          <w:szCs w:val="16"/>
        </w:rPr>
        <w:softHyphen/>
        <w:t>оружения Ил-2 при дальностях залпового пуска РС и начала пулеметно-пушечной стрельбы не более 400 м.</w:t>
      </w:r>
    </w:p>
    <w:p w14:paraId="3E885A87"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заключении от 12 сентября 1942 г. к отчету НИП АВ ВВС, подготовленном помощником началь</w:t>
      </w:r>
      <w:r w:rsidRPr="00722885">
        <w:rPr>
          <w:color w:val="000000" w:themeColor="text1"/>
          <w:sz w:val="16"/>
          <w:szCs w:val="16"/>
        </w:rPr>
        <w:softHyphen/>
        <w:t>ника 2-го отдела Оперативного управления штаба ВВС КА военным инженером 2-го ранга И. В. Пиме- новым, отмечалась «необходимость самого срочно</w:t>
      </w:r>
      <w:r w:rsidRPr="00722885">
        <w:rPr>
          <w:color w:val="000000" w:themeColor="text1"/>
          <w:sz w:val="16"/>
          <w:szCs w:val="16"/>
        </w:rPr>
        <w:softHyphen/>
        <w:t>го введения на вооружение Ил-2 с 37-мм пушками ОКБ-15 или ОКБ-16, лучше одной для стрельбы че</w:t>
      </w:r>
      <w:r w:rsidRPr="00722885">
        <w:rPr>
          <w:color w:val="000000" w:themeColor="text1"/>
          <w:sz w:val="16"/>
          <w:szCs w:val="16"/>
        </w:rPr>
        <w:softHyphen/>
        <w:t>рез втулку редуктора». Предлагалось незамедли</w:t>
      </w:r>
      <w:r w:rsidRPr="00722885">
        <w:rPr>
          <w:color w:val="000000" w:themeColor="text1"/>
          <w:sz w:val="16"/>
          <w:szCs w:val="16"/>
        </w:rPr>
        <w:softHyphen/>
        <w:t>тельно отработать и принять «на вооружение спе</w:t>
      </w:r>
      <w:r w:rsidRPr="00722885">
        <w:rPr>
          <w:color w:val="000000" w:themeColor="text1"/>
          <w:sz w:val="16"/>
          <w:szCs w:val="16"/>
        </w:rPr>
        <w:softHyphen/>
        <w:t>циальных противотанковых авиапушек с началь</w:t>
      </w:r>
      <w:r w:rsidRPr="00722885">
        <w:rPr>
          <w:color w:val="000000" w:themeColor="text1"/>
          <w:sz w:val="16"/>
          <w:szCs w:val="16"/>
        </w:rPr>
        <w:softHyphen/>
        <w:t>ной скоростью снаряда порядка 1300—1400 м/с (подобные скорости имеют немецкие противотан</w:t>
      </w:r>
      <w:r w:rsidRPr="00722885">
        <w:rPr>
          <w:color w:val="000000" w:themeColor="text1"/>
          <w:sz w:val="16"/>
          <w:szCs w:val="16"/>
        </w:rPr>
        <w:softHyphen/>
        <w:t>ковые пушки с так называемыми термитными сна</w:t>
      </w:r>
      <w:r w:rsidRPr="00722885">
        <w:rPr>
          <w:color w:val="000000" w:themeColor="text1"/>
          <w:sz w:val="16"/>
          <w:szCs w:val="16"/>
        </w:rPr>
        <w:softHyphen/>
        <w:t>рядами)». Кроме того, требовалось изыскание «но</w:t>
      </w:r>
      <w:r w:rsidRPr="00722885">
        <w:rPr>
          <w:color w:val="000000" w:themeColor="text1"/>
          <w:sz w:val="16"/>
          <w:szCs w:val="16"/>
        </w:rPr>
        <w:softHyphen/>
        <w:t>вых методов применения зажигательных средств штурмовиками по танкам, так как зажиганием оди</w:t>
      </w:r>
      <w:r w:rsidRPr="00722885">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1005B5A7"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Интересно отметить еще один результат иссле</w:t>
      </w:r>
      <w:r w:rsidRPr="00722885">
        <w:rPr>
          <w:color w:val="000000" w:themeColor="text1"/>
          <w:sz w:val="16"/>
          <w:szCs w:val="16"/>
        </w:rPr>
        <w:softHyphen/>
        <w:t>довательской работы по оценке эффективности вооружения Ил-2. В августе 1942 г. с формулиров</w:t>
      </w:r>
      <w:r w:rsidRPr="00722885">
        <w:rPr>
          <w:color w:val="000000" w:themeColor="text1"/>
          <w:sz w:val="16"/>
          <w:szCs w:val="16"/>
        </w:rPr>
        <w:softHyphen/>
        <w:t>кой «в связи с необходимостью проведения ин</w:t>
      </w:r>
      <w:r w:rsidRPr="00722885">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722885">
        <w:rPr>
          <w:color w:val="000000" w:themeColor="text1"/>
          <w:sz w:val="16"/>
          <w:szCs w:val="16"/>
        </w:rPr>
        <w:softHyphen/>
        <w:t>ший лейтенант Назаров из 245-го шап были отко</w:t>
      </w:r>
      <w:r w:rsidRPr="00722885">
        <w:rPr>
          <w:color w:val="000000" w:themeColor="text1"/>
          <w:sz w:val="16"/>
          <w:szCs w:val="16"/>
        </w:rPr>
        <w:softHyphen/>
        <w:t>мандированы в 4-й отдел НИИ ВВС. Утверждалось, что «указанные летчики прошли специальную тре</w:t>
      </w:r>
      <w:r w:rsidRPr="00722885">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46167B85" w14:textId="77777777" w:rsidR="0063640A" w:rsidRPr="00722885" w:rsidRDefault="0063640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получения из НИП АВ отчета с материала</w:t>
      </w:r>
      <w:r w:rsidRPr="00722885">
        <w:rPr>
          <w:color w:val="000000" w:themeColor="text1"/>
          <w:sz w:val="16"/>
          <w:szCs w:val="16"/>
        </w:rPr>
        <w:softHyphen/>
        <w:t>ми испытаний вооружения самолетов Ил-2 и ЛаГГ-3 при действии по немецкой бронетехнике специ</w:t>
      </w:r>
      <w:r w:rsidRPr="00722885">
        <w:rPr>
          <w:color w:val="000000" w:themeColor="text1"/>
          <w:sz w:val="16"/>
          <w:szCs w:val="16"/>
        </w:rPr>
        <w:softHyphen/>
        <w:t>алисты 2-го отдела (отдел по использованию опыта войны) Оперативного управления штаба ВВС в кон</w:t>
      </w:r>
      <w:r w:rsidRPr="00722885">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722885">
        <w:rPr>
          <w:color w:val="000000" w:themeColor="text1"/>
          <w:sz w:val="16"/>
          <w:szCs w:val="16"/>
        </w:rPr>
        <w:softHyphen/>
        <w:t>ной Армии (17500).</w:t>
      </w:r>
    </w:p>
    <w:p w14:paraId="678D6B77" w14:textId="77777777" w:rsidR="0063640A" w:rsidRPr="00722885" w:rsidRDefault="0063640A" w:rsidP="00722885">
      <w:pPr>
        <w:spacing w:after="0" w:line="240" w:lineRule="auto"/>
        <w:jc w:val="both"/>
        <w:rPr>
          <w:rFonts w:ascii="Times New Roman" w:eastAsia="Times New Roman" w:hAnsi="Times New Roman"/>
          <w:color w:val="000000" w:themeColor="text1"/>
          <w:sz w:val="16"/>
          <w:szCs w:val="16"/>
          <w:lang w:eastAsia="ru-RU"/>
        </w:rPr>
      </w:pPr>
    </w:p>
    <w:p w14:paraId="37609F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Дементьев писал С.В.И. письмо N 2271:</w:t>
      </w:r>
    </w:p>
    <w:p w14:paraId="10CF1C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"Прошу подготовить чертежи установки пушек ОКБ-16 калибра 37 мм на самолет Ил-2" (1680,166).</w:t>
      </w:r>
    </w:p>
    <w:p w14:paraId="747EEFBF" w14:textId="77777777" w:rsidR="00090C9B" w:rsidRPr="00722885" w:rsidRDefault="00090C9B" w:rsidP="00722885">
      <w:pPr>
        <w:pStyle w:val="Iauiue"/>
        <w:jc w:val="both"/>
        <w:rPr>
          <w:color w:val="000000" w:themeColor="text1"/>
          <w:sz w:val="16"/>
          <w:szCs w:val="16"/>
        </w:rPr>
      </w:pPr>
    </w:p>
    <w:p w14:paraId="44C070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Нач. ОКБ-18 Наркомата вооружения письмом за N 726с дал ОКБ С.В.И. данные для расчетов прочности исходя из силы отдачи 2280 кг (1775,210).</w:t>
      </w:r>
    </w:p>
    <w:p w14:paraId="25B3DFB5" w14:textId="77777777" w:rsidR="00090C9B" w:rsidRPr="00722885" w:rsidRDefault="00090C9B" w:rsidP="00722885">
      <w:pPr>
        <w:pStyle w:val="Iauiue"/>
        <w:jc w:val="both"/>
        <w:rPr>
          <w:color w:val="000000" w:themeColor="text1"/>
          <w:sz w:val="16"/>
          <w:szCs w:val="16"/>
        </w:rPr>
      </w:pPr>
    </w:p>
    <w:p w14:paraId="0099F2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года начальник инспекции ВВС Красной Армии при заместителе наркома обороны СССР полковник В.И. Сталин докладывал наркому авиационной промышленности А.И. Шахурину:</w:t>
      </w:r>
    </w:p>
    <w:p w14:paraId="2D0955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18 сентября по 2 октября 1942 г. в 3-й Воздушной армии проведены войсковые испытания Ту-2. Полеты производились днем тремя самолетами с аэродрома Мигалово (Тверь. - Прим. авт.). Сделано 25 боевых вылетов с общим налетом 65 часов. Боевые вылеты выполнялись один раз в сутки. Радиус полета 180-500 км, высота 1600-4800 м, скорость по прибору 360-380 км/ч, бомбовая нагрузка 1000, 1500, 2000 кг (в зависимости от характера цели). За период полетов сброшено: ФАБ-1000 - 15 шт., ФАБ-500 - 4 шт., ФАБ-250 - 64 шт., ФАБ-100 60 шт. и ЗАБ-100 - 9 шт.</w:t>
      </w:r>
    </w:p>
    <w:p w14:paraId="5A24BC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процессе полетов встреч с истребителями противника не было. Обстрелу ЗА (зенитной артиллерии - прим. авт.) подвергались почти в каждом полете. Самолеты имеют несколько пробоин и был случай вывода из строя мотора, летчик пришел на одном моторе и нормально произвел посадку.</w:t>
      </w:r>
    </w:p>
    <w:p w14:paraId="4E598B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состав о самолете отзывается хорошо. По сравнению с Пе-2 Ту-2 имеет ряд положительных качеств. Основные из них следующие:</w:t>
      </w:r>
    </w:p>
    <w:p w14:paraId="5C5964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Увеличена бомбовая нагрузка, за счет горючего он может брать до 3000 кг.</w:t>
      </w:r>
    </w:p>
    <w:p w14:paraId="6C6CA4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Хорошее вооружение: имеет - две пушки, пару БС и три LLIKAC.</w:t>
      </w:r>
    </w:p>
    <w:p w14:paraId="1F00AB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Скорость горизонтального полета больше, чем у самолета Пе-2, примерно на 100 км (470-480 км/ч по прибору на высоте 800-1000 м).</w:t>
      </w:r>
    </w:p>
    <w:p w14:paraId="77B5F6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Самолет хорошо управляем, прост в технике пилотирования.</w:t>
      </w:r>
    </w:p>
    <w:p w14:paraId="1AAC9D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Легко пилотируется с одним неработающим мотором.</w:t>
      </w:r>
    </w:p>
    <w:p w14:paraId="6B333A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На посадке допускает несколько высокое выравнивание и не валится на крыло как Пе-2.</w:t>
      </w:r>
    </w:p>
    <w:p w14:paraId="2766A2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Недостатком Ту-2 является.</w:t>
      </w:r>
    </w:p>
    <w:p w14:paraId="278457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Трудность хождения в строю по причине тугого хода секторов газа (причина неустранима до смены карбюраторов на этом моторе).</w:t>
      </w:r>
    </w:p>
    <w:p w14:paraId="1B2746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После каждого полета на самолете обнаруживались неисправности, особенно в гидро- и маслосистеме, повторных вылетов не производилось.</w:t>
      </w:r>
    </w:p>
    <w:p w14:paraId="4CD40F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Для эксплуатации Ту-2 требуется аэродром больших размеров, так как разбег при взлете с бомбовой нагрузкой в 2000 кг достигает 1100 м и пробег - в пределах 600-700 м.</w:t>
      </w:r>
    </w:p>
    <w:p w14:paraId="7E6174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полетов по проведению войсковых испытаний привлекались экипажи из НИИ ВВС КА. Капитан Чернышенко - выполнил шесть боевых вылетов и экипажи 128-го бап (базировавшегося на аэродроме Мигалово. - Прим.авт.), которые выполнили: майор Лаухин - два боевых вылета, старший лейтенант Свиридов - семь, старший лейтенант Паршин - три, и лейтенант Мусин- ский - семь боевых вылетов" (12035).</w:t>
      </w:r>
    </w:p>
    <w:p w14:paraId="7BC3699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2B706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был подготовлен проект приказа НКАП о том, что исследованиями ЦАГИ доказано, что скорость серийных Як-1 и ЛаГГ-3 м.б. повышена до более, чем 600 км/час и был представлен перечень необходимых работ (1684,275).</w:t>
      </w:r>
    </w:p>
    <w:p w14:paraId="1275907F" w14:textId="77777777" w:rsidR="00090C9B" w:rsidRPr="00722885" w:rsidRDefault="00090C9B" w:rsidP="00722885">
      <w:pPr>
        <w:pStyle w:val="Iauiue"/>
        <w:jc w:val="both"/>
        <w:rPr>
          <w:color w:val="000000" w:themeColor="text1"/>
          <w:sz w:val="16"/>
          <w:szCs w:val="16"/>
        </w:rPr>
      </w:pPr>
    </w:p>
    <w:p w14:paraId="433513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г. ОТЧЕТНАЯ СПРАВКА О РАБОТЕ ЗАВОДА № 153 В СВЕТЕ РЕШЕНИЯ VII ПЛЕНУМА ОБКОМА ВКП(б)</w:t>
      </w:r>
    </w:p>
    <w:p w14:paraId="664A69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Выполнение плана.</w:t>
      </w:r>
    </w:p>
    <w:p w14:paraId="4FB87E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Выполняя решения пленума обкома ВКЩб) и указания правительства об увеличении выпуска боевых машин, коллектив завода, включившись во Всесоюзное социалистическое соревнование предприятий авиапромышленности, на протяжении последних месяцев резко улучшил свою работу и в августе занял 2-е место среди передовых заводов НКАП. На путях к увеличению выпуска продукции было преодолено много трудностей:</w:t>
      </w:r>
    </w:p>
    <w:p w14:paraId="73C6E4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Завод провел сложные модернизации самолета (машина «Т», затем ЯК-9), значительно повысившие боевые качества ЯК-7, не считая больших работ по улучшению качества машин, которые завод систематически осуществляет в производстве. Новый объект ЯК-9 уже запущен в серийное производство.</w:t>
      </w:r>
    </w:p>
    <w:p w14:paraId="302C56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Перебои в снабжении материалами и покупными изделиями.</w:t>
      </w:r>
    </w:p>
    <w:p w14:paraId="300C04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Большое отвлечение рабочей силы (до 2 000-2 500 человек в отдельные периоды) на внешние работы — уборка хлеба, строительство дороги и т.д.</w:t>
      </w:r>
    </w:p>
    <w:p w14:paraId="5806CB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 эти причины сдерживали развитие темпа выпуска и, естественно, не позволяли полностью исчерпать производственные мощности завода, хотя производительность труда неуклонно росла. Процент выполнения сентябрьского плана «Кбою готовых» показан против измененного графика.</w:t>
      </w:r>
    </w:p>
    <w:p w14:paraId="17B862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Рост выпуска против первого полугодия По сравнению с 1-м полугодием 1942 года завод за последние три месяца дал машин больше на 33,5%.</w:t>
      </w:r>
    </w:p>
    <w:p w14:paraId="17A8CE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Производительность труда</w:t>
      </w:r>
    </w:p>
    <w:p w14:paraId="41F88F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I квартале завод не выполнил плана по росту производительности труда и значительно превысил среднюю заработную плату на рабочего. I квартал 1942 года являлся для завода периодом перехода на изготовление нового типа изделия и развертывания нового производства. В результате развернувшегося соцсоревнования и роста стахановцев, тысячников завод добился стремительного роста производительности труда, составившего в августе 101,6% к плану и 218% по отношению к январю этого года. Разрыв между ростом производительности труда и средней зарплатой в июле - августе объясняется увеличением сверхурочных работ в связи с отвлечением рабочей силы на внешние работы, а также освоением норм, в результате чего средняя переработка нормы по основному производству составила 60%. Имеется, конечно, немало дефектных и устаревших норм. Все это выдвинуло необходимость в ближайшее время вновь пересмотреть нормы с целью тщательной проверки и сокращения норм с учетом вводимых изменений в техпроцесс. Необходимо отметить слабую активность мастеров в деле установления правильных норм. Ввиду недостаточной общественно-политической работы среди мастеров сильна тенденция сохранить устаревшие нормы.</w:t>
      </w:r>
    </w:p>
    <w:p w14:paraId="77B332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Характеристика действующих на заводе премиальных систем</w:t>
      </w:r>
    </w:p>
    <w:p w14:paraId="30ADDA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Рабочие.</w:t>
      </w:r>
    </w:p>
    <w:p w14:paraId="18A6D4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Прогрессивно-премиальная сдельщина в соответствии со шкалой НКАП применяется на ответственных участках работ с жесткими нормами. Однако прогрессивно-премиальная система оплаты труда, предусматривающая премирование только за переработку норм выработки, в настоящее время на заводе широко не применяется. В больших масштабах и более эффективно применяется система премирования производственных рабочих за выполнение сменных заданий, т.е. которая является той же прогрессивкой, но более целесообразной в условиях военного времени, так как стимулирует не только перевыполнение норм, но и равномерную сдачу готовой продукции. Данная система применяется на всех узких участках работы (главным образом в агрегатно-сбо-рочных цехах), лимитирующих выполнение суточного графика по заводу. Непосредственно у рабочих мест вывешиваются плакаты с указанием суммы премии, которую рабочие участка или бригады ежедневно получают за выполнение сменных заданий.</w:t>
      </w:r>
    </w:p>
    <w:p w14:paraId="5325B0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Для квалифицированных рабочих-повременщиков (дежурные слесари ОГМ, дежурные электромонтеры и т.д.) на заводе действуют ряд премиальных систем, предусматривающих стимулирование за соблюдение качественных показателей. Для некоторых категорий квалифицированных рабочих-повременщиков (наладчики </w:t>
      </w:r>
      <w:r w:rsidRPr="00722885">
        <w:rPr>
          <w:rFonts w:ascii="Times New Roman" w:hAnsi="Times New Roman"/>
          <w:color w:val="000000" w:themeColor="text1"/>
          <w:sz w:val="16"/>
          <w:szCs w:val="16"/>
        </w:rPr>
        <w:lastRenderedPageBreak/>
        <w:t>станков) применяется косвенная сдельщина [в] виде расценки за нормо-час продукции, выработанной обслуживаемыми рабочими. Рабочие ЛИС премируются за каждую готовую к бою машину, сданную в установленный срок.</w:t>
      </w:r>
    </w:p>
    <w:p w14:paraId="67E126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ИТР.</w:t>
      </w:r>
    </w:p>
    <w:p w14:paraId="439341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Поскольку в условиях военного времени особое значение имеет не только выполнение месячной программы, но и равномерная сдача строго по суточному графику, основным видом поощрительной оплаты ИТР завода является система премирования за выполнение сменно-суточных заданий. Система эта разработана на основе положения, утвержденного зам. наркома авиапромышленности т. Кузнецовым и внедрена во всех основных цехах и отделах завода. Работники цехов премируются за выполнение с мен но-суточных заданий по своему цеху, причем общецеховые работники (начальник цеха, заместитель начальника, начальник бюро и т.д.) получают премию только при условии выполнения графика в целом по цеху. Работники же участков (мастера, плановики, технологи и другие) премируются по результатам работы своего участка, независимо от выполнения графика в целом по цеху. Работники основных отделов премируются за выполнение суточного графика по заводу. Премия за выполнение смен но-суточных заданий начисляется при условии выполнения задания за предыдущие сутки не менее чем на 90%. За перевыполнение сменно-суточных заданий премия увеличивается на 2-3% за каждый процент перевыполнения, а за равномерную сдачу продукции в течение всего месяца сумма премии, начисленная за выполнение и перевыполнение заданий увеличивается на 20%. ИТР вспомогательных цехов (ОГМ, ОГЭ, ИНО, Отдела приспособлений) премируются по месячным результатам выполнения программы по готовой продукции и заданной номенклатуре с учетом выполнения суточного графика. В общем, действующие на заводе поощрительные системы оплаты труда, наряду с другими мероприятиями сыграли свою положительную роль в ритмичной работе завода и обеспечили равномерную сдачу продукции по суточному графику в августе и в сентябре (12193).</w:t>
      </w:r>
    </w:p>
    <w:p w14:paraId="033499A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3F63E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вышел приказ НКАП N 739с:</w:t>
      </w:r>
    </w:p>
    <w:p w14:paraId="68BC47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обеспечения выполнения решения ГКО N 2359сс от 1 октября 1942 по улучшению качеств и устранению дефектов, выявленных при боевом применении самолетов-истребителей:</w:t>
      </w:r>
    </w:p>
    <w:p w14:paraId="1A0639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Обязать директоров самолетных заводов: 292 Левина, 153 Романова, 21 Агаджанова, 31 Саладзе, ГК А.С.Я. и С.А.Л.:</w:t>
      </w:r>
    </w:p>
    <w:p w14:paraId="7BCED4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выпускать начиная с 10 октября с.г. самолеты Як-1 и Як-7 и с 15 октября самолеты ЛаГГ-3 и Ла-5 с улучшенным обзором передней части фонаря пилота (взамен выгнутых ставить плоские стекла).</w:t>
      </w:r>
    </w:p>
    <w:p w14:paraId="48CBFE1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немедленно улучшить коллиматорный прицел, путем обязательного применения подсвета и окраски в красный цвет лампочки подсвета</w:t>
      </w:r>
    </w:p>
    <w:p w14:paraId="54DF78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ставить на самолетах Як-1 и ла-5 с 1 октября с.г. и на Як-7 и ЛаГГ-3 с 15 октября передающую радиостанцию на каждый 2-й выпускаемый самолет</w:t>
      </w:r>
    </w:p>
    <w:p w14:paraId="1C1B865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в целях облегчения управления огнем ввести с 10 ноября с.г. на самолетах Як-7 и Ла-5 взамен существующего пневмомеханического спуска пневмоэлектрический спуск, заменив гашетное управление на кнопочное по типу самолета Мессершмитт.</w:t>
      </w:r>
    </w:p>
    <w:p w14:paraId="66FCF5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Первые 20 самолетов Як-7 и 20 самолетов Ла-5 с пневмоэлектрическим спуском сдать в строевые части к 20 октября</w:t>
      </w:r>
    </w:p>
    <w:p w14:paraId="116C60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устранить забрызгивание маслом козырька фонаря пилота на самолетах Як-7, Як-1, ЛаГГ-3 путем установки предохранительных сальников конструкции ЛИИ на самолеты, имеющие винты ВИШ-61, и установки дренажной трубки на самолеты, имеющие винты ВИШ-105</w:t>
      </w:r>
    </w:p>
    <w:p w14:paraId="05CB60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 к 20 октября с.г. передать для испытаний НИИ ВВС с завода 153 самолет Як-7 и с завода 21 самолет ЛаГГ-3, оборудованные совмещенным управлением ручкой газа и винта</w:t>
      </w:r>
    </w:p>
    <w:p w14:paraId="66451D7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ж) установку дополнительного бензобака фюзеляжа самолета ЯЧк-7 прекратить, одновременно сняв проводку и крепление этого бака</w:t>
      </w:r>
    </w:p>
    <w:p w14:paraId="0488BA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Директору завода 22 Окулову отработать до 12 октября с.г. на самолете Пе-2 пикировочную сирену</w:t>
      </w:r>
    </w:p>
    <w:p w14:paraId="0C543B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 ноября с.г. самолеты Пе-2 выпускать с завода 22 оборудованными пикировочными сиренами</w:t>
      </w:r>
    </w:p>
    <w:p w14:paraId="168D1B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Этим же постановлением ГКО обязал:</w:t>
      </w:r>
    </w:p>
    <w:p w14:paraId="3E61A3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командующего ВВС Новикова к 4 октября с.г. доложить ГКО о результатах испытаний в НИИ ВВС 2 местных штурмовиков Ил-2 (1594,104).</w:t>
      </w:r>
    </w:p>
    <w:p w14:paraId="42CC1D3B" w14:textId="77777777" w:rsidR="00090C9B" w:rsidRPr="00722885" w:rsidRDefault="00090C9B" w:rsidP="00722885">
      <w:pPr>
        <w:pStyle w:val="Iauiue"/>
        <w:jc w:val="both"/>
        <w:rPr>
          <w:color w:val="000000" w:themeColor="text1"/>
          <w:sz w:val="16"/>
          <w:szCs w:val="16"/>
        </w:rPr>
      </w:pPr>
    </w:p>
    <w:p w14:paraId="2B8A45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вышел приказ НКАП N 738с:</w:t>
      </w:r>
    </w:p>
    <w:p w14:paraId="7296AD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обеспечения выполнения производственной программы по заводу 99:</w:t>
      </w:r>
    </w:p>
    <w:p w14:paraId="19979D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Утвердить завод 21 ведущим по отношению к заводу 99 по производству самолетов Ла-5 (1594,85).</w:t>
      </w:r>
    </w:p>
    <w:p w14:paraId="6883BD54" w14:textId="77777777" w:rsidR="00090C9B" w:rsidRPr="00722885" w:rsidRDefault="00090C9B" w:rsidP="00722885">
      <w:pPr>
        <w:pStyle w:val="Iauiue"/>
        <w:jc w:val="both"/>
        <w:rPr>
          <w:color w:val="000000" w:themeColor="text1"/>
          <w:sz w:val="16"/>
          <w:szCs w:val="16"/>
        </w:rPr>
      </w:pPr>
    </w:p>
    <w:p w14:paraId="210325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вышел приказ НКАП и Командующего ВВС N 737/0027 "О проведении совместных заводских и гос. летных испытаний дублера самолета БИ конструкции тов. Болховитинова производства завода 293 с двигателем Д1-А-1100 конструкции ГИРТ СНК (909,69).</w:t>
      </w:r>
    </w:p>
    <w:p w14:paraId="10C514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p w14:paraId="73B610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 НИИ ВВС КА, директору и ГК завода № 293 НКАП тов. Болховитинову провести совместные заводские и государственные летные испытания дублера самолета БИ с двигателем конструкции гм иас т. Костикова (ГИРТ СНК) Д1-А-1100 по рилагаемой программе.</w:t>
      </w:r>
    </w:p>
    <w:p w14:paraId="2AA3E3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Место испытаний - аэродром НИИ ВВС в ...</w:t>
      </w:r>
    </w:p>
    <w:p w14:paraId="6C58C0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p w14:paraId="23D2BB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w:t>
      </w:r>
    </w:p>
    <w:p w14:paraId="667E35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проведения летных испытаний дублера с-та назначаются:</w:t>
      </w:r>
    </w:p>
    <w:p w14:paraId="12D181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 НИИ ВВС КА</w:t>
      </w:r>
    </w:p>
    <w:p w14:paraId="0A597A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вл к Г.Я.Бахчиванджи</w:t>
      </w:r>
    </w:p>
    <w:p w14:paraId="25CAD2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п/п И.А.Груздев</w:t>
      </w:r>
    </w:p>
    <w:p w14:paraId="710A2D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 по ст-ту - ик И.Т.Рабин</w:t>
      </w:r>
    </w:p>
    <w:p w14:paraId="2E6F47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пом. Ви по с-ту Е.Л.Швайб</w:t>
      </w:r>
    </w:p>
    <w:p w14:paraId="7E283B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 по двигателю и двигательной установке им А.Н.Сорокин</w:t>
      </w:r>
    </w:p>
    <w:p w14:paraId="6889F6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пом. ви по двигателю и двигательной установке им А.А.Колесников</w:t>
      </w:r>
    </w:p>
    <w:p w14:paraId="0FC218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 по вооружению ик А.Т.Аронов</w:t>
      </w:r>
    </w:p>
    <w:p w14:paraId="242F6F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 по спецоборудованию ик А.И.Красовский</w:t>
      </w:r>
    </w:p>
    <w:p w14:paraId="4ADFF3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p w14:paraId="0C9C60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техник с-та вт1р М.В.Иванов</w:t>
      </w:r>
    </w:p>
    <w:p w14:paraId="662BECF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вт1р В.Ф.Сбитнев</w:t>
      </w:r>
    </w:p>
    <w:p w14:paraId="3E2EC8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 завода № 293 НКАП</w:t>
      </w:r>
    </w:p>
    <w:p w14:paraId="23DC16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Зам. ГК И.Ф.Флоров</w:t>
      </w:r>
    </w:p>
    <w:p w14:paraId="4D48EB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 А.Е.Росляков</w:t>
      </w:r>
    </w:p>
    <w:p w14:paraId="017FFB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и по приборам С.Г.Чижиков</w:t>
      </w:r>
    </w:p>
    <w:p w14:paraId="25DC46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и по вооружению В.П.Мишин</w:t>
      </w:r>
    </w:p>
    <w:p w14:paraId="0E9243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борттехники С.П.Пузыревский</w:t>
      </w:r>
    </w:p>
    <w:p w14:paraId="1C2654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Г.И.Чубаров</w:t>
      </w:r>
    </w:p>
    <w:p w14:paraId="05834B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моторист П.Р.Черной</w:t>
      </w:r>
    </w:p>
    <w:p w14:paraId="18E171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электрик А.И.Бузуков</w:t>
      </w:r>
    </w:p>
    <w:p w14:paraId="1BDB18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слесари Н.Н.Мельников</w:t>
      </w:r>
    </w:p>
    <w:p w14:paraId="3F3763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В.И.Петров</w:t>
      </w:r>
    </w:p>
    <w:p w14:paraId="4AFA08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медник Г.Т.Шариков</w:t>
      </w:r>
    </w:p>
    <w:p w14:paraId="752FF5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 ГИРТ СНК</w:t>
      </w:r>
    </w:p>
    <w:p w14:paraId="4BE2E6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 отдела В.А.Штоколов</w:t>
      </w:r>
    </w:p>
    <w:p w14:paraId="5AA971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 по двигателю А.В.Палло</w:t>
      </w:r>
    </w:p>
    <w:p w14:paraId="3180E7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механики А.И.Волков</w:t>
      </w:r>
    </w:p>
    <w:p w14:paraId="392F7B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В.И.Манышкин</w:t>
      </w:r>
    </w:p>
    <w:p w14:paraId="6DB25A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испытания по программе закончить в течение месяца, считая началом их первый вылет дублера с-та</w:t>
      </w:r>
    </w:p>
    <w:p w14:paraId="6E407F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Подписали НКАП А.И.Ш., зам. Ком. ВВС КА Ворожейкин (909,69)</w:t>
      </w:r>
    </w:p>
    <w:p w14:paraId="3B5F2E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октября 1942 НКАП А.И.Ш. и 28 октября 1942 Зам. Ком. ВВС КА Воржейкин утвердили:</w:t>
      </w:r>
    </w:p>
    <w:p w14:paraId="4D857D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Программа совместных заводских и государственных испытаний дублера самолета БИ с двигетелем Д1-А-1100 конструкции ГИРТ СНК</w:t>
      </w:r>
    </w:p>
    <w:p w14:paraId="1533C4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Цели испытаний...</w:t>
      </w:r>
    </w:p>
    <w:p w14:paraId="7E08E3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А. Наземные испытания двигательной установки...</w:t>
      </w:r>
    </w:p>
    <w:p w14:paraId="3611D2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Б. Наземные испытания с-та...</w:t>
      </w:r>
    </w:p>
    <w:p w14:paraId="64D12C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Летные испытания (14 полетов) и облетать (3-5 летчиков)</w:t>
      </w:r>
    </w:p>
    <w:p w14:paraId="47B5AF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1-й полет, скорость 360 км/час на высоте 3000 м</w:t>
      </w:r>
    </w:p>
    <w:p w14:paraId="201DAA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2-й полет, скорость 450 км/час на высоте 3500 м</w:t>
      </w:r>
    </w:p>
    <w:p w14:paraId="2D1123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3-й полет, скорость 550 км/час на высоте 3500 м</w:t>
      </w:r>
    </w:p>
    <w:p w14:paraId="058595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4-й полет, скорость 650 км/час на высоте 3000 м</w:t>
      </w:r>
    </w:p>
    <w:p w14:paraId="70B3E26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5-й полет, скорость 700 км/час на высоте 2500 м</w:t>
      </w:r>
    </w:p>
    <w:p w14:paraId="400132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6-й полет, скорость 750 км/час на высоте 2000 м</w:t>
      </w:r>
    </w:p>
    <w:p w14:paraId="08F1C1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7-й полет, на определение высоты и скороподъемности на скорости 600 км/час</w:t>
      </w:r>
    </w:p>
    <w:p w14:paraId="3D9191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Подписали:</w:t>
      </w:r>
    </w:p>
    <w:p w14:paraId="147741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Зам. дир. и ГК Завода № 293 И.Ф.Флоров</w:t>
      </w:r>
    </w:p>
    <w:p w14:paraId="3E0C02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 НИИ ВВС</w:t>
      </w:r>
    </w:p>
    <w:p w14:paraId="6DC73B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военкома НИИ ВВС Пономарев</w:t>
      </w:r>
    </w:p>
    <w:p w14:paraId="0F48B7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ГИРТ СНК гм ис Костиков )(909,72).</w:t>
      </w:r>
    </w:p>
    <w:p w14:paraId="73B7AC43" w14:textId="77777777" w:rsidR="00090C9B" w:rsidRPr="00722885" w:rsidRDefault="00090C9B" w:rsidP="00722885">
      <w:pPr>
        <w:pStyle w:val="Iauiue"/>
        <w:jc w:val="both"/>
        <w:rPr>
          <w:color w:val="000000" w:themeColor="text1"/>
          <w:sz w:val="16"/>
          <w:szCs w:val="16"/>
        </w:rPr>
      </w:pPr>
    </w:p>
    <w:p w14:paraId="68587E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на заводе № 47 в Оренбурге закончились заводские испытания НББ Як-6 № 0247, которые проходили с 19 сентября 1942. Поставили РСИ-4 и РПК-10ю Мог нести 500 кг бомб под крылом. Поставили ШКАС на шкворневой установке ОП-102. Ви - Р.А.Стасевич. Летал л П.П.Скарандеев. Выполнили 15 полетов (4657, 17).</w:t>
      </w:r>
    </w:p>
    <w:p w14:paraId="25E982EF" w14:textId="77777777" w:rsidR="00090C9B" w:rsidRPr="00722885" w:rsidRDefault="00090C9B" w:rsidP="00722885">
      <w:pPr>
        <w:pStyle w:val="Iauiue"/>
        <w:jc w:val="both"/>
        <w:rPr>
          <w:color w:val="000000" w:themeColor="text1"/>
          <w:sz w:val="16"/>
          <w:szCs w:val="16"/>
        </w:rPr>
      </w:pPr>
    </w:p>
    <w:p w14:paraId="0A50D1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года Президиум ВЦСПС принял постановление, в котором подверг резкой критике работу ЦК профсоюза рабочих АП и его председателя А.М. Вассермана за отсутствие должного руководства заводскими комитетами по организации снабжения и быта рабочих отрасли.</w:t>
      </w:r>
    </w:p>
    <w:p w14:paraId="5972E1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Пленум ЦК профсоюза в своем специальном постановлении отметил:</w:t>
      </w:r>
    </w:p>
    <w:p w14:paraId="2735A2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"Решение ВЦСПС по оценке работы как в целом президиума ЦК союза АП, а также и его председателя т. Вассермана А.М. считать правильным. Предупредить т. Вассермана А.М. о недопущении в дальнейшей практической руководящей работе подобных упущений и ошибок. Обязать вновь избранный состав президиума ЦК союза и лично т. Вассермана А.М. в кратчайший срок выправить положение в руководстве всеми звеньями профсоюзной работы".</w:t>
      </w:r>
    </w:p>
    <w:p w14:paraId="4FB6BD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А.М.Вассерман в своем докладе отметил: "... В чем сущность наших ошибок и упущений в работе. Во-первых, недостаточная настойчивость, твердость и непримиримость к недостаткам в рабочем снабжении. Во-вторых, часто бывая на заводах и располагая многими и многими фактами; мы не делали своевременных обобщений и выводов для постановки вопросов перед вышестоящими организациями и для изжития недостатков внутри своей собственной организации ...За период после президиума ВЦСПС проведено около 30 профсоюзных конференций на заводах по вопросу о работе ОРСов, отделов питания, торговой сети и т.д." Из выступления в прениях т. Моловой (з-д не указан): "... Я писала т. Н.М. Швернику (председатель ВЦСПС, ред) и в ЦК союза, чтобы нам разрешили ... закупку коз и поросят, чтобы рабочие могли иметь индивидуальное хозяйство (требовалось разрешение!). Нам ответили, что такая практика запрещена. Очень жаль!... Так с этим делом ничего не вышло, а у нас татары, которые имеют своих коз, прекрасно живут, потому что два литра молока в день являются большим подспорьем для семьи."</w:t>
      </w:r>
    </w:p>
    <w:p w14:paraId="30A3D0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выступления А.М. Вассермана по второму вопросу: "... Еще один вопрос, который заслуживает внимания...о культработе. Некоторые товарищи думают, что если война, то культурную работу можно оставить и ею не заниматься. ... несмотря на войну, жизнь есть жизнь, мы обязаны для нашей молодежи создать правильный досуг. Правда, очень трудно ставить сейчас вопрос о строительстве клуба, ДК, но создать временное помещение... и ночью и днем крутить в нем кино - конечно, можно..." (11764).</w:t>
      </w:r>
    </w:p>
    <w:p w14:paraId="177647C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FAD94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закончились войсковые испытания в 989 нбап прицела для бомбометания с У-2 и Р-5 с горизонтального полета и с планирования под 30 гр и, разработанного по июньскому заданию ГУ ВВС на заводе № 217, которые проходили с 28 сентября. Показал хорошие результаты, но на вооружение принят не был, т.к. визир з-да № 387, разработанный и испытанный в мае 1942 показывал лучшие результаты. Потом испытали еще в мае 1943 и с июня 1944 был утвержден ГИ ВВС А.И. Репиным как НКПБ-8 (4542, 14).</w:t>
      </w:r>
    </w:p>
    <w:p w14:paraId="3128186C" w14:textId="77777777" w:rsidR="00090C9B" w:rsidRPr="00722885" w:rsidRDefault="00090C9B" w:rsidP="00722885">
      <w:pPr>
        <w:pStyle w:val="Iauiue"/>
        <w:jc w:val="both"/>
        <w:rPr>
          <w:color w:val="000000" w:themeColor="text1"/>
          <w:sz w:val="16"/>
          <w:szCs w:val="16"/>
        </w:rPr>
      </w:pPr>
    </w:p>
    <w:p w14:paraId="6A3DBA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года начал работать завод № 57.</w:t>
      </w:r>
    </w:p>
    <w:p w14:paraId="5D1973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Расположен завод в черте Куйбышева.</w:t>
      </w:r>
    </w:p>
    <w:p w14:paraId="3474B3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Травников</w:t>
      </w:r>
    </w:p>
    <w:p w14:paraId="7C28B6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40DF56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Производственный профиль – основная продукция карбид кальция (9836).</w:t>
      </w:r>
    </w:p>
    <w:p w14:paraId="53155972" w14:textId="77777777" w:rsidR="00090C9B" w:rsidRPr="00722885" w:rsidRDefault="00090C9B" w:rsidP="00722885">
      <w:pPr>
        <w:pStyle w:val="Iauiue"/>
        <w:jc w:val="both"/>
        <w:rPr>
          <w:color w:val="000000" w:themeColor="text1"/>
          <w:sz w:val="16"/>
          <w:szCs w:val="16"/>
        </w:rPr>
      </w:pPr>
    </w:p>
    <w:p w14:paraId="7515447A" w14:textId="77777777" w:rsidR="00A1659D" w:rsidRPr="00722885" w:rsidRDefault="00A1659D" w:rsidP="00722885">
      <w:pPr>
        <w:pStyle w:val="Iauiue"/>
        <w:jc w:val="both"/>
        <w:rPr>
          <w:color w:val="000000" w:themeColor="text1"/>
          <w:sz w:val="16"/>
          <w:szCs w:val="16"/>
        </w:rPr>
      </w:pPr>
      <w:r w:rsidRPr="00722885">
        <w:rPr>
          <w:color w:val="000000" w:themeColor="text1"/>
          <w:sz w:val="16"/>
          <w:szCs w:val="16"/>
        </w:rPr>
        <w:t>2 октября 1942 была готова перегоночная трасса из Аляски в СССР (2578).</w:t>
      </w:r>
    </w:p>
    <w:p w14:paraId="4BF0E2E6" w14:textId="77777777" w:rsidR="00A1659D" w:rsidRPr="00722885" w:rsidRDefault="00A1659D" w:rsidP="00722885">
      <w:pPr>
        <w:pStyle w:val="Iauiue"/>
        <w:jc w:val="both"/>
        <w:rPr>
          <w:color w:val="000000" w:themeColor="text1"/>
          <w:sz w:val="16"/>
          <w:szCs w:val="16"/>
        </w:rPr>
      </w:pPr>
    </w:p>
    <w:p w14:paraId="733D5EA7"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года Президиум ВЦСПС принял постановление, в котором подверг резкой критике работу ЦК профсоюза рабочих АП и его председателя А. М. Вассермана за отсутствие должного руководства заводскими комитетами по организации снабжения и быта рабочих отрасли.</w:t>
      </w:r>
    </w:p>
    <w:p w14:paraId="1465295A"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Пленум ЦК профсоюза в своем специальном постановлении отметил:</w:t>
      </w:r>
    </w:p>
    <w:p w14:paraId="07F01EC4"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"Решение ВЦСПС по оценке работы как в целом президиума ЦК союза АП, а также и его председателя т. А. М. Вассермана считать правильным.</w:t>
      </w:r>
    </w:p>
    <w:p w14:paraId="21D8FA1B"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Предупредить т. А. М. Вассермана о недопущении в дальнейшей практической руководящей работе подобных упущений и ошибок.</w:t>
      </w:r>
    </w:p>
    <w:p w14:paraId="1BFF9A6E"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вновь избранный состав президиума ЦК союза и лично т. А. М. Вассермана в кратчайший срок выправить положение в руководстве всеми звеньями профсоюзной работы".</w:t>
      </w:r>
    </w:p>
    <w:p w14:paraId="37D41F6A"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М. Вассерман в своем докладе отметил:</w:t>
      </w:r>
    </w:p>
    <w:p w14:paraId="5FC5FAD9"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чем сущность наших ошибок и упущений в работе. Во-первых, недостаточная настойчивость, твердость и непримиримость к недостаткам в рабочем снабжении. Во-вторых, часто бывая на заводах и располагая многими и многими фактами; мы не делали своевременных обобщений и выводов для постановки вопросов перед вышестоящими организациями и для изжития недостатков внутри своей собственной организации.</w:t>
      </w:r>
    </w:p>
    <w:p w14:paraId="493552C3"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период после президиума ВЦСПС проведено около 30 профсоюзных конференций на заводах по вопросу о работе ОРСов, отделов питания, торговой сети и т. д."</w:t>
      </w:r>
    </w:p>
    <w:p w14:paraId="1DB4ED51"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выступления в прениях т. Моловой (з-д не указан): "... Я писала т. Н. М. Швернику (председатель ВЦСПС, ред) и в ЦК союза, чтобы нам разрешили... закупку коз и поросят, чтобы рабочие могли иметь индивидуальное хозяйство (требовалось разрешение!). Нам ответили, что такая практика запрещена. Очень жаль!... Так с этим делом ничего не вышло, а у нас татары, которые имеют своих коз, прекрасно живут, потому что два литра молока в день являются большим подспорьем для семьи."</w:t>
      </w:r>
    </w:p>
    <w:p w14:paraId="4100F42C"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выступления А. М. Вассермана по второму вопросу:</w:t>
      </w:r>
    </w:p>
    <w:p w14:paraId="5CA41B38"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Еще один вопрос, который заслуживает внимания... о культработе. Некоторые товарищи думают, что если война, то культурную работу можно оставить и ею не заниматься.</w:t>
      </w:r>
    </w:p>
    <w:p w14:paraId="1EB50804" w14:textId="77777777" w:rsidR="00C84F76" w:rsidRPr="00722885" w:rsidRDefault="00C84F7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несмотря на войну, жизнь есть жизнь, мы обязаны для нашей молодежи создать правильный досуг. Правда, очень трудно ставить сейчас вопрос о строительстве клуба, ДК, но создать временное помещение... и ночью и днем крутить в нем кино – конечно, можно..." (15496).</w:t>
      </w:r>
    </w:p>
    <w:p w14:paraId="22013EAC" w14:textId="77777777" w:rsidR="00C84F76" w:rsidRPr="00722885" w:rsidRDefault="00C84F76" w:rsidP="00722885">
      <w:pPr>
        <w:spacing w:after="0" w:line="240" w:lineRule="auto"/>
        <w:jc w:val="both"/>
        <w:rPr>
          <w:rFonts w:ascii="Times New Roman" w:hAnsi="Times New Roman"/>
          <w:color w:val="000000" w:themeColor="text1"/>
          <w:sz w:val="16"/>
          <w:szCs w:val="16"/>
        </w:rPr>
      </w:pPr>
    </w:p>
    <w:p w14:paraId="24CE0F5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02E9788" w14:textId="77777777" w:rsidR="00090C9B" w:rsidRPr="00722885" w:rsidRDefault="00090C9B" w:rsidP="00722885">
      <w:pPr>
        <w:pStyle w:val="Iauiue"/>
        <w:jc w:val="both"/>
        <w:rPr>
          <w:iCs/>
          <w:color w:val="000000" w:themeColor="text1"/>
          <w:sz w:val="16"/>
          <w:szCs w:val="16"/>
        </w:rPr>
      </w:pPr>
    </w:p>
    <w:p w14:paraId="6677EE9B" w14:textId="77777777" w:rsidR="00A1659D" w:rsidRPr="00722885" w:rsidRDefault="00A1659D"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 октября 1942 г. в рабочих записях заместите</w:t>
      </w:r>
      <w:r w:rsidRPr="00722885">
        <w:rPr>
          <w:rFonts w:ascii="Times New Roman" w:cs="Times New Roman"/>
          <w:color w:val="000000" w:themeColor="text1"/>
          <w:spacing w:val="0"/>
        </w:rPr>
        <w:softHyphen/>
        <w:t>ля начальника ГАБТУ КА по политической части генерал-полковника танковых войск Н.И. Бирюкова есть такая запись: Указания тов. Сталина. Проверить с конструкторской и техниче</w:t>
      </w:r>
      <w:r w:rsidRPr="00722885">
        <w:rPr>
          <w:rFonts w:ascii="Times New Roman" w:cs="Times New Roman"/>
          <w:color w:val="000000" w:themeColor="text1"/>
          <w:spacing w:val="0"/>
        </w:rPr>
        <w:softHyphen/>
        <w:t xml:space="preserve">ской стороны новый танк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 С. Нельзя по</w:t>
      </w:r>
      <w:r w:rsidRPr="00722885">
        <w:rPr>
          <w:rFonts w:ascii="Times New Roman" w:cs="Times New Roman"/>
          <w:color w:val="000000" w:themeColor="text1"/>
          <w:spacing w:val="0"/>
        </w:rPr>
        <w:softHyphen/>
        <w:t>лагаться на конструктора Котина. Он маши</w:t>
      </w:r>
      <w:r w:rsidRPr="00722885">
        <w:rPr>
          <w:rFonts w:ascii="Times New Roman" w:cs="Times New Roman"/>
          <w:color w:val="000000" w:themeColor="text1"/>
          <w:spacing w:val="0"/>
        </w:rPr>
        <w:softHyphen/>
        <w:t xml:space="preserve">ны не доделывает. Выяснить, кто виновник, что 5 танков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вышли из строя, и о вино</w:t>
      </w:r>
      <w:r w:rsidRPr="00722885">
        <w:rPr>
          <w:rFonts w:ascii="Times New Roman" w:cs="Times New Roman"/>
          <w:color w:val="000000" w:themeColor="text1"/>
          <w:spacing w:val="0"/>
        </w:rPr>
        <w:softHyphen/>
        <w:t>вниках доложить тов. Сталину» (15226).</w:t>
      </w:r>
    </w:p>
    <w:p w14:paraId="2209A4F9" w14:textId="77777777" w:rsidR="00A1659D" w:rsidRPr="00722885" w:rsidRDefault="00A1659D" w:rsidP="00722885">
      <w:pPr>
        <w:pStyle w:val="27"/>
        <w:shd w:val="clear" w:color="auto" w:fill="auto"/>
        <w:spacing w:after="0" w:line="240" w:lineRule="auto"/>
        <w:ind w:firstLine="0"/>
        <w:rPr>
          <w:rFonts w:ascii="Times New Roman" w:cs="Times New Roman"/>
          <w:color w:val="000000" w:themeColor="text1"/>
          <w:spacing w:val="0"/>
        </w:rPr>
      </w:pPr>
    </w:p>
    <w:p w14:paraId="670AB72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года закончились испытания образца Т-70 с двухместной башней, которые проходили с 27 сентября. На вооружении и в серийном производстве не состоял. Танк был создан на базе серийного танка Т-70 (первого выпуска) и от</w:t>
      </w:r>
      <w:r w:rsidRPr="00722885">
        <w:rPr>
          <w:rFonts w:ascii="Times New Roman" w:hAnsi="Times New Roman"/>
          <w:color w:val="000000" w:themeColor="text1"/>
          <w:sz w:val="16"/>
          <w:szCs w:val="16"/>
        </w:rPr>
        <w:softHyphen/>
        <w:t>личался от него размещением новой двухместной башни со спаренной ус</w:t>
      </w:r>
      <w:r w:rsidRPr="00722885">
        <w:rPr>
          <w:rFonts w:ascii="Times New Roman" w:hAnsi="Times New Roman"/>
          <w:color w:val="000000" w:themeColor="text1"/>
          <w:sz w:val="16"/>
          <w:szCs w:val="16"/>
        </w:rPr>
        <w:softHyphen/>
        <w:t>тановкой 45-мм танковой пушки и 7,62-мм пулемета ДТ. Спаренный пу</w:t>
      </w:r>
      <w:r w:rsidRPr="00722885">
        <w:rPr>
          <w:rFonts w:ascii="Times New Roman" w:hAnsi="Times New Roman"/>
          <w:color w:val="000000" w:themeColor="text1"/>
          <w:sz w:val="16"/>
          <w:szCs w:val="16"/>
        </w:rPr>
        <w:softHyphen/>
        <w:t>лемет ДТ устанавливался справа от пушки. Вертикальные углы наводки спаренной установки составляли от —6 до +25°. После проведения испы</w:t>
      </w:r>
      <w:r w:rsidRPr="00722885">
        <w:rPr>
          <w:rFonts w:ascii="Times New Roman" w:hAnsi="Times New Roman"/>
          <w:color w:val="000000" w:themeColor="text1"/>
          <w:sz w:val="16"/>
          <w:szCs w:val="16"/>
        </w:rPr>
        <w:softHyphen/>
        <w:t>таний был изготовлен второй опытный образец башни с возможностью стрельбы из 45-мм пушки при больших углах возвышения - до +65°. Для установки новой башни подбашенный и надмоторный листы корпуса бы</w:t>
      </w:r>
      <w:r w:rsidRPr="00722885">
        <w:rPr>
          <w:rFonts w:ascii="Times New Roman" w:hAnsi="Times New Roman"/>
          <w:color w:val="000000" w:themeColor="text1"/>
          <w:sz w:val="16"/>
          <w:szCs w:val="16"/>
        </w:rPr>
        <w:softHyphen/>
        <w:t>ли объединены в один. Поэтому демонтаж двигателей был возможен только после снятия башни. Опытный образец танка со вторым образцом двухместной башни получил заводское обозначение 0-80 (10703).</w:t>
      </w:r>
    </w:p>
    <w:p w14:paraId="2122279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654C6E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lastRenderedPageBreak/>
        <w:t>2 октября 1942 вышло Постановление ГКО № 2362 О продлении срока работы автомашин и тракторов, мобилизованных на вывоз хлеба из глубинных пунктов. (7056, 93 ).</w:t>
      </w:r>
    </w:p>
    <w:p w14:paraId="6D608FD2" w14:textId="77777777" w:rsidR="00090C9B" w:rsidRPr="00722885" w:rsidRDefault="00090C9B" w:rsidP="00722885">
      <w:pPr>
        <w:pStyle w:val="Iauiue"/>
        <w:tabs>
          <w:tab w:val="left" w:pos="11199"/>
        </w:tabs>
        <w:jc w:val="both"/>
        <w:rPr>
          <w:color w:val="000000" w:themeColor="text1"/>
          <w:sz w:val="16"/>
          <w:szCs w:val="16"/>
        </w:rPr>
      </w:pPr>
    </w:p>
    <w:p w14:paraId="2C7A52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вышло Постановление ГКО № 2363 О мероприятиях по обеспечению бесперебойной работы предприятий черной металлургии в зиму 1942-43 гг. и созданию неснижаемых запасов топлива и металлургического сырья. РГАНИР, Фонд ГКО, д. 58, лл. 94-121, 122-152 (11012).</w:t>
      </w:r>
    </w:p>
    <w:p w14:paraId="6BC31D4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7460E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вышло Постановление ГКО № 2364 О плане производства и поставок артиллерийского и стрелкового вооружения и военных приборов на октябрь месяц и IV квартал 1942 г. РГАНИР, Фонд ГКО, д. 59, лл. 1-11, 12-60 (11012).</w:t>
      </w:r>
    </w:p>
    <w:p w14:paraId="15BA121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E550B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вышло Постановление ГКО № 2365 О плане производства минометов на октябрь месяц и IV квартал 1942 г. РГАНИР, Фонд ГКО, д. 59, лл. 61-65, 66-86 (11012).</w:t>
      </w:r>
    </w:p>
    <w:p w14:paraId="3F9A526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E5814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вышло Постановление ГКО № 2366 О плане производства и поставок пулеметов-пистолетов Шпагина в октябре месяце и IV квартале 1942 г. РГАНИР, Фонд ГКО, д. 59, лл. 87-90, 91-99 (11012).</w:t>
      </w:r>
    </w:p>
    <w:p w14:paraId="3423F9E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33815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вышло Постановление ГКО № 2367 О плане производства патронов и звеньев в октябре и IV квартале 1942 г. РГАНИР, Фонд ГКО, д. 59, лл. 100-103, 104-111 (11012).</w:t>
      </w:r>
    </w:p>
    <w:p w14:paraId="7999C02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A6D40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года в цехах завода началась обработка стали для головного катера - большого морского охотника, который был сдан 31 мая 1943 г. Всего заводом 196 в 1943—1945 гг. бьшо построено 66 катеров БМО, из них 18 уже по</w:t>
      </w:r>
      <w:r w:rsidRPr="00722885">
        <w:rPr>
          <w:color w:val="000000" w:themeColor="text1"/>
          <w:sz w:val="16"/>
          <w:szCs w:val="16"/>
        </w:rPr>
        <w:softHyphen/>
        <w:t>сле победы над Германией (3898).</w:t>
      </w:r>
    </w:p>
    <w:p w14:paraId="6C49BE24" w14:textId="77777777" w:rsidR="00090C9B" w:rsidRPr="00722885" w:rsidRDefault="00090C9B" w:rsidP="00722885">
      <w:pPr>
        <w:pStyle w:val="Iauiue"/>
        <w:jc w:val="both"/>
        <w:rPr>
          <w:color w:val="000000" w:themeColor="text1"/>
          <w:sz w:val="16"/>
          <w:szCs w:val="16"/>
        </w:rPr>
      </w:pPr>
    </w:p>
    <w:p w14:paraId="64104C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на "Судомехе" приступили к обработке первого листа стали для головного БМО (постройка и ремонт БМО велись только на этом заводе) (10671).</w:t>
      </w:r>
    </w:p>
    <w:p w14:paraId="60644F5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3452A6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F7985AC" w14:textId="77777777" w:rsidR="00090C9B" w:rsidRPr="00722885" w:rsidRDefault="00090C9B" w:rsidP="00722885">
      <w:pPr>
        <w:pStyle w:val="Iauiue"/>
        <w:jc w:val="both"/>
        <w:rPr>
          <w:iCs/>
          <w:color w:val="000000" w:themeColor="text1"/>
          <w:sz w:val="16"/>
          <w:szCs w:val="16"/>
        </w:rPr>
      </w:pPr>
    </w:p>
    <w:p w14:paraId="4409C472"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 октября </w:t>
      </w:r>
      <w:r w:rsidRPr="00722885">
        <w:rPr>
          <w:rFonts w:ascii="Times New Roman" w:hAnsi="Times New Roman"/>
          <w:color w:val="000000" w:themeColor="text1"/>
          <w:sz w:val="16"/>
          <w:szCs w:val="16"/>
        </w:rPr>
        <w:t>в 1942 году утреннее сообщение Совинформбюро:</w:t>
      </w:r>
    </w:p>
    <w:p w14:paraId="45C2134B"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 октября наши войска вели бои с противником в районе Сталинграда и в районе Моздока. На других фронтах никаких изменений не произошло.</w:t>
      </w:r>
    </w:p>
    <w:p w14:paraId="416B01D5"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 одном участке немцы пытались прорвать оборону советских войск и бросили в атаку значительное число танков. Огнём из орудий и противотанковых ружей уничтожено 8 немецких танков. Два танка противника, ворвавшиеся в расположение наших частей, сожжены бутылками с зажигательной смесью. Гитлеровцы потеряли в этом бою до 200 человек убитыми и отступили на исходные позиции.</w:t>
      </w:r>
    </w:p>
    <w:p w14:paraId="41321D33"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 Н-ского соединения в воздушных боях сбили 9 немецких самолётов.</w:t>
      </w:r>
    </w:p>
    <w:p w14:paraId="3A96F8AE"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подразделения гвардейской части атаковали одну высоту и очистили её от немцев. В этом бою уничтожено до 300 вражеских солдат и офицеров, 11 пулемётов, 18 ДЗОТ'ов и блиндажей противника. Артиллерийская батарея, где командиром тов. Буянов, поддерживавшая действия наших подразделений, подбила 2 немецких танка и подавила огонь батареи шестиствольных миномётов.</w:t>
      </w:r>
    </w:p>
    <w:p w14:paraId="4CCF0C2B"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артиллеристы Н-ской части подбили 4 немецких танка, уничтожили 8 автомашин, рассеяли и частью истребили до двух рот немецкой пехоты. Наше кавалерийское подразделение совершило ночной налёт на занятый гитлеровцами населённый пункт. Советские конники порубили до 100 немецких солдат и офицеров, подорвали 2 бронемашины и сожгли склад с горючим.</w:t>
      </w:r>
    </w:p>
    <w:p w14:paraId="3E12A91C"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Н-ская часть за три дня боёв уничтожила до 1.500 немецких и румынских солдат и офицеров, 8 миномётов, 25 пулемётов, 4 орудия, 1миномётную батарею и склад с боеприпасами противника.</w:t>
      </w:r>
    </w:p>
    <w:p w14:paraId="6CEE68B1"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активными действиями наших разведчиков и снайперов за два дня истреблено более 200 вражеских солдат и офицеров. Наши бойцы захватили у немцев 10 ротных миномётов и свыше 50 автоматов. Большие потери несёт немецкая авиация. Лётчиками Ленинградского фронта и Краснознамённого Балтийского флота в воздушных боях за два дня сбито 24 немецких самолёта. За это же время огнём нашей зенитной артиллерии уничтожено 27 самолётов. Всего за два дня под Ленинградом уничтожен 51 самолёт противника.</w:t>
      </w:r>
    </w:p>
    <w:p w14:paraId="1133401F"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орловских партизан за две недели истребил 280 венгерских солдат и офицеров. За это же время партизаны сожгли спиртозавод, нефтебазу, 3.000 тонн сена, уничтожили 12 тракторов и разрушили два деревянных моста. В конце сентября партизаны пустили под откос железнодорожный эшелон немецко-фашистских оккупантов. Разбито 33 вагона с живой силой и различной военной техникой противника.</w:t>
      </w:r>
    </w:p>
    <w:p w14:paraId="762F9570"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 эскадрона 8 кавалерийского полка Константин Булгарю рассказал: «В ожесточённых боях за два населённых пункта 1 эскадрон потерял убитыми и ранеными 152 человека. Другие эскадроны также понесли тяжёлые потери. За последнее время многие румынские солдаты получают из дому мрачные и плачевные письма. Им пишут, что их семьи умирают с голоду. Антонеску обещал нам золотые горы, а теперь немцы забирают последние продукты».</w:t>
      </w:r>
    </w:p>
    <w:p w14:paraId="1A84E206"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немецкого солдата Рудольфа Эберле найдено письмо из Пфаффенгофена от матери. Она пишет: «В городах сейчас очень плохо, но и в деревне тоже не лучше. Мы должны только работать и всё отдавать. Многих крестьян окончательно разорили. Все потихоньку брюзжат, но громко сказать боятся. У нас критиковать нельзя. За это полагается очень суровое наказание, вплоть до смертной казни».</w:t>
      </w:r>
    </w:p>
    <w:p w14:paraId="76DFCF3A"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Население Эльзас-Лотарингии упорно сопротивляется немецким захватчикам. Молодёжь скрывается от немецких военных властей и не является на призывные участки. Близ Феррета несколько призывников напали на немецкий патруль и убили трёх гитлеровцев. В Страсбурге за последние дни на тротуарах и стенах домов по утрам часто появляются лозунги: «Долой кровавого Гитлера!», «Эльзас был и будет свободным!», «Смерть фашистам!» (14787).</w:t>
      </w:r>
    </w:p>
    <w:p w14:paraId="031DD61D"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2AABDBB2"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 октября </w:t>
      </w:r>
      <w:r w:rsidRPr="00722885">
        <w:rPr>
          <w:rFonts w:ascii="Times New Roman" w:hAnsi="Times New Roman"/>
          <w:color w:val="000000" w:themeColor="text1"/>
          <w:sz w:val="16"/>
          <w:szCs w:val="16"/>
        </w:rPr>
        <w:t>в 1942 году вечернее сообщение Совинформбюро:</w:t>
      </w:r>
    </w:p>
    <w:p w14:paraId="1E18083F"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 октября наши войска вели бои с противником в районе Сталинграда и в районе Моздока. На других фронтах существенных изменений не произошло.</w:t>
      </w:r>
    </w:p>
    <w:p w14:paraId="1B01156E"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 октября частями нашей авиации на различных участках фронта уничтожено или повреждено до 10 немецких танков, более 40 автомашин с войсками и грузами, взорвано 2 склада боеприпасов, подавлен огонь 11 артиллерийских батарей, рассеяно и частью уничтожено до батальона пехоты противника.</w:t>
      </w:r>
    </w:p>
    <w:p w14:paraId="139FEDD0"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 одном из участков противник, пытаясь сломить сопротивление наших войск, бросил в атаку крупные силы пехоты и танков. Наши бойцы выдержали натиск врага и отбили атаки гитлеровцев. В результате боя истреблено 700 солдат и офицеров противника и подбито несколько немецких танков. На другом участке наши части медленно продвигались вперёд, очищая от противника отдельные здания. В уличных боях уничтожено до батальона немецкой пехоты.</w:t>
      </w:r>
    </w:p>
    <w:p w14:paraId="7972F7A9"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батальон немецкой пехоты при поддержке 50 танков атаковал наш отряд, вклинившийся в оборону противника. После упорного боя, в ходе которого было подбито 16 немецких танков, наш отряд отошёл на исходные позиции.</w:t>
      </w:r>
    </w:p>
    <w:p w14:paraId="4A9409F3"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активные боевые действия и в ряде пунктов продвинулись вперёд. Части Н-ского соединения выбили немцев из укреплённых позиций, уничтожив при этом 7 танков, 5 орудий, 13 пулемётов и до двух рот пехоты противника. На другом участке наши части в результате упорных боёв овладели районом одной высоты. В боях за эту высоту захвачено 130 подбитых немецких танков, зарытых в землю и использованных гитлеровцами как огневые точки.</w:t>
      </w:r>
    </w:p>
    <w:p w14:paraId="2C4E9D59"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бойцы части, где командиром тов. Данилян, в течение дня отбили несколько атак противника и уничтожили 7 немецких танков и до 200 гитлеровцев. Восточнее Моздока немцы силами пехоты, мотоциклистов и 40 танков атаковали одну высоту. Наши бойцы отбили две атаки противника с большими для него потерями. Только после того, как гитлеровцы подтянули новые силы, наша часть отошла на новые позиции. В результате боя подбито и сожжено 19 немецких танков и истреблено более двух рот пехоты противника.</w:t>
      </w:r>
    </w:p>
    <w:p w14:paraId="5EF732A7"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войска вели упорные бои с противником. Наодном участке противнику удалось вклиниться в нашу оборону. Советские части предприняли контратаки и уничтожили прорвавшихся вперёд гитлеровцев. Убито до 300 немецких и румынских солдат и офицеров. На другом участке бойцы подразделения тов. Гоняева уничтожили до роты гитлеровцев и подбили 2 немецких танка.</w:t>
      </w:r>
    </w:p>
    <w:p w14:paraId="4C5F09E8"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наши автоматчики проникли за проволочные заграждения противника и ведут борьбу внутри оборонительного района немцев. В течение дня они уничтожили до роты гитлеровцев. Бойцы Н-ской части разгромили батальон пехоты противника, переправившийся через водный рубеж. Немцы отступили, оставив на восточном берегу реки до 400 трупов солдат и офицеров.</w:t>
      </w:r>
    </w:p>
    <w:p w14:paraId="750BEFEE"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Северо-западнее Сталинграда взята в плен группа немецких солдат 203 полка 76 немецкой пехотной дивизии. Пленный унтер-офицер Генрих Альверс рассказал: «Осенне-зимние бои прошлого года обескровили нашу дивизию. Роты пехотных полков насчитывали по 10—20 человек. После этого дивизия была почти заново укомплектована. В последующих боях дивизия опять понесла большие потери. С 20 апреля по 3 сентября в дивизию влилось 12 маршевых батальонов. В каждом батальоне было по 900—1.000 человек. В боях на Дону наш полк понёс тяжёлые потери в людях и материальной части. В этих сражениях были убиты командир 203 полка подполковник Вихман, командир 1 батальона майор Иордан, командир 2 батальона майор Фитингер и другие. Рота, в которой осталось 30 человек, считалась в </w:t>
      </w:r>
      <w:r w:rsidRPr="00722885">
        <w:rPr>
          <w:rFonts w:ascii="Times New Roman" w:hAnsi="Times New Roman"/>
          <w:color w:val="000000" w:themeColor="text1"/>
          <w:sz w:val="16"/>
          <w:szCs w:val="16"/>
        </w:rPr>
        <w:lastRenderedPageBreak/>
        <w:t>полку самой многочисленной. 19 сентября нам объявили приказ —сражаться до последнего солдата. Но русские танки и пехота прорвались в наше расположение, и мы в беспорядке отступили. На рассвете следующего дня русские окружили нас и захватили в плен».</w:t>
      </w:r>
    </w:p>
    <w:p w14:paraId="660077D1"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Кровавое злодеяние совершили гитлеровские мерзавцы в деревне Березовка, Курской области. Силой оружия они погнали 150 мужчин, женщин и подростков на строительство укреплений в прифронтовой полосе. После окончания работ фашистские палачи расстреляли всех крестьян, работавших на строительстве.</w:t>
      </w:r>
    </w:p>
    <w:p w14:paraId="3B017E98"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Седлеца (Польша) вспыхнула забастовка среди итальянских железнодорожных рабочих, пригнанных немцами из Италии для работы на железных дорогах Польши. Около пятисот итальянцев потребовали немедленной отправки их на родину. Гитлеровцы принуждают итальянских рабочих работать по 14 часов в день за скудный паёк, состоящий из 200 граммов хлеба и похлёбки из гнилой брюквы. Гестапо производит массовые аресты рабочих.» (14787).</w:t>
      </w:r>
    </w:p>
    <w:p w14:paraId="436255C0"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2E8079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2 октября 1942 г. 3 Ил-2 6-го </w:t>
      </w:r>
      <w:r w:rsidRPr="00722885">
        <w:rPr>
          <w:iCs/>
          <w:color w:val="000000" w:themeColor="text1"/>
          <w:sz w:val="16"/>
          <w:szCs w:val="16"/>
        </w:rPr>
        <w:t xml:space="preserve">гшап </w:t>
      </w:r>
      <w:r w:rsidRPr="00722885">
        <w:rPr>
          <w:color w:val="000000" w:themeColor="text1"/>
          <w:sz w:val="16"/>
          <w:szCs w:val="16"/>
        </w:rPr>
        <w:t>(ведущий л-т Рябов) 3-й ВА атаковали железнодорожные эшелоны на ст.Лиозно. Во время атаки группа Рябова под</w:t>
      </w:r>
      <w:r w:rsidRPr="00722885">
        <w:rPr>
          <w:color w:val="000000" w:themeColor="text1"/>
          <w:sz w:val="16"/>
          <w:szCs w:val="16"/>
        </w:rPr>
        <w:softHyphen/>
        <w:t>верглась атаке 3 Bf109F. Лейтенант Ря</w:t>
      </w:r>
      <w:r w:rsidRPr="00722885">
        <w:rPr>
          <w:color w:val="000000" w:themeColor="text1"/>
          <w:sz w:val="16"/>
          <w:szCs w:val="16"/>
        </w:rPr>
        <w:softHyphen/>
        <w:t>бов повел группу в атаку на истребите</w:t>
      </w:r>
      <w:r w:rsidRPr="00722885">
        <w:rPr>
          <w:color w:val="000000" w:themeColor="text1"/>
          <w:sz w:val="16"/>
          <w:szCs w:val="16"/>
        </w:rPr>
        <w:softHyphen/>
        <w:t>ли противника. В результате воздушно</w:t>
      </w:r>
      <w:r w:rsidRPr="00722885">
        <w:rPr>
          <w:color w:val="000000" w:themeColor="text1"/>
          <w:sz w:val="16"/>
          <w:szCs w:val="16"/>
        </w:rPr>
        <w:softHyphen/>
        <w:t>го боя л-т Рябов в лобовой атаке сбил один Bf109F, после чего "мессершмитты" вышли из боя. Все 3 Ил-2 благопо</w:t>
      </w:r>
      <w:r w:rsidRPr="00722885">
        <w:rPr>
          <w:color w:val="000000" w:themeColor="text1"/>
          <w:sz w:val="16"/>
          <w:szCs w:val="16"/>
        </w:rPr>
        <w:softHyphen/>
        <w:t>лучно вернулись на свой аэродром (6467).</w:t>
      </w:r>
    </w:p>
    <w:p w14:paraId="11D4FDE9" w14:textId="77777777" w:rsidR="00090C9B" w:rsidRPr="00722885" w:rsidRDefault="00090C9B" w:rsidP="00722885">
      <w:pPr>
        <w:pStyle w:val="Iauiue"/>
        <w:jc w:val="both"/>
        <w:rPr>
          <w:color w:val="000000" w:themeColor="text1"/>
          <w:sz w:val="16"/>
          <w:szCs w:val="16"/>
        </w:rPr>
      </w:pPr>
    </w:p>
    <w:p w14:paraId="331D98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октября 1942 немецкая авиация совершила новый налет на Сталинград, сбросив тяжелые зажигательные бомбы на остатки нефтехранилища около завода «Красный Октябрь». После огненного смерча 23 августа в уцелевших баках каким-то чудом остался мазут, и там вновь вспыхнул сильный пожар. Пылающие нефтепродукты огненной рекой устремились в овраг и далее на берег Волги, охватывая медпункты, узел связи и блиндажи. Черный дым заволок штаб 62-й армии, где едва не погиб генерал Чуйков. Погибли десятки раненых, не способных самостоятельно передвигаться. Одновременно с этим «Хейнкели» из 1-й эскадрильи KG100 «Викинг» сбросили на тракторный завод и прилегающие развалины бомбы SC1000. Советская авиация как могла противодействовала атакам Люфтваффе, неся при этом большие потери. 1 октября командующий 8-й воздушной армией генерал Хрюкин вынужден был отправить на переформирование сразу 12 истребительных авиаполков. За месяц интенсивных боев только 220-я и 283-я ИАД потеряли 157 самолетов, при этом погибли 83 летчика. В 434-м ИАП, провоевавшем под Сталинградом всего две недели, к концу сентября осталось менее одной трети самолетов. В ходе 611 боевых вылетов погибли или были ранены 70 летчиков. Вследствие этого полк пришлось в очередной раз отправить на переформирование (11774).</w:t>
      </w:r>
    </w:p>
    <w:p w14:paraId="115F24B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A10028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 октября 1942 Политбюро ЦК ВКП(б) принял постановление о развитии партизанского движения на Украине (4962).</w:t>
      </w:r>
    </w:p>
    <w:p w14:paraId="233CE508" w14:textId="77777777" w:rsidR="00090C9B" w:rsidRPr="00722885" w:rsidRDefault="00090C9B" w:rsidP="00722885">
      <w:pPr>
        <w:pStyle w:val="Iauiue"/>
        <w:tabs>
          <w:tab w:val="left" w:pos="11199"/>
        </w:tabs>
        <w:jc w:val="both"/>
        <w:rPr>
          <w:color w:val="000000" w:themeColor="text1"/>
          <w:sz w:val="16"/>
          <w:szCs w:val="16"/>
        </w:rPr>
      </w:pPr>
    </w:p>
    <w:p w14:paraId="722B396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7F45E18E" w14:textId="77777777" w:rsidR="00090C9B" w:rsidRPr="00722885" w:rsidRDefault="00090C9B" w:rsidP="00722885">
      <w:pPr>
        <w:pStyle w:val="Iauiue"/>
        <w:jc w:val="both"/>
        <w:rPr>
          <w:iCs/>
          <w:color w:val="000000" w:themeColor="text1"/>
          <w:sz w:val="16"/>
          <w:szCs w:val="16"/>
        </w:rPr>
      </w:pPr>
    </w:p>
    <w:p w14:paraId="36EB0D2E"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 октября </w:t>
      </w:r>
      <w:r w:rsidRPr="00722885">
        <w:rPr>
          <w:rFonts w:ascii="Times New Roman" w:hAnsi="Times New Roman"/>
          <w:color w:val="000000" w:themeColor="text1"/>
          <w:sz w:val="16"/>
          <w:szCs w:val="16"/>
        </w:rPr>
        <w:t>в 1942 году Политбюро ЦК ВКП(б) принял постановление о развитии партизанского движения на Украине (14787).</w:t>
      </w:r>
    </w:p>
    <w:p w14:paraId="72657CA4"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3A6BA51A"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 октября </w:t>
      </w:r>
      <w:r w:rsidRPr="00722885">
        <w:rPr>
          <w:rFonts w:ascii="Times New Roman" w:hAnsi="Times New Roman"/>
          <w:color w:val="000000" w:themeColor="text1"/>
          <w:sz w:val="16"/>
          <w:szCs w:val="16"/>
        </w:rPr>
        <w:t>в 1942 году в Краснодоне организована подпольная комсомольская организация "Молодая Гвардия". После оккупации фашистами Краснодона (20 июля 1942) образовалось несколько антифашистских молодёжных групп: И.А.Земнухова, О.В.Кошевого, В.И.Левашова, С.Г.Тюленина, А.З.Елисеенко, В.А.Жданова, Н.С.Сумского, У.М.Громовой, А.В.Попова, М.К.Пегливановой. 2 октября 1942 коммунист Е.Я.Мошков провёл первое организационное собрание руководителей групп молодёжи города и близлежащих посёлков. Созданная подпольная организация была названа "Молодая Гвардия". В состав её штаба вошли: Громова, Земнухов, Кошевой (комиссар "Молодой Гвардии"), Левашов, В.И.Третьякевич, И.В.Туркенич (командир "Молодой Гвардии"), Тюленин, Л.Г.Шевцова. "Молодая Гвардия" насчитывала 91 человек (в том числе 26 рабочих, 44 учащихся и 14 служащих), из них 15 коммунистов. организация имела 4 радиоприёмника, подпольную типографию, оружие и взрывчатку. Выпустила и распространила 5 тысяч антифашистских листовок 30 наименований; в канун 25-й годовщины Великой Октябрьской социалистической революции вывесила в городе 8 советских флагов. Члены организации уничтожали вражеские автомашины с солдатами, боеприпасами и горючим. 15 ноября 1942 молодогвардейцы освободили из фашистского концлагеря 70 советских военнопленных, было освобождено также 20 советских военнопленных, находившихся в больнице. В результате поджога в ночь на 6 декабря 1942 здания фашистской биржи труда, где хранились списки людей, предназначенных к вывозу в Германию, около 2 тысяч краснодонцев были спасены от угона в фашистское рабство. Подпольная партийная организация города и "Молодая Гвардия" готовили вооруженное восстание с целью уничтожить фашистский гарнизон и выступить навстречу Советской Армии. Предательство провокатора Почепцова прервало эту подготовку. В фашистских застенках молодогвардейцы мужественно и стойко выдержали жесточайшие пытки. 15, 16 и 31 января 1943 фашисты частью живыми, частью расстрелянными сбросили 71 человека в шурф шахты № 5, глубиной 53 м. Кошевой, Шевцова, С.М.Остапенко, Д.У.Огурцов, В.Ф.Субботин после зверских пыток были расстреляны в Гремучем лесу вблизи города Ровеньки 9 февраля 1943. 4 человека расстреляны в других районах. От преследования полиции ушли 11 человек: А.В.Ковалев пропал без вести, Туркенич и С.С.Сафонов погибли на фронте, Г.М.Арутюнянц, В.Д.Борц, А.В.Лопухов, О.И.Иванцова, Н.М.Иванцова, Левашов, М.Т.Шищенко и Р.П.Юркин остались живы (14787).</w:t>
      </w:r>
    </w:p>
    <w:p w14:paraId="4EA9A44C"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5D10C6E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 октября 1942 в Краснодоне организована подпольная антифашистская организация “Молодая гвардия” (4962).</w:t>
      </w:r>
    </w:p>
    <w:p w14:paraId="67AAACAF" w14:textId="77777777" w:rsidR="00090C9B" w:rsidRPr="00722885" w:rsidRDefault="00090C9B" w:rsidP="00722885">
      <w:pPr>
        <w:pStyle w:val="Iauiue"/>
        <w:tabs>
          <w:tab w:val="left" w:pos="11199"/>
        </w:tabs>
        <w:jc w:val="both"/>
        <w:rPr>
          <w:color w:val="000000" w:themeColor="text1"/>
          <w:sz w:val="16"/>
          <w:szCs w:val="16"/>
        </w:rPr>
      </w:pPr>
    </w:p>
    <w:p w14:paraId="19AF949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FE3FE41" w14:textId="77777777" w:rsidR="00090C9B" w:rsidRPr="00722885" w:rsidRDefault="00090C9B" w:rsidP="00722885">
      <w:pPr>
        <w:pStyle w:val="Iauiue"/>
        <w:jc w:val="both"/>
        <w:rPr>
          <w:iCs/>
          <w:color w:val="000000" w:themeColor="text1"/>
          <w:sz w:val="16"/>
          <w:szCs w:val="16"/>
        </w:rPr>
      </w:pPr>
    </w:p>
    <w:p w14:paraId="689DF38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в Вашингтоне состоялось подписание второго протокола о поставках США и Великобританией СССР военного снаряжения, боеприпасов и сырья (3186).</w:t>
      </w:r>
    </w:p>
    <w:p w14:paraId="0E9576D1" w14:textId="77777777" w:rsidR="00090C9B" w:rsidRPr="00722885" w:rsidRDefault="00090C9B" w:rsidP="00722885">
      <w:pPr>
        <w:pStyle w:val="Iauiue"/>
        <w:jc w:val="both"/>
        <w:rPr>
          <w:color w:val="000000" w:themeColor="text1"/>
          <w:sz w:val="16"/>
          <w:szCs w:val="16"/>
        </w:rPr>
      </w:pPr>
    </w:p>
    <w:p w14:paraId="16FBD67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65E6E76" w14:textId="77777777" w:rsidR="00090C9B" w:rsidRPr="00722885" w:rsidRDefault="00090C9B" w:rsidP="00722885">
      <w:pPr>
        <w:pStyle w:val="Iauiue"/>
        <w:jc w:val="both"/>
        <w:rPr>
          <w:iCs/>
          <w:color w:val="000000" w:themeColor="text1"/>
          <w:sz w:val="16"/>
          <w:szCs w:val="16"/>
        </w:rPr>
      </w:pPr>
    </w:p>
    <w:p w14:paraId="7FC094A8" w14:textId="77777777" w:rsidR="00A1659D" w:rsidRPr="00722885" w:rsidRDefault="00A1659D" w:rsidP="00722885">
      <w:pPr>
        <w:pStyle w:val="Iauiue"/>
        <w:jc w:val="both"/>
        <w:rPr>
          <w:color w:val="000000" w:themeColor="text1"/>
          <w:sz w:val="16"/>
          <w:szCs w:val="16"/>
        </w:rPr>
      </w:pPr>
      <w:r w:rsidRPr="00722885">
        <w:rPr>
          <w:color w:val="000000" w:themeColor="text1"/>
          <w:sz w:val="16"/>
          <w:szCs w:val="16"/>
        </w:rPr>
        <w:t>2 октября 1942 первый полет выполнил реактивный американский ХР-59А (2255).</w:t>
      </w:r>
    </w:p>
    <w:p w14:paraId="1A13F189" w14:textId="77777777" w:rsidR="00A1659D" w:rsidRPr="00722885" w:rsidRDefault="00A1659D" w:rsidP="00722885">
      <w:pPr>
        <w:pStyle w:val="Iauiue"/>
        <w:jc w:val="both"/>
        <w:rPr>
          <w:color w:val="000000" w:themeColor="text1"/>
          <w:sz w:val="16"/>
          <w:szCs w:val="16"/>
        </w:rPr>
      </w:pPr>
    </w:p>
    <w:p w14:paraId="0A25DC08" w14:textId="77777777" w:rsidR="00A1659D" w:rsidRPr="00722885" w:rsidRDefault="00A1659D" w:rsidP="00722885">
      <w:pPr>
        <w:pStyle w:val="Iauiue"/>
        <w:jc w:val="both"/>
        <w:rPr>
          <w:color w:val="000000" w:themeColor="text1"/>
          <w:sz w:val="16"/>
          <w:szCs w:val="16"/>
        </w:rPr>
      </w:pPr>
      <w:r w:rsidRPr="00722885">
        <w:rPr>
          <w:color w:val="000000" w:themeColor="text1"/>
          <w:sz w:val="16"/>
          <w:szCs w:val="16"/>
        </w:rPr>
        <w:t>2 October 1942 Successful V2 launch (270).</w:t>
      </w:r>
    </w:p>
    <w:p w14:paraId="6976C86A" w14:textId="77777777" w:rsidR="00A1659D" w:rsidRPr="00722885" w:rsidRDefault="00A1659D" w:rsidP="00722885">
      <w:pPr>
        <w:pStyle w:val="Iauiue"/>
        <w:jc w:val="both"/>
        <w:rPr>
          <w:color w:val="000000" w:themeColor="text1"/>
          <w:sz w:val="16"/>
          <w:szCs w:val="16"/>
        </w:rPr>
      </w:pPr>
    </w:p>
    <w:p w14:paraId="0CF37C7A" w14:textId="77777777" w:rsidR="00A1659D" w:rsidRPr="00722885" w:rsidRDefault="00A1659D" w:rsidP="00722885">
      <w:pPr>
        <w:pStyle w:val="Iauiue"/>
        <w:jc w:val="both"/>
        <w:rPr>
          <w:color w:val="000000" w:themeColor="text1"/>
          <w:sz w:val="16"/>
          <w:szCs w:val="16"/>
        </w:rPr>
      </w:pPr>
      <w:r w:rsidRPr="00722885">
        <w:rPr>
          <w:color w:val="000000" w:themeColor="text1"/>
          <w:sz w:val="16"/>
          <w:szCs w:val="16"/>
        </w:rPr>
        <w:t>2 октября 1942 состоялся успешный пуск Фау-2 (270).</w:t>
      </w:r>
    </w:p>
    <w:p w14:paraId="73FB125C" w14:textId="77777777" w:rsidR="00A1659D" w:rsidRPr="00722885" w:rsidRDefault="00A1659D" w:rsidP="00722885">
      <w:pPr>
        <w:pStyle w:val="Iauiue"/>
        <w:jc w:val="both"/>
        <w:rPr>
          <w:color w:val="000000" w:themeColor="text1"/>
          <w:sz w:val="16"/>
          <w:szCs w:val="16"/>
        </w:rPr>
      </w:pPr>
    </w:p>
    <w:p w14:paraId="01FC3C8D" w14:textId="77777777" w:rsidR="00A1659D" w:rsidRPr="00722885" w:rsidRDefault="00A1659D" w:rsidP="00722885">
      <w:pPr>
        <w:pStyle w:val="Iauiue"/>
        <w:jc w:val="both"/>
        <w:rPr>
          <w:color w:val="000000" w:themeColor="text1"/>
          <w:sz w:val="16"/>
          <w:szCs w:val="16"/>
        </w:rPr>
      </w:pPr>
      <w:r w:rsidRPr="00722885">
        <w:rPr>
          <w:color w:val="000000" w:themeColor="text1"/>
          <w:sz w:val="16"/>
          <w:szCs w:val="16"/>
        </w:rPr>
        <w:t>2-3 октября 1942 состоялся успешный пуск Фау-2 (270) в Пенемюнде и ракета пролетела 120 миль (1038). Вернер фон Браун потратил 10 лет, чтобы сделать А-4. Этот запуск был 4-м и ракета пролетела 192 км на высоте 96 км, разорвавшись в 4 км от цели. Работы пошли успешно и до июня 1942 сделали 31 пуск (2469,17).</w:t>
      </w:r>
    </w:p>
    <w:p w14:paraId="44AB9AB4" w14:textId="77777777" w:rsidR="00A1659D" w:rsidRPr="00722885" w:rsidRDefault="00A1659D" w:rsidP="00722885">
      <w:pPr>
        <w:pStyle w:val="Iauiue"/>
        <w:jc w:val="both"/>
        <w:rPr>
          <w:color w:val="000000" w:themeColor="text1"/>
          <w:sz w:val="16"/>
          <w:szCs w:val="16"/>
        </w:rPr>
      </w:pPr>
    </w:p>
    <w:p w14:paraId="065ACF0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 октября 1942 английским лайнером “Куин Мари” перерезан пополам сопровождавший его легкий крейсер “Курасао”, в результате чего погибло 338 человек (4962).</w:t>
      </w:r>
    </w:p>
    <w:p w14:paraId="64C5E02A" w14:textId="77777777" w:rsidR="00090C9B" w:rsidRPr="00722885" w:rsidRDefault="00090C9B" w:rsidP="00722885">
      <w:pPr>
        <w:pStyle w:val="Iauiue"/>
        <w:tabs>
          <w:tab w:val="left" w:pos="11199"/>
        </w:tabs>
        <w:jc w:val="both"/>
        <w:rPr>
          <w:color w:val="000000" w:themeColor="text1"/>
          <w:sz w:val="16"/>
          <w:szCs w:val="16"/>
        </w:rPr>
      </w:pPr>
    </w:p>
    <w:p w14:paraId="16359F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октября 1942 лайнер Куин Мерри во время совместного плавания перерезал пополам английский легкий крейсер Curasoa. Погибло 338 чел. (3481).</w:t>
      </w:r>
    </w:p>
    <w:p w14:paraId="222834C0" w14:textId="77777777" w:rsidR="00090C9B" w:rsidRPr="00722885" w:rsidRDefault="00090C9B" w:rsidP="00722885">
      <w:pPr>
        <w:pStyle w:val="Iauiue"/>
        <w:jc w:val="both"/>
        <w:rPr>
          <w:color w:val="000000" w:themeColor="text1"/>
          <w:sz w:val="16"/>
          <w:szCs w:val="16"/>
        </w:rPr>
      </w:pPr>
    </w:p>
    <w:p w14:paraId="7B7C747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08C63A6" w14:textId="77777777" w:rsidR="00090C9B" w:rsidRPr="00722885" w:rsidRDefault="00090C9B" w:rsidP="00722885">
      <w:pPr>
        <w:pStyle w:val="Iauiue"/>
        <w:jc w:val="both"/>
        <w:rPr>
          <w:iCs/>
          <w:color w:val="000000" w:themeColor="text1"/>
          <w:sz w:val="16"/>
          <w:szCs w:val="16"/>
        </w:rPr>
      </w:pPr>
    </w:p>
    <w:p w14:paraId="54D7CB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С.В.И. и Нач. НИИ ВВС Лосюков писали А.И.Ш. письмо без номера:</w:t>
      </w:r>
    </w:p>
    <w:p w14:paraId="75A77C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"Представляя при сем отчет об испытаниях 2-х местного самолета Ил-2, докладываем:</w:t>
      </w:r>
    </w:p>
    <w:p w14:paraId="35666D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Необходимо запустить в серийное производство 2-х местный вариант самолета Ил-2 (с АМ-38, винтом АВ5-Л-158 и щитками, устанавливаемыми на взлетный угол) с установкой на нем пулемета Березина 12.7 мм для стрельбы назад, с нормальной бомбовой нагрузкой: либо 400 кг бомб, либо 200 кг бомб + 8 РС-82</w:t>
      </w:r>
    </w:p>
    <w:p w14:paraId="357C4A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улучшения взлетных свойств самолета и доведения бомбовой нагрузки до одноместного варианта, необходим быстрейший переход на форсированный АМ-38Ф (1632,88).</w:t>
      </w:r>
    </w:p>
    <w:p w14:paraId="7C4C02BB" w14:textId="77777777" w:rsidR="00090C9B" w:rsidRPr="00722885" w:rsidRDefault="00090C9B" w:rsidP="00722885">
      <w:pPr>
        <w:pStyle w:val="Iauiue"/>
        <w:jc w:val="both"/>
        <w:rPr>
          <w:color w:val="000000" w:themeColor="text1"/>
          <w:sz w:val="16"/>
          <w:szCs w:val="16"/>
        </w:rPr>
      </w:pPr>
    </w:p>
    <w:p w14:paraId="0B11CA7B" w14:textId="77777777" w:rsidR="00587E7C" w:rsidRPr="00722885" w:rsidRDefault="00587E7C"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 октября 1942 начальник НИИ ВВС генерал-майор Лосюков под</w:t>
      </w:r>
      <w:r w:rsidRPr="00722885">
        <w:rPr>
          <w:rFonts w:ascii="Times New Roman" w:hAnsi="Times New Roman" w:cs="Times New Roman"/>
          <w:color w:val="000000" w:themeColor="text1"/>
          <w:sz w:val="16"/>
          <w:szCs w:val="16"/>
        </w:rPr>
        <w:softHyphen/>
        <w:t>писал Заключение по результатам испытаний двухместных Ил-2 и тогда же его утвердил заместитель главного инженера ВВС генерал-майор Лапин.</w:t>
      </w:r>
    </w:p>
    <w:p w14:paraId="44917E9D" w14:textId="77777777" w:rsidR="00587E7C" w:rsidRPr="00722885" w:rsidRDefault="00587E7C"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этот же день за подписью Лосюкова и Ильюшина на имя Шахурина и генерал- лейтенанта Репина последовал доклад, в котором предлагалось: «Запустить в серий</w:t>
      </w:r>
      <w:r w:rsidRPr="00722885">
        <w:rPr>
          <w:rFonts w:ascii="Times New Roman" w:hAnsi="Times New Roman" w:cs="Times New Roman"/>
          <w:color w:val="000000" w:themeColor="text1"/>
          <w:sz w:val="16"/>
          <w:szCs w:val="16"/>
        </w:rPr>
        <w:softHyphen/>
        <w:t xml:space="preserve">ное производство двухместный вариант самолета Ил-2 (с мотором АМ-38, винтом АВ5-Л158 и щитками, установленными на взлетный угол) с установкой на нем пулемета Березина калибра 12,7 мм для стрельбы назад, с нормальной нагрузкой: либо 400 кг бомб, либо 200 кг бомб плюс 8 </w:t>
      </w:r>
      <w:r w:rsidRPr="00722885">
        <w:rPr>
          <w:rFonts w:ascii="Times New Roman" w:hAnsi="Times New Roman" w:cs="Times New Roman"/>
          <w:color w:val="000000" w:themeColor="text1"/>
          <w:sz w:val="16"/>
          <w:szCs w:val="16"/>
          <w:lang w:val="en-US"/>
        </w:rPr>
        <w:t>PC</w:t>
      </w:r>
      <w:r w:rsidRPr="00722885">
        <w:rPr>
          <w:rFonts w:ascii="Times New Roman" w:hAnsi="Times New Roman" w:cs="Times New Roman"/>
          <w:color w:val="000000" w:themeColor="text1"/>
          <w:sz w:val="16"/>
          <w:szCs w:val="16"/>
        </w:rPr>
        <w:t xml:space="preserve"> калибра 82 мм. Для улучшения взлетных свойств самолета и доведения бомбовой нагрузки до одноместного варианта, необходим быстрейший переход на форсированный мотор АМ-38ф» (19111).</w:t>
      </w:r>
    </w:p>
    <w:p w14:paraId="1CB33424" w14:textId="77777777" w:rsidR="00587E7C" w:rsidRPr="00722885" w:rsidRDefault="00587E7C"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33171A9" w14:textId="77777777" w:rsidR="00416559" w:rsidRPr="00722885" w:rsidRDefault="00416559" w:rsidP="00722885">
      <w:pPr>
        <w:spacing w:after="0" w:line="240" w:lineRule="auto"/>
        <w:jc w:val="both"/>
        <w:rPr>
          <w:rFonts w:ascii="Times New Roman" w:hAnsi="Times New Roman"/>
          <w:color w:val="0070C0"/>
          <w:sz w:val="16"/>
          <w:szCs w:val="16"/>
        </w:rPr>
      </w:pPr>
      <w:r w:rsidRPr="00722885">
        <w:rPr>
          <w:rStyle w:val="3fa"/>
          <w:rFonts w:ascii="Times New Roman" w:hAnsi="Times New Roman" w:cs="Times New Roman"/>
          <w:i w:val="0"/>
          <w:iCs w:val="0"/>
          <w:color w:val="0070C0"/>
          <w:spacing w:val="0"/>
          <w:sz w:val="16"/>
          <w:szCs w:val="16"/>
        </w:rPr>
        <w:lastRenderedPageBreak/>
        <w:t>3 октября 1942 начальник НИИ ВВС ге</w:t>
      </w:r>
      <w:r w:rsidRPr="00722885">
        <w:rPr>
          <w:rStyle w:val="3fa"/>
          <w:rFonts w:ascii="Times New Roman" w:hAnsi="Times New Roman" w:cs="Times New Roman"/>
          <w:i w:val="0"/>
          <w:iCs w:val="0"/>
          <w:color w:val="0070C0"/>
          <w:spacing w:val="0"/>
          <w:sz w:val="16"/>
          <w:szCs w:val="16"/>
        </w:rPr>
        <w:softHyphen/>
        <w:t>нерал-майор Лосюков подписал заключение по результатам испытаний двухместных Ил-2 и тогда же его утвердил заместитель главного инженера ВВС генерал-майор Лапин. В этот же день на имя наркома авиапрома Шахурина и главного инженера ВВС генерал-лейтенанта Репина последовал доклад (за подписью Лосюкова и Ильюшина),</w:t>
      </w:r>
      <w:r w:rsidRPr="00722885">
        <w:rPr>
          <w:rStyle w:val="3fa"/>
          <w:rFonts w:ascii="Times New Roman" w:hAnsi="Times New Roman" w:cs="Times New Roman"/>
          <w:color w:val="0070C0"/>
          <w:spacing w:val="0"/>
          <w:sz w:val="16"/>
          <w:szCs w:val="16"/>
        </w:rPr>
        <w:t xml:space="preserve"> </w:t>
      </w:r>
      <w:r w:rsidRPr="00722885">
        <w:rPr>
          <w:rStyle w:val="3fa"/>
          <w:rFonts w:ascii="Times New Roman" w:hAnsi="Times New Roman" w:cs="Times New Roman"/>
          <w:i w:val="0"/>
          <w:iCs w:val="0"/>
          <w:color w:val="0070C0"/>
          <w:spacing w:val="0"/>
          <w:sz w:val="16"/>
          <w:szCs w:val="16"/>
        </w:rPr>
        <w:t>в котором предлагалось</w:t>
      </w:r>
      <w:r w:rsidRPr="00722885">
        <w:rPr>
          <w:rStyle w:val="3fa"/>
          <w:rFonts w:ascii="Times New Roman" w:hAnsi="Times New Roman" w:cs="Times New Roman"/>
          <w:color w:val="0070C0"/>
          <w:spacing w:val="0"/>
          <w:sz w:val="16"/>
          <w:szCs w:val="16"/>
        </w:rPr>
        <w:t xml:space="preserve"> </w:t>
      </w:r>
      <w:r w:rsidRPr="00722885">
        <w:rPr>
          <w:rFonts w:ascii="Times New Roman" w:hAnsi="Times New Roman"/>
          <w:color w:val="0070C0"/>
          <w:sz w:val="16"/>
          <w:szCs w:val="16"/>
        </w:rPr>
        <w:t>«...запустить в серийное производство двух</w:t>
      </w:r>
      <w:r w:rsidRPr="00722885">
        <w:rPr>
          <w:rFonts w:ascii="Times New Roman" w:hAnsi="Times New Roman"/>
          <w:color w:val="0070C0"/>
          <w:sz w:val="16"/>
          <w:szCs w:val="16"/>
        </w:rPr>
        <w:softHyphen/>
        <w:t>местный вариант самолета Ил-2 (с мотором АМ-38, винтом АВ5-Л158, и щитками, установ</w:t>
      </w:r>
      <w:r w:rsidRPr="00722885">
        <w:rPr>
          <w:rFonts w:ascii="Times New Roman" w:hAnsi="Times New Roman"/>
          <w:color w:val="0070C0"/>
          <w:sz w:val="16"/>
          <w:szCs w:val="16"/>
        </w:rPr>
        <w:softHyphen/>
        <w:t>ленными на взлетный угол) с установкой на нем пулемета Березина калибра 12,7 мм для стрельбы назад, с нормальной нагрузкой: либо 400 кг бомб, либо 200 кг бомб плюс 8 РС кали</w:t>
      </w:r>
      <w:r w:rsidRPr="00722885">
        <w:rPr>
          <w:rFonts w:ascii="Times New Roman" w:hAnsi="Times New Roman"/>
          <w:color w:val="0070C0"/>
          <w:sz w:val="16"/>
          <w:szCs w:val="16"/>
        </w:rPr>
        <w:softHyphen/>
        <w:t>бра 82 мм. Для улучшения взлетных свойств самолета и доведения бомбовой нагрузки до одноместного варианта, необходим быстрей</w:t>
      </w:r>
      <w:r w:rsidRPr="00722885">
        <w:rPr>
          <w:rFonts w:ascii="Times New Roman" w:hAnsi="Times New Roman"/>
          <w:color w:val="0070C0"/>
          <w:sz w:val="16"/>
          <w:szCs w:val="16"/>
        </w:rPr>
        <w:softHyphen/>
        <w:t>ший переход на форсированный мотор АМ- 38ф» (19877).</w:t>
      </w:r>
    </w:p>
    <w:p w14:paraId="0AE22542" w14:textId="77777777" w:rsidR="00416559" w:rsidRPr="00722885" w:rsidRDefault="00416559" w:rsidP="00722885">
      <w:pPr>
        <w:spacing w:after="0" w:line="240" w:lineRule="auto"/>
        <w:jc w:val="both"/>
        <w:rPr>
          <w:rFonts w:ascii="Times New Roman" w:hAnsi="Times New Roman"/>
          <w:color w:val="0070C0"/>
          <w:sz w:val="16"/>
          <w:szCs w:val="16"/>
        </w:rPr>
      </w:pPr>
    </w:p>
    <w:p w14:paraId="21E3FA29" w14:textId="77777777" w:rsidR="00587E7C" w:rsidRPr="00722885" w:rsidRDefault="00587E7C"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 октября 1942 за подписью Лосюкова и Ильюшина на имя Шахурина и генерал-лейтенанта Репина последовал доклад, в котором предлагалось: «Запустить в серий</w:t>
      </w:r>
      <w:r w:rsidRPr="00722885">
        <w:rPr>
          <w:rFonts w:ascii="Times New Roman" w:hAnsi="Times New Roman" w:cs="Times New Roman"/>
          <w:color w:val="000000" w:themeColor="text1"/>
          <w:sz w:val="16"/>
          <w:szCs w:val="16"/>
        </w:rPr>
        <w:softHyphen/>
        <w:t xml:space="preserve">ное производство двухместный вариант самолета Ил-2 (с мотором АМ-38, винтом АВ5-Л158 и щитками, установленными на взлетный угол) с установкой на нем пулемета Березина калибра 12,7 мм для стрельбы назад, с нормальной нагрузкой: либо 400 кг бомб, либо 200 кг бомб плюс 8 </w:t>
      </w:r>
      <w:r w:rsidRPr="00722885">
        <w:rPr>
          <w:rFonts w:ascii="Times New Roman" w:hAnsi="Times New Roman" w:cs="Times New Roman"/>
          <w:color w:val="000000" w:themeColor="text1"/>
          <w:sz w:val="16"/>
          <w:szCs w:val="16"/>
          <w:lang w:val="en-US"/>
        </w:rPr>
        <w:t>PC</w:t>
      </w:r>
      <w:r w:rsidRPr="00722885">
        <w:rPr>
          <w:rFonts w:ascii="Times New Roman" w:hAnsi="Times New Roman" w:cs="Times New Roman"/>
          <w:color w:val="000000" w:themeColor="text1"/>
          <w:sz w:val="16"/>
          <w:szCs w:val="16"/>
        </w:rPr>
        <w:t xml:space="preserve"> калибра 82 мм. Для улучшения взлетных свойств самолета и доведения бомбовой нагрузки до одноместного варианта, необходим быстрейший переход на форсированный мотор АМ-38ф» (19111).</w:t>
      </w:r>
    </w:p>
    <w:p w14:paraId="4200A965" w14:textId="77777777" w:rsidR="00587E7C" w:rsidRPr="00722885" w:rsidRDefault="00587E7C"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2E6F71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вышел отчет по испытаниям самолета Ил-2 с АМ-38 в двухместном варианте, модифицированного, N 30897 завода 30 конструкции С.В.И. с ШКАС:</w:t>
      </w:r>
    </w:p>
    <w:p w14:paraId="047013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Экипаж - 2</w:t>
      </w:r>
    </w:p>
    <w:p w14:paraId="5AB7B4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 мощность - 1600 нр</w:t>
      </w:r>
    </w:p>
    <w:p w14:paraId="54A0AF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Ном. мощность на высоте - 1500/1650</w:t>
      </w:r>
    </w:p>
    <w:p w14:paraId="33780D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 - 4450</w:t>
      </w:r>
    </w:p>
    <w:p w14:paraId="1F9E19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(норм./перегр.) - 5950/6050</w:t>
      </w:r>
    </w:p>
    <w:p w14:paraId="0F45B0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Пл. крыла - 38.5</w:t>
      </w:r>
    </w:p>
    <w:p w14:paraId="7F8566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p w14:paraId="3BC58A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у земли - 399</w:t>
      </w:r>
    </w:p>
    <w:p w14:paraId="246DD3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2350 - 423</w:t>
      </w:r>
    </w:p>
    <w:p w14:paraId="24630E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Запас горючего - 535</w:t>
      </w:r>
    </w:p>
    <w:p w14:paraId="073CAD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- 460</w:t>
      </w:r>
    </w:p>
    <w:p w14:paraId="3DC814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 старта до 25 м - 1110</w:t>
      </w:r>
    </w:p>
    <w:p w14:paraId="3FCE37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Винт - АВ-5Л-124 3.4 м</w:t>
      </w:r>
    </w:p>
    <w:p w14:paraId="652846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Вооружение:</w:t>
      </w:r>
    </w:p>
    <w:p w14:paraId="553094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вперед - 2ШВАК с 500, 2ШКАС с 1500</w:t>
      </w:r>
    </w:p>
    <w:p w14:paraId="43AF09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назад - 1ШКАС с 500 на спец. установке</w:t>
      </w:r>
    </w:p>
    <w:p w14:paraId="2D0B91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 на испытаниях - 400</w:t>
      </w:r>
    </w:p>
    <w:p w14:paraId="2FDC58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постановлению ГОКО, норм. бомбовая нагрузка - 300 кг внутри и 4РС-82 (1785).</w:t>
      </w:r>
    </w:p>
    <w:p w14:paraId="3336EF2F" w14:textId="77777777" w:rsidR="00090C9B" w:rsidRPr="00722885" w:rsidRDefault="00090C9B" w:rsidP="00722885">
      <w:pPr>
        <w:pStyle w:val="Iauiue"/>
        <w:jc w:val="both"/>
        <w:rPr>
          <w:color w:val="000000" w:themeColor="text1"/>
          <w:sz w:val="16"/>
          <w:szCs w:val="16"/>
        </w:rPr>
      </w:pPr>
    </w:p>
    <w:p w14:paraId="5D829A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w:t>
      </w:r>
      <w:r w:rsidRPr="00722885">
        <w:rPr>
          <w:color w:val="000000" w:themeColor="text1"/>
          <w:sz w:val="16"/>
          <w:szCs w:val="16"/>
        </w:rPr>
        <w:softHyphen/>
        <w:t>тября 1942 г.главным инженером ВВС КА А.И.Репиным был утвержден Акт о государственных испытаниях двух вариантов двухместных самолетов Ил-2.</w:t>
      </w:r>
    </w:p>
    <w:p w14:paraId="766131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Несмотря на худшие летно-технические характеристики, к серийной построй</w:t>
      </w:r>
      <w:r w:rsidRPr="00722885">
        <w:rPr>
          <w:color w:val="000000" w:themeColor="text1"/>
          <w:sz w:val="16"/>
          <w:szCs w:val="16"/>
        </w:rPr>
        <w:softHyphen/>
        <w:t>ке был рекомендован двухместный Ил-2 с оборонительной установкой под пу</w:t>
      </w:r>
      <w:r w:rsidRPr="00722885">
        <w:rPr>
          <w:color w:val="000000" w:themeColor="text1"/>
          <w:sz w:val="16"/>
          <w:szCs w:val="16"/>
        </w:rPr>
        <w:softHyphen/>
        <w:t>лемет УБТ, так как мощность огня пос</w:t>
      </w:r>
      <w:r w:rsidRPr="00722885">
        <w:rPr>
          <w:color w:val="000000" w:themeColor="text1"/>
          <w:sz w:val="16"/>
          <w:szCs w:val="16"/>
        </w:rPr>
        <w:softHyphen/>
        <w:t>леднего, в сочетании с маневром штур</w:t>
      </w:r>
      <w:r w:rsidRPr="00722885">
        <w:rPr>
          <w:color w:val="000000" w:themeColor="text1"/>
          <w:sz w:val="16"/>
          <w:szCs w:val="16"/>
        </w:rPr>
        <w:softHyphen/>
        <w:t>мовика, обеспечивала более надежную защиту от атак истребителей противни</w:t>
      </w:r>
      <w:r w:rsidRPr="00722885">
        <w:rPr>
          <w:color w:val="000000" w:themeColor="text1"/>
          <w:sz w:val="16"/>
          <w:szCs w:val="16"/>
        </w:rPr>
        <w:softHyphen/>
        <w:t>ка. При этом вопрос о броневой защи</w:t>
      </w:r>
      <w:r w:rsidRPr="00722885">
        <w:rPr>
          <w:color w:val="000000" w:themeColor="text1"/>
          <w:sz w:val="16"/>
          <w:szCs w:val="16"/>
        </w:rPr>
        <w:softHyphen/>
        <w:t>те стрелка снизу и с боков предполага</w:t>
      </w:r>
      <w:r w:rsidRPr="00722885">
        <w:rPr>
          <w:color w:val="000000" w:themeColor="text1"/>
          <w:sz w:val="16"/>
          <w:szCs w:val="16"/>
        </w:rPr>
        <w:softHyphen/>
        <w:t>лось окончательно решить после прове</w:t>
      </w:r>
      <w:r w:rsidRPr="00722885">
        <w:rPr>
          <w:color w:val="000000" w:themeColor="text1"/>
          <w:sz w:val="16"/>
          <w:szCs w:val="16"/>
        </w:rPr>
        <w:softHyphen/>
        <w:t>дения войсковых испытаний в боевых условиях.</w:t>
      </w:r>
    </w:p>
    <w:p w14:paraId="09A27F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Кроме того, с целью улучшения лет</w:t>
      </w:r>
      <w:r w:rsidRPr="00722885">
        <w:rPr>
          <w:color w:val="000000" w:themeColor="text1"/>
          <w:sz w:val="16"/>
          <w:szCs w:val="16"/>
        </w:rPr>
        <w:softHyphen/>
        <w:t>ных свойств двухместного Ил-2, а также для доведения его бомбовой нагрузки до нагрузки одноместного варианта "Ила" предлагалось ускорить установку на него форсированного мотора АМ-38ф (взлетная мощность 1700 л.с.), который к 26 сентября 1942 г. удовлетворитель</w:t>
      </w:r>
      <w:r w:rsidRPr="00722885">
        <w:rPr>
          <w:color w:val="000000" w:themeColor="text1"/>
          <w:sz w:val="16"/>
          <w:szCs w:val="16"/>
        </w:rPr>
        <w:softHyphen/>
        <w:t>но прошел специальные 50-часовые летные испытания в НИИ ВВС КА (6467).</w:t>
      </w:r>
    </w:p>
    <w:p w14:paraId="39EF42AC" w14:textId="77777777" w:rsidR="00090C9B" w:rsidRPr="00722885" w:rsidRDefault="00090C9B" w:rsidP="00722885">
      <w:pPr>
        <w:pStyle w:val="Iauiue"/>
        <w:jc w:val="both"/>
        <w:rPr>
          <w:color w:val="000000" w:themeColor="text1"/>
          <w:sz w:val="16"/>
          <w:szCs w:val="16"/>
        </w:rPr>
      </w:pPr>
    </w:p>
    <w:p w14:paraId="2ADD9D3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октября 1942 г. был утвер</w:t>
      </w:r>
      <w:r w:rsidRPr="00722885">
        <w:rPr>
          <w:rFonts w:ascii="Times New Roman" w:hAnsi="Times New Roman"/>
          <w:color w:val="000000" w:themeColor="text1"/>
          <w:sz w:val="16"/>
          <w:szCs w:val="16"/>
        </w:rPr>
        <w:softHyphen/>
        <w:t>жден главным инженером ВВС КА А.И. Репниным Акт о государственных испытаниях Ил-2 с двигателем АМ-38 завода № 30 самолетов — один (зав. № 30897) под пу</w:t>
      </w:r>
      <w:r w:rsidRPr="00722885">
        <w:rPr>
          <w:rFonts w:ascii="Times New Roman" w:hAnsi="Times New Roman"/>
          <w:color w:val="000000" w:themeColor="text1"/>
          <w:sz w:val="16"/>
          <w:szCs w:val="16"/>
        </w:rPr>
        <w:softHyphen/>
        <w:t>лемет ШКАС, второй (зав. № 30887) под пулемет УБТ (10695).</w:t>
      </w:r>
    </w:p>
    <w:p w14:paraId="12E64EC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86920C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октября 1942 года закончились и вой</w:t>
      </w:r>
      <w:r w:rsidRPr="00722885">
        <w:rPr>
          <w:rFonts w:ascii="Times New Roman" w:hAnsi="Times New Roman"/>
          <w:color w:val="000000" w:themeColor="text1"/>
          <w:sz w:val="16"/>
          <w:szCs w:val="16"/>
        </w:rPr>
        <w:softHyphen/>
        <w:t>сковые испытания первых трех серий</w:t>
      </w:r>
      <w:r w:rsidRPr="00722885">
        <w:rPr>
          <w:rFonts w:ascii="Times New Roman" w:hAnsi="Times New Roman"/>
          <w:color w:val="000000" w:themeColor="text1"/>
          <w:sz w:val="16"/>
          <w:szCs w:val="16"/>
        </w:rPr>
        <w:softHyphen/>
        <w:t>ных самолетов Ту-2 (№№101, 102 и 201) в 3-й ВА на Калининском фрон</w:t>
      </w:r>
      <w:r w:rsidRPr="00722885">
        <w:rPr>
          <w:rFonts w:ascii="Times New Roman" w:hAnsi="Times New Roman"/>
          <w:color w:val="000000" w:themeColor="text1"/>
          <w:sz w:val="16"/>
          <w:szCs w:val="16"/>
        </w:rPr>
        <w:softHyphen/>
        <w:t>те, которые проходили с 16 сентября. Моторы М-82 на них стояли 1-й серии с электроинерционным само</w:t>
      </w:r>
      <w:r w:rsidRPr="00722885">
        <w:rPr>
          <w:rFonts w:ascii="Times New Roman" w:hAnsi="Times New Roman"/>
          <w:color w:val="000000" w:themeColor="text1"/>
          <w:sz w:val="16"/>
          <w:szCs w:val="16"/>
        </w:rPr>
        <w:softHyphen/>
        <w:t>пуском. За время испытаний в тече</w:t>
      </w:r>
      <w:r w:rsidRPr="00722885">
        <w:rPr>
          <w:rFonts w:ascii="Times New Roman" w:hAnsi="Times New Roman"/>
          <w:color w:val="000000" w:themeColor="text1"/>
          <w:sz w:val="16"/>
          <w:szCs w:val="16"/>
        </w:rPr>
        <w:softHyphen/>
        <w:t>ние 9 летных дней было выполнено 48 самолето-вылетов при общем налете 76 ч 20 мин, из них на боевые зада</w:t>
      </w:r>
      <w:r w:rsidRPr="00722885">
        <w:rPr>
          <w:rFonts w:ascii="Times New Roman" w:hAnsi="Times New Roman"/>
          <w:color w:val="000000" w:themeColor="text1"/>
          <w:sz w:val="16"/>
          <w:szCs w:val="16"/>
        </w:rPr>
        <w:softHyphen/>
        <w:t>ния — 25 вылетов с налетом 64 ч 41 мин. При выполнении боевых действий звеном Ту-2 было сброшено по раз</w:t>
      </w:r>
      <w:r w:rsidRPr="00722885">
        <w:rPr>
          <w:rFonts w:ascii="Times New Roman" w:hAnsi="Times New Roman"/>
          <w:color w:val="000000" w:themeColor="text1"/>
          <w:sz w:val="16"/>
          <w:szCs w:val="16"/>
        </w:rPr>
        <w:softHyphen/>
        <w:t>личным целям 40100 кг бомб калиб</w:t>
      </w:r>
      <w:r w:rsidRPr="00722885">
        <w:rPr>
          <w:rFonts w:ascii="Times New Roman" w:hAnsi="Times New Roman"/>
          <w:color w:val="000000" w:themeColor="text1"/>
          <w:sz w:val="16"/>
          <w:szCs w:val="16"/>
        </w:rPr>
        <w:softHyphen/>
        <w:t>ра от 100 до 1000 кг. Встреч с истре</w:t>
      </w:r>
      <w:r w:rsidRPr="00722885">
        <w:rPr>
          <w:rFonts w:ascii="Times New Roman" w:hAnsi="Times New Roman"/>
          <w:color w:val="000000" w:themeColor="text1"/>
          <w:sz w:val="16"/>
          <w:szCs w:val="16"/>
        </w:rPr>
        <w:softHyphen/>
        <w:t>бителями противника и поражения зенитным огнем в процессе испыта ний не произошло.</w:t>
      </w:r>
    </w:p>
    <w:p w14:paraId="641B4F2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 по самолету гласило: «В самолете Ту-2 с двумя мотора</w:t>
      </w:r>
      <w:r w:rsidRPr="00722885">
        <w:rPr>
          <w:rFonts w:ascii="Times New Roman" w:hAnsi="Times New Roman"/>
          <w:color w:val="000000" w:themeColor="text1"/>
          <w:sz w:val="16"/>
          <w:szCs w:val="16"/>
        </w:rPr>
        <w:softHyphen/>
        <w:t>ми М-82 правильно разрешена так</w:t>
      </w:r>
      <w:r w:rsidRPr="00722885">
        <w:rPr>
          <w:rFonts w:ascii="Times New Roman" w:hAnsi="Times New Roman"/>
          <w:color w:val="000000" w:themeColor="text1"/>
          <w:sz w:val="16"/>
          <w:szCs w:val="16"/>
        </w:rPr>
        <w:softHyphen/>
        <w:t>тическая схема современного бомбар</w:t>
      </w:r>
      <w:r w:rsidRPr="00722885">
        <w:rPr>
          <w:rFonts w:ascii="Times New Roman" w:hAnsi="Times New Roman"/>
          <w:color w:val="000000" w:themeColor="text1"/>
          <w:sz w:val="16"/>
          <w:szCs w:val="16"/>
        </w:rPr>
        <w:softHyphen/>
        <w:t>дировщика. Его положительными бо</w:t>
      </w:r>
      <w:r w:rsidRPr="00722885">
        <w:rPr>
          <w:rFonts w:ascii="Times New Roman" w:hAnsi="Times New Roman"/>
          <w:color w:val="000000" w:themeColor="text1"/>
          <w:sz w:val="16"/>
          <w:szCs w:val="16"/>
        </w:rPr>
        <w:softHyphen/>
        <w:t>евыми свойствами являются:</w:t>
      </w:r>
    </w:p>
    <w:p w14:paraId="06B780D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Большая бомбовая нагрузка при достаточном радиусе действия.</w:t>
      </w:r>
    </w:p>
    <w:p w14:paraId="48D6F93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Наличие моторов воздушного охлаждения.</w:t>
      </w:r>
    </w:p>
    <w:p w14:paraId="7A22D05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Хорошая огневая схема, являю</w:t>
      </w:r>
      <w:r w:rsidRPr="00722885">
        <w:rPr>
          <w:rFonts w:ascii="Times New Roman" w:hAnsi="Times New Roman"/>
          <w:color w:val="000000" w:themeColor="text1"/>
          <w:sz w:val="16"/>
          <w:szCs w:val="16"/>
        </w:rPr>
        <w:softHyphen/>
        <w:t>щаяся эффективной при установке тяжелых пулеметов и пушек.</w:t>
      </w:r>
    </w:p>
    <w:p w14:paraId="24A0CB3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Экипаж 4 чел. И его размеще</w:t>
      </w:r>
      <w:r w:rsidRPr="00722885">
        <w:rPr>
          <w:rFonts w:ascii="Times New Roman" w:hAnsi="Times New Roman"/>
          <w:color w:val="000000" w:themeColor="text1"/>
          <w:sz w:val="16"/>
          <w:szCs w:val="16"/>
        </w:rPr>
        <w:softHyphen/>
        <w:t>ние, обеспечивающее надежно бое</w:t>
      </w:r>
      <w:r w:rsidRPr="00722885">
        <w:rPr>
          <w:rFonts w:ascii="Times New Roman" w:hAnsi="Times New Roman"/>
          <w:color w:val="000000" w:themeColor="text1"/>
          <w:sz w:val="16"/>
          <w:szCs w:val="16"/>
        </w:rPr>
        <w:softHyphen/>
        <w:t>вую работу штурману и летчику.</w:t>
      </w:r>
    </w:p>
    <w:p w14:paraId="47A0DCD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Возможность полета на одном моторе.</w:t>
      </w:r>
    </w:p>
    <w:p w14:paraId="0143FD9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Легкость освоения летным со</w:t>
      </w:r>
      <w:r w:rsidRPr="00722885">
        <w:rPr>
          <w:rFonts w:ascii="Times New Roman" w:hAnsi="Times New Roman"/>
          <w:color w:val="000000" w:themeColor="text1"/>
          <w:sz w:val="16"/>
          <w:szCs w:val="16"/>
        </w:rPr>
        <w:softHyphen/>
        <w:t>ставом после самолета Пе-2...</w:t>
      </w:r>
    </w:p>
    <w:p w14:paraId="2865590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Благодаря наличию моторов воз</w:t>
      </w:r>
      <w:r w:rsidRPr="00722885">
        <w:rPr>
          <w:rFonts w:ascii="Times New Roman" w:hAnsi="Times New Roman"/>
          <w:color w:val="000000" w:themeColor="text1"/>
          <w:sz w:val="16"/>
          <w:szCs w:val="16"/>
        </w:rPr>
        <w:softHyphen/>
        <w:t>душного охлаждения самолет Ту-2 имеет повышенную живучесть по от</w:t>
      </w:r>
      <w:r w:rsidRPr="00722885">
        <w:rPr>
          <w:rFonts w:ascii="Times New Roman" w:hAnsi="Times New Roman"/>
          <w:color w:val="000000" w:themeColor="text1"/>
          <w:sz w:val="16"/>
          <w:szCs w:val="16"/>
        </w:rPr>
        <w:softHyphen/>
        <w:t>ношению однотипного самолета с моторами жидкостного охлаждения (напр. Пе-2). Однако живучесть са</w:t>
      </w:r>
      <w:r w:rsidRPr="00722885">
        <w:rPr>
          <w:rFonts w:ascii="Times New Roman" w:hAnsi="Times New Roman"/>
          <w:color w:val="000000" w:themeColor="text1"/>
          <w:sz w:val="16"/>
          <w:szCs w:val="16"/>
        </w:rPr>
        <w:softHyphen/>
        <w:t>молета Ту-2 значительно снижается уязвимостью бензосистемы и систе</w:t>
      </w:r>
      <w:r w:rsidRPr="00722885">
        <w:rPr>
          <w:rFonts w:ascii="Times New Roman" w:hAnsi="Times New Roman"/>
          <w:color w:val="000000" w:themeColor="text1"/>
          <w:sz w:val="16"/>
          <w:szCs w:val="16"/>
        </w:rPr>
        <w:softHyphen/>
        <w:t>мы гидравлики...»</w:t>
      </w:r>
    </w:p>
    <w:p w14:paraId="53148DE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Моторы М-82 в процессе испыта</w:t>
      </w:r>
      <w:r w:rsidRPr="00722885">
        <w:rPr>
          <w:rFonts w:ascii="Times New Roman" w:hAnsi="Times New Roman"/>
          <w:color w:val="000000" w:themeColor="text1"/>
          <w:sz w:val="16"/>
          <w:szCs w:val="16"/>
        </w:rPr>
        <w:softHyphen/>
        <w:t>ний Ту-2 работали надежно. Темпе</w:t>
      </w:r>
      <w:r w:rsidRPr="00722885">
        <w:rPr>
          <w:rFonts w:ascii="Times New Roman" w:hAnsi="Times New Roman"/>
          <w:color w:val="000000" w:themeColor="text1"/>
          <w:sz w:val="16"/>
          <w:szCs w:val="16"/>
        </w:rPr>
        <w:softHyphen/>
        <w:t>ратурные режимы, как правило, сохра</w:t>
      </w:r>
      <w:r w:rsidRPr="00722885">
        <w:rPr>
          <w:rFonts w:ascii="Times New Roman" w:hAnsi="Times New Roman"/>
          <w:color w:val="000000" w:themeColor="text1"/>
          <w:sz w:val="16"/>
          <w:szCs w:val="16"/>
        </w:rPr>
        <w:softHyphen/>
        <w:t>нялись в пределах нормы. Во второй части испытаний на отдельных мото</w:t>
      </w:r>
      <w:r w:rsidRPr="00722885">
        <w:rPr>
          <w:rFonts w:ascii="Times New Roman" w:hAnsi="Times New Roman"/>
          <w:color w:val="000000" w:themeColor="text1"/>
          <w:sz w:val="16"/>
          <w:szCs w:val="16"/>
        </w:rPr>
        <w:softHyphen/>
        <w:t>рах наблюдалась тряска. Причинами тряски являлись: преждевременный выход из строя свечей ВГ-12 (через 10-12 часов), биение коков винтов из-за плохой балансировки и быстрого износа центрирующих колец, наруше</w:t>
      </w:r>
      <w:r w:rsidRPr="00722885">
        <w:rPr>
          <w:rFonts w:ascii="Times New Roman" w:hAnsi="Times New Roman"/>
          <w:color w:val="000000" w:themeColor="text1"/>
          <w:sz w:val="16"/>
          <w:szCs w:val="16"/>
        </w:rPr>
        <w:softHyphen/>
        <w:t>ние регулировки зазоров газорасп</w:t>
      </w:r>
      <w:r w:rsidRPr="00722885">
        <w:rPr>
          <w:rFonts w:ascii="Times New Roman" w:hAnsi="Times New Roman"/>
          <w:color w:val="000000" w:themeColor="text1"/>
          <w:sz w:val="16"/>
          <w:szCs w:val="16"/>
        </w:rPr>
        <w:softHyphen/>
        <w:t>ределения ранее гарантированных заводом сроков на одном моторе через 20 часов вместо 50-ти. При этом моторы работали в до</w:t>
      </w:r>
      <w:r w:rsidRPr="00722885">
        <w:rPr>
          <w:rFonts w:ascii="Times New Roman" w:hAnsi="Times New Roman"/>
          <w:color w:val="000000" w:themeColor="text1"/>
          <w:sz w:val="16"/>
          <w:szCs w:val="16"/>
        </w:rPr>
        <w:softHyphen/>
        <w:t>вольно щадящем режиме. Даже взле</w:t>
      </w:r>
      <w:r w:rsidRPr="00722885">
        <w:rPr>
          <w:rFonts w:ascii="Times New Roman" w:hAnsi="Times New Roman"/>
          <w:color w:val="000000" w:themeColor="text1"/>
          <w:sz w:val="16"/>
          <w:szCs w:val="16"/>
        </w:rPr>
        <w:softHyphen/>
        <w:t>ты с наружной подвеской 2-х ФАБ-1000 производились с бетонной дорожки аэродрома Мигалово без фор</w:t>
      </w:r>
      <w:r w:rsidRPr="00722885">
        <w:rPr>
          <w:rFonts w:ascii="Times New Roman" w:hAnsi="Times New Roman"/>
          <w:color w:val="000000" w:themeColor="text1"/>
          <w:sz w:val="16"/>
          <w:szCs w:val="16"/>
        </w:rPr>
        <w:softHyphen/>
        <w:t>сажа, что увеличивало длину разбега до 1200-1300 м. Испытаниями была установлена относительно большая длительность подготовки самолетов к боевому вы</w:t>
      </w:r>
      <w:r w:rsidRPr="00722885">
        <w:rPr>
          <w:rFonts w:ascii="Times New Roman" w:hAnsi="Times New Roman"/>
          <w:color w:val="000000" w:themeColor="text1"/>
          <w:sz w:val="16"/>
          <w:szCs w:val="16"/>
        </w:rPr>
        <w:softHyphen/>
        <w:t>лету главным образом по причине ненадежности электроинерционного самопуска РИМ-24, который при тем</w:t>
      </w:r>
      <w:r w:rsidRPr="00722885">
        <w:rPr>
          <w:rFonts w:ascii="Times New Roman" w:hAnsi="Times New Roman"/>
          <w:color w:val="000000" w:themeColor="text1"/>
          <w:sz w:val="16"/>
          <w:szCs w:val="16"/>
        </w:rPr>
        <w:softHyphen/>
        <w:t>пературах воздуха ниже +10 °С не обеспечивал запуск моторов. Подго</w:t>
      </w:r>
      <w:r w:rsidRPr="00722885">
        <w:rPr>
          <w:rFonts w:ascii="Times New Roman" w:hAnsi="Times New Roman"/>
          <w:color w:val="000000" w:themeColor="text1"/>
          <w:sz w:val="16"/>
          <w:szCs w:val="16"/>
        </w:rPr>
        <w:softHyphen/>
        <w:t>товка к повторному вылету осложня</w:t>
      </w:r>
      <w:r w:rsidRPr="00722885">
        <w:rPr>
          <w:rFonts w:ascii="Times New Roman" w:hAnsi="Times New Roman"/>
          <w:color w:val="000000" w:themeColor="text1"/>
          <w:sz w:val="16"/>
          <w:szCs w:val="16"/>
        </w:rPr>
        <w:softHyphen/>
        <w:t>лась процессом заправки горючим. Неудовлетворительная работа бензи-номеров и пропускание обратных клапанов заставляли заливать бен</w:t>
      </w:r>
      <w:r w:rsidRPr="00722885">
        <w:rPr>
          <w:rFonts w:ascii="Times New Roman" w:hAnsi="Times New Roman"/>
          <w:color w:val="000000" w:themeColor="text1"/>
          <w:sz w:val="16"/>
          <w:szCs w:val="16"/>
        </w:rPr>
        <w:softHyphen/>
        <w:t>зобаки горючим полностью, а затем сливать его до требуемого количества. Полученные при испытаниях дан</w:t>
      </w:r>
      <w:r w:rsidRPr="00722885">
        <w:rPr>
          <w:rFonts w:ascii="Times New Roman" w:hAnsi="Times New Roman"/>
          <w:color w:val="000000" w:themeColor="text1"/>
          <w:sz w:val="16"/>
          <w:szCs w:val="16"/>
        </w:rPr>
        <w:softHyphen/>
        <w:t>ные расходов горючего в основном подтверждали результаты испытаний, проведенных в НИИ ВВС. Расход го</w:t>
      </w:r>
      <w:r w:rsidRPr="00722885">
        <w:rPr>
          <w:rFonts w:ascii="Times New Roman" w:hAnsi="Times New Roman"/>
          <w:color w:val="000000" w:themeColor="text1"/>
          <w:sz w:val="16"/>
          <w:szCs w:val="16"/>
        </w:rPr>
        <w:softHyphen/>
        <w:t>рючего у ведомых самолетов превы</w:t>
      </w:r>
      <w:r w:rsidRPr="00722885">
        <w:rPr>
          <w:rFonts w:ascii="Times New Roman" w:hAnsi="Times New Roman"/>
          <w:color w:val="000000" w:themeColor="text1"/>
          <w:sz w:val="16"/>
          <w:szCs w:val="16"/>
        </w:rPr>
        <w:softHyphen/>
        <w:t>шал на 7-8% расход ведущего само</w:t>
      </w:r>
      <w:r w:rsidRPr="00722885">
        <w:rPr>
          <w:rFonts w:ascii="Times New Roman" w:hAnsi="Times New Roman"/>
          <w:color w:val="000000" w:themeColor="text1"/>
          <w:sz w:val="16"/>
          <w:szCs w:val="16"/>
        </w:rPr>
        <w:softHyphen/>
        <w:t>лета. Управление секторами нормального газа в кабине летчика требовало больших усилий, что делало почти не</w:t>
      </w:r>
      <w:r w:rsidRPr="00722885">
        <w:rPr>
          <w:rFonts w:ascii="Times New Roman" w:hAnsi="Times New Roman"/>
          <w:color w:val="000000" w:themeColor="text1"/>
          <w:sz w:val="16"/>
          <w:szCs w:val="16"/>
        </w:rPr>
        <w:softHyphen/>
        <w:t>возможным полет в строю на близ</w:t>
      </w:r>
      <w:r w:rsidRPr="00722885">
        <w:rPr>
          <w:rFonts w:ascii="Times New Roman" w:hAnsi="Times New Roman"/>
          <w:color w:val="000000" w:themeColor="text1"/>
          <w:sz w:val="16"/>
          <w:szCs w:val="16"/>
        </w:rPr>
        <w:softHyphen/>
        <w:t>ких дистанциях. Испытания показали исключитель</w:t>
      </w:r>
      <w:r w:rsidRPr="00722885">
        <w:rPr>
          <w:rFonts w:ascii="Times New Roman" w:hAnsi="Times New Roman"/>
          <w:color w:val="000000" w:themeColor="text1"/>
          <w:sz w:val="16"/>
          <w:szCs w:val="16"/>
        </w:rPr>
        <w:softHyphen/>
        <w:t>но трудный подход к агрегатам, рас</w:t>
      </w:r>
      <w:r w:rsidRPr="00722885">
        <w:rPr>
          <w:rFonts w:ascii="Times New Roman" w:hAnsi="Times New Roman"/>
          <w:color w:val="000000" w:themeColor="text1"/>
          <w:sz w:val="16"/>
          <w:szCs w:val="16"/>
        </w:rPr>
        <w:softHyphen/>
        <w:t>положенным на задней крышке кар</w:t>
      </w:r>
      <w:r w:rsidRPr="00722885">
        <w:rPr>
          <w:rFonts w:ascii="Times New Roman" w:hAnsi="Times New Roman"/>
          <w:color w:val="000000" w:themeColor="text1"/>
          <w:sz w:val="16"/>
          <w:szCs w:val="16"/>
        </w:rPr>
        <w:softHyphen/>
        <w:t>тера мотора, что удлиняло время мон</w:t>
      </w:r>
      <w:r w:rsidRPr="00722885">
        <w:rPr>
          <w:rFonts w:ascii="Times New Roman" w:hAnsi="Times New Roman"/>
          <w:color w:val="000000" w:themeColor="text1"/>
          <w:sz w:val="16"/>
          <w:szCs w:val="16"/>
        </w:rPr>
        <w:softHyphen/>
        <w:t>тажа и демонтажа агрегатов, устра</w:t>
      </w:r>
      <w:r w:rsidRPr="00722885">
        <w:rPr>
          <w:rFonts w:ascii="Times New Roman" w:hAnsi="Times New Roman"/>
          <w:color w:val="000000" w:themeColor="text1"/>
          <w:sz w:val="16"/>
          <w:szCs w:val="16"/>
        </w:rPr>
        <w:softHyphen/>
        <w:t>нение дефектов на них. Так, напри</w:t>
      </w:r>
      <w:r w:rsidRPr="00722885">
        <w:rPr>
          <w:rFonts w:ascii="Times New Roman" w:hAnsi="Times New Roman"/>
          <w:color w:val="000000" w:themeColor="text1"/>
          <w:sz w:val="16"/>
          <w:szCs w:val="16"/>
        </w:rPr>
        <w:softHyphen/>
        <w:t>мер: замена прокладки агрегата трой</w:t>
      </w:r>
      <w:r w:rsidRPr="00722885">
        <w:rPr>
          <w:rFonts w:ascii="Times New Roman" w:hAnsi="Times New Roman"/>
          <w:color w:val="000000" w:themeColor="text1"/>
          <w:sz w:val="16"/>
          <w:szCs w:val="16"/>
        </w:rPr>
        <w:softHyphen/>
        <w:t>ного привода потребовала около 6 часов, а подтяжка гаек крепления РИМ-24, ГС-1000 и ПЦН требовала слива масла и снятия масляного бака. В качестве недостатка отмечалась также незащищенность агрегатов ВМГ, расположенных между задней крыш</w:t>
      </w:r>
      <w:r w:rsidRPr="00722885">
        <w:rPr>
          <w:rFonts w:ascii="Times New Roman" w:hAnsi="Times New Roman"/>
          <w:color w:val="000000" w:themeColor="text1"/>
          <w:sz w:val="16"/>
          <w:szCs w:val="16"/>
        </w:rPr>
        <w:softHyphen/>
        <w:t>кой картера мотора и противопожар</w:t>
      </w:r>
      <w:r w:rsidRPr="00722885">
        <w:rPr>
          <w:rFonts w:ascii="Times New Roman" w:hAnsi="Times New Roman"/>
          <w:color w:val="000000" w:themeColor="text1"/>
          <w:sz w:val="16"/>
          <w:szCs w:val="16"/>
        </w:rPr>
        <w:softHyphen/>
        <w:t>ной перегородкой. В целом Ту-2 получил положитель</w:t>
      </w:r>
      <w:r w:rsidRPr="00722885">
        <w:rPr>
          <w:rFonts w:ascii="Times New Roman" w:hAnsi="Times New Roman"/>
          <w:color w:val="000000" w:themeColor="text1"/>
          <w:sz w:val="16"/>
          <w:szCs w:val="16"/>
        </w:rPr>
        <w:softHyphen/>
        <w:t>ную оценку, но отчет по испытаниям был утвержден Главным инженером ВВС КА А.К. Репиным только 11 ок</w:t>
      </w:r>
      <w:r w:rsidRPr="00722885">
        <w:rPr>
          <w:rFonts w:ascii="Times New Roman" w:hAnsi="Times New Roman"/>
          <w:color w:val="000000" w:themeColor="text1"/>
          <w:sz w:val="16"/>
          <w:szCs w:val="16"/>
        </w:rPr>
        <w:softHyphen/>
        <w:t>тября 1942 года (10699).</w:t>
      </w:r>
    </w:p>
    <w:p w14:paraId="5695872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16F32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завершились войсковые испытания Ту-2 на Калининском фронте, которые начались 16 сентября 1942 (438,858).</w:t>
      </w:r>
    </w:p>
    <w:p w14:paraId="61E29D43" w14:textId="77777777" w:rsidR="00090C9B" w:rsidRPr="00722885" w:rsidRDefault="00090C9B" w:rsidP="00722885">
      <w:pPr>
        <w:pStyle w:val="Iauiue"/>
        <w:jc w:val="both"/>
        <w:rPr>
          <w:color w:val="000000" w:themeColor="text1"/>
          <w:sz w:val="16"/>
          <w:szCs w:val="16"/>
        </w:rPr>
      </w:pPr>
    </w:p>
    <w:p w14:paraId="4DB7F0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октября 1942 завершились войсковые испытания трех Ту-2 на Калининском фронте, которые начались 16 сентября 1942.</w:t>
      </w:r>
    </w:p>
    <w:p w14:paraId="249429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1942 г. из-за большого количества дефектов, присущих самолетам первых серий, удалось приступить ко второму этапу войсковых испытаний. Три самолета с экипажами из НИИ ВВС перелетели на Калининский фронт, где действовала 3-я воздушная армия. Армией командовал генерал-полковник М.М. Громов, в прошлом известный летчик-испытатель, знаменитый также целым рядом дальних перелетов, в том числе из Москвы в США через Северный полюс. Перед войной он руководил Летно-испытатель- ным институтом (ЛИИ). Не случайно к Громову направляли на войсковые испытания различные новые советские и иностранные боевые самолеты: все понимали, что он сможет дать им объективную оценку.</w:t>
      </w:r>
    </w:p>
    <w:p w14:paraId="630B59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Тройку Ту-2 разместили на аэродроме Мигалово под Калинином (ныне Тверь), где базировался 128-й ближнебомбардировочный полк, вооруженный пикировщиками Пе-2. От туполевского бюро туда прибыл Д.С. Марков.</w:t>
      </w:r>
    </w:p>
    <w:p w14:paraId="4564E6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Обычно машины использовались для бомбометания днем с горизонтального полета. В зависимости от задания брали от 1000 до 2000 кг бомб. Всего за период испытаний совершили 25 боевых вылетов - примерно по одному на самолет в сутки, при средней дальности 500 км.</w:t>
      </w:r>
    </w:p>
    <w:p w14:paraId="4AF04E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Первоначально Ту-2 обязательно сопровождали истребители, позже их стали выпускать и самостоятельно. Машины попадали под обстрел зенитной артиллерии, сталкивались с истребителями противника, но потерь не имели.</w:t>
      </w:r>
    </w:p>
    <w:p w14:paraId="000E13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некоторых полетах участвовали летчики 128-го полка, которые могли при этом сравнить два типа бомбардировщиков - Пе-2 и новые Ту-2.</w:t>
      </w:r>
    </w:p>
    <w:p w14:paraId="370A58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испытаний Ту-2 наглядно продемонстрировали свои возможности. Самолеты атаковали железнодорожные станции, мосты, склады и аэродромы. Они сбрасывали бомбы всех калибров вплоть до 1000 кг с наружной и внутренней подвески. Всего за период испытаний на врага обрушили более 40 т боеприпасов. Пе-2 мог брать бомбы не крупнее 500 кг и при бомбометании с пикирования нес их только снаружи.</w:t>
      </w:r>
    </w:p>
    <w:p w14:paraId="22F939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подсчетам, в среднем в каждом вылете туполевская машина заменяла 2,5 Пе-2.</w:t>
      </w:r>
    </w:p>
    <w:p w14:paraId="4E2830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Возможность подвески крупнокалиберных бомб была эффективно использована при налете на немецкий подземный склад горючего у деревни Тростено 27 сентября 1942 г. Его несколько раз бомбили Пе-2, использовавшие бомбы ФАБ-100, но безрезультатно. Решили попробовать взорвать его бомбами ФАБ-1000 с Ту-2. Тройку бомбардировщиков сопровождали десять истребителей ЛаГГ-3. Командиру прикрытия пригрозили, что за каждый потерянный Ту-2 он ответит головой. Голова у нею была всею одна. Когда группу перехватили девять немецких истребителей Bf 109, часть немцев попыталась оттеснить ЛаГГ-3, а другая ринулась к бомбардировщикам. Но оторвать эскорт от Ту-2 не удалось. Совместными усилиями советских истребителей и стрелков на бомбардировщиках противника отогнали. Экипажи успешно сбросили бомбы на цель. Склад взлетел на воздух. Все три Ту-2 без помех вернулись в Мигалово.</w:t>
      </w:r>
    </w:p>
    <w:p w14:paraId="76E88D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Громов не удержался и лично опробовал новый самолет, отозвавшись о нем очень хорошо. В своих мемуарах он потом написал: "Я сам летал на Ту-2 с большим удовольствием".</w:t>
      </w:r>
    </w:p>
    <w:p w14:paraId="529C2A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отчете о войсковых испытаниях новый бомбардировщик получил высокую оценку. В нем содержалась весьма примечательная фраза: "Считать необходимым ускорить внедрение самолета Ту-2 в ВВС КА". Среди достоинств самолета отметили большую бомбовую нагрузку в сочетании со значительной дальностью полета, мощные и менее уязвимые моторы воздушного охлаждения, сильное вооружение, удобное размещение экипажа, хорошие летные данные и сравнительную простоту пилотирования. Машина без особых проблем летела на одном работающем моторе. В одном полете в двигатель Ту-2 угодил малокалиберный зенитный снаряд (от "эрликона"), но самолет продолжил свой путь и благополучно приземлился на аэродроме.</w:t>
      </w:r>
    </w:p>
    <w:p w14:paraId="4C0735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отчете указали и недостатки, большая часть которых уже ранее была выявлена на испытаниях в НИИ ВВС и даже частично устранена на самолетах более поздних серий. Так, жаловались на то, что стартеры РИМ-24 не могут "прокрутить" мотор при температуре ниже 10 градусов мороза. Неудовлетворительная работа бензиномеров вкупе с подтеканием обратных клапанов вынуждала заправлять баки доверху, а затем стравливать излишки. Управление секторами газа признали слишком тугим, что усложняло полет в строю. Еще раз обратили внимание на неудобный доступ ко многим агрегатам мотоустановки.</w:t>
      </w:r>
    </w:p>
    <w:p w14:paraId="4B8FFF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закончили 3 октября, 11 октября главный инженер ВВС Репин утвердил оформленный испытателями отчет. По воспоминаниям наркома авиапромышленности А.И. Шахурина, эта объемистая прошнурованная книга с грифом "Совершенно секретно" прибыла в Москву дней через двадцать после подписания приказа о снятии бомбардировщика с производства. Один из экземпляров затребовал Сталин. После прочтения он вызвал Шахурина и сказал: "Оказывается, хвалят машину". Нарком стал отвечать, что он был против прекращения выпуска Ту-2, но был прерван. "Вы неправильно поступили, - сказал Сталин. - Вы должны были жаловаться на меня в ЦК".</w:t>
      </w:r>
    </w:p>
    <w:p w14:paraId="6E48B6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По-видимому, Сталин понял ошибочность принятого решения, но не спешил его менять. Приказа о восстановлении производства Ту-2 сразу же не последовало (11988).</w:t>
      </w:r>
    </w:p>
    <w:p w14:paraId="767BE1B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98E11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А.И.Ш. писал Пред. ГКО И.В.С. письмо:</w:t>
      </w:r>
    </w:p>
    <w:p w14:paraId="2A34D4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Ваших указаний посылаю Вам на утверждение проект постановления ГКО "Об установке двух синхронных пулеметов системы Березина на Як-7".</w:t>
      </w:r>
    </w:p>
    <w:p w14:paraId="47C9B3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Прилагался проект (1684,281).</w:t>
      </w:r>
    </w:p>
    <w:p w14:paraId="1FF836C1" w14:textId="77777777" w:rsidR="00090C9B" w:rsidRPr="00722885" w:rsidRDefault="00090C9B" w:rsidP="00722885">
      <w:pPr>
        <w:pStyle w:val="Iauiue"/>
        <w:jc w:val="both"/>
        <w:rPr>
          <w:color w:val="000000" w:themeColor="text1"/>
          <w:sz w:val="16"/>
          <w:szCs w:val="16"/>
        </w:rPr>
      </w:pPr>
    </w:p>
    <w:p w14:paraId="10594A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было подписано письмо N Мт/0084 из НИИ ВВС ГИ ВВС Репину о том, что согласно решения ГОКО N 348сс от 1 августа 1941 завод 293 НКАП д.б. к 15 ноября 1941 построить 5 БИ к Болховитинова с РД Д-1-А-1100 к ГИРТ СНК СССР (б. НИИ-3 НКБ). Не выполнили в срок (1362,265).</w:t>
      </w:r>
    </w:p>
    <w:p w14:paraId="4C8265AC" w14:textId="77777777" w:rsidR="00090C9B" w:rsidRPr="00722885" w:rsidRDefault="00090C9B" w:rsidP="00722885">
      <w:pPr>
        <w:pStyle w:val="Iauiue"/>
        <w:jc w:val="both"/>
        <w:rPr>
          <w:color w:val="000000" w:themeColor="text1"/>
          <w:sz w:val="16"/>
          <w:szCs w:val="16"/>
        </w:rPr>
      </w:pPr>
    </w:p>
    <w:p w14:paraId="41834AF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4DF59D1" w14:textId="77777777" w:rsidR="00090C9B" w:rsidRPr="00722885" w:rsidRDefault="00090C9B" w:rsidP="00722885">
      <w:pPr>
        <w:pStyle w:val="Iauiue"/>
        <w:jc w:val="both"/>
        <w:rPr>
          <w:iCs/>
          <w:color w:val="000000" w:themeColor="text1"/>
          <w:sz w:val="16"/>
          <w:szCs w:val="16"/>
        </w:rPr>
      </w:pPr>
    </w:p>
    <w:p w14:paraId="678585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октября 1942 года УНКВД по Челябинской области докладывало: «Сентябрьская программа по выпуску танков KB-1с и Т-34 Кировским заводом не выполнена... 2 октября директор завода Манохин С.Н. приказал начальнику ОТК завода Купчину Н.Г. оформить в счет сентябрьской программы 220 машин Т-34 и 180 машин KB-1с»5. Очковтирательство, приписки и преступные махинации пресекались органами государственной безопасности не только в 1941-1942 годах, но и в относительно благополучном для работы промышленности 1943 году (11626).</w:t>
      </w:r>
    </w:p>
    <w:p w14:paraId="085908F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ABA96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года вышел приказ № 392 НКВ:</w:t>
      </w:r>
    </w:p>
    <w:p w14:paraId="431CFB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успешное оперативное освоение и изготовление первого образца изделия ЗИС-3 коллективом завода № 235 ………..(9272).</w:t>
      </w:r>
    </w:p>
    <w:p w14:paraId="49F49C39" w14:textId="77777777" w:rsidR="00090C9B" w:rsidRPr="00722885" w:rsidRDefault="00090C9B" w:rsidP="00722885">
      <w:pPr>
        <w:pStyle w:val="Iauiue"/>
        <w:jc w:val="both"/>
        <w:rPr>
          <w:color w:val="000000" w:themeColor="text1"/>
          <w:sz w:val="16"/>
          <w:szCs w:val="16"/>
        </w:rPr>
      </w:pPr>
    </w:p>
    <w:p w14:paraId="481A0B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октября 1942 члены Военного.совета фронта, секретари горкома партии А. А. Кузнецов и Я. Ф. Капустин ознакомились с устройством ТК типа Д-3 и дали высокую оценку работе катеростроителей (10671).</w:t>
      </w:r>
    </w:p>
    <w:p w14:paraId="2A41A4C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35C6D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октября 1942 вышло Постановление ГКО № 2368 О плане производства боеприпасов на октябрь месяц и IV квартал 1942 гРГАНИР, Фонд ГКО, д. 60, лл. 1-22, 23-303 (11012).</w:t>
      </w:r>
    </w:p>
    <w:p w14:paraId="7BECE15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8E4D6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33B5CAD" w14:textId="77777777" w:rsidR="00090C9B" w:rsidRPr="00722885" w:rsidRDefault="00090C9B" w:rsidP="00722885">
      <w:pPr>
        <w:pStyle w:val="Iauiue"/>
        <w:jc w:val="both"/>
        <w:rPr>
          <w:iCs/>
          <w:color w:val="000000" w:themeColor="text1"/>
          <w:sz w:val="16"/>
          <w:szCs w:val="16"/>
        </w:rPr>
      </w:pPr>
    </w:p>
    <w:p w14:paraId="475F3BE7"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 октября </w:t>
      </w:r>
      <w:r w:rsidRPr="00722885">
        <w:rPr>
          <w:rFonts w:ascii="Times New Roman" w:hAnsi="Times New Roman"/>
          <w:color w:val="000000" w:themeColor="text1"/>
          <w:sz w:val="16"/>
          <w:szCs w:val="16"/>
        </w:rPr>
        <w:t>в 1942 году утреннее сообщение Совинформбюро:</w:t>
      </w:r>
    </w:p>
    <w:p w14:paraId="2B89EBDB"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 октября наши войска вели бои с противником в районе Сталинграда и в районе Моздока. На других фронтах никаких; изменений не произошло.</w:t>
      </w:r>
    </w:p>
    <w:p w14:paraId="6529E95A"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упорные бои. Гвардейская миномётная часть под командованием тов. Дорофеева обстреляла скопление противника и истребила более 200 немецких солдат и офицеров. На другом участке бойцы под командованием младшего лейтенанта Матыца отбили три атаки немцев и уничтожили 4 танка и дороты пехоты противника.</w:t>
      </w:r>
    </w:p>
    <w:p w14:paraId="13EA15C3"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активные бои. Н-ская танковая часть ворвалась в расположение противника, огнём и гусеницами уничтожила 2 немецких танка, самоходное орудие, 5 противотанковых орудий, 9 пулемётов и более 150 гитлеровцев. Артиллеристы Н-ской части подбили 4 немецких танка и уничтожили13 автомашин с вражеской пехотой.</w:t>
      </w:r>
    </w:p>
    <w:p w14:paraId="16519B2E"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отбивали атаки пехоты и танков противника. На одном участке наши бойцы подбили и сожгли 8 немецких танков и истребили роту гитлеровцев. На другом участке Н-ское соединение отбило несколько атак немецкой пехоты. В результате боя уничтожено 360 солдат и офицеров противника, 3 орудия, 3 миномёта, 8 пулемётов, подбито 5 танков и захвачено 20.000 винтовочных патронов.</w:t>
      </w:r>
    </w:p>
    <w:p w14:paraId="53BAF62C"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происходили поиски разведчиков. Группа разведчиков под руководством лейтенанта т. Клименко и политрука т. Самчина проникла к переднему краю обороны противника и уничтожила до 80 немцев. Разведчики захватили пленных и благополучно вернулись в свою часть. На другом участке снайперы одной нашей части за два дня истребили 107 гитлеровцев.</w:t>
      </w:r>
    </w:p>
    <w:p w14:paraId="4682D43E"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Шесть лётчиков части гвардии капитана Героя Советского Союза Ефимова (Краснознамённый Балтийский флот) встретились в воздухе с 24 самолётами противника. Советские лётчики приняли бой, уничтожили 6 и повредили 3 немецких самолёта. Наши самолёты потерь не имели.</w:t>
      </w:r>
    </w:p>
    <w:p w14:paraId="24153BB2"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1 эскадрона 13 полка 9 румынской кавалерийской дивизии Константин Пэун рассказал: «9 дивизия потеряла под Одессой две трети своих солдат, 80 процентов офицеров и была отведена в тыл на переформирование. В августе 1942 года дивизию снова перебросили на фронт. В первых же боях наш полк понёс большие потери. В 4 эскадроне выбыла половина, а во втором эскадроне две трети личного состава. Другие полки понесли ещё большие потери. Разгромленные полки снимают с фронта и снова направляют в тыл. В румынской армии распространяются слухи о том, что Гитлер собирается прогнать Антонеску».</w:t>
      </w:r>
    </w:p>
    <w:p w14:paraId="5D9FE817"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ограбили жителей деревни Чернейка, Смоленскойобласти, отняли у них весь скот, продовольствие и ценные вещи. Гитлеровцы сожгли 36 домов, принадлежащих колхозникам, замучили и расстреляли 28 крестьян. Среди жертв немецких убийц — колхозник Гвоздев Иван Иванович, Ильвов Петр Николаевич и другие.</w:t>
      </w:r>
    </w:p>
    <w:p w14:paraId="5A979EAF"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двухдневных боёв югославские партизанские отряды заняли город Яйце в Боснии. Преодолевая упорное сопротивление немецко-итальянских захватчиков, партизаны разрушили более 100 ДЗОТ'ов и истребили 600 оккупантов. Партизаны захватили трофеи: 6 орудий, броневик, 7 автомашин и 400 винтовок.» (14788).</w:t>
      </w:r>
    </w:p>
    <w:p w14:paraId="05AF81BC"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3910BAD3"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lastRenderedPageBreak/>
        <w:t xml:space="preserve">3 октября </w:t>
      </w:r>
      <w:r w:rsidRPr="00722885">
        <w:rPr>
          <w:rFonts w:ascii="Times New Roman" w:hAnsi="Times New Roman"/>
          <w:color w:val="000000" w:themeColor="text1"/>
          <w:sz w:val="16"/>
          <w:szCs w:val="16"/>
        </w:rPr>
        <w:t>в 1942 году вечернее сообщение Совинформбюро:</w:t>
      </w:r>
    </w:p>
    <w:p w14:paraId="51DC0CF7"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 октября наши войска вели бои с противником в районе Сталинграда и в районе Моздока. На других фронтах существенных изменений не произошло.</w:t>
      </w:r>
    </w:p>
    <w:p w14:paraId="01EA312E"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Баренцевом море потоплен транспорт противника водоизмещением в 5.500 тонн.</w:t>
      </w:r>
    </w:p>
    <w:p w14:paraId="106D7633"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 октября частями нашей авиации на различных участках фронта уничтожено или повреждено 10 немецких танков, до 80 автомашин с войсками и грузами, взорвано два склада боеприпасов, разбито два железнодорожных состава, подавлен огонь 10 артиллерийских батарей, рассеяно и частью уничтожено до батальона пехоты противника.</w:t>
      </w:r>
    </w:p>
    <w:p w14:paraId="525C36C1"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Севернее города после упорного сражения немцам удалось продвинуться вперёд и занять один населённый пункт. В этом бою гитлеровцы потеряли только убитыми свыше 800 солдат иофицеров. На других участках все атаки противника отбиты. Наши части очистили от немцев несколько улиц и часть рабочего посёлка.</w:t>
      </w:r>
    </w:p>
    <w:p w14:paraId="36AD6BBF"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отбили атаки противника и вновь заняли оставленные накануне позиции. За три дня боёв на этом участке уничтожено до батальона немецкой пехоты и 25 танков. Наши бойцы захватили 10 орудий, 2 миномёта, 13 пулемётов и другие трофеи.</w:t>
      </w:r>
    </w:p>
    <w:p w14:paraId="360B4BDD"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Н-ского соединения, преодолевая упорное сопротивление противника, продвинулись вперёд и заняли выгодные рубежи. В районе одной высоты подбито 7 немецких танков, уничтожены 2 артиллерийские батареи, несколько пулемётов, склад боеприпасов и до роты гитлеровцев. На другом участке танки и пехота противника предприняли контратаку. Огнём нашей артиллерии немецкая пехота была отрезана от танков и стала в беспорядке отходить. Преследуя гитлеровцев, гвардейцы Н-ской части уничтожили до 200 солдат и офицеров противника. Артиллеристы и бронебойщики уничтожили 4 немецких танка.</w:t>
      </w:r>
    </w:p>
    <w:p w14:paraId="6A6A3014"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продолжались бои. После неоднократных атак противнику удалось прорваться на окраину одного населённого пункта. Бой за населённый пункт продолжается. Противник потерял убитыми до двух рот пехоты, сожжено 3 немецких танка, 8 автомашин, уничтожено 2 орудия и 2 миномёта. На другом участке разведывательный отряд Н-ской части проник в тыл противника, взорвал склад с боеприпасами и уничтожил 12 немецких автомашин. Сапёр т. Газаров взорвал в тылу врага два железнодорожных моста.</w:t>
      </w:r>
    </w:p>
    <w:p w14:paraId="06C36475"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полк пехоты противника при поддержке танков и авиации несколько раз атаковал наши позиции. Все атаки гитлеровцев отбиты. В ходе этого боя подбито, сожжено и подорвано на минах 15 вражеских танков. Немцы потеряли убитыми до 600 солдат и офицеров. Огнём нашей зенитной артиллерии сбито 6 самолётов противника.</w:t>
      </w:r>
    </w:p>
    <w:p w14:paraId="10F19348"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активными действиями наших разведчиков и снайперов за два дня истреблено до 200 гитлеровцев, уничтожено несколько станковых пулемётов, 9 грузовых автомашин, сожжён немецкий танк и разрушено 14 ДЗОТ'ов противника.</w:t>
      </w:r>
    </w:p>
    <w:p w14:paraId="1EABDC2B"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два дня на подступах к Ленинграду лётчиками Ленинградского фронта и Краснознамённого Балтийского флота в воздушных боях сбито 18 немецких самолётов. За это же время огнём нашей зенитной артиллерии уничтожено 26 самолётов противника. Кроме того, 11 немецких самолётов были подбиты, но ушли на территорию, занятую противником.</w:t>
      </w:r>
    </w:p>
    <w:p w14:paraId="422A1B23"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2 роты 126 мотострелкового полка 23 немецкой танковой дивизия Конрад Енцок рассказал: «В начале августа офицеры, подбадривая солдат, говорили: «Через три недели германская армия достигнет намеченных целей, и войне придёт конец». С тех пор прошло два месяца. За это время наш полк разгромлен, а конца войны еще не видно. В последних боях 2 рота потеряла 47 человек убитыми и 80 ранеными. За один месяц выбыли из строя три командира роты: обер-лейтенантШефер, лейтенант Визнер и лейтенант Швинтезиус. Командир 126 полка полковник Мюллер и командир дивизии генерал Макк убиты. Наиболее тяжёлые потери мы понесли от русской артиллерии. Русские лётчики также не дают нам покоя. Днём и ночью они бомбят наш передний край. Многие солдаты сейчас говорят, что Кавказ станет могилой для немецкой армии».</w:t>
      </w:r>
    </w:p>
    <w:p w14:paraId="645FEC6C"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стёрли с лица земли деревню Алексеевку Воронежской области. Перед тем, как поджечь дома, гитлеровцы ограбили крестьян и расстреляли 42 жителя деревни. Колхозника Кузнецова Ивана Абрамовича 54 лет, его жену Варвару Артемьевну 49 лет и трёх их малолетних детей фашистские людоеды бросили в сарай и живьём сожгли. Более 70 колхозников и колхозниц немцы угнали на принудительные работы.» (14788).</w:t>
      </w:r>
    </w:p>
    <w:p w14:paraId="4EFDDBDA"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7BE814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на Пе-3бис л Фортова был сбит первый самолет Ju-88 (1722,52).</w:t>
      </w:r>
    </w:p>
    <w:p w14:paraId="115E0E8E" w14:textId="77777777" w:rsidR="00090C9B" w:rsidRPr="00722885" w:rsidRDefault="00090C9B" w:rsidP="00722885">
      <w:pPr>
        <w:pStyle w:val="Iauiue"/>
        <w:jc w:val="both"/>
        <w:rPr>
          <w:color w:val="000000" w:themeColor="text1"/>
          <w:sz w:val="16"/>
          <w:szCs w:val="16"/>
        </w:rPr>
      </w:pPr>
    </w:p>
    <w:p w14:paraId="60612AAF" w14:textId="77777777" w:rsidR="00A1659D" w:rsidRPr="00722885" w:rsidRDefault="00A1659D" w:rsidP="00722885">
      <w:pPr>
        <w:pStyle w:val="Iauiue"/>
        <w:jc w:val="both"/>
        <w:rPr>
          <w:color w:val="000000" w:themeColor="text1"/>
          <w:sz w:val="16"/>
          <w:szCs w:val="16"/>
          <w:lang w:val="en-US"/>
        </w:rPr>
      </w:pPr>
      <w:r w:rsidRPr="00722885">
        <w:rPr>
          <w:color w:val="000000" w:themeColor="text1"/>
          <w:sz w:val="16"/>
          <w:szCs w:val="16"/>
          <w:lang w:val="en-US"/>
        </w:rPr>
        <w:t>October 3, 1942: In the center of Stalingrad, units of 6.Armee continue to push the decimated Soviet 62nd Army further back toward the Volga, with heavy losses on both sides (3819).</w:t>
      </w:r>
    </w:p>
    <w:p w14:paraId="0AAF7842" w14:textId="77777777" w:rsidR="00A1659D" w:rsidRPr="00722885" w:rsidRDefault="00A1659D" w:rsidP="00722885">
      <w:pPr>
        <w:pStyle w:val="Iauiue"/>
        <w:jc w:val="both"/>
        <w:rPr>
          <w:color w:val="000000" w:themeColor="text1"/>
          <w:sz w:val="16"/>
          <w:szCs w:val="16"/>
          <w:lang w:val="en-US"/>
        </w:rPr>
      </w:pPr>
    </w:p>
    <w:p w14:paraId="08A539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в центре Сталинграда части 6А продолжали атаки, стараясь оттеснить части 62А к Волге (3819).</w:t>
      </w:r>
    </w:p>
    <w:p w14:paraId="458A3642" w14:textId="77777777" w:rsidR="00090C9B" w:rsidRPr="00722885" w:rsidRDefault="00090C9B" w:rsidP="00722885">
      <w:pPr>
        <w:pStyle w:val="Iauiue"/>
        <w:jc w:val="both"/>
        <w:rPr>
          <w:color w:val="000000" w:themeColor="text1"/>
          <w:sz w:val="16"/>
          <w:szCs w:val="16"/>
        </w:rPr>
      </w:pPr>
    </w:p>
    <w:p w14:paraId="625064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г. вышел ПРИКАЗ НКО № 0792 ОБ УЧЕТЕ ИНЖЕНЕРНЫМИ ВОЙСКАМИ ОПЫТА ОТЕЧЕСТВЕННОЙ ВОЙНЫ</w:t>
      </w:r>
    </w:p>
    <w:p w14:paraId="413DE2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Инженерные войска Красной Армии за время Отечественной войны получили ряд новых технических средств, с успехом применяемых в борьбе с противником. Одновременно выявлены также образцы новых инженерных средств противника, которые легко могут быть изготовлены на наших заводах и использованы войсками.</w:t>
      </w:r>
    </w:p>
    <w:p w14:paraId="7E3367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Наряду с этим война внесла значительные коррективы и в способы применения инженерных средств. Эти новые способы применения инженерной техники явились результатом настойчивых творческих исканий наших передовых инженерных начальников, а также самоотверженной боевой изобретательской работы саперов и не раз приносили успех, облегчая достижение победы основным родам войск.</w:t>
      </w:r>
    </w:p>
    <w:p w14:paraId="151B87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Между тем, ряд образцов новой техники, а также новые приемы борьбы, равно как и ценные сведения, получаемые в отдельных случаях о новой инженерной технике, применяемой противником, остаются недостаточно изученными, известными только отдельным частям, а, следовательно, необобщенными. Вследствие этого инженерные войска лишены возможности полностью усвоить богатый опыт Отечественной войны и извлечть из него необходимыне уроки.</w:t>
      </w:r>
    </w:p>
    <w:p w14:paraId="5C26FE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систематизации опыта боевого применения инженерной техники и в первую очередь новых и модернизированных средств для принятия немедленных мер по устранению обнаруживаемых на фронтах дефектов отдельных средств инженерного вооружения, а также для изучения новых средств борьбы, применяемых противником, приказываю:</w:t>
      </w:r>
    </w:p>
    <w:p w14:paraId="5EFE13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Начальникам инженерных войск фронтов и армий, дивизионным и полковым инженерам и всему начальствующему составу инженерных частей и соединений обратить особое внимание на повседневное изучение и обобщение опыта боевой деятельности инженерных войск.</w:t>
      </w:r>
    </w:p>
    <w:p w14:paraId="544B36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Командирам инженерных частей собирать необходимый материал и представлять его в секретном порядке вышестоящим начальникам и в копии непосредственно в Главное военно-инженерное управление Красной Армии.</w:t>
      </w:r>
    </w:p>
    <w:p w14:paraId="646E3D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Представление этого материала может быть произведено в любой форме, но в нем должно быть указано:</w:t>
      </w:r>
    </w:p>
    <w:p w14:paraId="743D0C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полное название и марка применяемого инженерного средства;</w:t>
      </w:r>
    </w:p>
    <w:p w14:paraId="652639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время изготовления, завод и откуда получено (номер военного склада и др.);</w:t>
      </w:r>
    </w:p>
    <w:p w14:paraId="067A41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район и время применения данного средства;</w:t>
      </w:r>
    </w:p>
    <w:p w14:paraId="1B39E5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способ применения и обстановка;</w:t>
      </w:r>
    </w:p>
    <w:p w14:paraId="1733BA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подробные результаты с указанием положительных сторон и недостатков данного вида инженерного вооружения;</w:t>
      </w:r>
    </w:p>
    <w:p w14:paraId="368201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 желательные улучшения в конструкции, качестве изготовления и способах применения данного средства.</w:t>
      </w:r>
    </w:p>
    <w:p w14:paraId="347E1C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Особое внимание обратить на изучение боевой службы следующих инженерных средств:</w:t>
      </w:r>
    </w:p>
    <w:p w14:paraId="651BFD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противотанковых и противопехотных мин (случаи удачного применения, а также случаи отказа, преждевременной коррозии металлических деталей, отсыревания ВВ с анализом обнаруженных дефектов);</w:t>
      </w:r>
    </w:p>
    <w:p w14:paraId="7DDA56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новых мин и средств взрывания, введенных на вооружение за время Отечественной войны;</w:t>
      </w:r>
    </w:p>
    <w:p w14:paraId="3C333F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отдельных средств и деталей, выполненных из заменителей (корпуса мин, ниппели взрывателей из пластмасс, новые ВВ для снаряжения мин и т. д.);</w:t>
      </w:r>
    </w:p>
    <w:p w14:paraId="1527A81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новых средств переправочной техники (ДМП, ДСЛ, УВСА-3, козловые опоры Н2П и др.);</w:t>
      </w:r>
    </w:p>
    <w:p w14:paraId="2D6810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индивидуальных переправочных средств (поплавки, мостики, костюмы) ;</w:t>
      </w:r>
    </w:p>
    <w:p w14:paraId="0C54E8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 позиционной техники (пехотных лопат новых образцов, окопных печей, импортной колючей проволоки);</w:t>
      </w:r>
    </w:p>
    <w:p w14:paraId="3062E2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ж) маскировочных средств (материал, окраска, удельный вес различных средств);</w:t>
      </w:r>
    </w:p>
    <w:p w14:paraId="5C9DA9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 миноискателей, электрических фонарей, подрывных машинок, зарядных агрегатов, электростанций, а также техники ТОС;</w:t>
      </w:r>
    </w:p>
    <w:p w14:paraId="278B2A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 средств механизации (дорожные, лесопильные и другие машины), случаи удачного применения, недостатки;</w:t>
      </w:r>
    </w:p>
    <w:p w14:paraId="20D924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средств водоснабжения.</w:t>
      </w:r>
    </w:p>
    <w:p w14:paraId="455D95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Начальникам инженерных войск фронтов через каждые два месяца представлять в Главное военно-инженерное управление по форме, указанной в приложении*, донесения с обобщением характерных случаев применения подчиненными новых средств (табельных и нетабельных), применяемых как нашими войсками так и противником.</w:t>
      </w:r>
    </w:p>
    <w:p w14:paraId="324EE7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Первое донесение представить к 1 ноября с. г.</w:t>
      </w:r>
    </w:p>
    <w:p w14:paraId="181F2007"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 xml:space="preserve">Заместитель Народного комиссара обороны СССР генерал-майор инженерных войск М. ВОРОБЬЕВ </w:t>
      </w:r>
      <w:r w:rsidRPr="00722885">
        <w:rPr>
          <w:color w:val="000000" w:themeColor="text1"/>
          <w:sz w:val="16"/>
          <w:szCs w:val="16"/>
        </w:rPr>
        <w:t>(9844).</w:t>
      </w:r>
    </w:p>
    <w:p w14:paraId="7D1C78BE" w14:textId="77777777" w:rsidR="00090C9B" w:rsidRPr="00722885" w:rsidRDefault="00090C9B" w:rsidP="00722885">
      <w:pPr>
        <w:pStyle w:val="Iauiue"/>
        <w:jc w:val="both"/>
        <w:rPr>
          <w:color w:val="000000" w:themeColor="text1"/>
          <w:sz w:val="16"/>
          <w:szCs w:val="16"/>
        </w:rPr>
      </w:pPr>
    </w:p>
    <w:p w14:paraId="485106CF" w14:textId="77777777" w:rsidR="00A1659D"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Жизнь и внутренняя политика:</w:t>
      </w:r>
    </w:p>
    <w:p w14:paraId="677F21B7" w14:textId="77777777" w:rsidR="00A1659D" w:rsidRPr="00722885" w:rsidRDefault="00A1659D" w:rsidP="00722885">
      <w:pPr>
        <w:pStyle w:val="Iauiue"/>
        <w:jc w:val="both"/>
        <w:rPr>
          <w:iCs/>
          <w:color w:val="000000" w:themeColor="text1"/>
          <w:sz w:val="16"/>
          <w:szCs w:val="16"/>
        </w:rPr>
      </w:pPr>
    </w:p>
    <w:p w14:paraId="133D669D"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 октября </w:t>
      </w:r>
      <w:r w:rsidRPr="00722885">
        <w:rPr>
          <w:rFonts w:ascii="Times New Roman" w:hAnsi="Times New Roman"/>
          <w:color w:val="000000" w:themeColor="text1"/>
          <w:sz w:val="16"/>
          <w:szCs w:val="16"/>
        </w:rPr>
        <w:t>в 1942 году Президиум Верховного Совета СССР принял указ «О прекращении начисления процентных надбавок к заработной плате рабочим и служащим и предоставления им других льгот, связанных с работой в отдаленных местностях, вне крупных городских поселений и на Крайнем Севере» (14788).</w:t>
      </w:r>
    </w:p>
    <w:p w14:paraId="3596558D"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635CC4C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8F52BB4" w14:textId="77777777" w:rsidR="00090C9B" w:rsidRPr="00722885" w:rsidRDefault="00090C9B" w:rsidP="00722885">
      <w:pPr>
        <w:pStyle w:val="Iauiue"/>
        <w:jc w:val="both"/>
        <w:rPr>
          <w:iCs/>
          <w:color w:val="000000" w:themeColor="text1"/>
          <w:sz w:val="16"/>
          <w:szCs w:val="16"/>
        </w:rPr>
      </w:pPr>
    </w:p>
    <w:p w14:paraId="709A81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года</w:t>
      </w:r>
    </w:p>
    <w:p w14:paraId="726499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 ПРЕМЬЕРА СТАЛИНА ПРЕМЬЕРУ ЧЕРЧИЛЛЮ</w:t>
      </w:r>
    </w:p>
    <w:p w14:paraId="184E83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Должен Вам сообщить, что наше положение в районе Сталинграда изменилось к худшему с первых чисел сентября. У немцев оказались большие резервы авиации, которые сосредоточили они в районе Сталинграда и добились двойного превосходства в воздухе. У нас не хватило истребительных самолетов для прикрытия наземных войск. Даже самые храбрые войска оказываются беспомощными, когда они не прикрыты с воздуха. Нам особенно нужны “Спитфайеры” и “Аэрокобры”. Обо всем этом я подробно рассказал господину Уилки.</w:t>
      </w:r>
    </w:p>
    <w:p w14:paraId="1723DB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Транспорты с вооружением прибыли в Архангельск и разгружаются. Это большая помощь. Однако ввиду недостатка тоннажа мы могли бы временно отказаться от некоторых видов помощи и тем сократить потребность в тоннаже при условии, что будет усилена помощь истребительной авиацией. Мы могли бы временно отказаться от своих заявок на танки и артиллерийское вооружение, если бы Англия и США вместе могли поставлять нам 800 истребителей ежемесячно, из них примерно 300 штук — Англия и 500 штук — США. Такая помощь была бы более эффективной, и она улучшила бы положение на фроите.</w:t>
      </w:r>
    </w:p>
    <w:p w14:paraId="55ADFF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Сообщения Вашей разведки о том, что Германия производит ежемесячно не более 1300 боевых самолетов, не подтверждаются нашими данными. По нашим данным, германские авиационные заводы вместе с заводами в оккупированных странах по изготовлению деталей самолетов производят ежемесячно не менее 2500 боевых самолетов (7430).</w:t>
      </w:r>
    </w:p>
    <w:p w14:paraId="0F408078" w14:textId="77777777" w:rsidR="00090C9B" w:rsidRPr="00722885" w:rsidRDefault="00090C9B" w:rsidP="00722885">
      <w:pPr>
        <w:pStyle w:val="Iauiue"/>
        <w:jc w:val="both"/>
        <w:rPr>
          <w:color w:val="000000" w:themeColor="text1"/>
          <w:sz w:val="16"/>
          <w:szCs w:val="16"/>
        </w:rPr>
      </w:pPr>
    </w:p>
    <w:p w14:paraId="388D2C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И.В.Сталин обратился с письмом к Черчиллю:</w:t>
      </w:r>
    </w:p>
    <w:p w14:paraId="1AFA7B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“Должен Вам сообщить, что наше положение в районе Сталинрада изменилось к худшему с первых чисел сентября. У немцев оказались большие резервы авиации, которые они сосредоточили в районе Сталинграда и добились двойного превосходства в воздухе. У нас не хватило истребительных самолетов для прикрытия наземных войск. Даже самые храбрые войска оказываются беспомощными, когда они не прикрыты с воздуха. Нам особенны нужны “Спитфайры" и "Аэрокобры”.</w:t>
      </w:r>
    </w:p>
    <w:p w14:paraId="1655F966"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rPr>
        <w:t xml:space="preserve">...Мы могли бы временно отказаться от своих заявок на танки и артиллерийское вооружение, если бы Англия и США вместе могли поставлять нам 800 истребителей ежемесячно, из них примерно 300 штук - Англия и 500 штук - США. Такая помощь была бы более эффективной, и она улучшила бы положение на фронте." </w:t>
      </w:r>
      <w:r w:rsidRPr="00722885">
        <w:rPr>
          <w:color w:val="000000" w:themeColor="text1"/>
          <w:sz w:val="16"/>
          <w:szCs w:val="16"/>
          <w:lang w:val="en-US"/>
        </w:rPr>
        <w:t>(4537).</w:t>
      </w:r>
    </w:p>
    <w:p w14:paraId="7B4D80AA" w14:textId="77777777" w:rsidR="00090C9B" w:rsidRPr="00722885" w:rsidRDefault="00090C9B" w:rsidP="00722885">
      <w:pPr>
        <w:pStyle w:val="Iauiue"/>
        <w:jc w:val="both"/>
        <w:rPr>
          <w:color w:val="000000" w:themeColor="text1"/>
          <w:sz w:val="16"/>
          <w:szCs w:val="16"/>
          <w:lang w:val="en-US"/>
        </w:rPr>
      </w:pPr>
    </w:p>
    <w:p w14:paraId="674DE5F4"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327BA692" w14:textId="77777777" w:rsidR="00090C9B" w:rsidRPr="00722885" w:rsidRDefault="00090C9B" w:rsidP="00722885">
      <w:pPr>
        <w:pStyle w:val="Iauiue"/>
        <w:jc w:val="both"/>
        <w:rPr>
          <w:iCs/>
          <w:color w:val="000000" w:themeColor="text1"/>
          <w:sz w:val="16"/>
          <w:szCs w:val="16"/>
          <w:lang w:val="en-US"/>
        </w:rPr>
      </w:pPr>
    </w:p>
    <w:p w14:paraId="4CB1FC37" w14:textId="77777777" w:rsidR="00090C9B" w:rsidRPr="00722885" w:rsidRDefault="00090C9B" w:rsidP="00722885">
      <w:pPr>
        <w:pStyle w:val="Iauiue"/>
        <w:tabs>
          <w:tab w:val="left" w:pos="11199"/>
        </w:tabs>
        <w:jc w:val="both"/>
        <w:rPr>
          <w:color w:val="000000" w:themeColor="text1"/>
          <w:sz w:val="16"/>
          <w:szCs w:val="16"/>
          <w:lang w:val="en-US"/>
        </w:rPr>
      </w:pPr>
      <w:r w:rsidRPr="00722885">
        <w:rPr>
          <w:color w:val="000000" w:themeColor="text1"/>
          <w:sz w:val="16"/>
          <w:szCs w:val="16"/>
          <w:lang w:val="en-US"/>
        </w:rPr>
        <w:t xml:space="preserve">3 </w:t>
      </w:r>
      <w:r w:rsidRPr="00722885">
        <w:rPr>
          <w:color w:val="000000" w:themeColor="text1"/>
          <w:sz w:val="16"/>
          <w:szCs w:val="16"/>
        </w:rPr>
        <w:t>октября</w:t>
      </w:r>
      <w:r w:rsidRPr="00722885">
        <w:rPr>
          <w:color w:val="000000" w:themeColor="text1"/>
          <w:sz w:val="16"/>
          <w:szCs w:val="16"/>
          <w:lang w:val="en-US"/>
        </w:rPr>
        <w:t xml:space="preserve"> 1942 </w:t>
      </w:r>
      <w:r w:rsidRPr="00722885">
        <w:rPr>
          <w:color w:val="000000" w:themeColor="text1"/>
          <w:sz w:val="16"/>
          <w:szCs w:val="16"/>
        </w:rPr>
        <w:t>немцами</w:t>
      </w:r>
      <w:r w:rsidR="00A00AAE" w:rsidRPr="00722885">
        <w:rPr>
          <w:color w:val="000000" w:themeColor="text1"/>
          <w:sz w:val="16"/>
          <w:szCs w:val="16"/>
          <w:lang w:val="en-US"/>
        </w:rPr>
        <w:t xml:space="preserve"> </w:t>
      </w:r>
      <w:r w:rsidRPr="00722885">
        <w:rPr>
          <w:color w:val="000000" w:themeColor="text1"/>
          <w:sz w:val="16"/>
          <w:szCs w:val="16"/>
        </w:rPr>
        <w:t>впервые</w:t>
      </w:r>
      <w:r w:rsidR="00A00AAE" w:rsidRPr="00722885">
        <w:rPr>
          <w:color w:val="000000" w:themeColor="text1"/>
          <w:sz w:val="16"/>
          <w:szCs w:val="16"/>
          <w:lang w:val="en-US"/>
        </w:rPr>
        <w:t xml:space="preserve"> </w:t>
      </w:r>
      <w:r w:rsidRPr="00722885">
        <w:rPr>
          <w:color w:val="000000" w:themeColor="text1"/>
          <w:sz w:val="16"/>
          <w:szCs w:val="16"/>
        </w:rPr>
        <w:t>испытана</w:t>
      </w:r>
      <w:r w:rsidR="00A00AAE" w:rsidRPr="00722885">
        <w:rPr>
          <w:color w:val="000000" w:themeColor="text1"/>
          <w:sz w:val="16"/>
          <w:szCs w:val="16"/>
          <w:lang w:val="en-US"/>
        </w:rPr>
        <w:t xml:space="preserve"> </w:t>
      </w:r>
      <w:r w:rsidRPr="00722885">
        <w:rPr>
          <w:color w:val="000000" w:themeColor="text1"/>
          <w:sz w:val="16"/>
          <w:szCs w:val="16"/>
        </w:rPr>
        <w:t>ракетаФАУ</w:t>
      </w:r>
      <w:r w:rsidRPr="00722885">
        <w:rPr>
          <w:color w:val="000000" w:themeColor="text1"/>
          <w:sz w:val="16"/>
          <w:szCs w:val="16"/>
          <w:lang w:val="en-US"/>
        </w:rPr>
        <w:t>-2 (4962).</w:t>
      </w:r>
    </w:p>
    <w:p w14:paraId="6325A744" w14:textId="77777777" w:rsidR="00090C9B" w:rsidRPr="00722885" w:rsidRDefault="00090C9B" w:rsidP="00722885">
      <w:pPr>
        <w:pStyle w:val="Iauiue"/>
        <w:tabs>
          <w:tab w:val="left" w:pos="11199"/>
        </w:tabs>
        <w:jc w:val="both"/>
        <w:rPr>
          <w:color w:val="000000" w:themeColor="text1"/>
          <w:sz w:val="16"/>
          <w:szCs w:val="16"/>
          <w:lang w:val="en-US"/>
        </w:rPr>
      </w:pPr>
    </w:p>
    <w:p w14:paraId="368EBB03"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3 1942 First successful launch and flight of 5 1/2-ton German A-4 rocket (V-2) at Peenem№nde, which traveled 120 miles (1038).</w:t>
      </w:r>
    </w:p>
    <w:p w14:paraId="1CA93DBB" w14:textId="77777777" w:rsidR="00090C9B" w:rsidRPr="00722885" w:rsidRDefault="00090C9B" w:rsidP="00722885">
      <w:pPr>
        <w:pStyle w:val="Iauiue"/>
        <w:jc w:val="both"/>
        <w:rPr>
          <w:color w:val="000000" w:themeColor="text1"/>
          <w:sz w:val="16"/>
          <w:szCs w:val="16"/>
          <w:lang w:val="en-US"/>
        </w:rPr>
      </w:pPr>
    </w:p>
    <w:p w14:paraId="23B1E8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состоялся успешный запуск Фау-2 в Пенемюнде и ракета пролетела 120 миль (1038). Вернер фон Браун потратил 10 лет, чтобы сделать А-4. Этот запуск был 4-м и ракета пролетела 192 км на высоте 96 км, разорвавшись в 4 км от цели. Работы пошли успешно и до июня 1942 сделали 31 пуск (2469,17).</w:t>
      </w:r>
    </w:p>
    <w:p w14:paraId="7B1F3E1D" w14:textId="77777777" w:rsidR="00090C9B" w:rsidRPr="00722885" w:rsidRDefault="00090C9B" w:rsidP="00722885">
      <w:pPr>
        <w:pStyle w:val="Iauiue"/>
        <w:jc w:val="both"/>
        <w:rPr>
          <w:color w:val="000000" w:themeColor="text1"/>
          <w:sz w:val="16"/>
          <w:szCs w:val="16"/>
        </w:rPr>
      </w:pPr>
    </w:p>
    <w:p w14:paraId="45B00733" w14:textId="77777777" w:rsidR="00416559" w:rsidRPr="00722885" w:rsidRDefault="00416559"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октября 1942 первая ракета A4, позже названная V-2, взлетает из Пенемюнде, преодолевая 190 км (120 миль) за 296 секунд со скоростью, в пять раз превышающей скорость звука, и достигает высоты 84,5 км (52,5 мили) (20793).</w:t>
      </w:r>
    </w:p>
    <w:p w14:paraId="0D10FEA8" w14:textId="77777777" w:rsidR="00416559" w:rsidRPr="00722885" w:rsidRDefault="00416559" w:rsidP="00722885">
      <w:pPr>
        <w:spacing w:after="0" w:line="240" w:lineRule="auto"/>
        <w:jc w:val="both"/>
        <w:rPr>
          <w:rFonts w:ascii="Times New Roman" w:hAnsi="Times New Roman"/>
          <w:color w:val="0070C0"/>
          <w:sz w:val="16"/>
          <w:szCs w:val="16"/>
        </w:rPr>
      </w:pPr>
    </w:p>
    <w:p w14:paraId="789EDC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октября 1942 года состоялось испытание третьей ракеты А-4. День был ясный. Время запуска – полдень. После тщательной проверки ракеты и ее двигателя раздались команда: «Внимание! Запал! Первая ступень!». И немного погодя: «Главная ступень!». Со страшным грохотом ракета «А-4» поднялась в воздух.</w:t>
      </w:r>
    </w:p>
    <w:p w14:paraId="016F2E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Ракета летела над Балтийским морем примерно параллельно береговой линии на безопасном удалении от него. Голос из громкоговорителя мерно отсчитывал секунды после старта; «…восемнадцать, девятнадцать, двадцать…»</w:t>
      </w:r>
    </w:p>
    <w:p w14:paraId="21657E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21-й секунде ракета превысила скорость звука. Она была хорошо видна даже невооруженным глазом на фоне голубого неба.</w:t>
      </w:r>
    </w:p>
    <w:p w14:paraId="4DA626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40-й секунды за ракетой появился белый инверсионный след, оставляемый конденсированными парами воды. Через некоторое время этот след стал зигзагообразным. Это объяснялось тем, что на разных высотах воздушные потоки перемещаются в различных направлениях. С земли же казалось, что этот причудливый белый след неподвижно висит в воздухе, кто-то из участников испытаний даже придумал ему хорошее название – «замороженная молния».</w:t>
      </w:r>
    </w:p>
    <w:p w14:paraId="7A0F35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Через 58 секунд после старта подача топлива в двигатель ракеты была прекращена сигналом по радио. Двигатель перестал работать. Но по инерции ракета поднялась еще выше, примерно до 48 км. Расчеты и измерения в аэродинамической трубе, предшествовавшие запуску, указывали на то, что при обратном вхождении ракеты в плотные слон атмосферы обшивка ракеты может нагреться до 650 °С. Поэтому всех волновал вопрос, выдержит ли ракета эту тепловую нагрузку? Но сигналы продолжали поступать с ракеты и на 250-й и на 280-й секунде. Падение произошло лишь на 296-й секунде после старта, и по наблюдениям, ракета упала в море в целом виде. Дальность полета этой ракеты составила 190 км.</w:t>
      </w:r>
    </w:p>
    <w:p w14:paraId="34835C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Следующая ракета работала хуже – она пролетела только 146 км, да и в следующих десяти пусках отмечались различные недостатки. Ракета с производственным номером 12 (десятый пуск) покрыла расстояние почти в 200 км, но ее траектория была слишком настильной. Пятнадцатый пуск с точки зрения характеристик ракеты прошел отлично, но ракета каким-то образом изменила направление.</w:t>
      </w:r>
    </w:p>
    <w:p w14:paraId="2E85D8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Приблизительно в это время в Пенемюнде прибыл профессор Герман Оберт, принявший германское подданство и призванный на службу командованием ВВС. Когда Оберт впервые вступил на территорию строго засекреченной исследовательской станции Пенемюнде, ракета «А-4» была уже законченной разработкой и готовилась к передаче в серийное производство. После того, как у него прошло первое удивление от увиденного, Оберт заявил, что он многое сделал бы по-другому. Так, например, он остался недоволен конструкцией баков для топлива. В «А-4» баки были отдельной конструкцией, не включенной в конструкцию корпуса ракеты, что утяжеляло ракету. Еще в своих ранних книгах Оберт писал, что бак должен быть частью силовой конструкции ракеты, а его устойчивость должна обеспечиваться повышенным давлением в нем, наддувом бака. Соображение это было вполне правильным, и может вызвать недоумение то обстоятельство, что фон Браун, прекрасно знавший книги Оберта, не воспользовался этой идеей. На самом деле фон Брауну приходилось учитывать то, что Оберту казалось малосущественным, – время, необходимое для создания и отработки ракеты. Принятая в ракете «А-4» конструкция корпуса и баков позволяла отказаться от ряда сложных испытаний.</w:t>
      </w:r>
    </w:p>
    <w:p w14:paraId="5FDBB0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любом случае изменять что-либо в конструкции ракеты было уже поздно, так как любое крупное усовершенствование означало бы совершенно новую разработку.. Это, очевидно, разочаровало Оберта и он стал искать другой объект для приложения своих сил. После недолгого выбора профессор остановился на зенитных ракетах.</w:t>
      </w:r>
    </w:p>
    <w:p w14:paraId="0A11F1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над «А-4» продолжалась. Перед отправкой в серийное производство, следовало, например, подумать о средствах транспортировки.</w:t>
      </w:r>
    </w:p>
    <w:p w14:paraId="6D7491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Большие расхождения во взглядах были отмечены при решении вопроса о том, как запускать ракеты: со стационарной установки (из шахты бункера) или с полевых позиций. Инженеры поддерживали идею запуска ракет из долговременных бункеров, которые должны были представлять собой подземные заводы с сотнями выстроившихся ракет, с испытательным оборудованием, запасными частями и даже с установками для производства жидкого кислорода. Военные же специалисты, и особенно сам Вальтер Дорнбергер, придерживались иной точки зрения. Для них крупная стационарная установка всегда оставалась целью, положение которой рано или поздно станет известным, а любая цель независимо от того, насколько она прочна или защищена, может быть уничтожена. Поэтому военными была разработана теория запуска ракет подвижными батареями, меняющими огневые позиции сразу после запуска.</w:t>
      </w:r>
    </w:p>
    <w:p w14:paraId="2BEE21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плану, каждая такая батарея имела в своем распоряжении по три ракеты «А-4», размещенных на трех самоходных лафетах – «майлервагенах». «Майлерваген» («Meillerwagen») был разработан мюнхенской фирмой «Ф. Майлер» специально для тяжелых баллистических ракет. На этом лафете ракету не только можно было перевозить с места на место, но и ставить вертикально в положение пуска на стартовый стол. «Майлерваген» представлял собой прицеп длиной 14 м, состоявший из решетчатой рамы, которая располагалась спереди на одной оси со сдвоенными колесами, а сзади – на двухосной ходовой части. Задняя ось с принудительным управлением обеспечивала выдерживание колеи при движении на поворотах. Весившая 4,5 т ракета находилась в горизонтальном положении на опрокидывающейся раме, которая с помощью двух гидравлических домкратов конструкции той же фирмы могла ставить ракету в вертикальное положение. Гидравлический насос приводился в действие двигателем «Фольксваген». До конца войны было поставлено примерно 200 установок «Майлерваген», которые изготовлялись на фирме, а дооборудование осуществляла фирма «Линдер» в Аммендорфе.</w:t>
      </w:r>
    </w:p>
    <w:p w14:paraId="6978B9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всем совершенстве конструкции «майлервагенов» для транспортировки ракет на большие расстояния использовались либо переоборудованные грузовые вагоны, либо «видальвагены» («Vidalwagen») – специальные повозки для перемещения ракет в горизонтальном положении. Но перед использованием «А-4» обязательно перегружались на «майлервагены».</w:t>
      </w:r>
    </w:p>
    <w:p w14:paraId="578012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Те в свою очередь передвигались с помощью полугусеничного тягача, служившего одновременно и для перевозки боевого расчета установки. За ракетами следовали три автоцистерны: одна – с жидким кислородом для всех трех ракет, другая – со спиртом для трех ракет и третья – со вспомогательным топливом и прочим оборудованием. Кроме того, у батареи имелись генератор электрического тока на автомашине и передвижная установка для проверки ракеты и управлении огнем. Офицерский состав батареи размещался в штабных автобусах.</w:t>
      </w:r>
    </w:p>
    <w:p w14:paraId="674C0A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Бронированная кабина слежения за стартом (Feuerleitpanzer), внутри которой размещался пульт управления, была расположена в тыловой части тягача «майлервагена».</w:t>
      </w:r>
    </w:p>
    <w:p w14:paraId="6B42EA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выбора места для стартовой позиции провешивалось направление стрельбы. Затем все три ракеты устанавливались на стартовых столах так, чтобы линия стабилизаторов I—III располагалась в плоскости стрельбы или параллельно ей.</w:t>
      </w:r>
    </w:p>
    <w:p w14:paraId="012C79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Подвижный пусковой комплекс отличался высокой тактической мобильностью. Благодаря тому, что стартовые позиции постоянно менялись, они были практически неуязвимы для налетов авиации. За полгода боевых действий, несмотря на тридцатикратное превосходство союзников в воздухе и интенсивные бомбардировки, ни одна «А-4» не была уничтожена на старте.</w:t>
      </w:r>
    </w:p>
    <w:p w14:paraId="223D83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более позднее время разрабатывались проекты стартового комплекса на базе железнодорожной платформы и морского контейнера (11688).</w:t>
      </w:r>
    </w:p>
    <w:p w14:paraId="2CF0964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4C2FE40"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 октября </w:t>
      </w:r>
      <w:r w:rsidRPr="00722885">
        <w:rPr>
          <w:rFonts w:ascii="Times New Roman" w:hAnsi="Times New Roman"/>
          <w:color w:val="000000" w:themeColor="text1"/>
          <w:sz w:val="16"/>
          <w:szCs w:val="16"/>
        </w:rPr>
        <w:t>в 1942 году удачное испытание ракеты «А-4» в Германии. Наблюдателям было видно, как вдали в воздух поднялось огромное облако пыли и песка, из которого через мгновение вырвалась ракета и, пролетев 4,5 секунды вертикально вверх, перешла на наклонную траекторию, в направлении на северо-восток. Ракета летела над Балтийским морем примерно параллельно береговой линии на безопасном удалении от него. Голос из громкоговорителя мерно отсчитывал секунды после старта: «... восемнадцать, девятнадцать, двадцать... » На 21-й секунде ракета превысила скорость звука. Она была хорошо видна даже невооруженным глазом на фоне голубого неба. После 40-й секунды за ракетой появился белый инверсионный след, оставляемый конденсированными парами воды. Через некоторое время этот след стал зигзагообразным. Это объяснялось тем, что на разных высотах воздушные потоки перемещаются в различных направлениях. С земли же казалось, что этот причудливый белый след неподвижно висит в воздухе, кто-то даже придумал ему удачное название — «замороженная молния». Через 58 секунд после старта подача топлива в двигатель ракеты была прекращена сигналом по радио. Но по инерции ракета поднялась еще выше, примерно до 48 километров. Расчеты и измерения в аэродинамической трубе, предшествовавшие запуску, указывали на то, что при обратном вхождении ракеты в плотные слои атмосферы обшивка ракеты может нагреться до 600° С. Поэтому всех волновал вопрос, выдержит ли ракета эту тепловую нагрузку? Но сигналы продолжали поступать с ракеты и на 250-й и на 280-й секунде. Падение произошло лишь на 296-й секунде после старта, и, по наблюдениям, ракета упала в море целой. Дальность ее полета составила 190 километров (14788).</w:t>
      </w:r>
    </w:p>
    <w:p w14:paraId="67A09927"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172062B2" w14:textId="77777777" w:rsidR="00A00AAE" w:rsidRPr="00722885" w:rsidRDefault="00A00AA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октября 1942 года в 14:58 GMT со стартовой площадки испытательного стенда № 7 германского института ракетного вооружения в Пенемюнде (нем. Peenemünde, посёлок на острове Узедом, в южной части Балтийского моря, Германия) стартовыми командами института осуществлен пуск баллистической ракеты дальнего действия «A-4» («V-2», «Фау-2»).</w:t>
      </w:r>
    </w:p>
    <w:p w14:paraId="507709A6" w14:textId="77777777" w:rsidR="00A00AAE" w:rsidRPr="00722885" w:rsidRDefault="00A00AA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Ракета собрана на заводе в Пенемюнде. Cер. № 4004 - испытание (versuch) «V-004».</w:t>
      </w:r>
    </w:p>
    <w:p w14:paraId="01BA0DFC" w14:textId="77777777" w:rsidR="00A00AAE" w:rsidRPr="00722885" w:rsidRDefault="00A00AA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Успешный пуск. Время работы двигателя 58 секунд, отсечка топлива по радиокоманде. Продолжительность полёта 296 секунд. Максимальная высота полёта согласно расчетам - 48 км, по некоторым источникам 85 км. Дальность полёта 190 км. Ракета упала в Балтийское море в 4-х км от объекта прицеливания. Район падения ракеты определен средствами измерения и наблюдения за полётом. Место удара обнаружено с воздуха по окрашенному пятну на поверхности моря.</w:t>
      </w:r>
    </w:p>
    <w:p w14:paraId="59B72681" w14:textId="77777777" w:rsidR="00A00AAE" w:rsidRPr="00722885" w:rsidRDefault="00A00AA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успешный пуск баллистической ракеты дальнего действия. Часто этот пуск представляют, как самый первый пуск баллистической ракеты дальнего действия «A-4» («V-2», «Фау-2») (19623).</w:t>
      </w:r>
    </w:p>
    <w:p w14:paraId="624D1847" w14:textId="77777777" w:rsidR="00A00AAE" w:rsidRPr="00722885" w:rsidRDefault="00A00AAE" w:rsidP="00722885">
      <w:pPr>
        <w:spacing w:after="0" w:line="240" w:lineRule="auto"/>
        <w:jc w:val="both"/>
        <w:rPr>
          <w:rFonts w:ascii="Times New Roman" w:hAnsi="Times New Roman"/>
          <w:color w:val="000000" w:themeColor="text1"/>
          <w:sz w:val="16"/>
          <w:szCs w:val="16"/>
        </w:rPr>
      </w:pPr>
    </w:p>
    <w:p w14:paraId="42A93E79" w14:textId="77777777" w:rsidR="00A1659D" w:rsidRPr="00722885" w:rsidRDefault="00A1659D" w:rsidP="00722885">
      <w:pPr>
        <w:pStyle w:val="book"/>
        <w:ind w:firstLine="0"/>
        <w:jc w:val="both"/>
        <w:rPr>
          <w:color w:val="000000" w:themeColor="text1"/>
          <w:sz w:val="16"/>
          <w:szCs w:val="16"/>
        </w:rPr>
      </w:pPr>
      <w:r w:rsidRPr="00722885">
        <w:rPr>
          <w:color w:val="000000" w:themeColor="text1"/>
          <w:sz w:val="16"/>
          <w:szCs w:val="16"/>
        </w:rPr>
        <w:t>3 октября 1942 г. состоялся четвертый по счету и первый удачный пуск А-4 Ракета пролетела 192 км и достигла высоты 90 км. Первый боевой пуск (по Лондону) произведен 7 сентября 1944 г. А еще за два месяца до этого, 13 июля, британский премьер-министр Черчилль обратился с личным письмом к Сталину. Он писал, что советским войскам в скором времени предстоит освободить польский городок Дебице. А там находится экспериментальная станция, где немцы испытывают новое оружие — ракетные снаряды, способные будто бы нести 12 тыс. фунтов (5,5 т) взрывчатки. Хотя немцы перед сдачей города постараются уничтожить и вывезти оборудование, там все-таки может сохраниться кое-что важное для англичан, которые хотели бы узнать, как запускается ракета, и найти одну «специфическую часть радиомеханизма, которая выглядит совершенно незначительной деталью.</w:t>
      </w:r>
    </w:p>
    <w:p w14:paraId="71CE8A43" w14:textId="77777777" w:rsidR="00A1659D" w:rsidRPr="00722885" w:rsidRDefault="00A1659D" w:rsidP="00722885">
      <w:pPr>
        <w:pStyle w:val="book"/>
        <w:ind w:firstLine="0"/>
        <w:jc w:val="both"/>
        <w:rPr>
          <w:color w:val="000000" w:themeColor="text1"/>
          <w:sz w:val="16"/>
          <w:szCs w:val="16"/>
        </w:rPr>
      </w:pPr>
      <w:r w:rsidRPr="00722885">
        <w:rPr>
          <w:color w:val="000000" w:themeColor="text1"/>
          <w:sz w:val="16"/>
          <w:szCs w:val="16"/>
        </w:rPr>
        <w:t>Я был бы благодарен, Маршал Сталин, если бы Вы предоставили нам возможность для изучения этой экспериментальной станции нашими специалистами». В действительности в лесном болоте недалеко от Дебица были найдены остатки ракеты ФАУ-2. Их срочно самолетом отправили в Москву в НИИ-1 и разместили в большом актовом зале института. Для справки: 15 июля 1942 г. по ходатайству директора А. Костикова НИИ-3 был преобразован в ГИРТ — Государственный институт реактивной техники при Совнаркоме, но, не оправдав своего назначения, он 18 февраля 1944 г. был объединен с авиационным ОКБ Болховитинова в НИИ-1 для разработки реактивных двигателей к самолетам, с подчинением НКАП (15225).</w:t>
      </w:r>
    </w:p>
    <w:p w14:paraId="1B9B122C" w14:textId="77777777" w:rsidR="00A1659D" w:rsidRPr="00722885" w:rsidRDefault="00A1659D" w:rsidP="00722885">
      <w:pPr>
        <w:pStyle w:val="book"/>
        <w:ind w:firstLine="0"/>
        <w:jc w:val="both"/>
        <w:rPr>
          <w:color w:val="000000" w:themeColor="text1"/>
          <w:sz w:val="16"/>
          <w:szCs w:val="16"/>
        </w:rPr>
      </w:pPr>
    </w:p>
    <w:p w14:paraId="2714CF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октября 1942 в США согласно новому закону, принятому Конгрессом, правительственное Управление по ценам получило право замораживать цены, ЗП и аренду (3481).</w:t>
      </w:r>
    </w:p>
    <w:p w14:paraId="64736B5E" w14:textId="77777777" w:rsidR="00090C9B" w:rsidRPr="00722885" w:rsidRDefault="00090C9B" w:rsidP="00722885">
      <w:pPr>
        <w:pStyle w:val="Iauiue"/>
        <w:jc w:val="both"/>
        <w:rPr>
          <w:color w:val="000000" w:themeColor="text1"/>
          <w:sz w:val="16"/>
          <w:szCs w:val="16"/>
        </w:rPr>
      </w:pPr>
    </w:p>
    <w:p w14:paraId="3AEAD4D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DF3C77E" w14:textId="77777777" w:rsidR="00090C9B" w:rsidRPr="00722885" w:rsidRDefault="00090C9B" w:rsidP="00722885">
      <w:pPr>
        <w:pStyle w:val="Iauiue"/>
        <w:jc w:val="both"/>
        <w:rPr>
          <w:iCs/>
          <w:color w:val="000000" w:themeColor="text1"/>
          <w:sz w:val="16"/>
          <w:szCs w:val="16"/>
        </w:rPr>
      </w:pPr>
    </w:p>
    <w:p w14:paraId="6C391D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октября 1942 А.И.Ш. писал И.В.С. письмо N 6660:</w:t>
      </w:r>
    </w:p>
    <w:p w14:paraId="66405E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"Проведенные в НИИ ВВС испытания 2-х 2-х местных самолетов Ил-2 с взлетными щитками и без них, с винтом АВ-5Л-158 и АВ-5Л-124 и с установкой у стрелка пулемета ШКАС и п. УБТ 12.7 мм установлено, что по обороне задней полусферы и взлетным данным преимуществами обладает самолет Ил-2 с взлетными щитками, с винтом АВ-5Л-158 и с п УБТ.</w:t>
      </w:r>
    </w:p>
    <w:p w14:paraId="4E70B5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дистанция до набора высоты 25 м у этого самолета с 400 кг бомб и 8 РС получена 1240 м против 1120 м у одноместного самолета с той же нагрузкой бомб и РО, т.е. взлет хуже.</w:t>
      </w:r>
    </w:p>
    <w:p w14:paraId="54E383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упрощения взлета и сохранения взлетной дистанции на уровне одноместного самолета, считаем необходимым установить самолету Ил-2 с АВ-5Л-158, взлетными щитками и п УБТ у стрелка нормальную нагрузку 300 кг бомб и 4 РС-82.</w:t>
      </w:r>
    </w:p>
    <w:p w14:paraId="373F2E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дистанция при этом у самолета будет равна 1100-1150 м</w:t>
      </w:r>
    </w:p>
    <w:p w14:paraId="0DF28B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 так вооруженного 2-х местного самолета практически одинакова с одноместным самолетом с нагрузкой 400 кг бомб и 8 РС</w:t>
      </w:r>
    </w:p>
    <w:p w14:paraId="2CE11C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Броня стрелка предусмотрена в виде перегородки из бронелиста толщиной 6 мм за кабиной стрелка.</w:t>
      </w:r>
    </w:p>
    <w:p w14:paraId="530F71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Просим подписать представленный проект постановления" (1650,230).</w:t>
      </w:r>
    </w:p>
    <w:p w14:paraId="1272F666" w14:textId="77777777" w:rsidR="00090C9B" w:rsidRPr="00722885" w:rsidRDefault="00090C9B" w:rsidP="00722885">
      <w:pPr>
        <w:pStyle w:val="Iauiue"/>
        <w:jc w:val="both"/>
        <w:rPr>
          <w:color w:val="000000" w:themeColor="text1"/>
          <w:sz w:val="16"/>
          <w:szCs w:val="16"/>
        </w:rPr>
      </w:pPr>
    </w:p>
    <w:p w14:paraId="5F63558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октября 1942 инженер-инспектор Инспекции ВВС КА инженер-майор Ложечников был вынужден обратиться непосредст</w:t>
      </w:r>
      <w:r w:rsidRPr="00722885">
        <w:rPr>
          <w:rFonts w:ascii="Times New Roman" w:hAnsi="Times New Roman"/>
          <w:color w:val="000000" w:themeColor="text1"/>
          <w:sz w:val="16"/>
          <w:szCs w:val="16"/>
        </w:rPr>
        <w:softHyphen/>
        <w:t>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w:t>
      </w:r>
      <w:r w:rsidRPr="00722885">
        <w:rPr>
          <w:rFonts w:ascii="Times New Roman" w:hAnsi="Times New Roman"/>
          <w:color w:val="000000" w:themeColor="text1"/>
          <w:sz w:val="16"/>
          <w:szCs w:val="16"/>
        </w:rPr>
        <w:softHyphen/>
        <w:t>лад он подкрепил обращением дирекции завода № 1 и стар</w:t>
      </w:r>
      <w:r w:rsidRPr="00722885">
        <w:rPr>
          <w:rFonts w:ascii="Times New Roman" w:hAnsi="Times New Roman"/>
          <w:color w:val="000000" w:themeColor="text1"/>
          <w:sz w:val="16"/>
          <w:szCs w:val="16"/>
        </w:rPr>
        <w:softHyphen/>
        <w:t>шего военпреда на заводе инженер-майора С. С. Фатеева.</w:t>
      </w:r>
    </w:p>
    <w:p w14:paraId="00D44DB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Дело в том, что в сентябре 1942 на заводе № 1 были построены два эк</w:t>
      </w:r>
      <w:r w:rsidRPr="00722885">
        <w:rPr>
          <w:rFonts w:ascii="Times New Roman" w:hAnsi="Times New Roman"/>
          <w:color w:val="000000" w:themeColor="text1"/>
          <w:sz w:val="16"/>
          <w:szCs w:val="16"/>
        </w:rPr>
        <w:softHyphen/>
        <w:t>земпляра самолета Ил-2бис АМ-38, имевшие полностью бро</w:t>
      </w:r>
      <w:r w:rsidRPr="00722885">
        <w:rPr>
          <w:rFonts w:ascii="Times New Roman" w:hAnsi="Times New Roman"/>
          <w:color w:val="000000" w:themeColor="text1"/>
          <w:sz w:val="16"/>
          <w:szCs w:val="16"/>
        </w:rPr>
        <w:softHyphen/>
        <w:t>нированную кабину стрелка с блистерной установкой под пуле</w:t>
      </w:r>
      <w:r w:rsidRPr="00722885">
        <w:rPr>
          <w:rFonts w:ascii="Times New Roman" w:hAnsi="Times New Roman"/>
          <w:color w:val="000000" w:themeColor="text1"/>
          <w:sz w:val="16"/>
          <w:szCs w:val="16"/>
        </w:rPr>
        <w:softHyphen/>
        <w:t>мет УБТ. Инициировал эту работу начальник СКО-21 завода В.П. Яценко.</w:t>
      </w:r>
    </w:p>
    <w:p w14:paraId="6BB752F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w:t>
      </w:r>
      <w:r w:rsidRPr="00722885">
        <w:rPr>
          <w:rFonts w:ascii="Times New Roman" w:hAnsi="Times New Roman"/>
          <w:color w:val="000000" w:themeColor="text1"/>
          <w:sz w:val="16"/>
          <w:szCs w:val="16"/>
        </w:rPr>
        <w:softHyphen/>
        <w:t>довалась на месте заднего бензобака. За счет этого она оказалась более просторной, чем кабина завода № 30. Уровень защищен</w:t>
      </w:r>
      <w:r w:rsidRPr="00722885">
        <w:rPr>
          <w:rFonts w:ascii="Times New Roman" w:hAnsi="Times New Roman"/>
          <w:color w:val="000000" w:themeColor="text1"/>
          <w:sz w:val="16"/>
          <w:szCs w:val="16"/>
        </w:rPr>
        <w:softHyphen/>
        <w:t>ности стрелка не уступал защите летчика. В двух бомбоотсеках в центроплане крыла дополнительно устанавливались два бен</w:t>
      </w:r>
      <w:r w:rsidRPr="00722885">
        <w:rPr>
          <w:rFonts w:ascii="Times New Roman" w:hAnsi="Times New Roman"/>
          <w:color w:val="000000" w:themeColor="text1"/>
          <w:sz w:val="16"/>
          <w:szCs w:val="16"/>
        </w:rPr>
        <w:softHyphen/>
        <w:t>зобака, которые бронировались. Внутренняя загрузка бомб уменьшалась до 200 кг. На внешних узлах допускалась подвес</w:t>
      </w:r>
      <w:r w:rsidRPr="00722885">
        <w:rPr>
          <w:rFonts w:ascii="Times New Roman" w:hAnsi="Times New Roman"/>
          <w:color w:val="000000" w:themeColor="text1"/>
          <w:sz w:val="16"/>
          <w:szCs w:val="16"/>
        </w:rPr>
        <w:softHyphen/>
        <w:t>ка еще 200 кг бомб. Направляющие под восемь РС-82 сохраня</w:t>
      </w:r>
      <w:r w:rsidRPr="00722885">
        <w:rPr>
          <w:rFonts w:ascii="Times New Roman" w:hAnsi="Times New Roman"/>
          <w:color w:val="000000" w:themeColor="text1"/>
          <w:sz w:val="16"/>
          <w:szCs w:val="16"/>
        </w:rPr>
        <w:softHyphen/>
        <w:t>лись.</w:t>
      </w:r>
    </w:p>
    <w:p w14:paraId="72F742A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w:t>
      </w:r>
    </w:p>
    <w:p w14:paraId="12C59DA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Судя по документам, Ильюшин активно противился рабо</w:t>
      </w:r>
      <w:r w:rsidRPr="00722885">
        <w:rPr>
          <w:rFonts w:ascii="Times New Roman" w:hAnsi="Times New Roman"/>
          <w:color w:val="000000" w:themeColor="text1"/>
          <w:sz w:val="16"/>
          <w:szCs w:val="16"/>
        </w:rPr>
        <w:softHyphen/>
        <w:t>там по Ил-2бис. Дело в том, что на заводе № 30 он уже строил 20 самолетов с незащищенным стрелком.</w:t>
      </w:r>
    </w:p>
    <w:p w14:paraId="423CAE3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вмешательства В. И. Сталина работы по самолету ускорились. Уже 15 октября Ил-2бис (зав. № 4434) поступил в НИИ ВВС. Военным летчикам новый штурмовик понра</w:t>
      </w:r>
      <w:r w:rsidRPr="00722885">
        <w:rPr>
          <w:rFonts w:ascii="Times New Roman" w:hAnsi="Times New Roman"/>
          <w:color w:val="000000" w:themeColor="text1"/>
          <w:sz w:val="16"/>
          <w:szCs w:val="16"/>
        </w:rPr>
        <w:softHyphen/>
        <w:t>вился. Учебные бои с истребителем Як-7 показали вполне хо</w:t>
      </w:r>
      <w:r w:rsidRPr="00722885">
        <w:rPr>
          <w:rFonts w:ascii="Times New Roman" w:hAnsi="Times New Roman"/>
          <w:color w:val="000000" w:themeColor="text1"/>
          <w:sz w:val="16"/>
          <w:szCs w:val="16"/>
        </w:rPr>
        <w:softHyphen/>
        <w:t>рошие результаты. В отчете от 5 ноября делался вывод, что Ил-2бис уступает Ил-2 завода № 30 только по весу загружае</w:t>
      </w:r>
      <w:r w:rsidRPr="00722885">
        <w:rPr>
          <w:rFonts w:ascii="Times New Roman" w:hAnsi="Times New Roman"/>
          <w:color w:val="000000" w:themeColor="text1"/>
          <w:sz w:val="16"/>
          <w:szCs w:val="16"/>
        </w:rPr>
        <w:softHyphen/>
        <w:t>мых в бомбоотсеки мелких авиабомб, но превосходит его по боевой живучести, летным и пилотажным качествам. Само</w:t>
      </w:r>
      <w:r w:rsidRPr="00722885">
        <w:rPr>
          <w:rFonts w:ascii="Times New Roman" w:hAnsi="Times New Roman"/>
          <w:color w:val="000000" w:themeColor="text1"/>
          <w:sz w:val="16"/>
          <w:szCs w:val="16"/>
        </w:rPr>
        <w:softHyphen/>
        <w:t>лет рекомендовался для постановки в массовую серию. Одна</w:t>
      </w:r>
      <w:r w:rsidRPr="00722885">
        <w:rPr>
          <w:rFonts w:ascii="Times New Roman" w:hAnsi="Times New Roman"/>
          <w:color w:val="000000" w:themeColor="text1"/>
          <w:sz w:val="16"/>
          <w:szCs w:val="16"/>
        </w:rPr>
        <w:softHyphen/>
        <w:t>ко окончательное решение в пользу одного из самолетов предлагалось принять после проведения войсковых испыта</w:t>
      </w:r>
      <w:r w:rsidRPr="00722885">
        <w:rPr>
          <w:rFonts w:ascii="Times New Roman" w:hAnsi="Times New Roman"/>
          <w:color w:val="000000" w:themeColor="text1"/>
          <w:sz w:val="16"/>
          <w:szCs w:val="16"/>
        </w:rPr>
        <w:softHyphen/>
        <w:t>ний (11474,292).</w:t>
      </w:r>
    </w:p>
    <w:p w14:paraId="2CF4121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A674A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4 октября 1942 Инженер-инспектор Инспекции ВВС КА инженер-майор Ложечников был вынужден обратиться непосредственно к начальнику Инспекции полковнику В.И.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доклад он подкрепил обращением дирекции завода № 1 и старшего военпреда на заводе инженер-майора С.С. Фатеева.</w:t>
      </w:r>
    </w:p>
    <w:p w14:paraId="579005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вмешательства В.И. Сталина работы по самолету ускорились. Уже 15 октября Ил-2бис (зав.№4434) поступил в НИИ ВВС. Военным летчикам новый штурмовик понравился. Учебные бои с истребителем Як-7 показали вполне хорошие результаты. В отчете от 5 ноября делался вывод, что Ил-2бис уступает Ил-2 завода №30 только по весу загружаемых в бомбоотсеки мелких авиабомб, но превосходит его по боевой живучести, летным и пилотажным качествам. Самолет рекомендовался для постановки в массовую серию. Однако окончательное решение в пользу одного из самолетов предлагалось принять после проведения войсковых испытаний.</w:t>
      </w:r>
    </w:p>
    <w:p w14:paraId="4B3F1F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Отметим, что еще в июне 1942 г. в 8-й ВА несколько одноместных Ил-2 оборудовались кабиной стрелка с пулеметом ШКАС. Двумя месяцами позже в 17-й ВА в двухместный вариант с пулеметом УБТ были переделаны 66 Ил-2. Подобные переделки выполнялись в 1, 2 и 6-й воздушных армиях.</w:t>
      </w:r>
    </w:p>
    <w:p w14:paraId="4F98D4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Свой ремонтный вариант кабины стрелка разработало и ОКБ Ильюшина. Соответствующая инструкция по доработке Ил-2 силами техсостава частей в октябре была отправлена в действующую армию. Всего на фронте в двухместные было переоборудовано около 1200 Ил-2 (12020).</w:t>
      </w:r>
    </w:p>
    <w:p w14:paraId="350BEBF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56906A7"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октября 1942 инженер-инспектор Инспекции ВВС КА инженер-майор Ложечников был вынужден обратиться непосредст¬венно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док¬лад он подкрепил обращением дирекции завода № 1 и стар¬шего военпреда на заводе инженер-майора С. С. Фатеева.</w:t>
      </w:r>
    </w:p>
    <w:p w14:paraId="493101EB"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Дело в том, что в сентябре 1942 на заводе № 1 были построены два эк¬земпляра самолета Ил-2бис АМ-38, имевшие полностью бро¬нированную кабину стрелка с блистерной установкой под пуле¬мет УБТ. Инициировал эту работу начальник СКО-21 завода В.П. Яценко.</w:t>
      </w:r>
    </w:p>
    <w:p w14:paraId="7823789F"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оборудовалась на месте заднего бензобака. За счет этого она оказалась более просторной, чем кабина завода № 30. Уровень защищен¬ности стрелка не уступал защите летчика. В двух бомбоотсеках в центроплане крыла дополнительно устанавливались два бен¬зобака, которые бронировались. Внутренняя загрузка бгустаомб уменьшалась до 200 кг. На внешних узлах допускалась подвес¬ка еще 200 кг бомб. Направляющие под восемь РС-82 сохранялись.</w:t>
      </w:r>
    </w:p>
    <w:p w14:paraId="03D76D51"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 Судя по документам, Ильюшин активно противился рабо¬там по Ил-2бис. Дело в том, что на заводе № 30 он уже строил 20 самолетов с незащищенным стрелком (15729).</w:t>
      </w:r>
    </w:p>
    <w:p w14:paraId="7A897225"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05ECFEB7"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октября 1942 инженер-инспектор Инспекции ВВС КА инженер-майор Ложечников был вынужден обратиться непосредст¬венно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док¬лад он подкрепил обращением дирекции завода № 1 и стар¬шего военпреда на заводе инженер-майора С. С. Фатеева (15543).</w:t>
      </w:r>
    </w:p>
    <w:p w14:paraId="6FF45CF6"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3215589F" w14:textId="77777777" w:rsidR="00770D72" w:rsidRPr="00722885" w:rsidRDefault="00770D72" w:rsidP="00722885">
      <w:pPr>
        <w:pStyle w:val="95"/>
        <w:shd w:val="clear" w:color="auto" w:fill="auto"/>
        <w:spacing w:after="0" w:line="240" w:lineRule="auto"/>
        <w:ind w:firstLine="0"/>
        <w:jc w:val="both"/>
        <w:rPr>
          <w:rStyle w:val="aff6"/>
          <w:rFonts w:ascii="Times New Roman" w:hAnsi="Times New Roman" w:cs="Times New Roman"/>
          <w:i w:val="0"/>
          <w:iCs w:val="0"/>
          <w:color w:val="0070C0"/>
        </w:rPr>
      </w:pPr>
      <w:r w:rsidRPr="00722885">
        <w:rPr>
          <w:color w:val="0070C0"/>
          <w:sz w:val="16"/>
          <w:szCs w:val="16"/>
        </w:rPr>
        <w:t>4 октября 1942 инже</w:t>
      </w:r>
      <w:r w:rsidRPr="00722885">
        <w:rPr>
          <w:color w:val="0070C0"/>
          <w:sz w:val="16"/>
          <w:szCs w:val="16"/>
        </w:rPr>
        <w:softHyphen/>
        <w:t>нер-инспектор Инспекции ВВС КА инженер- майор Ложечников был вынужден обратиться непосредственно к начальнику Инспекции полковнику В.И. Сталину с прось</w:t>
      </w:r>
      <w:r w:rsidRPr="00722885">
        <w:rPr>
          <w:color w:val="0070C0"/>
          <w:sz w:val="16"/>
          <w:szCs w:val="16"/>
        </w:rPr>
        <w:softHyphen/>
        <w:t>бой</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«помочь, как можно быстрей провести ис</w:t>
      </w:r>
      <w:r w:rsidRPr="00722885">
        <w:rPr>
          <w:rStyle w:val="aff6"/>
          <w:rFonts w:ascii="Times New Roman" w:hAnsi="Times New Roman" w:cs="Times New Roman"/>
          <w:i w:val="0"/>
          <w:iCs w:val="0"/>
          <w:color w:val="0070C0"/>
        </w:rPr>
        <w:softHyphen/>
        <w:t>пытания двух построенных самолетов Ил-2 за №№ 4434 и 4435 в бою и после чего внедрить их в серийное производство» (19877).</w:t>
      </w:r>
    </w:p>
    <w:p w14:paraId="77F59CE8" w14:textId="77777777" w:rsidR="00770D72" w:rsidRPr="00722885" w:rsidRDefault="00770D72" w:rsidP="00722885">
      <w:pPr>
        <w:pStyle w:val="95"/>
        <w:shd w:val="clear" w:color="auto" w:fill="auto"/>
        <w:spacing w:after="0" w:line="240" w:lineRule="auto"/>
        <w:ind w:firstLine="0"/>
        <w:jc w:val="both"/>
        <w:rPr>
          <w:color w:val="0070C0"/>
          <w:sz w:val="16"/>
          <w:szCs w:val="16"/>
        </w:rPr>
      </w:pPr>
    </w:p>
    <w:p w14:paraId="6EC9C8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октября 1942 вышел приказ НКАП N 743, которым укрепили ОКБ С.А.Л. на 21 заводе (910).</w:t>
      </w:r>
    </w:p>
    <w:p w14:paraId="4E28FE3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укрепления ОКБ тов. С.А.Л. на заводе № 21 приказываю:</w:t>
      </w:r>
    </w:p>
    <w:p w14:paraId="15AD88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Зам. НКАП тов. Положанцеву к 10 октября 1942 передать на завод № 21 в ОКБ тов. С.А.Л. следующих конструкторов: Стрелков, Спивак, Олейник (завод № 82), Станиславский (82), Александер, Эмкин (156), Перлин. Елистратов, Денисова (ОКБ Гудкова, завод № 156), Соболева 918), Архангельского (84), Хисамутдинова (31)</w:t>
      </w:r>
    </w:p>
    <w:p w14:paraId="3D5B89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Нач. Инспекции тов. Волоконскому - взять под особый контроль выполнение настоящего приказа</w:t>
      </w:r>
    </w:p>
    <w:p w14:paraId="7BAD06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 А.И.Ш. (910,17).</w:t>
      </w:r>
    </w:p>
    <w:p w14:paraId="37DCB448" w14:textId="77777777" w:rsidR="00090C9B" w:rsidRPr="00722885" w:rsidRDefault="00090C9B" w:rsidP="00722885">
      <w:pPr>
        <w:pStyle w:val="Iauiue"/>
        <w:jc w:val="both"/>
        <w:rPr>
          <w:color w:val="000000" w:themeColor="text1"/>
          <w:sz w:val="16"/>
          <w:szCs w:val="16"/>
        </w:rPr>
      </w:pPr>
    </w:p>
    <w:p w14:paraId="28FCED9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октября 1942 приказ НКАП № 744 предписывал использовать на Ла-5 мотор М-82Ф (11123).</w:t>
      </w:r>
    </w:p>
    <w:p w14:paraId="0A34C0D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4D67D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октября 1942 вышел приказ НКАП N 744, в котором предложены меры по дальнейшему улучшению летных качеств самолета Ла-5 и директору завода 21 предложили на два Ла-5 установить М-82Ф с полетным весом не более 3000 кг со сроком представления - 1 экз. - к 1 ноября, а 2-го - к 20 ноября (910,25).</w:t>
      </w:r>
    </w:p>
    <w:p w14:paraId="539C54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дальнейшего улучшения летных качеств самолета Ла-5, приказываю:</w:t>
      </w:r>
    </w:p>
    <w:p w14:paraId="2F574C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Дир. Завода № 21 т. Агаджанову и ГК т. Лавочкину выпустить два эез. С-та Ла-5, установив на них моторы М-82Ф с полетным весом не более 3000 кг и следующим вооружением:</w:t>
      </w:r>
    </w:p>
    <w:p w14:paraId="4331A1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1хШВАК с боезапасом 160 снарядов</w:t>
      </w:r>
    </w:p>
    <w:p w14:paraId="61FAC9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1хУБС с боезапасом 200 патронов</w:t>
      </w:r>
    </w:p>
    <w:p w14:paraId="6D1BC1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самолете установить фонарь с передним плоским стеклом, устранающим искажения и обеспечивающим обзор назад</w:t>
      </w:r>
    </w:p>
    <w:p w14:paraId="5CD6FA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Срок предъявления с-та на госиспытания:</w:t>
      </w:r>
    </w:p>
    <w:p w14:paraId="3E667C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экз. - 1 ноября с.г.</w:t>
      </w:r>
    </w:p>
    <w:p w14:paraId="7CD31D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экз. - 20 ноября с.г.</w:t>
      </w:r>
    </w:p>
    <w:p w14:paraId="4A1192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Директору завода № 19 тов. Солдатову и ГК тов. Швецову - подать на завод № 21 для ОКБ С.А.Л. 4 мотора М-82Ф, из них:</w:t>
      </w:r>
    </w:p>
    <w:p w14:paraId="1F2AF0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мотора к 1 октября с.г., 2 - к 15 октября с.г.</w:t>
      </w:r>
    </w:p>
    <w:p w14:paraId="4D578D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 А.И.Ш. (910,25).</w:t>
      </w:r>
    </w:p>
    <w:p w14:paraId="32D5744E" w14:textId="77777777" w:rsidR="00090C9B" w:rsidRPr="00722885" w:rsidRDefault="00090C9B" w:rsidP="00722885">
      <w:pPr>
        <w:pStyle w:val="Iauiue"/>
        <w:jc w:val="both"/>
        <w:rPr>
          <w:color w:val="000000" w:themeColor="text1"/>
          <w:sz w:val="16"/>
          <w:szCs w:val="16"/>
        </w:rPr>
      </w:pPr>
    </w:p>
    <w:p w14:paraId="41DBB5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октября 1942-го Приказом НКАП предусматривалось: в целях улучшения качества машины выпустить два Ла-5 с мотором М-82Ф и вооружением из пушки и одного БС, установить на них фонарь с передним плоским стеклом, устраняющим искажение и обеспечивающим обзор назад (4573).</w:t>
      </w:r>
    </w:p>
    <w:p w14:paraId="24C6D9BC" w14:textId="77777777" w:rsidR="00090C9B" w:rsidRPr="00722885" w:rsidRDefault="00090C9B" w:rsidP="00722885">
      <w:pPr>
        <w:pStyle w:val="Iauiue"/>
        <w:jc w:val="both"/>
        <w:rPr>
          <w:color w:val="000000" w:themeColor="text1"/>
          <w:sz w:val="16"/>
          <w:szCs w:val="16"/>
        </w:rPr>
      </w:pPr>
    </w:p>
    <w:p w14:paraId="7B9BD2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октября 1942 вышел приказ НКАП N 745с "О реорганизации филиала завода 126 в Хабаровске в самостоятельный завод":</w:t>
      </w:r>
    </w:p>
    <w:p w14:paraId="23F38D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изменение приказа НКАП N 905с от 25 августа 1941:</w:t>
      </w:r>
    </w:p>
    <w:p w14:paraId="519188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Филиал завода 126 в Хабаровске (бывший завод 83) выделить из состава завода 126 в самостоятельный завод</w:t>
      </w:r>
    </w:p>
    <w:p w14:paraId="5730F4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Указанному заводу присвоить номер 83, подчинив его 10 ГУ</w:t>
      </w:r>
    </w:p>
    <w:p w14:paraId="0C2653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Обязать завод 83 выполнять заказы завода 126 по производству агрегатов для самолета Ил-4 и запасные части россыпью по самолету Ил-4 (1593,30).</w:t>
      </w:r>
    </w:p>
    <w:p w14:paraId="3552D5FF" w14:textId="77777777" w:rsidR="00090C9B" w:rsidRPr="00722885" w:rsidRDefault="00090C9B" w:rsidP="00722885">
      <w:pPr>
        <w:pStyle w:val="Iauiue"/>
        <w:jc w:val="both"/>
        <w:rPr>
          <w:color w:val="000000" w:themeColor="text1"/>
          <w:sz w:val="16"/>
          <w:szCs w:val="16"/>
        </w:rPr>
      </w:pPr>
    </w:p>
    <w:p w14:paraId="45E864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октября 1942 г. по приказу НКАП № 745с филиал был вновь выделен в самостоятельный ГС завод № 83 ЮГУ НКАП для производства агрегатов к Ил-4. Производство элеронов, посадочных щитков, рулей, законцовок крыла, створок бомболюка велось по 1945 г. В годы войны собирал также грузовики «Студебеккер» и «Додж», поставляемые по ленд-лизу.</w:t>
      </w:r>
    </w:p>
    <w:p w14:paraId="7F733C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годы войны производственные площади увеличены с 11,5 тыс.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до 17,5 тыс.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число рабочих увеличилось с 822 чел. До 2088 чел. Введены в строй литейный, кузнечный, деревоотделочный, электролитический цеха, установка для производства карбида кальция, газогенераторная и ацетиленовая станции.</w:t>
      </w:r>
      <w:r w:rsidRPr="00722885">
        <w:rPr>
          <w:rFonts w:ascii="Times New Roman" w:hAnsi="Times New Roman"/>
          <w:color w:val="000000" w:themeColor="text1"/>
          <w:sz w:val="16"/>
          <w:szCs w:val="16"/>
          <w:vertAlign w:val="superscript"/>
        </w:rPr>
        <w:t>90</w:t>
      </w:r>
    </w:p>
    <w:p w14:paraId="02ED3A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0260/ 442с от 13.11.1945 г. завод № 83 со всем имуществом и личным составом передан в ведение ГУ ГВФ. В 1946 г. завод был передан в ведение МСП (и, возможно, получил № 19).</w:t>
      </w:r>
    </w:p>
    <w:p w14:paraId="61D820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(11.1940 г.)-100 металлорежущих станков.</w:t>
      </w:r>
    </w:p>
    <w:p w14:paraId="3B7693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(11.03.1937-2.02.1938 г.)- И. Г. Мельник (снят), (2.02.1938 г.- П.П. Сотник, (1940 г.)- Прокофьев, (- 1941-44 г.-)- Муратов. И.О. директора (1945 г.)- Климов.</w:t>
      </w:r>
    </w:p>
    <w:p w14:paraId="4EF933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(06.1937 г.)- А.С. Попович.</w:t>
      </w:r>
    </w:p>
    <w:p w14:paraId="493BEB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(-06.1937-10.07.1938 г.)- А.С. Попович, (10.07.1938 г.-)- Н.И. Рыбин,</w:t>
      </w:r>
      <w:r w:rsidRPr="00722885">
        <w:rPr>
          <w:rFonts w:ascii="Times New Roman" w:hAnsi="Times New Roman"/>
          <w:color w:val="000000" w:themeColor="text1"/>
          <w:sz w:val="16"/>
          <w:szCs w:val="16"/>
          <w:vertAlign w:val="superscript"/>
        </w:rPr>
        <w:t>139</w:t>
      </w:r>
      <w:r w:rsidRPr="00722885">
        <w:rPr>
          <w:rFonts w:ascii="Times New Roman" w:hAnsi="Times New Roman"/>
          <w:color w:val="000000" w:themeColor="text1"/>
          <w:sz w:val="16"/>
          <w:szCs w:val="16"/>
        </w:rPr>
        <w:t xml:space="preserve"> В.М. Чинак (завод им. Горького) (11982).</w:t>
      </w:r>
    </w:p>
    <w:p w14:paraId="1ACE7B2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E56B54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F7503D0" w14:textId="77777777" w:rsidR="00090C9B" w:rsidRPr="00722885" w:rsidRDefault="00090C9B" w:rsidP="00722885">
      <w:pPr>
        <w:pStyle w:val="Iauiue"/>
        <w:jc w:val="both"/>
        <w:rPr>
          <w:iCs/>
          <w:color w:val="000000" w:themeColor="text1"/>
          <w:sz w:val="16"/>
          <w:szCs w:val="16"/>
        </w:rPr>
      </w:pPr>
    </w:p>
    <w:p w14:paraId="2720243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4 октября 1942 года вышел Приказ НКБ</w:t>
      </w:r>
    </w:p>
    <w:p w14:paraId="17195FA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Во исполнение распоряжения СНК за № РС 18398 от 26 сентября 1942 года и приказа наркома боеприпасов за № 740/С от 28 сентября 1942 года о выделении завода № 2 из состава комбината № 179 в самостоятельный завод № 677 (5752, 1-7).</w:t>
      </w:r>
    </w:p>
    <w:p w14:paraId="4376E960" w14:textId="77777777" w:rsidR="00090C9B" w:rsidRPr="00722885" w:rsidRDefault="00090C9B" w:rsidP="00722885">
      <w:pPr>
        <w:pStyle w:val="Iauiue"/>
        <w:tabs>
          <w:tab w:val="left" w:pos="11199"/>
        </w:tabs>
        <w:jc w:val="both"/>
        <w:rPr>
          <w:color w:val="000000" w:themeColor="text1"/>
          <w:sz w:val="16"/>
          <w:szCs w:val="16"/>
        </w:rPr>
      </w:pPr>
    </w:p>
    <w:p w14:paraId="43E3D6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4 октября 1942 вышло Постановление ГКО № 2369 О т. Клокове В.Я. (назначение) РГАНИР, Фонд ГКО, д. 61, лл. 1 (11012).</w:t>
      </w:r>
    </w:p>
    <w:p w14:paraId="16B06E2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97F12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октября 1942 вышло Постановление ГКО № 2370 О строительстве командного пункта-убежища. РГАНИР, Фонд ГКО, д. 61, лл. 2, 3-4 (11012).</w:t>
      </w:r>
    </w:p>
    <w:p w14:paraId="6AFA8E5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9348AD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FBFE42D" w14:textId="77777777" w:rsidR="00090C9B" w:rsidRPr="00722885" w:rsidRDefault="00090C9B" w:rsidP="00722885">
      <w:pPr>
        <w:pStyle w:val="Iauiue"/>
        <w:jc w:val="both"/>
        <w:rPr>
          <w:iCs/>
          <w:color w:val="000000" w:themeColor="text1"/>
          <w:sz w:val="16"/>
          <w:szCs w:val="16"/>
        </w:rPr>
      </w:pPr>
    </w:p>
    <w:p w14:paraId="5FA16C69"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4 октября </w:t>
      </w:r>
      <w:r w:rsidRPr="00722885">
        <w:rPr>
          <w:rFonts w:ascii="Times New Roman" w:hAnsi="Times New Roman"/>
          <w:color w:val="000000" w:themeColor="text1"/>
          <w:sz w:val="16"/>
          <w:szCs w:val="16"/>
        </w:rPr>
        <w:t>в 1942 году утреннее сообщение Совинформбюро:</w:t>
      </w:r>
    </w:p>
    <w:p w14:paraId="4EC8DEB9"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4 октября наши войска вели бои с противником в районе Сталинграда и в районе Моздока. На других фронтах никаких изменений не произошло.</w:t>
      </w:r>
    </w:p>
    <w:p w14:paraId="0B152C3D"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противника. Огнём артиллерии истреблено до 200 немецких солдат и офицеров, уничтожено 9 танков, 35 автомашин, 6 миномётных батарей и 7 станковых пулемётов. На одном из участков наши гвардейцы-миномётчики совершили успешный огневой налёт и вынудили противника поспешно отступить.</w:t>
      </w:r>
    </w:p>
    <w:p w14:paraId="464EC925"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часть под командованием тов. Макарчука разгромила 5 румынский пехотный полк. Захвачены 10 орудий, 30 пулемётов, винтовки, боеприпасы и разное военное имущество.</w:t>
      </w:r>
    </w:p>
    <w:p w14:paraId="578777FE"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на отдельных участках вели активные боевые действия. Н-ская часть захватила укреплённый рубеж немцев и уничтожила до роты гитлеровцев, 4 орудия, 7 пулемётов и 3 миномёта. Сожжено 3 вражеских танка. На другом участке бойцы подразделения противотанковых ружей подбили и сожгли 5 немецких танков и 3 автомашины противника.</w:t>
      </w:r>
    </w:p>
    <w:p w14:paraId="0313262A"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продолжались бои в одном населённом пункте, на окраину которого вчера прорвался противник. Бойцы Н-ской части, отбивая атаки гитлеровцев, подбили 2 танка и уничтожили более 100 немецких солдат и офицеров.</w:t>
      </w:r>
    </w:p>
    <w:p w14:paraId="10ABD966"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наши части в бою с противником разрушили 10 ДЗОТ'ов и истребили до двух рот немецкой пехоты. Наши бойцы овладели железнодорожным мостом и ведут бои на подступах к одному населённому пункту. Захвачены 6 миномётов, 200 винтовок, 100 тысяч патронов, 2.000 мин и другие трофеи. На другом участке пехота и танки противника вклинились в нашу оборону. Решительными контратаками, переходившими в рукопашные схватки, продвижение немцев приостановлено.</w:t>
      </w:r>
    </w:p>
    <w:p w14:paraId="2BBFE41E"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одну из станций, где стоял наш бронепоезд, налетела группа вражеских бомбардировщиков. Бойцы бронепоезда под командованием старшего лейтенанта Расторгуева и военкома политрука Яковлева сбили два немецких самолёта. Под бомбёжкой врага воентехник 2 ранга Ситников и красноармейцы тт. Горев, Богданов и Бабов вывели в безопасное место и тем самым спасли 150 вагонов, груженных хлебом.</w:t>
      </w:r>
    </w:p>
    <w:p w14:paraId="7B9F1701"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Около разъезда У. партизаны пустили под откос поезд немецко-фашистских оккупантов. Уничтожено 4 вагона с солдатами и офицерами карательного отряда и 2 платформы с оружием и боеприпасами.</w:t>
      </w:r>
    </w:p>
    <w:p w14:paraId="214285D7"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солдат 170 немецкой пехотной дивизии Адольф X. рассказал: «Я прожил месяц в Первомайске, на Украине. В этом городе немецкие военные власти устроили массовую резню мирного населения. По приказу коменданта солдаты погнали несколько тысяч жителей за город к противотанковым рвам и расстреляли их. Перед расстрелом солдаты грабили свои жертвы, раздевали их догола. В расстрелах принимали участие не только немецкие солдаты, но и штатские немцы, приехавшие из Германии управлять оккупированными районами. Командир отряда штурмовиков города Дюссельдорфа Гельмут Бенцен хвастал, что он собственноручно убил семь мирных граждан. Все эти факты могут подтвердить солдаты Эдвин Шауэр, Якоб Гильден и Губерт Майер».</w:t>
      </w:r>
    </w:p>
    <w:p w14:paraId="101541FB"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Голландские патриоты ведут самоотверженную борьбу против немецких захватчиков. В городе Гааге за последнее время без вести пропали 32 солдата и 3 офицера немецкого гарнизона. В Утрехте патриоты ночью остановили автомобиль с немецкими офицерами, убили четырёх гитлеровцев и захватили их оружие. В конце сентября из канала Эй в Амстердаме было извлечено 6 трупов немецких солдат.» (14789).</w:t>
      </w:r>
    </w:p>
    <w:p w14:paraId="1A90E87E"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4433E6FD"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4 октября </w:t>
      </w:r>
      <w:r w:rsidRPr="00722885">
        <w:rPr>
          <w:rFonts w:ascii="Times New Roman" w:hAnsi="Times New Roman"/>
          <w:color w:val="000000" w:themeColor="text1"/>
          <w:sz w:val="16"/>
          <w:szCs w:val="16"/>
        </w:rPr>
        <w:t>в 1942 году вечернее сообщение Совинформбюро:</w:t>
      </w:r>
    </w:p>
    <w:p w14:paraId="1631611D"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4 октября наши войска вели бои с противником в районе Сталинграда и в районе Моздока. На других фронтах существенных изменений не произошло.</w:t>
      </w:r>
    </w:p>
    <w:p w14:paraId="7F6749E8"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27 сентября по 3 октября включительно, в воздушных боях, на аэродромах и огнём зенитной артиллерии уничтожено 257 немецких самолётов. Наши потери за это же время— 137 самолётов.</w:t>
      </w:r>
    </w:p>
    <w:p w14:paraId="388B4836"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 октября частями нашей авиации на различных участках фронта уничтожено или повреждено 12 немецких танков, до 40 автомашин с войсками, взорвано 3 склада боеприпасов, разбит железнодорожный состав, подавлен огонь 8 артиллерийских батарей, рассеяно и частью уничтожено до роты пехоты противника.</w:t>
      </w:r>
    </w:p>
    <w:p w14:paraId="525E0E11"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Противник силами пехоты и танков непрерывно атакует наши позиции. Два батальона немецкой пехоты при поддержке танков в течение дня шесть раз атаковали позиции Н-ской части. Наши бойцы при поддержке артиллерии отбили все атаки гитлеровцев и уничтожили до 200 солдат и офицеров противника. Немцы пытались захватить ДЗОТ, в котором находился красноармеец т. Назарьян. Отважный боец хладнокровно расстреливал наседавших на него гитлеровцев. Одного за другим он истребил 17 немецких солдат и отстаивал ДЗОТ до тех пор, пока к нему не были присланы другие бойцы. На другом участке огнём наших гвардейцев-миномётчиков сожжено 4 немецких танка, подавлены 3 миномётные батареи, разрушено 7 ДЗОТ'ов и уничтожено до трёх рот немецкой пехоты.</w:t>
      </w:r>
    </w:p>
    <w:p w14:paraId="7D4E82D4"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одном из участков наши войска вели активные боевые действия. В боях за высоту бойцы Н-ской части подбили 2 немецких танка и истребили до 150 вражеских солдат и офицеров. Захвачены орудие, 8 пулемётов, 4 миномёта и боеприпасы. Группа наших разведчиков совершила смелый налёт на командный пункт одной части противника и захватила важные штабные документы.</w:t>
      </w:r>
    </w:p>
    <w:p w14:paraId="47FE0B5B"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продолжались бои в одном населённом пункте. Бойцы Н-ской части в течение дня отбили шесть атак пехоты и танков противника. Подбито 7 немецких танков и уничтожено до двух рот гитлеровцев. Миномётчики под командованием т. Бакадзе истребили до 100 гитлеровцев и уничтожили 6 автомашин и станковый пулемёт с расчётом.</w:t>
      </w:r>
    </w:p>
    <w:p w14:paraId="78068423"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 одном из участков наши пехотинцы и танкисты смелой атакой ворвались в расположение противника. Сломив упорное сопротивление гитлеровцев, наши части захватили оборонительный рубеж. В результате боёв за день уничтожено до 1.800 солдат и офицеров противника. Взяты трофеи и пленные.</w:t>
      </w:r>
    </w:p>
    <w:p w14:paraId="2D082A01"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лейтенант 10 полка 6 румынской пехотной дивизии Ион Верде рассказал: «В прошлогодних боях нашу дивизию разбили наголову. Жалкие её остатки были отведены в тыл. Там дивизия получила пополнение из солдат старших возрастов. Их кое-как обучили, и вскоре дивизию снова отправили на фронт. Накануне отъезда два солдата из отдельной миномётной роты повесились в казарме. 40 человек из полка дезертировали. Немцы бросили нашу дивизию на опасный участок фронта, и она впервые же дни потеряла только убитыми свыше 2.000 человек».</w:t>
      </w:r>
    </w:p>
    <w:p w14:paraId="2D40226F"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5 роты 254 полка 110 немецкой пехотной дивизии Рудольф Цепэк рассказал: «В деревнях, где я был, все русские носят номера. Немецкие комендатуры придумали это для того, чтобы унизить русских. Без номера ни один русский не имеет права показаться на улице. Выходить из деревни запрещено.</w:t>
      </w:r>
    </w:p>
    <w:p w14:paraId="1075CD66"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военные власти опасаются, что жители убегут к партизанам, и поэтому контролируют дороги, входы и выходы из крупных населённых пунктов».</w:t>
      </w:r>
    </w:p>
    <w:p w14:paraId="12558A10"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обрекли на голодную смерть население Макеевки (Донбасс). Все магазины и рынки закрыты. Жителям под страхом смертной казни запрещено выходить за черту города. В конце сентября гитлеровцы схватили 23 жителя Макеевки, которые шли в ближайшие деревни в надежде достать там продовольствие. Все они были расстреляны. За попытку уйти из Макеевки гитлеровцы повесили на телефонных столбах рабочего металлургического завода 55-летнего Редько Назара Алексеевича, мать четырёх детей Чуйко Анастасию Георгиевну и 14-летнего Лёву Петренко.» (14789).</w:t>
      </w:r>
    </w:p>
    <w:p w14:paraId="769E50A4"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328892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ок</w:t>
      </w:r>
      <w:r w:rsidRPr="00722885">
        <w:rPr>
          <w:color w:val="000000" w:themeColor="text1"/>
          <w:sz w:val="16"/>
          <w:szCs w:val="16"/>
        </w:rPr>
        <w:softHyphen/>
        <w:t>тября 1942 г. с целью отработки тактики боевых действий больших групп самолетов на поле боя и выработки основ оператив</w:t>
      </w:r>
      <w:r w:rsidRPr="00722885">
        <w:rPr>
          <w:color w:val="000000" w:themeColor="text1"/>
          <w:sz w:val="16"/>
          <w:szCs w:val="16"/>
        </w:rPr>
        <w:softHyphen/>
        <w:t>ного применения их в операциях под общим руководством заместителя командующего ВВС КА ге</w:t>
      </w:r>
      <w:r w:rsidRPr="00722885">
        <w:rPr>
          <w:color w:val="000000" w:themeColor="text1"/>
          <w:sz w:val="16"/>
          <w:szCs w:val="16"/>
        </w:rPr>
        <w:softHyphen/>
        <w:t>нерала Г.А.Ворожейкина на одном из подмосковных полигонов были проведе</w:t>
      </w:r>
      <w:r w:rsidRPr="00722885">
        <w:rPr>
          <w:color w:val="000000" w:themeColor="text1"/>
          <w:sz w:val="16"/>
          <w:szCs w:val="16"/>
        </w:rPr>
        <w:softHyphen/>
        <w:t>ны двусторонние летно-тактические уче</w:t>
      </w:r>
      <w:r w:rsidRPr="00722885">
        <w:rPr>
          <w:color w:val="000000" w:themeColor="text1"/>
          <w:sz w:val="16"/>
          <w:szCs w:val="16"/>
        </w:rPr>
        <w:softHyphen/>
        <w:t>ния. К учению привлекались 1-й бом</w:t>
      </w:r>
      <w:r w:rsidRPr="00722885">
        <w:rPr>
          <w:color w:val="000000" w:themeColor="text1"/>
          <w:sz w:val="16"/>
          <w:szCs w:val="16"/>
        </w:rPr>
        <w:softHyphen/>
        <w:t>бардировочный (командир генерал-лей</w:t>
      </w:r>
      <w:r w:rsidRPr="00722885">
        <w:rPr>
          <w:color w:val="000000" w:themeColor="text1"/>
          <w:sz w:val="16"/>
          <w:szCs w:val="16"/>
        </w:rPr>
        <w:softHyphen/>
        <w:t>тенант авиации В.А.Судец), 1-й штурмо</w:t>
      </w:r>
      <w:r w:rsidRPr="00722885">
        <w:rPr>
          <w:color w:val="000000" w:themeColor="text1"/>
          <w:sz w:val="16"/>
          <w:szCs w:val="16"/>
        </w:rPr>
        <w:softHyphen/>
        <w:t>вой (генерал-майор авиации В.Г.Ряза</w:t>
      </w:r>
      <w:r w:rsidRPr="00722885">
        <w:rPr>
          <w:color w:val="000000" w:themeColor="text1"/>
          <w:sz w:val="16"/>
          <w:szCs w:val="16"/>
        </w:rPr>
        <w:softHyphen/>
        <w:t>нов) и 1-й истребительный (генерал-майор авиации Е.М.Белецкий) авиаци</w:t>
      </w:r>
      <w:r w:rsidRPr="00722885">
        <w:rPr>
          <w:color w:val="000000" w:themeColor="text1"/>
          <w:sz w:val="16"/>
          <w:szCs w:val="16"/>
        </w:rPr>
        <w:softHyphen/>
        <w:t>онные корпуса, всего 7 авиадивизий.</w:t>
      </w:r>
    </w:p>
    <w:p w14:paraId="3C709E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учении был отработан порядок действий бомбардировочной и штурмо</w:t>
      </w:r>
      <w:r w:rsidRPr="00722885">
        <w:rPr>
          <w:color w:val="000000" w:themeColor="text1"/>
          <w:sz w:val="16"/>
          <w:szCs w:val="16"/>
        </w:rPr>
        <w:softHyphen/>
        <w:t>вой авиации при прорыве наземными войсками обороны противника, а также действия истребителей при срыве уда</w:t>
      </w:r>
      <w:r w:rsidRPr="00722885">
        <w:rPr>
          <w:color w:val="000000" w:themeColor="text1"/>
          <w:sz w:val="16"/>
          <w:szCs w:val="16"/>
        </w:rPr>
        <w:softHyphen/>
        <w:t>ров бомбардировщиков противника.</w:t>
      </w:r>
    </w:p>
    <w:p w14:paraId="478C5D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Результаты учения обсуждались 6 октября на совещании у Ворожейкина. На совещании присутствовал И.В.Сталин.</w:t>
      </w:r>
    </w:p>
    <w:p w14:paraId="6EF3AA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Опыт проведения учения позволил вскрыть ряд серьезных недостатков в ин</w:t>
      </w:r>
      <w:r w:rsidRPr="00722885">
        <w:rPr>
          <w:color w:val="000000" w:themeColor="text1"/>
          <w:sz w:val="16"/>
          <w:szCs w:val="16"/>
        </w:rPr>
        <w:softHyphen/>
        <w:t>дивидуальной подготовке летчиков-штурмовиков и в тактике боевого при</w:t>
      </w:r>
      <w:r w:rsidRPr="00722885">
        <w:rPr>
          <w:color w:val="000000" w:themeColor="text1"/>
          <w:sz w:val="16"/>
          <w:szCs w:val="16"/>
        </w:rPr>
        <w:softHyphen/>
        <w:t>менения Ил-2, имеющих место и в ре</w:t>
      </w:r>
      <w:r w:rsidRPr="00722885">
        <w:rPr>
          <w:color w:val="000000" w:themeColor="text1"/>
          <w:sz w:val="16"/>
          <w:szCs w:val="16"/>
        </w:rPr>
        <w:softHyphen/>
        <w:t>альных боевых условиях, а именно: ма</w:t>
      </w:r>
      <w:r w:rsidRPr="00722885">
        <w:rPr>
          <w:color w:val="000000" w:themeColor="text1"/>
          <w:sz w:val="16"/>
          <w:szCs w:val="16"/>
        </w:rPr>
        <w:softHyphen/>
        <w:t>лое время пребывания над целью (1-2 захода на цель), чрезмерно большие ди</w:t>
      </w:r>
      <w:r w:rsidRPr="00722885">
        <w:rPr>
          <w:color w:val="000000" w:themeColor="text1"/>
          <w:sz w:val="16"/>
          <w:szCs w:val="16"/>
        </w:rPr>
        <w:softHyphen/>
        <w:t>станции в боевом порядке "круг само</w:t>
      </w:r>
      <w:r w:rsidRPr="00722885">
        <w:rPr>
          <w:color w:val="000000" w:themeColor="text1"/>
          <w:sz w:val="16"/>
          <w:szCs w:val="16"/>
        </w:rPr>
        <w:softHyphen/>
        <w:t>летов", увеличенные (до 600-800 м) даль</w:t>
      </w:r>
      <w:r w:rsidRPr="00722885">
        <w:rPr>
          <w:color w:val="000000" w:themeColor="text1"/>
          <w:sz w:val="16"/>
          <w:szCs w:val="16"/>
        </w:rPr>
        <w:softHyphen/>
        <w:t>ности открытия огня из стрелково-пушечного вооружения по целям, суще</w:t>
      </w:r>
      <w:r w:rsidRPr="00722885">
        <w:rPr>
          <w:color w:val="000000" w:themeColor="text1"/>
          <w:sz w:val="16"/>
          <w:szCs w:val="16"/>
        </w:rPr>
        <w:softHyphen/>
        <w:t>ственно снижающих его действенность, недостаточное умение летного состава применять по наземной цели стрелково-пушечное, ракетное и бомбовое воо</w:t>
      </w:r>
      <w:r w:rsidRPr="00722885">
        <w:rPr>
          <w:color w:val="000000" w:themeColor="text1"/>
          <w:sz w:val="16"/>
          <w:szCs w:val="16"/>
        </w:rPr>
        <w:softHyphen/>
        <w:t>ружение, неправильный выбор направ</w:t>
      </w:r>
      <w:r w:rsidRPr="00722885">
        <w:rPr>
          <w:color w:val="000000" w:themeColor="text1"/>
          <w:sz w:val="16"/>
          <w:szCs w:val="16"/>
        </w:rPr>
        <w:softHyphen/>
        <w:t>ления захода при атаке целей, неуме</w:t>
      </w:r>
      <w:r w:rsidRPr="00722885">
        <w:rPr>
          <w:color w:val="000000" w:themeColor="text1"/>
          <w:sz w:val="16"/>
          <w:szCs w:val="16"/>
        </w:rPr>
        <w:softHyphen/>
        <w:t>лое использование экипажами условий местности при отходе от цели и т.д.</w:t>
      </w:r>
    </w:p>
    <w:p w14:paraId="14D3FD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Сталин потребовал, чтобы штурмови</w:t>
      </w:r>
      <w:r w:rsidRPr="00722885">
        <w:rPr>
          <w:color w:val="000000" w:themeColor="text1"/>
          <w:sz w:val="16"/>
          <w:szCs w:val="16"/>
        </w:rPr>
        <w:softHyphen/>
        <w:t>ки каждой группы действовали над це</w:t>
      </w:r>
      <w:r w:rsidRPr="00722885">
        <w:rPr>
          <w:color w:val="000000" w:themeColor="text1"/>
          <w:sz w:val="16"/>
          <w:szCs w:val="16"/>
        </w:rPr>
        <w:softHyphen/>
        <w:t>лью не менее 15-20 минут, поочередно сменяя друг друга.</w:t>
      </w:r>
    </w:p>
    <w:p w14:paraId="239FB5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ходе обсуждения итогов учения были высказаны предложения о необ</w:t>
      </w:r>
      <w:r w:rsidRPr="00722885">
        <w:rPr>
          <w:color w:val="000000" w:themeColor="text1"/>
          <w:sz w:val="16"/>
          <w:szCs w:val="16"/>
        </w:rPr>
        <w:softHyphen/>
        <w:t>ходимости изменения порядка восста</w:t>
      </w:r>
      <w:r w:rsidRPr="00722885">
        <w:rPr>
          <w:color w:val="000000" w:themeColor="text1"/>
          <w:sz w:val="16"/>
          <w:szCs w:val="16"/>
        </w:rPr>
        <w:softHyphen/>
        <w:t>новления потерь. Было признано необ</w:t>
      </w:r>
      <w:r w:rsidRPr="00722885">
        <w:rPr>
          <w:color w:val="000000" w:themeColor="text1"/>
          <w:sz w:val="16"/>
          <w:szCs w:val="16"/>
        </w:rPr>
        <w:softHyphen/>
        <w:t>ходимым, сократить отправку на фронт вновь сформированных полков, шире применять восполнение потерь "россы</w:t>
      </w:r>
      <w:r w:rsidRPr="00722885">
        <w:rPr>
          <w:color w:val="000000" w:themeColor="text1"/>
          <w:sz w:val="16"/>
          <w:szCs w:val="16"/>
        </w:rPr>
        <w:softHyphen/>
        <w:t>пью", направляя в обученные боевые полки самолеты и экипажи из запасных авиаполков.</w:t>
      </w:r>
    </w:p>
    <w:p w14:paraId="4110A6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Подводя итоги совещания, Сталин приказал перед отправкой на фронт авиационных частей и соединений РВГК обязательно проводить с ними летно-тактические </w:t>
      </w:r>
      <w:r w:rsidRPr="00722885">
        <w:rPr>
          <w:color w:val="000000" w:themeColor="text1"/>
          <w:sz w:val="16"/>
          <w:szCs w:val="16"/>
        </w:rPr>
        <w:lastRenderedPageBreak/>
        <w:t>учения на полигонах, а уче</w:t>
      </w:r>
      <w:r w:rsidRPr="00722885">
        <w:rPr>
          <w:color w:val="000000" w:themeColor="text1"/>
          <w:sz w:val="16"/>
          <w:szCs w:val="16"/>
        </w:rPr>
        <w:softHyphen/>
        <w:t xml:space="preserve">ния 1-го </w:t>
      </w:r>
      <w:r w:rsidRPr="00722885">
        <w:rPr>
          <w:iCs/>
          <w:color w:val="000000" w:themeColor="text1"/>
          <w:sz w:val="16"/>
          <w:szCs w:val="16"/>
        </w:rPr>
        <w:t>иак,</w:t>
      </w:r>
      <w:r w:rsidRPr="00722885">
        <w:rPr>
          <w:color w:val="000000" w:themeColor="text1"/>
          <w:sz w:val="16"/>
          <w:szCs w:val="16"/>
        </w:rPr>
        <w:t xml:space="preserve"> 1 -го </w:t>
      </w:r>
      <w:r w:rsidRPr="00722885">
        <w:rPr>
          <w:iCs/>
          <w:color w:val="000000" w:themeColor="text1"/>
          <w:sz w:val="16"/>
          <w:szCs w:val="16"/>
        </w:rPr>
        <w:t>шак</w:t>
      </w:r>
      <w:r w:rsidRPr="00722885">
        <w:rPr>
          <w:color w:val="000000" w:themeColor="text1"/>
          <w:sz w:val="16"/>
          <w:szCs w:val="16"/>
        </w:rPr>
        <w:t xml:space="preserve"> и 1 -го </w:t>
      </w:r>
      <w:r w:rsidRPr="00722885">
        <w:rPr>
          <w:iCs/>
          <w:color w:val="000000" w:themeColor="text1"/>
          <w:sz w:val="16"/>
          <w:szCs w:val="16"/>
        </w:rPr>
        <w:t>бак</w:t>
      </w:r>
      <w:r w:rsidRPr="00722885">
        <w:rPr>
          <w:color w:val="000000" w:themeColor="text1"/>
          <w:sz w:val="16"/>
          <w:szCs w:val="16"/>
        </w:rPr>
        <w:t xml:space="preserve"> прове</w:t>
      </w:r>
      <w:r w:rsidRPr="00722885">
        <w:rPr>
          <w:color w:val="000000" w:themeColor="text1"/>
          <w:sz w:val="16"/>
          <w:szCs w:val="16"/>
        </w:rPr>
        <w:softHyphen/>
        <w:t xml:space="preserve">сти повторно 10 октября. </w:t>
      </w:r>
      <w:r w:rsidRPr="00722885">
        <w:rPr>
          <w:iCs/>
          <w:color w:val="000000" w:themeColor="text1"/>
          <w:sz w:val="16"/>
          <w:szCs w:val="16"/>
        </w:rPr>
        <w:t>"Зато в бою будет меньше потерь", -</w:t>
      </w:r>
      <w:r w:rsidRPr="00722885">
        <w:rPr>
          <w:color w:val="000000" w:themeColor="text1"/>
          <w:sz w:val="16"/>
          <w:szCs w:val="16"/>
        </w:rPr>
        <w:t xml:space="preserve"> аргументиро</w:t>
      </w:r>
      <w:r w:rsidRPr="00722885">
        <w:rPr>
          <w:color w:val="000000" w:themeColor="text1"/>
          <w:sz w:val="16"/>
          <w:szCs w:val="16"/>
        </w:rPr>
        <w:softHyphen/>
        <w:t>вал свое решение Верховный.</w:t>
      </w:r>
    </w:p>
    <w:p w14:paraId="36CF12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Выводы и рекомендации по улучше</w:t>
      </w:r>
      <w:r w:rsidRPr="00722885">
        <w:rPr>
          <w:color w:val="000000" w:themeColor="text1"/>
          <w:sz w:val="16"/>
          <w:szCs w:val="16"/>
        </w:rPr>
        <w:softHyphen/>
        <w:t>нию боевого использования штурмови</w:t>
      </w:r>
      <w:r w:rsidRPr="00722885">
        <w:rPr>
          <w:color w:val="000000" w:themeColor="text1"/>
          <w:sz w:val="16"/>
          <w:szCs w:val="16"/>
        </w:rPr>
        <w:softHyphen/>
        <w:t>ков Ил-2, сделанные на совещании у Ворожейкина, были разосланы во все воздушные армии фронтов. Кроме это</w:t>
      </w:r>
      <w:r w:rsidRPr="00722885">
        <w:rPr>
          <w:color w:val="000000" w:themeColor="text1"/>
          <w:sz w:val="16"/>
          <w:szCs w:val="16"/>
        </w:rPr>
        <w:softHyphen/>
        <w:t>го, был разработан и издан проект "Ру</w:t>
      </w:r>
      <w:r w:rsidRPr="00722885">
        <w:rPr>
          <w:color w:val="000000" w:themeColor="text1"/>
          <w:sz w:val="16"/>
          <w:szCs w:val="16"/>
        </w:rPr>
        <w:softHyphen/>
        <w:t>ководства по боевым действиям штур</w:t>
      </w:r>
      <w:r w:rsidRPr="00722885">
        <w:rPr>
          <w:color w:val="000000" w:themeColor="text1"/>
          <w:sz w:val="16"/>
          <w:szCs w:val="16"/>
        </w:rPr>
        <w:softHyphen/>
        <w:t>мовой авиации".</w:t>
      </w:r>
    </w:p>
    <w:p w14:paraId="410588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К сожалению, обстановка на фронтах не позволила "прогнать" 1 -и </w:t>
      </w:r>
      <w:r w:rsidRPr="00722885">
        <w:rPr>
          <w:iCs/>
          <w:color w:val="000000" w:themeColor="text1"/>
          <w:sz w:val="16"/>
          <w:szCs w:val="16"/>
        </w:rPr>
        <w:t>шак,</w:t>
      </w:r>
      <w:r w:rsidRPr="00722885">
        <w:rPr>
          <w:color w:val="000000" w:themeColor="text1"/>
          <w:sz w:val="16"/>
          <w:szCs w:val="16"/>
        </w:rPr>
        <w:t xml:space="preserve"> 1 -и </w:t>
      </w:r>
      <w:r w:rsidRPr="00722885">
        <w:rPr>
          <w:iCs/>
          <w:color w:val="000000" w:themeColor="text1"/>
          <w:sz w:val="16"/>
          <w:szCs w:val="16"/>
        </w:rPr>
        <w:t xml:space="preserve">бак </w:t>
      </w:r>
      <w:r w:rsidRPr="00722885">
        <w:rPr>
          <w:color w:val="000000" w:themeColor="text1"/>
          <w:sz w:val="16"/>
          <w:szCs w:val="16"/>
        </w:rPr>
        <w:t xml:space="preserve">и 1-й </w:t>
      </w:r>
      <w:r w:rsidRPr="00722885">
        <w:rPr>
          <w:iCs/>
          <w:color w:val="000000" w:themeColor="text1"/>
          <w:sz w:val="16"/>
          <w:szCs w:val="16"/>
        </w:rPr>
        <w:t>иак</w:t>
      </w:r>
      <w:r w:rsidRPr="00722885">
        <w:rPr>
          <w:color w:val="000000" w:themeColor="text1"/>
          <w:sz w:val="16"/>
          <w:szCs w:val="16"/>
        </w:rPr>
        <w:t xml:space="preserve"> повторно через летно-тактические учения, а вновь сформированные 1-й, 2-й и 3-й смешанные и 2-й бомбар</w:t>
      </w:r>
      <w:r w:rsidRPr="00722885">
        <w:rPr>
          <w:color w:val="000000" w:themeColor="text1"/>
          <w:sz w:val="16"/>
          <w:szCs w:val="16"/>
        </w:rPr>
        <w:softHyphen/>
        <w:t>дировочный авиакорпуса были броше</w:t>
      </w:r>
      <w:r w:rsidRPr="00722885">
        <w:rPr>
          <w:color w:val="000000" w:themeColor="text1"/>
          <w:sz w:val="16"/>
          <w:szCs w:val="16"/>
        </w:rPr>
        <w:softHyphen/>
        <w:t>ны в бой, когда еще не была закончена подготовка летного состава, сколачива</w:t>
      </w:r>
      <w:r w:rsidRPr="00722885">
        <w:rPr>
          <w:color w:val="000000" w:themeColor="text1"/>
          <w:sz w:val="16"/>
          <w:szCs w:val="16"/>
        </w:rPr>
        <w:softHyphen/>
        <w:t>ние частей и отработка боевого при</w:t>
      </w:r>
      <w:r w:rsidRPr="00722885">
        <w:rPr>
          <w:color w:val="000000" w:themeColor="text1"/>
          <w:sz w:val="16"/>
          <w:szCs w:val="16"/>
        </w:rPr>
        <w:softHyphen/>
        <w:t>менения. Частям соединений пришлось доучиваться на фронте. В итоге все авиаполки этих соединений понесли большие потери в летном составе и самолетах (6467).</w:t>
      </w:r>
    </w:p>
    <w:p w14:paraId="0C47D6BD" w14:textId="77777777" w:rsidR="00090C9B" w:rsidRPr="00722885" w:rsidRDefault="00090C9B" w:rsidP="00722885">
      <w:pPr>
        <w:pStyle w:val="Iauiue"/>
        <w:jc w:val="both"/>
        <w:rPr>
          <w:color w:val="000000" w:themeColor="text1"/>
          <w:sz w:val="16"/>
          <w:szCs w:val="16"/>
        </w:rPr>
      </w:pPr>
    </w:p>
    <w:p w14:paraId="3B05D6F2"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4, 1942: At Stalingrad, XIV.Panzerkorps (von Wietersheim) launches an attack in force to capture the Tractor Factory in the northern part of the city (3819).</w:t>
      </w:r>
    </w:p>
    <w:p w14:paraId="6A13C3EC" w14:textId="77777777" w:rsidR="00090C9B" w:rsidRPr="00722885" w:rsidRDefault="00090C9B" w:rsidP="00722885">
      <w:pPr>
        <w:pStyle w:val="Iauiue"/>
        <w:jc w:val="both"/>
        <w:rPr>
          <w:color w:val="000000" w:themeColor="text1"/>
          <w:sz w:val="16"/>
          <w:szCs w:val="16"/>
          <w:lang w:val="en-US"/>
        </w:rPr>
      </w:pPr>
    </w:p>
    <w:p w14:paraId="135035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октября 1942 в Сталинграде части 14ТК начали атаки с целью захвата Тракторного завода в северной части города (3819).</w:t>
      </w:r>
    </w:p>
    <w:p w14:paraId="07310B2F" w14:textId="77777777" w:rsidR="00090C9B" w:rsidRPr="00722885" w:rsidRDefault="00090C9B" w:rsidP="00722885">
      <w:pPr>
        <w:pStyle w:val="Iauiue"/>
        <w:jc w:val="both"/>
        <w:rPr>
          <w:color w:val="000000" w:themeColor="text1"/>
          <w:sz w:val="16"/>
          <w:szCs w:val="16"/>
        </w:rPr>
      </w:pPr>
    </w:p>
    <w:p w14:paraId="7F86AD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октября 1942 г. четыре финские “Чайки” вылетели на разведку в Финский залив. В районе острова Аавенсаари финскую группу встретили советские “Чайки”, базирующиеся здесь. В последовавшем воздушном бою один из финских истребителей (IT-17) был сбит. Потерю восполнили очередным поступлением из ремонта (6592).</w:t>
      </w:r>
    </w:p>
    <w:p w14:paraId="6CC9D6EC" w14:textId="77777777" w:rsidR="00090C9B" w:rsidRPr="00722885" w:rsidRDefault="00090C9B" w:rsidP="00722885">
      <w:pPr>
        <w:pStyle w:val="Iauiue"/>
        <w:jc w:val="both"/>
        <w:rPr>
          <w:color w:val="000000" w:themeColor="text1"/>
          <w:sz w:val="16"/>
          <w:szCs w:val="16"/>
        </w:rPr>
      </w:pPr>
    </w:p>
    <w:p w14:paraId="1647068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3DD17CEC" w14:textId="77777777" w:rsidR="00090C9B" w:rsidRPr="00722885" w:rsidRDefault="00090C9B" w:rsidP="00722885">
      <w:pPr>
        <w:pStyle w:val="Iauiue"/>
        <w:jc w:val="both"/>
        <w:rPr>
          <w:iCs/>
          <w:color w:val="000000" w:themeColor="text1"/>
          <w:sz w:val="16"/>
          <w:szCs w:val="16"/>
        </w:rPr>
      </w:pPr>
    </w:p>
    <w:p w14:paraId="28B23F7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октября 1942 посол СССР в Лондоне И. Майский официально обратился к правительству Великобритании по по</w:t>
      </w:r>
      <w:r w:rsidRPr="00722885">
        <w:rPr>
          <w:rFonts w:ascii="Times New Roman" w:hAnsi="Times New Roman"/>
          <w:color w:val="000000" w:themeColor="text1"/>
          <w:sz w:val="16"/>
          <w:szCs w:val="16"/>
        </w:rPr>
        <w:softHyphen/>
        <w:t>воду возможности предоставления ис</w:t>
      </w:r>
      <w:r w:rsidRPr="00722885">
        <w:rPr>
          <w:rFonts w:ascii="Times New Roman" w:hAnsi="Times New Roman"/>
          <w:color w:val="000000" w:themeColor="text1"/>
          <w:sz w:val="16"/>
          <w:szCs w:val="16"/>
        </w:rPr>
        <w:softHyphen/>
        <w:t>требителей этого типа. Через пять дней поступил ответ Черчилля о выделении 150 машин и еще 50 - на запчасти. Последнее объяснялось тем, что в со</w:t>
      </w:r>
      <w:r w:rsidRPr="00722885">
        <w:rPr>
          <w:rFonts w:ascii="Times New Roman" w:hAnsi="Times New Roman"/>
          <w:color w:val="000000" w:themeColor="text1"/>
          <w:sz w:val="16"/>
          <w:szCs w:val="16"/>
        </w:rPr>
        <w:softHyphen/>
        <w:t>ветской авиации практиковалась сбор</w:t>
      </w:r>
      <w:r w:rsidRPr="00722885">
        <w:rPr>
          <w:rFonts w:ascii="Times New Roman" w:hAnsi="Times New Roman"/>
          <w:color w:val="000000" w:themeColor="text1"/>
          <w:sz w:val="16"/>
          <w:szCs w:val="16"/>
        </w:rPr>
        <w:softHyphen/>
        <w:t>ка запчастей в индивидуальные (в рас</w:t>
      </w:r>
      <w:r w:rsidRPr="00722885">
        <w:rPr>
          <w:rFonts w:ascii="Times New Roman" w:hAnsi="Times New Roman"/>
          <w:color w:val="000000" w:themeColor="text1"/>
          <w:sz w:val="16"/>
          <w:szCs w:val="16"/>
        </w:rPr>
        <w:softHyphen/>
        <w:t>чете на один самолет) и групповые (на партию) комплекты. Из Англии же вме</w:t>
      </w:r>
      <w:r w:rsidRPr="00722885">
        <w:rPr>
          <w:rFonts w:ascii="Times New Roman" w:hAnsi="Times New Roman"/>
          <w:color w:val="000000" w:themeColor="text1"/>
          <w:sz w:val="16"/>
          <w:szCs w:val="16"/>
        </w:rPr>
        <w:softHyphen/>
        <w:t>сто групповых комплектов высылали дополнительные самолеты, обычно из</w:t>
      </w:r>
      <w:r w:rsidRPr="00722885">
        <w:rPr>
          <w:rFonts w:ascii="Times New Roman" w:hAnsi="Times New Roman"/>
          <w:color w:val="000000" w:themeColor="text1"/>
          <w:sz w:val="16"/>
          <w:szCs w:val="16"/>
        </w:rPr>
        <w:softHyphen/>
        <w:t>ношенные и подлежащие разборке. Уступчивость британского премьера отчасти объяснялась тем, что Сталин согласился передать англичанам часть бомбардировщиков, доставленных для СССР американцами в порты Персид</w:t>
      </w:r>
      <w:r w:rsidRPr="00722885">
        <w:rPr>
          <w:rFonts w:ascii="Times New Roman" w:hAnsi="Times New Roman"/>
          <w:color w:val="000000" w:themeColor="text1"/>
          <w:sz w:val="16"/>
          <w:szCs w:val="16"/>
        </w:rPr>
        <w:softHyphen/>
        <w:t>ского залива. Поставка "Спитфайров" в Советский Союз стала первым слу</w:t>
      </w:r>
      <w:r w:rsidRPr="00722885">
        <w:rPr>
          <w:rFonts w:ascii="Times New Roman" w:hAnsi="Times New Roman"/>
          <w:color w:val="000000" w:themeColor="text1"/>
          <w:sz w:val="16"/>
          <w:szCs w:val="16"/>
        </w:rPr>
        <w:softHyphen/>
        <w:t>чаем официальной передачи машин этого типа иностранному государству (если не считать одного самолета, по</w:t>
      </w:r>
      <w:r w:rsidRPr="00722885">
        <w:rPr>
          <w:rFonts w:ascii="Times New Roman" w:hAnsi="Times New Roman"/>
          <w:color w:val="000000" w:themeColor="text1"/>
          <w:sz w:val="16"/>
          <w:szCs w:val="16"/>
        </w:rPr>
        <w:softHyphen/>
        <w:t>даренного в 1940 г. французам). Пе</w:t>
      </w:r>
      <w:r w:rsidRPr="00722885">
        <w:rPr>
          <w:rFonts w:ascii="Times New Roman" w:hAnsi="Times New Roman"/>
          <w:color w:val="000000" w:themeColor="text1"/>
          <w:sz w:val="16"/>
          <w:szCs w:val="16"/>
        </w:rPr>
        <w:softHyphen/>
        <w:t>реброска истребителей в СССР осу</w:t>
      </w:r>
      <w:r w:rsidRPr="00722885">
        <w:rPr>
          <w:rFonts w:ascii="Times New Roman" w:hAnsi="Times New Roman"/>
          <w:color w:val="000000" w:themeColor="text1"/>
          <w:sz w:val="16"/>
          <w:szCs w:val="16"/>
        </w:rPr>
        <w:softHyphen/>
        <w:t>ществлялась по южному маршруту, через Ирак и Иран (10790).</w:t>
      </w:r>
    </w:p>
    <w:p w14:paraId="5939173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E3B624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7372A52" w14:textId="77777777" w:rsidR="00090C9B" w:rsidRPr="00722885" w:rsidRDefault="00090C9B" w:rsidP="00722885">
      <w:pPr>
        <w:pStyle w:val="Iauiue"/>
        <w:jc w:val="both"/>
        <w:rPr>
          <w:iCs/>
          <w:color w:val="000000" w:themeColor="text1"/>
          <w:sz w:val="16"/>
          <w:szCs w:val="16"/>
        </w:rPr>
      </w:pPr>
    </w:p>
    <w:p w14:paraId="2A5F59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октября 1942 вышло Постановление ГКО № 2374 О серийном производстве двухместного самолета Ил-2. РГАНИР, Фонд ГКО, д. 61, лл. 63 (11012).</w:t>
      </w:r>
    </w:p>
    <w:p w14:paraId="26F8F81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85332FF" w14:textId="77777777" w:rsidR="002B0AA5" w:rsidRPr="00722885" w:rsidRDefault="002B0AA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октября 1942 вышло Постановление ГКО № 2374 О серийном производстве двухместного самолета Ил-2</w:t>
      </w:r>
    </w:p>
    <w:p w14:paraId="6AD83EE5" w14:textId="77777777" w:rsidR="002B0AA5" w:rsidRPr="00722885" w:rsidRDefault="002B0AA5"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Обязать НКАП - т.Шахурина внедрить в серийное про</w:t>
      </w:r>
      <w:r w:rsidRPr="00722885">
        <w:rPr>
          <w:rFonts w:ascii="Times New Roman" w:hAnsi="Times New Roman" w:cs="Times New Roman"/>
          <w:color w:val="000000" w:themeColor="text1"/>
          <w:spacing w:val="0"/>
          <w:sz w:val="16"/>
          <w:szCs w:val="16"/>
        </w:rPr>
        <w:softHyphen/>
        <w:t>изводство на заводах №№ 1, 18 и 30 двухместный самолет Ил-2 с мотором АМ-38, с установкой для защиты задней по</w:t>
      </w:r>
      <w:r w:rsidRPr="00722885">
        <w:rPr>
          <w:rFonts w:ascii="Times New Roman" w:hAnsi="Times New Roman" w:cs="Times New Roman"/>
          <w:color w:val="000000" w:themeColor="text1"/>
          <w:spacing w:val="0"/>
          <w:sz w:val="16"/>
          <w:szCs w:val="16"/>
        </w:rPr>
        <w:softHyphen/>
        <w:t>лусферы крупнокалиберного пулемета "УБТ" калибра 12,71 мм с запасом патрон 150 шт., с винтом АВ-5Л-158 и со щитками для взлета взамен производящегося на этих заводах одно-- местного самолета</w:t>
      </w:r>
      <w:r w:rsidRPr="00722885">
        <w:rPr>
          <w:rStyle w:val="75pt0pt"/>
          <w:rFonts w:ascii="Times New Roman" w:hAnsi="Times New Roman" w:cs="Times New Roman"/>
          <w:b w:val="0"/>
          <w:color w:val="000000" w:themeColor="text1"/>
          <w:spacing w:val="0"/>
          <w:sz w:val="16"/>
          <w:szCs w:val="16"/>
        </w:rPr>
        <w:t xml:space="preserve"> Ил</w:t>
      </w:r>
      <w:r w:rsidRPr="00722885">
        <w:rPr>
          <w:rFonts w:ascii="Times New Roman" w:hAnsi="Times New Roman" w:cs="Times New Roman"/>
          <w:color w:val="000000" w:themeColor="text1"/>
          <w:spacing w:val="0"/>
          <w:sz w:val="16"/>
          <w:szCs w:val="16"/>
        </w:rPr>
        <w:t>-2.</w:t>
      </w:r>
    </w:p>
    <w:p w14:paraId="04F1C45E" w14:textId="77777777" w:rsidR="002B0AA5" w:rsidRPr="00722885" w:rsidRDefault="002B0AA5"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Установить следующие сроки</w:t>
      </w:r>
      <w:r w:rsidRPr="00722885">
        <w:rPr>
          <w:rStyle w:val="75pt0pt"/>
          <w:rFonts w:ascii="Times New Roman" w:hAnsi="Times New Roman" w:cs="Times New Roman"/>
          <w:b w:val="0"/>
          <w:color w:val="000000" w:themeColor="text1"/>
          <w:spacing w:val="0"/>
          <w:sz w:val="16"/>
          <w:szCs w:val="16"/>
        </w:rPr>
        <w:t xml:space="preserve"> внедрения двухместного </w:t>
      </w:r>
      <w:r w:rsidRPr="00722885">
        <w:rPr>
          <w:rFonts w:ascii="Times New Roman" w:hAnsi="Times New Roman" w:cs="Times New Roman"/>
          <w:color w:val="000000" w:themeColor="text1"/>
          <w:spacing w:val="0"/>
          <w:sz w:val="16"/>
          <w:szCs w:val="16"/>
        </w:rPr>
        <w:t>самолета Ил-2:</w:t>
      </w:r>
    </w:p>
    <w:p w14:paraId="4A06F049" w14:textId="77777777" w:rsidR="002B0AA5" w:rsidRPr="00722885" w:rsidRDefault="002B0AA5"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завод № 1 в октябре 1942 года - 70 шт., в ноябре - 200 шт., в декабре - 300 шт. ;</w:t>
      </w:r>
    </w:p>
    <w:p w14:paraId="073D0BD2" w14:textId="77777777" w:rsidR="002B0AA5" w:rsidRPr="00722885" w:rsidRDefault="002B0AA5"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эавод № 18 в октябре 42 года - 70 шт., в ноябре - 200 шт., в декабре - 300 шт.;</w:t>
      </w:r>
    </w:p>
    <w:p w14:paraId="4BFB2EF6" w14:textId="77777777" w:rsidR="002B0AA5" w:rsidRPr="00722885" w:rsidRDefault="002B0AA5"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завод № 30 в октябре 42 года - 60 шт., в ноябре - 100</w:t>
      </w:r>
      <w:r w:rsidRPr="00722885">
        <w:rPr>
          <w:rStyle w:val="75pt0pt"/>
          <w:rFonts w:ascii="Times New Roman" w:hAnsi="Times New Roman" w:cs="Times New Roman"/>
          <w:b w:val="0"/>
          <w:color w:val="000000" w:themeColor="text1"/>
          <w:spacing w:val="0"/>
          <w:sz w:val="16"/>
          <w:szCs w:val="16"/>
        </w:rPr>
        <w:t xml:space="preserve"> шт.,</w:t>
      </w:r>
      <w:r w:rsidRPr="00722885">
        <w:rPr>
          <w:rFonts w:ascii="Times New Roman" w:hAnsi="Times New Roman" w:cs="Times New Roman"/>
          <w:color w:val="000000" w:themeColor="text1"/>
          <w:spacing w:val="0"/>
          <w:sz w:val="16"/>
          <w:szCs w:val="16"/>
        </w:rPr>
        <w:t xml:space="preserve"> в</w:t>
      </w:r>
      <w:r w:rsidRPr="00722885">
        <w:rPr>
          <w:rStyle w:val="75pt0pt"/>
          <w:rFonts w:ascii="Times New Roman" w:hAnsi="Times New Roman" w:cs="Times New Roman"/>
          <w:b w:val="0"/>
          <w:color w:val="000000" w:themeColor="text1"/>
          <w:spacing w:val="0"/>
          <w:sz w:val="16"/>
          <w:szCs w:val="16"/>
        </w:rPr>
        <w:t xml:space="preserve"> декабре</w:t>
      </w:r>
      <w:r w:rsidRPr="00722885">
        <w:rPr>
          <w:rFonts w:ascii="Times New Roman" w:hAnsi="Times New Roman" w:cs="Times New Roman"/>
          <w:color w:val="000000" w:themeColor="text1"/>
          <w:spacing w:val="0"/>
          <w:sz w:val="16"/>
          <w:szCs w:val="16"/>
        </w:rPr>
        <w:t xml:space="preserve"> - 150</w:t>
      </w:r>
      <w:r w:rsidRPr="00722885">
        <w:rPr>
          <w:rStyle w:val="75pt0pt"/>
          <w:rFonts w:ascii="Times New Roman" w:hAnsi="Times New Roman" w:cs="Times New Roman"/>
          <w:b w:val="0"/>
          <w:color w:val="000000" w:themeColor="text1"/>
          <w:spacing w:val="0"/>
          <w:sz w:val="16"/>
          <w:szCs w:val="16"/>
        </w:rPr>
        <w:t xml:space="preserve"> шт.</w:t>
      </w:r>
    </w:p>
    <w:p w14:paraId="7E456BA1" w14:textId="77777777" w:rsidR="002B0AA5" w:rsidRPr="00722885" w:rsidRDefault="002B0AA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Установить для двухместного самолета Ил-2 нормаль</w:t>
      </w:r>
      <w:r w:rsidRPr="00722885">
        <w:rPr>
          <w:rFonts w:ascii="Times New Roman" w:hAnsi="Times New Roman"/>
          <w:color w:val="000000" w:themeColor="text1"/>
          <w:sz w:val="16"/>
          <w:szCs w:val="16"/>
        </w:rPr>
        <w:softHyphen/>
        <w:t>ную боевую</w:t>
      </w:r>
      <w:r w:rsidRPr="00722885">
        <w:rPr>
          <w:rStyle w:val="75pt0pt"/>
          <w:rFonts w:ascii="Times New Roman" w:hAnsi="Times New Roman" w:cs="Times New Roman"/>
          <w:b w:val="0"/>
          <w:color w:val="000000" w:themeColor="text1"/>
          <w:spacing w:val="0"/>
          <w:sz w:val="16"/>
          <w:szCs w:val="16"/>
        </w:rPr>
        <w:t xml:space="preserve"> нагрузку</w:t>
      </w:r>
      <w:r w:rsidRPr="00722885">
        <w:rPr>
          <w:rFonts w:ascii="Times New Roman" w:hAnsi="Times New Roman"/>
          <w:color w:val="000000" w:themeColor="text1"/>
          <w:sz w:val="16"/>
          <w:szCs w:val="16"/>
        </w:rPr>
        <w:t xml:space="preserve"> 300</w:t>
      </w:r>
      <w:r w:rsidRPr="00722885">
        <w:rPr>
          <w:rStyle w:val="75pt0pt"/>
          <w:rFonts w:ascii="Times New Roman" w:hAnsi="Times New Roman" w:cs="Times New Roman"/>
          <w:b w:val="0"/>
          <w:color w:val="000000" w:themeColor="text1"/>
          <w:spacing w:val="0"/>
          <w:sz w:val="16"/>
          <w:szCs w:val="16"/>
        </w:rPr>
        <w:t xml:space="preserve"> кг</w:t>
      </w:r>
      <w:r w:rsidRPr="00722885">
        <w:rPr>
          <w:rFonts w:ascii="Times New Roman" w:hAnsi="Times New Roman"/>
          <w:color w:val="000000" w:themeColor="text1"/>
          <w:sz w:val="16"/>
          <w:szCs w:val="16"/>
        </w:rPr>
        <w:t xml:space="preserve"> бомб и 4 РС-82 (19371).</w:t>
      </w:r>
    </w:p>
    <w:p w14:paraId="483EFEA4" w14:textId="77777777" w:rsidR="002B0AA5" w:rsidRPr="00722885" w:rsidRDefault="002B0AA5" w:rsidP="00722885">
      <w:pPr>
        <w:spacing w:after="0" w:line="240" w:lineRule="auto"/>
        <w:jc w:val="both"/>
        <w:rPr>
          <w:rFonts w:ascii="Times New Roman" w:hAnsi="Times New Roman"/>
          <w:color w:val="000000" w:themeColor="text1"/>
          <w:sz w:val="16"/>
          <w:szCs w:val="16"/>
        </w:rPr>
      </w:pPr>
    </w:p>
    <w:p w14:paraId="33BBBC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октября 1942 г. Государственный Комитет Обороны, не дожидаясь результатов войсковых испытаний двухместных Ил-2, своим Постановлением № 2374 обязал НКАП внедрить в серийное про</w:t>
      </w:r>
      <w:r w:rsidRPr="00722885">
        <w:rPr>
          <w:color w:val="000000" w:themeColor="text1"/>
          <w:sz w:val="16"/>
          <w:szCs w:val="16"/>
        </w:rPr>
        <w:softHyphen/>
        <w:t>изводство на авиазаводах №№ 1, 18 и 30 двухместный Ил-2 с оборонительной установкой под пулемет УБТ с винтом АВ-5Л-158 и со щитками для взлета, ус</w:t>
      </w:r>
      <w:r w:rsidRPr="00722885">
        <w:rPr>
          <w:color w:val="000000" w:themeColor="text1"/>
          <w:sz w:val="16"/>
          <w:szCs w:val="16"/>
        </w:rPr>
        <w:softHyphen/>
        <w:t>тановив боезапас для УБТ в 150 патро</w:t>
      </w:r>
      <w:r w:rsidRPr="00722885">
        <w:rPr>
          <w:color w:val="000000" w:themeColor="text1"/>
          <w:sz w:val="16"/>
          <w:szCs w:val="16"/>
        </w:rPr>
        <w:softHyphen/>
        <w:t>нов, нормальную бомбовую нагрузку в 300 кг и 4 PC-82. Причем уже к концу октяб</w:t>
      </w:r>
      <w:r w:rsidRPr="00722885">
        <w:rPr>
          <w:color w:val="000000" w:themeColor="text1"/>
          <w:sz w:val="16"/>
          <w:szCs w:val="16"/>
        </w:rPr>
        <w:softHyphen/>
        <w:t>ря заводы №№ 1 и 18 должны были вы</w:t>
      </w:r>
      <w:r w:rsidRPr="00722885">
        <w:rPr>
          <w:color w:val="000000" w:themeColor="text1"/>
          <w:sz w:val="16"/>
          <w:szCs w:val="16"/>
        </w:rPr>
        <w:softHyphen/>
        <w:t>пустить каждый по 70 двухместных Ил-2, а завод № 30 - 60 таких машин. В нояб</w:t>
      </w:r>
      <w:r w:rsidRPr="00722885">
        <w:rPr>
          <w:color w:val="000000" w:themeColor="text1"/>
          <w:sz w:val="16"/>
          <w:szCs w:val="16"/>
        </w:rPr>
        <w:softHyphen/>
        <w:t>ре-декабре 1942 г. три авиазавода дол</w:t>
      </w:r>
      <w:r w:rsidRPr="00722885">
        <w:rPr>
          <w:color w:val="000000" w:themeColor="text1"/>
          <w:sz w:val="16"/>
          <w:szCs w:val="16"/>
        </w:rPr>
        <w:softHyphen/>
        <w:t>жны были изготовить 1500 двухместных Ил-2 (6467).</w:t>
      </w:r>
    </w:p>
    <w:p w14:paraId="4449113F" w14:textId="77777777" w:rsidR="00090C9B" w:rsidRPr="00722885" w:rsidRDefault="00090C9B" w:rsidP="00722885">
      <w:pPr>
        <w:pStyle w:val="Iauiue"/>
        <w:jc w:val="both"/>
        <w:rPr>
          <w:color w:val="000000" w:themeColor="text1"/>
          <w:sz w:val="16"/>
          <w:szCs w:val="16"/>
        </w:rPr>
      </w:pPr>
    </w:p>
    <w:p w14:paraId="4227891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комитет обороны, не до</w:t>
      </w:r>
      <w:r w:rsidRPr="00722885">
        <w:rPr>
          <w:rFonts w:ascii="Times New Roman" w:hAnsi="Times New Roman"/>
          <w:color w:val="000000" w:themeColor="text1"/>
          <w:sz w:val="16"/>
          <w:szCs w:val="16"/>
        </w:rPr>
        <w:softHyphen/>
        <w:t>жидаясь результатов войсковых испытаний, Постановлением от 5 октября обязал НКАП наладить серийный выпуск двухмест</w:t>
      </w:r>
      <w:r w:rsidRPr="00722885">
        <w:rPr>
          <w:rFonts w:ascii="Times New Roman" w:hAnsi="Times New Roman"/>
          <w:color w:val="000000" w:themeColor="text1"/>
          <w:sz w:val="16"/>
          <w:szCs w:val="16"/>
        </w:rPr>
        <w:softHyphen/>
        <w:t>ного варианта Ил-2 с пулеметом УБТ. Нормальная бомбовая нагрузка устанавливалась в 300 кг. Ракетное вооружение сокра</w:t>
      </w:r>
      <w:r w:rsidRPr="00722885">
        <w:rPr>
          <w:rFonts w:ascii="Times New Roman" w:hAnsi="Times New Roman"/>
          <w:color w:val="000000" w:themeColor="text1"/>
          <w:sz w:val="16"/>
          <w:szCs w:val="16"/>
        </w:rPr>
        <w:softHyphen/>
        <w:t>щалось до четырех РО-82 (11474,289).</w:t>
      </w:r>
    </w:p>
    <w:p w14:paraId="01C3CE3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FCBD6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октября 1942г. в соответствии с пост. ГКО № 2374 от запущен в серию двухместный Ил-2 с двигателем АМ-38. К концу октября завод № 1 должен был выпустить 70 машин. Пост. ГКО № 3144 от 10.04.1943г. на заводе был запущен в серию Ил- 2КР. 3.04.1944г. вышло постановление ГКО № 5526 об ускорении производства Ил-2 с металлическими крыльями на заводе (11982).</w:t>
      </w:r>
    </w:p>
    <w:p w14:paraId="59F2914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BC2829" w14:textId="77777777" w:rsidR="00AE6980" w:rsidRPr="00722885" w:rsidRDefault="00AE6980" w:rsidP="00722885">
      <w:pPr>
        <w:spacing w:after="0" w:line="240" w:lineRule="auto"/>
        <w:jc w:val="both"/>
        <w:rPr>
          <w:rStyle w:val="ucoz-forum-post"/>
          <w:rFonts w:ascii="Times New Roman" w:eastAsia="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5 октября 1942 года</w:t>
      </w:r>
      <w:r w:rsidRPr="00722885">
        <w:rPr>
          <w:rStyle w:val="ucoz-forum-post"/>
          <w:rFonts w:ascii="Times New Roman" w:eastAsia="Times New Roman" w:hAnsi="Times New Roman"/>
          <w:color w:val="000000" w:themeColor="text1"/>
          <w:sz w:val="16"/>
          <w:szCs w:val="16"/>
        </w:rPr>
        <w:t xml:space="preserve"> Постановление № 2374. О серийном производстве двухместного самолета Ил-2 (14790).</w:t>
      </w:r>
    </w:p>
    <w:p w14:paraId="525D7ECA" w14:textId="77777777" w:rsidR="00AE6980" w:rsidRPr="00722885" w:rsidRDefault="00AE6980" w:rsidP="00722885">
      <w:pPr>
        <w:spacing w:after="0" w:line="240" w:lineRule="auto"/>
        <w:jc w:val="both"/>
        <w:rPr>
          <w:rStyle w:val="ucoz-forum-post"/>
          <w:rFonts w:ascii="Times New Roman" w:eastAsia="Times New Roman" w:hAnsi="Times New Roman"/>
          <w:color w:val="000000" w:themeColor="text1"/>
          <w:sz w:val="16"/>
          <w:szCs w:val="16"/>
        </w:rPr>
      </w:pPr>
    </w:p>
    <w:p w14:paraId="1B99F959" w14:textId="77777777" w:rsidR="00770D72" w:rsidRPr="00722885" w:rsidRDefault="00770D72" w:rsidP="00722885">
      <w:pPr>
        <w:pStyle w:val="95"/>
        <w:shd w:val="clear" w:color="auto" w:fill="auto"/>
        <w:spacing w:after="0" w:line="240" w:lineRule="auto"/>
        <w:ind w:firstLine="0"/>
        <w:jc w:val="both"/>
        <w:rPr>
          <w:color w:val="0070C0"/>
          <w:sz w:val="16"/>
          <w:szCs w:val="16"/>
        </w:rPr>
      </w:pPr>
      <w:r w:rsidRPr="00722885">
        <w:rPr>
          <w:color w:val="0070C0"/>
          <w:sz w:val="16"/>
          <w:szCs w:val="16"/>
        </w:rPr>
        <w:t>5 октября 1942 по представлению генерал- лейтенанта Новикова и наркома Шахурина Государственный Комитет обороны (ГКО), не дожидаясь результатов войсковых испытаний, постановлением №2374сс обязал НКАП нала</w:t>
      </w:r>
      <w:r w:rsidRPr="00722885">
        <w:rPr>
          <w:color w:val="0070C0"/>
          <w:sz w:val="16"/>
          <w:szCs w:val="16"/>
        </w:rPr>
        <w:softHyphen/>
        <w:t>дить серийный выпуск двухместного варианта Ил-2 с пулеметом УБТ. Нормальная бомбовая нагрузка устанавливалась в 300 кг, а ракетное вооружение сокращалось до четырех РО-82.</w:t>
      </w:r>
    </w:p>
    <w:p w14:paraId="7CFF9296" w14:textId="77777777" w:rsidR="00770D72" w:rsidRPr="00722885" w:rsidRDefault="00770D72"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концу октября заводы №1 и 18 должны были выпустить по 70 двухместных штурмо</w:t>
      </w:r>
      <w:r w:rsidRPr="00722885">
        <w:rPr>
          <w:rFonts w:ascii="Times New Roman" w:hAnsi="Times New Roman"/>
          <w:color w:val="0070C0"/>
          <w:sz w:val="16"/>
          <w:szCs w:val="16"/>
        </w:rPr>
        <w:softHyphen/>
        <w:t>виков Ил-2, а завод №30 - 60 таких машин. С ноября по декабрь включительно всем трем заводам поручалось изготовить 1500 двух</w:t>
      </w:r>
      <w:r w:rsidRPr="00722885">
        <w:rPr>
          <w:rFonts w:ascii="Times New Roman" w:hAnsi="Times New Roman"/>
          <w:color w:val="0070C0"/>
          <w:sz w:val="16"/>
          <w:szCs w:val="16"/>
        </w:rPr>
        <w:softHyphen/>
        <w:t>местных Ил-2, в том числе: завод №1 - 500, №18 - 500 и №30 - 250 штурмовиков (19877).</w:t>
      </w:r>
    </w:p>
    <w:p w14:paraId="73A77ABA" w14:textId="77777777" w:rsidR="00770D72" w:rsidRPr="00722885" w:rsidRDefault="00770D72" w:rsidP="00722885">
      <w:pPr>
        <w:shd w:val="clear" w:color="auto" w:fill="FFFFFF"/>
        <w:spacing w:after="0" w:line="240" w:lineRule="auto"/>
        <w:jc w:val="both"/>
        <w:rPr>
          <w:rFonts w:ascii="Times New Roman" w:hAnsi="Times New Roman"/>
          <w:color w:val="0070C0"/>
          <w:sz w:val="16"/>
          <w:szCs w:val="16"/>
        </w:rPr>
      </w:pPr>
    </w:p>
    <w:p w14:paraId="7B1C23AF" w14:textId="77777777" w:rsidR="00770D72" w:rsidRPr="00722885" w:rsidRDefault="00770D72" w:rsidP="00722885">
      <w:pPr>
        <w:pStyle w:val="95"/>
        <w:shd w:val="clear" w:color="auto" w:fill="auto"/>
        <w:spacing w:after="0" w:line="240" w:lineRule="auto"/>
        <w:ind w:firstLine="0"/>
        <w:jc w:val="both"/>
        <w:rPr>
          <w:color w:val="0070C0"/>
          <w:sz w:val="16"/>
          <w:szCs w:val="16"/>
        </w:rPr>
      </w:pPr>
      <w:r w:rsidRPr="00722885">
        <w:rPr>
          <w:color w:val="0070C0"/>
          <w:sz w:val="16"/>
          <w:szCs w:val="16"/>
        </w:rPr>
        <w:t>По состоянию на 5 октября, завод №30, помимо двух двухместных Ил-2 с УБТ и ШКАС, проходивших испытания в НИИ ВВС, построил еще 18 двухместных штурмовиков с пуле</w:t>
      </w:r>
      <w:r w:rsidRPr="00722885">
        <w:rPr>
          <w:color w:val="0070C0"/>
          <w:sz w:val="16"/>
          <w:szCs w:val="16"/>
        </w:rPr>
        <w:softHyphen/>
        <w:t>метом УБТ и один Ил-2 с пулеметом ШКАС «фронтового варианта». Из них 16 машин с УБТ передали в части вновь сформированного 1-го штурмового авиакорпуса, которым ко</w:t>
      </w:r>
      <w:r w:rsidRPr="00722885">
        <w:rPr>
          <w:color w:val="0070C0"/>
          <w:sz w:val="16"/>
          <w:szCs w:val="16"/>
        </w:rPr>
        <w:softHyphen/>
        <w:t>мандовал генерал-майор В.Г. Рязанов. В этом корпусе предполагалось провести войсковые испытания Ил-2 с воздушным стрелком (19877).</w:t>
      </w:r>
    </w:p>
    <w:p w14:paraId="0191E2FE" w14:textId="77777777" w:rsidR="00770D72" w:rsidRPr="00722885" w:rsidRDefault="00770D72" w:rsidP="00722885">
      <w:pPr>
        <w:pStyle w:val="95"/>
        <w:shd w:val="clear" w:color="auto" w:fill="auto"/>
        <w:spacing w:after="0" w:line="240" w:lineRule="auto"/>
        <w:ind w:firstLine="0"/>
        <w:jc w:val="both"/>
        <w:rPr>
          <w:color w:val="0070C0"/>
          <w:sz w:val="16"/>
          <w:szCs w:val="16"/>
        </w:rPr>
      </w:pPr>
    </w:p>
    <w:p w14:paraId="54BDEBD6" w14:textId="77777777" w:rsidR="00770D72" w:rsidRPr="00722885" w:rsidRDefault="00770D72"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5 октября 1942 г. командир 1-го шак генерал-майор В.Г. Рязанов направил письмо началь</w:t>
      </w:r>
      <w:r w:rsidRPr="00722885">
        <w:rPr>
          <w:rFonts w:ascii="Times New Roman" w:hAnsi="Times New Roman" w:cs="Times New Roman"/>
          <w:color w:val="0070C0"/>
          <w:w w:val="100"/>
          <w:sz w:val="16"/>
          <w:szCs w:val="16"/>
        </w:rPr>
        <w:softHyphen/>
        <w:t>нику Главной инспекции ВВС КА полковнику В.И. Сталину, в котором информировал, что 29 сентября он обратился в УЗСиМ ГУЗ ВВС с предложением непременно вооружить части корпуса 100 самолетами Ил-2 с оборонитель</w:t>
      </w:r>
      <w:r w:rsidRPr="00722885">
        <w:rPr>
          <w:rFonts w:ascii="Times New Roman" w:hAnsi="Times New Roman" w:cs="Times New Roman"/>
          <w:color w:val="0070C0"/>
          <w:w w:val="100"/>
          <w:sz w:val="16"/>
          <w:szCs w:val="16"/>
        </w:rPr>
        <w:softHyphen/>
        <w:t>ной пулеметной установкой, но получил отказ.</w:t>
      </w:r>
    </w:p>
    <w:p w14:paraId="150D481D" w14:textId="77777777" w:rsidR="00770D72" w:rsidRPr="00722885" w:rsidRDefault="00770D72"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Как докладывал старший инспектор Глав</w:t>
      </w:r>
      <w:r w:rsidRPr="00722885">
        <w:rPr>
          <w:rFonts w:ascii="Times New Roman" w:hAnsi="Times New Roman" w:cs="Times New Roman"/>
          <w:color w:val="0070C0"/>
          <w:w w:val="100"/>
          <w:sz w:val="16"/>
          <w:szCs w:val="16"/>
        </w:rPr>
        <w:softHyphen/>
        <w:t>ной инспекции ВВС КА инженер-подполков</w:t>
      </w:r>
      <w:r w:rsidRPr="00722885">
        <w:rPr>
          <w:rFonts w:ascii="Times New Roman" w:hAnsi="Times New Roman" w:cs="Times New Roman"/>
          <w:color w:val="0070C0"/>
          <w:w w:val="100"/>
          <w:sz w:val="16"/>
          <w:szCs w:val="16"/>
        </w:rPr>
        <w:softHyphen/>
        <w:t>ник Поляков, к этому времени в Управление полевого ремонта ГУ ИАС ВВС уже поступили разработанные в ОКБ-240 Ильюшина чертежи «ремонтного варианта» кабины воздушного стрелка с пулеметом ШКАС, предназначен</w:t>
      </w:r>
      <w:r w:rsidRPr="00722885">
        <w:rPr>
          <w:rFonts w:ascii="Times New Roman" w:hAnsi="Times New Roman" w:cs="Times New Roman"/>
          <w:color w:val="0070C0"/>
          <w:w w:val="100"/>
          <w:sz w:val="16"/>
          <w:szCs w:val="16"/>
        </w:rPr>
        <w:softHyphen/>
        <w:t>ные для рассылки в реморганы действующей армии. Однако</w:t>
      </w:r>
      <w:r w:rsidRPr="00722885">
        <w:rPr>
          <w:rStyle w:val="800"/>
          <w:rFonts w:ascii="Times New Roman" w:hAnsi="Times New Roman" w:cs="Times New Roman"/>
          <w:i w:val="0"/>
          <w:iCs w:val="0"/>
          <w:color w:val="0070C0"/>
          <w:w w:val="100"/>
          <w:sz w:val="16"/>
          <w:szCs w:val="16"/>
        </w:rPr>
        <w:t xml:space="preserve"> «на изготовление установок в ремонтных мастерских можно рассчитывать не ранее 1-2 месяцев»</w:t>
      </w:r>
      <w:r w:rsidRPr="00722885">
        <w:rPr>
          <w:rFonts w:ascii="Times New Roman" w:hAnsi="Times New Roman" w:cs="Times New Roman"/>
          <w:color w:val="0070C0"/>
          <w:w w:val="100"/>
          <w:sz w:val="16"/>
          <w:szCs w:val="16"/>
        </w:rPr>
        <w:t xml:space="preserve"> (время на рассылку чертежей и инструкции, практическое обуче</w:t>
      </w:r>
      <w:r w:rsidRPr="00722885">
        <w:rPr>
          <w:rFonts w:ascii="Times New Roman" w:hAnsi="Times New Roman" w:cs="Times New Roman"/>
          <w:color w:val="0070C0"/>
          <w:w w:val="100"/>
          <w:sz w:val="16"/>
          <w:szCs w:val="16"/>
        </w:rPr>
        <w:softHyphen/>
        <w:t>ние технического состава мастерских, изго</w:t>
      </w:r>
      <w:r w:rsidRPr="00722885">
        <w:rPr>
          <w:rFonts w:ascii="Times New Roman" w:hAnsi="Times New Roman" w:cs="Times New Roman"/>
          <w:color w:val="0070C0"/>
          <w:w w:val="100"/>
          <w:sz w:val="16"/>
          <w:szCs w:val="16"/>
        </w:rPr>
        <w:softHyphen/>
        <w:t>товление и монтаж установок). Поэтому для ускорения перевооружения Ил-2 предлага</w:t>
      </w:r>
      <w:r w:rsidRPr="00722885">
        <w:rPr>
          <w:rFonts w:ascii="Times New Roman" w:hAnsi="Times New Roman" w:cs="Times New Roman"/>
          <w:color w:val="0070C0"/>
          <w:w w:val="100"/>
          <w:sz w:val="16"/>
          <w:szCs w:val="16"/>
        </w:rPr>
        <w:softHyphen/>
        <w:t>лось организовать производство установок на одном из заводов НКАП, а монтажные работы поручить ремонтным мастерским фронтов. По мнению Полякова,</w:t>
      </w:r>
      <w:r w:rsidRPr="00722885">
        <w:rPr>
          <w:rStyle w:val="800"/>
          <w:rFonts w:ascii="Times New Roman" w:hAnsi="Times New Roman" w:cs="Times New Roman"/>
          <w:i w:val="0"/>
          <w:iCs w:val="0"/>
          <w:color w:val="0070C0"/>
          <w:w w:val="100"/>
          <w:sz w:val="16"/>
          <w:szCs w:val="16"/>
        </w:rPr>
        <w:t xml:space="preserve"> «перевооружить самолеты 1 шак можно только при условии размещения заказа установок «фронтового варианта» на заводе №30 НКАП, который имеет опыт в их изготовлении».</w:t>
      </w:r>
    </w:p>
    <w:p w14:paraId="39943789" w14:textId="77777777" w:rsidR="00770D72" w:rsidRPr="00722885" w:rsidRDefault="00770D72"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 результатам обсуждения на уровне главного инженера ВВС генерал-лейтенанта Репина Главное управление заказов ВВС выдало задание НКАП на изготовление с 1 ноября 1942 г. по 10 января 1943 г. 750 пу</w:t>
      </w:r>
      <w:r w:rsidRPr="00722885">
        <w:rPr>
          <w:rFonts w:ascii="Times New Roman" w:hAnsi="Times New Roman"/>
          <w:color w:val="0070C0"/>
          <w:sz w:val="16"/>
          <w:szCs w:val="16"/>
        </w:rPr>
        <w:softHyphen/>
        <w:t>леметных установок ШКАС «ремонтного ва</w:t>
      </w:r>
      <w:r w:rsidRPr="00722885">
        <w:rPr>
          <w:rFonts w:ascii="Times New Roman" w:hAnsi="Times New Roman"/>
          <w:color w:val="0070C0"/>
          <w:sz w:val="16"/>
          <w:szCs w:val="16"/>
        </w:rPr>
        <w:softHyphen/>
        <w:t>рианта» для оборудования ими кабин воз</w:t>
      </w:r>
      <w:r w:rsidRPr="00722885">
        <w:rPr>
          <w:rFonts w:ascii="Times New Roman" w:hAnsi="Times New Roman"/>
          <w:color w:val="0070C0"/>
          <w:sz w:val="16"/>
          <w:szCs w:val="16"/>
        </w:rPr>
        <w:softHyphen/>
        <w:t xml:space="preserve">душных стрелков на Ил-2. Заказ разместили на заводах №1, 18 и 30. Планировалось, что </w:t>
      </w:r>
      <w:r w:rsidRPr="00722885">
        <w:rPr>
          <w:rStyle w:val="800"/>
          <w:rFonts w:ascii="Times New Roman" w:hAnsi="Times New Roman" w:cs="Times New Roman"/>
          <w:i w:val="0"/>
          <w:iCs w:val="0"/>
          <w:color w:val="0070C0"/>
          <w:w w:val="100"/>
          <w:sz w:val="16"/>
          <w:szCs w:val="16"/>
        </w:rPr>
        <w:t>«с получением частями пулеметных установок военпредами заводов будут командированы в части инструктора по оборудованию самоле</w:t>
      </w:r>
      <w:r w:rsidRPr="00722885">
        <w:rPr>
          <w:rStyle w:val="800"/>
          <w:rFonts w:ascii="Times New Roman" w:hAnsi="Times New Roman" w:cs="Times New Roman"/>
          <w:i w:val="0"/>
          <w:iCs w:val="0"/>
          <w:color w:val="0070C0"/>
          <w:w w:val="100"/>
          <w:sz w:val="16"/>
          <w:szCs w:val="16"/>
        </w:rPr>
        <w:softHyphen/>
        <w:t>тов Ил-2 задней пулеметной установкой».</w:t>
      </w:r>
    </w:p>
    <w:p w14:paraId="062342B0" w14:textId="77777777" w:rsidR="00770D72" w:rsidRPr="00722885" w:rsidRDefault="00770D72"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Однако заводы с этим заданием не спра</w:t>
      </w:r>
      <w:r w:rsidRPr="00722885">
        <w:rPr>
          <w:rFonts w:ascii="Times New Roman" w:hAnsi="Times New Roman" w:cs="Times New Roman"/>
          <w:color w:val="0070C0"/>
          <w:w w:val="100"/>
          <w:sz w:val="16"/>
          <w:szCs w:val="16"/>
        </w:rPr>
        <w:softHyphen/>
        <w:t>вились. По состоянию на 25 января, изгото</w:t>
      </w:r>
      <w:r w:rsidRPr="00722885">
        <w:rPr>
          <w:rFonts w:ascii="Times New Roman" w:hAnsi="Times New Roman" w:cs="Times New Roman"/>
          <w:color w:val="0070C0"/>
          <w:w w:val="100"/>
          <w:sz w:val="16"/>
          <w:szCs w:val="16"/>
        </w:rPr>
        <w:softHyphen/>
        <w:t>вили и отправили на фронт (железнодорож</w:t>
      </w:r>
      <w:r w:rsidRPr="00722885">
        <w:rPr>
          <w:rFonts w:ascii="Times New Roman" w:hAnsi="Times New Roman" w:cs="Times New Roman"/>
          <w:color w:val="0070C0"/>
          <w:w w:val="100"/>
          <w:sz w:val="16"/>
          <w:szCs w:val="16"/>
        </w:rPr>
        <w:softHyphen/>
        <w:t>ным транспортом (!) -</w:t>
      </w:r>
      <w:r w:rsidRPr="00722885">
        <w:rPr>
          <w:rStyle w:val="800"/>
          <w:rFonts w:ascii="Times New Roman" w:hAnsi="Times New Roman" w:cs="Times New Roman"/>
          <w:i w:val="0"/>
          <w:iCs w:val="0"/>
          <w:color w:val="0070C0"/>
          <w:w w:val="100"/>
          <w:sz w:val="16"/>
          <w:szCs w:val="16"/>
        </w:rPr>
        <w:t xml:space="preserve"> Прим. авт.)</w:t>
      </w:r>
      <w:r w:rsidRPr="00722885">
        <w:rPr>
          <w:rFonts w:ascii="Times New Roman" w:hAnsi="Times New Roman" w:cs="Times New Roman"/>
          <w:color w:val="0070C0"/>
          <w:w w:val="100"/>
          <w:sz w:val="16"/>
          <w:szCs w:val="16"/>
        </w:rPr>
        <w:t xml:space="preserve"> всего лишь 399 комплектов установок ШКАС: заводом №1 - 174, №18 - 215, №30 - 10. Еще 55 комплек</w:t>
      </w:r>
      <w:r w:rsidRPr="00722885">
        <w:rPr>
          <w:rFonts w:ascii="Times New Roman" w:hAnsi="Times New Roman" w:cs="Times New Roman"/>
          <w:color w:val="0070C0"/>
          <w:w w:val="100"/>
          <w:sz w:val="16"/>
          <w:szCs w:val="16"/>
        </w:rPr>
        <w:softHyphen/>
        <w:t>тов находились на заводах №30 (15 штук) и №1 (40 штук); они прошли военную приемку, но не были отгружены в строевые части.</w:t>
      </w:r>
    </w:p>
    <w:p w14:paraId="11C20B18" w14:textId="77777777" w:rsidR="00770D72" w:rsidRPr="00722885" w:rsidRDefault="00770D72" w:rsidP="00722885">
      <w:pPr>
        <w:pStyle w:val="28"/>
        <w:shd w:val="clear" w:color="auto" w:fill="auto"/>
        <w:spacing w:before="0" w:line="240" w:lineRule="auto"/>
        <w:jc w:val="both"/>
        <w:rPr>
          <w:rFonts w:ascii="Times New Roman" w:hAnsi="Times New Roman" w:cs="Times New Roman"/>
          <w:color w:val="0070C0"/>
          <w:sz w:val="16"/>
          <w:szCs w:val="16"/>
        </w:rPr>
      </w:pPr>
      <w:r w:rsidRPr="00722885">
        <w:rPr>
          <w:rStyle w:val="2750"/>
          <w:rFonts w:ascii="Times New Roman" w:hAnsi="Times New Roman" w:cs="Times New Roman"/>
          <w:i w:val="0"/>
          <w:iCs w:val="0"/>
          <w:color w:val="0070C0"/>
          <w:w w:val="100"/>
          <w:sz w:val="16"/>
          <w:szCs w:val="16"/>
        </w:rPr>
        <w:lastRenderedPageBreak/>
        <w:t>Начальник Управления технической экс</w:t>
      </w:r>
      <w:r w:rsidRPr="00722885">
        <w:rPr>
          <w:rStyle w:val="2750"/>
          <w:rFonts w:ascii="Times New Roman" w:hAnsi="Times New Roman" w:cs="Times New Roman"/>
          <w:i w:val="0"/>
          <w:iCs w:val="0"/>
          <w:color w:val="0070C0"/>
          <w:w w:val="100"/>
          <w:sz w:val="16"/>
          <w:szCs w:val="16"/>
        </w:rPr>
        <w:softHyphen/>
        <w:t>плуатации ГУ ИАС ВВС генерал-майор Шульговский докладывал заместителю главного инженера ВВС КА генерал-майору Лапину:</w:t>
      </w:r>
      <w:r w:rsidRPr="00722885">
        <w:rPr>
          <w:rFonts w:ascii="Times New Roman" w:hAnsi="Times New Roman" w:cs="Times New Roman"/>
          <w:color w:val="0070C0"/>
          <w:sz w:val="16"/>
          <w:szCs w:val="16"/>
        </w:rPr>
        <w:t xml:space="preserve"> «В частях ВВС Действующей армии по состоя</w:t>
      </w:r>
      <w:r w:rsidRPr="00722885">
        <w:rPr>
          <w:rFonts w:ascii="Times New Roman" w:hAnsi="Times New Roman" w:cs="Times New Roman"/>
          <w:color w:val="0070C0"/>
          <w:sz w:val="16"/>
          <w:szCs w:val="16"/>
        </w:rPr>
        <w:softHyphen/>
        <w:t>нию на 15 января 1943 г. оборудовано своими силами всего 413 самолетов Ил-2. Подлежит оборудованию по неполным сведениям более 405 самолетов (сведений о количестве нео</w:t>
      </w:r>
      <w:r w:rsidRPr="00722885">
        <w:rPr>
          <w:rFonts w:ascii="Times New Roman" w:hAnsi="Times New Roman" w:cs="Times New Roman"/>
          <w:color w:val="0070C0"/>
          <w:sz w:val="16"/>
          <w:szCs w:val="16"/>
        </w:rPr>
        <w:softHyphen/>
        <w:t>борудованных самолетов Ил-2 не имеется из следующих частей: 1 сак, 2 сак, 1, 2, 3 шак, 3 ВА и 16 ВА). Оборудование самолетов Ил-2 зад</w:t>
      </w:r>
      <w:r w:rsidRPr="00722885">
        <w:rPr>
          <w:rFonts w:ascii="Times New Roman" w:hAnsi="Times New Roman" w:cs="Times New Roman"/>
          <w:color w:val="0070C0"/>
          <w:sz w:val="16"/>
          <w:szCs w:val="16"/>
        </w:rPr>
        <w:softHyphen/>
        <w:t>ней пулеметной установкой в частях ВВС КА производилось главным образом за счет уста</w:t>
      </w:r>
      <w:r w:rsidRPr="00722885">
        <w:rPr>
          <w:rFonts w:ascii="Times New Roman" w:hAnsi="Times New Roman" w:cs="Times New Roman"/>
          <w:color w:val="0070C0"/>
          <w:sz w:val="16"/>
          <w:szCs w:val="16"/>
        </w:rPr>
        <w:softHyphen/>
        <w:t>новок Пе-2, полученных со склада НКО № 1 и за счет изготовления деталей своими силами» (19878).</w:t>
      </w:r>
    </w:p>
    <w:p w14:paraId="5C305130" w14:textId="77777777" w:rsidR="00770D72" w:rsidRPr="00722885" w:rsidRDefault="00770D72" w:rsidP="00722885">
      <w:pPr>
        <w:pStyle w:val="28"/>
        <w:shd w:val="clear" w:color="auto" w:fill="auto"/>
        <w:spacing w:before="0" w:line="240" w:lineRule="auto"/>
        <w:jc w:val="both"/>
        <w:rPr>
          <w:rFonts w:ascii="Times New Roman" w:hAnsi="Times New Roman" w:cs="Times New Roman"/>
          <w:color w:val="0070C0"/>
          <w:sz w:val="16"/>
          <w:szCs w:val="16"/>
        </w:rPr>
      </w:pPr>
    </w:p>
    <w:p w14:paraId="67D5F9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октября 1942, несмотря на явные недостатки предложенного ОКБ варианта кабины стрелка, Государственный комитет обороны, не дожидаясь результатов войсковых испытаний, Постановлением обязал НКАП наладить серийный выпуск двухместного варианта Ил-2 с пулеметом УБТ. Нормальная бомбовая нагрузка устанавливалась в 300 кг. Ракетное вооружение сокращалось до 4 РО-82.</w:t>
      </w:r>
    </w:p>
    <w:p w14:paraId="16D84A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с целью улучшения взлетных свойств и доведения бомбовой нагрузки до 400 кг требовалось установить на него форсированный мотор АМ-38ф с взлетной мощностью 1700 л.е., который к 26 сентября успешно прошел 50-часовые испытания.</w:t>
      </w:r>
    </w:p>
    <w:p w14:paraId="029E87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Почти одновременно на заводе № 1 были построены два экземпляра самолета Ил-2бис АМ-38, имевшие полностью бронированную кабину стрелка с блистерной установкой под пулемет УБТ. Инициировал эту работу начальник СКО-21 завода В. П. Яценко.</w:t>
      </w:r>
    </w:p>
    <w:p w14:paraId="16CBC5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оборудовалась на месте заднего бензобака. За счет этого она оказалась более просторной, чем кабина завода №30. Уровень защищенности стрелка не уступал защите летчика. В двух бомбоотсеках в центроплане крыла дополнительно устанавливались два бензобака, которые бронировались. Внутренняя загрузка бомб уменьшалась до 200 кг. На внешних узлах допускалась подвеска еще 200 кг бомб. Направляющие под 8 РС-82 сохранялись.</w:t>
      </w:r>
    </w:p>
    <w:p w14:paraId="22540C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Важно, что в отличие от варианта завода №30, центровка Ил-2бис не изменилась. Испытания показали, что по своим летным и пилотажным качествам он практически ничем не отличается от одноместного Ил-2.</w:t>
      </w:r>
    </w:p>
    <w:p w14:paraId="0D8277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Судя по документам, Ильюшин противился работам по Ил-2бис. Дело в том, что на заводе №30 он уже строил 20 самолетов с незащищенным стрелком (12020).</w:t>
      </w:r>
    </w:p>
    <w:p w14:paraId="61251D4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7E0F685" w14:textId="77777777" w:rsidR="00B87728" w:rsidRPr="00722885" w:rsidRDefault="00B87728"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5 октября 1942 по представлению ко</w:t>
      </w:r>
      <w:r w:rsidRPr="00722885">
        <w:rPr>
          <w:rFonts w:ascii="Times New Roman" w:hAnsi="Times New Roman" w:cs="Times New Roman"/>
          <w:color w:val="000000" w:themeColor="text1"/>
          <w:sz w:val="16"/>
          <w:szCs w:val="16"/>
        </w:rPr>
        <w:softHyphen/>
        <w:t>мандующего ВВС КА генерал-лейтенанта Новикова и наркома Шахурина Государст</w:t>
      </w:r>
      <w:r w:rsidRPr="00722885">
        <w:rPr>
          <w:rFonts w:ascii="Times New Roman" w:hAnsi="Times New Roman" w:cs="Times New Roman"/>
          <w:color w:val="000000" w:themeColor="text1"/>
          <w:sz w:val="16"/>
          <w:szCs w:val="16"/>
        </w:rPr>
        <w:softHyphen/>
        <w:t>венный Комитет Обороны, не дожидаясь результатов войсковых испытаний, своим постановлением обязал НКАП наладить серийный выпуск двухместного варианта Ил-2 с пулеметом УБТ. Нормальная боевая нагрузка включала 300 кг бомб и четыре РО-82 (19111).</w:t>
      </w:r>
    </w:p>
    <w:p w14:paraId="3C5E4254" w14:textId="77777777" w:rsidR="00B87728" w:rsidRPr="00722885" w:rsidRDefault="00B87728"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07236D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октября 1942 А.И.Шахурин и А.А.Новиков писали И.В.С. "Проведенными в НИИ ВВС КА испытания 2-х местных самолетов Ил-2 с взлетными щитками и без них с винтом...и установленного у стрелка пулемета ШКАС...и пулемета УБТ 12.7 мм установлено, что по обороне задней полусферы и взлетным данным преимуществом обладает самолет Ил-2 с взлетными щитками и винтом АВ-5Л-158 и с пулеметом УБТ калибра 12.7 мм. Броня стрелка предусматривается в виде перегородки из бронированного листа толщиной 6 мм за кабиной стрелка. Прошу подписать проект постановления ГКО (927,230).</w:t>
      </w:r>
    </w:p>
    <w:p w14:paraId="752F912B" w14:textId="77777777" w:rsidR="00090C9B" w:rsidRPr="00722885" w:rsidRDefault="00090C9B" w:rsidP="00722885">
      <w:pPr>
        <w:pStyle w:val="Iauiue"/>
        <w:jc w:val="both"/>
        <w:rPr>
          <w:color w:val="000000" w:themeColor="text1"/>
          <w:sz w:val="16"/>
          <w:szCs w:val="16"/>
        </w:rPr>
      </w:pPr>
    </w:p>
    <w:p w14:paraId="3CE106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октября 1942 года Новиков и Шахурин писали письмо N Н-20/3990 Сталину.</w:t>
      </w:r>
    </w:p>
    <w:p w14:paraId="1FC7E0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Проведенными в НИИ ВВС испытаниями двух двухместных самолетов Ил-2 с взлетными щитками и без них, с винтом АВ-5Л-158 и АВ-5Л-124 и с установкой у стрелка пулемета ШКАС калибра 7,62 мм и пулемета "УБТ" калибра 12,7 мм установлено, что по обороне задней полусферы и взлетным данным преимуществом обладает самолет Ил-2 с взлетными щитками, с винтом АВ-5Л-158 и с пулеметом "УБТ" калибра 12,7 мм.</w:t>
      </w:r>
    </w:p>
    <w:p w14:paraId="51ECEC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дистанция до набора высоты 25 м у этого самолета с 400 кг бомб и 8 РС-82 получена 1240 м против 1120 м у одноместного самолета с той же нагрузкой бомб и РС, т.е. взлет хуже.</w:t>
      </w:r>
    </w:p>
    <w:p w14:paraId="09477C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упрощения взлета и сохранения взлетной дистанции на уровне одноместного самолета, считаем необходимым установить самолету Ил-2 с винтом АВ-5Л-158, взлетными щитками и пулеметом "УБТ" у стрелка нормальную нагрузку в 300 кг бомб и 4 РС-82 мм.</w:t>
      </w:r>
    </w:p>
    <w:p w14:paraId="1675A1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дистанция при этом у самолета будет равна 1100-1150 м.</w:t>
      </w:r>
    </w:p>
    <w:p w14:paraId="39CC07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Максимальная скорость так вооруженного двухместного самолета практически одинакова с одноместным самолетом с нагрузкой 400 кг бомб и 8 РС-82 мм.</w:t>
      </w:r>
    </w:p>
    <w:p w14:paraId="634B08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Броня стрелка предусмотрена в виде перегородки из броневого листа толщиной 6 мм за кабиной стрелка.</w:t>
      </w:r>
    </w:p>
    <w:p w14:paraId="50A3A3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Просим подписать представляемый проект постановления (927,230).</w:t>
      </w:r>
    </w:p>
    <w:p w14:paraId="30C63E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Проект постановления ГКО</w:t>
      </w:r>
    </w:p>
    <w:p w14:paraId="4055AC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"Обязать НКАП тов. Шахурина внедрить в серийное производство на заводах 1, 18, и 30 двухместный самолет Ил-2 с мотором АМ-38 с установкой для защиты задней полусферы крупнокалиберный пулемет УБТ с боезапасом 150 патронов, с винтом АВ-5Л-158 и со щитками для взлета взамен производящегося на этих заводах одноместного самолета Ил-2.</w:t>
      </w:r>
    </w:p>
    <w:p w14:paraId="31B9EB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Установить следующие сроки внедрения 2-местного Ил-2: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2242"/>
        <w:gridCol w:w="2693"/>
        <w:gridCol w:w="4394"/>
      </w:tblGrid>
      <w:tr w:rsidR="009B487A" w:rsidRPr="00722885" w14:paraId="7CBFAD07" w14:textId="77777777" w:rsidTr="00CC5360">
        <w:tc>
          <w:tcPr>
            <w:tcW w:w="1127" w:type="dxa"/>
            <w:tcBorders>
              <w:top w:val="single" w:sz="12" w:space="0" w:color="auto"/>
            </w:tcBorders>
          </w:tcPr>
          <w:p w14:paraId="4488675F" w14:textId="77777777" w:rsidR="00090C9B" w:rsidRPr="00722885" w:rsidRDefault="00090C9B" w:rsidP="00722885">
            <w:pPr>
              <w:pStyle w:val="Iauiue"/>
              <w:jc w:val="both"/>
              <w:rPr>
                <w:color w:val="000000" w:themeColor="text1"/>
                <w:sz w:val="16"/>
                <w:szCs w:val="16"/>
              </w:rPr>
            </w:pPr>
          </w:p>
        </w:tc>
        <w:tc>
          <w:tcPr>
            <w:tcW w:w="2242" w:type="dxa"/>
            <w:tcBorders>
              <w:top w:val="single" w:sz="12" w:space="0" w:color="auto"/>
            </w:tcBorders>
          </w:tcPr>
          <w:p w14:paraId="3FF26D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w:t>
            </w:r>
          </w:p>
        </w:tc>
        <w:tc>
          <w:tcPr>
            <w:tcW w:w="2693" w:type="dxa"/>
            <w:tcBorders>
              <w:top w:val="single" w:sz="12" w:space="0" w:color="auto"/>
            </w:tcBorders>
          </w:tcPr>
          <w:p w14:paraId="52652D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w:t>
            </w:r>
          </w:p>
        </w:tc>
        <w:tc>
          <w:tcPr>
            <w:tcW w:w="4394" w:type="dxa"/>
            <w:tcBorders>
              <w:top w:val="single" w:sz="12" w:space="0" w:color="auto"/>
            </w:tcBorders>
          </w:tcPr>
          <w:p w14:paraId="0E8AC5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декабре 1942</w:t>
            </w:r>
          </w:p>
        </w:tc>
      </w:tr>
      <w:tr w:rsidR="009B487A" w:rsidRPr="00722885" w14:paraId="198BF946" w14:textId="77777777" w:rsidTr="00CC5360">
        <w:tc>
          <w:tcPr>
            <w:tcW w:w="1127" w:type="dxa"/>
          </w:tcPr>
          <w:p w14:paraId="605DDD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1</w:t>
            </w:r>
          </w:p>
        </w:tc>
        <w:tc>
          <w:tcPr>
            <w:tcW w:w="2242" w:type="dxa"/>
          </w:tcPr>
          <w:p w14:paraId="0BF910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70</w:t>
            </w:r>
          </w:p>
        </w:tc>
        <w:tc>
          <w:tcPr>
            <w:tcW w:w="2693" w:type="dxa"/>
          </w:tcPr>
          <w:p w14:paraId="6D0B61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200</w:t>
            </w:r>
          </w:p>
        </w:tc>
        <w:tc>
          <w:tcPr>
            <w:tcW w:w="4394" w:type="dxa"/>
          </w:tcPr>
          <w:p w14:paraId="68A4E9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300</w:t>
            </w:r>
          </w:p>
        </w:tc>
      </w:tr>
      <w:tr w:rsidR="009B487A" w:rsidRPr="00722885" w14:paraId="5E7F533F" w14:textId="77777777" w:rsidTr="00CC5360">
        <w:tc>
          <w:tcPr>
            <w:tcW w:w="1127" w:type="dxa"/>
          </w:tcPr>
          <w:p w14:paraId="29E6BC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18</w:t>
            </w:r>
          </w:p>
        </w:tc>
        <w:tc>
          <w:tcPr>
            <w:tcW w:w="2242" w:type="dxa"/>
          </w:tcPr>
          <w:p w14:paraId="13D8C0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70</w:t>
            </w:r>
          </w:p>
        </w:tc>
        <w:tc>
          <w:tcPr>
            <w:tcW w:w="2693" w:type="dxa"/>
          </w:tcPr>
          <w:p w14:paraId="7D4B99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200</w:t>
            </w:r>
          </w:p>
        </w:tc>
        <w:tc>
          <w:tcPr>
            <w:tcW w:w="4394" w:type="dxa"/>
          </w:tcPr>
          <w:p w14:paraId="583E06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300</w:t>
            </w:r>
          </w:p>
        </w:tc>
      </w:tr>
      <w:tr w:rsidR="009B487A" w:rsidRPr="00722885" w14:paraId="3F0CC4F6" w14:textId="77777777" w:rsidTr="00CC5360">
        <w:tc>
          <w:tcPr>
            <w:tcW w:w="1127" w:type="dxa"/>
            <w:tcBorders>
              <w:bottom w:val="single" w:sz="12" w:space="0" w:color="auto"/>
            </w:tcBorders>
          </w:tcPr>
          <w:p w14:paraId="55A977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30</w:t>
            </w:r>
          </w:p>
        </w:tc>
        <w:tc>
          <w:tcPr>
            <w:tcW w:w="2242" w:type="dxa"/>
            <w:tcBorders>
              <w:bottom w:val="single" w:sz="12" w:space="0" w:color="auto"/>
            </w:tcBorders>
          </w:tcPr>
          <w:p w14:paraId="615A14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60</w:t>
            </w:r>
          </w:p>
        </w:tc>
        <w:tc>
          <w:tcPr>
            <w:tcW w:w="2693" w:type="dxa"/>
            <w:tcBorders>
              <w:bottom w:val="single" w:sz="12" w:space="0" w:color="auto"/>
            </w:tcBorders>
          </w:tcPr>
          <w:p w14:paraId="57C903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100</w:t>
            </w:r>
          </w:p>
        </w:tc>
        <w:tc>
          <w:tcPr>
            <w:tcW w:w="4394" w:type="dxa"/>
            <w:tcBorders>
              <w:bottom w:val="single" w:sz="12" w:space="0" w:color="auto"/>
            </w:tcBorders>
          </w:tcPr>
          <w:p w14:paraId="5597E3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150</w:t>
            </w:r>
          </w:p>
        </w:tc>
      </w:tr>
    </w:tbl>
    <w:p w14:paraId="67ECF5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Установить для 2-местного Ил-2 нормальную бомбовую нагрузку в 300 кг бомб и 4 РС-82 (927,231).</w:t>
      </w:r>
    </w:p>
    <w:p w14:paraId="08A60F4E" w14:textId="77777777" w:rsidR="00090C9B" w:rsidRPr="00722885" w:rsidRDefault="00090C9B" w:rsidP="00722885">
      <w:pPr>
        <w:pStyle w:val="Iauiue"/>
        <w:jc w:val="both"/>
        <w:rPr>
          <w:color w:val="000000" w:themeColor="text1"/>
          <w:sz w:val="16"/>
          <w:szCs w:val="16"/>
        </w:rPr>
      </w:pPr>
    </w:p>
    <w:p w14:paraId="65A5EA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октября 1942 вышло Постановление ГКО N 2374cc "Обязать НКАП тов. Шахурина внедрить в серийное производство на заводах 1, 18 и 30 двухместный самолет Ил-2 с мотором АМ-38 с установкой для защиты задней полусферы крупнокалиберный пулемет УБТ с боезапасом 150 патронов, с винтом АВ-5Л-158 и со щитками для взлета взамен производящегося на этих заводах одноместного самолета Ил-2 (и прекращения выпуска фронтового бомбардировщика Ту-2, налаженного на единственном заводе, где к тому времени было построено около 60 Ту-2 (453) - этого в тексте нет - 1650,231).</w:t>
      </w:r>
    </w:p>
    <w:p w14:paraId="292B58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Установить следующие сроки внедрения 2-местного Ил-2: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tblGrid>
      <w:tr w:rsidR="009B487A" w:rsidRPr="00722885" w14:paraId="71BA7F92" w14:textId="77777777" w:rsidTr="00CC5360">
        <w:tc>
          <w:tcPr>
            <w:tcW w:w="1127" w:type="dxa"/>
            <w:tcBorders>
              <w:top w:val="single" w:sz="12" w:space="0" w:color="auto"/>
            </w:tcBorders>
          </w:tcPr>
          <w:p w14:paraId="7EFBCD19" w14:textId="77777777" w:rsidR="00090C9B" w:rsidRPr="00722885" w:rsidRDefault="00090C9B" w:rsidP="00722885">
            <w:pPr>
              <w:pStyle w:val="Iauiue"/>
              <w:jc w:val="both"/>
              <w:rPr>
                <w:color w:val="000000" w:themeColor="text1"/>
                <w:sz w:val="16"/>
                <w:szCs w:val="16"/>
              </w:rPr>
            </w:pPr>
          </w:p>
        </w:tc>
        <w:tc>
          <w:tcPr>
            <w:tcW w:w="1127" w:type="dxa"/>
            <w:tcBorders>
              <w:top w:val="single" w:sz="12" w:space="0" w:color="auto"/>
            </w:tcBorders>
          </w:tcPr>
          <w:p w14:paraId="1CF843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w:t>
            </w:r>
          </w:p>
        </w:tc>
        <w:tc>
          <w:tcPr>
            <w:tcW w:w="1127" w:type="dxa"/>
            <w:tcBorders>
              <w:top w:val="single" w:sz="12" w:space="0" w:color="auto"/>
            </w:tcBorders>
          </w:tcPr>
          <w:p w14:paraId="7B4626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w:t>
            </w:r>
          </w:p>
        </w:tc>
        <w:tc>
          <w:tcPr>
            <w:tcW w:w="1127" w:type="dxa"/>
            <w:tcBorders>
              <w:top w:val="single" w:sz="12" w:space="0" w:color="auto"/>
            </w:tcBorders>
          </w:tcPr>
          <w:p w14:paraId="4D4BD8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декабре 1942</w:t>
            </w:r>
          </w:p>
        </w:tc>
      </w:tr>
      <w:tr w:rsidR="009B487A" w:rsidRPr="00722885" w14:paraId="0A54CDE0" w14:textId="77777777" w:rsidTr="00CC5360">
        <w:tc>
          <w:tcPr>
            <w:tcW w:w="1127" w:type="dxa"/>
          </w:tcPr>
          <w:p w14:paraId="1ABD0A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1</w:t>
            </w:r>
          </w:p>
        </w:tc>
        <w:tc>
          <w:tcPr>
            <w:tcW w:w="1127" w:type="dxa"/>
          </w:tcPr>
          <w:p w14:paraId="613BA6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70</w:t>
            </w:r>
          </w:p>
        </w:tc>
        <w:tc>
          <w:tcPr>
            <w:tcW w:w="1127" w:type="dxa"/>
          </w:tcPr>
          <w:p w14:paraId="486114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200</w:t>
            </w:r>
          </w:p>
        </w:tc>
        <w:tc>
          <w:tcPr>
            <w:tcW w:w="1127" w:type="dxa"/>
          </w:tcPr>
          <w:p w14:paraId="4F6254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300</w:t>
            </w:r>
          </w:p>
        </w:tc>
      </w:tr>
      <w:tr w:rsidR="009B487A" w:rsidRPr="00722885" w14:paraId="4032EFE2" w14:textId="77777777" w:rsidTr="00CC5360">
        <w:tc>
          <w:tcPr>
            <w:tcW w:w="1127" w:type="dxa"/>
          </w:tcPr>
          <w:p w14:paraId="726ABE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18</w:t>
            </w:r>
          </w:p>
        </w:tc>
        <w:tc>
          <w:tcPr>
            <w:tcW w:w="1127" w:type="dxa"/>
          </w:tcPr>
          <w:p w14:paraId="0424A4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70</w:t>
            </w:r>
          </w:p>
        </w:tc>
        <w:tc>
          <w:tcPr>
            <w:tcW w:w="1127" w:type="dxa"/>
          </w:tcPr>
          <w:p w14:paraId="0CC085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200</w:t>
            </w:r>
          </w:p>
        </w:tc>
        <w:tc>
          <w:tcPr>
            <w:tcW w:w="1127" w:type="dxa"/>
          </w:tcPr>
          <w:p w14:paraId="50DCC3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300</w:t>
            </w:r>
          </w:p>
        </w:tc>
      </w:tr>
      <w:tr w:rsidR="009B487A" w:rsidRPr="00722885" w14:paraId="3587D190" w14:textId="77777777" w:rsidTr="00CC5360">
        <w:tc>
          <w:tcPr>
            <w:tcW w:w="1127" w:type="dxa"/>
            <w:tcBorders>
              <w:bottom w:val="single" w:sz="12" w:space="0" w:color="auto"/>
            </w:tcBorders>
          </w:tcPr>
          <w:p w14:paraId="7D2993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30</w:t>
            </w:r>
          </w:p>
        </w:tc>
        <w:tc>
          <w:tcPr>
            <w:tcW w:w="1127" w:type="dxa"/>
            <w:tcBorders>
              <w:bottom w:val="single" w:sz="12" w:space="0" w:color="auto"/>
            </w:tcBorders>
          </w:tcPr>
          <w:p w14:paraId="3EFD63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60</w:t>
            </w:r>
          </w:p>
        </w:tc>
        <w:tc>
          <w:tcPr>
            <w:tcW w:w="1127" w:type="dxa"/>
            <w:tcBorders>
              <w:bottom w:val="single" w:sz="12" w:space="0" w:color="auto"/>
            </w:tcBorders>
          </w:tcPr>
          <w:p w14:paraId="19D0A7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100</w:t>
            </w:r>
          </w:p>
        </w:tc>
        <w:tc>
          <w:tcPr>
            <w:tcW w:w="1127" w:type="dxa"/>
            <w:tcBorders>
              <w:bottom w:val="single" w:sz="12" w:space="0" w:color="auto"/>
            </w:tcBorders>
          </w:tcPr>
          <w:p w14:paraId="74AD40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150</w:t>
            </w:r>
          </w:p>
        </w:tc>
      </w:tr>
    </w:tbl>
    <w:p w14:paraId="367F5F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Установить для 2-местного Ил-2 нормальную бомбовую нагрузку в 300 кг бомб и 4 РС-82.</w:t>
      </w:r>
    </w:p>
    <w:p w14:paraId="4F73F1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Председатель ГКО И.Сталин (453) (1650,231).</w:t>
      </w:r>
    </w:p>
    <w:p w14:paraId="2E123F98" w14:textId="77777777" w:rsidR="00090C9B" w:rsidRPr="00722885" w:rsidRDefault="00090C9B" w:rsidP="00722885">
      <w:pPr>
        <w:pStyle w:val="Iauiue"/>
        <w:jc w:val="both"/>
        <w:rPr>
          <w:color w:val="000000" w:themeColor="text1"/>
          <w:sz w:val="16"/>
          <w:szCs w:val="16"/>
        </w:rPr>
      </w:pPr>
    </w:p>
    <w:p w14:paraId="0D1E66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октября 1942 г. не дожидаясь окончания государственных испытаний двухме</w:t>
      </w:r>
      <w:r w:rsidRPr="00722885">
        <w:rPr>
          <w:rFonts w:ascii="Times New Roman" w:hAnsi="Times New Roman"/>
          <w:color w:val="000000" w:themeColor="text1"/>
          <w:sz w:val="16"/>
          <w:szCs w:val="16"/>
        </w:rPr>
        <w:softHyphen/>
        <w:t>стных Ил-2, ГКО выпустил постановление № 2374, которым обязал наркомат авиационной промышленности запустить в серию на заводах № 1, № 18 и № 30 двухместный Ил-2 с оборонительной установкой под пулемет УБТ с винтом АВ-5Л-158 и со щитками для взлета. Боезапас для УБТ устанавливался в 150 патронов, нормальная бомбовая нагрузка в 300 кг, а также 4 реак</w:t>
      </w:r>
      <w:r w:rsidRPr="00722885">
        <w:rPr>
          <w:rFonts w:ascii="Times New Roman" w:hAnsi="Times New Roman"/>
          <w:color w:val="000000" w:themeColor="text1"/>
          <w:sz w:val="16"/>
          <w:szCs w:val="16"/>
        </w:rPr>
        <w:softHyphen/>
        <w:t>тивных снаряда РС-82 (10695).</w:t>
      </w:r>
    </w:p>
    <w:p w14:paraId="6247D87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0D65A92" w14:textId="77777777" w:rsidR="00770D72" w:rsidRPr="00722885" w:rsidRDefault="00770D72" w:rsidP="00722885">
      <w:pPr>
        <w:pStyle w:val="28"/>
        <w:shd w:val="clear" w:color="auto" w:fill="auto"/>
        <w:spacing w:before="0" w:line="240" w:lineRule="auto"/>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5 октября 1942 года Главный инженер ВВС запретил эксплуатацию самолетов А-20 и В-25 на другом топливе, кроме американского Б-100. Наш бензин 4Б-78 «ел» резину баков.</w:t>
      </w:r>
    </w:p>
    <w:p w14:paraId="0A5D4A57" w14:textId="77777777" w:rsidR="00770D72" w:rsidRPr="00722885" w:rsidRDefault="00770D72" w:rsidP="00722885">
      <w:pPr>
        <w:pStyle w:val="28"/>
        <w:shd w:val="clear" w:color="auto" w:fill="auto"/>
        <w:spacing w:before="0" w:line="240" w:lineRule="auto"/>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Американские самолеты были надежны, но требовали к себе уважения: для ремонта годились только импортные подшипники, прокладки и прочая мелочевка, особые требования были к прогреву двигателей, зарядке аккумуляторов, пайке проводки и т.д. Это создавало трудности техсоставу, но повышало уровень его подготовки, что сыграло свою положительную роль при освоении новых самолетов после войны (22858).</w:t>
      </w:r>
    </w:p>
    <w:p w14:paraId="37F9A108" w14:textId="77777777" w:rsidR="00770D72" w:rsidRPr="00722885" w:rsidRDefault="00770D72" w:rsidP="00722885">
      <w:pPr>
        <w:pStyle w:val="28"/>
        <w:shd w:val="clear" w:color="auto" w:fill="auto"/>
        <w:spacing w:before="0" w:line="240" w:lineRule="auto"/>
        <w:jc w:val="both"/>
        <w:rPr>
          <w:rFonts w:ascii="Times New Roman" w:hAnsi="Times New Roman" w:cs="Times New Roman"/>
          <w:color w:val="0070C0"/>
          <w:sz w:val="16"/>
          <w:szCs w:val="16"/>
        </w:rPr>
      </w:pPr>
    </w:p>
    <w:p w14:paraId="7948190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DF62765" w14:textId="77777777" w:rsidR="00090C9B" w:rsidRPr="00722885" w:rsidRDefault="00090C9B" w:rsidP="00722885">
      <w:pPr>
        <w:pStyle w:val="Iauiue"/>
        <w:jc w:val="both"/>
        <w:rPr>
          <w:iCs/>
          <w:color w:val="000000" w:themeColor="text1"/>
          <w:sz w:val="16"/>
          <w:szCs w:val="16"/>
        </w:rPr>
      </w:pPr>
    </w:p>
    <w:p w14:paraId="47522A87" w14:textId="77777777" w:rsidR="00F52A21" w:rsidRPr="00722885" w:rsidRDefault="00F52A2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5 октября 1942 переделанный КВ-13 вышел на третий пробег, преодолев дистанцию в 35 километров. Выяснилось, что винт натяжного механизма во время езды отворачивается, в результате гусеница часто ослабевала и рвала крылья. Правое крыло оказалось порвано полностью, с левого сорвало болты крепления. Потеря крыльев сказалась на работе двигателя, поскольку летящая грязь забивала воздухозаборники. Трансмиссия работала надежно, а вот двигатель на высоких оборотах имел склонность к перегреву. По возвращению на завод КВ-13 встал на ремонт, который длился неделю. В следующий раз танк отправился в путь 13 октября, пройдя 85 километров. Забрасывание землей воздухозаборников продолжилось, как и перегрев двигателя. Никуда не делись и проблемы с механизмом натяжения гусеницы. </w:t>
      </w:r>
      <w:r w:rsidRPr="00722885">
        <w:rPr>
          <w:rFonts w:ascii="Times New Roman" w:eastAsia="Times New Roman" w:hAnsi="Times New Roman"/>
          <w:color w:val="000000" w:themeColor="text1"/>
          <w:sz w:val="16"/>
          <w:szCs w:val="16"/>
          <w:lang w:eastAsia="ru-RU"/>
        </w:rPr>
        <w:lastRenderedPageBreak/>
        <w:t>К старым проблема добавились неполадки с коробкой передач. Неприятности с КПП продолжились и в последующих двух заездах, которые состоялись 16 и 19 октября.</w:t>
      </w:r>
    </w:p>
    <w:p w14:paraId="363658E8" w14:textId="77777777" w:rsidR="00F52A21" w:rsidRPr="00722885" w:rsidRDefault="00F52A2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Всего за сентябрь-ноябрь 1942 года КВ-13 преодолел 715 километров, в ходе которых выявилось около 50 различных дефектов. После прохождения 565 километров на танке заменили гусеницы от Т-34 на гусеницы от КВ-1с, одновременно поменяли и ведущие колеса. Нельзя сказать, что это сильно улучшило ситуацию. В ходе пробега 3 ноября было зафиксировано три случая выхода гусеницы из зацепления со звездочкой ведущего колеса. Выявлялись и другие недостатки, например, большое количество щелей в днище, через которые внутрь танка попадала вода.</w:t>
      </w:r>
    </w:p>
    <w:p w14:paraId="5DFD8A48" w14:textId="77777777" w:rsidR="00F52A21" w:rsidRPr="00722885" w:rsidRDefault="00F52A2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Несмотря на то, что до конца 1942 года машина участвовала в различных испытаниях, стало ясно, что она явно не удалась. Понимали это и на ЧКЗ. Неудивительно, что в ноябре начались работы по разработке улучшенного КВ-13. Этот танк заметно отличался от предшественника. Что же касается первого КВ-13, то он оказался одновременно и первым шагом на пути к ИС-2, лучшему советскому тяжелому танку военного периода и, возможно, лучшему тяжелому танку всей Второй мировой войны (17537).</w:t>
      </w:r>
    </w:p>
    <w:p w14:paraId="62AEC95E" w14:textId="77777777" w:rsidR="00F52A21" w:rsidRPr="00722885" w:rsidRDefault="00F52A21" w:rsidP="00722885">
      <w:pPr>
        <w:spacing w:after="0" w:line="240" w:lineRule="auto"/>
        <w:jc w:val="both"/>
        <w:rPr>
          <w:rFonts w:ascii="Times New Roman" w:eastAsia="Times New Roman" w:hAnsi="Times New Roman"/>
          <w:color w:val="000000" w:themeColor="text1"/>
          <w:sz w:val="16"/>
          <w:szCs w:val="16"/>
          <w:lang w:eastAsia="ru-RU"/>
        </w:rPr>
      </w:pPr>
    </w:p>
    <w:p w14:paraId="666FF3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октября 1942 года в соответствии с приказом НКТП все работы на СТЗ были прекращены, а оставшиеся рабочие эвакуированы (3862).</w:t>
      </w:r>
    </w:p>
    <w:p w14:paraId="6FDCE22A" w14:textId="77777777" w:rsidR="00090C9B" w:rsidRPr="00722885" w:rsidRDefault="00090C9B" w:rsidP="00722885">
      <w:pPr>
        <w:pStyle w:val="Iauiue"/>
        <w:jc w:val="both"/>
        <w:rPr>
          <w:color w:val="000000" w:themeColor="text1"/>
          <w:sz w:val="16"/>
          <w:szCs w:val="16"/>
        </w:rPr>
      </w:pPr>
    </w:p>
    <w:p w14:paraId="07DD6A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октября 1942 года приказом наркомтан- копрома работы на Сталинградском тракторном заводе были прекращены окончательно:</w:t>
      </w:r>
    </w:p>
    <w:p w14:paraId="545368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«Развертывание боевых действий в непосредственной близости к заводу, систематические и непрерывные бомбардировки, минометный и артиллерийский обстрел не позволяют производить на СТЗ каких бы то ни было работ. В связи с этим Наркомат танковой промышленности СССР считает нецелесообразным дальнейшее пребывание на территории завода оставшихся там высококвалифицированных рабочих завода и отзывает их для использования на других предприятиях НКТП» (12217).</w:t>
      </w:r>
    </w:p>
    <w:p w14:paraId="1EDF28B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22ABE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октября 1942 появилось постановление военного совета 62-й армии следующего содержания:</w:t>
      </w:r>
    </w:p>
    <w:p w14:paraId="6CEDD2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усиления обороны заводов «Красный Октябрь». «Баррикады» и СТЗ и создания в них опорных пунктов из рабочих отрядов Военный совет армии постановляет:</w:t>
      </w:r>
    </w:p>
    <w:p w14:paraId="7AA0AE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Призвать в Красную Армию и зачислить на все виды довольствия с 5.10.1942 г. рабочие вооруженные отряды Краснооктябрьского, Баррикадного и Тракторозаводского районов, Особый вооруженный отряд рабочих СТЗ и Истребительный отряд Тракторозаводского района.</w:t>
      </w:r>
    </w:p>
    <w:p w14:paraId="01485E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Рабочий вооруженный отряд Краснооктябрьского района переподчинить 39-й гвардейской стрелковой дивизии, рабочий вооруженный отряд Баррикадного района и Истребительный батальон переподчинить 308-й стрелковой дивизии, рабочий вооруженный отряд, Истребительный вооруженный отряд и Особый вооруженный отряд рабочих СТЗ переподчинить 37-й гвардейской стрелковой дивизии.</w:t>
      </w:r>
    </w:p>
    <w:p w14:paraId="5056A6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 случае поступления приказа о передислокации частей - вооруженные отряды оставлять на месте и переподчинять их вновь прибывшим войсковым соединениям, с зачислением на все виды довольствия.</w:t>
      </w:r>
    </w:p>
    <w:p w14:paraId="274190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Отделу комплектования немедленно оформить зачисление рядового и младшего начсостава отрядов в состав действующей Красной Армии, а довольствующим отделам - обеспечить положенными видами довольствия» (12217).</w:t>
      </w:r>
    </w:p>
    <w:p w14:paraId="195432A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E2886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октября 1942 вышло Постановление ГКО № 2371 О т. Осине Н.Л. (назначение) РГАНИР, Фонд ГКО, д. 61, лл. 5 (11012).</w:t>
      </w:r>
    </w:p>
    <w:p w14:paraId="03C5D87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80E95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октября 1942 вышло Постановление ГКО № 2372 О мероприятиях по ускорению восстановления Сталиногорского химкомбината. РГАНИР, Фонд ГКО, д. 61, лл. 6-8, 9-11 (11012).</w:t>
      </w:r>
    </w:p>
    <w:p w14:paraId="4290705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A320AA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CCE7A3D" w14:textId="77777777" w:rsidR="00090C9B" w:rsidRPr="00722885" w:rsidRDefault="00090C9B" w:rsidP="00722885">
      <w:pPr>
        <w:pStyle w:val="Iauiue"/>
        <w:jc w:val="both"/>
        <w:rPr>
          <w:iCs/>
          <w:color w:val="000000" w:themeColor="text1"/>
          <w:sz w:val="16"/>
          <w:szCs w:val="16"/>
        </w:rPr>
      </w:pPr>
    </w:p>
    <w:p w14:paraId="08342F09"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5 октября </w:t>
      </w:r>
      <w:r w:rsidRPr="00722885">
        <w:rPr>
          <w:rFonts w:ascii="Times New Roman" w:hAnsi="Times New Roman"/>
          <w:color w:val="000000" w:themeColor="text1"/>
          <w:sz w:val="16"/>
          <w:szCs w:val="16"/>
        </w:rPr>
        <w:t>в 1942 году утреннее сообщение Совинформбюро:</w:t>
      </w:r>
    </w:p>
    <w:p w14:paraId="54FD1A93"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6 октября наши войска вели бои с противником в районе Сталинграда и в районе Моздока. На других фронтах никаких изменений не произошло.</w:t>
      </w:r>
    </w:p>
    <w:p w14:paraId="0CF15CFC"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бои с танками и пехотой противника. На участок, который обороняет Н-ская часть, немцы бросили в атаку до полка пехоты и15 танков. Наши бойцы отбили одну за другой семь атак гитлеровцев, подбили 3 танка и уничтожили до роты немецкой пехоты.</w:t>
      </w:r>
    </w:p>
    <w:p w14:paraId="2288F263"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Артиллерийским огнём кораблей Волжской военной флотилии подавлен огонь 2 артиллерийских батарей и уничтожены 3 миномётные батареи противника.</w:t>
      </w:r>
    </w:p>
    <w:p w14:paraId="7AC77456"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Н-ская часть вела активные бои и несколько продвинулась вперёд. Противник на отдельных участках переходил в контратаки, но был отброшен ружейно-пулемётным и миномётным огнём наших подразделений. В ходе этих боёв немцы потеряли убитыми до 400 солдат и офицеров. Уничтожено 23 вражеских пулемёта, орудие и несколько повозок с боеприпасами. Нашими бойцами огнём из пехотного оружия сбит немецкий самолёт.</w:t>
      </w:r>
    </w:p>
    <w:p w14:paraId="50C7062C"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бойцы отбили атаку противника. Огнём артиллерии и миномётов уничтожено 3 танка и 80 гитлеровцев. На другом участке гвардейская часть уничтожила 4 немецких танка, 13 повозок и истребила до 200 солдат и офицеров противника.</w:t>
      </w:r>
    </w:p>
    <w:p w14:paraId="7E44946E"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 одном из участков советские бойцы перешли в контратаку и овладели высотой. В бою за высоту разгромлен румынский батальон, уничтожено 2 танка и 7 автомашин. Огнём наших зенитчиков сбито 2 и повреждено 2 немецких самолёта.</w:t>
      </w:r>
    </w:p>
    <w:p w14:paraId="27FF46FC"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активными действиями наших подразделений, огнём артиллерии, миномётов и снайперов за три дня истреблено до двух рот гитлеровцев. Лётчики Краснознамённого Балтийского флота совершили успешный налёт на аэродром противника. Бомбовым ударом уничтожено на земле 7 и повреждено 12 вражеских бомбардировщиков «Юнкерс-88». Кроме того, в воздушном бою наши лётчики сбили 3 немецких самолёта.</w:t>
      </w:r>
    </w:p>
    <w:p w14:paraId="0752F151"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5 роты 515 полка 294 немецкой пехотной дивизии Максимилиан Матцнер рассказал: «Зимой в боях под Харьковом я обморозился, долгое время находился в госпиталях и лишь в августе вернулся в свою часть. К этому времени состав роты полностью обновился. Во всём батальоне я едва отыскал несколько знакомых солдат. Из бесед с ними я узнал о тяжёлых потерях наших подразделений. В 5 роте было 145 человек. Три раза она получала пополнения общей численностью в 150 человек. К моему возвращению в ней осталось не более 40 солдат. Товарищи сообщили мне, что в одном бою из строя выбыло очень много офицеров. Убиты командир дивизии генерал Габке, начальник штаба дивизии и другие офицеры. Солдаты с ужасом думают о наступающей зиме и о бедствиях, какие несут немецкой армии морозы».</w:t>
      </w:r>
    </w:p>
    <w:p w14:paraId="140053A5"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Немецкому унтер-офицеру Фридриху Келлеру пишет Эльза Штраубе из Вены: «В городе стоит стон от раненых. Их сейчас у нас так много, как никогда. Раненых привозят в санитарных поездах и на пароходах. Вчера опять прибыли три парохода. У моста собралась большая толпа. Не могу тебе описать всего того, что я там видела. Я думаю, что в Вене сейчас раненых солдат больше, чем жителей...»</w:t>
      </w:r>
    </w:p>
    <w:p w14:paraId="6B95A2A7"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граждане, бежавшие из фашистского плена, рассказали о чудовищных зверствах, которые чинят немецко-фашистские мерзавцы в оккупированных ими районах Кубани. Заняв село Псебай, Краснодарского края, немцы начали творить кровавую расправу над крестьянами. В первый же день гитлеровцы повесили колхозников Шилина, Токарева и Полякова. Всех взрослых и подростков гитлеровцы погнали на ремонт дорог и мостов. Беременную колхозницу Курилкину заставили таскать камни и песок. Когда она упала, немецкие мерзавцы зверски избили её, а потом расстреляли.» (14790).</w:t>
      </w:r>
    </w:p>
    <w:p w14:paraId="668DC5F8"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67F0AB1C"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5 октября </w:t>
      </w:r>
      <w:r w:rsidRPr="00722885">
        <w:rPr>
          <w:rFonts w:ascii="Times New Roman" w:hAnsi="Times New Roman"/>
          <w:color w:val="000000" w:themeColor="text1"/>
          <w:sz w:val="16"/>
          <w:szCs w:val="16"/>
        </w:rPr>
        <w:t>в 1942 году вечернее сообщение Совинформбюро:</w:t>
      </w:r>
    </w:p>
    <w:p w14:paraId="16E14038"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6 октября наши войска вели бои с противником в районе Сталинграда и в районе Моздока. На других фронтах существенных изменений не произошло.</w:t>
      </w:r>
    </w:p>
    <w:p w14:paraId="5A695F29"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5 октября частями нашей авиации на различных участках фронта уничтожено или повреждено 5 немецких танков, 25 автомашин с войсками, 5 автоцистерн с горючим, взорвано 3 склада боеприпасов, подавлен огонь 5 артиллерийских батарей, рассеяно и частью уничтожено до роты пехоты противника.</w:t>
      </w:r>
    </w:p>
    <w:p w14:paraId="1774984A"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Крупные силы пехоты и танков противника непрерывно атаковали наши позиции в направлении заводского посёлка. В середине дня 12 немецких танков проникли в один из кварталов посёлка. Наши части вели бои по уничтожению вклинившихся в нашу оборону танков противника, и к исходу дня 11 танков из 12 прорвавшихся были уничтожены. Бойцы Н-ского соединения в течение дня уничтожили до батальона немецкой пехоты, подбили и сожгли 18 танков и ружейно-пулемётным огнём сбили 3 самолёта противника.</w:t>
      </w:r>
    </w:p>
    <w:p w14:paraId="6F03140A"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Н-ской части, преодолевая упорное сопротивление противника, несколько продвинулись вперёд. В ходе этих боёв уничтожено до 500 немецких солдат и офицеров, 3 танка, 9 орудий, 2 миномётные батареи, 3 миномёта и 13 пулемётов противника. Подразделения Н-ской гвардейской части ворвались на окраину одного населённого пункта, разрушили 10 ДЗОТ'ов и блиндажей и истребили 150 гитлеровцев.</w:t>
      </w:r>
    </w:p>
    <w:p w14:paraId="6424B692"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артиллеристы и миномётчики Н-ской части отбили три атаки противника, уничтожив при этом 4 танка, 10 пулемётов, 2 автомашины и до 200 гитлеровцев. Миномётчики тт. Кабаков, Горбунов, Смирнов и Филиппов истребили до 100 немецких солдат и офицеров. На другом участке происходили ожесточенные бои за один населённый пункт, который четыре раза переходил из рук в руки. После упорных боёв наша часть оставила этот населённый пункт.</w:t>
      </w:r>
    </w:p>
    <w:p w14:paraId="6F7CF174"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Два дня назад в районе Синявина противник двумя дивизиями повёл атаку на наши позиции. Все атаки противника были отбиты с огромными для него потерями. В этих боях немцы потеряли 16 танков и до 4.000 солдат и офицеров.</w:t>
      </w:r>
    </w:p>
    <w:p w14:paraId="2747D6FE"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Юго-восточнее Новороссийска наши части отбили атаки крупных сил противника и прочно удерживают занятые рубежи. На поле боя осталось свыше 200 вражеских трупов. Подбит один немецкий танк и подавлен огонь 6 артиллерийских батарей противника.</w:t>
      </w:r>
    </w:p>
    <w:p w14:paraId="0A0F9ED3"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 авиачастей, где командирами тт. Краснолуцкий, Фомин и Шевелёв, совершили налёт на аэродром противника. Неожиданно появившись над целью, они сбросили бомбы и обстреляли из пулемётов находившиеся на земле немецкие самолёты. В результате налёта уничтожено 5 и повреждено 3 немецких самолёта.</w:t>
      </w:r>
    </w:p>
    <w:p w14:paraId="144CC23F"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Взятый в плен южнее Сталинграда солдат 1 роты 5 егерского полка 1 румынской пехотной дивизии Марин Диакон рассказал: «Попытки овладеть населённым пунктом обошлись нашему полку очень дорого. Мы несколько раз переходили в наступление, но неизменно натыкались на непреодолимую стену огня и отходили, неся тяжёлые потери. Когда мы отступали, нас обстреляли находившиеся позади немцы. Мы очутились между двух огней и понесли ещё большие потери. В 1 роте осталось неболее 20 солдат. Чтобы подбодрить упавших духом солдат, офицеры обещают им земли на Украине и в Крыму, но и это мало помогает. Многие солдаты не хотят воевать за Гитлера. Они ненавидят немцев и считают их главными виновниками войны».</w:t>
      </w:r>
    </w:p>
    <w:p w14:paraId="5FC4AA33"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освобождённой от гитлеровцев деревни Панфилово, Ленинградской области, рассказали о кровавом злодеянии немецко-фашистских мерзавцев. Немецкий карательный отряд арестовал 16 колхозниц. Гитлеровцы потребовали от них сведений о местонахождении партизан. Советские женщины отказались отвечать на вопросы. Гитлеровские бандиты схватили одну колхозницу и повесили её у сарая, где допрашивали арестованных. Но и это не устрашило советских патриоток. Тогда немецко-фашистские мерзавцы подвергли колхозниц зверским пыткам, кололи их штыками, вырезали им груди, а потом облили керосином и сожгли.</w:t>
      </w:r>
    </w:p>
    <w:p w14:paraId="16C25307"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Ремшейд (Западная Германия) рабочие завода «Стальиндустри» предъявили администрации следующие требования: повысить заработную плату, отменить вычеты и штрафы и улучшить питание. Все требования были отклонены. В связи с этим рабочие многих цехов отказались приступить к работе и объявили забастовку. Эсэсовцы арестовали более 300 рабочих и бросили их в тюрьму. 14 арестованных, в том числе три итальянца и пять французов, вскоре умерли от побоев.» (14790).</w:t>
      </w:r>
    </w:p>
    <w:p w14:paraId="37F7E79E"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3C7D7B74" w14:textId="77777777" w:rsidR="00B87728" w:rsidRPr="00722885" w:rsidRDefault="00B87728"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 5 октября 1942 года 23-й шап насчитывал девять самолетов Р-10,15 летчиков, 14 штурманов и 73 авиаспециалиста. С 5 октября по 16 декабря было выполнено всего 140 боевых вылетов, в том числе на разведку погоды - 8, на воздушную разведку - 6, на разведку с бомбометание - 97 и только на бом</w:t>
      </w:r>
      <w:r w:rsidRPr="00722885">
        <w:rPr>
          <w:rFonts w:ascii="Times New Roman" w:hAnsi="Times New Roman" w:cs="Times New Roman"/>
          <w:color w:val="000000" w:themeColor="text1"/>
          <w:sz w:val="16"/>
          <w:szCs w:val="16"/>
        </w:rPr>
        <w:softHyphen/>
        <w:t>бардировочные удары - 31. Всего на указанный период пришлось 19 летных дней, но, когда погода позволяла, лет</w:t>
      </w:r>
      <w:r w:rsidRPr="00722885">
        <w:rPr>
          <w:rFonts w:ascii="Times New Roman" w:hAnsi="Times New Roman" w:cs="Times New Roman"/>
          <w:color w:val="000000" w:themeColor="text1"/>
          <w:sz w:val="16"/>
          <w:szCs w:val="16"/>
        </w:rPr>
        <w:softHyphen/>
        <w:t>чики выполняли по два вылета.</w:t>
      </w:r>
    </w:p>
    <w:p w14:paraId="34F5EFED" w14:textId="77777777" w:rsidR="00B87728" w:rsidRPr="00722885" w:rsidRDefault="00B87728"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За это время пропали без вести два самолета, выполнявшие одиночные полеты. Судьба обоих экипажей (Ва</w:t>
      </w:r>
      <w:r w:rsidRPr="00722885">
        <w:rPr>
          <w:rFonts w:ascii="Times New Roman" w:hAnsi="Times New Roman" w:cs="Times New Roman"/>
          <w:color w:val="000000" w:themeColor="text1"/>
          <w:sz w:val="16"/>
          <w:szCs w:val="16"/>
        </w:rPr>
        <w:softHyphen/>
        <w:t>силий Антонович Савушкин - Филипп Прокофьевич Мясников и Николай Николаевич Подозеров - Иван Трифо</w:t>
      </w:r>
      <w:r w:rsidRPr="00722885">
        <w:rPr>
          <w:rFonts w:ascii="Times New Roman" w:hAnsi="Times New Roman" w:cs="Times New Roman"/>
          <w:color w:val="000000" w:themeColor="text1"/>
          <w:sz w:val="16"/>
          <w:szCs w:val="16"/>
        </w:rPr>
        <w:softHyphen/>
        <w:t>нович Асланов)осталась неизвестной. Еще один Р-10 был подбит 30 октября зенитной артиллерией и совершил вы</w:t>
      </w:r>
      <w:r w:rsidRPr="00722885">
        <w:rPr>
          <w:rFonts w:ascii="Times New Roman" w:hAnsi="Times New Roman" w:cs="Times New Roman"/>
          <w:color w:val="000000" w:themeColor="text1"/>
          <w:sz w:val="16"/>
          <w:szCs w:val="16"/>
        </w:rPr>
        <w:softHyphen/>
        <w:t>нужденную посадку в немецком тылу. Пилот лейтенант Борис Владимирович Конов погиб в перестрелке, а его штур</w:t>
      </w:r>
      <w:r w:rsidRPr="00722885">
        <w:rPr>
          <w:rFonts w:ascii="Times New Roman" w:hAnsi="Times New Roman" w:cs="Times New Roman"/>
          <w:color w:val="000000" w:themeColor="text1"/>
          <w:sz w:val="16"/>
          <w:szCs w:val="16"/>
        </w:rPr>
        <w:softHyphen/>
        <w:t>ман В.Н. Гордеев скрывался у местных жителей до прихода советских войск. К боевым добавилась и одна небоевая потеря - летчик Авраменко разбил ма</w:t>
      </w:r>
      <w:r w:rsidRPr="00722885">
        <w:rPr>
          <w:rFonts w:ascii="Times New Roman" w:hAnsi="Times New Roman" w:cs="Times New Roman"/>
          <w:color w:val="000000" w:themeColor="text1"/>
          <w:sz w:val="16"/>
          <w:szCs w:val="16"/>
        </w:rPr>
        <w:softHyphen/>
        <w:t>шину в учебном вылете (19085).</w:t>
      </w:r>
    </w:p>
    <w:p w14:paraId="5A022852" w14:textId="77777777" w:rsidR="00B87728" w:rsidRPr="00722885" w:rsidRDefault="00B87728"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1FD1A7BC"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5 октября </w:t>
      </w:r>
      <w:r w:rsidRPr="00722885">
        <w:rPr>
          <w:rFonts w:ascii="Times New Roman" w:hAnsi="Times New Roman"/>
          <w:color w:val="000000" w:themeColor="text1"/>
          <w:sz w:val="16"/>
          <w:szCs w:val="16"/>
        </w:rPr>
        <w:t>в 1942 году немецкие войска заняли нефтеперерабатывающий центр – Малгобек в Чечено-Ингушетии (14790).</w:t>
      </w:r>
    </w:p>
    <w:p w14:paraId="491C97E3"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68FBA8F8"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5 октября </w:t>
      </w:r>
      <w:r w:rsidRPr="00722885">
        <w:rPr>
          <w:rFonts w:ascii="Times New Roman" w:hAnsi="Times New Roman"/>
          <w:color w:val="000000" w:themeColor="text1"/>
          <w:sz w:val="16"/>
          <w:szCs w:val="16"/>
        </w:rPr>
        <w:t>в 1942 году Адольф Гитлер объявляет "полное овладение" Сталинградом важнейшей задачей группы армий "Б" (14790).</w:t>
      </w:r>
    </w:p>
    <w:p w14:paraId="198E1334"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7A8374F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5 по 15 октября 1942 под руководством командующего ВВС были проведены двусторонние летно-тактические учения ак (1БАК, 1ШАК, 1ИАК) с целью показа тактики действий большими группами на поле боя и выработки основ оперативного применения (340,82).</w:t>
      </w:r>
    </w:p>
    <w:p w14:paraId="202A7DEC" w14:textId="77777777" w:rsidR="00090C9B" w:rsidRPr="00722885" w:rsidRDefault="00090C9B" w:rsidP="00722885">
      <w:pPr>
        <w:pStyle w:val="Iauiue"/>
        <w:jc w:val="both"/>
        <w:rPr>
          <w:color w:val="000000" w:themeColor="text1"/>
          <w:sz w:val="16"/>
          <w:szCs w:val="16"/>
        </w:rPr>
      </w:pPr>
    </w:p>
    <w:p w14:paraId="192D93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5 октября 1942 приказом главного инженера ВВС В-25 перевели па импортный бензин Б-100. Большая часть этого топлива поступала из США в канистрах и наземный состав мучался, сливая содержимое канистр в бензозаправщики. Зато разъедание баков прекратилось. Его выявили сразу же после начала боевой эксплуатации в июле 1942. "Раскисание" мягких бензобаков самолета происходило из-за того, что советский бензин 4Б-78, богатый примесями ароматических углеводородов, быстро разрушал внутренние слон резины (3457,91).</w:t>
      </w:r>
    </w:p>
    <w:p w14:paraId="0470905B" w14:textId="77777777" w:rsidR="00090C9B" w:rsidRPr="00722885" w:rsidRDefault="00090C9B" w:rsidP="00722885">
      <w:pPr>
        <w:pStyle w:val="Iauiue"/>
        <w:jc w:val="both"/>
        <w:rPr>
          <w:color w:val="000000" w:themeColor="text1"/>
          <w:sz w:val="16"/>
          <w:szCs w:val="16"/>
        </w:rPr>
      </w:pPr>
    </w:p>
    <w:p w14:paraId="6D5EB2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октября 1942 Вермахт возобновил атаки на северную промзону города, и вновь на полуразрушенные корпуса обрушились удары с воздуха. Только за один день 6 октября на позиции 37-й стрелковой дивизии, оборонявшейся в тракторном заводе, были сброшены около 600 бомб всех калибров, включая мощные мины ВМЮОО, однако ее бойцы не отступили и продолжали удерживать подступы к берегу Волги. Советская авиация как могла противодействовала атакам Люфтваффе, неся при этом большие потери. 1 октября командующий 8-й воздушной армией генерал Хрюкин вынужден был отправить на переформирование сразу 12 истребительных авиаполков. За месяц интенсивных боев только 220-я и 283-я ИАД потеряли 157 самолетов, при этом погибли 83 летчика. В 434-м ИАП, провоевавшем под Сталинградом всего две недели, к концу сентября осталось менее одной трети самолетов. В ходе 611 боевых вылетов погибли или были ранены 70 летчиков. Вследствие этого полк пришлось в очередной раз отправить на переформирование (11774).</w:t>
      </w:r>
    </w:p>
    <w:p w14:paraId="6504D1F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4F81D4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3D8885F0" w14:textId="77777777" w:rsidR="00090C9B" w:rsidRPr="00722885" w:rsidRDefault="00090C9B" w:rsidP="00722885">
      <w:pPr>
        <w:pStyle w:val="Iauiue"/>
        <w:jc w:val="both"/>
        <w:rPr>
          <w:iCs/>
          <w:color w:val="000000" w:themeColor="text1"/>
          <w:sz w:val="16"/>
          <w:szCs w:val="16"/>
        </w:rPr>
      </w:pPr>
    </w:p>
    <w:p w14:paraId="39870A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октября 1942 года</w:t>
      </w:r>
    </w:p>
    <w:p w14:paraId="0CB620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ЕГО ПРЕВОСХОДИТЕЛЬСТВУ ИОСИФУ СТАЛИНУ, ПРЕДСЕДАТЕЛЮ СОВЕТА НАРОДНЫХ КОМИССАРОВ СССР</w:t>
      </w:r>
    </w:p>
    <w:p w14:paraId="420235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Москва.</w:t>
      </w:r>
    </w:p>
    <w:p w14:paraId="69C23E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Уважаемый г-н Сталин,</w:t>
      </w:r>
    </w:p>
    <w:p w14:paraId="5BF31B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 вручаю это рекомендательное письмо, адресованное Вам, генералу Патрику Дж. Хэрли — бывшему военному министру, а в настоящее время Посланнику Соединенных Штатов в Новой Зеландии.</w:t>
      </w:r>
    </w:p>
    <w:p w14:paraId="186094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Генерал Хэрли возвращается в Новую Зеландию на свой пост, и я считал чрезвычайно важным, чтобы до его возвращения он получил бы возможность посетить Москву и лично изучить, насколько это окажется возможным, наиболее важные стороны нашей нынешней мировой стратегии. Я хочу, чтобы он таким образом в результате личного опыта смог заверить Правительство Новой Зеландии, а также Правительство Австралии в том, что наиболее эффективным способом, при помощи которого Объединенные Нации совместно могут нанести поражение Гитлеру, является оказание всей возможной помощи доблестным русским армиям, которые столь блестяще сопротивляются натиску гитлеровских армий.</w:t>
      </w:r>
    </w:p>
    <w:p w14:paraId="4C2D5B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Равным образом я просил генерала Хэрли посетить Египет, а также Иран и Ирак с тем, чтобы он смог таким образом непосредственно ознакомиться с этой частью Среднего Востока и лично наблюдать за ходом военных действий, которые ведутся в этом районе.</w:t>
      </w:r>
    </w:p>
    <w:p w14:paraId="030ABA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Как Вы знаете, Правительства Австралии и Новой Зеландии склонны считать крайне необходимым, чтобы Объединенные Нации предприняли немедленное и генеральное наступление против Японии. Я хочу, чтобы генерал Хэрли после своего визита в Советский Союз смог бы сказать этим двум Правительствам, что наилучшая стратегия, которой следует придерживаться Объединенным Нациям, состоит в том, чтобы прежде всего объединиться для обеспечения возможности поражения Гитлера и что это является наилучшим и наиболее верным путем обеспечения поражения Японии.</w:t>
      </w:r>
    </w:p>
    <w:p w14:paraId="4DADCD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 посылаю Вам мои самые сердечные поздравления с великолепными победами советских армий и мои наилучшие пожелания Вам дальнейшего благополучия.</w:t>
      </w:r>
    </w:p>
    <w:p w14:paraId="1FB17EB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Верьте мне,</w:t>
      </w:r>
    </w:p>
    <w:p w14:paraId="775733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Искренне Ваш</w:t>
      </w:r>
    </w:p>
    <w:p w14:paraId="676B53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Франклин Д. РУЗВЕЛЬТ (7430).</w:t>
      </w:r>
    </w:p>
    <w:p w14:paraId="1B67BFB7" w14:textId="77777777" w:rsidR="00090C9B" w:rsidRPr="00722885" w:rsidRDefault="00090C9B" w:rsidP="00722885">
      <w:pPr>
        <w:pStyle w:val="Iauiue"/>
        <w:jc w:val="both"/>
        <w:rPr>
          <w:color w:val="000000" w:themeColor="text1"/>
          <w:sz w:val="16"/>
          <w:szCs w:val="16"/>
        </w:rPr>
      </w:pPr>
    </w:p>
    <w:p w14:paraId="763283ED"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5 октября </w:t>
      </w:r>
      <w:r w:rsidRPr="00722885">
        <w:rPr>
          <w:rFonts w:ascii="Times New Roman" w:hAnsi="Times New Roman"/>
          <w:color w:val="000000" w:themeColor="text1"/>
          <w:sz w:val="16"/>
          <w:szCs w:val="16"/>
        </w:rPr>
        <w:t>в 1942 году подписание в Вашингтоне второго протокола о поставках США и Великобританией Советскому Союзу военного снаряжения, боеприпасов и сырья на период с 1 июля 1942 г. по 30 июня 1943 г (14790).</w:t>
      </w:r>
    </w:p>
    <w:p w14:paraId="0AFC2100"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058AA0E5" w14:textId="77777777" w:rsidR="00A1659D" w:rsidRPr="00722885" w:rsidRDefault="00A1659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5 октября </w:t>
      </w:r>
      <w:r w:rsidRPr="00722885">
        <w:rPr>
          <w:rFonts w:ascii="Times New Roman" w:hAnsi="Times New Roman"/>
          <w:color w:val="000000" w:themeColor="text1"/>
          <w:sz w:val="16"/>
          <w:szCs w:val="16"/>
        </w:rPr>
        <w:t>в 1942 году в Вашингтоне подписывается так называемый "Второй протокол ленд-лиза" - соглашение между США, Англией и Советским Союзом о поставке в СССР военного снаряжения, различных товаров и продуктов питания на период с 1 июля 1942 г. по 30 июня 1943 г (14790).</w:t>
      </w:r>
    </w:p>
    <w:p w14:paraId="324B24E5" w14:textId="77777777" w:rsidR="00A1659D" w:rsidRPr="00722885" w:rsidRDefault="00A1659D" w:rsidP="00722885">
      <w:pPr>
        <w:spacing w:after="0" w:line="240" w:lineRule="auto"/>
        <w:jc w:val="both"/>
        <w:rPr>
          <w:rFonts w:ascii="Times New Roman" w:hAnsi="Times New Roman"/>
          <w:color w:val="000000" w:themeColor="text1"/>
          <w:sz w:val="16"/>
          <w:szCs w:val="16"/>
        </w:rPr>
      </w:pPr>
    </w:p>
    <w:p w14:paraId="07D3256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A4ED3CF" w14:textId="77777777" w:rsidR="00090C9B" w:rsidRPr="00722885" w:rsidRDefault="00090C9B" w:rsidP="00722885">
      <w:pPr>
        <w:pStyle w:val="Iauiue"/>
        <w:jc w:val="both"/>
        <w:rPr>
          <w:iCs/>
          <w:color w:val="000000" w:themeColor="text1"/>
          <w:sz w:val="16"/>
          <w:szCs w:val="16"/>
        </w:rPr>
      </w:pPr>
    </w:p>
    <w:p w14:paraId="4D207B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октября 1942 Гимлер приказал сконцентрировать всех евреев из концентрационных лагерей в Освенциме и Майданеке (1798).</w:t>
      </w:r>
    </w:p>
    <w:p w14:paraId="72309168" w14:textId="77777777" w:rsidR="00090C9B" w:rsidRPr="00722885" w:rsidRDefault="00090C9B" w:rsidP="00722885">
      <w:pPr>
        <w:pStyle w:val="Iauiue"/>
        <w:jc w:val="both"/>
        <w:rPr>
          <w:color w:val="000000" w:themeColor="text1"/>
          <w:sz w:val="16"/>
          <w:szCs w:val="16"/>
        </w:rPr>
      </w:pPr>
    </w:p>
    <w:p w14:paraId="4C474408"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05 1942 Rationing of rubber boots begins in the US (1242).</w:t>
      </w:r>
    </w:p>
    <w:p w14:paraId="6509CD7B" w14:textId="77777777" w:rsidR="00090C9B" w:rsidRPr="00722885" w:rsidRDefault="00090C9B" w:rsidP="00722885">
      <w:pPr>
        <w:pStyle w:val="Iauiue"/>
        <w:jc w:val="both"/>
        <w:rPr>
          <w:color w:val="000000" w:themeColor="text1"/>
          <w:sz w:val="16"/>
          <w:szCs w:val="16"/>
          <w:lang w:val="en-US"/>
        </w:rPr>
      </w:pPr>
    </w:p>
    <w:p w14:paraId="441CDB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октября 1942 в США ввели ограничения на продажу резиновой обуви (1242).</w:t>
      </w:r>
    </w:p>
    <w:p w14:paraId="220D3741" w14:textId="77777777" w:rsidR="00090C9B" w:rsidRPr="00722885" w:rsidRDefault="00090C9B" w:rsidP="00722885">
      <w:pPr>
        <w:pStyle w:val="Iauiue"/>
        <w:jc w:val="both"/>
        <w:rPr>
          <w:color w:val="000000" w:themeColor="text1"/>
          <w:sz w:val="16"/>
          <w:szCs w:val="16"/>
        </w:rPr>
      </w:pPr>
    </w:p>
    <w:p w14:paraId="700D79C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006885C" w14:textId="77777777" w:rsidR="00090C9B" w:rsidRPr="00722885" w:rsidRDefault="00090C9B" w:rsidP="00722885">
      <w:pPr>
        <w:pStyle w:val="Iauiue"/>
        <w:jc w:val="both"/>
        <w:rPr>
          <w:iCs/>
          <w:color w:val="000000" w:themeColor="text1"/>
          <w:sz w:val="16"/>
          <w:szCs w:val="16"/>
        </w:rPr>
      </w:pPr>
    </w:p>
    <w:p w14:paraId="25AA18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С 6 по 10 октября 1942 г. двухместный Ил-2бис проходил заводские испытания по программе приемо-сдаточных испытаний серийных самолетов с дополнением по испыта</w:t>
      </w:r>
      <w:r w:rsidRPr="00722885">
        <w:rPr>
          <w:color w:val="000000" w:themeColor="text1"/>
          <w:sz w:val="16"/>
          <w:szCs w:val="16"/>
        </w:rPr>
        <w:softHyphen/>
        <w:t>нию работы задней оборонительной ус</w:t>
      </w:r>
      <w:r w:rsidRPr="00722885">
        <w:rPr>
          <w:color w:val="000000" w:themeColor="text1"/>
          <w:sz w:val="16"/>
          <w:szCs w:val="16"/>
        </w:rPr>
        <w:softHyphen/>
        <w:t>тановки, системы бензопитания и радио</w:t>
      </w:r>
      <w:r w:rsidRPr="00722885">
        <w:rPr>
          <w:color w:val="000000" w:themeColor="text1"/>
          <w:sz w:val="16"/>
          <w:szCs w:val="16"/>
        </w:rPr>
        <w:softHyphen/>
        <w:t>оборудования (6467).</w:t>
      </w:r>
    </w:p>
    <w:p w14:paraId="09678508" w14:textId="77777777" w:rsidR="00090C9B" w:rsidRPr="00722885" w:rsidRDefault="00090C9B" w:rsidP="00722885">
      <w:pPr>
        <w:pStyle w:val="Iauiue"/>
        <w:jc w:val="both"/>
        <w:rPr>
          <w:color w:val="000000" w:themeColor="text1"/>
          <w:sz w:val="16"/>
          <w:szCs w:val="16"/>
        </w:rPr>
      </w:pPr>
    </w:p>
    <w:p w14:paraId="0B0ACC56" w14:textId="77777777" w:rsidR="00232EB4" w:rsidRPr="00722885" w:rsidRDefault="00232EB4" w:rsidP="00722885">
      <w:pPr>
        <w:pStyle w:val="95"/>
        <w:shd w:val="clear" w:color="auto" w:fill="auto"/>
        <w:spacing w:after="0" w:line="240" w:lineRule="auto"/>
        <w:ind w:firstLine="0"/>
        <w:jc w:val="both"/>
        <w:rPr>
          <w:color w:val="0070C0"/>
          <w:sz w:val="16"/>
          <w:szCs w:val="16"/>
        </w:rPr>
      </w:pPr>
      <w:r w:rsidRPr="00722885">
        <w:rPr>
          <w:color w:val="0070C0"/>
          <w:sz w:val="16"/>
          <w:szCs w:val="16"/>
        </w:rPr>
        <w:t>С 6 по 10 октября 1942 г. Ил-2бис (зав. №4434) успешно прошел заводские испыта</w:t>
      </w:r>
      <w:r w:rsidRPr="00722885">
        <w:rPr>
          <w:color w:val="0070C0"/>
          <w:sz w:val="16"/>
          <w:szCs w:val="16"/>
        </w:rPr>
        <w:softHyphen/>
        <w:t>ния по программе приемо-сдаточных испы</w:t>
      </w:r>
      <w:r w:rsidRPr="00722885">
        <w:rPr>
          <w:color w:val="0070C0"/>
          <w:sz w:val="16"/>
          <w:szCs w:val="16"/>
        </w:rPr>
        <w:softHyphen/>
        <w:t>таний серийных самолетов с дополнительной проверкой работы задней оборонительной установки, системы бензопитания и радиообо</w:t>
      </w:r>
      <w:r w:rsidRPr="00722885">
        <w:rPr>
          <w:color w:val="0070C0"/>
          <w:sz w:val="16"/>
          <w:szCs w:val="16"/>
        </w:rPr>
        <w:softHyphen/>
        <w:t>рудования.</w:t>
      </w:r>
    </w:p>
    <w:p w14:paraId="384DACF3" w14:textId="77777777" w:rsidR="00232EB4" w:rsidRPr="00722885" w:rsidRDefault="00232EB4" w:rsidP="00722885">
      <w:pPr>
        <w:pStyle w:val="95"/>
        <w:shd w:val="clear" w:color="auto" w:fill="auto"/>
        <w:spacing w:after="0" w:line="240" w:lineRule="auto"/>
        <w:ind w:firstLine="0"/>
        <w:jc w:val="both"/>
        <w:rPr>
          <w:color w:val="0070C0"/>
          <w:sz w:val="16"/>
          <w:szCs w:val="16"/>
        </w:rPr>
      </w:pPr>
      <w:r w:rsidRPr="00722885">
        <w:rPr>
          <w:color w:val="0070C0"/>
          <w:sz w:val="16"/>
          <w:szCs w:val="16"/>
        </w:rPr>
        <w:t>На заводе №1 по</w:t>
      </w:r>
      <w:r w:rsidRPr="00722885">
        <w:rPr>
          <w:color w:val="0070C0"/>
          <w:sz w:val="16"/>
          <w:szCs w:val="16"/>
        </w:rPr>
        <w:softHyphen/>
        <w:t>строили два экземпляра штурмовика Ил-2бис АМ-38 (зав. №4434 и 4435), имевших полно</w:t>
      </w:r>
      <w:r w:rsidRPr="00722885">
        <w:rPr>
          <w:color w:val="0070C0"/>
          <w:sz w:val="16"/>
          <w:szCs w:val="16"/>
        </w:rPr>
        <w:softHyphen/>
        <w:t>стью бронированную кабину стрелка с бли</w:t>
      </w:r>
      <w:r w:rsidRPr="00722885">
        <w:rPr>
          <w:color w:val="0070C0"/>
          <w:sz w:val="16"/>
          <w:szCs w:val="16"/>
        </w:rPr>
        <w:softHyphen/>
        <w:t>стерной установкой под пулемет УБТ. Иници</w:t>
      </w:r>
      <w:r w:rsidRPr="00722885">
        <w:rPr>
          <w:color w:val="0070C0"/>
          <w:sz w:val="16"/>
          <w:szCs w:val="16"/>
        </w:rPr>
        <w:softHyphen/>
        <w:t>ировал эту работу начальник СКО завода В.П. Яценко.</w:t>
      </w:r>
    </w:p>
    <w:p w14:paraId="16F0B87A" w14:textId="77777777" w:rsidR="00232EB4" w:rsidRPr="00722885" w:rsidRDefault="00232EB4" w:rsidP="00722885">
      <w:pPr>
        <w:pStyle w:val="95"/>
        <w:shd w:val="clear" w:color="auto" w:fill="auto"/>
        <w:spacing w:after="0" w:line="240" w:lineRule="auto"/>
        <w:ind w:firstLine="0"/>
        <w:jc w:val="both"/>
        <w:rPr>
          <w:color w:val="0070C0"/>
          <w:sz w:val="16"/>
          <w:szCs w:val="16"/>
        </w:rPr>
      </w:pPr>
      <w:r w:rsidRPr="00722885">
        <w:rPr>
          <w:color w:val="0070C0"/>
          <w:sz w:val="16"/>
          <w:szCs w:val="16"/>
        </w:rPr>
        <w:t>Предложенная заводом №1 кабина стрелка имела много общих компоновочных и конструктивных решений с кабинами стрел</w:t>
      </w:r>
      <w:r w:rsidRPr="00722885">
        <w:rPr>
          <w:color w:val="0070C0"/>
          <w:sz w:val="16"/>
          <w:szCs w:val="16"/>
        </w:rPr>
        <w:softHyphen/>
        <w:t>ков на самолетах БШ-2 АМ-35 и Ил-2 М-82. Она оборудовалась на месте заднего бензо</w:t>
      </w:r>
      <w:r w:rsidRPr="00722885">
        <w:rPr>
          <w:color w:val="0070C0"/>
          <w:sz w:val="16"/>
          <w:szCs w:val="16"/>
        </w:rPr>
        <w:softHyphen/>
        <w:t>бака, а потому оказалась более просторной, чем кабина завода №30. Стрелок располагал регулируемым по высоте жестким сиденьем (вместо матерчатой ленты на конструкции завода №30). Кабина снабжалась сдвижным назад прозрачным фонарем. Связь летчика и стрелка, кроме самолетного переговорного устройства СПУ-2ф и трехцветной световой сигнализации, осуществлялась еще и через заднее бронестекло кабины летчика. Из ка</w:t>
      </w:r>
      <w:r w:rsidRPr="00722885">
        <w:rPr>
          <w:color w:val="0070C0"/>
          <w:sz w:val="16"/>
          <w:szCs w:val="16"/>
        </w:rPr>
        <w:softHyphen/>
        <w:t>бины летчика в кабину стрелка из кабины летчика перенесли приемник РСИ-4А. Под по</w:t>
      </w:r>
      <w:r w:rsidRPr="00722885">
        <w:rPr>
          <w:color w:val="0070C0"/>
          <w:sz w:val="16"/>
          <w:szCs w:val="16"/>
        </w:rPr>
        <w:softHyphen/>
        <w:t>лом кабины располагался аккумулятор 12А-10. Т-образную антенну заменили</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«на антенну в виде двух лучей, идущих от концов стабилиза</w:t>
      </w:r>
      <w:r w:rsidRPr="00722885">
        <w:rPr>
          <w:rStyle w:val="aff6"/>
          <w:rFonts w:ascii="Times New Roman" w:hAnsi="Times New Roman" w:cs="Times New Roman"/>
          <w:i w:val="0"/>
          <w:iCs w:val="0"/>
          <w:color w:val="0070C0"/>
        </w:rPr>
        <w:softHyphen/>
        <w:t>тора к проходным изоляторам на фюзеляже».</w:t>
      </w:r>
    </w:p>
    <w:p w14:paraId="2BE1DDC3" w14:textId="77777777" w:rsidR="00232EB4" w:rsidRPr="00722885" w:rsidRDefault="00232EB4" w:rsidP="00722885">
      <w:pPr>
        <w:pStyle w:val="95"/>
        <w:shd w:val="clear" w:color="auto" w:fill="auto"/>
        <w:spacing w:after="0" w:line="240" w:lineRule="auto"/>
        <w:ind w:firstLine="0"/>
        <w:jc w:val="both"/>
        <w:rPr>
          <w:color w:val="0070C0"/>
          <w:sz w:val="16"/>
          <w:szCs w:val="16"/>
        </w:rPr>
      </w:pPr>
      <w:r w:rsidRPr="00722885">
        <w:rPr>
          <w:color w:val="0070C0"/>
          <w:sz w:val="16"/>
          <w:szCs w:val="16"/>
        </w:rPr>
        <w:t>Уровень защищенности стрелка почти не уступал защите летчика. От огня со стороны хвоста самолета и сверху он защищался бро- нестенкой толщиной 8 мм, прозрачной бро</w:t>
      </w:r>
      <w:r w:rsidRPr="00722885">
        <w:rPr>
          <w:color w:val="0070C0"/>
          <w:sz w:val="16"/>
          <w:szCs w:val="16"/>
        </w:rPr>
        <w:softHyphen/>
        <w:t>ней на блистере пулемета толщиной 64 мм и 5-миллиметровым броневым листом, уста</w:t>
      </w:r>
      <w:r w:rsidRPr="00722885">
        <w:rPr>
          <w:color w:val="0070C0"/>
          <w:sz w:val="16"/>
          <w:szCs w:val="16"/>
        </w:rPr>
        <w:softHyphen/>
        <w:t>новленным над головой на сдвижной части фонаря кабины. Кабина стрелка имела брони</w:t>
      </w:r>
      <w:r w:rsidRPr="00722885">
        <w:rPr>
          <w:color w:val="0070C0"/>
          <w:sz w:val="16"/>
          <w:szCs w:val="16"/>
        </w:rPr>
        <w:softHyphen/>
        <w:t>рованный пол толщиной 5 мм, а между летчи</w:t>
      </w:r>
      <w:r w:rsidRPr="00722885">
        <w:rPr>
          <w:color w:val="0070C0"/>
          <w:sz w:val="16"/>
          <w:szCs w:val="16"/>
        </w:rPr>
        <w:softHyphen/>
        <w:t>ком и стрелком устанавливалась бронеплита толщиной 7 мм.</w:t>
      </w:r>
    </w:p>
    <w:p w14:paraId="13055995" w14:textId="77777777" w:rsidR="00232EB4" w:rsidRPr="00722885" w:rsidRDefault="00232EB4" w:rsidP="00722885">
      <w:pPr>
        <w:pStyle w:val="95"/>
        <w:shd w:val="clear" w:color="auto" w:fill="auto"/>
        <w:spacing w:after="0" w:line="240" w:lineRule="auto"/>
        <w:ind w:firstLine="0"/>
        <w:jc w:val="both"/>
        <w:rPr>
          <w:color w:val="0070C0"/>
          <w:sz w:val="16"/>
          <w:szCs w:val="16"/>
        </w:rPr>
      </w:pPr>
      <w:r w:rsidRPr="00722885">
        <w:rPr>
          <w:color w:val="0070C0"/>
          <w:sz w:val="16"/>
          <w:szCs w:val="16"/>
        </w:rPr>
        <w:t>Пулемет УБТ монтировался на блистерной установке БЛУБ (блистерная установка Бере</w:t>
      </w:r>
      <w:r w:rsidRPr="00722885">
        <w:rPr>
          <w:color w:val="0070C0"/>
          <w:sz w:val="16"/>
          <w:szCs w:val="16"/>
        </w:rPr>
        <w:softHyphen/>
        <w:t>зина) с боекомплектом 150 патронов в трех магазинах. Углы обстрела составляли (в зави</w:t>
      </w:r>
      <w:r w:rsidRPr="00722885">
        <w:rPr>
          <w:color w:val="0070C0"/>
          <w:sz w:val="16"/>
          <w:szCs w:val="16"/>
        </w:rPr>
        <w:softHyphen/>
        <w:t>симости от поворота кольца установки): вверх в левой половине - до 85°, вверх в правой по</w:t>
      </w:r>
      <w:r w:rsidRPr="00722885">
        <w:rPr>
          <w:color w:val="0070C0"/>
          <w:sz w:val="16"/>
          <w:szCs w:val="16"/>
        </w:rPr>
        <w:softHyphen/>
        <w:t>ловине - до 55°, вправо - от 20 до 45°, влево - от 20 до 50°; вниз стрельба была невозможна. В правой половине задней полусферы допу</w:t>
      </w:r>
      <w:r w:rsidRPr="00722885">
        <w:rPr>
          <w:color w:val="0070C0"/>
          <w:sz w:val="16"/>
          <w:szCs w:val="16"/>
        </w:rPr>
        <w:softHyphen/>
        <w:t>скалась неприцельная стрельба до 65° вверх и 60° в сторону. Прицеливание при больших углах возвышения (от 50 до 85°) было затруд</w:t>
      </w:r>
      <w:r w:rsidRPr="00722885">
        <w:rPr>
          <w:color w:val="0070C0"/>
          <w:sz w:val="16"/>
          <w:szCs w:val="16"/>
        </w:rPr>
        <w:softHyphen/>
        <w:t>нено и производилось небольшим свалива</w:t>
      </w:r>
      <w:r w:rsidRPr="00722885">
        <w:rPr>
          <w:color w:val="0070C0"/>
          <w:sz w:val="16"/>
          <w:szCs w:val="16"/>
        </w:rPr>
        <w:softHyphen/>
        <w:t>нием пулемета.</w:t>
      </w:r>
    </w:p>
    <w:p w14:paraId="4F4A7781" w14:textId="77777777" w:rsidR="00232EB4" w:rsidRPr="00722885" w:rsidRDefault="00232EB4"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отличие от варианта завода №30, цен</w:t>
      </w:r>
      <w:r w:rsidRPr="00722885">
        <w:rPr>
          <w:rFonts w:ascii="Times New Roman" w:hAnsi="Times New Roman"/>
          <w:color w:val="0070C0"/>
          <w:sz w:val="16"/>
          <w:szCs w:val="16"/>
        </w:rPr>
        <w:softHyphen/>
        <w:t>тровка Ил-2бис не изменилась. Испытания показали, что по летным и пилотажным каче</w:t>
      </w:r>
      <w:r w:rsidRPr="00722885">
        <w:rPr>
          <w:rFonts w:ascii="Times New Roman" w:hAnsi="Times New Roman"/>
          <w:color w:val="0070C0"/>
          <w:sz w:val="16"/>
          <w:szCs w:val="16"/>
        </w:rPr>
        <w:softHyphen/>
        <w:t>ствам он практически ничем не отличался от одноместного Ил-2.</w:t>
      </w:r>
    </w:p>
    <w:p w14:paraId="62F83825" w14:textId="04BBA612" w:rsidR="00232EB4" w:rsidRPr="00722885" w:rsidRDefault="00232EB4" w:rsidP="00722885">
      <w:pPr>
        <w:spacing w:after="0" w:line="240" w:lineRule="auto"/>
        <w:jc w:val="both"/>
        <w:rPr>
          <w:rStyle w:val="3fa"/>
          <w:rFonts w:ascii="Times New Roman" w:hAnsi="Times New Roman" w:cs="Times New Roman"/>
          <w:i w:val="0"/>
          <w:iCs w:val="0"/>
          <w:color w:val="0070C0"/>
          <w:spacing w:val="0"/>
          <w:sz w:val="16"/>
          <w:szCs w:val="16"/>
        </w:rPr>
      </w:pPr>
      <w:r w:rsidRPr="00722885">
        <w:rPr>
          <w:rStyle w:val="3fa"/>
          <w:rFonts w:ascii="Times New Roman" w:hAnsi="Times New Roman" w:cs="Times New Roman"/>
          <w:i w:val="0"/>
          <w:iCs w:val="0"/>
          <w:color w:val="0070C0"/>
          <w:spacing w:val="0"/>
          <w:sz w:val="16"/>
          <w:szCs w:val="16"/>
        </w:rPr>
        <w:t>В отчете по испытаниям отмечалось:</w:t>
      </w:r>
    </w:p>
    <w:p w14:paraId="76D7698D" w14:textId="678EE19E" w:rsidR="00232EB4" w:rsidRPr="00722885" w:rsidRDefault="00232EB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Самолет Ил-2бис по пилотажным каче</w:t>
      </w:r>
      <w:r w:rsidRPr="00722885">
        <w:rPr>
          <w:rFonts w:ascii="Times New Roman" w:hAnsi="Times New Roman"/>
          <w:color w:val="0070C0"/>
          <w:sz w:val="16"/>
          <w:szCs w:val="16"/>
        </w:rPr>
        <w:softHyphen/>
        <w:t>ствам и надежности работы ничем от серий</w:t>
      </w:r>
      <w:r w:rsidRPr="00722885">
        <w:rPr>
          <w:rFonts w:ascii="Times New Roman" w:hAnsi="Times New Roman"/>
          <w:color w:val="0070C0"/>
          <w:sz w:val="16"/>
          <w:szCs w:val="16"/>
        </w:rPr>
        <w:softHyphen/>
        <w:t>ных самолетов не отличается и может быть допущен к эксплуатации.</w:t>
      </w:r>
    </w:p>
    <w:p w14:paraId="40F93052" w14:textId="77777777" w:rsidR="00232EB4" w:rsidRPr="00722885" w:rsidRDefault="00232EB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Задняя стрелковая установка проверена стрельбой на земле, опробована вращением в воздухе и может быть предъявлена для поли</w:t>
      </w:r>
      <w:r w:rsidRPr="00722885">
        <w:rPr>
          <w:rFonts w:ascii="Times New Roman" w:hAnsi="Times New Roman"/>
          <w:color w:val="0070C0"/>
          <w:sz w:val="16"/>
          <w:szCs w:val="16"/>
        </w:rPr>
        <w:softHyphen/>
        <w:t>гонных испытаний...»</w:t>
      </w:r>
    </w:p>
    <w:p w14:paraId="32BF9B6C" w14:textId="77777777" w:rsidR="00232EB4" w:rsidRPr="00722885" w:rsidRDefault="00232EB4" w:rsidP="00722885">
      <w:pPr>
        <w:pStyle w:val="95"/>
        <w:shd w:val="clear" w:color="auto" w:fill="auto"/>
        <w:spacing w:after="0" w:line="240" w:lineRule="auto"/>
        <w:ind w:firstLine="0"/>
        <w:jc w:val="both"/>
        <w:rPr>
          <w:rStyle w:val="aff6"/>
          <w:rFonts w:ascii="Times New Roman" w:hAnsi="Times New Roman" w:cs="Times New Roman"/>
          <w:i w:val="0"/>
          <w:iCs w:val="0"/>
          <w:color w:val="0070C0"/>
        </w:rPr>
      </w:pPr>
      <w:r w:rsidRPr="00722885">
        <w:rPr>
          <w:color w:val="0070C0"/>
          <w:sz w:val="16"/>
          <w:szCs w:val="16"/>
        </w:rPr>
        <w:t>Однако, судя по документам, Ильюшин ак</w:t>
      </w:r>
      <w:r w:rsidRPr="00722885">
        <w:rPr>
          <w:color w:val="0070C0"/>
          <w:sz w:val="16"/>
          <w:szCs w:val="16"/>
        </w:rPr>
        <w:softHyphen/>
        <w:t>тивно противился работам по Ил-2бис. Дело в том, что на заводе №30 он уже строил 20 самолетов с незащищенным стрелком. Инже</w:t>
      </w:r>
      <w:r w:rsidRPr="00722885">
        <w:rPr>
          <w:color w:val="0070C0"/>
          <w:sz w:val="16"/>
          <w:szCs w:val="16"/>
        </w:rPr>
        <w:softHyphen/>
        <w:t>нер-инспектор Инспекции ВВС КА инженер- майор Ложечников был вынужден 4 октября обратиться непосредственно к начальнику Инспекции полковнику В.И. Сталину с прось</w:t>
      </w:r>
      <w:r w:rsidRPr="00722885">
        <w:rPr>
          <w:color w:val="0070C0"/>
          <w:sz w:val="16"/>
          <w:szCs w:val="16"/>
        </w:rPr>
        <w:softHyphen/>
        <w:t>бой</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«помочь, как можно быстрей провести ис</w:t>
      </w:r>
      <w:r w:rsidRPr="00722885">
        <w:rPr>
          <w:rStyle w:val="aff6"/>
          <w:rFonts w:ascii="Times New Roman" w:hAnsi="Times New Roman" w:cs="Times New Roman"/>
          <w:i w:val="0"/>
          <w:iCs w:val="0"/>
          <w:color w:val="0070C0"/>
        </w:rPr>
        <w:softHyphen/>
        <w:t>пытания двух построенных самолетов Ил-2 за №№ 4434 и 4435 в бою и после чего внедрить их в серийное производство» (19877).</w:t>
      </w:r>
    </w:p>
    <w:p w14:paraId="7BBA4BB5" w14:textId="77777777" w:rsidR="00232EB4" w:rsidRPr="00722885" w:rsidRDefault="00232EB4" w:rsidP="00722885">
      <w:pPr>
        <w:pStyle w:val="95"/>
        <w:shd w:val="clear" w:color="auto" w:fill="auto"/>
        <w:spacing w:after="0" w:line="240" w:lineRule="auto"/>
        <w:ind w:firstLine="0"/>
        <w:jc w:val="both"/>
        <w:rPr>
          <w:color w:val="0070C0"/>
          <w:sz w:val="16"/>
          <w:szCs w:val="16"/>
        </w:rPr>
      </w:pPr>
    </w:p>
    <w:p w14:paraId="63672C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период 6-7 октября 1942-го в НИИ ВВС КА проходил повторные государ</w:t>
      </w:r>
      <w:r w:rsidRPr="00722885">
        <w:rPr>
          <w:color w:val="000000" w:themeColor="text1"/>
          <w:sz w:val="16"/>
          <w:szCs w:val="16"/>
        </w:rPr>
        <w:softHyphen/>
        <w:t>ственные испытания Ил-2, оснащенный авиационным огнеметом (АОГ) конструк</w:t>
      </w:r>
      <w:r w:rsidRPr="00722885">
        <w:rPr>
          <w:color w:val="000000" w:themeColor="text1"/>
          <w:sz w:val="16"/>
          <w:szCs w:val="16"/>
        </w:rPr>
        <w:softHyphen/>
        <w:t>ции ГСКБ-47. Впервые АОГ испытывал</w:t>
      </w:r>
      <w:r w:rsidRPr="00722885">
        <w:rPr>
          <w:color w:val="000000" w:themeColor="text1"/>
          <w:sz w:val="16"/>
          <w:szCs w:val="16"/>
        </w:rPr>
        <w:softHyphen/>
        <w:t>ся в НИП АВ ВВС в августе 41-го и по</w:t>
      </w:r>
      <w:r w:rsidRPr="00722885">
        <w:rPr>
          <w:color w:val="000000" w:themeColor="text1"/>
          <w:sz w:val="16"/>
          <w:szCs w:val="16"/>
        </w:rPr>
        <w:softHyphen/>
        <w:t>казал плохие результаты.</w:t>
      </w:r>
    </w:p>
    <w:p w14:paraId="08320E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АОГ предназначался "для огнеметания с самолета по наземным объектам с целью создания пожаров, уничтоже</w:t>
      </w:r>
      <w:r w:rsidRPr="00722885">
        <w:rPr>
          <w:color w:val="000000" w:themeColor="text1"/>
          <w:sz w:val="16"/>
          <w:szCs w:val="16"/>
        </w:rPr>
        <w:softHyphen/>
        <w:t>ния матчасти вооружения и поражения живой силы". Огнемет для Ил-2 представлял собой серийный универсальный химический прибор УХАП-250 с встроенной систе</w:t>
      </w:r>
      <w:r w:rsidRPr="00722885">
        <w:rPr>
          <w:color w:val="000000" w:themeColor="text1"/>
          <w:sz w:val="16"/>
          <w:szCs w:val="16"/>
        </w:rPr>
        <w:softHyphen/>
        <w:t>мой зажигания. В УХАП-250 заливалось 100 л бензина, смешанного с 4,2 кг нафтената алюминия. Снаряжение произ</w:t>
      </w:r>
      <w:r w:rsidRPr="00722885">
        <w:rPr>
          <w:color w:val="000000" w:themeColor="text1"/>
          <w:sz w:val="16"/>
          <w:szCs w:val="16"/>
        </w:rPr>
        <w:softHyphen/>
        <w:t>водилось вручную, с помощью воронки и ведра. При боевом применении огне-смесь вытеснялась из корпуса прибора газами пиротехнического заряда (ини</w:t>
      </w:r>
      <w:r w:rsidRPr="00722885">
        <w:rPr>
          <w:color w:val="000000" w:themeColor="text1"/>
          <w:sz w:val="16"/>
          <w:szCs w:val="16"/>
        </w:rPr>
        <w:softHyphen/>
        <w:t>циировался при нажатии боевой кнопки) через калиброванное отверстие, на выходе которого смесь воспламенялась от факела системы зажигания. В ходе наземных испытаний конструк</w:t>
      </w:r>
      <w:r w:rsidRPr="00722885">
        <w:rPr>
          <w:color w:val="000000" w:themeColor="text1"/>
          <w:sz w:val="16"/>
          <w:szCs w:val="16"/>
        </w:rPr>
        <w:softHyphen/>
        <w:t>ция АОГ обеспечила вполне приличную дальность огнеметания - до 150 м. Од</w:t>
      </w:r>
      <w:r w:rsidRPr="00722885">
        <w:rPr>
          <w:color w:val="000000" w:themeColor="text1"/>
          <w:sz w:val="16"/>
          <w:szCs w:val="16"/>
        </w:rPr>
        <w:softHyphen/>
        <w:t>нако результаты испытаний АОГ в воз</w:t>
      </w:r>
      <w:r w:rsidRPr="00722885">
        <w:rPr>
          <w:color w:val="000000" w:themeColor="text1"/>
          <w:sz w:val="16"/>
          <w:szCs w:val="16"/>
        </w:rPr>
        <w:softHyphen/>
        <w:t>духе показали его низкую эффектив</w:t>
      </w:r>
      <w:r w:rsidRPr="00722885">
        <w:rPr>
          <w:color w:val="000000" w:themeColor="text1"/>
          <w:sz w:val="16"/>
          <w:szCs w:val="16"/>
        </w:rPr>
        <w:softHyphen/>
        <w:t>ность. Дело в том, что при скорости по</w:t>
      </w:r>
      <w:r w:rsidRPr="00722885">
        <w:rPr>
          <w:color w:val="000000" w:themeColor="text1"/>
          <w:sz w:val="16"/>
          <w:szCs w:val="16"/>
        </w:rPr>
        <w:softHyphen/>
        <w:t>лета "Ила" у земли порядка 320-340 км/ ч плотность распыленной огнесмеси у земли была низкой, так как большая часть смеси сгорала еще в воздухе из-за избытка окислителя, а часть смеси не воспламенялась вовсе. Огнеметание было возможным только до высоты по</w:t>
      </w:r>
      <w:r w:rsidRPr="00722885">
        <w:rPr>
          <w:color w:val="000000" w:themeColor="text1"/>
          <w:sz w:val="16"/>
          <w:szCs w:val="16"/>
        </w:rPr>
        <w:softHyphen/>
        <w:t>лета самолета 10м, хотя и в этом случае до земли долетало не более одной тре</w:t>
      </w:r>
      <w:r w:rsidRPr="00722885">
        <w:rPr>
          <w:color w:val="000000" w:themeColor="text1"/>
          <w:sz w:val="16"/>
          <w:szCs w:val="16"/>
        </w:rPr>
        <w:softHyphen/>
        <w:t>ти распыляемой огнесмеси. При этом полоса разлета огнесмеси от каждого АОГ в ширину не превышала 5-10 м, а концентрация огнесмеси внутри поло</w:t>
      </w:r>
      <w:r w:rsidRPr="00722885">
        <w:rPr>
          <w:color w:val="000000" w:themeColor="text1"/>
          <w:sz w:val="16"/>
          <w:szCs w:val="16"/>
        </w:rPr>
        <w:softHyphen/>
        <w:t>сы не обеспечивала гарантированного поражения целей. В отчете по испытаниям указывалось:</w:t>
      </w:r>
    </w:p>
    <w:p w14:paraId="035E7A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 1. </w:t>
      </w:r>
      <w:r w:rsidRPr="00722885">
        <w:rPr>
          <w:iCs/>
          <w:color w:val="000000" w:themeColor="text1"/>
          <w:sz w:val="16"/>
          <w:szCs w:val="16"/>
        </w:rPr>
        <w:t>Огнемет обладает малой эф</w:t>
      </w:r>
      <w:r w:rsidRPr="00722885">
        <w:rPr>
          <w:iCs/>
          <w:color w:val="000000" w:themeColor="text1"/>
          <w:sz w:val="16"/>
          <w:szCs w:val="16"/>
        </w:rPr>
        <w:softHyphen/>
        <w:t>фективностью вследствие того, что: а) огнесмесь значительно дробится в полете и сгорает в воздухе до паде</w:t>
      </w:r>
      <w:r w:rsidRPr="00722885">
        <w:rPr>
          <w:iCs/>
          <w:color w:val="000000" w:themeColor="text1"/>
          <w:sz w:val="16"/>
          <w:szCs w:val="16"/>
        </w:rPr>
        <w:softHyphen/>
        <w:t>ния на землю, б) происходит непол</w:t>
      </w:r>
      <w:r w:rsidRPr="00722885">
        <w:rPr>
          <w:iCs/>
          <w:color w:val="000000" w:themeColor="text1"/>
          <w:sz w:val="16"/>
          <w:szCs w:val="16"/>
        </w:rPr>
        <w:softHyphen/>
        <w:t>ный поджег всей массы огнесмеси, приводящий к непроизводительному расходованию дефицитного горючего,...г) боевой эффект ничтожен... Предъявленный ГСКБ-47 АОГ на са</w:t>
      </w:r>
      <w:r w:rsidRPr="00722885">
        <w:rPr>
          <w:iCs/>
          <w:color w:val="000000" w:themeColor="text1"/>
          <w:sz w:val="16"/>
          <w:szCs w:val="16"/>
        </w:rPr>
        <w:softHyphen/>
        <w:t>молете Ил-2 полигонных испытаний не выдержал ввиду непригодности к бо</w:t>
      </w:r>
      <w:r w:rsidRPr="00722885">
        <w:rPr>
          <w:iCs/>
          <w:color w:val="000000" w:themeColor="text1"/>
          <w:sz w:val="16"/>
          <w:szCs w:val="16"/>
        </w:rPr>
        <w:softHyphen/>
        <w:t xml:space="preserve">евому применению". </w:t>
      </w:r>
      <w:r w:rsidRPr="00722885">
        <w:rPr>
          <w:color w:val="000000" w:themeColor="text1"/>
          <w:sz w:val="16"/>
          <w:szCs w:val="16"/>
        </w:rPr>
        <w:t>Таким образом, на идее установки АОГ на Ил-2 был поставлен крест, хотя не</w:t>
      </w:r>
      <w:r w:rsidRPr="00722885">
        <w:rPr>
          <w:color w:val="000000" w:themeColor="text1"/>
          <w:sz w:val="16"/>
          <w:szCs w:val="16"/>
        </w:rPr>
        <w:softHyphen/>
        <w:t>удачной, надо признать, была лишь соб</w:t>
      </w:r>
      <w:r w:rsidRPr="00722885">
        <w:rPr>
          <w:color w:val="000000" w:themeColor="text1"/>
          <w:sz w:val="16"/>
          <w:szCs w:val="16"/>
        </w:rPr>
        <w:softHyphen/>
        <w:t>ственно конструкция АОГ, а не идея в целом - испытания подобных устройств на штурмовике Р-5Ш, в силу его мень</w:t>
      </w:r>
      <w:r w:rsidRPr="00722885">
        <w:rPr>
          <w:color w:val="000000" w:themeColor="text1"/>
          <w:sz w:val="16"/>
          <w:szCs w:val="16"/>
        </w:rPr>
        <w:softHyphen/>
        <w:t>шей скорости полета, были весьма удач</w:t>
      </w:r>
      <w:r w:rsidRPr="00722885">
        <w:rPr>
          <w:color w:val="000000" w:themeColor="text1"/>
          <w:sz w:val="16"/>
          <w:szCs w:val="16"/>
        </w:rPr>
        <w:softHyphen/>
        <w:t>ными (6467).</w:t>
      </w:r>
    </w:p>
    <w:p w14:paraId="5A800420" w14:textId="77777777" w:rsidR="00090C9B" w:rsidRPr="00722885" w:rsidRDefault="00090C9B" w:rsidP="00722885">
      <w:pPr>
        <w:pStyle w:val="Iauiue"/>
        <w:jc w:val="both"/>
        <w:rPr>
          <w:color w:val="000000" w:themeColor="text1"/>
          <w:sz w:val="16"/>
          <w:szCs w:val="16"/>
        </w:rPr>
      </w:pPr>
    </w:p>
    <w:p w14:paraId="7C2B2C0B" w14:textId="77777777" w:rsidR="00B87728" w:rsidRPr="00722885" w:rsidRDefault="00B8772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октября 1942 г. в НИИ ВВС для прохождения повторных государственных испытаний поступил Ил-2, оснащенный авиационным огнеметом (АОГ) конструкции ГСКБ-47. Впервые АОГ испытывался на самолете Р-5 в августе 1941 г. и показал плохие результаты, затем повторно – в декабре 1941 г. и в январе 1942 г., но все неудачно. Авиационный огнемет предназначался «для огнеметания с самолета по наземным объектам с целью создания пожаров, поражения живой силы и матчасти противника». Огнемет для Ил-2 представлял собой серийный универсальный химический прибор УХАП-250 с встроенной системой зажигания. ВbУХАП-250 заливалась стандартная огнесмесь из бензина и порошка нафтената алюминия в следующем соотношении: 4,2 кг порошка на 100 л бензина. Смесь необходимо было приготовить не менее чем за сутки до ее применения. Снаряжение производилось вручную, с помощью воронки и ведра. Огнесмесь вытеснялась из корпуса прибора газами пиротехнического заряда (инициировался электрическим импульсом при нажатии боевой кнопки) через калиброванное отверстие диафрагмы, на выходе которой смесь воспламенялась от факела системы зажигания. В огнемете использовались принятые к УХАП-250 диафрагмы – газоотводная и аварийная, а также насадок диаметром 34 мм с коническим стволом. «Зажигалка», состоящая из двух камер под штатные осветительные звездки от осветительных патронов калибра 26 мм, крепилась непосредственно на насадке. На каждой камере имелся пирозатвор под штатный пиропатрон ПП-4, который применялся в ракетных снарядах. Система зажигания включалась в общую электросеть непосредственно через контакты пиротехнического заряда огнемета. Управление пуском огнемета осуществлялось от ЭСБР-3п. Огнеметы подвешивались на замки ДЗ-40. В ходе наземных испытаний конструкция АОГ обеспечила вполне приличную дальность огнеметания – до 150 м, однако результаты испытаний в воздухе показали его низкую эффективность. Дело в том, что при скорости полета Ил-2 у земли порядка 320–340 км/ч плотность распыленной огнесмеси была низкой, так как большая часть смеси «значительно дробится на отдельные капли разных размеров и быстро сгорает в воздухе» из-за избытка окислителя, а часть смеси (не менее 20%) не воспламенялась вовсе. Огнеметание было возможным только до высоты полета самолета 10 м, хотя и в этом случае до земли долетало «ничтожное количество горящей смеси» – не более 20–30% распыляемой огнесмеси. При этом полоса разлета огнесмеси от каждого АОГ в ширину не превышала 5 м, а концентрация огнесмеси внутри полосы не обеспечивала гарантированного поражения целей: «Подвижные цели могут своевременно выйти (из полосы поражения. – Прим. авт.), а неподвижные цели воспламенить затруднительно в силу небольшой мощности огневого факела и невысокой зажигательной способности огнесмеси». В отчете по испытаниям специалисты полигона констатировали: «Авиаогнемет конструкции ГСКБ-47 обладает малой эффективностью. /…/ Затрата больших количеств горючего не оправдывается с точки зрения получаемого ничтожного боевого эффекта. /…/ В эксплуатационном отношении огнемет менее удобен, чем существующие на вооружении другие зажигательные средства, например, пакеты, бомбы, термошары и др. /…/ Предъявленный ГСКБ-47 авиационный огнемет на самолете Ил-2 полигонных испытаний не выдержал и, ввиду непригодности к боевому применению, доработке не подлежит» (19775).</w:t>
      </w:r>
    </w:p>
    <w:p w14:paraId="1F459BD5" w14:textId="77777777" w:rsidR="00B87728" w:rsidRPr="00722885" w:rsidRDefault="00B87728" w:rsidP="00722885">
      <w:pPr>
        <w:spacing w:after="0" w:line="240" w:lineRule="auto"/>
        <w:jc w:val="both"/>
        <w:rPr>
          <w:rFonts w:ascii="Times New Roman" w:hAnsi="Times New Roman"/>
          <w:color w:val="000000" w:themeColor="text1"/>
          <w:sz w:val="16"/>
          <w:szCs w:val="16"/>
        </w:rPr>
      </w:pPr>
    </w:p>
    <w:p w14:paraId="4C77FB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октября 1942 г. в НИИ ВВС для прохождения госиспытаний поступил Ил-2, оснащенный авиационным огнеметом (АОГ). Впервые АОГ испытывался в августе 41-го и показал плохие результаты.Повторные испытания АОГ оказались также неудачными: "...боевой эффект ничтожен... Предъявленный ГСКБ-47 АОГ на самолете Ил-2 ...испытаний не выдержал ввиду не пригодности к боевому применению" (12020).</w:t>
      </w:r>
    </w:p>
    <w:p w14:paraId="31F224F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1807125" w14:textId="77777777" w:rsidR="00F52A21" w:rsidRPr="00722885" w:rsidRDefault="00F52A2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6 октября 1942 г. в НИИ ВВС для прохождения повторных государственных испытаний поступил Ил-2, оснащенный авиационным огнеметом (АОГ) конструкции ГСКБ-47. Впервые АОГ испытывался на самолете Р-5 в августе 1941 г. и показал плохие ре</w:t>
      </w:r>
      <w:r w:rsidRPr="00722885">
        <w:rPr>
          <w:color w:val="000000" w:themeColor="text1"/>
          <w:sz w:val="16"/>
          <w:szCs w:val="16"/>
        </w:rPr>
        <w:softHyphen/>
        <w:t>зультаты. Затем повторно в декабре 1941 г. и в ян</w:t>
      </w:r>
      <w:r w:rsidRPr="00722885">
        <w:rPr>
          <w:color w:val="000000" w:themeColor="text1"/>
          <w:sz w:val="16"/>
          <w:szCs w:val="16"/>
        </w:rPr>
        <w:softHyphen/>
        <w:t>варе 1942 г., но все неудачно.</w:t>
      </w:r>
    </w:p>
    <w:p w14:paraId="27815D61" w14:textId="77777777" w:rsidR="00F52A21" w:rsidRPr="00722885" w:rsidRDefault="00F52A2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Авиационный огнемет предназначался «для огнеметания с самолета по наземным объектам с целью создания пожаров, поражения живой силы и матчасти противника».</w:t>
      </w:r>
    </w:p>
    <w:p w14:paraId="28E809E9" w14:textId="77777777" w:rsidR="00F52A21" w:rsidRPr="00722885" w:rsidRDefault="00F52A2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Огнемет для Ил-2 представлял собой се</w:t>
      </w:r>
      <w:r w:rsidRPr="00722885">
        <w:rPr>
          <w:color w:val="000000" w:themeColor="text1"/>
          <w:sz w:val="16"/>
          <w:szCs w:val="16"/>
        </w:rPr>
        <w:softHyphen/>
        <w:t>рийный универсальный химический прибор УХАП-250 с встроенной системой зажигания.</w:t>
      </w:r>
    </w:p>
    <w:p w14:paraId="68D107E8" w14:textId="77777777" w:rsidR="00F52A21" w:rsidRPr="00722885" w:rsidRDefault="00F52A2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УХАП-250 заливалась стандартная огнесмесь из бензина и порошка нафтената алюминия в соот</w:t>
      </w:r>
      <w:r w:rsidRPr="00722885">
        <w:rPr>
          <w:color w:val="000000" w:themeColor="text1"/>
          <w:sz w:val="16"/>
          <w:szCs w:val="16"/>
        </w:rPr>
        <w:softHyphen/>
        <w:t>ношении: 4,2 кг порошка на 100 л бензина. Смесь необходимо было приготовить не менее чем за сутки до ее применения в огнемете. Снаряжение производилось вручную, с помощью воронки и ведра.</w:t>
      </w:r>
    </w:p>
    <w:p w14:paraId="36294E6F" w14:textId="77777777" w:rsidR="00F52A21" w:rsidRPr="00722885" w:rsidRDefault="00F52A2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При боевом применении огнесмесь вытесня</w:t>
      </w:r>
      <w:r w:rsidRPr="00722885">
        <w:rPr>
          <w:color w:val="000000" w:themeColor="text1"/>
          <w:sz w:val="16"/>
          <w:szCs w:val="16"/>
        </w:rPr>
        <w:softHyphen/>
        <w:t>лась из корпуса прибора газами пиротехнического заряда (инициировался электрическим импульсом при нажатии боевой кнопки) через калиброванное отверстие диафрагмы, на выходе которой смесь воспламенялась от факела системы зажигания.</w:t>
      </w:r>
    </w:p>
    <w:p w14:paraId="69B2DB87" w14:textId="77777777" w:rsidR="00F52A21" w:rsidRPr="00722885" w:rsidRDefault="00F52A2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огнемете использовались принятые к УХАП-250 диафрагмы — газоотводная и аварий</w:t>
      </w:r>
      <w:r w:rsidRPr="00722885">
        <w:rPr>
          <w:color w:val="000000" w:themeColor="text1"/>
          <w:sz w:val="16"/>
          <w:szCs w:val="16"/>
        </w:rPr>
        <w:softHyphen/>
        <w:t>ная, а также насадок диаметром 34 мм с кониче</w:t>
      </w:r>
      <w:r w:rsidRPr="00722885">
        <w:rPr>
          <w:color w:val="000000" w:themeColor="text1"/>
          <w:sz w:val="16"/>
          <w:szCs w:val="16"/>
        </w:rPr>
        <w:softHyphen/>
        <w:t>ским стволом. «Зажигалка», состоящая из 2 камер под штатные осветительные звездки от осветительных патронов калибра 26 мм, кре</w:t>
      </w:r>
      <w:r w:rsidRPr="00722885">
        <w:rPr>
          <w:color w:val="000000" w:themeColor="text1"/>
          <w:sz w:val="16"/>
          <w:szCs w:val="16"/>
        </w:rPr>
        <w:softHyphen/>
        <w:t>пилась непосредственно на насад</w:t>
      </w:r>
      <w:r w:rsidRPr="00722885">
        <w:rPr>
          <w:color w:val="000000" w:themeColor="text1"/>
          <w:sz w:val="16"/>
          <w:szCs w:val="16"/>
        </w:rPr>
        <w:softHyphen/>
        <w:t>ке. На каждой камере имелся пи- розатвор под штатный пиропатрон ПП-4, который применялся в ракет</w:t>
      </w:r>
      <w:r w:rsidRPr="00722885">
        <w:rPr>
          <w:color w:val="000000" w:themeColor="text1"/>
          <w:sz w:val="16"/>
          <w:szCs w:val="16"/>
        </w:rPr>
        <w:softHyphen/>
        <w:t>ных снарядах. Система зажигания включалась в общую электросеть непосредственно через контакты пиротехнического заряда огнемета. Управление пуском огнемета осу</w:t>
      </w:r>
      <w:r w:rsidRPr="00722885">
        <w:rPr>
          <w:color w:val="000000" w:themeColor="text1"/>
          <w:sz w:val="16"/>
          <w:szCs w:val="16"/>
        </w:rPr>
        <w:softHyphen/>
        <w:t>ществлялось от ЭСБР-3п. Подвеска огнеметов осуществлялась на зам</w:t>
      </w:r>
      <w:r w:rsidRPr="00722885">
        <w:rPr>
          <w:color w:val="000000" w:themeColor="text1"/>
          <w:sz w:val="16"/>
          <w:szCs w:val="16"/>
        </w:rPr>
        <w:softHyphen/>
        <w:t>ки ДЗ-40.</w:t>
      </w:r>
    </w:p>
    <w:p w14:paraId="0D9CB6C4" w14:textId="77777777" w:rsidR="00F52A21" w:rsidRPr="00722885" w:rsidRDefault="00F52A2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наземных испытаний конструкция АОГ обеспечила впол</w:t>
      </w:r>
      <w:r w:rsidRPr="00722885">
        <w:rPr>
          <w:rFonts w:ascii="Times New Roman" w:hAnsi="Times New Roman"/>
          <w:color w:val="000000" w:themeColor="text1"/>
          <w:sz w:val="16"/>
          <w:szCs w:val="16"/>
        </w:rPr>
        <w:softHyphen/>
        <w:t>не приличную дальность огнемета- ния — до 150 м. Однако результаты испытаний АОГ в воздухе показали его низкую эффективность. Дело в том, что при скорости полета Ил-2 у земли порядка 320—340 км/ч плотность распыленной огнесме- си у земли была низкой, так как большая часть смеси «значитель</w:t>
      </w:r>
      <w:r w:rsidRPr="00722885">
        <w:rPr>
          <w:rFonts w:ascii="Times New Roman" w:hAnsi="Times New Roman"/>
          <w:color w:val="000000" w:themeColor="text1"/>
          <w:sz w:val="16"/>
          <w:szCs w:val="16"/>
        </w:rPr>
        <w:softHyphen/>
        <w:t>но дробится на отдельные капли разных размеров и быстро сгорает в воздухе» из-за избытка окислите</w:t>
      </w:r>
      <w:r w:rsidRPr="00722885">
        <w:rPr>
          <w:rFonts w:ascii="Times New Roman" w:hAnsi="Times New Roman"/>
          <w:color w:val="000000" w:themeColor="text1"/>
          <w:sz w:val="16"/>
          <w:szCs w:val="16"/>
        </w:rPr>
        <w:softHyphen/>
        <w:t>ля, а часть смеси («не менее 20%») не воспламенялась вовсе. Огнеме- тание было возможным только до высоты полета самолета 10 м, хотя и в этом случае до земли долетало «ничтожное количество горящей смеси» — не более 20—30% распы</w:t>
      </w:r>
      <w:r w:rsidRPr="00722885">
        <w:rPr>
          <w:rFonts w:ascii="Times New Roman" w:hAnsi="Times New Roman"/>
          <w:color w:val="000000" w:themeColor="text1"/>
          <w:sz w:val="16"/>
          <w:szCs w:val="16"/>
        </w:rPr>
        <w:softHyphen/>
        <w:t>ляемой огнесмеси. При этом полоса разлета огнесмеси от каждого АОГ в ширину не превышала 5 м, а кон</w:t>
      </w:r>
      <w:r w:rsidRPr="00722885">
        <w:rPr>
          <w:rFonts w:ascii="Times New Roman" w:hAnsi="Times New Roman"/>
          <w:color w:val="000000" w:themeColor="text1"/>
          <w:sz w:val="16"/>
          <w:szCs w:val="16"/>
        </w:rPr>
        <w:softHyphen/>
        <w:t>центрация огнесмеси внутри поло</w:t>
      </w:r>
      <w:r w:rsidRPr="00722885">
        <w:rPr>
          <w:rFonts w:ascii="Times New Roman" w:hAnsi="Times New Roman"/>
          <w:color w:val="000000" w:themeColor="text1"/>
          <w:sz w:val="16"/>
          <w:szCs w:val="16"/>
        </w:rPr>
        <w:softHyphen/>
        <w:t>сы не обеспечивала гарантирован</w:t>
      </w:r>
      <w:r w:rsidRPr="00722885">
        <w:rPr>
          <w:rFonts w:ascii="Times New Roman" w:hAnsi="Times New Roman"/>
          <w:color w:val="000000" w:themeColor="text1"/>
          <w:sz w:val="16"/>
          <w:szCs w:val="16"/>
        </w:rPr>
        <w:softHyphen/>
        <w:t>ного поражения целей: «подвижные цели могут своевременно выйти (из полосы поражения</w:t>
      </w:r>
      <w:r w:rsidRPr="00722885">
        <w:rPr>
          <w:rStyle w:val="BodytextItalic"/>
          <w:rFonts w:eastAsiaTheme="minorHAnsi"/>
          <w:i w:val="0"/>
          <w:color w:val="000000" w:themeColor="text1"/>
          <w:sz w:val="16"/>
          <w:szCs w:val="16"/>
        </w:rPr>
        <w:t xml:space="preserve">), </w:t>
      </w:r>
      <w:r w:rsidRPr="00722885">
        <w:rPr>
          <w:rFonts w:ascii="Times New Roman" w:hAnsi="Times New Roman"/>
          <w:color w:val="000000" w:themeColor="text1"/>
          <w:sz w:val="16"/>
          <w:szCs w:val="16"/>
        </w:rPr>
        <w:t>а неподвижные цели воспламенить затруднительно в силу небольшой мощности огневого факела и невы</w:t>
      </w:r>
      <w:r w:rsidRPr="00722885">
        <w:rPr>
          <w:rFonts w:ascii="Times New Roman" w:hAnsi="Times New Roman"/>
          <w:color w:val="000000" w:themeColor="text1"/>
          <w:sz w:val="16"/>
          <w:szCs w:val="16"/>
        </w:rPr>
        <w:softHyphen/>
        <w:t>сокой зажигательной способности огнесмеси».</w:t>
      </w:r>
    </w:p>
    <w:p w14:paraId="501C462F" w14:textId="77777777" w:rsidR="00F52A21" w:rsidRPr="00722885" w:rsidRDefault="00F52A2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отчете по испытаниям начальник 3-го отде</w:t>
      </w:r>
      <w:r w:rsidRPr="00722885">
        <w:rPr>
          <w:color w:val="000000" w:themeColor="text1"/>
          <w:sz w:val="16"/>
          <w:szCs w:val="16"/>
        </w:rPr>
        <w:softHyphen/>
        <w:t>ления опытного отдела НИП АВ инженер-майор Дьячков и ведущий инженер по испытаниям инже</w:t>
      </w:r>
      <w:r w:rsidRPr="00722885">
        <w:rPr>
          <w:color w:val="000000" w:themeColor="text1"/>
          <w:sz w:val="16"/>
          <w:szCs w:val="16"/>
        </w:rPr>
        <w:softHyphen/>
        <w:t>нер-капитан Комарницкий констатировали: «Ави</w:t>
      </w:r>
      <w:r w:rsidRPr="00722885">
        <w:rPr>
          <w:color w:val="000000" w:themeColor="text1"/>
          <w:sz w:val="16"/>
          <w:szCs w:val="16"/>
        </w:rPr>
        <w:softHyphen/>
        <w:t>аогнемет конструкции ГСКБ-47 обладает малой эффективностью. /. / Затрата больших количеств горючего не оправдывается с точки зрения получа</w:t>
      </w:r>
      <w:r w:rsidRPr="00722885">
        <w:rPr>
          <w:color w:val="000000" w:themeColor="text1"/>
          <w:sz w:val="16"/>
          <w:szCs w:val="16"/>
        </w:rPr>
        <w:softHyphen/>
        <w:t>емого ничтожного боевого эффекта. /.../ В эксплуа</w:t>
      </w:r>
      <w:r w:rsidRPr="00722885">
        <w:rPr>
          <w:color w:val="000000" w:themeColor="text1"/>
          <w:sz w:val="16"/>
          <w:szCs w:val="16"/>
        </w:rPr>
        <w:softHyphen/>
        <w:t>тационном отношении огнемет менее удобен, чем существующие на вооружении другие зажигатель</w:t>
      </w:r>
      <w:r w:rsidRPr="00722885">
        <w:rPr>
          <w:color w:val="000000" w:themeColor="text1"/>
          <w:sz w:val="16"/>
          <w:szCs w:val="16"/>
        </w:rPr>
        <w:softHyphen/>
        <w:t>ные средства, например пакеты, бомбы, термоша</w:t>
      </w:r>
      <w:r w:rsidRPr="00722885">
        <w:rPr>
          <w:color w:val="000000" w:themeColor="text1"/>
          <w:sz w:val="16"/>
          <w:szCs w:val="16"/>
        </w:rPr>
        <w:softHyphen/>
        <w:t>ры и др. /.../ Предъявленный ГСКБ-47 авиационный огнемет на самолете Ил-2 полигонных испытаний не выдержал и, ввиду непригодности к боевому применению, доработке не подлежит». Отчет по испытаниям был утвержден начальником НИП АВ полковником Л. П. Лобачевым 21 октября (17500).</w:t>
      </w:r>
    </w:p>
    <w:p w14:paraId="67BD4FC4" w14:textId="77777777" w:rsidR="00F52A21" w:rsidRPr="00722885" w:rsidRDefault="00F52A21" w:rsidP="00722885">
      <w:pPr>
        <w:spacing w:after="0" w:line="240" w:lineRule="auto"/>
        <w:jc w:val="both"/>
        <w:rPr>
          <w:rFonts w:ascii="Times New Roman" w:eastAsia="Times New Roman" w:hAnsi="Times New Roman"/>
          <w:color w:val="000000" w:themeColor="text1"/>
          <w:sz w:val="16"/>
          <w:szCs w:val="16"/>
          <w:lang w:eastAsia="ru-RU"/>
        </w:rPr>
      </w:pPr>
    </w:p>
    <w:p w14:paraId="64A9F21C" w14:textId="6A5E436E"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6 октября 1942 в 16:30 произошла авария Ил-2 </w:t>
      </w:r>
      <w:r w:rsidR="00232EB4" w:rsidRPr="00722885">
        <w:rPr>
          <w:color w:val="000000" w:themeColor="text1"/>
          <w:sz w:val="16"/>
          <w:szCs w:val="16"/>
        </w:rPr>
        <w:t>№</w:t>
      </w:r>
      <w:r w:rsidRPr="00722885">
        <w:rPr>
          <w:color w:val="000000" w:themeColor="text1"/>
          <w:sz w:val="16"/>
          <w:szCs w:val="16"/>
        </w:rPr>
        <w:t xml:space="preserve"> 4343 л Иващенко 1 завода им Сталина на ЦА Куйбышева, когда самолет после взлета из-за самопроизвольно закрывшегося пожарного крана сразу пошел на посадку и на границе аэродрома врезался в снегоочиститель. Восстановили (2130).</w:t>
      </w:r>
    </w:p>
    <w:p w14:paraId="66BA0931" w14:textId="77777777" w:rsidR="00090C9B" w:rsidRPr="00722885" w:rsidRDefault="00090C9B" w:rsidP="00722885">
      <w:pPr>
        <w:pStyle w:val="Iauiue"/>
        <w:jc w:val="both"/>
        <w:rPr>
          <w:color w:val="000000" w:themeColor="text1"/>
          <w:sz w:val="16"/>
          <w:szCs w:val="16"/>
        </w:rPr>
      </w:pPr>
    </w:p>
    <w:p w14:paraId="09FF81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октября 1942 г. было письмо:</w:t>
      </w:r>
    </w:p>
    <w:p w14:paraId="2A1DD03E" w14:textId="77777777" w:rsidR="00AE6980"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Народный Комиссар Авиационной Промышленности Союза ССР 6 октября 1942 г. № Н-20/4004 Москва</w:t>
      </w:r>
    </w:p>
    <w:p w14:paraId="54CA9591" w14:textId="77777777" w:rsidR="00090C9B"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ПРЕДСЕДАТЕЛЮ ГОСУДАРСТВЕННОГО КОМИТЕТА ОБОРОНЫ товарищу СТАЛИНУ И.В.</w:t>
      </w:r>
    </w:p>
    <w:p w14:paraId="7AD8BA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Посылаю на Ваше рассмотрение проект постановления Государственного Комитета Обороны "об увеличении выпуска самолетов истребителей".</w:t>
      </w:r>
    </w:p>
    <w:p w14:paraId="677BD1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Проект предусматривает снятие с производства на заводе № 166 (Омск) самолета Ту-2 и организации произ¬водства на этом заводе истребителей Як-9 (Як-7 с метал-лическими лонжеронами крыла).</w:t>
      </w:r>
    </w:p>
    <w:p w14:paraId="142DA6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предусматривается снятие с производства на заводе № 381 (Н. Тагил) самолета Ил-2 и организация производства на этом заводе истребителей Ла-5.</w:t>
      </w:r>
    </w:p>
    <w:p w14:paraId="364EF4B5" w14:textId="77777777" w:rsidR="00AE6980"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381 в связи с недостатком моторов АМ-38 ограничен выпуском одного самолета в день, хотя мощность имеет на выпуск 3-4 самолетов. Увеличение выпуска моторов АМ-38 на заводах №№ 24 и 45 будет поглащено другими заводами производящими самолет Ил-2 (11813).</w:t>
      </w:r>
    </w:p>
    <w:p w14:paraId="0E0EA457" w14:textId="77777777" w:rsidR="00AE6980"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7 октября 1942 вышло:</w:t>
      </w:r>
    </w:p>
    <w:p w14:paraId="62C35640" w14:textId="77777777" w:rsidR="00AE6980"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ПОСТАНОВЛЕНИЕ ГОСУДАРСТВЕННОГО КОМИТЕТА ОБОРОНЫ № 2378сс от 7.X.1942</w:t>
      </w:r>
    </w:p>
    <w:p w14:paraId="7AD0BB60" w14:textId="77777777" w:rsidR="00090C9B"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Об увеличении выпуска самолетов истребителей.</w:t>
      </w:r>
    </w:p>
    <w:p w14:paraId="34B141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увеличения выпуска самолетов истребителей Государственный Комитет Обороны ПОСТАНОВЛЯЕТ:</w:t>
      </w:r>
    </w:p>
    <w:p w14:paraId="0F36D7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Наркомавиапром - т. Шахурина, директора завода № 166 - т. Соколова:</w:t>
      </w:r>
    </w:p>
    <w:p w14:paraId="45E8C0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прекратить на заводе № 166 производство самолетов Ту-2. Имеющуюся на заводе № 166 оснастку, приспособления и техническую документацию по самолету Ту-2 сохранить полностью;</w:t>
      </w:r>
    </w:p>
    <w:p w14:paraId="0D1C4D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поставить на заводе № 166 производство самолетов Як-9, установив разворот производства и программу выпуска самолётов Як-9 в следующие сроки:</w:t>
      </w:r>
    </w:p>
    <w:p w14:paraId="11E06E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- 10 самолетов</w:t>
      </w:r>
    </w:p>
    <w:p w14:paraId="69F699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январе - 25 </w:t>
      </w:r>
    </w:p>
    <w:p w14:paraId="346DF0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феврале - 50 </w:t>
      </w:r>
    </w:p>
    <w:p w14:paraId="78B001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марте - 75 </w:t>
      </w:r>
    </w:p>
    <w:p w14:paraId="1324D2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в апреле 1943 года выйти на выпуск 6-ти самолетов в день.</w:t>
      </w:r>
    </w:p>
    <w:p w14:paraId="06B4C0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директора завода № 153 - т. Романова, главного конструктора – т. Яковлева передать с завода № 153 на завод №166 к 20 октября с. г. чертежи самолета Як-9, чертежи приспособлений и оснастки и всю необходимую технологическую документацию производства самолетов Як-9, а также передать заводу № 166 до 5 ноября 10 самолетов Як-9 в деталях и агрегатах.</w:t>
      </w:r>
    </w:p>
    <w:p w14:paraId="5F5817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Разрешить заводу №166 в целях использования существующего задела самолета Ту-2 в агрегатных цехах, выпустить 10 самолетов Ту-2 до 15 ноября с. г.</w:t>
      </w:r>
    </w:p>
    <w:p w14:paraId="519070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Главного конструктора самолета Ту-2 т. Туполева вместе с конструкторским бюро перевести на завод № 288, оставив из конструкторского бюро т. Туполева на заводе № 166 - 150 человек конструкторов разных категорий и чертежников для организации серийно-конструкторского бюро по самолету Як-9 на заводе № 166. </w:t>
      </w:r>
    </w:p>
    <w:p w14:paraId="2D3520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тов. Туполева продолжить работу по доводке и обеспечению полной надежности в эксплуатации выпущенных самолетов Ту-2.</w:t>
      </w:r>
    </w:p>
    <w:p w14:paraId="6A3046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Обязать Наркомавиапром - т. Шахурина, директора завода № 381 - т. Журавлева:</w:t>
      </w:r>
    </w:p>
    <w:p w14:paraId="591724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прекратить производство самолетов Ил-2 на заводе № 381;</w:t>
      </w:r>
    </w:p>
    <w:p w14:paraId="67D824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поставить на заводе № 381 производство самолетов Лa-5, установив разворот производства и программу выпуска самолетов Лa-5 в следующие сроки:</w:t>
      </w:r>
    </w:p>
    <w:p w14:paraId="69F708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- 10 самолетов</w:t>
      </w:r>
    </w:p>
    <w:p w14:paraId="450664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январе - 25 -»-</w:t>
      </w:r>
    </w:p>
    <w:p w14:paraId="215D10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феврале - 50 -«-</w:t>
      </w:r>
    </w:p>
    <w:p w14:paraId="0A599E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марте - 75 -«-</w:t>
      </w:r>
    </w:p>
    <w:p w14:paraId="2B207A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в апреле месяце 1943 года выйти на выпуск 5-ти самолетов в день.</w:t>
      </w:r>
    </w:p>
    <w:p w14:paraId="18138F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Обязать директора завода № 21 т. Агаджанова, главного конструктора т. Лавочкина передать с завода № 21 на завод № 381 к 25 октября с. г. чертежи самолета Лa-5, чертежи приспособлений и оснастки и всю необходимую технологическую документацию производства самолетов Лa-5, а также передать заводу № 381 до 5 ноября 10 самолетов Ла-5 в деталях и агрегатах.</w:t>
      </w:r>
    </w:p>
    <w:p w14:paraId="4174B5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Разрешить заводу № 381 в целях использования существующего задела самолета Ил-2 в агрегатных цехах, выпустить 40 самолетов Ил-2 до 15 ноября с. г.</w:t>
      </w:r>
    </w:p>
    <w:p w14:paraId="3555A375" w14:textId="77777777" w:rsidR="00AE6980"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Обязать Наркомфин СССР - т. Зверева выделить на постановку производства самолетов истребителей заводам №№ 166 и 381 по 3,5 миллиона рублей каждому.</w:t>
      </w:r>
    </w:p>
    <w:p w14:paraId="316C8BA2" w14:textId="77777777" w:rsidR="00090C9B"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ПРЕДСЕДАТЕЛЬ ГОСУДАРСТВЕННОГО КОМИТЕТА ОБОРОНЫ И. СТАЛИН (11813).</w:t>
      </w:r>
    </w:p>
    <w:p w14:paraId="2C358E4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DA138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октября 1942 вышел приказ Наркома ВМФ N 00338 о принятии на вооружение морской авиации ВМФ прицела для низкого торпедометания ПТН-42 (1858,41).</w:t>
      </w:r>
    </w:p>
    <w:p w14:paraId="4D13A536" w14:textId="77777777" w:rsidR="00090C9B" w:rsidRPr="00722885" w:rsidRDefault="00090C9B" w:rsidP="00722885">
      <w:pPr>
        <w:pStyle w:val="Iauiue"/>
        <w:jc w:val="both"/>
        <w:rPr>
          <w:color w:val="000000" w:themeColor="text1"/>
          <w:sz w:val="16"/>
          <w:szCs w:val="16"/>
        </w:rPr>
      </w:pPr>
    </w:p>
    <w:p w14:paraId="05B5F3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октября 1942 в рамках совместных гос. и заводских испытаний БИ конструкции Болховитинова производства завода 293 с ЖРД Д-1-А-1100 конструкции НИИ-3, которые начались 2 августа 1942 на аэродроме НИИ ВВС Кольцово под Свердловском, по настоянию завода 293 закончились огневые испытания двигателя Д-1-А-1100, которые шли с 6 августа 1942. Это были испытания БИ-2 и БИ-3, которые летали 11 и 12 января и 11 и 14 марта (БИ-2) и 21 и 27 марта (БИ-3). 10/11 июня 1943 Зам. Командующего ВВС и НКАП утвердили акт N 837 и отчет (2928,16).</w:t>
      </w:r>
    </w:p>
    <w:p w14:paraId="3038B799" w14:textId="77777777" w:rsidR="00090C9B" w:rsidRPr="00722885" w:rsidRDefault="00090C9B" w:rsidP="00722885">
      <w:pPr>
        <w:pStyle w:val="Iauiue"/>
        <w:jc w:val="both"/>
        <w:rPr>
          <w:color w:val="000000" w:themeColor="text1"/>
          <w:sz w:val="16"/>
          <w:szCs w:val="16"/>
        </w:rPr>
      </w:pPr>
    </w:p>
    <w:p w14:paraId="0AE825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на 1 заводе завершили сборку МиГ-5 (ДИС) с 2М-82 и 2хВЯ (2181,27).</w:t>
      </w:r>
    </w:p>
    <w:p w14:paraId="06F64CB3" w14:textId="77777777" w:rsidR="00090C9B" w:rsidRPr="00722885" w:rsidRDefault="00090C9B" w:rsidP="00722885">
      <w:pPr>
        <w:pStyle w:val="Iauiue"/>
        <w:jc w:val="both"/>
        <w:rPr>
          <w:color w:val="000000" w:themeColor="text1"/>
          <w:sz w:val="16"/>
          <w:szCs w:val="16"/>
        </w:rPr>
      </w:pPr>
    </w:p>
    <w:p w14:paraId="31E92F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октября 1942 Г.М.Шиянов выполнил на ДИС М-82 первый полет и вскоре машину направили в Казань для продолжения испытаний. Не приняли, т.к. были Пе-3 или Пе-3бис (2181,27).</w:t>
      </w:r>
    </w:p>
    <w:p w14:paraId="59DA49A5" w14:textId="77777777" w:rsidR="00090C9B" w:rsidRPr="00722885" w:rsidRDefault="00090C9B" w:rsidP="00722885">
      <w:pPr>
        <w:pStyle w:val="Iauiue"/>
        <w:jc w:val="both"/>
        <w:rPr>
          <w:color w:val="000000" w:themeColor="text1"/>
          <w:sz w:val="16"/>
          <w:szCs w:val="16"/>
        </w:rPr>
      </w:pPr>
    </w:p>
    <w:p w14:paraId="264817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6 октября по 14 декабря 1942 г. доработанный соответствующим образом Пе-2 (№ 3/0) с АКАБ, на котором до этого в ОКБ В.М.Петлякова испытывались различные варианты вооружения, проходил государственные испытания в НИИ ВВС.</w:t>
      </w:r>
    </w:p>
    <w:p w14:paraId="36C624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АКАБ была разработана в 1942 г., когда Можаровский и Веневидов, будучи в эвакуации в Казани, вернулись к идее установки на самолет подвижной пушечной установки. К работам дополнительно был привлечен главный конструктор завода № 262 А.А.Енгибарян, который внес ряд усовершенствований в конструкцию КАББ. Новая система получила наименование АКАБ (автоматическая комбинированная артиллерийская батарея) и включала две пушки ШВАК и два пулемета УБК калибра 12,7 мм.</w:t>
      </w:r>
    </w:p>
    <w:p w14:paraId="6A6049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Основное отличие АКАБ от предыдущего варианта, кроме состава вооружения, состояло в том, что теперь стволы пушек и пулеметов вращались не равномерно, а с учетом изменения расстояния до цели: в начале очереди стволы поворачивались медленнее, а при подлете к цели - быстрее (9649).</w:t>
      </w:r>
    </w:p>
    <w:p w14:paraId="0AE9E4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Было выполнено 24 полета, из них 21 со стрельбой и бомбометанием.</w:t>
      </w:r>
    </w:p>
    <w:p w14:paraId="49FE12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Максимальный угол отклонения стволов пушек и пулемета АКАБ составлял 40°. Перемещение лафета оружия осуществлялось по закону котангенса. АКАБ состояла из двух батарей, каждая из которых включала одну пушку ШВАК и один пулеметУБК. При прекращении огня оружие автоматически возвращалось в исходное положение. Батареи синхронизированы.</w:t>
      </w:r>
    </w:p>
    <w:p w14:paraId="330C60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отчете отмечалось, что: “Установка АКАБ на самолетах штурмового типа имеет целью изменить тактику штурмовой атаки по наземным целям в область упрощения работы экипажа, т. к. все атаки при стрельбе и при бомбометании производятся с простого горизонтального полета и позволяет вести прицельную стрельбу и бомбометание при управлении от одной и той же боевой кнопки.</w:t>
      </w:r>
    </w:p>
    <w:p w14:paraId="7CDA31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то же время в нулевом положении оружия можно вести воздушный бой и атаку с пикирования. Можно фиксировать любое угловое положение оружия от 3 до 40 градусов.</w:t>
      </w:r>
    </w:p>
    <w:p w14:paraId="59B425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Расчетные высоты от 100 до 300 м. Ниже 100 м применять нецелесообразно, т. к. будет мала плотность огня. Скорость полета 400 км/час. Сокращается время нахождения самолета над целью.</w:t>
      </w:r>
    </w:p>
    <w:p w14:paraId="6F1B6E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Плотность огня 0,81 снаряд на кв. м (при пикировании 0,24-0,56 сн/м2). Боезапас на 2 атаки.</w:t>
      </w:r>
    </w:p>
    <w:p w14:paraId="0A7AAC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Недостаток - нельзя стрелять раздельно из пушек и пулеметов. На Пе-2 нецелесообразно из-за отсутствия бронирования. Кроме того, для размещения А КА Б убран алю ко вая установка.</w:t>
      </w:r>
    </w:p>
    <w:p w14:paraId="1F2631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...Выводы:</w:t>
      </w:r>
    </w:p>
    <w:p w14:paraId="17526F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Пе-2 № 3/0 полигонные испытания выдержал;</w:t>
      </w:r>
    </w:p>
    <w:p w14:paraId="507C1C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Боевое применение на Пе-2 нецелесообразно;</w:t>
      </w:r>
    </w:p>
    <w:p w14:paraId="4464B4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Может быть использована на самолете Ил-2” (9649).</w:t>
      </w:r>
    </w:p>
    <w:p w14:paraId="665EE798" w14:textId="77777777" w:rsidR="00090C9B" w:rsidRPr="00722885" w:rsidRDefault="00090C9B" w:rsidP="00722885">
      <w:pPr>
        <w:pStyle w:val="Iauiue"/>
        <w:jc w:val="both"/>
        <w:rPr>
          <w:color w:val="000000" w:themeColor="text1"/>
          <w:sz w:val="16"/>
          <w:szCs w:val="16"/>
        </w:rPr>
      </w:pPr>
    </w:p>
    <w:p w14:paraId="61E7A65B" w14:textId="77777777" w:rsidR="00AE6980" w:rsidRPr="00722885" w:rsidRDefault="00AE698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К 6 октября 1942 на самолет ТИС установили полученные с завода моторы АМ-37 </w:t>
      </w:r>
      <w:r w:rsidRPr="00722885">
        <w:rPr>
          <w:rStyle w:val="Tahoma95pt-1pt"/>
          <w:rFonts w:ascii="Times New Roman" w:hAnsi="Times New Roman" w:cs="Times New Roman"/>
          <w:b w:val="0"/>
          <w:color w:val="000000" w:themeColor="text1"/>
          <w:spacing w:val="0"/>
          <w:sz w:val="16"/>
          <w:szCs w:val="16"/>
        </w:rPr>
        <w:t>с</w:t>
      </w:r>
      <w:r w:rsidRPr="00722885">
        <w:rPr>
          <w:rFonts w:ascii="Times New Roman" w:cs="Times New Roman"/>
          <w:color w:val="000000" w:themeColor="text1"/>
          <w:spacing w:val="0"/>
        </w:rPr>
        <w:t xml:space="preserve"> измененной до 0,590 редукцией вме</w:t>
      </w:r>
      <w:r w:rsidRPr="00722885">
        <w:rPr>
          <w:rFonts w:ascii="Times New Roman" w:cs="Times New Roman"/>
          <w:color w:val="000000" w:themeColor="text1"/>
          <w:spacing w:val="0"/>
        </w:rPr>
        <w:softHyphen/>
      </w:r>
      <w:r w:rsidRPr="00722885">
        <w:rPr>
          <w:rStyle w:val="Tahoma95pt-1pt"/>
          <w:rFonts w:ascii="Times New Roman" w:hAnsi="Times New Roman" w:cs="Times New Roman"/>
          <w:b w:val="0"/>
          <w:color w:val="000000" w:themeColor="text1"/>
          <w:spacing w:val="0"/>
          <w:sz w:val="16"/>
          <w:szCs w:val="16"/>
        </w:rPr>
        <w:t>сто</w:t>
      </w:r>
      <w:r w:rsidRPr="00722885">
        <w:rPr>
          <w:rFonts w:ascii="Times New Roman" w:cs="Times New Roman"/>
          <w:color w:val="000000" w:themeColor="text1"/>
          <w:spacing w:val="0"/>
        </w:rPr>
        <w:t xml:space="preserve"> 0,732. Это позволило винты ВИШ- </w:t>
      </w:r>
      <w:r w:rsidRPr="00722885">
        <w:rPr>
          <w:rStyle w:val="aff8"/>
          <w:rFonts w:ascii="Times New Roman" w:eastAsia="Arial Narrow" w:cs="Times New Roman"/>
          <w:b w:val="0"/>
          <w:color w:val="000000" w:themeColor="text1"/>
          <w:spacing w:val="0"/>
          <w:sz w:val="16"/>
          <w:szCs w:val="16"/>
        </w:rPr>
        <w:t>61ФС</w:t>
      </w:r>
      <w:r w:rsidRPr="00722885">
        <w:rPr>
          <w:rFonts w:ascii="Times New Roman" w:cs="Times New Roman"/>
          <w:color w:val="000000" w:themeColor="text1"/>
          <w:spacing w:val="0"/>
        </w:rPr>
        <w:t xml:space="preserve"> диаметром 3,2 м заменить винтами АВ-5-172 диаметром 3,4 м. Однако при первой же пробежке один из мото</w:t>
      </w:r>
      <w:r w:rsidRPr="00722885">
        <w:rPr>
          <w:rFonts w:ascii="Times New Roman" w:cs="Times New Roman"/>
          <w:color w:val="000000" w:themeColor="text1"/>
          <w:spacing w:val="0"/>
        </w:rPr>
        <w:softHyphen/>
        <w:t>ров вышел из строя. На его переборку и регулировку ушло почти две недели. Только 15 октября удалось выполнить первый полет по программе второ</w:t>
      </w:r>
      <w:r w:rsidRPr="00722885">
        <w:rPr>
          <w:rFonts w:ascii="Times New Roman" w:cs="Times New Roman"/>
          <w:color w:val="000000" w:themeColor="text1"/>
          <w:spacing w:val="0"/>
        </w:rPr>
        <w:softHyphen/>
        <w:t>го этапа совместных испытаний. Мото</w:t>
      </w:r>
      <w:r w:rsidRPr="00722885">
        <w:rPr>
          <w:rFonts w:ascii="Times New Roman" w:cs="Times New Roman"/>
          <w:color w:val="000000" w:themeColor="text1"/>
          <w:spacing w:val="0"/>
        </w:rPr>
        <w:softHyphen/>
        <w:t>ры АМ-37 работали все также ненадеж</w:t>
      </w:r>
      <w:r w:rsidRPr="00722885">
        <w:rPr>
          <w:rFonts w:ascii="Times New Roman" w:cs="Times New Roman"/>
          <w:color w:val="000000" w:themeColor="text1"/>
          <w:spacing w:val="0"/>
        </w:rPr>
        <w:softHyphen/>
        <w:t>но, как и прежде. В то же время ОКБ Микулина совершенно не уделяло вре</w:t>
      </w:r>
      <w:r w:rsidRPr="00722885">
        <w:rPr>
          <w:rFonts w:ascii="Times New Roman" w:cs="Times New Roman"/>
          <w:color w:val="000000" w:themeColor="text1"/>
          <w:spacing w:val="0"/>
        </w:rPr>
        <w:softHyphen/>
        <w:t>мени этим моторам, фактически отка</w:t>
      </w:r>
      <w:r w:rsidRPr="00722885">
        <w:rPr>
          <w:rFonts w:ascii="Times New Roman" w:cs="Times New Roman"/>
          <w:color w:val="000000" w:themeColor="text1"/>
          <w:spacing w:val="0"/>
        </w:rPr>
        <w:softHyphen/>
        <w:t>зав в технической помощи заводу №51. Испытания затянулись. Вскоре стала очевидной бесперспективность рабо</w:t>
      </w:r>
      <w:r w:rsidRPr="00722885">
        <w:rPr>
          <w:rFonts w:ascii="Times New Roman" w:cs="Times New Roman"/>
          <w:color w:val="000000" w:themeColor="text1"/>
          <w:spacing w:val="0"/>
        </w:rPr>
        <w:softHyphen/>
        <w:t>ты с имевшимися в распоряжении ОКБ Поликарпова экземплярами мотора АМ-37. В последних числах февраля 1943 г. ТИС (2А) вновь поставили на кон</w:t>
      </w:r>
      <w:r w:rsidRPr="00722885">
        <w:rPr>
          <w:rFonts w:ascii="Times New Roman" w:cs="Times New Roman"/>
          <w:color w:val="000000" w:themeColor="text1"/>
          <w:spacing w:val="0"/>
        </w:rPr>
        <w:softHyphen/>
        <w:t>сервацию. Как оказалось, на 2,5 месяца (15755).</w:t>
      </w:r>
    </w:p>
    <w:p w14:paraId="0EE5DFBB" w14:textId="77777777" w:rsidR="00AE6980" w:rsidRPr="00722885" w:rsidRDefault="00AE6980" w:rsidP="00722885">
      <w:pPr>
        <w:pStyle w:val="27"/>
        <w:shd w:val="clear" w:color="auto" w:fill="auto"/>
        <w:spacing w:after="0" w:line="240" w:lineRule="auto"/>
        <w:ind w:firstLine="0"/>
        <w:rPr>
          <w:rFonts w:ascii="Times New Roman" w:cs="Times New Roman"/>
          <w:color w:val="000000" w:themeColor="text1"/>
          <w:spacing w:val="0"/>
        </w:rPr>
      </w:pPr>
    </w:p>
    <w:p w14:paraId="23C4C747" w14:textId="77777777" w:rsidR="00F52A21" w:rsidRPr="00722885" w:rsidRDefault="00F52A21"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6 октября 1942 на самолет ТИС установили получен</w:t>
      </w:r>
      <w:r w:rsidRPr="00722885">
        <w:rPr>
          <w:color w:val="000000" w:themeColor="text1"/>
          <w:sz w:val="16"/>
          <w:szCs w:val="16"/>
        </w:rPr>
        <w:softHyphen/>
        <w:t>ные с завода моторы АМ-37 с измененной до 0,590 редукцией вместо 0,732. Это позволило вин</w:t>
      </w:r>
      <w:r w:rsidRPr="00722885">
        <w:rPr>
          <w:color w:val="000000" w:themeColor="text1"/>
          <w:sz w:val="16"/>
          <w:szCs w:val="16"/>
        </w:rPr>
        <w:softHyphen/>
        <w:t>ты ВИШ-61ФС диаметром 3,2 м заменить винтами АВ-5-172 диаметром 3,4 м. Однако при первой же пробежке один из моторов вышел из строя. На его переборку и регулировку ушло почти две недели. Только 15 октября удалось выполнить первый по</w:t>
      </w:r>
      <w:r w:rsidRPr="00722885">
        <w:rPr>
          <w:color w:val="000000" w:themeColor="text1"/>
          <w:sz w:val="16"/>
          <w:szCs w:val="16"/>
        </w:rPr>
        <w:softHyphen/>
        <w:t>лет по программе второго этапа совместных ис</w:t>
      </w:r>
      <w:r w:rsidRPr="00722885">
        <w:rPr>
          <w:color w:val="000000" w:themeColor="text1"/>
          <w:sz w:val="16"/>
          <w:szCs w:val="16"/>
        </w:rPr>
        <w:softHyphen/>
        <w:t>пытаний. Моторы АМ-37 работали все так же нена</w:t>
      </w:r>
      <w:r w:rsidRPr="00722885">
        <w:rPr>
          <w:color w:val="000000" w:themeColor="text1"/>
          <w:sz w:val="16"/>
          <w:szCs w:val="16"/>
        </w:rPr>
        <w:softHyphen/>
        <w:t>дежно, как и прежде. В то же время ОКБ Микулина совершенно не уделяло времени этим моторам, фактически отказав в технической помощи заво</w:t>
      </w:r>
      <w:r w:rsidRPr="00722885">
        <w:rPr>
          <w:color w:val="000000" w:themeColor="text1"/>
          <w:sz w:val="16"/>
          <w:szCs w:val="16"/>
        </w:rPr>
        <w:softHyphen/>
        <w:t>ду № 51. Испытания затянулись. Вскоре стала оче</w:t>
      </w:r>
      <w:r w:rsidRPr="00722885">
        <w:rPr>
          <w:color w:val="000000" w:themeColor="text1"/>
          <w:sz w:val="16"/>
          <w:szCs w:val="16"/>
        </w:rPr>
        <w:softHyphen/>
        <w:t>видной бесперспективность работы с имевшимися в распоряжении ОКБ Поликарпова экземплярами мотора АМ-37. В последних числах февраля 1943 г. ТИС (2А) вновь поставили на консервацию. Как ока</w:t>
      </w:r>
      <w:r w:rsidRPr="00722885">
        <w:rPr>
          <w:color w:val="000000" w:themeColor="text1"/>
          <w:sz w:val="16"/>
          <w:szCs w:val="16"/>
        </w:rPr>
        <w:softHyphen/>
        <w:t>залось, на 2,5 месяца (17500).</w:t>
      </w:r>
    </w:p>
    <w:p w14:paraId="4F1DA710" w14:textId="77777777" w:rsidR="00F52A21" w:rsidRPr="00722885" w:rsidRDefault="00F52A21" w:rsidP="00722885">
      <w:pPr>
        <w:spacing w:after="0" w:line="240" w:lineRule="auto"/>
        <w:jc w:val="both"/>
        <w:rPr>
          <w:rFonts w:ascii="Times New Roman" w:eastAsia="Times New Roman" w:hAnsi="Times New Roman"/>
          <w:color w:val="000000" w:themeColor="text1"/>
          <w:sz w:val="16"/>
          <w:szCs w:val="16"/>
          <w:lang w:eastAsia="ru-RU"/>
        </w:rPr>
      </w:pPr>
    </w:p>
    <w:p w14:paraId="3F9EFA7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0FB5F0D" w14:textId="77777777" w:rsidR="00090C9B" w:rsidRPr="00722885" w:rsidRDefault="00090C9B" w:rsidP="00722885">
      <w:pPr>
        <w:pStyle w:val="Iauiue"/>
        <w:jc w:val="both"/>
        <w:rPr>
          <w:iCs/>
          <w:color w:val="000000" w:themeColor="text1"/>
          <w:sz w:val="16"/>
          <w:szCs w:val="16"/>
        </w:rPr>
      </w:pPr>
    </w:p>
    <w:p w14:paraId="7A3CBF2F"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ОКТЯБРЯ 1942 ГОДА</w:t>
      </w:r>
    </w:p>
    <w:p w14:paraId="077F7420"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ЗАСЕДАНИЯ ПАРТКОМА ЗАВОДА ОРДЖОНИКИДЗЕ ОТ 6 ОКТЯБРЯ 1942 ГОДА</w:t>
      </w:r>
    </w:p>
    <w:p w14:paraId="3F96A174"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О готовности машины № 37 к эксплуатации в зимних условиях.</w:t>
      </w:r>
    </w:p>
    <w:p w14:paraId="10BCB0F7"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(Л. 317) Слушали: (доклад т. Грушина).</w:t>
      </w:r>
    </w:p>
    <w:p w14:paraId="31DDB4B2"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Выступили:</w:t>
      </w:r>
    </w:p>
    <w:p w14:paraId="2169D6A6"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Зайчик (пом. директора): По конструкторскому] отделу есть задолженность по жалюзи и разжижению масла, остальные все вопросы разрешены, хотя мы лыжи и не будем делать, все же конструкцию по ним надо закончить, чтобы машина была готова к эксплуатации во всех вариантах.</w:t>
      </w:r>
    </w:p>
    <w:p w14:paraId="745C6ACE"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Камуфляж на машине будет типа прошлого года. Сроки подачи машины в зимних вариантах надо установить твердо, и с какого числа, чтобы нам быть заранее в курсе дела.</w:t>
      </w:r>
    </w:p>
    <w:p w14:paraId="187A4C23"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Ярошенко (старший военпред): То, что сделано по машине на сегодня, это хорошо, но завод несколько затянул машину и на сегодня испытывает с этим вопросом затруднения. Эталон самолета ЛаГГ-3 нам иметь необходимо, а для этого нам нужно как следует все привести в порядок, все чертежи и приспособления.</w:t>
      </w:r>
    </w:p>
    <w:p w14:paraId="26C79263"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(Л. 318) Агуреев: Все товарищи признают, что все очень просто и все хорошо, но, тем не менее, планы, устанавливающие выпуск машин, не выполняются. </w:t>
      </w:r>
    </w:p>
    <w:p w14:paraId="5147B83B"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Мне кажется, что и ждать особенно нечего, а переходить надо в серию и готовить машины к эксплуатации в зимних условиях, ни в коем случае не повторяя ошибок прошлого года, а мы в состоянии их избежать...</w:t>
      </w:r>
    </w:p>
    <w:p w14:paraId="47738839"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Решение партийного комитета по вопросу подготовки самолета ЛаГГ-3 и Ла-5 к зиме от 6 октября 1942 года</w:t>
      </w:r>
    </w:p>
    <w:p w14:paraId="363DD5EA"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Заслушав доклад заместителя] гл[авного] конструктора тов. Грушина о готовности машины тип 31 и тип 37 к зимней эксплуатации, партийный комитет постановляет:</w:t>
      </w:r>
    </w:p>
    <w:p w14:paraId="7D44385D"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Обязать зам[естителя] гл[авного] конструктора тов. Грушина в 3-дневный срок передать в производство чертежи по окончательной доводке машины тип 37 к зиме (убирающиеся лыжи, разжижение масла и передние жалюзи).</w:t>
      </w:r>
    </w:p>
    <w:p w14:paraId="3D333721"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Обязать начальника ц[еха] 40 тов. Андрюхина в 3-дневный срок передать цеху № 120 эталоны всех трубопроводов, подлежащих отоплению в зимних вариантах машин типа 37 и 31.</w:t>
      </w:r>
    </w:p>
    <w:p w14:paraId="70D6C3D4"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Обязать директора завода тов. Агаджанова, по согласованию с ВВС, определить срок внедрения в производство всех нововведений в связи с подготовкой к зиме согласно [?] эталонов машин тип 37 и 31.</w:t>
      </w:r>
    </w:p>
    <w:p w14:paraId="7A2389DB"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Партком обращает внимание технического руководства завода (главный инженер и главный технолог) на обеспечение качественного покрытия самолетов зимним камуфляжем, не допуская снижения летных данных машин по этой причине.</w:t>
      </w:r>
    </w:p>
    <w:p w14:paraId="406CA1DA"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Обязать секретарей парторганизаций отдела № 1 тов. Сергиевского и цеха № 40 тов. Колобкова лично контролировать выполнение сроков выпуска чертежей и внедрение в производство всех нововведений в связи с зимой.</w:t>
      </w:r>
    </w:p>
    <w:p w14:paraId="2289F573"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Секретарь парткома завода им.С. Орджоникидзе</w:t>
      </w:r>
      <w:r w:rsidRPr="00722885">
        <w:rPr>
          <w:rFonts w:ascii="Times New Roman" w:hAnsi="Times New Roman"/>
          <w:color w:val="0070C0"/>
          <w:sz w:val="16"/>
          <w:szCs w:val="16"/>
        </w:rPr>
        <w:tab/>
        <w:t>(Агуреев)</w:t>
      </w:r>
    </w:p>
    <w:p w14:paraId="2199FAAC"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ГОПАНО. Ф. 1947. On. 1. Д. 315а. Л. 318-320.</w:t>
      </w:r>
    </w:p>
    <w:p w14:paraId="2B324D4F"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Подлинник. Машинопись (21042).</w:t>
      </w:r>
    </w:p>
    <w:p w14:paraId="43CCABB6" w14:textId="77777777" w:rsidR="00627BE2" w:rsidRPr="00722885" w:rsidRDefault="00627BE2" w:rsidP="00722885">
      <w:pPr>
        <w:spacing w:after="0" w:line="240" w:lineRule="auto"/>
        <w:jc w:val="both"/>
        <w:rPr>
          <w:rFonts w:ascii="Times New Roman" w:hAnsi="Times New Roman"/>
          <w:color w:val="0070C0"/>
          <w:sz w:val="16"/>
          <w:szCs w:val="16"/>
        </w:rPr>
      </w:pPr>
    </w:p>
    <w:p w14:paraId="567A5BE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6 октября 1942 года вышел приказ НКБ № 764сс</w:t>
      </w:r>
    </w:p>
    <w:p w14:paraId="2F2563A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50 мм ротн. мином.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9B487A" w:rsidRPr="00722885" w14:paraId="0CCE7CE2" w14:textId="77777777" w:rsidTr="00CC5360">
        <w:tc>
          <w:tcPr>
            <w:tcW w:w="2952" w:type="dxa"/>
          </w:tcPr>
          <w:p w14:paraId="486C94E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НКМВ</w:t>
            </w:r>
          </w:p>
        </w:tc>
        <w:tc>
          <w:tcPr>
            <w:tcW w:w="2952" w:type="dxa"/>
          </w:tcPr>
          <w:p w14:paraId="0898FAD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748</w:t>
            </w:r>
          </w:p>
        </w:tc>
        <w:tc>
          <w:tcPr>
            <w:tcW w:w="2952" w:type="dxa"/>
          </w:tcPr>
          <w:p w14:paraId="6FDD032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Кузнецк Пензенской обл.</w:t>
            </w:r>
          </w:p>
        </w:tc>
      </w:tr>
      <w:tr w:rsidR="009B487A" w:rsidRPr="00722885" w14:paraId="4E3BC8A2" w14:textId="77777777" w:rsidTr="00CC5360">
        <w:tc>
          <w:tcPr>
            <w:tcW w:w="2952" w:type="dxa"/>
          </w:tcPr>
          <w:p w14:paraId="6899A6D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НКМВ</w:t>
            </w:r>
          </w:p>
        </w:tc>
        <w:tc>
          <w:tcPr>
            <w:tcW w:w="2952" w:type="dxa"/>
          </w:tcPr>
          <w:p w14:paraId="69A3786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708 им. Сталина</w:t>
            </w:r>
          </w:p>
        </w:tc>
        <w:tc>
          <w:tcPr>
            <w:tcW w:w="2952" w:type="dxa"/>
          </w:tcPr>
          <w:p w14:paraId="3F4ED48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Ташкент</w:t>
            </w:r>
          </w:p>
        </w:tc>
      </w:tr>
      <w:tr w:rsidR="009B487A" w:rsidRPr="00722885" w14:paraId="2FC28903" w14:textId="77777777" w:rsidTr="00CC5360">
        <w:tc>
          <w:tcPr>
            <w:tcW w:w="2952" w:type="dxa"/>
          </w:tcPr>
          <w:p w14:paraId="668CD24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НКМВ</w:t>
            </w:r>
          </w:p>
        </w:tc>
        <w:tc>
          <w:tcPr>
            <w:tcW w:w="2952" w:type="dxa"/>
          </w:tcPr>
          <w:p w14:paraId="436BEF6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763</w:t>
            </w:r>
          </w:p>
        </w:tc>
        <w:tc>
          <w:tcPr>
            <w:tcW w:w="2952" w:type="dxa"/>
          </w:tcPr>
          <w:p w14:paraId="1ECCBED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Киров</w:t>
            </w:r>
          </w:p>
        </w:tc>
      </w:tr>
      <w:tr w:rsidR="009B487A" w:rsidRPr="00722885" w14:paraId="6EC1B914" w14:textId="77777777" w:rsidTr="00CC5360">
        <w:tc>
          <w:tcPr>
            <w:tcW w:w="2952" w:type="dxa"/>
          </w:tcPr>
          <w:p w14:paraId="550F0D6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НКМВ</w:t>
            </w:r>
          </w:p>
        </w:tc>
        <w:tc>
          <w:tcPr>
            <w:tcW w:w="2952" w:type="dxa"/>
          </w:tcPr>
          <w:p w14:paraId="3D8330E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815</w:t>
            </w:r>
          </w:p>
        </w:tc>
        <w:tc>
          <w:tcPr>
            <w:tcW w:w="2952" w:type="dxa"/>
          </w:tcPr>
          <w:p w14:paraId="6CF7854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Шадринск</w:t>
            </w:r>
          </w:p>
        </w:tc>
      </w:tr>
      <w:tr w:rsidR="009B487A" w:rsidRPr="00722885" w14:paraId="664EFA6F" w14:textId="77777777" w:rsidTr="00CC5360">
        <w:tc>
          <w:tcPr>
            <w:tcW w:w="2952" w:type="dxa"/>
          </w:tcPr>
          <w:p w14:paraId="18E639D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НКСМ</w:t>
            </w:r>
          </w:p>
        </w:tc>
        <w:tc>
          <w:tcPr>
            <w:tcW w:w="2952" w:type="dxa"/>
          </w:tcPr>
          <w:p w14:paraId="5346A80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“Красная Этна”</w:t>
            </w:r>
          </w:p>
        </w:tc>
        <w:tc>
          <w:tcPr>
            <w:tcW w:w="2952" w:type="dxa"/>
          </w:tcPr>
          <w:p w14:paraId="58A8FF1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Горький</w:t>
            </w:r>
          </w:p>
        </w:tc>
      </w:tr>
      <w:tr w:rsidR="009B487A" w:rsidRPr="00722885" w14:paraId="7A83C5CF" w14:textId="77777777" w:rsidTr="00CC5360">
        <w:tc>
          <w:tcPr>
            <w:tcW w:w="2952" w:type="dxa"/>
          </w:tcPr>
          <w:p w14:paraId="7EEA4F6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НКСМ</w:t>
            </w:r>
          </w:p>
        </w:tc>
        <w:tc>
          <w:tcPr>
            <w:tcW w:w="2952" w:type="dxa"/>
          </w:tcPr>
          <w:p w14:paraId="7DF650B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им. Буденного</w:t>
            </w:r>
          </w:p>
        </w:tc>
        <w:tc>
          <w:tcPr>
            <w:tcW w:w="2952" w:type="dxa"/>
          </w:tcPr>
          <w:p w14:paraId="6D83F61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Москва</w:t>
            </w:r>
          </w:p>
        </w:tc>
      </w:tr>
      <w:tr w:rsidR="009B487A" w:rsidRPr="00722885" w14:paraId="1CEBDD11" w14:textId="77777777" w:rsidTr="00CC5360">
        <w:tc>
          <w:tcPr>
            <w:tcW w:w="2952" w:type="dxa"/>
          </w:tcPr>
          <w:p w14:paraId="2C489C1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НКНП</w:t>
            </w:r>
          </w:p>
        </w:tc>
        <w:tc>
          <w:tcPr>
            <w:tcW w:w="2952" w:type="dxa"/>
          </w:tcPr>
          <w:p w14:paraId="7899355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им. Буденного</w:t>
            </w:r>
          </w:p>
        </w:tc>
        <w:tc>
          <w:tcPr>
            <w:tcW w:w="2952" w:type="dxa"/>
          </w:tcPr>
          <w:p w14:paraId="289FFE4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Баку</w:t>
            </w:r>
          </w:p>
        </w:tc>
      </w:tr>
      <w:tr w:rsidR="009B487A" w:rsidRPr="00722885" w14:paraId="65CC11E7" w14:textId="77777777" w:rsidTr="00CC5360">
        <w:tc>
          <w:tcPr>
            <w:tcW w:w="2952" w:type="dxa"/>
          </w:tcPr>
          <w:p w14:paraId="1F8C89C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НКНП</w:t>
            </w:r>
          </w:p>
        </w:tc>
        <w:tc>
          <w:tcPr>
            <w:tcW w:w="2952" w:type="dxa"/>
          </w:tcPr>
          <w:p w14:paraId="6D8E5E6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им. Кирова</w:t>
            </w:r>
          </w:p>
        </w:tc>
        <w:tc>
          <w:tcPr>
            <w:tcW w:w="2952" w:type="dxa"/>
          </w:tcPr>
          <w:p w14:paraId="09C8575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Баку</w:t>
            </w:r>
          </w:p>
        </w:tc>
      </w:tr>
      <w:tr w:rsidR="009B487A" w:rsidRPr="00722885" w14:paraId="470E0DF4" w14:textId="77777777" w:rsidTr="00CC5360">
        <w:tc>
          <w:tcPr>
            <w:tcW w:w="2952" w:type="dxa"/>
          </w:tcPr>
          <w:p w14:paraId="60D7AE9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НКТМ</w:t>
            </w:r>
          </w:p>
        </w:tc>
        <w:tc>
          <w:tcPr>
            <w:tcW w:w="2952" w:type="dxa"/>
          </w:tcPr>
          <w:p w14:paraId="4D51073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“Красный Профинтерн”</w:t>
            </w:r>
          </w:p>
        </w:tc>
        <w:tc>
          <w:tcPr>
            <w:tcW w:w="2952" w:type="dxa"/>
          </w:tcPr>
          <w:p w14:paraId="388E52D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Красноярск</w:t>
            </w:r>
          </w:p>
        </w:tc>
      </w:tr>
      <w:tr w:rsidR="009B487A" w:rsidRPr="00722885" w14:paraId="337E17C0" w14:textId="77777777" w:rsidTr="00CC5360">
        <w:tc>
          <w:tcPr>
            <w:tcW w:w="2952" w:type="dxa"/>
          </w:tcPr>
          <w:p w14:paraId="013A146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НКТМ</w:t>
            </w:r>
          </w:p>
        </w:tc>
        <w:tc>
          <w:tcPr>
            <w:tcW w:w="2952" w:type="dxa"/>
          </w:tcPr>
          <w:p w14:paraId="2C2E315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им. Куйбышева</w:t>
            </w:r>
          </w:p>
        </w:tc>
        <w:tc>
          <w:tcPr>
            <w:tcW w:w="2952" w:type="dxa"/>
          </w:tcPr>
          <w:p w14:paraId="0328136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Иркутск</w:t>
            </w:r>
          </w:p>
        </w:tc>
      </w:tr>
    </w:tbl>
    <w:p w14:paraId="0761E61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82 мм батальон. миномет.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9B487A" w:rsidRPr="00722885" w14:paraId="39342BBD" w14:textId="77777777" w:rsidTr="00CC5360">
        <w:tc>
          <w:tcPr>
            <w:tcW w:w="2952" w:type="dxa"/>
          </w:tcPr>
          <w:p w14:paraId="51C52EE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НКМВ</w:t>
            </w:r>
          </w:p>
        </w:tc>
        <w:tc>
          <w:tcPr>
            <w:tcW w:w="2952" w:type="dxa"/>
          </w:tcPr>
          <w:p w14:paraId="14A51FA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808</w:t>
            </w:r>
          </w:p>
        </w:tc>
        <w:tc>
          <w:tcPr>
            <w:tcW w:w="2952" w:type="dxa"/>
          </w:tcPr>
          <w:p w14:paraId="1DBB659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Рыбинск</w:t>
            </w:r>
          </w:p>
        </w:tc>
      </w:tr>
      <w:tr w:rsidR="009B487A" w:rsidRPr="00722885" w14:paraId="4657C487" w14:textId="77777777" w:rsidTr="00CC5360">
        <w:tc>
          <w:tcPr>
            <w:tcW w:w="2952" w:type="dxa"/>
          </w:tcPr>
          <w:p w14:paraId="217ED71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НКМВ</w:t>
            </w:r>
          </w:p>
        </w:tc>
        <w:tc>
          <w:tcPr>
            <w:tcW w:w="2952" w:type="dxa"/>
          </w:tcPr>
          <w:p w14:paraId="1A0F4B2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702 им. Ворошилова</w:t>
            </w:r>
          </w:p>
        </w:tc>
        <w:tc>
          <w:tcPr>
            <w:tcW w:w="2952" w:type="dxa"/>
          </w:tcPr>
          <w:p w14:paraId="57C1F16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Ташкент</w:t>
            </w:r>
          </w:p>
        </w:tc>
      </w:tr>
      <w:tr w:rsidR="009B487A" w:rsidRPr="00722885" w14:paraId="6CA111FC" w14:textId="77777777" w:rsidTr="00CC5360">
        <w:tc>
          <w:tcPr>
            <w:tcW w:w="2952" w:type="dxa"/>
          </w:tcPr>
          <w:p w14:paraId="301B586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НКМВ</w:t>
            </w:r>
          </w:p>
        </w:tc>
        <w:tc>
          <w:tcPr>
            <w:tcW w:w="2952" w:type="dxa"/>
          </w:tcPr>
          <w:p w14:paraId="241ADD0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707</w:t>
            </w:r>
          </w:p>
        </w:tc>
        <w:tc>
          <w:tcPr>
            <w:tcW w:w="2952" w:type="dxa"/>
          </w:tcPr>
          <w:p w14:paraId="359D3FB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Курган</w:t>
            </w:r>
          </w:p>
        </w:tc>
      </w:tr>
      <w:tr w:rsidR="009B487A" w:rsidRPr="00722885" w14:paraId="68E76CAD" w14:textId="77777777" w:rsidTr="00CC5360">
        <w:tc>
          <w:tcPr>
            <w:tcW w:w="2952" w:type="dxa"/>
          </w:tcPr>
          <w:p w14:paraId="7A3BE29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НКМВ</w:t>
            </w:r>
          </w:p>
        </w:tc>
        <w:tc>
          <w:tcPr>
            <w:tcW w:w="2952" w:type="dxa"/>
          </w:tcPr>
          <w:p w14:paraId="6670800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760</w:t>
            </w:r>
          </w:p>
        </w:tc>
        <w:tc>
          <w:tcPr>
            <w:tcW w:w="2952" w:type="dxa"/>
          </w:tcPr>
          <w:p w14:paraId="04EBE61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Свердловск</w:t>
            </w:r>
          </w:p>
        </w:tc>
      </w:tr>
      <w:tr w:rsidR="009B487A" w:rsidRPr="00722885" w14:paraId="542345E7" w14:textId="77777777" w:rsidTr="00CC5360">
        <w:tc>
          <w:tcPr>
            <w:tcW w:w="2952" w:type="dxa"/>
          </w:tcPr>
          <w:p w14:paraId="1141250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lastRenderedPageBreak/>
              <w:t>НКМВ</w:t>
            </w:r>
          </w:p>
        </w:tc>
        <w:tc>
          <w:tcPr>
            <w:tcW w:w="2952" w:type="dxa"/>
          </w:tcPr>
          <w:p w14:paraId="0B35706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740</w:t>
            </w:r>
          </w:p>
        </w:tc>
        <w:tc>
          <w:tcPr>
            <w:tcW w:w="2952" w:type="dxa"/>
          </w:tcPr>
          <w:p w14:paraId="1C250AF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Пенза</w:t>
            </w:r>
          </w:p>
        </w:tc>
      </w:tr>
      <w:tr w:rsidR="009B487A" w:rsidRPr="00722885" w14:paraId="262514A0" w14:textId="77777777" w:rsidTr="00CC5360">
        <w:tc>
          <w:tcPr>
            <w:tcW w:w="2952" w:type="dxa"/>
          </w:tcPr>
          <w:p w14:paraId="683D9F6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НКМВ</w:t>
            </w:r>
          </w:p>
        </w:tc>
        <w:tc>
          <w:tcPr>
            <w:tcW w:w="2952" w:type="dxa"/>
          </w:tcPr>
          <w:p w14:paraId="1F18651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743</w:t>
            </w:r>
          </w:p>
        </w:tc>
        <w:tc>
          <w:tcPr>
            <w:tcW w:w="2952" w:type="dxa"/>
          </w:tcPr>
          <w:p w14:paraId="05EB122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Иваново</w:t>
            </w:r>
          </w:p>
        </w:tc>
      </w:tr>
      <w:tr w:rsidR="009B487A" w:rsidRPr="00722885" w14:paraId="63AE4218" w14:textId="77777777" w:rsidTr="00CC5360">
        <w:tc>
          <w:tcPr>
            <w:tcW w:w="2952" w:type="dxa"/>
          </w:tcPr>
          <w:p w14:paraId="7795148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НКВ</w:t>
            </w:r>
          </w:p>
        </w:tc>
        <w:tc>
          <w:tcPr>
            <w:tcW w:w="2952" w:type="dxa"/>
          </w:tcPr>
          <w:p w14:paraId="2D40F65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313</w:t>
            </w:r>
          </w:p>
        </w:tc>
        <w:tc>
          <w:tcPr>
            <w:tcW w:w="2952" w:type="dxa"/>
          </w:tcPr>
          <w:p w14:paraId="3037B1D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Комсомольск</w:t>
            </w:r>
          </w:p>
        </w:tc>
      </w:tr>
      <w:tr w:rsidR="009B487A" w:rsidRPr="00722885" w14:paraId="393F4B35" w14:textId="77777777" w:rsidTr="00CC5360">
        <w:tc>
          <w:tcPr>
            <w:tcW w:w="2952" w:type="dxa"/>
          </w:tcPr>
          <w:p w14:paraId="2F2A8D6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НКСМ</w:t>
            </w:r>
          </w:p>
        </w:tc>
        <w:tc>
          <w:tcPr>
            <w:tcW w:w="2952" w:type="dxa"/>
          </w:tcPr>
          <w:p w14:paraId="0E7E82F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им. Молотова</w:t>
            </w:r>
          </w:p>
        </w:tc>
        <w:tc>
          <w:tcPr>
            <w:tcW w:w="2952" w:type="dxa"/>
          </w:tcPr>
          <w:p w14:paraId="2673884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Горький</w:t>
            </w:r>
          </w:p>
        </w:tc>
      </w:tr>
      <w:tr w:rsidR="009B487A" w:rsidRPr="00722885" w14:paraId="6B3D1274" w14:textId="77777777" w:rsidTr="00CC5360">
        <w:tc>
          <w:tcPr>
            <w:tcW w:w="2952" w:type="dxa"/>
          </w:tcPr>
          <w:p w14:paraId="4C34F41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НКСМ</w:t>
            </w:r>
          </w:p>
        </w:tc>
        <w:tc>
          <w:tcPr>
            <w:tcW w:w="2952" w:type="dxa"/>
          </w:tcPr>
          <w:p w14:paraId="2683F26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им. Сталина</w:t>
            </w:r>
          </w:p>
        </w:tc>
        <w:tc>
          <w:tcPr>
            <w:tcW w:w="2952" w:type="dxa"/>
          </w:tcPr>
          <w:p w14:paraId="2EF795D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Москва</w:t>
            </w:r>
          </w:p>
        </w:tc>
      </w:tr>
      <w:tr w:rsidR="009B487A" w:rsidRPr="00722885" w14:paraId="16AD3BE0" w14:textId="77777777" w:rsidTr="00CC5360">
        <w:tc>
          <w:tcPr>
            <w:tcW w:w="2952" w:type="dxa"/>
          </w:tcPr>
          <w:p w14:paraId="20F9DDC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НКПС</w:t>
            </w:r>
          </w:p>
        </w:tc>
        <w:tc>
          <w:tcPr>
            <w:tcW w:w="2952" w:type="dxa"/>
          </w:tcPr>
          <w:p w14:paraId="2CBF16C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Паровозоремонтный завод</w:t>
            </w:r>
          </w:p>
        </w:tc>
        <w:tc>
          <w:tcPr>
            <w:tcW w:w="2952" w:type="dxa"/>
          </w:tcPr>
          <w:p w14:paraId="39DAB70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Красноярск</w:t>
            </w:r>
          </w:p>
        </w:tc>
      </w:tr>
      <w:tr w:rsidR="009B487A" w:rsidRPr="00722885" w14:paraId="0B936DB3" w14:textId="77777777" w:rsidTr="00CC5360">
        <w:tc>
          <w:tcPr>
            <w:tcW w:w="2952" w:type="dxa"/>
          </w:tcPr>
          <w:p w14:paraId="0EDEC52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НКПС</w:t>
            </w:r>
          </w:p>
        </w:tc>
        <w:tc>
          <w:tcPr>
            <w:tcW w:w="2952" w:type="dxa"/>
          </w:tcPr>
          <w:p w14:paraId="133E85F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Машиностроительный завод</w:t>
            </w:r>
          </w:p>
        </w:tc>
        <w:tc>
          <w:tcPr>
            <w:tcW w:w="2952" w:type="dxa"/>
          </w:tcPr>
          <w:p w14:paraId="60A741C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Ковров</w:t>
            </w:r>
          </w:p>
        </w:tc>
      </w:tr>
      <w:tr w:rsidR="009B487A" w:rsidRPr="00722885" w14:paraId="5DDA3D86" w14:textId="77777777" w:rsidTr="00CC5360">
        <w:tc>
          <w:tcPr>
            <w:tcW w:w="2952" w:type="dxa"/>
          </w:tcPr>
          <w:p w14:paraId="31E42FE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НКПС</w:t>
            </w:r>
          </w:p>
        </w:tc>
        <w:tc>
          <w:tcPr>
            <w:tcW w:w="2952" w:type="dxa"/>
          </w:tcPr>
          <w:p w14:paraId="1A0EED3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Паровозоремонтный завод</w:t>
            </w:r>
          </w:p>
        </w:tc>
        <w:tc>
          <w:tcPr>
            <w:tcW w:w="2952" w:type="dxa"/>
          </w:tcPr>
          <w:p w14:paraId="49AF1C3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Вологда</w:t>
            </w:r>
          </w:p>
        </w:tc>
      </w:tr>
      <w:tr w:rsidR="009B487A" w:rsidRPr="00722885" w14:paraId="77488025" w14:textId="77777777" w:rsidTr="00CC5360">
        <w:tc>
          <w:tcPr>
            <w:tcW w:w="2952" w:type="dxa"/>
          </w:tcPr>
          <w:p w14:paraId="18772BD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НКПС</w:t>
            </w:r>
          </w:p>
        </w:tc>
        <w:tc>
          <w:tcPr>
            <w:tcW w:w="2952" w:type="dxa"/>
          </w:tcPr>
          <w:p w14:paraId="2ED917F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Паровозоремонтный завод</w:t>
            </w:r>
          </w:p>
        </w:tc>
        <w:tc>
          <w:tcPr>
            <w:tcW w:w="2952" w:type="dxa"/>
          </w:tcPr>
          <w:p w14:paraId="59784DA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Тбилиси</w:t>
            </w:r>
          </w:p>
        </w:tc>
      </w:tr>
      <w:tr w:rsidR="009B487A" w:rsidRPr="00722885" w14:paraId="7D9C0841" w14:textId="77777777" w:rsidTr="00CC5360">
        <w:tc>
          <w:tcPr>
            <w:tcW w:w="2952" w:type="dxa"/>
          </w:tcPr>
          <w:p w14:paraId="3369024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НКТМ</w:t>
            </w:r>
          </w:p>
        </w:tc>
        <w:tc>
          <w:tcPr>
            <w:tcW w:w="2952" w:type="dxa"/>
          </w:tcPr>
          <w:p w14:paraId="5E893AE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 xml:space="preserve">Завод № 718 </w:t>
            </w:r>
          </w:p>
        </w:tc>
        <w:tc>
          <w:tcPr>
            <w:tcW w:w="2952" w:type="dxa"/>
          </w:tcPr>
          <w:p w14:paraId="51A68DD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Горький</w:t>
            </w:r>
          </w:p>
        </w:tc>
      </w:tr>
    </w:tbl>
    <w:p w14:paraId="65F5AAA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120 мм полковой миномет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9B487A" w:rsidRPr="00722885" w14:paraId="1D0E7450" w14:textId="77777777" w:rsidTr="00CC5360">
        <w:tc>
          <w:tcPr>
            <w:tcW w:w="2952" w:type="dxa"/>
          </w:tcPr>
          <w:p w14:paraId="1CA1EC3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НКВМ</w:t>
            </w:r>
          </w:p>
        </w:tc>
        <w:tc>
          <w:tcPr>
            <w:tcW w:w="2952" w:type="dxa"/>
          </w:tcPr>
          <w:p w14:paraId="0AEEEDD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720 им. Калинина</w:t>
            </w:r>
          </w:p>
        </w:tc>
        <w:tc>
          <w:tcPr>
            <w:tcW w:w="2952" w:type="dxa"/>
          </w:tcPr>
          <w:p w14:paraId="0B281DD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Москва</w:t>
            </w:r>
          </w:p>
        </w:tc>
      </w:tr>
      <w:tr w:rsidR="009B487A" w:rsidRPr="00722885" w14:paraId="75AFBDB9" w14:textId="77777777" w:rsidTr="00CC5360">
        <w:tc>
          <w:tcPr>
            <w:tcW w:w="2952" w:type="dxa"/>
          </w:tcPr>
          <w:p w14:paraId="4E90F06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НКВМ</w:t>
            </w:r>
          </w:p>
        </w:tc>
        <w:tc>
          <w:tcPr>
            <w:tcW w:w="2952" w:type="dxa"/>
          </w:tcPr>
          <w:p w14:paraId="2963D3B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724 им. Фрунзе</w:t>
            </w:r>
          </w:p>
        </w:tc>
        <w:tc>
          <w:tcPr>
            <w:tcW w:w="2952" w:type="dxa"/>
          </w:tcPr>
          <w:p w14:paraId="75BD2E8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Чирчик</w:t>
            </w:r>
          </w:p>
        </w:tc>
      </w:tr>
      <w:tr w:rsidR="009B487A" w:rsidRPr="00722885" w14:paraId="5D78C3E1" w14:textId="77777777" w:rsidTr="00CC5360">
        <w:tc>
          <w:tcPr>
            <w:tcW w:w="2952" w:type="dxa"/>
          </w:tcPr>
          <w:p w14:paraId="720E4EA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НКВМ</w:t>
            </w:r>
          </w:p>
        </w:tc>
        <w:tc>
          <w:tcPr>
            <w:tcW w:w="2952" w:type="dxa"/>
          </w:tcPr>
          <w:p w14:paraId="29EB4A0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726</w:t>
            </w:r>
          </w:p>
        </w:tc>
        <w:tc>
          <w:tcPr>
            <w:tcW w:w="2952" w:type="dxa"/>
          </w:tcPr>
          <w:p w14:paraId="4284032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Свердловск</w:t>
            </w:r>
          </w:p>
        </w:tc>
      </w:tr>
      <w:tr w:rsidR="009B487A" w:rsidRPr="00722885" w14:paraId="064D5676" w14:textId="77777777" w:rsidTr="00CC5360">
        <w:tc>
          <w:tcPr>
            <w:tcW w:w="2952" w:type="dxa"/>
          </w:tcPr>
          <w:p w14:paraId="7CFF861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НКВМ</w:t>
            </w:r>
          </w:p>
        </w:tc>
        <w:tc>
          <w:tcPr>
            <w:tcW w:w="2952" w:type="dxa"/>
          </w:tcPr>
          <w:p w14:paraId="71C8547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746</w:t>
            </w:r>
          </w:p>
        </w:tc>
        <w:tc>
          <w:tcPr>
            <w:tcW w:w="2952" w:type="dxa"/>
          </w:tcPr>
          <w:p w14:paraId="2D5DE60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Москва</w:t>
            </w:r>
          </w:p>
        </w:tc>
      </w:tr>
      <w:tr w:rsidR="009B487A" w:rsidRPr="00722885" w14:paraId="76EA689D" w14:textId="77777777" w:rsidTr="00CC5360">
        <w:tc>
          <w:tcPr>
            <w:tcW w:w="2952" w:type="dxa"/>
          </w:tcPr>
          <w:p w14:paraId="5FFA92C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НКВ</w:t>
            </w:r>
          </w:p>
        </w:tc>
        <w:tc>
          <w:tcPr>
            <w:tcW w:w="2952" w:type="dxa"/>
          </w:tcPr>
          <w:p w14:paraId="2ADDD90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4</w:t>
            </w:r>
          </w:p>
        </w:tc>
        <w:tc>
          <w:tcPr>
            <w:tcW w:w="2952" w:type="dxa"/>
          </w:tcPr>
          <w:p w14:paraId="1BDC8BC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Красноярск</w:t>
            </w:r>
          </w:p>
        </w:tc>
      </w:tr>
      <w:tr w:rsidR="009B487A" w:rsidRPr="00722885" w14:paraId="1F720D54" w14:textId="77777777" w:rsidTr="00CC5360">
        <w:tc>
          <w:tcPr>
            <w:tcW w:w="2952" w:type="dxa"/>
          </w:tcPr>
          <w:p w14:paraId="19BC58C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НКПС</w:t>
            </w:r>
          </w:p>
        </w:tc>
        <w:tc>
          <w:tcPr>
            <w:tcW w:w="2952" w:type="dxa"/>
          </w:tcPr>
          <w:p w14:paraId="69A5B88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Паровозоремонтный завод</w:t>
            </w:r>
          </w:p>
        </w:tc>
        <w:tc>
          <w:tcPr>
            <w:tcW w:w="2952" w:type="dxa"/>
          </w:tcPr>
          <w:p w14:paraId="15A614A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Улан-Удэ</w:t>
            </w:r>
          </w:p>
        </w:tc>
      </w:tr>
      <w:tr w:rsidR="009B487A" w:rsidRPr="00722885" w14:paraId="2949A9D3" w14:textId="77777777" w:rsidTr="00CC5360">
        <w:tc>
          <w:tcPr>
            <w:tcW w:w="2952" w:type="dxa"/>
          </w:tcPr>
          <w:p w14:paraId="757602C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 xml:space="preserve">НКТМ </w:t>
            </w:r>
          </w:p>
        </w:tc>
        <w:tc>
          <w:tcPr>
            <w:tcW w:w="2952" w:type="dxa"/>
          </w:tcPr>
          <w:p w14:paraId="4B54FC5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“Коммунист”</w:t>
            </w:r>
          </w:p>
        </w:tc>
        <w:tc>
          <w:tcPr>
            <w:tcW w:w="2952" w:type="dxa"/>
          </w:tcPr>
          <w:p w14:paraId="16612EB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Маркс</w:t>
            </w:r>
          </w:p>
        </w:tc>
      </w:tr>
      <w:tr w:rsidR="009B487A" w:rsidRPr="00722885" w14:paraId="7BC20A73" w14:textId="77777777" w:rsidTr="00CC5360">
        <w:tc>
          <w:tcPr>
            <w:tcW w:w="2952" w:type="dxa"/>
          </w:tcPr>
          <w:p w14:paraId="0A04D5D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НКЭП</w:t>
            </w:r>
          </w:p>
        </w:tc>
        <w:tc>
          <w:tcPr>
            <w:tcW w:w="2952" w:type="dxa"/>
          </w:tcPr>
          <w:p w14:paraId="768CC9A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 xml:space="preserve">Завод “Динамо” </w:t>
            </w:r>
          </w:p>
        </w:tc>
        <w:tc>
          <w:tcPr>
            <w:tcW w:w="2952" w:type="dxa"/>
          </w:tcPr>
          <w:p w14:paraId="122049F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Москва</w:t>
            </w:r>
          </w:p>
        </w:tc>
      </w:tr>
      <w:tr w:rsidR="009B487A" w:rsidRPr="00722885" w14:paraId="149EFFBD" w14:textId="77777777" w:rsidTr="00CC5360">
        <w:tc>
          <w:tcPr>
            <w:tcW w:w="2952" w:type="dxa"/>
          </w:tcPr>
          <w:p w14:paraId="5E17E4C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НКВ</w:t>
            </w:r>
          </w:p>
        </w:tc>
        <w:tc>
          <w:tcPr>
            <w:tcW w:w="2952" w:type="dxa"/>
          </w:tcPr>
          <w:p w14:paraId="55B14C3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535</w:t>
            </w:r>
          </w:p>
        </w:tc>
        <w:tc>
          <w:tcPr>
            <w:tcW w:w="2952" w:type="dxa"/>
          </w:tcPr>
          <w:p w14:paraId="0DC689B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Тула</w:t>
            </w:r>
          </w:p>
        </w:tc>
      </w:tr>
      <w:tr w:rsidR="009B487A" w:rsidRPr="00722885" w14:paraId="44A1D04F" w14:textId="77777777" w:rsidTr="00CC5360">
        <w:tc>
          <w:tcPr>
            <w:tcW w:w="2952" w:type="dxa"/>
          </w:tcPr>
          <w:p w14:paraId="32C5B49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НКВ</w:t>
            </w:r>
          </w:p>
        </w:tc>
        <w:tc>
          <w:tcPr>
            <w:tcW w:w="2952" w:type="dxa"/>
          </w:tcPr>
          <w:p w14:paraId="65AE419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 xml:space="preserve">Завод № 106 </w:t>
            </w:r>
          </w:p>
        </w:tc>
        <w:tc>
          <w:tcPr>
            <w:tcW w:w="2952" w:type="dxa"/>
          </w:tcPr>
          <w:p w14:paraId="691779A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Хабаровск</w:t>
            </w:r>
          </w:p>
        </w:tc>
      </w:tr>
    </w:tbl>
    <w:p w14:paraId="0EC130BB" w14:textId="77777777" w:rsidR="00AE6980"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(5941, 29-30).</w:t>
      </w:r>
    </w:p>
    <w:p w14:paraId="24773B18" w14:textId="77777777" w:rsidR="00AE6980" w:rsidRPr="00722885" w:rsidRDefault="00AE6980" w:rsidP="00722885">
      <w:pPr>
        <w:pStyle w:val="Iauiue"/>
        <w:tabs>
          <w:tab w:val="left" w:pos="11199"/>
        </w:tabs>
        <w:jc w:val="both"/>
        <w:rPr>
          <w:color w:val="000000" w:themeColor="text1"/>
          <w:sz w:val="16"/>
          <w:szCs w:val="16"/>
        </w:rPr>
      </w:pPr>
    </w:p>
    <w:p w14:paraId="0D22D44D" w14:textId="77777777" w:rsidR="00090C9B" w:rsidRPr="00722885" w:rsidRDefault="00090C9B" w:rsidP="00722885">
      <w:pPr>
        <w:pStyle w:val="Iauiue"/>
        <w:tabs>
          <w:tab w:val="left" w:pos="11199"/>
        </w:tabs>
        <w:jc w:val="both"/>
        <w:rPr>
          <w:bCs/>
          <w:color w:val="000000" w:themeColor="text1"/>
          <w:sz w:val="16"/>
          <w:szCs w:val="16"/>
        </w:rPr>
      </w:pPr>
      <w:r w:rsidRPr="00722885">
        <w:rPr>
          <w:bCs/>
          <w:color w:val="000000" w:themeColor="text1"/>
          <w:sz w:val="16"/>
          <w:szCs w:val="16"/>
        </w:rPr>
        <w:t>6 октября 1942 г. О размещении эвакуированных рабочих, прибывающих на завод «Красный Профинтерн»</w:t>
      </w:r>
    </w:p>
    <w:p w14:paraId="0C3733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протокола заседания бюро Красноярского крайкома ВКП (б) и исполкома крайсовета</w:t>
      </w:r>
    </w:p>
    <w:p w14:paraId="3CC00281" w14:textId="77777777" w:rsidR="00090C9B" w:rsidRPr="00722885" w:rsidRDefault="00090C9B" w:rsidP="00722885">
      <w:pPr>
        <w:pStyle w:val="31"/>
        <w:widowControl/>
        <w:jc w:val="both"/>
        <w:rPr>
          <w:color w:val="000000" w:themeColor="text1"/>
        </w:rPr>
      </w:pPr>
      <w:r w:rsidRPr="00722885">
        <w:rPr>
          <w:color w:val="000000" w:themeColor="text1"/>
        </w:rPr>
        <w:t xml:space="preserve">г. Красноярск 6 октября 1942 г. </w:t>
      </w:r>
    </w:p>
    <w:p w14:paraId="2D2CE7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размещения прибывающих рабочих по эвакуации на завод «Красный Профинтерн» в соответствии с решением ГОКО от 26-го августа 1942 года, исполком крайсовета и бюро крайкома ВКП (б) постановляют:</w:t>
      </w:r>
    </w:p>
    <w:p w14:paraId="2EBA1522" w14:textId="77777777" w:rsidR="00090C9B" w:rsidRPr="00722885" w:rsidRDefault="00090C9B" w:rsidP="00722885">
      <w:pPr>
        <w:tabs>
          <w:tab w:val="left" w:pos="72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директора судоремонтного завода тов. Христенко передать заводу «Красный Профинтерн» для размещения прибывающих рабочих в один барак, занимаемый ранее школой №29 и два недостроенных барака, расположенных рядом.</w:t>
      </w:r>
    </w:p>
    <w:p w14:paraId="33C987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зав[едующую] крайздравом тов. Астафьеву передать заводу «Красный Профинтерн» во временное пользование 2-этажного дома, находящихся сейчас в распоряжении обсервационного пункта крайздрава.</w:t>
      </w:r>
    </w:p>
    <w:p w14:paraId="557163DF" w14:textId="77777777" w:rsidR="00090C9B" w:rsidRPr="00722885" w:rsidRDefault="00090C9B" w:rsidP="00722885">
      <w:pPr>
        <w:tabs>
          <w:tab w:val="left" w:pos="72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директора завода «Красный Профинтерн» тов. Чумичева:</w:t>
      </w:r>
    </w:p>
    <w:p w14:paraId="7A113F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Достроить бараки, принадлежащие судоремонтному заводу, первый – к 10 октября, второй – к 20 октября с. г. </w:t>
      </w:r>
    </w:p>
    <w:p w14:paraId="02C765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Срочно отремонтировать два двухэтажных дома, принадлежащих обсервационному пункту крайздрава при станции Енисей.</w:t>
      </w:r>
    </w:p>
    <w:p w14:paraId="367FFF81" w14:textId="77777777" w:rsidR="00090C9B" w:rsidRPr="00722885" w:rsidRDefault="00090C9B" w:rsidP="00722885">
      <w:pPr>
        <w:tabs>
          <w:tab w:val="left" w:pos="72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директора завода «Красный Профинтерн» тов. Чумичева принять необходимые меры по развертыванию строительства жилой площади для размещения рабочих и по первому требованию исполкома крайсовета возвратить помещения, временно занимаемые согласно 1,2 пунктов настоящего решения.[…]</w:t>
      </w:r>
    </w:p>
    <w:p w14:paraId="6779C1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Секретарь крайкома ВКП (б) подпись И. Голубев </w:t>
      </w:r>
    </w:p>
    <w:p w14:paraId="44F38BA6" w14:textId="77777777" w:rsidR="00090C9B" w:rsidRPr="00722885" w:rsidRDefault="00090C9B" w:rsidP="00722885">
      <w:pPr>
        <w:spacing w:after="0" w:line="240" w:lineRule="auto"/>
        <w:jc w:val="both"/>
        <w:rPr>
          <w:rFonts w:ascii="Times New Roman" w:hAnsi="Times New Roman"/>
          <w:iCs/>
          <w:color w:val="000000" w:themeColor="text1"/>
          <w:sz w:val="16"/>
          <w:szCs w:val="16"/>
        </w:rPr>
      </w:pPr>
      <w:r w:rsidRPr="00722885">
        <w:rPr>
          <w:rFonts w:ascii="Times New Roman" w:hAnsi="Times New Roman"/>
          <w:iCs/>
          <w:color w:val="000000" w:themeColor="text1"/>
          <w:sz w:val="16"/>
          <w:szCs w:val="16"/>
        </w:rPr>
        <w:t>ГАКК. Ф.П-26. Оп.3. Д.323 к. Л.9-10. Подлинник. Машинопись (11901).</w:t>
      </w:r>
    </w:p>
    <w:p w14:paraId="4E4125A9" w14:textId="77777777" w:rsidR="00090C9B" w:rsidRPr="00722885" w:rsidRDefault="00090C9B" w:rsidP="00722885">
      <w:pPr>
        <w:spacing w:after="0" w:line="240" w:lineRule="auto"/>
        <w:jc w:val="both"/>
        <w:rPr>
          <w:rFonts w:ascii="Times New Roman" w:hAnsi="Times New Roman"/>
          <w:iCs/>
          <w:color w:val="000000" w:themeColor="text1"/>
          <w:sz w:val="16"/>
          <w:szCs w:val="16"/>
        </w:rPr>
      </w:pPr>
    </w:p>
    <w:p w14:paraId="344EB3B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A52305A" w14:textId="77777777" w:rsidR="00090C9B" w:rsidRPr="00722885" w:rsidRDefault="00090C9B" w:rsidP="00722885">
      <w:pPr>
        <w:pStyle w:val="Iauiue"/>
        <w:jc w:val="both"/>
        <w:rPr>
          <w:iCs/>
          <w:color w:val="000000" w:themeColor="text1"/>
          <w:sz w:val="16"/>
          <w:szCs w:val="16"/>
        </w:rPr>
      </w:pPr>
    </w:p>
    <w:p w14:paraId="4E15CC9A"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ОКТЯБРЯ 1942 УТРЕННЕЕ СООБЩЕНИЕ </w:t>
      </w:r>
    </w:p>
    <w:p w14:paraId="35571CF8"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течение ночи на 6 октября наши войска вели бои с противником в районе Сталинграда и в районе Моздока. На других фронтах никаких изменений не произошло. </w:t>
      </w:r>
    </w:p>
    <w:p w14:paraId="69FF1495"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Сталинграда наши войска вели бои с танками и пехотой противника. На участок, который обороняет Н-ская часть, немцы бросили в атаку до полка пехоты и 15 танков. Наши бойцы отбили одну за другой семь атак гитлеровцев, подбили 3 танка и уничтожили до роты немецкой пехоты. </w:t>
      </w:r>
    </w:p>
    <w:p w14:paraId="79C584B2"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Артиллерийским огнём кораблей Волжской военной флотилии подавлен огонь 2 артиллерийских батарей и уничтожены 3 миномётные батареи противника. </w:t>
      </w:r>
    </w:p>
    <w:p w14:paraId="2980A870"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Северо-западнее Сталинграда Н-ская часть вела активные бои и несколько продвинулась вперёд. Противник на отдельных участках переходил в контратаки, но был отброшен ружейно-пулемётным и миномётным огнём наших подразделений. В ходе этих боёв немцы потеряли убитыми до 400 солдат и офицеров. Уничтожено 23 вражеских пулемёта, орудие и несколько повозок с боеприпасами. Нашими бойцами огнём из пехотного оружия сбит немецкий самолёт. </w:t>
      </w:r>
    </w:p>
    <w:p w14:paraId="47CA8942"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Моздока наши бойцы отбили атаку противника. Огнём артиллерии и миномётов уничтожено 3 танка и 80 гитлеровцев. На другом участке гвардейская часть уничтожила 4 немецких танка, 13 повозок и истребила до 200 солдат и офицеров противника. </w:t>
      </w:r>
    </w:p>
    <w:p w14:paraId="40008823"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Юго-восточнее Новороссийска на одном из участков советские бойцы перешли в контратаку и овладели высотой. В бою за высоту разгромлен румынский батальон, уничтожено 2 танка и 7 автомашин. Огнём наших зенитчиков сбито 2 и повреждено 2 немецких самолёта. </w:t>
      </w:r>
    </w:p>
    <w:p w14:paraId="6F73746A"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Ленинградском фронте активными действиями наших подразделений, огнём артиллерии, миномётов и снайперов за три дня истреблено до двух рот гитлеровцев. Лётчики Краснознамённого Балтийского флота совершили успешный налёт на аэродром противника. Бомбовым ударом уничтожено на земле 7 и повреждено 12 вражеских бомбардировщиков «Юнкерс-88». Кроме того, в воздушном бою наши лётчики сбили 3 немецких самолёта. </w:t>
      </w:r>
    </w:p>
    <w:p w14:paraId="3B45EE36"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Пленный ефрейтор 5 роты 515 полка 294 немецкой пехотной дивизии Максимилиан Матцнер рассказал: «Зимой в боях под Харьковом я обморозился, долгое время находился в госпиталях и лишь в августе вернулся в свою часть. К этому времени состав роты полностью обновился. Во всём батальоне я едва отыскал несколько знакомых солдат. Из бесед с ними я узнал о тяжёлых потерях наших подразделений. В 5 роте было 145 человек. Три раза она получала пополнения общей численностью в 150 человек. К моему возвращению в ней осталось не более 40 солдат. Товарищи сообщили мне, что в одном бою из строя выбыло очень много офицеров. Убиты командир дивизии генерал Габке, начальник штаба дивизии и другие офицеры. Солдаты с ужасом думают о наступающей зиме и о бедствиях, какие несут немецкой армии морозы». </w:t>
      </w:r>
    </w:p>
    <w:p w14:paraId="04D05015"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Немецкому унтер-офицеру Фридриху Келлеру пишет Эльза Штраубе из Вены: «В городе стоит стон от раненых. Их сейчас у нас так много, как никогда. Раненых привозят в санитарных поездах и на пароходах. Вчера опять прибыли три парохода. У моста собралась большая толпа. Не могу тебе описать всего того, что я там видела. Я думаю, что в Вене сейчас раненых солдат больше, чем жителей...» </w:t>
      </w:r>
    </w:p>
    <w:p w14:paraId="469CED86"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граждане, бежавшие из фашистского плена, рассказали о чудовищных зверствах, которые чинят немецко-фашистские мерзавцы в оккупированных ими районах Кубани. Заняв село Псебай, Краснодарского края, немцы начали творить кровавую расправу над крестьянами. В первый же день гитлеровцы повесили колхозников Шилина, Токарева и Полякова. Всех взрослых и подростков гитлеровцы погнали на ремонт дорог и мостов. Беременную колхозницу Курилкину заставили таскать камни и песок. Когда она упала, немецкие мерзавцы зверски избили её, а потом расстреляли (14791).</w:t>
      </w:r>
    </w:p>
    <w:p w14:paraId="0D511ADB" w14:textId="77777777" w:rsidR="00AE6980" w:rsidRPr="00722885" w:rsidRDefault="00AE6980" w:rsidP="00722885">
      <w:pPr>
        <w:spacing w:after="0" w:line="240" w:lineRule="auto"/>
        <w:jc w:val="both"/>
        <w:rPr>
          <w:rFonts w:ascii="Times New Roman" w:hAnsi="Times New Roman"/>
          <w:color w:val="000000" w:themeColor="text1"/>
          <w:sz w:val="16"/>
          <w:szCs w:val="16"/>
        </w:rPr>
      </w:pPr>
    </w:p>
    <w:p w14:paraId="7B7FE99E"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ОКТЯБРЯ 1942 ВЕЧЕРНЕЕ СООБЩЕНИЕ Совинформбюро:</w:t>
      </w:r>
    </w:p>
    <w:p w14:paraId="75325D16"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течение 6 октября наши войска вели бои с противником в районе Сталинграда и в районе Моздока. На других фронтах существенных изменений не произошло. </w:t>
      </w:r>
    </w:p>
    <w:p w14:paraId="282A1D97"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 5 октября частями нашей авиации на различных участках фронта уничтожено или повреждено 5 немецких танков, 25 автомашин с войсками, 5 автоцистерн с горючим, взорвано 3 склада боеприпасов, подавлен огонь 5 артиллерийских батарей, рассеяно и частью уничтожено до роты пехоты противника. </w:t>
      </w:r>
    </w:p>
    <w:p w14:paraId="72BDE26C"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Сталинграда продолжались ожесточённые бои. Крупные силы пехоты и танков противника непрерывно атаковали наши позиции в направлении заводского посёлка. В середине дня 12 немецких танков проникли в один из кварталов посёлка. Наши части вели бои по уничтожению вклинившихся в нашу оборону танков противника, и к исходу дня 11 танков из 12 прорвавшихся были уничтожены. Бойцы Н-ского соединения в течение дня уничтожили до батальона немецкой пехоты, подбили и сожгли 18 танков и ружейно-пулемётным огнём сбили 3 самолёта противника. </w:t>
      </w:r>
    </w:p>
    <w:p w14:paraId="79A44EC1"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Северо-западнее Сталинграда бойцы Н-ской части, преодолевая упорное сопротивление противника, несколько продвинулись вперёд. В ходе этих боёв уничтожено до 500 немецких солдат и офицеров, 3 танка, 9 орудий, 2 миномётные батареи, 3 миномёта и 13 пулемётов противника. Подразделения Н-ской гвардейской части ворвались на окраину одного населённого пункта, разрушили 10 ДЗОТ'ов и блиндажей и истребили 150 гитлеровцев. </w:t>
      </w:r>
    </w:p>
    <w:p w14:paraId="2F6E3654"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В районе Моздока артиллеристы и миномётчики Н-ской части отбили три атаки противника, уничтожив при этом 4 танка, 10 пулемётов, 2 автомашины и до 200 гитлеровцев. Миномётчики тт. Кабаков, Горбунов, Смирнов и Филиппов истребили до 100 немецких солдат и офицеров. На другом участке происходили ожесточенные бои за один населённый пункт, который четыре раза переходил из рук в руки. После упорных боёв наша часть оставила этот населённый пункт. </w:t>
      </w:r>
    </w:p>
    <w:p w14:paraId="322703DE"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Два дня назад в районе Синявина противник двумя дивизиями повёл атаку на наши позиции. Все атаки противника были отбиты с огромными для него потерями. В этих боях немцы потеряли 16 танков и до 4.000 солдат и офицеров. </w:t>
      </w:r>
    </w:p>
    <w:p w14:paraId="1DCC1CD7"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Юго-восточнее Новороссийска наши части отбили атаки крупных сил противника и прочно удерживают занятые рубежи. На поле боя осталось свыше 200 вражеских трупов. Подбит один немецкий танк и подавлен огонь 6 артиллерийских батарей противника. </w:t>
      </w:r>
    </w:p>
    <w:p w14:paraId="3A7B18A2"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Лётчики авиачастей, где командирами тт. Краснолуцкий, Фомин и Шевелёв, совершили налёт на аэродром противника. Неожиданно появившись над целью, они сбросили бомбы и обстреляли из пулемётов находившиеся на земле немецкие самолёты. В результате налёта уничтожено 5 и повреждено 3 немецких самолёта. </w:t>
      </w:r>
    </w:p>
    <w:p w14:paraId="1F6CBEFE"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Взятый в плен южнее Сталинграда солдат 1 роты 5 егерского полка 1 румынской пехотной дивизии Марин Диакон рассказал: «Попытки овладеть населённым пунктом обошлись нашему полку очень дорого. Мы несколько раз переходили в наступление, но неизменно натыкались на непреодолимую стену огня и отходили, неся тяжёлые потери. Когда мы отступали, нас обстреляли находившиеся позади немцы. Мы очутились между двух огней и понесли ещё большие потери. В 1 роте осталось не более 20 солдат. Чтобы подбодрить упавших духом солдат, офицеры обещают им земли на Украине и в Крыму, но и это мало помогает. Многие солдаты не хотят воевать за Гитлера. Они ненавидят немцев и считают их главными виновниками войны». </w:t>
      </w:r>
    </w:p>
    <w:p w14:paraId="29E7DC55"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Жители освобождённой от гитлеровцев деревни Панфилово, Ленинградской области, рассказали о кровавом злодеянии немецко-фашистских мерзавцев. Немецкий карательный отряд арестовал 16 колхозниц. Гитлеровцы потребовали от них сведений о местонахождении партизан. Советские женщины отказались отвечать на вопросы. Гитлеровские бандиты схватили одну колхозницу и повесили её у сарая, где допрашивали арестованных. Но и это не устрашило советских патриоток. Тогда немецко-фашистские мерзавцы подвергли колхозниц зверским пыткам, кололи их штыками, вырезали им груди, а потом облили керосином и сожгли. </w:t>
      </w:r>
    </w:p>
    <w:p w14:paraId="3EFC7C59"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Ремшейд (Западная Германия) рабочие завода «Стальиндустри» предъявили администрации следующие требования: повысить заработную плату, отменить вычеты и штрафы и улучшить питание. Все требования были отклонены. В связи с этим рабочие многих цехов отказались приступить к работе и объявили забастовку. Эсэсовцы арестовали более 300 рабочих и бросили их в тюрьму. 14 арестованных, в том числе три итальянца и пять французов, вскоре умерли от побоев (14791).</w:t>
      </w:r>
    </w:p>
    <w:p w14:paraId="773B4981" w14:textId="77777777" w:rsidR="00AE6980" w:rsidRPr="00722885" w:rsidRDefault="00AE6980" w:rsidP="00722885">
      <w:pPr>
        <w:spacing w:after="0" w:line="240" w:lineRule="auto"/>
        <w:jc w:val="both"/>
        <w:rPr>
          <w:rFonts w:ascii="Times New Roman" w:hAnsi="Times New Roman"/>
          <w:color w:val="000000" w:themeColor="text1"/>
          <w:sz w:val="16"/>
          <w:szCs w:val="16"/>
        </w:rPr>
      </w:pPr>
    </w:p>
    <w:p w14:paraId="387FDEA3"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6, 1942: In the Caucasus, III. Panzerkorps (von Mackensen) captures Malgobek in the bend of the Terek river (3819).</w:t>
      </w:r>
    </w:p>
    <w:p w14:paraId="1C8CE7F6" w14:textId="77777777" w:rsidR="00090C9B" w:rsidRPr="00722885" w:rsidRDefault="00090C9B" w:rsidP="00722885">
      <w:pPr>
        <w:pStyle w:val="Iauiue"/>
        <w:jc w:val="both"/>
        <w:rPr>
          <w:color w:val="000000" w:themeColor="text1"/>
          <w:sz w:val="16"/>
          <w:szCs w:val="16"/>
          <w:lang w:val="en-US"/>
        </w:rPr>
      </w:pPr>
    </w:p>
    <w:p w14:paraId="64AB8C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октября 1942 3ТК захватил Малгобек на Тереке (3819).</w:t>
      </w:r>
    </w:p>
    <w:p w14:paraId="243BE24E" w14:textId="77777777" w:rsidR="00090C9B" w:rsidRPr="00722885" w:rsidRDefault="00090C9B" w:rsidP="00722885">
      <w:pPr>
        <w:pStyle w:val="Iauiue"/>
        <w:jc w:val="both"/>
        <w:rPr>
          <w:color w:val="000000" w:themeColor="text1"/>
          <w:sz w:val="16"/>
          <w:szCs w:val="16"/>
        </w:rPr>
      </w:pPr>
    </w:p>
    <w:p w14:paraId="28657F16" w14:textId="77777777" w:rsidR="00970655" w:rsidRPr="00722885" w:rsidRDefault="00970655"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58C94409" w14:textId="77777777" w:rsidR="00970655" w:rsidRPr="00722885" w:rsidRDefault="00970655" w:rsidP="00722885">
      <w:pPr>
        <w:pStyle w:val="Iauiue"/>
        <w:jc w:val="both"/>
        <w:rPr>
          <w:iCs/>
          <w:color w:val="000000" w:themeColor="text1"/>
          <w:sz w:val="16"/>
          <w:szCs w:val="16"/>
        </w:rPr>
      </w:pPr>
    </w:p>
    <w:p w14:paraId="3C43ED54" w14:textId="77777777" w:rsidR="00970655" w:rsidRPr="00722885" w:rsidRDefault="009706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октября 1942 задним числом был подписан Второй (Вашингтонский) Протокол, который зафиксировал не только прежние объемы запросов Советского Союза, но и значительное их увеличение за счет мяса, масла и суповых концентратов. Согласно советской заявке, импортируемое продовольствие должно было составить десятую часть основных видов продовольствия СССР. Правда, в документе оговаривалась возможность уменьшения объемов продовольственных поставок, что позднее и было сделано. В соглашении же с Великобританией, находившейся в чрезвычайной зависимости от импорта, указывалось, что она будет направлять продовольствие в Россию, лишь если для него найдется место среди перевозимых танков и самолетов. Значительную часть поставок Британии брала на себя Канада, подписавшая с Советским Союзом 8 сентября 1942 г. соглашение о кредите (так называемое "пшеничное соглашение"). К этому времени наряду с северным маршрутом поставок в полную меру заработали трансиранский и тихоокеанский. Последнему суждено было стать основным в перевозке продовольствия, так как Япония, находившаяся в состоянии войны с Соединенными Штатами, допускала перевозки только "невоенных" грузов.</w:t>
      </w:r>
    </w:p>
    <w:p w14:paraId="14F4841D" w14:textId="77777777" w:rsidR="00970655" w:rsidRPr="00722885" w:rsidRDefault="009706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Новые пути открыли более широкие возможности увеличения ввозимого в СССР продовольствия. Поставки не только возросли в масштабах. Изменилась и их номенклатура. Добавились маргарин, соевая мука и крупа, сыр и специально приготовленные питательные и легкие концентраты. Помнят бойцы Ленинградского фронта, как, уходя в разведку, они получали толстые плитки горького американского шоколада, банки галет. Помнят они и вкус шоколада с говядиной, мяса индейки или курицы в шоколаде. А знаменитую "тушенку", без которой, по воспоминаниям Н. С. Хрущева, было бы невозможно накормить армию, или борщ в пакетах американцы стали производить специально для России по русским рецептам (19582).</w:t>
      </w:r>
    </w:p>
    <w:p w14:paraId="037D02CA" w14:textId="77777777" w:rsidR="00970655" w:rsidRPr="00722885" w:rsidRDefault="00970655" w:rsidP="00722885">
      <w:pPr>
        <w:spacing w:after="0" w:line="240" w:lineRule="auto"/>
        <w:jc w:val="both"/>
        <w:rPr>
          <w:rFonts w:ascii="Times New Roman" w:hAnsi="Times New Roman"/>
          <w:color w:val="000000" w:themeColor="text1"/>
          <w:sz w:val="16"/>
          <w:szCs w:val="16"/>
        </w:rPr>
      </w:pPr>
    </w:p>
    <w:p w14:paraId="6DE09FF9" w14:textId="77777777" w:rsidR="00970655" w:rsidRPr="00722885" w:rsidRDefault="009706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октября 1942 г. в Вашингтоне был подписан Второй протокол о поставках США и Англией Советскому Союзу вооружения, боеприпасов и сырья, хотя срок действия первого протокола истек еще 30 июня того же года (19151).</w:t>
      </w:r>
    </w:p>
    <w:p w14:paraId="5D66142F" w14:textId="77777777" w:rsidR="00970655" w:rsidRPr="00722885" w:rsidRDefault="00970655" w:rsidP="00722885">
      <w:pPr>
        <w:spacing w:after="0" w:line="240" w:lineRule="auto"/>
        <w:jc w:val="both"/>
        <w:rPr>
          <w:rFonts w:ascii="Times New Roman" w:hAnsi="Times New Roman"/>
          <w:color w:val="000000" w:themeColor="text1"/>
          <w:sz w:val="16"/>
          <w:szCs w:val="16"/>
        </w:rPr>
      </w:pPr>
    </w:p>
    <w:p w14:paraId="6BC1FCA1" w14:textId="56AE3CDC" w:rsidR="00770D72" w:rsidRPr="00722885" w:rsidRDefault="00770D72" w:rsidP="00722885">
      <w:pPr>
        <w:pStyle w:val="Iauiue"/>
        <w:jc w:val="both"/>
        <w:rPr>
          <w:i/>
          <w:iCs/>
          <w:color w:val="000000" w:themeColor="text1"/>
          <w:sz w:val="16"/>
          <w:szCs w:val="16"/>
        </w:rPr>
      </w:pPr>
      <w:r w:rsidRPr="00722885">
        <w:rPr>
          <w:i/>
          <w:iCs/>
          <w:color w:val="000000" w:themeColor="text1"/>
          <w:sz w:val="16"/>
          <w:szCs w:val="16"/>
        </w:rPr>
        <w:t>За рубежом:</w:t>
      </w:r>
    </w:p>
    <w:p w14:paraId="4E5A8FAB" w14:textId="77777777" w:rsidR="00770D72" w:rsidRPr="00722885" w:rsidRDefault="00770D72" w:rsidP="00722885">
      <w:pPr>
        <w:pStyle w:val="Iauiue"/>
        <w:jc w:val="both"/>
        <w:rPr>
          <w:i/>
          <w:iCs/>
          <w:color w:val="000000" w:themeColor="text1"/>
          <w:sz w:val="16"/>
          <w:szCs w:val="16"/>
        </w:rPr>
      </w:pPr>
    </w:p>
    <w:p w14:paraId="2203712E" w14:textId="77777777" w:rsidR="00627BE2" w:rsidRPr="00722885" w:rsidRDefault="00627BE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октября 1942 самолет с японской п/л 1-25, пилотировавшийся все тем же Фудзитой (он так и остал</w:t>
      </w:r>
      <w:r w:rsidRPr="00722885">
        <w:rPr>
          <w:rFonts w:ascii="Times New Roman" w:hAnsi="Times New Roman"/>
          <w:color w:val="0070C0"/>
          <w:sz w:val="16"/>
          <w:szCs w:val="16"/>
        </w:rPr>
        <w:softHyphen/>
        <w:t>ся единственным японским пилотом, бомбившим терри</w:t>
      </w:r>
      <w:r w:rsidRPr="00722885">
        <w:rPr>
          <w:rFonts w:ascii="Times New Roman" w:hAnsi="Times New Roman"/>
          <w:color w:val="0070C0"/>
          <w:sz w:val="16"/>
          <w:szCs w:val="16"/>
        </w:rPr>
        <w:softHyphen/>
        <w:t>торию США) выполнил два рейса, сбросив четыре “зажи</w:t>
      </w:r>
      <w:r w:rsidRPr="00722885">
        <w:rPr>
          <w:rFonts w:ascii="Times New Roman" w:hAnsi="Times New Roman"/>
          <w:color w:val="0070C0"/>
          <w:sz w:val="16"/>
          <w:szCs w:val="16"/>
        </w:rPr>
        <w:softHyphen/>
        <w:t>галки” в лесную чащу и благо</w:t>
      </w:r>
      <w:r w:rsidRPr="00722885">
        <w:rPr>
          <w:rFonts w:ascii="Times New Roman" w:hAnsi="Times New Roman"/>
          <w:color w:val="0070C0"/>
          <w:sz w:val="16"/>
          <w:szCs w:val="16"/>
        </w:rPr>
        <w:softHyphen/>
        <w:t>получно вернулся на борт (22807).</w:t>
      </w:r>
    </w:p>
    <w:p w14:paraId="7919A40F" w14:textId="77777777" w:rsidR="00627BE2" w:rsidRPr="00722885" w:rsidRDefault="00627BE2" w:rsidP="00722885">
      <w:pPr>
        <w:spacing w:after="0" w:line="240" w:lineRule="auto"/>
        <w:jc w:val="both"/>
        <w:rPr>
          <w:rFonts w:ascii="Times New Roman" w:hAnsi="Times New Roman"/>
          <w:color w:val="0070C0"/>
          <w:sz w:val="16"/>
          <w:szCs w:val="16"/>
        </w:rPr>
      </w:pPr>
    </w:p>
    <w:p w14:paraId="75619597"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октября 1942 г.</w:t>
      </w:r>
    </w:p>
    <w:p w14:paraId="3BB4C19C"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Сообщение НКВД СССР № 1720/Б в ГКО о проводимых в Англии, США, Германии и Франции интенсивных научно-исследовательских работах по созданию атомной бомбы</w:t>
      </w:r>
    </w:p>
    <w:p w14:paraId="20744BF9"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октября 1942 г.</w:t>
      </w:r>
    </w:p>
    <w:p w14:paraId="2893622E"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целью получения нового источника энергии в ряде капиталистических стран в связи с проводимыми работами по расщеплению атомного ядра было начато изучение вопроса об использовании атомной энергии урана для военных целей.</w:t>
      </w:r>
    </w:p>
    <w:p w14:paraId="392A4691"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1939 г. но Франции, Англии, США и Германии развернулась интенсивная научно-исследовательская работа по разработке метода применения урана для новых взрывчатых веществ. Эти работы ведутся в условиях большой секретности.</w:t>
      </w:r>
    </w:p>
    <w:p w14:paraId="25E209EF"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 прилагаемых совершенно секретных материалов', полученных НКВД СССР из Англии агентурным путем, следует, что английский военный кабинет, учитывая возможности успешного разрешения этой задачи Германией, уделяет большое внимание проблеме использования энергии урана для военных целей.</w:t>
      </w:r>
    </w:p>
    <w:p w14:paraId="6BA3E6D2"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Вейлу этого при военном кабинете создан комитет по изучению проблемы урана, возглавляемый известным английским физиком Г.П.Томсоном.</w:t>
      </w:r>
    </w:p>
    <w:p w14:paraId="09DAEDB2"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Комитет координирует работу английских ученых, занимающихся вопросами использования атомной энергии урана, в отношении как теоретической, экспериментальной разработки, так и чисто прикладной, то есть изготовления урановых бомб, обладающих большой разрушительной силой.</w:t>
      </w:r>
    </w:p>
    <w:p w14:paraId="2EDD6C41"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Исходя из важности и актуальности проблемы практического применения атомной энергии урана-235 для военных целей Советского Союза, было бы целесообразно:</w:t>
      </w:r>
    </w:p>
    <w:p w14:paraId="7F8EC1FE"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Проработать вопрос о создании научно-совещательного органа при Государственном Комитете Обороны СССР из авторитетных лиц для координирования, изучения и направления работ всех ученых, научно-исследовательских организаций СССР, занимающихся вопросом атомной энергии урана.</w:t>
      </w:r>
    </w:p>
    <w:p w14:paraId="22B518F3"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Обеспечить секретное ознакомление с материалами НКВД СССР по урану видных специалистов с целью дачи оценки и соответствующего использования этих материалов.</w:t>
      </w:r>
    </w:p>
    <w:p w14:paraId="188AD681"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Примечание. Вопросами расщепления атомного ядра в СССР занимались: академик Капица — в Академии наук СССР, академик Скобельцын — в Ленинградском физическом институте, профессор Слуцкин — в Харьковском физико-техническом институте и др.</w:t>
      </w:r>
    </w:p>
    <w:p w14:paraId="2153DD7E"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внутренних дел СССР</w:t>
      </w:r>
      <w:r w:rsidRPr="00722885">
        <w:rPr>
          <w:rFonts w:ascii="Times New Roman" w:hAnsi="Times New Roman"/>
          <w:color w:val="0070C0"/>
          <w:sz w:val="16"/>
          <w:szCs w:val="16"/>
        </w:rPr>
        <w:tab/>
        <w:t>Берия</w:t>
      </w:r>
    </w:p>
    <w:p w14:paraId="29650151" w14:textId="77777777" w:rsidR="00770D72" w:rsidRPr="00722885" w:rsidRDefault="00770D7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ЦА ФСБ России (21009).</w:t>
      </w:r>
    </w:p>
    <w:p w14:paraId="22F05266" w14:textId="77777777" w:rsidR="00770D72" w:rsidRPr="00722885" w:rsidRDefault="00770D72" w:rsidP="00722885">
      <w:pPr>
        <w:spacing w:after="0" w:line="240" w:lineRule="auto"/>
        <w:jc w:val="both"/>
        <w:rPr>
          <w:rFonts w:ascii="Times New Roman" w:hAnsi="Times New Roman"/>
          <w:color w:val="0070C0"/>
          <w:sz w:val="16"/>
          <w:szCs w:val="16"/>
        </w:rPr>
      </w:pPr>
    </w:p>
    <w:p w14:paraId="30212B50" w14:textId="0C059CBC"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387668C" w14:textId="77777777" w:rsidR="00090C9B" w:rsidRPr="00722885" w:rsidRDefault="00090C9B" w:rsidP="00722885">
      <w:pPr>
        <w:pStyle w:val="Iauiue"/>
        <w:jc w:val="both"/>
        <w:rPr>
          <w:iCs/>
          <w:color w:val="000000" w:themeColor="text1"/>
          <w:sz w:val="16"/>
          <w:szCs w:val="16"/>
        </w:rPr>
      </w:pPr>
    </w:p>
    <w:p w14:paraId="593E5C24"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начале октября 1942 все 10 самолетов Ил-2 с пуш</w:t>
      </w:r>
      <w:r w:rsidRPr="00722885">
        <w:rPr>
          <w:color w:val="000000" w:themeColor="text1"/>
          <w:sz w:val="16"/>
          <w:szCs w:val="16"/>
        </w:rPr>
        <w:softHyphen/>
        <w:t>ками Ш-37 официально были переданы 1-й запас</w:t>
      </w:r>
      <w:r w:rsidRPr="00722885">
        <w:rPr>
          <w:color w:val="000000" w:themeColor="text1"/>
          <w:sz w:val="16"/>
          <w:szCs w:val="16"/>
        </w:rPr>
        <w:softHyphen/>
        <w:t>ной авиабригаде и перегнаны на аэродром Кряж, где около месяца «они никакому полку переданы не были и за них никто не отвечал, за ними никто не следил». Затем этими самолетами решили во</w:t>
      </w:r>
      <w:r w:rsidRPr="00722885">
        <w:rPr>
          <w:color w:val="000000" w:themeColor="text1"/>
          <w:sz w:val="16"/>
          <w:szCs w:val="16"/>
        </w:rPr>
        <w:softHyphen/>
        <w:t>оружить 617-й шап, который проходил переучива</w:t>
      </w:r>
      <w:r w:rsidRPr="00722885">
        <w:rPr>
          <w:color w:val="000000" w:themeColor="text1"/>
          <w:sz w:val="16"/>
          <w:szCs w:val="16"/>
        </w:rPr>
        <w:softHyphen/>
        <w:t>ние и переформирование в составе 5-го зап в Ки- нель-Черкассах (аэродром Толкай). На аэродром Толкай и перегнали противотанковые Ил-2.</w:t>
      </w:r>
    </w:p>
    <w:p w14:paraId="4861A91E"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Насколько удалось установить по документам, находясь на балансе 617-го шап, самолеты факти</w:t>
      </w:r>
      <w:r w:rsidRPr="00722885">
        <w:rPr>
          <w:color w:val="000000" w:themeColor="text1"/>
          <w:sz w:val="16"/>
          <w:szCs w:val="16"/>
        </w:rPr>
        <w:softHyphen/>
        <w:t>чески стояли бесхозными. В течение месяца ими никто не занимался и за оружием не следил.</w:t>
      </w:r>
    </w:p>
    <w:p w14:paraId="65A1CE25"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моменту приезда в полк старшего техника военного представительства ГУЗ ВВС КА на за</w:t>
      </w:r>
      <w:r w:rsidRPr="00722885">
        <w:rPr>
          <w:color w:val="000000" w:themeColor="text1"/>
          <w:sz w:val="16"/>
          <w:szCs w:val="16"/>
        </w:rPr>
        <w:softHyphen/>
        <w:t>воде № 18 старшего техника-лейтенанта А. Г. Тишевского 8 ноября 1942 г. пушки Ш-37 на всех самолетах Ил-2 оказались в крайне запущенном состоянии: «. подвижные части и каналы ство</w:t>
      </w:r>
      <w:r w:rsidRPr="00722885">
        <w:rPr>
          <w:color w:val="000000" w:themeColor="text1"/>
          <w:sz w:val="16"/>
          <w:szCs w:val="16"/>
        </w:rPr>
        <w:softHyphen/>
        <w:t>лов и снаружи пушки были ржавые». Тишев- ский немедленно доложил о положении дел в полку старшему военному представителю ГУЗ ВВС на заводе № 18 инженер-подполковнику Кувеневу и предпринял активные шаги по приведению пу</w:t>
      </w:r>
      <w:r w:rsidRPr="00722885">
        <w:rPr>
          <w:color w:val="000000" w:themeColor="text1"/>
          <w:sz w:val="16"/>
          <w:szCs w:val="16"/>
        </w:rPr>
        <w:softHyphen/>
        <w:t>шек в надлежащий вид.</w:t>
      </w:r>
    </w:p>
    <w:p w14:paraId="0B6E5103"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По докладу Тишевского, «инженер по вооруже</w:t>
      </w:r>
      <w:r w:rsidRPr="00722885">
        <w:rPr>
          <w:color w:val="000000" w:themeColor="text1"/>
          <w:sz w:val="16"/>
          <w:szCs w:val="16"/>
        </w:rPr>
        <w:softHyphen/>
        <w:t>нию 617-го шап военинженер 3-го ранга Черненков беззаботно и халатно отнесся к оружию». Послед</w:t>
      </w:r>
      <w:r w:rsidRPr="00722885">
        <w:rPr>
          <w:color w:val="000000" w:themeColor="text1"/>
          <w:sz w:val="16"/>
          <w:szCs w:val="16"/>
        </w:rPr>
        <w:softHyphen/>
        <w:t>ний ссылался на отсутствие технического состава, хотя в полку было 20 специалистов по вооружению. Однако «часть этих людей все время использова</w:t>
      </w:r>
      <w:r w:rsidRPr="00722885">
        <w:rPr>
          <w:color w:val="000000" w:themeColor="text1"/>
          <w:sz w:val="16"/>
          <w:szCs w:val="16"/>
        </w:rPr>
        <w:softHyphen/>
        <w:t>лась в нарядах и на разных работах, но если бы у инженера полка по вооружению было желание содержать оружие в надлежащем виде и в полной сохранности, то он всегда сумел бы найти для этого людей и время». Между тем со стороны заместите</w:t>
      </w:r>
      <w:r w:rsidRPr="00722885">
        <w:rPr>
          <w:color w:val="000000" w:themeColor="text1"/>
          <w:sz w:val="16"/>
          <w:szCs w:val="16"/>
        </w:rPr>
        <w:softHyphen/>
        <w:t>ля командира полка майора Шалыгина (командир полка майор Гапанюк до 17 ноября находился в от</w:t>
      </w:r>
      <w:r w:rsidRPr="00722885">
        <w:rPr>
          <w:color w:val="000000" w:themeColor="text1"/>
          <w:sz w:val="16"/>
          <w:szCs w:val="16"/>
        </w:rPr>
        <w:softHyphen/>
        <w:t>пуске) полностью отсутствовал контроль состояния материальной части вооружения самолетов и ра</w:t>
      </w:r>
      <w:r w:rsidRPr="00722885">
        <w:rPr>
          <w:color w:val="000000" w:themeColor="text1"/>
          <w:sz w:val="16"/>
          <w:szCs w:val="16"/>
        </w:rPr>
        <w:softHyphen/>
        <w:t>боты инженера полка по вооружению. Не проявило должного внимания к противотанковым самолетам Ил-2 и командование 5-го запасного полка (коман</w:t>
      </w:r>
      <w:r w:rsidRPr="00722885">
        <w:rPr>
          <w:color w:val="000000" w:themeColor="text1"/>
          <w:sz w:val="16"/>
          <w:szCs w:val="16"/>
        </w:rPr>
        <w:softHyphen/>
        <w:t>дир полка — майор Беляков, инженер по вооруже</w:t>
      </w:r>
      <w:r w:rsidRPr="00722885">
        <w:rPr>
          <w:color w:val="000000" w:themeColor="text1"/>
          <w:sz w:val="16"/>
          <w:szCs w:val="16"/>
        </w:rPr>
        <w:softHyphen/>
        <w:t>нию — воентехник 1-го ранга Галкин), в подчине</w:t>
      </w:r>
      <w:r w:rsidRPr="00722885">
        <w:rPr>
          <w:color w:val="000000" w:themeColor="text1"/>
          <w:sz w:val="16"/>
          <w:szCs w:val="16"/>
        </w:rPr>
        <w:softHyphen/>
        <w:t>нии которого находился 617-й шап в период пере</w:t>
      </w:r>
      <w:r w:rsidRPr="00722885">
        <w:rPr>
          <w:color w:val="000000" w:themeColor="text1"/>
          <w:sz w:val="16"/>
          <w:szCs w:val="16"/>
        </w:rPr>
        <w:softHyphen/>
        <w:t>учивания.</w:t>
      </w:r>
    </w:p>
    <w:p w14:paraId="2226A553"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«разбора полетов» на уровне командо</w:t>
      </w:r>
      <w:r w:rsidRPr="00722885">
        <w:rPr>
          <w:color w:val="000000" w:themeColor="text1"/>
          <w:sz w:val="16"/>
          <w:szCs w:val="16"/>
        </w:rPr>
        <w:softHyphen/>
        <w:t>вания полков, запасной бригады, руководства во</w:t>
      </w:r>
      <w:r w:rsidRPr="00722885">
        <w:rPr>
          <w:color w:val="000000" w:themeColor="text1"/>
          <w:sz w:val="16"/>
          <w:szCs w:val="16"/>
        </w:rPr>
        <w:softHyphen/>
        <w:t>енного представительства на заводе № 18 и УЗСиМ ГУЗ ВВС за пушки, наконец, основательно взялись и к 21 ноября привели в надлежащий вид. Однако «от сильного ржавения на многих деталях пушек остались неустранимые следы ржавчины и рако</w:t>
      </w:r>
      <w:r w:rsidRPr="00722885">
        <w:rPr>
          <w:color w:val="000000" w:themeColor="text1"/>
          <w:sz w:val="16"/>
          <w:szCs w:val="16"/>
        </w:rPr>
        <w:softHyphen/>
        <w:t>вины».</w:t>
      </w:r>
    </w:p>
    <w:p w14:paraId="3FA134B3"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 фактическом состоянии пушек Ш-37 и самоле</w:t>
      </w:r>
      <w:r w:rsidRPr="00722885">
        <w:rPr>
          <w:color w:val="000000" w:themeColor="text1"/>
          <w:sz w:val="16"/>
          <w:szCs w:val="16"/>
        </w:rPr>
        <w:softHyphen/>
        <w:t>тов Ил-2 противотанковой серии Тишевский 23 но</w:t>
      </w:r>
      <w:r w:rsidRPr="00722885">
        <w:rPr>
          <w:color w:val="000000" w:themeColor="text1"/>
          <w:sz w:val="16"/>
          <w:szCs w:val="16"/>
        </w:rPr>
        <w:softHyphen/>
        <w:t>ября письменно доложил инженер-подполковнику Кувеневу, а тот в УЗСиМ ГУЗ ВВС.</w:t>
      </w:r>
    </w:p>
    <w:p w14:paraId="266F7ECF"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Здесь необходимо сказать, что старший тех</w:t>
      </w:r>
      <w:r w:rsidRPr="00722885">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722885">
        <w:rPr>
          <w:color w:val="000000" w:themeColor="text1"/>
          <w:sz w:val="16"/>
          <w:szCs w:val="16"/>
        </w:rPr>
        <w:softHyphen/>
        <w:t>мощи летно-техническому составу полка в осво</w:t>
      </w:r>
      <w:r w:rsidRPr="00722885">
        <w:rPr>
          <w:color w:val="000000" w:themeColor="text1"/>
          <w:sz w:val="16"/>
          <w:szCs w:val="16"/>
        </w:rPr>
        <w:softHyphen/>
        <w:t>ении и эксплуатации пушек. Позже, когда в полк приехала комиссия НИИ ВВС для проведения вой</w:t>
      </w:r>
      <w:r w:rsidRPr="00722885">
        <w:rPr>
          <w:color w:val="000000" w:themeColor="text1"/>
          <w:sz w:val="16"/>
          <w:szCs w:val="16"/>
        </w:rPr>
        <w:softHyphen/>
        <w:t>сковых испытаний самолетов Ил-2 с пушками Ш-37, Тишевский принял деятельное участие и в их про</w:t>
      </w:r>
      <w:r w:rsidRPr="00722885">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1E60A57D"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Поскольку ни инженер 617-го шап, ни специ</w:t>
      </w:r>
      <w:r w:rsidRPr="00722885">
        <w:rPr>
          <w:color w:val="000000" w:themeColor="text1"/>
          <w:sz w:val="16"/>
          <w:szCs w:val="16"/>
        </w:rPr>
        <w:softHyphen/>
        <w:t>алисты полка по вооружению пушку Ш-37 не зна</w:t>
      </w:r>
      <w:r w:rsidRPr="00722885">
        <w:rPr>
          <w:color w:val="000000" w:themeColor="text1"/>
          <w:sz w:val="16"/>
          <w:szCs w:val="16"/>
        </w:rPr>
        <w:softHyphen/>
        <w:t>ли, то Тишевский «занялся обучением техниче</w:t>
      </w:r>
      <w:r w:rsidRPr="00722885">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722885">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722885">
        <w:rPr>
          <w:color w:val="000000" w:themeColor="text1"/>
          <w:sz w:val="16"/>
          <w:szCs w:val="16"/>
        </w:rPr>
        <w:softHyphen/>
        <w:t>ко отдельные люди». Прибывшая «от конструкто</w:t>
      </w:r>
      <w:r w:rsidRPr="00722885">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722885">
        <w:rPr>
          <w:color w:val="000000" w:themeColor="text1"/>
          <w:sz w:val="16"/>
          <w:szCs w:val="16"/>
        </w:rPr>
        <w:softHyphen/>
        <w:t>тинов, 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7CB98186"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это оказалось не самым главным. К это</w:t>
      </w:r>
      <w:r w:rsidRPr="00722885">
        <w:rPr>
          <w:color w:val="000000" w:themeColor="text1"/>
          <w:sz w:val="16"/>
          <w:szCs w:val="16"/>
        </w:rPr>
        <w:softHyphen/>
        <w:t>му времени выяснилось, что «в 617-м шап летный состав с «илами» мало знаком, летчики все моло</w:t>
      </w:r>
      <w:r w:rsidRPr="00722885">
        <w:rPr>
          <w:color w:val="000000" w:themeColor="text1"/>
          <w:sz w:val="16"/>
          <w:szCs w:val="16"/>
        </w:rPr>
        <w:softHyphen/>
        <w:t>дые, только выпущенные из школ, /.../ переучива</w:t>
      </w:r>
      <w:r w:rsidRPr="00722885">
        <w:rPr>
          <w:color w:val="000000" w:themeColor="text1"/>
          <w:sz w:val="16"/>
          <w:szCs w:val="16"/>
        </w:rPr>
        <w:softHyphen/>
        <w:t>ние только началось, еще не был проработан пер</w:t>
      </w:r>
      <w:r w:rsidRPr="00722885">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722885">
        <w:rPr>
          <w:color w:val="000000" w:themeColor="text1"/>
          <w:sz w:val="16"/>
          <w:szCs w:val="16"/>
        </w:rPr>
        <w:softHyphen/>
        <w:t>ние полка 10 опытных летчиков командир 1-го заб полковник А. И. Подольский оставил без вни</w:t>
      </w:r>
      <w:r w:rsidRPr="00722885">
        <w:rPr>
          <w:color w:val="000000" w:themeColor="text1"/>
          <w:sz w:val="16"/>
          <w:szCs w:val="16"/>
        </w:rPr>
        <w:softHyphen/>
        <w:t>мания.</w:t>
      </w:r>
    </w:p>
    <w:p w14:paraId="73AAFF11"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сложившейся ситуации старший техник-лей</w:t>
      </w:r>
      <w:r w:rsidRPr="00722885">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722885">
        <w:rPr>
          <w:color w:val="000000" w:themeColor="text1"/>
          <w:sz w:val="16"/>
          <w:szCs w:val="16"/>
        </w:rPr>
        <w:softHyphen/>
        <w:t>рованную телеграмму лично начальнику УЗСиМ ГУЗ ВВС инженер-полковнику Алексееву, в которой из</w:t>
      </w:r>
      <w:r w:rsidRPr="00722885">
        <w:rPr>
          <w:color w:val="000000" w:themeColor="text1"/>
          <w:sz w:val="16"/>
          <w:szCs w:val="16"/>
        </w:rPr>
        <w:softHyphen/>
        <w:t>ложил свое мнение и дал оценку состояния пушек и самолетов Ил-2.</w:t>
      </w:r>
    </w:p>
    <w:p w14:paraId="02082617"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0DA9FE06" w14:textId="77777777" w:rsidR="006F77C0" w:rsidRPr="00722885" w:rsidRDefault="006F77C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722885">
        <w:rPr>
          <w:color w:val="000000" w:themeColor="text1"/>
          <w:sz w:val="16"/>
          <w:szCs w:val="16"/>
        </w:rPr>
        <w:softHyphen/>
        <w:t>ные не было патронов») (17500).</w:t>
      </w:r>
    </w:p>
    <w:p w14:paraId="4D82F277" w14:textId="77777777" w:rsidR="006F77C0" w:rsidRPr="00722885" w:rsidRDefault="006F77C0" w:rsidP="00722885">
      <w:pPr>
        <w:spacing w:after="0" w:line="240" w:lineRule="auto"/>
        <w:jc w:val="both"/>
        <w:rPr>
          <w:rFonts w:ascii="Times New Roman" w:eastAsia="Times New Roman" w:hAnsi="Times New Roman"/>
          <w:color w:val="000000" w:themeColor="text1"/>
          <w:sz w:val="16"/>
          <w:szCs w:val="16"/>
          <w:lang w:eastAsia="ru-RU"/>
        </w:rPr>
      </w:pPr>
    </w:p>
    <w:p w14:paraId="339C98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начале октября 1942 года была подготовлена справка по моторостроению.</w:t>
      </w:r>
    </w:p>
    <w:p w14:paraId="19897A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заводу N 24.</w:t>
      </w:r>
    </w:p>
    <w:p w14:paraId="4A3279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Мотор АМ-38ф.</w:t>
      </w:r>
    </w:p>
    <w:p w14:paraId="0D60D6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сентябре 1942 года закончены специальные 50 часовые летные испытания мотора на самолете Ил-2 в НИИ ВВС.</w:t>
      </w:r>
    </w:p>
    <w:p w14:paraId="571A43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Результаты испытаний удовлетворительные. Мотор проработал 65 часов 52 минуты без каких-либо дефектов. Состояние мотора и агрегатов удовлетворительное.</w:t>
      </w:r>
    </w:p>
    <w:p w14:paraId="259602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Готовятся 3 мотора для постановки их на длительные 100 часовые стендовые испытания. Срок начала испытаний намечен на 12 октября 1942 года.</w:t>
      </w:r>
    </w:p>
    <w:p w14:paraId="06F259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Мотор Ам-39.</w:t>
      </w:r>
    </w:p>
    <w:p w14:paraId="1A58DB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 скоростной нагнетатель к мотору Ам-39 был в начале сентября поставлен на 25 часовые испытания с переключениями скоростей на номинальных оборотах. Мотор испытаний не прошел и снят из-за поломки рессоры нагнетателя. Дальнейшие работы по этому варианту 2-х скоростной передачи прекращены.</w:t>
      </w:r>
    </w:p>
    <w:p w14:paraId="5DF258F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Запущен в производство новый вариант коробки скоростей нагнетателя с тормозными колодками (с тормозной лентой).</w:t>
      </w:r>
    </w:p>
    <w:p w14:paraId="354BF9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Мотор АМ-42.</w:t>
      </w:r>
    </w:p>
    <w:p w14:paraId="3EA556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Заканчиваются конструкторские работы и ведется подготовка к запуску в производство опытной партии моторов согласно приказа наркома N 732с.</w:t>
      </w:r>
    </w:p>
    <w:p w14:paraId="67E6EA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Агрегат ТР-9.</w:t>
      </w:r>
    </w:p>
    <w:p w14:paraId="20BD97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Новый вариант агрегата наработал на газу около 10 часов на разных режимах.</w:t>
      </w:r>
    </w:p>
    <w:p w14:paraId="247BDC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Готовится мотор с агрегатом ТР-9 для длительных 25 часовых испытаний на номинальном режиме. Срок начала испытаний намечен на 10 октября с.г. (по данным главного конструктора Микулина) (1684).</w:t>
      </w:r>
    </w:p>
    <w:p w14:paraId="3EC84CA3" w14:textId="77777777" w:rsidR="00090C9B" w:rsidRPr="00722885" w:rsidRDefault="00090C9B" w:rsidP="00722885">
      <w:pPr>
        <w:pStyle w:val="Iauiue"/>
        <w:jc w:val="both"/>
        <w:rPr>
          <w:color w:val="000000" w:themeColor="text1"/>
          <w:sz w:val="16"/>
          <w:szCs w:val="16"/>
        </w:rPr>
      </w:pPr>
    </w:p>
    <w:p w14:paraId="2530CD07" w14:textId="77777777" w:rsidR="00A50962"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C3647C7" w14:textId="77777777" w:rsidR="00A50962" w:rsidRPr="00722885" w:rsidRDefault="00A50962" w:rsidP="00722885">
      <w:pPr>
        <w:pStyle w:val="Iauiue"/>
        <w:jc w:val="both"/>
        <w:rPr>
          <w:iCs/>
          <w:color w:val="000000" w:themeColor="text1"/>
          <w:sz w:val="16"/>
          <w:szCs w:val="16"/>
        </w:rPr>
      </w:pPr>
    </w:p>
    <w:p w14:paraId="296C8D03" w14:textId="77777777" w:rsidR="00A50962" w:rsidRPr="00722885" w:rsidRDefault="00A50962" w:rsidP="00722885">
      <w:pPr>
        <w:pStyle w:val="a3"/>
        <w:rPr>
          <w:color w:val="000000" w:themeColor="text1"/>
          <w:lang w:val="ru-RU"/>
        </w:rPr>
      </w:pPr>
      <w:r w:rsidRPr="00722885">
        <w:rPr>
          <w:color w:val="000000" w:themeColor="text1"/>
          <w:lang w:val="ru-RU"/>
        </w:rPr>
        <w:t>В начале октября 1942 был подготовлен отчета завода №100 за период с 15 сентября по 1 октя</w:t>
      </w:r>
      <w:r w:rsidRPr="00722885">
        <w:rPr>
          <w:color w:val="000000" w:themeColor="text1"/>
          <w:lang w:val="ru-RU"/>
        </w:rPr>
        <w:softHyphen/>
        <w:t>бря 1942 года:</w:t>
      </w:r>
    </w:p>
    <w:p w14:paraId="446A7F43"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 xml:space="preserve">« Танк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w:t>
      </w:r>
      <w:r w:rsidRPr="00722885">
        <w:rPr>
          <w:rStyle w:val="Bodytext14NotItalic7"/>
          <w:i w:val="0"/>
          <w:iCs w:val="0"/>
          <w:color w:val="000000" w:themeColor="text1"/>
          <w:sz w:val="16"/>
          <w:szCs w:val="16"/>
        </w:rPr>
        <w:t xml:space="preserve"> 7</w:t>
      </w:r>
    </w:p>
    <w:p w14:paraId="44A0F8A5"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 xml:space="preserve">Танк с двумя спаренными артсистемами забракован. ГАУ предложило Кировскому заводу установить на этот корпус одну артсистему </w:t>
      </w:r>
      <w:r w:rsidRPr="00722885">
        <w:rPr>
          <w:rStyle w:val="Bodytext145"/>
          <w:i w:val="0"/>
          <w:iCs w:val="0"/>
          <w:color w:val="000000" w:themeColor="text1"/>
          <w:sz w:val="16"/>
          <w:szCs w:val="16"/>
          <w:lang w:val="en-US"/>
        </w:rPr>
        <w:t>MJI</w:t>
      </w:r>
      <w:r w:rsidRPr="00722885">
        <w:rPr>
          <w:rStyle w:val="Bodytext145"/>
          <w:i w:val="0"/>
          <w:iCs w:val="0"/>
          <w:color w:val="000000" w:themeColor="text1"/>
          <w:sz w:val="16"/>
          <w:szCs w:val="16"/>
        </w:rPr>
        <w:t>-20. Система прибыла на завод №100. Конструкторы разрабатывают черте</w:t>
      </w:r>
      <w:r w:rsidRPr="00722885">
        <w:rPr>
          <w:rStyle w:val="Bodytext145"/>
          <w:i w:val="0"/>
          <w:iCs w:val="0"/>
          <w:color w:val="000000" w:themeColor="text1"/>
          <w:sz w:val="16"/>
          <w:szCs w:val="16"/>
        </w:rPr>
        <w:softHyphen/>
        <w:t>жи этой установки, после чего приступят к постройке деревянного маке</w:t>
      </w:r>
      <w:r w:rsidRPr="00722885">
        <w:rPr>
          <w:rStyle w:val="Bodytext145"/>
          <w:i w:val="0"/>
          <w:iCs w:val="0"/>
          <w:color w:val="000000" w:themeColor="text1"/>
          <w:sz w:val="16"/>
          <w:szCs w:val="16"/>
        </w:rPr>
        <w:softHyphen/>
        <w:t>та, который будет предъявлен комиссии ГАУ»'.</w:t>
      </w:r>
    </w:p>
    <w:p w14:paraId="6E6F9A78" w14:textId="77777777" w:rsidR="00A50962" w:rsidRPr="00722885" w:rsidRDefault="00A50962" w:rsidP="00722885">
      <w:pPr>
        <w:pStyle w:val="a3"/>
        <w:rPr>
          <w:color w:val="000000" w:themeColor="text1"/>
          <w:lang w:val="ru-RU"/>
        </w:rPr>
      </w:pPr>
      <w:r w:rsidRPr="00722885">
        <w:rPr>
          <w:color w:val="000000" w:themeColor="text1"/>
          <w:lang w:val="ru-RU"/>
        </w:rPr>
        <w:t>Работы по проектированию самоходной установки возглавил Л.</w:t>
      </w:r>
      <w:r w:rsidRPr="00722885">
        <w:rPr>
          <w:color w:val="000000" w:themeColor="text1"/>
        </w:rPr>
        <w:t>C</w:t>
      </w:r>
      <w:r w:rsidRPr="00722885">
        <w:rPr>
          <w:color w:val="000000" w:themeColor="text1"/>
          <w:lang w:val="ru-RU"/>
        </w:rPr>
        <w:t>. Троянов. Лев Сергеевич был самым опытным отечественным кон</w:t>
      </w:r>
      <w:r w:rsidRPr="00722885">
        <w:rPr>
          <w:color w:val="000000" w:themeColor="text1"/>
          <w:lang w:val="ru-RU"/>
        </w:rPr>
        <w:softHyphen/>
        <w:t>структором среди тех, кто занимался самоходной артиллерией. Начи</w:t>
      </w:r>
      <w:r w:rsidRPr="00722885">
        <w:rPr>
          <w:color w:val="000000" w:themeColor="text1"/>
          <w:lang w:val="ru-RU"/>
        </w:rPr>
        <w:softHyphen/>
        <w:t xml:space="preserve">нал он еще с СУ-5 на базе Т-26, затем были СУ-14, </w:t>
      </w:r>
      <w:r w:rsidRPr="00722885">
        <w:rPr>
          <w:color w:val="000000" w:themeColor="text1"/>
        </w:rPr>
        <w:t>T</w:t>
      </w:r>
      <w:r w:rsidRPr="00722885">
        <w:rPr>
          <w:color w:val="000000" w:themeColor="text1"/>
          <w:lang w:val="ru-RU"/>
        </w:rPr>
        <w:t>-100</w:t>
      </w:r>
      <w:r w:rsidRPr="00722885">
        <w:rPr>
          <w:color w:val="000000" w:themeColor="text1"/>
        </w:rPr>
        <w:t>Y</w:t>
      </w:r>
      <w:r w:rsidRPr="00722885">
        <w:rPr>
          <w:color w:val="000000" w:themeColor="text1"/>
          <w:lang w:val="ru-RU"/>
        </w:rPr>
        <w:t xml:space="preserve"> и </w:t>
      </w:r>
      <w:r w:rsidRPr="00722885">
        <w:rPr>
          <w:color w:val="000000" w:themeColor="text1"/>
        </w:rPr>
        <w:t>T</w:t>
      </w:r>
      <w:r w:rsidRPr="00722885">
        <w:rPr>
          <w:color w:val="000000" w:themeColor="text1"/>
          <w:lang w:val="ru-RU"/>
        </w:rPr>
        <w:t>-100</w:t>
      </w:r>
      <w:r w:rsidRPr="00722885">
        <w:rPr>
          <w:color w:val="000000" w:themeColor="text1"/>
        </w:rPr>
        <w:t>Z</w:t>
      </w:r>
      <w:r w:rsidRPr="00722885">
        <w:rPr>
          <w:color w:val="000000" w:themeColor="text1"/>
          <w:lang w:val="ru-RU"/>
        </w:rPr>
        <w:t>. Стоит отметить, что изначально Троянов создавал отнюдь не аналог ЗИК-20. Согласно воспоминаниям Н.Ф. Шашмурина, в первоначаль</w:t>
      </w:r>
      <w:r w:rsidRPr="00722885">
        <w:rPr>
          <w:color w:val="000000" w:themeColor="text1"/>
          <w:lang w:val="ru-RU"/>
        </w:rPr>
        <w:softHyphen/>
        <w:t>ной концепции самоходной установки четко прослеживаются требо</w:t>
      </w:r>
      <w:r w:rsidRPr="00722885">
        <w:rPr>
          <w:color w:val="000000" w:themeColor="text1"/>
          <w:lang w:val="ru-RU"/>
        </w:rPr>
        <w:softHyphen/>
        <w:t>вания ГАУ на «Истребитель ДОТов на шасси из агрегатов танка КВ»:</w:t>
      </w:r>
    </w:p>
    <w:p w14:paraId="4A85E734"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«К вопросу о разработке СУ-152. Совсем не безразлично, на какой базе осуществляется эта задача. В наш коллектив прислали инженера Троя- нова Л. С., который произвел эскизную компоновку на платформе на вось</w:t>
      </w:r>
      <w:r w:rsidRPr="00722885">
        <w:rPr>
          <w:rStyle w:val="Bodytext145"/>
          <w:i w:val="0"/>
          <w:iCs w:val="0"/>
          <w:color w:val="000000" w:themeColor="text1"/>
          <w:sz w:val="16"/>
          <w:szCs w:val="16"/>
        </w:rPr>
        <w:softHyphen/>
        <w:t xml:space="preserve">ми парах опорных катков с использованием элементов танка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-1С.</w:t>
      </w:r>
    </w:p>
    <w:p w14:paraId="0E03883D"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rStyle w:val="Bodytext145"/>
          <w:i w:val="0"/>
          <w:iCs w:val="0"/>
          <w:color w:val="000000" w:themeColor="text1"/>
          <w:sz w:val="16"/>
          <w:szCs w:val="16"/>
        </w:rPr>
        <w:t>Заканчивался 1942 год. Понятно, что такое решение являлось чистей</w:t>
      </w:r>
      <w:r w:rsidRPr="00722885">
        <w:rPr>
          <w:rStyle w:val="Bodytext145"/>
          <w:i w:val="0"/>
          <w:iCs w:val="0"/>
          <w:color w:val="000000" w:themeColor="text1"/>
          <w:sz w:val="16"/>
          <w:szCs w:val="16"/>
        </w:rPr>
        <w:softHyphen/>
        <w:t>шим абсурдом. Нас могло устраивать только решение с сохранением ос</w:t>
      </w:r>
      <w:r w:rsidRPr="00722885">
        <w:rPr>
          <w:rStyle w:val="Bodytext145"/>
          <w:i w:val="0"/>
          <w:iCs w:val="0"/>
          <w:color w:val="000000" w:themeColor="text1"/>
          <w:sz w:val="16"/>
          <w:szCs w:val="16"/>
        </w:rPr>
        <w:softHyphen/>
        <w:t xml:space="preserve">новной базы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xml:space="preserve">-1С. Котин пришел ко мне в отдел, нарисовал картинку — на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 xml:space="preserve">- 1С установлена пушка калибра 152 мм, вместо башни — рубка по типу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w:t>
      </w:r>
      <w:r w:rsidRPr="00722885">
        <w:rPr>
          <w:rStyle w:val="Bodytext14NotItalic7"/>
          <w:i w:val="0"/>
          <w:iCs w:val="0"/>
          <w:color w:val="000000" w:themeColor="text1"/>
          <w:sz w:val="16"/>
          <w:szCs w:val="16"/>
        </w:rPr>
        <w:t xml:space="preserve"> 7.</w:t>
      </w:r>
      <w:r w:rsidRPr="00722885">
        <w:rPr>
          <w:rStyle w:val="Bodytext145"/>
          <w:i w:val="0"/>
          <w:iCs w:val="0"/>
          <w:color w:val="000000" w:themeColor="text1"/>
          <w:sz w:val="16"/>
          <w:szCs w:val="16"/>
        </w:rPr>
        <w:t xml:space="preserve"> Конечно, это единственно правильное решение. Задание: «к 3-м часам ночи проработать возможность такого варианта». Оставил эскиз пушки, который ему привез Рыбин Т.Н. от Петрова Ф.Ф. Компоновку мы подготовили к утру. Исполнители: Федорчук Н.Т., Зельцер М.И. Получи</w:t>
      </w:r>
      <w:r w:rsidRPr="00722885">
        <w:rPr>
          <w:rStyle w:val="Bodytext145"/>
          <w:i w:val="0"/>
          <w:iCs w:val="0"/>
          <w:color w:val="000000" w:themeColor="text1"/>
          <w:sz w:val="16"/>
          <w:szCs w:val="16"/>
        </w:rPr>
        <w:softHyphen/>
        <w:t>лось с сильной перегрузкой передних подвесок ходовой части и излишним выступанием пушки вперед. На совещании ведущих конструкторов раз</w:t>
      </w:r>
      <w:r w:rsidRPr="00722885">
        <w:rPr>
          <w:rStyle w:val="Bodytext145"/>
          <w:i w:val="0"/>
          <w:iCs w:val="0"/>
          <w:color w:val="000000" w:themeColor="text1"/>
          <w:sz w:val="16"/>
          <w:szCs w:val="16"/>
        </w:rPr>
        <w:softHyphen/>
        <w:t>ных мнений не было. При исполнении этого задания основная трудность была возложена на корпусников по главе с Таротько В. И. и артиллери</w:t>
      </w:r>
      <w:r w:rsidRPr="00722885">
        <w:rPr>
          <w:rStyle w:val="Bodytext145"/>
          <w:i w:val="0"/>
          <w:iCs w:val="0"/>
          <w:color w:val="000000" w:themeColor="text1"/>
          <w:sz w:val="16"/>
          <w:szCs w:val="16"/>
        </w:rPr>
        <w:softHyphen/>
        <w:t xml:space="preserve">стов во главе с Петровым Ф.Ф., машина </w:t>
      </w:r>
      <w:r w:rsidRPr="00722885">
        <w:rPr>
          <w:rStyle w:val="Bodytext145"/>
          <w:i w:val="0"/>
          <w:iCs w:val="0"/>
          <w:color w:val="000000" w:themeColor="text1"/>
          <w:sz w:val="16"/>
          <w:szCs w:val="16"/>
          <w:lang w:val="en-US"/>
        </w:rPr>
        <w:t>KB</w:t>
      </w:r>
      <w:r w:rsidRPr="00722885">
        <w:rPr>
          <w:rStyle w:val="Bodytext145"/>
          <w:i w:val="0"/>
          <w:iCs w:val="0"/>
          <w:color w:val="000000" w:themeColor="text1"/>
          <w:sz w:val="16"/>
          <w:szCs w:val="16"/>
        </w:rPr>
        <w:t>-1С и основное производство были сохранены. Общий объем проектных и производственных работ был невелик и через месяц опытный образец СУ-152 был готов».</w:t>
      </w:r>
    </w:p>
    <w:p w14:paraId="388E578A" w14:textId="77777777" w:rsidR="00A50962" w:rsidRPr="00722885" w:rsidRDefault="00A50962" w:rsidP="00722885">
      <w:pPr>
        <w:pStyle w:val="a3"/>
        <w:rPr>
          <w:color w:val="000000" w:themeColor="text1"/>
          <w:lang w:val="ru-RU"/>
        </w:rPr>
      </w:pPr>
      <w:r w:rsidRPr="00722885">
        <w:rPr>
          <w:color w:val="000000" w:themeColor="text1"/>
          <w:lang w:val="ru-RU"/>
        </w:rPr>
        <w:t>Во многом описанное Шашмуриным «пробивается» по докумен</w:t>
      </w:r>
      <w:r w:rsidRPr="00722885">
        <w:rPr>
          <w:color w:val="000000" w:themeColor="text1"/>
          <w:lang w:val="ru-RU"/>
        </w:rPr>
        <w:softHyphen/>
        <w:t>там. К сожалению, именно на этот период (ноябрь—декабрь 1942 года) переписки осталось очень мало. Не исключено, что некоторые доку</w:t>
      </w:r>
      <w:r w:rsidRPr="00722885">
        <w:rPr>
          <w:color w:val="000000" w:themeColor="text1"/>
          <w:lang w:val="ru-RU"/>
        </w:rPr>
        <w:softHyphen/>
        <w:t>менты, включая первоначальный проект Троянова, сохранились в тех делах ГАУ, которые еще ждут рассекречивания. Кстати, роль Троянова в разработке Шашмуриным явно преуменьшена: в чертежах установки его роспись стоит напротив пункта «старший инженер машины». Дере</w:t>
      </w:r>
      <w:r w:rsidRPr="00722885">
        <w:rPr>
          <w:color w:val="000000" w:themeColor="text1"/>
          <w:lang w:val="ru-RU"/>
        </w:rPr>
        <w:softHyphen/>
        <w:t>вянный макет самоходной установки в масштабе 1:10, а также проект</w:t>
      </w:r>
      <w:r w:rsidRPr="00722885">
        <w:rPr>
          <w:color w:val="000000" w:themeColor="text1"/>
          <w:lang w:val="ru-RU"/>
        </w:rPr>
        <w:softHyphen/>
        <w:t>ная документация были готовы в самом конце декабря 1942 года. Про</w:t>
      </w:r>
      <w:r w:rsidRPr="00722885">
        <w:rPr>
          <w:color w:val="000000" w:themeColor="text1"/>
          <w:lang w:val="ru-RU"/>
        </w:rPr>
        <w:softHyphen/>
        <w:t xml:space="preserve">ект получил индекс </w:t>
      </w:r>
      <w:r w:rsidRPr="00722885">
        <w:rPr>
          <w:color w:val="000000" w:themeColor="text1"/>
        </w:rPr>
        <w:t>KB</w:t>
      </w:r>
      <w:r w:rsidRPr="00722885">
        <w:rPr>
          <w:color w:val="000000" w:themeColor="text1"/>
          <w:lang w:val="ru-RU"/>
        </w:rPr>
        <w:t>-14, а чертежная документация — номер «236» (с лета 1943 года тема стала называться «Объект 236» ). Также в пере</w:t>
      </w:r>
      <w:r w:rsidRPr="00722885">
        <w:rPr>
          <w:color w:val="000000" w:themeColor="text1"/>
          <w:lang w:val="ru-RU"/>
        </w:rPr>
        <w:softHyphen/>
        <w:t>писке начала 1943 года изредка фигурирует индекс «СУ-14» (17484).</w:t>
      </w:r>
    </w:p>
    <w:p w14:paraId="47C118A2" w14:textId="77777777" w:rsidR="00A50962" w:rsidRPr="00722885" w:rsidRDefault="00A50962" w:rsidP="00722885">
      <w:pPr>
        <w:pStyle w:val="a3"/>
        <w:rPr>
          <w:color w:val="000000" w:themeColor="text1"/>
          <w:lang w:val="ru-RU"/>
        </w:rPr>
      </w:pPr>
    </w:p>
    <w:p w14:paraId="55DACDFA" w14:textId="77777777" w:rsidR="006F77C0" w:rsidRPr="00722885" w:rsidRDefault="006F77C0"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начале октября 1942 года был подготовлен финальный вариант проекта Научного автотракторного института (НАТИ). Прицеп, обозначенный как БП, имел боевую массу 3,5 тонны, его вместимость увеличилась до 10-12 человек. Кроме пехоты, он мог перевозить и 5-7 бочек горючего. В качестве тягача для прицепа предусматривалось использовать Т-34. Для этого к кормовым буксирным крюкам танка крепилась специальная упряжная конструкция, к которой, в свою очередь, крепилась сцепка прицепа. Расчёт прицепа в случае необходимости мог отцепиться от танка, не выходя наружу.</w:t>
      </w:r>
    </w:p>
    <w:p w14:paraId="461CC277" w14:textId="77777777" w:rsidR="006F77C0" w:rsidRPr="00722885" w:rsidRDefault="006F77C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аналогичные конструкции на базе проектов НАТИ разрабатывались ещё двумя предприятиями (17711).</w:t>
      </w:r>
    </w:p>
    <w:p w14:paraId="585D367B" w14:textId="77777777" w:rsidR="006F77C0" w:rsidRPr="00722885" w:rsidRDefault="006F77C0" w:rsidP="00722885">
      <w:pPr>
        <w:spacing w:after="0" w:line="240" w:lineRule="auto"/>
        <w:jc w:val="both"/>
        <w:rPr>
          <w:rFonts w:ascii="Times New Roman" w:eastAsia="Times New Roman" w:hAnsi="Times New Roman"/>
          <w:color w:val="000000" w:themeColor="text1"/>
          <w:sz w:val="16"/>
          <w:szCs w:val="16"/>
          <w:lang w:eastAsia="ru-RU"/>
        </w:rPr>
      </w:pPr>
    </w:p>
    <w:p w14:paraId="0AFFF21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Авиапромышленность:</w:t>
      </w:r>
    </w:p>
    <w:p w14:paraId="17F62070" w14:textId="77777777" w:rsidR="00090C9B" w:rsidRPr="00722885" w:rsidRDefault="00090C9B" w:rsidP="00722885">
      <w:pPr>
        <w:pStyle w:val="Iauiue"/>
        <w:jc w:val="both"/>
        <w:rPr>
          <w:iCs/>
          <w:color w:val="000000" w:themeColor="text1"/>
          <w:sz w:val="16"/>
          <w:szCs w:val="16"/>
        </w:rPr>
      </w:pPr>
    </w:p>
    <w:p w14:paraId="58472D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вышло Постановление ГКО № 2378 Об увеличении выпуска самолетов истребителей. РГАНИР, Фонд ГКО, д. 61, лл. 95-97 (11012).</w:t>
      </w:r>
    </w:p>
    <w:p w14:paraId="3D9FAB7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180FAE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было принято постановление ГКО №2378 «Об увеличении выпуска самолетов-истребителей», согласно которому производство самолетов Ту-2 на за</w:t>
      </w:r>
      <w:r w:rsidRPr="00722885">
        <w:rPr>
          <w:rFonts w:ascii="Times New Roman" w:hAnsi="Times New Roman"/>
          <w:color w:val="000000" w:themeColor="text1"/>
          <w:sz w:val="16"/>
          <w:szCs w:val="16"/>
        </w:rPr>
        <w:softHyphen/>
        <w:t>воде №166 в Омске прекращалось, правда с сохранением оснастки, а вместо него организовывался серий</w:t>
      </w:r>
      <w:r w:rsidRPr="00722885">
        <w:rPr>
          <w:rFonts w:ascii="Times New Roman" w:hAnsi="Times New Roman"/>
          <w:color w:val="000000" w:themeColor="text1"/>
          <w:sz w:val="16"/>
          <w:szCs w:val="16"/>
        </w:rPr>
        <w:softHyphen/>
        <w:t>ный выпуск истребителей Як-9. Од</w:t>
      </w:r>
      <w:r w:rsidRPr="00722885">
        <w:rPr>
          <w:rFonts w:ascii="Times New Roman" w:hAnsi="Times New Roman"/>
          <w:color w:val="000000" w:themeColor="text1"/>
          <w:sz w:val="16"/>
          <w:szCs w:val="16"/>
        </w:rPr>
        <w:softHyphen/>
        <w:t>новременно на заводе №381 вместо штурмовиков Ил-2 ставилось произ</w:t>
      </w:r>
      <w:r w:rsidRPr="00722885">
        <w:rPr>
          <w:rFonts w:ascii="Times New Roman" w:hAnsi="Times New Roman"/>
          <w:color w:val="000000" w:themeColor="text1"/>
          <w:sz w:val="16"/>
          <w:szCs w:val="16"/>
        </w:rPr>
        <w:softHyphen/>
        <w:t>водство самолетов Ла-5. Такими ре</w:t>
      </w:r>
      <w:r w:rsidRPr="00722885">
        <w:rPr>
          <w:rFonts w:ascii="Times New Roman" w:hAnsi="Times New Roman"/>
          <w:color w:val="000000" w:themeColor="text1"/>
          <w:sz w:val="16"/>
          <w:szCs w:val="16"/>
        </w:rPr>
        <w:softHyphen/>
        <w:t>шительными мерами ГКО пытался исправить положение с нашей истре</w:t>
      </w:r>
      <w:r w:rsidRPr="00722885">
        <w:rPr>
          <w:rFonts w:ascii="Times New Roman" w:hAnsi="Times New Roman"/>
          <w:color w:val="000000" w:themeColor="text1"/>
          <w:sz w:val="16"/>
          <w:szCs w:val="16"/>
        </w:rPr>
        <w:softHyphen/>
        <w:t>бительной авиацией (10699).</w:t>
      </w:r>
    </w:p>
    <w:p w14:paraId="3C2706A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037031E" w14:textId="77777777" w:rsidR="00AE6980" w:rsidRPr="00722885" w:rsidRDefault="00AE6980"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7 октября 1942 приняли По</w:t>
      </w:r>
      <w:r w:rsidRPr="00722885">
        <w:rPr>
          <w:rFonts w:ascii="Times New Roman" w:cs="Times New Roman"/>
          <w:color w:val="000000" w:themeColor="text1"/>
          <w:spacing w:val="0"/>
        </w:rPr>
        <w:softHyphen/>
        <w:t>становление ГКО № 2378 «Об увеличении выпуска самолётов-истребителей», согласно которому производство самолётов Ту-2 на заводе № 166 в Омске прекращалось, прав</w:t>
      </w:r>
      <w:r w:rsidRPr="00722885">
        <w:rPr>
          <w:rFonts w:ascii="Times New Roman" w:cs="Times New Roman"/>
          <w:color w:val="000000" w:themeColor="text1"/>
          <w:spacing w:val="0"/>
        </w:rPr>
        <w:softHyphen/>
        <w:t>да с сохранением оснастки, а вместо него организовывался серийный выпуск истреби</w:t>
      </w:r>
      <w:r w:rsidRPr="00722885">
        <w:rPr>
          <w:rFonts w:ascii="Times New Roman" w:cs="Times New Roman"/>
          <w:color w:val="000000" w:themeColor="text1"/>
          <w:spacing w:val="0"/>
        </w:rPr>
        <w:softHyphen/>
        <w:t>телей Як-9. Одновременно на заводе № 381 вместо штурмовиков Ил-2 организовали производство самолётов Ла-5. Такими решительными мерами ГКО пытался исправить положение с нашей истребительной авиацией (15813).</w:t>
      </w:r>
    </w:p>
    <w:p w14:paraId="197F768F" w14:textId="77777777" w:rsidR="00AE6980" w:rsidRPr="00722885" w:rsidRDefault="00AE6980" w:rsidP="00722885">
      <w:pPr>
        <w:pStyle w:val="27"/>
        <w:shd w:val="clear" w:color="auto" w:fill="auto"/>
        <w:spacing w:after="0" w:line="240" w:lineRule="auto"/>
        <w:ind w:firstLine="0"/>
        <w:rPr>
          <w:rFonts w:ascii="Times New Roman" w:cs="Times New Roman"/>
          <w:color w:val="000000" w:themeColor="text1"/>
          <w:spacing w:val="0"/>
        </w:rPr>
      </w:pPr>
    </w:p>
    <w:p w14:paraId="49F40B90" w14:textId="77777777" w:rsidR="00AE6980" w:rsidRPr="00722885" w:rsidRDefault="00090C9B" w:rsidP="00722885">
      <w:pPr>
        <w:pStyle w:val="27"/>
        <w:shd w:val="clear" w:color="auto" w:fill="auto"/>
        <w:spacing w:after="0" w:line="240" w:lineRule="auto"/>
        <w:ind w:firstLine="0"/>
        <w:rPr>
          <w:rFonts w:ascii="Times New Roman" w:cs="Times New Roman"/>
          <w:bCs/>
          <w:color w:val="000000" w:themeColor="text1"/>
          <w:spacing w:val="0"/>
        </w:rPr>
      </w:pPr>
      <w:r w:rsidRPr="00722885">
        <w:rPr>
          <w:rFonts w:ascii="Times New Roman" w:cs="Times New Roman"/>
          <w:bCs/>
          <w:color w:val="000000" w:themeColor="text1"/>
          <w:spacing w:val="0"/>
        </w:rPr>
        <w:t>7 октября 1942 вышло:</w:t>
      </w:r>
    </w:p>
    <w:p w14:paraId="326C7552" w14:textId="77777777" w:rsidR="00AE6980" w:rsidRPr="00722885" w:rsidRDefault="00090C9B" w:rsidP="00722885">
      <w:pPr>
        <w:pStyle w:val="27"/>
        <w:shd w:val="clear" w:color="auto" w:fill="auto"/>
        <w:spacing w:after="0" w:line="240" w:lineRule="auto"/>
        <w:ind w:firstLine="0"/>
        <w:rPr>
          <w:rFonts w:ascii="Times New Roman" w:cs="Times New Roman"/>
          <w:bCs/>
          <w:color w:val="000000" w:themeColor="text1"/>
          <w:spacing w:val="0"/>
        </w:rPr>
      </w:pPr>
      <w:r w:rsidRPr="00722885">
        <w:rPr>
          <w:rFonts w:ascii="Times New Roman" w:cs="Times New Roman"/>
          <w:bCs/>
          <w:color w:val="000000" w:themeColor="text1"/>
          <w:spacing w:val="0"/>
        </w:rPr>
        <w:t>ПОСТАНОВЛЕНИЕ ГОСУДАРСТВЕННОГО КОМИТЕТА ОБОРОНЫ № 2378сс от 7.X.1942</w:t>
      </w:r>
    </w:p>
    <w:p w14:paraId="05DD94BF" w14:textId="77777777" w:rsidR="00090C9B" w:rsidRPr="00722885" w:rsidRDefault="00090C9B" w:rsidP="00722885">
      <w:pPr>
        <w:pStyle w:val="27"/>
        <w:shd w:val="clear" w:color="auto" w:fill="auto"/>
        <w:spacing w:after="0" w:line="240" w:lineRule="auto"/>
        <w:ind w:firstLine="0"/>
        <w:rPr>
          <w:rFonts w:ascii="Times New Roman" w:cs="Times New Roman"/>
          <w:bCs/>
          <w:color w:val="000000" w:themeColor="text1"/>
          <w:spacing w:val="0"/>
        </w:rPr>
      </w:pPr>
      <w:r w:rsidRPr="00722885">
        <w:rPr>
          <w:rFonts w:ascii="Times New Roman" w:cs="Times New Roman"/>
          <w:bCs/>
          <w:color w:val="000000" w:themeColor="text1"/>
          <w:spacing w:val="0"/>
        </w:rPr>
        <w:t>Об увеличении выпуска самолетов истребителей.</w:t>
      </w:r>
    </w:p>
    <w:p w14:paraId="20A021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увеличения выпуска самолетов истребителей Государственный Комитет Обороны ПОСТАНОВЛЯЕТ:</w:t>
      </w:r>
    </w:p>
    <w:p w14:paraId="3A34FB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Наркомавиапром - т. Шахурина, директора завода № 166 - т. Соколова:</w:t>
      </w:r>
    </w:p>
    <w:p w14:paraId="1D9FCF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прекратить на заводе № 166 производство самолетов Ту-2. Имеющуюся на заводе № 166 оснастку, приспособления и техническую документацию по самолету Ту-2 сохранить полностью;</w:t>
      </w:r>
    </w:p>
    <w:p w14:paraId="16F222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поставить на заводе № 166 производство самолетов Як-9, установив разворот производства и программу выпуска самолётов Як-9 в следующие сроки:</w:t>
      </w:r>
    </w:p>
    <w:p w14:paraId="623231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- 10 самолетов</w:t>
      </w:r>
    </w:p>
    <w:p w14:paraId="3AB0CB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январе - 25 </w:t>
      </w:r>
    </w:p>
    <w:p w14:paraId="2B7129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феврале - 50 </w:t>
      </w:r>
    </w:p>
    <w:p w14:paraId="2F61D8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марте - 75 </w:t>
      </w:r>
    </w:p>
    <w:p w14:paraId="57BCFA8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в апреле 1943 года выйти на выпуск 6-ти самолетов в день.</w:t>
      </w:r>
    </w:p>
    <w:p w14:paraId="07E2EE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директора завода № 153 - т. Романова, главного конструктора – т. Яковлева передать с завода № 153 на завод №166 к 20 октября с. г. чертежи самолета Як-9, чертежи приспособлений и оснастки и всю необходимую технологическую документацию производства самолетов Як-9, а также передать заводу № 166 до 5 ноября 10 самолетов Як-9 в деталях и агрегатах.</w:t>
      </w:r>
    </w:p>
    <w:p w14:paraId="27E72A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Разрешить заводу №166 в целях использования существующего задела самолета Ту-2 в агрегатных цехах, выпустить 10 самолетов Ту-2 до 15 ноября с. г.</w:t>
      </w:r>
    </w:p>
    <w:p w14:paraId="6A50E4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Главного конструктора самолета Ту-2 т. Туполева вместе с конструкторским бюро перевести на завод № 288, оставив из конструкторского бюро т. Туполева на заводе № 166 - 150 человек конструкторов разных категорий и чертежников для организации серийно-конструкторского бюро по самолету Як-9 на заводе № 166. </w:t>
      </w:r>
    </w:p>
    <w:p w14:paraId="3C610E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Обязать тов. Туполева продолжить работу по доводке и обеспечению полной надежности в эксплуатации выпущенных самолетов Ту-2.</w:t>
      </w:r>
    </w:p>
    <w:p w14:paraId="7264B6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Обязать Наркомавиапром - т. Шахурина, директора завода № 381 - т. Журавлева:</w:t>
      </w:r>
    </w:p>
    <w:p w14:paraId="1CB48C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прекратить производство самолетов Ил-2 на заводе № 381;</w:t>
      </w:r>
    </w:p>
    <w:p w14:paraId="5576B4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поставить на заводе № 381 производство самолетов Лa-5, установив разворот производства и программу выпуска самолетов Лa-5 в следующие сроки:</w:t>
      </w:r>
    </w:p>
    <w:p w14:paraId="45F550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- 10 самолетов</w:t>
      </w:r>
    </w:p>
    <w:p w14:paraId="6F28DA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январе - 25 -»-</w:t>
      </w:r>
    </w:p>
    <w:p w14:paraId="0D5541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феврале - 50 -«-</w:t>
      </w:r>
    </w:p>
    <w:p w14:paraId="1ABF4D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марте - 75 -«-</w:t>
      </w:r>
    </w:p>
    <w:p w14:paraId="3800AA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в апреле месяце 1943 года выйти на выпуск 5-ти самолетов в день.</w:t>
      </w:r>
    </w:p>
    <w:p w14:paraId="0C9D24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Обязать директора завода № 21 т. Агаджанова, главного конструктора т. Лавочкина передать с завода № 21 на завод № 381 к 25 октября с. г. чертежи самолета Лa-5, чертежи приспособлений и оснастки и всю необходимую технологическую документацию производства самолетов Лa-5, а также передать заводу № 381 до 5 ноября 10 самолетов Ла-5 в деталях и агрегатах.</w:t>
      </w:r>
    </w:p>
    <w:p w14:paraId="0385348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Разрешить заводу № 381 в целях использования существующего задела самолета Ил-2 в агрегатных цехах, выпустить 40 самолетов Ил-2 до 15 ноября с. г.</w:t>
      </w:r>
    </w:p>
    <w:p w14:paraId="283BC6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Обязать Наркомфин СССР - т. Зверева выделить на постановку производства самолетов истребителей заводам №№ 166 и 381 по 3,5 миллиона рублей каждому. </w:t>
      </w:r>
    </w:p>
    <w:p w14:paraId="183258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 И. СТАЛИН (11813).</w:t>
      </w:r>
    </w:p>
    <w:p w14:paraId="5E8C37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октября 1942 г. было письмо:</w:t>
      </w:r>
    </w:p>
    <w:p w14:paraId="4442AA4B" w14:textId="77777777" w:rsidR="00AE6980"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Народный Комиссар Авиационной Промышленности Союза ССР 6 октября 1942 г. № Н-20/4004 Москва </w:t>
      </w:r>
    </w:p>
    <w:p w14:paraId="4C8BE346" w14:textId="77777777" w:rsidR="00090C9B"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ПРЕДСЕДАТЕЛЮ ГОСУДАРСТВЕННОГО КОМИТЕТА ОБОРОНЫ товарищу СТАЛИНУ И.В.</w:t>
      </w:r>
    </w:p>
    <w:p w14:paraId="2D9AE1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Посылаю на Ваше рассмотрение проект постановления Государственного Комитета Обороны "об увеличении выпуска самолетов истребителей".</w:t>
      </w:r>
    </w:p>
    <w:p w14:paraId="29B97E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Проект предусматривает снятие с производства на заводе № 166 (Омск) самолета Ту-2 и организации произ¬водства на этом заводе истребителей Як-9 (Як-7 с метал-лическими лонжеронами крыла).</w:t>
      </w:r>
    </w:p>
    <w:p w14:paraId="4C2E44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предусматривается снятие с производства на заводе № 381 (Н. Тагил) самолета Ил-2 и организация производства на этом заводе истребителей Ла-5.</w:t>
      </w:r>
    </w:p>
    <w:p w14:paraId="260ACD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Завод № 381 в связи с недостатком моторов АМ-38 ограничен выпуском одного самолета в день, хотя мощность имеет на выпуск 3-4 самолетов. Увеличение выпуска моторов АМ-38 на заводах №№ 24 и 45 будет поглащено другими заводами производящими самолет Ил-2 (11813). </w:t>
      </w:r>
    </w:p>
    <w:p w14:paraId="0787A1A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951306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г. согласно Постановлению ГКО № 2378сс и приказа НКАП № 763сс от 10 октября определяли выпуск Ла-5 на заводе № 381, который был эвакуирован из Ленинграда на Урал, в Нижний Тагил. При этом с предприятия даже сняли заказ на Ил-2, такое значение теперь придавалось новому истребителю. Под Ла-5 заводу передали площади 445-го (планерного) завода в Алапаевске и дополнительно направили 4000 рабочих и ИТР. Но из-за начавшей</w:t>
      </w:r>
      <w:r w:rsidRPr="00722885">
        <w:rPr>
          <w:rFonts w:ascii="Times New Roman" w:hAnsi="Times New Roman"/>
          <w:color w:val="000000" w:themeColor="text1"/>
          <w:sz w:val="16"/>
          <w:szCs w:val="16"/>
        </w:rPr>
        <w:softHyphen/>
        <w:t>ся реэвакуации предприятия в Москву освоить в срок на нем вы</w:t>
      </w:r>
      <w:r w:rsidRPr="00722885">
        <w:rPr>
          <w:rFonts w:ascii="Times New Roman" w:hAnsi="Times New Roman"/>
          <w:color w:val="000000" w:themeColor="text1"/>
          <w:sz w:val="16"/>
          <w:szCs w:val="16"/>
        </w:rPr>
        <w:softHyphen/>
        <w:t>пуск новой продукции не удалось. И только в конце 1943 г. там сда</w:t>
      </w:r>
      <w:r w:rsidRPr="00722885">
        <w:rPr>
          <w:rFonts w:ascii="Times New Roman" w:hAnsi="Times New Roman"/>
          <w:color w:val="000000" w:themeColor="text1"/>
          <w:sz w:val="16"/>
          <w:szCs w:val="16"/>
        </w:rPr>
        <w:softHyphen/>
        <w:t>ли первые Ла-5Ф, собранные из горьковских агрегатов, а дальше пошел полный цикл (11123).</w:t>
      </w:r>
    </w:p>
    <w:p w14:paraId="3ABAA3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528EFC4" w14:textId="77777777" w:rsidR="008A0AD5" w:rsidRPr="00722885" w:rsidRDefault="008A0A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г. Постановлением ГКО № 2378 «Об увеличении выпуска самолетов истребителей», выпуск штурмовиков в Тагиле был свернут. Завод №381 должен был на- чать выпуск истребителей Ла-5 (ЛаГГ-3 с двигателем М-82). В конце 1942 – начале 1943 г. немцы были уже далеко от Москвы, и авиазавод №381 реэвакуировали в столицу на площади, где до войны располагались авиазаводы №1 и №39, эвакуированные осенью 1941 г. в Куйбышев и Иркутск соответственно. На этом месте завод №381 развернул выпуск истребителей Лавочкина – Ла-5, Ла-7, а после окончания войны – вначале 1950-х выпускал знаменитые реактивные истребители МиГ-15. Интересно, что при отправке завода №381 в Москву, часть его 255 специалистов перевели на Верх-Нейвинский авиазавод №261 (ко- торый был переведен туда в феврале 1941 г. из г.Березовский на площади недостроенного завода легких сплавов № 484) - смеж- ник ташкентского авиапроизводства грузопассажирских Ли-2 (лицензионной версии знаменитого Дугласа DC-3), а в то же вре- мя сам 381-й завод был усилен специалистами Харьковского ави- азавода №135, который с началом войны был вывезен в Пермь и позже был там расформирован. Всего авиазаводом №381 было выпущено 27 Ил-2 в 1941 г., и 243 штурмовика в 1942.</w:t>
      </w:r>
    </w:p>
    <w:p w14:paraId="2E830513" w14:textId="77777777" w:rsidR="008A0AD5" w:rsidRPr="00722885" w:rsidRDefault="008A0A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Собранные в 1941-1943 гг. самолеты Ил-2 стартовали с аэро- дрома, расположенного в паре километров от сборочных цехов аэродрома на Валегином бору. Там же располагалась летно-ис- пытательная станция. Еще до войны там располагался завод- ской аэродром, на котором базировались легкие самолеты У-2 заводской организации ОСОАВИАХИМА. В феврале 1942 г. за заводом был закреплен самолет ПС-84 (Ли-2) и экипаж летчика Соколова. Главной его задачей была оперативная переброска де- фицитных деталей и материалов, отсутствие которых угрожало остановкой конвейера. Вот с этого аэродрома и стартовали Ил-2, далее они шли по курсу Нижний Тагил - Куйбышев - Москва (19535).</w:t>
      </w:r>
    </w:p>
    <w:p w14:paraId="73667FB1" w14:textId="77777777" w:rsidR="008A0AD5" w:rsidRPr="00722885" w:rsidRDefault="008A0AD5" w:rsidP="00722885">
      <w:pPr>
        <w:spacing w:after="0" w:line="240" w:lineRule="auto"/>
        <w:jc w:val="both"/>
        <w:rPr>
          <w:rFonts w:ascii="Times New Roman" w:hAnsi="Times New Roman"/>
          <w:color w:val="000000" w:themeColor="text1"/>
          <w:sz w:val="16"/>
          <w:szCs w:val="16"/>
        </w:rPr>
      </w:pPr>
    </w:p>
    <w:p w14:paraId="3E3DA8AE" w14:textId="77777777" w:rsidR="008A0AD5" w:rsidRPr="00722885" w:rsidRDefault="008A0A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г. Постановлением ГКО № 2378 «Об увеличении выпуска самолетов истребителей», выпуск штурмовиков в Тагиле был свернут. Завод №381 должен был начать выпуск истребителей Ла-5 (ЛаГГ-3 с двигателем М-82) (18250).</w:t>
      </w:r>
    </w:p>
    <w:p w14:paraId="5E7CECF5" w14:textId="77777777" w:rsidR="008A0AD5" w:rsidRPr="00722885" w:rsidRDefault="008A0AD5" w:rsidP="00722885">
      <w:pPr>
        <w:spacing w:after="0" w:line="240" w:lineRule="auto"/>
        <w:jc w:val="both"/>
        <w:rPr>
          <w:rFonts w:ascii="Times New Roman" w:hAnsi="Times New Roman"/>
          <w:color w:val="000000" w:themeColor="text1"/>
          <w:sz w:val="16"/>
          <w:szCs w:val="16"/>
        </w:rPr>
      </w:pPr>
    </w:p>
    <w:p w14:paraId="799B53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октября 1942 вышло постановление ГКО N 2378 о прекращении серии Ту-2 на 166 заводе (1835,23), равно как и серии Ил-2 на 381 заводе</w:t>
      </w:r>
    </w:p>
    <w:p w14:paraId="56D9E0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другим данным - 10 октября 1942</w:t>
      </w:r>
    </w:p>
    <w:p w14:paraId="7F9557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октября 1942 Заместителем начальника ЛИИ А.В.Чесалов утвердил отчет по испытания доработанного серийный Ил-2 (зав. № 1878916) выпус</w:t>
      </w:r>
      <w:r w:rsidRPr="00722885">
        <w:rPr>
          <w:color w:val="000000" w:themeColor="text1"/>
          <w:sz w:val="16"/>
          <w:szCs w:val="16"/>
        </w:rPr>
        <w:softHyphen/>
        <w:t xml:space="preserve">ка 28.06.42 г./ которы </w:t>
      </w:r>
      <w:r w:rsidRPr="00722885">
        <w:rPr>
          <w:color w:val="000000" w:themeColor="text1"/>
          <w:sz w:val="16"/>
          <w:szCs w:val="16"/>
        </w:rPr>
        <w:lastRenderedPageBreak/>
        <w:t>проходил контрольные испытания в ЛИИ НКАП и показал хо</w:t>
      </w:r>
      <w:r w:rsidRPr="00722885">
        <w:rPr>
          <w:color w:val="000000" w:themeColor="text1"/>
          <w:sz w:val="16"/>
          <w:szCs w:val="16"/>
        </w:rPr>
        <w:softHyphen/>
        <w:t>рошие результаты. Кроме профилей усиления, на машине на всасывающий патрубок мотора устанавливался фильтр ЦАГИ. Отчет по испытаниям утвержден</w:t>
      </w:r>
    </w:p>
    <w:p w14:paraId="1F389D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полетном весе 5805 кг штурмо</w:t>
      </w:r>
      <w:r w:rsidRPr="00722885">
        <w:rPr>
          <w:color w:val="000000" w:themeColor="text1"/>
          <w:sz w:val="16"/>
          <w:szCs w:val="16"/>
        </w:rPr>
        <w:softHyphen/>
        <w:t>вик имел скорость у земли 374 км/ч, а на высоте 2050 м - 401 км/ч.</w:t>
      </w:r>
    </w:p>
    <w:p w14:paraId="59F88E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Отметим, что на серийных же авиаза</w:t>
      </w:r>
      <w:r w:rsidRPr="00722885">
        <w:rPr>
          <w:color w:val="000000" w:themeColor="text1"/>
          <w:sz w:val="16"/>
          <w:szCs w:val="16"/>
        </w:rPr>
        <w:softHyphen/>
        <w:t>водах усиление хвостовой части фюзе</w:t>
      </w:r>
      <w:r w:rsidRPr="00722885">
        <w:rPr>
          <w:color w:val="000000" w:themeColor="text1"/>
          <w:sz w:val="16"/>
          <w:szCs w:val="16"/>
        </w:rPr>
        <w:softHyphen/>
        <w:t>ляжа Ил-2 проводилось постановкой шести дополнительных внутренних стрингеров и увеличением толщины обшивки путем добавления нескольких слоев шпона.. (6467).</w:t>
      </w:r>
    </w:p>
    <w:p w14:paraId="2F6DC60A" w14:textId="77777777" w:rsidR="00090C9B" w:rsidRPr="00722885" w:rsidRDefault="00090C9B" w:rsidP="00722885">
      <w:pPr>
        <w:pStyle w:val="Iauiue"/>
        <w:jc w:val="both"/>
        <w:rPr>
          <w:color w:val="000000" w:themeColor="text1"/>
          <w:sz w:val="16"/>
          <w:szCs w:val="16"/>
        </w:rPr>
      </w:pPr>
    </w:p>
    <w:p w14:paraId="21532E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октября 1942 года Постановлением КЕО за № 237сс производство самолета ТУ-2 было приостановлено. Этим же постановлением заводу № 166 было поручено изготовление самолетов-истребителей ЯК-9. Выпуск самолетов ЯК-9 и его модернизированных моделей продолжался до конца войны, т.е. до 1945 года.</w:t>
      </w:r>
    </w:p>
    <w:p w14:paraId="0F1E2A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Постановлению СНК от 14 сентября 1945 года и приказу НКАП за № 378сс от 16 сентября 1945 года производство самолетов ЯК-9 было прекращено и завод снова приступил к изготовлению самолета ТУ-2. В 1949 году, согласно приказам МАП за № 528 от 11 июля и № 600 от 30 июля 1949 года, самолет ТУ-2 был снят с производства и начато производство реактивного бомбардировщика ИЛ-28, изготовление которого продолжалось до августа 1955 года.</w:t>
      </w:r>
    </w:p>
    <w:p w14:paraId="134B30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соответствии с Постановлением СМ от 16 ноября 1955 года за № 1920-1020 и приказа № 766 заводу было предложено начать подготовку и освоение производства самолетов ТУ-104 с выпуском двух головных машин во втором квартале 1956 года при плане 7 единиц до 1 января 1957 года.</w:t>
      </w:r>
    </w:p>
    <w:p w14:paraId="469D44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Количественный выпуск самолетов ко времени снятия их с производства на заводе составлял:</w:t>
      </w:r>
    </w:p>
    <w:p w14:paraId="1A56FC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ТУ-2 – один самолет в день</w:t>
      </w:r>
    </w:p>
    <w:p w14:paraId="162BA5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ЯК-9 – 8 самолетов в день</w:t>
      </w:r>
    </w:p>
    <w:p w14:paraId="237E9E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ИЛ-28 – 250 самолетов в год</w:t>
      </w:r>
    </w:p>
    <w:p w14:paraId="4BA111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ТУ-104 – в 1957 году 12 самолетов</w:t>
      </w:r>
    </w:p>
    <w:p w14:paraId="7D2267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ТУ-104 – в 1958 году 21 самолет</w:t>
      </w:r>
    </w:p>
    <w:p w14:paraId="2BF71A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Директора: С 1941 по 1942 гг. – Ляпидевский А.В. С 1942 по 1946 гг. – Соколов Л.П. С 1946 по 1949 гг. – Евтеев А.А. С 1957 года – Головко К.А.</w:t>
      </w:r>
    </w:p>
    <w:p w14:paraId="41AFF2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Гл. конструкторы: С 1941 по 1942 гг. – Туполев А.Н. С 1942 по 1945 гг. – Яковлев С.Н. С 1945 по 1949 гг. – Туполев А.Н. С 1955 года – Туполев А.Н. Директор – Головко К.А.</w:t>
      </w:r>
    </w:p>
    <w:p w14:paraId="15F2B5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Омск, ул. Б. Хмельницкого, д. 226 (старый № 216)</w:t>
      </w:r>
    </w:p>
    <w:p w14:paraId="1B2DB5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Производственный профиль – самолетостроительный серийного производства (9854).</w:t>
      </w:r>
    </w:p>
    <w:p w14:paraId="4399DB0D" w14:textId="77777777" w:rsidR="00090C9B" w:rsidRPr="00722885" w:rsidRDefault="00090C9B" w:rsidP="00722885">
      <w:pPr>
        <w:pStyle w:val="Iauiue"/>
        <w:jc w:val="both"/>
        <w:rPr>
          <w:color w:val="000000" w:themeColor="text1"/>
          <w:sz w:val="16"/>
          <w:szCs w:val="16"/>
        </w:rPr>
      </w:pPr>
    </w:p>
    <w:p w14:paraId="007567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октября 1942 ГКО принял постановление: “Об увелечении выпуска самолетов-истребителей”. Важнейшим пунктом этого документа было прекращение выпуска фронтовых бомбардировщиков Ту-2 на заводе №166 в Омске, вместо которых надлежало развернуть производство истребителей Яковлева. Таким образом. к выпуску истребителей подключался еще один авиазавод (4537).</w:t>
      </w:r>
    </w:p>
    <w:p w14:paraId="331DDFC7" w14:textId="77777777" w:rsidR="00090C9B" w:rsidRPr="00722885" w:rsidRDefault="00090C9B" w:rsidP="00722885">
      <w:pPr>
        <w:pStyle w:val="Iauiue"/>
        <w:jc w:val="both"/>
        <w:rPr>
          <w:color w:val="000000" w:themeColor="text1"/>
          <w:sz w:val="16"/>
          <w:szCs w:val="16"/>
        </w:rPr>
      </w:pPr>
    </w:p>
    <w:p w14:paraId="1C1E97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года ГКО принял постановление "Об увеличении выпуска истребителей", где говорилось и о производстве Як-9. В частности, директору Омского авиационного завода № 166 Соколову предписывалось прекратить постройку бомбардировщиков Ту-2 и перейти на изготовление Як-9, при этом завод должен был сдать заказчику в декабре 10 самолетов, в январе 1943 года - 25, а в феврале и марте 50 и 75 машин соответственно.</w:t>
      </w:r>
    </w:p>
    <w:p w14:paraId="5C93F2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Среди самолетов Омского завода были Ту-2 укомплектованные двигателями М-82, М-82Ф и даже М-82ФН. Отличались они и составом вооружения. В частности, в НИИ ВВС одно время находилось шесть самолетов первой, второй, третьей и седьмой серий: №№ 100101, 100102, 100201, 100308, 100713, 100716. Все они поступили в институт с завода № 166.</w:t>
      </w:r>
    </w:p>
    <w:p w14:paraId="32BE33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Например, в состав вооружения самолетов № 100101 и № 100201 входили 10 PC-132, 4 PC-82, по две пушки ШВАК и пулемета БС, а также три ШКАСа. На самолете № 100102 вооружение включало 10 PC-132, четыре PC-82, три пушки ШВАК и по два пулемета БС и ШКАС. На машине № 100308 реактивное оружие отсутствовало, а оборонительное состояло из двух пушек, двух крупнокалиберных и трех 7,62-миллиметровых пулемета.</w:t>
      </w:r>
    </w:p>
    <w:p w14:paraId="45DAD4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году три машины №№ 100101, 100102, 100201 были отправлены из НИИ ВВС в 1-ю гвардейскую авиационную дивизию дальнего действия.</w:t>
      </w:r>
    </w:p>
    <w:p w14:paraId="770C99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основного варианта - фронтового бомбардировщика - несколько Ту-2 переоборудовали в разведчики Ту-2Р в передвижных авиаремонтных мастерских ВВС. Технические же требования к разведчику Ту-2Р ВВС сформулировали лишь в середине лета 1942 г.</w:t>
      </w:r>
    </w:p>
    <w:p w14:paraId="39713F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Не все серийные бомбардировщики дошли до заказчика. Так, четыре машины последней седьмой серии (№ 07-13, № 07-14, № 07-16, и № 07-20) передали на опытный завод № 156, где они дорабатывались в стандартный (Ту-2С) и дальний (Ту-2Д) варианты. Впоследствии к ним прибавился и самолет № 07-14, также переоборудованный в дальний бомбардировщик. По крайней мере, одна машина № 05-07 (согласно отчету НКАП выпущена в августе 1942 г.), кроме опытной "103-В", по каким-то причинам осталась в Омске. В полете 3 января 1943 года (летчик-испытатель Хлястач) на самолете № 05-07 не удалось выпустить правую опору шасси, и при посадке она потерпела аварию. </w:t>
      </w:r>
    </w:p>
    <w:p w14:paraId="48A557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данные самолетов Ту-2 завода Ns 166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9B487A" w:rsidRPr="00722885" w14:paraId="4364EFE2" w14:textId="77777777" w:rsidTr="00CC5360">
        <w:tc>
          <w:tcPr>
            <w:tcW w:w="1601" w:type="dxa"/>
            <w:tcBorders>
              <w:top w:val="single" w:sz="12" w:space="0" w:color="auto"/>
            </w:tcBorders>
          </w:tcPr>
          <w:p w14:paraId="0A0FEB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самолета</w:t>
            </w:r>
          </w:p>
        </w:tc>
        <w:tc>
          <w:tcPr>
            <w:tcW w:w="1601" w:type="dxa"/>
            <w:tcBorders>
              <w:top w:val="single" w:sz="12" w:space="0" w:color="auto"/>
            </w:tcBorders>
          </w:tcPr>
          <w:p w14:paraId="1FBAB2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Ту-2</w:t>
            </w:r>
          </w:p>
        </w:tc>
        <w:tc>
          <w:tcPr>
            <w:tcW w:w="1601" w:type="dxa"/>
            <w:tcBorders>
              <w:top w:val="single" w:sz="12" w:space="0" w:color="auto"/>
            </w:tcBorders>
          </w:tcPr>
          <w:p w14:paraId="586BA1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Ту-2</w:t>
            </w:r>
          </w:p>
        </w:tc>
        <w:tc>
          <w:tcPr>
            <w:tcW w:w="1601" w:type="dxa"/>
            <w:tcBorders>
              <w:top w:val="single" w:sz="12" w:space="0" w:color="auto"/>
            </w:tcBorders>
          </w:tcPr>
          <w:p w14:paraId="342511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Ту-2С</w:t>
            </w:r>
          </w:p>
        </w:tc>
        <w:tc>
          <w:tcPr>
            <w:tcW w:w="1601" w:type="dxa"/>
            <w:tcBorders>
              <w:top w:val="single" w:sz="12" w:space="0" w:color="auto"/>
            </w:tcBorders>
          </w:tcPr>
          <w:p w14:paraId="0D2F98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Ту-2</w:t>
            </w:r>
          </w:p>
        </w:tc>
        <w:tc>
          <w:tcPr>
            <w:tcW w:w="1601" w:type="dxa"/>
            <w:tcBorders>
              <w:top w:val="single" w:sz="12" w:space="0" w:color="auto"/>
            </w:tcBorders>
          </w:tcPr>
          <w:p w14:paraId="75F100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Ту-2</w:t>
            </w:r>
          </w:p>
        </w:tc>
        <w:tc>
          <w:tcPr>
            <w:tcW w:w="1601" w:type="dxa"/>
            <w:tcBorders>
              <w:top w:val="single" w:sz="12" w:space="0" w:color="auto"/>
            </w:tcBorders>
          </w:tcPr>
          <w:p w14:paraId="399FD2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Ту-231</w:t>
            </w:r>
          </w:p>
        </w:tc>
      </w:tr>
      <w:tr w:rsidR="009B487A" w:rsidRPr="00722885" w14:paraId="72937B67" w14:textId="77777777" w:rsidTr="00CC5360">
        <w:tc>
          <w:tcPr>
            <w:tcW w:w="1601" w:type="dxa"/>
          </w:tcPr>
          <w:p w14:paraId="12538CA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2A482E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Головной</w:t>
            </w:r>
          </w:p>
        </w:tc>
        <w:tc>
          <w:tcPr>
            <w:tcW w:w="1601" w:type="dxa"/>
          </w:tcPr>
          <w:p w14:paraId="2E2314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№100308</w:t>
            </w:r>
          </w:p>
        </w:tc>
        <w:tc>
          <w:tcPr>
            <w:tcW w:w="1601" w:type="dxa"/>
          </w:tcPr>
          <w:p w14:paraId="12D96E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№100716</w:t>
            </w:r>
          </w:p>
        </w:tc>
        <w:tc>
          <w:tcPr>
            <w:tcW w:w="1601" w:type="dxa"/>
          </w:tcPr>
          <w:p w14:paraId="3A830D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№04/07</w:t>
            </w:r>
          </w:p>
        </w:tc>
        <w:tc>
          <w:tcPr>
            <w:tcW w:w="1601" w:type="dxa"/>
          </w:tcPr>
          <w:p w14:paraId="50BA94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№06/15</w:t>
            </w:r>
          </w:p>
        </w:tc>
        <w:tc>
          <w:tcPr>
            <w:tcW w:w="1601" w:type="dxa"/>
          </w:tcPr>
          <w:p w14:paraId="20F1AD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№1660920</w:t>
            </w:r>
          </w:p>
        </w:tc>
      </w:tr>
      <w:tr w:rsidR="009B487A" w:rsidRPr="00722885" w14:paraId="4257A103" w14:textId="77777777" w:rsidTr="00CC5360">
        <w:tc>
          <w:tcPr>
            <w:tcW w:w="1601" w:type="dxa"/>
          </w:tcPr>
          <w:p w14:paraId="1EF2235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4A42A3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серийный</w:t>
            </w:r>
          </w:p>
        </w:tc>
        <w:tc>
          <w:tcPr>
            <w:tcW w:w="1601" w:type="dxa"/>
          </w:tcPr>
          <w:p w14:paraId="7984C99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76359D4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01DEE8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1947 г.</w:t>
            </w:r>
          </w:p>
        </w:tc>
        <w:tc>
          <w:tcPr>
            <w:tcW w:w="1601" w:type="dxa"/>
          </w:tcPr>
          <w:p w14:paraId="5F8017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1948 г.</w:t>
            </w:r>
          </w:p>
        </w:tc>
        <w:tc>
          <w:tcPr>
            <w:tcW w:w="1601" w:type="dxa"/>
          </w:tcPr>
          <w:p w14:paraId="50254F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1949 г.</w:t>
            </w:r>
          </w:p>
        </w:tc>
      </w:tr>
      <w:tr w:rsidR="009B487A" w:rsidRPr="00722885" w14:paraId="0CF21B01" w14:textId="77777777" w:rsidTr="00CC5360">
        <w:tc>
          <w:tcPr>
            <w:tcW w:w="1601" w:type="dxa"/>
          </w:tcPr>
          <w:p w14:paraId="36C8B5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Двигатель</w:t>
            </w:r>
          </w:p>
        </w:tc>
        <w:tc>
          <w:tcPr>
            <w:tcW w:w="1601" w:type="dxa"/>
          </w:tcPr>
          <w:p w14:paraId="4CE3E4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М-82</w:t>
            </w:r>
          </w:p>
        </w:tc>
        <w:tc>
          <w:tcPr>
            <w:tcW w:w="1601" w:type="dxa"/>
          </w:tcPr>
          <w:p w14:paraId="5DC478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М-82</w:t>
            </w:r>
          </w:p>
        </w:tc>
        <w:tc>
          <w:tcPr>
            <w:tcW w:w="1601" w:type="dxa"/>
          </w:tcPr>
          <w:p w14:paraId="555745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АШ-82ФН</w:t>
            </w:r>
          </w:p>
        </w:tc>
        <w:tc>
          <w:tcPr>
            <w:tcW w:w="1601" w:type="dxa"/>
          </w:tcPr>
          <w:p w14:paraId="101968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АШ-82ФН</w:t>
            </w:r>
          </w:p>
        </w:tc>
        <w:tc>
          <w:tcPr>
            <w:tcW w:w="1601" w:type="dxa"/>
          </w:tcPr>
          <w:p w14:paraId="39DA11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АШ-82ФН-212</w:t>
            </w:r>
          </w:p>
        </w:tc>
        <w:tc>
          <w:tcPr>
            <w:tcW w:w="1601" w:type="dxa"/>
          </w:tcPr>
          <w:p w14:paraId="7DF076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АШ-82ФН</w:t>
            </w:r>
          </w:p>
        </w:tc>
      </w:tr>
      <w:tr w:rsidR="009B487A" w:rsidRPr="00722885" w14:paraId="516E8280" w14:textId="77777777" w:rsidTr="00CC5360">
        <w:tc>
          <w:tcPr>
            <w:tcW w:w="1601" w:type="dxa"/>
          </w:tcPr>
          <w:p w14:paraId="3F029E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Взлетная мощность, л.с.</w:t>
            </w:r>
          </w:p>
        </w:tc>
        <w:tc>
          <w:tcPr>
            <w:tcW w:w="1601" w:type="dxa"/>
          </w:tcPr>
          <w:p w14:paraId="628D23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2x1700</w:t>
            </w:r>
          </w:p>
        </w:tc>
        <w:tc>
          <w:tcPr>
            <w:tcW w:w="1601" w:type="dxa"/>
          </w:tcPr>
          <w:p w14:paraId="5B9297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2x1700</w:t>
            </w:r>
          </w:p>
        </w:tc>
        <w:tc>
          <w:tcPr>
            <w:tcW w:w="1601" w:type="dxa"/>
          </w:tcPr>
          <w:p w14:paraId="21CCE4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2x1850</w:t>
            </w:r>
          </w:p>
        </w:tc>
        <w:tc>
          <w:tcPr>
            <w:tcW w:w="1601" w:type="dxa"/>
          </w:tcPr>
          <w:p w14:paraId="4C5C3D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2x1850</w:t>
            </w:r>
          </w:p>
        </w:tc>
        <w:tc>
          <w:tcPr>
            <w:tcW w:w="1601" w:type="dxa"/>
          </w:tcPr>
          <w:p w14:paraId="099E9C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2x1850</w:t>
            </w:r>
          </w:p>
        </w:tc>
        <w:tc>
          <w:tcPr>
            <w:tcW w:w="1601" w:type="dxa"/>
          </w:tcPr>
          <w:p w14:paraId="24F120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2x1850</w:t>
            </w:r>
          </w:p>
        </w:tc>
      </w:tr>
      <w:tr w:rsidR="009B487A" w:rsidRPr="00722885" w14:paraId="7ABEB29E" w14:textId="77777777" w:rsidTr="00CC5360">
        <w:tc>
          <w:tcPr>
            <w:tcW w:w="1601" w:type="dxa"/>
          </w:tcPr>
          <w:p w14:paraId="179147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w:t>
            </w:r>
          </w:p>
        </w:tc>
        <w:tc>
          <w:tcPr>
            <w:tcW w:w="1601" w:type="dxa"/>
          </w:tcPr>
          <w:p w14:paraId="3B62CD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18,52</w:t>
            </w:r>
          </w:p>
        </w:tc>
        <w:tc>
          <w:tcPr>
            <w:tcW w:w="1601" w:type="dxa"/>
          </w:tcPr>
          <w:p w14:paraId="585F57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18,52</w:t>
            </w:r>
          </w:p>
        </w:tc>
        <w:tc>
          <w:tcPr>
            <w:tcW w:w="1601" w:type="dxa"/>
          </w:tcPr>
          <w:p w14:paraId="5CA08C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18,52</w:t>
            </w:r>
          </w:p>
        </w:tc>
        <w:tc>
          <w:tcPr>
            <w:tcW w:w="1601" w:type="dxa"/>
          </w:tcPr>
          <w:p w14:paraId="163250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18,52</w:t>
            </w:r>
          </w:p>
        </w:tc>
        <w:tc>
          <w:tcPr>
            <w:tcW w:w="1601" w:type="dxa"/>
          </w:tcPr>
          <w:p w14:paraId="2340FD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18,52</w:t>
            </w:r>
          </w:p>
        </w:tc>
        <w:tc>
          <w:tcPr>
            <w:tcW w:w="1601" w:type="dxa"/>
          </w:tcPr>
          <w:p w14:paraId="0F4C3C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18,52</w:t>
            </w:r>
          </w:p>
        </w:tc>
      </w:tr>
      <w:tr w:rsidR="009B487A" w:rsidRPr="00722885" w14:paraId="2055C209" w14:textId="77777777" w:rsidTr="00CC5360">
        <w:tc>
          <w:tcPr>
            <w:tcW w:w="1601" w:type="dxa"/>
          </w:tcPr>
          <w:p w14:paraId="00D758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м</w:t>
            </w:r>
          </w:p>
        </w:tc>
        <w:tc>
          <w:tcPr>
            <w:tcW w:w="1601" w:type="dxa"/>
          </w:tcPr>
          <w:p w14:paraId="605F7F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w:t>
            </w:r>
          </w:p>
        </w:tc>
        <w:tc>
          <w:tcPr>
            <w:tcW w:w="1601" w:type="dxa"/>
          </w:tcPr>
          <w:p w14:paraId="4AB135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w:t>
            </w:r>
          </w:p>
        </w:tc>
        <w:tc>
          <w:tcPr>
            <w:tcW w:w="1601" w:type="dxa"/>
          </w:tcPr>
          <w:p w14:paraId="0B6938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w:t>
            </w:r>
          </w:p>
        </w:tc>
        <w:tc>
          <w:tcPr>
            <w:tcW w:w="1601" w:type="dxa"/>
          </w:tcPr>
          <w:p w14:paraId="5EACA0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w:t>
            </w:r>
          </w:p>
        </w:tc>
        <w:tc>
          <w:tcPr>
            <w:tcW w:w="1601" w:type="dxa"/>
          </w:tcPr>
          <w:p w14:paraId="1FA15E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w:t>
            </w:r>
          </w:p>
        </w:tc>
        <w:tc>
          <w:tcPr>
            <w:tcW w:w="1601" w:type="dxa"/>
          </w:tcPr>
          <w:p w14:paraId="0CB1E9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w:t>
            </w:r>
          </w:p>
        </w:tc>
      </w:tr>
      <w:tr w:rsidR="009B487A" w:rsidRPr="00722885" w14:paraId="1232775A" w14:textId="77777777" w:rsidTr="00CC5360">
        <w:tc>
          <w:tcPr>
            <w:tcW w:w="1601" w:type="dxa"/>
          </w:tcPr>
          <w:p w14:paraId="1501A4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м2</w:t>
            </w:r>
          </w:p>
        </w:tc>
        <w:tc>
          <w:tcPr>
            <w:tcW w:w="1601" w:type="dxa"/>
          </w:tcPr>
          <w:p w14:paraId="7B07AC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48,52</w:t>
            </w:r>
          </w:p>
        </w:tc>
        <w:tc>
          <w:tcPr>
            <w:tcW w:w="1601" w:type="dxa"/>
          </w:tcPr>
          <w:p w14:paraId="706254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48,8</w:t>
            </w:r>
          </w:p>
        </w:tc>
        <w:tc>
          <w:tcPr>
            <w:tcW w:w="1601" w:type="dxa"/>
          </w:tcPr>
          <w:p w14:paraId="075A85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48,8</w:t>
            </w:r>
          </w:p>
        </w:tc>
        <w:tc>
          <w:tcPr>
            <w:tcW w:w="1601" w:type="dxa"/>
          </w:tcPr>
          <w:p w14:paraId="36B880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48,8</w:t>
            </w:r>
          </w:p>
        </w:tc>
        <w:tc>
          <w:tcPr>
            <w:tcW w:w="1601" w:type="dxa"/>
          </w:tcPr>
          <w:p w14:paraId="5F383A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48,8</w:t>
            </w:r>
          </w:p>
        </w:tc>
        <w:tc>
          <w:tcPr>
            <w:tcW w:w="1601" w:type="dxa"/>
          </w:tcPr>
          <w:p w14:paraId="0B31D7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48,8</w:t>
            </w:r>
          </w:p>
        </w:tc>
      </w:tr>
      <w:tr w:rsidR="009B487A" w:rsidRPr="00722885" w14:paraId="23FE95DE" w14:textId="77777777" w:rsidTr="00CC5360">
        <w:tc>
          <w:tcPr>
            <w:tcW w:w="1601" w:type="dxa"/>
          </w:tcPr>
          <w:p w14:paraId="351971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взлетный, кг</w:t>
            </w:r>
          </w:p>
        </w:tc>
        <w:tc>
          <w:tcPr>
            <w:tcW w:w="1601" w:type="dxa"/>
          </w:tcPr>
          <w:p w14:paraId="2C173E5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12BE45A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2883C3A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61F6CF2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5475654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36BA4BE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C5FD8FF" w14:textId="77777777" w:rsidTr="00CC5360">
        <w:tc>
          <w:tcPr>
            <w:tcW w:w="1601" w:type="dxa"/>
          </w:tcPr>
          <w:p w14:paraId="78C81A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нормальный</w:t>
            </w:r>
          </w:p>
        </w:tc>
        <w:tc>
          <w:tcPr>
            <w:tcW w:w="1601" w:type="dxa"/>
          </w:tcPr>
          <w:p w14:paraId="2FBDAF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10500</w:t>
            </w:r>
          </w:p>
        </w:tc>
        <w:tc>
          <w:tcPr>
            <w:tcW w:w="1601" w:type="dxa"/>
          </w:tcPr>
          <w:p w14:paraId="1AF6D4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10538</w:t>
            </w:r>
          </w:p>
        </w:tc>
        <w:tc>
          <w:tcPr>
            <w:tcW w:w="1601" w:type="dxa"/>
          </w:tcPr>
          <w:p w14:paraId="0A43FD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10574</w:t>
            </w:r>
          </w:p>
        </w:tc>
        <w:tc>
          <w:tcPr>
            <w:tcW w:w="1601" w:type="dxa"/>
          </w:tcPr>
          <w:p w14:paraId="6D6DB6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11030</w:t>
            </w:r>
          </w:p>
        </w:tc>
        <w:tc>
          <w:tcPr>
            <w:tcW w:w="1601" w:type="dxa"/>
          </w:tcPr>
          <w:p w14:paraId="24FD9D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11400</w:t>
            </w:r>
          </w:p>
        </w:tc>
        <w:tc>
          <w:tcPr>
            <w:tcW w:w="1601" w:type="dxa"/>
          </w:tcPr>
          <w:p w14:paraId="309B2E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F2A7E10" w14:textId="77777777" w:rsidTr="00CC5360">
        <w:tc>
          <w:tcPr>
            <w:tcW w:w="1601" w:type="dxa"/>
          </w:tcPr>
          <w:p w14:paraId="14149D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перегрузочный</w:t>
            </w:r>
          </w:p>
        </w:tc>
        <w:tc>
          <w:tcPr>
            <w:tcW w:w="1601" w:type="dxa"/>
          </w:tcPr>
          <w:p w14:paraId="75D81E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11750</w:t>
            </w:r>
          </w:p>
        </w:tc>
        <w:tc>
          <w:tcPr>
            <w:tcW w:w="1601" w:type="dxa"/>
          </w:tcPr>
          <w:p w14:paraId="7F191C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11767</w:t>
            </w:r>
          </w:p>
        </w:tc>
        <w:tc>
          <w:tcPr>
            <w:tcW w:w="1601" w:type="dxa"/>
          </w:tcPr>
          <w:p w14:paraId="016F0D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11768</w:t>
            </w:r>
          </w:p>
        </w:tc>
        <w:tc>
          <w:tcPr>
            <w:tcW w:w="1601" w:type="dxa"/>
          </w:tcPr>
          <w:p w14:paraId="1C6A33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3140CC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1DE1EC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FDBEE53" w14:textId="77777777" w:rsidTr="00CC5360">
        <w:tc>
          <w:tcPr>
            <w:tcW w:w="1601" w:type="dxa"/>
          </w:tcPr>
          <w:p w14:paraId="1C3316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пустого, кг</w:t>
            </w:r>
          </w:p>
        </w:tc>
        <w:tc>
          <w:tcPr>
            <w:tcW w:w="1601" w:type="dxa"/>
          </w:tcPr>
          <w:p w14:paraId="6EE95C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7500</w:t>
            </w:r>
          </w:p>
        </w:tc>
        <w:tc>
          <w:tcPr>
            <w:tcW w:w="1601" w:type="dxa"/>
          </w:tcPr>
          <w:p w14:paraId="099A36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7601</w:t>
            </w:r>
          </w:p>
        </w:tc>
        <w:tc>
          <w:tcPr>
            <w:tcW w:w="1601" w:type="dxa"/>
          </w:tcPr>
          <w:p w14:paraId="7C2CD3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7474</w:t>
            </w:r>
          </w:p>
        </w:tc>
        <w:tc>
          <w:tcPr>
            <w:tcW w:w="1601" w:type="dxa"/>
          </w:tcPr>
          <w:p w14:paraId="5EC4AD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3A39CF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56D54C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2AABC29" w14:textId="77777777" w:rsidTr="00CC5360">
        <w:tc>
          <w:tcPr>
            <w:tcW w:w="1601" w:type="dxa"/>
          </w:tcPr>
          <w:p w14:paraId="4352B8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топлива, кг</w:t>
            </w:r>
          </w:p>
        </w:tc>
        <w:tc>
          <w:tcPr>
            <w:tcW w:w="1601" w:type="dxa"/>
          </w:tcPr>
          <w:p w14:paraId="577432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2136</w:t>
            </w:r>
          </w:p>
        </w:tc>
        <w:tc>
          <w:tcPr>
            <w:tcW w:w="1601" w:type="dxa"/>
          </w:tcPr>
          <w:p w14:paraId="1FB936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tc>
        <w:tc>
          <w:tcPr>
            <w:tcW w:w="1601" w:type="dxa"/>
          </w:tcPr>
          <w:p w14:paraId="1F6F26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1601" w:type="dxa"/>
          </w:tcPr>
          <w:p w14:paraId="062B98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51754F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1C82D8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BD7EC37" w14:textId="77777777" w:rsidTr="00CC5360">
        <w:tc>
          <w:tcPr>
            <w:tcW w:w="1601" w:type="dxa"/>
          </w:tcPr>
          <w:p w14:paraId="4B015D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макс., км/ч</w:t>
            </w:r>
          </w:p>
        </w:tc>
        <w:tc>
          <w:tcPr>
            <w:tcW w:w="1601" w:type="dxa"/>
          </w:tcPr>
          <w:p w14:paraId="0E7F9EB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50F9546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0827156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5E6C2C0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76E1600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3F2CFC4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61A8C54" w14:textId="77777777" w:rsidTr="00CC5360">
        <w:tc>
          <w:tcPr>
            <w:tcW w:w="1601" w:type="dxa"/>
          </w:tcPr>
          <w:p w14:paraId="658DD6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земли</w:t>
            </w:r>
          </w:p>
        </w:tc>
        <w:tc>
          <w:tcPr>
            <w:tcW w:w="1601" w:type="dxa"/>
          </w:tcPr>
          <w:p w14:paraId="0D688C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446</w:t>
            </w:r>
          </w:p>
        </w:tc>
        <w:tc>
          <w:tcPr>
            <w:tcW w:w="1601" w:type="dxa"/>
          </w:tcPr>
          <w:p w14:paraId="7EE060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444</w:t>
            </w:r>
          </w:p>
        </w:tc>
        <w:tc>
          <w:tcPr>
            <w:tcW w:w="1601" w:type="dxa"/>
          </w:tcPr>
          <w:p w14:paraId="00F365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482"</w:t>
            </w:r>
          </w:p>
        </w:tc>
        <w:tc>
          <w:tcPr>
            <w:tcW w:w="1601" w:type="dxa"/>
          </w:tcPr>
          <w:p w14:paraId="14952D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39F14C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78FE12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2C105E0" w14:textId="77777777" w:rsidTr="00CC5360">
        <w:tc>
          <w:tcPr>
            <w:tcW w:w="1601" w:type="dxa"/>
          </w:tcPr>
          <w:p w14:paraId="03865B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1-й гр. высотности</w:t>
            </w:r>
          </w:p>
        </w:tc>
        <w:tc>
          <w:tcPr>
            <w:tcW w:w="1601" w:type="dxa"/>
          </w:tcPr>
          <w:p w14:paraId="5481F5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518/27605'</w:t>
            </w:r>
          </w:p>
        </w:tc>
        <w:tc>
          <w:tcPr>
            <w:tcW w:w="1601" w:type="dxa"/>
          </w:tcPr>
          <w:p w14:paraId="18C0B8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521/3200</w:t>
            </w:r>
          </w:p>
        </w:tc>
        <w:tc>
          <w:tcPr>
            <w:tcW w:w="1601" w:type="dxa"/>
          </w:tcPr>
          <w:p w14:paraId="3475FB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530/2400</w:t>
            </w:r>
          </w:p>
        </w:tc>
        <w:tc>
          <w:tcPr>
            <w:tcW w:w="1601" w:type="dxa"/>
          </w:tcPr>
          <w:p w14:paraId="2D403E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14B3D5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521D8D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83FC34F" w14:textId="77777777" w:rsidTr="00CC5360">
        <w:tc>
          <w:tcPr>
            <w:tcW w:w="1601" w:type="dxa"/>
          </w:tcPr>
          <w:p w14:paraId="520B47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2-й гр. высотности</w:t>
            </w:r>
          </w:p>
        </w:tc>
        <w:tc>
          <w:tcPr>
            <w:tcW w:w="1601" w:type="dxa"/>
          </w:tcPr>
          <w:p w14:paraId="15C6C7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05F34E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514/6160</w:t>
            </w:r>
          </w:p>
        </w:tc>
        <w:tc>
          <w:tcPr>
            <w:tcW w:w="1601" w:type="dxa"/>
          </w:tcPr>
          <w:p w14:paraId="6214FF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547/5400</w:t>
            </w:r>
          </w:p>
        </w:tc>
        <w:tc>
          <w:tcPr>
            <w:tcW w:w="1601" w:type="dxa"/>
          </w:tcPr>
          <w:p w14:paraId="5A9A78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535/5700</w:t>
            </w:r>
          </w:p>
        </w:tc>
        <w:tc>
          <w:tcPr>
            <w:tcW w:w="1601" w:type="dxa"/>
          </w:tcPr>
          <w:p w14:paraId="7314D1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554/5550</w:t>
            </w:r>
          </w:p>
        </w:tc>
        <w:tc>
          <w:tcPr>
            <w:tcW w:w="1601" w:type="dxa"/>
          </w:tcPr>
          <w:p w14:paraId="00BDB1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560/5550</w:t>
            </w:r>
          </w:p>
        </w:tc>
      </w:tr>
      <w:tr w:rsidR="009B487A" w:rsidRPr="00722885" w14:paraId="608FFEEB" w14:textId="77777777" w:rsidTr="00CC5360">
        <w:tc>
          <w:tcPr>
            <w:tcW w:w="1601" w:type="dxa"/>
          </w:tcPr>
          <w:p w14:paraId="11345C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посадочная</w:t>
            </w:r>
          </w:p>
        </w:tc>
        <w:tc>
          <w:tcPr>
            <w:tcW w:w="1601" w:type="dxa"/>
          </w:tcPr>
          <w:p w14:paraId="20C041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w:t>
            </w:r>
          </w:p>
        </w:tc>
        <w:tc>
          <w:tcPr>
            <w:tcW w:w="1601" w:type="dxa"/>
          </w:tcPr>
          <w:p w14:paraId="0A9197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156</w:t>
            </w:r>
          </w:p>
        </w:tc>
        <w:tc>
          <w:tcPr>
            <w:tcW w:w="1601" w:type="dxa"/>
          </w:tcPr>
          <w:p w14:paraId="0E74CA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317A78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427A98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7428E9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A8E3013" w14:textId="77777777" w:rsidTr="00CC5360">
        <w:tc>
          <w:tcPr>
            <w:tcW w:w="1601" w:type="dxa"/>
          </w:tcPr>
          <w:p w14:paraId="0F3375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м</w:t>
            </w:r>
          </w:p>
        </w:tc>
        <w:tc>
          <w:tcPr>
            <w:tcW w:w="1601" w:type="dxa"/>
          </w:tcPr>
          <w:p w14:paraId="442350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9500</w:t>
            </w:r>
          </w:p>
        </w:tc>
        <w:tc>
          <w:tcPr>
            <w:tcW w:w="1601" w:type="dxa"/>
          </w:tcPr>
          <w:p w14:paraId="19D658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9000</w:t>
            </w:r>
          </w:p>
        </w:tc>
        <w:tc>
          <w:tcPr>
            <w:tcW w:w="1601" w:type="dxa"/>
          </w:tcPr>
          <w:p w14:paraId="4F0F70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9500</w:t>
            </w:r>
          </w:p>
        </w:tc>
        <w:tc>
          <w:tcPr>
            <w:tcW w:w="1601" w:type="dxa"/>
          </w:tcPr>
          <w:p w14:paraId="1E65BF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9200</w:t>
            </w:r>
          </w:p>
        </w:tc>
        <w:tc>
          <w:tcPr>
            <w:tcW w:w="1601" w:type="dxa"/>
          </w:tcPr>
          <w:p w14:paraId="406BE4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9100</w:t>
            </w:r>
          </w:p>
        </w:tc>
        <w:tc>
          <w:tcPr>
            <w:tcW w:w="1601" w:type="dxa"/>
          </w:tcPr>
          <w:p w14:paraId="062CAA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9000</w:t>
            </w:r>
          </w:p>
        </w:tc>
      </w:tr>
      <w:tr w:rsidR="009B487A" w:rsidRPr="00722885" w14:paraId="3D0960BC" w14:textId="77777777" w:rsidTr="00CC5360">
        <w:tc>
          <w:tcPr>
            <w:tcW w:w="1601" w:type="dxa"/>
          </w:tcPr>
          <w:p w14:paraId="3BD73C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мин.</w:t>
            </w:r>
          </w:p>
        </w:tc>
        <w:tc>
          <w:tcPr>
            <w:tcW w:w="1601" w:type="dxa"/>
          </w:tcPr>
          <w:p w14:paraId="4B39784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76C8444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7BF188F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7C1FD50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6C3C460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5F578EA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3EB0831" w14:textId="77777777" w:rsidTr="00CC5360">
        <w:tc>
          <w:tcPr>
            <w:tcW w:w="1601" w:type="dxa"/>
          </w:tcPr>
          <w:p w14:paraId="2BD0D6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 м</w:t>
            </w:r>
          </w:p>
        </w:tc>
        <w:tc>
          <w:tcPr>
            <w:tcW w:w="1601" w:type="dxa"/>
          </w:tcPr>
          <w:p w14:paraId="05C699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1601" w:type="dxa"/>
          </w:tcPr>
          <w:p w14:paraId="2EEE75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w:t>
            </w:r>
          </w:p>
        </w:tc>
        <w:tc>
          <w:tcPr>
            <w:tcW w:w="1601" w:type="dxa"/>
          </w:tcPr>
          <w:p w14:paraId="0D3138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w:t>
            </w:r>
          </w:p>
        </w:tc>
        <w:tc>
          <w:tcPr>
            <w:tcW w:w="1601" w:type="dxa"/>
          </w:tcPr>
          <w:p w14:paraId="344A20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11,2</w:t>
            </w:r>
          </w:p>
        </w:tc>
        <w:tc>
          <w:tcPr>
            <w:tcW w:w="1601" w:type="dxa"/>
          </w:tcPr>
          <w:p w14:paraId="1ADC9D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10,3</w:t>
            </w:r>
          </w:p>
        </w:tc>
        <w:tc>
          <w:tcPr>
            <w:tcW w:w="1601" w:type="dxa"/>
          </w:tcPr>
          <w:p w14:paraId="1C9D91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10,3</w:t>
            </w:r>
          </w:p>
        </w:tc>
      </w:tr>
      <w:tr w:rsidR="009B487A" w:rsidRPr="00722885" w14:paraId="3D852969" w14:textId="77777777" w:rsidTr="00CC5360">
        <w:tc>
          <w:tcPr>
            <w:tcW w:w="1601" w:type="dxa"/>
          </w:tcPr>
          <w:p w14:paraId="4AA638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практического потолка</w:t>
            </w:r>
          </w:p>
        </w:tc>
        <w:tc>
          <w:tcPr>
            <w:tcW w:w="1601" w:type="dxa"/>
          </w:tcPr>
          <w:p w14:paraId="65CA25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1707EF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1601" w:type="dxa"/>
          </w:tcPr>
          <w:p w14:paraId="268BFE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63B84F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30CF06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113BC8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74AC8B0" w14:textId="77777777" w:rsidTr="00CC5360">
        <w:tc>
          <w:tcPr>
            <w:tcW w:w="1601" w:type="dxa"/>
          </w:tcPr>
          <w:p w14:paraId="389267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макс., км</w:t>
            </w:r>
          </w:p>
        </w:tc>
        <w:tc>
          <w:tcPr>
            <w:tcW w:w="1601" w:type="dxa"/>
          </w:tcPr>
          <w:p w14:paraId="63A7E8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2270"</w:t>
            </w:r>
          </w:p>
        </w:tc>
        <w:tc>
          <w:tcPr>
            <w:tcW w:w="1601" w:type="dxa"/>
          </w:tcPr>
          <w:p w14:paraId="3B83AE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20 202)</w:t>
            </w:r>
          </w:p>
        </w:tc>
        <w:tc>
          <w:tcPr>
            <w:tcW w:w="1601" w:type="dxa"/>
          </w:tcPr>
          <w:p w14:paraId="45CE9E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2180</w:t>
            </w:r>
          </w:p>
        </w:tc>
        <w:tc>
          <w:tcPr>
            <w:tcW w:w="1601" w:type="dxa"/>
          </w:tcPr>
          <w:p w14:paraId="22AF93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2620</w:t>
            </w:r>
          </w:p>
        </w:tc>
        <w:tc>
          <w:tcPr>
            <w:tcW w:w="1601" w:type="dxa"/>
          </w:tcPr>
          <w:p w14:paraId="44B43B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601" w:type="dxa"/>
          </w:tcPr>
          <w:p w14:paraId="514E63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2050</w:t>
            </w:r>
          </w:p>
        </w:tc>
      </w:tr>
      <w:tr w:rsidR="009B487A" w:rsidRPr="00722885" w14:paraId="22051C58" w14:textId="77777777" w:rsidTr="00CC5360">
        <w:tc>
          <w:tcPr>
            <w:tcW w:w="1601" w:type="dxa"/>
          </w:tcPr>
          <w:p w14:paraId="1B01D6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Разбег/пробег, м</w:t>
            </w:r>
          </w:p>
        </w:tc>
        <w:tc>
          <w:tcPr>
            <w:tcW w:w="1601" w:type="dxa"/>
          </w:tcPr>
          <w:p w14:paraId="308D54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525/710</w:t>
            </w:r>
          </w:p>
        </w:tc>
        <w:tc>
          <w:tcPr>
            <w:tcW w:w="1601" w:type="dxa"/>
          </w:tcPr>
          <w:p w14:paraId="38EF47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450-530/545</w:t>
            </w:r>
          </w:p>
        </w:tc>
        <w:tc>
          <w:tcPr>
            <w:tcW w:w="1601" w:type="dxa"/>
          </w:tcPr>
          <w:p w14:paraId="4E9BCD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415/-</w:t>
            </w:r>
          </w:p>
        </w:tc>
        <w:tc>
          <w:tcPr>
            <w:tcW w:w="1601" w:type="dxa"/>
          </w:tcPr>
          <w:p w14:paraId="4A35AA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07D8A7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1D996D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3E2CCB0" w14:textId="77777777" w:rsidTr="00CC5360">
        <w:tc>
          <w:tcPr>
            <w:tcW w:w="1601" w:type="dxa"/>
            <w:tcBorders>
              <w:bottom w:val="single" w:sz="12" w:space="0" w:color="auto"/>
            </w:tcBorders>
          </w:tcPr>
          <w:p w14:paraId="391D1F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чел</w:t>
            </w:r>
          </w:p>
        </w:tc>
        <w:tc>
          <w:tcPr>
            <w:tcW w:w="1601" w:type="dxa"/>
            <w:tcBorders>
              <w:bottom w:val="single" w:sz="12" w:space="0" w:color="auto"/>
            </w:tcBorders>
          </w:tcPr>
          <w:p w14:paraId="2D3F1F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601" w:type="dxa"/>
            <w:tcBorders>
              <w:bottom w:val="single" w:sz="12" w:space="0" w:color="auto"/>
            </w:tcBorders>
          </w:tcPr>
          <w:p w14:paraId="69974A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601" w:type="dxa"/>
            <w:tcBorders>
              <w:bottom w:val="single" w:sz="12" w:space="0" w:color="auto"/>
            </w:tcBorders>
          </w:tcPr>
          <w:p w14:paraId="6C1313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601" w:type="dxa"/>
            <w:tcBorders>
              <w:bottom w:val="single" w:sz="12" w:space="0" w:color="auto"/>
            </w:tcBorders>
          </w:tcPr>
          <w:p w14:paraId="32D49C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601" w:type="dxa"/>
            <w:tcBorders>
              <w:bottom w:val="single" w:sz="12" w:space="0" w:color="auto"/>
            </w:tcBorders>
          </w:tcPr>
          <w:p w14:paraId="219398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601" w:type="dxa"/>
            <w:tcBorders>
              <w:bottom w:val="single" w:sz="12" w:space="0" w:color="auto"/>
            </w:tcBorders>
          </w:tcPr>
          <w:p w14:paraId="36610A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r>
    </w:tbl>
    <w:p w14:paraId="6ED346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 скорости 455 км/ч и высоте 4200 м, I472 км на скорости 465 км/ч и высоте 750 м.</w:t>
      </w:r>
    </w:p>
    <w:p w14:paraId="3A527E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 скорости 365 км/ч и высоте 1000 м, 1980 км на скорости 403 км/ч и высоте 3000 м.</w:t>
      </w:r>
    </w:p>
    <w:p w14:paraId="09D380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 четырехлопастными винтами АВ-9вф-21к.</w:t>
      </w:r>
    </w:p>
    <w:p w14:paraId="1206E8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На номинальном режиме.</w:t>
      </w:r>
    </w:p>
    <w:p w14:paraId="2DFF66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5. При открытом фонаре стрелка-радиста (12035).</w:t>
      </w:r>
    </w:p>
    <w:p w14:paraId="3A10D00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20A91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года ГКО принял постановление "Об увеличении выпуска истребителей", где говорилось и о производстве Як-9. В частности, директору Омского авиационного завода № 166 Соколову предписывалось прекратить постройку бомбардировщиков Ту-2 и перейти на изготовление Як-9, при этом завод должен был сдать заказчику в декабре 10 самолетов, в январе 1943 года - 25, а в феврале и марте 50 и 75 машин соответственно. Начиная с апреля, каждый день сборочный цех предприятия должны были покидать не менее шести "яков".</w:t>
      </w:r>
    </w:p>
    <w:p w14:paraId="5A7576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этому документу, завод № 381 (директор Журавлев) прекращал выпуск штурмовиков Ил-2 и переходил на производство Як-9. До апреля ему запланировали изготовление истребителей в количестве, предписанном Омскому авиазаводу, а затем темп их выпуска планировался по пять машин в день.</w:t>
      </w:r>
    </w:p>
    <w:p w14:paraId="6760BC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в Омске с января 1943 года построили 294 самолета (шесть серий) Як-9 с мотором М-105ПФ (12046).</w:t>
      </w:r>
    </w:p>
    <w:p w14:paraId="053E192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A5814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вышло Постановление ГКО № 2381 О мероприятиях по заводу № 214 Наркомавиапрома. РГАНИР, Фонд ГКО, д. 61, лл. 135, 136 (11012).</w:t>
      </w:r>
    </w:p>
    <w:p w14:paraId="6005647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EB7F0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A75BF15" w14:textId="77777777" w:rsidR="00090C9B" w:rsidRPr="00722885" w:rsidRDefault="00090C9B" w:rsidP="00722885">
      <w:pPr>
        <w:pStyle w:val="Iauiue"/>
        <w:jc w:val="both"/>
        <w:rPr>
          <w:iCs/>
          <w:color w:val="000000" w:themeColor="text1"/>
          <w:sz w:val="16"/>
          <w:szCs w:val="16"/>
        </w:rPr>
      </w:pPr>
    </w:p>
    <w:p w14:paraId="42306CA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7 октября 1942 вышло Постановление ГКО № 2375 Об общем плане погрузки народнохозяйственных и воинских грузов на октябрь 1942 г. (7057, 64 ).</w:t>
      </w:r>
    </w:p>
    <w:p w14:paraId="56C555AD" w14:textId="77777777" w:rsidR="00090C9B" w:rsidRPr="00722885" w:rsidRDefault="00090C9B" w:rsidP="00722885">
      <w:pPr>
        <w:pStyle w:val="Iauiue"/>
        <w:tabs>
          <w:tab w:val="left" w:pos="11199"/>
        </w:tabs>
        <w:jc w:val="both"/>
        <w:rPr>
          <w:color w:val="000000" w:themeColor="text1"/>
          <w:sz w:val="16"/>
          <w:szCs w:val="16"/>
        </w:rPr>
      </w:pPr>
    </w:p>
    <w:p w14:paraId="6B74B6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вышло Постановление ГКО № 2379 О материально-техническом обеспечении подшипниковых заводов в IV квартале 1942 г. РГАНИР, Фонд ГКО, д. 61, лл. 98-101, 102-107 (11012).</w:t>
      </w:r>
    </w:p>
    <w:p w14:paraId="777F838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1E564D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7 октября 1942 вышло Постановление ГКО № 2380 О поставке средств и имущества связи для HКО, HКВМФ, HКВД СССР, ГУГВФ, HКПС и Hаркомсвязи в IV кв. 1942 г. (7057, 108-110,111-134 ).</w:t>
      </w:r>
    </w:p>
    <w:p w14:paraId="085AC974" w14:textId="77777777" w:rsidR="00090C9B" w:rsidRPr="00722885" w:rsidRDefault="00090C9B" w:rsidP="00722885">
      <w:pPr>
        <w:pStyle w:val="Iauiue"/>
        <w:tabs>
          <w:tab w:val="left" w:pos="11199"/>
        </w:tabs>
        <w:jc w:val="both"/>
        <w:rPr>
          <w:color w:val="000000" w:themeColor="text1"/>
          <w:sz w:val="16"/>
          <w:szCs w:val="16"/>
        </w:rPr>
      </w:pPr>
    </w:p>
    <w:p w14:paraId="1DEF1AE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7 октября 1942 вышло Постановление ГКО № 2385 О производстве и поставке Наркомобороны, Наркомвоенморфлоту и войскам НКВД СССР средств инженерного вооружения в IV кв. 1942 г. (7057, 143-146,147-184 ).</w:t>
      </w:r>
    </w:p>
    <w:p w14:paraId="78E8708D" w14:textId="77777777" w:rsidR="00090C9B" w:rsidRPr="00722885" w:rsidRDefault="00090C9B" w:rsidP="00722885">
      <w:pPr>
        <w:pStyle w:val="Iauiue"/>
        <w:tabs>
          <w:tab w:val="left" w:pos="11199"/>
        </w:tabs>
        <w:jc w:val="both"/>
        <w:rPr>
          <w:color w:val="000000" w:themeColor="text1"/>
          <w:sz w:val="16"/>
          <w:szCs w:val="16"/>
        </w:rPr>
      </w:pPr>
    </w:p>
    <w:p w14:paraId="0832C0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вышло Постановление ГКО № 2386 О плане достройки и ремонта кораблей Краснознаменного Балтийского флота в IV квартале 1942 г. РГАНИР, Фонд ГКО, д. 61, лл. 185-186, 187-189 (11012).</w:t>
      </w:r>
    </w:p>
    <w:p w14:paraId="1E0F719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184D90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08716CB" w14:textId="77777777" w:rsidR="00090C9B" w:rsidRPr="00722885" w:rsidRDefault="00090C9B" w:rsidP="00722885">
      <w:pPr>
        <w:pStyle w:val="Iauiue"/>
        <w:jc w:val="both"/>
        <w:rPr>
          <w:iCs/>
          <w:color w:val="000000" w:themeColor="text1"/>
          <w:sz w:val="16"/>
          <w:szCs w:val="16"/>
        </w:rPr>
      </w:pPr>
    </w:p>
    <w:p w14:paraId="09825280"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УТРЕННЕЕ СООБЩЕНИЕ Совинформбюро:</w:t>
      </w:r>
    </w:p>
    <w:p w14:paraId="67A3A993"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течение ночи на 7 октября наши войска вели бои с противником в районе Сталинграда и в районе Моздока. На других фронтах никаких изменений не произошло. </w:t>
      </w:r>
    </w:p>
    <w:p w14:paraId="0CAD6BA2"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Сталинграда продолжались ожесточённые бои. Противник подтягивает новые силы и с ходу бросает их в бой. Батальон немецкой пехоты при поддержке 11 танков шесть раз атаковал позиции, обороняемые H-ской частью. Все атаки противника отбиты. Нашими бойцами уничтожено 5 танков и до роты гитлеровцев. На другом участке огнём нашей артиллерии подбито 3 немецких танка, уничтожены две миномётные батареи и до батальона вражеской пехоты. </w:t>
      </w:r>
    </w:p>
    <w:p w14:paraId="7406E9A9"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Северо-западнее Сталинграда на одном участке наши части вели активные боевые действия и улучшили свои позиции. На других участках наши войска отбивали контратаки пехоты противника. Высоту, обороняемую бойцами одной нашей части, гитлеровцы атаковали десять раз. В этом бою противник потерял только убитыми свыше 800 солдат и офицеров, 27 пулемётов и 4 миномёта. Огнём из пехотного оружия сбито 3 немецких самолёта. Наши бойцы захватили 2 орудия, автоматы, винтовки и боеприпасы. </w:t>
      </w:r>
    </w:p>
    <w:p w14:paraId="483EE0FF"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Моздока наши части отбивали атаки танков и пехоты противника. Бронебойщик т. Суворов подбил 2 немецких танка, лейтенант Рылко из противотанкового ружья уничтожил 3 танка противника. Всего в течение суток бойцами Н-ской части подбито и сожжено 7 немецких танков и уничтожено до роты гитлеровцев. </w:t>
      </w:r>
    </w:p>
    <w:p w14:paraId="2F4A5FFE"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Юго-восточнее Новороссийска противник ввёл в бой только что прибывшую на фронт пехотную дивизию и дважды атаковал одну высоту. Все атаки гитлеровцев отбиты нашими войсками. В сражении на подступах к этой высоте, имеющей большое тактическое значение, противник потерял до 400 солдат и офицеров. Нашими бойцами захвачены 5 миномётов, 11 пулемётов и боеприпасы. Взяты пленные. </w:t>
      </w:r>
    </w:p>
    <w:p w14:paraId="53516671"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немецкого фельдфебеля Георга Шустера найдено неотправленное письмо к жене в Дюссельдорф. В нём говорится: «Только после кровопролитных боёв нам удаётся немного продвинуться вперёд. Теперь каждый метр земли у русских приходится завоёвывать ценой колоссальных жертв. Ожесточённость происходящих сражений невозможно описать. Солдаты, которые воюют в России с прошлого года, говорят, что таких трудностей, как теперь, еще никогда не было. Русские часто навязывают нам рукопашные схватки. Вчера наша рота потеряла 46 человек... Наши нервы больше не выдерживают. Этому не приходится удивляться. Каждый день потери и потери...».</w:t>
      </w:r>
    </w:p>
    <w:p w14:paraId="74D3EEB7"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Ниже публикуется письмо немецкому солдату Гейнцу от Иоганны Рохе из Вейссенфельса: «У нас сейчас работает много русских мужчин, женщин и детей. Они страшно ненавидят нас и при каждом удобном случае бегут. Две недели тому назад господин Куштбах поймал двух русских в Винбергере. Около Фрейбурга один лесник пытался задержать несколько русских, сбежавших из лагеря, но они оказали сопротивление. На этой неделе наш вахмистр поймал в деревне двух русских девушек, которые бежали из поместья. Их высекли резиновыми дубинками». </w:t>
      </w:r>
    </w:p>
    <w:p w14:paraId="0179D161"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Хиртенберге (Австрия) на заводе боеприпасов немецкие приёмщики забраковали большую партию артиллерийских снарядов. В связи с этим полиция арестовала группу рабочих. Несмотря на угрозу расстрела, никто из рабочих не выдал полиции лиц, испортивших снаряды. На другом австрийском военном заводе неизвестные привели в негодность большое количество пороха (14792).</w:t>
      </w:r>
    </w:p>
    <w:p w14:paraId="3962231F" w14:textId="77777777" w:rsidR="00AE6980" w:rsidRPr="00722885" w:rsidRDefault="00AE6980" w:rsidP="00722885">
      <w:pPr>
        <w:spacing w:after="0" w:line="240" w:lineRule="auto"/>
        <w:jc w:val="both"/>
        <w:rPr>
          <w:rFonts w:ascii="Times New Roman" w:hAnsi="Times New Roman"/>
          <w:color w:val="000000" w:themeColor="text1"/>
          <w:sz w:val="16"/>
          <w:szCs w:val="16"/>
        </w:rPr>
      </w:pPr>
    </w:p>
    <w:p w14:paraId="04EA2E8A"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ВЕЧЕРНЕЕ СООБЩЕНИЕ Совинформбюро:</w:t>
      </w:r>
    </w:p>
    <w:p w14:paraId="27080DA5"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течение 7 октября наши войска вели бои с противником в районе Сталинграда и в районе Моздока. На других фронтах существенных изменений не произошло. </w:t>
      </w:r>
    </w:p>
    <w:p w14:paraId="7B003E8A"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 6 октября нашей авиацией на различных участках фронта уничтожено 5 немецких танков, до 60 автомашин с войсками и грузами, 4 автоцистерны с горючим, взорван склад боеприпасов, подавлен огонь 17 артиллерийских батарей, разбито 2 железнодорожных состава, рассеяно и частью уничтожено до роты пехоты противника. </w:t>
      </w:r>
    </w:p>
    <w:p w14:paraId="536C3EE6"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Сталинграда продолжались ожесточённые бои. Все атаки танков и пехоты противника отбиты с большими для него потерями. Наши части удерживают прежние позиции. В течение дня истреблено до 800 гитлеровцев, уничтожено 19 немецких танков, 18 автомашин, 5 орудий и 6 миномётных батарей. </w:t>
      </w:r>
    </w:p>
    <w:p w14:paraId="7AB5E6AD"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Северо-западнее Сталинграда на отдельных участках наши войска вели бои с целью улучшения своих позиций. Бойцы под командованием лейтенанта Ординова отбили атаку противника. Подпустив гитлеровцев на близкое расстояние, наши бойцы ружейно-пулемётным огнём истребили более 150 немецких солдат и офицеров. На другом участке наши части отбили четыре атаки танков и автоматчиков противника. В этом бою уничтожено 2 немецких танка, бронемашина и до 100 гитлеровцев. Нашими бойцами захвачено 2 противотанковых орудия, 10 пулемётов, 5 миномётов, радиостанция и другое военное имущество. </w:t>
      </w:r>
    </w:p>
    <w:p w14:paraId="2F5F74FB"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Моздока наши части вели упорные бои с танками и мотопехотой противника. На одном участке 12 немецким танкам удалось проникнуть в тыл подразделения лейтенанта Германа. Бойцы подразделения огнём из противотанковых ружей подбили и сожгли 11 немецких танков и истребили до роты гитлеровцев. На другом участке наши части после ожесточённых боёв отошли на новый рубеж обороны. </w:t>
      </w:r>
    </w:p>
    <w:p w14:paraId="7C179E04"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Юго-восточнее Новороссийска противник ввёл в действие прибывшую на фронт румынскую пехотную дивизию. За два дня боевых действий наши части нанесли этой дивизии значительный урон. Два батальона румын окружены и уничтожены. Нашими бойцами захвачено 3 орудия, 8 пулемётов, много винтовок, мин, гранат и патронов. </w:t>
      </w:r>
    </w:p>
    <w:p w14:paraId="311601AE"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одном из участков Северо-Западного фронта наши части отбивали атаки противника, наступавшего силой до двух полков при поддержке танков и авиации. В течение дня отбито четыре атаки гитлеровцев. B этих боях уничтожено до 800 солдат и офицеров противника и подбито 8 немецких танков. </w:t>
      </w:r>
    </w:p>
    <w:p w14:paraId="344B3E5D"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Защитники Сталинграда своей героической борьбой обескровливают немецкие дивизии. Пленные солдаты 79 мотострелкового полка 16 немецкой танковой дивизии Герберт Фишер и Георг Фихтер рассказали: «79 полк понёс тяжёлые потери. 3 рота расформирована. B связи с большими потерями командование бросило в бой караульный взвод штаба дивизии, команду охраны штаба тыла и взвод полевой жандармерии». </w:t>
      </w:r>
    </w:p>
    <w:p w14:paraId="45A43A92"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Нашими войсками разгромлена 76 немецкая пехотная дивизия. Пленный солдат этой дивизии заявил: «В 203 полку осталось не более 80 человек». Пленный солдат 230 полка показал, что в 7 роте его полка осталось 12 человек, а в 5 роте всего лишь 5 солдат. </w:t>
      </w:r>
    </w:p>
    <w:p w14:paraId="4867C323"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Пленные солдаты 16 немецкой танковой дивизии Ганс Графе, Лоренц Гейфнер, Гельмут Лиш и другие сообщили следующее: «Нам перед строем зачитали приказ, в котором говорилось, что когда русские танки перешли в наступление, 7 рота 64 мотострелкового полка нашей дивизии отказалась удерживать позиции и без приказа командования отошла. В приказе объявлено, что большая группа отступивших солдат расстреляна, а другие приговорены к тюремному заключению». </w:t>
      </w:r>
    </w:p>
    <w:p w14:paraId="4FB5F639"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Вырвавшийся из белофинского плена красноармеец Терентьев Сергей Павлович рассказал о невыносимых страданиях советских военнопленных, томящихся в лагере близ города Питкяранта. "В этом лагере, — сообщил Терентьев, — содержатся раненые красноармейцы. Им не оказывают никакой медицинской помощи. Всех заключённых принуждают работать по 14—16 часов в сутки. Пленных впрягали в плуги и заставляли пахать землю. В сутки нам выдавали по кружке мучной похлёбки. Финские палачи придумали для нас ужасную пытку. Они опоясывали пленного колючей проволокой и волочили по земле. Ежедневно из лагеря вывозят трупы замученных советских бойцов» (14792).</w:t>
      </w:r>
    </w:p>
    <w:p w14:paraId="12B3C0C0" w14:textId="77777777" w:rsidR="00AE6980" w:rsidRPr="00722885" w:rsidRDefault="00AE6980" w:rsidP="00722885">
      <w:pPr>
        <w:spacing w:after="0" w:line="240" w:lineRule="auto"/>
        <w:jc w:val="both"/>
        <w:rPr>
          <w:rFonts w:ascii="Times New Roman" w:hAnsi="Times New Roman"/>
          <w:color w:val="000000" w:themeColor="text1"/>
          <w:sz w:val="16"/>
          <w:szCs w:val="16"/>
        </w:rPr>
      </w:pPr>
    </w:p>
    <w:p w14:paraId="14F649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7-8 октября 1942 летчики сорвали наступление крупной танковой колонны в районе Гулрак-Каменный Буерак на Сталинградском фронте (271,210).</w:t>
      </w:r>
    </w:p>
    <w:p w14:paraId="4773BB6B" w14:textId="77777777" w:rsidR="00090C9B" w:rsidRPr="00722885" w:rsidRDefault="00090C9B" w:rsidP="00722885">
      <w:pPr>
        <w:pStyle w:val="Iauiue"/>
        <w:jc w:val="both"/>
        <w:rPr>
          <w:color w:val="000000" w:themeColor="text1"/>
          <w:sz w:val="16"/>
          <w:szCs w:val="16"/>
        </w:rPr>
      </w:pPr>
    </w:p>
    <w:p w14:paraId="3DE9E3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вышло Постановление ГКО № 2376 О планах снабжения горюче-смазочными материалами и углем Красной Армии и Военно-Морского Флота на октябрь 1942 г. РГАНИР, Фонд ГКО, д. 61, лл. 65, 66-88 (11012).</w:t>
      </w:r>
    </w:p>
    <w:p w14:paraId="50C8462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E379A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вышло Постановление ГКО № 2377 Об отпуске продовольственных, госпитальных и фуражных пайков для Красной Армии, Военно-Морского Флота и войск НКВД СССР в октябре месяце 1942 г. РГАНИР, Фонд ГКО, д. 61, лл. 89-90, 92-94 (11012).</w:t>
      </w:r>
    </w:p>
    <w:p w14:paraId="263CC43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44020B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7 октября 1942 вышло Постановление ГКО № 2384 О переводе на казарменное положение бойцов истребительных батальонов на Кавказе. (7057, 141-142).</w:t>
      </w:r>
    </w:p>
    <w:p w14:paraId="2B34B353" w14:textId="77777777" w:rsidR="00090C9B" w:rsidRPr="00722885" w:rsidRDefault="00090C9B" w:rsidP="00722885">
      <w:pPr>
        <w:pStyle w:val="Iauiue"/>
        <w:tabs>
          <w:tab w:val="left" w:pos="11199"/>
        </w:tabs>
        <w:jc w:val="both"/>
        <w:rPr>
          <w:color w:val="000000" w:themeColor="text1"/>
          <w:sz w:val="16"/>
          <w:szCs w:val="16"/>
        </w:rPr>
      </w:pPr>
    </w:p>
    <w:p w14:paraId="1FD047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октября 1942 первая партия из 12 А-20 Бостон во главе с П.Недошкиным покинуло Фэрнбэнкс и 11 ноября 1942 прибыли в Красноярск (2578).</w:t>
      </w:r>
    </w:p>
    <w:p w14:paraId="1458A21D" w14:textId="77777777" w:rsidR="00090C9B" w:rsidRPr="00722885" w:rsidRDefault="00090C9B" w:rsidP="00722885">
      <w:pPr>
        <w:pStyle w:val="Iauiue"/>
        <w:jc w:val="both"/>
        <w:rPr>
          <w:color w:val="000000" w:themeColor="text1"/>
          <w:sz w:val="16"/>
          <w:szCs w:val="16"/>
        </w:rPr>
      </w:pPr>
    </w:p>
    <w:p w14:paraId="274FF5F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419C1737" w14:textId="77777777" w:rsidR="00090C9B" w:rsidRPr="00722885" w:rsidRDefault="00090C9B" w:rsidP="00722885">
      <w:pPr>
        <w:pStyle w:val="Iauiue"/>
        <w:jc w:val="both"/>
        <w:rPr>
          <w:iCs/>
          <w:color w:val="000000" w:themeColor="text1"/>
          <w:sz w:val="16"/>
          <w:szCs w:val="16"/>
        </w:rPr>
      </w:pPr>
    </w:p>
    <w:p w14:paraId="1C3376F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7 октября 1942 вышло Постановление ГКО № 2382 О [налоговых] льготах для ряда районов Дагестанской АССР. (7057, 137 ).</w:t>
      </w:r>
    </w:p>
    <w:p w14:paraId="7D66CCD8" w14:textId="77777777" w:rsidR="00090C9B" w:rsidRPr="00722885" w:rsidRDefault="00090C9B" w:rsidP="00722885">
      <w:pPr>
        <w:pStyle w:val="Iauiue"/>
        <w:tabs>
          <w:tab w:val="left" w:pos="11199"/>
        </w:tabs>
        <w:jc w:val="both"/>
        <w:rPr>
          <w:color w:val="000000" w:themeColor="text1"/>
          <w:sz w:val="16"/>
          <w:szCs w:val="16"/>
        </w:rPr>
      </w:pPr>
    </w:p>
    <w:p w14:paraId="6BCD7D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вышло Постановление ГКО № 2383 О дополнительной мобилизации немцев для народного хозяйства СССР. РГАНИР, Фонд ГКО, д. 61, лл. 138-140 (11012).</w:t>
      </w:r>
    </w:p>
    <w:p w14:paraId="455DC4D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955CF8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2C06B925" w14:textId="77777777" w:rsidR="00090C9B" w:rsidRPr="00722885" w:rsidRDefault="00090C9B" w:rsidP="00722885">
      <w:pPr>
        <w:pStyle w:val="Iauiue"/>
        <w:jc w:val="both"/>
        <w:rPr>
          <w:iCs/>
          <w:color w:val="000000" w:themeColor="text1"/>
          <w:sz w:val="16"/>
          <w:szCs w:val="16"/>
        </w:rPr>
      </w:pPr>
    </w:p>
    <w:p w14:paraId="18F991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письме от 7 октября 1942 И.В.С. писал Ф.Рузвельту "Следует иметь в виду, что самолеты "Киттихаук" не выдерживают борьбы с нынешними немецкими истребителями" (173,246).</w:t>
      </w:r>
    </w:p>
    <w:p w14:paraId="3941DD9B" w14:textId="77777777" w:rsidR="00090C9B" w:rsidRPr="00722885" w:rsidRDefault="00090C9B" w:rsidP="00722885">
      <w:pPr>
        <w:pStyle w:val="Iauiue"/>
        <w:jc w:val="both"/>
        <w:rPr>
          <w:color w:val="000000" w:themeColor="text1"/>
          <w:sz w:val="16"/>
          <w:szCs w:val="16"/>
        </w:rPr>
      </w:pPr>
    </w:p>
    <w:p w14:paraId="2EDF60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октября 1942 И.В.С. обратился с личной просьбой к Ф.Д.Р. о поставке в СССР наряду с военными товарами в течение 12 мес. 2 млн. т зерна, жиры, концентраты, мясные консервы. В связи с недостатком транспортных средств И.В.С. был готов отказаться от поставок вооружения (3428).</w:t>
      </w:r>
    </w:p>
    <w:p w14:paraId="4A8F4645" w14:textId="77777777" w:rsidR="00090C9B" w:rsidRPr="00722885" w:rsidRDefault="00090C9B" w:rsidP="00722885">
      <w:pPr>
        <w:pStyle w:val="Iauiue"/>
        <w:jc w:val="both"/>
        <w:rPr>
          <w:color w:val="000000" w:themeColor="text1"/>
          <w:sz w:val="16"/>
          <w:szCs w:val="16"/>
        </w:rPr>
      </w:pPr>
    </w:p>
    <w:p w14:paraId="758798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октября 1942 года</w:t>
      </w:r>
    </w:p>
    <w:p w14:paraId="6DF0C7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 ПРЕМЬЕРА СТАЛИНА ПРЕЗИДЕНТУ господину РУЗВЕЛЬТУ</w:t>
      </w:r>
    </w:p>
    <w:p w14:paraId="491206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Пользуясь возможностью послать Вам личное послание благодаря любезному содействию г. Стэндли, уезжающего в Вашингтон, я хотел бы высказать некоторые соображения о военных поставках из США в СССР.</w:t>
      </w:r>
    </w:p>
    <w:p w14:paraId="538DA4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Как сообщают, затруднения в поставках создаются прежде всего из-за недостатка в тоннаже. Чтобы облегчить дело с тоннажем, Советское Правительство было бы готово пойти на некоторое уменьшение поставок американских предметов вооружения Советскому Союзу. Мы готовы временно полностью отказаться от поставки танков, артиллерии, боеприпасов, пистолетов и т. п. Но вместе с тем мы крайне нуждаемся в увеличении поставок самолетов-истребителей современного типа (например, “Аэрокобра”) и в обеспечении при всех условиях некоторых других поставок. Следует иметь в виду, что самолеты “Китигаук” не выдерживают борьбы с нынешними немецкими истребителями.</w:t>
      </w:r>
    </w:p>
    <w:p w14:paraId="7BF6E8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Было бы очень хорошо, если бы США во всяком случае обеспечили нам следующие поставки (ежемесячно): истребители— 500 штук, грузовики — 8 или 10 тысяч штук, алюминий — 5 тысяч тонн, взрывчатые вещества — 4—5 тысяч тонн. Кроме того, важно обеспечить поставку в течение 12 месяцев 2 миллионов тонн зерна (пшеницы), а также возможное количество жиров, концентратов, мясных консервов. Мы смогли бы значительную часть продовольствия завезти через Владивосток советским флотом, если бы США согласились уступить СССР для пополнения нашего флота хотя бы 2—3 десятка судов. Обо всем этом я уже говорил с г. Уилки, уверенный в том, что он сообщит Вам об этом.</w:t>
      </w:r>
    </w:p>
    <w:p w14:paraId="4A3861B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Что касается положения на фронте, то Вы, конечно, знаете, что за последние месяцы наше положение на юге, особенно в районе Сталинграда, ухудшилось из-за недостатка у нас самолетов, главным образом истребителей. У немцев оказался большой резерв самолетов. Немцы имеют на юге минимум двойное превосходство в воздухе, что лишает нас возможности прикрыть свои войска. Практика войны показала, что самые храбрые войска становятся беспомощными, если они не защищены от ударов с воздуха (7430).</w:t>
      </w:r>
    </w:p>
    <w:p w14:paraId="7009CFE5" w14:textId="77777777" w:rsidR="00090C9B" w:rsidRPr="00722885" w:rsidRDefault="00090C9B" w:rsidP="00722885">
      <w:pPr>
        <w:pStyle w:val="Iauiue"/>
        <w:jc w:val="both"/>
        <w:rPr>
          <w:color w:val="000000" w:themeColor="text1"/>
          <w:sz w:val="16"/>
          <w:szCs w:val="16"/>
        </w:rPr>
      </w:pPr>
    </w:p>
    <w:p w14:paraId="43796E4A" w14:textId="77777777" w:rsidR="008A0AD5" w:rsidRPr="00722885" w:rsidRDefault="008A0AD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октября 1942 г. в своем послании Рузвельту от Сталин высказался еще конкретнее. Учитывая проблемы с тоннажем, он был готов временно полностью оказаться от поставок танков, артиллерии, боеприпасов и стрелкового оружия, но настаивал на ежемесячных поставках до 500 истребителей, 10 тыс. шт. грузовиков (использовались как для переброски войск, так и в качестве средств тяги артиллерийских орудий - А.Б.), 5 тыс. т алюминия и 5 тыс. тон взрывчатых веществ. В ответном письме, полученном Сталиным 16 октября 1942 г., американский президент пообещал поставить СССР взрывчатые вещества в следующих количествах: в ноябре - 4000 т, в последующие месяцы - по 5000 т ежемесячно (19151).</w:t>
      </w:r>
    </w:p>
    <w:p w14:paraId="2488EE84" w14:textId="77777777" w:rsidR="008A0AD5" w:rsidRPr="00722885" w:rsidRDefault="008A0AD5" w:rsidP="00722885">
      <w:pPr>
        <w:spacing w:after="0" w:line="240" w:lineRule="auto"/>
        <w:jc w:val="both"/>
        <w:rPr>
          <w:rFonts w:ascii="Times New Roman" w:hAnsi="Times New Roman"/>
          <w:color w:val="000000" w:themeColor="text1"/>
          <w:sz w:val="16"/>
          <w:szCs w:val="16"/>
        </w:rPr>
      </w:pPr>
    </w:p>
    <w:p w14:paraId="34330B6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54A4DC2" w14:textId="77777777" w:rsidR="00090C9B" w:rsidRPr="00722885" w:rsidRDefault="00090C9B" w:rsidP="00722885">
      <w:pPr>
        <w:pStyle w:val="Iauiue"/>
        <w:jc w:val="both"/>
        <w:rPr>
          <w:iCs/>
          <w:color w:val="000000" w:themeColor="text1"/>
          <w:sz w:val="16"/>
          <w:szCs w:val="16"/>
        </w:rPr>
      </w:pPr>
    </w:p>
    <w:p w14:paraId="2E95DA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октября 1942 Великобритания и США заявили об образовании Объединенных наций (3481).</w:t>
      </w:r>
    </w:p>
    <w:p w14:paraId="45E4991C" w14:textId="77777777" w:rsidR="00090C9B" w:rsidRPr="00722885" w:rsidRDefault="00090C9B" w:rsidP="00722885">
      <w:pPr>
        <w:pStyle w:val="Iauiue"/>
        <w:jc w:val="both"/>
        <w:rPr>
          <w:color w:val="000000" w:themeColor="text1"/>
          <w:sz w:val="16"/>
          <w:szCs w:val="16"/>
        </w:rPr>
      </w:pPr>
    </w:p>
    <w:p w14:paraId="6DD2988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332F060" w14:textId="77777777" w:rsidR="00090C9B" w:rsidRPr="00722885" w:rsidRDefault="00090C9B" w:rsidP="00722885">
      <w:pPr>
        <w:pStyle w:val="Iauiue"/>
        <w:jc w:val="both"/>
        <w:rPr>
          <w:iCs/>
          <w:color w:val="000000" w:themeColor="text1"/>
          <w:sz w:val="16"/>
          <w:szCs w:val="16"/>
        </w:rPr>
      </w:pPr>
    </w:p>
    <w:p w14:paraId="143C71AA" w14:textId="77777777" w:rsidR="00AE6980" w:rsidRPr="00722885" w:rsidRDefault="00AE698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8 октября 1942 положительное заключение за подписью начальника института ВВС генерал-майора П.А. Лосюкова и начальника 14-го отдела инженер- полковника Д.В. Лагутина было от</w:t>
      </w:r>
      <w:r w:rsidRPr="00722885">
        <w:rPr>
          <w:rFonts w:ascii="Times New Roman" w:cs="Times New Roman"/>
          <w:color w:val="000000" w:themeColor="text1"/>
          <w:spacing w:val="0"/>
          <w:sz w:val="16"/>
          <w:szCs w:val="16"/>
        </w:rPr>
        <w:softHyphen/>
        <w:t>правлено генерал-лейтенанту А.К. Репину, ко</w:t>
      </w:r>
      <w:r w:rsidRPr="00722885">
        <w:rPr>
          <w:rFonts w:ascii="Times New Roman" w:cs="Times New Roman"/>
          <w:color w:val="000000" w:themeColor="text1"/>
          <w:spacing w:val="0"/>
          <w:sz w:val="16"/>
          <w:szCs w:val="16"/>
        </w:rPr>
        <w:softHyphen/>
        <w:t>торый уже через два дня его утвердил с заме</w:t>
      </w:r>
      <w:r w:rsidRPr="00722885">
        <w:rPr>
          <w:rFonts w:ascii="Times New Roman" w:cs="Times New Roman"/>
          <w:color w:val="000000" w:themeColor="text1"/>
          <w:spacing w:val="0"/>
          <w:sz w:val="16"/>
          <w:szCs w:val="16"/>
        </w:rPr>
        <w:softHyphen/>
        <w:t>чанием:</w:t>
      </w:r>
      <w:r w:rsidRPr="00722885">
        <w:rPr>
          <w:rStyle w:val="aff6"/>
          <w:rFonts w:ascii="Times New Roman" w:eastAsia="Arial Narrow" w:hAnsi="Times New Roman" w:cs="Times New Roman"/>
          <w:i w:val="0"/>
          <w:color w:val="000000" w:themeColor="text1"/>
          <w:spacing w:val="0"/>
        </w:rPr>
        <w:t xml:space="preserve"> «Считать необходимым до запуска в массовое производство предложенной схемы бронирования, оборудовать броней по этой схеме один полк с целью проверки ее в боевых условиях».</w:t>
      </w:r>
    </w:p>
    <w:p w14:paraId="6DE1319D" w14:textId="77777777" w:rsidR="00AE6980" w:rsidRPr="00722885" w:rsidRDefault="00AE698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К октябрю 1942 г. в полном соответствии с рекомендациями НИИ ВВС на заводе №22 разработали схему усиленного бронирова</w:t>
      </w:r>
      <w:r w:rsidRPr="00722885">
        <w:rPr>
          <w:rFonts w:ascii="Times New Roman" w:cs="Times New Roman"/>
          <w:color w:val="000000" w:themeColor="text1"/>
          <w:spacing w:val="0"/>
          <w:sz w:val="16"/>
          <w:szCs w:val="16"/>
        </w:rPr>
        <w:softHyphen/>
        <w:t>ния бомбардировщика Пе-2. При сохранении принципиальной схемы бронирования, реа</w:t>
      </w:r>
      <w:r w:rsidRPr="00722885">
        <w:rPr>
          <w:rFonts w:ascii="Times New Roman" w:cs="Times New Roman"/>
          <w:color w:val="000000" w:themeColor="text1"/>
          <w:spacing w:val="0"/>
          <w:sz w:val="16"/>
          <w:szCs w:val="16"/>
        </w:rPr>
        <w:softHyphen/>
        <w:t>лизованной на серийных самолетах, толщина броневых плит была увеличена из расчета</w:t>
      </w:r>
      <w:r w:rsidRPr="00722885">
        <w:rPr>
          <w:rStyle w:val="aff6"/>
          <w:rFonts w:ascii="Times New Roman" w:eastAsia="Arial Narrow" w:hAnsi="Times New Roman" w:cs="Times New Roman"/>
          <w:i w:val="0"/>
          <w:color w:val="000000" w:themeColor="text1"/>
          <w:spacing w:val="0"/>
        </w:rPr>
        <w:t xml:space="preserve"> «на защиту экипажа от бронебойных пуль калибра 15 мм и снарядов калибра 20 мм с дистанции 350-400 м».</w:t>
      </w:r>
      <w:r w:rsidRPr="00722885">
        <w:rPr>
          <w:rFonts w:ascii="Times New Roman" w:cs="Times New Roman"/>
          <w:color w:val="000000" w:themeColor="text1"/>
          <w:spacing w:val="0"/>
          <w:sz w:val="16"/>
          <w:szCs w:val="16"/>
        </w:rPr>
        <w:t xml:space="preserve"> Как отмечалось, вес брони</w:t>
      </w:r>
      <w:r w:rsidRPr="00722885">
        <w:rPr>
          <w:rStyle w:val="aff6"/>
          <w:rFonts w:ascii="Times New Roman" w:eastAsia="Arial Narrow" w:hAnsi="Times New Roman" w:cs="Times New Roman"/>
          <w:i w:val="0"/>
          <w:color w:val="000000" w:themeColor="text1"/>
          <w:spacing w:val="0"/>
        </w:rPr>
        <w:t xml:space="preserve"> «по новой схеме выражается в 194,8 кг вместо 154,9 кг существующих в настоящее время на серийных самолетах».</w:t>
      </w:r>
    </w:p>
    <w:p w14:paraId="73395057" w14:textId="77777777" w:rsidR="00AE6980" w:rsidRPr="00722885" w:rsidRDefault="00AE6980" w:rsidP="00722885">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722885">
        <w:rPr>
          <w:rFonts w:ascii="Times New Roman" w:cs="Times New Roman"/>
          <w:color w:val="000000" w:themeColor="text1"/>
          <w:spacing w:val="0"/>
          <w:sz w:val="16"/>
          <w:szCs w:val="16"/>
        </w:rPr>
        <w:t>Специалистов НИИ ВВС предложенная схема бронирования Пе-2 полностью устро</w:t>
      </w:r>
      <w:r w:rsidRPr="00722885">
        <w:rPr>
          <w:rFonts w:ascii="Times New Roman" w:cs="Times New Roman"/>
          <w:color w:val="000000" w:themeColor="text1"/>
          <w:spacing w:val="0"/>
          <w:sz w:val="16"/>
          <w:szCs w:val="16"/>
        </w:rPr>
        <w:softHyphen/>
        <w:t>ила. Единственное замечание касалось рас</w:t>
      </w:r>
      <w:r w:rsidRPr="00722885">
        <w:rPr>
          <w:rFonts w:ascii="Times New Roman" w:cs="Times New Roman"/>
          <w:color w:val="000000" w:themeColor="text1"/>
          <w:spacing w:val="0"/>
          <w:sz w:val="16"/>
          <w:szCs w:val="16"/>
        </w:rPr>
        <w:softHyphen/>
        <w:t>положения</w:t>
      </w:r>
      <w:r w:rsidRPr="00722885">
        <w:rPr>
          <w:rStyle w:val="aff6"/>
          <w:rFonts w:ascii="Times New Roman" w:eastAsia="Arial Narrow" w:hAnsi="Times New Roman" w:cs="Times New Roman"/>
          <w:i w:val="0"/>
          <w:color w:val="000000" w:themeColor="text1"/>
          <w:spacing w:val="0"/>
        </w:rPr>
        <w:t xml:space="preserve"> «верхней брони стрелка-радиста, чтобы последняя не закрывала бортового обзора» (15778).</w:t>
      </w:r>
    </w:p>
    <w:p w14:paraId="78CC00A1" w14:textId="77777777" w:rsidR="00AE6980" w:rsidRPr="00722885" w:rsidRDefault="00AE6980" w:rsidP="00722885">
      <w:pPr>
        <w:pStyle w:val="36"/>
        <w:shd w:val="clear" w:color="auto" w:fill="auto"/>
        <w:spacing w:after="0" w:line="240" w:lineRule="auto"/>
        <w:jc w:val="both"/>
        <w:rPr>
          <w:rFonts w:ascii="Times New Roman" w:cs="Times New Roman"/>
          <w:color w:val="000000" w:themeColor="text1"/>
          <w:spacing w:val="0"/>
          <w:sz w:val="16"/>
          <w:szCs w:val="16"/>
        </w:rPr>
      </w:pPr>
    </w:p>
    <w:p w14:paraId="454117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октября 1942 был подготовлен Перечень дефектов самолета Пе-2, составленных на основании докладов, актов и дефектных карточек, представленных с фронтов, ВА и округов за период июнь-август 1942 (1678,80).</w:t>
      </w:r>
    </w:p>
    <w:p w14:paraId="6D2B88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Перечень дефектов с-та Пе-2, составленный на сновании докладов, актов и дефектных карточек, представленных с фронтов, воздушных армий и округов за период июнь-август 1942 г.</w:t>
      </w:r>
    </w:p>
    <w:p w14:paraId="3A107A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 зимнее время при температуре минус 30 замерзает смазка в редукторе механизма посадочных щитков, вследствие чего посадочные щитки совершенно не выпускаются или выпускаются очень медленно, что в отдельных случаях приводит к перегоранию обмотки реле КРР-1</w:t>
      </w:r>
    </w:p>
    <w:p w14:paraId="252FB7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Массовые отказы электромеханизма Р-2, причинами отказов являются: заедание якоря в подшипниках, загрязнение маслом коллектора вследствие недостаточной герметичности сальника, и обрыв проводников в разъеме.</w:t>
      </w:r>
    </w:p>
    <w:p w14:paraId="32B0F4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Массовые отказы электротахолметров Т2-22. Из доклада начальника отдела эксплуатации ВВС видно, что 30-40% тахометров отказывают при перелетах в части, на трассах. В 20ВА только за июнь 1942 имело место 43 случая отказа тахометров.</w:t>
      </w:r>
    </w:p>
    <w:p w14:paraId="499C77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Основная причина этого дефекта - неправильный монтаж жатчика тахометра.</w:t>
      </w:r>
    </w:p>
    <w:p w14:paraId="12A5D9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4. По электробензиномерам БЭ309 продолжают иметь место недопустимо большие расхождения в показаниях.</w:t>
      </w:r>
    </w:p>
    <w:p w14:paraId="7F9D27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одной авиационной дивизии были проведены проверки правильности показаний бензиномеров. При проверке оказалось, что на 13 самолетах из 16 бензиномеры показывали наличие бензина от 40 до 170 л при пустых баках.</w:t>
      </w:r>
    </w:p>
    <w:p w14:paraId="4AFB8F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Качество тарировки бензиномеров явно недостаточно.</w:t>
      </w:r>
    </w:p>
    <w:p w14:paraId="2FBEBE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Массовым дефектом является замыкание на корпус минусового штыря аккумулятора в контейнере. Минусовый штырь касается войлока контейнера , который бывает пропитан электролитом.</w:t>
      </w:r>
    </w:p>
    <w:p w14:paraId="439B7F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Рекомендуется положить специальную проекладку из изоляционного материала</w:t>
      </w:r>
    </w:p>
    <w:p w14:paraId="3F8034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Имеют место случаи перегорания электромоторов 8БА56А. В одной авиадивизии за месяц зарегистрировано 9 случаев. Необходимо усилить контроль за проведением сборки, обоащая особое внимание на чистоту и качество притирки обратного клапана гидросистемы, чистоту фильтра гидросистемы, а также на монтаж стрворок хвостового колеса и концевых отключателей (1678,80).</w:t>
      </w:r>
    </w:p>
    <w:p w14:paraId="347D20F4" w14:textId="77777777" w:rsidR="00090C9B" w:rsidRPr="00722885" w:rsidRDefault="00090C9B" w:rsidP="00722885">
      <w:pPr>
        <w:pStyle w:val="Iauiue"/>
        <w:jc w:val="both"/>
        <w:rPr>
          <w:color w:val="000000" w:themeColor="text1"/>
          <w:sz w:val="16"/>
          <w:szCs w:val="16"/>
        </w:rPr>
      </w:pPr>
    </w:p>
    <w:p w14:paraId="3F660B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октября 1942 В.И.Сталин писал Зам. НКО Новикову и НКАП А.И.Ш.:</w:t>
      </w:r>
    </w:p>
    <w:p w14:paraId="48C3E1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18 сентября по 2 октября 1942 в 3ВА проведены войсковые испытания Ту-2. Аэродром Мигалово. 3 самолета выполнили 25 вылетов и налетали 65 час.</w:t>
      </w:r>
    </w:p>
    <w:p w14:paraId="1DA7E5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сравнению с Пе-2 Ту-2 имеет ряд положительных качеств:</w:t>
      </w:r>
    </w:p>
    <w:p w14:paraId="4D1F09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увеличена бомбовая нагрузка и за счет горючего может брать до 3 т</w:t>
      </w:r>
    </w:p>
    <w:p w14:paraId="3AC115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хорошее вооружение: 2 пушки, 2БС и 3 ШКАС</w:t>
      </w:r>
    </w:p>
    <w:p w14:paraId="1C5214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скорость гор. полета больше, чем у Пе-2 примерно на 100 км/час</w:t>
      </w:r>
    </w:p>
    <w:p w14:paraId="13DAFF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самолет хорошо управляем и прост в технике пилотирования</w:t>
      </w:r>
    </w:p>
    <w:p w14:paraId="538865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легко пилотируется с одним неработающим мотором</w:t>
      </w:r>
    </w:p>
    <w:p w14:paraId="32B952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при посадке не валится на крыло как Пе-2</w:t>
      </w:r>
    </w:p>
    <w:p w14:paraId="0A91DE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Недостатки Ту-2:</w:t>
      </w:r>
    </w:p>
    <w:p w14:paraId="191320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трудность хождения в строю по причине тугого хода сектора газа (причина неустранимая до смены карбюратора на моторе).</w:t>
      </w:r>
    </w:p>
    <w:p w14:paraId="0DCC52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после каждого полета в самолете обнаруживаются неисправности, особенно в гидро- и маслосистеме. Повторных вылетов не производилось.</w:t>
      </w:r>
    </w:p>
    <w:p w14:paraId="728C32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для эксплуатации Ту-2 требуется аэродром больших размеров." (1315,187).</w:t>
      </w:r>
    </w:p>
    <w:p w14:paraId="0771A490" w14:textId="77777777" w:rsidR="00090C9B" w:rsidRPr="00722885" w:rsidRDefault="00090C9B" w:rsidP="00722885">
      <w:pPr>
        <w:pStyle w:val="Iauiue"/>
        <w:jc w:val="both"/>
        <w:rPr>
          <w:color w:val="000000" w:themeColor="text1"/>
          <w:sz w:val="16"/>
          <w:szCs w:val="16"/>
        </w:rPr>
      </w:pPr>
    </w:p>
    <w:p w14:paraId="2DC2E8FA" w14:textId="77777777" w:rsidR="00AE6980" w:rsidRPr="00722885" w:rsidRDefault="00AE6980" w:rsidP="00722885">
      <w:pPr>
        <w:pStyle w:val="Iauiue"/>
        <w:jc w:val="both"/>
        <w:rPr>
          <w:color w:val="000000" w:themeColor="text1"/>
          <w:sz w:val="16"/>
          <w:szCs w:val="16"/>
        </w:rPr>
      </w:pPr>
      <w:r w:rsidRPr="00722885">
        <w:rPr>
          <w:color w:val="000000" w:themeColor="text1"/>
          <w:sz w:val="16"/>
          <w:szCs w:val="16"/>
        </w:rPr>
        <w:t>8 октября 1942 Ком. ВВС Новиков писал А.И.Ш. о дефектах, выявленных в процессе эксплуатации Ла-5 с 25 сентября по 5 октября 1942 в 235 ИАД и в т.ч. выход из строя выхлопных коллекторов, произвольная уборка костыля при посадке, отказ свечей ВГ-12, трещины бензо и маслобаков, дефектов предкрылков и т.п. (1632,290).</w:t>
      </w:r>
    </w:p>
    <w:p w14:paraId="29708F4C" w14:textId="77777777" w:rsidR="00AE6980" w:rsidRPr="00722885" w:rsidRDefault="00AE6980" w:rsidP="00722885">
      <w:pPr>
        <w:pStyle w:val="Iauiue"/>
        <w:jc w:val="both"/>
        <w:rPr>
          <w:color w:val="000000" w:themeColor="text1"/>
          <w:sz w:val="16"/>
          <w:szCs w:val="16"/>
        </w:rPr>
      </w:pPr>
    </w:p>
    <w:p w14:paraId="5E360D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октября 1942 умер С.А.Чаплыгин (271,210).</w:t>
      </w:r>
    </w:p>
    <w:p w14:paraId="5AA67A3B" w14:textId="77777777" w:rsidR="00090C9B" w:rsidRPr="00722885" w:rsidRDefault="00090C9B" w:rsidP="00722885">
      <w:pPr>
        <w:pStyle w:val="Iauiue"/>
        <w:jc w:val="both"/>
        <w:rPr>
          <w:color w:val="000000" w:themeColor="text1"/>
          <w:sz w:val="16"/>
          <w:szCs w:val="16"/>
        </w:rPr>
      </w:pPr>
    </w:p>
    <w:p w14:paraId="3FAC158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7C3C68C" w14:textId="77777777" w:rsidR="00090C9B" w:rsidRPr="00722885" w:rsidRDefault="00090C9B" w:rsidP="00722885">
      <w:pPr>
        <w:pStyle w:val="Iauiue"/>
        <w:jc w:val="both"/>
        <w:rPr>
          <w:iCs/>
          <w:color w:val="000000" w:themeColor="text1"/>
          <w:sz w:val="16"/>
          <w:szCs w:val="16"/>
        </w:rPr>
      </w:pPr>
    </w:p>
    <w:p w14:paraId="3CA4BA2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8 октября 1942 года вышел приказ НКБ № 774-с</w:t>
      </w:r>
    </w:p>
    <w:p w14:paraId="16866D7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Организовать на Софринском полигоне снаряжательные мастерские для производства снаряжения 82 мм мин и 76 мм снарядов, идущих для испытания на меткость ………………(5941, 90).</w:t>
      </w:r>
    </w:p>
    <w:p w14:paraId="3E216AE2" w14:textId="77777777" w:rsidR="00090C9B" w:rsidRPr="00722885" w:rsidRDefault="00090C9B" w:rsidP="00722885">
      <w:pPr>
        <w:pStyle w:val="Iauiue"/>
        <w:tabs>
          <w:tab w:val="left" w:pos="11199"/>
        </w:tabs>
        <w:jc w:val="both"/>
        <w:rPr>
          <w:color w:val="000000" w:themeColor="text1"/>
          <w:sz w:val="16"/>
          <w:szCs w:val="16"/>
        </w:rPr>
      </w:pPr>
    </w:p>
    <w:p w14:paraId="230E29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октября 1942 года цеха СТЗ оставили последние рабочие, а уже через шесть дней, 14 октября, территорию завода заняли немецкие части. Таким образом, суммарный выпуск танков Т-34 на Сталинградском тракторном заводе составил 2394 машины, а за все время производства – 3644 тридцатьчетверки (12217).</w:t>
      </w:r>
    </w:p>
    <w:p w14:paraId="716D5FC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BFFDD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октября 1942 на Ульяновском филиале N 4 ЗИС (УльЗИС), который в июле 1942 был официально назначен головным предприятием по выпуску ЗИС-5, был запущен главный конвейер и выпуск вырос с 20-30 машин до 60 в сутки (3050).</w:t>
      </w:r>
    </w:p>
    <w:p w14:paraId="71DCEA1D" w14:textId="77777777" w:rsidR="00090C9B" w:rsidRPr="00722885" w:rsidRDefault="00090C9B" w:rsidP="00722885">
      <w:pPr>
        <w:pStyle w:val="Iauiue"/>
        <w:jc w:val="both"/>
        <w:rPr>
          <w:color w:val="000000" w:themeColor="text1"/>
          <w:sz w:val="16"/>
          <w:szCs w:val="16"/>
        </w:rPr>
      </w:pPr>
    </w:p>
    <w:p w14:paraId="430E61D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9CCEA33" w14:textId="77777777" w:rsidR="00090C9B" w:rsidRPr="00722885" w:rsidRDefault="00090C9B" w:rsidP="00722885">
      <w:pPr>
        <w:pStyle w:val="Iauiue"/>
        <w:jc w:val="both"/>
        <w:rPr>
          <w:iCs/>
          <w:color w:val="000000" w:themeColor="text1"/>
          <w:sz w:val="16"/>
          <w:szCs w:val="16"/>
        </w:rPr>
      </w:pPr>
    </w:p>
    <w:p w14:paraId="65415F9F"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8 октября </w:t>
      </w:r>
      <w:r w:rsidRPr="00722885">
        <w:rPr>
          <w:rFonts w:ascii="Times New Roman" w:hAnsi="Times New Roman"/>
          <w:color w:val="000000" w:themeColor="text1"/>
          <w:sz w:val="16"/>
          <w:szCs w:val="16"/>
        </w:rPr>
        <w:t>в 1942 году утреннее сообщение Совинформбюро:</w:t>
      </w:r>
    </w:p>
    <w:p w14:paraId="17FE4057"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8 октября наши войска вели бои с противником в районе Сталинграда и в районе Моздока. На других фронтах никаких изменений не произошло.</w:t>
      </w:r>
    </w:p>
    <w:p w14:paraId="0FF6FA76"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Отражая атаки немцев, наши артиллеристы уничтожили до батальона вражеской пехоты, 5 немецких танков, до 70 автомашин, 40 повозок с боеприпасами, подавили огонь 6 артиллерийских и 10 миномётных батарей противника. Огневыми налётами гвардейцев-миномётчиков по войскам противника подбито и сожжено 8 танков, рассеяно и уничтожено до роты немецкой пехоты.</w:t>
      </w:r>
    </w:p>
    <w:p w14:paraId="10F344D5"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танкисты Н-ской части ворвались в расположение противника, уничтожили два врытых в землю немецких танка, 8 орудий, 5 автомашин с боеприпасами, 3 пулемётные точки и истребили 250 гитлеровцев. На другом участке батальон немецкой пехоты пытался атаковать наши позиции. Гитлеровцы были встречены ружейно-пулемётным огнём наших подразделений и отступили.</w:t>
      </w:r>
    </w:p>
    <w:p w14:paraId="5FA44930"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бойцы Н-ской стрелковой части, отбивая атаку противника, уничтожили 15 автомашин и до роты гитлеровцев. Старший лейтенант Симонян выкатил орудие на открытую позицию и метким выстрелом разбил вражеский танк. Снайпер тов. Николаенко истребил 16 гитлеровцев.</w:t>
      </w:r>
    </w:p>
    <w:p w14:paraId="3C989DEA"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вели бои за овладение важной высотой. В этих боях уничтожено 3 станковых пулемёта, миномётная батарея и до 100 немецких и румынских солдат и офицеров.</w:t>
      </w:r>
    </w:p>
    <w:p w14:paraId="45EEEDED"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активными действиями наших подразделений и разведывательных групп за два дня истреблено до 300 гитлеровцев. Уничтожено 11 пулемётов, миномётная батарея, разрушено 12 вражеских ДЗОТ'ов и 5 блиндажей. Группа бойцов во главе со старшим сержантом Решкиным, преодолев проволочные заграждения, стремительным броском ворвалась в траншеи противника и навязала немцам рукопашный бой. Сержант Дорохов расстрелял более 10 гитлеровцев. Уничтожив несколько десятков гитлеровцев и взорвав склад с боеприпасами противника, наши бойцы вернулись в своё подразделение.</w:t>
      </w:r>
    </w:p>
    <w:p w14:paraId="7A2A87B8"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8 роты 471 полка 251 немецкой пехотной дивизии Гюнтер Райшерт рассказал: «За десять дней 471 полк потерял убитыми и ранеными свыше 1.000 человек. В 8 роте из строя выбыло две трети личного состава. При отходе мы бросили тяжёлые пулемёты и другое вооружение. Солдаты, находящиеся на фронте сначала войны, утверждают, что русские сейчас вооружены гораздо лучше, чем в прошлом году, и сражаются с небывалым ожесточением. Немецким солдатам уже много раз говорили, что война скоро кончится. Раньше они этому верили, но теперь каждый видит, что придётся провести ещё одну зиму на Восточном фронте. Некоторые солдаты высказывают опасение, что вторая русская зима потребует ещё больших жертв, чем первая, и кончится разгромом Германии».</w:t>
      </w:r>
    </w:p>
    <w:p w14:paraId="4CA589E4"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ефрейтор 112 немецкой пехотной дивизии Эрнст М. заявил: "При отъезде из Германии многие солдаты говорили между собой: «B России есть чем поживиться. Там можно пограбить в досталь. Пусть русскиепопробуют сделать недовольные лица, мы с ними быстро справимся. Ставить к стенке мы умеем». В дальнейшем мне пришлось неоднократно видеть жестокое и бесчеловечное обращение немецких солдат с крестьянами. При входе в избу солдаты подчёркнуто грубо требуют отдать им ценные вещи и продовольствие. Я видел, как в одной деревне недалеко от Реприно солдаты нашей роты увели у одного крестьянина корову. Ограбление русского населения не считается чем-то зазорным. Напротив, офицеры поощряют грабёж и сами бесцеремонно берут всё, что им попадается на глаза».</w:t>
      </w:r>
    </w:p>
    <w:p w14:paraId="05A7C6F9"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Копенгагене (Дания) произошло столкновение населения с оккупантами и их подручными. Датские патриоты сорвали митинг, устроенный гитлеровцами. Когда фашистский оратор поднялся на трибуну, из толпы раздались возгласы: «Долой предателей!», «Пусть немцы уходят из Дании!» Несколько человек стащили гитлеровца с трибуны и избили его. Немецкие солдаты открыли стрельбу и ранили нескольких патриотов.» (14793).</w:t>
      </w:r>
    </w:p>
    <w:p w14:paraId="1088FB74" w14:textId="77777777" w:rsidR="00AE6980" w:rsidRPr="00722885" w:rsidRDefault="00AE6980" w:rsidP="00722885">
      <w:pPr>
        <w:spacing w:after="0" w:line="240" w:lineRule="auto"/>
        <w:jc w:val="both"/>
        <w:rPr>
          <w:rFonts w:ascii="Times New Roman" w:hAnsi="Times New Roman"/>
          <w:color w:val="000000" w:themeColor="text1"/>
          <w:sz w:val="16"/>
          <w:szCs w:val="16"/>
        </w:rPr>
      </w:pPr>
    </w:p>
    <w:p w14:paraId="72233F12"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8 октября </w:t>
      </w:r>
      <w:r w:rsidRPr="00722885">
        <w:rPr>
          <w:rFonts w:ascii="Times New Roman" w:hAnsi="Times New Roman"/>
          <w:color w:val="000000" w:themeColor="text1"/>
          <w:sz w:val="16"/>
          <w:szCs w:val="16"/>
        </w:rPr>
        <w:t>в 1942 году вечернее сообщение Совинформбюро:</w:t>
      </w:r>
    </w:p>
    <w:p w14:paraId="4D377CA4"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8 октября наши войска вели бои с противником в районе Сталинграда и в районе Моздока. На других фронтах существенных изменений не произошло.</w:t>
      </w:r>
    </w:p>
    <w:p w14:paraId="64B57704"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потоплено два немецких транспорта общим водоизмещением в 12000 тонн.</w:t>
      </w:r>
    </w:p>
    <w:p w14:paraId="20A3D3AF"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7 октября нашей авиацией на различных участках фронта уничтожено или повреждено до 15 немецких танков и бронемашин, 30 автомашин с войсками, 4 автоцистерны с горючим, взорван склад боеприпасов, подавлен огонь 9 артиллерийских батарей, рассеяно и частью уничтожено до двух рот пехоты противника.</w:t>
      </w:r>
    </w:p>
    <w:p w14:paraId="47FCA462"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ожесточённые бои с немецко-фашистскими войсками. Пехота противника при поддержке 50 танков яростно атаковала наши позиции. Особенно упорные бои происходили в направлении одного завода. Все атаки гитлеровцев отбиты с большими для них потерями. Только в одном месте противнику удалось занять две улицы населённого пункта. В течение дня нашими частями подбито и сожжено 16 немецких танков и уничтожено до четырёх батальонов немецкой пехоты. Гвардейцы-миномётчики накрыли и истребили до 400 гитлеровцев, сожгли 18 автомашин с войсками и боеприпасами.</w:t>
      </w:r>
    </w:p>
    <w:p w14:paraId="423B2C34"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Северо-западнее Сталинграда наши части вели огневой бой с противником и на отдельных участках отражали атаки небольших групп гитлеровцев. Артиллеристами и миномётчиками Н-ской части уничтожено до роты немецкой пехоты, 2 орудия, 8 пулемётов, взорван склад боеприпасов и разрушено 11 блиндажей противника. Нашими бойцами ружейно-пулемётным огнём сбито 3 немецких самолёта. Группа разведчиков во главе со старшим лейтенантом Панченко ворвалась в окопы противника и в штыковой схватке истребила 20 гитлеровцев. Снайперы тт. Оськин, Ахшимов и Жилин в течение двух дней истребили 50 немецких солдат и офицеров.</w:t>
      </w:r>
    </w:p>
    <w:p w14:paraId="731B903E"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отражали атаки противника. В бою за один населённый пункт наши бойцы истребили до двух рот немецких солдат, уничтожили 2 пулемёта, миномёт и 10 автомашин. Захвачены трофеи: бронемашина, 28 пулемётов, 46 автоматов и много патронов.</w:t>
      </w:r>
    </w:p>
    <w:p w14:paraId="03799410"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Синявина противник силою свыше полка пехоты при поддержке танков в течение дня шесть раз безуспешно атаковал наши позиции. Нашими частями отбиты все атаки гитлеровцев. В результате этого боя уничтожено 9 немецких танков и до 600 солдат и офицеров противника.</w:t>
      </w:r>
    </w:p>
    <w:p w14:paraId="6A31CEE6"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Несколько орловских партизанских отрядов за время с 17 по 30 сентября истребили 650 солдат и офицеров 108 венгерской пехотной дивизии. 4 октября группа партизан пустила под откос железнодорожный эшелон немецко-фашистских оккупантов. Разбиты паровоз, 4 вагона с солдатами и 44 вагона с автомашинами и боеприпасами.</w:t>
      </w:r>
    </w:p>
    <w:p w14:paraId="13DB4A63"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 роты 3 батальона 1 венгерской мотобригады Андраш Тэш рассказал: «В шестидневных боях наш батальон понёс тяжёлые потери. В 1 роте из строя выбыло 126 человек. Большие потери понесли и остальные роты. В сентябре бригада получила пополнение в 600 человек. Однако через несколько дней русские лётчики налетели на нашу автоколонну и уничтожили 30 автомашин с солдатами. Неделю назад нас бросили в атаку прямо под пулемётный огонь русских. Потери были ужасные... Мы ехали на фронт, зная, что нас здесь ждёт гибель».</w:t>
      </w:r>
    </w:p>
    <w:p w14:paraId="5EC182F7"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преступлениях немецко-фашистских мерзавцев в гор. Полоцке, Белорусской ССР. В этом городе гитлеровцы объявили перерегистрацию паспортов. У многих советских граждан паспорта были отобраны якобы для проверки. 21 сентября немецкая комендатура вызвала группу жителей за получением документов. В комендатуре немецкие врачи подвергли советских граждан медицинскому осмотру и насильно взяли у них большие дозы крови. Установлено, что от большой потери крови скончалось более 40 человек.</w:t>
      </w:r>
    </w:p>
    <w:p w14:paraId="40CA371D" w14:textId="77777777" w:rsidR="00AE6980" w:rsidRPr="00722885" w:rsidRDefault="00AE698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октября югославские партизаны вели ожесточённые бои с войсками немецко-итальянских оккупантов. В одном из боёв близ Доньи-Вакуф партизаны убили и ранили до 500 немецких и итальянских солдат и офицеров.» (14793).</w:t>
      </w:r>
    </w:p>
    <w:p w14:paraId="28B13744" w14:textId="77777777" w:rsidR="00AE6980" w:rsidRPr="00722885" w:rsidRDefault="00AE6980" w:rsidP="00722885">
      <w:pPr>
        <w:spacing w:after="0" w:line="240" w:lineRule="auto"/>
        <w:jc w:val="both"/>
        <w:rPr>
          <w:rFonts w:ascii="Times New Roman" w:hAnsi="Times New Roman"/>
          <w:color w:val="000000" w:themeColor="text1"/>
          <w:sz w:val="16"/>
          <w:szCs w:val="16"/>
        </w:rPr>
      </w:pPr>
    </w:p>
    <w:p w14:paraId="31A1FC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8 октября 1942 г. в 746-м ап имелось 8 Пе-8 (5 исправных), в 890-м ап - 9 Пе-8 (6 исправных). На самолетах определенных неисправными осуществлялась замена двигателей (№42107) и воздушных винтов ВИШ-61 (12025).</w:t>
      </w:r>
    </w:p>
    <w:p w14:paraId="2E5FA6D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68F79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8 октября 1942, уже при новом командире полка Герое Советского Союза майоре Н.В. Челнокове полеты торпедоносцев 1 МТАП стали регулярными. Еще в июле 41-го бывший комэск-1 временно покинул родной полк, чтобы возглавить свежесфор- мированную эскадрилью штурмовиков Ил-2. Эскадрилья воевала в составе 57-го бап. С 20.8.1941 до конца года Челноков лично произвел 58 вылетов на штурмовике, в ходе которых в группе уничтожил 51 танк, 148 автомашин, 123 фургона, 43 зенитных пушки, 18 бронемашин. 22 орудия и миномета и т.д. Указом от 14.6.1942 Н.В. Челноков был удостоен звания Героя Советского Союза, практически одновременно получил назначение на должность помощника командира 1-го гмтап. 9 августа он сменил на этой должности Е.Н. Преображенского, который стал командиром 8-й бомбардировочной бригады, куда по-прежнему входил и 1-й гмтап.</w:t>
      </w:r>
    </w:p>
    <w:p w14:paraId="692B06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Отчаявшись наладить взаимодействие между разведчиками и торпедоносцами, командование ВВС КБФ пошло на то. чтобы разрешить полеты на "свободную охоту", хотя и понимало, что этот метод ущербен. Почти каждый день на поиск вылетала пара торпедоносцев, зачастую возвращавшаяся из-за плохой погоды или неисправностей материальной части. Когда же погода оказывалась лучше, наших летчиков ожидали неприятные сюрпризы. 13 октября пара, возглавляемая Балебиным, безуспешно атаковала группу сторожевиков и на обратном пути была перехвачена шестеркой финских "фоккеров". Воздушным стрелкам якобы удалось сбить двоих преследователей, но оба "ильюшиных" получили по 30-40 пулевых пробоин и с трудом дотянули до базы. 19-го Балебин атаковал миноносец (реально - финский сторожевой корабль), на следующий день экипаж Пяткова, по донесению, потопил "небольшой транспорт" южнее Ханко (немецкий охотник "Uj 1214"). 22 октября паре торпедоносцев не удалось обнаружить целей, чего не скажешь о финских истребителях, атаковавших наших при возвращении. Один из "ильюшиных" получил весьма серьезные повреждения, но дотянул до базы. После этого случая вылеты продолжились исключительно в сопровождении истребителей, однако практика показала, что это не решает проблемы. 25-го пара Ил-4. возвращавшаяся после "успешной" атаки крупного транспорта в сопровождении "Харрикейнов". была атакована шестеркой вражеских охотников. Торпедоносцам удалось оторваться от преследования, но двое из числа сопровождавших рухнули в воду.</w:t>
      </w:r>
    </w:p>
    <w:p w14:paraId="32AFF6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неудачный исход этого боя, на следующий день вылет был повторен примерно тем же составом. "Ильюшины" дошли до района западнее острова</w:t>
      </w:r>
    </w:p>
    <w:p w14:paraId="23918B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Большой Тютерс, где атаковала одиночный сторожевой корабль. В свое время некоторые отечественные исследователи делали предположение, что в ходе этой атаки был потоплен со всем экипажем охотник "Uj 1204". Увы, это не так. Охотник подорвался на мине еще ночью, и часть его экипажа была спасена находившимся рядом "Uj 1208". Что же касается объекта атаки пары торпедоносцев, то им скорей всего являлся какой- то остов судна, поскольку, согласно донесению истребителей сопровождения, в ходе атаки цель не маневрировала и ответного огня не вела. Тем не менее торпеды все равно не попали. Группа легла на обратный курс, "яки" ушли на Лавансаари, и именно в этот момент появился противник. В небе над Копорс- ким заливом "ильюшиных" внезапно атаковала шестерка "фок- керов" В коротком бою в воду упали машины, пилотируемые старшим лейтенантом И.А. Кудряшевым и лейтенантом Новицким. Последующие поиски торпедных катеров и истребителей ничего не дали - все авиаторы погибли. По финским данным, обе воздушные победы одержал Э.Киннунен, летавший на истребителе Брюстер "Буффало" (тактический номер BW-351). Безуспешными оказались и другие октябрьские атаки, даже в тех случаях, когда авиаторы утверждали, что сделали несколько кругов над целью, дождавшись ее полного погружения. Например, замкомэска Балебин 29 октября доложил о потоплении "миноносца", оказавшегося тральщиком "М 30". В том, что этот корабль не утонул, не может быть никаких сомнений. После войны вполне исправный "М 30" вошел в состав ВМФ СССР под названием "Т-914" и до 1955 г. служил в составе Черноморского флота. В ноябре и декабре действия торпедоносцев вообще не имели успеха из-за плохих метеоусловий и частых отказов техники. Лишь единожды - 12 ноября - удалось сбросить торпеду по сторожевику, но она не достигла цели. После безуспешного вылета пары ДБ-3 6 декабря деятельность торпедоносцев прекратилась на 4,5 месяца.</w:t>
      </w:r>
    </w:p>
    <w:p w14:paraId="218EB0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Боевая деятельность балтийской минно-торпедной авиации в 1941-1942 гг. не может не впечатлять и своим драматизмом, и результатами. Попав с первых дней войны в весьма неблагоприятную ситуацию, полки авиации КБФ не ?&lt;пали прахом", подобно многочисленным частям и соединениям ВВС Северного, Северо-Западного и Ленинградского фронтов, а без перерыва продолжали наносить удары по врагу. Правда, с осени 1941 г. численность машин в 1-м мтап сократилась настолько, что части пришлось перейти в своих вылетах над сушей практически исключительно к ночной деятельности.</w:t>
      </w:r>
    </w:p>
    <w:p w14:paraId="7A07CB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неудачный исход этого боя, на следующий день вылет был повторен примерно тем же составом. "Ильюшины" дошли до района западнее острова</w:t>
      </w:r>
    </w:p>
    <w:p w14:paraId="1807EB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Большой Тютерс, где атаковала одиночный сторожевой корабль. В свое время некоторые отечественные исследователи делали предположение, что в ходе этой атаки был потоплен со всем экипажем охотник "Uj 1204". Увы, это не так. Охотник подорвался на мине еще ночью, и часть его экипажа была спасена находившимся рядом "Uj 1208". Что же касается объекта атаки пары торпедоносцев, то им скорей всего являлся какой- то остов судна, поскольку, согласно донесению истребителей сопровождения, в ходе атаки цель не маневрировала и ответного огня не вела. Тем не менее торпеды все равно не попали. Группа легла на обратный курс, "яки" ушли на Лавансаари, и именно в этот момент появился противник. В небе над Копорс- ким заливом "ильюшиных" внезапно атаковала шестерка "фок- керов" В коротком бою в воду упали машины, пилотируемые старшим лейтенантом И.А. Кудряшевым и лейтенантом Новицким. Последующие поиски торпедных катеров и истребителей ничего не дали - все авиаторы погибли. По финским данным, обе воздушные победы одержал Э.Киннунен, летавший на истребителе Брюстер "Буффало" (тактический номер BW-351). Безуспешными оказались и другие октябрьские атаки, даже в тех случаях, когда авиаторы утверждали, что сделали несколько кругов над целью, дождавшись ее полного погружения. Например, замкомэска Балебин 29 октября доложил о потоплении "миноносца", оказавшегося тральщиком "М 30". В том, что этот корабль не утонул, не может быть никаких сомнений. После войны вполне исправный "М 30" вошел в состав ВМФ СССР под названием "Т-914" и до 1955 г. служил в составе Черноморского флота. В ноябре и декабре действия торпедоносцев вообще не имели успеха из-за плохих метеоусловий и частых отказов техники. Лишь единожды - 12 ноября - удалось сбросить торпеду по сторожевику, но она не достигла цели. После безуспешного вылета пары ДБ-3 6 декабря деятельность торпедоносцев прекратилась на 4,5 месяца.</w:t>
      </w:r>
    </w:p>
    <w:p w14:paraId="02DAEC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Боевая деятельность балтийской минно-торпедной авиации в 1941-1942 гг. не может не впечатлять и своим драматизмом, и результатами. Попав с первых дней войны в весьма неблагоприятную ситуацию, полки авиации КБФ не ?&lt;пали прахом", подобно многочисленным частям и соединениям ВВС Северного, Северо-Западного и Ленинградского фронтов, а без перерыва продолжали наносить удары по врагу. Правда, с осени 1941 г. численность машин в 1-м мтап сократилась настолько, что части пришлось перейти в своих вылетах над сушей практически исключительно к ночной деятельности.</w:t>
      </w:r>
    </w:p>
    <w:p w14:paraId="23A32F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весны 1942 г. полк частично вернулся к действиям на морском направлении - сначала ставя мины и бомбардируя порты, а с лета-осени пытался действовать на коммуникациях противника одиночными торпедоносцами-"охотника- ми". В абсолютном выражении масштаб этой деятельности был относительно невелик, но среди задач, решаемых полком, постепенно стал занимать одно из ведущих мест.</w:t>
      </w:r>
    </w:p>
    <w:p w14:paraId="466F65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Почему же, сбросив в течение года по кораблям противника 42 торпеды, балтийские торпедоносцы не добились ни одного попадания? Причин тому несколько. Во-первых, по-видимому, все атаки были совершены против боевых кораблей, экипажи которых оказались достаточно хорошо вооруженными и подготовленными к отражению подобной угрозы. Во-вторых, в тактическом плане все атаки были весьма и весьма примитивными: совершались с одного направления даже тогда, когда атаковало несколько самолетов, пилоты торпедоносцев не пытались добиться внезапности, атакуя цели со стороны солнца или, наоборот, со стороны темного берега. Для полетов выбирались дневные часы, когда летчику было гораздо проще ориентироваться, но и заметить его было можно на значительной дистанции. В-третьих, </w:t>
      </w:r>
      <w:r w:rsidRPr="00722885">
        <w:rPr>
          <w:rFonts w:ascii="Times New Roman" w:hAnsi="Times New Roman"/>
          <w:color w:val="000000" w:themeColor="text1"/>
          <w:sz w:val="16"/>
          <w:szCs w:val="16"/>
        </w:rPr>
        <w:lastRenderedPageBreak/>
        <w:t xml:space="preserve">пилотам торпедоносцев явно не хватало навыков проведения торпедных атак. В немецких донесениях неоднократно встречались указания на то, что торпеды сбрасывались с высоты 100-200 м, с больших дистанций. Неправильно сброшенные торпеды повреждались при ударе о воду и тонули (это периодически замечали и наши и немцы) либо шли по поверхности, не выдерживая заданного курса. На плохую подготовку косеенно указывают и большие небоевые потери 1-го гмтап в 1942 г., которые почти в два раза перекрывают боевые утраты. Обвинить одних летчиков в плохой подготовке нельзя - даже те, кто служил в полку с довоенного времени, ранее торпедные удары практически не отрабатывали, а пополнение 1942 г. (бывшие пилоты МБР-2 или выпускники летных училищ) недостаточно овладело и техникой пилотирования ДБ-3. С учетом этого наличный результат кажется не удивительным, а закономерным. 1942 г. действительно получился учебным, вот только специфика этой учебы заключалась в том, что проводилась она в ходе боевых вылетах, где по торпедоносцам стреляли отнюдь не холостыми. </w:t>
      </w:r>
    </w:p>
    <w:p w14:paraId="3AA290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Советских Вооруженных Сил и всего народа 1943 г. стал годом великих надежд и достижений. Уже в январе летчики Балтики отличились в ходе операции "Искра" - очередной и наконец-то успешной попытки прорыва блокады Ленинграда. "Ильюшины" и СБ, ведомые пилотами 1-го гвардейского минно-торпедного авиаполка, участвовали в этих событиях как обычные бомбардировщики, нанося ночные удары по станциям, аэродромам и населенным пунктам - узлам сопротивления противника. После прорыва блокады в феврале и марте последовали новые операции, целью которых являлось расширение коридора, связывавшего Ленинград с центральными районами страны. К сожалению, успехами они не увенчались, хотя и отняли много времени и сил. На 1 января боевой состав полка включал 7/6 Ил-4, 3/3 ДБ-ЗБ, 7/6 СБ, и, естественно, этого было очень мало для того, чтобы отвлекаться на решение каких-либо второстепенных задач, а именно такими воспринимались командованием Ленинградского фронта любые действия на морском театре. В результате удельный вес самолето-вылетов, совершенных Ил-4 1-м гмтап в интересах борьбы на сухопутном фронте, составил в первом квартале года 47% (100 из 213). Наиболее плотным график вылетов оказался в январе, когда "ильюшины" совершили 68 ночных вылетов на бомбежку станций Луга, Мга и Красногвардейск (Гатчина), а также 23 вылета на ночную блокировку вражеских аэродромов. С завершением активной фазы боевых действий на суше обстановка изменилась. 13-я воздушная армия Ленинградского фронта получили подкрепления, а с авиации флота наконец-то была снята задача прикрытия ладожской "Дороги жизни". Все это давало надежду на более активное проведение флотом очередной летней кампании (12002).</w:t>
      </w:r>
    </w:p>
    <w:p w14:paraId="0991E6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Деятельность торпедоносцев 1-го гмтап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9B487A" w:rsidRPr="00722885" w14:paraId="17062915" w14:textId="77777777" w:rsidTr="00CC5360">
        <w:tc>
          <w:tcPr>
            <w:tcW w:w="2242" w:type="dxa"/>
            <w:tcBorders>
              <w:top w:val="single" w:sz="12" w:space="0" w:color="auto"/>
            </w:tcBorders>
          </w:tcPr>
          <w:p w14:paraId="3D4450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Месяц Произведено Боевой</w:t>
            </w:r>
          </w:p>
        </w:tc>
        <w:tc>
          <w:tcPr>
            <w:tcW w:w="2242" w:type="dxa"/>
            <w:tcBorders>
              <w:top w:val="single" w:sz="12" w:space="0" w:color="auto"/>
            </w:tcBorders>
          </w:tcPr>
          <w:p w14:paraId="00CB92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Результаты</w:t>
            </w:r>
          </w:p>
        </w:tc>
        <w:tc>
          <w:tcPr>
            <w:tcW w:w="2242" w:type="dxa"/>
            <w:tcBorders>
              <w:top w:val="single" w:sz="12" w:space="0" w:color="auto"/>
            </w:tcBorders>
          </w:tcPr>
          <w:p w14:paraId="1CAF7C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Потери</w:t>
            </w:r>
          </w:p>
        </w:tc>
        <w:tc>
          <w:tcPr>
            <w:tcW w:w="2242" w:type="dxa"/>
            <w:tcBorders>
              <w:top w:val="single" w:sz="12" w:space="0" w:color="auto"/>
            </w:tcBorders>
          </w:tcPr>
          <w:p w14:paraId="134085E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2D5E559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A856C32" w14:textId="77777777" w:rsidTr="00CC5360">
        <w:tc>
          <w:tcPr>
            <w:tcW w:w="2242" w:type="dxa"/>
          </w:tcPr>
          <w:p w14:paraId="6262D4B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2242" w:type="dxa"/>
          </w:tcPr>
          <w:p w14:paraId="04868C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w:t>
            </w:r>
          </w:p>
        </w:tc>
        <w:tc>
          <w:tcPr>
            <w:tcW w:w="2242" w:type="dxa"/>
          </w:tcPr>
          <w:p w14:paraId="38C875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расход торпед</w:t>
            </w:r>
          </w:p>
        </w:tc>
        <w:tc>
          <w:tcPr>
            <w:tcW w:w="2242" w:type="dxa"/>
          </w:tcPr>
          <w:p w14:paraId="7D400F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донесениям (реальных нет)</w:t>
            </w:r>
          </w:p>
        </w:tc>
        <w:tc>
          <w:tcPr>
            <w:tcW w:w="2242" w:type="dxa"/>
          </w:tcPr>
          <w:p w14:paraId="1D98D08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DC83D0B" w14:textId="77777777" w:rsidTr="00CC5360">
        <w:tc>
          <w:tcPr>
            <w:tcW w:w="2242" w:type="dxa"/>
          </w:tcPr>
          <w:p w14:paraId="3B946B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6.42</w:t>
            </w:r>
          </w:p>
        </w:tc>
        <w:tc>
          <w:tcPr>
            <w:tcW w:w="2242" w:type="dxa"/>
          </w:tcPr>
          <w:p w14:paraId="47F721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2242" w:type="dxa"/>
          </w:tcPr>
          <w:p w14:paraId="6ECC5F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2242" w:type="dxa"/>
          </w:tcPr>
          <w:p w14:paraId="3173AA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 TP, 1 СКР или TP</w:t>
            </w:r>
          </w:p>
        </w:tc>
        <w:tc>
          <w:tcPr>
            <w:tcW w:w="2242" w:type="dxa"/>
          </w:tcPr>
          <w:p w14:paraId="3D69C57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26AC140C" w14:textId="77777777" w:rsidTr="00CC5360">
        <w:tc>
          <w:tcPr>
            <w:tcW w:w="2242" w:type="dxa"/>
          </w:tcPr>
          <w:p w14:paraId="25DAA3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7.42</w:t>
            </w:r>
          </w:p>
        </w:tc>
        <w:tc>
          <w:tcPr>
            <w:tcW w:w="2242" w:type="dxa"/>
          </w:tcPr>
          <w:p w14:paraId="4FB734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2242" w:type="dxa"/>
          </w:tcPr>
          <w:p w14:paraId="42787E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2242" w:type="dxa"/>
          </w:tcPr>
          <w:p w14:paraId="23AC88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 КЛ, 3 СКР</w:t>
            </w:r>
          </w:p>
        </w:tc>
        <w:tc>
          <w:tcPr>
            <w:tcW w:w="2242" w:type="dxa"/>
          </w:tcPr>
          <w:p w14:paraId="2D07FE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71624B1" w14:textId="77777777" w:rsidTr="00CC5360">
        <w:tc>
          <w:tcPr>
            <w:tcW w:w="2242" w:type="dxa"/>
          </w:tcPr>
          <w:p w14:paraId="3289D9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8.42</w:t>
            </w:r>
          </w:p>
        </w:tc>
        <w:tc>
          <w:tcPr>
            <w:tcW w:w="2242" w:type="dxa"/>
          </w:tcPr>
          <w:p w14:paraId="6D7214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2242" w:type="dxa"/>
          </w:tcPr>
          <w:p w14:paraId="4C8F15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2242" w:type="dxa"/>
          </w:tcPr>
          <w:p w14:paraId="284ABA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 TP</w:t>
            </w:r>
          </w:p>
        </w:tc>
        <w:tc>
          <w:tcPr>
            <w:tcW w:w="2242" w:type="dxa"/>
          </w:tcPr>
          <w:p w14:paraId="55D0D2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E9249DE" w14:textId="77777777" w:rsidTr="00CC5360">
        <w:tc>
          <w:tcPr>
            <w:tcW w:w="2242" w:type="dxa"/>
          </w:tcPr>
          <w:p w14:paraId="378A85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9.42</w:t>
            </w:r>
          </w:p>
        </w:tc>
        <w:tc>
          <w:tcPr>
            <w:tcW w:w="2242" w:type="dxa"/>
          </w:tcPr>
          <w:p w14:paraId="582E5C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2242" w:type="dxa"/>
          </w:tcPr>
          <w:p w14:paraId="05ADDD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2242" w:type="dxa"/>
          </w:tcPr>
          <w:p w14:paraId="7A25FF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42" w:type="dxa"/>
          </w:tcPr>
          <w:p w14:paraId="1EB9F2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0FC8907" w14:textId="77777777" w:rsidTr="00CC5360">
        <w:tc>
          <w:tcPr>
            <w:tcW w:w="2242" w:type="dxa"/>
          </w:tcPr>
          <w:p w14:paraId="2D28C3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10.42</w:t>
            </w:r>
          </w:p>
        </w:tc>
        <w:tc>
          <w:tcPr>
            <w:tcW w:w="2242" w:type="dxa"/>
          </w:tcPr>
          <w:p w14:paraId="0FD4AD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w:t>
            </w:r>
          </w:p>
        </w:tc>
        <w:tc>
          <w:tcPr>
            <w:tcW w:w="2242" w:type="dxa"/>
          </w:tcPr>
          <w:p w14:paraId="6D0C2A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w:t>
            </w:r>
          </w:p>
        </w:tc>
        <w:tc>
          <w:tcPr>
            <w:tcW w:w="2242" w:type="dxa"/>
          </w:tcPr>
          <w:p w14:paraId="06D19A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+ 3 TP, 1 MM, 1 СКР</w:t>
            </w:r>
          </w:p>
        </w:tc>
        <w:tc>
          <w:tcPr>
            <w:tcW w:w="2242" w:type="dxa"/>
          </w:tcPr>
          <w:p w14:paraId="322CEF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r>
      <w:tr w:rsidR="009B487A" w:rsidRPr="00722885" w14:paraId="3441F4C6" w14:textId="77777777" w:rsidTr="00CC5360">
        <w:tc>
          <w:tcPr>
            <w:tcW w:w="2242" w:type="dxa"/>
          </w:tcPr>
          <w:p w14:paraId="73217A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11.42</w:t>
            </w:r>
          </w:p>
        </w:tc>
        <w:tc>
          <w:tcPr>
            <w:tcW w:w="2242" w:type="dxa"/>
          </w:tcPr>
          <w:p w14:paraId="666C34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2242" w:type="dxa"/>
          </w:tcPr>
          <w:p w14:paraId="6020A5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2242" w:type="dxa"/>
          </w:tcPr>
          <w:p w14:paraId="5F772C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42" w:type="dxa"/>
          </w:tcPr>
          <w:p w14:paraId="79FE850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6F14D52" w14:textId="77777777" w:rsidTr="00CC5360">
        <w:tc>
          <w:tcPr>
            <w:tcW w:w="2242" w:type="dxa"/>
          </w:tcPr>
          <w:p w14:paraId="61580F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12.42</w:t>
            </w:r>
          </w:p>
        </w:tc>
        <w:tc>
          <w:tcPr>
            <w:tcW w:w="2242" w:type="dxa"/>
          </w:tcPr>
          <w:p w14:paraId="0A5369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2242" w:type="dxa"/>
          </w:tcPr>
          <w:p w14:paraId="3D0D30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42" w:type="dxa"/>
          </w:tcPr>
          <w:p w14:paraId="3DF8AD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42" w:type="dxa"/>
          </w:tcPr>
          <w:p w14:paraId="081489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2085C24" w14:textId="77777777" w:rsidTr="00CC5360">
        <w:tc>
          <w:tcPr>
            <w:tcW w:w="2242" w:type="dxa"/>
            <w:tcBorders>
              <w:bottom w:val="single" w:sz="12" w:space="0" w:color="auto"/>
            </w:tcBorders>
          </w:tcPr>
          <w:p w14:paraId="422FF6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2242" w:type="dxa"/>
            <w:tcBorders>
              <w:bottom w:val="single" w:sz="12" w:space="0" w:color="auto"/>
            </w:tcBorders>
          </w:tcPr>
          <w:p w14:paraId="4501A0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w:t>
            </w:r>
          </w:p>
        </w:tc>
        <w:tc>
          <w:tcPr>
            <w:tcW w:w="2242" w:type="dxa"/>
            <w:tcBorders>
              <w:bottom w:val="single" w:sz="12" w:space="0" w:color="auto"/>
            </w:tcBorders>
          </w:tcPr>
          <w:p w14:paraId="6A7C48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w:t>
            </w:r>
          </w:p>
        </w:tc>
        <w:tc>
          <w:tcPr>
            <w:tcW w:w="2242" w:type="dxa"/>
            <w:tcBorders>
              <w:bottom w:val="single" w:sz="12" w:space="0" w:color="auto"/>
            </w:tcBorders>
          </w:tcPr>
          <w:p w14:paraId="3CF58A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+ 6 ТР. 1 ММ, 2 КЛ, 5 СКР 2</w:t>
            </w:r>
          </w:p>
        </w:tc>
        <w:tc>
          <w:tcPr>
            <w:tcW w:w="2242" w:type="dxa"/>
            <w:tcBorders>
              <w:bottom w:val="single" w:sz="12" w:space="0" w:color="auto"/>
            </w:tcBorders>
          </w:tcPr>
          <w:p w14:paraId="32D0097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bl>
    <w:p w14:paraId="45C3D4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Торпедные атаки МТА КБФ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9B487A" w:rsidRPr="00722885" w14:paraId="750A922F" w14:textId="77777777" w:rsidTr="00CC5360">
        <w:tc>
          <w:tcPr>
            <w:tcW w:w="1245" w:type="dxa"/>
            <w:tcBorders>
              <w:top w:val="single" w:sz="12" w:space="0" w:color="auto"/>
            </w:tcBorders>
          </w:tcPr>
          <w:p w14:paraId="04BF03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Дата</w:t>
            </w:r>
          </w:p>
        </w:tc>
        <w:tc>
          <w:tcPr>
            <w:tcW w:w="1245" w:type="dxa"/>
            <w:tcBorders>
              <w:top w:val="single" w:sz="12" w:space="0" w:color="auto"/>
            </w:tcBorders>
          </w:tcPr>
          <w:p w14:paraId="2EEB19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Число и</w:t>
            </w:r>
          </w:p>
        </w:tc>
        <w:tc>
          <w:tcPr>
            <w:tcW w:w="1245" w:type="dxa"/>
            <w:tcBorders>
              <w:top w:val="single" w:sz="12" w:space="0" w:color="auto"/>
            </w:tcBorders>
          </w:tcPr>
          <w:p w14:paraId="0C3CC4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Пилот</w:t>
            </w:r>
          </w:p>
        </w:tc>
        <w:tc>
          <w:tcPr>
            <w:tcW w:w="1245" w:type="dxa"/>
            <w:tcBorders>
              <w:top w:val="single" w:sz="12" w:space="0" w:color="auto"/>
            </w:tcBorders>
          </w:tcPr>
          <w:p w14:paraId="125776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Задача</w:t>
            </w:r>
          </w:p>
        </w:tc>
        <w:tc>
          <w:tcPr>
            <w:tcW w:w="1245" w:type="dxa"/>
            <w:tcBorders>
              <w:top w:val="single" w:sz="12" w:space="0" w:color="auto"/>
            </w:tcBorders>
          </w:tcPr>
          <w:p w14:paraId="4079EB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Район</w:t>
            </w:r>
          </w:p>
        </w:tc>
        <w:tc>
          <w:tcPr>
            <w:tcW w:w="1245" w:type="dxa"/>
            <w:tcBorders>
              <w:top w:val="single" w:sz="12" w:space="0" w:color="auto"/>
            </w:tcBorders>
          </w:tcPr>
          <w:p w14:paraId="205C41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Цель атаки, Число и тиг</w:t>
            </w:r>
          </w:p>
        </w:tc>
        <w:tc>
          <w:tcPr>
            <w:tcW w:w="1245" w:type="dxa"/>
            <w:tcBorders>
              <w:top w:val="single" w:sz="12" w:space="0" w:color="auto"/>
            </w:tcBorders>
          </w:tcPr>
          <w:p w14:paraId="0E5C09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Результат,</w:t>
            </w:r>
          </w:p>
        </w:tc>
        <w:tc>
          <w:tcPr>
            <w:tcW w:w="1245" w:type="dxa"/>
            <w:tcBorders>
              <w:top w:val="single" w:sz="12" w:space="0" w:color="auto"/>
            </w:tcBorders>
          </w:tcPr>
          <w:p w14:paraId="7BD54E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Потери</w:t>
            </w:r>
          </w:p>
        </w:tc>
        <w:tc>
          <w:tcPr>
            <w:tcW w:w="1245" w:type="dxa"/>
            <w:tcBorders>
              <w:top w:val="single" w:sz="12" w:space="0" w:color="auto"/>
            </w:tcBorders>
          </w:tcPr>
          <w:p w14:paraId="413A4F8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4DA54B7" w14:textId="77777777" w:rsidTr="00CC5360">
        <w:tc>
          <w:tcPr>
            <w:tcW w:w="1245" w:type="dxa"/>
          </w:tcPr>
          <w:p w14:paraId="31971D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w:t>
            </w:r>
          </w:p>
        </w:tc>
        <w:tc>
          <w:tcPr>
            <w:tcW w:w="1245" w:type="dxa"/>
          </w:tcPr>
          <w:p w14:paraId="0D5728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сам.</w:t>
            </w:r>
          </w:p>
        </w:tc>
        <w:tc>
          <w:tcPr>
            <w:tcW w:w="1245" w:type="dxa"/>
          </w:tcPr>
          <w:p w14:paraId="63B056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245" w:type="dxa"/>
          </w:tcPr>
          <w:p w14:paraId="7EE8B84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0F2410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8B57D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данные</w:t>
            </w:r>
          </w:p>
        </w:tc>
        <w:tc>
          <w:tcPr>
            <w:tcW w:w="1245" w:type="dxa"/>
          </w:tcPr>
          <w:p w14:paraId="558CA3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торпед</w:t>
            </w:r>
          </w:p>
        </w:tc>
        <w:tc>
          <w:tcPr>
            <w:tcW w:w="1245" w:type="dxa"/>
          </w:tcPr>
          <w:p w14:paraId="0F5B50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донесению/</w:t>
            </w:r>
          </w:p>
        </w:tc>
        <w:tc>
          <w:tcPr>
            <w:tcW w:w="1245" w:type="dxa"/>
          </w:tcPr>
          <w:p w14:paraId="3D190B7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95246CA" w14:textId="77777777" w:rsidTr="00CC5360">
        <w:tc>
          <w:tcPr>
            <w:tcW w:w="1245" w:type="dxa"/>
          </w:tcPr>
          <w:p w14:paraId="46F09A9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7676FD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63A74E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BA3AE0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15893A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E25DF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наши/противника</w:t>
            </w:r>
          </w:p>
        </w:tc>
        <w:tc>
          <w:tcPr>
            <w:tcW w:w="1245" w:type="dxa"/>
          </w:tcPr>
          <w:p w14:paraId="5DF7B1C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26B1C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реально</w:t>
            </w:r>
          </w:p>
        </w:tc>
        <w:tc>
          <w:tcPr>
            <w:tcW w:w="1245" w:type="dxa"/>
          </w:tcPr>
          <w:p w14:paraId="622A3C2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207D814" w14:textId="77777777" w:rsidTr="00CC5360">
        <w:tc>
          <w:tcPr>
            <w:tcW w:w="1245" w:type="dxa"/>
          </w:tcPr>
          <w:p w14:paraId="34727A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 (02.04)</w:t>
            </w:r>
          </w:p>
        </w:tc>
        <w:tc>
          <w:tcPr>
            <w:tcW w:w="1245" w:type="dxa"/>
          </w:tcPr>
          <w:p w14:paraId="26DA95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ДБ-3</w:t>
            </w:r>
          </w:p>
        </w:tc>
        <w:tc>
          <w:tcPr>
            <w:tcW w:w="1245" w:type="dxa"/>
          </w:tcPr>
          <w:p w14:paraId="2A9F58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Преображенский,</w:t>
            </w:r>
          </w:p>
        </w:tc>
        <w:tc>
          <w:tcPr>
            <w:tcW w:w="1245" w:type="dxa"/>
          </w:tcPr>
          <w:p w14:paraId="3E1823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w:t>
            </w:r>
          </w:p>
        </w:tc>
        <w:tc>
          <w:tcPr>
            <w:tcW w:w="1245" w:type="dxa"/>
          </w:tcPr>
          <w:p w14:paraId="3F1BBD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бш Вигрунд</w:t>
            </w:r>
          </w:p>
        </w:tc>
        <w:tc>
          <w:tcPr>
            <w:tcW w:w="1245" w:type="dxa"/>
          </w:tcPr>
          <w:p w14:paraId="263200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OTP 6-800/?</w:t>
            </w:r>
          </w:p>
        </w:tc>
        <w:tc>
          <w:tcPr>
            <w:tcW w:w="1245" w:type="dxa"/>
          </w:tcPr>
          <w:p w14:paraId="6758BC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АН</w:t>
            </w:r>
          </w:p>
        </w:tc>
        <w:tc>
          <w:tcPr>
            <w:tcW w:w="1245" w:type="dxa"/>
          </w:tcPr>
          <w:p w14:paraId="524A82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промах</w:t>
            </w:r>
          </w:p>
        </w:tc>
        <w:tc>
          <w:tcPr>
            <w:tcW w:w="1245" w:type="dxa"/>
          </w:tcPr>
          <w:p w14:paraId="0F6CF53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EE869AA" w14:textId="77777777" w:rsidTr="00CC5360">
        <w:tc>
          <w:tcPr>
            <w:tcW w:w="1245" w:type="dxa"/>
          </w:tcPr>
          <w:p w14:paraId="61F971B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98BB23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F4118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Дроздов</w:t>
            </w:r>
          </w:p>
        </w:tc>
        <w:tc>
          <w:tcPr>
            <w:tcW w:w="1245" w:type="dxa"/>
          </w:tcPr>
          <w:p w14:paraId="3F56315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8AF584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9D98F4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A5B671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F8DFF2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583087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692A57F" w14:textId="77777777" w:rsidTr="00CC5360">
        <w:tc>
          <w:tcPr>
            <w:tcW w:w="1245" w:type="dxa"/>
          </w:tcPr>
          <w:p w14:paraId="452A6D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 (20.42)</w:t>
            </w:r>
          </w:p>
        </w:tc>
        <w:tc>
          <w:tcPr>
            <w:tcW w:w="1245" w:type="dxa"/>
          </w:tcPr>
          <w:p w14:paraId="07BACA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ДБ-3</w:t>
            </w:r>
          </w:p>
        </w:tc>
        <w:tc>
          <w:tcPr>
            <w:tcW w:w="1245" w:type="dxa"/>
          </w:tcPr>
          <w:p w14:paraId="23EE64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Дроздов,</w:t>
            </w:r>
          </w:p>
        </w:tc>
        <w:tc>
          <w:tcPr>
            <w:tcW w:w="1245" w:type="dxa"/>
          </w:tcPr>
          <w:p w14:paraId="0B8210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у-вр</w:t>
            </w:r>
          </w:p>
        </w:tc>
        <w:tc>
          <w:tcPr>
            <w:tcW w:w="1245" w:type="dxa"/>
          </w:tcPr>
          <w:p w14:paraId="17CAA7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 поб-е</w:t>
            </w:r>
          </w:p>
        </w:tc>
        <w:tc>
          <w:tcPr>
            <w:tcW w:w="1245" w:type="dxa"/>
          </w:tcPr>
          <w:p w14:paraId="54838B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 (1 TP, 1 СКР)/?</w:t>
            </w:r>
          </w:p>
        </w:tc>
        <w:tc>
          <w:tcPr>
            <w:tcW w:w="1245" w:type="dxa"/>
          </w:tcPr>
          <w:p w14:paraId="5587C8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АН</w:t>
            </w:r>
          </w:p>
        </w:tc>
        <w:tc>
          <w:tcPr>
            <w:tcW w:w="1245" w:type="dxa"/>
          </w:tcPr>
          <w:p w14:paraId="5522FD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 СКР/промах</w:t>
            </w:r>
          </w:p>
        </w:tc>
        <w:tc>
          <w:tcPr>
            <w:tcW w:w="1245" w:type="dxa"/>
          </w:tcPr>
          <w:p w14:paraId="3A5AC05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525B663A" w14:textId="77777777" w:rsidTr="00CC5360">
        <w:tc>
          <w:tcPr>
            <w:tcW w:w="1245" w:type="dxa"/>
          </w:tcPr>
          <w:p w14:paraId="02E3E0B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B2F9AD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C5377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Бунимович,</w:t>
            </w:r>
          </w:p>
        </w:tc>
        <w:tc>
          <w:tcPr>
            <w:tcW w:w="1245" w:type="dxa"/>
          </w:tcPr>
          <w:p w14:paraId="590F16A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2E56F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Гогланд</w:t>
            </w:r>
          </w:p>
        </w:tc>
        <w:tc>
          <w:tcPr>
            <w:tcW w:w="1245" w:type="dxa"/>
          </w:tcPr>
          <w:p w14:paraId="26F5F88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54C074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0BFACB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450FF3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9C1E0AE" w14:textId="77777777" w:rsidTr="00CC5360">
        <w:tc>
          <w:tcPr>
            <w:tcW w:w="1245" w:type="dxa"/>
          </w:tcPr>
          <w:p w14:paraId="176D8DF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0EC473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3743C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Пресняков,</w:t>
            </w:r>
          </w:p>
        </w:tc>
        <w:tc>
          <w:tcPr>
            <w:tcW w:w="1245" w:type="dxa"/>
          </w:tcPr>
          <w:p w14:paraId="7D4C828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B39100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5729787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CFE906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CF64A8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F95329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2C845C6" w14:textId="77777777" w:rsidTr="00CC5360">
        <w:tc>
          <w:tcPr>
            <w:tcW w:w="1245" w:type="dxa"/>
          </w:tcPr>
          <w:p w14:paraId="4DD564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17.6(16.28)</w:t>
            </w:r>
          </w:p>
        </w:tc>
        <w:tc>
          <w:tcPr>
            <w:tcW w:w="1245" w:type="dxa"/>
          </w:tcPr>
          <w:p w14:paraId="0E8334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ДБ-3</w:t>
            </w:r>
          </w:p>
        </w:tc>
        <w:tc>
          <w:tcPr>
            <w:tcW w:w="1245" w:type="dxa"/>
          </w:tcPr>
          <w:p w14:paraId="5A87F0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Пресняков,</w:t>
            </w:r>
          </w:p>
        </w:tc>
        <w:tc>
          <w:tcPr>
            <w:tcW w:w="1245" w:type="dxa"/>
          </w:tcPr>
          <w:p w14:paraId="2C2794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у-вр</w:t>
            </w:r>
          </w:p>
        </w:tc>
        <w:tc>
          <w:tcPr>
            <w:tcW w:w="1245" w:type="dxa"/>
          </w:tcPr>
          <w:p w14:paraId="058172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бух. Суркюль</w:t>
            </w:r>
          </w:p>
        </w:tc>
        <w:tc>
          <w:tcPr>
            <w:tcW w:w="1245" w:type="dxa"/>
          </w:tcPr>
          <w:p w14:paraId="521429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 (4 ТР)/БО "Uj 1207", -Uj 1211",</w:t>
            </w:r>
          </w:p>
        </w:tc>
        <w:tc>
          <w:tcPr>
            <w:tcW w:w="1245" w:type="dxa"/>
          </w:tcPr>
          <w:p w14:paraId="6A8B8F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АН</w:t>
            </w:r>
          </w:p>
        </w:tc>
        <w:tc>
          <w:tcPr>
            <w:tcW w:w="1245" w:type="dxa"/>
          </w:tcPr>
          <w:p w14:paraId="070049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сильных взрыва</w:t>
            </w:r>
          </w:p>
        </w:tc>
        <w:tc>
          <w:tcPr>
            <w:tcW w:w="1245" w:type="dxa"/>
          </w:tcPr>
          <w:p w14:paraId="3106F3E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B433379" w14:textId="77777777" w:rsidTr="00CC5360">
        <w:tc>
          <w:tcPr>
            <w:tcW w:w="1245" w:type="dxa"/>
          </w:tcPr>
          <w:p w14:paraId="0829C11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4E1EC2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A2E12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Бунимович</w:t>
            </w:r>
          </w:p>
        </w:tc>
        <w:tc>
          <w:tcPr>
            <w:tcW w:w="1245" w:type="dxa"/>
          </w:tcPr>
          <w:p w14:paraId="4493180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5A0CFC0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F2CDF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"Uj 1202", "Uj 1212", СКР "V 311"</w:t>
            </w:r>
          </w:p>
        </w:tc>
        <w:tc>
          <w:tcPr>
            <w:tcW w:w="1245" w:type="dxa"/>
          </w:tcPr>
          <w:p w14:paraId="3787E8C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3F8FC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ТР/промах</w:t>
            </w:r>
          </w:p>
        </w:tc>
        <w:tc>
          <w:tcPr>
            <w:tcW w:w="1245" w:type="dxa"/>
          </w:tcPr>
          <w:p w14:paraId="31ECFA1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D9FDBBB" w14:textId="77777777" w:rsidTr="00CC5360">
        <w:tc>
          <w:tcPr>
            <w:tcW w:w="1245" w:type="dxa"/>
          </w:tcPr>
          <w:p w14:paraId="0C1A91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 (09.55)</w:t>
            </w:r>
          </w:p>
        </w:tc>
        <w:tc>
          <w:tcPr>
            <w:tcW w:w="1245" w:type="dxa"/>
          </w:tcPr>
          <w:p w14:paraId="723DA5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ДБ-3</w:t>
            </w:r>
          </w:p>
        </w:tc>
        <w:tc>
          <w:tcPr>
            <w:tcW w:w="1245" w:type="dxa"/>
          </w:tcPr>
          <w:p w14:paraId="41F89B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Дроздов,Пятков,</w:t>
            </w:r>
          </w:p>
        </w:tc>
        <w:tc>
          <w:tcPr>
            <w:tcW w:w="1245" w:type="dxa"/>
          </w:tcPr>
          <w:p w14:paraId="7981D4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у-вр</w:t>
            </w:r>
          </w:p>
        </w:tc>
        <w:tc>
          <w:tcPr>
            <w:tcW w:w="1245" w:type="dxa"/>
          </w:tcPr>
          <w:p w14:paraId="04B83A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р-н</w:t>
            </w:r>
          </w:p>
        </w:tc>
        <w:tc>
          <w:tcPr>
            <w:tcW w:w="1245" w:type="dxa"/>
          </w:tcPr>
          <w:p w14:paraId="2AB749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СКР/фин. МЗ</w:t>
            </w:r>
          </w:p>
        </w:tc>
        <w:tc>
          <w:tcPr>
            <w:tcW w:w="1245" w:type="dxa"/>
          </w:tcPr>
          <w:p w14:paraId="5491D1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АН</w:t>
            </w:r>
          </w:p>
        </w:tc>
        <w:tc>
          <w:tcPr>
            <w:tcW w:w="1245" w:type="dxa"/>
          </w:tcPr>
          <w:p w14:paraId="7923E3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 TP, 1 СКР/промах</w:t>
            </w:r>
          </w:p>
        </w:tc>
        <w:tc>
          <w:tcPr>
            <w:tcW w:w="1245" w:type="dxa"/>
          </w:tcPr>
          <w:p w14:paraId="70D31A2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5530ADC" w14:textId="77777777" w:rsidTr="00CC5360">
        <w:tc>
          <w:tcPr>
            <w:tcW w:w="1245" w:type="dxa"/>
          </w:tcPr>
          <w:p w14:paraId="28BD755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74C684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949FA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Пресняков, Бунимович</w:t>
            </w:r>
          </w:p>
        </w:tc>
        <w:tc>
          <w:tcPr>
            <w:tcW w:w="1245" w:type="dxa"/>
          </w:tcPr>
          <w:p w14:paraId="461F11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Соммерс</w:t>
            </w:r>
          </w:p>
        </w:tc>
        <w:tc>
          <w:tcPr>
            <w:tcW w:w="1245" w:type="dxa"/>
          </w:tcPr>
          <w:p w14:paraId="30E3C10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C70C17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CBA0A1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8218F0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A792A2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AEABA6C" w14:textId="77777777" w:rsidTr="00CC5360">
        <w:tc>
          <w:tcPr>
            <w:tcW w:w="1245" w:type="dxa"/>
          </w:tcPr>
          <w:p w14:paraId="3DD47A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10.7(12.20)</w:t>
            </w:r>
          </w:p>
        </w:tc>
        <w:tc>
          <w:tcPr>
            <w:tcW w:w="1245" w:type="dxa"/>
          </w:tcPr>
          <w:p w14:paraId="1B7DC5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ДБ-3</w:t>
            </w:r>
          </w:p>
        </w:tc>
        <w:tc>
          <w:tcPr>
            <w:tcW w:w="1245" w:type="dxa"/>
          </w:tcPr>
          <w:p w14:paraId="42FF1D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Балебин,</w:t>
            </w:r>
          </w:p>
        </w:tc>
        <w:tc>
          <w:tcPr>
            <w:tcW w:w="1245" w:type="dxa"/>
          </w:tcPr>
          <w:p w14:paraId="501AE9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у-вр</w:t>
            </w:r>
          </w:p>
        </w:tc>
        <w:tc>
          <w:tcPr>
            <w:tcW w:w="1245" w:type="dxa"/>
          </w:tcPr>
          <w:p w14:paraId="338B09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 же</w:t>
            </w:r>
          </w:p>
        </w:tc>
        <w:tc>
          <w:tcPr>
            <w:tcW w:w="1245" w:type="dxa"/>
          </w:tcPr>
          <w:p w14:paraId="77F16B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КЛ или вооруж. TP, 1 СКР/</w:t>
            </w:r>
          </w:p>
        </w:tc>
        <w:tc>
          <w:tcPr>
            <w:tcW w:w="1245" w:type="dxa"/>
          </w:tcPr>
          <w:p w14:paraId="03B7D5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АН</w:t>
            </w:r>
          </w:p>
        </w:tc>
        <w:tc>
          <w:tcPr>
            <w:tcW w:w="1245" w:type="dxa"/>
          </w:tcPr>
          <w:p w14:paraId="3E77B2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КЛ/промах</w:t>
            </w:r>
          </w:p>
        </w:tc>
        <w:tc>
          <w:tcPr>
            <w:tcW w:w="1245" w:type="dxa"/>
          </w:tcPr>
          <w:p w14:paraId="10F8268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20CB784E" w14:textId="77777777" w:rsidTr="00CC5360">
        <w:tc>
          <w:tcPr>
            <w:tcW w:w="1245" w:type="dxa"/>
          </w:tcPr>
          <w:p w14:paraId="39FE8F9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5D82D5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1510C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Овсянников</w:t>
            </w:r>
          </w:p>
        </w:tc>
        <w:tc>
          <w:tcPr>
            <w:tcW w:w="1245" w:type="dxa"/>
          </w:tcPr>
          <w:p w14:paraId="1D5A2BF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754D6C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CBF88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герм, и фин. кор. у о. Соммерс</w:t>
            </w:r>
          </w:p>
        </w:tc>
        <w:tc>
          <w:tcPr>
            <w:tcW w:w="1245" w:type="dxa"/>
          </w:tcPr>
          <w:p w14:paraId="5AE1019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507E7F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B5B835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F27AA66" w14:textId="77777777" w:rsidTr="00CC5360">
        <w:tc>
          <w:tcPr>
            <w:tcW w:w="1245" w:type="dxa"/>
          </w:tcPr>
          <w:p w14:paraId="38D302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10.7(17.25)</w:t>
            </w:r>
          </w:p>
        </w:tc>
        <w:tc>
          <w:tcPr>
            <w:tcW w:w="1245" w:type="dxa"/>
          </w:tcPr>
          <w:p w14:paraId="12243F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ДБ-3</w:t>
            </w:r>
          </w:p>
        </w:tc>
        <w:tc>
          <w:tcPr>
            <w:tcW w:w="1245" w:type="dxa"/>
          </w:tcPr>
          <w:p w14:paraId="13B61E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Кузнецов,</w:t>
            </w:r>
          </w:p>
        </w:tc>
        <w:tc>
          <w:tcPr>
            <w:tcW w:w="1245" w:type="dxa"/>
          </w:tcPr>
          <w:p w14:paraId="4CC869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у-вр</w:t>
            </w:r>
          </w:p>
        </w:tc>
        <w:tc>
          <w:tcPr>
            <w:tcW w:w="1245" w:type="dxa"/>
          </w:tcPr>
          <w:p w14:paraId="3F947F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 же</w:t>
            </w:r>
          </w:p>
        </w:tc>
        <w:tc>
          <w:tcPr>
            <w:tcW w:w="1245" w:type="dxa"/>
          </w:tcPr>
          <w:p w14:paraId="3EEEA8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СКР/</w:t>
            </w:r>
          </w:p>
        </w:tc>
        <w:tc>
          <w:tcPr>
            <w:tcW w:w="1245" w:type="dxa"/>
          </w:tcPr>
          <w:p w14:paraId="64C9EE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АН</w:t>
            </w:r>
          </w:p>
        </w:tc>
        <w:tc>
          <w:tcPr>
            <w:tcW w:w="1245" w:type="dxa"/>
          </w:tcPr>
          <w:p w14:paraId="31C531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СКР/промах</w:t>
            </w:r>
          </w:p>
        </w:tc>
        <w:tc>
          <w:tcPr>
            <w:tcW w:w="1245" w:type="dxa"/>
          </w:tcPr>
          <w:p w14:paraId="74FBE90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70261C1" w14:textId="77777777" w:rsidTr="00CC5360">
        <w:tc>
          <w:tcPr>
            <w:tcW w:w="1245" w:type="dxa"/>
          </w:tcPr>
          <w:p w14:paraId="2FC10AC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BC8758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45082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Кудряшов</w:t>
            </w:r>
          </w:p>
        </w:tc>
        <w:tc>
          <w:tcPr>
            <w:tcW w:w="1245" w:type="dxa"/>
          </w:tcPr>
          <w:p w14:paraId="4FA08C9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5D3D51A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471FE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герм, и фин. кор. у о. Соммерс</w:t>
            </w:r>
          </w:p>
        </w:tc>
        <w:tc>
          <w:tcPr>
            <w:tcW w:w="1245" w:type="dxa"/>
          </w:tcPr>
          <w:p w14:paraId="744CED8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6427AA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F67AA6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07E6702" w14:textId="77777777" w:rsidTr="00CC5360">
        <w:tc>
          <w:tcPr>
            <w:tcW w:w="1245" w:type="dxa"/>
          </w:tcPr>
          <w:p w14:paraId="416D05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11.7 (09.44)</w:t>
            </w:r>
          </w:p>
        </w:tc>
        <w:tc>
          <w:tcPr>
            <w:tcW w:w="1245" w:type="dxa"/>
          </w:tcPr>
          <w:p w14:paraId="0E7E97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ДБ-3</w:t>
            </w:r>
          </w:p>
        </w:tc>
        <w:tc>
          <w:tcPr>
            <w:tcW w:w="1245" w:type="dxa"/>
          </w:tcPr>
          <w:p w14:paraId="298CE6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Балебин,</w:t>
            </w:r>
          </w:p>
        </w:tc>
        <w:tc>
          <w:tcPr>
            <w:tcW w:w="1245" w:type="dxa"/>
          </w:tcPr>
          <w:p w14:paraId="1D7431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у-вр</w:t>
            </w:r>
          </w:p>
        </w:tc>
        <w:tc>
          <w:tcPr>
            <w:tcW w:w="1245" w:type="dxa"/>
          </w:tcPr>
          <w:p w14:paraId="0DA22D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 же</w:t>
            </w:r>
          </w:p>
        </w:tc>
        <w:tc>
          <w:tcPr>
            <w:tcW w:w="1245" w:type="dxa"/>
          </w:tcPr>
          <w:p w14:paraId="21AC49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фин. КЛ "Турунмаа"</w:t>
            </w:r>
          </w:p>
        </w:tc>
        <w:tc>
          <w:tcPr>
            <w:tcW w:w="1245" w:type="dxa"/>
          </w:tcPr>
          <w:p w14:paraId="698D97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АН</w:t>
            </w:r>
          </w:p>
        </w:tc>
        <w:tc>
          <w:tcPr>
            <w:tcW w:w="1245" w:type="dxa"/>
          </w:tcPr>
          <w:p w14:paraId="77FF08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 СКР/промах</w:t>
            </w:r>
          </w:p>
        </w:tc>
        <w:tc>
          <w:tcPr>
            <w:tcW w:w="1245" w:type="dxa"/>
          </w:tcPr>
          <w:p w14:paraId="0DFBD09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348FB6A" w14:textId="77777777" w:rsidTr="00CC5360">
        <w:tc>
          <w:tcPr>
            <w:tcW w:w="1245" w:type="dxa"/>
          </w:tcPr>
          <w:p w14:paraId="5C42810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E5BF5E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8F67A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Овсянников</w:t>
            </w:r>
          </w:p>
        </w:tc>
        <w:tc>
          <w:tcPr>
            <w:tcW w:w="1245" w:type="dxa"/>
          </w:tcPr>
          <w:p w14:paraId="12D51EA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504908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B2971E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0042D4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B49954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0F1474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BDF8B7C" w14:textId="77777777" w:rsidTr="00CC5360">
        <w:tc>
          <w:tcPr>
            <w:tcW w:w="1245" w:type="dxa"/>
          </w:tcPr>
          <w:p w14:paraId="21E1CB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11.7(14.27)</w:t>
            </w:r>
          </w:p>
        </w:tc>
        <w:tc>
          <w:tcPr>
            <w:tcW w:w="1245" w:type="dxa"/>
          </w:tcPr>
          <w:p w14:paraId="6E5A1D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ДБ-3</w:t>
            </w:r>
          </w:p>
        </w:tc>
        <w:tc>
          <w:tcPr>
            <w:tcW w:w="1245" w:type="dxa"/>
          </w:tcPr>
          <w:p w14:paraId="121ED1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м-р Кузнецов,</w:t>
            </w:r>
          </w:p>
        </w:tc>
        <w:tc>
          <w:tcPr>
            <w:tcW w:w="1245" w:type="dxa"/>
          </w:tcPr>
          <w:p w14:paraId="435A8F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у-вр</w:t>
            </w:r>
          </w:p>
        </w:tc>
        <w:tc>
          <w:tcPr>
            <w:tcW w:w="1245" w:type="dxa"/>
          </w:tcPr>
          <w:p w14:paraId="04499E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 же</w:t>
            </w:r>
          </w:p>
        </w:tc>
        <w:tc>
          <w:tcPr>
            <w:tcW w:w="1245" w:type="dxa"/>
          </w:tcPr>
          <w:p w14:paraId="174148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герм, и фин. кор. у о. Соммерс</w:t>
            </w:r>
          </w:p>
        </w:tc>
        <w:tc>
          <w:tcPr>
            <w:tcW w:w="1245" w:type="dxa"/>
          </w:tcPr>
          <w:p w14:paraId="3E9069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АН</w:t>
            </w:r>
          </w:p>
        </w:tc>
        <w:tc>
          <w:tcPr>
            <w:tcW w:w="1245" w:type="dxa"/>
          </w:tcPr>
          <w:p w14:paraId="4533FF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промах</w:t>
            </w:r>
          </w:p>
        </w:tc>
        <w:tc>
          <w:tcPr>
            <w:tcW w:w="1245" w:type="dxa"/>
          </w:tcPr>
          <w:p w14:paraId="76E0746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FD3C7DA" w14:textId="77777777" w:rsidTr="00CC5360">
        <w:tc>
          <w:tcPr>
            <w:tcW w:w="1245" w:type="dxa"/>
          </w:tcPr>
          <w:p w14:paraId="69F6E0B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F1705E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14A1E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Яитовчук</w:t>
            </w:r>
          </w:p>
        </w:tc>
        <w:tc>
          <w:tcPr>
            <w:tcW w:w="1245" w:type="dxa"/>
          </w:tcPr>
          <w:p w14:paraId="437B155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3EEC91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5AA4E49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2E3983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053DB8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5C1AEBC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A682C53" w14:textId="77777777" w:rsidTr="00CC5360">
        <w:tc>
          <w:tcPr>
            <w:tcW w:w="1245" w:type="dxa"/>
          </w:tcPr>
          <w:p w14:paraId="4AA69D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9.8(21.20)</w:t>
            </w:r>
          </w:p>
        </w:tc>
        <w:tc>
          <w:tcPr>
            <w:tcW w:w="1245" w:type="dxa"/>
          </w:tcPr>
          <w:p w14:paraId="74E7F2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ДБ-3</w:t>
            </w:r>
          </w:p>
        </w:tc>
        <w:tc>
          <w:tcPr>
            <w:tcW w:w="1245" w:type="dxa"/>
          </w:tcPr>
          <w:p w14:paraId="0158AD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Овсянников,</w:t>
            </w:r>
          </w:p>
        </w:tc>
        <w:tc>
          <w:tcPr>
            <w:tcW w:w="1245" w:type="dxa"/>
          </w:tcPr>
          <w:p w14:paraId="41F89A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у-вр</w:t>
            </w:r>
          </w:p>
        </w:tc>
        <w:tc>
          <w:tcPr>
            <w:tcW w:w="1245" w:type="dxa"/>
          </w:tcPr>
          <w:p w14:paraId="794249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р-н о. Б.Тютерс</w:t>
            </w:r>
          </w:p>
        </w:tc>
        <w:tc>
          <w:tcPr>
            <w:tcW w:w="1245" w:type="dxa"/>
          </w:tcPr>
          <w:p w14:paraId="7F0093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 (3 TP)/ ТЩ"М 29", "М 15"</w:t>
            </w:r>
          </w:p>
        </w:tc>
        <w:tc>
          <w:tcPr>
            <w:tcW w:w="1245" w:type="dxa"/>
          </w:tcPr>
          <w:p w14:paraId="54186D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АН</w:t>
            </w:r>
          </w:p>
        </w:tc>
        <w:tc>
          <w:tcPr>
            <w:tcW w:w="1245" w:type="dxa"/>
          </w:tcPr>
          <w:p w14:paraId="481B16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 ТР/промах</w:t>
            </w:r>
          </w:p>
        </w:tc>
        <w:tc>
          <w:tcPr>
            <w:tcW w:w="1245" w:type="dxa"/>
          </w:tcPr>
          <w:p w14:paraId="522ED9D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41F8A76" w14:textId="77777777" w:rsidTr="00CC5360">
        <w:tc>
          <w:tcPr>
            <w:tcW w:w="1245" w:type="dxa"/>
          </w:tcPr>
          <w:p w14:paraId="39796BD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22A91A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621EA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Кудряшов</w:t>
            </w:r>
          </w:p>
        </w:tc>
        <w:tc>
          <w:tcPr>
            <w:tcW w:w="1245" w:type="dxa"/>
          </w:tcPr>
          <w:p w14:paraId="4E1E3FF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988956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7D8BD3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0DF48A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0F2596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5C5C832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34CFC09" w14:textId="77777777" w:rsidTr="00CC5360">
        <w:tc>
          <w:tcPr>
            <w:tcW w:w="1245" w:type="dxa"/>
          </w:tcPr>
          <w:p w14:paraId="290FCC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27.8 (17.27-17.35)</w:t>
            </w:r>
          </w:p>
        </w:tc>
        <w:tc>
          <w:tcPr>
            <w:tcW w:w="1245" w:type="dxa"/>
          </w:tcPr>
          <w:p w14:paraId="5E1C79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ДБ-3</w:t>
            </w:r>
          </w:p>
        </w:tc>
        <w:tc>
          <w:tcPr>
            <w:tcW w:w="1245" w:type="dxa"/>
          </w:tcPr>
          <w:p w14:paraId="056D85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Дроздов, Балебин</w:t>
            </w:r>
          </w:p>
        </w:tc>
        <w:tc>
          <w:tcPr>
            <w:tcW w:w="1245" w:type="dxa"/>
          </w:tcPr>
          <w:p w14:paraId="559453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у-вр</w:t>
            </w:r>
          </w:p>
        </w:tc>
        <w:tc>
          <w:tcPr>
            <w:tcW w:w="1245" w:type="dxa"/>
          </w:tcPr>
          <w:p w14:paraId="366664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59.38/27.10</w:t>
            </w:r>
          </w:p>
        </w:tc>
        <w:tc>
          <w:tcPr>
            <w:tcW w:w="1245" w:type="dxa"/>
          </w:tcPr>
          <w:p w14:paraId="113500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ТР/ТЩ "М 29", "М 30",</w:t>
            </w:r>
          </w:p>
        </w:tc>
        <w:tc>
          <w:tcPr>
            <w:tcW w:w="1245" w:type="dxa"/>
          </w:tcPr>
          <w:p w14:paraId="396709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АН</w:t>
            </w:r>
          </w:p>
        </w:tc>
        <w:tc>
          <w:tcPr>
            <w:tcW w:w="1245" w:type="dxa"/>
          </w:tcPr>
          <w:p w14:paraId="40D5A6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TP 1500/промах</w:t>
            </w:r>
          </w:p>
        </w:tc>
        <w:tc>
          <w:tcPr>
            <w:tcW w:w="1245" w:type="dxa"/>
          </w:tcPr>
          <w:p w14:paraId="5F6CFDA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A400628" w14:textId="77777777" w:rsidTr="00CC5360">
        <w:tc>
          <w:tcPr>
            <w:tcW w:w="1245" w:type="dxa"/>
          </w:tcPr>
          <w:p w14:paraId="6B6DE0D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156ECB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EC4489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B221C3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6A1C69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74B9F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oМ 15", "М 17"</w:t>
            </w:r>
          </w:p>
        </w:tc>
        <w:tc>
          <w:tcPr>
            <w:tcW w:w="1245" w:type="dxa"/>
          </w:tcPr>
          <w:p w14:paraId="1B2AA1F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D94508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DE2360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51D31793" w14:textId="77777777" w:rsidTr="00CC5360">
        <w:tc>
          <w:tcPr>
            <w:tcW w:w="1245" w:type="dxa"/>
          </w:tcPr>
          <w:p w14:paraId="053915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20.9 (18.12)</w:t>
            </w:r>
          </w:p>
        </w:tc>
        <w:tc>
          <w:tcPr>
            <w:tcW w:w="1245" w:type="dxa"/>
          </w:tcPr>
          <w:p w14:paraId="79F242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ДБ-3</w:t>
            </w:r>
          </w:p>
        </w:tc>
        <w:tc>
          <w:tcPr>
            <w:tcW w:w="1245" w:type="dxa"/>
          </w:tcPr>
          <w:p w14:paraId="5DF1C0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Борзов,Шаманов,</w:t>
            </w:r>
          </w:p>
        </w:tc>
        <w:tc>
          <w:tcPr>
            <w:tcW w:w="1245" w:type="dxa"/>
          </w:tcPr>
          <w:p w14:paraId="1E70BF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у-вр</w:t>
            </w:r>
          </w:p>
        </w:tc>
        <w:tc>
          <w:tcPr>
            <w:tcW w:w="1245" w:type="dxa"/>
          </w:tcPr>
          <w:p w14:paraId="667885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 Гогландский 2 СКР, 6 СКА/</w:t>
            </w:r>
          </w:p>
        </w:tc>
        <w:tc>
          <w:tcPr>
            <w:tcW w:w="1245" w:type="dxa"/>
          </w:tcPr>
          <w:p w14:paraId="38B323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АН</w:t>
            </w:r>
          </w:p>
        </w:tc>
        <w:tc>
          <w:tcPr>
            <w:tcW w:w="1245" w:type="dxa"/>
          </w:tcPr>
          <w:p w14:paraId="4B735C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 СКР/промах</w:t>
            </w:r>
          </w:p>
        </w:tc>
        <w:tc>
          <w:tcPr>
            <w:tcW w:w="1245" w:type="dxa"/>
          </w:tcPr>
          <w:p w14:paraId="23AF9EF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3716F9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0CE6EE6" w14:textId="77777777" w:rsidTr="00CC5360">
        <w:tc>
          <w:tcPr>
            <w:tcW w:w="1245" w:type="dxa"/>
          </w:tcPr>
          <w:p w14:paraId="2A3C37D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3364FD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5A1380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Дроздов,Балебин</w:t>
            </w:r>
          </w:p>
        </w:tc>
        <w:tc>
          <w:tcPr>
            <w:tcW w:w="1245" w:type="dxa"/>
          </w:tcPr>
          <w:p w14:paraId="04EE5CD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76CCC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плес</w:t>
            </w:r>
          </w:p>
        </w:tc>
        <w:tc>
          <w:tcPr>
            <w:tcW w:w="1245" w:type="dxa"/>
          </w:tcPr>
          <w:p w14:paraId="33EFD6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ТЩ -&lt;М 18", БО "Uj 1208"</w:t>
            </w:r>
          </w:p>
        </w:tc>
        <w:tc>
          <w:tcPr>
            <w:tcW w:w="1245" w:type="dxa"/>
          </w:tcPr>
          <w:p w14:paraId="1315013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7DB660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6E6015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A737F68" w14:textId="77777777" w:rsidTr="00CC5360">
        <w:tc>
          <w:tcPr>
            <w:tcW w:w="1245" w:type="dxa"/>
          </w:tcPr>
          <w:p w14:paraId="6A8156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13.10 (ок. 14.00)</w:t>
            </w:r>
          </w:p>
        </w:tc>
        <w:tc>
          <w:tcPr>
            <w:tcW w:w="1245" w:type="dxa"/>
          </w:tcPr>
          <w:p w14:paraId="7EEFC4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ДБ-3</w:t>
            </w:r>
          </w:p>
        </w:tc>
        <w:tc>
          <w:tcPr>
            <w:tcW w:w="1245" w:type="dxa"/>
          </w:tcPr>
          <w:p w14:paraId="4F55CB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Пятков</w:t>
            </w:r>
          </w:p>
        </w:tc>
        <w:tc>
          <w:tcPr>
            <w:tcW w:w="1245" w:type="dxa"/>
          </w:tcPr>
          <w:p w14:paraId="296E62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w:t>
            </w:r>
          </w:p>
        </w:tc>
        <w:tc>
          <w:tcPr>
            <w:tcW w:w="1245" w:type="dxa"/>
          </w:tcPr>
          <w:p w14:paraId="0AC760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б-ка Вигрунд</w:t>
            </w:r>
          </w:p>
        </w:tc>
        <w:tc>
          <w:tcPr>
            <w:tcW w:w="1245" w:type="dxa"/>
          </w:tcPr>
          <w:p w14:paraId="1DCF53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OTP/каменистая банка</w:t>
            </w:r>
          </w:p>
        </w:tc>
        <w:tc>
          <w:tcPr>
            <w:tcW w:w="1245" w:type="dxa"/>
          </w:tcPr>
          <w:p w14:paraId="35B571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АН</w:t>
            </w:r>
          </w:p>
        </w:tc>
        <w:tc>
          <w:tcPr>
            <w:tcW w:w="1245" w:type="dxa"/>
          </w:tcPr>
          <w:p w14:paraId="0CC006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245" w:type="dxa"/>
          </w:tcPr>
          <w:p w14:paraId="3DD0B31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9F001F8" w14:textId="77777777" w:rsidTr="00CC5360">
        <w:tc>
          <w:tcPr>
            <w:tcW w:w="1245" w:type="dxa"/>
          </w:tcPr>
          <w:p w14:paraId="0BEB6A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13.10 (17.14)</w:t>
            </w:r>
          </w:p>
        </w:tc>
        <w:tc>
          <w:tcPr>
            <w:tcW w:w="1245" w:type="dxa"/>
          </w:tcPr>
          <w:p w14:paraId="6162D4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ДБ-3</w:t>
            </w:r>
          </w:p>
        </w:tc>
        <w:tc>
          <w:tcPr>
            <w:tcW w:w="1245" w:type="dxa"/>
          </w:tcPr>
          <w:p w14:paraId="2783C3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Балебин, Разгонин</w:t>
            </w:r>
          </w:p>
        </w:tc>
        <w:tc>
          <w:tcPr>
            <w:tcW w:w="1245" w:type="dxa"/>
          </w:tcPr>
          <w:p w14:paraId="04E4B4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гк</w:t>
            </w:r>
          </w:p>
        </w:tc>
        <w:tc>
          <w:tcPr>
            <w:tcW w:w="1245" w:type="dxa"/>
          </w:tcPr>
          <w:p w14:paraId="54E2E5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р-н о. Соммерс</w:t>
            </w:r>
          </w:p>
        </w:tc>
        <w:tc>
          <w:tcPr>
            <w:tcW w:w="1245" w:type="dxa"/>
          </w:tcPr>
          <w:p w14:paraId="1F7BA3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СКР/ ? фин. кор.</w:t>
            </w:r>
          </w:p>
        </w:tc>
        <w:tc>
          <w:tcPr>
            <w:tcW w:w="1245" w:type="dxa"/>
          </w:tcPr>
          <w:p w14:paraId="6532F7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АН</w:t>
            </w:r>
          </w:p>
        </w:tc>
        <w:tc>
          <w:tcPr>
            <w:tcW w:w="1245" w:type="dxa"/>
          </w:tcPr>
          <w:p w14:paraId="6F3FE3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промах</w:t>
            </w:r>
          </w:p>
        </w:tc>
        <w:tc>
          <w:tcPr>
            <w:tcW w:w="1245" w:type="dxa"/>
          </w:tcPr>
          <w:p w14:paraId="010AE49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436B734" w14:textId="77777777" w:rsidTr="00CC5360">
        <w:tc>
          <w:tcPr>
            <w:tcW w:w="1245" w:type="dxa"/>
          </w:tcPr>
          <w:p w14:paraId="278858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19.10(12.17)</w:t>
            </w:r>
          </w:p>
        </w:tc>
        <w:tc>
          <w:tcPr>
            <w:tcW w:w="1245" w:type="dxa"/>
          </w:tcPr>
          <w:p w14:paraId="34C23C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ДБ-3</w:t>
            </w:r>
          </w:p>
        </w:tc>
        <w:tc>
          <w:tcPr>
            <w:tcW w:w="1245" w:type="dxa"/>
          </w:tcPr>
          <w:p w14:paraId="1A8841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Балебин</w:t>
            </w:r>
          </w:p>
        </w:tc>
        <w:tc>
          <w:tcPr>
            <w:tcW w:w="1245" w:type="dxa"/>
          </w:tcPr>
          <w:p w14:paraId="784930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w:t>
            </w:r>
          </w:p>
        </w:tc>
        <w:tc>
          <w:tcPr>
            <w:tcW w:w="1245" w:type="dxa"/>
          </w:tcPr>
          <w:p w14:paraId="2AD1FE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60.11/26.48</w:t>
            </w:r>
          </w:p>
        </w:tc>
        <w:tc>
          <w:tcPr>
            <w:tcW w:w="1245" w:type="dxa"/>
          </w:tcPr>
          <w:p w14:paraId="5525DC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СКР/ Hamenmaa, VMV 9</w:t>
            </w:r>
          </w:p>
        </w:tc>
        <w:tc>
          <w:tcPr>
            <w:tcW w:w="1245" w:type="dxa"/>
          </w:tcPr>
          <w:p w14:paraId="288E6C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АН</w:t>
            </w:r>
          </w:p>
        </w:tc>
        <w:tc>
          <w:tcPr>
            <w:tcW w:w="1245" w:type="dxa"/>
          </w:tcPr>
          <w:p w14:paraId="7AF1AE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СКР/промах</w:t>
            </w:r>
          </w:p>
        </w:tc>
        <w:tc>
          <w:tcPr>
            <w:tcW w:w="1245" w:type="dxa"/>
          </w:tcPr>
          <w:p w14:paraId="24AEE29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FCEF7FD" w14:textId="77777777" w:rsidTr="00CC5360">
        <w:tc>
          <w:tcPr>
            <w:tcW w:w="1245" w:type="dxa"/>
          </w:tcPr>
          <w:p w14:paraId="221F40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19.10(12.39)</w:t>
            </w:r>
          </w:p>
        </w:tc>
        <w:tc>
          <w:tcPr>
            <w:tcW w:w="1245" w:type="dxa"/>
          </w:tcPr>
          <w:p w14:paraId="23FF01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ДБ-3</w:t>
            </w:r>
          </w:p>
        </w:tc>
        <w:tc>
          <w:tcPr>
            <w:tcW w:w="1245" w:type="dxa"/>
          </w:tcPr>
          <w:p w14:paraId="08F61B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Пятков</w:t>
            </w:r>
          </w:p>
        </w:tc>
        <w:tc>
          <w:tcPr>
            <w:tcW w:w="1245" w:type="dxa"/>
          </w:tcPr>
          <w:p w14:paraId="64917B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w:t>
            </w:r>
          </w:p>
        </w:tc>
        <w:tc>
          <w:tcPr>
            <w:tcW w:w="1245" w:type="dxa"/>
          </w:tcPr>
          <w:p w14:paraId="3C32C6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р-н Вигрунд</w:t>
            </w:r>
          </w:p>
        </w:tc>
        <w:tc>
          <w:tcPr>
            <w:tcW w:w="1245" w:type="dxa"/>
          </w:tcPr>
          <w:p w14:paraId="02F065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СКР/ГЩ "М 16", "М 19",</w:t>
            </w:r>
          </w:p>
        </w:tc>
        <w:tc>
          <w:tcPr>
            <w:tcW w:w="1245" w:type="dxa"/>
          </w:tcPr>
          <w:p w14:paraId="5B6195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АН</w:t>
            </w:r>
          </w:p>
        </w:tc>
        <w:tc>
          <w:tcPr>
            <w:tcW w:w="1245" w:type="dxa"/>
          </w:tcPr>
          <w:p w14:paraId="49AA05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промах</w:t>
            </w:r>
          </w:p>
        </w:tc>
        <w:tc>
          <w:tcPr>
            <w:tcW w:w="1245" w:type="dxa"/>
          </w:tcPr>
          <w:p w14:paraId="1AB4A94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BF81C08" w14:textId="77777777" w:rsidTr="00CC5360">
        <w:tc>
          <w:tcPr>
            <w:tcW w:w="1245" w:type="dxa"/>
          </w:tcPr>
          <w:p w14:paraId="620C6DA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1D7FAE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5C1828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BBA471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447395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B6EB6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 "Uj 1208", "Uj 1204"</w:t>
            </w:r>
          </w:p>
        </w:tc>
        <w:tc>
          <w:tcPr>
            <w:tcW w:w="1245" w:type="dxa"/>
          </w:tcPr>
          <w:p w14:paraId="214C45C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61DD0B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0DBD14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F8CD594" w14:textId="77777777" w:rsidTr="00CC5360">
        <w:tc>
          <w:tcPr>
            <w:tcW w:w="1245" w:type="dxa"/>
          </w:tcPr>
          <w:p w14:paraId="085842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19.10(13.10)</w:t>
            </w:r>
          </w:p>
        </w:tc>
        <w:tc>
          <w:tcPr>
            <w:tcW w:w="1245" w:type="dxa"/>
          </w:tcPr>
          <w:p w14:paraId="3CEFF8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ДБ-3</w:t>
            </w:r>
          </w:p>
        </w:tc>
        <w:tc>
          <w:tcPr>
            <w:tcW w:w="1245" w:type="dxa"/>
          </w:tcPr>
          <w:p w14:paraId="5D273C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Кудряшов</w:t>
            </w:r>
          </w:p>
        </w:tc>
        <w:tc>
          <w:tcPr>
            <w:tcW w:w="1245" w:type="dxa"/>
          </w:tcPr>
          <w:p w14:paraId="453808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w:t>
            </w:r>
          </w:p>
        </w:tc>
        <w:tc>
          <w:tcPr>
            <w:tcW w:w="1245" w:type="dxa"/>
          </w:tcPr>
          <w:p w14:paraId="11B97C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 же</w:t>
            </w:r>
          </w:p>
        </w:tc>
        <w:tc>
          <w:tcPr>
            <w:tcW w:w="1245" w:type="dxa"/>
          </w:tcPr>
          <w:p w14:paraId="13DBB0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 же/то же</w:t>
            </w:r>
          </w:p>
        </w:tc>
        <w:tc>
          <w:tcPr>
            <w:tcW w:w="1245" w:type="dxa"/>
          </w:tcPr>
          <w:p w14:paraId="6DFD56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АН</w:t>
            </w:r>
          </w:p>
        </w:tc>
        <w:tc>
          <w:tcPr>
            <w:tcW w:w="1245" w:type="dxa"/>
          </w:tcPr>
          <w:p w14:paraId="2AE6E2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промах</w:t>
            </w:r>
          </w:p>
        </w:tc>
        <w:tc>
          <w:tcPr>
            <w:tcW w:w="1245" w:type="dxa"/>
          </w:tcPr>
          <w:p w14:paraId="7687B73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EC75165" w14:textId="77777777" w:rsidTr="00CC5360">
        <w:tc>
          <w:tcPr>
            <w:tcW w:w="1245" w:type="dxa"/>
          </w:tcPr>
          <w:p w14:paraId="68EA80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20.10(13.20)</w:t>
            </w:r>
          </w:p>
        </w:tc>
        <w:tc>
          <w:tcPr>
            <w:tcW w:w="1245" w:type="dxa"/>
          </w:tcPr>
          <w:p w14:paraId="075F2A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ДБ-3</w:t>
            </w:r>
          </w:p>
        </w:tc>
        <w:tc>
          <w:tcPr>
            <w:tcW w:w="1245" w:type="dxa"/>
          </w:tcPr>
          <w:p w14:paraId="68DE22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Пятков</w:t>
            </w:r>
          </w:p>
        </w:tc>
        <w:tc>
          <w:tcPr>
            <w:tcW w:w="1245" w:type="dxa"/>
          </w:tcPr>
          <w:p w14:paraId="2CD0E0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w:t>
            </w:r>
          </w:p>
        </w:tc>
        <w:tc>
          <w:tcPr>
            <w:tcW w:w="1245" w:type="dxa"/>
          </w:tcPr>
          <w:p w14:paraId="643AA5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59.30/28.00</w:t>
            </w:r>
          </w:p>
        </w:tc>
        <w:tc>
          <w:tcPr>
            <w:tcW w:w="1245" w:type="dxa"/>
          </w:tcPr>
          <w:p w14:paraId="38F74E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OTP/BO"Uj 1214"</w:t>
            </w:r>
          </w:p>
        </w:tc>
        <w:tc>
          <w:tcPr>
            <w:tcW w:w="1245" w:type="dxa"/>
          </w:tcPr>
          <w:p w14:paraId="027F61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АН</w:t>
            </w:r>
          </w:p>
        </w:tc>
        <w:tc>
          <w:tcPr>
            <w:tcW w:w="1245" w:type="dxa"/>
          </w:tcPr>
          <w:p w14:paraId="6BC972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TP 2-3000/</w:t>
            </w:r>
          </w:p>
        </w:tc>
        <w:tc>
          <w:tcPr>
            <w:tcW w:w="1245" w:type="dxa"/>
          </w:tcPr>
          <w:p w14:paraId="2A2F2C6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AA6DEA3" w14:textId="77777777" w:rsidTr="00CC5360">
        <w:tc>
          <w:tcPr>
            <w:tcW w:w="1245" w:type="dxa"/>
          </w:tcPr>
          <w:p w14:paraId="6F8A71B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D38A9F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1DDE6C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8EC913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568C4BF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5F4C14A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4C1528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78751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промах, торпеда шла</w:t>
            </w:r>
          </w:p>
        </w:tc>
        <w:tc>
          <w:tcPr>
            <w:tcW w:w="1245" w:type="dxa"/>
          </w:tcPr>
          <w:p w14:paraId="6D4E29C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D9C0E71" w14:textId="77777777" w:rsidTr="00CC5360">
        <w:tc>
          <w:tcPr>
            <w:tcW w:w="1245" w:type="dxa"/>
          </w:tcPr>
          <w:p w14:paraId="1EB7F78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2A071A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034EB8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93DA94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D9340C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52949F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C06841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106EC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поверхности</w:t>
            </w:r>
          </w:p>
        </w:tc>
        <w:tc>
          <w:tcPr>
            <w:tcW w:w="1245" w:type="dxa"/>
          </w:tcPr>
          <w:p w14:paraId="61B2A62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9914601" w14:textId="77777777" w:rsidTr="00CC5360">
        <w:tc>
          <w:tcPr>
            <w:tcW w:w="1245" w:type="dxa"/>
          </w:tcPr>
          <w:p w14:paraId="06E2BF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20.10 (14.00)</w:t>
            </w:r>
          </w:p>
        </w:tc>
        <w:tc>
          <w:tcPr>
            <w:tcW w:w="1245" w:type="dxa"/>
          </w:tcPr>
          <w:p w14:paraId="43D378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ДБ-3</w:t>
            </w:r>
          </w:p>
        </w:tc>
        <w:tc>
          <w:tcPr>
            <w:tcW w:w="1245" w:type="dxa"/>
          </w:tcPr>
          <w:p w14:paraId="22D3BD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Новицкий</w:t>
            </w:r>
          </w:p>
        </w:tc>
        <w:tc>
          <w:tcPr>
            <w:tcW w:w="1245" w:type="dxa"/>
          </w:tcPr>
          <w:p w14:paraId="3029D0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w:t>
            </w:r>
          </w:p>
        </w:tc>
        <w:tc>
          <w:tcPr>
            <w:tcW w:w="1245" w:type="dxa"/>
          </w:tcPr>
          <w:p w14:paraId="4F37D4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59.38/28.35</w:t>
            </w:r>
          </w:p>
        </w:tc>
        <w:tc>
          <w:tcPr>
            <w:tcW w:w="1245" w:type="dxa"/>
          </w:tcPr>
          <w:p w14:paraId="2BDFB6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СКР/?</w:t>
            </w:r>
          </w:p>
        </w:tc>
        <w:tc>
          <w:tcPr>
            <w:tcW w:w="1245" w:type="dxa"/>
          </w:tcPr>
          <w:p w14:paraId="40680B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АН</w:t>
            </w:r>
          </w:p>
        </w:tc>
        <w:tc>
          <w:tcPr>
            <w:tcW w:w="1245" w:type="dxa"/>
          </w:tcPr>
          <w:p w14:paraId="728D71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промах</w:t>
            </w:r>
          </w:p>
        </w:tc>
        <w:tc>
          <w:tcPr>
            <w:tcW w:w="1245" w:type="dxa"/>
          </w:tcPr>
          <w:p w14:paraId="374768E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08778E6" w14:textId="77777777" w:rsidTr="00CC5360">
        <w:tc>
          <w:tcPr>
            <w:tcW w:w="1245" w:type="dxa"/>
          </w:tcPr>
          <w:p w14:paraId="653782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25.10 (10.52)</w:t>
            </w:r>
          </w:p>
        </w:tc>
        <w:tc>
          <w:tcPr>
            <w:tcW w:w="1245" w:type="dxa"/>
          </w:tcPr>
          <w:p w14:paraId="1D968F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ДБ-3</w:t>
            </w:r>
          </w:p>
        </w:tc>
        <w:tc>
          <w:tcPr>
            <w:tcW w:w="1245" w:type="dxa"/>
          </w:tcPr>
          <w:p w14:paraId="340C90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Деревянных</w:t>
            </w:r>
          </w:p>
        </w:tc>
        <w:tc>
          <w:tcPr>
            <w:tcW w:w="1245" w:type="dxa"/>
          </w:tcPr>
          <w:p w14:paraId="60FFE9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w:t>
            </w:r>
          </w:p>
        </w:tc>
        <w:tc>
          <w:tcPr>
            <w:tcW w:w="1245" w:type="dxa"/>
          </w:tcPr>
          <w:p w14:paraId="54B0302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59.37/27.17</w:t>
            </w:r>
          </w:p>
        </w:tc>
        <w:tc>
          <w:tcPr>
            <w:tcW w:w="1245" w:type="dxa"/>
          </w:tcPr>
          <w:p w14:paraId="0633FE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 (3 TP, 1 ММ)/ТЩ"М 19",</w:t>
            </w:r>
          </w:p>
        </w:tc>
        <w:tc>
          <w:tcPr>
            <w:tcW w:w="1245" w:type="dxa"/>
          </w:tcPr>
          <w:p w14:paraId="13C275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АН</w:t>
            </w:r>
          </w:p>
        </w:tc>
        <w:tc>
          <w:tcPr>
            <w:tcW w:w="1245" w:type="dxa"/>
          </w:tcPr>
          <w:p w14:paraId="261651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TP 6000/промах</w:t>
            </w:r>
          </w:p>
        </w:tc>
        <w:tc>
          <w:tcPr>
            <w:tcW w:w="1245" w:type="dxa"/>
          </w:tcPr>
          <w:p w14:paraId="414E365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778B91C" w14:textId="77777777" w:rsidTr="00CC5360">
        <w:tc>
          <w:tcPr>
            <w:tcW w:w="1245" w:type="dxa"/>
          </w:tcPr>
          <w:p w14:paraId="183612D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D7D31D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6EE1BB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27A9F2D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DD6780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7C76E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 29", БО "Uj 1205", "Uj 1208"</w:t>
            </w:r>
          </w:p>
        </w:tc>
        <w:tc>
          <w:tcPr>
            <w:tcW w:w="1245" w:type="dxa"/>
          </w:tcPr>
          <w:p w14:paraId="68E402D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E4D071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C16885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30E96BD" w14:textId="77777777" w:rsidTr="00CC5360">
        <w:tc>
          <w:tcPr>
            <w:tcW w:w="1245" w:type="dxa"/>
          </w:tcPr>
          <w:p w14:paraId="7D6242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25.10(14.30)</w:t>
            </w:r>
          </w:p>
        </w:tc>
        <w:tc>
          <w:tcPr>
            <w:tcW w:w="1245" w:type="dxa"/>
          </w:tcPr>
          <w:p w14:paraId="3DA41E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ДБ-3</w:t>
            </w:r>
          </w:p>
        </w:tc>
        <w:tc>
          <w:tcPr>
            <w:tcW w:w="1245" w:type="dxa"/>
          </w:tcPr>
          <w:p w14:paraId="5C42E8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Червоноокий,</w:t>
            </w:r>
          </w:p>
        </w:tc>
        <w:tc>
          <w:tcPr>
            <w:tcW w:w="1245" w:type="dxa"/>
          </w:tcPr>
          <w:p w14:paraId="0DEABD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гк</w:t>
            </w:r>
          </w:p>
        </w:tc>
        <w:tc>
          <w:tcPr>
            <w:tcW w:w="1245" w:type="dxa"/>
          </w:tcPr>
          <w:p w14:paraId="016619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59.45/27.15</w:t>
            </w:r>
          </w:p>
        </w:tc>
        <w:tc>
          <w:tcPr>
            <w:tcW w:w="1245" w:type="dxa"/>
          </w:tcPr>
          <w:p w14:paraId="44E418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OTP/?</w:t>
            </w:r>
          </w:p>
        </w:tc>
        <w:tc>
          <w:tcPr>
            <w:tcW w:w="1245" w:type="dxa"/>
          </w:tcPr>
          <w:p w14:paraId="7D9554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АН</w:t>
            </w:r>
          </w:p>
        </w:tc>
        <w:tc>
          <w:tcPr>
            <w:tcW w:w="1245" w:type="dxa"/>
          </w:tcPr>
          <w:p w14:paraId="64E857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TP 5-6000/промах</w:t>
            </w:r>
          </w:p>
        </w:tc>
        <w:tc>
          <w:tcPr>
            <w:tcW w:w="1245" w:type="dxa"/>
          </w:tcPr>
          <w:p w14:paraId="406EBB2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58A7E9E" w14:textId="77777777" w:rsidTr="00CC5360">
        <w:tc>
          <w:tcPr>
            <w:tcW w:w="1245" w:type="dxa"/>
          </w:tcPr>
          <w:p w14:paraId="11B9CD1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FFEC68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0C11E4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Кудряшов</w:t>
            </w:r>
          </w:p>
        </w:tc>
        <w:tc>
          <w:tcPr>
            <w:tcW w:w="1245" w:type="dxa"/>
          </w:tcPr>
          <w:p w14:paraId="2580B7A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5612FDE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1A263A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DD5B90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B277C8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4E1627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4EA978C" w14:textId="77777777" w:rsidTr="00CC5360">
        <w:tc>
          <w:tcPr>
            <w:tcW w:w="1245" w:type="dxa"/>
          </w:tcPr>
          <w:p w14:paraId="7D2826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26.10 (12 20)</w:t>
            </w:r>
          </w:p>
        </w:tc>
        <w:tc>
          <w:tcPr>
            <w:tcW w:w="1245" w:type="dxa"/>
          </w:tcPr>
          <w:p w14:paraId="085F91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ДБ-3</w:t>
            </w:r>
          </w:p>
        </w:tc>
        <w:tc>
          <w:tcPr>
            <w:tcW w:w="1245" w:type="dxa"/>
          </w:tcPr>
          <w:p w14:paraId="555B35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Кудряшов,</w:t>
            </w:r>
          </w:p>
        </w:tc>
        <w:tc>
          <w:tcPr>
            <w:tcW w:w="1245" w:type="dxa"/>
          </w:tcPr>
          <w:p w14:paraId="2712ED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гк</w:t>
            </w:r>
          </w:p>
        </w:tc>
        <w:tc>
          <w:tcPr>
            <w:tcW w:w="1245" w:type="dxa"/>
          </w:tcPr>
          <w:p w14:paraId="1C240F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р-н о. Б.Тютерс</w:t>
            </w:r>
          </w:p>
        </w:tc>
        <w:tc>
          <w:tcPr>
            <w:tcW w:w="1245" w:type="dxa"/>
          </w:tcPr>
          <w:p w14:paraId="2E6DF9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СКР/? остов кор.</w:t>
            </w:r>
          </w:p>
        </w:tc>
        <w:tc>
          <w:tcPr>
            <w:tcW w:w="1245" w:type="dxa"/>
          </w:tcPr>
          <w:p w14:paraId="4C176B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АН</w:t>
            </w:r>
          </w:p>
        </w:tc>
        <w:tc>
          <w:tcPr>
            <w:tcW w:w="1245" w:type="dxa"/>
          </w:tcPr>
          <w:p w14:paraId="3971B9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промах</w:t>
            </w:r>
          </w:p>
        </w:tc>
        <w:tc>
          <w:tcPr>
            <w:tcW w:w="1245" w:type="dxa"/>
          </w:tcPr>
          <w:p w14:paraId="5AF646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 ДБ</w:t>
            </w:r>
          </w:p>
        </w:tc>
      </w:tr>
      <w:tr w:rsidR="009B487A" w:rsidRPr="00722885" w14:paraId="11FCE26A" w14:textId="77777777" w:rsidTr="00CC5360">
        <w:tc>
          <w:tcPr>
            <w:tcW w:w="1245" w:type="dxa"/>
          </w:tcPr>
          <w:p w14:paraId="26C4B77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63C02A3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5E21AC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Новицкий</w:t>
            </w:r>
          </w:p>
        </w:tc>
        <w:tc>
          <w:tcPr>
            <w:tcW w:w="1245" w:type="dxa"/>
          </w:tcPr>
          <w:p w14:paraId="4CD2172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2D0433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AAF3FF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036B0C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3D2914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возвращении</w:t>
            </w:r>
          </w:p>
        </w:tc>
        <w:tc>
          <w:tcPr>
            <w:tcW w:w="1245" w:type="dxa"/>
          </w:tcPr>
          <w:p w14:paraId="6BF786D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1507665" w14:textId="77777777" w:rsidTr="00CC5360">
        <w:tc>
          <w:tcPr>
            <w:tcW w:w="1245" w:type="dxa"/>
          </w:tcPr>
          <w:p w14:paraId="2D86BD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29.10 (13.45)</w:t>
            </w:r>
          </w:p>
        </w:tc>
        <w:tc>
          <w:tcPr>
            <w:tcW w:w="1245" w:type="dxa"/>
          </w:tcPr>
          <w:p w14:paraId="251411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ДБ-3</w:t>
            </w:r>
          </w:p>
        </w:tc>
        <w:tc>
          <w:tcPr>
            <w:tcW w:w="1245" w:type="dxa"/>
          </w:tcPr>
          <w:p w14:paraId="0DEE92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Балебин</w:t>
            </w:r>
          </w:p>
        </w:tc>
        <w:tc>
          <w:tcPr>
            <w:tcW w:w="1245" w:type="dxa"/>
          </w:tcPr>
          <w:p w14:paraId="1476AF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w:t>
            </w:r>
          </w:p>
        </w:tc>
        <w:tc>
          <w:tcPr>
            <w:tcW w:w="1245" w:type="dxa"/>
          </w:tcPr>
          <w:p w14:paraId="282C70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59.55/27.00</w:t>
            </w:r>
          </w:p>
        </w:tc>
        <w:tc>
          <w:tcPr>
            <w:tcW w:w="1245" w:type="dxa"/>
          </w:tcPr>
          <w:p w14:paraId="4BDFF0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 (2 ММ. 1 СКР, 4 СКА, 1 баржа)/</w:t>
            </w:r>
          </w:p>
        </w:tc>
        <w:tc>
          <w:tcPr>
            <w:tcW w:w="1245" w:type="dxa"/>
          </w:tcPr>
          <w:p w14:paraId="692713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АН</w:t>
            </w:r>
          </w:p>
        </w:tc>
        <w:tc>
          <w:tcPr>
            <w:tcW w:w="1245" w:type="dxa"/>
          </w:tcPr>
          <w:p w14:paraId="1B1243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ММ/промах</w:t>
            </w:r>
          </w:p>
        </w:tc>
        <w:tc>
          <w:tcPr>
            <w:tcW w:w="1245" w:type="dxa"/>
          </w:tcPr>
          <w:p w14:paraId="26B60E5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C4E3EAA" w14:textId="77777777" w:rsidTr="00CC5360">
        <w:tc>
          <w:tcPr>
            <w:tcW w:w="1245" w:type="dxa"/>
          </w:tcPr>
          <w:p w14:paraId="76DADE4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58E1E9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7839382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462D6A6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575780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тщ</w:t>
            </w:r>
          </w:p>
        </w:tc>
        <w:tc>
          <w:tcPr>
            <w:tcW w:w="1245" w:type="dxa"/>
          </w:tcPr>
          <w:p w14:paraId="52E2F5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 30", -М 16". БО "Uj 1206", -Uj 1217</w:t>
            </w:r>
          </w:p>
        </w:tc>
        <w:tc>
          <w:tcPr>
            <w:tcW w:w="1245" w:type="dxa"/>
          </w:tcPr>
          <w:p w14:paraId="68033B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245" w:type="dxa"/>
          </w:tcPr>
          <w:p w14:paraId="5EFC791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245" w:type="dxa"/>
          </w:tcPr>
          <w:p w14:paraId="16BF849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CCC50B8" w14:textId="77777777" w:rsidTr="00CC5360">
        <w:tc>
          <w:tcPr>
            <w:tcW w:w="1245" w:type="dxa"/>
          </w:tcPr>
          <w:p w14:paraId="70C6E7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29.10 (16.51)</w:t>
            </w:r>
          </w:p>
        </w:tc>
        <w:tc>
          <w:tcPr>
            <w:tcW w:w="1245" w:type="dxa"/>
          </w:tcPr>
          <w:p w14:paraId="19A1BC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ДБ-3</w:t>
            </w:r>
          </w:p>
        </w:tc>
        <w:tc>
          <w:tcPr>
            <w:tcW w:w="1245" w:type="dxa"/>
          </w:tcPr>
          <w:p w14:paraId="6CD1A3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Деревянных</w:t>
            </w:r>
          </w:p>
        </w:tc>
        <w:tc>
          <w:tcPr>
            <w:tcW w:w="1245" w:type="dxa"/>
          </w:tcPr>
          <w:p w14:paraId="416B08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w:t>
            </w:r>
          </w:p>
        </w:tc>
        <w:tc>
          <w:tcPr>
            <w:tcW w:w="1245" w:type="dxa"/>
          </w:tcPr>
          <w:p w14:paraId="4231A0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59.55/26.50</w:t>
            </w:r>
          </w:p>
        </w:tc>
        <w:tc>
          <w:tcPr>
            <w:tcW w:w="1245" w:type="dxa"/>
          </w:tcPr>
          <w:p w14:paraId="04F714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СКР/ SAT "Ост"</w:t>
            </w:r>
          </w:p>
        </w:tc>
        <w:tc>
          <w:tcPr>
            <w:tcW w:w="1245" w:type="dxa"/>
          </w:tcPr>
          <w:p w14:paraId="15D508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АН</w:t>
            </w:r>
          </w:p>
        </w:tc>
        <w:tc>
          <w:tcPr>
            <w:tcW w:w="1245" w:type="dxa"/>
          </w:tcPr>
          <w:p w14:paraId="28A3CE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промах</w:t>
            </w:r>
          </w:p>
        </w:tc>
        <w:tc>
          <w:tcPr>
            <w:tcW w:w="1245" w:type="dxa"/>
          </w:tcPr>
          <w:p w14:paraId="2F30C39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2ECCB699" w14:textId="77777777" w:rsidTr="00CC5360">
        <w:tc>
          <w:tcPr>
            <w:tcW w:w="1245" w:type="dxa"/>
            <w:tcBorders>
              <w:bottom w:val="single" w:sz="12" w:space="0" w:color="auto"/>
            </w:tcBorders>
          </w:tcPr>
          <w:p w14:paraId="45418D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12.11 (14.03)</w:t>
            </w:r>
          </w:p>
        </w:tc>
        <w:tc>
          <w:tcPr>
            <w:tcW w:w="1245" w:type="dxa"/>
            <w:tcBorders>
              <w:bottom w:val="single" w:sz="12" w:space="0" w:color="auto"/>
            </w:tcBorders>
          </w:tcPr>
          <w:p w14:paraId="7ECBBB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ДБ-3</w:t>
            </w:r>
          </w:p>
        </w:tc>
        <w:tc>
          <w:tcPr>
            <w:tcW w:w="1245" w:type="dxa"/>
            <w:tcBorders>
              <w:bottom w:val="single" w:sz="12" w:space="0" w:color="auto"/>
            </w:tcBorders>
          </w:tcPr>
          <w:p w14:paraId="68D6B1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Червоноокий</w:t>
            </w:r>
          </w:p>
        </w:tc>
        <w:tc>
          <w:tcPr>
            <w:tcW w:w="1245" w:type="dxa"/>
            <w:tcBorders>
              <w:bottom w:val="single" w:sz="12" w:space="0" w:color="auto"/>
            </w:tcBorders>
          </w:tcPr>
          <w:p w14:paraId="0F5D19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w:t>
            </w:r>
          </w:p>
        </w:tc>
        <w:tc>
          <w:tcPr>
            <w:tcW w:w="1245" w:type="dxa"/>
            <w:tcBorders>
              <w:bottom w:val="single" w:sz="12" w:space="0" w:color="auto"/>
            </w:tcBorders>
          </w:tcPr>
          <w:p w14:paraId="019939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59.52/26.30</w:t>
            </w:r>
          </w:p>
        </w:tc>
        <w:tc>
          <w:tcPr>
            <w:tcW w:w="1245" w:type="dxa"/>
            <w:tcBorders>
              <w:bottom w:val="single" w:sz="12" w:space="0" w:color="auto"/>
            </w:tcBorders>
          </w:tcPr>
          <w:p w14:paraId="6E34B7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СКР/ VMV 1</w:t>
            </w:r>
          </w:p>
        </w:tc>
        <w:tc>
          <w:tcPr>
            <w:tcW w:w="1245" w:type="dxa"/>
            <w:tcBorders>
              <w:bottom w:val="single" w:sz="12" w:space="0" w:color="auto"/>
            </w:tcBorders>
          </w:tcPr>
          <w:p w14:paraId="778349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АН</w:t>
            </w:r>
          </w:p>
        </w:tc>
        <w:tc>
          <w:tcPr>
            <w:tcW w:w="1245" w:type="dxa"/>
            <w:tcBorders>
              <w:bottom w:val="single" w:sz="12" w:space="0" w:color="auto"/>
            </w:tcBorders>
          </w:tcPr>
          <w:p w14:paraId="02B775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промах</w:t>
            </w:r>
          </w:p>
        </w:tc>
        <w:tc>
          <w:tcPr>
            <w:tcW w:w="1245" w:type="dxa"/>
            <w:tcBorders>
              <w:bottom w:val="single" w:sz="12" w:space="0" w:color="auto"/>
            </w:tcBorders>
          </w:tcPr>
          <w:p w14:paraId="532ADF7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bl>
    <w:p w14:paraId="7E85E3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Сведений о модификации ДБ-3 нет (12002).</w:t>
      </w:r>
    </w:p>
    <w:p w14:paraId="7177552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A0A137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8 по 14 октября 1942 в Сталинграде Паулюс перегруппировывал силы и было затишье (2070,77).</w:t>
      </w:r>
    </w:p>
    <w:p w14:paraId="3F9A2196" w14:textId="77777777" w:rsidR="00090C9B" w:rsidRPr="00722885" w:rsidRDefault="00090C9B" w:rsidP="00722885">
      <w:pPr>
        <w:pStyle w:val="Iauiue"/>
        <w:jc w:val="both"/>
        <w:rPr>
          <w:color w:val="000000" w:themeColor="text1"/>
          <w:sz w:val="16"/>
          <w:szCs w:val="16"/>
        </w:rPr>
      </w:pPr>
    </w:p>
    <w:p w14:paraId="170751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октября 1942 вышел приках НКО № 306 о совершенствовании тактики наступательного боя и боевых порядков частей и соединений в наступлении (3960, 393).</w:t>
      </w:r>
    </w:p>
    <w:p w14:paraId="0ECADB6D" w14:textId="77777777" w:rsidR="00090C9B" w:rsidRPr="00722885" w:rsidRDefault="00090C9B" w:rsidP="00722885">
      <w:pPr>
        <w:pStyle w:val="Iauiue"/>
        <w:jc w:val="both"/>
        <w:rPr>
          <w:color w:val="000000" w:themeColor="text1"/>
          <w:sz w:val="16"/>
          <w:szCs w:val="16"/>
        </w:rPr>
      </w:pPr>
    </w:p>
    <w:p w14:paraId="175093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октября 1942 вышло Постановление ГКО № 2387 О выдаче 1700 импортных автомашин ГАБТУ КА для танковых частей. РГАНИР, Фонд ГКО, д. 62, лл. 1 (11012).</w:t>
      </w:r>
    </w:p>
    <w:p w14:paraId="09378A7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2C7BF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октября 1942 вышло Постановление ГКО № 2388 О сформировании артиллерийских полков Резерва Главного Командования в октябре 1942 г. РГАНИР, Фонд ГКО, д. 62, лл. 2-3 (11012).</w:t>
      </w:r>
    </w:p>
    <w:p w14:paraId="3408EF9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5DCC9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8 и 14 октября 1942 вышео Указ Президиума Верховного Совета СССР:</w:t>
      </w:r>
    </w:p>
    <w:p w14:paraId="1232C1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Об установлении полного единоначалия и упразднении института военных комиссаров в Красной армии </w:t>
      </w:r>
    </w:p>
    <w:p w14:paraId="402E88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Установить в Красной Армии полное единоначалие и возложить целиком на командиров (начальников) ответственность за все стороны боевой и политической жизни частей, соединений и учреждений Красной Армии. </w:t>
      </w:r>
    </w:p>
    <w:p w14:paraId="543E4F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Упразднить в соединениях, частях, штабах, военно-учебных заведениях, в центральных и главных управлениях НКО и учреждениях Красной Армии институт военных комиссаров, а в подразделениях — институт политических руководителей. </w:t>
      </w:r>
    </w:p>
    <w:p w14:paraId="7582AE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Ввести в соединениях, частях, штабах, подразделениях, военно-учебных заведениях, в центральных и главных управлениях НКО и учреждениях Красной Армии институт заместителей командиров по политической части (11652).</w:t>
      </w:r>
    </w:p>
    <w:p w14:paraId="317524F4" w14:textId="77777777" w:rsidR="00090C9B" w:rsidRPr="00722885" w:rsidRDefault="00090C9B" w:rsidP="00722885">
      <w:pPr>
        <w:pStyle w:val="Iauiue"/>
        <w:jc w:val="both"/>
        <w:rPr>
          <w:iCs/>
          <w:color w:val="000000" w:themeColor="text1"/>
          <w:sz w:val="16"/>
          <w:szCs w:val="16"/>
        </w:rPr>
      </w:pPr>
    </w:p>
    <w:p w14:paraId="76177E5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E56469C" w14:textId="77777777" w:rsidR="00090C9B" w:rsidRPr="00722885" w:rsidRDefault="00090C9B" w:rsidP="00722885">
      <w:pPr>
        <w:pStyle w:val="Iauiue"/>
        <w:jc w:val="both"/>
        <w:rPr>
          <w:iCs/>
          <w:color w:val="000000" w:themeColor="text1"/>
          <w:sz w:val="16"/>
          <w:szCs w:val="16"/>
        </w:rPr>
      </w:pPr>
    </w:p>
    <w:p w14:paraId="4EDFD6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октября 1942 в Индии вспыхнуло антианглийское восстание (3186).</w:t>
      </w:r>
    </w:p>
    <w:p w14:paraId="7C3B2BAB" w14:textId="77777777" w:rsidR="00090C9B" w:rsidRPr="00722885" w:rsidRDefault="00090C9B" w:rsidP="00722885">
      <w:pPr>
        <w:pStyle w:val="Iauiue"/>
        <w:jc w:val="both"/>
        <w:rPr>
          <w:color w:val="000000" w:themeColor="text1"/>
          <w:sz w:val="16"/>
          <w:szCs w:val="16"/>
        </w:rPr>
      </w:pPr>
    </w:p>
    <w:p w14:paraId="05073F4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212451C" w14:textId="77777777" w:rsidR="00090C9B" w:rsidRPr="00722885" w:rsidRDefault="00090C9B" w:rsidP="00722885">
      <w:pPr>
        <w:pStyle w:val="Iauiue"/>
        <w:jc w:val="both"/>
        <w:rPr>
          <w:iCs/>
          <w:color w:val="000000" w:themeColor="text1"/>
          <w:sz w:val="16"/>
          <w:szCs w:val="16"/>
        </w:rPr>
      </w:pPr>
    </w:p>
    <w:p w14:paraId="11F1E1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октября 1942 С.В.И. писал письмо N 577с НКАП А.И.Ш.:</w:t>
      </w:r>
    </w:p>
    <w:p w14:paraId="0773D3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"Возвращая при сем письмо Ком. ВВС на Ваше имя от 17 августа с.г. N 376269 по вопросу разведчика-корректировщика, докладываю, что данная работа м.б. проведена на двухместном самолете Ил-2 с М-82. Приспособить для этой цели двухместный с АМ-38 не представляется возможным." Дал и простой проект приказа - обязать оборудовать Ил-2 М-82 в р и к - срок выпуска - 15 ноября (1632,295).</w:t>
      </w:r>
    </w:p>
    <w:p w14:paraId="01914681" w14:textId="77777777" w:rsidR="00090C9B" w:rsidRPr="00722885" w:rsidRDefault="00090C9B" w:rsidP="00722885">
      <w:pPr>
        <w:pStyle w:val="Iauiue"/>
        <w:jc w:val="both"/>
        <w:rPr>
          <w:color w:val="000000" w:themeColor="text1"/>
          <w:sz w:val="16"/>
          <w:szCs w:val="16"/>
        </w:rPr>
      </w:pPr>
    </w:p>
    <w:p w14:paraId="3D4A6C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октября 1942 года А.И.Ш. писал справку председателю ГКО И.В.Сталину.</w:t>
      </w:r>
    </w:p>
    <w:p w14:paraId="6B4369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требованию фронтов о повышении летных качеств истребителей: Як-1, Як-7, Лагг-3 и Ла-5, гл. конструкторами Яковлевым, Лавочкиным и Горбуновым, совместно с ЛИИ НКАП и ЦАГИ, проведен ряд работ, направленных на повышение скоростей, уменьшение весов, улучшение маневренности и улучшение взлетно-посадочных качеств самолетов.</w:t>
      </w:r>
    </w:p>
    <w:p w14:paraId="143109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результате проведенных мероприятий, выпускаемые в серийном производстве истребители повышают свои качества:</w:t>
      </w:r>
    </w:p>
    <w:p w14:paraId="383F26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самолету Як-1</w:t>
      </w:r>
    </w:p>
    <w:p w14:paraId="69AAEC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Внесение аэродинамических усовершенствований дает увеличение скорости на 30 км в час (вместо 570 км - 600 км в час).</w:t>
      </w:r>
    </w:p>
    <w:p w14:paraId="5D4915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Произведено улучшение обзора вперед (поставлены прямые стекла вместо сферических, искажающих обзор).</w:t>
      </w:r>
    </w:p>
    <w:p w14:paraId="57BD7B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Улучшен обзор назад за счет среза гаргрота фюзеляжа и устройства задней части фонаря прозрачной.</w:t>
      </w:r>
    </w:p>
    <w:p w14:paraId="1B2820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4. Улучшено бронирование летчика путем установки передней и задней прозрачной брони, а также бронирование левой руки пилота.</w:t>
      </w:r>
    </w:p>
    <w:p w14:paraId="6D687E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Усилено вооружение самолета путем установки пулемета БС (калибра 12,7 вместо двух "Шкас"ов" калибра 7,62).</w:t>
      </w:r>
    </w:p>
    <w:p w14:paraId="5CDB07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Устранено забрызгивание маслом передней части фонаря пилота путем установки специальных сальников на валу редуктора мотора.</w:t>
      </w:r>
    </w:p>
    <w:p w14:paraId="59ACF7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Улучшена прицельность огня путем установки красной лампы прицела.</w:t>
      </w:r>
    </w:p>
    <w:p w14:paraId="5BABF8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Заводом N 292, выпускающим самолеты Як-1, все улучшения в серийное производство внедрены, кроме аэродинамических, которые находятся в стадии внедрения. С 15 ноября с.г. завод N 292 будет выпускать самолеты с этими улучшениями - с повышенной скоростью.</w:t>
      </w:r>
    </w:p>
    <w:p w14:paraId="6F6FBF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самолету Як-7</w:t>
      </w:r>
    </w:p>
    <w:p w14:paraId="2D244C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Выявленные, находящимся на заводе N 153 гл. конструктором Яковлевым, аэродинамические улучшения внедряются на самолете Як-7. В результате этого испытанная в филиале ЛИИ (Новосибирск) машина показала скорость у земли 530 км в час вместо 510 км в час серийного самолета последнего выпуска.</w:t>
      </w:r>
    </w:p>
    <w:p w14:paraId="649CBD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 ноября с.г. на з-де 153 будет начат выпуск машин с увеличенной скоростью.</w:t>
      </w:r>
    </w:p>
    <w:p w14:paraId="6C2DA1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Кроме того, для установления мероприятий по повышению максимальной скорости самолета, в ЦАГИ в настоящее время находится на продувке один самолет ЯК-7.</w:t>
      </w:r>
    </w:p>
    <w:p w14:paraId="2DA8FF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Гл. конструктором Яковлевым внедряется в серийное производство на заводе N 153 облегченное крыло с дюралевыми лонжеронами.</w:t>
      </w:r>
    </w:p>
    <w:p w14:paraId="474F36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Облегчение дает уменьшение веса самолета на 150 кг.</w:t>
      </w:r>
    </w:p>
    <w:p w14:paraId="44E5E7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самолету Лагг-3</w:t>
      </w:r>
    </w:p>
    <w:p w14:paraId="430139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Внесение аэродинамических усовершенствований дает увеличение скорости самолета на 30 км в час (вместо 570 км в час скорости серийного самолета - 600 км в час).</w:t>
      </w:r>
    </w:p>
    <w:p w14:paraId="20FE98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Облегчен вес самолета на 128 кг.</w:t>
      </w:r>
    </w:p>
    <w:p w14:paraId="6221ED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Кроме того, гл. конструктор з-да N 31 дополнительно облегчает полетный вес самолета и с 25/XI завод N 31 будет выпускать самолеты с полетным весом 2850 кг вместо полетного веса 3160 кг серийных самолетов выпуска завода N 21.</w:t>
      </w:r>
    </w:p>
    <w:p w14:paraId="4A9067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Облегчение полетного веса самолета Лагг-3 дало следующие результаты:</w:t>
      </w:r>
    </w:p>
    <w:p w14:paraId="20DC16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набора высоты на 5 тыс. м - 5,8 мин. вместо 6,4 мин.</w:t>
      </w:r>
    </w:p>
    <w:p w14:paraId="3665EF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виража на высоте 1,5 тыс. м - 20 сек. вместо 21 сек.</w:t>
      </w:r>
    </w:p>
    <w:p w14:paraId="7FA026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- 280 м вместо 370 м.</w:t>
      </w:r>
    </w:p>
    <w:p w14:paraId="3DFD9B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Также как на самолете Як-1, на самолете Лагг-3 вводятся следующие улучшения:</w:t>
      </w:r>
    </w:p>
    <w:p w14:paraId="454C28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Улучшается обзор вперед заменой сферических стекол, искажающих обзор на плоские стекла в передней части фонаря пилота.</w:t>
      </w:r>
    </w:p>
    <w:p w14:paraId="15AE3E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Устранено забрызгивание маслом передней части фонаря пилота.</w:t>
      </w:r>
    </w:p>
    <w:p w14:paraId="58B30D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Улучшена прицельность огня установкой красной лампы подсвета в коллиматорный прицел.</w:t>
      </w:r>
    </w:p>
    <w:p w14:paraId="682B43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самолету Ла-5</w:t>
      </w:r>
    </w:p>
    <w:p w14:paraId="5ECE1F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Гл. конструктором Лавочкиным и заводом - 21 выпущен на аэродром самолета Ла-5 со следующими улучшениями:</w:t>
      </w:r>
    </w:p>
    <w:p w14:paraId="24A9AA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облегчен вес самолета на 120 кг (вместо 3.815 - 3-195);</w:t>
      </w:r>
    </w:p>
    <w:p w14:paraId="1C006B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открыт обзор назад путем установки прозрачной брони и снижения гаргрота фюзеляжа;</w:t>
      </w:r>
    </w:p>
    <w:p w14:paraId="573BAC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изъяты бензобаки из консолей крыла и увеличена емкость бензобаков центроплана до 350 кг;</w:t>
      </w:r>
    </w:p>
    <w:p w14:paraId="275240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вместо одной пушки "Швак" установлен крупнокалиберный пулемет БС калибра 12,7.</w:t>
      </w:r>
    </w:p>
    <w:p w14:paraId="198A71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находится на испытании, которое будет закончено в течение 7-10 дней.</w:t>
      </w:r>
    </w:p>
    <w:p w14:paraId="6F31D3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В опытном цехе изготовляется самолет Ла-5 с облегчением на 315 кг (вместо 3-315 - 3.000 кг), с форсированным мотором М-82. Самолет будет закончен производством и передан на испытание 5 ноября с.г.</w:t>
      </w:r>
    </w:p>
    <w:p w14:paraId="658BF4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Кроме этого один самолет Ла-5 находится на исследовании (на продувке в ЦАГИ) для установления мероприятий по повышению максимальной скорости самолета (2493,80).</w:t>
      </w:r>
    </w:p>
    <w:p w14:paraId="451E57AF" w14:textId="77777777" w:rsidR="00090C9B" w:rsidRPr="00722885" w:rsidRDefault="00090C9B" w:rsidP="00722885">
      <w:pPr>
        <w:pStyle w:val="Iauiue"/>
        <w:jc w:val="both"/>
        <w:rPr>
          <w:color w:val="000000" w:themeColor="text1"/>
          <w:sz w:val="16"/>
          <w:szCs w:val="16"/>
        </w:rPr>
      </w:pPr>
    </w:p>
    <w:p w14:paraId="3816C0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октября 1942 Командир 1 ИАК Белецкий и военком Юхимчук писали письмо N 051 Ком. ВВС Новикову, НКАП А.И.Ш. и ЦК ВКПБ Шиманову о том, что с 25 сентября по 9 октября 1942 в 235 ИАД Ла-5 М-82 срезаются в массовом количестве фланцы патрубков выхлопного коллектора из-за того, что на 21 заводе фланцы, поступающие с двигателями 19 завода отгибаются на 90 гр. (1632,194).</w:t>
      </w:r>
    </w:p>
    <w:p w14:paraId="5BF3EA3C" w14:textId="77777777" w:rsidR="00090C9B" w:rsidRPr="00722885" w:rsidRDefault="00090C9B" w:rsidP="00722885">
      <w:pPr>
        <w:pStyle w:val="Iauiue"/>
        <w:jc w:val="both"/>
        <w:rPr>
          <w:color w:val="000000" w:themeColor="text1"/>
          <w:sz w:val="16"/>
          <w:szCs w:val="16"/>
        </w:rPr>
      </w:pPr>
    </w:p>
    <w:p w14:paraId="376DEB1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EE0D5C2" w14:textId="77777777" w:rsidR="00090C9B" w:rsidRPr="00722885" w:rsidRDefault="00090C9B" w:rsidP="00722885">
      <w:pPr>
        <w:pStyle w:val="Iauiue"/>
        <w:jc w:val="both"/>
        <w:rPr>
          <w:iCs/>
          <w:color w:val="000000" w:themeColor="text1"/>
          <w:sz w:val="16"/>
          <w:szCs w:val="16"/>
        </w:rPr>
      </w:pPr>
    </w:p>
    <w:p w14:paraId="62752561"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 9 октября 1942 года, с тан</w:t>
      </w:r>
      <w:r w:rsidRPr="00722885">
        <w:rPr>
          <w:rFonts w:ascii="Times New Roman" w:cs="Times New Roman"/>
          <w:color w:val="000000" w:themeColor="text1"/>
          <w:spacing w:val="0"/>
        </w:rPr>
        <w:softHyphen/>
        <w:t>ка № 15217 в серию пошли машины КВ-1С с дополнительной боеукладкой. Установка дополнительных ба</w:t>
      </w:r>
      <w:r w:rsidRPr="00722885">
        <w:rPr>
          <w:rFonts w:ascii="Times New Roman" w:cs="Times New Roman"/>
          <w:color w:val="000000" w:themeColor="text1"/>
          <w:spacing w:val="0"/>
        </w:rPr>
        <w:softHyphen/>
        <w:t>ков появилась чуть позже. Кроме того, в кон</w:t>
      </w:r>
      <w:r w:rsidRPr="00722885">
        <w:rPr>
          <w:rFonts w:ascii="Times New Roman" w:cs="Times New Roman"/>
          <w:color w:val="000000" w:themeColor="text1"/>
          <w:spacing w:val="0"/>
        </w:rPr>
        <w:softHyphen/>
        <w:t xml:space="preserve">струкцию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были внесены следующие изменения:</w:t>
      </w:r>
    </w:p>
    <w:p w14:paraId="4327D307"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Установка жалюзи в системе охлаждения - 6 сентября 1942 года, с танка № 150063;</w:t>
      </w:r>
    </w:p>
    <w:p w14:paraId="69D796BF"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Гусеница шириной 650 мм - 1 ноября 1942 года, с танка № 21159;</w:t>
      </w:r>
    </w:p>
    <w:p w14:paraId="0EBF0A1C"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Усиленные опорные катки — 5 ноября 1942 года, с танка № 210109;</w:t>
      </w:r>
    </w:p>
    <w:p w14:paraId="51F39D27"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Опоры балансиров опорных катков пе</w:t>
      </w:r>
      <w:r w:rsidRPr="00722885">
        <w:rPr>
          <w:rFonts w:ascii="Times New Roman" w:cs="Times New Roman"/>
          <w:color w:val="000000" w:themeColor="text1"/>
          <w:spacing w:val="0"/>
        </w:rPr>
        <w:softHyphen/>
        <w:t>реведены на сварку - 13 ноября 1942 года, с танка № 21135.</w:t>
      </w:r>
    </w:p>
    <w:p w14:paraId="09E0B7DD"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Поручни на корпусе - 28 ноября 1942 года, с танка № 21170;</w:t>
      </w:r>
    </w:p>
    <w:p w14:paraId="0CFA52D5"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Усиленные катки - 2 декабря 1942 года, с танка № 21177;</w:t>
      </w:r>
    </w:p>
    <w:p w14:paraId="7A487C08"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Поручни на башне - 10 декабря 1942 года, с танка № 21115;</w:t>
      </w:r>
    </w:p>
    <w:p w14:paraId="49CB4A1F"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Усиление крепления поддерживающих кат</w:t>
      </w:r>
      <w:r w:rsidRPr="00722885">
        <w:rPr>
          <w:rFonts w:ascii="Times New Roman" w:cs="Times New Roman"/>
          <w:color w:val="000000" w:themeColor="text1"/>
          <w:spacing w:val="0"/>
        </w:rPr>
        <w:softHyphen/>
        <w:t>ков - с 23 декабря 1943 года, с танка № 21237 (15226).</w:t>
      </w:r>
    </w:p>
    <w:p w14:paraId="16E773FC"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p>
    <w:p w14:paraId="4859538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9 октября 1942 года вышел приказ НКБ № 779</w:t>
      </w:r>
    </w:p>
    <w:p w14:paraId="25E638B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Во исполнение распоряжения СНК от 26 сентября 1942 года за № 18396-РС по организации Московского филиала ЦКБ № 22:</w:t>
      </w:r>
    </w:p>
    <w:p w14:paraId="0C1B643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Начальнику 2 Гл. управления организовать Московский филиал ЦКБ № 22 на площадях завода № 398 (Зацепа, 2) (5941, 108).</w:t>
      </w:r>
    </w:p>
    <w:p w14:paraId="11E00BEA" w14:textId="77777777" w:rsidR="00090C9B" w:rsidRPr="00722885" w:rsidRDefault="00090C9B" w:rsidP="00722885">
      <w:pPr>
        <w:pStyle w:val="Iauiue"/>
        <w:tabs>
          <w:tab w:val="left" w:pos="11199"/>
        </w:tabs>
        <w:jc w:val="both"/>
        <w:rPr>
          <w:color w:val="000000" w:themeColor="text1"/>
          <w:sz w:val="16"/>
          <w:szCs w:val="16"/>
        </w:rPr>
      </w:pPr>
    </w:p>
    <w:p w14:paraId="5B35CE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октября 1942 г. из ПОСТАНОВЛЕНИЯ БЮРО НОВОСИБИРСКОГО ГОРКОМА ВКП(б) «О МЕРОПРИЯТИЯХ ПО ОБЕСПЕЧЕНИЮ ОБУВЬЮ РАБОЧИХ ЗАВОДОВ БОЕПРИПАСОВ»</w:t>
      </w:r>
    </w:p>
    <w:p w14:paraId="3A3FCA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обеспечения обувью рабочих заводов боеприпасов за счет местных ресурсов бюро горкома ВКП(б) ПОСТАНОВЛЯЕТ:</w:t>
      </w:r>
    </w:p>
    <w:p w14:paraId="3C5063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руководителей обувных предприятий и артелей города: Горкожвалутильсоюз - тов. Юркова, Горместпром - тов. Киршен-блюм[а], Коопинсоюз — тов. Карунина, Оптпромторг — тов. Фатис[а], Горпромторг - тов. Воронова, Главунивермаг — тов. Власова: единовременно выделить максимальное количество имеющейся готовой разной мужской и женской обуви для прикрепленных заводов боеприпасов; в декадный срок организовать и сдать заводам максимальное количество разной женской и мужской обуви за счет других изделий, за исключением ремонта, пошивки детской обуви и спецзаказов.</w:t>
      </w:r>
    </w:p>
    <w:p w14:paraId="72F8FA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Горместпром — тов. Киршенблюм[а], директора мебельной фабрики тов. Гольдмана с 10 октября выпускать ежесуточно не менее 500 пар деревянной подошвы.</w:t>
      </w:r>
    </w:p>
    <w:p w14:paraId="54BB76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Предложить директору завода «Большевик» тов. Частницкому, директору Главунивермага тов. Власову, Горкультгалсоюза — тов. Ма-зур(у] не позднее 15 октября 1942 года организовать производство деревянной подошвы: на заводе «Большевик» до 400 пар в сутки, в мастерских Главунивермага до 25 пар в сутки; в артели «Симфония» до 100 пар в сутки.</w:t>
      </w:r>
    </w:p>
    <w:p w14:paraId="36B16A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Обязать заместителя директора обувной фабрики имени Кирова тов. Зельманова, директора хромзавода тов. Кокина, директора шорно-седельной фабрики тов. Кацяельсона в суточный срок выдать кожевенные отходы и отходы текса для изготовления рабочей обуви.</w:t>
      </w:r>
    </w:p>
    <w:p w14:paraId="4F43F5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Для увеличения производственной мощности по пошивке обуви предложить тов. Зельманову (фабрика имени Кирова) выделить на временное пользование швейных машин 31 класса: для мастерских опт-промторга № 2, горпромторга № 1, универмага № 3.</w:t>
      </w:r>
    </w:p>
    <w:p w14:paraId="7D399A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Для обеспечения тесной увязки по изготовлению и снабжению обувью рабочих прикрепить сапожные предприятия к следующим заводам: к заводу № 65 — мастерские Оптпромторга, к заводу J&amp; 179 - мастерские Главунивермага, к заводу № 556 - мастерские Горкожвалутильсоюза, к заводу № 564 - мастерские Горкож вал у тиль-союза, к заводу № 188 — мастерские Горпромторга, к заводу № 325 — мастерские Коопинсоюза, к заводу № 635 - мастерские Заельцовского..., к заводу имени Воскова — мастерские Центрального..., к заводу № 677 - мастерские Горпромторга.</w:t>
      </w:r>
    </w:p>
    <w:p w14:paraId="25D7EA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Директорам вышеуказанных заводов оказать всемерную помощь сапожным предприятиям как в рабочей силе, так и изысканием сырья и фурнитуры.</w:t>
      </w:r>
    </w:p>
    <w:p w14:paraId="673C80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Обязать председателя Горкожвалутильсоюза тов. Юркова в трехдневный срок организовать и расширить производство по реставрации утильной кожаной и резиновой обуви. 1 ноября выпустить и сдать оборонным заводам не менее 1 500 пар.</w:t>
      </w:r>
    </w:p>
    <w:p w14:paraId="1727CE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Для максимального обеспечения выпуска обуви обкому ВКП(б) предложить заводу «Спецмашдеталь» организовать производство деревянной подошвы для рабочей обуви.</w:t>
      </w:r>
    </w:p>
    <w:p w14:paraId="6D267A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9. Просить обком ВКП(б) обязать Облплан выделить местной промышленности города единовременно 500 ... для производства деревянной подошвы.</w:t>
      </w:r>
    </w:p>
    <w:p w14:paraId="782B9B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П.п. секретарь Новосибирского горкома ВКЩб) Яковлев</w:t>
      </w:r>
    </w:p>
    <w:p w14:paraId="3BFEF8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ВЕРНО: Заведующий протокольной</w:t>
      </w:r>
    </w:p>
    <w:p w14:paraId="3FA1BE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частью горкома ВКЩб) Кузнецов</w:t>
      </w:r>
    </w:p>
    <w:p w14:paraId="3B0793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Р-1117. Оп. 1. Д. 11. Л. 274. Заверенная копия (12193).</w:t>
      </w:r>
    </w:p>
    <w:p w14:paraId="2CAF0F6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2EF416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9 октября 1942 вышло Постановление ГКО № 2394 О развитии оборонительных рубежей в районе г. Сталинграда и обводов у городов Камышин и Саратов. (7058, 40).</w:t>
      </w:r>
    </w:p>
    <w:p w14:paraId="3FACFBD6" w14:textId="77777777" w:rsidR="00090C9B" w:rsidRPr="00722885" w:rsidRDefault="00090C9B" w:rsidP="00722885">
      <w:pPr>
        <w:pStyle w:val="Iauiue"/>
        <w:tabs>
          <w:tab w:val="left" w:pos="11199"/>
        </w:tabs>
        <w:jc w:val="both"/>
        <w:rPr>
          <w:color w:val="000000" w:themeColor="text1"/>
          <w:sz w:val="16"/>
          <w:szCs w:val="16"/>
        </w:rPr>
      </w:pPr>
    </w:p>
    <w:p w14:paraId="6A461E6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9 октября 1942 вышло Постановление ГКО № 2395 О правовом положении строителей, занятых на возведении оборонительных рубежей в органах Управления оборонительного строительства и инженерных войск Красной Армии. (7058, 41).</w:t>
      </w:r>
    </w:p>
    <w:p w14:paraId="1F093135" w14:textId="77777777" w:rsidR="00090C9B" w:rsidRPr="00722885" w:rsidRDefault="00090C9B" w:rsidP="00722885">
      <w:pPr>
        <w:pStyle w:val="Iauiue"/>
        <w:tabs>
          <w:tab w:val="left" w:pos="11199"/>
        </w:tabs>
        <w:jc w:val="both"/>
        <w:rPr>
          <w:color w:val="000000" w:themeColor="text1"/>
          <w:sz w:val="16"/>
          <w:szCs w:val="16"/>
        </w:rPr>
      </w:pPr>
    </w:p>
    <w:p w14:paraId="3EB1854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9 октября 1942 вышло Постановление ГКО № 2396 О системе оплаты труда строителей, занятых на возведении оборонительных рубежей в органах Управления оборонительного строительства и инженерных войск Красной Армии. (7058, 42).</w:t>
      </w:r>
    </w:p>
    <w:p w14:paraId="3B5322DA" w14:textId="77777777" w:rsidR="00090C9B" w:rsidRPr="00722885" w:rsidRDefault="00090C9B" w:rsidP="00722885">
      <w:pPr>
        <w:pStyle w:val="Iauiue"/>
        <w:tabs>
          <w:tab w:val="left" w:pos="11199"/>
        </w:tabs>
        <w:jc w:val="both"/>
        <w:rPr>
          <w:color w:val="000000" w:themeColor="text1"/>
          <w:sz w:val="16"/>
          <w:szCs w:val="16"/>
        </w:rPr>
      </w:pPr>
    </w:p>
    <w:p w14:paraId="7F6CDD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октября 1942 года на основании приказа НКБ № 779с и распоряжения СНК от 26 сентября 1942 года № 18396-рс на площадях завода № 398 был организован Московский филиал ЦКБ № 22 (10118).</w:t>
      </w:r>
    </w:p>
    <w:p w14:paraId="0E6D512E" w14:textId="77777777" w:rsidR="00090C9B" w:rsidRPr="00722885" w:rsidRDefault="00090C9B" w:rsidP="00722885">
      <w:pPr>
        <w:pStyle w:val="Iauiue"/>
        <w:jc w:val="both"/>
        <w:rPr>
          <w:color w:val="000000" w:themeColor="text1"/>
          <w:sz w:val="16"/>
          <w:szCs w:val="16"/>
        </w:rPr>
      </w:pPr>
    </w:p>
    <w:p w14:paraId="12CFF8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октября 1942 на Балтийском заводе спущена на воду носовая оконечность для поврежденного эсминца "Сторожевой", заложенная на малом стапеле 29 июля 1942 г (10671).</w:t>
      </w:r>
    </w:p>
    <w:p w14:paraId="4F86A99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C2465B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B5ED3E2" w14:textId="77777777" w:rsidR="00090C9B" w:rsidRPr="00722885" w:rsidRDefault="00090C9B" w:rsidP="00722885">
      <w:pPr>
        <w:pStyle w:val="Iauiue"/>
        <w:jc w:val="both"/>
        <w:rPr>
          <w:iCs/>
          <w:color w:val="000000" w:themeColor="text1"/>
          <w:sz w:val="16"/>
          <w:szCs w:val="16"/>
        </w:rPr>
      </w:pPr>
    </w:p>
    <w:p w14:paraId="1FF333C9"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9 октября </w:t>
      </w:r>
      <w:r w:rsidRPr="00722885">
        <w:rPr>
          <w:rFonts w:ascii="Times New Roman" w:hAnsi="Times New Roman"/>
          <w:color w:val="000000" w:themeColor="text1"/>
          <w:sz w:val="16"/>
          <w:szCs w:val="16"/>
        </w:rPr>
        <w:t>в 1942 году утреннее сообщение Совинформбюро:</w:t>
      </w:r>
    </w:p>
    <w:p w14:paraId="50165FB7"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9 октября наши войска вели бои с противником в районе Сталинграда и в районе Моздока. На других фронтах никаких изменений не произошло.</w:t>
      </w:r>
    </w:p>
    <w:p w14:paraId="0562C414"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бои. Бойцы Н-ской части Красной Армии отбили четыре атаки противника и уничтожили 2 танка и до роты немецкой пехоты. На другом участке 12 танков и следовавший за ними батальон пехоты противника прорвались в район одной улицы. В упорных боях нашими бойцами подбито и сожжено 9 немецких танков и уничтожено до двух рот гитлеровцев. Оставшиеся силы противника отступили на исходные позиции.</w:t>
      </w:r>
    </w:p>
    <w:p w14:paraId="3908E984"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отдельных участках наши войска вели активные боевые действия. Бойцы Н-ского подразделения ворвались в траншеи противника и в рукопашной схватке истребили до 100 немецких солдат. Захвачены 4 пулемёта, 3 миномёта, противотанковое орудие и другие трофеи.</w:t>
      </w:r>
    </w:p>
    <w:p w14:paraId="25F333EA"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отбивали атаки противника. За три дня бойцы Н-ского соединения истребили до батальона гитлеровцев, подбили и сожгли 9 танков, уничтожили 4 орудия, 13 миномётов, 6 автомашин и 6 повозок с боеприпасами.</w:t>
      </w:r>
    </w:p>
    <w:p w14:paraId="7E1B4C01"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произвели успешный налёт на вражеский аэродром. Уничтожено 10 «Мессершмиттов-109», 2 «Юнкер-са-52», один «Фокке-Вульф-189». Кроме того, повреждено 7 немецких самолётов.</w:t>
      </w:r>
    </w:p>
    <w:p w14:paraId="783FC4CF"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бойцы подразделения, где командиром т. Васильев, отразили атаку батальона немецкой пехоты. На поле боя противник оставил более 100 убитых солдат и офицеров. Лётчики-штурмовики тт. Павленко, Марютин, Васильчиков, Кисль, Головко, Калинин к Пономарёв совершили успешный налёт на скопление вражеских войск, готовившихся к наступлению. Немцы были застигнуты врасплох и понесли значительные потери. Уничтожено 2 бронемашины, до 20 автомашин и повозок, рассеяно и частью уничтожено до двух рот пехоты противника.</w:t>
      </w:r>
    </w:p>
    <w:p w14:paraId="416E428B"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немецкая пехота при поддержке танков атаковала наши оборонительные рубежи. Ружейно-пулемётным и миномётным огнём гитлеровцы были отброшены, оставив на поле боя до 200 трупов. Среди захваченных трофеев — 8 пулемётов, 2 миномёта и один исправный немецкий танк.</w:t>
      </w:r>
    </w:p>
    <w:p w14:paraId="3DFBA663"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Орловской области, в течение сентября месяца пустил под откос 16 железнодорожных эшелонов немецко-фашистских оккупантов. Выведено из строя 16 паровозов, разбито 276 вагонов и платформ с войсками, боеприпасами, горючим и другими грузами.</w:t>
      </w:r>
    </w:p>
    <w:p w14:paraId="7A2B0046"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Добровольно сдавшийся в плен ефрейтор 385 полка 223 немецкой пехотной дивизии Герман Г. рассказал: «Я пробыл на фронте меньше месяца. За этот короткий срок наш полк лишился очень большого количества солдат и офицеров. Я никогда в жизни не забуду один день, когда в роте было убито 65 человек. Нас подняли на рассвете, погнали вперёд и приказали стрелять. Сзади шёл обер-лейтенант Мейних и подгонял отстающих. Русские встретили наступающих мощным огнём. Обер-лейтенант Мейних был убит. Остальные офицеры удрали. Глядя на них, солдаты тоже побежали, оставив раненых на произвол судьбы. Я, солдат Доллер и унтер-офицер Кляй остались в землянке, а когда появились русские, сдались в плен. Я сдался в плен потому, что не верю в победу германской армии, считаю эту войну несправедливой, а потому и безнадёжной».</w:t>
      </w:r>
    </w:p>
    <w:p w14:paraId="5EB6753D"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 Н-ской части, действующей на Карельском фронте, обнаружила в отбитом окопе трупы 11 советских бойцов, зверски замученных белофиннами. Красноармейцы Бачинов Г.М., Углов В.В. и Богданов И.С. были ранены в бою и захвачены в плен. Белофинны долго пытали их и вырезали на груди пятиконечные звёзды. Личность остальных замученных бойцов установить не удалось, так как бандиты до неузнаваемости изуродовали их.</w:t>
      </w:r>
    </w:p>
    <w:p w14:paraId="18BC9016"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Шарлеруа (Бельгия) произошла демонстрация жён бельгийских солдат, находящихся в плену в Германии. Женщины несли бельгийские национальные флаги и большие плакаты с надписями: «Верните наших мужей из фашистского плена!», «Мы требуем хлеба для голодных детей!" Немецкие солдаты местного гарнизона, пытавшиеся рассеять демонстрантов, были смяты толпой. Вскоре в город прибыли отряды полиции из Шатле и Жильи. Гитлеровские мерзавцы пустили в ход оружие. Имеются убитые и раненые.» (14794).</w:t>
      </w:r>
    </w:p>
    <w:p w14:paraId="14F05730" w14:textId="77777777" w:rsidR="00845E49" w:rsidRPr="00722885" w:rsidRDefault="00845E49" w:rsidP="00722885">
      <w:pPr>
        <w:spacing w:after="0" w:line="240" w:lineRule="auto"/>
        <w:jc w:val="both"/>
        <w:rPr>
          <w:rFonts w:ascii="Times New Roman" w:hAnsi="Times New Roman"/>
          <w:color w:val="000000" w:themeColor="text1"/>
          <w:sz w:val="16"/>
          <w:szCs w:val="16"/>
        </w:rPr>
      </w:pPr>
    </w:p>
    <w:p w14:paraId="634D92F1"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9 октября </w:t>
      </w:r>
      <w:r w:rsidRPr="00722885">
        <w:rPr>
          <w:rFonts w:ascii="Times New Roman" w:hAnsi="Times New Roman"/>
          <w:color w:val="000000" w:themeColor="text1"/>
          <w:sz w:val="16"/>
          <w:szCs w:val="16"/>
        </w:rPr>
        <w:t>в 1942 году вечернее сообщение Совинформбюро:</w:t>
      </w:r>
    </w:p>
    <w:p w14:paraId="320B24D5"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9 октября наши войска вели бои с противником в районе Сталинграда и в районе Моздока. На других фронтах существенных изменений не произошло.</w:t>
      </w:r>
    </w:p>
    <w:p w14:paraId="7090CDD4"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8 октября нашей авиацией на различных участках фронта уничтожено 6 немецких танков, 40 автомашин с войсками и грузами, подавлен огонь 3 артиллерийских батарей, рассеяно и частью уничтожено до трёх рот пехоты И взвод конницы противника.</w:t>
      </w:r>
    </w:p>
    <w:p w14:paraId="7E351EAB"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противника. В одной окраине города гитлеровцы отдельными группами пехоты при поддержке танков дважды пытались прорваться к Волге. Наши части отбили атаки противника и уничтожили до роты немецкой пехоты. Бойцы Н-ской части, в течение нескольких дней находясь в окружении, вели упорную борьбу с врагом. Наши бойцы прорвали кольцо противника, вышли из окружения и заняли участок обороны в районе рабочего посёлка. Гвардейцы-миномётчики в течение дня подбили 2 немецких танка, подожгли 13 автомашин и истребили до 300 солдат и офицеров противника.</w:t>
      </w:r>
    </w:p>
    <w:p w14:paraId="56E6929C"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занимаемые рубежи и на отдельных участках вели бои местного значения. Бойцы Н-ской части, отражая атаку противника, истребили 120 вражеских солдат и офицеров, уничтожили танк и 2 миномётные батареи. Разрушено 5 ДЗОТ'ов и 2 блиндажа противника. На других участках происходила артиллерийская перестрелка и активные действия разведывательных отрядов.</w:t>
      </w:r>
    </w:p>
    <w:p w14:paraId="66935AB0"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противник силой до полка пехоты при поддержке танков несколько раз атаковал наши позиции. Атаки гитлеровцев отбиты. В течение дня разбито 10 автомашин с боеприпасами и истреблено до 300 немецких солдат и офицеров.</w:t>
      </w:r>
    </w:p>
    <w:p w14:paraId="3E0B00FB"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немецкая пехота при поддержке 30 танков атаковала наши позиции и заняла два населённых пункта. В завязавшихся упорных боях наши части контратаковали гитлеровцев. Подбито 10 немецких танков и нанесены большие потери пехоте противника.</w:t>
      </w:r>
    </w:p>
    <w:p w14:paraId="47317E5E"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рота венгерской пехоты переправилась через реку Дон. Миномётным и пулемётным огнём наших подразделений было уничтожено 80 солдат. Десять мадьяр, в том числе один офицер, взяты в плен.</w:t>
      </w:r>
    </w:p>
    <w:p w14:paraId="50C9A62D"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кабардино-балкарских партизан, действующий в тылу немецко-фашистских войск, совершил смелое нападение на штаб румынской дивизии. Советские патриоты истребили до 100 румынских солдат и офицеров, уничтожили 2 автомашины и 2 пулемёта.</w:t>
      </w:r>
    </w:p>
    <w:p w14:paraId="62F8F7DE"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3 роты 13 венгерскою полка Бела Кантер рассказал: «Я видел, как немецкие и венгерские солдаты мучают и грабят русское мирное население, В селе Коски венгерские солдаты ходили из дома в дом, шарили в кладовых и сундуках и забирали всё, что попадалось под руку: шубы, платья, бельё, обувь, часы, перчатки. Солдаты 3 взвода Антал Туран, Имрз Гергель и Дюла Ковач тащили огромные тюки с награбленным добром. Венгерские офицеры не отставали от солдат. Лейтенант Золтан Тамаш и старший лейтенант Ференц Туроци награбили больше всех. Офицеры и солдаты насиловали и убивали русских женщин и девушек».</w:t>
      </w:r>
    </w:p>
    <w:p w14:paraId="0449F298"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расстреляли в оккупированных ими районах тысячи мирных советских жителей и обрекли на голодную смерть осиротевших детей. Издающаяся в Минске фашистская газетка «Минскер цейтунг» пишет о беспризорниках: «При всякой погоде они живут под открытым небом и пробавляются нищенством. Каждый поезд, прибывающий на вокзал, осаждается беспризорниками. Это дети от 5 до 12 лет». Немецкие бандиты отняли у белорусских детей родителей, лишили их крова и хлеба, а теперь совершают новые злодеяния. 27 сентября эсэсовцы произвели в Минске облаву на беспризорников. Около вокзала и в развалинах домов гитлеровцы задержали около 100 беспризорных детей и расстреляли их.»</w:t>
      </w:r>
    </w:p>
    <w:p w14:paraId="23EC56C3"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Ещё одна гитлеровская фальшивка.</w:t>
      </w:r>
    </w:p>
    <w:p w14:paraId="3CC92A64"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днях немецкое командование объявило, что немецкие войска якобы окружили и уничтожили южнее Ладожского озера 7 советских дивизий, взяли 12.370 пленных, захватили или уничтожили 244 танка, 307 орудий, 491 миномёт и т. д. Это сообщение немецкого командования от начала до конца является беспардонным враньём. Ни южнее Ладожского озера, ни в каком-либо другом месте гитлеровцы не окружали не только ни одной дивизии, но даже ни одного советского полка.</w:t>
      </w:r>
    </w:p>
    <w:p w14:paraId="0C6C16F9"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Ладожского озера, в районе Синявино, в сентябре месяце советские войска предприняли наступательные бои. Целью этой операции являлось оттянуть часть сил немецкой армии с южного участка фронта. Эта цель была достигнута. Несколько немецких дивизий, в том числе 4 пехотные дивизии, стоявшие в Крыму, а именно — 24, 28, 132 и 170, и предназначавшиеся для операций под Сталинградом и на Тереке, спешно были переброшены в район Синявино и здесь были разбиты или основательно растрёпаны советскими войсками. В ходе этих боёв были разгромлены 223 и 227 немецкие пехотные дивизии и нанесены большие потери 5 горнострелковой, 24, 28, 121, 132 и 170 пехотным дивизиям. Противник потерял убитыми, ранеными и пленными не менее 60.000 солдат и офицеров. За это же время подбито и уничтожено до 200 немецких танков, 244 орудия, до 400 миномётов, 730 пулемётов и сбито 260 немецких самолётов.</w:t>
      </w:r>
    </w:p>
    <w:p w14:paraId="29B9FD5D"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в этих боях потеряли убитыми, ранеными и пропавшими без вести 21.384 человека. В происходивших боях наши части потеряли 58 танков, 93 орудия, 249 миномётов, 77 станковых и 214 ручных пулемётов.</w:t>
      </w:r>
    </w:p>
    <w:p w14:paraId="5F39A762"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боёв в районе Синявино была прорвана оборона противника и захвачен ряд его опорных пунктов, которые, несмотря на все контратаки противника, прочно удерживаются нашими войсками.</w:t>
      </w:r>
    </w:p>
    <w:p w14:paraId="41D74932"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Таковы действительные факты, полностью опровергающие новую фальшивку гитлеровских фальшивомонетчиков.» (14794).</w:t>
      </w:r>
    </w:p>
    <w:p w14:paraId="7B1FE0E5" w14:textId="77777777" w:rsidR="00845E49" w:rsidRPr="00722885" w:rsidRDefault="00845E49" w:rsidP="00722885">
      <w:pPr>
        <w:spacing w:after="0" w:line="240" w:lineRule="auto"/>
        <w:jc w:val="both"/>
        <w:rPr>
          <w:rFonts w:ascii="Times New Roman" w:hAnsi="Times New Roman"/>
          <w:color w:val="000000" w:themeColor="text1"/>
          <w:sz w:val="16"/>
          <w:szCs w:val="16"/>
        </w:rPr>
      </w:pPr>
    </w:p>
    <w:p w14:paraId="1103BA5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9 октября 1942 в Красной Армии упразднен институт военных комиссаров (4962).</w:t>
      </w:r>
    </w:p>
    <w:p w14:paraId="570F521F" w14:textId="77777777" w:rsidR="00090C9B" w:rsidRPr="00722885" w:rsidRDefault="00090C9B" w:rsidP="00722885">
      <w:pPr>
        <w:pStyle w:val="Iauiue"/>
        <w:tabs>
          <w:tab w:val="left" w:pos="11199"/>
        </w:tabs>
        <w:jc w:val="both"/>
        <w:rPr>
          <w:color w:val="000000" w:themeColor="text1"/>
          <w:sz w:val="16"/>
          <w:szCs w:val="16"/>
        </w:rPr>
      </w:pPr>
    </w:p>
    <w:p w14:paraId="01CE5E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октября 1942 комиссаров упразднили и ввели замполитов (1103,228).</w:t>
      </w:r>
    </w:p>
    <w:p w14:paraId="651BB67B" w14:textId="77777777" w:rsidR="00090C9B" w:rsidRPr="00722885" w:rsidRDefault="00090C9B" w:rsidP="00722885">
      <w:pPr>
        <w:pStyle w:val="Iauiue"/>
        <w:jc w:val="both"/>
        <w:rPr>
          <w:color w:val="000000" w:themeColor="text1"/>
          <w:sz w:val="16"/>
          <w:szCs w:val="16"/>
        </w:rPr>
      </w:pPr>
    </w:p>
    <w:p w14:paraId="733482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октября 1942 вышло Постановление ГКО № 2389 О т. Семенове. РГАНИР, Фонд ГКО, д. П. РГАНИР, Фонд ГКО, д. 62, лл. 4 (11012).</w:t>
      </w:r>
    </w:p>
    <w:p w14:paraId="407E3B1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5AEBB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октября 1942 вышло Постановление ГКО № 2390 О представителе Центрального штаба партизанского движения на Сталинградском фронте. РГАНИР, Фонд ГКО, д. 62, лл. 5 (11012).</w:t>
      </w:r>
    </w:p>
    <w:p w14:paraId="5B65840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086BA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октября 1942 вышло Постановление ГКО № 2391 О работниках центрального штаба партизанского движения. РГАНИР, Фонд ГКО, д. 62, лл. 6 (11012).</w:t>
      </w:r>
    </w:p>
    <w:p w14:paraId="2BB7A9D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FFBCFF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3A65D9F3" w14:textId="77777777" w:rsidR="00090C9B" w:rsidRPr="00722885" w:rsidRDefault="00090C9B" w:rsidP="00722885">
      <w:pPr>
        <w:pStyle w:val="Iauiue"/>
        <w:jc w:val="both"/>
        <w:rPr>
          <w:iCs/>
          <w:color w:val="000000" w:themeColor="text1"/>
          <w:sz w:val="16"/>
          <w:szCs w:val="16"/>
        </w:rPr>
      </w:pPr>
    </w:p>
    <w:p w14:paraId="706700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октября 1942 года было получено:</w:t>
      </w:r>
    </w:p>
    <w:p w14:paraId="3A9DCF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 РУЗВЕЛЬТ И. В. СТАЛИНУ *</w:t>
      </w:r>
    </w:p>
    <w:p w14:paraId="53233A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 получил копию послания Премьер-Министра на Ваше имя. Мы собираемся действовать так скоро, как это возможно, чтобы предоставить Вам военно-воздушные силы, которые будут действовать под Вашим стратегическим командованием на Кавказе. Я пытаюсь в настоящее время немедленно изыскать дополнительное количество самолетов для Вас и скоро поставлю Вас в известность о результатах. Я также пытаюсь принять меры к передаче под Ваш флаг некоторого количества наших торговых судов для того, чтобы увеличить поток материалов, направляемых Вам через Тихни океан. Я только что отдал распоряжение о предоставлении Вам завода автомобильных покрышек. Мы отправляем весьма существенные подкрепления в Персидский залив в целях увеличения потока снабжения по этому маршруту и уверены, что это можно сделать. Мы отправляем большое количество паровозов и другого оборудования, а также персонал. Я уверен, что наша предполагаемая операция будет успешной.</w:t>
      </w:r>
    </w:p>
    <w:p w14:paraId="098D47E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Доблестная оборона Сталинграда глубоко взволновала в Америке всех, и мы уверены в ее успехе (7430).</w:t>
      </w:r>
    </w:p>
    <w:p w14:paraId="0C0BFD60" w14:textId="77777777" w:rsidR="00090C9B" w:rsidRPr="00722885" w:rsidRDefault="00090C9B" w:rsidP="00722885">
      <w:pPr>
        <w:pStyle w:val="Iauiue"/>
        <w:jc w:val="both"/>
        <w:rPr>
          <w:color w:val="000000" w:themeColor="text1"/>
          <w:sz w:val="16"/>
          <w:szCs w:val="16"/>
        </w:rPr>
      </w:pPr>
    </w:p>
    <w:p w14:paraId="430415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октября 1942 года было получено:</w:t>
      </w:r>
    </w:p>
    <w:p w14:paraId="0EC92A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СТРОГО СЕКРЕТНОЕ И ЛИЧНОЕ ПОСЛАНИЕ ОТ ПРЕМЬЕР-МИНИСТРА г-на УИНСТОНА ЧЕРЧИЛЛЯ ПРЕМЬЕРУ СТАЛИНУ</w:t>
      </w:r>
    </w:p>
    <w:p w14:paraId="566DFD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дополнение к первому абзацу моего послания от 30 сентября сообщаю, что, как показывают мои последние сведения, осуществление германских планов отправки судов на Каспийское море по железной дороге приостановлено (7430).</w:t>
      </w:r>
    </w:p>
    <w:p w14:paraId="54A7D564" w14:textId="77777777" w:rsidR="00090C9B" w:rsidRPr="00722885" w:rsidRDefault="00090C9B" w:rsidP="00722885">
      <w:pPr>
        <w:pStyle w:val="Iauiue"/>
        <w:jc w:val="both"/>
        <w:rPr>
          <w:color w:val="000000" w:themeColor="text1"/>
          <w:sz w:val="16"/>
          <w:szCs w:val="16"/>
        </w:rPr>
      </w:pPr>
    </w:p>
    <w:p w14:paraId="45B237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октября 1942 года было получено:</w:t>
      </w:r>
    </w:p>
    <w:p w14:paraId="60FE1E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СТРОГО СЕКРЕТНОЕ И ЛИЧНОЕ ПОСЛАНИЕ ОТ ПРЕМЬЕР-МИНИСТРА г-на УИНСТОНА ЧЕРЧИЛЛЯ ПРЕМЬЕРУ СТАЛИНУ</w:t>
      </w:r>
    </w:p>
    <w:p w14:paraId="0FD806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Мы начнем наступление в Египте в конце этого месяца, а “Факел”</w:t>
      </w:r>
      <w:r w:rsidRPr="00722885">
        <w:rPr>
          <w:color w:val="000000" w:themeColor="text1"/>
          <w:sz w:val="16"/>
          <w:szCs w:val="16"/>
          <w:vertAlign w:val="superscript"/>
        </w:rPr>
        <w:t>24</w:t>
      </w:r>
      <w:r w:rsidRPr="00722885">
        <w:rPr>
          <w:color w:val="000000" w:themeColor="text1"/>
          <w:sz w:val="16"/>
          <w:szCs w:val="16"/>
        </w:rPr>
        <w:t xml:space="preserve"> начнется в начале ноября. Эти операции должны будут или</w:t>
      </w:r>
    </w:p>
    <w:p w14:paraId="6D7F37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a) заставить немцев перебросить воздушные и сухопутные силы для противодействия нашему наступлению, или</w:t>
      </w:r>
    </w:p>
    <w:p w14:paraId="44867D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b) вынудить их примириться с новым положением, сложившимся в результате наших успехов, которое затем вследствие угрозы нападения на Сицилию и на юг Европы приведет к отвлечению их сил.</w:t>
      </w:r>
    </w:p>
    <w:p w14:paraId="767CDE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Наше наступление в Египте будет предпринято большими силам”. “Факел” будет крупной операцией, в которой, помимо военно-морского флота Соединенных Штатов, будут участвовать 240 британских военных кораблей и более полумиллиона человек. Все это неотвратимо движется вперед.</w:t>
      </w:r>
    </w:p>
    <w:p w14:paraId="2F791B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Президент и я желаем, чтобы на Ваш южный фланг были отправлены англо-американские силы и чтобы они действовали под стратегическим контролем Советского Верховного Командования. Эти силы будут иметь следующий состав: британские — 9 истребительных эскадрилий, 5 бомбардировочных эскадрилий; Соединенных Штатов — одна группа тяжелых бомбардировщиков и одна транспортная группа. Мы отдали распоряжение о формировании и дислокации этих сил с тем, чтобы они были готовы к боям в начале нового года. Большая часть этих сил прибудет из Египта, как только она будет высвобождена там из боев, которые, как мы полагаем, будут для нас успешными.</w:t>
      </w:r>
    </w:p>
    <w:p w14:paraId="5424A6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В письме, которое г-н Майский передал мне 5 октября, Вы просили о значительном увеличении поставок истребительной авиации для России со стороны Англии и Соединенных Штатов. Мы отправим, по возможности в ближайшее время, по маршруту через Персидский залив 150 “Спитфайеров”, и дополнительно будут посланы запасные части, эквивалентные 50 самолетам. Эти самолеты будут отправлены, как только они будут получены, в качестве специального подкрепления, которое мы не сможем предоставить вторично. Это специальное подкрепление предоставляется, помимо и сверх протокола о поставках</w:t>
      </w:r>
      <w:r w:rsidRPr="00722885">
        <w:rPr>
          <w:color w:val="000000" w:themeColor="text1"/>
          <w:sz w:val="16"/>
          <w:szCs w:val="16"/>
          <w:vertAlign w:val="superscript"/>
        </w:rPr>
        <w:t>32</w:t>
      </w:r>
      <w:r w:rsidRPr="00722885">
        <w:rPr>
          <w:color w:val="000000" w:themeColor="text1"/>
          <w:sz w:val="16"/>
          <w:szCs w:val="16"/>
        </w:rPr>
        <w:t>, по северному маршруту, поскольку этим маршрутом можно пользоваться. Президент Рузвельт сообщит отдельной телеграммой относительно доли Соединенных Штатов.</w:t>
      </w:r>
    </w:p>
    <w:p w14:paraId="1D0164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Я испытал большое облегчение по поводу того, что столь значительная часть последнего конвоя благополучно прибыла в Архангельск. Этот успех был достигнут только благодаря тому, что в этой операции было использовано не менее 77 военных кораблей. Военно-морская защита будет невозможной до завершения наших предстоящих операций. Когда эскортные суда, необходимые для “Факела”, будут высвобождены, то они снова смогут быть предоставлены для северных вод.</w:t>
      </w:r>
    </w:p>
    <w:p w14:paraId="59666C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Однако мы тем временем намерены сделать все возможное, чтобы отправлять Вам поставки по северному пути посредством посылки отдельных судов вместо эскортируемых конвоев. Приняты меры к отправке судов из Исландии между 28 октября и 8 ноября в безлунный период. Готовятся 10 наших судов дополнительно к тому, что отправят американцы. Суда будут следовать в отдельности с интервалами приблизительно в 200 миль, а в отдельных случаях с более значительными интервалами и будут полагаться на маневрирование и рассредоточение.</w:t>
      </w:r>
    </w:p>
    <w:p w14:paraId="496DB5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Мы надеемся возобновить поток поставок конвоями под сильным эскортом с января 1943 года</w:t>
      </w:r>
    </w:p>
    <w:p w14:paraId="10E78D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Конечно, нам и Вам значительно помогло, бы, если бы немцев можно было лишить возможности использовать аэродромы в Северной Норвегии. Если бы Ваши штабы смогли составить хороший план, то Президент и я немедленно рассмотрели бы возможность участия в его осуществлении до предела наших возможностей (7430).</w:t>
      </w:r>
    </w:p>
    <w:p w14:paraId="1E30E388" w14:textId="77777777" w:rsidR="00090C9B" w:rsidRPr="00722885" w:rsidRDefault="00090C9B" w:rsidP="00722885">
      <w:pPr>
        <w:pStyle w:val="Iauiue"/>
        <w:jc w:val="both"/>
        <w:rPr>
          <w:color w:val="000000" w:themeColor="text1"/>
          <w:sz w:val="16"/>
          <w:szCs w:val="16"/>
        </w:rPr>
      </w:pPr>
    </w:p>
    <w:p w14:paraId="549598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и 12 октября 1942 Ф.Рузвельт предложил СССР непосредственную помощь (1261,33).</w:t>
      </w:r>
    </w:p>
    <w:p w14:paraId="0A185846" w14:textId="77777777" w:rsidR="00090C9B" w:rsidRPr="00722885" w:rsidRDefault="00090C9B" w:rsidP="00722885">
      <w:pPr>
        <w:pStyle w:val="Iauiue"/>
        <w:jc w:val="both"/>
        <w:rPr>
          <w:color w:val="000000" w:themeColor="text1"/>
          <w:sz w:val="16"/>
          <w:szCs w:val="16"/>
        </w:rPr>
      </w:pPr>
    </w:p>
    <w:p w14:paraId="62FF344B" w14:textId="77777777" w:rsidR="00845E49"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3860A4B" w14:textId="77777777" w:rsidR="00845E49" w:rsidRPr="00722885" w:rsidRDefault="00845E49" w:rsidP="00722885">
      <w:pPr>
        <w:pStyle w:val="Iauiue"/>
        <w:jc w:val="both"/>
        <w:rPr>
          <w:iCs/>
          <w:color w:val="000000" w:themeColor="text1"/>
          <w:sz w:val="16"/>
          <w:szCs w:val="16"/>
        </w:rPr>
      </w:pPr>
    </w:p>
    <w:p w14:paraId="7845D268"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9 октября </w:t>
      </w:r>
      <w:r w:rsidRPr="00722885">
        <w:rPr>
          <w:rFonts w:ascii="Times New Roman" w:hAnsi="Times New Roman"/>
          <w:color w:val="000000" w:themeColor="text1"/>
          <w:sz w:val="16"/>
          <w:szCs w:val="16"/>
        </w:rPr>
        <w:t>в 1942 году в восточной части Средиземного моря немецкой подлодкой был потоплен британский лёгкий крейсер "Ковентри" (14794).</w:t>
      </w:r>
    </w:p>
    <w:p w14:paraId="29A5E707" w14:textId="77777777" w:rsidR="00845E49" w:rsidRPr="00722885" w:rsidRDefault="00845E49" w:rsidP="00722885">
      <w:pPr>
        <w:spacing w:after="0" w:line="240" w:lineRule="auto"/>
        <w:jc w:val="both"/>
        <w:rPr>
          <w:rFonts w:ascii="Times New Roman" w:hAnsi="Times New Roman"/>
          <w:color w:val="000000" w:themeColor="text1"/>
          <w:sz w:val="16"/>
          <w:szCs w:val="16"/>
        </w:rPr>
      </w:pPr>
    </w:p>
    <w:p w14:paraId="15A3AB58" w14:textId="77777777" w:rsidR="001A35BE" w:rsidRPr="00722885" w:rsidRDefault="001A35B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октября 1942 ВВС Армии Соединенных Штатов ВВС организуют школу прикладной тактики в Орландо на авиабазе, штат Флорида (20793).</w:t>
      </w:r>
    </w:p>
    <w:p w14:paraId="42F0FB2D" w14:textId="77777777" w:rsidR="001A35BE" w:rsidRPr="00722885" w:rsidRDefault="001A35BE" w:rsidP="00722885">
      <w:pPr>
        <w:spacing w:after="0" w:line="240" w:lineRule="auto"/>
        <w:jc w:val="both"/>
        <w:rPr>
          <w:rFonts w:ascii="Times New Roman" w:hAnsi="Times New Roman"/>
          <w:color w:val="0070C0"/>
          <w:sz w:val="16"/>
          <w:szCs w:val="16"/>
        </w:rPr>
      </w:pPr>
    </w:p>
    <w:p w14:paraId="5C9CCC23"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9 октября </w:t>
      </w:r>
      <w:r w:rsidRPr="00722885">
        <w:rPr>
          <w:rFonts w:ascii="Times New Roman" w:hAnsi="Times New Roman"/>
          <w:color w:val="000000" w:themeColor="text1"/>
          <w:sz w:val="16"/>
          <w:szCs w:val="16"/>
        </w:rPr>
        <w:t>в 1942 году правительство США выступило с декларацией о готовности бороться за «полное равноправие» азиатских народов (14794).</w:t>
      </w:r>
    </w:p>
    <w:p w14:paraId="06503754" w14:textId="77777777" w:rsidR="00845E49" w:rsidRPr="00722885" w:rsidRDefault="00845E49" w:rsidP="00722885">
      <w:pPr>
        <w:spacing w:after="0" w:line="240" w:lineRule="auto"/>
        <w:jc w:val="both"/>
        <w:rPr>
          <w:rFonts w:ascii="Times New Roman" w:hAnsi="Times New Roman"/>
          <w:color w:val="000000" w:themeColor="text1"/>
          <w:sz w:val="16"/>
          <w:szCs w:val="16"/>
        </w:rPr>
      </w:pPr>
    </w:p>
    <w:p w14:paraId="4E67587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DB9F451" w14:textId="77777777" w:rsidR="00090C9B" w:rsidRPr="00722885" w:rsidRDefault="00090C9B" w:rsidP="00722885">
      <w:pPr>
        <w:pStyle w:val="Iauiue"/>
        <w:jc w:val="both"/>
        <w:rPr>
          <w:iCs/>
          <w:color w:val="000000" w:themeColor="text1"/>
          <w:sz w:val="16"/>
          <w:szCs w:val="16"/>
        </w:rPr>
      </w:pPr>
    </w:p>
    <w:p w14:paraId="11DEC9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С.В.И. писал А.И.Ш. письмо N 577с</w:t>
      </w:r>
    </w:p>
    <w:p w14:paraId="2AF379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вопросу разведчика-корректировщика докладываю, что данная работа может быть проведена на 2-х местном самолете Ил-2 с М-82. Приспособить для этой цели 2-х местный самолет с АМ-38 не представляется возможным" (1632,295).</w:t>
      </w:r>
    </w:p>
    <w:p w14:paraId="59836F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Где-то рядом по времени А.И.Ш. писал командующему ВВС А.А.Новикову:</w:t>
      </w:r>
    </w:p>
    <w:p w14:paraId="2267B9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Ваше письмо по вопросу разработки образцов самолета Ил-2 в варианте артиллерийского разведчика-корректировщика.</w:t>
      </w:r>
    </w:p>
    <w:p w14:paraId="004C9D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Оборудование 2-х местного самолета Ил-2 с АМ-38 в варианте артиллерийского разведчика-корректировщика невозможно, вследствие значительного ухудшения центровки самолета, его взлетных качеств, а также неудовлетворительного размещения доп. оборудования, требуемого ТТТ.</w:t>
      </w:r>
    </w:p>
    <w:p w14:paraId="163FAF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постановлению ГКО от 25 сентября с.г. ГК С.В.И. строится модификация самолета Ил-2 под АМ-42, в которой предусматривается выполнение требований, предъявляемых к варианту артиллерийского корректировщика-разведчика. Эта модификация самолета выпускается на испытания 15 января 1943.</w:t>
      </w:r>
    </w:p>
    <w:p w14:paraId="24411E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проверки размещения оборудования и выполнения требований, предъявляемых к этому варианту самолета, в настоящее время С.В.И. оборудуется 2-х местный самолет Ил-2 с М-82, который намечается подготовить к полетам 1 декабря с.г. (1632,292).</w:t>
      </w:r>
    </w:p>
    <w:p w14:paraId="713C4ED3" w14:textId="77777777" w:rsidR="00090C9B" w:rsidRPr="00722885" w:rsidRDefault="00090C9B" w:rsidP="00722885">
      <w:pPr>
        <w:pStyle w:val="Iauiue"/>
        <w:jc w:val="both"/>
        <w:rPr>
          <w:color w:val="000000" w:themeColor="text1"/>
          <w:sz w:val="16"/>
          <w:szCs w:val="16"/>
        </w:rPr>
      </w:pPr>
    </w:p>
    <w:p w14:paraId="31A8F2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г. закончились заводские испытания двухместного Ил-2бис по программе приемо-сдаточных испытаний серийных самолетов с дополнением по испыта</w:t>
      </w:r>
      <w:r w:rsidRPr="00722885">
        <w:rPr>
          <w:color w:val="000000" w:themeColor="text1"/>
          <w:sz w:val="16"/>
          <w:szCs w:val="16"/>
        </w:rPr>
        <w:softHyphen/>
        <w:t>нию работы задней оборонительной ус</w:t>
      </w:r>
      <w:r w:rsidRPr="00722885">
        <w:rPr>
          <w:color w:val="000000" w:themeColor="text1"/>
          <w:sz w:val="16"/>
          <w:szCs w:val="16"/>
        </w:rPr>
        <w:softHyphen/>
        <w:t>тановки, системы бензопитания и радио</w:t>
      </w:r>
      <w:r w:rsidRPr="00722885">
        <w:rPr>
          <w:color w:val="000000" w:themeColor="text1"/>
          <w:sz w:val="16"/>
          <w:szCs w:val="16"/>
        </w:rPr>
        <w:softHyphen/>
        <w:t>оборудования, которые проходили с 6 октября (6467).</w:t>
      </w:r>
    </w:p>
    <w:p w14:paraId="3975CAED" w14:textId="77777777" w:rsidR="00090C9B" w:rsidRPr="00722885" w:rsidRDefault="00090C9B" w:rsidP="00722885">
      <w:pPr>
        <w:pStyle w:val="Iauiue"/>
        <w:jc w:val="both"/>
        <w:rPr>
          <w:color w:val="000000" w:themeColor="text1"/>
          <w:sz w:val="16"/>
          <w:szCs w:val="16"/>
        </w:rPr>
      </w:pPr>
    </w:p>
    <w:p w14:paraId="6A020698" w14:textId="77777777" w:rsidR="001A35BE" w:rsidRPr="00722885" w:rsidRDefault="001A35BE" w:rsidP="00722885">
      <w:pPr>
        <w:pStyle w:val="95"/>
        <w:shd w:val="clear" w:color="auto" w:fill="auto"/>
        <w:spacing w:after="0" w:line="240" w:lineRule="auto"/>
        <w:ind w:firstLine="0"/>
        <w:jc w:val="both"/>
        <w:rPr>
          <w:color w:val="0070C0"/>
          <w:sz w:val="16"/>
          <w:szCs w:val="16"/>
        </w:rPr>
      </w:pPr>
      <w:r w:rsidRPr="00722885">
        <w:rPr>
          <w:color w:val="0070C0"/>
          <w:sz w:val="16"/>
          <w:szCs w:val="16"/>
        </w:rPr>
        <w:t>10 октября 1942 г. Ил-2бис (зав. №4434) успешно прошел заводские испыта</w:t>
      </w:r>
      <w:r w:rsidRPr="00722885">
        <w:rPr>
          <w:color w:val="0070C0"/>
          <w:sz w:val="16"/>
          <w:szCs w:val="16"/>
        </w:rPr>
        <w:softHyphen/>
        <w:t>ния по программе приемо-сдаточных испы</w:t>
      </w:r>
      <w:r w:rsidRPr="00722885">
        <w:rPr>
          <w:color w:val="0070C0"/>
          <w:sz w:val="16"/>
          <w:szCs w:val="16"/>
        </w:rPr>
        <w:softHyphen/>
        <w:t>таний серийных самолетов с дополнительной проверкой работы задней оборонительной установки, системы бензопитания и радиообо</w:t>
      </w:r>
      <w:r w:rsidRPr="00722885">
        <w:rPr>
          <w:color w:val="0070C0"/>
          <w:sz w:val="16"/>
          <w:szCs w:val="16"/>
        </w:rPr>
        <w:softHyphen/>
        <w:t>рудования, которые шли с 6 октября.</w:t>
      </w:r>
    </w:p>
    <w:p w14:paraId="6AC3DBB8" w14:textId="77777777" w:rsidR="001A35BE" w:rsidRPr="00722885" w:rsidRDefault="001A35BE" w:rsidP="00722885">
      <w:pPr>
        <w:pStyle w:val="95"/>
        <w:shd w:val="clear" w:color="auto" w:fill="auto"/>
        <w:spacing w:after="0" w:line="240" w:lineRule="auto"/>
        <w:ind w:firstLine="0"/>
        <w:jc w:val="both"/>
        <w:rPr>
          <w:color w:val="0070C0"/>
          <w:sz w:val="16"/>
          <w:szCs w:val="16"/>
        </w:rPr>
      </w:pPr>
      <w:r w:rsidRPr="00722885">
        <w:rPr>
          <w:color w:val="0070C0"/>
          <w:sz w:val="16"/>
          <w:szCs w:val="16"/>
        </w:rPr>
        <w:t>На заводе №1 по</w:t>
      </w:r>
      <w:r w:rsidRPr="00722885">
        <w:rPr>
          <w:color w:val="0070C0"/>
          <w:sz w:val="16"/>
          <w:szCs w:val="16"/>
        </w:rPr>
        <w:softHyphen/>
        <w:t>строили два экземпляра штурмовика Ил-2бис АМ-38 (зав. №4434 и 4435), имевших полно</w:t>
      </w:r>
      <w:r w:rsidRPr="00722885">
        <w:rPr>
          <w:color w:val="0070C0"/>
          <w:sz w:val="16"/>
          <w:szCs w:val="16"/>
        </w:rPr>
        <w:softHyphen/>
        <w:t>стью бронированную кабину стрелка с бли</w:t>
      </w:r>
      <w:r w:rsidRPr="00722885">
        <w:rPr>
          <w:color w:val="0070C0"/>
          <w:sz w:val="16"/>
          <w:szCs w:val="16"/>
        </w:rPr>
        <w:softHyphen/>
        <w:t>стерной установкой под пулемет УБТ. Иници</w:t>
      </w:r>
      <w:r w:rsidRPr="00722885">
        <w:rPr>
          <w:color w:val="0070C0"/>
          <w:sz w:val="16"/>
          <w:szCs w:val="16"/>
        </w:rPr>
        <w:softHyphen/>
        <w:t>ировал эту работу начальник СКО завода В.П. Яценко.</w:t>
      </w:r>
    </w:p>
    <w:p w14:paraId="76D10E43" w14:textId="77777777" w:rsidR="001A35BE" w:rsidRPr="00722885" w:rsidRDefault="001A35BE" w:rsidP="00722885">
      <w:pPr>
        <w:pStyle w:val="95"/>
        <w:shd w:val="clear" w:color="auto" w:fill="auto"/>
        <w:spacing w:after="0" w:line="240" w:lineRule="auto"/>
        <w:ind w:firstLine="0"/>
        <w:jc w:val="both"/>
        <w:rPr>
          <w:i/>
          <w:iCs/>
          <w:color w:val="0070C0"/>
          <w:sz w:val="16"/>
          <w:szCs w:val="16"/>
        </w:rPr>
      </w:pPr>
      <w:r w:rsidRPr="00722885">
        <w:rPr>
          <w:color w:val="0070C0"/>
          <w:sz w:val="16"/>
          <w:szCs w:val="16"/>
        </w:rPr>
        <w:t>Предложенная заводом №1 кабина стрелка имела много общих компоновочных и конструктивных решений с кабинами стрел</w:t>
      </w:r>
      <w:r w:rsidRPr="00722885">
        <w:rPr>
          <w:color w:val="0070C0"/>
          <w:sz w:val="16"/>
          <w:szCs w:val="16"/>
        </w:rPr>
        <w:softHyphen/>
        <w:t>ков на самолетах БШ-2 АМ-35 и Ил-2 М-82. Она оборудовалась на месте заднего бензо</w:t>
      </w:r>
      <w:r w:rsidRPr="00722885">
        <w:rPr>
          <w:color w:val="0070C0"/>
          <w:sz w:val="16"/>
          <w:szCs w:val="16"/>
        </w:rPr>
        <w:softHyphen/>
        <w:t>бака, а потому оказалась более просторной, чем кабина завода №30. Стрелок располагал регулируемым по высоте жестким сиденьем (вместо матерчатой ленты на конструкции завода №30). Кабина снабжалась сдвижным назад прозрачным фонарем. Связь летчика и стрелка, кроме самолетного переговорного устройства СПУ-2ф и трехцветной световой сигнализации, осуществлялась еще и через заднее бронестекло кабины летчика. Из ка</w:t>
      </w:r>
      <w:r w:rsidRPr="00722885">
        <w:rPr>
          <w:color w:val="0070C0"/>
          <w:sz w:val="16"/>
          <w:szCs w:val="16"/>
        </w:rPr>
        <w:softHyphen/>
        <w:t>бины летчика в кабину стрелка из кабины летчика перенесли приемник РСИ-4А. Под по</w:t>
      </w:r>
      <w:r w:rsidRPr="00722885">
        <w:rPr>
          <w:color w:val="0070C0"/>
          <w:sz w:val="16"/>
          <w:szCs w:val="16"/>
        </w:rPr>
        <w:softHyphen/>
        <w:t>лом кабины располагался аккумулятор 12А-10. Т-образную антенну заменили</w:t>
      </w:r>
      <w:r w:rsidRPr="00722885">
        <w:rPr>
          <w:rStyle w:val="aff6"/>
          <w:rFonts w:ascii="Times New Roman" w:hAnsi="Times New Roman" w:cs="Times New Roman"/>
          <w:color w:val="0070C0"/>
        </w:rPr>
        <w:t xml:space="preserve"> «на </w:t>
      </w:r>
      <w:r w:rsidRPr="00722885">
        <w:rPr>
          <w:rStyle w:val="aff6"/>
          <w:rFonts w:ascii="Times New Roman" w:hAnsi="Times New Roman" w:cs="Times New Roman"/>
          <w:i w:val="0"/>
          <w:iCs w:val="0"/>
          <w:color w:val="0070C0"/>
        </w:rPr>
        <w:t>антенну в виде двух лучей, идущих от концов стабилиза</w:t>
      </w:r>
      <w:r w:rsidRPr="00722885">
        <w:rPr>
          <w:rStyle w:val="aff6"/>
          <w:rFonts w:ascii="Times New Roman" w:hAnsi="Times New Roman" w:cs="Times New Roman"/>
          <w:i w:val="0"/>
          <w:iCs w:val="0"/>
          <w:color w:val="0070C0"/>
        </w:rPr>
        <w:softHyphen/>
        <w:t>тора к проходным изоляторам на фюзеляже».</w:t>
      </w:r>
    </w:p>
    <w:p w14:paraId="4D1D1A2C" w14:textId="77777777" w:rsidR="001A35BE" w:rsidRPr="00722885" w:rsidRDefault="001A35BE" w:rsidP="00722885">
      <w:pPr>
        <w:pStyle w:val="95"/>
        <w:shd w:val="clear" w:color="auto" w:fill="auto"/>
        <w:spacing w:after="0" w:line="240" w:lineRule="auto"/>
        <w:ind w:firstLine="0"/>
        <w:jc w:val="both"/>
        <w:rPr>
          <w:color w:val="0070C0"/>
          <w:sz w:val="16"/>
          <w:szCs w:val="16"/>
        </w:rPr>
      </w:pPr>
      <w:r w:rsidRPr="00722885">
        <w:rPr>
          <w:color w:val="0070C0"/>
          <w:sz w:val="16"/>
          <w:szCs w:val="16"/>
        </w:rPr>
        <w:t>Уровень защищенности стрелка почти не уступал защите летчика. От огня со стороны хвоста самолета и сверху он защищался бро- нестенкой толщиной 8 мм, прозрачной бро</w:t>
      </w:r>
      <w:r w:rsidRPr="00722885">
        <w:rPr>
          <w:color w:val="0070C0"/>
          <w:sz w:val="16"/>
          <w:szCs w:val="16"/>
        </w:rPr>
        <w:softHyphen/>
        <w:t>ней на блистере пулемета толщиной 64 мм и 5-миллиметровым броневым листом, уста</w:t>
      </w:r>
      <w:r w:rsidRPr="00722885">
        <w:rPr>
          <w:color w:val="0070C0"/>
          <w:sz w:val="16"/>
          <w:szCs w:val="16"/>
        </w:rPr>
        <w:softHyphen/>
        <w:t>новленным над головой на сдвижной части фонаря кабины. Кабина стрелка имела брони</w:t>
      </w:r>
      <w:r w:rsidRPr="00722885">
        <w:rPr>
          <w:color w:val="0070C0"/>
          <w:sz w:val="16"/>
          <w:szCs w:val="16"/>
        </w:rPr>
        <w:softHyphen/>
        <w:t>рованный пол толщиной 5 мм, а между летчи</w:t>
      </w:r>
      <w:r w:rsidRPr="00722885">
        <w:rPr>
          <w:color w:val="0070C0"/>
          <w:sz w:val="16"/>
          <w:szCs w:val="16"/>
        </w:rPr>
        <w:softHyphen/>
        <w:t>ком и стрелком устанавливалась бронеплита толщиной 7 мм.</w:t>
      </w:r>
    </w:p>
    <w:p w14:paraId="7081F14F" w14:textId="77777777" w:rsidR="001A35BE" w:rsidRPr="00722885" w:rsidRDefault="001A35BE" w:rsidP="00722885">
      <w:pPr>
        <w:pStyle w:val="95"/>
        <w:shd w:val="clear" w:color="auto" w:fill="auto"/>
        <w:spacing w:after="0" w:line="240" w:lineRule="auto"/>
        <w:ind w:firstLine="0"/>
        <w:jc w:val="both"/>
        <w:rPr>
          <w:color w:val="0070C0"/>
          <w:sz w:val="16"/>
          <w:szCs w:val="16"/>
        </w:rPr>
      </w:pPr>
      <w:r w:rsidRPr="00722885">
        <w:rPr>
          <w:color w:val="0070C0"/>
          <w:sz w:val="16"/>
          <w:szCs w:val="16"/>
        </w:rPr>
        <w:t>Пулемет УБТ монтировался на блистерной установке БЛУБ (блистерная установка Бере</w:t>
      </w:r>
      <w:r w:rsidRPr="00722885">
        <w:rPr>
          <w:color w:val="0070C0"/>
          <w:sz w:val="16"/>
          <w:szCs w:val="16"/>
        </w:rPr>
        <w:softHyphen/>
        <w:t>зина) с боекомплектом 150 патронов в трех магазинах. Углы обстрела составляли (в зави</w:t>
      </w:r>
      <w:r w:rsidRPr="00722885">
        <w:rPr>
          <w:color w:val="0070C0"/>
          <w:sz w:val="16"/>
          <w:szCs w:val="16"/>
        </w:rPr>
        <w:softHyphen/>
        <w:t>симости от поворота кольца установки): вверх в левой половине - до 85°, вверх в правой по</w:t>
      </w:r>
      <w:r w:rsidRPr="00722885">
        <w:rPr>
          <w:color w:val="0070C0"/>
          <w:sz w:val="16"/>
          <w:szCs w:val="16"/>
        </w:rPr>
        <w:softHyphen/>
        <w:t>ловине - до 55°, вправо - от 20 до 45°, влево - от 20 до 50°; вниз стрельба была невозможна. В правой половине задней полусферы допу</w:t>
      </w:r>
      <w:r w:rsidRPr="00722885">
        <w:rPr>
          <w:color w:val="0070C0"/>
          <w:sz w:val="16"/>
          <w:szCs w:val="16"/>
        </w:rPr>
        <w:softHyphen/>
        <w:t>скалась неприцельная стрельба до 65° вверх и 60° в сторону. Прицеливание при больших углах возвышения (от 50 до 85°) было затруд</w:t>
      </w:r>
      <w:r w:rsidRPr="00722885">
        <w:rPr>
          <w:color w:val="0070C0"/>
          <w:sz w:val="16"/>
          <w:szCs w:val="16"/>
        </w:rPr>
        <w:softHyphen/>
        <w:t>нено и производилось небольшим свалива</w:t>
      </w:r>
      <w:r w:rsidRPr="00722885">
        <w:rPr>
          <w:color w:val="0070C0"/>
          <w:sz w:val="16"/>
          <w:szCs w:val="16"/>
        </w:rPr>
        <w:softHyphen/>
        <w:t>нием пулемета.</w:t>
      </w:r>
    </w:p>
    <w:p w14:paraId="4413500C" w14:textId="77777777" w:rsidR="001A35BE" w:rsidRPr="00722885" w:rsidRDefault="001A35BE"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отличие от варианта завода №30, цен</w:t>
      </w:r>
      <w:r w:rsidRPr="00722885">
        <w:rPr>
          <w:rFonts w:ascii="Times New Roman" w:hAnsi="Times New Roman"/>
          <w:color w:val="0070C0"/>
          <w:sz w:val="16"/>
          <w:szCs w:val="16"/>
        </w:rPr>
        <w:softHyphen/>
        <w:t>тровка Ил-2бис не изменилась. Испытания показали, что по летным и пилотажным каче</w:t>
      </w:r>
      <w:r w:rsidRPr="00722885">
        <w:rPr>
          <w:rFonts w:ascii="Times New Roman" w:hAnsi="Times New Roman"/>
          <w:color w:val="0070C0"/>
          <w:sz w:val="16"/>
          <w:szCs w:val="16"/>
        </w:rPr>
        <w:softHyphen/>
        <w:t>ствам он практически ничем не отличался от одноместного Ил-2.</w:t>
      </w:r>
    </w:p>
    <w:p w14:paraId="7B4AA99B" w14:textId="77777777" w:rsidR="001A35BE" w:rsidRPr="00722885" w:rsidRDefault="001A35BE" w:rsidP="00722885">
      <w:pPr>
        <w:spacing w:after="0" w:line="240" w:lineRule="auto"/>
        <w:jc w:val="both"/>
        <w:rPr>
          <w:rFonts w:ascii="Times New Roman" w:hAnsi="Times New Roman"/>
          <w:color w:val="0070C0"/>
          <w:sz w:val="16"/>
          <w:szCs w:val="16"/>
        </w:rPr>
      </w:pPr>
      <w:r w:rsidRPr="00722885">
        <w:rPr>
          <w:rStyle w:val="3fa"/>
          <w:rFonts w:ascii="Times New Roman" w:hAnsi="Times New Roman" w:cs="Times New Roman"/>
          <w:i w:val="0"/>
          <w:iCs w:val="0"/>
          <w:color w:val="0070C0"/>
          <w:spacing w:val="0"/>
          <w:sz w:val="16"/>
          <w:szCs w:val="16"/>
        </w:rPr>
        <w:t>В отчете по испытаниям отмечалось:</w:t>
      </w:r>
      <w:r w:rsidRPr="00722885">
        <w:rPr>
          <w:rStyle w:val="3fa"/>
          <w:rFonts w:ascii="Times New Roman" w:hAnsi="Times New Roman" w:cs="Times New Roman"/>
          <w:color w:val="0070C0"/>
          <w:spacing w:val="0"/>
          <w:sz w:val="16"/>
          <w:szCs w:val="16"/>
        </w:rPr>
        <w:t xml:space="preserve"> </w:t>
      </w:r>
    </w:p>
    <w:p w14:paraId="33F2A903" w14:textId="3FF37E8C" w:rsidR="001A35BE" w:rsidRPr="00722885" w:rsidRDefault="001A35B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Самолет Ил-2бис по пилотажным каче</w:t>
      </w:r>
      <w:r w:rsidRPr="00722885">
        <w:rPr>
          <w:rFonts w:ascii="Times New Roman" w:hAnsi="Times New Roman"/>
          <w:color w:val="0070C0"/>
          <w:sz w:val="16"/>
          <w:szCs w:val="16"/>
        </w:rPr>
        <w:softHyphen/>
        <w:t>ствам и надежности работы ничем от серий</w:t>
      </w:r>
      <w:r w:rsidRPr="00722885">
        <w:rPr>
          <w:rFonts w:ascii="Times New Roman" w:hAnsi="Times New Roman"/>
          <w:color w:val="0070C0"/>
          <w:sz w:val="16"/>
          <w:szCs w:val="16"/>
        </w:rPr>
        <w:softHyphen/>
        <w:t>ных самолетов не отличается и может быть допущен к эксплуатации.</w:t>
      </w:r>
    </w:p>
    <w:p w14:paraId="7F4AAAF5" w14:textId="77777777" w:rsidR="001A35BE" w:rsidRPr="00722885" w:rsidRDefault="001A35B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Задняя стрелковая установка проверена стрельбой на земле, опробована вращением в воздухе и может быть предъявлена для поли</w:t>
      </w:r>
      <w:r w:rsidRPr="00722885">
        <w:rPr>
          <w:rFonts w:ascii="Times New Roman" w:hAnsi="Times New Roman"/>
          <w:color w:val="0070C0"/>
          <w:sz w:val="16"/>
          <w:szCs w:val="16"/>
        </w:rPr>
        <w:softHyphen/>
        <w:t>гонных испытаний...»</w:t>
      </w:r>
    </w:p>
    <w:p w14:paraId="6E8D7528" w14:textId="77777777" w:rsidR="001A35BE" w:rsidRPr="00722885" w:rsidRDefault="001A35BE" w:rsidP="00722885">
      <w:pPr>
        <w:pStyle w:val="95"/>
        <w:shd w:val="clear" w:color="auto" w:fill="auto"/>
        <w:spacing w:after="0" w:line="240" w:lineRule="auto"/>
        <w:ind w:firstLine="0"/>
        <w:jc w:val="both"/>
        <w:rPr>
          <w:rStyle w:val="aff6"/>
          <w:rFonts w:ascii="Times New Roman" w:hAnsi="Times New Roman" w:cs="Times New Roman"/>
          <w:i w:val="0"/>
          <w:iCs w:val="0"/>
          <w:color w:val="0070C0"/>
        </w:rPr>
      </w:pPr>
      <w:r w:rsidRPr="00722885">
        <w:rPr>
          <w:color w:val="0070C0"/>
          <w:sz w:val="16"/>
          <w:szCs w:val="16"/>
        </w:rPr>
        <w:t>Однако, судя по документам, Ильюшин ак</w:t>
      </w:r>
      <w:r w:rsidRPr="00722885">
        <w:rPr>
          <w:color w:val="0070C0"/>
          <w:sz w:val="16"/>
          <w:szCs w:val="16"/>
        </w:rPr>
        <w:softHyphen/>
        <w:t>тивно противился работам по Ил-2бис. Дело в том, что на заводе №30 он уже строил 20 самолетов с незащищенным стрелком. Инже</w:t>
      </w:r>
      <w:r w:rsidRPr="00722885">
        <w:rPr>
          <w:color w:val="0070C0"/>
          <w:sz w:val="16"/>
          <w:szCs w:val="16"/>
        </w:rPr>
        <w:softHyphen/>
        <w:t>нер-инспектор Инспекции ВВС КА инженер- майор Ложечников был вынужден 4 октября обратиться непосредственно к начальнику Инспекции полковнику В.И. Сталину с прось</w:t>
      </w:r>
      <w:r w:rsidRPr="00722885">
        <w:rPr>
          <w:color w:val="0070C0"/>
          <w:sz w:val="16"/>
          <w:szCs w:val="16"/>
        </w:rPr>
        <w:softHyphen/>
        <w:t>бой</w:t>
      </w:r>
      <w:r w:rsidRPr="00722885">
        <w:rPr>
          <w:rStyle w:val="aff6"/>
          <w:rFonts w:ascii="Times New Roman" w:hAnsi="Times New Roman" w:cs="Times New Roman"/>
          <w:color w:val="0070C0"/>
        </w:rPr>
        <w:t xml:space="preserve"> </w:t>
      </w:r>
      <w:r w:rsidRPr="00722885">
        <w:rPr>
          <w:rStyle w:val="aff6"/>
          <w:rFonts w:ascii="Times New Roman" w:hAnsi="Times New Roman" w:cs="Times New Roman"/>
          <w:i w:val="0"/>
          <w:iCs w:val="0"/>
          <w:color w:val="0070C0"/>
        </w:rPr>
        <w:t>«помочь, как можно быстрей провести ис</w:t>
      </w:r>
      <w:r w:rsidRPr="00722885">
        <w:rPr>
          <w:rStyle w:val="aff6"/>
          <w:rFonts w:ascii="Times New Roman" w:hAnsi="Times New Roman" w:cs="Times New Roman"/>
          <w:i w:val="0"/>
          <w:iCs w:val="0"/>
          <w:color w:val="0070C0"/>
        </w:rPr>
        <w:softHyphen/>
        <w:t>пытания двух построенных самолетов Ил-2 за №№ 4434 и 4435 в бою и после чего внедрить их в серийное производство» (19877).</w:t>
      </w:r>
    </w:p>
    <w:p w14:paraId="43D47EFC" w14:textId="77777777" w:rsidR="001A35BE" w:rsidRPr="00722885" w:rsidRDefault="001A35BE" w:rsidP="00722885">
      <w:pPr>
        <w:pStyle w:val="95"/>
        <w:shd w:val="clear" w:color="auto" w:fill="auto"/>
        <w:spacing w:after="0" w:line="240" w:lineRule="auto"/>
        <w:ind w:firstLine="0"/>
        <w:jc w:val="both"/>
        <w:rPr>
          <w:color w:val="0070C0"/>
          <w:sz w:val="16"/>
          <w:szCs w:val="16"/>
        </w:rPr>
      </w:pPr>
    </w:p>
    <w:p w14:paraId="76F6C6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Приказом N 752cc НКАП в соответствии с постановлением ГКО от 5 октября 1942 был запущен в серийное производство на заводах 1, 18 и 30 двухместный Ил-2 АМ-38 с УБТ 12,7 мм для стрельбы назад (488).</w:t>
      </w:r>
    </w:p>
    <w:p w14:paraId="7433C01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исполнение постановления ГКО от 5 октября 1942 N 2374сс приказываю:</w:t>
      </w:r>
    </w:p>
    <w:p w14:paraId="005D14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Нач. 10 ГУ Тарасевичу и директорам заводов 1 - Третьякову, 18 - Белянскому, и.о. директора завода 30 Шапиро внедрить в серийное производство на заводах 1, 18 и 30 2-х местных самолетов Ил-2 с АМ-38, с установкой для защиты задней полусферы крупнокалиберным пулеметом УБТ калибра 12.7 мм с запасом патронов 150 шт. с винтом АВ-5Л-158 и со щитками для взлета, взамен производящегося на этих заводах одноместного самолета Ил-2 в следующие сроки:</w:t>
      </w:r>
    </w:p>
    <w:p w14:paraId="0DE5DD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заводу 1 в октябре 1942 - 70 шт., в ноябре - 200 шт., в декабре - 300 шт.</w:t>
      </w:r>
    </w:p>
    <w:p w14:paraId="467669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заводу 30 в октябре 1942 - 60 шт, в ноябре - 100 шт., в декабре - 150 шт.</w:t>
      </w:r>
    </w:p>
    <w:p w14:paraId="47CC77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заводу 18 в октябре 70 шт., в ноябре - 200 шт., в декабре - 300 шт.</w:t>
      </w:r>
    </w:p>
    <w:p w14:paraId="0A036B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Установить для 2-х местного самолета Ил-2 нормальную бомбовую нагрузку 300 кг бомб и 4 РС-82 (1592,11).</w:t>
      </w:r>
    </w:p>
    <w:p w14:paraId="404116E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Директорам заводов № 1 - тов.Третьякову, № 18 т. Белянскому и и.о. директора завода № 30 — т.Шапиро немедленно приступить к производству БУБ-3.</w:t>
      </w:r>
    </w:p>
    <w:p w14:paraId="1C175A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Начальнику 2-го Главного. Управления - т. Климовицкому, директорам заводов № 32 т. Ребенко и № 43- Дворкину обеспечить ежемесячную поставку заводам №№ 1, 18 и 30 колец ВУВ-3 с кареткой в собранной виде по установленной  программе на октябрь, норябръ и декабрь месяцы, в том числе воктябре: ...</w:t>
      </w:r>
    </w:p>
    <w:p w14:paraId="46F30E4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заводу № 32 литье колец из сталистого чугуна и кареток из алюминиевого сплава в октябре месяце с.г. -. 400 комплектов.</w:t>
      </w:r>
    </w:p>
    <w:p w14:paraId="7576DDB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Главному конструктору завода № 32 т. Торопову в пятидневный срок пересмотреть конструкцию ВУБ-3 в части усиления прочности узлов установки /каретки/. Отработанные чертежи ВУБ-3 согласовать с Главным конструктором Ил-2 тов. ИЛЬЮШИНВМ.</w:t>
      </w:r>
    </w:p>
    <w:p w14:paraId="6C24398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Директору завода № 32 тов. Ребенко не позднее 16 октября отправить заводам №№ 1, 18, 30 и 43 по 6-ти ком</w:t>
      </w:r>
      <w:r w:rsidRPr="00722885">
        <w:rPr>
          <w:rFonts w:ascii="Times New Roman" w:hAnsi="Times New Roman"/>
          <w:color w:val="000000" w:themeColor="text1"/>
          <w:sz w:val="16"/>
          <w:szCs w:val="16"/>
        </w:rPr>
        <w:softHyphen/>
        <w:t>плектов рабочих чертекей</w:t>
      </w:r>
      <w:r w:rsidRPr="00722885">
        <w:rPr>
          <w:rFonts w:ascii="Times New Roman" w:hAnsi="Times New Roman"/>
          <w:color w:val="000000" w:themeColor="text1"/>
          <w:sz w:val="16"/>
          <w:szCs w:val="16"/>
          <w:vertAlign w:val="superscript"/>
        </w:rPr>
        <w:t>;</w:t>
      </w:r>
      <w:r w:rsidRPr="00722885">
        <w:rPr>
          <w:rFonts w:ascii="Times New Roman" w:hAnsi="Times New Roman"/>
          <w:color w:val="000000" w:themeColor="text1"/>
          <w:sz w:val="16"/>
          <w:szCs w:val="16"/>
        </w:rPr>
        <w:t>ВУБ-3 (488,11).</w:t>
      </w:r>
    </w:p>
    <w:p w14:paraId="44BFC2B0" w14:textId="77777777" w:rsidR="00090C9B" w:rsidRPr="00722885" w:rsidRDefault="00090C9B" w:rsidP="00722885">
      <w:pPr>
        <w:pStyle w:val="Iauiue"/>
        <w:jc w:val="both"/>
        <w:rPr>
          <w:color w:val="000000" w:themeColor="text1"/>
          <w:sz w:val="16"/>
          <w:szCs w:val="16"/>
        </w:rPr>
      </w:pPr>
    </w:p>
    <w:p w14:paraId="0B9CC1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г. приказом НКАП № 763 во исполнение Пост. ГКО № 2378 от 7.10.1942 г. производство Ил-2 на заводе (Завод № 381 НКАП, МАП /г. Ленинград ст. Ижора;  г. Нижний Тагил Свердловской обл.;  г. Москва Ленинградское ш., 31/33/) прекращено, и завод перешел на выпуск Ла-5.</w:t>
      </w:r>
    </w:p>
    <w:p w14:paraId="17AF13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1502 от 28.03.1942 г. на заводе запускался в серию Ил-2 с М-82ИР с выпуском 1-й серийной машины к 1.05.1942 г. Однако пост. ГКО № 1658 от 26.04.1942 г. все работы по Ил-2 с М-82ИР были прекращены, продолжен выпуск Ил-2 с АМ-38.</w:t>
      </w:r>
    </w:p>
    <w:p w14:paraId="329313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4F5D9A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550F93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519D93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252C62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 на заводе организован филиал ОКБ-21 С.А. Лавочкина.</w:t>
      </w:r>
    </w:p>
    <w:p w14:paraId="32CAEB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2DC850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78B90A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6DD181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196451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1.12.1946 г. завод передан из 1ГУ в ЮГУ, затем с 1.11.1948 г. обратно, из ЮГУ в 1ГУ.</w:t>
      </w:r>
    </w:p>
    <w:p w14:paraId="388F9E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78B924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71B645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(05.1943-10.1946 г.)- П.Д. Грушин, (1947 г.)- В.И. Засульский.</w:t>
      </w:r>
    </w:p>
    <w:p w14:paraId="78A3A7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(1945 г.)- А.К. Кулагин.</w:t>
      </w:r>
    </w:p>
    <w:p w14:paraId="394D51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самолеты:</w:t>
      </w:r>
      <w:r w:rsidRPr="00722885">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66462876" w14:textId="77777777" w:rsidR="00090C9B" w:rsidRPr="00722885" w:rsidRDefault="00090C9B" w:rsidP="00722885">
      <w:pPr>
        <w:spacing w:after="0" w:line="240" w:lineRule="auto"/>
        <w:jc w:val="both"/>
        <w:rPr>
          <w:rFonts w:ascii="Times New Roman" w:hAnsi="Times New Roman"/>
          <w:iCs/>
          <w:color w:val="000000" w:themeColor="text1"/>
          <w:sz w:val="16"/>
          <w:szCs w:val="16"/>
        </w:rPr>
      </w:pPr>
      <w:r w:rsidRPr="00722885">
        <w:rPr>
          <w:rFonts w:ascii="Times New Roman" w:hAnsi="Times New Roman"/>
          <w:iCs/>
          <w:color w:val="000000" w:themeColor="text1"/>
          <w:sz w:val="16"/>
          <w:szCs w:val="16"/>
        </w:rPr>
        <w:t>Заводской номер: Ил-2 М 381355 (11982).</w:t>
      </w:r>
    </w:p>
    <w:p w14:paraId="2C8B1E6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D5C5164" w14:textId="77777777" w:rsidR="001A35BE" w:rsidRPr="00722885" w:rsidRDefault="001A35BE" w:rsidP="00722885">
      <w:pPr>
        <w:pStyle w:val="95"/>
        <w:shd w:val="clear" w:color="auto" w:fill="auto"/>
        <w:spacing w:after="0" w:line="240" w:lineRule="auto"/>
        <w:ind w:firstLine="0"/>
        <w:jc w:val="both"/>
        <w:rPr>
          <w:color w:val="0070C0"/>
          <w:sz w:val="16"/>
          <w:szCs w:val="16"/>
        </w:rPr>
      </w:pPr>
      <w:r w:rsidRPr="00722885">
        <w:rPr>
          <w:color w:val="0070C0"/>
          <w:sz w:val="16"/>
          <w:szCs w:val="16"/>
        </w:rPr>
        <w:t>10 октя</w:t>
      </w:r>
      <w:r w:rsidRPr="00722885">
        <w:rPr>
          <w:color w:val="0070C0"/>
          <w:sz w:val="16"/>
          <w:szCs w:val="16"/>
        </w:rPr>
        <w:softHyphen/>
        <w:t xml:space="preserve">бря 1942 в связи с выходом постановления ГКО №2374сс приказом НКАП №752с главный конструктор завода №32 Торопов обязывался в течение </w:t>
      </w:r>
      <w:r w:rsidRPr="00722885">
        <w:rPr>
          <w:rStyle w:val="1pt"/>
          <w:rFonts w:ascii="Times New Roman" w:cs="Times New Roman"/>
          <w:color w:val="0070C0"/>
          <w:spacing w:val="0"/>
          <w:sz w:val="16"/>
          <w:szCs w:val="16"/>
        </w:rPr>
        <w:t>3-5</w:t>
      </w:r>
      <w:r w:rsidRPr="00722885">
        <w:rPr>
          <w:color w:val="0070C0"/>
          <w:sz w:val="16"/>
          <w:szCs w:val="16"/>
        </w:rPr>
        <w:t xml:space="preserve"> дней выполнить рабочие чертежи подвижной установки ВУБ-3 под пулемет УБТ. Уже к 16 октября Ильюшин согласовал чертежи, и приказом по НКАП №780с директорам заводов №1, 18, 30, 32, 43 и 219 предписывалось приступить к произ</w:t>
      </w:r>
      <w:r w:rsidRPr="00722885">
        <w:rPr>
          <w:color w:val="0070C0"/>
          <w:sz w:val="16"/>
          <w:szCs w:val="16"/>
        </w:rPr>
        <w:softHyphen/>
        <w:t>водству самолетов Ил-2 с ВУБ-3 (19877).</w:t>
      </w:r>
    </w:p>
    <w:p w14:paraId="59AB5406" w14:textId="77777777" w:rsidR="001A35BE" w:rsidRPr="00722885" w:rsidRDefault="001A35BE" w:rsidP="00722885">
      <w:pPr>
        <w:pStyle w:val="95"/>
        <w:shd w:val="clear" w:color="auto" w:fill="auto"/>
        <w:spacing w:after="0" w:line="240" w:lineRule="auto"/>
        <w:ind w:firstLine="0"/>
        <w:jc w:val="both"/>
        <w:rPr>
          <w:color w:val="0070C0"/>
          <w:sz w:val="16"/>
          <w:szCs w:val="16"/>
        </w:rPr>
      </w:pPr>
    </w:p>
    <w:p w14:paraId="701AC9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Зам. НКАП А.Кузнецов писал письмо N Н-37/4036 Дир. завода 23 Иосилович, Дир. завода 125 Тимофееву, Дир. завода 39 Абрамову и ГК завода 240 С.В.И.:</w:t>
      </w:r>
    </w:p>
    <w:p w14:paraId="4EBAFD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процессе боевой эксплуатации Ил-4 за период июнь-август с.г. выявлены дефекты монтажа самолетного оборудования, устранение которых д.б. произведено в наикратчайший срок.</w:t>
      </w:r>
    </w:p>
    <w:p w14:paraId="76AE4C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Исполнение сообщить не позднее 1-го ноября с.г." (1678,60).</w:t>
      </w:r>
    </w:p>
    <w:p w14:paraId="17AFB9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Перечень</w:t>
      </w:r>
    </w:p>
    <w:p w14:paraId="4B7F2C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дефектов с-та Ил-4, составленного на сновании докладов, актов и дефектных карточек, представленных с фронтов, воздушных армий и округов за период июнь-август 1942 г.</w:t>
      </w:r>
    </w:p>
    <w:p w14:paraId="68DED5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Обрываются места крепления аккумуляторов. Рекомендуется в местах крепления установить шарниры.</w:t>
      </w:r>
    </w:p>
    <w:p w14:paraId="47C1D7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Монтаж 3-х стрелочных индикаторовявляется совершенно неудовлетворительным</w:t>
      </w:r>
    </w:p>
    <w:p w14:paraId="7286E3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Основные дефекты монтажа следующие:</w:t>
      </w:r>
    </w:p>
    <w:p w14:paraId="3BD8CE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трубопровод присоединяется без учета удобства замены приборов.</w:t>
      </w:r>
    </w:p>
    <w:p w14:paraId="07821A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от приемника и указателя первая точка крепления расположена далеко, благодаря чему свободно висящий участок фибрирует при работе мотора, что ведет к поломкам</w:t>
      </w:r>
    </w:p>
    <w:p w14:paraId="252F9D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промежуточные участки имеют большую слабину и свисают, тем самым способствуя вибрациям и поломке...</w:t>
      </w:r>
    </w:p>
    <w:p w14:paraId="2EC3AD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Обрыв проводов у термопары</w:t>
      </w:r>
    </w:p>
    <w:p w14:paraId="23F0B17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Необходимо при монтаже приемника на моторе предусмотреть крепление проводов, чтобы не было свободного их провисания, что уменьшит поломки от вибрации (1678,60).</w:t>
      </w:r>
    </w:p>
    <w:p w14:paraId="63D55AC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B086C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А.И.Ш. писал И.В.С. письмо N 6759:</w:t>
      </w:r>
    </w:p>
    <w:p w14:paraId="5D4096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"ГК С.В.И. предлагает проект 2-х моторного бомбардировщика с М-71, который может заменить по грузоподъемности и по дальности самолет Пе-8, имеющий 4хАМ-35А.</w:t>
      </w:r>
    </w:p>
    <w:p w14:paraId="11E638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Предложенный самолет по технологии соответствует самолету Ил-4, многие агрегаты и детали будут использоваться с самолета Ил-4.</w:t>
      </w:r>
    </w:p>
    <w:p w14:paraId="4808B9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 моторный бомбардировщик с М-71 при нормальной нагрузке будет иметь: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B487A" w:rsidRPr="00722885" w14:paraId="4C9837AF" w14:textId="77777777" w:rsidTr="00CC5360">
        <w:tc>
          <w:tcPr>
            <w:tcW w:w="5636" w:type="dxa"/>
            <w:tcBorders>
              <w:top w:val="single" w:sz="12" w:space="0" w:color="auto"/>
            </w:tcBorders>
          </w:tcPr>
          <w:p w14:paraId="11CCE3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макс. скорость</w:t>
            </w:r>
          </w:p>
        </w:tc>
        <w:tc>
          <w:tcPr>
            <w:tcW w:w="5636" w:type="dxa"/>
            <w:tcBorders>
              <w:top w:val="single" w:sz="12" w:space="0" w:color="auto"/>
            </w:tcBorders>
          </w:tcPr>
          <w:p w14:paraId="7C3D09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475 км/час</w:t>
            </w:r>
          </w:p>
        </w:tc>
      </w:tr>
      <w:tr w:rsidR="009B487A" w:rsidRPr="00722885" w14:paraId="107B3BFC" w14:textId="77777777" w:rsidTr="00CC5360">
        <w:tc>
          <w:tcPr>
            <w:tcW w:w="5636" w:type="dxa"/>
          </w:tcPr>
          <w:p w14:paraId="069D1C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потолок</w:t>
            </w:r>
          </w:p>
        </w:tc>
        <w:tc>
          <w:tcPr>
            <w:tcW w:w="5636" w:type="dxa"/>
          </w:tcPr>
          <w:p w14:paraId="544FB2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8500 м</w:t>
            </w:r>
          </w:p>
        </w:tc>
      </w:tr>
      <w:tr w:rsidR="009B487A" w:rsidRPr="00722885" w14:paraId="12E43BED" w14:textId="77777777" w:rsidTr="00CC5360">
        <w:tc>
          <w:tcPr>
            <w:tcW w:w="5636" w:type="dxa"/>
          </w:tcPr>
          <w:p w14:paraId="62B8F8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бомбовая нагрузка</w:t>
            </w:r>
          </w:p>
        </w:tc>
        <w:tc>
          <w:tcPr>
            <w:tcW w:w="5636" w:type="dxa"/>
          </w:tcPr>
          <w:p w14:paraId="6D3485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1500 кг</w:t>
            </w:r>
          </w:p>
        </w:tc>
      </w:tr>
      <w:tr w:rsidR="009B487A" w:rsidRPr="00722885" w14:paraId="532643AB" w14:textId="77777777" w:rsidTr="00CC5360">
        <w:tc>
          <w:tcPr>
            <w:tcW w:w="5636" w:type="dxa"/>
          </w:tcPr>
          <w:p w14:paraId="58DBAD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дальность полета</w:t>
            </w:r>
          </w:p>
        </w:tc>
        <w:tc>
          <w:tcPr>
            <w:tcW w:w="5636" w:type="dxa"/>
          </w:tcPr>
          <w:p w14:paraId="7E8F1B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2000 км</w:t>
            </w:r>
          </w:p>
        </w:tc>
      </w:tr>
      <w:tr w:rsidR="009B487A" w:rsidRPr="00722885" w14:paraId="4B6088C0" w14:textId="77777777" w:rsidTr="00CC5360">
        <w:tc>
          <w:tcPr>
            <w:tcW w:w="5636" w:type="dxa"/>
            <w:tcBorders>
              <w:bottom w:val="single" w:sz="12" w:space="0" w:color="auto"/>
            </w:tcBorders>
          </w:tcPr>
          <w:p w14:paraId="7DFEE6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экипаж</w:t>
            </w:r>
          </w:p>
        </w:tc>
        <w:tc>
          <w:tcPr>
            <w:tcW w:w="5636" w:type="dxa"/>
            <w:tcBorders>
              <w:bottom w:val="single" w:sz="12" w:space="0" w:color="auto"/>
            </w:tcBorders>
          </w:tcPr>
          <w:p w14:paraId="36D95A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чел.</w:t>
            </w:r>
          </w:p>
        </w:tc>
      </w:tr>
    </w:tbl>
    <w:p w14:paraId="516B1A6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 вооружение:</w:t>
      </w:r>
    </w:p>
    <w:p w14:paraId="14E07D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одна носовая с ШКАС и боезапасом 500 патронов</w:t>
      </w:r>
    </w:p>
    <w:p w14:paraId="032ACF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одна верхняя с Березина с боезапасом 300 патронов</w:t>
      </w:r>
    </w:p>
    <w:p w14:paraId="1C79FC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две блистерных с Березина с боезапасом по 200 патронов</w:t>
      </w:r>
    </w:p>
    <w:p w14:paraId="0ED66B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одна люковая с Березина с боезапасом 300 патронов</w:t>
      </w:r>
    </w:p>
    <w:p w14:paraId="52EA90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Перегрузочный вариант</w:t>
      </w:r>
    </w:p>
    <w:p w14:paraId="0BAF55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при бомбовой нагрузке 2000 кг дальность на 350 км/час при 10% запасе горючего - 3500 км</w:t>
      </w:r>
    </w:p>
    <w:p w14:paraId="605EED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при бомбовой нагрузке 1000 кг дальность полета 4000 км</w:t>
      </w:r>
    </w:p>
    <w:p w14:paraId="34DA6F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при бомбовой нагрузке 4000 кг дальность полета 1250 км</w:t>
      </w:r>
    </w:p>
    <w:p w14:paraId="3B0373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Чертежи этого самолета будут готовы и сданы в производство к 1 декабря 1942</w:t>
      </w:r>
    </w:p>
    <w:p w14:paraId="0E603D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Просим разрешить построить 10 таких самолетов в Москве на заводе 23</w:t>
      </w:r>
    </w:p>
    <w:p w14:paraId="1D279B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Самолеты будут выпущены: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9B487A" w:rsidRPr="00722885" w14:paraId="2EDD172A" w14:textId="77777777" w:rsidTr="00CC5360">
        <w:tc>
          <w:tcPr>
            <w:tcW w:w="2818" w:type="dxa"/>
            <w:tcBorders>
              <w:top w:val="single" w:sz="12" w:space="0" w:color="auto"/>
            </w:tcBorders>
          </w:tcPr>
          <w:p w14:paraId="137AE3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1-й</w:t>
            </w:r>
          </w:p>
        </w:tc>
        <w:tc>
          <w:tcPr>
            <w:tcW w:w="2818" w:type="dxa"/>
            <w:tcBorders>
              <w:top w:val="single" w:sz="12" w:space="0" w:color="auto"/>
            </w:tcBorders>
          </w:tcPr>
          <w:p w14:paraId="6C87BF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1 марта 1943</w:t>
            </w:r>
          </w:p>
        </w:tc>
      </w:tr>
      <w:tr w:rsidR="009B487A" w:rsidRPr="00722885" w14:paraId="374A3D37" w14:textId="77777777" w:rsidTr="00CC5360">
        <w:tc>
          <w:tcPr>
            <w:tcW w:w="2818" w:type="dxa"/>
          </w:tcPr>
          <w:p w14:paraId="72CE806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2-й</w:t>
            </w:r>
          </w:p>
        </w:tc>
        <w:tc>
          <w:tcPr>
            <w:tcW w:w="2818" w:type="dxa"/>
          </w:tcPr>
          <w:p w14:paraId="772090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15 марта 1943</w:t>
            </w:r>
          </w:p>
        </w:tc>
      </w:tr>
      <w:tr w:rsidR="009B487A" w:rsidRPr="00722885" w14:paraId="4D10FE12" w14:textId="77777777" w:rsidTr="00CC5360">
        <w:tc>
          <w:tcPr>
            <w:tcW w:w="2818" w:type="dxa"/>
            <w:tcBorders>
              <w:bottom w:val="single" w:sz="12" w:space="0" w:color="auto"/>
            </w:tcBorders>
          </w:tcPr>
          <w:p w14:paraId="361B44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остальные </w:t>
            </w:r>
          </w:p>
        </w:tc>
        <w:tc>
          <w:tcPr>
            <w:tcW w:w="2818" w:type="dxa"/>
            <w:tcBorders>
              <w:bottom w:val="single" w:sz="12" w:space="0" w:color="auto"/>
            </w:tcBorders>
          </w:tcPr>
          <w:p w14:paraId="4F2803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концу апреля 1943</w:t>
            </w:r>
          </w:p>
        </w:tc>
      </w:tr>
    </w:tbl>
    <w:p w14:paraId="1FEFDA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Проше утвердить прилагаемый проект постановления ГКО:</w:t>
      </w:r>
    </w:p>
    <w:p w14:paraId="4F9477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Постановление ГКО (И.В.С. подписывать не стал):</w:t>
      </w:r>
    </w:p>
    <w:p w14:paraId="0DB2C6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 постройке тяжелого 2-х моторного бомбардировщика на заводе 23 в Москве"</w:t>
      </w:r>
    </w:p>
    <w:p w14:paraId="1E7804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создания тяжелого дальнего 2=х моторного бомбардировщика ГКО постановляет:</w:t>
      </w:r>
    </w:p>
    <w:p w14:paraId="7D5C6C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Обязать НКАП - А.И.Ш., ГК С.В.И. спроектировать в КБ С.В.И. 2-х моторный тяжелый бомбардировщик с М-71, с возможной постановкой на этот самолет М-90, со следующими ЛД: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B487A" w:rsidRPr="00722885" w14:paraId="7D792B28" w14:textId="77777777" w:rsidTr="00CC5360">
        <w:tc>
          <w:tcPr>
            <w:tcW w:w="3757" w:type="dxa"/>
            <w:tcBorders>
              <w:top w:val="single" w:sz="12" w:space="0" w:color="auto"/>
            </w:tcBorders>
          </w:tcPr>
          <w:p w14:paraId="5DC065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макс. скорость</w:t>
            </w:r>
          </w:p>
        </w:tc>
        <w:tc>
          <w:tcPr>
            <w:tcW w:w="3757" w:type="dxa"/>
            <w:tcBorders>
              <w:top w:val="single" w:sz="12" w:space="0" w:color="auto"/>
            </w:tcBorders>
          </w:tcPr>
          <w:p w14:paraId="391534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475 км/час</w:t>
            </w:r>
          </w:p>
        </w:tc>
      </w:tr>
      <w:tr w:rsidR="009B487A" w:rsidRPr="00722885" w14:paraId="75FDE081" w14:textId="77777777" w:rsidTr="00CC5360">
        <w:tc>
          <w:tcPr>
            <w:tcW w:w="3757" w:type="dxa"/>
          </w:tcPr>
          <w:p w14:paraId="2C7996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потолок</w:t>
            </w:r>
          </w:p>
        </w:tc>
        <w:tc>
          <w:tcPr>
            <w:tcW w:w="3757" w:type="dxa"/>
          </w:tcPr>
          <w:p w14:paraId="4F7FD4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8500 м</w:t>
            </w:r>
          </w:p>
        </w:tc>
      </w:tr>
      <w:tr w:rsidR="009B487A" w:rsidRPr="00722885" w14:paraId="79761AD5" w14:textId="77777777" w:rsidTr="00CC5360">
        <w:tc>
          <w:tcPr>
            <w:tcW w:w="3757" w:type="dxa"/>
          </w:tcPr>
          <w:p w14:paraId="279AA5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бомбовая нагрузка</w:t>
            </w:r>
          </w:p>
        </w:tc>
        <w:tc>
          <w:tcPr>
            <w:tcW w:w="3757" w:type="dxa"/>
          </w:tcPr>
          <w:p w14:paraId="72CB39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1500 кг</w:t>
            </w:r>
          </w:p>
        </w:tc>
      </w:tr>
      <w:tr w:rsidR="009B487A" w:rsidRPr="00722885" w14:paraId="1736403A" w14:textId="77777777" w:rsidTr="00CC5360">
        <w:tc>
          <w:tcPr>
            <w:tcW w:w="3757" w:type="dxa"/>
          </w:tcPr>
          <w:p w14:paraId="42F04C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дальность полета</w:t>
            </w:r>
          </w:p>
        </w:tc>
        <w:tc>
          <w:tcPr>
            <w:tcW w:w="3757" w:type="dxa"/>
          </w:tcPr>
          <w:p w14:paraId="17BF0BD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2000 км</w:t>
            </w:r>
          </w:p>
        </w:tc>
      </w:tr>
      <w:tr w:rsidR="009B487A" w:rsidRPr="00722885" w14:paraId="78085045" w14:textId="77777777" w:rsidTr="00CC5360">
        <w:tc>
          <w:tcPr>
            <w:tcW w:w="3757" w:type="dxa"/>
            <w:tcBorders>
              <w:bottom w:val="single" w:sz="12" w:space="0" w:color="auto"/>
            </w:tcBorders>
          </w:tcPr>
          <w:p w14:paraId="174AB3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экипаж</w:t>
            </w:r>
          </w:p>
        </w:tc>
        <w:tc>
          <w:tcPr>
            <w:tcW w:w="3757" w:type="dxa"/>
            <w:tcBorders>
              <w:bottom w:val="single" w:sz="12" w:space="0" w:color="auto"/>
            </w:tcBorders>
          </w:tcPr>
          <w:p w14:paraId="27E785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чел.</w:t>
            </w:r>
          </w:p>
        </w:tc>
      </w:tr>
    </w:tbl>
    <w:p w14:paraId="71FC5C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 вооружение:</w:t>
      </w:r>
    </w:p>
    <w:p w14:paraId="796647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одна носовая с ШКАС и боезапасом 500 патронов</w:t>
      </w:r>
    </w:p>
    <w:p w14:paraId="63C4B1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одна верхняя с Березина с боезапасом 300 патронов</w:t>
      </w:r>
    </w:p>
    <w:p w14:paraId="0BCD2D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две блистерных с Березина с боезапасом по 200 патронов</w:t>
      </w:r>
    </w:p>
    <w:p w14:paraId="5955F1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одна люковая с Березина с боезапасом 300 патронов</w:t>
      </w:r>
    </w:p>
    <w:p w14:paraId="5113B3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Перегрузочный вариант</w:t>
      </w:r>
    </w:p>
    <w:p w14:paraId="7BE004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при бомбовой нагрузке 2000 кг дальность на 350 км/час при 10% запасе горючего - 3500 км</w:t>
      </w:r>
    </w:p>
    <w:p w14:paraId="5C13E6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при бомбовой нагрузке 1000 кг дальность полета 4000 км</w:t>
      </w:r>
    </w:p>
    <w:p w14:paraId="026F8B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при бомбовой нагрузке 4000 кг дальность полета 1250 км</w:t>
      </w:r>
    </w:p>
    <w:p w14:paraId="0C57CF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Спроектированный ГК С.В.И. дальний тип ТБ с М-71 впредь именовать Ил-6 (1651,1).</w:t>
      </w:r>
    </w:p>
    <w:p w14:paraId="1FAFECCA" w14:textId="77777777" w:rsidR="00090C9B" w:rsidRPr="00722885" w:rsidRDefault="00090C9B" w:rsidP="00722885">
      <w:pPr>
        <w:pStyle w:val="Iauiue"/>
        <w:jc w:val="both"/>
        <w:rPr>
          <w:color w:val="000000" w:themeColor="text1"/>
          <w:sz w:val="16"/>
          <w:szCs w:val="16"/>
        </w:rPr>
      </w:pPr>
    </w:p>
    <w:p w14:paraId="3B1BC6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Зам. НКАП А.Кузнецов писал письмо N Н-37/4036 Дир. завода 23 Иосилович, Дир. завода 125 Тимофееву, Дир. завода 39 Абрамову и ГК завода 240 С.В.И.:</w:t>
      </w:r>
    </w:p>
    <w:p w14:paraId="339C33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процессе боевой эксплуатации Ил-4 за период июнь-август с.г. выявлены дефекты монтажа самолетного оборудования, устранение которых д.б. произведено в наикратчайший срок.</w:t>
      </w:r>
    </w:p>
    <w:p w14:paraId="0A6126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Исполнение сообщить не позднее 1-го ноября с.г." (1678,60).</w:t>
      </w:r>
    </w:p>
    <w:p w14:paraId="4C1246E5" w14:textId="77777777" w:rsidR="00090C9B" w:rsidRPr="00722885" w:rsidRDefault="00090C9B" w:rsidP="00722885">
      <w:pPr>
        <w:pStyle w:val="Iauiue"/>
        <w:jc w:val="both"/>
        <w:rPr>
          <w:color w:val="000000" w:themeColor="text1"/>
          <w:sz w:val="16"/>
          <w:szCs w:val="16"/>
        </w:rPr>
      </w:pPr>
    </w:p>
    <w:p w14:paraId="69D35DEA" w14:textId="77777777" w:rsidR="005662AE" w:rsidRPr="00722885" w:rsidRDefault="005662AE" w:rsidP="00722885">
      <w:pPr>
        <w:pStyle w:val="Iauiue"/>
        <w:jc w:val="both"/>
        <w:rPr>
          <w:color w:val="000000" w:themeColor="text1"/>
          <w:sz w:val="16"/>
          <w:szCs w:val="16"/>
        </w:rPr>
      </w:pPr>
      <w:r w:rsidRPr="00722885">
        <w:rPr>
          <w:color w:val="000000" w:themeColor="text1"/>
          <w:sz w:val="16"/>
          <w:szCs w:val="16"/>
        </w:rPr>
        <w:t>10 октября 1942 вышел приказ НКАП N 754c:</w:t>
      </w:r>
    </w:p>
    <w:p w14:paraId="6CC6BAE3" w14:textId="77777777" w:rsidR="005662AE" w:rsidRPr="00722885" w:rsidRDefault="005662AE" w:rsidP="00722885">
      <w:pPr>
        <w:pStyle w:val="Iauiue"/>
        <w:jc w:val="both"/>
        <w:rPr>
          <w:color w:val="000000" w:themeColor="text1"/>
          <w:sz w:val="16"/>
          <w:szCs w:val="16"/>
        </w:rPr>
      </w:pPr>
      <w:r w:rsidRPr="00722885">
        <w:rPr>
          <w:color w:val="000000" w:themeColor="text1"/>
          <w:sz w:val="16"/>
          <w:szCs w:val="16"/>
        </w:rPr>
        <w:t>"В связи с положительными результатами проверки в боевых условиях системы наполнения отработанными газами крыльевых и фюзеляжных отсеков бензобаков самолета Пе-2:</w:t>
      </w:r>
    </w:p>
    <w:p w14:paraId="1EFC9159" w14:textId="77777777" w:rsidR="005662AE" w:rsidRPr="00722885" w:rsidRDefault="005662AE" w:rsidP="00722885">
      <w:pPr>
        <w:pStyle w:val="Iauiue"/>
        <w:jc w:val="both"/>
        <w:rPr>
          <w:color w:val="000000" w:themeColor="text1"/>
          <w:sz w:val="16"/>
          <w:szCs w:val="16"/>
        </w:rPr>
      </w:pPr>
      <w:r w:rsidRPr="00722885">
        <w:rPr>
          <w:color w:val="000000" w:themeColor="text1"/>
          <w:sz w:val="16"/>
          <w:szCs w:val="16"/>
        </w:rPr>
        <w:t>Директору завода 22 Окулову и ГК Путилову к 15 октября с.г. выпустить из производства 9 самолетов Пе-2, оборудованных системой наполнения отработанными газами от выхлопных отсеков бензобаков.</w:t>
      </w:r>
    </w:p>
    <w:p w14:paraId="5A60D8F9" w14:textId="77777777" w:rsidR="005662AE" w:rsidRPr="00722885" w:rsidRDefault="005662AE" w:rsidP="00722885">
      <w:pPr>
        <w:pStyle w:val="Iauiue"/>
        <w:jc w:val="both"/>
        <w:rPr>
          <w:color w:val="000000" w:themeColor="text1"/>
          <w:sz w:val="16"/>
          <w:szCs w:val="16"/>
        </w:rPr>
      </w:pPr>
      <w:r w:rsidRPr="00722885">
        <w:rPr>
          <w:color w:val="000000" w:themeColor="text1"/>
          <w:sz w:val="16"/>
          <w:szCs w:val="16"/>
        </w:rPr>
        <w:t>На этих самолетах отработать серийные чертежи, одновременно осуществить запуск в производство деталей, узлов и арматуры, с таким расчетом, чтобы к 25 октября с.г. все серийные самолеты выпускать из производства оборудованными системой наполнения отработанными газами отсеков бензобаков (1592,40).</w:t>
      </w:r>
    </w:p>
    <w:p w14:paraId="5070B9E6" w14:textId="77777777" w:rsidR="005662AE" w:rsidRPr="00722885" w:rsidRDefault="005662AE" w:rsidP="00722885">
      <w:pPr>
        <w:pStyle w:val="Iauiue"/>
        <w:jc w:val="both"/>
        <w:rPr>
          <w:color w:val="000000" w:themeColor="text1"/>
          <w:sz w:val="16"/>
          <w:szCs w:val="16"/>
        </w:rPr>
      </w:pPr>
    </w:p>
    <w:p w14:paraId="0F98868C" w14:textId="77777777" w:rsidR="005662AE" w:rsidRPr="00722885" w:rsidRDefault="005662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 октября 1942 г. вышкл приказ НКАП согласно которому, все самолеты Пе-2 должны были выпускаться со 2-й зоной нейтральных газов (от мотора). Напомним, что 1-я зона НГ (или НГ-1) - это пространство внутри бака над бензином, а 2-я зона НГ (или НГ-2) - пространство между баками и обшивкой самолета, а также все смежные объемы в конструкции самолета вблизи бензобаков, куда при простреле могут попасть пары бензина и создать пожарную опасность.</w:t>
      </w:r>
    </w:p>
    <w:p w14:paraId="696E621A" w14:textId="77777777" w:rsidR="005662AE" w:rsidRPr="00722885" w:rsidRDefault="005662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процессе зимней эксплуатации самолетов Пе-2, оборудованных 2-й зоной НГ, выявились дефекты, затруднявшие их нормальную эксплуатацию. Поэтому 2-ю зону НГ на Пе-2 в начале апреля 1943 г. «условно сняли» с серии. Условность этого мероприятия заключалась в том, что заводу №22 поручили «впредь до устранения выявленных дефектов выпускать самолеты Пе-2 с отключенной зоной НГ-2», т.е. агрегаты и вся проводка системы монтировались на бомбардировщик. Предполагалось, что систему после доводки можно будет восстановить и доработать на всех выпущенных машинах непосредственно в частях силами заводских бригад или инженерно-технического состава (17733).</w:t>
      </w:r>
    </w:p>
    <w:p w14:paraId="4AB676F5" w14:textId="77777777" w:rsidR="005662AE" w:rsidRPr="00722885" w:rsidRDefault="005662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F5F5B6" w14:textId="77777777" w:rsidR="005662AE" w:rsidRPr="00722885" w:rsidRDefault="005662A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октября 1942 г. на основании приказа по НКАП № 754c на Пе-2 ввели систему нейтрального газа 2-й зоны — отсеков крыльевых баков. К 15 октября требовалось выпустить девять таких Пе-2, а с 25-го в таком виде должны были сдаваться все самолеты, но сделано это было только с 233-й серии в 1943 г. (22828).</w:t>
      </w:r>
    </w:p>
    <w:p w14:paraId="2DE01E1C" w14:textId="77777777" w:rsidR="005662AE" w:rsidRPr="00722885" w:rsidRDefault="005662AE" w:rsidP="00722885">
      <w:pPr>
        <w:spacing w:after="0" w:line="240" w:lineRule="auto"/>
        <w:jc w:val="both"/>
        <w:rPr>
          <w:rFonts w:ascii="Times New Roman" w:hAnsi="Times New Roman"/>
          <w:color w:val="0070C0"/>
          <w:sz w:val="16"/>
          <w:szCs w:val="16"/>
        </w:rPr>
      </w:pPr>
    </w:p>
    <w:p w14:paraId="288BB88A" w14:textId="77777777" w:rsidR="005662AE" w:rsidRPr="00722885" w:rsidRDefault="005662AE" w:rsidP="00722885">
      <w:pPr>
        <w:pStyle w:val="Iauiue"/>
        <w:jc w:val="both"/>
        <w:rPr>
          <w:color w:val="000000" w:themeColor="text1"/>
          <w:sz w:val="16"/>
          <w:szCs w:val="16"/>
        </w:rPr>
      </w:pPr>
      <w:r w:rsidRPr="00722885">
        <w:rPr>
          <w:color w:val="000000" w:themeColor="text1"/>
          <w:sz w:val="16"/>
          <w:szCs w:val="16"/>
        </w:rPr>
        <w:t>10 октября 1942 были закончены летные испытания по отработке ВМГ Ер-2 М-30 (2504,69).</w:t>
      </w:r>
    </w:p>
    <w:p w14:paraId="13334D8B" w14:textId="77777777" w:rsidR="005662AE" w:rsidRPr="00722885" w:rsidRDefault="005662AE" w:rsidP="00722885">
      <w:pPr>
        <w:pStyle w:val="Iauiue"/>
        <w:jc w:val="both"/>
        <w:rPr>
          <w:color w:val="000000" w:themeColor="text1"/>
          <w:sz w:val="16"/>
          <w:szCs w:val="16"/>
        </w:rPr>
      </w:pPr>
    </w:p>
    <w:p w14:paraId="18186B00" w14:textId="77777777" w:rsidR="005662AE" w:rsidRPr="00722885" w:rsidRDefault="005662AE" w:rsidP="00722885">
      <w:pPr>
        <w:pStyle w:val="Iauiue"/>
        <w:jc w:val="both"/>
        <w:rPr>
          <w:color w:val="000000" w:themeColor="text1"/>
          <w:sz w:val="16"/>
          <w:szCs w:val="16"/>
        </w:rPr>
      </w:pPr>
      <w:r w:rsidRPr="00722885">
        <w:rPr>
          <w:color w:val="000000" w:themeColor="text1"/>
          <w:sz w:val="16"/>
          <w:szCs w:val="16"/>
        </w:rPr>
        <w:t>10 октября 1942 постановлением ГКО свернули все работы по Ту-2, хотя с 13 сентября по 28 октября 1942 он успешно прошел войсковые испытания (173,220).</w:t>
      </w:r>
    </w:p>
    <w:p w14:paraId="7BCDA3DB" w14:textId="77777777" w:rsidR="005662AE" w:rsidRPr="00722885" w:rsidRDefault="005662AE" w:rsidP="00722885">
      <w:pPr>
        <w:pStyle w:val="Iauiue"/>
        <w:jc w:val="both"/>
        <w:rPr>
          <w:color w:val="000000" w:themeColor="text1"/>
          <w:sz w:val="16"/>
          <w:szCs w:val="16"/>
        </w:rPr>
      </w:pPr>
      <w:r w:rsidRPr="00722885">
        <w:rPr>
          <w:color w:val="000000" w:themeColor="text1"/>
          <w:sz w:val="16"/>
          <w:szCs w:val="16"/>
        </w:rPr>
        <w:t>По другим данным - 7 октября 1942 и это правильно, а 10 - вышел приказ НКАП N 763сс.</w:t>
      </w:r>
    </w:p>
    <w:p w14:paraId="1B1405FE" w14:textId="77777777" w:rsidR="005662AE" w:rsidRPr="00722885" w:rsidRDefault="005662AE" w:rsidP="00722885">
      <w:pPr>
        <w:pStyle w:val="Iauiue"/>
        <w:jc w:val="both"/>
        <w:rPr>
          <w:color w:val="000000" w:themeColor="text1"/>
          <w:sz w:val="16"/>
          <w:szCs w:val="16"/>
        </w:rPr>
      </w:pPr>
    </w:p>
    <w:p w14:paraId="43A7FBB0" w14:textId="77777777" w:rsidR="005662AE" w:rsidRPr="00722885" w:rsidRDefault="005662A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г. появился приказ НКАП о снятии Ту-2 с производства. Вместо него в Омске собирались строить истребители Як-9. Туполев протестовал, писал письма Сталину, пытался организовать параллельное производство истребителей на бывшем заводе автоприцепов, но безуспешно. Согласно приказу, выпуск Ту-2 свернули к концу октября. Всего тогда в Омске изготовили семь серий, из них две последние (6-ю и 7-ю) - по 20 машин. Итого получается 80 бомбардировщиков. В отчете завода № 166 указано, что сборка Ту-2 из задела деталей продолжалась до конца года, а последние 12 машин 7-й серии собрали уже в январе 1943 г. Часть самолетов 7-й серии потом использовали для различных экспериментов. Согласно приказу от 10 октября вся оснастка и специальный инструмент консервировались для возможного использования в будущем. То же самое относилось к заделу деталей и узлов и всей документации. На Туполева была возложена ответственность за дальнейшее совершенствование конструкции Ту-2 и необходимые доработки уже выпущенных бомбардировщиков (11988).</w:t>
      </w:r>
    </w:p>
    <w:p w14:paraId="1E6F6AA7" w14:textId="77777777" w:rsidR="005662AE" w:rsidRPr="00722885" w:rsidRDefault="005662AE" w:rsidP="00722885">
      <w:pPr>
        <w:spacing w:after="0" w:line="240" w:lineRule="auto"/>
        <w:jc w:val="both"/>
        <w:rPr>
          <w:rFonts w:ascii="Times New Roman" w:hAnsi="Times New Roman"/>
          <w:color w:val="000000" w:themeColor="text1"/>
          <w:sz w:val="16"/>
          <w:szCs w:val="16"/>
        </w:rPr>
      </w:pPr>
    </w:p>
    <w:p w14:paraId="7436A9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вышел приказ НКАП N 763 "Об увеличении выпуска самолетов-истребителей".</w:t>
      </w:r>
    </w:p>
    <w:p w14:paraId="700F1D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исполнение постановления ГКО N 2378 от 7 октября 1942 в целях увеличения выпуска самолетов-истребителей приказываю:</w:t>
      </w:r>
    </w:p>
    <w:p w14:paraId="0EE232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исполнение постановления ГКО от 7 октября 1942 в целях увеличения выпуска самолетов-истребителей:</w:t>
      </w:r>
    </w:p>
    <w:p w14:paraId="16AFF5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Директору завода 166 т. Соколову:</w:t>
      </w:r>
    </w:p>
    <w:p w14:paraId="775AFD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прекратить на заводе 166 производство самолетов Ту-2. Имеющиеся на заводе оснастку, приспособления и тех. документацию по самолету Ту-2 сохранить полностью.</w:t>
      </w:r>
    </w:p>
    <w:p w14:paraId="78C778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Поставить на заводе 166 производство самолетов Як-9, установив разворот производства и выпуска самолетов Як-9 в следующие сроки: в декабре 1942 - 10, в январе 1943 - 25, в феврале 50, в марте 75, с апреля - по 6 в день.</w:t>
      </w:r>
    </w:p>
    <w:p w14:paraId="175403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Директору завода № 153 Романову и ГК т. Яковлеву передать с завода № 153 на завод № 166 к 20 октября с.г. чертежи с-та Як-9, чертежи приспособлений и всю техническую документацию производства с-та Як-9, а также передать заводу № 166 до 5-го ноября с.г. 10 с-тов Як-9 в деталях и агрегатах.</w:t>
      </w:r>
    </w:p>
    <w:p w14:paraId="0D171B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Разрешить заводу 166 выпустить 10 самолетов Ту-2 до 15 ноября 1942 (1835,24).</w:t>
      </w:r>
    </w:p>
    <w:p w14:paraId="4A84A50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Главного конструктора самолета Ту-2 тов.Туполева вместе с конструкторским бюро перевести на завод № 288, оставив из конструкторского бюро тов. Тутлева на заводе № 166- 150 человек конструкторов разных категорий и чертежников для организации серийно-конструкторского бюро по самолету Як-9 на заводе № 166.</w:t>
      </w:r>
    </w:p>
    <w:p w14:paraId="5DBAE0D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Тов. Туполеву продолжить работу по доводке и обеспечении полной надежности в эксплоатации выпущенных самолетов Ту-2.</w:t>
      </w:r>
    </w:p>
    <w:p w14:paraId="655185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Директору завода № 288 тов. Кутепову предоставить необходимые помещения, для размещения переводимого на завод констрктосторского бюро тов. Туполева.</w:t>
      </w:r>
    </w:p>
    <w:p w14:paraId="038526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Директору завода N 381 тов. Журавлеву</w:t>
      </w:r>
    </w:p>
    <w:p w14:paraId="262445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прекратить производство самолетов Ил-2 на заводе N 381;</w:t>
      </w:r>
    </w:p>
    <w:p w14:paraId="5887BF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поставить на заводе N 381 производство самолетов Ла-5, установив разворот производства и программу выпуска Ла-5: - в декабре - 10, январе -25.</w:t>
      </w:r>
    </w:p>
    <w:p w14:paraId="6AD278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Разрешить заводу N 381, в целях использования существующего задела самолета Ил-2 в агрегатных цехах, выпустить 40 самолетов Ил-2 до 15 ноября с.(487).</w:t>
      </w:r>
    </w:p>
    <w:p w14:paraId="276734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Нарком А.И.Шахурин (Подлинник) (487).</w:t>
      </w:r>
    </w:p>
    <w:p w14:paraId="3D5BC18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Директору завода № 21 тов. Агаджанову и ГК С.А.Л. передать с завода № 21 на завод № 381 25 октября с.г. чертежи самолета Ла-5, чертежи приспособлений и оснастки и всю необходимую технологическую документацию для производства самолетов Ла-5, а также передать заводу № 381 до ? с.г. 10 самолетов Ла-5 в деталях и агрегатах.</w:t>
      </w:r>
    </w:p>
    <w:p w14:paraId="041B861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Разрешить заводу № 381, в целях использования имеющегося задела самолета Ил-2 в агрегатных цехах, выпустить 40 самолетов Ил-2 до 15 ноября с.г.</w:t>
      </w:r>
    </w:p>
    <w:p w14:paraId="2EF3455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Начальнику ЦФО тов. Хавину обеспечить получение в Наркомфине СССР выделенные на постановку производства самолетов-истребителей средства заводам № 166 и 381 по 3,5 млн. руб.</w:t>
      </w:r>
    </w:p>
    <w:p w14:paraId="45B71A0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Начальнику 10-го Главного Управления тов. Тарасевичу передать из системы 10-го Главного Управления заводы №№ 166 и 381, а и.о. начальника 1-го Главного Управления - т. Тихонову в 5-ти дневный срок принять эти завода в систему 1-го Управления по состоянию на 1-е октября 1942 года.</w:t>
      </w:r>
    </w:p>
    <w:p w14:paraId="1C6E641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Акт приемки-передачи представить мне 14 октября 1942 г. (487).</w:t>
      </w:r>
    </w:p>
    <w:p w14:paraId="5201E5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том же приказе речь шла и о прекращении выпуска Ту-2 на 166 заводе в соответствии с постановлением ГКО и о начале производства истребителей Як (1835,23):</w:t>
      </w:r>
    </w:p>
    <w:p w14:paraId="2DBED2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Мера вынужденная, так как после катастрофы под Харьковом и Ростовом на Дону натиск на Сталинград и Кавказ были готовы сдерживать любыми средствами. Потери истребителей были огромными, так как тысячи л были слабо подготовленными и И.В.С. пошел на эту крайнюю меру. Более того, если при сопровождении бомбардировщиков были потери, то истребителей отдавали под трибунал, а то и расстреливали (1835,23).</w:t>
      </w:r>
    </w:p>
    <w:p w14:paraId="0CA86526" w14:textId="77777777" w:rsidR="00090C9B" w:rsidRPr="00722885" w:rsidRDefault="00090C9B" w:rsidP="00722885">
      <w:pPr>
        <w:pStyle w:val="Iauiue"/>
        <w:jc w:val="both"/>
        <w:rPr>
          <w:color w:val="000000" w:themeColor="text1"/>
          <w:sz w:val="16"/>
          <w:szCs w:val="16"/>
        </w:rPr>
      </w:pPr>
    </w:p>
    <w:p w14:paraId="333D22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г. последовал приказ наркома авиапромышленности «Об увеличении выпуска самолетов-истребителей», в соответствии с которым несколько заводов останавливали выпуск тяжелых машин и спешно переходили на строительство только легких истребителей. В их числе оказался и завод №381 в Москве. Он прекратил выпуск Ил-2 и переключился на строительство истребителей Ла-5. Завод обладал всем необходимым оборудованием для освоения производства истребителей, за исключением деревообделочного цеха. Этот недостаток руководство НКАП решило устранить переподчинением завода на 2-й Рыбинской новому предприятию. 10 августа 1943 г. нарком Шахурин распорядился: «...Директору завода №464 тов. Перовскому передать к 25.08.43 заводу №381 для организации деревообделочного производства московский филиал завода №464 (быв. Красносельская мебельная фабрика), кроме территории 2». Крылья Як-6 в производственной программе Филиала 1 заменили крылья Ла-5, а затем и Ла-7.</w:t>
      </w:r>
    </w:p>
    <w:p w14:paraId="4B5885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расположенной между 3-й и 2-й Рыбинскими улицами «территории №2» бывшей мебельной фабрики судьба с 1943 г. стала складываться по-другому (11242).</w:t>
      </w:r>
    </w:p>
    <w:p w14:paraId="1DF861E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CD10B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года вышел приказ о производстве Ла-5 на московском заводе № 381, причем первые машины собирали из агрегатов завода № 21. В 1944 году небольшой коллектив серийного КБ завода № 381 предложил использовать на серийных Ла-5Ф силовую установку с моторамой от Ла-7. В апреле на машине № 3811507 карбюраторный двигатель АШ-82Ф заменили на АШ-82ФН с непосредственным впрыском топлива. При этом сохранили выхлопные коллекторы от предшественника и доработали боковые створки. Самолет, получивший официальное название "Гибрид", проходил испытания в НИИ ВВС в мае 1944 г. Ведущими по машине были инженер В.И. Алексеенко и летчик А.Г. Кубышкин. По сравнению с "Дублером" Ла-5ФН завода № 21 он имел значительно худшие летные данные. Например, его максимальная скорость оказалась на 68 км/ч ниже, что, видимо, связано с утяжелением машины и худшей отделкой его внешней поверхности.</w:t>
      </w:r>
    </w:p>
    <w:p w14:paraId="5AB112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испытания не выдержал. НИИ ВВС рекомендовал использовать установку двигателей АШ-82ФН при ремонте Ла-5Ф в полевых условиях лишь в крайнем случае (12032).</w:t>
      </w:r>
    </w:p>
    <w:p w14:paraId="562046B1" w14:textId="77777777" w:rsidR="00090C9B" w:rsidRPr="00722885" w:rsidRDefault="00090C9B" w:rsidP="00722885">
      <w:pPr>
        <w:pStyle w:val="Iauiue"/>
        <w:jc w:val="both"/>
        <w:rPr>
          <w:color w:val="000000" w:themeColor="text1"/>
          <w:sz w:val="16"/>
          <w:szCs w:val="16"/>
        </w:rPr>
      </w:pPr>
    </w:p>
    <w:p w14:paraId="2F44CDFE" w14:textId="77777777" w:rsidR="00CB6678" w:rsidRPr="00722885" w:rsidRDefault="00CB66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г. вышел приказ НКАП № 749 «Об улучшении летных качеств самолета ЛаГГ-3, выпускаемого в серийном производстве заводом 31». В нем говорилось: «По исследованиям ЦАГИ только аэродинамические улучшения могут давать максимальную скорость 600 км/ч (с двигателем ПФ). Одновременно с этим, заводом № 31 была проведена большая работа по облегчению полетного веса самолета ЛаГГ-3, чем в значительной степени улучшены маневренность, скороподъемность и взлетные характеристики... В целях быстрейшего проведения в жизнь предложений ЦАГИ и мероприятий, разработанных ГК завода № 31 тов. Горбуновым, приказываю:</w:t>
      </w:r>
    </w:p>
    <w:p w14:paraId="7D9F4D01" w14:textId="77777777" w:rsidR="00CB6678" w:rsidRPr="00722885" w:rsidRDefault="00CB66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внедрить в серийное производство на самолете ЛаГГ-3 до 15 ноября с. г. предложения ЦАГИ по прилагаемому перечню № 1</w:t>
      </w:r>
    </w:p>
    <w:p w14:paraId="635A275B" w14:textId="77777777" w:rsidR="00CB6678" w:rsidRPr="00722885" w:rsidRDefault="00CB66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внедрить в серийное производство облегчение самолета ЛаГГ-3 по прилагаемому перечню № 2, обеспечив выпуск облегченных самолетов с полетным весом 2850 кг с 25 ноября» (19727).</w:t>
      </w:r>
    </w:p>
    <w:p w14:paraId="14A4C1FA" w14:textId="77777777" w:rsidR="00CB6678" w:rsidRPr="00722885" w:rsidRDefault="00CB6678" w:rsidP="00722885">
      <w:pPr>
        <w:spacing w:after="0" w:line="240" w:lineRule="auto"/>
        <w:jc w:val="both"/>
        <w:rPr>
          <w:rFonts w:ascii="Times New Roman" w:hAnsi="Times New Roman"/>
          <w:color w:val="000000" w:themeColor="text1"/>
          <w:sz w:val="16"/>
          <w:szCs w:val="16"/>
        </w:rPr>
      </w:pPr>
    </w:p>
    <w:p w14:paraId="3CB3AF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вышло постановление ГОКО N 2397 в развитие постановления N 2145с от 2 августа 1942, согласно которому заводу 153 надлежало выпустить самолетов Як-9 (1315,156).</w:t>
      </w:r>
    </w:p>
    <w:p w14:paraId="546F4060" w14:textId="77777777" w:rsidR="00090C9B" w:rsidRPr="00722885" w:rsidRDefault="00090C9B" w:rsidP="00722885">
      <w:pPr>
        <w:pStyle w:val="Iauiue"/>
        <w:jc w:val="both"/>
        <w:rPr>
          <w:color w:val="000000" w:themeColor="text1"/>
          <w:sz w:val="16"/>
          <w:szCs w:val="16"/>
        </w:rPr>
      </w:pPr>
    </w:p>
    <w:p w14:paraId="4B058375" w14:textId="77777777" w:rsidR="00CA398D" w:rsidRPr="00722885" w:rsidRDefault="00CA398D"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10 октября 1942 г. постановлением ГКО от заводу № 26 устанавли</w:t>
      </w:r>
      <w:r w:rsidRPr="00722885">
        <w:rPr>
          <w:color w:val="000000" w:themeColor="text1"/>
          <w:sz w:val="16"/>
          <w:szCs w:val="16"/>
        </w:rPr>
        <w:softHyphen/>
        <w:t>вался план по изготовлению до конца года 37 мото</w:t>
      </w:r>
      <w:r w:rsidRPr="00722885">
        <w:rPr>
          <w:color w:val="000000" w:themeColor="text1"/>
          <w:sz w:val="16"/>
          <w:szCs w:val="16"/>
        </w:rPr>
        <w:softHyphen/>
        <w:t>ров М-107А. Однако возникшие проблемы с надеж</w:t>
      </w:r>
      <w:r w:rsidRPr="00722885">
        <w:rPr>
          <w:color w:val="000000" w:themeColor="text1"/>
          <w:sz w:val="16"/>
          <w:szCs w:val="16"/>
        </w:rPr>
        <w:softHyphen/>
        <w:t>ностью и устойчивостью в работе моторов М-107А не позволили в полном объеме выполнить это за</w:t>
      </w:r>
      <w:r w:rsidRPr="00722885">
        <w:rPr>
          <w:color w:val="000000" w:themeColor="text1"/>
          <w:sz w:val="16"/>
          <w:szCs w:val="16"/>
        </w:rPr>
        <w:softHyphen/>
        <w:t>дание. Фактически завод № 26 уже в декабре пре</w:t>
      </w:r>
      <w:r w:rsidRPr="00722885">
        <w:rPr>
          <w:color w:val="000000" w:themeColor="text1"/>
          <w:sz w:val="16"/>
          <w:szCs w:val="16"/>
        </w:rPr>
        <w:softHyphen/>
        <w:t>кратил серийное изготовление моторов этого типа. Только в январе 1943 г. мотор М-107А удовлетво</w:t>
      </w:r>
      <w:r w:rsidRPr="00722885">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722885">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2D90FE84" w14:textId="77777777" w:rsidR="00CA398D" w:rsidRPr="00722885" w:rsidRDefault="00CA398D" w:rsidP="00722885">
      <w:pPr>
        <w:spacing w:after="0" w:line="240" w:lineRule="auto"/>
        <w:jc w:val="both"/>
        <w:rPr>
          <w:rFonts w:ascii="Times New Roman" w:eastAsia="Times New Roman" w:hAnsi="Times New Roman"/>
          <w:color w:val="000000" w:themeColor="text1"/>
          <w:sz w:val="16"/>
          <w:szCs w:val="16"/>
          <w:lang w:eastAsia="ru-RU"/>
        </w:rPr>
      </w:pPr>
    </w:p>
    <w:p w14:paraId="03E878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(ноября?) 1942 Нач. ГУЗ ВВС Селезнев писал НКАП П.Воронину письмо N 377265:</w:t>
      </w:r>
    </w:p>
    <w:p w14:paraId="085C54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постановлению ГОКО N 2145с от 2 августа 1942 и 2397с от 10 октября 1942 заводу 153 надлежало выпустить самолетов Як-9:</w:t>
      </w:r>
    </w:p>
    <w:p w14:paraId="590F74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в августе - 3</w:t>
      </w:r>
    </w:p>
    <w:p w14:paraId="40E2AC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в сентябре - 20</w:t>
      </w:r>
    </w:p>
    <w:p w14:paraId="530065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в октябре - 40</w:t>
      </w:r>
    </w:p>
    <w:p w14:paraId="513BC4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25 октября заводом 153 предъявлено ГУ ВВС только 15 самолетов. Прошу сообщить сроки покрытия задолженности." (1315,156).</w:t>
      </w:r>
    </w:p>
    <w:p w14:paraId="7CFA7172" w14:textId="77777777" w:rsidR="00090C9B" w:rsidRPr="00722885" w:rsidRDefault="00090C9B" w:rsidP="00722885">
      <w:pPr>
        <w:pStyle w:val="Iauiue"/>
        <w:jc w:val="both"/>
        <w:rPr>
          <w:color w:val="000000" w:themeColor="text1"/>
          <w:sz w:val="16"/>
          <w:szCs w:val="16"/>
        </w:rPr>
      </w:pPr>
    </w:p>
    <w:p w14:paraId="2EDF15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вышел приказ НКАП N 750 "Об улучшении летных качеств самолета Як-1, выпускаемого в серийном производстве заводом 292" Исследования ЦАГИ показали, что скорость можно довести до 600 км/час. Приказано внедрить предложения ЦАГИ в серию до 15 ноября (910,67).</w:t>
      </w:r>
    </w:p>
    <w:p w14:paraId="3F4310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Исследования, проведенные в большой аэродинамической трубе ЦАГИ, показали, что макс. скорости серийного с-та Як-1 могут быть доведены с мотором М-105ПФ до 600 км/час на расчетной высоте.</w:t>
      </w:r>
    </w:p>
    <w:p w14:paraId="0ACDEA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Приказываю:</w:t>
      </w:r>
    </w:p>
    <w:p w14:paraId="1897B8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внедрить в серийном пр-ве на самолете Як-1 до 15 ноября с.г. предложения ЦАГИ и усовершенствования по прилагаемому перечню..(910,67).</w:t>
      </w:r>
    </w:p>
    <w:p w14:paraId="0F90DBC9" w14:textId="77777777" w:rsidR="00090C9B" w:rsidRPr="00722885" w:rsidRDefault="00090C9B" w:rsidP="00722885">
      <w:pPr>
        <w:pStyle w:val="Iauiue"/>
        <w:jc w:val="both"/>
        <w:rPr>
          <w:color w:val="000000" w:themeColor="text1"/>
          <w:sz w:val="16"/>
          <w:szCs w:val="16"/>
        </w:rPr>
      </w:pPr>
    </w:p>
    <w:p w14:paraId="434C75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вышел приказ НКАП N 749 "Об улучшении летных качеств самолета ЛаГГ-3, выпускаемого в серийном производстве заводом 31" Исследования ЦАГИ показали, что скорость можно довести до 600 км/час. Приказано внедрить предложения ЦАГИ в серию до 15 ноября и выпускать с 25 ноября с полетным весом 2859 кг (910,67).</w:t>
      </w:r>
    </w:p>
    <w:p w14:paraId="674774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исследованиям ЦАГИ только аэродинамические улучшения могут давать макс. скорость 600 км/час. (с двигателем ПФ). Одновременно с этим, заводом № 31 была проведена большая работа по облегчению полетного веса с-та ЛаГГ-3, чем в значительной степени улучшены маневренность, скороподъемность и взлетные характеристика самолета.</w:t>
      </w:r>
    </w:p>
    <w:p w14:paraId="3B3FB7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Работы, проведенные ЦАГИ и заводом № 31 по улучшению летных данных самолета, являются особо важными, позволяющими резко повысить летные качества с-та.</w:t>
      </w:r>
    </w:p>
    <w:p w14:paraId="166751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быстрейшего проведения в жизнь предложений ЦАГИ и мероприятий, разработанных ГК завода № 31 тов. Горбуновым, приказываю:</w:t>
      </w:r>
    </w:p>
    <w:p w14:paraId="14AB77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внедрить в серийное пр-во на самолете ЛаГГ-3 до 15 ноября с.г. предложения ЦАГИ по прилагаемому перечню № 1</w:t>
      </w:r>
    </w:p>
    <w:p w14:paraId="110B86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внедрить в серийное производство облегчение с-та ЛаГГ-3 по по прилагаемому перечню № 2, обеспечив выпуск облегченных с-тов с полетным весом 2850 кг с 25 ноября (910,67).</w:t>
      </w:r>
    </w:p>
    <w:p w14:paraId="0233E70C" w14:textId="77777777" w:rsidR="00090C9B" w:rsidRPr="00722885" w:rsidRDefault="00090C9B" w:rsidP="00722885">
      <w:pPr>
        <w:pStyle w:val="Iauiue"/>
        <w:jc w:val="both"/>
        <w:rPr>
          <w:color w:val="000000" w:themeColor="text1"/>
          <w:sz w:val="16"/>
          <w:szCs w:val="16"/>
        </w:rPr>
      </w:pPr>
    </w:p>
    <w:p w14:paraId="1C33653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вышел приказ НКАП N 753 "В связи с решением Правительства о производстве полетов в зимнее время на колесах, приказ НКАП N 653 от 26 августа в части организации производства авиалыж отменить. Организовать производство авиалыж только для У-2 и УТ-2 (911,34).</w:t>
      </w:r>
    </w:p>
    <w:p w14:paraId="7ABECF1D" w14:textId="77777777" w:rsidR="00090C9B" w:rsidRPr="00722885" w:rsidRDefault="00090C9B" w:rsidP="00722885">
      <w:pPr>
        <w:pStyle w:val="Iauiue"/>
        <w:jc w:val="both"/>
        <w:rPr>
          <w:color w:val="000000" w:themeColor="text1"/>
          <w:sz w:val="16"/>
          <w:szCs w:val="16"/>
        </w:rPr>
      </w:pPr>
    </w:p>
    <w:p w14:paraId="61A447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был утвержден отчет о длительных огневых испытаниях двигателя Д-1-А-1100, которые по настоянию завода 293 шли с 6 августа 1942 по 6 октября 1942 в рамках совместных гос. и заводских испытаний БИ конструкции Болховитинова производства завода 293 с ЖРД Д-1-А-1100 конструкции НИИ-3, которые, в свою очередь, начались 2 августа 1942 на аэродроме НИИ ВВС Кольцово под Свердловском. Это были испытания БИ-2 и БИ-3, которые летали 11 и 12 января и 11 и 14 марта (БИ-2) и 21 и 27 марта (БИ-3). 10/11 июня 1943 Зам. Командующего ВВС и НКАП утвердили акт N 837 и отчет (2928,16).</w:t>
      </w:r>
    </w:p>
    <w:p w14:paraId="7665F2DA" w14:textId="77777777" w:rsidR="00090C9B" w:rsidRPr="00722885" w:rsidRDefault="00090C9B" w:rsidP="00722885">
      <w:pPr>
        <w:pStyle w:val="Iauiue"/>
        <w:jc w:val="both"/>
        <w:rPr>
          <w:color w:val="000000" w:themeColor="text1"/>
          <w:sz w:val="16"/>
          <w:szCs w:val="16"/>
        </w:rPr>
      </w:pPr>
    </w:p>
    <w:p w14:paraId="402281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Директор ТИПТ, ГК завода 293 и Нач. НИИ ВВС утвердили Акт о совместных испытаниях ЖРД Д-А-1-1100 и в выводах было указано, что ЖРД и двигательная установка пригодны для эксплуатации на самолете (2928,10).</w:t>
      </w:r>
    </w:p>
    <w:p w14:paraId="06DEDD6E" w14:textId="77777777" w:rsidR="00090C9B" w:rsidRPr="00722885" w:rsidRDefault="00090C9B" w:rsidP="00722885">
      <w:pPr>
        <w:pStyle w:val="Iauiue"/>
        <w:jc w:val="both"/>
        <w:rPr>
          <w:color w:val="000000" w:themeColor="text1"/>
          <w:sz w:val="16"/>
          <w:szCs w:val="16"/>
        </w:rPr>
      </w:pPr>
    </w:p>
    <w:p w14:paraId="2EE17C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вышло Постановление ГКО № 2393 О материально-техническом обеспечении эксплуатации самолетов ВВС КА и ВМФ в IV квартале 1942 года. РГАНИР, Фонд ГКО, д. 63, лл. 1-3, 4-39 (11012).</w:t>
      </w:r>
    </w:p>
    <w:p w14:paraId="1B68CBC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E5DE5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вышло Постановление ГКО № 2397 О плане производства самолетов и авиационных моторов на IV квартал 1942 года. РГАНИР, Фонд ГКО, д. 63, лл. 43-44, 45-46 (11012).</w:t>
      </w:r>
    </w:p>
    <w:p w14:paraId="1330102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5E799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вышло Постановление ГКО № 2398 Об энергоснабжении заводов Наркомавиапрома. РГАНИР, Фонд ГКО, д. 63, лл. 47-50, 51-54 (11012).</w:t>
      </w:r>
    </w:p>
    <w:p w14:paraId="110A08E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05130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10 октября 1942 вышло Постановление ГКО № 2399 О плане капитальных работ и материально-техническом обеспечении строительства заводов Наркомавиапрома на IV квартал 1942 г. (7058, 55-60,61-70).</w:t>
      </w:r>
    </w:p>
    <w:p w14:paraId="62B911AB" w14:textId="77777777" w:rsidR="00090C9B" w:rsidRPr="00722885" w:rsidRDefault="00090C9B" w:rsidP="00722885">
      <w:pPr>
        <w:pStyle w:val="Iauiue"/>
        <w:tabs>
          <w:tab w:val="left" w:pos="11199"/>
        </w:tabs>
        <w:jc w:val="both"/>
        <w:rPr>
          <w:color w:val="000000" w:themeColor="text1"/>
          <w:sz w:val="16"/>
          <w:szCs w:val="16"/>
        </w:rPr>
      </w:pPr>
    </w:p>
    <w:p w14:paraId="70E7CA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вышло Постановление ГКО № 2400 О материально-техническом обеспечении авиационной промышленности в IV квартале 1942 года. РГАНИР, Фонд ГКО, д. 63, лл. 71-90, 91-145 (11012).</w:t>
      </w:r>
    </w:p>
    <w:p w14:paraId="07525F9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E2ABC2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8815E97" w14:textId="77777777" w:rsidR="00090C9B" w:rsidRPr="00722885" w:rsidRDefault="00090C9B" w:rsidP="00722885">
      <w:pPr>
        <w:pStyle w:val="Iauiue"/>
        <w:jc w:val="both"/>
        <w:rPr>
          <w:iCs/>
          <w:color w:val="000000" w:themeColor="text1"/>
          <w:sz w:val="16"/>
          <w:szCs w:val="16"/>
        </w:rPr>
      </w:pPr>
    </w:p>
    <w:p w14:paraId="26169DB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10 октября 1942 г. на наклонных бортах корпуса танка Т-34 на ЧКЗ стали устанавливаться три до</w:t>
      </w:r>
      <w:r w:rsidRPr="00722885">
        <w:rPr>
          <w:rFonts w:ascii="Times New Roman" w:hAnsi="Times New Roman"/>
          <w:color w:val="000000" w:themeColor="text1"/>
          <w:sz w:val="16"/>
          <w:szCs w:val="16"/>
        </w:rPr>
        <w:softHyphen/>
        <w:t>полнительных топливных бака, а на наклонном кормовом листе - при</w:t>
      </w:r>
      <w:r w:rsidRPr="00722885">
        <w:rPr>
          <w:rFonts w:ascii="Times New Roman" w:hAnsi="Times New Roman"/>
          <w:color w:val="000000" w:themeColor="text1"/>
          <w:sz w:val="16"/>
          <w:szCs w:val="16"/>
        </w:rPr>
        <w:softHyphen/>
        <w:t>варивались кронштейны для крепления печки. Начиная с этого же вре</w:t>
      </w:r>
      <w:r w:rsidRPr="00722885">
        <w:rPr>
          <w:rFonts w:ascii="Times New Roman" w:hAnsi="Times New Roman"/>
          <w:color w:val="000000" w:themeColor="text1"/>
          <w:sz w:val="16"/>
          <w:szCs w:val="16"/>
        </w:rPr>
        <w:softHyphen/>
        <w:t>мени, на всех танках Т-34 на 20 выстрелов была увеличена емкость бое-укладки (10703).</w:t>
      </w:r>
    </w:p>
    <w:p w14:paraId="4CACA38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60997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ГКО принял постановление N 2429cc о создании легких и средних САУ и поручили заводу 592 и Уралмашзаводу. ТТТ предусматривали использование без изменений основных узлов 122 мм гаубицы М-30 и моторно-трансмиссионных агрегатов Т-34 (4406).</w:t>
      </w:r>
    </w:p>
    <w:p w14:paraId="08F2E6F8" w14:textId="77777777" w:rsidR="00090C9B" w:rsidRPr="00722885" w:rsidRDefault="00090C9B" w:rsidP="00722885">
      <w:pPr>
        <w:pStyle w:val="Iauiue"/>
        <w:jc w:val="both"/>
        <w:rPr>
          <w:color w:val="000000" w:themeColor="text1"/>
          <w:sz w:val="16"/>
          <w:szCs w:val="16"/>
        </w:rPr>
      </w:pPr>
    </w:p>
    <w:p w14:paraId="699377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вышло Постановление ГКО № 2392 О плане производства танков, танковых моторов и корпусов в IV квартале 1942 г. и о материально-техническом обеспечении танковой промышленности. РГАНИР, Фонд ГКО, д. 62, лл. 7-38, 39-155 (11012).</w:t>
      </w:r>
    </w:p>
    <w:p w14:paraId="5952FD8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FD553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г. по приказу № 761с новостройка завода № 336 НКАП /г. Саратов/ передана под размещение автобронетанковой рембазы № 7 ГАБТУ НКО, эвакуированной из Астрахани.</w:t>
      </w:r>
    </w:p>
    <w:p w14:paraId="15EF45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(1939 г.-)- Ворожбиев (11982).</w:t>
      </w:r>
    </w:p>
    <w:p w14:paraId="173A1C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Завод № 328 МПСС, п/я 122, Завод, ПО «Тантал», А-1104, В-8387, ОАО «Тантал» /410040  г. Саратов пр. 50 лет Октября, 110А тел. 48-41-83/</w:t>
      </w:r>
    </w:p>
    <w:p w14:paraId="2B6288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328 МПСС создан в 1949 г. на базе танковых ремонтных мастерских для производства электро- и радиоламп. Затем имело наименование «предприятие- п/я 122», затем - завод «Тантал».</w:t>
      </w:r>
    </w:p>
    <w:p w14:paraId="7E1E41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Выпускало СВЧ вакуумные и твердотельные генераторы, усилители.</w:t>
      </w:r>
    </w:p>
    <w:p w14:paraId="69C76E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04.1977 г. в составе ПО «Тантал»- завод «Радон». При заводе «Тантал» действовало ОКБ. ПО «Тантал» имело наименования «п/я А-1104, В-8387».</w:t>
      </w:r>
    </w:p>
    <w:p w14:paraId="22E2A3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6BAF25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Направления работ (2005 г.): СВЧ техника; прецизионное оборудование, интерферометрические приборы; высокоточная механическая обработка металлов; инструментальное производство; ПВХ профиль, оборудование для производства ПВХ конструкций; комплектующие для РЭА; гальванические покрытия; капремонт электродвигателей; комплектующие для полиграфического оборудования.</w:t>
      </w:r>
    </w:p>
    <w:p w14:paraId="39303C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2005 г. имело около 40 дочерних предприятий. Созданы КБ: «КБКТ», «Магнон», «Приборов-0-типа». В 2000 г. в Австрии приобретено оборудование для производства ПВХ профиля, 1.03.2004 г. вступил в строй завод по производству ПВХ профиля «Тантроник» и металлопластиковых конструкций.</w:t>
      </w:r>
    </w:p>
    <w:p w14:paraId="0A94A3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(1949 г.)- С.Н. Злобин, (1950-53 г.)- В.П. Шевченко, (1953-54 г.)-  Г.В. Васильев, (1954-57 г.)- П.Е. Зинеев, (1957-59 г.)- А.А. Клишин, (1959-60 г.)-  Г.Н. Чуранов, (1960-97 г.)-  Г.А. Умнов.</w:t>
      </w:r>
    </w:p>
    <w:p w14:paraId="033EDF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 конструктор (2007 г.)- А.В. Ляшенко.</w:t>
      </w:r>
    </w:p>
    <w:p w14:paraId="1E0DD5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магнетроны (1950-е), электронная СВЧ-аппаратура (1981).</w:t>
      </w:r>
    </w:p>
    <w:p w14:paraId="13B9E5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завода «Тантал», Г-4355, ЗАО «ОКБ-Тантал»</w:t>
      </w:r>
    </w:p>
    <w:p w14:paraId="5D9C5D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г. Саратов/</w:t>
      </w:r>
    </w:p>
    <w:p w14:paraId="52C873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имело наименование «п/я Г-4355».</w:t>
      </w:r>
    </w:p>
    <w:p w14:paraId="6F10F9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13.11.2008 г. предприятие признано банкротом, открыто конкурсное производство сроком на 1 год.</w:t>
      </w:r>
    </w:p>
    <w:p w14:paraId="7941F5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Конкурсный управляющий (11.2008 г.-)- А.Н. Любименко (11982).</w:t>
      </w:r>
    </w:p>
    <w:p w14:paraId="726D7B6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D23B0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октября 1942 крейсер "Киров" встал на ремонт и зимнюю консервацию. К 20 октября балтийцы закончили эту работу (10671).</w:t>
      </w:r>
    </w:p>
    <w:p w14:paraId="0D36099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D1BCF6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EEFCC66" w14:textId="77777777" w:rsidR="00090C9B" w:rsidRPr="00722885" w:rsidRDefault="00090C9B" w:rsidP="00722885">
      <w:pPr>
        <w:pStyle w:val="Iauiue"/>
        <w:jc w:val="both"/>
        <w:rPr>
          <w:iCs/>
          <w:color w:val="000000" w:themeColor="text1"/>
          <w:sz w:val="16"/>
          <w:szCs w:val="16"/>
        </w:rPr>
      </w:pPr>
    </w:p>
    <w:p w14:paraId="3081512D"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10 октября </w:t>
      </w:r>
      <w:r w:rsidRPr="00722885">
        <w:rPr>
          <w:rFonts w:ascii="Times New Roman" w:hAnsi="Times New Roman"/>
          <w:color w:val="000000" w:themeColor="text1"/>
          <w:sz w:val="16"/>
          <w:szCs w:val="16"/>
        </w:rPr>
        <w:t>в 1942 году утреннее сообщение Совинформбюро:</w:t>
      </w:r>
    </w:p>
    <w:p w14:paraId="6C14094E"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10 октября наши войска вели бои с противником в районе Сталинграда и в районе Моздока. На других фронтах никаких изменений не произошло.</w:t>
      </w:r>
    </w:p>
    <w:p w14:paraId="57B5ECFF"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продолжали оборону занимаемых позиций и отражали атаки мелких групп пехоты противника. На участке Н-ской части немецкая пехота силою до роты пыталась проникнуть к нашему опорному пункту. Пулемётным и миномётным огнём наших подразделений гитлеровцы были рассеяны и отступили на исходные позиции. На других участках происходила артиллерийская и миномётная перестрелка.</w:t>
      </w:r>
    </w:p>
    <w:p w14:paraId="7951CF9F"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одной нашей части отбили пять контратак немецкой пехоты. B результате боя уничтожено до 200 гитлеровцев, 5 пулемётов и 3 миномёта. На другом участке наш разведывательный отряд ночью проник в расположение немцев. В короткой схватке наши бойцы уничтожили до 70 вражеских солдат и офицеров. Взорван склад боеприпасов противника.</w:t>
      </w:r>
    </w:p>
    <w:p w14:paraId="5296F08F"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отбивали атаки противника. На одном участке гитлеровцы при поддержке танков три раза пытались прорвать нашу оборону. Атаки противника отбиты. Нашими бойцами уничтожено 3 танка, 7 автомашин и до роты немецкой пехоты.</w:t>
      </w:r>
    </w:p>
    <w:p w14:paraId="03978A13"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в течение трёх дней гитлеровцы атакуют одиннаселённый пункт. Действующая на этом участке часть под командованием тов. Рыжова уничтожила до батальона немецких солдат и офицеров. Подтянув новые силыпехоты и танков, противнику удалось проникнуть на окраину населённого пункта.Наши бойцы ведут упорные бои, истребляя прорвавшихся гитлеровцев.</w:t>
      </w:r>
    </w:p>
    <w:p w14:paraId="6798B27F"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активными действиями наших снайперов и разведчиков, а также артиллерийским и миномётным огнём истреблено до 200 вражеских солдат иофицеров, разрушено 18 ДЗОТ'ов и 12 блиндажей, уничтожены 4 орудия, 2 миномётные батареи противника.</w:t>
      </w:r>
    </w:p>
    <w:p w14:paraId="6804A9CC"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Огнём нашей зенитной артиллерии на подступах к Ленинграду сбито 6 немецких бомбардировщиков "Юнкерс-87».</w:t>
      </w:r>
    </w:p>
    <w:p w14:paraId="15F2D406"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советский лётчик сбил немецкий бомбардировщик «Хейнкель-111». Экипаж взят в плен. Лётчик-наблюдатель этого самолёта Вилли Майстер рассказал: «За две недели наш отряд потерял пять самолётов из девяти. Экипажи сбитых самолётов убиты либо попали в плен. Крупные потери понесли и другие отряды. Немецкое командование стянуло к Сталинграду огромное количествовойск, танков и самолётов. Нам говорили, что город будет взят за четыре дня, но кровопролитные бои продолжаются уже два месяца. Никто не ожидал такого ожесточённого сопротивления русских. Офицеры пытаются объяснить неудачу немецких войск неблагоприятными природными условиями. Приближающаяся зима пугает не только солдат, но и офицеров. Многие думают, что немецкая армия не выдержит второй русской зимы, и со страхом ждут развязки».</w:t>
      </w:r>
    </w:p>
    <w:p w14:paraId="1FBCA6A6"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11 роты 204 полка 97 немецкой пехотной дивизии Фридрих Зуппан сообщил: "Получив пополнение, наша рота в конце сентября насчитывала 140 человек. В первых же боях мы потеряли убитыми и ранеными 116 человек. Из строя выбыли командир роты лейтенант Лахимеер, командиры взводов фельдфебель Киллингер, обер-фельдфебель Краммингер и унтер-офицер Райлих. Наиболее крупные потери причинили нам русские миномёты».</w:t>
      </w:r>
    </w:p>
    <w:p w14:paraId="2351F830"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ограбили всех жителей деревни Александровка, Ростовской области, а потом подожгли дома. Огнём уничтожены 94 дома колхозников и все хозяйственные постройки. Гитлеровцы замучили и расстреляли в этой деревне 60 крестьян. Колхозника Дудина Ивана Матвеевича, его жену Прасковью Ивановну, сына Владимира, дочь Татьяну и внука Юру фашистские изверги загнали в погреб и забросали гранатами.</w:t>
      </w:r>
    </w:p>
    <w:p w14:paraId="1AAB00AA"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Польские патриоты на одной железнодорожной станции в районе Радома сожгли состав с горючим, следовавший на советско-германский фронт.» (14795).</w:t>
      </w:r>
    </w:p>
    <w:p w14:paraId="2D452837" w14:textId="77777777" w:rsidR="00845E49" w:rsidRPr="00722885" w:rsidRDefault="00845E49" w:rsidP="00722885">
      <w:pPr>
        <w:spacing w:after="0" w:line="240" w:lineRule="auto"/>
        <w:jc w:val="both"/>
        <w:rPr>
          <w:rFonts w:ascii="Times New Roman" w:hAnsi="Times New Roman"/>
          <w:color w:val="000000" w:themeColor="text1"/>
          <w:sz w:val="16"/>
          <w:szCs w:val="16"/>
        </w:rPr>
      </w:pPr>
    </w:p>
    <w:p w14:paraId="51249122"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10 октября </w:t>
      </w:r>
      <w:r w:rsidRPr="00722885">
        <w:rPr>
          <w:rFonts w:ascii="Times New Roman" w:hAnsi="Times New Roman"/>
          <w:color w:val="000000" w:themeColor="text1"/>
          <w:sz w:val="16"/>
          <w:szCs w:val="16"/>
        </w:rPr>
        <w:t>в 1942 году вечернее сообщение Совинформбюро:</w:t>
      </w:r>
    </w:p>
    <w:p w14:paraId="02E0A650"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10 октября наши войска вели бои с противником в районе северо-западнее Сталинграда и в районе Моздока. На других фронтах существенных изменений не произошло.</w:t>
      </w:r>
    </w:p>
    <w:p w14:paraId="7F59002F"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9 октября нашей авиацией на различных участках фронта уничтожено или повреждено 12 немецких танков, до 40 автомашин с войсками, подавлен огонь 7 артиллерийских батарей, рассеяно и частью уничтожено до батальона пехоты противника.</w:t>
      </w:r>
    </w:p>
    <w:p w14:paraId="146902F7"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закреплялись на прежних позициях и вели разведку противника. Артиллеристы и гвардейцы-миномётчики произвели несколько огневых налётов по скоплению противника. В результате огня наших батарей подбито и сожжено 15 немецких танков и уничтожено более роты пехоты противника. На одном участке отряд гитлеровцев пытался проникнуть в глубь нашей обороны. Немецко-фашистские мерзавцы, приближаясь к нашим позициям, гнали впереди себя группу советских женщин и детей. Красноармейцы Н-ской части через развалины домов быстро пробрались на соседнюю улицу и, действуя с фланга, истребили фашистских бандитов. Советские женщины и дети были спасены.</w:t>
      </w:r>
    </w:p>
    <w:p w14:paraId="1BA379E7"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частью сил вели бои местного значенияи улучшили свои позиции. На участке Н-ского соединения немцы пытались атаковатьодну нашу часть. Миномётным и пулемётным огнём гитлеровцы были отброшены,оставив на поле боя до 300 трупов своих солдат и офицеров. Захвачены трофеи ипленные. На другом участке батальон немецкой пехоты переправился на левый берег реки Дон. Наши части вступили в бой с противником и к исходу дня вышибли переправившихся через реку гитлеровцев. Противник понёс значительные потери.</w:t>
      </w:r>
    </w:p>
    <w:p w14:paraId="698840EC"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оборонительные бои. Бойцы Н-ского соединенияв течение дня отбили четыре атаки противника и истребили до 200 немецких солдати офицеров. Повреждено 2 и сожжено 3 немецких танка, подавлен огонь артиллерийской и двух миномётных батарей. На другом участке огнём нашей артиллерии рассеяно крупное скопление танков и автомашин с пехотой противника.</w:t>
      </w:r>
    </w:p>
    <w:p w14:paraId="2B2F8BCE"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одна наша часть морской пехоты в течение нескольких дней вела ожесточённые бои с противником. В результате этих боёв уничтожено до 1.500 немецких солдат и офицеров. Краснофлотцами захвачены 5 орудий, 14 пулемётов, 5 миномётов, 300 винтовок, 94 тысячи винтовочных патронов и другие трофеи.</w:t>
      </w:r>
    </w:p>
    <w:p w14:paraId="5A133128"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происходила артиллерийская перестрелка и поиски разведчиков. B течение дня огнём наших артиллеристов, снайперов и разведчиков на разных участках фронта истреблено до 600 солдат и офицеров противника.</w:t>
      </w:r>
    </w:p>
    <w:p w14:paraId="2D51A4C6"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смоленских партизан организовал крушение железнодорожного эшелона немецко-фашистских оккупантов. Разбито 18 вагонов. Почти все находившиеся в них немецкие солдаты погибли. Партизаны другого отряда за неделю активных действий истребили 80 гитлеровцев, уничтожили 7 автомашин и захватили 2 пулемёта, 40 винтовок и много боеприпасов.</w:t>
      </w:r>
    </w:p>
    <w:p w14:paraId="302B0038"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9 роты 71 мотострелкового полка 29 немецкой мотодивизии Альфонс Новак рассказал: «Под Сталинградом наш полк понёс огромные потери. Только за два дня 9 рота потеряла 80 человек убитыми и ранеными. Мы три разаполучали пополнение, но его хватает ненадолго. В составе прибывающего пополнения много пожилых резервистов, которые воюют неохотно. На днях, когда рота отступила, они бросили вооружение и ящики с боеприпасами».</w:t>
      </w:r>
    </w:p>
    <w:p w14:paraId="7CB43856"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Бежавшие из фашистского плена жители села Ивановка, Харьковской области, рассказали следующее: «До прихода немецко-фашистских захватчиков Ивановка была богатым и цветущим селом. Гитлеровцы опустошили село и разграбили всё имуществои продовольствие жителей. Среди колхозников сейчас царит голод. Недавно </w:t>
      </w:r>
      <w:r w:rsidRPr="00722885">
        <w:rPr>
          <w:rFonts w:ascii="Times New Roman" w:hAnsi="Times New Roman"/>
          <w:color w:val="000000" w:themeColor="text1"/>
          <w:sz w:val="16"/>
          <w:szCs w:val="16"/>
        </w:rPr>
        <w:lastRenderedPageBreak/>
        <w:t>был карательный отряд. Немецкие солдаты и офицеры забирали у крестьян буквально последние крохи. Вслед за немецкими грабителями пришли вшивые румыны. Они увели единственную уцелевшую в селе корову, принадлежавшую колхознице Ефросинье Рябининой. Перед уходом румынские бандиты заперли Рябинину и её трёх малолетних детей в хлев и заживо сожгли».</w:t>
      </w:r>
    </w:p>
    <w:p w14:paraId="28E22CD6"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концентрационном лагере Дахау, близ Мюнхена (Германия), томятся несколько тысяч антифашистов. В числе заключённых находятся многие видные учёные и общественные деятели Германии и порабощенных немцами стран. О режиме в этом застенке можно судить по наглому заявлению начальника лагеря, который в присутствии заключённых сказал: «Мы делаем всё возможное, чтобы наши жильцы скорее подохли». За малейшую провинность заключённых жестоко избивают или бросают в карцер. Каждую ночь через карцер проходит 120—150 человек. За три месяца в лагере умерло от голода, болезней и пыток свыше двух тысяч человек.» (14795).</w:t>
      </w:r>
    </w:p>
    <w:p w14:paraId="07DECF4F" w14:textId="77777777" w:rsidR="00845E49" w:rsidRPr="00722885" w:rsidRDefault="00845E49" w:rsidP="00722885">
      <w:pPr>
        <w:spacing w:after="0" w:line="240" w:lineRule="auto"/>
        <w:jc w:val="both"/>
        <w:rPr>
          <w:rFonts w:ascii="Times New Roman" w:hAnsi="Times New Roman"/>
          <w:color w:val="000000" w:themeColor="text1"/>
          <w:sz w:val="16"/>
          <w:szCs w:val="16"/>
        </w:rPr>
      </w:pPr>
    </w:p>
    <w:p w14:paraId="09C3BAB5"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10 октября </w:t>
      </w:r>
      <w:r w:rsidRPr="00722885">
        <w:rPr>
          <w:rFonts w:ascii="Times New Roman" w:hAnsi="Times New Roman"/>
          <w:color w:val="000000" w:themeColor="text1"/>
          <w:sz w:val="16"/>
          <w:szCs w:val="16"/>
        </w:rPr>
        <w:t>в 1942 году завершилась Синявинская операция. Войска Ленинградского фронта отошли на исходные рубежи, сохранив плацдарм на левом берегу Невы в районе Московской Дубровки (14795).</w:t>
      </w:r>
    </w:p>
    <w:p w14:paraId="34DE5D4A" w14:textId="77777777" w:rsidR="00845E49" w:rsidRPr="00722885" w:rsidRDefault="00845E49" w:rsidP="00722885">
      <w:pPr>
        <w:spacing w:after="0" w:line="240" w:lineRule="auto"/>
        <w:jc w:val="both"/>
        <w:rPr>
          <w:rFonts w:ascii="Times New Roman" w:hAnsi="Times New Roman"/>
          <w:color w:val="000000" w:themeColor="text1"/>
          <w:sz w:val="16"/>
          <w:szCs w:val="16"/>
        </w:rPr>
      </w:pPr>
    </w:p>
    <w:p w14:paraId="51ADA7D0" w14:textId="77777777" w:rsidR="00845E49" w:rsidRPr="00722885" w:rsidRDefault="00845E49"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10 октября </w:t>
      </w:r>
      <w:r w:rsidRPr="00722885">
        <w:rPr>
          <w:rFonts w:ascii="Times New Roman" w:hAnsi="Times New Roman"/>
          <w:color w:val="000000" w:themeColor="text1"/>
          <w:sz w:val="16"/>
          <w:szCs w:val="16"/>
        </w:rPr>
        <w:t>в 1942 году начальник Главного политического управления РККА издал директиву о разъяснении личному составу Указа Президиума Верховного Совета СССР «Об установлении полного единоначалия и упразднении института военных комиссаров в Красной Армии» (14795).</w:t>
      </w:r>
    </w:p>
    <w:p w14:paraId="0E0BBECB" w14:textId="77777777" w:rsidR="00845E49" w:rsidRPr="00722885" w:rsidRDefault="00845E49" w:rsidP="00722885">
      <w:pPr>
        <w:spacing w:after="0" w:line="240" w:lineRule="auto"/>
        <w:jc w:val="both"/>
        <w:rPr>
          <w:rFonts w:ascii="Times New Roman" w:hAnsi="Times New Roman"/>
          <w:color w:val="000000" w:themeColor="text1"/>
          <w:sz w:val="16"/>
          <w:szCs w:val="16"/>
        </w:rPr>
      </w:pPr>
    </w:p>
    <w:p w14:paraId="73A318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было первое боевое применение двухместных Ил-2 с АМ-38 и УБТ в боях под Смоленском (3846,18).</w:t>
      </w:r>
    </w:p>
    <w:p w14:paraId="52E683C0" w14:textId="77777777" w:rsidR="00090C9B" w:rsidRPr="00722885" w:rsidRDefault="00090C9B" w:rsidP="00722885">
      <w:pPr>
        <w:pStyle w:val="Iauiue"/>
        <w:jc w:val="both"/>
        <w:rPr>
          <w:color w:val="000000" w:themeColor="text1"/>
          <w:sz w:val="16"/>
          <w:szCs w:val="16"/>
        </w:rPr>
      </w:pPr>
    </w:p>
    <w:p w14:paraId="70594C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советские перегонщики приняли шесть машин С-47, которые перелетели на нашу сторону Берингова пролива и двинулись далее по АЛСИБу-трассе Фэрбэнкс-Красноярск (3457,134).</w:t>
      </w:r>
    </w:p>
    <w:p w14:paraId="2CDD2A82" w14:textId="77777777" w:rsidR="00090C9B" w:rsidRPr="00722885" w:rsidRDefault="00090C9B" w:rsidP="00722885">
      <w:pPr>
        <w:pStyle w:val="Iauiue"/>
        <w:jc w:val="both"/>
        <w:rPr>
          <w:color w:val="000000" w:themeColor="text1"/>
          <w:sz w:val="16"/>
          <w:szCs w:val="16"/>
        </w:rPr>
      </w:pPr>
    </w:p>
    <w:p w14:paraId="3BB4804A" w14:textId="77777777" w:rsidR="00CB6678" w:rsidRPr="00722885" w:rsidRDefault="00CB6678"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6AA602A" w14:textId="77777777" w:rsidR="00CB6678" w:rsidRPr="00722885" w:rsidRDefault="00CB6678" w:rsidP="00722885">
      <w:pPr>
        <w:pStyle w:val="Iauiue"/>
        <w:jc w:val="both"/>
        <w:rPr>
          <w:iCs/>
          <w:color w:val="000000" w:themeColor="text1"/>
          <w:sz w:val="16"/>
          <w:szCs w:val="16"/>
        </w:rPr>
      </w:pPr>
    </w:p>
    <w:p w14:paraId="2137F776" w14:textId="77777777" w:rsidR="00CB6678" w:rsidRPr="00722885" w:rsidRDefault="00CB6678" w:rsidP="00722885">
      <w:pPr>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10 октября 1942. Малый театр после возвращения из эвакуации возобновил сезон пьесой "Отечественная война 1812 года" по роману Л. Н. Толстого "Война и мир". Постановка</w:t>
      </w:r>
      <w:r w:rsidRPr="00722885">
        <w:rPr>
          <w:rFonts w:ascii="Times New Roman" w:hAnsi="Times New Roman"/>
          <w:color w:val="000000" w:themeColor="text1"/>
          <w:sz w:val="16"/>
          <w:szCs w:val="16"/>
          <w:lang w:val="en-US"/>
        </w:rPr>
        <w:t xml:space="preserve"> </w:t>
      </w:r>
      <w:r w:rsidRPr="00722885">
        <w:rPr>
          <w:rFonts w:ascii="Times New Roman" w:hAnsi="Times New Roman"/>
          <w:color w:val="000000" w:themeColor="text1"/>
          <w:sz w:val="16"/>
          <w:szCs w:val="16"/>
        </w:rPr>
        <w:t>И</w:t>
      </w:r>
      <w:r w:rsidRPr="00722885">
        <w:rPr>
          <w:rFonts w:ascii="Times New Roman" w:hAnsi="Times New Roman"/>
          <w:color w:val="000000" w:themeColor="text1"/>
          <w:sz w:val="16"/>
          <w:szCs w:val="16"/>
          <w:lang w:val="en-US"/>
        </w:rPr>
        <w:t xml:space="preserve">. </w:t>
      </w:r>
      <w:r w:rsidRPr="00722885">
        <w:rPr>
          <w:rFonts w:ascii="Times New Roman" w:hAnsi="Times New Roman"/>
          <w:color w:val="000000" w:themeColor="text1"/>
          <w:sz w:val="16"/>
          <w:szCs w:val="16"/>
        </w:rPr>
        <w:t>Судакова</w:t>
      </w:r>
      <w:r w:rsidRPr="00722885">
        <w:rPr>
          <w:rFonts w:ascii="Times New Roman" w:hAnsi="Times New Roman"/>
          <w:color w:val="000000" w:themeColor="text1"/>
          <w:sz w:val="16"/>
          <w:szCs w:val="16"/>
          <w:lang w:val="en-US"/>
        </w:rPr>
        <w:t xml:space="preserve"> </w:t>
      </w:r>
      <w:r w:rsidRPr="00722885">
        <w:rPr>
          <w:rFonts w:ascii="Times New Roman" w:hAnsi="Times New Roman"/>
          <w:color w:val="000000" w:themeColor="text1"/>
          <w:sz w:val="16"/>
          <w:szCs w:val="16"/>
        </w:rPr>
        <w:t>и</w:t>
      </w:r>
      <w:r w:rsidRPr="00722885">
        <w:rPr>
          <w:rFonts w:ascii="Times New Roman" w:hAnsi="Times New Roman"/>
          <w:color w:val="000000" w:themeColor="text1"/>
          <w:sz w:val="16"/>
          <w:szCs w:val="16"/>
          <w:lang w:val="en-US"/>
        </w:rPr>
        <w:t xml:space="preserve"> </w:t>
      </w:r>
      <w:r w:rsidRPr="00722885">
        <w:rPr>
          <w:rFonts w:ascii="Times New Roman" w:hAnsi="Times New Roman"/>
          <w:color w:val="000000" w:themeColor="text1"/>
          <w:sz w:val="16"/>
          <w:szCs w:val="16"/>
        </w:rPr>
        <w:t>С</w:t>
      </w:r>
      <w:r w:rsidRPr="00722885">
        <w:rPr>
          <w:rFonts w:ascii="Times New Roman" w:hAnsi="Times New Roman"/>
          <w:color w:val="000000" w:themeColor="text1"/>
          <w:sz w:val="16"/>
          <w:szCs w:val="16"/>
          <w:lang w:val="en-US"/>
        </w:rPr>
        <w:t xml:space="preserve">. </w:t>
      </w:r>
      <w:r w:rsidRPr="00722885">
        <w:rPr>
          <w:rFonts w:ascii="Times New Roman" w:hAnsi="Times New Roman"/>
          <w:color w:val="000000" w:themeColor="text1"/>
          <w:sz w:val="16"/>
          <w:szCs w:val="16"/>
        </w:rPr>
        <w:t>Алексеева</w:t>
      </w:r>
      <w:r w:rsidRPr="00722885">
        <w:rPr>
          <w:rFonts w:ascii="Times New Roman" w:hAnsi="Times New Roman"/>
          <w:color w:val="000000" w:themeColor="text1"/>
          <w:sz w:val="16"/>
          <w:szCs w:val="16"/>
          <w:lang w:val="en-US"/>
        </w:rPr>
        <w:t xml:space="preserve"> (18696).</w:t>
      </w:r>
    </w:p>
    <w:p w14:paraId="7B1D394A" w14:textId="77777777" w:rsidR="00CB6678" w:rsidRPr="00722885" w:rsidRDefault="00CB6678" w:rsidP="00722885">
      <w:pPr>
        <w:spacing w:after="0" w:line="240" w:lineRule="auto"/>
        <w:jc w:val="both"/>
        <w:rPr>
          <w:rFonts w:ascii="Times New Roman" w:hAnsi="Times New Roman"/>
          <w:color w:val="000000" w:themeColor="text1"/>
          <w:sz w:val="16"/>
          <w:szCs w:val="16"/>
          <w:lang w:val="en-US"/>
        </w:rPr>
      </w:pPr>
    </w:p>
    <w:p w14:paraId="2B2BBA67"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479AD842" w14:textId="77777777" w:rsidR="00090C9B" w:rsidRPr="00722885" w:rsidRDefault="00090C9B" w:rsidP="00722885">
      <w:pPr>
        <w:pStyle w:val="Iauiue"/>
        <w:jc w:val="both"/>
        <w:rPr>
          <w:iCs/>
          <w:color w:val="000000" w:themeColor="text1"/>
          <w:sz w:val="16"/>
          <w:szCs w:val="16"/>
          <w:lang w:val="en-US"/>
        </w:rPr>
      </w:pPr>
    </w:p>
    <w:p w14:paraId="1A6749D3"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10, 1942: German and Italian bomber forces begin a major offensive against the British island of Malta in the Mediterranean (3819).</w:t>
      </w:r>
    </w:p>
    <w:p w14:paraId="0787E212" w14:textId="77777777" w:rsidR="00090C9B" w:rsidRPr="00722885" w:rsidRDefault="00090C9B" w:rsidP="00722885">
      <w:pPr>
        <w:pStyle w:val="Iauiue"/>
        <w:jc w:val="both"/>
        <w:rPr>
          <w:color w:val="000000" w:themeColor="text1"/>
          <w:sz w:val="16"/>
          <w:szCs w:val="16"/>
          <w:lang w:val="en-US"/>
        </w:rPr>
      </w:pPr>
    </w:p>
    <w:p w14:paraId="02F88B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октября 1942 германские и итальянские бомбардировщики начали атаки Мальты (3819).</w:t>
      </w:r>
    </w:p>
    <w:p w14:paraId="141736D3" w14:textId="77777777" w:rsidR="00090C9B" w:rsidRPr="00722885" w:rsidRDefault="00090C9B" w:rsidP="00722885">
      <w:pPr>
        <w:pStyle w:val="Iauiue"/>
        <w:jc w:val="both"/>
        <w:rPr>
          <w:color w:val="000000" w:themeColor="text1"/>
          <w:sz w:val="16"/>
          <w:szCs w:val="16"/>
        </w:rPr>
      </w:pPr>
    </w:p>
    <w:p w14:paraId="599EF4D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2242284" w14:textId="77777777" w:rsidR="00090C9B" w:rsidRPr="00722885" w:rsidRDefault="00090C9B" w:rsidP="00722885">
      <w:pPr>
        <w:pStyle w:val="Iauiue"/>
        <w:jc w:val="both"/>
        <w:rPr>
          <w:iCs/>
          <w:color w:val="000000" w:themeColor="text1"/>
          <w:sz w:val="16"/>
          <w:szCs w:val="16"/>
        </w:rPr>
      </w:pPr>
    </w:p>
    <w:p w14:paraId="7F4CFB3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ок</w:t>
      </w:r>
      <w:r w:rsidRPr="00722885">
        <w:rPr>
          <w:rFonts w:ascii="Times New Roman" w:hAnsi="Times New Roman"/>
          <w:color w:val="000000" w:themeColor="text1"/>
          <w:sz w:val="16"/>
          <w:szCs w:val="16"/>
        </w:rPr>
        <w:softHyphen/>
        <w:t>тября 1942 года Главный инженер ВВС КА А.К. Репиным утвердил отчет по войсковым испытаниям первых трех серий</w:t>
      </w:r>
      <w:r w:rsidRPr="00722885">
        <w:rPr>
          <w:rFonts w:ascii="Times New Roman" w:hAnsi="Times New Roman"/>
          <w:color w:val="000000" w:themeColor="text1"/>
          <w:sz w:val="16"/>
          <w:szCs w:val="16"/>
        </w:rPr>
        <w:softHyphen/>
        <w:t>ных самолетов Ту-2 (№№101, 102 и 201), которые проходили с 16 сентября по 3 октября 1942 года в 3-й ВА на Калининском фрон</w:t>
      </w:r>
      <w:r w:rsidRPr="00722885">
        <w:rPr>
          <w:rFonts w:ascii="Times New Roman" w:hAnsi="Times New Roman"/>
          <w:color w:val="000000" w:themeColor="text1"/>
          <w:sz w:val="16"/>
          <w:szCs w:val="16"/>
        </w:rPr>
        <w:softHyphen/>
        <w:t>те. Моторы М-82 на них стояли 1-й серии с электроинерционным само</w:t>
      </w:r>
      <w:r w:rsidRPr="00722885">
        <w:rPr>
          <w:rFonts w:ascii="Times New Roman" w:hAnsi="Times New Roman"/>
          <w:color w:val="000000" w:themeColor="text1"/>
          <w:sz w:val="16"/>
          <w:szCs w:val="16"/>
        </w:rPr>
        <w:softHyphen/>
        <w:t>пуском. За время испытаний в тече</w:t>
      </w:r>
      <w:r w:rsidRPr="00722885">
        <w:rPr>
          <w:rFonts w:ascii="Times New Roman" w:hAnsi="Times New Roman"/>
          <w:color w:val="000000" w:themeColor="text1"/>
          <w:sz w:val="16"/>
          <w:szCs w:val="16"/>
        </w:rPr>
        <w:softHyphen/>
        <w:t>ние 9 летных дней было выполнено 48 самолето-вылетов при общем налете 76 ч 20 мин, из них на боевые зада</w:t>
      </w:r>
      <w:r w:rsidRPr="00722885">
        <w:rPr>
          <w:rFonts w:ascii="Times New Roman" w:hAnsi="Times New Roman"/>
          <w:color w:val="000000" w:themeColor="text1"/>
          <w:sz w:val="16"/>
          <w:szCs w:val="16"/>
        </w:rPr>
        <w:softHyphen/>
        <w:t>ния — 25 вылетов с налетом 64 ч 41 мин. При выполнении боевых действий звеном Ту-2 было сброшено по раз</w:t>
      </w:r>
      <w:r w:rsidRPr="00722885">
        <w:rPr>
          <w:rFonts w:ascii="Times New Roman" w:hAnsi="Times New Roman"/>
          <w:color w:val="000000" w:themeColor="text1"/>
          <w:sz w:val="16"/>
          <w:szCs w:val="16"/>
        </w:rPr>
        <w:softHyphen/>
        <w:t>личным целям 40100 кг бомб калиб</w:t>
      </w:r>
      <w:r w:rsidRPr="00722885">
        <w:rPr>
          <w:rFonts w:ascii="Times New Roman" w:hAnsi="Times New Roman"/>
          <w:color w:val="000000" w:themeColor="text1"/>
          <w:sz w:val="16"/>
          <w:szCs w:val="16"/>
        </w:rPr>
        <w:softHyphen/>
        <w:t>ра от 100 до 1000 кг. Встреч с истре</w:t>
      </w:r>
      <w:r w:rsidRPr="00722885">
        <w:rPr>
          <w:rFonts w:ascii="Times New Roman" w:hAnsi="Times New Roman"/>
          <w:color w:val="000000" w:themeColor="text1"/>
          <w:sz w:val="16"/>
          <w:szCs w:val="16"/>
        </w:rPr>
        <w:softHyphen/>
        <w:t>бителями противника и поражения зенитным огнем в процессе испыта ний не произошло.</w:t>
      </w:r>
    </w:p>
    <w:p w14:paraId="474D6D7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 по самолету гласило: «В самолете Ту-2 с двумя мотора</w:t>
      </w:r>
      <w:r w:rsidRPr="00722885">
        <w:rPr>
          <w:rFonts w:ascii="Times New Roman" w:hAnsi="Times New Roman"/>
          <w:color w:val="000000" w:themeColor="text1"/>
          <w:sz w:val="16"/>
          <w:szCs w:val="16"/>
        </w:rPr>
        <w:softHyphen/>
        <w:t>ми М-82 правильно разрешена так</w:t>
      </w:r>
      <w:r w:rsidRPr="00722885">
        <w:rPr>
          <w:rFonts w:ascii="Times New Roman" w:hAnsi="Times New Roman"/>
          <w:color w:val="000000" w:themeColor="text1"/>
          <w:sz w:val="16"/>
          <w:szCs w:val="16"/>
        </w:rPr>
        <w:softHyphen/>
        <w:t>тическая схема современного бомбар</w:t>
      </w:r>
      <w:r w:rsidRPr="00722885">
        <w:rPr>
          <w:rFonts w:ascii="Times New Roman" w:hAnsi="Times New Roman"/>
          <w:color w:val="000000" w:themeColor="text1"/>
          <w:sz w:val="16"/>
          <w:szCs w:val="16"/>
        </w:rPr>
        <w:softHyphen/>
        <w:t>дировщика. Его положительными бо</w:t>
      </w:r>
      <w:r w:rsidRPr="00722885">
        <w:rPr>
          <w:rFonts w:ascii="Times New Roman" w:hAnsi="Times New Roman"/>
          <w:color w:val="000000" w:themeColor="text1"/>
          <w:sz w:val="16"/>
          <w:szCs w:val="16"/>
        </w:rPr>
        <w:softHyphen/>
        <w:t>евыми свойствами являются:</w:t>
      </w:r>
    </w:p>
    <w:p w14:paraId="006CCF4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Большая бомбовая нагрузка при достаточном радиусе действия.</w:t>
      </w:r>
    </w:p>
    <w:p w14:paraId="6958FCA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Наличие моторов воздушного охлаждения.</w:t>
      </w:r>
    </w:p>
    <w:p w14:paraId="15E2A54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Хорошая огневая схема, являю</w:t>
      </w:r>
      <w:r w:rsidRPr="00722885">
        <w:rPr>
          <w:rFonts w:ascii="Times New Roman" w:hAnsi="Times New Roman"/>
          <w:color w:val="000000" w:themeColor="text1"/>
          <w:sz w:val="16"/>
          <w:szCs w:val="16"/>
        </w:rPr>
        <w:softHyphen/>
        <w:t>щаяся эффективной при установке тяжелых пулеметов и пушек.</w:t>
      </w:r>
    </w:p>
    <w:p w14:paraId="32EAB88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Экипаж 4 чел. И его размеще</w:t>
      </w:r>
      <w:r w:rsidRPr="00722885">
        <w:rPr>
          <w:rFonts w:ascii="Times New Roman" w:hAnsi="Times New Roman"/>
          <w:color w:val="000000" w:themeColor="text1"/>
          <w:sz w:val="16"/>
          <w:szCs w:val="16"/>
        </w:rPr>
        <w:softHyphen/>
        <w:t>ние, обеспечивающее надежно бое</w:t>
      </w:r>
      <w:r w:rsidRPr="00722885">
        <w:rPr>
          <w:rFonts w:ascii="Times New Roman" w:hAnsi="Times New Roman"/>
          <w:color w:val="000000" w:themeColor="text1"/>
          <w:sz w:val="16"/>
          <w:szCs w:val="16"/>
        </w:rPr>
        <w:softHyphen/>
        <w:t>вую работу штурману и летчику.</w:t>
      </w:r>
    </w:p>
    <w:p w14:paraId="71B708C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Возможность полета на одном моторе.</w:t>
      </w:r>
    </w:p>
    <w:p w14:paraId="15D8E1C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Легкость освоения летным со</w:t>
      </w:r>
      <w:r w:rsidRPr="00722885">
        <w:rPr>
          <w:rFonts w:ascii="Times New Roman" w:hAnsi="Times New Roman"/>
          <w:color w:val="000000" w:themeColor="text1"/>
          <w:sz w:val="16"/>
          <w:szCs w:val="16"/>
        </w:rPr>
        <w:softHyphen/>
        <w:t>ставом после самолета Пе-2...</w:t>
      </w:r>
    </w:p>
    <w:p w14:paraId="3C59A81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Благодаря наличию моторов воз</w:t>
      </w:r>
      <w:r w:rsidRPr="00722885">
        <w:rPr>
          <w:rFonts w:ascii="Times New Roman" w:hAnsi="Times New Roman"/>
          <w:color w:val="000000" w:themeColor="text1"/>
          <w:sz w:val="16"/>
          <w:szCs w:val="16"/>
        </w:rPr>
        <w:softHyphen/>
        <w:t>душного охлаждения самолет Ту-2 имеет повышенную живучесть по от</w:t>
      </w:r>
      <w:r w:rsidRPr="00722885">
        <w:rPr>
          <w:rFonts w:ascii="Times New Roman" w:hAnsi="Times New Roman"/>
          <w:color w:val="000000" w:themeColor="text1"/>
          <w:sz w:val="16"/>
          <w:szCs w:val="16"/>
        </w:rPr>
        <w:softHyphen/>
        <w:t>ношению однотипного самолета с моторами жидкостного охлаждения (напр. Пе-2). Однако живучесть са</w:t>
      </w:r>
      <w:r w:rsidRPr="00722885">
        <w:rPr>
          <w:rFonts w:ascii="Times New Roman" w:hAnsi="Times New Roman"/>
          <w:color w:val="000000" w:themeColor="text1"/>
          <w:sz w:val="16"/>
          <w:szCs w:val="16"/>
        </w:rPr>
        <w:softHyphen/>
        <w:t>молета Ту-2 значительно снижается уязвимостью бензосистемы и систе</w:t>
      </w:r>
      <w:r w:rsidRPr="00722885">
        <w:rPr>
          <w:rFonts w:ascii="Times New Roman" w:hAnsi="Times New Roman"/>
          <w:color w:val="000000" w:themeColor="text1"/>
          <w:sz w:val="16"/>
          <w:szCs w:val="16"/>
        </w:rPr>
        <w:softHyphen/>
        <w:t>мы гидравлики...»</w:t>
      </w:r>
    </w:p>
    <w:p w14:paraId="56935C2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Моторы М-82 в процессе испыта</w:t>
      </w:r>
      <w:r w:rsidRPr="00722885">
        <w:rPr>
          <w:rFonts w:ascii="Times New Roman" w:hAnsi="Times New Roman"/>
          <w:color w:val="000000" w:themeColor="text1"/>
          <w:sz w:val="16"/>
          <w:szCs w:val="16"/>
        </w:rPr>
        <w:softHyphen/>
        <w:t>ний Ту-2 работали надежно. Темпе</w:t>
      </w:r>
      <w:r w:rsidRPr="00722885">
        <w:rPr>
          <w:rFonts w:ascii="Times New Roman" w:hAnsi="Times New Roman"/>
          <w:color w:val="000000" w:themeColor="text1"/>
          <w:sz w:val="16"/>
          <w:szCs w:val="16"/>
        </w:rPr>
        <w:softHyphen/>
        <w:t>ратурные режимы, как правило, сохра</w:t>
      </w:r>
      <w:r w:rsidRPr="00722885">
        <w:rPr>
          <w:rFonts w:ascii="Times New Roman" w:hAnsi="Times New Roman"/>
          <w:color w:val="000000" w:themeColor="text1"/>
          <w:sz w:val="16"/>
          <w:szCs w:val="16"/>
        </w:rPr>
        <w:softHyphen/>
        <w:t>нялись в пределах нормы. Во второй части испытаний на отдельных мото</w:t>
      </w:r>
      <w:r w:rsidRPr="00722885">
        <w:rPr>
          <w:rFonts w:ascii="Times New Roman" w:hAnsi="Times New Roman"/>
          <w:color w:val="000000" w:themeColor="text1"/>
          <w:sz w:val="16"/>
          <w:szCs w:val="16"/>
        </w:rPr>
        <w:softHyphen/>
        <w:t>рах наблюдалась тряска. Причинами тряски являлись: преждевременный выход из строя свечей ВГ-12 (через 10-12 часов), биение коков винтов из-за плохой балансировки и быстрого износа центрирующих колец, наруше</w:t>
      </w:r>
      <w:r w:rsidRPr="00722885">
        <w:rPr>
          <w:rFonts w:ascii="Times New Roman" w:hAnsi="Times New Roman"/>
          <w:color w:val="000000" w:themeColor="text1"/>
          <w:sz w:val="16"/>
          <w:szCs w:val="16"/>
        </w:rPr>
        <w:softHyphen/>
        <w:t>ние регулировки зазоров газорасп</w:t>
      </w:r>
      <w:r w:rsidRPr="00722885">
        <w:rPr>
          <w:rFonts w:ascii="Times New Roman" w:hAnsi="Times New Roman"/>
          <w:color w:val="000000" w:themeColor="text1"/>
          <w:sz w:val="16"/>
          <w:szCs w:val="16"/>
        </w:rPr>
        <w:softHyphen/>
        <w:t>ределения ранее гарантированных заводом сроков на одном моторе через 20 часов вместо 50-ти. При этом моторы работали в до</w:t>
      </w:r>
      <w:r w:rsidRPr="00722885">
        <w:rPr>
          <w:rFonts w:ascii="Times New Roman" w:hAnsi="Times New Roman"/>
          <w:color w:val="000000" w:themeColor="text1"/>
          <w:sz w:val="16"/>
          <w:szCs w:val="16"/>
        </w:rPr>
        <w:softHyphen/>
        <w:t>вольно щадящем режиме. Даже взле</w:t>
      </w:r>
      <w:r w:rsidRPr="00722885">
        <w:rPr>
          <w:rFonts w:ascii="Times New Roman" w:hAnsi="Times New Roman"/>
          <w:color w:val="000000" w:themeColor="text1"/>
          <w:sz w:val="16"/>
          <w:szCs w:val="16"/>
        </w:rPr>
        <w:softHyphen/>
        <w:t>ты с наружной подвеской 2-х ФАБ-1000 производились с бетонной дорожки аэродрома Мигалово без фор</w:t>
      </w:r>
      <w:r w:rsidRPr="00722885">
        <w:rPr>
          <w:rFonts w:ascii="Times New Roman" w:hAnsi="Times New Roman"/>
          <w:color w:val="000000" w:themeColor="text1"/>
          <w:sz w:val="16"/>
          <w:szCs w:val="16"/>
        </w:rPr>
        <w:softHyphen/>
        <w:t>сажа, что увеличивало длину разбега до 1200-1300 м. Испытаниями была установлена относительно большая длительность подготовки самолетов к боевому вы</w:t>
      </w:r>
      <w:r w:rsidRPr="00722885">
        <w:rPr>
          <w:rFonts w:ascii="Times New Roman" w:hAnsi="Times New Roman"/>
          <w:color w:val="000000" w:themeColor="text1"/>
          <w:sz w:val="16"/>
          <w:szCs w:val="16"/>
        </w:rPr>
        <w:softHyphen/>
        <w:t>лету главным образом по причине ненадежности электроинерционного самопуска РИМ-24, который при тем</w:t>
      </w:r>
      <w:r w:rsidRPr="00722885">
        <w:rPr>
          <w:rFonts w:ascii="Times New Roman" w:hAnsi="Times New Roman"/>
          <w:color w:val="000000" w:themeColor="text1"/>
          <w:sz w:val="16"/>
          <w:szCs w:val="16"/>
        </w:rPr>
        <w:softHyphen/>
        <w:t>пературах воздуха ниже +10 °С не обеспечивал запуск моторов. Подго</w:t>
      </w:r>
      <w:r w:rsidRPr="00722885">
        <w:rPr>
          <w:rFonts w:ascii="Times New Roman" w:hAnsi="Times New Roman"/>
          <w:color w:val="000000" w:themeColor="text1"/>
          <w:sz w:val="16"/>
          <w:szCs w:val="16"/>
        </w:rPr>
        <w:softHyphen/>
        <w:t>товка к повторному вылету осложня</w:t>
      </w:r>
      <w:r w:rsidRPr="00722885">
        <w:rPr>
          <w:rFonts w:ascii="Times New Roman" w:hAnsi="Times New Roman"/>
          <w:color w:val="000000" w:themeColor="text1"/>
          <w:sz w:val="16"/>
          <w:szCs w:val="16"/>
        </w:rPr>
        <w:softHyphen/>
        <w:t>лась процессом заправки горючим. Неудовлетворительная работа бензи-номеров и пропускание обратных клапанов заставляли заливать бен</w:t>
      </w:r>
      <w:r w:rsidRPr="00722885">
        <w:rPr>
          <w:rFonts w:ascii="Times New Roman" w:hAnsi="Times New Roman"/>
          <w:color w:val="000000" w:themeColor="text1"/>
          <w:sz w:val="16"/>
          <w:szCs w:val="16"/>
        </w:rPr>
        <w:softHyphen/>
        <w:t>зобаки горючим полностью, а затем сливать его до требуемого количества. Полученные при испытаниях дан</w:t>
      </w:r>
      <w:r w:rsidRPr="00722885">
        <w:rPr>
          <w:rFonts w:ascii="Times New Roman" w:hAnsi="Times New Roman"/>
          <w:color w:val="000000" w:themeColor="text1"/>
          <w:sz w:val="16"/>
          <w:szCs w:val="16"/>
        </w:rPr>
        <w:softHyphen/>
        <w:t>ные расходов горючего в основном подтверждали результаты испытаний, проведенных в НИИ ВВС. Расход го</w:t>
      </w:r>
      <w:r w:rsidRPr="00722885">
        <w:rPr>
          <w:rFonts w:ascii="Times New Roman" w:hAnsi="Times New Roman"/>
          <w:color w:val="000000" w:themeColor="text1"/>
          <w:sz w:val="16"/>
          <w:szCs w:val="16"/>
        </w:rPr>
        <w:softHyphen/>
        <w:t>рючего у ведомых самолетов превы</w:t>
      </w:r>
      <w:r w:rsidRPr="00722885">
        <w:rPr>
          <w:rFonts w:ascii="Times New Roman" w:hAnsi="Times New Roman"/>
          <w:color w:val="000000" w:themeColor="text1"/>
          <w:sz w:val="16"/>
          <w:szCs w:val="16"/>
        </w:rPr>
        <w:softHyphen/>
        <w:t>шал на 7-8% расход ведущего само</w:t>
      </w:r>
      <w:r w:rsidRPr="00722885">
        <w:rPr>
          <w:rFonts w:ascii="Times New Roman" w:hAnsi="Times New Roman"/>
          <w:color w:val="000000" w:themeColor="text1"/>
          <w:sz w:val="16"/>
          <w:szCs w:val="16"/>
        </w:rPr>
        <w:softHyphen/>
        <w:t>лета. Управление секторами нормального газа в кабине летчика требовало больших усилий, что делало почти не</w:t>
      </w:r>
      <w:r w:rsidRPr="00722885">
        <w:rPr>
          <w:rFonts w:ascii="Times New Roman" w:hAnsi="Times New Roman"/>
          <w:color w:val="000000" w:themeColor="text1"/>
          <w:sz w:val="16"/>
          <w:szCs w:val="16"/>
        </w:rPr>
        <w:softHyphen/>
        <w:t>возможным полет в строю на близ</w:t>
      </w:r>
      <w:r w:rsidRPr="00722885">
        <w:rPr>
          <w:rFonts w:ascii="Times New Roman" w:hAnsi="Times New Roman"/>
          <w:color w:val="000000" w:themeColor="text1"/>
          <w:sz w:val="16"/>
          <w:szCs w:val="16"/>
        </w:rPr>
        <w:softHyphen/>
        <w:t>ких дистанциях. Испытания показали исключитель</w:t>
      </w:r>
      <w:r w:rsidRPr="00722885">
        <w:rPr>
          <w:rFonts w:ascii="Times New Roman" w:hAnsi="Times New Roman"/>
          <w:color w:val="000000" w:themeColor="text1"/>
          <w:sz w:val="16"/>
          <w:szCs w:val="16"/>
        </w:rPr>
        <w:softHyphen/>
        <w:t>но трудный подход к агрегатам, рас</w:t>
      </w:r>
      <w:r w:rsidRPr="00722885">
        <w:rPr>
          <w:rFonts w:ascii="Times New Roman" w:hAnsi="Times New Roman"/>
          <w:color w:val="000000" w:themeColor="text1"/>
          <w:sz w:val="16"/>
          <w:szCs w:val="16"/>
        </w:rPr>
        <w:softHyphen/>
        <w:t>положенным на задней крышке кар</w:t>
      </w:r>
      <w:r w:rsidRPr="00722885">
        <w:rPr>
          <w:rFonts w:ascii="Times New Roman" w:hAnsi="Times New Roman"/>
          <w:color w:val="000000" w:themeColor="text1"/>
          <w:sz w:val="16"/>
          <w:szCs w:val="16"/>
        </w:rPr>
        <w:softHyphen/>
        <w:t>тера мотора, что удлиняло время мон</w:t>
      </w:r>
      <w:r w:rsidRPr="00722885">
        <w:rPr>
          <w:rFonts w:ascii="Times New Roman" w:hAnsi="Times New Roman"/>
          <w:color w:val="000000" w:themeColor="text1"/>
          <w:sz w:val="16"/>
          <w:szCs w:val="16"/>
        </w:rPr>
        <w:softHyphen/>
        <w:t>тажа и демонтажа агрегатов, устра</w:t>
      </w:r>
      <w:r w:rsidRPr="00722885">
        <w:rPr>
          <w:rFonts w:ascii="Times New Roman" w:hAnsi="Times New Roman"/>
          <w:color w:val="000000" w:themeColor="text1"/>
          <w:sz w:val="16"/>
          <w:szCs w:val="16"/>
        </w:rPr>
        <w:softHyphen/>
        <w:t>нение дефектов на них. Так, напри</w:t>
      </w:r>
      <w:r w:rsidRPr="00722885">
        <w:rPr>
          <w:rFonts w:ascii="Times New Roman" w:hAnsi="Times New Roman"/>
          <w:color w:val="000000" w:themeColor="text1"/>
          <w:sz w:val="16"/>
          <w:szCs w:val="16"/>
        </w:rPr>
        <w:softHyphen/>
        <w:t>мер: замена прокладки агрегата трой</w:t>
      </w:r>
      <w:r w:rsidRPr="00722885">
        <w:rPr>
          <w:rFonts w:ascii="Times New Roman" w:hAnsi="Times New Roman"/>
          <w:color w:val="000000" w:themeColor="text1"/>
          <w:sz w:val="16"/>
          <w:szCs w:val="16"/>
        </w:rPr>
        <w:softHyphen/>
        <w:t>ного привода потребовала около 6 часов, а подтяжка гаек крепления РИМ-24, ГС-1000 и ПЦН требовала слива масла и снятия масляного бака. В качестве недостатка отмечалась также незащищенность агрегатов ВМГ, расположенных между задней крыш</w:t>
      </w:r>
      <w:r w:rsidRPr="00722885">
        <w:rPr>
          <w:rFonts w:ascii="Times New Roman" w:hAnsi="Times New Roman"/>
          <w:color w:val="000000" w:themeColor="text1"/>
          <w:sz w:val="16"/>
          <w:szCs w:val="16"/>
        </w:rPr>
        <w:softHyphen/>
        <w:t>кой картера мотора и противопожар</w:t>
      </w:r>
      <w:r w:rsidRPr="00722885">
        <w:rPr>
          <w:rFonts w:ascii="Times New Roman" w:hAnsi="Times New Roman"/>
          <w:color w:val="000000" w:themeColor="text1"/>
          <w:sz w:val="16"/>
          <w:szCs w:val="16"/>
        </w:rPr>
        <w:softHyphen/>
        <w:t>ной перегородкой. В целом Ту-2 получил положитель</w:t>
      </w:r>
      <w:r w:rsidRPr="00722885">
        <w:rPr>
          <w:rFonts w:ascii="Times New Roman" w:hAnsi="Times New Roman"/>
          <w:color w:val="000000" w:themeColor="text1"/>
          <w:sz w:val="16"/>
          <w:szCs w:val="16"/>
        </w:rPr>
        <w:softHyphen/>
        <w:t>ную оценку (10699).</w:t>
      </w:r>
    </w:p>
    <w:p w14:paraId="6E43AC3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532CEF0"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11 октября 1942 г. Главный ин</w:t>
      </w:r>
      <w:r w:rsidRPr="00722885">
        <w:rPr>
          <w:rFonts w:ascii="Times New Roman" w:cs="Times New Roman"/>
          <w:color w:val="000000" w:themeColor="text1"/>
          <w:spacing w:val="0"/>
        </w:rPr>
        <w:softHyphen/>
        <w:t>женер ВВС КА А.К. Репин утвердил отчет по войсковым испытаниям Ту-2 М-82.</w:t>
      </w:r>
    </w:p>
    <w:p w14:paraId="7939AAEB"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 16 сентября по 3 октября 1942 г. — прошли и войсковые испыта</w:t>
      </w:r>
      <w:r w:rsidRPr="00722885">
        <w:rPr>
          <w:rFonts w:ascii="Times New Roman" w:cs="Times New Roman"/>
          <w:color w:val="000000" w:themeColor="text1"/>
          <w:spacing w:val="0"/>
        </w:rPr>
        <w:softHyphen/>
        <w:t>ния первых трех серийных самолётов Ту-2 (№№ 101, 102 и 201) в 3-й ВА на Калинин</w:t>
      </w:r>
      <w:r w:rsidRPr="00722885">
        <w:rPr>
          <w:rFonts w:ascii="Times New Roman" w:cs="Times New Roman"/>
          <w:color w:val="000000" w:themeColor="text1"/>
          <w:spacing w:val="0"/>
        </w:rPr>
        <w:softHyphen/>
        <w:t>ском фронте. Моторы М-82 на них стояли 1-й серии с электроинерционным самопус</w:t>
      </w:r>
      <w:r w:rsidRPr="00722885">
        <w:rPr>
          <w:rFonts w:ascii="Times New Roman" w:cs="Times New Roman"/>
          <w:color w:val="000000" w:themeColor="text1"/>
          <w:spacing w:val="0"/>
        </w:rPr>
        <w:softHyphen/>
        <w:t>ком. За время испытаний в течение 9 лётных дней выполнили 48 самолёто-вылетов при общем налёте 76 час 20 мин, из них на боевые задания — 25 вылетов с налётом 64 час 41 мин. При выполнении боевых действий звено Ту-2 сбросило по различным целям 40100 кг бомб калибра от 100 до 1000 кг. Встреч с истребителями противника и пора</w:t>
      </w:r>
      <w:r w:rsidRPr="00722885">
        <w:rPr>
          <w:rFonts w:ascii="Times New Roman" w:cs="Times New Roman"/>
          <w:color w:val="000000" w:themeColor="text1"/>
          <w:spacing w:val="0"/>
        </w:rPr>
        <w:softHyphen/>
        <w:t>жения зенитным огнем в процессе испытаний не произошло.</w:t>
      </w:r>
    </w:p>
    <w:p w14:paraId="345F027E"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Заключение по самолёту гласило:</w:t>
      </w:r>
    </w:p>
    <w:p w14:paraId="3BEF5ED6"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самолёте Ту-2 с двумя моторами М-82 правильно разрешена тактическая схема современного бомбардировщика. Его положительными боевыми свойствами являются:</w:t>
      </w:r>
    </w:p>
    <w:p w14:paraId="69160105" w14:textId="77777777" w:rsidR="00845E49" w:rsidRPr="00722885" w:rsidRDefault="00845E49" w:rsidP="00722885">
      <w:pPr>
        <w:pStyle w:val="27"/>
        <w:shd w:val="clear" w:color="auto" w:fill="auto"/>
        <w:tabs>
          <w:tab w:val="left" w:pos="42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 Большая бомбовая нагрузка при достаточном радиусе действия.</w:t>
      </w:r>
    </w:p>
    <w:p w14:paraId="0C320F63" w14:textId="77777777" w:rsidR="00845E49" w:rsidRPr="00722885" w:rsidRDefault="00845E49" w:rsidP="00722885">
      <w:pPr>
        <w:pStyle w:val="27"/>
        <w:shd w:val="clear" w:color="auto" w:fill="auto"/>
        <w:tabs>
          <w:tab w:val="left" w:pos="440"/>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 Наличие моторов воздушного охлаждения.</w:t>
      </w:r>
    </w:p>
    <w:p w14:paraId="7784F206" w14:textId="77777777" w:rsidR="00845E49" w:rsidRPr="00722885" w:rsidRDefault="00845E49" w:rsidP="00722885">
      <w:pPr>
        <w:pStyle w:val="27"/>
        <w:shd w:val="clear" w:color="auto" w:fill="auto"/>
        <w:tabs>
          <w:tab w:val="left" w:pos="42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3. Хорошая огневая схема, являющаяся эффективной при установке тяжёлых пуле</w:t>
      </w:r>
      <w:r w:rsidRPr="00722885">
        <w:rPr>
          <w:rFonts w:ascii="Times New Roman" w:cs="Times New Roman"/>
          <w:color w:val="000000" w:themeColor="text1"/>
          <w:spacing w:val="0"/>
        </w:rPr>
        <w:softHyphen/>
        <w:t>мётов и пушек.</w:t>
      </w:r>
    </w:p>
    <w:p w14:paraId="4245BEB3" w14:textId="77777777" w:rsidR="00845E49" w:rsidRPr="00722885" w:rsidRDefault="00845E49" w:rsidP="00722885">
      <w:pPr>
        <w:pStyle w:val="27"/>
        <w:shd w:val="clear" w:color="auto" w:fill="auto"/>
        <w:tabs>
          <w:tab w:val="left" w:pos="414"/>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4. Экипаж 4 чел. И его размещение, обеспечивающее надежно боевую работу штур</w:t>
      </w:r>
      <w:r w:rsidRPr="00722885">
        <w:rPr>
          <w:rFonts w:ascii="Times New Roman" w:cs="Times New Roman"/>
          <w:color w:val="000000" w:themeColor="text1"/>
          <w:spacing w:val="0"/>
        </w:rPr>
        <w:softHyphen/>
        <w:t>ману и летчику.</w:t>
      </w:r>
    </w:p>
    <w:p w14:paraId="08B1AFDF" w14:textId="77777777" w:rsidR="00845E49" w:rsidRPr="00722885" w:rsidRDefault="00845E49" w:rsidP="00722885">
      <w:pPr>
        <w:pStyle w:val="27"/>
        <w:shd w:val="clear" w:color="auto" w:fill="auto"/>
        <w:tabs>
          <w:tab w:val="left" w:pos="445"/>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5. Возможность полёта на одном моторе.</w:t>
      </w:r>
    </w:p>
    <w:p w14:paraId="23B4C57F" w14:textId="77777777" w:rsidR="00845E49" w:rsidRPr="00722885" w:rsidRDefault="00845E49" w:rsidP="00722885">
      <w:pPr>
        <w:pStyle w:val="27"/>
        <w:shd w:val="clear" w:color="auto" w:fill="auto"/>
        <w:tabs>
          <w:tab w:val="left" w:pos="430"/>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6. Лёгкость освоения лётным составом после самолёта Пе-2...</w:t>
      </w:r>
    </w:p>
    <w:p w14:paraId="6909578D"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Благодаря наличию моторов воздушного охлаждения самолёт Ту-2 имеет повышенную живучесть по отношению однотипного самолёта с моторами жидкостного охлаждения (напр. Пе-2). Однако живучесть самолёта Ту-2 значительно снижается уязвимостью бен- зосистемы и системы гидравлики...»</w:t>
      </w:r>
    </w:p>
    <w:p w14:paraId="2670A1D4"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Моторы М-82 в процессе испытаний Ту-2 работали надёжно. Температурные режимы, как правило, сохранялись в пределах нормы. Во второй части испытаний на отдельных мо</w:t>
      </w:r>
      <w:r w:rsidRPr="00722885">
        <w:rPr>
          <w:rFonts w:ascii="Times New Roman" w:cs="Times New Roman"/>
          <w:color w:val="000000" w:themeColor="text1"/>
          <w:spacing w:val="0"/>
        </w:rPr>
        <w:softHyphen/>
        <w:t>торах наблюдалась тряска. Причинами тряски являлись: преждевременный выход из строя свечей ВГ-12 (через 10-12 часов), биение коков винтов из-за плохой балансировки и бы</w:t>
      </w:r>
      <w:r w:rsidRPr="00722885">
        <w:rPr>
          <w:rFonts w:ascii="Times New Roman" w:cs="Times New Roman"/>
          <w:color w:val="000000" w:themeColor="text1"/>
          <w:spacing w:val="0"/>
        </w:rPr>
        <w:softHyphen/>
        <w:t>строго износа центрирующих колец, нарушение регулировки зазоров газораспределения ранее гарантированных заводом сроков на одном моторе через 20 часов вместо 50-ти.</w:t>
      </w:r>
    </w:p>
    <w:p w14:paraId="49FD012E"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lastRenderedPageBreak/>
        <w:t>При этом моторы работали в довольно щадящем режиме. Даже взлёты с наружной подвеской 2-х ФАБ-1000 производились с бетонной дорожки аэродрома Мигалово без форсажа, что увеличивало длину разбега до 1200-1300 м.</w:t>
      </w:r>
    </w:p>
    <w:p w14:paraId="0A232046"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Испытаниями установили относительно большую длительность подготовки самолётов к боевому вылету главным образом по причине ненадежности электроинерционного само</w:t>
      </w:r>
      <w:r w:rsidRPr="00722885">
        <w:rPr>
          <w:rFonts w:ascii="Times New Roman" w:cs="Times New Roman"/>
          <w:color w:val="000000" w:themeColor="text1"/>
          <w:spacing w:val="0"/>
        </w:rPr>
        <w:softHyphen/>
        <w:t>пуска РИМ-24, при температурах воздуха ниже +10°С он не обеспечивал запуск моторов. Подготовка к повторному вылету осложнялась процессом заправки горючим. Неудовле</w:t>
      </w:r>
      <w:r w:rsidRPr="00722885">
        <w:rPr>
          <w:rFonts w:ascii="Times New Roman" w:cs="Times New Roman"/>
          <w:color w:val="000000" w:themeColor="text1"/>
          <w:spacing w:val="0"/>
        </w:rPr>
        <w:softHyphen/>
        <w:t>творительная работа бензиномеров и пропускание обратных клапанов заставляли зали</w:t>
      </w:r>
      <w:r w:rsidRPr="00722885">
        <w:rPr>
          <w:rFonts w:ascii="Times New Roman" w:cs="Times New Roman"/>
          <w:color w:val="000000" w:themeColor="text1"/>
          <w:spacing w:val="0"/>
        </w:rPr>
        <w:softHyphen/>
        <w:t>вать бензобаки горючим полностью, а затем сливать его до требуемого количества.</w:t>
      </w:r>
    </w:p>
    <w:p w14:paraId="0099D9C0"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Полученные при испытаниях данные расходов горючего в основном подтверждали результаты испытаний, проведенных в НИИ ВВС. Расход горючего у ведомых самолё</w:t>
      </w:r>
      <w:r w:rsidRPr="00722885">
        <w:rPr>
          <w:rFonts w:ascii="Times New Roman" w:cs="Times New Roman"/>
          <w:color w:val="000000" w:themeColor="text1"/>
          <w:spacing w:val="0"/>
        </w:rPr>
        <w:softHyphen/>
        <w:t>тов превышал на 7-8% расход ведущего самолёта.</w:t>
      </w:r>
    </w:p>
    <w:p w14:paraId="294356B2"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Управление секторами нормального газа в кабине лётчика требовало больших уси</w:t>
      </w:r>
      <w:r w:rsidRPr="00722885">
        <w:rPr>
          <w:rFonts w:ascii="Times New Roman" w:cs="Times New Roman"/>
          <w:color w:val="000000" w:themeColor="text1"/>
          <w:spacing w:val="0"/>
        </w:rPr>
        <w:softHyphen/>
        <w:t>лий, что делало почти невозможным полёт в строю на близких дистанциях.</w:t>
      </w:r>
    </w:p>
    <w:p w14:paraId="1761AA22"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Испытания показали исключительно трудный подход к агрегатам, расположенным на задней крышке картера мотора, что удлиняло время монтажа и демонтажа агрегатов, ус</w:t>
      </w:r>
      <w:r w:rsidRPr="00722885">
        <w:rPr>
          <w:rFonts w:ascii="Times New Roman" w:cs="Times New Roman"/>
          <w:color w:val="000000" w:themeColor="text1"/>
          <w:spacing w:val="0"/>
        </w:rPr>
        <w:softHyphen/>
        <w:t>транение дефектов на них. Так, например: замена прокладки агрегата тройного привода потребовала около 6 час, а подтяжка гаек крепления РИМ-24, ГС-1000 и ПЦН требова</w:t>
      </w:r>
      <w:r w:rsidRPr="00722885">
        <w:rPr>
          <w:rFonts w:ascii="Times New Roman" w:cs="Times New Roman"/>
          <w:color w:val="000000" w:themeColor="text1"/>
          <w:spacing w:val="0"/>
        </w:rPr>
        <w:softHyphen/>
        <w:t>ла слива масла и снятия масляного бака.</w:t>
      </w:r>
    </w:p>
    <w:p w14:paraId="18C89390"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качестве недостат</w:t>
      </w:r>
      <w:r w:rsidRPr="00722885">
        <w:rPr>
          <w:rFonts w:ascii="Times New Roman" w:cs="Times New Roman"/>
          <w:color w:val="000000" w:themeColor="text1"/>
          <w:spacing w:val="0"/>
        </w:rPr>
        <w:softHyphen/>
        <w:t>ка отмечалась также незащищенность агре</w:t>
      </w:r>
      <w:r w:rsidRPr="00722885">
        <w:rPr>
          <w:rFonts w:ascii="Times New Roman" w:cs="Times New Roman"/>
          <w:color w:val="000000" w:themeColor="text1"/>
          <w:spacing w:val="0"/>
        </w:rPr>
        <w:softHyphen/>
        <w:t>гатов ВМГ, располо</w:t>
      </w:r>
      <w:r w:rsidRPr="00722885">
        <w:rPr>
          <w:rFonts w:ascii="Times New Roman" w:cs="Times New Roman"/>
          <w:color w:val="000000" w:themeColor="text1"/>
          <w:spacing w:val="0"/>
        </w:rPr>
        <w:softHyphen/>
        <w:t>женных между задней крышкой картера мото</w:t>
      </w:r>
      <w:r w:rsidRPr="00722885">
        <w:rPr>
          <w:rFonts w:ascii="Times New Roman" w:cs="Times New Roman"/>
          <w:color w:val="000000" w:themeColor="text1"/>
          <w:spacing w:val="0"/>
        </w:rPr>
        <w:softHyphen/>
        <w:t>ра и противопожарной перегородкой.</w:t>
      </w:r>
    </w:p>
    <w:p w14:paraId="61D1B5CB"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целом Ту-2 получил положительную оценку, но отчёт по испытаниям Главный ин</w:t>
      </w:r>
      <w:r w:rsidRPr="00722885">
        <w:rPr>
          <w:rFonts w:ascii="Times New Roman" w:cs="Times New Roman"/>
          <w:color w:val="000000" w:themeColor="text1"/>
          <w:spacing w:val="0"/>
        </w:rPr>
        <w:softHyphen/>
        <w:t>женер ВВС КА А.К. Репин утвердил только 11 октября 1942 г. (15813).</w:t>
      </w:r>
    </w:p>
    <w:p w14:paraId="453810F6" w14:textId="77777777" w:rsidR="00845E49" w:rsidRPr="00722885" w:rsidRDefault="00845E49" w:rsidP="00722885">
      <w:pPr>
        <w:pStyle w:val="27"/>
        <w:shd w:val="clear" w:color="auto" w:fill="auto"/>
        <w:spacing w:after="0" w:line="240" w:lineRule="auto"/>
        <w:ind w:firstLine="0"/>
        <w:rPr>
          <w:rFonts w:ascii="Times New Roman" w:cs="Times New Roman"/>
          <w:color w:val="000000" w:themeColor="text1"/>
          <w:spacing w:val="0"/>
        </w:rPr>
      </w:pPr>
    </w:p>
    <w:p w14:paraId="12EF9838" w14:textId="77777777" w:rsidR="00CB6678" w:rsidRPr="00722885" w:rsidRDefault="00CB66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октября 1942 был подготовлен</w:t>
      </w:r>
    </w:p>
    <w:p w14:paraId="0CAF5092"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ОТЧЕТ</w:t>
      </w:r>
    </w:p>
    <w:p w14:paraId="3CB2BBAB"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заводеким испытаниям самолета Ил-2-бис № 4434 с мото</w:t>
      </w:r>
      <w:r w:rsidRPr="00722885">
        <w:rPr>
          <w:rFonts w:ascii="Times New Roman" w:eastAsia="Times New Roman" w:hAnsi="Times New Roman"/>
          <w:color w:val="000000" w:themeColor="text1"/>
          <w:sz w:val="16"/>
          <w:szCs w:val="16"/>
          <w:lang w:eastAsia="ru-RU"/>
        </w:rPr>
        <w:softHyphen/>
        <w:t xml:space="preserve">ром </w:t>
      </w:r>
      <w:r w:rsidRPr="00722885">
        <w:rPr>
          <w:rFonts w:ascii="Times New Roman" w:eastAsia="Times New Roman" w:hAnsi="Times New Roman"/>
          <w:color w:val="000000" w:themeColor="text1"/>
          <w:sz w:val="16"/>
          <w:szCs w:val="16"/>
          <w:lang w:val="en-US"/>
        </w:rPr>
        <w:t>AM</w:t>
      </w:r>
      <w:r w:rsidRPr="00722885">
        <w:rPr>
          <w:rFonts w:ascii="Times New Roman" w:eastAsia="Times New Roman" w:hAnsi="Times New Roman"/>
          <w:color w:val="000000" w:themeColor="text1"/>
          <w:sz w:val="16"/>
          <w:szCs w:val="16"/>
          <w:lang w:eastAsia="ru-RU"/>
        </w:rPr>
        <w:t>-38 № 292905.</w:t>
      </w:r>
    </w:p>
    <w:p w14:paraId="2FD665AA"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УТВЕРЖДАЮ: директор Завода № 1 им Сталина</w:t>
      </w:r>
    </w:p>
    <w:p w14:paraId="4F06FCBB"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Третьяков</w:t>
      </w:r>
    </w:p>
    <w:p w14:paraId="5A1A60D5"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Согласовано: Стю военпред на заводе № 1</w:t>
      </w:r>
    </w:p>
    <w:p w14:paraId="4101AF7C"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Францев (17.10.42)</w:t>
      </w:r>
    </w:p>
    <w:p w14:paraId="78B5F54B"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u w:val="single"/>
          <w:lang w:eastAsia="ru-RU"/>
        </w:rPr>
        <w:t>ЦЕЛЬ ИСПЫТАНИЙ.</w:t>
      </w:r>
    </w:p>
    <w:p w14:paraId="779048DC"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Определить пригодность самолета к эксплоатацш при нали</w:t>
      </w:r>
      <w:r w:rsidRPr="00722885">
        <w:rPr>
          <w:rFonts w:ascii="Times New Roman" w:eastAsia="Times New Roman" w:hAnsi="Times New Roman"/>
          <w:color w:val="000000" w:themeColor="text1"/>
          <w:sz w:val="16"/>
          <w:szCs w:val="16"/>
          <w:lang w:eastAsia="ru-RU"/>
        </w:rPr>
        <w:softHyphen/>
        <w:t>чии произведенного переоборудования серийного самолета Ил-2</w:t>
      </w:r>
      <w:r w:rsidRPr="00722885">
        <w:rPr>
          <w:rFonts w:ascii="Times New Roman" w:eastAsia="Times New Roman" w:hAnsi="Times New Roman"/>
          <w:color w:val="000000" w:themeColor="text1"/>
          <w:sz w:val="16"/>
          <w:szCs w:val="16"/>
        </w:rPr>
        <w:t xml:space="preserve"> </w:t>
      </w:r>
      <w:r w:rsidRPr="00722885">
        <w:rPr>
          <w:rFonts w:ascii="Times New Roman" w:eastAsia="Times New Roman" w:hAnsi="Times New Roman"/>
          <w:color w:val="000000" w:themeColor="text1"/>
          <w:sz w:val="16"/>
          <w:szCs w:val="16"/>
          <w:lang w:eastAsia="ru-RU"/>
        </w:rPr>
        <w:t>в двухместный вариант по чертежам серийно-конструкторского бюро завода № 1 имени СТАЛИНА.</w:t>
      </w:r>
    </w:p>
    <w:p w14:paraId="7548219F"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u w:val="single"/>
          <w:lang w:eastAsia="ru-RU"/>
        </w:rPr>
        <w:t>КРАТКОЕ СПИСАНИЕ САМОЛЕТА И</w:t>
      </w:r>
      <w:r w:rsidRPr="00722885">
        <w:rPr>
          <w:rFonts w:ascii="Times New Roman" w:eastAsia="Times New Roman" w:hAnsi="Times New Roman"/>
          <w:color w:val="000000" w:themeColor="text1"/>
          <w:sz w:val="16"/>
          <w:szCs w:val="16"/>
          <w:lang w:val="en-US"/>
        </w:rPr>
        <w:t>JI</w:t>
      </w:r>
      <w:r w:rsidRPr="00722885">
        <w:rPr>
          <w:rFonts w:ascii="Times New Roman" w:eastAsia="Times New Roman" w:hAnsi="Times New Roman"/>
          <w:color w:val="000000" w:themeColor="text1"/>
          <w:sz w:val="16"/>
          <w:szCs w:val="16"/>
          <w:lang w:eastAsia="ru-RU"/>
        </w:rPr>
        <w:t>-2 - бис</w:t>
      </w:r>
    </w:p>
    <w:p w14:paraId="6B3EBAC8"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rPr>
        <w:t>Самолет Ил-2</w:t>
      </w:r>
      <w:r w:rsidRPr="00722885">
        <w:rPr>
          <w:rFonts w:ascii="Times New Roman" w:eastAsia="Times New Roman" w:hAnsi="Times New Roman"/>
          <w:color w:val="000000" w:themeColor="text1"/>
          <w:sz w:val="16"/>
          <w:szCs w:val="16"/>
          <w:lang w:eastAsia="ru-RU"/>
        </w:rPr>
        <w:t>-бис построен путем переоборудования нормаль ного серийного самолета Ил-2 в даухместный вариант с целью размещения во второй кабине стрелка защищающего самолет от нападения вражеских самолетов со стороны хвоста.</w:t>
      </w:r>
    </w:p>
    <w:p w14:paraId="60908BC2"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Все переоборудование заключается в следующем:</w:t>
      </w:r>
    </w:p>
    <w:p w14:paraId="244E6A1E"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 На месте заднего бензобака и выреза в хвостовой части йюзоша, оборудована кабина стрелка, где установлен крупно</w:t>
      </w:r>
      <w:r w:rsidRPr="00722885">
        <w:rPr>
          <w:rFonts w:ascii="Times New Roman" w:eastAsia="Times New Roman" w:hAnsi="Times New Roman"/>
          <w:color w:val="000000" w:themeColor="text1"/>
          <w:sz w:val="16"/>
          <w:szCs w:val="16"/>
          <w:lang w:eastAsia="ru-RU"/>
        </w:rPr>
        <w:softHyphen/>
        <w:t>калиберный пулемет калибра 12,7 мм. системы Березина, на специальной кольцевой установке БЛУБ (блистерная установка Березина).</w:t>
      </w:r>
    </w:p>
    <w:p w14:paraId="6F49D62A"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кабине установлены: регулирующееся по высоте сидение, радиоприемник РСИ-4, переговорное устройство СПУ-2Ф, унформер передатчика и размещены на стенках кабины два запасных магазина с патронами к пулемету. Под полом у стрелка установ</w:t>
      </w:r>
      <w:r w:rsidRPr="00722885">
        <w:rPr>
          <w:rFonts w:ascii="Times New Roman" w:eastAsia="Times New Roman" w:hAnsi="Times New Roman"/>
          <w:color w:val="000000" w:themeColor="text1"/>
          <w:sz w:val="16"/>
          <w:szCs w:val="16"/>
          <w:lang w:eastAsia="ru-RU"/>
        </w:rPr>
        <w:softHyphen/>
        <w:t>лен аккумулятор 1ЭА -10.</w:t>
      </w:r>
    </w:p>
    <w:p w14:paraId="7EA9FE38"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rPr>
        <w:t xml:space="preserve">2. </w:t>
      </w:r>
      <w:r w:rsidRPr="00722885">
        <w:rPr>
          <w:rFonts w:ascii="Times New Roman" w:eastAsia="Times New Roman" w:hAnsi="Times New Roman"/>
          <w:color w:val="000000" w:themeColor="text1"/>
          <w:sz w:val="16"/>
          <w:szCs w:val="16"/>
          <w:lang w:eastAsia="ru-RU"/>
        </w:rPr>
        <w:t>Вместо бронеплиты сзади и сверху бензобака (заднего)...</w:t>
      </w:r>
    </w:p>
    <w:p w14:paraId="5A8A9903"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u w:val="single"/>
          <w:lang w:eastAsia="ru-RU"/>
        </w:rPr>
        <w:t>В Ы В О Д Ы</w:t>
      </w:r>
    </w:p>
    <w:p w14:paraId="121CECDF"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 Самолет Ил-2-6ис с произведенным переоборудованием в двухместный вариант, по пилотажным качествам и надежности работы винтомоторной группы, радиооборудования (подвергшися изменению при переоборудовании самолета) от серийных самолетов ничем не отличается и может быть допущен к эксплоатации.</w:t>
      </w:r>
    </w:p>
    <w:p w14:paraId="7AB7E63F"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Задняя стрелковая установка проверенная стрельбами на земле и опробованная вращением в воздухе может быть передана дня полигонные испытаний.</w:t>
      </w:r>
    </w:p>
    <w:p w14:paraId="7C090AC6"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ВЕДУЩИЙ ИНЖЕНЕР ЗАВОДА № 1 /ПОПОВ/</w:t>
      </w:r>
    </w:p>
    <w:p w14:paraId="01EF52EE"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ВЕДУЩИЙ ИНЖЕНЕР ОТ ОКО /ФЕДУЛОВ/</w:t>
      </w:r>
    </w:p>
    <w:p w14:paraId="554D37D2"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ВЕДУЩИЙ ИНЖЕНЕР ОТ ЛИС "а /ВАЙМАН/</w:t>
      </w:r>
    </w:p>
    <w:p w14:paraId="0E635873"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ЛЕТЧИК-ИСПЫТАТЕЛЬ /ЧУРИЛИН/</w:t>
      </w:r>
    </w:p>
    <w:p w14:paraId="1444E023"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НАЧАЛЬНИК О Т К /ГОЛУБЕВ/</w:t>
      </w:r>
    </w:p>
    <w:p w14:paraId="31576693" w14:textId="77777777" w:rsidR="00CB6678" w:rsidRPr="00722885" w:rsidRDefault="00CB667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ВОЕННЫЙ ПРЕДСТАВИТЕЛЬ /ИНЖЕНЕР - МАЙОР РУБЛЕВ/ (19794).</w:t>
      </w:r>
    </w:p>
    <w:p w14:paraId="0106D04D" w14:textId="77777777" w:rsidR="00CB6678" w:rsidRPr="00722885" w:rsidRDefault="00CB6678" w:rsidP="00722885">
      <w:pPr>
        <w:spacing w:after="0" w:line="240" w:lineRule="auto"/>
        <w:jc w:val="both"/>
        <w:rPr>
          <w:rFonts w:ascii="Times New Roman" w:hAnsi="Times New Roman"/>
          <w:color w:val="000000" w:themeColor="text1"/>
          <w:sz w:val="16"/>
          <w:szCs w:val="16"/>
        </w:rPr>
      </w:pPr>
    </w:p>
    <w:p w14:paraId="7D71C4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октября 1942 главный инженер ВВС Репин утвердил оформленный испытателями отчет. По воспоминаниям наркома авиапромышленности А.И. Шахурина, эта объемистая прошнурованная книга с грифом "Совершенно секретно" прибыла в Москву дней через двадцать после подписания приказа о снятии бомбардировщика с производства. Один из экземпляров затребовал Сталин. После прочтения он вызвал Шахурина и сказал: "Оказывается, хвалят машину". Нарком стал отвечать, что он был против прекращения выпуска Ту-2, но был прерван. "Вы неправильно поступили, - сказал Сталин. - Вы должны были жаловаться на меня в ЦК". По-видимому, Сталин понял ошибочность принятого решения, но не спешил его менять. Приказа о восстановлении производства Ту-2 сразу же не последовало (11988).</w:t>
      </w:r>
    </w:p>
    <w:p w14:paraId="109055B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C34FF9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83ECB00" w14:textId="77777777" w:rsidR="00090C9B" w:rsidRPr="00722885" w:rsidRDefault="00090C9B" w:rsidP="00722885">
      <w:pPr>
        <w:pStyle w:val="Iauiue"/>
        <w:jc w:val="both"/>
        <w:rPr>
          <w:iCs/>
          <w:color w:val="000000" w:themeColor="text1"/>
          <w:sz w:val="16"/>
          <w:szCs w:val="16"/>
        </w:rPr>
      </w:pPr>
    </w:p>
    <w:p w14:paraId="4BFEBC34"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11 октября 1942 было письмо Зухера секретарю Свердловского обкома ВКП(б) А. П. Панину (Алексей Павлович был ответственен в обкоме за танковую промышленность):</w:t>
      </w:r>
    </w:p>
    <w:p w14:paraId="068704BD"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«Докладываю, что находящаяся на Уралмашзаводе материальная часть — танки Т-60 в количестве 80 штук, оставшиеся после ликвидации завода № 37, хранятся во дворе Уралмашзавода под открытым небом. Танки в таком состоянии хранятся уже около 3-х месяцев, причем не за</w:t>
      </w:r>
      <w:r w:rsidRPr="00722885">
        <w:rPr>
          <w:rFonts w:ascii="Times New Roman" w:hAnsi="Times New Roman"/>
          <w:color w:val="000000" w:themeColor="text1"/>
          <w:sz w:val="16"/>
          <w:szCs w:val="16"/>
        </w:rPr>
        <w:softHyphen/>
        <w:t>щищены от осадков. Охраны во дворе завода нет. Инструмент и другие детали с машин начинают расхищаться.</w:t>
      </w:r>
    </w:p>
    <w:p w14:paraId="04CD8514"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Руководство бывшего завода № 37 не принимало необходимых мер к бы</w:t>
      </w:r>
      <w:r w:rsidRPr="00722885">
        <w:rPr>
          <w:rFonts w:ascii="Times New Roman" w:hAnsi="Times New Roman"/>
          <w:color w:val="000000" w:themeColor="text1"/>
          <w:sz w:val="16"/>
          <w:szCs w:val="16"/>
        </w:rPr>
        <w:softHyphen/>
        <w:t>стрейшей отправке машин на фронт, так как машины были зачислены в выполнение программы завода №37. В настоящее время руководство Уралмашзавода также не приняло реальных мер для ускорения отправки машин. Для танков нужно 80 комплектов траков; отлитые Уралмашза- водом траки для Т-60 оказались весьма низкого качества и на машины установлены быть не могут.</w:t>
      </w:r>
    </w:p>
    <w:p w14:paraId="5B770F81"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Уралмашзавод осваивает отливку траков для Т-34. Вполне естественно, что руководство Уралмашзавода не считает себя ответственным за состояние машин Т-60, не заботится об ускоре</w:t>
      </w:r>
      <w:r w:rsidRPr="00722885">
        <w:rPr>
          <w:rFonts w:ascii="Times New Roman" w:hAnsi="Times New Roman"/>
          <w:color w:val="000000" w:themeColor="text1"/>
          <w:sz w:val="16"/>
          <w:szCs w:val="16"/>
        </w:rPr>
        <w:softHyphen/>
        <w:t>нии к отправке.</w:t>
      </w:r>
    </w:p>
    <w:p w14:paraId="019AAD65"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вопрос был мною поставлен устно перед народным комиссаром танковой промышленности тов. Зальцманом во время его посещения за</w:t>
      </w:r>
      <w:r w:rsidRPr="00722885">
        <w:rPr>
          <w:rFonts w:ascii="Times New Roman" w:hAnsi="Times New Roman"/>
          <w:color w:val="000000" w:themeColor="text1"/>
          <w:sz w:val="16"/>
          <w:szCs w:val="16"/>
        </w:rPr>
        <w:softHyphen/>
        <w:t>вода. Однако танки Т-60 в количестве 80 штук остаются стоять по- старому на Уралмашзаводе.</w:t>
      </w:r>
    </w:p>
    <w:p w14:paraId="25FAB3E4"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Проведенная мною проверка вооружения и других агрегатов показала, что материальная часть покрывается коррозией, и я был вынужден ство</w:t>
      </w:r>
      <w:r w:rsidRPr="00722885">
        <w:rPr>
          <w:rFonts w:ascii="Times New Roman" w:hAnsi="Times New Roman"/>
          <w:color w:val="000000" w:themeColor="text1"/>
          <w:sz w:val="16"/>
          <w:szCs w:val="16"/>
        </w:rPr>
        <w:softHyphen/>
        <w:t>лы пушек прочистить и заменить смазку.</w:t>
      </w:r>
    </w:p>
    <w:p w14:paraId="1DD3EE26"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вас поставить вопрос перед Наркомтанкопромом о немедлен</w:t>
      </w:r>
      <w:r w:rsidRPr="00722885">
        <w:rPr>
          <w:rFonts w:ascii="Times New Roman" w:hAnsi="Times New Roman"/>
          <w:color w:val="000000" w:themeColor="text1"/>
          <w:sz w:val="16"/>
          <w:szCs w:val="16"/>
        </w:rPr>
        <w:softHyphen/>
        <w:t>ном укомплектовании танков Т-60 траками с других заводов и об отправ</w:t>
      </w:r>
      <w:r w:rsidRPr="00722885">
        <w:rPr>
          <w:rFonts w:ascii="Times New Roman" w:hAnsi="Times New Roman"/>
          <w:color w:val="000000" w:themeColor="text1"/>
          <w:sz w:val="16"/>
          <w:szCs w:val="16"/>
        </w:rPr>
        <w:softHyphen/>
        <w:t>ке их в действующую Армию» (17485).</w:t>
      </w:r>
    </w:p>
    <w:p w14:paraId="6663EF3F" w14:textId="77777777" w:rsidR="00A50962" w:rsidRPr="00722885" w:rsidRDefault="00A50962" w:rsidP="00722885">
      <w:pPr>
        <w:spacing w:after="0" w:line="240" w:lineRule="auto"/>
        <w:jc w:val="both"/>
        <w:rPr>
          <w:rFonts w:ascii="Times New Roman" w:hAnsi="Times New Roman"/>
          <w:color w:val="000000" w:themeColor="text1"/>
          <w:sz w:val="16"/>
          <w:szCs w:val="16"/>
        </w:rPr>
      </w:pPr>
    </w:p>
    <w:p w14:paraId="22DE38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октября 1942 вышло Постановление ГКО № 2402 О строительстве нефтеперерабатывающих заводов в Красноводске и Орске. РГАНИР, Фонд ГКО, д. 63, лл. 147-152 (11012).</w:t>
      </w:r>
    </w:p>
    <w:p w14:paraId="42251C4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4BBB1FB"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11 октября 1942 г. ГКО принял поста­новление «О строительстве нефтеперерабатывающих заводов в Красноводске и Орске». В нем признавалось, что «по­становление ГОКО (...) о восстановле­нии Туапсинского нефтеперерабатывающего завода в Красноводске сорвано, а состояние переброски оборудования батумских нефтеперерабатывающих ус­тановок не обеспечивает их пуск в эксплуатацию на Орском заводе в установ­ленный срок». Новый срок пуска основных установок по переработке нефти в Красноводске и Орске намечался на февраль — апрель 1943 г. (11475).</w:t>
      </w:r>
    </w:p>
    <w:p w14:paraId="4FA7B543" w14:textId="77777777" w:rsidR="00090C9B" w:rsidRPr="00722885" w:rsidRDefault="00090C9B" w:rsidP="00722885">
      <w:pPr>
        <w:pStyle w:val="afff2"/>
        <w:jc w:val="both"/>
        <w:rPr>
          <w:i w:val="0"/>
          <w:iCs w:val="0"/>
          <w:color w:val="000000" w:themeColor="text1"/>
          <w:spacing w:val="0"/>
          <w:kern w:val="0"/>
          <w:position w:val="0"/>
          <w:sz w:val="16"/>
          <w:szCs w:val="16"/>
        </w:rPr>
      </w:pPr>
    </w:p>
    <w:p w14:paraId="6FE1A553"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октября 1942 г. ГКО принял поста</w:t>
      </w:r>
      <w:r w:rsidRPr="00722885">
        <w:rPr>
          <w:rFonts w:ascii="Times New Roman" w:hAnsi="Times New Roman"/>
          <w:color w:val="000000" w:themeColor="text1"/>
          <w:sz w:val="16"/>
          <w:szCs w:val="16"/>
        </w:rPr>
        <w:softHyphen/>
        <w:t>новление «О строительстве нефтеперерабатывающих заводов в Красноводске и Орске». В нем признавалось, что «по</w:t>
      </w:r>
      <w:r w:rsidRPr="00722885">
        <w:rPr>
          <w:rFonts w:ascii="Times New Roman" w:hAnsi="Times New Roman"/>
          <w:color w:val="000000" w:themeColor="text1"/>
          <w:sz w:val="16"/>
          <w:szCs w:val="16"/>
        </w:rPr>
        <w:softHyphen/>
        <w:t>становление ГОКО (...) о восстановле</w:t>
      </w:r>
      <w:r w:rsidRPr="00722885">
        <w:rPr>
          <w:rFonts w:ascii="Times New Roman" w:hAnsi="Times New Roman"/>
          <w:color w:val="000000" w:themeColor="text1"/>
          <w:sz w:val="16"/>
          <w:szCs w:val="16"/>
        </w:rPr>
        <w:softHyphen/>
        <w:t>нии Туапсинского нефтеперерабатыва</w:t>
      </w:r>
      <w:r w:rsidRPr="00722885">
        <w:rPr>
          <w:rFonts w:ascii="Times New Roman" w:hAnsi="Times New Roman"/>
          <w:color w:val="000000" w:themeColor="text1"/>
          <w:sz w:val="16"/>
          <w:szCs w:val="16"/>
        </w:rPr>
        <w:softHyphen/>
        <w:t>ющего завода в Красноводске сорвано, а состояние переброски оборудования батумских нефтеперерабатывающих ус</w:t>
      </w:r>
      <w:r w:rsidRPr="00722885">
        <w:rPr>
          <w:rFonts w:ascii="Times New Roman" w:hAnsi="Times New Roman"/>
          <w:color w:val="000000" w:themeColor="text1"/>
          <w:sz w:val="16"/>
          <w:szCs w:val="16"/>
        </w:rPr>
        <w:softHyphen/>
        <w:t>тановок не обеспечивает их пуск в экс</w:t>
      </w:r>
      <w:r w:rsidRPr="00722885">
        <w:rPr>
          <w:rFonts w:ascii="Times New Roman" w:hAnsi="Times New Roman"/>
          <w:color w:val="000000" w:themeColor="text1"/>
          <w:sz w:val="16"/>
          <w:szCs w:val="16"/>
        </w:rPr>
        <w:softHyphen/>
        <w:t>плуатацию на Орском заводе в установ</w:t>
      </w:r>
      <w:r w:rsidRPr="00722885">
        <w:rPr>
          <w:rFonts w:ascii="Times New Roman" w:hAnsi="Times New Roman"/>
          <w:color w:val="000000" w:themeColor="text1"/>
          <w:sz w:val="16"/>
          <w:szCs w:val="16"/>
        </w:rPr>
        <w:softHyphen/>
        <w:t>ленный срок».Новый срок пуска основных устано</w:t>
      </w:r>
      <w:r w:rsidRPr="00722885">
        <w:rPr>
          <w:rFonts w:ascii="Times New Roman" w:hAnsi="Times New Roman"/>
          <w:color w:val="000000" w:themeColor="text1"/>
          <w:sz w:val="16"/>
          <w:szCs w:val="16"/>
        </w:rPr>
        <w:softHyphen/>
        <w:t>вок по переработке нефти  в Красноводске и Орске намечался на февраль — апрель 1943 г.14 февраля 1943 г. ГКО принял по</w:t>
      </w:r>
      <w:r w:rsidRPr="00722885">
        <w:rPr>
          <w:rFonts w:ascii="Times New Roman" w:hAnsi="Times New Roman"/>
          <w:color w:val="000000" w:themeColor="text1"/>
          <w:sz w:val="16"/>
          <w:szCs w:val="16"/>
        </w:rPr>
        <w:softHyphen/>
        <w:t>становление «О строительстве импорт</w:t>
      </w:r>
      <w:r w:rsidRPr="00722885">
        <w:rPr>
          <w:rFonts w:ascii="Times New Roman" w:hAnsi="Times New Roman"/>
          <w:color w:val="000000" w:themeColor="text1"/>
          <w:sz w:val="16"/>
          <w:szCs w:val="16"/>
        </w:rPr>
        <w:softHyphen/>
        <w:t>ных нефтеперерабатывающих заво</w:t>
      </w:r>
      <w:r w:rsidRPr="00722885">
        <w:rPr>
          <w:rFonts w:ascii="Times New Roman" w:hAnsi="Times New Roman"/>
          <w:color w:val="000000" w:themeColor="text1"/>
          <w:sz w:val="16"/>
          <w:szCs w:val="16"/>
        </w:rPr>
        <w:softHyphen/>
        <w:t>дов». Заводы должны были быть построены в Красноводске и Орске, где уже велись работы, ориентированные на использование эвакуированного оборудования, а также в Куйбышеве и Гурьеве. Им были присвоены номера: завод №228 в Орске, №431 в Красно</w:t>
      </w:r>
      <w:r w:rsidRPr="00722885">
        <w:rPr>
          <w:rFonts w:ascii="Times New Roman" w:hAnsi="Times New Roman"/>
          <w:color w:val="000000" w:themeColor="text1"/>
          <w:sz w:val="16"/>
          <w:szCs w:val="16"/>
        </w:rPr>
        <w:softHyphen/>
        <w:t>водске, №441 в Гурьеве и №443 в Куй</w:t>
      </w:r>
      <w:r w:rsidRPr="00722885">
        <w:rPr>
          <w:rFonts w:ascii="Times New Roman" w:hAnsi="Times New Roman"/>
          <w:color w:val="000000" w:themeColor="text1"/>
          <w:sz w:val="16"/>
          <w:szCs w:val="16"/>
        </w:rPr>
        <w:softHyphen/>
        <w:t xml:space="preserve">бышеве.Основным поставщиком стала американская фирма «Баджер» (Е.В. Badger and Sons Co). Поставки оборудования от фирмы «Баджер» шли через </w:t>
      </w:r>
      <w:r w:rsidRPr="00722885">
        <w:rPr>
          <w:rFonts w:ascii="Times New Roman" w:hAnsi="Times New Roman"/>
          <w:color w:val="000000" w:themeColor="text1"/>
          <w:sz w:val="16"/>
          <w:szCs w:val="16"/>
        </w:rPr>
        <w:lastRenderedPageBreak/>
        <w:t>Советскую закупочную комиссию в США.Через фирму «Баджер» оборудова</w:t>
      </w:r>
      <w:r w:rsidRPr="00722885">
        <w:rPr>
          <w:rFonts w:ascii="Times New Roman" w:hAnsi="Times New Roman"/>
          <w:color w:val="000000" w:themeColor="text1"/>
          <w:sz w:val="16"/>
          <w:szCs w:val="16"/>
        </w:rPr>
        <w:softHyphen/>
        <w:t>ние в СССР поставляли и другие амери</w:t>
      </w:r>
      <w:r w:rsidRPr="00722885">
        <w:rPr>
          <w:rFonts w:ascii="Times New Roman" w:hAnsi="Times New Roman"/>
          <w:color w:val="000000" w:themeColor="text1"/>
          <w:sz w:val="16"/>
          <w:szCs w:val="16"/>
        </w:rPr>
        <w:softHyphen/>
        <w:t>канские компании: Gibbs-HLU, Ingersall-Rnd, Buffalo Lasoline Motor, General Electric и др.Основой нефтеперерабатывающих заводов в Гурьеве и Орске должны бы</w:t>
      </w:r>
      <w:r w:rsidRPr="00722885">
        <w:rPr>
          <w:rFonts w:ascii="Times New Roman" w:hAnsi="Times New Roman"/>
          <w:color w:val="000000" w:themeColor="text1"/>
          <w:sz w:val="16"/>
          <w:szCs w:val="16"/>
        </w:rPr>
        <w:softHyphen/>
        <w:t>ли стать установки каталитического крекинга «Гудри», а заводов в Куйбы</w:t>
      </w:r>
      <w:r w:rsidRPr="00722885">
        <w:rPr>
          <w:rFonts w:ascii="Times New Roman" w:hAnsi="Times New Roman"/>
          <w:color w:val="000000" w:themeColor="text1"/>
          <w:sz w:val="16"/>
          <w:szCs w:val="16"/>
        </w:rPr>
        <w:softHyphen/>
        <w:t>шеве и Красноводске — солярового крекинга «Винклер-Кох» и атмосферно-вакуумные трубчатки.Наиболее современными из них бы</w:t>
      </w:r>
      <w:r w:rsidRPr="00722885">
        <w:rPr>
          <w:rFonts w:ascii="Times New Roman" w:hAnsi="Times New Roman"/>
          <w:color w:val="000000" w:themeColor="text1"/>
          <w:sz w:val="16"/>
          <w:szCs w:val="16"/>
        </w:rPr>
        <w:softHyphen/>
        <w:t>ли установки «Гудри».Первая заводская установка системы «Гудри» была построена в США в 1936 г., а в 1941 г. было уже 14 таких ус</w:t>
      </w:r>
      <w:r w:rsidRPr="00722885">
        <w:rPr>
          <w:rFonts w:ascii="Times New Roman" w:hAnsi="Times New Roman"/>
          <w:color w:val="000000" w:themeColor="text1"/>
          <w:sz w:val="16"/>
          <w:szCs w:val="16"/>
        </w:rPr>
        <w:softHyphen/>
        <w:t>тановок. Периодический процесс «Гудри» был усовершенствован в непрерыв</w:t>
      </w:r>
      <w:r w:rsidRPr="00722885">
        <w:rPr>
          <w:rFonts w:ascii="Times New Roman" w:hAnsi="Times New Roman"/>
          <w:color w:val="000000" w:themeColor="text1"/>
          <w:sz w:val="16"/>
          <w:szCs w:val="16"/>
        </w:rPr>
        <w:softHyphen/>
        <w:t>ный, получивший название «термофорная система». Первоначально планировалось пус</w:t>
      </w:r>
      <w:r w:rsidRPr="00722885">
        <w:rPr>
          <w:rFonts w:ascii="Times New Roman" w:hAnsi="Times New Roman"/>
          <w:color w:val="000000" w:themeColor="text1"/>
          <w:sz w:val="16"/>
          <w:szCs w:val="16"/>
        </w:rPr>
        <w:softHyphen/>
        <w:t>тить в эксплуатацию завод №443 в Куй</w:t>
      </w:r>
      <w:r w:rsidRPr="00722885">
        <w:rPr>
          <w:rFonts w:ascii="Times New Roman" w:hAnsi="Times New Roman"/>
          <w:color w:val="000000" w:themeColor="text1"/>
          <w:sz w:val="16"/>
          <w:szCs w:val="16"/>
        </w:rPr>
        <w:softHyphen/>
        <w:t>бышеве к 1 декабря 1944 г.Постановлением ГКО от 19 августа 1943 г. к январю 1945 г. следовало по</w:t>
      </w:r>
      <w:r w:rsidRPr="00722885">
        <w:rPr>
          <w:rFonts w:ascii="Times New Roman" w:hAnsi="Times New Roman"/>
          <w:color w:val="000000" w:themeColor="text1"/>
          <w:sz w:val="16"/>
          <w:szCs w:val="16"/>
        </w:rPr>
        <w:softHyphen/>
        <w:t>строить и ввести в действие завод №228 в Орске. Уложиться в эти сроки не удалось (15488).</w:t>
      </w:r>
    </w:p>
    <w:p w14:paraId="3E906720"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44D107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октября 1942 вышло Постановление ГКО № 2404 О возложении на Маленкова Г.М. контроля за работой НКЭС. РГАНИР, Фонд ГКО, д. 63, лл. 162 (11012).</w:t>
      </w:r>
    </w:p>
    <w:p w14:paraId="222405E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B0359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октября 1942 Адмиралтейцы закончили испытания ПЛ К-52 после ремонта и передали ее КБФ (10671).</w:t>
      </w:r>
    </w:p>
    <w:p w14:paraId="2AA02E6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E210A0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48B4607" w14:textId="77777777" w:rsidR="00090C9B" w:rsidRPr="00722885" w:rsidRDefault="00090C9B" w:rsidP="00722885">
      <w:pPr>
        <w:pStyle w:val="Iauiue"/>
        <w:jc w:val="both"/>
        <w:rPr>
          <w:iCs/>
          <w:color w:val="000000" w:themeColor="text1"/>
          <w:sz w:val="16"/>
          <w:szCs w:val="16"/>
        </w:rPr>
      </w:pPr>
    </w:p>
    <w:p w14:paraId="5E0A41F3"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11 октября </w:t>
      </w:r>
      <w:r w:rsidRPr="00722885">
        <w:rPr>
          <w:rFonts w:ascii="Times New Roman" w:hAnsi="Times New Roman"/>
          <w:color w:val="000000" w:themeColor="text1"/>
          <w:sz w:val="16"/>
          <w:szCs w:val="16"/>
        </w:rPr>
        <w:t>в 1942 году утреннее сообщение Совинформбюро:</w:t>
      </w:r>
    </w:p>
    <w:p w14:paraId="4A90E516"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11 октября наши войска вели бои с противником в районе Сталинграда и в районе Моздока. На других фронтах никаких изменений не произошло.</w:t>
      </w:r>
    </w:p>
    <w:p w14:paraId="33B166B8"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обороняли занимаемые позиции и вели артиллерийско-миномётную перестрелку с противником. Огнём нашей артиллерии уничтожено 6 миномётных батарей, 9 пулемётов, 20 автомашин, взорвано 2 склада с боеприпасами, рассеяно и частью уничтожено до батальона пехоты противника. Отважные воины тт. Козлов, Мальцев и Сулашев ворвались во вражеский блиндаж и перебили 7 гитлеровцев, затем забросали гранатами ещё два блиндажа противника и уничтожили находившихся там 15 гитлеровцев.</w:t>
      </w:r>
    </w:p>
    <w:p w14:paraId="37BE5FA2"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Н-ской гвардейской части вели бои с противником и несколько продвинулись вперёд. На другом участке нашими подразделениями уничтожено до двух взводов немецких автоматчиков, 2 станковых пулемёта с их расчётами и взорван склад с боеприпасами противника.</w:t>
      </w:r>
    </w:p>
    <w:p w14:paraId="1D67ABEF"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оборонительные бои. Разведывательный отряд Н-ской части совершил ночную вылазку в расположение противника. Нашими бойцами уничтожено 120 немецких солдат и офицеров, подорвано два танка и сожжено 7 автомашин.</w:t>
      </w:r>
    </w:p>
    <w:p w14:paraId="2D3BC0C0"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бойцы части под командованием тов. Дорофеева за два дня отбили 12 атак противника и уничтожили до двух батальонов немецкой пехоты. Захвачены трофеи: 19 пулемётов, огнемёт, миномёт и 10.000 патронов. Красноармеец т. Самойлович огнём из винтовки сбил двухмоторный немецкий самолёт.</w:t>
      </w:r>
    </w:p>
    <w:p w14:paraId="685E3FD1"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Витебской области, напал на колонну гитлеровцев, следовавшую по шоссе. Партизаны убили 35 и ранили до 60 немецко-фашистских оккупантов.</w:t>
      </w:r>
    </w:p>
    <w:p w14:paraId="02C32C5E"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4 роты 5 полка 4 румынской пехотной дивизии Марин Джамбашу рассказал: «В июле 4 рота прибыла на фронт, имея в своём составе 275 солдат. В первых же боях рота понесла огромные потери. После настойчивых требований командира батальона нам прислали пополнение: первый раз 135 и второй раз 35 солдат. В тот день, когда я попал в плен, в роте оставалось 90 солдат. Таким образом, за три месяца наша рота потеряла 355 человек. Многие румынские солдаты не хотят воевать, но животный страх перед немцами удерживает их на фронте. Офицеры предостерегали нас, что если мы отступим, то немцы, находящиеся в тылу нашей дивизии, расстреляют всех».</w:t>
      </w:r>
    </w:p>
    <w:p w14:paraId="1489B3CB"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венгерского офицера найдено неотправленное письмо. В письме говорится: «Деревня, в которой мы находимся, насчитывала примерно 500 жителей. В настоящий момент здесь осталось 12 русских женщин и 5 мужчин. Они живут в грязных землянках. После того как побывали немцы, здесь не осталось ни скота, ни картофеля... Вчера мы повесили пожилую женщину. Когда на неё накинули верёвку, она громко закричала: «Люди добрые! Отомстите за меня немецким гадам!» Сначала мне было трудно смотреть, как вешают людей, но теперь привык».</w:t>
      </w:r>
    </w:p>
    <w:p w14:paraId="01C33B95"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новом злодеянии немецко-фашистских мерзавцев. Немецкие военные власти отдали приказ — расстрелять по 4—6 жителей в каждой деревне Оршанского района, Белорусской ССP. Кровавый приказ гитлеровских бандитов приведён в исполнение. Эсэсовцы, производившие расправу над крестьянами, в некоторых деревнях истребили поголовно всё население.</w:t>
      </w:r>
    </w:p>
    <w:p w14:paraId="39D17C86"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в районе горы Козара ведут бои с немецко-итальянскими захватчиками. Партизаны уничтожили в этом районе до 200 оккупантов и захватили 6 пулемётов, 115 винтовок и более 10.000 патронов.» (14796).</w:t>
      </w:r>
    </w:p>
    <w:p w14:paraId="34A2FFC4"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6C3ADFF0"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11 октября </w:t>
      </w:r>
      <w:r w:rsidRPr="00722885">
        <w:rPr>
          <w:rFonts w:ascii="Times New Roman" w:hAnsi="Times New Roman"/>
          <w:color w:val="000000" w:themeColor="text1"/>
          <w:sz w:val="16"/>
          <w:szCs w:val="16"/>
        </w:rPr>
        <w:t>в 1942 году вечернее сообщение Совинформбюро:</w:t>
      </w:r>
    </w:p>
    <w:p w14:paraId="29ADDCF2"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11 октября наши войска вели бои с противником в районе Сталинграда и в районе Моздока. На других фронтах существенных изменений не произошло.</w:t>
      </w:r>
    </w:p>
    <w:p w14:paraId="0E01F2FA"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потоплено 5 немецких транспортов общим водоизмещением в 16.000 тонн.</w:t>
      </w:r>
    </w:p>
    <w:p w14:paraId="7BD32A19"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4 по 10 октября включительно, в воздушных боях, на аэродромах и огнём зенитной артиллерии уничтожено 123 немецких самолёта. Наши потери за это же время—78 самолётов.</w:t>
      </w:r>
    </w:p>
    <w:p w14:paraId="6F02F3A5"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10 октября нашей авиацией на различных участках фронта уничтожено 5 немецких танков, 30 автомашин с войсками и грузами, подавлен огонь 6 артиллерийских батарей, разбито два железнодорожных эшелона, рассеяно и частью уничтожено до батальона пехоты противника.</w:t>
      </w:r>
    </w:p>
    <w:p w14:paraId="5F49F6CD"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огневой бой с противником. Танки и пехота немцев, понёсшие за последнее время огромные потери, активности не проявляли. Артиллеристы Н-ской части разрушили 8 ДЗОТ'ов, уничтожили 3 орудия, 5 пулемётов и взорвали склад боеприпасов противника. Пулемётные расчёты сержанта Вдовина и младшего лейтенанта Мирончука истребили до 80 немецких солдат и офицеров.</w:t>
      </w:r>
    </w:p>
    <w:p w14:paraId="338E0C09"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бои местного значения и на отдельных участках отбивали атаки гитлеровцев. На участке, обороняемом Н-скойчастью, немецкая пехота при поддержке 6 танков пыталась атаковать наши позиции. Атаки противника отбиты с большими для него потерями. Подбито 3 немецких танка и захвачено несколько пленных. На другом участке огнём нашей артиллерии уничтожены противотанковое орудие, 8 пулемётных гнёзд с прислугой, 2 миномётные батареи и до роты солдат противника.</w:t>
      </w:r>
    </w:p>
    <w:p w14:paraId="6B708EE2"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вели бои с танками и пехотой противника. Бойцы Н-ской части отбили пять вражеских атак и уничтожили до 300 немецких солдат иофицеров. Захвачены радиостанция и 12 автомашин. Сержант Марченко огнём изпротивотанкового орудия уничтожил 4 немецких танка. Бойцы батареи тов. Мелкумоваподбили 7 танков противника. Кроме того, 3 немецких танка подорвались на нашемминном поле.</w:t>
      </w:r>
    </w:p>
    <w:p w14:paraId="5826573B"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Авиация противника в числе 75 бомбардировщиков под прикрытием истребителей произвела налёт на один наш объект. Нашими лётчиками и огнём зенитной артиллерии сбито 26 немецких самолётов.</w:t>
      </w:r>
    </w:p>
    <w:p w14:paraId="51ED5843"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преодолели упорное сопротивление противника, продвинулись вперёд и окружили один населённый пункт. Идут бои на уничтожение немецкого гарнизона. На другом участке бойцы Н-ской части, отбивая атаки гитлеровцев, уничтожили 2 немецких танка, 7 автомашин и истребили до роты пехоты противника.</w:t>
      </w:r>
    </w:p>
    <w:p w14:paraId="195FD669"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противник силою до полка пехоты атаковал наши позиции. Бойцы под командованием тов. Китаева контрударом отбросили немцев и нанесли им большой урон. На поле боя осталось до 700 вражеских трупов. Лётчики-штурмовики под командованием Героя Советского Союзатов. Марютина внезапно атаковали колонну гитлеровцев и уничтожили 2 немецких танка, 2 автомашины, несколько миномётов и рассеяли до батальона пехоты противника.</w:t>
      </w:r>
    </w:p>
    <w:p w14:paraId="0CB14C58"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Брянские партизаны за последние дни пустили под откос шесть немецких железнодорожных эшелонов. Разбито 6 паровозов, 36 вагонов с боеприпасами, 15 платформ с танками и орудиями, 5 платформ с автомашинами и 11 вагонов с войсками.</w:t>
      </w:r>
    </w:p>
    <w:p w14:paraId="08CA896A"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захвачена в плен группа солдат 60 сапёрного батальона противника. Пленные ефрейтор Густав Ребман и солдат Вольдемар Безикер рассказали: «Наш батальон понёс тяжёлые потери. В батальоне каждая рота насчитывала по 210 человек. На 1 октября в 1 роте осталось 26 человек, во 2-й—17 и в 3-й роте—29 солдат. Командир батальона капитан Келлер убит. Командовавший после него батальоном капитан Лайтер ранен. Настроение солдат подавленное. Стараясь поднять настроение, офицеры пустили в ход старый испытанный козырь. Они обманывают солдат, обещая имизо дня в день скорую смену».</w:t>
      </w:r>
    </w:p>
    <w:p w14:paraId="5D0658E2"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истребляют население Польши. В немецких застенках Варшавы только в сентябре замучено и убито свыше 6 тысяч поляков.» (14796).</w:t>
      </w:r>
    </w:p>
    <w:p w14:paraId="578CCAD7"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4F4E73CB"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октября 1942 г. постановление ГКО № 2401сс “О мерах наказания дезертиров, занимающихся бандитизмом, вооруженными грабежами и контрреволюционной повстанческой работой” предусматривало что подвергались репрессиям и невиновные члены семей указанных лиц (17460).</w:t>
      </w:r>
    </w:p>
    <w:p w14:paraId="0FBD1CD9"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65086C19" w14:textId="77777777" w:rsidR="00F071F1" w:rsidRPr="00722885" w:rsidRDefault="00F071F1" w:rsidP="00722885">
      <w:pPr>
        <w:pStyle w:val="Iauiue"/>
        <w:tabs>
          <w:tab w:val="left" w:pos="11199"/>
        </w:tabs>
        <w:jc w:val="both"/>
        <w:rPr>
          <w:color w:val="000000" w:themeColor="text1"/>
          <w:sz w:val="16"/>
          <w:szCs w:val="16"/>
        </w:rPr>
      </w:pPr>
      <w:r w:rsidRPr="00722885">
        <w:rPr>
          <w:color w:val="000000" w:themeColor="text1"/>
          <w:sz w:val="16"/>
          <w:szCs w:val="16"/>
        </w:rPr>
        <w:t>11 октября 1942 вышло Постановление ГКО № 2401 О мерах наказания дезертиров, занимающихся бандитизмом, вооруженными грабежами и контрреволюционной повстанческой работой. (7058, 146).</w:t>
      </w:r>
    </w:p>
    <w:p w14:paraId="0F27EEED" w14:textId="77777777" w:rsidR="00F071F1" w:rsidRPr="00722885" w:rsidRDefault="00F071F1" w:rsidP="00722885">
      <w:pPr>
        <w:pStyle w:val="Iauiue"/>
        <w:tabs>
          <w:tab w:val="left" w:pos="11199"/>
        </w:tabs>
        <w:jc w:val="both"/>
        <w:rPr>
          <w:color w:val="000000" w:themeColor="text1"/>
          <w:sz w:val="16"/>
          <w:szCs w:val="16"/>
        </w:rPr>
      </w:pPr>
    </w:p>
    <w:p w14:paraId="0A05A6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 xml:space="preserve">11 октября 1942 г. командир 505-го </w:t>
      </w:r>
      <w:r w:rsidRPr="00722885">
        <w:rPr>
          <w:iCs/>
          <w:color w:val="000000" w:themeColor="text1"/>
          <w:sz w:val="16"/>
          <w:szCs w:val="16"/>
        </w:rPr>
        <w:t>шап</w:t>
      </w:r>
      <w:r w:rsidRPr="00722885">
        <w:rPr>
          <w:color w:val="000000" w:themeColor="text1"/>
          <w:sz w:val="16"/>
          <w:szCs w:val="16"/>
        </w:rPr>
        <w:t xml:space="preserve"> 226-й </w:t>
      </w:r>
      <w:r w:rsidRPr="00722885">
        <w:rPr>
          <w:iCs/>
          <w:color w:val="000000" w:themeColor="text1"/>
          <w:sz w:val="16"/>
          <w:szCs w:val="16"/>
        </w:rPr>
        <w:t>шад</w:t>
      </w:r>
      <w:r w:rsidRPr="00722885">
        <w:rPr>
          <w:color w:val="000000" w:themeColor="text1"/>
          <w:sz w:val="16"/>
          <w:szCs w:val="16"/>
        </w:rPr>
        <w:t xml:space="preserve"> м-р Л.К.Чумаченко, вы</w:t>
      </w:r>
      <w:r w:rsidRPr="00722885">
        <w:rPr>
          <w:color w:val="000000" w:themeColor="text1"/>
          <w:sz w:val="16"/>
          <w:szCs w:val="16"/>
        </w:rPr>
        <w:softHyphen/>
        <w:t>полняя на тыловом аэродроме задание по вводу в строй молодых летчиков из прибывшего пополнения, заметил в воз</w:t>
      </w:r>
      <w:r w:rsidRPr="00722885">
        <w:rPr>
          <w:color w:val="000000" w:themeColor="text1"/>
          <w:sz w:val="16"/>
          <w:szCs w:val="16"/>
        </w:rPr>
        <w:softHyphen/>
        <w:t>духе 12 немецких бомбардировщиков Ju88, летевших без истребительного прикрытия (немцы в этот период еще могли позволить себе такую роскошь) к станции Эльтон. Прекратив учебные полеты, Чумаченко с одним из обучае</w:t>
      </w:r>
      <w:r w:rsidRPr="00722885">
        <w:rPr>
          <w:color w:val="000000" w:themeColor="text1"/>
          <w:sz w:val="16"/>
          <w:szCs w:val="16"/>
        </w:rPr>
        <w:softHyphen/>
        <w:t>мых летчиков полка взлетел на перехват. Пара Ил-2 набрала высоту 3000 м и стала ожидать возвращения немецких бом</w:t>
      </w:r>
      <w:r w:rsidRPr="00722885">
        <w:rPr>
          <w:color w:val="000000" w:themeColor="text1"/>
          <w:sz w:val="16"/>
          <w:szCs w:val="16"/>
        </w:rPr>
        <w:softHyphen/>
        <w:t>бардировщиков. Когда последние по</w:t>
      </w:r>
      <w:r w:rsidRPr="00722885">
        <w:rPr>
          <w:color w:val="000000" w:themeColor="text1"/>
          <w:sz w:val="16"/>
          <w:szCs w:val="16"/>
        </w:rPr>
        <w:softHyphen/>
        <w:t>явились, Чумаченко со своим ведомым внезапно атаковал головной Ju88. От пулеметно-пушечного огня и РСов "юн</w:t>
      </w:r>
      <w:r w:rsidRPr="00722885">
        <w:rPr>
          <w:color w:val="000000" w:themeColor="text1"/>
          <w:sz w:val="16"/>
          <w:szCs w:val="16"/>
        </w:rPr>
        <w:softHyphen/>
        <w:t>кере" получил серьезные повреждения и произвел вынужденную посадку неда</w:t>
      </w:r>
      <w:r w:rsidRPr="00722885">
        <w:rPr>
          <w:color w:val="000000" w:themeColor="text1"/>
          <w:sz w:val="16"/>
          <w:szCs w:val="16"/>
        </w:rPr>
        <w:softHyphen/>
        <w:t xml:space="preserve">леко от аэродрома 505-го </w:t>
      </w:r>
      <w:r w:rsidRPr="00722885">
        <w:rPr>
          <w:iCs/>
          <w:color w:val="000000" w:themeColor="text1"/>
          <w:sz w:val="16"/>
          <w:szCs w:val="16"/>
        </w:rPr>
        <w:t>шап.</w:t>
      </w:r>
      <w:r w:rsidRPr="00722885">
        <w:rPr>
          <w:color w:val="000000" w:themeColor="text1"/>
          <w:sz w:val="16"/>
          <w:szCs w:val="16"/>
        </w:rPr>
        <w:t xml:space="preserve"> После короткого боя со связистами роты свя</w:t>
      </w:r>
      <w:r w:rsidRPr="00722885">
        <w:rPr>
          <w:color w:val="000000" w:themeColor="text1"/>
          <w:sz w:val="16"/>
          <w:szCs w:val="16"/>
        </w:rPr>
        <w:softHyphen/>
        <w:t>зи ст.л-та Торопова экипаж бомбарди</w:t>
      </w:r>
      <w:r w:rsidRPr="00722885">
        <w:rPr>
          <w:color w:val="000000" w:themeColor="text1"/>
          <w:sz w:val="16"/>
          <w:szCs w:val="16"/>
        </w:rPr>
        <w:softHyphen/>
        <w:t>ровщика был взят в плен (6467).</w:t>
      </w:r>
    </w:p>
    <w:p w14:paraId="15D27E3C" w14:textId="77777777" w:rsidR="00090C9B" w:rsidRPr="00722885" w:rsidRDefault="00090C9B" w:rsidP="00722885">
      <w:pPr>
        <w:pStyle w:val="Iauiue"/>
        <w:jc w:val="both"/>
        <w:rPr>
          <w:color w:val="000000" w:themeColor="text1"/>
          <w:sz w:val="16"/>
          <w:szCs w:val="16"/>
        </w:rPr>
      </w:pPr>
    </w:p>
    <w:p w14:paraId="47417A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октября 1942 пара командира 505-го шап майора Чумаченко перехватила в районе станции Эльтон 12 Ju 88, летевших без истребительного прикрытия. От пулеметно- пушечного огня и РСов один "юнкере" получил серьезные повреждения и произвел вынужденную посадку недалеко от аэродрома полка. После короткого боя с красноармейцами роты связи ст. лейтенанта Торопова экипаж бомбардировщика был взят в плен.</w:t>
      </w:r>
    </w:p>
    <w:p w14:paraId="360804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Через четыре дня пара командира эскадрильи 225-го шап ст. лейтенанта Тюленева в 16.00 была наведена по радио с земли на Не 111. Штурмовики взяли "хейнкель" в клещи и обстреляли сначала РСами, а затем из пушек и пулеметов. Получив повреждения, "хейнкель" упал в районе хутора Благодарный и взорвался. При выходе из атаки штурмовики встретили еще 2 Не 111 и сходу обстреляли их из пушек и пулеметов. Один "немец" упал и взорвался в районе Новоникольского.</w:t>
      </w:r>
    </w:p>
    <w:p w14:paraId="6C9E14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октября, выполняя задачу по охране железной дороги на участке Сайхин-Шун- гай, сержант Сударкин из 945-го шап в одиночку вел бой с 5 Не 111, которые пытались атаковать воинский эшелон с танковой частью на станции Шунгай. Сударкин сбил один "хейнкель", а остальных - заставил беспорядочно сбросить бомбы в поле и убраться восвояси. Приказом командира 206-го шад полковника Срывкина сержант Сударкин был повышен в воинском звании (12020).</w:t>
      </w:r>
    </w:p>
    <w:p w14:paraId="077308E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328DD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октября 1942 советские перегонщики во главе с капитаном Финогеновым повели на запад поступившие 11 сентября 1942 через Канаду на базу Лэдд-филд на Аляске группу из 22 Р-40 усовершенствованной модификации К. На следующий день группа приземлилась в Уэлькале. В первых числах ноября Р-40К по эстафете прибыли в Красноярск. Но дороге потеряли два истребителя - они заблудились в тумане после вылета из Уэлькаля. Вторая партия двинулась в путь 3 ноября. По АЛСИБу Р-40 перегнали немного - всего 43 штуки, все модификации К. Р-40К отличались более мощным мотором V-1710-73 и зализом у корневой части киля. Начиная с серии К-10 на них удлинили хвостовую часть фюзеляжа. Затем пошли Р-40М с двигателем V-1710-81, позволившим несколько поднять максимальную скорость и улучшить скороподъемность. Эта модификация строилась американцами только на экспорт. Последним серийным истребителем в этом большом семействе стал P-40N. Он являлся последней попыткой усовершенствовать машину без кардинальных изменений в конструкции. Однако объем переделок был велик: с целью облегчения цвели алюминиевые радиаторы, новые колеса, ликвидировали один и:? бензобаков, уменьшили боезапас, а на первых сериях вообще сняли два пулемета из шести. С серии N-5 ввели новый фонарь кабины с улучшенным обзором. Эти машины тоже в значительном количестве попали в СССР. Всего за 1942 год приняли 487 "Киттихауков" (3457,63).</w:t>
      </w:r>
    </w:p>
    <w:p w14:paraId="31B648B2" w14:textId="77777777" w:rsidR="00090C9B" w:rsidRPr="00722885" w:rsidRDefault="00090C9B" w:rsidP="00722885">
      <w:pPr>
        <w:pStyle w:val="Iauiue"/>
        <w:jc w:val="both"/>
        <w:rPr>
          <w:color w:val="000000" w:themeColor="text1"/>
          <w:sz w:val="16"/>
          <w:szCs w:val="16"/>
        </w:rPr>
      </w:pPr>
    </w:p>
    <w:p w14:paraId="390F94E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11 октября 1942 вышло Постановление ГКО № 2403 О партизанском движении на Украине. (7058, 153-154,155-161).</w:t>
      </w:r>
    </w:p>
    <w:p w14:paraId="25CF48C4" w14:textId="77777777" w:rsidR="00090C9B" w:rsidRPr="00722885" w:rsidRDefault="00090C9B" w:rsidP="00722885">
      <w:pPr>
        <w:pStyle w:val="Iauiue"/>
        <w:tabs>
          <w:tab w:val="left" w:pos="11199"/>
        </w:tabs>
        <w:jc w:val="both"/>
        <w:rPr>
          <w:color w:val="000000" w:themeColor="text1"/>
          <w:sz w:val="16"/>
          <w:szCs w:val="16"/>
        </w:rPr>
      </w:pPr>
    </w:p>
    <w:p w14:paraId="1C27568E"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11 октября </w:t>
      </w:r>
      <w:r w:rsidRPr="00722885">
        <w:rPr>
          <w:rFonts w:ascii="Times New Roman" w:hAnsi="Times New Roman"/>
          <w:color w:val="000000" w:themeColor="text1"/>
          <w:sz w:val="16"/>
          <w:szCs w:val="16"/>
        </w:rPr>
        <w:t>в 1942 году Политбюро ЦК ВКП(б) приняло решение о составе ЦК КП(б) Белоруссии и о сформировании подпольного ЦК КП(б) Белоруссии (14796).</w:t>
      </w:r>
    </w:p>
    <w:p w14:paraId="2C3046C6"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5317F4D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5917DC6D" w14:textId="77777777" w:rsidR="00090C9B" w:rsidRPr="00722885" w:rsidRDefault="00090C9B" w:rsidP="00722885">
      <w:pPr>
        <w:pStyle w:val="Iauiue"/>
        <w:jc w:val="both"/>
        <w:rPr>
          <w:iCs/>
          <w:color w:val="000000" w:themeColor="text1"/>
          <w:sz w:val="16"/>
          <w:szCs w:val="16"/>
        </w:rPr>
      </w:pPr>
    </w:p>
    <w:p w14:paraId="03702E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октября 1942 года по постановлению СНК СССР и ЦК ВКП(б) № 1682-796с на период с октября 1942 по май 1943 года половина нормы крупы и макарон выдавалась картофелем (за 1 килограмм крупы 5 килограмм картофеля). В связи с недостатком зерна разрешалось вместо печеного хлеба выдавать картофель в соотношении 1:4. В сельской местности допускалась выпечка хлеба с добавлением от 5 до 10 % картофеля. Тем же постановлением ликвидирована, начиная с октября 1942 года, продажа хлеба без карточек по повышенным ценам, за исключением коммерческих ресторанов (Там же, ф. П-1, оп. 2, д. 20, л. 107, 108; ф. Р-405, оп. 6, д. 5, л. 96.) (11911).</w:t>
      </w:r>
    </w:p>
    <w:p w14:paraId="01A2494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E25CB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C0AF714" w14:textId="77777777" w:rsidR="00090C9B" w:rsidRPr="00722885" w:rsidRDefault="00090C9B" w:rsidP="00722885">
      <w:pPr>
        <w:pStyle w:val="Iauiue"/>
        <w:jc w:val="both"/>
        <w:rPr>
          <w:iCs/>
          <w:color w:val="000000" w:themeColor="text1"/>
          <w:sz w:val="16"/>
          <w:szCs w:val="16"/>
        </w:rPr>
      </w:pPr>
    </w:p>
    <w:p w14:paraId="1BB574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октября 1942 состоялась битва у мыса Надежды у Гвадалканала (2261).</w:t>
      </w:r>
    </w:p>
    <w:p w14:paraId="1B3438B5" w14:textId="77777777" w:rsidR="00090C9B" w:rsidRPr="00722885" w:rsidRDefault="00090C9B" w:rsidP="00722885">
      <w:pPr>
        <w:pStyle w:val="Iauiue"/>
        <w:jc w:val="both"/>
        <w:rPr>
          <w:color w:val="000000" w:themeColor="text1"/>
          <w:sz w:val="16"/>
          <w:szCs w:val="16"/>
        </w:rPr>
      </w:pPr>
    </w:p>
    <w:p w14:paraId="3D7025C3"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11 октября </w:t>
      </w:r>
      <w:r w:rsidRPr="00722885">
        <w:rPr>
          <w:rFonts w:ascii="Times New Roman" w:hAnsi="Times New Roman"/>
          <w:color w:val="000000" w:themeColor="text1"/>
          <w:sz w:val="16"/>
          <w:szCs w:val="16"/>
        </w:rPr>
        <w:t>в 1942 году в морском бою у Гуадалканала японские ВМС потеряли крейсер и эсминец (14796).</w:t>
      </w:r>
    </w:p>
    <w:p w14:paraId="1265718D"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58C1DB2E"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11 октября </w:t>
      </w:r>
      <w:r w:rsidRPr="00722885">
        <w:rPr>
          <w:rFonts w:ascii="Times New Roman" w:hAnsi="Times New Roman"/>
          <w:color w:val="000000" w:themeColor="text1"/>
          <w:sz w:val="16"/>
          <w:szCs w:val="16"/>
        </w:rPr>
        <w:t>в 1942 году в бою у мыса Esperance в Тихом океане американская эскадра разбила японскую эскадру , шедшую на помощь гарнизону острова Гуадаканал. Потери японцев - крейсер "Фурутака" и три эсминца. Потери американцев - эсминец "Duncan" (14796).</w:t>
      </w:r>
    </w:p>
    <w:p w14:paraId="20024CF4"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134EECE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5E43A74" w14:textId="77777777" w:rsidR="00090C9B" w:rsidRPr="00722885" w:rsidRDefault="00090C9B" w:rsidP="00722885">
      <w:pPr>
        <w:pStyle w:val="Iauiue"/>
        <w:jc w:val="both"/>
        <w:rPr>
          <w:iCs/>
          <w:color w:val="000000" w:themeColor="text1"/>
          <w:sz w:val="16"/>
          <w:szCs w:val="16"/>
        </w:rPr>
      </w:pPr>
    </w:p>
    <w:p w14:paraId="2FA365BC" w14:textId="77777777" w:rsidR="00CA398D" w:rsidRPr="00722885" w:rsidRDefault="00CA398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октября 1942 года в ответе заместителя главного инженера ВВС КА бригинженера Лапина попытку Москалева опротестовать заключение НИИ ВВС, мотивируя свою позицию тем, что прототип предлагаемого штурмовика – САМ-14 МВ-4 – с заявленными летными данными и полетным весом уже давно летает сообщалось, что: «заключение НИИ ВВС КА, данное по этому предложению, остается в силе». Самолет САМ-14ш не строился (17490).</w:t>
      </w:r>
    </w:p>
    <w:p w14:paraId="2A829EDC" w14:textId="77777777" w:rsidR="00CA398D" w:rsidRPr="00722885" w:rsidRDefault="00CA398D" w:rsidP="00722885">
      <w:pPr>
        <w:spacing w:after="0" w:line="240" w:lineRule="auto"/>
        <w:jc w:val="both"/>
        <w:rPr>
          <w:rFonts w:ascii="Times New Roman" w:hAnsi="Times New Roman"/>
          <w:color w:val="000000" w:themeColor="text1"/>
          <w:sz w:val="16"/>
          <w:szCs w:val="16"/>
        </w:rPr>
      </w:pPr>
    </w:p>
    <w:p w14:paraId="701535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октября 1942 И.о. нач. 2 лаб. ЛИИ В.Н.Сагинов и вед. исп. М.И.Хейфец подписали и 15 октября 1942 Зам. нач. ЛИИ НКАП А.В.Чесалов утвердил Отчет о рез-тах летных испытаний Пе-2 N 19/78 с лобовым сопротивлением, уменьшенным по рекомендациям ЦАГИ производства завода № 22 апреля-мая 1942, которые проходили в сентябре 1942 (810,3).</w:t>
      </w:r>
    </w:p>
    <w:p w14:paraId="78AA29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и М.И.Хейфец</w:t>
      </w:r>
    </w:p>
    <w:p w14:paraId="3311A5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л М.Л.Галлай</w:t>
      </w:r>
    </w:p>
    <w:p w14:paraId="470D33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Объект испытаний</w:t>
      </w:r>
    </w:p>
    <w:p w14:paraId="6083D0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Пе-2 № 19/78 производства завода № 22 апреля-мая 1942 подвергнут проверочным испытаниям в Казанском филиале ЛИИ (Отчет об испытаниях серийного с-та Пе-2 № 19-78 выпуска мая 1942, вед. и А.Е.Брук)</w:t>
      </w:r>
    </w:p>
    <w:p w14:paraId="3BE1E2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испытаниях было установлено, что с-т Пе-2 № 19-78 значительно отличается от с-тов первых серий по качеству выполнения:</w:t>
      </w:r>
    </w:p>
    <w:p w14:paraId="63C34C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поверхность крыла неровная и образует продольные и поперечные волны, концы слальных лент у задней кромки крыла образуют щели шириной 10х60 мм</w:t>
      </w:r>
    </w:p>
    <w:p w14:paraId="5664BD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посадочные щитки плохо подогнаны и в верхнем состоянии образуют уступ высотой 3-5 мм</w:t>
      </w:r>
    </w:p>
    <w:p w14:paraId="71BBC1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задняя кромка крыла между мотогондолой и фюзеляжем долстигает толщины примерно 20 мм</w:t>
      </w:r>
    </w:p>
    <w:p w14:paraId="4B0668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лючки на нижней части крыла и меют зазоры до 3-5 мм</w:t>
      </w:r>
    </w:p>
    <w:p w14:paraId="4FDB5C69"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в полете отсасывает лючек горловины б/б на 5 мм</w:t>
      </w:r>
    </w:p>
    <w:p w14:paraId="2D750236"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поверхность фюзеляжа не ровная, на местах проклейки - волны</w:t>
      </w:r>
    </w:p>
    <w:p w14:paraId="7CE291D4"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зализ стабилизатора плохо подогнан</w:t>
      </w:r>
    </w:p>
    <w:p w14:paraId="1B016568"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бомболюки полностью не закрываются, образуя зазор в 6 мм при стоянке на земле и 8-9 мм в полете</w:t>
      </w:r>
    </w:p>
    <w:p w14:paraId="1F9C1622"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задний обтекатель фонаря кабины смещен в бок, вследствие чего получаются уступы до 15 мм. Щель между замком и обтекателем имеет ширину порядка 10 мм и т.д. и т.п.</w:t>
      </w:r>
    </w:p>
    <w:p w14:paraId="4209D78A"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После окончания летных испытаний в Казани с-т был передан в 1 лабораторию ЦАГИ для продувки а трубе Т-101. На основе продувок был начемен ряд мероприятий, позволяющих снизити Сх на 0,0042.</w:t>
      </w:r>
    </w:p>
    <w:p w14:paraId="0E9EA406"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Из числа намеченных улучшений на с-те Пе-2 № 19-78 были проведены следующие мероприятия:</w:t>
      </w:r>
    </w:p>
    <w:p w14:paraId="77073A51"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поверхность крыла выправлена нитрошпаклевкой по шаблонам и покрыта нитрокраской при помощи пульверизатора</w:t>
      </w:r>
    </w:p>
    <w:p w14:paraId="6B5521D8"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обеспечено полное поджатие к крылу посадочных щитков по всему размаху и уничтожен выступ у передней кромки щитков, а также около мотогондолы и фюзеляжа</w:t>
      </w:r>
    </w:p>
    <w:p w14:paraId="3C005561"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уменьшены боковые щели между элероном и крылом, а также щели между внешними и внутренними частями элерона</w:t>
      </w:r>
    </w:p>
    <w:p w14:paraId="73D83217"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выправлены стыковочные ленты</w:t>
      </w:r>
    </w:p>
    <w:p w14:paraId="4806A3FA"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проверена и улучшена герметизация водорадиатора</w:t>
      </w:r>
    </w:p>
    <w:p w14:paraId="41CD7EF8"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удалены уступы, щели между другими элементами конструкции. Поверхность капотов выправлена выколоткой</w:t>
      </w:r>
    </w:p>
    <w:p w14:paraId="038CBF12"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проведена герметизация капотов путем постановки в местах стыка крышек капота скользящих металлических прокладок</w:t>
      </w:r>
    </w:p>
    <w:p w14:paraId="498ADA40"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проведена и улучшена герметизация тоннелей маслорадиатора. Улучшена аэродинамика входного отверстия тоннеля</w:t>
      </w:r>
    </w:p>
    <w:p w14:paraId="6EE39261"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lastRenderedPageBreak/>
        <w:t>- проведена герметизация фюзеляжа, мотогондол, куполов шасси и хвостового колеса (люков)</w:t>
      </w:r>
    </w:p>
    <w:p w14:paraId="2B7377DE"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Весь с-т был окрашен заново нитрокраской при помощи стабилизатора.</w:t>
      </w:r>
    </w:p>
    <w:p w14:paraId="07CA5765"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После этого, он был передан в ЛИИ для летных испытаний.</w:t>
      </w:r>
    </w:p>
    <w:p w14:paraId="788765B3"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Результаты испытаний:</w:t>
      </w:r>
    </w:p>
    <w:p w14:paraId="7D558414"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Испытывался при полетном весе 7650 кг</w:t>
      </w:r>
    </w:p>
    <w:p w14:paraId="54B8DD70"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Выводы:</w:t>
      </w:r>
    </w:p>
    <w:p w14:paraId="5313FA5D"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1. Улучшение внешней отделки с-та качества стыковки отдельных деталей и узлов и герметизация фюзеляжа и мотогондол значительно снизили общее лобовое сопрпотивление с-та. Это привело к увеличению максимальной скорости на 25-28 км/час.</w:t>
      </w:r>
    </w:p>
    <w:p w14:paraId="4078921C"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2. Изменение профилировки тоннелей маслорадиаторов улучшило охлаждение масла и позволило производить набор высоты при 100-105 гр, при открытии совков маслорадиаторов на 67-75 при температуре, превышающей стандартную на 10 гр. (810,3).</w:t>
      </w:r>
    </w:p>
    <w:p w14:paraId="6C8A0B38" w14:textId="77777777" w:rsidR="00090C9B" w:rsidRPr="00722885" w:rsidRDefault="00090C9B" w:rsidP="00722885">
      <w:pPr>
        <w:pStyle w:val="Iauiue"/>
        <w:widowControl/>
        <w:jc w:val="both"/>
        <w:rPr>
          <w:color w:val="000000" w:themeColor="text1"/>
          <w:sz w:val="16"/>
          <w:szCs w:val="16"/>
        </w:rPr>
      </w:pPr>
    </w:p>
    <w:p w14:paraId="06DD55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октября 1942 вышел приказ НКАП N 764, предусматривающий мероприятия по повышению ЛТД Ла-5 производства 21 завод к 20 октября и после испытаний нового убранного маслорадиатора запустить в серию с 15 ноября. К 16 октября предъявить на совместные испытания серийный Ла-5 с изменениями (912,40).</w:t>
      </w:r>
    </w:p>
    <w:p w14:paraId="74217C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повышения летно-тактических данных с-та Ла-5 приказываю:</w:t>
      </w:r>
    </w:p>
    <w:p w14:paraId="43A3A4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Внедрить в серийное производство:</w:t>
      </w:r>
    </w:p>
    <w:p w14:paraId="77DF2A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улучшенную в передней части форму всасявающего патрубка с 20 октября с.г.</w:t>
      </w:r>
    </w:p>
    <w:p w14:paraId="477F47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полную герметизацию внутреннего капота с 20 октября с.г.</w:t>
      </w:r>
    </w:p>
    <w:p w14:paraId="78E30A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максимальное закрытие внешних щелей с 20 октября с.г.</w:t>
      </w:r>
    </w:p>
    <w:p w14:paraId="392889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Провести испытания одного Ла-5 с полность.ю убранным маслорадиатором и в случае благоприятных результатов запустить с 15 ноября с.г. в серийное производство.</w:t>
      </w:r>
    </w:p>
    <w:p w14:paraId="6336E4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Закончить отработку и испытания щитков на закрытие куполов колес и с 5 ноября с.г. внедрить в серийное пр-во</w:t>
      </w:r>
    </w:p>
    <w:p w14:paraId="4BE517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К 16 октября предъявить на совместные испытания серийный с-т Ла-5 с нижеследующими изменениями:</w:t>
      </w:r>
    </w:p>
    <w:p w14:paraId="2EC2E8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облегченной консолью</w:t>
      </w:r>
    </w:p>
    <w:p w14:paraId="066266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измененоой конструкцией бензобаков</w:t>
      </w:r>
    </w:p>
    <w:p w14:paraId="07F43E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увеличенными центроплановыми бензобаками с емкостью до 360 кг</w:t>
      </w:r>
    </w:p>
    <w:p w14:paraId="4005F8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с установкой однго БС вместо одного СШ-20</w:t>
      </w:r>
    </w:p>
    <w:p w14:paraId="400E63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улучшенным бронированием спины и головы</w:t>
      </w:r>
    </w:p>
    <w:p w14:paraId="0304B7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 с передним бронелистом</w:t>
      </w:r>
    </w:p>
    <w:p w14:paraId="670BEE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ж) с обрезанным гаргротом и улучшенным обзором назад</w:t>
      </w:r>
    </w:p>
    <w:p w14:paraId="4FD2BC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 с улучшенным механизмом работы гидравлики</w:t>
      </w:r>
    </w:p>
    <w:p w14:paraId="629664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К 25 октября с.г. предъявить на совместные испытания один с-т Ла-5, в котором были бы проведены мероприятия, указанные в пп. 1, 2, 3, 4</w:t>
      </w:r>
    </w:p>
    <w:p w14:paraId="3E92A3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Кроме того, на указанном самолете должен быть установлен мотор с непосредственным впрыском</w:t>
      </w:r>
    </w:p>
    <w:p w14:paraId="1AA01A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Директору завода № 21 т. Агаджанову одновременно немедленно развергуть подготовку в серийном производстве к проведению указанных мероприятий (912,40).</w:t>
      </w:r>
    </w:p>
    <w:p w14:paraId="0B34947E" w14:textId="77777777" w:rsidR="00090C9B" w:rsidRPr="00722885" w:rsidRDefault="00090C9B" w:rsidP="00722885">
      <w:pPr>
        <w:pStyle w:val="Iauiue"/>
        <w:jc w:val="both"/>
        <w:rPr>
          <w:color w:val="000000" w:themeColor="text1"/>
          <w:sz w:val="16"/>
          <w:szCs w:val="16"/>
        </w:rPr>
      </w:pPr>
    </w:p>
    <w:p w14:paraId="7B315C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C 12 по 17 октября 1942 в НИИ ВВС проходили испытания облегченного Як-1 96 серии и Ю.А.Антипов выполнил 8 полетов продолжительностью 6:15. В бригаде были ви М.А.Пронин и м К.С.Медведев (65,64).</w:t>
      </w:r>
    </w:p>
    <w:p w14:paraId="2FAF989F" w14:textId="77777777" w:rsidR="00090C9B" w:rsidRPr="00722885" w:rsidRDefault="00090C9B" w:rsidP="00722885">
      <w:pPr>
        <w:pStyle w:val="Iauiue"/>
        <w:jc w:val="both"/>
        <w:rPr>
          <w:color w:val="000000" w:themeColor="text1"/>
          <w:sz w:val="16"/>
          <w:szCs w:val="16"/>
        </w:rPr>
      </w:pPr>
    </w:p>
    <w:p w14:paraId="7E7ED5B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октября 1942 г. пятый летающий И-185М-71 (так называемый «об</w:t>
      </w:r>
      <w:r w:rsidRPr="00722885">
        <w:rPr>
          <w:rFonts w:ascii="Times New Roman" w:hAnsi="Times New Roman"/>
          <w:color w:val="000000" w:themeColor="text1"/>
          <w:sz w:val="16"/>
          <w:szCs w:val="16"/>
        </w:rPr>
        <w:softHyphen/>
        <w:t>разцовый»), построенный на заводе №51, закончил заводские испытания, которые проходили с 28 мая. Совершил 21 полет с общим налетом 10 часов 35 минут. Была достигнута максимальная скорость 577 км/ч с форсажем у земли и 667 км/ч на вы</w:t>
      </w:r>
      <w:r w:rsidRPr="00722885">
        <w:rPr>
          <w:rFonts w:ascii="Times New Roman" w:hAnsi="Times New Roman"/>
          <w:color w:val="000000" w:themeColor="text1"/>
          <w:sz w:val="16"/>
          <w:szCs w:val="16"/>
        </w:rPr>
        <w:softHyphen/>
        <w:t>соте 6100 м (9979).</w:t>
      </w:r>
    </w:p>
    <w:p w14:paraId="62D9B20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48FD41E" w14:textId="77777777" w:rsidR="00CA398D" w:rsidRPr="00722885" w:rsidRDefault="00CA398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12 октября 1942 г. со скромным налетом 10 ч 35 мин - слетали всего 21 раз и сняли лишь часть летных данных - завершили первую заводскую часть программы испытаний Эталона 1 (не выполнив всех положенных проверок) Как оказалось, большинство старых дефектов устранить на "Эталоне" не удалось. Наблюдалась неудовлетворительная работа шасси, пневмосистемы, а в одном из полетов на скорости 610 км/ч даже разрушился капот мотора.</w:t>
      </w:r>
    </w:p>
    <w:p w14:paraId="2CC95C5D" w14:textId="77777777" w:rsidR="00CA398D" w:rsidRPr="00722885" w:rsidRDefault="00CA398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После доработки все же достигли максимальной скорости 600 км/ч у земли и 680 км/ч на высоте 6100 м. Вираж на высоте 1000 м самолет выполнял за 22-23 с (левый/правый), а за один боевой разворот он набирал 1200 м высоты, что было несколько лучше, чем у Як-9 выпуска 1942 г. (1120 м). Превосходил он истребители Яковлева и по скороподъемности, набирая высоту 5000 м за 4,7 мин. (17737)</w:t>
      </w:r>
    </w:p>
    <w:p w14:paraId="43E930FB" w14:textId="77777777" w:rsidR="00CA398D" w:rsidRPr="00722885" w:rsidRDefault="00CA398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408D4D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октября 1942 года закончились заводские испытания И-185 М-71 эталона 71 с улучшенной внешней и внутренней аэродинамикой капота мотора, с установкой 3-пушечного вооружения и устранением ранее обнаруженных недостатков. Длительный срок испытаний был вызван потребовавшимися доработками ВМГ из-за высокого тем</w:t>
      </w:r>
      <w:r w:rsidRPr="00722885">
        <w:rPr>
          <w:rFonts w:ascii="Times New Roman" w:hAnsi="Times New Roman"/>
          <w:color w:val="000000" w:themeColor="text1"/>
          <w:sz w:val="16"/>
          <w:szCs w:val="16"/>
        </w:rPr>
        <w:softHyphen/>
        <w:t>пературного режима мотора. Были получены высокие летные данные: максимальная ско</w:t>
      </w:r>
      <w:r w:rsidRPr="00722885">
        <w:rPr>
          <w:rFonts w:ascii="Times New Roman" w:hAnsi="Times New Roman"/>
          <w:color w:val="000000" w:themeColor="text1"/>
          <w:sz w:val="16"/>
          <w:szCs w:val="16"/>
        </w:rPr>
        <w:softHyphen/>
        <w:t>рость у земли на номинале - 537 км/ч, на форсаже (Н=90 м) - 577 км/ч, на 2-й границе высотности 6100 м -667 км/ч, время набора 5000 м - 4,7 мин. Такими показателями в это вре</w:t>
      </w:r>
      <w:r w:rsidRPr="00722885">
        <w:rPr>
          <w:rFonts w:ascii="Times New Roman" w:hAnsi="Times New Roman"/>
          <w:color w:val="000000" w:themeColor="text1"/>
          <w:sz w:val="16"/>
          <w:szCs w:val="16"/>
        </w:rPr>
        <w:softHyphen/>
        <w:t>мя не обладал ни один из отече</w:t>
      </w:r>
      <w:r w:rsidRPr="00722885">
        <w:rPr>
          <w:rFonts w:ascii="Times New Roman" w:hAnsi="Times New Roman"/>
          <w:color w:val="000000" w:themeColor="text1"/>
          <w:sz w:val="16"/>
          <w:szCs w:val="16"/>
        </w:rPr>
        <w:softHyphen/>
        <w:t>ственных и известных иностранных ис</w:t>
      </w:r>
      <w:r w:rsidRPr="00722885">
        <w:rPr>
          <w:rFonts w:ascii="Times New Roman" w:hAnsi="Times New Roman"/>
          <w:color w:val="000000" w:themeColor="text1"/>
          <w:sz w:val="16"/>
          <w:szCs w:val="16"/>
        </w:rPr>
        <w:softHyphen/>
        <w:t>требителей (Ме-109С-2 в НИИ ВВС испытывался позже) (10705).</w:t>
      </w:r>
    </w:p>
    <w:p w14:paraId="41D9224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204DB27"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12 октября 1942 г. закончились за</w:t>
      </w:r>
      <w:r w:rsidRPr="00722885">
        <w:rPr>
          <w:rFonts w:ascii="Times New Roman" w:cs="Times New Roman"/>
          <w:color w:val="000000" w:themeColor="text1"/>
          <w:spacing w:val="0"/>
        </w:rPr>
        <w:softHyphen/>
        <w:t>водские испытания И-185-М-71 с улучшенной внешней и внутренней аэродинамикой капота мотора, с ус</w:t>
      </w:r>
      <w:r w:rsidRPr="00722885">
        <w:rPr>
          <w:rFonts w:ascii="Times New Roman" w:cs="Times New Roman"/>
          <w:color w:val="000000" w:themeColor="text1"/>
          <w:spacing w:val="0"/>
        </w:rPr>
        <w:softHyphen/>
        <w:t xml:space="preserve">тановкой 3-пушечного вооружения и устранением ранее обнаруженных недостатков, которые продолжались всё лето и Столь длительный срок был вызван потребовавшимися доработками ВМГ из-за высокого температурного режима мотора. </w:t>
      </w:r>
    </w:p>
    <w:p w14:paraId="4F584D72"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Как оказалось, усилия потратили не зря. Получили высокие лётные данные: макси</w:t>
      </w:r>
      <w:r w:rsidRPr="00722885">
        <w:rPr>
          <w:rFonts w:ascii="Times New Roman" w:cs="Times New Roman"/>
          <w:color w:val="000000" w:themeColor="text1"/>
          <w:spacing w:val="0"/>
        </w:rPr>
        <w:softHyphen/>
        <w:t>мальная скорость у земли на номинале — 537 км/ч, на форсаже (Н=90 м) — 577 км/ч, на 2-й границе высотности 6100 м — 667 км/ч, время набора 5000 м — 4,7 мин. В то время такими показателями не обладал ни один из отечественных и известных ино</w:t>
      </w:r>
      <w:r w:rsidRPr="00722885">
        <w:rPr>
          <w:rFonts w:ascii="Times New Roman" w:cs="Times New Roman"/>
          <w:color w:val="000000" w:themeColor="text1"/>
          <w:spacing w:val="0"/>
        </w:rPr>
        <w:softHyphen/>
        <w:t>странных истребителей (</w:t>
      </w:r>
      <w:r w:rsidRPr="00722885">
        <w:rPr>
          <w:rFonts w:ascii="Times New Roman" w:cs="Times New Roman"/>
          <w:color w:val="000000" w:themeColor="text1"/>
          <w:spacing w:val="0"/>
          <w:lang w:val="en-US"/>
        </w:rPr>
        <w:t>Bf</w:t>
      </w:r>
      <w:r w:rsidRPr="00722885">
        <w:rPr>
          <w:rFonts w:ascii="Times New Roman" w:cs="Times New Roman"/>
          <w:color w:val="000000" w:themeColor="text1"/>
          <w:spacing w:val="0"/>
        </w:rPr>
        <w:t>.109</w:t>
      </w:r>
      <w:r w:rsidRPr="00722885">
        <w:rPr>
          <w:rFonts w:ascii="Times New Roman" w:cs="Times New Roman"/>
          <w:color w:val="000000" w:themeColor="text1"/>
          <w:spacing w:val="0"/>
          <w:lang w:val="en-US"/>
        </w:rPr>
        <w:t>G</w:t>
      </w:r>
      <w:r w:rsidRPr="00722885">
        <w:rPr>
          <w:rFonts w:ascii="Times New Roman" w:cs="Times New Roman"/>
          <w:color w:val="000000" w:themeColor="text1"/>
          <w:spacing w:val="0"/>
        </w:rPr>
        <w:t>-2 в НИИ ВВС испытывался позже). Дело с доводкой М-71 также продвинулось вперёд (15813).</w:t>
      </w:r>
    </w:p>
    <w:p w14:paraId="099FE5EF"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p>
    <w:p w14:paraId="5644BB4B" w14:textId="77777777" w:rsidR="00F071F1"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5D2124D" w14:textId="77777777" w:rsidR="00F071F1" w:rsidRPr="00722885" w:rsidRDefault="00F071F1" w:rsidP="00722885">
      <w:pPr>
        <w:pStyle w:val="Iauiue"/>
        <w:jc w:val="both"/>
        <w:rPr>
          <w:iCs/>
          <w:color w:val="000000" w:themeColor="text1"/>
          <w:sz w:val="16"/>
          <w:szCs w:val="16"/>
        </w:rPr>
      </w:pPr>
    </w:p>
    <w:p w14:paraId="0714D696"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12 октября </w:t>
      </w:r>
      <w:r w:rsidRPr="00722885">
        <w:rPr>
          <w:rFonts w:ascii="Times New Roman" w:hAnsi="Times New Roman"/>
          <w:color w:val="000000" w:themeColor="text1"/>
          <w:sz w:val="16"/>
          <w:szCs w:val="16"/>
        </w:rPr>
        <w:t>в 1942 году утренее сообщение Совинформбюро:</w:t>
      </w:r>
    </w:p>
    <w:p w14:paraId="4578FE53"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12 октября наши войска вели бои с противником в районеСталинграда и в районе Моздока. На других фронтах никаких изменений непроизошло.</w:t>
      </w:r>
    </w:p>
    <w:p w14:paraId="4DC19B15"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Сталинграда продолжалась артиллерийская и миномётная перестрелка.Гвардейцы-миномётчики подбили и сожгли 7 немецких танков и рассеяли скоплениепехоты противника. На окраине рабочего посёлка гитлеровцы силою до двухбатальонов атаковали наши позиции. Бойцы Н-ской части отбили атаку немцев,уничтожив при этом до двух рот пехоты противника.</w:t>
      </w:r>
    </w:p>
    <w:p w14:paraId="176741CF"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наше подразделение атаковало противника изахватило выгодные позиции. В этом бою немцы потеряли убитыми 120 солдат иофицеров. Группа наших разведчиков пробралась в расположение противника,уничтожила расчёт вражеского противотанкового орудия и доставила орудие в своючасть.</w:t>
      </w:r>
    </w:p>
    <w:p w14:paraId="6F54591E"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после упорных боёв наши части несколько продвинулись вперёди вернули оставленный накануне оборонительный рубеж. В результате боёв на этомучастке подбито и сожжено 6 немецких танков и уничтожено до 200 солдат иофицеров противника. Зенитчики Н-ской части сбили 2 немецкихбомбардировщика.</w:t>
      </w:r>
    </w:p>
    <w:p w14:paraId="11EBD993"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вели упорные уличные бои в одномнаселённом пункте. Советские бойцы очищают от гитлеровцев дом за домом ипродвигаются вперёд. Окружённый немецкий гарнизон несёт тяжёлые потери.Захваченные в плен немецкие солдаты сообщили, что 228 и 229 немецкие пехотныеполки за последние дни потеряли почти половину личного состава. Огнём нашейзенитной артиллерии над передним краем обороны сбито 5 немецких самолётов.</w:t>
      </w:r>
    </w:p>
    <w:p w14:paraId="200691AE"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«Победа», действующий в Витебской области, за месяц боевыхдействий истребил 230 немецко-фашистских оккупантов, уничтожил 22 автомашины,автобус и авторемонтную мастерскую. Кроме того, партизаны пустили под откосжелезнодорожный состав с боеприпасами противника.</w:t>
      </w:r>
    </w:p>
    <w:p w14:paraId="370F794F"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захвачена в плен группа солдат 11 роты 134 полка 44немецкой пехотной дивизии. Фельдфебель Вильгельм Мейзен, унтер-офицер АльфредМурцик, ефрейтор Рудольф Рейф, солдат Алоиз Планк и другие рассказали: «Нашейроте было приказано выбить русских из населённого пункта и закрепиться в нём. Норусские отразили контратаку. Мы понесли большие потери. В числе убитых находитсяи командир роты лейтенант Кайбель. Это уже пятый по счёту командир роты,выбывший из строя. Русские отрезали нам все пути к отходу. Всякое сопротивлениебыло бессмысленно. Мы договорились сдаться в плен и выбросили белый флаг».</w:t>
      </w:r>
    </w:p>
    <w:p w14:paraId="67AD8EE8"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 убитого немецкого солдата Хорста Шарфа найдено неотправленное письмо кродным в Лейпциг. В письме говорится: «...Судьба долго меня щадила и оберегала,чтобы заставить испытать самые ужасные муки, какие только могут быть на этомсвете. За десять дней я потерял всех товарищей. После того как в моей </w:t>
      </w:r>
      <w:r w:rsidRPr="00722885">
        <w:rPr>
          <w:rFonts w:ascii="Times New Roman" w:hAnsi="Times New Roman"/>
          <w:color w:val="000000" w:themeColor="text1"/>
          <w:sz w:val="16"/>
          <w:szCs w:val="16"/>
        </w:rPr>
        <w:lastRenderedPageBreak/>
        <w:t>ротеосталось 9 человек, её расформировали. Я теперь кочую из одной роты в другую.Несколько дней находился в мотоциклетном взводе. Этого взвода теперь тоже нет.Для многих из нас позиции в окрестностях Сталинграда стали могилой. Да,Сталинград—это такой крепкий орешек, о который можно сломать даже стальные зубы.Только тот, кто побывал здесь, может понять, что мы сейчас далеки от победы, какникогда раньше».</w:t>
      </w:r>
    </w:p>
    <w:p w14:paraId="085057DD"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Гитлеровские мерзавцы сожгли деревню Барсуки, Сиротинского района, Витебскойобласти. Немцы одновременно подожгли несколько домов в разных концах деревни.Когда крестьяне стали выбегать из горящих изб, гитлеровские бандиты открылистрельбу из автоматов. Убиты и погибли в огне 35 жителей деревни.</w:t>
      </w:r>
    </w:p>
    <w:p w14:paraId="0D477D40"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предместьях Парижа группа свободных стрелков из засады обстреляла немецкуюавтоколонну с солдатами. Французские патриоты истребили 17 гитлеровцев и сожгли 2 грузовые машины (14797).</w:t>
      </w:r>
    </w:p>
    <w:p w14:paraId="0A9CAA10"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3734E8ED"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12 октября </w:t>
      </w:r>
      <w:r w:rsidRPr="00722885">
        <w:rPr>
          <w:rFonts w:ascii="Times New Roman" w:hAnsi="Times New Roman"/>
          <w:color w:val="000000" w:themeColor="text1"/>
          <w:sz w:val="16"/>
          <w:szCs w:val="16"/>
        </w:rPr>
        <w:t>в 1942 году вечернее сообщение Совинформбюро:</w:t>
      </w:r>
    </w:p>
    <w:p w14:paraId="03D8A005"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12 октября наши войска вели бои с противником в районе Сталинграда и в районе Моздока. На других фронтах никаких изменений не произошло.</w:t>
      </w:r>
    </w:p>
    <w:p w14:paraId="287FA414"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Сталинграда продолжалась артиллерийская и миномётная перестрелка. Гвардейцы-миномётчики подбили и сожгли 7 немецких танков и рассеяли скопление пехоты противника. На окраине рабочего посёлка гитлеровцы силою до двух батальонов атаковали наши позиции. Бойцы Н-ской части отбили атаку немцев, уничтожив при этом до двух рот пехоты противника.</w:t>
      </w:r>
    </w:p>
    <w:p w14:paraId="43C658F3"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наше подразделение атаковало противника и захватило выгодные позиции. В этом бою немцы потеряли убитыми 120 солдат и офицеров. Группа наших разведчиков пробралась в расположение противника, уничтожила расчёт вражеского противотанкового орудия и доставила орудие в свою часть.</w:t>
      </w:r>
    </w:p>
    <w:p w14:paraId="2B4F3945"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после упорных боёв наши части несколько продвинулись вперёд и вернули оставленный накануне оборонительный рубеж. В результате боёв на этом участке подбито и сожжено 6 немецких танков и уничтожено до 200 солдат и офицеров противника. Зенитчики Н-ской части сбили 2 немецких бомбардировщика.</w:t>
      </w:r>
    </w:p>
    <w:p w14:paraId="1954E17D"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вели упорные уличные бои в одном населённом пункте. Советские бойцы очищают от гитлеровцев дом за домом и продвигаются вперёд. Окружённый немецкий гарнизон несёт тяжёлые потери. Захваченные в плен немецкие солдаты сообщили, что 228 и 229 немецкие пехотные полки за последние дни потеряли почти половину личного состава. Огнём нашей зенитной артиллерии над передним краем обороны сбито 5 немецких самолётов.</w:t>
      </w:r>
    </w:p>
    <w:p w14:paraId="685B2E95"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«Победа», действующий в Витебской области, за месяц боевых действий истребил 230 немецко-фашистских оккупантов, уничтожил 22 автомашины, автобус и авторемонтную мастерскую. Кроме того, партизаны пустили под откос железнодорожный состав с боеприпасами противника.</w:t>
      </w:r>
    </w:p>
    <w:p w14:paraId="0D16F07C"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захвачена в плен группа солдат 11 роты 134 полка 44 немецкой пехотной дивизии. Фельдфебель Вильгельм Мейзен, унтер-офицер Альфред Мурцик, ефрейтор Рудольф Рейф, солдат Алоиз Планк и другие рассказали: «Нашей роте было приказано выбить русских из населённого пункта и закрепиться в нём. Но русские отразили контратаку. Мы понесли большие потери. В числе убитых находится и командир роты лейтенант Кайбель. Это уже пятый по счёту командир роты, выбывший из строя. Русские отрезали нам все пути к отходу. Всякое сопротивление было бессмысленно. Мы договорились сдаться в плен и выбросили белый флаг».</w:t>
      </w:r>
    </w:p>
    <w:p w14:paraId="44147D2B"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убитого немецкого солдата Хорста Шарфа найдено неотправленное письмо к родным в Лейпциг. В письме говорится: «...Судьба долго меня щадила и оберегала, чтобы заставить испытать самые ужасные муки, какие только могут быть на этом свете. За десять дней я потерял всех товарищей. После того как в моей роте осталось 9 человек, её расформировали. Я теперь кочую из одной роты в другую. Несколько дней находился в мотоциклетном взводе. Этого взвода теперь тоже нет. Для многих из нас позиции в окрестностях Сталинграда стали могилой. Да, Сталинград—это такой крепкий орешек, о который можно сломать даже стальные зубы.Только тот, кто побывал здесь, может понять, что мы сейчас далеки от победы, как никогда раньше».</w:t>
      </w:r>
    </w:p>
    <w:p w14:paraId="6112B655"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Гитлеровские мерзавцы сожгли деревню Барсуки, Сиротинского района, Витебской области. Немцы одновременно подожгли несколько домов в разных концах деревни. Когда крестьяне стали выбегать из горящих изб, гитлеровские бандиты открыли стрельбу из автоматов. Убиты и погибли в огне 35 жителей деревни.</w:t>
      </w:r>
    </w:p>
    <w:p w14:paraId="25E9C14F"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предместьях Парижа группа свободных стрелков из засады обстреляла немецкую автоколонну с солдатами. Французские патриоты истребили 17 гитлеровцев и сожгли 2 грузовые машины.» (14797).</w:t>
      </w:r>
    </w:p>
    <w:p w14:paraId="13A9B2CB"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703CC6F9"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12 октября </w:t>
      </w:r>
      <w:r w:rsidRPr="00722885">
        <w:rPr>
          <w:rFonts w:ascii="Times New Roman" w:hAnsi="Times New Roman"/>
          <w:color w:val="000000" w:themeColor="text1"/>
          <w:sz w:val="16"/>
          <w:szCs w:val="16"/>
        </w:rPr>
        <w:t>в 1942 году По приказу командующего Сталинградским фронтом части 37-й Гвардейской и 95-й стрелковых дивизий контратаковали немецкие войска в направлении окраины поселка тракторного завода. Но атака успеха не принесла-удалось незначительно продвинуться лишь на отдельных участках (14797).</w:t>
      </w:r>
    </w:p>
    <w:p w14:paraId="66AA2542"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286436E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279B4BA2" w14:textId="77777777" w:rsidR="00090C9B" w:rsidRPr="00722885" w:rsidRDefault="00090C9B" w:rsidP="00722885">
      <w:pPr>
        <w:pStyle w:val="Iauiue"/>
        <w:jc w:val="both"/>
        <w:rPr>
          <w:iCs/>
          <w:color w:val="000000" w:themeColor="text1"/>
          <w:sz w:val="16"/>
          <w:szCs w:val="16"/>
        </w:rPr>
      </w:pPr>
    </w:p>
    <w:p w14:paraId="0BB148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октября 1942 года</w:t>
      </w:r>
    </w:p>
    <w:p w14:paraId="2B2A43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 РУЗВЕЛЬТ И. В. СТАЛИНУ *</w:t>
      </w:r>
    </w:p>
    <w:p w14:paraId="0F6F7A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 изучаю все возможности увеличения количества истребителей, поставляемых Советскому Союзу. Дело в том, что все производство “Аэрокобр” идет сейчас немедленно на фронт. Несмотря на то что эти неотложные военные нужды исключают в настоящий момент возможность увеличения количества “Аэрокобр” для Вас, тем не менее, чтобы дать Вам больше самолетов, я надеюсь увеличить наше производство этого типа за счет других типов. Точно так же, если наши предстоящие операции, о которых Вы знаете, окажутся такими же успешными, какими они обещают быть, то тогда мы будем в состоянии выделить истребители.</w:t>
      </w:r>
    </w:p>
    <w:p w14:paraId="42AF02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Нашей группе тяжелых бомбардировщиков отдано распоряжение о немедленной подготовке к операциям на Вашем южном фланге. Осуществление этого мероприятия не будет зависеть от какой-либо иной операции или задачи, и эти самолеты, а также достаточное количество транспортов будут отправлены на Кавказ в ближайшее время.</w:t>
      </w:r>
    </w:p>
    <w:p w14:paraId="4EFB7B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 сообщу Вам через один-два дня относительно взрывчатых веществ, алюминия и грузовиков.</w:t>
      </w:r>
    </w:p>
    <w:p w14:paraId="20B777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Вам предоставляются для использования на Тихом океане 20 торговых судов.</w:t>
      </w:r>
    </w:p>
    <w:p w14:paraId="396680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мы отправим Вам 276 боевых самолетов, и делается все возможное, чтобы ускорить эти поставки (7430).</w:t>
      </w:r>
    </w:p>
    <w:p w14:paraId="2C4A8C13" w14:textId="77777777" w:rsidR="00090C9B" w:rsidRPr="00722885" w:rsidRDefault="00090C9B" w:rsidP="00722885">
      <w:pPr>
        <w:pStyle w:val="Iauiue"/>
        <w:jc w:val="both"/>
        <w:rPr>
          <w:color w:val="000000" w:themeColor="text1"/>
          <w:sz w:val="16"/>
          <w:szCs w:val="16"/>
        </w:rPr>
      </w:pPr>
    </w:p>
    <w:p w14:paraId="42EC6E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и 12 октября 1942 в кризис битвы за Кавказ Ф.Рузвельт предложил СССР непосредственную помощь. но И.В.С. отказал (1261,33).</w:t>
      </w:r>
    </w:p>
    <w:p w14:paraId="034D58D4" w14:textId="77777777" w:rsidR="00090C9B" w:rsidRPr="00722885" w:rsidRDefault="00090C9B" w:rsidP="00722885">
      <w:pPr>
        <w:pStyle w:val="Iauiue"/>
        <w:jc w:val="both"/>
        <w:rPr>
          <w:color w:val="000000" w:themeColor="text1"/>
          <w:sz w:val="16"/>
          <w:szCs w:val="16"/>
        </w:rPr>
      </w:pPr>
    </w:p>
    <w:p w14:paraId="2F59B3F4" w14:textId="65137B3B" w:rsidR="000D6DF3" w:rsidRPr="00722885" w:rsidRDefault="000D6DF3" w:rsidP="00722885">
      <w:pPr>
        <w:pStyle w:val="Iauiue"/>
        <w:jc w:val="both"/>
        <w:rPr>
          <w:i/>
          <w:iCs/>
          <w:color w:val="000000" w:themeColor="text1"/>
          <w:sz w:val="16"/>
          <w:szCs w:val="16"/>
        </w:rPr>
      </w:pPr>
      <w:r w:rsidRPr="00722885">
        <w:rPr>
          <w:i/>
          <w:iCs/>
          <w:color w:val="000000" w:themeColor="text1"/>
          <w:sz w:val="16"/>
          <w:szCs w:val="16"/>
        </w:rPr>
        <w:t>За рубежом:</w:t>
      </w:r>
    </w:p>
    <w:p w14:paraId="4601663E" w14:textId="77777777" w:rsidR="000D6DF3" w:rsidRPr="00722885" w:rsidRDefault="000D6DF3" w:rsidP="00722885">
      <w:pPr>
        <w:pStyle w:val="Iauiue"/>
        <w:jc w:val="both"/>
        <w:rPr>
          <w:i/>
          <w:iCs/>
          <w:color w:val="000000" w:themeColor="text1"/>
          <w:sz w:val="16"/>
          <w:szCs w:val="16"/>
        </w:rPr>
      </w:pPr>
    </w:p>
    <w:p w14:paraId="376B77F3" w14:textId="77777777" w:rsidR="000D6DF3" w:rsidRPr="00722885" w:rsidRDefault="000D6DF3"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октября 1942 года начались испытания «Мустанг» Mk.Х с высотными моторами «Мерлин» 60. Экспериментальные самолеты показали превосходные качества. Дирекция фирмы «Роллс-Ройс» предложила выпустить сверх плана 500 улучшенных «Мерлин» 65 и установить их на строевые «Мустанг» I и IA, но американская сторона не утвердила доработку.</w:t>
      </w:r>
    </w:p>
    <w:p w14:paraId="30E5863C" w14:textId="77777777" w:rsidR="000D6DF3" w:rsidRPr="00722885" w:rsidRDefault="000D6DF3"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Завод «Паккард» в Детройте как раз завершал подготовку производства мотора V-1650-3. Это была лицензионная копия высотного «Мерлин» Mk.68 с 2-ступечатым приводным центробежным нагнетателем и промежуточным радиатором для охлаждения перегретого до 200 гр С воздуха перед подачей в карбюратор. Его и поставили на новый ХР-51В. По сравнению с Р-51А боевая мощность увеличилась на 29% и достигла 1450 л.с., граница высотности поднялась с 6096 до 9144 м, максимальная скорость выросла с 628 до 710 км/ч, а практический потолок с 9555 до 12800 м (22889).</w:t>
      </w:r>
    </w:p>
    <w:p w14:paraId="705B8748" w14:textId="77777777" w:rsidR="000D6DF3" w:rsidRPr="00722885" w:rsidRDefault="000D6DF3" w:rsidP="00722885">
      <w:pPr>
        <w:shd w:val="clear" w:color="auto" w:fill="FFFFFF"/>
        <w:spacing w:after="0" w:line="240" w:lineRule="auto"/>
        <w:jc w:val="both"/>
        <w:rPr>
          <w:rFonts w:ascii="Times New Roman" w:hAnsi="Times New Roman"/>
          <w:color w:val="0070C0"/>
          <w:sz w:val="16"/>
          <w:szCs w:val="16"/>
        </w:rPr>
      </w:pPr>
    </w:p>
    <w:p w14:paraId="49556181" w14:textId="1F59759A"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B8A7D4F" w14:textId="77777777" w:rsidR="00090C9B" w:rsidRPr="00722885" w:rsidRDefault="00090C9B" w:rsidP="00722885">
      <w:pPr>
        <w:pStyle w:val="Iauiue"/>
        <w:jc w:val="both"/>
        <w:rPr>
          <w:iCs/>
          <w:color w:val="000000" w:themeColor="text1"/>
          <w:sz w:val="16"/>
          <w:szCs w:val="16"/>
        </w:rPr>
      </w:pPr>
    </w:p>
    <w:p w14:paraId="3AF642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октября 1942 директор 1-го авиазаво</w:t>
      </w:r>
      <w:r w:rsidRPr="00722885">
        <w:rPr>
          <w:color w:val="000000" w:themeColor="text1"/>
          <w:sz w:val="16"/>
          <w:szCs w:val="16"/>
        </w:rPr>
        <w:softHyphen/>
        <w:t>да А.Т.Третьяков утвердил отчет по ис</w:t>
      </w:r>
      <w:r w:rsidRPr="00722885">
        <w:rPr>
          <w:color w:val="000000" w:themeColor="text1"/>
          <w:sz w:val="16"/>
          <w:szCs w:val="16"/>
        </w:rPr>
        <w:softHyphen/>
        <w:t>пытаниям, после чего Ил-2бис был предъявлен в НИИ ВВС КА для произ</w:t>
      </w:r>
      <w:r w:rsidRPr="00722885">
        <w:rPr>
          <w:color w:val="000000" w:themeColor="text1"/>
          <w:sz w:val="16"/>
          <w:szCs w:val="16"/>
        </w:rPr>
        <w:softHyphen/>
        <w:t>водства государственных испытаний (6467).</w:t>
      </w:r>
    </w:p>
    <w:p w14:paraId="1468ADCF" w14:textId="77777777" w:rsidR="00090C9B" w:rsidRPr="00722885" w:rsidRDefault="00090C9B" w:rsidP="00722885">
      <w:pPr>
        <w:pStyle w:val="Iauiue"/>
        <w:jc w:val="both"/>
        <w:rPr>
          <w:color w:val="000000" w:themeColor="text1"/>
          <w:sz w:val="16"/>
          <w:szCs w:val="16"/>
        </w:rPr>
      </w:pPr>
    </w:p>
    <w:p w14:paraId="0EE092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октября 1942 НКАП Кузнецов писал Нач. ГУЗ и ТС Алексееву письмо N Н-36/4068 на письмо N 376/884 от 6 октября 1940:</w:t>
      </w:r>
    </w:p>
    <w:p w14:paraId="58558A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"Считаю необходимым сообщить Вам, что нами приняты решения о серийном производстве и поставке винтов ВИШ-105 с деревянными лопастями на ЛаГГ-3 и Як-1." (1315,118).</w:t>
      </w:r>
    </w:p>
    <w:p w14:paraId="64B38BF0" w14:textId="77777777" w:rsidR="00090C9B" w:rsidRPr="00722885" w:rsidRDefault="00090C9B" w:rsidP="00722885">
      <w:pPr>
        <w:pStyle w:val="Iauiue"/>
        <w:jc w:val="both"/>
        <w:rPr>
          <w:color w:val="000000" w:themeColor="text1"/>
          <w:sz w:val="16"/>
          <w:szCs w:val="16"/>
        </w:rPr>
      </w:pPr>
    </w:p>
    <w:p w14:paraId="570C6D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октября 1942 С.Н.Шишкин, начальник ГУ НКАП, докладывал А.И.Шахурину о самолете Me-109G-2 c DB-605A1. Лучше наших (65,60).</w:t>
      </w:r>
    </w:p>
    <w:p w14:paraId="12CDBB86" w14:textId="77777777" w:rsidR="00090C9B" w:rsidRPr="00722885" w:rsidRDefault="00090C9B" w:rsidP="00722885">
      <w:pPr>
        <w:pStyle w:val="Iauiue"/>
        <w:jc w:val="both"/>
        <w:rPr>
          <w:color w:val="000000" w:themeColor="text1"/>
          <w:sz w:val="16"/>
          <w:szCs w:val="16"/>
        </w:rPr>
      </w:pPr>
    </w:p>
    <w:p w14:paraId="799FB2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октября 1942 г. в письме начальника главного управления НКАП С.Н. Шишкина наркому А.И. Шахурину, отмечалось, что "Ме-109Г-2 по максимальной скорости превосходит наши истребители. Значительное преимущество : этот самолет имеет по скороподъемности и, следовательно, по маневру из-за избытка мощности, особенно с учетом трехминутного форсажа" (9020).</w:t>
      </w:r>
    </w:p>
    <w:p w14:paraId="7E901338" w14:textId="77777777" w:rsidR="00090C9B" w:rsidRPr="00722885" w:rsidRDefault="00090C9B" w:rsidP="00722885">
      <w:pPr>
        <w:pStyle w:val="Iauiue"/>
        <w:jc w:val="both"/>
        <w:rPr>
          <w:color w:val="000000" w:themeColor="text1"/>
          <w:sz w:val="16"/>
          <w:szCs w:val="16"/>
        </w:rPr>
      </w:pPr>
    </w:p>
    <w:p w14:paraId="783E3E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октября 1942 года для ускорения доводки авиади</w:t>
      </w:r>
      <w:r w:rsidRPr="00722885">
        <w:rPr>
          <w:rFonts w:ascii="Times New Roman" w:hAnsi="Times New Roman"/>
          <w:color w:val="000000" w:themeColor="text1"/>
          <w:sz w:val="16"/>
          <w:szCs w:val="16"/>
        </w:rPr>
        <w:softHyphen/>
        <w:t>зеля и установки его на дальние бомбарди</w:t>
      </w:r>
      <w:r w:rsidRPr="00722885">
        <w:rPr>
          <w:rFonts w:ascii="Times New Roman" w:hAnsi="Times New Roman"/>
          <w:color w:val="000000" w:themeColor="text1"/>
          <w:sz w:val="16"/>
          <w:szCs w:val="16"/>
        </w:rPr>
        <w:softHyphen/>
        <w:t>ровщики нарком А.И. Шахурин подписал приказ № 767:</w:t>
      </w:r>
    </w:p>
    <w:p w14:paraId="06DFA2E3" w14:textId="77777777" w:rsidR="00090C9B" w:rsidRPr="00722885" w:rsidRDefault="00090C9B" w:rsidP="00722885">
      <w:pPr>
        <w:pStyle w:val="113"/>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«1. Выделить самолет БОК-15, находя</w:t>
      </w:r>
      <w:r w:rsidRPr="00722885">
        <w:rPr>
          <w:rFonts w:ascii="Times New Roman" w:hAnsi="Times New Roman" w:cs="Times New Roman"/>
          <w:b w:val="0"/>
          <w:color w:val="000000" w:themeColor="text1"/>
          <w:sz w:val="16"/>
          <w:szCs w:val="16"/>
        </w:rPr>
        <w:softHyphen/>
        <w:t>щийся в ЛИИ И КАП, для отработки в лет</w:t>
      </w:r>
      <w:r w:rsidRPr="00722885">
        <w:rPr>
          <w:rFonts w:ascii="Times New Roman" w:hAnsi="Times New Roman" w:cs="Times New Roman"/>
          <w:b w:val="0"/>
          <w:color w:val="000000" w:themeColor="text1"/>
          <w:sz w:val="16"/>
          <w:szCs w:val="16"/>
        </w:rPr>
        <w:softHyphen/>
        <w:t>ных высотных условиях мотора М-30 и его агрегатов и особенно отработки автома</w:t>
      </w:r>
      <w:r w:rsidRPr="00722885">
        <w:rPr>
          <w:rFonts w:ascii="Times New Roman" w:hAnsi="Times New Roman" w:cs="Times New Roman"/>
          <w:b w:val="0"/>
          <w:color w:val="000000" w:themeColor="text1"/>
          <w:sz w:val="16"/>
          <w:szCs w:val="16"/>
        </w:rPr>
        <w:softHyphen/>
        <w:t>тизации авиадизелей в полете.</w:t>
      </w:r>
    </w:p>
    <w:p w14:paraId="4C78A56C" w14:textId="77777777" w:rsidR="00090C9B" w:rsidRPr="00722885" w:rsidRDefault="00090C9B" w:rsidP="00722885">
      <w:pPr>
        <w:pStyle w:val="113"/>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lastRenderedPageBreak/>
        <w:t>2. Директору завода № 22 тов. Окулову из</w:t>
      </w:r>
      <w:r w:rsidRPr="00722885">
        <w:rPr>
          <w:rFonts w:ascii="Times New Roman" w:hAnsi="Times New Roman" w:cs="Times New Roman"/>
          <w:b w:val="0"/>
          <w:color w:val="000000" w:themeColor="text1"/>
          <w:sz w:val="16"/>
          <w:szCs w:val="16"/>
        </w:rPr>
        <w:softHyphen/>
        <w:t>готовить по указанию ЛИИ И КАП капоты и управление мотором для самолета БОК-15 с мотором М-30 к 15 сентября 1942 г.</w:t>
      </w:r>
    </w:p>
    <w:p w14:paraId="4B6EFA99" w14:textId="77777777" w:rsidR="00090C9B" w:rsidRPr="00722885" w:rsidRDefault="00090C9B" w:rsidP="00722885">
      <w:pPr>
        <w:pStyle w:val="113"/>
        <w:shd w:val="clear" w:color="auto" w:fill="auto"/>
        <w:spacing w:line="240" w:lineRule="auto"/>
        <w:jc w:val="both"/>
        <w:rPr>
          <w:rFonts w:ascii="Times New Roman" w:hAnsi="Times New Roman" w:cs="Times New Roman"/>
          <w:b w:val="0"/>
          <w:color w:val="000000" w:themeColor="text1"/>
          <w:sz w:val="16"/>
          <w:szCs w:val="16"/>
        </w:rPr>
      </w:pPr>
      <w:r w:rsidRPr="00722885">
        <w:rPr>
          <w:rFonts w:ascii="Times New Roman" w:hAnsi="Times New Roman" w:cs="Times New Roman"/>
          <w:b w:val="0"/>
          <w:color w:val="000000" w:themeColor="text1"/>
          <w:sz w:val="16"/>
          <w:szCs w:val="16"/>
        </w:rPr>
        <w:t>Начальнику ЛИИ Молокову смонти</w:t>
      </w:r>
      <w:r w:rsidRPr="00722885">
        <w:rPr>
          <w:rFonts w:ascii="Times New Roman" w:hAnsi="Times New Roman" w:cs="Times New Roman"/>
          <w:b w:val="0"/>
          <w:color w:val="000000" w:themeColor="text1"/>
          <w:sz w:val="16"/>
          <w:szCs w:val="16"/>
        </w:rPr>
        <w:softHyphen/>
        <w:t>ровать ВМГ (винто-моторную группу</w:t>
      </w:r>
      <w:r w:rsidRPr="00722885">
        <w:rPr>
          <w:rStyle w:val="119pt"/>
          <w:rFonts w:eastAsia="Calibri"/>
          <w:color w:val="000000" w:themeColor="text1"/>
          <w:sz w:val="16"/>
          <w:szCs w:val="16"/>
        </w:rPr>
        <w:t>)</w:t>
      </w:r>
      <w:r w:rsidRPr="00722885">
        <w:rPr>
          <w:rFonts w:ascii="Times New Roman" w:hAnsi="Times New Roman" w:cs="Times New Roman"/>
          <w:b w:val="0"/>
          <w:color w:val="000000" w:themeColor="text1"/>
          <w:sz w:val="16"/>
          <w:szCs w:val="16"/>
        </w:rPr>
        <w:t xml:space="preserve"> на самолете БОК-15 &lt;...&gt; и подготовить самолет к летным испытани</w:t>
      </w:r>
      <w:r w:rsidRPr="00722885">
        <w:rPr>
          <w:rFonts w:ascii="Times New Roman" w:hAnsi="Times New Roman" w:cs="Times New Roman"/>
          <w:b w:val="0"/>
          <w:color w:val="000000" w:themeColor="text1"/>
          <w:sz w:val="16"/>
          <w:szCs w:val="16"/>
        </w:rPr>
        <w:softHyphen/>
        <w:t>ям к 20 ноября 1942г.» (12725).</w:t>
      </w:r>
    </w:p>
    <w:p w14:paraId="7B909B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Ведущим по испытаниям авиадизеля на БОК-15 назначили инженера Д.С. Зосима (12725).</w:t>
      </w:r>
    </w:p>
    <w:p w14:paraId="75B0D2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сентября 1943 года по при</w:t>
      </w:r>
      <w:r w:rsidRPr="00722885">
        <w:rPr>
          <w:rFonts w:ascii="Times New Roman" w:hAnsi="Times New Roman"/>
          <w:color w:val="000000" w:themeColor="text1"/>
          <w:sz w:val="16"/>
          <w:szCs w:val="16"/>
        </w:rPr>
        <w:softHyphen/>
        <w:t>чине изношенности АНТ-37 был списан. В годы войны (в 1942-м) «Родину» прев</w:t>
      </w:r>
      <w:r w:rsidRPr="00722885">
        <w:rPr>
          <w:rFonts w:ascii="Times New Roman" w:hAnsi="Times New Roman"/>
          <w:color w:val="000000" w:themeColor="text1"/>
          <w:sz w:val="16"/>
          <w:szCs w:val="16"/>
        </w:rPr>
        <w:softHyphen/>
        <w:t>ратили в транспортную машину, заре</w:t>
      </w:r>
      <w:r w:rsidRPr="00722885">
        <w:rPr>
          <w:rFonts w:ascii="Times New Roman" w:hAnsi="Times New Roman"/>
          <w:color w:val="000000" w:themeColor="text1"/>
          <w:sz w:val="16"/>
          <w:szCs w:val="16"/>
        </w:rPr>
        <w:softHyphen/>
        <w:t>гистрировав под номером СССР— И443. При этом в правом борту за крылом «вре</w:t>
      </w:r>
      <w:r w:rsidRPr="00722885">
        <w:rPr>
          <w:rFonts w:ascii="Times New Roman" w:hAnsi="Times New Roman"/>
          <w:color w:val="000000" w:themeColor="text1"/>
          <w:sz w:val="16"/>
          <w:szCs w:val="16"/>
        </w:rPr>
        <w:softHyphen/>
        <w:t>зали» дверь и практически убрали все осте</w:t>
      </w:r>
      <w:r w:rsidRPr="00722885">
        <w:rPr>
          <w:rFonts w:ascii="Times New Roman" w:hAnsi="Times New Roman"/>
          <w:color w:val="000000" w:themeColor="text1"/>
          <w:sz w:val="16"/>
          <w:szCs w:val="16"/>
        </w:rPr>
        <w:softHyphen/>
        <w:t>кление задней кабины, оставив лишь ма</w:t>
      </w:r>
      <w:r w:rsidRPr="00722885">
        <w:rPr>
          <w:rFonts w:ascii="Times New Roman" w:hAnsi="Times New Roman"/>
          <w:color w:val="000000" w:themeColor="text1"/>
          <w:sz w:val="16"/>
          <w:szCs w:val="16"/>
        </w:rPr>
        <w:softHyphen/>
        <w:t>ленькие иллюминаторы. Изменили и но</w:t>
      </w:r>
      <w:r w:rsidRPr="00722885">
        <w:rPr>
          <w:rFonts w:ascii="Times New Roman" w:hAnsi="Times New Roman"/>
          <w:color w:val="000000" w:themeColor="text1"/>
          <w:sz w:val="16"/>
          <w:szCs w:val="16"/>
        </w:rPr>
        <w:softHyphen/>
        <w:t>совую часть фюзеляжа, существенно со</w:t>
      </w:r>
      <w:r w:rsidRPr="00722885">
        <w:rPr>
          <w:rFonts w:ascii="Times New Roman" w:hAnsi="Times New Roman"/>
          <w:color w:val="000000" w:themeColor="text1"/>
          <w:sz w:val="16"/>
          <w:szCs w:val="16"/>
        </w:rPr>
        <w:softHyphen/>
        <w:t>кратив площадь остекления. Судя по вос</w:t>
      </w:r>
      <w:r w:rsidRPr="00722885">
        <w:rPr>
          <w:rFonts w:ascii="Times New Roman" w:hAnsi="Times New Roman"/>
          <w:color w:val="000000" w:themeColor="text1"/>
          <w:sz w:val="16"/>
          <w:szCs w:val="16"/>
        </w:rPr>
        <w:softHyphen/>
        <w:t>поминаниям А.И. Климова-Клембовско- го, осенью 1943 года на заводе № 30 осу</w:t>
      </w:r>
      <w:r w:rsidRPr="00722885">
        <w:rPr>
          <w:rFonts w:ascii="Times New Roman" w:hAnsi="Times New Roman"/>
          <w:color w:val="000000" w:themeColor="text1"/>
          <w:sz w:val="16"/>
          <w:szCs w:val="16"/>
        </w:rPr>
        <w:softHyphen/>
        <w:t>ществлялся ремонт АНТ-37 (А.Н. Тупо</w:t>
      </w:r>
      <w:r w:rsidRPr="00722885">
        <w:rPr>
          <w:rFonts w:ascii="Times New Roman" w:hAnsi="Times New Roman"/>
          <w:color w:val="000000" w:themeColor="text1"/>
          <w:sz w:val="16"/>
          <w:szCs w:val="16"/>
        </w:rPr>
        <w:softHyphen/>
        <w:t>лев к тому времени находился на свобо</w:t>
      </w:r>
      <w:r w:rsidRPr="00722885">
        <w:rPr>
          <w:rFonts w:ascii="Times New Roman" w:hAnsi="Times New Roman"/>
          <w:color w:val="000000" w:themeColor="text1"/>
          <w:sz w:val="16"/>
          <w:szCs w:val="16"/>
        </w:rPr>
        <w:softHyphen/>
        <w:t>де, и его имя не запрещалось упоминать), причем с двигателями М-87. К тому време</w:t>
      </w:r>
      <w:r w:rsidRPr="00722885">
        <w:rPr>
          <w:rFonts w:ascii="Times New Roman" w:hAnsi="Times New Roman"/>
          <w:color w:val="000000" w:themeColor="text1"/>
          <w:sz w:val="16"/>
          <w:szCs w:val="16"/>
        </w:rPr>
        <w:softHyphen/>
        <w:t>ни самолет был окрашен в защитный цвет. АНТ-37 базировался на Центральном аэ</w:t>
      </w:r>
      <w:r w:rsidRPr="00722885">
        <w:rPr>
          <w:rFonts w:ascii="Times New Roman" w:hAnsi="Times New Roman"/>
          <w:color w:val="000000" w:themeColor="text1"/>
          <w:sz w:val="16"/>
          <w:szCs w:val="16"/>
        </w:rPr>
        <w:softHyphen/>
        <w:t>родроме и использовался для перевоз</w:t>
      </w:r>
      <w:r w:rsidRPr="00722885">
        <w:rPr>
          <w:rFonts w:ascii="Times New Roman" w:hAnsi="Times New Roman"/>
          <w:color w:val="000000" w:themeColor="text1"/>
          <w:sz w:val="16"/>
          <w:szCs w:val="16"/>
        </w:rPr>
        <w:softHyphen/>
        <w:t>ки срочных грузов (12725)</w:t>
      </w:r>
    </w:p>
    <w:tbl>
      <w:tblPr>
        <w:tblW w:w="0" w:type="auto"/>
        <w:tblLayout w:type="fixed"/>
        <w:tblCellMar>
          <w:left w:w="10" w:type="dxa"/>
          <w:right w:w="10" w:type="dxa"/>
        </w:tblCellMar>
        <w:tblLook w:val="04A0" w:firstRow="1" w:lastRow="0" w:firstColumn="1" w:lastColumn="0" w:noHBand="0" w:noVBand="1"/>
      </w:tblPr>
      <w:tblGrid>
        <w:gridCol w:w="3067"/>
        <w:gridCol w:w="1649"/>
        <w:gridCol w:w="1652"/>
        <w:gridCol w:w="1656"/>
        <w:gridCol w:w="1670"/>
      </w:tblGrid>
      <w:tr w:rsidR="009B487A" w:rsidRPr="00722885" w14:paraId="709F1232" w14:textId="77777777" w:rsidTr="00CC5360">
        <w:trPr>
          <w:trHeight w:val="515"/>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1B762765" w14:textId="77777777" w:rsidR="00090C9B" w:rsidRPr="00722885" w:rsidRDefault="00090C9B" w:rsidP="00722885">
            <w:pPr>
              <w:pStyle w:val="80"/>
              <w:shd w:val="clear" w:color="auto" w:fill="auto"/>
              <w:spacing w:line="240" w:lineRule="auto"/>
              <w:jc w:val="both"/>
              <w:rPr>
                <w:rFonts w:ascii="Times New Roman" w:hAnsi="Times New Roman" w:cs="Times New Roman"/>
                <w:color w:val="000000" w:themeColor="text1"/>
              </w:rPr>
            </w:pPr>
            <w:r w:rsidRPr="00722885">
              <w:rPr>
                <w:rFonts w:ascii="Times New Roman" w:hAnsi="Times New Roman" w:cs="Times New Roman"/>
                <w:color w:val="000000" w:themeColor="text1"/>
              </w:rPr>
              <w:t>Самолет</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1ED200DF" w14:textId="77777777" w:rsidR="00090C9B" w:rsidRPr="00722885" w:rsidRDefault="00090C9B" w:rsidP="00722885">
            <w:pPr>
              <w:pStyle w:val="80"/>
              <w:shd w:val="clear" w:color="auto" w:fill="auto"/>
              <w:spacing w:line="240" w:lineRule="auto"/>
              <w:jc w:val="both"/>
              <w:rPr>
                <w:rFonts w:ascii="Times New Roman" w:hAnsi="Times New Roman" w:cs="Times New Roman"/>
                <w:color w:val="000000" w:themeColor="text1"/>
              </w:rPr>
            </w:pPr>
            <w:r w:rsidRPr="00722885">
              <w:rPr>
                <w:rFonts w:ascii="Times New Roman" w:hAnsi="Times New Roman" w:cs="Times New Roman"/>
                <w:color w:val="000000" w:themeColor="text1"/>
              </w:rPr>
              <w:t>ДБ-2</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797820CF" w14:textId="77777777" w:rsidR="00090C9B" w:rsidRPr="00722885" w:rsidRDefault="00090C9B" w:rsidP="00722885">
            <w:pPr>
              <w:pStyle w:val="80"/>
              <w:shd w:val="clear" w:color="auto" w:fill="auto"/>
              <w:spacing w:line="240" w:lineRule="auto"/>
              <w:jc w:val="both"/>
              <w:rPr>
                <w:rFonts w:ascii="Times New Roman" w:hAnsi="Times New Roman" w:cs="Times New Roman"/>
                <w:color w:val="000000" w:themeColor="text1"/>
              </w:rPr>
            </w:pPr>
            <w:r w:rsidRPr="00722885">
              <w:rPr>
                <w:rFonts w:ascii="Times New Roman" w:hAnsi="Times New Roman" w:cs="Times New Roman"/>
                <w:color w:val="000000" w:themeColor="text1"/>
              </w:rPr>
              <w:t>АНТ-37бис (расчет)</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108F8F13" w14:textId="77777777" w:rsidR="00090C9B" w:rsidRPr="00722885" w:rsidRDefault="00090C9B" w:rsidP="00722885">
            <w:pPr>
              <w:pStyle w:val="80"/>
              <w:shd w:val="clear" w:color="auto" w:fill="auto"/>
              <w:spacing w:line="240" w:lineRule="auto"/>
              <w:jc w:val="both"/>
              <w:rPr>
                <w:rFonts w:ascii="Times New Roman" w:hAnsi="Times New Roman" w:cs="Times New Roman"/>
                <w:color w:val="000000" w:themeColor="text1"/>
              </w:rPr>
            </w:pPr>
            <w:r w:rsidRPr="00722885">
              <w:rPr>
                <w:rFonts w:ascii="Times New Roman" w:hAnsi="Times New Roman" w:cs="Times New Roman"/>
                <w:color w:val="000000" w:themeColor="text1"/>
              </w:rPr>
              <w:t>АНТ-37 «Родина»</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6E7098B4" w14:textId="77777777" w:rsidR="00090C9B" w:rsidRPr="00722885" w:rsidRDefault="00090C9B" w:rsidP="00722885">
            <w:pPr>
              <w:pStyle w:val="80"/>
              <w:shd w:val="clear" w:color="auto" w:fill="auto"/>
              <w:spacing w:line="240" w:lineRule="auto"/>
              <w:jc w:val="both"/>
              <w:rPr>
                <w:rFonts w:ascii="Times New Roman" w:hAnsi="Times New Roman" w:cs="Times New Roman"/>
                <w:color w:val="000000" w:themeColor="text1"/>
              </w:rPr>
            </w:pPr>
            <w:r w:rsidRPr="00722885">
              <w:rPr>
                <w:rFonts w:ascii="Times New Roman" w:hAnsi="Times New Roman" w:cs="Times New Roman"/>
                <w:color w:val="000000" w:themeColor="text1"/>
              </w:rPr>
              <w:t>ДБ-3</w:t>
            </w:r>
          </w:p>
        </w:tc>
      </w:tr>
      <w:tr w:rsidR="009B487A" w:rsidRPr="00722885" w14:paraId="7B4CCDD1" w14:textId="77777777" w:rsidTr="00CC5360">
        <w:trPr>
          <w:trHeight w:val="288"/>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2189FC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Двигатели</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459865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М-85</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026B8E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М-85</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345DE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М-86</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5A654D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М-85</w:t>
            </w:r>
          </w:p>
        </w:tc>
      </w:tr>
      <w:tr w:rsidR="009B487A" w:rsidRPr="00722885" w14:paraId="091BCE2E" w14:textId="77777777" w:rsidTr="00CC5360">
        <w:trPr>
          <w:trHeight w:val="720"/>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4C80BB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Мощность, л.с. взлетная номинальная</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01993E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2x850 2x800</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6EFA0B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2x850 2x800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09A413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2x950 2x800</w:t>
            </w:r>
            <w:r w:rsidRPr="00722885">
              <w:rPr>
                <w:rFonts w:ascii="Times New Roman" w:hAnsi="Times New Roman"/>
                <w:color w:val="000000" w:themeColor="text1"/>
                <w:sz w:val="16"/>
                <w:szCs w:val="16"/>
                <w:vertAlign w:val="superscript"/>
              </w:rPr>
              <w:t>м</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7699E6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2x850 2x800</w:t>
            </w:r>
          </w:p>
        </w:tc>
      </w:tr>
      <w:tr w:rsidR="009B487A" w:rsidRPr="00722885" w14:paraId="00C29474" w14:textId="77777777" w:rsidTr="00CC5360">
        <w:trPr>
          <w:trHeight w:val="292"/>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0AC170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3A08F4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04AABD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523E9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6DAF7F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21,44</w:t>
            </w:r>
          </w:p>
        </w:tc>
      </w:tr>
      <w:tr w:rsidR="009B487A" w:rsidRPr="00722885" w14:paraId="3437CF26" w14:textId="77777777" w:rsidTr="00CC5360">
        <w:trPr>
          <w:trHeight w:val="288"/>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43C5D0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м</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16CA64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6D8329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5BD79D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14,9</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79D324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14,22</w:t>
            </w:r>
          </w:p>
        </w:tc>
      </w:tr>
      <w:tr w:rsidR="009B487A" w:rsidRPr="00722885" w14:paraId="2B205A3D" w14:textId="77777777" w:rsidTr="00CC5360">
        <w:trPr>
          <w:trHeight w:val="292"/>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5C12B6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w:t>
            </w:r>
            <w:r w:rsidRPr="00722885">
              <w:rPr>
                <w:rFonts w:ascii="Times New Roman" w:hAnsi="Times New Roman"/>
                <w:color w:val="000000" w:themeColor="text1"/>
                <w:sz w:val="16"/>
                <w:szCs w:val="16"/>
                <w:vertAlign w:val="superscript"/>
              </w:rPr>
              <w:t>2</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54E6A0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84,9</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2E98B9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84,9</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417C6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84,9</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0F181D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65,6</w:t>
            </w:r>
          </w:p>
        </w:tc>
      </w:tr>
      <w:tr w:rsidR="009B487A" w:rsidRPr="00722885" w14:paraId="3236BCBE" w14:textId="77777777" w:rsidTr="00CC5360">
        <w:trPr>
          <w:trHeight w:val="288"/>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1332A5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пустого, кг</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18F314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5800</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406858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5855-5940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E24ED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6015</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69CB2A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4370</w:t>
            </w:r>
          </w:p>
        </w:tc>
      </w:tr>
      <w:tr w:rsidR="009B487A" w:rsidRPr="00722885" w14:paraId="45E27363" w14:textId="77777777" w:rsidTr="00CC5360">
        <w:trPr>
          <w:trHeight w:val="724"/>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78F381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 горючего, л нормальный перегрузочный</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30BE6886" w14:textId="77777777" w:rsidR="00090C9B" w:rsidRPr="00722885" w:rsidRDefault="00090C9B" w:rsidP="00722885">
            <w:pPr>
              <w:pStyle w:val="323"/>
              <w:shd w:val="clear" w:color="auto" w:fill="auto"/>
              <w:spacing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13BCB6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49A75E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5529</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34E164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2500</w:t>
            </w:r>
          </w:p>
        </w:tc>
      </w:tr>
      <w:tr w:rsidR="009B487A" w:rsidRPr="00722885" w14:paraId="14F0A39C" w14:textId="77777777" w:rsidTr="00CC5360">
        <w:trPr>
          <w:trHeight w:val="716"/>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1B7176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Взлетный вес, кг нормальный максимальный</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6AE78E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6800" 11 500</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5052EA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11 500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17FF7D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12 500</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3F860E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6500 8500</w:t>
            </w:r>
          </w:p>
        </w:tc>
      </w:tr>
      <w:tr w:rsidR="009B487A" w:rsidRPr="00722885" w14:paraId="162A9F21" w14:textId="77777777" w:rsidTr="00CC5360">
        <w:trPr>
          <w:trHeight w:val="292"/>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6EC152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Удельная нагрузка на крыло, кг/м</w:t>
            </w:r>
            <w:r w:rsidRPr="00722885">
              <w:rPr>
                <w:rFonts w:ascii="Times New Roman" w:hAnsi="Times New Roman"/>
                <w:color w:val="000000" w:themeColor="text1"/>
                <w:sz w:val="16"/>
                <w:szCs w:val="16"/>
                <w:vertAlign w:val="superscript"/>
              </w:rPr>
              <w:t>:</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098955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80,1/135,5</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74A88E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-/135,5</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018147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-/147,2</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5798A6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r>
      <w:tr w:rsidR="009B487A" w:rsidRPr="00722885" w14:paraId="7FAD6D9D" w14:textId="77777777" w:rsidTr="00CC5360">
        <w:trPr>
          <w:trHeight w:val="940"/>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7C2771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макс., км/ч у земли на высоте, м посадочная</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102A00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301 342/3600</w:t>
            </w:r>
            <w:r w:rsidRPr="00722885">
              <w:rPr>
                <w:rFonts w:ascii="Times New Roman" w:hAnsi="Times New Roman"/>
                <w:color w:val="000000" w:themeColor="text1"/>
                <w:sz w:val="16"/>
                <w:szCs w:val="16"/>
                <w:vertAlign w:val="superscript"/>
              </w:rPr>
              <w:t xml:space="preserve">21 </w:t>
            </w:r>
            <w:r w:rsidRPr="00722885">
              <w:rPr>
                <w:rFonts w:ascii="Times New Roman" w:hAnsi="Times New Roman"/>
                <w:color w:val="000000" w:themeColor="text1"/>
                <w:sz w:val="16"/>
                <w:szCs w:val="16"/>
              </w:rPr>
              <w:t>105</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364FFE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284 322,4</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5EF25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300 340/4250'" 105</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326FA2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335 415/4800 113</w:t>
            </w:r>
          </w:p>
        </w:tc>
      </w:tr>
      <w:tr w:rsidR="009B487A" w:rsidRPr="00722885" w14:paraId="56293CE1" w14:textId="77777777" w:rsidTr="00CC5360">
        <w:trPr>
          <w:trHeight w:val="288"/>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3B5315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м</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7D5969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6500-7500</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6A29BA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5DD2F0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6500</w:t>
            </w:r>
            <w:r w:rsidRPr="00722885">
              <w:rPr>
                <w:rFonts w:ascii="Times New Roman" w:hAnsi="Times New Roman"/>
                <w:color w:val="000000" w:themeColor="text1"/>
                <w:sz w:val="16"/>
                <w:szCs w:val="16"/>
                <w:vertAlign w:val="superscript"/>
              </w:rPr>
              <w:t>7</w:t>
            </w:r>
            <w:r w:rsidRPr="00722885">
              <w:rPr>
                <w:rFonts w:ascii="Times New Roman" w:hAnsi="Times New Roman"/>
                <w:color w:val="000000" w:themeColor="text1"/>
                <w:sz w:val="16"/>
                <w:szCs w:val="16"/>
              </w:rPr>
              <w:t>'</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00584A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8920</w:t>
            </w:r>
          </w:p>
        </w:tc>
      </w:tr>
      <w:tr w:rsidR="009B487A" w:rsidRPr="00722885" w14:paraId="7A4DCD5F" w14:textId="77777777" w:rsidTr="00CC5360">
        <w:trPr>
          <w:trHeight w:val="720"/>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071169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км с 1000 кг бомб максимальная</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421A21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7F8371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5000 7300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09ACB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6000</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7D8F37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3100</w:t>
            </w:r>
            <w:r w:rsidRPr="00722885">
              <w:rPr>
                <w:rFonts w:ascii="Times New Roman" w:hAnsi="Times New Roman"/>
                <w:color w:val="000000" w:themeColor="text1"/>
                <w:sz w:val="16"/>
                <w:szCs w:val="16"/>
                <w:vertAlign w:val="superscript"/>
                <w:lang w:val="en-US"/>
              </w:rPr>
              <w:t>s</w:t>
            </w:r>
            <w:r w:rsidRPr="00722885">
              <w:rPr>
                <w:rFonts w:ascii="Times New Roman" w:hAnsi="Times New Roman"/>
                <w:color w:val="000000" w:themeColor="text1"/>
                <w:sz w:val="16"/>
                <w:szCs w:val="16"/>
                <w:lang w:val="en-US"/>
              </w:rPr>
              <w:t>'</w:t>
            </w:r>
          </w:p>
        </w:tc>
      </w:tr>
      <w:tr w:rsidR="009B487A" w:rsidRPr="00722885" w14:paraId="187DE77F" w14:textId="77777777" w:rsidTr="00CC5360">
        <w:trPr>
          <w:trHeight w:val="292"/>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15CCBD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Разбег/пробег, м</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6A7DB2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9704)/-</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7337BD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C75DD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10D00C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250-400/200-240</w:t>
            </w:r>
          </w:p>
        </w:tc>
      </w:tr>
      <w:tr w:rsidR="009B487A" w:rsidRPr="00722885" w14:paraId="4E84E2D2" w14:textId="77777777" w:rsidTr="00CC5360">
        <w:trPr>
          <w:trHeight w:val="302"/>
        </w:trPr>
        <w:tc>
          <w:tcPr>
            <w:tcW w:w="3067" w:type="dxa"/>
            <w:tcBorders>
              <w:top w:val="single" w:sz="4" w:space="0" w:color="auto"/>
              <w:left w:val="single" w:sz="4" w:space="0" w:color="auto"/>
              <w:bottom w:val="single" w:sz="4" w:space="0" w:color="auto"/>
              <w:right w:val="single" w:sz="4" w:space="0" w:color="auto"/>
            </w:tcBorders>
            <w:shd w:val="clear" w:color="auto" w:fill="FFFFFF"/>
          </w:tcPr>
          <w:p w14:paraId="3126B3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чел.</w:t>
            </w:r>
          </w:p>
        </w:tc>
        <w:tc>
          <w:tcPr>
            <w:tcW w:w="1649" w:type="dxa"/>
            <w:tcBorders>
              <w:top w:val="single" w:sz="4" w:space="0" w:color="auto"/>
              <w:left w:val="single" w:sz="4" w:space="0" w:color="auto"/>
              <w:bottom w:val="single" w:sz="4" w:space="0" w:color="auto"/>
              <w:right w:val="single" w:sz="4" w:space="0" w:color="auto"/>
            </w:tcBorders>
            <w:shd w:val="clear" w:color="auto" w:fill="FFFFFF"/>
          </w:tcPr>
          <w:p w14:paraId="34AFD1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652" w:type="dxa"/>
            <w:tcBorders>
              <w:top w:val="single" w:sz="4" w:space="0" w:color="auto"/>
              <w:left w:val="single" w:sz="4" w:space="0" w:color="auto"/>
              <w:bottom w:val="single" w:sz="4" w:space="0" w:color="auto"/>
              <w:right w:val="single" w:sz="4" w:space="0" w:color="auto"/>
            </w:tcBorders>
            <w:shd w:val="clear" w:color="auto" w:fill="FFFFFF"/>
          </w:tcPr>
          <w:p w14:paraId="57FAF0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50FC26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670" w:type="dxa"/>
            <w:tcBorders>
              <w:top w:val="single" w:sz="4" w:space="0" w:color="auto"/>
              <w:left w:val="single" w:sz="4" w:space="0" w:color="auto"/>
              <w:bottom w:val="single" w:sz="4" w:space="0" w:color="auto"/>
              <w:right w:val="single" w:sz="4" w:space="0" w:color="auto"/>
            </w:tcBorders>
            <w:shd w:val="clear" w:color="auto" w:fill="FFFFFF"/>
          </w:tcPr>
          <w:p w14:paraId="745727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r>
    </w:tbl>
    <w:p w14:paraId="5AFE7737" w14:textId="77777777" w:rsidR="00090C9B" w:rsidRPr="00722885" w:rsidRDefault="00090C9B" w:rsidP="00722885">
      <w:pPr>
        <w:pStyle w:val="ae"/>
        <w:spacing w:before="0" w:after="0"/>
        <w:jc w:val="both"/>
        <w:rPr>
          <w:rStyle w:val="mfont1"/>
          <w:rFonts w:eastAsia="Times New Roman"/>
          <w:color w:val="000000" w:themeColor="text1"/>
          <w:sz w:val="16"/>
          <w:szCs w:val="16"/>
        </w:rPr>
      </w:pPr>
      <w:r w:rsidRPr="00722885">
        <w:rPr>
          <w:color w:val="000000" w:themeColor="text1"/>
          <w:sz w:val="16"/>
          <w:szCs w:val="16"/>
        </w:rPr>
        <w:t>Примечания: 1) — на заводских испытаниях; 2) — расчетная. Крейсерская скорость — 229км/ч; 3) — с I ООО кг бомб; 4) — с винтами фиксирован</w:t>
      </w:r>
      <w:r w:rsidRPr="00722885">
        <w:rPr>
          <w:color w:val="000000" w:themeColor="text1"/>
          <w:sz w:val="16"/>
          <w:szCs w:val="16"/>
        </w:rPr>
        <w:softHyphen/>
        <w:t>ного шага; 5) — на высоте 3860м; 6) — расчет; 7) — после выгорания 2500 кг бензина — 7500метров; 8) — с бомбовой нагрузкой 500 кг 4000 км (12725).</w:t>
      </w:r>
    </w:p>
    <w:p w14:paraId="6F306C84" w14:textId="77777777" w:rsidR="00090C9B" w:rsidRPr="00722885" w:rsidRDefault="00090C9B" w:rsidP="00722885">
      <w:pPr>
        <w:pStyle w:val="ae"/>
        <w:spacing w:before="0" w:after="0"/>
        <w:jc w:val="both"/>
        <w:rPr>
          <w:rStyle w:val="mfont1"/>
          <w:rFonts w:eastAsia="Times New Roman"/>
          <w:color w:val="000000" w:themeColor="text1"/>
          <w:sz w:val="16"/>
          <w:szCs w:val="16"/>
        </w:rPr>
      </w:pPr>
    </w:p>
    <w:p w14:paraId="2FC0079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4F07E53" w14:textId="77777777" w:rsidR="00090C9B" w:rsidRPr="00722885" w:rsidRDefault="00090C9B" w:rsidP="00722885">
      <w:pPr>
        <w:pStyle w:val="Iauiue"/>
        <w:jc w:val="both"/>
        <w:rPr>
          <w:iCs/>
          <w:color w:val="000000" w:themeColor="text1"/>
          <w:sz w:val="16"/>
          <w:szCs w:val="16"/>
        </w:rPr>
      </w:pPr>
    </w:p>
    <w:p w14:paraId="492B3F1F"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13 октября </w:t>
      </w:r>
      <w:r w:rsidRPr="00722885">
        <w:rPr>
          <w:rFonts w:ascii="Times New Roman" w:hAnsi="Times New Roman"/>
          <w:color w:val="000000" w:themeColor="text1"/>
          <w:sz w:val="16"/>
          <w:szCs w:val="16"/>
        </w:rPr>
        <w:t>в 1942 году утреннее сообщение Совинформбюро:</w:t>
      </w:r>
    </w:p>
    <w:p w14:paraId="1B21639A"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13 октября наши войска вели бои с противником в районе Сталинграда и в районе Моздока. На других фронтах никаких изменений не произошло.</w:t>
      </w:r>
    </w:p>
    <w:p w14:paraId="6AF6CE87"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части отбивали атаки противника. Немецкая пехота пыталась прорваться по направлению одного из заводов в северо-западной части города. Атака гитлеровцев была отбита. Уничтожено более 250 немецких солдат и офицеров. Бойцы Н-ской части ночью пробрались в расположение противника, истребили 60 гитлеровцев, уничтожили 2 орудия, 5 пулемётов и радиостанцию. Захвачено у немцев 2 миномёта, 6 пулемётов и 20 автоматов.</w:t>
      </w:r>
    </w:p>
    <w:p w14:paraId="195E0B1B"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танкисты подбили 3 немецких танка, уничтожили 5 противотанковых орудий и истребили до роты пехоты противника. Надругом участке наши подразделения отразили контратаку гитлеровцев, уничтожив при этом 80 немецких солдат и офицеров.</w:t>
      </w:r>
    </w:p>
    <w:p w14:paraId="47DCBA3D"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продолжались бои. На одном участке наши части несколько продвинулись вперёд. Противник предпринимает контратаки мелкими группами пехотыи танков. В ходе этих боёв бойцы Н-ской части уничтожили 250 гитлеровцев и подбили 4 немецких танка. На сторону Красной Армии добровольно перешёл 21 немецкий солдат. Советские лётчики в воздушных боях перед передним краем обороны сбили 8 немецких самолётов.</w:t>
      </w:r>
    </w:p>
    <w:p w14:paraId="79E18F2C"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противник силою до полка пехоты атаковал позиции, которые обороняли подразделения под командованием тов. Семерникова. Наши бойцы встретили немцев огнём из всех видов оружия. Атака противника была отбита. На поле боя осталось до 400 трупов немецких солдат и офицеров.</w:t>
      </w:r>
    </w:p>
    <w:p w14:paraId="5D3E8318"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активными действиями наших снайперов, разведывательных групп, артиллерийским и миномётным огнём за два дня истреблено до 400 вражеских солдат и офицеров. Уничтожено 8 станковых пулемётов, несколько миномётов, разрушено 25 дзотов и блиндажей противника.</w:t>
      </w:r>
    </w:p>
    <w:p w14:paraId="42381027"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ленинградских партизан произвела внезапное нападение на обоз противника. Партизаны истребили 34 немецких солдата и уничтожили военные грузы.</w:t>
      </w:r>
    </w:p>
    <w:p w14:paraId="7BD0793D"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Пленные солдаты 7 роты 79 полка итальянской пехотной дивизии «Пасубио Рома» Ипполито Ковелли и Альдо Козелли рассказали: «Мы в августе прибыли на фронт в составе пополнения. Старые солдаты говорили, что дивизия понесла большие потери. Например, в 7 роте оставалось всего лишь 7—8 солдат. В августе она дважды получала пополнение. Только за два дня боёв рота потеряла убитыми и ранеными свыше 60 человек. Многие итальянские солдаты возмущены тем, что чернорубашечники отсиживаются в Италии, а нас гонят на убой. Муссолини держит чернорубашечников для подавления народных волнений. Недавно в Италии произошла кровавая стычка между солдатами альпийской части, уезжавшими на фронт, и чернорубашечниками. Перед отправкой поезда альпийские стрелки окружили и избили группу чернорубашечников, находившихся на вокзале. В рукопашной схватке было убито 9 чернорубашечников».</w:t>
      </w:r>
    </w:p>
    <w:p w14:paraId="07C80789"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сентября жители деревни Петровка, Смоленской области, получили приказ немецкого коменданта — в двухдневный срок сдать в комендатуру 10 полушубков, 5 тулупов и 40 пар валенок. Крестьяне наотрез отказались сдавать тёплые вещи для немецкой армии. По истечении двухдневного срока в деревню прибыл карательный отряд и учинил кровавую резню. По приказанию обер-лейтенанта Бюрена фашистские мерзавцы схватили 27 колхозников и расстреляли их. В числе расстрелянных 64-летний Сазонов Иван Ефимович, 67-летний Цветков Фёдор Фёдорович, 44-летняя Капустина Анна Михайловна, 19-летняя Градова Елена Николаевна и другие жители деревни.</w:t>
      </w:r>
    </w:p>
    <w:p w14:paraId="1FD5B550"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Осло (Норвегия) почти ежедневно происходят стычки норвежских патриотов с немецкими оккупантами. 29 сентября на окраине_ города было убито 6 немецких солдат. Днём 2 октября на одной из многолюдных улиц неизвестный юноша застрелил немецкого офицера. Стрелявший скрылся.» (14798).</w:t>
      </w:r>
    </w:p>
    <w:p w14:paraId="64998DC9"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71E13C0C"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lastRenderedPageBreak/>
        <w:t xml:space="preserve">13 октября </w:t>
      </w:r>
      <w:r w:rsidRPr="00722885">
        <w:rPr>
          <w:rFonts w:ascii="Times New Roman" w:hAnsi="Times New Roman"/>
          <w:color w:val="000000" w:themeColor="text1"/>
          <w:sz w:val="16"/>
          <w:szCs w:val="16"/>
        </w:rPr>
        <w:t>в 1942 году вечернее сообщение Совинформбюро:</w:t>
      </w:r>
    </w:p>
    <w:p w14:paraId="68C98501"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13 октября на фронтах никаких изменений не произошло.</w:t>
      </w:r>
    </w:p>
    <w:p w14:paraId="16005FE4"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вернули оставленные накануне позиции в одном из кварталов города. Ha других участках происходила артиллерийская и миномётная перестрелка. Огнём нашей артиллерии уничтожено 3 немецких танка, 3 артиллерийские и 16 миномётных батарей противника, разрушено 10 ДЗОТ'ов и истреблено до роты немецкой пехоты.</w:t>
      </w:r>
    </w:p>
    <w:p w14:paraId="276B7037"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продолжали оборонять прежние рубежи ина отдельных участках вели разведку. Гвардейцы Н-ской части атаковали передний край обороны противника, несколько потеснили немцев и уничтожили противотанковое орудие, 16 пулемётов, миномётную батарею и 8 автомашин с военным грузом. Группа разведчиков во главе с заместителем командира роты по политической части тов. Куликом обнаружила на одной высоте хорошо замаскированные ДЗОТ'ы противника. Двое смельчаков незаметно пробрались к одному из ДЗОТ'ов и забросали его гранатами. Находившиеся там румыны в панике стали выбегать из укреплений. Наши разведчики открыли огонь и истребили 20 вражеских солдат.</w:t>
      </w:r>
    </w:p>
    <w:p w14:paraId="5FBCC545"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два батальона немецкой пехоты при поддержке танков и авиации пытались атаковать наши позиции.</w:t>
      </w:r>
    </w:p>
    <w:p w14:paraId="67E8D95B"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Бойцы Н-ской части артиллерийским и миномётным огнём задержали гитлеровцев, а затем отбросили их в исходное положение. В этом бою немцы потеряли убитыми до 300 солдат и офицеров. Подбит один танк, уничтожено 3 орудия, 2 миномёта и 6 автомашин противника. Нашими бойцами захвачены трофеи.</w:t>
      </w:r>
    </w:p>
    <w:p w14:paraId="6AE76A79"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краснофлотцы под командованием тов. Кравченко отбили атаку противника и улучшили свои позиции. В ходе боя уничтожены две румынских роты и подбито 3 танка противника.</w:t>
      </w:r>
    </w:p>
    <w:p w14:paraId="4AEC8BCF"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Западного фронта немцы атаковали позиции наших подразделений. Советские бойцы отбили атаки противника и уничтожили до 400 немецких солдат и офицеров. Захвачены танк, 6 пулемётов, винтовки и боеприпасы.</w:t>
      </w:r>
    </w:p>
    <w:p w14:paraId="6FBC54BF"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могилёвских партизан пустила под откос немецкий железнодорожный эшелон из 46 вагонов. Во время крушения уничтожено 11 танков, 16 автомашин, 2 зенитных орудия и убито до 100 гитлеровцев.</w:t>
      </w:r>
    </w:p>
    <w:p w14:paraId="270C0758"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солдат 3 финской пехотной бригады Вяйне Л. рассказал: «Финский народ устал от войны. Многие понимают, что выход из войны невозможен до тех пор, пока немцы не будут изгнаны из Финляндии. Население не любит немцев. Они ведут себя в Финляндии нагло, насилуют и развращают финских женщин, мужья которых находятся на фронте. Солдаты всегда готовы побить немцев. Недавно крупная драка произошла в городе Турку. Один немецкий унтер-офицер обозвал финских солдат продажными вояками. Завязалась драка, во время которой в ход было пущено оружие. В этой драке было убито 3 немца и несколько человек получили серьёзные ранения».</w:t>
      </w:r>
    </w:p>
    <w:p w14:paraId="13827A70"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Польские патриоты 8 октября взорвали близ Варшавы железнодорожные пути около Западного вокзала, в Плудах и других пунктах. Движение поездов было приостановлено. Немецко-фашистские оккупанты, несмотря на все поиски, не могли установить, кто произвёл взрывы железнодорожных путей.» (14798).</w:t>
      </w:r>
    </w:p>
    <w:p w14:paraId="0F9FC866"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7FD79CE2"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13 октября </w:t>
      </w:r>
      <w:r w:rsidRPr="00722885">
        <w:rPr>
          <w:rFonts w:ascii="Times New Roman" w:hAnsi="Times New Roman"/>
          <w:color w:val="000000" w:themeColor="text1"/>
          <w:sz w:val="16"/>
          <w:szCs w:val="16"/>
        </w:rPr>
        <w:t>в 1942 году Государственный Комитет Обороны принял Постановление «О подчинении уполномоченного Особого отдела в полку и начальника Особого отдела соединения командиру части или соединения». Одновременно с подчинением по линии органов НКВД уполномоченный и начальник особого отдела согласно Постановлению подчинялись командиру полка или командиру соединения Красной Армии 21 октября 1942 г. Подобное постановление было принято и для ВМФ (14798).</w:t>
      </w:r>
    </w:p>
    <w:p w14:paraId="0DAA9446"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6406F2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октября 1942 пара Ил-4 1-го ГМТАП, возглавляемая Балебиным, безуспешно атаковала группу сторожевиков и на обратном пути была перехвачена шестеркой финских «Фоккеров». Воздушным стрелкам удалось сбить двоих преследователей, но оба «Ила» получили по 30 - 40 пулевых пробоин и с трудом дотянули до базы (9965).</w:t>
      </w:r>
    </w:p>
    <w:p w14:paraId="799DBD9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37E8A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октября 1942 вышло Постановление ГКО № 2405 О т.т. Корниец Л.Р., Гаевом А.И. и Бегма В.А. РГАНИР, Фонд ГКО, д. 64, лл. 1 (11012).</w:t>
      </w:r>
    </w:p>
    <w:p w14:paraId="18847E8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DF6E9A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13 октября 1942 вышло Постановление ГКО № 2406 О подчинении уполномоченного особого отдела в полку и начальника особого отдела соединения командиру части или соединения. (7059, 2).</w:t>
      </w:r>
    </w:p>
    <w:p w14:paraId="746E284B" w14:textId="77777777" w:rsidR="00090C9B" w:rsidRPr="00722885" w:rsidRDefault="00090C9B" w:rsidP="00722885">
      <w:pPr>
        <w:pStyle w:val="Iauiue"/>
        <w:tabs>
          <w:tab w:val="left" w:pos="11199"/>
        </w:tabs>
        <w:jc w:val="both"/>
        <w:rPr>
          <w:color w:val="000000" w:themeColor="text1"/>
          <w:sz w:val="16"/>
          <w:szCs w:val="16"/>
        </w:rPr>
      </w:pPr>
    </w:p>
    <w:p w14:paraId="410CBE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октября 1942 ГКО принял постановление О подчинении уполномоченного особого отдела в полку и начальника особого отдела соединения командиру части или соединения. Это было параллельное подчинение. В ВМФ ввели 21 октября 1943 (3398,359).</w:t>
      </w:r>
    </w:p>
    <w:p w14:paraId="20FFCA1C" w14:textId="77777777" w:rsidR="00090C9B" w:rsidRPr="00722885" w:rsidRDefault="00090C9B" w:rsidP="00722885">
      <w:pPr>
        <w:pStyle w:val="Iauiue"/>
        <w:jc w:val="both"/>
        <w:rPr>
          <w:color w:val="000000" w:themeColor="text1"/>
          <w:sz w:val="16"/>
          <w:szCs w:val="16"/>
        </w:rPr>
      </w:pPr>
    </w:p>
    <w:p w14:paraId="0FF96A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октября 1942 г. вышел ПРИКАЗ № 0817/0404 327 С ОБЪЯВЛЕНИЕМ ИНСТРУКЦИИ ПО ВЗАИМОДЕЙСТВИЮ И ВЗАИМООТНОШЕНИЯМ МЕЖДУ ОРГАНАМИ ПВО НКО И ОРГАНАМИ МПВО НКВД СССР</w:t>
      </w:r>
    </w:p>
    <w:p w14:paraId="6E7CE0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Ввести с 25 октября 1942 г. в действие объявляемую Инструкцию по взаимодействию и взаимоотношениям между органами противовоздушной обороны НКО и органами местной противовоздушной обороны НКВД СССР.</w:t>
      </w:r>
    </w:p>
    <w:p w14:paraId="47C08726" w14:textId="77777777" w:rsidR="00090C9B" w:rsidRPr="00722885" w:rsidRDefault="00090C9B" w:rsidP="00722885">
      <w:pPr>
        <w:pStyle w:val="Iauiue"/>
        <w:jc w:val="both"/>
        <w:rPr>
          <w:color w:val="000000" w:themeColor="text1"/>
          <w:sz w:val="16"/>
          <w:szCs w:val="16"/>
          <w:vertAlign w:val="superscript"/>
        </w:rPr>
      </w:pPr>
      <w:r w:rsidRPr="00722885">
        <w:rPr>
          <w:color w:val="000000" w:themeColor="text1"/>
          <w:sz w:val="16"/>
          <w:szCs w:val="16"/>
        </w:rPr>
        <w:t>Приказы НКО и НКВД 1941 г. № 0188/0277 и 1942 г. № 0329 с того же числа отменить.</w:t>
      </w:r>
      <w:r w:rsidRPr="00722885">
        <w:rPr>
          <w:color w:val="000000" w:themeColor="text1"/>
          <w:sz w:val="16"/>
          <w:szCs w:val="16"/>
          <w:vertAlign w:val="superscript"/>
        </w:rPr>
        <w:t>54</w:t>
      </w:r>
    </w:p>
    <w:p w14:paraId="400DA089" w14:textId="77777777" w:rsidR="00090C9B" w:rsidRPr="00722885" w:rsidRDefault="00090C9B" w:rsidP="00722885">
      <w:pPr>
        <w:pStyle w:val="Iauiue"/>
        <w:jc w:val="both"/>
        <w:rPr>
          <w:iCs/>
          <w:color w:val="000000" w:themeColor="text1"/>
          <w:sz w:val="16"/>
          <w:szCs w:val="16"/>
        </w:rPr>
      </w:pPr>
      <w:r w:rsidRPr="00722885">
        <w:rPr>
          <w:iCs/>
          <w:color w:val="000000" w:themeColor="text1"/>
          <w:sz w:val="16"/>
          <w:szCs w:val="16"/>
        </w:rPr>
        <w:t>Зам. Народного комиссара обороны</w:t>
      </w:r>
    </w:p>
    <w:p w14:paraId="65D4788A" w14:textId="77777777" w:rsidR="00090C9B" w:rsidRPr="00722885" w:rsidRDefault="00090C9B" w:rsidP="00722885">
      <w:pPr>
        <w:pStyle w:val="Iauiue"/>
        <w:jc w:val="both"/>
        <w:rPr>
          <w:iCs/>
          <w:color w:val="000000" w:themeColor="text1"/>
          <w:sz w:val="16"/>
          <w:szCs w:val="16"/>
        </w:rPr>
      </w:pPr>
      <w:r w:rsidRPr="00722885">
        <w:rPr>
          <w:iCs/>
          <w:color w:val="000000" w:themeColor="text1"/>
          <w:sz w:val="16"/>
          <w:szCs w:val="16"/>
        </w:rPr>
        <w:t>генерал-лейтенант ГРОМАДИН</w:t>
      </w:r>
    </w:p>
    <w:p w14:paraId="23213EFF" w14:textId="77777777" w:rsidR="00090C9B" w:rsidRPr="00722885" w:rsidRDefault="00090C9B" w:rsidP="00722885">
      <w:pPr>
        <w:pStyle w:val="Iauiue"/>
        <w:jc w:val="both"/>
        <w:rPr>
          <w:iCs/>
          <w:color w:val="000000" w:themeColor="text1"/>
          <w:sz w:val="16"/>
          <w:szCs w:val="16"/>
        </w:rPr>
      </w:pPr>
      <w:r w:rsidRPr="00722885">
        <w:rPr>
          <w:iCs/>
          <w:color w:val="000000" w:themeColor="text1"/>
          <w:sz w:val="16"/>
          <w:szCs w:val="16"/>
        </w:rPr>
        <w:t>Зам. Народного комиссара внутренних дел СССР</w:t>
      </w:r>
    </w:p>
    <w:p w14:paraId="4D7A6F96" w14:textId="77777777" w:rsidR="00090C9B" w:rsidRPr="00722885" w:rsidRDefault="00090C9B" w:rsidP="00722885">
      <w:pPr>
        <w:pStyle w:val="Iauiue"/>
        <w:jc w:val="both"/>
        <w:rPr>
          <w:iCs/>
          <w:color w:val="000000" w:themeColor="text1"/>
          <w:sz w:val="16"/>
          <w:szCs w:val="16"/>
        </w:rPr>
      </w:pPr>
      <w:r w:rsidRPr="00722885">
        <w:rPr>
          <w:iCs/>
          <w:color w:val="000000" w:themeColor="text1"/>
          <w:sz w:val="16"/>
          <w:szCs w:val="16"/>
        </w:rPr>
        <w:t>комиссар госбезопасности 3 ранга КРУГЛОЕ</w:t>
      </w:r>
    </w:p>
    <w:p w14:paraId="6D17BB1C" w14:textId="77777777" w:rsidR="00090C9B" w:rsidRPr="00722885" w:rsidRDefault="00090C9B" w:rsidP="00722885">
      <w:pPr>
        <w:pStyle w:val="Iauiue"/>
        <w:jc w:val="both"/>
        <w:rPr>
          <w:iCs/>
          <w:color w:val="000000" w:themeColor="text1"/>
          <w:sz w:val="16"/>
          <w:szCs w:val="16"/>
        </w:rPr>
      </w:pPr>
      <w:r w:rsidRPr="00722885">
        <w:rPr>
          <w:iCs/>
          <w:color w:val="000000" w:themeColor="text1"/>
          <w:sz w:val="16"/>
          <w:szCs w:val="16"/>
        </w:rPr>
        <w:t>Зам. Народного комиссара обороны</w:t>
      </w:r>
    </w:p>
    <w:p w14:paraId="42721769" w14:textId="77777777" w:rsidR="00090C9B" w:rsidRPr="00722885" w:rsidRDefault="00090C9B" w:rsidP="00722885">
      <w:pPr>
        <w:pStyle w:val="Iauiue"/>
        <w:jc w:val="both"/>
        <w:rPr>
          <w:iCs/>
          <w:color w:val="000000" w:themeColor="text1"/>
          <w:sz w:val="16"/>
          <w:szCs w:val="16"/>
        </w:rPr>
      </w:pPr>
      <w:r w:rsidRPr="00722885">
        <w:rPr>
          <w:iCs/>
          <w:color w:val="000000" w:themeColor="text1"/>
          <w:sz w:val="16"/>
          <w:szCs w:val="16"/>
        </w:rPr>
        <w:t>генерал-лейтенант ГРОМАДИН</w:t>
      </w:r>
    </w:p>
    <w:p w14:paraId="2DF8E2E6" w14:textId="77777777" w:rsidR="00090C9B" w:rsidRPr="00722885" w:rsidRDefault="00090C9B" w:rsidP="00722885">
      <w:pPr>
        <w:pStyle w:val="Iauiue"/>
        <w:jc w:val="both"/>
        <w:rPr>
          <w:iCs/>
          <w:color w:val="000000" w:themeColor="text1"/>
          <w:sz w:val="16"/>
          <w:szCs w:val="16"/>
        </w:rPr>
      </w:pPr>
      <w:r w:rsidRPr="00722885">
        <w:rPr>
          <w:iCs/>
          <w:color w:val="000000" w:themeColor="text1"/>
          <w:sz w:val="16"/>
          <w:szCs w:val="16"/>
        </w:rPr>
        <w:t>Зам. Народного комиссара внутренних дел СССР</w:t>
      </w:r>
    </w:p>
    <w:p w14:paraId="40255D88" w14:textId="77777777" w:rsidR="00090C9B" w:rsidRPr="00722885" w:rsidRDefault="00090C9B" w:rsidP="00722885">
      <w:pPr>
        <w:pStyle w:val="Iauiue"/>
        <w:jc w:val="both"/>
        <w:rPr>
          <w:iCs/>
          <w:color w:val="000000" w:themeColor="text1"/>
          <w:sz w:val="16"/>
          <w:szCs w:val="16"/>
        </w:rPr>
      </w:pPr>
      <w:r w:rsidRPr="00722885">
        <w:rPr>
          <w:iCs/>
          <w:color w:val="000000" w:themeColor="text1"/>
          <w:sz w:val="16"/>
          <w:szCs w:val="16"/>
        </w:rPr>
        <w:t>комиссар госбезопасности 3 ранга КРУГЛОЕ</w:t>
      </w:r>
    </w:p>
    <w:p w14:paraId="74820B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октября 1942 г.</w:t>
      </w:r>
    </w:p>
    <w:p w14:paraId="3BF7EA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ИНСТРУКЦИЯ ПО ВЗАИМОДЕЙСТВИЮ И ВЗАИМООТНОШЕНИЯМ МЕЖДУ</w:t>
      </w:r>
    </w:p>
    <w:p w14:paraId="30E847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ОРГАНАМИ ПВО НКО (ТЕРРИТОРИИ СТРАНЫ) И ОРГАНАМИ МЕСТНОЙ ПВО НКВД СОЮЗА ССР</w:t>
      </w:r>
    </w:p>
    <w:p w14:paraId="59FAFB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I. О введении угрожаемого положения по воздушному нападению на территории Союза ССР</w:t>
      </w:r>
    </w:p>
    <w:p w14:paraId="0C9E33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Угрожаемое по воздушному нападению положение на той или иной части территории Союза ССР вводится в целях организации и проведения мероприятий местной противовоздушной обороны на транспорте, в промышленности и среди гражданского населения, находящихся на этой территории.</w:t>
      </w:r>
    </w:p>
    <w:p w14:paraId="2C36B8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Осуществление введения угрожаемого по воздушному нападению положения на той или иной части территории Союза ССР производится по указанию Народного комиссара внутренних дел Союза ССР начальником Главного управления местной противовоздушной обороны НКВД СССР.</w:t>
      </w:r>
    </w:p>
    <w:p w14:paraId="4A5230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Начальник Главного управления местной противовоздушной обороны НКВД СССР, в соответствии с указанием Народного комиссара внутренних дел СССР, осуществляет введение угрожаемого по воздушному нападению положения через соответствующие органы местной противовоздушной обороны НКВД СССР на местах, а также через соответствующие наркоматы, исполкомы и республики.</w:t>
      </w:r>
    </w:p>
    <w:p w14:paraId="4E2B76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Одновременно начальник Главного управления местной противовоздушной обороны НКВД СССР о введении на той или иной части территории Союза ССР угрожаемого по воздушному нападению положения ставит в известность начальника штаба войск противовоздушной обороны территории страны, который обязан известить об этом соответствующие органы противовоздушной обороны территории страны на местах.</w:t>
      </w:r>
    </w:p>
    <w:p w14:paraId="7467F9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Действия органов противовоздушной обороны территории страны и органов местной противовоздушной обороны НКВД Союза ССР по введении угрожаемого по воздушному нападению положения осуществляются на основе соответствующих инструкций, указаний и планов, разрабатываемых самостоятельно по линии органов противовоздушной обороны территории страны и органов местной противовоздушной обороны НКВД СССР.</w:t>
      </w:r>
    </w:p>
    <w:p w14:paraId="53C9E4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 Об осуществлении затемнения на угрожаемой по воздушному нападению территории Союза ССР</w:t>
      </w:r>
    </w:p>
    <w:p w14:paraId="034184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Общий постоянный режим затемнения в прифронтовой полосе и в глубине угрожаемой по воздушному нападению территории Союза ССР устанавливается по указанию Народного комиссара внутренних дел Союза ССР распоряжением начальника Главного управления местной противовоздушной обороны НКВД СССР.</w:t>
      </w:r>
    </w:p>
    <w:p w14:paraId="037B89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Осуществление общего постоянного режима затемнения на угрожаемой по воздушному нападению территории Союза ССР производится органами местной противовоздушной обороны НКВД СССР на местах по указанию начальника Главного управления местной противовоздушной обороны НКВД СССР.</w:t>
      </w:r>
    </w:p>
    <w:p w14:paraId="354E56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В той части территории страны, в которой введено только частичное затемнение, в случае необходимости в зависимости от конкретной сложившейся воздушной обстановки, органами местной противовоздушной обороны НКВД на местах вводится режим полного затемнения, о чем доносится по команде. Решение о введении полного режима затемнения органы местной противовоздушной обороны НКВД на местах принимают на основании получаемой информации о воздушной обстановке или при наличии требования об этом со стороны органов противовоздушной обороны НКО (территории страны) на местах.</w:t>
      </w:r>
    </w:p>
    <w:p w14:paraId="195BC7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III. Оповещение органов местной противовоздушной обороны НКВД о воздушном противнике</w:t>
      </w:r>
    </w:p>
    <w:p w14:paraId="70F29B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8. В пунктах, где располагаются ротные, батальонные, полковые или главные посты ВНОС штабов районов, зон, армий и фронтов противовоздушной обороны </w:t>
      </w:r>
      <w:r w:rsidRPr="00722885">
        <w:rPr>
          <w:color w:val="000000" w:themeColor="text1"/>
          <w:sz w:val="16"/>
          <w:szCs w:val="16"/>
        </w:rPr>
        <w:lastRenderedPageBreak/>
        <w:t>территории страны, органы местной противовоздушной обороны в этих пунктах оповещаются о воздушном противнике выше постами ВНОС.</w:t>
      </w:r>
    </w:p>
    <w:p w14:paraId="263CF9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обеспечения оповещения о воздушном противнике органы местной противовоздушной обороны устанавливают телефонную связь к соответствующим постам ВНОС своим распоряжением и за свой счет.</w:t>
      </w:r>
    </w:p>
    <w:p w14:paraId="0C4B1C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Органы местной противовоздушной обороны имеют право потребовать от соответствующих постов ВНОС (через соответствующие органы противовоздушной обороны территории страны на местах) оповещать непосредственно о воздушном противнике наиболее важные промышленные, транспортные и другие объекты; в этих случаях к соответствующим постам ВНОС устанавливается прямая телефонная связь от объектов распоряжением органов местной противовоздушной обороны НКВД за свой счет.</w:t>
      </w:r>
    </w:p>
    <w:p w14:paraId="389547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Эксплуатационные расходы по средствам связи, устанавливаемым на соответствующих постах ВНОС для обеспечения оповещения объектов гражданских ведомств и органов местной противовоздушной обороны НКВД, производятся за счет органов местной противовоздушной обороны.</w:t>
      </w:r>
    </w:p>
    <w:p w14:paraId="51E196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Органы местной противовоздушной обороны пунктов, в которых недислоцированы указанные в статье 8 настоящей Инструкции посты ВНОС, оповещаются о воздушном противнике в следующем порядке: ближайшие ротные (батальонные и другие) посты ВНОС в соответствии с утвержденной схемой оповещения, передают оповещения о воздушном противнике по литеру “Воздух” до узла связи НКС, находящегося в данном пункте; дальнейшая передача оповещения от узлов связи обеспечивается на основе специальных указаний Главного управления местной противовоздушной обороны НКВД.</w:t>
      </w:r>
    </w:p>
    <w:p w14:paraId="566818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Населенные пункты, где не имеется органов местной противовоздушной обороны, но которые расположены в угрожаемой по воздушному нападению зоне, оповещаются о воздушном противнике ближайшими ротными (батальонными и др.) постами ВНОС по литеру “Воздух” в порядке, указанном статьей 9 настоящей Инструкции или соответствующими органами местной противовоздушной обороны НКВД. Порядок оповещения указанных населенных пунктов определяется на местах совместно с органами противовоздушной обороны НКО и органами местной противовоздушной обороны НКВД.</w:t>
      </w:r>
    </w:p>
    <w:p w14:paraId="727190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Организация и осуществление оповещения о воздушном противнике важнейших промышленных, транспортных и сельскохозяйственных объектов как в населенных пунктах, кроме объектов, от которых к постам ВНОС устанавливается прямая телефонная связь согласно статье 8, так и вне их возлагается на соответствующие органы местной противовоздушной обороны.</w:t>
      </w:r>
    </w:p>
    <w:p w14:paraId="09AE92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Важнейшие объекты НКО оповещаются постами ВНОС в соответствии со схемами передачи.</w:t>
      </w:r>
    </w:p>
    <w:p w14:paraId="09379A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IV. О воздушной тревоге</w:t>
      </w:r>
    </w:p>
    <w:p w14:paraId="351FFA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Воздушная тревога и отбой воздушной тревоги для населения, промышленности, транспорта и других объектов гражданских ведомств и наркоматов (в том числе и для объектов НКО) объявляются:</w:t>
      </w:r>
    </w:p>
    <w:p w14:paraId="26EAB0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для населенных пунктов и отдельно расположенных объектов, где имеются на обороне части (соединения) противовоздушной обороны или дислоцируются органы противовоздушной обороны территории страны, — по приказанию командиров отдельных дивизионов, полков и соединений противовоздушной обороны, а также по приказанию командующих районами, зонами, армиями и фронтами противовоздушной обороны территории страны, по месту их дислокации, через соответствующие штабы местной противовоздушной обороны;</w:t>
      </w:r>
    </w:p>
    <w:p w14:paraId="14713E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для населенных пунктов и отдельно расположенных объектов, где не имеется на обороне частей (соединений) противовоздушной обороны территории страны и отсутствуют соответствующие органы противовоздушной обороны территории страны, — по самостоятельному решению соответствующих начальников местной противовоздушной обороны, принятому на основе информации, полученных от службы ВНОС территории страны.</w:t>
      </w:r>
    </w:p>
    <w:p w14:paraId="577FB1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Для обеспечения своевременной передачи приказаний об объявлении воздушной тревоги, а также для обеспечения непрерывной информации органов местной противовоздушной обороны о воздушном противнике осуществляются следующие мероприятия:</w:t>
      </w:r>
    </w:p>
    <w:p w14:paraId="58C366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между штабами местной противовоздушной обороны населенных пунктов или отдельно расположенных объектов, с одной стороны, и штабами (КП) командиров отдельных частей (соединений) и командующих районами, зонами, армиями и фронтами противовоздушной обороны территории страны, а при необходимости и с соответствующими ротными или батальонными постами ВНОС, с другой стороны, в соответствии со статьями 8 и 11 настоящей Инструкции, устанавливается прямая телефонная связь за счет органов местной противовоздушной обороны;</w:t>
      </w:r>
    </w:p>
    <w:p w14:paraId="5B2D9A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начальники местной противовоздушной обороны населенных пунктов или отдельно расположенных объектов, в зависимости от необходимости или по указанию вышестоящих органов местной противовоздушной обороны НКВД, выделяют временно или постоянно своих ответственных дежурных на соответствующие ротные или другие посты службы ВНОС территории страны, а также на все промежуточные узлы связи, через которые проходит оповещение органов местной противовоздушной обороны о воздушном противнике.</w:t>
      </w:r>
    </w:p>
    <w:p w14:paraId="7F9180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Действия системы органов противовоздушной обороны НКО и системы и органов местной противовоздушной обороны НКВД по сигналам “Воздушная тревога” и “Отбой воздушной тревоги” осуществляются на основе соответствующих инструкций, указаний и планов, разрабатываемых самостоятельно по линии противовоздушной обороны НКО и по линии органов местной противовоздушной обороны НКВД Союза ССР.</w:t>
      </w:r>
    </w:p>
    <w:p w14:paraId="0BF03ECF" w14:textId="77777777" w:rsidR="00090C9B" w:rsidRPr="00722885" w:rsidRDefault="00090C9B" w:rsidP="00722885">
      <w:pPr>
        <w:pStyle w:val="Iauiue"/>
        <w:jc w:val="both"/>
        <w:rPr>
          <w:iCs/>
          <w:color w:val="000000" w:themeColor="text1"/>
          <w:sz w:val="16"/>
          <w:szCs w:val="16"/>
        </w:rPr>
      </w:pPr>
      <w:r w:rsidRPr="00722885">
        <w:rPr>
          <w:iCs/>
          <w:color w:val="000000" w:themeColor="text1"/>
          <w:sz w:val="16"/>
          <w:szCs w:val="16"/>
        </w:rPr>
        <w:t>Начальник штаба войск ПВО территории страны генерал-майор НАГОРНЫЙ</w:t>
      </w:r>
    </w:p>
    <w:p w14:paraId="1AA63EAD"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 xml:space="preserve">Начальник Главного управления МПВО НКВД Союза ССР генерал-лейтенант ОСОКИН </w:t>
      </w:r>
      <w:r w:rsidRPr="00722885">
        <w:rPr>
          <w:color w:val="000000" w:themeColor="text1"/>
          <w:sz w:val="16"/>
          <w:szCs w:val="16"/>
        </w:rPr>
        <w:t>(9844).</w:t>
      </w:r>
    </w:p>
    <w:p w14:paraId="76BF4484" w14:textId="77777777" w:rsidR="00090C9B" w:rsidRPr="00722885" w:rsidRDefault="00090C9B" w:rsidP="00722885">
      <w:pPr>
        <w:pStyle w:val="Iauiue"/>
        <w:jc w:val="both"/>
        <w:rPr>
          <w:color w:val="000000" w:themeColor="text1"/>
          <w:sz w:val="16"/>
          <w:szCs w:val="16"/>
        </w:rPr>
      </w:pPr>
    </w:p>
    <w:p w14:paraId="22B47BB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00FA9D0F" w14:textId="77777777" w:rsidR="00090C9B" w:rsidRPr="00722885" w:rsidRDefault="00090C9B" w:rsidP="00722885">
      <w:pPr>
        <w:pStyle w:val="Iauiue"/>
        <w:jc w:val="both"/>
        <w:rPr>
          <w:iCs/>
          <w:color w:val="000000" w:themeColor="text1"/>
          <w:sz w:val="16"/>
          <w:szCs w:val="16"/>
        </w:rPr>
      </w:pPr>
    </w:p>
    <w:p w14:paraId="2967F4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октября 1942 были установлены дипотношения между СССР и Австралией (3186).</w:t>
      </w:r>
    </w:p>
    <w:p w14:paraId="1427710F" w14:textId="77777777" w:rsidR="00090C9B" w:rsidRPr="00722885" w:rsidRDefault="00090C9B" w:rsidP="00722885">
      <w:pPr>
        <w:pStyle w:val="Iauiue"/>
        <w:jc w:val="both"/>
        <w:rPr>
          <w:color w:val="000000" w:themeColor="text1"/>
          <w:sz w:val="16"/>
          <w:szCs w:val="16"/>
        </w:rPr>
      </w:pPr>
    </w:p>
    <w:p w14:paraId="482912D8"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13 октября </w:t>
      </w:r>
      <w:r w:rsidRPr="00722885">
        <w:rPr>
          <w:rFonts w:ascii="Times New Roman" w:hAnsi="Times New Roman"/>
          <w:color w:val="000000" w:themeColor="text1"/>
          <w:sz w:val="16"/>
          <w:szCs w:val="16"/>
        </w:rPr>
        <w:t>в 1942 году были восстановлены дипломатические отношения между СССР и Люксембургом (установлены 26 августа 1935 г., дипломатические отношения с Россией установлены 7 марта 1891 г.; в декабре 1991 г. Российской Федерации признана правопреемницей СССР) (14798).</w:t>
      </w:r>
    </w:p>
    <w:p w14:paraId="6AC4C81D"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1A3DE86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408EE5D" w14:textId="77777777" w:rsidR="00090C9B" w:rsidRPr="00722885" w:rsidRDefault="00090C9B" w:rsidP="00722885">
      <w:pPr>
        <w:pStyle w:val="Iauiue"/>
        <w:jc w:val="both"/>
        <w:rPr>
          <w:iCs/>
          <w:color w:val="000000" w:themeColor="text1"/>
          <w:sz w:val="16"/>
          <w:szCs w:val="16"/>
        </w:rPr>
      </w:pPr>
    </w:p>
    <w:p w14:paraId="75AD3B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октября 1942 начались полигонные испытания на НИП АВ Пе-2 N 390103 - третья машина первой серии - АКАБ - автоматической комбинированной артиллерийской установки Г.М.Можаровского, Веневидова и ГИ 266 завода в Казани А.А.Енгибаряна. Установка состояла из двух рам, со смонтированными ШВАК (170 снарядов) и УБК (220 патронов). Испытаниями руководил т-л Губин. Выполнили 24 полета, в т.ч. 21 со стрельбой и стреляли по списанному паровозу Н и танку Т-III. Сравнивали с работой Ил-2 и И-16П. Преимущества установки по точности, плотности огня и весу залпа были бесспорными (1.5-2 раза выше по точности и 4.18 кг /с по сравнению с 3.14 кг/с у Ил-2). Проблемой стала недостаточная защищенность Пе-2 от огня с земли. Кстати, на этой же машине испытывалось и шасси на воздушной подушке (1726,2).</w:t>
      </w:r>
    </w:p>
    <w:p w14:paraId="11DC1565" w14:textId="77777777" w:rsidR="00090C9B" w:rsidRPr="00722885" w:rsidRDefault="00090C9B" w:rsidP="00722885">
      <w:pPr>
        <w:pStyle w:val="Iauiue"/>
        <w:jc w:val="both"/>
        <w:rPr>
          <w:color w:val="000000" w:themeColor="text1"/>
          <w:sz w:val="16"/>
          <w:szCs w:val="16"/>
        </w:rPr>
      </w:pPr>
    </w:p>
    <w:p w14:paraId="432D892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14 октября 1942 г. в течение двух месяцев проходили полигонные испытания Пе-2 с АКАБ на НИП АВ ВВС КА. Руководил ими старший техник-лейтенант Губин. Были выполнены 24 полета, из них 21 — со стрельбой. Мишенями служили списанный паровоз Н</w:t>
      </w:r>
      <w:r w:rsidRPr="00722885">
        <w:rPr>
          <w:rFonts w:ascii="Times New Roman" w:hAnsi="Times New Roman"/>
          <w:color w:val="000000" w:themeColor="text1"/>
          <w:sz w:val="16"/>
          <w:szCs w:val="16"/>
          <w:vertAlign w:val="superscript"/>
        </w:rPr>
        <w:t>у</w:t>
      </w:r>
      <w:r w:rsidRPr="00722885">
        <w:rPr>
          <w:rFonts w:ascii="Times New Roman" w:hAnsi="Times New Roman"/>
          <w:color w:val="000000" w:themeColor="text1"/>
          <w:sz w:val="16"/>
          <w:szCs w:val="16"/>
        </w:rPr>
        <w:t xml:space="preserve"> и трофейный немецкий танк Т-III. Для оценки эффективности АКАБ в сравнении с другими ана</w:t>
      </w:r>
      <w:r w:rsidRPr="00722885">
        <w:rPr>
          <w:rFonts w:ascii="Times New Roman" w:hAnsi="Times New Roman"/>
          <w:color w:val="000000" w:themeColor="text1"/>
          <w:sz w:val="16"/>
          <w:szCs w:val="16"/>
        </w:rPr>
        <w:softHyphen/>
        <w:t>логичными установками использовали результаты отстрелов по этим же мишеням штурмовика Ил-2 и истребителя И-16П, имев</w:t>
      </w:r>
      <w:r w:rsidRPr="00722885">
        <w:rPr>
          <w:rFonts w:ascii="Times New Roman" w:hAnsi="Times New Roman"/>
          <w:color w:val="000000" w:themeColor="text1"/>
          <w:sz w:val="16"/>
          <w:szCs w:val="16"/>
        </w:rPr>
        <w:softHyphen/>
        <w:t>ших сходное вооружение из двух пушек ШВАК и двух пулеметов (но не ШКАСов). Преимущества подвижной установки оказались бесспорными: число попаданий было в полтора-два раза выше, а плотность огня достигала 0,81 снарядов/м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против 0,24—0,56 для неподвижных пушек. За секунду батарея делала 58 выстрелов, а вес залпа составлял 4,18 кг/с, в то время как у Ил-2 только 3,14 кг/с. АКАБ показала высокую надежность в эксплуатации — за все время стрельб отказов по механической части не было. Однако большим недостатком установки был выброс стреляных гильз на</w:t>
      </w:r>
      <w:r w:rsidRPr="00722885">
        <w:rPr>
          <w:rFonts w:ascii="Times New Roman" w:hAnsi="Times New Roman"/>
          <w:color w:val="000000" w:themeColor="text1"/>
          <w:sz w:val="16"/>
          <w:szCs w:val="16"/>
        </w:rPr>
        <w:softHyphen/>
        <w:t>ружу: подхваченные потоком, они колотили по обшивке, что при</w:t>
      </w:r>
      <w:r w:rsidRPr="00722885">
        <w:rPr>
          <w:rFonts w:ascii="Times New Roman" w:hAnsi="Times New Roman"/>
          <w:color w:val="000000" w:themeColor="text1"/>
          <w:sz w:val="16"/>
          <w:szCs w:val="16"/>
        </w:rPr>
        <w:softHyphen/>
        <w:t>водило к вмятинам и даже пробоинам. Подтвердились и тактические достоинства АКАБ. В отчете по испытаниям говорилось: «...стрельба по цели с горизонтального полета сокращает время нахождения самолета над целью... упро</w:t>
      </w:r>
      <w:r w:rsidRPr="00722885">
        <w:rPr>
          <w:rFonts w:ascii="Times New Roman" w:hAnsi="Times New Roman"/>
          <w:color w:val="000000" w:themeColor="text1"/>
          <w:sz w:val="16"/>
          <w:szCs w:val="16"/>
        </w:rPr>
        <w:softHyphen/>
        <w:t>щает технику пилотирования и облегчает работу экипажа». Поначалу летчики даже никак не могли привыкнуть к самостоя</w:t>
      </w:r>
      <w:r w:rsidRPr="00722885">
        <w:rPr>
          <w:rFonts w:ascii="Times New Roman" w:hAnsi="Times New Roman"/>
          <w:color w:val="000000" w:themeColor="text1"/>
          <w:sz w:val="16"/>
          <w:szCs w:val="16"/>
        </w:rPr>
        <w:softHyphen/>
        <w:t>тельности АКАБ. Они по привычке при стрельбе продолжали удер</w:t>
      </w:r>
      <w:r w:rsidRPr="00722885">
        <w:rPr>
          <w:rFonts w:ascii="Times New Roman" w:hAnsi="Times New Roman"/>
          <w:color w:val="000000" w:themeColor="text1"/>
          <w:sz w:val="16"/>
          <w:szCs w:val="16"/>
        </w:rPr>
        <w:softHyphen/>
        <w:t>живать цель в перекрестии прицела, загоняя самолет в пикиро</w:t>
      </w:r>
      <w:r w:rsidRPr="00722885">
        <w:rPr>
          <w:rFonts w:ascii="Times New Roman" w:hAnsi="Times New Roman"/>
          <w:color w:val="000000" w:themeColor="text1"/>
          <w:sz w:val="16"/>
          <w:szCs w:val="16"/>
        </w:rPr>
        <w:softHyphen/>
        <w:t>вание. Полигонные испытания АКАБ выдержала, но ее боевое приме</w:t>
      </w:r>
      <w:r w:rsidRPr="00722885">
        <w:rPr>
          <w:rFonts w:ascii="Times New Roman" w:hAnsi="Times New Roman"/>
          <w:color w:val="000000" w:themeColor="text1"/>
          <w:sz w:val="16"/>
          <w:szCs w:val="16"/>
        </w:rPr>
        <w:softHyphen/>
        <w:t>нение руководство посчитало нецелесообразным. Однако не из-за дефектов конструкции установки, а из-за неудачного выбора носи</w:t>
      </w:r>
      <w:r w:rsidRPr="00722885">
        <w:rPr>
          <w:rFonts w:ascii="Times New Roman" w:hAnsi="Times New Roman"/>
          <w:color w:val="000000" w:themeColor="text1"/>
          <w:sz w:val="16"/>
          <w:szCs w:val="16"/>
        </w:rPr>
        <w:softHyphen/>
        <w:t>теля. Пе-2 был слабо защищен и слишком уязвим при штурмовке, и в этом отношении бронированный Ил-2 оказался вне конкурен</w:t>
      </w:r>
      <w:r w:rsidRPr="00722885">
        <w:rPr>
          <w:rFonts w:ascii="Times New Roman" w:hAnsi="Times New Roman"/>
          <w:color w:val="000000" w:themeColor="text1"/>
          <w:sz w:val="16"/>
          <w:szCs w:val="16"/>
        </w:rPr>
        <w:softHyphen/>
        <w:t>ции. Сложной оказалась и подготовка к открытию огня: учитывая поправки и вводя данные для стрельбы, летчику приходилось от</w:t>
      </w:r>
      <w:r w:rsidRPr="00722885">
        <w:rPr>
          <w:rFonts w:ascii="Times New Roman" w:hAnsi="Times New Roman"/>
          <w:color w:val="000000" w:themeColor="text1"/>
          <w:sz w:val="16"/>
          <w:szCs w:val="16"/>
        </w:rPr>
        <w:softHyphen/>
        <w:t>влекаться от пилотирования. Именно поэтому все испытательные стрельбы проводились на постоянной скорости 400 км/ч, менялась лишь высота захода на цель. Не удовлетворяло и оружие, входившее в состав АКАБ. Крупно</w:t>
      </w:r>
      <w:r w:rsidRPr="00722885">
        <w:rPr>
          <w:rFonts w:ascii="Times New Roman" w:hAnsi="Times New Roman"/>
          <w:color w:val="000000" w:themeColor="text1"/>
          <w:sz w:val="16"/>
          <w:szCs w:val="16"/>
        </w:rPr>
        <w:softHyphen/>
        <w:t>калиберные пулеметы и 20-мм пушки не позволяли уничтожать бронемашины и танки, а для поражения пехоты их мощь была из</w:t>
      </w:r>
      <w:r w:rsidRPr="00722885">
        <w:rPr>
          <w:rFonts w:ascii="Times New Roman" w:hAnsi="Times New Roman"/>
          <w:color w:val="000000" w:themeColor="text1"/>
          <w:sz w:val="16"/>
          <w:szCs w:val="16"/>
        </w:rPr>
        <w:softHyphen/>
        <w:t>быточной (10695).</w:t>
      </w:r>
    </w:p>
    <w:p w14:paraId="44F35F4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79A2265"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 октября 1942 г. получив чертежи УТ-2МВ с завода № 47, завод № 600 приступил к подготовке производства. Это потребовало увеличения производственных площадей и перепланировки на них цехов. К 1 января 1943 г. завод был окончательно перестроен на самолётно-строительный, пройдя последовательно стадии самолётно-сборочного и агрегатного производства. До конца 1942 г. заводу предписывалось собрать из комплектующих 40 УТ-2МВ, а также создать задел, позволяющий выпустить в январе 1943 г. 10 машин собственной постройки. Невыполнение заводом № 47 установленного ему графика поставки агрегатов самолёта </w:t>
      </w:r>
      <w:r w:rsidRPr="00722885">
        <w:rPr>
          <w:rFonts w:ascii="Times New Roman" w:hAnsi="Times New Roman"/>
          <w:color w:val="000000" w:themeColor="text1"/>
          <w:sz w:val="16"/>
          <w:szCs w:val="16"/>
        </w:rPr>
        <w:lastRenderedPageBreak/>
        <w:t>УТ-2МВ заставило НКАП дать заводу № 600 указание заключить договор с УВВС КА на поставку в 1942 году 17 самолётов УТ-2, которые и были сданы заводом (19006).</w:t>
      </w:r>
    </w:p>
    <w:p w14:paraId="7F26581A" w14:textId="77777777" w:rsidR="00E07874" w:rsidRPr="00722885" w:rsidRDefault="00E07874" w:rsidP="00722885">
      <w:pPr>
        <w:spacing w:after="0" w:line="240" w:lineRule="auto"/>
        <w:jc w:val="both"/>
        <w:rPr>
          <w:rFonts w:ascii="Times New Roman" w:hAnsi="Times New Roman"/>
          <w:color w:val="000000" w:themeColor="text1"/>
          <w:sz w:val="16"/>
          <w:szCs w:val="16"/>
        </w:rPr>
      </w:pPr>
    </w:p>
    <w:p w14:paraId="7D0ECE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октября 1942 вышло Постановление ГКО № 2412 О переводе производства завода № 16 НКАП. с редукторных моторов М-105Р на производство пушечных моторов М-105 ПФ и установке моторов М-105 ПФ на самолеты Пе-2. РГАНИР, Фонд ГКО, д. 64, лл. 35 (11012).</w:t>
      </w:r>
    </w:p>
    <w:p w14:paraId="3C0F956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CE4A07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9ECA03E" w14:textId="77777777" w:rsidR="00090C9B" w:rsidRPr="00722885" w:rsidRDefault="00090C9B" w:rsidP="00722885">
      <w:pPr>
        <w:pStyle w:val="Iauiue"/>
        <w:jc w:val="both"/>
        <w:rPr>
          <w:iCs/>
          <w:color w:val="000000" w:themeColor="text1"/>
          <w:sz w:val="16"/>
          <w:szCs w:val="16"/>
        </w:rPr>
      </w:pPr>
    </w:p>
    <w:p w14:paraId="75CC28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октября 1942 территорию СТЗ заняли немецкие части. Таким образом, суммарный выпуск танков Т-34 на Сталинградском тракторном заводе составил 2394 машины, а за все время производства – 3644 тридцатьчетверки (12217).</w:t>
      </w:r>
    </w:p>
    <w:p w14:paraId="3428E65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019883A"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октября 1942 года нарком И. Заль</w:t>
      </w:r>
      <w:r w:rsidRPr="00722885">
        <w:rPr>
          <w:rFonts w:ascii="Times New Roman" w:hAnsi="Times New Roman"/>
          <w:color w:val="000000" w:themeColor="text1"/>
          <w:sz w:val="16"/>
          <w:szCs w:val="16"/>
        </w:rPr>
        <w:softHyphen/>
        <w:t>цман направил на имя И. Сталина и В. Молтова письмо, в котором сообщал:</w:t>
      </w:r>
    </w:p>
    <w:p w14:paraId="0E8BCCC6"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«Для безусловного выполнения плана вы</w:t>
      </w:r>
      <w:r w:rsidRPr="00722885">
        <w:rPr>
          <w:rFonts w:ascii="Times New Roman" w:cs="Times New Roman"/>
          <w:color w:val="000000" w:themeColor="text1"/>
          <w:spacing w:val="0"/>
        </w:rPr>
        <w:softHyphen/>
        <w:t xml:space="preserve">пуска танков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в октябре, прошу Вас разре</w:t>
      </w:r>
      <w:r w:rsidRPr="00722885">
        <w:rPr>
          <w:rFonts w:ascii="Times New Roman" w:cs="Times New Roman"/>
          <w:color w:val="000000" w:themeColor="text1"/>
          <w:spacing w:val="0"/>
        </w:rPr>
        <w:softHyphen/>
        <w:t xml:space="preserve">шить использовать часть корпусов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с тол шиной бортовых листов 75 мм».</w:t>
      </w:r>
    </w:p>
    <w:p w14:paraId="243B8825"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этом документе речь шла о бронекорпусах обычных КВ-1 - на ЧКЗ после прекра</w:t>
      </w:r>
      <w:r w:rsidRPr="00722885">
        <w:rPr>
          <w:rFonts w:ascii="Times New Roman" w:cs="Times New Roman"/>
          <w:color w:val="000000" w:themeColor="text1"/>
          <w:spacing w:val="0"/>
        </w:rPr>
        <w:softHyphen/>
        <w:t>щения выпуска этих машин остался доволь</w:t>
      </w:r>
      <w:r w:rsidRPr="00722885">
        <w:rPr>
          <w:rFonts w:ascii="Times New Roman" w:cs="Times New Roman"/>
          <w:color w:val="000000" w:themeColor="text1"/>
          <w:spacing w:val="0"/>
        </w:rPr>
        <w:softHyphen/>
        <w:t>но большой задел бронедеталей на эти ма</w:t>
      </w:r>
      <w:r w:rsidRPr="00722885">
        <w:rPr>
          <w:rFonts w:ascii="Times New Roman" w:cs="Times New Roman"/>
          <w:color w:val="000000" w:themeColor="text1"/>
          <w:spacing w:val="0"/>
        </w:rPr>
        <w:softHyphen/>
        <w:t>шины: например, по состоянию на 3 июня 1942 года здесь находилось 534 броне корпуса (389 производства Уралмашзавода и 145 за</w:t>
      </w:r>
      <w:r w:rsidRPr="00722885">
        <w:rPr>
          <w:rFonts w:ascii="Times New Roman" w:cs="Times New Roman"/>
          <w:color w:val="000000" w:themeColor="text1"/>
          <w:spacing w:val="0"/>
        </w:rPr>
        <w:softHyphen/>
        <w:t>вода № 200). Легко видеть, что даже этого количества хвалило бы на обеспечение про</w:t>
      </w:r>
      <w:r w:rsidRPr="00722885">
        <w:rPr>
          <w:rFonts w:ascii="Times New Roman" w:cs="Times New Roman"/>
          <w:color w:val="000000" w:themeColor="text1"/>
          <w:spacing w:val="0"/>
        </w:rPr>
        <w:softHyphen/>
        <w:t>граммы КВ-1 июня — августа, и это без учета поступления новых бронекорпусов с УЗТМ и завода № 200 в течение этих месяцев (15226).</w:t>
      </w:r>
    </w:p>
    <w:p w14:paraId="1AE2C078"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p>
    <w:p w14:paraId="07FE8AF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14 октября 1942 вышло Постановление ГКО № 2407 Об обеспечении железных дорог дровами в IV квартале 1942 г. и в первом полугодии 1943 года. (7059, 3-11,12-19).</w:t>
      </w:r>
    </w:p>
    <w:p w14:paraId="4B25271A" w14:textId="77777777" w:rsidR="00090C9B" w:rsidRPr="00722885" w:rsidRDefault="00090C9B" w:rsidP="00722885">
      <w:pPr>
        <w:pStyle w:val="Iauiue"/>
        <w:tabs>
          <w:tab w:val="left" w:pos="11199"/>
        </w:tabs>
        <w:jc w:val="both"/>
        <w:rPr>
          <w:color w:val="000000" w:themeColor="text1"/>
          <w:sz w:val="16"/>
          <w:szCs w:val="16"/>
        </w:rPr>
      </w:pPr>
    </w:p>
    <w:p w14:paraId="6B59EB5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14 октября 1942 вышло Постановление ГКО № 2408 О зимней ледокольной кампании на Белом море в 1942-1943 гг. (7059, 20-22,23).</w:t>
      </w:r>
    </w:p>
    <w:p w14:paraId="73A60261" w14:textId="77777777" w:rsidR="00090C9B" w:rsidRPr="00722885" w:rsidRDefault="00090C9B" w:rsidP="00722885">
      <w:pPr>
        <w:pStyle w:val="Iauiue"/>
        <w:tabs>
          <w:tab w:val="left" w:pos="11199"/>
        </w:tabs>
        <w:jc w:val="both"/>
        <w:rPr>
          <w:color w:val="000000" w:themeColor="text1"/>
          <w:sz w:val="16"/>
          <w:szCs w:val="16"/>
        </w:rPr>
      </w:pPr>
    </w:p>
    <w:p w14:paraId="42B62FA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14 октября 1942 вышло Постановление ГКО № 2409 [О мобилизации в рабочие колонны НКВД мужчин с 17 до 50 лет по национальности румын, венгров, итальянцев, финнов.] (7059, 24).</w:t>
      </w:r>
    </w:p>
    <w:p w14:paraId="624F39F0" w14:textId="77777777" w:rsidR="00090C9B" w:rsidRPr="00722885" w:rsidRDefault="00090C9B" w:rsidP="00722885">
      <w:pPr>
        <w:pStyle w:val="Iauiue"/>
        <w:tabs>
          <w:tab w:val="left" w:pos="11199"/>
        </w:tabs>
        <w:jc w:val="both"/>
        <w:rPr>
          <w:color w:val="000000" w:themeColor="text1"/>
          <w:sz w:val="16"/>
          <w:szCs w:val="16"/>
        </w:rPr>
      </w:pPr>
    </w:p>
    <w:p w14:paraId="146E9A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октября 1942 вышло Постановление ГКО № 2410 О поставке HКВД СССР станционного оборудования и линейных материалов для обеспечения бесперебойной правительственной связи между штабами фронтов и отдельных армий. РГАНИР, Фонд ГКО, д. 64, лл. 25, 26-33 (11012).</w:t>
      </w:r>
    </w:p>
    <w:p w14:paraId="7223892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8520BB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14 октября 1942 вышло Постановление ГКО № 2411 О сформировании армии войск НКВД. (7059, 34).</w:t>
      </w:r>
    </w:p>
    <w:p w14:paraId="5E9938AF" w14:textId="77777777" w:rsidR="00090C9B" w:rsidRPr="00722885" w:rsidRDefault="00090C9B" w:rsidP="00722885">
      <w:pPr>
        <w:pStyle w:val="Iauiue"/>
        <w:tabs>
          <w:tab w:val="left" w:pos="11199"/>
        </w:tabs>
        <w:jc w:val="both"/>
        <w:rPr>
          <w:color w:val="000000" w:themeColor="text1"/>
          <w:sz w:val="16"/>
          <w:szCs w:val="16"/>
        </w:rPr>
      </w:pPr>
    </w:p>
    <w:p w14:paraId="372088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октября 1942 вышло Постановление ГКО № 2415 Об увеличении вывоза нефтесырья из Баку и Махачкалы в Астрахань и Красноводск. РГАНИР, Фонд ГКО, д. 64, лл. 40-43 (11012).</w:t>
      </w:r>
    </w:p>
    <w:p w14:paraId="761E012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81E38C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14 октября 1942 вышло Постановление ГКО № 2416 [О назначении Коротченко Д.С. уполномоченным Государственного Комитета Обороны по комбинату "Челябинскуголь".] (7059, 44).</w:t>
      </w:r>
    </w:p>
    <w:p w14:paraId="3A756324" w14:textId="77777777" w:rsidR="00090C9B" w:rsidRPr="00722885" w:rsidRDefault="00090C9B" w:rsidP="00722885">
      <w:pPr>
        <w:pStyle w:val="Iauiue"/>
        <w:tabs>
          <w:tab w:val="left" w:pos="11199"/>
        </w:tabs>
        <w:jc w:val="both"/>
        <w:rPr>
          <w:color w:val="000000" w:themeColor="text1"/>
          <w:sz w:val="16"/>
          <w:szCs w:val="16"/>
        </w:rPr>
      </w:pPr>
    </w:p>
    <w:p w14:paraId="44693A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октября 1942 вышло Постановление ГКО № 2419 О поставке в IV квартале 1942 г. Наркомвоенморфлоту трального вооружения, судового оборудования, материалов для судоремонта и запчастей к механизмам. РГАНИР, Фонд ГКО, д. 64, лл. 47-50, 51-73 (11012).</w:t>
      </w:r>
    </w:p>
    <w:p w14:paraId="13E742C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9FA8B4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BBD6C8C" w14:textId="77777777" w:rsidR="00090C9B" w:rsidRPr="00722885" w:rsidRDefault="00090C9B" w:rsidP="00722885">
      <w:pPr>
        <w:pStyle w:val="Iauiue"/>
        <w:jc w:val="both"/>
        <w:rPr>
          <w:iCs/>
          <w:color w:val="000000" w:themeColor="text1"/>
          <w:sz w:val="16"/>
          <w:szCs w:val="16"/>
        </w:rPr>
      </w:pPr>
    </w:p>
    <w:p w14:paraId="7CF9FD37"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октября </w:t>
      </w:r>
      <w:r w:rsidRPr="00722885">
        <w:rPr>
          <w:rFonts w:ascii="Times New Roman" w:hAnsi="Times New Roman"/>
          <w:color w:val="000000" w:themeColor="text1"/>
          <w:sz w:val="16"/>
          <w:szCs w:val="16"/>
        </w:rPr>
        <w:t>в 1942 году утреннее сообщение Совинформбюро:</w:t>
      </w:r>
    </w:p>
    <w:p w14:paraId="1D741654"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14 октября на фронтах никаких изменений не произошло.</w:t>
      </w:r>
    </w:p>
    <w:p w14:paraId="098944FF"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части укрепляли занимаемые рубежи и на отдельных участках вели артиллерийско-миномётную перестрелку с противником. Огнём нашей артиллерий уничтожено 2 орудия, 7 миномётов, 11 автомашин, рассеяно и частью истреблено до батальона немецкой пехоты. Отделение старшего сержанта Дудкова выбило врага из двух зданий. Бойцы отделения уничтожили взвод пехоты противника. Сержант т. Березовец огнём из станкового пулемёта сбил немецкий самолёт.</w:t>
      </w:r>
    </w:p>
    <w:p w14:paraId="7228B21E"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происходили бои местного значения. Танкисты части, где командиром тов. Якубовский, уничтожили до 300 гитлеровцев, 4 орудия, 8 миномётов, 20 пулемётов и несколько автомашин с боеприпасами. Двадцать два снайпера Н-ской части за 14 дней истребили 323 немецких солдата и офицера.</w:t>
      </w:r>
    </w:p>
    <w:p w14:paraId="1E460DAE"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бойцы Н-ской части вели бои с противником и истребили до роты немецкой пехоты. Огнём нашей артиллерии подбито 6 немецких танков, 4 орудия и до 60 автомашин с войсками и грузами противника.</w:t>
      </w:r>
    </w:p>
    <w:p w14:paraId="00878B88"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численно превосходящим силам противника удалось проникнуть в тыл Н-ской части. Наши бойцы контрударом отрезали немцев от основных сил и, умело использовав выгодные позиции, истребили до 400 гитлеровцев. Захвачено 15 пулемётов, 5 противотанковых ружей, много винтовок и другое вооружение.</w:t>
      </w:r>
    </w:p>
    <w:p w14:paraId="6B00802C"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краснофлотцев под командованием лейтенанта Климовича высадился с катеров на берег Чёрного моря, занятый противником. Моряки внезапно напали на находившийся в населённом пункте эскадрон румынской кавалерии и истребили противника. Взорвав склад боеприпасов, радиостанцию и захватив штабные документы, краснофлотцы без потерь вернулись на свою базу.</w:t>
      </w:r>
    </w:p>
    <w:p w14:paraId="0D4218CA"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орловских партизан в боях с оккупантами истребил до двух рот гитлеровцев. Группа партизан-подрывников этого же отряда уничтожила 2 паровоза и несколько цистерн с горючим.</w:t>
      </w:r>
    </w:p>
    <w:p w14:paraId="3BBDC5B0"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4 роты мотоциклетного батальона 14 танковой дивизии Эмиль Бегнер рассказал: «Ввиду упорного сопротивления русских мы не можем использовать в полной мере нашу технику. Например, мотоциклы нам пришлось оставить в тылу и наступать пешком, вернее — ползком. A во Франции мы наступали, сидя на мотоциклах и стреляя на ходу. Здесь, под Сталинградом, это совершенно исключено. Ураганный огонь русских не даёт поднять голову. За две недели в 4-й роте, учитывая пополнение, какое получала рота, убито и ранено 170 солдат. Под влиянием тяжёлых потерь и неудач нашего наступления настроение солдат резко ухудшилось. За последнее время можно было слышать жалобы такого характера: «С русскими очень тяжело воевать», «Русская артиллерия стреляет дьявольским огнём», «Если дальше так пойдёт, то мы потерпим крах».</w:t>
      </w:r>
    </w:p>
    <w:p w14:paraId="7A55D5A3"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Пришедшие из тыла немецкой армии партизаны рассказали о крайне тяжёлом положении советских военнопленных, томящихся в лагере в городе Пскове. Немцы кормят пленных красноармейцев бурдой, сваренной из гнилых овощей и картофельной ботвы. Заключённых в этом лагере заставляют работать по 16 часов в сутки. Падающих от истощения пленных немецко-фашистские бандиты расстреливают на месте. В сентябре немцы зарыли в землю живьём 17 пленных красноармейцев, заболевших тифом.</w:t>
      </w:r>
    </w:p>
    <w:p w14:paraId="49F1D336"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железнодорожном участке Прага — Бенешов (Чехословакия) потерпел крушение немецкий эшелон, следовавший на советско-германский фронт. Разбиты паровоз и 27 платформ с находившимися на них танками.» (14799).</w:t>
      </w:r>
    </w:p>
    <w:p w14:paraId="5D40A857"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1486F6C3"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октября </w:t>
      </w:r>
      <w:r w:rsidRPr="00722885">
        <w:rPr>
          <w:rFonts w:ascii="Times New Roman" w:hAnsi="Times New Roman"/>
          <w:color w:val="000000" w:themeColor="text1"/>
          <w:sz w:val="16"/>
          <w:szCs w:val="16"/>
        </w:rPr>
        <w:t>в 1942 году вечернее сообщение Совинформбюро:</w:t>
      </w:r>
    </w:p>
    <w:p w14:paraId="18B5528F"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14 октября на фронтах существенных изменений не произошло.</w:t>
      </w:r>
    </w:p>
    <w:p w14:paraId="7F2D08DE"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3a 13 октября нашей авиацией на различных участках фронта уничтожено 5 немецких танков, 10 автомашин с войсками, подавлен огонь 2 артиллерийских батарей, рассеяно и частью уничтожено до роты пехоты противника.</w:t>
      </w:r>
    </w:p>
    <w:p w14:paraId="7DBA3371"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пехоты и танков противника. Артиллеристы Н-ской части разрушили 3 немецких ДЗОT'a, уничтожили 5 орудий, 7 пулемётных точек, 12 автомашин с боеприпасами и истребили до двух рот немецкой пехоты.</w:t>
      </w:r>
    </w:p>
    <w:p w14:paraId="6B546D8F"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продолжались бои местного значения. Противник силою до двух рот пехоты атаковал позиции, которые обороняет Н-ская гвардейская часть. Наши бойцы отбили вражескую атаку. На поле боя осталось до 100 трупов немецких солдат и офицеров. Гвардейцы захватили 7 пулемётов, 60 винтовок и патроны. Взяты пленные.</w:t>
      </w:r>
    </w:p>
    <w:p w14:paraId="20FBFC5D"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бои с противником. На одном участке полк немецкой пехоты при поддержке танков атаковал наши позиции. Отдельным немецким танкам удалось вклиниться в нашу оборону. Шли бои по уничтожению этой группы танков противника. На других участках отбиты атаки мелких групп гитлеровцев.</w:t>
      </w:r>
    </w:p>
    <w:p w14:paraId="7E0D4789"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Юго-восточнее Новороссийска артиллеристы части, где командиром тов. Матушенко, уничтожили на занятой немцами железнодорожной станции 2 эшелона с боеприпасами.</w:t>
      </w:r>
    </w:p>
    <w:p w14:paraId="5E7E451C"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действующих в Полесской области, пустила под откос железнодорожный эшелон немецко-фашистских оккупантов. Разбиты паровоз, 7 цистерн с горючим и несколько вагонов с другими военными грузами.</w:t>
      </w:r>
    </w:p>
    <w:p w14:paraId="2D2E2435"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лейтенант 6 роты 31 венгерского пехотного полка Георг Поважаи рассказал: «Перед отправкой на фронт немецкие офицеры нам говорили, что с помощью сильной артиллерийской подготовки можно сломить сопротивление русских и беспрепятственно двигаться вперёд. Первые же бои показали всю несостоятельность такого взгляда. Мы жестоко поплатились за недооценку сил русских. Наш батальон повёл наступление на село У. Мы понесли тяжёлый урон и не продвинулись ни на один метр. Вскоре русские перешли в контрнаступление, опрокинули и смяли наши подразделения. Солдаты разбежались, а я вынужден был сдаться в плен. Дисциплина в венгерских частях была удовлетворительная лишь до тех пор, пока солдаты находились вдали от фронта. На фронте выяснилось, что солдаты не желают воевать. Они прячутся, умышленно отстают. В самый разгар сражения многие разбегаются. Офицерам приходится собирать солдат, гнать их в бой под угрозой расстрела. Солдаты часто спрашивают: «Зачем нас гонят в бой против русских?», «Что нам, венграм, нужно здесь, в России?» Офицеры не могут дать им внятного ответа на эти вопросы».</w:t>
      </w:r>
    </w:p>
    <w:p w14:paraId="5E2FC158"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6 роты 5 мотострелкового полка 12 немецкой танковой дивизии Герман Фибелькорн рассказал: «Я отбывал наказание в штрафных батальонах в Штеттине, Грауденце и других городах. В сентябре немецкое командование направило 2 тысячи человек из штрафных батальонов в Россию, на пополнение 12 танковой дивизии. Меня зачислили в 6 рогу, в которой вместе с пополнением насчитывалось 180 человек. На фронте я пробыл неполный день. В течение двух часов в результате бесплодной атаки рота потеряла убитыми и ранеными свыше 70 человек».</w:t>
      </w:r>
    </w:p>
    <w:p w14:paraId="691940BB"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Ашевском районе, Калининской области, немцы полностью сожгли 72 селения. Огнём уничтожено 5.360 строений, из них 1310 домов колхозников, много школ, больниц и хозяйственных построек. По неполным данным, гитлеровцы расстреляли и замучили 110 жителей Ашевского района.</w:t>
      </w:r>
    </w:p>
    <w:p w14:paraId="08D53821"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выбили итальянских оккупантов из города Вргинмост. В упорных боях с гитлеровскими наёмниками партизаны истребили до двух рот итальянцев. Несколько партизанских отрядов совершили нападение на нефтепромыслы в районе Кутины (Хорватия). Они привели в негодность 9 скважин, сожгли запасы нефти и истребили 170 немецких солдат, охранявших территорию промыслов.» (14799).</w:t>
      </w:r>
    </w:p>
    <w:p w14:paraId="76D6F691"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2FBE1BCD"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октября </w:t>
      </w:r>
      <w:r w:rsidRPr="00722885">
        <w:rPr>
          <w:rFonts w:ascii="Times New Roman" w:hAnsi="Times New Roman"/>
          <w:color w:val="000000" w:themeColor="text1"/>
          <w:sz w:val="16"/>
          <w:szCs w:val="16"/>
        </w:rPr>
        <w:t>в 1942 году завершён 3-месячный переход лидера «Баку» и эсминцев «Разумный» и «Разъяренный» из Владивостока в Кольский залив по Северному морскому пути (14799).</w:t>
      </w:r>
    </w:p>
    <w:p w14:paraId="2B3D5C85"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6C131402"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октября </w:t>
      </w:r>
      <w:r w:rsidRPr="00722885">
        <w:rPr>
          <w:rFonts w:ascii="Times New Roman" w:hAnsi="Times New Roman"/>
          <w:color w:val="000000" w:themeColor="text1"/>
          <w:sz w:val="16"/>
          <w:szCs w:val="16"/>
        </w:rPr>
        <w:t>в 1942 году главное командование сухопутных войск Германии издало оперативный приказ № 1 о переходе войск вермахта к стратегической обороне на Восточном фронте (14799).</w:t>
      </w:r>
    </w:p>
    <w:p w14:paraId="32F38BAF"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4442954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14 октября 1942 пять немецких дивизий начали массированное наступление под Сталинградом (4962).</w:t>
      </w:r>
    </w:p>
    <w:p w14:paraId="4964F944" w14:textId="77777777" w:rsidR="00090C9B" w:rsidRPr="00722885" w:rsidRDefault="00090C9B" w:rsidP="00722885">
      <w:pPr>
        <w:pStyle w:val="Iauiue"/>
        <w:tabs>
          <w:tab w:val="left" w:pos="11199"/>
        </w:tabs>
        <w:jc w:val="both"/>
        <w:rPr>
          <w:color w:val="000000" w:themeColor="text1"/>
          <w:sz w:val="16"/>
          <w:szCs w:val="16"/>
        </w:rPr>
      </w:pPr>
    </w:p>
    <w:p w14:paraId="41BB7BF2"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14, 1942: In the northern part of Stalingrad, units of 6.Armee (von Paulus) advance in bitter fighting and surround the heavily defended Tractor Factory, following a series of devastating attacks (over 3,000 sorties) by bombers of Luftflotte 7 (von Richthofen) (3819).</w:t>
      </w:r>
    </w:p>
    <w:p w14:paraId="508ECF60" w14:textId="77777777" w:rsidR="00090C9B" w:rsidRPr="00722885" w:rsidRDefault="00090C9B" w:rsidP="00722885">
      <w:pPr>
        <w:pStyle w:val="Iauiue"/>
        <w:jc w:val="both"/>
        <w:rPr>
          <w:color w:val="000000" w:themeColor="text1"/>
          <w:sz w:val="16"/>
          <w:szCs w:val="16"/>
          <w:lang w:val="en-US"/>
        </w:rPr>
      </w:pPr>
    </w:p>
    <w:p w14:paraId="11B675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lang w:val="en-US"/>
        </w:rPr>
        <w:t xml:space="preserve">October 14. Hitler orders the second "final offensive" in Stalingrad. Heavy house to house fighting fails to capture the city. </w:t>
      </w:r>
      <w:r w:rsidRPr="00722885">
        <w:rPr>
          <w:color w:val="000000" w:themeColor="text1"/>
          <w:sz w:val="16"/>
          <w:szCs w:val="16"/>
        </w:rPr>
        <w:t>(1052).</w:t>
      </w:r>
    </w:p>
    <w:p w14:paraId="1FBD4796" w14:textId="77777777" w:rsidR="00090C9B" w:rsidRPr="00722885" w:rsidRDefault="00090C9B" w:rsidP="00722885">
      <w:pPr>
        <w:pStyle w:val="Iauiue"/>
        <w:jc w:val="both"/>
        <w:rPr>
          <w:color w:val="000000" w:themeColor="text1"/>
          <w:sz w:val="16"/>
          <w:szCs w:val="16"/>
        </w:rPr>
      </w:pPr>
    </w:p>
    <w:p w14:paraId="3B6FFA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October 14 - bloodiest day at Stalingrad (1052).</w:t>
      </w:r>
    </w:p>
    <w:p w14:paraId="51E8912E" w14:textId="77777777" w:rsidR="00090C9B" w:rsidRPr="00722885" w:rsidRDefault="00090C9B" w:rsidP="00722885">
      <w:pPr>
        <w:pStyle w:val="Iauiue"/>
        <w:jc w:val="both"/>
        <w:rPr>
          <w:color w:val="000000" w:themeColor="text1"/>
          <w:sz w:val="16"/>
          <w:szCs w:val="16"/>
        </w:rPr>
      </w:pPr>
    </w:p>
    <w:p w14:paraId="621665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октября 1942 А.Гитлер приказал начать второе финальное наступление в Сталинграде (1052) и этот день стал самом кровавым. За 4 дня выдохлись и Чуйков понял, что город не сдаст (2070,78).</w:t>
      </w:r>
    </w:p>
    <w:p w14:paraId="103D1C81" w14:textId="77777777" w:rsidR="00090C9B" w:rsidRPr="00722885" w:rsidRDefault="00090C9B" w:rsidP="00722885">
      <w:pPr>
        <w:pStyle w:val="Iauiue"/>
        <w:jc w:val="both"/>
        <w:rPr>
          <w:color w:val="000000" w:themeColor="text1"/>
          <w:sz w:val="16"/>
          <w:szCs w:val="16"/>
        </w:rPr>
      </w:pPr>
    </w:p>
    <w:p w14:paraId="137B2C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октября 1942 ГК сухопутных войск Германии издало оперативный приказ N 1 о переходе войск вермахта к стратегической обороне на Восточном фронте (3186).</w:t>
      </w:r>
    </w:p>
    <w:p w14:paraId="7768CCB9" w14:textId="77777777" w:rsidR="00090C9B" w:rsidRPr="00722885" w:rsidRDefault="00090C9B" w:rsidP="00722885">
      <w:pPr>
        <w:pStyle w:val="Iauiue"/>
        <w:jc w:val="both"/>
        <w:rPr>
          <w:color w:val="000000" w:themeColor="text1"/>
          <w:sz w:val="16"/>
          <w:szCs w:val="16"/>
        </w:rPr>
      </w:pPr>
    </w:p>
    <w:p w14:paraId="0A82DB8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14 октября 1942 вышло Постановление ГКО № 2413 О мерах борьбы с попрошайничеством со стороны военнослужащих Красной Армии. (7059, 36).</w:t>
      </w:r>
    </w:p>
    <w:p w14:paraId="592DA449" w14:textId="77777777" w:rsidR="00090C9B" w:rsidRPr="00722885" w:rsidRDefault="00090C9B" w:rsidP="00722885">
      <w:pPr>
        <w:pStyle w:val="Iauiue"/>
        <w:tabs>
          <w:tab w:val="left" w:pos="11199"/>
        </w:tabs>
        <w:jc w:val="both"/>
        <w:rPr>
          <w:color w:val="000000" w:themeColor="text1"/>
          <w:sz w:val="16"/>
          <w:szCs w:val="16"/>
        </w:rPr>
      </w:pPr>
    </w:p>
    <w:p w14:paraId="47046C38"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октября </w:t>
      </w:r>
      <w:r w:rsidRPr="00722885">
        <w:rPr>
          <w:rFonts w:ascii="Times New Roman" w:hAnsi="Times New Roman"/>
          <w:color w:val="000000" w:themeColor="text1"/>
          <w:sz w:val="16"/>
          <w:szCs w:val="16"/>
        </w:rPr>
        <w:t>в 1942 году пять немецких дивизий предприняли самый мощный штурм Сталинграда. Как вспоминал командующий 62-й армией Василий Чуйков, "в то утро нельзя было услышать отдельные выстрелы или взрывы - все слилось в непрерывный оглушительный грохот". В ходе наступления, продолжавшегося три недели, немцы заняли район сталинградских заводов, но так и не смогли сбросить в Волгу защитников города (14799).</w:t>
      </w:r>
    </w:p>
    <w:p w14:paraId="0FB8892C"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357314E2"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октября </w:t>
      </w:r>
      <w:r w:rsidRPr="00722885">
        <w:rPr>
          <w:rFonts w:ascii="Times New Roman" w:hAnsi="Times New Roman"/>
          <w:color w:val="000000" w:themeColor="text1"/>
          <w:sz w:val="16"/>
          <w:szCs w:val="16"/>
        </w:rPr>
        <w:t>в 1942 году Государственный Комитет Обороны своим постановлением поручил НКВД СССР сформировать Отдельную армию войск НКВД. Три дивизии были сформированы пограничными и три внутренними войсками. Новое формирование в феврале 1943 г. было передано НКО СССР, получив наименование 70-й армии. Ее боевой путь начался с Курской дуги (14799).</w:t>
      </w:r>
    </w:p>
    <w:p w14:paraId="1AF4E8E9"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4097FF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октября 1942 завершился трехмесячный переход лидера Баку и эсминцев Разумный и Разъяренный из Владивостока в Кольский залив по СМП (3398,360).</w:t>
      </w:r>
    </w:p>
    <w:p w14:paraId="222139DF" w14:textId="77777777" w:rsidR="00090C9B" w:rsidRPr="00722885" w:rsidRDefault="00090C9B" w:rsidP="00722885">
      <w:pPr>
        <w:pStyle w:val="Iauiue"/>
        <w:jc w:val="both"/>
        <w:rPr>
          <w:color w:val="000000" w:themeColor="text1"/>
          <w:sz w:val="16"/>
          <w:szCs w:val="16"/>
        </w:rPr>
      </w:pPr>
    </w:p>
    <w:p w14:paraId="6FB5DBC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2EBE45BA" w14:textId="77777777" w:rsidR="00090C9B" w:rsidRPr="00722885" w:rsidRDefault="00090C9B" w:rsidP="00722885">
      <w:pPr>
        <w:pStyle w:val="Iauiue"/>
        <w:jc w:val="both"/>
        <w:rPr>
          <w:iCs/>
          <w:color w:val="000000" w:themeColor="text1"/>
          <w:sz w:val="16"/>
          <w:szCs w:val="16"/>
        </w:rPr>
      </w:pPr>
    </w:p>
    <w:p w14:paraId="5485CCF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14 октября 1942 вышло Постановление ГКО № 2414 О мобилизации в Узбекской, Казахской, Киргизской, Таджикской и Туркменской ССР военнообязанных для работы в промышленности и строительстве жел. дорог и пром. предприятий. (7059, 37-39).</w:t>
      </w:r>
    </w:p>
    <w:p w14:paraId="2C14AB6C" w14:textId="77777777" w:rsidR="00090C9B" w:rsidRPr="00722885" w:rsidRDefault="00090C9B" w:rsidP="00722885">
      <w:pPr>
        <w:pStyle w:val="Iauiue"/>
        <w:tabs>
          <w:tab w:val="left" w:pos="11199"/>
        </w:tabs>
        <w:jc w:val="both"/>
        <w:rPr>
          <w:color w:val="000000" w:themeColor="text1"/>
          <w:sz w:val="16"/>
          <w:szCs w:val="16"/>
        </w:rPr>
      </w:pPr>
    </w:p>
    <w:p w14:paraId="30010E9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14 октября 1942 вышло Постановление ГКО № 2418 [О мерах по обеспечению ПВО эшелонов с маршевым пополнением, санитарных поездов и снабженческих транспортов на прифронтовых железных дорогах.] (7059, 46).</w:t>
      </w:r>
    </w:p>
    <w:p w14:paraId="3399DE8C" w14:textId="77777777" w:rsidR="00090C9B" w:rsidRPr="00722885" w:rsidRDefault="00090C9B" w:rsidP="00722885">
      <w:pPr>
        <w:pStyle w:val="Iauiue"/>
        <w:tabs>
          <w:tab w:val="left" w:pos="11199"/>
        </w:tabs>
        <w:jc w:val="both"/>
        <w:rPr>
          <w:color w:val="000000" w:themeColor="text1"/>
          <w:sz w:val="16"/>
          <w:szCs w:val="16"/>
        </w:rPr>
      </w:pPr>
    </w:p>
    <w:p w14:paraId="30FB67F8" w14:textId="77777777" w:rsidR="00F071F1"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37D05708" w14:textId="77777777" w:rsidR="00F071F1" w:rsidRPr="00722885" w:rsidRDefault="00F071F1" w:rsidP="00722885">
      <w:pPr>
        <w:pStyle w:val="Iauiue"/>
        <w:jc w:val="both"/>
        <w:rPr>
          <w:iCs/>
          <w:color w:val="000000" w:themeColor="text1"/>
          <w:sz w:val="16"/>
          <w:szCs w:val="16"/>
        </w:rPr>
      </w:pPr>
    </w:p>
    <w:p w14:paraId="4EA7A1C0"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октября </w:t>
      </w:r>
      <w:r w:rsidRPr="00722885">
        <w:rPr>
          <w:rFonts w:ascii="Times New Roman" w:hAnsi="Times New Roman"/>
          <w:color w:val="000000" w:themeColor="text1"/>
          <w:sz w:val="16"/>
          <w:szCs w:val="16"/>
        </w:rPr>
        <w:t>в 1942 году установлены дипломатические отношения между СССР и Кубой (прерваны 3 апреля 1952 г. после прихода к власти на острове военной диктатуры (14799).</w:t>
      </w:r>
    </w:p>
    <w:p w14:paraId="0FF52668"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4ACF2D9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914AA1D" w14:textId="77777777" w:rsidR="00090C9B" w:rsidRPr="00722885" w:rsidRDefault="00090C9B" w:rsidP="00722885">
      <w:pPr>
        <w:pStyle w:val="Iauiue"/>
        <w:jc w:val="both"/>
        <w:rPr>
          <w:iCs/>
          <w:color w:val="000000" w:themeColor="text1"/>
          <w:sz w:val="16"/>
          <w:szCs w:val="16"/>
        </w:rPr>
      </w:pPr>
    </w:p>
    <w:p w14:paraId="78CECD1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14 октября 1942 украинскими националистами-бандеровцами создана УПА (Украинская повстанческая армия) (4962).</w:t>
      </w:r>
    </w:p>
    <w:p w14:paraId="309F9C51" w14:textId="77777777" w:rsidR="00090C9B" w:rsidRPr="00722885" w:rsidRDefault="00090C9B" w:rsidP="00722885">
      <w:pPr>
        <w:pStyle w:val="Iauiue"/>
        <w:tabs>
          <w:tab w:val="left" w:pos="11199"/>
        </w:tabs>
        <w:jc w:val="both"/>
        <w:rPr>
          <w:color w:val="000000" w:themeColor="text1"/>
          <w:sz w:val="16"/>
          <w:szCs w:val="16"/>
        </w:rPr>
      </w:pPr>
    </w:p>
    <w:p w14:paraId="763C8D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октября 1942 австралийцы продвинулись вдоль Kokoda Trail для того, чтобы предотвратить переход через Templeton (2261).</w:t>
      </w:r>
    </w:p>
    <w:p w14:paraId="0C1496F8" w14:textId="77777777" w:rsidR="00090C9B" w:rsidRPr="00722885" w:rsidRDefault="00090C9B" w:rsidP="00722885">
      <w:pPr>
        <w:pStyle w:val="Iauiue"/>
        <w:jc w:val="both"/>
        <w:rPr>
          <w:color w:val="000000" w:themeColor="text1"/>
          <w:sz w:val="16"/>
          <w:szCs w:val="16"/>
        </w:rPr>
      </w:pPr>
    </w:p>
    <w:p w14:paraId="0CF06FA7"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14 октября </w:t>
      </w:r>
      <w:r w:rsidRPr="00722885">
        <w:rPr>
          <w:rFonts w:ascii="Times New Roman" w:hAnsi="Times New Roman"/>
          <w:color w:val="000000" w:themeColor="text1"/>
          <w:sz w:val="16"/>
          <w:szCs w:val="16"/>
        </w:rPr>
        <w:t>в 1942 году близ мыса Ла Хаг, что на француском побережье Ла-Манша британским торпедным катером был потоплен знаменитый немецкий рейдер "Комет" (14799).</w:t>
      </w:r>
    </w:p>
    <w:p w14:paraId="7EF81F0C"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1A461440" w14:textId="77777777" w:rsidR="000D6DF3" w:rsidRPr="00722885" w:rsidRDefault="000D6DF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14 октября 1942 японские линкоры KONGO и Харун бомбардирует Гуадалканал  и прежде всегщ аэродром Хендерсон Поле, выпустив 973 14-дюймовый (356-мм) снарядов в течение 1 часа 23 минут. В результате обстрела погиб 41 человек, а на аэродроме осталось только 42 самолета из 90 (20793). </w:t>
      </w:r>
    </w:p>
    <w:p w14:paraId="0D8396F9" w14:textId="77777777" w:rsidR="000D6DF3" w:rsidRPr="00722885" w:rsidRDefault="000D6DF3" w:rsidP="00722885">
      <w:pPr>
        <w:spacing w:after="0" w:line="240" w:lineRule="auto"/>
        <w:jc w:val="both"/>
        <w:rPr>
          <w:rFonts w:ascii="Times New Roman" w:hAnsi="Times New Roman"/>
          <w:color w:val="0070C0"/>
          <w:sz w:val="16"/>
          <w:szCs w:val="16"/>
        </w:rPr>
      </w:pPr>
    </w:p>
    <w:p w14:paraId="0FCC173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3A30BDF" w14:textId="77777777" w:rsidR="00090C9B" w:rsidRPr="00722885" w:rsidRDefault="00090C9B" w:rsidP="00722885">
      <w:pPr>
        <w:pStyle w:val="Iauiue"/>
        <w:jc w:val="both"/>
        <w:rPr>
          <w:iCs/>
          <w:color w:val="000000" w:themeColor="text1"/>
          <w:sz w:val="16"/>
          <w:szCs w:val="16"/>
        </w:rPr>
      </w:pPr>
    </w:p>
    <w:p w14:paraId="410B25A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Ил-2бис (зав. № 4434) поступил в НИИ ВВС. Военным летчикам новый штурмовик понра</w:t>
      </w:r>
      <w:r w:rsidRPr="00722885">
        <w:rPr>
          <w:rFonts w:ascii="Times New Roman" w:hAnsi="Times New Roman"/>
          <w:color w:val="000000" w:themeColor="text1"/>
          <w:sz w:val="16"/>
          <w:szCs w:val="16"/>
        </w:rPr>
        <w:softHyphen/>
        <w:t>вился. Учебные бои с истребителем Як-7 показали вполне хо</w:t>
      </w:r>
      <w:r w:rsidRPr="00722885">
        <w:rPr>
          <w:rFonts w:ascii="Times New Roman" w:hAnsi="Times New Roman"/>
          <w:color w:val="000000" w:themeColor="text1"/>
          <w:sz w:val="16"/>
          <w:szCs w:val="16"/>
        </w:rPr>
        <w:softHyphen/>
        <w:t>рошие результаты. В отчете от 5 ноября делался вывод, что Ил-2бис уступает Ил-2 завода № 30 только по весу загружае</w:t>
      </w:r>
      <w:r w:rsidRPr="00722885">
        <w:rPr>
          <w:rFonts w:ascii="Times New Roman" w:hAnsi="Times New Roman"/>
          <w:color w:val="000000" w:themeColor="text1"/>
          <w:sz w:val="16"/>
          <w:szCs w:val="16"/>
        </w:rPr>
        <w:softHyphen/>
        <w:t>мых в бомбоотсеки мелких авиабомб, но превосходит его по боевой живучести, летным и пилотажным качествам. Само</w:t>
      </w:r>
      <w:r w:rsidRPr="00722885">
        <w:rPr>
          <w:rFonts w:ascii="Times New Roman" w:hAnsi="Times New Roman"/>
          <w:color w:val="000000" w:themeColor="text1"/>
          <w:sz w:val="16"/>
          <w:szCs w:val="16"/>
        </w:rPr>
        <w:softHyphen/>
        <w:t>лет рекомендовался для постановки в массовую серию. Одна</w:t>
      </w:r>
      <w:r w:rsidRPr="00722885">
        <w:rPr>
          <w:rFonts w:ascii="Times New Roman" w:hAnsi="Times New Roman"/>
          <w:color w:val="000000" w:themeColor="text1"/>
          <w:sz w:val="16"/>
          <w:szCs w:val="16"/>
        </w:rPr>
        <w:softHyphen/>
        <w:t>ко окончательное решение в пользу одного из самолетов предлагалось принять после проведения войсковых испыта</w:t>
      </w:r>
      <w:r w:rsidRPr="00722885">
        <w:rPr>
          <w:rFonts w:ascii="Times New Roman" w:hAnsi="Times New Roman"/>
          <w:color w:val="000000" w:themeColor="text1"/>
          <w:sz w:val="16"/>
          <w:szCs w:val="16"/>
        </w:rPr>
        <w:softHyphen/>
        <w:t>ний.</w:t>
      </w:r>
    </w:p>
    <w:p w14:paraId="63B067F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4 октября 1942 инженер-инспектор Инспекции ВВС КА инженер-майор Ложечников был вынужден обратиться непосредст</w:t>
      </w:r>
      <w:r w:rsidRPr="00722885">
        <w:rPr>
          <w:rFonts w:ascii="Times New Roman" w:hAnsi="Times New Roman"/>
          <w:color w:val="000000" w:themeColor="text1"/>
          <w:sz w:val="16"/>
          <w:szCs w:val="16"/>
        </w:rPr>
        <w:softHyphen/>
        <w:t>венно к начальнику Инспекции полковнику В. И. Сталину с просьбой «помочь как можно быстрей провести испытания двух построенных самолетов Ил-2 за №№ 4434 и 4435 в бою и после чего внедрить их в серийное производство». Свой док</w:t>
      </w:r>
      <w:r w:rsidRPr="00722885">
        <w:rPr>
          <w:rFonts w:ascii="Times New Roman" w:hAnsi="Times New Roman"/>
          <w:color w:val="000000" w:themeColor="text1"/>
          <w:sz w:val="16"/>
          <w:szCs w:val="16"/>
        </w:rPr>
        <w:softHyphen/>
        <w:t>лад он подкрепил обращением дирекции завода № 1 и стар</w:t>
      </w:r>
      <w:r w:rsidRPr="00722885">
        <w:rPr>
          <w:rFonts w:ascii="Times New Roman" w:hAnsi="Times New Roman"/>
          <w:color w:val="000000" w:themeColor="text1"/>
          <w:sz w:val="16"/>
          <w:szCs w:val="16"/>
        </w:rPr>
        <w:softHyphen/>
        <w:t>шего военпреда на заводе инженер-майора С. С. Фатеева.</w:t>
      </w:r>
    </w:p>
    <w:p w14:paraId="0192131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Дело в том, что в сентябре 1942 на заводе № 1 были построены два эк</w:t>
      </w:r>
      <w:r w:rsidRPr="00722885">
        <w:rPr>
          <w:rFonts w:ascii="Times New Roman" w:hAnsi="Times New Roman"/>
          <w:color w:val="000000" w:themeColor="text1"/>
          <w:sz w:val="16"/>
          <w:szCs w:val="16"/>
        </w:rPr>
        <w:softHyphen/>
        <w:t>земпляра самолета Ил-2бис АМ-38, имевшие полностью бро</w:t>
      </w:r>
      <w:r w:rsidRPr="00722885">
        <w:rPr>
          <w:rFonts w:ascii="Times New Roman" w:hAnsi="Times New Roman"/>
          <w:color w:val="000000" w:themeColor="text1"/>
          <w:sz w:val="16"/>
          <w:szCs w:val="16"/>
        </w:rPr>
        <w:softHyphen/>
        <w:t>нированную кабину стрелка с блистерной установкой под пуле</w:t>
      </w:r>
      <w:r w:rsidRPr="00722885">
        <w:rPr>
          <w:rFonts w:ascii="Times New Roman" w:hAnsi="Times New Roman"/>
          <w:color w:val="000000" w:themeColor="text1"/>
          <w:sz w:val="16"/>
          <w:szCs w:val="16"/>
        </w:rPr>
        <w:softHyphen/>
        <w:t>мет УБТ. Инициировал эту работу начальник СКО-21 завода В.П. Яценко.</w:t>
      </w:r>
    </w:p>
    <w:p w14:paraId="5BF39D2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Предложенная заводом № 1 кабина стрелка имела много общих компоновочных и конструктивных решений с кабинами стрелков на самолетах БШ-2 АМ-35 и Ил-2 М-82. Она обору</w:t>
      </w:r>
      <w:r w:rsidRPr="00722885">
        <w:rPr>
          <w:rFonts w:ascii="Times New Roman" w:hAnsi="Times New Roman"/>
          <w:color w:val="000000" w:themeColor="text1"/>
          <w:sz w:val="16"/>
          <w:szCs w:val="16"/>
        </w:rPr>
        <w:softHyphen/>
        <w:t>довалась на месте заднего бензобака. За счет этого она оказалась более просторной, чем кабина завода № 30. Уровень защищен</w:t>
      </w:r>
      <w:r w:rsidRPr="00722885">
        <w:rPr>
          <w:rFonts w:ascii="Times New Roman" w:hAnsi="Times New Roman"/>
          <w:color w:val="000000" w:themeColor="text1"/>
          <w:sz w:val="16"/>
          <w:szCs w:val="16"/>
        </w:rPr>
        <w:softHyphen/>
        <w:t>ности стрелка не уступал защите летчика. В двух бомбоотсеках в центроплане крыла дополнительно устанавливались два бен</w:t>
      </w:r>
      <w:r w:rsidRPr="00722885">
        <w:rPr>
          <w:rFonts w:ascii="Times New Roman" w:hAnsi="Times New Roman"/>
          <w:color w:val="000000" w:themeColor="text1"/>
          <w:sz w:val="16"/>
          <w:szCs w:val="16"/>
        </w:rPr>
        <w:softHyphen/>
        <w:t>зобака, которые бронировались. Внутренняя загрузка бомб уменьшалась до 200 кг. На внешних узлах допускалась подвес</w:t>
      </w:r>
      <w:r w:rsidRPr="00722885">
        <w:rPr>
          <w:rFonts w:ascii="Times New Roman" w:hAnsi="Times New Roman"/>
          <w:color w:val="000000" w:themeColor="text1"/>
          <w:sz w:val="16"/>
          <w:szCs w:val="16"/>
        </w:rPr>
        <w:softHyphen/>
        <w:t>ка еще 200 кг бомб. Направляющие под восемь РС-82 сохраня</w:t>
      </w:r>
      <w:r w:rsidRPr="00722885">
        <w:rPr>
          <w:rFonts w:ascii="Times New Roman" w:hAnsi="Times New Roman"/>
          <w:color w:val="000000" w:themeColor="text1"/>
          <w:sz w:val="16"/>
          <w:szCs w:val="16"/>
        </w:rPr>
        <w:softHyphen/>
        <w:t>лись.</w:t>
      </w:r>
    </w:p>
    <w:p w14:paraId="2BE05FF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Важно, что, в отличие от варианта завода № 30, центровка Ил-2бис не изменилась. Испытания показали, что по летным и пилотажным качествам он практически ничем не отличается от одноместного Ил-2.</w:t>
      </w:r>
    </w:p>
    <w:p w14:paraId="59CE95F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Судя по документам, Ильюшин активно противился рабо</w:t>
      </w:r>
      <w:r w:rsidRPr="00722885">
        <w:rPr>
          <w:rFonts w:ascii="Times New Roman" w:hAnsi="Times New Roman"/>
          <w:color w:val="000000" w:themeColor="text1"/>
          <w:sz w:val="16"/>
          <w:szCs w:val="16"/>
        </w:rPr>
        <w:softHyphen/>
        <w:t>там по Ил-2бис. Дело в том, что на заводе № 30 он уже строил 20 самолетов с незащищенным стрелком.</w:t>
      </w:r>
    </w:p>
    <w:p w14:paraId="655D168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вмешательства В. И. Сталина работы по самолету ускорились (11474,292).</w:t>
      </w:r>
    </w:p>
    <w:p w14:paraId="3F35158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2888F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Ил-2бис (зав.№4434) поступил в НИИ ВВС. Военным летчикам новый штурмовик понравился. Учебные бои с истребителем Як-7 показали вполне хорошие результаты. В отчете от 5 ноября делался вывод, что Ил-2бис уступает Ил-2 завода №30 только по весу загружаемых в бомбоотсеки мелких авиабомб, но превосходит его по боевой живучести, летным и пилотажным качествам. Самолет рекомендовался для постановки в массовую серию. Однако окончательное решение в пользу одного из самолетов предлагалось принять после проведения войсковых испытаний.</w:t>
      </w:r>
    </w:p>
    <w:p w14:paraId="7BE3B9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Отметим, что еще в июне 1942 г. в 8-й ВА несколько одноместных Ил-2 оборудовались кабиной стрелка с пулеметом ШКАС. Двумя месяцами позже в 17-й ВА в двухместный вариант с пулеметом УБТ были переделаны 66 Ил-2. Подобные переделки выполнялись в 1, 2 и 6-й воздушных армиях.</w:t>
      </w:r>
    </w:p>
    <w:p w14:paraId="6A62EC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Свой ремонтный вариант кабины стрелка разработало и ОКБ Ильюшина. Соответствующая инструкция по доработке Ил-2 силами техсостава частей в октябре была отправлена в действующую армию. Всего на фронте в двухместные было переоборудовано около 1200 Ил-2 (12020).</w:t>
      </w:r>
    </w:p>
    <w:p w14:paraId="701644B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DD05C76" w14:textId="77777777" w:rsidR="00581485" w:rsidRPr="00722885" w:rsidRDefault="00581485" w:rsidP="00722885">
      <w:pPr>
        <w:pStyle w:val="95"/>
        <w:shd w:val="clear" w:color="auto" w:fill="auto"/>
        <w:spacing w:after="0" w:line="240" w:lineRule="auto"/>
        <w:ind w:firstLine="0"/>
        <w:jc w:val="both"/>
        <w:rPr>
          <w:color w:val="0070C0"/>
          <w:sz w:val="16"/>
          <w:szCs w:val="16"/>
        </w:rPr>
      </w:pPr>
      <w:r w:rsidRPr="00722885">
        <w:rPr>
          <w:color w:val="0070C0"/>
          <w:sz w:val="16"/>
          <w:szCs w:val="16"/>
        </w:rPr>
        <w:t>15 октября 1942 Ил- 2бис (№4434) поступил в НИИ ВВС. Испыта</w:t>
      </w:r>
      <w:r w:rsidRPr="00722885">
        <w:rPr>
          <w:color w:val="0070C0"/>
          <w:sz w:val="16"/>
          <w:szCs w:val="16"/>
        </w:rPr>
        <w:softHyphen/>
        <w:t>ния провели за 11 календарных дней - с 16 по 26 октября, выполнив 28 полетов с общим налетом 9 ч 5 мин.</w:t>
      </w:r>
    </w:p>
    <w:p w14:paraId="0D77C3C8" w14:textId="77777777" w:rsidR="00581485" w:rsidRPr="00722885" w:rsidRDefault="00581485" w:rsidP="00722885">
      <w:pPr>
        <w:pStyle w:val="95"/>
        <w:shd w:val="clear" w:color="auto" w:fill="auto"/>
        <w:spacing w:after="0" w:line="240" w:lineRule="auto"/>
        <w:ind w:firstLine="0"/>
        <w:jc w:val="both"/>
        <w:rPr>
          <w:color w:val="0070C0"/>
          <w:sz w:val="16"/>
          <w:szCs w:val="16"/>
        </w:rPr>
      </w:pPr>
      <w:r w:rsidRPr="00722885">
        <w:rPr>
          <w:color w:val="0070C0"/>
          <w:sz w:val="16"/>
          <w:szCs w:val="16"/>
        </w:rPr>
        <w:t>Новый штурмовик военным понравился. Учебные бои с истребителем Як-7 показали неплохие результаты. Установка БЛУБ легко управлялась на всех режимах полета. Отмеча</w:t>
      </w:r>
      <w:r w:rsidRPr="00722885">
        <w:rPr>
          <w:color w:val="0070C0"/>
          <w:sz w:val="16"/>
          <w:szCs w:val="16"/>
        </w:rPr>
        <w:softHyphen/>
        <w:t>лось, что при любых изменениях положения атакующего истребителя</w:t>
      </w:r>
      <w:r w:rsidRPr="00722885">
        <w:rPr>
          <w:rStyle w:val="aff6"/>
          <w:rFonts w:ascii="Times New Roman" w:hAnsi="Times New Roman" w:cs="Times New Roman"/>
          <w:color w:val="0070C0"/>
        </w:rPr>
        <w:t xml:space="preserve"> «установка может быть легко поставлена в положение, необходи</w:t>
      </w:r>
      <w:r w:rsidRPr="00722885">
        <w:rPr>
          <w:rStyle w:val="aff6"/>
          <w:rFonts w:ascii="Times New Roman" w:hAnsi="Times New Roman" w:cs="Times New Roman"/>
          <w:color w:val="0070C0"/>
        </w:rPr>
        <w:softHyphen/>
        <w:t>мое для отражения атаки».</w:t>
      </w:r>
    </w:p>
    <w:p w14:paraId="469E89E0" w14:textId="77777777" w:rsidR="00581485" w:rsidRPr="00722885" w:rsidRDefault="00581485" w:rsidP="00722885">
      <w:pPr>
        <w:pStyle w:val="95"/>
        <w:shd w:val="clear" w:color="auto" w:fill="auto"/>
        <w:spacing w:after="0" w:line="240" w:lineRule="auto"/>
        <w:ind w:firstLine="0"/>
        <w:jc w:val="both"/>
        <w:rPr>
          <w:color w:val="0070C0"/>
          <w:sz w:val="16"/>
          <w:szCs w:val="16"/>
        </w:rPr>
      </w:pPr>
      <w:r w:rsidRPr="00722885">
        <w:rPr>
          <w:color w:val="0070C0"/>
          <w:sz w:val="16"/>
          <w:szCs w:val="16"/>
        </w:rPr>
        <w:t>Имелись и недостатки. Так, в ходе испы</w:t>
      </w:r>
      <w:r w:rsidRPr="00722885">
        <w:rPr>
          <w:color w:val="0070C0"/>
          <w:sz w:val="16"/>
          <w:szCs w:val="16"/>
        </w:rPr>
        <w:softHyphen/>
        <w:t xml:space="preserve">таний пришлось доработать рукав звеньеотвода, после чего не было ни одной задержки при стрельбе. Пользоваться прицелом мешала </w:t>
      </w:r>
      <w:r w:rsidRPr="00722885">
        <w:rPr>
          <w:rStyle w:val="aff6"/>
          <w:rFonts w:ascii="Times New Roman" w:hAnsi="Times New Roman" w:cs="Times New Roman"/>
          <w:color w:val="0070C0"/>
        </w:rPr>
        <w:t>«склейка таблеток сталинита на бронесте</w:t>
      </w:r>
      <w:r w:rsidRPr="00722885">
        <w:rPr>
          <w:rStyle w:val="aff6"/>
          <w:rFonts w:ascii="Times New Roman" w:hAnsi="Times New Roman" w:cs="Times New Roman"/>
          <w:color w:val="0070C0"/>
        </w:rPr>
        <w:softHyphen/>
        <w:t>кле подвижного кольца».</w:t>
      </w:r>
      <w:r w:rsidRPr="00722885">
        <w:rPr>
          <w:color w:val="0070C0"/>
          <w:sz w:val="16"/>
          <w:szCs w:val="16"/>
        </w:rPr>
        <w:t xml:space="preserve"> Кроме того, линия прицеливания проходила настолько низко, что </w:t>
      </w:r>
      <w:r w:rsidRPr="00722885">
        <w:rPr>
          <w:rStyle w:val="aff6"/>
          <w:rFonts w:ascii="Times New Roman" w:hAnsi="Times New Roman" w:cs="Times New Roman"/>
          <w:color w:val="0070C0"/>
        </w:rPr>
        <w:t>«часть кольца прицела была не видна».</w:t>
      </w:r>
    </w:p>
    <w:p w14:paraId="4B1C3562" w14:textId="77777777" w:rsidR="00581485" w:rsidRPr="00722885" w:rsidRDefault="00581485" w:rsidP="00722885">
      <w:pPr>
        <w:pStyle w:val="95"/>
        <w:shd w:val="clear" w:color="auto" w:fill="auto"/>
        <w:spacing w:after="0" w:line="240" w:lineRule="auto"/>
        <w:ind w:firstLine="0"/>
        <w:jc w:val="both"/>
        <w:rPr>
          <w:color w:val="0070C0"/>
          <w:sz w:val="16"/>
          <w:szCs w:val="16"/>
        </w:rPr>
      </w:pPr>
      <w:r w:rsidRPr="00722885">
        <w:rPr>
          <w:color w:val="0070C0"/>
          <w:sz w:val="16"/>
          <w:szCs w:val="16"/>
        </w:rPr>
        <w:t>По результатам воздушных боев помощ</w:t>
      </w:r>
      <w:r w:rsidRPr="00722885">
        <w:rPr>
          <w:color w:val="0070C0"/>
          <w:sz w:val="16"/>
          <w:szCs w:val="16"/>
        </w:rPr>
        <w:softHyphen/>
        <w:t>ник начальника тактического отделения 4-го отдела НИИ ВВС капитан Васильев сделал сле</w:t>
      </w:r>
      <w:r w:rsidRPr="00722885">
        <w:rPr>
          <w:color w:val="0070C0"/>
          <w:sz w:val="16"/>
          <w:szCs w:val="16"/>
        </w:rPr>
        <w:softHyphen/>
        <w:t>дующие выводы:</w:t>
      </w:r>
    </w:p>
    <w:p w14:paraId="1438D6BB" w14:textId="77777777" w:rsidR="00581485" w:rsidRPr="00722885" w:rsidRDefault="005814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Самолет Ил-2 АМ-38 № 4434 выигры</w:t>
      </w:r>
      <w:r w:rsidRPr="00722885">
        <w:rPr>
          <w:rFonts w:ascii="Times New Roman" w:hAnsi="Times New Roman"/>
          <w:color w:val="0070C0"/>
          <w:sz w:val="16"/>
          <w:szCs w:val="16"/>
        </w:rPr>
        <w:softHyphen/>
        <w:t>вает боевой защитой и удобством кабины стрелка, более передней центровкой и проиг</w:t>
      </w:r>
      <w:r w:rsidRPr="00722885">
        <w:rPr>
          <w:rFonts w:ascii="Times New Roman" w:hAnsi="Times New Roman"/>
          <w:color w:val="0070C0"/>
          <w:sz w:val="16"/>
          <w:szCs w:val="16"/>
        </w:rPr>
        <w:softHyphen/>
        <w:t>рывает в бомбовой нагрузке на 200 кг. Обо</w:t>
      </w:r>
      <w:r w:rsidRPr="00722885">
        <w:rPr>
          <w:rFonts w:ascii="Times New Roman" w:hAnsi="Times New Roman"/>
          <w:color w:val="0070C0"/>
          <w:sz w:val="16"/>
          <w:szCs w:val="16"/>
        </w:rPr>
        <w:softHyphen/>
        <w:t>рона задней полусферы будет более надежна, так как стрелок предохранен от массового огня наземного оружия, а, следовательно, са</w:t>
      </w:r>
      <w:r w:rsidRPr="00722885">
        <w:rPr>
          <w:rFonts w:ascii="Times New Roman" w:hAnsi="Times New Roman"/>
          <w:color w:val="0070C0"/>
          <w:sz w:val="16"/>
          <w:szCs w:val="16"/>
        </w:rPr>
        <w:softHyphen/>
        <w:t>молет в целом будет более живуч. Летный со</w:t>
      </w:r>
      <w:r w:rsidRPr="00722885">
        <w:rPr>
          <w:rFonts w:ascii="Times New Roman" w:hAnsi="Times New Roman"/>
          <w:color w:val="0070C0"/>
          <w:sz w:val="16"/>
          <w:szCs w:val="16"/>
        </w:rPr>
        <w:softHyphen/>
        <w:t>став, безусловно, будет больше доволен этим самолетом.</w:t>
      </w:r>
    </w:p>
    <w:p w14:paraId="63928D83" w14:textId="77777777" w:rsidR="00581485" w:rsidRPr="00722885" w:rsidRDefault="0058148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Самолет Ил-2 АМ-38 № 887 выигры</w:t>
      </w:r>
      <w:r w:rsidRPr="00722885">
        <w:rPr>
          <w:rFonts w:ascii="Times New Roman" w:hAnsi="Times New Roman"/>
          <w:color w:val="0070C0"/>
          <w:sz w:val="16"/>
          <w:szCs w:val="16"/>
        </w:rPr>
        <w:softHyphen/>
        <w:t>вает в бомбовой нагрузке, зато задняя огневая точка будет выведена из строя любым огнем наземного оружия противника и поэтому эф</w:t>
      </w:r>
      <w:r w:rsidRPr="00722885">
        <w:rPr>
          <w:rFonts w:ascii="Times New Roman" w:hAnsi="Times New Roman"/>
          <w:color w:val="0070C0"/>
          <w:sz w:val="16"/>
          <w:szCs w:val="16"/>
        </w:rPr>
        <w:softHyphen/>
        <w:t>фект ее будет значительно ниже. В общем итоге боевого применения меньшая нагрузка может быть компенсирована большим коли</w:t>
      </w:r>
      <w:r w:rsidRPr="00722885">
        <w:rPr>
          <w:rFonts w:ascii="Times New Roman" w:hAnsi="Times New Roman"/>
          <w:color w:val="0070C0"/>
          <w:sz w:val="16"/>
          <w:szCs w:val="16"/>
        </w:rPr>
        <w:softHyphen/>
        <w:t>чеством самолето-вылетов за счет большой живучести задней огневой точки».</w:t>
      </w:r>
    </w:p>
    <w:p w14:paraId="084BC2AB" w14:textId="77777777" w:rsidR="00581485" w:rsidRPr="00722885" w:rsidRDefault="00581485" w:rsidP="00722885">
      <w:pPr>
        <w:pStyle w:val="95"/>
        <w:shd w:val="clear" w:color="auto" w:fill="auto"/>
        <w:spacing w:after="0" w:line="240" w:lineRule="auto"/>
        <w:ind w:firstLine="0"/>
        <w:jc w:val="both"/>
        <w:rPr>
          <w:color w:val="0070C0"/>
          <w:sz w:val="16"/>
          <w:szCs w:val="16"/>
        </w:rPr>
      </w:pPr>
      <w:r w:rsidRPr="00722885">
        <w:rPr>
          <w:color w:val="0070C0"/>
          <w:sz w:val="16"/>
          <w:szCs w:val="16"/>
        </w:rPr>
        <w:t>В заключении отчета по результатам ис</w:t>
      </w:r>
      <w:r w:rsidRPr="00722885">
        <w:rPr>
          <w:color w:val="0070C0"/>
          <w:sz w:val="16"/>
          <w:szCs w:val="16"/>
        </w:rPr>
        <w:softHyphen/>
        <w:t>пытаний констатировалось, что Ил-2бис усту</w:t>
      </w:r>
      <w:r w:rsidRPr="00722885">
        <w:rPr>
          <w:color w:val="0070C0"/>
          <w:sz w:val="16"/>
          <w:szCs w:val="16"/>
        </w:rPr>
        <w:softHyphen/>
        <w:t>пает Ил-2 завода №30 только по весу загру</w:t>
      </w:r>
      <w:r w:rsidRPr="00722885">
        <w:rPr>
          <w:color w:val="0070C0"/>
          <w:sz w:val="16"/>
          <w:szCs w:val="16"/>
        </w:rPr>
        <w:softHyphen/>
        <w:t>жаемых в бомбоотсеки мелких авиабомб, но превосходит его по боевой живучести, удоб</w:t>
      </w:r>
      <w:r w:rsidRPr="00722885">
        <w:rPr>
          <w:color w:val="0070C0"/>
          <w:sz w:val="16"/>
          <w:szCs w:val="16"/>
        </w:rPr>
        <w:softHyphen/>
        <w:t>ству работы стрелка, летным и пилотажным качествам. Однако, учитывая выход постанов</w:t>
      </w:r>
      <w:r w:rsidRPr="00722885">
        <w:rPr>
          <w:color w:val="0070C0"/>
          <w:sz w:val="16"/>
          <w:szCs w:val="16"/>
        </w:rPr>
        <w:softHyphen/>
        <w:t>ления ГКО о запуске двухместного самолета Ил-2 с кабиной стрелка завода №30, решение о целесообразности постройки двухместных самолетов Ил-2 завода №1 рекомендовалось «принять после проведения войсковых испы</w:t>
      </w:r>
      <w:r w:rsidRPr="00722885">
        <w:rPr>
          <w:color w:val="0070C0"/>
          <w:sz w:val="16"/>
          <w:szCs w:val="16"/>
        </w:rPr>
        <w:softHyphen/>
        <w:t>таний двухместных самолетов Ил-2 производ</w:t>
      </w:r>
      <w:r w:rsidRPr="00722885">
        <w:rPr>
          <w:color w:val="0070C0"/>
          <w:sz w:val="16"/>
          <w:szCs w:val="16"/>
        </w:rPr>
        <w:softHyphen/>
        <w:t>ства завода №30». Самолет Ил-2бис (№4434) предлагалось передать в часть, проводящую войсковые испытания двухместных Ил-2 за</w:t>
      </w:r>
      <w:r w:rsidRPr="00722885">
        <w:rPr>
          <w:color w:val="0070C0"/>
          <w:sz w:val="16"/>
          <w:szCs w:val="16"/>
        </w:rPr>
        <w:softHyphen/>
        <w:t>вода №30 (19877).</w:t>
      </w:r>
    </w:p>
    <w:p w14:paraId="5D77D90F" w14:textId="77777777" w:rsidR="00581485" w:rsidRPr="00722885" w:rsidRDefault="00581485" w:rsidP="00722885">
      <w:pPr>
        <w:shd w:val="clear" w:color="auto" w:fill="FFFFFF"/>
        <w:spacing w:after="0" w:line="240" w:lineRule="auto"/>
        <w:jc w:val="both"/>
        <w:rPr>
          <w:rFonts w:ascii="Times New Roman" w:hAnsi="Times New Roman"/>
          <w:color w:val="0070C0"/>
          <w:sz w:val="16"/>
          <w:szCs w:val="16"/>
        </w:rPr>
      </w:pPr>
    </w:p>
    <w:p w14:paraId="59CF0477" w14:textId="77777777" w:rsidR="00581485" w:rsidRPr="00722885" w:rsidRDefault="00581485"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15 </w:t>
      </w:r>
      <w:r w:rsidRPr="00722885">
        <w:rPr>
          <w:rFonts w:ascii="Times New Roman" w:eastAsia="Times New Roman" w:hAnsi="Times New Roman"/>
          <w:color w:val="0070C0"/>
          <w:sz w:val="16"/>
          <w:szCs w:val="16"/>
        </w:rPr>
        <w:t>октября 1942 командующий 8-й ВА генерал Т.Т. Хрюкин утвердил «Указания по боевому применению штурмовика Ил-2» №ВС/255, определившие порядок действия и применения бортового оружия штурмовиков Ил-2 по наземным целям</w:t>
      </w:r>
      <w:r w:rsidRPr="00722885">
        <w:rPr>
          <w:rFonts w:ascii="Times New Roman" w:eastAsia="Times New Roman" w:hAnsi="Times New Roman"/>
          <w:color w:val="0070C0"/>
          <w:sz w:val="16"/>
          <w:szCs w:val="16"/>
          <w:vertAlign w:val="superscript"/>
        </w:rPr>
        <w:t>1</w:t>
      </w:r>
      <w:r w:rsidRPr="00722885">
        <w:rPr>
          <w:rFonts w:ascii="Times New Roman" w:eastAsia="Times New Roman" w:hAnsi="Times New Roman"/>
          <w:color w:val="0070C0"/>
          <w:sz w:val="16"/>
          <w:szCs w:val="16"/>
        </w:rPr>
        <w:t>.</w:t>
      </w:r>
    </w:p>
    <w:p w14:paraId="75EB3845" w14:textId="77777777" w:rsidR="00581485" w:rsidRPr="00722885" w:rsidRDefault="00581485"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«Указания» 8-й В А, наряду с проектом «Руководства по боевым действиям штурмовой авиации» штаба ВВС РККА, вышедшем почти одновременно, сыграли важную роль в упорядочении боевого применения самолетов Ил-2 в целях обеспечения высокой эффективности их бомбоштурмовых ударов.</w:t>
      </w:r>
    </w:p>
    <w:p w14:paraId="5BDAB69C" w14:textId="77777777" w:rsidR="00581485" w:rsidRPr="00722885" w:rsidRDefault="00581485"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С целью обеспечения более массированых действий авиации приказом Наркома Обороны от 26 августа 1942 г. началось формирование авиационных корпусов (истребительных, штурмовых и бомбардировочных) Резерва ВГК. Одновременно с этим происходило переформирование в однородные смешанных авиадивизий и авиаполков. Штурмовая авиадивизия теперь стала состоять из трех штурмовых авиаполков.</w:t>
      </w:r>
    </w:p>
    <w:p w14:paraId="709C6F23" w14:textId="77777777" w:rsidR="00581485" w:rsidRPr="00722885" w:rsidRDefault="00581485"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Штурмовые авиаполки с 20-самолетного состава переводились на 32-самолетный состав (3 эскадрильи, 32 пилота): по 10 самолетов в каждой эскадрилье и две машины в управлении полка (самолеты командира и штурмана полка).</w:t>
      </w:r>
    </w:p>
    <w:p w14:paraId="3C608435" w14:textId="77777777" w:rsidR="00581485" w:rsidRPr="00722885" w:rsidRDefault="00581485" w:rsidP="00722885">
      <w:pPr>
        <w:shd w:val="clear" w:color="auto" w:fill="FFFFFF"/>
        <w:spacing w:after="0" w:line="240" w:lineRule="auto"/>
        <w:jc w:val="both"/>
        <w:rPr>
          <w:rFonts w:ascii="Times New Roman" w:eastAsia="Times New Roman" w:hAnsi="Times New Roman"/>
          <w:color w:val="0070C0"/>
          <w:sz w:val="16"/>
          <w:szCs w:val="16"/>
        </w:rPr>
      </w:pPr>
      <w:r w:rsidRPr="00722885">
        <w:rPr>
          <w:rFonts w:ascii="Times New Roman" w:eastAsia="Times New Roman" w:hAnsi="Times New Roman"/>
          <w:color w:val="0070C0"/>
          <w:sz w:val="16"/>
          <w:szCs w:val="16"/>
        </w:rPr>
        <w:t>Отметим, что принятые штаты штурмовых авиаполков оказались все же недостаточно удачными и не в полной мере отвечали требованиям войны. Боевой опыт показал, что эффективность летной работы эскадрильи из 10 самолетов уже на 3-4 день снижалась и обычно могла работать только шестеркой, что не позволяло комсоставу полков должным образом организовывать борьбу с ПВО противника, а также с его истребительной авиацией.</w:t>
      </w:r>
    </w:p>
    <w:p w14:paraId="5DBCADB5" w14:textId="77777777" w:rsidR="00581485" w:rsidRPr="00722885" w:rsidRDefault="00581485"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Для исправления этого требовалось штат штурмовой авиаэскадрильи увеличить до 12 самолетов (3 звена по 4 машины, 1 самолет у командира эскадрильи и один - у штурмана эскадрильи), а штат полков - до 45. В этом случае авиаэскадрильи из 14 самолетов в основном смогли бы работать восьмерками. Кроме того, два командирских Ил-2 являлись резервными, что позволяло командиру эскадрильи строить боевые порядки эскадрильи в зависимости от задачи и обстановки. Однако на 40-самолетный штат штурмовых авиаполков ВВС РККА перешли только в 1944 г. (20186).</w:t>
      </w:r>
    </w:p>
    <w:p w14:paraId="2A60EB65" w14:textId="77777777" w:rsidR="00581485" w:rsidRPr="00722885" w:rsidRDefault="00581485" w:rsidP="00722885">
      <w:pPr>
        <w:shd w:val="clear" w:color="auto" w:fill="FFFFFF"/>
        <w:spacing w:after="0" w:line="240" w:lineRule="auto"/>
        <w:jc w:val="both"/>
        <w:rPr>
          <w:rFonts w:ascii="Times New Roman" w:hAnsi="Times New Roman"/>
          <w:color w:val="0070C0"/>
          <w:sz w:val="16"/>
          <w:szCs w:val="16"/>
        </w:rPr>
      </w:pPr>
    </w:p>
    <w:p w14:paraId="2156A56E"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в результате того, что после вмешательства начальника Инспекции ВВС КА полков</w:t>
      </w:r>
      <w:r w:rsidRPr="00722885">
        <w:rPr>
          <w:rFonts w:ascii="Times New Roman" w:hAnsi="Times New Roman"/>
          <w:color w:val="000000" w:themeColor="text1"/>
          <w:sz w:val="16"/>
          <w:szCs w:val="16"/>
        </w:rPr>
        <w:softHyphen/>
        <w:t>ника В.И. Сталина работы по самолету ускорились, Ил-2бис (зав. №4434) поступил в НИИ ВВС.</w:t>
      </w:r>
    </w:p>
    <w:p w14:paraId="14152024"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Военным новый штурмовик понра</w:t>
      </w:r>
      <w:r w:rsidRPr="00722885">
        <w:rPr>
          <w:rFonts w:ascii="Times New Roman" w:hAnsi="Times New Roman"/>
          <w:color w:val="000000" w:themeColor="text1"/>
          <w:sz w:val="16"/>
          <w:szCs w:val="16"/>
        </w:rPr>
        <w:softHyphen/>
        <w:t>вился. Учебные бои с истребителем Як-7 показали неплохие результаты. Установка БЛУБ легко управлялась на всех режимах полета. При любых изменениях положе</w:t>
      </w:r>
      <w:r w:rsidRPr="00722885">
        <w:rPr>
          <w:rFonts w:ascii="Times New Roman" w:hAnsi="Times New Roman"/>
          <w:color w:val="000000" w:themeColor="text1"/>
          <w:sz w:val="16"/>
          <w:szCs w:val="16"/>
        </w:rPr>
        <w:softHyphen/>
        <w:t>ния атакующего истребителя «установка может быть легко поставлена в положе</w:t>
      </w:r>
      <w:r w:rsidRPr="00722885">
        <w:rPr>
          <w:rFonts w:ascii="Times New Roman" w:hAnsi="Times New Roman"/>
          <w:color w:val="000000" w:themeColor="text1"/>
          <w:sz w:val="16"/>
          <w:szCs w:val="16"/>
        </w:rPr>
        <w:softHyphen/>
        <w:t>ние, необходимое для отражения атаки», Были сделаны следующие выводы:</w:t>
      </w:r>
    </w:p>
    <w:p w14:paraId="097EBAE1"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Самолет Ил-2 АМ-38№ 4434 выигрывает боевой защитой и удобством кабины стрелка, более передней центров</w:t>
      </w:r>
      <w:r w:rsidRPr="00722885">
        <w:rPr>
          <w:rFonts w:ascii="Times New Roman" w:hAnsi="Times New Roman"/>
          <w:color w:val="000000" w:themeColor="text1"/>
          <w:sz w:val="16"/>
          <w:szCs w:val="16"/>
        </w:rPr>
        <w:softHyphen/>
        <w:t xml:space="preserve">кой и проигрывает в бомбовой нагрузке </w:t>
      </w:r>
      <w:r w:rsidRPr="00722885">
        <w:rPr>
          <w:rStyle w:val="aff8"/>
          <w:rFonts w:ascii="Times New Roman" w:hAnsi="Times New Roman" w:cs="Times New Roman"/>
          <w:b w:val="0"/>
          <w:color w:val="000000" w:themeColor="text1"/>
          <w:spacing w:val="0"/>
          <w:sz w:val="16"/>
          <w:szCs w:val="16"/>
        </w:rPr>
        <w:t>на</w:t>
      </w:r>
      <w:r w:rsidRPr="00722885">
        <w:rPr>
          <w:rFonts w:ascii="Times New Roman" w:hAnsi="Times New Roman"/>
          <w:color w:val="000000" w:themeColor="text1"/>
          <w:sz w:val="16"/>
          <w:szCs w:val="16"/>
        </w:rPr>
        <w:t xml:space="preserve"> 200 кг. Оборона задней полусферы будет более надежна, так как стрелок предохранен от массового огня назем</w:t>
      </w:r>
      <w:r w:rsidRPr="00722885">
        <w:rPr>
          <w:rFonts w:ascii="Times New Roman" w:hAnsi="Times New Roman"/>
          <w:color w:val="000000" w:themeColor="text1"/>
          <w:sz w:val="16"/>
          <w:szCs w:val="16"/>
        </w:rPr>
        <w:softHyphen/>
        <w:t>ного оружия, а, следовательно, самолет в целом будет более живуч. Летный состав, безусловно, будет больше доволен этим самолетом.</w:t>
      </w:r>
    </w:p>
    <w:p w14:paraId="5DD40D3F"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Самолет Ил-2 АМ-38 № 887 выигрывает в бомбовой нагрузке, зато задняя огневая точка будет выведена из строя любым огнем наземного оружия противника и поэтому эффект ее будет значительно ниже. В общем итоге боевого применения меньшая нагрузка может быть компенсирована большим количе</w:t>
      </w:r>
      <w:r w:rsidRPr="00722885">
        <w:rPr>
          <w:rFonts w:ascii="Times New Roman" w:hAnsi="Times New Roman"/>
          <w:color w:val="000000" w:themeColor="text1"/>
          <w:sz w:val="16"/>
          <w:szCs w:val="16"/>
        </w:rPr>
        <w:softHyphen/>
        <w:t>ством самолето-вылетов за счет большой живучести задней огневой точки».</w:t>
      </w:r>
    </w:p>
    <w:p w14:paraId="2B0D1CFA"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Учитывая выход постановления ГКО о запуске двухместного самолета Ил-2 с кабиной стрелка завода №30, «решение о целесообразности постройки двух</w:t>
      </w:r>
      <w:r w:rsidRPr="00722885">
        <w:rPr>
          <w:rFonts w:ascii="Times New Roman" w:hAnsi="Times New Roman"/>
          <w:color w:val="000000" w:themeColor="text1"/>
          <w:sz w:val="16"/>
          <w:szCs w:val="16"/>
        </w:rPr>
        <w:softHyphen/>
        <w:t>местных самолетов Ил-2 производства завода № 1» рекомендовалось «принять после проведения войсковых испытаний двухместных самолетов Ил-2 производ</w:t>
      </w:r>
      <w:r w:rsidRPr="00722885">
        <w:rPr>
          <w:rFonts w:ascii="Times New Roman" w:hAnsi="Times New Roman"/>
          <w:color w:val="000000" w:themeColor="text1"/>
          <w:sz w:val="16"/>
          <w:szCs w:val="16"/>
        </w:rPr>
        <w:softHyphen/>
        <w:t>ства завода №30». Испытанный самолет Ил-2бис зав. № 4434 предлагалось «пе</w:t>
      </w:r>
      <w:r w:rsidRPr="00722885">
        <w:rPr>
          <w:rFonts w:ascii="Times New Roman" w:hAnsi="Times New Roman"/>
          <w:color w:val="000000" w:themeColor="text1"/>
          <w:sz w:val="16"/>
          <w:szCs w:val="16"/>
        </w:rPr>
        <w:softHyphen/>
        <w:t>редать в часть, проводящую войсковые испытания двухместных самолетов Ил-2 производства завода №30» (19540).</w:t>
      </w:r>
    </w:p>
    <w:p w14:paraId="311D7CA9" w14:textId="77777777" w:rsidR="00E07874" w:rsidRPr="00722885" w:rsidRDefault="00E07874" w:rsidP="00722885">
      <w:pPr>
        <w:spacing w:after="0" w:line="240" w:lineRule="auto"/>
        <w:jc w:val="both"/>
        <w:rPr>
          <w:rFonts w:ascii="Times New Roman" w:hAnsi="Times New Roman"/>
          <w:color w:val="000000" w:themeColor="text1"/>
          <w:sz w:val="16"/>
          <w:szCs w:val="16"/>
        </w:rPr>
      </w:pPr>
    </w:p>
    <w:p w14:paraId="534431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октября 1942 вышел приказ НКАП N 773cс:</w:t>
      </w:r>
    </w:p>
    <w:p w14:paraId="7A1B32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проверки летных и боевых качеств предложенного работниками ЦКБ-29 нового самолета типа Пегас с 2хМ-11Ф:</w:t>
      </w:r>
    </w:p>
    <w:p w14:paraId="006FB2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Нач. ЦКБ-29 и директору завода 288 Кутепову спроектировать и построить 5 самолетов со следующими сроками передачи на испытания в НИИ ВВС: 1-й - 1 декабря 1942, остальные - 15 февраля 1943" (1595,17).</w:t>
      </w:r>
    </w:p>
    <w:p w14:paraId="582F13AB" w14:textId="77777777" w:rsidR="00090C9B" w:rsidRPr="00722885" w:rsidRDefault="00090C9B" w:rsidP="00722885">
      <w:pPr>
        <w:pStyle w:val="Iauiue"/>
        <w:jc w:val="both"/>
        <w:rPr>
          <w:color w:val="000000" w:themeColor="text1"/>
          <w:sz w:val="16"/>
          <w:szCs w:val="16"/>
        </w:rPr>
      </w:pPr>
    </w:p>
    <w:p w14:paraId="0B218619" w14:textId="77777777" w:rsidR="00AD734D" w:rsidRPr="00722885" w:rsidRDefault="00AD73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октября 1942 г. после обсуждения и получения ряда консультаций вышел приказ НКАП №773 «О проектировании и постройке заводом № 288 самолета типа «Пегас» с 2М-11ф».</w:t>
      </w:r>
    </w:p>
    <w:p w14:paraId="20222F65" w14:textId="77777777" w:rsidR="00AD734D" w:rsidRPr="00722885" w:rsidRDefault="00AD73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Согласно приказу, «для проверки лет</w:t>
      </w:r>
      <w:r w:rsidRPr="00722885">
        <w:rPr>
          <w:rFonts w:ascii="Times New Roman" w:hAnsi="Times New Roman"/>
          <w:color w:val="0070C0"/>
          <w:sz w:val="16"/>
          <w:szCs w:val="16"/>
        </w:rPr>
        <w:softHyphen/>
        <w:t>ных и боевых качеств предложенно</w:t>
      </w:r>
      <w:r w:rsidRPr="00722885">
        <w:rPr>
          <w:rFonts w:ascii="Times New Roman" w:hAnsi="Times New Roman"/>
          <w:color w:val="0070C0"/>
          <w:sz w:val="16"/>
          <w:szCs w:val="16"/>
        </w:rPr>
        <w:softHyphen/>
        <w:t>го работниками ЦКБ-29 нового самолета типа «Пегас» с двумя М-11ф» начальни</w:t>
      </w:r>
      <w:r w:rsidRPr="00722885">
        <w:rPr>
          <w:rFonts w:ascii="Times New Roman" w:hAnsi="Times New Roman"/>
          <w:color w:val="0070C0"/>
          <w:sz w:val="16"/>
          <w:szCs w:val="16"/>
        </w:rPr>
        <w:softHyphen/>
        <w:t>ку ЦКБ-29 и директору завода № 288 Ку</w:t>
      </w:r>
      <w:r w:rsidRPr="00722885">
        <w:rPr>
          <w:rFonts w:ascii="Times New Roman" w:hAnsi="Times New Roman"/>
          <w:color w:val="0070C0"/>
          <w:sz w:val="16"/>
          <w:szCs w:val="16"/>
        </w:rPr>
        <w:softHyphen/>
        <w:t>тепову поручалось спроектировать и по</w:t>
      </w:r>
      <w:r w:rsidRPr="00722885">
        <w:rPr>
          <w:rFonts w:ascii="Times New Roman" w:hAnsi="Times New Roman"/>
          <w:color w:val="0070C0"/>
          <w:sz w:val="16"/>
          <w:szCs w:val="16"/>
        </w:rPr>
        <w:softHyphen/>
        <w:t>строить пять опытных самолетов этого типа со сроком предъявления на государ</w:t>
      </w:r>
      <w:r w:rsidRPr="00722885">
        <w:rPr>
          <w:rFonts w:ascii="Times New Roman" w:hAnsi="Times New Roman"/>
          <w:color w:val="0070C0"/>
          <w:sz w:val="16"/>
          <w:szCs w:val="16"/>
        </w:rPr>
        <w:softHyphen/>
        <w:t>ственные испытания первого экземпляра не позже 1 декабря 1942 г., а остальных машин - к 15 февраля 1943 г.</w:t>
      </w:r>
    </w:p>
    <w:p w14:paraId="5A810603" w14:textId="77777777" w:rsidR="00AD734D" w:rsidRPr="00722885" w:rsidRDefault="00AD73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Одновременно директора заводов №154 и №166 обязывались отпустить за</w:t>
      </w:r>
      <w:r w:rsidRPr="00722885">
        <w:rPr>
          <w:rFonts w:ascii="Times New Roman" w:hAnsi="Times New Roman"/>
          <w:color w:val="0070C0"/>
          <w:sz w:val="16"/>
          <w:szCs w:val="16"/>
        </w:rPr>
        <w:softHyphen/>
        <w:t>воду №288, соответственно, 10 моторов М-11ф и 12 воздушных винтов к ним.</w:t>
      </w:r>
    </w:p>
    <w:p w14:paraId="22D09681" w14:textId="77777777" w:rsidR="00AD734D" w:rsidRPr="00722885" w:rsidRDefault="00AD73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Появлению приказа предшествовал ряд событий.</w:t>
      </w:r>
    </w:p>
    <w:p w14:paraId="372A9E8B" w14:textId="77777777" w:rsidR="00AD734D" w:rsidRPr="00722885" w:rsidRDefault="00AD73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 проекте Д.Л. Томаше</w:t>
      </w:r>
      <w:r w:rsidRPr="00722885">
        <w:rPr>
          <w:rFonts w:ascii="Times New Roman" w:hAnsi="Times New Roman"/>
          <w:color w:val="0070C0"/>
          <w:sz w:val="16"/>
          <w:szCs w:val="16"/>
        </w:rPr>
        <w:softHyphen/>
        <w:t>вича было доложено И.В. Сталину и выз</w:t>
      </w:r>
      <w:r w:rsidRPr="00722885">
        <w:rPr>
          <w:rFonts w:ascii="Times New Roman" w:hAnsi="Times New Roman"/>
          <w:color w:val="0070C0"/>
          <w:sz w:val="16"/>
          <w:szCs w:val="16"/>
        </w:rPr>
        <w:softHyphen/>
        <w:t>вало его неподдельную заинтересован</w:t>
      </w:r>
      <w:r w:rsidRPr="00722885">
        <w:rPr>
          <w:rFonts w:ascii="Times New Roman" w:hAnsi="Times New Roman"/>
          <w:color w:val="0070C0"/>
          <w:sz w:val="16"/>
          <w:szCs w:val="16"/>
        </w:rPr>
        <w:softHyphen/>
        <w:t>ность. Особенно Сталину понравилась возможность за короткий срок изготовить большое количество самолетов этого типа (с темпом выпуска около 100 самолетов в день), быстро освоить их летчиками и массированно применить на фронте, бук</w:t>
      </w:r>
      <w:r w:rsidRPr="00722885">
        <w:rPr>
          <w:rFonts w:ascii="Times New Roman" w:hAnsi="Times New Roman"/>
          <w:color w:val="0070C0"/>
          <w:sz w:val="16"/>
          <w:szCs w:val="16"/>
        </w:rPr>
        <w:softHyphen/>
        <w:t>вально подавив с воздуха танки и мото</w:t>
      </w:r>
      <w:r w:rsidRPr="00722885">
        <w:rPr>
          <w:rFonts w:ascii="Times New Roman" w:hAnsi="Times New Roman"/>
          <w:color w:val="0070C0"/>
          <w:sz w:val="16"/>
          <w:szCs w:val="16"/>
        </w:rPr>
        <w:softHyphen/>
        <w:t>пехоту противника.</w:t>
      </w:r>
    </w:p>
    <w:p w14:paraId="7910FF80" w14:textId="77777777" w:rsidR="00AD734D" w:rsidRPr="00722885" w:rsidRDefault="00AD73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Учитывая такие положительные сторо</w:t>
      </w:r>
      <w:r w:rsidRPr="00722885">
        <w:rPr>
          <w:rFonts w:ascii="Times New Roman" w:hAnsi="Times New Roman"/>
          <w:color w:val="0070C0"/>
          <w:sz w:val="16"/>
          <w:szCs w:val="16"/>
        </w:rPr>
        <w:softHyphen/>
        <w:t>ны проекта «Пегас», как сварная броне- кабина простых форм, сменные варианты вооружения, упрощенная технология из</w:t>
      </w:r>
      <w:r w:rsidRPr="00722885">
        <w:rPr>
          <w:rFonts w:ascii="Times New Roman" w:hAnsi="Times New Roman"/>
          <w:color w:val="0070C0"/>
          <w:sz w:val="16"/>
          <w:szCs w:val="16"/>
        </w:rPr>
        <w:softHyphen/>
        <w:t>готовления, даже рассматривался вопрос о реализации ряда предложений ЦКБ-29 на серийном легком транспортном само</w:t>
      </w:r>
      <w:r w:rsidRPr="00722885">
        <w:rPr>
          <w:rFonts w:ascii="Times New Roman" w:hAnsi="Times New Roman"/>
          <w:color w:val="0070C0"/>
          <w:sz w:val="16"/>
          <w:szCs w:val="16"/>
        </w:rPr>
        <w:softHyphen/>
        <w:t>лете Як-6 2М-11ф. Впрочем, без особо</w:t>
      </w:r>
      <w:r w:rsidRPr="00722885">
        <w:rPr>
          <w:rFonts w:ascii="Times New Roman" w:hAnsi="Times New Roman"/>
          <w:color w:val="0070C0"/>
          <w:sz w:val="16"/>
          <w:szCs w:val="16"/>
        </w:rPr>
        <w:softHyphen/>
        <w:t>го результата. Главный конструктор Як-6 - заместитель наркомавиапрома А.С. Яков</w:t>
      </w:r>
      <w:r w:rsidRPr="00722885">
        <w:rPr>
          <w:rFonts w:ascii="Times New Roman" w:hAnsi="Times New Roman"/>
          <w:color w:val="0070C0"/>
          <w:sz w:val="16"/>
          <w:szCs w:val="16"/>
        </w:rPr>
        <w:softHyphen/>
        <w:t>лев, быстро осознав, чем эта затея может закончиться, своевременно дистанциро</w:t>
      </w:r>
      <w:r w:rsidRPr="00722885">
        <w:rPr>
          <w:rFonts w:ascii="Times New Roman" w:hAnsi="Times New Roman"/>
          <w:color w:val="0070C0"/>
          <w:sz w:val="16"/>
          <w:szCs w:val="16"/>
        </w:rPr>
        <w:softHyphen/>
        <w:t>вался от этого задания. Дело в том, что Як-6 оказался довольно строгим в пило</w:t>
      </w:r>
      <w:r w:rsidRPr="00722885">
        <w:rPr>
          <w:rFonts w:ascii="Times New Roman" w:hAnsi="Times New Roman"/>
          <w:color w:val="0070C0"/>
          <w:sz w:val="16"/>
          <w:szCs w:val="16"/>
        </w:rPr>
        <w:softHyphen/>
        <w:t>тировании и молодые летчики с недоста</w:t>
      </w:r>
      <w:r w:rsidRPr="00722885">
        <w:rPr>
          <w:rFonts w:ascii="Times New Roman" w:hAnsi="Times New Roman"/>
          <w:color w:val="0070C0"/>
          <w:sz w:val="16"/>
          <w:szCs w:val="16"/>
        </w:rPr>
        <w:softHyphen/>
        <w:t>точной подготовкой на нем частенько би</w:t>
      </w:r>
      <w:r w:rsidRPr="00722885">
        <w:rPr>
          <w:rFonts w:ascii="Times New Roman" w:hAnsi="Times New Roman"/>
          <w:color w:val="0070C0"/>
          <w:sz w:val="16"/>
          <w:szCs w:val="16"/>
        </w:rPr>
        <w:softHyphen/>
        <w:t>лись.</w:t>
      </w:r>
    </w:p>
    <w:p w14:paraId="1C26DCDE" w14:textId="77777777" w:rsidR="00AD734D" w:rsidRPr="00722885" w:rsidRDefault="00AD734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Судя по документам, руководство НКВД не согласилось с формулировкой приказа НКАП и настаивало на расши</w:t>
      </w:r>
      <w:r w:rsidRPr="00722885">
        <w:rPr>
          <w:rFonts w:ascii="Times New Roman" w:hAnsi="Times New Roman"/>
          <w:color w:val="0070C0"/>
          <w:sz w:val="16"/>
          <w:szCs w:val="16"/>
        </w:rPr>
        <w:softHyphen/>
        <w:t>рении объема работ по самолету «Пегас» с целью в самые короткие сроки органи</w:t>
      </w:r>
      <w:r w:rsidRPr="00722885">
        <w:rPr>
          <w:rFonts w:ascii="Times New Roman" w:hAnsi="Times New Roman"/>
          <w:color w:val="0070C0"/>
          <w:sz w:val="16"/>
          <w:szCs w:val="16"/>
        </w:rPr>
        <w:softHyphen/>
        <w:t>зовать его серийное производство. Актив</w:t>
      </w:r>
      <w:r w:rsidRPr="00722885">
        <w:rPr>
          <w:rFonts w:ascii="Times New Roman" w:hAnsi="Times New Roman"/>
          <w:color w:val="0070C0"/>
          <w:sz w:val="16"/>
          <w:szCs w:val="16"/>
        </w:rPr>
        <w:softHyphen/>
        <w:t>ную позицию по этому вопросу занял на</w:t>
      </w:r>
      <w:r w:rsidRPr="00722885">
        <w:rPr>
          <w:rFonts w:ascii="Times New Roman" w:hAnsi="Times New Roman"/>
          <w:color w:val="0070C0"/>
          <w:sz w:val="16"/>
          <w:szCs w:val="16"/>
        </w:rPr>
        <w:softHyphen/>
        <w:t>рком авиапромышленности А.И. Шахурин. В итоге решили не рисковать и дождать</w:t>
      </w:r>
      <w:r w:rsidRPr="00722885">
        <w:rPr>
          <w:rFonts w:ascii="Times New Roman" w:hAnsi="Times New Roman"/>
          <w:color w:val="0070C0"/>
          <w:sz w:val="16"/>
          <w:szCs w:val="16"/>
        </w:rPr>
        <w:softHyphen/>
        <w:t>ся результатов государственных испыта</w:t>
      </w:r>
      <w:r w:rsidRPr="00722885">
        <w:rPr>
          <w:rFonts w:ascii="Times New Roman" w:hAnsi="Times New Roman"/>
          <w:color w:val="0070C0"/>
          <w:sz w:val="16"/>
          <w:szCs w:val="16"/>
        </w:rPr>
        <w:softHyphen/>
        <w:t>ний самолета (23181).</w:t>
      </w:r>
    </w:p>
    <w:p w14:paraId="19F404CC" w14:textId="77777777" w:rsidR="00AD734D" w:rsidRPr="00722885" w:rsidRDefault="00AD734D" w:rsidP="00722885">
      <w:pPr>
        <w:spacing w:after="0" w:line="240" w:lineRule="auto"/>
        <w:jc w:val="both"/>
        <w:rPr>
          <w:rFonts w:ascii="Times New Roman" w:hAnsi="Times New Roman"/>
          <w:color w:val="0070C0"/>
          <w:sz w:val="16"/>
          <w:szCs w:val="16"/>
        </w:rPr>
      </w:pPr>
    </w:p>
    <w:p w14:paraId="21127977"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г. по результатам обсуждения и консультаций вышел приказ НКАП № 773</w:t>
      </w:r>
      <w:r w:rsidRPr="00722885">
        <w:rPr>
          <w:rStyle w:val="aff6"/>
          <w:rFonts w:ascii="Times New Roman" w:eastAsia="Arial Unicode MS" w:hAnsi="Times New Roman" w:cs="Times New Roman"/>
          <w:i w:val="0"/>
          <w:color w:val="000000" w:themeColor="text1"/>
        </w:rPr>
        <w:t xml:space="preserve"> «О проектировании и постройке заводом № 288 самолёта типа «Пегас» с 2М-Пф».</w:t>
      </w:r>
    </w:p>
    <w:p w14:paraId="5CCA9036"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приказу</w:t>
      </w:r>
      <w:r w:rsidRPr="00722885">
        <w:rPr>
          <w:rStyle w:val="aff6"/>
          <w:rFonts w:ascii="Times New Roman" w:eastAsia="Arial Unicode MS" w:hAnsi="Times New Roman" w:cs="Times New Roman"/>
          <w:i w:val="0"/>
          <w:color w:val="000000" w:themeColor="text1"/>
        </w:rPr>
        <w:t xml:space="preserve"> «для проверки лётных и боевых качеств предложенного работниками ЦКБ-29 нового самолёта типа «Пегас» с двумя М-11ф»</w:t>
      </w:r>
      <w:r w:rsidRPr="00722885">
        <w:rPr>
          <w:rFonts w:ascii="Times New Roman" w:hAnsi="Times New Roman"/>
          <w:color w:val="000000" w:themeColor="text1"/>
          <w:sz w:val="16"/>
          <w:szCs w:val="16"/>
        </w:rPr>
        <w:t xml:space="preserve"> начальнику ЦКБ-29 и директору завода № 288 Кутепову поручалось спроектировать и построить пять опытных самолётов этого типа со сроком предъявления на государственные испытания первого экземпляра не позже 1 декабря 1942 г., а остальных машин - к 15 февраля 1943 г.</w:t>
      </w:r>
    </w:p>
    <w:p w14:paraId="620B5A7B"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Одновременно директора заводов № 154 и № 166 обязывались отпустить заводу </w:t>
      </w:r>
      <w:r w:rsidRPr="00722885">
        <w:rPr>
          <w:rFonts w:ascii="Times New Roman" w:hAnsi="Times New Roman"/>
          <w:color w:val="000000" w:themeColor="text1"/>
          <w:sz w:val="16"/>
          <w:szCs w:val="16"/>
          <w:lang w:val="en-US"/>
        </w:rPr>
        <w:t>N</w:t>
      </w:r>
      <w:r w:rsidRPr="00722885">
        <w:rPr>
          <w:rFonts w:ascii="Times New Roman" w:hAnsi="Times New Roman"/>
          <w:color w:val="000000" w:themeColor="text1"/>
          <w:sz w:val="16"/>
          <w:szCs w:val="16"/>
        </w:rPr>
        <w:t xml:space="preserve"> 288, соответственно, 10 моторов М-11Ф и 12 воздушных винтов к ним.</w:t>
      </w:r>
    </w:p>
    <w:p w14:paraId="689B0BFB"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Судя по документам, руководство НКВД не согласилось с формулировкой приказа НКАП и настаивало на расширении объёма работ по «Пегасам» с целью в самые корот</w:t>
      </w:r>
      <w:r w:rsidRPr="00722885">
        <w:rPr>
          <w:rFonts w:ascii="Times New Roman" w:hAnsi="Times New Roman"/>
          <w:color w:val="000000" w:themeColor="text1"/>
          <w:sz w:val="16"/>
          <w:szCs w:val="16"/>
        </w:rPr>
        <w:softHyphen/>
        <w:t>кие сроки организовать серийное производство. Активную позицию по этому вопросу за</w:t>
      </w:r>
      <w:bookmarkStart w:id="6" w:name="bookmark95"/>
      <w:r w:rsidRPr="00722885">
        <w:rPr>
          <w:rFonts w:ascii="Times New Roman" w:hAnsi="Times New Roman"/>
          <w:color w:val="000000" w:themeColor="text1"/>
          <w:sz w:val="16"/>
          <w:szCs w:val="16"/>
        </w:rPr>
        <w:t xml:space="preserve">нял Нарком авиапромышленности А,И, Шахурин. В итоге решили не рисковать и дождаться </w:t>
      </w:r>
      <w:bookmarkStart w:id="7" w:name="bookmark96"/>
      <w:bookmarkEnd w:id="6"/>
      <w:r w:rsidRPr="00722885">
        <w:rPr>
          <w:rFonts w:ascii="Times New Roman" w:hAnsi="Times New Roman"/>
          <w:color w:val="000000" w:themeColor="text1"/>
          <w:sz w:val="16"/>
          <w:szCs w:val="16"/>
        </w:rPr>
        <w:t>результатов государственных испытаний самолёта (15846).</w:t>
      </w:r>
      <w:bookmarkEnd w:id="7"/>
    </w:p>
    <w:p w14:paraId="1F277A39"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48888E9C" w14:textId="77777777" w:rsidR="00CA398D" w:rsidRPr="00722885" w:rsidRDefault="00CA398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года вышел приказ НКАП № 773 «О проектировании и постройке заводом № 288 самолета типа «Пегас» с 2М-11ф» (17490).</w:t>
      </w:r>
    </w:p>
    <w:p w14:paraId="39D3CF76" w14:textId="77777777" w:rsidR="00CA398D" w:rsidRPr="00722885" w:rsidRDefault="00CA398D" w:rsidP="00722885">
      <w:pPr>
        <w:spacing w:after="0" w:line="240" w:lineRule="auto"/>
        <w:jc w:val="both"/>
        <w:rPr>
          <w:rFonts w:ascii="Times New Roman" w:hAnsi="Times New Roman"/>
          <w:color w:val="000000" w:themeColor="text1"/>
          <w:sz w:val="16"/>
          <w:szCs w:val="16"/>
        </w:rPr>
      </w:pPr>
    </w:p>
    <w:p w14:paraId="0DCAC513" w14:textId="77777777" w:rsidR="00CA398D" w:rsidRPr="00722885" w:rsidRDefault="00CA398D"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15 октября 1942 г. После обсуждения и получения ряда консульта</w:t>
      </w:r>
      <w:r w:rsidRPr="00722885">
        <w:rPr>
          <w:color w:val="000000" w:themeColor="text1"/>
          <w:sz w:val="16"/>
          <w:szCs w:val="16"/>
        </w:rPr>
        <w:softHyphen/>
        <w:t>ций вышел приказ НКАП № 773 «О проектировании и постройке заводом № 288 са</w:t>
      </w:r>
      <w:r w:rsidRPr="00722885">
        <w:rPr>
          <w:color w:val="000000" w:themeColor="text1"/>
          <w:sz w:val="16"/>
          <w:szCs w:val="16"/>
        </w:rPr>
        <w:softHyphen/>
        <w:t>молета типа «Пегас» с 2М-11ф».</w:t>
      </w:r>
    </w:p>
    <w:p w14:paraId="36F73043" w14:textId="77777777" w:rsidR="00CA398D" w:rsidRPr="00722885" w:rsidRDefault="00CA398D"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Согласно приказу «для проверки летных и бо</w:t>
      </w:r>
      <w:r w:rsidRPr="00722885">
        <w:rPr>
          <w:color w:val="000000" w:themeColor="text1"/>
          <w:sz w:val="16"/>
          <w:szCs w:val="16"/>
        </w:rPr>
        <w:softHyphen/>
        <w:t>евых качеств предложенного работниками ЦКБ-29 нового самолета типа «Пегас» с двумя М-11ф» на</w:t>
      </w:r>
      <w:r w:rsidRPr="00722885">
        <w:rPr>
          <w:color w:val="000000" w:themeColor="text1"/>
          <w:sz w:val="16"/>
          <w:szCs w:val="16"/>
        </w:rPr>
        <w:softHyphen/>
        <w:t>чальнику ЦКБ-29 и директору завода № 288 Ку- тепову поручалось спроектировать и построить 5 опытных самолетов этого типа со сроком предъ</w:t>
      </w:r>
      <w:r w:rsidRPr="00722885">
        <w:rPr>
          <w:color w:val="000000" w:themeColor="text1"/>
          <w:sz w:val="16"/>
          <w:szCs w:val="16"/>
        </w:rPr>
        <w:softHyphen/>
        <w:t>явления на государственные испытания первого экземпляра не позже 1 декабря 1942 г., а остальных машин — к 15 февраля 1943 г.</w:t>
      </w:r>
    </w:p>
    <w:p w14:paraId="44034352" w14:textId="77777777" w:rsidR="00CA398D" w:rsidRPr="00722885" w:rsidRDefault="00CA398D"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Одновременно директора заводов № 154 и № 166 обязывались отпустить заводу № 288 соот</w:t>
      </w:r>
      <w:r w:rsidRPr="00722885">
        <w:rPr>
          <w:color w:val="000000" w:themeColor="text1"/>
          <w:sz w:val="16"/>
          <w:szCs w:val="16"/>
        </w:rPr>
        <w:softHyphen/>
        <w:t>ветственно 10 моторов М-11ф и 12 воздушных вин</w:t>
      </w:r>
      <w:r w:rsidRPr="00722885">
        <w:rPr>
          <w:color w:val="000000" w:themeColor="text1"/>
          <w:sz w:val="16"/>
          <w:szCs w:val="16"/>
        </w:rPr>
        <w:softHyphen/>
        <w:t>тов к ним.</w:t>
      </w:r>
    </w:p>
    <w:p w14:paraId="4C3A777B" w14:textId="77777777" w:rsidR="00CA398D" w:rsidRPr="00722885" w:rsidRDefault="00CA398D"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Судя по документам, руководство НКВД не со</w:t>
      </w:r>
      <w:r w:rsidRPr="00722885">
        <w:rPr>
          <w:color w:val="000000" w:themeColor="text1"/>
          <w:sz w:val="16"/>
          <w:szCs w:val="16"/>
        </w:rPr>
        <w:softHyphen/>
        <w:t>гласилось с формулировкой приказа НКАП и наста</w:t>
      </w:r>
      <w:r w:rsidRPr="00722885">
        <w:rPr>
          <w:color w:val="000000" w:themeColor="text1"/>
          <w:sz w:val="16"/>
          <w:szCs w:val="16"/>
        </w:rPr>
        <w:softHyphen/>
        <w:t>ивало на расширении объема работ по самолету «Пегас» с целью в самые короткие сроки органи</w:t>
      </w:r>
      <w:r w:rsidRPr="00722885">
        <w:rPr>
          <w:color w:val="000000" w:themeColor="text1"/>
          <w:sz w:val="16"/>
          <w:szCs w:val="16"/>
        </w:rPr>
        <w:softHyphen/>
        <w:t>зовать его серийное производство. Активную по</w:t>
      </w:r>
      <w:r w:rsidRPr="00722885">
        <w:rPr>
          <w:color w:val="000000" w:themeColor="text1"/>
          <w:sz w:val="16"/>
          <w:szCs w:val="16"/>
        </w:rPr>
        <w:softHyphen/>
        <w:t>зицию по этому вопросу занял нарком авиапро</w:t>
      </w:r>
      <w:r w:rsidRPr="00722885">
        <w:rPr>
          <w:color w:val="000000" w:themeColor="text1"/>
          <w:sz w:val="16"/>
          <w:szCs w:val="16"/>
        </w:rPr>
        <w:softHyphen/>
        <w:t>мышленности А. И. Шахурин. В итоге решили не ри</w:t>
      </w:r>
      <w:r w:rsidRPr="00722885">
        <w:rPr>
          <w:color w:val="000000" w:themeColor="text1"/>
          <w:sz w:val="16"/>
          <w:szCs w:val="16"/>
        </w:rPr>
        <w:softHyphen/>
        <w:t>сковать и дождаться результатов государственных испытаний самолета (17500).</w:t>
      </w:r>
    </w:p>
    <w:p w14:paraId="7A068997" w14:textId="77777777" w:rsidR="00CA398D" w:rsidRPr="00722885" w:rsidRDefault="00CA398D" w:rsidP="00722885">
      <w:pPr>
        <w:pStyle w:val="12a"/>
        <w:shd w:val="clear" w:color="auto" w:fill="auto"/>
        <w:spacing w:after="0" w:line="240" w:lineRule="auto"/>
        <w:jc w:val="both"/>
        <w:rPr>
          <w:color w:val="000000" w:themeColor="text1"/>
          <w:sz w:val="16"/>
          <w:szCs w:val="16"/>
        </w:rPr>
      </w:pPr>
    </w:p>
    <w:p w14:paraId="67D952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октября 1942 вышел приказ НКАП N 772с:</w:t>
      </w:r>
    </w:p>
    <w:p w14:paraId="174D40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внедрения антиобледенителей на самолетах Ил-4, Пе-8 и Ли-2 в серийное производство и обеспечения ими частей АДД-ВВС:</w:t>
      </w:r>
    </w:p>
    <w:p w14:paraId="09A8BD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Директору завода 23 Иосилович:</w:t>
      </w:r>
    </w:p>
    <w:p w14:paraId="297B27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закончить оборудование самолета Ил-4 термическими противообледенителями к 25 октября и испытать его в летных условиях совместно с НИИ ВВС и ЛИИ к 1 ноября 1942</w:t>
      </w:r>
    </w:p>
    <w:p w14:paraId="74B59B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внедрить в серийное производство термические обледенители на самолетах Ил-4 с металлическим крылом с 15 ноября 1942</w:t>
      </w:r>
    </w:p>
    <w:p w14:paraId="762264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отработать к 10 ноября 1942 совместно с ГК С.В.И. и ЛИИ термические антиобледенители на самолете Ил-4 с деревянными крыльями</w:t>
      </w:r>
    </w:p>
    <w:p w14:paraId="206B4B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Директору завода 126 Тимофееву с 25 октября 1942 и по 10 декабря 1942 выпустить 80 самолетов Ил-4 с жидкостными антиобледенителями, а с 10 декабря выпускать самолеты с термическими антиобледенителями по чертежам завода 23</w:t>
      </w:r>
    </w:p>
    <w:p w14:paraId="4F2EE1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Директору завода 84 Ярунину:</w:t>
      </w:r>
    </w:p>
    <w:p w14:paraId="548AC6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с 25 октября 1942 выпускать самолеты Ли-2 с антиобледенителями, принятыми ВВС</w:t>
      </w:r>
    </w:p>
    <w:p w14:paraId="6AE638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разработать к 1 декабря 1942 совместно с ЛИИ термические антиобледенители на хвостовое оперение</w:t>
      </w:r>
    </w:p>
    <w:p w14:paraId="1D0656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Директору завода 22 Окулову:</w:t>
      </w:r>
    </w:p>
    <w:p w14:paraId="172FE2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выпускать с 25 октября 1942 самолеты Пе-8 с АМ-35А с термическими антиобледенителями на кромку крыла, принятыми ВВС</w:t>
      </w:r>
    </w:p>
    <w:p w14:paraId="23142F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разработать совместно с ЛИИ к 1 декабря 1942 термические антиобледенители на крылья и хвостовое оперение самолета Пе-8 с М-82</w:t>
      </w:r>
    </w:p>
    <w:p w14:paraId="586811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оборудовать к 1 февраля 1943 антиобледенителями, принятыми ВВС, 15 самолетов Пе-8, находящихся в АДД (1595,11).</w:t>
      </w:r>
    </w:p>
    <w:p w14:paraId="2B6D1091" w14:textId="77777777" w:rsidR="00090C9B" w:rsidRPr="00722885" w:rsidRDefault="00090C9B" w:rsidP="00722885">
      <w:pPr>
        <w:pStyle w:val="Iauiue"/>
        <w:jc w:val="both"/>
        <w:rPr>
          <w:color w:val="000000" w:themeColor="text1"/>
          <w:sz w:val="16"/>
          <w:szCs w:val="16"/>
        </w:rPr>
      </w:pPr>
    </w:p>
    <w:p w14:paraId="122150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октября 1942 Зам. нач. ЛИИ НКАП А.В.Чесалов утвердил Отчет о рез-тах летных испытаний Пе-2 N 19/78 с лобовым сопротивлением, уменьшенным по рекомендациям ЦАГИ производства завода № 22 апреля-мая 1942, которые проходили в сентябре 1942 (810,3).</w:t>
      </w:r>
    </w:p>
    <w:p w14:paraId="23230F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и М.И.Хейфец</w:t>
      </w:r>
    </w:p>
    <w:p w14:paraId="1320B9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л М.Л.Галлай</w:t>
      </w:r>
    </w:p>
    <w:p w14:paraId="69749C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Объект испытаний</w:t>
      </w:r>
    </w:p>
    <w:p w14:paraId="39AA61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Пе-2 № 19/78 производства завода № 22 апреля-мая 1942 подвергнут проверочным испытаниям в Казанском филиале ЛИИ (Отчет об испытаниях серийного с-та Пе-2 № 19-78 выпуска мая 1942, вед. и А.Е.Брук)</w:t>
      </w:r>
    </w:p>
    <w:p w14:paraId="5859F3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испытаниях было установлено, что с-т Пе-2 № 19-78 значительно отличается от с-тов первых серий по качеству выполнения:</w:t>
      </w:r>
    </w:p>
    <w:p w14:paraId="0DEEF0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поверхность крыла неровная и образует продольные и поперечные волны, концы слальных лент у задней кромки крыла образуют щели шириной 10х60 мм</w:t>
      </w:r>
    </w:p>
    <w:p w14:paraId="2287D4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посадочные щитки плохо подогнаны и в верхнем состоянии образуют уступ высотой 3-5 мм</w:t>
      </w:r>
    </w:p>
    <w:p w14:paraId="4FF160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задняя кромка крыла между мотогондолой и фюзеляжем долстигает толщины примерно 20 мм</w:t>
      </w:r>
    </w:p>
    <w:p w14:paraId="7A1BEB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лючки на нижней части крыла и меют зазоры до 3-5 мм</w:t>
      </w:r>
    </w:p>
    <w:p w14:paraId="1C2B075C"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в полете отсасывает лючек горловины б/б на 5 мм</w:t>
      </w:r>
    </w:p>
    <w:p w14:paraId="39C60ABF"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поверхность фюзеляжа не ровная, на местах проклейки - волны</w:t>
      </w:r>
    </w:p>
    <w:p w14:paraId="7D970F4F"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зализ стабилизатора плохо подогнан</w:t>
      </w:r>
    </w:p>
    <w:p w14:paraId="2733464F"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бомболюки полностью не закрываются, образуя зазор в 6 мм при стоянке на земле и 8-9 мм в полете</w:t>
      </w:r>
    </w:p>
    <w:p w14:paraId="751CFADF"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задний обтекатель фонаря кабины смещен в бок, вследствие чего получаются уступы до 15 мм. Щель между замком и обтекателем имеет ширину порядка 10 мм и т.д. и т.п.</w:t>
      </w:r>
    </w:p>
    <w:p w14:paraId="73D1235C"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После окончания летных испытаний в Казани с-т был передан в 1 лабораторию ЦАГИ для продувки а трубе Т-101. На основе продувок был начемен ряд мероприятий, позволяющих снизить Сх на 0,0042.</w:t>
      </w:r>
    </w:p>
    <w:p w14:paraId="3946856C"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Из числа намеченных улучшений на с-те Пе-2 № 19-78 были проведены следующие мероприятия:</w:t>
      </w:r>
    </w:p>
    <w:p w14:paraId="61794398"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поверхность крыла выправлена нитрошпаклевкой по шаблонам и покрыта нитрокраской при помощи пульверизатора</w:t>
      </w:r>
    </w:p>
    <w:p w14:paraId="04230360"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обеспечено полное поджатие к крылу посадочных щитков по всему размаху и уничтожен выступ у передней кромки щитков, а также около мотогондолы и фюзеляжа</w:t>
      </w:r>
    </w:p>
    <w:p w14:paraId="4E453598"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уменьшены боковые щели между элероном и крылом, а также щели между внешними и внутренними частями элерона</w:t>
      </w:r>
    </w:p>
    <w:p w14:paraId="5025D924"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выправлены стыковочные ленты</w:t>
      </w:r>
    </w:p>
    <w:p w14:paraId="57081A82"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проверена и улучшена герметизация водорадиатора</w:t>
      </w:r>
    </w:p>
    <w:p w14:paraId="6CEDE4A9"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удалены уступы, щели между другими элементами конструкции. Поверхность капотов выправлена выколоткой</w:t>
      </w:r>
    </w:p>
    <w:p w14:paraId="7D6A15C3"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проведена герметизация капотов путем постановки в местах стыка крышек капота скользящих металлических прокладок</w:t>
      </w:r>
    </w:p>
    <w:p w14:paraId="69D1C91B"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проведена и улучшена герметизация тоннелей маслорадиатора. Улучшена аэродинамика входного отверстия тоннеля</w:t>
      </w:r>
    </w:p>
    <w:p w14:paraId="301D06F9"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 проведена герметизация фюзеляжа, мотогондол, куполов шасси и хвостового колеса (люков)</w:t>
      </w:r>
    </w:p>
    <w:p w14:paraId="64A14317"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lastRenderedPageBreak/>
        <w:t>Весь с-т был окрашен заново нитрокраской при помощи стабилизатора.</w:t>
      </w:r>
    </w:p>
    <w:p w14:paraId="1997B1E2"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После этого, он был передан в ЛИИ для летных испытаний.</w:t>
      </w:r>
    </w:p>
    <w:p w14:paraId="6B8FED7C"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Результаты испытаний:</w:t>
      </w:r>
    </w:p>
    <w:p w14:paraId="0B96ABB5"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Испытывался при полетном весе 7650 кг</w:t>
      </w:r>
    </w:p>
    <w:p w14:paraId="2E45E365"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Выводы:</w:t>
      </w:r>
    </w:p>
    <w:p w14:paraId="4A316CB6"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1. Улучшение внешней отделки с-та качества стыковки отдельных деталей и узлов и герметизация фюзеляжа и мотогондол значительно снизили общее лобовое сопрпотивление с-та. Это привело к увеличению максимальной скорости на 25-28 км/час.</w:t>
      </w:r>
    </w:p>
    <w:p w14:paraId="652465D8"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2. Изменение профилировки тоннелей маслорадиаторов улучшило охлаждение масла и позволило производить набор высоты при 100-105 гр, при открытии совков маслорадиаторов на 67-75 при температуре, превышающей стандартную на 10 гр.</w:t>
      </w:r>
    </w:p>
    <w:p w14:paraId="4064069B" w14:textId="77777777" w:rsidR="00090C9B" w:rsidRPr="00722885" w:rsidRDefault="00090C9B" w:rsidP="00722885">
      <w:pPr>
        <w:pStyle w:val="Iauiue"/>
        <w:widowControl/>
        <w:jc w:val="both"/>
        <w:rPr>
          <w:color w:val="000000" w:themeColor="text1"/>
          <w:sz w:val="16"/>
          <w:szCs w:val="16"/>
        </w:rPr>
      </w:pPr>
      <w:r w:rsidRPr="00722885">
        <w:rPr>
          <w:color w:val="000000" w:themeColor="text1"/>
          <w:sz w:val="16"/>
          <w:szCs w:val="16"/>
        </w:rPr>
        <w:t>Подписали и.о. нач. 2 лаб. ЛИИ В.Н.Сагинов и вед. исп. М.И.Хейфец 12 октября 1942 (810,3).</w:t>
      </w:r>
    </w:p>
    <w:p w14:paraId="585E3ACE" w14:textId="77777777" w:rsidR="00090C9B" w:rsidRPr="00722885" w:rsidRDefault="00090C9B" w:rsidP="00722885">
      <w:pPr>
        <w:pStyle w:val="Iauiue"/>
        <w:widowControl/>
        <w:jc w:val="both"/>
        <w:rPr>
          <w:color w:val="000000" w:themeColor="text1"/>
          <w:sz w:val="16"/>
          <w:szCs w:val="16"/>
        </w:rPr>
      </w:pPr>
    </w:p>
    <w:p w14:paraId="3202CA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г. из ПОСТАНОВЛЕНИЯ БЮРО НОВОСИБИРСКОГО ОБКОМА ВКЩб) «О КАЧЕСТВЕ ВЫПУСКАЕМЫХ САМОЛЕТОВ ЯК-7Б ЗАВОДОМ № 153»</w:t>
      </w:r>
    </w:p>
    <w:p w14:paraId="301201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Особая папка</w:t>
      </w:r>
    </w:p>
    <w:p w14:paraId="3DCD82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Бюро обкома ВКП(б) устанавливает, что за последнее время директор завода № 153 т. Романов и главный инженер т. Тер-Маркарян ослабили внимание к вопросам повышения качества выпускаемых самолетов и не принимают необходимых оперативных мер по устранению обнаруженных дефектов, а также укреплению технологической дисциплины и борьбе с бракоделами. В результате нетерпимого положения с качеством продукции в августе и сентябре месяцах (по причине недоброкачественного изготовления крыльев) имела место катастрофа двух самолетов и снятие шести самолетов с полетов. Вследствие неправильной эксплуатации и отсутствия работы по профилактике брака только за III квартал с.г. сожжено семь моторов. При испытании самолетов до сего времени обнаруживается засорение проводки масло- и бензосистем от попадания стружки с посторонних предметов. Дефекты на машинах и дефекты по рекламациям, поступающие из действующей армии, устраняются крайне медленно - по 2-2,5 месяца. Потеря скорости самолета на 30 километров, обнаруженная при испытании заводской машины (по причине ухудшения производственного выполнения), должна была явиться чрезвычайным происшествием для завода. Однако этот факт не вызвал тревоги у руководителей и не явился причиной мобилизации коллектива рабочих и ИТР завода, направленной на коренное улучшение качества продукции и восстановление потерянной скорости. Аппарат ОТК, призванный на борьбу за высокое качество продукции, в своей практической работе сжился с производственным аппаратом цехов - отделов и не предъявляет к нему жестких требований по вопросам улучшения качества продукции. Бюро обкома ВКП(б) не может в дальнейшем мириться с подобными ненормальными фактами и не допустит дискредитации самолета ЯК-7Б, являющегося по своей конструкции лучшим современным истребителем, завоевавшим только положительные отзывы в действующих частях воздушного флота. В целях повышения качества выпускаемых самолетов на заводе № 153 бюро обкома ВКП(б) ПОСТАНОВЛЯЕТ:</w:t>
      </w:r>
    </w:p>
    <w:p w14:paraId="101327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Предупредить директора завода т. Романова и главного инженера т. Тер-Маркаряна, что если они не устранят в октябре месяце указанных дефектов и допустят выпуск недоброкачественных самолетов, они будут привлечены к ответственности.</w:t>
      </w:r>
    </w:p>
    <w:p w14:paraId="49E17D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директора завода т. Романова укрепить руководство отдела технического контроля путем подбора на руководящие должности ОТК лучших работников из ИТР, способных предъявлять жесткие требования к качеству продукции.</w:t>
      </w:r>
    </w:p>
    <w:p w14:paraId="6A92CE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Возложить на члена ВКП(б) летчика-испытателя т. Девотченко контроль за осуществлением мероприятий заводоуправления по улучшению качества самолетов и систематически докладывать обкому о всех недостатках в вопросах качества продукции.</w:t>
      </w:r>
    </w:p>
    <w:p w14:paraId="1D1522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Обязать старшего военпреда завода т. Быкова усилить требования к руководству завода в вопросах повышения качества выпускаемых самолетов.</w:t>
      </w:r>
    </w:p>
    <w:p w14:paraId="4EC876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Поручить парторгу ЦК ВКП(б) т. Однолеткову разработать план партийно-массовой работы по мобилизации коммунистов и коллектива завода на вопросы борьбы за качество продукции, считая эту работу основной и главной для всей парторганизации завода.</w:t>
      </w:r>
    </w:p>
    <w:p w14:paraId="7B68EA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Новосибирского обкома ВКП(б) М. Кулагин</w:t>
      </w:r>
    </w:p>
    <w:p w14:paraId="02FE6B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Оп. 33. Д. 665.в.. Л. 100-103. Подлинник (12193).</w:t>
      </w:r>
    </w:p>
    <w:p w14:paraId="757B33D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2800C03"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15 октября 1942 удалось выполнить первый полет на ТИС по программе второ</w:t>
      </w:r>
      <w:r w:rsidRPr="00722885">
        <w:rPr>
          <w:rFonts w:ascii="Times New Roman" w:cs="Times New Roman"/>
          <w:color w:val="000000" w:themeColor="text1"/>
          <w:spacing w:val="0"/>
        </w:rPr>
        <w:softHyphen/>
        <w:t>го этапа совместных испытаний. Мото</w:t>
      </w:r>
      <w:r w:rsidRPr="00722885">
        <w:rPr>
          <w:rFonts w:ascii="Times New Roman" w:cs="Times New Roman"/>
          <w:color w:val="000000" w:themeColor="text1"/>
          <w:spacing w:val="0"/>
        </w:rPr>
        <w:softHyphen/>
        <w:t>ры АМ-37 работали все также ненадеж</w:t>
      </w:r>
      <w:r w:rsidRPr="00722885">
        <w:rPr>
          <w:rFonts w:ascii="Times New Roman" w:cs="Times New Roman"/>
          <w:color w:val="000000" w:themeColor="text1"/>
          <w:spacing w:val="0"/>
        </w:rPr>
        <w:softHyphen/>
        <w:t>но, как и прежде. В то же время ОКБ Микулина совершенно не уделяло вре</w:t>
      </w:r>
      <w:r w:rsidRPr="00722885">
        <w:rPr>
          <w:rFonts w:ascii="Times New Roman" w:cs="Times New Roman"/>
          <w:color w:val="000000" w:themeColor="text1"/>
          <w:spacing w:val="0"/>
        </w:rPr>
        <w:softHyphen/>
        <w:t>мени этим моторам, фактически отка</w:t>
      </w:r>
      <w:r w:rsidRPr="00722885">
        <w:rPr>
          <w:rFonts w:ascii="Times New Roman" w:cs="Times New Roman"/>
          <w:color w:val="000000" w:themeColor="text1"/>
          <w:spacing w:val="0"/>
        </w:rPr>
        <w:softHyphen/>
        <w:t>зав в технической помощи заводу №51. Испытания затянулись. Вскоре стала очевидной бесперспективность рабо</w:t>
      </w:r>
      <w:r w:rsidRPr="00722885">
        <w:rPr>
          <w:rFonts w:ascii="Times New Roman" w:cs="Times New Roman"/>
          <w:color w:val="000000" w:themeColor="text1"/>
          <w:spacing w:val="0"/>
        </w:rPr>
        <w:softHyphen/>
        <w:t>ты с имевшимися в распоряжении ОКБ Поликарпова экземплярами мотора АМ-37. В последних числах февраля 1943 г. ТИС (2А) вновь поставили на кон</w:t>
      </w:r>
      <w:r w:rsidRPr="00722885">
        <w:rPr>
          <w:rFonts w:ascii="Times New Roman" w:cs="Times New Roman"/>
          <w:color w:val="000000" w:themeColor="text1"/>
          <w:spacing w:val="0"/>
        </w:rPr>
        <w:softHyphen/>
        <w:t>сервацию. Как оказалось, на 2,5 месяца (15755).</w:t>
      </w:r>
    </w:p>
    <w:p w14:paraId="555977ED"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p>
    <w:p w14:paraId="645A98B6" w14:textId="77777777" w:rsidR="00CA398D" w:rsidRPr="00722885" w:rsidRDefault="00CA398D"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15 октября 1942 удалось выполнить первый по</w:t>
      </w:r>
      <w:r w:rsidRPr="00722885">
        <w:rPr>
          <w:color w:val="000000" w:themeColor="text1"/>
          <w:sz w:val="16"/>
          <w:szCs w:val="16"/>
        </w:rPr>
        <w:softHyphen/>
        <w:t>лет на ТИС по программе второго этапа совместных ис</w:t>
      </w:r>
      <w:r w:rsidRPr="00722885">
        <w:rPr>
          <w:color w:val="000000" w:themeColor="text1"/>
          <w:sz w:val="16"/>
          <w:szCs w:val="16"/>
        </w:rPr>
        <w:softHyphen/>
        <w:t>пытаний. Моторы АМ-37 работали все так же нена</w:t>
      </w:r>
      <w:r w:rsidRPr="00722885">
        <w:rPr>
          <w:color w:val="000000" w:themeColor="text1"/>
          <w:sz w:val="16"/>
          <w:szCs w:val="16"/>
        </w:rPr>
        <w:softHyphen/>
        <w:t>дежно, как и прежде. В то же время ОКБ Микулина совершенно не уделяло времени этим моторам, фактически отказав в технической помощи заво</w:t>
      </w:r>
      <w:r w:rsidRPr="00722885">
        <w:rPr>
          <w:color w:val="000000" w:themeColor="text1"/>
          <w:sz w:val="16"/>
          <w:szCs w:val="16"/>
        </w:rPr>
        <w:softHyphen/>
        <w:t>ду № 51. Испытания затянулись. Вскоре стала оче</w:t>
      </w:r>
      <w:r w:rsidRPr="00722885">
        <w:rPr>
          <w:color w:val="000000" w:themeColor="text1"/>
          <w:sz w:val="16"/>
          <w:szCs w:val="16"/>
        </w:rPr>
        <w:softHyphen/>
        <w:t>видной бесперспективность работы с имевшимися в распоряжении ОКБ Поликарпова экземплярами мотора АМ-37. В последних числах февраля 1943 г. ТИС (2А) вновь поставили на консервацию. Как ока</w:t>
      </w:r>
      <w:r w:rsidRPr="00722885">
        <w:rPr>
          <w:color w:val="000000" w:themeColor="text1"/>
          <w:sz w:val="16"/>
          <w:szCs w:val="16"/>
        </w:rPr>
        <w:softHyphen/>
        <w:t>залось, на 2,5 месяца (17500).</w:t>
      </w:r>
    </w:p>
    <w:p w14:paraId="02A16140" w14:textId="77777777" w:rsidR="00CA398D" w:rsidRPr="00722885" w:rsidRDefault="00CA398D" w:rsidP="00722885">
      <w:pPr>
        <w:spacing w:after="0" w:line="240" w:lineRule="auto"/>
        <w:jc w:val="both"/>
        <w:rPr>
          <w:rFonts w:ascii="Times New Roman" w:eastAsia="Times New Roman" w:hAnsi="Times New Roman"/>
          <w:color w:val="000000" w:themeColor="text1"/>
          <w:sz w:val="16"/>
          <w:szCs w:val="16"/>
          <w:lang w:eastAsia="ru-RU"/>
        </w:rPr>
      </w:pPr>
    </w:p>
    <w:p w14:paraId="041C93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г. по приказу № 774с для развития работ по деревянным ВИШ было образовано ОКБ при заводе № 383 (ОКБ завода № 383 НКАП, ГС ОКБ-383 МАП, ГКАТ, Агрегатное КБ (АКБ) «Кристалл», А-5283, ОАО «ОКБ «Кристалл» /111024  г. Москва пр. Энтузиастов, 15 тел. 273-25-33/).</w:t>
      </w:r>
    </w:p>
    <w:p w14:paraId="5758C7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522с от 31.08.1943 г. переведен и влит в состав ОКБ-383 личный состав (6 чел.) ликвидированного ОКБ-167 НКАП.</w:t>
      </w:r>
    </w:p>
    <w:p w14:paraId="03F14B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плохой организации и постановки работ (до 1946 г. не было сдано в эксплуатацию ни одного винта) Гришин был снят с должности и гл. конструктором назначен  Г.И. Кузьмин.</w:t>
      </w:r>
    </w:p>
    <w:p w14:paraId="5AEB1E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КБ поставлено 20 трофейных металлорежущих станков.</w:t>
      </w:r>
    </w:p>
    <w:p w14:paraId="0907D2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профиль ОКБ изменился: началась разработка топливных агрегатов для РД. Однако, есть упоминание о разработке винтов (1953 г.). В 08.1957 г. ОКБ завода выделено в самостоятельное ГС ОКБ-383 - в ведении ЗГУ МАП.</w:t>
      </w:r>
    </w:p>
    <w:p w14:paraId="0C21FE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Принимало участие в программе создания ОК «Буран».</w:t>
      </w:r>
    </w:p>
    <w:p w14:paraId="0F3A4F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(1990-е  г.): разработка: турбонасосов для ВСУ; насосов: для систем дозаправки в воздухе, баковых электроприводных, струйных, топливных для двигателей, для САУ ТРД, герметичных с магнитными муфтами; аварийных ветродвигателей для гидросистем, воздушных центробежных компрессоров для бытовых систем Ту- 204 и Ил-96; криогенные насосы для сжиженных газов. Кроме того (2002 г.): гидролопаточные привод- генераторы, турбоприводные агрегаты.</w:t>
      </w:r>
    </w:p>
    <w:p w14:paraId="4AFF3F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Имело наименование «п/я А-5283». В 03.1995 г. преобразовано в ОАО «ОКБ «Кристалл». В 2000 г. ОКБ получило государственную аккредитацию как научная организация. Головной разработчик (2005 г.) сложных авиационных агрегатов.</w:t>
      </w:r>
    </w:p>
    <w:p w14:paraId="3D3748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CE7AB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(10.1942-03.1946 г.)- А.В. Гришин. Директор (1990-е)- Е.П. Жуков. Гендиректор (1999-2007 г.-)- В.П. Родионов.</w:t>
      </w:r>
    </w:p>
    <w:p w14:paraId="2EB6E2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(10.1942-03.1946 г.)- А.В. Гришин, (03.1946-47 г.-)-  Г.И. Кузьмин, (1949-68 г.)-  Г.М. Заславский, (1968-78 г.)- В.А. Орлов, (1979-99 г.)- Е.П. Жуков. Ген. Конструктор (1999-2005 г.-&gt; В.П. Родионов.</w:t>
      </w:r>
      <w:r w:rsidRPr="00722885">
        <w:rPr>
          <w:rFonts w:ascii="Times New Roman" w:hAnsi="Times New Roman"/>
          <w:color w:val="000000" w:themeColor="text1"/>
          <w:sz w:val="16"/>
          <w:szCs w:val="16"/>
          <w:vertAlign w:val="superscript"/>
        </w:rPr>
        <w:t>101</w:t>
      </w:r>
      <w:r w:rsidRPr="00722885">
        <w:rPr>
          <w:rFonts w:ascii="Times New Roman" w:hAnsi="Times New Roman"/>
          <w:color w:val="000000" w:themeColor="text1"/>
          <w:sz w:val="16"/>
          <w:szCs w:val="16"/>
        </w:rPr>
        <w:t xml:space="preserve"> Гл. конструктор (2007 г.)- В.П. Родионов.</w:t>
      </w:r>
    </w:p>
    <w:p w14:paraId="391AC6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w:t>
      </w:r>
      <w:r w:rsidRPr="00722885">
        <w:rPr>
          <w:rFonts w:ascii="Times New Roman" w:hAnsi="Times New Roman"/>
          <w:color w:val="000000" w:themeColor="text1"/>
          <w:sz w:val="16"/>
          <w:szCs w:val="16"/>
        </w:rPr>
        <w:t xml:space="preserve"> топливные насосы: для РД-012, ТНГА для СПВРД ракеты П-700 (проект); турбонасосный агрегат ТНА-150; аварийная гидростанция ВД-004В (2002) (11982).</w:t>
      </w:r>
    </w:p>
    <w:p w14:paraId="534D2CF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2C2B7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15 октября 1942 г. по приказу № 772с на заводе № 456 (ГС Завод № 456 НКАП, МАП, </w:t>
      </w:r>
      <w:r w:rsidRPr="00722885">
        <w:rPr>
          <w:rFonts w:ascii="Times New Roman" w:hAnsi="Times New Roman"/>
          <w:color w:val="000000" w:themeColor="text1"/>
          <w:sz w:val="16"/>
          <w:szCs w:val="16"/>
          <w:lang w:val="en-US"/>
        </w:rPr>
        <w:t>MB</w:t>
      </w:r>
      <w:r w:rsidRPr="00722885">
        <w:rPr>
          <w:rFonts w:ascii="Times New Roman" w:hAnsi="Times New Roman"/>
          <w:color w:val="000000" w:themeColor="text1"/>
          <w:sz w:val="16"/>
          <w:szCs w:val="16"/>
        </w:rPr>
        <w:t xml:space="preserve">, МОП, </w:t>
      </w:r>
      <w:r w:rsidRPr="00722885">
        <w:rPr>
          <w:rFonts w:ascii="Times New Roman" w:hAnsi="Times New Roman"/>
          <w:color w:val="000000" w:themeColor="text1"/>
          <w:sz w:val="16"/>
          <w:szCs w:val="16"/>
          <w:lang w:val="en-US"/>
        </w:rPr>
        <w:t>MOM</w:t>
      </w:r>
      <w:r w:rsidRPr="00722885">
        <w:rPr>
          <w:rFonts w:ascii="Times New Roman" w:hAnsi="Times New Roman"/>
          <w:color w:val="000000" w:themeColor="text1"/>
          <w:sz w:val="16"/>
          <w:szCs w:val="16"/>
        </w:rPr>
        <w:t xml:space="preserve">, Опытный завод энергетического машиностроения (ОЗЭМ) </w:t>
      </w:r>
      <w:r w:rsidRPr="00722885">
        <w:rPr>
          <w:rFonts w:ascii="Times New Roman" w:hAnsi="Times New Roman"/>
          <w:color w:val="000000" w:themeColor="text1"/>
          <w:sz w:val="16"/>
          <w:szCs w:val="16"/>
          <w:lang w:val="en-US"/>
        </w:rPr>
        <w:t>MOM</w:t>
      </w:r>
      <w:r w:rsidRPr="00722885">
        <w:rPr>
          <w:rFonts w:ascii="Times New Roman" w:hAnsi="Times New Roman"/>
          <w:color w:val="000000" w:themeColor="text1"/>
          <w:sz w:val="16"/>
          <w:szCs w:val="16"/>
        </w:rPr>
        <w:t xml:space="preserve"> /г. Химки Московской обл./) создано ОКБ завода № 456 НКАП гл. конструктора М.Ф. Поликарпова Работы по антиобледенителям и аппаратуре обогрева и жизнеобеспечения кабин. Гл. конструктор- М.Ф. Поликарпов.</w:t>
      </w:r>
    </w:p>
    <w:p w14:paraId="12FA23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Приказом № 377с от 25.06.1943 г. ОКБ в полном составе влито в НИСО (11982).</w:t>
      </w:r>
    </w:p>
    <w:p w14:paraId="21204EB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F77BE61" w14:textId="77777777" w:rsidR="009C7A79" w:rsidRPr="00722885" w:rsidRDefault="009C7A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15 октября 1942 г. главным инженером ВВС КА генерал-лейтенантом Репиным был утвержден от</w:t>
      </w:r>
      <w:r w:rsidRPr="00722885">
        <w:rPr>
          <w:color w:val="000000" w:themeColor="text1"/>
          <w:sz w:val="16"/>
          <w:szCs w:val="16"/>
        </w:rPr>
        <w:softHyphen/>
        <w:t>чет по испытаниям на НИП АВ зажигательных ампул АЖ-2, снаряженных штатной огнеметной смесью. Испытания были проведены в течение всего одно</w:t>
      </w:r>
      <w:r w:rsidRPr="00722885">
        <w:rPr>
          <w:color w:val="000000" w:themeColor="text1"/>
          <w:sz w:val="16"/>
          <w:szCs w:val="16"/>
        </w:rPr>
        <w:softHyphen/>
        <w:t>го дня: 12 сентября. Ответственным по испытаниям был инженер-подполковник Рублев.</w:t>
      </w:r>
    </w:p>
    <w:p w14:paraId="5FCF8686" w14:textId="77777777" w:rsidR="009C7A79" w:rsidRPr="00722885" w:rsidRDefault="009C7A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Зажигательная ампула представляла собой штатную ампулу АЖ-2, в наливное отверстие кото</w:t>
      </w:r>
      <w:r w:rsidRPr="00722885">
        <w:rPr>
          <w:color w:val="000000" w:themeColor="text1"/>
          <w:sz w:val="16"/>
          <w:szCs w:val="16"/>
        </w:rPr>
        <w:softHyphen/>
        <w:t>рой вместо пробки завертывается воспламенитель. Для стабилизации ампулы в полете пробкой вниз к оболочке ампулы эмалитовым лаком приклеивал</w:t>
      </w:r>
      <w:r w:rsidRPr="00722885">
        <w:rPr>
          <w:color w:val="000000" w:themeColor="text1"/>
          <w:sz w:val="16"/>
          <w:szCs w:val="16"/>
        </w:rPr>
        <w:softHyphen/>
        <w:t>ся стабилизатор из полотняной ленты размерами 50x200 мм.</w:t>
      </w:r>
    </w:p>
    <w:p w14:paraId="3768A31D" w14:textId="77777777" w:rsidR="009C7A79" w:rsidRPr="00722885" w:rsidRDefault="009C7A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Ампулы загружались в кассеты мелких бомб самолета Ил-2. Всего было сброшено 390 ам</w:t>
      </w:r>
      <w:r w:rsidRPr="00722885">
        <w:rPr>
          <w:color w:val="000000" w:themeColor="text1"/>
          <w:sz w:val="16"/>
          <w:szCs w:val="16"/>
        </w:rPr>
        <w:softHyphen/>
        <w:t>пул. Сброс ампул выполнялся с высоты 50, 100, 200 и 500 м. Площадь поражения с высоты 500 м достигала 7200 м</w:t>
      </w:r>
      <w:r w:rsidRPr="00722885">
        <w:rPr>
          <w:color w:val="000000" w:themeColor="text1"/>
          <w:sz w:val="16"/>
          <w:szCs w:val="16"/>
          <w:vertAlign w:val="superscript"/>
        </w:rPr>
        <w:t>2</w:t>
      </w:r>
      <w:r w:rsidRPr="00722885">
        <w:rPr>
          <w:color w:val="000000" w:themeColor="text1"/>
          <w:sz w:val="16"/>
          <w:szCs w:val="16"/>
        </w:rPr>
        <w:t>, с 200 м — 3700 м</w:t>
      </w:r>
      <w:r w:rsidRPr="00722885">
        <w:rPr>
          <w:color w:val="000000" w:themeColor="text1"/>
          <w:sz w:val="16"/>
          <w:szCs w:val="16"/>
          <w:vertAlign w:val="superscript"/>
        </w:rPr>
        <w:t>2</w:t>
      </w:r>
      <w:r w:rsidRPr="00722885">
        <w:rPr>
          <w:color w:val="000000" w:themeColor="text1"/>
          <w:sz w:val="16"/>
          <w:szCs w:val="16"/>
        </w:rPr>
        <w:t>, со 100 м — 2915 м</w:t>
      </w:r>
      <w:r w:rsidRPr="00722885">
        <w:rPr>
          <w:color w:val="000000" w:themeColor="text1"/>
          <w:sz w:val="16"/>
          <w:szCs w:val="16"/>
          <w:vertAlign w:val="superscript"/>
        </w:rPr>
        <w:t>2</w:t>
      </w:r>
      <w:r w:rsidRPr="00722885">
        <w:rPr>
          <w:color w:val="000000" w:themeColor="text1"/>
          <w:sz w:val="16"/>
          <w:szCs w:val="16"/>
        </w:rPr>
        <w:t xml:space="preserve"> и с 50 м — 1250 м </w:t>
      </w:r>
      <w:r w:rsidRPr="00722885">
        <w:rPr>
          <w:color w:val="000000" w:themeColor="text1"/>
          <w:sz w:val="16"/>
          <w:szCs w:val="16"/>
          <w:vertAlign w:val="superscript"/>
        </w:rPr>
        <w:t>2</w:t>
      </w:r>
      <w:r w:rsidRPr="00722885">
        <w:rPr>
          <w:color w:val="000000" w:themeColor="text1"/>
          <w:sz w:val="16"/>
          <w:szCs w:val="16"/>
        </w:rPr>
        <w:t xml:space="preserve"> . При падении ампул «пробкой вниз капсюль гильзы воспламеняется от накола жалом и зажигает фотосмесь, которая в свою очередь воспламеняет огнесмесь и разры</w:t>
      </w:r>
      <w:r w:rsidRPr="00722885">
        <w:rPr>
          <w:color w:val="000000" w:themeColor="text1"/>
          <w:sz w:val="16"/>
          <w:szCs w:val="16"/>
        </w:rPr>
        <w:softHyphen/>
        <w:t>вает оболочку ампулы». При этом «разбрызгивание огнеметной смеси ампул происходит в виде отдель</w:t>
      </w:r>
      <w:r w:rsidRPr="00722885">
        <w:rPr>
          <w:color w:val="000000" w:themeColor="text1"/>
          <w:sz w:val="16"/>
          <w:szCs w:val="16"/>
        </w:rPr>
        <w:softHyphen/>
        <w:t>ных лучей с удалением от места падения ампул на 2—6 м».</w:t>
      </w:r>
    </w:p>
    <w:p w14:paraId="4446609C" w14:textId="77777777" w:rsidR="009C7A79" w:rsidRPr="00722885" w:rsidRDefault="009C7A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Надежность действия оценивалась положитель</w:t>
      </w:r>
      <w:r w:rsidRPr="00722885">
        <w:rPr>
          <w:color w:val="000000" w:themeColor="text1"/>
          <w:sz w:val="16"/>
          <w:szCs w:val="16"/>
        </w:rPr>
        <w:softHyphen/>
        <w:t>но. При сбросе с высоты 500 м все ампулы срабаты</w:t>
      </w:r>
      <w:r w:rsidRPr="00722885">
        <w:rPr>
          <w:color w:val="000000" w:themeColor="text1"/>
          <w:sz w:val="16"/>
          <w:szCs w:val="16"/>
        </w:rPr>
        <w:softHyphen/>
        <w:t>вали полностью, отказов в действии не было, при сбросе с высоты 200 м было отмечено 6,6% отка</w:t>
      </w:r>
      <w:r w:rsidRPr="00722885">
        <w:rPr>
          <w:color w:val="000000" w:themeColor="text1"/>
          <w:sz w:val="16"/>
          <w:szCs w:val="16"/>
        </w:rPr>
        <w:softHyphen/>
        <w:t>зов, со 100 м — 14,4% отказов. При сбросе с 50 м ампулы дали неудовлетворительный результат — 17,5% отказов.</w:t>
      </w:r>
    </w:p>
    <w:p w14:paraId="5AF508AD" w14:textId="77777777" w:rsidR="009C7A79" w:rsidRPr="00722885" w:rsidRDefault="009C7A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боевым и эксплуатационным качествам ам</w:t>
      </w:r>
      <w:r w:rsidRPr="00722885">
        <w:rPr>
          <w:color w:val="000000" w:themeColor="text1"/>
          <w:sz w:val="16"/>
          <w:szCs w:val="16"/>
        </w:rPr>
        <w:softHyphen/>
        <w:t>пулы оказались заметно лучше, чем ампулы со смесью КС. Отмечалось, что огнеметная смесь «да</w:t>
      </w:r>
      <w:r w:rsidRPr="00722885">
        <w:rPr>
          <w:color w:val="000000" w:themeColor="text1"/>
          <w:sz w:val="16"/>
          <w:szCs w:val="16"/>
        </w:rPr>
        <w:softHyphen/>
        <w:t>ет очаги пожаров продолжительного горения до 10 мин и поджигает не только сухую траву, но и де</w:t>
      </w:r>
      <w:r w:rsidRPr="00722885">
        <w:rPr>
          <w:color w:val="000000" w:themeColor="text1"/>
          <w:sz w:val="16"/>
          <w:szCs w:val="16"/>
        </w:rPr>
        <w:softHyphen/>
        <w:t>ревянные постройки». Тогда как ампулы с КС «дают кратковременную вспышку пламени, от которой часто не загорается даже сухая трава и бурьян». И главное, она не самовоспламенялась, поэтому при эксплуатации ампул специальные меры безо</w:t>
      </w:r>
      <w:r w:rsidRPr="00722885">
        <w:rPr>
          <w:color w:val="000000" w:themeColor="text1"/>
          <w:sz w:val="16"/>
          <w:szCs w:val="16"/>
        </w:rPr>
        <w:softHyphen/>
        <w:t>пасности не требовались.</w:t>
      </w:r>
    </w:p>
    <w:p w14:paraId="055AC40C" w14:textId="77777777" w:rsidR="009C7A79" w:rsidRPr="00722885" w:rsidRDefault="009C7A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результатам испытаний был сделан вывод о целесообразности замены ампул АЖ-2 с КС на ампулы с огнеметной смесью. При этом в ходе про</w:t>
      </w:r>
      <w:r w:rsidRPr="00722885">
        <w:rPr>
          <w:color w:val="000000" w:themeColor="text1"/>
          <w:sz w:val="16"/>
          <w:szCs w:val="16"/>
        </w:rPr>
        <w:softHyphen/>
        <w:t>изводства необходимо было добиться «снижения % отказов воспламенителей у зажигательных ампул», а также разработать метод снаряжения, поскольку «вследствие малого наливного отверстия у ампулы и большой вязкости смеси снаряжать ампулы воз</w:t>
      </w:r>
      <w:r w:rsidRPr="00722885">
        <w:rPr>
          <w:color w:val="000000" w:themeColor="text1"/>
          <w:sz w:val="16"/>
          <w:szCs w:val="16"/>
        </w:rPr>
        <w:softHyphen/>
        <w:t>можно только под давлением» (17500).</w:t>
      </w:r>
    </w:p>
    <w:p w14:paraId="061FA2C1" w14:textId="77777777" w:rsidR="009C7A79" w:rsidRPr="00722885" w:rsidRDefault="009C7A79" w:rsidP="00722885">
      <w:pPr>
        <w:spacing w:after="0" w:line="240" w:lineRule="auto"/>
        <w:jc w:val="both"/>
        <w:rPr>
          <w:rFonts w:ascii="Times New Roman" w:hAnsi="Times New Roman"/>
          <w:color w:val="000000" w:themeColor="text1"/>
          <w:sz w:val="16"/>
          <w:szCs w:val="16"/>
        </w:rPr>
      </w:pPr>
    </w:p>
    <w:p w14:paraId="06B387E7" w14:textId="77777777" w:rsidR="009C7A79" w:rsidRPr="00722885" w:rsidRDefault="009C7A7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период с 15 октября по 24 ноября 1942 г. РБСК-82 прошел на НИП АВ повторные полигонные испытания. По результатам стрельб специалисты полигона рекомендовали принять боеприпас на вооружение ВВС КА как универсальный осколоч- но-фугасно-бронебойный снаряд. Но решения по нему так и не последовало. Ставка была сделана на мелкокалиберные противотанковые бомбы кумуля</w:t>
      </w:r>
      <w:r w:rsidRPr="00722885">
        <w:rPr>
          <w:color w:val="000000" w:themeColor="text1"/>
          <w:sz w:val="16"/>
          <w:szCs w:val="16"/>
        </w:rPr>
        <w:softHyphen/>
        <w:t>тивного действия, которые показали весьма обна</w:t>
      </w:r>
      <w:r w:rsidRPr="00722885">
        <w:rPr>
          <w:color w:val="000000" w:themeColor="text1"/>
          <w:sz w:val="16"/>
          <w:szCs w:val="16"/>
        </w:rPr>
        <w:softHyphen/>
        <w:t>деживающие результаты (17500).</w:t>
      </w:r>
    </w:p>
    <w:p w14:paraId="30716ED4" w14:textId="77777777" w:rsidR="009C7A79" w:rsidRPr="00722885" w:rsidRDefault="009C7A79" w:rsidP="00722885">
      <w:pPr>
        <w:pStyle w:val="12a"/>
        <w:shd w:val="clear" w:color="auto" w:fill="auto"/>
        <w:spacing w:after="0" w:line="240" w:lineRule="auto"/>
        <w:jc w:val="both"/>
        <w:rPr>
          <w:color w:val="000000" w:themeColor="text1"/>
          <w:sz w:val="16"/>
          <w:szCs w:val="16"/>
        </w:rPr>
      </w:pPr>
    </w:p>
    <w:p w14:paraId="0AB5808D"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период с 15 октября по 24 ноября 1942 г. РБСК-82 прошел на НИП АВ по</w:t>
      </w:r>
      <w:r w:rsidRPr="00722885">
        <w:rPr>
          <w:rFonts w:ascii="Times New Roman" w:cs="Times New Roman"/>
          <w:color w:val="000000" w:themeColor="text1"/>
          <w:spacing w:val="0"/>
        </w:rPr>
        <w:softHyphen/>
        <w:t>вторные полигонные испытания. По ре</w:t>
      </w:r>
      <w:r w:rsidRPr="00722885">
        <w:rPr>
          <w:rFonts w:ascii="Times New Roman" w:cs="Times New Roman"/>
          <w:color w:val="000000" w:themeColor="text1"/>
          <w:spacing w:val="0"/>
        </w:rPr>
        <w:softHyphen/>
        <w:t>зультатам стрельб специалисты полиго</w:t>
      </w:r>
      <w:r w:rsidRPr="00722885">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70116A46"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p>
    <w:p w14:paraId="67270374" w14:textId="77777777" w:rsidR="00F071F1" w:rsidRPr="00722885" w:rsidRDefault="00F071F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15 октября 1942 г. бронекатера-ракетоносцы № 41 и 51 получили задание поддержать огнем реактивных снарядов 138-ю стрелковую дивизию, отражавшую вражеские атаки у северной окраины поселка Латошинка. Впервые в истории советского ВМФ наземные цели поражались совместной залповой стрельбой реактивными снарядами М-13 с палуб бронекатеров. Большую помощь в подготовке к выполнению этой задачи оказал вступивший тогда в должность начальника штаба Волжской военной флотилии капитан 1 ранга М.И. Морозов (впоследствии контр-адмирал). Этот опытный артиллерист-новатор стал горячим сторонником внедрения реактивной техники на кораблях (15982).</w:t>
      </w:r>
    </w:p>
    <w:p w14:paraId="5EBC5513" w14:textId="77777777" w:rsidR="00F071F1" w:rsidRPr="00722885" w:rsidRDefault="00F071F1" w:rsidP="00722885">
      <w:pPr>
        <w:spacing w:after="0" w:line="240" w:lineRule="auto"/>
        <w:jc w:val="both"/>
        <w:rPr>
          <w:rFonts w:ascii="Times New Roman" w:eastAsia="Times New Roman" w:hAnsi="Times New Roman"/>
          <w:color w:val="000000" w:themeColor="text1"/>
          <w:sz w:val="16"/>
          <w:szCs w:val="16"/>
        </w:rPr>
      </w:pPr>
    </w:p>
    <w:p w14:paraId="7A18B53B" w14:textId="77777777" w:rsidR="00F071F1" w:rsidRPr="00722885" w:rsidRDefault="00F071F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г. вышел приказ №0166 командующего ОГ ГМЧ Черноморской группы войск Закавказского фронта (далее – ЧГВ ЗАКФ) полковника А. И. Нестеренко, в котором разъяснялось боевое применение новых установок: «…Горные батареи PC применяются для создания внезапного массированного огня по достоверно разведанным целям (по скоплению живой силы и техники противника, по отдельным узлам сопротивления и коммуникациям), в местах недоступным обычным батареям и дивизионам PC, максимально используя их высокую маневренность в горной местности…». В течение двух месяцев было изготовлено 48 горно-вьючных 8-зарядных установок М-8. По предложению командования ОГ ГМЧ Черноморской группы войск фронта для противодесантной, противолодочной и противокатерной обороны участка побережья Сочи – Туапсе разработанные ПРМ-6 более мощные 12-зарядные установки М-8 были поставлены на железнодорожные дрезины (по 2 на каждую из 4-х дрезин). Кроме того, для катеров Черноморского флота были изготовлены четыре 12-зарядные установки М-8 (15796).</w:t>
      </w:r>
    </w:p>
    <w:p w14:paraId="20ED97E4" w14:textId="77777777" w:rsidR="00F071F1" w:rsidRPr="00722885" w:rsidRDefault="00F071F1" w:rsidP="00722885">
      <w:pPr>
        <w:spacing w:after="0" w:line="240" w:lineRule="auto"/>
        <w:jc w:val="both"/>
        <w:rPr>
          <w:rFonts w:ascii="Times New Roman" w:hAnsi="Times New Roman"/>
          <w:color w:val="000000" w:themeColor="text1"/>
          <w:sz w:val="16"/>
          <w:szCs w:val="16"/>
        </w:rPr>
      </w:pPr>
    </w:p>
    <w:p w14:paraId="55E8B84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BF178D1" w14:textId="77777777" w:rsidR="00090C9B" w:rsidRPr="00722885" w:rsidRDefault="00090C9B" w:rsidP="00722885">
      <w:pPr>
        <w:pStyle w:val="Iauiue"/>
        <w:jc w:val="both"/>
        <w:rPr>
          <w:iCs/>
          <w:color w:val="000000" w:themeColor="text1"/>
          <w:sz w:val="16"/>
          <w:szCs w:val="16"/>
        </w:rPr>
      </w:pPr>
    </w:p>
    <w:p w14:paraId="59B4D6A5" w14:textId="77777777" w:rsidR="00E07874" w:rsidRPr="00722885" w:rsidRDefault="00E07874" w:rsidP="00722885">
      <w:pPr>
        <w:pStyle w:val="ae"/>
        <w:spacing w:before="0" w:after="0"/>
        <w:jc w:val="both"/>
        <w:textAlignment w:val="baseline"/>
        <w:rPr>
          <w:color w:val="000000" w:themeColor="text1"/>
          <w:sz w:val="16"/>
          <w:szCs w:val="16"/>
        </w:rPr>
      </w:pPr>
      <w:r w:rsidRPr="00722885">
        <w:rPr>
          <w:color w:val="000000" w:themeColor="text1"/>
          <w:sz w:val="16"/>
          <w:szCs w:val="16"/>
        </w:rPr>
        <w:t>С 15 по 17 октября 1942 года проходили испытания кумулятивных гранат разработки КБ-30. По результатам испытаний оказалось, что гранаты РПГ-42 имеют простую конструкцию, габаритно-весовые данные, не соответствующие чертежу, неудовлетворительное качество заливки ВВ, небезопасные предохранительные устройства и бронепробиваемость в пределах 45-55 мм. Повторных испытаний 19-21 октября доработанные гранаты не выдержали из-за неудовлетворительной бронепробиваемости при метании (45 мм, в статических условиях — 55-60 мм). Несмотря на это 3 декабря НИПСВО КА посчитал, что граната, претерпевшая минимальные изменения, полигонные испытания выдержала и может быть допущена к войсковым испытаниям (18876).</w:t>
      </w:r>
    </w:p>
    <w:p w14:paraId="099B674A" w14:textId="77777777" w:rsidR="00E07874" w:rsidRPr="00722885" w:rsidRDefault="00E07874" w:rsidP="00722885">
      <w:pPr>
        <w:pStyle w:val="ae"/>
        <w:spacing w:before="0" w:after="0"/>
        <w:jc w:val="both"/>
        <w:textAlignment w:val="baseline"/>
        <w:rPr>
          <w:color w:val="000000" w:themeColor="text1"/>
          <w:sz w:val="16"/>
          <w:szCs w:val="16"/>
        </w:rPr>
      </w:pPr>
    </w:p>
    <w:p w14:paraId="29D632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г. была закончена реконструкция Завода № 527 НКБ, п/я 68 /г. Люберцы Московской обл. п/я 68 «Пакет» (1943 г.)/В составе завода цехи (1943 г.): основные: главный корпус; вспомогательные: деревотарный, механическая мастерская, насосная, котельная.</w:t>
      </w:r>
    </w:p>
    <w:p w14:paraId="195121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12.1942 г.-введении 1ГУ НКБ, был в 11.1943 г. Имел обозначение «п/я 68» (1943 г.).</w:t>
      </w:r>
    </w:p>
    <w:p w14:paraId="587FFE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(04.1943 г.): территории- 30 га, производственная- 5400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вспомогательная- 2085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15AFD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(12.1942 г.)- 491 чел., (04.1943 г.)- 400 чел.</w:t>
      </w:r>
    </w:p>
    <w:p w14:paraId="5ACA8D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(04.1943 г.)- Волков.</w:t>
      </w:r>
    </w:p>
    <w:p w14:paraId="279BF1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И.о. гл. инженера (04.1943 г.)- Бабышев.</w:t>
      </w:r>
    </w:p>
    <w:p w14:paraId="247D77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мина ЯМ-5К (1943) (11982).</w:t>
      </w:r>
    </w:p>
    <w:p w14:paraId="7C67932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C863F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г. из ПРОТОКОЛА ЗАСЕДАНИЯ БЮРО НОВОСИБИРСКОГО ОБКОМА ВКП(б) «ОБ ОТГРУЗКЕ ГОТОВЫХ БОЕПРИПАСОВ С ЗАВОДА № 635»</w:t>
      </w:r>
    </w:p>
    <w:p w14:paraId="354976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Особая папка</w:t>
      </w:r>
    </w:p>
    <w:p w14:paraId="5E5BC7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Признать совершенно нетерпимым, что на заводе № 635 в сентябре и в первую декаду октября по вине Томской железной дороги и директора завода № 635 систематически не выполняется план отгрузки снаряженных боеприпасов на фронт. По состоянию на 10 октября на заводе скопилось свыше трехсот вагонов различных боеприпасов. Загромождены все склады, площадки вокруг цехов, ящики со снаряженными боеприпасами находятся под открытым небом. Такое огромное скопление снаряженных боеприпасов срывает нормальную работу производственных цехов завода. Управление Томской железной дороги не принимает до сих пор необходимых оперативных мер к отгрузке продукции с завода № 635, не обеспечивает нормальным количеством порожняка, паровозами и маневровой работы на площадке завода. Директор завода № 635 не проявил нужной изворотливости, маневренности к ускорению погрузоч-но-разгрузочных работ и продолжает допускать перепростои вагонов.</w:t>
      </w:r>
    </w:p>
    <w:p w14:paraId="01F530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Бюро обкома ВКП(б) ПОСТАНОВЛЯЕТ:</w:t>
      </w:r>
    </w:p>
    <w:p w14:paraId="364775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начальника Томской железной дороги тов. Кривонога в десятидневный срок отгрузить скопившиеся на заводе № 635 готовые боеприпасы, для чего обеспечить ежесуточную подачу 30 порожних, годных под отгрузку боеприпасов вагонов. Кроме того, подавать под сдвоенные операции по 30 вагонов ежесуточно. Начальнику дороги т. Кривоносу направить на завод № 635 для постоянной работы дополнительно один маневровый паровоз и двух специалистов-железнодорожников, знающих маневровую работу и службу движения.</w:t>
      </w:r>
    </w:p>
    <w:p w14:paraId="6E6695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управление Томской железной дороги немедленно принять все необходимые меры к ремонту пути от станции Ельцовка до станции Заводская, а также развернуть на участке Ельцовка — Заводская - площадка завода все необходимые работы по подготовке этого участка к снегоборьбе, выделив для этого материалы, средства и рабочую силу.</w:t>
      </w:r>
    </w:p>
    <w:p w14:paraId="707552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директора завода № 635 немедленно наладить круглосуточную погрузку и выгрузку продукции. Ликвидировать в десятидневный срок перепростои вагонов, обеспечить все необходимые условия для высокопроизводительной работы грузчиков (нормальные жилищные условия, усиленное питание грузчикам).</w:t>
      </w:r>
    </w:p>
    <w:p w14:paraId="5FFD68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Мобилизовать с заводов и строительных трестов города Новосибирска 150 человек мужчин-грузчиков и направить их на постоянную работу на завод № 635 по отгрузке боеприпасов для фронта (согласно приложению). Тов. Колесникову (Сиблаг) выделить на завод взамен мобилизованных грузчиков заключенных.</w:t>
      </w:r>
    </w:p>
    <w:p w14:paraId="17A210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Обязать директоров заводов и управляющих строительными трестами в трехдневный срок персонально отобрать и направить в распоряжение Новосибирского горкома ВКП(б) указанное в приложении количество мужчин-грузчиков и об исполнении доложить обкому ВКП(б).</w:t>
      </w:r>
    </w:p>
    <w:p w14:paraId="3F654E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Поручить т. Малинину (начальнику управления НКВД), т. Ефимову (начальнику транспортного отдела НКВД) обеспечить необходимый контроль и принять исчерпывающие меры к отгрузке готовых боеприпасов с завода № 635.</w:t>
      </w:r>
    </w:p>
    <w:p w14:paraId="2C8A05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Новосибирского обкома ВКП(б) М. Кулагин</w:t>
      </w:r>
    </w:p>
    <w:p w14:paraId="460851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Оп. 33. Д. 665.в.. Л. 95-97. Подлинник (12193).</w:t>
      </w:r>
    </w:p>
    <w:p w14:paraId="4830658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3B3D6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вышло Постановление ГКО № 2420 О выпуске Кировским заводом НКТП. 100 танков КВ с утолщенной бортовой броней в счет плана. РГАНИР, Фонд ГКО, д. 64, лл. 74 (11012).</w:t>
      </w:r>
    </w:p>
    <w:p w14:paraId="2530C47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AED5B60"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15 октября 1942 года появилось постановление Государственного Комитета Обороны № 2420сс, в котором го</w:t>
      </w:r>
      <w:r w:rsidRPr="00722885">
        <w:rPr>
          <w:rFonts w:ascii="Times New Roman" w:cs="Times New Roman"/>
          <w:color w:val="000000" w:themeColor="text1"/>
          <w:spacing w:val="0"/>
        </w:rPr>
        <w:softHyphen/>
        <w:t>ворилось:</w:t>
      </w:r>
    </w:p>
    <w:p w14:paraId="5ED7456B"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«Разрешить Кировскому заводу Нарком- танкпрома выпустить в счет плана октября 100 танков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с утолщенной броней бортов (75 мм)».</w:t>
      </w:r>
    </w:p>
    <w:p w14:paraId="038F0805"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Однако корпуса от КВ-1 требовали зна</w:t>
      </w:r>
      <w:r w:rsidRPr="00722885">
        <w:rPr>
          <w:rFonts w:ascii="Times New Roman" w:cs="Times New Roman"/>
          <w:color w:val="000000" w:themeColor="text1"/>
          <w:spacing w:val="0"/>
        </w:rPr>
        <w:softHyphen/>
        <w:t xml:space="preserve">чительных доработок для их использования на сборке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Например, с них среза</w:t>
      </w:r>
      <w:r w:rsidRPr="00722885">
        <w:rPr>
          <w:rFonts w:ascii="Times New Roman" w:cs="Times New Roman"/>
          <w:color w:val="000000" w:themeColor="text1"/>
          <w:spacing w:val="0"/>
        </w:rPr>
        <w:softHyphen/>
        <w:t>лись броневые планки защиты погона баш</w:t>
      </w:r>
      <w:r w:rsidRPr="00722885">
        <w:rPr>
          <w:rFonts w:ascii="Times New Roman" w:cs="Times New Roman"/>
          <w:color w:val="000000" w:themeColor="text1"/>
          <w:spacing w:val="0"/>
        </w:rPr>
        <w:softHyphen/>
        <w:t>ни, делался дополнительный вырез в лобо</w:t>
      </w:r>
      <w:r w:rsidRPr="00722885">
        <w:rPr>
          <w:rFonts w:ascii="Times New Roman" w:cs="Times New Roman"/>
          <w:color w:val="000000" w:themeColor="text1"/>
          <w:spacing w:val="0"/>
        </w:rPr>
        <w:softHyphen/>
        <w:t>вом экране для монтажа второго смотрового прибора и т.п (15226).</w:t>
      </w:r>
    </w:p>
    <w:p w14:paraId="21335BBE" w14:textId="77777777" w:rsidR="00F071F1" w:rsidRPr="00722885" w:rsidRDefault="00F071F1" w:rsidP="00722885">
      <w:pPr>
        <w:pStyle w:val="27"/>
        <w:shd w:val="clear" w:color="auto" w:fill="auto"/>
        <w:spacing w:after="0" w:line="240" w:lineRule="auto"/>
        <w:ind w:firstLine="0"/>
        <w:rPr>
          <w:rFonts w:ascii="Times New Roman" w:cs="Times New Roman"/>
          <w:color w:val="000000" w:themeColor="text1"/>
          <w:spacing w:val="0"/>
        </w:rPr>
      </w:pPr>
    </w:p>
    <w:p w14:paraId="4A535D24" w14:textId="77777777" w:rsidR="003315C9" w:rsidRPr="00722885" w:rsidRDefault="003315C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15 октября 1942 года Молотов подписал постановление ГКО №2420, которое узаконило выпуск ста КВ-1с с корпусами от КВ-1. Такие танки изготовлялись со второй половины октября по начало ноября 1942 года. В реальности таких «кентавров» было выпущено меньше сотни: на ЧКЗ прекрасно понимали, что выросшая боевая масса негативно скажется на надежности, поэтому при первой же возможности их заменили на корпуса КВ-1с. Всего было выпущено 70 КВ-1с с корпусами от КВ-1, которые отправились на комплектование 9-го, 10-го и 12-го гвардейских тяжелых танковых полков, а также в Ульяновское танковое училище.</w:t>
      </w:r>
    </w:p>
    <w:p w14:paraId="7B29151A" w14:textId="77777777" w:rsidR="003315C9" w:rsidRPr="00722885" w:rsidRDefault="003315C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Несмотря на то, что количество КВ-1с с корпусами КВ-1 было небольшим, они не исчезли бесследно. Эти танки попали как в объективы советских фотокорреспондентов, так и на снимки немецких солдат. Один из таких танков, предположительно из состава 12-го гвардейского тяжелого танкового полка, сохранился до наших дней. </w:t>
      </w:r>
      <w:hyperlink r:id="rId128" w:history="1">
        <w:r w:rsidRPr="00722885">
          <w:rPr>
            <w:rFonts w:ascii="Times New Roman" w:eastAsia="Times New Roman" w:hAnsi="Times New Roman"/>
            <w:color w:val="000000" w:themeColor="text1"/>
            <w:sz w:val="16"/>
            <w:szCs w:val="16"/>
            <w:lang w:eastAsia="ru-RU"/>
          </w:rPr>
          <w:t>Эта машина</w:t>
        </w:r>
      </w:hyperlink>
      <w:r w:rsidRPr="00722885">
        <w:rPr>
          <w:rFonts w:ascii="Times New Roman" w:eastAsia="Times New Roman" w:hAnsi="Times New Roman"/>
          <w:color w:val="000000" w:themeColor="text1"/>
          <w:sz w:val="16"/>
          <w:szCs w:val="16"/>
          <w:lang w:eastAsia="ru-RU"/>
        </w:rPr>
        <w:t xml:space="preserve"> затонула в начале 1943 года. В 1998 году танк, поднятый из болота, был установлен на пьедестале в поселке Парфино Старо-Русского района Новгородской области. На нем стоят те самые опорные катки, которые были разработаны на базе катков КВ-1с. Также машина имеет ранние траки со «скошенными» краями. Дожил до наших дней и самый первый вариант опорного катка КВ-1с. Его можно увидеть на КВ-1 №43666, находящемся в экспозиции Центрального музея Вооруженных Сил РФ (17682).</w:t>
      </w:r>
    </w:p>
    <w:p w14:paraId="721B7D47" w14:textId="77777777" w:rsidR="003315C9" w:rsidRPr="00722885" w:rsidRDefault="003315C9" w:rsidP="00722885">
      <w:pPr>
        <w:spacing w:after="0" w:line="240" w:lineRule="auto"/>
        <w:jc w:val="both"/>
        <w:rPr>
          <w:rFonts w:ascii="Times New Roman" w:hAnsi="Times New Roman"/>
          <w:color w:val="000000" w:themeColor="text1"/>
          <w:sz w:val="16"/>
          <w:szCs w:val="16"/>
        </w:rPr>
      </w:pPr>
    </w:p>
    <w:p w14:paraId="23A210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вышло Постановление ГКО № 2421 О т.т. Пантас и Боброве. РГАНИР, Фонд ГКО, д. 64, лл. 75 (11012).</w:t>
      </w:r>
    </w:p>
    <w:p w14:paraId="1B57DEB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50717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вышло Постановление ГКО № 2422 О заработной плате рабочих, инженерно-технических и руководящих работников электростанций, электросетей и энергосистем Наркомата электростанций. РГАНИР, Фонд ГКО, д. 64, лл. 76-77, 78-114 (11012).</w:t>
      </w:r>
    </w:p>
    <w:p w14:paraId="4C0FE76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92CD8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вышло Постановление ГКО № 2423 Об улучшении снабжения электростанций топливом. РГАНИР, Фонд ГКО, д. 64, лл. 115-118, 119-123 (11012).</w:t>
      </w:r>
    </w:p>
    <w:p w14:paraId="6873985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5A7C6D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15 октября 1942 вышло Постановление ГКО № 2424 О предоставлении отсрочки от призыва в Красную Армию рабочим и ИТР угольной промышленности. (7059, 124).</w:t>
      </w:r>
    </w:p>
    <w:p w14:paraId="00846819" w14:textId="77777777" w:rsidR="00090C9B" w:rsidRPr="00722885" w:rsidRDefault="00090C9B" w:rsidP="00722885">
      <w:pPr>
        <w:pStyle w:val="Iauiue"/>
        <w:tabs>
          <w:tab w:val="left" w:pos="11199"/>
        </w:tabs>
        <w:jc w:val="both"/>
        <w:rPr>
          <w:color w:val="000000" w:themeColor="text1"/>
          <w:sz w:val="16"/>
          <w:szCs w:val="16"/>
        </w:rPr>
      </w:pPr>
    </w:p>
    <w:p w14:paraId="729A44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октября 1942 г. бронекатера-ракетоносцы № 41 и 51 получили задание поддержать огнем реактивных снарядов 138-ю стрелковую дивизию, отражавшую вражеские атаки у северной окраины поселка Латошинка. Впервые в истории советского ВМФ наземные цели поражались совместной залповой стрельбой реактивными снарядами М-13 с палуб бронекатеров. Большую помощь в подготовке к выполнению этой задачи оказал вступивший тогда в должность начальника штаба Волжской военной флотилии капитан 1 ранга М.И. Морозов (впоследствии контр-адмирал). Этот опытный артиллерист-новатор стал горячим сторонником внедрения реактивной техники на кораблях. 29 ноября 1942 года приказом Наркома ВМФ установка 16-М-13 была принята в качестве штатного вооружения кораблей (11772).</w:t>
      </w:r>
    </w:p>
    <w:p w14:paraId="234F1FE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D87D0C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E619020" w14:textId="77777777" w:rsidR="00090C9B" w:rsidRPr="00722885" w:rsidRDefault="00090C9B" w:rsidP="00722885">
      <w:pPr>
        <w:pStyle w:val="Iauiue"/>
        <w:jc w:val="both"/>
        <w:rPr>
          <w:iCs/>
          <w:color w:val="000000" w:themeColor="text1"/>
          <w:sz w:val="16"/>
          <w:szCs w:val="16"/>
        </w:rPr>
      </w:pPr>
    </w:p>
    <w:p w14:paraId="0FE3050D"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15 октября </w:t>
      </w:r>
      <w:r w:rsidRPr="00722885">
        <w:rPr>
          <w:rFonts w:ascii="Times New Roman" w:hAnsi="Times New Roman"/>
          <w:color w:val="000000" w:themeColor="text1"/>
          <w:sz w:val="16"/>
          <w:szCs w:val="16"/>
        </w:rPr>
        <w:t>в 1942 году утреннее сообщение Совинформбюро:</w:t>
      </w:r>
    </w:p>
    <w:p w14:paraId="13458D01"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15 октября на фронтах существенных изменений не произошло.</w:t>
      </w:r>
    </w:p>
    <w:p w14:paraId="6E3F2B90"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немецкая пехота при поддержке танков неоднократно атаковала наши позиции. Наши войска отбивали атаки противника и нанесли ему большие потери. Огнём артиллерии уничтожено несколько танков, 8 артиллерийских и 2 миномётные батареи противника, рассеяно и частью уничтожено до двух батальонов немецкой пехоты.</w:t>
      </w:r>
    </w:p>
    <w:p w14:paraId="0877291A"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Н-ской части отразили пять контратак противника и уничтожили до 300 немецких солдат и офицеров. Огнём нашей артиллерии уничтожено 12 пулемётных точек, разрушены 14 ДЗОТ'ов и миномётная батарея противника. Разведывательный отряд одной нашей части ворвался в окопы гитлеровцев и в рукопашной схватке истребил 60 немецких солдат.</w:t>
      </w:r>
    </w:p>
    <w:p w14:paraId="5E70929A"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бои с танками и пехотой противника. Отбивая атаки немецкой пехоты, пытавшейся занять одну высоту, наши бойцы уничтожили до 400 солдат и офицеров противника.</w:t>
      </w:r>
    </w:p>
    <w:p w14:paraId="1FB4F4B7"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уничтожили 7 немецких танков, 40 грузовых и 3 легковые автомашины и 3 зенитно-пулемётные точки. В воздушных боях сбито 4 самолета противника.</w:t>
      </w:r>
    </w:p>
    <w:p w14:paraId="7C1CD0FE"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нашими подразделениями за два дня истреблено до 300 немецких солдат и офицеров. Артиллеристы и миномётчики разрушили 12 ДЗОТ'ов и подавили огонь 4 батарей полевой и зенитной артиллерии противника. Снайпер т. Смирнов за три дня истребил 22 гитлеровца. Снайпер т. Ярцев уничтожил 19 немецких солдат и офицеров.</w:t>
      </w:r>
    </w:p>
    <w:p w14:paraId="788A892B"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происходила артиллерийская и миномётная перестрелка. Артиллерийское подразделение, где командиром тов. Бабашинский, произвело внезапный огневой налёт на склады противника. На месте цели отмечены три сильных взрыва, огромные столбы пламени и клубы дыма. Расчёты противотанковых ружей гвардии лейтенантов Гордиенко и Акимова в последних боях подожгли 6 немецких танков.</w:t>
      </w:r>
    </w:p>
    <w:p w14:paraId="75BD4236"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Витебской области, пустил под откос 4 железнодорожных эшелона с войсками, вооружением и боеприпасами немецко-фашистских оккупантов. Партизаны этого отряда за две недели боевых действий истребили до 900 немецких солдат и офицеров.</w:t>
      </w:r>
    </w:p>
    <w:p w14:paraId="78A1FABD"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2 роты сапёрного батальона 16 немецкой мотодивизии Алоиз Дракслер рассказал: «2-я рота в боях летом этого года потеряла 180 человек. После этого она шесть раз получала пополнение. Многие солдаты из пополнения уже давно сгнили в земле, другие стали калеками и отправлены в тыл. В роте не осталось ни одного солдата из тех, кто 22 июня прошлого года переступил границы России. Несколько дней назад вторая рота вновь была пополнена. Нам прислали 17—18-летних юношей. В первом же бою новички разбежались. Я остался на месте, а когда приблизились русские, поднял руки и сдался в плен, так как не имею ни малейшего желания провести ещё одну русскую зиму на фронте».</w:t>
      </w:r>
    </w:p>
    <w:p w14:paraId="791D1EDD"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неотправленном письме ефрейтора 9 роты 769 полка 377 немецкой пехотной дивизии Эрнста Моровильца к Ядвиге Кюзбер говорится: «Мы уже три месяца топчемся на одном месте. Я не могу тебе рассказать всё, что было. Мы имели тяжёлые потери. Когда мы выехали из Франции, в составе роты было свыше 200 человек. Теперь осталось только 30 солдат» (14800).</w:t>
      </w:r>
    </w:p>
    <w:p w14:paraId="6D360E60" w14:textId="77777777" w:rsidR="000A604E" w:rsidRPr="00722885" w:rsidRDefault="000A604E" w:rsidP="00722885">
      <w:pPr>
        <w:spacing w:after="0" w:line="240" w:lineRule="auto"/>
        <w:jc w:val="both"/>
        <w:rPr>
          <w:rFonts w:ascii="Times New Roman" w:hAnsi="Times New Roman"/>
          <w:color w:val="000000" w:themeColor="text1"/>
          <w:sz w:val="16"/>
          <w:szCs w:val="16"/>
        </w:rPr>
      </w:pPr>
    </w:p>
    <w:p w14:paraId="4DD27016"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15 октября </w:t>
      </w:r>
      <w:r w:rsidRPr="00722885">
        <w:rPr>
          <w:rFonts w:ascii="Times New Roman" w:hAnsi="Times New Roman"/>
          <w:color w:val="000000" w:themeColor="text1"/>
          <w:sz w:val="16"/>
          <w:szCs w:val="16"/>
        </w:rPr>
        <w:t>в 1942 году вечернее сообщение Совинформбюро:</w:t>
      </w:r>
    </w:p>
    <w:p w14:paraId="1D22D589"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15 октября наши войска вели бои с противником в районе Сталинграда и в районе Моздока. Ha других фронтах никаких изменений не произошло.</w:t>
      </w:r>
    </w:p>
    <w:p w14:paraId="5C669E91"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14 октября нашей авиацией на различных участках фронта уничтожено или повреждено 5 немецких танков, до 40 автомашин с войсками, подавлен огонь 5 артиллерийских батарей, разбит железнодорожный состав, рассеяно и частью уничтожено до роты пехоты противника.</w:t>
      </w:r>
    </w:p>
    <w:p w14:paraId="67DE0A8C"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ожесточённые бои. Противник силою додвух пехотных дивизий с 100 танками и при поддержке большого количества авиации предпринял атаки на рабочий посёлок. Наши бойцы самоотверженно отбивают яростные атаки гитлеровцев. На отдельных участках ценою больших потерь противнику удалось несколько потеснить наши части. В течение дня, по неполным данным, подбито исожжено свыше 45 немецких танков и уничтожено более 1.500 солдат и офицеров противника.</w:t>
      </w:r>
    </w:p>
    <w:p w14:paraId="4C478FF3"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бойцы одной нашей части в ночном бою уничтожили 300 гитлеровцев, 5 орудий, 6 ДЗОТ'ов с их гарнизонами и вооружением и два вещевых склада. Захвачены трофеи и пленные.</w:t>
      </w:r>
    </w:p>
    <w:p w14:paraId="706A371D"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происходили бои местного значения. Разведчики Н-ской гвардейской части обнаружили скопление вражеской пехоты и установили, что немцы готовятся к атаке. Наши артиллеристы произвели несколько огневых налётов и рассеяли группировку противника. На другом участке наши подразделения атаковали противника и заняли первую линию его окопов. Уничтожено до роты немецкой пехоты. Огнём зенитной артиллерии и наземных войск сбито 3 самолёта противника.</w:t>
      </w:r>
    </w:p>
    <w:p w14:paraId="35D14B92"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бои на уничтожение группы танков и пехоты противника, вклинившихся в нашу оборону. В течение дня немцы предприняли одну задругой три атаки, пытаясь прорвать нашу оборону. Наши подразделения отбили атакигитлеровцев и отбросили их в исходное положение. В боях на этом участке подбитои сожжено 19 немецких танков и уничтожено до двух рот пехоты противника. На другом участке бойцы под командованием лейтенанта Комлицкого ворвались в окопынеприятеля и уничтожили несколько десятков немецких солдат. В этой схватке спротивником сержант Абдула Кашанов штыком и гранатой истребил 9 солдат и 3 немецких офицеров.</w:t>
      </w:r>
    </w:p>
    <w:p w14:paraId="394CF994"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 разведывательный отряд на одном из участков Брянского фронта предпринял разведку боем. Отбив две контратаки противника, наши бойцы истребили до 300 немецких солдат и офицеров и захватили пушку, 300 снарядов, несколько пулемётов, автоматы, винтовки и 5 тысяч патронов.</w:t>
      </w:r>
    </w:p>
    <w:p w14:paraId="590F7EED"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действующих в Минской области, пустила под откос железнодорожный эшелон противника, разбиты паровоз, 22 вагона с войсками, 13 платформ с автомашинами и 2 цистерны с горючим.</w:t>
      </w:r>
    </w:p>
    <w:p w14:paraId="428533F9"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Пленный командир обоза боепитания 14 роты противотанковых орудий 593 немецкого пехотного полка унтер-офицер Гуго Гутман рассказал: «Наш полк потерял 60—70 процентов личного состава. За последнее время из строя выбыло очень много офицеров. B 1 батальоне в живых не осталось ни одного кадрового офицера. Пятая рота потеряла убитыми трёх офицеров. Командир 1 батальона и командир 2 батальона ранены. Оба они — офицеры запаса. В связи с огромными потерями два </w:t>
      </w:r>
      <w:r w:rsidRPr="00722885">
        <w:rPr>
          <w:rFonts w:ascii="Times New Roman" w:hAnsi="Times New Roman"/>
          <w:color w:val="000000" w:themeColor="text1"/>
          <w:sz w:val="16"/>
          <w:szCs w:val="16"/>
        </w:rPr>
        <w:lastRenderedPageBreak/>
        <w:t>батальона слили в один. Новый командир батальона Марберт тоже из запаса. Недавно он очень коротко, но ясно выразил своё отношение к войне следующими словами: «Я хотел бы избавиться от этого дерьма и вернуться домой. Мы всё равно не выдержим второй русской зимы».</w:t>
      </w:r>
    </w:p>
    <w:p w14:paraId="0B27A430"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захваченного немцами города Дно обречены захватчиками на голодную смерть. Под угрозой кровавой расправы гитлеровцы принуждают женщин и подростков работать на немцев по 18 часов в сутки. Отбывающие принудительные работы получают в день по 200 граммов мякины. В начале октября немцы расстреляли 18 женщин, которые ввиду крайнего истощения от голода не могли двигаться и не вышли на работу.</w:t>
      </w:r>
    </w:p>
    <w:p w14:paraId="0AD278EB"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Польские крестьяне отказываются сдавать немецким захватчикам хлеб и продовольствие. Во многих районах на этой почве происходят столкновения крестьян с эсэсовцами. Недавно в окрестностях Избицы польские патриоты подожгли 4 склада с награбленным у крестьян хлебом. Недалеко от Владыславова без вести пропали 13 солдат из отряда эсэсовцев. Несколько дней спустя их трупы были обнаружены в лесу.» (14800).</w:t>
      </w:r>
    </w:p>
    <w:p w14:paraId="47757AAE" w14:textId="77777777" w:rsidR="000A604E" w:rsidRPr="00722885" w:rsidRDefault="000A604E" w:rsidP="00722885">
      <w:pPr>
        <w:spacing w:after="0" w:line="240" w:lineRule="auto"/>
        <w:jc w:val="both"/>
        <w:rPr>
          <w:rFonts w:ascii="Times New Roman" w:hAnsi="Times New Roman"/>
          <w:color w:val="000000" w:themeColor="text1"/>
          <w:sz w:val="16"/>
          <w:szCs w:val="16"/>
        </w:rPr>
      </w:pPr>
    </w:p>
    <w:p w14:paraId="00F03E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октября 1942 командующий 8-й ВА ге</w:t>
      </w:r>
      <w:r w:rsidRPr="00722885">
        <w:rPr>
          <w:color w:val="000000" w:themeColor="text1"/>
          <w:sz w:val="16"/>
          <w:szCs w:val="16"/>
        </w:rPr>
        <w:softHyphen/>
        <w:t>нерал Т.Т.Хрюкин утвердил "Указания по боевому применению штурмовика Ил-2" № ВС/255, определившие порядок действия и применения бортового ору</w:t>
      </w:r>
      <w:r w:rsidRPr="00722885">
        <w:rPr>
          <w:color w:val="000000" w:themeColor="text1"/>
          <w:sz w:val="16"/>
          <w:szCs w:val="16"/>
        </w:rPr>
        <w:softHyphen/>
        <w:t>жия штурмовиков Ил-2 по наземным целям.</w:t>
      </w:r>
    </w:p>
    <w:p w14:paraId="1B9E68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Разработка более совершенных спо</w:t>
      </w:r>
      <w:r w:rsidRPr="00722885">
        <w:rPr>
          <w:color w:val="000000" w:themeColor="text1"/>
          <w:sz w:val="16"/>
          <w:szCs w:val="16"/>
        </w:rPr>
        <w:softHyphen/>
        <w:t>собов атак наземных целей, позволяв</w:t>
      </w:r>
      <w:r w:rsidRPr="00722885">
        <w:rPr>
          <w:color w:val="000000" w:themeColor="text1"/>
          <w:sz w:val="16"/>
          <w:szCs w:val="16"/>
        </w:rPr>
        <w:softHyphen/>
        <w:t>ших максимально использовать боевые возможности Ил-2 и добиваться боль</w:t>
      </w:r>
      <w:r w:rsidRPr="00722885">
        <w:rPr>
          <w:color w:val="000000" w:themeColor="text1"/>
          <w:sz w:val="16"/>
          <w:szCs w:val="16"/>
        </w:rPr>
        <w:softHyphen/>
        <w:t>шей надежности поражения целей при экономном расходовании боеприпасов, по приказу Т.Т.Хрюкина была выполне</w:t>
      </w:r>
      <w:r w:rsidRPr="00722885">
        <w:rPr>
          <w:color w:val="000000" w:themeColor="text1"/>
          <w:sz w:val="16"/>
          <w:szCs w:val="16"/>
        </w:rPr>
        <w:softHyphen/>
        <w:t>на начальником воздушно-стрелковой службы армии военинженером 1-го ран</w:t>
      </w:r>
      <w:r w:rsidRPr="00722885">
        <w:rPr>
          <w:color w:val="000000" w:themeColor="text1"/>
          <w:sz w:val="16"/>
          <w:szCs w:val="16"/>
        </w:rPr>
        <w:softHyphen/>
        <w:t xml:space="preserve">га А. М.Янчуком, заместителем главного штурмана армии майором В.М.Лавским и комэском 504-го </w:t>
      </w:r>
      <w:r w:rsidRPr="00722885">
        <w:rPr>
          <w:iCs/>
          <w:color w:val="000000" w:themeColor="text1"/>
          <w:sz w:val="16"/>
          <w:szCs w:val="16"/>
        </w:rPr>
        <w:t>шап</w:t>
      </w:r>
      <w:r w:rsidRPr="00722885">
        <w:rPr>
          <w:color w:val="000000" w:themeColor="text1"/>
          <w:sz w:val="16"/>
          <w:szCs w:val="16"/>
        </w:rPr>
        <w:t xml:space="preserve"> И.И.Пстыго.</w:t>
      </w:r>
    </w:p>
    <w:p w14:paraId="270F2B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практической проверки рекомен</w:t>
      </w:r>
      <w:r w:rsidRPr="00722885">
        <w:rPr>
          <w:color w:val="000000" w:themeColor="text1"/>
          <w:sz w:val="16"/>
          <w:szCs w:val="16"/>
        </w:rPr>
        <w:softHyphen/>
        <w:t>даций по боевому применению Ил-2 к-н И.И.Пстыго выполнил около 40 полетов на полигон.</w:t>
      </w:r>
    </w:p>
    <w:p w14:paraId="0C0DC9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"Указания..." 8-й ВА, наряду с проек</w:t>
      </w:r>
      <w:r w:rsidRPr="00722885">
        <w:rPr>
          <w:color w:val="000000" w:themeColor="text1"/>
          <w:sz w:val="16"/>
          <w:szCs w:val="16"/>
        </w:rPr>
        <w:softHyphen/>
        <w:t>том "Руководства по боевым действиям штурмовой авиации" штаба ВВС КА, вы</w:t>
      </w:r>
      <w:r w:rsidRPr="00722885">
        <w:rPr>
          <w:color w:val="000000" w:themeColor="text1"/>
          <w:sz w:val="16"/>
          <w:szCs w:val="16"/>
        </w:rPr>
        <w:softHyphen/>
        <w:t>шедшем почти одновременно, сыграла важную роль в упорядочении боевого применения самолетов Ил-2 в целях обеспечения высокой эффективности их бомбоштурмовых ударов (6467).</w:t>
      </w:r>
    </w:p>
    <w:p w14:paraId="07EA3340" w14:textId="77777777" w:rsidR="00090C9B" w:rsidRPr="00722885" w:rsidRDefault="00090C9B" w:rsidP="00722885">
      <w:pPr>
        <w:pStyle w:val="Iauiue"/>
        <w:jc w:val="both"/>
        <w:rPr>
          <w:color w:val="000000" w:themeColor="text1"/>
          <w:sz w:val="16"/>
          <w:szCs w:val="16"/>
        </w:rPr>
      </w:pPr>
    </w:p>
    <w:p w14:paraId="3EBCCC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октября 1942 коман</w:t>
      </w:r>
      <w:r w:rsidRPr="00722885">
        <w:rPr>
          <w:color w:val="000000" w:themeColor="text1"/>
          <w:sz w:val="16"/>
          <w:szCs w:val="16"/>
        </w:rPr>
        <w:softHyphen/>
        <w:t xml:space="preserve">дир эскадрильи 225-го </w:t>
      </w:r>
      <w:r w:rsidRPr="00722885">
        <w:rPr>
          <w:iCs/>
          <w:color w:val="000000" w:themeColor="text1"/>
          <w:sz w:val="16"/>
          <w:szCs w:val="16"/>
        </w:rPr>
        <w:t>шап</w:t>
      </w:r>
      <w:r w:rsidRPr="00722885">
        <w:rPr>
          <w:color w:val="000000" w:themeColor="text1"/>
          <w:sz w:val="16"/>
          <w:szCs w:val="16"/>
        </w:rPr>
        <w:t xml:space="preserve"> ст.л-т Ф.В.Тюленев в паре со своим ведомым в 16.00 был наведен по радио с земли на бомбардировщик Не111, летящий на высоте 1000 м. Штурмовики взяли "Хейнкель" в клещи и обстреляли сначала РСами, а затем из пушек и пулеметов. Получив повреждения, "Хейнкель" упал в районе хутора Благодарный и взор</w:t>
      </w:r>
      <w:r w:rsidRPr="00722885">
        <w:rPr>
          <w:color w:val="000000" w:themeColor="text1"/>
          <w:sz w:val="16"/>
          <w:szCs w:val="16"/>
        </w:rPr>
        <w:softHyphen/>
        <w:t>вался. При выходе из атаки пара Тюленева встретила еще два Не111 и сходу с дистанции 100-150 м обстреляла их из пушек и пулеметов. Один "немец" упал и взорвался в районе Новоникольского (6467).</w:t>
      </w:r>
    </w:p>
    <w:p w14:paraId="6C0A56B6" w14:textId="77777777" w:rsidR="00090C9B" w:rsidRPr="00722885" w:rsidRDefault="00090C9B" w:rsidP="00722885">
      <w:pPr>
        <w:pStyle w:val="Iauiue"/>
        <w:jc w:val="both"/>
        <w:rPr>
          <w:color w:val="000000" w:themeColor="text1"/>
          <w:sz w:val="16"/>
          <w:szCs w:val="16"/>
        </w:rPr>
      </w:pPr>
    </w:p>
    <w:p w14:paraId="63AD721C"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15 октября </w:t>
      </w:r>
      <w:r w:rsidRPr="00722885">
        <w:rPr>
          <w:rFonts w:ascii="Times New Roman" w:hAnsi="Times New Roman"/>
          <w:color w:val="000000" w:themeColor="text1"/>
          <w:sz w:val="16"/>
          <w:szCs w:val="16"/>
        </w:rPr>
        <w:t>в 1942 году противник в районе Сталинградского тракторного завода прорвался к Волге, овладел вершиной Мамаева кургана (14800).</w:t>
      </w:r>
    </w:p>
    <w:p w14:paraId="0FFF8EE4" w14:textId="77777777" w:rsidR="000A604E" w:rsidRPr="00722885" w:rsidRDefault="000A604E" w:rsidP="00722885">
      <w:pPr>
        <w:spacing w:after="0" w:line="240" w:lineRule="auto"/>
        <w:jc w:val="both"/>
        <w:rPr>
          <w:rFonts w:ascii="Times New Roman" w:hAnsi="Times New Roman"/>
          <w:color w:val="000000" w:themeColor="text1"/>
          <w:sz w:val="16"/>
          <w:szCs w:val="16"/>
        </w:rPr>
      </w:pPr>
    </w:p>
    <w:p w14:paraId="5A1977D3" w14:textId="77777777" w:rsidR="000A604E"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E16BFEF" w14:textId="77777777" w:rsidR="000A604E" w:rsidRPr="00722885" w:rsidRDefault="000A604E" w:rsidP="00722885">
      <w:pPr>
        <w:pStyle w:val="Iauiue"/>
        <w:jc w:val="both"/>
        <w:rPr>
          <w:iCs/>
          <w:color w:val="000000" w:themeColor="text1"/>
          <w:sz w:val="16"/>
          <w:szCs w:val="16"/>
        </w:rPr>
      </w:pPr>
    </w:p>
    <w:p w14:paraId="69CDE4FA"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15 октября </w:t>
      </w:r>
      <w:r w:rsidRPr="00722885">
        <w:rPr>
          <w:rFonts w:ascii="Times New Roman" w:hAnsi="Times New Roman"/>
          <w:color w:val="000000" w:themeColor="text1"/>
          <w:sz w:val="16"/>
          <w:szCs w:val="16"/>
        </w:rPr>
        <w:t>в 1942 году в «Правде» опубликовано заявление СНК СССР «Об ответственности гитлеровских захватчиков и их сообщников за злодеяния, совершаемые ими в оккупированных странах Европы» (14800).</w:t>
      </w:r>
    </w:p>
    <w:p w14:paraId="1AD62AA8" w14:textId="77777777" w:rsidR="000A604E" w:rsidRPr="00722885" w:rsidRDefault="000A604E" w:rsidP="00722885">
      <w:pPr>
        <w:spacing w:after="0" w:line="240" w:lineRule="auto"/>
        <w:jc w:val="both"/>
        <w:rPr>
          <w:rFonts w:ascii="Times New Roman" w:hAnsi="Times New Roman"/>
          <w:color w:val="000000" w:themeColor="text1"/>
          <w:sz w:val="16"/>
          <w:szCs w:val="16"/>
        </w:rPr>
      </w:pPr>
    </w:p>
    <w:p w14:paraId="252F2EB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1E2031D2" w14:textId="77777777" w:rsidR="00090C9B" w:rsidRPr="00722885" w:rsidRDefault="00090C9B" w:rsidP="00722885">
      <w:pPr>
        <w:pStyle w:val="Iauiue"/>
        <w:jc w:val="both"/>
        <w:rPr>
          <w:iCs/>
          <w:color w:val="000000" w:themeColor="text1"/>
          <w:sz w:val="16"/>
          <w:szCs w:val="16"/>
        </w:rPr>
      </w:pPr>
    </w:p>
    <w:p w14:paraId="54240B1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15 октября 1942 советское правительство потребовало немедленного суда над бывшим заместителем Гитлера Рудольфом Гессом и всеми немецкими генералами, находящимися в плену у союзников (4962).</w:t>
      </w:r>
    </w:p>
    <w:p w14:paraId="05CB8932" w14:textId="77777777" w:rsidR="00090C9B" w:rsidRPr="00722885" w:rsidRDefault="00090C9B" w:rsidP="00722885">
      <w:pPr>
        <w:pStyle w:val="Iauiue"/>
        <w:tabs>
          <w:tab w:val="left" w:pos="11199"/>
        </w:tabs>
        <w:jc w:val="both"/>
        <w:rPr>
          <w:color w:val="000000" w:themeColor="text1"/>
          <w:sz w:val="16"/>
          <w:szCs w:val="16"/>
        </w:rPr>
      </w:pPr>
    </w:p>
    <w:p w14:paraId="6C5AE9F9"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76CEF91A" w14:textId="77777777" w:rsidR="00090C9B" w:rsidRPr="00722885" w:rsidRDefault="00090C9B" w:rsidP="00722885">
      <w:pPr>
        <w:pStyle w:val="Iauiue"/>
        <w:jc w:val="both"/>
        <w:rPr>
          <w:iCs/>
          <w:color w:val="000000" w:themeColor="text1"/>
          <w:sz w:val="16"/>
          <w:szCs w:val="16"/>
          <w:lang w:val="en-US"/>
        </w:rPr>
      </w:pPr>
    </w:p>
    <w:p w14:paraId="7D376030"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15, 1942 - Groves asks Oppenheimer to head Project Y, planned to be the new central laboratory for weapon physics research and design (1039).</w:t>
      </w:r>
    </w:p>
    <w:p w14:paraId="50721A7B" w14:textId="77777777" w:rsidR="00090C9B" w:rsidRPr="00722885" w:rsidRDefault="00090C9B" w:rsidP="00722885">
      <w:pPr>
        <w:pStyle w:val="Iauiue"/>
        <w:jc w:val="both"/>
        <w:rPr>
          <w:color w:val="000000" w:themeColor="text1"/>
          <w:sz w:val="16"/>
          <w:szCs w:val="16"/>
          <w:lang w:val="en-US"/>
        </w:rPr>
      </w:pPr>
    </w:p>
    <w:p w14:paraId="446EC3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октября 1942 Гровс попросил Оппенгеймеру возглавить проект Y по созданию центральной лаборатории по исследованию и разработке атомного оружия (1039).</w:t>
      </w:r>
    </w:p>
    <w:p w14:paraId="683E299B" w14:textId="77777777" w:rsidR="00090C9B" w:rsidRPr="00722885" w:rsidRDefault="00090C9B" w:rsidP="00722885">
      <w:pPr>
        <w:pStyle w:val="Iauiue"/>
        <w:jc w:val="both"/>
        <w:rPr>
          <w:color w:val="000000" w:themeColor="text1"/>
          <w:sz w:val="16"/>
          <w:szCs w:val="16"/>
        </w:rPr>
      </w:pPr>
    </w:p>
    <w:p w14:paraId="33CF159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A7D4756" w14:textId="77777777" w:rsidR="00090C9B" w:rsidRPr="00722885" w:rsidRDefault="00090C9B" w:rsidP="00722885">
      <w:pPr>
        <w:pStyle w:val="Iauiue"/>
        <w:jc w:val="both"/>
        <w:rPr>
          <w:iCs/>
          <w:color w:val="000000" w:themeColor="text1"/>
          <w:sz w:val="16"/>
          <w:szCs w:val="16"/>
        </w:rPr>
      </w:pPr>
    </w:p>
    <w:p w14:paraId="2326682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w:t>
      </w:r>
      <w:r w:rsidRPr="00722885">
        <w:rPr>
          <w:rFonts w:ascii="Times New Roman" w:hAnsi="Times New Roman"/>
          <w:color w:val="000000" w:themeColor="text1"/>
          <w:sz w:val="16"/>
          <w:szCs w:val="16"/>
        </w:rPr>
        <w:softHyphen/>
        <w:t>дине октября 1942 мотор М-82Ф, но те</w:t>
      </w:r>
      <w:r w:rsidRPr="00722885">
        <w:rPr>
          <w:rFonts w:ascii="Times New Roman" w:hAnsi="Times New Roman"/>
          <w:color w:val="000000" w:themeColor="text1"/>
          <w:sz w:val="16"/>
          <w:szCs w:val="16"/>
        </w:rPr>
        <w:softHyphen/>
        <w:t>перь оснащенный вместо карбюра</w:t>
      </w:r>
      <w:r w:rsidRPr="00722885">
        <w:rPr>
          <w:rFonts w:ascii="Times New Roman" w:hAnsi="Times New Roman"/>
          <w:color w:val="000000" w:themeColor="text1"/>
          <w:sz w:val="16"/>
          <w:szCs w:val="16"/>
        </w:rPr>
        <w:softHyphen/>
        <w:t>тора насосом непосредственного впрыска, был поставлен на 100-часо</w:t>
      </w:r>
      <w:r w:rsidRPr="00722885">
        <w:rPr>
          <w:rFonts w:ascii="Times New Roman" w:hAnsi="Times New Roman"/>
          <w:color w:val="000000" w:themeColor="text1"/>
          <w:sz w:val="16"/>
          <w:szCs w:val="16"/>
        </w:rPr>
        <w:softHyphen/>
        <w:t>вое стендовое испытание. Результа</w:t>
      </w:r>
      <w:r w:rsidRPr="00722885">
        <w:rPr>
          <w:rFonts w:ascii="Times New Roman" w:hAnsi="Times New Roman"/>
          <w:color w:val="000000" w:themeColor="text1"/>
          <w:sz w:val="16"/>
          <w:szCs w:val="16"/>
        </w:rPr>
        <w:softHyphen/>
        <w:t>ты были доложены краткой телефо</w:t>
      </w:r>
      <w:r w:rsidRPr="00722885">
        <w:rPr>
          <w:rFonts w:ascii="Times New Roman" w:hAnsi="Times New Roman"/>
          <w:color w:val="000000" w:themeColor="text1"/>
          <w:sz w:val="16"/>
          <w:szCs w:val="16"/>
        </w:rPr>
        <w:softHyphen/>
        <w:t>нограммой:</w:t>
      </w:r>
    </w:p>
    <w:p w14:paraId="1376D66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«Наркому Шахурину, Главному ин</w:t>
      </w:r>
      <w:r w:rsidRPr="00722885">
        <w:rPr>
          <w:rFonts w:ascii="Times New Roman" w:hAnsi="Times New Roman"/>
          <w:color w:val="000000" w:themeColor="text1"/>
          <w:sz w:val="16"/>
          <w:szCs w:val="16"/>
        </w:rPr>
        <w:softHyphen/>
        <w:t>женеру ВВС КА Репину 3.11.42 г.</w:t>
      </w:r>
    </w:p>
    <w:p w14:paraId="510BB0F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Вашими ука</w:t>
      </w:r>
      <w:r w:rsidRPr="00722885">
        <w:rPr>
          <w:rFonts w:ascii="Times New Roman" w:hAnsi="Times New Roman"/>
          <w:color w:val="000000" w:themeColor="text1"/>
          <w:sz w:val="16"/>
          <w:szCs w:val="16"/>
        </w:rPr>
        <w:softHyphen/>
        <w:t>заниями завод №19 29 октября за</w:t>
      </w:r>
      <w:r w:rsidRPr="00722885">
        <w:rPr>
          <w:rFonts w:ascii="Times New Roman" w:hAnsi="Times New Roman"/>
          <w:color w:val="000000" w:themeColor="text1"/>
          <w:sz w:val="16"/>
          <w:szCs w:val="16"/>
        </w:rPr>
        <w:softHyphen/>
        <w:t>кончил удовлетворительно офици</w:t>
      </w:r>
      <w:r w:rsidRPr="00722885">
        <w:rPr>
          <w:rFonts w:ascii="Times New Roman" w:hAnsi="Times New Roman"/>
          <w:color w:val="000000" w:themeColor="text1"/>
          <w:sz w:val="16"/>
          <w:szCs w:val="16"/>
        </w:rPr>
        <w:softHyphen/>
        <w:t>альное 100-часовое испытание мо</w:t>
      </w:r>
      <w:r w:rsidRPr="00722885">
        <w:rPr>
          <w:rFonts w:ascii="Times New Roman" w:hAnsi="Times New Roman"/>
          <w:color w:val="000000" w:themeColor="text1"/>
          <w:sz w:val="16"/>
          <w:szCs w:val="16"/>
        </w:rPr>
        <w:softHyphen/>
        <w:t>тора М-82Ф с непосредственным впрыском. Данные: взлетная мощность</w:t>
      </w:r>
    </w:p>
    <w:p w14:paraId="488FD5A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- 1850 л.с. при 2500 об/мин пика 1-й скорости 1550 мт</w:t>
      </w:r>
    </w:p>
    <w:p w14:paraId="510377A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- 1670 л.с. при 2400 об/мин пика 2-й скорости 4500 мт</w:t>
      </w:r>
    </w:p>
    <w:p w14:paraId="0D12064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- 1480 л.с. при 2400 об/мин.</w:t>
      </w:r>
    </w:p>
    <w:p w14:paraId="0788A08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М-82Ф может заводом №19 выпускаться как с НВ, так и с карбюратором, ибо одно 100-часо</w:t>
      </w:r>
      <w:r w:rsidRPr="00722885">
        <w:rPr>
          <w:rFonts w:ascii="Times New Roman" w:hAnsi="Times New Roman"/>
          <w:color w:val="000000" w:themeColor="text1"/>
          <w:sz w:val="16"/>
          <w:szCs w:val="16"/>
        </w:rPr>
        <w:softHyphen/>
        <w:t>вое испытание было проведено с карбюратором, второе - с НВ.</w:t>
      </w:r>
    </w:p>
    <w:p w14:paraId="1F8210E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Просим разрешить выезд в Мос</w:t>
      </w:r>
      <w:r w:rsidRPr="00722885">
        <w:rPr>
          <w:rFonts w:ascii="Times New Roman" w:hAnsi="Times New Roman"/>
          <w:color w:val="000000" w:themeColor="text1"/>
          <w:sz w:val="16"/>
          <w:szCs w:val="16"/>
        </w:rPr>
        <w:softHyphen/>
        <w:t>кву для личного доклада Вам и Правительству по моторам М-71 и М-82. Ждем Ваших указаний.</w:t>
      </w:r>
    </w:p>
    <w:p w14:paraId="5BCEAB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завода - Солдатов, Главный конст</w:t>
      </w:r>
      <w:r w:rsidRPr="00722885">
        <w:rPr>
          <w:rFonts w:ascii="Times New Roman" w:hAnsi="Times New Roman"/>
          <w:color w:val="000000" w:themeColor="text1"/>
          <w:sz w:val="16"/>
          <w:szCs w:val="16"/>
        </w:rPr>
        <w:softHyphen/>
        <w:t>руктор - Швецов, Председатель Гос. Комис</w:t>
      </w:r>
      <w:r w:rsidRPr="00722885">
        <w:rPr>
          <w:rFonts w:ascii="Times New Roman" w:hAnsi="Times New Roman"/>
          <w:color w:val="000000" w:themeColor="text1"/>
          <w:sz w:val="16"/>
          <w:szCs w:val="16"/>
        </w:rPr>
        <w:softHyphen/>
        <w:t>сии - Сеничкин, Ст. военп</w:t>
      </w:r>
      <w:r w:rsidRPr="00722885">
        <w:rPr>
          <w:rFonts w:ascii="Times New Roman" w:hAnsi="Times New Roman"/>
          <w:color w:val="000000" w:themeColor="text1"/>
          <w:sz w:val="16"/>
          <w:szCs w:val="16"/>
        </w:rPr>
        <w:softHyphen/>
        <w:t>ред - Сабуров» (10705).</w:t>
      </w:r>
    </w:p>
    <w:p w14:paraId="229FFC6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EA2EDD5" w14:textId="77777777" w:rsidR="007221B5" w:rsidRPr="00722885" w:rsidRDefault="007221B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середине октября 1942 Завод № 19 мо</w:t>
      </w:r>
      <w:r w:rsidRPr="00722885">
        <w:rPr>
          <w:rFonts w:ascii="Times New Roman" w:cs="Times New Roman"/>
          <w:color w:val="000000" w:themeColor="text1"/>
          <w:spacing w:val="0"/>
        </w:rPr>
        <w:softHyphen/>
        <w:t>тор М-82Ф, но теперь оснащенный вместо карбюратора насосом непосредственного впрыска, поставили на 100-часовое стендовое испытание. Результаты доложили краткой телефонограммой:</w:t>
      </w:r>
    </w:p>
    <w:p w14:paraId="7B8AEC3A" w14:textId="77777777" w:rsidR="007221B5" w:rsidRPr="00722885" w:rsidRDefault="007221B5" w:rsidP="00722885">
      <w:pPr>
        <w:pStyle w:val="27"/>
        <w:shd w:val="clear" w:color="auto" w:fill="auto"/>
        <w:tabs>
          <w:tab w:val="left" w:pos="648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«Наркому Шахурину, Главному инженеру ВВС К.А. Репину</w:t>
      </w:r>
      <w:r w:rsidRPr="00722885">
        <w:rPr>
          <w:rFonts w:ascii="Times New Roman" w:cs="Times New Roman"/>
          <w:color w:val="000000" w:themeColor="text1"/>
          <w:spacing w:val="0"/>
        </w:rPr>
        <w:tab/>
        <w:t>3.11.42 г.</w:t>
      </w:r>
    </w:p>
    <w:p w14:paraId="1B9563FC" w14:textId="77777777" w:rsidR="007221B5" w:rsidRPr="00722885" w:rsidRDefault="007221B5" w:rsidP="00722885">
      <w:pPr>
        <w:pStyle w:val="27"/>
        <w:shd w:val="clear" w:color="auto" w:fill="auto"/>
        <w:tabs>
          <w:tab w:val="left" w:pos="360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соответствии с Вашими указаниями завод № 19 29 октября закончил удовлетво</w:t>
      </w:r>
      <w:r w:rsidRPr="00722885">
        <w:rPr>
          <w:rFonts w:ascii="Times New Roman" w:cs="Times New Roman"/>
          <w:color w:val="000000" w:themeColor="text1"/>
          <w:spacing w:val="0"/>
        </w:rPr>
        <w:softHyphen/>
        <w:t>рительно официальное 100-часовое испытание мотора М-82Ф с непосредственным впрыском. Данные:</w:t>
      </w:r>
    </w:p>
    <w:p w14:paraId="4D297836" w14:textId="77777777" w:rsidR="007221B5" w:rsidRPr="00722885" w:rsidRDefault="007221B5" w:rsidP="00722885">
      <w:pPr>
        <w:pStyle w:val="27"/>
        <w:shd w:val="clear" w:color="auto" w:fill="auto"/>
        <w:tabs>
          <w:tab w:val="left" w:pos="360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взлетная мощность</w:t>
      </w:r>
      <w:r w:rsidRPr="00722885">
        <w:rPr>
          <w:rFonts w:ascii="Times New Roman" w:cs="Times New Roman"/>
          <w:color w:val="000000" w:themeColor="text1"/>
          <w:spacing w:val="0"/>
        </w:rPr>
        <w:tab/>
        <w:t>- 1850 л.с. при 2500 об/мин</w:t>
      </w:r>
    </w:p>
    <w:p w14:paraId="4AF59C43" w14:textId="77777777" w:rsidR="007221B5" w:rsidRPr="00722885" w:rsidRDefault="007221B5" w:rsidP="00722885">
      <w:pPr>
        <w:pStyle w:val="27"/>
        <w:shd w:val="clear" w:color="auto" w:fill="auto"/>
        <w:tabs>
          <w:tab w:val="left" w:pos="361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пика 1-й скорости 1550 мт</w:t>
      </w:r>
      <w:r w:rsidRPr="00722885">
        <w:rPr>
          <w:rFonts w:ascii="Times New Roman" w:cs="Times New Roman"/>
          <w:color w:val="000000" w:themeColor="text1"/>
          <w:spacing w:val="0"/>
        </w:rPr>
        <w:tab/>
        <w:t>- 1670 л.с. при 2400 об/мин</w:t>
      </w:r>
    </w:p>
    <w:p w14:paraId="4B789EB7" w14:textId="77777777" w:rsidR="007221B5" w:rsidRPr="00722885" w:rsidRDefault="007221B5" w:rsidP="00722885">
      <w:pPr>
        <w:pStyle w:val="27"/>
        <w:shd w:val="clear" w:color="auto" w:fill="auto"/>
        <w:tabs>
          <w:tab w:val="left" w:pos="3618"/>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пика 2-й скорости 4500 мт</w:t>
      </w:r>
      <w:r w:rsidRPr="00722885">
        <w:rPr>
          <w:rFonts w:ascii="Times New Roman" w:cs="Times New Roman"/>
          <w:color w:val="000000" w:themeColor="text1"/>
          <w:spacing w:val="0"/>
        </w:rPr>
        <w:tab/>
        <w:t>- 1480 л.с. при 2400 об/мин.</w:t>
      </w:r>
    </w:p>
    <w:p w14:paraId="6D6DAD4B" w14:textId="77777777" w:rsidR="007221B5" w:rsidRPr="00722885" w:rsidRDefault="007221B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Мотор М-82Ф может заводом № 19 выпускаться как с НВ, так и с карбюратором, ибо одно 100-часовое испытание было проведено с карбюратором, второе — с НВ.</w:t>
      </w:r>
    </w:p>
    <w:p w14:paraId="239DF5C8" w14:textId="77777777" w:rsidR="007221B5" w:rsidRPr="00722885" w:rsidRDefault="007221B5" w:rsidP="00722885">
      <w:pPr>
        <w:pStyle w:val="27"/>
        <w:shd w:val="clear" w:color="auto" w:fill="auto"/>
        <w:tabs>
          <w:tab w:val="left" w:pos="504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Просим разрешить выезд в Москву для личного доклада Вам и Правительству по моторам М-71 и М-82. Ждем Ваших указаний.</w:t>
      </w:r>
    </w:p>
    <w:p w14:paraId="7DEAC3E8" w14:textId="77777777" w:rsidR="007221B5" w:rsidRPr="00722885" w:rsidRDefault="007221B5" w:rsidP="00722885">
      <w:pPr>
        <w:pStyle w:val="27"/>
        <w:shd w:val="clear" w:color="auto" w:fill="auto"/>
        <w:tabs>
          <w:tab w:val="left" w:pos="504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Директор завода — Солдатов,</w:t>
      </w:r>
    </w:p>
    <w:p w14:paraId="326A9BB6" w14:textId="77777777" w:rsidR="007221B5" w:rsidRPr="00722885" w:rsidRDefault="007221B5" w:rsidP="00722885">
      <w:pPr>
        <w:pStyle w:val="27"/>
        <w:shd w:val="clear" w:color="auto" w:fill="auto"/>
        <w:tabs>
          <w:tab w:val="left" w:pos="504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Главный конструктор — Швецов,</w:t>
      </w:r>
    </w:p>
    <w:p w14:paraId="3EE4557B" w14:textId="77777777" w:rsidR="007221B5" w:rsidRPr="00722885" w:rsidRDefault="007221B5" w:rsidP="00722885">
      <w:pPr>
        <w:pStyle w:val="27"/>
        <w:shd w:val="clear" w:color="auto" w:fill="auto"/>
        <w:tabs>
          <w:tab w:val="left" w:pos="505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Председатель Гос. Комиссии — Сеничкин,</w:t>
      </w:r>
    </w:p>
    <w:p w14:paraId="58B02AA5" w14:textId="77777777" w:rsidR="007221B5" w:rsidRPr="00722885" w:rsidRDefault="007221B5" w:rsidP="00722885">
      <w:pPr>
        <w:pStyle w:val="27"/>
        <w:shd w:val="clear" w:color="auto" w:fill="auto"/>
        <w:tabs>
          <w:tab w:val="left" w:pos="505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Ст. военпред — Сабуров» (15813).</w:t>
      </w:r>
    </w:p>
    <w:p w14:paraId="7960E969" w14:textId="77777777" w:rsidR="007221B5" w:rsidRPr="00722885" w:rsidRDefault="007221B5" w:rsidP="00722885">
      <w:pPr>
        <w:pStyle w:val="27"/>
        <w:shd w:val="clear" w:color="auto" w:fill="auto"/>
        <w:tabs>
          <w:tab w:val="left" w:pos="5053"/>
        </w:tabs>
        <w:spacing w:after="0" w:line="240" w:lineRule="auto"/>
        <w:ind w:firstLine="0"/>
        <w:rPr>
          <w:rFonts w:ascii="Times New Roman" w:cs="Times New Roman"/>
          <w:color w:val="000000" w:themeColor="text1"/>
          <w:spacing w:val="0"/>
        </w:rPr>
      </w:pPr>
    </w:p>
    <w:p w14:paraId="15E749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середине октября 1942 в ОКП П.О.С. была разработана концепция реактивного истребителя (1454,58).</w:t>
      </w:r>
    </w:p>
    <w:p w14:paraId="64F96E42" w14:textId="77777777" w:rsidR="00090C9B" w:rsidRPr="00722885" w:rsidRDefault="00090C9B" w:rsidP="00722885">
      <w:pPr>
        <w:pStyle w:val="Iauiue"/>
        <w:jc w:val="both"/>
        <w:rPr>
          <w:color w:val="000000" w:themeColor="text1"/>
          <w:sz w:val="16"/>
          <w:szCs w:val="16"/>
        </w:rPr>
      </w:pPr>
    </w:p>
    <w:p w14:paraId="5007BDA1" w14:textId="77777777" w:rsidR="003315C9" w:rsidRPr="00722885" w:rsidRDefault="003315C9"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402B9A8" w14:textId="77777777" w:rsidR="003315C9" w:rsidRPr="00722885" w:rsidRDefault="003315C9" w:rsidP="00722885">
      <w:pPr>
        <w:pStyle w:val="Iauiue"/>
        <w:jc w:val="both"/>
        <w:rPr>
          <w:iCs/>
          <w:color w:val="000000" w:themeColor="text1"/>
          <w:sz w:val="16"/>
          <w:szCs w:val="16"/>
        </w:rPr>
      </w:pPr>
    </w:p>
    <w:p w14:paraId="079938A7"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середине октября 1942 года, изучив результаты обстрела на Гороховецкомполигене экранированных Т-34, коллектив КБ завода №112 во главе с В.В. Крыловым разработал проект экранировки Т-34. Поскольку защищать танк предстояло как от кумулятивных, так и от подкалиберных снарядов, экраны пришлось делать достаточно толстыми, а значит, вес их получался немаленьким. Основной вариант проекта предусматривал использование экранов толщиной 20 мм, самых толстых и тяжёлых.</w:t>
      </w:r>
    </w:p>
    <w:p w14:paraId="1C1F113F"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Согласно проекту, экранами защищались борта, подкрылки, носовая балка, а также борта и частично носовая часть башни. Также существовал «облегчённый» вариант без защиты башни. Всего было предложено пять вариантов экранировки, отличающихся толщиной экранов и уровнем защиты. Боевая масса танков, оснащённых такими экранами, варьировалась от 31,8 до 32,19 тонн. Для сравнения: Т-34 без экранировки имел боевую массу 28,63 тонны.</w:t>
      </w:r>
    </w:p>
    <w:p w14:paraId="6EE568AA"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Экраны крепились на болтах с применением пружин Бельвиля. Для облегчения работ с ходовой частью экраны, её прикрывающие, были установлены на петлях. При необходимости такой экран можно было отсоединить от креплений снизу и откинуть вверх.</w:t>
      </w:r>
    </w:p>
    <w:p w14:paraId="71ED263C"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списке предложенных вариантов экранировки значилось несколько модернизаций с изменением углов наклона бортов корпуса. Они предлагались, скорее, как резервные варианты, поскольку во время войны переделывать танк так сильно никто бы не стал.</w:t>
      </w:r>
    </w:p>
    <w:p w14:paraId="31E0BBF7"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После обсуждения представленного проекта в ГАБТУ КА было принято компромиссное решение. Безусловно, экраны толщиной 20 мм защищали танк лучше, но рост массы оказался слишком большим. Было решено использовать листы толщиной 16 мм. Экранированный танк предлагалось построить в двух вариантах. Первый вариант предполагал увеличение боевой массы на 2622 кг, при этом защищался и корпус, и башня танка. Второй вариант не предусматривал защиту башни, зато масса экранировки получалась меньшей — 1833 кг. Во втором случае использовались листы толщиной не только 15–16, но и 10 мм (18883).</w:t>
      </w:r>
    </w:p>
    <w:p w14:paraId="1597C96D"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p>
    <w:p w14:paraId="7B171424" w14:textId="77777777" w:rsidR="003315C9" w:rsidRPr="00722885" w:rsidRDefault="003315C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середине октября 1942 года работами по ЗИС-41 загрузили завод №592. У его коллектива уже был опыт проектирования самоходных установок на колесном шасси, но весной 1942 года дальше «бумаги» дело не пошло. Инициатором работ выступил Артком ГАУ КА, санкционировавший их письмом №543460 от 22 сентября.</w:t>
      </w:r>
    </w:p>
    <w:p w14:paraId="3F6C9619" w14:textId="77777777" w:rsidR="003315C9" w:rsidRPr="00722885" w:rsidRDefault="003315C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Согласно требованиям, в качестве вооружения САУ должны были использоваться либо 57-мм противотанковая пушка ИС-1, либо 76-мм дивизионная пушка ЗИС-3. Базой выступал ЗИС-42. Правда, уже 31 октября последовало другое распоряжение. Руководство автомобильного завода ЗИС согласилось доработать ЗИС-41, так что с завода №592 работы сняли. В итоге, впрочем, доработкой ЗИС-41 в Москве так и не занимались, а позже тема и вовсе исчезла с повестки дня (17671).</w:t>
      </w:r>
    </w:p>
    <w:p w14:paraId="43C72203" w14:textId="77777777" w:rsidR="003315C9" w:rsidRPr="00722885" w:rsidRDefault="003315C9" w:rsidP="00722885">
      <w:pPr>
        <w:spacing w:after="0" w:line="240" w:lineRule="auto"/>
        <w:jc w:val="both"/>
        <w:rPr>
          <w:rFonts w:ascii="Times New Roman" w:hAnsi="Times New Roman"/>
          <w:color w:val="000000" w:themeColor="text1"/>
          <w:sz w:val="16"/>
          <w:szCs w:val="16"/>
        </w:rPr>
      </w:pPr>
    </w:p>
    <w:p w14:paraId="49709A4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FDAFFFC" w14:textId="77777777" w:rsidR="00090C9B" w:rsidRPr="00722885" w:rsidRDefault="00090C9B" w:rsidP="00722885">
      <w:pPr>
        <w:pStyle w:val="Iauiue"/>
        <w:jc w:val="both"/>
        <w:rPr>
          <w:iCs/>
          <w:color w:val="000000" w:themeColor="text1"/>
          <w:sz w:val="16"/>
          <w:szCs w:val="16"/>
        </w:rPr>
      </w:pPr>
    </w:p>
    <w:p w14:paraId="0F9B6C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16 по 26 октября 1942 проходили гос. испытания 2-местного Ил-2 N 4433 с АМ-38 с винтом АВ-5Л-158. Вед. исп. Синельников, вед. ли А.К.Долгов, техн. Филипов. Летали и С.П.Супрун и др. 28 полетов продолжительностью 9 час. 5 мин. (811,4).</w:t>
      </w:r>
    </w:p>
    <w:p w14:paraId="58937B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ноября 1942 Нач. НИИ ВВС гмиас Лосюков и Нач. 3 отд. НИИ ВВС Сафонов подписали Отчет гос. испытаний 2-местного Ил-2 N 4433 с АМ-38 с винтом АВ-5Л-158 д. 3,6 м</w:t>
      </w:r>
    </w:p>
    <w:p w14:paraId="2D082B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А.E.Репин утвердил Акт по результатам гос. испытаний 2-местного Ил-2 N 4433 с АМ-38 с винтом АВ-5Л-158 д. 3,6 м, которые проходили с 16 по 26 октября 1942 (811,4).</w:t>
      </w:r>
    </w:p>
    <w:p w14:paraId="2D7F1C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инж. Им Синельников</w:t>
      </w:r>
    </w:p>
    <w:p w14:paraId="0067DB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л. Им Супрун и др</w:t>
      </w:r>
    </w:p>
    <w:p w14:paraId="2B5828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Объект испытаний: заводом № 1 на испытания предъявлен 2-х местный с-т Ил-2 АМ-38 № 4434 с задней стрелковой блистерной установкой под пулемет УБТ. С-т переделан из одноместного серийного Ил-2 АМ-38</w:t>
      </w:r>
    </w:p>
    <w:p w14:paraId="7026DC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Основные переделки:</w:t>
      </w:r>
    </w:p>
    <w:p w14:paraId="1DDD38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место заднего фюзеляжного б/б и выреза в хвостовой части фюзеляжа оборудована кабина стрелка, где установлен п-т УБТ на стрелковой блистерной установкой с запасом патронов 150 шт. в трех магазинах. В кабине стрелка установлено регулируемое по высоте сидение.</w:t>
      </w:r>
    </w:p>
    <w:p w14:paraId="4ADDD1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радиоприемник РСИ-4А, переговорное устройство СПУ-2Ф, умформер передатчика</w:t>
      </w:r>
    </w:p>
    <w:p w14:paraId="3AC11A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под полом кабины аккумулятор 12А-10</w:t>
      </w:r>
    </w:p>
    <w:p w14:paraId="1D0FA1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вместо заднего фюзеляжного бака емкостью 300 л установлены в центроплана в двух боибоотсеках два забронированных б/б емкостью по 150 л.</w:t>
      </w:r>
    </w:p>
    <w:p w14:paraId="7BC134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кабина стрелка защищена броней сбоку, снизу и сзади. Ддя защиты его головы плита на фонаре, надголовник и на кольце блистера - прозрачная броня. Кабина стрелка снабжена сдвигающимся прозрачным фонарем. Т-образная антенна заменена на антенну в виде двух лучей, идущих от конца стабилизатора к проходному изолятору на фюзеляже.</w:t>
      </w:r>
    </w:p>
    <w:p w14:paraId="3E00AE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связи с установкой двух б/б в бомбообсеки, емкость внутренних бомбодержателей уменьшена вдвое против прежнего (вместо 4 замков для бомб ФАБ-100 или ФАБ-50 имеется 2)</w:t>
      </w:r>
    </w:p>
    <w:p w14:paraId="3B2657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Этот с-т имеет больший вес на 100-110 кг по сравнению с с-том Ил-2 двухместным № 887 завода № 30</w:t>
      </w:r>
    </w:p>
    <w:p w14:paraId="48FD65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Краткие рез-ты испытаний:</w:t>
      </w:r>
    </w:p>
    <w:p w14:paraId="3C3381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16 по 26 октября произведено 28 полетов, налет 9:05</w:t>
      </w:r>
    </w:p>
    <w:p w14:paraId="1EFD21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 4628, вес нагрузки 1352, в т.ч.:</w:t>
      </w:r>
    </w:p>
    <w:p w14:paraId="70050A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экипаж - 180</w:t>
      </w:r>
    </w:p>
    <w:p w14:paraId="0C62A1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горючее 532</w:t>
      </w:r>
    </w:p>
    <w:p w14:paraId="3ED8B6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смазочное 65</w:t>
      </w:r>
    </w:p>
    <w:p w14:paraId="1AE14A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пушки ШВАКх2 80</w:t>
      </w:r>
    </w:p>
    <w:p w14:paraId="5006DC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ШВАК (500 с ящиками) - 115</w:t>
      </w:r>
    </w:p>
    <w:p w14:paraId="3243EA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пулеметы ШКАСх2 - 21</w:t>
      </w:r>
    </w:p>
    <w:p w14:paraId="727564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ШКАС (1500 с ящиками) - 54</w:t>
      </w:r>
    </w:p>
    <w:p w14:paraId="1CA92C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П-т УБТх1 - 21</w:t>
      </w:r>
    </w:p>
    <w:p w14:paraId="211803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нему (3 магазина - 150) - 30</w:t>
      </w:r>
    </w:p>
    <w:p w14:paraId="315CF1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бомбы - 200</w:t>
      </w:r>
    </w:p>
    <w:p w14:paraId="559DFC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8хРС-82 - 54</w:t>
      </w:r>
    </w:p>
    <w:p w14:paraId="28EDC0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(норм./перегр.) - 5980/6180</w:t>
      </w:r>
    </w:p>
    <w:p w14:paraId="43FBF95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Перегрузочный вариант отличается от нормального увеличением бомбовой нагрузки на 200 кг на наружной подвеске</w:t>
      </w:r>
    </w:p>
    <w:p w14:paraId="3498DC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p w14:paraId="6747D5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у земли - 388 и 368 в перегрузочном вар-те (2хФАБ-100 на внешней подвеске и 8 РС-82)</w:t>
      </w:r>
    </w:p>
    <w:p w14:paraId="49D1C3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2000 - 407 и 387</w:t>
      </w:r>
    </w:p>
    <w:p w14:paraId="0F47E5D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420, скорость отрыва 159, взлетная дистанция (25 м) 1120</w:t>
      </w:r>
    </w:p>
    <w:p w14:paraId="54495F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на форсаже - 390, 159, 980</w:t>
      </w:r>
    </w:p>
    <w:p w14:paraId="1DDB7E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перегрузочного вар-та - 465, дистанция 1120, скорость отрыва 163</w:t>
      </w:r>
    </w:p>
    <w:p w14:paraId="08938B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Маневренность на 1000 м - вираж 48-49, высота боевого разворота 400 (скорость начала 340, конца 250, полетный вес 5980)</w:t>
      </w:r>
    </w:p>
    <w:p w14:paraId="1F5957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с-те № 887 (завода № 30) никаких изменений в перестановке б/б и броне не было.</w:t>
      </w:r>
    </w:p>
    <w:p w14:paraId="41722D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Кабина стрелка сделана сзади б/б, находящегося за спиной л. Кабина тесна и неудобна. Бронирования ее нет. Бомбовая нагрузка остается той же - 400 кг на внутренней и 200 кг га наружной.</w:t>
      </w:r>
    </w:p>
    <w:p w14:paraId="5439B4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Сравнительная таблица ЛТД 2-х местных Ил-2 пр-ва заводов № 30 и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751"/>
        <w:gridCol w:w="2835"/>
      </w:tblGrid>
      <w:tr w:rsidR="009B487A" w:rsidRPr="00722885" w14:paraId="63F16D05" w14:textId="77777777" w:rsidTr="00CC5360">
        <w:tc>
          <w:tcPr>
            <w:tcW w:w="3736" w:type="dxa"/>
            <w:tcBorders>
              <w:top w:val="single" w:sz="12" w:space="0" w:color="auto"/>
            </w:tcBorders>
          </w:tcPr>
          <w:p w14:paraId="44D1AC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Наименование</w:t>
            </w:r>
          </w:p>
        </w:tc>
        <w:tc>
          <w:tcPr>
            <w:tcW w:w="2751" w:type="dxa"/>
            <w:tcBorders>
              <w:top w:val="single" w:sz="12" w:space="0" w:color="auto"/>
            </w:tcBorders>
          </w:tcPr>
          <w:p w14:paraId="3AD05B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 № 4434 завода № 1</w:t>
            </w:r>
          </w:p>
        </w:tc>
        <w:tc>
          <w:tcPr>
            <w:tcW w:w="2835" w:type="dxa"/>
            <w:tcBorders>
              <w:top w:val="single" w:sz="12" w:space="0" w:color="auto"/>
            </w:tcBorders>
          </w:tcPr>
          <w:p w14:paraId="664443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 № 887 завода № 30</w:t>
            </w:r>
          </w:p>
        </w:tc>
      </w:tr>
      <w:tr w:rsidR="009B487A" w:rsidRPr="00722885" w14:paraId="5FCA20C1" w14:textId="77777777" w:rsidTr="00CC5360">
        <w:tc>
          <w:tcPr>
            <w:tcW w:w="3736" w:type="dxa"/>
          </w:tcPr>
          <w:p w14:paraId="3FF03B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w:t>
            </w:r>
          </w:p>
        </w:tc>
        <w:tc>
          <w:tcPr>
            <w:tcW w:w="2751" w:type="dxa"/>
          </w:tcPr>
          <w:p w14:paraId="7E2479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4628</w:t>
            </w:r>
          </w:p>
        </w:tc>
        <w:tc>
          <w:tcPr>
            <w:tcW w:w="2835" w:type="dxa"/>
          </w:tcPr>
          <w:p w14:paraId="5858BF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4517</w:t>
            </w:r>
          </w:p>
        </w:tc>
      </w:tr>
      <w:tr w:rsidR="009B487A" w:rsidRPr="00722885" w14:paraId="4FB1E3ED" w14:textId="77777777" w:rsidTr="00CC5360">
        <w:tc>
          <w:tcPr>
            <w:tcW w:w="3736" w:type="dxa"/>
          </w:tcPr>
          <w:p w14:paraId="68576F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вес</w:t>
            </w:r>
          </w:p>
        </w:tc>
        <w:tc>
          <w:tcPr>
            <w:tcW w:w="2751" w:type="dxa"/>
          </w:tcPr>
          <w:p w14:paraId="7D67A2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5980</w:t>
            </w:r>
          </w:p>
        </w:tc>
        <w:tc>
          <w:tcPr>
            <w:tcW w:w="2835" w:type="dxa"/>
          </w:tcPr>
          <w:p w14:paraId="0BCCED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6100</w:t>
            </w:r>
          </w:p>
        </w:tc>
      </w:tr>
      <w:tr w:rsidR="009B487A" w:rsidRPr="00722885" w14:paraId="589A334B" w14:textId="77777777" w:rsidTr="00CC5360">
        <w:tc>
          <w:tcPr>
            <w:tcW w:w="3736" w:type="dxa"/>
          </w:tcPr>
          <w:p w14:paraId="7681EC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Центровка</w:t>
            </w:r>
          </w:p>
        </w:tc>
        <w:tc>
          <w:tcPr>
            <w:tcW w:w="2751" w:type="dxa"/>
          </w:tcPr>
          <w:p w14:paraId="7150C4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28,75%</w:t>
            </w:r>
          </w:p>
        </w:tc>
        <w:tc>
          <w:tcPr>
            <w:tcW w:w="2835" w:type="dxa"/>
          </w:tcPr>
          <w:p w14:paraId="429491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32,85%</w:t>
            </w:r>
          </w:p>
        </w:tc>
      </w:tr>
      <w:tr w:rsidR="009B487A" w:rsidRPr="00722885" w14:paraId="0A5EE29B" w14:textId="77777777" w:rsidTr="00CC5360">
        <w:tc>
          <w:tcPr>
            <w:tcW w:w="3736" w:type="dxa"/>
          </w:tcPr>
          <w:p w14:paraId="2EAEA4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Бобардировочное вооружение внутрення загрузка</w:t>
            </w:r>
          </w:p>
        </w:tc>
        <w:tc>
          <w:tcPr>
            <w:tcW w:w="2751" w:type="dxa"/>
          </w:tcPr>
          <w:p w14:paraId="7CDC59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c>
          <w:tcPr>
            <w:tcW w:w="2835" w:type="dxa"/>
          </w:tcPr>
          <w:p w14:paraId="2C566B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4х50 или 4х100</w:t>
            </w:r>
          </w:p>
        </w:tc>
      </w:tr>
      <w:tr w:rsidR="009B487A" w:rsidRPr="00722885" w14:paraId="6F463497" w14:textId="77777777" w:rsidTr="00CC5360">
        <w:tc>
          <w:tcPr>
            <w:tcW w:w="3736" w:type="dxa"/>
          </w:tcPr>
          <w:p w14:paraId="75281D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внешняя</w:t>
            </w:r>
          </w:p>
        </w:tc>
        <w:tc>
          <w:tcPr>
            <w:tcW w:w="2751" w:type="dxa"/>
          </w:tcPr>
          <w:p w14:paraId="1EF876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c>
          <w:tcPr>
            <w:tcW w:w="2835" w:type="dxa"/>
          </w:tcPr>
          <w:p w14:paraId="3CE9C5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r>
      <w:tr w:rsidR="009B487A" w:rsidRPr="00722885" w14:paraId="4362417E" w14:textId="77777777" w:rsidTr="00CC5360">
        <w:tc>
          <w:tcPr>
            <w:tcW w:w="3736" w:type="dxa"/>
          </w:tcPr>
          <w:p w14:paraId="735C65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Ракетное вооружение</w:t>
            </w:r>
          </w:p>
        </w:tc>
        <w:tc>
          <w:tcPr>
            <w:tcW w:w="2751" w:type="dxa"/>
          </w:tcPr>
          <w:p w14:paraId="3AB218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w:t>
            </w:r>
          </w:p>
        </w:tc>
        <w:tc>
          <w:tcPr>
            <w:tcW w:w="2835" w:type="dxa"/>
          </w:tcPr>
          <w:p w14:paraId="5D633E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w:t>
            </w:r>
          </w:p>
        </w:tc>
      </w:tr>
      <w:tr w:rsidR="009B487A" w:rsidRPr="00722885" w14:paraId="69DA07FE" w14:textId="77777777" w:rsidTr="00CC5360">
        <w:tc>
          <w:tcPr>
            <w:tcW w:w="3736" w:type="dxa"/>
          </w:tcPr>
          <w:p w14:paraId="2B775C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tc>
        <w:tc>
          <w:tcPr>
            <w:tcW w:w="2751" w:type="dxa"/>
          </w:tcPr>
          <w:p w14:paraId="1D138A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391/280 с 2хФАБ-100 внутри и 8хРС</w:t>
            </w:r>
          </w:p>
        </w:tc>
        <w:tc>
          <w:tcPr>
            <w:tcW w:w="2835" w:type="dxa"/>
          </w:tcPr>
          <w:p w14:paraId="11BF10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386/280 с 4хФАБ-100 внутри и 8хРС</w:t>
            </w:r>
          </w:p>
        </w:tc>
      </w:tr>
      <w:tr w:rsidR="009B487A" w:rsidRPr="00722885" w14:paraId="2F63F7C0" w14:textId="77777777" w:rsidTr="00CC5360">
        <w:tc>
          <w:tcPr>
            <w:tcW w:w="3736" w:type="dxa"/>
          </w:tcPr>
          <w:p w14:paraId="6C7184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набора 1000 м</w:t>
            </w:r>
          </w:p>
        </w:tc>
        <w:tc>
          <w:tcPr>
            <w:tcW w:w="2751" w:type="dxa"/>
          </w:tcPr>
          <w:p w14:paraId="5A0250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w:t>
            </w:r>
          </w:p>
        </w:tc>
        <w:tc>
          <w:tcPr>
            <w:tcW w:w="2835" w:type="dxa"/>
          </w:tcPr>
          <w:p w14:paraId="25C5C6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w:t>
            </w:r>
          </w:p>
        </w:tc>
      </w:tr>
      <w:tr w:rsidR="009B487A" w:rsidRPr="00722885" w14:paraId="08BE95B7" w14:textId="77777777" w:rsidTr="00CC5360">
        <w:tc>
          <w:tcPr>
            <w:tcW w:w="3736" w:type="dxa"/>
          </w:tcPr>
          <w:p w14:paraId="292441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(с форсажем)</w:t>
            </w:r>
          </w:p>
        </w:tc>
        <w:tc>
          <w:tcPr>
            <w:tcW w:w="2751" w:type="dxa"/>
          </w:tcPr>
          <w:p w14:paraId="6EFF8F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390</w:t>
            </w:r>
          </w:p>
        </w:tc>
        <w:tc>
          <w:tcPr>
            <w:tcW w:w="2835" w:type="dxa"/>
          </w:tcPr>
          <w:p w14:paraId="5D25A8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390</w:t>
            </w:r>
          </w:p>
        </w:tc>
      </w:tr>
      <w:tr w:rsidR="009B487A" w:rsidRPr="00722885" w14:paraId="30CC238A" w14:textId="77777777" w:rsidTr="00CC5360">
        <w:tc>
          <w:tcPr>
            <w:tcW w:w="3736" w:type="dxa"/>
          </w:tcPr>
          <w:p w14:paraId="128245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дистанция с форсажем</w:t>
            </w:r>
          </w:p>
        </w:tc>
        <w:tc>
          <w:tcPr>
            <w:tcW w:w="2751" w:type="dxa"/>
          </w:tcPr>
          <w:p w14:paraId="2AA0E1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980</w:t>
            </w:r>
          </w:p>
        </w:tc>
        <w:tc>
          <w:tcPr>
            <w:tcW w:w="2835" w:type="dxa"/>
          </w:tcPr>
          <w:p w14:paraId="78FA2E3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1240</w:t>
            </w:r>
          </w:p>
        </w:tc>
      </w:tr>
      <w:tr w:rsidR="009B487A" w:rsidRPr="00722885" w14:paraId="6BD59379" w14:textId="77777777" w:rsidTr="00CC5360">
        <w:tc>
          <w:tcPr>
            <w:tcW w:w="3736" w:type="dxa"/>
            <w:tcBorders>
              <w:bottom w:val="single" w:sz="12" w:space="0" w:color="auto"/>
            </w:tcBorders>
          </w:tcPr>
          <w:p w14:paraId="227C2F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Емкость б/баков</w:t>
            </w:r>
          </w:p>
        </w:tc>
        <w:tc>
          <w:tcPr>
            <w:tcW w:w="2751" w:type="dxa"/>
            <w:tcBorders>
              <w:bottom w:val="single" w:sz="12" w:space="0" w:color="auto"/>
            </w:tcBorders>
          </w:tcPr>
          <w:p w14:paraId="112743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720</w:t>
            </w:r>
          </w:p>
        </w:tc>
        <w:tc>
          <w:tcPr>
            <w:tcW w:w="2835" w:type="dxa"/>
            <w:tcBorders>
              <w:bottom w:val="single" w:sz="12" w:space="0" w:color="auto"/>
            </w:tcBorders>
          </w:tcPr>
          <w:p w14:paraId="2A5722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720</w:t>
            </w:r>
          </w:p>
        </w:tc>
      </w:tr>
    </w:tbl>
    <w:p w14:paraId="7B878C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постановлению ГОКО - нормальная бомбовая нагрузка двухместного Ил-2 - 300 кг + 4хРС-82</w:t>
      </w:r>
    </w:p>
    <w:p w14:paraId="1A2FB5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 Ил-2 № 4434 - по мягкому травному грунту</w:t>
      </w:r>
    </w:p>
    <w:p w14:paraId="33503D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Заключение:</w:t>
      </w:r>
    </w:p>
    <w:p w14:paraId="285E44E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Двухместный с-т Ил-2 производства з-да № 1 по сравнению с 2-х местным Ил-2 завода № 30 имеет следующие преимущества:</w:t>
      </w:r>
    </w:p>
    <w:p w14:paraId="4385E3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кабина стрелка свободна, в ней обеспечивается удобство работы</w:t>
      </w:r>
    </w:p>
    <w:p w14:paraId="0287BF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кабина стрелка забронирована сбоку, снизу, сзади и частично сверху</w:t>
      </w:r>
    </w:p>
    <w:p w14:paraId="2CB8DE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сохранена центровка с-та</w:t>
      </w:r>
    </w:p>
    <w:p w14:paraId="4B4D84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 недостатки:</w:t>
      </w:r>
    </w:p>
    <w:p w14:paraId="77D339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уменьшегно число замков для внутренней подвески бомб - вместо 4-х - 2, общая емкость при этом снизилась до 400 кг вместо 600 кг, что не позволит увеличить бомбовую нагрузку при постановке на с-т более мощного мотора АМ-38Ф</w:t>
      </w:r>
    </w:p>
    <w:p w14:paraId="7D5507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б) увеличенная поражаемая поверхность б/б</w:t>
      </w:r>
    </w:p>
    <w:p w14:paraId="420ED6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увеличен вес пустого на 100-110 кг</w:t>
      </w:r>
    </w:p>
    <w:p w14:paraId="4E5094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Решение о целесообразности постройки 2-х местного с-тов Ил-2 производства з-да № 1 принять после проведения войсковых испытаний 2-х местных машин производства завода № 30... Этот с-т передать в часты, производящую войсковые испытания Ил-2 завода № 30</w:t>
      </w:r>
    </w:p>
    <w:p w14:paraId="045197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Донесение испытателя м Долгова: С-т Ил-2 № 4434 по типу пилотирования со всеми вариантами загрузки ничем не отличается от нормального серийного одноместного с-та (несколько больше склонен к планированию при скорости 190 км/час за счет увеличения полетного веса).</w:t>
      </w:r>
    </w:p>
    <w:p w14:paraId="4920A95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Ил-2 № 4434 по технике пилотирования приятнее с-та Ил-2 № 887: легче поднимает хвост на взлете, легче в управлении, хороше послушен на рулении, не чувствуется задней центровки</w:t>
      </w:r>
    </w:p>
    <w:p w14:paraId="050CE6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Октябрь 1942</w:t>
      </w:r>
    </w:p>
    <w:p w14:paraId="5AF418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Донесение им А.В.Синельникова по облету Ил-2 № 4434 - в общем с-т Ил-2 производства з-да № 1 в управлении приятен - 26 октября 1942 (811,4).</w:t>
      </w:r>
    </w:p>
    <w:p w14:paraId="614DF948" w14:textId="77777777" w:rsidR="00090C9B" w:rsidRPr="00722885" w:rsidRDefault="00090C9B" w:rsidP="00722885">
      <w:pPr>
        <w:pStyle w:val="Iauiue"/>
        <w:jc w:val="both"/>
        <w:rPr>
          <w:color w:val="000000" w:themeColor="text1"/>
          <w:sz w:val="16"/>
          <w:szCs w:val="16"/>
        </w:rPr>
      </w:pPr>
    </w:p>
    <w:p w14:paraId="07613C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16-го по 26 октября 1942 г. Ил-2бис завода 1 успешно прошел гос. испытания (ведущий летчик-испытатель А.К.Долгов, ведущий инженер-летчик А.В.Синельни</w:t>
      </w:r>
      <w:r w:rsidRPr="00722885">
        <w:rPr>
          <w:color w:val="000000" w:themeColor="text1"/>
          <w:sz w:val="16"/>
          <w:szCs w:val="16"/>
        </w:rPr>
        <w:softHyphen/>
        <w:t>ков). Всего в рамках программы гос. испытания было выполнено 28 полетов с общим налетом 9 часов 5 минут.</w:t>
      </w:r>
    </w:p>
    <w:p w14:paraId="3866C2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Государственные испытания показа</w:t>
      </w:r>
      <w:r w:rsidRPr="00722885">
        <w:rPr>
          <w:color w:val="000000" w:themeColor="text1"/>
          <w:sz w:val="16"/>
          <w:szCs w:val="16"/>
        </w:rPr>
        <w:softHyphen/>
        <w:t>ли, что по своим летно-техническим и пилотажным характеристикам Ил-2бис практически не отличался от одномест</w:t>
      </w:r>
      <w:r w:rsidRPr="00722885">
        <w:rPr>
          <w:color w:val="000000" w:themeColor="text1"/>
          <w:sz w:val="16"/>
          <w:szCs w:val="16"/>
        </w:rPr>
        <w:softHyphen/>
        <w:t>ной серийной машины этого же завода. Максимальная горизонтальная скорость у земли составила 388 км/ч, а на высоте 2000 м - 407 км/ч.</w:t>
      </w:r>
    </w:p>
    <w:p w14:paraId="594027D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подъема на высоту 1000 м со</w:t>
      </w:r>
      <w:r w:rsidRPr="00722885">
        <w:rPr>
          <w:color w:val="000000" w:themeColor="text1"/>
          <w:sz w:val="16"/>
          <w:szCs w:val="16"/>
        </w:rPr>
        <w:softHyphen/>
        <w:t>ставляло 2,4 минуты, а время виража на этой высоте - 48-49 сек. При этом за один боевой разворот на высоте 1000 м штурмовик набирал высоту 400 м. Дли</w:t>
      </w:r>
      <w:r w:rsidRPr="00722885">
        <w:rPr>
          <w:color w:val="000000" w:themeColor="text1"/>
          <w:sz w:val="16"/>
          <w:szCs w:val="16"/>
        </w:rPr>
        <w:softHyphen/>
        <w:t>на разбега при установке щитков на взлетный угол равнялась 420 м.</w:t>
      </w:r>
    </w:p>
    <w:p w14:paraId="0D44B1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общему мнению летчиков, новый самолет получился хорошим, хотя и тре</w:t>
      </w:r>
      <w:r w:rsidRPr="00722885">
        <w:rPr>
          <w:color w:val="000000" w:themeColor="text1"/>
          <w:sz w:val="16"/>
          <w:szCs w:val="16"/>
        </w:rPr>
        <w:softHyphen/>
        <w:t>бовал большого объема конструктивных изменений, связанных в основном с пе</w:t>
      </w:r>
      <w:r w:rsidRPr="00722885">
        <w:rPr>
          <w:color w:val="000000" w:themeColor="text1"/>
          <w:sz w:val="16"/>
          <w:szCs w:val="16"/>
        </w:rPr>
        <w:softHyphen/>
        <w:t>рекомпоновкой баков, что само по себе было сложным для серийного произ</w:t>
      </w:r>
      <w:r w:rsidRPr="00722885">
        <w:rPr>
          <w:color w:val="000000" w:themeColor="text1"/>
          <w:sz w:val="16"/>
          <w:szCs w:val="16"/>
        </w:rPr>
        <w:softHyphen/>
        <w:t>водства. В связи с этим, руководством ВВС КА и НКАП было принято решение провести войсковые испытания самоле</w:t>
      </w:r>
      <w:r w:rsidRPr="00722885">
        <w:rPr>
          <w:color w:val="000000" w:themeColor="text1"/>
          <w:sz w:val="16"/>
          <w:szCs w:val="16"/>
        </w:rPr>
        <w:softHyphen/>
        <w:t>та в боевых условиях и уже по резуль</w:t>
      </w:r>
      <w:r w:rsidRPr="00722885">
        <w:rPr>
          <w:color w:val="000000" w:themeColor="text1"/>
          <w:sz w:val="16"/>
          <w:szCs w:val="16"/>
        </w:rPr>
        <w:softHyphen/>
        <w:t>татам последних сделать вывод о целе</w:t>
      </w:r>
      <w:r w:rsidRPr="00722885">
        <w:rPr>
          <w:color w:val="000000" w:themeColor="text1"/>
          <w:sz w:val="16"/>
          <w:szCs w:val="16"/>
        </w:rPr>
        <w:softHyphen/>
        <w:t>сообразности запуска Ил-2бис в серий</w:t>
      </w:r>
      <w:r w:rsidRPr="00722885">
        <w:rPr>
          <w:color w:val="000000" w:themeColor="text1"/>
          <w:sz w:val="16"/>
          <w:szCs w:val="16"/>
        </w:rPr>
        <w:softHyphen/>
        <w:t>ное производство (6467).</w:t>
      </w:r>
    </w:p>
    <w:p w14:paraId="1F5A7243" w14:textId="77777777" w:rsidR="00090C9B" w:rsidRPr="00722885" w:rsidRDefault="00090C9B" w:rsidP="00722885">
      <w:pPr>
        <w:pStyle w:val="Iauiue"/>
        <w:jc w:val="both"/>
        <w:rPr>
          <w:color w:val="000000" w:themeColor="text1"/>
          <w:sz w:val="16"/>
          <w:szCs w:val="16"/>
        </w:rPr>
      </w:pPr>
    </w:p>
    <w:p w14:paraId="6BDE4A5B" w14:textId="77777777" w:rsidR="00E07874" w:rsidRPr="00722885" w:rsidRDefault="00E0787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 16 по 18 октября 1942 г. установка ВУБ-3 с пулеметом УБТ проходила на НИП АВ ВВС государственные испытания на Ил-2 зав. № 30928 и с треском их провалила.</w:t>
      </w:r>
    </w:p>
    <w:p w14:paraId="49D772FA" w14:textId="77777777" w:rsidR="00E07874" w:rsidRPr="00722885" w:rsidRDefault="00E07874"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Выяснилось, что ВУБ-3 имеет малую живучесть основных деталей и не обес</w:t>
      </w:r>
      <w:r w:rsidRPr="00722885">
        <w:rPr>
          <w:rFonts w:ascii="Times New Roman" w:hAnsi="Times New Roman" w:cs="Times New Roman"/>
          <w:color w:val="000000" w:themeColor="text1"/>
          <w:sz w:val="16"/>
          <w:szCs w:val="16"/>
        </w:rPr>
        <w:softHyphen/>
        <w:t>печивает нормальную работу автоматики пулемета. В ходе испытаний не удалось отстрелять и пяти боекомплектов (всего выполнено 1099 выстрелов), как полома</w:t>
      </w:r>
      <w:r w:rsidRPr="00722885">
        <w:rPr>
          <w:rFonts w:ascii="Times New Roman" w:hAnsi="Times New Roman" w:cs="Times New Roman"/>
          <w:color w:val="000000" w:themeColor="text1"/>
          <w:sz w:val="16"/>
          <w:szCs w:val="16"/>
        </w:rPr>
        <w:softHyphen/>
        <w:t>лись обоймы подшипников и кронштейны каретки. Установка совершенно вышла из строя. При этом было получено 13 задер</w:t>
      </w:r>
      <w:r w:rsidRPr="00722885">
        <w:rPr>
          <w:rFonts w:ascii="Times New Roman" w:hAnsi="Times New Roman" w:cs="Times New Roman"/>
          <w:color w:val="000000" w:themeColor="text1"/>
          <w:sz w:val="16"/>
          <w:szCs w:val="16"/>
        </w:rPr>
        <w:softHyphen/>
        <w:t>жек при стрельбе. Все по вине установки, большая часть из них была «неустранима в полете перезарядкой».</w:t>
      </w:r>
    </w:p>
    <w:p w14:paraId="6962CCA4"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акте по испытаниям констатиро</w:t>
      </w:r>
      <w:r w:rsidRPr="00722885">
        <w:rPr>
          <w:rFonts w:ascii="Times New Roman" w:hAnsi="Times New Roman"/>
          <w:color w:val="000000" w:themeColor="text1"/>
          <w:sz w:val="16"/>
          <w:szCs w:val="16"/>
        </w:rPr>
        <w:softHyphen/>
        <w:t>валось:</w:t>
      </w:r>
    </w:p>
    <w:p w14:paraId="0E519808"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Представленная заводом №30 задняя дополнительная стрелковая установка под пулемет БТ кал. 12,7 мм, смонтированная во второй кабине само</w:t>
      </w:r>
      <w:r w:rsidRPr="00722885">
        <w:rPr>
          <w:rFonts w:ascii="Times New Roman" w:hAnsi="Times New Roman"/>
          <w:color w:val="000000" w:themeColor="text1"/>
          <w:sz w:val="16"/>
          <w:szCs w:val="16"/>
        </w:rPr>
        <w:softHyphen/>
        <w:t>лета Ил-2. ПОЛИГОННЫЕ ИСПЫТАНИЯ НЕ ВЫДЕРЖАЛА (так в тексте документа) вследствие низкой живучести основных деталей установки и ненадеж</w:t>
      </w:r>
      <w:r w:rsidRPr="00722885">
        <w:rPr>
          <w:rFonts w:ascii="Times New Roman" w:hAnsi="Times New Roman"/>
          <w:color w:val="000000" w:themeColor="text1"/>
          <w:sz w:val="16"/>
          <w:szCs w:val="16"/>
        </w:rPr>
        <w:softHyphen/>
        <w:t>ной работы агрегатов питания.</w:t>
      </w:r>
    </w:p>
    <w:p w14:paraId="6B422652"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НИП АВ считает целесообразным защиту задней полусферы самолета Ил-2 постановкой пулемета кал. 12,7 мм на более надежной установке».</w:t>
      </w:r>
    </w:p>
    <w:p w14:paraId="63C51990"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ВУБ-3 уже внедрялась в серию. Решили постепенно довести установку до требуемых норм в ходе производства (19111).</w:t>
      </w:r>
    </w:p>
    <w:p w14:paraId="1B729A3B" w14:textId="77777777" w:rsidR="00E07874" w:rsidRPr="00722885" w:rsidRDefault="00E07874" w:rsidP="00722885">
      <w:pPr>
        <w:spacing w:after="0" w:line="240" w:lineRule="auto"/>
        <w:jc w:val="both"/>
        <w:rPr>
          <w:rFonts w:ascii="Times New Roman" w:hAnsi="Times New Roman"/>
          <w:color w:val="000000" w:themeColor="text1"/>
          <w:sz w:val="16"/>
          <w:szCs w:val="16"/>
        </w:rPr>
      </w:pPr>
    </w:p>
    <w:p w14:paraId="20C3ADEB" w14:textId="77777777" w:rsidR="00AD63AE" w:rsidRPr="00722885" w:rsidRDefault="00AD63AE" w:rsidP="00722885">
      <w:pPr>
        <w:pStyle w:val="95"/>
        <w:shd w:val="clear" w:color="auto" w:fill="auto"/>
        <w:spacing w:after="0" w:line="240" w:lineRule="auto"/>
        <w:ind w:firstLine="0"/>
        <w:jc w:val="both"/>
        <w:rPr>
          <w:color w:val="0070C0"/>
          <w:sz w:val="16"/>
          <w:szCs w:val="16"/>
        </w:rPr>
      </w:pPr>
      <w:r w:rsidRPr="00722885">
        <w:rPr>
          <w:color w:val="0070C0"/>
          <w:sz w:val="16"/>
          <w:szCs w:val="16"/>
        </w:rPr>
        <w:t>К 16 октября 1942 Ильюшин согласовал рабочие чертежи подвижной установки ВУБ-3 под пулемет УБТ завода №32, и приказом по НКАП №780с директорам заводов №1, 18, 30, 32, 43 и 219 предписывалось приступить к произ</w:t>
      </w:r>
      <w:r w:rsidRPr="00722885">
        <w:rPr>
          <w:color w:val="0070C0"/>
          <w:sz w:val="16"/>
          <w:szCs w:val="16"/>
        </w:rPr>
        <w:softHyphen/>
        <w:t>водству самолетов Ил-2 с ВУБ-3 (19877).</w:t>
      </w:r>
    </w:p>
    <w:p w14:paraId="0DF3D2C3" w14:textId="77777777" w:rsidR="00AD63AE" w:rsidRPr="00722885" w:rsidRDefault="00AD63AE" w:rsidP="00722885">
      <w:pPr>
        <w:pStyle w:val="95"/>
        <w:shd w:val="clear" w:color="auto" w:fill="auto"/>
        <w:spacing w:after="0" w:line="240" w:lineRule="auto"/>
        <w:ind w:firstLine="0"/>
        <w:jc w:val="both"/>
        <w:rPr>
          <w:color w:val="0070C0"/>
          <w:sz w:val="16"/>
          <w:szCs w:val="16"/>
        </w:rPr>
      </w:pPr>
    </w:p>
    <w:p w14:paraId="5DE933C4" w14:textId="77777777" w:rsidR="00AD63AE" w:rsidRPr="00722885" w:rsidRDefault="00AD63AE" w:rsidP="00722885">
      <w:pPr>
        <w:pStyle w:val="95"/>
        <w:shd w:val="clear" w:color="auto" w:fill="auto"/>
        <w:spacing w:after="0" w:line="240" w:lineRule="auto"/>
        <w:ind w:firstLine="0"/>
        <w:jc w:val="both"/>
        <w:rPr>
          <w:color w:val="0070C0"/>
          <w:sz w:val="16"/>
          <w:szCs w:val="16"/>
        </w:rPr>
      </w:pPr>
      <w:r w:rsidRPr="00722885">
        <w:rPr>
          <w:color w:val="0070C0"/>
          <w:sz w:val="16"/>
          <w:szCs w:val="16"/>
        </w:rPr>
        <w:t>С 16 по 18 октября 1942 г. установка ВУБ-3 с УБТ проходила на НИП АВ ВВС государствен</w:t>
      </w:r>
      <w:r w:rsidRPr="00722885">
        <w:rPr>
          <w:color w:val="0070C0"/>
          <w:sz w:val="16"/>
          <w:szCs w:val="16"/>
        </w:rPr>
        <w:softHyphen/>
        <w:t>ные испытания на серийном самолете Ил-2 зав. №30928 и с треском их провалила. По сравнению с ВУБ-3, смонтированной на Ил-2 №30887, в доработанную установку внесли следующие изменения: укоротили кольцо (с обоих концов), на десять звеньев уменьшили длину патронного рукава, внедрили новый па</w:t>
      </w:r>
      <w:r w:rsidRPr="00722885">
        <w:rPr>
          <w:color w:val="0070C0"/>
          <w:sz w:val="16"/>
          <w:szCs w:val="16"/>
        </w:rPr>
        <w:softHyphen/>
        <w:t>тронный ящик емкостью 230 патронов в ленте. Гильзы и звенья собирались в быстросъемный брезентовый мешок, вмещавший 95 гильз и 95 звеньев.</w:t>
      </w:r>
    </w:p>
    <w:p w14:paraId="5673D77E" w14:textId="77777777" w:rsidR="00AD63AE" w:rsidRPr="00722885" w:rsidRDefault="00AD63AE" w:rsidP="00722885">
      <w:pPr>
        <w:pStyle w:val="95"/>
        <w:shd w:val="clear" w:color="auto" w:fill="auto"/>
        <w:spacing w:after="0" w:line="240" w:lineRule="auto"/>
        <w:ind w:firstLine="0"/>
        <w:jc w:val="both"/>
        <w:rPr>
          <w:color w:val="0070C0"/>
          <w:sz w:val="16"/>
          <w:szCs w:val="16"/>
        </w:rPr>
      </w:pPr>
      <w:r w:rsidRPr="00722885">
        <w:rPr>
          <w:color w:val="0070C0"/>
          <w:sz w:val="16"/>
          <w:szCs w:val="16"/>
        </w:rPr>
        <w:t>В ходе испытаний выяснилось, что улуч</w:t>
      </w:r>
      <w:r w:rsidRPr="00722885">
        <w:rPr>
          <w:color w:val="0070C0"/>
          <w:sz w:val="16"/>
          <w:szCs w:val="16"/>
        </w:rPr>
        <w:softHyphen/>
        <w:t>шенный вариант ВУБ-3 имеет малую живу</w:t>
      </w:r>
      <w:r w:rsidRPr="00722885">
        <w:rPr>
          <w:color w:val="0070C0"/>
          <w:sz w:val="16"/>
          <w:szCs w:val="16"/>
        </w:rPr>
        <w:softHyphen/>
        <w:t>честь основных деталей и не обеспечивает нормальную работу автоматики пулемета. Испытатели не смогли отстрелять даже пяти боекомплектов (всего выполнили 1099 вы</w:t>
      </w:r>
      <w:r w:rsidRPr="00722885">
        <w:rPr>
          <w:color w:val="0070C0"/>
          <w:sz w:val="16"/>
          <w:szCs w:val="16"/>
        </w:rPr>
        <w:softHyphen/>
        <w:t xml:space="preserve">стрелов) - сломались обоймы подшипников и кронштейны каретки. Установка вышла из строя. При этом зафиксировали 13 задержек при стрельбе, большая часть которых была </w:t>
      </w:r>
      <w:r w:rsidRPr="00722885">
        <w:rPr>
          <w:rStyle w:val="aff6"/>
          <w:rFonts w:ascii="Times New Roman" w:hAnsi="Times New Roman" w:cs="Times New Roman"/>
          <w:color w:val="0070C0"/>
        </w:rPr>
        <w:t>«неустранима в полете перезарядкой».</w:t>
      </w:r>
    </w:p>
    <w:p w14:paraId="351EEF31" w14:textId="77777777" w:rsidR="00AD63AE" w:rsidRPr="00722885" w:rsidRDefault="00AD63AE" w:rsidP="00722885">
      <w:pPr>
        <w:pStyle w:val="95"/>
        <w:shd w:val="clear" w:color="auto" w:fill="auto"/>
        <w:spacing w:after="0" w:line="240" w:lineRule="auto"/>
        <w:ind w:firstLine="0"/>
        <w:jc w:val="both"/>
        <w:rPr>
          <w:color w:val="0070C0"/>
          <w:sz w:val="16"/>
          <w:szCs w:val="16"/>
        </w:rPr>
      </w:pPr>
      <w:r w:rsidRPr="00722885">
        <w:rPr>
          <w:color w:val="0070C0"/>
          <w:sz w:val="16"/>
          <w:szCs w:val="16"/>
        </w:rPr>
        <w:t>Причиной 11 задержек являлся конструк</w:t>
      </w:r>
      <w:r w:rsidRPr="00722885">
        <w:rPr>
          <w:color w:val="0070C0"/>
          <w:sz w:val="16"/>
          <w:szCs w:val="16"/>
        </w:rPr>
        <w:softHyphen/>
        <w:t>тивный недостаток системы подтяга ленты. Во время автоматической стрельбы происходило заклинение патронной ленты между зубчат</w:t>
      </w:r>
      <w:r w:rsidRPr="00722885">
        <w:rPr>
          <w:color w:val="0070C0"/>
          <w:sz w:val="16"/>
          <w:szCs w:val="16"/>
        </w:rPr>
        <w:softHyphen/>
        <w:t>кой подтяга и стенкой входной горловины рукава питания. Лента натягивалась, первый патрон не мог зафиксироваться нижними пальцами приемника пулемета, и лента рас</w:t>
      </w:r>
      <w:r w:rsidRPr="00722885">
        <w:rPr>
          <w:color w:val="0070C0"/>
          <w:sz w:val="16"/>
          <w:szCs w:val="16"/>
        </w:rPr>
        <w:softHyphen/>
        <w:t>соединялась. Для продолжения стрельбы тре</w:t>
      </w:r>
      <w:r w:rsidRPr="00722885">
        <w:rPr>
          <w:color w:val="0070C0"/>
          <w:sz w:val="16"/>
          <w:szCs w:val="16"/>
        </w:rPr>
        <w:softHyphen/>
        <w:t>бовалось устранить заклинение ленты и за</w:t>
      </w:r>
      <w:r w:rsidRPr="00722885">
        <w:rPr>
          <w:color w:val="0070C0"/>
          <w:sz w:val="16"/>
          <w:szCs w:val="16"/>
        </w:rPr>
        <w:softHyphen/>
        <w:t>рядить пулемет. Но сделать это в полете было невозможно.</w:t>
      </w:r>
    </w:p>
    <w:p w14:paraId="7ECAEC49" w14:textId="77777777" w:rsidR="00AD63AE" w:rsidRPr="00722885" w:rsidRDefault="00AD63AE" w:rsidP="00722885">
      <w:pPr>
        <w:pStyle w:val="95"/>
        <w:shd w:val="clear" w:color="auto" w:fill="auto"/>
        <w:spacing w:after="0" w:line="240" w:lineRule="auto"/>
        <w:ind w:firstLine="0"/>
        <w:jc w:val="both"/>
        <w:rPr>
          <w:color w:val="0070C0"/>
          <w:sz w:val="16"/>
          <w:szCs w:val="16"/>
        </w:rPr>
      </w:pPr>
      <w:r w:rsidRPr="00722885">
        <w:rPr>
          <w:color w:val="0070C0"/>
          <w:sz w:val="16"/>
          <w:szCs w:val="16"/>
        </w:rPr>
        <w:t>В двух случаях произошло заклинение подвижных частей пулемета отраженной гиль</w:t>
      </w:r>
      <w:r w:rsidRPr="00722885">
        <w:rPr>
          <w:color w:val="0070C0"/>
          <w:sz w:val="16"/>
          <w:szCs w:val="16"/>
        </w:rPr>
        <w:softHyphen/>
        <w:t>зой, которая попадала в предохранительный щиток и отскакивала обратно.</w:t>
      </w:r>
    </w:p>
    <w:p w14:paraId="49D7A348" w14:textId="77777777" w:rsidR="00AD63AE" w:rsidRPr="00722885" w:rsidRDefault="00AD63AE" w:rsidP="00722885">
      <w:pPr>
        <w:pStyle w:val="95"/>
        <w:shd w:val="clear" w:color="auto" w:fill="auto"/>
        <w:spacing w:after="0" w:line="240" w:lineRule="auto"/>
        <w:ind w:firstLine="0"/>
        <w:jc w:val="both"/>
        <w:rPr>
          <w:color w:val="0070C0"/>
          <w:sz w:val="16"/>
          <w:szCs w:val="16"/>
        </w:rPr>
      </w:pPr>
      <w:r w:rsidRPr="00722885">
        <w:rPr>
          <w:color w:val="0070C0"/>
          <w:sz w:val="16"/>
          <w:szCs w:val="16"/>
        </w:rPr>
        <w:t>Замеренные углы обстрела (вверх - 28°, влево - 45°, вправо - 30°, вниз по борту - 12°) сочли недостаточными для эффективной за</w:t>
      </w:r>
      <w:r w:rsidRPr="00722885">
        <w:rPr>
          <w:color w:val="0070C0"/>
          <w:sz w:val="16"/>
          <w:szCs w:val="16"/>
        </w:rPr>
        <w:softHyphen/>
        <w:t>щиты от атак истребителей и взаимной огне</w:t>
      </w:r>
      <w:r w:rsidRPr="00722885">
        <w:rPr>
          <w:color w:val="0070C0"/>
          <w:sz w:val="16"/>
          <w:szCs w:val="16"/>
        </w:rPr>
        <w:softHyphen/>
        <w:t>вой поддержки между самолетами при дейст</w:t>
      </w:r>
      <w:r w:rsidRPr="00722885">
        <w:rPr>
          <w:color w:val="0070C0"/>
          <w:sz w:val="16"/>
          <w:szCs w:val="16"/>
        </w:rPr>
        <w:softHyphen/>
        <w:t>вии в составе группы.</w:t>
      </w:r>
    </w:p>
    <w:p w14:paraId="709FD73F" w14:textId="77777777" w:rsidR="00AD63AE" w:rsidRPr="00722885" w:rsidRDefault="00AD63AE" w:rsidP="00722885">
      <w:pPr>
        <w:pStyle w:val="95"/>
        <w:shd w:val="clear" w:color="auto" w:fill="auto"/>
        <w:spacing w:after="0" w:line="240" w:lineRule="auto"/>
        <w:ind w:firstLine="0"/>
        <w:jc w:val="both"/>
        <w:rPr>
          <w:color w:val="0070C0"/>
          <w:sz w:val="16"/>
          <w:szCs w:val="16"/>
        </w:rPr>
      </w:pPr>
      <w:r w:rsidRPr="00722885">
        <w:rPr>
          <w:color w:val="0070C0"/>
          <w:sz w:val="16"/>
          <w:szCs w:val="16"/>
        </w:rPr>
        <w:t>Кабина была</w:t>
      </w:r>
      <w:r w:rsidRPr="00722885">
        <w:rPr>
          <w:rStyle w:val="aff6"/>
          <w:rFonts w:ascii="Times New Roman" w:hAnsi="Times New Roman" w:cs="Times New Roman"/>
          <w:color w:val="0070C0"/>
        </w:rPr>
        <w:t xml:space="preserve"> «мала по размерам»</w:t>
      </w:r>
      <w:r w:rsidRPr="00722885">
        <w:rPr>
          <w:color w:val="0070C0"/>
          <w:sz w:val="16"/>
          <w:szCs w:val="16"/>
        </w:rPr>
        <w:t xml:space="preserve"> (по длине): стрелок, одетый в меховой комби</w:t>
      </w:r>
      <w:r w:rsidRPr="00722885">
        <w:rPr>
          <w:color w:val="0070C0"/>
          <w:sz w:val="16"/>
          <w:szCs w:val="16"/>
        </w:rPr>
        <w:softHyphen/>
        <w:t>незон и с парашютом, с трудом помещался между пулеметом и задней стенкой броне- корпуса и для ведения прицельной стрельбы вынужден был занимать неестественное положение. Ему было неудобно маневриро</w:t>
      </w:r>
      <w:r w:rsidRPr="00722885">
        <w:rPr>
          <w:color w:val="0070C0"/>
          <w:sz w:val="16"/>
          <w:szCs w:val="16"/>
        </w:rPr>
        <w:softHyphen/>
        <w:t>вать установкой и перезаряжать пулемет. На задней броневой стенке кабины летчика, в которую стрелок упирался спиной, отсутство</w:t>
      </w:r>
      <w:r w:rsidRPr="00722885">
        <w:rPr>
          <w:color w:val="0070C0"/>
          <w:sz w:val="16"/>
          <w:szCs w:val="16"/>
        </w:rPr>
        <w:softHyphen/>
        <w:t>вала теплоизоляционная подушка. Устройство СПУ-2 и лампочки сигнализации, смонти</w:t>
      </w:r>
      <w:r w:rsidRPr="00722885">
        <w:rPr>
          <w:color w:val="0070C0"/>
          <w:sz w:val="16"/>
          <w:szCs w:val="16"/>
        </w:rPr>
        <w:softHyphen/>
        <w:t>рованные на борту кабины, сильно мешали стрелку. Более того, при всяком неосторожном движении стрелка лампочки сигнализации выламывались.</w:t>
      </w:r>
    </w:p>
    <w:p w14:paraId="3F1180C6" w14:textId="77777777" w:rsidR="00AD63AE" w:rsidRPr="00722885" w:rsidRDefault="00AD63AE" w:rsidP="00722885">
      <w:pPr>
        <w:pStyle w:val="95"/>
        <w:shd w:val="clear" w:color="auto" w:fill="auto"/>
        <w:spacing w:after="0" w:line="240" w:lineRule="auto"/>
        <w:ind w:firstLine="0"/>
        <w:jc w:val="both"/>
        <w:rPr>
          <w:color w:val="0070C0"/>
          <w:sz w:val="16"/>
          <w:szCs w:val="16"/>
        </w:rPr>
      </w:pPr>
      <w:r w:rsidRPr="00722885">
        <w:rPr>
          <w:color w:val="0070C0"/>
          <w:sz w:val="16"/>
          <w:szCs w:val="16"/>
        </w:rPr>
        <w:t>Сама подвижная установка также имела ряд конструктивных недостатков. В ней от</w:t>
      </w:r>
      <w:r w:rsidRPr="00722885">
        <w:rPr>
          <w:color w:val="0070C0"/>
          <w:sz w:val="16"/>
          <w:szCs w:val="16"/>
        </w:rPr>
        <w:softHyphen/>
        <w:t>сутствовали ограничитель стрельбы, исключа</w:t>
      </w:r>
      <w:r w:rsidRPr="00722885">
        <w:rPr>
          <w:color w:val="0070C0"/>
          <w:sz w:val="16"/>
          <w:szCs w:val="16"/>
        </w:rPr>
        <w:softHyphen/>
        <w:t>ющий поражение своего самолета, плечевой упор для ведения прицельной стрельбы, а также компенсатор, облегчающий вращение установки по горизонту. В походном поло</w:t>
      </w:r>
      <w:r w:rsidRPr="00722885">
        <w:rPr>
          <w:color w:val="0070C0"/>
          <w:sz w:val="16"/>
          <w:szCs w:val="16"/>
        </w:rPr>
        <w:softHyphen/>
        <w:t>жении пулемет не имел штатного крепления. При стрельбе частички масла, вылетающие из пулемета, забрызгивали прицел. Установку патронного ящика с боекомплектом сочли не</w:t>
      </w:r>
      <w:r w:rsidRPr="00722885">
        <w:rPr>
          <w:color w:val="0070C0"/>
          <w:sz w:val="16"/>
          <w:szCs w:val="16"/>
        </w:rPr>
        <w:softHyphen/>
        <w:t>удобной.</w:t>
      </w:r>
    </w:p>
    <w:p w14:paraId="1D86138F" w14:textId="77777777" w:rsidR="00AD63AE" w:rsidRPr="00722885" w:rsidRDefault="00AD63AE" w:rsidP="00722885">
      <w:pPr>
        <w:pStyle w:val="95"/>
        <w:shd w:val="clear" w:color="auto" w:fill="auto"/>
        <w:spacing w:after="0" w:line="240" w:lineRule="auto"/>
        <w:ind w:firstLine="0"/>
        <w:jc w:val="both"/>
        <w:rPr>
          <w:color w:val="0070C0"/>
          <w:sz w:val="16"/>
          <w:szCs w:val="16"/>
        </w:rPr>
      </w:pPr>
      <w:r w:rsidRPr="00722885">
        <w:rPr>
          <w:color w:val="0070C0"/>
          <w:sz w:val="16"/>
          <w:szCs w:val="16"/>
        </w:rPr>
        <w:t>В акте по испытаниям констатировалось:</w:t>
      </w:r>
    </w:p>
    <w:p w14:paraId="3BA91071" w14:textId="77777777" w:rsidR="00AD63AE" w:rsidRPr="00722885" w:rsidRDefault="00AD63AE"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Представленная заводом №30 задняя дополнительная стрелковая установка под пулемет БТ кал. 12,7 мм, смонтированная во второй кабине самолета Ил-2, ПОЛИГОННЫЕ ИСПЫТАНИЯ НЕ ВЫДЕРЖАЛА (так выделено в тексте документа. - Прим. авт.) вследствие низкой живучести основных деталей уста</w:t>
      </w:r>
      <w:r w:rsidRPr="00722885">
        <w:rPr>
          <w:rFonts w:ascii="Times New Roman" w:hAnsi="Times New Roman"/>
          <w:color w:val="0070C0"/>
          <w:sz w:val="16"/>
          <w:szCs w:val="16"/>
        </w:rPr>
        <w:softHyphen/>
        <w:t>новки и ненадежной работы агрегатов пита</w:t>
      </w:r>
      <w:r w:rsidRPr="00722885">
        <w:rPr>
          <w:rFonts w:ascii="Times New Roman" w:hAnsi="Times New Roman"/>
          <w:color w:val="0070C0"/>
          <w:sz w:val="16"/>
          <w:szCs w:val="16"/>
        </w:rPr>
        <w:softHyphen/>
        <w:t>ния.</w:t>
      </w:r>
    </w:p>
    <w:p w14:paraId="5FE8A16E" w14:textId="77777777" w:rsidR="00AD63AE" w:rsidRPr="00722885" w:rsidRDefault="00AD63AE"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Представленная заводом №30 задняя дополнительная стрелковая установка под пулемет БТ кал. 12,7 мм, смонтированная во второй кабине самолета Ил-2, ПОЛИГОННЫЕ ИСПЫТАНИЯ НЕ ВЫДЕРЖАЛА (так выделено в тексте документа. - Прим. авт.) вследствие низкой живучести основных деталей уста</w:t>
      </w:r>
      <w:r w:rsidRPr="00722885">
        <w:rPr>
          <w:rFonts w:ascii="Times New Roman" w:hAnsi="Times New Roman"/>
          <w:color w:val="0070C0"/>
          <w:sz w:val="16"/>
          <w:szCs w:val="16"/>
        </w:rPr>
        <w:softHyphen/>
        <w:t>новки и ненадежной работы агрегатов пита</w:t>
      </w:r>
      <w:r w:rsidRPr="00722885">
        <w:rPr>
          <w:rFonts w:ascii="Times New Roman" w:hAnsi="Times New Roman"/>
          <w:color w:val="0070C0"/>
          <w:sz w:val="16"/>
          <w:szCs w:val="16"/>
        </w:rPr>
        <w:softHyphen/>
        <w:t>ния</w:t>
      </w:r>
    </w:p>
    <w:p w14:paraId="7A85E5C1" w14:textId="77777777" w:rsidR="00AD63AE" w:rsidRPr="00722885" w:rsidRDefault="00AD63A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НИП АВ считает целесообразным за</w:t>
      </w:r>
      <w:r w:rsidRPr="00722885">
        <w:rPr>
          <w:rFonts w:ascii="Times New Roman" w:hAnsi="Times New Roman"/>
          <w:color w:val="0070C0"/>
          <w:sz w:val="16"/>
          <w:szCs w:val="16"/>
        </w:rPr>
        <w:softHyphen/>
        <w:t>щиту задней полусферы самолета Ил-2 поста</w:t>
      </w:r>
      <w:r w:rsidRPr="00722885">
        <w:rPr>
          <w:rFonts w:ascii="Times New Roman" w:hAnsi="Times New Roman"/>
          <w:color w:val="0070C0"/>
          <w:sz w:val="16"/>
          <w:szCs w:val="16"/>
        </w:rPr>
        <w:softHyphen/>
        <w:t>новкой пулемета кал. 12,7 мм на более надеж</w:t>
      </w:r>
      <w:r w:rsidRPr="00722885">
        <w:rPr>
          <w:rFonts w:ascii="Times New Roman" w:hAnsi="Times New Roman"/>
          <w:color w:val="0070C0"/>
          <w:sz w:val="16"/>
          <w:szCs w:val="16"/>
        </w:rPr>
        <w:softHyphen/>
        <w:t>ной установке».</w:t>
      </w:r>
    </w:p>
    <w:p w14:paraId="7DCC136C" w14:textId="77777777" w:rsidR="00AD63AE" w:rsidRPr="00722885" w:rsidRDefault="00AD63AE" w:rsidP="00722885">
      <w:pPr>
        <w:pStyle w:val="95"/>
        <w:shd w:val="clear" w:color="auto" w:fill="auto"/>
        <w:spacing w:after="0" w:line="240" w:lineRule="auto"/>
        <w:ind w:firstLine="0"/>
        <w:jc w:val="both"/>
        <w:rPr>
          <w:color w:val="0070C0"/>
          <w:sz w:val="16"/>
          <w:szCs w:val="16"/>
        </w:rPr>
      </w:pPr>
      <w:r w:rsidRPr="00722885">
        <w:rPr>
          <w:color w:val="0070C0"/>
          <w:sz w:val="16"/>
          <w:szCs w:val="16"/>
        </w:rPr>
        <w:t>Однако ВУБ-3 уже находилась в серии, и останавливать производство установки не стали, решив постепенно довести ее до требу</w:t>
      </w:r>
      <w:r w:rsidRPr="00722885">
        <w:rPr>
          <w:color w:val="0070C0"/>
          <w:sz w:val="16"/>
          <w:szCs w:val="16"/>
        </w:rPr>
        <w:softHyphen/>
        <w:t>емых норм (19877).</w:t>
      </w:r>
    </w:p>
    <w:p w14:paraId="19120F3F" w14:textId="77777777" w:rsidR="00AD63AE" w:rsidRPr="00722885" w:rsidRDefault="00AD63AE" w:rsidP="00722885">
      <w:pPr>
        <w:pStyle w:val="95"/>
        <w:shd w:val="clear" w:color="auto" w:fill="auto"/>
        <w:spacing w:after="0" w:line="240" w:lineRule="auto"/>
        <w:ind w:firstLine="0"/>
        <w:jc w:val="both"/>
        <w:rPr>
          <w:color w:val="0070C0"/>
          <w:sz w:val="16"/>
          <w:szCs w:val="16"/>
        </w:rPr>
      </w:pPr>
    </w:p>
    <w:p w14:paraId="16939903"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16 по 18 октября 1942 г. установка ВУБ-3 с пулеметом УБТ проходила на НИП АВ ВВС государственные испытания на Ил-2 зав. №30928 и с треском их про</w:t>
      </w:r>
      <w:r w:rsidRPr="00722885">
        <w:rPr>
          <w:rFonts w:ascii="Times New Roman" w:hAnsi="Times New Roman"/>
          <w:color w:val="000000" w:themeColor="text1"/>
          <w:sz w:val="16"/>
          <w:szCs w:val="16"/>
        </w:rPr>
        <w:softHyphen/>
        <w:t>валила. НИП АВ считал целесообразным обеспечить защиту задней полусферы самолета Ил-2 постановкой пулемета кал. 12,7 мм на более надежной установке, однако ВУБ-3 уже внедрялась в серию. Решили постепенно довести установку до требуемых норм в ходе производства.</w:t>
      </w:r>
    </w:p>
    <w:p w14:paraId="3761B7D2"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это время на заводе №1 были построены два экземпляра самолета Ил-2бис АМ-38 (зав. №№4434 и 4435), имевшие полностью бронированную кабину стрелка с блистерной установкой под пулемет УБТ. Инициировал эту работу начальник СКО завода В.П.Яценко.</w:t>
      </w:r>
    </w:p>
    <w:p w14:paraId="3AD5C1D1"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Предложенная заводом №1 кабина стрелка имела много общих компоновоч</w:t>
      </w:r>
      <w:r w:rsidRPr="00722885">
        <w:rPr>
          <w:rFonts w:ascii="Times New Roman" w:hAnsi="Times New Roman"/>
          <w:color w:val="000000" w:themeColor="text1"/>
          <w:sz w:val="16"/>
          <w:szCs w:val="16"/>
        </w:rPr>
        <w:softHyphen/>
        <w:t>ных и конструктивных решений с каби</w:t>
      </w:r>
      <w:r w:rsidRPr="00722885">
        <w:rPr>
          <w:rFonts w:ascii="Times New Roman" w:hAnsi="Times New Roman"/>
          <w:color w:val="000000" w:themeColor="text1"/>
          <w:sz w:val="16"/>
          <w:szCs w:val="16"/>
        </w:rPr>
        <w:softHyphen/>
        <w:t>нами стрелков на самолетах БШ-2 АМ-35 и Ил-2 М-82. Кабина оборудовалась на месте заднего бензобака. Она оказалась более просторной, чем кабина завода №30. От огня со стороны хвоста и сверху стрелок защищался броней толщиной 8 мм, прозрачной 64-мм броней на блистере пулемета и 5-миллиметровым броневым листом над головой на сдвижной части фонаря кабины. Пол бронированный (5 мм). Между летчиком и стрелком устанавливалась бронеплита толщиной 7 мм. С боков стрелок прикры</w:t>
      </w:r>
      <w:r w:rsidRPr="00722885">
        <w:rPr>
          <w:rFonts w:ascii="Times New Roman" w:hAnsi="Times New Roman"/>
          <w:color w:val="000000" w:themeColor="text1"/>
          <w:sz w:val="16"/>
          <w:szCs w:val="16"/>
        </w:rPr>
        <w:softHyphen/>
        <w:t>вался 6-мм броней.</w:t>
      </w:r>
    </w:p>
    <w:p w14:paraId="35793030"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Углы обстрела пулемета составляли: вверх - до 85° в левой половине и 55° в правой половине, вправо - до 45°, влево - до 50°, вниз - стрельба невозможна. При этом в правой половине была возможна неприцельная стрельба до 65° вверх и 60° в сторону. Прицеливание при больших углах возвышения (от 50 до 85°) затруднено и производилось небольшим сваливанием пулемета.</w:t>
      </w:r>
    </w:p>
    <w:p w14:paraId="053A834C"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Важно, что в отличие от варианта завода №30, центровка Ил-2бис не изменилась. По летным и пилотажным качествам он практически ничем не отличался от одноместного варианта Ил-2.</w:t>
      </w:r>
    </w:p>
    <w:p w14:paraId="30CBB6A1" w14:textId="77777777" w:rsidR="00E07874" w:rsidRPr="00722885" w:rsidRDefault="00E0787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Судя по документам, Ильюшин активно противился работам по Ил-2бис. Дело в том, что на заводе №30 он уже строил 20 самолетов с незащищенным стрелком (19540).</w:t>
      </w:r>
    </w:p>
    <w:p w14:paraId="122A04ED" w14:textId="77777777" w:rsidR="00E07874" w:rsidRPr="00722885" w:rsidRDefault="00E07874" w:rsidP="00722885">
      <w:pPr>
        <w:spacing w:after="0" w:line="240" w:lineRule="auto"/>
        <w:jc w:val="both"/>
        <w:rPr>
          <w:rFonts w:ascii="Times New Roman" w:hAnsi="Times New Roman"/>
          <w:color w:val="000000" w:themeColor="text1"/>
          <w:sz w:val="16"/>
          <w:szCs w:val="16"/>
        </w:rPr>
      </w:pPr>
    </w:p>
    <w:p w14:paraId="228EEDFB" w14:textId="77777777" w:rsidR="00C45454" w:rsidRPr="00722885" w:rsidRDefault="00C45454"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rPr>
        <w:lastRenderedPageBreak/>
        <w:t>С 16 октября 1942 на основании приказа по НКАП № 781 завод № 16 для самолетов Пе-2 вместо М-105РА стал давать М-105ПФ. Казалось бы, это было даже хорошо. Мощность одного мотора на взлете и у земли выросла с 1 020 и 1 100 л. с. соответственно до 1 210 сил, на I границе высотности — с 1 100 до 1 260, а на II границе — с 1 050 до 1 180 л. с., но сделано это было за счет перерегулировки наддува. В науке чудес не бывает — за это пришлось заплатить уменьшением границ высотности. Если М-105РА достигал максимальных мощностей на эшелонах 2 000 и 4 000 м, что давало возможность поднимать загруженный Пе-2 до 7 000 м, то для М-105РФ расчетными были высоты 700 и 2 700 м, на которых время догона истребителем противника со взлетом «по-зрячему» сокращалось в 2-3 раза, а Пе-2 оказывался в зоне поражения не только тяжелых зениток, но и 37-мм автоматов. А главным недостатком установки на Пе-2 предназначенного для истребителей М-105ПФ был неподходящий редуктор с передаточным отношением 0,667 вместо 0,59. Из-за роста оборотов воздушных винтов на 13 % зоны волнового кризиса на их лопастях разрастались дальше, потому пришлось вместо ВИШ-61Б диаметром 3,2 м ставить «трехметровые истребительные» винты ВИШ61П. Помимо опасности раскрутки и остановки мотора на ряде режимов, они давали меньшую тягу, которой не хватало на горизонтальный полет при выходе из строя одного из моторов. На заводах оставался запас винтов ВИШ-61Б, их пытались ставить на М-105ПФ, ограничивая обороты и мощность, но тяга все равно падала. Опытные моторы М-105РФ с редукцией 0,59 дали рост скорости на 16 … 21 км/ч, длина разбега сократилась на 40 … 50 м, а время набора высоты 5 000 м — на 1,5 минуты. Но запуск их в серию требовал изготовления дорогостоящей и сложной оснастки для производства и контроля шестерен, и установку М-105ПФ на Пе-2 пришлось узаконить Постановлением ГКО № 2654сс 25 декабря 1942 г. по факту ее освоения на заводе № 22, где к 24 декабря сдали уже 36 «Пешек» с М-105ПФ. Вышедшим 29 декабря 1942 г. приказом по НКАП № 919сс «Об увеличении выпуска самолетов Пе-2 на заводе 22 и об ускорении перевода завода 16 на выпуск только пушечных моторов М-105ПФ» требовалось обеспечить устойчивый выпуск самолетов с ними с 1 января 1943 г. темпом по восемь в сутки, с 5 февраля — девять и с 25 марта — по 10 в сутки. До 10 февраля 1943 г. было приказано сдать 1 209 таких Пе-2 и с этого дня полностью перейти на М-105ПФ (22828).</w:t>
      </w:r>
    </w:p>
    <w:p w14:paraId="604C8DD9" w14:textId="77777777" w:rsidR="00C45454" w:rsidRPr="00722885" w:rsidRDefault="00C45454" w:rsidP="00722885">
      <w:pPr>
        <w:spacing w:after="0" w:line="240" w:lineRule="auto"/>
        <w:jc w:val="both"/>
        <w:rPr>
          <w:rFonts w:ascii="Times New Roman" w:hAnsi="Times New Roman"/>
          <w:color w:val="0070C0"/>
          <w:sz w:val="16"/>
          <w:szCs w:val="16"/>
          <w:lang w:eastAsia="ru-RU" w:bidi="ru-RU"/>
        </w:rPr>
      </w:pPr>
    </w:p>
    <w:p w14:paraId="710BA1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октября 1942 вышел приказ НКАП N 778 о подготовке к серийному производству М-82Ф на 19 заводе и выпуске 215 шт. до конца года (913,53).</w:t>
      </w:r>
    </w:p>
    <w:p w14:paraId="664689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своевременного обеспечения подготовки серийного выпуска моторов М-82Ф на заводе № 19 приказываю:</w:t>
      </w:r>
    </w:p>
    <w:p w14:paraId="3B0830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Директьору завода тов. Солдатову обеспечить выпуск к 4 кв. 1942 в счет серийной программы 215 шт. моторов М-82Ф, в т.ч. в октябре - 15, в ноябре - 20, в декабре 150 (913,53).</w:t>
      </w:r>
    </w:p>
    <w:p w14:paraId="4447D273" w14:textId="77777777" w:rsidR="00090C9B" w:rsidRPr="00722885" w:rsidRDefault="00090C9B" w:rsidP="00722885">
      <w:pPr>
        <w:pStyle w:val="Iauiue"/>
        <w:jc w:val="both"/>
        <w:rPr>
          <w:color w:val="000000" w:themeColor="text1"/>
          <w:sz w:val="16"/>
          <w:szCs w:val="16"/>
        </w:rPr>
      </w:pPr>
    </w:p>
    <w:p w14:paraId="12614D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октября 1942 вышел приказ НКАП N 781 "О переходе производства завода 16 с редукторных моторов М-105Р на производство пушечных М-105ПФ и об установке этих моторов на Пе-2 на 22 заводе (914,3).</w:t>
      </w:r>
    </w:p>
    <w:p w14:paraId="39F1E0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исполнение постановления ГКО... приказываю:</w:t>
      </w:r>
    </w:p>
    <w:p w14:paraId="0F4BD3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перевести производство завода 16 с редукторных моторов М-105Р на производство пушечных М-105ПФ</w:t>
      </w:r>
    </w:p>
    <w:p w14:paraId="6B0EF9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установить программу выпуска заводом № 16 моторов М-195ПФ в ноябре - 15, в декабре - 100</w:t>
      </w:r>
    </w:p>
    <w:p w14:paraId="3883B6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прекратить выпуск моторра М-105Р в декабре с.г. и к 25 декабря с.г. полностью перейти на выпуск мотора М-105ПФ</w:t>
      </w:r>
    </w:p>
    <w:p w14:paraId="300B4E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директору завода № 22 т. Окулову по мере поступления мотора М-105ПФ перейти на установку их на Пе-2... (914,3).</w:t>
      </w:r>
    </w:p>
    <w:p w14:paraId="3CD3F9C9" w14:textId="77777777" w:rsidR="00090C9B" w:rsidRPr="00722885" w:rsidRDefault="00090C9B" w:rsidP="00722885">
      <w:pPr>
        <w:pStyle w:val="Iauiue"/>
        <w:jc w:val="both"/>
        <w:rPr>
          <w:color w:val="000000" w:themeColor="text1"/>
          <w:sz w:val="16"/>
          <w:szCs w:val="16"/>
        </w:rPr>
      </w:pPr>
    </w:p>
    <w:p w14:paraId="2B226D8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2D1E31C" w14:textId="77777777" w:rsidR="00090C9B" w:rsidRPr="00722885" w:rsidRDefault="00090C9B" w:rsidP="00722885">
      <w:pPr>
        <w:pStyle w:val="Iauiue"/>
        <w:jc w:val="both"/>
        <w:rPr>
          <w:iCs/>
          <w:color w:val="000000" w:themeColor="text1"/>
          <w:sz w:val="16"/>
          <w:szCs w:val="16"/>
        </w:rPr>
      </w:pPr>
    </w:p>
    <w:p w14:paraId="2902930C"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16 октября 1942 Воронов провел совещание, на котором были обсуждались тактико-технические требования на самоходные установки (17679).</w:t>
      </w:r>
    </w:p>
    <w:p w14:paraId="62D00016" w14:textId="77777777" w:rsidR="00C15BF8" w:rsidRPr="00722885" w:rsidRDefault="00C15BF8" w:rsidP="00722885">
      <w:pPr>
        <w:spacing w:after="0" w:line="240" w:lineRule="auto"/>
        <w:jc w:val="both"/>
        <w:rPr>
          <w:rFonts w:ascii="Times New Roman" w:hAnsi="Times New Roman"/>
          <w:color w:val="000000" w:themeColor="text1"/>
          <w:sz w:val="16"/>
          <w:szCs w:val="16"/>
        </w:rPr>
      </w:pPr>
    </w:p>
    <w:p w14:paraId="60A025D4"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16 октября было проведено совещание с участием Воронова, на котором были обсуждены требования к самоходным установкам. 19 числа вышло постановление ГКО №2429сс «О производстве опытных образцов артиллерийских самоходных установок», утвердившее жесткие сроки изготовления опытных образцов. Именно после этого ситуация вокруг СГ-122М сдвинулась с мертвой точки. Правда, к тому моменту проект СГ-122У скоропостижно скончался. Несмотря на желание ГАБТУ КА видеть именно эту систему на вооружении, ГАУ выступило категорически против (17681).</w:t>
      </w:r>
    </w:p>
    <w:p w14:paraId="7AD82E0C" w14:textId="77777777" w:rsidR="00C15BF8" w:rsidRPr="00722885" w:rsidRDefault="00C15BF8" w:rsidP="00722885">
      <w:pPr>
        <w:spacing w:after="0" w:line="240" w:lineRule="auto"/>
        <w:jc w:val="both"/>
        <w:rPr>
          <w:rFonts w:ascii="Times New Roman" w:hAnsi="Times New Roman"/>
          <w:color w:val="000000" w:themeColor="text1"/>
          <w:sz w:val="16"/>
          <w:szCs w:val="16"/>
        </w:rPr>
      </w:pPr>
    </w:p>
    <w:p w14:paraId="526B821C"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16 октября 1942 года были выработаны Тактико-технические требования (ТТТ) на самоходные артиллерийские установки. Изобретать наверху велосипед не стали и во многом повторили требования, по которым создавались СУ-31 и СУ-32. Даже в плане компоновки ТТТ повторяли построенные в Свердловске машины. Например, «76-мм штурмовая самоходная установка» базировалась на шасси, которое разрабатывалось с использованием агрегатов Т-70. Это означало, что в ней применялся спаренный двигатель ГАЗ-203. Выглядит это весьма любопытно, особенно на фоне того, что в ГАУ забраковали подобную схему, поскольку на СУ-32 такая силовая установка перегревалась. Начальник ГАУ генерал-полковник Н. Д. Яковлев и заместитель народного комиссара обороны генерал-полковник Н. Н. Воронов о результатах испытаний знали, тем не менее данные ТТТ подписали.</w:t>
      </w:r>
    </w:p>
    <w:p w14:paraId="016B60D7"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Наряду с ЗИС-3 в качестве альтернативного вооружения лёгкой штурмовой САУ предполагалось использовать 57-мм противотанковую пушку ИС-1. Она представляла собой переработанную противотанковую пушку ЗИС-2, летом-осенью 1942 года это орудие разрабатывалось КБ завода № 92 под руководством В. Г. Грабина. Это же орудие предполагалось использовать и на полугусеничной САУ ЗИС-41. Согласно требованиям, боекомплект штурмовой САУ, вооружённой ЗИС-3, должен был составить 60 патронов. Боевая масса машины не превышала 10 тонн, а высота в походном положении составляла не более 2 метров. Расчётная максимальная скорость достигала 45 км/ч, а запас хода — 200–250 км.</w:t>
      </w:r>
    </w:p>
    <w:p w14:paraId="0F6EC477"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Конструкция шасси должна была разрабатываться с возможностью постройки на этой же базе зенитной самоходной установки (</w:t>
      </w:r>
      <w:hyperlink r:id="rId129" w:history="1">
        <w:r w:rsidRPr="00722885">
          <w:rPr>
            <w:rFonts w:ascii="Times New Roman" w:eastAsia="Times New Roman" w:hAnsi="Times New Roman"/>
            <w:color w:val="000000" w:themeColor="text1"/>
            <w:sz w:val="16"/>
            <w:szCs w:val="16"/>
            <w:lang w:eastAsia="ru-RU"/>
          </w:rPr>
          <w:t>ЗСУ</w:t>
        </w:r>
      </w:hyperlink>
      <w:r w:rsidRPr="00722885">
        <w:rPr>
          <w:rFonts w:ascii="Times New Roman" w:eastAsia="Times New Roman" w:hAnsi="Times New Roman"/>
          <w:color w:val="000000" w:themeColor="text1"/>
          <w:sz w:val="16"/>
          <w:szCs w:val="16"/>
          <w:lang w:eastAsia="ru-RU"/>
        </w:rPr>
        <w:t>). Вместе с тем ТТТ на «37 мм зенитную самоходную установки» оформили отдельно. Данная машина по компоновке практически полностью повторяла СУ-31, это касается и параллельного расположения двигателей ГАЗ-202. В отличие от предшествующей разработки, на сей раз базой машины выступал Т-70. Требования к характеристикам шасси оказались сходными с ТТТ на «76-мм штурмовую самоходную установку».</w:t>
      </w:r>
    </w:p>
    <w:p w14:paraId="2773D117"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дополнение к 76-мм САУ и 37-мм ЗСУ появилась третья машина на базе Т-70. В тот же день (16 октября 1942 года) Воронов и Яковлев утвердили ТТТ на «45-мм противотанковую самоходную установку». В качестве вооружения предполагалось использовать 45-мм противотанковую пушку М-42, незадолго до этого принятую на вооружение Красной армии. В качестве базы предполагалось использовать танк Т-70, причём в данном случае речь шла именно о самом танке, а не о его шасси (17690).</w:t>
      </w:r>
    </w:p>
    <w:p w14:paraId="212925C1" w14:textId="77777777" w:rsidR="00C15BF8" w:rsidRPr="00722885" w:rsidRDefault="00C15BF8" w:rsidP="00722885">
      <w:pPr>
        <w:spacing w:after="0" w:line="240" w:lineRule="auto"/>
        <w:jc w:val="both"/>
        <w:rPr>
          <w:rFonts w:ascii="Times New Roman" w:hAnsi="Times New Roman"/>
          <w:color w:val="000000" w:themeColor="text1"/>
          <w:sz w:val="16"/>
          <w:szCs w:val="16"/>
        </w:rPr>
      </w:pPr>
    </w:p>
    <w:p w14:paraId="429A1665"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16 октября 1942 года были сформированы тактико-технические требования на самоходные установки. Они, в основном, соответствовали характеристикам СУ-31 и СУ-32. С учётом того, что за основу была выбрана схема с параллельным расположением двигателей, подобное положение дел выглядит немного странно. Кроме того, в требованиях появилась еще и третья САУ – истребитель танков на базе Т-70. 19 октября было подписано постановление ГКО № 2429 «О производстве опытных образцов артиллерийских самоходных установок». Согласно ему, опытные образцы машин планировалось получить уже к 20 ноября. Все три варианта (штурмовая САУ, ЗСУ и истребитель танков) были приняты в работу только Горьковским автомобильным заводом (ГАЗ) им. Молотова. Машины получили обозначения, соответственно, ГАЗ-71, ГАЗ-72 и ГАЗ-73.</w:t>
      </w:r>
    </w:p>
    <w:p w14:paraId="2C5A0882"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Впрочем, следует иметь в виду, что ГАЗ им. Молотова был, скорее, запасным вариантом. Приоритет имели машины, которые проектировались в Кирове. Здесь ЗСУ получила обозначение СУ-11, а штурмовая САУ – СУ-12.</w:t>
      </w:r>
    </w:p>
    <w:p w14:paraId="15051CED"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Главной задачей было создание СУ-12, то есть штурмовой машины с орудием ЗИС-3 в качестве вооружения. В качестве альтернативного варианта вместо ЗИС-3 предполагалось поставить противотанковую пушку ИС-1 (несколько измененную ЗИС-2), но до этого дело так и не дошло.</w:t>
      </w:r>
    </w:p>
    <w:p w14:paraId="00335E55"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Несмотря на то, что общая концепция, воплощённая в свердловских САУ, осталась неизменной, совместная разработка Гинзбурга и КБ завода №38 довольно сильно от них отличалась. В качестве базы здесь использовалось шасси на агрегатах легкого танка </w:t>
      </w:r>
      <w:hyperlink r:id="rId130" w:history="1">
        <w:r w:rsidRPr="00722885">
          <w:rPr>
            <w:rFonts w:ascii="Times New Roman" w:eastAsia="Times New Roman" w:hAnsi="Times New Roman"/>
            <w:color w:val="000000" w:themeColor="text1"/>
            <w:sz w:val="16"/>
            <w:szCs w:val="16"/>
            <w:lang w:eastAsia="ru-RU"/>
          </w:rPr>
          <w:t>Т-70Б</w:t>
        </w:r>
      </w:hyperlink>
      <w:r w:rsidRPr="00722885">
        <w:rPr>
          <w:rFonts w:ascii="Times New Roman" w:eastAsia="Times New Roman" w:hAnsi="Times New Roman"/>
          <w:color w:val="000000" w:themeColor="text1"/>
          <w:sz w:val="16"/>
          <w:szCs w:val="16"/>
          <w:lang w:eastAsia="ru-RU"/>
        </w:rPr>
        <w:t>. Модернизированный Т-70 начали производить в Кирове с начала октября 1942 года. Помимо удлинения и добавление шестого опорного катка, его шасси отличалось от «обычного» Т-70 тем, что в качестве ленивца использовался необрезиненый опорный каток. Корпус СУ-12 в целом соответствовал концепции СУ-31. В частности, аналогичным образом были выполнены система охлаждения двигателей и их воздухозаборники. При этом часть элементов, включая люк механика-водителя, «перекочевала» на САУ с Т-70Б. Характерными элементами, благодаря которым СУ-12 можно легко отличить спереди от более поздней СУ-15М, были два лючка доступа к элементам трансмиссии в верхней лобовой плите, а также два лючка доступа к механизмам заводки.</w:t>
      </w:r>
    </w:p>
    <w:p w14:paraId="4DB69920"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Наибольшие изменения, по сравнению с предшественником, претерпело боевое отделение. На СУ-32 оно было чересчур тесным, да и идея с курсовым пулеметом была признана не самой лучшей. В результате рубку полностью перекомпоновали. Она оказалась заметно просторнее, а защита расчета стала гораздо лучше. Вместо шаровой установки в лобовом листе рубки появились порты, прикрываемые крышками. Сильно была переделана кормовая часть рубки, которая получила трехстворчатый люк. Увеличение размеров рубки было связано с тем, что теперь там находилось не двое, а трое членов экипажа. Кроме того, машина получила радиостанцию 9-Р. Заметно улучшилась и обзорность из рубки — по ее периметру были установлены перископические приборы.</w:t>
      </w:r>
    </w:p>
    <w:p w14:paraId="711D4DF2" w14:textId="77777777" w:rsidR="00C15BF8" w:rsidRPr="00722885" w:rsidRDefault="00C15BF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Орудийная установка в целом осталась прежней. Она включала не только качающуюся часть 76-мм пушки ЗИС-3, но и часть её лафета вместе с обрезанными станинами. Станины частично «съедали» увеличившийся внутренний объем боевого отделения. От СУ-32 машина отличалась бронировкой системы, гораздо более удачной по конструкции и технологичной (17699).</w:t>
      </w:r>
    </w:p>
    <w:p w14:paraId="0C4425AB" w14:textId="77777777" w:rsidR="00C15BF8" w:rsidRPr="00722885" w:rsidRDefault="00C15BF8" w:rsidP="00722885">
      <w:pPr>
        <w:spacing w:after="0" w:line="240" w:lineRule="auto"/>
        <w:jc w:val="both"/>
        <w:rPr>
          <w:rFonts w:ascii="Times New Roman" w:hAnsi="Times New Roman"/>
          <w:color w:val="000000" w:themeColor="text1"/>
          <w:sz w:val="16"/>
          <w:szCs w:val="16"/>
        </w:rPr>
      </w:pPr>
    </w:p>
    <w:p w14:paraId="21466023" w14:textId="77777777" w:rsidR="007D604F" w:rsidRPr="00722885" w:rsidRDefault="007D604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lastRenderedPageBreak/>
        <w:t>16 октября 1942 года началась история СУ-11. В этот день были подписаны тактико-технические требования на "37-мм зенитную самоходную установку". Из этих требований четко видно, что заказчик хотел ту же СУ-31, но уже на шасси Т-70Б. При этом боекомплект составлял не менее 320 унитарных патронов, которые размещались в удобном для расчета месте. Экипаж составлял 6 человек, включая механика-водителя, а боевая масса ожидалась в районе 10 тонн. Второй раз эти ТТТ продублировали 21 октября 1942 года, в связи с тем, что 19 числа Сталин подписал постановление ГКО №2429сс "О производстве опытных образцов артиллерийских самоходных установок". Согласно ему, опытный образец машины изготовлялся к 16 ноября, а к 1 декабря он выходил на полигонные испытания. Столь жесткие сроки напрямую были связаны с тем, что база машины, как считали, уже сформирована.</w:t>
      </w:r>
    </w:p>
    <w:p w14:paraId="23E2EDB1" w14:textId="77777777" w:rsidR="007D604F" w:rsidRPr="00722885" w:rsidRDefault="007D604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Возглавил работы по машине М.Н. Щукин, главный конструктор завода №38. В срок, указанный постановлением ГКО №2429сс, завод не вписался (21409).</w:t>
      </w:r>
    </w:p>
    <w:p w14:paraId="53C56402" w14:textId="77777777" w:rsidR="007D604F" w:rsidRPr="00722885" w:rsidRDefault="007D604F" w:rsidP="00722885">
      <w:pPr>
        <w:spacing w:after="0" w:line="240" w:lineRule="auto"/>
        <w:jc w:val="both"/>
        <w:rPr>
          <w:rFonts w:ascii="Times New Roman" w:hAnsi="Times New Roman"/>
          <w:color w:val="0070C0"/>
          <w:sz w:val="16"/>
          <w:szCs w:val="16"/>
        </w:rPr>
      </w:pPr>
    </w:p>
    <w:p w14:paraId="2D65C2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октября 1942 вышло Постановление ГКО № 2425 О плане производства и распределения запасных частей к танкам, тракторам, автомобилям и о плане капитального ремонта танков, тракторов и автомобилей для Красной Армии в IV квартале 1942 года.РГАНИР, Фонд ГКО, д. 64, лл. 125-136, 137-238 (11012).</w:t>
      </w:r>
    </w:p>
    <w:p w14:paraId="33D7F76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F3AA17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16 октября 1942 вышло Постановление ГКО № 2426 О неудовлетворительной погрузке угля железным дорогам. (7059, 239).</w:t>
      </w:r>
    </w:p>
    <w:p w14:paraId="0752941B" w14:textId="77777777" w:rsidR="00090C9B" w:rsidRPr="00722885" w:rsidRDefault="00090C9B" w:rsidP="00722885">
      <w:pPr>
        <w:pStyle w:val="Iauiue"/>
        <w:tabs>
          <w:tab w:val="left" w:pos="11199"/>
        </w:tabs>
        <w:jc w:val="both"/>
        <w:rPr>
          <w:color w:val="000000" w:themeColor="text1"/>
          <w:sz w:val="16"/>
          <w:szCs w:val="16"/>
        </w:rPr>
      </w:pPr>
    </w:p>
    <w:p w14:paraId="060872C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16 октября 1942 вышло Постановление ГКО № 2427 [О поручении тройке в составе Берия л. П. (пред.), Вознесенский Н.А., Маленков Г.М. принять меры по увеличению добычи, сокращению расхода и созданию запасов угля для НКПС на зиму.] (7059, 240).</w:t>
      </w:r>
    </w:p>
    <w:p w14:paraId="0D28F5A6" w14:textId="77777777" w:rsidR="00090C9B" w:rsidRPr="00722885" w:rsidRDefault="00090C9B" w:rsidP="00722885">
      <w:pPr>
        <w:pStyle w:val="Iauiue"/>
        <w:tabs>
          <w:tab w:val="left" w:pos="11199"/>
        </w:tabs>
        <w:jc w:val="both"/>
        <w:rPr>
          <w:color w:val="000000" w:themeColor="text1"/>
          <w:sz w:val="16"/>
          <w:szCs w:val="16"/>
        </w:rPr>
      </w:pPr>
    </w:p>
    <w:p w14:paraId="776486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октября 1942 в г. Сызрани введен в эксплуатацию нефтеперерабатывающий завод (11437).</w:t>
      </w:r>
    </w:p>
    <w:p w14:paraId="667EE76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D80C7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16-17 октября 1942 на Адмиралтейском заводе заложен головной МБК, строившийся по проекту, разработанному на Большой земле и откорректированному адмиралтейцами с учетом технологических возможностей предприятия (водоизмещение полное 163 т, длина наибольшая 36,2, ширина 5,5, осадка 1,3, высота борта 2,2 м, максимальная мощность бензомоторов 2x900 л. с., скорость 13 узлов, дальность плавания на полном ходу 330 миль; вооружение - два орудия калибра 76,2 мм в двух танковых башнях Т-34, зенитный автомат калибра 37 мм, три спаренных турельных пулемета, два батальонных миномета. Толщина брони 30-50 мм). Там же закончен ремонт ПЛ М-90. Ждановцы проводили работы по зимней консервации СКР "Ястреб", "Зоркий", "Коршун", "Орел", а также эсминцев "Отличный", "Образцовый", "Отважный" (10671).</w:t>
      </w:r>
    </w:p>
    <w:p w14:paraId="40639C2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86B086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D2DDE50" w14:textId="77777777" w:rsidR="00090C9B" w:rsidRPr="00722885" w:rsidRDefault="00090C9B" w:rsidP="00722885">
      <w:pPr>
        <w:pStyle w:val="Iauiue"/>
        <w:jc w:val="both"/>
        <w:rPr>
          <w:iCs/>
          <w:color w:val="000000" w:themeColor="text1"/>
          <w:sz w:val="16"/>
          <w:szCs w:val="16"/>
        </w:rPr>
      </w:pPr>
    </w:p>
    <w:p w14:paraId="73B671CF"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16 октября </w:t>
      </w:r>
      <w:r w:rsidRPr="00722885">
        <w:rPr>
          <w:rFonts w:ascii="Times New Roman" w:hAnsi="Times New Roman"/>
          <w:color w:val="000000" w:themeColor="text1"/>
          <w:sz w:val="16"/>
          <w:szCs w:val="16"/>
        </w:rPr>
        <w:t>в 1942 году утреннее сообщение Совинформбюро:</w:t>
      </w:r>
    </w:p>
    <w:p w14:paraId="39390EBB"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16 октября наши войска вели бои с противником в районе Сталинграда и в районе Моздока. На других фронтах существенных изменений не произошло.</w:t>
      </w:r>
    </w:p>
    <w:p w14:paraId="5CF6F193"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Сталинграда продолжались ожесточённые бои. Бойцы Н-ской части отбили пять вражеских атак, сожгли 6 танков и уничтожили более роты немецкой пехоты. На другом участке нашими частями отбито две атаки противника. В результате боя подбито и уничтожено более 30 немецких танков. После упорного боя наши части под давлением превосходящих сил пехоты и танков противника оставили несколько улиц рабочего посёлка.</w:t>
      </w:r>
    </w:p>
    <w:p w14:paraId="089E85D9"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Советскими лётчиками в воздушных боях и огнём нашей зенитной артиллерии сбито16 немецких самолётов.</w:t>
      </w:r>
    </w:p>
    <w:p w14:paraId="44818975"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бои местного значения. На одном участке бойцы Н-ской части, атаковав противника, несколько продвинулись вперёд и заняли более выгодную позицию. Стремясь вернуть потерянный рубеж, гитлеровцы предприняли две контратаки, но были отброшены, оставив на поле боя более 100 трупов своих солдат и офицеров. На других участках происходила артиллерийская перестрелка и поиски разведчиков.</w:t>
      </w:r>
    </w:p>
    <w:p w14:paraId="38832D1D"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танкисты отбили атаку противника и уничтожили 4 немецких танка, 18 автомашин, 4 орудия и до 250 гитлеровцев. На другом участке батальон немецкой пехоты при поддержке 8 танков пытался овладеть одной высотой. Потеряв в бою за эту высоту до роты солдат и не добившись успеха, немцы отошли на исходные позиции.</w:t>
      </w:r>
    </w:p>
    <w:p w14:paraId="1B6682AF"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гвардейская миномётная батарея под командованием тов. Петровского подожгла немецкий склад с горючим и истребила несколько десятков гитлеровцев.</w:t>
      </w:r>
    </w:p>
    <w:p w14:paraId="46B0428C"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в начале октября месяца пустил под откос 3 немецких железнодорожных эшелона. Разбито 3 паровоза и 68 вагонов. Уничтожено много живой силы и техники противника.</w:t>
      </w:r>
    </w:p>
    <w:p w14:paraId="72F5DFEE"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Пленные солдаты 670 полка 371 немецкой пехотной дивизии Михель Гензель и Вильгельм Так рассказали: «На марше солдаты держались бодро. Многие считали, что теперь русские уже не будут сопротивляться так упорно, как прежде. Однако, когда мы прибыли на фронт, под Сталинград, в первый же день был убит командир дивизии. Пятая рота потеряла за один час наступления 30 человек убитыми и ранеными, а шестая рота — 40 человек. В восьмой роте из строя выбыло ещё больше. Под влиянием больших потерь многие солдаты ходят унылые и молчаливые. Недавно один солдат прочитал нам полученное им письмо из Штаргарда от некоего Готвальда. Готвальд пишет, что советские самолёты бомбили Штаргард и произвели там сильные разрушения».</w:t>
      </w:r>
    </w:p>
    <w:p w14:paraId="5D9C9CF4"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13 роты 245 полка 88 немецкой пехотной дивизии Иозеф Эртельтальнер рассказал: «В Киеве я видел, как немецкие офицеры и солдаты мучили и убивали мирных жителей и русских военнопленных. На окраине города, недалеко от военных казарм, находилось полуразрушенное здание фабрики. По приказанию офицеров солдаты согнали туда несколько сот русских. Здесь их продержали несколько дней без пищи и воды. Заключённым не разрешалось ложиться. Измученныеи голодные люди засыпали стоя. На четвёртый или на пятый день заключённым приказали выходить по одному во двор. У выхода русских расстреливали одного за другим».</w:t>
      </w:r>
    </w:p>
    <w:p w14:paraId="5C3E2145"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военном заводе близ города. Лейпцига (Германия) иностранные рабочие потребовали отмены бесчисленных вычетов из заработной платы и улучшения питания.После отказа администрации выполнить эти требования на заводе вспыхнулаз абастовка. Рабочие вывели из строя трансформаторную подстанцию. Завод не работал в течение нескольких дней.» (14801).</w:t>
      </w:r>
    </w:p>
    <w:p w14:paraId="568F2BBB" w14:textId="77777777" w:rsidR="000A604E" w:rsidRPr="00722885" w:rsidRDefault="000A604E" w:rsidP="00722885">
      <w:pPr>
        <w:spacing w:after="0" w:line="240" w:lineRule="auto"/>
        <w:jc w:val="both"/>
        <w:rPr>
          <w:rFonts w:ascii="Times New Roman" w:hAnsi="Times New Roman"/>
          <w:color w:val="000000" w:themeColor="text1"/>
          <w:sz w:val="16"/>
          <w:szCs w:val="16"/>
        </w:rPr>
      </w:pPr>
    </w:p>
    <w:p w14:paraId="4D8D92B4"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16 октября </w:t>
      </w:r>
      <w:r w:rsidRPr="00722885">
        <w:rPr>
          <w:rFonts w:ascii="Times New Roman" w:hAnsi="Times New Roman"/>
          <w:color w:val="000000" w:themeColor="text1"/>
          <w:sz w:val="16"/>
          <w:szCs w:val="16"/>
        </w:rPr>
        <w:t>в 1942 году вечернее сообщение Совинформбюро:</w:t>
      </w:r>
    </w:p>
    <w:p w14:paraId="4B41E133"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16 октября наши войска вели ожесточённые бои с противником в районе Сталинграда и в районе Моздока. На других фронтах существенных изменений не произошло.</w:t>
      </w:r>
    </w:p>
    <w:p w14:paraId="39694B40"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15 октября нашей авиацией на различных участках фронта уничтожено или повреждено 10 немецких танков, до 60 автомашин с войсками, подавлен огонь 15 орудий, взорвано 2 склада боеприпасов, разбито три железнодорожных эшелона, рассеяно и частью уничтожено до двух рот пехоты противника.</w:t>
      </w:r>
    </w:p>
    <w:p w14:paraId="1778BB68"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отбивают ожесточённые атаки численно превосходящих сил противника. По неполным данным, в течение дня уничтожено 413 немецких танка и до полка пехоты противника. После упорных боёв наши части оставили один из заводских посёлков.</w:t>
      </w:r>
    </w:p>
    <w:p w14:paraId="0DBA4081"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происходили бои местного значения. На одном участке огнём нашей артиллерии и атакой пехотных подразделений уничтожено 5 танков, 4 миномёта, 16 пулемётов, 2 противотанковых орудия и 28 окопов и ДЗ0Т'ов противника. В этом бою истреблено до двух рот немецкой пехоты. На другом участке румынские части, стремясь вернуть потерянные позиции, пять раз переходили в контратаку, но под ударами советских бойцов откатывались назад. На поле боя осталось более 200 вражеских трупов.</w:t>
      </w:r>
    </w:p>
    <w:p w14:paraId="3D493F6C"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продолжались ожесточённые бои с танками и пехотой противника. Бойцы Н-ской части уничтожили до 200 немецких солдат и офицеров, 5 танков и взорвали склад боеприпасов. На другом участке бойцы под командованием т. Маркина уничтожили до роты немецкой пехоты. Экипаж командира танка т. Овчаренко подбил 2 тяжёлых танка противника и раздавил гусеницами несколько десятков гитлеровцев.</w:t>
      </w:r>
    </w:p>
    <w:p w14:paraId="3E12F2AB"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ряде участков Западного фронта происходили артиллерийская перестрелка и действия разведчиков. В течение дня огнём наших артиллеристов, разведчиков и снайперов истреблено до 600 солдат и офицеров противника.</w:t>
      </w:r>
    </w:p>
    <w:p w14:paraId="77F45B31"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подразделения под командованием т. Васильева отбили атаку немецкой пехоты. Встреченные ружейно-пулемётным огнём, гитлеровцы отступили, оставив на поле боя много трупов.</w:t>
      </w:r>
    </w:p>
    <w:p w14:paraId="745B552B"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калининских партизан пустила под откос 3 железнодорожных эшелона немецко-фашистских оккупантов. Разбито в щепы 23 вагона, и 61 вагон сошёл срельсов. Во время крушений убито много немецких солдат и офицеров.</w:t>
      </w:r>
    </w:p>
    <w:p w14:paraId="6EDF41E3"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9 роты 541 полка 387 немецкой пехотной дивизии Артур Ципфель рассказал: «Наша дивизия потеряла больше 70 процентов личного состава. Особенно тяжёлые потери понёс 541 полк. В числе убитых — командир полка полковник Лангефельд, командиры 1 и 2 батальонов майор Хедер и майор Клейн. В связи сприближением зимы многие солдаты повесили головы. Они говорят: «Зимой мы все погибнем здесь». Недавно из нашей роты пропали без вести 11 солдат. Командир роты капитан Кек высказал предположение, что они сдались в плен».</w:t>
      </w:r>
    </w:p>
    <w:p w14:paraId="05EF97A1"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неотправленном письме румынского солдата Илие Врабие к отцу говорится: «После того, что я видел во время последней атаки, я потерял всякую надежду на возвращение домой. Здесь, под Сталинградом, происходят невиданные бои. 5 пехотный полк четыре раза ходил в атаку и понёс огромные потери. Убитых офицеров </w:t>
      </w:r>
      <w:r w:rsidRPr="00722885">
        <w:rPr>
          <w:rFonts w:ascii="Times New Roman" w:hAnsi="Times New Roman"/>
          <w:color w:val="000000" w:themeColor="text1"/>
          <w:sz w:val="16"/>
          <w:szCs w:val="16"/>
        </w:rPr>
        <w:lastRenderedPageBreak/>
        <w:t>и солдат грузили на подводы так, как мы с тобой, бывало, грузили дрова... Вот уже пять месяцев я нахожусь на фронте и всё время ношу одну и ту же пару белья. Трудно даже представить, сколько вшей на мне. Я боюсь оставаться здесь. В этой зоне бывают очень сильные морозы».</w:t>
      </w:r>
    </w:p>
    <w:p w14:paraId="5398C032"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Колхозники деревни Дегтярное, Воронежской области, Воронин П.Д. и Клубнекин М.Д., вырвавшиеся из фашистского плена, рассказали: «Жизнь советских людей под ярмом немецких захватчиков хуже всякой каторги. Гитлеровские грабители опустошили все сундуки в домах, забрали хлеб и скот. Всех крестьян, старых и малых, немецкие душегубы заставили под страхом смертной казни таскать ящики с боеприпасами, строить блиндажи, рыть окопы. Работать приходилось по 18—20 часов, не разгибая спины, не имея даже куска хлеба. 4 октября немцы отобрали группу мужчин, женщин и подростков для отправки в Германию. Колхозницы Петрова Евдокия, Сорина Анна и Колышкина Вера пытались незаметно уйти из деревни, чтобы избежать фашистской неволи. Гитлеровские мерзавцы схватили девушек за околицей, привели в деревню и повесили их» (14801).</w:t>
      </w:r>
    </w:p>
    <w:p w14:paraId="26122DA9" w14:textId="77777777" w:rsidR="000A604E" w:rsidRPr="00722885" w:rsidRDefault="000A604E" w:rsidP="00722885">
      <w:pPr>
        <w:spacing w:after="0" w:line="240" w:lineRule="auto"/>
        <w:jc w:val="both"/>
        <w:rPr>
          <w:rFonts w:ascii="Times New Roman" w:hAnsi="Times New Roman"/>
          <w:color w:val="000000" w:themeColor="text1"/>
          <w:sz w:val="16"/>
          <w:szCs w:val="16"/>
        </w:rPr>
      </w:pPr>
    </w:p>
    <w:p w14:paraId="226E6AA9"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color w:val="000000" w:themeColor="text1"/>
          <w:sz w:val="16"/>
          <w:szCs w:val="16"/>
        </w:rPr>
        <w:t xml:space="preserve">16 октября </w:t>
      </w:r>
      <w:r w:rsidRPr="00722885">
        <w:rPr>
          <w:rFonts w:ascii="Times New Roman" w:hAnsi="Times New Roman"/>
          <w:color w:val="000000" w:themeColor="text1"/>
          <w:sz w:val="16"/>
          <w:szCs w:val="16"/>
        </w:rPr>
        <w:t>в 1942 году приказ НКО СССР № 325 об организации и ведении боевых действий бронетанковых и механизированных войск применительно к новым условиям войны (14801).</w:t>
      </w:r>
    </w:p>
    <w:p w14:paraId="00FEAD11" w14:textId="77777777" w:rsidR="000A604E" w:rsidRPr="00722885" w:rsidRDefault="000A604E" w:rsidP="00722885">
      <w:pPr>
        <w:spacing w:after="0" w:line="240" w:lineRule="auto"/>
        <w:jc w:val="both"/>
        <w:rPr>
          <w:rFonts w:ascii="Times New Roman" w:hAnsi="Times New Roman"/>
          <w:color w:val="000000" w:themeColor="text1"/>
          <w:sz w:val="16"/>
          <w:szCs w:val="16"/>
        </w:rPr>
      </w:pPr>
    </w:p>
    <w:p w14:paraId="454206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октября 1942 г. ПРИКАЗ О ВВЕДЕНИИ ВЫСШЕГО ПИЛОТАЖА В ЧАСТЯХ ИСТРЕБИТЕЛЬНОЙ АВИАЦИИ</w:t>
      </w:r>
    </w:p>
    <w:p w14:paraId="10F570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0823 </w:t>
      </w:r>
    </w:p>
    <w:p w14:paraId="32DC7D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повышения летных качеств летчиков-истребителей, воспитания у них смелости, уверенности в пилотировании и овладении всеми пилотажными свойствами своего самолета приказываю:</w:t>
      </w:r>
    </w:p>
    <w:p w14:paraId="4FC1E9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 школах, запасных авиаполках, в строевых частях и учебно-тренировочных авиаполках ввести в программу обучения высший пилотаж (одинарная бочка, двойная бочка, переворот, петля, иммельман, ранверсман, срыв в штопор не более одного витка).</w:t>
      </w:r>
    </w:p>
    <w:p w14:paraId="5D1BF4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Высший пилотаж производить на всех самолетах истребительного типа.</w:t>
      </w:r>
    </w:p>
    <w:p w14:paraId="14810F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Упражнения по высшему пилотажу выполнять строго в соответствии с новым курсом переучивания и боевой подготовки 1942 года, не допуская перескакивания в упражнениях.</w:t>
      </w:r>
    </w:p>
    <w:p w14:paraId="36423204" w14:textId="77777777" w:rsidR="00090C9B" w:rsidRPr="00722885" w:rsidRDefault="00090C9B" w:rsidP="00722885">
      <w:pPr>
        <w:spacing w:after="0" w:line="240" w:lineRule="auto"/>
        <w:jc w:val="both"/>
        <w:rPr>
          <w:rStyle w:val="a7"/>
          <w:rFonts w:ascii="Times New Roman" w:hAnsi="Times New Roman"/>
          <w:b w:val="0"/>
          <w:bCs w:val="0"/>
          <w:color w:val="000000" w:themeColor="text1"/>
          <w:sz w:val="16"/>
          <w:szCs w:val="16"/>
        </w:rPr>
      </w:pPr>
      <w:r w:rsidRPr="00722885">
        <w:rPr>
          <w:rStyle w:val="a7"/>
          <w:rFonts w:ascii="Times New Roman" w:hAnsi="Times New Roman"/>
          <w:b w:val="0"/>
          <w:bCs w:val="0"/>
          <w:color w:val="000000" w:themeColor="text1"/>
          <w:sz w:val="16"/>
          <w:szCs w:val="16"/>
        </w:rPr>
        <w:t>331</w:t>
      </w:r>
    </w:p>
    <w:p w14:paraId="24858D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К выполнению фигур высшего пилотажа допускать летчиков, тщательно проверенных инструктором на двухместном истребительном самолете.</w:t>
      </w:r>
    </w:p>
    <w:p w14:paraId="329A32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Начальнику НИИ ВВС Красной Армии провести испытания иностранных самолетов (Р-39, Р-40Е и “Харрикейн”) на высший пилотаж и разработать методику выполнения к 1 ноября 1942 года.</w:t>
      </w:r>
    </w:p>
    <w:p w14:paraId="609C628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Все ранее отданные распоряжения о запрещении пилотажа отменить. Приказ передать по телеграфу.</w:t>
      </w:r>
    </w:p>
    <w:p w14:paraId="6A7BBB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Style w:val="af0"/>
          <w:rFonts w:ascii="Times New Roman" w:hAnsi="Times New Roman"/>
          <w:i w:val="0"/>
          <w:iCs w:val="0"/>
          <w:color w:val="000000" w:themeColor="text1"/>
          <w:sz w:val="16"/>
          <w:szCs w:val="16"/>
        </w:rPr>
        <w:t>Заместитель Народного комиссара обороны генерал-лейтенант авиации НОВИКОВ ф. 4, оп. 11, д. 73, л. 42—43. Подлинник (11690).</w:t>
      </w:r>
    </w:p>
    <w:p w14:paraId="27E3E92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D754A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октября 1942 англичане передали нам безвозмездно 23 Хэмпдена, + 3 Спитфайра которые были направлены в СССР для поиска и потопления Тирпица, но так и не смогли это сделать (1085,206).</w:t>
      </w:r>
    </w:p>
    <w:p w14:paraId="47C73471" w14:textId="77777777" w:rsidR="00090C9B" w:rsidRPr="00722885" w:rsidRDefault="00090C9B" w:rsidP="00722885">
      <w:pPr>
        <w:pStyle w:val="Iauiue"/>
        <w:jc w:val="both"/>
        <w:rPr>
          <w:color w:val="000000" w:themeColor="text1"/>
          <w:sz w:val="16"/>
          <w:szCs w:val="16"/>
        </w:rPr>
      </w:pPr>
    </w:p>
    <w:p w14:paraId="4033B9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октября 1942 г. специальным приказом народного комиссара Обороны (НКО) высший пилотаж был вновь введен в программу обучения как во фронтовых полках, так и в летных школах (4537).</w:t>
      </w:r>
    </w:p>
    <w:p w14:paraId="1B652284" w14:textId="77777777" w:rsidR="00090C9B" w:rsidRPr="00722885" w:rsidRDefault="00090C9B" w:rsidP="00722885">
      <w:pPr>
        <w:pStyle w:val="Iauiue"/>
        <w:jc w:val="both"/>
        <w:rPr>
          <w:color w:val="000000" w:themeColor="text1"/>
          <w:sz w:val="16"/>
          <w:szCs w:val="16"/>
        </w:rPr>
      </w:pPr>
    </w:p>
    <w:p w14:paraId="11E9F1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октября 1942 вышел приказ НКО N 325 по боевому использованию танковых частей и соединений, порядок организации этих частей с артиллерией, пехотой, авиацией. Четко определили назначение танковых корпусов - основных средств развития успеха в наступательной операции (359,208).</w:t>
      </w:r>
    </w:p>
    <w:p w14:paraId="56DAFE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другим данным - N 32505 и главная задача - уничтожение пехоты, т.к. борьбой с танками д.б. заниматься артиллерия (3828,32).</w:t>
      </w:r>
    </w:p>
    <w:p w14:paraId="2A633592" w14:textId="77777777" w:rsidR="00090C9B" w:rsidRPr="00722885" w:rsidRDefault="00090C9B" w:rsidP="00722885">
      <w:pPr>
        <w:pStyle w:val="Iauiue"/>
        <w:jc w:val="both"/>
        <w:rPr>
          <w:color w:val="000000" w:themeColor="text1"/>
          <w:sz w:val="16"/>
          <w:szCs w:val="16"/>
        </w:rPr>
      </w:pPr>
    </w:p>
    <w:p w14:paraId="3B0AE2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октября 1942 г. вышел ПРИКАЗ № 325 О БОЕВОМ ПРИМЕНЕНИИ ТАНКОВЫХ И МЕХАНИЗИРОВАННЫХ ЧАСТЕЙ И СОЕДИНЕНИЙ</w:t>
      </w:r>
    </w:p>
    <w:p w14:paraId="2B93C4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Практика войны с немецкими фашистами показала, что в деле применения танковых частей мы до сих пор имеем крупные недостатки. Главные недостатки сводятся к следующему:</w:t>
      </w:r>
    </w:p>
    <w:p w14:paraId="5EF08D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Наши танки при атаке обороны противника отрываются от пехоты и, оторвавшись, теряют с ней взаимодейстие. Пехота, будучи отсечена от танков огнем противника, не поддерживает наши танки своим огнем артиллерии. Танки, оторвавшись от пехоты, дерутся в единоборстве с артиллерией, танками и пехотой противника, неся при этом большие потери.</w:t>
      </w:r>
    </w:p>
    <w:p w14:paraId="4D5F79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Танки бросаются на оборону противника без должной артиллерийской поддержки. Артиллерия до начала танковой атаки не подавляет противотанковые средства на переднем крае обороны противника, орудия танковой поддержки применяются не всегда. При подходе к переднему краю противника танки встречаются огнем противотанковой артиллерии противника и несут большие потери.</w:t>
      </w:r>
    </w:p>
    <w:p w14:paraId="62C2E8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Танковые и артиллерийские командиры не увязывают свои действия на местности по местным предметам и по рубежам, не устанавливают сигналов вызова и прекращения огня артиллерии.</w:t>
      </w:r>
    </w:p>
    <w:p w14:paraId="6A6ABB6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Артиллерийские начальники, поддерживающие танковую атаку, управляют огнем артиллерии с удаленных наблюдательных пунктов и не используют радийные* танки в качестве подвижных передовых артиллерийских наблюдательных пунктов.</w:t>
      </w:r>
    </w:p>
    <w:p w14:paraId="1BA3FC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Танки вводятся в бой поспешно без разведки местности, прилегающей к переднему краю обороны противника, без изучения местности в глубине расположения противника, без тщательного изучения танкистами системы огня противника.</w:t>
      </w:r>
    </w:p>
    <w:p w14:paraId="7D1095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Танковые командиры, не имея времени на организацию танковой атаки, не доводят задачу до танковых экипажей, в результате незнания противника и местности танки атакуют неуверенно и на малых скоростях. Стрельба с хода не ведется, ограничиваясь стрельбой с места, да и то только из орудий.</w:t>
      </w:r>
    </w:p>
    <w:p w14:paraId="003A20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Как правило, танки на поле боя не маневрируют, не используют местность для скрытого подхода и внезапного удара во фланг и тыл и чаще всего атакуют противника в лоб.</w:t>
      </w:r>
    </w:p>
    <w:p w14:paraId="50F4F2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Общевойсковые командиры не отводят необходимого времени для технической подготовки танков к бою, не подготавливают местность в инженерном отношении на направлении действия танков. Минные поля разведываются плохо и не очищаются. В противотанковых препятствиях не проделываются проходы и не оказывается должной помощи в преодолении трудно проходимых участков местности. Саперы для сопровождения танков выделяются не всегда.</w:t>
      </w:r>
    </w:p>
    <w:p w14:paraId="6006EC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 приводит к тому, что танки подрываются на минах, застревают в болотах, на протвотанковых препятствиях и в бою не участвуют.</w:t>
      </w:r>
    </w:p>
    <w:p w14:paraId="049938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Танки не выполняют своей основной задачи уничтожения пехоты противника, а отвлекаются на борьбу с танками и артиллерией противника. Установившаяся практика противопоставлять танковым атакам противника наши танки и ввязываться в танковые бои является неправильной и вредной.</w:t>
      </w:r>
    </w:p>
    <w:p w14:paraId="0516D2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Боевые действия танков не обеспечиваются достаточным авиационным прикрытием, авиаразведкой и авианаведением. Авиация, как правило, не сопровождает танковые соединения в глубине обороны противника и боевые действия авиации не увязываются с танковыми атаками.</w:t>
      </w:r>
    </w:p>
    <w:p w14:paraId="578884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Управление танками на поле боя организуется плохо. Радио как средство управления используется недостаточно. Командиры танковых частей и соединений, находясь на командных пунктах, отрываются от боевых порядков и не наблюдают действие танков в бою и на ход боя танков не влияют.</w:t>
      </w:r>
    </w:p>
    <w:p w14:paraId="2B4CF8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Командиры рот и батальонов, двигаясь впереди боевых порядков, не имеют возможности следить за танками и управлять боем своих подразделений и превращаются в рядовых командиров танков, а части, не имея управления, теряют ориентировку и блуждают по полю боя, неся напрасные потери.</w:t>
      </w:r>
    </w:p>
    <w:p w14:paraId="42F1BA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Приказываю в боевом использовании танковых и механизированных частей и соединений руководствоваться следующими указаниями.</w:t>
      </w:r>
    </w:p>
    <w:p w14:paraId="4E9DB4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Боевое применение танковых полков, бригад и корпусов</w:t>
      </w:r>
    </w:p>
    <w:p w14:paraId="131029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Отдельные танковые полки и бригады предназначаются для усиления пехоты на главном направлении и действуют в тесном взаимодействии с ней как танки непосредственной поддержки пехоты.</w:t>
      </w:r>
    </w:p>
    <w:p w14:paraId="6E119C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Танки, действуя совместно с пехотой, имеют своей основной задачей уничтожение пехоты противника и не должны отрываться от своей пехоты более чем на 200—400 м.</w:t>
      </w:r>
    </w:p>
    <w:p w14:paraId="34A14D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бою танковый командир организует наблюдение за боевыми порядками своей пехоты. Если пехота залегла и не продвигается за танками, командир танковой части выделяет часть танков для уничтожения огневых точек, препятствующих продвижению нашей пехоты вперед.</w:t>
      </w:r>
    </w:p>
    <w:p w14:paraId="2B3766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Пехота для обеспечения действия танков должна подавлять всей мощью своего огня, а также огнем орудий сопровождения противотанковые средства противника, разведывать и очищать минные поля, помогать танкам преодолевать противотанковые препятствия и заболоченные участки местности, бороться с немецкими истребителями танков, решительно следовать за танками в атаку, быстро закреплять рубежи, захваченные ими, прикрывать подвоз танкам боеприпасов и горючего и содействовать эвакуации аварийных танков с поля боя.</w:t>
      </w:r>
    </w:p>
    <w:p w14:paraId="075F2C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Артиллерия до выхода танков в атаку должна уничтожить противотанковые средства обороны противника. В период атаки переднего края и боя в глубине обороны противника подавлять по сигналам танковых командиров огневые средства, мешающие продвижению танков, для чего артиллерийские командиры обязаны руководить огнем артиллерии с передовых подвижных наблюдательных пунктов из радийных танков. Артиллерийские и танковые командиры совместно устанавливают сигналы вызова и прекращения огня артиллерии.</w:t>
      </w:r>
    </w:p>
    <w:p w14:paraId="693034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5. При появлении на поле боя танков противника основную борьбу с ними ведет артиллерия. Танки ведут бой с танками противника только в случае явного превосходства в силах и выгодного положения.</w:t>
      </w:r>
    </w:p>
    <w:p w14:paraId="7965F8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Наша авиация своими действиями расстреливает противотанковую оборону противника, воспрещает подход к полю боя его танков, прикрывает боевые порядки танковых частей от воздействия авиации противника, обеспечивает боевые действия танковых частей постоянной и непрерывной авиаразведкой.</w:t>
      </w:r>
    </w:p>
    <w:p w14:paraId="57EA26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Танковым экипажам атаку проводить на максимальных скоростях, подавлять интенсивным огнем с хода орудийные, минометные, пулеметные расчеты и пехоту врага и умело маневрировать на поле боя, используя складки местности для выхода во фланг и тыл огневых средств и пехоты противника. Лобовые атаки танками не проводить.</w:t>
      </w:r>
    </w:p>
    <w:p w14:paraId="4CD987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Отдельные танковые полки и танковые бригады являются средством командующего армии и его распоряжением придаются стрелковым дивизиям как средство их усиления.</w:t>
      </w:r>
    </w:p>
    <w:p w14:paraId="504305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Отдельные полки танков прорыва, вооруженные тяжелыми танками, придаются войскам как средство усиления для прорыва обороны противника в тесном взаимодействии с пехотой и артиллерией. По выполнении задачи прорыва укрепленной полосы тяжелые танки сосредоточиваются в сборных районах в готовности к отражению контратак противника.</w:t>
      </w:r>
    </w:p>
    <w:p w14:paraId="3631EF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В оборонительном бою танковые полки и бригады самостоятельных участков для обороны не получают, а используются как средство нанесения контрударов по частям противника, прорвавшимся в глубину обороны. В отдельных случаях танки могут быть зарыты в землю в качестве неподвижных артиллерийских точек, засад или для использования вместо кочующих орудий.</w:t>
      </w:r>
    </w:p>
    <w:p w14:paraId="34B02B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Танковый корпус подчиняется командующему фронтом или армией и применяется на главном направлении в качестве эшелона развития успеха для разгрома и уничтожения пехоты противника.</w:t>
      </w:r>
    </w:p>
    <w:p w14:paraId="6591A9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наступательной операции танковый корпус выполняет задачу по нанесению массированного удара с целью разобщения и окружения главной группировки войск противника и разгрома ее совместными действиями с авиацией и наземными войсками фронта.</w:t>
      </w:r>
    </w:p>
    <w:p w14:paraId="2013A5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Корпус не должен ввязываться в танковые бои с танками противника, если нет явного превосходства над противником. В случае встречи с большими танковыми частями противника, корпус выделяет против танков противника противотанковую артиллерию и часть танков, пехота в свою очередь выдвигает свою противотанковую артиллерию, и корпус, заслонившись всеми этими средствами, обходит своими главными силами танки противника и бьет по пехоте противника с целью оторвать ее от танков противника и парализовать действия танков противника. Главная задача танкового корпуса — уничтожение пехоты противника.</w:t>
      </w:r>
    </w:p>
    <w:p w14:paraId="2CBEE3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В оборонительной операции фронта или армии танковые корпуса самостоятельных оборонительных участков не получают и используются как мощное средство контрудара из глубины и располагаются на стыках армий, вне воздействия артиллерийского огня противника (20—25 км).</w:t>
      </w:r>
    </w:p>
    <w:p w14:paraId="322C69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Местность имеет решающее значение для выбора направления действий танкового корпуса. Полное использование ударной силы корпуса и его подвижности возможно на танкодоступной местности, поэтому разведка местности предстоящих действий корпуса должна быть организована всеми инстанциями от командования фронта, армии и ниже.</w:t>
      </w:r>
    </w:p>
    <w:p w14:paraId="6CDBD0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Во всех видах боя танкового корпуса решающим элементом является внезапность. Внезапность достигается маскировкой, скрытностью расположения и передвижения, использованием для маршей ночного времени и прикрытием сосредоточения с воздуха.</w:t>
      </w:r>
    </w:p>
    <w:p w14:paraId="47CB2D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II</w:t>
      </w:r>
    </w:p>
    <w:p w14:paraId="58A88F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Боевое применение механизированных бригад и механизированных корпусов</w:t>
      </w:r>
    </w:p>
    <w:p w14:paraId="5582CD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Отдельная механизированная бригада является тактическим соединением и используется армейским командованием как подвижной резерв.</w:t>
      </w:r>
    </w:p>
    <w:p w14:paraId="1601C5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Механизированная бригада в наступлении дерзкими стремительными действиями накоротке выполняет задачи по захвату и удержанию важных объектов до подхода основных сил, действующих на данном направлении.</w:t>
      </w:r>
    </w:p>
    <w:p w14:paraId="5CFE5A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частной наступательной армейской операции механизированная бригада выполняет задачи развития успеха.</w:t>
      </w:r>
    </w:p>
    <w:p w14:paraId="24DD24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Механизированная бригада может также выполнять задачи надежного обеспечения фланга наступающих частей.</w:t>
      </w:r>
    </w:p>
    <w:p w14:paraId="52CA91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В преследовании отходящего противника механизированная бригада захватывает в его тылу переправы, дефиле, важнейшие узлы дорог и решительными действиями содействует окружению и разгрому противника.</w:t>
      </w:r>
    </w:p>
    <w:p w14:paraId="403644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В оборонительной армейской операции мехбригада используется как армейский подвижной резерв, для нанесения контрударов и ликвидации успеха прорвавшегося противника.</w:t>
      </w:r>
    </w:p>
    <w:p w14:paraId="7CF8F9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Механизированная бригада в подвижной обороне выполняет задачу активной обороны на широком фронте и обеспечивает перегруппировку частей армии.</w:t>
      </w:r>
    </w:p>
    <w:p w14:paraId="76905A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В основу всех действий механизированной бригады должны быть положены — высокая маневренность, смелость, решительность и настойчивость в достижении поставленной задачи.</w:t>
      </w:r>
    </w:p>
    <w:p w14:paraId="1AF8B1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Используя свою высокую подвижность, мехбригада должна искать слабые места противника и наносить ему короткие удары.</w:t>
      </w:r>
    </w:p>
    <w:p w14:paraId="51AF47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Механизированные корпуса являются средством командования фронта или армии и используются на главном направлении как эшелон развития успеха наших войск и преследования противника.</w:t>
      </w:r>
    </w:p>
    <w:p w14:paraId="4C44B8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Дробление мехкорпуса побригадно и переподчинение мехбригад командирам стрелковых соединений не производится.</w:t>
      </w:r>
    </w:p>
    <w:p w14:paraId="037261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При развитии успеха наступательной операции мехкорпус, как более насыщенный мотопехотой, танками и средствами усиления, вырвавшись вперед, может решать наступательные задачи самостоятельно против неуспевшего еще закрепиться противника.</w:t>
      </w:r>
    </w:p>
    <w:p w14:paraId="56121F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Использование мехкорпуса как эшелона развития прорыва может быть только после преодоления общевойсковыми соединениями главной оборонительной полосы и выхода атакующей пехоты в районы артиллерийских позиций противника.</w:t>
      </w:r>
    </w:p>
    <w:p w14:paraId="106246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особых случаях мехкорпус, когда оборона противника оборудована слабо, может решать самостоятельно задачи прорыва фронта и разгрома противника на всю глубину его обороны. В этих случаях механизированный корпус должен обязательно усиливаться гаубичной артиллерией, авиацией и по возможности танками прорыва.</w:t>
      </w:r>
    </w:p>
    <w:p w14:paraId="253AD7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Подготовка мехкорпуса к вводу в прорыв заключается в:</w:t>
      </w:r>
    </w:p>
    <w:p w14:paraId="5D6004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проведении разведки местности, расположения противника и своих выжидательных и исходных районов;</w:t>
      </w:r>
    </w:p>
    <w:p w14:paraId="47984A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согласовании действий мехкорпуса с действиями общевойсковых соединений, на участках которых мехкорпус входит в прорыв;</w:t>
      </w:r>
    </w:p>
    <w:p w14:paraId="385FD7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подготовке путей для движения боевых частей и тылов;</w:t>
      </w:r>
    </w:p>
    <w:p w14:paraId="4FE7E1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организации управления и связи;</w:t>
      </w:r>
    </w:p>
    <w:p w14:paraId="0DB134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подготовке материальной части и организации тыла;</w:t>
      </w:r>
    </w:p>
    <w:p w14:paraId="623B7D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 организации выполнения перехода мехкорпуса в исходный район и движения его через горловину прорыва в оборонительной полосе противника.</w:t>
      </w:r>
    </w:p>
    <w:p w14:paraId="1F4FCE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выполнения всех мероприятий по подготовке к вводу мехкорпуса в прорыв корпусу необходимо предоставлять двое-трое суток.</w:t>
      </w:r>
    </w:p>
    <w:p w14:paraId="53C2257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Механизированный корпус вводится в прорыв на фронте шесть-восемь километров в предбоевых порядках по двум-четырем маршрутам.</w:t>
      </w:r>
    </w:p>
    <w:p w14:paraId="5A2488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Порядок построения механизированных и танковых бригад (полков) для ввода в прорыв устанавливается, исходя из следующего:</w:t>
      </w:r>
    </w:p>
    <w:p w14:paraId="46A1AF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впереди, вслед за наступающими пехотными частями, должны двигаться разведчасти корпуса;</w:t>
      </w:r>
    </w:p>
    <w:p w14:paraId="43D348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за разведкой двигаются отряды обеспечения движения, имеющие задачу подготовки путей в полосе движения корпуса;</w:t>
      </w:r>
    </w:p>
    <w:p w14:paraId="1B83E7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затем двигаются охранение и за ним главные силы корпуса.</w:t>
      </w:r>
    </w:p>
    <w:p w14:paraId="2E51D9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Колонны главных сил в зависимости от обстановки могут иметь впереди танковые полки механизированных бригад или мотострелковые батальоны. Танковые резервы командира корпуса двигаются за колоннами мехбригад с задачей развития успеха первых эшелонов;</w:t>
      </w:r>
    </w:p>
    <w:p w14:paraId="15083C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движение частей совершается в построениях, обеспечивающих наименьшие потери от авиации, артогня противника и удобства развертывания;</w:t>
      </w:r>
    </w:p>
    <w:p w14:paraId="781421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вся артиллерия корпуса в колоннах главны\ сил движется за танковыми полками мехбригад;</w:t>
      </w:r>
    </w:p>
    <w:p w14:paraId="3766AF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 боевые тылы танковых и механизированных бригад с назначенным для них прикрытием двигаются за своими частями.</w:t>
      </w:r>
    </w:p>
    <w:p w14:paraId="796309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Команду (сигнал) о вводе механизированных корпусов дает командующий фронтом или армией.</w:t>
      </w:r>
    </w:p>
    <w:p w14:paraId="67670D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После непрерывных боевых действий в течение 5—6 суток корпусу необходимо обеспечить 2—3 дня для восстановления матчасти и пополнения запасов.</w:t>
      </w:r>
    </w:p>
    <w:p w14:paraId="778A6A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Боевые действия мехкорпусов необходимо надежно прикрывать с воздуха и усиливать артиллерийскими средствами ПВО и авиацией.</w:t>
      </w:r>
    </w:p>
    <w:p w14:paraId="142D9D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налетах авиации противника механизированным бригадам продолжать выполнение поставленной задачи, отражая нападение авиации всеми имеющимися огневыми средствами.</w:t>
      </w:r>
    </w:p>
    <w:p w14:paraId="350573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Мотопехота использует автотранспорт для быстрого подхода и развертывания в спешенный боевой порядок.</w:t>
      </w:r>
    </w:p>
    <w:p w14:paraId="2D29BD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Автотранспортные машины в моторизованных бригадах служат средством передвижения и не являются боевыми машинами, поэтому мотопехота оставляет автомашины перед зоной артиллерийского огня и двигается к полю боя равно как ведет бой в пешем порядке.</w:t>
      </w:r>
    </w:p>
    <w:p w14:paraId="355FFA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Автотранспорт отводится в удобные укрытия, где располагается рассредоточение в постоянной готовности быстрой подачи для дальнейшего броска мотопехоты.</w:t>
      </w:r>
    </w:p>
    <w:p w14:paraId="3E109B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В основу боевых действий мехкорпусов должно быть заложено стремительное маневрирование во фланг и тыл группировок противника, быстрое развертывание для боя, решительные и смелые атаки.</w:t>
      </w:r>
    </w:p>
    <w:p w14:paraId="1E2D62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Настоящий приказ довести в танковых и механизированных войсках до командира взвода, в стрелковых и артиллерийских частях — до командира роты и батареи и </w:t>
      </w:r>
      <w:r w:rsidRPr="00722885">
        <w:rPr>
          <w:color w:val="000000" w:themeColor="text1"/>
          <w:sz w:val="16"/>
          <w:szCs w:val="16"/>
        </w:rPr>
        <w:lastRenderedPageBreak/>
        <w:t>принять его к немедленному и точному исполнению.</w:t>
      </w:r>
    </w:p>
    <w:p w14:paraId="4E20B5CE"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Народный комиссар обороны СССР И. СТАЛИН</w:t>
      </w:r>
      <w:r w:rsidRPr="00722885">
        <w:rPr>
          <w:color w:val="000000" w:themeColor="text1"/>
          <w:sz w:val="16"/>
          <w:szCs w:val="16"/>
        </w:rPr>
        <w:t xml:space="preserve"> (9844).</w:t>
      </w:r>
    </w:p>
    <w:p w14:paraId="57EB8284" w14:textId="77777777" w:rsidR="00090C9B" w:rsidRPr="00722885" w:rsidRDefault="00090C9B" w:rsidP="00722885">
      <w:pPr>
        <w:pStyle w:val="Iauiue"/>
        <w:jc w:val="both"/>
        <w:rPr>
          <w:color w:val="000000" w:themeColor="text1"/>
          <w:sz w:val="16"/>
          <w:szCs w:val="16"/>
        </w:rPr>
      </w:pPr>
    </w:p>
    <w:p w14:paraId="00FAE44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34139DCE" w14:textId="77777777" w:rsidR="00090C9B" w:rsidRPr="00722885" w:rsidRDefault="00090C9B" w:rsidP="00722885">
      <w:pPr>
        <w:pStyle w:val="Iauiue"/>
        <w:jc w:val="both"/>
        <w:rPr>
          <w:iCs/>
          <w:color w:val="000000" w:themeColor="text1"/>
          <w:sz w:val="16"/>
          <w:szCs w:val="16"/>
        </w:rPr>
      </w:pPr>
    </w:p>
    <w:p w14:paraId="6F99BB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октября 1942 года было получено:</w:t>
      </w:r>
    </w:p>
    <w:p w14:paraId="77CA90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 РУЗВЕЛЬТ И. В. СТАЛИНУ*</w:t>
      </w:r>
    </w:p>
    <w:p w14:paraId="3128B9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ответ на Вашу просьбу я рад сообщить Вам, что предметы, о которых идет речь, могут быть выделены для поставок, как указано ниже:</w:t>
      </w:r>
    </w:p>
    <w:tbl>
      <w:tblPr>
        <w:tblW w:w="0" w:type="auto"/>
        <w:jc w:val="center"/>
        <w:tblLayout w:type="fixed"/>
        <w:tblCellMar>
          <w:left w:w="105" w:type="dxa"/>
          <w:right w:w="105" w:type="dxa"/>
        </w:tblCellMar>
        <w:tblLook w:val="0000" w:firstRow="0" w:lastRow="0" w:firstColumn="0" w:lastColumn="0" w:noHBand="0" w:noVBand="0"/>
      </w:tblPr>
      <w:tblGrid>
        <w:gridCol w:w="2642"/>
        <w:gridCol w:w="7148"/>
      </w:tblGrid>
      <w:tr w:rsidR="009B487A" w:rsidRPr="00722885" w14:paraId="0F6D33B6"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025CDA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Пшеница </w:t>
            </w:r>
          </w:p>
        </w:tc>
        <w:tc>
          <w:tcPr>
            <w:tcW w:w="7148" w:type="dxa"/>
            <w:tcBorders>
              <w:top w:val="single" w:sz="6" w:space="0" w:color="auto"/>
              <w:left w:val="single" w:sz="6" w:space="0" w:color="auto"/>
              <w:bottom w:val="single" w:sz="6" w:space="0" w:color="auto"/>
              <w:right w:val="single" w:sz="6" w:space="0" w:color="auto"/>
            </w:tcBorders>
          </w:tcPr>
          <w:p w14:paraId="3F35D6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2 миллиона коротких тонн </w:t>
            </w:r>
            <w:r w:rsidRPr="00722885">
              <w:rPr>
                <w:color w:val="000000" w:themeColor="text1"/>
                <w:sz w:val="16"/>
                <w:szCs w:val="16"/>
                <w:vertAlign w:val="superscript"/>
              </w:rPr>
              <w:t>17</w:t>
            </w:r>
            <w:r w:rsidRPr="00722885">
              <w:rPr>
                <w:color w:val="000000" w:themeColor="text1"/>
                <w:sz w:val="16"/>
                <w:szCs w:val="16"/>
              </w:rPr>
              <w:t xml:space="preserve"> в течение оставшегося периода протокольного года </w:t>
            </w:r>
            <w:r w:rsidRPr="00722885">
              <w:rPr>
                <w:color w:val="000000" w:themeColor="text1"/>
                <w:sz w:val="16"/>
                <w:szCs w:val="16"/>
                <w:vertAlign w:val="superscript"/>
              </w:rPr>
              <w:t>18</w:t>
            </w:r>
            <w:r w:rsidRPr="00722885">
              <w:rPr>
                <w:color w:val="000000" w:themeColor="text1"/>
                <w:sz w:val="16"/>
                <w:szCs w:val="16"/>
              </w:rPr>
              <w:t xml:space="preserve"> приблизительно разными частями ежемесячно.</w:t>
            </w:r>
          </w:p>
        </w:tc>
      </w:tr>
      <w:tr w:rsidR="009B487A" w:rsidRPr="00722885" w14:paraId="4EB7FB0F"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6B657E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Грузовики </w:t>
            </w:r>
          </w:p>
        </w:tc>
        <w:tc>
          <w:tcPr>
            <w:tcW w:w="7148" w:type="dxa"/>
            <w:tcBorders>
              <w:top w:val="single" w:sz="6" w:space="0" w:color="auto"/>
              <w:left w:val="single" w:sz="6" w:space="0" w:color="auto"/>
              <w:bottom w:val="single" w:sz="6" w:space="0" w:color="auto"/>
              <w:right w:val="single" w:sz="6" w:space="0" w:color="auto"/>
            </w:tcBorders>
          </w:tcPr>
          <w:p w14:paraId="2FB85C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8 000—10 000 в месяц.</w:t>
            </w:r>
          </w:p>
        </w:tc>
      </w:tr>
      <w:tr w:rsidR="009B487A" w:rsidRPr="00722885" w14:paraId="79B0D628"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032759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Взрывчатые вещества </w:t>
            </w:r>
          </w:p>
        </w:tc>
        <w:tc>
          <w:tcPr>
            <w:tcW w:w="7148" w:type="dxa"/>
            <w:tcBorders>
              <w:top w:val="single" w:sz="6" w:space="0" w:color="auto"/>
              <w:left w:val="single" w:sz="6" w:space="0" w:color="auto"/>
              <w:bottom w:val="single" w:sz="6" w:space="0" w:color="auto"/>
              <w:right w:val="single" w:sz="6" w:space="0" w:color="auto"/>
            </w:tcBorders>
          </w:tcPr>
          <w:p w14:paraId="179993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4 000 коротких тонн в ноябре и по 5 000 тонн в последующие месяцы.</w:t>
            </w:r>
          </w:p>
        </w:tc>
      </w:tr>
      <w:tr w:rsidR="009B487A" w:rsidRPr="00722885" w14:paraId="7F404972"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1014AA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Мясо </w:t>
            </w:r>
          </w:p>
        </w:tc>
        <w:tc>
          <w:tcPr>
            <w:tcW w:w="7148" w:type="dxa"/>
            <w:tcBorders>
              <w:top w:val="single" w:sz="6" w:space="0" w:color="auto"/>
              <w:left w:val="single" w:sz="6" w:space="0" w:color="auto"/>
              <w:bottom w:val="single" w:sz="6" w:space="0" w:color="auto"/>
              <w:right w:val="single" w:sz="6" w:space="0" w:color="auto"/>
            </w:tcBorders>
          </w:tcPr>
          <w:p w14:paraId="03CD8A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15 000 тонн в месяц.</w:t>
            </w:r>
          </w:p>
        </w:tc>
      </w:tr>
      <w:tr w:rsidR="009B487A" w:rsidRPr="00722885" w14:paraId="20BE39F5"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604E9C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Консервированное мясо </w:t>
            </w:r>
          </w:p>
        </w:tc>
        <w:tc>
          <w:tcPr>
            <w:tcW w:w="7148" w:type="dxa"/>
            <w:tcBorders>
              <w:top w:val="single" w:sz="6" w:space="0" w:color="auto"/>
              <w:left w:val="single" w:sz="6" w:space="0" w:color="auto"/>
              <w:bottom w:val="single" w:sz="6" w:space="0" w:color="auto"/>
              <w:right w:val="single" w:sz="6" w:space="0" w:color="auto"/>
            </w:tcBorders>
          </w:tcPr>
          <w:p w14:paraId="42D92D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10 000 тонн в месяц.</w:t>
            </w:r>
          </w:p>
        </w:tc>
      </w:tr>
      <w:tr w:rsidR="009B487A" w:rsidRPr="00722885" w14:paraId="5614C437"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3CC23FD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Свиное сало </w:t>
            </w:r>
          </w:p>
        </w:tc>
        <w:tc>
          <w:tcPr>
            <w:tcW w:w="7148" w:type="dxa"/>
            <w:tcBorders>
              <w:top w:val="single" w:sz="6" w:space="0" w:color="auto"/>
              <w:left w:val="single" w:sz="6" w:space="0" w:color="auto"/>
              <w:bottom w:val="single" w:sz="6" w:space="0" w:color="auto"/>
              <w:right w:val="single" w:sz="6" w:space="0" w:color="auto"/>
            </w:tcBorders>
          </w:tcPr>
          <w:p w14:paraId="03184B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12 000 тонн в месяц.</w:t>
            </w:r>
          </w:p>
        </w:tc>
      </w:tr>
      <w:tr w:rsidR="009B487A" w:rsidRPr="00722885" w14:paraId="7CCECDE7"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75B848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Мыльная основа </w:t>
            </w:r>
          </w:p>
        </w:tc>
        <w:tc>
          <w:tcPr>
            <w:tcW w:w="7148" w:type="dxa"/>
            <w:tcBorders>
              <w:top w:val="single" w:sz="6" w:space="0" w:color="auto"/>
              <w:left w:val="single" w:sz="6" w:space="0" w:color="auto"/>
              <w:bottom w:val="single" w:sz="6" w:space="0" w:color="auto"/>
              <w:right w:val="single" w:sz="6" w:space="0" w:color="auto"/>
            </w:tcBorders>
          </w:tcPr>
          <w:p w14:paraId="39C605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5 000 тонн в месяц.</w:t>
            </w:r>
          </w:p>
        </w:tc>
      </w:tr>
      <w:tr w:rsidR="009B487A" w:rsidRPr="00722885" w14:paraId="5BB7C7DE" w14:textId="77777777" w:rsidTr="00CC5360">
        <w:trPr>
          <w:jc w:val="center"/>
        </w:trPr>
        <w:tc>
          <w:tcPr>
            <w:tcW w:w="2642" w:type="dxa"/>
            <w:tcBorders>
              <w:top w:val="single" w:sz="6" w:space="0" w:color="auto"/>
              <w:left w:val="single" w:sz="6" w:space="0" w:color="auto"/>
              <w:bottom w:val="single" w:sz="6" w:space="0" w:color="auto"/>
              <w:right w:val="single" w:sz="6" w:space="0" w:color="auto"/>
            </w:tcBorders>
          </w:tcPr>
          <w:p w14:paraId="24BE0A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Растительное масло </w:t>
            </w:r>
          </w:p>
        </w:tc>
        <w:tc>
          <w:tcPr>
            <w:tcW w:w="7148" w:type="dxa"/>
            <w:tcBorders>
              <w:top w:val="single" w:sz="6" w:space="0" w:color="auto"/>
              <w:left w:val="single" w:sz="6" w:space="0" w:color="auto"/>
              <w:bottom w:val="single" w:sz="6" w:space="0" w:color="auto"/>
              <w:right w:val="single" w:sz="6" w:space="0" w:color="auto"/>
            </w:tcBorders>
          </w:tcPr>
          <w:p w14:paraId="299888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10 000 тонн в месяц.</w:t>
            </w:r>
          </w:p>
        </w:tc>
      </w:tr>
    </w:tbl>
    <w:p w14:paraId="347B87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ближайшее время я сообщу Вам о поставках алюминия, которые я еще изучаю.</w:t>
      </w:r>
    </w:p>
    <w:p w14:paraId="0219BD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 отдал распоряжение не щадить никаких усилий в целях полного обеспечения наших маршрутов судами и грузами и в соответствии с Вашими желаниями соблюдать приоритет по обязательствам, которые мы дали Вам (7430).</w:t>
      </w:r>
    </w:p>
    <w:p w14:paraId="308A98A1" w14:textId="77777777" w:rsidR="00090C9B" w:rsidRPr="00722885" w:rsidRDefault="00090C9B" w:rsidP="00722885">
      <w:pPr>
        <w:pStyle w:val="Iauiue"/>
        <w:jc w:val="both"/>
        <w:rPr>
          <w:color w:val="000000" w:themeColor="text1"/>
          <w:sz w:val="16"/>
          <w:szCs w:val="16"/>
        </w:rPr>
      </w:pPr>
    </w:p>
    <w:p w14:paraId="500E255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9BC5F90" w14:textId="77777777" w:rsidR="00090C9B" w:rsidRPr="00722885" w:rsidRDefault="00090C9B" w:rsidP="00722885">
      <w:pPr>
        <w:pStyle w:val="Iauiue"/>
        <w:jc w:val="both"/>
        <w:rPr>
          <w:iCs/>
          <w:color w:val="000000" w:themeColor="text1"/>
          <w:sz w:val="16"/>
          <w:szCs w:val="16"/>
        </w:rPr>
      </w:pPr>
    </w:p>
    <w:p w14:paraId="5AAAFE0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16 октября 1942 ураган в Бенгалии (Индия) унес жизни 40 тысяч человек (4962).</w:t>
      </w:r>
    </w:p>
    <w:p w14:paraId="6CE0A098" w14:textId="77777777" w:rsidR="00090C9B" w:rsidRPr="00722885" w:rsidRDefault="00090C9B" w:rsidP="00722885">
      <w:pPr>
        <w:pStyle w:val="Iauiue"/>
        <w:tabs>
          <w:tab w:val="left" w:pos="11199"/>
        </w:tabs>
        <w:jc w:val="both"/>
        <w:rPr>
          <w:color w:val="000000" w:themeColor="text1"/>
          <w:sz w:val="16"/>
          <w:szCs w:val="16"/>
        </w:rPr>
      </w:pPr>
    </w:p>
    <w:p w14:paraId="007DD4B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6554C4F" w14:textId="77777777" w:rsidR="00090C9B" w:rsidRPr="00722885" w:rsidRDefault="00090C9B" w:rsidP="00722885">
      <w:pPr>
        <w:pStyle w:val="Iauiue"/>
        <w:jc w:val="both"/>
        <w:rPr>
          <w:iCs/>
          <w:color w:val="000000" w:themeColor="text1"/>
          <w:sz w:val="16"/>
          <w:szCs w:val="16"/>
        </w:rPr>
      </w:pPr>
    </w:p>
    <w:p w14:paraId="415D73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октября 1942 Зам. Наркома НКАП П.Воронин писал письмо N Н-8/4128 Нач. 10 ГУ Тарасевичу, Нач. 2 ГУ Климовицкому (копии директорам заводов 1, 18, 30 и Нач. ГУЗ и ТС Селезневу):</w:t>
      </w:r>
    </w:p>
    <w:p w14:paraId="393343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установки задней стрелковой точки под ШКАС на самолетах Ил-2, находящихся на эксплуатации, предлагаю:</w:t>
      </w:r>
    </w:p>
    <w:p w14:paraId="7EAF5B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Нач. 10 ГУ Тарасевичу и дир. заводов 1, 18, 30 изготовить детали крепления и монтажа задней стрелковой установки под ШКАС для Ил-2 по чертежам ГК С.В.И. и отправить их по разнарядке ВВС КА в количествах и сроках, согласно прилагаемому графику.</w:t>
      </w:r>
    </w:p>
    <w:p w14:paraId="2865B7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Нач. 2 ГУ и директорам заводов 454 и филиала завода 481 изготовить по согласованию с ГК С.В.И. чертежи и поставить ВВС КА в 4 кв. задние стрелковые установки в количествах и сроки, согласно прилагаемому списку.</w:t>
      </w:r>
    </w:p>
    <w:p w14:paraId="614D3D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Проведение указанных работ оформить договорами с ВВС КА." (1685,94).</w:t>
      </w:r>
    </w:p>
    <w:p w14:paraId="6B38CD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График</w:t>
      </w:r>
    </w:p>
    <w:p w14:paraId="7D2A5C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оборудования Ил-2 в частях ВВС КА задними установками под ШКАС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tblGrid>
      <w:tr w:rsidR="009B487A" w:rsidRPr="00722885" w14:paraId="082A4959" w14:textId="77777777" w:rsidTr="00CC5360">
        <w:tc>
          <w:tcPr>
            <w:tcW w:w="1878" w:type="dxa"/>
            <w:tcBorders>
              <w:top w:val="single" w:sz="12" w:space="0" w:color="auto"/>
            </w:tcBorders>
          </w:tcPr>
          <w:p w14:paraId="5D23936B" w14:textId="77777777" w:rsidR="00090C9B" w:rsidRPr="00722885" w:rsidRDefault="00090C9B" w:rsidP="00722885">
            <w:pPr>
              <w:pStyle w:val="Iauiue"/>
              <w:jc w:val="both"/>
              <w:rPr>
                <w:color w:val="000000" w:themeColor="text1"/>
                <w:sz w:val="16"/>
                <w:szCs w:val="16"/>
              </w:rPr>
            </w:pPr>
          </w:p>
        </w:tc>
        <w:tc>
          <w:tcPr>
            <w:tcW w:w="1878" w:type="dxa"/>
            <w:tcBorders>
              <w:top w:val="single" w:sz="12" w:space="0" w:color="auto"/>
            </w:tcBorders>
          </w:tcPr>
          <w:p w14:paraId="38DB58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tc>
        <w:tc>
          <w:tcPr>
            <w:tcW w:w="1878" w:type="dxa"/>
            <w:tcBorders>
              <w:top w:val="single" w:sz="12" w:space="0" w:color="auto"/>
            </w:tcBorders>
          </w:tcPr>
          <w:p w14:paraId="51E0C3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w:t>
            </w:r>
          </w:p>
        </w:tc>
        <w:tc>
          <w:tcPr>
            <w:tcW w:w="1878" w:type="dxa"/>
            <w:tcBorders>
              <w:top w:val="single" w:sz="12" w:space="0" w:color="auto"/>
            </w:tcBorders>
          </w:tcPr>
          <w:p w14:paraId="36ACB1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w:t>
            </w:r>
          </w:p>
        </w:tc>
        <w:tc>
          <w:tcPr>
            <w:tcW w:w="1878" w:type="dxa"/>
            <w:tcBorders>
              <w:top w:val="single" w:sz="12" w:space="0" w:color="auto"/>
            </w:tcBorders>
          </w:tcPr>
          <w:p w14:paraId="1A13E4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w:t>
            </w:r>
          </w:p>
        </w:tc>
      </w:tr>
      <w:tr w:rsidR="009B487A" w:rsidRPr="00722885" w14:paraId="05531FB4" w14:textId="77777777" w:rsidTr="00CC5360">
        <w:tc>
          <w:tcPr>
            <w:tcW w:w="1878" w:type="dxa"/>
          </w:tcPr>
          <w:p w14:paraId="594C99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ноябрь</w:t>
            </w:r>
          </w:p>
        </w:tc>
        <w:tc>
          <w:tcPr>
            <w:tcW w:w="1878" w:type="dxa"/>
          </w:tcPr>
          <w:p w14:paraId="6ABBB9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65</w:t>
            </w:r>
          </w:p>
        </w:tc>
        <w:tc>
          <w:tcPr>
            <w:tcW w:w="1878" w:type="dxa"/>
          </w:tcPr>
          <w:p w14:paraId="3ECC22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65</w:t>
            </w:r>
          </w:p>
        </w:tc>
        <w:tc>
          <w:tcPr>
            <w:tcW w:w="1878" w:type="dxa"/>
          </w:tcPr>
          <w:p w14:paraId="38456B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w:t>
            </w:r>
          </w:p>
        </w:tc>
        <w:tc>
          <w:tcPr>
            <w:tcW w:w="1878" w:type="dxa"/>
          </w:tcPr>
          <w:p w14:paraId="5A4788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170</w:t>
            </w:r>
          </w:p>
        </w:tc>
      </w:tr>
      <w:tr w:rsidR="009B487A" w:rsidRPr="00722885" w14:paraId="201B78B2" w14:textId="77777777" w:rsidTr="00CC5360">
        <w:tc>
          <w:tcPr>
            <w:tcW w:w="1878" w:type="dxa"/>
          </w:tcPr>
          <w:p w14:paraId="60F401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декабрь</w:t>
            </w:r>
          </w:p>
        </w:tc>
        <w:tc>
          <w:tcPr>
            <w:tcW w:w="1878" w:type="dxa"/>
          </w:tcPr>
          <w:p w14:paraId="0BE96A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155</w:t>
            </w:r>
          </w:p>
        </w:tc>
        <w:tc>
          <w:tcPr>
            <w:tcW w:w="1878" w:type="dxa"/>
          </w:tcPr>
          <w:p w14:paraId="14B7FC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155</w:t>
            </w:r>
          </w:p>
        </w:tc>
        <w:tc>
          <w:tcPr>
            <w:tcW w:w="1878" w:type="dxa"/>
          </w:tcPr>
          <w:p w14:paraId="715DFA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120</w:t>
            </w:r>
          </w:p>
        </w:tc>
        <w:tc>
          <w:tcPr>
            <w:tcW w:w="1878" w:type="dxa"/>
          </w:tcPr>
          <w:p w14:paraId="3D6328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430</w:t>
            </w:r>
          </w:p>
        </w:tc>
      </w:tr>
      <w:tr w:rsidR="009B487A" w:rsidRPr="00722885" w14:paraId="5075FE74" w14:textId="77777777" w:rsidTr="00CC5360">
        <w:tc>
          <w:tcPr>
            <w:tcW w:w="1878" w:type="dxa"/>
          </w:tcPr>
          <w:p w14:paraId="58F1F8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январь</w:t>
            </w:r>
          </w:p>
        </w:tc>
        <w:tc>
          <w:tcPr>
            <w:tcW w:w="1878" w:type="dxa"/>
          </w:tcPr>
          <w:p w14:paraId="55E8ED5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w:t>
            </w:r>
          </w:p>
        </w:tc>
        <w:tc>
          <w:tcPr>
            <w:tcW w:w="1878" w:type="dxa"/>
          </w:tcPr>
          <w:p w14:paraId="63E581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w:t>
            </w:r>
          </w:p>
        </w:tc>
        <w:tc>
          <w:tcPr>
            <w:tcW w:w="1878" w:type="dxa"/>
          </w:tcPr>
          <w:p w14:paraId="76B6A6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w:t>
            </w:r>
          </w:p>
        </w:tc>
        <w:tc>
          <w:tcPr>
            <w:tcW w:w="1878" w:type="dxa"/>
          </w:tcPr>
          <w:p w14:paraId="581FA1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150</w:t>
            </w:r>
          </w:p>
        </w:tc>
      </w:tr>
      <w:tr w:rsidR="009B487A" w:rsidRPr="00722885" w14:paraId="0512DB5B" w14:textId="77777777" w:rsidTr="00CC5360">
        <w:tc>
          <w:tcPr>
            <w:tcW w:w="1878" w:type="dxa"/>
            <w:tcBorders>
              <w:bottom w:val="single" w:sz="12" w:space="0" w:color="auto"/>
            </w:tcBorders>
          </w:tcPr>
          <w:p w14:paraId="59AF85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Итого</w:t>
            </w:r>
          </w:p>
        </w:tc>
        <w:tc>
          <w:tcPr>
            <w:tcW w:w="1878" w:type="dxa"/>
            <w:tcBorders>
              <w:bottom w:val="single" w:sz="12" w:space="0" w:color="auto"/>
            </w:tcBorders>
          </w:tcPr>
          <w:p w14:paraId="3D95E6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270</w:t>
            </w:r>
          </w:p>
        </w:tc>
        <w:tc>
          <w:tcPr>
            <w:tcW w:w="1878" w:type="dxa"/>
            <w:tcBorders>
              <w:bottom w:val="single" w:sz="12" w:space="0" w:color="auto"/>
            </w:tcBorders>
          </w:tcPr>
          <w:p w14:paraId="3AB0B3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270</w:t>
            </w:r>
          </w:p>
        </w:tc>
        <w:tc>
          <w:tcPr>
            <w:tcW w:w="1878" w:type="dxa"/>
            <w:tcBorders>
              <w:bottom w:val="single" w:sz="12" w:space="0" w:color="auto"/>
            </w:tcBorders>
          </w:tcPr>
          <w:p w14:paraId="27D956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210</w:t>
            </w:r>
          </w:p>
        </w:tc>
        <w:tc>
          <w:tcPr>
            <w:tcW w:w="1878" w:type="dxa"/>
            <w:tcBorders>
              <w:bottom w:val="single" w:sz="12" w:space="0" w:color="auto"/>
            </w:tcBorders>
          </w:tcPr>
          <w:p w14:paraId="57CD96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750</w:t>
            </w:r>
          </w:p>
        </w:tc>
      </w:tr>
    </w:tbl>
    <w:p w14:paraId="3F75F0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Примечание: 1. все детали крепления стрелковой установки и монтажа ее на самолете изготовляются самолетными заводами (фонарь, узлы крепления, сидения и др.</w:t>
      </w:r>
    </w:p>
    <w:p w14:paraId="2A9457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Стрелковые установки в собранном виде с рукавами питания и патронным ящиком, кольцевым прицелом, мешком для звеньев - поставляются заводами 2 ГУ непосредственно ВВС по его разнарядке.</w:t>
      </w:r>
    </w:p>
    <w:p w14:paraId="17F4E4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Пулеметы ШКАС поставляются ВВС (1685,95).</w:t>
      </w:r>
    </w:p>
    <w:p w14:paraId="28F22C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График выпуска задней установки под ШКАС заводами 2 ГУ в 4 кв.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4375"/>
        <w:gridCol w:w="3827"/>
      </w:tblGrid>
      <w:tr w:rsidR="009B487A" w:rsidRPr="00722885" w14:paraId="29D51A5E" w14:textId="77777777" w:rsidTr="00CC5360">
        <w:tc>
          <w:tcPr>
            <w:tcW w:w="2254" w:type="dxa"/>
            <w:tcBorders>
              <w:top w:val="single" w:sz="12" w:space="0" w:color="auto"/>
            </w:tcBorders>
          </w:tcPr>
          <w:p w14:paraId="6DA8CF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w:t>
            </w:r>
          </w:p>
        </w:tc>
        <w:tc>
          <w:tcPr>
            <w:tcW w:w="4375" w:type="dxa"/>
            <w:tcBorders>
              <w:top w:val="single" w:sz="12" w:space="0" w:color="auto"/>
            </w:tcBorders>
          </w:tcPr>
          <w:p w14:paraId="001BF6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Наименование изделия</w:t>
            </w:r>
          </w:p>
        </w:tc>
        <w:tc>
          <w:tcPr>
            <w:tcW w:w="3827" w:type="dxa"/>
            <w:tcBorders>
              <w:top w:val="single" w:sz="12" w:space="0" w:color="auto"/>
            </w:tcBorders>
          </w:tcPr>
          <w:p w14:paraId="4BC399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w:t>
            </w:r>
          </w:p>
        </w:tc>
      </w:tr>
      <w:tr w:rsidR="009B487A" w:rsidRPr="00722885" w14:paraId="179953FF" w14:textId="77777777" w:rsidTr="00CC5360">
        <w:tc>
          <w:tcPr>
            <w:tcW w:w="2254" w:type="dxa"/>
          </w:tcPr>
          <w:p w14:paraId="6F6158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454</w:t>
            </w:r>
          </w:p>
        </w:tc>
        <w:tc>
          <w:tcPr>
            <w:tcW w:w="4375" w:type="dxa"/>
          </w:tcPr>
          <w:p w14:paraId="048EC8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Задняя установка под ШКАС</w:t>
            </w:r>
          </w:p>
        </w:tc>
        <w:tc>
          <w:tcPr>
            <w:tcW w:w="3827" w:type="dxa"/>
          </w:tcPr>
          <w:p w14:paraId="74BD27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500</w:t>
            </w:r>
          </w:p>
        </w:tc>
      </w:tr>
      <w:tr w:rsidR="009B487A" w:rsidRPr="00722885" w14:paraId="22918DFF" w14:textId="77777777" w:rsidTr="00CC5360">
        <w:tc>
          <w:tcPr>
            <w:tcW w:w="2254" w:type="dxa"/>
          </w:tcPr>
          <w:p w14:paraId="703818E7" w14:textId="77777777" w:rsidR="00090C9B" w:rsidRPr="00722885" w:rsidRDefault="00090C9B" w:rsidP="00722885">
            <w:pPr>
              <w:pStyle w:val="Iauiue"/>
              <w:jc w:val="both"/>
              <w:rPr>
                <w:color w:val="000000" w:themeColor="text1"/>
                <w:sz w:val="16"/>
                <w:szCs w:val="16"/>
              </w:rPr>
            </w:pPr>
          </w:p>
        </w:tc>
        <w:tc>
          <w:tcPr>
            <w:tcW w:w="4375" w:type="dxa"/>
          </w:tcPr>
          <w:p w14:paraId="332049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собранном виде)</w:t>
            </w:r>
          </w:p>
        </w:tc>
        <w:tc>
          <w:tcPr>
            <w:tcW w:w="3827" w:type="dxa"/>
          </w:tcPr>
          <w:p w14:paraId="78BA6A6B" w14:textId="77777777" w:rsidR="00090C9B" w:rsidRPr="00722885" w:rsidRDefault="00090C9B" w:rsidP="00722885">
            <w:pPr>
              <w:pStyle w:val="Iauiue"/>
              <w:jc w:val="both"/>
              <w:rPr>
                <w:color w:val="000000" w:themeColor="text1"/>
                <w:sz w:val="16"/>
                <w:szCs w:val="16"/>
              </w:rPr>
            </w:pPr>
          </w:p>
        </w:tc>
      </w:tr>
      <w:tr w:rsidR="009B487A" w:rsidRPr="00722885" w14:paraId="2514EE02" w14:textId="77777777" w:rsidTr="00CC5360">
        <w:tc>
          <w:tcPr>
            <w:tcW w:w="2254" w:type="dxa"/>
          </w:tcPr>
          <w:p w14:paraId="450144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фил. 481</w:t>
            </w:r>
          </w:p>
        </w:tc>
        <w:tc>
          <w:tcPr>
            <w:tcW w:w="4375" w:type="dxa"/>
          </w:tcPr>
          <w:p w14:paraId="5CB4A7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Задняя установка под ШКАС</w:t>
            </w:r>
          </w:p>
        </w:tc>
        <w:tc>
          <w:tcPr>
            <w:tcW w:w="3827" w:type="dxa"/>
          </w:tcPr>
          <w:p w14:paraId="1981D6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250</w:t>
            </w:r>
          </w:p>
        </w:tc>
      </w:tr>
      <w:tr w:rsidR="009B487A" w:rsidRPr="00722885" w14:paraId="6BCC9F56" w14:textId="77777777" w:rsidTr="00CC5360">
        <w:tc>
          <w:tcPr>
            <w:tcW w:w="2254" w:type="dxa"/>
          </w:tcPr>
          <w:p w14:paraId="2EFB89AF" w14:textId="77777777" w:rsidR="00090C9B" w:rsidRPr="00722885" w:rsidRDefault="00090C9B" w:rsidP="00722885">
            <w:pPr>
              <w:pStyle w:val="Iauiue"/>
              <w:jc w:val="both"/>
              <w:rPr>
                <w:color w:val="000000" w:themeColor="text1"/>
                <w:sz w:val="16"/>
                <w:szCs w:val="16"/>
              </w:rPr>
            </w:pPr>
          </w:p>
        </w:tc>
        <w:tc>
          <w:tcPr>
            <w:tcW w:w="4375" w:type="dxa"/>
          </w:tcPr>
          <w:p w14:paraId="02DDD8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собранном виде)</w:t>
            </w:r>
          </w:p>
        </w:tc>
        <w:tc>
          <w:tcPr>
            <w:tcW w:w="3827" w:type="dxa"/>
          </w:tcPr>
          <w:p w14:paraId="13D84B47" w14:textId="77777777" w:rsidR="00090C9B" w:rsidRPr="00722885" w:rsidRDefault="00090C9B" w:rsidP="00722885">
            <w:pPr>
              <w:pStyle w:val="Iauiue"/>
              <w:jc w:val="both"/>
              <w:rPr>
                <w:color w:val="000000" w:themeColor="text1"/>
                <w:sz w:val="16"/>
                <w:szCs w:val="16"/>
              </w:rPr>
            </w:pPr>
          </w:p>
        </w:tc>
      </w:tr>
      <w:tr w:rsidR="009B487A" w:rsidRPr="00722885" w14:paraId="49078DB5" w14:textId="77777777" w:rsidTr="00CC5360">
        <w:tc>
          <w:tcPr>
            <w:tcW w:w="2254" w:type="dxa"/>
          </w:tcPr>
          <w:p w14:paraId="24098E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145</w:t>
            </w:r>
          </w:p>
        </w:tc>
        <w:tc>
          <w:tcPr>
            <w:tcW w:w="4375" w:type="dxa"/>
          </w:tcPr>
          <w:p w14:paraId="1D9CFF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Штанги с кронштейном</w:t>
            </w:r>
          </w:p>
        </w:tc>
        <w:tc>
          <w:tcPr>
            <w:tcW w:w="3827" w:type="dxa"/>
          </w:tcPr>
          <w:p w14:paraId="2AF9B7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500</w:t>
            </w:r>
          </w:p>
        </w:tc>
      </w:tr>
      <w:tr w:rsidR="009B487A" w:rsidRPr="00722885" w14:paraId="6F5AFB0E" w14:textId="77777777" w:rsidTr="00CC5360">
        <w:tc>
          <w:tcPr>
            <w:tcW w:w="2254" w:type="dxa"/>
          </w:tcPr>
          <w:p w14:paraId="41D44540" w14:textId="77777777" w:rsidR="00090C9B" w:rsidRPr="00722885" w:rsidRDefault="00090C9B" w:rsidP="00722885">
            <w:pPr>
              <w:pStyle w:val="Iauiue"/>
              <w:jc w:val="both"/>
              <w:rPr>
                <w:color w:val="000000" w:themeColor="text1"/>
                <w:sz w:val="16"/>
                <w:szCs w:val="16"/>
              </w:rPr>
            </w:pPr>
          </w:p>
        </w:tc>
        <w:tc>
          <w:tcPr>
            <w:tcW w:w="4375" w:type="dxa"/>
          </w:tcPr>
          <w:p w14:paraId="077182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Кольцевой прицел с флюг./мушк.</w:t>
            </w:r>
          </w:p>
        </w:tc>
        <w:tc>
          <w:tcPr>
            <w:tcW w:w="3827" w:type="dxa"/>
          </w:tcPr>
          <w:p w14:paraId="28AF7C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500 для 454</w:t>
            </w:r>
          </w:p>
        </w:tc>
      </w:tr>
      <w:tr w:rsidR="009B487A" w:rsidRPr="00722885" w14:paraId="62346DBA" w14:textId="77777777" w:rsidTr="00CC5360">
        <w:tc>
          <w:tcPr>
            <w:tcW w:w="2254" w:type="dxa"/>
          </w:tcPr>
          <w:p w14:paraId="105E3FAD" w14:textId="77777777" w:rsidR="00090C9B" w:rsidRPr="00722885" w:rsidRDefault="00090C9B" w:rsidP="00722885">
            <w:pPr>
              <w:pStyle w:val="Iauiue"/>
              <w:jc w:val="both"/>
              <w:rPr>
                <w:color w:val="000000" w:themeColor="text1"/>
                <w:sz w:val="16"/>
                <w:szCs w:val="16"/>
              </w:rPr>
            </w:pPr>
          </w:p>
        </w:tc>
        <w:tc>
          <w:tcPr>
            <w:tcW w:w="4375" w:type="dxa"/>
          </w:tcPr>
          <w:p w14:paraId="0ABD7F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Кольцевой прицел с флюг./мушк.</w:t>
            </w:r>
          </w:p>
        </w:tc>
        <w:tc>
          <w:tcPr>
            <w:tcW w:w="3827" w:type="dxa"/>
          </w:tcPr>
          <w:p w14:paraId="22CE5F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250 для ф. 481</w:t>
            </w:r>
          </w:p>
        </w:tc>
      </w:tr>
      <w:tr w:rsidR="009B487A" w:rsidRPr="00722885" w14:paraId="10F04353" w14:textId="77777777" w:rsidTr="00CC5360">
        <w:tc>
          <w:tcPr>
            <w:tcW w:w="2254" w:type="dxa"/>
            <w:tcBorders>
              <w:bottom w:val="single" w:sz="12" w:space="0" w:color="auto"/>
            </w:tcBorders>
          </w:tcPr>
          <w:p w14:paraId="106259AE" w14:textId="77777777" w:rsidR="00090C9B" w:rsidRPr="00722885" w:rsidRDefault="00090C9B" w:rsidP="00722885">
            <w:pPr>
              <w:pStyle w:val="Iauiue"/>
              <w:jc w:val="both"/>
              <w:rPr>
                <w:color w:val="000000" w:themeColor="text1"/>
                <w:sz w:val="16"/>
                <w:szCs w:val="16"/>
              </w:rPr>
            </w:pPr>
          </w:p>
        </w:tc>
        <w:tc>
          <w:tcPr>
            <w:tcW w:w="4375" w:type="dxa"/>
            <w:tcBorders>
              <w:bottom w:val="single" w:sz="12" w:space="0" w:color="auto"/>
            </w:tcBorders>
          </w:tcPr>
          <w:p w14:paraId="28172B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Приемник 5 ФП-279</w:t>
            </w:r>
          </w:p>
        </w:tc>
        <w:tc>
          <w:tcPr>
            <w:tcW w:w="3827" w:type="dxa"/>
            <w:tcBorders>
              <w:bottom w:val="single" w:sz="12" w:space="0" w:color="auto"/>
            </w:tcBorders>
          </w:tcPr>
          <w:p w14:paraId="1BE3E5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250</w:t>
            </w:r>
          </w:p>
        </w:tc>
      </w:tr>
    </w:tbl>
    <w:p w14:paraId="6C5370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Примечание: Задняя установка под ШКАС (в собранном виде) состоит из приемника 5ФП-279, штанги с кронштейном, рукавов гибкого и жесткого, патронной коробки, мешка для звеньев и кольцевого прицела с флюгер-мушкой (1685,96).</w:t>
      </w:r>
    </w:p>
    <w:p w14:paraId="5804B623" w14:textId="77777777" w:rsidR="00090C9B" w:rsidRPr="00722885" w:rsidRDefault="00090C9B" w:rsidP="00722885">
      <w:pPr>
        <w:pStyle w:val="Iauiue"/>
        <w:jc w:val="both"/>
        <w:rPr>
          <w:color w:val="000000" w:themeColor="text1"/>
          <w:sz w:val="16"/>
          <w:szCs w:val="16"/>
        </w:rPr>
      </w:pPr>
    </w:p>
    <w:p w14:paraId="47CC338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октября 1942 С.В.И. писал А.И.Ш. письмо N 600с:</w:t>
      </w:r>
    </w:p>
    <w:p w14:paraId="7FE2BC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"Опытный самолет Ил-2 был выпущен в первые полеты с пластинчатым маслорадиатором, помещенном в одном тоннеле вместе с водяным радиатором.</w:t>
      </w:r>
    </w:p>
    <w:p w14:paraId="3863AC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Масляный радиатор был расположен в тоннеле впереди водорадиатора.</w:t>
      </w:r>
    </w:p>
    <w:p w14:paraId="62E6B4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Радиаторы приходилось делать у себя в мастерских, что требовало от 3 до 4-х месяцев времени, т.к. радиаторы приходилось делать вручную.</w:t>
      </w:r>
    </w:p>
    <w:p w14:paraId="47A133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 обстоятельство не дало возможности осуществить установку маслорадиаторов в одном тоннеле с водорадиатором.</w:t>
      </w:r>
    </w:p>
    <w:p w14:paraId="0E4AB4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данный момент изготовлен соответствующий радиатор сотового типа, который обеспечивает необхоходимые температуры входящего и выходящего масла.</w:t>
      </w:r>
    </w:p>
    <w:p w14:paraId="62EC06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Прошу Вашего разрешения установить на одной машине Ил-2 масляный радиатор в один тоннель вместе с водорадиатором.</w:t>
      </w:r>
    </w:p>
    <w:p w14:paraId="13B44B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Такая установка маслорадиатора дает следующие преимущества:</w:t>
      </w:r>
    </w:p>
    <w:p w14:paraId="06C13E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увеличивает неуязвимость самолета, т.к. радиатор будет со всех сторон защищен броней от пуль и осколков</w:t>
      </w:r>
    </w:p>
    <w:p w14:paraId="3E9015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увеличивается скорость самолета на 8-10 км/час</w:t>
      </w:r>
    </w:p>
    <w:p w14:paraId="388839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уменьшается вес самолета на 12 кг.</w:t>
      </w:r>
    </w:p>
    <w:p w14:paraId="5D1C90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Срок выпуска самолета в полет с указанной установкой маслорадиатора 10 ноября 1942 (1680,167).</w:t>
      </w:r>
    </w:p>
    <w:p w14:paraId="2BF2CE4B" w14:textId="77777777" w:rsidR="00090C9B" w:rsidRPr="00722885" w:rsidRDefault="00090C9B" w:rsidP="00722885">
      <w:pPr>
        <w:pStyle w:val="Iauiue"/>
        <w:jc w:val="both"/>
        <w:rPr>
          <w:color w:val="000000" w:themeColor="text1"/>
          <w:sz w:val="16"/>
          <w:szCs w:val="16"/>
        </w:rPr>
      </w:pPr>
    </w:p>
    <w:p w14:paraId="1CE0D6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октября 1942 в НИИ ВВС закончились испытания облегченного Як-1 96 серии, начавшиеся 12 октября 1942 (65,64).</w:t>
      </w:r>
    </w:p>
    <w:p w14:paraId="788A5DFA" w14:textId="77777777" w:rsidR="00090C9B" w:rsidRPr="00722885" w:rsidRDefault="00090C9B" w:rsidP="00722885">
      <w:pPr>
        <w:pStyle w:val="Iauiue"/>
        <w:jc w:val="both"/>
        <w:rPr>
          <w:color w:val="000000" w:themeColor="text1"/>
          <w:sz w:val="16"/>
          <w:szCs w:val="16"/>
        </w:rPr>
      </w:pPr>
    </w:p>
    <w:p w14:paraId="6F44326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64DCF77" w14:textId="77777777" w:rsidR="00090C9B" w:rsidRPr="00722885" w:rsidRDefault="00090C9B" w:rsidP="00722885">
      <w:pPr>
        <w:pStyle w:val="Iauiue"/>
        <w:jc w:val="both"/>
        <w:rPr>
          <w:iCs/>
          <w:color w:val="000000" w:themeColor="text1"/>
          <w:sz w:val="16"/>
          <w:szCs w:val="16"/>
        </w:rPr>
      </w:pPr>
    </w:p>
    <w:p w14:paraId="121CD7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октября 1942 г.ИЗ ПРОТОКОЛА ЗАСЕДАНИЯ БЮРО НОВОСИБИРСКОГО ОБКОМА ВКП(б) «ОБ ИЗГОТОВЛЕНИИ ПРОТИВОТАНКОВЫХ СНАРЯДОВ»</w:t>
      </w:r>
    </w:p>
    <w:p w14:paraId="778170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Особая папка</w:t>
      </w:r>
    </w:p>
    <w:p w14:paraId="3BC89A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обеспечение указаний ГОКО об изготовлении опытно-валовой партии корпусов ПТР на заводе № 325 НКБ бюро обкома ВКП(б) ПОСТАНОВЛЯЕТ:</w:t>
      </w:r>
    </w:p>
    <w:p w14:paraId="19DD39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директора Гурьевского металлургического завода т. Ижикова изготовить и отгрузить не позднее 18 октября 1942 года горячекатаную сталь марки С-63, диаметром 22 мм, в количестве 5 тонн заводу № 677 НКБ, ст. Кривощеково.</w:t>
      </w:r>
    </w:p>
    <w:p w14:paraId="56E986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 Директору завода Н° 677 т. Шаркову в течение суток по получении стали С-63 произвести окончательную ее калибровку с диаметра 22 мм на диаметр 21-0,15 мм и сдать заводу № 325.</w:t>
      </w:r>
    </w:p>
    <w:p w14:paraId="57E7C4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Директору завода № 325 т. Рудакову по получении стали в десятидневный срок изготовить и сдать военпреду ГАУ КА опытно-валовую партию корпусов ПТР, обеспечив их отгрузку в город Москву. К составлению технической документации, изготовлению инструментов и приспособлений приступить немедленно.</w:t>
      </w:r>
    </w:p>
    <w:p w14:paraId="717776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Контроль за выполнением данного постановления возложить на управление НКВД по Новосибирской области.</w:t>
      </w:r>
    </w:p>
    <w:p w14:paraId="0F0133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Новосибирского обкома ВКП(б) Семин</w:t>
      </w:r>
    </w:p>
    <w:p w14:paraId="3C14ED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Оп. 33. Д. 665.г». Л. 105. Подлинник (12193).</w:t>
      </w:r>
    </w:p>
    <w:p w14:paraId="09E59BF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89DD229" w14:textId="77777777" w:rsidR="000A604E"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99450E6" w14:textId="77777777" w:rsidR="000A604E" w:rsidRPr="00722885" w:rsidRDefault="000A604E" w:rsidP="00722885">
      <w:pPr>
        <w:pStyle w:val="Iauiue"/>
        <w:jc w:val="both"/>
        <w:rPr>
          <w:iCs/>
          <w:color w:val="000000" w:themeColor="text1"/>
          <w:sz w:val="16"/>
          <w:szCs w:val="16"/>
        </w:rPr>
      </w:pPr>
    </w:p>
    <w:p w14:paraId="79F077DE"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17 октября </w:t>
      </w:r>
      <w:r w:rsidRPr="00722885">
        <w:rPr>
          <w:rFonts w:ascii="Times New Roman" w:hAnsi="Times New Roman"/>
          <w:color w:val="000000" w:themeColor="text1"/>
          <w:sz w:val="16"/>
          <w:szCs w:val="16"/>
        </w:rPr>
        <w:t>в 1942 году утреннее сообщение Совинформбюро:</w:t>
      </w:r>
    </w:p>
    <w:p w14:paraId="19338A91"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17 октября наши войска вели ожесточённые бои с противникомв районе Сталинграда и в районе Моздока. На других фронтах существенных изменений не произошло.</w:t>
      </w:r>
    </w:p>
    <w:p w14:paraId="6957AD85"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неоднократные атаки противника. Немецкая пехота при поддержке 40 танков атаковала наши части, оборонявшие одну из улиц города. Наши бойцы в упорных боях уничтожили 23 немецких танка и истребили 350 гитлеровцев. На другом участке подразделения Н-ской части отошли на новый рубеж обороны. Огневыми налётами наших гвардейцев-миномётчиков сожжено 4 немецких танка, до 20 автомашин, рассеяно и частью уничтожено до трёх рот пехоты противника.</w:t>
      </w:r>
    </w:p>
    <w:p w14:paraId="63A8C724"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советские подразделения предприняли разведку боем. Наши бойцы в рукопашной схватке истребили до роты гитлеровцев, уничтожили 2 орудия, 6 пулемётов и взорвали несколько немецких ДЗОТ'ов и блиндажей.</w:t>
      </w:r>
    </w:p>
    <w:p w14:paraId="5CECABA2"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бойцы Н-ской части в ожесточённом бою с противником уничтожили 3 немецких танка, 2 бронемашины и 7 автомашин. На поле боя осталось около 100 трупов немецких солдат. Подразделение под командованием лейтенанта Белоусова отбило атаку роты немецкой пехоты. Противник предпринял вторую атаку силой до батальона пехоты, но также вынужден был отступить. В результате этого боя уничтожено до 200 немецких солдат и офицеров.</w:t>
      </w:r>
    </w:p>
    <w:p w14:paraId="7E8153D8"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пехота противника при поддержке авиации атаковала наши позиции. Ценою больших потерь немцам удалось незначительно продвинуться вперёд. Бойцы Н-ского соединения, отражая вражеские атаки, истребили до 300 гитлеровцев.</w:t>
      </w:r>
    </w:p>
    <w:p w14:paraId="427A782F"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Карельского фронта подразделения тт. Амбросова и Соловьёва атаковали передний край обороны белофиннов. Наши бойцы прорвались в тыл и захватили опорный пункт противника. Белофинны предприняли ряд контратак, во время которых потеряли только убитыми до 200 солдат и офицеров. К исходу дня, взорвав ДЗОТ'ы и блиндажи, наши подразделения вернулись на исходные позиции. Во время этой операции захвачено 18 пулемётов, 89 карабинов, 27 ящиков мин, 50 ящиков с патронами и различное военное снаряжение.</w:t>
      </w:r>
    </w:p>
    <w:p w14:paraId="6F618082"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Несколько партизанских отрядов, действующих в одном из районов Северного Кавказа, за последнее время уничтожили до 300 немецких солдат и офицеров. Партизаны пустили под откос железнодорожный эшелон с боеприпасами противника, взорвали 4 моста и выпустили из баков много тонн горючего.</w:t>
      </w:r>
    </w:p>
    <w:p w14:paraId="0A8BE87A"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унтер-офицер 7 роты 543 немецкого пехотного полка Карл Кайндль рассказал: «В последних боях русские разгромили наш полк. 6 и 7 роты второго батальона были полностью уничтожены. Тяжёлые потери понёс и первый батальон. Из строя выбыло очень большое количество офицеров. Мой товарищ Иосиф Гайдль недавно сказал мне: «Если и дальше дело так пойдёт, то в германской армии скоро станет слишком мало солдат, чтобы продолжать войну».</w:t>
      </w:r>
    </w:p>
    <w:p w14:paraId="34623D81"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солдат 16 немецкой мотодивизии Алоиз Т. рассказал: «Мне пришлось быть свидетелем издевательств и зверств немецких солдат над пленными красноармейцами и мирными советскими гражданами. По дороге в Курскя проезжал деревни Софиевка, Дмитриевка, Михайловка и другие. В каждой деревне на деревьях висели трупы мужчин и женщин. Я расспрашивал жителей, что это за люди. Мне ответили, что это местные крестьяне».</w:t>
      </w:r>
    </w:p>
    <w:p w14:paraId="37DE45A5"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Недалеко от города Морез (Франция) на неоккупированную территорию перешла большая группа бежавших из Германии французских военнопленных. На границе пленные напали на немецкий патруль и перебили 18 гитлеровцев. Пробравшиеся на родину военнопленные вынуждены скрываться от французской полиции.» (14802).</w:t>
      </w:r>
    </w:p>
    <w:p w14:paraId="6522A53A" w14:textId="77777777" w:rsidR="000A604E" w:rsidRPr="00722885" w:rsidRDefault="000A604E" w:rsidP="00722885">
      <w:pPr>
        <w:spacing w:after="0" w:line="240" w:lineRule="auto"/>
        <w:jc w:val="both"/>
        <w:rPr>
          <w:rFonts w:ascii="Times New Roman" w:hAnsi="Times New Roman"/>
          <w:color w:val="000000" w:themeColor="text1"/>
          <w:sz w:val="16"/>
          <w:szCs w:val="16"/>
        </w:rPr>
      </w:pPr>
    </w:p>
    <w:p w14:paraId="7D299D8C"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17 октября </w:t>
      </w:r>
      <w:r w:rsidRPr="00722885">
        <w:rPr>
          <w:rFonts w:ascii="Times New Roman" w:hAnsi="Times New Roman"/>
          <w:color w:val="000000" w:themeColor="text1"/>
          <w:sz w:val="16"/>
          <w:szCs w:val="16"/>
        </w:rPr>
        <w:t>в 1942 году вечернее сообщение Совинформбюро:</w:t>
      </w:r>
    </w:p>
    <w:p w14:paraId="408E1140"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17 октября наши войска вели бои с противником в районе Сталинграда и в районе Моздока. На других фронтах никаких изменений не произошло.</w:t>
      </w:r>
    </w:p>
    <w:p w14:paraId="253894CD"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16 октября нашей авиацией на различных участках фронта уничтожено 8 немецких танков, до 50 автомашин с войсками и грузами, подавлен огонь 4 артиллерийских батарей, взорван склад боеприпасов, рассеяно и частично уничтожено до роты пехоты и эскадрон конницы противника.</w:t>
      </w:r>
    </w:p>
    <w:p w14:paraId="06B13A11"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упорные оборонительные бои с пехотой и танками противника. Действуя при поддержке крупных сил авиации, немцы, не считаясь с огромными потерями, атакуют наши позиции. На одном участке все попытки противника продвинуться вперёд потерпели неудачу. Наши бойцы уничтожили более 10 танков, до трёх рот гитлеровцев и не отступили ни на шаг. На другом участке группа танков и автоматчики противника прорвались к северной окраине одного из заводов. К исходу дня наши войска уничтожили почти все прорвавшиеся немецкие танки.</w:t>
      </w:r>
    </w:p>
    <w:p w14:paraId="580D5D7D"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занимаемые позиции и на отдельных участках вели бои местного значения. Бойцы Н-ской части в ожесточённой схватке с противником истребили до роты гитлеровцев и уничтожили 2 орудия, 7 пулемётов, 3 миномёта, радиостанцию и взорвали склад боеприпасов. Бронебойщики одного из наших подразделений подбили 3 немецких танка.</w:t>
      </w:r>
    </w:p>
    <w:p w14:paraId="13C870E9"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противник после артиллерийской подготовки силами пехоты и танков два раза атаковал наши оборонительные рубежи. Наши бойцы отбили атаки гитлеровцев. Подбито 5 немецких танков и уничтожено более 200 солдат и офицеров противника. На другом участке бойцы под командованием т. Королёва уничтожили 6 орудий, 11 автомашин и истребили до роты немецкой пехоты.</w:t>
      </w:r>
    </w:p>
    <w:p w14:paraId="0BA04EB9"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дня советские лётчики в воздушных боях сбили 5 самолётов противника.</w:t>
      </w:r>
    </w:p>
    <w:p w14:paraId="1FF8CBE7"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Лётчики-штурмовики Краснознамённого Балтийского флота потопили две самоходные баржи противника. Шесть немецких истребителей атаковали два советских бомбардировщика. Стрелки сержант Быков и старшина Пукашев сбили 2 и подбили 1 самолёт противника. Наши самолёты вернулись на свой аэродром.</w:t>
      </w:r>
    </w:p>
    <w:p w14:paraId="26B31557"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калининских партизан пустила под откос два железнодорожных эшелона с живой силой противника. В результате крушения убито и ранено до 400 немецких солдат и офицеров.</w:t>
      </w:r>
    </w:p>
    <w:p w14:paraId="3F467BD4"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Взятый в плен на Ленинградском фронте солдат 11 роты голландского легиона «Нидерланды» Вальтер Адреану Ван-Брук сообщил: «Когда легион прибыл на фронт, в нём насчитывалось 2.100 человек. Сейчас осталось всего лишь 700 солдат, хотя за это время легион несколько раз получал пополнение. Особенно пострадала одиннадцатая рота. В ней осталось лишь 20 солдат, годных к несению строевой службы».</w:t>
      </w:r>
    </w:p>
    <w:p w14:paraId="0E0949F6"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сторону Красной Армии перелетел немецкий лётчик унтер-офицер Роберт Б. Пленный сделал следующее заявление: «Я пришёл к убеждению, что Германия проиграет войну. В стране почти не осталось мужчин, способных носить оружие. Все уже призваны в армию. Немецкие войска несут огромные потери. Официальным цифрам германского командования о потерях в России не верят ни на фронте, ни в тылу. Солдаты особенно боятся надвигающейся русской зимы».</w:t>
      </w:r>
    </w:p>
    <w:p w14:paraId="156722F5"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Учитель средней школы Герасименко П.Д., бежавший из оккупированного немцами города Днепропетровска, рассказал: «В сентябре немцы насильно угнали на каторгу в Германию несколько тысяч жителей. Гитлеровцы буквально охотятся и силой тащат людей на вокзал. Немецкие бандиты недавно объявили, что на товарной станции будет производиться продажа соли населению. У склада собралась большая толпа. Солдаты окружили собравшихся, загнали их в товарные вагоны и увезли. Полагают,что эшелон ушёл во Львов, а оттуда в Германию. 27 человек, пытавшихся выскочить из вагона, были расстреляны во дворе товарной станции» (14802).</w:t>
      </w:r>
    </w:p>
    <w:p w14:paraId="30B4DA83" w14:textId="77777777" w:rsidR="000A604E" w:rsidRPr="00722885" w:rsidRDefault="000A604E" w:rsidP="00722885">
      <w:pPr>
        <w:spacing w:after="0" w:line="240" w:lineRule="auto"/>
        <w:jc w:val="both"/>
        <w:rPr>
          <w:rFonts w:ascii="Times New Roman" w:hAnsi="Times New Roman"/>
          <w:color w:val="000000" w:themeColor="text1"/>
          <w:sz w:val="16"/>
          <w:szCs w:val="16"/>
        </w:rPr>
      </w:pPr>
    </w:p>
    <w:p w14:paraId="252F8E56" w14:textId="77777777" w:rsidR="000A604E" w:rsidRPr="00722885" w:rsidRDefault="000A604E"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17 октября </w:t>
      </w:r>
      <w:r w:rsidRPr="00722885">
        <w:rPr>
          <w:rFonts w:ascii="Times New Roman" w:hAnsi="Times New Roman"/>
          <w:color w:val="000000" w:themeColor="text1"/>
          <w:sz w:val="16"/>
          <w:szCs w:val="16"/>
        </w:rPr>
        <w:t>в 1942 году советские войска вели бои с противником, прорвавшимся к Волге между поселками Спартановка и Баррикады. Фронт обороны 62-й армии разорван на две части. Войска противника захватили город Шаумян, создали угрозу окружения 18-й армии (14802).</w:t>
      </w:r>
    </w:p>
    <w:p w14:paraId="2C743C4E" w14:textId="77777777" w:rsidR="000A604E" w:rsidRPr="00722885" w:rsidRDefault="000A604E" w:rsidP="00722885">
      <w:pPr>
        <w:spacing w:after="0" w:line="240" w:lineRule="auto"/>
        <w:jc w:val="both"/>
        <w:rPr>
          <w:rFonts w:ascii="Times New Roman" w:hAnsi="Times New Roman"/>
          <w:color w:val="000000" w:themeColor="text1"/>
          <w:sz w:val="16"/>
          <w:szCs w:val="16"/>
        </w:rPr>
      </w:pPr>
    </w:p>
    <w:p w14:paraId="023A459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108D8A9B" w14:textId="77777777" w:rsidR="00090C9B" w:rsidRPr="00722885" w:rsidRDefault="00090C9B" w:rsidP="00722885">
      <w:pPr>
        <w:pStyle w:val="Iauiue"/>
        <w:jc w:val="both"/>
        <w:rPr>
          <w:iCs/>
          <w:color w:val="000000" w:themeColor="text1"/>
          <w:sz w:val="16"/>
          <w:szCs w:val="16"/>
        </w:rPr>
      </w:pPr>
    </w:p>
    <w:p w14:paraId="210B05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октября 1942 были установлены дипотношения между СССР и Р.Куба (3186).</w:t>
      </w:r>
    </w:p>
    <w:p w14:paraId="3ED9ECAC" w14:textId="77777777" w:rsidR="00090C9B" w:rsidRPr="00722885" w:rsidRDefault="00090C9B" w:rsidP="00722885">
      <w:pPr>
        <w:pStyle w:val="Iauiue"/>
        <w:jc w:val="both"/>
        <w:rPr>
          <w:color w:val="000000" w:themeColor="text1"/>
          <w:sz w:val="16"/>
          <w:szCs w:val="16"/>
        </w:rPr>
      </w:pPr>
    </w:p>
    <w:p w14:paraId="4959502F"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17 октября </w:t>
      </w:r>
      <w:r w:rsidRPr="00722885">
        <w:rPr>
          <w:rFonts w:ascii="Times New Roman" w:hAnsi="Times New Roman"/>
          <w:color w:val="000000" w:themeColor="text1"/>
          <w:sz w:val="16"/>
          <w:szCs w:val="16"/>
        </w:rPr>
        <w:t>в 1942 году установление дипломатических и консульских отношений между СССР и Республикой Куба (14802).</w:t>
      </w:r>
    </w:p>
    <w:p w14:paraId="026602C7"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1E854EC2"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17 октября </w:t>
      </w:r>
      <w:r w:rsidRPr="00722885">
        <w:rPr>
          <w:rFonts w:ascii="Times New Roman" w:hAnsi="Times New Roman"/>
          <w:color w:val="000000" w:themeColor="text1"/>
          <w:sz w:val="16"/>
          <w:szCs w:val="16"/>
        </w:rPr>
        <w:t>в 1942 году восстановление дипломатических отношений СССР с эмигрантским правительством Великого Герцогства Люксембург (14802).</w:t>
      </w:r>
    </w:p>
    <w:p w14:paraId="7B2B205F"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4085E0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октября 1942 были установлены дипотношения между СССР и Люксембургом (3186).</w:t>
      </w:r>
    </w:p>
    <w:p w14:paraId="6B09834C" w14:textId="77777777" w:rsidR="00090C9B" w:rsidRPr="00722885" w:rsidRDefault="00090C9B" w:rsidP="00722885">
      <w:pPr>
        <w:pStyle w:val="Iauiue"/>
        <w:jc w:val="both"/>
        <w:rPr>
          <w:color w:val="000000" w:themeColor="text1"/>
          <w:sz w:val="16"/>
          <w:szCs w:val="16"/>
        </w:rPr>
      </w:pPr>
    </w:p>
    <w:p w14:paraId="66FEDFC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ADB1E12" w14:textId="77777777" w:rsidR="00090C9B" w:rsidRPr="00722885" w:rsidRDefault="00090C9B" w:rsidP="00722885">
      <w:pPr>
        <w:pStyle w:val="Iauiue"/>
        <w:jc w:val="both"/>
        <w:rPr>
          <w:iCs/>
          <w:color w:val="000000" w:themeColor="text1"/>
          <w:sz w:val="16"/>
          <w:szCs w:val="16"/>
        </w:rPr>
      </w:pPr>
    </w:p>
    <w:p w14:paraId="231D77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октября 1942 вышел приказ НКАП N 785с:</w:t>
      </w:r>
    </w:p>
    <w:p w14:paraId="3C7A5C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"Для увеличения неуязвимости и скорости, а также уменьшения веса самолета Ил-2 ГК С.В.И. маслорадиатор установить в тоннель впереди водорадиатора.</w:t>
      </w:r>
    </w:p>
    <w:p w14:paraId="3D31AE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Срок выпуска самолета Ил-2 в полет с новой установкой маслорадиатора 10 ноября 1942 (1596,52).</w:t>
      </w:r>
    </w:p>
    <w:p w14:paraId="36083D15" w14:textId="77777777" w:rsidR="00090C9B" w:rsidRPr="00722885" w:rsidRDefault="00090C9B" w:rsidP="00722885">
      <w:pPr>
        <w:pStyle w:val="Iauiue"/>
        <w:jc w:val="both"/>
        <w:rPr>
          <w:color w:val="000000" w:themeColor="text1"/>
          <w:sz w:val="16"/>
          <w:szCs w:val="16"/>
        </w:rPr>
      </w:pPr>
    </w:p>
    <w:p w14:paraId="751C149C" w14:textId="77777777" w:rsidR="00F957E4" w:rsidRPr="00722885" w:rsidRDefault="00F957E4" w:rsidP="00722885">
      <w:pPr>
        <w:pStyle w:val="a3"/>
        <w:rPr>
          <w:color w:val="000000" w:themeColor="text1"/>
          <w:lang w:val="ru-RU"/>
        </w:rPr>
      </w:pPr>
      <w:r w:rsidRPr="00722885">
        <w:rPr>
          <w:color w:val="000000" w:themeColor="text1"/>
          <w:lang w:val="ru-RU"/>
        </w:rPr>
        <w:t>С 18 октября по 25 декабря 1942 г. механизм ВМШ-2 трижды проходил испытания в НИП АВ, при</w:t>
      </w:r>
      <w:r w:rsidRPr="00722885">
        <w:rPr>
          <w:color w:val="000000" w:themeColor="text1"/>
          <w:lang w:val="ru-RU"/>
        </w:rPr>
        <w:softHyphen/>
        <w:t>чём первые два раза их не прошёл из-за низкой надёжности.</w:t>
      </w:r>
    </w:p>
    <w:p w14:paraId="514F9789" w14:textId="77777777" w:rsidR="00F957E4" w:rsidRPr="00722885" w:rsidRDefault="00F957E4" w:rsidP="00722885">
      <w:pPr>
        <w:pStyle w:val="a3"/>
        <w:rPr>
          <w:color w:val="000000" w:themeColor="text1"/>
          <w:lang w:val="ru-RU"/>
        </w:rPr>
      </w:pPr>
      <w:r w:rsidRPr="00722885">
        <w:rPr>
          <w:color w:val="000000" w:themeColor="text1"/>
          <w:lang w:val="ru-RU"/>
        </w:rPr>
        <w:t>Основное отличие ВМШ-2 от первого варианта заключалось в адаптации устройства к массовому серийному производству, повышении надёжности работы некоторых механизмов и реализации возможности автоматического сброса бомб с пикирования. Исходные данные</w:t>
      </w:r>
      <w:r w:rsidRPr="00722885">
        <w:rPr>
          <w:rStyle w:val="304"/>
          <w:rFonts w:ascii="Times New Roman" w:hAnsi="Times New Roman" w:cs="Times New Roman"/>
          <w:i w:val="0"/>
          <w:color w:val="000000" w:themeColor="text1"/>
          <w:sz w:val="16"/>
          <w:szCs w:val="16"/>
          <w:lang w:val="ru-RU"/>
        </w:rPr>
        <w:t xml:space="preserve"> для </w:t>
      </w:r>
      <w:r w:rsidRPr="00722885">
        <w:rPr>
          <w:color w:val="000000" w:themeColor="text1"/>
          <w:lang w:val="ru-RU"/>
        </w:rPr>
        <w:t>сброса бомб с пикирования (момент сбрасывания бомбы, сбрасывание серией с интервалом 0,25 сек или одиночно бомб с использованием электросбрасывателя ЭСБР-ЗП), а также «мо</w:t>
      </w:r>
      <w:r w:rsidRPr="00722885">
        <w:rPr>
          <w:color w:val="000000" w:themeColor="text1"/>
          <w:lang w:val="ru-RU"/>
        </w:rPr>
        <w:softHyphen/>
        <w:t>мент</w:t>
      </w:r>
      <w:r w:rsidRPr="00722885">
        <w:rPr>
          <w:rStyle w:val="304"/>
          <w:rFonts w:ascii="Times New Roman" w:hAnsi="Times New Roman" w:cs="Times New Roman"/>
          <w:i w:val="0"/>
          <w:color w:val="000000" w:themeColor="text1"/>
          <w:sz w:val="16"/>
          <w:szCs w:val="16"/>
          <w:lang w:val="ru-RU"/>
        </w:rPr>
        <w:t xml:space="preserve"> прихода самолёта на высоту маневрирования, на которой</w:t>
      </w:r>
      <w:r w:rsidRPr="00722885">
        <w:rPr>
          <w:color w:val="000000" w:themeColor="text1"/>
          <w:lang w:val="ru-RU"/>
        </w:rPr>
        <w:t xml:space="preserve"> лётчик</w:t>
      </w:r>
      <w:r w:rsidRPr="00722885">
        <w:rPr>
          <w:rStyle w:val="304"/>
          <w:rFonts w:ascii="Times New Roman" w:hAnsi="Times New Roman" w:cs="Times New Roman"/>
          <w:i w:val="0"/>
          <w:color w:val="000000" w:themeColor="text1"/>
          <w:sz w:val="16"/>
          <w:szCs w:val="16"/>
          <w:lang w:val="ru-RU"/>
        </w:rPr>
        <w:t xml:space="preserve"> меняет угол пикирова</w:t>
      </w:r>
      <w:r w:rsidRPr="00722885">
        <w:rPr>
          <w:rStyle w:val="304"/>
          <w:rFonts w:ascii="Times New Roman" w:hAnsi="Times New Roman" w:cs="Times New Roman"/>
          <w:i w:val="0"/>
          <w:color w:val="000000" w:themeColor="text1"/>
          <w:sz w:val="16"/>
          <w:szCs w:val="16"/>
          <w:lang w:val="ru-RU"/>
        </w:rPr>
        <w:softHyphen/>
        <w:t xml:space="preserve">ния </w:t>
      </w:r>
      <w:r w:rsidRPr="00722885">
        <w:rPr>
          <w:rStyle w:val="304"/>
          <w:rFonts w:ascii="Times New Roman" w:hAnsi="Times New Roman" w:cs="Times New Roman"/>
          <w:i w:val="0"/>
          <w:color w:val="000000" w:themeColor="text1"/>
          <w:sz w:val="16"/>
          <w:szCs w:val="16"/>
        </w:rPr>
        <w:t>I</w:t>
      </w:r>
      <w:r w:rsidRPr="00722885">
        <w:rPr>
          <w:rStyle w:val="304"/>
          <w:rFonts w:ascii="Times New Roman" w:hAnsi="Times New Roman" w:cs="Times New Roman"/>
          <w:i w:val="0"/>
          <w:color w:val="000000" w:themeColor="text1"/>
          <w:sz w:val="16"/>
          <w:szCs w:val="16"/>
          <w:lang w:val="ru-RU"/>
        </w:rPr>
        <w:t>планирования), определяются автоматически».</w:t>
      </w:r>
    </w:p>
    <w:p w14:paraId="75754E24" w14:textId="77777777" w:rsidR="00F957E4" w:rsidRPr="00722885" w:rsidRDefault="00F957E4" w:rsidP="00722885">
      <w:pPr>
        <w:pStyle w:val="a3"/>
        <w:rPr>
          <w:color w:val="000000" w:themeColor="text1"/>
          <w:lang w:val="ru-RU"/>
        </w:rPr>
      </w:pPr>
      <w:r w:rsidRPr="00722885">
        <w:rPr>
          <w:color w:val="000000" w:themeColor="text1"/>
          <w:lang w:val="ru-RU"/>
        </w:rPr>
        <w:t>Порядок работы с временным механизмом при бомбометании с пикирования был таким же, как и при бомбометании с горизонтального полёта, только вместо установки скорости и высоты на приборе ВМШ-2 устанавливалось время выдержки в секундах, которое бралось в зависимости от способа и условий бомбометания из таблиц. Это время зависело от режима полёта самолёта и рассчитывалось для средних условий бомбометания: угол пикирования 30°, скорость ввода в пикирование 280 км/ч.</w:t>
      </w:r>
    </w:p>
    <w:p w14:paraId="3043A015" w14:textId="77777777" w:rsidR="00F957E4" w:rsidRPr="00722885" w:rsidRDefault="00F957E4" w:rsidP="00722885">
      <w:pPr>
        <w:pStyle w:val="a3"/>
        <w:rPr>
          <w:color w:val="000000" w:themeColor="text1"/>
          <w:lang w:val="ru-RU"/>
        </w:rPr>
      </w:pPr>
      <w:r w:rsidRPr="00722885">
        <w:rPr>
          <w:color w:val="000000" w:themeColor="text1"/>
          <w:lang w:val="ru-RU"/>
        </w:rPr>
        <w:t>Сразу же по завершению испытаний несколько опытных экземпляров ВМШ-2 передали в 57 шап ВВС КБФ</w:t>
      </w:r>
      <w:r w:rsidRPr="00722885">
        <w:rPr>
          <w:color w:val="000000" w:themeColor="text1"/>
          <w:vertAlign w:val="superscript"/>
          <w:lang w:val="ru-RU"/>
        </w:rPr>
        <w:t>3</w:t>
      </w:r>
      <w:r w:rsidRPr="00722885">
        <w:rPr>
          <w:color w:val="000000" w:themeColor="text1"/>
          <w:lang w:val="ru-RU"/>
        </w:rPr>
        <w:t>, где механизм был проверен лётным составом полка в бою и получил по</w:t>
      </w:r>
      <w:r w:rsidRPr="00722885">
        <w:rPr>
          <w:color w:val="000000" w:themeColor="text1"/>
          <w:lang w:val="ru-RU"/>
        </w:rPr>
        <w:softHyphen/>
        <w:t>ложительный отзыв (15978).</w:t>
      </w:r>
    </w:p>
    <w:p w14:paraId="2D6119C6" w14:textId="77777777" w:rsidR="00F957E4" w:rsidRPr="00722885" w:rsidRDefault="00F957E4" w:rsidP="00722885">
      <w:pPr>
        <w:pStyle w:val="a3"/>
        <w:rPr>
          <w:color w:val="000000" w:themeColor="text1"/>
          <w:lang w:val="ru-RU"/>
        </w:rPr>
      </w:pPr>
      <w:r w:rsidRPr="00722885">
        <w:rPr>
          <w:color w:val="000000" w:themeColor="text1"/>
          <w:lang w:val="ru-RU"/>
        </w:rPr>
        <w:t>30 марта 1943 г. По приказу командующего ВВС КА маршала А.А. Новикова в 1 шак РВГК проводилась проверка методики бомбометания при помощи ВМШ-2, разработанной Управлением штурманской службы ВВС КА. Бомбометание проводилось с ВМШ-2 и без него. Результаты бомбометания с ВМШ-2 оказались хуже, чем без его использования. На основа</w:t>
      </w:r>
      <w:r w:rsidRPr="00722885">
        <w:rPr>
          <w:color w:val="000000" w:themeColor="text1"/>
          <w:lang w:val="ru-RU"/>
        </w:rPr>
        <w:softHyphen/>
        <w:t>нии этого в акте 1 шак по войсковым испытаниям от 30 июня 1943 г. было рекомендовано снять ВМШ-2 с про</w:t>
      </w:r>
      <w:r w:rsidRPr="00722885">
        <w:rPr>
          <w:color w:val="000000" w:themeColor="text1"/>
          <w:lang w:val="ru-RU"/>
        </w:rPr>
        <w:softHyphen/>
        <w:t>изводства, как не обеспечивающий повышение точности бомбометания. В июле этого же года НИИ АВ по зада</w:t>
      </w:r>
      <w:r w:rsidRPr="00722885">
        <w:rPr>
          <w:color w:val="000000" w:themeColor="text1"/>
          <w:lang w:val="ru-RU"/>
        </w:rPr>
        <w:softHyphen/>
        <w:t>нию главного инженера ВВС КА генерал-полковника А.К. Репина разрабо</w:t>
      </w:r>
      <w:r w:rsidRPr="00722885">
        <w:rPr>
          <w:color w:val="000000" w:themeColor="text1"/>
          <w:lang w:val="ru-RU"/>
        </w:rPr>
        <w:softHyphen/>
        <w:t>тал новую инструкцию по бомбомета</w:t>
      </w:r>
      <w:r w:rsidRPr="00722885">
        <w:rPr>
          <w:color w:val="000000" w:themeColor="text1"/>
          <w:lang w:val="ru-RU"/>
        </w:rPr>
        <w:softHyphen/>
        <w:t xml:space="preserve">нию с Ил-2 при использовании </w:t>
      </w:r>
      <w:r w:rsidRPr="00722885">
        <w:rPr>
          <w:color w:val="000000" w:themeColor="text1"/>
        </w:rPr>
        <w:t>BM</w:t>
      </w:r>
      <w:r w:rsidRPr="00722885">
        <w:rPr>
          <w:color w:val="000000" w:themeColor="text1"/>
          <w:lang w:val="ru-RU"/>
        </w:rPr>
        <w:t>Ш- 2. Лётный состав маршевых полков, находящихся в 9 заб и участвовав</w:t>
      </w:r>
      <w:r w:rsidRPr="00722885">
        <w:rPr>
          <w:color w:val="000000" w:themeColor="text1"/>
          <w:lang w:val="ru-RU"/>
        </w:rPr>
        <w:softHyphen/>
        <w:t>ший в отработке этой инструкции, дал положительные отзывы о ВМШ-2 и рекомендовал его для использова</w:t>
      </w:r>
      <w:r w:rsidRPr="00722885">
        <w:rPr>
          <w:color w:val="000000" w:themeColor="text1"/>
          <w:lang w:val="ru-RU"/>
        </w:rPr>
        <w:softHyphen/>
        <w:t>ния в строевых частях на фронте при бомбометании как с горизонтального полёта, так и на выходе из планиро</w:t>
      </w:r>
      <w:r w:rsidRPr="00722885">
        <w:rPr>
          <w:color w:val="000000" w:themeColor="text1"/>
          <w:lang w:val="ru-RU"/>
        </w:rPr>
        <w:softHyphen/>
        <w:t>вания (пикирования). С июля по август 1943 г. провели войсковые испытания ВМШ-2 с бомбометанием в боевых условиях по новой методике. Испыта</w:t>
      </w:r>
      <w:r w:rsidRPr="00722885">
        <w:rPr>
          <w:color w:val="000000" w:themeColor="text1"/>
          <w:lang w:val="ru-RU"/>
        </w:rPr>
        <w:softHyphen/>
        <w:t>ния проводились в частях 1 шак, 2 шак и 3 ВА. Везде были получены положи</w:t>
      </w:r>
      <w:r w:rsidRPr="00722885">
        <w:rPr>
          <w:color w:val="000000" w:themeColor="text1"/>
          <w:lang w:val="ru-RU"/>
        </w:rPr>
        <w:softHyphen/>
        <w:t>тельные отзывы. Временной механизм ВМШ-2 и инструкцию по бомбомета</w:t>
      </w:r>
      <w:r w:rsidRPr="00722885">
        <w:rPr>
          <w:color w:val="000000" w:themeColor="text1"/>
          <w:lang w:val="ru-RU"/>
        </w:rPr>
        <w:softHyphen/>
        <w:t xml:space="preserve">нию с его помощью рекомендовалось внедрить в строевые части, устранив некоторые выявленные недостатки. К </w:t>
      </w:r>
      <w:bookmarkStart w:id="8" w:name="bookmark45"/>
      <w:r w:rsidRPr="00722885">
        <w:rPr>
          <w:rStyle w:val="7TimesNewRoman1"/>
          <w:rFonts w:eastAsia="Arial Unicode MS"/>
          <w:bCs/>
          <w:strike w:val="0"/>
          <w:color w:val="000000" w:themeColor="text1"/>
          <w:spacing w:val="0"/>
          <w:lang w:val="ru-RU"/>
        </w:rPr>
        <w:t>февралю 1944</w:t>
      </w:r>
      <w:r w:rsidRPr="00722885">
        <w:rPr>
          <w:color w:val="000000" w:themeColor="text1"/>
          <w:lang w:val="ru-RU"/>
        </w:rPr>
        <w:t xml:space="preserve"> г.</w:t>
      </w:r>
      <w:r w:rsidRPr="00722885">
        <w:rPr>
          <w:rStyle w:val="7TimesNewRoman1"/>
          <w:rFonts w:eastAsia="Arial Unicode MS"/>
          <w:bCs/>
          <w:strike w:val="0"/>
          <w:color w:val="000000" w:themeColor="text1"/>
          <w:spacing w:val="0"/>
          <w:lang w:val="ru-RU"/>
        </w:rPr>
        <w:t xml:space="preserve"> завод № 589 НКВ</w:t>
      </w:r>
      <w:bookmarkEnd w:id="8"/>
      <w:r w:rsidRPr="00722885">
        <w:rPr>
          <w:color w:val="000000" w:themeColor="text1"/>
          <w:lang w:val="ru-RU"/>
        </w:rPr>
        <w:t>модернизировал ВМШ-2, учтя все пожелания фронтовых лётчиков. Постановлением ГКО</w:t>
      </w:r>
      <w:r w:rsidRPr="00722885">
        <w:rPr>
          <w:color w:val="000000" w:themeColor="text1"/>
          <w:vertAlign w:val="superscript"/>
          <w:lang w:val="ru-RU"/>
        </w:rPr>
        <w:t>6</w:t>
      </w:r>
      <w:r w:rsidRPr="00722885">
        <w:rPr>
          <w:color w:val="000000" w:themeColor="text1"/>
          <w:lang w:val="ru-RU"/>
        </w:rPr>
        <w:t xml:space="preserve"> от 6 апреля 1944 г. ВМШ-2 был официально запущен в серийное производство и стал устанав</w:t>
      </w:r>
      <w:r w:rsidRPr="00722885">
        <w:rPr>
          <w:color w:val="000000" w:themeColor="text1"/>
          <w:lang w:val="ru-RU"/>
        </w:rPr>
        <w:softHyphen/>
        <w:t>ливаться на всех выпускаемых штурмовиках Ил-2.</w:t>
      </w:r>
    </w:p>
    <w:p w14:paraId="01269A19" w14:textId="77777777" w:rsidR="00F957E4" w:rsidRPr="00722885" w:rsidRDefault="00F957E4" w:rsidP="00722885">
      <w:pPr>
        <w:pStyle w:val="a3"/>
        <w:rPr>
          <w:color w:val="000000" w:themeColor="text1"/>
          <w:lang w:val="ru-RU"/>
        </w:rPr>
      </w:pPr>
      <w:r w:rsidRPr="00722885">
        <w:rPr>
          <w:color w:val="000000" w:themeColor="text1"/>
          <w:lang w:val="ru-RU"/>
        </w:rPr>
        <w:t>Несмотря на столь длительную доводку, ВМШ-2 всё же не нашел широкого применения в частях штурмовой авиации ВВС КА. Как ни старались привить уважение лётчиков к этому при</w:t>
      </w:r>
      <w:r w:rsidRPr="00722885">
        <w:rPr>
          <w:color w:val="000000" w:themeColor="text1"/>
          <w:lang w:val="ru-RU"/>
        </w:rPr>
        <w:softHyphen/>
        <w:t>бору и заставить пользоваться и'м, ничего из этого не получилось, хотя временной механизм и просуществовал на вооружении Ил-2 до самого окончания войны.</w:t>
      </w:r>
    </w:p>
    <w:p w14:paraId="40F26A67" w14:textId="77777777" w:rsidR="00F957E4" w:rsidRPr="00722885" w:rsidRDefault="00F957E4" w:rsidP="00722885">
      <w:pPr>
        <w:pStyle w:val="a3"/>
        <w:rPr>
          <w:color w:val="000000" w:themeColor="text1"/>
          <w:lang w:val="ru-RU"/>
        </w:rPr>
      </w:pPr>
      <w:r w:rsidRPr="00722885">
        <w:rPr>
          <w:color w:val="000000" w:themeColor="text1"/>
          <w:lang w:val="ru-RU"/>
        </w:rPr>
        <w:t>Основным недостатком ВМШ-2, из-за которого его и не любили лётчики, был ограниченный диапазон высот боевого применения и дискретность их выбора.</w:t>
      </w:r>
    </w:p>
    <w:p w14:paraId="2EE8C989" w14:textId="77777777" w:rsidR="00F957E4" w:rsidRPr="00722885" w:rsidRDefault="00F957E4" w:rsidP="00722885">
      <w:pPr>
        <w:pStyle w:val="a3"/>
        <w:rPr>
          <w:color w:val="000000" w:themeColor="text1"/>
          <w:lang w:val="ru-RU"/>
        </w:rPr>
      </w:pPr>
      <w:r w:rsidRPr="00722885">
        <w:rPr>
          <w:color w:val="000000" w:themeColor="text1"/>
          <w:lang w:val="ru-RU"/>
        </w:rPr>
        <w:t>Бомбометание с горизонтального полёта при помощи ВМШ-2 могло производиться с высот 70, 100, 200, 300 м и выше (всё кратно 100 м), а бомбометание на выходе из пикирования только с высоты 400 м, хотя ввод в пикирование осуществлялся с различных высот: от 600 м до 1 200 м. К тому же, использование ВМШ-2 требовало длительного нахождения над целью без противозенитного манёвра. Всё это приводило к излишнему однообразию тактических при</w:t>
      </w:r>
      <w:r w:rsidRPr="00722885">
        <w:rPr>
          <w:color w:val="000000" w:themeColor="text1"/>
          <w:lang w:val="ru-RU"/>
        </w:rPr>
        <w:softHyphen/>
        <w:t>ёмов над целью, и противник наносил Ил-2 тяжелые потери, в основном огнём малокалиберной зенитной артиллерии и крупнокалиберных зенитных пулемётов (15978).</w:t>
      </w:r>
    </w:p>
    <w:p w14:paraId="33886317" w14:textId="77777777" w:rsidR="00F957E4" w:rsidRPr="00722885" w:rsidRDefault="00F957E4" w:rsidP="00722885">
      <w:pPr>
        <w:pStyle w:val="a3"/>
        <w:rPr>
          <w:color w:val="000000" w:themeColor="text1"/>
          <w:lang w:val="ru-RU"/>
        </w:rPr>
      </w:pPr>
    </w:p>
    <w:p w14:paraId="124E266D" w14:textId="77777777" w:rsidR="00F957E4" w:rsidRPr="00722885" w:rsidRDefault="00F957E4" w:rsidP="00722885">
      <w:pPr>
        <w:pStyle w:val="Iauiue"/>
        <w:jc w:val="both"/>
        <w:rPr>
          <w:color w:val="000000" w:themeColor="text1"/>
          <w:sz w:val="16"/>
          <w:szCs w:val="16"/>
        </w:rPr>
      </w:pPr>
      <w:r w:rsidRPr="00722885">
        <w:rPr>
          <w:color w:val="000000" w:themeColor="text1"/>
          <w:sz w:val="16"/>
          <w:szCs w:val="16"/>
        </w:rPr>
        <w:t>С 18 октября по 7 декабря 1942 на з-де № 74 собрали первую партию из 40 мотор-пушек НС-37 (3996, 126).</w:t>
      </w:r>
    </w:p>
    <w:p w14:paraId="5B24D87F" w14:textId="77777777" w:rsidR="00F957E4" w:rsidRPr="00722885" w:rsidRDefault="00F957E4" w:rsidP="00722885">
      <w:pPr>
        <w:pStyle w:val="Iauiue"/>
        <w:jc w:val="both"/>
        <w:rPr>
          <w:color w:val="000000" w:themeColor="text1"/>
          <w:sz w:val="16"/>
          <w:szCs w:val="16"/>
        </w:rPr>
      </w:pPr>
    </w:p>
    <w:p w14:paraId="0EB1B97B" w14:textId="77777777" w:rsidR="0048419B" w:rsidRPr="00722885" w:rsidRDefault="0048419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октября 1942 в Ижевске начали делать детали для установочной серии пушки 11П-37, а к праздничному дню 7 ноября 1942 года все 40 орудий были оформлены военприемкой. Но формального решения о запуске в серию пушки Нудельмана и Суранова все еще не было. В Ижевске продолжали делать Ш-37, которые ставили на часть новых самолетов ЛаГГ-3 и заменяли изношенные орудия. Сталин будто забыл о конфликте двух оружейников, и никто напомнить об этом ему не решался (22880).</w:t>
      </w:r>
    </w:p>
    <w:p w14:paraId="53255F53" w14:textId="77777777" w:rsidR="0048419B" w:rsidRPr="00722885" w:rsidRDefault="0048419B" w:rsidP="00722885">
      <w:pPr>
        <w:spacing w:after="0" w:line="240" w:lineRule="auto"/>
        <w:jc w:val="both"/>
        <w:rPr>
          <w:rFonts w:ascii="Times New Roman" w:hAnsi="Times New Roman"/>
          <w:color w:val="0070C0"/>
          <w:sz w:val="16"/>
          <w:szCs w:val="16"/>
        </w:rPr>
      </w:pPr>
    </w:p>
    <w:p w14:paraId="2F92631E" w14:textId="77777777" w:rsidR="008F048F" w:rsidRPr="00722885" w:rsidRDefault="008F048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С 18 октября по 7 декабря 1942 г. на Ижевском заводе №74 была собрана первая партия в 40 моторных пушек НС-37. , причем первоначально этот завод изготовлял параллельно НС-37 и Ш-37</w:t>
      </w:r>
    </w:p>
    <w:p w14:paraId="1DF14DB8" w14:textId="77777777" w:rsidR="008F048F" w:rsidRPr="00722885" w:rsidRDefault="008F048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1943 г. было изготовлено 1880 моторных и 2849 крыльевых пушек. В 1944 г. — 890 моторных и 197 крыльевых пушек. В 1945 г. всех пушек сделано 977 штук. На этом производство НС-37 было закончено. Итого было произведено 6833 пушки (по данным книги “50 лет КБП” — 8090 пушек), треть из которых оказалась невостребованными ВВС РККА. Сильная отдача пушки сводила на нет прекрасные в целом, качества этого орудия. Сравнение отечественной авиапушки с импортными аналогами свидетельствует, что в классе 37-мм артсистем в мире существовало лишь одна пушка, сравнимая с нашей НС-37 по боевым характеристикам – японская Хо-204 – гипертрофированный клон пулемета Браунинг. Американские М4 и М9, британская Виккерс-S и немецкая ВК-3.7 были либо слишком маломощными, либо слишком малоскорострельными. Но также как и НС-37 страдали от сильной отдачи, не позволявшей использовать их для прицельной стрельбы с большинства из серийных носителей.</w:t>
      </w:r>
    </w:p>
    <w:p w14:paraId="4D3F3AD3" w14:textId="77777777" w:rsidR="008F048F" w:rsidRPr="00722885" w:rsidRDefault="008F048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Характерно, что в попытке минимизировать отдачу пушки в 1944 году появилась версия пушки НС-37М, оснащенная дульным тормозом, поглощавшим до 40% энергии отдачи пушки, но на серийных Илах и Яках эта версия так и не появилась. Отчасти это объясняется разработкой нового проекта пушки 120-П, являвшейся основательно переработанным и облегченным вариантом НС-37.  Работы по проекту 120-П стартовали в ОКБ-16 в начале 1944 года, когда стало очевидным, что разрушительная мощь 37-мм снаряда не компенсирует чудовищные нагрузки, воздействующие на планер носителя при стрельбе, делавшие, в общем-то, прекрасное оружие, невостребованным в авиации.</w:t>
      </w:r>
    </w:p>
    <w:p w14:paraId="0DC08639" w14:textId="77777777" w:rsidR="008F048F" w:rsidRPr="00722885" w:rsidRDefault="008F048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Пути снижение нагрузок были достаточно очевидными. Первый – это принесение в жертву баллистики путем уменьшения длины ствола и уменьшения энергетики патрона. Второй – введение в конструкцию пушки гидравлического буфера вместо пружинного, позволявшего исключить пиковые нагрузки в конце хода подвижных частей автоматики.</w:t>
      </w:r>
    </w:p>
    <w:p w14:paraId="2DE9FCD1" w14:textId="77777777" w:rsidR="008F048F" w:rsidRPr="00722885" w:rsidRDefault="008F048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пушке 120-П Нудельману удалось реализовать все эти моменты. Длина ствола была уменьшена на метр, соответственно почти на 70 кг снизилась масса. Весьма существенно для авиации! Введен гидравлический буфер. Кроме того, по сравнению с НС-37 в новой пушке был переработан узел отката ствола. Возвратная пружина из казенной части ствольной коробки была перемещена вперед, и расположена открыто вокруг ствола, что также способствовало уменьшению габаритов и массы системы, а также способствовало повышению темпа стрельбы, который довели до 400 выстр/мин.</w:t>
      </w:r>
    </w:p>
    <w:p w14:paraId="0494BC0A" w14:textId="77777777" w:rsidR="008F048F" w:rsidRPr="00722885" w:rsidRDefault="008F048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С патроном было сложнее. При неизменном снаряде патрона 37х198 была разработана новая гильза длиной 155 мм. Отдельные источники утверждают, что гильза была укороченной и переобжатой вариацией от зенитного снаряда 37x252SR, но это мнение представляется сомнительным, гильзы сильно отличались размерами и конфигурацией и вероятнее всего патрон 37х155 для пушки 120-П был новой разработкой (19170).</w:t>
      </w:r>
    </w:p>
    <w:p w14:paraId="58FE8481" w14:textId="77777777" w:rsidR="008F048F" w:rsidRPr="00722885" w:rsidRDefault="008F048F" w:rsidP="00722885">
      <w:pPr>
        <w:pStyle w:val="rtejustify"/>
        <w:shd w:val="clear" w:color="auto" w:fill="FFFFFF"/>
        <w:spacing w:before="0" w:beforeAutospacing="0" w:after="0" w:afterAutospacing="0"/>
        <w:jc w:val="both"/>
        <w:textAlignment w:val="baseline"/>
        <w:rPr>
          <w:color w:val="000000" w:themeColor="text1"/>
          <w:sz w:val="16"/>
          <w:szCs w:val="16"/>
        </w:rPr>
      </w:pPr>
    </w:p>
    <w:p w14:paraId="372E1D88" w14:textId="77777777" w:rsidR="00F957E4" w:rsidRPr="00722885" w:rsidRDefault="00F957E4" w:rsidP="00722885">
      <w:pPr>
        <w:pStyle w:val="Iauiue"/>
        <w:jc w:val="both"/>
        <w:rPr>
          <w:color w:val="000000" w:themeColor="text1"/>
          <w:sz w:val="16"/>
          <w:szCs w:val="16"/>
        </w:rPr>
      </w:pPr>
      <w:r w:rsidRPr="00722885">
        <w:rPr>
          <w:color w:val="000000" w:themeColor="text1"/>
          <w:sz w:val="16"/>
          <w:szCs w:val="16"/>
        </w:rPr>
        <w:t>18 октября 1942 Ижевский завод сделал первую серийную пушку НС-37, а к 7 ноября - 40 (263,57).</w:t>
      </w:r>
    </w:p>
    <w:p w14:paraId="7F2FCDFB" w14:textId="77777777" w:rsidR="00F957E4" w:rsidRPr="00722885" w:rsidRDefault="00F957E4" w:rsidP="00722885">
      <w:pPr>
        <w:pStyle w:val="Iauiue"/>
        <w:jc w:val="both"/>
        <w:rPr>
          <w:color w:val="000000" w:themeColor="text1"/>
          <w:sz w:val="16"/>
          <w:szCs w:val="16"/>
        </w:rPr>
      </w:pPr>
    </w:p>
    <w:p w14:paraId="67FE25BE" w14:textId="77777777" w:rsidR="00F957E4" w:rsidRPr="00722885" w:rsidRDefault="00F957E4"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18 октября 1942 в Ижевске собрали первую пушку НС-37, а к 7 ноября 1942 г. были готовы все 40 пушек, которые передали на авиационный завод, где их установили на истребители ЛаГГ-3. К концу 1942 года была изготовлена технологическая оснастка, можно было приступать к серийному производству пушек (15979).</w:t>
      </w:r>
    </w:p>
    <w:p w14:paraId="1BFAEB21" w14:textId="77777777" w:rsidR="00F957E4" w:rsidRPr="00722885" w:rsidRDefault="00F957E4" w:rsidP="00722885">
      <w:pPr>
        <w:shd w:val="clear" w:color="auto" w:fill="FFFFFF"/>
        <w:spacing w:after="0" w:line="240" w:lineRule="auto"/>
        <w:jc w:val="both"/>
        <w:rPr>
          <w:rFonts w:ascii="Times New Roman" w:eastAsia="Times New Roman" w:hAnsi="Times New Roman"/>
          <w:color w:val="000000" w:themeColor="text1"/>
          <w:sz w:val="16"/>
          <w:szCs w:val="16"/>
        </w:rPr>
      </w:pPr>
    </w:p>
    <w:p w14:paraId="041B033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B563D1A" w14:textId="77777777" w:rsidR="00090C9B" w:rsidRPr="00722885" w:rsidRDefault="00090C9B" w:rsidP="00722885">
      <w:pPr>
        <w:pStyle w:val="Iauiue"/>
        <w:jc w:val="both"/>
        <w:rPr>
          <w:iCs/>
          <w:color w:val="000000" w:themeColor="text1"/>
          <w:sz w:val="16"/>
          <w:szCs w:val="16"/>
        </w:rPr>
      </w:pPr>
    </w:p>
    <w:p w14:paraId="5672E12A"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18 октября </w:t>
      </w:r>
      <w:r w:rsidRPr="00722885">
        <w:rPr>
          <w:rFonts w:ascii="Times New Roman" w:hAnsi="Times New Roman"/>
          <w:color w:val="000000" w:themeColor="text1"/>
          <w:sz w:val="16"/>
          <w:szCs w:val="16"/>
        </w:rPr>
        <w:t>в 1942 году утреннее сообщение Совинформбюро:</w:t>
      </w:r>
    </w:p>
    <w:p w14:paraId="1034F67B"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18 октября наши войска вели бои с противником в районе Сталинграда и в районе Моздока. На других фронтах никаких изменений не произошло.</w:t>
      </w:r>
    </w:p>
    <w:p w14:paraId="5AE08793"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танков и пехоты противника.Шесть раз немцы переходили в наступление на участок, который обороняет Н-ская стрелковая часть. Наши бойцы отстояли свои позиции и уничтожили 6 танков и до 300 гитлеровцев. Гвардейцы-миномётчики огневыми налётами уничтожили 8 танков, 26 автомашин и истребили до 600 немецких солдат и офицеров.</w:t>
      </w:r>
    </w:p>
    <w:p w14:paraId="72BE09C3"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Н-ское подразделение отбило атаку немцев и уничтожило до роты гитлеровцев. Перейдя в контратаку, наши бойцы выбили немцев из укреплённых позиций и захватили 2 противотанковых орудия, миномёт, 3 пулемёта и боеприпасы. Наш разведывательный отряд ночью пробрался в занятый противником населённый пункт, истребил 80 немецких солдат и сжёг склад противника с горючим.</w:t>
      </w:r>
    </w:p>
    <w:p w14:paraId="7F89653D"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отражая атаки противника, подбили 4 танка и истребили до 100 немецких солдат и офицеров. На другом участке младший лейтенант Бурмистров и красноармеец Козлов огнём из станкового пулемёта уничтожили 76 гитлеровцев. Во время артиллерийской перестрелки загорелись ящики со снарядами. Красноармейцы тт. Фаткин, Лукаш и Севорошвили, рискуя своей жизнью, потушили пожар и предотвратили взрыв.</w:t>
      </w:r>
    </w:p>
    <w:p w14:paraId="54FDC879"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Ленинградском фронте нашими подразделениями за два дня истреблено до 200 солдат и офицеров противника. Огнём нашей артиллерии и миномётов уничтожено 6 станковых пулемётов, разрушено 18 вражеских ДЗОТ'ов и блиндажей. Лётчики Краснознамённого Балтийского флота в воздушных боях на подступах в Ленинграду сбили 6 немецких самолётов.</w:t>
      </w:r>
    </w:p>
    <w:p w14:paraId="2700B8C7"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противник предпринял разведку боем. Подразделения под командованием тов. Васильева истребили 60 немецких солдат и офицеров и отбросили противника на исходные позиции. Тринадцать красноармейцев-разведчиков во главе с лейтенантом тов. Колесниковым пробрались во вражеский тыл и залегли у дороги. Вскоре появился вражеский обоз. Наши бойцы перебили 30 гитлеровцев и уничтожили грузы. Захватив с собой 2 трофейных пулемёта, разведчики вернулись в свою часть.</w:t>
      </w:r>
    </w:p>
    <w:p w14:paraId="61BD7691"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унтер-офицер 1 роты 464 полка 253 немецкой пехотной дивизии Гейнц Беккер рассказал: «Несколько дней назад я со своим отделением находился в боевом охранении. У нас было 2 пулемёта. Неожиданно группа русских зашла нам во фланг. Солдаты разбежались, а я остался у пулемётов и был взят в плен.</w:t>
      </w:r>
    </w:p>
    <w:p w14:paraId="3C7A956F"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последние два месяца наша рота, несколько раз получившая пополнение, потеряла 84 человека убитыми и 160 ранеными».</w:t>
      </w:r>
    </w:p>
    <w:p w14:paraId="45C3875C"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 и командиров Н-ской части Северо-Западного фронта составила акт о зверствах немецко-фашистских мерзавцев над пленными советскими бойцами. В акте говорится: «7 октября нами был обнаружен и опознан труп заместителя политрука Шустикова Павла Ильича. Накануне т. Шустиков был ранен в бою и захвачен немцами в плен. Гитлеровцы подвергли раненого советского бойца нечеловеческим пыткам и издевательствам. Фашистские мерзавцы изрезали ему спину, искололи штыками лицо, раздробили кисти рук и вырвали язык». Акт подписали: военврач третьего ранга И.Крюков, старший сержант И.Осташев, санинструктор А.Осетров, красноармейцы А.Жариков, Н.Чукусов и другие — всего 18 подписей.</w:t>
      </w:r>
    </w:p>
    <w:p w14:paraId="792CAB8F"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октября на побережье Сегнефиорда (Норвегия) совершил вынужденную посадку немецкий бомбардировщик. Норвежские патриоты истребили экипаж, а самолёт сожгли.» (14803).</w:t>
      </w:r>
    </w:p>
    <w:p w14:paraId="41BE96AB"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47A6F291"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18 октября </w:t>
      </w:r>
      <w:r w:rsidRPr="00722885">
        <w:rPr>
          <w:rFonts w:ascii="Times New Roman" w:hAnsi="Times New Roman"/>
          <w:color w:val="000000" w:themeColor="text1"/>
          <w:sz w:val="16"/>
          <w:szCs w:val="16"/>
        </w:rPr>
        <w:t>в 1942 году вечернее сообщение Совинформбюро:</w:t>
      </w:r>
    </w:p>
    <w:p w14:paraId="6AB47359"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18 октября наши войска вели бои с противником в районе Сталинграда и в районе Моздока. На других фронтах никаких изменений не произошло.</w:t>
      </w:r>
    </w:p>
    <w:p w14:paraId="27BA12E5"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11 по 17 октября включительно, в воздушных боях, на аэродромах и огнём зенитной артиллерии уничтожено 130 немецких самолётов. Наши потери за это же время—49 самолётов.</w:t>
      </w:r>
    </w:p>
    <w:p w14:paraId="2873B4CF"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17 октября нашей авиацией на различных участках фронта уничтожено 5 немецких танков, 30 автомашин с войсками, 4 автоцистерны с горючим, подавлен огонь 5 артиллерийских батарей, взорван склад боеприпасов и склад с горючим, рассеяно и частью уничтожено до роты пехоты противника.</w:t>
      </w:r>
    </w:p>
    <w:p w14:paraId="79EC25F6"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ожесточённые атаки пехоты и танков противника. Пехота противника при поддержке танков и авиации несколько раз атаковала наши опорные пункта. В боях на этом участке нашими бойцами уничтожено 28 немецких танков, 8 орудий, 10 миномётных батарей, 10 автомашин и до трёх батальонов пехоты противника. В районе одного из заводов бойцы Н-ской части в течение дня, отбивая атаки гитлеровцев, подбили и сожгли 17 танков и истребили до 1.000 немецких солдат и офицеров.</w:t>
      </w:r>
    </w:p>
    <w:p w14:paraId="73795A7B"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происходили бои местного значения и столкновения разведывательных отрядов. Одна наша часть предприняла разведку боем. Противник перешёл в контратаку, которая была отбита нашими подразделениями. В этом бою уничтожено до 300 немецких солдат и офицеров, захвачено 6 пулемётов, несколько десятков винтовок и 10.000 патронов. На другом участке нашими разведчиками истреблено 120 солдат противника.</w:t>
      </w:r>
    </w:p>
    <w:p w14:paraId="1191144D"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противник предпринял несколько атак на наши позиции.</w:t>
      </w:r>
    </w:p>
    <w:p w14:paraId="05C48BF1"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отбросили наступавших немцев и нанесли им значительный урон. Истреблено до 600 гитлеровцев и захвачено 19 пулемётов. Пулемётчик старший сержант т. Каюмов уничтожил 60 вражеских солдат и офицеров. Красноармеец т. Самойлов из винтовки сбил двухмоторный немецкий бомбардировщик.</w:t>
      </w:r>
    </w:p>
    <w:p w14:paraId="60395858"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противник после ожесточённых боёв прорвался к одной шоссейной дороге. Наши части оказывают немцам упорное сопротивление и наносят им контрудары. Часть, где командиром тов. Кузьмин, отбивая атаки противника, уничтожила до двух рот немецкой пехоты. Автоматчики под командованием старшего лейтенанта Губанова проникли в расположение противника, разрушили 10 укреплённых точек, истребили до 100 солдат и офицеров противника.</w:t>
      </w:r>
    </w:p>
    <w:p w14:paraId="12FEFFDD"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карело-финских партизан совершил нападение на склады противника. Партизаны истребили 39 белофиннов и сожгли большие запасы хлеба и фуража. Группа партизан разрушила 1.200 метров телефонно-телеграфной линии противника.</w:t>
      </w:r>
    </w:p>
    <w:p w14:paraId="5BAA773B"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7 роты 120 мотопехотного полка 60 немецкой моторизованной дивизии Рихард Вальтер рассказал: «В середине сентября роты полка были пополнены и насчитывали по полутораста солдат каждая. Через две недели в 7 роте осталось всего лишь 12 человек. В других ротах едва ли наберётся больше 15—20 солдат. В связи с огромными потерями и наступлением осени произошла резкая перемена в настроениях солдат. Весной у всех теплилась какая-то надежда. Думалось, что летом война кончится и мы вернёмся домой. Однако очень многие не дожили и до осени: они убиты. С приближением зимы рухнула последняя надежда на возвращение домой, и мы почувствовали себя обречёнными на смерть».</w:t>
      </w:r>
    </w:p>
    <w:p w14:paraId="35AD0A3F"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253 немецкой пехотной дивизии Фридрих Шнейдер рассказал: «Мне пришлось побывать в пяти русских деревнях. По моим наблюдениям, крестьяне этих деревень живут очень плохо. Немецкие власти отобрали у них скот, хлеб, картофель. Я видел плачущих голодных детей. Военная комендатура провела в деревнях нумерацию жителей. Каждый житель обязан носить на левой стороне груди присвоенный ему номер. Мне объяснили, что это делается для того, чтобы дать русским почувствовать, что немцы считают их людьми низшего сорта».</w:t>
      </w:r>
    </w:p>
    <w:p w14:paraId="4A6ED75F"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сентября в Дураццо (Албания) пропали без вести 9 итальянских матросов. После длительных розысков полиции удалось обнаружить их трупы.Установлено, что матросы убиты албанскими патриотами. За месяц албанцы истребили в Дураццо 74 итальянских оккупанта. Итальянские солдаты и матросы боятся в одиночку ходить по городу.» (14803).</w:t>
      </w:r>
    </w:p>
    <w:p w14:paraId="1949321A"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2813DA13"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18 октября </w:t>
      </w:r>
      <w:r w:rsidRPr="00722885">
        <w:rPr>
          <w:rFonts w:ascii="Times New Roman" w:hAnsi="Times New Roman"/>
          <w:color w:val="000000" w:themeColor="text1"/>
          <w:sz w:val="16"/>
          <w:szCs w:val="16"/>
        </w:rPr>
        <w:t>в 1942 году прекратилось немецкое наступление на Туапсе (14803).</w:t>
      </w:r>
    </w:p>
    <w:p w14:paraId="1CA1E172"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0952A464"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18 октября </w:t>
      </w:r>
      <w:r w:rsidRPr="00722885">
        <w:rPr>
          <w:rFonts w:ascii="Times New Roman" w:hAnsi="Times New Roman"/>
          <w:color w:val="000000" w:themeColor="text1"/>
          <w:sz w:val="16"/>
          <w:szCs w:val="16"/>
        </w:rPr>
        <w:t>в 1942 году окончание Оборонительных боев на улицах Сталинграда (с 13 сентября) (14803).</w:t>
      </w:r>
    </w:p>
    <w:p w14:paraId="427938DD"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3F875A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октября 1942 закончились уличные бои в Сталинграде, которые шли с 13 сентября 1942 (3481).</w:t>
      </w:r>
    </w:p>
    <w:p w14:paraId="46A37B94" w14:textId="77777777" w:rsidR="00090C9B" w:rsidRPr="00722885" w:rsidRDefault="00090C9B" w:rsidP="00722885">
      <w:pPr>
        <w:pStyle w:val="Iauiue"/>
        <w:jc w:val="both"/>
        <w:rPr>
          <w:color w:val="000000" w:themeColor="text1"/>
          <w:sz w:val="16"/>
          <w:szCs w:val="16"/>
        </w:rPr>
      </w:pPr>
    </w:p>
    <w:p w14:paraId="08C8C106"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18, 1942: In the Caucasus, the advance by Heeresgruppe A (Ruoff) toward the Black Sea port of Tuapse is halted due to difficult terrain and stubborn Soviet resistance (3819).</w:t>
      </w:r>
    </w:p>
    <w:p w14:paraId="18A1B802" w14:textId="77777777" w:rsidR="00090C9B" w:rsidRPr="00722885" w:rsidRDefault="00090C9B" w:rsidP="00722885">
      <w:pPr>
        <w:pStyle w:val="Iauiue"/>
        <w:jc w:val="both"/>
        <w:rPr>
          <w:color w:val="000000" w:themeColor="text1"/>
          <w:sz w:val="16"/>
          <w:szCs w:val="16"/>
          <w:lang w:val="en-US"/>
        </w:rPr>
      </w:pPr>
    </w:p>
    <w:p w14:paraId="0F1CDA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октября 1942 было остановлено продвижение частей Группы А на Туапсе (3819).</w:t>
      </w:r>
    </w:p>
    <w:p w14:paraId="60F270CF" w14:textId="77777777" w:rsidR="00090C9B" w:rsidRPr="00722885" w:rsidRDefault="00090C9B" w:rsidP="00722885">
      <w:pPr>
        <w:pStyle w:val="Iauiue"/>
        <w:jc w:val="both"/>
        <w:rPr>
          <w:color w:val="000000" w:themeColor="text1"/>
          <w:sz w:val="16"/>
          <w:szCs w:val="16"/>
        </w:rPr>
      </w:pPr>
    </w:p>
    <w:p w14:paraId="4FDEB08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2D272A7F" w14:textId="77777777" w:rsidR="00090C9B" w:rsidRPr="00722885" w:rsidRDefault="00090C9B" w:rsidP="00722885">
      <w:pPr>
        <w:pStyle w:val="Iauiue"/>
        <w:jc w:val="both"/>
        <w:rPr>
          <w:iCs/>
          <w:color w:val="000000" w:themeColor="text1"/>
          <w:sz w:val="16"/>
          <w:szCs w:val="16"/>
        </w:rPr>
      </w:pPr>
    </w:p>
    <w:p w14:paraId="529622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октября 1942 г. Постановлением СНК СССР “О порядке снабжения продовольственными и промышленными товарами рабочих промышленных предприятий” вводился льготный порядок снабжения рабочих, выполнявших и перевыполнявших нормы выработки. Им предоставлялась возможность в первую очередь покупать по карточкам промышленные и некоторые продовольственные товары. Дополнительно сверх установленных норм отпускались картофель, овощи, другие продукты, а также дополнительное горячее питание из ресурсов подсобных хозяйств [Сборник приказов и распоряжений наркомата торговли СССР. - Иркутск, 1943. C. 64 - 97]. Темпы роста численности лиц, взятых на гособеспечение, значительно опережали темпы увеличения продовольственных заготовок. За 1942–1945 гг. число людей, снабжавшихся в СССР хлебом, увеличилось (в тыс. чел.) с 61778 до 80586, в т. ч. снабжавшиеся по городским нормам с 40961 до 53817, из них по карточкам – с 38901 до 52818. Объем же сельскохозяйственного производства сокращался. В неоккупированных районах средняя урожайность зерновых с одного гектара упала с 7,7 ц перед войной до 4,4 ц в 1942 г. и до 4,2 ц в 1943 г. Потребность страны в зерновых удовлетворялась на одну треть – одну вторую довоенного уровня. Такие культуры, как сахарная свекла, подсолнечник, почти целиком оказались по ту сторону фронта. В 1942 г. государственные заготовки уменьшились по сравнению с 1940 г. по подсолнечнику и сахарной свекле более чем в 10 раз. Потребление сахара уменьшилось в 20 раз и оставалось на низком уровне в течение всей войны (11121).</w:t>
      </w:r>
    </w:p>
    <w:p w14:paraId="64C3E16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AC29CD" w14:textId="77777777" w:rsidR="00DE07AA" w:rsidRPr="00722885" w:rsidRDefault="00DE07A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октября 1942 года Совнарком СССР принял постановление "О снижении нормы отпуска хлеба промышленным рабочим, осужденным за прогул", в соответствии с которым осужденным, не выполнявшим норму, урезался паек (18406).</w:t>
      </w:r>
    </w:p>
    <w:p w14:paraId="6CCC8C70" w14:textId="77777777" w:rsidR="00DE07AA" w:rsidRPr="00722885" w:rsidRDefault="00DE07AA" w:rsidP="00722885">
      <w:pPr>
        <w:spacing w:after="0" w:line="240" w:lineRule="auto"/>
        <w:jc w:val="both"/>
        <w:rPr>
          <w:rFonts w:ascii="Times New Roman" w:hAnsi="Times New Roman"/>
          <w:color w:val="000000" w:themeColor="text1"/>
          <w:sz w:val="16"/>
          <w:szCs w:val="16"/>
        </w:rPr>
      </w:pPr>
    </w:p>
    <w:p w14:paraId="7E34A5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октября 1942 года Постановлением СНК СССР № 1709 директорам предприятий было дано право выдавать рабочим, выполняющим и перевыполняющим нормы выработки, дополнительное горячее питание и производить отпуск продуктов сверх установленных норм за счет ресурсов своих подсобных хозяйств (в дальнейшем передовиков производства поощряли также дополнительным табаком или папиросами). В тоже время рабочим, совершившим прогул, хлебная норма снижалась на 100-200 грамм в день (Там же, ф. Р-808, оп. 1, д. 96, л. 415.) (11911).</w:t>
      </w:r>
    </w:p>
    <w:p w14:paraId="44B4EFD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C62696A"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18 октября </w:t>
      </w:r>
      <w:r w:rsidRPr="00722885">
        <w:rPr>
          <w:rFonts w:ascii="Times New Roman" w:hAnsi="Times New Roman"/>
          <w:color w:val="000000" w:themeColor="text1"/>
          <w:sz w:val="16"/>
          <w:szCs w:val="16"/>
        </w:rPr>
        <w:t xml:space="preserve">в 1942 году СНК СССР и ЦК ВКП(б) приняли постановление «О мерах по дальнейшему развитию подсобных хозяйств промышленных наркоматов» </w:t>
      </w:r>
    </w:p>
    <w:p w14:paraId="167304F1"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559147B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1796A8F" w14:textId="77777777" w:rsidR="00090C9B" w:rsidRPr="00722885" w:rsidRDefault="00090C9B" w:rsidP="00722885">
      <w:pPr>
        <w:pStyle w:val="Iauiue"/>
        <w:jc w:val="both"/>
        <w:rPr>
          <w:iCs/>
          <w:color w:val="000000" w:themeColor="text1"/>
          <w:sz w:val="16"/>
          <w:szCs w:val="16"/>
        </w:rPr>
      </w:pPr>
    </w:p>
    <w:p w14:paraId="5D0CDB6C" w14:textId="77777777" w:rsidR="00375EC3" w:rsidRPr="00722885" w:rsidRDefault="00375EC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18 октября 1942 Vickers Wellington Королевских ВВС из 311-й эскадрильи с чешским экипажем терпит крушение на подходе к RAF Northolt, убивая всех на борту и шесть на земле (20793). </w:t>
      </w:r>
    </w:p>
    <w:p w14:paraId="514AA4CF" w14:textId="77777777" w:rsidR="00375EC3" w:rsidRPr="00722885" w:rsidRDefault="00375EC3" w:rsidP="00722885">
      <w:pPr>
        <w:spacing w:after="0" w:line="240" w:lineRule="auto"/>
        <w:jc w:val="both"/>
        <w:rPr>
          <w:rFonts w:ascii="Times New Roman" w:hAnsi="Times New Roman"/>
          <w:color w:val="0070C0"/>
          <w:sz w:val="16"/>
          <w:szCs w:val="16"/>
        </w:rPr>
      </w:pPr>
    </w:p>
    <w:p w14:paraId="69F9CE6E"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18 1942 Hitler orders execution of all British Commandos taken prisoner (1050).</w:t>
      </w:r>
    </w:p>
    <w:p w14:paraId="2F71540A" w14:textId="77777777" w:rsidR="00090C9B" w:rsidRPr="00722885" w:rsidRDefault="00090C9B" w:rsidP="00722885">
      <w:pPr>
        <w:pStyle w:val="Iauiue"/>
        <w:jc w:val="both"/>
        <w:rPr>
          <w:color w:val="000000" w:themeColor="text1"/>
          <w:sz w:val="16"/>
          <w:szCs w:val="16"/>
          <w:lang w:val="en-US"/>
        </w:rPr>
      </w:pPr>
    </w:p>
    <w:p w14:paraId="29B1C3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октября 1942 А.Гитлер приказал казнить британских командос, захваченных в плен (1050).</w:t>
      </w:r>
    </w:p>
    <w:p w14:paraId="23AD691E" w14:textId="77777777" w:rsidR="00090C9B" w:rsidRPr="00722885" w:rsidRDefault="00090C9B" w:rsidP="00722885">
      <w:pPr>
        <w:pStyle w:val="Iauiue"/>
        <w:jc w:val="both"/>
        <w:rPr>
          <w:color w:val="000000" w:themeColor="text1"/>
          <w:sz w:val="16"/>
          <w:szCs w:val="16"/>
        </w:rPr>
      </w:pPr>
    </w:p>
    <w:p w14:paraId="4EA67B7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3DC5136" w14:textId="77777777" w:rsidR="00090C9B" w:rsidRPr="00722885" w:rsidRDefault="00090C9B" w:rsidP="00722885">
      <w:pPr>
        <w:pStyle w:val="Iauiue"/>
        <w:jc w:val="both"/>
        <w:rPr>
          <w:iCs/>
          <w:color w:val="000000" w:themeColor="text1"/>
          <w:sz w:val="16"/>
          <w:szCs w:val="16"/>
        </w:rPr>
      </w:pPr>
    </w:p>
    <w:p w14:paraId="162466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 по приказу НКАП № 789с при заводе № 464 образована группа ПМ (пластмасс), в ее состав переведен коллектив ОКБ завода № 294 НКАП гл. конструктора Д.А. Михайлова (10776).</w:t>
      </w:r>
    </w:p>
    <w:p w14:paraId="0D7EF23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A1EC3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 была образована (приказ НКАП №789) группа ПМ для проектирования самолетных и планерных агрегатов и деталей из пластических масс. Тем же приказом в состав группы переведен коллектив ОКБ ПМ гл.к. Д.А.Михайлова со всем оборудованием и заделами с завода №294 НКАП (филиал завода №22 НКАП). В н.1943 г. группа Д.А.Михайлова переведена на территорию завода №156 НКАП, отсюда - передана в состав ВИАМ (приказ №107 от 22.2.43 г.) (10777).</w:t>
      </w:r>
    </w:p>
    <w:p w14:paraId="694F51C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3015B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 по приказу № 789с коллектив гл. конструктора Д.А. Михайлова со всем оборудованием и заделом переведен в состав вновь образованной группы ПМ (пластмасс) при заводе № 464. 4 июля 1942 г. по приказу № 488с ОКБ по материалам гл. конструктора Д.А. Михайлова, образованное в Казани, было передано вместе с заводом в подчинение вновь образованному заводу № 22 НКАП в качестве филиала. Экспериментальные работы по крупноблочному прессованию пластмасс переданы в ВИАМ (11982).</w:t>
      </w:r>
    </w:p>
    <w:p w14:paraId="060F8D38"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1DA962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 при заводе № 464 образована группа ПМ (пластмасс), в ее состав переведен коллектив ОКБ завода № 294 НКАП гл. конструктора Д.А. Михайлова (11982).</w:t>
      </w:r>
    </w:p>
    <w:p w14:paraId="062EFBB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37AD6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 по приказу № 789с образована Группа «ПМ» при заводе № 464 НКАП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2A772F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 (11982).</w:t>
      </w:r>
    </w:p>
    <w:p w14:paraId="3958A47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8AB278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91830E5" w14:textId="77777777" w:rsidR="00090C9B" w:rsidRPr="00722885" w:rsidRDefault="00090C9B" w:rsidP="00722885">
      <w:pPr>
        <w:pStyle w:val="Iauiue"/>
        <w:jc w:val="both"/>
        <w:rPr>
          <w:iCs/>
          <w:color w:val="000000" w:themeColor="text1"/>
          <w:sz w:val="16"/>
          <w:szCs w:val="16"/>
        </w:rPr>
      </w:pPr>
    </w:p>
    <w:p w14:paraId="3018AC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октября 1942 г. по ходатайству ГАУ РККА Государственный Комитет Обороны принял решение № 2429сс о разработке и подготовке серийного производства “артиллерийских самоходов” калибром от 37-мм до 152-мм. Ответственными исполнителями по “штурмовым САУ” были назначены Коломенский завод № 38 им. Куйбышева и ГАЗ им. Молотова, по зенитным САУ - завод № 37, а по тягачу и транспортерам - КБ НАТИ (6205, 14). При создании “штурмовой САУ” предлагалось остановиться на компоновочной схеме, предложенной спецбюро САУ НКТП (с двумя параллельно спаренными двигателями в передней части машины и просторным боевым отделением в корме) (6205, 14).</w:t>
      </w:r>
    </w:p>
    <w:p w14:paraId="3DA3D556" w14:textId="77777777" w:rsidR="00090C9B" w:rsidRPr="00722885" w:rsidRDefault="00090C9B" w:rsidP="00722885">
      <w:pPr>
        <w:pStyle w:val="Iauiue"/>
        <w:jc w:val="both"/>
        <w:rPr>
          <w:color w:val="000000" w:themeColor="text1"/>
          <w:sz w:val="16"/>
          <w:szCs w:val="16"/>
        </w:rPr>
      </w:pPr>
    </w:p>
    <w:p w14:paraId="513C2234" w14:textId="77777777" w:rsidR="00F957E4" w:rsidRPr="00722885" w:rsidRDefault="00F957E4"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19 октября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xml:space="preserve">. по ходатайству ГАУ РККА Государственный Комитет Обороны принял решение №2429сс о разработке и подготовке серийного производства «артиллерийских самоходов» калибром от 37 до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152 мм</w:t>
        </w:r>
      </w:smartTag>
      <w:r w:rsidRPr="00722885">
        <w:rPr>
          <w:rFonts w:ascii="Times New Roman" w:hAnsi="Times New Roman"/>
          <w:color w:val="000000" w:themeColor="text1"/>
          <w:sz w:val="16"/>
          <w:szCs w:val="16"/>
        </w:rPr>
        <w:t>. Ответственными исполнителями по «штурмовым САУ» были назначены Коломенский завод №38 им. Куйбышева и ГАЗ им. Молотова, по зенитным САУ – завод №37, а по тягачу и транспортерам – КБ НАТИ (15218).</w:t>
      </w:r>
    </w:p>
    <w:p w14:paraId="0AF8F631" w14:textId="77777777" w:rsidR="00F957E4" w:rsidRPr="00722885" w:rsidRDefault="00F957E4" w:rsidP="00722885">
      <w:pPr>
        <w:widowControl w:val="0"/>
        <w:spacing w:after="0" w:line="240" w:lineRule="auto"/>
        <w:jc w:val="both"/>
        <w:rPr>
          <w:rFonts w:ascii="Times New Roman" w:hAnsi="Times New Roman"/>
          <w:color w:val="000000" w:themeColor="text1"/>
          <w:sz w:val="16"/>
          <w:szCs w:val="16"/>
        </w:rPr>
      </w:pPr>
    </w:p>
    <w:p w14:paraId="0C096C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октября 1942 г. вышло постановление ГКО, согласно которому промышленность должна была изготовить к 1 декабря опытную партию САУ Су-35 (СУ-122) (3905).</w:t>
      </w:r>
    </w:p>
    <w:p w14:paraId="608E7529" w14:textId="77777777" w:rsidR="00090C9B" w:rsidRPr="00722885" w:rsidRDefault="00090C9B" w:rsidP="00722885">
      <w:pPr>
        <w:pStyle w:val="Iauiue"/>
        <w:jc w:val="both"/>
        <w:rPr>
          <w:color w:val="000000" w:themeColor="text1"/>
          <w:sz w:val="16"/>
          <w:szCs w:val="16"/>
        </w:rPr>
      </w:pPr>
    </w:p>
    <w:p w14:paraId="543196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вышло Постановление ГКО № 2429 О производстве опытных образцов артиллерийских самоходных установок. РГАНИР, Фонд ГКО, д. 65, лл. 2-4, 5-15 (11012).</w:t>
      </w:r>
    </w:p>
    <w:p w14:paraId="0D599A4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18150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октября 1942 года Государственный Комитет Обороны (приказ № 2429сс) по ходатайству ГАУ РККА поручил конструкторам ГАЗа и Коломенского завода №38 разработать и запустить в серию легкую САУ с 76-мм дивизионной пушкой ЗИС-3. За основу взяли шасси и силовую установку танка Т-70, увеличив длину корпуса и добавив один каток (3862).</w:t>
      </w:r>
    </w:p>
    <w:p w14:paraId="190546E7" w14:textId="77777777" w:rsidR="00090C9B" w:rsidRPr="00722885" w:rsidRDefault="00090C9B" w:rsidP="00722885">
      <w:pPr>
        <w:pStyle w:val="Iauiue"/>
        <w:jc w:val="both"/>
        <w:rPr>
          <w:color w:val="000000" w:themeColor="text1"/>
          <w:sz w:val="16"/>
          <w:szCs w:val="16"/>
        </w:rPr>
      </w:pPr>
    </w:p>
    <w:p w14:paraId="7A7DC6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октября 1942 г. в развитие планов перехода к наступательным действиям по ходатайству ГАУ Государственный Комитет Обороны (ГоКО) принял решение № 2429сс о начале широкомасштабных работ над созданием "артиллерийских самоходов" всех необходимых калибров.</w:t>
      </w:r>
    </w:p>
    <w:p w14:paraId="46356B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Наиболее интересным в то время для Красной Армии была организация производства 122-мм САУ поддержки, так как гаубица М-30 серийно производилась на заводе № 9 и ее применение сдерживало отсутствие "тягловой силы".</w:t>
      </w:r>
    </w:p>
    <w:p w14:paraId="0A59AF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Эскизный проект средней 122-мм самоходной гаубицы к тому времени уже был разработан конструкторской группой А.Каштанова на шасси трофейного штурмового орудия StuGIII и отечественного среднего танка Т-34. Однако поскольку конструкторская группа уже занималась изготовлением такой установки на трофейном шасси, для реализации САУ на шасси танка Т-34, НКТП принял решение о спешной организации на Уралмашзаводе (УЗТМ) ОКГ (Особой Конструкторской Группы) Самоходной Артиллерии под руководством Л.Горлицкого. В группу вошли конструкторы Н.Курин, Г.Ксюнин, А.Неклюдов, К.Ильин, И.Сазанов и И.Эммануилов, впоследствии составившие ядро КБ САУ.</w:t>
      </w:r>
    </w:p>
    <w:p w14:paraId="2DBC83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Группа творчески подошла к полученным проектам У-34 и СУ Каштанова и вскоре реализовала свой вариант боевой машины, вооруженной 122-мм самоходной гаубицей М-30 на шасси Т-34 (4017).</w:t>
      </w:r>
    </w:p>
    <w:p w14:paraId="3415891A" w14:textId="77777777" w:rsidR="00090C9B" w:rsidRPr="00722885" w:rsidRDefault="00090C9B" w:rsidP="00722885">
      <w:pPr>
        <w:pStyle w:val="Iauiue"/>
        <w:jc w:val="both"/>
        <w:rPr>
          <w:color w:val="000000" w:themeColor="text1"/>
          <w:sz w:val="16"/>
          <w:szCs w:val="16"/>
        </w:rPr>
      </w:pPr>
    </w:p>
    <w:p w14:paraId="393975D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 по ходатайству ГАУ РККА Государственный комитет обороны принял ре</w:t>
      </w:r>
      <w:r w:rsidRPr="00722885">
        <w:rPr>
          <w:rFonts w:ascii="Times New Roman" w:hAnsi="Times New Roman"/>
          <w:color w:val="000000" w:themeColor="text1"/>
          <w:sz w:val="16"/>
          <w:szCs w:val="16"/>
        </w:rPr>
        <w:softHyphen/>
        <w:t>шение № 2429сс о разработке и подготовке серийного про</w:t>
      </w:r>
      <w:r w:rsidRPr="00722885">
        <w:rPr>
          <w:rFonts w:ascii="Times New Roman" w:hAnsi="Times New Roman"/>
          <w:color w:val="000000" w:themeColor="text1"/>
          <w:sz w:val="16"/>
          <w:szCs w:val="16"/>
        </w:rPr>
        <w:softHyphen/>
        <w:t>изводства «артиллерийских самоходов» калибром от 37 до 152 мм. Ответственными исполнителями по «штурмовым САУ» были назначены Коломенский завод № 38 им. Куйбы</w:t>
      </w:r>
      <w:r w:rsidRPr="00722885">
        <w:rPr>
          <w:rFonts w:ascii="Times New Roman" w:hAnsi="Times New Roman"/>
          <w:color w:val="000000" w:themeColor="text1"/>
          <w:sz w:val="16"/>
          <w:szCs w:val="16"/>
        </w:rPr>
        <w:softHyphen/>
        <w:t>шева и ГАЗ им. Молотова, по зенитным САУ — завод № 37, а по тягачу и транспортерам — КБ НАТИ.</w:t>
      </w:r>
    </w:p>
    <w:p w14:paraId="6C69EF2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заданными тактико-техническими требованиями в ноябре 1942 г. завод № 38 и ГАЗ представи</w:t>
      </w:r>
      <w:r w:rsidRPr="00722885">
        <w:rPr>
          <w:rFonts w:ascii="Times New Roman" w:hAnsi="Times New Roman"/>
          <w:color w:val="000000" w:themeColor="text1"/>
          <w:sz w:val="16"/>
          <w:szCs w:val="16"/>
        </w:rPr>
        <w:softHyphen/>
        <w:t>ли на госиспытания свои первые образцы «штурмовых САУ», вооруженных 76-мм дивизионной пушкой ЗИС-3 на шасси с параллельно спаренными двигателями, работаю</w:t>
      </w:r>
      <w:r w:rsidRPr="00722885">
        <w:rPr>
          <w:rFonts w:ascii="Times New Roman" w:hAnsi="Times New Roman"/>
          <w:color w:val="000000" w:themeColor="text1"/>
          <w:sz w:val="16"/>
          <w:szCs w:val="16"/>
        </w:rPr>
        <w:softHyphen/>
        <w:t>щими на общий вал. Машина горьковчан имела индекс ГАЗ-71, а машина завода № 38 - СУ-12.</w:t>
      </w:r>
    </w:p>
    <w:p w14:paraId="37087A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то, что ГАЗ-71 несла два параллельно спа</w:t>
      </w:r>
      <w:r w:rsidRPr="00722885">
        <w:rPr>
          <w:rFonts w:ascii="Times New Roman" w:hAnsi="Times New Roman"/>
          <w:color w:val="000000" w:themeColor="text1"/>
          <w:sz w:val="16"/>
          <w:szCs w:val="16"/>
        </w:rPr>
        <w:softHyphen/>
        <w:t>ренных двигателя, ее компоновка отличалась от рекомен</w:t>
      </w:r>
      <w:r w:rsidRPr="00722885">
        <w:rPr>
          <w:rFonts w:ascii="Times New Roman" w:hAnsi="Times New Roman"/>
          <w:color w:val="000000" w:themeColor="text1"/>
          <w:sz w:val="16"/>
          <w:szCs w:val="16"/>
        </w:rPr>
        <w:softHyphen/>
        <w:t>дованной спецбюро САУ НКТП. Вместо того, чтобы раз</w:t>
      </w:r>
      <w:r w:rsidRPr="00722885">
        <w:rPr>
          <w:rFonts w:ascii="Times New Roman" w:hAnsi="Times New Roman"/>
          <w:color w:val="000000" w:themeColor="text1"/>
          <w:sz w:val="16"/>
          <w:szCs w:val="16"/>
        </w:rPr>
        <w:softHyphen/>
        <w:t>местить механика-водителя между двигателями по оси ма</w:t>
      </w:r>
      <w:r w:rsidRPr="00722885">
        <w:rPr>
          <w:rFonts w:ascii="Times New Roman" w:hAnsi="Times New Roman"/>
          <w:color w:val="000000" w:themeColor="text1"/>
          <w:sz w:val="16"/>
          <w:szCs w:val="16"/>
        </w:rPr>
        <w:softHyphen/>
        <w:t>шины, как то предписывалось рекомендациями, получен</w:t>
      </w:r>
      <w:r w:rsidRPr="00722885">
        <w:rPr>
          <w:rFonts w:ascii="Times New Roman" w:hAnsi="Times New Roman"/>
          <w:color w:val="000000" w:themeColor="text1"/>
          <w:sz w:val="16"/>
          <w:szCs w:val="16"/>
        </w:rPr>
        <w:softHyphen/>
        <w:t>ными от НКТП, горьковчане поместили оба двигателя ти</w:t>
      </w:r>
      <w:r w:rsidRPr="00722885">
        <w:rPr>
          <w:rFonts w:ascii="Times New Roman" w:hAnsi="Times New Roman"/>
          <w:color w:val="000000" w:themeColor="text1"/>
          <w:sz w:val="16"/>
          <w:szCs w:val="16"/>
        </w:rPr>
        <w:softHyphen/>
        <w:t>па ГАЗ-60 у правого борта машины, тогда как механик-во</w:t>
      </w:r>
      <w:r w:rsidRPr="00722885">
        <w:rPr>
          <w:rFonts w:ascii="Times New Roman" w:hAnsi="Times New Roman"/>
          <w:color w:val="000000" w:themeColor="text1"/>
          <w:sz w:val="16"/>
          <w:szCs w:val="16"/>
        </w:rPr>
        <w:softHyphen/>
        <w:t>дитель сместился к левому борту. Ведущее колесо при этом было перенесено назад, что, по мнению проектировщиков, Давало преимущества с точки зрения защищенности ходо</w:t>
      </w:r>
      <w:r w:rsidRPr="00722885">
        <w:rPr>
          <w:rFonts w:ascii="Times New Roman" w:hAnsi="Times New Roman"/>
          <w:color w:val="000000" w:themeColor="text1"/>
          <w:sz w:val="16"/>
          <w:szCs w:val="16"/>
        </w:rPr>
        <w:softHyphen/>
        <w:t>вой части от огня противника. С одной стороны, такое решение давало и контсрукционные преимущества, так как позволяло обойтись одной КПП, но всякая палка имеет два конца. Необходимость синхронизировать обороты двига</w:t>
      </w:r>
      <w:r w:rsidRPr="00722885">
        <w:rPr>
          <w:rFonts w:ascii="Times New Roman" w:hAnsi="Times New Roman"/>
          <w:color w:val="000000" w:themeColor="text1"/>
          <w:sz w:val="16"/>
          <w:szCs w:val="16"/>
        </w:rPr>
        <w:softHyphen/>
        <w:t>телей и применения длинного карданного вала значитель</w:t>
      </w:r>
      <w:r w:rsidRPr="00722885">
        <w:rPr>
          <w:rFonts w:ascii="Times New Roman" w:hAnsi="Times New Roman"/>
          <w:color w:val="000000" w:themeColor="text1"/>
          <w:sz w:val="16"/>
          <w:szCs w:val="16"/>
        </w:rPr>
        <w:softHyphen/>
        <w:t>но усложняли трансмиссию и ухудшали ее надежность (11417).</w:t>
      </w:r>
    </w:p>
    <w:p w14:paraId="5B4861E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2E04F15" w14:textId="77777777" w:rsidR="00090C9B" w:rsidRPr="00722885" w:rsidRDefault="00090C9B"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19 октября 1942 года ГКО принял решение об изготовлении артиллерийских самоходок-легких, с 37-мм и 76-мм орудиями, и средних, со 122-мм орудием. Создание опытных образцов средних самоходок возлагалось на Уралмашзавод и на завод № 592 Наркомата вооружения (9636).</w:t>
      </w:r>
    </w:p>
    <w:p w14:paraId="724697A4" w14:textId="77777777" w:rsidR="00090C9B" w:rsidRPr="00722885" w:rsidRDefault="00090C9B" w:rsidP="00722885">
      <w:pPr>
        <w:pStyle w:val="a8"/>
        <w:widowControl/>
        <w:jc w:val="both"/>
        <w:rPr>
          <w:rFonts w:ascii="Times New Roman" w:hAnsi="Times New Roman" w:cs="Times New Roman"/>
          <w:color w:val="000000" w:themeColor="text1"/>
        </w:rPr>
      </w:pPr>
    </w:p>
    <w:p w14:paraId="1934659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 по ходатайству ГАУ РККА было принято поста</w:t>
      </w:r>
      <w:r w:rsidRPr="00722885">
        <w:rPr>
          <w:rFonts w:ascii="Times New Roman" w:hAnsi="Times New Roman"/>
          <w:color w:val="000000" w:themeColor="text1"/>
          <w:sz w:val="16"/>
          <w:szCs w:val="16"/>
        </w:rPr>
        <w:softHyphen/>
        <w:t>новление ГКО, согласно которому заводам промышленности была по</w:t>
      </w:r>
      <w:r w:rsidRPr="00722885">
        <w:rPr>
          <w:rFonts w:ascii="Times New Roman" w:hAnsi="Times New Roman"/>
          <w:color w:val="000000" w:themeColor="text1"/>
          <w:sz w:val="16"/>
          <w:szCs w:val="16"/>
        </w:rPr>
        <w:softHyphen/>
        <w:t>ставлена задача к 1 декабря 1942 г. изготовить опытные партии самоход</w:t>
      </w:r>
      <w:r w:rsidRPr="00722885">
        <w:rPr>
          <w:rFonts w:ascii="Times New Roman" w:hAnsi="Times New Roman"/>
          <w:color w:val="000000" w:themeColor="text1"/>
          <w:sz w:val="16"/>
          <w:szCs w:val="16"/>
        </w:rPr>
        <w:softHyphen/>
        <w:t>ных установок: легких - с 37- и 76,2-мм пушками и средних - со 122-мм орудием, а ГАУ РККА - в середине декабря провести испытания изго</w:t>
      </w:r>
      <w:r w:rsidRPr="00722885">
        <w:rPr>
          <w:rFonts w:ascii="Times New Roman" w:hAnsi="Times New Roman"/>
          <w:color w:val="000000" w:themeColor="text1"/>
          <w:sz w:val="16"/>
          <w:szCs w:val="16"/>
        </w:rPr>
        <w:softHyphen/>
        <w:t>товленных самоходных установок и результаты испытаний доложить правительству (10703).</w:t>
      </w:r>
    </w:p>
    <w:p w14:paraId="0A2947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CA1A78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 вышло постановление ГКО, в соответствии с которым к концу года заводом № 38 НКТП на базе танков Т-60 и Т-70 был изготовлен опытный образец самоходно-артиллерийской установки (заводской ин</w:t>
      </w:r>
      <w:r w:rsidRPr="00722885">
        <w:rPr>
          <w:rFonts w:ascii="Times New Roman" w:hAnsi="Times New Roman"/>
          <w:color w:val="000000" w:themeColor="text1"/>
          <w:sz w:val="16"/>
          <w:szCs w:val="16"/>
        </w:rPr>
        <w:softHyphen/>
        <w:t>декс СУ-12) с 76,2-мм пушкой ЗИС-3. С 5 по 19 декабря 1942 г. эта са</w:t>
      </w:r>
      <w:r w:rsidRPr="00722885">
        <w:rPr>
          <w:rFonts w:ascii="Times New Roman" w:hAnsi="Times New Roman"/>
          <w:color w:val="000000" w:themeColor="text1"/>
          <w:sz w:val="16"/>
          <w:szCs w:val="16"/>
        </w:rPr>
        <w:softHyphen/>
        <w:t>моходная установка прошла государственные испытания на Гороховец-ком артиллерийском полигоне. Комиссия рекомендовала после устра</w:t>
      </w:r>
      <w:r w:rsidRPr="00722885">
        <w:rPr>
          <w:rFonts w:ascii="Times New Roman" w:hAnsi="Times New Roman"/>
          <w:color w:val="000000" w:themeColor="text1"/>
          <w:sz w:val="16"/>
          <w:szCs w:val="16"/>
        </w:rPr>
        <w:softHyphen/>
        <w:t>нения недостатков, выявленных в ходе испытаний, принять на вооруже</w:t>
      </w:r>
      <w:r w:rsidRPr="00722885">
        <w:rPr>
          <w:rFonts w:ascii="Times New Roman" w:hAnsi="Times New Roman"/>
          <w:color w:val="000000" w:themeColor="text1"/>
          <w:sz w:val="16"/>
          <w:szCs w:val="16"/>
        </w:rPr>
        <w:softHyphen/>
        <w:t>ние РККА самоходную установку СУ-76 (СУ-12) (10703).</w:t>
      </w:r>
    </w:p>
    <w:p w14:paraId="10A482E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23E3C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года ГКО принял постановление 2429сс (РГАСПИ. Ф. 644. Оп. 1. Д. 65. Л. 2-4), в котором предписывалось разработать и начать производство лёгких, средних и тяжелых САУ.</w:t>
      </w:r>
    </w:p>
    <w:p w14:paraId="78953C3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032EF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года И. Сталин подписал постановление Государственного Комитета Обороны, которым предусматривалось изготовить 120 самоходок СГ-122 на «базе трофейных танков Т-3, Т-4 и „Артштурм“» и формировании из них десяти артдивизионов. Этим же постановлением утверждался график подачи ремонтных машин на завод № 592 со стороны ГАБТУ КА:</w:t>
      </w:r>
    </w:p>
    <w:p w14:paraId="0D2866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Октябрь — 20 штук;</w:t>
      </w:r>
    </w:p>
    <w:p w14:paraId="61E28A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15 ноября — 10 штук;</w:t>
      </w:r>
    </w:p>
    <w:p w14:paraId="4AED14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 декабря — 20 штук;</w:t>
      </w:r>
    </w:p>
    <w:p w14:paraId="0433E1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15 декабря — 20 штук;</w:t>
      </w:r>
    </w:p>
    <w:p w14:paraId="556DF6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 января 1943 года — 25 штук;</w:t>
      </w:r>
    </w:p>
    <w:p w14:paraId="769333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 до конца года — 95 штук.</w:t>
      </w:r>
    </w:p>
    <w:p w14:paraId="08350E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так как такого количества трофейных шасси, пригодных к восстановлению, рембазы ГАБТУ КА не имели, 27 октября 1942 года командующие автобронетанковыми войсками всех фронтов получили следующий приказ заместителя наркома обороны генерал-лейтенанта танковых войск Федоренко:</w:t>
      </w:r>
    </w:p>
    <w:p w14:paraId="766D2A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самый кратчайший срок собрать с фронтов все трофейные машины указанных марок как находящиеся в строю, так и не ходовые, требующие ремонта.</w:t>
      </w:r>
    </w:p>
    <w:p w14:paraId="550E5B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Танки Т-3, Т-4 и „Артштурм“ подлежит немедленно направить в Москву, на завод № 592, где они будут ремонту и реконструкции с постановкой на них соответствующего артиллерийского вооружения.</w:t>
      </w:r>
    </w:p>
    <w:p w14:paraId="22EA3C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Вашего распоряжения:</w:t>
      </w:r>
    </w:p>
    <w:p w14:paraId="0F199E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 производстве точного подсчета имеющихся на Вашем фронте трофейных танков Т-3, Т-4 и „Артштурм“ и высылке в ГАБТУ КА к l.l 1.42 г. точных сведений об этих машинах.</w:t>
      </w:r>
    </w:p>
    <w:p w14:paraId="64F136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 немедленном направлении казанных трофейных машин по адресу: Москва, Мытищи, завод № 592 Наркомата вооружения» (12688).</w:t>
      </w:r>
    </w:p>
    <w:p w14:paraId="14CB0D8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CD37C04"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 октября 1942 вышло постановление ГКО №2429сс «О производстве опытных образцов артиллерийских самоходных установок», утвердившее жесткие сроки изготовления опытных образцов. Именно после этого ситуация вокруг СГ-122М сдвинулась с мертвой точки. Правда, к тому моменту проект СГ-122У скоропостижно скончался. Несмотря на желание ГАБТУ КА видеть именно эту систему на вооружении, ГАУ выступило категорически против.</w:t>
      </w:r>
    </w:p>
    <w:p w14:paraId="68497C38"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После долгих мытарств заводу №592 выделили, наконец, ремонтный танк Т-34. Это была машина выпуска Сталинградского тракторного завода, получившая боевые повреждения и наскоро отремонтированная на рембазе №1. Впоследствии состояние шасси тоже сыграет роковую роль в судьбе мытищинской самоходной установки. Согласно приказу наркома вооружений №541сс от 23 октября 1942 года, на изготовление опытного образца заводу №592 выделялся очень короткий срок – до 10 ноября. По ряду причин в этот срок уложиться не удалось. По состоянию на 21 ноября на шасси Т-34 шел монтаж орудия, раньше 24 числа ждать окончания работ не следовало. Впрочем, на УЗТМ ситуация была еще хуже – к тому же сроку на предприятии не приступили даже к сборке корпуса.</w:t>
      </w:r>
    </w:p>
    <w:p w14:paraId="662F5738"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заданием завод №592 справился раньше конкурентов. По состоянию на 28 ноября опытный образец, получивший заводское обозначение СГ-2, уже был построен и готовился к заводским испытаниям. В целом эта машина соответствовала СГ-122М, но при этом в конструкцию рубки внесли некоторые изменения. На эскизном проекте СГ-122М люка механика-водителя не было. У СГ-122 штатный люк сохранялся. Конструкция лобовой части была изменена. Дополнительно пришлось менять и лоб с правой стороны, дабы обеспечить прикрытие качающейся части гаубицы М-30 с бортов. В результате рубка спереди получилась довольно сложной формы и с не самой эстетичной внешностью. Для боевой машины это, впрочем, не самый главный показатель, да и установка У-35 выглядела как минимум не лучше.</w:t>
      </w:r>
    </w:p>
    <w:p w14:paraId="4131E83E"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получившемся с правой стороны выступе разместился командир, которому для наблюдения выделили смотровой прибор ПТК. Кроме того, в распоряжении командира была радиостанция 9-Р. Минусом было то, что одновременно командир выполнял роль наводчика по вертикали. В целом же вынос места командира в правый передний угол боевого отделения был правильным решением: благодаря этому удалось более рационально разместить экипаж и внутреннее оборудование.</w:t>
      </w:r>
    </w:p>
    <w:p w14:paraId="32A777C1"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Боевое отделение и установка вооружения во многом повторяли компоновку СГ-122. Гаубица М-30 подверглась небольшим изменениям в конструкции, кроме того, для удобства заряжания был установлен лоток. Более рациональная конструкция боевого отделения позволила разместить в машине боезапас на уровне тактико-технических требований – 40 выстрелов. Более крупной стала башенка над перископическим прицелом орудия. Несколько изменилась конструкция люка: он остался двухстворчатым, но при этом вторую створку сместили на кормовой лист рубки. Тем самым упростился выход экипажа, а также облегчилась загрузка боезапасов.</w:t>
      </w:r>
    </w:p>
    <w:p w14:paraId="5DA9E9CC"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Еще одной особенностью переработанной СГ-122М стало то, что общая ее высота составила всего 2120 мм. Для снижения высоты гаубицу установили чуть ниже, сделав вырез в лобовой броне. Сама лобовая плита, как и требовалось в тактико-технических требованиях (ТТТ), имела толщину от 65 до 90 мм. Для сравнения, САУ У-35 имела толщину брони 45 мм (17681).</w:t>
      </w:r>
    </w:p>
    <w:p w14:paraId="5A7B2A46" w14:textId="77777777" w:rsidR="00A92845" w:rsidRPr="00722885" w:rsidRDefault="00A92845" w:rsidP="00722885">
      <w:pPr>
        <w:spacing w:after="0" w:line="240" w:lineRule="auto"/>
        <w:jc w:val="both"/>
        <w:rPr>
          <w:rFonts w:ascii="Times New Roman" w:hAnsi="Times New Roman"/>
          <w:color w:val="000000" w:themeColor="text1"/>
          <w:sz w:val="16"/>
          <w:szCs w:val="16"/>
        </w:rPr>
      </w:pPr>
    </w:p>
    <w:p w14:paraId="4211A03D"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 октября 1942 года вышло постановление ГКО №2429сс «О производстве опытных образцов артиллерийских самоходных установок»:</w:t>
      </w:r>
    </w:p>
    <w:p w14:paraId="393D11B6"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«10. Обязать ГАБТУ (т. Федоренко) подать на завод №592 Наркомата Вооружения и отремонтировать на указанном заводе 120 трофейных немецких артиллерийских самоходных установок «Артштурм» или танков Т-3 по следующему графику: октябрь – 20 шт., к 15 ноября 1942 г. – 10;, к 1 декабря 1942 г. – 20; к 15 декабря 1942 г. – 20; 1 к января 1943 г. – 25; к 15 января 1943 г. – 10; к 1 февраля 1943 г. – 15 шт.</w:t>
      </w:r>
    </w:p>
    <w:p w14:paraId="76DD4CE1"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11. Обязать Наркомат Вооружения (т. Устинова) изготовить и сдать Главному Управлению Н-ка Артиллерии (т. Воронову) 120 самоходных установок со 122 мм гаубицей «М-30» по образцу, выдержавшему полигонные испытания ГАУ, в следующие сроки: к 25 октября 1942 г. – 10; к 15 ноября 1942 г. – 10; к 1 декабря 1942 г. −10; к 15 декабря 1942 г. – 15; к 1 января 1943 г. – 15; к 15 января 1943 г. – 20; к 1 февраля 1943 г. – 20; к 15 февраля 1943 г. – 20».</w:t>
      </w:r>
    </w:p>
    <w:p w14:paraId="22DB44CF"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 деле же БТРЗ №592 за весь 1942 год мог отгрузить не более 19 StuG III и 20 Pz.Kpfw.III. Никакие приказы эту картину поменять не смогли, так что реальный выпуск оказался совсем не таким, каким определялся в постановлении ГКО. Даже подключение других ремзаводов не сильно изменило картину. По состоянию на 5 декабря 1942 года теоретически завод мог получить не более 47 трофейных танков для переделки их в СГ-122.</w:t>
      </w:r>
    </w:p>
    <w:p w14:paraId="50EB706C"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 это накладывались проблемы производственного характера, поскольку завод №592 до того серийным производством техники не занимался.</w:t>
      </w:r>
    </w:p>
    <w:p w14:paraId="7344B40D"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октябре 1942 года предприятию удалось изготовить семь СГ-122, ещё две машины были перестроены в ноябре, за декабрь завод не сделал ни одной машины. Из этого числа заказчику удалось сдать всего шесть машин. По две самоходные установки отправилось в 15-й запасной учебный самоходный полк, 2-е Киевское артиллерийское училище и 2-е Ростовское артиллерийское училище.</w:t>
      </w:r>
    </w:p>
    <w:p w14:paraId="2DBC483E"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тому моменту дальнейшая судьба СГ-122 уже была фактически решена. Согласно постановлению ГКО №2559 от 2 декабря 1942 года «Об организации производства самоходных артиллерийских установок на Уралмашзаводе и заводе №38», с 1 января 1943 года выпуск Т-70 с завода №38 снимался. Вместо него постановлением ГКО №2661 от 27 декабря 1942 года завод №40 НКТП, в который преобразовывался завод №592, обязали осваивать производство лёгкого танка Т-80.</w:t>
      </w:r>
    </w:p>
    <w:p w14:paraId="2B2C2D32"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Тем не менее, завод №592 всё равно обязали построить ещё 10 СГ-122. На практике за январь 1943 года предприятию удалось выпустить 12 самоходных установок. Таким образом, общий объём выпуска составил 21 машину, из которых в войска отправились 20. Эти машины получили серийные номера 1001–1021 (17663).</w:t>
      </w:r>
    </w:p>
    <w:p w14:paraId="58CE9341" w14:textId="77777777" w:rsidR="00A92845" w:rsidRPr="00722885" w:rsidRDefault="00A92845" w:rsidP="00722885">
      <w:pPr>
        <w:spacing w:after="0" w:line="240" w:lineRule="auto"/>
        <w:jc w:val="both"/>
        <w:rPr>
          <w:rFonts w:ascii="Times New Roman" w:hAnsi="Times New Roman"/>
          <w:color w:val="000000" w:themeColor="text1"/>
          <w:sz w:val="16"/>
          <w:szCs w:val="16"/>
        </w:rPr>
      </w:pPr>
    </w:p>
    <w:p w14:paraId="07F41862"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 октября 1942 года вышло постановление Государственного комитета обороны (ГКО) №2429сс «О производстве опытных образцов артиллерийских самоходных установок». Будущая СУ-122 шла в нем первым пунктом:</w:t>
      </w:r>
    </w:p>
    <w:p w14:paraId="3A580D11"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«Обязать Наркомтанкопром (т. Зальцман) и Наркомвооружения (т. Устинов) немедля создать образцы самоходных установок со 122 мм гаубицей на базе танка Т-34, подав их для полигонных испытаний в следующие сроки: НКВ – к 10 ноября; НКТП – к 20 ноября».</w:t>
      </w:r>
    </w:p>
    <w:p w14:paraId="5EFA181F"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В тот же день были утверждены тактико-технические требования на «122 мм самоходную гаубицу на шасси танка Т-34». Они допускали изменения бортовых листов, сдвиг места механика-водителя и перенос топливных баков. 20 октября по инициативе </w:t>
      </w:r>
      <w:hyperlink r:id="rId131" w:history="1">
        <w:r w:rsidRPr="00722885">
          <w:rPr>
            <w:rFonts w:ascii="Times New Roman" w:eastAsia="Times New Roman" w:hAnsi="Times New Roman"/>
            <w:color w:val="000000" w:themeColor="text1"/>
            <w:sz w:val="16"/>
            <w:szCs w:val="16"/>
            <w:lang w:eastAsia="ru-RU"/>
          </w:rPr>
          <w:t>Ж.Я. Котина</w:t>
        </w:r>
      </w:hyperlink>
      <w:r w:rsidRPr="00722885">
        <w:rPr>
          <w:rFonts w:ascii="Times New Roman" w:eastAsia="Times New Roman" w:hAnsi="Times New Roman"/>
          <w:color w:val="000000" w:themeColor="text1"/>
          <w:sz w:val="16"/>
          <w:szCs w:val="16"/>
          <w:lang w:eastAsia="ru-RU"/>
        </w:rPr>
        <w:t>, который занимал должность заместителя наркома танковой промышленности, в СКБ Уралмашзавода состоялось совещание. На нем проект ЗИК-11 рассмотрели еще раз. В целом проект одобрили, но при этом его решили доработать в соответствии с новыми ТТТ. Самым же главным изменением стало то, что разработка самоходной установки передавалось из КБ завода №8 на УЗТМ. Из конструкторского отдела была выделена группа из 16 человек, которую возглавил Л.И. Горлицкий.</w:t>
      </w:r>
    </w:p>
    <w:p w14:paraId="3B7C3A06"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Что интересно, процесс передачи документации по ЗИК-11 начался еще 19 октября. Сделано это было без разрешения со стороны НКВ по инициативе Народного комиссариата танковой промышленности (НКТП), причем дальнейшие работы курировались Котиным. Разумеется, руководству НКВ такое самоуправство вряд ли понравилось, но иных способов форсировать работы по средней САУ не оставалось (17679).</w:t>
      </w:r>
    </w:p>
    <w:p w14:paraId="27CACD13" w14:textId="77777777" w:rsidR="00A92845" w:rsidRPr="00722885" w:rsidRDefault="00A92845" w:rsidP="00722885">
      <w:pPr>
        <w:spacing w:after="0" w:line="240" w:lineRule="auto"/>
        <w:jc w:val="both"/>
        <w:rPr>
          <w:rFonts w:ascii="Times New Roman" w:hAnsi="Times New Roman"/>
          <w:color w:val="000000" w:themeColor="text1"/>
          <w:sz w:val="16"/>
          <w:szCs w:val="16"/>
        </w:rPr>
      </w:pPr>
    </w:p>
    <w:p w14:paraId="2A2A2407"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19 октября 1942 года вышло постановление ГКО №2429 «О производстве опытных образцов артиллерийских самоходных установок». Согласно постановлению, ГАЗ им. Молотова и завод №38 получали задание на разработку и изготовления универсальных шасси с использованием элементов легкого танка Т-70. Гораздо менее известным фактом является то, что в конкурсную борьбу неожиданно включился третий участник.</w:t>
      </w:r>
    </w:p>
    <w:p w14:paraId="2DB4D704"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КБ завода №92 уже имело вполне успешный опыт разработки самоходных установок. Именно здесь разработали ЗИС-30, первый советский серийный легкий истребитель танков. Далее работа пошла по линии использования базы полугусеничного грузовика ЗИС-22М (ЗИС-42). Так появилась самоходная установка ЗИС-41. Вопрос в том, что шасси ЗИС-22М оказалось совсем не тем, на что рассчитывал Грабин. Безусловно, полугусеничный тягач был куда более стабильной платформой, чем «Комсомолец», но при этом быстро перегревался и имел массу других недостатков.</w:t>
      </w:r>
    </w:p>
    <w:p w14:paraId="0DA99052"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результате осенью 1942 года над темой ЗИС-41 появился большой знак вопроса. Неудивительно, что КБ завода №92 стало искать иную платформу для самоходного орудия. Долго искать не пришлось – ею оказался легкий танк Т-70, в больших количествах выпускавшийся на ГАЗ им. Молотова. С точки зрения стабильности платформы Т-70 явно превосходил «Комсомольца», да и компоновка легкого танка больше подходила для разработки САУ на его базе. Приятным дополнением оказалось то, что завод №92 и ГАЗ находились в одном городе (17683).</w:t>
      </w:r>
    </w:p>
    <w:p w14:paraId="3D12416D" w14:textId="77777777" w:rsidR="00A92845" w:rsidRPr="00722885" w:rsidRDefault="00A92845" w:rsidP="00722885">
      <w:pPr>
        <w:spacing w:after="0" w:line="240" w:lineRule="auto"/>
        <w:jc w:val="both"/>
        <w:rPr>
          <w:rFonts w:ascii="Times New Roman" w:hAnsi="Times New Roman"/>
          <w:color w:val="000000" w:themeColor="text1"/>
          <w:sz w:val="16"/>
          <w:szCs w:val="16"/>
        </w:rPr>
      </w:pPr>
    </w:p>
    <w:p w14:paraId="0064CFD0"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 октября 1942 года Сталин подписал постановление ГКО № 2429 «О производстве опытных образцов артиллерийских самоходных установок». В первоначальный текст ЗСУ не попала, её включили уже в ходе правок:</w:t>
      </w:r>
    </w:p>
    <w:p w14:paraId="3685108A"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«2. Обязать Наркомтанкопром (т. Зальцмана) и Наркомсредмаш (т. Акопова) немедля создать образцы самоходных артиллерийских установок с 76 мм пушкой на базе агрегатов танка Т-70, подав их для полигонных испытаний к 15 ноября с. г.</w:t>
      </w:r>
    </w:p>
    <w:p w14:paraId="29D85DE5"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3. Обязать Наркомсредмаш (т. Акопова) немедля создать образец самоходной артиллерийской установки с 45 мм пушкой на базе танка Т-70, подав его для полигонных испытаний к 20 ноября с. г.</w:t>
      </w:r>
    </w:p>
    <w:p w14:paraId="6C96E14C"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4. Обязать Наркомтанкопром (т. Зальцмана) и Наркомсредмаш (т. Акопова) к 1 декабря с. г. изготовить и подать на полигонные испытания образцы самоходных артиллерийских зенитных установок с 37 мм пушками на базе агрегатов танка Т-70».</w:t>
      </w:r>
    </w:p>
    <w:p w14:paraId="734E08E8" w14:textId="77777777" w:rsidR="00A92845" w:rsidRPr="00722885" w:rsidRDefault="00A9284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Все три самоходные установки разрабатывать обязали ГАЗ им. Молотова. 76-мм штурмовая САУ получила заводской индекс ГАЗ-71, ведущим инженером машины был В. С. Соловьев. ЗСУ получила заводское обозначение ГАЗ-72, в качестве ведущего инженера назначили А. С. Маклакова. Наконец, 45-мм самоходная установка на базе танка Т-70 получила заводское обозначение ГАЗ-73. Со стороны ГАУ КА работы сопровождал майор П. Ф. Соломонов, с осени 1941 года плотно курировавший работы по самоходной артиллерии. Согласно планам, работы по ГАЗ-71 предполагалось закончить к 15 ноября, по ГАЗ-73 — к 20 ноября, а по ГАЗ-72 — к 1 декабря 1942 года.</w:t>
      </w:r>
    </w:p>
    <w:p w14:paraId="13B8A67E" w14:textId="77777777" w:rsidR="00A92845" w:rsidRPr="00722885" w:rsidRDefault="00A92845" w:rsidP="00722885">
      <w:pPr>
        <w:spacing w:after="0" w:line="240" w:lineRule="auto"/>
        <w:jc w:val="both"/>
        <w:rPr>
          <w:rFonts w:ascii="Times New Roman" w:hAnsi="Times New Roman"/>
          <w:color w:val="000000" w:themeColor="text1"/>
          <w:sz w:val="16"/>
          <w:szCs w:val="16"/>
        </w:rPr>
      </w:pPr>
    </w:p>
    <w:p w14:paraId="2DD7ED2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 когда с конвейера Уралмашзавода сошли первые серийные «тридцатьчетверки», Государст</w:t>
      </w:r>
      <w:r w:rsidRPr="00722885">
        <w:rPr>
          <w:rFonts w:ascii="Times New Roman" w:hAnsi="Times New Roman"/>
          <w:color w:val="000000" w:themeColor="text1"/>
          <w:sz w:val="16"/>
          <w:szCs w:val="16"/>
        </w:rPr>
        <w:softHyphen/>
        <w:t>венный Комитет Обороны выпустил постановление № 2429сс о срочной разработке бронированных 122-мм са</w:t>
      </w:r>
      <w:r w:rsidRPr="00722885">
        <w:rPr>
          <w:rFonts w:ascii="Times New Roman" w:hAnsi="Times New Roman"/>
          <w:color w:val="000000" w:themeColor="text1"/>
          <w:sz w:val="16"/>
          <w:szCs w:val="16"/>
        </w:rPr>
        <w:softHyphen/>
        <w:t>моходных гаубиц для подавления вражеских огневых точек и борьбы с танками противника. Задание на разработку но</w:t>
      </w:r>
      <w:r w:rsidRPr="00722885">
        <w:rPr>
          <w:rFonts w:ascii="Times New Roman" w:hAnsi="Times New Roman"/>
          <w:color w:val="000000" w:themeColor="text1"/>
          <w:sz w:val="16"/>
          <w:szCs w:val="16"/>
        </w:rPr>
        <w:softHyphen/>
        <w:t>вых САУ получили завод № 592 НКВ и Уралмашзавод (11417).</w:t>
      </w:r>
    </w:p>
    <w:p w14:paraId="4FB14ED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02AD3B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 по ходатайству ГАУ РККА Государственный Ко</w:t>
      </w:r>
      <w:r w:rsidRPr="00722885">
        <w:rPr>
          <w:rFonts w:ascii="Times New Roman" w:hAnsi="Times New Roman"/>
          <w:color w:val="000000" w:themeColor="text1"/>
          <w:sz w:val="16"/>
          <w:szCs w:val="16"/>
        </w:rPr>
        <w:softHyphen/>
        <w:t>митет Обороны принял решение об изготовлении средних артиллерий</w:t>
      </w:r>
      <w:r w:rsidRPr="00722885">
        <w:rPr>
          <w:rFonts w:ascii="Times New Roman" w:hAnsi="Times New Roman"/>
          <w:color w:val="000000" w:themeColor="text1"/>
          <w:sz w:val="16"/>
          <w:szCs w:val="16"/>
        </w:rPr>
        <w:softHyphen/>
        <w:t>ских установок со 122-мм орудием. Создание опытных образцов средних самоходных установок было возложено на два завода: УЗТМ и завод № 592 НКВ (10703).</w:t>
      </w:r>
    </w:p>
    <w:p w14:paraId="6608069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CF2A2A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г. постановлением ГКО предусматривалось, чтобы к концу того же года заводом № 38 НКТП был изготовлен опытный образец ЗСУ с 37-мм зенитной автоматической пушкой на базе агрегатов танка Т-60 и Т-70 (заводской индекс СУ-11). С 5 по 19 декабря 1942 г, эта зе</w:t>
      </w:r>
      <w:r w:rsidRPr="00722885">
        <w:rPr>
          <w:rFonts w:ascii="Times New Roman" w:hAnsi="Times New Roman"/>
          <w:color w:val="000000" w:themeColor="text1"/>
          <w:sz w:val="16"/>
          <w:szCs w:val="16"/>
        </w:rPr>
        <w:softHyphen/>
        <w:t>нитная самоходная установка проходила государственные испытания на Гороховецком артиллерийском полигоне. Из-за неудачной компо</w:t>
      </w:r>
      <w:r w:rsidRPr="00722885">
        <w:rPr>
          <w:rFonts w:ascii="Times New Roman" w:hAnsi="Times New Roman"/>
          <w:color w:val="000000" w:themeColor="text1"/>
          <w:sz w:val="16"/>
          <w:szCs w:val="16"/>
        </w:rPr>
        <w:softHyphen/>
        <w:t>новки боевого отделения, неудобной установки прицела, недостаточной жесткости корпуса и опоры поворотной платформы комиссия предло</w:t>
      </w:r>
      <w:r w:rsidRPr="00722885">
        <w:rPr>
          <w:rFonts w:ascii="Times New Roman" w:hAnsi="Times New Roman"/>
          <w:color w:val="000000" w:themeColor="text1"/>
          <w:sz w:val="16"/>
          <w:szCs w:val="16"/>
        </w:rPr>
        <w:softHyphen/>
        <w:t>жила возвратить ЗСУ на завод и произвести ее доработку (10703).</w:t>
      </w:r>
    </w:p>
    <w:p w14:paraId="6356D6E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57F4D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вышло Постановление ГКО № 2430 Об обеспечении Красной Армии и партизанских отрядов минами специального назначения. РГАНИР, Фонд ГКО, д. 65, лл. 16-19, 20-23 (11012).</w:t>
      </w:r>
    </w:p>
    <w:p w14:paraId="4FDBBB8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BB52C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октября 1942 на эскадренном траулере Владимир Полухин нем был поднят военно-морской флаг. По результатам испытаний стандартное водоизмещение корабля составило 660 т, полное около 880 т, максимальная скорость хода 22,4 уз, дальность плавания 11-узловым ходом 2000 миль. Зенитное вооружение было значи</w:t>
      </w:r>
      <w:r w:rsidRPr="00722885">
        <w:rPr>
          <w:color w:val="000000" w:themeColor="text1"/>
          <w:sz w:val="16"/>
          <w:szCs w:val="16"/>
        </w:rPr>
        <w:softHyphen/>
        <w:t>тельно усилено за счет установки одного 45-мм полуавтомата 21К и четырех 12,7-мм пулеметов, трех 37-мм и двух 20-мм ав</w:t>
      </w:r>
      <w:r w:rsidRPr="00722885">
        <w:rPr>
          <w:color w:val="000000" w:themeColor="text1"/>
          <w:sz w:val="16"/>
          <w:szCs w:val="16"/>
        </w:rPr>
        <w:softHyphen/>
        <w:t>томатов. Правда, тральное вооружение включало только тралы Шульца и змейковые, так как необходимых образцов электромаг</w:t>
      </w:r>
      <w:r w:rsidRPr="00722885">
        <w:rPr>
          <w:color w:val="000000" w:themeColor="text1"/>
          <w:sz w:val="16"/>
          <w:szCs w:val="16"/>
        </w:rPr>
        <w:softHyphen/>
        <w:t>нитных и акустических не было (3898).</w:t>
      </w:r>
    </w:p>
    <w:p w14:paraId="308BB9AE" w14:textId="77777777" w:rsidR="00090C9B" w:rsidRPr="00722885" w:rsidRDefault="00090C9B" w:rsidP="00722885">
      <w:pPr>
        <w:pStyle w:val="Iauiue"/>
        <w:jc w:val="both"/>
        <w:rPr>
          <w:color w:val="000000" w:themeColor="text1"/>
          <w:sz w:val="16"/>
          <w:szCs w:val="16"/>
        </w:rPr>
      </w:pPr>
    </w:p>
    <w:p w14:paraId="7B5F24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Петрозавод закончил достройку и испытания головного турбинного ЭТЩ "Владимир Полухин" (10671).</w:t>
      </w:r>
    </w:p>
    <w:p w14:paraId="0C17597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6D099E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BADF58F" w14:textId="77777777" w:rsidR="00090C9B" w:rsidRPr="00722885" w:rsidRDefault="00090C9B" w:rsidP="00722885">
      <w:pPr>
        <w:pStyle w:val="Iauiue"/>
        <w:jc w:val="both"/>
        <w:rPr>
          <w:iCs/>
          <w:color w:val="000000" w:themeColor="text1"/>
          <w:sz w:val="16"/>
          <w:szCs w:val="16"/>
        </w:rPr>
      </w:pPr>
    </w:p>
    <w:p w14:paraId="1BB24E7C"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19 октября </w:t>
      </w:r>
      <w:r w:rsidRPr="00722885">
        <w:rPr>
          <w:rFonts w:ascii="Times New Roman" w:hAnsi="Times New Roman"/>
          <w:color w:val="000000" w:themeColor="text1"/>
          <w:sz w:val="16"/>
          <w:szCs w:val="16"/>
        </w:rPr>
        <w:t>в 1942 году утреннее сообщение Совинформбюро:</w:t>
      </w:r>
    </w:p>
    <w:p w14:paraId="2279B53A"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19 октября наши войска вели бои с противником в районе Сталинграда и в районе Моздока. На других фронтах никаких изменений не произошло.</w:t>
      </w:r>
    </w:p>
    <w:p w14:paraId="322A452B"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 одном из участков пехота и танки противника атаковали позиции Н-ской части. Ценой больших потерь гитлеровцы заняли один квартал. На улицах остались сотни вражеских трупов Подбито и сожжено 18 немецких танков.</w:t>
      </w:r>
    </w:p>
    <w:p w14:paraId="1AAC46F5"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в воздушных боях сбили 9 немецких самолётов. Кроме того, огнём зенитной артиллерии сбито 5 самолётов противника.</w:t>
      </w:r>
    </w:p>
    <w:p w14:paraId="5E2AF1A7"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бои местного значения. Артиллеристы Н-ской части разрушили 5 немецких ДЗОТ'ов и блиндажей, уничтожили миномётную и две артиллерийские батареи и рассеяли скопление пехоты противника, готовившейся к атаке. На другом участке наши бойцы отразили три атаки гитлеровцев. В результате боя уничтожено до роты немецких солдат, 11 пулемётов, миномётная батарея и разрушено 20 блиндажей противника.</w:t>
      </w:r>
    </w:p>
    <w:p w14:paraId="30858CE7"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отбили атаки противника и уничтожили до трёх рот немецкой пехоты. Бойцы под командованием гвардии капитана Пшеничного огнём из противотанковых орудий подбили и сожгли 11 танков противника. Бойцы отделения т. Кочетова ворвались в немецкие окопы, истребили 50 гитлеровцев и захватили 26 винтовок и 2 пулемёта.</w:t>
      </w:r>
    </w:p>
    <w:p w14:paraId="0E7B4FB7"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моряков-черноморцев во главе с командиром Лядовым высадилась с катера в тылу у врага. Бойцы истребили 45 румынских солдат и офицеров, уничтожили 2 крупнокалиберных пулемёта, 3 автомашины и радиостанцию. Краснофлотцы без потерь вернулись в свою часть.</w:t>
      </w:r>
    </w:p>
    <w:p w14:paraId="2BADD222"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отряда, действующего в одном из районов Витебской области, совершила нападение на автоколонну противника и уничтожила 9 автомашин с военными грузами. Другая группа партизан взорвала 6 мостов, разрушила 2,5 километра железнодорожного пути и истребила 27 гитлеровцев.</w:t>
      </w:r>
    </w:p>
    <w:p w14:paraId="46633419"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взят в плен солдат 261 полка 113 немецкой пехотной дивизии Рудольф Хоппе. Пленному всего лишь 17 лет. Этот выродок является типичным представителем фашистской молодёжи, растленной гитлеровским режимом. Рудольф Хоппе рассказал: «В течение трёх лет я состоял членом организации гитлеровской молодёжи. Вас усиленно обучали военному делу, каждый день муштровали. Часто к нам приезжали эсэсовцы, побывавшие на фронтах и в оккупированных странах. Они говорили, что Гитлер поставил перед германской армией задачу истребить все славянские народы и подчинить Германии весь мир. Эсэсовцы рассказывали о своих похождениях на войне, о массовых расстрелах в Польше, Норвегии, Югославии и в оккупированных районах России. Нам внушали, что жестокость является высшим качеством солдата. Эсэсовцы поучали нас, как надо усмирять и подавлять непокорных жителей захваченных стран. Все они твердили одно: надо научиться убивать безжалостно, спокойно и хладнокровно. Некоторые хвастались, что они убили по 2—3 тысячи человек. По их словам, вначале было немного страшно убивать людей, особенно безоружных женщин и детей, но человек с характером скоро привыкает и потом делает это уже не только по обязанности, а с истинным наслаждением».</w:t>
      </w:r>
    </w:p>
    <w:p w14:paraId="66D28370"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пленный сообщил: «На днях русские открыли артиллерийский огонь по нашим позициям. Унтер-офицер Шмидт кричал солдатам: «Не бойтесь, прячьтесь в окопы, а когда русские перейдут в атаку, стреляйте в них до последнего патрона». Как только русские перешли в атаку, Шмидт улизнул, а нас бросил. Многие солдаты были убиты, некоторые убежали, а я растерялся и попал в плен».</w:t>
      </w:r>
    </w:p>
    <w:p w14:paraId="35095028"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деревне Лычно, Ленинградской области, немецко-фашистские мерзавцы расстреляли 20 крестьян. Поводом к этой кровавой расправе явился отказ колхозников уплатить непосильные налоги и многочисленные штрафы.» (14804).</w:t>
      </w:r>
    </w:p>
    <w:p w14:paraId="4154DAA9"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6F554DD9"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19 октября </w:t>
      </w:r>
      <w:r w:rsidRPr="00722885">
        <w:rPr>
          <w:rFonts w:ascii="Times New Roman" w:hAnsi="Times New Roman"/>
          <w:color w:val="000000" w:themeColor="text1"/>
          <w:sz w:val="16"/>
          <w:szCs w:val="16"/>
        </w:rPr>
        <w:t>в 1942 году вечернее сообщение Совинформбюро:</w:t>
      </w:r>
    </w:p>
    <w:p w14:paraId="36987079"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19 октября наши войска вели бои с противником в районе Сталинграда и в районе Моздока. На других фронтах никаких изменений не произошло.</w:t>
      </w:r>
    </w:p>
    <w:p w14:paraId="111FA881"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18 октября нашей авиацией на различных участках фронта уничтожено 10 автомашин с войсками, подавлен огонь 3 артиллерийских батарей и 10 миномётов, разбит железнодорожный эшелон противника.</w:t>
      </w:r>
    </w:p>
    <w:p w14:paraId="0690087A"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Сталинграда наши войска отбивали ожесточённые атаки танков и пехоты противника. Особенно упорные бои происходили в районе одного из заводов.</w:t>
      </w:r>
    </w:p>
    <w:p w14:paraId="5EA1D8DB"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Наши части, действующие на этом участке, отбили все атаки гитлеровцев и уничтожили 8 танков и до двух батальонов немецкой пехоты. Кроме того, огневыми налётами гвардейцев-миномётчиков сожжено 6 танков и истреблено 400 солдат и офицеров противника.</w:t>
      </w:r>
    </w:p>
    <w:p w14:paraId="02092DAB"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занимаемые рубежи и отражали атаки небольших групп противника. В районе одной высоты румынская пехота предприняла несколько атак на участок, который обороняют подразделения под командованием тт. Ведехина и Тюрина. Наши бойцы отбросили противника. На поле боя осталось 150 вражеских трупов. Активными действиями наших разведывательных отрядов на других участках уничтожено до роты немецких солдат. Зенитчики тт. Каберник и Рассейкин сбили 2 немецких самолёта.</w:t>
      </w:r>
    </w:p>
    <w:p w14:paraId="3529A003"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советские войска отбивали атаки противника. На одном участке немецким танкам и пехоте удалось вклиниться в нашу оборону. К исходу дня после ожесточённых боёв наши части отбросили противника и восстановили положение. Гитлеровцы отошли на исходные позиции, оставив до 500 трупов своих солдат и офицеров.</w:t>
      </w:r>
    </w:p>
    <w:p w14:paraId="18EC50FC"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вели бои с наступающим противником. После упорного сражения, в ходе которого врагу были нанесены тяжёлые потери, наши подразделения оставили два населённых пункта. На другом участке наши войска отбили атаки гитлеровцев и уничтожили до 1200 немецких солдат и офицеров.</w:t>
      </w:r>
    </w:p>
    <w:p w14:paraId="3CEB9F60"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группа наших разведчиков переправилась на противоположный берег реки и забросала гранатами 2 вражеских блиндажа. Уничтожено 20 немецких солдат и станковый пулемёт. Наши снайперы в течение последних суток истребили 162 немецко-фашистских оккупанта.</w:t>
      </w:r>
    </w:p>
    <w:p w14:paraId="364DF8D2"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ленинградских партизан пустила под откос немецкий железнодорожный эшелон. Уничтожены паровоз, 2 платформы с автомашинами, 2 платформы с танками и 2 вагона с солдатами. Кроме того, сошли с рельсов и серьёзно повреждены 24 вагона с разными военными грузами.</w:t>
      </w:r>
    </w:p>
    <w:p w14:paraId="684F6D0C"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сторону Красной Армии перешёл немецкий солдат Вильгельм К. Перебежчик рассказал о чудовищных зверствах немецких палачей в оккупированных ими советских районах. «В сентябре, — говорит он, — я на грузовой автомашине выехал из Минска в Сычёвку. B каждом городе, в каждой деревне я видел трупы повешенных жителей. B Сычёвке в один день повесили 7 человек. Через несколько дней на площади повесили ещё двух жителей— 65-летнего старика-сапожника и 40-летнего рабочего. Я побывалв деревнях Долы, Остопово, Субботино, Понцово, Мокрое и других и видел, что крестьяне переносят неслыханные лишения. Немецкие военные власти отобрали у них весь инвентарь, скот и продовольствие. Целые семьи умирают с голоду».</w:t>
      </w:r>
    </w:p>
    <w:p w14:paraId="4A17609E"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участке Милевско—Табор (Чехословакия) чешские патриоты пустили под откос железнодорожный эшелон с итальянскими войсками, следовавшими на советско-германский фронт. Из-под обломков вагонов было извлечено более 100 убитых и раненых. Значительное число итальянских солдат пропало без вести. Полагают, что, воспользовавшись суматохой, они дезертировали.» (14804).</w:t>
      </w:r>
    </w:p>
    <w:p w14:paraId="7DE25F84"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70774E26"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19 октября </w:t>
      </w:r>
      <w:r w:rsidRPr="00722885">
        <w:rPr>
          <w:rFonts w:ascii="Times New Roman" w:hAnsi="Times New Roman"/>
          <w:color w:val="000000" w:themeColor="text1"/>
          <w:sz w:val="16"/>
          <w:szCs w:val="16"/>
        </w:rPr>
        <w:t>в 1942 году войсками Вермахта захвачены Мамаев курган, высота 107.5, выход к Волге в районе тракторного завода и в устье реки Царицы (14804).</w:t>
      </w:r>
    </w:p>
    <w:p w14:paraId="2BFE0A1B"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4BD682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октября 1942 произошел один из первых успешных случаев применения Ил-4Т на Балтике и экипаж В.А.Балебина из 1 мтап потопил сторожевик (2467,5).</w:t>
      </w:r>
    </w:p>
    <w:p w14:paraId="7F66C540" w14:textId="77777777" w:rsidR="00090C9B" w:rsidRPr="00722885" w:rsidRDefault="00090C9B" w:rsidP="00722885">
      <w:pPr>
        <w:pStyle w:val="Iauiue"/>
        <w:jc w:val="both"/>
        <w:rPr>
          <w:color w:val="000000" w:themeColor="text1"/>
          <w:sz w:val="16"/>
          <w:szCs w:val="16"/>
        </w:rPr>
      </w:pPr>
    </w:p>
    <w:p w14:paraId="24AA23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Балебин на Ил-4 1-го ГМТАП «успешно» атаковал миноносец (очевидно, так был классифицирован немецкий тральщик), на следующий день другой экипаж по донесению потопил небольшой транспорт южнее Ханко (9965).</w:t>
      </w:r>
    </w:p>
    <w:p w14:paraId="2E1584F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A99DF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 29 октября 1942 Балебин из 1-го ГМТАП мастерски «потопил» вражеские сторожевик и миноносец, но, увы, они не подтверждаются сводками потерь противника (9965).</w:t>
      </w:r>
    </w:p>
    <w:p w14:paraId="4C1F219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1576DC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21B2450" w14:textId="77777777" w:rsidR="00090C9B" w:rsidRPr="00722885" w:rsidRDefault="00090C9B" w:rsidP="00722885">
      <w:pPr>
        <w:pStyle w:val="Iauiue"/>
        <w:jc w:val="both"/>
        <w:rPr>
          <w:iCs/>
          <w:color w:val="000000" w:themeColor="text1"/>
          <w:sz w:val="16"/>
          <w:szCs w:val="16"/>
        </w:rPr>
      </w:pPr>
    </w:p>
    <w:p w14:paraId="164CF3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вышло Постановление ГКО № 2428 Об обмене с США и Великобританией военно-технической информацией. РГАНИР, Фонд ГКО, д. 65, лл. 1 (11012).</w:t>
      </w:r>
    </w:p>
    <w:p w14:paraId="212CC27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D2CEC74" w14:textId="77777777" w:rsidR="00A57CE2" w:rsidRPr="00722885" w:rsidRDefault="00A57CE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октября 1942 вышло Постановление ГКО № 2428 Об обмене с США и Великобританией военно-технической информацией</w:t>
      </w:r>
    </w:p>
    <w:p w14:paraId="4F77F1D6" w14:textId="77777777" w:rsidR="00A57CE2" w:rsidRPr="00722885" w:rsidRDefault="00A57CE2"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Государственный Комитет Обороны постановляет:</w:t>
      </w:r>
    </w:p>
    <w:p w14:paraId="47857476" w14:textId="77777777" w:rsidR="00A57CE2" w:rsidRPr="00722885" w:rsidRDefault="00A57CE2" w:rsidP="00722885">
      <w:pPr>
        <w:pStyle w:val="47"/>
        <w:shd w:val="clear" w:color="auto" w:fill="auto"/>
        <w:tabs>
          <w:tab w:val="left" w:pos="1190"/>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 Создать при ГОКО постоянную Комиссию для руководства работой по обмену с США и Великобританией военно-технической информацией, в соответствии с Соглашением Союэа ССР с США о принципах, применимых к взаимной помощи в ведении войны про</w:t>
      </w:r>
      <w:r w:rsidRPr="00722885">
        <w:rPr>
          <w:rFonts w:ascii="Times New Roman" w:hAnsi="Times New Roman" w:cs="Times New Roman"/>
          <w:color w:val="000000" w:themeColor="text1"/>
          <w:sz w:val="16"/>
          <w:szCs w:val="16"/>
        </w:rPr>
        <w:softHyphen/>
        <w:t>тив агрессии от 11 июня 1942г., предусматривающем предостав</w:t>
      </w:r>
      <w:r w:rsidRPr="00722885">
        <w:rPr>
          <w:rFonts w:ascii="Times New Roman" w:hAnsi="Times New Roman" w:cs="Times New Roman"/>
          <w:color w:val="000000" w:themeColor="text1"/>
          <w:sz w:val="16"/>
          <w:szCs w:val="16"/>
        </w:rPr>
        <w:softHyphen/>
        <w:t>ление друг другу оборонной информации,- и с Соглашением между Союзом ССР и Великобританией от 29 сентября 1942г. об обмене информацией, относящейся к предметам вооружения, приспособле</w:t>
      </w:r>
      <w:r w:rsidRPr="00722885">
        <w:rPr>
          <w:rFonts w:ascii="Times New Roman" w:hAnsi="Times New Roman" w:cs="Times New Roman"/>
          <w:color w:val="000000" w:themeColor="text1"/>
          <w:sz w:val="16"/>
          <w:szCs w:val="16"/>
        </w:rPr>
        <w:softHyphen/>
        <w:t>ниям и процессам, которые применяются или будут применяться для ведения войны.</w:t>
      </w:r>
    </w:p>
    <w:p w14:paraId="65D1A4E9" w14:textId="77777777" w:rsidR="00A57CE2" w:rsidRPr="00722885" w:rsidRDefault="00A57CE2" w:rsidP="00722885">
      <w:pPr>
        <w:pStyle w:val="47"/>
        <w:shd w:val="clear" w:color="auto" w:fill="auto"/>
        <w:tabs>
          <w:tab w:val="left" w:pos="1193"/>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 Комиссию утвердить в следующем составе:</w:t>
      </w:r>
    </w:p>
    <w:p w14:paraId="36B07AE0" w14:textId="77777777" w:rsidR="00A57CE2" w:rsidRPr="00722885" w:rsidRDefault="00A57CE2"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т.т.Малышев В.А. (председатель), Кафтанов С.В. (замести</w:t>
      </w:r>
      <w:r w:rsidRPr="00722885">
        <w:rPr>
          <w:rFonts w:ascii="Times New Roman" w:hAnsi="Times New Roman" w:cs="Times New Roman"/>
          <w:color w:val="000000" w:themeColor="text1"/>
          <w:sz w:val="16"/>
          <w:szCs w:val="16"/>
        </w:rPr>
        <w:softHyphen/>
        <w:t>тель председателя) и Никитин В.П.</w:t>
      </w:r>
    </w:p>
    <w:p w14:paraId="2B66C35C" w14:textId="77777777" w:rsidR="00A57CE2" w:rsidRPr="00722885" w:rsidRDefault="00A57CE2" w:rsidP="00722885">
      <w:pPr>
        <w:pStyle w:val="47"/>
        <w:shd w:val="clear" w:color="auto" w:fill="auto"/>
        <w:tabs>
          <w:tab w:val="left" w:pos="1175"/>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 Установить, что в обязанности Комиссии входит подго</w:t>
      </w:r>
      <w:r w:rsidRPr="00722885">
        <w:rPr>
          <w:rFonts w:ascii="Times New Roman" w:hAnsi="Times New Roman" w:cs="Times New Roman"/>
          <w:color w:val="000000" w:themeColor="text1"/>
          <w:sz w:val="16"/>
          <w:szCs w:val="16"/>
        </w:rPr>
        <w:softHyphen/>
        <w:t>товка, через соответствующие Народные Комиссариаты и другие ведомства СССР, всех запросов к США и Великобритании по воен</w:t>
      </w:r>
      <w:r w:rsidRPr="00722885">
        <w:rPr>
          <w:rFonts w:ascii="Times New Roman" w:hAnsi="Times New Roman" w:cs="Times New Roman"/>
          <w:color w:val="000000" w:themeColor="text1"/>
          <w:sz w:val="16"/>
          <w:szCs w:val="16"/>
        </w:rPr>
        <w:softHyphen/>
        <w:t>но-технической информации, представляющей для СССР интерес, обеспечение получений этой информации из США и Великобритании, контроль за ее использованием, а также организация дела пре</w:t>
      </w:r>
      <w:r w:rsidRPr="00722885">
        <w:rPr>
          <w:rFonts w:ascii="Times New Roman" w:hAnsi="Times New Roman" w:cs="Times New Roman"/>
          <w:color w:val="000000" w:themeColor="text1"/>
          <w:sz w:val="16"/>
          <w:szCs w:val="16"/>
        </w:rPr>
        <w:softHyphen/>
        <w:t>доставления со стороны СССР такого рода информации США и Вели</w:t>
      </w:r>
      <w:r w:rsidRPr="00722885">
        <w:rPr>
          <w:rFonts w:ascii="Times New Roman" w:hAnsi="Times New Roman" w:cs="Times New Roman"/>
          <w:color w:val="000000" w:themeColor="text1"/>
          <w:sz w:val="16"/>
          <w:szCs w:val="16"/>
        </w:rPr>
        <w:softHyphen/>
        <w:t>кобритании.</w:t>
      </w:r>
    </w:p>
    <w:p w14:paraId="20616E0D" w14:textId="77777777" w:rsidR="00A57CE2" w:rsidRPr="00722885" w:rsidRDefault="00A57CE2" w:rsidP="00722885">
      <w:pPr>
        <w:pStyle w:val="47"/>
        <w:shd w:val="clear" w:color="auto" w:fill="auto"/>
        <w:tabs>
          <w:tab w:val="left" w:pos="1190"/>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4. Соответствующие Народные Комиссариаты и Госплан СССР подготовляют, по поручению*Комиссии, запросы к США и Велико</w:t>
      </w:r>
      <w:r w:rsidRPr="00722885">
        <w:rPr>
          <w:rFonts w:ascii="Times New Roman" w:hAnsi="Times New Roman" w:cs="Times New Roman"/>
          <w:color w:val="000000" w:themeColor="text1"/>
          <w:sz w:val="16"/>
          <w:szCs w:val="16"/>
        </w:rPr>
        <w:softHyphen/>
        <w:t>британии по военно-технической информации, используют получен</w:t>
      </w:r>
      <w:r w:rsidRPr="00722885">
        <w:rPr>
          <w:rFonts w:ascii="Times New Roman" w:hAnsi="Times New Roman" w:cs="Times New Roman"/>
          <w:color w:val="000000" w:themeColor="text1"/>
          <w:sz w:val="16"/>
          <w:szCs w:val="16"/>
        </w:rPr>
        <w:softHyphen/>
        <w:t>ную из этих стран информацию, а также представляют Комиссии материалы по военно-технической информации для передачи США и Великобритании по их запросам.</w:t>
      </w:r>
    </w:p>
    <w:p w14:paraId="54C7A317" w14:textId="77777777" w:rsidR="00A57CE2" w:rsidRPr="00722885" w:rsidRDefault="00A57CE2" w:rsidP="00722885">
      <w:pPr>
        <w:pStyle w:val="47"/>
        <w:shd w:val="clear" w:color="auto" w:fill="auto"/>
        <w:tabs>
          <w:tab w:val="left" w:pos="1190"/>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5. Передача Комиссией военно-технической информации из СССР в США и Великобританию, а равно и пред»явление запросов к получению военно-технической информации из США и Великобри</w:t>
      </w:r>
      <w:r w:rsidRPr="00722885">
        <w:rPr>
          <w:rFonts w:ascii="Times New Roman" w:hAnsi="Times New Roman" w:cs="Times New Roman"/>
          <w:color w:val="000000" w:themeColor="text1"/>
          <w:sz w:val="16"/>
          <w:szCs w:val="16"/>
        </w:rPr>
        <w:softHyphen/>
        <w:t>тании. производится каждый раз с разрешения ГОКО.</w:t>
      </w:r>
    </w:p>
    <w:p w14:paraId="09C8964E" w14:textId="77777777" w:rsidR="00A57CE2" w:rsidRPr="00722885" w:rsidRDefault="00A57CE2" w:rsidP="00722885">
      <w:pPr>
        <w:pStyle w:val="47"/>
        <w:shd w:val="clear" w:color="auto" w:fill="auto"/>
        <w:tabs>
          <w:tab w:val="left" w:pos="1175"/>
        </w:tabs>
        <w:spacing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6. Все сношения с американскими и английскими органами по вопросам военно-технической информации Комиссия осущест</w:t>
      </w:r>
      <w:r w:rsidRPr="00722885">
        <w:rPr>
          <w:rFonts w:ascii="Times New Roman" w:hAnsi="Times New Roman" w:cs="Times New Roman"/>
          <w:color w:val="000000" w:themeColor="text1"/>
          <w:sz w:val="16"/>
          <w:szCs w:val="16"/>
        </w:rPr>
        <w:softHyphen/>
        <w:t>вляет через Наркомвнешторг СССР, который обяэан выполнять по</w:t>
      </w:r>
      <w:r w:rsidRPr="00722885">
        <w:rPr>
          <w:rFonts w:ascii="Times New Roman" w:hAnsi="Times New Roman" w:cs="Times New Roman"/>
          <w:color w:val="000000" w:themeColor="text1"/>
          <w:sz w:val="16"/>
          <w:szCs w:val="16"/>
        </w:rPr>
        <w:softHyphen/>
        <w:t>ручения Комиссии, даваемые ею во исполнение решений ГОКО (19372).</w:t>
      </w:r>
    </w:p>
    <w:p w14:paraId="6F3AE5DB" w14:textId="77777777" w:rsidR="00A57CE2" w:rsidRPr="00722885" w:rsidRDefault="00A57CE2" w:rsidP="00722885">
      <w:pPr>
        <w:spacing w:after="0" w:line="240" w:lineRule="auto"/>
        <w:jc w:val="both"/>
        <w:rPr>
          <w:rFonts w:ascii="Times New Roman" w:hAnsi="Times New Roman"/>
          <w:color w:val="000000" w:themeColor="text1"/>
          <w:sz w:val="16"/>
          <w:szCs w:val="16"/>
        </w:rPr>
      </w:pPr>
    </w:p>
    <w:p w14:paraId="4190F3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октября 1942 года было получено:</w:t>
      </w:r>
    </w:p>
    <w:p w14:paraId="70D0BF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СТРОГО СЕКРЕТНОЕ И ЛИЧНОЕ ПОСЛАНИЕ ОТ ПРЕМЬЕР-МИНИСТРА г-на УИНСТОНА ЧЕРЧИЛЛЯ г-ну СТАЛИНУ</w:t>
      </w:r>
    </w:p>
    <w:p w14:paraId="13470F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Мне следовало бы дополнительно сообщить Вам, что каждый из 150 “Спитфайеров”вооружен двумя пушками и четырьмя пулеметами (7430).</w:t>
      </w:r>
    </w:p>
    <w:p w14:paraId="282EC796" w14:textId="77777777" w:rsidR="00090C9B" w:rsidRPr="00722885" w:rsidRDefault="00090C9B" w:rsidP="00722885">
      <w:pPr>
        <w:pStyle w:val="Iauiue"/>
        <w:jc w:val="both"/>
        <w:rPr>
          <w:color w:val="000000" w:themeColor="text1"/>
          <w:sz w:val="16"/>
          <w:szCs w:val="16"/>
        </w:rPr>
      </w:pPr>
    </w:p>
    <w:p w14:paraId="25AB9F4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40971AE" w14:textId="77777777" w:rsidR="00090C9B" w:rsidRPr="00722885" w:rsidRDefault="00090C9B" w:rsidP="00722885">
      <w:pPr>
        <w:pStyle w:val="Iauiue"/>
        <w:jc w:val="both"/>
        <w:rPr>
          <w:iCs/>
          <w:color w:val="000000" w:themeColor="text1"/>
          <w:sz w:val="16"/>
          <w:szCs w:val="16"/>
        </w:rPr>
      </w:pPr>
    </w:p>
    <w:p w14:paraId="395AFDB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октября 1942 японский разведовательной гидроплан, запущенный с подводной лодки, пролетел над Перл Харбором. Пилот сообщил о наличии кораблей, но потом пропал (2100).</w:t>
      </w:r>
    </w:p>
    <w:p w14:paraId="72C4700E" w14:textId="77777777" w:rsidR="00090C9B" w:rsidRPr="00722885" w:rsidRDefault="00090C9B" w:rsidP="00722885">
      <w:pPr>
        <w:pStyle w:val="Iauiue"/>
        <w:jc w:val="both"/>
        <w:rPr>
          <w:color w:val="000000" w:themeColor="text1"/>
          <w:sz w:val="16"/>
          <w:szCs w:val="16"/>
        </w:rPr>
      </w:pPr>
    </w:p>
    <w:p w14:paraId="750BBE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октября 1942 Минобороны США решил вооружить еще 30 китайских дивизий (2261).</w:t>
      </w:r>
    </w:p>
    <w:p w14:paraId="5EA09FF0" w14:textId="77777777" w:rsidR="00090C9B" w:rsidRPr="00722885" w:rsidRDefault="00090C9B" w:rsidP="00722885">
      <w:pPr>
        <w:pStyle w:val="Iauiue"/>
        <w:jc w:val="both"/>
        <w:rPr>
          <w:color w:val="000000" w:themeColor="text1"/>
          <w:sz w:val="16"/>
          <w:szCs w:val="16"/>
        </w:rPr>
      </w:pPr>
    </w:p>
    <w:p w14:paraId="5324A73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02F811C" w14:textId="77777777" w:rsidR="00090C9B" w:rsidRPr="00722885" w:rsidRDefault="00090C9B" w:rsidP="00722885">
      <w:pPr>
        <w:pStyle w:val="Iauiue"/>
        <w:jc w:val="both"/>
        <w:rPr>
          <w:iCs/>
          <w:color w:val="000000" w:themeColor="text1"/>
          <w:sz w:val="16"/>
          <w:szCs w:val="16"/>
        </w:rPr>
      </w:pPr>
    </w:p>
    <w:p w14:paraId="7978D5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октября 1942 согласно журнала наблюдения за проектированием, постройкой и испытаниями МиГ-5 2АМ-37 и 2М-82 1-й вариант ДИС (МиГ-5) без изменений. 2-й вариант: производились работы:</w:t>
      </w:r>
    </w:p>
    <w:p w14:paraId="2B9ECB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переделка дренажа мотоустановки и электроуправление жалюзи,</w:t>
      </w:r>
    </w:p>
    <w:p w14:paraId="05F757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переделка кинематики щитков шасси и костыля,</w:t>
      </w:r>
    </w:p>
    <w:p w14:paraId="7CF30B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переделка дренажа бензосистемы,</w:t>
      </w:r>
    </w:p>
    <w:p w14:paraId="130E54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доводка вооружения,</w:t>
      </w:r>
    </w:p>
    <w:p w14:paraId="27CB67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переделка вооружения (990,8).</w:t>
      </w:r>
    </w:p>
    <w:p w14:paraId="414970F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97EA7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 октября 1942 вышел приказ НКАП и Командующего ВВС N 791/0043 об образовании комиссии для проведения официальных совместных 50 часовых испытаний мотора М-107А 26 завода (915,3).</w:t>
      </w:r>
    </w:p>
    <w:p w14:paraId="4AF3F8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 исполнение постановления ГКО №...., приказываю:</w:t>
      </w:r>
    </w:p>
    <w:p w14:paraId="0C9075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Для проведения официальных совместных 50-часовых испытаний мотора М-107А производства завода № 26 назначить комиссию в следующем составе:</w:t>
      </w:r>
    </w:p>
    <w:p w14:paraId="1D09E1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Председатель - П.Н.Никифоров врио НИИ ВВС</w:t>
      </w:r>
    </w:p>
    <w:p w14:paraId="1F1790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Члены:</w:t>
      </w:r>
    </w:p>
    <w:p w14:paraId="661B68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w:t>
      </w:r>
    </w:p>
    <w:p w14:paraId="4479A1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Комиссии приступить к испытанию мотора М-107А немедленно.</w:t>
      </w:r>
    </w:p>
    <w:p w14:paraId="093A78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Отчет и выводы представить в 10-дневный срок по окончанию испытания</w:t>
      </w:r>
    </w:p>
    <w:p w14:paraId="232601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Подписали:</w:t>
      </w:r>
    </w:p>
    <w:p w14:paraId="0414A2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Зам. НКАП В.Кузнецов</w:t>
      </w:r>
    </w:p>
    <w:p w14:paraId="26A742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Командующего ВВС КА (915,3).</w:t>
      </w:r>
    </w:p>
    <w:p w14:paraId="79BD7612" w14:textId="77777777" w:rsidR="00090C9B" w:rsidRPr="00722885" w:rsidRDefault="00090C9B" w:rsidP="00722885">
      <w:pPr>
        <w:pStyle w:val="Iauiue"/>
        <w:jc w:val="both"/>
        <w:rPr>
          <w:color w:val="000000" w:themeColor="text1"/>
          <w:sz w:val="16"/>
          <w:szCs w:val="16"/>
        </w:rPr>
      </w:pPr>
    </w:p>
    <w:p w14:paraId="7467838D"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октября 1942 г., в письме, направленном в Государственный Комитет Обороны СССР, в то время заместитель главного конструктора завода №290 НКАП Михаил Леонтьевич Миль писал:</w:t>
      </w:r>
    </w:p>
    <w:p w14:paraId="422EB188"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«Предлагаю применить на фронте противо</w:t>
      </w:r>
      <w:hyperlink r:id="rId132"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овое ружье, стреляющее реактивными снарядами РС-82».</w:t>
      </w:r>
    </w:p>
    <w:p w14:paraId="145D8B3F"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«…Подобная установка может быть применена не только, как противо</w:t>
      </w:r>
      <w:hyperlink r:id="rId133"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овое ружье, но и для стрельбы по ДОТам для обеспечения продвижения пехоты; может быть, благодаря своему малому весу, поставлена на легкие суда и моторные лодки, применена для стрельбы на дистанциях 1000—1500 м по пехоте и скоплениям противника в горных районах, где доставка обычной артиллерии затруднена».</w:t>
      </w:r>
    </w:p>
    <w:p w14:paraId="63B3A562"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Копии данного письма 3 ноября 1942 г. были отправлены в ЦК ВКБ(б) и отдел военных изобретений Государственного Комитета Обороны. Они были заверены секретарем О. Разумовской с ремаркой:</w:t>
      </w:r>
    </w:p>
    <w:p w14:paraId="7DDC94F6"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испытания в Свердловске проведены и показали благоприятные результаты» (15595).</w:t>
      </w:r>
    </w:p>
    <w:p w14:paraId="124BA4F2"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7B0389E3"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20 октября 1942 г. (с 15 августа 1942 г. - момента зарождения идеи) М.Л. Миль и СВ. Пасхин разработали, создали и провели огневые испытания трех различных вариантов своего СРГ. «Эти испытания показали необходимость доводки образцов, которая сейчас производится», - говорилось в документе, датированном 28 ноября 1942 г. Там же упоминается, что 15 августа полное описание изобретения уже было послано в отдел военных изобретений ГКО, т.е. «идея созрела» намного раньше.</w:t>
      </w:r>
    </w:p>
    <w:p w14:paraId="51CDCF96"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вариант установки Миля-Пасхина, названный МП82-1-1, был выполнен на легком с</w:t>
      </w:r>
      <w:hyperlink r:id="rId134"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е в виде треноги. Общая масса СРГ — 14,4 кг, прицел — простейший кольцевой, с шариковой мушкой (аналогичной авиационной флюгер-мушке) на конце силовой балки орудия - не учитывал изменений в дистанции стрельбы. То есть, он был рассчитан на стрельбу с расстояния 150-200 м. Прицеливание осуществлялось через оргстекло окна в защитном щитке. Заряжание СРГ было организовано с дульной части, для чего на боевой позиции второму номеру расчета с боекомплектом следовало располагаться спереди-сбоку «в отдельно отрытом окопчике» или просто лежать на земле. После выстрела стрелок должен был опустить и отвести ствол ракетного орудия в сторону лежащего рядом второго номера расчета. Пока тот заряжал снаряд в направляющую, стрелок перезаряжал пиропистолет.</w:t>
      </w:r>
    </w:p>
    <w:p w14:paraId="5FA18CB9"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Второй вариант этой установки назывался МП82-2-1. Он был выполнен на колесном с</w:t>
      </w:r>
      <w:hyperlink r:id="rId135"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е, который при необходимости можно было поставить на лыжи, и весил 20,4 кг. Прицел — с металлическим ограждением мушки, в большей степени отвечал специфике эксплуатации оружия в пехотных частях. Этим же требованиям отвечали и колеса большого диаметра у с</w:t>
      </w:r>
      <w:hyperlink r:id="rId136"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обладавшие лучшей «проходимостью» при его перевозке по полю боя в распутицу. Щиток был доработан и частично прикрывал голову стрелка. Для лучшего удержания при выстреле орудие было дополнено одной вертикальной рукояткой, как у с</w:t>
      </w:r>
      <w:hyperlink r:id="rId137"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пулеметов. Теперь стрелок правой рукой обхватывал шейку приклада, а левой держался за рукоятку. Длина СРГ - 2050 мм, наибольшая ширина (по сошнику) - 1000 мм, высота по щитку - 590 мм, линия огня проходила в 250 мм параллельно земле.</w:t>
      </w:r>
    </w:p>
    <w:p w14:paraId="53A0903D"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особенности конструкции не позволяли выполнить сошник с</w:t>
      </w:r>
      <w:hyperlink r:id="rId138"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складным, и легкий СРГ из-за этого производил впечатление чересчур громоздкого. Кроме того, в общей массе гранатомета не учитывался аккумулятор для питания цепи воспламенения пиропатрона (малогабаритных источников питания напряжением минимум 6 В, необходимых для срабатывания пиропатрона, тогда еще делать не умели), а он добавил бы еще 5-7 кг. Исправить это положение могла бы замена щелочного аккумулятора вдвое более легкой подрывной машинкой, но о ней у конструкторов речи не шло...</w:t>
      </w:r>
    </w:p>
    <w:p w14:paraId="51CA57BD"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Более поздний вариант этой установки, чертежи которого датированы 20 октября 1942 г., был доработан в отношении снижения массы конструкции и повышения ее компактности. Так, сошник с</w:t>
      </w:r>
      <w:hyperlink r:id="rId139"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был спроектирован складным, в рукоятку вмонтировали механизм вертикальной наводки ракетного орудия, соединения основных узлов СРГ пришлось упрочнить (очевидно, по результатам первых пробных стрельб). Все это, вне сомнения, утяжелило конструкцию. Чтобы остаться в прежних весовых пределах, Миль и Пасхин уменьшили диаметр колес с</w:t>
      </w:r>
      <w:hyperlink r:id="rId140"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и габариты щитка, за счет чего общая высота установки уменьшилась до 500 мм. Ширина лобовой части щитка существенно уменьшилась, и застекленное смотровое окно в нем превратилось в узкую вертикальную щель.</w:t>
      </w:r>
    </w:p>
    <w:p w14:paraId="5A94D6DC"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Третий вариант СРГ МП82-2-46 с перезарядкой с казенной части и барабаном револьверного типа на пиропистолете с «ударными пиропатронами», судя по маркировке, также относился ко второму варианту установки. Однако недоработанные чертежи и отсутствие упоминаний об этом варианте СРГ в отчетах по стрельбе наводят на мысль, что данная установка не была реализована в металле и считалась лишь концепт-проектом. В ее конструкции были полностью исключены тяжелый и громоздкий аккумулятор и электроцепи запуска реактивного снаряда. Ствол пиропистолета был соединен с барабаном револьвера, который заряжали холостыми патронами, что позволяло полностью отказаться от электрической части СРГ.</w:t>
      </w:r>
    </w:p>
    <w:p w14:paraId="1B0390AA"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вариант гранатомета был в максимальной степени ориентирован на сокращение численности обслуживающего персонала. То есть, по мнению разработчиков, второй номер расчета теперь не требовался. Для перезаряжания ракетного орудия с казенной части Миль и Пасхин предложили выполнить нижнюю часть защитного щитка, а также пиропистолет откидными, с приводом от рукоятки вертикальной наводки ружья. На их чертеже это отражено лишь декларативно, и более подробные проработки на уровне сборочного чертежа отсутствуют. Очень похоже, что МП82-2-46 и был третьим вариантом СРГ, поскольку его чертежей и описаний не сохранилось, не упоминается о нем и в переписке.</w:t>
      </w:r>
    </w:p>
    <w:p w14:paraId="72D17BF5"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тем «милевский» концепт-проект МП82-2-46 был технически очень сложным: откидная часть защитного щитка мешала зарядке пиропистолета.</w:t>
      </w:r>
    </w:p>
    <w:p w14:paraId="698D5AAA"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Возможно, выходом из положения они видели вариант СРГ с повернутыми вверх полозками ракетного орудия. Чертежей такой установки нет, но о ней упоминается в письме М.Л. Миля, датированном 28 ноября 1942 г. и адресованном Военному Совету Уральского военного округа, «...балка может быть расположена полозками вниз или вверх или вращающаяся на продольной оси с целью удобства заряжания ружья с казенной части».</w:t>
      </w:r>
    </w:p>
    <w:p w14:paraId="6EDC24EA"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Четвертый вариант СРГ под названием МП82-4-1 был выполнен с оптическим прицелом, на лыжном с</w:t>
      </w:r>
      <w:hyperlink r:id="rId141"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е и с винтовочным затвором для применения холостых винтовочных патронов (или авиационных капсюльных ПП-1) для запуска реактивных снарядов. Именно эту установку использовали с целью демонстрации возможностей однозарядного СРГ Миля-Пасхина на сравнительных испытаниях 14-18 декабря 1942 г. Высота линии огня от земли — 250 мм, высота всей установки - 540 мм, длина гранатомета - 2,0 м, масса ружья со щитком - 11 кг, общая масса установки - 21 кг. В этом варианте установки для транспортировки ружье со щитком легко снимались со с</w:t>
      </w:r>
      <w:hyperlink r:id="rId142"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w:t>
      </w:r>
    </w:p>
    <w:p w14:paraId="0E811A33"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Правда, в отличие от проекта, на испытаниях она была оснащена аккумулятором и электрической частью с боевой кнопкой. При стрельбе из этой, а также других установок были отмечены случаи разрывов пиропатронов внутри пиропистолета, случай обрыва электропроводки при выстреле, а также один случай разрыва пиропистолета. Поэтому размещение пиропистолета в непосредственной близости от лица стреляющего конструкторы в дальнейшем посчитали недопустимым.</w:t>
      </w:r>
    </w:p>
    <w:p w14:paraId="09D6CD4E"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Обрывы проводов при выстреле здесь выглядят довольно странными. При эксплуатации аналогичных ракетных орудий под крылом самолетов ВВС Красной Армии обрыв проводов также не являлся редкостью, но там электропроводка не закрывалась щитком. А разрывов пиропатронов в стволе пиропистолета или разрывов самого пиропистолета, выполненного на ранних моделях орудия из литого силумина, а на поздних — из жаропрочной стали, в ВВС не было отмечено ни разу.</w:t>
      </w:r>
    </w:p>
    <w:p w14:paraId="108ED459"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этой установки на прицельность проходили в виде стрельбы по щиту размером 6× 4,5 м. В его центре было нарисовано яблоко диаметром 250 мм. Стреляли в середине декабря с дистанции 100 м на полигоне в Билимбае после тщательной холодной пристрелки. Оружие было снабжено прицелом выпуска 1941 г. для снайперской винтовки.</w:t>
      </w:r>
    </w:p>
    <w:p w14:paraId="527517D9"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трехзарядный вариант гранатомета МП82 рабочих чертежей не сохранилось, не упоминается и его полное наименование, но имеются эскизы и наброски, а также описание установки. Судя по всему, это и был пятый вариант СРГ. Фотографии установки и отчет по стрельбе свидетельствуют, что этот гранатомет также был реализован в металле.</w:t>
      </w:r>
    </w:p>
    <w:p w14:paraId="7120BE8A"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стволе этого СРГ был на подшипниках закреплен барабан с тремя однозарядными пусковыми РО-82. Стрельбу из них вели последовательно, что, по утверждению создателей, «обеспечивало большую скорострельность и тем увеличивало вероятность поражения </w:t>
      </w:r>
      <w:hyperlink r:id="rId143"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Ствольная часть была легкосъемной и вместо приклада оснащена ручками, как у с</w:t>
      </w:r>
      <w:hyperlink r:id="rId144"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пулеметов (на эскизах он прорабатывался с прикладом). Стрельбой управляли от кнопки, инициируя срабатывание пиропатрона от аккумулятора. Поскольку мушку на такой конструкции установить было проблематично, на испытаниях приспособили коллиматорный авиационный прицел. Высота линии огня - 250 мм, высота общая СРГ - 590 мм, длина всей установки -2,4 м, ширина - 700 мм, масса ствольной части — 18 кг, с</w:t>
      </w:r>
      <w:hyperlink r:id="rId145"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 30 кг, общая масса - 48 кг.</w:t>
      </w:r>
    </w:p>
    <w:p w14:paraId="103AA4C1"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отличие от однозарядного варианта, щиток был неподвижен и выполнял роль несущей конструкции рамного типа, обшитой стальными листами. К сожалению, вид сверху отсутствует, и можно только предполагать, что правое и левое крылья щитка были симметричными, поскольку на реализованном образце СРГ клинья сошника располагались внутри щитка. Защитное стекло щитка на проекте располагалось под углом к потоку продуктов горения ракетных зарядов боеприпасов, но на реальном образце его установили под прямым углом. Это было сделано с целью избежать появления бликов при оснащении СРГ коллиматорным прицелом. То есть, здесь пригодился «авиационный опыт».</w:t>
      </w:r>
    </w:p>
    <w:p w14:paraId="34CF33E4"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Из трехзарядной установки на сравнительных испытаниях 14-18 декабря 1942 г. было выполнено четыре выстрела реактивными снарядами РОС-82 (один выстрел — с дистанционным управлением и три - стрелком). Данная установка продемонстрировала удовлетворительную устойчивость и безопасность. «Прицельность установки» не отрабатывали из-за ограниченного количества боеприпасов (15595).</w:t>
      </w:r>
    </w:p>
    <w:p w14:paraId="0C067903"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6F5D30FE" w14:textId="77777777" w:rsidR="00DE07AA" w:rsidRPr="00722885" w:rsidRDefault="00DE07AA" w:rsidP="00722885">
      <w:pPr>
        <w:pStyle w:val="ae"/>
        <w:spacing w:before="0" w:after="0"/>
        <w:jc w:val="both"/>
        <w:textAlignment w:val="baseline"/>
        <w:rPr>
          <w:color w:val="000000" w:themeColor="text1"/>
          <w:sz w:val="16"/>
          <w:szCs w:val="16"/>
        </w:rPr>
      </w:pPr>
      <w:r w:rsidRPr="00722885">
        <w:rPr>
          <w:rStyle w:val="a7"/>
          <w:rFonts w:eastAsiaTheme="majorEastAsia"/>
          <w:b w:val="0"/>
          <w:iCs/>
          <w:color w:val="000000" w:themeColor="text1"/>
          <w:sz w:val="16"/>
          <w:szCs w:val="16"/>
          <w:bdr w:val="none" w:sz="0" w:space="0" w:color="auto" w:frame="1"/>
        </w:rPr>
        <w:t>20 октября 1942 г. в письме, направленном в Государственный Комитет Обороны СССР, в то время заместитель главного конструктора завода №290 НКАП Михаил Леонтьевич Миль так говорил об этом: </w:t>
      </w:r>
    </w:p>
    <w:p w14:paraId="652D765C" w14:textId="77777777" w:rsidR="00DE07AA" w:rsidRPr="00722885" w:rsidRDefault="00DE07AA" w:rsidP="00722885">
      <w:pPr>
        <w:pStyle w:val="ae"/>
        <w:spacing w:before="0" w:after="0"/>
        <w:jc w:val="both"/>
        <w:textAlignment w:val="baseline"/>
        <w:rPr>
          <w:color w:val="000000" w:themeColor="text1"/>
          <w:sz w:val="16"/>
          <w:szCs w:val="16"/>
        </w:rPr>
      </w:pPr>
      <w:r w:rsidRPr="00722885">
        <w:rPr>
          <w:rStyle w:val="a7"/>
          <w:rFonts w:eastAsiaTheme="majorEastAsia"/>
          <w:b w:val="0"/>
          <w:iCs/>
          <w:color w:val="000000" w:themeColor="text1"/>
          <w:sz w:val="16"/>
          <w:szCs w:val="16"/>
          <w:bdr w:val="none" w:sz="0" w:space="0" w:color="auto" w:frame="1"/>
        </w:rPr>
        <w:t>«Предлагаю применить на фронте противо</w:t>
      </w:r>
      <w:hyperlink r:id="rId146" w:history="1">
        <w:r w:rsidRPr="00722885">
          <w:rPr>
            <w:rStyle w:val="a5"/>
            <w:rFonts w:eastAsiaTheme="majorEastAsia"/>
            <w:bCs/>
            <w:iCs/>
            <w:color w:val="000000" w:themeColor="text1"/>
            <w:sz w:val="16"/>
            <w:szCs w:val="16"/>
            <w:bdr w:val="none" w:sz="0" w:space="0" w:color="auto" w:frame="1"/>
          </w:rPr>
          <w:t>танк</w:t>
        </w:r>
      </w:hyperlink>
      <w:r w:rsidRPr="00722885">
        <w:rPr>
          <w:rStyle w:val="a7"/>
          <w:rFonts w:eastAsiaTheme="majorEastAsia"/>
          <w:b w:val="0"/>
          <w:iCs/>
          <w:color w:val="000000" w:themeColor="text1"/>
          <w:sz w:val="16"/>
          <w:szCs w:val="16"/>
          <w:bdr w:val="none" w:sz="0" w:space="0" w:color="auto" w:frame="1"/>
        </w:rPr>
        <w:t>овое ружье, стреляющее реактивными снарядами РС-82». </w:t>
      </w:r>
    </w:p>
    <w:p w14:paraId="1C228B74" w14:textId="77777777" w:rsidR="00DE07AA" w:rsidRPr="00722885" w:rsidRDefault="00DE07AA" w:rsidP="00722885">
      <w:pPr>
        <w:pStyle w:val="ae"/>
        <w:spacing w:before="0" w:after="0"/>
        <w:jc w:val="both"/>
        <w:textAlignment w:val="baseline"/>
        <w:rPr>
          <w:color w:val="000000" w:themeColor="text1"/>
          <w:sz w:val="16"/>
          <w:szCs w:val="16"/>
        </w:rPr>
      </w:pPr>
      <w:r w:rsidRPr="00722885">
        <w:rPr>
          <w:rStyle w:val="a7"/>
          <w:rFonts w:eastAsiaTheme="majorEastAsia"/>
          <w:b w:val="0"/>
          <w:iCs/>
          <w:color w:val="000000" w:themeColor="text1"/>
          <w:sz w:val="16"/>
          <w:szCs w:val="16"/>
          <w:bdr w:val="none" w:sz="0" w:space="0" w:color="auto" w:frame="1"/>
        </w:rPr>
        <w:t>И далее: </w:t>
      </w:r>
    </w:p>
    <w:p w14:paraId="744CA76C" w14:textId="77777777" w:rsidR="00DE07AA" w:rsidRPr="00722885" w:rsidRDefault="00DE07AA" w:rsidP="00722885">
      <w:pPr>
        <w:pStyle w:val="ae"/>
        <w:spacing w:before="0" w:after="0"/>
        <w:jc w:val="both"/>
        <w:textAlignment w:val="baseline"/>
        <w:rPr>
          <w:color w:val="000000" w:themeColor="text1"/>
          <w:sz w:val="16"/>
          <w:szCs w:val="16"/>
        </w:rPr>
      </w:pPr>
      <w:r w:rsidRPr="00722885">
        <w:rPr>
          <w:rStyle w:val="a7"/>
          <w:rFonts w:eastAsiaTheme="majorEastAsia"/>
          <w:b w:val="0"/>
          <w:iCs/>
          <w:color w:val="000000" w:themeColor="text1"/>
          <w:sz w:val="16"/>
          <w:szCs w:val="16"/>
          <w:bdr w:val="none" w:sz="0" w:space="0" w:color="auto" w:frame="1"/>
        </w:rPr>
        <w:t>«Подобная установка может быть применена не только, как противо</w:t>
      </w:r>
      <w:hyperlink r:id="rId147" w:history="1">
        <w:r w:rsidRPr="00722885">
          <w:rPr>
            <w:rStyle w:val="a5"/>
            <w:rFonts w:eastAsiaTheme="majorEastAsia"/>
            <w:bCs/>
            <w:iCs/>
            <w:color w:val="000000" w:themeColor="text1"/>
            <w:sz w:val="16"/>
            <w:szCs w:val="16"/>
            <w:bdr w:val="none" w:sz="0" w:space="0" w:color="auto" w:frame="1"/>
          </w:rPr>
          <w:t>танк</w:t>
        </w:r>
      </w:hyperlink>
      <w:r w:rsidRPr="00722885">
        <w:rPr>
          <w:rStyle w:val="a7"/>
          <w:rFonts w:eastAsiaTheme="majorEastAsia"/>
          <w:b w:val="0"/>
          <w:iCs/>
          <w:color w:val="000000" w:themeColor="text1"/>
          <w:sz w:val="16"/>
          <w:szCs w:val="16"/>
          <w:bdr w:val="none" w:sz="0" w:space="0" w:color="auto" w:frame="1"/>
        </w:rPr>
        <w:t>овое ружье, но и для стрельбы по ДОТам для обеспечения продвижения пехоты; может быть, благодаря своему малому весу, поставлена на легкие суда и моторные лодки, применена для стрельбы на дистанциях 1000—1500 м по пехоте и скоплениям противника в горных районах, где доставка обычной артиллерии затруднена».</w:t>
      </w:r>
    </w:p>
    <w:p w14:paraId="3BBFC29C" w14:textId="77777777" w:rsidR="00DE07AA" w:rsidRPr="00722885" w:rsidRDefault="00DE07AA" w:rsidP="00722885">
      <w:pPr>
        <w:pStyle w:val="ae"/>
        <w:spacing w:before="0" w:after="0"/>
        <w:jc w:val="both"/>
        <w:textAlignment w:val="baseline"/>
        <w:rPr>
          <w:color w:val="000000" w:themeColor="text1"/>
          <w:sz w:val="16"/>
          <w:szCs w:val="16"/>
        </w:rPr>
      </w:pPr>
      <w:r w:rsidRPr="00722885">
        <w:rPr>
          <w:rStyle w:val="a7"/>
          <w:rFonts w:eastAsiaTheme="majorEastAsia"/>
          <w:b w:val="0"/>
          <w:iCs/>
          <w:color w:val="000000" w:themeColor="text1"/>
          <w:sz w:val="16"/>
          <w:szCs w:val="16"/>
          <w:bdr w:val="none" w:sz="0" w:space="0" w:color="auto" w:frame="1"/>
        </w:rPr>
        <w:t>Копии данного письма 3 ноября 1942 г. были отправлены в ЦК ВКБ(б) и отдел военных изобретений Государственного Комитета Обороны. Они были заверены секретарем О. Разумовской с ремаркой: </w:t>
      </w:r>
    </w:p>
    <w:p w14:paraId="4699B58F" w14:textId="77777777" w:rsidR="00DE07AA" w:rsidRPr="00722885" w:rsidRDefault="00DE07AA" w:rsidP="00722885">
      <w:pPr>
        <w:pStyle w:val="ae"/>
        <w:spacing w:before="0" w:after="0"/>
        <w:jc w:val="both"/>
        <w:textAlignment w:val="baseline"/>
        <w:rPr>
          <w:rStyle w:val="a7"/>
          <w:rFonts w:eastAsiaTheme="majorEastAsia"/>
          <w:b w:val="0"/>
          <w:iCs/>
          <w:color w:val="000000" w:themeColor="text1"/>
          <w:sz w:val="16"/>
          <w:szCs w:val="16"/>
          <w:bdr w:val="none" w:sz="0" w:space="0" w:color="auto" w:frame="1"/>
        </w:rPr>
      </w:pPr>
      <w:r w:rsidRPr="00722885">
        <w:rPr>
          <w:rStyle w:val="a7"/>
          <w:rFonts w:eastAsiaTheme="majorEastAsia"/>
          <w:b w:val="0"/>
          <w:iCs/>
          <w:color w:val="000000" w:themeColor="text1"/>
          <w:sz w:val="16"/>
          <w:szCs w:val="16"/>
          <w:bdr w:val="none" w:sz="0" w:space="0" w:color="auto" w:frame="1"/>
        </w:rPr>
        <w:t>«В настоящее время испытания в Свердловске проведены и показали благоприятные результаты» (18989).</w:t>
      </w:r>
    </w:p>
    <w:p w14:paraId="11D71574" w14:textId="77777777" w:rsidR="00DE07AA" w:rsidRPr="00722885" w:rsidRDefault="00DE07AA" w:rsidP="00722885">
      <w:pPr>
        <w:pStyle w:val="ae"/>
        <w:spacing w:before="0" w:after="0"/>
        <w:jc w:val="both"/>
        <w:textAlignment w:val="baseline"/>
        <w:rPr>
          <w:color w:val="000000" w:themeColor="text1"/>
          <w:sz w:val="16"/>
          <w:szCs w:val="16"/>
        </w:rPr>
      </w:pPr>
    </w:p>
    <w:p w14:paraId="035EC934"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К 20 октября 1942 г. С момента зарождения идеи (15 августа 1942 г.) М.Л. Миль и С.В. Пасхин разработали, создали и провели огневые испытания трех различных вариантов своего СРГ. «Эти испытания показали необходимость доводки образцов, которая сейчас производится», — говорилось в документе, датированном 28 ноября 1942 г. Там же упоминается, что 15 августа полное описание изобретения уже было послано в отдел военных изобретений ГКО, т.е. «идея созрела» намного раньше.</w:t>
      </w:r>
    </w:p>
    <w:p w14:paraId="66597CFF"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Первый вариант установки Миля-Пасхина, названный МП82-1-1, был выполнен на легком с</w:t>
      </w:r>
      <w:hyperlink r:id="rId148"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е в виде треноги. Общая масса СРГ — 14,4 кг, прицел — простейший кольцевой, с шариковой мушкой (аналогичной авиационной флюгер-мушке) на конце силовой балки орудия — не учитывал изменений в дистанции стрельбы. То есть, он был рассчитан на стрельбу с расстояния 150-200 м. Прицеливание осуществлялось через оргстекло окна в защитном щитке. Заряжание СРГ было организовано с дульной части, для чего на боевой позиции второму номеру расчета с боекомплектом следовало располагаться спереди-сбоку «в отдельно отрытом окопчике» или просто лежать на земле. После выстрела стрелок должен был опустить и отвести ствол ракетного орудия в сторону лежащего рядом второго номера расчета. Пока тот заряжал снаряд в направляющую, стрелок перезаряжал пиропистолет.</w:t>
      </w:r>
    </w:p>
    <w:p w14:paraId="121D29D1"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Второй вариант этой установки назывался МП82-2-1. Он был выполнен на колесном с</w:t>
      </w:r>
      <w:hyperlink r:id="rId149"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е, который при необходимости можно было поставить на лыжи, и весил 20,4 кг. Прицел — с металлическим ограждением мушки, в большей степени отвечал специфике эксплуатации оружия в пехотных частях. Этим же требованиям отвечали и колеса большого диаметра у с</w:t>
      </w:r>
      <w:hyperlink r:id="rId150"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 обладавшие лучшей «проходимостью» при его перевозке по полю боя в распутицу. Щиток был доработан и частично прикрывал голову стрелка. Для лучшего удержания при выстреле орудие было дополнено одной вертикальной рукояткой, как у с</w:t>
      </w:r>
      <w:hyperlink r:id="rId151"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овых пулеметов. Теперь стрелок правой рукой обхватывал шейку приклада, а левой держался за рукоятку. Длина СРГ — 2050 мм, наибольшая ширина (по сошнику) — 1000 мм, высота по щитку — 590 мм, линия огня проходила в 250 мм параллельно земле.</w:t>
      </w:r>
    </w:p>
    <w:p w14:paraId="03D9EEFA"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К сожалению, особенности конструкции не позволяли выполнить сошник с</w:t>
      </w:r>
      <w:hyperlink r:id="rId152"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 складным, и легкий СРГ из-за этого производил впечатление чересчур громоздкого. Кроме того, в общей массе гранатомета не учитывался аккумулятор для питания цепи воспламенения пиропатрона (малогабаритных источников питания напряжением минимум 6 В, необходимых для срабатывания пиропатрона, тогда еще делать не умели), а он добавил бы еще 5-7 кг. Исправить это положение могла бы замена щелочного аккумулятора вдвое более легкой подрывной машинкой, но о ней у конструкторов речи не шло…</w:t>
      </w:r>
    </w:p>
    <w:p w14:paraId="5AB19B33"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Более поздний вариант этой установки, чертежи которого датированы 20 октября 1942 г., был доработан в отношении снижения массы конструкции и повышения ее компактности. Так, сошник с</w:t>
      </w:r>
      <w:hyperlink r:id="rId153"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 был спроектирован складным, в рукоятку вмонтировали механизм вертикальной наводки ракетного орудия, соединения основных узлов СРГ пришлось упрочнить (очевидно, по результатам первых пробных стрельб). Все это, вне сомнения, утяжелило конструкцию. Чтобы остаться в прежних весовых пределах, Миль и Пасхин уменьшили диаметр колес с</w:t>
      </w:r>
      <w:hyperlink r:id="rId154"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 и габариты щитка, за счет чего общая высота установки уменьшилась до 500 мм. Ширина лобовой части щитка существенно уменьшилась, и застекленное смотровое окно в нем превратилось в узкую вертикальную щель.</w:t>
      </w:r>
    </w:p>
    <w:p w14:paraId="6A9BDE13"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Вспомнив, что пехота на передовой перед боем обязательно надевает стальные шлемы, конструкторы отказались от верхнего металлического козырька на защитном щитке. А зря — он играл роль элемента жесткости конструкции, а в пехоте отношение к ажурным конструкциям было не столь «дипломатичным», как в авиации. Убедившись в существенном понижении тяжелого реактивного снаряда на траектории из-за низкой начальной скорости при стрельбе с коротких направляющих с</w:t>
      </w:r>
      <w:hyperlink r:id="rId155"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 стоящего на месте, высоту мушки прицела решили уменьшить и снова отказались от ее металлического ограждения.</w:t>
      </w:r>
    </w:p>
    <w:p w14:paraId="78A363FA"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Третий вариант СРГ МП82-2-46 с перезарядкой с казенной части и барабаном револьверного типа на пиропистолете с «ударными пиропатронами», судя по маркировке, также относился ко второму варианту установки. Однако недоработанные чертежи и отсутствие упоминаний об этом варианте СРГ в отчетах по стрельбе наводят на мысль, что данная установка не была реализована в металле и считалась лишь концепт-проектом. В ее конструкции были полностью исключены тяжелый и громоздкий аккумулятор и электроцепи запуска реактивного снаряда. Ствол пиропистолета был соединен с барабаном револьвера, который заряжали холостыми патронами, что позволяло полностью отказаться от электрической части СРГ.</w:t>
      </w:r>
    </w:p>
    <w:p w14:paraId="2F3F6F4C"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Этот вариант гранатомета был в максимальной степени ориентирован на сокращение численности обслуживающего персонала. То есть, по мнению разработчиков, второй номер расчета теперь не требовался. Для перезаряжания ракетного орудия с казенной части Миль и Пасхин предложили выполнить нижнюю часть защитного щитка, а также пиропистолет откидными, с приводом от рукоятки вертикальной наводки ружья. На их чертеже это отражено лишь декларативно, и более подробные проработки на уровне сборочного чертежа отсутствуют. Очень похоже, что МП82-2-46 и был третьим вариантом СРГ, поскольку его чертежей и описаний не сохранилось, не упоминается о нем и в переписке.</w:t>
      </w:r>
    </w:p>
    <w:p w14:paraId="2F9D8BA8"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Между тем «милевский» концепт-проект МП82-2-46 был технически очень сложным: откидная часть защитного щитка мешала зарядке пиропистолета.</w:t>
      </w:r>
    </w:p>
    <w:p w14:paraId="4A0365BA"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Возможно, выходом из положения они видели вариант СРГ с повернутыми вверх полозками ракетного орудия. Чертежей такой установки нет, но о ней упоминается в письме М.Л. Миля, датированном 28 ноября 1942 г. и адресованном Военному Совету Уральского военного округа, — </w:t>
      </w:r>
    </w:p>
    <w:p w14:paraId="7F626529"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«…балка может быть расположена полозками вниз или вверх или вращающаяся на продольной оси с целью удобства заряжания ружья с казенной части».</w:t>
      </w:r>
    </w:p>
    <w:p w14:paraId="7CCFD8DE"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Четвертый вариант СРГ под названием МП82-4-1 был выполнен с оптическим прицелом, на лыжном с</w:t>
      </w:r>
      <w:hyperlink r:id="rId156"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е и с винтовочным затвором для применения холостых винтовочных патронов (или авиационных капсюльных ПП-1) для запуска реактивных снарядов. Именно эту установку использовали с целью демонстрации возможностей однозарядного СРГ Миля-Пасхина на сравнительных испытаниях 14-18 декабря 1942 г. Высота линии огня от земли — 250 мм, высота всей установки — 540 мм, длина гранатомета — 2,0 м, масса ружья со щитком — 11 кг, общая масса установки — 21 кг. В этом варианте установки для транспортировки ружье со щитком легко снимались со с</w:t>
      </w:r>
      <w:hyperlink r:id="rId157"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w:t>
      </w:r>
    </w:p>
    <w:p w14:paraId="4CBFA9F8"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Правда, в отличие от проекта, на испытаниях она была оснащена аккумулятором и электрической частью с боевой кнопкой. При стрельбе из этой, а также других установок были отмечены случаи разрывов пиропатронов внутри пиропистолета, случай обрыва электропроводки при выстреле, а также один случай разрыва пиропистолета. Поэтому размещение пиропистолета в непосредственной близости от лица стреляющего конструкторы в дальнейшем посчитали недопустимым.</w:t>
      </w:r>
    </w:p>
    <w:p w14:paraId="6FE86988"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Обрывы проводов при выстреле здесь выглядят довольно странными. При эксплуатации аналогичных ракетных орудий под крылом самолетов ВВС Красной Армии обрыв проводов также не являлся редкостью, но там электропроводка не закрывалась щитком. А разрывов пиропатронов в стволе пиропистолета или разрывов самого пиропистолета, выполненного на ранних моделях орудия из литого силумина, а на поздних — из жаропрочной стали, в ВВС не было отмечено ни разу.</w:t>
      </w:r>
    </w:p>
    <w:p w14:paraId="42256976"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Испытания этой установки на прицельность проходили в виде стрельбы по щиту размером 6×4,5 м. В его центре было нарисовано яблоко диаметром 250 мм. Стреляли в середине декабря с дистанции 100 м на полигоне в Билимбае после тщательной холодной пристрелки. Оружие было снабжено прицелом выпуска 1941 г. для снайперской винтовки.</w:t>
      </w:r>
    </w:p>
    <w:p w14:paraId="304BB2CD"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На трехзарядный вариант гранатомета МП82 рабочих чертежей не сохранилось, не упоминается и его полное наименование, но имеются эскизы и наброски, а также описание установки. Судя по всему, это и был пятый вариант СРГ. Фотографии установки и отчет по стрельбе свидетельствуют, что этот гранатомет также был реализован в металле.</w:t>
      </w:r>
    </w:p>
    <w:p w14:paraId="631741A1"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На стволе этого СРГ был на подшипниках закреплен барабан с тремя однозарядными пусковыми РО-82. Стрельбу из них вели последовательно, что, по утверждению создателей, «обеспечивало большую скорострельность и тем увеличивало вероятность поражения </w:t>
      </w:r>
      <w:hyperlink r:id="rId158"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 Ствольная часть была легкосъемной и вместо приклада оснащена ручками, как у с</w:t>
      </w:r>
      <w:hyperlink r:id="rId159"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овых пулеметов (на эскизах он прорабатывался с прикладом). Стрельбой управляли от кнопки, инициируя срабатывание пиропатрона от аккумулятора. Поскольку мушку на такой конструкции установить было проблематично, на испытаниях приспособили коллиматорный авиационный прицел. Высота линии огня — 250 мм, высота общая СРГ — 590 мм, длина всей установки -2,4 м, ширина — 700 мм, масса ствольной части — 18 кг, с</w:t>
      </w:r>
      <w:hyperlink r:id="rId160"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 — 30 кг, общая масса — 48 кг.</w:t>
      </w:r>
    </w:p>
    <w:p w14:paraId="0E3DB18E"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 xml:space="preserve">В отличие от однозарядного варианта, щиток был неподвижен и выполнял роль несущей конструкции рамного типа, обшитой стальными листами. К сожалению, вид сверху отсутствует, и можно только предполагать, что правое и левое крылья щитка были симметричными, поскольку на реализованном образце СРГ клинья сошника располагались внутри щитка. Защитное стекло щитка на проекте располагалось под углом к потоку продуктов горения ракетных зарядов боеприпасов, но на реальном образце его установили под прямым углом. Это было сделано с целью избежать появления бликов при оснащении СРГ коллиматорным прицелом. То есть, здесь </w:t>
      </w:r>
      <w:r w:rsidRPr="00722885">
        <w:rPr>
          <w:color w:val="000000" w:themeColor="text1"/>
          <w:sz w:val="16"/>
          <w:szCs w:val="16"/>
        </w:rPr>
        <w:lastRenderedPageBreak/>
        <w:t>пригодился «авиационный опыт».</w:t>
      </w:r>
    </w:p>
    <w:p w14:paraId="6FD155EC" w14:textId="77777777" w:rsidR="00DE07AA" w:rsidRPr="00722885" w:rsidRDefault="00DE07AA" w:rsidP="00722885">
      <w:pPr>
        <w:pStyle w:val="ae"/>
        <w:spacing w:before="0" w:after="0"/>
        <w:jc w:val="both"/>
        <w:textAlignment w:val="baseline"/>
        <w:rPr>
          <w:color w:val="000000" w:themeColor="text1"/>
          <w:sz w:val="16"/>
          <w:szCs w:val="16"/>
        </w:rPr>
      </w:pPr>
      <w:r w:rsidRPr="00722885">
        <w:rPr>
          <w:color w:val="000000" w:themeColor="text1"/>
          <w:sz w:val="16"/>
          <w:szCs w:val="16"/>
        </w:rPr>
        <w:t>Из трехзарядной установки на сравнительных испытаниях 14-18 декабря 1942 г. было выполнено четыре выстрела реактивными снарядами РОС-82 (один выстрел — с дистанционным управлением и три — стрелком). Данная установка продемонстрировала удовлетворительную устойчивость и безопасность. «Прицельность установки» не отрабатывали из-за ограниченного количества боеприпасов (18989).</w:t>
      </w:r>
    </w:p>
    <w:p w14:paraId="4CDA278F" w14:textId="77777777" w:rsidR="00DE07AA" w:rsidRPr="00722885" w:rsidRDefault="00DE07AA" w:rsidP="00722885">
      <w:pPr>
        <w:pStyle w:val="ae"/>
        <w:spacing w:before="0" w:after="0"/>
        <w:jc w:val="both"/>
        <w:textAlignment w:val="baseline"/>
        <w:rPr>
          <w:color w:val="000000" w:themeColor="text1"/>
          <w:sz w:val="16"/>
          <w:szCs w:val="16"/>
        </w:rPr>
      </w:pPr>
    </w:p>
    <w:p w14:paraId="682C774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CE8F94C" w14:textId="77777777" w:rsidR="00090C9B" w:rsidRPr="00722885" w:rsidRDefault="00090C9B" w:rsidP="00722885">
      <w:pPr>
        <w:pStyle w:val="Iauiue"/>
        <w:jc w:val="both"/>
        <w:rPr>
          <w:iCs/>
          <w:color w:val="000000" w:themeColor="text1"/>
          <w:sz w:val="16"/>
          <w:szCs w:val="16"/>
        </w:rPr>
      </w:pPr>
    </w:p>
    <w:p w14:paraId="60B0A0E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октября 1942 г. были подготовлены ТАКТИКО-ТЕХНИЧЕСКИЕ ТРЕБОВАНИЯ К ТАНКУ ПОДВОДНОГО ХОЖДЕНИЯ</w:t>
      </w:r>
    </w:p>
    <w:p w14:paraId="731A15B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Для подводного хождения оборудуется серийный танк Т-34.</w:t>
      </w:r>
    </w:p>
    <w:p w14:paraId="4ABFC5C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Танк должен преодолевать водный рубеж, глубиной до 10 м и шириной до 2 км, по грунту — илистому песку.</w:t>
      </w:r>
    </w:p>
    <w:p w14:paraId="3A12407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Максимальный угол подъема и спуска в подводном положении на участке длиной до 30 м дол</w:t>
      </w:r>
      <w:r w:rsidRPr="00722885">
        <w:rPr>
          <w:rFonts w:ascii="Times New Roman" w:hAnsi="Times New Roman"/>
          <w:color w:val="000000" w:themeColor="text1"/>
          <w:sz w:val="16"/>
          <w:szCs w:val="16"/>
        </w:rPr>
        <w:softHyphen/>
        <w:t>жен составлять 15°.</w:t>
      </w:r>
    </w:p>
    <w:p w14:paraId="6940471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Скорость движения под водой при оборотах двигателя 1000-1300 об/мин, должна быть не менее 5-6 км/ч.</w:t>
      </w:r>
    </w:p>
    <w:p w14:paraId="61F4DF4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Установка необходимого для подводного хождения танка оборудования должна производить</w:t>
      </w:r>
      <w:r w:rsidRPr="00722885">
        <w:rPr>
          <w:rFonts w:ascii="Times New Roman" w:hAnsi="Times New Roman"/>
          <w:color w:val="000000" w:themeColor="text1"/>
          <w:sz w:val="16"/>
          <w:szCs w:val="16"/>
        </w:rPr>
        <w:softHyphen/>
        <w:t>ся силами экипажа и занимать не более 6-8 часов.</w:t>
      </w:r>
    </w:p>
    <w:p w14:paraId="0A25918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Переход танка в подводное положение должен производиться на ходу.</w:t>
      </w:r>
    </w:p>
    <w:p w14:paraId="5E4D153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Из танка, оборудованного для подводного хождения, необходимо иметь возможность вести артиллерийский огонь, непосредственно перед входом и по выходе танка из воды.</w:t>
      </w:r>
    </w:p>
    <w:p w14:paraId="4E333CF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Танк, оборудованный для подводного хождения, должен иметь возможность находиться в дви</w:t>
      </w:r>
      <w:r w:rsidRPr="00722885">
        <w:rPr>
          <w:rFonts w:ascii="Times New Roman" w:hAnsi="Times New Roman"/>
          <w:color w:val="000000" w:themeColor="text1"/>
          <w:sz w:val="16"/>
          <w:szCs w:val="16"/>
        </w:rPr>
        <w:softHyphen/>
        <w:t>жении на суше не менее 1-1,5 часов.</w:t>
      </w:r>
    </w:p>
    <w:p w14:paraId="1EB697B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Приспособления для подводного хождения не должны:</w:t>
      </w:r>
    </w:p>
    <w:p w14:paraId="5DE7F67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вызывать переделки моторной установки;</w:t>
      </w:r>
    </w:p>
    <w:p w14:paraId="26E8088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требовать уменьшения боекомплекта;</w:t>
      </w:r>
    </w:p>
    <w:p w14:paraId="2E9C0B3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стеснять работу экипажа.</w:t>
      </w:r>
    </w:p>
    <w:p w14:paraId="3366431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Температура воды и масла при движении танка под водой не должна превышать 90-100° С.</w:t>
      </w:r>
    </w:p>
    <w:p w14:paraId="7527F5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Температура внутри танка при движении под водой не должна превышать 40° С.</w:t>
      </w:r>
    </w:p>
    <w:p w14:paraId="18FF92B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Желательна возможность работы экипажа при движении под водой без кислородных масок.</w:t>
      </w:r>
    </w:p>
    <w:p w14:paraId="1FAD60C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Должна быть обеспечена возможность заводки двигателя под водой.</w:t>
      </w:r>
    </w:p>
    <w:p w14:paraId="5965D53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 пом. начальника 6 отдела БТУ ГАБТУ КА инженер-майор Ворошилов</w:t>
      </w:r>
    </w:p>
    <w:p w14:paraId="32B221B5"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11355. Д. 938. Л. 49. Копия (11211).</w:t>
      </w:r>
    </w:p>
    <w:p w14:paraId="76C3FE75" w14:textId="77777777" w:rsidR="00090C9B" w:rsidRPr="00722885" w:rsidRDefault="00090C9B" w:rsidP="00722885">
      <w:pPr>
        <w:pStyle w:val="afff2"/>
        <w:jc w:val="both"/>
        <w:rPr>
          <w:i w:val="0"/>
          <w:iCs w:val="0"/>
          <w:color w:val="000000" w:themeColor="text1"/>
          <w:spacing w:val="0"/>
          <w:kern w:val="0"/>
          <w:position w:val="0"/>
          <w:sz w:val="16"/>
          <w:szCs w:val="16"/>
        </w:rPr>
      </w:pPr>
    </w:p>
    <w:p w14:paraId="5805C9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октября 1942 вышло Решение. № 2431 Об освобождении Канашского вагоноремонтного завода. от капитального ремонта танков Т-34..РГАНИР, Фонд ГКО, д. 65, лл. 24 (11012).</w:t>
      </w:r>
    </w:p>
    <w:p w14:paraId="7108D0C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A3F91BA" w14:textId="77777777" w:rsidR="00F957E4" w:rsidRPr="00722885" w:rsidRDefault="00F957E4" w:rsidP="00722885">
      <w:pPr>
        <w:pStyle w:val="ae"/>
        <w:shd w:val="clear" w:color="auto" w:fill="FFFFFF"/>
        <w:spacing w:before="0" w:after="0"/>
        <w:jc w:val="both"/>
        <w:rPr>
          <w:color w:val="000000" w:themeColor="text1"/>
          <w:sz w:val="16"/>
          <w:szCs w:val="16"/>
        </w:rPr>
      </w:pPr>
      <w:r w:rsidRPr="00722885">
        <w:rPr>
          <w:color w:val="000000" w:themeColor="text1"/>
          <w:sz w:val="16"/>
          <w:szCs w:val="16"/>
        </w:rPr>
        <w:t>20 октября 1942 на завод пришла телеграмма лично от Сталина, в которой тот потребовал увеличить объёмы производства Т-60 до 10 машин в сутки. Для изучения ситуации в Горький прибыл Малышев, его энергичные действия в немалой степени способствовали выправлению ситуации. Несмотря на имевшиеся проблемы, уже в октябре ГАЗ смог не только выполнить месячный план по выпуску танков, но и даже слегка его перевыполнить.</w:t>
      </w:r>
    </w:p>
    <w:p w14:paraId="73C68893" w14:textId="77777777" w:rsidR="00F957E4" w:rsidRPr="00722885" w:rsidRDefault="00F957E4" w:rsidP="00722885">
      <w:pPr>
        <w:pStyle w:val="ae"/>
        <w:shd w:val="clear" w:color="auto" w:fill="FFFFFF"/>
        <w:spacing w:before="0" w:after="0"/>
        <w:jc w:val="both"/>
        <w:rPr>
          <w:color w:val="000000" w:themeColor="text1"/>
          <w:sz w:val="16"/>
          <w:szCs w:val="16"/>
        </w:rPr>
      </w:pPr>
      <w:r w:rsidRPr="00722885">
        <w:rPr>
          <w:color w:val="000000" w:themeColor="text1"/>
          <w:sz w:val="16"/>
          <w:szCs w:val="16"/>
        </w:rPr>
        <w:t xml:space="preserve">За увеличение производства Т-60 пришлось заплатить высокую цену: в конце октября производство автомобилей на ГАЗ оказалось практически парализовано. С производства были сняты модели ГАЗ-61–73 и ГАЗ-61–416 как использующие дефицитный двигатель. Был приостановлен выпуск ГАЗ-64, а объёмы поставок </w:t>
      </w:r>
      <w:hyperlink r:id="rId161" w:history="1">
        <w:r w:rsidRPr="00722885">
          <w:rPr>
            <w:rStyle w:val="a5"/>
            <w:rFonts w:eastAsia="Times New Roman"/>
            <w:color w:val="000000" w:themeColor="text1"/>
            <w:sz w:val="16"/>
            <w:szCs w:val="16"/>
            <w:u w:val="none"/>
          </w:rPr>
          <w:t>грузовиков</w:t>
        </w:r>
      </w:hyperlink>
      <w:r w:rsidRPr="00722885">
        <w:rPr>
          <w:color w:val="000000" w:themeColor="text1"/>
          <w:sz w:val="16"/>
          <w:szCs w:val="16"/>
        </w:rPr>
        <w:t xml:space="preserve"> ГАЗ АА и ГАЗ ААА снизились до минимума.</w:t>
      </w:r>
    </w:p>
    <w:p w14:paraId="227260EC" w14:textId="77777777" w:rsidR="00F957E4" w:rsidRPr="00722885" w:rsidRDefault="00F957E4" w:rsidP="00722885">
      <w:pPr>
        <w:pStyle w:val="ae"/>
        <w:shd w:val="clear" w:color="auto" w:fill="FFFFFF"/>
        <w:spacing w:before="0" w:after="0"/>
        <w:jc w:val="both"/>
        <w:rPr>
          <w:color w:val="000000" w:themeColor="text1"/>
          <w:sz w:val="16"/>
          <w:szCs w:val="16"/>
        </w:rPr>
      </w:pPr>
      <w:r w:rsidRPr="00722885">
        <w:rPr>
          <w:color w:val="000000" w:themeColor="text1"/>
          <w:sz w:val="16"/>
          <w:szCs w:val="16"/>
        </w:rPr>
        <w:t>Определённую путаницу в историю создания Т-60 внесла эвакуация завода №37 в Свердловск. Видя бедственное положение с корпусами и башнями, руководство завода предложило поставить в Горький некоторое количество башен для танков Т-30, кроме того, на ГАЗ отправилось и 9 готовых Т-30, требовавших ремонта. Точное число отправленных на ГАЗ корпусов и башен неизвестно, однако по состоянию на лето 1942 года на заводе всё ещё находилось 47 комплектов. Корпуса в дело не пошли, зато можно утверждать, что было выпущено несколько десятков Т-60 с установленными на них коническими башнями. Подобные танки имелись, к примеру, в составе 33-й отдельной танковой бригады, машины которой «засветились» на параде 7 ноября на Красной Площади. Кроме того, с завода №37 было поставлено некоторое количество литых опорных катков (17462).</w:t>
      </w:r>
    </w:p>
    <w:p w14:paraId="18FCF868" w14:textId="77777777" w:rsidR="00F957E4" w:rsidRPr="00722885" w:rsidRDefault="00F957E4" w:rsidP="00722885">
      <w:pPr>
        <w:pStyle w:val="ae"/>
        <w:shd w:val="clear" w:color="auto" w:fill="FFFFFF"/>
        <w:spacing w:before="0" w:after="0"/>
        <w:jc w:val="both"/>
        <w:rPr>
          <w:color w:val="000000" w:themeColor="text1"/>
          <w:sz w:val="16"/>
          <w:szCs w:val="16"/>
        </w:rPr>
      </w:pPr>
      <w:r w:rsidRPr="00722885">
        <w:rPr>
          <w:color w:val="000000" w:themeColor="text1"/>
          <w:sz w:val="16"/>
          <w:szCs w:val="16"/>
        </w:rPr>
        <w:t>Из-за наличия проблем, связанных с зимней эксплуатацией танков, на заводе проводился ряд опытных работ. Разрабатывались траки с увеличенным шагом и длиной, а также съёмные шпоры для гусениц. Прорабатывался вопрос об изменении ходовой части: предлагалось уменьшить диаметр опорных катков и довести их число с 8 до 16 (по 8 на борт). Данное решение было продиктовано желанием более равномерно распределить удельное давление на грунт.</w:t>
      </w:r>
    </w:p>
    <w:p w14:paraId="3BD269E0" w14:textId="77777777" w:rsidR="00F957E4" w:rsidRPr="00722885" w:rsidRDefault="00F957E4" w:rsidP="00722885">
      <w:pPr>
        <w:pStyle w:val="ae"/>
        <w:shd w:val="clear" w:color="auto" w:fill="FFFFFF"/>
        <w:spacing w:before="0" w:after="0"/>
        <w:jc w:val="both"/>
        <w:rPr>
          <w:color w:val="000000" w:themeColor="text1"/>
          <w:sz w:val="16"/>
          <w:szCs w:val="16"/>
        </w:rPr>
      </w:pPr>
      <w:r w:rsidRPr="00722885">
        <w:rPr>
          <w:color w:val="000000" w:themeColor="text1"/>
          <w:sz w:val="16"/>
          <w:szCs w:val="16"/>
        </w:rPr>
        <w:t>Также в опытном порядке конструкторское бюро ГАЗ разработало рессорную подвеску для Т-60 на случай возникновения перебоев с поставкой торсионов. А на случай перебоев с поставкой бандажей прорабатывался вопрос о замене резины на деревянные накладки. Пришлось отказаться и от установки на Т-60 радиостанций. В результате эта машина оказалась единственным советским танком военного периода, на котором радиостанций не устанавливалось в принципе. Упрощать пришлось и остальное электрооборудование.</w:t>
      </w:r>
    </w:p>
    <w:p w14:paraId="123483C7" w14:textId="77777777" w:rsidR="00F957E4" w:rsidRPr="00722885" w:rsidRDefault="00F957E4" w:rsidP="00722885">
      <w:pPr>
        <w:pStyle w:val="ae"/>
        <w:shd w:val="clear" w:color="auto" w:fill="FFFFFF"/>
        <w:spacing w:before="0" w:after="0"/>
        <w:jc w:val="both"/>
        <w:rPr>
          <w:color w:val="000000" w:themeColor="text1"/>
          <w:sz w:val="16"/>
          <w:szCs w:val="16"/>
        </w:rPr>
      </w:pPr>
      <w:r w:rsidRPr="00722885">
        <w:rPr>
          <w:color w:val="000000" w:themeColor="text1"/>
          <w:sz w:val="16"/>
          <w:szCs w:val="16"/>
        </w:rPr>
        <w:t xml:space="preserve">Несмотря на то что постановление ГКО №222сс ГАЗ им. Молотова так выполнить и не смог, ценой невероятных усилий горьковчане смогли запустить полноценное производство столь необходимых танков. Если в сентябре заказчиком было принято всего 3 Т-60, то в октябре их было уже 215, а всего за 1941 год ГАЗ им. Молотова выпустил 1314 танков. Из этого числа 137 штук представляли собой шасси, на базе которых монтировались </w:t>
      </w:r>
      <w:hyperlink r:id="rId162" w:history="1">
        <w:r w:rsidRPr="00722885">
          <w:rPr>
            <w:rStyle w:val="a5"/>
            <w:rFonts w:eastAsia="Times New Roman"/>
            <w:color w:val="000000" w:themeColor="text1"/>
            <w:sz w:val="16"/>
            <w:szCs w:val="16"/>
            <w:u w:val="none"/>
          </w:rPr>
          <w:t>системы залпового огня</w:t>
        </w:r>
      </w:hyperlink>
      <w:r w:rsidRPr="00722885">
        <w:rPr>
          <w:color w:val="000000" w:themeColor="text1"/>
          <w:sz w:val="16"/>
          <w:szCs w:val="16"/>
        </w:rPr>
        <w:t xml:space="preserve"> М-8. Из завода-смежника ГАЗ им. Молотова превратился в одного из крупнейших производителей танков не только в СССР, но в мире.</w:t>
      </w:r>
    </w:p>
    <w:p w14:paraId="03B03520" w14:textId="77777777" w:rsidR="00F957E4" w:rsidRPr="00722885" w:rsidRDefault="00F957E4" w:rsidP="00722885">
      <w:pPr>
        <w:pStyle w:val="ae"/>
        <w:shd w:val="clear" w:color="auto" w:fill="FFFFFF"/>
        <w:spacing w:before="0" w:after="0"/>
        <w:jc w:val="both"/>
        <w:rPr>
          <w:color w:val="000000" w:themeColor="text1"/>
          <w:sz w:val="16"/>
          <w:szCs w:val="16"/>
        </w:rPr>
      </w:pPr>
      <w:r w:rsidRPr="00722885">
        <w:rPr>
          <w:color w:val="000000" w:themeColor="text1"/>
          <w:sz w:val="16"/>
          <w:szCs w:val="16"/>
        </w:rPr>
        <w:t>Кроме того, после появления в руководстве заводского КБ Астрова ГАЗ стал ведущим разработчиком по теме малых и лёгких танков. Дальнейшие работы по теме 060 велись в Горьком, что же касается завода №37, то он из-за эвакуации и довольно долгого возобновления производства утратил статус головного предприятия – разработчика танка.</w:t>
      </w:r>
    </w:p>
    <w:p w14:paraId="19F2B936" w14:textId="77777777" w:rsidR="00F957E4" w:rsidRPr="00722885" w:rsidRDefault="00F957E4" w:rsidP="00722885">
      <w:pPr>
        <w:pStyle w:val="ae"/>
        <w:shd w:val="clear" w:color="auto" w:fill="FFFFFF"/>
        <w:spacing w:before="0" w:after="0"/>
        <w:jc w:val="both"/>
        <w:rPr>
          <w:color w:val="000000" w:themeColor="text1"/>
          <w:sz w:val="16"/>
          <w:szCs w:val="16"/>
        </w:rPr>
      </w:pPr>
      <w:r w:rsidRPr="00722885">
        <w:rPr>
          <w:color w:val="000000" w:themeColor="text1"/>
          <w:sz w:val="16"/>
          <w:szCs w:val="16"/>
        </w:rPr>
        <w:t>Безусловно, создание и производство Т-60 было во многом вынужденной мерой. Огневой мощи его 20-мм пушки хватало только на борьбу с легкобронированными целями, а бронирование защищало максимум от крупнокалиберных пулемётов. Тем не менее, лучше иметь такой танк, чем вообще никакого. В качестве машины поддержки пехоты Т-60 вполне годился, справлялся он и с ролью танка-разведчика. Маленький, довольно юркий и тихий, этот танк сыграл свою важную роль в боях конца 1941 – начала 1943 годов. А на Ленинградском фронте и в Карелии Т-60 прослужили вплоть до осени 1944 года (17462).</w:t>
      </w:r>
    </w:p>
    <w:p w14:paraId="0FB80305"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215885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октября 1942 вышло Постановление ГКО № 2432 О т. Двинском Б.А. РГАНИР, Фонд ГКО, д. 65, лл. 25 (11012).</w:t>
      </w:r>
    </w:p>
    <w:p w14:paraId="5C00797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94033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октября 1942 завершена работа по сборке и сварке кормовой части головного БМО. Балтийцы установили кессон на пробоину у крейсера "Петропавловск"; приступили к работам по зимней консервации и установке изоляции на линкоре "Октябрьская революция" и крейсере "Максим Горький". Ждановцы продолжали работы на СКР "Тайфун", петрозаводцы - на ЭТЩ "Василий Громов" (10671).</w:t>
      </w:r>
    </w:p>
    <w:p w14:paraId="4F16D9A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AA9DC9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17FD09E" w14:textId="77777777" w:rsidR="00090C9B" w:rsidRPr="00722885" w:rsidRDefault="00090C9B" w:rsidP="00722885">
      <w:pPr>
        <w:pStyle w:val="Iauiue"/>
        <w:jc w:val="both"/>
        <w:rPr>
          <w:iCs/>
          <w:color w:val="000000" w:themeColor="text1"/>
          <w:sz w:val="16"/>
          <w:szCs w:val="16"/>
        </w:rPr>
      </w:pPr>
    </w:p>
    <w:p w14:paraId="3F72EF60"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20 октября </w:t>
      </w:r>
      <w:r w:rsidRPr="00722885">
        <w:rPr>
          <w:rFonts w:ascii="Times New Roman" w:hAnsi="Times New Roman"/>
          <w:color w:val="000000" w:themeColor="text1"/>
          <w:sz w:val="16"/>
          <w:szCs w:val="16"/>
        </w:rPr>
        <w:t>в 1942 году утреннее сообщение Совинформбюро:</w:t>
      </w:r>
    </w:p>
    <w:p w14:paraId="375615A2"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20 октября наши войска вели бои с противником в районе Сталинграда и в районе Моздока. На других фронтах никаких изменений не произошло.</w:t>
      </w:r>
    </w:p>
    <w:p w14:paraId="7C88C6EF"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Пехота и танки противника несколько раз атаковали наш опорный пункт в районе одного завода. Наши бойцы отбили атаки гитлеровцев. В этом бою подбито и сожжено 7 немецких танков иистреблено до 400 солдат и офицеров противника. На другом участке подразделения Н-ской части в ночном бою уничтожили 10 немецких пулемётов, 4 миномёта, разрушили 13 дзотов и блиндажей и истребили свыше роты немецкой пехоты.</w:t>
      </w:r>
    </w:p>
    <w:p w14:paraId="2644ABEC"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 разведывательный отряд напал на передовоеохранение противника, уничтожил 40 немецких солдат и захватил 2 пулемёта. Н-ская артиллерийская часть уничтожила 4 орудия, миномётную батарею противника, рассеяла и частью истребила до двух рот гитлеровцев.</w:t>
      </w:r>
    </w:p>
    <w:p w14:paraId="33844232"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отбивали атаки противника. За последние три дня бойцы Н-ской части уничтожили до батальона пехоты противника, подбили и сожгли 19 немецких танков. На другом участке наши подразделения выбили немцев из одного населённого пункта, который дважды переходил из рук в руки. Противник понёс большие потери.</w:t>
      </w:r>
    </w:p>
    <w:p w14:paraId="73EC3A3F"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действиями снайперов, разведывательных групп и огнём нашей артиллерии за два дня истреблено свыше 200 гитлеровцев, разрушено 9 дзотов, уничтожено 9 автомашин противника с военными грузами. Наши бойцы захватили орудие, несколько пулемётов и боеприпасы.</w:t>
      </w:r>
    </w:p>
    <w:p w14:paraId="48838B08"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минских партизан взорвал железнодорожный эшелон с живой силой противника. Все вагоны уничтожены.</w:t>
      </w:r>
    </w:p>
    <w:p w14:paraId="79798D64"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Перешедший на сторону Красной Армии ефрейтор 118 мотополка 36 немецкой мотодивизии Карл П. рассказал: «Месяц назад я в составе маршевого батальона выехал из Австрии на Восточный фронт. Проезжая оккупированную немцами советскую территорию, я много наслышался о деятельности партизан. Мои личные наблюдения подтвердили всё то, что я слышал от солдат. Только по дороге от Минска до Смоленска я насчитал 15 паровозов и огромное количество платформ и вагонов, пущенных партизанами под откос. Здесь же валялись обгоревшие танки и автомашины».</w:t>
      </w:r>
    </w:p>
    <w:p w14:paraId="47322D37"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устроили кровавую резню в горорде Корец, Ровенскойобласти. Гитлеровские палачи вырезали 105 семейств. За последние три месяца немцы истребили несколько тысяч жителей города. Многие кварталы и улицы совершенно обезлюдели.</w:t>
      </w:r>
    </w:p>
    <w:p w14:paraId="6AFD626E"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оккупационные власти в Бельгии прибегают к всевозможным мерам насилия, чтобы заставить рабочих отправиться на гитлеровскую каторгу. В Антверпене по распоряжению начальника гестапо уволено 68 рабочих машиностроительного завода, отказавшихся вести переговоры о работе на германских предприятиях. В тот же день их лишили продовольственных карточек. Вечером у заводских ворот собралась многолюдная толпа. Рабочие потребовали восстановить всех уволенных и заявили, что в противном случае они объявят забастовку. Немцам пришлось выполнить требование рабочих.» (14805).</w:t>
      </w:r>
    </w:p>
    <w:p w14:paraId="15B612CB"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04FBC0E7"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20 октября </w:t>
      </w:r>
      <w:r w:rsidRPr="00722885">
        <w:rPr>
          <w:rFonts w:ascii="Times New Roman" w:hAnsi="Times New Roman"/>
          <w:color w:val="000000" w:themeColor="text1"/>
          <w:sz w:val="16"/>
          <w:szCs w:val="16"/>
        </w:rPr>
        <w:t>в 1942 году вечернее сообщение Совинформбюро:</w:t>
      </w:r>
    </w:p>
    <w:p w14:paraId="49241883"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20 октября наши войска вели бои с противником в районе Сталинграда и в районе Моздока. На других фронтах никаких изменений не произошло.</w:t>
      </w:r>
    </w:p>
    <w:p w14:paraId="08CD3515"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19 октября нашей авиацией на различных участках фронта уничтожено 4 немецких танка, 10 автомашин с войсками, подавлен огонь 2 артиллерийских батарей, потоплен сторожевой корабль, рассеяно и частью уничтожено до роты пехоты противника.</w:t>
      </w:r>
    </w:p>
    <w:p w14:paraId="437A11CA"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упорные оборонительные бои. Полк пехоты и 40 танков противника атаковали наши опорные пункты в районе рабочего посёлка. Наши части отбили атаку и отбросили немцев на исходные позиции. Подтянув ещё 30 танков, противник вновь перешёл в наступление. Гитлеровцы понесли большие потери в танках и живой силе, но не добились успеха. К исходу дня бой продолжался на прежних рубежах. Нашими бойцами отбиты также все атаки противника в районе одного из заводов. Пленные немецкие солдаты сообщили, что немецкие дивизии, которые участвовали в наступлении последних дней, потеряли за эти дни 70 процентов личного состава.</w:t>
      </w:r>
    </w:p>
    <w:p w14:paraId="3D093DD6"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занимаемые рубежи и на отдельных участках вели бои местного значения. Бойцы подразделения под командованием т. Молочевского ружейно-пулемётным и миномётным огнём истребили до двух рот румынских солдат и офицеров, уничтожили 3 пулемёта и подавили огонь двух миномётных батарей противника. Зенитчики Н-ской части сбили 2 немецких самолёта.</w:t>
      </w:r>
    </w:p>
    <w:p w14:paraId="26961136"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вели бои с противником. Овладев ночью одним населённым пунктом, наши подразделения продолжали теснить гитлеровцев и выбили их с одного рубежа. В результате боёв на этом участке уничтожено до 900 немецких солдат и офицеров. Захвачен склад продовольствия и обмундирования противника, а также различное вооружение.</w:t>
      </w:r>
    </w:p>
    <w:p w14:paraId="661F0F9E"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подразделения морской пехоты под командованием т. Гордеева отбили атаку противника и истребили до 100 вражеских солдат и офицеров. На другом участке рота румын атаковала отделение младшего командира Степанова. Наши бойцы ружейно-пулемётным огнём рассеяли румын. Группа бойцов под руководством лейтенанта Щёткина, действуя в тылу врага, уничтожила 10 повозок с военными грузами и 40 немецких солдат и офицеров.</w:t>
      </w:r>
    </w:p>
    <w:p w14:paraId="50A719C8"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орловских партизан за две недели организовал крушение 4 воинских эшелонов противника. Уничтожено 4 паровоза, 18 вагонов с боеприпасами, 2 цистерны с горючим и 4 платформы с артиллерией. Кроме того, повреждено 73 вагона с разными военными грузами.</w:t>
      </w:r>
    </w:p>
    <w:p w14:paraId="3594F163"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Другой партизанский отряд в боях с немецкими захватчиками истребил более 600 гитлеровцев и уничтожил 18 автомашин. Смелую операцию провела группа партизан этого отряда, обманувшая немецких железнодорожников. На одном из разъездов партизаны уничтожили охрану, перевели стрелки и пустили один немецкий эшелон навстречу другому эшелону. В результате столкновения разбито 42 вагона с различным вооружением.</w:t>
      </w:r>
    </w:p>
    <w:p w14:paraId="2DFD33BD"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превратили в развалины древний русский город Новгород. В центральной части города многие улицы буквально сравнены с землёй. Гитлеровцы взорвали и сожгли не только школы, театры, больницы, библиотеки и другие культурные учреждения, но и ценнейшие памятники старины. Фашистские громилы превратили в груду камней старый Новгородский Кремль, взорвали памятник русского зодчества — Софийский собор и многие другие сооружения, представляющие огромную историческую и культурную ценность. Кирпич разрушенных зданий немецкие захватчики употребляют на строительство военных укреплений. В городе теперь нет советских жителей. Все они выселены или отправлены на принудительные работы.</w:t>
      </w:r>
    </w:p>
    <w:p w14:paraId="65B6AC27" w14:textId="77777777" w:rsidR="00F957E4" w:rsidRPr="00722885" w:rsidRDefault="00F957E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Население Греции оказывает упорное сопротивление немецким и итальянским оккупантам. В районе озера Агринион вооружённые крестьяне напали на итальянский гарнизон, истребили 29 оккупантов и ушли в горы. Итальянский карательный отряд арестовал в окрестных селениях свыше 400 заложников. Греческие патриоты совершили налёт на лагерь, в котором находились арестованные, перебили охрану и освободили заложников.» (14805).</w:t>
      </w:r>
    </w:p>
    <w:p w14:paraId="2BF753D9" w14:textId="77777777" w:rsidR="00F957E4" w:rsidRPr="00722885" w:rsidRDefault="00F957E4" w:rsidP="00722885">
      <w:pPr>
        <w:spacing w:after="0" w:line="240" w:lineRule="auto"/>
        <w:jc w:val="both"/>
        <w:rPr>
          <w:rFonts w:ascii="Times New Roman" w:hAnsi="Times New Roman"/>
          <w:color w:val="000000" w:themeColor="text1"/>
          <w:sz w:val="16"/>
          <w:szCs w:val="16"/>
        </w:rPr>
      </w:pPr>
    </w:p>
    <w:p w14:paraId="4A58731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октября 1942 г. три разведчика Спитфайра официально были приняты советской сторо</w:t>
      </w:r>
      <w:r w:rsidRPr="00722885">
        <w:rPr>
          <w:rFonts w:ascii="Times New Roman" w:hAnsi="Times New Roman"/>
          <w:color w:val="000000" w:themeColor="text1"/>
          <w:sz w:val="16"/>
          <w:szCs w:val="16"/>
        </w:rPr>
        <w:softHyphen/>
        <w:t>ной в Мурманске на аэродроме Африканда (10790).</w:t>
      </w:r>
    </w:p>
    <w:p w14:paraId="3E44093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322E80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20 октября 1942 вышло Постановление ГКО № 2433 О подчинении начальников особых отделов соединений и уполномоченных особых отделов на кораблях командирам соединений и командирам кораблей Военно-Морского Флота. (7060, 26).</w:t>
      </w:r>
    </w:p>
    <w:p w14:paraId="7D2C85AC" w14:textId="77777777" w:rsidR="00090C9B" w:rsidRPr="00722885" w:rsidRDefault="00090C9B" w:rsidP="00722885">
      <w:pPr>
        <w:pStyle w:val="Iauiue"/>
        <w:tabs>
          <w:tab w:val="left" w:pos="11199"/>
        </w:tabs>
        <w:jc w:val="both"/>
        <w:rPr>
          <w:color w:val="000000" w:themeColor="text1"/>
          <w:sz w:val="16"/>
          <w:szCs w:val="16"/>
        </w:rPr>
      </w:pPr>
    </w:p>
    <w:p w14:paraId="3011009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7513485" w14:textId="77777777" w:rsidR="00090C9B" w:rsidRPr="00722885" w:rsidRDefault="00090C9B" w:rsidP="00722885">
      <w:pPr>
        <w:pStyle w:val="Iauiue"/>
        <w:jc w:val="both"/>
        <w:rPr>
          <w:iCs/>
          <w:color w:val="000000" w:themeColor="text1"/>
          <w:sz w:val="16"/>
          <w:szCs w:val="16"/>
        </w:rPr>
      </w:pPr>
    </w:p>
    <w:p w14:paraId="1FC74E72" w14:textId="77777777" w:rsidR="00375EC3" w:rsidRPr="00722885" w:rsidRDefault="00375EC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 октября 1942 года состоялось первое испытание пусковой установки для Fi-103. В качестве полезной нагрузки использовали макет ракеты без крыльев. Первый полет ракеты произвели без включения двигателя — для проверки летных характеристик и системы управления. Ракету подвесили под патрульный бомбардировщик Fw-200 Condor и сбросили с большой высоты. Ракета прекрасно планировала и вела себя достаточно устойчиво. 10 декабря состоялся первый полет с включением двигателя. На этот раз полет завершился полной неудачей. Пролетев около километра, Fi-103 потеряла управление и упала в Балтийское море (22878).</w:t>
      </w:r>
    </w:p>
    <w:p w14:paraId="3C191FF0" w14:textId="77777777" w:rsidR="00375EC3" w:rsidRPr="00722885" w:rsidRDefault="00375EC3" w:rsidP="00722885">
      <w:pPr>
        <w:spacing w:after="0" w:line="240" w:lineRule="auto"/>
        <w:jc w:val="both"/>
        <w:rPr>
          <w:rFonts w:ascii="Times New Roman" w:hAnsi="Times New Roman"/>
          <w:color w:val="0070C0"/>
          <w:sz w:val="16"/>
          <w:szCs w:val="16"/>
        </w:rPr>
      </w:pPr>
    </w:p>
    <w:p w14:paraId="21588F9C" w14:textId="77777777" w:rsidR="00E44765" w:rsidRPr="00722885" w:rsidRDefault="00E44765"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20 октября </w:t>
      </w:r>
      <w:r w:rsidRPr="00722885">
        <w:rPr>
          <w:rFonts w:ascii="Times New Roman" w:hAnsi="Times New Roman"/>
          <w:color w:val="000000" w:themeColor="text1"/>
          <w:sz w:val="16"/>
          <w:szCs w:val="16"/>
        </w:rPr>
        <w:t>в 1942 году действуя в районе Соломоновых островов, крейсер «Честер» получил попадание торпеды с подводной лодки «I-176». Погибли 11 человек, ранены 12 (14805).</w:t>
      </w:r>
    </w:p>
    <w:p w14:paraId="5D8A1D7A" w14:textId="77777777" w:rsidR="00E44765" w:rsidRPr="00722885" w:rsidRDefault="00E44765" w:rsidP="00722885">
      <w:pPr>
        <w:spacing w:after="0" w:line="240" w:lineRule="auto"/>
        <w:jc w:val="both"/>
        <w:rPr>
          <w:rFonts w:ascii="Times New Roman" w:hAnsi="Times New Roman"/>
          <w:color w:val="000000" w:themeColor="text1"/>
          <w:sz w:val="16"/>
          <w:szCs w:val="16"/>
        </w:rPr>
      </w:pPr>
    </w:p>
    <w:p w14:paraId="1699A7F1" w14:textId="77777777" w:rsidR="00E44765" w:rsidRPr="00722885" w:rsidRDefault="00E44765"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20 октября </w:t>
      </w:r>
      <w:r w:rsidRPr="00722885">
        <w:rPr>
          <w:rFonts w:ascii="Times New Roman" w:hAnsi="Times New Roman"/>
          <w:color w:val="000000" w:themeColor="text1"/>
          <w:sz w:val="16"/>
          <w:szCs w:val="16"/>
        </w:rPr>
        <w:t>в 1942 году прекращение депортации евреев из Словакии (14805).</w:t>
      </w:r>
    </w:p>
    <w:p w14:paraId="1FCC7B21" w14:textId="77777777" w:rsidR="00E44765" w:rsidRPr="00722885" w:rsidRDefault="00E44765" w:rsidP="00722885">
      <w:pPr>
        <w:spacing w:after="0" w:line="240" w:lineRule="auto"/>
        <w:jc w:val="both"/>
        <w:rPr>
          <w:rFonts w:ascii="Times New Roman" w:hAnsi="Times New Roman"/>
          <w:color w:val="000000" w:themeColor="text1"/>
          <w:sz w:val="16"/>
          <w:szCs w:val="16"/>
        </w:rPr>
      </w:pPr>
    </w:p>
    <w:p w14:paraId="029C6BC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20 октября 1942 премьер-министр вишистского правительства Франции Пьер Лаваль объявил о наборе 100 тысяч французских рабочих для немецких фабрик (4962).</w:t>
      </w:r>
    </w:p>
    <w:p w14:paraId="45DF22AF" w14:textId="77777777" w:rsidR="00090C9B" w:rsidRPr="00722885" w:rsidRDefault="00090C9B" w:rsidP="00722885">
      <w:pPr>
        <w:pStyle w:val="Iauiue"/>
        <w:tabs>
          <w:tab w:val="left" w:pos="11199"/>
        </w:tabs>
        <w:jc w:val="both"/>
        <w:rPr>
          <w:color w:val="000000" w:themeColor="text1"/>
          <w:sz w:val="16"/>
          <w:szCs w:val="16"/>
        </w:rPr>
      </w:pPr>
    </w:p>
    <w:p w14:paraId="1C425D4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9025FFD" w14:textId="77777777" w:rsidR="00090C9B" w:rsidRPr="00722885" w:rsidRDefault="00090C9B" w:rsidP="00722885">
      <w:pPr>
        <w:pStyle w:val="Iauiue"/>
        <w:jc w:val="both"/>
        <w:rPr>
          <w:iCs/>
          <w:color w:val="000000" w:themeColor="text1"/>
          <w:sz w:val="16"/>
          <w:szCs w:val="16"/>
        </w:rPr>
      </w:pPr>
    </w:p>
    <w:p w14:paraId="2B2940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 октября 1942 директор завода 1 Третьяков писал А.И.Ш., Нач. управления заказов самолетов и моторов ВВС Алексееву письмо N 4583:</w:t>
      </w:r>
    </w:p>
    <w:p w14:paraId="68ABCF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октября 1942 самолет Ил-2 N 4246 завода 1 потерпел катастрофу на полигоне 1 ЗАБ при выполнении учебного бомбометания и стрельбы по колонне танков.</w:t>
      </w:r>
    </w:p>
    <w:p w14:paraId="224496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показаниям очевидцев, при выходе из пикирования после стрельбы, на высоте 50 м у самолета сорвало верхнюю обшивку верхней консоли крыла. Сорванная обшивка ударила по хвостовому оперению и отбила хвост фюзеляжа по 2-й раме. Самолет ударился крылом в землю, отбив его перевернулся и проехав около 200 м разрушаясь по пути движения остановился. Левое крыло с оголенными от фанерной обшивки лонжеронами осталось на самолете.</w:t>
      </w:r>
    </w:p>
    <w:p w14:paraId="3C412D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разбросу кусков фанерной обшивки можно предположить срыв фанерной обшивки правого крыла, что противоречит показаниям очевидцев.</w:t>
      </w:r>
    </w:p>
    <w:p w14:paraId="2B7CB2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Характер отрыва обшивки на консоли левого крыла дает основания думать, что разрушение самолета началось с левого крыла.</w:t>
      </w:r>
    </w:p>
    <w:p w14:paraId="69DF12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проверки качества изготовления крыльев, были взяты из серии для испытания два произвольных законченных крыла.</w:t>
      </w:r>
    </w:p>
    <w:p w14:paraId="2DC464F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Одно крыло было подвергнуто стат. испытаниям на случай А, при этом крыло выдержало нагрузку 126%.</w:t>
      </w:r>
    </w:p>
    <w:p w14:paraId="62618B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Другое крыло было все разобрано на образцы для проверки качества приклейки обшивки к каркасу (нервюрам и стрингерам).</w:t>
      </w:r>
    </w:p>
    <w:p w14:paraId="53243E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 было изготовлено и испытано 132 образца, из которых 130 дали результаты хорошие и удовлетворительные, и 2 результата дали выпад вследствие попадания лака на склеиваемые поверхности.</w:t>
      </w:r>
    </w:p>
    <w:p w14:paraId="308F93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Кроме того, были вскрыты 2 законченных крыла для проверки качества приклейки путем отдирания обшивки от каркаса.</w:t>
      </w:r>
    </w:p>
    <w:p w14:paraId="0F1471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Проверка 4-х крыльев показала, что приклейка обшивки к каркасу вполне доброкачественная.</w:t>
      </w:r>
    </w:p>
    <w:p w14:paraId="1E4406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исключения возможности случайных выпадов в будущем нами принимаются следующие меры:</w:t>
      </w:r>
    </w:p>
    <w:p w14:paraId="32B499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Консольный лист фанеры с 5 ноября с.г. будет опресовываться с распаркой для придания ему заранее формы крыла. Это предохранит от появления морщин и неплотностей при приклейке указанного листа.</w:t>
      </w:r>
    </w:p>
    <w:p w14:paraId="558368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Введено пришурупливание передней кромки консольного листа к ободу крыла.</w:t>
      </w:r>
    </w:p>
    <w:p w14:paraId="2D4B0E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Будет введено с 1 ноября приклепка верхнего консольного листа фанеры в полкам лонжеронов, через дюралевую ленту, полошенную сверху листа.</w:t>
      </w:r>
    </w:p>
    <w:p w14:paraId="336B74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Введено раздельное наклеивание верхней и нижней обшивки крыла на 20% крыльев.</w:t>
      </w:r>
    </w:p>
    <w:p w14:paraId="3C583D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 мероприятие позволит проверить путем осмотра приклейку верхней консоли к каркасу.</w:t>
      </w:r>
    </w:p>
    <w:p w14:paraId="202C03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5. Вдоль верхних полок нервюр между лонжеронами крыла и на носках ставятся основные угольники 10х10 для увеличения площади приклейки к каркасу верхней обшивки крыла (1678,100).</w:t>
      </w:r>
    </w:p>
    <w:p w14:paraId="537EF5CC" w14:textId="77777777" w:rsidR="00090C9B" w:rsidRPr="00722885" w:rsidRDefault="00090C9B" w:rsidP="00722885">
      <w:pPr>
        <w:pStyle w:val="Iauiue"/>
        <w:jc w:val="both"/>
        <w:rPr>
          <w:color w:val="000000" w:themeColor="text1"/>
          <w:sz w:val="16"/>
          <w:szCs w:val="16"/>
        </w:rPr>
      </w:pPr>
    </w:p>
    <w:p w14:paraId="48A883A7" w14:textId="77777777" w:rsidR="00EA5E28" w:rsidRPr="00722885" w:rsidRDefault="00EA5E2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21 октября 1943 начальником НИП АВ полковником Л. П. Лобачевым был утвержден Отчет по повторным испытаниям огнемета (АОГ) конструкции ГСКБ-47.</w:t>
      </w:r>
    </w:p>
    <w:p w14:paraId="03CF70C4" w14:textId="77777777" w:rsidR="00EA5E28" w:rsidRPr="00722885" w:rsidRDefault="00EA5E2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6 октября 1942 г. в НИИ ВВС для прохождения повторных государственных испытаний поступил Ил-2, оснащенный авиационным огнеметом (АОГ) конструкции ГСКБ-47. Впервые АОГ испытывался на самолете Р-5 в августе 1941 г. и показал плохие ре</w:t>
      </w:r>
      <w:r w:rsidRPr="00722885">
        <w:rPr>
          <w:color w:val="000000" w:themeColor="text1"/>
          <w:sz w:val="16"/>
          <w:szCs w:val="16"/>
        </w:rPr>
        <w:softHyphen/>
        <w:t>зультаты. Затем повторно в декабре 1941 г. и в ян</w:t>
      </w:r>
      <w:r w:rsidRPr="00722885">
        <w:rPr>
          <w:color w:val="000000" w:themeColor="text1"/>
          <w:sz w:val="16"/>
          <w:szCs w:val="16"/>
        </w:rPr>
        <w:softHyphen/>
        <w:t>варе 1942 г., но все неудачно.</w:t>
      </w:r>
    </w:p>
    <w:p w14:paraId="4825D38A" w14:textId="77777777" w:rsidR="00EA5E28" w:rsidRPr="00722885" w:rsidRDefault="00EA5E2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Авиационный огнемет предназначался «для огнеметания с самолета по наземным объектам с целью создания пожаров, поражения живой силы и матчасти противника».</w:t>
      </w:r>
    </w:p>
    <w:p w14:paraId="6E3121C8" w14:textId="77777777" w:rsidR="00EA5E28" w:rsidRPr="00722885" w:rsidRDefault="00EA5E2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Огнемет для Ил-2 представлял собой се</w:t>
      </w:r>
      <w:r w:rsidRPr="00722885">
        <w:rPr>
          <w:color w:val="000000" w:themeColor="text1"/>
          <w:sz w:val="16"/>
          <w:szCs w:val="16"/>
        </w:rPr>
        <w:softHyphen/>
        <w:t>рийный универсальный химический прибор УХАП-250 с встроенной системой зажигания.</w:t>
      </w:r>
    </w:p>
    <w:p w14:paraId="6DE9EEE3" w14:textId="77777777" w:rsidR="00EA5E28" w:rsidRPr="00722885" w:rsidRDefault="00EA5E2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УХАП-250 заливалась стандартная огнесмесь из бензина и порошка нафтената алюминия в соот</w:t>
      </w:r>
      <w:r w:rsidRPr="00722885">
        <w:rPr>
          <w:color w:val="000000" w:themeColor="text1"/>
          <w:sz w:val="16"/>
          <w:szCs w:val="16"/>
        </w:rPr>
        <w:softHyphen/>
        <w:t>ношении: 4,2 кг порошка на 100 л бензина. Смесь необходимо было приготовить не менее чем за сутки до ее применения в огнемете. Снаряжение производилось вручную, с помощью воронки и ведра.</w:t>
      </w:r>
    </w:p>
    <w:p w14:paraId="427E76C5" w14:textId="77777777" w:rsidR="00EA5E28" w:rsidRPr="00722885" w:rsidRDefault="00EA5E2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боевом применении огнесмесь вытесня</w:t>
      </w:r>
      <w:r w:rsidRPr="00722885">
        <w:rPr>
          <w:color w:val="000000" w:themeColor="text1"/>
          <w:sz w:val="16"/>
          <w:szCs w:val="16"/>
        </w:rPr>
        <w:softHyphen/>
        <w:t>лась из корпуса прибора газами пиротехнического заряда (инициировался электрическим импульсом при нажатии боевой кнопки) через калиброванное отверстие диафрагмы, на выходе которой смесь воспламенялась от факела системы зажигания.</w:t>
      </w:r>
    </w:p>
    <w:p w14:paraId="089F4A99" w14:textId="77777777" w:rsidR="00EA5E28" w:rsidRPr="00722885" w:rsidRDefault="00EA5E2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огнемете использовались принятые к УХАП-250 диафрагмы — газоотводная и аварий</w:t>
      </w:r>
      <w:r w:rsidRPr="00722885">
        <w:rPr>
          <w:color w:val="000000" w:themeColor="text1"/>
          <w:sz w:val="16"/>
          <w:szCs w:val="16"/>
        </w:rPr>
        <w:softHyphen/>
        <w:t>ная, а также насадок диаметром 34 мм с кониче</w:t>
      </w:r>
      <w:r w:rsidRPr="00722885">
        <w:rPr>
          <w:color w:val="000000" w:themeColor="text1"/>
          <w:sz w:val="16"/>
          <w:szCs w:val="16"/>
        </w:rPr>
        <w:softHyphen/>
        <w:t>ским стволом. «Зажигалка», состоящая из 2 камер под штатные осветительные звездки от осветительных патронов калибра 26 мм, кре</w:t>
      </w:r>
      <w:r w:rsidRPr="00722885">
        <w:rPr>
          <w:color w:val="000000" w:themeColor="text1"/>
          <w:sz w:val="16"/>
          <w:szCs w:val="16"/>
        </w:rPr>
        <w:softHyphen/>
        <w:t>пилась непосредственно на насад</w:t>
      </w:r>
      <w:r w:rsidRPr="00722885">
        <w:rPr>
          <w:color w:val="000000" w:themeColor="text1"/>
          <w:sz w:val="16"/>
          <w:szCs w:val="16"/>
        </w:rPr>
        <w:softHyphen/>
        <w:t>ке. На каждой камере имелся пи- розатвор под штатный пиропатрон ПП-4, который применялся в ракет</w:t>
      </w:r>
      <w:r w:rsidRPr="00722885">
        <w:rPr>
          <w:color w:val="000000" w:themeColor="text1"/>
          <w:sz w:val="16"/>
          <w:szCs w:val="16"/>
        </w:rPr>
        <w:softHyphen/>
        <w:t>ных снарядах. Система зажигания включалась в общую электросеть непосредственно через контакты пиротехнического заряда огнемета. Управление пуском огнемета осу</w:t>
      </w:r>
      <w:r w:rsidRPr="00722885">
        <w:rPr>
          <w:color w:val="000000" w:themeColor="text1"/>
          <w:sz w:val="16"/>
          <w:szCs w:val="16"/>
        </w:rPr>
        <w:softHyphen/>
        <w:t>ществлялось от ЭСБР-3п. Подвеска огнеметов осуществлялась на зам</w:t>
      </w:r>
      <w:r w:rsidRPr="00722885">
        <w:rPr>
          <w:color w:val="000000" w:themeColor="text1"/>
          <w:sz w:val="16"/>
          <w:szCs w:val="16"/>
        </w:rPr>
        <w:softHyphen/>
        <w:t>ки ДЗ-40.</w:t>
      </w:r>
    </w:p>
    <w:p w14:paraId="61FD79B1" w14:textId="77777777" w:rsidR="00EA5E28" w:rsidRPr="00722885" w:rsidRDefault="00EA5E2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наземных испытаний конструкция АОГ обеспечила впол</w:t>
      </w:r>
      <w:r w:rsidRPr="00722885">
        <w:rPr>
          <w:rFonts w:ascii="Times New Roman" w:hAnsi="Times New Roman"/>
          <w:color w:val="000000" w:themeColor="text1"/>
          <w:sz w:val="16"/>
          <w:szCs w:val="16"/>
        </w:rPr>
        <w:softHyphen/>
        <w:t>не приличную дальность огнемета- ния — до 150 м. Однако результаты испытаний АОГ в воздухе показали его низкую эффективность. Дело в том, что при скорости полета Ил-2 у земли порядка 320—340 км/ч плотность распыленной огнесме- си у земли была низкой, так как большая часть смеси «значитель</w:t>
      </w:r>
      <w:r w:rsidRPr="00722885">
        <w:rPr>
          <w:rFonts w:ascii="Times New Roman" w:hAnsi="Times New Roman"/>
          <w:color w:val="000000" w:themeColor="text1"/>
          <w:sz w:val="16"/>
          <w:szCs w:val="16"/>
        </w:rPr>
        <w:softHyphen/>
        <w:t>но дробится на отдельные капли разных размеров и быстро сгорает в воздухе» из-за избытка окислите</w:t>
      </w:r>
      <w:r w:rsidRPr="00722885">
        <w:rPr>
          <w:rFonts w:ascii="Times New Roman" w:hAnsi="Times New Roman"/>
          <w:color w:val="000000" w:themeColor="text1"/>
          <w:sz w:val="16"/>
          <w:szCs w:val="16"/>
        </w:rPr>
        <w:softHyphen/>
        <w:t>ля, а часть смеси («не менее 20%») не воспламенялась вовсе. Огнеме- тание было возможным только до высоты полета самолета 10 м, хотя и в этом случае до земли долетало «ничтожное количество горящей смеси» — не более 20—30% распы</w:t>
      </w:r>
      <w:r w:rsidRPr="00722885">
        <w:rPr>
          <w:rFonts w:ascii="Times New Roman" w:hAnsi="Times New Roman"/>
          <w:color w:val="000000" w:themeColor="text1"/>
          <w:sz w:val="16"/>
          <w:szCs w:val="16"/>
        </w:rPr>
        <w:softHyphen/>
        <w:t>ляемой огнесмеси. При этом полоса разлета огнесмеси от каждого АОГ в ширину не превышала 5 м, а кон</w:t>
      </w:r>
      <w:r w:rsidRPr="00722885">
        <w:rPr>
          <w:rFonts w:ascii="Times New Roman" w:hAnsi="Times New Roman"/>
          <w:color w:val="000000" w:themeColor="text1"/>
          <w:sz w:val="16"/>
          <w:szCs w:val="16"/>
        </w:rPr>
        <w:softHyphen/>
        <w:t>центрация огнесмеси внутри поло</w:t>
      </w:r>
      <w:r w:rsidRPr="00722885">
        <w:rPr>
          <w:rFonts w:ascii="Times New Roman" w:hAnsi="Times New Roman"/>
          <w:color w:val="000000" w:themeColor="text1"/>
          <w:sz w:val="16"/>
          <w:szCs w:val="16"/>
        </w:rPr>
        <w:softHyphen/>
        <w:t>сы не обеспечивала гарантирован</w:t>
      </w:r>
      <w:r w:rsidRPr="00722885">
        <w:rPr>
          <w:rFonts w:ascii="Times New Roman" w:hAnsi="Times New Roman"/>
          <w:color w:val="000000" w:themeColor="text1"/>
          <w:sz w:val="16"/>
          <w:szCs w:val="16"/>
        </w:rPr>
        <w:softHyphen/>
        <w:t>ного поражения целей: «подвижные цели могут своевременно выйти (из полосы поражения</w:t>
      </w:r>
      <w:r w:rsidRPr="00722885">
        <w:rPr>
          <w:rStyle w:val="BodytextItalic"/>
          <w:rFonts w:eastAsiaTheme="minorHAnsi"/>
          <w:i w:val="0"/>
          <w:color w:val="000000" w:themeColor="text1"/>
          <w:sz w:val="16"/>
          <w:szCs w:val="16"/>
        </w:rPr>
        <w:t xml:space="preserve">), </w:t>
      </w:r>
      <w:r w:rsidRPr="00722885">
        <w:rPr>
          <w:rFonts w:ascii="Times New Roman" w:hAnsi="Times New Roman"/>
          <w:color w:val="000000" w:themeColor="text1"/>
          <w:sz w:val="16"/>
          <w:szCs w:val="16"/>
        </w:rPr>
        <w:t>а неподвижные цели воспламенить затруднительно в силу небольшой мощности огневого факела и невы</w:t>
      </w:r>
      <w:r w:rsidRPr="00722885">
        <w:rPr>
          <w:rFonts w:ascii="Times New Roman" w:hAnsi="Times New Roman"/>
          <w:color w:val="000000" w:themeColor="text1"/>
          <w:sz w:val="16"/>
          <w:szCs w:val="16"/>
        </w:rPr>
        <w:softHyphen/>
        <w:t>сокой зажигательной способности огнесмеси».</w:t>
      </w:r>
    </w:p>
    <w:p w14:paraId="54325849" w14:textId="77777777" w:rsidR="00EA5E28" w:rsidRPr="00722885" w:rsidRDefault="00EA5E2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отчете по испытаниям начальник 3-го отде</w:t>
      </w:r>
      <w:r w:rsidRPr="00722885">
        <w:rPr>
          <w:color w:val="000000" w:themeColor="text1"/>
          <w:sz w:val="16"/>
          <w:szCs w:val="16"/>
        </w:rPr>
        <w:softHyphen/>
        <w:t>ления опытного отдела НИП АВ инженер-майор Дьячков и ведущий инженер по испытаниям инже</w:t>
      </w:r>
      <w:r w:rsidRPr="00722885">
        <w:rPr>
          <w:color w:val="000000" w:themeColor="text1"/>
          <w:sz w:val="16"/>
          <w:szCs w:val="16"/>
        </w:rPr>
        <w:softHyphen/>
        <w:t>нер-капитан Комарницкий констатировали: «Ави</w:t>
      </w:r>
      <w:r w:rsidRPr="00722885">
        <w:rPr>
          <w:color w:val="000000" w:themeColor="text1"/>
          <w:sz w:val="16"/>
          <w:szCs w:val="16"/>
        </w:rPr>
        <w:softHyphen/>
        <w:t>аогнемет конструкции ГСКБ-47 обладает малой эффективностью. /. / Затрата больших количеств горючего не оправдывается с точки зрения получа</w:t>
      </w:r>
      <w:r w:rsidRPr="00722885">
        <w:rPr>
          <w:color w:val="000000" w:themeColor="text1"/>
          <w:sz w:val="16"/>
          <w:szCs w:val="16"/>
        </w:rPr>
        <w:softHyphen/>
        <w:t>емого ничтожного боевого эффекта. /.../ В эксплуа</w:t>
      </w:r>
      <w:r w:rsidRPr="00722885">
        <w:rPr>
          <w:color w:val="000000" w:themeColor="text1"/>
          <w:sz w:val="16"/>
          <w:szCs w:val="16"/>
        </w:rPr>
        <w:softHyphen/>
        <w:t>тационном отношении огнемет менее удобен, чем существующие на вооружении другие зажигатель</w:t>
      </w:r>
      <w:r w:rsidRPr="00722885">
        <w:rPr>
          <w:color w:val="000000" w:themeColor="text1"/>
          <w:sz w:val="16"/>
          <w:szCs w:val="16"/>
        </w:rPr>
        <w:softHyphen/>
        <w:t>ные средства, например пакеты, бомбы, термоша</w:t>
      </w:r>
      <w:r w:rsidRPr="00722885">
        <w:rPr>
          <w:color w:val="000000" w:themeColor="text1"/>
          <w:sz w:val="16"/>
          <w:szCs w:val="16"/>
        </w:rPr>
        <w:softHyphen/>
        <w:t>ры и др. /.../ Предъявленный ГСКБ-47 авиационный огнемет на самолете Ил-2 полигонных испытаний не выдержал и, ввиду непригодности к боевому применению, доработке не подлежит» (17500).</w:t>
      </w:r>
    </w:p>
    <w:p w14:paraId="2A71D252" w14:textId="77777777" w:rsidR="00EA5E28" w:rsidRPr="00722885" w:rsidRDefault="00EA5E28" w:rsidP="00722885">
      <w:pPr>
        <w:spacing w:after="0" w:line="240" w:lineRule="auto"/>
        <w:jc w:val="both"/>
        <w:rPr>
          <w:rFonts w:ascii="Times New Roman" w:hAnsi="Times New Roman"/>
          <w:color w:val="000000" w:themeColor="text1"/>
          <w:sz w:val="16"/>
          <w:szCs w:val="16"/>
        </w:rPr>
      </w:pPr>
    </w:p>
    <w:p w14:paraId="6B9E59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 октября 1942 был подписан акт по испытаниям Ил-4 2М-88Б серийный N 2314 С.В.И. производства завода 23.</w:t>
      </w:r>
    </w:p>
    <w:p w14:paraId="34DE2D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Консоли крыла - деревянные</w:t>
      </w:r>
    </w:p>
    <w:p w14:paraId="4A90A2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Экипаж - 4</w:t>
      </w:r>
    </w:p>
    <w:p w14:paraId="29BFF1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 мощность - 1100 нр</w:t>
      </w:r>
    </w:p>
    <w:p w14:paraId="4392F3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Ном. мощность на высоте - 1100/4000, 1000/6000</w:t>
      </w:r>
    </w:p>
    <w:p w14:paraId="778244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 - 6421</w:t>
      </w:r>
    </w:p>
    <w:p w14:paraId="5B8C12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(норм./перегр.) - 10055/12130</w:t>
      </w:r>
    </w:p>
    <w:p w14:paraId="27A759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Пл. крыла - 67</w:t>
      </w:r>
    </w:p>
    <w:p w14:paraId="5A125D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p w14:paraId="0D8828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у земли - 332</w:t>
      </w:r>
    </w:p>
    <w:p w14:paraId="3B8B03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6550 - 404</w:t>
      </w:r>
    </w:p>
    <w:p w14:paraId="5EFFDD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Посад. скор. - 129</w:t>
      </w:r>
    </w:p>
    <w:p w14:paraId="18F120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подъема на 5000 м - 0:19</w:t>
      </w:r>
    </w:p>
    <w:p w14:paraId="757C1E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Практ. потолок - 8300</w:t>
      </w:r>
    </w:p>
    <w:p w14:paraId="35B429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Запас горючего</w:t>
      </w:r>
    </w:p>
    <w:p w14:paraId="5BA342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норм. - 1875</w:t>
      </w:r>
    </w:p>
    <w:p w14:paraId="2143BC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перегр. - 3770</w:t>
      </w:r>
    </w:p>
    <w:p w14:paraId="3E9125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Дальность</w:t>
      </w:r>
    </w:p>
    <w:p w14:paraId="616980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258 и высоте 4000 - 3585</w:t>
      </w:r>
    </w:p>
    <w:p w14:paraId="277CCB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189 и высоте 4000 - 4265</w:t>
      </w:r>
    </w:p>
    <w:p w14:paraId="79A9C5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- 530</w:t>
      </w:r>
    </w:p>
    <w:p w14:paraId="011837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Пробег - 575</w:t>
      </w:r>
    </w:p>
    <w:p w14:paraId="19142F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 старта до 25 м - 1600</w:t>
      </w:r>
    </w:p>
    <w:p w14:paraId="3668DA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Винт - АВ-5Ф-158А 3.5 м</w:t>
      </w:r>
    </w:p>
    <w:p w14:paraId="6F81E1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Вооружение:</w:t>
      </w:r>
    </w:p>
    <w:p w14:paraId="64B8AE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вперед - 1ШКАС с 500</w:t>
      </w:r>
    </w:p>
    <w:p w14:paraId="1BF84D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турель - 1УБТ с 200</w:t>
      </w:r>
    </w:p>
    <w:p w14:paraId="1FB992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люк - 1ШКАС с 500</w:t>
      </w:r>
    </w:p>
    <w:p w14:paraId="2D3EE6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 нормально - 1000</w:t>
      </w:r>
    </w:p>
    <w:p w14:paraId="610B69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 в перегруз - 1000 внутри + 1500 на внешней (1785).</w:t>
      </w:r>
    </w:p>
    <w:p w14:paraId="0DCA98CE" w14:textId="77777777" w:rsidR="00090C9B" w:rsidRPr="00722885" w:rsidRDefault="00090C9B" w:rsidP="00722885">
      <w:pPr>
        <w:pStyle w:val="Iauiue"/>
        <w:jc w:val="both"/>
        <w:rPr>
          <w:color w:val="000000" w:themeColor="text1"/>
          <w:sz w:val="16"/>
          <w:szCs w:val="16"/>
        </w:rPr>
      </w:pPr>
    </w:p>
    <w:p w14:paraId="3054D25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октября 1942 г. в Заключении по эскизному проекту дальнего ноч</w:t>
      </w:r>
      <w:r w:rsidRPr="00722885">
        <w:rPr>
          <w:rFonts w:ascii="Times New Roman" w:hAnsi="Times New Roman"/>
          <w:color w:val="000000" w:themeColor="text1"/>
          <w:sz w:val="16"/>
          <w:szCs w:val="16"/>
        </w:rPr>
        <w:softHyphen/>
        <w:t>ного бомбардировщика ДБ с АМ-37 ОКБ П.О.С., который был рассмотрен в НИИ ВВС КА, утвержденном глав</w:t>
      </w:r>
      <w:r w:rsidRPr="00722885">
        <w:rPr>
          <w:rFonts w:ascii="Times New Roman" w:hAnsi="Times New Roman"/>
          <w:color w:val="000000" w:themeColor="text1"/>
          <w:sz w:val="16"/>
          <w:szCs w:val="16"/>
        </w:rPr>
        <w:softHyphen/>
        <w:t>ным инженером ВВС, от</w:t>
      </w:r>
      <w:r w:rsidRPr="00722885">
        <w:rPr>
          <w:rFonts w:ascii="Times New Roman" w:hAnsi="Times New Roman"/>
          <w:color w:val="000000" w:themeColor="text1"/>
          <w:sz w:val="16"/>
          <w:szCs w:val="16"/>
        </w:rPr>
        <w:softHyphen/>
        <w:t>мечалось, что предъявленный эскиз</w:t>
      </w:r>
      <w:r w:rsidRPr="00722885">
        <w:rPr>
          <w:rFonts w:ascii="Times New Roman" w:hAnsi="Times New Roman"/>
          <w:color w:val="000000" w:themeColor="text1"/>
          <w:sz w:val="16"/>
          <w:szCs w:val="16"/>
        </w:rPr>
        <w:softHyphen/>
        <w:t>ный проект:</w:t>
      </w:r>
    </w:p>
    <w:p w14:paraId="4115C2E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«...утвержден быть не может, по следующим причинам:</w:t>
      </w:r>
    </w:p>
    <w:p w14:paraId="7AE2B7F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Одномоторная схема само</w:t>
      </w:r>
      <w:r w:rsidRPr="00722885">
        <w:rPr>
          <w:rFonts w:ascii="Times New Roman" w:hAnsi="Times New Roman"/>
          <w:color w:val="000000" w:themeColor="text1"/>
          <w:sz w:val="16"/>
          <w:szCs w:val="16"/>
        </w:rPr>
        <w:softHyphen/>
        <w:t>лета дальнего действия, из условий надежности и безопасности поле</w:t>
      </w:r>
      <w:r w:rsidRPr="00722885">
        <w:rPr>
          <w:rFonts w:ascii="Times New Roman" w:hAnsi="Times New Roman"/>
          <w:color w:val="000000" w:themeColor="text1"/>
          <w:sz w:val="16"/>
          <w:szCs w:val="16"/>
        </w:rPr>
        <w:softHyphen/>
        <w:t>та нецелесообразна.</w:t>
      </w:r>
    </w:p>
    <w:p w14:paraId="66B934D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 самолете автор проекта предполагает установить мотор АМ-37. Мотор с производства снят, в широкой эксплуатации не прове</w:t>
      </w:r>
      <w:r w:rsidRPr="00722885">
        <w:rPr>
          <w:rFonts w:ascii="Times New Roman" w:hAnsi="Times New Roman"/>
          <w:color w:val="000000" w:themeColor="text1"/>
          <w:sz w:val="16"/>
          <w:szCs w:val="16"/>
        </w:rPr>
        <w:softHyphen/>
        <w:t>рен и имеет ряд существенных де</w:t>
      </w:r>
      <w:r w:rsidRPr="00722885">
        <w:rPr>
          <w:rFonts w:ascii="Times New Roman" w:hAnsi="Times New Roman"/>
          <w:color w:val="000000" w:themeColor="text1"/>
          <w:sz w:val="16"/>
          <w:szCs w:val="16"/>
        </w:rPr>
        <w:softHyphen/>
        <w:t>фектов.</w:t>
      </w:r>
    </w:p>
    <w:p w14:paraId="6A2DAE9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Взлетные свойства самолета (тем более, ночного) неудовлетво</w:t>
      </w:r>
      <w:r w:rsidRPr="00722885">
        <w:rPr>
          <w:rFonts w:ascii="Times New Roman" w:hAnsi="Times New Roman"/>
          <w:color w:val="000000" w:themeColor="text1"/>
          <w:sz w:val="16"/>
          <w:szCs w:val="16"/>
        </w:rPr>
        <w:softHyphen/>
        <w:t>рительные. (Разбег 1030 м в нор</w:t>
      </w:r>
      <w:r w:rsidRPr="00722885">
        <w:rPr>
          <w:rFonts w:ascii="Times New Roman" w:hAnsi="Times New Roman"/>
          <w:color w:val="000000" w:themeColor="text1"/>
          <w:sz w:val="16"/>
          <w:szCs w:val="16"/>
        </w:rPr>
        <w:softHyphen/>
        <w:t>мальном варианте).</w:t>
      </w:r>
    </w:p>
    <w:p w14:paraId="758ED7E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Размещение и количество эки</w:t>
      </w:r>
      <w:r w:rsidRPr="00722885">
        <w:rPr>
          <w:rFonts w:ascii="Times New Roman" w:hAnsi="Times New Roman"/>
          <w:color w:val="000000" w:themeColor="text1"/>
          <w:sz w:val="16"/>
          <w:szCs w:val="16"/>
        </w:rPr>
        <w:softHyphen/>
        <w:t>пажа не обеспечит нормальное выполнение боевого задания:</w:t>
      </w:r>
    </w:p>
    <w:p w14:paraId="03FE847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одному летчику физически трудно производить полет ночью в течение 10 часов на высоте 6000 -8000 м;</w:t>
      </w:r>
    </w:p>
    <w:p w14:paraId="562D0D0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штурман не сможет выполнять обязанности^, навигатора, бомбар</w:t>
      </w:r>
      <w:r w:rsidRPr="00722885">
        <w:rPr>
          <w:rFonts w:ascii="Times New Roman" w:hAnsi="Times New Roman"/>
          <w:color w:val="000000" w:themeColor="text1"/>
          <w:sz w:val="16"/>
          <w:szCs w:val="16"/>
        </w:rPr>
        <w:softHyphen/>
        <w:t>дира и стрелка-радиста, тем более, что рабочие места его располо</w:t>
      </w:r>
      <w:r w:rsidRPr="00722885">
        <w:rPr>
          <w:rFonts w:ascii="Times New Roman" w:hAnsi="Times New Roman"/>
          <w:color w:val="000000" w:themeColor="text1"/>
          <w:sz w:val="16"/>
          <w:szCs w:val="16"/>
        </w:rPr>
        <w:softHyphen/>
        <w:t>жены в разных кабинах».</w:t>
      </w:r>
    </w:p>
    <w:p w14:paraId="1959445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в Заключение по эскизному проекту ДБ-АМ-37 были включены замечания консультанта НИИ ВВС КА генерал-майора ИАС В.С.Пышнова:</w:t>
      </w:r>
    </w:p>
    <w:p w14:paraId="109FC16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«Желание построить бомбар</w:t>
      </w:r>
      <w:r w:rsidRPr="00722885">
        <w:rPr>
          <w:rFonts w:ascii="Times New Roman" w:hAnsi="Times New Roman"/>
          <w:color w:val="000000" w:themeColor="text1"/>
          <w:sz w:val="16"/>
          <w:szCs w:val="16"/>
        </w:rPr>
        <w:softHyphen/>
        <w:t>дировщик с большой производитель</w:t>
      </w:r>
      <w:r w:rsidRPr="00722885">
        <w:rPr>
          <w:rFonts w:ascii="Times New Roman" w:hAnsi="Times New Roman"/>
          <w:color w:val="000000" w:themeColor="text1"/>
          <w:sz w:val="16"/>
          <w:szCs w:val="16"/>
        </w:rPr>
        <w:softHyphen/>
        <w:t>ностью, т.е. хорошим соотношени</w:t>
      </w:r>
      <w:r w:rsidRPr="00722885">
        <w:rPr>
          <w:rFonts w:ascii="Times New Roman" w:hAnsi="Times New Roman"/>
          <w:color w:val="000000" w:themeColor="text1"/>
          <w:sz w:val="16"/>
          <w:szCs w:val="16"/>
        </w:rPr>
        <w:softHyphen/>
        <w:t>ем между весом бомб и расходом горючего, заслуживает одобрения. Однако в этом деле не следует очень увлекаться. Улучшение про</w:t>
      </w:r>
      <w:r w:rsidRPr="00722885">
        <w:rPr>
          <w:rFonts w:ascii="Times New Roman" w:hAnsi="Times New Roman"/>
          <w:color w:val="000000" w:themeColor="text1"/>
          <w:sz w:val="16"/>
          <w:szCs w:val="16"/>
        </w:rPr>
        <w:softHyphen/>
        <w:t>изводительности дается ценой боль</w:t>
      </w:r>
      <w:r w:rsidRPr="00722885">
        <w:rPr>
          <w:rFonts w:ascii="Times New Roman" w:hAnsi="Times New Roman"/>
          <w:color w:val="000000" w:themeColor="text1"/>
          <w:sz w:val="16"/>
          <w:szCs w:val="16"/>
        </w:rPr>
        <w:softHyphen/>
        <w:t>шой работы над конструкцией и удачным замыслом.</w:t>
      </w:r>
    </w:p>
    <w:p w14:paraId="5BCB79A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Обещание увеличить произво</w:t>
      </w:r>
      <w:r w:rsidRPr="00722885">
        <w:rPr>
          <w:rFonts w:ascii="Times New Roman" w:hAnsi="Times New Roman"/>
          <w:color w:val="000000" w:themeColor="text1"/>
          <w:sz w:val="16"/>
          <w:szCs w:val="16"/>
        </w:rPr>
        <w:softHyphen/>
        <w:t>дительность в 4 раза не может не вызвать сомнений.</w:t>
      </w:r>
    </w:p>
    <w:p w14:paraId="2807422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Во-первых, едва ли целесообраз</w:t>
      </w:r>
      <w:r w:rsidRPr="00722885">
        <w:rPr>
          <w:rFonts w:ascii="Times New Roman" w:hAnsi="Times New Roman"/>
          <w:color w:val="000000" w:themeColor="text1"/>
          <w:sz w:val="16"/>
          <w:szCs w:val="16"/>
        </w:rPr>
        <w:softHyphen/>
        <w:t>но одномоторный бомбардировщик делать дальним. Здесь дело не толь</w:t>
      </w:r>
      <w:r w:rsidRPr="00722885">
        <w:rPr>
          <w:rFonts w:ascii="Times New Roman" w:hAnsi="Times New Roman"/>
          <w:color w:val="000000" w:themeColor="text1"/>
          <w:sz w:val="16"/>
          <w:szCs w:val="16"/>
        </w:rPr>
        <w:softHyphen/>
        <w:t>ко в надежности, но и в возможно</w:t>
      </w:r>
      <w:r w:rsidRPr="00722885">
        <w:rPr>
          <w:rFonts w:ascii="Times New Roman" w:hAnsi="Times New Roman"/>
          <w:color w:val="000000" w:themeColor="text1"/>
          <w:sz w:val="16"/>
          <w:szCs w:val="16"/>
        </w:rPr>
        <w:softHyphen/>
        <w:t>сти размещения спецоборудования. В самолете применено необычное размещение экипажа. Обстрел штурмана сильно стеснен крылом.</w:t>
      </w:r>
    </w:p>
    <w:p w14:paraId="3981B26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Основной вопрос о полетном весе. Ночной старт труден и его не следует выполнять с предельно большим весом. Нормальный полет</w:t>
      </w:r>
      <w:r w:rsidRPr="00722885">
        <w:rPr>
          <w:rFonts w:ascii="Times New Roman" w:hAnsi="Times New Roman"/>
          <w:color w:val="000000" w:themeColor="text1"/>
          <w:sz w:val="16"/>
          <w:szCs w:val="16"/>
        </w:rPr>
        <w:softHyphen/>
        <w:t>ный вес данного самолета едва ли можно принять более 8000 - 8500 кг. Потребная величина аэродро</w:t>
      </w:r>
      <w:r w:rsidRPr="00722885">
        <w:rPr>
          <w:rFonts w:ascii="Times New Roman" w:hAnsi="Times New Roman"/>
          <w:color w:val="000000" w:themeColor="text1"/>
          <w:sz w:val="16"/>
          <w:szCs w:val="16"/>
        </w:rPr>
        <w:softHyphen/>
        <w:t>ма должна быть, примерно в 2 раза более длины разбега, т.е. свыше 2 км. Следует предложить конструк</w:t>
      </w:r>
      <w:r w:rsidRPr="00722885">
        <w:rPr>
          <w:rFonts w:ascii="Times New Roman" w:hAnsi="Times New Roman"/>
          <w:color w:val="000000" w:themeColor="text1"/>
          <w:sz w:val="16"/>
          <w:szCs w:val="16"/>
        </w:rPr>
        <w:softHyphen/>
        <w:t>тору еще поработать над проек</w:t>
      </w:r>
      <w:r w:rsidRPr="00722885">
        <w:rPr>
          <w:rFonts w:ascii="Times New Roman" w:hAnsi="Times New Roman"/>
          <w:color w:val="000000" w:themeColor="text1"/>
          <w:sz w:val="16"/>
          <w:szCs w:val="16"/>
        </w:rPr>
        <w:softHyphen/>
        <w:t>том» (11758).</w:t>
      </w:r>
    </w:p>
    <w:p w14:paraId="3FA4EF6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5813D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октября 1942 вышло Постановление ГКО № 2434 О порядке решения через НКВТ вопросов поставок самолетов по Восточной трассе. РГАНИР, Фонд ГКО, д. 65, лл. 27 (11012).</w:t>
      </w:r>
    </w:p>
    <w:p w14:paraId="3A13C8E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40E0CB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Другие оборонные отрасли:</w:t>
      </w:r>
    </w:p>
    <w:p w14:paraId="4A09E1E7" w14:textId="77777777" w:rsidR="00090C9B" w:rsidRPr="00722885" w:rsidRDefault="00090C9B" w:rsidP="00722885">
      <w:pPr>
        <w:pStyle w:val="Iauiue"/>
        <w:jc w:val="both"/>
        <w:rPr>
          <w:iCs/>
          <w:color w:val="000000" w:themeColor="text1"/>
          <w:sz w:val="16"/>
          <w:szCs w:val="16"/>
        </w:rPr>
      </w:pPr>
    </w:p>
    <w:p w14:paraId="782C41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 октября 1942 И.В.Курчатов был вызван в Москву для руководства атомным проектом (384,108).</w:t>
      </w:r>
    </w:p>
    <w:p w14:paraId="54DC5208" w14:textId="77777777" w:rsidR="00090C9B" w:rsidRPr="00722885" w:rsidRDefault="00090C9B" w:rsidP="00722885">
      <w:pPr>
        <w:pStyle w:val="Iauiue"/>
        <w:jc w:val="both"/>
        <w:rPr>
          <w:color w:val="000000" w:themeColor="text1"/>
          <w:sz w:val="16"/>
          <w:szCs w:val="16"/>
        </w:rPr>
      </w:pPr>
    </w:p>
    <w:p w14:paraId="2343EE9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02445F0" w14:textId="77777777" w:rsidR="00090C9B" w:rsidRPr="00722885" w:rsidRDefault="00090C9B" w:rsidP="00722885">
      <w:pPr>
        <w:pStyle w:val="Iauiue"/>
        <w:jc w:val="both"/>
        <w:rPr>
          <w:iCs/>
          <w:color w:val="000000" w:themeColor="text1"/>
          <w:sz w:val="16"/>
          <w:szCs w:val="16"/>
        </w:rPr>
      </w:pPr>
    </w:p>
    <w:p w14:paraId="0A9BB513"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21 октября </w:t>
      </w:r>
      <w:r w:rsidRPr="00722885">
        <w:rPr>
          <w:rFonts w:ascii="Times New Roman" w:hAnsi="Times New Roman"/>
          <w:color w:val="000000" w:themeColor="text1"/>
          <w:sz w:val="16"/>
          <w:szCs w:val="16"/>
        </w:rPr>
        <w:t>в 1942 году утреннее сообщение Совинформбюро:</w:t>
      </w:r>
    </w:p>
    <w:p w14:paraId="127E45D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21 октября наши войска вели бои с противником в районе Сталинграда и в районе Моздока. На других фронтах никаких изменений не произошло.</w:t>
      </w:r>
    </w:p>
    <w:p w14:paraId="11490F5A"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бойцы Н-ской части отбили несколько атак и отбросили противника на исходные рубежи. В этом бою уничтожено до роты немецкой пехоты. Гвардии красноармеец т. Краснопольский уничтожил 30 гитлеровцев, сержант т. Сергиенко огнём из автомата истребил 44 немецких солдата. Огневыми налётами гвардейцев-миномётчиков сожжено 2 немецких танка, подавлен огонь 13 артиллерийских батарей, рассеяно и частью уничтожено до роты пехоты противника.</w:t>
      </w:r>
    </w:p>
    <w:p w14:paraId="3ADEAF46"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разведчики Н-ской части взорвали 6 укреплённых точек противника, уничтожили орудие, 3 пулемёта и истребили до 100 гитлеровцев. На другом участке группа наших разведчиков проникла в расположение противника и подожгла склад с горючим.</w:t>
      </w:r>
    </w:p>
    <w:p w14:paraId="0BF6DBC6"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отбили атаку противника и улучшили свои позиции. Наши лётчики в воздушных боях сбили 3 немецких самолёта, уничтожили 3 орудия, 10 вагонов с грузами и взорвали склад с боеприпасами противника.</w:t>
      </w:r>
    </w:p>
    <w:p w14:paraId="1859F3BA"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бойцы под командованием капитана Хиненко отразили шесть атак противника и уничтожили свыше 100 гитлеровцев. На другом участке советские бойцы очистили от немцев две высоты. Артиллерийским и миномётным огнём разрушено несколько ДЗОТ'ов и уничтожена миномётная батарея противника.</w:t>
      </w:r>
    </w:p>
    <w:p w14:paraId="4DE7F44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 подразделения истребили до 300 вражеских солдат и офицеров. Огнём артиллерии уничтожены минометная батарея и противотанковая пушка, взорван склад боеприпасов, разрушено 10 ДЗОТ'ов, 14 блиндажей и 3 наблюдательных пункта противника.</w:t>
      </w:r>
    </w:p>
    <w:p w14:paraId="5692E2C4"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Минской области, за последние двадцать дней пустил под откос 3 железнодорожных эшелона немецко-фашистских оккупантов. Разбито 23 и повреждено 28 вагонов. Группа партизан этого отряда подожгла состав с горючим. Сгорело 11 цистерн с бензином. За это же время партизаны отряда из засад уничтожили немецкого подполковника, двух лейтенантов и 47 солдат.</w:t>
      </w:r>
    </w:p>
    <w:p w14:paraId="5C12620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другого отряда совершили смелое нападение на немецкую железнодорожную охрану. Советские патриоты убили 10 гитлеровцев, вывели из строя паровоз и взорвали железнодорожный путь.</w:t>
      </w:r>
    </w:p>
    <w:p w14:paraId="484784C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в плен немецкий ефрейтор Ганс Фольгнер рассказал: «Немецкое радио каждый день сообщает об огромных потерях русской авиации. Насколько лживы эти сообщения, свидетельствует следующий пример. В начале октября я вместе с обер-лейтенантом Отто ехал на автомашине из Сычёвки в Вязьму. В это время на аэродром, находящийся с правой стороны дороги, налетело 37 русских самолётов. Мы выскочили из машины и залегли. Русские лётчики чувствовали себя здесь полными хозяевами. Несмотря на огонь зенитной артиллерии, они летали очень низко. Здесь я видел, как загорелся один русский бомбардировщик. Все остальные сбросили бомбы и улетели. Один из офицеров сказал обер-лейтенанту Отто: «Сегодняшний визит русских обошёлся нам очень дорого. Они уничтожили около 50 самолётов». Утром, когда мы уже были в Вязьме, по радио было передано следующее сообщение: «37 советских самолётов пытались совершить налёт на один из наших аэродромов на Центральном фронте. Огнем зенитной артиллерии уничтожено 24 советских самолёта». Слушая это сообщение, я лишний раз убедился, как беззастенчиво врёт немецкое радио, обманывая всех, кто слушает передачи».</w:t>
      </w:r>
    </w:p>
    <w:p w14:paraId="7ABE99A4"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бандиты учинили зверскую расправу над семьёй красноармейца Чуева, проживающей в деревне Городня, Ленинградской области. Немцы расстреляли жену Чуева, двух сыновей и дочь. Долгое время трупы расстрелянных лежали в канаве у дороги, так как гитлеровские бандиты запретили их хоронить.» (14806).</w:t>
      </w:r>
    </w:p>
    <w:p w14:paraId="7D191B5D"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473BC97A"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21 октября </w:t>
      </w:r>
      <w:r w:rsidRPr="00722885">
        <w:rPr>
          <w:rFonts w:ascii="Times New Roman" w:hAnsi="Times New Roman"/>
          <w:color w:val="000000" w:themeColor="text1"/>
          <w:sz w:val="16"/>
          <w:szCs w:val="16"/>
        </w:rPr>
        <w:t>в 1942 году вечернее сообщение Совинформбюро:</w:t>
      </w:r>
    </w:p>
    <w:p w14:paraId="5BAD2F8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21 октября наши войска вели бои с противником в районе Сталинграда и в районе Моздока. На других фронтах никаких изменений не произошло.</w:t>
      </w:r>
    </w:p>
    <w:p w14:paraId="1E061316"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Финском заливе потоплено три транспорта противника общим водоизмещением в 16000 тонн; в Чёрном море наш корабль потопил румынский эсминец типа «Король Фердинанд».</w:t>
      </w:r>
    </w:p>
    <w:p w14:paraId="6A16E4D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пехота и танки противника неоднократно атаковали наши позиции. Все атаки гитлеровцев отбиты с большими для противника потерями. В районе одного из заводов наши бойцы заняли несколько зданий и уничтожили 150 гитлеровцев, 2 миномётные батареи и 5 пулемётных точек. Бронебойщик тов. Громовой, зайдя во фланг наступающему противнику, меткими выстрелами из противотанкового ружья уничтожил 2 немецких танка. Огнём нашей артиллерии подбито и сожжено 9 немецких танков и истреблено до двух рот вражеской пехоты.</w:t>
      </w:r>
    </w:p>
    <w:p w14:paraId="0B551E1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одном из участков наши части вели активные боевые действия. На других участках происходили артиллерийско-миномётная перестрелка и бои местного значения. Бойцы Н-ской части отбили несколько атак гитлеровцев и уничтожили 2 противотанковых орудия, склад боеприпасов и до роты пехоты противника.</w:t>
      </w:r>
    </w:p>
    <w:p w14:paraId="5B70FF7F"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оставались на прежних позициях, вели боевую разведку и на отдельных участках отражали атаки противника. Бойцы Н-ской гвардейской части отбили атаку немецкой пехоты силою до двух батальонов и 25 танков. В результате этого боя подбито и сожжено 5 немецких танков и уничтоженодо 200 солдат и офицеров противника. Гвардии лейтенант тов. Кузьмин связкой гранат подорвал немецкий танк. Гвардии красноармеец тов. Антипов бутылкой с горючей смесью поджёг танк и уничтожил немецких танкистов, пытавшихся бежать. Автоматчики во главе с командиром тов. Богузиза в одном бою уничтожили 40 гитлеровцев.</w:t>
      </w:r>
    </w:p>
    <w:p w14:paraId="1906977C"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отбивали атаки противника. В районе одной высоты немцы пять раз атаковали наши опорные пункты, но, не добившись успеха, отступили на исходные позиции. В боях за эту высоту уничтожено до двух рот пехоты противника. На других участках происходили поиски разведчиков. Санинструктор т. Вохлянцев за последнее время под обстрелом противника вынес с поля боя 50 раненых бойцов и командиров.</w:t>
      </w:r>
    </w:p>
    <w:p w14:paraId="2CEE3C8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орловских партизан совершил смелый налёт на укреплённый немцами населённый пункт, находящийся в прифронтовой полосе. Советские патриоты истребили 40 оккупантов, уничтожили 8 повозок, 6 станковых пулемётов, взорвали склад с боеприпасами и снаряжением. Захвачены трофеи: 2 пулемёта, 24 винтовки и 11000 винтовочных патронов. Партизаны другого отряда за последние десять дней пустили под откос три вражеских железнодорожных эшелона с войсками и вооружением. Разбито 56 вагонов и 10 платформ. Во время крушений погибло много немецких солдат и офицеров.</w:t>
      </w:r>
    </w:p>
    <w:p w14:paraId="4A95B22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Ленинградской области группа партизан пустила под откос 4 железнодорожных эшелона немецко-фашистских оккупантов, в том числе один состав с горючим.</w:t>
      </w:r>
    </w:p>
    <w:p w14:paraId="6BE08690"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 артиллерийского полка 1 румынской пехотной дивизии Ион Пуц рассказал: «В сентябре в нашу дивизию приехал генерал Драголина. У штаба собралось очень много солдат. Когда генерал вышел, из толпы раздались возгласы: «Верните нас домой!», «Мы не хотим здесь погибать». Все попытки жандармов восстановить порядок не достигли цели».</w:t>
      </w:r>
    </w:p>
    <w:p w14:paraId="1F9740F2"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грабят крестьян оккупированных районов Смоленской области, душат их поборами и налогами. В Стодолищенском районе немцы обязали всех крестьян сдать с каждого гектара по 30 пудов ржи. Крестьяне, доведённые до крайнего предела нищеты и голода, отказались выполнить распоряжение гитлеровских властей. Фашистские мерзавцы обрушили на население жестокие репрессии. Гитлеровские бандиты замучили, расстреляли и повесили 37 колхозников.</w:t>
      </w:r>
    </w:p>
    <w:p w14:paraId="08A3367F"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Гаспаррона (Франция) патриоты произвели налёт на немецкий военный склад. Днём вооружённые французы сняли часовых, ворвались в склад, захватили 6 пулемётов, 40 винтовок, несколько тысяч патронов искрылись (14806).</w:t>
      </w:r>
    </w:p>
    <w:p w14:paraId="786E4A8C"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3A2EE7B4"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21 октября </w:t>
      </w:r>
      <w:r w:rsidRPr="00722885">
        <w:rPr>
          <w:rFonts w:ascii="Times New Roman" w:hAnsi="Times New Roman"/>
          <w:color w:val="000000" w:themeColor="text1"/>
          <w:sz w:val="16"/>
          <w:szCs w:val="16"/>
        </w:rPr>
        <w:t xml:space="preserve">в 1942 году советские войска предпринимают неудачную попытку прорыва блокады Ленинграда в районе Ладоги </w:t>
      </w:r>
    </w:p>
    <w:p w14:paraId="347BAE32"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07D68AC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21 октября 1942 советские войска предприняли неудачную попытку прорыва блокады Ленинграда в районе Ладоги (4962).</w:t>
      </w:r>
    </w:p>
    <w:p w14:paraId="4C96F398" w14:textId="77777777" w:rsidR="00090C9B" w:rsidRPr="00722885" w:rsidRDefault="00090C9B" w:rsidP="00722885">
      <w:pPr>
        <w:pStyle w:val="Iauiue"/>
        <w:tabs>
          <w:tab w:val="left" w:pos="11199"/>
        </w:tabs>
        <w:jc w:val="both"/>
        <w:rPr>
          <w:color w:val="000000" w:themeColor="text1"/>
          <w:sz w:val="16"/>
          <w:szCs w:val="16"/>
        </w:rPr>
      </w:pPr>
    </w:p>
    <w:p w14:paraId="560BFF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 октября 1942 НКВМФ Н.Г.Кузнецов выпустил директиву N 9/325 о положительном опыте использования торпедоносной авиации на КБФ (2120).</w:t>
      </w:r>
    </w:p>
    <w:p w14:paraId="255050E7" w14:textId="77777777" w:rsidR="00090C9B" w:rsidRPr="00722885" w:rsidRDefault="00090C9B" w:rsidP="00722885">
      <w:pPr>
        <w:pStyle w:val="Iauiue"/>
        <w:jc w:val="both"/>
        <w:rPr>
          <w:color w:val="000000" w:themeColor="text1"/>
          <w:sz w:val="16"/>
          <w:szCs w:val="16"/>
        </w:rPr>
      </w:pPr>
    </w:p>
    <w:p w14:paraId="153C77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 октября 1942 л Московской авиагруппы ОН ГВФ П.Ф.Еромасов и И.Е.Мосолов на Ли-2 совершили ночью беспосадочный полет из Москвы в Восточную Пруссию на 2400 км по заданию Генштаба. В районе Селижаровых озер шли на бреющем (438,858).</w:t>
      </w:r>
    </w:p>
    <w:p w14:paraId="4BC6EAF4" w14:textId="77777777" w:rsidR="00090C9B" w:rsidRPr="00722885" w:rsidRDefault="00090C9B" w:rsidP="00722885">
      <w:pPr>
        <w:pStyle w:val="Iauiue"/>
        <w:jc w:val="both"/>
        <w:rPr>
          <w:color w:val="000000" w:themeColor="text1"/>
          <w:sz w:val="16"/>
          <w:szCs w:val="16"/>
        </w:rPr>
      </w:pPr>
    </w:p>
    <w:p w14:paraId="29306FB4" w14:textId="77777777" w:rsidR="009F7EBD"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23A16CB" w14:textId="77777777" w:rsidR="009F7EBD" w:rsidRPr="00722885" w:rsidRDefault="009F7EBD" w:rsidP="00722885">
      <w:pPr>
        <w:pStyle w:val="Iauiue"/>
        <w:jc w:val="both"/>
        <w:rPr>
          <w:iCs/>
          <w:color w:val="000000" w:themeColor="text1"/>
          <w:sz w:val="16"/>
          <w:szCs w:val="16"/>
        </w:rPr>
      </w:pPr>
    </w:p>
    <w:p w14:paraId="302EAFE7" w14:textId="77777777" w:rsidR="00E4578F" w:rsidRPr="00722885" w:rsidRDefault="00E4578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21 октября 1942 в рейде из Гавайев в Кантон - Айленд, летающая крепость Boeing B-17D с топ асом Первой мировой войны, Эдди Rickenbacker в ходе на экскурсию по тихоокеанским базам США, сбиваются с пути на сотни миль из - за неисправности навигационного оборудования и садятся в океан из-за недостатка топлива. Все семь человек на борту попадают в спасательные плоты и будут дрейфовать 22 дня, прежде чем их спасут (20793).</w:t>
      </w:r>
    </w:p>
    <w:p w14:paraId="0A1EED3D" w14:textId="77777777" w:rsidR="00E4578F" w:rsidRPr="00722885" w:rsidRDefault="00E4578F" w:rsidP="00722885">
      <w:pPr>
        <w:spacing w:after="0" w:line="240" w:lineRule="auto"/>
        <w:jc w:val="both"/>
        <w:rPr>
          <w:rFonts w:ascii="Times New Roman" w:hAnsi="Times New Roman"/>
          <w:color w:val="0070C0"/>
          <w:sz w:val="16"/>
          <w:szCs w:val="16"/>
        </w:rPr>
      </w:pPr>
    </w:p>
    <w:p w14:paraId="5F7FF91A" w14:textId="77777777" w:rsidR="00E4578F" w:rsidRPr="00722885" w:rsidRDefault="00E4578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21 октября 1942 для первого удара по базе немецкого подводного флота была поднята почти половина всех имевшихся в распоряжении Спаатса В-17Е — 90 машин. Но из-за низкой обученности экипажей и ошибок метеослужбы в определении прогноза погоды до цели дошли только 15 бомбардировщиков, которые не поразили ни одного назначенного объекта. Аналогично закончился и второй налет на Сен-Назер 43-х американских В-17Е 9 ноября. Даже прямые попадания не наносили вреда укрытиям, т.к. бетонобойных бомб не было (22938).</w:t>
      </w:r>
    </w:p>
    <w:p w14:paraId="4B844046" w14:textId="77777777" w:rsidR="00E4578F" w:rsidRPr="00722885" w:rsidRDefault="00E4578F" w:rsidP="00722885">
      <w:pPr>
        <w:spacing w:after="0" w:line="240" w:lineRule="auto"/>
        <w:jc w:val="both"/>
        <w:rPr>
          <w:rFonts w:ascii="Times New Roman" w:hAnsi="Times New Roman"/>
          <w:color w:val="0070C0"/>
          <w:sz w:val="16"/>
          <w:szCs w:val="16"/>
        </w:rPr>
      </w:pPr>
    </w:p>
    <w:p w14:paraId="498951BF"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21 октября </w:t>
      </w:r>
      <w:r w:rsidRPr="00722885">
        <w:rPr>
          <w:rFonts w:ascii="Times New Roman" w:hAnsi="Times New Roman"/>
          <w:color w:val="000000" w:themeColor="text1"/>
          <w:sz w:val="16"/>
          <w:szCs w:val="16"/>
        </w:rPr>
        <w:t>в 1942 году У.Черчилль в секретном меморандуме отмечал, что правительство Чан Кай-ши будет, безусловно, на стороне США «при любой попытке американцев ликвидировать Британскую заморскую империю» (14806).</w:t>
      </w:r>
    </w:p>
    <w:p w14:paraId="3411EAB9"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2E6688FC"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21 октября </w:t>
      </w:r>
      <w:r w:rsidRPr="00722885">
        <w:rPr>
          <w:rFonts w:ascii="Times New Roman" w:hAnsi="Times New Roman"/>
          <w:color w:val="000000" w:themeColor="text1"/>
          <w:sz w:val="16"/>
          <w:szCs w:val="16"/>
        </w:rPr>
        <w:t>в 1942 году (21-26 октября) неудачное наступление японской армии на Гуадалканале (14806).</w:t>
      </w:r>
    </w:p>
    <w:p w14:paraId="2EA1F3DB"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1614D6E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8851431" w14:textId="77777777" w:rsidR="00090C9B" w:rsidRPr="00722885" w:rsidRDefault="00090C9B" w:rsidP="00722885">
      <w:pPr>
        <w:pStyle w:val="Iauiue"/>
        <w:jc w:val="both"/>
        <w:rPr>
          <w:iCs/>
          <w:color w:val="000000" w:themeColor="text1"/>
          <w:sz w:val="16"/>
          <w:szCs w:val="16"/>
        </w:rPr>
      </w:pPr>
    </w:p>
    <w:p w14:paraId="64645F16" w14:textId="77777777" w:rsidR="00090C9B" w:rsidRPr="00722885" w:rsidRDefault="00090C9B"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22 октября 1942 года для выполнения решения ГКО от 19 октября приказом наркома танковой промышленности на Уралмашзаводе была организована специальная конструкторская группа в составе Н.В.Курина, Г.Ф.Нсюнина, А.Д.Неклюдова, К.Н.Ильина, И.И.Эммануилова, И.С.Сазонова и др. Руководство всеми работами по проектированию и изготовлению САУ осуществляли Л.И.Горлицкий и заместитель наркома танковой промышленности Ж.Я.Котин. Разрабатываемой установке был присвоен заводской индекс У-35, но впоследствии по указанию ГАБТУ Красной Армии индекс "был изменен на СУ-122. На создание машины давался очень короткий срок: все работы по проектированию и изготовлению опытного образца нужно было выполнить в течение месяца, то есть к 20 ноября 1942 года, поскольку уже 25 ноября должны были начаться государственные испытания.</w:t>
      </w:r>
    </w:p>
    <w:p w14:paraId="79A0AD2D" w14:textId="77777777" w:rsidR="00090C9B" w:rsidRPr="00722885" w:rsidRDefault="00090C9B"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После того как конструкторский отдел "Уралмаша" закончил рабочий проект САУ, межведомственная комиссия представителей ГАУ и НКТП подробно его рассмотрела. Кроме того, рассматривался и проект, выполненный ранее заводом № 9, поскольку на изготовление САУ по своим проектам претендовали оба завода. Комиссией был рекомендован для изготовления проект Уралмашзавода, поскольку он имел лучшие технические показатели (9636).</w:t>
      </w:r>
    </w:p>
    <w:p w14:paraId="24207D8D" w14:textId="77777777" w:rsidR="00090C9B" w:rsidRPr="00722885" w:rsidRDefault="00090C9B" w:rsidP="00722885">
      <w:pPr>
        <w:pStyle w:val="a8"/>
        <w:widowControl/>
        <w:jc w:val="both"/>
        <w:rPr>
          <w:rFonts w:ascii="Times New Roman" w:hAnsi="Times New Roman" w:cs="Times New Roman"/>
          <w:color w:val="000000" w:themeColor="text1"/>
        </w:rPr>
      </w:pPr>
    </w:p>
    <w:p w14:paraId="0D7D5AC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октября 1942 для выполнения постановления ГКО № 2429сс от 19 октября 1942 г. приказом по НКТП № 721 от на Уралмаше была создана ОКГ (осо</w:t>
      </w:r>
      <w:r w:rsidRPr="00722885">
        <w:rPr>
          <w:rFonts w:ascii="Times New Roman" w:hAnsi="Times New Roman"/>
          <w:color w:val="000000" w:themeColor="text1"/>
          <w:sz w:val="16"/>
          <w:szCs w:val="16"/>
        </w:rPr>
        <w:softHyphen/>
        <w:t>бая конструкторская группа) САУ под руководством Л.И. Горлицкого. В группу вошли конструкторы Н.В. Ку</w:t>
      </w:r>
      <w:r w:rsidRPr="00722885">
        <w:rPr>
          <w:rFonts w:ascii="Times New Roman" w:hAnsi="Times New Roman"/>
          <w:color w:val="000000" w:themeColor="text1"/>
          <w:sz w:val="16"/>
          <w:szCs w:val="16"/>
        </w:rPr>
        <w:softHyphen/>
        <w:t>рин, Г.Ф. Ксюнин, А.Д. Неклюдов, К.Н. Ильин, И.С. Са</w:t>
      </w:r>
      <w:r w:rsidRPr="00722885">
        <w:rPr>
          <w:rFonts w:ascii="Times New Roman" w:hAnsi="Times New Roman"/>
          <w:color w:val="000000" w:themeColor="text1"/>
          <w:sz w:val="16"/>
          <w:szCs w:val="16"/>
        </w:rPr>
        <w:softHyphen/>
        <w:t>занов, И.И. Эммануилов, составившие впоследствии ядро созданного в начале 1943 г. КБ. Курировал создание СУ-122 лично замнаркома НКТП Ж.Я. Котин. Группа по</w:t>
      </w:r>
      <w:r w:rsidRPr="00722885">
        <w:rPr>
          <w:rFonts w:ascii="Times New Roman" w:hAnsi="Times New Roman"/>
          <w:color w:val="000000" w:themeColor="text1"/>
          <w:sz w:val="16"/>
          <w:szCs w:val="16"/>
        </w:rPr>
        <w:softHyphen/>
        <w:t>лучила все материалы по проекту завода № 9 и на основа</w:t>
      </w:r>
      <w:r w:rsidRPr="00722885">
        <w:rPr>
          <w:rFonts w:ascii="Times New Roman" w:hAnsi="Times New Roman"/>
          <w:color w:val="000000" w:themeColor="text1"/>
          <w:sz w:val="16"/>
          <w:szCs w:val="16"/>
        </w:rPr>
        <w:softHyphen/>
        <w:t>нии их, а также уточненного проекта У-34 в кратчайшие сроки выполнила проект артсамохода У-35, который уже 29 октября был представлен межведомственной комиссии представителей ГАУ и НКТП для утверждения.</w:t>
      </w:r>
    </w:p>
    <w:p w14:paraId="1D101B8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Помимо проекта Уралмашзавода комиссия рассмотрела также доработанный проект установки орудия М-30 на шас</w:t>
      </w:r>
      <w:r w:rsidRPr="00722885">
        <w:rPr>
          <w:rFonts w:ascii="Times New Roman" w:hAnsi="Times New Roman"/>
          <w:color w:val="000000" w:themeColor="text1"/>
          <w:sz w:val="16"/>
          <w:szCs w:val="16"/>
        </w:rPr>
        <w:softHyphen/>
        <w:t>си Т-34, выполненный КБ завода № 9. В качестве эталона для серийного производства комиссия выбрала У-35, как бо</w:t>
      </w:r>
      <w:r w:rsidRPr="00722885">
        <w:rPr>
          <w:rFonts w:ascii="Times New Roman" w:hAnsi="Times New Roman"/>
          <w:color w:val="000000" w:themeColor="text1"/>
          <w:sz w:val="16"/>
          <w:szCs w:val="16"/>
        </w:rPr>
        <w:softHyphen/>
        <w:t>лее дешевый и имеющий преимущества в массовом произ</w:t>
      </w:r>
      <w:r w:rsidRPr="00722885">
        <w:rPr>
          <w:rFonts w:ascii="Times New Roman" w:hAnsi="Times New Roman"/>
          <w:color w:val="000000" w:themeColor="text1"/>
          <w:sz w:val="16"/>
          <w:szCs w:val="16"/>
        </w:rPr>
        <w:softHyphen/>
        <w:t>водстве. Положение было крайне серьезно, так как на дора</w:t>
      </w:r>
      <w:r w:rsidRPr="00722885">
        <w:rPr>
          <w:rFonts w:ascii="Times New Roman" w:hAnsi="Times New Roman"/>
          <w:color w:val="000000" w:themeColor="text1"/>
          <w:sz w:val="16"/>
          <w:szCs w:val="16"/>
        </w:rPr>
        <w:softHyphen/>
        <w:t>ботку проекта по высказанным замечаниям и изготовление опытного образца отводилось всего 20 дней, а 25 ноября должны были начаться его государственные испытания.</w:t>
      </w:r>
    </w:p>
    <w:p w14:paraId="0DFCA2F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«Мы все тогда жили в своем КБ. Чертежи на некоторые узлы и детали делали уже после их готовности, а рабочие в це</w:t>
      </w:r>
      <w:r w:rsidRPr="00722885">
        <w:rPr>
          <w:rFonts w:ascii="Times New Roman" w:hAnsi="Times New Roman"/>
          <w:color w:val="000000" w:themeColor="text1"/>
          <w:sz w:val="16"/>
          <w:szCs w:val="16"/>
        </w:rPr>
        <w:softHyphen/>
        <w:t>хах работали по эскизам. Но я не помню, чтобы кто-то жало</w:t>
      </w:r>
      <w:r w:rsidRPr="00722885">
        <w:rPr>
          <w:rFonts w:ascii="Times New Roman" w:hAnsi="Times New Roman"/>
          <w:color w:val="000000" w:themeColor="text1"/>
          <w:sz w:val="16"/>
          <w:szCs w:val="16"/>
        </w:rPr>
        <w:softHyphen/>
        <w:t>вался на их качество... Понятно, что у нас не было никакой ос</w:t>
      </w:r>
      <w:r w:rsidRPr="00722885">
        <w:rPr>
          <w:rFonts w:ascii="Times New Roman" w:hAnsi="Times New Roman"/>
          <w:color w:val="000000" w:themeColor="text1"/>
          <w:sz w:val="16"/>
          <w:szCs w:val="16"/>
        </w:rPr>
        <w:softHyphen/>
        <w:t>настки и приспособлений, все придумывали на месте, в перспективу. А первый образец делали с большим количеством при</w:t>
      </w:r>
      <w:r w:rsidRPr="00722885">
        <w:rPr>
          <w:rFonts w:ascii="Times New Roman" w:hAnsi="Times New Roman"/>
          <w:color w:val="000000" w:themeColor="text1"/>
          <w:sz w:val="16"/>
          <w:szCs w:val="16"/>
        </w:rPr>
        <w:softHyphen/>
        <w:t>гоночных работ... Но срок сдержали», — вспоминал Л.И. Горлицкий. И все же со сроками немного задержались (11417).</w:t>
      </w:r>
    </w:p>
    <w:p w14:paraId="3005D6C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B0D1E0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22 октября 1942 г. на ЧКЗ на корпусе и башне танка Т-34 стали привариваться поручни для десанта. В конце ноября 1942 г. в конструкцию ходовой ча</w:t>
      </w:r>
      <w:r w:rsidRPr="00722885">
        <w:rPr>
          <w:rFonts w:ascii="Times New Roman" w:hAnsi="Times New Roman"/>
          <w:color w:val="000000" w:themeColor="text1"/>
          <w:sz w:val="16"/>
          <w:szCs w:val="16"/>
        </w:rPr>
        <w:softHyphen/>
        <w:t>сти танка были введены: новые гусеницы с траками, изготовленными из стали 27СГТ, литые ведущие колеса с роликами, а также штампованные диски опорных катков с наружной амортизацией (10703).</w:t>
      </w:r>
    </w:p>
    <w:p w14:paraId="7144EF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CA1BA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октября 1942 года на ГАЗ выполнили первые примерки на посадочном макете пехотного бронетранспортера на базе БА-64. Новая машина была без башни и крыши, но с сохранением формы корпуса. В корме сделали дверь, а крышу оставили только над водителем. Бензобак объемом 55 литров перенесли на левый борт и уложили под сидение. В передней части корпуса предполагалось установить пулемет Дегтярева. Дальнейшие работы по переделке БА-64 в транспортер были прерваны вплоть до марта 1943 года, когда собрали второй образец, получившего обозначение БА-64Е (3862).</w:t>
      </w:r>
    </w:p>
    <w:p w14:paraId="63885011" w14:textId="77777777" w:rsidR="00090C9B" w:rsidRPr="00722885" w:rsidRDefault="00090C9B" w:rsidP="00722885">
      <w:pPr>
        <w:pStyle w:val="Iauiue"/>
        <w:jc w:val="both"/>
        <w:rPr>
          <w:color w:val="000000" w:themeColor="text1"/>
          <w:sz w:val="16"/>
          <w:szCs w:val="16"/>
        </w:rPr>
      </w:pPr>
    </w:p>
    <w:p w14:paraId="7F74974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6DC8FB5" w14:textId="77777777" w:rsidR="00090C9B" w:rsidRPr="00722885" w:rsidRDefault="00090C9B" w:rsidP="00722885">
      <w:pPr>
        <w:pStyle w:val="Iauiue"/>
        <w:jc w:val="both"/>
        <w:rPr>
          <w:iCs/>
          <w:color w:val="000000" w:themeColor="text1"/>
          <w:sz w:val="16"/>
          <w:szCs w:val="16"/>
        </w:rPr>
      </w:pPr>
    </w:p>
    <w:p w14:paraId="4681D19E"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22 октября </w:t>
      </w:r>
      <w:r w:rsidRPr="00722885">
        <w:rPr>
          <w:rFonts w:ascii="Times New Roman" w:hAnsi="Times New Roman"/>
          <w:color w:val="000000" w:themeColor="text1"/>
          <w:sz w:val="16"/>
          <w:szCs w:val="16"/>
        </w:rPr>
        <w:t>в 1942 году утреннее сообщение Совинформбюро:</w:t>
      </w:r>
    </w:p>
    <w:p w14:paraId="7D538372"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22 октября наши войска вели бои с противником в районе Сталинграда и в районе Моздока. На других фронтах никаких изменений не произошло.</w:t>
      </w:r>
    </w:p>
    <w:p w14:paraId="07E69F9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Чёрном море потоплены три вспомогательных судна и транспорт противника общим водоизмещением в 13.000 тонн.</w:t>
      </w:r>
    </w:p>
    <w:p w14:paraId="3584D1A6"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бойцы Н-ской части отбили атаку пехоты и танков противника. B этом бою уничтожено до роты гитлеровцев. На другом участке гвардейцы-миномётчики истребили до 100 немецких солдат и офицеров, сожгли 5 танков и подавили огонь 2 миномётных батарей противника. На минных полях уничтожен взвод немецких разведчиков. Южнее Сталинграда наши разведчики уничтожили миномётную батарею, 6 пулемётов и истребили до 70 гитлеровцев.</w:t>
      </w:r>
    </w:p>
    <w:p w14:paraId="436BA1D3"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Н-ской части ворвались в траншеи противника и в рукопашной схватке истребили более 200 немецких солдат и офицеров. Захвачены 2 орудия, 4 миномёта, 7 пулемётов, радиостанция и склад боеприпасов. Огнём нашей артиллерии разрушено 7 ДЗОТ'ов и подавлен огонь миномётной и 3 артиллерийских батарей противника.</w:t>
      </w:r>
    </w:p>
    <w:p w14:paraId="132BF14C"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истребили несколько разрозненных групп противника общей численностью в 300 человек. Расчёт зенитного орудия старшего сержанта Пошистого сбил немецкий бомбардировщик.</w:t>
      </w:r>
    </w:p>
    <w:p w14:paraId="17D4BBB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артиллеристы под командованием старшего сержанта Козлова ночью установили своё орудие в непосредственной близости от укреплений противника. На рассвете бойцы открыли огонь, разрушили 5 ДЗОТ'ов и подавили несколько огневых точек противника. За четыре дня снайперы тт. Медянскии, Антырьев, Чернов и Макарочкин уничтожили 86 немецких солдат и офицеров.</w:t>
      </w:r>
    </w:p>
    <w:p w14:paraId="573128E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происходила редкая артиллерийская перестрелка. Артиллерийское подразделение, где командиром тов. Пастух, уничтожило 3 вражеских ДЗOT'a, 3 миномёта, орудие противотанковой обороны и 6 пулемётов противника. Орудийный расчёт тов. Мельника за несколько дней уничтожил 8 вражеских автомашин и 105-мм орудие с прислугой. Группа сапёров-разведчиков под командованием лейтенантов тт. Васильева и Солдатенко несколько дней действовала в тылу врага. Разведчики пустили под откос 2 железнодорожных эшелона противника, взорвали 5 мостов и истребили более 100 немецких солдат и офицеров.</w:t>
      </w:r>
    </w:p>
    <w:p w14:paraId="13FBEBB6"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отряда, действующего в одном из районов Украины, взорвали железнодорожный эшелон противника, в результате взрыва и последовавшего вслед за ним крушения убито и ранено много немецких солдат и офицеров.</w:t>
      </w:r>
    </w:p>
    <w:p w14:paraId="428E4FE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сентября отряд смоленских партизан пустил под откос 11 поездов немецко-фашистских оккупантов. Кроме того, партизаны этого же отряда истребили до 600 гитлеровцев, уничтожили танкетку и несколько автомашин противника.</w:t>
      </w:r>
    </w:p>
    <w:p w14:paraId="689C1FE4"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днях группа бойцов Н-ской части, действующей в районе Моздока, очистила от немцев одну высоту. В захваченных окопах были обнаружены трупы девяти красноармейцев, замученных фашистскими мерзавцами. Гитлеровские палачи долго пытали попавших к ним в плен раненых красноармейцев, выжгли им на руках буквы «СССР», а на лбу и груди пятиконечные звезды.</w:t>
      </w:r>
    </w:p>
    <w:p w14:paraId="488058E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Население Эльзаса ненавидит немецких оккупантов. Тысячи молодых эльзасцев уклоняются от призыва в германскую армию. Многие призванные в армию дезертировали из частей. Недалеко от Урбейса группа эльзасских новобранцев убила в казарме немецкого офицера и фельдфебеля и разбежалась.» (14807).</w:t>
      </w:r>
    </w:p>
    <w:p w14:paraId="7EDF5F0B"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5A4E33F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22 октября </w:t>
      </w:r>
      <w:r w:rsidRPr="00722885">
        <w:rPr>
          <w:rFonts w:ascii="Times New Roman" w:hAnsi="Times New Roman"/>
          <w:color w:val="000000" w:themeColor="text1"/>
          <w:sz w:val="16"/>
          <w:szCs w:val="16"/>
        </w:rPr>
        <w:t>в 1942 году вечернее сообщение Совинформбюро:</w:t>
      </w:r>
    </w:p>
    <w:p w14:paraId="052D48A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22 октября наши войска вели бои с противником в районе Сталинграда и в районе Моздока. На других фронтах никаких изменений не произошло.</w:t>
      </w:r>
    </w:p>
    <w:p w14:paraId="3548FD0B"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21 октября нашей авиацией на различных участках фронта уничтожено 20 немецких автомашин, 3 автоцистерны с горючим, подавлен огонь 5 артиллерийских батарей, взорван склад боеприпасов, разбит железнодорожный эшелон, рассеяно и частью уничтожено до роты пехоты противника.</w:t>
      </w:r>
    </w:p>
    <w:p w14:paraId="4C2068AF"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пехоты и танков противника. В районе одного из заводов в течение дня немцы атаковали наши позиции. В этих боях, неоднократно переходивших в рукопашные схватки, нашими бойцами уничтожено 12 немецких танков и до батальона пехоты противника.</w:t>
      </w:r>
    </w:p>
    <w:p w14:paraId="125CEBA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Н-ское соединение истребило более роты немецкой пехоты, уничтожило 5 орудий, 20 миномётов и 2 вещевых склада.</w:t>
      </w:r>
    </w:p>
    <w:p w14:paraId="11CA071E"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нашей части внезапным ударом ворвались врасположение противника и после ожесточённого боя захватили две линии немецких окопов. На поле боя осталось более 200 вражеских трупов. Захвачены 3 орудия, 5 пулемётов, 36 автоматов, винтовки и боеприпасы. На другом участке продолжались бои в районе одной высоты. Противник атаковал наши подразделения, стремясь вернуть опорные пункты, захваченные два дня тому назад нашими бойцами. Атаки гитлеровцев отбиты. За два дня боёв на этом участке уничтожено до 500 немецких и румынских солдат и офицеров.</w:t>
      </w:r>
    </w:p>
    <w:p w14:paraId="0E7FD76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Моздока наши части вели оборонительные бои. Противник силою до полка пехоты с 60 танками атаковал наши позиции. В течение дня подбито и сожжено 7 немецких танков, уничтожено 8 орудий и истреблено до батальона вражеской пехоты. Лишь на одном участке гитлеровцам удалось вклиниться в передний край нашей обороны. Продолжаются бои по уничтожению этой группы противника. Красноармеец т.Григорьев из противотанкового ружья подбил немецкий танк, а второй танк противника поджёг бутылкой с горючей смесью. Снайпер т. Сёмкин истребил 11 гитлеровцев. Лётчик старший сержант т. Антонов, преследуя немецкий истребитель, прижал его к земле. Вражеский самолёт разбился.</w:t>
      </w:r>
    </w:p>
    <w:p w14:paraId="597650AB"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войска отбивали атаки противника. Гитлеровцы пытались занять одну высоту, но были отброшены, потеряв 150 солдат и офицеров.На другом участке Н-ская часть морской пехоты под командованием т. Гордеева истребила более 300 румынских солдат и офицеров. Уничтожено 12 ДЗОТов и 30 повозок с боеприпасами. В этом бою сержант т. Трунов истребил 17, а краснофлотец т. Молчанов 12 румынских солдат. Огнём зенитной артиллерии над передним краем нашей обороны сбито 3 немецких самолёта.</w:t>
      </w:r>
    </w:p>
    <w:p w14:paraId="2B01A54F"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противник готовился к наступлению на оборонительные рубежи Н-ской части. Наши разведчики своевременно донесли об этом командованию. Огнём артиллерии и гвардейцев-миномётчиков рассеяно до полка пехоты противника, пытавшегося перейти в наступление. Уничтожено не менее двух рот немецкой пехоты, подавлены огневые точки и взорван склад боеприпасов.</w:t>
      </w:r>
    </w:p>
    <w:p w14:paraId="792FA4D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снайперами за день истреблено 77 гитлеровцев.</w:t>
      </w:r>
    </w:p>
    <w:p w14:paraId="33D3771E"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имени Ворошилова, действующий в одном из районов Минскойобласти, за последнее время сжёг и взорвал 17 мостов на важной шоссейной магистрали. Кроме того, партизаны организовали крушение 4 железнодорожных эшелонов с войсками и техникой противника. Один из эшелонов, следовавший на фронт с артиллерией, свалился под откос. Движение по этой железной дороге было прервано на несколько суток. В боях против карательного отряда партизаны истребили 79 немецко-фашистских оккупантов, захватили 51 винтовку и несколько пулемётов.</w:t>
      </w:r>
    </w:p>
    <w:p w14:paraId="528D7790"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чинят зверские расправы над мирным населением оккупированных ими районов Ростовской области. В деревне Ореховка гитлеровцы расстреляли 9 казаков только за то, что они были участниками первой мировой войны. В деревне Алексеевка гитлеровские палачи арестовали всех мужчин в возрасте от 14 до 70 лет и каждого третьего расстреляли. Среди расстрелянных 70-летний старик-пенсионер Рощин Пётр Тимофеевич, 52-летний колхозный сторож Ивасюк Никифор Фёдорович, 48-летний колхозник Рублёв Николай Иванович, его14-летний сын Василий и многие другие.</w:t>
      </w:r>
    </w:p>
    <w:p w14:paraId="1830BBF6"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Голландские патриоты срывают перевозки немецких военных грузов. В Грифтском канале ночью было обстреляно и подожжено нефтеналивное судно с горючим. На Рейне, недалеко от Арнхема, патриоты потопили пароход, груженный резиной, направлявшийся в Германию.» (14807).</w:t>
      </w:r>
    </w:p>
    <w:p w14:paraId="20A78E62"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570DFA0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Bodytext2"/>
          <w:rFonts w:eastAsia="Calibri"/>
          <w:color w:val="000000" w:themeColor="text1"/>
          <w:sz w:val="16"/>
          <w:szCs w:val="16"/>
        </w:rPr>
        <w:t>22 октября 1942 г.</w:t>
      </w:r>
      <w:r w:rsidRPr="00722885">
        <w:rPr>
          <w:rStyle w:val="Heading22"/>
          <w:rFonts w:eastAsia="Calibri"/>
          <w:color w:val="000000" w:themeColor="text1"/>
          <w:sz w:val="16"/>
          <w:szCs w:val="16"/>
        </w:rPr>
        <w:t xml:space="preserve"> Приказ народного комиссара обороны № 0841</w:t>
      </w:r>
    </w:p>
    <w:p w14:paraId="4E3EA441" w14:textId="77777777" w:rsidR="009F7EBD" w:rsidRPr="00722885" w:rsidRDefault="009F7EBD" w:rsidP="00722885">
      <w:pPr>
        <w:pStyle w:val="625"/>
        <w:shd w:val="clear" w:color="auto" w:fill="auto"/>
        <w:spacing w:before="0" w:line="240" w:lineRule="auto"/>
        <w:rPr>
          <w:color w:val="000000" w:themeColor="text1"/>
          <w:sz w:val="16"/>
          <w:szCs w:val="16"/>
        </w:rPr>
      </w:pPr>
      <w:r w:rsidRPr="00722885">
        <w:rPr>
          <w:rStyle w:val="16"/>
          <w:rFonts w:ascii="Times New Roman" w:cs="Times New Roman"/>
          <w:color w:val="000000" w:themeColor="text1"/>
          <w:spacing w:val="0"/>
          <w:u w:val="none"/>
        </w:rPr>
        <w:t>Опыт проводимых наступательных операций показал, что противник массированными действиями своей авиации задерживает наступление наших ударных группировок и обычно не дает им развивать успех. Главные усилия авиация противника сосредотачивает на наших ударных группировках по районам их сосредоточения, особенно во время их боевых действий и продвижения вперед. Из опыта боевых действий выявилось, что распыленное примене</w:t>
      </w:r>
      <w:r w:rsidRPr="00722885">
        <w:rPr>
          <w:rStyle w:val="16"/>
          <w:rFonts w:ascii="Times New Roman" w:cs="Times New Roman"/>
          <w:color w:val="000000" w:themeColor="text1"/>
          <w:spacing w:val="0"/>
          <w:u w:val="none"/>
        </w:rPr>
        <w:softHyphen/>
        <w:t>ние войсковых зенитных средств ПВО нужных результатов не даст, авиация противника действует почти безнаказанно, наносит поражение и морально воздействует на наши части, прижимая их к земле.</w:t>
      </w:r>
    </w:p>
    <w:p w14:paraId="54304228" w14:textId="77777777" w:rsidR="009F7EBD" w:rsidRPr="00722885" w:rsidRDefault="009F7EBD" w:rsidP="00722885">
      <w:pPr>
        <w:pStyle w:val="625"/>
        <w:shd w:val="clear" w:color="auto" w:fill="auto"/>
        <w:spacing w:before="0" w:line="240" w:lineRule="auto"/>
        <w:rPr>
          <w:color w:val="000000" w:themeColor="text1"/>
          <w:sz w:val="16"/>
          <w:szCs w:val="16"/>
        </w:rPr>
      </w:pPr>
      <w:r w:rsidRPr="00722885">
        <w:rPr>
          <w:rStyle w:val="16"/>
          <w:rFonts w:ascii="Times New Roman" w:cs="Times New Roman"/>
          <w:color w:val="000000" w:themeColor="text1"/>
          <w:spacing w:val="0"/>
          <w:u w:val="none"/>
        </w:rPr>
        <w:t>Приказываю:</w:t>
      </w:r>
    </w:p>
    <w:p w14:paraId="5A66CBA0" w14:textId="77777777" w:rsidR="009F7EBD" w:rsidRPr="00722885" w:rsidRDefault="009F7EBD" w:rsidP="00722885">
      <w:pPr>
        <w:pStyle w:val="625"/>
        <w:shd w:val="clear" w:color="auto" w:fill="auto"/>
        <w:spacing w:before="0" w:line="240" w:lineRule="auto"/>
        <w:rPr>
          <w:color w:val="000000" w:themeColor="text1"/>
          <w:sz w:val="16"/>
          <w:szCs w:val="16"/>
        </w:rPr>
      </w:pPr>
      <w:r w:rsidRPr="00722885">
        <w:rPr>
          <w:rStyle w:val="16"/>
          <w:rFonts w:ascii="Times New Roman" w:cs="Times New Roman"/>
          <w:color w:val="000000" w:themeColor="text1"/>
          <w:spacing w:val="0"/>
          <w:u w:val="none"/>
        </w:rPr>
        <w:t>Для прикрытия от авиации противника ударных групп в исходном положении и при наступлении кроме использования авиации прикрытия создавать зенитные группы из армейских полков ПВО и за счет изъятия зенитных батарей и зенитных пулеметных рот стрелковых и других соединений, действующих на главном и второстепенных направлениях. В зенитную группу назначать от 1/2 до 2/3 всех зенитных средств фронта (армии). Зенитную группу придавать группе армий или фронта для ее прикрытия.</w:t>
      </w:r>
    </w:p>
    <w:p w14:paraId="349EA3D3" w14:textId="77777777" w:rsidR="009F7EBD" w:rsidRPr="00722885" w:rsidRDefault="009F7EBD" w:rsidP="00722885">
      <w:pPr>
        <w:pStyle w:val="625"/>
        <w:shd w:val="clear" w:color="auto" w:fill="auto"/>
        <w:spacing w:before="0" w:line="240" w:lineRule="auto"/>
        <w:rPr>
          <w:color w:val="000000" w:themeColor="text1"/>
          <w:sz w:val="16"/>
          <w:szCs w:val="16"/>
        </w:rPr>
      </w:pPr>
      <w:r w:rsidRPr="00722885">
        <w:rPr>
          <w:rStyle w:val="16"/>
          <w:rFonts w:ascii="Times New Roman" w:cs="Times New Roman"/>
          <w:color w:val="000000" w:themeColor="text1"/>
          <w:spacing w:val="0"/>
          <w:u w:val="none"/>
        </w:rPr>
        <w:t>Особо тщательно на месте и в движении организовывать службу наблюдения и оповеще</w:t>
      </w:r>
      <w:r w:rsidRPr="00722885">
        <w:rPr>
          <w:rStyle w:val="16"/>
          <w:rFonts w:ascii="Times New Roman" w:cs="Times New Roman"/>
          <w:color w:val="000000" w:themeColor="text1"/>
          <w:spacing w:val="0"/>
          <w:u w:val="none"/>
        </w:rPr>
        <w:softHyphen/>
        <w:t>ния, чтобы зенитная группа успевала своевременно изготовиться к открытию огня по авиации противника и создавать заградительный огонь, а войска успевали принимать необходимые меры к уменьшению потерь от бомбежек и пулеметного обстрела вражеской авиации.</w:t>
      </w:r>
    </w:p>
    <w:p w14:paraId="44FFA24E" w14:textId="77777777" w:rsidR="009F7EBD" w:rsidRPr="00722885" w:rsidRDefault="009F7EBD" w:rsidP="00722885">
      <w:pPr>
        <w:pStyle w:val="625"/>
        <w:shd w:val="clear" w:color="auto" w:fill="auto"/>
        <w:spacing w:before="0" w:line="240" w:lineRule="auto"/>
        <w:rPr>
          <w:color w:val="000000" w:themeColor="text1"/>
          <w:sz w:val="16"/>
          <w:szCs w:val="16"/>
        </w:rPr>
      </w:pPr>
      <w:r w:rsidRPr="00722885">
        <w:rPr>
          <w:rStyle w:val="16"/>
          <w:rFonts w:ascii="Times New Roman" w:cs="Times New Roman"/>
          <w:color w:val="000000" w:themeColor="text1"/>
          <w:spacing w:val="0"/>
          <w:u w:val="none"/>
        </w:rPr>
        <w:t>Командование зенитной группой наступающей армии возлагать на заместителя началь</w:t>
      </w:r>
      <w:r w:rsidRPr="00722885">
        <w:rPr>
          <w:rStyle w:val="16"/>
          <w:rFonts w:ascii="Times New Roman" w:cs="Times New Roman"/>
          <w:color w:val="000000" w:themeColor="text1"/>
          <w:spacing w:val="0"/>
          <w:u w:val="none"/>
        </w:rPr>
        <w:softHyphen/>
        <w:t>ника артиллерии по ПВО, в распоряжение которого штабу армии выделять необходимые средства связи.</w:t>
      </w:r>
    </w:p>
    <w:p w14:paraId="1E025D36" w14:textId="77777777" w:rsidR="009F7EBD" w:rsidRPr="00722885" w:rsidRDefault="009F7EBD" w:rsidP="00722885">
      <w:pPr>
        <w:pStyle w:val="625"/>
        <w:shd w:val="clear" w:color="auto" w:fill="auto"/>
        <w:spacing w:before="0" w:line="240" w:lineRule="auto"/>
        <w:rPr>
          <w:color w:val="000000" w:themeColor="text1"/>
          <w:sz w:val="16"/>
          <w:szCs w:val="16"/>
        </w:rPr>
      </w:pPr>
      <w:r w:rsidRPr="00722885">
        <w:rPr>
          <w:rStyle w:val="16"/>
          <w:rFonts w:ascii="Times New Roman" w:cs="Times New Roman"/>
          <w:color w:val="000000" w:themeColor="text1"/>
          <w:spacing w:val="0"/>
          <w:u w:val="none"/>
        </w:rPr>
        <w:t>Всему командному составу всех родов войск оказывать содействие и нужную помощь зенитным батареям и пулеметным ротам зенитных артиллерийских групп, продвигающимся за наступающими войсками: пропускать их вне очереди через переправы, разрешать обгонять колонны войск на дорогах, помогать зенитным частям при съездах с дорог для занятия ими огневых позиций.</w:t>
      </w:r>
    </w:p>
    <w:p w14:paraId="5BBE900C" w14:textId="77777777" w:rsidR="009F7EBD" w:rsidRPr="00722885" w:rsidRDefault="009F7EBD" w:rsidP="00722885">
      <w:pPr>
        <w:pStyle w:val="625"/>
        <w:shd w:val="clear" w:color="auto" w:fill="auto"/>
        <w:spacing w:before="0" w:line="240" w:lineRule="auto"/>
        <w:rPr>
          <w:color w:val="000000" w:themeColor="text1"/>
          <w:sz w:val="16"/>
          <w:szCs w:val="16"/>
        </w:rPr>
      </w:pPr>
      <w:r w:rsidRPr="00722885">
        <w:rPr>
          <w:rStyle w:val="16"/>
          <w:rFonts w:ascii="Times New Roman" w:cs="Times New Roman"/>
          <w:color w:val="000000" w:themeColor="text1"/>
          <w:spacing w:val="0"/>
          <w:u w:val="none"/>
        </w:rPr>
        <w:t xml:space="preserve">Народный комиссар обороны </w:t>
      </w:r>
      <w:r w:rsidRPr="00722885">
        <w:rPr>
          <w:rStyle w:val="Bodytext2"/>
          <w:color w:val="000000" w:themeColor="text1"/>
          <w:sz w:val="16"/>
          <w:szCs w:val="16"/>
        </w:rPr>
        <w:t>И. Сталин (15123).</w:t>
      </w:r>
    </w:p>
    <w:p w14:paraId="38A8F560" w14:textId="77777777" w:rsidR="009F7EBD" w:rsidRPr="00722885" w:rsidRDefault="009F7EBD" w:rsidP="00722885">
      <w:pPr>
        <w:spacing w:after="0" w:line="240" w:lineRule="auto"/>
        <w:jc w:val="both"/>
        <w:rPr>
          <w:rStyle w:val="Bodytext2"/>
          <w:rFonts w:eastAsia="Calibri"/>
          <w:color w:val="000000" w:themeColor="text1"/>
          <w:sz w:val="16"/>
          <w:szCs w:val="16"/>
        </w:rPr>
      </w:pPr>
    </w:p>
    <w:p w14:paraId="36BDDDFD" w14:textId="77777777" w:rsidR="00E4578F" w:rsidRPr="00722885" w:rsidRDefault="00E4578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Учитывая этот опыт, командующий ВВС РККА в своем приказе от 22 октября 1942 г. потребовал от командующих всех воздушных армий в кратчайшие сроки в каждом штурмовом авиаполку подготовить по 5 экипажей для действий ночью и в сложных метеоусловиях. В связи с этим, в воздушных армиях были разработаны специальные программы учебно-боевой подготовки, часть экипажей была выведена на тыловые аэродромы, где проводилась усиленная подготовка для полетов ночью.</w:t>
      </w:r>
    </w:p>
    <w:p w14:paraId="2CFA0063" w14:textId="77777777" w:rsidR="00E4578F" w:rsidRPr="00722885" w:rsidRDefault="00E4578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В ноябре 1942 г. около 40% боевых вылетов (по опыту 2-й, 8-й и 16-й ВА) штурмовиками были совершены в сумерки и ночью. Всего же в период с 28 августа по 18 ноября ими было совершено 406 боевых самолето-вылетов ночью и в сумерки, в основном по аэродромам (до 70% всех сумеречных и ночных вылетов), железнодорожным станциям и составам на перегоне, так как эти цели достаточно хорошо обнаруживались и эффективность штурмовых ударов по ним почти сравнивалась с эффективностью ударов днем. В вечерние сумерки Ил-2 вылетали на задания с таким расчетом, чтобы взлет осуществить в светлое время, а подход к цели - в полных сумерках. Это было особенно важно при атаках аэродромов противника.</w:t>
      </w:r>
    </w:p>
    <w:p w14:paraId="0DEDA8C4" w14:textId="77777777" w:rsidR="00E4578F" w:rsidRPr="00722885" w:rsidRDefault="00E4578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Очень часто при атаках в сумерках и ночью экипажи теряли друг друга и группа полностью собраться не могла, поэтому экипажи возвращались на свой аэродром, как правило, парами или отдельными самолетами.</w:t>
      </w:r>
    </w:p>
    <w:p w14:paraId="71700FA9" w14:textId="77777777" w:rsidR="00E4578F" w:rsidRPr="00722885" w:rsidRDefault="00E4578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Поскольку экипажи штурмовиков при ночных штурмовках либо взлетали, либо возвращались на свой аэродром в полной темноте, то от аэродромных служб требовалась четкая организация ночных полетов, а от самих экипажей - высокое летное мастерство, так как конструктивные особенности самолета Ил-2 ограничивали обзор летчику на посадке. Поэтому, например, в начале ноября 1942 г. для нанесения запланированных бомбоштурмовых ударов по аэродромам противника силами 16-й воздушной армии 228-я шад смогла выделить лишь 18 ночных экипажей Ил-2.</w:t>
      </w:r>
    </w:p>
    <w:p w14:paraId="7315C9E4" w14:textId="77777777" w:rsidR="00E4578F" w:rsidRPr="00722885" w:rsidRDefault="00E4578F" w:rsidP="00722885">
      <w:pPr>
        <w:shd w:val="clear" w:color="auto" w:fill="FFFFFF"/>
        <w:spacing w:after="0" w:line="240" w:lineRule="auto"/>
        <w:jc w:val="both"/>
        <w:rPr>
          <w:rFonts w:ascii="Times New Roman" w:eastAsia="Times New Roman" w:hAnsi="Times New Roman"/>
          <w:color w:val="0070C0"/>
          <w:sz w:val="16"/>
          <w:szCs w:val="16"/>
        </w:rPr>
      </w:pPr>
      <w:r w:rsidRPr="00722885">
        <w:rPr>
          <w:rFonts w:ascii="Times New Roman" w:eastAsia="Times New Roman" w:hAnsi="Times New Roman"/>
          <w:color w:val="0070C0"/>
          <w:sz w:val="16"/>
          <w:szCs w:val="16"/>
        </w:rPr>
        <w:t>В ряде случаев с целью повышения эффективности ночных действий штурмовиков привлекались экипажи легких бомбардировщиков У-2, в задачу которых входило обнаружение и подсветка целей. В этих случаях экипажи осветителей, найдя и определив цель, за 1 -2 минуты до подхода ударных групп освещали цель путем сбрасывания осветительных авиабомб типа САБ-50-15 и САБ-100-55 или зажигательных авиабомб типа ЗАБ-ЮТГ и ЗАБ-50ТГ, а штурмовики атаковали ее.</w:t>
      </w:r>
    </w:p>
    <w:p w14:paraId="25EF27A4" w14:textId="77777777" w:rsidR="00E4578F" w:rsidRPr="00722885" w:rsidRDefault="00E4578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Именно так действовали летчики-штурмовики 228-й шад в ночь на 24 октября, когда 19 Ил-2 дивизии совместно с 10 экипажами ночных бомбарди</w:t>
      </w:r>
      <w:r w:rsidRPr="00722885">
        <w:rPr>
          <w:rFonts w:ascii="Times New Roman" w:eastAsia="Times New Roman" w:hAnsi="Times New Roman"/>
          <w:color w:val="0070C0"/>
          <w:sz w:val="16"/>
          <w:szCs w:val="16"/>
        </w:rPr>
        <w:softHyphen/>
        <w:t>ровщиков У-2 271-й нбад нанесли весьма результативный бомбоштурмовой удар по немецким войскам в 20-30 км северо-западнее Сталинграда (20186).</w:t>
      </w:r>
    </w:p>
    <w:p w14:paraId="62D08323" w14:textId="77777777" w:rsidR="00E4578F" w:rsidRPr="00722885" w:rsidRDefault="00E4578F" w:rsidP="00722885">
      <w:pPr>
        <w:shd w:val="clear" w:color="auto" w:fill="FFFFFF"/>
        <w:spacing w:after="0" w:line="240" w:lineRule="auto"/>
        <w:jc w:val="both"/>
        <w:rPr>
          <w:rFonts w:ascii="Times New Roman" w:hAnsi="Times New Roman"/>
          <w:color w:val="0070C0"/>
          <w:sz w:val="16"/>
          <w:szCs w:val="16"/>
        </w:rPr>
      </w:pPr>
    </w:p>
    <w:p w14:paraId="44DA359F"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22 октября </w:t>
      </w:r>
      <w:r w:rsidRPr="00722885">
        <w:rPr>
          <w:rFonts w:ascii="Times New Roman" w:hAnsi="Times New Roman"/>
          <w:color w:val="000000" w:themeColor="text1"/>
          <w:sz w:val="16"/>
          <w:szCs w:val="16"/>
        </w:rPr>
        <w:t>в 1942 году в Сталинграде выпали первые снега, помешавшие массированному наступлению немцев (14807).</w:t>
      </w:r>
    </w:p>
    <w:p w14:paraId="0247F520"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1D93705E"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22 октября </w:t>
      </w:r>
      <w:r w:rsidRPr="00722885">
        <w:rPr>
          <w:rFonts w:ascii="Times New Roman" w:hAnsi="Times New Roman"/>
          <w:color w:val="000000" w:themeColor="text1"/>
          <w:sz w:val="16"/>
          <w:szCs w:val="16"/>
        </w:rPr>
        <w:t>в 1942 году разгром советскими войсками немецко-финского десанта, пытавшегося захватить остров Сухо и прервать Ладожскую коммуникацию, по которой шло снабжение в Ленинград (14807).</w:t>
      </w:r>
    </w:p>
    <w:p w14:paraId="3C4A9247"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13DA8D4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22 октября </w:t>
      </w:r>
      <w:r w:rsidRPr="00722885">
        <w:rPr>
          <w:rFonts w:ascii="Times New Roman" w:hAnsi="Times New Roman"/>
          <w:color w:val="000000" w:themeColor="text1"/>
          <w:sz w:val="16"/>
          <w:szCs w:val="16"/>
        </w:rPr>
        <w:t>в 1942 году Ставка ВГК приняла решение создать Юго-Западный фронт (20 октября 1943 переименован в 3-й Украинский фронт). Командующий - генерал-лейтенант (с декабря 1942 генерал-полковник) И.Ф.Ватутин (октябрь 1942 - март 1943), генерал-полковник (с апреля 1943 генерал армии) Р.Я.Малиновский (март - октябрь 1943), член Военного совета - корпусной комиссар (с декабря 1942 генерал-лейтенант) А.С.Желтов, начальник штаба - генерал-майор Г.Д.Стельмах (октябрь - декабрь 1942), генерал-майор (с января 1943 генерал-лейтенант) С.П.Иванов (декабрь 1942 - май 1943), генерал-майор (с сентября 1943 генерал-лейтенант) Ф.К.Корженевич (май - октябрь 1943). Авиация Балтийского флота и Ленинградского фронта, гарнизон острова Сухо и корабли Ладожской военной флотилии нанесли удар по кораблям противника и десанту, высадившемуся на остров, сорвали его попытку нарушить обеспечение Ленинграда через Ладожское озеро.</w:t>
      </w:r>
    </w:p>
    <w:p w14:paraId="4269B9D3"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директива Ставки ВГК о создании Юго-Западного фронта. Авиация Балтийского флота и Ленинградского фронта, гарнизон о-ва Сухо и корабли Ладожской военной флотилии нанесли удар по кораблям противника и десанту, высадившемуся на остров, сорвали его попытку нарушить обеспечение Ленинграда через Ладожское озеро (14807).</w:t>
      </w:r>
    </w:p>
    <w:p w14:paraId="6D0AAADE"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4D49F0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октября 1942 г. командующий ВВС КА в своем приказе от потребовал от командующих всех воздушных армий в кратчайшие сроки в каждом штурмовом авиаполку подго</w:t>
      </w:r>
      <w:r w:rsidRPr="00722885">
        <w:rPr>
          <w:color w:val="000000" w:themeColor="text1"/>
          <w:sz w:val="16"/>
          <w:szCs w:val="16"/>
        </w:rPr>
        <w:softHyphen/>
        <w:t>товить по 5 экипажей для действий но</w:t>
      </w:r>
      <w:r w:rsidRPr="00722885">
        <w:rPr>
          <w:color w:val="000000" w:themeColor="text1"/>
          <w:sz w:val="16"/>
          <w:szCs w:val="16"/>
        </w:rPr>
        <w:softHyphen/>
        <w:t>чью и в сложных метеоусловиях. В свя</w:t>
      </w:r>
      <w:r w:rsidRPr="00722885">
        <w:rPr>
          <w:color w:val="000000" w:themeColor="text1"/>
          <w:sz w:val="16"/>
          <w:szCs w:val="16"/>
        </w:rPr>
        <w:softHyphen/>
        <w:t>зи с этим, в воздушных армиях были разработаны специальные программы учебно-боевой подготовки, часть экипа</w:t>
      </w:r>
      <w:r w:rsidRPr="00722885">
        <w:rPr>
          <w:color w:val="000000" w:themeColor="text1"/>
          <w:sz w:val="16"/>
          <w:szCs w:val="16"/>
        </w:rPr>
        <w:softHyphen/>
        <w:t>жей была выведена на тыловые аэро</w:t>
      </w:r>
      <w:r w:rsidRPr="00722885">
        <w:rPr>
          <w:color w:val="000000" w:themeColor="text1"/>
          <w:sz w:val="16"/>
          <w:szCs w:val="16"/>
        </w:rPr>
        <w:softHyphen/>
        <w:t>дромы, где проводилась усиленная под</w:t>
      </w:r>
      <w:r w:rsidRPr="00722885">
        <w:rPr>
          <w:color w:val="000000" w:themeColor="text1"/>
          <w:sz w:val="16"/>
          <w:szCs w:val="16"/>
        </w:rPr>
        <w:softHyphen/>
        <w:t>готовка для полетов ночью (6467).</w:t>
      </w:r>
    </w:p>
    <w:p w14:paraId="28AE50B5" w14:textId="77777777" w:rsidR="00090C9B" w:rsidRPr="00722885" w:rsidRDefault="00090C9B" w:rsidP="00722885">
      <w:pPr>
        <w:pStyle w:val="Iauiue"/>
        <w:jc w:val="both"/>
        <w:rPr>
          <w:color w:val="000000" w:themeColor="text1"/>
          <w:sz w:val="16"/>
          <w:szCs w:val="16"/>
        </w:rPr>
      </w:pPr>
    </w:p>
    <w:p w14:paraId="425AF7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22 октября 1942, выполняя задачу по охра</w:t>
      </w:r>
      <w:r w:rsidRPr="00722885">
        <w:rPr>
          <w:color w:val="000000" w:themeColor="text1"/>
          <w:sz w:val="16"/>
          <w:szCs w:val="16"/>
        </w:rPr>
        <w:softHyphen/>
        <w:t xml:space="preserve">не железной дороги на участке Сайхин-Шунгай, с-т Сударкин из 945-го </w:t>
      </w:r>
      <w:r w:rsidRPr="00722885">
        <w:rPr>
          <w:iCs/>
          <w:color w:val="000000" w:themeColor="text1"/>
          <w:sz w:val="16"/>
          <w:szCs w:val="16"/>
        </w:rPr>
        <w:t>шап</w:t>
      </w:r>
      <w:r w:rsidRPr="00722885">
        <w:rPr>
          <w:color w:val="000000" w:themeColor="text1"/>
          <w:sz w:val="16"/>
          <w:szCs w:val="16"/>
        </w:rPr>
        <w:t xml:space="preserve"> в одиночку вел бой с пятеркой Не111, пытавшихся атаковать воинский эшелон с танковой частью на станции Шунгай. В ходе ожесточенного боя Сударкину удалось один "Хейнкель" сбить (бомбар</w:t>
      </w:r>
      <w:r w:rsidRPr="00722885">
        <w:rPr>
          <w:color w:val="000000" w:themeColor="text1"/>
          <w:sz w:val="16"/>
          <w:szCs w:val="16"/>
        </w:rPr>
        <w:softHyphen/>
        <w:t>дировщик упал в районе станции), а ос</w:t>
      </w:r>
      <w:r w:rsidRPr="00722885">
        <w:rPr>
          <w:color w:val="000000" w:themeColor="text1"/>
          <w:sz w:val="16"/>
          <w:szCs w:val="16"/>
        </w:rPr>
        <w:softHyphen/>
        <w:t>тальных - заставить беспорядочно по</w:t>
      </w:r>
      <w:r w:rsidRPr="00722885">
        <w:rPr>
          <w:color w:val="000000" w:themeColor="text1"/>
          <w:sz w:val="16"/>
          <w:szCs w:val="16"/>
        </w:rPr>
        <w:softHyphen/>
        <w:t>кинуть поле боя. Эффект мог бы быть еще большим, если бы молодой пилот в горячке боя не забыл снять электросбра</w:t>
      </w:r>
      <w:r w:rsidRPr="00722885">
        <w:rPr>
          <w:color w:val="000000" w:themeColor="text1"/>
          <w:sz w:val="16"/>
          <w:szCs w:val="16"/>
        </w:rPr>
        <w:softHyphen/>
        <w:t>сыватель ЭСБР-Зп с предохранителя. В результате сержант не смог воспользо</w:t>
      </w:r>
      <w:r w:rsidRPr="00722885">
        <w:rPr>
          <w:color w:val="000000" w:themeColor="text1"/>
          <w:sz w:val="16"/>
          <w:szCs w:val="16"/>
        </w:rPr>
        <w:softHyphen/>
        <w:t>ваться реактивными снарядами. При осмотре Ил-2 Сударкина было обнару</w:t>
      </w:r>
      <w:r w:rsidRPr="00722885">
        <w:rPr>
          <w:color w:val="000000" w:themeColor="text1"/>
          <w:sz w:val="16"/>
          <w:szCs w:val="16"/>
        </w:rPr>
        <w:softHyphen/>
        <w:t>жено, что пробит приемник воздушного давления, пробита обшивка центропла</w:t>
      </w:r>
      <w:r w:rsidRPr="00722885">
        <w:rPr>
          <w:color w:val="000000" w:themeColor="text1"/>
          <w:sz w:val="16"/>
          <w:szCs w:val="16"/>
        </w:rPr>
        <w:softHyphen/>
        <w:t>на, правый щиток имеет две пробоины, в правой плоскости - три пробоины, в ста</w:t>
      </w:r>
      <w:r w:rsidRPr="00722885">
        <w:rPr>
          <w:color w:val="000000" w:themeColor="text1"/>
          <w:sz w:val="16"/>
          <w:szCs w:val="16"/>
        </w:rPr>
        <w:softHyphen/>
        <w:t xml:space="preserve">билизаторе - четыре пробоины и т.д. Всего насчитали 33 пробоины. Приказом командира 206-й </w:t>
      </w:r>
      <w:r w:rsidRPr="00722885">
        <w:rPr>
          <w:iCs/>
          <w:color w:val="000000" w:themeColor="text1"/>
          <w:sz w:val="16"/>
          <w:szCs w:val="16"/>
        </w:rPr>
        <w:t>шад</w:t>
      </w:r>
      <w:r w:rsidRPr="00722885">
        <w:rPr>
          <w:color w:val="000000" w:themeColor="text1"/>
          <w:sz w:val="16"/>
          <w:szCs w:val="16"/>
        </w:rPr>
        <w:t xml:space="preserve"> п-ка Срывкина с-т Сударкин был повышен в воинском звании и награжден денежной премией в сумме 2000 рублей (6467).</w:t>
      </w:r>
    </w:p>
    <w:p w14:paraId="36E29C8B" w14:textId="77777777" w:rsidR="00090C9B" w:rsidRPr="00722885" w:rsidRDefault="00090C9B" w:rsidP="00722885">
      <w:pPr>
        <w:pStyle w:val="Iauiue"/>
        <w:jc w:val="both"/>
        <w:rPr>
          <w:color w:val="000000" w:themeColor="text1"/>
          <w:sz w:val="16"/>
          <w:szCs w:val="16"/>
        </w:rPr>
      </w:pPr>
    </w:p>
    <w:p w14:paraId="2E9C45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октября 1942 в разгроме вражеского десанта участвовали И-15бис 71-го иап. В этот день состоялся воздушный бой пятерки И-15бис с шестью истребителями Bf 109. Советским летчикам удалось сбить один "мессершмитт" при потере двух своих самолетов. В конце октября 1942 г. противник предпринял попытку захвата острова Сухо на Ладожском озере (12014).</w:t>
      </w:r>
    </w:p>
    <w:p w14:paraId="3C14EB8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99BE9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октября 1942 в разгроме вражеского десанта на Ладоге на остров Сухо участво</w:t>
      </w:r>
      <w:r w:rsidRPr="00722885">
        <w:rPr>
          <w:rFonts w:ascii="Times New Roman" w:hAnsi="Times New Roman"/>
          <w:color w:val="000000" w:themeColor="text1"/>
          <w:sz w:val="16"/>
          <w:szCs w:val="16"/>
        </w:rPr>
        <w:softHyphen/>
        <w:t>вали И-15бис 71-го иап. В этот день со</w:t>
      </w:r>
      <w:r w:rsidRPr="00722885">
        <w:rPr>
          <w:rFonts w:ascii="Times New Roman" w:hAnsi="Times New Roman"/>
          <w:color w:val="000000" w:themeColor="text1"/>
          <w:sz w:val="16"/>
          <w:szCs w:val="16"/>
        </w:rPr>
        <w:softHyphen/>
        <w:t>стоялся воздушный бой пятёрки И-15бис с шестью истребителями ВТ 109. Совет</w:t>
      </w:r>
      <w:r w:rsidRPr="00722885">
        <w:rPr>
          <w:rFonts w:ascii="Times New Roman" w:hAnsi="Times New Roman"/>
          <w:color w:val="000000" w:themeColor="text1"/>
          <w:sz w:val="16"/>
          <w:szCs w:val="16"/>
        </w:rPr>
        <w:softHyphen/>
        <w:t>ским лётчикам удалось уничтожить один «мессершмитт» ценой потери двух своих самолётов (12294).</w:t>
      </w:r>
    </w:p>
    <w:p w14:paraId="3D5385E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844937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22 октября 1942 в Сталинграде выпали первые снега, помешавшие массированному наступлению немцев (4962).</w:t>
      </w:r>
    </w:p>
    <w:p w14:paraId="09DAC81A" w14:textId="77777777" w:rsidR="00090C9B" w:rsidRPr="00722885" w:rsidRDefault="00090C9B" w:rsidP="00722885">
      <w:pPr>
        <w:pStyle w:val="Iauiue"/>
        <w:tabs>
          <w:tab w:val="left" w:pos="11199"/>
        </w:tabs>
        <w:jc w:val="both"/>
        <w:rPr>
          <w:color w:val="000000" w:themeColor="text1"/>
          <w:sz w:val="16"/>
          <w:szCs w:val="16"/>
        </w:rPr>
      </w:pPr>
    </w:p>
    <w:p w14:paraId="293B4EEF"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22, 1942: At Stalingrad, against fierce Soviet resistance, units of 6.Armee (von Paulus) capture most of the Red October and Barricades factories in the northern part of the city (3819).</w:t>
      </w:r>
    </w:p>
    <w:p w14:paraId="634FF738" w14:textId="77777777" w:rsidR="00090C9B" w:rsidRPr="00722885" w:rsidRDefault="00090C9B" w:rsidP="00722885">
      <w:pPr>
        <w:pStyle w:val="Iauiue"/>
        <w:jc w:val="both"/>
        <w:rPr>
          <w:color w:val="000000" w:themeColor="text1"/>
          <w:sz w:val="16"/>
          <w:szCs w:val="16"/>
          <w:lang w:val="en-US"/>
        </w:rPr>
      </w:pPr>
    </w:p>
    <w:p w14:paraId="0DCC1B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октября 1942 в Сталинграде несмотря на сопротивление КА части 6А (фон Паулюс) захватили большую часть фабрик Баррикады и Красный Октябрь (3819).</w:t>
      </w:r>
    </w:p>
    <w:p w14:paraId="6A507620" w14:textId="77777777" w:rsidR="00090C9B" w:rsidRPr="00722885" w:rsidRDefault="00090C9B" w:rsidP="00722885">
      <w:pPr>
        <w:pStyle w:val="Iauiue"/>
        <w:jc w:val="both"/>
        <w:rPr>
          <w:color w:val="000000" w:themeColor="text1"/>
          <w:sz w:val="16"/>
          <w:szCs w:val="16"/>
        </w:rPr>
      </w:pPr>
    </w:p>
    <w:p w14:paraId="2BD095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октября 1942 советские войска разгромили немецкий десант, пытавшийся захватить о Сухо и прервать Ладожскую коммуникацию, по которой снабжался Ленинград (3186). л ВВС БФ сбили 15 с и потопили 16 судов (438,858).</w:t>
      </w:r>
    </w:p>
    <w:p w14:paraId="7BFF3EFD" w14:textId="77777777" w:rsidR="00090C9B" w:rsidRPr="00722885" w:rsidRDefault="00090C9B" w:rsidP="00722885">
      <w:pPr>
        <w:pStyle w:val="Iauiue"/>
        <w:jc w:val="both"/>
        <w:rPr>
          <w:color w:val="000000" w:themeColor="text1"/>
          <w:sz w:val="16"/>
          <w:szCs w:val="16"/>
        </w:rPr>
      </w:pPr>
    </w:p>
    <w:p w14:paraId="0A207C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октября 1942 г. вышел ПРИКАЗ № 0841 О ПРИМЕНЕНИИ ЗЕНИТНЫХ СРЕДСТВ ПРИ НАСТУПЛЕНИИ</w:t>
      </w:r>
    </w:p>
    <w:p w14:paraId="1B48A5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Опыт проводимых наступательных операций показал, что противник массированными действиями своей авиации задерживает наступление наших ударных группировок и, обычно, не дает им развивать успех.</w:t>
      </w:r>
    </w:p>
    <w:p w14:paraId="4CFD95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Главные усилия авиации противника сосредоточиваются на наших ударных группировках по районам их сосредоточения, а особенно во время их боевых действий и продвижения вперед.</w:t>
      </w:r>
    </w:p>
    <w:p w14:paraId="374B84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Из опыта боевых действий выявилось, что распыленное применение войсковых зенитных средств ПВО нужных результатов не дает, авиация противника действует почти безнаказанно, наносит поражение и морально воздействует на наши части, прижимая их к земле.</w:t>
      </w:r>
    </w:p>
    <w:p w14:paraId="6732F3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Приказываю:</w:t>
      </w:r>
    </w:p>
    <w:p w14:paraId="28BF1F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Для прикрытия от авиации противника ударных группировок в исходном положении и при наступлении, кроме использования авиации прикрытия, создавать зенитные группы из армейских полков ПВО и за счет изъятия зенбатарей и зенитных пулеметных рот стрелковых и других соединений, действующих на главном и* второстепенных направлениях.</w:t>
      </w:r>
    </w:p>
    <w:p w14:paraId="473363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зенитную группу назначать от 1/2 до 2/3 всех войсковых зенитных средств фронта (армии).</w:t>
      </w:r>
    </w:p>
    <w:p w14:paraId="198E13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Зенитную группу придавать ударной группе армии или фронта для ее прикрытия.*</w:t>
      </w:r>
    </w:p>
    <w:p w14:paraId="7A8B44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Особо тщательно, на месте и в движении, организовывать службу наблюдения и оповещения, чтобы зенитная группа успевала своевременно изготавливаться к открытию огня по авиации противника и создавать заградительный огонь, а войска успевали принимать необходимые меры к уменьшению потерь от бомбежек и пулеметного обстрела вражеской авиации.</w:t>
      </w:r>
    </w:p>
    <w:p w14:paraId="4BC0E3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Командование зенитной группой наступающей армии возлагать на заместителя начальника артиллерии армии по ПВО, в распоряжение которого штабу армии выделять необходимые средства связи.</w:t>
      </w:r>
    </w:p>
    <w:p w14:paraId="41DFC7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Всему командному составу всех родов войск оказывать содействие и нужную помощь зенитным батареям и пулеметным ротам зенитной группы,** продвигающимся за наступающими войсками: пропускать их вне очереди через переправы, разрешать обгонять колонны войск на дорогах, помогать зенитным частям при съездах с дорог для занятия ими огневых позиций.</w:t>
      </w:r>
    </w:p>
    <w:p w14:paraId="4100A27E"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 xml:space="preserve">Народный комиссар обороны СССР И. СТАЛИН </w:t>
      </w:r>
      <w:r w:rsidRPr="00722885">
        <w:rPr>
          <w:color w:val="000000" w:themeColor="text1"/>
          <w:sz w:val="16"/>
          <w:szCs w:val="16"/>
        </w:rPr>
        <w:t>(9844).</w:t>
      </w:r>
    </w:p>
    <w:p w14:paraId="50669D41" w14:textId="77777777" w:rsidR="00090C9B" w:rsidRPr="00722885" w:rsidRDefault="00090C9B" w:rsidP="00722885">
      <w:pPr>
        <w:pStyle w:val="Iauiue"/>
        <w:jc w:val="both"/>
        <w:rPr>
          <w:color w:val="000000" w:themeColor="text1"/>
          <w:sz w:val="16"/>
          <w:szCs w:val="16"/>
        </w:rPr>
      </w:pPr>
    </w:p>
    <w:p w14:paraId="0BABAC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октября 1942 паре торпедоносцев 1-го ГМТАП не удалось обнаружить целей, чего не скажешь о финских истребителях, атаковавших наших при возвращении. Один из «ильюши-ных» получил весьма серьезные повреждения, но дотянул до базы. После этого случая вылеты продолжились исключительно в сопровождении истребителей, однако практика показала, что это не решает проблемы (9965).</w:t>
      </w:r>
    </w:p>
    <w:p w14:paraId="54061EF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9DFC4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октября 1942 вышло Постановление ГКО № 2435 Об укомплектовании соединений и частей 1 и 2-й гвардейских армий. РГАНИР, Фонд ГКО, д. 65, лл. 28-29 (11012).</w:t>
      </w:r>
    </w:p>
    <w:p w14:paraId="687C6E8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8A86BD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403CC455" w14:textId="77777777" w:rsidR="00090C9B" w:rsidRPr="00722885" w:rsidRDefault="00090C9B" w:rsidP="00722885">
      <w:pPr>
        <w:pStyle w:val="Iauiue"/>
        <w:jc w:val="both"/>
        <w:rPr>
          <w:iCs/>
          <w:color w:val="000000" w:themeColor="text1"/>
          <w:sz w:val="16"/>
          <w:szCs w:val="16"/>
        </w:rPr>
      </w:pPr>
    </w:p>
    <w:p w14:paraId="7644CC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октября 1942 был выполнен первый полет Либерейтора в СССР, который доставил английскую военную миссию. Переговоры о воздушном сообщении заняли месяц и англичанами были выполнены рейсы Москва - Прествик 20 декабря 1942, 31 декабря 1942 и 3 января 1943, а летом при короткой ночи летали Москва - Астрахань - баку - Тегеран раз в неделю (7485, 28).</w:t>
      </w:r>
    </w:p>
    <w:p w14:paraId="4863E38A" w14:textId="77777777" w:rsidR="00090C9B" w:rsidRPr="00722885" w:rsidRDefault="00090C9B" w:rsidP="00722885">
      <w:pPr>
        <w:pStyle w:val="Iauiue"/>
        <w:jc w:val="both"/>
        <w:rPr>
          <w:color w:val="000000" w:themeColor="text1"/>
          <w:sz w:val="16"/>
          <w:szCs w:val="16"/>
        </w:rPr>
      </w:pPr>
    </w:p>
    <w:p w14:paraId="3B1D12E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22 октября </w:t>
      </w:r>
      <w:r w:rsidRPr="00722885">
        <w:rPr>
          <w:rFonts w:ascii="Times New Roman" w:hAnsi="Times New Roman"/>
          <w:color w:val="000000" w:themeColor="text1"/>
          <w:sz w:val="16"/>
          <w:szCs w:val="16"/>
        </w:rPr>
        <w:t>в 1942 году нота советского НКИД правительству Болгарии о недопустимой антисоветской позиции болгарских официальных лиц (14807).</w:t>
      </w:r>
    </w:p>
    <w:p w14:paraId="656B05BA"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55C79A4B"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65771466" w14:textId="77777777" w:rsidR="00090C9B" w:rsidRPr="00722885" w:rsidRDefault="00090C9B" w:rsidP="00722885">
      <w:pPr>
        <w:pStyle w:val="Iauiue"/>
        <w:jc w:val="both"/>
        <w:rPr>
          <w:iCs/>
          <w:color w:val="000000" w:themeColor="text1"/>
          <w:sz w:val="16"/>
          <w:szCs w:val="16"/>
          <w:lang w:val="en-US"/>
        </w:rPr>
      </w:pPr>
    </w:p>
    <w:p w14:paraId="36DBD42E" w14:textId="77777777" w:rsidR="00E4578F" w:rsidRPr="00722885" w:rsidRDefault="00E4578F" w:rsidP="00722885">
      <w:pPr>
        <w:spacing w:after="0" w:line="240" w:lineRule="auto"/>
        <w:jc w:val="both"/>
        <w:rPr>
          <w:rFonts w:ascii="Times New Roman" w:hAnsi="Times New Roman"/>
          <w:color w:val="0070C0"/>
          <w:sz w:val="16"/>
          <w:szCs w:val="16"/>
          <w:lang w:val="en-US"/>
        </w:rPr>
      </w:pPr>
      <w:r w:rsidRPr="00722885">
        <w:rPr>
          <w:rFonts w:ascii="Times New Roman" w:hAnsi="Times New Roman"/>
          <w:color w:val="0070C0"/>
          <w:sz w:val="16"/>
          <w:szCs w:val="16"/>
        </w:rPr>
        <w:t xml:space="preserve">22-23 октября (ночь) 1942 в поддержку операций союзников в Северной Африке, RAF Bomber Command начинает первый из 14 ночных рейдов на объекты в Италии, последний из которых б был в ночь 11-12 декабря. Серия налетов состоит из ночных атак на Геную, Милан и Турин и одного дневного налета на Турин. Совершив 1752 самолето-вылетов по итальянским целям, RAF Bomber Command потерял всего 31 бомбардировщик (1,8 процента). За тот же период бомбардировочное командование совершило только пять крупных ночных атак на Германию </w:t>
      </w:r>
      <w:r w:rsidRPr="00722885">
        <w:rPr>
          <w:rFonts w:ascii="Times New Roman" w:hAnsi="Times New Roman"/>
          <w:color w:val="0070C0"/>
          <w:sz w:val="16"/>
          <w:szCs w:val="16"/>
          <w:lang w:val="en-US"/>
        </w:rPr>
        <w:t>(20793).</w:t>
      </w:r>
    </w:p>
    <w:p w14:paraId="2A67BE21" w14:textId="77777777" w:rsidR="00E4578F" w:rsidRPr="00722885" w:rsidRDefault="00E4578F" w:rsidP="00722885">
      <w:pPr>
        <w:spacing w:after="0" w:line="240" w:lineRule="auto"/>
        <w:jc w:val="both"/>
        <w:rPr>
          <w:rFonts w:ascii="Times New Roman" w:hAnsi="Times New Roman"/>
          <w:color w:val="0070C0"/>
          <w:sz w:val="16"/>
          <w:szCs w:val="16"/>
          <w:lang w:val="en-US"/>
        </w:rPr>
      </w:pPr>
    </w:p>
    <w:p w14:paraId="24566F23" w14:textId="77777777" w:rsidR="009F7EBD" w:rsidRPr="00722885" w:rsidRDefault="009F7EBD" w:rsidP="00722885">
      <w:pPr>
        <w:pStyle w:val="Iauiue"/>
        <w:jc w:val="both"/>
        <w:rPr>
          <w:color w:val="000000" w:themeColor="text1"/>
          <w:sz w:val="16"/>
          <w:szCs w:val="16"/>
          <w:lang w:val="en-US"/>
        </w:rPr>
      </w:pPr>
      <w:r w:rsidRPr="00722885">
        <w:rPr>
          <w:color w:val="000000" w:themeColor="text1"/>
          <w:sz w:val="16"/>
          <w:szCs w:val="16"/>
          <w:lang w:val="en-US"/>
        </w:rPr>
        <w:t>October 22 1942 Westinghouse Electric and Manufacturing Company, by amendment to a design study contract, was authorized to construct two 19A axial flow turbojet powerplants. Thereby, fabrication was initiated of the first jet engine of wholly American design (1090).</w:t>
      </w:r>
    </w:p>
    <w:p w14:paraId="22F262A4" w14:textId="77777777" w:rsidR="009F7EBD" w:rsidRPr="00722885" w:rsidRDefault="009F7EBD" w:rsidP="00722885">
      <w:pPr>
        <w:pStyle w:val="Iauiue"/>
        <w:jc w:val="both"/>
        <w:rPr>
          <w:color w:val="000000" w:themeColor="text1"/>
          <w:sz w:val="16"/>
          <w:szCs w:val="16"/>
          <w:lang w:val="en-US"/>
        </w:rPr>
      </w:pPr>
    </w:p>
    <w:p w14:paraId="47BEE7A6" w14:textId="77777777" w:rsidR="009F7EBD" w:rsidRPr="00722885" w:rsidRDefault="009F7EBD" w:rsidP="00722885">
      <w:pPr>
        <w:pStyle w:val="Iauiue"/>
        <w:jc w:val="both"/>
        <w:rPr>
          <w:color w:val="000000" w:themeColor="text1"/>
          <w:sz w:val="16"/>
          <w:szCs w:val="16"/>
        </w:rPr>
      </w:pPr>
      <w:r w:rsidRPr="00722885">
        <w:rPr>
          <w:color w:val="000000" w:themeColor="text1"/>
          <w:sz w:val="16"/>
          <w:szCs w:val="16"/>
        </w:rPr>
        <w:t>22 октября 1942 компания Westinghouse Electric and Manufacturing получила заказ на разработку ТРД с осевым компрессором и это было начаплом производства полностью американского ТРД (1090).</w:t>
      </w:r>
    </w:p>
    <w:p w14:paraId="01C99C62" w14:textId="77777777" w:rsidR="009F7EBD" w:rsidRPr="00722885" w:rsidRDefault="009F7EBD" w:rsidP="00722885">
      <w:pPr>
        <w:pStyle w:val="Iauiue"/>
        <w:jc w:val="both"/>
        <w:rPr>
          <w:color w:val="000000" w:themeColor="text1"/>
          <w:sz w:val="16"/>
          <w:szCs w:val="16"/>
        </w:rPr>
      </w:pPr>
    </w:p>
    <w:p w14:paraId="2E80FD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октября 1942 В Вене состоялась нелегальная антифашистская конференция подпольной организации "Свободная Австрия" (22-23.10.1942 г) (7444).</w:t>
      </w:r>
    </w:p>
    <w:p w14:paraId="258022B9" w14:textId="77777777" w:rsidR="00090C9B" w:rsidRPr="00722885" w:rsidRDefault="00090C9B" w:rsidP="00722885">
      <w:pPr>
        <w:pStyle w:val="Iauiue"/>
        <w:jc w:val="both"/>
        <w:rPr>
          <w:color w:val="000000" w:themeColor="text1"/>
          <w:sz w:val="16"/>
          <w:szCs w:val="16"/>
        </w:rPr>
      </w:pPr>
    </w:p>
    <w:p w14:paraId="3FC0CC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октября 1942 в Алжире состоялись переговоры между зам. командующего союзными войсками г М.Кларком и представителями правительства Виши о содействии при проведении операции Торч и дальнейшем сотрудничестве (3186).</w:t>
      </w:r>
    </w:p>
    <w:p w14:paraId="62760F07" w14:textId="77777777" w:rsidR="00090C9B" w:rsidRPr="00722885" w:rsidRDefault="00090C9B" w:rsidP="00722885">
      <w:pPr>
        <w:pStyle w:val="Iauiue"/>
        <w:jc w:val="both"/>
        <w:rPr>
          <w:color w:val="000000" w:themeColor="text1"/>
          <w:sz w:val="16"/>
          <w:szCs w:val="16"/>
        </w:rPr>
      </w:pPr>
    </w:p>
    <w:p w14:paraId="662B6CA3"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22 1942 Rationing of fuel oil begins in the US (1242).</w:t>
      </w:r>
    </w:p>
    <w:p w14:paraId="2AF3950A" w14:textId="77777777" w:rsidR="00090C9B" w:rsidRPr="00722885" w:rsidRDefault="00090C9B" w:rsidP="00722885">
      <w:pPr>
        <w:pStyle w:val="Iauiue"/>
        <w:jc w:val="both"/>
        <w:rPr>
          <w:color w:val="000000" w:themeColor="text1"/>
          <w:sz w:val="16"/>
          <w:szCs w:val="16"/>
          <w:lang w:val="en-US"/>
        </w:rPr>
      </w:pPr>
    </w:p>
    <w:p w14:paraId="5DA962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октября 1942 в США была введена продажа мазута по карточкам (1242).</w:t>
      </w:r>
    </w:p>
    <w:p w14:paraId="463D0EA0" w14:textId="77777777" w:rsidR="00090C9B" w:rsidRPr="00722885" w:rsidRDefault="00090C9B" w:rsidP="00722885">
      <w:pPr>
        <w:pStyle w:val="Iauiue"/>
        <w:jc w:val="both"/>
        <w:rPr>
          <w:color w:val="000000" w:themeColor="text1"/>
          <w:sz w:val="16"/>
          <w:szCs w:val="16"/>
        </w:rPr>
      </w:pPr>
    </w:p>
    <w:p w14:paraId="2F66EB8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Авиапромышленность:</w:t>
      </w:r>
    </w:p>
    <w:p w14:paraId="1A66D7B0" w14:textId="77777777" w:rsidR="00090C9B" w:rsidRPr="00722885" w:rsidRDefault="00090C9B" w:rsidP="00722885">
      <w:pPr>
        <w:pStyle w:val="Iauiue"/>
        <w:jc w:val="both"/>
        <w:rPr>
          <w:iCs/>
          <w:color w:val="000000" w:themeColor="text1"/>
          <w:sz w:val="16"/>
          <w:szCs w:val="16"/>
        </w:rPr>
      </w:pPr>
    </w:p>
    <w:p w14:paraId="766D4A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октября 1942 г. закончились испытания изготовленного на заводе № 23 самолет ДБ-3Ф (Ил-4) с новыми консолями. Эта машина также отличалась щитками увеличенной площади и винтами АВ-5Ф-158 вместо стандартных ВИШ-23. За счет перехода к смешанной конструкции и увеличения запаса топлива взлетный вес вырос до 12.130 кг, что понизило максимальную скорость до 404 км/ч, но при этом выросла дальность, достигшая 4265 км с бомбовой нагрузкой 1000 кг. Новое крыло одновременно упростило пилотирование машины (7666).</w:t>
      </w:r>
    </w:p>
    <w:p w14:paraId="59D059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23 октября 1942 года Паспорт завода № 16</w:t>
      </w:r>
    </w:p>
    <w:p w14:paraId="290D5D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Год основания – 1939</w:t>
      </w:r>
    </w:p>
    <w:p w14:paraId="00BC4F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Год ввода в эксплуатацию:</w:t>
      </w:r>
    </w:p>
    <w:p w14:paraId="5345BE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частичного – 1939 год</w:t>
      </w:r>
    </w:p>
    <w:p w14:paraId="35AA17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Новостройка</w:t>
      </w:r>
    </w:p>
    <w:p w14:paraId="594B0D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Характер производства – серийное</w:t>
      </w:r>
    </w:p>
    <w:p w14:paraId="2F4C0F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Наименование производства – моторостроение</w:t>
      </w:r>
    </w:p>
    <w:p w14:paraId="13F70C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Казань, 36, п/я 735</w:t>
      </w:r>
    </w:p>
    <w:p w14:paraId="07AF10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 исполнение постановления ГКО от 19 ноября 1941 года за № 918сс, приказом НКАП от 19 ноября 1941 года на площадях завода № 27 в Казани созданы два самостоятельных завода:</w:t>
      </w:r>
    </w:p>
    <w:p w14:paraId="621EF0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завод № 27 в Казани объединен с заводом № 16 Воронежа и создан единый завод с номером 16;</w:t>
      </w:r>
    </w:p>
    <w:p w14:paraId="580B6D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выделен второй, самостоятельный завод по производству моторов М-30, с присвоением номера 82.</w:t>
      </w:r>
    </w:p>
    <w:p w14:paraId="49806D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Разработка проекта завода № 16 (бывш. № 27) начата в 1932 году.</w:t>
      </w:r>
    </w:p>
    <w:p w14:paraId="5EE35C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августа 1933 года задание было уточнено, согласно которого завод № 16 подлежало запроектировать на выпуск 25000 моторов в год типа Кертис-Конкверор.</w:t>
      </w:r>
    </w:p>
    <w:p w14:paraId="535960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Дальнейшее проектирование завода не велось и строительство его не начиналось.</w:t>
      </w:r>
    </w:p>
    <w:p w14:paraId="26E355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1935 году приказом ГУАП от 3 апреля за № 28/173 Гипроавиа было предложено запроектировать самолетное и моторное производство на площади гл. корпуса самолетного производства с соответствующим расширением и заводу № 124 было присвоено название комбината № 124/27.</w:t>
      </w:r>
    </w:p>
    <w:p w14:paraId="7A66A9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 задание подтверждается постановлением Правительства от 25 апреля 1935 года за № С-44сс. Разработанный Гипроавиа технический проект утвержден 15 января 1936 года зам. наркома тяжелой промышленности (протокол от 2 февраля 1936 года № 80/002257сс). Фактически по этому проекту завод никаких работ не выполнял.</w:t>
      </w:r>
    </w:p>
    <w:p w14:paraId="4F8603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1936 года, в связи с изменением задания по самолетному производству Гипроавиа совместно с заводом был поставлен перед 1 гл. управлением вопрос о нецелесообразности размещения в одном корпусе самолетного и моторного производства.</w:t>
      </w:r>
    </w:p>
    <w:p w14:paraId="632E8A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марта 1937 года в 1 гл. управление был представлен вариант генплана по которому моторный завод № 16 выносился в отдельные здания.</w:t>
      </w:r>
    </w:p>
    <w:p w14:paraId="0B87B0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ГУАП письмом от 24 апреля 1937 года за № 905/3541 сообщил о разрешении строить моторный завод № 16 отдельно от самолетного, согласно представленного эскиза.</w:t>
      </w:r>
    </w:p>
    <w:p w14:paraId="6F8728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Комплексный технический паспорт рассмотрен и утвержден НК оборонной промышленности 23 февраля 1938 года, протокол № 896/3555.</w:t>
      </w:r>
    </w:p>
    <w:p w14:paraId="2F22C7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1939 году, согласно Постановления Правительства от 11 июня 1939 года за № 154сс, 1-м гл. управлением Проектным институтом вновь разработано задание на выпуск 6000 моторов в год типа М-105.</w:t>
      </w:r>
    </w:p>
    <w:p w14:paraId="645AC0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 проектное задание, рассмотренное на совещании у начальника 3-го гл. управления НКАП, утвержденное 25 февраля 1939 года НКАП положено в основу представляемого комплексного технического проекта строительства завода.</w:t>
      </w:r>
    </w:p>
    <w:p w14:paraId="08941C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Рассматриваемый проект предусматривает выделение завода № 16 из состава комбината в качестве самостоятельного завода.</w:t>
      </w:r>
    </w:p>
    <w:p w14:paraId="35057A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Постановления ГКО от 24 января 1942 года за № 1207с, завод № 82 должен эвакуироваться из Казани, следовательно освободить занимаемую площадь завода № 16.</w:t>
      </w:r>
    </w:p>
    <w:p w14:paraId="2E2D5E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Паспорт завода № 16 на 23 октября 1942 года</w:t>
      </w:r>
    </w:p>
    <w:p w14:paraId="1D859C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завода – Лукин (9407).</w:t>
      </w:r>
    </w:p>
    <w:p w14:paraId="29DC9533" w14:textId="77777777" w:rsidR="00090C9B" w:rsidRPr="00722885" w:rsidRDefault="00090C9B" w:rsidP="00722885">
      <w:pPr>
        <w:pStyle w:val="Iauiue"/>
        <w:jc w:val="both"/>
        <w:rPr>
          <w:color w:val="000000" w:themeColor="text1"/>
          <w:sz w:val="16"/>
          <w:szCs w:val="16"/>
        </w:rPr>
      </w:pPr>
    </w:p>
    <w:p w14:paraId="0E5498A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октября 1942 г. изготовленный на заводе № 23 само</w:t>
      </w:r>
      <w:r w:rsidRPr="00722885">
        <w:rPr>
          <w:rFonts w:ascii="Times New Roman" w:hAnsi="Times New Roman"/>
          <w:color w:val="000000" w:themeColor="text1"/>
          <w:sz w:val="16"/>
          <w:szCs w:val="16"/>
        </w:rPr>
        <w:softHyphen/>
        <w:t>лет с новыми консолями закончил ис</w:t>
      </w:r>
      <w:r w:rsidRPr="00722885">
        <w:rPr>
          <w:rFonts w:ascii="Times New Roman" w:hAnsi="Times New Roman"/>
          <w:color w:val="000000" w:themeColor="text1"/>
          <w:sz w:val="16"/>
          <w:szCs w:val="16"/>
        </w:rPr>
        <w:softHyphen/>
        <w:t>пытания. Эта машина также отличалась щитками увеличен</w:t>
      </w:r>
      <w:r w:rsidRPr="00722885">
        <w:rPr>
          <w:rFonts w:ascii="Times New Roman" w:hAnsi="Times New Roman"/>
          <w:color w:val="000000" w:themeColor="text1"/>
          <w:sz w:val="16"/>
          <w:szCs w:val="16"/>
        </w:rPr>
        <w:softHyphen/>
        <w:t>ной площади и винтами АВ-5Ф-158 вместо стандартных ВИШ-23. За счет перехода к смешанной конструкции и увеличения запаса топлива взлетный вес вырос до 12130 кг, что понизило максимальную скорость до 404 кг, но при этом выросла дальность, достигав</w:t>
      </w:r>
      <w:r w:rsidRPr="00722885">
        <w:rPr>
          <w:rFonts w:ascii="Times New Roman" w:hAnsi="Times New Roman"/>
          <w:color w:val="000000" w:themeColor="text1"/>
          <w:sz w:val="16"/>
          <w:szCs w:val="16"/>
        </w:rPr>
        <w:softHyphen/>
        <w:t>шая 4265 км с бомбовой нагрузкой 1000 кг. Новое крыло одновременно уп</w:t>
      </w:r>
      <w:r w:rsidRPr="00722885">
        <w:rPr>
          <w:rFonts w:ascii="Times New Roman" w:hAnsi="Times New Roman"/>
          <w:color w:val="000000" w:themeColor="text1"/>
          <w:sz w:val="16"/>
          <w:szCs w:val="16"/>
        </w:rPr>
        <w:softHyphen/>
        <w:t>ростило пилотирование машины. Ил-4 завода № 126 с деревянными консоля</w:t>
      </w:r>
      <w:r w:rsidRPr="00722885">
        <w:rPr>
          <w:rFonts w:ascii="Times New Roman" w:hAnsi="Times New Roman"/>
          <w:color w:val="000000" w:themeColor="text1"/>
          <w:sz w:val="16"/>
          <w:szCs w:val="16"/>
        </w:rPr>
        <w:softHyphen/>
        <w:t>ми и винтами АВ-5Ф-158А проходил госиспытания в сентябре-октябре 42-го. Испытания он выдержал. Новинки рекомендовали к внедрению в серию (10734,71).</w:t>
      </w:r>
    </w:p>
    <w:p w14:paraId="5E6FF67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84ED9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октября 1942 г. изготовленный на заводе № 23 самолет Ил-4 с новыми консолями закончил испытания. Эта машина также отличалась щитками увеличенной площади и винтами АВ-5Ф-158 вместо стандартных ВИШ- 23. За счет перехода к смешанной конструкции и увеличения запаса топлива взлетный вес вырос до 12130 кг, что понизило максимальную скорость до 404 кг, но при этом выросла дальность, достигавшая 4265 км с бомбовой нагрузкой 1000 кг. Новое крыло одновременно упростило пилотирование машины. Ил-4 завода № 126 с деревянными консолями и винтами АВ-5Ф-158А проходил госиспытания в сентябре-октябре 42-го. Испытания он выдержал. Новинки рекомендовали к внедрению в серию.</w:t>
      </w:r>
    </w:p>
    <w:p w14:paraId="53FB96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ОКБ Ильюшина попыталось исправить ситуацию и с продольной устойчивостью. Еше в 1939 г. после испытаний одного из первых серийных ДБ-ЗФ НИИ ВВС предложил сместить назад консольные части крыла, немного повернув их относительно задней точки. Конструкторы достаточно оперативно отреагировали, в феврале следующего года представив необходимые чертежи. Предполагалось сделать опытный образец на заводе № 39. Но перегруженный завод тогда этим заниматься не стал.</w:t>
      </w:r>
    </w:p>
    <w:p w14:paraId="75BD85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идее вернулись через два года. На этот раз не ограничились поворотом консолей, а полностью реконструировали их. Конструкция консоли теперь стала смешанной. Лонжероны остались металлическими, а нервюры и обшивку выполнили из дерева. При этом использовали более толстый профиль крыла, а полки нервюр вынесли за обшивку - на поверхности крыла появились отчетливо видные ребра. Внутренний объем крыла увеличился, и в консоль вместо одного втиснули три топливных бака, что увеличило запас бензина на 1135 кг, значительно больше, чем давали подвесные баки.</w:t>
      </w:r>
    </w:p>
    <w:p w14:paraId="02AD01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на Ил-4 ввели усиленные колеса шасси на основных стойках, а хвостовое колесо увеличили в размерах (470x210 мм вместо 400х 150 мм) с соответствующим изменением костыльной фермы. В декабре завод № 23 выпустил малую серию из 10 бомбардировщиков с новыми консолями и усиленным шасси. Ее направили на войсковые испытания. Последние показали одновременно с улучшением пилотажных качеств значительное снижение боевой живучести. С новыми консолями выпустили небольшое количество бомбардировщиков. Зато простой разворот отъемных частей крыла внедрили позже на разных заводах (12021).</w:t>
      </w:r>
    </w:p>
    <w:p w14:paraId="421D6A8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D8C77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октября 1942 руководство НИИ ВВС обратилось к И.В.С. с просьбой ускорить строительство нового цельнометаллического истребителя к весне 1943 с весом не более 3300 кг, скорости у земли 550-560 км/час и на 6000-7000 м - 680-700 км/час. Были напуганы Ме-109Г-2 (1122,11).</w:t>
      </w:r>
    </w:p>
    <w:p w14:paraId="10BF9BBE" w14:textId="77777777" w:rsidR="00090C9B" w:rsidRPr="00722885" w:rsidRDefault="00090C9B" w:rsidP="00722885">
      <w:pPr>
        <w:pStyle w:val="Iauiue"/>
        <w:jc w:val="both"/>
        <w:rPr>
          <w:color w:val="000000" w:themeColor="text1"/>
          <w:sz w:val="16"/>
          <w:szCs w:val="16"/>
        </w:rPr>
      </w:pPr>
    </w:p>
    <w:p w14:paraId="21C68B16" w14:textId="77777777" w:rsidR="004371F8" w:rsidRPr="00722885" w:rsidRDefault="004371F8"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23 октября 1942 г. Руководство НИИ ВВС обратилось к И. Сталину с просьбой: ускорить строительство нового цельнометаллического истребителя к весне 1943 г. примерно с такими данными: полетный вес не более 3300 кг, максимальная горизонтальная скорость у земли 550–560 км/ч и на высоте 6000–7000 м — 680–700 км/ч (19179).</w:t>
      </w:r>
    </w:p>
    <w:p w14:paraId="58D29445" w14:textId="77777777" w:rsidR="004371F8" w:rsidRPr="00722885" w:rsidRDefault="004371F8" w:rsidP="00722885">
      <w:pPr>
        <w:pStyle w:val="rtejustify"/>
        <w:shd w:val="clear" w:color="auto" w:fill="FFFFFF"/>
        <w:spacing w:before="0" w:beforeAutospacing="0" w:after="0" w:afterAutospacing="0"/>
        <w:jc w:val="both"/>
        <w:textAlignment w:val="baseline"/>
        <w:rPr>
          <w:color w:val="000000" w:themeColor="text1"/>
          <w:sz w:val="16"/>
          <w:szCs w:val="16"/>
        </w:rPr>
      </w:pPr>
    </w:p>
    <w:p w14:paraId="6DD2B463" w14:textId="77777777" w:rsidR="00E4578F" w:rsidRPr="00722885" w:rsidRDefault="00E4578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23 октября 1942 г. начальник НИИ ВВС доложил Сталину: нужен истребитель, который при весе не более 3 300 кг имел бы скорость не ниже 550 км/ч у земли и 680 км/ч на высоте 6 000–7 000 м. На испытаниях трофейного Bf 109F весной 1942 г. специалисты НИИ ВВС неумышленно занизили его высотно-скоростные данные, и летчик Кубышкин дал в газете «Сталинский сокол» неверные рекомендации по борьбе с ним. Инженеры НИИ ВВС не выявили неисправность нагнетателя мотора DB 601N, теперь же руководство НИИ решило «перестраховаться» и утверждало: немцы стали делать высотные истребители, для борьбы с ними необходимо улучшать энергетику и усиливать вооружение. На моторе DB 605A-1 под капотами новых «мессеров» нашли разъемы системы впрыска закиси азота GM 1, хотя самой ее не было, и руководителям всех «истребительных» и моторных КБ Наркомата авиапромышленности поручили активизировать работы по высотным истребителям (22751).</w:t>
      </w:r>
    </w:p>
    <w:p w14:paraId="475F3C0A" w14:textId="77777777" w:rsidR="00E4578F" w:rsidRPr="00722885" w:rsidRDefault="00E4578F" w:rsidP="00722885">
      <w:pPr>
        <w:spacing w:after="0" w:line="240" w:lineRule="auto"/>
        <w:jc w:val="both"/>
        <w:rPr>
          <w:rFonts w:ascii="Times New Roman" w:hAnsi="Times New Roman"/>
          <w:color w:val="0070C0"/>
          <w:sz w:val="16"/>
          <w:szCs w:val="16"/>
        </w:rPr>
      </w:pPr>
    </w:p>
    <w:p w14:paraId="218F0D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23 октября 1942 г. по приказу № 798с заводу № 301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 (10776). </w:t>
      </w:r>
    </w:p>
    <w:p w14:paraId="080ACF4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1BE9E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23 октября 1942 г. по приказу № 798с заводу № 301 (ГС Завод № 301 НКАП, МАП, ГКАТ, Машиностроительный завод им. С.А. Лавочкина </w:t>
      </w:r>
      <w:r w:rsidRPr="00722885">
        <w:rPr>
          <w:rFonts w:ascii="Times New Roman" w:hAnsi="Times New Roman"/>
          <w:color w:val="000000" w:themeColor="text1"/>
          <w:sz w:val="16"/>
          <w:szCs w:val="16"/>
          <w:lang w:val="en-US"/>
        </w:rPr>
        <w:t>MOM</w:t>
      </w:r>
      <w:r w:rsidRPr="00722885">
        <w:rPr>
          <w:rFonts w:ascii="Times New Roman" w:hAnsi="Times New Roman"/>
          <w:color w:val="000000" w:themeColor="text1"/>
          <w:sz w:val="16"/>
          <w:szCs w:val="16"/>
        </w:rPr>
        <w:t xml:space="preserve">, ГСЗ им. С.А. Лавочкина, НПО, НПАО им. С.А. Лавочкина </w:t>
      </w:r>
      <w:r w:rsidRPr="00722885">
        <w:rPr>
          <w:rFonts w:ascii="Times New Roman" w:hAnsi="Times New Roman"/>
          <w:color w:val="000000" w:themeColor="text1"/>
          <w:sz w:val="16"/>
          <w:szCs w:val="16"/>
          <w:lang w:val="en-US"/>
        </w:rPr>
        <w:t>MOM</w:t>
      </w:r>
      <w:r w:rsidRPr="00722885">
        <w:rPr>
          <w:rFonts w:ascii="Times New Roman" w:hAnsi="Times New Roman"/>
          <w:color w:val="000000" w:themeColor="text1"/>
          <w:sz w:val="16"/>
          <w:szCs w:val="16"/>
        </w:rPr>
        <w:t xml:space="preserve">, ФГУП «НПО им. С.А. Лавочкина» РАКА, ФКА /141400  г. Химки Московской обл. Ленинградское ш., 24 тел. </w:t>
      </w:r>
      <w:r w:rsidRPr="00722885">
        <w:rPr>
          <w:rFonts w:ascii="Times New Roman" w:hAnsi="Times New Roman"/>
          <w:color w:val="000000" w:themeColor="text1"/>
          <w:sz w:val="16"/>
          <w:szCs w:val="16"/>
        </w:rPr>
        <w:lastRenderedPageBreak/>
        <w:t>573-56-75/)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w:t>
      </w:r>
    </w:p>
    <w:p w14:paraId="28E4A7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в 1946 г. на завод передано 1024 единицы трофейного оборудования (111 вагонов) с завода «Арадо» в  г. Ратенов (Германия) и 1733 единицы оборудования с завода «Зибельфлюгцойгверке» в  г. Галле (в т.ч. 231 металлорежущий станок).</w:t>
      </w:r>
    </w:p>
    <w:p w14:paraId="66E937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1C114E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393с от 2.10.1945 г. на площадку завода № 301 переведен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ОКБ- 301. Завод стал его опытной базой. Производство крыльев для Як-9 прекращено.</w:t>
      </w:r>
    </w:p>
    <w:p w14:paraId="5F0D25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1672C5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создан первый советский истребитель со стреловидным крылом Ла-160. 26.12.1948 г. на самолете Ла- 176 впервые в СССР была достигнута скорость звука, 1105 км/ч (М=1,02).</w:t>
      </w:r>
    </w:p>
    <w:p w14:paraId="4BFEC3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соответствии с пост, правительства от 09.1950 г. начата разработка и опытное производство управляемой ракетной техники - ЗУР для системы ПВО Москвы С-25 «Беркут». Из НИИ-88 </w:t>
      </w:r>
      <w:r w:rsidRPr="00722885">
        <w:rPr>
          <w:rFonts w:ascii="Times New Roman" w:hAnsi="Times New Roman"/>
          <w:color w:val="000000" w:themeColor="text1"/>
          <w:sz w:val="16"/>
          <w:szCs w:val="16"/>
          <w:lang w:val="en-US"/>
        </w:rPr>
        <w:t>MB</w:t>
      </w:r>
      <w:r w:rsidRPr="00722885">
        <w:rPr>
          <w:rFonts w:ascii="Times New Roman" w:hAnsi="Times New Roman"/>
          <w:color w:val="000000" w:themeColor="text1"/>
          <w:sz w:val="16"/>
          <w:szCs w:val="16"/>
        </w:rPr>
        <w:t xml:space="preserve"> в ОКБ-301 переданы наработки по ЗУР, перешла работать группа Бабакина. В 1951 г. создана первая отечественная ЗУР В-300. Велись также работы по проекту УРВВ Г-300 («210», «211») для Ту-4, но затем от них отказались. В соответствии с ПСМ № 893-533сс от 7.05.1955 г. В-300 в составе С-25 пнв. За достигнутые успехи ОКБ было награждено орденом Трудового Красного Знамени.</w:t>
      </w:r>
    </w:p>
    <w:p w14:paraId="07A33E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1955 г. в ОКБ-301 переведена часть кадров (39 чел.) расформированного КБ завода № 82.</w:t>
      </w:r>
    </w:p>
    <w:p w14:paraId="1CAEB2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08.1955 г. КБ завода № 82 МОП было восстановлено и подчинено ОКБ-301 С.М. Лавочкина.</w:t>
      </w:r>
    </w:p>
    <w:p w14:paraId="74F043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1.10.1951 г. завод передан из 7ГУ в 6ГУ, в 08.1957 г. - в ведении 2ГУ МАП. С 1960 г. - ГС Машиностроительный завод им. С.А. Лавочкина. В 11.1962 г. происходит разделение завода и ОКБ. 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П-35, П-7, П- 120, П-500, «Аметист». В соответствии с </w:t>
      </w:r>
      <w:r w:rsidRPr="00722885">
        <w:rPr>
          <w:rFonts w:ascii="Times New Roman" w:hAnsi="Times New Roman"/>
          <w:color w:val="000000" w:themeColor="text1"/>
          <w:sz w:val="16"/>
          <w:szCs w:val="16"/>
          <w:lang w:val="en-US"/>
        </w:rPr>
        <w:t>nocf</w:t>
      </w:r>
      <w:r w:rsidRPr="00722885">
        <w:rPr>
          <w:rFonts w:ascii="Times New Roman" w:hAnsi="Times New Roman"/>
          <w:color w:val="000000" w:themeColor="text1"/>
          <w:sz w:val="16"/>
          <w:szCs w:val="16"/>
        </w:rPr>
        <w:t>. СМ от 18.12.1962 г. с завода № 642 передано производство П-25.' Заводу им. Лавочкина поручено производство КР «Аметист», П-25, доводка КА «ИС» и УС.</w:t>
      </w:r>
    </w:p>
    <w:p w14:paraId="405D75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1964 г. завод им. Лавочкина ГКОТ вновь стал самостоятельным. 03.1965 г. передан в подчинение ЗГУ </w:t>
      </w:r>
      <w:r w:rsidRPr="00722885">
        <w:rPr>
          <w:rFonts w:ascii="Times New Roman" w:hAnsi="Times New Roman"/>
          <w:color w:val="000000" w:themeColor="text1"/>
          <w:sz w:val="16"/>
          <w:szCs w:val="16"/>
          <w:lang w:val="en-US"/>
        </w:rPr>
        <w:t>MOM</w:t>
      </w:r>
      <w:r w:rsidRPr="00722885">
        <w:rPr>
          <w:rFonts w:ascii="Times New Roman" w:hAnsi="Times New Roman"/>
          <w:color w:val="000000" w:themeColor="text1"/>
          <w:sz w:val="16"/>
          <w:szCs w:val="16"/>
        </w:rPr>
        <w:t>. Началась разработка космической техники: автоматических КА для исследований дальнего космоса и Луны, продолжены работы по КА «ИС» (истребителю спутников). В 1974 г. на базе завода и ОКБ создано НПО им. С.А. Лавочкина.</w:t>
      </w:r>
    </w:p>
    <w:p w14:paraId="5C7E49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06.1950 г. вышло постановление СМ СССР о создании мишени «201» (Ла-17). В 06.1956 г.- постановление СМ СССР о разработке на базе Ла-17 разведчика «210-ФР». В соответствии с ПСМ № 1230-524 от 30.11.1960 г. начата разработка беспилотного разведчика «204» (Ла-17Р). В 11.1961 г.- постановление СМ СССР о создании Ла- 17ММ (госиспытания- в 10-12.1963 г.).</w:t>
      </w:r>
    </w:p>
    <w:p w14:paraId="73E85D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08.1950 г. завод назначен головным разработчиком ЗУР «207» (В-300) для системы ПВО С-25, 10.03.1952 г. вышло постановление № 1264-417 о ее создании.</w:t>
      </w:r>
    </w:p>
    <w:p w14:paraId="3459B5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ПСМ № 527-232 от 26.03.1954 г. и № 957-409 от 20.05.1954 г. начата разработка МКР «Буря» - носителя ядерного заряда (научный руководитель- М.В. Келдыш). Пост. СМ СССР от 5.02.1960 г. работы по «Буре» прекращены.</w:t>
      </w:r>
    </w:p>
    <w:p w14:paraId="709004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24.03.1955 г. вышло постановление СМ СССР № 602-369 о создании зенитно-ракетной системы «Даль»; пост. № 1148-591 от 17.08.1956 г. были изменены ТТТ к ЗРК «Даль». Пост. № 735-338 от 4.04.1958 г. установлен срок предъявления ЗРК «Даль» на совместные испытания- 1-й квартал 1960 г. Пост, от 4.07.1959 г. задавалась разработка «Даль-М» с ЗУР «420» и «Дапь-2» с ЗУР «500». Пост. № 1096-460 от 22.10.1962 г. работы по «Даль» прекращены.</w:t>
      </w:r>
      <w:r w:rsidRPr="00722885">
        <w:rPr>
          <w:rFonts w:ascii="Times New Roman" w:hAnsi="Times New Roman"/>
          <w:color w:val="000000" w:themeColor="text1"/>
          <w:sz w:val="16"/>
          <w:szCs w:val="16"/>
          <w:vertAlign w:val="superscript"/>
        </w:rPr>
        <w:t>57</w:t>
      </w:r>
    </w:p>
    <w:p w14:paraId="60191A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 правительства от 03.1956 г. задана разработка дальнего сверхзвукового бомбардировщика «325», в 07.1958 г. работы прекращены.</w:t>
      </w:r>
    </w:p>
    <w:p w14:paraId="3E2392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1955-57 г. работы по экспериментальной крылатой атомной ракете (КАР) «375» с ЯРД.</w:t>
      </w:r>
    </w:p>
    <w:p w14:paraId="75ACFB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 СМ от 14.05.1962 г. принята на вооружение ракета «217М», а пост, от 6.08.1964 г.- ракета «218» для С- 25М.</w:t>
      </w:r>
    </w:p>
    <w:p w14:paraId="0834A9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 правительства от 18.12.1962 г. на завод с завода № 642 переведено производство ККР П-25.</w:t>
      </w:r>
    </w:p>
    <w:p w14:paraId="674FF2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1964 г. завод принимал участие в работах по бомбардировщику Т-4.</w:t>
      </w:r>
    </w:p>
    <w:p w14:paraId="01271C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1965-66 г. сюда из ОКБ-1 передана тематика КА для исследования Луны, Венеры и Марса. В 1970-е  г. велась разработка проекта доставки на Марс самоходного зонда.</w:t>
      </w:r>
    </w:p>
    <w:p w14:paraId="547F3E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1967 г. началась разработка совместно с ЦНИИ «Комета» и НИИ-45 МО системы предупреждения о ракетном нападении «Око», КА УС-К, УС-КС и УС-КМО. В соответствии с ПСМ от 29.09.1969 г. задано создание УС-К со сдачей на вооружение в 1975 г. В составе системы 4 спутника УС-КС (управляемая система «Континент» с геостационарным спутником) и 1 УС-КМО (управляемая система «Континенты-моря-океаны») (71X6) «Прогноз». Пост, правительства № 5721 от 16.01.1979 г. система «Око» принята на вооружение. ПСМ от 29.05.1980 г. задано дополнение системы УС-К спутником на геостационарной орбите. Приказом МО № 00178 от 27.12.1982 г. система поставлена на боевое дежурство, директивой главкома войск ПВО от 14.03.1985 г. УС-К преобразована в УС-КС. Состоит из 8 спутников УС-КС на высокоэллиптических орбитах и 4-х УС-КМО (71X6) на геостационарных орбитах; двух КП- западного ( г. Солнечногорск) и Восточного. Включает также систему «Крокус» и носимые терминалы командной боевой системы «Казбек». Указом Президента № 1770 в 12.1996 г. СПРН принята на вооружение, в 2002 г., после ввода восточного КП, заступила на боевое дежурство,</w:t>
      </w:r>
      <w:r w:rsidRPr="00722885">
        <w:rPr>
          <w:rFonts w:ascii="Times New Roman" w:hAnsi="Times New Roman"/>
          <w:color w:val="000000" w:themeColor="text1"/>
          <w:sz w:val="16"/>
          <w:szCs w:val="16"/>
          <w:vertAlign w:val="superscript"/>
        </w:rPr>
        <w:t>1</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vertAlign w:val="superscript"/>
        </w:rPr>
        <w:t>28 04</w:t>
      </w:r>
      <w:r w:rsidRPr="00722885">
        <w:rPr>
          <w:rFonts w:ascii="Times New Roman" w:hAnsi="Times New Roman"/>
          <w:color w:val="000000" w:themeColor="text1"/>
          <w:sz w:val="16"/>
          <w:szCs w:val="16"/>
          <w:vertAlign w:val="superscript"/>
          <w:lang w:val="en-US"/>
        </w:rPr>
        <w:t>Cb</w:t>
      </w:r>
    </w:p>
    <w:p w14:paraId="3096B9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Действовал филиал в Обнинске (с 06.1993 г. - НИЦ КС). В начале 1989 г. при НПО создан НИЦ им. Бабакина как открытая организация для работы с иностранными специалистами. В 1989 г. организован Калужский филиал (с 1998 г.- дочернее предприятие Калужское ОКБ).</w:t>
      </w:r>
    </w:p>
    <w:p w14:paraId="215BC9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НПО им. Лавчкина входили: ОКБ, экспериментальный завод («Вымпел»?), Калужское ОКБ (2002 г.); НИЦ им. Бабакина (2003 г.). В 2004 г. в состав НПО входил Центр «Наземно-космических систем».</w:t>
      </w:r>
    </w:p>
    <w:p w14:paraId="59484B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579C4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(2002-05 г.): разработка и изготовление автоматических межпланетных станций, КА; космических комплексов связи, ДЗЗ; обеспечение баллистико-навигационных расчетов траекторий КА; испытания агрегатов и КА в целом; подготовка к полету и управление полетом КА. Принимало участие в программах: «Луна», «Марс», «Венера», «Банкир», «Вега», «Фобос», ИРС-1, «Гранат», «Интербол», «Спектр», «Электро», индийской лунной программе «Чандраян-2» (2006 г.).</w:t>
      </w:r>
    </w:p>
    <w:p w14:paraId="6B7964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(1962 г.)- 7966 чел., (1972 г.)- 10.655 чел.</w:t>
      </w:r>
      <w:r w:rsidRPr="00722885">
        <w:rPr>
          <w:rFonts w:ascii="Times New Roman" w:hAnsi="Times New Roman"/>
          <w:color w:val="000000" w:themeColor="text1"/>
          <w:sz w:val="16"/>
          <w:szCs w:val="16"/>
          <w:vertAlign w:val="superscript"/>
        </w:rPr>
        <w:t>77</w:t>
      </w:r>
    </w:p>
    <w:p w14:paraId="2B08C1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(1945-06.1956 г.)- С.А. Лавочкин («Буря»), (1960-65 г.)- М.М. Пашинин, И.Н. Лукин, (1965- 71 г.)-  Г.Н. Бабакин, (1971-12.1977 г.)- С.С. Крюков, (17.02.1977-86 г.)- В.М. Ковтуненко. Ген. конструктор (12.1956-06.1960 г.)- С.А. Лавочкин {11.09.1900-9.06.1960}, (1986-95 г.)- В.М. Ковтуненко {31.08.1921-10.07.1995}, (1996-08.2003г,)- С.Д. Куликов; И.О. ген. конструктора (08-10.2003 г.)- К.М. Пичхадзе; (10.2003-1.02.2005 г.)- К.М. Пичхадзе, (1.02.2005-07 г.-&gt;  Г.М. Полищук.</w:t>
      </w:r>
    </w:p>
    <w:p w14:paraId="09E3C2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гл., ген. конструктора (0б.1951-53 г.)- П.Д. Грушин, (1971-77г,)- А. Г. Чесноков, по научной работе (1985 г.-)- А.Л. Родин; по прикладному направлению (1989 г.-)- А.Л. Родин; (2004 г.)- В.Н. Тимофеев. Зам. гл., ген. конструктора (-1952-60 г.-)- Н.А. Хейфец, (-1955-60 г.)- Н.С. Черняков, (-1956-60 г.)- М.М. Пашинин, (1960-65 г.)-  Г.Н. Бабакин, (1968 г.-)- А. Г. Чесноков, (-1969 г.)- И.А. Скробко, (10.2005 г.)- К.М. Пичхадзе; по информационным спутниковым системам (1998-2004 г.-&gt; А.Л. Родин.</w:t>
      </w:r>
    </w:p>
    <w:p w14:paraId="01A014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(1965 г.)- А.П. Милованов. Гендиректор (1987-89 г.)- В.М. Ковтуненко, (-1996-99 г.-)- А.М. Баклунов,</w:t>
      </w:r>
      <w:r w:rsidRPr="00722885">
        <w:rPr>
          <w:rFonts w:ascii="Times New Roman" w:hAnsi="Times New Roman"/>
          <w:color w:val="000000" w:themeColor="text1"/>
          <w:sz w:val="16"/>
          <w:szCs w:val="16"/>
          <w:vertAlign w:val="superscript"/>
        </w:rPr>
        <w:t>58</w:t>
      </w:r>
      <w:r w:rsidRPr="00722885">
        <w:rPr>
          <w:rFonts w:ascii="Times New Roman" w:hAnsi="Times New Roman"/>
          <w:color w:val="000000" w:themeColor="text1"/>
          <w:sz w:val="16"/>
          <w:szCs w:val="16"/>
        </w:rPr>
        <w:t xml:space="preserve"> (-08.2003 г.)- С.Д. Куликов; И.О. гендиректора (08-10.2003 г.)- К.М. Пичхадзе; (10.2003- 1.02.2005 г.)- К.М. Пичхадзе, (1.02.2005-07 г.-&gt;  Г.М. Полищук.</w:t>
      </w:r>
    </w:p>
    <w:p w14:paraId="75517A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гендиректора (01.2004 г.)- Р. Кремнев, (1.02.2005 г.-)- К.М. Пичхадзе. Зам. Гендиректора: по ВЭД (2002 г.)- И.П. Зайцев.</w:t>
      </w:r>
      <w:r w:rsidRPr="00722885">
        <w:rPr>
          <w:rFonts w:ascii="Times New Roman" w:hAnsi="Times New Roman"/>
          <w:color w:val="000000" w:themeColor="text1"/>
          <w:sz w:val="16"/>
          <w:szCs w:val="16"/>
          <w:vertAlign w:val="superscript"/>
        </w:rPr>
        <w:t>69</w:t>
      </w:r>
    </w:p>
    <w:p w14:paraId="51DE55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(06.1951-53 г.)- П.Д. Грушин.</w:t>
      </w:r>
    </w:p>
    <w:p w14:paraId="598EF7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завода (1965 г.)- И.Н. Лукин.</w:t>
      </w:r>
    </w:p>
    <w:p w14:paraId="5CCA70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комплексов: электрорадиотехнического- А.Л. Родин; проектного- А.Л. Родин.</w:t>
      </w:r>
    </w:p>
    <w:p w14:paraId="5D5749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(1940-е-1950 г.-)- И.А. Меркулов («201»), (-1955-60 г.)- Н.С. Черняков («205», МКР «Буря»),</w:t>
      </w:r>
      <w:r w:rsidRPr="00722885">
        <w:rPr>
          <w:rFonts w:ascii="Times New Roman" w:hAnsi="Times New Roman"/>
          <w:color w:val="000000" w:themeColor="text1"/>
          <w:sz w:val="16"/>
          <w:szCs w:val="16"/>
          <w:vertAlign w:val="superscript"/>
        </w:rPr>
        <w:t>59</w:t>
      </w:r>
      <w:r w:rsidRPr="00722885">
        <w:rPr>
          <w:rFonts w:ascii="Times New Roman" w:hAnsi="Times New Roman"/>
          <w:color w:val="000000" w:themeColor="text1"/>
          <w:sz w:val="16"/>
          <w:szCs w:val="16"/>
        </w:rPr>
        <w:t xml:space="preserve"> (1960-е)- О. Г. Ивановский («Луноходы»), (1969-2004 г.-)- А. Г. Чесноков («201», УС-К, КА прикладного назначения), (1985 г.-)- А.Л. Родин (КА УС-КМО).</w:t>
      </w:r>
    </w:p>
    <w:p w14:paraId="789E83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Ведущие конструкторы: (1969 г.)- А. Г. Чесноков (Ла-17, Ла-17М, Ла-17Р, УС-К), (1951 г.)- Н.С. Черняков («205»), А.Л. Родин (КА «Венера», «Марс»).</w:t>
      </w:r>
    </w:p>
    <w:p w14:paraId="7416B6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теоретического (1951 г.-)-  Г.Н. Бабакин; по системам управления (1970-е)- Н.Д. Капырин; электроавтоматики (1970-е)- А.И. Ступников.</w:t>
      </w:r>
    </w:p>
    <w:p w14:paraId="26560E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Летчики-испытатели: (1955 г.)- А. Г. Кочетков.</w:t>
      </w:r>
    </w:p>
    <w:p w14:paraId="4E78BC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 самолеты: истребители:</w:t>
      </w:r>
      <w:r w:rsidRPr="00722885">
        <w:rPr>
          <w:rFonts w:ascii="Times New Roman" w:hAnsi="Times New Roman"/>
          <w:color w:val="000000" w:themeColor="text1"/>
          <w:sz w:val="16"/>
          <w:szCs w:val="16"/>
        </w:rPr>
        <w:t xml:space="preserve"> Ла-7 (30.01.1944 г.), Ла-9 (28.01.1946 г.), Ла-11 (05.1947 г.), «150» (12.09.1946 г.), «156», Ла-160 («160», 26.07.1947 г.), «168», Ла-15 («174», 8.01.1948 г.), Ла-176 («176», 20.09.1948 г.), «190», перехватчики Ла-200 («200», 16.09.1949 г.), Ла-200Б (3.07.1952 г.), Л-240 «Анаконда», бомбардировщики: «250», «325» (проект, 1958);</w:t>
      </w:r>
      <w:r w:rsidRPr="00722885">
        <w:rPr>
          <w:rFonts w:ascii="Times New Roman" w:hAnsi="Times New Roman"/>
          <w:iCs/>
          <w:color w:val="000000" w:themeColor="text1"/>
          <w:sz w:val="16"/>
          <w:szCs w:val="16"/>
        </w:rPr>
        <w:t xml:space="preserve"> мишени:</w:t>
      </w:r>
      <w:r w:rsidRPr="00722885">
        <w:rPr>
          <w:rFonts w:ascii="Times New Roman" w:hAnsi="Times New Roman"/>
          <w:color w:val="000000" w:themeColor="text1"/>
          <w:sz w:val="16"/>
          <w:szCs w:val="16"/>
        </w:rPr>
        <w:t xml:space="preserve"> «201» (Ла-17), «203» (Ла-17М), «202» (Ла-17ММ), Ла-17У;</w:t>
      </w:r>
      <w:r w:rsidRPr="00722885">
        <w:rPr>
          <w:rFonts w:ascii="Times New Roman" w:hAnsi="Times New Roman"/>
          <w:iCs/>
          <w:color w:val="000000" w:themeColor="text1"/>
          <w:sz w:val="16"/>
          <w:szCs w:val="16"/>
        </w:rPr>
        <w:t xml:space="preserve"> БПЛА- разведчит:</w:t>
      </w:r>
      <w:r w:rsidRPr="00722885">
        <w:rPr>
          <w:rFonts w:ascii="Times New Roman" w:hAnsi="Times New Roman"/>
          <w:color w:val="000000" w:themeColor="text1"/>
          <w:sz w:val="16"/>
          <w:szCs w:val="16"/>
        </w:rPr>
        <w:t xml:space="preserve"> «204» (Ла-17Р, госиспытания в 1963), «204М» (Ла-17РМ), «210-ФР» (1956), Ла-17БР (1958);</w:t>
      </w:r>
    </w:p>
    <w:p w14:paraId="08E036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lastRenderedPageBreak/>
        <w:t>ЗУР:</w:t>
      </w:r>
      <w:r w:rsidRPr="00722885">
        <w:rPr>
          <w:rFonts w:ascii="Times New Roman" w:hAnsi="Times New Roman"/>
          <w:color w:val="000000" w:themeColor="text1"/>
          <w:sz w:val="16"/>
          <w:szCs w:val="16"/>
        </w:rPr>
        <w:t xml:space="preserve"> изд. «205» (В-300 для С-25 «Беркут», 25.07.1951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w:t>
      </w:r>
      <w:r w:rsidRPr="00722885">
        <w:rPr>
          <w:rFonts w:ascii="Times New Roman" w:hAnsi="Times New Roman"/>
          <w:iCs/>
          <w:color w:val="000000" w:themeColor="text1"/>
          <w:sz w:val="16"/>
          <w:szCs w:val="16"/>
        </w:rPr>
        <w:t xml:space="preserve"> УРВБ:</w:t>
      </w:r>
      <w:r w:rsidRPr="00722885">
        <w:rPr>
          <w:rFonts w:ascii="Times New Roman" w:hAnsi="Times New Roman"/>
          <w:color w:val="000000" w:themeColor="text1"/>
          <w:sz w:val="16"/>
          <w:szCs w:val="16"/>
        </w:rPr>
        <w:t xml:space="preserve"> «210» (Г-300 на базе В-300, опытная) для Ту-4, «211» (Г- 310), «275» и «277» комплекса К-15 для Ла-250, «275А» комплекса К-15У, «278», «279», «280» комплекса К-15М; МКР «Буря» («350», В-350, 1.09.1957 г.); КАР «375» (1957);</w:t>
      </w:r>
    </w:p>
    <w:p w14:paraId="1C9C59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 для исследований: Луны: «Луна-8», «Луна-9» (01.1966 г., первая в мире посадка на Луну), «Луна-10, -11,- 12 (22.10.1966 г.), -13 (12.1966 г.), -14, -15 (13.07.1969 г.), -16 (12.09.1970, доставлен лунный грунт)», «Луна-17» («Луноход-1», 10.11.1970 г.), «Луна-18» (2.09.1971 г.), «Луна-19» (28.09.1971 г.), «Луна-20» (14.02.1972 г.), «Луна- 21» («Луноход-2», 8.01.1973 г.), «Луна-23 (28.10.1974 г.), -24 (9.08.1976 г.)», «Луна-Глоб» (2000-е); Венеры: «Венера-4 (12.06.1967 г.), -5 (5.01.1969 г.), -6 (10.01.1969 г.), -7 (17.08.1970 г.), -8 (27.03.1972 г.), -9 (8.06.1975 г.), -10 (14.06.1975 г.), -11 (9.09.1978 г.), -12 (14.09.1978 г.), -13 (30.10.1981 г.), -14 (4.11.1981 г.), -16 (7.06.1983 г.)», «Вега-1 (15.12.1984 г.), -2 (21.12.1984 г.)»; Марса: «Марс-8» (1996); Марса и Фобоса «Фобос-грунт» (2000-е); исследования геомагнитной и радиационной обстановки «Прогноз-1...5» (1972-76); обсерватории для астрофизических исследований «Астрон» (1983), «Гранат» (1.12.1989 г.), «Спектр» (2000-е); автоматический оптико-электронной разведки «Аркон» («Аракс-Н», 11Ф664, «Космос-2344», «Космос-2392») (1997), спутник связи «Купон» (1997); истребитель спутников «ИС» («Уран»): «Космос-217, -248, -252» (1968), «ИС-МУ» (14Ф10), КА СПРН «Око»: «Космос-520 (5В95, 19.09.1972), -903, -917, -931, -2345, -2350 (1998), -2397» (2003), УС-КС (81Г6, «Прогноз») «Космос-775 (8.10.1975 г.), -1629 (21.02.1985 г.), -1675» (12.08.1985 г.), УС-КМО (71X6) «Космос-2133 (14.02.1991 г.), -2224 (17.12.1992 г.), -2282 (7.07.1994 г.)»; гидрометеорологический «Электро-Л» (2000-е); разгонный блок «Фрегат» для РН «Союз-2»; «Космос-1» с «солнечным парусом» (22.06.2005); «Демонстратор» (9.02.2000, 20.07.2001, 12.07.2002, 7.10.2005).</w:t>
      </w:r>
    </w:p>
    <w:p w14:paraId="35350B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крылья для Як-7, Як-9 (1943-45); самолет Ла-150; УР: «350» (В-350, МКР «Буря)- 19, ЗУР «400» (1961)- опытная партия; ККР П-25 (4К70, 1963-).</w:t>
      </w:r>
    </w:p>
    <w:p w14:paraId="4F1205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ФГУП «Научно- исследовательский центр (НИЦ) им.  Г.Н. Бабакина» /г. Химки Московской обл./</w:t>
      </w:r>
    </w:p>
    <w:p w14:paraId="01752C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073A84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w:t>
      </w:r>
      <w:r w:rsidRPr="00722885">
        <w:rPr>
          <w:rFonts w:ascii="Times New Roman" w:hAnsi="Times New Roman"/>
          <w:color w:val="000000" w:themeColor="text1"/>
          <w:sz w:val="16"/>
          <w:szCs w:val="16"/>
          <w:vertAlign w:val="superscript"/>
        </w:rPr>
        <w:t>37</w:t>
      </w:r>
      <w:r w:rsidRPr="00722885">
        <w:rPr>
          <w:rFonts w:ascii="Times New Roman" w:hAnsi="Times New Roman"/>
          <w:color w:val="000000" w:themeColor="text1"/>
          <w:sz w:val="16"/>
          <w:szCs w:val="16"/>
        </w:rPr>
        <w:t xml:space="preserve"> Создан «Солнечный парус» (2001 г.). Проект марсохода (2000-е).</w:t>
      </w:r>
    </w:p>
    <w:p w14:paraId="6AF138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2002 г. входил в состав НПО им. Лавочкина.</w:t>
      </w:r>
    </w:p>
    <w:p w14:paraId="4315B3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(-10.2003 г.)- К.М. Пичхадзе.</w:t>
      </w:r>
    </w:p>
    <w:p w14:paraId="3291D4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w:t>
      </w:r>
      <w:r w:rsidRPr="00722885">
        <w:rPr>
          <w:rFonts w:ascii="Times New Roman" w:hAnsi="Times New Roman"/>
          <w:color w:val="000000" w:themeColor="text1"/>
          <w:sz w:val="16"/>
          <w:szCs w:val="16"/>
        </w:rPr>
        <w:t xml:space="preserve"> «Луноход-1» (10.11.1970 г., «Луна-17»), «Луноход-2» (01.1973 г.), «Луноход-3» (не запускался), марсоход М-71 (1971 г., «Марс-З»).</w:t>
      </w:r>
      <w:r w:rsidRPr="00722885">
        <w:rPr>
          <w:rFonts w:ascii="Times New Roman" w:hAnsi="Times New Roman"/>
          <w:color w:val="000000" w:themeColor="text1"/>
          <w:sz w:val="16"/>
          <w:szCs w:val="16"/>
          <w:vertAlign w:val="superscript"/>
        </w:rPr>
        <w:t>138</w:t>
      </w:r>
    </w:p>
    <w:p w14:paraId="1F9367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Калужский филиал, ФГУДП «Калужское ОКБ» НПО им. Лавочкина</w:t>
      </w:r>
    </w:p>
    <w:p w14:paraId="74F5C0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/248601  г. Калуга ул. Октябрьская, 17 тел. 49-523/</w:t>
      </w:r>
    </w:p>
    <w:p w14:paraId="12D7D7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организован в 1989 г. для создания программно-математического обеспечения и спецоборудования КА. В 1998 г. филиал преобразован в дочернее предприятие Калужское ОКБ.</w:t>
      </w:r>
    </w:p>
    <w:p w14:paraId="7D77EC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Принимал участие в программах: «Марс-96», «Спектр», «Кластер».</w:t>
      </w:r>
    </w:p>
    <w:p w14:paraId="7CC6CF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и производство (2002 г.): программно-алгоритмическое обеспечение СУ и обработки информации КА («Фобос-Грунт»); научная аппаратура и наземное оборудование; математическое моделирование процессов взаимодействия посадочных аппаратов с поверхностью; оборудование на основе озона и УФ-излучения для борьбы с инфекциями.</w:t>
      </w:r>
    </w:p>
    <w:p w14:paraId="7200F3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С. Г. Потехин.</w:t>
      </w:r>
    </w:p>
    <w:p w14:paraId="2977D8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(2002 г.)- С. Г. Потехин.</w:t>
      </w:r>
    </w:p>
    <w:p w14:paraId="75BBEC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(2002 г.)- В.И. Михальский, (2002 г.)- Д.В. Кондратьев.</w:t>
      </w:r>
      <w:r w:rsidRPr="00722885">
        <w:rPr>
          <w:rFonts w:ascii="Times New Roman" w:hAnsi="Times New Roman"/>
          <w:color w:val="000000" w:themeColor="text1"/>
          <w:sz w:val="16"/>
          <w:szCs w:val="16"/>
          <w:vertAlign w:val="superscript"/>
        </w:rPr>
        <w:t>69</w:t>
      </w:r>
    </w:p>
    <w:p w14:paraId="45762C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ФГУП Научно-исследовательский центр космической системотехники (НИЦКС) /249032  г. Обнинск Калужской обл. ул. Королева, 6А тел. 23-912, 255-23-93/</w:t>
      </w:r>
    </w:p>
    <w:p w14:paraId="619473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НИЦ КС создан в 06.1993 г. на базе филиала НПО им. Лавочкина. Работы по обеспечению летно- конструкторских испытаний и эксплуатации КА; НИОКР по созданию установок и систем очистки природных и сточных вод.</w:t>
      </w:r>
    </w:p>
    <w:p w14:paraId="170D83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(2002 г.): НИОКР в области космических технологий производства полупроводниковых материалов, информационных технологий.</w:t>
      </w:r>
    </w:p>
    <w:p w14:paraId="7C8BC1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(2002 г.)- 24 чел.</w:t>
      </w:r>
    </w:p>
    <w:p w14:paraId="18964B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И.Л. Озерных.</w:t>
      </w:r>
    </w:p>
    <w:p w14:paraId="58D2EE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(2002 г.)- И.Л. Озерных.</w:t>
      </w:r>
    </w:p>
    <w:p w14:paraId="2F100EA7" w14:textId="77777777" w:rsidR="009F7EBD" w:rsidRPr="00722885" w:rsidRDefault="00090C9B" w:rsidP="00722885">
      <w:pPr>
        <w:spacing w:after="0" w:line="240" w:lineRule="auto"/>
        <w:jc w:val="both"/>
        <w:rPr>
          <w:rFonts w:ascii="Times New Roman" w:hAnsi="Times New Roman"/>
          <w:color w:val="000000" w:themeColor="text1"/>
          <w:sz w:val="16"/>
          <w:szCs w:val="16"/>
          <w:vertAlign w:val="superscript"/>
        </w:rPr>
      </w:pPr>
      <w:r w:rsidRPr="00722885">
        <w:rPr>
          <w:rFonts w:ascii="Times New Roman" w:hAnsi="Times New Roman"/>
          <w:color w:val="000000" w:themeColor="text1"/>
          <w:sz w:val="16"/>
          <w:szCs w:val="16"/>
        </w:rPr>
        <w:t>Зам. гл. конструктора (2002 г.)- А.Н. Подтуркин.</w:t>
      </w:r>
      <w:r w:rsidRPr="00722885">
        <w:rPr>
          <w:rFonts w:ascii="Times New Roman" w:hAnsi="Times New Roman"/>
          <w:color w:val="000000" w:themeColor="text1"/>
          <w:sz w:val="16"/>
          <w:szCs w:val="16"/>
          <w:vertAlign w:val="superscript"/>
        </w:rPr>
        <w:t>69</w:t>
      </w:r>
    </w:p>
    <w:p w14:paraId="160EE9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ООО «Инновационное предприятие «Луноход» /141400  г. Химки Московской обл. ул. Ленинградская, 24 тел. 573-00-75/</w:t>
      </w:r>
    </w:p>
    <w:p w14:paraId="551F81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Предприятие создано в 1991 г., учредитель- НПО им. С.А. Лавочкина.</w:t>
      </w:r>
    </w:p>
    <w:p w14:paraId="34B419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7C5518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(2002 г.)-17 чел.</w:t>
      </w:r>
    </w:p>
    <w:p w14:paraId="67A77A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(2002 г.)- М.Ф. Тулянкин.</w:t>
      </w:r>
    </w:p>
    <w:p w14:paraId="1F1829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(2002 г.)- С.В. Титенок (11982).</w:t>
      </w:r>
    </w:p>
    <w:p w14:paraId="7D04FFEF"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43DB65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октября 1942 г. по приказу № 798с филиал завода № 482 (механические мастерские) передан заводу № 301 НКАП для ремонта и изготовления плоскостей самолета Як-7.</w:t>
      </w:r>
    </w:p>
    <w:p w14:paraId="52CB9B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655с от 11.11.1943 г. завод № 482 передан из 6ГУ в 7ГУ (в опытные). Работы по ремонту и выпуску запчастей переданы на другие заводы 6ГУ.</w:t>
      </w:r>
    </w:p>
    <w:p w14:paraId="681E9E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завода с 06.1943 г.- В.М. Мясищев (одновременно он- гл. конструктор и руководитель ОКБ-22 завода № 22 НКАП в Казани).</w:t>
      </w:r>
    </w:p>
    <w:p w14:paraId="79B9F9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 на заводе № 482 образован филиал ОКБ-22.</w:t>
      </w:r>
    </w:p>
    <w:p w14:paraId="6EB445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имел свой аэродром на Ходынке (1943  г.).</w:t>
      </w:r>
    </w:p>
    <w:p w14:paraId="14D321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Существовал филиал завода № 482 в Москве. Приказом № 277с от 7.05.1943 г. помещения филиала переданы под размещение НИСО.</w:t>
      </w:r>
    </w:p>
    <w:p w14:paraId="02AD31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424с от 5.07.1944 г.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495616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0699CB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5517E3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108F7D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6BD403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(04.1941 г.-)- А.И. Меркулов.</w:t>
      </w:r>
    </w:p>
    <w:p w14:paraId="3F980A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(1941-06.1943 г.)- А.Я. Щербаков, (06.1943-46 г.)- В.М. Мясищев.</w:t>
      </w:r>
    </w:p>
    <w:p w14:paraId="46DEE8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(1946 г.-)- Е.П. Шекунов.</w:t>
      </w:r>
    </w:p>
    <w:p w14:paraId="70799D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(04.1941 г.-)- А.И. Меркулов.</w:t>
      </w:r>
    </w:p>
    <w:p w14:paraId="04A5DD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гл. конструктора А.Я. Щербакова при заводе № 482 НКАП</w:t>
      </w:r>
    </w:p>
    <w:p w14:paraId="6A235F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6A1FA5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5B1ED6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492298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4F363C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722885">
        <w:rPr>
          <w:rFonts w:ascii="Times New Roman" w:hAnsi="Times New Roman"/>
          <w:color w:val="000000" w:themeColor="text1"/>
          <w:sz w:val="16"/>
          <w:szCs w:val="16"/>
          <w:lang w:val="en-US"/>
        </w:rPr>
        <w:t>JIa</w:t>
      </w:r>
      <w:r w:rsidRPr="00722885">
        <w:rPr>
          <w:rFonts w:ascii="Times New Roman" w:hAnsi="Times New Roman"/>
          <w:color w:val="000000" w:themeColor="text1"/>
          <w:sz w:val="16"/>
          <w:szCs w:val="16"/>
        </w:rPr>
        <w:t>-5 и Пе-2ВИ.</w:t>
      </w:r>
    </w:p>
    <w:p w14:paraId="6EBB5E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251E8A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ОКБ завода № 22 гл. конструктора В.М. Мясищева, ОКБ-482 НКАП, МАП /г. Москва/</w:t>
      </w:r>
    </w:p>
    <w:p w14:paraId="1FC606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0AF2C9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1F350E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51781C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07DB18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7B54D2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001EAB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(1944-46 г.)- В.М. Мясищев.</w:t>
      </w:r>
    </w:p>
    <w:p w14:paraId="33AE57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425B248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D94C2F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F08E7A9" w14:textId="77777777" w:rsidR="00090C9B" w:rsidRPr="00722885" w:rsidRDefault="00090C9B" w:rsidP="00722885">
      <w:pPr>
        <w:pStyle w:val="Iauiue"/>
        <w:jc w:val="both"/>
        <w:rPr>
          <w:iCs/>
          <w:color w:val="000000" w:themeColor="text1"/>
          <w:sz w:val="16"/>
          <w:szCs w:val="16"/>
        </w:rPr>
      </w:pPr>
    </w:p>
    <w:p w14:paraId="63ABF504" w14:textId="77777777" w:rsidR="004371F8" w:rsidRPr="00722885" w:rsidRDefault="004371F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октября 1942 ГАБТУ КА подготовило Тактико-технические требования на танк Т-43, а на завод №183 они попали к 1 ноября. Эти требования стали предметом ожесточённого спора между Морозовым, ГАБТУ и НКТП. Дело в том, что требования существенно отличались от того танка, который проектировался под руководством Морозова. Для начала планировалось сделать спаренную установку орудия Ф-34 с двумя пулемётами ленточного питания, а также предусмотреть возможность установки 50-мм миномёта. Боекомплект должен был составлять 100 патронов калибра 76 мм и 3000 винтовочных патронов. Диаметр погона увеличивался с 1420 до 1600 мм. Кроме того, предполагалось иметь цевочное зацепление гусеничных лент.</w:t>
      </w:r>
    </w:p>
    <w:p w14:paraId="56E38440" w14:textId="77777777" w:rsidR="004371F8" w:rsidRPr="00722885" w:rsidRDefault="004371F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получения тактико-технических требований со стороны Морозова последовал яростный отпор. К этому моменту проектные работы на заводе №183 уже закончили, причём предлагалось сразу два проекта. Помимо Т-43, планировалось изготовить танк Т-44 (позже именовался как Т-23), отличавшийся сниженной до 45 мм толщиной брони (за счёт этого боевая масса машины снижалась до 26,5 т). Последовала переписка, в которой Морозов аргументированно выступил против изменений, предусмотренных требованиями. Например, по его мнению, рост диаметра башенного погона увеличивал массу танка на 2 т. В результате к мнению главного конструктора КБ-520 прислушались (18420).</w:t>
      </w:r>
    </w:p>
    <w:p w14:paraId="7155775E" w14:textId="77777777" w:rsidR="004371F8" w:rsidRPr="00722885" w:rsidRDefault="004371F8" w:rsidP="00722885">
      <w:pPr>
        <w:spacing w:after="0" w:line="240" w:lineRule="auto"/>
        <w:jc w:val="both"/>
        <w:rPr>
          <w:rFonts w:ascii="Times New Roman" w:hAnsi="Times New Roman"/>
          <w:color w:val="000000" w:themeColor="text1"/>
          <w:sz w:val="16"/>
          <w:szCs w:val="16"/>
        </w:rPr>
      </w:pPr>
    </w:p>
    <w:p w14:paraId="76D1557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октября 1942 вышло постановление ГКО, которое предписало Ж.Я.Котину проработать вопрос САУ с конструкторским коллективом Уралмаша (5008, 117).</w:t>
      </w:r>
    </w:p>
    <w:p w14:paraId="57C8D467" w14:textId="77777777" w:rsidR="00090C9B" w:rsidRPr="00722885" w:rsidRDefault="00090C9B" w:rsidP="00722885">
      <w:pPr>
        <w:pStyle w:val="Iauiue"/>
        <w:tabs>
          <w:tab w:val="left" w:pos="11199"/>
        </w:tabs>
        <w:jc w:val="both"/>
        <w:rPr>
          <w:color w:val="000000" w:themeColor="text1"/>
          <w:sz w:val="16"/>
          <w:szCs w:val="16"/>
        </w:rPr>
      </w:pPr>
    </w:p>
    <w:p w14:paraId="4E895E5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w:t>
      </w:r>
      <w:r w:rsidRPr="00722885">
        <w:rPr>
          <w:rFonts w:ascii="Times New Roman" w:hAnsi="Times New Roman"/>
          <w:color w:val="000000" w:themeColor="text1"/>
          <w:sz w:val="16"/>
          <w:szCs w:val="16"/>
        </w:rPr>
        <w:softHyphen/>
        <w:t>бря 1942 г. для выполнения решения ГКО приказом НКТП на УЗТМ была создана специальная конструкторская груп</w:t>
      </w:r>
      <w:r w:rsidRPr="00722885">
        <w:rPr>
          <w:rFonts w:ascii="Times New Roman" w:hAnsi="Times New Roman"/>
          <w:color w:val="000000" w:themeColor="text1"/>
          <w:sz w:val="16"/>
          <w:szCs w:val="16"/>
        </w:rPr>
        <w:softHyphen/>
        <w:t>па, в состав которой вошли: В.А. Вишняков, Н.В. Курин, Г.Ф. Ксюнин, А.Д. Нехлюдов, К.Н. Ильин, И.И. Эммануилов, И.С. Сазонов. Общее руководство всеми работами по разработке и изготовлению самоходной установки на базе танка Т-34-76 осуществляли главный конструктор Л.И. Горлицкий и заместитель наркома танковой промышленности Ж.Я. Котин. Разрабатываемой установке был присвоен заводской индекс У-35. Впоследствии по указанию ГБТУ индекс машины был изменен и уста</w:t>
      </w:r>
      <w:r w:rsidRPr="00722885">
        <w:rPr>
          <w:rFonts w:ascii="Times New Roman" w:hAnsi="Times New Roman"/>
          <w:color w:val="000000" w:themeColor="text1"/>
          <w:sz w:val="16"/>
          <w:szCs w:val="16"/>
        </w:rPr>
        <w:softHyphen/>
        <w:t>новка получила название СУ-122. Срок изготовления опытного образ</w:t>
      </w:r>
      <w:r w:rsidRPr="00722885">
        <w:rPr>
          <w:rFonts w:ascii="Times New Roman" w:hAnsi="Times New Roman"/>
          <w:color w:val="000000" w:themeColor="text1"/>
          <w:sz w:val="16"/>
          <w:szCs w:val="16"/>
        </w:rPr>
        <w:softHyphen/>
        <w:t>ца был ограничен месяцем, и к 25 ноября опытный образец СУ-122 предстояло подать на государственные испытания. Проектирование САУ, вооруженной 122-мм гаубицей М-30 обр. 1938 г., было выполнено в рекордно короткие сроки. При работе над установкой был использован опыт проектирования установок У-34 и СГ-122. В начале ноября межведомственной комиссией ГАУ РККА и НКТП были рассмотрены проекты установки орудия в САУ, выполнен</w:t>
      </w:r>
      <w:r w:rsidRPr="00722885">
        <w:rPr>
          <w:rFonts w:ascii="Times New Roman" w:hAnsi="Times New Roman"/>
          <w:color w:val="000000" w:themeColor="text1"/>
          <w:sz w:val="16"/>
          <w:szCs w:val="16"/>
        </w:rPr>
        <w:softHyphen/>
        <w:t>ные УЗТМ и заводом № 9, лучшим был признан проект УЗТМ. Опыт</w:t>
      </w:r>
      <w:r w:rsidRPr="00722885">
        <w:rPr>
          <w:rFonts w:ascii="Times New Roman" w:hAnsi="Times New Roman"/>
          <w:color w:val="000000" w:themeColor="text1"/>
          <w:sz w:val="16"/>
          <w:szCs w:val="16"/>
        </w:rPr>
        <w:softHyphen/>
        <w:t>ный образец самоходной установки СУ-122, изготовленный на УЗТМ 30 ноября 1942 г., поступил на заводские испытания, которые выявили нерациональное размещение экипажа, тесноту боевого отделения, не</w:t>
      </w:r>
      <w:r w:rsidRPr="00722885">
        <w:rPr>
          <w:rFonts w:ascii="Times New Roman" w:hAnsi="Times New Roman"/>
          <w:color w:val="000000" w:themeColor="text1"/>
          <w:sz w:val="16"/>
          <w:szCs w:val="16"/>
        </w:rPr>
        <w:softHyphen/>
        <w:t>удовлетворительное расположение боекомплекта и, вследствие этого, низкую скорострельность. Для устранения выявленных недостатков на САУ были произведе</w:t>
      </w:r>
      <w:r w:rsidRPr="00722885">
        <w:rPr>
          <w:rFonts w:ascii="Times New Roman" w:hAnsi="Times New Roman"/>
          <w:color w:val="000000" w:themeColor="text1"/>
          <w:sz w:val="16"/>
          <w:szCs w:val="16"/>
        </w:rPr>
        <w:softHyphen/>
        <w:t>ны только те изменения конструкции, которые требовались для успеш</w:t>
      </w:r>
      <w:r w:rsidRPr="00722885">
        <w:rPr>
          <w:rFonts w:ascii="Times New Roman" w:hAnsi="Times New Roman"/>
          <w:color w:val="000000" w:themeColor="text1"/>
          <w:sz w:val="16"/>
          <w:szCs w:val="16"/>
        </w:rPr>
        <w:softHyphen/>
        <w:t>ного проведения государственных испытаний. Остальные недостатки и изменения были учтены при отработке чертежей установочной партии (10703).</w:t>
      </w:r>
    </w:p>
    <w:p w14:paraId="06F5112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572EB79" w14:textId="77777777" w:rsidR="00E4578F" w:rsidRPr="00722885" w:rsidRDefault="00E4578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23 октября 1942 года оба образца зенитных танков (з-да 37 и ГАЗ) прибыли на полигон, но больше месяца до них как-то не доходили руки. Причина прозаична - отсутствовала программа испытаний. Происходящее вызывает некоторое недоумение, особенно с учетом срочности заказа на разработку. Впрочем, это вполне в духе военных.</w:t>
      </w:r>
    </w:p>
    <w:p w14:paraId="04C06A4F" w14:textId="77777777" w:rsidR="00E4578F" w:rsidRPr="00722885" w:rsidRDefault="00E4578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Зенитный танк на базе Т-60, с легкой руки некоторых исследователей, часто именуют как Т-60-3. Видимо, читать документы внимательно не судьба, потому как там не цифра "3", а вполне себе буква "З". Также в переписке больше используется обозначение Т-60 (Зенитный), что еще больше намекает на истинный индекс изделия. Как и прописывалось в тактико-технических требованиях, зенитный Т-60 изготовили с использованием штатной башни. Башню сделали частично открытой сверху, для защиты от непогоды имелся съемный мягкий верх. В лобовой части башни поставили развитую неподвижную бронировку, которая прикрывала спаренную установку пулеметов ДШКТ. Про магазины на 42 патрона явно было какое-то недопонимание, поскольку использовались магазины на 30 патронов, по типу ДК. До испытаний, впрочем, зенитный Т-60 так и не допустили. 5 декабря, когда зенитные танки осматривали, как-то внезапно выяснилось, что у Т-60-З нет мотора. Дело в том, что было использовано шасси танка, на котором испытывался двигатель ЗИС-16. Незадолго до испытаний мотор сломался, в результате Т-60 (зенитный) попал на испытания без двигателя. Также имелись и замечания по самой башне. Во-первых, прицел К-8Т разместили неправильно, а во-вторых, башня оказалась слишком тесной. В результате при наведении на определенных углах (при стрельбе по наземным целям) стрелка прижимало к башне пулеметной установкой. По этой причине в испытаниях принимал участие только зенитный вариант Т-70.</w:t>
      </w:r>
    </w:p>
    <w:p w14:paraId="64BB1B02" w14:textId="77777777" w:rsidR="00E4578F" w:rsidRPr="00722885" w:rsidRDefault="00E4578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Несмотря на то, что Савин настаивал на дальнейшей доработке зенитной башни Т-60, хорошо видно - он и сам куда больше внимания уделил зенитной башне Т-70. В отличие от Т-60-З, зенитный Т-70 к испытаниям допустили, из недостатков указывалось только отсутствие гильзоулавливателя. Вопреки ТТТ, на самом деле Т-70-З изготовили с использованием штатной башни Т-70, включая и механизм горизонтальной наводки. База у машины оказалась крайне интересная. Для постройки использовали шасси второго серийного экземпляра Т-70 выпуска завода №37. Их изготовили всего 10 штук, иных снимков свердловских Т-70 не попадалось. Помимо коллиматорного прицела К-8Т, был установлен телескопический прицел ТМФП для стрельбы по наземным целям. Пулеметы стояли по центру продольной оси машины, между ними размещались прицелы. Для их установки использовались штатные кронштейны от Т-40. Углы вертикальной наводки составили от -8 до +85, что даже больше, чем изначально предполагалось по ТЗ. А вот боекомплект получился маловат - всего 12 магазинов, фактически по 6 на каждый пулемет. Радиостанции, в отличие от конкурирующего Т-90, на танке не стояло (21193).</w:t>
      </w:r>
    </w:p>
    <w:p w14:paraId="79081269" w14:textId="77777777" w:rsidR="00E4578F" w:rsidRPr="00722885" w:rsidRDefault="00E4578F"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02A03EC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октября 1942 вышло Постановление ГКО № 2436 О восстановлении нормальной частоты в энергосистеме Урала. (7060, 30-32,33-34).</w:t>
      </w:r>
    </w:p>
    <w:p w14:paraId="5894BC1E" w14:textId="77777777" w:rsidR="00090C9B" w:rsidRPr="00722885" w:rsidRDefault="00090C9B" w:rsidP="00722885">
      <w:pPr>
        <w:pStyle w:val="Iauiue"/>
        <w:tabs>
          <w:tab w:val="left" w:pos="11199"/>
        </w:tabs>
        <w:jc w:val="both"/>
        <w:rPr>
          <w:color w:val="000000" w:themeColor="text1"/>
          <w:sz w:val="16"/>
          <w:szCs w:val="16"/>
        </w:rPr>
      </w:pPr>
    </w:p>
    <w:p w14:paraId="5D01BFB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октября 1942 вышло Постановление ГКО № 2437 О питании порожними вагонами Кузбасса. (7060, 35-38,39-40).</w:t>
      </w:r>
    </w:p>
    <w:p w14:paraId="2724A0C8" w14:textId="77777777" w:rsidR="00090C9B" w:rsidRPr="00722885" w:rsidRDefault="00090C9B" w:rsidP="00722885">
      <w:pPr>
        <w:pStyle w:val="Iauiue"/>
        <w:tabs>
          <w:tab w:val="left" w:pos="11199"/>
        </w:tabs>
        <w:jc w:val="both"/>
        <w:rPr>
          <w:color w:val="000000" w:themeColor="text1"/>
          <w:sz w:val="16"/>
          <w:szCs w:val="16"/>
        </w:rPr>
      </w:pPr>
    </w:p>
    <w:p w14:paraId="4338CF3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октября 1942 вышло Постановление ГКО № 2439 Об увеличении добычи угля в Подмосковном бассейне. (7060, 42-47,48-76).</w:t>
      </w:r>
    </w:p>
    <w:p w14:paraId="7571E0B8" w14:textId="77777777" w:rsidR="00090C9B" w:rsidRPr="00722885" w:rsidRDefault="00090C9B" w:rsidP="00722885">
      <w:pPr>
        <w:pStyle w:val="Iauiue"/>
        <w:tabs>
          <w:tab w:val="left" w:pos="11199"/>
        </w:tabs>
        <w:jc w:val="both"/>
        <w:rPr>
          <w:color w:val="000000" w:themeColor="text1"/>
          <w:sz w:val="16"/>
          <w:szCs w:val="16"/>
        </w:rPr>
      </w:pPr>
    </w:p>
    <w:p w14:paraId="2CC6E31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октября 1942 вышло Постановление ГКО № 2440 О распределении электроэнергии по Ташкентской энергосистеме. (7060, 77).</w:t>
      </w:r>
    </w:p>
    <w:p w14:paraId="6502A0BA" w14:textId="77777777" w:rsidR="00090C9B" w:rsidRPr="00722885" w:rsidRDefault="00090C9B" w:rsidP="00722885">
      <w:pPr>
        <w:pStyle w:val="Iauiue"/>
        <w:tabs>
          <w:tab w:val="left" w:pos="11199"/>
        </w:tabs>
        <w:jc w:val="both"/>
        <w:rPr>
          <w:color w:val="000000" w:themeColor="text1"/>
          <w:sz w:val="16"/>
          <w:szCs w:val="16"/>
        </w:rPr>
      </w:pPr>
    </w:p>
    <w:p w14:paraId="30DCE25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октября 1942 вышло Постановление ГКО № 2441 [О приемке в эксплуатацию железной дороги Известковая - Ургал к 25 ноября 1942 г.] (7060, 78).</w:t>
      </w:r>
    </w:p>
    <w:p w14:paraId="24E3736E" w14:textId="77777777" w:rsidR="00090C9B" w:rsidRPr="00722885" w:rsidRDefault="00090C9B" w:rsidP="00722885">
      <w:pPr>
        <w:pStyle w:val="Iauiue"/>
        <w:tabs>
          <w:tab w:val="left" w:pos="11199"/>
        </w:tabs>
        <w:jc w:val="both"/>
        <w:rPr>
          <w:color w:val="000000" w:themeColor="text1"/>
          <w:sz w:val="16"/>
          <w:szCs w:val="16"/>
        </w:rPr>
      </w:pPr>
    </w:p>
    <w:p w14:paraId="44CFFE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октября 1942 вышло Постановление ГКО № 2442 Об изготовлении броненагрудников на заводе № 700 Наркомчермета. РГАНИР, Фонд ГКО, д. 65, лл. 79 (11012).</w:t>
      </w:r>
    </w:p>
    <w:p w14:paraId="7A5BCAC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E7F2955" w14:textId="77777777" w:rsidR="00090C9B" w:rsidRPr="00722885" w:rsidRDefault="00090C9B" w:rsidP="00722885">
      <w:pPr>
        <w:pStyle w:val="ae"/>
        <w:spacing w:before="0" w:after="0"/>
        <w:jc w:val="both"/>
        <w:rPr>
          <w:color w:val="000000" w:themeColor="text1"/>
          <w:sz w:val="16"/>
          <w:szCs w:val="16"/>
        </w:rPr>
      </w:pPr>
      <w:r w:rsidRPr="00722885">
        <w:rPr>
          <w:rStyle w:val="a7"/>
          <w:rFonts w:eastAsia="Arial"/>
          <w:b w:val="0"/>
          <w:color w:val="000000" w:themeColor="text1"/>
          <w:sz w:val="16"/>
          <w:szCs w:val="16"/>
        </w:rPr>
        <w:t>23 октября 1942 г. Постановление Госудраственного Комитета Обороны № ГОКО-2442сс</w:t>
      </w:r>
    </w:p>
    <w:p w14:paraId="5F61713A" w14:textId="77777777" w:rsidR="00090C9B" w:rsidRPr="00722885" w:rsidRDefault="00090C9B" w:rsidP="00722885">
      <w:pPr>
        <w:pStyle w:val="ae"/>
        <w:spacing w:before="0" w:after="0"/>
        <w:jc w:val="both"/>
        <w:rPr>
          <w:iCs/>
          <w:color w:val="000000" w:themeColor="text1"/>
          <w:sz w:val="16"/>
          <w:szCs w:val="16"/>
        </w:rPr>
      </w:pPr>
      <w:r w:rsidRPr="00722885">
        <w:rPr>
          <w:rStyle w:val="af0"/>
          <w:i w:val="0"/>
          <w:color w:val="000000" w:themeColor="text1"/>
          <w:sz w:val="16"/>
          <w:szCs w:val="16"/>
        </w:rPr>
        <w:t>"Об изготовлении броненагрудников на заводе № 700 Наркомчермета".</w:t>
      </w:r>
    </w:p>
    <w:p w14:paraId="3841A59F" w14:textId="77777777" w:rsidR="00090C9B" w:rsidRPr="00722885" w:rsidRDefault="00090C9B" w:rsidP="00722885">
      <w:pPr>
        <w:pStyle w:val="ae"/>
        <w:spacing w:before="0" w:after="0"/>
        <w:jc w:val="both"/>
        <w:rPr>
          <w:iCs/>
          <w:color w:val="000000" w:themeColor="text1"/>
          <w:sz w:val="16"/>
          <w:szCs w:val="16"/>
        </w:rPr>
      </w:pPr>
      <w:r w:rsidRPr="00722885">
        <w:rPr>
          <w:rStyle w:val="af0"/>
          <w:i w:val="0"/>
          <w:color w:val="000000" w:themeColor="text1"/>
          <w:sz w:val="16"/>
          <w:szCs w:val="16"/>
        </w:rPr>
        <w:t>г. Москва, Кремль.</w:t>
      </w:r>
    </w:p>
    <w:p w14:paraId="497B9FA6" w14:textId="77777777" w:rsidR="00090C9B" w:rsidRPr="00722885" w:rsidRDefault="00090C9B" w:rsidP="00722885">
      <w:pPr>
        <w:pStyle w:val="ae"/>
        <w:spacing w:before="0" w:after="0"/>
        <w:jc w:val="both"/>
        <w:rPr>
          <w:iCs/>
          <w:color w:val="000000" w:themeColor="text1"/>
          <w:sz w:val="16"/>
          <w:szCs w:val="16"/>
        </w:rPr>
      </w:pPr>
      <w:r w:rsidRPr="00722885">
        <w:rPr>
          <w:rStyle w:val="af0"/>
          <w:i w:val="0"/>
          <w:color w:val="000000" w:themeColor="text1"/>
          <w:sz w:val="16"/>
          <w:szCs w:val="16"/>
        </w:rPr>
        <w:t xml:space="preserve">1. Обязать Наркомчермет т. Тевосяна организовать производство стальных броненагрудников на заводе № 700 НКЧМ (Лысьвенском) на 20.000 штук в месяц и </w:t>
      </w:r>
      <w:r w:rsidRPr="00722885">
        <w:rPr>
          <w:rStyle w:val="af0"/>
          <w:i w:val="0"/>
          <w:color w:val="000000" w:themeColor="text1"/>
          <w:sz w:val="16"/>
          <w:szCs w:val="16"/>
        </w:rPr>
        <w:lastRenderedPageBreak/>
        <w:t>поставить НКО в октябре месяце 1942 года 7000 штук, в ноябре и декабре месяцах по 20.000 штук в месяц.</w:t>
      </w:r>
    </w:p>
    <w:p w14:paraId="26A889CF" w14:textId="77777777" w:rsidR="00090C9B" w:rsidRPr="00722885" w:rsidRDefault="00090C9B" w:rsidP="00722885">
      <w:pPr>
        <w:pStyle w:val="ae"/>
        <w:spacing w:before="0" w:after="0"/>
        <w:jc w:val="both"/>
        <w:rPr>
          <w:iCs/>
          <w:color w:val="000000" w:themeColor="text1"/>
          <w:sz w:val="16"/>
          <w:szCs w:val="16"/>
        </w:rPr>
      </w:pPr>
      <w:r w:rsidRPr="00722885">
        <w:rPr>
          <w:rStyle w:val="af0"/>
          <w:i w:val="0"/>
          <w:color w:val="000000" w:themeColor="text1"/>
          <w:sz w:val="16"/>
          <w:szCs w:val="16"/>
        </w:rPr>
        <w:t>2. Обязать Наркомтекстиль т. Акимова поставить в IV квартале заводу № 700 НКЧМ в счет фондов НКО, хлопчатобумажную ткань цвета хаки, нитки и сукно серове шинельное, необходимое для обшивки броненагрудников, в колличествах,</w:t>
      </w:r>
    </w:p>
    <w:p w14:paraId="2ABB9042" w14:textId="77777777" w:rsidR="00090C9B" w:rsidRPr="00722885" w:rsidRDefault="00090C9B" w:rsidP="00722885">
      <w:pPr>
        <w:pStyle w:val="ae"/>
        <w:spacing w:before="0" w:after="0"/>
        <w:jc w:val="both"/>
        <w:rPr>
          <w:iCs/>
          <w:color w:val="000000" w:themeColor="text1"/>
          <w:sz w:val="16"/>
          <w:szCs w:val="16"/>
        </w:rPr>
      </w:pPr>
      <w:r w:rsidRPr="00722885">
        <w:rPr>
          <w:rStyle w:val="af0"/>
          <w:i w:val="0"/>
          <w:color w:val="000000" w:themeColor="text1"/>
          <w:sz w:val="16"/>
          <w:szCs w:val="16"/>
        </w:rPr>
        <w:t>в соответствии с п.1 насточщего постановления.</w:t>
      </w:r>
    </w:p>
    <w:p w14:paraId="789A0772" w14:textId="77777777" w:rsidR="00090C9B" w:rsidRPr="00722885" w:rsidRDefault="00090C9B" w:rsidP="00722885">
      <w:pPr>
        <w:pStyle w:val="ae"/>
        <w:spacing w:before="0" w:after="0"/>
        <w:jc w:val="both"/>
        <w:rPr>
          <w:iCs/>
          <w:color w:val="000000" w:themeColor="text1"/>
          <w:sz w:val="16"/>
          <w:szCs w:val="16"/>
        </w:rPr>
      </w:pPr>
      <w:r w:rsidRPr="00722885">
        <w:rPr>
          <w:rStyle w:val="af0"/>
          <w:i w:val="0"/>
          <w:color w:val="000000" w:themeColor="text1"/>
          <w:sz w:val="16"/>
          <w:szCs w:val="16"/>
        </w:rPr>
        <w:t>3. Обязать наркоматы поставить в IV квартале 1942 г. равномерными партиями по месяцам заводу № 700 НКЧМ следующие материалы:</w:t>
      </w:r>
    </w:p>
    <w:p w14:paraId="481C8797" w14:textId="77777777" w:rsidR="00090C9B" w:rsidRPr="00722885" w:rsidRDefault="00090C9B" w:rsidP="00722885">
      <w:pPr>
        <w:pStyle w:val="ae"/>
        <w:spacing w:before="0" w:after="0"/>
        <w:jc w:val="both"/>
        <w:rPr>
          <w:iCs/>
          <w:color w:val="000000" w:themeColor="text1"/>
          <w:sz w:val="16"/>
          <w:szCs w:val="16"/>
        </w:rPr>
      </w:pPr>
      <w:r w:rsidRPr="00722885">
        <w:rPr>
          <w:rStyle w:val="af0"/>
          <w:i w:val="0"/>
          <w:color w:val="000000" w:themeColor="text1"/>
          <w:sz w:val="16"/>
          <w:szCs w:val="16"/>
        </w:rPr>
        <w:t>Наркомлес СССР - скипидар очищенный - 0,3 тн.</w:t>
      </w:r>
    </w:p>
    <w:p w14:paraId="098A8A58" w14:textId="77777777" w:rsidR="00090C9B" w:rsidRPr="00722885" w:rsidRDefault="00090C9B" w:rsidP="00722885">
      <w:pPr>
        <w:pStyle w:val="ae"/>
        <w:spacing w:before="0" w:after="0"/>
        <w:jc w:val="both"/>
        <w:rPr>
          <w:iCs/>
          <w:color w:val="000000" w:themeColor="text1"/>
          <w:sz w:val="16"/>
          <w:szCs w:val="16"/>
        </w:rPr>
      </w:pPr>
      <w:r w:rsidRPr="00722885">
        <w:rPr>
          <w:rStyle w:val="af0"/>
          <w:i w:val="0"/>
          <w:color w:val="000000" w:themeColor="text1"/>
          <w:sz w:val="16"/>
          <w:szCs w:val="16"/>
        </w:rPr>
        <w:t>Наркомхимпром - краску защитную 4-БО - 2 тн.</w:t>
      </w:r>
    </w:p>
    <w:p w14:paraId="22EA0752" w14:textId="77777777" w:rsidR="00090C9B" w:rsidRPr="00722885" w:rsidRDefault="00090C9B" w:rsidP="00722885">
      <w:pPr>
        <w:pStyle w:val="ae"/>
        <w:spacing w:before="0" w:after="0"/>
        <w:jc w:val="both"/>
        <w:rPr>
          <w:iCs/>
          <w:color w:val="000000" w:themeColor="text1"/>
          <w:sz w:val="16"/>
          <w:szCs w:val="16"/>
        </w:rPr>
      </w:pPr>
      <w:r w:rsidRPr="00722885">
        <w:rPr>
          <w:rStyle w:val="af0"/>
          <w:i w:val="0"/>
          <w:color w:val="000000" w:themeColor="text1"/>
          <w:sz w:val="16"/>
          <w:szCs w:val="16"/>
        </w:rPr>
        <w:t>Наркомчермет - бензол чистый каменноугольный - 3 тн.</w:t>
      </w:r>
    </w:p>
    <w:p w14:paraId="072794DB" w14:textId="77777777" w:rsidR="00090C9B" w:rsidRPr="00722885" w:rsidRDefault="00090C9B" w:rsidP="00722885">
      <w:pPr>
        <w:pStyle w:val="ae"/>
        <w:spacing w:before="0" w:after="0"/>
        <w:jc w:val="both"/>
        <w:rPr>
          <w:rStyle w:val="af0"/>
          <w:i w:val="0"/>
          <w:color w:val="000000" w:themeColor="text1"/>
          <w:sz w:val="16"/>
          <w:szCs w:val="16"/>
        </w:rPr>
      </w:pPr>
      <w:r w:rsidRPr="00722885">
        <w:rPr>
          <w:rStyle w:val="af0"/>
          <w:i w:val="0"/>
          <w:color w:val="000000" w:themeColor="text1"/>
          <w:sz w:val="16"/>
          <w:szCs w:val="16"/>
        </w:rPr>
        <w:t>Председатель Госудраственного Комитета Обороны И.Сталин (12710).</w:t>
      </w:r>
    </w:p>
    <w:p w14:paraId="148654A7" w14:textId="77777777" w:rsidR="00090C9B" w:rsidRPr="00722885" w:rsidRDefault="00090C9B" w:rsidP="00722885">
      <w:pPr>
        <w:pStyle w:val="ae"/>
        <w:spacing w:before="0" w:after="0"/>
        <w:jc w:val="both"/>
        <w:rPr>
          <w:rStyle w:val="af0"/>
          <w:i w:val="0"/>
          <w:color w:val="000000" w:themeColor="text1"/>
          <w:sz w:val="16"/>
          <w:szCs w:val="16"/>
        </w:rPr>
      </w:pPr>
    </w:p>
    <w:p w14:paraId="006A3B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октября 1942 г. в соответствии с пост. ГКО № 2442сс Лысьвенским заводом (Завод № 700 НКЧМ, «Лысьвенский доменный и молотовый Его сиятельства князя Б. Г. Шаховского, супруги его княгини Варвары Александровны завод», Лысьвенский металлургический завод, ОАО «АК «Лысьвенский металлургический завод» /618900  г. Лысьва Пермской обл. ул. Металлистов, 1/) освоено производство броненагрудников, заводу выдан план по выпуску 7 тыс. шт. в 10.1942 г. и далее по 20 тыс. шт. в месяц.</w:t>
      </w:r>
    </w:p>
    <w:p w14:paraId="0688A6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проведено техническое перевооружение производства. С 1959 г. завод первым в стране освоил выпуск бытовых газовых плит, а с 1962 г.- электроплит. В 1980-е  г. освоено производство холоднокатаного листового проката и жести с защитными покрытиями. В 1996-2000 г. проведена реконструкция агрегатов покрытий.</w:t>
      </w:r>
    </w:p>
    <w:p w14:paraId="437B40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оцинкованной стали (2003 г.).</w:t>
      </w:r>
    </w:p>
    <w:p w14:paraId="6A5AFF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(2003 г.)- В. Ганьжин (11982).</w:t>
      </w:r>
    </w:p>
    <w:p w14:paraId="4011BF0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3D9CFA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октября 1942 вышло Постановление ГКО № 2443 О разработке и изготовлении специальной аппаратуры для правительственной связи НКВД. (7060, 80-81,82).</w:t>
      </w:r>
    </w:p>
    <w:p w14:paraId="55FEF86D" w14:textId="77777777" w:rsidR="00090C9B" w:rsidRPr="00722885" w:rsidRDefault="00090C9B" w:rsidP="00722885">
      <w:pPr>
        <w:pStyle w:val="Iauiue"/>
        <w:tabs>
          <w:tab w:val="left" w:pos="11199"/>
        </w:tabs>
        <w:jc w:val="both"/>
        <w:rPr>
          <w:color w:val="000000" w:themeColor="text1"/>
          <w:sz w:val="16"/>
          <w:szCs w:val="16"/>
        </w:rPr>
      </w:pPr>
    </w:p>
    <w:p w14:paraId="318D5C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октября 1942 вышло Постановление ГКО № 2444 О создании в Госплане СССР отдела нефтяной промышленности и утверждении зам.чл. ГКО по нефтяной промышленности Беленького В.H. РГАНИР, Фонд ГКО, д. 65, лл. 83 (11012).</w:t>
      </w:r>
    </w:p>
    <w:p w14:paraId="1722210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3598F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октября 1942 вышло Постановление ГКО № 2445 О выделении оптико-механического производства из состава завода № 296 НКАП и передаче его в систему Наркомвооружения. РГАНИР, Фонд ГКО, д. 65, лл. 84-85, 86-91 (11012).</w:t>
      </w:r>
    </w:p>
    <w:p w14:paraId="6DD329C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8F617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октября 1942 вышло Постановление ГКО№ 2447 О производстве походных ремонтных мастерских типа Б в IV квартале 1942 г. для укомплектования танковых частей. РГАНИР, Фонд ГКО, д. 65, лл. 97-98, 99-104 (11012).</w:t>
      </w:r>
    </w:p>
    <w:p w14:paraId="73FCC86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3A0ED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октября 1942 вышло Постановление ГКО № 2448 О снятии взыскания "выговор" с народного комиссара тяжелого машиностроения т. Казакова. РГАНИР, Фонд ГКО, д. 65, лл. 105 (11012).</w:t>
      </w:r>
    </w:p>
    <w:p w14:paraId="0FC7692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0192EC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124FBBD" w14:textId="77777777" w:rsidR="00090C9B" w:rsidRPr="00722885" w:rsidRDefault="00090C9B" w:rsidP="00722885">
      <w:pPr>
        <w:pStyle w:val="Iauiue"/>
        <w:jc w:val="both"/>
        <w:rPr>
          <w:iCs/>
          <w:color w:val="000000" w:themeColor="text1"/>
          <w:sz w:val="16"/>
          <w:szCs w:val="16"/>
        </w:rPr>
      </w:pPr>
    </w:p>
    <w:p w14:paraId="52DA3AFB"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23 октября </w:t>
      </w:r>
      <w:r w:rsidRPr="00722885">
        <w:rPr>
          <w:rFonts w:ascii="Times New Roman" w:hAnsi="Times New Roman"/>
          <w:color w:val="000000" w:themeColor="text1"/>
          <w:sz w:val="16"/>
          <w:szCs w:val="16"/>
        </w:rPr>
        <w:t>в 1942 году утреннее сообщение Совинформбюро:</w:t>
      </w:r>
    </w:p>
    <w:p w14:paraId="1915874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23 октября наши войска вели бои с противником в районе Сталинграда и в районе Моздока. На других фронтах никаких изменений не произошло.</w:t>
      </w:r>
    </w:p>
    <w:p w14:paraId="69F45FD3"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Сталинграда наши части вели упорные бои с противником. Немецкая пехота при поддержке танков атаковала наши позиции. Миномётным и пулемётным огнём пехота противника была отсечена от танков, понесла большие потери и отступила. Только двум немецким танкам удалось прорваться в юго-западную часть одного завода, где они и были подбиты нашими артиллеристами. Огнём нашей зенитной артиллерии сбито 5 немецких самолётов.</w:t>
      </w:r>
    </w:p>
    <w:p w14:paraId="5F0D0D19"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Н-ская часть в результате боя овладела высотой, имеющей тактическое значение. На другом участке гитлеровцы атаковали позиции нашего подразделения, но контрударом были отброшены на исходные рубежи. Уничтожено до роты немецких солдат, 2 противотанковых орудия, 2 радиостанции и склад с боеприпасами противника.</w:t>
      </w:r>
    </w:p>
    <w:p w14:paraId="12BC640F"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нашими частями ликвидирована группа противника, вклинившаясяв нашу оборону. Немцы отступили, оставив на поле боя до 200 трупов своих солдат и офицеров. Положение в этом районе восстановлено. Последующие атаки гитлеровцев также были отбиты с большими для них потерями.</w:t>
      </w:r>
    </w:p>
    <w:p w14:paraId="60573D1C"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происходила артиллерийская перестрелка. Артиллеристы подразделения, где командиром тов. Коробко, подавили 12 огневых точек, уничтожили наблюдательный пункт и несколько ДЗОТ'ов противника. Разведчики Н-ского подразделения пробрались в тыл противника и истребили до 40 гитлеровцев.</w:t>
      </w:r>
    </w:p>
    <w:p w14:paraId="0DD034B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Могилёвской области, совершил налёт на нефтебазу немецко-фашистских оккупантов. Партизаны перебили охрану базы, подожгли 80 тонн бензина и захватили 5 ручных пулемётов и 2.500 патронов. Другой отряд могилёвских партизан в ночь на 2 октября пустил под откос воинский эшелон противника. Разбито 8 вагонов. В одном из этих вагонов ехал немецкий генерал и сопровождавшие его офицеры. Все они убиты.</w:t>
      </w:r>
    </w:p>
    <w:p w14:paraId="0783064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карело-финских партизан организовала крушение поезда с войсками противника. Под обломками вагонов погибло до 400 вражеских солдат и офицеров.</w:t>
      </w:r>
    </w:p>
    <w:p w14:paraId="4894BBAB"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сравняли с землёй деревню Авдеево, Курской области. Уничтожены 69 домов колхозников, школа, колхозный клуб и все хозяйственные постройки. Гитлеровцы расстреляли колхозника Трубникова Ивана Степановича и его двух малолетних детей. Колхозницу Аристову Анну Васильевну вместе с её трёхлетней внучкой Зиной фашистские изверги сожгли живьём. Всего гитлеровские мерзавцы замучили и расстреляли в деревне Авдеево 47 мирных жителей.</w:t>
      </w:r>
    </w:p>
    <w:p w14:paraId="0CF05BDA"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Югославии наносят серьёзные удары немецко-итальянским оккупантам. В результате ожесточённых боёв партизаны в третий раз заняли города Ключ и Мрконичград. Оккупанты понесли большие потери и отступили. Другой партизанский отряд поджёг железнодорожный состав из 20 цистерн нефти. Возвращаясь с этой операции, патриоты неожиданно встретили итальянский моторизованный отряд. В завязавшемся бою убито 120 итальянских солдат и 7 офицеров. Партизаны захватили 8 пулемётов, 78 винтовок, 10.000 патронов и другое вооружение.» (14808).</w:t>
      </w:r>
    </w:p>
    <w:p w14:paraId="7C006DAB"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377C312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23 октября </w:t>
      </w:r>
      <w:r w:rsidRPr="00722885">
        <w:rPr>
          <w:rFonts w:ascii="Times New Roman" w:hAnsi="Times New Roman"/>
          <w:color w:val="000000" w:themeColor="text1"/>
          <w:sz w:val="16"/>
          <w:szCs w:val="16"/>
        </w:rPr>
        <w:t>в 1942 году вечернее сообщение Совинформбюро:</w:t>
      </w:r>
    </w:p>
    <w:p w14:paraId="3276A512"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23 октября наши войска вели бои с противником в районе Сталинграда и в районе Моздока. На других фронтах никаких изменений не произошло.</w:t>
      </w:r>
    </w:p>
    <w:p w14:paraId="0CA77FB4"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октября до 30 десантных судов и катеров противника под прикрытием авиации пытались высадить десант на один из наших островов на Ладожском озере. Силами гарнизона острова, наших кораблей и авиации Краснознамённого Балтийского флота десант противника был разгромлен. В результате боя уничтожено 16 десантных судов противника и одно судно захвачено в плен. В воздушных боях в районе высадки десанта сбито 15 самолетов противника. Наши корабли потерь не имеют.</w:t>
      </w:r>
    </w:p>
    <w:p w14:paraId="10DADFE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22 октября нашей авиацией на различных участках фронта уничтожено 20 автомашин с войсками, подавлен огонь 2 артиллерийских батарей и 10 миномётов, разбит железнодорожный эшелон, рассеяно и частью уничтожено до роты пехоты противника.</w:t>
      </w:r>
    </w:p>
    <w:p w14:paraId="37CC6DA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противника и удерживали занимаемые позиции. Немцы после сильной артиллерийско-миномётной подготовки и налёта авиации возобновили атаки в направлении одного из заводов. Противник бросил в атаку свыше двух полков пехоты с тяжёлыми танками. Наши части отбивают атаки гитлеровцев и наносят им большие потери. Бойцы Н-ской части к исходу дня подбили 4 немецких танка, уничтожили 7 миномётов и истребили до батальона пехоты противника. Огнём нашей зенитной артиллерии сбито 5 немецких самолётов. Лётчик лейтенант т. Сидоровский таранил самолёт противника. Вражеский бомбардировщик разбился.</w:t>
      </w:r>
    </w:p>
    <w:p w14:paraId="38972CC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одном из участков, наши части захватили два опорных пункта противника. Гитлеровцы предприняли на этом участке одну за другой три контратаки. Наши пехотинцы и танкисты отбросили противника, сожгли и подбили12 немецких танков, уничтожили 6 артиллерийских батарей, 19 пулемётов и шестиствольный миномёт. В результате боя уничтожено до 1.000 немецких солдат и офицеров. В воздушных боях, огнём зенитной артиллерии и наземных частей в течение дня сбито 12 немецких самолётов.</w:t>
      </w:r>
    </w:p>
    <w:p w14:paraId="1A9DC65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обороняли занимаемые позиции и отбивали атаки противника, Н-ская часть, очищая горную дорогу, уничтожила до роты гитлеровцев и 50 лошадей с вьюками. На другом участке наши кавалеристы отбили несколько атак и потеснили противника. Уничтожены до 100 немецких солдат, бронемашина, 200 лошадей и 6 автомашин. Снайпер т. Кулиев за последние четыре дня истребил 20 гитлеровцев.</w:t>
      </w:r>
    </w:p>
    <w:p w14:paraId="31CE5DE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советские войска вели упорные бои с крупными силами противника. На одном участке ценой больших потерь гитлеровцам удалось несколько продвинуться вперёд. В районе Н-ской высоты наши подразделения предприняли контратаку и уничтожили до 250 вражеских солдат и офицеров. Захвачено 4 орудия, 13 пулемётов, 200 винтовок, 2 автомашины, 15 лошадей с вьюками и другое военное имущество.</w:t>
      </w:r>
    </w:p>
    <w:p w14:paraId="54F55B8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Отряд витебских партизан организовал засаду на одном шоссе и уничтожил 2 легковые и 4 грузовые автомашины противника. Убито 6 немецких офицеров и 32 солдата. Партизаны другого отряда разобрали рельсы на железной дороге. Когда следовавший воинский эшелон противника остановился, партизаны открыли ружейный и пулемётный огонь. Убито и ранено до 200 немецких солдат.</w:t>
      </w:r>
    </w:p>
    <w:p w14:paraId="63C455FA"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патриоты недалеко от одной железнодорожной станции обстреляли зажигательными пулями эшелон цистерн с горючим. Огнём уничтожено 30 цистерн с бензином. Движение на этом участке железной дороги было приостановлено на несколько дней.</w:t>
      </w:r>
    </w:p>
    <w:p w14:paraId="7E234A2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 и командиров Н-ской части, действующей в районе Моздока, составила акт о зверствах немцев над советскими военнопленными. В акте говорится: «20 сентября младший сержант т. Баравинов Ефим Григорьевич, красноармейцы тт. Панченко и Педуцо вели неравный бой с многочисленной группой немцев. Советские воины бились до последнего патрона. Немцам удалось захватить в плен наших бойцов после того, как они были тяжело ранены. Гитлеровские мерзавцы долго истязали пленных и замучили их. Красноармейцу т. Педуцо немецкие бандиты выкололи глаза, красноармейца т. Панченко изрезали ножами, а у младшего сержантат. Баравинова содрали кожу с черепа». Акт подписали: лейтенанты Гоциридзе В.С.и Арвеладзе, политрук Мчедлишвили B.С., младшие лейтенанты Гоцивитицкий Ф.Я. и Мисерванидзе Н.M., красноармейцы Гапредашвили М.Д. и Дкалашвили В.Г.» (14808).</w:t>
      </w:r>
    </w:p>
    <w:p w14:paraId="2AE0E7C7"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112891E4"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23 октября </w:t>
      </w:r>
      <w:r w:rsidRPr="00722885">
        <w:rPr>
          <w:rFonts w:ascii="Times New Roman" w:hAnsi="Times New Roman"/>
          <w:color w:val="000000" w:themeColor="text1"/>
          <w:sz w:val="16"/>
          <w:szCs w:val="16"/>
        </w:rPr>
        <w:t>в 1942 году войска Черноморской группы остановили наступление противника на туапсинском направлении (14808).</w:t>
      </w:r>
    </w:p>
    <w:p w14:paraId="5C718E13"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0B645C3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октября 1942 вышло Постановление ГКО № 2446 О подготовке аэродромов ВВС ВМФ для зимней эксплуатации в 1942-43 гг. (7060, 92-95,96).</w:t>
      </w:r>
    </w:p>
    <w:p w14:paraId="2432D113" w14:textId="77777777" w:rsidR="00090C9B" w:rsidRPr="00722885" w:rsidRDefault="00090C9B" w:rsidP="00722885">
      <w:pPr>
        <w:pStyle w:val="Iauiue"/>
        <w:tabs>
          <w:tab w:val="left" w:pos="11199"/>
        </w:tabs>
        <w:jc w:val="both"/>
        <w:rPr>
          <w:color w:val="000000" w:themeColor="text1"/>
          <w:sz w:val="16"/>
          <w:szCs w:val="16"/>
        </w:rPr>
      </w:pPr>
    </w:p>
    <w:p w14:paraId="4C8B7B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октября 1942 вышло Постановление ГКО № 2438 Об отмене отпуска продовольственных товаров для партизан. РГАНИР, Фонд ГКО, д. 65, лл. 41 (11012).</w:t>
      </w:r>
    </w:p>
    <w:p w14:paraId="1E128C0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892DF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октября 1942 г. вышел ПРИКАЗ № 00222 О РЕОРГАНИЗАЦИИ ГЛАВНОГО РАЗВЕДЫВАТЕЛЬНОГО УПРАВЛЕНИЯ ГЕНЕРАЛЬНОГО ШТАБА КРАСНОЙ АРМИИ</w:t>
      </w:r>
    </w:p>
    <w:p w14:paraId="459EC8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упорядочения и улучшения работы военной разведки приказываю:</w:t>
      </w:r>
    </w:p>
    <w:p w14:paraId="7781AA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Выделить из состава Генерального штаба Красной Армии Главное разведывательное управление, подчинив его Народному комиссару обороны.</w:t>
      </w:r>
    </w:p>
    <w:p w14:paraId="448867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На Главное разведывательное управление Красной Армии возложить ведение агентурной разведки иностранных армий как за границей, так и на временно оккупированной противником территории СССР.</w:t>
      </w:r>
    </w:p>
    <w:p w14:paraId="3FE437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Войсковую разведку изъять из ведения Главного разведывательного управления.</w:t>
      </w:r>
    </w:p>
    <w:p w14:paraId="312C55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Для руководства и организации работы войсковой разведки создать в составе Генерального штаба Красной Армии Управление войсковой разведки, подчинив ему разведотделы фронтов и армий.</w:t>
      </w:r>
    </w:p>
    <w:p w14:paraId="0CC7E0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Установить, что начальник Управления войсковой разведки Генштаба является одновременно заместителем начальника Генерального штаба Красной Армии.</w:t>
      </w:r>
    </w:p>
    <w:p w14:paraId="6AF727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Запретить Управлению войсковой разведки Генштаба Красной Армии и разведотделам фронтов и армий ведение агентурной разведки.</w:t>
      </w:r>
    </w:p>
    <w:p w14:paraId="26AB94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Дешифровальную службу Главного разведывательного управления передать в ведение НКВД СССР.</w:t>
      </w:r>
    </w:p>
    <w:p w14:paraId="1F7888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Выделить из состава Главного разведывательного управления Отдел центральной военной цензуры, сохранив его в системе Наркомата обороны как самостоятельный отдел.</w:t>
      </w:r>
    </w:p>
    <w:p w14:paraId="6E2B35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Начальнику Главного разведывательного управления Красной Армии в пятидневный срок представить на утверждение структуру и штаты Главного разведывательного управления Красной Армии и его периферийных органов.*</w:t>
      </w:r>
    </w:p>
    <w:p w14:paraId="0AA8FF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Разрешить Главному разведывательному управлению Красной Армии создание на периферии вдали от штабов фронтов трех-четырех разведывательных групп, использовав для прикрытия их представительства Центрального штаба партизанского движения при военных советах фронтов.</w:t>
      </w:r>
    </w:p>
    <w:p w14:paraId="106934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Начальнику Генерального штаба Красной Армии тов. Василевскому совместно с начальником Управления войсковой разведки в пятидневный срок представить на утверждение структуру и штаты Управления войсковой разведки Генштаба и разведотделов фронтов и армий, предусмотрев при этом, что начальники РО фронтов и армий одновременно являются заместителями начальников соответствующих штабов.</w:t>
      </w:r>
    </w:p>
    <w:p w14:paraId="2F088B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Народный комиссар обороны СССР </w:t>
      </w:r>
      <w:r w:rsidRPr="00722885">
        <w:rPr>
          <w:iCs/>
          <w:color w:val="000000" w:themeColor="text1"/>
          <w:sz w:val="16"/>
          <w:szCs w:val="16"/>
        </w:rPr>
        <w:t xml:space="preserve">И. СТАЛИН </w:t>
      </w:r>
      <w:r w:rsidRPr="00722885">
        <w:rPr>
          <w:color w:val="000000" w:themeColor="text1"/>
          <w:sz w:val="16"/>
          <w:szCs w:val="16"/>
        </w:rPr>
        <w:t>(9844).</w:t>
      </w:r>
    </w:p>
    <w:p w14:paraId="75D5B3B5" w14:textId="77777777" w:rsidR="00090C9B" w:rsidRPr="00722885" w:rsidRDefault="00090C9B" w:rsidP="00722885">
      <w:pPr>
        <w:pStyle w:val="Iauiue"/>
        <w:jc w:val="both"/>
        <w:rPr>
          <w:color w:val="000000" w:themeColor="text1"/>
          <w:sz w:val="16"/>
          <w:szCs w:val="16"/>
        </w:rPr>
      </w:pPr>
    </w:p>
    <w:p w14:paraId="225C2E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октября 1942 г. вышел ПРИКАЗ № 00224 О ВЫСВОБОЖДЕНИИ 50000 РЯДОВОГО И МЛАДШЕГО КОМАНДНОГО СОСТАВА ВОЙСК ПВО И ЗАМЕНЕ ИХ ЖЕНЩИНАМИ</w:t>
      </w:r>
    </w:p>
    <w:p w14:paraId="457769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высвобождения годных к строевой службе рядового и младшего командного состава, для укомплектования боевых частей приказываю:</w:t>
      </w:r>
    </w:p>
    <w:p w14:paraId="11175E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войсках противовоздушной обороны территории страны высвободить 50 000 красноармейцев и младшего нач. состава, годных к строевой службе, заменив их женщинами по следующим специальностям:</w:t>
      </w:r>
    </w:p>
    <w:p w14:paraId="48997F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в зенитной артиллерии — номеров орудийного расчета и приборных отделений, разведчиков и телефонистов — всего 31 516 человек;</w:t>
      </w:r>
    </w:p>
    <w:p w14:paraId="43ABF7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в зенитно-пулеметных частях — телефонистов и пулеметчиков — всего 1438 человек;</w:t>
      </w:r>
    </w:p>
    <w:p w14:paraId="37348B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в зенитно-прожекторных частях — телефонистов и номеров расчета прожекторных станций — всего 4 964 человека;</w:t>
      </w:r>
    </w:p>
    <w:p w14:paraId="75E8BB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в частях аэростатов заграждения — телефонистов наблюдателей метеостанций, красноармейцев воздухоплавателей — всего 3 373 человека;</w:t>
      </w:r>
    </w:p>
    <w:p w14:paraId="7C7D0D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в частях ВНОС и связи — телефонистов и красноармейцев наблюдателей постов ВНОС — всего 8 709 человек.</w:t>
      </w:r>
    </w:p>
    <w:p w14:paraId="648ACB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Замену красноармейцев женщинами провести в следующие сроки:</w:t>
      </w:r>
    </w:p>
    <w:p w14:paraId="3BB1C2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специалистов в частях зенитной артиллерии, зенитных пулеметов и аэростатов заграждения — не позднее чем через полтора месяца после призыва женщин;</w:t>
      </w:r>
    </w:p>
    <w:p w14:paraId="2D8B86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специалистов зенитно-прожекторных частей, частей ВНОС и связи — не позднее чем через два месяца после призыва.</w:t>
      </w:r>
    </w:p>
    <w:p w14:paraId="5CBA37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Командующему войсками ПВО территории страны:</w:t>
      </w:r>
    </w:p>
    <w:p w14:paraId="6EF1BF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освобождающихся красноармейцев, после замены женщинами, передать — 40 000 человек командующим войсками военных округов для использования их по плану Главупраформа Красной Армии и 10 000 человек использовать на укомплектование вновь формируемых частей войск ПВО территории страны;</w:t>
      </w:r>
    </w:p>
    <w:p w14:paraId="4B3E94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к 30 октября 1942 года дать изменения в штаты частей ПВО в связи с заменой красноармейцев женщинами.</w:t>
      </w:r>
    </w:p>
    <w:p w14:paraId="3ACB5D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Мобилизованных женщин обеспечить всеми видами довольствия наравне с военнослужащими, распространив на них действие Указа Президиума Верховного Совета от 26 июня 1941 года и постановления СНК от 16 июля 1940 года № 1269.</w:t>
      </w:r>
    </w:p>
    <w:p w14:paraId="26D4C5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Главному интенданту Красной Армии изготовить в месячный срок 50 000 комплектов обмундирования, а начальнику Главного управления продовольственного снабжения Красной Армии в соответствии с количеством и сроками прибытия призываемых женщин отпустить на период обучения 36 327 полуторамесячных и 13 673 месячных продовольственных пайков.</w:t>
      </w:r>
    </w:p>
    <w:p w14:paraId="4B9C622D"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 xml:space="preserve">Народный комиссар обороны СССР И. СТАЛИН </w:t>
      </w:r>
      <w:r w:rsidRPr="00722885">
        <w:rPr>
          <w:color w:val="000000" w:themeColor="text1"/>
          <w:sz w:val="16"/>
          <w:szCs w:val="16"/>
        </w:rPr>
        <w:t>(9844).</w:t>
      </w:r>
    </w:p>
    <w:p w14:paraId="496F3F99" w14:textId="77777777" w:rsidR="00090C9B" w:rsidRPr="00722885" w:rsidRDefault="00090C9B" w:rsidP="00722885">
      <w:pPr>
        <w:pStyle w:val="Iauiue"/>
        <w:jc w:val="both"/>
        <w:rPr>
          <w:color w:val="000000" w:themeColor="text1"/>
          <w:sz w:val="16"/>
          <w:szCs w:val="16"/>
        </w:rPr>
      </w:pPr>
    </w:p>
    <w:p w14:paraId="4BE7B5F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33C6EFE" w14:textId="77777777" w:rsidR="00090C9B" w:rsidRPr="00722885" w:rsidRDefault="00090C9B" w:rsidP="00722885">
      <w:pPr>
        <w:pStyle w:val="Iauiue"/>
        <w:jc w:val="both"/>
        <w:rPr>
          <w:iCs/>
          <w:color w:val="000000" w:themeColor="text1"/>
          <w:sz w:val="16"/>
          <w:szCs w:val="16"/>
        </w:rPr>
      </w:pPr>
    </w:p>
    <w:p w14:paraId="68D86399" w14:textId="77777777" w:rsidR="00781C6B" w:rsidRPr="00722885" w:rsidRDefault="00781C6B"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23 октября 1942 бомбардировщик </w:t>
      </w:r>
      <w:r w:rsidRPr="00722885">
        <w:rPr>
          <w:rFonts w:ascii="Times New Roman" w:hAnsi="Times New Roman"/>
          <w:color w:val="0070C0"/>
          <w:sz w:val="16"/>
          <w:szCs w:val="16"/>
          <w:lang w:val="en-US"/>
        </w:rPr>
        <w:t>Lockheed</w:t>
      </w:r>
      <w:r w:rsidRPr="00722885">
        <w:rPr>
          <w:rFonts w:ascii="Times New Roman" w:hAnsi="Times New Roman"/>
          <w:color w:val="0070C0"/>
          <w:sz w:val="16"/>
          <w:szCs w:val="16"/>
        </w:rPr>
        <w:t xml:space="preserve"> </w:t>
      </w:r>
      <w:r w:rsidRPr="00722885">
        <w:rPr>
          <w:rFonts w:ascii="Times New Roman" w:hAnsi="Times New Roman"/>
          <w:color w:val="0070C0"/>
          <w:sz w:val="16"/>
          <w:szCs w:val="16"/>
          <w:lang w:val="en-US"/>
        </w:rPr>
        <w:t>B</w:t>
      </w:r>
      <w:r w:rsidRPr="00722885">
        <w:rPr>
          <w:rFonts w:ascii="Times New Roman" w:hAnsi="Times New Roman"/>
          <w:color w:val="0070C0"/>
          <w:sz w:val="16"/>
          <w:szCs w:val="16"/>
        </w:rPr>
        <w:t xml:space="preserve">-34 </w:t>
      </w:r>
      <w:r w:rsidRPr="00722885">
        <w:rPr>
          <w:rFonts w:ascii="Times New Roman" w:hAnsi="Times New Roman"/>
          <w:color w:val="0070C0"/>
          <w:sz w:val="16"/>
          <w:szCs w:val="16"/>
          <w:lang w:val="en-US"/>
        </w:rPr>
        <w:t>Lexington</w:t>
      </w:r>
      <w:r w:rsidRPr="00722885">
        <w:rPr>
          <w:rFonts w:ascii="Times New Roman" w:hAnsi="Times New Roman"/>
          <w:color w:val="0070C0"/>
          <w:sz w:val="16"/>
          <w:szCs w:val="16"/>
        </w:rPr>
        <w:t xml:space="preserve"> ВВС США сталкивается с авиалайнером </w:t>
      </w:r>
      <w:r w:rsidRPr="00722885">
        <w:rPr>
          <w:rFonts w:ascii="Times New Roman" w:hAnsi="Times New Roman"/>
          <w:color w:val="0070C0"/>
          <w:sz w:val="16"/>
          <w:szCs w:val="16"/>
          <w:lang w:val="en-US"/>
        </w:rPr>
        <w:t>Douglas</w:t>
      </w:r>
      <w:r w:rsidRPr="00722885">
        <w:rPr>
          <w:rFonts w:ascii="Times New Roman" w:hAnsi="Times New Roman"/>
          <w:color w:val="0070C0"/>
          <w:sz w:val="16"/>
          <w:szCs w:val="16"/>
        </w:rPr>
        <w:t xml:space="preserve"> </w:t>
      </w:r>
      <w:r w:rsidRPr="00722885">
        <w:rPr>
          <w:rFonts w:ascii="Times New Roman" w:hAnsi="Times New Roman"/>
          <w:color w:val="0070C0"/>
          <w:sz w:val="16"/>
          <w:szCs w:val="16"/>
          <w:lang w:val="en-US"/>
        </w:rPr>
        <w:t>DC</w:t>
      </w:r>
      <w:r w:rsidRPr="00722885">
        <w:rPr>
          <w:rFonts w:ascii="Times New Roman" w:hAnsi="Times New Roman"/>
          <w:color w:val="0070C0"/>
          <w:sz w:val="16"/>
          <w:szCs w:val="16"/>
        </w:rPr>
        <w:t xml:space="preserve">-3, выполняющим рейс 28 </w:t>
      </w:r>
      <w:r w:rsidRPr="00722885">
        <w:rPr>
          <w:rFonts w:ascii="Times New Roman" w:hAnsi="Times New Roman"/>
          <w:color w:val="0070C0"/>
          <w:sz w:val="16"/>
          <w:szCs w:val="16"/>
          <w:lang w:val="en-US"/>
        </w:rPr>
        <w:t>American</w:t>
      </w:r>
      <w:r w:rsidRPr="00722885">
        <w:rPr>
          <w:rFonts w:ascii="Times New Roman" w:hAnsi="Times New Roman"/>
          <w:color w:val="0070C0"/>
          <w:sz w:val="16"/>
          <w:szCs w:val="16"/>
        </w:rPr>
        <w:t xml:space="preserve"> </w:t>
      </w:r>
      <w:r w:rsidRPr="00722885">
        <w:rPr>
          <w:rFonts w:ascii="Times New Roman" w:hAnsi="Times New Roman"/>
          <w:color w:val="0070C0"/>
          <w:sz w:val="16"/>
          <w:szCs w:val="16"/>
          <w:lang w:val="en-US"/>
        </w:rPr>
        <w:t>Airlines</w:t>
      </w:r>
      <w:r w:rsidRPr="00722885">
        <w:rPr>
          <w:rFonts w:ascii="Times New Roman" w:hAnsi="Times New Roman"/>
          <w:color w:val="0070C0"/>
          <w:sz w:val="16"/>
          <w:szCs w:val="16"/>
        </w:rPr>
        <w:t xml:space="preserve"> над Калифорнией. B-34 благополучно приземляется, но DC-3 врезается в каньон Чино, убивая всех 12 человек на борту, включая автора песен Ральфа Рейнджера (20793).</w:t>
      </w:r>
    </w:p>
    <w:p w14:paraId="5071E4EF" w14:textId="77777777" w:rsidR="00781C6B" w:rsidRPr="00722885" w:rsidRDefault="00781C6B" w:rsidP="00722885">
      <w:pPr>
        <w:spacing w:after="0" w:line="240" w:lineRule="auto"/>
        <w:jc w:val="both"/>
        <w:rPr>
          <w:rFonts w:ascii="Times New Roman" w:hAnsi="Times New Roman"/>
          <w:color w:val="0070C0"/>
          <w:sz w:val="16"/>
          <w:szCs w:val="16"/>
        </w:rPr>
      </w:pPr>
    </w:p>
    <w:p w14:paraId="107ACAD6"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23, 1942: In North Africa, the British 8th Army (Montgomery) begins a major offensive against Rommel's Afrikakorps at El Alamein. The RAF launches bombing raids against the Italian cities of Genoa and Turin (3819).</w:t>
      </w:r>
    </w:p>
    <w:p w14:paraId="51C42EEF" w14:textId="77777777" w:rsidR="00090C9B" w:rsidRPr="00722885" w:rsidRDefault="00090C9B" w:rsidP="00722885">
      <w:pPr>
        <w:pStyle w:val="Iauiue"/>
        <w:jc w:val="both"/>
        <w:rPr>
          <w:color w:val="000000" w:themeColor="text1"/>
          <w:sz w:val="16"/>
          <w:szCs w:val="16"/>
          <w:lang w:val="en-US"/>
        </w:rPr>
      </w:pPr>
    </w:p>
    <w:p w14:paraId="6E4973B1"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23 1942 British Eighth Army opens El Alamein offensive (1037).</w:t>
      </w:r>
    </w:p>
    <w:p w14:paraId="12E84A95" w14:textId="77777777" w:rsidR="00090C9B" w:rsidRPr="00722885" w:rsidRDefault="00090C9B" w:rsidP="00722885">
      <w:pPr>
        <w:pStyle w:val="Iauiue"/>
        <w:jc w:val="both"/>
        <w:rPr>
          <w:color w:val="000000" w:themeColor="text1"/>
          <w:sz w:val="16"/>
          <w:szCs w:val="16"/>
          <w:lang w:val="en-US"/>
        </w:rPr>
      </w:pPr>
    </w:p>
    <w:p w14:paraId="7482049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октября 1942 началась битва англичан и немцев у Эль-Аламейна в Египте (4962).</w:t>
      </w:r>
    </w:p>
    <w:p w14:paraId="3AF6826C" w14:textId="77777777" w:rsidR="00090C9B" w:rsidRPr="00722885" w:rsidRDefault="00090C9B" w:rsidP="00722885">
      <w:pPr>
        <w:pStyle w:val="Iauiue"/>
        <w:tabs>
          <w:tab w:val="left" w:pos="11199"/>
        </w:tabs>
        <w:jc w:val="both"/>
        <w:rPr>
          <w:color w:val="000000" w:themeColor="text1"/>
          <w:sz w:val="16"/>
          <w:szCs w:val="16"/>
        </w:rPr>
      </w:pPr>
    </w:p>
    <w:p w14:paraId="1DF64F5D" w14:textId="77777777" w:rsidR="009F7EBD" w:rsidRPr="00722885" w:rsidRDefault="009F7EBD" w:rsidP="00722885">
      <w:pPr>
        <w:pStyle w:val="Iauiue"/>
        <w:jc w:val="both"/>
        <w:rPr>
          <w:color w:val="000000" w:themeColor="text1"/>
          <w:sz w:val="16"/>
          <w:szCs w:val="16"/>
        </w:rPr>
      </w:pPr>
      <w:r w:rsidRPr="00722885">
        <w:rPr>
          <w:color w:val="000000" w:themeColor="text1"/>
          <w:sz w:val="16"/>
          <w:szCs w:val="16"/>
        </w:rPr>
        <w:t>23 октября 1942 британская 8А г Монтгомери начала массированное наступление против немецко-итальянских войск при Эль-Аламейне (3186).</w:t>
      </w:r>
    </w:p>
    <w:p w14:paraId="0D4F6C5E" w14:textId="77777777" w:rsidR="009F7EBD" w:rsidRPr="00722885" w:rsidRDefault="009F7EBD" w:rsidP="00722885">
      <w:pPr>
        <w:pStyle w:val="Iauiue"/>
        <w:jc w:val="both"/>
        <w:rPr>
          <w:color w:val="000000" w:themeColor="text1"/>
          <w:sz w:val="16"/>
          <w:szCs w:val="16"/>
        </w:rPr>
      </w:pPr>
    </w:p>
    <w:p w14:paraId="3AFD13DC"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23 октября </w:t>
      </w:r>
      <w:r w:rsidRPr="00722885">
        <w:rPr>
          <w:rFonts w:ascii="Times New Roman" w:hAnsi="Times New Roman"/>
          <w:color w:val="000000" w:themeColor="text1"/>
          <w:sz w:val="16"/>
          <w:szCs w:val="16"/>
        </w:rPr>
        <w:t xml:space="preserve">в 1942 году началось наступление 8-й британской армии против итало-немецких войск под Эль-Аламейном </w:t>
      </w:r>
    </w:p>
    <w:p w14:paraId="19EFC43A"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1E47AEBA"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23 октября </w:t>
      </w:r>
      <w:r w:rsidRPr="00722885">
        <w:rPr>
          <w:rFonts w:ascii="Times New Roman" w:hAnsi="Times New Roman"/>
          <w:color w:val="000000" w:themeColor="text1"/>
          <w:sz w:val="16"/>
          <w:szCs w:val="16"/>
        </w:rPr>
        <w:t>в 1942 году в Северной Африке после трехдневной (!) предварительной авиационной и 20-минутной артиллерийской подготовки, английские войска перешли в наступление под Эль-Аламейном. 4 ноября англичане прорвали фронт. Роммель отдал приказ об отходе из Египта, забрав у итальянцев запасы пресной воды и почти весь автотранспорт. 4 брошенные итальянские пехотные дивизии (30 тысяч солдат и офицеров) капитулировали (14808).</w:t>
      </w:r>
    </w:p>
    <w:p w14:paraId="3F06DE40"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05891E70"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lastRenderedPageBreak/>
        <w:t xml:space="preserve">23 октября </w:t>
      </w:r>
      <w:r w:rsidRPr="00722885">
        <w:rPr>
          <w:rFonts w:ascii="Times New Roman" w:hAnsi="Times New Roman"/>
          <w:color w:val="000000" w:themeColor="text1"/>
          <w:sz w:val="16"/>
          <w:szCs w:val="16"/>
        </w:rPr>
        <w:t>в 1942 году первое судно флота для вторжения в Марокко отплывает из Норфолка (14808).</w:t>
      </w:r>
    </w:p>
    <w:p w14:paraId="7861525A"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48A1323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октября 1942 началось английское наступление Lightfoot под Эль Аламейном и 25 Роммель прибыл на фронт из Рима (1037;2245,9) и операция шла до 4 ноября 1942 (2443,280).</w:t>
      </w:r>
    </w:p>
    <w:p w14:paraId="6B105AFE" w14:textId="77777777" w:rsidR="00090C9B" w:rsidRPr="00722885" w:rsidRDefault="00090C9B" w:rsidP="00722885">
      <w:pPr>
        <w:pStyle w:val="Iauiue"/>
        <w:jc w:val="both"/>
        <w:rPr>
          <w:color w:val="000000" w:themeColor="text1"/>
          <w:sz w:val="16"/>
          <w:szCs w:val="16"/>
        </w:rPr>
      </w:pPr>
    </w:p>
    <w:p w14:paraId="6D7FBB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октября 1942 началось английское наступление Lightfoot под Эль Аламейном и 25 Роммель прибыл на фронт из Рима (2245,9).</w:t>
      </w:r>
    </w:p>
    <w:p w14:paraId="5849402B" w14:textId="77777777" w:rsidR="00090C9B" w:rsidRPr="00722885" w:rsidRDefault="00090C9B" w:rsidP="00722885">
      <w:pPr>
        <w:pStyle w:val="Iauiue"/>
        <w:jc w:val="both"/>
        <w:rPr>
          <w:color w:val="000000" w:themeColor="text1"/>
          <w:sz w:val="16"/>
          <w:szCs w:val="16"/>
        </w:rPr>
      </w:pPr>
    </w:p>
    <w:p w14:paraId="0D2F98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октября 1942 организация Сводбодная Австрия призвала к созданию фронта свободы против фашизма (3960, 414).</w:t>
      </w:r>
    </w:p>
    <w:p w14:paraId="75FFE8C6" w14:textId="77777777" w:rsidR="00090C9B" w:rsidRPr="00722885" w:rsidRDefault="00090C9B" w:rsidP="00722885">
      <w:pPr>
        <w:pStyle w:val="Iauiue"/>
        <w:jc w:val="both"/>
        <w:rPr>
          <w:color w:val="000000" w:themeColor="text1"/>
          <w:sz w:val="16"/>
          <w:szCs w:val="16"/>
        </w:rPr>
      </w:pPr>
    </w:p>
    <w:p w14:paraId="7591F74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BC848AA" w14:textId="77777777" w:rsidR="00090C9B" w:rsidRPr="00722885" w:rsidRDefault="00090C9B" w:rsidP="00722885">
      <w:pPr>
        <w:pStyle w:val="Iauiue"/>
        <w:jc w:val="both"/>
        <w:rPr>
          <w:iCs/>
          <w:color w:val="000000" w:themeColor="text1"/>
          <w:sz w:val="16"/>
          <w:szCs w:val="16"/>
        </w:rPr>
      </w:pPr>
    </w:p>
    <w:p w14:paraId="4D9894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октября 1942 НКВ Устинов писал А.И.Ш. и нач. ГУ Техснабжения ВВС Селезневу N НВ-20/3078с:</w:t>
      </w:r>
    </w:p>
    <w:p w14:paraId="719602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посещении заводов НКУАП работниками НКВ установлено, что на заводах 1 и 30 при установке крыльевых пушек ШВАК на самолетах Ил-2 пневмоперезарядка пушки, работающая на принципе подачи воздуха в газовый цилиндр, не используется. На самолете Ил-2 введена и устанавливается тросовая пневмоперезарядка со специальным пневмоцилиндром, который значительно усложняет всю схему пневмоперезарядки и самолетную установку. Одновременно создается возможность появления задержек ("недоход частей в переднем положении" и "неотражение" при пневмоперезарядке и необходимость дополнительных отладок, т.к. возвратная пружина пушки при этой схеме пневмоперезярядки должны возвращать кроме подвижных частей пушки поршень пневмоцилиндра со всеми передающими звеньями, вследствие запаздывания работы пружины поршня пневмоперезарядки. Наличие компрессора и заедание в передаточных звеньях пневмоперезарядки, а также усложненное питание левой пушки увеличивают сопротивление, преодолеваемое возвратной пружинкой пушки.</w:t>
      </w:r>
    </w:p>
    <w:p w14:paraId="22EF3B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Имевшие место случаи отказов в работе пневмоперезарядки отдельных пушек на заводе 30 9см. письмо директора завода 30 от 16 сентября 1942) и зам. наркома Кузнецова от 12 октября) можно объяснить указанными выше причинами.</w:t>
      </w:r>
    </w:p>
    <w:p w14:paraId="4EDA7C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 виды пушек ШВАК изготавливаются и проверяются на заводах НКВ с пневмоперезярядкой через газовый цилиндр и заводы НКАП, кроме заводов 1 и 30, используют полностью эту пневмоперезарядку пушки.</w:t>
      </w:r>
    </w:p>
    <w:p w14:paraId="2ED470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самолете Харрикейн (завод 81 устанавливает также как на Ил-2 крыльевые пушки, однако пневмоперезярядка пушки используется полностью и никаких затруднений в эксплуатации не вызывает, работая безотказно. Синхронная пушка имея автоматику крыльевой пушки при пневмоперезарядке через газовый цилиндр (установка завода 21) также обеспечивает нормальную работу пушки.</w:t>
      </w:r>
    </w:p>
    <w:p w14:paraId="26EDEB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сокращения отладочных работ при монтаже и испытаний вооружения, проще Вас дать указание о пересмотре схемы пневмоперезарядки на самолете Ил-2 в направлении правильного использования перезарядки пушки через газовый цилиндр.</w:t>
      </w:r>
    </w:p>
    <w:p w14:paraId="106C61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Подводящий рукав питания левой пушки необходимо выпрямить за счет поворота пушки.</w:t>
      </w:r>
    </w:p>
    <w:p w14:paraId="28DD98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окончательном рассмотрении опытной (измененной) установки прошу обеспечить участие представителей НКВ и завода изготовителя пушек (1680,186).</w:t>
      </w:r>
    </w:p>
    <w:p w14:paraId="5821AC3C" w14:textId="77777777" w:rsidR="00090C9B" w:rsidRPr="00722885" w:rsidRDefault="00090C9B" w:rsidP="00722885">
      <w:pPr>
        <w:pStyle w:val="Iauiue"/>
        <w:jc w:val="both"/>
        <w:rPr>
          <w:color w:val="000000" w:themeColor="text1"/>
          <w:sz w:val="16"/>
          <w:szCs w:val="16"/>
        </w:rPr>
      </w:pPr>
    </w:p>
    <w:p w14:paraId="1ED964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октября 1942 вышел приказ НКАП и Командующего ВВС N 802/0044 о введении унификации в размещение оборудования кабин истребителя и штурмовика и ввести в действие соответствующие методические материалы (916,11).</w:t>
      </w:r>
    </w:p>
    <w:p w14:paraId="14FF88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 исполнение постановления ГКО №....</w:t>
      </w:r>
    </w:p>
    <w:p w14:paraId="2A16B1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введения унификации в размещение оборудования кабин истребителей и штурмовиков, что облегчает эксплуатацию самолетов и способствует выработке у летчика автоматизма в управлении самолетом при переходе с одного типа самолетов на другой приказываю:</w:t>
      </w:r>
    </w:p>
    <w:p w14:paraId="43AC44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Ввести в действие “Оборудование стандартной кабины истребителя” и “Оборудование стандартной кабины штурмовика” с 1 октября 1942 г. для всех новых самолетов и модификаций серийных.</w:t>
      </w:r>
    </w:p>
    <w:p w14:paraId="42C9AA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ГК и представителям макеты комиссиям при разработке новых самолетов и модификации серийных самолетов руководствоваться настоящим материалом.</w:t>
      </w:r>
    </w:p>
    <w:p w14:paraId="4DA433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Нач. 7 ГУ НКАП т. С.Н.Шишкину включить материал по оборудованию стандартной кабины истребителя и штермовика в руководство для конструкторов...(916,11).</w:t>
      </w:r>
    </w:p>
    <w:p w14:paraId="2F5446B1" w14:textId="77777777" w:rsidR="00090C9B" w:rsidRPr="00722885" w:rsidRDefault="00090C9B" w:rsidP="00722885">
      <w:pPr>
        <w:pStyle w:val="Iauiue"/>
        <w:jc w:val="both"/>
        <w:rPr>
          <w:color w:val="000000" w:themeColor="text1"/>
          <w:sz w:val="16"/>
          <w:szCs w:val="16"/>
        </w:rPr>
      </w:pPr>
    </w:p>
    <w:p w14:paraId="4F28B3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октября 1942 Тарасевич писал А.И.Ш.:</w:t>
      </w:r>
    </w:p>
    <w:p w14:paraId="676B5B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соответствии с Вашим приказом N 708 от 17 сентября 1942 об экономии цветного металла, прошу утвердить внедрение в серию по самолету Ил-4 на заводе 23 следующих агрегатов и узлов из дерева:</w:t>
      </w:r>
    </w:p>
    <w:p w14:paraId="1C9FA8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Передняя часть фюзеляжа</w:t>
      </w:r>
    </w:p>
    <w:p w14:paraId="341449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Пол пилота</w:t>
      </w:r>
    </w:p>
    <w:p w14:paraId="094561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Хвостовой кок</w:t>
      </w:r>
    </w:p>
    <w:p w14:paraId="45C8E3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Что даст экономию 169 кг металла на машину.</w:t>
      </w:r>
    </w:p>
    <w:p w14:paraId="46BD72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ГК С.В.И. своим извещением N 350 от 21 августа 1942 санкционировал введение упомянутых агрегатов в серию без статиспытаний (1685,184).</w:t>
      </w:r>
    </w:p>
    <w:p w14:paraId="6CCB591E" w14:textId="77777777" w:rsidR="00090C9B" w:rsidRPr="00722885" w:rsidRDefault="00090C9B" w:rsidP="00722885">
      <w:pPr>
        <w:pStyle w:val="Iauiue"/>
        <w:jc w:val="both"/>
        <w:rPr>
          <w:color w:val="000000" w:themeColor="text1"/>
          <w:sz w:val="16"/>
          <w:szCs w:val="16"/>
        </w:rPr>
      </w:pPr>
    </w:p>
    <w:p w14:paraId="5026BC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октября 1942 вышел приказ НКАП N 803c:</w:t>
      </w:r>
    </w:p>
    <w:p w14:paraId="790904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связи с увеличением полетного веса самолета Ил-4 с М-88 обязать ГК завода 120 Флорова: в 5 дневный срок произвести усиление стоящих на этом самолете колес 1000х350, устранив при этом выявившуюся в процессе эксплуатации слабые места их.</w:t>
      </w:r>
    </w:p>
    <w:p w14:paraId="6A0940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Чертежи колес 1000х350 согласовать с ГК С.В.И. не позднее 1 ноября 1942 и дать на утверждение нач. 7 ГУ Шишкину (1597,17).</w:t>
      </w:r>
    </w:p>
    <w:p w14:paraId="7FEDF2F3" w14:textId="77777777" w:rsidR="00090C9B" w:rsidRPr="00722885" w:rsidRDefault="00090C9B" w:rsidP="00722885">
      <w:pPr>
        <w:pStyle w:val="Iauiue"/>
        <w:jc w:val="both"/>
        <w:rPr>
          <w:color w:val="000000" w:themeColor="text1"/>
          <w:sz w:val="16"/>
          <w:szCs w:val="16"/>
        </w:rPr>
      </w:pPr>
    </w:p>
    <w:p w14:paraId="668E40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октября 1942 закончились совместные испытания Пе-8 (ТБ-7) N 42047 с 4хМ-82 21 завода, которые начались 3 апреля 1942. Из общего числа 204 дней испытаний летали 22 дня (994,8).</w:t>
      </w:r>
    </w:p>
    <w:p w14:paraId="7A5206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Отчет о совместных испытаниях Пе-8 с 4М-82</w:t>
      </w:r>
    </w:p>
    <w:p w14:paraId="37DAD3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Утв.:</w:t>
      </w:r>
    </w:p>
    <w:p w14:paraId="60E3C8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ГИ ВВС </w:t>
      </w:r>
      <w:r w:rsidRPr="00722885">
        <w:rPr>
          <w:rFonts w:ascii="Times New Roman" w:hAnsi="Times New Roman"/>
          <w:color w:val="000000" w:themeColor="text1"/>
          <w:sz w:val="16"/>
          <w:szCs w:val="16"/>
        </w:rPr>
        <w:tab/>
        <w:t>Зам. НКАП</w:t>
      </w:r>
    </w:p>
    <w:p w14:paraId="1D8433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ВВС</w:t>
      </w:r>
      <w:r w:rsidRPr="00722885">
        <w:rPr>
          <w:rFonts w:ascii="Times New Roman" w:hAnsi="Times New Roman"/>
          <w:color w:val="000000" w:themeColor="text1"/>
          <w:sz w:val="16"/>
          <w:szCs w:val="16"/>
        </w:rPr>
        <w:tab/>
        <w:t>Дементьев</w:t>
      </w:r>
    </w:p>
    <w:p w14:paraId="73B7BF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Репин</w:t>
      </w:r>
    </w:p>
    <w:p w14:paraId="6B2E75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Подписан:</w:t>
      </w:r>
    </w:p>
    <w:tbl>
      <w:tblPr>
        <w:tblW w:w="0" w:type="auto"/>
        <w:tblLayout w:type="fixed"/>
        <w:tblLook w:val="0000" w:firstRow="0" w:lastRow="0" w:firstColumn="0" w:lastColumn="0" w:noHBand="0" w:noVBand="0"/>
      </w:tblPr>
      <w:tblGrid>
        <w:gridCol w:w="2802"/>
        <w:gridCol w:w="2802"/>
        <w:gridCol w:w="2802"/>
        <w:gridCol w:w="2802"/>
      </w:tblGrid>
      <w:tr w:rsidR="009B487A" w:rsidRPr="00722885" w14:paraId="0BE844C2" w14:textId="77777777" w:rsidTr="00CC5360">
        <w:tc>
          <w:tcPr>
            <w:tcW w:w="2802" w:type="dxa"/>
            <w:tcBorders>
              <w:top w:val="nil"/>
              <w:left w:val="nil"/>
              <w:bottom w:val="nil"/>
              <w:right w:val="nil"/>
            </w:tcBorders>
          </w:tcPr>
          <w:p w14:paraId="70603E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 НИИ ВВС</w:t>
            </w:r>
          </w:p>
        </w:tc>
        <w:tc>
          <w:tcPr>
            <w:tcW w:w="2802" w:type="dxa"/>
            <w:tcBorders>
              <w:top w:val="nil"/>
              <w:left w:val="nil"/>
              <w:bottom w:val="nil"/>
              <w:right w:val="nil"/>
            </w:tcBorders>
          </w:tcPr>
          <w:p w14:paraId="375AAD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 НИИ ВВС</w:t>
            </w:r>
          </w:p>
        </w:tc>
        <w:tc>
          <w:tcPr>
            <w:tcW w:w="2802" w:type="dxa"/>
            <w:tcBorders>
              <w:top w:val="nil"/>
              <w:left w:val="nil"/>
              <w:bottom w:val="nil"/>
              <w:right w:val="nil"/>
            </w:tcBorders>
          </w:tcPr>
          <w:p w14:paraId="2CAF1E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з-да № 22</w:t>
            </w:r>
          </w:p>
        </w:tc>
        <w:tc>
          <w:tcPr>
            <w:tcW w:w="2802" w:type="dxa"/>
            <w:tcBorders>
              <w:top w:val="nil"/>
              <w:left w:val="nil"/>
              <w:bottom w:val="nil"/>
              <w:right w:val="nil"/>
            </w:tcBorders>
          </w:tcPr>
          <w:p w14:paraId="5535CC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ГК изд. 42</w:t>
            </w:r>
          </w:p>
        </w:tc>
      </w:tr>
      <w:tr w:rsidR="009B487A" w:rsidRPr="00722885" w14:paraId="5E653759" w14:textId="77777777" w:rsidTr="00CC5360">
        <w:tc>
          <w:tcPr>
            <w:tcW w:w="2802" w:type="dxa"/>
            <w:tcBorders>
              <w:top w:val="nil"/>
              <w:left w:val="nil"/>
              <w:bottom w:val="nil"/>
              <w:right w:val="nil"/>
            </w:tcBorders>
          </w:tcPr>
          <w:p w14:paraId="68A273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Лосюков</w:t>
            </w:r>
          </w:p>
        </w:tc>
        <w:tc>
          <w:tcPr>
            <w:tcW w:w="2802" w:type="dxa"/>
            <w:tcBorders>
              <w:top w:val="nil"/>
              <w:left w:val="nil"/>
              <w:bottom w:val="nil"/>
              <w:right w:val="nil"/>
            </w:tcBorders>
          </w:tcPr>
          <w:p w14:paraId="3B3EC2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Чесалов</w:t>
            </w:r>
          </w:p>
        </w:tc>
        <w:tc>
          <w:tcPr>
            <w:tcW w:w="2802" w:type="dxa"/>
            <w:tcBorders>
              <w:top w:val="nil"/>
              <w:left w:val="nil"/>
              <w:bottom w:val="nil"/>
              <w:right w:val="nil"/>
            </w:tcBorders>
          </w:tcPr>
          <w:p w14:paraId="71A71C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802" w:type="dxa"/>
            <w:tcBorders>
              <w:top w:val="nil"/>
              <w:left w:val="nil"/>
              <w:bottom w:val="nil"/>
              <w:right w:val="nil"/>
            </w:tcBorders>
          </w:tcPr>
          <w:p w14:paraId="32FE3C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Незваль</w:t>
            </w:r>
          </w:p>
        </w:tc>
      </w:tr>
    </w:tbl>
    <w:p w14:paraId="6C093A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9.11.42</w:t>
      </w:r>
    </w:p>
    <w:p w14:paraId="39174E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Отв. Исполнители:</w:t>
      </w:r>
    </w:p>
    <w:p w14:paraId="4E1DBA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вл ГСС комбриг Водопьянов</w:t>
      </w:r>
    </w:p>
    <w:p w14:paraId="65788C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 НИИ ВВС ип Ефимов</w:t>
      </w:r>
    </w:p>
    <w:p w14:paraId="5CC222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 ЛИИ НКАП Туманский</w:t>
      </w:r>
    </w:p>
    <w:p w14:paraId="1EA520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вм ЛИС з-да № 22 Аржаков</w:t>
      </w:r>
    </w:p>
    <w:p w14:paraId="3FE6B6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 Ефимов</w:t>
      </w:r>
    </w:p>
    <w:p w14:paraId="10F708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Объект: С-т Пе-8 № 42047 с 4М-82 изг. Заводом № 22 согласно постановлению ГКО № 915 от 19 ноября 1941 и приказа НКАП № 1147 от 20 ноября 1941</w:t>
      </w:r>
    </w:p>
    <w:p w14:paraId="7000CF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Ход исполнения: испытания начаты 3 апреля 1942 и закончены 24 сентября 1942</w:t>
      </w:r>
    </w:p>
    <w:p w14:paraId="6A30F3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полета, 58 час. Из общего количества 204 дней полеты произодились в течение 22 дней, ост. Время падает в основном на доводки моторов и ВМГ (замена 4-го мотора - 7 дней, замена мотора вып. Августа 1942 - 19 дн. И др.), нелетная погода - 21 день, осмотры и подготовка к полетам - 13 дн., подготовка полета на дальность - 15 дн.</w:t>
      </w:r>
    </w:p>
    <w:p w14:paraId="72FBEF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Нагрузка: экипаж - 11 чел. - 999 кг, оружие с турелями - 165, прицел ПС-1 - 25, вспомогат. Оборуд - 90,4, боезапас - 332 кг, горючее - норм. 4095 кг, перегрузка - 11595 кг, масло - норм. 300, перегруз - 800, бомбы - 2000 (в норм. Вар-те), освет. Бомбы - 50, антифриз в доп. баки - 24 (только в перегруз), антифриз в крыльевые баки - 120 и 120. Нагрузка 8210 и 16210, пустой - от 18790, полетный - 27000-35000.</w:t>
      </w:r>
    </w:p>
    <w:p w14:paraId="4630BF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Различия весов: с АМ-35А - 8831, с М-82 - 7639, разница - 1192</w:t>
      </w:r>
    </w:p>
    <w:p w14:paraId="5724E3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9B487A" w:rsidRPr="00722885" w14:paraId="7F373021" w14:textId="77777777" w:rsidTr="00CC5360">
        <w:tc>
          <w:tcPr>
            <w:tcW w:w="1601" w:type="dxa"/>
            <w:tcBorders>
              <w:top w:val="single" w:sz="12" w:space="0" w:color="auto"/>
            </w:tcBorders>
          </w:tcPr>
          <w:p w14:paraId="3D3567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w:t>
            </w:r>
          </w:p>
        </w:tc>
        <w:tc>
          <w:tcPr>
            <w:tcW w:w="1601" w:type="dxa"/>
            <w:tcBorders>
              <w:top w:val="single" w:sz="12" w:space="0" w:color="auto"/>
            </w:tcBorders>
          </w:tcPr>
          <w:p w14:paraId="44CD75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w:t>
            </w:r>
          </w:p>
        </w:tc>
        <w:tc>
          <w:tcPr>
            <w:tcW w:w="1601" w:type="dxa"/>
            <w:tcBorders>
              <w:top w:val="single" w:sz="12" w:space="0" w:color="auto"/>
            </w:tcBorders>
          </w:tcPr>
          <w:p w14:paraId="19130C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 (средние)</w:t>
            </w:r>
          </w:p>
        </w:tc>
        <w:tc>
          <w:tcPr>
            <w:tcW w:w="1601" w:type="dxa"/>
            <w:tcBorders>
              <w:top w:val="single" w:sz="12" w:space="0" w:color="auto"/>
            </w:tcBorders>
          </w:tcPr>
          <w:p w14:paraId="0ADD81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Давление</w:t>
            </w:r>
          </w:p>
        </w:tc>
        <w:tc>
          <w:tcPr>
            <w:tcW w:w="1601" w:type="dxa"/>
            <w:tcBorders>
              <w:top w:val="single" w:sz="12" w:space="0" w:color="auto"/>
            </w:tcBorders>
          </w:tcPr>
          <w:p w14:paraId="6EB4BAC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266F7E6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E50075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2D108E42" w14:textId="77777777" w:rsidTr="00CC5360">
        <w:tc>
          <w:tcPr>
            <w:tcW w:w="1601" w:type="dxa"/>
          </w:tcPr>
          <w:p w14:paraId="033E6EC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0D2CADD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06152FD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75D991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601" w:type="dxa"/>
          </w:tcPr>
          <w:p w14:paraId="36AFF2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601" w:type="dxa"/>
          </w:tcPr>
          <w:p w14:paraId="16EBC7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601" w:type="dxa"/>
          </w:tcPr>
          <w:p w14:paraId="6E46CC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r>
      <w:tr w:rsidR="009B487A" w:rsidRPr="00722885" w14:paraId="072319CC" w14:textId="77777777" w:rsidTr="00CC5360">
        <w:tc>
          <w:tcPr>
            <w:tcW w:w="1601" w:type="dxa"/>
          </w:tcPr>
          <w:p w14:paraId="6F2E56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0</w:t>
            </w:r>
          </w:p>
        </w:tc>
        <w:tc>
          <w:tcPr>
            <w:tcW w:w="1601" w:type="dxa"/>
          </w:tcPr>
          <w:p w14:paraId="5FAE46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358</w:t>
            </w:r>
          </w:p>
        </w:tc>
        <w:tc>
          <w:tcPr>
            <w:tcW w:w="1601" w:type="dxa"/>
          </w:tcPr>
          <w:p w14:paraId="3BD1E5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7E62EC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342792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6D3C06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32E49B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r>
      <w:tr w:rsidR="009B487A" w:rsidRPr="00722885" w14:paraId="2558E646" w14:textId="77777777" w:rsidTr="00CC5360">
        <w:tc>
          <w:tcPr>
            <w:tcW w:w="1601" w:type="dxa"/>
          </w:tcPr>
          <w:p w14:paraId="68A15C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601" w:type="dxa"/>
          </w:tcPr>
          <w:p w14:paraId="11761A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376</w:t>
            </w:r>
          </w:p>
        </w:tc>
        <w:tc>
          <w:tcPr>
            <w:tcW w:w="1601" w:type="dxa"/>
          </w:tcPr>
          <w:p w14:paraId="7AD63D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07F8E6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72BBB1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259BF3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6AE66F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r>
      <w:tr w:rsidR="009B487A" w:rsidRPr="00722885" w14:paraId="41107495" w14:textId="77777777" w:rsidTr="00CC5360">
        <w:tc>
          <w:tcPr>
            <w:tcW w:w="1601" w:type="dxa"/>
          </w:tcPr>
          <w:p w14:paraId="5E86CB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601" w:type="dxa"/>
          </w:tcPr>
          <w:p w14:paraId="744505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393</w:t>
            </w:r>
          </w:p>
        </w:tc>
        <w:tc>
          <w:tcPr>
            <w:tcW w:w="1601" w:type="dxa"/>
          </w:tcPr>
          <w:p w14:paraId="16F8DE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647219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c>
          <w:tcPr>
            <w:tcW w:w="1601" w:type="dxa"/>
          </w:tcPr>
          <w:p w14:paraId="083915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c>
          <w:tcPr>
            <w:tcW w:w="1601" w:type="dxa"/>
          </w:tcPr>
          <w:p w14:paraId="10F86F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970</w:t>
            </w:r>
          </w:p>
        </w:tc>
        <w:tc>
          <w:tcPr>
            <w:tcW w:w="1601" w:type="dxa"/>
          </w:tcPr>
          <w:p w14:paraId="25DD97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r>
      <w:tr w:rsidR="009B487A" w:rsidRPr="00722885" w14:paraId="2AEA408F" w14:textId="77777777" w:rsidTr="00CC5360">
        <w:tc>
          <w:tcPr>
            <w:tcW w:w="1601" w:type="dxa"/>
          </w:tcPr>
          <w:p w14:paraId="2F553C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1601" w:type="dxa"/>
          </w:tcPr>
          <w:p w14:paraId="73FD6D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w:t>
            </w:r>
          </w:p>
        </w:tc>
        <w:tc>
          <w:tcPr>
            <w:tcW w:w="1601" w:type="dxa"/>
          </w:tcPr>
          <w:p w14:paraId="5C6D49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67BBAB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865</w:t>
            </w:r>
          </w:p>
        </w:tc>
        <w:tc>
          <w:tcPr>
            <w:tcW w:w="1601" w:type="dxa"/>
          </w:tcPr>
          <w:p w14:paraId="25AB4F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840</w:t>
            </w:r>
          </w:p>
        </w:tc>
        <w:tc>
          <w:tcPr>
            <w:tcW w:w="1601" w:type="dxa"/>
          </w:tcPr>
          <w:p w14:paraId="3802C9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890</w:t>
            </w:r>
          </w:p>
        </w:tc>
        <w:tc>
          <w:tcPr>
            <w:tcW w:w="1601" w:type="dxa"/>
          </w:tcPr>
          <w:p w14:paraId="5DEEBD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880</w:t>
            </w:r>
          </w:p>
        </w:tc>
      </w:tr>
      <w:tr w:rsidR="009B487A" w:rsidRPr="00722885" w14:paraId="4CB87965" w14:textId="77777777" w:rsidTr="00CC5360">
        <w:tc>
          <w:tcPr>
            <w:tcW w:w="1601" w:type="dxa"/>
          </w:tcPr>
          <w:p w14:paraId="77BB77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4000</w:t>
            </w:r>
          </w:p>
        </w:tc>
        <w:tc>
          <w:tcPr>
            <w:tcW w:w="1601" w:type="dxa"/>
          </w:tcPr>
          <w:p w14:paraId="6DD9DE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392</w:t>
            </w:r>
          </w:p>
        </w:tc>
        <w:tc>
          <w:tcPr>
            <w:tcW w:w="1601" w:type="dxa"/>
          </w:tcPr>
          <w:p w14:paraId="5A3EE2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398C55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765</w:t>
            </w:r>
          </w:p>
        </w:tc>
        <w:tc>
          <w:tcPr>
            <w:tcW w:w="1601" w:type="dxa"/>
          </w:tcPr>
          <w:p w14:paraId="57BFCD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775</w:t>
            </w:r>
          </w:p>
        </w:tc>
        <w:tc>
          <w:tcPr>
            <w:tcW w:w="1601" w:type="dxa"/>
          </w:tcPr>
          <w:p w14:paraId="7447FA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785</w:t>
            </w:r>
          </w:p>
        </w:tc>
        <w:tc>
          <w:tcPr>
            <w:tcW w:w="1601" w:type="dxa"/>
          </w:tcPr>
          <w:p w14:paraId="086CB0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765</w:t>
            </w:r>
          </w:p>
        </w:tc>
      </w:tr>
      <w:tr w:rsidR="009B487A" w:rsidRPr="00722885" w14:paraId="7ACBB9BE" w14:textId="77777777" w:rsidTr="00CC5360">
        <w:tc>
          <w:tcPr>
            <w:tcW w:w="1601" w:type="dxa"/>
            <w:tcBorders>
              <w:bottom w:val="single" w:sz="12" w:space="0" w:color="auto"/>
            </w:tcBorders>
          </w:tcPr>
          <w:p w14:paraId="5C15FB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4500</w:t>
            </w:r>
          </w:p>
        </w:tc>
        <w:tc>
          <w:tcPr>
            <w:tcW w:w="1601" w:type="dxa"/>
            <w:tcBorders>
              <w:bottom w:val="single" w:sz="12" w:space="0" w:color="auto"/>
            </w:tcBorders>
          </w:tcPr>
          <w:p w14:paraId="526F4E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386</w:t>
            </w:r>
          </w:p>
        </w:tc>
        <w:tc>
          <w:tcPr>
            <w:tcW w:w="1601" w:type="dxa"/>
            <w:tcBorders>
              <w:bottom w:val="single" w:sz="12" w:space="0" w:color="auto"/>
            </w:tcBorders>
          </w:tcPr>
          <w:p w14:paraId="131417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Borders>
              <w:bottom w:val="single" w:sz="12" w:space="0" w:color="auto"/>
            </w:tcBorders>
          </w:tcPr>
          <w:p w14:paraId="04D4BF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710</w:t>
            </w:r>
          </w:p>
        </w:tc>
        <w:tc>
          <w:tcPr>
            <w:tcW w:w="1601" w:type="dxa"/>
            <w:tcBorders>
              <w:bottom w:val="single" w:sz="12" w:space="0" w:color="auto"/>
            </w:tcBorders>
          </w:tcPr>
          <w:p w14:paraId="70C127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c>
          <w:tcPr>
            <w:tcW w:w="1601" w:type="dxa"/>
            <w:tcBorders>
              <w:bottom w:val="single" w:sz="12" w:space="0" w:color="auto"/>
            </w:tcBorders>
          </w:tcPr>
          <w:p w14:paraId="3D02C3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790</w:t>
            </w:r>
          </w:p>
        </w:tc>
        <w:tc>
          <w:tcPr>
            <w:tcW w:w="1601" w:type="dxa"/>
            <w:tcBorders>
              <w:bottom w:val="single" w:sz="12" w:space="0" w:color="auto"/>
            </w:tcBorders>
          </w:tcPr>
          <w:p w14:paraId="2E2274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790</w:t>
            </w:r>
          </w:p>
        </w:tc>
      </w:tr>
    </w:tbl>
    <w:p w14:paraId="74A19A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гр. Высотности 2500 м - 410, на 2 гр. Высотности 5100 - 390</w:t>
      </w:r>
    </w:p>
    <w:p w14:paraId="76BA5A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Определение макс. скорости было затруднено ввиду высоких температур головок, что не позволяло выдерживать нормальные скоростные площадки с прикрытыми юбками моторов на 2-й ск. Нагнетателя. Поэтому полученные материалы не позволяют построить полный график макс. скорости, а только часть - для 1-й скорости нагнетателя.</w:t>
      </w:r>
    </w:p>
    <w:p w14:paraId="662C7E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Сороподъемность: высокие температуры моторов не позволили провести непрерывный полет на скороподъемность. Даже при повышенной скорости набора до 240 км/час по прибору и сниженных оборотах до 2300 температура достигала предельных значений и выше. Поэтому график скороподъемности приводится только для сниженных оборотов до 2300 и соответственно меньшем наддуеве</w:t>
      </w:r>
    </w:p>
    <w:p w14:paraId="5408C7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Вертикальные скорости с-та № 42072 с пол. Весом 28200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B487A" w:rsidRPr="00722885" w14:paraId="51879F98" w14:textId="77777777" w:rsidTr="00CC5360">
        <w:tc>
          <w:tcPr>
            <w:tcW w:w="1868" w:type="dxa"/>
            <w:tcBorders>
              <w:top w:val="single" w:sz="12" w:space="0" w:color="auto"/>
            </w:tcBorders>
          </w:tcPr>
          <w:p w14:paraId="6FE7C0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w:t>
            </w:r>
          </w:p>
        </w:tc>
        <w:tc>
          <w:tcPr>
            <w:tcW w:w="1868" w:type="dxa"/>
            <w:tcBorders>
              <w:top w:val="single" w:sz="12" w:space="0" w:color="auto"/>
            </w:tcBorders>
          </w:tcPr>
          <w:p w14:paraId="28C076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w:t>
            </w:r>
          </w:p>
        </w:tc>
        <w:tc>
          <w:tcPr>
            <w:tcW w:w="1868" w:type="dxa"/>
            <w:tcBorders>
              <w:top w:val="single" w:sz="12" w:space="0" w:color="auto"/>
            </w:tcBorders>
          </w:tcPr>
          <w:p w14:paraId="7A8E6E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w:t>
            </w:r>
          </w:p>
        </w:tc>
        <w:tc>
          <w:tcPr>
            <w:tcW w:w="1868" w:type="dxa"/>
            <w:tcBorders>
              <w:top w:val="single" w:sz="12" w:space="0" w:color="auto"/>
            </w:tcBorders>
          </w:tcPr>
          <w:p w14:paraId="452A78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w:t>
            </w:r>
          </w:p>
        </w:tc>
        <w:tc>
          <w:tcPr>
            <w:tcW w:w="1868" w:type="dxa"/>
            <w:tcBorders>
              <w:top w:val="single" w:sz="12" w:space="0" w:color="auto"/>
            </w:tcBorders>
          </w:tcPr>
          <w:p w14:paraId="095BFD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w:t>
            </w:r>
          </w:p>
        </w:tc>
        <w:tc>
          <w:tcPr>
            <w:tcW w:w="1868" w:type="dxa"/>
            <w:tcBorders>
              <w:top w:val="single" w:sz="12" w:space="0" w:color="auto"/>
            </w:tcBorders>
          </w:tcPr>
          <w:p w14:paraId="2912CE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Давление</w:t>
            </w:r>
          </w:p>
        </w:tc>
      </w:tr>
      <w:tr w:rsidR="009B487A" w:rsidRPr="00722885" w14:paraId="12CBC4BD" w14:textId="77777777" w:rsidTr="00CC5360">
        <w:tc>
          <w:tcPr>
            <w:tcW w:w="1868" w:type="dxa"/>
          </w:tcPr>
          <w:p w14:paraId="5B0267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Pr>
          <w:p w14:paraId="0646BF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5,20</w:t>
            </w:r>
          </w:p>
        </w:tc>
        <w:tc>
          <w:tcPr>
            <w:tcW w:w="1868" w:type="dxa"/>
          </w:tcPr>
          <w:p w14:paraId="6325CC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Pr>
          <w:p w14:paraId="3C2C01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7F2FE3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6B395D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930</w:t>
            </w:r>
          </w:p>
        </w:tc>
      </w:tr>
      <w:tr w:rsidR="009B487A" w:rsidRPr="00722885" w14:paraId="41FBFEA6" w14:textId="77777777" w:rsidTr="00CC5360">
        <w:tc>
          <w:tcPr>
            <w:tcW w:w="1868" w:type="dxa"/>
          </w:tcPr>
          <w:p w14:paraId="2E4749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868" w:type="dxa"/>
          </w:tcPr>
          <w:p w14:paraId="7FCD08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5,50</w:t>
            </w:r>
          </w:p>
        </w:tc>
        <w:tc>
          <w:tcPr>
            <w:tcW w:w="1868" w:type="dxa"/>
          </w:tcPr>
          <w:p w14:paraId="77CCC3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1868" w:type="dxa"/>
          </w:tcPr>
          <w:p w14:paraId="05745E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5C69FC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68F60A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930</w:t>
            </w:r>
          </w:p>
        </w:tc>
      </w:tr>
      <w:tr w:rsidR="009B487A" w:rsidRPr="00722885" w14:paraId="0E39820B" w14:textId="77777777" w:rsidTr="00CC5360">
        <w:tc>
          <w:tcPr>
            <w:tcW w:w="1868" w:type="dxa"/>
          </w:tcPr>
          <w:p w14:paraId="7B64FF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868" w:type="dxa"/>
          </w:tcPr>
          <w:p w14:paraId="6CA97E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5,60</w:t>
            </w:r>
          </w:p>
        </w:tc>
        <w:tc>
          <w:tcPr>
            <w:tcW w:w="1868" w:type="dxa"/>
          </w:tcPr>
          <w:p w14:paraId="3D5E41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w:t>
            </w:r>
          </w:p>
        </w:tc>
        <w:tc>
          <w:tcPr>
            <w:tcW w:w="1868" w:type="dxa"/>
          </w:tcPr>
          <w:p w14:paraId="641632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429A07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2A18A3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835</w:t>
            </w:r>
          </w:p>
        </w:tc>
      </w:tr>
      <w:tr w:rsidR="009B487A" w:rsidRPr="00722885" w14:paraId="37B25BCB" w14:textId="77777777" w:rsidTr="00CC5360">
        <w:tc>
          <w:tcPr>
            <w:tcW w:w="1868" w:type="dxa"/>
          </w:tcPr>
          <w:p w14:paraId="4F3EA1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1868" w:type="dxa"/>
          </w:tcPr>
          <w:p w14:paraId="30C302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4,55</w:t>
            </w:r>
          </w:p>
        </w:tc>
        <w:tc>
          <w:tcPr>
            <w:tcW w:w="1868" w:type="dxa"/>
          </w:tcPr>
          <w:p w14:paraId="44469B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1868" w:type="dxa"/>
          </w:tcPr>
          <w:p w14:paraId="63C9EA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543CDE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3E21F4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r>
      <w:tr w:rsidR="009B487A" w:rsidRPr="00722885" w14:paraId="3859AC79" w14:textId="77777777" w:rsidTr="00CC5360">
        <w:tc>
          <w:tcPr>
            <w:tcW w:w="1868" w:type="dxa"/>
          </w:tcPr>
          <w:p w14:paraId="507841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4000</w:t>
            </w:r>
          </w:p>
        </w:tc>
        <w:tc>
          <w:tcPr>
            <w:tcW w:w="1868" w:type="dxa"/>
          </w:tcPr>
          <w:p w14:paraId="306391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3,65</w:t>
            </w:r>
          </w:p>
        </w:tc>
        <w:tc>
          <w:tcPr>
            <w:tcW w:w="1868" w:type="dxa"/>
          </w:tcPr>
          <w:p w14:paraId="76E1BF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14,0</w:t>
            </w:r>
          </w:p>
        </w:tc>
        <w:tc>
          <w:tcPr>
            <w:tcW w:w="1868" w:type="dxa"/>
          </w:tcPr>
          <w:p w14:paraId="4D704D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685E23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7E9515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r>
      <w:tr w:rsidR="009B487A" w:rsidRPr="00722885" w14:paraId="6F12E0E8" w14:textId="77777777" w:rsidTr="00CC5360">
        <w:tc>
          <w:tcPr>
            <w:tcW w:w="1868" w:type="dxa"/>
          </w:tcPr>
          <w:p w14:paraId="633A6B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w:t>
            </w:r>
          </w:p>
        </w:tc>
        <w:tc>
          <w:tcPr>
            <w:tcW w:w="1868" w:type="dxa"/>
          </w:tcPr>
          <w:p w14:paraId="5329F4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w:t>
            </w:r>
          </w:p>
        </w:tc>
        <w:tc>
          <w:tcPr>
            <w:tcW w:w="1868" w:type="dxa"/>
          </w:tcPr>
          <w:p w14:paraId="0B9FE6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105FB0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w:t>
            </w:r>
          </w:p>
        </w:tc>
        <w:tc>
          <w:tcPr>
            <w:tcW w:w="1868" w:type="dxa"/>
          </w:tcPr>
          <w:p w14:paraId="41F42B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4F363E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EAE7F42" w14:textId="77777777" w:rsidTr="00CC5360">
        <w:tc>
          <w:tcPr>
            <w:tcW w:w="1868" w:type="dxa"/>
          </w:tcPr>
          <w:p w14:paraId="424B20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6000</w:t>
            </w:r>
          </w:p>
        </w:tc>
        <w:tc>
          <w:tcPr>
            <w:tcW w:w="1868" w:type="dxa"/>
          </w:tcPr>
          <w:p w14:paraId="571FA2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w:t>
            </w:r>
          </w:p>
        </w:tc>
        <w:tc>
          <w:tcPr>
            <w:tcW w:w="1868" w:type="dxa"/>
          </w:tcPr>
          <w:p w14:paraId="739FEA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24,5</w:t>
            </w:r>
          </w:p>
        </w:tc>
        <w:tc>
          <w:tcPr>
            <w:tcW w:w="1868" w:type="dxa"/>
          </w:tcPr>
          <w:p w14:paraId="58E8CA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75A3A8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227F74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810</w:t>
            </w:r>
          </w:p>
        </w:tc>
      </w:tr>
      <w:tr w:rsidR="009B487A" w:rsidRPr="00722885" w14:paraId="0F49C7ED" w14:textId="77777777" w:rsidTr="00CC5360">
        <w:tc>
          <w:tcPr>
            <w:tcW w:w="1868" w:type="dxa"/>
          </w:tcPr>
          <w:p w14:paraId="5754BF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7000</w:t>
            </w:r>
          </w:p>
        </w:tc>
        <w:tc>
          <w:tcPr>
            <w:tcW w:w="1868" w:type="dxa"/>
          </w:tcPr>
          <w:p w14:paraId="69425D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w:t>
            </w:r>
          </w:p>
        </w:tc>
        <w:tc>
          <w:tcPr>
            <w:tcW w:w="1868" w:type="dxa"/>
          </w:tcPr>
          <w:p w14:paraId="31FC4C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w:t>
            </w:r>
          </w:p>
        </w:tc>
        <w:tc>
          <w:tcPr>
            <w:tcW w:w="1868" w:type="dxa"/>
          </w:tcPr>
          <w:p w14:paraId="37147D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w:t>
            </w:r>
          </w:p>
        </w:tc>
        <w:tc>
          <w:tcPr>
            <w:tcW w:w="1868" w:type="dxa"/>
          </w:tcPr>
          <w:p w14:paraId="281D91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115545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612211E" w14:textId="77777777" w:rsidTr="00CC5360">
        <w:tc>
          <w:tcPr>
            <w:tcW w:w="1868" w:type="dxa"/>
          </w:tcPr>
          <w:p w14:paraId="1C8786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8000</w:t>
            </w:r>
          </w:p>
        </w:tc>
        <w:tc>
          <w:tcPr>
            <w:tcW w:w="1868" w:type="dxa"/>
          </w:tcPr>
          <w:p w14:paraId="164A0B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w:t>
            </w:r>
          </w:p>
        </w:tc>
        <w:tc>
          <w:tcPr>
            <w:tcW w:w="1868" w:type="dxa"/>
          </w:tcPr>
          <w:p w14:paraId="31B4C3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w:t>
            </w:r>
          </w:p>
        </w:tc>
        <w:tc>
          <w:tcPr>
            <w:tcW w:w="1868" w:type="dxa"/>
          </w:tcPr>
          <w:p w14:paraId="7EB02B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w:t>
            </w:r>
          </w:p>
        </w:tc>
        <w:tc>
          <w:tcPr>
            <w:tcW w:w="1868" w:type="dxa"/>
          </w:tcPr>
          <w:p w14:paraId="478E2A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33FC6D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87D0DB5" w14:textId="77777777" w:rsidTr="00CC5360">
        <w:tc>
          <w:tcPr>
            <w:tcW w:w="1868" w:type="dxa"/>
            <w:tcBorders>
              <w:bottom w:val="single" w:sz="12" w:space="0" w:color="auto"/>
            </w:tcBorders>
          </w:tcPr>
          <w:p w14:paraId="308D7E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9000</w:t>
            </w:r>
          </w:p>
        </w:tc>
        <w:tc>
          <w:tcPr>
            <w:tcW w:w="1868" w:type="dxa"/>
            <w:tcBorders>
              <w:bottom w:val="single" w:sz="12" w:space="0" w:color="auto"/>
            </w:tcBorders>
          </w:tcPr>
          <w:p w14:paraId="3F297F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Borders>
              <w:bottom w:val="single" w:sz="12" w:space="0" w:color="auto"/>
            </w:tcBorders>
          </w:tcPr>
          <w:p w14:paraId="3619D0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Borders>
              <w:bottom w:val="single" w:sz="12" w:space="0" w:color="auto"/>
            </w:tcBorders>
          </w:tcPr>
          <w:p w14:paraId="175987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Borders>
              <w:bottom w:val="single" w:sz="12" w:space="0" w:color="auto"/>
            </w:tcBorders>
          </w:tcPr>
          <w:p w14:paraId="60A745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Borders>
              <w:bottom w:val="single" w:sz="12" w:space="0" w:color="auto"/>
            </w:tcBorders>
          </w:tcPr>
          <w:p w14:paraId="0C2A94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bl>
    <w:p w14:paraId="5083B1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гр. Высотности - 1850 м, скор. 5,7, 2-я гр. Высотности - 5500, скор. 3,15</w:t>
      </w:r>
    </w:p>
    <w:p w14:paraId="6744C4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Переключение скорости нагнетателя - 3650 м, скор. 3,75</w:t>
      </w:r>
    </w:p>
    <w:p w14:paraId="543107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моторов: в процессе испытаний имел место ряд систематических дефектов моторов, которые в значит. Степени затрудняли производство испытаний. Основные из них:</w:t>
      </w:r>
    </w:p>
    <w:p w14:paraId="77FAB6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недостаток высотности моторов, несоответствие ТТТ</w:t>
      </w:r>
    </w:p>
    <w:p w14:paraId="682A2C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неодинаковость регулировки и нестабильность работы карбюратора АК-82БП</w:t>
      </w:r>
    </w:p>
    <w:p w14:paraId="34F4C8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Выброс масла из суфлеров на высоте выше 4000 м</w:t>
      </w:r>
    </w:p>
    <w:p w14:paraId="2DCCD7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запуск мотора при температуре ниже +10 чрезвычайно затруднен</w:t>
      </w:r>
    </w:p>
    <w:p w14:paraId="26650A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малый газ чрезвычайно недостаточен и требует систематического подрегулированя</w:t>
      </w:r>
    </w:p>
    <w:p w14:paraId="0D57E0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недопустимые течи масла из под прокладок различных соединений и особенно из под кожухов тяг</w:t>
      </w:r>
    </w:p>
    <w:p w14:paraId="7F520A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096BEA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Установка моторов М-82 на с-те Пе-8 вместо АМ-35А:</w:t>
      </w:r>
    </w:p>
    <w:p w14:paraId="0BFD5B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улучшает взлетные качества, сокращает длину разбега на 20%</w:t>
      </w:r>
    </w:p>
    <w:p w14:paraId="11B83B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увеличивает дальность полета по боевому профилю до 4400 км при бомбовой нагрузке 3000 кг, из которых на наружной подвеске - 2х500</w:t>
      </w:r>
    </w:p>
    <w:p w14:paraId="63DE60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повышает живучесть за счет отсутствия радиаторов</w:t>
      </w:r>
    </w:p>
    <w:p w14:paraId="653999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уменьшает макс. скорость на высотах от 4000 м и выше на 10 км/час и снижает потолок на 1000 м за счет недоработанности моторов М-82 по высотности и неудовлетворительной работы карбюратора</w:t>
      </w:r>
    </w:p>
    <w:p w14:paraId="6DB434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2...Рекомендовать установку М-82 на серийные с-ты Пе-8</w:t>
      </w:r>
    </w:p>
    <w:p w14:paraId="354DC3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Заводам № 19 и 33 устранить указанные выше дефекты М-82 и АК-82БП</w:t>
      </w:r>
    </w:p>
    <w:p w14:paraId="034838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заводу № 22 устранить дефекты, указанные выше, после чего передать один самолет в АДД к 15 ноября 1942 с.г. для опытной эксплоатации, в процессе которой НИИ ВВС совместно с АДД снять летные характеристики с-та (994,4).</w:t>
      </w:r>
    </w:p>
    <w:p w14:paraId="04A1077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0A771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проводились совместные испытания Пе-8 (ТБ-7) с М-82А (434,8).</w:t>
      </w:r>
    </w:p>
    <w:p w14:paraId="22AB480F" w14:textId="77777777" w:rsidR="00090C9B" w:rsidRPr="00722885" w:rsidRDefault="00090C9B" w:rsidP="00722885">
      <w:pPr>
        <w:pStyle w:val="Iauiue"/>
        <w:jc w:val="both"/>
        <w:rPr>
          <w:color w:val="000000" w:themeColor="text1"/>
          <w:sz w:val="16"/>
          <w:szCs w:val="16"/>
        </w:rPr>
      </w:pPr>
    </w:p>
    <w:p w14:paraId="1FF82C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октября 1942 года закончились совместные с АДД испытания Пе-8 4М-82, которые проходили с 3 апреля 1942. Всего было выполнено 22 полета, продолжительностью 58 часов. Полеты заняли 22 дня, остальные 204 дня ушли на доводку М-82 и всей винто-моторной установки. В испытаниях участвовали: ведущим летчиком-испытателем -М.В.Водопьянов, вторым пилотом летал Б.Г.Говоров, бортмеханик А.П.Беспалов, ведущий инженер от ЛИС завода №22 Н.Н.Аржанов, ведущий от ЛИИ по М-82 С.К.Туманский и др. В ходе испытаний нормальная полетная масса самолета была определена в 27000 кг, перегрузочная в 35000 кг, при экипаже 11 человек, массе бомб 2000 кг и запасе топлива по нормальному варианту 4095 кг и по перегрузочному 11595 кг.</w:t>
      </w:r>
    </w:p>
    <w:p w14:paraId="0ED2B9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материалах по испытаниям было в частности отмечено, что определение максимальной скорости полета было затруднено из-за высокой температуры головок цилиндров М-82, что не позволило выдерживать нормально положение высотных площадок на второй границе высотности. Недостаточная высотность на второй границе пс сравнению с расчетами на 400 м, с также некоторое переобогащение смеси привело к снижению максимальных скоростей на 8-10 км/ч.</w:t>
      </w:r>
    </w:p>
    <w:p w14:paraId="451C13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полетной массе 28200 кг на первой границе высотности удалось у земли получить максимальную скорость 358 км/ч, на 2000 м - 393 км/ч, на 3000 м - 400 км/ч и на 4500 м - 386 км/ч; максимальная скорость на высоте 2500 м - 410 км/ч. На второй границе высотности на высоте 5100 м максимальную скорость получили 390 км/ч. В процессе испытаний имел место ряд системных дефектов двигателей, которые в значительной степени затянули ииспытания.</w:t>
      </w:r>
    </w:p>
    <w:p w14:paraId="6119B1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Основными из них были: недостаточная высотность, несоответствующая ТУ; недостатки в работе карбюраторов; выбросы масла из суфлеров на высотах более 4000 м; тяжелый запуск при температурах ниже плюс 10 градусов; неустойчивая работа на малом газу; течи масла в маслосистеме из под прокладок различных соединений, особенно из под кожухов тяг. За все время испытаний было заменено восемь М-82, из них четыре из-за дефектов двигателей, остальные по замене на двигатели поздних выпусков.</w:t>
      </w:r>
    </w:p>
    <w:p w14:paraId="31CDC4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Одним из важнейших пунктов в испытаниях Пе-8 4М-82 стали испытания на максимальную дальность полета. Предстояло выбрать трассу в конце которой с самолета можно было бы сбросить 3000 кг бомб, и чтобы протяженность трассы была не менее 5000 км, при этом планировалась продолжительность полета порядка 15 часов.</w:t>
      </w:r>
    </w:p>
    <w:p w14:paraId="3DFA0A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После рассмотрения ряда маршрутов остановились на маршруте в Среднюю Азию со сбросом бомб в пустынной местности за Ташкентом.</w:t>
      </w:r>
    </w:p>
    <w:p w14:paraId="3C82C8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Эти испытания были как бы финалом работы по этой машине и проводились в октябре 1942 года, поэтому пришлось выбирать дни с хорошей погодой. Взлет и посадку решили производить с Казанского аэродрома ГВФ. Вылет назначили на вечер, с тем чтобы посадку проводить утром засветло. Самолет нормально стартовал и ушел в восточном направлении в сторону Ташкента. По радиосвязи в Казань шла постоянная информация о полете. Экипаж вышел на полигон и сбросил бомбы, затем лег на обратный курс. После прохода Аральского моря связь с Пе-8 прекратилась. Связь восстановилась только перед посадкой самолета на аэродром в Казани. И первой информацией с борта была радиограмма, что экипаж просит обеспечить посадку без круга. Информация всех встревожила, все подумали, что на борту не все в порядке. Но самолет, приблизившись к аэродрому сделал полагающийся круг, нормально зашел на посадку и вскоре подрулил к стоянке. Ни Водопьянов, ни Говоров такой радиограммы не давали. И только ведущий инженер Аржанов признался Незвалю, что он послал такую радиограмму так как ему показалось, что топлива осталось слишком мало. Все прошло хорошо, новые двигатели в этом дальнем полете не подвели, хотя по ходу испытаний с силовой установкой было всякое. Важнейший этап испытаний был закончен. В баках еще оставался остаток топлива, замерили. По результатам этого полета были зафиксированы следующие результаты по дальности полета Пе-8 4М-82: при полетной массе 35000 кг, с 2000 кг бомб, с запасом топлива 11950 кг, на высоте 4000 м при средней скорости 300 км/ч самолет обеспечивал дальность полета 5800 км; при полетной массе 36000 кг, с 3000 кг бомб (из них две ФАБ-500 на внешней подвеске), с тем же запасом топлива дальность получалась 4400км.</w:t>
      </w:r>
    </w:p>
    <w:p w14:paraId="005EF1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Подготовленный отчет по результатам испытаний был предъявлен в НИИ ВВС, НКАП и в штаб АДД.</w:t>
      </w:r>
    </w:p>
    <w:p w14:paraId="5555A5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заключении к отчету по испытаниям говорилось:</w:t>
      </w:r>
    </w:p>
    <w:p w14:paraId="51AEAA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"Установка на самолете Пе-8 М-82 вместо АМ-35А:</w:t>
      </w:r>
    </w:p>
    <w:p w14:paraId="34DF5C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улучшает взлетные характеристики, снижая длину разбега на 20%;</w:t>
      </w:r>
    </w:p>
    <w:p w14:paraId="77E4BD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 увеличивает дальность по боевому профилю до 4400 км при 3000 кг бомб;</w:t>
      </w:r>
    </w:p>
    <w:p w14:paraId="1D47CF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повышает живучесть самолета (отсутствие водосистемы);</w:t>
      </w:r>
    </w:p>
    <w:p w14:paraId="66FB5A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снижает максимальную скорость на 10 км/ч и снижает потолок на 1000 м за счет недоведенности М-82 и карбюратора АК-82БП;</w:t>
      </w:r>
    </w:p>
    <w:p w14:paraId="53B918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-учитывая, что полученные преимущества являются основными для данного типа самолета, как ночного дальнего бомбардировщика, рекомендовать установку М-82 на самолете Пе-8;</w:t>
      </w:r>
    </w:p>
    <w:p w14:paraId="7EFE35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заводам №19 и №33 устранить указанные дефекты М-82 и АК-82БП;</w:t>
      </w:r>
    </w:p>
    <w:p w14:paraId="794DF3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заводу №22 устранить дефекты, указанные выше, после чего передать один самолет в АДД к 15 ноября 1942 года, для опытной эксплуатации, в про-1 цессе которой НИИ ВВС совместно с АДЦ снять летные характеристики самолета" Материалы испытаний с замечаниями были приняты всеми этими инстанциями. После утверждения отчета заместителем командующего ВВС Репниным он явился основанием для запуска в серию Пе-8 4М-82 на последующие годы (7685).</w:t>
      </w:r>
    </w:p>
    <w:p w14:paraId="3E8EDC9C" w14:textId="77777777" w:rsidR="00090C9B" w:rsidRPr="00722885" w:rsidRDefault="00090C9B" w:rsidP="00722885">
      <w:pPr>
        <w:pStyle w:val="Iauiue"/>
        <w:jc w:val="both"/>
        <w:rPr>
          <w:color w:val="000000" w:themeColor="text1"/>
          <w:sz w:val="16"/>
          <w:szCs w:val="16"/>
        </w:rPr>
      </w:pPr>
    </w:p>
    <w:p w14:paraId="09B21E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октября 1942 г. закончились совместные испытания Пе-8 с М-82, которые шли с 3 апреля. Полёты заняли всего 22 дня, а остальные 204 ушли на доводку винтомоторной установки. Командиром самолёта был М.В. Водопьянов, вторым пилотом - Б.Г. Говоров, бортмехаником - А.П. Беспалов.</w:t>
      </w:r>
    </w:p>
    <w:p w14:paraId="113A4F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отчёте отмечено, что определение максимальной скорости затруднялось перегревом головок цилиндров моторов. Номинальная мощность на второй скорости нагнетателя достигалась на высоте на 400 м ниже расчётной. Это, а также некоторое переобогащение топливной смеси привело к снижению максимальных скоростей на 8 - 10 км/ч. При полётном весе 28 200 кг добились всего 410 км/ч.</w:t>
      </w:r>
    </w:p>
    <w:p w14:paraId="05122C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Моторы М-82 оставались ещё "сырыми". На высоте более 4000 м столкнулись с выбросом масла из суфлёров, оно подтекало из-под прокладок, при температуре ниже 10° двигатели плохо запускались, а на малом газу работали плохо при любой погоде. За время испытаний заменили восемь М-82, из них четыре из-за дефектов, а ещё четыре - на доработанные двигатели более позднего выпуска (11996).</w:t>
      </w:r>
    </w:p>
    <w:p w14:paraId="25543D7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BC63B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октября 1942 года закончились испытания Пе-8 4М-82, которые проводились как совместные с АДД с 3 апреля. Всего было выполнено 22 полета, продолжительностью 58 часов. Полеты заняли 22 дня, остальные 204 дня ушли на доводку М-82 и всей винтомоторной установки. В испытаниях участвовали: ведущим летчиком-испытателем — М.В.Водопьянов, вторым пилотом летал Б.Г.Говоров, бортмеханик А.П.Беспалов, ведущий инженер от ЛИС завода №22 Н.Н.Аржанов, ведущий от ЛИИ по М-82 С.К.Туманский и др. В ходе испытаний нормальная полетная масса самолета была определена в 27000 кг, перегрузочная в 35000 кг, при экипаже 11 человек, массе бомб 2000 кг и запасе топлива по нормальному варианту 4095 кг и по перегрузочному 11595 кг.</w:t>
      </w:r>
    </w:p>
    <w:p w14:paraId="6EDE8A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материалах по испытаниям было в частности отмечено, что определение максимальной скорости полета было затруднено из-за высокой температуры головок цилиндров М-82, что не позволило выдерживать нормально положение высотных площадок на второй границе высотности. Недостаточная высотность на второй границе по сравнению с расчетами на 400 м, а также некоторое переобогащение смеси привело к снижению максимальных скоростей на 8-10 км/ч.</w:t>
      </w:r>
    </w:p>
    <w:p w14:paraId="6A7E29BD" w14:textId="77777777" w:rsidR="00090C9B" w:rsidRPr="00722885" w:rsidRDefault="00090C9B" w:rsidP="00722885">
      <w:pPr>
        <w:pStyle w:val="ae"/>
        <w:spacing w:before="0" w:after="0"/>
        <w:jc w:val="both"/>
        <w:rPr>
          <w:color w:val="000000" w:themeColor="text1"/>
          <w:sz w:val="16"/>
          <w:szCs w:val="16"/>
        </w:rPr>
      </w:pPr>
      <w:r w:rsidRPr="00722885">
        <w:rPr>
          <w:color w:val="000000" w:themeColor="text1"/>
          <w:sz w:val="16"/>
          <w:szCs w:val="16"/>
        </w:rPr>
        <w:t xml:space="preserve">При полетной массе 28200 кг на первой границе высотности удалось у земли получить максимальную скорость 358 км/ч, на 2000 м — 393 км/ч, на 3000 м — 400 км/ч и на 4500 м — 386 км/ч, максимальная скорость на высоте 2500 м — 410 км/ч. На второй границе высотности на высоте 5100 м максимальную скорость получили 390 км/ч. В процессе испытании имел место ряд системных дефектов двигателей, которые в значительной </w:t>
      </w:r>
      <w:r w:rsidRPr="00722885">
        <w:rPr>
          <w:rStyle w:val="16"/>
          <w:rFonts w:ascii="Times New Roman" w:cs="Times New Roman"/>
          <w:color w:val="000000" w:themeColor="text1"/>
          <w:spacing w:val="0"/>
        </w:rPr>
        <w:t>степени затянули испытания.</w:t>
      </w:r>
    </w:p>
    <w:p w14:paraId="05141B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Основными из них были недостаточная высотность, несоответствующая ТУ, недостатки в работе карбюраторов, выбросы масла из суфлеров на высотах более 4000 м, тяжелый запуск при температурах ниже плюс 10 градусов, неустойчивая работа на малом газу; течи масла в маслосистеме из под прокладок различных соединений особенно из под кожухов тяг. За все время испытаний было заменено восемь М-82, из них четыре из-за дефектов двигателей, остальные по замене на двигатели поздних выпусков.</w:t>
      </w:r>
    </w:p>
    <w:p w14:paraId="6F7CDB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Одним из важнейших пунктов в испытаниях Пе-8 4М-82 стали испытания на максимальную дальность полета. Предстояло выбрать трассу, в конце которой с самолета можно было бы сбросить 3000 кг бомб, и чтобы протяженность трассы была не менее 5000 км, при этом планировалась продолжительность полета порядка 15 часов.</w:t>
      </w:r>
    </w:p>
    <w:p w14:paraId="23F6DF4A" w14:textId="77777777" w:rsidR="00090C9B" w:rsidRPr="00722885" w:rsidRDefault="00090C9B" w:rsidP="00722885">
      <w:pPr>
        <w:pStyle w:val="ae"/>
        <w:spacing w:before="0" w:after="0"/>
        <w:jc w:val="both"/>
        <w:rPr>
          <w:color w:val="000000" w:themeColor="text1"/>
          <w:sz w:val="16"/>
          <w:szCs w:val="16"/>
        </w:rPr>
      </w:pPr>
      <w:r w:rsidRPr="00722885">
        <w:rPr>
          <w:color w:val="000000" w:themeColor="text1"/>
          <w:sz w:val="16"/>
          <w:szCs w:val="16"/>
        </w:rPr>
        <w:t>После рассмотрения ряда маршрутов остановились на маршруте в Среднюю .Азию со сбросом бомб в пустынной местности за Ташкентом.</w:t>
      </w:r>
    </w:p>
    <w:p w14:paraId="50E0CF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Эти испытания были как бы финалом работы по этой машине и проводились в октябре 1942 года, поэтому пришлось выбирать дни с хорошей погодой. Взлет и посадку решили производить с Казанского аэродрома ГВФ. Вылет назначили на вечер с тем, чтобы посадку проводить утром засветло. Самолет нормально стартовал и ушел в восточном направлении в сторону Ташкента. По радиосвязи в Казань шла постоянная информация о полете. Экипаж вышел на полигон и сбросил бомбы, затем лег на обратный курс. После прохода Аральского моря связь с Пе-8 прекратилась. Связь восстановилась только перед посадкой самолета на аэродром в Казани. И первой информацией с борта была радиограмма что экипаж просит обеспечить посадку без круга. Информация всех встревожила все подумали что на борту не все в порядке. Но самолет, приблизившись к аэродрому сделал полагающийся круг, нормально зашел на посадку и вскоре подрулил к стоянке. Ни Водопьянов, ни Говоров такой радиограммы не давали. И только ведущий инженер Аржанов признался Незвалю что он послал такую радиограмму так как ему показалось что топлива осталось слишком мало. Все прошло хорошо, новые двигатели в этом дальнем полете не подвели, хотя по ходу испытаний с силовой установкой было всякое. Важнейший этап испытаний был закончен. В баках еще оставался остаток топлива, замерили. По результатам этого полета были зафиксированы следующие результаты по дальности полета Пе-8 4М-82: при полетной массе 35000 кг, с 2000 кг бомб, с запасом топлива 11950 кг на высоте 4000 м при средней скорости 300 км/ч самолет обеспечивал дальность полета 5800 км; при полетной массе 36000 кг с 3000 кг бомб (из них две ФАБ-500 на внешней подвеске) с тем же запасом топлива дальность получалась 4400 км.</w:t>
      </w:r>
    </w:p>
    <w:p w14:paraId="5B7810FD" w14:textId="77777777" w:rsidR="00090C9B" w:rsidRPr="00722885" w:rsidRDefault="00090C9B" w:rsidP="00722885">
      <w:pPr>
        <w:tabs>
          <w:tab w:val="left" w:pos="159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Подготовленный отчет по результатам испытаний был предъявлен в НИИ ВВС, НКАП и в штаб АДД, Материалы испытаний с замечаниями были приняты всеми этими инстанциями После утверждения отчета заместителем командующего ВВС Репниным он явился основанием для запуска в серию Пе-8 4М-82 на последующие годы. До конца года завод выпустил еще один Пе-8 с М-82 (на фоне трех с М-30 и 15 с АМ- 35 А), а в следующих 1943 и 1944 годах все Пе-8 строились и сдавались в части только с двигателями типа М-82. 8 апреля 1943 года Пе-8 4М-82 №42049 был принят АДД как эталон 1943 года. Первый серийный Пе-8 №42058 поступил на вооружение 746 авиационного полка в январе 1943 года, затем последовало еще несколько машин, поступивших в полк к лету. Всего за 1943 год завод №22 выпустил 18 Пе-8, и все они были с М-82</w:t>
      </w:r>
    </w:p>
    <w:p w14:paraId="2830A3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заключении к отчету по испытаниям говорилось:</w:t>
      </w:r>
    </w:p>
    <w:p w14:paraId="6CFCA3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"Установка на самолете Пе-8 М-82 вместо АМ- 35 А:</w:t>
      </w:r>
    </w:p>
    <w:p w14:paraId="33102BAA" w14:textId="77777777" w:rsidR="00090C9B" w:rsidRPr="00722885" w:rsidRDefault="00090C9B" w:rsidP="00722885">
      <w:pPr>
        <w:tabs>
          <w:tab w:val="left" w:pos="51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улучшает взлетные характеристики, снижая длину разбега на 20%;</w:t>
      </w:r>
    </w:p>
    <w:p w14:paraId="0E67E902" w14:textId="77777777" w:rsidR="00090C9B" w:rsidRPr="00722885" w:rsidRDefault="00090C9B" w:rsidP="00722885">
      <w:pPr>
        <w:tabs>
          <w:tab w:val="left" w:pos="39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увеличивает дальность по боевому профилю до 4400 км при 3000 кг бомб;</w:t>
      </w:r>
    </w:p>
    <w:p w14:paraId="4362B9CF" w14:textId="77777777" w:rsidR="00090C9B" w:rsidRPr="00722885" w:rsidRDefault="00090C9B" w:rsidP="00722885">
      <w:pPr>
        <w:tabs>
          <w:tab w:val="left" w:pos="54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повышает живучесть самолета (отсутствие водосистемы);</w:t>
      </w:r>
    </w:p>
    <w:p w14:paraId="3D7F0A00" w14:textId="77777777" w:rsidR="00090C9B" w:rsidRPr="00722885" w:rsidRDefault="00090C9B" w:rsidP="00722885">
      <w:pPr>
        <w:tabs>
          <w:tab w:val="left" w:pos="43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снижает максимальную скорость на 10 км/ч и снижает потолок на 1000 м за счет недоведенности М-82 и карбюратора АК-82БП;</w:t>
      </w:r>
    </w:p>
    <w:p w14:paraId="4DAF66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учитывая, что полученные преимущества являются основными для данного типа самолета, как ночного дальнего бомбардировщика, рекомендовать установку М-82 на самолете Пе-8;</w:t>
      </w:r>
    </w:p>
    <w:p w14:paraId="5D013D60" w14:textId="77777777" w:rsidR="00090C9B" w:rsidRPr="00722885" w:rsidRDefault="00090C9B" w:rsidP="00722885">
      <w:pPr>
        <w:tabs>
          <w:tab w:val="left" w:pos="51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заводам №19 и №33 устранить указанные дефекты М-82 и АК-82БП;</w:t>
      </w:r>
    </w:p>
    <w:p w14:paraId="139C74A1" w14:textId="77777777" w:rsidR="00090C9B" w:rsidRPr="00722885" w:rsidRDefault="00090C9B" w:rsidP="00722885">
      <w:pPr>
        <w:tabs>
          <w:tab w:val="left" w:pos="50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заводу №22 устранить дефекты, указанные выше, после чего передать один самолет в АДД к 15 ноября 1942 года для опытной эксплуатации, в процессе которой НИИ ВВС совместно с .АДД снять летные характеристики самолета" (12726).</w:t>
      </w:r>
    </w:p>
    <w:p w14:paraId="7432F56A" w14:textId="77777777" w:rsidR="00090C9B" w:rsidRPr="00722885" w:rsidRDefault="00090C9B" w:rsidP="00722885">
      <w:pPr>
        <w:pStyle w:val="ae"/>
        <w:spacing w:before="0" w:after="0"/>
        <w:jc w:val="both"/>
        <w:rPr>
          <w:color w:val="000000" w:themeColor="text1"/>
          <w:sz w:val="16"/>
          <w:szCs w:val="16"/>
        </w:rPr>
      </w:pPr>
    </w:p>
    <w:p w14:paraId="61FDD4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октября 1942 закончились контрольные испытания Ту-2 N 308 (100308) третьей серии, которые шли с 13 сентября 1942. В последнем полете машину повредили при вынужденной посадке. Налетали 32 часа за 44 полета (1835,21).</w:t>
      </w:r>
    </w:p>
    <w:p w14:paraId="61D988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Достигли скорости 521 км/час на 3200 м, а у земли - 444 км/час. По результатам испытаний сделали следующее заключение:</w:t>
      </w:r>
    </w:p>
    <w:p w14:paraId="715764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"Серийный самолет Ту-2 N 100308 по своим ЛТД стоит на уровне современных 2-х моторных бомбардировщиков и имеет возможности для дальнейшего модифицирования.</w:t>
      </w:r>
    </w:p>
    <w:p w14:paraId="40B885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результате испытаний установлено, что самолет не удовлетворяет условиям договора ГУ ВВС КА с НКАП о поставке Ту-2 на 1942: а) по максимальной скорости на высоте 6000 м (меньше на 66 км/час), по практическому потолку (меньше на 800 м). По взлетно-посадочным данным и скороподъемности самолет соответствует условиям договора...</w:t>
      </w:r>
    </w:p>
    <w:p w14:paraId="01F205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Просить НКАП дать указание ГК т. А.Н.Т. о быстрейшем устранении раскрутки винтов. Обеспечить возможность пользоваться прицелом ПС-1. Дать указание ГК завода 19 об устранении ненормальной работы М-82 на 2-й границе высотности.</w:t>
      </w:r>
    </w:p>
    <w:p w14:paraId="3CDA49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Ввиду того, что по ЛТД самолет Ту-2 представляет интерес для ВВС КА, обязать ГК продолжить работу по доводке модификации самолета, выделив в его распоряжение необходимое количество самолетов.</w:t>
      </w:r>
    </w:p>
    <w:p w14:paraId="1D5530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Доложить Главнокомандующему ВВС КА о необходимости указания частям не применять пикирование, до устранения дефекта раскрутки винтов..." (1835,22).</w:t>
      </w:r>
    </w:p>
    <w:p w14:paraId="682600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другим данным 28 сентября 1942</w:t>
      </w:r>
    </w:p>
    <w:p w14:paraId="14FB37C9" w14:textId="77777777" w:rsidR="00090C9B" w:rsidRPr="00722885" w:rsidRDefault="00090C9B" w:rsidP="00722885">
      <w:pPr>
        <w:pStyle w:val="Iauiue"/>
        <w:jc w:val="both"/>
        <w:rPr>
          <w:color w:val="000000" w:themeColor="text1"/>
          <w:sz w:val="16"/>
          <w:szCs w:val="16"/>
        </w:rPr>
      </w:pPr>
    </w:p>
    <w:p w14:paraId="0497E14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1AA30AA" w14:textId="77777777" w:rsidR="00090C9B" w:rsidRPr="00722885" w:rsidRDefault="00090C9B" w:rsidP="00722885">
      <w:pPr>
        <w:pStyle w:val="Iauiue"/>
        <w:jc w:val="both"/>
        <w:rPr>
          <w:iCs/>
          <w:color w:val="000000" w:themeColor="text1"/>
          <w:sz w:val="16"/>
          <w:szCs w:val="16"/>
        </w:rPr>
      </w:pPr>
    </w:p>
    <w:p w14:paraId="0919DBBA" w14:textId="77777777" w:rsidR="009F7EBD" w:rsidRPr="00722885" w:rsidRDefault="009F7EBD"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24 октября 1942 заместитель наркома Ж. Котин отправил директору ЧКЗ С. Махонину и директору завода № 200 Щербакову письмо следующего содержания:</w:t>
      </w:r>
    </w:p>
    <w:p w14:paraId="400F2C9C" w14:textId="77777777" w:rsidR="009F7EBD" w:rsidRPr="00722885" w:rsidRDefault="009F7EBD"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lastRenderedPageBreak/>
        <w:t>«Постановлением ГКО № 2316 сс от 17/</w:t>
      </w:r>
      <w:r w:rsidRPr="00722885">
        <w:rPr>
          <w:rFonts w:ascii="Times New Roman" w:cs="Times New Roman"/>
          <w:color w:val="000000" w:themeColor="text1"/>
          <w:spacing w:val="0"/>
          <w:lang w:val="en-US"/>
        </w:rPr>
        <w:t>IX</w:t>
      </w:r>
      <w:r w:rsidRPr="00722885">
        <w:rPr>
          <w:rFonts w:ascii="Times New Roman" w:cs="Times New Roman"/>
          <w:color w:val="000000" w:themeColor="text1"/>
          <w:spacing w:val="0"/>
        </w:rPr>
        <w:t>-42 г. и приказом Народного Комис</w:t>
      </w:r>
      <w:r w:rsidRPr="00722885">
        <w:rPr>
          <w:rFonts w:ascii="Times New Roman" w:cs="Times New Roman"/>
          <w:color w:val="000000" w:themeColor="text1"/>
          <w:spacing w:val="0"/>
        </w:rPr>
        <w:softHyphen/>
        <w:t>сара Танковой промышленности т. Заль</w:t>
      </w:r>
      <w:r w:rsidRPr="00722885">
        <w:rPr>
          <w:rFonts w:ascii="Times New Roman" w:cs="Times New Roman"/>
          <w:color w:val="000000" w:themeColor="text1"/>
          <w:spacing w:val="0"/>
        </w:rPr>
        <w:softHyphen/>
        <w:t>цман И.М., Кировский завод и завод № 200 должны были к 1/1Х-42 г. изготовить опыт</w:t>
      </w:r>
      <w:r w:rsidRPr="00722885">
        <w:rPr>
          <w:rFonts w:ascii="Times New Roman" w:cs="Times New Roman"/>
          <w:color w:val="000000" w:themeColor="text1"/>
          <w:spacing w:val="0"/>
        </w:rPr>
        <w:softHyphen/>
        <w:t>ный образец огнеметного танка КВ-8 и пред</w:t>
      </w:r>
      <w:r w:rsidRPr="00722885">
        <w:rPr>
          <w:rFonts w:ascii="Times New Roman" w:cs="Times New Roman"/>
          <w:color w:val="000000" w:themeColor="text1"/>
          <w:spacing w:val="0"/>
        </w:rPr>
        <w:softHyphen/>
        <w:t>ставить его совместно с чертежами в НКТП и ГАБТУ КА для утверждения.</w:t>
      </w:r>
    </w:p>
    <w:p w14:paraId="212F45CC" w14:textId="77777777" w:rsidR="009F7EBD" w:rsidRPr="00722885" w:rsidRDefault="009F7EBD"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Постановление Государственного коми</w:t>
      </w:r>
      <w:r w:rsidRPr="00722885">
        <w:rPr>
          <w:rFonts w:ascii="Times New Roman" w:cs="Times New Roman"/>
          <w:color w:val="000000" w:themeColor="text1"/>
          <w:spacing w:val="0"/>
        </w:rPr>
        <w:softHyphen/>
        <w:t>тета обороны и приказ Народного Комис</w:t>
      </w:r>
      <w:r w:rsidRPr="00722885">
        <w:rPr>
          <w:rFonts w:ascii="Times New Roman" w:cs="Times New Roman"/>
          <w:color w:val="000000" w:themeColor="text1"/>
          <w:spacing w:val="0"/>
        </w:rPr>
        <w:softHyphen/>
        <w:t>сара по данному вопросу заводами Киров</w:t>
      </w:r>
      <w:r w:rsidRPr="00722885">
        <w:rPr>
          <w:rFonts w:ascii="Times New Roman" w:cs="Times New Roman"/>
          <w:color w:val="000000" w:themeColor="text1"/>
          <w:spacing w:val="0"/>
        </w:rPr>
        <w:softHyphen/>
        <w:t>ским и № 200 не выполнены, хотя оснований для невыполнения не было.</w:t>
      </w:r>
    </w:p>
    <w:p w14:paraId="2D9576E1" w14:textId="77777777" w:rsidR="009F7EBD" w:rsidRPr="00722885" w:rsidRDefault="009F7EBD"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Принятое Кировским заводом вынужден</w:t>
      </w:r>
      <w:r w:rsidRPr="00722885">
        <w:rPr>
          <w:rFonts w:ascii="Times New Roman" w:cs="Times New Roman"/>
          <w:color w:val="000000" w:themeColor="text1"/>
          <w:spacing w:val="0"/>
        </w:rPr>
        <w:softHyphen/>
        <w:t xml:space="preserve">ное решение использовать старые ремонтные башни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не может решить полностью во</w:t>
      </w:r>
      <w:r w:rsidRPr="00722885">
        <w:rPr>
          <w:rFonts w:ascii="Times New Roman" w:cs="Times New Roman"/>
          <w:color w:val="000000" w:themeColor="text1"/>
          <w:spacing w:val="0"/>
        </w:rPr>
        <w:softHyphen/>
        <w:t>проса программы месяца, а подготовитель</w:t>
      </w:r>
      <w:r w:rsidRPr="00722885">
        <w:rPr>
          <w:rFonts w:ascii="Times New Roman" w:cs="Times New Roman"/>
          <w:color w:val="000000" w:themeColor="text1"/>
          <w:spacing w:val="0"/>
        </w:rPr>
        <w:softHyphen/>
        <w:t>ной работы по выпуску огнеметных машин КВ-8С не производится и снова заводы бу</w:t>
      </w:r>
      <w:r w:rsidRPr="00722885">
        <w:rPr>
          <w:rFonts w:ascii="Times New Roman" w:cs="Times New Roman"/>
          <w:color w:val="000000" w:themeColor="text1"/>
          <w:spacing w:val="0"/>
        </w:rPr>
        <w:softHyphen/>
        <w:t>дут находиться под угрозой срыва программы по огнеметным танкам.</w:t>
      </w:r>
    </w:p>
    <w:p w14:paraId="59FE726C" w14:textId="77777777" w:rsidR="009F7EBD" w:rsidRPr="00722885" w:rsidRDefault="009F7EBD"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Прошу принять все зависящие от Вас меры по обеспечению выпуска огнеметных танков КВ-8С и привлечь к строгой ответственности виновников срыва приказа наркома и поста</w:t>
      </w:r>
      <w:r w:rsidRPr="00722885">
        <w:rPr>
          <w:rFonts w:ascii="Times New Roman" w:cs="Times New Roman"/>
          <w:color w:val="000000" w:themeColor="text1"/>
          <w:spacing w:val="0"/>
        </w:rPr>
        <w:softHyphen/>
        <w:t>новления ГКО.</w:t>
      </w:r>
    </w:p>
    <w:p w14:paraId="11788D87" w14:textId="77777777" w:rsidR="009F7EBD" w:rsidRPr="00722885" w:rsidRDefault="009F7EBD"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 Вашем решении поставьте в известность НКТП в 3-дневный срок» (15226).</w:t>
      </w:r>
    </w:p>
    <w:p w14:paraId="58DA23EC" w14:textId="77777777" w:rsidR="009F7EBD" w:rsidRPr="00722885" w:rsidRDefault="009F7EBD" w:rsidP="00722885">
      <w:pPr>
        <w:pStyle w:val="27"/>
        <w:shd w:val="clear" w:color="auto" w:fill="auto"/>
        <w:spacing w:after="0" w:line="240" w:lineRule="auto"/>
        <w:ind w:firstLine="0"/>
        <w:rPr>
          <w:rFonts w:ascii="Times New Roman" w:cs="Times New Roman"/>
          <w:color w:val="000000" w:themeColor="text1"/>
          <w:spacing w:val="0"/>
        </w:rPr>
      </w:pPr>
    </w:p>
    <w:p w14:paraId="43A0F13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октября 1942 г. была подготовлена ДОКЛАДНАЯ ЗАПИСКА ЗАМЕСТИТЕЛЯ НАЧАЛЬНИКА ГАБТУ ПРЕДСЕДАТЕЛЮ ГКО СССР ПО РЕЗУЛЬТАТАМ ИСПЫТАНИЙ ПРИБОРА НОЧНОГО ВИДЕНИЯ ДЛЯ ТАНКА Т-34</w:t>
      </w:r>
    </w:p>
    <w:p w14:paraId="1051EA8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Постановлением Государственного комитета обороны Союза ССР № 2181сс от 18.8.1942 г. особое конструкторское Бюро НКЭП изготовило 25 комплектов приборов ночного вож</w:t>
      </w:r>
      <w:r w:rsidRPr="00722885">
        <w:rPr>
          <w:rFonts w:ascii="Times New Roman" w:hAnsi="Times New Roman"/>
          <w:color w:val="000000" w:themeColor="text1"/>
          <w:sz w:val="16"/>
          <w:szCs w:val="16"/>
        </w:rPr>
        <w:softHyphen/>
        <w:t>дения для танков Т-34.</w:t>
      </w:r>
    </w:p>
    <w:p w14:paraId="319FDF7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Приборы в количестве 24 комплектов были установлены на командирских танках Т-34 в 19 и 157 танковых бригадах 26 танкового корпуса 5 танковой армии, подвергались предварительным испыта</w:t>
      </w:r>
      <w:r w:rsidRPr="00722885">
        <w:rPr>
          <w:rFonts w:ascii="Times New Roman" w:hAnsi="Times New Roman"/>
          <w:color w:val="000000" w:themeColor="text1"/>
          <w:sz w:val="16"/>
          <w:szCs w:val="16"/>
        </w:rPr>
        <w:softHyphen/>
        <w:t>ниям и оставлены в вышеуказанных войсковых частях для дальнейшей эксплуатации и получения данных о возможности использования их в ночном бою.</w:t>
      </w:r>
    </w:p>
    <w:p w14:paraId="5D4CB39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процессе проведенных испытаний установлено:</w:t>
      </w:r>
    </w:p>
    <w:p w14:paraId="6291AB9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Приборы по своему качеству изготовлены хорошо и просты в обращении.</w:t>
      </w:r>
    </w:p>
    <w:p w14:paraId="0971ECD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Приборы обеспечивают вождение танков в колонне при полной темноте и с закрытыми люка</w:t>
      </w:r>
      <w:r w:rsidRPr="00722885">
        <w:rPr>
          <w:rFonts w:ascii="Times New Roman" w:hAnsi="Times New Roman"/>
          <w:color w:val="000000" w:themeColor="text1"/>
          <w:sz w:val="16"/>
          <w:szCs w:val="16"/>
        </w:rPr>
        <w:softHyphen/>
        <w:t>ми со скоростью 12-15 км в час, но при значительном напряжении зрения водителя.</w:t>
      </w:r>
    </w:p>
    <w:p w14:paraId="72970A0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На стоянке, в темную ночь, через прибор отчетливо виден человек и его движения, деревья, кусты, строения и машины на дистанции до 50 метров.</w:t>
      </w:r>
    </w:p>
    <w:p w14:paraId="2767C0C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движении танков упомянутые выше объекты различаются через прибор до 30 метров.</w:t>
      </w:r>
    </w:p>
    <w:p w14:paraId="525B41D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Полотно грунтовой дороги, не имеющее явно выраженной колеи как на стоянке, так и в осо</w:t>
      </w:r>
      <w:r w:rsidRPr="00722885">
        <w:rPr>
          <w:rFonts w:ascii="Times New Roman" w:hAnsi="Times New Roman"/>
          <w:color w:val="000000" w:themeColor="text1"/>
          <w:sz w:val="16"/>
          <w:szCs w:val="16"/>
        </w:rPr>
        <w:softHyphen/>
        <w:t>бенности при движении танка, различаются слабо.</w:t>
      </w:r>
    </w:p>
    <w:p w14:paraId="11FAEEF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Прибор не обеспечен налобником на оба окуляра, вследствие чего водитель из-за сильной тря</w:t>
      </w:r>
      <w:r w:rsidRPr="00722885">
        <w:rPr>
          <w:rFonts w:ascii="Times New Roman" w:hAnsi="Times New Roman"/>
          <w:color w:val="000000" w:themeColor="text1"/>
          <w:sz w:val="16"/>
          <w:szCs w:val="16"/>
        </w:rPr>
        <w:softHyphen/>
        <w:t>ски в танке не может вести непрерывное наблюдение при движении на больших скоростях из-за опасения удариться глазами о прибор.</w:t>
      </w:r>
    </w:p>
    <w:p w14:paraId="62AE433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При установке прибора, на место зеркального смотрового прибора, поле зрения через него смещается относительно центра танка.</w:t>
      </w:r>
    </w:p>
    <w:p w14:paraId="525635E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Фары необходимо защищать от воздействия пуль, осколков и взрывных волн.</w:t>
      </w:r>
    </w:p>
    <w:p w14:paraId="505EC85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Требуется уменьшить габариты блока питания и ящик для укладки прибора и запасных частей к нему.</w:t>
      </w:r>
    </w:p>
    <w:p w14:paraId="5F38A13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Без устранения указанных выше конструктивных недостатков приборы не могут быть приняты для массовой установки на танках Т-34.</w:t>
      </w:r>
    </w:p>
    <w:p w14:paraId="1A8EE07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этого, командование 26 танкового корпуса внесло предложение разработать и изготовить прибор такого же типа для командира танка: как для наблюдения, так и для стрельбы ночью.</w:t>
      </w:r>
    </w:p>
    <w:p w14:paraId="7645919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Считаю необходимым обязать ОКБ НКЭП в месячный срок устранить все отмеченные констру</w:t>
      </w:r>
      <w:r w:rsidRPr="00722885">
        <w:rPr>
          <w:rFonts w:ascii="Times New Roman" w:hAnsi="Times New Roman"/>
          <w:color w:val="000000" w:themeColor="text1"/>
          <w:sz w:val="16"/>
          <w:szCs w:val="16"/>
        </w:rPr>
        <w:softHyphen/>
        <w:t>ктивные недостатки в приборах ночного вождения и изготовить в 4 квартале 1942 года партию в ко</w:t>
      </w:r>
      <w:r w:rsidRPr="00722885">
        <w:rPr>
          <w:rFonts w:ascii="Times New Roman" w:hAnsi="Times New Roman"/>
          <w:color w:val="000000" w:themeColor="text1"/>
          <w:sz w:val="16"/>
          <w:szCs w:val="16"/>
        </w:rPr>
        <w:softHyphen/>
        <w:t>личестве 60 комплектов для установки в танках с целью получения окончательного ответа о возмож</w:t>
      </w:r>
      <w:r w:rsidRPr="00722885">
        <w:rPr>
          <w:rFonts w:ascii="Times New Roman" w:hAnsi="Times New Roman"/>
          <w:color w:val="000000" w:themeColor="text1"/>
          <w:sz w:val="16"/>
          <w:szCs w:val="16"/>
        </w:rPr>
        <w:softHyphen/>
        <w:t>ности и целесообразности использования их в танковых войсках.</w:t>
      </w:r>
    </w:p>
    <w:p w14:paraId="65EE2FD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прошу Вас обязать Наркомат электропромышленности разработать к 1 декабря 1942 г. в ОКБ НКЭП новый образец прибора командиру танка для наблюдения и ведения огня из тан</w:t>
      </w:r>
      <w:r w:rsidRPr="00722885">
        <w:rPr>
          <w:rFonts w:ascii="Times New Roman" w:hAnsi="Times New Roman"/>
          <w:color w:val="000000" w:themeColor="text1"/>
          <w:sz w:val="16"/>
          <w:szCs w:val="16"/>
        </w:rPr>
        <w:softHyphen/>
        <w:t>ка, в ночное время, с дистанцией до 200-250 м.</w:t>
      </w:r>
    </w:p>
    <w:p w14:paraId="7DADD53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ГАБТУ КА генерал-майор танковых войск Коробков</w:t>
      </w:r>
    </w:p>
    <w:p w14:paraId="10D9B331"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11355. Д. 1423. Л. 5-6. Подлинник (11211).</w:t>
      </w:r>
    </w:p>
    <w:p w14:paraId="0ABC1D5F" w14:textId="77777777" w:rsidR="00090C9B" w:rsidRPr="00722885" w:rsidRDefault="00090C9B" w:rsidP="00722885">
      <w:pPr>
        <w:pStyle w:val="afff2"/>
        <w:jc w:val="both"/>
        <w:rPr>
          <w:i w:val="0"/>
          <w:iCs w:val="0"/>
          <w:color w:val="000000" w:themeColor="text1"/>
          <w:spacing w:val="0"/>
          <w:kern w:val="0"/>
          <w:position w:val="0"/>
          <w:sz w:val="16"/>
          <w:szCs w:val="16"/>
        </w:rPr>
      </w:pPr>
    </w:p>
    <w:p w14:paraId="6DBF6C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октября 1942 вышло Постановление ГКО № 2449 Об организации Отдела боеприпасов в Госплане СССР. РГАНИР, Фонд ГКО, д. 65, лл. 106 (11012).</w:t>
      </w:r>
    </w:p>
    <w:p w14:paraId="63AB897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6C46D1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8992E24" w14:textId="77777777" w:rsidR="00090C9B" w:rsidRPr="00722885" w:rsidRDefault="00090C9B" w:rsidP="00722885">
      <w:pPr>
        <w:pStyle w:val="Iauiue"/>
        <w:jc w:val="both"/>
        <w:rPr>
          <w:iCs/>
          <w:color w:val="000000" w:themeColor="text1"/>
          <w:sz w:val="16"/>
          <w:szCs w:val="16"/>
        </w:rPr>
      </w:pPr>
    </w:p>
    <w:p w14:paraId="278C1CC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24 октября </w:t>
      </w:r>
      <w:r w:rsidRPr="00722885">
        <w:rPr>
          <w:rFonts w:ascii="Times New Roman" w:hAnsi="Times New Roman"/>
          <w:color w:val="000000" w:themeColor="text1"/>
          <w:sz w:val="16"/>
          <w:szCs w:val="16"/>
        </w:rPr>
        <w:t>в 1942 году утреннее сообщение Совинформбюро:</w:t>
      </w:r>
    </w:p>
    <w:p w14:paraId="4538E85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24 октября наши войска вели бои с противником в районе Сталинграда и в районе Моздока. На других фронтах никаких изменений не произошло.</w:t>
      </w:r>
    </w:p>
    <w:p w14:paraId="3335461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 немецкий транспорт водоизмещением в 10.000 тонн.</w:t>
      </w:r>
    </w:p>
    <w:p w14:paraId="1DCEB1F4"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отбили все атаки противника. В результате боя уничтожено 11 немецких танков, 13 автомашин, 2 артиллерийские батареи, разрушено 13 ДЗОТ'ов и истреблено до двух рот немецкой пехоты. Группа автоматчиков противника прорвалась к окраине одного завода. Нашими подразделениями эта группа немецких автоматчиков полностью уничтожена. Огневыми налётами гвардейцев-миномётчиков подбито и сожжено 5 немецких танков и истреблено до 200 гитлеровцев.</w:t>
      </w:r>
    </w:p>
    <w:p w14:paraId="1D8DB010"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Н-ской части ворвались в укреплённый район противника. На поле боя немцы оставили 240 трупов своих солдат и офицеров. Захвачены 3 орудия, 6 пулемётов, миномёты и винтовки. На другом участке Н-ская стрелковая часть отбила контратаку противника и уничтожила более 400 румынских солдат и офицеров. Захвачены трофеи и пленные. Советские лётчики в воздушных боях сбили 8 немецких самолётов.</w:t>
      </w:r>
    </w:p>
    <w:p w14:paraId="5FA8282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лётчики наносили удары по наземным силам противника. Уничтожены 24 автомашины, подавлен огонь зенитной и миномётной батарей, рассеяно и частью уничтожено до роты немецкой пехоты.</w:t>
      </w:r>
    </w:p>
    <w:p w14:paraId="51197846"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после упорных боёв численно превосходящие силы противника переправились через один водный рубеж. Наши войска контратаками сдерживали противника и нанесли ему большой урон. Только на участке Н-ского подразделения истреблено 180 гитлеровцев. В районе одной высоты окружена и уничтожена группа немецких автоматчиков.</w:t>
      </w:r>
    </w:p>
    <w:p w14:paraId="5927E4E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отдельных участках Западного фронта огнём нашей артиллерии и действиями разведчиков уничтожено 7 пулемётных точек, разрушены 6 блиндажей и наблюдательный пункт противника. Немцы потеряли убитыми 200 солдат и офицеров. Наши бойцы захватили 2 пулемёта, миномёт и несколько винтовок. Советские лётчики уничтожили на аэродроме противника 5 немецких самолётов.</w:t>
      </w:r>
    </w:p>
    <w:p w14:paraId="6A864D9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Смоленской области, в боях с немецко-фашистскими захватчиками в течение месяца истребил до 1.000 гитлеровцев, уничтожил танкетку, несколько мотоциклов и автомашин. Другой отряд смоленских партизан истребил 119 немецких солдат, взорвал танк, уничтожил 27 автомашин и 6 повозок с боеприпасами. Группа партизан этого отряда истребила немецкую охрану и взорвала мост через реку.</w:t>
      </w:r>
    </w:p>
    <w:p w14:paraId="3D5B4623"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зверствах немецко-венгерских захватчиков в деревне Гнилуша, Воронежской области. Оккупанты согнали всех жителей деревни в помещение школы, поставили часового, а в это время ходили из дома в дом и грабили имущество колхозников. К вечеру гитлеровцы выгнали крестьян во двор школы, приказали им снять верхнюю одежду и обувь. Всю одежду вместе с другими награбленными вещами немцы и венгры погрузили на подводы и автомашины. Ночью гитлеровские бандиты врывались в дома, насиловали женщин и творили бесчинства. За одну ночь фашистские мерзавцы убили 30 колхозников, в том числе Половикова Сергея Дмитриевича и трёх его детей, Мирошникову Веру Алексеевну, её двухлетнего сына и четырёхлетнюю дочь и других советских граждан и их малолетних детей.</w:t>
      </w:r>
    </w:p>
    <w:p w14:paraId="719E93F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железнодорожном перегоне Цеханув—Насельск (Польша) польские патриоты обстреляли зажигательными пулями немецкий эшелон с боеприпасами. Состав загорелся и взорвался. Взрывом разрушено 9 вагонов. 17 вагонов сошли с рельсов.» (14809).</w:t>
      </w:r>
    </w:p>
    <w:p w14:paraId="6B9F501B"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59D112DE"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24 октября </w:t>
      </w:r>
      <w:r w:rsidRPr="00722885">
        <w:rPr>
          <w:rFonts w:ascii="Times New Roman" w:hAnsi="Times New Roman"/>
          <w:color w:val="000000" w:themeColor="text1"/>
          <w:sz w:val="16"/>
          <w:szCs w:val="16"/>
        </w:rPr>
        <w:t>в 1942 году вечернее сообщение Совинформбюро:</w:t>
      </w:r>
    </w:p>
    <w:p w14:paraId="44CDC09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24 октября наши войска вели бои с противником в районе Сталинграда и в районе Моздока. На других фронтах никаких изменений не произошло.</w:t>
      </w:r>
    </w:p>
    <w:p w14:paraId="24632B7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потоплено два немецких транспорта общим водоизмещением в 16.000 тонн; нашими кораблями в Чёрном море потоплен транспорт противника водоизмещением в 5.000 тонн.</w:t>
      </w:r>
    </w:p>
    <w:p w14:paraId="0B8650D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23 октября нашей авиацией на различных участках фронта уничтожено 30 автомашин с войсками и грузами, подавлен огонь 8 артиллерийских батарей, подожжён железнодорожный эшелон, рассеяно и частью уничтожено до роты пехоты противника.</w:t>
      </w:r>
    </w:p>
    <w:p w14:paraId="3AD70F5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происходили ожесточённые бои. Противник, подтянув новые войска, атаковал наши позиции в районе заводов силою до двух пехотных дивизий и 80 танков. На поддержку наземных войск гитлеровцы бросили также крупные силы авиации. Защитники Сталинграда в упорных оборонительных боях нанесли немцам большие потери. Бои доходили до рукопашных схваток. К исходу дня наши части отбили атаки противника и удержали свои позиции. Только небольшой группе немецкой пехоты удалось прорваться к окраине одного из заводов. В ходе этих боёв наши бойцы, но неполным данным, истребили свыше 1.500 немецких солдат и офицеров, подбили и сожгли 17 танков и уничтожили 25 автомашин противника.</w:t>
      </w:r>
    </w:p>
    <w:p w14:paraId="67740C90"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Южнее Сталинграда наши подразделения разгромили несколько разведывательных групп противника и истребили до двух рот немецкой пехоты.</w:t>
      </w:r>
    </w:p>
    <w:p w14:paraId="6A12E499"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одном из участков наши войска вели активные боевые действия и несколько продвинулись вперёд. Наши танкисты и пехотинцы, преодолев минные и проволочные заграждения, ворвались в расположение противника. Гитлеровцы четыре раза бросались в контратаки, но, потеряв убитыми до 250 солдат и офицеров, отступили. В этом бою подбито 16 немецких танков и 2 бронемашины.</w:t>
      </w:r>
    </w:p>
    <w:p w14:paraId="71D8BE2F"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два дня активных боевых действий части Н-ского соединения, по неполным данным, уничтожили до 7.000 солдат и офицеров противника, подбили и сожгли 57 немецких танков, уничтожили более 100 орудий, 70 пулемётов и 26 немецких самолётов. Нашими бойцами захвачено более 150 немецких танков, подбитых в предыдущих боях и использованных гитлеровцами как огневые точки.</w:t>
      </w:r>
    </w:p>
    <w:p w14:paraId="230513E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войска обороняли занимаемые позиции. Артиллеристы Н-ской части уничтожили 3 пулемётные точки и 9 автомашин, подавили огонь 4 артиллерийских и 2 миномётных батарей противника.</w:t>
      </w:r>
    </w:p>
    <w:p w14:paraId="14D93E1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отбивали атаки противника. В районе одной высоты гитлеровцы силою до батальона пехоты несколько раз атаковали наши позиции. Пулемётным и миномётным огнём наших подразделений атаки противника отбиты. Уничтожено до роты немецких солдат и офицеров.</w:t>
      </w:r>
    </w:p>
    <w:p w14:paraId="6D2FC28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группа наших бойцов переправилась на западный берег Дона, проникла к переднему краю обороны противника и гранатами уничтожила 15 немецких солдат. За последние 10 дней нашими снайперами уничтожено свыше 1.300 немецких солдат и офицеров, в том числе за истекший день истреблено снайперами 140 гитлеровцев.</w:t>
      </w:r>
    </w:p>
    <w:p w14:paraId="5C46D4D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 гвардии капитан Пятков и штурман гвардии старший лейтенант Шевченко торпедировали в Финском заливе вражеское судно-угольщик. Транспорт водоизмещением в 2.500 тонн затонул.</w:t>
      </w:r>
    </w:p>
    <w:p w14:paraId="24610D0F"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партизан, действующий в Сумской области, в течение сентября месяца нанёс ряд ударов немецким захватчикам. Партизаны произвели налёт на немецкий гарнизон и истребили 41 оккупанта. Группа партизан организовала крушение воинского эшелона на важной железнодорожной магистрали. Разбито 2 паровоза и 46 платформ с военным имуществом. Партизаны другого отряда пустили под откос воинский эшелон в составе 26 вагонов.</w:t>
      </w:r>
    </w:p>
    <w:p w14:paraId="3A3ECC12"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в плен солдат особой венгерской роты Имре Д. рассказал: «Немцы и венгры разграбили и разрушили город Старый Оскол. На улицах валяются обломки мебели, изорванные книги и остатки имущества жителей. Когда мы находились в Кочетовке, немцы пригнали сюда много русских крестьян, выселенных из разных сёл. Шли взрослые, много детей и стариков. Некоторые крестьяне несли на руках кое-какие свои пожитки. Немецкие солдаты вырывали у них из рук мешки и заставляли снимать обувь».</w:t>
      </w:r>
    </w:p>
    <w:p w14:paraId="16279D4B"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Норвегии сообщают о брожении в некоторых немецких частях, подлежащих отправке на советско-германский фронт. В городе Осло солдаты немецкого батальона отказались ехать на фронт и забаррикадировались в здании школы Фолькелеккен. Эсэсовцы и гестаповцы окружили школу, разоружили солдат и учинили над ними кровавую расправу. В сентябре в Норвегии задержано и арестовано несколько тысяч солдат, дезертировавших из немецкой армии.» (14809).</w:t>
      </w:r>
    </w:p>
    <w:p w14:paraId="08C9F60E"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46F12637" w14:textId="77777777" w:rsidR="004371F8" w:rsidRPr="00722885" w:rsidRDefault="004371F8" w:rsidP="00722885">
      <w:pPr>
        <w:pStyle w:val="ae"/>
        <w:spacing w:before="0" w:after="0"/>
        <w:jc w:val="both"/>
        <w:textAlignment w:val="baseline"/>
        <w:rPr>
          <w:color w:val="000000" w:themeColor="text1"/>
          <w:sz w:val="16"/>
          <w:szCs w:val="16"/>
        </w:rPr>
      </w:pPr>
      <w:r w:rsidRPr="00722885">
        <w:rPr>
          <w:color w:val="000000" w:themeColor="text1"/>
          <w:sz w:val="16"/>
          <w:szCs w:val="16"/>
        </w:rPr>
        <w:t>24 октября 1942 свой Ил-2 на вражеские позиции в районе Сталинграда направил Григорий Обуховский из 807-го шап (19522).</w:t>
      </w:r>
    </w:p>
    <w:p w14:paraId="2C53EF7D" w14:textId="77777777" w:rsidR="004371F8" w:rsidRPr="00722885" w:rsidRDefault="004371F8" w:rsidP="00722885">
      <w:pPr>
        <w:pStyle w:val="ae"/>
        <w:spacing w:before="0" w:after="0"/>
        <w:jc w:val="both"/>
        <w:textAlignment w:val="baseline"/>
        <w:rPr>
          <w:color w:val="000000" w:themeColor="text1"/>
          <w:sz w:val="16"/>
          <w:szCs w:val="16"/>
        </w:rPr>
      </w:pPr>
    </w:p>
    <w:p w14:paraId="2B174A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ночь на 24 ок</w:t>
      </w:r>
      <w:r w:rsidRPr="00722885">
        <w:rPr>
          <w:color w:val="000000" w:themeColor="text1"/>
          <w:sz w:val="16"/>
          <w:szCs w:val="16"/>
        </w:rPr>
        <w:softHyphen/>
        <w:t xml:space="preserve">тября 1942, когда 19 Ил-2 228-й </w:t>
      </w:r>
      <w:r w:rsidRPr="00722885">
        <w:rPr>
          <w:iCs/>
          <w:color w:val="000000" w:themeColor="text1"/>
          <w:sz w:val="16"/>
          <w:szCs w:val="16"/>
        </w:rPr>
        <w:t>шад</w:t>
      </w:r>
      <w:r w:rsidRPr="00722885">
        <w:rPr>
          <w:color w:val="000000" w:themeColor="text1"/>
          <w:sz w:val="16"/>
          <w:szCs w:val="16"/>
        </w:rPr>
        <w:t xml:space="preserve"> совмест</w:t>
      </w:r>
      <w:r w:rsidRPr="00722885">
        <w:rPr>
          <w:color w:val="000000" w:themeColor="text1"/>
          <w:sz w:val="16"/>
          <w:szCs w:val="16"/>
        </w:rPr>
        <w:softHyphen/>
        <w:t>но с 10 экипажами ночных бомбарди</w:t>
      </w:r>
      <w:r w:rsidRPr="00722885">
        <w:rPr>
          <w:color w:val="000000" w:themeColor="text1"/>
          <w:sz w:val="16"/>
          <w:szCs w:val="16"/>
        </w:rPr>
        <w:softHyphen/>
        <w:t xml:space="preserve">ровщиков У-2 271 -и </w:t>
      </w:r>
      <w:r w:rsidRPr="00722885">
        <w:rPr>
          <w:iCs/>
          <w:color w:val="000000" w:themeColor="text1"/>
          <w:sz w:val="16"/>
          <w:szCs w:val="16"/>
        </w:rPr>
        <w:t>нбад</w:t>
      </w:r>
      <w:r w:rsidRPr="00722885">
        <w:rPr>
          <w:color w:val="000000" w:themeColor="text1"/>
          <w:sz w:val="16"/>
          <w:szCs w:val="16"/>
        </w:rPr>
        <w:t xml:space="preserve"> нанесли весь</w:t>
      </w:r>
      <w:r w:rsidRPr="00722885">
        <w:rPr>
          <w:color w:val="000000" w:themeColor="text1"/>
          <w:sz w:val="16"/>
          <w:szCs w:val="16"/>
        </w:rPr>
        <w:softHyphen/>
        <w:t>ма результативный бомбоштурмовой удар по немецким войскам в 20-30 км северо-западнее Сталинграда. Подсвет</w:t>
      </w:r>
      <w:r w:rsidRPr="00722885">
        <w:rPr>
          <w:color w:val="000000" w:themeColor="text1"/>
          <w:sz w:val="16"/>
          <w:szCs w:val="16"/>
        </w:rPr>
        <w:softHyphen/>
        <w:t>ка целей для бронированных "Илов" и ударных У-2 в течение всего налета осу</w:t>
      </w:r>
      <w:r w:rsidRPr="00722885">
        <w:rPr>
          <w:color w:val="000000" w:themeColor="text1"/>
          <w:sz w:val="16"/>
          <w:szCs w:val="16"/>
        </w:rPr>
        <w:softHyphen/>
        <w:t>ществлялась специально выделенными экипажами У-2-осветителей, поочеред</w:t>
      </w:r>
      <w:r w:rsidRPr="00722885">
        <w:rPr>
          <w:color w:val="000000" w:themeColor="text1"/>
          <w:sz w:val="16"/>
          <w:szCs w:val="16"/>
        </w:rPr>
        <w:softHyphen/>
        <w:t>но сменявших друг друга над целью (6467).</w:t>
      </w:r>
    </w:p>
    <w:p w14:paraId="378964A7" w14:textId="77777777" w:rsidR="00090C9B" w:rsidRPr="00722885" w:rsidRDefault="00090C9B" w:rsidP="00722885">
      <w:pPr>
        <w:pStyle w:val="Iauiue"/>
        <w:jc w:val="both"/>
        <w:rPr>
          <w:color w:val="000000" w:themeColor="text1"/>
          <w:sz w:val="16"/>
          <w:szCs w:val="16"/>
        </w:rPr>
      </w:pPr>
    </w:p>
    <w:p w14:paraId="2CE732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ночь на 24 октября 1942 г. экипаж самолета Пе-3 из 27-й ораэ произвел аэрофотосъемку аэродрома Майкоп, где были обнаружены 28 Bf 109, 4 Ju 88 и 7 связных и транспортных самолетов. В период с 22 ч 30 мин до полуночи по аэродрому наносили удары отдельные бомбардировщики ДБ-3Ф и штурмовики И-15бис, подавившие прожектора и частично - огонь зенитной артиллерии и пулеметов. В 23 ч 30 мин над аэродромом на высоте около 600 м прошли два транспортных самолета, сбросивших парашютный десант. С ПС-84 высадилось 15 парашютистов-диверсантов (трое струсили и отказались десантироваться), второй самолет типа ТБ-3 был подожжен на боевом курсе. Прежде, чем он ударился о землю и сгорел, его успели покинуть с парашютами 8-10 десантников. В полной мере подавить противодействие противника ударами с воздуха не удалось. Парашютисты еще в воздухе подверглись жесточайшему обстрелу с земли, но все же сумели частично выполнить боевую задачу по уничтожению самолетов врага. Совместными усилиями бомбардировщиков, штурмовиков и диверсионных групп капитанов Орлова и Десятникова удалось сжечь 12 и повредить 10 самолетов противника, что подтвердили фотоснимки, полученные экипажем разведчика Пе-3 в ходе утреннего облета аэродрома Майкоп (4476).</w:t>
      </w:r>
    </w:p>
    <w:p w14:paraId="3C96F3BE" w14:textId="77777777" w:rsidR="00090C9B" w:rsidRPr="00722885" w:rsidRDefault="00090C9B" w:rsidP="00722885">
      <w:pPr>
        <w:pStyle w:val="Iauiue"/>
        <w:jc w:val="both"/>
        <w:rPr>
          <w:color w:val="000000" w:themeColor="text1"/>
          <w:sz w:val="16"/>
          <w:szCs w:val="16"/>
        </w:rPr>
      </w:pPr>
    </w:p>
    <w:p w14:paraId="0611A7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ночь на 24 октября 1942 г. командование ВВС ЧФ спланировало и осуществило смелую операцию. Накануне вечером экипаж самолета Пе-3 из 27-й ораэ произвел аэрофотосъемку аэродрома Майкоп, где были обнаружены 28 Bf 109, 4 Ju 88, 7 связных и транспортных самолетов. В период с 22 ч 30 мин до полуночи по аэродрому наносили удары отдельные бомбардировщики ДБ-ЗФ и штурмовики И-15бис, подавившие прожекторы и частично огонь зенитной артиллерии и пулеметов. В 23 ч 30 мин над аэродромом на высоте около 600 м прошли два транспортных самолета, сбросившие парашютный десант. С ПС-84 высадилось 15 парашютистов-ди- версантов (трое отказались десантироваться), а второй самолет ТБ-3 неприятель поджег на боевом курсе. Прежде чем он ударился о землю и сгорел, его успели покинуть с парашютами 8-10 десантников. В полной мере подавить противодействие врага ударами с воздуха не удалось. Парашютисты еще в воздухе подверглись жесточайшему обстрелу с земли, но все же сумели частично выполнить боевую задачу. Совместными усилиями бомбардировщиков, штурмовиков и диверсионных групп капитанов Орлова и Десятникова удалось сжечь 12 и повредить 10 самолетов противника, что подтвердили фотоснимки, полученные экипажем разведчика Пе-3 в ходе утреннего облета аэродрома Майкоп (12042).</w:t>
      </w:r>
    </w:p>
    <w:p w14:paraId="6E4DEDA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EA3F8B7"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24 октября 1942 на ПС-43 Валти, который при эвакуации с Украины попал в Грозный (где машину присвоило летное училище ВВС) и после долгой переписки вернулся в Северо-Кавказскую авиагруппу ГВФ, при заходе на посадку в Сочи напали два "Мессершмитта". ПС-43 был сбит и упал в море, пилот Никонов и пассажир погибли (11470).</w:t>
      </w:r>
    </w:p>
    <w:p w14:paraId="3389497E" w14:textId="77777777" w:rsidR="00090C9B" w:rsidRPr="00722885" w:rsidRDefault="00090C9B" w:rsidP="00722885">
      <w:pPr>
        <w:pStyle w:val="afff2"/>
        <w:jc w:val="both"/>
        <w:rPr>
          <w:i w:val="0"/>
          <w:iCs w:val="0"/>
          <w:color w:val="000000" w:themeColor="text1"/>
          <w:spacing w:val="0"/>
          <w:kern w:val="0"/>
          <w:position w:val="0"/>
          <w:sz w:val="16"/>
          <w:szCs w:val="16"/>
        </w:rPr>
      </w:pPr>
    </w:p>
    <w:p w14:paraId="34D525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октября 1942 г. вышел ПРИКАЗ О СИСТЕМЕ ОПЛАТЫ ТРУДА И ПРЕМИРОВАНИИ СТРОИТЕЛЕЙ, ЗАНЯТЫХ В ОБОРОНИТЕЛЬНОМ СТРОИТЕЛЬСТВЕ НКО И ИНЖЕНЕРНЫХ ВОЙСК КРАСНОЙ АРМИИ № 0855</w:t>
      </w:r>
    </w:p>
    <w:p w14:paraId="700927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исполнение постановления Государственного Комитета Обороны Союза ССР от 9 октября № 2396с “О системе оплаты труда строителей, занятых на возведении оборонительных рубежей в органах Управления оборонительного строительства и инженерных войск Красной Армии” в целях повышения производительности труда военно-строительных организаций, выполняющих работы по строительству укрепленных рубежей, приказываю:</w:t>
      </w:r>
    </w:p>
    <w:p w14:paraId="2A430A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При установлении размеров оплаты труда военным строителям управлений оборонительного строительства за выполненные работы исходить ич действующих норм выработки и расценок на строительные работы, при этом расценки повысить на 25 %.</w:t>
      </w:r>
    </w:p>
    <w:p w14:paraId="69036D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Ввести премирование рабочих, инженерно-технических и административно-хозяйственных работников за выполнение работы в срок, а также за досрочное и качественное выполнение работ по строительству оборонительных рубежей.</w:t>
      </w:r>
    </w:p>
    <w:p w14:paraId="438196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Установить для рабочих следующий размер премирования:</w:t>
      </w:r>
    </w:p>
    <w:p w14:paraId="5D7E07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за сокращение установленного срока до 10 % — по одному проценту от установленной оплаты за каждый процент сокращения срока;</w:t>
      </w:r>
    </w:p>
    <w:p w14:paraId="46E30F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за сокращение установленного срока от 11 до 20 % — по два процента от установленной оплаты за каждый процент сокращения срока;</w:t>
      </w:r>
    </w:p>
    <w:p w14:paraId="0FE668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 сокращение установленного срока от 21 % и выше — по три процента от установленной оплаты за каждый процент сокращения срока.</w:t>
      </w:r>
    </w:p>
    <w:p w14:paraId="15548C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За выполнение работ в установленный срок и досрочно премировать начальников, главных инженеров управлений военно-полевого строительства, участков военно-строительных работ, строительных колонн, производителей работ и младших производителей работ (десятников) в размере 25—50 % оклада, причитающегося им за время, установленное для выполнения работ.</w:t>
      </w:r>
    </w:p>
    <w:p w14:paraId="6799A9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Премирование остального инженерно-технического и административно-хозяйственного состава управлений военно-полевого строительства, участков военно-строительных работ и строительных колонн установить в размере 25—50 % месячного оклада, в зависимости от показателей их работы по обеспечению выполнения работ по строительству оборонительных рубежей в срок и досрочно.</w:t>
      </w:r>
    </w:p>
    <w:p w14:paraId="0CF7F6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III. Премии выплачивать:</w:t>
      </w:r>
    </w:p>
    <w:p w14:paraId="1FC5BE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рабочим — по утверждении начальником участка военно-строительных работ (УВСР);</w:t>
      </w:r>
    </w:p>
    <w:p w14:paraId="0028E1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инженерно-техническому и административно-хозяйственному составу строительных колонн и участков военно-строительных работ — по утверждении начальником Управления военно-полевого строительства (УВПС);</w:t>
      </w:r>
    </w:p>
    <w:p w14:paraId="3B4E99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начальникам строительных колонн и участков военно-строительных работ, главным инженерам участков военно-строительных работ, инженерно-техническому и административно-хозяйственному составу управлений военно-полевого строительства — по утверждении начальником Управления оборонительного строительства (УОС).</w:t>
      </w:r>
    </w:p>
    <w:p w14:paraId="515BCF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Установить жесткий контроль за расходованием фонда заработной платы и суммами, выплачиваемыми на премирование, выделив последние на отдельный учет и отчетность.</w:t>
      </w:r>
    </w:p>
    <w:p w14:paraId="4A40CA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Заместитель Народного комиссара обороны генерал-майор инженерных войск М. ВОРОБЬЕВ (10691).</w:t>
      </w:r>
    </w:p>
    <w:p w14:paraId="32A01D2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38BA3C2" w14:textId="77777777" w:rsidR="004371F8" w:rsidRPr="00722885" w:rsidRDefault="004371F8"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5F161899" w14:textId="77777777" w:rsidR="004371F8" w:rsidRPr="00722885" w:rsidRDefault="004371F8" w:rsidP="00722885">
      <w:pPr>
        <w:pStyle w:val="Iauiue"/>
        <w:jc w:val="both"/>
        <w:rPr>
          <w:iCs/>
          <w:color w:val="000000" w:themeColor="text1"/>
          <w:sz w:val="16"/>
          <w:szCs w:val="16"/>
        </w:rPr>
      </w:pPr>
    </w:p>
    <w:p w14:paraId="6DBA9E97" w14:textId="77777777" w:rsidR="004371F8" w:rsidRPr="00722885" w:rsidRDefault="004371F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октября 1942. Председатель Комитета по делам кинематографии при СНК СССР И. Большаков посылает первому секретарю МГК ВКП(б) А. С. Щербакову записку: "Эйзенштейн очень просит утвердить на роль Ефросиньи в фильме "Иван Грозный" актрису Раневскую. Он прислал фотографии Раневской в роли Ефросиньи, которые я направляю Вам. Кроме того, он прислал ее пробу на пленке, которую я пошлю Вам завтра. Мне кажется, что семитские черты у Раневской очень ярко выступают, особенно на крупных планах, и поэтому утверждать Раневскую на роль Ефросиньи не следует, хотя Эйзенштейн будет апеллировать во все инстанции" (18696).</w:t>
      </w:r>
    </w:p>
    <w:p w14:paraId="2B62EE1C" w14:textId="77777777" w:rsidR="004371F8" w:rsidRPr="00722885" w:rsidRDefault="004371F8" w:rsidP="00722885">
      <w:pPr>
        <w:spacing w:after="0" w:line="240" w:lineRule="auto"/>
        <w:jc w:val="both"/>
        <w:rPr>
          <w:rFonts w:ascii="Times New Roman" w:hAnsi="Times New Roman"/>
          <w:color w:val="000000" w:themeColor="text1"/>
          <w:sz w:val="16"/>
          <w:szCs w:val="16"/>
        </w:rPr>
      </w:pPr>
    </w:p>
    <w:p w14:paraId="0D55675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06A2CCE" w14:textId="77777777" w:rsidR="00090C9B" w:rsidRPr="00722885" w:rsidRDefault="00090C9B" w:rsidP="00722885">
      <w:pPr>
        <w:pStyle w:val="Iauiue"/>
        <w:jc w:val="both"/>
        <w:rPr>
          <w:iCs/>
          <w:color w:val="000000" w:themeColor="text1"/>
          <w:sz w:val="16"/>
          <w:szCs w:val="16"/>
        </w:rPr>
      </w:pPr>
    </w:p>
    <w:p w14:paraId="2445972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24 октября 1942 под Эль-Аламейном попал в засаду и умер от сердечного приступа командующий немецких войск в Северной Африке генерал Штюмме (4962).</w:t>
      </w:r>
    </w:p>
    <w:p w14:paraId="1CC4957A" w14:textId="77777777" w:rsidR="00090C9B" w:rsidRPr="00722885" w:rsidRDefault="00090C9B" w:rsidP="00722885">
      <w:pPr>
        <w:pStyle w:val="Iauiue"/>
        <w:tabs>
          <w:tab w:val="left" w:pos="11199"/>
        </w:tabs>
        <w:jc w:val="both"/>
        <w:rPr>
          <w:color w:val="000000" w:themeColor="text1"/>
          <w:sz w:val="16"/>
          <w:szCs w:val="16"/>
        </w:rPr>
      </w:pPr>
    </w:p>
    <w:p w14:paraId="3CA728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октября 1942 270 прибывших в октябре в Северную Африку первых Шерманов приняли боевое крещение в бою под Эль-Аламейном. Вместе со средними танками М3 они составляли более половины всех танков 8-й английской армии. Позже англичане установили на "Шерманы" свою 76,2-мм пушку (что потребовало смены башни), и получили таким способом самый сильный танк английской армии в ходе войны (3905).</w:t>
      </w:r>
    </w:p>
    <w:p w14:paraId="73D47B16" w14:textId="77777777" w:rsidR="00090C9B" w:rsidRPr="00722885" w:rsidRDefault="00090C9B" w:rsidP="00722885">
      <w:pPr>
        <w:pStyle w:val="Iauiue"/>
        <w:jc w:val="both"/>
        <w:rPr>
          <w:color w:val="000000" w:themeColor="text1"/>
          <w:sz w:val="16"/>
          <w:szCs w:val="16"/>
        </w:rPr>
      </w:pPr>
    </w:p>
    <w:p w14:paraId="3982F3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октября 1942 в ходе битвы за Гвадалканал был потоплен авианосец Хорнет и 25 октября 1942 японские атаки в Гвадалканале были опять отбиты (2261).</w:t>
      </w:r>
    </w:p>
    <w:p w14:paraId="6FC64C19" w14:textId="77777777" w:rsidR="00090C9B" w:rsidRPr="00722885" w:rsidRDefault="00090C9B" w:rsidP="00722885">
      <w:pPr>
        <w:pStyle w:val="Iauiue"/>
        <w:jc w:val="both"/>
        <w:rPr>
          <w:color w:val="000000" w:themeColor="text1"/>
          <w:sz w:val="16"/>
          <w:szCs w:val="16"/>
        </w:rPr>
      </w:pPr>
    </w:p>
    <w:p w14:paraId="2562602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A0FA8C9" w14:textId="77777777" w:rsidR="00090C9B" w:rsidRPr="00722885" w:rsidRDefault="00090C9B" w:rsidP="00722885">
      <w:pPr>
        <w:pStyle w:val="Iauiue"/>
        <w:jc w:val="both"/>
        <w:rPr>
          <w:iCs/>
          <w:color w:val="000000" w:themeColor="text1"/>
          <w:sz w:val="16"/>
          <w:szCs w:val="16"/>
        </w:rPr>
      </w:pPr>
    </w:p>
    <w:p w14:paraId="55CB01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октября 1942 прошли испытания танка Т-34С боевой стрельбой. Метеорологические условия: пасмурно, низкая облачность, без осадков, видимость 1200-1500 м. Прямых попаданий - не было (7518, 37).</w:t>
      </w:r>
    </w:p>
    <w:p w14:paraId="67F56934" w14:textId="77777777" w:rsidR="00090C9B" w:rsidRPr="00722885" w:rsidRDefault="00090C9B" w:rsidP="00722885">
      <w:pPr>
        <w:pStyle w:val="Iauiue"/>
        <w:jc w:val="both"/>
        <w:rPr>
          <w:color w:val="000000" w:themeColor="text1"/>
          <w:sz w:val="16"/>
          <w:szCs w:val="16"/>
        </w:rPr>
      </w:pPr>
    </w:p>
    <w:p w14:paraId="4CD1E3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октября 1942 Кагановичским райкомом ВКП(б) была составлена справка о состоянии МПВО на заводе «Нефтегаз». Согласно ей, на объекте в объектовых формированиях местной противовоздушной обороны состояли 129 человек, в т.ч. в команде управления – 17, в медико-санитарной команде – 24, в аварийно-восстановительной команде – 30, дегазационно-химическом взводе – 32 и в объектовой пожарной команде – 26. 15% последней, т.е. четыре человека, круглосуточно находились на казарменном положении, сменяя друг друга. На заводе имелись 97 щелей и три вышковых наблюдательных поста.</w:t>
      </w:r>
    </w:p>
    <w:p w14:paraId="2B0910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Отмечались и недостатки:  «Светомаскировка к зимним условиям полностью не подготовлена. Например, в цехе № 117оконные стекла покрашены, щитов нет… Завод Нефтегаз не полностью обеспечен средствами пожаротушения: недостаточно ведер, лопат, песка. Пожарный насос на большом водоеме должен был быть поставлен еще в июле 1942 г., не установлен до сих пор». В то же время на соседних предприятиях состояние МПВО было куда лучше. Так, на авиазаводе № 21 объектовая пожарная команда насчитывала 70 человек, ведер, лопат и песка было запасено достаточно. На артиллерийском заводе № 92 им. Сталина, помимо объектовой команды, противопожарную службу круглосуточно несла военизированная пожарная команда НКВД, средств пожаротушения во всех цехах также имелось много. Хуже обстояло дело с жилыми поселками. По нормативам в ЖКО заводов № 21 и 92 должны были быть 24 пожарных водоема, в наличии же имелись лишь два. Наркомат топливной промышленности также опасался за судьбу горьковских заводов. Правда, его чиновники не нашли ничего лучше, как  «в целях сохранения гостайны» переименовать завод № 2 «Нефтегаз» в завод № 87 Треста № 1. Вероятно, таким способом надеялись скрыть профиль работы предприятия и ввести в заблуждение вражеских шпионов, как будто те руководствовались исключительно вывесками на проходной или изучали отраслевую переписку (11774).</w:t>
      </w:r>
    </w:p>
    <w:p w14:paraId="15CB0C6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9A8196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0E31E32" w14:textId="77777777" w:rsidR="00090C9B" w:rsidRPr="00722885" w:rsidRDefault="00090C9B" w:rsidP="00722885">
      <w:pPr>
        <w:pStyle w:val="Iauiue"/>
        <w:jc w:val="both"/>
        <w:rPr>
          <w:iCs/>
          <w:color w:val="000000" w:themeColor="text1"/>
          <w:sz w:val="16"/>
          <w:szCs w:val="16"/>
        </w:rPr>
      </w:pPr>
    </w:p>
    <w:p w14:paraId="140A2A3A"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25 октября </w:t>
      </w:r>
      <w:r w:rsidRPr="00722885">
        <w:rPr>
          <w:rFonts w:ascii="Times New Roman" w:hAnsi="Times New Roman"/>
          <w:color w:val="000000" w:themeColor="text1"/>
          <w:sz w:val="16"/>
          <w:szCs w:val="16"/>
        </w:rPr>
        <w:t>в 1942 году утреннее сообщение Совинформбюро:</w:t>
      </w:r>
    </w:p>
    <w:p w14:paraId="6502A02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25 октября наши войска вели бои с противником в районе Сталинграда и в районе Моздока. На других фронтах никаких изменений не произошло.</w:t>
      </w:r>
    </w:p>
    <w:p w14:paraId="30C7C586"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продолжали вести бои с противником. Немецкая пехота, прорвавшаяся вчера на окраину одного из заводов, нашими подразделениями выбита с этой позиции и отброшена. На другом участке гитлеровцы силою до батальона пытались атаковать наши опорные пункты. Бойцы Н-ской части подпустили противника на близкое расстояние, а затем ружейно-пулемётным огнём истребили более роты гитлеровцев. Лейтенант Дурагов из противотанкового ружья подбил 2 немецких танка. Нашими лётчиками и зенитчиками сбито 15 немецких самолётов.</w:t>
      </w:r>
    </w:p>
    <w:p w14:paraId="7AF18416"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подразделения ночью проникли в расположение противникаи истребили 120 гитлеровцев. Захвачены 6 пулемётов, 2 противотанковых ружья и другие трофеи.</w:t>
      </w:r>
    </w:p>
    <w:p w14:paraId="1E653B1A"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немцы предприняли контратаку, стремясь вернуть потерянные накануне позиции. Значительная часть наступавших гитлеровцев была истреблена еще на подступах к одной высоте. Контрударом танкистов и пехотинцев противник был опрокинут и отброшен. Уничтожено 5 танков и до 400 немецких солдат и офицеров.</w:t>
      </w:r>
    </w:p>
    <w:p w14:paraId="2C9918B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наши части отбивали атаки противника. В районе высоты Н. уничтожено до роты фашистских автоматчиков, захвачено 7 пулемётов, 3 радиостанции и другое военное имущество. На другом участке гитлеровцы атаковали подразделения под командованием тт. Молчанина и Гуреева. Наши бойцы контрударом отбросили противника на исходные позиции. На поле боя немцы оставили миномёт, 6 пулемётов и 80 трупов своих солдат и офицеров.</w:t>
      </w:r>
    </w:p>
    <w:p w14:paraId="08559D7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отдельных участках Западного фронта артиллерийским и ружейно-пулемётным огнём уничтожено до 300 немецких солдат и офицеров, разрушены 5 блиндажей и наблюдательный пункт противника.</w:t>
      </w:r>
    </w:p>
    <w:p w14:paraId="5785A8AE"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Советская штурмовая и бомбардировочная авиация совершила налёт на аэродромы противника. Уничтожено 10 немецких самолётов. Кроме того, в воздушном бою сбит вражеский истребитель.</w:t>
      </w:r>
    </w:p>
    <w:p w14:paraId="3DA4F0A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Огнём артиллеристов Краснознамённого Балтийского флота подавлено 9 артиллерийских батарей противника и разбито 3 прожектора. Артиллеристы под командованием капитана Марчукова несколькими залпами накрыли немецкий железнодорожный эшелон, находившийся на одной станции. В районе цели был отмечен взрыв большой силы.</w:t>
      </w:r>
    </w:p>
    <w:p w14:paraId="7BB02D0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одного отряда, действующего в Ленинградской области, пустилапод откос 2 воинских эшелона немецко-фашистских оккупантов. Один эшелон насчитывал 38 вагонов, второй — 34 вагона и платформы.</w:t>
      </w:r>
    </w:p>
    <w:p w14:paraId="30BC258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октября отряд орловских партизан совершил нападение на немецкий гарнизон, расположенный в населённом пункте. Партизаны уничтожили до 200 немецких солдат и офицеров, 2 бронемашины, взорвали склад с боеприпасами,захватили 82 лошади, винтовки и патроны.</w:t>
      </w:r>
    </w:p>
    <w:p w14:paraId="3CF8B10B"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Немецко-румынские захватчики закрыли все школы в Одесской области. Они сожглии растащили школьное имущество, учебные пособия, библиотеки. Оккупанты запретилипод страхом смертной казни обучать украинских детей грамоте на украинском языке. Недавно румынская жандармерия арестовала в деревне Марьяновка 55-летнюю учительницу Анну Георгиевну Головко. Её обвинили в том, что она тайно обучает детей колхозников и пользуется советскими учебниками. Три недели румынскиепалачи продержали советскую учительницу в тюрьме, а потом её повесили. Шесть учеников и учениц Головко, а также их родителей румынские мерзавцы подвергли публичной порке.</w:t>
      </w:r>
    </w:p>
    <w:p w14:paraId="2BACB649"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разрушили все железнодорожные сооружения и разобралипути на участке между станциями Врховине и Перушич. В районе этой железнойдороги партизаны вели ожесточённые бои против итальянских оккупантов. Итальянцы потеряли только убитыми свыше 150 солдат и офицеров. Партизаны уничтожили 13грузовиков, 2 бронемашины, захватили 55 винтовок, 6 пулемётов и другое военное имущество.» (14810).</w:t>
      </w:r>
    </w:p>
    <w:p w14:paraId="1BD9C658"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0C9ADDD0"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25 октября </w:t>
      </w:r>
      <w:r w:rsidRPr="00722885">
        <w:rPr>
          <w:rFonts w:ascii="Times New Roman" w:hAnsi="Times New Roman"/>
          <w:color w:val="000000" w:themeColor="text1"/>
          <w:sz w:val="16"/>
          <w:szCs w:val="16"/>
        </w:rPr>
        <w:t>в 1942 году вечернее сообщение Совинформбюро:</w:t>
      </w:r>
    </w:p>
    <w:p w14:paraId="2C3C1EC0"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25 октября наши войска вели бои с противником в районе Сталинграда. На других фронтах никаких изменений не произошло.</w:t>
      </w:r>
    </w:p>
    <w:p w14:paraId="1974695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18 по 24 октября включительно, в воздушных боях, на аэродромах и огнём зенитной артиллерии уничтожено 114 немецких самолётов. Наши потери за это же время—51 самолёт.</w:t>
      </w:r>
    </w:p>
    <w:p w14:paraId="21FA1449"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24 октября нашей авиацией на различных участках фронта уничтожено 2 танка, 40 автомашин с войсками и грузами, подавлен огонь 4 артиллерийских батарей, взорван склад боеприпасов, рассеяно и частью уничтожено до 5 рот пехоты противника.</w:t>
      </w:r>
    </w:p>
    <w:p w14:paraId="11E8FAA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Наши войска отбивалимногочисленные атаки танков и пехоты противника. Героические защитники городаупорно обороняют каждую улицу и каждый дом. Ценой больших потерь немцам удалосьзанять две улицы рабочего посёлка. Бойцы Н-ской части отбили пять атакпревосходящих сил противника и уничтожили 4 немецких танка и 260 гитлеровцев.Огневыми налётами гвардейцев-миномётчиков сожжено 3 танка и уничтожено до 400солдат и офицеров противника.</w:t>
      </w:r>
    </w:p>
    <w:p w14:paraId="31E4B31C"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Северо-западнее Сталинграда на отдельных участках наши части вели активные боевые действия. Бойцы Н-ской части, сломив упорное сопротивление противника, заняли один населённый пункт. В боях за этот населённый пункт уничтожено 600 румынских солдат и офицеров. Захвачены трофеи и пленные. На другом участке наши подразделения, подавляя заградительный огонь и отбивая атаки противника, захватили опорный пункт. В занятых нашими бойцами окопах и траншеях обнаружено свыше 350 трупов немецких солдат и офицеров.</w:t>
      </w:r>
    </w:p>
    <w:p w14:paraId="2DB7F5DE"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Лётчики-штурмовики за один день повредили и уничтожили 24 орудия, 6 миномётов, 17 пулемётных точек, 29 автомашин, цистерну с горючим и 8 прожекторов противника.</w:t>
      </w:r>
    </w:p>
    <w:p w14:paraId="055FFE13"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совершенствовали занимаемые рубежи. Противник, понёсший за последние дни большие потери, активности не проявлял. Советские лётчики в воздушных боях сбили 3 немецких самолёта, уничтожили 4 бронемашины и 12 автомашин противника.</w:t>
      </w:r>
    </w:p>
    <w:p w14:paraId="4EA2C9C3"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противнику удалось проникнуть в тыл подразделений морской пехоты, где командиром тов. Хлябич. Краснофлотцы перешли в контратаку и восстановили положение. В результате боя уничтожено более двух рот румынской пехоты. Пулемётчик тов. Иванов уничтожил 25 и снайпер тов. Барбиян — 7 солдат противника. На другом участке группа наших разведчиков под командованием лейтенанта Екугелова пробралась в тыл противника и напала на штабной автобус. В машине находилось 20 немецких офицеров-лётчиков. Наши бойцы истребили гитлеровцев и, захватив найденные у них документы, возвратились в своючасть.</w:t>
      </w:r>
    </w:p>
    <w:p w14:paraId="562313C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происходили столкновения с мелкими группами противника. Два взвода немецкой пехоты пытались переправиться через водный рубеж. Пулемётный расчёт командира отделения тов. Колесникова открыл по лодкам пулемётный огонь. Большинство немцев убито или утонуло в реке.</w:t>
      </w:r>
    </w:p>
    <w:p w14:paraId="1ABAC69C"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действующие в одном из районов Орловской области, в течение месяца взорвали 7 железнодорожных эшелонов немецко-фашистских оккупантов. Уничтожено 7 паровозов, 90 вагонов и платформ с войсками и грузами. Кроме того, партизаны этого отряда сожгли 46 автомашин и склад с горючим.</w:t>
      </w:r>
    </w:p>
    <w:p w14:paraId="0A62182E"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другого отряда напала на немецкий гарнизон в одном населённомпункте. В завязавшемся бою советские патриоты истребили 93 и взяли в плен 18 гитлеровцев. Захвачены трофеи: 39 винтовок, 4 станковых и 9 ручных пулемётов, 3 миномёта, противотанковое орудие, 100 мин, 75 снарядов и несколько тысяч патронов.</w:t>
      </w:r>
    </w:p>
    <w:p w14:paraId="70465774"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каратели учинили зверскую расправу в деревне Слободка, Смоленской области. В течение двух дней гитлеровские воры и бандиты глумились над мирными жителями деревни, требуя, чтобы они сдали 8 тысяч пудов картофеля. Десять стариков гитлеровские мерзавцы расстреляли. У колхозника Алексея Голубева при обыске они нашли красное знамя, полученное колхозом в своё время за хозяйственные успехи. Бандиты долго глумились над стариком, били прикладами, топтали ногами, а потом его повесили. Всех остальных жителей деревни гитлеровцы угнали на каторжные работы.» (14810).</w:t>
      </w:r>
    </w:p>
    <w:p w14:paraId="5595E690"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72BB120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25 октября </w:t>
      </w:r>
      <w:r w:rsidRPr="00722885">
        <w:rPr>
          <w:rFonts w:ascii="Times New Roman" w:hAnsi="Times New Roman"/>
          <w:color w:val="000000" w:themeColor="text1"/>
          <w:sz w:val="16"/>
          <w:szCs w:val="16"/>
        </w:rPr>
        <w:t>в 1942 году основные силы 1-й Танковой армии группы армий "А" (2 танковые и 1 моторизированная дивизии) перешли в наступление на нальчикском направлении. Началась Нальчикско-Орджоникидзевская оборонительная операция войск Северной группы Кавказского фронта (9, 37, 44 и 58-я армии, 2 отдельных стрелковых и 1 кавалерийский корпус, 4-я воздушная армия; полоса обороны — около 350 км; командующий группой— генерал-лейтенант И.И.Масленников), продолжавшаяся до 12 ноября (14810).</w:t>
      </w:r>
    </w:p>
    <w:p w14:paraId="0DAF9014"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23371AB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25 октября </w:t>
      </w:r>
      <w:r w:rsidRPr="00722885">
        <w:rPr>
          <w:rFonts w:ascii="Times New Roman" w:hAnsi="Times New Roman"/>
          <w:color w:val="000000" w:themeColor="text1"/>
          <w:sz w:val="16"/>
          <w:szCs w:val="16"/>
        </w:rPr>
        <w:t>в 1942 году комиссар 537-го партизанского отряда Коспар докладывал главе коммунистов Белоруссии Пономаренко: "Помощи партизанские отряды некоторые никакой не видят... До партизан доходят слухи, что за фронтом сидят ряд работников Белоруссии, которые получают деньги, пьют спирт, получают подарки для белорусских партизан, чем возмущены партизаны" (14810).</w:t>
      </w:r>
    </w:p>
    <w:p w14:paraId="1408DB50"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32D2571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25 октября </w:t>
      </w:r>
      <w:r w:rsidRPr="00722885">
        <w:rPr>
          <w:rFonts w:ascii="Times New Roman" w:hAnsi="Times New Roman"/>
          <w:color w:val="000000" w:themeColor="text1"/>
          <w:sz w:val="16"/>
          <w:szCs w:val="16"/>
        </w:rPr>
        <w:t>в 1942 году возобновилось немецкое наступление на Северном Кавказе (14810).</w:t>
      </w:r>
    </w:p>
    <w:p w14:paraId="4A62FA32"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522533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октября 1942 оперативная сводка 206-й шад так описывает первый день контрудара 64А: "...Штурмовыми действиями под прикрытием истребителей 268 иад дивизия уничтожала скопление танков и автомашин, пехоту и артиллерию противника на огневых позициях в районе пригород Минина, Садовая, Верхняя Ельшанка, Песчанка, овраг Песчаный, северная опушка леса, что западнее Ельшанка и Спартаковка. 43 самолета Ил-2 произвели 90 самолето-вылетов, из них два не выполнили боевого задания из-за неисправности матчасти, пять самолетов Ил-2 не выполнили боевое задание из-за не состоявшейся встречи с истребителями прикрытия. Во второй половине дня огонь зенитной артиллерии значительно усилился, в районе цели появились патрули по 3-4 Bf 109. В районе реки Мокрая Мечетка и по берегу реки Волга ураганный заградительный огонь..."</w:t>
      </w:r>
    </w:p>
    <w:p w14:paraId="7844A8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в течение дня вылетало шесть групп Ил-2 (по 5-6 машин в каждой) от 686-го, 807-го и 945-го шап. Уничтожено и повреждено в общей сложности до 11 танков, 20 автомашин, 17 повозок с грузами, две огневые точки, одна батарея полевой артиллерии.</w:t>
      </w:r>
    </w:p>
    <w:p w14:paraId="7D12DE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Свои потери составили один подбитый Ил-2 старшины Сударкина из 945-го шап. В плоскость его самолета попали два зенитных снаряда. Затем Сударкин был атакован одиночным "мессершмиттом". В результате мотор получил повреждения и стал работать с перебоями. После того как Волга осталась позади, мотор заклинило и Сударкин сел на вынужденную с убранным шасси в 4-5 км южнее Прищевка (12020).</w:t>
      </w:r>
    </w:p>
    <w:p w14:paraId="57E4307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823ED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октября 1942 пара Ил-4, возвращавшаяся после «успешной» атаки крупного транспорта в сопровождении «Харрикейнов», была атакована шестеркой вражеских истребителей. Торпедоносцам удалось оторваться от преследования, но двое из числа сопровождавших рухнули в воду. Несмотря на неудачный исход этого боя, на следующий день вылет был повторен примерно тем же составом. «Илы» дошли до района западнее острова Большой Тютерс, где атаковали одиночный сторожевой корабль. Группа легла на обратный курс, «Яки»ушли наЛавенсаари, и именно в этот момент появился противник. В небе над Копорским заливом бомбардировщики внезапно атаковала шестерка «Фоккеров». В коротком бою на воду упали машины, пилотируемые старшим лейтенантом И.А.Кудряшевым и лейтенантом Новицким. Последующие поиски торпедных катеров и истребителей ничего не дали - все авиаторы погибли. С собой на дно холодной Балтики они унесли донесение о результатах атаки. По донесениям пилотов истребителей сопровождения она не увенчалась успехом, но противник числит в этот день потерю одиночно патрулировавшего в том же районе охотника за ПЛ «Uj 1204». Бывший рыболовный траулер затонул, не успев сделать донесения, со всем экипажем - 45 человек. Возможно, именно этот корабль и открыл боевой счет балтийских торпедоносцев в Великой Отечественной войне (9965).</w:t>
      </w:r>
    </w:p>
    <w:p w14:paraId="454E5D5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A5FC0D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25 октября по 12 ноября 1942 прошла оборонительная Нальчинско-Орджоникидзевская операция, для предотвращения прорыва через Нальчик к Орджоникидзе и Грозному, Тбилиси и Баку (2438,433).</w:t>
      </w:r>
    </w:p>
    <w:p w14:paraId="76753FE8" w14:textId="77777777" w:rsidR="00090C9B" w:rsidRPr="00722885" w:rsidRDefault="00090C9B" w:rsidP="00722885">
      <w:pPr>
        <w:pStyle w:val="Iauiue"/>
        <w:jc w:val="both"/>
        <w:rPr>
          <w:color w:val="000000" w:themeColor="text1"/>
          <w:sz w:val="16"/>
          <w:szCs w:val="16"/>
        </w:rPr>
      </w:pPr>
    </w:p>
    <w:p w14:paraId="0B219E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25 октября по 12 ноября 1942 была Начьчикская оборонительная операция КА (3186).</w:t>
      </w:r>
    </w:p>
    <w:p w14:paraId="23CFE10E" w14:textId="77777777" w:rsidR="00090C9B" w:rsidRPr="00722885" w:rsidRDefault="00090C9B" w:rsidP="00722885">
      <w:pPr>
        <w:pStyle w:val="Iauiue"/>
        <w:jc w:val="both"/>
        <w:rPr>
          <w:color w:val="000000" w:themeColor="text1"/>
          <w:sz w:val="16"/>
          <w:szCs w:val="16"/>
        </w:rPr>
      </w:pPr>
    </w:p>
    <w:p w14:paraId="78F9AA01"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1CFBD2FD" w14:textId="77777777" w:rsidR="00090C9B" w:rsidRPr="00722885" w:rsidRDefault="00090C9B" w:rsidP="00722885">
      <w:pPr>
        <w:pStyle w:val="Iauiue"/>
        <w:jc w:val="both"/>
        <w:rPr>
          <w:iCs/>
          <w:color w:val="000000" w:themeColor="text1"/>
          <w:sz w:val="16"/>
          <w:szCs w:val="16"/>
          <w:lang w:val="en-US"/>
        </w:rPr>
      </w:pPr>
    </w:p>
    <w:p w14:paraId="03D9F9AC"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25, 1942: Field Marshal Rommel breaks off his sick leave to take charge of the critical situation in which the Afrikakorps finds itself as a result of the British 8th Army's massive offensive at El Alamein (3819).</w:t>
      </w:r>
    </w:p>
    <w:p w14:paraId="5C4BF314" w14:textId="77777777" w:rsidR="00090C9B" w:rsidRPr="00722885" w:rsidRDefault="00090C9B" w:rsidP="00722885">
      <w:pPr>
        <w:pStyle w:val="Iauiue"/>
        <w:jc w:val="both"/>
        <w:rPr>
          <w:color w:val="000000" w:themeColor="text1"/>
          <w:sz w:val="16"/>
          <w:szCs w:val="16"/>
          <w:lang w:val="en-US"/>
        </w:rPr>
      </w:pPr>
    </w:p>
    <w:p w14:paraId="68B93D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октября 1942 фон Роммель прервал отпуск и принял командование для вывода Африканского корпуса из критического состояния, в котором он оказался в результате наступления британской 8А у Эль Аламейна (3819).</w:t>
      </w:r>
    </w:p>
    <w:p w14:paraId="25898A03" w14:textId="77777777" w:rsidR="00090C9B" w:rsidRPr="00722885" w:rsidRDefault="00090C9B" w:rsidP="00722885">
      <w:pPr>
        <w:pStyle w:val="Iauiue"/>
        <w:jc w:val="both"/>
        <w:rPr>
          <w:color w:val="000000" w:themeColor="text1"/>
          <w:sz w:val="16"/>
          <w:szCs w:val="16"/>
        </w:rPr>
      </w:pPr>
    </w:p>
    <w:p w14:paraId="288051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октября 1942 был бой между флотами США и Японии у о Санта-Круз (3186).</w:t>
      </w:r>
    </w:p>
    <w:p w14:paraId="5DC5A4D4" w14:textId="77777777" w:rsidR="00090C9B" w:rsidRPr="00722885" w:rsidRDefault="00090C9B" w:rsidP="00722885">
      <w:pPr>
        <w:pStyle w:val="Iauiue"/>
        <w:jc w:val="both"/>
        <w:rPr>
          <w:color w:val="000000" w:themeColor="text1"/>
          <w:sz w:val="16"/>
          <w:szCs w:val="16"/>
        </w:rPr>
      </w:pPr>
    </w:p>
    <w:p w14:paraId="0251369B"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25 октября </w:t>
      </w:r>
      <w:r w:rsidRPr="00722885">
        <w:rPr>
          <w:rFonts w:ascii="Times New Roman" w:hAnsi="Times New Roman"/>
          <w:color w:val="000000" w:themeColor="text1"/>
          <w:sz w:val="16"/>
          <w:szCs w:val="16"/>
        </w:rPr>
        <w:t>в 1942 году (25-26 октября) бой между флотами США и Японии у острова Санта-Крус. США потеряли авианосец и эсминец. Потери японцев были незначительны (14810).</w:t>
      </w:r>
    </w:p>
    <w:p w14:paraId="00A886C5"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5C46D85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25 октября 1942 английское правительство ввело ограничения на содержание сахара и джема в пирогах (4962).</w:t>
      </w:r>
    </w:p>
    <w:p w14:paraId="24E71304" w14:textId="77777777" w:rsidR="00090C9B" w:rsidRPr="00722885" w:rsidRDefault="00090C9B" w:rsidP="00722885">
      <w:pPr>
        <w:pStyle w:val="Iauiue"/>
        <w:tabs>
          <w:tab w:val="left" w:pos="11199"/>
        </w:tabs>
        <w:jc w:val="both"/>
        <w:rPr>
          <w:color w:val="000000" w:themeColor="text1"/>
          <w:sz w:val="16"/>
          <w:szCs w:val="16"/>
        </w:rPr>
      </w:pPr>
    </w:p>
    <w:p w14:paraId="4FD13FC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9882EB3" w14:textId="77777777" w:rsidR="00090C9B" w:rsidRPr="00722885" w:rsidRDefault="00090C9B" w:rsidP="00722885">
      <w:pPr>
        <w:pStyle w:val="Iauiue"/>
        <w:jc w:val="both"/>
        <w:rPr>
          <w:iCs/>
          <w:color w:val="000000" w:themeColor="text1"/>
          <w:sz w:val="16"/>
          <w:szCs w:val="16"/>
        </w:rPr>
      </w:pPr>
    </w:p>
    <w:p w14:paraId="687463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октября 1942 г. Ил-2бис завода 1 прошел гос. испытания (ведущий летчик-испытатель А.К.Долгов, ведущий инженер-летчик А.В.Синельни</w:t>
      </w:r>
      <w:r w:rsidRPr="00722885">
        <w:rPr>
          <w:color w:val="000000" w:themeColor="text1"/>
          <w:sz w:val="16"/>
          <w:szCs w:val="16"/>
        </w:rPr>
        <w:softHyphen/>
        <w:t>ков), которые проходили с 16 октября 1942. Всего в рамках программы гос. испытания было выполнено 28 полетов с общим налетом 9 часов 5 минут.</w:t>
      </w:r>
    </w:p>
    <w:p w14:paraId="5418AF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Государственные испытания показа</w:t>
      </w:r>
      <w:r w:rsidRPr="00722885">
        <w:rPr>
          <w:color w:val="000000" w:themeColor="text1"/>
          <w:sz w:val="16"/>
          <w:szCs w:val="16"/>
        </w:rPr>
        <w:softHyphen/>
        <w:t>ли, что по своим летно-техническим и пилотажным характеристикам Ил-2бис практически не отличался от одномест</w:t>
      </w:r>
      <w:r w:rsidRPr="00722885">
        <w:rPr>
          <w:color w:val="000000" w:themeColor="text1"/>
          <w:sz w:val="16"/>
          <w:szCs w:val="16"/>
        </w:rPr>
        <w:softHyphen/>
        <w:t>ной серийной машины этого же завода. Максимальная горизонтальная скорость у земли составила 388 км/ч, а на высоте 2000 м - 407 км/ч.</w:t>
      </w:r>
    </w:p>
    <w:p w14:paraId="520962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подъема на высоту 1000 м со</w:t>
      </w:r>
      <w:r w:rsidRPr="00722885">
        <w:rPr>
          <w:color w:val="000000" w:themeColor="text1"/>
          <w:sz w:val="16"/>
          <w:szCs w:val="16"/>
        </w:rPr>
        <w:softHyphen/>
        <w:t xml:space="preserve">ставляло 2,4 минуты, а время виража на этой высоте - 48-49 сек. При этом за один боевой разворот на высоте 1000 м штурмовик </w:t>
      </w:r>
      <w:r w:rsidRPr="00722885">
        <w:rPr>
          <w:color w:val="000000" w:themeColor="text1"/>
          <w:sz w:val="16"/>
          <w:szCs w:val="16"/>
        </w:rPr>
        <w:lastRenderedPageBreak/>
        <w:t>набирал высоту 400 м. Дли</w:t>
      </w:r>
      <w:r w:rsidRPr="00722885">
        <w:rPr>
          <w:color w:val="000000" w:themeColor="text1"/>
          <w:sz w:val="16"/>
          <w:szCs w:val="16"/>
        </w:rPr>
        <w:softHyphen/>
        <w:t>на разбега при установке щитков на взлетный угол равнялась 420 м.</w:t>
      </w:r>
    </w:p>
    <w:p w14:paraId="4D0D1B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общему мнению летчиков, новый самолет получился хорошим, хотя и тре</w:t>
      </w:r>
      <w:r w:rsidRPr="00722885">
        <w:rPr>
          <w:color w:val="000000" w:themeColor="text1"/>
          <w:sz w:val="16"/>
          <w:szCs w:val="16"/>
        </w:rPr>
        <w:softHyphen/>
        <w:t>бовал большого объема конструктивных изменений, связанных в основном с пе</w:t>
      </w:r>
      <w:r w:rsidRPr="00722885">
        <w:rPr>
          <w:color w:val="000000" w:themeColor="text1"/>
          <w:sz w:val="16"/>
          <w:szCs w:val="16"/>
        </w:rPr>
        <w:softHyphen/>
        <w:t>рекомпоновкой баков, что само по себе было сложным для серийного произ</w:t>
      </w:r>
      <w:r w:rsidRPr="00722885">
        <w:rPr>
          <w:color w:val="000000" w:themeColor="text1"/>
          <w:sz w:val="16"/>
          <w:szCs w:val="16"/>
        </w:rPr>
        <w:softHyphen/>
        <w:t>водства. В связи с этим, руководством ВВС КА и НКАП было принято решение провести войсковые испытания самоле</w:t>
      </w:r>
      <w:r w:rsidRPr="00722885">
        <w:rPr>
          <w:color w:val="000000" w:themeColor="text1"/>
          <w:sz w:val="16"/>
          <w:szCs w:val="16"/>
        </w:rPr>
        <w:softHyphen/>
        <w:t>та в боевых условиях и уже по резуль</w:t>
      </w:r>
      <w:r w:rsidRPr="00722885">
        <w:rPr>
          <w:color w:val="000000" w:themeColor="text1"/>
          <w:sz w:val="16"/>
          <w:szCs w:val="16"/>
        </w:rPr>
        <w:softHyphen/>
        <w:t>татам последних сделать вывод о целе</w:t>
      </w:r>
      <w:r w:rsidRPr="00722885">
        <w:rPr>
          <w:color w:val="000000" w:themeColor="text1"/>
          <w:sz w:val="16"/>
          <w:szCs w:val="16"/>
        </w:rPr>
        <w:softHyphen/>
        <w:t>сообразности запуска Ил-2бис в серий</w:t>
      </w:r>
      <w:r w:rsidRPr="00722885">
        <w:rPr>
          <w:color w:val="000000" w:themeColor="text1"/>
          <w:sz w:val="16"/>
          <w:szCs w:val="16"/>
        </w:rPr>
        <w:softHyphen/>
        <w:t>ное производство (6467).</w:t>
      </w:r>
    </w:p>
    <w:p w14:paraId="0AE712E5" w14:textId="77777777" w:rsidR="00090C9B" w:rsidRPr="00722885" w:rsidRDefault="00090C9B" w:rsidP="00722885">
      <w:pPr>
        <w:pStyle w:val="Iauiue"/>
        <w:jc w:val="both"/>
        <w:rPr>
          <w:color w:val="000000" w:themeColor="text1"/>
          <w:sz w:val="16"/>
          <w:szCs w:val="16"/>
        </w:rPr>
      </w:pPr>
    </w:p>
    <w:p w14:paraId="5DCC9B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октября 1942 закончились гос. испытания 2-местного Ил-2 N 4433 с АМ-38 с винтом АВ-5Л-158, которые начались 16 октября 1942 (811,4).</w:t>
      </w:r>
    </w:p>
    <w:p w14:paraId="0D8111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другим данным 24 сентября 1942</w:t>
      </w:r>
    </w:p>
    <w:p w14:paraId="2B7C33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ноября 1942 Нач. НИИ ВВС гмиас Лосюков и Нач. 3 отд. НИИ ВВС Сафонов подписали Отчет гос. испытаний 2-местного Ил-2 N 4433 с АМ-38 с винтом АВ-5Л-158 д. 3,6 м</w:t>
      </w:r>
    </w:p>
    <w:p w14:paraId="56BD70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А.E.Репин утвердил Акт по результатам гос. испытаний 2-местного Ил-2 N 4433 с АМ-38 с винтом АВ-5Л-158 д. 3,6 м, которые проходили с 16 по 26 октября 1942 (811,4).</w:t>
      </w:r>
    </w:p>
    <w:p w14:paraId="3C8ECE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инж. Им Синельников</w:t>
      </w:r>
    </w:p>
    <w:p w14:paraId="4DA359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л. Им Супрун и др</w:t>
      </w:r>
    </w:p>
    <w:p w14:paraId="0EBE41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Объект испытаний: заводом № 1 на испытания предъявлен 2-х местный с-т Ил-2 АМ-38 № 4434 с задней стрелковой блистерной установкой под пулемет УБТ. С-т переделан из одноместного серийного Ил-2 АМ-38</w:t>
      </w:r>
    </w:p>
    <w:p w14:paraId="33F5DB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Основные переделки:</w:t>
      </w:r>
    </w:p>
    <w:p w14:paraId="7A04DC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место заднего фюзеляжного б/б и выреза в хвостовой части фюзеляжа оборудована кабина стрелка, где установлен п-т УБТ на стрелковой блистерной установкой с запасом патронов 150 шт. в трех магазинах. В кабине стрелка установлено регулируемое по высоте сидение.</w:t>
      </w:r>
    </w:p>
    <w:p w14:paraId="278F4D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радиоприемник РСИ-4А, переговорное устройство СПУ-2Ф, умформер передатчика</w:t>
      </w:r>
    </w:p>
    <w:p w14:paraId="3F97F8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под полом кабины аккумулятор 12А-10</w:t>
      </w:r>
    </w:p>
    <w:p w14:paraId="4416A9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вместо заднего фюзеляжного бака емкостью 300 л установлены в центроплана в двух боибоотсеках два забронированных б/б емкостью по 150 л.</w:t>
      </w:r>
    </w:p>
    <w:p w14:paraId="346FD2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кабина стрелка защищена броней сбоку, снизу и сзади. Ддя защиты его головы плита на фонаре, надголовник и на кольце блистера - прозрачная броня. Кабина стрелка снабжена сдвигающимся прозрачным фонарем. Т-образная антенна заменена на антенну в виде двух лучей, идущих от конца стабилизатора к проходному изолятору на фюзеляже.</w:t>
      </w:r>
    </w:p>
    <w:p w14:paraId="40E8B9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связи с установкой двух б/б в бомбообсеки, емкость внутренних бомбодержателей уменьшена вдвое против прежнего (вместо 4 замков для бомб ФАБ-100 или ФАБ-50 имеется 2)</w:t>
      </w:r>
    </w:p>
    <w:p w14:paraId="3B2140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Этот с-т имеет больший вес на 100-110 кг по сравнению с с-том Ил-2 двухместным № 887 завода № 30</w:t>
      </w:r>
    </w:p>
    <w:p w14:paraId="05BF3E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Краткие рез-ты испытаний:</w:t>
      </w:r>
    </w:p>
    <w:p w14:paraId="14C6F8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16 по 26 октября произведено 28 полетов, налет 9:05</w:t>
      </w:r>
    </w:p>
    <w:p w14:paraId="302ACF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 4628, вес нагрузки 1352, в т.ч.:</w:t>
      </w:r>
    </w:p>
    <w:p w14:paraId="756C16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экипаж - 180</w:t>
      </w:r>
    </w:p>
    <w:p w14:paraId="4EAFA8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горючее 532</w:t>
      </w:r>
    </w:p>
    <w:p w14:paraId="43D63CD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смазочное 65</w:t>
      </w:r>
    </w:p>
    <w:p w14:paraId="0CE921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пушки ШВАКх2 80</w:t>
      </w:r>
    </w:p>
    <w:p w14:paraId="66A40A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ШВАК (500 с ящиками) - 115</w:t>
      </w:r>
    </w:p>
    <w:p w14:paraId="3E40AE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пулеметы ШКАСх2 - 21</w:t>
      </w:r>
    </w:p>
    <w:p w14:paraId="526106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ШКАС (1500 с ящиками) - 54</w:t>
      </w:r>
    </w:p>
    <w:p w14:paraId="6F4ED2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П-т УБТх1 - 21</w:t>
      </w:r>
    </w:p>
    <w:p w14:paraId="3DEF0F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нему (3 магазина - 150) - 30</w:t>
      </w:r>
    </w:p>
    <w:p w14:paraId="172B1F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бомбы - 200</w:t>
      </w:r>
    </w:p>
    <w:p w14:paraId="6C587E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8хРС-82 - 54</w:t>
      </w:r>
    </w:p>
    <w:p w14:paraId="19F258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(норм./перегр.) - 5980/6180</w:t>
      </w:r>
    </w:p>
    <w:p w14:paraId="013C91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Перегрузочный вариант отличается от нормального увеличением бомбовой нагрузки на 200 кг на наружной подвеске</w:t>
      </w:r>
    </w:p>
    <w:p w14:paraId="0BAAEC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p w14:paraId="374C75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у земли - 388 и 368 в перегрузочном вар-те (2хФАБ-100 на внешней подвеске и 8 РС-82)</w:t>
      </w:r>
    </w:p>
    <w:p w14:paraId="0B3473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2000 - 407 и 387</w:t>
      </w:r>
    </w:p>
    <w:p w14:paraId="763E93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420, скорость отрыва 159, взлетная дистанция (25 м) 1120</w:t>
      </w:r>
    </w:p>
    <w:p w14:paraId="59B3CF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на форсаже - 390, 159, 980</w:t>
      </w:r>
    </w:p>
    <w:p w14:paraId="621DED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перегрузочного вар-та - 465, дистанция 1120, скорость отрыва 163</w:t>
      </w:r>
    </w:p>
    <w:p w14:paraId="313C39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Маневренность на 1000 м - вираж 48-49, высота боевого разворота 400 (скорость начала 340, конца 250, полетный вес 5980)</w:t>
      </w:r>
    </w:p>
    <w:p w14:paraId="6E86AA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с-те № 887 (завода № 30) никаких изменений в перестановке б/б и броне не было.</w:t>
      </w:r>
    </w:p>
    <w:p w14:paraId="3F3607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Кабина стрелка сделана сзади б/б, находящегося за спиной л. Кабина тесна и неудобна. Бронирования ее нет. Бомбовая нагрузка остается той же - 400 кг на внутренней и 200 кг га наружной.</w:t>
      </w:r>
    </w:p>
    <w:p w14:paraId="16DA84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Сравнительная таблица ЛТД 2-х местных Ил-2 пр-ва заводов № 30 и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751"/>
        <w:gridCol w:w="2835"/>
      </w:tblGrid>
      <w:tr w:rsidR="009B487A" w:rsidRPr="00722885" w14:paraId="40DDB82E" w14:textId="77777777" w:rsidTr="00CC5360">
        <w:tc>
          <w:tcPr>
            <w:tcW w:w="3736" w:type="dxa"/>
            <w:tcBorders>
              <w:top w:val="single" w:sz="12" w:space="0" w:color="auto"/>
            </w:tcBorders>
          </w:tcPr>
          <w:p w14:paraId="581B3E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Наименование</w:t>
            </w:r>
          </w:p>
        </w:tc>
        <w:tc>
          <w:tcPr>
            <w:tcW w:w="2751" w:type="dxa"/>
            <w:tcBorders>
              <w:top w:val="single" w:sz="12" w:space="0" w:color="auto"/>
            </w:tcBorders>
          </w:tcPr>
          <w:p w14:paraId="282C5BD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 № 4434 завода № 1</w:t>
            </w:r>
          </w:p>
        </w:tc>
        <w:tc>
          <w:tcPr>
            <w:tcW w:w="2835" w:type="dxa"/>
            <w:tcBorders>
              <w:top w:val="single" w:sz="12" w:space="0" w:color="auto"/>
            </w:tcBorders>
          </w:tcPr>
          <w:p w14:paraId="48CB78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 № 887 завода № 30</w:t>
            </w:r>
          </w:p>
        </w:tc>
      </w:tr>
      <w:tr w:rsidR="009B487A" w:rsidRPr="00722885" w14:paraId="076EEA46" w14:textId="77777777" w:rsidTr="00CC5360">
        <w:tc>
          <w:tcPr>
            <w:tcW w:w="3736" w:type="dxa"/>
          </w:tcPr>
          <w:p w14:paraId="14EFA4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w:t>
            </w:r>
          </w:p>
        </w:tc>
        <w:tc>
          <w:tcPr>
            <w:tcW w:w="2751" w:type="dxa"/>
          </w:tcPr>
          <w:p w14:paraId="4888F8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4628</w:t>
            </w:r>
          </w:p>
        </w:tc>
        <w:tc>
          <w:tcPr>
            <w:tcW w:w="2835" w:type="dxa"/>
          </w:tcPr>
          <w:p w14:paraId="49BA34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4517</w:t>
            </w:r>
          </w:p>
        </w:tc>
      </w:tr>
      <w:tr w:rsidR="009B487A" w:rsidRPr="00722885" w14:paraId="31005A98" w14:textId="77777777" w:rsidTr="00CC5360">
        <w:tc>
          <w:tcPr>
            <w:tcW w:w="3736" w:type="dxa"/>
          </w:tcPr>
          <w:p w14:paraId="451E44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вес</w:t>
            </w:r>
          </w:p>
        </w:tc>
        <w:tc>
          <w:tcPr>
            <w:tcW w:w="2751" w:type="dxa"/>
          </w:tcPr>
          <w:p w14:paraId="3542C1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5980</w:t>
            </w:r>
          </w:p>
        </w:tc>
        <w:tc>
          <w:tcPr>
            <w:tcW w:w="2835" w:type="dxa"/>
          </w:tcPr>
          <w:p w14:paraId="5CF4A8E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6100</w:t>
            </w:r>
          </w:p>
        </w:tc>
      </w:tr>
      <w:tr w:rsidR="009B487A" w:rsidRPr="00722885" w14:paraId="06C542EF" w14:textId="77777777" w:rsidTr="00CC5360">
        <w:tc>
          <w:tcPr>
            <w:tcW w:w="3736" w:type="dxa"/>
          </w:tcPr>
          <w:p w14:paraId="75A047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Центровка</w:t>
            </w:r>
          </w:p>
        </w:tc>
        <w:tc>
          <w:tcPr>
            <w:tcW w:w="2751" w:type="dxa"/>
          </w:tcPr>
          <w:p w14:paraId="20DBEC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28,75%</w:t>
            </w:r>
          </w:p>
        </w:tc>
        <w:tc>
          <w:tcPr>
            <w:tcW w:w="2835" w:type="dxa"/>
          </w:tcPr>
          <w:p w14:paraId="3009E5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32,85%</w:t>
            </w:r>
          </w:p>
        </w:tc>
      </w:tr>
      <w:tr w:rsidR="009B487A" w:rsidRPr="00722885" w14:paraId="2801D49E" w14:textId="77777777" w:rsidTr="00CC5360">
        <w:tc>
          <w:tcPr>
            <w:tcW w:w="3736" w:type="dxa"/>
          </w:tcPr>
          <w:p w14:paraId="58A57B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Бобардировочное вооружение внутрення загрузка</w:t>
            </w:r>
          </w:p>
        </w:tc>
        <w:tc>
          <w:tcPr>
            <w:tcW w:w="2751" w:type="dxa"/>
          </w:tcPr>
          <w:p w14:paraId="5F8F25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c>
          <w:tcPr>
            <w:tcW w:w="2835" w:type="dxa"/>
          </w:tcPr>
          <w:p w14:paraId="11A953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4х50 или 4х100</w:t>
            </w:r>
          </w:p>
        </w:tc>
      </w:tr>
      <w:tr w:rsidR="009B487A" w:rsidRPr="00722885" w14:paraId="4B07AF2F" w14:textId="77777777" w:rsidTr="00CC5360">
        <w:tc>
          <w:tcPr>
            <w:tcW w:w="3736" w:type="dxa"/>
          </w:tcPr>
          <w:p w14:paraId="69467A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внешняя</w:t>
            </w:r>
          </w:p>
        </w:tc>
        <w:tc>
          <w:tcPr>
            <w:tcW w:w="2751" w:type="dxa"/>
          </w:tcPr>
          <w:p w14:paraId="4FE011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c>
          <w:tcPr>
            <w:tcW w:w="2835" w:type="dxa"/>
          </w:tcPr>
          <w:p w14:paraId="6203E8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r>
      <w:tr w:rsidR="009B487A" w:rsidRPr="00722885" w14:paraId="23B8DCD5" w14:textId="77777777" w:rsidTr="00CC5360">
        <w:tc>
          <w:tcPr>
            <w:tcW w:w="3736" w:type="dxa"/>
          </w:tcPr>
          <w:p w14:paraId="00D871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Ракетное вооружение</w:t>
            </w:r>
          </w:p>
        </w:tc>
        <w:tc>
          <w:tcPr>
            <w:tcW w:w="2751" w:type="dxa"/>
          </w:tcPr>
          <w:p w14:paraId="0A8029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w:t>
            </w:r>
          </w:p>
        </w:tc>
        <w:tc>
          <w:tcPr>
            <w:tcW w:w="2835" w:type="dxa"/>
          </w:tcPr>
          <w:p w14:paraId="71B40F3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w:t>
            </w:r>
          </w:p>
        </w:tc>
      </w:tr>
      <w:tr w:rsidR="009B487A" w:rsidRPr="00722885" w14:paraId="1567139D" w14:textId="77777777" w:rsidTr="00CC5360">
        <w:tc>
          <w:tcPr>
            <w:tcW w:w="3736" w:type="dxa"/>
          </w:tcPr>
          <w:p w14:paraId="05FC8E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tc>
        <w:tc>
          <w:tcPr>
            <w:tcW w:w="2751" w:type="dxa"/>
          </w:tcPr>
          <w:p w14:paraId="44F1BF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391/280 с 2хФАБ-100 внутри и 8хРС</w:t>
            </w:r>
          </w:p>
        </w:tc>
        <w:tc>
          <w:tcPr>
            <w:tcW w:w="2835" w:type="dxa"/>
          </w:tcPr>
          <w:p w14:paraId="093A1C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386/280 с 4хФАБ-100 внутри и 8хРС</w:t>
            </w:r>
          </w:p>
        </w:tc>
      </w:tr>
      <w:tr w:rsidR="009B487A" w:rsidRPr="00722885" w14:paraId="59F192C1" w14:textId="77777777" w:rsidTr="00CC5360">
        <w:tc>
          <w:tcPr>
            <w:tcW w:w="3736" w:type="dxa"/>
          </w:tcPr>
          <w:p w14:paraId="2E682A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набора 1000 м</w:t>
            </w:r>
          </w:p>
        </w:tc>
        <w:tc>
          <w:tcPr>
            <w:tcW w:w="2751" w:type="dxa"/>
          </w:tcPr>
          <w:p w14:paraId="6D27E1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w:t>
            </w:r>
          </w:p>
        </w:tc>
        <w:tc>
          <w:tcPr>
            <w:tcW w:w="2835" w:type="dxa"/>
          </w:tcPr>
          <w:p w14:paraId="2DF98F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w:t>
            </w:r>
          </w:p>
        </w:tc>
      </w:tr>
      <w:tr w:rsidR="009B487A" w:rsidRPr="00722885" w14:paraId="110D8C9B" w14:textId="77777777" w:rsidTr="00CC5360">
        <w:tc>
          <w:tcPr>
            <w:tcW w:w="3736" w:type="dxa"/>
          </w:tcPr>
          <w:p w14:paraId="2397D6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(с форсажем)</w:t>
            </w:r>
          </w:p>
        </w:tc>
        <w:tc>
          <w:tcPr>
            <w:tcW w:w="2751" w:type="dxa"/>
          </w:tcPr>
          <w:p w14:paraId="1305EA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390</w:t>
            </w:r>
          </w:p>
        </w:tc>
        <w:tc>
          <w:tcPr>
            <w:tcW w:w="2835" w:type="dxa"/>
          </w:tcPr>
          <w:p w14:paraId="64FB20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390</w:t>
            </w:r>
          </w:p>
        </w:tc>
      </w:tr>
      <w:tr w:rsidR="009B487A" w:rsidRPr="00722885" w14:paraId="18C4F2E3" w14:textId="77777777" w:rsidTr="00CC5360">
        <w:tc>
          <w:tcPr>
            <w:tcW w:w="3736" w:type="dxa"/>
          </w:tcPr>
          <w:p w14:paraId="4FD7C3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дистанция с форсажем</w:t>
            </w:r>
          </w:p>
        </w:tc>
        <w:tc>
          <w:tcPr>
            <w:tcW w:w="2751" w:type="dxa"/>
          </w:tcPr>
          <w:p w14:paraId="236AE0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980</w:t>
            </w:r>
          </w:p>
        </w:tc>
        <w:tc>
          <w:tcPr>
            <w:tcW w:w="2835" w:type="dxa"/>
          </w:tcPr>
          <w:p w14:paraId="564464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1240</w:t>
            </w:r>
          </w:p>
        </w:tc>
      </w:tr>
      <w:tr w:rsidR="009B487A" w:rsidRPr="00722885" w14:paraId="1114FD96" w14:textId="77777777" w:rsidTr="00CC5360">
        <w:tc>
          <w:tcPr>
            <w:tcW w:w="3736" w:type="dxa"/>
            <w:tcBorders>
              <w:bottom w:val="single" w:sz="12" w:space="0" w:color="auto"/>
            </w:tcBorders>
          </w:tcPr>
          <w:p w14:paraId="56A6B9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Емкость б/баков</w:t>
            </w:r>
          </w:p>
        </w:tc>
        <w:tc>
          <w:tcPr>
            <w:tcW w:w="2751" w:type="dxa"/>
            <w:tcBorders>
              <w:bottom w:val="single" w:sz="12" w:space="0" w:color="auto"/>
            </w:tcBorders>
          </w:tcPr>
          <w:p w14:paraId="552EA33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720</w:t>
            </w:r>
          </w:p>
        </w:tc>
        <w:tc>
          <w:tcPr>
            <w:tcW w:w="2835" w:type="dxa"/>
            <w:tcBorders>
              <w:bottom w:val="single" w:sz="12" w:space="0" w:color="auto"/>
            </w:tcBorders>
          </w:tcPr>
          <w:p w14:paraId="7938BF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720</w:t>
            </w:r>
          </w:p>
        </w:tc>
      </w:tr>
    </w:tbl>
    <w:p w14:paraId="6D512B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постановлению ГОКО - нормальная бомбовая нагрузка двухместного Ил-2 - 300 кг + 4хРС-82</w:t>
      </w:r>
    </w:p>
    <w:p w14:paraId="5DFE965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 Ил-2 № 4434 - по мягкому травному грунту</w:t>
      </w:r>
    </w:p>
    <w:p w14:paraId="0ADA03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Заключение:</w:t>
      </w:r>
    </w:p>
    <w:p w14:paraId="68CA46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Двухместный с-т Ил-2 производства з-да № 1 по сравнению с 2-х местным Ил-2 завода № 30 имеет следующие преимущества:</w:t>
      </w:r>
    </w:p>
    <w:p w14:paraId="32EC5A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кабина стрелка свободна, в ней обеспечивается удобство работы</w:t>
      </w:r>
    </w:p>
    <w:p w14:paraId="304FF4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кабина стрелка забронирована сбоку, снизу, сзади и частично сверху</w:t>
      </w:r>
    </w:p>
    <w:p w14:paraId="067570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сохранена центровка с-та</w:t>
      </w:r>
    </w:p>
    <w:p w14:paraId="6274AC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 недостатки:</w:t>
      </w:r>
    </w:p>
    <w:p w14:paraId="31116B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уменьшегно число замков для внутренней подвески бомб - вместо 4-х - 2, общая емкость при этом снизилась до 400 кг вместо 600 кг, что не позволит увеличить бомбовую нагрузку при постановке на с-т более мощного мотора АМ-38Ф</w:t>
      </w:r>
    </w:p>
    <w:p w14:paraId="0442A6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увеличенная поражаемая поверхность б/б</w:t>
      </w:r>
    </w:p>
    <w:p w14:paraId="0BE862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увеличен вес пустого на 100-110 кг</w:t>
      </w:r>
    </w:p>
    <w:p w14:paraId="6D0D96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Решение о целесообразности постройки 2-х местного с-тов Ил-2 производства з-да № 1 принять после проведения войсковых испытаний 2-х местных машин производства завода № 30... Этот с-т передать в часты, производящую войсковые испытания Ил-2 завода № 30</w:t>
      </w:r>
    </w:p>
    <w:p w14:paraId="3D452CE8" w14:textId="77777777" w:rsidR="00090C9B" w:rsidRPr="00722885" w:rsidRDefault="00090C9B" w:rsidP="00722885">
      <w:pPr>
        <w:pStyle w:val="Iauiue"/>
        <w:jc w:val="both"/>
        <w:rPr>
          <w:color w:val="000000" w:themeColor="text1"/>
          <w:sz w:val="16"/>
          <w:szCs w:val="16"/>
        </w:rPr>
      </w:pPr>
    </w:p>
    <w:p w14:paraId="21D88D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Донесение испытателя м Долгова: С-т Ил-2 № 4434 по типу пилотирования со всеми вариантами загрузки ничем не отличается от нормального серийного одноместного с-та (несколько больше склонен к планированию при скорости 190 км/час за счет увеличения полетного веса).</w:t>
      </w:r>
    </w:p>
    <w:p w14:paraId="0BC03E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С-т Ил-2 № 4434 по технике пилотирования приятнее с-та Ил-2 № 887: легче поднимает хвост на взлете, легче в управлении, хороше послушен на рулении, не чувствуется задней центровки</w:t>
      </w:r>
    </w:p>
    <w:p w14:paraId="6926C8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Октябрь 1942</w:t>
      </w:r>
    </w:p>
    <w:p w14:paraId="0FE174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Донесение им А.В.Синельникова по облету Ил-2 № 4434 - в общем с-т Ил-2 производства з-да № 1 в управлении приятен - 26 октября 1942 (811,4).</w:t>
      </w:r>
    </w:p>
    <w:p w14:paraId="5740F3C1" w14:textId="77777777" w:rsidR="00090C9B" w:rsidRPr="00722885" w:rsidRDefault="00090C9B" w:rsidP="00722885">
      <w:pPr>
        <w:pStyle w:val="Iauiue"/>
        <w:jc w:val="both"/>
        <w:rPr>
          <w:color w:val="000000" w:themeColor="text1"/>
          <w:sz w:val="16"/>
          <w:szCs w:val="16"/>
        </w:rPr>
      </w:pPr>
    </w:p>
    <w:p w14:paraId="71D405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октября 1942 закончились гос. испытания серийного фронтового бомбардировщика Ту-2 2хМ-82 № 199308 производства завода № 166, которые проходили с 13 сентября.</w:t>
      </w:r>
    </w:p>
    <w:p w14:paraId="6DD9AB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декабря 1942 Лосюков и Сафронов подписал отчет, а А.E.Репин утвердил Акт о гос. испытаниях серийного фронтового бомбардировщика Ту-2 2хМ-82 № 199308 производства завода № 166, которые проходили с 13 сентября по 26 октября 1942 (812,8).</w:t>
      </w:r>
    </w:p>
    <w:p w14:paraId="529A41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и и/м Г.В.Грибакин</w:t>
      </w:r>
    </w:p>
    <w:p w14:paraId="02DAB7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 м В.И.Жданов, М.П.Васякин</w:t>
      </w:r>
    </w:p>
    <w:p w14:paraId="1BBBB0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Объект испытания:</w:t>
      </w:r>
    </w:p>
    <w:p w14:paraId="0A74F1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д-х моторный моноплан с высоко расположенным крылом и двухкилевым свободнонесущим оперением. Конструкция с-та металлическая, фюзеляж - полумонокок. Крыло - кессонной конструкции. Закрылки типа Шренк. Винт АВ-5167А д. 3.8 м. Система бензопитания состоит из 18 баков общей емкостью 3000 л, все быки запротектированы и заполняются инертным газом из выхлопной системы моторов. С-т снаджен приемопередатчиком РСБ-бис, РПК-7, фотоустановкой под фотоаппараты АФА-Б, НАФА-19 и автоматом курса АК-1.</w:t>
      </w:r>
    </w:p>
    <w:p w14:paraId="43667A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Нормальная бомбовая нагрузка - 1000 кг, максимальная расчетная бомбовая нагрузка - 2000 кг, Емкость бомбодержателей - 3000 кг.</w:t>
      </w:r>
    </w:p>
    <w:p w14:paraId="4D7F88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Калибры бомб:</w:t>
      </w:r>
    </w:p>
    <w:p w14:paraId="30B454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ФАБ-1000х1 внутр. и 2 на наружной - всего 3000</w:t>
      </w:r>
    </w:p>
    <w:p w14:paraId="110EDE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ФАБ-500х1 внутр. и 2 на наружной - всего 1500</w:t>
      </w:r>
    </w:p>
    <w:p w14:paraId="026E40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ФАБ-250цкх4 внутр. и 2 на наружной - всего 1500</w:t>
      </w:r>
    </w:p>
    <w:p w14:paraId="5AA505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ФАБ-250свх2 внутр. и 2 на наружной - всего 1000</w:t>
      </w:r>
    </w:p>
    <w:p w14:paraId="07D065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ФАБ-100х9 - всего 900</w:t>
      </w:r>
    </w:p>
    <w:p w14:paraId="60D2CF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Стрелково-0пушечное вооружение:</w:t>
      </w:r>
    </w:p>
    <w:p w14:paraId="12646A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неподвижное вперед - 2хШКАС с б/з 1400 + 2хШВАК с б/з 300 ш. + 10хРО-132</w:t>
      </w:r>
    </w:p>
    <w:p w14:paraId="315715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подвижное для стрельбы назад - блистер под УБТх1 с б/з 195, уст. ТСС-4 под ШКАСх1 с б/з 1000 ш.</w:t>
      </w:r>
    </w:p>
    <w:p w14:paraId="74D74D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Люковая установка под УБТх1 - 260 б/з </w:t>
      </w:r>
    </w:p>
    <w:p w14:paraId="02C5477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Состав экипажа: л и ш в передней кабине, стрелок-радист - задняя кабина, стрелок - задняя кабина</w:t>
      </w:r>
    </w:p>
    <w:p w14:paraId="6553BF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по геометрическим параметрам не отличается от с-та 103В</w:t>
      </w:r>
    </w:p>
    <w:p w14:paraId="58DEDE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Результаты испытаний:</w:t>
      </w:r>
    </w:p>
    <w:p w14:paraId="7912F8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Испытания в Кольцово с 13 сентября по 28 октября 1942 (в последнем полете с-т был поврежден). Налет в 44 полетах - 32:00</w:t>
      </w:r>
    </w:p>
    <w:p w14:paraId="67E6A1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 - 7601</w:t>
      </w:r>
    </w:p>
    <w:p w14:paraId="15D28A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Нормальный полетный вес - 10537,9</w:t>
      </w:r>
    </w:p>
    <w:p w14:paraId="4925BB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Перегрузочный вариант - 11767,9</w:t>
      </w:r>
    </w:p>
    <w:p w14:paraId="4790D2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экипаж - 360</w:t>
      </w:r>
    </w:p>
    <w:p w14:paraId="19F770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горючее - 1000, в перегруз 2200</w:t>
      </w:r>
    </w:p>
    <w:p w14:paraId="449C6D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масло - 150 и 180</w:t>
      </w:r>
    </w:p>
    <w:p w14:paraId="402A49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стрелково-пушечное вооружение - 167,8</w:t>
      </w:r>
    </w:p>
    <w:p w14:paraId="314107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боезапас - 187</w:t>
      </w:r>
    </w:p>
    <w:p w14:paraId="26DC11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бомбы и замки - 1018,5</w:t>
      </w:r>
    </w:p>
    <w:p w14:paraId="63AAB6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аккумулятор 29</w:t>
      </w:r>
    </w:p>
    <w:p w14:paraId="2720AC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прицелы, ракетный пистолет - 24,6</w:t>
      </w:r>
    </w:p>
    <w:p w14:paraId="2B7EB0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Итого 2936,9 и 41166,9 в перегруз</w:t>
      </w:r>
    </w:p>
    <w:p w14:paraId="365591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 у земли на 2400 об. - 444 км/час</w:t>
      </w:r>
    </w:p>
    <w:p w14:paraId="0BAFE7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 на 1-й гр. высотности 32000 м - 521 км/час, на 2-й гр. 6160 - 514 км/час</w:t>
      </w:r>
    </w:p>
    <w:p w14:paraId="7655FB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набора 5000 м - 10,2, 9000 м - 35</w:t>
      </w:r>
    </w:p>
    <w:p w14:paraId="5BA712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- 450</w:t>
      </w:r>
    </w:p>
    <w:p w14:paraId="337E4D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Пробег - 725</w:t>
      </w:r>
    </w:p>
    <w:p w14:paraId="0F64E2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Посадочная скорость - 156 км/час</w:t>
      </w:r>
    </w:p>
    <w:p w14:paraId="2C5B49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Практический потолок - 9000 м</w:t>
      </w:r>
    </w:p>
    <w:p w14:paraId="451F69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Дальность полета при полном запасе горючего 2220 кг, бомбовой нагрузке 1000 кг</w:t>
      </w:r>
    </w:p>
    <w:p w14:paraId="610BF3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на 1000 м действ. скорость 365 км/час (на 0,8 макс.) - 2020 км</w:t>
      </w:r>
    </w:p>
    <w:p w14:paraId="227624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на 3000 м действ. скорость 405 км\час (на 0,8 макс.) - 1980 км</w:t>
      </w:r>
    </w:p>
    <w:p w14:paraId="295803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Летная оценка: Посадки - просты, пикирование - устойчивое. При выходе из пикирования - наблюдается раскрутка винтов. Автомат пикирования АП-3 работает хорошо. Полет ночью по технике ничем не отличается от дневного. Освещение кабины - неудобное</w:t>
      </w:r>
    </w:p>
    <w:p w14:paraId="309CAD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 вл и нач. 3 Отд.м Жданов и м Нюхтиков</w:t>
      </w:r>
    </w:p>
    <w:p w14:paraId="05C2F0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Заключение:</w:t>
      </w:r>
    </w:p>
    <w:p w14:paraId="22A17A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Серийный с-т Ту-2 № 100308 по своим ЛТД стоит на уровне современных 2-х моторных бомбардировщиков и имеет возможности для дальнейшего модифицирования.</w:t>
      </w:r>
    </w:p>
    <w:p w14:paraId="27F202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В результате испытаний установлено, что с-т не удовлетворяет условиям договора ГУ ВВС ИАС с НКАП о поставке с-тов Ту-2:</w:t>
      </w:r>
    </w:p>
    <w:p w14:paraId="0A63B4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по максимальной скорости, которая на высоте 6000 м на 66 км/час ниже</w:t>
      </w:r>
    </w:p>
    <w:p w14:paraId="2E049D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 потолку, который меньше на 800 м</w:t>
      </w:r>
    </w:p>
    <w:p w14:paraId="021E38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По взлетно-посадочным данным и скороподъемности с-т соответствует условям договора</w:t>
      </w:r>
    </w:p>
    <w:p w14:paraId="5C6BF7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ВМГ с-та не обеспечивает высотных полетов свыше 6000 м из-за тряски моторов и выброса масла из суфлера мотора, а также полетов на пикирование из-за раскрутки винтов</w:t>
      </w:r>
    </w:p>
    <w:p w14:paraId="34F17D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Просить НКАП:</w:t>
      </w:r>
    </w:p>
    <w:p w14:paraId="2F60B9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дать указание ГК А.Н.Т. о быстрейшем устранении раскрутки винтов. Обеспечить возможность пользования прицелом ПС-1</w:t>
      </w:r>
    </w:p>
    <w:p w14:paraId="2CC11A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дать указание ГК хавода № 19 об устранении ненормальной работы мотора М-82 на 2-й скорости нагнетателя</w:t>
      </w:r>
    </w:p>
    <w:p w14:paraId="071772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ввиде того, что по ЛТД с-т представляет интерес для ВВС КА, обязать ГК продолжить работу по доводке и модификации с-та, выделив в его распоряжение необходимое количество с-тов</w:t>
      </w:r>
    </w:p>
    <w:p w14:paraId="297FD7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Доложит ГИ ВВС КА о:</w:t>
      </w:r>
    </w:p>
    <w:p w14:paraId="288CAD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необходимости указания частям не производить пикирования до устранения дефекта рскрутки винтов...(812,8).</w:t>
      </w:r>
    </w:p>
    <w:p w14:paraId="37E5AC6D" w14:textId="77777777" w:rsidR="00090C9B" w:rsidRPr="00722885" w:rsidRDefault="00090C9B" w:rsidP="00722885">
      <w:pPr>
        <w:pStyle w:val="Iauiue"/>
        <w:jc w:val="both"/>
        <w:rPr>
          <w:color w:val="000000" w:themeColor="text1"/>
          <w:sz w:val="16"/>
          <w:szCs w:val="16"/>
        </w:rPr>
      </w:pPr>
    </w:p>
    <w:p w14:paraId="0114A1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26 октября 1942 по 2 октября 1943 проходили заводские летные испытания И-220 с АМ-39 и АВ-5-Л126 (799,5).</w:t>
      </w:r>
    </w:p>
    <w:p w14:paraId="0F77EB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1943 зам. НКАП А.С.Я. утвердил Отчет о заводских летных испытаниях с-та И-220</w:t>
      </w:r>
    </w:p>
    <w:p w14:paraId="06822C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Отв. исполнители ви А.Г.Брунов</w:t>
      </w:r>
    </w:p>
    <w:p w14:paraId="4AFD34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л Хорьков</w:t>
      </w:r>
    </w:p>
    <w:p w14:paraId="6ED44F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И-220 с АМ-39 и АВ-5-Л126 диаметром 3,2</w:t>
      </w:r>
    </w:p>
    <w:p w14:paraId="62039B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вес 3647 и с АМ-38Ф 3572</w:t>
      </w:r>
    </w:p>
    <w:p w14:paraId="3F7898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Площадь крыла 20,38 м2, длина 9,5, размах 11, высота на стоянке 3,160, колеса 650х200, нагрузка на крыло 180</w:t>
      </w:r>
    </w:p>
    <w:p w14:paraId="1079F1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АМ-39</w:t>
      </w:r>
    </w:p>
    <w:p w14:paraId="3121E5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 у земли 571, на 1 гр. 2700 - 614, на 2 гр. 7800 - 697</w:t>
      </w:r>
    </w:p>
    <w:p w14:paraId="7C6989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АМ-38Ф3</w:t>
      </w:r>
    </w:p>
    <w:p w14:paraId="77D306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 у земли 576, на 1 гр. 2650 - 624 (799,5).</w:t>
      </w:r>
    </w:p>
    <w:p w14:paraId="75BD15D9" w14:textId="77777777" w:rsidR="00090C9B" w:rsidRPr="00722885" w:rsidRDefault="00090C9B" w:rsidP="00722885">
      <w:pPr>
        <w:pStyle w:val="Iauiue"/>
        <w:jc w:val="both"/>
        <w:rPr>
          <w:color w:val="000000" w:themeColor="text1"/>
          <w:sz w:val="16"/>
          <w:szCs w:val="16"/>
        </w:rPr>
      </w:pPr>
    </w:p>
    <w:p w14:paraId="71FC13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С 26 октября 1942 по 15 ноября 1942 в НИИ ВВС проходили гос. испытания НББ Як-6 № 0247. Поставили РСИ-4 и РПК-10. Мог нести 500 кг бомб под крылом. Поставили ШКАС на шкворневой установке ОП-102. Ви - А.В.Синельников. Летал п/п К.А.Калилец. Были ли облеты л НИИ ВВС и 12 боевых л и ш 661 ЛБАП и 242 НБАП. Выполнили 64 полета, в т.ч. л 661 ЛБАП - 30 (4657, 17).</w:t>
      </w:r>
    </w:p>
    <w:p w14:paraId="6E8E98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Заключение:</w:t>
      </w:r>
    </w:p>
    <w:p w14:paraId="6F800190" w14:textId="77777777" w:rsidR="00090C9B" w:rsidRPr="00722885" w:rsidRDefault="00090C9B" w:rsidP="00722885">
      <w:pPr>
        <w:pStyle w:val="Iauiue"/>
        <w:numPr>
          <w:ilvl w:val="0"/>
          <w:numId w:val="19"/>
        </w:numPr>
        <w:ind w:left="0" w:firstLine="0"/>
        <w:jc w:val="both"/>
        <w:rPr>
          <w:color w:val="000000" w:themeColor="text1"/>
          <w:sz w:val="16"/>
          <w:szCs w:val="16"/>
        </w:rPr>
      </w:pPr>
      <w:r w:rsidRPr="00722885">
        <w:rPr>
          <w:color w:val="000000" w:themeColor="text1"/>
          <w:sz w:val="16"/>
          <w:szCs w:val="16"/>
        </w:rPr>
        <w:t>С-т Як-6 № 0247 с 2хМ-11Ф в предъявленном виде имеет ряд существенных недостатковы, не позволяющих использовать его как массовой НБ,</w:t>
      </w:r>
    </w:p>
    <w:p w14:paraId="1CC8DA24" w14:textId="77777777" w:rsidR="00090C9B" w:rsidRPr="00722885" w:rsidRDefault="00090C9B" w:rsidP="00722885">
      <w:pPr>
        <w:pStyle w:val="Iauiue"/>
        <w:numPr>
          <w:ilvl w:val="0"/>
          <w:numId w:val="19"/>
        </w:numPr>
        <w:ind w:left="0" w:firstLine="0"/>
        <w:jc w:val="both"/>
        <w:rPr>
          <w:color w:val="000000" w:themeColor="text1"/>
          <w:sz w:val="16"/>
          <w:szCs w:val="16"/>
        </w:rPr>
      </w:pPr>
      <w:r w:rsidRPr="00722885">
        <w:rPr>
          <w:color w:val="000000" w:themeColor="text1"/>
          <w:sz w:val="16"/>
          <w:szCs w:val="16"/>
        </w:rPr>
        <w:t>Обязать з-д № 47 в январе 1943 предъявить эталон с-та Як-6 2хМ-11Ф на контрольные испытания, нак отором устранить дефекты, отмеченные в п. 1 заключения и перечне дефектов.</w:t>
      </w:r>
    </w:p>
    <w:p w14:paraId="60654F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январе - не вышел (4657, 17).</w:t>
      </w:r>
    </w:p>
    <w:p w14:paraId="29967380" w14:textId="77777777" w:rsidR="00090C9B" w:rsidRPr="00722885" w:rsidRDefault="00090C9B" w:rsidP="00722885">
      <w:pPr>
        <w:pStyle w:val="Iauiue"/>
        <w:jc w:val="both"/>
        <w:rPr>
          <w:color w:val="000000" w:themeColor="text1"/>
          <w:sz w:val="16"/>
          <w:szCs w:val="16"/>
        </w:rPr>
      </w:pPr>
    </w:p>
    <w:p w14:paraId="0BD9BDCF" w14:textId="77777777" w:rsidR="007F4BD1" w:rsidRPr="00722885" w:rsidRDefault="007F4B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октября 1942 г. командующий 3-й воздушной армии генералмайор М.М. Громов в докладе командующему ВВС КА генерал-лейтенанту А.А. Новикову указывал: «Противник, атаковавший наши самолеты сзади, после применения АГ-2 обычно атаки прекращал, а один самолет противника был сбит. Это новое оружие крайне популярно среди летного состава и имеет положительные оценки. В настоящее время АГ-2 и кассеты к ним ДАГ-10 изготовляются в массовом производстве и устанавливаются в частях ремонтными бригадами. Прошу распоряжения авиазаводам, строящим самолеты Пе-2 и Ил-2, включить установки ДАГ-10 в общий комплект вооружения» (19775).</w:t>
      </w:r>
    </w:p>
    <w:p w14:paraId="3B536C8A" w14:textId="77777777" w:rsidR="007F4BD1" w:rsidRPr="00722885" w:rsidRDefault="007F4BD1" w:rsidP="00722885">
      <w:pPr>
        <w:spacing w:after="0" w:line="240" w:lineRule="auto"/>
        <w:jc w:val="both"/>
        <w:rPr>
          <w:rFonts w:ascii="Times New Roman" w:hAnsi="Times New Roman"/>
          <w:color w:val="000000" w:themeColor="text1"/>
          <w:sz w:val="16"/>
          <w:szCs w:val="16"/>
        </w:rPr>
      </w:pPr>
    </w:p>
    <w:p w14:paraId="0A77C8C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05DF0DA" w14:textId="77777777" w:rsidR="00090C9B" w:rsidRPr="00722885" w:rsidRDefault="00090C9B" w:rsidP="00722885">
      <w:pPr>
        <w:pStyle w:val="Iauiue"/>
        <w:jc w:val="both"/>
        <w:rPr>
          <w:iCs/>
          <w:color w:val="000000" w:themeColor="text1"/>
          <w:sz w:val="16"/>
          <w:szCs w:val="16"/>
        </w:rPr>
      </w:pPr>
    </w:p>
    <w:p w14:paraId="1EEDB9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октября 1942 вышло Постановление ГКО № 2450 О плане военного судостроения на IV квартал 1942 года. РГАНИР, Фонд ГКО, д. 65, лл. 107-112, 113-124 (11012).</w:t>
      </w:r>
    </w:p>
    <w:p w14:paraId="20EDA47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7CA539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7F5F88A" w14:textId="77777777" w:rsidR="00090C9B" w:rsidRPr="00722885" w:rsidRDefault="00090C9B" w:rsidP="00722885">
      <w:pPr>
        <w:pStyle w:val="Iauiue"/>
        <w:jc w:val="both"/>
        <w:rPr>
          <w:iCs/>
          <w:color w:val="000000" w:themeColor="text1"/>
          <w:sz w:val="16"/>
          <w:szCs w:val="16"/>
        </w:rPr>
      </w:pPr>
    </w:p>
    <w:p w14:paraId="024C8574"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26 октября </w:t>
      </w:r>
      <w:r w:rsidRPr="00722885">
        <w:rPr>
          <w:rFonts w:ascii="Times New Roman" w:hAnsi="Times New Roman"/>
          <w:color w:val="000000" w:themeColor="text1"/>
          <w:sz w:val="16"/>
          <w:szCs w:val="16"/>
        </w:rPr>
        <w:t>в 1942 году утреннее сообщение Совинформбюро:</w:t>
      </w:r>
    </w:p>
    <w:p w14:paraId="4CA852E9"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26 октября наши войска вели бои с противником в районе Сталинграда. На других фронтах никаких изменений не произошло.</w:t>
      </w:r>
    </w:p>
    <w:p w14:paraId="70818F1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После сильной артиллерийской и миномётной подготовки противник силами пехоты и танков вновь атаковал наши позиции в районе заводов. Наши бойцы мужественно отбивали атаки врага и нанесли ему большой урон. Только артиллерийским огнём рассеяно и частью уничтожено до полка немецкой пехоты, подбито 14 танков и подавлен огонь 15 миномётных батарей противника. После ожесточённых боёв, неоднократно переходивших в рукопашные схватки, немцам удалось прорваться к окраине одного из заводов. Наши части ведут бои по уничтожению этой группы противника.</w:t>
      </w:r>
    </w:p>
    <w:p w14:paraId="355B12B0"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в воздушных боях сбили 5 немецких самолётов.</w:t>
      </w:r>
    </w:p>
    <w:p w14:paraId="01E8BFBC"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некоторых участках наши войска вели активные боевые действия и захватили ряд ДЗОТ'ов, траншей и окопов противника. Бойцы Н-ской части в результате боя подбили 5 немецких танков и уничтожила до роты гитлеровцев. В этом же бою наши танкисты огнём и гусеницами уничтожили 12 противотанковых орудий, 2 самоходные пушки, 8 пулемётов и около 200 немецкихсолдат и офицеров. На другом участке группа разведчиков из подразделения тов. Коновалова ворвалась в окопы противника и в завязавшейся схватке истребила свыше 70 итальянских солдат и офицеров.</w:t>
      </w:r>
    </w:p>
    <w:p w14:paraId="591041F2"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происходила редкая артиллерийская, миномётная и ружейно-пулемётная перестрелка. Наши лётчики в воздушных боях сбили 2 немецких самолёта, уничтожили на земле 20 автомашин и рассеяли до роты пехоты противника. В тылу у немцев разрушен мост и взорван склад боеприпасов.</w:t>
      </w:r>
    </w:p>
    <w:p w14:paraId="5FBED906"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отдельных участках Западного фронта ружейно-пулемётным и артиллерийским огнём наших частей истреблено до 400 вражеских солдат и офицеров, уничтожена миномётная батарея, разрушено несколько ДЗОТ'ов и блиндажей противника.</w:t>
      </w:r>
    </w:p>
    <w:p w14:paraId="3798B28B"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снайперы подразделения, где командиром тов. Бугаев, за несколько дней истребили свыше 100 немецких солдат и офицеров. Артиллеристы Н-ской части разрушили 6 немецких ДЗОТ'ов и блиндажей, подавили огонь 2 артиллерийских батарей и взорвали склад боеприпасов противника.</w:t>
      </w:r>
    </w:p>
    <w:p w14:paraId="78063F88"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витебских партизан напал на гарнизон противника, расположенный в усадьбе одного совхоза. Партизаны истребили 45 и ранили 28 немецких солдат и офицеров. Другой отряд партизан, действующий в Витебской области, в бою с оккупантами уничтожил 120 гитлеровцев. Один партизан из этого отряда заминировал шоссе. На установленных минах подорвалась автомашина противника. Убито 2 офицера и 6 немецких солдат.</w:t>
      </w:r>
    </w:p>
    <w:p w14:paraId="22C037B9"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угнали 140 жителей города Батайска и его окрестностей на строительство военных укреплений. Гитлеровцы заставляли советских людей работать без отдыха по 16— 18 часов в сутки, морили голодом, избивали и издевались над ними. За 19 дней от голода и побоев умерло 47 человек. После окончания работ фашистские изверги погрузили оставшихся 93 человека на баржу, раздели донага и потопили в реке.</w:t>
      </w:r>
    </w:p>
    <w:p w14:paraId="43267CAA"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Недалеко от станции Либрамон (Бельгия) произошло крушение немецкого эшелона с войсками, следовавшими на Восток. Паровоз и шесть вагонов подорвались на мине.» (14811).</w:t>
      </w:r>
    </w:p>
    <w:p w14:paraId="36895209"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4D1CF9A9"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26 октября </w:t>
      </w:r>
      <w:r w:rsidRPr="00722885">
        <w:rPr>
          <w:rFonts w:ascii="Times New Roman" w:hAnsi="Times New Roman"/>
          <w:color w:val="000000" w:themeColor="text1"/>
          <w:sz w:val="16"/>
          <w:szCs w:val="16"/>
        </w:rPr>
        <w:t>в 1942 году вечернее сообщение Совинформбюро:</w:t>
      </w:r>
    </w:p>
    <w:p w14:paraId="6BA2B2CA"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26 октября наши войска вели бои с противником в районе Сталинграда и северо-восточнее Туапсе. На других фронтах никаких изменений не произошло.</w:t>
      </w:r>
    </w:p>
    <w:p w14:paraId="5BB1ECE3"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25 октября нашей авиацией на различных участках фронта уничтожено 12 немецких танков, до 50 автомашин с войсками и грузами, разбит железнодорожный эшелон, взорваны два склада боеприпасов и склад горючего, подавлен огонь 4 артиллерийских батарей, рассеяно и частью уничтожено до четырёх рот пехоты противника.</w:t>
      </w:r>
    </w:p>
    <w:p w14:paraId="53D9A3E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Авиацией флота в Финском заливе потоплено два транспорта противника общим водоизмещением в 12.000 тонн.</w:t>
      </w:r>
    </w:p>
    <w:p w14:paraId="5F716374"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танков и пехоты противника. В районе заводов на участке, который обороняет Н-ская часть, крупные силы гитлеровцев атаковали наши позиции. Пять часов длилось ожесточённое сражение. Немцам удалось вклиниться в нашу оборону. Тогда наши бойцы ударили противнику во фланги, смяли его и вынудили отойти. В этом бою уничтожено 3 немецких танка, 9 миномётов, 7 пулемётов и до 750 немецких солдат и офицеров.</w:t>
      </w:r>
    </w:p>
    <w:p w14:paraId="1C013C20"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ряде участков продолжались бои. Бойцы Н-ской части истребили до трёх рот немецкой пехоты, подбили 6 противотанковых пушек, уничтожили 4 ДЗОТ'а, 10 блиндажей и 15 пулемётных точек.</w:t>
      </w:r>
    </w:p>
    <w:p w14:paraId="766C4913"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воздушных боях, на аэродромах противника и огнём нашей зенитной артиллерии уничтожено 9 немецких самолётов.</w:t>
      </w:r>
    </w:p>
    <w:p w14:paraId="333C599C"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наша часть атаковала противника, продвинулась вперёд и уничтожила до роты немецких солдат и офицеров. Захваченные в плен солдаты первого немецкого отдельного высокогорного батальона сообщили, что батальон, имевший в своём составе до 1.400 солдат и офицеров, потерял в последних боях убитыми и ранеными около тысячи человек.</w:t>
      </w:r>
    </w:p>
    <w:p w14:paraId="2D468B51"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на западном берегу Дона, бойцы подразделения лейтенанта Каныгина ворвались в окопы противника и закрепились в них. Гитлеровцы несколько раз пытались вернуть выгодный рубеж, но пулемётным огнём были отброшены с большими для них потерями. На сторону Красной Армии перешли 8 солдат 12 венгерской пехотной дивизии.</w:t>
      </w:r>
    </w:p>
    <w:p w14:paraId="065B6D82"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действиями наших подразделений за два дня истреблено до 400 вражеских солдат и офицеров, уничтожены 3 противотанковые пушки и 8 станковых пулемётов. Снайперами одной из частей флота в течение дня истреблено 48 гитлеровцев.</w:t>
      </w:r>
    </w:p>
    <w:p w14:paraId="7C84C7D9"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калининских партизан совершил налёт на немецкий гарнизон, расположенный на железнодорожной станции. Партизаны сожгли казарму, в которой помещались гитлеровцы. В бою истреблено 55 оккупантов.</w:t>
      </w:r>
    </w:p>
    <w:p w14:paraId="0CF3D5CF"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Другой отряд калининских партизан напал на немецкую колонну. Партизаны уничтожили 20 немецких солдат и захватили станковый пулемёт и 8 винтовок. Группа партизан этого же отряда пустила под откос эшелон со скотом, следовавший в Германию.</w:t>
      </w:r>
    </w:p>
    <w:p w14:paraId="015E10FD"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разведчиков Н-ской части, действующей на Воронежском фронте, побывала в тылу немецко-фашистских войск. Разведчик-красноармеец тов. Кирюшин рассказал о чудовищных зверствах гитлеровцев: «B Ивановке, Курской области, немцы бросили в церковь 145 пленных красноармейцев и мирных жителей. Даже тяжело раненным не оказывали никакой медицинской помощи. Много дней запертые в церкви советские граждане не получали ни крошки хлеба, ни какой-либо другой пищи. За короткий срок от голода и ран умерло 28 человек. Их трупы никто не убирал. На пятнадцатый день в живых осталось лишь несколько человек» (14811).</w:t>
      </w:r>
    </w:p>
    <w:p w14:paraId="10BE6286"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72D673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октября 1942 штурмовики 206-й шад под прикрытием истребителей от 268-й иад уничтожали скопление танков, автомашин, артиллерии и пехоты в оврагах севернее и южнее высоты 137,7, в районе Садовая, Ельшанка. Уничтожено и повреждено до 12 танков, 29 автомашин, 10 повозок, 5 орудий и одна батарея полевой артиллерии. Погиб сержант Малышев (его самолет горящим упал на остров Сарпинский) и 4 Ил-2 получили серьезные повреждения от зенитного огня (12020).</w:t>
      </w:r>
    </w:p>
    <w:p w14:paraId="281597F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F7385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октября 1942 г. экипажи двух Ил-4 из 1 -го Гв.МТАП, вернувшись из одиночных крейсерских полетов, доложили о потоплении двух транспортов, водоизмещением по 6000 т каждый (один - в точке с координатами 59°45' сш. 27°17' вд., другой - в районе 59°37' сш. 27°17' вд.). По документам противника установлено, что в тот день в районе о. Большой Тютерс со всем экипажем из 45 человек погиб немецкий охотник за подводными лодками и]1204. Его обломки были обнаружены в точке с координатами 59°48' сш. 27°11 ' вд. Немецкое командование посчитало, что корабль, который нес одиночный противолодочный дозор, погиб на мине (2570,39).</w:t>
      </w:r>
    </w:p>
    <w:p w14:paraId="6DCE632B" w14:textId="77777777" w:rsidR="00090C9B" w:rsidRPr="00722885" w:rsidRDefault="00090C9B" w:rsidP="00722885">
      <w:pPr>
        <w:pStyle w:val="Iauiue"/>
        <w:jc w:val="both"/>
        <w:rPr>
          <w:color w:val="000000" w:themeColor="text1"/>
          <w:sz w:val="16"/>
          <w:szCs w:val="16"/>
        </w:rPr>
      </w:pPr>
    </w:p>
    <w:p w14:paraId="21BF544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26 октября 1942 фашистами захвачен Нальчик (4962).</w:t>
      </w:r>
    </w:p>
    <w:p w14:paraId="44119BD6" w14:textId="77777777" w:rsidR="00090C9B" w:rsidRPr="00722885" w:rsidRDefault="00090C9B" w:rsidP="00722885">
      <w:pPr>
        <w:pStyle w:val="Iauiue"/>
        <w:tabs>
          <w:tab w:val="left" w:pos="11199"/>
        </w:tabs>
        <w:jc w:val="both"/>
        <w:rPr>
          <w:color w:val="000000" w:themeColor="text1"/>
          <w:sz w:val="16"/>
          <w:szCs w:val="16"/>
        </w:rPr>
      </w:pPr>
    </w:p>
    <w:p w14:paraId="72942B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26 октября по 29 ноября 1942 два крупных партизанских соединения под руководством С.А.Ковпака и А.Н.Сабурова осуществили параллельный рейд по тылам противника из района Брянской области до Правобережной Украины (3186).</w:t>
      </w:r>
    </w:p>
    <w:p w14:paraId="3950B20E" w14:textId="77777777" w:rsidR="00090C9B" w:rsidRPr="00722885" w:rsidRDefault="00090C9B" w:rsidP="00722885">
      <w:pPr>
        <w:pStyle w:val="Iauiue"/>
        <w:jc w:val="both"/>
        <w:rPr>
          <w:color w:val="000000" w:themeColor="text1"/>
          <w:sz w:val="16"/>
          <w:szCs w:val="16"/>
        </w:rPr>
      </w:pPr>
    </w:p>
    <w:p w14:paraId="67CB952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26 октября 1942 начался рейд партизанских отрядов Ковпака и Сабурова из Брянских лесов на Правобережную Украину (4962).</w:t>
      </w:r>
    </w:p>
    <w:p w14:paraId="08250F39" w14:textId="77777777" w:rsidR="00090C9B" w:rsidRPr="00722885" w:rsidRDefault="00090C9B" w:rsidP="00722885">
      <w:pPr>
        <w:pStyle w:val="Iauiue"/>
        <w:tabs>
          <w:tab w:val="left" w:pos="11199"/>
        </w:tabs>
        <w:jc w:val="both"/>
        <w:rPr>
          <w:color w:val="000000" w:themeColor="text1"/>
          <w:sz w:val="16"/>
          <w:szCs w:val="16"/>
        </w:rPr>
      </w:pPr>
    </w:p>
    <w:p w14:paraId="10C5B755"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26 октября </w:t>
      </w:r>
      <w:r w:rsidRPr="00722885">
        <w:rPr>
          <w:rFonts w:ascii="Times New Roman" w:hAnsi="Times New Roman"/>
          <w:color w:val="000000" w:themeColor="text1"/>
          <w:sz w:val="16"/>
          <w:szCs w:val="16"/>
        </w:rPr>
        <w:t>в 1942 году (26 октября - 29 ноября) два крупных партизанских соединения под руководством С.А.Ковпака и А.Н.Сабурова осуществили параллельный рейд по немецким тылам из района Брянских лесов до Правобережной Украины. Завершился 29 ноября (14811).</w:t>
      </w:r>
    </w:p>
    <w:p w14:paraId="0C16DF25"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647B48C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8A51A25" w14:textId="77777777" w:rsidR="00090C9B" w:rsidRPr="00722885" w:rsidRDefault="00090C9B" w:rsidP="00722885">
      <w:pPr>
        <w:pStyle w:val="Iauiue"/>
        <w:jc w:val="both"/>
        <w:rPr>
          <w:iCs/>
          <w:color w:val="000000" w:themeColor="text1"/>
          <w:sz w:val="16"/>
          <w:szCs w:val="16"/>
        </w:rPr>
      </w:pPr>
    </w:p>
    <w:p w14:paraId="20E8DB5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26 октября 1942 американский линкор “Южная Дакота” уничтожил 26 японских бомбардировщиков, при этом оставшись невредимым (4962).</w:t>
      </w:r>
    </w:p>
    <w:p w14:paraId="2032EFD9" w14:textId="77777777" w:rsidR="00090C9B" w:rsidRPr="00722885" w:rsidRDefault="00090C9B" w:rsidP="00722885">
      <w:pPr>
        <w:pStyle w:val="Iauiue"/>
        <w:tabs>
          <w:tab w:val="left" w:pos="11199"/>
        </w:tabs>
        <w:jc w:val="both"/>
        <w:rPr>
          <w:color w:val="000000" w:themeColor="text1"/>
          <w:sz w:val="16"/>
          <w:szCs w:val="16"/>
        </w:rPr>
      </w:pPr>
    </w:p>
    <w:p w14:paraId="5D281280"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26 октября </w:t>
      </w:r>
      <w:r w:rsidRPr="00722885">
        <w:rPr>
          <w:rFonts w:ascii="Times New Roman" w:hAnsi="Times New Roman"/>
          <w:color w:val="000000" w:themeColor="text1"/>
          <w:sz w:val="16"/>
          <w:szCs w:val="16"/>
        </w:rPr>
        <w:t>в 1942 году близ острова Санта Круз (Соломоновы острова) произошёл бой между японским авианосным соединением адмирала Кондо (46 кораблей , 213 самолётов) и американской эскадрой контр-адмирала Кинкейда (23 корабля, 171 самолёт). Победу в бою одержали японцы. Потери американцев - авианосец "Hornet" и 74 самолёта , кроме того тяжёлые повреждения получили: авианосец "Enterprise" , линкор "South Dakota" и крейсер "San Juan". Потери японцев - 101 самолёт. Тяжёлые повреждения получили: авианосцы "Шокаку", "Зуикаку" и крейсер "Чикума" (14811).</w:t>
      </w:r>
    </w:p>
    <w:p w14:paraId="655A9AF4"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56C0E51A" w14:textId="77777777" w:rsidR="00FA097A" w:rsidRPr="00722885" w:rsidRDefault="00FA097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26 октября 1942 авианосцы действуют к северо-востоку от Соломоновых островов во время битвы за острова Санта-Крус. Самолеты ВМС США сильно повредили японские авианосцы Shōkaku и Zuihō, а японские авианосцы нанесли смертельный удар авианосцу USS Hornet (CV-8). Рано утром на следующий день самолеты, выпущенные «Хорнет» добивают японские эсминцы. Хорнет стал единственным авианосцем США, когда-либо потопленным надводными кораблями противника (20793).</w:t>
      </w:r>
    </w:p>
    <w:p w14:paraId="4121FE25" w14:textId="77777777" w:rsidR="00FA097A" w:rsidRPr="00722885" w:rsidRDefault="00FA097A" w:rsidP="00722885">
      <w:pPr>
        <w:spacing w:after="0" w:line="240" w:lineRule="auto"/>
        <w:jc w:val="both"/>
        <w:rPr>
          <w:rFonts w:ascii="Times New Roman" w:hAnsi="Times New Roman"/>
          <w:color w:val="0070C0"/>
          <w:sz w:val="16"/>
          <w:szCs w:val="16"/>
        </w:rPr>
      </w:pPr>
    </w:p>
    <w:p w14:paraId="5FF77667"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26 октября </w:t>
      </w:r>
      <w:r w:rsidRPr="00722885">
        <w:rPr>
          <w:rFonts w:ascii="Times New Roman" w:hAnsi="Times New Roman"/>
          <w:color w:val="000000" w:themeColor="text1"/>
          <w:sz w:val="16"/>
          <w:szCs w:val="16"/>
        </w:rPr>
        <w:t>в 1942 году фашисты захватывают Нальчик (14811).</w:t>
      </w:r>
    </w:p>
    <w:p w14:paraId="33863F9C"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4043169E" w14:textId="77777777" w:rsidR="009F7EBD" w:rsidRPr="00722885" w:rsidRDefault="009F7EBD"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26 октября </w:t>
      </w:r>
      <w:r w:rsidRPr="00722885">
        <w:rPr>
          <w:rFonts w:ascii="Times New Roman" w:hAnsi="Times New Roman"/>
          <w:color w:val="000000" w:themeColor="text1"/>
          <w:sz w:val="16"/>
          <w:szCs w:val="16"/>
        </w:rPr>
        <w:t>в 1942 году на сессии Национально-Политического Совета Китая в Чунцине Чан Кай-ши заявил о все возрастающей экономической разрухе в стране (14811).</w:t>
      </w:r>
    </w:p>
    <w:p w14:paraId="68C78828" w14:textId="77777777" w:rsidR="009F7EBD" w:rsidRPr="00722885" w:rsidRDefault="009F7EBD" w:rsidP="00722885">
      <w:pPr>
        <w:spacing w:after="0" w:line="240" w:lineRule="auto"/>
        <w:jc w:val="both"/>
        <w:rPr>
          <w:rFonts w:ascii="Times New Roman" w:hAnsi="Times New Roman"/>
          <w:color w:val="000000" w:themeColor="text1"/>
          <w:sz w:val="16"/>
          <w:szCs w:val="16"/>
        </w:rPr>
      </w:pPr>
    </w:p>
    <w:p w14:paraId="49BF61C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E175481" w14:textId="77777777" w:rsidR="00090C9B" w:rsidRPr="00722885" w:rsidRDefault="00090C9B" w:rsidP="00722885">
      <w:pPr>
        <w:pStyle w:val="Iauiue"/>
        <w:jc w:val="both"/>
        <w:rPr>
          <w:iCs/>
          <w:color w:val="000000" w:themeColor="text1"/>
          <w:sz w:val="16"/>
          <w:szCs w:val="16"/>
        </w:rPr>
      </w:pPr>
    </w:p>
    <w:p w14:paraId="7011B5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октября 1942 А.И.Ш. писал И.В.С. письмо N 7163</w:t>
      </w:r>
    </w:p>
    <w:p w14:paraId="72746F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вопросу строительства противотанкового самолета с 2хМ-11, конструкции ЦКБ-29 НКВД:</w:t>
      </w:r>
    </w:p>
    <w:p w14:paraId="77F54B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Предложенный самолет технологически очень прост, спроектирован из дерева и простой стали, содержит в себе ряд новых агрегатов, как, например, деревянные колеса и деревянные моторамы</w:t>
      </w:r>
    </w:p>
    <w:p w14:paraId="1870A1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Можно согласиться с мнением НКВД, что применение этого самолета в качестве противотанкового, м.б. эффективным при выпуске его для фронта в больших количествах.</w:t>
      </w:r>
    </w:p>
    <w:p w14:paraId="33DEFA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 делая свое предложение об организации массового производства таких самолетов и доказывая возможность изготовления 100 самолетов в день, НКВД упустил из виду вопрос об обеспечении такой программы моторами (необходимо создать мощный моторный завод</w:t>
      </w:r>
    </w:p>
    <w:p w14:paraId="0C2EF4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Поэтому считаю необходимым построить предлагаемый противотанковый самолет в 5 экз. для проверки его тактических и летных свойств, вопросов уязвимости, технологии и отработки вооружения. Решение о массовой постройке и размерах программы следует принять в случае положительных результатов испытаний. В противном случае, основные положительные предложения НКВД по броне, оружию и упрощенной технологии можно будет реализовать на принятом в серийное производство самолете Як-6, что технически возможно (1653,172).</w:t>
      </w:r>
    </w:p>
    <w:p w14:paraId="00562AD6" w14:textId="77777777" w:rsidR="00090C9B" w:rsidRPr="00722885" w:rsidRDefault="00090C9B" w:rsidP="00722885">
      <w:pPr>
        <w:pStyle w:val="Iauiue"/>
        <w:jc w:val="both"/>
        <w:rPr>
          <w:color w:val="000000" w:themeColor="text1"/>
          <w:sz w:val="16"/>
          <w:szCs w:val="16"/>
        </w:rPr>
      </w:pPr>
    </w:p>
    <w:p w14:paraId="04B6147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октября 1942 г. полеты МиГ-9 в 34 иап из-за выявленных дефектов винтомоторной группы были прекращены и самолеты вернули ОКБ-155 для доработки (5485,30).</w:t>
      </w:r>
    </w:p>
    <w:p w14:paraId="583C8A20" w14:textId="77777777" w:rsidR="00090C9B" w:rsidRPr="00722885" w:rsidRDefault="00090C9B" w:rsidP="00722885">
      <w:pPr>
        <w:pStyle w:val="Iauiue"/>
        <w:jc w:val="both"/>
        <w:rPr>
          <w:color w:val="000000" w:themeColor="text1"/>
          <w:sz w:val="16"/>
          <w:szCs w:val="16"/>
        </w:rPr>
      </w:pPr>
    </w:p>
    <w:p w14:paraId="258BD4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27 октября по 9 ноября 1942 г. форсированный по мощности М-105ПФ за счет увеличения наддува до 1175 мм рт.ст. успешно прошел 100-часовые государственные испытания. Взлетная мощность возросла с 1210 до 1350 л.с., а номинальная мощность на расчетной высоте с 1260 до 1350 л.с. Пик мощности мотора приходился на диапазон высот, на которых в основном велись воздушные бои, Архив ОКБ что сулило значительное улучшение летных данных серийных самолетов. У М-105ПФ в том же диапазоне высот был "провал" мощности из-за переключения скоростей нагнетателя. Поэтому сразу же опытный мотор М-106П был установлен на Як-1 № 5085 для проведения испытаний. Летный эксперимент был поставлен чисто. Этот самолет испытывался до этого дважды: первый раз после выпуска в августе, и второй раз - в октябре 1942 г. после улучшения аэродинамики, обзора и вооружения как на серийных Як-1б. В результате испытаний были получены максимальные скорости горизонтального полета, приведенные в таблице.</w:t>
      </w:r>
    </w:p>
    <w:p w14:paraId="0071F0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Максимальные скорости горизонтального полета, км/ч, Як-1 № 5085 с моторами М-106П и М-105ПФ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9B487A" w:rsidRPr="00722885" w14:paraId="43DA6048" w14:textId="77777777" w:rsidTr="00CC5360">
        <w:tc>
          <w:tcPr>
            <w:tcW w:w="1401" w:type="dxa"/>
            <w:tcBorders>
              <w:top w:val="single" w:sz="12" w:space="0" w:color="auto"/>
            </w:tcBorders>
          </w:tcPr>
          <w:p w14:paraId="2E301C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w:t>
            </w:r>
          </w:p>
        </w:tc>
        <w:tc>
          <w:tcPr>
            <w:tcW w:w="1401" w:type="dxa"/>
            <w:tcBorders>
              <w:top w:val="single" w:sz="12" w:space="0" w:color="auto"/>
            </w:tcBorders>
          </w:tcPr>
          <w:p w14:paraId="06CEAC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полета, м</w:t>
            </w:r>
          </w:p>
        </w:tc>
        <w:tc>
          <w:tcPr>
            <w:tcW w:w="1401" w:type="dxa"/>
            <w:tcBorders>
              <w:top w:val="single" w:sz="12" w:space="0" w:color="auto"/>
            </w:tcBorders>
          </w:tcPr>
          <w:p w14:paraId="41BCE51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06AE384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64B0E5E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7171F73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C26AAD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274BF4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610F98E" w14:textId="77777777" w:rsidTr="00CC5360">
        <w:tc>
          <w:tcPr>
            <w:tcW w:w="1401" w:type="dxa"/>
          </w:tcPr>
          <w:p w14:paraId="2BAC760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Pr>
          <w:p w14:paraId="1239F7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401" w:type="dxa"/>
          </w:tcPr>
          <w:p w14:paraId="54D383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401" w:type="dxa"/>
          </w:tcPr>
          <w:p w14:paraId="5165C1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401" w:type="dxa"/>
          </w:tcPr>
          <w:p w14:paraId="47CB30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1401" w:type="dxa"/>
          </w:tcPr>
          <w:p w14:paraId="5906CF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3750</w:t>
            </w:r>
          </w:p>
        </w:tc>
        <w:tc>
          <w:tcPr>
            <w:tcW w:w="1401" w:type="dxa"/>
          </w:tcPr>
          <w:p w14:paraId="75527F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4000</w:t>
            </w:r>
          </w:p>
        </w:tc>
        <w:tc>
          <w:tcPr>
            <w:tcW w:w="1401" w:type="dxa"/>
          </w:tcPr>
          <w:p w14:paraId="78EF0E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w:t>
            </w:r>
          </w:p>
        </w:tc>
      </w:tr>
      <w:tr w:rsidR="009B487A" w:rsidRPr="00722885" w14:paraId="4CA816BF" w14:textId="77777777" w:rsidTr="00CC5360">
        <w:tc>
          <w:tcPr>
            <w:tcW w:w="1401" w:type="dxa"/>
          </w:tcPr>
          <w:p w14:paraId="54425F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М-106П</w:t>
            </w:r>
          </w:p>
        </w:tc>
        <w:tc>
          <w:tcPr>
            <w:tcW w:w="1401" w:type="dxa"/>
          </w:tcPr>
          <w:p w14:paraId="115983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534</w:t>
            </w:r>
          </w:p>
        </w:tc>
        <w:tc>
          <w:tcPr>
            <w:tcW w:w="1401" w:type="dxa"/>
          </w:tcPr>
          <w:p w14:paraId="322759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555</w:t>
            </w:r>
          </w:p>
        </w:tc>
        <w:tc>
          <w:tcPr>
            <w:tcW w:w="1401" w:type="dxa"/>
          </w:tcPr>
          <w:p w14:paraId="2AA0FF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575</w:t>
            </w:r>
          </w:p>
        </w:tc>
        <w:tc>
          <w:tcPr>
            <w:tcW w:w="1401" w:type="dxa"/>
          </w:tcPr>
          <w:p w14:paraId="7D6F26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596</w:t>
            </w:r>
          </w:p>
        </w:tc>
        <w:tc>
          <w:tcPr>
            <w:tcW w:w="1401" w:type="dxa"/>
          </w:tcPr>
          <w:p w14:paraId="2C27F4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610</w:t>
            </w:r>
          </w:p>
        </w:tc>
        <w:tc>
          <w:tcPr>
            <w:tcW w:w="1401" w:type="dxa"/>
          </w:tcPr>
          <w:p w14:paraId="13D7D7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606</w:t>
            </w:r>
          </w:p>
        </w:tc>
        <w:tc>
          <w:tcPr>
            <w:tcW w:w="1401" w:type="dxa"/>
          </w:tcPr>
          <w:p w14:paraId="5A8573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589</w:t>
            </w:r>
          </w:p>
        </w:tc>
      </w:tr>
      <w:tr w:rsidR="009B487A" w:rsidRPr="00722885" w14:paraId="1812DC0A" w14:textId="77777777" w:rsidTr="00CC5360">
        <w:tc>
          <w:tcPr>
            <w:tcW w:w="1401" w:type="dxa"/>
            <w:tcBorders>
              <w:bottom w:val="single" w:sz="12" w:space="0" w:color="auto"/>
            </w:tcBorders>
          </w:tcPr>
          <w:p w14:paraId="677D74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М-105ПФ</w:t>
            </w:r>
          </w:p>
        </w:tc>
        <w:tc>
          <w:tcPr>
            <w:tcW w:w="1401" w:type="dxa"/>
            <w:tcBorders>
              <w:bottom w:val="single" w:sz="12" w:space="0" w:color="auto"/>
            </w:tcBorders>
          </w:tcPr>
          <w:p w14:paraId="52E3A2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523</w:t>
            </w:r>
          </w:p>
        </w:tc>
        <w:tc>
          <w:tcPr>
            <w:tcW w:w="1401" w:type="dxa"/>
            <w:tcBorders>
              <w:bottom w:val="single" w:sz="12" w:space="0" w:color="auto"/>
            </w:tcBorders>
          </w:tcPr>
          <w:p w14:paraId="01E8D9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546</w:t>
            </w:r>
          </w:p>
        </w:tc>
        <w:tc>
          <w:tcPr>
            <w:tcW w:w="1401" w:type="dxa"/>
            <w:tcBorders>
              <w:bottom w:val="single" w:sz="12" w:space="0" w:color="auto"/>
            </w:tcBorders>
          </w:tcPr>
          <w:p w14:paraId="5CF3A7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568</w:t>
            </w:r>
          </w:p>
        </w:tc>
        <w:tc>
          <w:tcPr>
            <w:tcW w:w="1401" w:type="dxa"/>
            <w:tcBorders>
              <w:bottom w:val="single" w:sz="12" w:space="0" w:color="auto"/>
            </w:tcBorders>
          </w:tcPr>
          <w:p w14:paraId="0A7A2B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571</w:t>
            </w:r>
          </w:p>
        </w:tc>
        <w:tc>
          <w:tcPr>
            <w:tcW w:w="1401" w:type="dxa"/>
            <w:tcBorders>
              <w:bottom w:val="single" w:sz="12" w:space="0" w:color="auto"/>
            </w:tcBorders>
          </w:tcPr>
          <w:p w14:paraId="0BE9D3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590</w:t>
            </w:r>
          </w:p>
        </w:tc>
        <w:tc>
          <w:tcPr>
            <w:tcW w:w="1401" w:type="dxa"/>
            <w:tcBorders>
              <w:bottom w:val="single" w:sz="12" w:space="0" w:color="auto"/>
            </w:tcBorders>
          </w:tcPr>
          <w:p w14:paraId="245DFF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592</w:t>
            </w:r>
          </w:p>
        </w:tc>
        <w:tc>
          <w:tcPr>
            <w:tcW w:w="1401" w:type="dxa"/>
            <w:tcBorders>
              <w:bottom w:val="single" w:sz="12" w:space="0" w:color="auto"/>
            </w:tcBorders>
          </w:tcPr>
          <w:p w14:paraId="45137F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579</w:t>
            </w:r>
          </w:p>
        </w:tc>
      </w:tr>
    </w:tbl>
    <w:p w14:paraId="26901B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с новым мотором сократилось с 6,25 до 5,6 мин. Вместе с тем было установлено, что существующие водо- и маслорадиаторы не обеспечивают нормального охлаждения мотора на режиме максимальной скороподъемности при температурах наружного воздуха более +15° С.</w:t>
      </w:r>
    </w:p>
    <w:p w14:paraId="0184EC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аналогичными результатами закончились 10 января 1943 г. заводские испытания серийного Як-1 № 01111 с серийным мотором М-106-ICK (первые серийные моторы М-106П, получившие новое обозначение, были выпущены 8 ноября 1942 г.). На испытаниях были достигнуты максимальные скорости горизонтального полета у земли - 535 и на высоте 3400 м - 606 км/ч. Высоту 5000 м самолет набрал за 5,1 мин. Испытания подтвердили необходимость увеличения на 12-15 % (для обеспечения нормального температурного режима мотора) эффективности существующих охлаждающих устройств. Отмечалась также тряска мотора на переходных режимах (1800-2200 об/мин), детонация и повышенный расход топлива, дымление на всех режимах работы (12048).</w:t>
      </w:r>
    </w:p>
    <w:p w14:paraId="637808C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EF59E0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FBC286A" w14:textId="77777777" w:rsidR="00090C9B" w:rsidRPr="00722885" w:rsidRDefault="00090C9B" w:rsidP="00722885">
      <w:pPr>
        <w:pStyle w:val="Iauiue"/>
        <w:jc w:val="both"/>
        <w:rPr>
          <w:iCs/>
          <w:color w:val="000000" w:themeColor="text1"/>
          <w:sz w:val="16"/>
          <w:szCs w:val="16"/>
        </w:rPr>
      </w:pPr>
    </w:p>
    <w:p w14:paraId="70675B5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27 октября по 23 ноября 1942 два опытных образца танка Т-34С прошли испытания на НИБТ полигоне. На вооружение танк Т-34С не принимался и в серийном производстве не состоял (10703).</w:t>
      </w:r>
    </w:p>
    <w:p w14:paraId="4828547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E3CA80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октября 1942 года командующие автобронетанковыми войсками всех фронтов получили следующий приказ заместителя наркома обороны генерал-лейтенанта танковых войск Федоренко:</w:t>
      </w:r>
    </w:p>
    <w:p w14:paraId="0805FB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самый кратчайший срок собрать с фронтов все трофейные машины указанных марок как находящиеся в строю, так и не ходовые, требующие ремонта.</w:t>
      </w:r>
    </w:p>
    <w:p w14:paraId="68843A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Танки Т-3, Т-4 и „Артштурм“ подлежит немедленно направить в Москву, на завод № 592, где они будут ремонту и реконструкции с постановкой на них соответствующего артиллерийского вооружения.</w:t>
      </w:r>
    </w:p>
    <w:p w14:paraId="33D5D2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Вашего распоряжения:</w:t>
      </w:r>
    </w:p>
    <w:p w14:paraId="2CFDD1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 производстве точного подсчета имеющихся на Вашем фронте трофейных танков Т-3, Т-4 и „Артштурм“ и высылке в ГАБТУ КА к l.l 1.42 г. точных сведений об этих машинах.</w:t>
      </w:r>
    </w:p>
    <w:p w14:paraId="205C62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 немедленном направлении казанных трофейных машин по адресу: Москва, Мытищи, завод № 592 Наркомата вооружения» (12688).</w:t>
      </w:r>
    </w:p>
    <w:p w14:paraId="133486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поставить трофейные шасси в срок и в нужном количестве не удалось. Причин этому было несколько — как малое количество трофейных танков и САУ нужных марок, так и сложности с их ремонтом из-за отсутствия запчастей и агрегатов. В результате, директор завода № 592 Панкратов направил жалобу по этому поводу наркому вооружения Д. Устинову, а тот, в свою очередь, 17 ноября 1942 года переадресовал ее начальнику ГАБТУ КА Федоренко:</w:t>
      </w:r>
    </w:p>
    <w:p w14:paraId="61123A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«Согласно решения ГКО № 2429сс от 19 ноября 1942 года ГАБТУ КА должен поставить заводу № 592 на программу ноября месяца 30 штук „Артштурм“ и Т-3.</w:t>
      </w:r>
    </w:p>
    <w:p w14:paraId="135F09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ноябрьскую программу завод № 592 ни одной машины не получил, что привело к невыполнению постановления ГКО о сдаче 10 машин к 15 ноября.</w:t>
      </w:r>
    </w:p>
    <w:p w14:paraId="400E82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Последующая задача в ноябре также под угрозой срыва из-за непоставки Вами машин „Артштурм“ и Т-3 согласно решения ГКО.</w:t>
      </w:r>
    </w:p>
    <w:p w14:paraId="07A207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Вас принять самые решительные меры по обеспечению завода № 592 машинами под монтаж, сообщив точных график сроков поставки» (12688).</w:t>
      </w:r>
    </w:p>
    <w:p w14:paraId="6E12DE1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4DF6AF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A17E96F" w14:textId="77777777" w:rsidR="00090C9B" w:rsidRPr="00722885" w:rsidRDefault="00090C9B" w:rsidP="00722885">
      <w:pPr>
        <w:pStyle w:val="Iauiue"/>
        <w:jc w:val="both"/>
        <w:rPr>
          <w:iCs/>
          <w:color w:val="000000" w:themeColor="text1"/>
          <w:sz w:val="16"/>
          <w:szCs w:val="16"/>
        </w:rPr>
      </w:pPr>
    </w:p>
    <w:p w14:paraId="326347C1"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27 октября </w:t>
      </w:r>
      <w:r w:rsidRPr="00722885">
        <w:rPr>
          <w:rFonts w:ascii="Times New Roman" w:hAnsi="Times New Roman"/>
          <w:color w:val="000000" w:themeColor="text1"/>
          <w:sz w:val="16"/>
          <w:szCs w:val="16"/>
        </w:rPr>
        <w:t>в 1942 году утреннее сообщение Совинформбюро:</w:t>
      </w:r>
    </w:p>
    <w:p w14:paraId="25C47754"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27 октября наши войска вели бои с противником в районе Сталинграда и северо-восточнее Туапсе. На других фронтах никаких изменений не произошло.</w:t>
      </w:r>
    </w:p>
    <w:p w14:paraId="7D229E8A"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упорные бои. В северной части города наши войска отбили атаки противника. В этих боях уничтожено 6 немецких танков и до батальона пехоты противника. Пленные немецкие солдаты сообщили, что в ротах 305 немецкой пехотной дивизии осталось всего лишь по 20—30 солдат, остальные убиты или ранены в последних боях. На южной окраине города наши части контратаковали гитлеровцев и уничтожили 10 пулемётных точек, разрушили 26 ДЗОТ'ов и блиндажей и истребили свыше четырёх рот немецкой пехоты.</w:t>
      </w:r>
    </w:p>
    <w:p w14:paraId="342909D9"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бои с противником. Противник несёт на этом участке большие потери. Только одна советская пехотная часть истребила до 300 гитлеровцев, сожгла 6 немецких танков, уничтожила 4 орудия и 7 пулемётов. На другом участке немцы неоднократно атаковали наши части, занявшие накануне населённый пункт. Все атаки гитлеровцев отбиты.</w:t>
      </w:r>
    </w:p>
    <w:p w14:paraId="256B8B19"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уничтожили до 80 автомашин противника, сбили в воздушных боях 5 и подбили 2 немецких самолёта.</w:t>
      </w:r>
    </w:p>
    <w:p w14:paraId="29C3F994"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отбивали атаки противника. На одном участке наши подразделения ведут бои за овладение высотой, имеющей тактическое значение. Автоматчики под командованием лейтенанта Маграхвелидзе уничтожили до 60 гитлеровцев.</w:t>
      </w:r>
    </w:p>
    <w:p w14:paraId="5E4A5EC8"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Восточнее Новороссийска бойцы Н-ской части, атаковав противника, продвинулись вперёд и улучшили свои позиции. В ходе этой операции захвачено 9 немецких пулемётов, 50 автоматов, свыше 100 винтовок и значительное количество боеприпасов. Орудийный расчёт сержанта Завалышева огневым налётом уничтожил две миномётные батареи, рассеял и частью истребил эскадрон кавалерии противника. Красноармеец тов. Луценко огнём из винтовки сбил немецкий истребитель.</w:t>
      </w:r>
    </w:p>
    <w:p w14:paraId="66230B73"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происходила редкая артиллерийская перестрелка. Артиллеристы под командованием лейтенанта Романцева разбили немецкий ДЗОТ, 2 станковых пулемёта и уничтожили свыше 30 вражеских солдат и офицеров. Бронебойщик тов. Вязов из противотанкового ружья поджёг автоцистерну противника. Снайпер тов. Руденко за последние дни убил 34 гитлеровца. Красноармейцы тт. Рубич и Космаков истребили по 5 немцев.</w:t>
      </w:r>
    </w:p>
    <w:p w14:paraId="697B3116"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ленинградских партизан организовала крушение эшелона немецко-фашистских оккупантов. Разбиты шесть платформ с танками и цистерна с горючим. Другая группа партизан подорвала железнодорожный путь и пустила под откос дрезину. Через несколько дней эта же группа партизан подорвала воинский эшелон с боеприпасами. Крушение эшелона сопровождалось взрывом большой силы.</w:t>
      </w:r>
    </w:p>
    <w:p w14:paraId="361711ED"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 Владимир Н., вернувшийся из тыла противника, рассказал: «Недавно мне довелось побывать в деревнях Орловской области — Журиничи, Бугры и др. В этих деревнях были крепкие цветущие колхозы. Немцы дотла сожгли эти деревни. В колхозе имени Воздушного флота не осталось ни одного жилого дома и ни одной постройки. Колхозницы сами построили три сарая, в них разместилось всё население—76 женщин и детей. Как только гитлеровские мерзавцы проведали об этом, они согнали женщин и детей в один сарай и из автоматов всех перестреляли. На следующий день мы проходили через эту деревню. Кругом стояла зловещая тишина. В сарае перед нашими глазами открылось жуткое зрелище. В лужах крови валялись 75 изуродованных и обезображенных трупов. B живых осталась только одна 3-летняя девочка, чудом спасшаяся от расстрела. Мы её взяли с собой и передали на воспитание советским патриотам».</w:t>
      </w:r>
    </w:p>
    <w:p w14:paraId="2E17916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норвежских партизан, действующий в провинции Финмаркен (Северная Норвегия), устроил недавно завал на дороге. Когда немецкая автоколонна сделала вынужденную остановку, норвежские патриоты открыли огонь из пулемётов и уничтожили 27 оккупантов.» (14812).</w:t>
      </w:r>
    </w:p>
    <w:p w14:paraId="59311FBC"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4C9B65E8"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27 октября </w:t>
      </w:r>
      <w:r w:rsidRPr="00722885">
        <w:rPr>
          <w:rFonts w:ascii="Times New Roman" w:hAnsi="Times New Roman"/>
          <w:color w:val="000000" w:themeColor="text1"/>
          <w:sz w:val="16"/>
          <w:szCs w:val="16"/>
        </w:rPr>
        <w:t>в 1942 году вечернее сообщение Совинформбюро:</w:t>
      </w:r>
    </w:p>
    <w:p w14:paraId="00A163BB"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27 октября наши войска вели бои с противником в районе Сталинграда и северо-восточнее Туапсе. На других фронтах существенных изменений не произошло.</w:t>
      </w:r>
    </w:p>
    <w:p w14:paraId="4A7BA65E"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26 октября нашей авиацией на различных участках фронта уничтожено и повреждено до 20 немецких танков, 120 автомашин с войсками и грузами, разбит железнодорожный эшелон, подавлен огонь 8 артиллерийских батарей, рассеяно и частью уничтожено до батальона пехоты противника.</w:t>
      </w:r>
    </w:p>
    <w:p w14:paraId="04AA4F2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бои с пехотой и танками противника, возобновившими наступление в районе рабочего посёлка и заводов. Стремясь сломить сопротивление защитников города, немцы предпринимают одну атаку за другой. Наши части отбивали атаки гитлеровцев. В районе заводов истреблено свыше 900 немецкихсолдат и офицеров, уничтожено 7 танков, 5 станковых пулемётов, 6 миномётов, подавлен огонь 3 миномётных и 2 артиллерийских батарей.</w:t>
      </w:r>
    </w:p>
    <w:p w14:paraId="14AB326F"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некоторых участках продолжались бои с противником. Активно действует наша артиллерия. Орудийные расчёты старшего лейтенанта Соловова подбили 3 немецких танка, рассеяли и частью истребили до роты пехоты противника. Бойцы батареи, где командиром тов. Безухов, подбили 4 вражеских танка, разрушили 23 блиндажа и подавили огонь миномётной батареи противника. На другом участке гитлеровцы, пытаясь вернуть занятый нашей частью населённый пункт, в течение суток предприняли около двадцати атак. Все атаки отбиты с большими для противника потерями.</w:t>
      </w:r>
    </w:p>
    <w:p w14:paraId="06BA86B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противник пытался прорваться к немецкому гарнизону, блокированному нашими войсками в одном населённом пункте. Бойцы части, где командиром тов. Гайдуков, отбили атаки врага и прочно удерживают занятые рубежи. На другом участке Н-ское соединение, предприняв контратаку, продвинулось вперёд и улучшило свои позиции. В ходе этой операции уничтожено до трёх рот гитлеровцев, захвачено 9 немецких пулемётов, 50 автоматов, свыше 100 винтовок и большое количество боеприпасов.</w:t>
      </w:r>
    </w:p>
    <w:p w14:paraId="3CCE213F"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наши части отбили атаку противника силою до двух батальонов пехоты с 10 танками. Через несколько часов гитлеровцы бросили в атаку полк пехоты при поддержке 15 танков и авиации. Атаки противника отбиты. Уничтожено 11 немецких танков и сбито 5 самолётов противника.</w:t>
      </w:r>
    </w:p>
    <w:p w14:paraId="4ADE4BC6"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Смоленские партизаны наносят немецким захватчикам большой урон. Партизанский отряд, действующий в одном из районов области, за первую половину октября истребил до 400 гитлеровцев. Партизаны этого отряда уничтожили 2 паровоза, 25 вагонов с живой силой и 7 платформ с танками и орудиями.</w:t>
      </w:r>
    </w:p>
    <w:p w14:paraId="4D0DB54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действующая в районе шоссейной магистрали, истребила 125 гитлеровцев, уничтожила 6 грузовых автомашин и легковую автомашину с тремя немецкими офицерами. Другая группа партизан пустила под откос железнодорожный эшелон с войсками противника.</w:t>
      </w:r>
    </w:p>
    <w:p w14:paraId="21EF8603"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угнали всех взрослых жителей и подростков деревни Горки, Орловской области, на каторжные работы в Германию. В деревне остались лишь одни малолетние дети. Гитлеровские изверги совершили ещё более чудовищное преступление: они схватили детей и утопили их в колодцах. Несколько дней спустя группа разведчиков-партизан извлекла из колодцев 27 детских трупов.</w:t>
      </w:r>
    </w:p>
    <w:p w14:paraId="7CF4DD2E"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Партизанские отряды, действующие в Хорватии (Югославия), полностью очистили от оккупантов территорию одного уезда. Партизаны убили и ранили более 250 итальянских солдат, захватили 7 пулемётов, 70 винтовок и несколько миномётов.» (14812).</w:t>
      </w:r>
    </w:p>
    <w:p w14:paraId="58D62179"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29CF1139" w14:textId="77777777" w:rsidR="007F4BD1" w:rsidRPr="00722885" w:rsidRDefault="007F4BD1" w:rsidP="00722885">
      <w:pPr>
        <w:pStyle w:val="ae"/>
        <w:spacing w:before="0" w:after="0"/>
        <w:jc w:val="both"/>
        <w:textAlignment w:val="baseline"/>
        <w:rPr>
          <w:color w:val="000000" w:themeColor="text1"/>
          <w:sz w:val="16"/>
          <w:szCs w:val="16"/>
        </w:rPr>
      </w:pPr>
      <w:r w:rsidRPr="00722885">
        <w:rPr>
          <w:color w:val="000000" w:themeColor="text1"/>
          <w:sz w:val="16"/>
          <w:szCs w:val="16"/>
        </w:rPr>
        <w:t>Днем 27 октября 1942 одиночные разведчики Пе-2 из 270-й бад совершили серию полетов на большой высоте над аэродромами Миллерово, Морозовская и Тацинская. Там наблюдалась привычная картина: многочисленные склады, сооружения и стоящие в разных местах двухмоторные Не-111 и Ju-88. Обработав сделанные фотографии, дешифровщики объявили о базировании там «сотен бомбардировщиков». Фактически же на каждом аэродроме находилось одномоментно не более 20–30 машин.</w:t>
      </w:r>
    </w:p>
    <w:p w14:paraId="07D491A0" w14:textId="77777777" w:rsidR="007F4BD1" w:rsidRPr="00722885" w:rsidRDefault="007F4BD1" w:rsidP="00722885">
      <w:pPr>
        <w:pStyle w:val="ae"/>
        <w:spacing w:before="0" w:after="0"/>
        <w:jc w:val="both"/>
        <w:textAlignment w:val="baseline"/>
        <w:rPr>
          <w:color w:val="000000" w:themeColor="text1"/>
          <w:sz w:val="16"/>
          <w:szCs w:val="16"/>
        </w:rPr>
      </w:pPr>
      <w:r w:rsidRPr="00722885">
        <w:rPr>
          <w:color w:val="000000" w:themeColor="text1"/>
          <w:sz w:val="16"/>
          <w:szCs w:val="16"/>
        </w:rPr>
        <w:t>Первый налет сразу на тринадцать аэродромов, в том числе на Тацинскую, Морозовскую, Миллерово, Обливскую, Тусов, Карповку и другие, был совершен 27 октября. В общей сложности в нем участвовало 314 штурмовиков, истребителей и бомбардировщиков. Первыми еще ночью авиабазы люфтваффе бомбили Пе-2, затем днем с малой высоты их штурмовали Ил-2 из 206-й шад и истребители 268-й иад, а потом еще раз бомбили все те же пешки. Затем 28 и 29 октября налеты были повторены, но уже меньшими силами.</w:t>
      </w:r>
    </w:p>
    <w:p w14:paraId="00E35968" w14:textId="77777777" w:rsidR="007F4BD1" w:rsidRPr="00722885" w:rsidRDefault="007F4BD1" w:rsidP="00722885">
      <w:pPr>
        <w:pStyle w:val="ae"/>
        <w:spacing w:before="0" w:after="0"/>
        <w:jc w:val="both"/>
        <w:textAlignment w:val="baseline"/>
        <w:rPr>
          <w:color w:val="000000" w:themeColor="text1"/>
          <w:sz w:val="16"/>
          <w:szCs w:val="16"/>
        </w:rPr>
      </w:pPr>
      <w:r w:rsidRPr="00722885">
        <w:rPr>
          <w:color w:val="000000" w:themeColor="text1"/>
          <w:sz w:val="16"/>
          <w:szCs w:val="16"/>
        </w:rPr>
        <w:t>Однако эффект снова оказался минимальным. Даже по данным советского командования, в ходе 502 самолето-вылетов удалось уничтожить на земле только 20 самолетов. На самом же деле и эта цифра являлась преувеличенной. В то же время собственные потери атакующих составили 11 машин: шесть истребителей, три бомбардировщика и два штурмовика. Многие другие получили повреждения. В итоге все это задуманное и с размахом проведенное мероприятие никак не отразилось на действиях немецкой авиации (19522).</w:t>
      </w:r>
    </w:p>
    <w:p w14:paraId="2CE999B0" w14:textId="77777777" w:rsidR="007F4BD1" w:rsidRPr="00722885" w:rsidRDefault="007F4BD1" w:rsidP="00722885">
      <w:pPr>
        <w:pStyle w:val="ae"/>
        <w:spacing w:before="0" w:after="0"/>
        <w:jc w:val="both"/>
        <w:textAlignment w:val="baseline"/>
        <w:rPr>
          <w:color w:val="000000" w:themeColor="text1"/>
          <w:sz w:val="16"/>
          <w:szCs w:val="16"/>
        </w:rPr>
      </w:pPr>
    </w:p>
    <w:p w14:paraId="18B9C3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октября 1942 полки 206-й шад работали на улицах Сталинграда. Всего дивизией выполнено 42 самолето-вылета. В районе целей экипажи отмечали сильный зенитный огонь и непрерывное патрулирование "мессерш- миттов" в группах по 6-8 самолетов, в то время как "...действий и помощи истребителей прикрытия 268-й иад штурмовикам" не было. В результате 206-я шад понесла значительные потери. Только один 945-й шап, выполнив в течение дня 26 самолето-вылетов, потерял 3 Ил-2 сбитыми и 4 Ил-2 поврежденными. Погибли капитан Ванифатьев и сержанты Поздняков и Прохоренко.</w:t>
      </w:r>
    </w:p>
    <w:p w14:paraId="298F58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ходе вылета на штурмовку немецких войск на ул. Ленина на самолете лейтенанта Макарова прямым попаданием зенитного снаряда были повреждены крыло, колеса шасси, управление самолетом и многие агрегаты системы шасси. Макаров сумел довести подбитый самолет до своего аэродрома, где в течение 30 минут летал по большому кругу и предпринимал все возможные меры, чтобы выпустить шасси. С земли летчику была дана команда посадить самолет с убранными шасси, но настойчивость летчика была вознаграждена, шасси вышли, и Макаров благополучно произвел посадку на диски колес. Через несколько часов штурмовик был в строю.</w:t>
      </w:r>
    </w:p>
    <w:p w14:paraId="7B5102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время удара по скоплению мотопехоты противника в районе выс. 137,7 и далее по оврагу восточнее высоты и в районе Ельшанка истребителям Люфтваффе удалось повредить Ил-2 лейтенанта Миронова. У машины были повреждены система управления самолетом и шасси. Сам Миронов получил ранения в руку и в правый бок. Истекая кровью, летчик сумел не только довести подбитую машину до своего аэродрома, но и мастерски ее посадить. За этот подвиг Миронов был награжден орденом Красного Знамени (12020).</w:t>
      </w:r>
    </w:p>
    <w:p w14:paraId="6DE03D4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E9C15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27 по 29 октября 1942 (две ночи и один день) соединения 8ВА и АДД нанесли удары по 13 аэродромам для уравновешивания соотношения воздушных сил перед наступательной операции и выполнили 502 самолета-вылета. Сожгли 23 самолета и вывели из строя ВПП (518,74).</w:t>
      </w:r>
    </w:p>
    <w:p w14:paraId="5503E66B" w14:textId="77777777" w:rsidR="00090C9B" w:rsidRPr="00722885" w:rsidRDefault="00090C9B" w:rsidP="00722885">
      <w:pPr>
        <w:pStyle w:val="Iauiue"/>
        <w:jc w:val="both"/>
        <w:rPr>
          <w:color w:val="000000" w:themeColor="text1"/>
          <w:sz w:val="16"/>
          <w:szCs w:val="16"/>
        </w:rPr>
      </w:pPr>
    </w:p>
    <w:p w14:paraId="11AB85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27 по 29 октября 1942 была проведена специальная воздушная операция силами 8ВА - 173 машины и 3 ад (24, 53, 62) АДД 141 машина по 13 аэродромам. Сделали 502 вылета и повредили и уничтожили несколько десятков самолетов (340,100).</w:t>
      </w:r>
    </w:p>
    <w:p w14:paraId="7C2C03F6" w14:textId="77777777" w:rsidR="00090C9B" w:rsidRPr="00722885" w:rsidRDefault="00090C9B" w:rsidP="00722885">
      <w:pPr>
        <w:pStyle w:val="Iauiue"/>
        <w:jc w:val="both"/>
        <w:rPr>
          <w:color w:val="000000" w:themeColor="text1"/>
          <w:sz w:val="16"/>
          <w:szCs w:val="16"/>
        </w:rPr>
      </w:pPr>
    </w:p>
    <w:p w14:paraId="3FA0FD7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27 по 29 октября 1942г. В период подготовки кон</w:t>
      </w:r>
      <w:r w:rsidRPr="00722885">
        <w:rPr>
          <w:rFonts w:ascii="Times New Roman" w:hAnsi="Times New Roman"/>
          <w:color w:val="000000" w:themeColor="text1"/>
          <w:sz w:val="16"/>
          <w:szCs w:val="16"/>
        </w:rPr>
        <w:softHyphen/>
        <w:t>трнаступления под Сталинг</w:t>
      </w:r>
      <w:r w:rsidRPr="00722885">
        <w:rPr>
          <w:rFonts w:ascii="Times New Roman" w:hAnsi="Times New Roman"/>
          <w:color w:val="000000" w:themeColor="text1"/>
          <w:sz w:val="16"/>
          <w:szCs w:val="16"/>
        </w:rPr>
        <w:softHyphen/>
        <w:t>радом также проводилась воздушная операция. Пре</w:t>
      </w:r>
      <w:r w:rsidRPr="00722885">
        <w:rPr>
          <w:rFonts w:ascii="Times New Roman" w:hAnsi="Times New Roman"/>
          <w:color w:val="000000" w:themeColor="text1"/>
          <w:sz w:val="16"/>
          <w:szCs w:val="16"/>
        </w:rPr>
        <w:softHyphen/>
        <w:t>следовалась цель ослабить авиацию противника и урав</w:t>
      </w:r>
      <w:r w:rsidRPr="00722885">
        <w:rPr>
          <w:rFonts w:ascii="Times New Roman" w:hAnsi="Times New Roman"/>
          <w:color w:val="000000" w:themeColor="text1"/>
          <w:sz w:val="16"/>
          <w:szCs w:val="16"/>
        </w:rPr>
        <w:softHyphen/>
        <w:t>новесить соотношение воз</w:t>
      </w:r>
      <w:r w:rsidRPr="00722885">
        <w:rPr>
          <w:rFonts w:ascii="Times New Roman" w:hAnsi="Times New Roman"/>
          <w:color w:val="000000" w:themeColor="text1"/>
          <w:sz w:val="16"/>
          <w:szCs w:val="16"/>
        </w:rPr>
        <w:softHyphen/>
        <w:t>душных сил к нспалу опера</w:t>
      </w:r>
      <w:r w:rsidRPr="00722885">
        <w:rPr>
          <w:rFonts w:ascii="Times New Roman" w:hAnsi="Times New Roman"/>
          <w:color w:val="000000" w:themeColor="text1"/>
          <w:sz w:val="16"/>
          <w:szCs w:val="16"/>
        </w:rPr>
        <w:softHyphen/>
        <w:t>ции наземных войск. Части и со</w:t>
      </w:r>
      <w:r w:rsidRPr="00722885">
        <w:rPr>
          <w:rFonts w:ascii="Times New Roman" w:hAnsi="Times New Roman"/>
          <w:color w:val="000000" w:themeColor="text1"/>
          <w:sz w:val="16"/>
          <w:szCs w:val="16"/>
        </w:rPr>
        <w:softHyphen/>
        <w:t>единения 8-й ВА и АДД вы</w:t>
      </w:r>
      <w:r w:rsidRPr="00722885">
        <w:rPr>
          <w:rFonts w:ascii="Times New Roman" w:hAnsi="Times New Roman"/>
          <w:color w:val="000000" w:themeColor="text1"/>
          <w:sz w:val="16"/>
          <w:szCs w:val="16"/>
        </w:rPr>
        <w:softHyphen/>
        <w:t>полнили 502 самолето-выле</w:t>
      </w:r>
      <w:r w:rsidRPr="00722885">
        <w:rPr>
          <w:rFonts w:ascii="Times New Roman" w:hAnsi="Times New Roman"/>
          <w:color w:val="000000" w:themeColor="text1"/>
          <w:sz w:val="16"/>
          <w:szCs w:val="16"/>
        </w:rPr>
        <w:softHyphen/>
        <w:t>та по 13 аэродромам про</w:t>
      </w:r>
      <w:r w:rsidRPr="00722885">
        <w:rPr>
          <w:rFonts w:ascii="Times New Roman" w:hAnsi="Times New Roman"/>
          <w:color w:val="000000" w:themeColor="text1"/>
          <w:sz w:val="16"/>
          <w:szCs w:val="16"/>
        </w:rPr>
        <w:softHyphen/>
        <w:t>тивнике (10783).</w:t>
      </w:r>
    </w:p>
    <w:p w14:paraId="1E29677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57356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октября 1942 партизанские соединения С.А.Ковпака и А.И.Сабурова начали 700 км рейд по тылам из Брянских лесов до Правобережной Украины (3398,371).</w:t>
      </w:r>
    </w:p>
    <w:p w14:paraId="24C02E5D" w14:textId="77777777" w:rsidR="00090C9B" w:rsidRPr="00722885" w:rsidRDefault="00090C9B" w:rsidP="00722885">
      <w:pPr>
        <w:pStyle w:val="Iauiue"/>
        <w:jc w:val="both"/>
        <w:rPr>
          <w:color w:val="000000" w:themeColor="text1"/>
          <w:sz w:val="16"/>
          <w:szCs w:val="16"/>
        </w:rPr>
      </w:pPr>
    </w:p>
    <w:p w14:paraId="7BBF7535"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27 октября </w:t>
      </w:r>
      <w:r w:rsidRPr="00722885">
        <w:rPr>
          <w:rFonts w:ascii="Times New Roman" w:hAnsi="Times New Roman"/>
          <w:color w:val="000000" w:themeColor="text1"/>
          <w:sz w:val="16"/>
          <w:szCs w:val="16"/>
        </w:rPr>
        <w:t>в 1942 году партизанские соединения под командованием С.А.Ковпака и А.Н.Сабурова начали 700-километровый рейд по тылам врага из Брянских лесов до Правобережной Украины (14812).</w:t>
      </w:r>
    </w:p>
    <w:p w14:paraId="7B0060C5"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588D62C5"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43130D7D" w14:textId="77777777" w:rsidR="00090C9B" w:rsidRPr="00722885" w:rsidRDefault="00090C9B" w:rsidP="00722885">
      <w:pPr>
        <w:pStyle w:val="Iauiue"/>
        <w:jc w:val="both"/>
        <w:rPr>
          <w:iCs/>
          <w:color w:val="000000" w:themeColor="text1"/>
          <w:sz w:val="16"/>
          <w:szCs w:val="16"/>
          <w:lang w:val="en-US"/>
        </w:rPr>
      </w:pPr>
    </w:p>
    <w:p w14:paraId="4CF939CB"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October 27, 1942: At El Alamein, a counter-attack by 21.Panzer-Division to push the attacking British forces back into the German minefields fails, leaving the Afrikakorps with all of 81 operational tanks (3819).</w:t>
      </w:r>
    </w:p>
    <w:p w14:paraId="102B023B" w14:textId="77777777" w:rsidR="00090C9B" w:rsidRPr="00722885" w:rsidRDefault="00090C9B" w:rsidP="00722885">
      <w:pPr>
        <w:pStyle w:val="Iauiue"/>
        <w:jc w:val="both"/>
        <w:rPr>
          <w:color w:val="000000" w:themeColor="text1"/>
          <w:sz w:val="16"/>
          <w:szCs w:val="16"/>
          <w:lang w:val="en-US"/>
        </w:rPr>
      </w:pPr>
    </w:p>
    <w:p w14:paraId="5D0150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октября 1942 у Эль Аламейна контратака 21ТД провалилась и у Африканского корпуса в действии осталось 81 танк (3819).</w:t>
      </w:r>
    </w:p>
    <w:p w14:paraId="168C3B7F" w14:textId="77777777" w:rsidR="00090C9B" w:rsidRPr="00722885" w:rsidRDefault="00090C9B" w:rsidP="00722885">
      <w:pPr>
        <w:pStyle w:val="Iauiue"/>
        <w:jc w:val="both"/>
        <w:rPr>
          <w:color w:val="000000" w:themeColor="text1"/>
          <w:sz w:val="16"/>
          <w:szCs w:val="16"/>
        </w:rPr>
      </w:pPr>
    </w:p>
    <w:p w14:paraId="1CD3453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27 октября </w:t>
      </w:r>
      <w:r w:rsidRPr="00722885">
        <w:rPr>
          <w:rFonts w:ascii="Times New Roman" w:hAnsi="Times New Roman"/>
          <w:color w:val="000000" w:themeColor="text1"/>
          <w:sz w:val="16"/>
          <w:szCs w:val="16"/>
        </w:rPr>
        <w:t>в 1942 году в сражении у острова Санта-Крус гибнет авианосец Хорнет (14812).</w:t>
      </w:r>
    </w:p>
    <w:p w14:paraId="70130CCB"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25DEC25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DD1F0A5" w14:textId="77777777" w:rsidR="00090C9B" w:rsidRPr="00722885" w:rsidRDefault="00090C9B" w:rsidP="00722885">
      <w:pPr>
        <w:pStyle w:val="Iauiue"/>
        <w:jc w:val="both"/>
        <w:rPr>
          <w:iCs/>
          <w:color w:val="000000" w:themeColor="text1"/>
          <w:sz w:val="16"/>
          <w:szCs w:val="16"/>
        </w:rPr>
      </w:pPr>
    </w:p>
    <w:p w14:paraId="2A09EB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октября 1942 года директор завода N 1 А. Третьяков писал письмо N 533с Шахурину.</w:t>
      </w:r>
    </w:p>
    <w:p w14:paraId="59AA7C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N 1, до появления 2-х местного самолета ИЛ-2 Ильюшина, по настоятельной просьбе командира гвардейского полка Зуб, командира первой запасной бригады полковника Подольского и комиссара этой бригады Сушина оборудовал самолет ИЛ-2 задней установкой.</w:t>
      </w:r>
    </w:p>
    <w:p w14:paraId="7C6EF8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их заявлениям в это время на фронтах применялись, с положительным успехом примитивные установки изготовленные силами строевых частей.</w:t>
      </w:r>
    </w:p>
    <w:p w14:paraId="4832BE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появлением установки задней точки ИЛ-2 конструкции Ильюшина завод N 1 сразу же поступил к их изготовлению и в данное время выпускает в серии.</w:t>
      </w:r>
    </w:p>
    <w:p w14:paraId="5DCD53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N 1 сделал машину с задней установкой лишь только потому, что в это время не было никаких других установок с тем, чтобы предложить Наркому и ВВС, как вариант.</w:t>
      </w:r>
    </w:p>
    <w:p w14:paraId="291776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появлением задней точки конструкции Ильюшина, вариант завода отпал, по нему никаких работ не велось и не ведется. Изготовленный самолет был сдан военпреду и военпредом отправлен в НИИ ВВС.</w:t>
      </w:r>
    </w:p>
    <w:p w14:paraId="043229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Изготовлением самолета в 2-х точечном варианте завод имел ввиду единственную цель - быстро решить задачу поставленную фронтом (1778).</w:t>
      </w:r>
    </w:p>
    <w:p w14:paraId="13602730" w14:textId="77777777" w:rsidR="00090C9B" w:rsidRPr="00722885" w:rsidRDefault="00090C9B" w:rsidP="00722885">
      <w:pPr>
        <w:pStyle w:val="Iauiue"/>
        <w:jc w:val="both"/>
        <w:rPr>
          <w:color w:val="000000" w:themeColor="text1"/>
          <w:sz w:val="16"/>
          <w:szCs w:val="16"/>
        </w:rPr>
      </w:pPr>
    </w:p>
    <w:p w14:paraId="6ACC144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октября 1942 на государственные 100-часовые испы</w:t>
      </w:r>
      <w:r w:rsidRPr="00722885">
        <w:rPr>
          <w:rFonts w:ascii="Times New Roman" w:hAnsi="Times New Roman"/>
          <w:color w:val="000000" w:themeColor="text1"/>
          <w:sz w:val="16"/>
          <w:szCs w:val="16"/>
        </w:rPr>
        <w:softHyphen/>
        <w:t>тания были предъявлены сразу два мотора АМ-38ф, дорабо</w:t>
      </w:r>
      <w:r w:rsidRPr="00722885">
        <w:rPr>
          <w:rFonts w:ascii="Times New Roman" w:hAnsi="Times New Roman"/>
          <w:color w:val="000000" w:themeColor="text1"/>
          <w:sz w:val="16"/>
          <w:szCs w:val="16"/>
        </w:rPr>
        <w:softHyphen/>
        <w:t>танных по результатам предыдущих испытаний. Затем к ним , присоединились еще три мотора. Испытания продолжались до 6 ноября.</w:t>
      </w:r>
    </w:p>
    <w:p w14:paraId="32320E2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выводах по государственным испытаниям указывался ряд дефектов, обнаруженных во время испытаний и остающихся специфичными для моторов этого типа. Заводу № 24 предлагалось немедленно их устранить и обеспечить ресурс работы мо</w:t>
      </w:r>
      <w:r w:rsidRPr="00722885">
        <w:rPr>
          <w:rFonts w:ascii="Times New Roman" w:hAnsi="Times New Roman"/>
          <w:color w:val="000000" w:themeColor="text1"/>
          <w:sz w:val="16"/>
          <w:szCs w:val="16"/>
        </w:rPr>
        <w:softHyphen/>
        <w:t>тора до первой переборки в 150 ч.</w:t>
      </w:r>
    </w:p>
    <w:p w14:paraId="4556CB4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конца 1942 г. завод № 24, проведя большую рабо</w:t>
      </w:r>
      <w:r w:rsidRPr="00722885">
        <w:rPr>
          <w:rFonts w:ascii="Times New Roman" w:hAnsi="Times New Roman"/>
          <w:color w:val="000000" w:themeColor="text1"/>
          <w:sz w:val="16"/>
          <w:szCs w:val="16"/>
        </w:rPr>
        <w:softHyphen/>
        <w:t>ту по доработке элементов конструкции мотора, сумел в целом устранить отмеченные Госкомиссией недостатки и успешно провести внутризаводские 150-часовые испытания на надеж</w:t>
      </w:r>
      <w:r w:rsidRPr="00722885">
        <w:rPr>
          <w:rFonts w:ascii="Times New Roman" w:hAnsi="Times New Roman"/>
          <w:color w:val="000000" w:themeColor="text1"/>
          <w:sz w:val="16"/>
          <w:szCs w:val="16"/>
        </w:rPr>
        <w:softHyphen/>
        <w:t>ность работы деталей мотора (11474,301).</w:t>
      </w:r>
    </w:p>
    <w:p w14:paraId="2DC086E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E053E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октября 1942 закончились контрольные испытания первого серийного Ту-2 с АШ-82 (438,858), которые начались 13 сентября 1942. Летали Жданов, Васякин, Нюхтиков и выполнили 44 полета налетав 32 часа (1835,21).</w:t>
      </w:r>
    </w:p>
    <w:p w14:paraId="3A2DB1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Достигли скорости 521 км/час на 3200 м, а у земли - 444 км/час. В заключении было:</w:t>
      </w:r>
    </w:p>
    <w:p w14:paraId="05F43F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"Серийный самолет Ту-2 N 100308 по своим ЛТД стоит на уровне современных 2-х моторных бомбардировщиков и имеет возможности для дальнейшего модифицирования.</w:t>
      </w:r>
    </w:p>
    <w:p w14:paraId="0623DF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результате испытаний установлено, что самолет не удовлетворяет условиям договора ГУ ВВС КА с НКАП о поставке Ту-2 на 1942: а) по максимальной скорости на высоте 6000 м (меньше на 66 км/час), по практическому потолку (меньше на 800 м). По взлетно-посадочным данным и скороподъемности самолет соответствует условиям договора...</w:t>
      </w:r>
    </w:p>
    <w:p w14:paraId="293446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Просить НКАП дать указание ГК т. А.Н.Т. о быстрейшем устранении раскрутки винтов. Обеспечить возможность пользоваться прицелом ПС-1. Дать указание ГК завода 19 об устранении ненормальной работы М-82 на 2-й границе высотности.</w:t>
      </w:r>
    </w:p>
    <w:p w14:paraId="558F5D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Ввиду того, что по ЛТД самолет Ту-2 представляет интерес для ВВС КА, обязать ГК продолжить работу по доводке модификации самолета, выделив в его распоряжение необходимое количество самолетов.</w:t>
      </w:r>
    </w:p>
    <w:p w14:paraId="78031A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Доложить Главнокомандующему ВВС КА о необходимости указания частям не применять пикирование, до устранения дефекта раскрутки винтов..." (1835,22).</w:t>
      </w:r>
    </w:p>
    <w:p w14:paraId="2A0FCA93" w14:textId="77777777" w:rsidR="00090C9B" w:rsidRPr="00722885" w:rsidRDefault="00090C9B" w:rsidP="00722885">
      <w:pPr>
        <w:pStyle w:val="Iauiue"/>
        <w:jc w:val="both"/>
        <w:rPr>
          <w:color w:val="000000" w:themeColor="text1"/>
          <w:sz w:val="16"/>
          <w:szCs w:val="16"/>
        </w:rPr>
      </w:pPr>
    </w:p>
    <w:p w14:paraId="3ADB33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октября 1942 летчики Жданов, Васякин и Нюхтиков завершили на аэродроме Кольцово под Свердловском (ныне Екатеринбург), куда был эвакуирован НИИ контрольные испытания Ту-2, которые шли с 13 сентября. Выполнили 44 полета на Ту-2№ 100308, который представили на контрольные испытания в НИИ ВВС. Последний из них закончился аварией, при вынужденной посадке бомбардировщик получил повреждения.</w:t>
      </w:r>
    </w:p>
    <w:p w14:paraId="06428F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большую часть программы успели выполнить. Заключение по результатам испытаний начиналось вполне благополучно: "Серийный самолет... по своим ЛТД стоит на уровне современных 2-х моторных бомбардировщиков и имеет возможности для дальнейшего модифицирования". Но далее прямо говорилось, что машина не удовлетворяет условиям договора с ВВС по максимальной скорости (она была меньше оговоренной на 66 км/ч) и практическому потолку (ниже на 800 м). Отдельный раздел был посвящен дефектам винтомоторной группы. Выше 6000 м постоянно наблюдались тряска и выбросы масла из суфлеров. Перераскрутка винтов делала бомбометание с пикирования крайне опасным. Путевую устойчивость самолета оценили как недостаточную. Летчики ругали неудобную конструкцию узкого фонаря. Радисты жаловались, что при повороте кресла от пулемета к радиостанции задевают за кабели. Был выявлен целый ряд дефектов гидросистемы, приборного оборудования, вооружения. Использование бомбового прицела ПС-1 на практике оказалось невозможным.</w:t>
      </w:r>
    </w:p>
    <w:p w14:paraId="4279C6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целом из документа следовало, что военные продолжали считать Ту-2 необходимым ВВС РККА, но оценивали его как конструктивно "сырой", пока еще непригодный для использования на фронте. К такому же выводу можно было прийти, отслеживая результаты освоения первых серийных бомбардировщиков строевыми летчиками. Еще в июне 1942 г. завод получил приказ укомплектовать новыми бомбардировщиками два полка. Но темпы сдачи серийных Ту-2 существенно отставали от плана, а уже выпущенные машины постоянно дорабатывались заводскими бригадами, устранявшими выявленные дефекты. В результате на фронт никак не могли отправить хотя бы эскадрилью Ту-2.</w:t>
      </w:r>
    </w:p>
    <w:p w14:paraId="54B450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одной стороны, завод заработал, новые бомбардировщики начали строить. С другой - пользы военным от них пока не было никакой (11988).</w:t>
      </w:r>
    </w:p>
    <w:p w14:paraId="246E6E9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B9649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28 октября 1942 закончились госиспытания Ту-2 № 100308 (восьмой самолет третьей серии или 18-я серийная машина) с воздушными винтами АВ-5-167А диаметром 3,8 м, которые шли с 13 сентября 1942 г. на. Ведущими по самолету были инженер Г.В. Гриба- кин и летчики В.И. Жданов и М.П. Васякин.</w:t>
      </w:r>
    </w:p>
    <w:p w14:paraId="0F92D7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по геометрическим параметрам не отличался от опытного "103-В", но изменили узлы стыковки отъемных частей крыла с центропланом, в хвостовой части фюзеляжа снизу сделали люк для стрелка и стрелка- радиста, изменили конструкцию тормозов колес и установили стопор костыля. Воздушные тормоза (решетки) убирались (под крылом) заподлицо с обшивкой.</w:t>
      </w:r>
    </w:p>
    <w:p w14:paraId="0F72EC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Тогда же вместо расходных бензиновых баков поставили коллекторы, электроуправление регуляторами (Р-7) винтов заменили механическим (Р-8), установили запуск двигателей электроинерционными стартерами РИМ-24 и значительно упростили управление посадочными щитками и створками грузового отсека, заменив в обшей сложности 14 гидроцилиндров двумя. Претерпело изменение и вооружение на блистерной (у штурмана) и люковой (у стрелка) установках, ШКАСы заменили на пулеметы УБТ Березина, а у стрелка-радиста установку ТСС-1 поменяли на ТСС-4. Кроме этого под крылом подвешивалось до десяти реактивных снарядов PC-132.</w:t>
      </w:r>
    </w:p>
    <w:p w14:paraId="46D87A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стрельбы вперед предназначались две неподвижных пушки, расположенные в центроплане крыла, и два Ш КАСа - в носовой части фюзеляжа.</w:t>
      </w:r>
    </w:p>
    <w:p w14:paraId="79D073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бомбовая нагрузка достигала 2000 кг (нормальная - 1000 кг), но на бомбодержателях при необходимости можно было подвешивать до 3000 кг. При этом как на внутренних, так и наружных замках могли подвешиваться лишь фугасные бомбы. Подвеска осколочных и зажигательных бомб, также химических ампул не была предусмотрена.</w:t>
      </w:r>
    </w:p>
    <w:p w14:paraId="4CE29F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борту самолета появился автомат курса, существенно упростивший пилотирование самолета. В итоге самолет потяжелел по сравнению с опытным "103-В" на 266 кг.</w:t>
      </w:r>
    </w:p>
    <w:p w14:paraId="2D1EA8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Завершить их не удалось, поскольку при очередном полете на бомбометание Ту-2 совершил вынужденную посадку и получил повреждения. В тот день с утра стояла нелетная погода, но после обеда она "разгулялась" и в 15 часов 30 минут самолет вылетел на бомбометание с пикирования с высоты 4000 метров (взлетный вес 11 500 кг). На выходе из пикирования началась раскрутка винтов, после чего отказали оба мотора. Через 34 минуты самолет приземлился на Арамильском аэродроме с убранным шасси, получив повреждения.</w:t>
      </w:r>
    </w:p>
    <w:p w14:paraId="0C40BE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этого в ходе государственных испытаний не довелось провести бомбометание с пикирования и стрельбу из реактивных орудий (пуск PC-132).</w:t>
      </w:r>
    </w:p>
    <w:p w14:paraId="2ACFEE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Летные оценки, сделанные В.И. Ждановым и летчиком облета М.А. Нюхтиковым.</w:t>
      </w:r>
    </w:p>
    <w:p w14:paraId="060FB0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рулит устойчиво, писал Валериан Иванович, - при любом направлении ветра. Тормоза эффективны. Тенденций к разворотам на взлете нет.</w:t>
      </w:r>
    </w:p>
    <w:p w14:paraId="22E3D9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наборе высоты на номинальном газе самолет имеет заворачивающий и кренящий момент влево, который легко парируется рулями.</w:t>
      </w:r>
    </w:p>
    <w:p w14:paraId="1A2ECB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Наивыгоднейшая скорость набора высоты до 3000 м 300-310 км/ч по прибору, выше - уменьшается на 5-6 км/ч через каждые 1000 метров.</w:t>
      </w:r>
    </w:p>
    <w:p w14:paraId="1040D7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горизонтальном полете на всем диапазоне скоростей самолет легко балансируется триммерами и устойчиво идет с брошенным управлением.</w:t>
      </w:r>
    </w:p>
    <w:p w14:paraId="22A643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Виражит самолет устойчиво на скорости 360-420 км/ч. На виражах самолет особо послушен рулям направления; нагрузки на рулях не ощущаются, что затрудняет выполнение координированного виража.</w:t>
      </w:r>
    </w:p>
    <w:p w14:paraId="5F7C50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 на одном моторе с полетным весом 10 500 кг возможен до высоты 3000 метров.</w:t>
      </w:r>
    </w:p>
    <w:p w14:paraId="3F2DD0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Нагрузки на рулях при полете на одном моторе допустимые и возможно удерживать самолет без снятия нагрузок триммерами...</w:t>
      </w:r>
    </w:p>
    <w:p w14:paraId="5B9B4E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Посадка по технике пилотирования простая. Тенденций к разворотам нет.</w:t>
      </w:r>
    </w:p>
    <w:p w14:paraId="701C1B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Тормоза на пробеге эффективны, но вследствие малого рабочего хода педалей тормозят резко.</w:t>
      </w:r>
    </w:p>
    <w:p w14:paraId="015A42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пикирует устойчиво. Обзор при выходе к цели и наводке на цель хороший. После выпуска решеток самолет легко удерживается в горизонтальном полете. Усилия на штурвале при этом небольшие.</w:t>
      </w:r>
    </w:p>
    <w:p w14:paraId="7EA68A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вводе в пикирование наблюдалась раскрутка винтов.</w:t>
      </w:r>
    </w:p>
    <w:p w14:paraId="5617882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Автомат пикирования АП-3 работал хорошо.</w:t>
      </w:r>
    </w:p>
    <w:p w14:paraId="5FCF08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нормально пикирует без воздушных тормозов.</w:t>
      </w:r>
    </w:p>
    <w:p w14:paraId="24796F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Полеты ночью по технике пилотирования ничем не отличаются от дневных. Освещение кабины неудовлетворительное".</w:t>
      </w:r>
    </w:p>
    <w:p w14:paraId="61AB00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 Нюхтиков, испытывавший самолет "103" отмечал:</w:t>
      </w:r>
    </w:p>
    <w:p w14:paraId="783DBD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"Обзор в стороны с самолета Ту-2, относительно самолета "103" с моторами АМ-37, несколько ухудшился за счет:</w:t>
      </w:r>
    </w:p>
    <w:p w14:paraId="73971E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ухудшения качества плексигласа; б/ замены плексигласа на дюралевую полоску на левой перемычке фонаря;</w:t>
      </w:r>
    </w:p>
    <w:p w14:paraId="077A4D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больших габаритов моторных гондол; В кабине стало тесно за счет: а/ поднятия педалей; б/ увеличения баранки штурвала; в/ придвинутости сиденья вперед от штурмана и увеличения толщины и размеров бронеспинки...</w:t>
      </w:r>
    </w:p>
    <w:p w14:paraId="79F06D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Управление самолетом стало легче, чем на самолете "103У".</w:t>
      </w:r>
    </w:p>
    <w:p w14:paraId="17AA73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Динамически самолет устойчив по всем трем осям. В сравнении с поперечной устойчивостью путевая устойчивость недостаточная, что с наличием небольшой перекомпенсации рулей поворота создает неприятную дисгармонию в нагрузках на ноги и элероны. Последнее особенно сказывается на виражах. Координированный вираж выполнить не удалось".</w:t>
      </w:r>
    </w:p>
    <w:p w14:paraId="0122E5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Обзор с рабочего места штурмана для обшей ориентировки был хороший, но для детальной ориентировки оставлял желать лучшего. В целом же, обзор на Ту-2 с места штурмана был хуже, чем на Пе-2, Ил-4, Ju.88 и американском В-25.</w:t>
      </w:r>
    </w:p>
    <w:p w14:paraId="32DA46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второй границе высотности нагнетателя (6160 м) моторы работали "грубо" и недодавали мощности. В итоге максимальная скорость (на номинальном режиме) не превышала 514 км/ч. Винты АВ-5-167А при пикировании из-за падения давления масла до нуля (при вводе в пикирование, на отрицательных перегрузках) давали раскрутку в течение 8-10 секунд.</w:t>
      </w:r>
    </w:p>
    <w:p w14:paraId="7ABF36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Блистерная установка штурмана не обеспечивала безотказной работы пулемета УБТ. Прицельная стрельба ночью из пулеметов была невозможна, поскольку пламя при стрельбе слепило стрелков.</w:t>
      </w:r>
    </w:p>
    <w:p w14:paraId="149990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Ту-2 на первой границе высотности была меньше, чем у опытного "103-В" на 7 км/ч, что было связано с установкой крупнокалиберного оружия и худшим производственным выполнением машины.</w:t>
      </w:r>
    </w:p>
    <w:p w14:paraId="6250B8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итоге НИИ ВВС констатировал, что Ту-2 в предъявленном виде не соответствовал условиям договора ГУ ВВС КА с НКАП о поставке самолетов Ту-2 на 1942 год, поскольку его максимальная скорость была меньше на 66 км/ч на высоте 6600 метров, а потолок ниже на 800 метров. Тогда же рекомендовалось продолжить работы по доводке машины, выделив главному конструктору необходимое количество самолетов (12035).</w:t>
      </w:r>
    </w:p>
    <w:p w14:paraId="4DC4184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6E3C0E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28 октября 1942 года вышел приказ НКАП и НКВ № 806/546с</w:t>
      </w:r>
    </w:p>
    <w:p w14:paraId="1A6BE30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 исполнение постановления ГКО за № 2445сс от 23 октября 1942 года о выделении оптико-механического производства из состава завода № 296 Наркомавиапрома и передаче его в систему НКВ (6428, 117).</w:t>
      </w:r>
    </w:p>
    <w:p w14:paraId="37F0D16B" w14:textId="77777777" w:rsidR="00090C9B" w:rsidRPr="00722885" w:rsidRDefault="00090C9B" w:rsidP="00722885">
      <w:pPr>
        <w:pStyle w:val="Iauiue"/>
        <w:tabs>
          <w:tab w:val="left" w:pos="11199"/>
        </w:tabs>
        <w:jc w:val="both"/>
        <w:rPr>
          <w:color w:val="000000" w:themeColor="text1"/>
          <w:sz w:val="16"/>
          <w:szCs w:val="16"/>
        </w:rPr>
      </w:pPr>
    </w:p>
    <w:p w14:paraId="2C9EBBD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0998D0F" w14:textId="77777777" w:rsidR="00090C9B" w:rsidRPr="00722885" w:rsidRDefault="00090C9B" w:rsidP="00722885">
      <w:pPr>
        <w:pStyle w:val="Iauiue"/>
        <w:jc w:val="both"/>
        <w:rPr>
          <w:iCs/>
          <w:color w:val="000000" w:themeColor="text1"/>
          <w:sz w:val="16"/>
          <w:szCs w:val="16"/>
        </w:rPr>
      </w:pPr>
    </w:p>
    <w:p w14:paraId="7DC563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октября 1942 вышло Постановление ГКО № 2451 О вводе новых мощностей электростанций в IV квартале 1942 года. РГАНИР, Фонд ГКО, д. 65, лл. 125-134, 135-195 (11012).</w:t>
      </w:r>
    </w:p>
    <w:p w14:paraId="1890746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8CF2B9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EC78629" w14:textId="77777777" w:rsidR="00090C9B" w:rsidRPr="00722885" w:rsidRDefault="00090C9B" w:rsidP="00722885">
      <w:pPr>
        <w:pStyle w:val="Iauiue"/>
        <w:jc w:val="both"/>
        <w:rPr>
          <w:iCs/>
          <w:color w:val="000000" w:themeColor="text1"/>
          <w:sz w:val="16"/>
          <w:szCs w:val="16"/>
        </w:rPr>
      </w:pPr>
    </w:p>
    <w:p w14:paraId="0772B22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28 октября </w:t>
      </w:r>
      <w:r w:rsidRPr="00722885">
        <w:rPr>
          <w:rFonts w:ascii="Times New Roman" w:hAnsi="Times New Roman"/>
          <w:color w:val="000000" w:themeColor="text1"/>
          <w:sz w:val="16"/>
          <w:szCs w:val="16"/>
        </w:rPr>
        <w:t>в 1942 году утреннее сообщение Совинформбюро:</w:t>
      </w:r>
    </w:p>
    <w:p w14:paraId="562870A8"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28 октября наши войска вели бои с противником в районе Сталинграда и северо-восточнее Туапсе. На других фронтах никаких изменений не произошло.</w:t>
      </w:r>
    </w:p>
    <w:p w14:paraId="6876C09C"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бои с крупными силами пехоты и танков противника. Несмотря на численное превосходство немцев, защитники Сталинграда отбили атаки гитлеровцев. Ценою больших потерь врагу удалось продвинуться лишь в районе двух улиц. По неполным данным, истреблено до батальона немецкой пехоты, подбито и сожжено 5 танков, разрушено 23 ДЗОТ'а и блиндажа. Сожжено 40 автомашин с различными военными грузами.</w:t>
      </w:r>
    </w:p>
    <w:p w14:paraId="2EC809DF"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противник продолжает безуспешные атаки, пытаясьвернуть населённый пункт, занятый на днях Н-ской частью. Наши бойцыружейно-пулемётным огнём отбили атаки противника и уничтожили до 850 румынскихсолдат и офицеров. Огнём нашей зенитной артиллерии сбито 6 немецкихсамолётов.</w:t>
      </w:r>
    </w:p>
    <w:p w14:paraId="4B2F8AC0"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вели активные боевые действия. В районе одной балки нашей разведкой было установлено скопление до полка пехоты противника. Н-ская часть нанесла гитлеровцам внезапный удар и уничтожила до двух рот немецкой пехоты.</w:t>
      </w:r>
    </w:p>
    <w:p w14:paraId="79EAC050"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Восточнее Новороссийска краснофлотцы под командованием тов. Серавина внезапно ворвались в населённый пункт, занятый врагом. Наши бойцы истребили до 50 гитлеровцев, уничтожили 2 пулемёта и захватили важные документы.</w:t>
      </w:r>
    </w:p>
    <w:p w14:paraId="3DE0B1BA"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последнее время снайпер т. Инзин истребил до 150 немецких солдат и офицеров, т. Миловацкий—62 и т. Назаренко уничтожил 60 гитлеровцев.</w:t>
      </w:r>
    </w:p>
    <w:p w14:paraId="700EFF5D"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Партизанские отряды, действующие в Калининской области, провели ряд успешных операций против немецких захватчиков. Партизаны одного отряда за три недели истребили 470 вражеских солдат и офицеров. Захвачено 102 винтовки, 6 автоматов, 3 ручных пулемёта, 6 пистолетов и 3.800 патронов. Шесть немецких солдат взяты </w:t>
      </w:r>
      <w:r w:rsidRPr="00722885">
        <w:rPr>
          <w:rFonts w:ascii="Times New Roman" w:hAnsi="Times New Roman"/>
          <w:color w:val="000000" w:themeColor="text1"/>
          <w:sz w:val="16"/>
          <w:szCs w:val="16"/>
        </w:rPr>
        <w:lastRenderedPageBreak/>
        <w:t>в плен. Другой отряд партизан в сентябре истребил до 200 гитлеровцев, уничтожил 19 автомашин и пустил под откос воинский эшелон противника. Один партизан этого отряда огнём из винтовки сбил немецкий транспортный самолёт.</w:t>
      </w:r>
    </w:p>
    <w:p w14:paraId="0A6787FA"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Немецкий солдат Франц Раннет писал недавно ефрейтору Паулю Огитцу: «...В пути наш поезд налетел на мины. Ночью, когда мы спали, вдруг раздался взрыв. Я увидел сильную вспышку, а затем потерял сознание. Когда пришёл в себя, поезд еще обстреливали из пулемёта. Шесть первых вагонов были полностью разбиты, остальные сошли с рельсов и лежали у насыпи. Здесь в лесах очень много партизан. Они нападают на автоколонны и пускают под откос поезда».</w:t>
      </w:r>
    </w:p>
    <w:p w14:paraId="40D83898"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 и командиров Н-ской части, действующей в районе Моздока, составила акт о зверствах немецко-фашистских мерзавцев. В акте говорится: «На очищенной от немцев территории мы обнаружили обгоревший труп растерзанного гитлеровскими бандитами лейтенанта Красной Армии. Освобождённый нами от немецкого плена советский боец Калинин был очевидцем гибели лейтенанта. Немцы потребовали от пленного командира сведений о расположении и численности наших войск. Лейтенант отказался отвечать на вопросы. Тогда палачи изрезали ему ножами грудь, отрезали половой орган, начали отрубать пальцы на руках. Мужество и стойкость советского командира привели немцев в бешенство. Они застрелили его, а труп бросили в костёр». Акт подписали: старший лейтенант Постомок, лейтенант М.Шинкарук, красноармеец М.Рябко и другие.</w:t>
      </w:r>
    </w:p>
    <w:p w14:paraId="41FFF09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парижском вокзале железнодорожники задержали поезд с французскими рабочими, следовавший в Германию. Машинисты отказались подать паровоз и разошлись. Тогда гитлеровцы посадили на паровоз двух солдат немецкого железнодорожного батальона. Собравшаяся толпа стащила немцев с паровоза и избила их. Гестаповцы производят аресты среди железнодорожников.» (14813).</w:t>
      </w:r>
    </w:p>
    <w:p w14:paraId="12BDB4BD"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12CB6F0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28 октября </w:t>
      </w:r>
      <w:r w:rsidRPr="00722885">
        <w:rPr>
          <w:rFonts w:ascii="Times New Roman" w:hAnsi="Times New Roman"/>
          <w:color w:val="000000" w:themeColor="text1"/>
          <w:sz w:val="16"/>
          <w:szCs w:val="16"/>
        </w:rPr>
        <w:t>в 1942 году вечернее сообщение Совинформбюро:</w:t>
      </w:r>
    </w:p>
    <w:p w14:paraId="216E69FC"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28 октября наши войска вели бои с противником в районе Сталинграда, северо-восточнее Туапсе и в районе Нальчика. На других фронтах существенных изменений не произошло.</w:t>
      </w:r>
    </w:p>
    <w:p w14:paraId="23E49C40"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27 октября нашей авиацией на различных участках фронта уничтожено 9 немецких танков и бронемашин, до 20 автомашин с войсками и грузами, взорван железнодорожный эшелон с боеприпасами, подавлен огонь 6 артиллерийских батарей, рассеяно и частью уничтожено до батальона пехоты противника.</w:t>
      </w:r>
    </w:p>
    <w:p w14:paraId="144B037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упорные бои с пехотой и танками противника. В районе заводов немецкая пехота и танки при поддержке авиации неоднократно атаковали наши опорные пункты. Наши бойцы отбили атаки гитлеровцев. Лишь на одном участке противнику удалось продвинуться на 100— 200 метров. Рота немецкой мотопехоты ворвалась на юго-западную окраину одного из заводов и здесь была полностью уничтожена. В результате боёв противник понёс большие потери. Только артиллерийско-миномётным огнём и действиями нашей авиации уничтожено 12 рот немецкой пехоты, до 30 танков, 90 автомашин, подавлен огонь 17 миномётных и 18 артиллерийских батарей. Наши лётчики и зенитчики сбили 15 немецких самолётов.</w:t>
      </w:r>
    </w:p>
    <w:p w14:paraId="1CD0B94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в районе населённого пункта, занятого на днях нашей частью, противник снова предпринял восемь атак. Наши бойцы удержали свои позиции и истребили до 500 румынских солдат и офицеров. Артиллеристы подразделения тов. Туманова уничтожили вражескую миномётную батарею и до 60 гитлеровцев. Снайперы Н-ской части за три дня истребили свыше 200 немецких солдат и офицеров.</w:t>
      </w:r>
    </w:p>
    <w:p w14:paraId="0E5FE854"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противник, подтянув подкрепления, предпринял атаку на одну из высот. Наши бойцы в течение дня сдерживали натиск немцев, изматывали их, а затем перешли в контратаку. В результате боя уничтожено свыше 200 гитлеровцев. Пулемётный расчёт сержанта т. Сердюка сбил над передним краем обороны 2 немецких самолёта.</w:t>
      </w:r>
    </w:p>
    <w:p w14:paraId="10609FB5"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Нальчика наши войска вели бои с перешедшим в наступление противником. На одном участке гитлеровцам, действующим силами танков и пехоты, удалось несколько потеснить наши подразделения. Бойцы Н-ской части, отбивая атаки немцев, нанесли противнику большие потери. Нашими лётчиками уничтожено 5 немецких танков, 30 автомашин, сбито в воздушных боях 2 и уничтожено на аэродромах 7 немецких самолётов.</w:t>
      </w:r>
    </w:p>
    <w:p w14:paraId="65DB974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Минской области, сжёг железнодорожную станцию и пустил под откос немецкий воинский эшелон в составе 30 вагонов.</w:t>
      </w:r>
    </w:p>
    <w:p w14:paraId="3447654C"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орловских партизан организовал крушение железнодорожного поезда противника. Разбиты паровоз, 7 платформ с танками и 8 вагонов с боеприпасами.</w:t>
      </w:r>
    </w:p>
    <w:p w14:paraId="3205DAAB"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взорвал два немецких воинских эшелона. Уничтожено 26 вагонов.</w:t>
      </w:r>
    </w:p>
    <w:p w14:paraId="25A2A598"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немецкого ефрейтора Губерта Хюскена найдено неотправленное письмо к солдату Францу Далену. В письме говорится: «Бой вокруг Сталинграда продолжается еще до сих пор. На одном участке дивизия оставила около 100 танков, закопанных в землю... Я никогда еще не был в таком положении, как здесь, под Сталинградом. Вчера роту расформировали. В ней осталось всего 17 человек, из них 12 человек приговорены к каторжной тюрьме за трусость и паническое отступление. От первого батальона осталось ещё меньше».</w:t>
      </w:r>
    </w:p>
    <w:p w14:paraId="6BB77908"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Гитлеровские мерзавцы насильно угнали 4.500 женщин и девушек-подростков Глуховского района, Сумской области, на каторгу в Германию. В семи деревнях этого района немецкие полицейские повесили и расстреляли 39 колхозниц, наотрез отказавшихся поехать в немецкое рабство.</w:t>
      </w:r>
    </w:p>
    <w:p w14:paraId="78AB0650"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польских патриотов совершил налёт на железнодорожную станцию близ Жешува, истребил охрану и взорвал немецкий воинский эшелон.» (14813).</w:t>
      </w:r>
    </w:p>
    <w:p w14:paraId="541E262B"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23AB2A3F" w14:textId="77777777" w:rsidR="007F4BD1" w:rsidRPr="00722885" w:rsidRDefault="007F4BD1" w:rsidP="00722885">
      <w:pPr>
        <w:pStyle w:val="319"/>
        <w:shd w:val="clear" w:color="auto" w:fill="auto"/>
        <w:spacing w:after="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28 октября 1942 после выполнения боевого задания корабль ТБ-7 был разбит.</w:t>
      </w:r>
    </w:p>
    <w:p w14:paraId="78807891" w14:textId="77777777" w:rsidR="007F4BD1" w:rsidRPr="00722885" w:rsidRDefault="007F4BD1"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28.10.42. Экипаж Пономаренко, Смирнов. Цель - бомбардирование жел. дор. узла Витебск. Сброшено 24 ФАБ 100, 2 ФАБ-500. Отчет - при возвращении с боевого задания (после выполнения) на своем аэродроме (при посадке) потерпел катастрофу. Самолет разбит. Погибло 3 чел. из состава экипажа. Штурман старший лейтенант Смирнов П.Т., Стрелок бомбардир Евдикимов В.П., борттехник инженер-капитан Масюк Ф.Д. Обстоятельства: аэродром был закрыт туманом, к-р корабля повел с-т на посадку и произвел приземление левее /Т/, после приземления на пробеге врезался в другой самолет Пе-8, стоявший у стоянки и подготавливающийся к боевому вылету. Самолет</w:t>
      </w:r>
      <w:r w:rsidRPr="00722885">
        <w:rPr>
          <w:rStyle w:val="109"/>
          <w:rFonts w:ascii="Times New Roman" w:hAnsi="Times New Roman" w:cs="Times New Roman"/>
          <w:i w:val="0"/>
          <w:color w:val="000000" w:themeColor="text1"/>
          <w:sz w:val="16"/>
          <w:szCs w:val="16"/>
        </w:rPr>
        <w:t xml:space="preserve"> № 42015</w:t>
      </w:r>
      <w:r w:rsidRPr="00722885">
        <w:rPr>
          <w:color w:val="000000" w:themeColor="text1"/>
          <w:sz w:val="16"/>
          <w:szCs w:val="16"/>
        </w:rPr>
        <w:t xml:space="preserve"> разбит. Погибло 3 чел. из состава экипажа.</w:t>
      </w:r>
    </w:p>
    <w:p w14:paraId="739E5007" w14:textId="77777777" w:rsidR="007F4BD1" w:rsidRPr="00722885" w:rsidRDefault="007F4BD1" w:rsidP="00722885">
      <w:pPr>
        <w:pStyle w:val="319"/>
        <w:shd w:val="clear" w:color="auto" w:fill="auto"/>
        <w:spacing w:after="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А вот отчет дивизии за октябрь 1942 года, где приведены обстоятельства катастрофы:</w:t>
      </w:r>
    </w:p>
    <w:p w14:paraId="1B711867" w14:textId="77777777" w:rsidR="007F4BD1" w:rsidRPr="00722885" w:rsidRDefault="007F4BD1"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Причина катастрофы корабля № 42015 746 АП - 28.10.42 г.</w:t>
      </w:r>
    </w:p>
    <w:p w14:paraId="5CC1E4A2" w14:textId="77777777" w:rsidR="007F4BD1" w:rsidRPr="00722885" w:rsidRDefault="007F4BD1"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После выполнения боевого задания при закрытии аэродрома туманом, корабль произвел посадку без разрешения старта и по радио, на взлетную полосу под углом 45° к Т" пробежал 100- 120 м, врезался в самолет Пе-8 № 42097 890 АП, стоявший на стационарной стоянке. В результате катастрофы были разбиты самолет № 42015 и 42097.</w:t>
      </w:r>
    </w:p>
    <w:p w14:paraId="156D040E" w14:textId="77777777" w:rsidR="007F4BD1" w:rsidRPr="00722885" w:rsidRDefault="007F4BD1"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При катастрофе погибли:</w:t>
      </w:r>
    </w:p>
    <w:p w14:paraId="12414177" w14:textId="77777777" w:rsidR="007F4BD1" w:rsidRPr="00722885" w:rsidRDefault="007F4BD1"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с корабля № 42015 (746 АП) - штурман ст. лейтенант СМИРНОВ П.Т., стрелок - бомбардир мл лейтенант ЕВДОКИМОВ В.П., старший техник бортовой - инженер - капитан МАСЮК Ф.Д.</w:t>
      </w:r>
    </w:p>
    <w:p w14:paraId="6C79246E" w14:textId="77777777" w:rsidR="007F4BD1" w:rsidRPr="00722885" w:rsidRDefault="007F4BD1"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Получили не жизнеопасные ранения: воздушный стрелок - радист сержант ГЛУХОВ, остальной состав: командир корабля капитан ПОННОМАРЕНКО В.В., второй летчик батальонный комиссар НИКОЛАЕВ В.В., пом. борт, техника инж.-капитан ГАЛАКТИОНОВ, воздушные стрелки старшие сержанты КОРОЛЕВ В.С„ БАБИЙ Г.Л., ЛЫСАКОВ Н.А., ДМИТРИЕВ НЕ. невредимы.</w:t>
      </w:r>
    </w:p>
    <w:p w14:paraId="7E77849F" w14:textId="77777777" w:rsidR="007F4BD1" w:rsidRPr="00722885" w:rsidRDefault="007F4BD1"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Убито с корабля № 42097 (890 АП), работавшие при подвеске бомб, сержант авиамеханик по вооружению НИКИТИН ИЛ. и воздушный стрелок ст. сержант КАНТОР И.Ю.</w:t>
      </w:r>
    </w:p>
    <w:p w14:paraId="4A27C0EC" w14:textId="77777777" w:rsidR="007F4BD1" w:rsidRPr="00722885" w:rsidRDefault="007F4BD1" w:rsidP="00722885">
      <w:pPr>
        <w:pStyle w:val="108"/>
        <w:shd w:val="clear" w:color="auto" w:fill="auto"/>
        <w:spacing w:line="240" w:lineRule="auto"/>
        <w:jc w:val="both"/>
        <w:rPr>
          <w:color w:val="000000" w:themeColor="text1"/>
          <w:sz w:val="16"/>
          <w:szCs w:val="16"/>
        </w:rPr>
      </w:pPr>
      <w:r w:rsidRPr="00722885">
        <w:rPr>
          <w:color w:val="000000" w:themeColor="text1"/>
          <w:sz w:val="16"/>
          <w:szCs w:val="16"/>
        </w:rPr>
        <w:t>НАЧАЛЬНИК ОПЕРАТИВНОГО ОТД. 45 АД ДД</w:t>
      </w:r>
    </w:p>
    <w:p w14:paraId="7220ECA2" w14:textId="77777777" w:rsidR="007F4BD1" w:rsidRPr="00722885" w:rsidRDefault="007F4BD1" w:rsidP="00722885">
      <w:pPr>
        <w:pStyle w:val="319"/>
        <w:shd w:val="clear" w:color="auto" w:fill="auto"/>
        <w:spacing w:after="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 самом деле все было немного иначе. После выполнения боевого задания корабль отправился домой, но к моменту возвращения аэродром базирования (Кратово) начал затягиваться туманом. Борт № 42015 садился последним, и видимость была очень плохой. Во время захода на посадку руководитель полетов потребовал изменить вектор захода на посадку. Командир корабля подчинился и прервал посадку, уйдя на второй круг. Однако сделав несколько кругов, он увидел, что аэродром еще больше затянуло туманом и видимость стала практически нулевой. В этой обстановке по инструкции надо было набрать высоту и покинуть корабль, но командир, не желая терять ценный самолет, решил садиться. На посадке он промахнулся и сел левее посадочного Т. Прокатившись, столкнулся с ТБ-7 № 42097 из 890 АПДД (бортовой номер голубой 9). Погибло 5 человек.</w:t>
      </w:r>
    </w:p>
    <w:p w14:paraId="7422E6F4" w14:textId="77777777" w:rsidR="007F4BD1" w:rsidRPr="00722885" w:rsidRDefault="007F4BD1" w:rsidP="00722885">
      <w:pPr>
        <w:pStyle w:val="319"/>
        <w:shd w:val="clear" w:color="auto" w:fill="auto"/>
        <w:spacing w:after="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Из двух разбитых кораблей решили собрать один с номером 42097. От 42097 использовали носовую часть Ф-1 и центроплан Ф-2. От 42015 хвостовую часть Ф-3 и консоли крыльев. Скорее всего (судя по оставшимся у кораблей целым частям), 42015 врезался носовой частью в хвостовую часть 42097, и они у них были разрушены. Также у 42097 были повреждены консоли крыльев. Судя по погибшим членам экипажа на 42015 (штурман, стрелок-бомбардир, борттехник и раненый радист), которые располагались в носовой части и в центроплане, ясно, что удар был носовой частью.</w:t>
      </w:r>
    </w:p>
    <w:p w14:paraId="7A031240" w14:textId="77777777" w:rsidR="007F4BD1" w:rsidRPr="00722885" w:rsidRDefault="007F4BD1" w:rsidP="00722885">
      <w:pPr>
        <w:pStyle w:val="319"/>
        <w:shd w:val="clear" w:color="auto" w:fill="auto"/>
        <w:spacing w:after="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ТБ-7 № 42097 провоевал до 16 сентября 43 года, когда был сбит немецким ночным истребителем.</w:t>
      </w:r>
    </w:p>
    <w:p w14:paraId="62E02BF1" w14:textId="77777777" w:rsidR="007F4BD1" w:rsidRPr="00722885" w:rsidRDefault="007F4B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Командира корабля капитана Пономаренко В.В. придали суду военного трибунала, разжаловали в рядовые и понизили в должности до второго летчика. Примерно через полгода ему вернули звание капитана и назначили на должность командира корабля Пе-8 № 42058 (19105).</w:t>
      </w:r>
    </w:p>
    <w:p w14:paraId="4D029EC8" w14:textId="77777777" w:rsidR="007F4BD1" w:rsidRPr="00722885" w:rsidRDefault="007F4BD1" w:rsidP="00722885">
      <w:pPr>
        <w:spacing w:after="0" w:line="240" w:lineRule="auto"/>
        <w:jc w:val="both"/>
        <w:rPr>
          <w:rFonts w:ascii="Times New Roman" w:hAnsi="Times New Roman"/>
          <w:color w:val="000000" w:themeColor="text1"/>
          <w:sz w:val="16"/>
          <w:szCs w:val="16"/>
        </w:rPr>
      </w:pPr>
    </w:p>
    <w:p w14:paraId="78923D83"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28 октября </w:t>
      </w:r>
      <w:r w:rsidRPr="00722885">
        <w:rPr>
          <w:rFonts w:ascii="Times New Roman" w:hAnsi="Times New Roman"/>
          <w:color w:val="000000" w:themeColor="text1"/>
          <w:sz w:val="16"/>
          <w:szCs w:val="16"/>
        </w:rPr>
        <w:t>в 1942 году прорвав оборону 37-й армии немецко-фашистские войска оккупировали город Нальчик (14813).</w:t>
      </w:r>
    </w:p>
    <w:p w14:paraId="1D4EC925"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728762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Ночью с 28 на 29 октября 1942 произошли два неординарных события. В 0:10 ТКА №124 выстрелил торпеду по барже в районе озера Соленое. Но смертоносная “рыбина” выскочила из воды, а затем начала описывать круг. На циркуляции она поразила самого “стрелка”, хорошо что не взорвалась при этом. На катере были повреждены укосины консоли и погнут сектор руля. За полтора часа до этого 124-й совместно со 114-м атаковали БДБ (возможно, “F-470”), но торпеда, выпущенная </w:t>
      </w:r>
      <w:r w:rsidRPr="00722885">
        <w:rPr>
          <w:color w:val="000000" w:themeColor="text1"/>
          <w:sz w:val="16"/>
          <w:szCs w:val="16"/>
        </w:rPr>
        <w:lastRenderedPageBreak/>
        <w:t>на глубинах около пяти метров, зарылась в грунт. Однако, поскольку на барже этого не знали, она предприняла энергичный маневр уклонения и выскочила на берег (6002).</w:t>
      </w:r>
    </w:p>
    <w:p w14:paraId="4ED46B89" w14:textId="77777777" w:rsidR="00090C9B" w:rsidRPr="00722885" w:rsidRDefault="00090C9B" w:rsidP="00722885">
      <w:pPr>
        <w:pStyle w:val="Iauiue"/>
        <w:jc w:val="both"/>
        <w:rPr>
          <w:color w:val="000000" w:themeColor="text1"/>
          <w:sz w:val="16"/>
          <w:szCs w:val="16"/>
        </w:rPr>
      </w:pPr>
    </w:p>
    <w:p w14:paraId="462E4EF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9995983" w14:textId="77777777" w:rsidR="00090C9B" w:rsidRPr="00722885" w:rsidRDefault="00090C9B" w:rsidP="00722885">
      <w:pPr>
        <w:pStyle w:val="Iauiue"/>
        <w:jc w:val="both"/>
        <w:rPr>
          <w:iCs/>
          <w:color w:val="000000" w:themeColor="text1"/>
          <w:sz w:val="16"/>
          <w:szCs w:val="16"/>
        </w:rPr>
      </w:pPr>
    </w:p>
    <w:p w14:paraId="0B0BDE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октября 1942 на базе Лэдд-филд состоялся первый тренировочный полет советского экипажа на В-25С (3457,92).</w:t>
      </w:r>
    </w:p>
    <w:p w14:paraId="615E85A7" w14:textId="77777777" w:rsidR="00090C9B" w:rsidRPr="00722885" w:rsidRDefault="00090C9B" w:rsidP="00722885">
      <w:pPr>
        <w:pStyle w:val="Iauiue"/>
        <w:jc w:val="both"/>
        <w:rPr>
          <w:color w:val="000000" w:themeColor="text1"/>
          <w:sz w:val="16"/>
          <w:szCs w:val="16"/>
        </w:rPr>
      </w:pPr>
    </w:p>
    <w:p w14:paraId="023A38C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EA0ED5B" w14:textId="77777777" w:rsidR="00090C9B" w:rsidRPr="00722885" w:rsidRDefault="00090C9B" w:rsidP="00722885">
      <w:pPr>
        <w:pStyle w:val="Iauiue"/>
        <w:jc w:val="both"/>
        <w:rPr>
          <w:iCs/>
          <w:color w:val="000000" w:themeColor="text1"/>
          <w:sz w:val="16"/>
          <w:szCs w:val="16"/>
        </w:rPr>
      </w:pPr>
    </w:p>
    <w:p w14:paraId="4EBE85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октября 1942 директор завода 1 Третьяков писал А.И.Ш. письмо N 533а:</w:t>
      </w:r>
    </w:p>
    <w:p w14:paraId="7E0E3D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1 до появления двухместного самолета Ил-2 по настоятельной просьбе командира гв. полка 3УБ, командира 1 запасной бригады пол. Подольского и комиссара этой бригады Сушина оборудовал самолет Ил-2 задней установкой.</w:t>
      </w:r>
    </w:p>
    <w:p w14:paraId="03661A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их заявлениям в это время на фронтах применялись с положительным успехом, примитивные установки, изготовленные силами строевых частей.</w:t>
      </w:r>
    </w:p>
    <w:p w14:paraId="7F2398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появлением установки задней точки Ил-2 конструкции С.В.И. завод 1 сразу же приступил с их изготовлению и в настоящее время выпускает в серии.</w:t>
      </w:r>
    </w:p>
    <w:p w14:paraId="13A95B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1 сделал машину с задней установкой лишь только потому, что в это время не было никаких других установок с тем, чтобы предложить наркому и ВВС как вариант.</w:t>
      </w:r>
    </w:p>
    <w:p w14:paraId="631690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появлением задней точки конструкции С.В.И., вариант завода отпал, по нему никаких работ не велось и не ведется. Изготовленный самолет был сдан военпреду и военпредом был отправлен в НИИ ВВС.</w:t>
      </w:r>
    </w:p>
    <w:p w14:paraId="73C2F5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Изготовлением самолета в 2-х точечном варианте завод имел ввиду единственную цель - быстро решать задачу, поставленную фронтом (1678,102).</w:t>
      </w:r>
    </w:p>
    <w:p w14:paraId="195C45D7" w14:textId="77777777" w:rsidR="00090C9B" w:rsidRPr="00722885" w:rsidRDefault="00090C9B" w:rsidP="00722885">
      <w:pPr>
        <w:pStyle w:val="Iauiue"/>
        <w:jc w:val="both"/>
        <w:rPr>
          <w:color w:val="000000" w:themeColor="text1"/>
          <w:sz w:val="16"/>
          <w:szCs w:val="16"/>
        </w:rPr>
      </w:pPr>
    </w:p>
    <w:p w14:paraId="03EFFB89" w14:textId="77777777" w:rsidR="00EA5E28" w:rsidRPr="00722885" w:rsidRDefault="00EA5E2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октября 1942 первый мотор АМ-42 «выкатили» на заводские испытания. Были получены весьма обнадеживающие результаты. На взлетном режиме мотор развил мощность 1978 л. с., что было почти на четыре сотни «лошадей» больше, чем «выдавал» серийный АМ-38. На номинальном режиме АМ-42 показал мощность 1762 л. с.</w:t>
      </w:r>
    </w:p>
    <w:p w14:paraId="2891739D" w14:textId="77777777" w:rsidR="00EA5E28" w:rsidRPr="00722885" w:rsidRDefault="00EA5E2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мотора в такие короткие сроки не могла не сказаться на качестве его проектирования и изготовления: требовалась тщательная доводка всех агрегатов и узлов. Первый мотор прошел внутризаводские 50-часовые испытания лишь к 9 января 1943 года. Однако все последующие моторы снимались с испытаний из-за многочисленных дефектов: разрушение шестерни редуктора, прогар клапанов, поломка шатунов, задир поршней и т. д.</w:t>
      </w:r>
    </w:p>
    <w:p w14:paraId="6F0D1464" w14:textId="77777777" w:rsidR="00EA5E28" w:rsidRPr="00722885" w:rsidRDefault="00EA5E2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Только в мае 1943 года АМ-42 удовлетворительно прошел совместные 50-часовые испытания. В ходе испытаний была получена мощность 1940 л. с. – на взлетном и 1766 л. с. – на номинальном режиме (17490).</w:t>
      </w:r>
    </w:p>
    <w:p w14:paraId="63D42FAB" w14:textId="77777777" w:rsidR="00EA5E28" w:rsidRPr="00722885" w:rsidRDefault="00EA5E28" w:rsidP="00722885">
      <w:pPr>
        <w:spacing w:after="0" w:line="240" w:lineRule="auto"/>
        <w:jc w:val="both"/>
        <w:rPr>
          <w:rFonts w:ascii="Times New Roman" w:hAnsi="Times New Roman"/>
          <w:color w:val="000000" w:themeColor="text1"/>
          <w:sz w:val="16"/>
          <w:szCs w:val="16"/>
        </w:rPr>
      </w:pPr>
    </w:p>
    <w:p w14:paraId="5E35B053"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29 октября 1942 года Начальником НЭБ ВВС был издан приказ №1 о формировании базы с дислокацией на станции Павшино Московской области, однако свою историю институт ведет от авиамастерских Качинской школы летчиков, созданной еще в 1910 году, на базе которых и была сформирована Научно-экспериментальная база. </w:t>
      </w:r>
    </w:p>
    <w:p w14:paraId="4CBA4DFF"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Директивой Главного Штаба Красной Армии №10/314259 от 31 октября 1944 года НЭБ была переименована в Центральную НЭБ по ремонту материальной части ВВС Красной Армии.</w:t>
      </w:r>
    </w:p>
    <w:p w14:paraId="224F146B"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За годы войны личный состав ЦНЭБ внес немалый вклад в повышение эффективности функционирования ремонтной сети ВВС и обеспечение боеготовности авиационных частей:</w:t>
      </w:r>
    </w:p>
    <w:p w14:paraId="4ECF0C1C"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выполнено 280 тематических работ, связанных с разработкой технологий ремонта самолетов, двигателей, вооружения и электрооборудования;</w:t>
      </w:r>
    </w:p>
    <w:p w14:paraId="781073B2"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издано 147 бюллетеней и указаний по технологии ремонта;</w:t>
      </w:r>
    </w:p>
    <w:p w14:paraId="2A337897"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осуществлено около 200 выездов на ремонтные предприятия;</w:t>
      </w:r>
    </w:p>
    <w:p w14:paraId="13A5F553"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выполнен капитально-восстановительный ремонт 116 самолетов и 484 двигателей различных типов.</w:t>
      </w:r>
    </w:p>
    <w:p w14:paraId="60C13B08"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8 февраля 1947 года согласно Директиве ГК ВВС КА №334585 ЦНЭБ перебазируется в город Люберцы.</w:t>
      </w:r>
    </w:p>
    <w:p w14:paraId="70027F7D"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В послевоенные годы зародились новые направления в работе института, которые в дальнейшем развивались на протяжении всей истории института. Одно из таких направлений было связано с определением причин отказов авиационной техники.</w:t>
      </w:r>
    </w:p>
    <w:p w14:paraId="2AE1D998"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31 августа 1957 года Постановлением Совета Министров СССР №1050-478 Центральная научно-экспериментальная база была преобразована в Научно-исследовательский институт эксплуатации и ремонта авиационной техники ВВС, а 8 декабря 1962 года Постановлением Совета Министров СССР №1236-517 НИИ ЭРАТ получил статус Государственного.</w:t>
      </w:r>
    </w:p>
    <w:p w14:paraId="3565675F"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В 1964 году была создана и придана институту отдельная авиационная эскадрилья, состоящая из 11 самолетов Ан-12 и 7 самолетов Ил-14, на которых ежегодно выполнялись сотни вылетов во все концы страны (11560).</w:t>
      </w:r>
    </w:p>
    <w:p w14:paraId="0E3B8879" w14:textId="77777777" w:rsidR="00090C9B" w:rsidRPr="00722885" w:rsidRDefault="00090C9B" w:rsidP="00722885">
      <w:pPr>
        <w:pStyle w:val="afff2"/>
        <w:jc w:val="both"/>
        <w:rPr>
          <w:rStyle w:val="1e"/>
          <w:b w:val="0"/>
          <w:bCs w:val="0"/>
          <w:i w:val="0"/>
          <w:iCs w:val="0"/>
          <w:color w:val="000000" w:themeColor="text1"/>
          <w:spacing w:val="0"/>
          <w:kern w:val="0"/>
          <w:position w:val="0"/>
          <w:sz w:val="16"/>
          <w:szCs w:val="16"/>
        </w:rPr>
      </w:pPr>
    </w:p>
    <w:p w14:paraId="1CEF3F1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153DA27" w14:textId="77777777" w:rsidR="00090C9B" w:rsidRPr="00722885" w:rsidRDefault="00090C9B" w:rsidP="00722885">
      <w:pPr>
        <w:pStyle w:val="Iauiue"/>
        <w:jc w:val="both"/>
        <w:rPr>
          <w:iCs/>
          <w:color w:val="000000" w:themeColor="text1"/>
          <w:sz w:val="16"/>
          <w:szCs w:val="16"/>
        </w:rPr>
      </w:pPr>
    </w:p>
    <w:p w14:paraId="28E4D59F" w14:textId="77777777" w:rsidR="004F59B2" w:rsidRPr="00722885" w:rsidRDefault="004F59B2"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29 октября 1942 года начальник 1-го отдела бронетанкового управления полковник Павлов докладывал в ГБТУ КА, что при проверке новых машин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у части танков наблюдалось искаже</w:t>
      </w:r>
      <w:r w:rsidRPr="00722885">
        <w:rPr>
          <w:rFonts w:ascii="Times New Roman" w:cs="Times New Roman"/>
          <w:color w:val="000000" w:themeColor="text1"/>
          <w:spacing w:val="0"/>
        </w:rPr>
        <w:softHyphen/>
        <w:t>ние видимости у зеркалок в командирской башенке и у механика-водителя из-за не</w:t>
      </w:r>
      <w:r w:rsidRPr="00722885">
        <w:rPr>
          <w:rFonts w:ascii="Times New Roman" w:cs="Times New Roman"/>
          <w:color w:val="000000" w:themeColor="text1"/>
          <w:spacing w:val="0"/>
        </w:rPr>
        <w:softHyphen/>
        <w:t>брежной сборки. Наблюдались случаи, ког</w:t>
      </w:r>
      <w:r w:rsidRPr="00722885">
        <w:rPr>
          <w:rFonts w:ascii="Times New Roman" w:cs="Times New Roman"/>
          <w:color w:val="000000" w:themeColor="text1"/>
          <w:spacing w:val="0"/>
        </w:rPr>
        <w:softHyphen/>
        <w:t xml:space="preserve">да при стрельбе из орудия (как с места, так и с хода) лопались стекла «Триплекс», а при буксировке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вытягивались тро</w:t>
      </w:r>
      <w:r w:rsidRPr="00722885">
        <w:rPr>
          <w:rFonts w:ascii="Times New Roman" w:cs="Times New Roman"/>
          <w:color w:val="000000" w:themeColor="text1"/>
          <w:spacing w:val="0"/>
        </w:rPr>
        <w:softHyphen/>
        <w:t>сы из проушин из-за плохой разделки кон</w:t>
      </w:r>
      <w:r w:rsidRPr="00722885">
        <w:rPr>
          <w:rFonts w:ascii="Times New Roman" w:cs="Times New Roman"/>
          <w:color w:val="000000" w:themeColor="text1"/>
          <w:spacing w:val="0"/>
        </w:rPr>
        <w:softHyphen/>
        <w:t>цов. Кроме того были и другие замечания: «Высоко поставлены зеркалки водителя, при пользовании ими приходится приподни</w:t>
      </w:r>
      <w:r w:rsidRPr="00722885">
        <w:rPr>
          <w:rFonts w:ascii="Times New Roman" w:cs="Times New Roman"/>
          <w:color w:val="000000" w:themeColor="text1"/>
          <w:spacing w:val="0"/>
        </w:rPr>
        <w:softHyphen/>
        <w:t>маться на сиденье. Необходимо опустить их на 5-6 см, дав возможность колебания близ</w:t>
      </w:r>
      <w:r w:rsidRPr="00722885">
        <w:rPr>
          <w:rFonts w:ascii="Times New Roman" w:cs="Times New Roman"/>
          <w:color w:val="000000" w:themeColor="text1"/>
          <w:spacing w:val="0"/>
        </w:rPr>
        <w:softHyphen/>
        <w:t>кой и дальней видимости, как было установ</w:t>
      </w:r>
      <w:r w:rsidRPr="00722885">
        <w:rPr>
          <w:rFonts w:ascii="Times New Roman" w:cs="Times New Roman"/>
          <w:color w:val="000000" w:themeColor="text1"/>
          <w:spacing w:val="0"/>
        </w:rPr>
        <w:softHyphen/>
        <w:t xml:space="preserve">лено в танке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...Зеркалки командирской башенки опустить на 2-3 см, так как существующая установ</w:t>
      </w:r>
      <w:r w:rsidRPr="00722885">
        <w:rPr>
          <w:rFonts w:ascii="Times New Roman" w:cs="Times New Roman"/>
          <w:color w:val="000000" w:themeColor="text1"/>
          <w:spacing w:val="0"/>
        </w:rPr>
        <w:softHyphen/>
        <w:t>ка затрудняет пользование ими в танковых шлемах...Для внутренней связи необходимо ста</w:t>
      </w:r>
      <w:r w:rsidRPr="00722885">
        <w:rPr>
          <w:rFonts w:ascii="Times New Roman" w:cs="Times New Roman"/>
          <w:color w:val="000000" w:themeColor="text1"/>
          <w:spacing w:val="0"/>
        </w:rPr>
        <w:softHyphen/>
        <w:t>вить «Лорингофон», так как существующая установка не обеспечивает хорошую слы</w:t>
      </w:r>
      <w:r w:rsidRPr="00722885">
        <w:rPr>
          <w:rFonts w:ascii="Times New Roman" w:cs="Times New Roman"/>
          <w:color w:val="000000" w:themeColor="text1"/>
          <w:spacing w:val="0"/>
        </w:rPr>
        <w:softHyphen/>
        <w:t>шимость, и принуждает сильно напрягать голос» (15226).</w:t>
      </w:r>
    </w:p>
    <w:p w14:paraId="6DE40B3A" w14:textId="77777777" w:rsidR="004F59B2" w:rsidRPr="00722885" w:rsidRDefault="004F59B2" w:rsidP="00722885">
      <w:pPr>
        <w:pStyle w:val="27"/>
        <w:shd w:val="clear" w:color="auto" w:fill="auto"/>
        <w:spacing w:after="0" w:line="240" w:lineRule="auto"/>
        <w:ind w:firstLine="0"/>
        <w:rPr>
          <w:rFonts w:ascii="Times New Roman" w:cs="Times New Roman"/>
          <w:color w:val="000000" w:themeColor="text1"/>
          <w:spacing w:val="0"/>
        </w:rPr>
      </w:pPr>
    </w:p>
    <w:p w14:paraId="608FA16F" w14:textId="77777777" w:rsidR="00DD1576" w:rsidRPr="00722885" w:rsidRDefault="00DD157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29 октября 1942 была подписана программа испытаний самоходных установок. Со стороны ГАУ тему САУ, которые строились на заводе №38, курировал инженер-майор Гетманов.</w:t>
      </w:r>
    </w:p>
    <w:p w14:paraId="013118CA" w14:textId="77777777" w:rsidR="00DD1576" w:rsidRPr="00722885" w:rsidRDefault="00DD157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учётом того, что завод №38 до того самоходными установками не занимался, установленные сроки выглядят чересчур сжатыми. Вложиться в них не удалось, хотя в Кирове к ответственному заданию подошли очень серьезно. Но уже 21 ноября и СУ-11, и СУ-12 не только построили, но и начали испытывать. Заводские испытания пробегом закончились к 27 числу. За это время СУ-11 прошла 100, а СУ-12 – 112 километров (17699).</w:t>
      </w:r>
    </w:p>
    <w:p w14:paraId="53909B5A" w14:textId="77777777" w:rsidR="00DD1576" w:rsidRPr="00722885" w:rsidRDefault="00DD1576" w:rsidP="00722885">
      <w:pPr>
        <w:spacing w:after="0" w:line="240" w:lineRule="auto"/>
        <w:jc w:val="both"/>
        <w:rPr>
          <w:rFonts w:ascii="Times New Roman" w:hAnsi="Times New Roman"/>
          <w:color w:val="000000" w:themeColor="text1"/>
          <w:sz w:val="16"/>
          <w:szCs w:val="16"/>
        </w:rPr>
      </w:pPr>
    </w:p>
    <w:p w14:paraId="44927CA2" w14:textId="77777777" w:rsidR="00FA097A" w:rsidRPr="00722885" w:rsidRDefault="00FA097A"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29 октября 1942 года, то есть еще до постройки, была подписана Программа испытаний СУ-11. На испытания машина поступила 5 декабря, а провели их в период с 7 по 17 декабря. За это время машина прошла 500 километров, плюс еще 100 километров преодолела на заводских испытаниях. С точки зрения удобства работы расчета 37-мм зенитной автоматической пушки 61-К машина не отличалась от СУ-31, по этому показателю испытания признали успешными. Главная проблема заключалась в ходовых испытаниях. Параллельная схема расположения моторов, разработанная по концепции С.А. Гинзбурга, имела врожденную проблему, которая проявлялась на определенных режимах работы. Сам Гинзбург указывал, что проблема в низкой надежности коробок передач ГАЗ-АА, что не являлось истиной. В случае с испытаниями СУ-11 на 15-м из 350-м километрах погнуло вилки управления задней скоростью. Отмечались и нередкие случаи проблем с переключением коробки передач. Да и сама система с мега-рычагом, которым переключали КПП, выглядела так себе.</w:t>
      </w:r>
    </w:p>
    <w:p w14:paraId="42C43E39" w14:textId="77777777" w:rsidR="00FA097A" w:rsidRPr="00722885" w:rsidRDefault="00FA097A"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Главная проблема заключалась в том, что СУ-12, приоритетная машина в паре СУ-11/СУ-12, уже была принята на вооружение Красной Армии. Все силы оказались брошены на доработку 76-мм штурмовой САУ, которую уже в декабре 1942 года требовалось сдать в объеме 25 экземпляров. Сложилась трагикомичная ситуация, когда вместе с водой вылили и ребенка. С точки зрения надежности СУ-11 была ничуть не хуже СУ-12, потенциально и эту машину могли довести до ума (на самом деле нет, как показали дальнейшие события) и запустить в серию. Но на это не оказалось ни времени, ни ресурсов. Завод №38, по уши загруженный темой СУ-12, просто физически не мог заниматься менее приоритетной машиной. Поэтому когда вы читаете про СУ-11 "испытания не выдержала", знайте - вам нагло врут. Итоги испытаний оказались примерно такими же, как и в случае СУ-12. Указывалось, что "установка пушки не имеет существенных недостатков и легко устранима". А причина прекращения работ указана вполне определенная - "работа по зенитным самоходам законсервирована" (21409).</w:t>
      </w:r>
    </w:p>
    <w:p w14:paraId="7D93F5B5" w14:textId="77777777" w:rsidR="00FA097A" w:rsidRPr="00722885" w:rsidRDefault="00FA097A"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6DA4BE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октября 1942 вышло Постановление ГКО № 2452 О восстановлении в Усть-Каменогорске эвакуированного Орджоникидзевского цинкового электролитного завода "Электроцинк" Наркомцветмета. РГАНИР, Фонд ГКО, д. 65, лл. 196-200, 201-203 (11012).</w:t>
      </w:r>
    </w:p>
    <w:p w14:paraId="64352A7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6AA71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октября 1942 на 17 дней ранее срока закончена сдача КБФ крейсерской ПЛ К-56 (10671).</w:t>
      </w:r>
    </w:p>
    <w:p w14:paraId="33E3EC8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F6977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Армия:</w:t>
      </w:r>
    </w:p>
    <w:p w14:paraId="141CA910" w14:textId="77777777" w:rsidR="00090C9B" w:rsidRPr="00722885" w:rsidRDefault="00090C9B" w:rsidP="00722885">
      <w:pPr>
        <w:pStyle w:val="Iauiue"/>
        <w:jc w:val="both"/>
        <w:rPr>
          <w:iCs/>
          <w:color w:val="000000" w:themeColor="text1"/>
          <w:sz w:val="16"/>
          <w:szCs w:val="16"/>
        </w:rPr>
      </w:pPr>
    </w:p>
    <w:p w14:paraId="2A8E8A94"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октября </w:t>
      </w:r>
      <w:r w:rsidRPr="00722885">
        <w:rPr>
          <w:rFonts w:ascii="Times New Roman" w:hAnsi="Times New Roman"/>
          <w:color w:val="000000" w:themeColor="text1"/>
          <w:sz w:val="16"/>
          <w:szCs w:val="16"/>
        </w:rPr>
        <w:t>в 1942 году утреннее сообщение Совинформбюро</w:t>
      </w:r>
    </w:p>
    <w:p w14:paraId="39671959"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29 октября наши войска вели бои с противником в районе Сталинграда, Северо-восточнее Туапсе, а также в районе Нальчика. На других фронтах никаких изменений не произошло.</w:t>
      </w:r>
    </w:p>
    <w:p w14:paraId="43442D0B"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части отбивали атаки противника. Батальон немецкой пехоты атаковал наши позиции в районе заводов. Ружейно-пулемётным огнём наших бойцов гитлеровцы были отброшены на исходные позиции, оставив на поле боя свыше 100 трупов. На южной окраине города группа бойцов под командованием лейтенантата Гладких совершила ночной налёт на вражеский оборонительный район. Незаметно пробравшись через передний край обороны, наши бойцы проникли к ДЗОТ'ам противника. Взорвав гранатами 7 ДЗОТ'ов и 10 землянок, красноармейцы врукопашной схватке истребили 70 гитлеровцев и благополучно вернулись в свою часть. Красноармеец т. Кузнецов и сержант т. Репа огнём из противотанковых ружейсбили 2 немецких самолёта.</w:t>
      </w:r>
    </w:p>
    <w:p w14:paraId="2980E44D"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Шесть лётчиков-истребителей под командованием капитана т. Шутова атаковали 15 немецких самолётов. В воздушном бою советские лётчики сбили 4 самолёта противника. Всего в течение суток сбито 15 немецких самолётов.</w:t>
      </w:r>
    </w:p>
    <w:p w14:paraId="50C327A0"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Н-ской части атаковали противника в районе одной высоты и захватили 16 ДЗОТ'ов и блиндажей, 6 пулемётов, 4 миномёта и 2 противотанковых орудия. В результате этого боя уничтожено до двух рот немецкойпехоты. На другом участке перешедшие в контратаку гитлеровцы были остановлены заградительным огнём. Подбито 2 немецких танка и истреблено до 120 солдат иофицеров противника.</w:t>
      </w:r>
    </w:p>
    <w:p w14:paraId="69D4142B"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в районе шоссейной дороги, значительные силы противника пытались атаковать наши позиции. Артиллерийским и миномётным огнём наши подразделения расстроили боевые порядки немцев. Вслед за этим в контратаку поднялась советская пехота. Гитлеровцы отступили, оставив на поле боя более 200 убитых и раненых солдат и офицеров. Нашими бойцами захвачено 2 горных орудия, 8 пулемётов и 3 миномёта.</w:t>
      </w:r>
    </w:p>
    <w:p w14:paraId="081696CF"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Нальчика наши части вели оборонительные бои. В районе одной высоты немецким автоматчикам удалось вклиниться в нашу оборону. Подразделения Н-скойчасти рассеяли гитлеровцев, но под давлением подошедших численно превосходящихсил противника отошли на новый рубеж обороны. Бойцы Н-ской части, отражая атакипротивника, уничтожили 2 танка и до роты немецкой пехоты.</w:t>
      </w:r>
    </w:p>
    <w:p w14:paraId="65A426DD"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происходила активная деятельность разведывательных отрядов. Восемь бойцов во главе с т. Соиным: незаметно пробрались к траншее противника и забросали её гранатами. Немцы пытались оказать сопротивление, но былиразгромлены в рукопашной схватке. Советские разведчики во время этой операции истребили до 60 гитлеровцев.</w:t>
      </w:r>
    </w:p>
    <w:p w14:paraId="6573D7CE"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в плен солдат голландского легиона «Нидерланды» Жак Б. рассказал:«Близ Луги у железнодорожного полотна валяется большое количество разбитых вагонов и паровозов, взорванных партизанами. От железнодорожных составов с продовольствием, снаряжением и боеприпасами остались кучи мусора и груды железного лома. Немецкое командование выделило специальный батальон для подавления и ликвидации партизан, действующих в этом районе. В лесных бояхпартизаны разбили этот батальон. Из 800 человек вернулось обратно только 100 солдат».</w:t>
      </w:r>
    </w:p>
    <w:p w14:paraId="282AECC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Германский железнодорожный транспорт не в состоянии перевезти огромное количество немецких солдат, раненных на советско-германском фронте. Санитарные поезда стоят на станциях по 5—8 дней. Многие раненые умирают по дороге вгоспитали. В октябре в Прагу прибыл санитарный поезд, который находился в пути 28 дней. За это время из 350 раненых умерло более 100 человек. 4 октября вВаршаву прибыл из-под Сталинграда состав товарных вагонов, битком набитыхранеными. Из вагонов было извлечено 210 трупов солдат, умерших в дороге.» (14814).</w:t>
      </w:r>
    </w:p>
    <w:p w14:paraId="11CA5A33"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1AF30A15"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29 октября </w:t>
      </w:r>
      <w:r w:rsidRPr="00722885">
        <w:rPr>
          <w:rFonts w:ascii="Times New Roman" w:hAnsi="Times New Roman"/>
          <w:color w:val="000000" w:themeColor="text1"/>
          <w:sz w:val="16"/>
          <w:szCs w:val="16"/>
        </w:rPr>
        <w:t>в 1942 году вечернее сообщение Совинформбюро</w:t>
      </w:r>
    </w:p>
    <w:p w14:paraId="78D679E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29 октября наши войска вели бои с противником в районе Сталинграда, северо-восточнее Туапсе и в районе Нальчика. На других фронтах никаких изменений не произошло.</w:t>
      </w:r>
    </w:p>
    <w:p w14:paraId="570F8E8C"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 немецкий транспорт водоизмещением в 15.000 тонн.</w:t>
      </w:r>
    </w:p>
    <w:p w14:paraId="0ADC85FA"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28 октября нашей авиацией на различных участках фронта уничтожено 15 немецких танков и бронемашин, до 130 автомашин с войсками и грузами, взорваны склад боеприпасов и склад горючего, подавлен огонь 8 артиллерийских батарей, рассеяно и частью уничтожено до двух батальонов пехоты противника.</w:t>
      </w:r>
    </w:p>
    <w:p w14:paraId="490C77A0"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напряжённые оборонительные бои. В заводской части города противник бросил в наступление пехотную дивизию и несколько десятков танков. Немцы атаковала наши оборонительные рубежи одновременно с нескольких направлений. Защитники города упорно отбивали атакиврага и удержали свои позиции. Лишь на одном участке ценой больших потерь гитлеровцам удалось продвинуться на 50—100 метров и проникнуть на окраину одного из заводов. В этих боях, по неполным данным, истреблено более 1.500 немецких солдат и офицеров, подбито и сожжено 11 немецких танков, в том числе 3 тяжёлых. Кроме того, огнём наших артиллеристов и гвардейцев-миномётчиков рассеяно и частью уничтожено до полка пехоты и 200 автомашин с войсками противника. Наши лётчики и зенитчики сбили 23 немецких самолёта.</w:t>
      </w:r>
    </w:p>
    <w:p w14:paraId="7E560A9D"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занимаемые рубежи и вели разведку. Огнём артиллерии, миномётов и действиями снайперов за истекшие три дня только на одном из участков истреблено до 400 немецких солдат и офицеров, уничтожено 60 станковых пулемётов, 15 миномётов, 2 орудия и 30 автомашин. Надругом участке гитлеровцы стремятся любой ценой вернуть населённый пункт, захваченный на днях нашей частью. Наши бойцы прочно удерживают свои позиции. Заградительным огнём и контратаками в течение дня на этом участке разгромлен батальон румынской пехоты, уничтожено 8 немецких танков и 2 бронемашины.</w:t>
      </w:r>
    </w:p>
    <w:p w14:paraId="45E232E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вели активные боевые действия. БойцыН-ского соединения выбили противника из укреплённого рубежа и уничтожили до трёх рот немецкой пехоты. Захвачено 9 пулемётов, 60 автоматов, большое количество винтовок и боеприпасов. На другом участке гвардейцы-казаки истребили до 200 гитлеровцев. Артиллеристы под командованием т. Федякова уничтожили до двух рот вражеской пехоты, разбили 6 автомашин, подавили огонь 2 миномётных и одной артиллерийской батарей противника.</w:t>
      </w:r>
    </w:p>
    <w:p w14:paraId="11C7AA2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Нальчика продолжались ожесточённые бои. Наши части оказывалинаступающему противнику упорное сопротивление и нанесли ему большие потери. Огнём наших артиллеристов и бронебойщиков подбито и сожжено 18 немецких танков.</w:t>
      </w:r>
    </w:p>
    <w:p w14:paraId="33D752AA"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участке Северо-Западного фронта пехота противника при поддержкетанков вновь атаковала наши позиции. Подразделения под командованием тов. Андреева отбили все атаки немцев. За три дня боевых действий на этом участке сожжено и подбито 12 немецких танков, убито и ранено до 1.500 солдат и офицеров противника.</w:t>
      </w:r>
    </w:p>
    <w:p w14:paraId="668B1BF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действующие в одном из районов Смоленской области, за четыре дня из засад истребили 148 немецких солдат и офицеров, захватили в плен офицера штурмового отряда и взорвали 16 автомашин с грузами. Группа партизан этого же отряда пустила под откос эшелон с войсками противника. Другой отряд смоленских партизан организовал крушение двух эшелонов немецко-фашистских оккупантов. Разбито 4 вагона с живой силой, 7 платформ с артиллерией и 15 вагонов со снаряжением.</w:t>
      </w:r>
    </w:p>
    <w:p w14:paraId="01BC0B1A"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Чудовищное злодеяние совершили немецко-фашистские захватчики в деревне Ольховатка, Курской области. 2 октября немецкие мерзавцы расстреляли всех мужчин деревни в возрасте от 14 до 60 лет. Женщин и детей они угнали в концентрационныйлагерь. Ограбив всё имущество крестьян, немецкие изверги деревню сожгли.» (14814).</w:t>
      </w:r>
    </w:p>
    <w:p w14:paraId="2602A569"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4E9073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29 октября 1942 по 1 января 1943 132 ОБАП на 29 Ту-2 М-82 воевал на Калининском фронте и наносил удары в районах Смоленска, Витебска, Великих Лук и т.д. (1835,22).</w:t>
      </w:r>
    </w:p>
    <w:p w14:paraId="169D9C7F" w14:textId="77777777" w:rsidR="00090C9B" w:rsidRPr="00722885" w:rsidRDefault="00090C9B" w:rsidP="00722885">
      <w:pPr>
        <w:pStyle w:val="Iauiue"/>
        <w:jc w:val="both"/>
        <w:rPr>
          <w:color w:val="000000" w:themeColor="text1"/>
          <w:sz w:val="16"/>
          <w:szCs w:val="16"/>
        </w:rPr>
      </w:pPr>
    </w:p>
    <w:p w14:paraId="37897001" w14:textId="77777777" w:rsidR="00090C9B" w:rsidRPr="00722885" w:rsidRDefault="00090C9B"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29 октября 1942 года бронепоезд № 731 "Вперед, на запад!" перебросили к Алагиру, а № 717 "Оренбургский железнодорожник" - к Ардону. Оба они входили в состав 36-го дивизиона бронепоездов (9642).</w:t>
      </w:r>
    </w:p>
    <w:p w14:paraId="2E9AB539" w14:textId="77777777" w:rsidR="00090C9B" w:rsidRPr="00722885" w:rsidRDefault="00090C9B" w:rsidP="00722885">
      <w:pPr>
        <w:pStyle w:val="a8"/>
        <w:widowControl/>
        <w:jc w:val="both"/>
        <w:rPr>
          <w:rFonts w:ascii="Times New Roman" w:hAnsi="Times New Roman" w:cs="Times New Roman"/>
          <w:color w:val="000000" w:themeColor="text1"/>
        </w:rPr>
      </w:pPr>
    </w:p>
    <w:p w14:paraId="002723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Вечером 29 октября 1942 посты ВНОС Горьковского корпусного района ПВО доложили о приближении к городу группы вражеских самолетов. В 21.50 по местному времени в городе был подан сигнал «Воздушная тревога». И действительно, в глубине промозглой ночи над железной дорогой Москва – Горький летели три Не-111, под фюзеляжами которых были подвешены мощные 1000-кг бомбы. Достигнув окрестностей Дзержинска, «Хейнкели» неожиданно изменили курс на северо-восток. Вскоре открыла огонь зенитная артиллерия 1 -го боевого сектора, защищавшая Сормовский и Кагановичский районы. Операторы РЛС РУС-2 продолжали следить за полетом целей и сообщили в штаб корпусного района, что они движутся в сторону Балахны. Тогда уже приказ начать заградительный огонь получил 279-й ОЗДЦ. Одновременно загрохотали зенитки, установленные на железнодорожных платформах. Стало ясно, что целью налета, вероятно, является ГоГРЭС. Вот тут-то над областью нависла реальная смертельная опасность, ведь трех бомбардировщиков было вполне достаточно, чтобы если не полностью вывести из строя, то хотя бы серьезно повредить единственную крупную электростанцию. Последствия могли быть ужасными: мгновенная остановка сразу всех крупных и средних предприятий, паралич коммунального хозяйства и кромешная тьма в городе. И все это в период решающих боев под Сталинградом, когда продукция горьковских заводов была как воздух нужна фронту. Однако немецкие штурманы не оценили важность момента и отнеслись к делу халатно, ошибшись в определении ориентиров. В результате в 23.10 три мощнейших взрыва прогремели на бумкомбинате в г. Правдинске, который находился на берегу Волги, рядом с Балахной. Была полностью разрушена электроподстанция предприятия, в корпусах цехов вылетели стекла. Кроме того, вышли из строя ЛЭП № 103 и 3521. Тем не менее командование корпусного района ПВО вздохнуло с облегчением, генералу Осипову было хорошо известно стратегическое значение Балахнинской ГРЭС. В 23.35 он приказал дать «Отбой ВТ». В эти </w:t>
      </w:r>
      <w:r w:rsidRPr="00722885">
        <w:rPr>
          <w:rFonts w:ascii="Times New Roman" w:hAnsi="Times New Roman"/>
          <w:color w:val="000000" w:themeColor="text1"/>
          <w:sz w:val="16"/>
          <w:szCs w:val="16"/>
        </w:rPr>
        <w:lastRenderedPageBreak/>
        <w:t>дни в штаб 784-го ЗенАП, находившийся в «радиусном доме» в Соцгороде, прибыло пополнение из десяти человек – недавно обученных специалистов радиосвязи. Среди них был и 19-летний сержант Николай Егорычев. Здесь молодые бойцы познакомились с командующим зенитной артиллерией генералом Долгополовым, а затем были распределены по батареям, прикрывавшим автозавод. Николая и его друга-односельчанина зачислили в 3-ю батарею полка, позиции которой располагались в лесу на окраине города (11774).</w:t>
      </w:r>
    </w:p>
    <w:p w14:paraId="7899006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0B04A3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261B8156" w14:textId="77777777" w:rsidR="00090C9B" w:rsidRPr="00722885" w:rsidRDefault="00090C9B" w:rsidP="00722885">
      <w:pPr>
        <w:pStyle w:val="Iauiue"/>
        <w:jc w:val="both"/>
        <w:rPr>
          <w:iCs/>
          <w:color w:val="000000" w:themeColor="text1"/>
          <w:sz w:val="16"/>
          <w:szCs w:val="16"/>
        </w:rPr>
      </w:pPr>
    </w:p>
    <w:p w14:paraId="083D8EE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29 октября 1942 фашистами уничтожены 16 тысяч евреев в Пинске (4962).</w:t>
      </w:r>
    </w:p>
    <w:p w14:paraId="3CA09C92" w14:textId="77777777" w:rsidR="00090C9B" w:rsidRPr="00722885" w:rsidRDefault="00090C9B" w:rsidP="00722885">
      <w:pPr>
        <w:pStyle w:val="Iauiue"/>
        <w:tabs>
          <w:tab w:val="left" w:pos="11199"/>
        </w:tabs>
        <w:jc w:val="both"/>
        <w:rPr>
          <w:color w:val="000000" w:themeColor="text1"/>
          <w:sz w:val="16"/>
          <w:szCs w:val="16"/>
        </w:rPr>
      </w:pPr>
    </w:p>
    <w:p w14:paraId="78A366A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FA5F7CD" w14:textId="77777777" w:rsidR="00090C9B" w:rsidRPr="00722885" w:rsidRDefault="00090C9B" w:rsidP="00722885">
      <w:pPr>
        <w:pStyle w:val="Iauiue"/>
        <w:jc w:val="both"/>
        <w:rPr>
          <w:iCs/>
          <w:color w:val="000000" w:themeColor="text1"/>
          <w:sz w:val="16"/>
          <w:szCs w:val="16"/>
        </w:rPr>
      </w:pPr>
    </w:p>
    <w:p w14:paraId="0D2032F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30 октября 1942 г. по 25 января 1943 г. на Калининском фронте в 800-м и 667-м шап 1-го шак Резерва Ставки ВГК прово</w:t>
      </w:r>
      <w:r w:rsidRPr="00722885">
        <w:rPr>
          <w:rFonts w:ascii="Times New Roman" w:hAnsi="Times New Roman"/>
          <w:color w:val="000000" w:themeColor="text1"/>
          <w:sz w:val="16"/>
          <w:szCs w:val="16"/>
        </w:rPr>
        <w:softHyphen/>
        <w:t>дились войсковые испытания 16 двухместных Ил-2 с задней стрел</w:t>
      </w:r>
      <w:r w:rsidRPr="00722885">
        <w:rPr>
          <w:rFonts w:ascii="Times New Roman" w:hAnsi="Times New Roman"/>
          <w:color w:val="000000" w:themeColor="text1"/>
          <w:sz w:val="16"/>
          <w:szCs w:val="16"/>
        </w:rPr>
        <w:softHyphen/>
        <w:t>ковой установкой ВУБ-3 с пулеметом УБТ завода № 30.</w:t>
      </w:r>
    </w:p>
    <w:p w14:paraId="274EF54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материалах испытаний учтено 64 боевых вылета. В вось</w:t>
      </w:r>
      <w:r w:rsidRPr="00722885">
        <w:rPr>
          <w:rFonts w:ascii="Times New Roman" w:hAnsi="Times New Roman"/>
          <w:color w:val="000000" w:themeColor="text1"/>
          <w:sz w:val="16"/>
          <w:szCs w:val="16"/>
        </w:rPr>
        <w:softHyphen/>
        <w:t>ми воздушных боях огнем стрелков было сбито семь истребителей противника. Свои потери составили три Ил-2, один лет</w:t>
      </w:r>
      <w:r w:rsidRPr="00722885">
        <w:rPr>
          <w:rFonts w:ascii="Times New Roman" w:hAnsi="Times New Roman"/>
          <w:color w:val="000000" w:themeColor="text1"/>
          <w:sz w:val="16"/>
          <w:szCs w:val="16"/>
        </w:rPr>
        <w:softHyphen/>
        <w:t>чик и восемь воздушных стрелков.</w:t>
      </w:r>
    </w:p>
    <w:p w14:paraId="1B23B72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правило, при полете группы на боевое задание ведущи</w:t>
      </w:r>
      <w:r w:rsidRPr="00722885">
        <w:rPr>
          <w:rFonts w:ascii="Times New Roman" w:hAnsi="Times New Roman"/>
          <w:color w:val="000000" w:themeColor="text1"/>
          <w:sz w:val="16"/>
          <w:szCs w:val="16"/>
        </w:rPr>
        <w:softHyphen/>
        <w:t>ми и замыкающими назначались летчики, вылетавшие на двухместных самолетах Ил-2. На воздушных стрелков возлага</w:t>
      </w:r>
      <w:r w:rsidRPr="00722885">
        <w:rPr>
          <w:rFonts w:ascii="Times New Roman" w:hAnsi="Times New Roman"/>
          <w:color w:val="000000" w:themeColor="text1"/>
          <w:sz w:val="16"/>
          <w:szCs w:val="16"/>
        </w:rPr>
        <w:softHyphen/>
        <w:t>лась задача «по осмотрительности и обороне группы в задней полусфере». Такое расположение самолетов в строю повысило обороноспособность всей группы в целом и приводило к ус</w:t>
      </w:r>
      <w:r w:rsidRPr="00722885">
        <w:rPr>
          <w:rFonts w:ascii="Times New Roman" w:hAnsi="Times New Roman"/>
          <w:color w:val="000000" w:themeColor="text1"/>
          <w:sz w:val="16"/>
          <w:szCs w:val="16"/>
        </w:rPr>
        <w:softHyphen/>
        <w:t>пешному отражению нападения противника.</w:t>
      </w:r>
    </w:p>
    <w:p w14:paraId="4436F6C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Воздушные бои показали, что бронещиток стрелка носит формальный характер, поскольку пробивается боеприпасами немецких авиапушек и крупнокалиберных пулеметов.</w:t>
      </w:r>
    </w:p>
    <w:p w14:paraId="0BA67B2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Любой осколочный снаряд, попавший в кабину стрелка, если не попадал в него, то разрывался на задней броне корпуса и осколками поражал стрелка. Про осколки зенитных снаря</w:t>
      </w:r>
      <w:r w:rsidRPr="00722885">
        <w:rPr>
          <w:rFonts w:ascii="Times New Roman" w:hAnsi="Times New Roman"/>
          <w:color w:val="000000" w:themeColor="text1"/>
          <w:sz w:val="16"/>
          <w:szCs w:val="16"/>
        </w:rPr>
        <w:softHyphen/>
        <w:t>дов и говорить не приходится — их было много, и они проши</w:t>
      </w:r>
      <w:r w:rsidRPr="00722885">
        <w:rPr>
          <w:rFonts w:ascii="Times New Roman" w:hAnsi="Times New Roman"/>
          <w:color w:val="000000" w:themeColor="text1"/>
          <w:sz w:val="16"/>
          <w:szCs w:val="16"/>
        </w:rPr>
        <w:softHyphen/>
        <w:t>вали кабину стрелка с бортов насквозь.</w:t>
      </w:r>
    </w:p>
    <w:p w14:paraId="0CCE490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воспоминаниям ветеранов, если была встреча с немец</w:t>
      </w:r>
      <w:r w:rsidRPr="00722885">
        <w:rPr>
          <w:rFonts w:ascii="Times New Roman" w:hAnsi="Times New Roman"/>
          <w:color w:val="000000" w:themeColor="text1"/>
          <w:sz w:val="16"/>
          <w:szCs w:val="16"/>
        </w:rPr>
        <w:softHyphen/>
        <w:t>кими истребителями и велся воздушный бой, то обязательно одного-двух стрелков из состава группы (6—8 самолетов) при</w:t>
      </w:r>
      <w:r w:rsidRPr="00722885">
        <w:rPr>
          <w:rFonts w:ascii="Times New Roman" w:hAnsi="Times New Roman"/>
          <w:color w:val="000000" w:themeColor="text1"/>
          <w:sz w:val="16"/>
          <w:szCs w:val="16"/>
        </w:rPr>
        <w:softHyphen/>
        <w:t>возили ранеными или убитыми (11474,295).</w:t>
      </w:r>
    </w:p>
    <w:p w14:paraId="60D35EB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7E470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30 октября 1942 г. по 25 января 1943 г. на Калининском фронте в 800-м и 667-м шап 1-го шак Резерва Ставки ВГК проводились войсковые испытания 16 двухместных Ил-2 с задней стрелковой установкой ВУБ-3 с пулеметом УБТ завода №30.</w:t>
      </w:r>
    </w:p>
    <w:p w14:paraId="01AAEA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материалах испытаний учтено 64 боевых вылета. В восьми воздушных боях огнем стрелков было сбито семь истребителей противника. Свои потери составили 3 Ил-2, один летчик и восемь воздушных стрелков.</w:t>
      </w:r>
    </w:p>
    <w:p w14:paraId="15026D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правило, при полете группы на боевое задание ведущими и замыкающими назначались летчики, вылетавшие на двухместных самолетах Ил-2. На воздушных стрелков возлагалась задача "по осмотрительности и обороне группы в задней полусфере". Такое расположение самолетов в строю повысило обороноспособность всей группы в целом и приводило к успешному отражению нападения противника.</w:t>
      </w:r>
    </w:p>
    <w:p w14:paraId="192B8E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Воздушные бои показали, что бронещи- ток стрелка носит формальный характер, поскольку пробивается боеприпасами немецких авиапушек и крупнокалиберных пулеметов.</w:t>
      </w:r>
    </w:p>
    <w:p w14:paraId="370637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Любой осколочный снаряд, попавший в кабину стрелка, если не попадал в него, то разрывался на задней броне бронекорпуса, и осколками поражал стрелка. Про осколки зенитных снарядов и говорить не приходится - их было много, и они прошивали кабину стрелка с бортов насквозь.</w:t>
      </w:r>
    </w:p>
    <w:p w14:paraId="0481F3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воспоминаниям ветеранов, если была встреча с немецкими истребителями, и велся воздушный бой, то обязательно одного- двух стрелков из состава группы (6-8 самолетов) привозили ранеными или убитыми.</w:t>
      </w:r>
    </w:p>
    <w:p w14:paraId="085CF0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мнению воздушных стрелков, габариты кабины и конструкция сидения не позволяли вести прицельный огонь. В боевой обстановке стрелок вынужден был находиться в полусогнутом положении, "что очень стесняет действия и утомляет его". При этом углы обстрела пулемета УБТ оказались "слишком малы и не обеспечивали достаточной защиты задней полусферы и взаимной огневой поддержки между самолетами при действии в составе группы".</w:t>
      </w:r>
    </w:p>
    <w:p w14:paraId="708834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Пилотирование требовало от летчиков повышенного внимания, особенно при выполнении виражей и на боевых разворотах, которые Ил-2 выполнял с колебаниями по продольной оси. Отмечались большие нагрузки на рули при перекладывании штурмовика из виража в вираж. При выполнении глубоких виражей и при резком выводе из пикирования наблюдалась тенденция к срыву самолета в штопор. Пикировать нужно было осторожно, так как при достижении скорости 440 км/ч самолет становился трудноуправляемым и норовил увеличить угол пикирования.</w:t>
      </w:r>
    </w:p>
    <w:p w14:paraId="344AF8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состав требовал увеличить углы обстрела пулемета, усилить бронирование кабины стрелка, улучшить взлетно-посадочные и пилотажные качества самолета.</w:t>
      </w:r>
    </w:p>
    <w:p w14:paraId="3B3ED0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Здесь следует сказать, что в частях 1-го шак одновременно с двухместными Ил-2, оборудованными заводскими установками ВУБ-3, применялись Ил-2 с кабиной воздушного стрелка, переделанные из одноместных силами технического состава. В кабине стрелка устанавливался пулемет ШКАС с боезапасом 500 патронов. При этом для установки пулемета использовалось полуту- рельное кольцо установки ВУБ-1 от самолета Пе-2. В каждой эскадрилье корпуса имелось по два-три таких штурмовика.</w:t>
      </w:r>
    </w:p>
    <w:p w14:paraId="73CC3A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мнению командного состава 1-го шак после массового поступления в части модифицированных Ил-2 с воздушным стрелком потери штурмовиков от атак истребителей Люфтваффе должны сократиться примерно на 20-30% (12020).</w:t>
      </w:r>
    </w:p>
    <w:p w14:paraId="7CDCF73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405E79B" w14:textId="77777777" w:rsidR="007F4BD1" w:rsidRPr="00722885" w:rsidRDefault="007F4B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30 октября 1942 г. по 25 января 1943 г. на Калининском фронте в 800-м и 667-м шап 1-го шак Резерва Ставки ВГК проводились войсковые испытания 16 самолетов Ил-2 с задней стрелковой установкой ВУБ-3 и пулеметом УБТ.</w:t>
      </w:r>
    </w:p>
    <w:p w14:paraId="3192F64F" w14:textId="77777777" w:rsidR="007F4BD1" w:rsidRPr="00722885" w:rsidRDefault="007F4B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Здесь следует сказать, что к началу боевых действий в частях 1-го шак уже имелось некоторое количество Ил-2 с кабиной воздушного стрелка «фронтового варианта», переделанных из одноместных самолетов. В кабине стрелка устанав</w:t>
      </w:r>
      <w:r w:rsidRPr="00722885">
        <w:rPr>
          <w:rFonts w:ascii="Times New Roman" w:hAnsi="Times New Roman"/>
          <w:color w:val="000000" w:themeColor="text1"/>
          <w:sz w:val="16"/>
          <w:szCs w:val="16"/>
        </w:rPr>
        <w:softHyphen/>
        <w:t>ливался пулемет ШКАС.Для установки пулемета использовалось полутурельное кольцо от ВУБ-1 самолета Пе-2. Каждая эскадрилья корпуса имела по 2-3 двух</w:t>
      </w:r>
      <w:r w:rsidRPr="00722885">
        <w:rPr>
          <w:rFonts w:ascii="Times New Roman" w:hAnsi="Times New Roman"/>
          <w:color w:val="000000" w:themeColor="text1"/>
          <w:sz w:val="16"/>
          <w:szCs w:val="16"/>
        </w:rPr>
        <w:softHyphen/>
        <w:t>местных Ил-2 с пулеметом ШКАС. Боевые вылеты Ил-2 со ШКАС выполнялись совместно с Ил-2 с пулеметом УБТ.</w:t>
      </w:r>
    </w:p>
    <w:p w14:paraId="6DFFF5BC" w14:textId="77777777" w:rsidR="007F4BD1" w:rsidRPr="00722885" w:rsidRDefault="007F4B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материалах испытаний учтено 64 боевых вылета Ил-2 с УБТ. В восьми воз</w:t>
      </w:r>
      <w:r w:rsidRPr="00722885">
        <w:rPr>
          <w:rFonts w:ascii="Times New Roman" w:hAnsi="Times New Roman"/>
          <w:color w:val="000000" w:themeColor="text1"/>
          <w:sz w:val="16"/>
          <w:szCs w:val="16"/>
        </w:rPr>
        <w:softHyphen/>
        <w:t>душных боях огнем стрелков было сбито 7 истребителей противника. Свои потери составили три самолета, один летчик и 7 (!) воздушных стрелков.</w:t>
      </w:r>
    </w:p>
    <w:p w14:paraId="0F83209D" w14:textId="77777777" w:rsidR="007F4BD1" w:rsidRPr="00722885" w:rsidRDefault="007F4B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Воздушные бои показали, что бронещиток стрелка носит формальный характер, поскольку пробивается боеприпасами немецких авиапушек и крупнокалиберных пулеметов.</w:t>
      </w:r>
    </w:p>
    <w:p w14:paraId="3486EF7E" w14:textId="77777777" w:rsidR="007F4BD1" w:rsidRPr="00722885" w:rsidRDefault="007F4B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Любой осколочный снаряд, попавший в кабину стрелка, если не попадал в него, то разрывался на задней стенке бронекорпуса, и осколками поражал стрелка. Про осколки зенитных снарядов и говорить не приходится - их было много, и они прошивали кабину стрелка с бортов насквозь.</w:t>
      </w:r>
    </w:p>
    <w:p w14:paraId="379E810D" w14:textId="77777777" w:rsidR="007F4BD1" w:rsidRPr="00722885" w:rsidRDefault="007F4B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мнению стрелков, габариты кабины и конструкция сидения не позво</w:t>
      </w:r>
      <w:r w:rsidRPr="00722885">
        <w:rPr>
          <w:rFonts w:ascii="Times New Roman" w:hAnsi="Times New Roman"/>
          <w:color w:val="000000" w:themeColor="text1"/>
          <w:sz w:val="16"/>
          <w:szCs w:val="16"/>
        </w:rPr>
        <w:softHyphen/>
        <w:t>ляли вести прицельный огонь. В боевой обстановке стрелок вынужден находиться в полусогнутом положении, «что очень стесняет действия и утомляет его». При этом углы обстрела пулемета УБТ оказа</w:t>
      </w:r>
      <w:r w:rsidRPr="00722885">
        <w:rPr>
          <w:rFonts w:ascii="Times New Roman" w:hAnsi="Times New Roman"/>
          <w:color w:val="000000" w:themeColor="text1"/>
          <w:sz w:val="16"/>
          <w:szCs w:val="16"/>
        </w:rPr>
        <w:softHyphen/>
        <w:t>лись «слишком малы и не обеспечивали достаточной защиты задней полусферы и взаимной огневой поддержки между самолетами при действии в составе группы».</w:t>
      </w:r>
    </w:p>
    <w:p w14:paraId="56C9A61D" w14:textId="77777777" w:rsidR="007F4BD1" w:rsidRPr="00722885" w:rsidRDefault="007F4B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Пилотирование самолетом заметно усложнилось, особенно при выполнении виражей и на боевых разворотах, которые Ил-2 выполнял с колебаниями по продольной оси. Отмечались большие нагрузки на рули при перекладывании штурмовика из виража в вираж. При выполнении глубоких виражей имелась тенденция к срыву самолета в штопор. Пикировать нужно было осторожно, так как при достижении скорости 440 км/ч самолет становился трудноуправляемым, норовил увеличить угол пикирования, а при резком выводе из пикирования стремился к кабрированию с последу</w:t>
      </w:r>
      <w:r w:rsidRPr="00722885">
        <w:rPr>
          <w:rFonts w:ascii="Times New Roman" w:hAnsi="Times New Roman"/>
          <w:color w:val="000000" w:themeColor="text1"/>
          <w:sz w:val="16"/>
          <w:szCs w:val="16"/>
        </w:rPr>
        <w:softHyphen/>
        <w:t>ющим срывом в штопор. Причем срыв в штопор происходил неравномерно. В то же время при плавном выводе из пикирования увеличивалась просадка самолета, что автоматически приводило к возрастанию дистанции прекращения огня. То есть, летчик терял возможность вести огонь на самых эффективных дальностях стрельбы.</w:t>
      </w:r>
    </w:p>
    <w:p w14:paraId="10F690F0" w14:textId="77777777" w:rsidR="007F4BD1" w:rsidRPr="00722885" w:rsidRDefault="007F4B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мнению командного и летного состава полков 1-го шак «применение двухместных Ил-2 /.../ во многом повы</w:t>
      </w:r>
      <w:r w:rsidRPr="00722885">
        <w:rPr>
          <w:rFonts w:ascii="Times New Roman" w:hAnsi="Times New Roman"/>
          <w:color w:val="000000" w:themeColor="text1"/>
          <w:sz w:val="16"/>
          <w:szCs w:val="16"/>
        </w:rPr>
        <w:softHyphen/>
        <w:t>шает самооборону штурмовиков, делает их независимыми от сопровождения истребителями, и 100% переход полков к боевым действиям на двухместном Ил-2 является неотложной необходимостью». При этих условиях прогнозировалось сокращение потерь штурмовиков от огня истребителей примерно на 20-30%.</w:t>
      </w:r>
    </w:p>
    <w:p w14:paraId="5E22F7F7" w14:textId="77777777" w:rsidR="007F4BD1" w:rsidRPr="00722885" w:rsidRDefault="007F4B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акте НИИ ВВС от 3 марта 1943 г. по результатам войсковых испытаний Ил-2 «с задней огневой точкой постройки завода №30» требовалось установить в кабине стрелка броню с боков и снизу и усилить бронирование сверху сзади. Предлагалось увеличить углы обстрела ВУБ-3 до 50-60° - в стороны и вверх, и до 15-20° - вниз, а также улучшить взлетные и пилотажные качества самолета (19540).</w:t>
      </w:r>
    </w:p>
    <w:p w14:paraId="7E8FA215" w14:textId="77777777" w:rsidR="007F4BD1" w:rsidRPr="00722885" w:rsidRDefault="007F4BD1" w:rsidP="00722885">
      <w:pPr>
        <w:spacing w:after="0" w:line="240" w:lineRule="auto"/>
        <w:jc w:val="both"/>
        <w:rPr>
          <w:rFonts w:ascii="Times New Roman" w:hAnsi="Times New Roman"/>
          <w:color w:val="000000" w:themeColor="text1"/>
          <w:sz w:val="16"/>
          <w:szCs w:val="16"/>
        </w:rPr>
      </w:pPr>
    </w:p>
    <w:p w14:paraId="1E95101D" w14:textId="77777777" w:rsidR="001F2AD8" w:rsidRPr="00722885" w:rsidRDefault="001F2AD8"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 октября 1942 года в боях за Сталинград двухместные штурмовики из 8-й ВА (Воздушная Армия) впервые приняли участие в боевых действиях, и воздушные стрелки заявили о 10 сбитых ими истребителях противника. Возможно, этот успех, как обычно на войне, был немного преувеличен. Но может быть и нет. До сих пор немцы привыкли безнаказанно расправляться с одноместными Ил-2, и оборонительный огонь стрелков мог оказаться для немецких истребителей роковой неожиданностью. (19906).</w:t>
      </w:r>
    </w:p>
    <w:p w14:paraId="5797DC03" w14:textId="77777777" w:rsidR="001F2AD8" w:rsidRPr="00722885" w:rsidRDefault="001F2AD8" w:rsidP="00722885">
      <w:pPr>
        <w:shd w:val="clear" w:color="auto" w:fill="FFFFFF"/>
        <w:spacing w:after="0" w:line="240" w:lineRule="auto"/>
        <w:jc w:val="both"/>
        <w:rPr>
          <w:rFonts w:ascii="Times New Roman" w:hAnsi="Times New Roman"/>
          <w:color w:val="0070C0"/>
          <w:sz w:val="16"/>
          <w:szCs w:val="16"/>
        </w:rPr>
      </w:pPr>
    </w:p>
    <w:p w14:paraId="77E047C3" w14:textId="77777777" w:rsidR="001F2AD8" w:rsidRPr="00722885" w:rsidRDefault="001F2AD8"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Style w:val="16"/>
          <w:rFonts w:ascii="Times New Roman" w:hAnsi="Times New Roman" w:cs="Times New Roman"/>
          <w:color w:val="0070C0"/>
          <w:spacing w:val="0"/>
          <w:w w:val="100"/>
          <w:u w:val="none"/>
          <w:lang w:val="ru-RU"/>
        </w:rPr>
        <w:t>С</w:t>
      </w:r>
      <w:r w:rsidRPr="00722885">
        <w:rPr>
          <w:rStyle w:val="16"/>
          <w:rFonts w:ascii="Times New Roman" w:hAnsi="Times New Roman" w:cs="Times New Roman"/>
          <w:color w:val="0070C0"/>
          <w:spacing w:val="0"/>
          <w:w w:val="100"/>
          <w:u w:val="none"/>
        </w:rPr>
        <w:t xml:space="preserve"> 30 октября 1942 г по 25 января 1943 г. на Кали</w:t>
      </w:r>
      <w:r w:rsidRPr="00722885">
        <w:rPr>
          <w:rStyle w:val="16"/>
          <w:rFonts w:ascii="Times New Roman" w:hAnsi="Times New Roman" w:cs="Times New Roman"/>
          <w:color w:val="0070C0"/>
          <w:spacing w:val="0"/>
          <w:w w:val="100"/>
          <w:u w:val="none"/>
        </w:rPr>
        <w:softHyphen/>
        <w:t xml:space="preserve">нинском фронте в 800-м и 667-м шап 1-го шак Резерва Ставки ВГК проводились </w:t>
      </w:r>
      <w:r w:rsidRPr="00722885">
        <w:rPr>
          <w:rStyle w:val="16"/>
          <w:rFonts w:ascii="Times New Roman" w:hAnsi="Times New Roman" w:cs="Times New Roman"/>
          <w:color w:val="0070C0"/>
          <w:spacing w:val="0"/>
          <w:w w:val="100"/>
          <w:u w:val="none"/>
          <w:lang w:val="ru-RU"/>
        </w:rPr>
        <w:t>в</w:t>
      </w:r>
      <w:r w:rsidRPr="00722885">
        <w:rPr>
          <w:rStyle w:val="16"/>
          <w:rFonts w:ascii="Times New Roman" w:hAnsi="Times New Roman" w:cs="Times New Roman"/>
          <w:color w:val="0070C0"/>
          <w:spacing w:val="0"/>
          <w:w w:val="100"/>
          <w:u w:val="none"/>
        </w:rPr>
        <w:t>ойсковые испытания 16 двухместных Ил-2 с задней стрелковой установкой ВУБ-3 с пулеметом УБТ завода №30.</w:t>
      </w:r>
    </w:p>
    <w:p w14:paraId="722DFA86" w14:textId="77777777" w:rsidR="001F2AD8" w:rsidRPr="00722885" w:rsidRDefault="001F2AD8" w:rsidP="00722885">
      <w:pPr>
        <w:pStyle w:val="11b"/>
        <w:shd w:val="clear" w:color="auto" w:fill="auto"/>
        <w:spacing w:before="0" w:line="240" w:lineRule="auto"/>
        <w:rPr>
          <w:rFonts w:ascii="Times New Roman" w:hAnsi="Times New Roman" w:cs="Times New Roman"/>
          <w:color w:val="0070C0"/>
          <w:w w:val="100"/>
          <w:sz w:val="16"/>
          <w:szCs w:val="16"/>
          <w:lang w:val="ru-RU"/>
        </w:rPr>
      </w:pPr>
      <w:r w:rsidRPr="00722885">
        <w:rPr>
          <w:rStyle w:val="16"/>
          <w:rFonts w:ascii="Times New Roman" w:hAnsi="Times New Roman" w:cs="Times New Roman"/>
          <w:color w:val="0070C0"/>
          <w:spacing w:val="0"/>
          <w:w w:val="100"/>
          <w:u w:val="none"/>
        </w:rPr>
        <w:t>Здесь следует сказать, что к началу боевых действий в частях 1-го шак уже имелось не</w:t>
      </w:r>
      <w:r w:rsidRPr="00722885">
        <w:rPr>
          <w:rStyle w:val="16"/>
          <w:rFonts w:ascii="Times New Roman" w:hAnsi="Times New Roman" w:cs="Times New Roman"/>
          <w:color w:val="0070C0"/>
          <w:spacing w:val="0"/>
          <w:w w:val="100"/>
          <w:u w:val="none"/>
        </w:rPr>
        <w:softHyphen/>
        <w:t>которое количество Ил-2 с кабиной воздуш</w:t>
      </w:r>
      <w:r w:rsidRPr="00722885">
        <w:rPr>
          <w:rStyle w:val="16"/>
          <w:rFonts w:ascii="Times New Roman" w:hAnsi="Times New Roman" w:cs="Times New Roman"/>
          <w:color w:val="0070C0"/>
          <w:spacing w:val="0"/>
          <w:w w:val="100"/>
          <w:u w:val="none"/>
        </w:rPr>
        <w:softHyphen/>
        <w:t>ного стрелка «фронтового варианта», переде</w:t>
      </w:r>
      <w:r w:rsidRPr="00722885">
        <w:rPr>
          <w:rStyle w:val="16"/>
          <w:rFonts w:ascii="Times New Roman" w:hAnsi="Times New Roman" w:cs="Times New Roman"/>
          <w:color w:val="0070C0"/>
          <w:spacing w:val="0"/>
          <w:w w:val="100"/>
          <w:u w:val="none"/>
        </w:rPr>
        <w:softHyphen/>
        <w:t>ланных из одноместных самолетов. В кабине стрелка монтировался пулемет ШКАС с бое</w:t>
      </w:r>
      <w:r w:rsidRPr="00722885">
        <w:rPr>
          <w:rStyle w:val="16"/>
          <w:rFonts w:ascii="Times New Roman" w:hAnsi="Times New Roman" w:cs="Times New Roman"/>
          <w:color w:val="0070C0"/>
          <w:spacing w:val="0"/>
          <w:w w:val="100"/>
          <w:u w:val="none"/>
        </w:rPr>
        <w:softHyphen/>
        <w:t>запасом 500 патронов. Для его установки ис</w:t>
      </w:r>
      <w:r w:rsidRPr="00722885">
        <w:rPr>
          <w:rStyle w:val="16"/>
          <w:rFonts w:ascii="Times New Roman" w:hAnsi="Times New Roman" w:cs="Times New Roman"/>
          <w:color w:val="0070C0"/>
          <w:spacing w:val="0"/>
          <w:w w:val="100"/>
          <w:u w:val="none"/>
        </w:rPr>
        <w:softHyphen/>
        <w:t>пользовалось полутурельное кольцо от ВУБ-1 самолета Пе-2. Каждая эскадрилья корпуса имела по 2-3 двухместных Ил-2 с пулеметом ШКАС. Боевые вылеты такие штурмовики вы</w:t>
      </w:r>
      <w:r w:rsidRPr="00722885">
        <w:rPr>
          <w:rStyle w:val="16"/>
          <w:rFonts w:ascii="Times New Roman" w:hAnsi="Times New Roman" w:cs="Times New Roman"/>
          <w:color w:val="0070C0"/>
          <w:spacing w:val="0"/>
          <w:w w:val="100"/>
          <w:u w:val="none"/>
        </w:rPr>
        <w:softHyphen/>
        <w:t>полняли совместно с Ил-2, оснащенными пу</w:t>
      </w:r>
      <w:r w:rsidRPr="00722885">
        <w:rPr>
          <w:rStyle w:val="16"/>
          <w:rFonts w:ascii="Times New Roman" w:hAnsi="Times New Roman" w:cs="Times New Roman"/>
          <w:color w:val="0070C0"/>
          <w:spacing w:val="0"/>
          <w:w w:val="100"/>
          <w:u w:val="none"/>
        </w:rPr>
        <w:softHyphen/>
        <w:t>леметом УБТ</w:t>
      </w:r>
      <w:r w:rsidRPr="00722885">
        <w:rPr>
          <w:rStyle w:val="16"/>
          <w:rFonts w:ascii="Times New Roman" w:hAnsi="Times New Roman" w:cs="Times New Roman"/>
          <w:color w:val="0070C0"/>
          <w:spacing w:val="0"/>
          <w:w w:val="100"/>
          <w:u w:val="none"/>
          <w:lang w:val="ru-RU"/>
        </w:rPr>
        <w:t>.</w:t>
      </w:r>
    </w:p>
    <w:p w14:paraId="68F0DC17" w14:textId="77777777" w:rsidR="001F2AD8" w:rsidRPr="00722885" w:rsidRDefault="001F2AD8"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Style w:val="16"/>
          <w:rFonts w:ascii="Times New Roman" w:hAnsi="Times New Roman" w:cs="Times New Roman"/>
          <w:color w:val="0070C0"/>
          <w:spacing w:val="0"/>
          <w:w w:val="100"/>
          <w:u w:val="none"/>
        </w:rPr>
        <w:t>В материалах испытаний учтено 64 бое</w:t>
      </w:r>
      <w:r w:rsidRPr="00722885">
        <w:rPr>
          <w:rStyle w:val="16"/>
          <w:rFonts w:ascii="Times New Roman" w:hAnsi="Times New Roman" w:cs="Times New Roman"/>
          <w:color w:val="0070C0"/>
          <w:spacing w:val="0"/>
          <w:w w:val="100"/>
          <w:u w:val="none"/>
        </w:rPr>
        <w:softHyphen/>
        <w:t>вых вылета Ил-2 с УБТ В восьми воздушных боях огнем стрелков было сбито семь истре</w:t>
      </w:r>
      <w:r w:rsidRPr="00722885">
        <w:rPr>
          <w:rStyle w:val="16"/>
          <w:rFonts w:ascii="Times New Roman" w:hAnsi="Times New Roman" w:cs="Times New Roman"/>
          <w:color w:val="0070C0"/>
          <w:spacing w:val="0"/>
          <w:w w:val="100"/>
          <w:u w:val="none"/>
        </w:rPr>
        <w:softHyphen/>
        <w:t>бителей противника. Свои потери составили три самолета, один летчик и восемь (!) воз</w:t>
      </w:r>
      <w:r w:rsidRPr="00722885">
        <w:rPr>
          <w:rStyle w:val="16"/>
          <w:rFonts w:ascii="Times New Roman" w:hAnsi="Times New Roman" w:cs="Times New Roman"/>
          <w:color w:val="0070C0"/>
          <w:spacing w:val="0"/>
          <w:w w:val="100"/>
          <w:u w:val="none"/>
        </w:rPr>
        <w:softHyphen/>
        <w:t>душных стрелков. Как правило, при полете группы на боевое задание ведущими и замы</w:t>
      </w:r>
      <w:r w:rsidRPr="00722885">
        <w:rPr>
          <w:rStyle w:val="16"/>
          <w:rFonts w:ascii="Times New Roman" w:hAnsi="Times New Roman" w:cs="Times New Roman"/>
          <w:color w:val="0070C0"/>
          <w:spacing w:val="0"/>
          <w:w w:val="100"/>
          <w:u w:val="none"/>
        </w:rPr>
        <w:softHyphen/>
        <w:t>кающими назначались летчики, вылетавшие на двухместных Ил-2. На воздушных стрелков возлагалась задача</w:t>
      </w:r>
      <w:r w:rsidRPr="00722885">
        <w:rPr>
          <w:rStyle w:val="800"/>
          <w:rFonts w:ascii="Times New Roman" w:hAnsi="Times New Roman" w:cs="Times New Roman"/>
          <w:i w:val="0"/>
          <w:iCs w:val="0"/>
          <w:color w:val="0070C0"/>
          <w:w w:val="100"/>
          <w:sz w:val="16"/>
          <w:szCs w:val="16"/>
        </w:rPr>
        <w:t xml:space="preserve"> «по осмотрительности и обороне группы в задней полусфере».</w:t>
      </w:r>
      <w:r w:rsidRPr="00722885">
        <w:rPr>
          <w:rStyle w:val="16"/>
          <w:rFonts w:ascii="Times New Roman" w:hAnsi="Times New Roman" w:cs="Times New Roman"/>
          <w:color w:val="0070C0"/>
          <w:spacing w:val="0"/>
          <w:w w:val="100"/>
          <w:u w:val="none"/>
        </w:rPr>
        <w:t xml:space="preserve"> Такое расположение самолетов в строю повышало обороноспособность всей группы и способ</w:t>
      </w:r>
      <w:r w:rsidRPr="00722885">
        <w:rPr>
          <w:rStyle w:val="16"/>
          <w:rFonts w:ascii="Times New Roman" w:hAnsi="Times New Roman" w:cs="Times New Roman"/>
          <w:color w:val="0070C0"/>
          <w:spacing w:val="0"/>
          <w:w w:val="100"/>
          <w:u w:val="none"/>
        </w:rPr>
        <w:softHyphen/>
        <w:t>ствовало успешному отражению нападения противника.</w:t>
      </w:r>
    </w:p>
    <w:p w14:paraId="7B385078" w14:textId="77777777" w:rsidR="001F2AD8" w:rsidRPr="00722885" w:rsidRDefault="001F2AD8"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Style w:val="16"/>
          <w:rFonts w:ascii="Times New Roman" w:hAnsi="Times New Roman" w:cs="Times New Roman"/>
          <w:color w:val="0070C0"/>
          <w:spacing w:val="0"/>
          <w:w w:val="100"/>
          <w:u w:val="none"/>
        </w:rPr>
        <w:t>Воздушные бои наглядно показали, что бронещиток стрелка носит формальный ха</w:t>
      </w:r>
      <w:r w:rsidRPr="00722885">
        <w:rPr>
          <w:rStyle w:val="16"/>
          <w:rFonts w:ascii="Times New Roman" w:hAnsi="Times New Roman" w:cs="Times New Roman"/>
          <w:color w:val="0070C0"/>
          <w:spacing w:val="0"/>
          <w:w w:val="100"/>
          <w:u w:val="none"/>
        </w:rPr>
        <w:softHyphen/>
        <w:t>рактер, поскольку пробивается боеприпасами немецких авиапушек и крупнокалиберных пулеметов. Любой осколочный снаряд, уго</w:t>
      </w:r>
      <w:r w:rsidRPr="00722885">
        <w:rPr>
          <w:rStyle w:val="16"/>
          <w:rFonts w:ascii="Times New Roman" w:hAnsi="Times New Roman" w:cs="Times New Roman"/>
          <w:color w:val="0070C0"/>
          <w:spacing w:val="0"/>
          <w:w w:val="100"/>
          <w:u w:val="none"/>
        </w:rPr>
        <w:softHyphen/>
        <w:t>дивший в кабину стрелка, если и не попадал в него, то разрывался на задней броне бронекорпуса и осколками поражал стрелка. Про осколки зенитных снарядов и говорить не приходится - их было много, и они прошивали кабину стрелка насквозь. По воспоминаниям ветеранов, если при встрече Ил-2 с немец</w:t>
      </w:r>
      <w:r w:rsidRPr="00722885">
        <w:rPr>
          <w:rStyle w:val="16"/>
          <w:rFonts w:ascii="Times New Roman" w:hAnsi="Times New Roman" w:cs="Times New Roman"/>
          <w:color w:val="0070C0"/>
          <w:spacing w:val="0"/>
          <w:w w:val="100"/>
          <w:u w:val="none"/>
        </w:rPr>
        <w:softHyphen/>
        <w:t>кими истребителями велся воздушный бой, то обязательно одного-двух стрелков из состава группы (6-8 самолетов) привозили ранеными или убитыми.</w:t>
      </w:r>
    </w:p>
    <w:p w14:paraId="3A73FDEF" w14:textId="77777777" w:rsidR="001F2AD8" w:rsidRPr="00722885" w:rsidRDefault="001F2AD8"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Style w:val="16"/>
          <w:rFonts w:ascii="Times New Roman" w:hAnsi="Times New Roman" w:cs="Times New Roman"/>
          <w:color w:val="0070C0"/>
          <w:spacing w:val="0"/>
          <w:w w:val="100"/>
          <w:u w:val="none"/>
        </w:rPr>
        <w:t>Характерным в этом плане является воз</w:t>
      </w:r>
      <w:r w:rsidRPr="00722885">
        <w:rPr>
          <w:rStyle w:val="16"/>
          <w:rFonts w:ascii="Times New Roman" w:hAnsi="Times New Roman" w:cs="Times New Roman"/>
          <w:color w:val="0070C0"/>
          <w:spacing w:val="0"/>
          <w:w w:val="100"/>
          <w:u w:val="none"/>
        </w:rPr>
        <w:softHyphen/>
        <w:t>душный бой, проведенный 14 декабря эки</w:t>
      </w:r>
      <w:r w:rsidRPr="00722885">
        <w:rPr>
          <w:rStyle w:val="16"/>
          <w:rFonts w:ascii="Times New Roman" w:hAnsi="Times New Roman" w:cs="Times New Roman"/>
          <w:color w:val="0070C0"/>
          <w:spacing w:val="0"/>
          <w:w w:val="100"/>
          <w:u w:val="none"/>
        </w:rPr>
        <w:softHyphen/>
        <w:t>пажем в составе лейтенанта Шубина и воз</w:t>
      </w:r>
      <w:r w:rsidRPr="00722885">
        <w:rPr>
          <w:rStyle w:val="16"/>
          <w:rFonts w:ascii="Times New Roman" w:hAnsi="Times New Roman" w:cs="Times New Roman"/>
          <w:color w:val="0070C0"/>
          <w:spacing w:val="0"/>
          <w:w w:val="100"/>
          <w:u w:val="none"/>
        </w:rPr>
        <w:softHyphen/>
        <w:t>душного стрелка Баранова из 800-го шап. В районе Белый их самолет был поврежден ог</w:t>
      </w:r>
      <w:r w:rsidRPr="00722885">
        <w:rPr>
          <w:rStyle w:val="16"/>
          <w:rFonts w:ascii="Times New Roman" w:hAnsi="Times New Roman" w:cs="Times New Roman"/>
          <w:color w:val="0070C0"/>
          <w:spacing w:val="0"/>
          <w:w w:val="100"/>
          <w:u w:val="none"/>
        </w:rPr>
        <w:softHyphen/>
        <w:t xml:space="preserve">нем зенитной артиллерии и отстал от группы. На обратном пути, отражая атаки пары </w:t>
      </w:r>
      <w:r w:rsidRPr="00722885">
        <w:rPr>
          <w:rStyle w:val="16"/>
          <w:rFonts w:ascii="Times New Roman" w:hAnsi="Times New Roman" w:cs="Times New Roman"/>
          <w:color w:val="0070C0"/>
          <w:spacing w:val="0"/>
          <w:w w:val="100"/>
          <w:u w:val="none"/>
          <w:lang w:val="en-US"/>
        </w:rPr>
        <w:t>Bf</w:t>
      </w:r>
      <w:r w:rsidRPr="00722885">
        <w:rPr>
          <w:rStyle w:val="16"/>
          <w:rFonts w:ascii="Times New Roman" w:hAnsi="Times New Roman" w:cs="Times New Roman"/>
          <w:color w:val="0070C0"/>
          <w:spacing w:val="0"/>
          <w:w w:val="100"/>
          <w:u w:val="none"/>
          <w:lang w:val="ru-RU"/>
        </w:rPr>
        <w:t xml:space="preserve">109, </w:t>
      </w:r>
      <w:r w:rsidRPr="00722885">
        <w:rPr>
          <w:rStyle w:val="16"/>
          <w:rFonts w:ascii="Times New Roman" w:hAnsi="Times New Roman" w:cs="Times New Roman"/>
          <w:color w:val="0070C0"/>
          <w:spacing w:val="0"/>
          <w:w w:val="100"/>
          <w:u w:val="none"/>
        </w:rPr>
        <w:t>Баранов расстрелял весь боекомплект. Но пи</w:t>
      </w:r>
      <w:r w:rsidRPr="00722885">
        <w:rPr>
          <w:rStyle w:val="16"/>
          <w:rFonts w:ascii="Times New Roman" w:hAnsi="Times New Roman" w:cs="Times New Roman"/>
          <w:color w:val="0070C0"/>
          <w:spacing w:val="0"/>
          <w:w w:val="100"/>
          <w:u w:val="none"/>
        </w:rPr>
        <w:softHyphen/>
        <w:t>лоты люфтваффе, получив отпор, ушли. В ходе боя Баранов вначале был ранен в ноги, а за</w:t>
      </w:r>
      <w:r w:rsidRPr="00722885">
        <w:rPr>
          <w:rStyle w:val="16"/>
          <w:rFonts w:ascii="Times New Roman" w:hAnsi="Times New Roman" w:cs="Times New Roman"/>
          <w:color w:val="0070C0"/>
          <w:spacing w:val="0"/>
          <w:w w:val="100"/>
          <w:u w:val="none"/>
        </w:rPr>
        <w:softHyphen/>
        <w:t>тем получил несколько тяжелых осколочных ранений в результате разрыва снаряда на зад</w:t>
      </w:r>
      <w:r w:rsidRPr="00722885">
        <w:rPr>
          <w:rStyle w:val="16"/>
          <w:rFonts w:ascii="Times New Roman" w:hAnsi="Times New Roman" w:cs="Times New Roman"/>
          <w:color w:val="0070C0"/>
          <w:spacing w:val="0"/>
          <w:w w:val="100"/>
          <w:u w:val="none"/>
        </w:rPr>
        <w:softHyphen/>
        <w:t>ней бронеспинке кабины летчика. Лейтенант Шубин сумел благополучно довести повре</w:t>
      </w:r>
      <w:r w:rsidRPr="00722885">
        <w:rPr>
          <w:rStyle w:val="16"/>
          <w:rFonts w:ascii="Times New Roman" w:hAnsi="Times New Roman" w:cs="Times New Roman"/>
          <w:color w:val="0070C0"/>
          <w:spacing w:val="0"/>
          <w:w w:val="100"/>
          <w:u w:val="none"/>
        </w:rPr>
        <w:softHyphen/>
        <w:t>жденный штурмовик до своего аэродрома и совершил посадку.</w:t>
      </w:r>
    </w:p>
    <w:p w14:paraId="0EE19ADC" w14:textId="77777777" w:rsidR="001F2AD8" w:rsidRPr="00722885" w:rsidRDefault="001F2AD8" w:rsidP="00722885">
      <w:pPr>
        <w:shd w:val="clear" w:color="auto" w:fill="FFFFFF"/>
        <w:spacing w:after="0" w:line="240" w:lineRule="auto"/>
        <w:jc w:val="both"/>
        <w:rPr>
          <w:rFonts w:ascii="Times New Roman" w:hAnsi="Times New Roman"/>
          <w:color w:val="0070C0"/>
          <w:sz w:val="16"/>
          <w:szCs w:val="16"/>
        </w:rPr>
      </w:pPr>
      <w:r w:rsidRPr="00722885">
        <w:rPr>
          <w:rStyle w:val="16"/>
          <w:rFonts w:ascii="Times New Roman" w:hAnsi="Times New Roman" w:cs="Times New Roman"/>
          <w:color w:val="0070C0"/>
          <w:spacing w:val="0"/>
          <w:u w:val="none"/>
        </w:rPr>
        <w:t>17 декабря сержант Чура, также из 800-го шап (воздушный стрелок - старший сержант Михайловский), при выполнении удара в со</w:t>
      </w:r>
      <w:r w:rsidRPr="00722885">
        <w:rPr>
          <w:rStyle w:val="16"/>
          <w:rFonts w:ascii="Times New Roman" w:hAnsi="Times New Roman" w:cs="Times New Roman"/>
          <w:color w:val="0070C0"/>
          <w:spacing w:val="0"/>
          <w:u w:val="none"/>
        </w:rPr>
        <w:softHyphen/>
        <w:t>ставе группы из восьми Ил-2 после атаки цели потерял группу из виду. Почти сразу же его са</w:t>
      </w:r>
      <w:r w:rsidRPr="00722885">
        <w:rPr>
          <w:rStyle w:val="16"/>
          <w:rFonts w:ascii="Times New Roman" w:hAnsi="Times New Roman" w:cs="Times New Roman"/>
          <w:color w:val="0070C0"/>
          <w:spacing w:val="0"/>
          <w:u w:val="none"/>
        </w:rPr>
        <w:softHyphen/>
        <w:t>молет настиг одиночный «мессершмитт». Чура ушел на бреющий полет и увеличил скорость. Однако это помогло мало. Первой же пуле- метно-пушечной очередью противника был убит старший сержант Михайловский. А «мес</w:t>
      </w:r>
      <w:r w:rsidRPr="00722885">
        <w:rPr>
          <w:rStyle w:val="16"/>
          <w:rFonts w:ascii="Times New Roman" w:hAnsi="Times New Roman" w:cs="Times New Roman"/>
          <w:color w:val="0070C0"/>
          <w:spacing w:val="0"/>
          <w:u w:val="none"/>
        </w:rPr>
        <w:softHyphen/>
        <w:t>сер», «повиснув на хвосте» самолета Чуры, повторными атаками вывел из строя мотор и радиатор Ил-2. При вынужденной посадке на фюзеляж самолет полностью разрушился. Лет</w:t>
      </w:r>
      <w:r w:rsidRPr="00722885">
        <w:rPr>
          <w:rStyle w:val="16"/>
          <w:rFonts w:ascii="Times New Roman" w:hAnsi="Times New Roman" w:cs="Times New Roman"/>
          <w:color w:val="0070C0"/>
          <w:spacing w:val="0"/>
          <w:u w:val="none"/>
        </w:rPr>
        <w:softHyphen/>
        <w:t>чик остался цел благодаря бронекоробке.</w:t>
      </w:r>
    </w:p>
    <w:p w14:paraId="7FFEA603" w14:textId="77777777" w:rsidR="001F2AD8" w:rsidRPr="00722885" w:rsidRDefault="001F2AD8"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По мнению воздушных стрелков, габариты кабины и конструкция сидения не позволяли им вести прицельный огонь. В боевой обста</w:t>
      </w:r>
      <w:r w:rsidRPr="00722885">
        <w:rPr>
          <w:rFonts w:ascii="Times New Roman" w:hAnsi="Times New Roman" w:cs="Times New Roman"/>
          <w:color w:val="0070C0"/>
          <w:w w:val="100"/>
          <w:sz w:val="16"/>
          <w:szCs w:val="16"/>
        </w:rPr>
        <w:softHyphen/>
        <w:t>новке стрелок вынужден был находиться в по</w:t>
      </w:r>
      <w:r w:rsidRPr="00722885">
        <w:rPr>
          <w:rFonts w:ascii="Times New Roman" w:hAnsi="Times New Roman" w:cs="Times New Roman"/>
          <w:color w:val="0070C0"/>
          <w:w w:val="100"/>
          <w:sz w:val="16"/>
          <w:szCs w:val="16"/>
        </w:rPr>
        <w:softHyphen/>
        <w:t>лусогнутом положении, что очень стесняло его действия и утомляло. При этом углы обстрела пулемета УБТ оказались</w:t>
      </w:r>
      <w:r w:rsidRPr="00722885">
        <w:rPr>
          <w:rStyle w:val="800"/>
          <w:rFonts w:ascii="Times New Roman" w:hAnsi="Times New Roman" w:cs="Times New Roman"/>
          <w:i w:val="0"/>
          <w:iCs w:val="0"/>
          <w:color w:val="0070C0"/>
          <w:w w:val="100"/>
          <w:sz w:val="16"/>
          <w:szCs w:val="16"/>
        </w:rPr>
        <w:t xml:space="preserve"> «слишком малы и не обеспечивали достаточной защиты задней по</w:t>
      </w:r>
      <w:r w:rsidRPr="00722885">
        <w:rPr>
          <w:rStyle w:val="800"/>
          <w:rFonts w:ascii="Times New Roman" w:hAnsi="Times New Roman" w:cs="Times New Roman"/>
          <w:i w:val="0"/>
          <w:iCs w:val="0"/>
          <w:color w:val="0070C0"/>
          <w:w w:val="100"/>
          <w:sz w:val="16"/>
          <w:szCs w:val="16"/>
        </w:rPr>
        <w:softHyphen/>
        <w:t>лусферы и взаимной огневой поддержки между самолетами при действии в составе группы».</w:t>
      </w:r>
    </w:p>
    <w:p w14:paraId="6733B4DA" w14:textId="77777777" w:rsidR="001F2AD8" w:rsidRPr="00722885" w:rsidRDefault="001F2AD8" w:rsidP="00722885">
      <w:pPr>
        <w:pStyle w:val="28"/>
        <w:shd w:val="clear" w:color="auto" w:fill="auto"/>
        <w:spacing w:before="0" w:line="240" w:lineRule="auto"/>
        <w:jc w:val="both"/>
        <w:rPr>
          <w:rFonts w:ascii="Times New Roman" w:hAnsi="Times New Roman" w:cs="Times New Roman"/>
          <w:color w:val="0070C0"/>
          <w:sz w:val="16"/>
          <w:szCs w:val="16"/>
        </w:rPr>
      </w:pPr>
      <w:r w:rsidRPr="00722885">
        <w:rPr>
          <w:rStyle w:val="2750"/>
          <w:rFonts w:ascii="Times New Roman" w:hAnsi="Times New Roman" w:cs="Times New Roman"/>
          <w:i w:val="0"/>
          <w:iCs w:val="0"/>
          <w:color w:val="0070C0"/>
          <w:w w:val="100"/>
          <w:sz w:val="16"/>
          <w:szCs w:val="16"/>
        </w:rPr>
        <w:t xml:space="preserve">Установку прицела К8-Т слева от пулемета признали неудачной, так как он ограничивал </w:t>
      </w:r>
      <w:r w:rsidRPr="00722885">
        <w:rPr>
          <w:rFonts w:ascii="Times New Roman" w:hAnsi="Times New Roman" w:cs="Times New Roman"/>
          <w:color w:val="0070C0"/>
          <w:sz w:val="16"/>
          <w:szCs w:val="16"/>
        </w:rPr>
        <w:t>«ведение прицельного огня в правую сторону до 20-23°, при дальнейшем увеличении угла стрельба производится неприцельно».</w:t>
      </w:r>
    </w:p>
    <w:p w14:paraId="45AE0176" w14:textId="77777777" w:rsidR="001F2AD8" w:rsidRPr="00722885" w:rsidRDefault="001F2AD8"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Пилотирование самолетом заметно усложнилось, особенно при выполнении ви</w:t>
      </w:r>
      <w:r w:rsidRPr="00722885">
        <w:rPr>
          <w:rFonts w:ascii="Times New Roman" w:hAnsi="Times New Roman" w:cs="Times New Roman"/>
          <w:color w:val="0070C0"/>
          <w:w w:val="100"/>
          <w:sz w:val="16"/>
          <w:szCs w:val="16"/>
        </w:rPr>
        <w:softHyphen/>
        <w:t>ражей и на боевых разворотах, которые Ил-2 выполнял с колебаниями по продольной оси. Отмечались большие нагрузки на рули при перекладывании штурмовика из виража в вираж. На глубоких виражах имелась тенден</w:t>
      </w:r>
      <w:r w:rsidRPr="00722885">
        <w:rPr>
          <w:rFonts w:ascii="Times New Roman" w:hAnsi="Times New Roman" w:cs="Times New Roman"/>
          <w:color w:val="0070C0"/>
          <w:w w:val="100"/>
          <w:sz w:val="16"/>
          <w:szCs w:val="16"/>
        </w:rPr>
        <w:softHyphen/>
        <w:t>ция к срыву самолета в штопор. Пикировать нужно было осторожно, так как при достиже</w:t>
      </w:r>
      <w:r w:rsidRPr="00722885">
        <w:rPr>
          <w:rFonts w:ascii="Times New Roman" w:hAnsi="Times New Roman" w:cs="Times New Roman"/>
          <w:color w:val="0070C0"/>
          <w:w w:val="100"/>
          <w:sz w:val="16"/>
          <w:szCs w:val="16"/>
        </w:rPr>
        <w:softHyphen/>
        <w:t>нии скорости 440 км/ч самолет становился трудноуправляемым, норовил увеличить угол пикирования, а при резком выводе стремился к кабрированию с последующим срывом в штопор. В то же время при плавном выводе из пикирования увеличивалась просадка Ил- 2, что автоматически увеличивало дистанцию прекращения огня. То есть летчик терял воз</w:t>
      </w:r>
      <w:r w:rsidRPr="00722885">
        <w:rPr>
          <w:rFonts w:ascii="Times New Roman" w:hAnsi="Times New Roman" w:cs="Times New Roman"/>
          <w:color w:val="0070C0"/>
          <w:w w:val="100"/>
          <w:sz w:val="16"/>
          <w:szCs w:val="16"/>
        </w:rPr>
        <w:softHyphen/>
        <w:t>можность вести огонь на самых эффективных дальностях стрельбы.</w:t>
      </w:r>
    </w:p>
    <w:p w14:paraId="3F7AE5C8" w14:textId="77777777" w:rsidR="001F2AD8" w:rsidRPr="00722885" w:rsidRDefault="001F2AD8" w:rsidP="00722885">
      <w:pPr>
        <w:pStyle w:val="28"/>
        <w:shd w:val="clear" w:color="auto" w:fill="auto"/>
        <w:spacing w:before="0" w:line="240" w:lineRule="auto"/>
        <w:jc w:val="both"/>
        <w:rPr>
          <w:rFonts w:ascii="Times New Roman" w:hAnsi="Times New Roman" w:cs="Times New Roman"/>
          <w:color w:val="0070C0"/>
          <w:sz w:val="16"/>
          <w:szCs w:val="16"/>
        </w:rPr>
      </w:pPr>
      <w:r w:rsidRPr="00722885">
        <w:rPr>
          <w:rStyle w:val="2750"/>
          <w:rFonts w:ascii="Times New Roman" w:hAnsi="Times New Roman" w:cs="Times New Roman"/>
          <w:i w:val="0"/>
          <w:iCs w:val="0"/>
          <w:color w:val="0070C0"/>
          <w:w w:val="100"/>
          <w:sz w:val="16"/>
          <w:szCs w:val="16"/>
        </w:rPr>
        <w:t>По мнению командного и летного состава полков 1-го шак,</w:t>
      </w:r>
      <w:r w:rsidRPr="00722885">
        <w:rPr>
          <w:rFonts w:ascii="Times New Roman" w:hAnsi="Times New Roman" w:cs="Times New Roman"/>
          <w:color w:val="0070C0"/>
          <w:sz w:val="16"/>
          <w:szCs w:val="16"/>
        </w:rPr>
        <w:t xml:space="preserve"> «применение двухместных Ил-2 /.../ во многом повышает самооборону штурмовиков, делает их независимыми от со</w:t>
      </w:r>
      <w:r w:rsidRPr="00722885">
        <w:rPr>
          <w:rFonts w:ascii="Times New Roman" w:hAnsi="Times New Roman" w:cs="Times New Roman"/>
          <w:color w:val="0070C0"/>
          <w:sz w:val="16"/>
          <w:szCs w:val="16"/>
        </w:rPr>
        <w:softHyphen/>
        <w:t xml:space="preserve">провождения истребителями, и 100% переход полков к боевым действиям на двухместном Ил-2 является неотложной необходимостью». </w:t>
      </w:r>
      <w:r w:rsidRPr="00722885">
        <w:rPr>
          <w:rStyle w:val="2750"/>
          <w:rFonts w:ascii="Times New Roman" w:hAnsi="Times New Roman" w:cs="Times New Roman"/>
          <w:i w:val="0"/>
          <w:iCs w:val="0"/>
          <w:color w:val="0070C0"/>
          <w:w w:val="100"/>
          <w:sz w:val="16"/>
          <w:szCs w:val="16"/>
        </w:rPr>
        <w:t>По оценкам офицеров оперативного отдела штаба корпуса, при массовом поступлении в части Ил-2 с воздушным стрелком потери от атак истребителей люфтваффе должны были сократиться примерно на 20-30%.</w:t>
      </w:r>
    </w:p>
    <w:p w14:paraId="68CE024B" w14:textId="77777777" w:rsidR="001F2AD8" w:rsidRPr="00722885" w:rsidRDefault="001F2AD8"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В акте НИИ ВВС от 3 марта 1943 г. по ре</w:t>
      </w:r>
      <w:r w:rsidRPr="00722885">
        <w:rPr>
          <w:rFonts w:ascii="Times New Roman" w:hAnsi="Times New Roman" w:cs="Times New Roman"/>
          <w:color w:val="0070C0"/>
          <w:w w:val="100"/>
          <w:sz w:val="16"/>
          <w:szCs w:val="16"/>
        </w:rPr>
        <w:softHyphen/>
        <w:t>зультатам войсковых испытаний Ил-2 с ог</w:t>
      </w:r>
      <w:r w:rsidRPr="00722885">
        <w:rPr>
          <w:rFonts w:ascii="Times New Roman" w:hAnsi="Times New Roman" w:cs="Times New Roman"/>
          <w:color w:val="0070C0"/>
          <w:w w:val="100"/>
          <w:sz w:val="16"/>
          <w:szCs w:val="16"/>
        </w:rPr>
        <w:softHyphen/>
        <w:t>невой точкой завода №30 были записаны требования улучшить</w:t>
      </w:r>
      <w:r w:rsidRPr="00722885">
        <w:rPr>
          <w:rStyle w:val="800"/>
          <w:rFonts w:ascii="Times New Roman" w:hAnsi="Times New Roman" w:cs="Times New Roman"/>
          <w:i w:val="0"/>
          <w:iCs w:val="0"/>
          <w:color w:val="0070C0"/>
          <w:w w:val="100"/>
          <w:sz w:val="16"/>
          <w:szCs w:val="16"/>
        </w:rPr>
        <w:t xml:space="preserve"> «бронирование кабины стрелка, установив броню с боков и снизу и усилив бронирование сзади сверху»,</w:t>
      </w:r>
      <w:r w:rsidRPr="00722885">
        <w:rPr>
          <w:rFonts w:ascii="Times New Roman" w:hAnsi="Times New Roman" w:cs="Times New Roman"/>
          <w:color w:val="0070C0"/>
          <w:w w:val="100"/>
          <w:sz w:val="16"/>
          <w:szCs w:val="16"/>
        </w:rPr>
        <w:t xml:space="preserve"> увеличить углы обстрела ВУБ-3 до 50-60° в стороны и вверх и до 15-20° вниз</w:t>
      </w:r>
      <w:r w:rsidRPr="00722885">
        <w:rPr>
          <w:rStyle w:val="800"/>
          <w:rFonts w:ascii="Times New Roman" w:hAnsi="Times New Roman" w:cs="Times New Roman"/>
          <w:i w:val="0"/>
          <w:iCs w:val="0"/>
          <w:color w:val="0070C0"/>
          <w:w w:val="100"/>
          <w:sz w:val="16"/>
          <w:szCs w:val="16"/>
        </w:rPr>
        <w:t xml:space="preserve"> («по возможности»), </w:t>
      </w:r>
      <w:r w:rsidRPr="00722885">
        <w:rPr>
          <w:rFonts w:ascii="Times New Roman" w:hAnsi="Times New Roman" w:cs="Times New Roman"/>
          <w:color w:val="0070C0"/>
          <w:w w:val="100"/>
          <w:sz w:val="16"/>
          <w:szCs w:val="16"/>
        </w:rPr>
        <w:t>улучшить взлетно-посадочные и пилотажные качества самолета, а также устранить дефекты установки и оборудования кабины стрелка</w:t>
      </w:r>
      <w:r w:rsidRPr="00722885">
        <w:rPr>
          <w:rFonts w:ascii="Times New Roman" w:hAnsi="Times New Roman" w:cs="Times New Roman"/>
          <w:color w:val="0070C0"/>
          <w:w w:val="100"/>
          <w:sz w:val="16"/>
          <w:szCs w:val="16"/>
          <w:lang w:val="ru-RU"/>
        </w:rPr>
        <w:t xml:space="preserve"> (19878)</w:t>
      </w:r>
      <w:r w:rsidRPr="00722885">
        <w:rPr>
          <w:rFonts w:ascii="Times New Roman" w:hAnsi="Times New Roman" w:cs="Times New Roman"/>
          <w:color w:val="0070C0"/>
          <w:w w:val="100"/>
          <w:sz w:val="16"/>
          <w:szCs w:val="16"/>
        </w:rPr>
        <w:t>.</w:t>
      </w:r>
    </w:p>
    <w:p w14:paraId="423AF2E1" w14:textId="77777777" w:rsidR="001F2AD8" w:rsidRPr="00722885" w:rsidRDefault="001F2AD8" w:rsidP="00722885">
      <w:pPr>
        <w:pStyle w:val="11b"/>
        <w:shd w:val="clear" w:color="auto" w:fill="auto"/>
        <w:spacing w:before="0" w:line="240" w:lineRule="auto"/>
        <w:rPr>
          <w:rFonts w:ascii="Times New Roman" w:hAnsi="Times New Roman" w:cs="Times New Roman"/>
          <w:color w:val="0070C0"/>
          <w:w w:val="100"/>
          <w:sz w:val="16"/>
          <w:szCs w:val="16"/>
        </w:rPr>
      </w:pPr>
    </w:p>
    <w:p w14:paraId="6749FA49" w14:textId="77777777" w:rsidR="004F59B2" w:rsidRPr="00722885" w:rsidRDefault="004F59B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30 октября 1942 г. начальник 4-го отдела ЦНИИ-48 Копырин и ведущий инженер 14-го отдела НИИ ВВС ин</w:t>
      </w:r>
      <w:r w:rsidRPr="00722885">
        <w:rPr>
          <w:rFonts w:ascii="Times New Roman" w:cs="Times New Roman"/>
          <w:color w:val="000000" w:themeColor="text1"/>
          <w:spacing w:val="0"/>
          <w:sz w:val="16"/>
          <w:szCs w:val="16"/>
        </w:rPr>
        <w:softHyphen/>
        <w:t xml:space="preserve">женер-майор Слободчиков подписали Акт испытания противоосколочной экранированной брони и зафиксировали: </w:t>
      </w:r>
      <w:r w:rsidRPr="00722885">
        <w:rPr>
          <w:rStyle w:val="aff6"/>
          <w:rFonts w:ascii="Times New Roman" w:eastAsia="Arial Narrow" w:hAnsi="Times New Roman" w:cs="Times New Roman"/>
          <w:i w:val="0"/>
          <w:color w:val="000000" w:themeColor="text1"/>
          <w:spacing w:val="0"/>
        </w:rPr>
        <w:t>«Результаты испытаний дают основания пола</w:t>
      </w:r>
      <w:r w:rsidRPr="00722885">
        <w:rPr>
          <w:rStyle w:val="aff6"/>
          <w:rFonts w:ascii="Times New Roman" w:eastAsia="Arial Narrow" w:hAnsi="Times New Roman" w:cs="Times New Roman"/>
          <w:i w:val="0"/>
          <w:color w:val="000000" w:themeColor="text1"/>
          <w:spacing w:val="0"/>
        </w:rPr>
        <w:softHyphen/>
        <w:t>гать, что экранная броня окажется эффектив</w:t>
      </w:r>
      <w:r w:rsidRPr="00722885">
        <w:rPr>
          <w:rStyle w:val="aff6"/>
          <w:rFonts w:ascii="Times New Roman" w:eastAsia="Arial Narrow" w:hAnsi="Times New Roman" w:cs="Times New Roman"/>
          <w:i w:val="0"/>
          <w:color w:val="000000" w:themeColor="text1"/>
          <w:spacing w:val="0"/>
        </w:rPr>
        <w:softHyphen/>
        <w:t>ным средством защиты от действия осколков зенитных снарядов».</w:t>
      </w:r>
    </w:p>
    <w:p w14:paraId="1C13A9B3" w14:textId="77777777" w:rsidR="004F59B2" w:rsidRPr="00722885" w:rsidRDefault="004F59B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Как показали полигонные испытания, про</w:t>
      </w:r>
      <w:r w:rsidRPr="00722885">
        <w:rPr>
          <w:rFonts w:ascii="Times New Roman" w:cs="Times New Roman"/>
          <w:color w:val="000000" w:themeColor="text1"/>
          <w:spacing w:val="0"/>
          <w:sz w:val="16"/>
          <w:szCs w:val="16"/>
        </w:rPr>
        <w:softHyphen/>
        <w:t xml:space="preserve">веденные совместно ЦНИИ-48 и НИИ ВВС, </w:t>
      </w:r>
      <w:r w:rsidRPr="00722885">
        <w:rPr>
          <w:rStyle w:val="0pt1"/>
          <w:rFonts w:eastAsia="Arial Narrow"/>
          <w:b w:val="0"/>
          <w:color w:val="000000" w:themeColor="text1"/>
          <w:spacing w:val="0"/>
          <w:sz w:val="16"/>
          <w:szCs w:val="16"/>
        </w:rPr>
        <w:t>при</w:t>
      </w:r>
      <w:r w:rsidRPr="00722885">
        <w:rPr>
          <w:rFonts w:ascii="Times New Roman" w:cs="Times New Roman"/>
          <w:color w:val="000000" w:themeColor="text1"/>
          <w:spacing w:val="0"/>
          <w:sz w:val="16"/>
          <w:szCs w:val="16"/>
        </w:rPr>
        <w:t xml:space="preserve"> разрыве 20-мм осколочно-фугасного или </w:t>
      </w:r>
      <w:r w:rsidRPr="00722885">
        <w:rPr>
          <w:rStyle w:val="0pt1"/>
          <w:rFonts w:eastAsia="Arial Narrow"/>
          <w:b w:val="0"/>
          <w:color w:val="000000" w:themeColor="text1"/>
          <w:spacing w:val="0"/>
          <w:sz w:val="16"/>
          <w:szCs w:val="16"/>
        </w:rPr>
        <w:t>бронебойно</w:t>
      </w:r>
      <w:r w:rsidRPr="00722885">
        <w:rPr>
          <w:rFonts w:ascii="Times New Roman" w:cs="Times New Roman"/>
          <w:color w:val="000000" w:themeColor="text1"/>
          <w:spacing w:val="0"/>
          <w:sz w:val="16"/>
          <w:szCs w:val="16"/>
        </w:rPr>
        <w:t xml:space="preserve">-трассирующего снаряда пушки М6151/20 на бронеспинке или поперечной </w:t>
      </w:r>
      <w:r w:rsidRPr="00722885">
        <w:rPr>
          <w:rStyle w:val="0pt1"/>
          <w:rFonts w:eastAsia="Arial Narrow"/>
          <w:b w:val="0"/>
          <w:color w:val="000000" w:themeColor="text1"/>
          <w:spacing w:val="0"/>
          <w:sz w:val="16"/>
          <w:szCs w:val="16"/>
        </w:rPr>
        <w:t>бронеперегородке</w:t>
      </w:r>
      <w:r w:rsidRPr="00722885">
        <w:rPr>
          <w:rFonts w:ascii="Times New Roman" w:cs="Times New Roman"/>
          <w:color w:val="000000" w:themeColor="text1"/>
          <w:spacing w:val="0"/>
          <w:sz w:val="16"/>
          <w:szCs w:val="16"/>
        </w:rPr>
        <w:t xml:space="preserve"> самолета, броня толщиной </w:t>
      </w:r>
      <w:r w:rsidRPr="00722885">
        <w:rPr>
          <w:rStyle w:val="0pt1"/>
          <w:rFonts w:eastAsia="Arial Narrow"/>
          <w:b w:val="0"/>
          <w:color w:val="000000" w:themeColor="text1"/>
          <w:spacing w:val="0"/>
          <w:sz w:val="16"/>
          <w:szCs w:val="16"/>
        </w:rPr>
        <w:t>13 мм (твердость</w:t>
      </w:r>
      <w:r w:rsidRPr="00722885">
        <w:rPr>
          <w:rFonts w:ascii="Times New Roman" w:cs="Times New Roman"/>
          <w:color w:val="000000" w:themeColor="text1"/>
          <w:spacing w:val="0"/>
          <w:sz w:val="16"/>
          <w:szCs w:val="16"/>
        </w:rPr>
        <w:t xml:space="preserve"> 2,9еЗ,2 по Бринеллю), «рас</w:t>
      </w:r>
      <w:r w:rsidRPr="00722885">
        <w:rPr>
          <w:rFonts w:ascii="Times New Roman" w:cs="Times New Roman"/>
          <w:color w:val="000000" w:themeColor="text1"/>
          <w:spacing w:val="0"/>
          <w:sz w:val="16"/>
          <w:szCs w:val="16"/>
        </w:rPr>
        <w:softHyphen/>
      </w:r>
      <w:r w:rsidRPr="00722885">
        <w:rPr>
          <w:rStyle w:val="0pt1"/>
          <w:rFonts w:eastAsia="Arial Narrow"/>
          <w:b w:val="0"/>
          <w:color w:val="000000" w:themeColor="text1"/>
          <w:spacing w:val="0"/>
          <w:sz w:val="16"/>
          <w:szCs w:val="16"/>
        </w:rPr>
        <w:t>положенная</w:t>
      </w:r>
      <w:r w:rsidRPr="00722885">
        <w:rPr>
          <w:rStyle w:val="aff6"/>
          <w:rFonts w:ascii="Times New Roman" w:eastAsia="Arial Narrow" w:hAnsi="Times New Roman" w:cs="Times New Roman"/>
          <w:i w:val="0"/>
          <w:color w:val="000000" w:themeColor="text1"/>
          <w:spacing w:val="0"/>
        </w:rPr>
        <w:t xml:space="preserve"> под прямым (или близким к нему) </w:t>
      </w:r>
      <w:r w:rsidRPr="00722885">
        <w:rPr>
          <w:rStyle w:val="afffffb"/>
          <w:rFonts w:ascii="Times New Roman" w:hAnsi="Times New Roman" w:cs="Times New Roman"/>
          <w:b w:val="0"/>
          <w:i w:val="0"/>
          <w:color w:val="000000" w:themeColor="text1"/>
          <w:sz w:val="16"/>
          <w:szCs w:val="16"/>
        </w:rPr>
        <w:t>углом, выдерживает</w:t>
      </w:r>
      <w:r w:rsidRPr="00722885">
        <w:rPr>
          <w:rStyle w:val="aff6"/>
          <w:rFonts w:ascii="Times New Roman" w:eastAsia="Arial Narrow" w:hAnsi="Times New Roman" w:cs="Times New Roman"/>
          <w:i w:val="0"/>
          <w:color w:val="000000" w:themeColor="text1"/>
          <w:spacing w:val="0"/>
        </w:rPr>
        <w:t xml:space="preserve"> действие осколков».</w:t>
      </w:r>
      <w:r w:rsidRPr="00722885">
        <w:rPr>
          <w:rFonts w:ascii="Times New Roman" w:cs="Times New Roman"/>
          <w:color w:val="000000" w:themeColor="text1"/>
          <w:spacing w:val="0"/>
          <w:sz w:val="16"/>
          <w:szCs w:val="16"/>
        </w:rPr>
        <w:t xml:space="preserve"> На</w:t>
      </w:r>
      <w:r w:rsidRPr="00722885">
        <w:rPr>
          <w:rFonts w:ascii="Times New Roman" w:cs="Times New Roman"/>
          <w:color w:val="000000" w:themeColor="text1"/>
          <w:spacing w:val="0"/>
          <w:sz w:val="16"/>
          <w:szCs w:val="16"/>
        </w:rPr>
        <w:softHyphen/>
        <w:t>блюдались лишь отдельные пробития малого диаметра от попаданий осколочно-фугасных снарядов вблизи тонкой брони или трещины - от бронебойных снарядов. С уменьшением толщины брони до 1 мм количество сквозных поражений увеличивалось, но все же подавля</w:t>
      </w:r>
      <w:r w:rsidRPr="00722885">
        <w:rPr>
          <w:rFonts w:ascii="Times New Roman" w:cs="Times New Roman"/>
          <w:color w:val="000000" w:themeColor="text1"/>
          <w:spacing w:val="0"/>
          <w:sz w:val="16"/>
          <w:szCs w:val="16"/>
        </w:rPr>
        <w:softHyphen/>
        <w:t>ющее большинство поражений являлись без</w:t>
      </w:r>
      <w:r w:rsidRPr="00722885">
        <w:rPr>
          <w:rFonts w:ascii="Times New Roman" w:cs="Times New Roman"/>
          <w:color w:val="000000" w:themeColor="text1"/>
          <w:spacing w:val="0"/>
          <w:sz w:val="16"/>
          <w:szCs w:val="16"/>
        </w:rPr>
        <w:softHyphen/>
        <w:t>опасными. При разрыве</w:t>
      </w:r>
      <w:r w:rsidRPr="00722885">
        <w:rPr>
          <w:rStyle w:val="aff6"/>
          <w:rFonts w:ascii="Times New Roman" w:eastAsia="Arial Narrow" w:hAnsi="Times New Roman" w:cs="Times New Roman"/>
          <w:i w:val="0"/>
          <w:color w:val="000000" w:themeColor="text1"/>
          <w:spacing w:val="0"/>
        </w:rPr>
        <w:t xml:space="preserve"> «снаряда на преграде, лежащей перед броней, две плиты толщиной по 1,8 мм достаточны для защиты от осколков осколочно-фугасного снаряда».</w:t>
      </w:r>
    </w:p>
    <w:p w14:paraId="3961F013" w14:textId="77777777" w:rsidR="004F59B2" w:rsidRPr="00722885" w:rsidRDefault="004F59B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Определялась также и стойкость тонкой противоосколочной брони при прямом по</w:t>
      </w:r>
      <w:r w:rsidRPr="00722885">
        <w:rPr>
          <w:rFonts w:ascii="Times New Roman" w:cs="Times New Roman"/>
          <w:color w:val="000000" w:themeColor="text1"/>
          <w:spacing w:val="0"/>
          <w:sz w:val="16"/>
          <w:szCs w:val="16"/>
        </w:rPr>
        <w:softHyphen/>
        <w:t>падании осколков фугасного снаряда путем установки экранированной системы, состоя</w:t>
      </w:r>
      <w:r w:rsidRPr="00722885">
        <w:rPr>
          <w:rFonts w:ascii="Times New Roman" w:cs="Times New Roman"/>
          <w:color w:val="000000" w:themeColor="text1"/>
          <w:spacing w:val="0"/>
          <w:sz w:val="16"/>
          <w:szCs w:val="16"/>
        </w:rPr>
        <w:softHyphen/>
        <w:t>щей из четырех частей: фанерной преграды и трех броневых пластин толщиной 1,8 мм. Расстояние между составляющими экрана равнялось 35 мм. Обстрел велся по нормали с дистанции 100 м. (15778).</w:t>
      </w:r>
    </w:p>
    <w:p w14:paraId="7D43DDA5" w14:textId="77777777" w:rsidR="004F59B2" w:rsidRPr="00722885" w:rsidRDefault="004F59B2" w:rsidP="00722885">
      <w:pPr>
        <w:pStyle w:val="701"/>
        <w:shd w:val="clear" w:color="auto" w:fill="auto"/>
        <w:spacing w:line="240" w:lineRule="auto"/>
        <w:jc w:val="both"/>
        <w:rPr>
          <w:rStyle w:val="702"/>
          <w:rFonts w:ascii="Times New Roman" w:eastAsia="Arial Unicode MS" w:hAnsi="Times New Roman" w:cs="Times New Roman"/>
          <w:b w:val="0"/>
          <w:color w:val="000000" w:themeColor="text1"/>
          <w:sz w:val="16"/>
          <w:szCs w:val="16"/>
        </w:rPr>
      </w:pPr>
    </w:p>
    <w:p w14:paraId="2F9AED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октября 1942 все четыре Ту-2 прилетели на подмосковный аэродром Монино. Это были обычные бомбардировщики, так как специального варианта разведчика еще не существовало. В Монино мастерские оснастили самолеты фотоаппаратурой, дополнительные бензобаки не устанавливали.</w:t>
      </w:r>
    </w:p>
    <w:p w14:paraId="6595B9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апреле 1942 г. генерал-лейтенант Д.Д. Грендель, заместитель начальника штаба ВВС по разведке, договорился о получении четырех машин Ту-2 для проведения войсковых испытаний. Их должны были вести во 2-м полку дальней разведки. Эта часть осуществляла стратегическую фоторазведку в интересах Ставки Верховного Главнокомандования. 22 мая группа, отобранная из летного и технического состава 1-й эскадрильи, во главе с майором А.С. Рудкевичем отправилась в Омск.</w:t>
      </w:r>
    </w:p>
    <w:p w14:paraId="3BFF8B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1-я эскадрилья базировалась на уже упоминавшемся аэродроме Мигалово. Впервые их задействовали в декабре 1942 г. во время боев под Демянском, где попала в "котел" большая группировка немецких войск. Позиции немцев было предписано фотографировать ежедневно. Пе-2 и Пе-3, отправляемые на задания, несли большие потери. Положение решили поправить, направив в этот район Ту-2. Первый вылет состоялся 30 декабря. Самолет-разведчик сопровождали пять истребителей. На маршруте им встретились восемь "мессершмиттов". Разгорелся воздушный бой. Он был успешным для советских летчиков: без потерь они сбили четыре вражеских самолета. Но вот беда: пока дрались с немцами, Ту-2 ушел неизвестно куда. Командиру эскорта, грубо говоря, светил трибунал. С тяжелым сердцем он повел группу назад.</w:t>
      </w:r>
    </w:p>
    <w:p w14:paraId="558E7C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ему повезло. Разведчик вернулся и привез фотографии. На радостях истребителей простили. Ту-2 стали летать регулярно, в том числе и без прикрытия. Работали обычно одиночными самолетами с передовых аэродромов, отстоявших на 70 - 100 км от линии фронта.</w:t>
      </w:r>
    </w:p>
    <w:p w14:paraId="564B41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Отзывы летчиков-разведчиков в целом повторяли то же, что говорили их коллеги в бомбардировочных полках: радиус действия в полтора- два раза больше, чем у Пе-2, выше скорость на малых и средних высотах, двигатели воздушного охлаждения обеспечивают лучшую живучесть, мощное вооружение дает хорошую обороноспособность, самолет без труда летит на одном моторе. А жаловались на недостаточную надежность двигателей и гидравлики (11988).</w:t>
      </w:r>
    </w:p>
    <w:p w14:paraId="2023310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11D00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октября 1942 нач. ЛИИ В.С.Молоков утвердил Отчет ЛИИ о результатах контрольных испытаний 3-х с-тов Як-1 №№ 2898, 4596, 1699 с М-105ПФ, изготовленных заводом № 292:</w:t>
      </w:r>
    </w:p>
    <w:p w14:paraId="509723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Отв. исполнитель А.Я.Молочаев</w:t>
      </w:r>
    </w:p>
    <w:p w14:paraId="514BE4F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Л завода № 292 В.Н.Коченюк</w:t>
      </w:r>
    </w:p>
    <w:p w14:paraId="679BD7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Выполнили 17 полетов</w:t>
      </w:r>
    </w:p>
    <w:p w14:paraId="60A39E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2898 полетный вес 2940</w:t>
      </w:r>
    </w:p>
    <w:p w14:paraId="0000A5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4596 полетный вес 2780</w:t>
      </w:r>
    </w:p>
    <w:p w14:paraId="33D1F9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1699 полетный вес 2920</w:t>
      </w:r>
    </w:p>
    <w:p w14:paraId="196ADE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971"/>
        <w:gridCol w:w="923"/>
        <w:gridCol w:w="1630"/>
        <w:gridCol w:w="1455"/>
      </w:tblGrid>
      <w:tr w:rsidR="009B487A" w:rsidRPr="00722885" w14:paraId="2FC35DBA" w14:textId="77777777" w:rsidTr="00CC5360">
        <w:tc>
          <w:tcPr>
            <w:tcW w:w="1245" w:type="dxa"/>
            <w:tcBorders>
              <w:top w:val="single" w:sz="12" w:space="0" w:color="auto"/>
            </w:tcBorders>
          </w:tcPr>
          <w:p w14:paraId="33DC9AB6" w14:textId="77777777" w:rsidR="00090C9B" w:rsidRPr="00722885" w:rsidRDefault="00090C9B" w:rsidP="00722885">
            <w:pPr>
              <w:pStyle w:val="Iauiue"/>
              <w:jc w:val="both"/>
              <w:rPr>
                <w:color w:val="000000" w:themeColor="text1"/>
                <w:sz w:val="16"/>
                <w:szCs w:val="16"/>
              </w:rPr>
            </w:pPr>
          </w:p>
        </w:tc>
        <w:tc>
          <w:tcPr>
            <w:tcW w:w="1245" w:type="dxa"/>
            <w:tcBorders>
              <w:top w:val="single" w:sz="12" w:space="0" w:color="auto"/>
            </w:tcBorders>
          </w:tcPr>
          <w:p w14:paraId="3127F5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скорость у земли</w:t>
            </w:r>
          </w:p>
        </w:tc>
        <w:tc>
          <w:tcPr>
            <w:tcW w:w="1245" w:type="dxa"/>
            <w:tcBorders>
              <w:top w:val="single" w:sz="12" w:space="0" w:color="auto"/>
            </w:tcBorders>
          </w:tcPr>
          <w:p w14:paraId="650A06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гр. высотности</w:t>
            </w:r>
          </w:p>
        </w:tc>
        <w:tc>
          <w:tcPr>
            <w:tcW w:w="1245" w:type="dxa"/>
            <w:tcBorders>
              <w:top w:val="single" w:sz="12" w:space="0" w:color="auto"/>
            </w:tcBorders>
          </w:tcPr>
          <w:p w14:paraId="4CA596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2500 м</w:t>
            </w:r>
          </w:p>
        </w:tc>
        <w:tc>
          <w:tcPr>
            <w:tcW w:w="1245" w:type="dxa"/>
            <w:tcBorders>
              <w:top w:val="single" w:sz="12" w:space="0" w:color="auto"/>
            </w:tcBorders>
          </w:tcPr>
          <w:p w14:paraId="0789E0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гр. высотности</w:t>
            </w:r>
          </w:p>
        </w:tc>
        <w:tc>
          <w:tcPr>
            <w:tcW w:w="971" w:type="dxa"/>
            <w:tcBorders>
              <w:top w:val="single" w:sz="12" w:space="0" w:color="auto"/>
            </w:tcBorders>
          </w:tcPr>
          <w:p w14:paraId="4F8760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4000</w:t>
            </w:r>
          </w:p>
        </w:tc>
        <w:tc>
          <w:tcPr>
            <w:tcW w:w="923" w:type="dxa"/>
            <w:tcBorders>
              <w:top w:val="single" w:sz="12" w:space="0" w:color="auto"/>
            </w:tcBorders>
          </w:tcPr>
          <w:p w14:paraId="1791F9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5000</w:t>
            </w:r>
          </w:p>
        </w:tc>
        <w:tc>
          <w:tcPr>
            <w:tcW w:w="1630" w:type="dxa"/>
            <w:tcBorders>
              <w:top w:val="single" w:sz="12" w:space="0" w:color="auto"/>
            </w:tcBorders>
          </w:tcPr>
          <w:p w14:paraId="560DDE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винт</w:t>
            </w:r>
          </w:p>
        </w:tc>
        <w:tc>
          <w:tcPr>
            <w:tcW w:w="1455" w:type="dxa"/>
            <w:tcBorders>
              <w:top w:val="single" w:sz="12" w:space="0" w:color="auto"/>
            </w:tcBorders>
          </w:tcPr>
          <w:p w14:paraId="6D2E99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Примечания</w:t>
            </w:r>
          </w:p>
        </w:tc>
      </w:tr>
      <w:tr w:rsidR="009B487A" w:rsidRPr="00722885" w14:paraId="2CE3007F" w14:textId="77777777" w:rsidTr="00CC5360">
        <w:tc>
          <w:tcPr>
            <w:tcW w:w="1245" w:type="dxa"/>
          </w:tcPr>
          <w:p w14:paraId="74EF72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 2898</w:t>
            </w:r>
          </w:p>
        </w:tc>
        <w:tc>
          <w:tcPr>
            <w:tcW w:w="1245" w:type="dxa"/>
          </w:tcPr>
          <w:p w14:paraId="20FDE3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516</w:t>
            </w:r>
          </w:p>
        </w:tc>
        <w:tc>
          <w:tcPr>
            <w:tcW w:w="1245" w:type="dxa"/>
          </w:tcPr>
          <w:p w14:paraId="47171E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543/1150</w:t>
            </w:r>
          </w:p>
        </w:tc>
        <w:tc>
          <w:tcPr>
            <w:tcW w:w="1245" w:type="dxa"/>
          </w:tcPr>
          <w:p w14:paraId="5CE9E3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547</w:t>
            </w:r>
          </w:p>
        </w:tc>
        <w:tc>
          <w:tcPr>
            <w:tcW w:w="1245" w:type="dxa"/>
          </w:tcPr>
          <w:p w14:paraId="13CD21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566/3350</w:t>
            </w:r>
          </w:p>
          <w:p w14:paraId="3F8AF8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569/3550</w:t>
            </w:r>
          </w:p>
        </w:tc>
        <w:tc>
          <w:tcPr>
            <w:tcW w:w="971" w:type="dxa"/>
          </w:tcPr>
          <w:p w14:paraId="5178A1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560</w:t>
            </w:r>
          </w:p>
          <w:p w14:paraId="1BE6E5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567</w:t>
            </w:r>
          </w:p>
        </w:tc>
        <w:tc>
          <w:tcPr>
            <w:tcW w:w="923" w:type="dxa"/>
          </w:tcPr>
          <w:p w14:paraId="03FCFC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545</w:t>
            </w:r>
          </w:p>
          <w:p w14:paraId="1B6D2D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555</w:t>
            </w:r>
          </w:p>
        </w:tc>
        <w:tc>
          <w:tcPr>
            <w:tcW w:w="1630" w:type="dxa"/>
          </w:tcPr>
          <w:p w14:paraId="466825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ВИШ-61П 2550</w:t>
            </w:r>
          </w:p>
          <w:p w14:paraId="2466E3F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ВИШ-61П 2700</w:t>
            </w:r>
          </w:p>
        </w:tc>
        <w:tc>
          <w:tcPr>
            <w:tcW w:w="1455" w:type="dxa"/>
          </w:tcPr>
          <w:p w14:paraId="1A43A8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серийный</w:t>
            </w:r>
          </w:p>
          <w:p w14:paraId="309F9F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1хШВАК,</w:t>
            </w:r>
          </w:p>
          <w:p w14:paraId="76C634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2хШКАС</w:t>
            </w:r>
          </w:p>
        </w:tc>
      </w:tr>
      <w:tr w:rsidR="009B487A" w:rsidRPr="00722885" w14:paraId="6E66C624" w14:textId="77777777" w:rsidTr="00CC5360">
        <w:tc>
          <w:tcPr>
            <w:tcW w:w="1245" w:type="dxa"/>
          </w:tcPr>
          <w:p w14:paraId="1B96D2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4596</w:t>
            </w:r>
          </w:p>
        </w:tc>
        <w:tc>
          <w:tcPr>
            <w:tcW w:w="1245" w:type="dxa"/>
          </w:tcPr>
          <w:p w14:paraId="0406A0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526</w:t>
            </w:r>
          </w:p>
        </w:tc>
        <w:tc>
          <w:tcPr>
            <w:tcW w:w="1245" w:type="dxa"/>
          </w:tcPr>
          <w:p w14:paraId="0D57DB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561/1400</w:t>
            </w:r>
          </w:p>
        </w:tc>
        <w:tc>
          <w:tcPr>
            <w:tcW w:w="1245" w:type="dxa"/>
          </w:tcPr>
          <w:p w14:paraId="7E868A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560</w:t>
            </w:r>
          </w:p>
        </w:tc>
        <w:tc>
          <w:tcPr>
            <w:tcW w:w="1245" w:type="dxa"/>
          </w:tcPr>
          <w:p w14:paraId="0A7C07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586/3650</w:t>
            </w:r>
          </w:p>
          <w:p w14:paraId="533B59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591/3800</w:t>
            </w:r>
          </w:p>
        </w:tc>
        <w:tc>
          <w:tcPr>
            <w:tcW w:w="971" w:type="dxa"/>
          </w:tcPr>
          <w:p w14:paraId="26DFF8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584</w:t>
            </w:r>
          </w:p>
          <w:p w14:paraId="795813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591</w:t>
            </w:r>
          </w:p>
        </w:tc>
        <w:tc>
          <w:tcPr>
            <w:tcW w:w="923" w:type="dxa"/>
          </w:tcPr>
          <w:p w14:paraId="42E1D5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575</w:t>
            </w:r>
          </w:p>
          <w:p w14:paraId="6CD09E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581</w:t>
            </w:r>
          </w:p>
        </w:tc>
        <w:tc>
          <w:tcPr>
            <w:tcW w:w="1630" w:type="dxa"/>
          </w:tcPr>
          <w:p w14:paraId="1A56D5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ВИШ-105П 2550</w:t>
            </w:r>
          </w:p>
          <w:p w14:paraId="105BD3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ВИШ-105П 2700</w:t>
            </w:r>
          </w:p>
        </w:tc>
        <w:tc>
          <w:tcPr>
            <w:tcW w:w="1455" w:type="dxa"/>
          </w:tcPr>
          <w:p w14:paraId="2DCEB7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Облегчен, с 1-й пушкой</w:t>
            </w:r>
          </w:p>
        </w:tc>
      </w:tr>
      <w:tr w:rsidR="009B487A" w:rsidRPr="00722885" w14:paraId="282D7C36" w14:textId="77777777" w:rsidTr="00CC5360">
        <w:tc>
          <w:tcPr>
            <w:tcW w:w="1245" w:type="dxa"/>
            <w:tcBorders>
              <w:bottom w:val="single" w:sz="12" w:space="0" w:color="auto"/>
            </w:tcBorders>
          </w:tcPr>
          <w:p w14:paraId="77CC57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1699</w:t>
            </w:r>
          </w:p>
        </w:tc>
        <w:tc>
          <w:tcPr>
            <w:tcW w:w="1245" w:type="dxa"/>
            <w:tcBorders>
              <w:bottom w:val="single" w:sz="12" w:space="0" w:color="auto"/>
            </w:tcBorders>
          </w:tcPr>
          <w:p w14:paraId="75479B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524</w:t>
            </w:r>
          </w:p>
        </w:tc>
        <w:tc>
          <w:tcPr>
            <w:tcW w:w="1245" w:type="dxa"/>
            <w:tcBorders>
              <w:bottom w:val="single" w:sz="12" w:space="0" w:color="auto"/>
            </w:tcBorders>
          </w:tcPr>
          <w:p w14:paraId="5723AC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555/1300</w:t>
            </w:r>
          </w:p>
        </w:tc>
        <w:tc>
          <w:tcPr>
            <w:tcW w:w="1245" w:type="dxa"/>
            <w:tcBorders>
              <w:bottom w:val="single" w:sz="12" w:space="0" w:color="auto"/>
            </w:tcBorders>
          </w:tcPr>
          <w:p w14:paraId="0E93D7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562</w:t>
            </w:r>
          </w:p>
        </w:tc>
        <w:tc>
          <w:tcPr>
            <w:tcW w:w="1245" w:type="dxa"/>
            <w:tcBorders>
              <w:bottom w:val="single" w:sz="12" w:space="0" w:color="auto"/>
            </w:tcBorders>
          </w:tcPr>
          <w:p w14:paraId="58BF82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584/3500</w:t>
            </w:r>
          </w:p>
        </w:tc>
        <w:tc>
          <w:tcPr>
            <w:tcW w:w="971" w:type="dxa"/>
            <w:tcBorders>
              <w:bottom w:val="single" w:sz="12" w:space="0" w:color="auto"/>
            </w:tcBorders>
          </w:tcPr>
          <w:p w14:paraId="45F58E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579</w:t>
            </w:r>
          </w:p>
        </w:tc>
        <w:tc>
          <w:tcPr>
            <w:tcW w:w="923" w:type="dxa"/>
            <w:tcBorders>
              <w:bottom w:val="single" w:sz="12" w:space="0" w:color="auto"/>
            </w:tcBorders>
          </w:tcPr>
          <w:p w14:paraId="78659A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557</w:t>
            </w:r>
          </w:p>
        </w:tc>
        <w:tc>
          <w:tcPr>
            <w:tcW w:w="1630" w:type="dxa"/>
            <w:tcBorders>
              <w:bottom w:val="single" w:sz="12" w:space="0" w:color="auto"/>
            </w:tcBorders>
          </w:tcPr>
          <w:p w14:paraId="6CEAD5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ВИШ-105П 2550</w:t>
            </w:r>
          </w:p>
        </w:tc>
        <w:tc>
          <w:tcPr>
            <w:tcW w:w="1455" w:type="dxa"/>
            <w:tcBorders>
              <w:bottom w:val="single" w:sz="12" w:space="0" w:color="auto"/>
            </w:tcBorders>
          </w:tcPr>
          <w:p w14:paraId="080212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изменен обтекатель фонаря кабины</w:t>
            </w:r>
          </w:p>
          <w:p w14:paraId="528592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1хБС</w:t>
            </w:r>
          </w:p>
          <w:p w14:paraId="696379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1хШВАК</w:t>
            </w:r>
          </w:p>
        </w:tc>
      </w:tr>
    </w:tbl>
    <w:p w14:paraId="7402DF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Скороподъемность: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741"/>
      </w:tblGrid>
      <w:tr w:rsidR="009B487A" w:rsidRPr="00722885" w14:paraId="0A548A0B" w14:textId="77777777" w:rsidTr="00CC5360">
        <w:tc>
          <w:tcPr>
            <w:tcW w:w="1245" w:type="dxa"/>
            <w:tcBorders>
              <w:top w:val="single" w:sz="12" w:space="0" w:color="auto"/>
            </w:tcBorders>
          </w:tcPr>
          <w:p w14:paraId="2D4756C7" w14:textId="77777777" w:rsidR="00090C9B" w:rsidRPr="00722885" w:rsidRDefault="00090C9B" w:rsidP="00722885">
            <w:pPr>
              <w:pStyle w:val="Iauiue"/>
              <w:jc w:val="both"/>
              <w:rPr>
                <w:color w:val="000000" w:themeColor="text1"/>
                <w:sz w:val="16"/>
                <w:szCs w:val="16"/>
              </w:rPr>
            </w:pPr>
          </w:p>
        </w:tc>
        <w:tc>
          <w:tcPr>
            <w:tcW w:w="1245" w:type="dxa"/>
            <w:tcBorders>
              <w:top w:val="single" w:sz="12" w:space="0" w:color="auto"/>
            </w:tcBorders>
          </w:tcPr>
          <w:p w14:paraId="24D8E4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1000</w:t>
            </w:r>
          </w:p>
        </w:tc>
        <w:tc>
          <w:tcPr>
            <w:tcW w:w="1245" w:type="dxa"/>
            <w:tcBorders>
              <w:top w:val="single" w:sz="12" w:space="0" w:color="auto"/>
            </w:tcBorders>
          </w:tcPr>
          <w:p w14:paraId="2FC075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2000</w:t>
            </w:r>
          </w:p>
        </w:tc>
        <w:tc>
          <w:tcPr>
            <w:tcW w:w="1245" w:type="dxa"/>
            <w:tcBorders>
              <w:top w:val="single" w:sz="12" w:space="0" w:color="auto"/>
            </w:tcBorders>
          </w:tcPr>
          <w:p w14:paraId="05760B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3000</w:t>
            </w:r>
          </w:p>
        </w:tc>
        <w:tc>
          <w:tcPr>
            <w:tcW w:w="1245" w:type="dxa"/>
            <w:tcBorders>
              <w:top w:val="single" w:sz="12" w:space="0" w:color="auto"/>
            </w:tcBorders>
          </w:tcPr>
          <w:p w14:paraId="1CB28E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4000</w:t>
            </w:r>
          </w:p>
        </w:tc>
        <w:tc>
          <w:tcPr>
            <w:tcW w:w="1245" w:type="dxa"/>
            <w:tcBorders>
              <w:top w:val="single" w:sz="12" w:space="0" w:color="auto"/>
            </w:tcBorders>
          </w:tcPr>
          <w:p w14:paraId="091F32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5000</w:t>
            </w:r>
          </w:p>
        </w:tc>
        <w:tc>
          <w:tcPr>
            <w:tcW w:w="1245" w:type="dxa"/>
            <w:tcBorders>
              <w:top w:val="single" w:sz="12" w:space="0" w:color="auto"/>
            </w:tcBorders>
          </w:tcPr>
          <w:p w14:paraId="0CDDD1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Винт</w:t>
            </w:r>
          </w:p>
        </w:tc>
        <w:tc>
          <w:tcPr>
            <w:tcW w:w="1741" w:type="dxa"/>
            <w:tcBorders>
              <w:top w:val="single" w:sz="12" w:space="0" w:color="auto"/>
            </w:tcBorders>
          </w:tcPr>
          <w:p w14:paraId="34BE79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Примечение</w:t>
            </w:r>
          </w:p>
        </w:tc>
      </w:tr>
      <w:tr w:rsidR="009B487A" w:rsidRPr="00722885" w14:paraId="1963EC55" w14:textId="77777777" w:rsidTr="00CC5360">
        <w:tc>
          <w:tcPr>
            <w:tcW w:w="1245" w:type="dxa"/>
          </w:tcPr>
          <w:p w14:paraId="68407B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2898</w:t>
            </w:r>
          </w:p>
        </w:tc>
        <w:tc>
          <w:tcPr>
            <w:tcW w:w="1245" w:type="dxa"/>
          </w:tcPr>
          <w:p w14:paraId="0CC223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w:t>
            </w:r>
          </w:p>
        </w:tc>
        <w:tc>
          <w:tcPr>
            <w:tcW w:w="1245" w:type="dxa"/>
          </w:tcPr>
          <w:p w14:paraId="0ECB2C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2,05</w:t>
            </w:r>
          </w:p>
        </w:tc>
        <w:tc>
          <w:tcPr>
            <w:tcW w:w="1245" w:type="dxa"/>
          </w:tcPr>
          <w:p w14:paraId="236FEC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w:t>
            </w:r>
          </w:p>
        </w:tc>
        <w:tc>
          <w:tcPr>
            <w:tcW w:w="1245" w:type="dxa"/>
          </w:tcPr>
          <w:p w14:paraId="17C36E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4,3</w:t>
            </w:r>
          </w:p>
        </w:tc>
        <w:tc>
          <w:tcPr>
            <w:tcW w:w="1245" w:type="dxa"/>
          </w:tcPr>
          <w:p w14:paraId="3F6014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5,8</w:t>
            </w:r>
          </w:p>
        </w:tc>
        <w:tc>
          <w:tcPr>
            <w:tcW w:w="1245" w:type="dxa"/>
          </w:tcPr>
          <w:p w14:paraId="63FB66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ВИШ-61П</w:t>
            </w:r>
          </w:p>
        </w:tc>
        <w:tc>
          <w:tcPr>
            <w:tcW w:w="1741" w:type="dxa"/>
          </w:tcPr>
          <w:p w14:paraId="3E95F1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вес 2940</w:t>
            </w:r>
          </w:p>
        </w:tc>
      </w:tr>
      <w:tr w:rsidR="009B487A" w:rsidRPr="00722885" w14:paraId="643BA4D8" w14:textId="77777777" w:rsidTr="00CC5360">
        <w:tc>
          <w:tcPr>
            <w:tcW w:w="1245" w:type="dxa"/>
          </w:tcPr>
          <w:p w14:paraId="296E44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4596</w:t>
            </w:r>
          </w:p>
        </w:tc>
        <w:tc>
          <w:tcPr>
            <w:tcW w:w="1245" w:type="dxa"/>
          </w:tcPr>
          <w:p w14:paraId="065466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0,85</w:t>
            </w:r>
          </w:p>
        </w:tc>
        <w:tc>
          <w:tcPr>
            <w:tcW w:w="1245" w:type="dxa"/>
          </w:tcPr>
          <w:p w14:paraId="6EEAD1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w:t>
            </w:r>
          </w:p>
        </w:tc>
        <w:tc>
          <w:tcPr>
            <w:tcW w:w="1245" w:type="dxa"/>
          </w:tcPr>
          <w:p w14:paraId="4176A3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w:t>
            </w:r>
          </w:p>
        </w:tc>
        <w:tc>
          <w:tcPr>
            <w:tcW w:w="1245" w:type="dxa"/>
          </w:tcPr>
          <w:p w14:paraId="7F723BB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3,55</w:t>
            </w:r>
          </w:p>
        </w:tc>
        <w:tc>
          <w:tcPr>
            <w:tcW w:w="1245" w:type="dxa"/>
          </w:tcPr>
          <w:p w14:paraId="5C6A2F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4,7</w:t>
            </w:r>
          </w:p>
        </w:tc>
        <w:tc>
          <w:tcPr>
            <w:tcW w:w="1245" w:type="dxa"/>
          </w:tcPr>
          <w:p w14:paraId="70AE29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ВИШ-105П</w:t>
            </w:r>
          </w:p>
        </w:tc>
        <w:tc>
          <w:tcPr>
            <w:tcW w:w="1741" w:type="dxa"/>
          </w:tcPr>
          <w:p w14:paraId="6481D7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вес 2760</w:t>
            </w:r>
          </w:p>
        </w:tc>
      </w:tr>
      <w:tr w:rsidR="009B487A" w:rsidRPr="00722885" w14:paraId="16BF75A8" w14:textId="77777777" w:rsidTr="00CC5360">
        <w:tc>
          <w:tcPr>
            <w:tcW w:w="1245" w:type="dxa"/>
            <w:tcBorders>
              <w:bottom w:val="single" w:sz="12" w:space="0" w:color="auto"/>
            </w:tcBorders>
          </w:tcPr>
          <w:p w14:paraId="5F2FD7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1699</w:t>
            </w:r>
          </w:p>
        </w:tc>
        <w:tc>
          <w:tcPr>
            <w:tcW w:w="1245" w:type="dxa"/>
            <w:tcBorders>
              <w:bottom w:val="single" w:sz="12" w:space="0" w:color="auto"/>
            </w:tcBorders>
          </w:tcPr>
          <w:p w14:paraId="496FD0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0,9</w:t>
            </w:r>
          </w:p>
        </w:tc>
        <w:tc>
          <w:tcPr>
            <w:tcW w:w="1245" w:type="dxa"/>
            <w:tcBorders>
              <w:bottom w:val="single" w:sz="12" w:space="0" w:color="auto"/>
            </w:tcBorders>
          </w:tcPr>
          <w:p w14:paraId="61ABBF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1,85</w:t>
            </w:r>
          </w:p>
        </w:tc>
        <w:tc>
          <w:tcPr>
            <w:tcW w:w="1245" w:type="dxa"/>
            <w:tcBorders>
              <w:bottom w:val="single" w:sz="12" w:space="0" w:color="auto"/>
            </w:tcBorders>
          </w:tcPr>
          <w:p w14:paraId="14DA3F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2,85</w:t>
            </w:r>
          </w:p>
        </w:tc>
        <w:tc>
          <w:tcPr>
            <w:tcW w:w="1245" w:type="dxa"/>
            <w:tcBorders>
              <w:bottom w:val="single" w:sz="12" w:space="0" w:color="auto"/>
            </w:tcBorders>
          </w:tcPr>
          <w:p w14:paraId="13CCEC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w:t>
            </w:r>
          </w:p>
        </w:tc>
        <w:tc>
          <w:tcPr>
            <w:tcW w:w="1245" w:type="dxa"/>
            <w:tcBorders>
              <w:bottom w:val="single" w:sz="12" w:space="0" w:color="auto"/>
            </w:tcBorders>
          </w:tcPr>
          <w:p w14:paraId="37A995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5,2</w:t>
            </w:r>
          </w:p>
        </w:tc>
        <w:tc>
          <w:tcPr>
            <w:tcW w:w="1245" w:type="dxa"/>
            <w:tcBorders>
              <w:bottom w:val="single" w:sz="12" w:space="0" w:color="auto"/>
            </w:tcBorders>
          </w:tcPr>
          <w:p w14:paraId="7FC683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ВИШ-105П</w:t>
            </w:r>
          </w:p>
        </w:tc>
        <w:tc>
          <w:tcPr>
            <w:tcW w:w="1741" w:type="dxa"/>
            <w:tcBorders>
              <w:bottom w:val="single" w:sz="12" w:space="0" w:color="auto"/>
            </w:tcBorders>
          </w:tcPr>
          <w:p w14:paraId="7DA750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вес 2920</w:t>
            </w:r>
          </w:p>
        </w:tc>
      </w:tr>
    </w:tbl>
    <w:p w14:paraId="4A117A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(713,1).</w:t>
      </w:r>
    </w:p>
    <w:p w14:paraId="1BA7DDEE" w14:textId="77777777" w:rsidR="00090C9B" w:rsidRPr="00722885" w:rsidRDefault="00090C9B" w:rsidP="00722885">
      <w:pPr>
        <w:pStyle w:val="Iauiue"/>
        <w:jc w:val="both"/>
        <w:rPr>
          <w:color w:val="000000" w:themeColor="text1"/>
          <w:sz w:val="16"/>
          <w:szCs w:val="16"/>
        </w:rPr>
      </w:pPr>
    </w:p>
    <w:p w14:paraId="11F9B8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октября 1942 вышло Постановление ГКО № 2455 Об увеличении производства учебных цементных авиабомб на заводе № 1 НКПСМ РСФСР. РГАНИР, Фонд ГКО, д. 65, лл. 207-209 (11012).</w:t>
      </w:r>
    </w:p>
    <w:p w14:paraId="3432381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59E414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33B8E8C" w14:textId="77777777" w:rsidR="00090C9B" w:rsidRPr="00722885" w:rsidRDefault="00090C9B" w:rsidP="00722885">
      <w:pPr>
        <w:pStyle w:val="Iauiue"/>
        <w:jc w:val="both"/>
        <w:rPr>
          <w:iCs/>
          <w:color w:val="000000" w:themeColor="text1"/>
          <w:sz w:val="16"/>
          <w:szCs w:val="16"/>
        </w:rPr>
      </w:pPr>
    </w:p>
    <w:p w14:paraId="3ED8627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ноября 1942 на заводском полигоне в Красном прошли испыта</w:t>
      </w:r>
      <w:r w:rsidRPr="00722885">
        <w:rPr>
          <w:rFonts w:ascii="Times New Roman" w:hAnsi="Times New Roman"/>
          <w:color w:val="000000" w:themeColor="text1"/>
          <w:sz w:val="16"/>
          <w:szCs w:val="16"/>
        </w:rPr>
        <w:softHyphen/>
        <w:t>ния САУ У-35 пробегом на 50 км и стрельбой 20 выстрелами. Испытания выявили следующие недостатки:</w:t>
      </w:r>
    </w:p>
    <w:p w14:paraId="0E45F4E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Непрочность крепления досылателя, который к тому же совершенно не способствовал ускорению заряжания.</w:t>
      </w:r>
    </w:p>
    <w:p w14:paraId="2CD1FA7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Углы наведения (особенно — по вертикали) не соответ</w:t>
      </w:r>
      <w:r w:rsidRPr="00722885">
        <w:rPr>
          <w:rFonts w:ascii="Times New Roman" w:hAnsi="Times New Roman"/>
          <w:color w:val="000000" w:themeColor="text1"/>
          <w:sz w:val="16"/>
          <w:szCs w:val="16"/>
        </w:rPr>
        <w:softHyphen/>
        <w:t>ствовали ТТТ.</w:t>
      </w:r>
    </w:p>
    <w:p w14:paraId="0E81B2C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Плохая вентиляция рубки способствовала скоплению пороховых газов во время стрельбы.</w:t>
      </w:r>
    </w:p>
    <w:p w14:paraId="20B4E53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Устройство крепления орудия по-походному не обес</w:t>
      </w:r>
      <w:r w:rsidRPr="00722885">
        <w:rPr>
          <w:rFonts w:ascii="Times New Roman" w:hAnsi="Times New Roman"/>
          <w:color w:val="000000" w:themeColor="text1"/>
          <w:sz w:val="16"/>
          <w:szCs w:val="16"/>
        </w:rPr>
        <w:softHyphen/>
        <w:t>печивало надежности его работы во время движения по пересеченной местности.</w:t>
      </w:r>
    </w:p>
    <w:p w14:paraId="56CB710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При поворотах орудия по горизонтали в крайние углы</w:t>
      </w:r>
    </w:p>
    <w:p w14:paraId="55BB52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маской и корпусом образовывались щели.</w:t>
      </w:r>
    </w:p>
    <w:p w14:paraId="0E61DD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заводских испытаний в рубке был установлен ба</w:t>
      </w:r>
      <w:r w:rsidRPr="00722885">
        <w:rPr>
          <w:rFonts w:ascii="Times New Roman" w:hAnsi="Times New Roman"/>
          <w:color w:val="000000" w:themeColor="text1"/>
          <w:sz w:val="16"/>
          <w:szCs w:val="16"/>
        </w:rPr>
        <w:softHyphen/>
        <w:t>шенный вентилятор от танка Т-34, увеличены углы наведе</w:t>
      </w:r>
      <w:r w:rsidRPr="00722885">
        <w:rPr>
          <w:rFonts w:ascii="Times New Roman" w:hAnsi="Times New Roman"/>
          <w:color w:val="000000" w:themeColor="text1"/>
          <w:sz w:val="16"/>
          <w:szCs w:val="16"/>
        </w:rPr>
        <w:softHyphen/>
        <w:t>ния по горизонтали, а также установлены сиденья, места расположения которых были уточнены (11417).</w:t>
      </w:r>
    </w:p>
    <w:p w14:paraId="5B7D293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BA3D9C8" w14:textId="77777777" w:rsidR="004F59B2" w:rsidRPr="00722885" w:rsidRDefault="004F59B2"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30 октября 1942 года согласно постановлению Государственного комитета обороны (ГКО) №2457сс, завод №8 НКВ был разделен на два предприятия. Первое из них, завод №8, обязали заниматься зенитным производством. Вторым предприятием стал завод №9, ответственный за гаубичную артиллерию и танковые пушки. Директором нового завода стал Л.Р. Гонор, заводским парторгом назначили П.И. Малолетова, а начальником КБ завода №9 – Ф.Ф. Петрова.</w:t>
      </w:r>
    </w:p>
    <w:p w14:paraId="07E6B895" w14:textId="77777777" w:rsidR="004F59B2" w:rsidRPr="00722885" w:rsidRDefault="004F59B2"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Разделение завода на два отрицательно сказалось на сроках изготовления полноразмерного макета рубки ЗИК-20, но отнюдь не на деятельности новообразованного КБ завода №9. Еще в октябре, до разделения, под руководством Петрова была проделана большая работа по проектированию целого ряда артиллерийских систем. Всего КБ завода №8 предложило 7 проектов, 6 из которых представляло собой буксируемые системы. Основной идеей этих проектов было использование стволов более мощных систем на лафетах МЛ-20 и М-30. Как минимум 2 системы реализовали в металле, причем одна из них пошла в серию как Д-1. В контексте этой статьи наиболее интересен седьмой проект. В числе буксируемых систем присутствовала и установка на лафет МЛ-20 стволов от 152-мм пушки особой мощности БР-2, а также 203-мм гаубицы У-3. Обе системы при установке на новый лафет получили массивные дульные тормозы.</w:t>
      </w:r>
    </w:p>
    <w:p w14:paraId="3943E766" w14:textId="77777777" w:rsidR="004F59B2" w:rsidRPr="00722885" w:rsidRDefault="004F59B2"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Вполне логичным решением выглядел перенос переделанного подобным образом ствола БР-2 в ЗИК-20, благо, что там использовалась качающаяся часть МЛ-20. Согласно проекту, в стволе при этом требовалось переделать только литой казенник, а в тормозе отката, по сравнению с «танковой» МЛ-20, менялся только профиль веретена. Согласно расчетам, переделка ЗИК-20 под установку БР-2 увеличивала боевую массу до 48 тонн. Впрочем, у конструкторского бюро были другие мысли насчет того, что можно установить в ЗИК-20:</w:t>
      </w:r>
    </w:p>
    <w:p w14:paraId="7D110187" w14:textId="77777777" w:rsidR="004F59B2" w:rsidRPr="00722885" w:rsidRDefault="004F59B2"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w:t>
      </w:r>
      <w:r w:rsidRPr="00722885">
        <w:rPr>
          <w:rFonts w:ascii="Times New Roman" w:eastAsia="Times New Roman" w:hAnsi="Times New Roman"/>
          <w:iCs/>
          <w:color w:val="000000" w:themeColor="text1"/>
          <w:sz w:val="16"/>
          <w:szCs w:val="16"/>
        </w:rPr>
        <w:t>Поскольку 152 мм пушка БР-2 имеет с 203- мм гаубицей общий лафет, люльку, затвор, противооткатные устройства, то наложение БР-2 на танковую люльку МЛ-20 открывает возможность, при необходимости, постановку на эту люльку с подобными переделками и ствола-моноблока 203- мм гаубицы Б-4 и, конечно, еще легче поставить в танк 203- мм гаубицу У-3».</w:t>
      </w:r>
    </w:p>
    <w:p w14:paraId="10749135" w14:textId="77777777" w:rsidR="004F59B2" w:rsidRPr="00722885" w:rsidRDefault="004F59B2"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Главным препятствием к осуществлению подобных проектов являлось то, что приоритетным направлением работ был все же основной вариант ЗИК-20. Но даже с его изготовлением у завода возникла масса проблем. В связи с реорганизацией завода проектирование еще больше затянулось. Положение усугублялось тем, что на новом предприятии модельный цех отсутствовал совсем. В итоге деревянный макет ЗИК-20 в масштабе 1:1 был готов только к 15 декабря (15806).</w:t>
      </w:r>
    </w:p>
    <w:p w14:paraId="62F346CA" w14:textId="77777777" w:rsidR="004F59B2" w:rsidRPr="00722885" w:rsidRDefault="004F59B2" w:rsidP="00722885">
      <w:pPr>
        <w:shd w:val="clear" w:color="auto" w:fill="FFFFFF"/>
        <w:spacing w:after="0" w:line="240" w:lineRule="auto"/>
        <w:jc w:val="both"/>
        <w:rPr>
          <w:rFonts w:ascii="Times New Roman" w:eastAsia="Times New Roman" w:hAnsi="Times New Roman"/>
          <w:color w:val="000000" w:themeColor="text1"/>
          <w:sz w:val="16"/>
          <w:szCs w:val="16"/>
        </w:rPr>
      </w:pPr>
    </w:p>
    <w:p w14:paraId="29EF977D" w14:textId="77777777" w:rsidR="00DD1576" w:rsidRPr="00722885" w:rsidRDefault="00DD157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30 октября 1942 года завод №8 разделили на два предприятия – завод №8, занимавшийся зенитной артиллерией, и завод №9, занятый гаубичной и самоходной артиллерией. Петров при этом перешел в КБ завода №9. В сложившейся ситуации все прекрасно понимали, что передать работы по ЗИК-11 на УЗТМ было правильным решением (17679).</w:t>
      </w:r>
    </w:p>
    <w:p w14:paraId="679363A9" w14:textId="77777777" w:rsidR="00DD1576" w:rsidRPr="00722885" w:rsidRDefault="00DD1576" w:rsidP="00722885">
      <w:pPr>
        <w:spacing w:after="0" w:line="240" w:lineRule="auto"/>
        <w:jc w:val="both"/>
        <w:rPr>
          <w:rFonts w:ascii="Times New Roman" w:hAnsi="Times New Roman"/>
          <w:color w:val="000000" w:themeColor="text1"/>
          <w:sz w:val="16"/>
          <w:szCs w:val="16"/>
        </w:rPr>
      </w:pPr>
    </w:p>
    <w:p w14:paraId="1C632EA7" w14:textId="77777777" w:rsidR="00DD1576" w:rsidRPr="00722885" w:rsidRDefault="00DD157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30 октября 1942 года, согласно постановлению Государственного комитета обороны (ГКО) №2457сс, завод №8 НКВ был разделён на два предприятия. Первое из них, завод №8, обязали заниматься зенитным производством. Вторым предприятием стал завод №9, ответственный за гаубичную артиллерию и танковые пушки. Директором нового завода стал Л. Р. Гонор, заводским парторгом назначили П. И. Малолетова, а начальником КБ завода №9 – Ф. Ф. Петрова.</w:t>
      </w:r>
    </w:p>
    <w:p w14:paraId="2401717F" w14:textId="77777777" w:rsidR="00DD1576" w:rsidRPr="00722885" w:rsidRDefault="00DD157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Разделение завода на два отрицательно сказалось на сроках изготовления полноразмерного макета рубки ЗИК-20, но отнюдь не на деятельности новообразованного КБ завода №9. Ещё в октябре, до разделения, под руководством Петрова была проделана большая работа по проектированию целого ряда артиллерийских систем. Всего КБ завода №8 предложило 7 проектов, 6 из которых представляли собой буксируемые системы. Основной идеей этих проектов было использование стволов более мощных систем на лафетах МЛ-20 и М-30. Как минимум 2 системы реализовали в металле, причём одна из них пошла в серию как Д-1. В контексте этой статьи наиболее интересен седьмой проект. В числе буксируемых систем присутствовала и установка на лафет МЛ-20 стволов от 152-мм пушки особой мощности БР-2, а также 203-мм гаубицы У-3. Обе системы при установке на новый лафет получили массивные дульные тормозы.</w:t>
      </w:r>
    </w:p>
    <w:p w14:paraId="666BCAC9" w14:textId="77777777" w:rsidR="00DD1576" w:rsidRPr="00722885" w:rsidRDefault="00DD157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Вполне логичным решением выглядел перенос переделанного подобным образом ствола БР-2 в ЗИК-20, благо там использовалась качающаяся часть МЛ-20. Согласно проекту, в стволе при этом требовалось переделать только литой казённик, а в тормозе отката, по сравнению с «танковой» МЛ-20, менялся только профиль веретена. Согласно расчётам, переделка ЗИК-20 под установку БР-2 увеличивала боевую массу до 48 тонн. Впрочем, у конструкторского бюро были другие мысли насчёт того, что можно установить в ЗИК-20:</w:t>
      </w:r>
    </w:p>
    <w:p w14:paraId="504F5CF5" w14:textId="77777777" w:rsidR="00DD1576" w:rsidRPr="00722885" w:rsidRDefault="00DD157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r w:rsidRPr="00722885">
        <w:rPr>
          <w:rFonts w:ascii="Times New Roman" w:eastAsia="Times New Roman" w:hAnsi="Times New Roman"/>
          <w:iCs/>
          <w:color w:val="000000" w:themeColor="text1"/>
          <w:sz w:val="16"/>
          <w:szCs w:val="16"/>
          <w:lang w:eastAsia="ru-RU"/>
        </w:rPr>
        <w:t>Поскольку 152 мм пушка БР-2 имеет с 203-мм гаубицей общий лафет, люльку, затвор, противооткатные устройства, то наложение БР-2 на танковую люльку МЛ-20 открывает возможность, при необходимости, постановки на эту люльку с подобными переделками и ствола-моноблока 203-мм гаубицы Б-4 и, конечно, еще легче поставить в танк 203-мм гаубицу У-3».</w:t>
      </w:r>
    </w:p>
    <w:p w14:paraId="0FADF7FA" w14:textId="77777777" w:rsidR="00DD1576" w:rsidRPr="00722885" w:rsidRDefault="00DD157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Главным препятствием к осуществлению подобных проектов являлось то, что приоритетным направлением работ был всё же основной вариант ЗИК-20. Но даже с его изготовлением у завода возникла масса проблем. В связи с реорганизацией завода проектирование ещё больше затянулось. Положение усугублялось тем, что на новом предприятии модельный цех отсутствовал совсем. В итоге деревянный макет ЗИК-20 в масштабе 1:1 был готов только к 15 декабря.</w:t>
      </w:r>
    </w:p>
    <w:p w14:paraId="200EE48D" w14:textId="77777777" w:rsidR="00DD1576" w:rsidRPr="00722885" w:rsidRDefault="00DD157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Решением начальника ГАУ КА генерал-полковника артиллерии Яковлева, наркома танковой промышленности Зальцмана и наркома вооружения Устинова рассмотрение проектной документации и макета назначили на 3 января 1943 года. Происходило оно на территории ЧКЗ, и это было уже не просто заключение по макету, а соревнование с проектами, которые представило КБ Кировского завода. По итогам сравнения челябинская машина, получившая заводское обозначение КВ-14, оказалась лучше и проще свердловской (17468).</w:t>
      </w:r>
    </w:p>
    <w:p w14:paraId="7662A792" w14:textId="77777777" w:rsidR="00DD1576" w:rsidRPr="00722885" w:rsidRDefault="00DD1576" w:rsidP="00722885">
      <w:pPr>
        <w:spacing w:after="0" w:line="240" w:lineRule="auto"/>
        <w:jc w:val="both"/>
        <w:rPr>
          <w:rFonts w:ascii="Times New Roman" w:hAnsi="Times New Roman"/>
          <w:color w:val="000000" w:themeColor="text1"/>
          <w:sz w:val="16"/>
          <w:szCs w:val="16"/>
        </w:rPr>
      </w:pPr>
    </w:p>
    <w:p w14:paraId="41C38EA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30 октября 1942 года вышел приказ НКБ № 852</w:t>
      </w:r>
    </w:p>
    <w:p w14:paraId="0643F42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распоряжением СНК за № 20507рс от 28 октября 1942 года об организации на механическом заводе № 1 Наркомстройматериалов производства мин и сигнальных бумажных гильз (г. Асбест Свердловской обл.) (5940, 77).</w:t>
      </w:r>
    </w:p>
    <w:p w14:paraId="77F98BEC" w14:textId="77777777" w:rsidR="00090C9B" w:rsidRPr="00722885" w:rsidRDefault="00090C9B" w:rsidP="00722885">
      <w:pPr>
        <w:pStyle w:val="Iauiue"/>
        <w:tabs>
          <w:tab w:val="left" w:pos="11199"/>
        </w:tabs>
        <w:jc w:val="both"/>
        <w:rPr>
          <w:color w:val="000000" w:themeColor="text1"/>
          <w:sz w:val="16"/>
          <w:szCs w:val="16"/>
        </w:rPr>
      </w:pPr>
    </w:p>
    <w:p w14:paraId="3B79D93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30 октября 1942 вышло Распоряжение ГКО № 2453 [О передаче НКПСМ задания на заготовку 15 тыс. куб. м пиловочника в Талицком леспромхозе.] (7060, 204).</w:t>
      </w:r>
    </w:p>
    <w:p w14:paraId="4C8DFB66" w14:textId="77777777" w:rsidR="00090C9B" w:rsidRPr="00722885" w:rsidRDefault="00090C9B" w:rsidP="00722885">
      <w:pPr>
        <w:pStyle w:val="Iauiue"/>
        <w:tabs>
          <w:tab w:val="left" w:pos="11199"/>
        </w:tabs>
        <w:jc w:val="both"/>
        <w:rPr>
          <w:color w:val="000000" w:themeColor="text1"/>
          <w:sz w:val="16"/>
          <w:szCs w:val="16"/>
        </w:rPr>
      </w:pPr>
    </w:p>
    <w:p w14:paraId="7DF266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октября 1942 вышло Постановление ГКО № 2456 Об организации производства 76 мм дивизионных пушек ЗИС-3 на заводе № 235 Наркомвооружения. РГАНИР, Фонд ГКО, д. 65, лл. 210-212 (11012).</w:t>
      </w:r>
    </w:p>
    <w:p w14:paraId="5758CC0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4987E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октября 1942 вышло Постановление ГКО № 2457 О срыве поставок заготовок и литья артиллерийских систем Уралмашзаводом Наркомтанкопрома заводу № 8. НКВ. РГАНИР, Фонд ГКО, д. 65, лл. 213-215, 216-218 (11012).</w:t>
      </w:r>
    </w:p>
    <w:p w14:paraId="6938651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38BC0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октября 1942 вышло Постановление ГКО № 2458 Об увеличении производства карбида кальция. РГАНИР, Фонд ГКО, д. 65, лл. 219-220, 221-223 (11012).</w:t>
      </w:r>
    </w:p>
    <w:p w14:paraId="136EA74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714D9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октября 1942 вышло Постановление ГКО № 2459 О мероприятиях по обеспечению перевозки нефтяного оборудования из Баку и Махачкалы в нефтяные районы Волги, Урала, Казахстана и Средней Азии. РГАНИР, Фонд ГКО, д. 66, лл. 1-3 (11012).</w:t>
      </w:r>
    </w:p>
    <w:p w14:paraId="15F2EEC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3BFE3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октября 1942 вышло Постановление ГКО № 2460 О добыче нефти и выработке нефтепродуктов в ноябре 1942 года. РГАНИР, Фонд ГКО, д. 66, лл. 4-6 (11012).</w:t>
      </w:r>
    </w:p>
    <w:p w14:paraId="138B361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EA775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октября 1942 вышло Постановление ГКО № 2461 О производстве 120 мм мин и корпусов ХАБ-200 на заводах НКУП. РГАНИР, Фонд ГКО, д. 66, лл. 7 (11012).</w:t>
      </w:r>
    </w:p>
    <w:p w14:paraId="594A61C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5970D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октября 1942 вышло Постановление ГКО № 2462 Об организации производства 76 мм танковых пушек Ф-34 на заводе № 13 Наркомвооружения. РГАНИР, Фонд ГКО, д. 66, лл. 8-9, 10-12 (11012).</w:t>
      </w:r>
    </w:p>
    <w:p w14:paraId="5EE256E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C2D0C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октября 1942 два буксира "Ижорец" мощностью по 1500 л. с. подняты адмиралтейцами на стенку завода для консервации (10671).</w:t>
      </w:r>
    </w:p>
    <w:p w14:paraId="57408F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Катеростроители передали в октябре флоту досрочно 3 ТК типа Д-3, один МО, 4 катера типа КМ-4, продолжали достройку опытного катера с двигателем экономического хода. На "Судомехе" проводился ремонт ПЛ М-79 и М-90,</w:t>
      </w:r>
    </w:p>
    <w:p w14:paraId="62D3A5CD" w14:textId="77777777" w:rsidR="00090C9B" w:rsidRPr="00722885" w:rsidRDefault="00090C9B" w:rsidP="00722885">
      <w:pPr>
        <w:pStyle w:val="Iauiue"/>
        <w:jc w:val="both"/>
        <w:rPr>
          <w:iCs/>
          <w:color w:val="000000" w:themeColor="text1"/>
          <w:sz w:val="16"/>
          <w:szCs w:val="16"/>
        </w:rPr>
      </w:pPr>
    </w:p>
    <w:p w14:paraId="6C8C82C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58246A3" w14:textId="77777777" w:rsidR="00090C9B" w:rsidRPr="00722885" w:rsidRDefault="00090C9B" w:rsidP="00722885">
      <w:pPr>
        <w:pStyle w:val="Iauiue"/>
        <w:jc w:val="both"/>
        <w:rPr>
          <w:iCs/>
          <w:color w:val="000000" w:themeColor="text1"/>
          <w:sz w:val="16"/>
          <w:szCs w:val="16"/>
        </w:rPr>
      </w:pPr>
    </w:p>
    <w:p w14:paraId="51DCD18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октября </w:t>
      </w:r>
      <w:r w:rsidRPr="00722885">
        <w:rPr>
          <w:rFonts w:ascii="Times New Roman" w:hAnsi="Times New Roman"/>
          <w:color w:val="000000" w:themeColor="text1"/>
          <w:sz w:val="16"/>
          <w:szCs w:val="16"/>
        </w:rPr>
        <w:t>в 1942 году утреннее сообщение Совинформбюро:</w:t>
      </w:r>
    </w:p>
    <w:p w14:paraId="1F5EFA9E"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30 октября наши войска вели бои с противником в районе Сталинграда, северо-восточнее Туапсе и в районе Нальчика. На других фронтах никаких изменений не произошло.</w:t>
      </w:r>
    </w:p>
    <w:p w14:paraId="19C1395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 одном из участков обороны города батальон немецкой пехоты, усиленный танками, перешёл в наступление. Бойцы под командованием тов. Горохова отбили все атаки противника и удерживают свои позиции. В районе заводов большое количество немецких танков атаковало наши позиции. Танкисты части, где командиром тов. Лучилов, преградили путь вражеским машинам, Танк лейтенанта Голышева на предельной скорости контратаковал противника и таранил немецкий танк. Вслед за Голышевым стремительно двинулись вперёд другие советские машины. Немцы не выдержали натиска советских танков и, несмотря на своё численное превосходство, поспешно отступили. В этом бою советские танкисты уничтожили 16 немецких танков.</w:t>
      </w:r>
    </w:p>
    <w:p w14:paraId="24C0C1ED"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наше подразделение ночью проникло в оборону противника. Смелые бойцы забросали окопы гранатами, затем навязали немцам рукопашный бой. Истреблено 130 гитлеровцев. Захвачены 2 противотанковых орудия, 5 пулемётов и склад боеприпасов. На другом участке советские артиллеристы рассеяли большое скопление пехоты противника, готовившейся к атаке.</w:t>
      </w:r>
    </w:p>
    <w:p w14:paraId="11DC7159"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вели активные боевые действия. Бойцы Н-ской части в результате упорного боя сломили сопротивление немцев и захватили одну высоту. В этом бою уничтожено до батальона пехоты противника. Взяты трофеи:8 пулемётов, 3 миномёта, большое количество винтовок и боеприпасов. Огнём наших зенитчиков сбито 3 немецких истребителя.</w:t>
      </w:r>
    </w:p>
    <w:p w14:paraId="50F52B6A"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Нальчика наши войска вели бой против наступающих танков и пехоты противника. На одном из участков врагу удалось потеснить наши подразделения. На другом участке артиллеристы Н-ской части уничтожили 3 немецких танка и 15 автомашин с войсками и боеприпасами.</w:t>
      </w:r>
    </w:p>
    <w:p w14:paraId="688F514E"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отряд под командованием капитана т. Баборыкина ворвался в занятый немцами населённый пункт и истребил до 200 гитлеровцев.</w:t>
      </w:r>
    </w:p>
    <w:p w14:paraId="5D2F0855"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Снайперы Н-ской стрелковой части в течение месяца уничтожили 1.048 немецких солдат и офицеров. Снайпер гвардии красноармеец т. Абдыбеков истребил 125 немцев, гвардии ефрейтор т. Мадаминов — 84, т. Ертанов — 65, т. Неспубеков уничтожил 43 гитлеровца.</w:t>
      </w:r>
    </w:p>
    <w:p w14:paraId="705F8D6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белорусских партизан в ночном бою с оккупантами огнём из автоматов истребил более 100 немецких солдат и офицеров. Против другого партизанского отряда гитлеровцы бросили карательную экспедицию из 600 кавалеристов. В завязавшемся бою с карательным отрядом партизаны убили 150 немцев, а остальных рассеяли. Группа партизан этого же отряда пустила под откос железнодорожный эшелон противника. Паровоз и 6 вагонов разбиты. Кроме того, 10 вагонов выведены из строя.</w:t>
      </w:r>
    </w:p>
    <w:p w14:paraId="1CC0912C"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на сторону Красной Армии перешёл ефрейтор 4 немецкой танковой дивизии Вильгельм М. Перебежчик рассказал: «Вокруг Брянска партизаны ежедневно совершают нападения. Поезд, в котором я ехал в часть, потерпел крушение. Паровоз и пять вагонов были разбиты. Во время катастрофы погибло много солдат».</w:t>
      </w:r>
    </w:p>
    <w:p w14:paraId="228DF611"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Новый германский министр юстиции палач фон Тирак с невиданной жестокостью подавляет малейшее проявление недовольства в стране. Ежедневно гитлеровская судебная машина выносит тысячи жестоких приговоров тем, кто выражает недовольство войной и фашистским режимом. Только за первую половину октября суды Мюнхена вынесли более 200 каторжных приговоров «за неверие в победу Германии». В Гамбурге за последнее время арестовано и брошено в тюрьмы и концентрационные лагеря более 600 рабочих (14815).</w:t>
      </w:r>
    </w:p>
    <w:p w14:paraId="3B259CAE"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2CF88306"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30 октября </w:t>
      </w:r>
      <w:r w:rsidRPr="00722885">
        <w:rPr>
          <w:rFonts w:ascii="Times New Roman" w:hAnsi="Times New Roman"/>
          <w:color w:val="000000" w:themeColor="text1"/>
          <w:sz w:val="16"/>
          <w:szCs w:val="16"/>
        </w:rPr>
        <w:t>в 1942 году вечернее сообщение Совинформбюро:</w:t>
      </w:r>
    </w:p>
    <w:p w14:paraId="54C73F6A"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30 октября наши войска вели бои с противником в районе Сталинграда, северо-восточнее Туапсе и в районе Нальчика. На других фронтах никаких изменений не произошло.</w:t>
      </w:r>
    </w:p>
    <w:p w14:paraId="7AD8B539"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потоплено два немецких транспорта общим водоизмещением в 20.000 тонн.</w:t>
      </w:r>
    </w:p>
    <w:p w14:paraId="66AD453D"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29 октября нашей авиацией на различных участках фронта уничтожено 40 автомашин с войсками и грузами, взорван склад горючего, разбито 3 железнодорожных состава, рассеяно и частью уничтожено до двух рот пехоты противника.</w:t>
      </w:r>
    </w:p>
    <w:p w14:paraId="204626FA"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гитлеровцев. В течение дня уничтожено свыше 1.100 солдат и офицеров противника, подбито и сожжено 8 танков, подавлен огонь 6 миномётных и 8 артиллерийских батарей. В воздушных боях и огнём зенитной артиллерии сбито 18 немецких самолётов. Заместитель политрука т. Плешков огнём из противотанкового ружья сбил 2 немецких самолёта. Один самолёт противника сбил также младший лейтенант т. Потренко. Младший лейтенант т. Калинин из противотанкового ружья подбил тяжёлый немецкий танк. Это уже пятый посчёту немецкий танк, уничтоженный лейтенантом.</w:t>
      </w:r>
    </w:p>
    <w:p w14:paraId="3E521B4A"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происходили бои местного значения. Н-скоеподразделение отбило атаку румын и истребило 180 вражеских солдат и офицеров. На другом участке наши бойцы совершили вылазку в расположение противника. В рукопашной схватке уничтожено до роты гитлеровцев. Захвачены орудие, 2 миномёта, 5 пулемётов, радиостанция и 2 автомашины с боеприпасами.</w:t>
      </w:r>
    </w:p>
    <w:p w14:paraId="6EEDB0E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преодолевая упорное сопротивление противника, медленно продвигались вперёд. В районе одной высоты гитлеровцы после безуспешных многодневных атак перешли к обороне. За два дня боевых действий на этом участке уничтожено до 800 немецких солдат и офицеров. На другом участке подразделение морской пехоты отбило атаку противника и уничтожило до 200 гитлеровцев.</w:t>
      </w:r>
    </w:p>
    <w:p w14:paraId="2FA7C77D"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Нальчика наши части вели оборонительные бои с танками и пехотой противника. Бойцы Н-ской части в районе одной высоты отбивали ожесточённые атаки гитлеровцев. Подбито 2 танка и уничтожено до роты немецкой пехоты. К исходу дня под давлением численно превосходящих сил врага наши подразделения отошли на новый рубеж обороны.</w:t>
      </w:r>
    </w:p>
    <w:p w14:paraId="529CC3C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огневыми налётами советской артиллерии разрушено 24 вражеских ДЗОТ'а, взорван склад с боеприпасами, подавлен огонь 2 миномётных и 3 артиллерийских батарей. На одном участке отряд немцев пытался разведать расположение наших укреплений. Наши бойцы подпустили противника на расстояние 100 метров, а затем ружейно-пулемётным огнём уничтожили более 40 гитлеровцев. В течение дня снайперами истреблено до 150 немецких солдат и офицеров.</w:t>
      </w:r>
    </w:p>
    <w:p w14:paraId="630F7A10"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отряда, действующего в одном из районов Орловской области, одновременно напали на гарнизоны немецко-фашистских оккупантов в двух населённых пунктах. Разведчики прервали связь и сняли часовых. Затем советские патриоты ворвались в селения, забросали гранатами дома, в которых находились немецкие солдаты и офицеры. Гитлеровцев, пытавшихся спастись бегством, истребили партизанские засады, расставленные вокруг населённых пунктов. В результате этой операции уничтожено 159 немецких солдат и офицеров, сожжён танк, 2 бронемашины и 4 немецких самолёта. Партизаны захватили два 76-мм орудия, 16 пулемётов, 10 миномётов, 94 винтовки, 25.500 патронов, 316 мин, радиостанцию и 54 лошади.</w:t>
      </w:r>
    </w:p>
    <w:p w14:paraId="63CAB0AC"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 последнее время в ряде районов Германии участились побеги из лагерей французских военнопленных. В начале октября у озера Тегерн группа пленных обезоружила охрану и скрылась. Недалеко от Розенгейма пленные убили из засады 11 гестаповцев, пытавшихся их задержать. В Нижней Баварии оперируют мелкие вооружённые группы французских пленных, которые бежали из лагерей и пробираются на родину (14815).</w:t>
      </w:r>
    </w:p>
    <w:p w14:paraId="71E88FCC"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01E172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октября 1942 двухместные штурмовики штурмовали аэродром под Смоленском (179,12) на Центральной фронте (5,108). Есть и другое мнение о месте первого применения двухместного Ил-2 - в составе третьей воздушной армии на Сталинградском фронте (7,70).</w:t>
      </w:r>
    </w:p>
    <w:p w14:paraId="40FB3FE2" w14:textId="77777777" w:rsidR="00090C9B" w:rsidRPr="00722885" w:rsidRDefault="00090C9B" w:rsidP="00722885">
      <w:pPr>
        <w:pStyle w:val="Iauiue"/>
        <w:jc w:val="both"/>
        <w:rPr>
          <w:color w:val="000000" w:themeColor="text1"/>
          <w:sz w:val="16"/>
          <w:szCs w:val="16"/>
        </w:rPr>
      </w:pPr>
    </w:p>
    <w:p w14:paraId="01CE93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октября 1942 г. при атаке Смоленского аэродро</w:t>
      </w:r>
      <w:r w:rsidRPr="00722885">
        <w:rPr>
          <w:color w:val="000000" w:themeColor="text1"/>
          <w:sz w:val="16"/>
          <w:szCs w:val="16"/>
        </w:rPr>
        <w:softHyphen/>
        <w:t>ма противника было выполнено первое боевое применение двух</w:t>
      </w:r>
      <w:r w:rsidRPr="00722885">
        <w:rPr>
          <w:color w:val="000000" w:themeColor="text1"/>
          <w:sz w:val="16"/>
          <w:szCs w:val="16"/>
        </w:rPr>
        <w:softHyphen/>
        <w:t xml:space="preserve">местного Ил-2 с пулеметом УБТ в 800-м </w:t>
      </w:r>
      <w:r w:rsidRPr="00722885">
        <w:rPr>
          <w:iCs/>
          <w:color w:val="000000" w:themeColor="text1"/>
          <w:sz w:val="16"/>
          <w:szCs w:val="16"/>
        </w:rPr>
        <w:t>шап</w:t>
      </w:r>
      <w:r w:rsidRPr="00722885">
        <w:rPr>
          <w:color w:val="000000" w:themeColor="text1"/>
          <w:sz w:val="16"/>
          <w:szCs w:val="16"/>
        </w:rPr>
        <w:t xml:space="preserve"> в рамказ войсковых испытаний (6467).</w:t>
      </w:r>
    </w:p>
    <w:p w14:paraId="6D0424C5" w14:textId="77777777" w:rsidR="00090C9B" w:rsidRPr="00722885" w:rsidRDefault="00090C9B" w:rsidP="00722885">
      <w:pPr>
        <w:pStyle w:val="Iauiue"/>
        <w:jc w:val="both"/>
        <w:rPr>
          <w:color w:val="000000" w:themeColor="text1"/>
          <w:sz w:val="16"/>
          <w:szCs w:val="16"/>
        </w:rPr>
      </w:pPr>
    </w:p>
    <w:p w14:paraId="53037A0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30 октября 1942 г. действовавший на Ка</w:t>
      </w:r>
      <w:r w:rsidRPr="00722885">
        <w:rPr>
          <w:rFonts w:ascii="Times New Roman" w:hAnsi="Times New Roman"/>
          <w:color w:val="000000" w:themeColor="text1"/>
          <w:sz w:val="16"/>
          <w:szCs w:val="16"/>
        </w:rPr>
        <w:softHyphen/>
        <w:t>лининском фронте 1-й бак имел в своём со</w:t>
      </w:r>
      <w:r w:rsidRPr="00722885">
        <w:rPr>
          <w:rFonts w:ascii="Times New Roman" w:hAnsi="Times New Roman"/>
          <w:color w:val="000000" w:themeColor="text1"/>
          <w:sz w:val="16"/>
          <w:szCs w:val="16"/>
        </w:rPr>
        <w:softHyphen/>
        <w:t>ставе две дивизии на Пе-2. За первые три месяца боевой работы корпус выполнил 1005 боевых вылетов, из них 388 с бомбоме</w:t>
      </w:r>
      <w:r w:rsidRPr="00722885">
        <w:rPr>
          <w:rFonts w:ascii="Times New Roman" w:hAnsi="Times New Roman"/>
          <w:color w:val="000000" w:themeColor="text1"/>
          <w:sz w:val="16"/>
          <w:szCs w:val="16"/>
        </w:rPr>
        <w:softHyphen/>
        <w:t>танием с пикирования при средней бомбо</w:t>
      </w:r>
      <w:r w:rsidRPr="00722885">
        <w:rPr>
          <w:rFonts w:ascii="Times New Roman" w:hAnsi="Times New Roman"/>
          <w:color w:val="000000" w:themeColor="text1"/>
          <w:sz w:val="16"/>
          <w:szCs w:val="16"/>
        </w:rPr>
        <w:softHyphen/>
        <w:t>вой нагрузке 700 кг. Потери за этот период составили 35 машин (около трети первона</w:t>
      </w:r>
      <w:r w:rsidRPr="00722885">
        <w:rPr>
          <w:rFonts w:ascii="Times New Roman" w:hAnsi="Times New Roman"/>
          <w:color w:val="000000" w:themeColor="text1"/>
          <w:sz w:val="16"/>
          <w:szCs w:val="16"/>
        </w:rPr>
        <w:softHyphen/>
        <w:t>чального состава) преимущественно от ис</w:t>
      </w:r>
      <w:r w:rsidRPr="00722885">
        <w:rPr>
          <w:rFonts w:ascii="Times New Roman" w:hAnsi="Times New Roman"/>
          <w:color w:val="000000" w:themeColor="text1"/>
          <w:sz w:val="16"/>
          <w:szCs w:val="16"/>
        </w:rPr>
        <w:softHyphen/>
        <w:t>требителей. В дальнейшем, действуя на Мгинском направлении, где цели были бли</w:t>
      </w:r>
      <w:r w:rsidRPr="00722885">
        <w:rPr>
          <w:rFonts w:ascii="Times New Roman" w:hAnsi="Times New Roman"/>
          <w:color w:val="000000" w:themeColor="text1"/>
          <w:sz w:val="16"/>
          <w:szCs w:val="16"/>
        </w:rPr>
        <w:softHyphen/>
        <w:t>же к аэродромам базирования, наши авиа</w:t>
      </w:r>
      <w:r w:rsidRPr="00722885">
        <w:rPr>
          <w:rFonts w:ascii="Times New Roman" w:hAnsi="Times New Roman"/>
          <w:color w:val="000000" w:themeColor="text1"/>
          <w:sz w:val="16"/>
          <w:szCs w:val="16"/>
        </w:rPr>
        <w:softHyphen/>
        <w:t>торы увеличили нормальную бомбовую на</w:t>
      </w:r>
      <w:r w:rsidRPr="00722885">
        <w:rPr>
          <w:rFonts w:ascii="Times New Roman" w:hAnsi="Times New Roman"/>
          <w:color w:val="000000" w:themeColor="text1"/>
          <w:sz w:val="16"/>
          <w:szCs w:val="16"/>
        </w:rPr>
        <w:softHyphen/>
        <w:t>грузку «пешек» в среднем до 950-1000 кг. Тренированные экипажи добивались пора</w:t>
      </w:r>
      <w:r w:rsidRPr="00722885">
        <w:rPr>
          <w:rFonts w:ascii="Times New Roman" w:hAnsi="Times New Roman"/>
          <w:color w:val="000000" w:themeColor="text1"/>
          <w:sz w:val="16"/>
          <w:szCs w:val="16"/>
        </w:rPr>
        <w:softHyphen/>
        <w:t>зительных успехов. К примеру, в полку Н.Д.Колесникова лётчики отрабатывали бомбометание по «кресту» размером 10x10 м. Зачётным считалось, когда хоть одна авиабомба попадала в цель. Перед атакой стратегически важного Нарвского моста под Ленинградом на тренировках бомбили по меловому кругу диаметром 10 м. В результа</w:t>
      </w:r>
      <w:r w:rsidRPr="00722885">
        <w:rPr>
          <w:rFonts w:ascii="Times New Roman" w:hAnsi="Times New Roman"/>
          <w:color w:val="000000" w:themeColor="text1"/>
          <w:sz w:val="16"/>
          <w:szCs w:val="16"/>
        </w:rPr>
        <w:softHyphen/>
        <w:t>те удара дюжины «пешек» одну из ферм мос</w:t>
      </w:r>
      <w:r w:rsidRPr="00722885">
        <w:rPr>
          <w:rFonts w:ascii="Times New Roman" w:hAnsi="Times New Roman"/>
          <w:color w:val="000000" w:themeColor="text1"/>
          <w:sz w:val="16"/>
          <w:szCs w:val="16"/>
        </w:rPr>
        <w:softHyphen/>
        <w:t>та полностью разрушило. Цель на месяц вы</w:t>
      </w:r>
      <w:r w:rsidRPr="00722885">
        <w:rPr>
          <w:rFonts w:ascii="Times New Roman" w:hAnsi="Times New Roman"/>
          <w:color w:val="000000" w:themeColor="text1"/>
          <w:sz w:val="16"/>
          <w:szCs w:val="16"/>
        </w:rPr>
        <w:softHyphen/>
        <w:t>шла из строя. Немцам пришлось изготовить новую ферму в Германии и доставить её на место, восстановив важнейший объект (11392).</w:t>
      </w:r>
    </w:p>
    <w:p w14:paraId="476C3A1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DFCD0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30 октября 1942 г. по 29 января 1943 г. 1-й бак действовал на Калининском фронте, где в ходе ударов по объектам на поле боя и по узлам сопротивления врага на Великолукском, Белыйском и Ржевском направлениях испытал сильное противодействие зениток и истребителей противника (безвозвратная потеря приходилась на 29 боевых вылетов). Затем корпус почти месяц сражайся под Ленинградом в составе 14-й ВА и полмесяца - в 6-й ВА, содействуя разгрому Демянской группировки неприятеля.</w:t>
      </w:r>
    </w:p>
    <w:p w14:paraId="06CC4A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документах отмечались грамотные и самоотверженные действия летного состава, а также высокие качества бомбардировщиков Пе-2, которые позволяли выполнять боевые задания, отбивая атаки "мессершмиттов" и "фокке-вульфов". Например, в ходе вылета 16 января ведущий Пе-2 № 30/7 зам. командира 804-го бап майора Гаврилова получил серьезные повреждения. Сначала зенитный снаряд крупного калибра отбил примерно четверть плоскости с элероном, а затем вражеские истребители подожгли машину. Проявив отвагу и мастерство, Гаврилов смог удержать "пешку", включил систему инертного газа, потушил пожар, провел се через линию фронта и удачно приземлился в расположении наших войск. 27 февраля от прямого попадания зенитного снаряда в мотоотсек вспыхнул Пе-2 № 2/111, который пилотировал командир 854-го бап майор Звонцов. Мастерски планируя с высоты 2000 м, летчик привел машину на свой аэродром и посадил.</w:t>
      </w:r>
    </w:p>
    <w:p w14:paraId="666295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Командующий ВВС КА неоднократно выражал благодарность летчикам 1-го бак, а 18 марта 1943 г. по приказу Сталина 263-я бад была преобразована в 1-ю гвардейскую. При этом входившие в его состав полки получили новые номера: 80-й, 81-й и 82-й гв. бап. Многих авиаторов обоих корпусов наградили орденами и медалями. 25 марта 1943 г. майора В.Я. Гаврилова, участника боев с первых дней войны, неоднократно водившего группы самолетов Пе-2, назначили командиром 81-м гв. бап и представили к званию Героя Советского Союза.</w:t>
      </w:r>
    </w:p>
    <w:p w14:paraId="6F07725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BBA17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октября 1942 НКВМФ Н.Г.Кузнецов выпустил директиву N 0925 об упорядочении перелетов высшего командного состава (2120).</w:t>
      </w:r>
    </w:p>
    <w:p w14:paraId="7D1B9D96" w14:textId="77777777" w:rsidR="00090C9B" w:rsidRPr="00722885" w:rsidRDefault="00090C9B" w:rsidP="00722885">
      <w:pPr>
        <w:pStyle w:val="Iauiue"/>
        <w:jc w:val="both"/>
        <w:rPr>
          <w:color w:val="000000" w:themeColor="text1"/>
          <w:sz w:val="16"/>
          <w:szCs w:val="16"/>
        </w:rPr>
      </w:pPr>
    </w:p>
    <w:p w14:paraId="2779766F" w14:textId="77777777" w:rsidR="00090C9B" w:rsidRPr="00722885" w:rsidRDefault="00090C9B"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30 октября 1942 утром, согласовав план взаимодействия, под прикрытием густого тумана поезда № 731 "Вперед, на запад!" и № 717 "Оренбургский железнодорожник", которые входили в состав 36-го дивизиона бронепоездов, заняли позиции. В 11 часов, когда туман стал рассеиваться, "Оренбургский железнодорожник" был атакован 18 самолетами врага. Постоянно маневрируя, бронепоезд сбил два из них. Одновременно с авиацией в атаку пошли немецкие танки. Бронепоезду пришлось отбиваться от атак с воздуха и с земли. Первый натиск был отбит, но за ним последовал второй, третий... Немецкие снаряды разворотили путь по обе стороны бронепоезда, лишив его маневра. Были разбиты две бронеплощадки. Но "Оренбургский железнодорожник" продолжал бой. Лишь с наступлением темноты, когда вышли из строя все орудия, командир бронепоезда И.И. Фандей приказал остаткам команды отходить к Алагиру. В результате семичасового боя огнем орудий бронепоезда было подбито 22 немецких танка! (9642).</w:t>
      </w:r>
    </w:p>
    <w:p w14:paraId="79C14C60" w14:textId="77777777" w:rsidR="00090C9B" w:rsidRPr="00722885" w:rsidRDefault="00090C9B" w:rsidP="00722885">
      <w:pPr>
        <w:pStyle w:val="a8"/>
        <w:widowControl/>
        <w:jc w:val="both"/>
        <w:rPr>
          <w:rFonts w:ascii="Times New Roman" w:hAnsi="Times New Roman" w:cs="Times New Roman"/>
          <w:color w:val="000000" w:themeColor="text1"/>
        </w:rPr>
      </w:pPr>
    </w:p>
    <w:p w14:paraId="079BE6BB"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октября 1942 становится последним днем короткой военной биографии бронепоездов №717 «Оренбургский железнодорожник» и №731 «Вперед, на Запад!». Осенью 1942 года в предгорьях Кавказа, у станции Алагир танки из армии Клейста и пикирующие бомбардировщики не оставляют никаких шансов 36-му дивизиону бронепоездов (15218).</w:t>
      </w:r>
    </w:p>
    <w:p w14:paraId="02EF3E1F"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2F2EE8D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5A7D8E0" w14:textId="77777777" w:rsidR="00090C9B" w:rsidRPr="00722885" w:rsidRDefault="00090C9B" w:rsidP="00722885">
      <w:pPr>
        <w:pStyle w:val="Iauiue"/>
        <w:jc w:val="both"/>
        <w:rPr>
          <w:iCs/>
          <w:color w:val="000000" w:themeColor="text1"/>
          <w:sz w:val="16"/>
          <w:szCs w:val="16"/>
        </w:rPr>
      </w:pPr>
    </w:p>
    <w:p w14:paraId="0337E6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октября 1942 австралийцы окружили японцев (2261).</w:t>
      </w:r>
    </w:p>
    <w:p w14:paraId="129300F7" w14:textId="77777777" w:rsidR="00090C9B" w:rsidRPr="00722885" w:rsidRDefault="00090C9B" w:rsidP="00722885">
      <w:pPr>
        <w:pStyle w:val="Iauiue"/>
        <w:jc w:val="both"/>
        <w:rPr>
          <w:color w:val="000000" w:themeColor="text1"/>
          <w:sz w:val="16"/>
          <w:szCs w:val="16"/>
        </w:rPr>
      </w:pPr>
    </w:p>
    <w:p w14:paraId="2C98C14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B3A8399" w14:textId="77777777" w:rsidR="00090C9B" w:rsidRPr="00722885" w:rsidRDefault="00090C9B" w:rsidP="00722885">
      <w:pPr>
        <w:pStyle w:val="Iauiue"/>
        <w:jc w:val="both"/>
        <w:rPr>
          <w:iCs/>
          <w:color w:val="000000" w:themeColor="text1"/>
          <w:sz w:val="16"/>
          <w:szCs w:val="16"/>
        </w:rPr>
      </w:pPr>
    </w:p>
    <w:p w14:paraId="0ED76C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 октября 1942 был утвержден отчет ЛИИ о результатах контрольных испытаний Як-1 М105ПФ NN 2898, 4596 и 1699 292 завода. Летали А.Я.Молочаев и В.Н.Коченюк (713).</w:t>
      </w:r>
    </w:p>
    <w:p w14:paraId="795C2F63" w14:textId="77777777" w:rsidR="00090C9B" w:rsidRPr="00722885" w:rsidRDefault="00090C9B" w:rsidP="00722885">
      <w:pPr>
        <w:pStyle w:val="Iauiue"/>
        <w:jc w:val="both"/>
        <w:rPr>
          <w:color w:val="000000" w:themeColor="text1"/>
          <w:sz w:val="16"/>
          <w:szCs w:val="16"/>
        </w:rPr>
      </w:pPr>
    </w:p>
    <w:p w14:paraId="6092DD6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D449CBE" w14:textId="77777777" w:rsidR="00090C9B" w:rsidRPr="00722885" w:rsidRDefault="00090C9B" w:rsidP="00722885">
      <w:pPr>
        <w:pStyle w:val="Iauiue"/>
        <w:jc w:val="both"/>
        <w:rPr>
          <w:iCs/>
          <w:color w:val="000000" w:themeColor="text1"/>
          <w:sz w:val="16"/>
          <w:szCs w:val="16"/>
        </w:rPr>
      </w:pPr>
    </w:p>
    <w:p w14:paraId="4C3E2D8B" w14:textId="77777777" w:rsidR="00090C9B" w:rsidRPr="00722885" w:rsidRDefault="00090C9B" w:rsidP="00722885">
      <w:pPr>
        <w:pStyle w:val="a3"/>
        <w:rPr>
          <w:color w:val="000000" w:themeColor="text1"/>
          <w:lang w:val="ru-RU"/>
        </w:rPr>
      </w:pPr>
      <w:r w:rsidRPr="00722885">
        <w:rPr>
          <w:color w:val="000000" w:themeColor="text1"/>
          <w:lang w:val="ru-RU"/>
        </w:rPr>
        <w:t>31 октября 1942 постановлением ГКО № 4479сс новый вариант танка ИС приняли на вооружение. Производство танка, получившего название ИС-2, началось в декабре 1943 года (в этом месяце было изготовлено 35 танков ИС-2). Боевое крещение танк получил в апреле 1944 года в ходе боёв на Правобережной Украине. После того, как поршневой затвор А-19 был заменён на клиновый полуавтоматический, пушка стала называться Д-25Т (опытный образец изготовлен и испытан в январе 1944 года). Скорострельность пушки с новым затвором была значительно выше, но экипаж не мог пользоваться новыми техническими возможностями в полной мере. При высоких темпах стрельбы система вентиляции танка переставала справляться со своими обязанностями, и воздух в боевом отделении слишком сильно загрязнялся пороховыми газами.</w:t>
      </w:r>
    </w:p>
    <w:p w14:paraId="0866058A" w14:textId="77777777" w:rsidR="00090C9B" w:rsidRPr="00722885" w:rsidRDefault="00090C9B" w:rsidP="00722885">
      <w:pPr>
        <w:pStyle w:val="a3"/>
        <w:rPr>
          <w:color w:val="000000" w:themeColor="text1"/>
          <w:lang w:val="ru-RU"/>
        </w:rPr>
      </w:pPr>
      <w:r w:rsidRPr="00722885">
        <w:rPr>
          <w:color w:val="000000" w:themeColor="text1"/>
          <w:lang w:val="ru-RU"/>
        </w:rPr>
        <w:t>Окончательно формирование облика танка ИС завершилось после изменения формы лобового листа корпуса. Дело в том, что лобовой лист корпуса первых ИСов был ломаной формы, которая была традиционной скорее для немецкого, чем для советского танкостроения. Такая форма создавала удобные условия для работы механика-водителя, но ослабляла защищённость танка. Поэтому в 1944 году танкостроители перешли к «спрямлённому носу», что к тому же облегчило производство корпуса.</w:t>
      </w:r>
    </w:p>
    <w:p w14:paraId="4CEF4304" w14:textId="77777777" w:rsidR="00090C9B" w:rsidRPr="00722885" w:rsidRDefault="00090C9B" w:rsidP="00722885">
      <w:pPr>
        <w:pStyle w:val="a3"/>
        <w:rPr>
          <w:color w:val="000000" w:themeColor="text1"/>
          <w:lang w:val="ru-RU"/>
        </w:rPr>
      </w:pPr>
      <w:r w:rsidRPr="00722885">
        <w:rPr>
          <w:color w:val="000000" w:themeColor="text1"/>
          <w:lang w:val="ru-RU"/>
        </w:rPr>
        <w:t>Создание танка ИС было самой радикальной мерой советского танкостроения, предпринятой с целью добиться качественного превосходства над противником. Танк ИС вобрал в себя лучшие достижения конструкторской мысли советских танкостроителей, сочетая в себе высокую приспособленность к массовому производству, мощное вооружение, способное бороться с любыми танками противника, сильную бронезащиту лобовой проекции, неуязвимую для большинства пушек противника, разделение обязанностей наводчика и командира между разными членами экипажа и внимание к таким «мелочам», которые ранее считались третьестепенными, как, например, качественный воздухоочиститель для двигателя, или система подогрева для зимних условий. Танк имел совершенную систему охлаждения, позволявшую использовать двигатель на полную мощность, двойной воздухоочиститель с грубой и тонкой очисткой воздуха, специальную аппаратуру подогрева воздуха, поступающего в двигатель, и много других усовершенствований, повышающих надежность (М. Барятинский. Тяжелый танк ИС//Бронеколлекция. 1998. № 3. С. 13-14). ИС обладал уникальной для тяжелых танков подвижностью, сближавшей его со средними танками. Его средняя скорость движения по дороге на испытаниях превзошла среднюю скорость танка Т-34 (РГАЭ. Ф. 8798. Оп. 4. Д. 5. Л. 220 - 221). Эти великолепные результаты были достигнуты благодаря хорошей подвеске и трансмиссии, в том числе планетарному механизму поворота. Фактически ИС относился к промежуточному классу между средними и тяжелыми танками, так же, как, например, немецкая «Пантера». Сам ИС можно считать одним из непосредственных предшественников будущих основных боевых танков. Броня лобовой проекции танка ИС гарантировала ему безопасность от снарядов практически любых немецких танковых и противотанковых орудий (кроме длинноствольных 88-миллиметровых пушек КЖК 43). Единственным недостатком ИС-2 была низкая скорострельность (из-за раздельного заряжания заряжающему приходилось делать двойную работу) и маленький боекомплект орудия. Правда, оно сочетало в себе высокую бронепробиваемость, дававшую танку возможность поражать сильнобронированные места любых немецких танков и САУ, кроме «Королевского Тигра» и «Фердинанда», мощное заброневое действие, гарантированно выводящее противника из строя, и большую мощность фугасного снаряда, который превосходно разрушал укрепления. На танке были установлены новые, более совершенные прицелы и приборы наблюдения, в том числе, скопированный английский танковый перископ МК-4 (12290).</w:t>
      </w:r>
    </w:p>
    <w:p w14:paraId="11EAE006" w14:textId="77777777" w:rsidR="00090C9B" w:rsidRPr="00722885" w:rsidRDefault="00090C9B" w:rsidP="00722885">
      <w:pPr>
        <w:pStyle w:val="aff3"/>
        <w:shd w:val="clear" w:color="auto" w:fill="auto"/>
        <w:tabs>
          <w:tab w:val="left" w:pos="130"/>
        </w:tabs>
        <w:spacing w:line="240" w:lineRule="auto"/>
        <w:rPr>
          <w:rFonts w:ascii="Times New Roman" w:hAnsi="Times New Roman" w:cs="Times New Roman"/>
          <w:i w:val="0"/>
          <w:color w:val="000000" w:themeColor="text1"/>
          <w:sz w:val="16"/>
          <w:szCs w:val="16"/>
          <w:lang w:val="ru-RU"/>
        </w:rPr>
      </w:pPr>
    </w:p>
    <w:p w14:paraId="7AA10B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октября 1942 вышло Постановление ГКО № 2463 Об увеличении добычи угля в Челябинском бассейне. РГАНИР, Фонд ГКО, д. 66, лл. 13-22, 23-48 (11012).</w:t>
      </w:r>
    </w:p>
    <w:p w14:paraId="0F3FB50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A11A1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 октября 1942 г. был утвержден технический пр. 263 тральщика, разработанный в ЦКБ-17. Корабль нормаль</w:t>
      </w:r>
      <w:r w:rsidRPr="00722885">
        <w:rPr>
          <w:color w:val="000000" w:themeColor="text1"/>
          <w:sz w:val="16"/>
          <w:szCs w:val="16"/>
        </w:rPr>
        <w:softHyphen/>
        <w:t>ным водоизмещением 675 т получился слишком сложным для по</w:t>
      </w:r>
      <w:r w:rsidRPr="00722885">
        <w:rPr>
          <w:color w:val="000000" w:themeColor="text1"/>
          <w:sz w:val="16"/>
          <w:szCs w:val="16"/>
        </w:rPr>
        <w:softHyphen/>
        <w:t>стройки в военное время даже в Ленинграде, где его собирались строить на заводе 370 (3898).</w:t>
      </w:r>
    </w:p>
    <w:p w14:paraId="317E7BCF" w14:textId="77777777" w:rsidR="00090C9B" w:rsidRPr="00722885" w:rsidRDefault="00090C9B" w:rsidP="00722885">
      <w:pPr>
        <w:pStyle w:val="Iauiue"/>
        <w:jc w:val="both"/>
        <w:rPr>
          <w:color w:val="000000" w:themeColor="text1"/>
          <w:sz w:val="16"/>
          <w:szCs w:val="16"/>
        </w:rPr>
      </w:pPr>
    </w:p>
    <w:p w14:paraId="5C60853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DE2B690" w14:textId="77777777" w:rsidR="00090C9B" w:rsidRPr="00722885" w:rsidRDefault="00090C9B" w:rsidP="00722885">
      <w:pPr>
        <w:pStyle w:val="Iauiue"/>
        <w:jc w:val="both"/>
        <w:rPr>
          <w:iCs/>
          <w:color w:val="000000" w:themeColor="text1"/>
          <w:sz w:val="16"/>
          <w:szCs w:val="16"/>
        </w:rPr>
      </w:pPr>
    </w:p>
    <w:p w14:paraId="7D82A5A0"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31 октября </w:t>
      </w:r>
      <w:r w:rsidRPr="00722885">
        <w:rPr>
          <w:rFonts w:ascii="Times New Roman" w:hAnsi="Times New Roman"/>
          <w:color w:val="000000" w:themeColor="text1"/>
          <w:sz w:val="16"/>
          <w:szCs w:val="16"/>
        </w:rPr>
        <w:t>в 1942 году утреннее сообщение Совинформбюро:</w:t>
      </w:r>
    </w:p>
    <w:p w14:paraId="1818D9F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31 октября наши войска вели бои с противником в районе Сталинграда, северо-восточнее Туапсе и в районе Нальчика, На других фронтахникаких изменений не произошло.</w:t>
      </w:r>
    </w:p>
    <w:p w14:paraId="0C6DE545"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Финском заливе нашей авиацией потоплен миноносец противника.</w:t>
      </w:r>
    </w:p>
    <w:p w14:paraId="6F013F10"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упорные, оборонительные бои. Противник силою до батальона пехоты и 8 танков атаковал наши позиции в районе заводов.Атака гитлеровцев отбита. Наши бронебойщики подбили 3 немецких танка. На другом участке группа наших бойцов во главе с заместителем командира роты пополитической части т. Преображенским отбила атаку противника. В восьмичасовом бою наши бойцы истребили до роты гитлеровцев.</w:t>
      </w:r>
    </w:p>
    <w:p w14:paraId="1DDD2F18"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занимаемые рубежи и вели разведку. Н-ское подразделение в схватке с румынами истребило 80 вражескихсолдат и офицеров. Захвачено 2 миномёта, 4 пулемёта и 250 ручных гранат. Артиллеристы Н-ской части разрушили 3 вражеских ДЗОТ'а, 5 блиндажей и уничтожили 2 врытых в землю немецких танка.</w:t>
      </w:r>
    </w:p>
    <w:p w14:paraId="49645CF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Нальчика продолжались ожесточённые бои. Противник силою до батальона автоматчиков с 65 танками и бронемашинами и при поддержке авиации неоднократно атаковал один населённый пункт. Наши бойцы отбили атаки гитлеровцев. Уничтожено4 бронемашины и 18 немецких танков. На другом участке Н-ская часть отбила двеатаки противника. На поле боя осталось 240 вражеских трупов. Огнём нашейартиллерии разбито и взорвано 20 автомашин с боеприпасами противника.</w:t>
      </w:r>
    </w:p>
    <w:p w14:paraId="2A4E96B8"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происходили поиски разведчиков. Группа бойцов подкомандованием капитана т. Смирнова, действуя в тылу врага, истребила 60гитлеровцев и захватила радиостанцию. B населённом пункте Г. отряд подкомандованием т. Поподозьяна разгромил штаб немецкой стрелковой части. В короткой схватке наши бойцы уничтожили несколько офицеров. Захвачены пленные и штабные документы.</w:t>
      </w:r>
    </w:p>
    <w:p w14:paraId="23F8CC6A"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участке Северо-Западного фронта немцы предприняли несколько атак на наши позиции. Бойцы Н-ской части отбили атаки противника. В результате боя наэтом участке уничтожено до 700 немецких солдат и офицеров.</w:t>
      </w:r>
    </w:p>
    <w:p w14:paraId="1AC6C17F"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орловских партизан за две недели октября пустил под откос 12 железнодорожных эшелонов немецко-фашистских оккупантов. В результате катастрофуничтожено 126 воинских вагонов, 9 вагонов с боеприпасами и 8 платформ савтомашинами. Другой отряд орловских партизан за четыре дня боевых действийподорвал немецкий бронепоезд, автодрезину и несколько железнодорожных составов своенной техникой и разным военным снаряжением.</w:t>
      </w:r>
    </w:p>
    <w:p w14:paraId="55F9E77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сторону Красной Армии Перешёл солдат венгерского строительного батальона Янош М. Пленный рассказал: «Я видел много сожжённых немцами городов и сёл. Несколько дней я пробыл в городе Орле. В нём осталось немного жителей. Немецкие и венгерские солдаты ограбили жителей города и окрестных деревень. Измождённые иголодные женщины ходят как тени. Венгерский офицер—старший лейтенант Банович награбил 15 шуб и тулупов, 8 часов, много пар обуви, несколько ковров и другие вещи. Всё это едва уместилось на двух повозках».</w:t>
      </w:r>
    </w:p>
    <w:p w14:paraId="6F30F719"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Лирей (Греция) итальянские солдаты одной части отказались ехать на советско-германский фронт. Только с помощью немцев итальянским жандармам удалось разоружить и арестовать 200 солдат. Их заковали в кандалы и отправили в концентрационный лагерь.» (14816).</w:t>
      </w:r>
    </w:p>
    <w:p w14:paraId="44846F7F"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27B626E4"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31 октября </w:t>
      </w:r>
      <w:r w:rsidRPr="00722885">
        <w:rPr>
          <w:rFonts w:ascii="Times New Roman" w:hAnsi="Times New Roman"/>
          <w:color w:val="000000" w:themeColor="text1"/>
          <w:sz w:val="16"/>
          <w:szCs w:val="16"/>
        </w:rPr>
        <w:t>в 1942 году вечернее сообщение Совинформбюро:</w:t>
      </w:r>
    </w:p>
    <w:p w14:paraId="11FEC4CF"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31 октября наши войска вели бои с противником в районе Сталинграда,северо-восточнее Туапсе и в районе Нальчика. На других фронтах никаких изменений не произошло.</w:t>
      </w:r>
    </w:p>
    <w:p w14:paraId="75D0F3B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30 октября нашей авиацией на различных участках фронта уничтожено до 80 автомашин с войсками и грузами, сожжены 2 склада боеприпасов и склад горючего,разбито 2 паровоза и до 100 вагонов, подавлен огонь 8 артиллерийских батарей, рассеяно и частью уничтожено до роты пехоты противника.</w:t>
      </w:r>
    </w:p>
    <w:p w14:paraId="6C22AE5C"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противника. В заводской части города наши бойцы отбили две атаки гитлеровцев и вели бои за улучшение своих позиций. По неполным данным, в течение дня уничтожено до батальона немецкой пехоты, 10 танков, свыше 50 автомашин, 6 миномётных и 5 артиллерийских батарей, 25 пулемётов, разрушено 5 ДЗОТ'ов. На южной окраине города бойцы Н-ской части отбили три атаки противника и истребили до 300 немецких солдат и офицеров. Наши лётчики и зенитчики сбили 15 немецких самолётов.</w:t>
      </w:r>
    </w:p>
    <w:p w14:paraId="0987FB6F"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занимаемые позиции и вели огневой бой с противником. Артиллеристы Н-ской части уничтожили немецкий ДЗОТ, около двух взводов пехоты и 20 повозок с различными грузами. На другом участке снайперы нашей части истребили 126 гитлеровцев. Снайпер тов. Кацан уничтожил 12 немцев, тов. Пименов — 9, снайперская пара тт. Осипов и Соколов истребили 12 гитлеровцев.</w:t>
      </w:r>
    </w:p>
    <w:p w14:paraId="40C5761D"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Нальчика советские войска вели упорные оборонительные бои с противником. Бойцы Н-ской части отбили несколько атак вражеской пехоты, действовавшей при поддержке 40 танков и авиации. Гитлеровцы потеряли в этом бою только убитыми до 600 солдат и офицеров, 2 танка и 19 автомашин с боеприпасами. К исходу дня они крупными силами возобновили атаки и ворвались на окраину одного населённого пункта.</w:t>
      </w:r>
    </w:p>
    <w:p w14:paraId="7251177D"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вели активные боевые действия и несколько продвинулись вперёд. На одном участке наши бойцы переправились через водный рубеж и выбили немцев с их позиций. В результате этого боя уничтожено до двухрот пехоты противника и захвачены трофеи.</w:t>
      </w:r>
    </w:p>
    <w:p w14:paraId="2BFF1843"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Воронежском фронте активно действовали снайперы и мелкие разведывательные группы. Нашими разведчиками в течение ночи уничтожены 9 пулемётов, танк, орудий, две миномётные батареи и истреблено 170 гитлеровцев. Четыре снайпера —красноармейцы тт. Тюлькин, Волчков, Сырцов и гвардии старшина Голосов — заняли позиции в непосредственной близости от переднего края обороны противника и в течение дня убили 25 немецких солдат и офицеров.</w:t>
      </w:r>
    </w:p>
    <w:p w14:paraId="745293EF"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Два белорусских партизанских отряда объединёнными силами напали на поезд, в котором ехали эсэсовцы. Партизаны-подрывники взорвали паровоз и несколькоголовных вагонов. Бронебойщики и автоматчики открыли огонь по уцелевшим вагонами истребили более 100 гитлеровских бандитов. Группа партизан другого отряда взорвала железнодорожный мост и пустила под откос эшелон противника. Разбиты паровоз и 11 вагонов с военными грузами. Движение поездов на этом участке былоостановлено на трое суток. Несколько дней спустя советские патриоты взорвалиследовавший в Германию состав с зерном и скотом, награбленными гитлеровцами укрестьян. Уничтожены паровоз, 9 вагонов и 2 платформы.</w:t>
      </w:r>
    </w:p>
    <w:p w14:paraId="1F02309C"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Сдавшийся в плен солдат 1 артиллерийского полка 1 румынской дивизии Василе М.рассказал: «Наша дивизия понесла огромные потери. На днях я был в Котелыникове вгоспитале. В нём невероятная скученность. Свыше 300 раненых лежали во дворе подоткрытым небом. Один раненый солдат, валявшийся на земле у забора, говорил мне,что его привезли с поля боя три дня назад. За это время ему ни разу неперевязали раны. Многие тяжело раненные солдаты, лишённые медицинской помощи, умерли тут же во дворе».</w:t>
      </w:r>
    </w:p>
    <w:p w14:paraId="320FA305"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Римское радио передало очередную фальшивку о налёте на Ленинград. Римские лгуны сообщили, что «германская авиация в ночь на 29 октября совершила успешный налёт на Санкт-Петербург. Сброшенные бомбы вызвали крупные пожары. В воздушных дуэлях над Петроградом и его окрестностями сбито 44 советских самолёта. Германские потери — 2 самолёта». В этом сообщении нет ни слова правды. В ночь на 29 октября никакого налёта вражеской авиации на Ленинград не было. Советская авиация врайоне Ленинграда потерь не имела. Более того, и немецкая авиация также не потеряла тех двух самолётов, о которых сообщает римское радио, по той простой причине, что в течение ночи на 29 октября был отмечен на подступах к Ленинграду лишь один немецкий бомбардировщик, немедленно скрывшийся при появлении советского истребителя. Мы сообщаем эти факты, чтобы ещё и ещё раз разоблачить гитлеровских мелких жуликов.» (14816).</w:t>
      </w:r>
    </w:p>
    <w:p w14:paraId="1CEDC232"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683FC7A9"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31 октября </w:t>
      </w:r>
      <w:r w:rsidRPr="00722885">
        <w:rPr>
          <w:rFonts w:ascii="Times New Roman" w:hAnsi="Times New Roman"/>
          <w:color w:val="000000" w:themeColor="text1"/>
          <w:sz w:val="16"/>
          <w:szCs w:val="16"/>
        </w:rPr>
        <w:t>в 1942 году части 1-й немецкой танковой армии прорвали оборону советских войск на реке Урух и повернули на Орджоникидзе (14816).</w:t>
      </w:r>
    </w:p>
    <w:p w14:paraId="71DB93E1"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0FC517C0"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31 октября </w:t>
      </w:r>
      <w:r w:rsidRPr="00722885">
        <w:rPr>
          <w:rFonts w:ascii="Times New Roman" w:hAnsi="Times New Roman"/>
          <w:color w:val="000000" w:themeColor="text1"/>
          <w:sz w:val="16"/>
          <w:szCs w:val="16"/>
        </w:rPr>
        <w:t>в 1942 году на туапсинском направлении советские войска вынудили противника перейти к обороне (14816).</w:t>
      </w:r>
    </w:p>
    <w:p w14:paraId="172CE1B7"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2FDBEF7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31 октября </w:t>
      </w:r>
      <w:r w:rsidRPr="00722885">
        <w:rPr>
          <w:rFonts w:ascii="Times New Roman" w:hAnsi="Times New Roman"/>
          <w:color w:val="000000" w:themeColor="text1"/>
          <w:sz w:val="16"/>
          <w:szCs w:val="16"/>
        </w:rPr>
        <w:t>в 1942 году 220-я истребительная авиационная дивизия преобразована в 1-ю гвардейскую истребительную авиационную дивизию (14816).</w:t>
      </w:r>
    </w:p>
    <w:p w14:paraId="237E74BC"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455115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31 октября по 2 ноября 1942 16ВА под Сталинградом нанесла ряд ударов по аэродромам и уничтожили и повредили 31 самолет (340,99).</w:t>
      </w:r>
    </w:p>
    <w:p w14:paraId="52A85678" w14:textId="77777777" w:rsidR="00090C9B" w:rsidRPr="00722885" w:rsidRDefault="00090C9B" w:rsidP="00722885">
      <w:pPr>
        <w:pStyle w:val="Iauiue"/>
        <w:jc w:val="both"/>
        <w:rPr>
          <w:color w:val="000000" w:themeColor="text1"/>
          <w:sz w:val="16"/>
          <w:szCs w:val="16"/>
        </w:rPr>
      </w:pPr>
    </w:p>
    <w:p w14:paraId="1F0A11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ночь на 31 октября 1942, по данным корпусного района ПВО, пять бомбардировщиков совершили налет на Дзержинск. Этот город, по сути, был «пороховой бочкой» Поволжья, и одно удачное попадание могло привести к катастрофическим последствиям. Воздушная тревога была объявлена в 04.00 по местному времени 31 октября, а через 25 минут Дзержинск и Горький сотрясли многочисленные выстрелы зенитных орудий. Затем началась бомбежка. Николай Егорычев вспоминал:  «Ударами рельсов объявили воздушную тревогу. Командир батареи, командиры взводов, орудий и приборов на своих местах. Слышались доклады командиров орудий, прибора </w:t>
      </w:r>
      <w:r w:rsidRPr="00722885">
        <w:rPr>
          <w:rFonts w:ascii="Times New Roman" w:hAnsi="Times New Roman"/>
          <w:color w:val="000000" w:themeColor="text1"/>
          <w:sz w:val="16"/>
          <w:szCs w:val="16"/>
        </w:rPr>
        <w:lastRenderedPageBreak/>
        <w:t xml:space="preserve">ПУАЗО-3 и дальномера о готовности к ведению воздушного боя. Воздушный разведчик стоял на КП рядом с командиром батареи, зорко всматриваясь в воздушное пространство на запад. А недалеко от батареи, западнее ее, – г. Дзержинск. Прошло немного времени, всего несколько минут, и все мы увидели, что небо над Дзержинском покраснело от разрывов снарядов. А еще через несколько минут стали падать светящиеся авиабомбы (САБ). После сбрасывания с самолетов они медленно опускались на парашютах и ярко горели… С появлением первой САБ командир батареи скомандовал: </w:t>
      </w:r>
    </w:p>
    <w:p w14:paraId="605BFD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Заградительным, азимут… угол возвышения, взрыватель осколочный… три снаряда, беглый огонь!» </w:t>
      </w:r>
    </w:p>
    <w:p w14:paraId="442112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Пятнадцать фугасных бомб упали южнее химического завода им. Свердлова. В результате был разрушен один барак, погибли два человека, 18 получили ранения. Как говорится, опять «пронесло».</w:t>
      </w:r>
    </w:p>
    <w:p w14:paraId="43C8C0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эту же ночь была внезапно атакована железнодорожная станция Селиваново на перегоне Муром – Ковров. Здесь немецкий бомбардировщик сбросил четыре фугасных бомбы, а затем обстрелял сооружения из пулеметов. По счастливой случайности никто не пострадал. Командование ПВО вновь отделалось легким испугом. В 05.00 повсеместно прозвучал сигнал «Отбой ВТ» (11774).</w:t>
      </w:r>
    </w:p>
    <w:p w14:paraId="078E2A9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403F9BA" w14:textId="77777777" w:rsidR="00090C9B" w:rsidRPr="00722885" w:rsidRDefault="00090C9B"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31 октября 1942 утром бронепоезд "Вперед, на запад!" вступил в бой. Замаскировавшись, он подпустил немецкие танки на короткую дистанцию и открыл огонь. Ответным огнем была разбита первая бронеплощадка, а два снаряда попали в командирскую рубку. Был убит командир бронепоезда В.Ф. Галушно и вся паровозная бригада. Одновременно снаряды повредили тормоза, сделав весь состав неуправляемым. Железнодорожное полотно от Алагира к Ардону идет под большим уклоном. И "Вперед, на запад!" пошел вниз, с каждым метром увеличивая скорость и ведя огонь из оставшихся трех орудий, в Ардоне он на полном ходу врезался в разбитый бронепоезд № 717. Несмотря на кратковременный бой, артиллеристам "Вперед, на запад!" удалось подбить 6 танков и 3 бронетранспортера. Главным результатом было то, что ценой гибели своих бронепоездов 36-й дивизион задержал продвижение противника почти на сутки, чем позволил частям Красной Армии создать устойчивый рубеж обороны (9642).</w:t>
      </w:r>
    </w:p>
    <w:p w14:paraId="57905AD7" w14:textId="77777777" w:rsidR="00090C9B" w:rsidRPr="00722885" w:rsidRDefault="00090C9B" w:rsidP="00722885">
      <w:pPr>
        <w:pStyle w:val="a8"/>
        <w:widowControl/>
        <w:jc w:val="both"/>
        <w:rPr>
          <w:rFonts w:ascii="Times New Roman" w:hAnsi="Times New Roman" w:cs="Times New Roman"/>
          <w:color w:val="000000" w:themeColor="text1"/>
        </w:rPr>
      </w:pPr>
    </w:p>
    <w:p w14:paraId="57F9D720" w14:textId="77777777" w:rsidR="004F59B2"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6BECB7B" w14:textId="77777777" w:rsidR="004F59B2" w:rsidRPr="00722885" w:rsidRDefault="004F59B2" w:rsidP="00722885">
      <w:pPr>
        <w:pStyle w:val="Iauiue"/>
        <w:jc w:val="both"/>
        <w:rPr>
          <w:iCs/>
          <w:color w:val="000000" w:themeColor="text1"/>
          <w:sz w:val="16"/>
          <w:szCs w:val="16"/>
        </w:rPr>
      </w:pPr>
    </w:p>
    <w:p w14:paraId="0090F3E5"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31 октября </w:t>
      </w:r>
      <w:r w:rsidRPr="00722885">
        <w:rPr>
          <w:rFonts w:ascii="Times New Roman" w:hAnsi="Times New Roman"/>
          <w:color w:val="000000" w:themeColor="text1"/>
          <w:sz w:val="16"/>
          <w:szCs w:val="16"/>
        </w:rPr>
        <w:t>в 1942 году лиссабонская агентура абвера отправляет шифровку в Берлин о конспиративном совещании бывшего итальянского генерала-контрразведчика Карбони с западными союзниками. Предполагаемая тематика переговоров — заключение сепаратного мира (14816).</w:t>
      </w:r>
    </w:p>
    <w:p w14:paraId="53E9533C"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392B03BC"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eastAsia="Times New Roman" w:hAnsi="Times New Roman"/>
          <w:bCs/>
          <w:color w:val="000000" w:themeColor="text1"/>
          <w:sz w:val="16"/>
          <w:szCs w:val="16"/>
        </w:rPr>
        <w:t xml:space="preserve">31 октября </w:t>
      </w:r>
      <w:r w:rsidRPr="00722885">
        <w:rPr>
          <w:rFonts w:ascii="Times New Roman" w:hAnsi="Times New Roman"/>
          <w:color w:val="000000" w:themeColor="text1"/>
          <w:sz w:val="16"/>
          <w:szCs w:val="16"/>
        </w:rPr>
        <w:t>в 1942 году в США принят Федеральный закон о трудовой повинности (14816).</w:t>
      </w:r>
    </w:p>
    <w:p w14:paraId="423B078F"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6D9DBEA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7A723D8" w14:textId="77777777" w:rsidR="00090C9B" w:rsidRPr="00722885" w:rsidRDefault="00090C9B" w:rsidP="00722885">
      <w:pPr>
        <w:pStyle w:val="Iauiue"/>
        <w:jc w:val="both"/>
        <w:rPr>
          <w:iCs/>
          <w:color w:val="000000" w:themeColor="text1"/>
          <w:sz w:val="16"/>
          <w:szCs w:val="16"/>
        </w:rPr>
      </w:pPr>
    </w:p>
    <w:p w14:paraId="4216EA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конца октября 1942 г. по 25 ян</w:t>
      </w:r>
      <w:r w:rsidRPr="00722885">
        <w:rPr>
          <w:color w:val="000000" w:themeColor="text1"/>
          <w:sz w:val="16"/>
          <w:szCs w:val="16"/>
        </w:rPr>
        <w:softHyphen/>
        <w:t>варя 1943 г. на Калининском фронте в 800-м (командир полка м-р А.И.Митрофанов) и 667-м (ко</w:t>
      </w:r>
      <w:r w:rsidRPr="00722885">
        <w:rPr>
          <w:color w:val="000000" w:themeColor="text1"/>
          <w:sz w:val="16"/>
          <w:szCs w:val="16"/>
        </w:rPr>
        <w:softHyphen/>
        <w:t>мандир полка м-р Г.А.Шутеев) штур</w:t>
      </w:r>
      <w:r w:rsidRPr="00722885">
        <w:rPr>
          <w:color w:val="000000" w:themeColor="text1"/>
          <w:sz w:val="16"/>
          <w:szCs w:val="16"/>
        </w:rPr>
        <w:softHyphen/>
        <w:t xml:space="preserve">мовых авиаполках 292-й </w:t>
      </w:r>
      <w:r w:rsidRPr="00722885">
        <w:rPr>
          <w:iCs/>
          <w:color w:val="000000" w:themeColor="text1"/>
          <w:sz w:val="16"/>
          <w:szCs w:val="16"/>
        </w:rPr>
        <w:t>шад</w:t>
      </w:r>
      <w:r w:rsidRPr="00722885">
        <w:rPr>
          <w:color w:val="000000" w:themeColor="text1"/>
          <w:sz w:val="16"/>
          <w:szCs w:val="16"/>
        </w:rPr>
        <w:t xml:space="preserve"> 3-й ВА проходили войсковые испытания двухместных вариантов самолета Ил-2 постройки за</w:t>
      </w:r>
      <w:r w:rsidRPr="00722885">
        <w:rPr>
          <w:color w:val="000000" w:themeColor="text1"/>
          <w:sz w:val="16"/>
          <w:szCs w:val="16"/>
        </w:rPr>
        <w:softHyphen/>
        <w:t>вода № 30 (6467).</w:t>
      </w:r>
    </w:p>
    <w:p w14:paraId="0440C2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Надо сказать, что в авиаполках 292-й </w:t>
      </w:r>
      <w:r w:rsidRPr="00722885">
        <w:rPr>
          <w:iCs/>
          <w:color w:val="000000" w:themeColor="text1"/>
          <w:sz w:val="16"/>
          <w:szCs w:val="16"/>
        </w:rPr>
        <w:t>шад</w:t>
      </w:r>
      <w:r w:rsidRPr="00722885">
        <w:rPr>
          <w:color w:val="000000" w:themeColor="text1"/>
          <w:sz w:val="16"/>
          <w:szCs w:val="16"/>
        </w:rPr>
        <w:t xml:space="preserve"> уже имелся опыт боевого приме</w:t>
      </w:r>
      <w:r w:rsidRPr="00722885">
        <w:rPr>
          <w:color w:val="000000" w:themeColor="text1"/>
          <w:sz w:val="16"/>
          <w:szCs w:val="16"/>
        </w:rPr>
        <w:softHyphen/>
        <w:t>нения двухместных штурмовиков Ил-2, так как к этому времени силами инже</w:t>
      </w:r>
      <w:r w:rsidRPr="00722885">
        <w:rPr>
          <w:color w:val="000000" w:themeColor="text1"/>
          <w:sz w:val="16"/>
          <w:szCs w:val="16"/>
        </w:rPr>
        <w:softHyphen/>
        <w:t>нерно-технического состава несколько одноместных Ил-2 уже были переобо</w:t>
      </w:r>
      <w:r w:rsidRPr="00722885">
        <w:rPr>
          <w:color w:val="000000" w:themeColor="text1"/>
          <w:sz w:val="16"/>
          <w:szCs w:val="16"/>
        </w:rPr>
        <w:softHyphen/>
        <w:t>рудованы оборонительным пулеметом ШКАС с боезапасом в 500 патронов, при этом для установки пулемета использо</w:t>
      </w:r>
      <w:r w:rsidRPr="00722885">
        <w:rPr>
          <w:color w:val="000000" w:themeColor="text1"/>
          <w:sz w:val="16"/>
          <w:szCs w:val="16"/>
        </w:rPr>
        <w:softHyphen/>
        <w:t>валось полутурельное кольцо установки ВУБ-1 самолета Пе-2.</w:t>
      </w:r>
    </w:p>
    <w:p w14:paraId="4380C7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время войсковых испытаний 16 двухместных самолетов Ил-2 с пулеме</w:t>
      </w:r>
      <w:r w:rsidRPr="00722885">
        <w:rPr>
          <w:color w:val="000000" w:themeColor="text1"/>
          <w:sz w:val="16"/>
          <w:szCs w:val="16"/>
        </w:rPr>
        <w:softHyphen/>
        <w:t>том УБТ выполнили 64 боевых вылета с общим налетом 77 часов. Проведено 8 воздушных боев, в которых огнем стрел</w:t>
      </w:r>
      <w:r w:rsidRPr="00722885">
        <w:rPr>
          <w:color w:val="000000" w:themeColor="text1"/>
          <w:sz w:val="16"/>
          <w:szCs w:val="16"/>
        </w:rPr>
        <w:softHyphen/>
        <w:t>ков было сбито 7 истребителей против</w:t>
      </w:r>
      <w:r w:rsidRPr="00722885">
        <w:rPr>
          <w:color w:val="000000" w:themeColor="text1"/>
          <w:sz w:val="16"/>
          <w:szCs w:val="16"/>
        </w:rPr>
        <w:softHyphen/>
        <w:t>ника ВТ109. Свои потери составили 3 штурмовика.</w:t>
      </w:r>
    </w:p>
    <w:p w14:paraId="3E6874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Строевые летчики отмечали, что ухуд</w:t>
      </w:r>
      <w:r w:rsidRPr="00722885">
        <w:rPr>
          <w:color w:val="000000" w:themeColor="text1"/>
          <w:sz w:val="16"/>
          <w:szCs w:val="16"/>
        </w:rPr>
        <w:softHyphen/>
        <w:t>шение продольной устойчивости штур</w:t>
      </w:r>
      <w:r w:rsidRPr="00722885">
        <w:rPr>
          <w:color w:val="000000" w:themeColor="text1"/>
          <w:sz w:val="16"/>
          <w:szCs w:val="16"/>
        </w:rPr>
        <w:softHyphen/>
        <w:t>мовика, а также увеличение скорости са</w:t>
      </w:r>
      <w:r w:rsidRPr="00722885">
        <w:rPr>
          <w:color w:val="000000" w:themeColor="text1"/>
          <w:sz w:val="16"/>
          <w:szCs w:val="16"/>
        </w:rPr>
        <w:softHyphen/>
        <w:t>молета на планировании затруднило ведение прицельного огня из стрелково-пушечного вооружения и введение боковых поправок в прицеливание, осо</w:t>
      </w:r>
      <w:r w:rsidRPr="00722885">
        <w:rPr>
          <w:color w:val="000000" w:themeColor="text1"/>
          <w:sz w:val="16"/>
          <w:szCs w:val="16"/>
        </w:rPr>
        <w:softHyphen/>
        <w:t>бенно для молодого летного состава, имеющего недостаточную летную под</w:t>
      </w:r>
      <w:r w:rsidRPr="00722885">
        <w:rPr>
          <w:color w:val="000000" w:themeColor="text1"/>
          <w:sz w:val="16"/>
          <w:szCs w:val="16"/>
        </w:rPr>
        <w:softHyphen/>
        <w:t>готовку. Кроме этого, большая инерт</w:t>
      </w:r>
      <w:r w:rsidRPr="00722885">
        <w:rPr>
          <w:color w:val="000000" w:themeColor="text1"/>
          <w:sz w:val="16"/>
          <w:szCs w:val="16"/>
        </w:rPr>
        <w:softHyphen/>
        <w:t>ность двухместного Ил-2, по сравнению с одноместным, требовала от летчиков и большего внимания при пилотаже в составе группы, а также больших дис</w:t>
      </w:r>
      <w:r w:rsidRPr="00722885">
        <w:rPr>
          <w:color w:val="000000" w:themeColor="text1"/>
          <w:sz w:val="16"/>
          <w:szCs w:val="16"/>
        </w:rPr>
        <w:softHyphen/>
        <w:t>танций между самолетами в боевых по</w:t>
      </w:r>
      <w:r w:rsidRPr="00722885">
        <w:rPr>
          <w:color w:val="000000" w:themeColor="text1"/>
          <w:sz w:val="16"/>
          <w:szCs w:val="16"/>
        </w:rPr>
        <w:softHyphen/>
        <w:t>рядках. Из-за большей задней центров</w:t>
      </w:r>
      <w:r w:rsidRPr="00722885">
        <w:rPr>
          <w:color w:val="000000" w:themeColor="text1"/>
          <w:sz w:val="16"/>
          <w:szCs w:val="16"/>
        </w:rPr>
        <w:softHyphen/>
        <w:t>ки и недостаточной устойчивости в про</w:t>
      </w:r>
      <w:r w:rsidRPr="00722885">
        <w:rPr>
          <w:color w:val="000000" w:themeColor="text1"/>
          <w:sz w:val="16"/>
          <w:szCs w:val="16"/>
        </w:rPr>
        <w:softHyphen/>
        <w:t>дольном отношении выполнение коор</w:t>
      </w:r>
      <w:r w:rsidRPr="00722885">
        <w:rPr>
          <w:color w:val="000000" w:themeColor="text1"/>
          <w:sz w:val="16"/>
          <w:szCs w:val="16"/>
        </w:rPr>
        <w:softHyphen/>
        <w:t>динированного глубокого виража требо</w:t>
      </w:r>
      <w:r w:rsidRPr="00722885">
        <w:rPr>
          <w:color w:val="000000" w:themeColor="text1"/>
          <w:sz w:val="16"/>
          <w:szCs w:val="16"/>
        </w:rPr>
        <w:softHyphen/>
        <w:t>вало от летчиков повышенного внима</w:t>
      </w:r>
      <w:r w:rsidRPr="00722885">
        <w:rPr>
          <w:color w:val="000000" w:themeColor="text1"/>
          <w:sz w:val="16"/>
          <w:szCs w:val="16"/>
        </w:rPr>
        <w:softHyphen/>
        <w:t>ния. Летчики авиаполков отмечали и большие требуемые нагрузки на рули двухместного Ил-2, по сравнению с од</w:t>
      </w:r>
      <w:r w:rsidRPr="00722885">
        <w:rPr>
          <w:color w:val="000000" w:themeColor="text1"/>
          <w:sz w:val="16"/>
          <w:szCs w:val="16"/>
        </w:rPr>
        <w:softHyphen/>
        <w:t>номестным вариантом, при переклады</w:t>
      </w:r>
      <w:r w:rsidRPr="00722885">
        <w:rPr>
          <w:color w:val="000000" w:themeColor="text1"/>
          <w:sz w:val="16"/>
          <w:szCs w:val="16"/>
        </w:rPr>
        <w:softHyphen/>
        <w:t>вании штурмовика из виража в вираж.</w:t>
      </w:r>
    </w:p>
    <w:p w14:paraId="4845AB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Снижение вертикальной скорости двухместного Ил-2 привело к усложне</w:t>
      </w:r>
      <w:r w:rsidRPr="00722885">
        <w:rPr>
          <w:color w:val="000000" w:themeColor="text1"/>
          <w:sz w:val="16"/>
          <w:szCs w:val="16"/>
        </w:rPr>
        <w:softHyphen/>
        <w:t>нию противозенитного маневра и повы</w:t>
      </w:r>
      <w:r w:rsidRPr="00722885">
        <w:rPr>
          <w:color w:val="000000" w:themeColor="text1"/>
          <w:sz w:val="16"/>
          <w:szCs w:val="16"/>
        </w:rPr>
        <w:softHyphen/>
        <w:t>шению вероятности поражения его от огня зенитной артиллерии, особенно ма</w:t>
      </w:r>
      <w:r w:rsidRPr="00722885">
        <w:rPr>
          <w:color w:val="000000" w:themeColor="text1"/>
          <w:sz w:val="16"/>
          <w:szCs w:val="16"/>
        </w:rPr>
        <w:softHyphen/>
        <w:t>локалиберной. Требовалось повышение энерговооруженности самолета.</w:t>
      </w:r>
    </w:p>
    <w:p w14:paraId="33DC5C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Кабина стрелка оказалась тесной и затрудняла его движения, что отрица</w:t>
      </w:r>
      <w:r w:rsidRPr="00722885">
        <w:rPr>
          <w:color w:val="000000" w:themeColor="text1"/>
          <w:sz w:val="16"/>
          <w:szCs w:val="16"/>
        </w:rPr>
        <w:softHyphen/>
        <w:t>тельно сказывалось на эффективности ведения воздушного боя. Сама же пу</w:t>
      </w:r>
      <w:r w:rsidRPr="00722885">
        <w:rPr>
          <w:color w:val="000000" w:themeColor="text1"/>
          <w:sz w:val="16"/>
          <w:szCs w:val="16"/>
        </w:rPr>
        <w:softHyphen/>
        <w:t>леметная установка в обслуживании ока</w:t>
      </w:r>
      <w:r w:rsidRPr="00722885">
        <w:rPr>
          <w:color w:val="000000" w:themeColor="text1"/>
          <w:sz w:val="16"/>
          <w:szCs w:val="16"/>
        </w:rPr>
        <w:softHyphen/>
        <w:t>залась простой.</w:t>
      </w:r>
    </w:p>
    <w:p w14:paraId="27D80E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Опыт воздушных боев показал, что углы обстрела пулемета УБТ недоста</w:t>
      </w:r>
      <w:r w:rsidRPr="00722885">
        <w:rPr>
          <w:color w:val="000000" w:themeColor="text1"/>
          <w:sz w:val="16"/>
          <w:szCs w:val="16"/>
        </w:rPr>
        <w:softHyphen/>
        <w:t>точные. Стрелок не мог отражать атаки истребителей противника под больши</w:t>
      </w:r>
      <w:r w:rsidRPr="00722885">
        <w:rPr>
          <w:color w:val="000000" w:themeColor="text1"/>
          <w:sz w:val="16"/>
          <w:szCs w:val="16"/>
        </w:rPr>
        <w:softHyphen/>
        <w:t>ми углами сбоку и сверху. Ввиду малых углов обстрела вниз и в стороны исполь</w:t>
      </w:r>
      <w:r w:rsidRPr="00722885">
        <w:rPr>
          <w:color w:val="000000" w:themeColor="text1"/>
          <w:sz w:val="16"/>
          <w:szCs w:val="16"/>
        </w:rPr>
        <w:softHyphen/>
        <w:t>зовать заднюю огневую точку для стрельбы по истребителям, атакующим снизу, а также по наземным целям мож</w:t>
      </w:r>
      <w:r w:rsidRPr="00722885">
        <w:rPr>
          <w:color w:val="000000" w:themeColor="text1"/>
          <w:sz w:val="16"/>
          <w:szCs w:val="16"/>
        </w:rPr>
        <w:softHyphen/>
        <w:t>но было очень ограничено.</w:t>
      </w:r>
    </w:p>
    <w:p w14:paraId="269E02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Кроме того, эффективность действий воздушных стрелков в значительной сте</w:t>
      </w:r>
      <w:r w:rsidRPr="00722885">
        <w:rPr>
          <w:color w:val="000000" w:themeColor="text1"/>
          <w:sz w:val="16"/>
          <w:szCs w:val="16"/>
        </w:rPr>
        <w:softHyphen/>
        <w:t>пени снижалась вследствие частых от</w:t>
      </w:r>
      <w:r w:rsidRPr="00722885">
        <w:rPr>
          <w:color w:val="000000" w:themeColor="text1"/>
          <w:sz w:val="16"/>
          <w:szCs w:val="16"/>
        </w:rPr>
        <w:softHyphen/>
        <w:t>казов (обрыв дульца гильзы и заклини</w:t>
      </w:r>
      <w:r w:rsidRPr="00722885">
        <w:rPr>
          <w:color w:val="000000" w:themeColor="text1"/>
          <w:sz w:val="16"/>
          <w:szCs w:val="16"/>
        </w:rPr>
        <w:softHyphen/>
        <w:t xml:space="preserve">вание автоматики) пулемета УБТ при стрельбе в воздухе. По воспоминаниям воздушного стрелка 43-го </w:t>
      </w:r>
      <w:r w:rsidRPr="00722885">
        <w:rPr>
          <w:iCs/>
          <w:color w:val="000000" w:themeColor="text1"/>
          <w:sz w:val="16"/>
          <w:szCs w:val="16"/>
        </w:rPr>
        <w:t>гшап</w:t>
      </w:r>
      <w:r w:rsidRPr="00722885">
        <w:rPr>
          <w:color w:val="000000" w:themeColor="text1"/>
          <w:sz w:val="16"/>
          <w:szCs w:val="16"/>
        </w:rPr>
        <w:t xml:space="preserve"> Г.А.Литвина, "Березин" при стрельбе в воздухе отказывал по этим причинам почти в каждом боевом вылете, а стрельба длин</w:t>
      </w:r>
      <w:r w:rsidRPr="00722885">
        <w:rPr>
          <w:color w:val="000000" w:themeColor="text1"/>
          <w:sz w:val="16"/>
          <w:szCs w:val="16"/>
        </w:rPr>
        <w:softHyphen/>
        <w:t>ными очередями производилась "с за</w:t>
      </w:r>
      <w:r w:rsidRPr="00722885">
        <w:rPr>
          <w:color w:val="000000" w:themeColor="text1"/>
          <w:sz w:val="16"/>
          <w:szCs w:val="16"/>
        </w:rPr>
        <w:softHyphen/>
        <w:t>миранием сердца". Стрельба очередью свыше 10 патронов не рекомендовалась по причине обязательного заклинивания пулемета.</w:t>
      </w:r>
    </w:p>
    <w:p w14:paraId="16CCDC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Броневой лист толщиной 6 мм поза</w:t>
      </w:r>
      <w:r w:rsidRPr="00722885">
        <w:rPr>
          <w:color w:val="000000" w:themeColor="text1"/>
          <w:sz w:val="16"/>
          <w:szCs w:val="16"/>
        </w:rPr>
        <w:softHyphen/>
        <w:t>ди стрелка защищал только от пулемет</w:t>
      </w:r>
      <w:r w:rsidRPr="00722885">
        <w:rPr>
          <w:color w:val="000000" w:themeColor="text1"/>
          <w:sz w:val="16"/>
          <w:szCs w:val="16"/>
        </w:rPr>
        <w:softHyphen/>
        <w:t>ного огня при атаках истребителей про</w:t>
      </w:r>
      <w:r w:rsidRPr="00722885">
        <w:rPr>
          <w:color w:val="000000" w:themeColor="text1"/>
          <w:sz w:val="16"/>
          <w:szCs w:val="16"/>
        </w:rPr>
        <w:softHyphen/>
        <w:t>тивника строго со стороны хвоста са</w:t>
      </w:r>
      <w:r w:rsidRPr="00722885">
        <w:rPr>
          <w:color w:val="000000" w:themeColor="text1"/>
          <w:sz w:val="16"/>
          <w:szCs w:val="16"/>
        </w:rPr>
        <w:softHyphen/>
        <w:t>молета и от осколков зенитных снаря</w:t>
      </w:r>
      <w:r w:rsidRPr="00722885">
        <w:rPr>
          <w:color w:val="000000" w:themeColor="text1"/>
          <w:sz w:val="16"/>
          <w:szCs w:val="16"/>
        </w:rPr>
        <w:softHyphen/>
        <w:t>дов, разорвавшихся сзади фюзеляжа. Попадание в кабину стрелка фугасного снаряда калибра 20 мм пушки МО-151/ 20 с дистанции порядка 200-300 м дава</w:t>
      </w:r>
      <w:r w:rsidRPr="00722885">
        <w:rPr>
          <w:color w:val="000000" w:themeColor="text1"/>
          <w:sz w:val="16"/>
          <w:szCs w:val="16"/>
        </w:rPr>
        <w:softHyphen/>
        <w:t>ло пробоину размерами в среднем 70х150 мм и приводило к поражению стрелка.</w:t>
      </w:r>
    </w:p>
    <w:p w14:paraId="4C40C2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все время войсковых испытаний имелось 8 случаев поражения стрелков на двухместных самолетах Ил-2. Причем во всех случаях, кроме одного, летчики оставались невредимыми. То есть на одного вышедшего из строя летчика при</w:t>
      </w:r>
      <w:r w:rsidRPr="00722885">
        <w:rPr>
          <w:color w:val="000000" w:themeColor="text1"/>
          <w:sz w:val="16"/>
          <w:szCs w:val="16"/>
        </w:rPr>
        <w:softHyphen/>
        <w:t>шлось 8 убитых или раненых стрелков.</w:t>
      </w:r>
    </w:p>
    <w:p w14:paraId="6B7944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заключение акта по войсковым ис</w:t>
      </w:r>
      <w:r w:rsidRPr="00722885">
        <w:rPr>
          <w:color w:val="000000" w:themeColor="text1"/>
          <w:sz w:val="16"/>
          <w:szCs w:val="16"/>
        </w:rPr>
        <w:softHyphen/>
        <w:t>пытаниям двухместных Ил-2 постройки завода № 30 указывалось, что, по обще</w:t>
      </w:r>
      <w:r w:rsidRPr="00722885">
        <w:rPr>
          <w:color w:val="000000" w:themeColor="text1"/>
          <w:sz w:val="16"/>
          <w:szCs w:val="16"/>
        </w:rPr>
        <w:softHyphen/>
        <w:t>му мнению летного состава, самолет в целом хорош, а оборонительная огневая точка с пулеметом УБТ является эффек</w:t>
      </w:r>
      <w:r w:rsidRPr="00722885">
        <w:rPr>
          <w:color w:val="000000" w:themeColor="text1"/>
          <w:sz w:val="16"/>
          <w:szCs w:val="16"/>
        </w:rPr>
        <w:softHyphen/>
        <w:t>тивным средством защиты от огня ис</w:t>
      </w:r>
      <w:r w:rsidRPr="00722885">
        <w:rPr>
          <w:color w:val="000000" w:themeColor="text1"/>
          <w:sz w:val="16"/>
          <w:szCs w:val="16"/>
        </w:rPr>
        <w:softHyphen/>
        <w:t>требителей противника, однако летчики и стрелки требовали увеличить углы обстрела пулемета, усилить бронирова</w:t>
      </w:r>
      <w:r w:rsidRPr="00722885">
        <w:rPr>
          <w:color w:val="000000" w:themeColor="text1"/>
          <w:sz w:val="16"/>
          <w:szCs w:val="16"/>
        </w:rPr>
        <w:softHyphen/>
        <w:t>ние кабины стрелка и улучшить взлетно-посадочные характеристики самолета.</w:t>
      </w:r>
    </w:p>
    <w:p w14:paraId="26546A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появлением на фронте двухмест</w:t>
      </w:r>
      <w:r w:rsidRPr="00722885">
        <w:rPr>
          <w:color w:val="000000" w:themeColor="text1"/>
          <w:sz w:val="16"/>
          <w:szCs w:val="16"/>
        </w:rPr>
        <w:softHyphen/>
        <w:t>ных "Илов", истребители Люфтваффе старались производить заходы для ата</w:t>
      </w:r>
      <w:r w:rsidRPr="00722885">
        <w:rPr>
          <w:color w:val="000000" w:themeColor="text1"/>
          <w:sz w:val="16"/>
          <w:szCs w:val="16"/>
        </w:rPr>
        <w:softHyphen/>
        <w:t>ки на штурмовики снизу в хвост или снизу с боков, если, конечно, позволяла высота, в противном случае -сверху сбо</w:t>
      </w:r>
      <w:r w:rsidRPr="00722885">
        <w:rPr>
          <w:color w:val="000000" w:themeColor="text1"/>
          <w:sz w:val="16"/>
          <w:szCs w:val="16"/>
        </w:rPr>
        <w:softHyphen/>
        <w:t>ку, подводя пушечную трассу к фонарю летчика.</w:t>
      </w:r>
    </w:p>
    <w:p w14:paraId="0F8171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Оценки, основанные на теории воз</w:t>
      </w:r>
      <w:r w:rsidRPr="00722885">
        <w:rPr>
          <w:color w:val="000000" w:themeColor="text1"/>
          <w:sz w:val="16"/>
          <w:szCs w:val="16"/>
        </w:rPr>
        <w:softHyphen/>
        <w:t>душной стрельбы и полигонных испытаниях эффективности действия германского стрелково-пушечного вооружения по штурмо</w:t>
      </w:r>
      <w:r w:rsidRPr="00722885">
        <w:rPr>
          <w:color w:val="000000" w:themeColor="text1"/>
          <w:sz w:val="16"/>
          <w:szCs w:val="16"/>
        </w:rPr>
        <w:softHyphen/>
        <w:t>вику Ил-2, показывают, что применительно к типовым условиям ве</w:t>
      </w:r>
      <w:r w:rsidRPr="00722885">
        <w:rPr>
          <w:color w:val="000000" w:themeColor="text1"/>
          <w:sz w:val="16"/>
          <w:szCs w:val="16"/>
        </w:rPr>
        <w:softHyphen/>
        <w:t>дения воздушных боев потенциальная вероят</w:t>
      </w:r>
      <w:r w:rsidRPr="00722885">
        <w:rPr>
          <w:color w:val="000000" w:themeColor="text1"/>
          <w:sz w:val="16"/>
          <w:szCs w:val="16"/>
        </w:rPr>
        <w:softHyphen/>
        <w:t>ность сбития Ил-2 с пу</w:t>
      </w:r>
      <w:r w:rsidRPr="00722885">
        <w:rPr>
          <w:color w:val="000000" w:themeColor="text1"/>
          <w:sz w:val="16"/>
          <w:szCs w:val="16"/>
        </w:rPr>
        <w:softHyphen/>
        <w:t>леметом УБТ со сторо</w:t>
      </w:r>
      <w:r w:rsidRPr="00722885">
        <w:rPr>
          <w:color w:val="000000" w:themeColor="text1"/>
          <w:sz w:val="16"/>
          <w:szCs w:val="16"/>
        </w:rPr>
        <w:softHyphen/>
        <w:t>ны задней полусферы истребителем BT109G-2 (трехточечный) в одной атаке могла составлять (летчик с отличной летной и стрелко</w:t>
      </w:r>
      <w:r w:rsidRPr="00722885">
        <w:rPr>
          <w:color w:val="000000" w:themeColor="text1"/>
          <w:sz w:val="16"/>
          <w:szCs w:val="16"/>
        </w:rPr>
        <w:softHyphen/>
        <w:t>вой подготовкой, а летчик-штурмовик не совершает противоистребительного ма</w:t>
      </w:r>
      <w:r w:rsidRPr="00722885">
        <w:rPr>
          <w:color w:val="000000" w:themeColor="text1"/>
          <w:sz w:val="16"/>
          <w:szCs w:val="16"/>
        </w:rPr>
        <w:softHyphen/>
        <w:t>невра) около 0,38, а пятиточечным Bf109G-2 - 0,65. В реальных же боевых условиях результативность летчиков была несколько хуже...</w:t>
      </w:r>
    </w:p>
    <w:p w14:paraId="73DC4A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Поскольку воздушный стрелок Ил-2 был плохо забронирован, то вероятность его поражения огнем немецких истре</w:t>
      </w:r>
      <w:r w:rsidRPr="00722885">
        <w:rPr>
          <w:color w:val="000000" w:themeColor="text1"/>
          <w:sz w:val="16"/>
          <w:szCs w:val="16"/>
        </w:rPr>
        <w:softHyphen/>
        <w:t>бителей, как показывают оценки, была примерно в 2-2,5 раза выше, чем веро</w:t>
      </w:r>
      <w:r w:rsidRPr="00722885">
        <w:rPr>
          <w:color w:val="000000" w:themeColor="text1"/>
          <w:sz w:val="16"/>
          <w:szCs w:val="16"/>
        </w:rPr>
        <w:softHyphen/>
        <w:t>ятность сбития в этих же условиях за</w:t>
      </w:r>
      <w:r w:rsidRPr="00722885">
        <w:rPr>
          <w:color w:val="000000" w:themeColor="text1"/>
          <w:sz w:val="16"/>
          <w:szCs w:val="16"/>
        </w:rPr>
        <w:softHyphen/>
        <w:t>щищаемого им штурмовика.</w:t>
      </w:r>
    </w:p>
    <w:p w14:paraId="6514DE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этой связи интересно отметить, что, как показывает анализ боевого опыта, соотношение потерь штурмовиков Ил-2, летчиков и воздушных стрелков от огня немецкой зенитной артиллерии практи</w:t>
      </w:r>
      <w:r w:rsidRPr="00722885">
        <w:rPr>
          <w:color w:val="000000" w:themeColor="text1"/>
          <w:sz w:val="16"/>
          <w:szCs w:val="16"/>
        </w:rPr>
        <w:softHyphen/>
        <w:t>чески на всем протяжении войны рав</w:t>
      </w:r>
      <w:r w:rsidRPr="00722885">
        <w:rPr>
          <w:color w:val="000000" w:themeColor="text1"/>
          <w:sz w:val="16"/>
          <w:szCs w:val="16"/>
        </w:rPr>
        <w:softHyphen/>
        <w:t>нялось 1:1:1 (6467).</w:t>
      </w:r>
    </w:p>
    <w:p w14:paraId="6CB55B2E" w14:textId="77777777" w:rsidR="00090C9B" w:rsidRPr="00722885" w:rsidRDefault="00090C9B" w:rsidP="00722885">
      <w:pPr>
        <w:pStyle w:val="Iauiue"/>
        <w:jc w:val="both"/>
        <w:rPr>
          <w:color w:val="000000" w:themeColor="text1"/>
          <w:sz w:val="16"/>
          <w:szCs w:val="16"/>
        </w:rPr>
      </w:pPr>
    </w:p>
    <w:p w14:paraId="0477F0B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октября 1942 г. двухместные Ил-2 постройки завода № 30 были поданы на войсковые испытания на Калининский фронт в 800-й и 667-й штурмовые авиаполки 292-й штурмовой авиадивизии 3-й воздушной армии. Впервые в боевых условиях двухместный Ил-2 с пулеметом УБТ был применен в 800-м авиа</w:t>
      </w:r>
      <w:r w:rsidRPr="00722885">
        <w:rPr>
          <w:rFonts w:ascii="Times New Roman" w:hAnsi="Times New Roman"/>
          <w:color w:val="000000" w:themeColor="text1"/>
          <w:sz w:val="16"/>
          <w:szCs w:val="16"/>
        </w:rPr>
        <w:softHyphen/>
        <w:t>полку 30 октября 1942 г. при атаке смоленского аэродрома немцев. Войсковые испытания успешно завершились 25 января 1943 г. За время испытаний 16 двухместных Ил-2 с пулеметом УБТ выпол</w:t>
      </w:r>
      <w:r w:rsidRPr="00722885">
        <w:rPr>
          <w:rFonts w:ascii="Times New Roman" w:hAnsi="Times New Roman"/>
          <w:color w:val="000000" w:themeColor="text1"/>
          <w:sz w:val="16"/>
          <w:szCs w:val="16"/>
        </w:rPr>
        <w:softHyphen/>
        <w:t>нили 64 боевых вылета, налетав при этом 77 часов. Проведено 8 воздушных боев, в которых огнем стрелков сбито 7 истребителей противника ВП09. Свои потери составили 3 машины. Опыт воздушных боев показал, что углы обстрела пулемета УБТ недостаточны. Стрелок не мог отражать атаки истребителей про</w:t>
      </w:r>
      <w:r w:rsidRPr="00722885">
        <w:rPr>
          <w:rFonts w:ascii="Times New Roman" w:hAnsi="Times New Roman"/>
          <w:color w:val="000000" w:themeColor="text1"/>
          <w:sz w:val="16"/>
          <w:szCs w:val="16"/>
        </w:rPr>
        <w:softHyphen/>
        <w:t>тивника под большими углами сбоку и сверху. Из-за малых углов обстрела вниз и в стороны использовать заднюю огневую точку для обстрела атакующих снизу истребителей и наземных целей можно было очень ограниченно. Кроме того, при стрельбе в воздухе на</w:t>
      </w:r>
      <w:r w:rsidRPr="00722885">
        <w:rPr>
          <w:rFonts w:ascii="Times New Roman" w:hAnsi="Times New Roman"/>
          <w:color w:val="000000" w:themeColor="text1"/>
          <w:sz w:val="16"/>
          <w:szCs w:val="16"/>
        </w:rPr>
        <w:softHyphen/>
        <w:t>блюдались частые отказы пулеметов УБТ из-за обрывов дульцев гильзы или заклинивания автоматики, что также снижало эффек</w:t>
      </w:r>
      <w:r w:rsidRPr="00722885">
        <w:rPr>
          <w:rFonts w:ascii="Times New Roman" w:hAnsi="Times New Roman"/>
          <w:color w:val="000000" w:themeColor="text1"/>
          <w:sz w:val="16"/>
          <w:szCs w:val="16"/>
        </w:rPr>
        <w:softHyphen/>
        <w:t>тивность работы стрелка. Г.А. Литвин, воздушный стрелок 43-го гвардейского штурмового авиаполка, впоследствии вспоминал, что пулемет УБТ отказывал в каждом боевом вылете, а стрельба длин</w:t>
      </w:r>
      <w:r w:rsidRPr="00722885">
        <w:rPr>
          <w:rFonts w:ascii="Times New Roman" w:hAnsi="Times New Roman"/>
          <w:color w:val="000000" w:themeColor="text1"/>
          <w:sz w:val="16"/>
          <w:szCs w:val="16"/>
        </w:rPr>
        <w:softHyphen/>
        <w:t>ными очередями производилась «с замиранием сердца». Стрельба очередью больше 10 патронов почти всегда приводила к заклини</w:t>
      </w:r>
      <w:r w:rsidRPr="00722885">
        <w:rPr>
          <w:rFonts w:ascii="Times New Roman" w:hAnsi="Times New Roman"/>
          <w:color w:val="000000" w:themeColor="text1"/>
          <w:sz w:val="16"/>
          <w:szCs w:val="16"/>
        </w:rPr>
        <w:softHyphen/>
        <w:t>ванию пулемета. 6-мм броневой лист позади стрелка защищал только от пулемет</w:t>
      </w:r>
      <w:r w:rsidRPr="00722885">
        <w:rPr>
          <w:rFonts w:ascii="Times New Roman" w:hAnsi="Times New Roman"/>
          <w:color w:val="000000" w:themeColor="text1"/>
          <w:sz w:val="16"/>
          <w:szCs w:val="16"/>
        </w:rPr>
        <w:softHyphen/>
        <w:t>ного огня при атаках истребителей противника строго со стороны воста и от осколков зенитных снарядов, разорвавшихся сзади фю-;ляжа. Попадание же в кабину стрелка 2-см фугасного снаряда пушки МО 151/20 с дистанции 200—300 м давало пробоину около 70 х 150 мм и выводило стрелка из строя (10695).</w:t>
      </w:r>
    </w:p>
    <w:p w14:paraId="08598F3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ED9084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конце октября 1942, через 30 суток первый АМ-42 «выкатили» на заво</w:t>
      </w:r>
      <w:r w:rsidRPr="00722885">
        <w:rPr>
          <w:rFonts w:ascii="Times New Roman" w:hAnsi="Times New Roman"/>
          <w:color w:val="000000" w:themeColor="text1"/>
          <w:sz w:val="16"/>
          <w:szCs w:val="16"/>
        </w:rPr>
        <w:softHyphen/>
        <w:t>дские испытания, в ходе которых были получены весьма обна</w:t>
      </w:r>
      <w:r w:rsidRPr="00722885">
        <w:rPr>
          <w:rFonts w:ascii="Times New Roman" w:hAnsi="Times New Roman"/>
          <w:color w:val="000000" w:themeColor="text1"/>
          <w:sz w:val="16"/>
          <w:szCs w:val="16"/>
        </w:rPr>
        <w:softHyphen/>
        <w:t>деживающие результаты. На взлетном режиме мотор развил мощность 1978 л.с., что было почти на четыре сотни «лошадей» больше, чем «выдавал» серийный АМ-38. На номинальном ре</w:t>
      </w:r>
      <w:r w:rsidRPr="00722885">
        <w:rPr>
          <w:rFonts w:ascii="Times New Roman" w:hAnsi="Times New Roman"/>
          <w:color w:val="000000" w:themeColor="text1"/>
          <w:sz w:val="16"/>
          <w:szCs w:val="16"/>
        </w:rPr>
        <w:softHyphen/>
        <w:t>жиме АМ-42 показал мощность 1762 л.с. Разработка мотора в столь сжатые сроки не могла не сказаться на его качестве: требовалась тщательная доводка всех агрегатов и узлов. Только в мае 1943 г. АМ-42 удовлетворительно прошел со</w:t>
      </w:r>
      <w:r w:rsidRPr="00722885">
        <w:rPr>
          <w:rFonts w:ascii="Times New Roman" w:hAnsi="Times New Roman"/>
          <w:color w:val="000000" w:themeColor="text1"/>
          <w:sz w:val="16"/>
          <w:szCs w:val="16"/>
        </w:rPr>
        <w:softHyphen/>
        <w:t>вместные 50-часовые испытания. В ходе испытаний была получе</w:t>
      </w:r>
      <w:r w:rsidRPr="00722885">
        <w:rPr>
          <w:rFonts w:ascii="Times New Roman" w:hAnsi="Times New Roman"/>
          <w:color w:val="000000" w:themeColor="text1"/>
          <w:sz w:val="16"/>
          <w:szCs w:val="16"/>
        </w:rPr>
        <w:softHyphen/>
        <w:t>на мощность 1940 л.с. — на взлетном и 1766 л.с. — на номиналь</w:t>
      </w:r>
      <w:r w:rsidRPr="00722885">
        <w:rPr>
          <w:rFonts w:ascii="Times New Roman" w:hAnsi="Times New Roman"/>
          <w:color w:val="000000" w:themeColor="text1"/>
          <w:sz w:val="16"/>
          <w:szCs w:val="16"/>
        </w:rPr>
        <w:softHyphen/>
        <w:t>ном режиме (11474).</w:t>
      </w:r>
    </w:p>
    <w:p w14:paraId="1720567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EA169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октября 1942-го нарком А.И. Шахурин докладывал И.В. Сталину по поводу Пегаса Томашевича:</w:t>
      </w:r>
    </w:p>
    <w:p w14:paraId="216A3F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"Предложенный самолет технологически очень прост, спроектирован из дерева и простой стали, содержит в себе ряд новых агрегатов, как например, деревянные колеса и деревянные моторамы. Можно согласиться с мнением НКВД, что применение этого самолета в качестве противотанкового может быть эффективно при выпуске его для фронта в больших количествах.</w:t>
      </w:r>
    </w:p>
    <w:p w14:paraId="04141D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 делая свое предложение об организации массового производства таких самолетов и доказывая возможность изготовления 100 самолетов в день, НКВД упустил из виду вопрос об обеспечении такой программы моторами(необходимо создать мощный моторный завод).</w:t>
      </w:r>
    </w:p>
    <w:p w14:paraId="12B6AA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Поэтому считаю необходимым построить предполагаемый противотанковый самолет в 5 экземплярах для проверки его тактических и летных свойств, вопросов уязвимости, технологии и отработки вооружения. Решение о массовой постройке и размерах программы следует принять в случае положительных результатов испытаний.</w:t>
      </w:r>
    </w:p>
    <w:p w14:paraId="04A8D8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противном случае, основные положительные предложения НКВД по броне, оружию и упрощенной технологии можно будет реализовать на принятом в серийное производство самолете Як-6, что технически возможно" (9653).</w:t>
      </w:r>
    </w:p>
    <w:p w14:paraId="5C8C4865" w14:textId="77777777" w:rsidR="00090C9B" w:rsidRPr="00722885" w:rsidRDefault="00090C9B" w:rsidP="00722885">
      <w:pPr>
        <w:pStyle w:val="Iauiue"/>
        <w:jc w:val="both"/>
        <w:rPr>
          <w:color w:val="000000" w:themeColor="text1"/>
          <w:sz w:val="16"/>
          <w:szCs w:val="16"/>
        </w:rPr>
      </w:pPr>
    </w:p>
    <w:p w14:paraId="0CC240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октября 1942 помощник на</w:t>
      </w:r>
      <w:r w:rsidRPr="00722885">
        <w:rPr>
          <w:rFonts w:ascii="Times New Roman" w:hAnsi="Times New Roman"/>
          <w:color w:val="000000" w:themeColor="text1"/>
          <w:sz w:val="16"/>
          <w:szCs w:val="16"/>
        </w:rPr>
        <w:softHyphen/>
        <w:t>чальника 1 отд. УОС ГУ ИАС ВВС КА инженер-капитан Бобровский в своем докладе по ДДБШ П.О.С. отмечал: «...В насто</w:t>
      </w:r>
      <w:r w:rsidRPr="00722885">
        <w:rPr>
          <w:rFonts w:ascii="Times New Roman" w:hAnsi="Times New Roman"/>
          <w:color w:val="000000" w:themeColor="text1"/>
          <w:sz w:val="16"/>
          <w:szCs w:val="16"/>
        </w:rPr>
        <w:softHyphen/>
        <w:t>ящее время по самолету полностью закончены — проектирование и разработка чертежей. В производ</w:t>
      </w:r>
      <w:r w:rsidRPr="00722885">
        <w:rPr>
          <w:rFonts w:ascii="Times New Roman" w:hAnsi="Times New Roman"/>
          <w:color w:val="000000" w:themeColor="text1"/>
          <w:sz w:val="16"/>
          <w:szCs w:val="16"/>
        </w:rPr>
        <w:softHyphen/>
        <w:t>стве начато изготовление приспо</w:t>
      </w:r>
      <w:r w:rsidRPr="00722885">
        <w:rPr>
          <w:rFonts w:ascii="Times New Roman" w:hAnsi="Times New Roman"/>
          <w:color w:val="000000" w:themeColor="text1"/>
          <w:sz w:val="16"/>
          <w:szCs w:val="16"/>
        </w:rPr>
        <w:softHyphen/>
        <w:t>соблений и отдельных деталей са</w:t>
      </w:r>
      <w:r w:rsidRPr="00722885">
        <w:rPr>
          <w:rFonts w:ascii="Times New Roman" w:hAnsi="Times New Roman"/>
          <w:color w:val="000000" w:themeColor="text1"/>
          <w:sz w:val="16"/>
          <w:szCs w:val="16"/>
        </w:rPr>
        <w:softHyphen/>
        <w:t>молета. ... По заявлению т. Сухого, окончание постройки 1-го экз. на</w:t>
      </w:r>
      <w:r w:rsidRPr="00722885">
        <w:rPr>
          <w:rFonts w:ascii="Times New Roman" w:hAnsi="Times New Roman"/>
          <w:color w:val="000000" w:themeColor="text1"/>
          <w:sz w:val="16"/>
          <w:szCs w:val="16"/>
        </w:rPr>
        <w:softHyphen/>
        <w:t>мечено к 1.05.43 и то, только при условии усиления механического цеха станочным парком не менее 10 единиц. Без расширения меха</w:t>
      </w:r>
      <w:r w:rsidRPr="00722885">
        <w:rPr>
          <w:rFonts w:ascii="Times New Roman" w:hAnsi="Times New Roman"/>
          <w:color w:val="000000" w:themeColor="text1"/>
          <w:sz w:val="16"/>
          <w:szCs w:val="16"/>
        </w:rPr>
        <w:softHyphen/>
        <w:t>нического цеха постройка 1-го экз. в намеченный срок - невозможна...» (11853).</w:t>
      </w:r>
    </w:p>
    <w:p w14:paraId="1339167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01F2A8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октября 1942 П.О.Сухой от</w:t>
      </w:r>
      <w:r w:rsidRPr="00722885">
        <w:rPr>
          <w:rFonts w:ascii="Times New Roman" w:hAnsi="Times New Roman"/>
          <w:color w:val="000000" w:themeColor="text1"/>
          <w:sz w:val="16"/>
          <w:szCs w:val="16"/>
        </w:rPr>
        <w:softHyphen/>
        <w:t>правил в НИИ ВВС КА «Дополне</w:t>
      </w:r>
      <w:r w:rsidRPr="00722885">
        <w:rPr>
          <w:rFonts w:ascii="Times New Roman" w:hAnsi="Times New Roman"/>
          <w:color w:val="000000" w:themeColor="text1"/>
          <w:sz w:val="16"/>
          <w:szCs w:val="16"/>
        </w:rPr>
        <w:softHyphen/>
        <w:t>ние к эскизному проекту дальне</w:t>
      </w:r>
      <w:r w:rsidRPr="00722885">
        <w:rPr>
          <w:rFonts w:ascii="Times New Roman" w:hAnsi="Times New Roman"/>
          <w:color w:val="000000" w:themeColor="text1"/>
          <w:sz w:val="16"/>
          <w:szCs w:val="16"/>
        </w:rPr>
        <w:softHyphen/>
        <w:t>го ночного бомбардировщика с АМ-37».</w:t>
      </w:r>
    </w:p>
    <w:p w14:paraId="16AFFE8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нем отмечалось, что: «Предъяв</w:t>
      </w:r>
      <w:r w:rsidRPr="00722885">
        <w:rPr>
          <w:rFonts w:ascii="Times New Roman" w:hAnsi="Times New Roman"/>
          <w:color w:val="000000" w:themeColor="text1"/>
          <w:sz w:val="16"/>
          <w:szCs w:val="16"/>
        </w:rPr>
        <w:softHyphen/>
        <w:t>ленный ранее на рассмотрение эскизный проект..., был перерабо</w:t>
      </w:r>
      <w:r w:rsidRPr="00722885">
        <w:rPr>
          <w:rFonts w:ascii="Times New Roman" w:hAnsi="Times New Roman"/>
          <w:color w:val="000000" w:themeColor="text1"/>
          <w:sz w:val="16"/>
          <w:szCs w:val="16"/>
        </w:rPr>
        <w:softHyphen/>
        <w:t>тан под углом зрения замены АМ-37 на М-82ФНВ. Замена мало отра</w:t>
      </w:r>
      <w:r w:rsidRPr="00722885">
        <w:rPr>
          <w:rFonts w:ascii="Times New Roman" w:hAnsi="Times New Roman"/>
          <w:color w:val="000000" w:themeColor="text1"/>
          <w:sz w:val="16"/>
          <w:szCs w:val="16"/>
        </w:rPr>
        <w:softHyphen/>
        <w:t>жалась на общей компоновке са</w:t>
      </w:r>
      <w:r w:rsidRPr="00722885">
        <w:rPr>
          <w:rFonts w:ascii="Times New Roman" w:hAnsi="Times New Roman"/>
          <w:color w:val="000000" w:themeColor="text1"/>
          <w:sz w:val="16"/>
          <w:szCs w:val="16"/>
        </w:rPr>
        <w:softHyphen/>
        <w:t>молета, упрощает ВМГ и конструк</w:t>
      </w:r>
      <w:r w:rsidRPr="00722885">
        <w:rPr>
          <w:rFonts w:ascii="Times New Roman" w:hAnsi="Times New Roman"/>
          <w:color w:val="000000" w:themeColor="text1"/>
          <w:sz w:val="16"/>
          <w:szCs w:val="16"/>
        </w:rPr>
        <w:softHyphen/>
        <w:t>цию крыла за счет отсутствия при М-82 водяного радиатора, распо</w:t>
      </w:r>
      <w:r w:rsidRPr="00722885">
        <w:rPr>
          <w:rFonts w:ascii="Times New Roman" w:hAnsi="Times New Roman"/>
          <w:color w:val="000000" w:themeColor="text1"/>
          <w:sz w:val="16"/>
          <w:szCs w:val="16"/>
        </w:rPr>
        <w:softHyphen/>
        <w:t>лагавшегося ранее в крыле. При переходе на М-82 предусматрива</w:t>
      </w:r>
      <w:r w:rsidRPr="00722885">
        <w:rPr>
          <w:rFonts w:ascii="Times New Roman" w:hAnsi="Times New Roman"/>
          <w:color w:val="000000" w:themeColor="text1"/>
          <w:sz w:val="16"/>
          <w:szCs w:val="16"/>
        </w:rPr>
        <w:softHyphen/>
        <w:t>ется установка двух ТК-3...</w:t>
      </w:r>
    </w:p>
    <w:p w14:paraId="78C32C7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Размерные данные, полезная нагрузка, конструкция и применяе</w:t>
      </w:r>
      <w:r w:rsidRPr="00722885">
        <w:rPr>
          <w:rFonts w:ascii="Times New Roman" w:hAnsi="Times New Roman"/>
          <w:color w:val="000000" w:themeColor="text1"/>
          <w:sz w:val="16"/>
          <w:szCs w:val="16"/>
        </w:rPr>
        <w:softHyphen/>
        <w:t>мые материалы (дерево) остаются такими же, как и в варианте с мо</w:t>
      </w:r>
      <w:r w:rsidRPr="00722885">
        <w:rPr>
          <w:rFonts w:ascii="Times New Roman" w:hAnsi="Times New Roman"/>
          <w:color w:val="000000" w:themeColor="text1"/>
          <w:sz w:val="16"/>
          <w:szCs w:val="16"/>
        </w:rPr>
        <w:softHyphen/>
        <w:t>тором АМ-37. Весовые характери</w:t>
      </w:r>
      <w:r w:rsidRPr="00722885">
        <w:rPr>
          <w:rFonts w:ascii="Times New Roman" w:hAnsi="Times New Roman"/>
          <w:color w:val="000000" w:themeColor="text1"/>
          <w:sz w:val="16"/>
          <w:szCs w:val="16"/>
        </w:rPr>
        <w:softHyphen/>
        <w:t>стики изменяются незначительно...»</w:t>
      </w:r>
    </w:p>
    <w:p w14:paraId="728DEBB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По-видимому, получив Заключение по эскизному проекту ДБ с АМ-37, главный конструктор, исходя из за</w:t>
      </w:r>
      <w:r w:rsidRPr="00722885">
        <w:rPr>
          <w:rFonts w:ascii="Times New Roman" w:hAnsi="Times New Roman"/>
          <w:color w:val="000000" w:themeColor="text1"/>
          <w:sz w:val="16"/>
          <w:szCs w:val="16"/>
        </w:rPr>
        <w:softHyphen/>
        <w:t>мечаний и предложений, отмечен</w:t>
      </w:r>
      <w:r w:rsidRPr="00722885">
        <w:rPr>
          <w:rFonts w:ascii="Times New Roman" w:hAnsi="Times New Roman"/>
          <w:color w:val="000000" w:themeColor="text1"/>
          <w:sz w:val="16"/>
          <w:szCs w:val="16"/>
        </w:rPr>
        <w:softHyphen/>
        <w:t>ных в нем, решил переработать эскизный проект, причем в несколь</w:t>
      </w:r>
      <w:r w:rsidRPr="00722885">
        <w:rPr>
          <w:rFonts w:ascii="Times New Roman" w:hAnsi="Times New Roman"/>
          <w:color w:val="000000" w:themeColor="text1"/>
          <w:sz w:val="16"/>
          <w:szCs w:val="16"/>
        </w:rPr>
        <w:softHyphen/>
        <w:t>ких вариантах (11758).</w:t>
      </w:r>
    </w:p>
    <w:p w14:paraId="499953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A2EDF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октября 1942, согласно приказу от 10 октября, выпуск Ту-2 свернули. Всего тогда в Омске изготовили семь серий, из них две последние (6-ю и 7-ю) - по 20 машин. Итого получается 80 бомбардировщиков. В отчете завода № 166 указано, что сборка Ту-2 из задела деталей продолжалась до конца года, а последние 12 машин 7-й серии собрали уже в январе 1943 г. Часть самолетов 7-й серии потом использовали для различных экспериментов. Согласно приказу от 10 октября вся оснастка и специальный инструмент консервировались для возможного использования в будущем. То же самое относилось к заделу деталей и узлов и всей документации. На Туполева была возложена ответственность за дальнейшее совершенствование конструкции Ту-2 и необходимые доработки уже выпущенных бомбардировщиков (11988).</w:t>
      </w:r>
    </w:p>
    <w:p w14:paraId="133FB59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E26482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ок</w:t>
      </w:r>
      <w:r w:rsidRPr="00722885">
        <w:rPr>
          <w:rFonts w:ascii="Times New Roman" w:hAnsi="Times New Roman"/>
          <w:color w:val="000000" w:themeColor="text1"/>
          <w:sz w:val="16"/>
          <w:szCs w:val="16"/>
        </w:rPr>
        <w:softHyphen/>
        <w:t>тября 1942 г. из-за выявив</w:t>
      </w:r>
      <w:r w:rsidRPr="00722885">
        <w:rPr>
          <w:rFonts w:ascii="Times New Roman" w:hAnsi="Times New Roman"/>
          <w:color w:val="000000" w:themeColor="text1"/>
          <w:sz w:val="16"/>
          <w:szCs w:val="16"/>
        </w:rPr>
        <w:softHyphen/>
        <w:t>шихся дефектов винтомоторной группы полеты в 34-м иап были прекращены, и самолеты вернулись в ОКБ—155 для доработки. О сбитых самолетах врага информации нет (9984).</w:t>
      </w:r>
    </w:p>
    <w:p w14:paraId="6DAA17D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1627F7C" w14:textId="77777777" w:rsidR="00714063" w:rsidRPr="00722885" w:rsidRDefault="0071406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октября 1942 в ЦАГИ завершилось теоретическое и экспериментальное иссле дование полета торпеды после сбрасывания с самолета, которое проводилось по заданию заместителя наркома ВМФ адмирала Л. М. Галлера (19727).</w:t>
      </w:r>
    </w:p>
    <w:p w14:paraId="2AC177D0" w14:textId="77777777" w:rsidR="00714063" w:rsidRPr="00722885" w:rsidRDefault="00714063" w:rsidP="00722885">
      <w:pPr>
        <w:spacing w:after="0" w:line="240" w:lineRule="auto"/>
        <w:jc w:val="both"/>
        <w:rPr>
          <w:rFonts w:ascii="Times New Roman" w:hAnsi="Times New Roman"/>
          <w:color w:val="000000" w:themeColor="text1"/>
          <w:sz w:val="16"/>
          <w:szCs w:val="16"/>
        </w:rPr>
      </w:pPr>
    </w:p>
    <w:p w14:paraId="5B1E302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029BD28" w14:textId="77777777" w:rsidR="00090C9B" w:rsidRPr="00722885" w:rsidRDefault="00090C9B" w:rsidP="00722885">
      <w:pPr>
        <w:pStyle w:val="Iauiue"/>
        <w:jc w:val="both"/>
        <w:rPr>
          <w:iCs/>
          <w:color w:val="000000" w:themeColor="text1"/>
          <w:sz w:val="16"/>
          <w:szCs w:val="16"/>
        </w:rPr>
      </w:pPr>
    </w:p>
    <w:p w14:paraId="4C4A6678" w14:textId="77777777" w:rsidR="007D207F" w:rsidRPr="00722885" w:rsidRDefault="007D207F"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самом конце октября 1942 года начались работы по перепроектированию башни Т-80. Поскольку идея с единым люком оказалась неудачной, было решено сделать раздельные люки для командира/наводчика и для заряжающего. При этом заряжающий получил не просто люк, а командирскую башенку, оснащённую перископическим смотровым прибором. Верхняя часть башенки вращалась вокруг своей оси, что давало заряжающему возможность кругового обзора. У командира аналогичный перископический прибор был установлен вместо ПТК. Развитая кормовая ниша осталась на месте, но её внутреннее содержимое несколько менялось. Параллельно с переделкой люков была несколько переделана и конструкция башни. Также с учётом недостатков, выявленных при испытаниях первой башни, изменилась конструкция сидений и полика.</w:t>
      </w:r>
    </w:p>
    <w:p w14:paraId="5D49F99C" w14:textId="77777777" w:rsidR="007D207F" w:rsidRPr="00722885" w:rsidRDefault="007D207F" w:rsidP="00722885">
      <w:pPr>
        <w:pStyle w:val="ae"/>
        <w:shd w:val="clear" w:color="auto" w:fill="FFFFFF"/>
        <w:spacing w:before="0" w:after="0"/>
        <w:jc w:val="both"/>
        <w:rPr>
          <w:color w:val="000000" w:themeColor="text1"/>
          <w:sz w:val="16"/>
          <w:szCs w:val="16"/>
        </w:rPr>
      </w:pPr>
      <w:r w:rsidRPr="00722885">
        <w:rPr>
          <w:color w:val="000000" w:themeColor="text1"/>
          <w:sz w:val="16"/>
          <w:szCs w:val="16"/>
        </w:rPr>
        <w:t>Изменилась и носовая часть башни вместе с орудийной установкой. Из-за того, что потребовалось резко увеличить угол возвышения башенного орудия, орудийную установку пришлось переделывать. В новой башне угол возвышения увеличился до 60 градусов. Прежние прицелы мало подходили для ведения зенитного огня, поэтому к телескопическому прицелу добавился коллиматорный К-8Т. Для его использования в крыше башни появился отдельный лючок, открывавшийся во время ведения огня по воздушным целям. ГАЗ-80, как этот танк именовался на ГАЗ им. Молотова, конечно, полноценной ЗСУ не являлся, но использоваться как средство борьбы с самолётами вполне мог. Штатный телескопический прицел подвергся переделке: была разработана его укороченная версия, которая получила обозначение ТП-80.</w:t>
      </w:r>
    </w:p>
    <w:p w14:paraId="79F9C4B6" w14:textId="77777777" w:rsidR="007D207F" w:rsidRPr="00722885" w:rsidRDefault="007D207F"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качестве базы при постройке переработанного ГАЗ-80 был использован один из серийных Т-70Б выпуска октября 1942 года, который до того подвергался различным испытаниям. Шасси получило изменённую крышу боевого отделения. Боевая масса танка достигла 11,2 тонн, так что форсирование двигателя ГАЗ-203 стало насущной необходимостью. Степень сжатия увеличилась с 5,6:1 до 6,5:1, благодаря чему мощность каждого из моторов в спарке выросла с 70 до 85 л.с. Суммарно мощность силовой установки, обозначавшейся как «80» или М-80, составила 170 л.с. (17712).</w:t>
      </w:r>
    </w:p>
    <w:p w14:paraId="7DFC81A9" w14:textId="77777777" w:rsidR="007D207F" w:rsidRPr="00722885" w:rsidRDefault="007D207F" w:rsidP="00722885">
      <w:pPr>
        <w:spacing w:after="0" w:line="240" w:lineRule="auto"/>
        <w:jc w:val="both"/>
        <w:rPr>
          <w:rFonts w:ascii="Times New Roman" w:hAnsi="Times New Roman"/>
          <w:color w:val="000000" w:themeColor="text1"/>
          <w:sz w:val="16"/>
          <w:szCs w:val="16"/>
        </w:rPr>
      </w:pPr>
    </w:p>
    <w:p w14:paraId="5B0720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октября 1942 года "ширококолейный" БА-64Б успешно прошел испытательный пробег, подтвердив целесообразность нововведения - допустимый крен составлял уже 25° (3862).</w:t>
      </w:r>
    </w:p>
    <w:p w14:paraId="3B848A7D" w14:textId="77777777" w:rsidR="00090C9B" w:rsidRPr="00722885" w:rsidRDefault="00090C9B" w:rsidP="00722885">
      <w:pPr>
        <w:pStyle w:val="Iauiue"/>
        <w:jc w:val="both"/>
        <w:rPr>
          <w:color w:val="000000" w:themeColor="text1"/>
          <w:sz w:val="16"/>
          <w:szCs w:val="16"/>
        </w:rPr>
      </w:pPr>
    </w:p>
    <w:p w14:paraId="66C1ACD5" w14:textId="77777777" w:rsidR="004F59B2" w:rsidRPr="00722885" w:rsidRDefault="004F59B2"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октября 1942 года опытный образец броневика, получившего заводской индекс ГАЗ-64-125Б, вышел на испытания. Несмотря на несколько возросшую массу – 2,425 т против 2,36 т у БА-64, – динамические качества новой машины не изменились, а благодаря более широкой колее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1446 мм</w:t>
        </w:r>
      </w:smartTag>
      <w:r w:rsidRPr="00722885">
        <w:rPr>
          <w:rFonts w:ascii="Times New Roman" w:hAnsi="Times New Roman"/>
          <w:color w:val="000000" w:themeColor="text1"/>
          <w:sz w:val="16"/>
          <w:szCs w:val="16"/>
        </w:rPr>
        <w:t xml:space="preserve">, у БА-64 – 1290 передние, 1245 задние) значительно возросла боковая устойчивость. Кроме того, были внесены изменения в конструкцию подвески: на передней оси установили 4 гидроамортизатора, в результате чего значительно улучшилась ее работа по сравнению с БА-64, а также упразднили торсионный стабилизатор боковой устойчивости. Кроме того, на новой машине несколько повысили мощность двигателя (до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54 л</w:t>
        </w:r>
      </w:smartTag>
      <w:r w:rsidRPr="00722885">
        <w:rPr>
          <w:rFonts w:ascii="Times New Roman" w:hAnsi="Times New Roman"/>
          <w:color w:val="000000" w:themeColor="text1"/>
          <w:sz w:val="16"/>
          <w:szCs w:val="16"/>
        </w:rPr>
        <w:t>.с.), улучшили охлаждение двигателя, а в передней части бортов прорезали два круглых лючка для улучшения обзорности водителя. Все новые элементы прошли испытания на нескольких опытных образцах осенью 1942 – зимой 1943 годов, а в конце февраля началась сборка первого серийного образца модернизированного бронеавтомобиля, получившего обозначение БА-64Б (15218).</w:t>
      </w:r>
    </w:p>
    <w:p w14:paraId="2F1055E6" w14:textId="77777777" w:rsidR="004F59B2" w:rsidRPr="00722885" w:rsidRDefault="004F59B2" w:rsidP="00722885">
      <w:pPr>
        <w:widowControl w:val="0"/>
        <w:spacing w:after="0" w:line="240" w:lineRule="auto"/>
        <w:jc w:val="both"/>
        <w:rPr>
          <w:rFonts w:ascii="Times New Roman" w:hAnsi="Times New Roman"/>
          <w:color w:val="000000" w:themeColor="text1"/>
          <w:sz w:val="16"/>
          <w:szCs w:val="16"/>
        </w:rPr>
      </w:pPr>
    </w:p>
    <w:p w14:paraId="20BC2F5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E7043AA" w14:textId="77777777" w:rsidR="00090C9B" w:rsidRPr="00722885" w:rsidRDefault="00090C9B" w:rsidP="00722885">
      <w:pPr>
        <w:pStyle w:val="Iauiue"/>
        <w:jc w:val="both"/>
        <w:rPr>
          <w:iCs/>
          <w:color w:val="000000" w:themeColor="text1"/>
          <w:sz w:val="16"/>
          <w:szCs w:val="16"/>
        </w:rPr>
      </w:pPr>
    </w:p>
    <w:p w14:paraId="63E0B9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октября 1942 г. противник пред</w:t>
      </w:r>
      <w:r w:rsidRPr="00722885">
        <w:rPr>
          <w:rFonts w:ascii="Times New Roman" w:hAnsi="Times New Roman"/>
          <w:color w:val="000000" w:themeColor="text1"/>
          <w:sz w:val="16"/>
          <w:szCs w:val="16"/>
        </w:rPr>
        <w:softHyphen/>
        <w:t>принял попытку захвата находившегося на Ладоге острова Сухо. 22 октября в разгроме вражеского десанта участво</w:t>
      </w:r>
      <w:r w:rsidRPr="00722885">
        <w:rPr>
          <w:rFonts w:ascii="Times New Roman" w:hAnsi="Times New Roman"/>
          <w:color w:val="000000" w:themeColor="text1"/>
          <w:sz w:val="16"/>
          <w:szCs w:val="16"/>
        </w:rPr>
        <w:softHyphen/>
        <w:t>вали И-15бис 71-го иап. В этот день со</w:t>
      </w:r>
      <w:r w:rsidRPr="00722885">
        <w:rPr>
          <w:rFonts w:ascii="Times New Roman" w:hAnsi="Times New Roman"/>
          <w:color w:val="000000" w:themeColor="text1"/>
          <w:sz w:val="16"/>
          <w:szCs w:val="16"/>
        </w:rPr>
        <w:softHyphen/>
        <w:t>стоялся воздушный бой пятёрки И-15бис с шестью истребителями ВТ 109. Совет</w:t>
      </w:r>
      <w:r w:rsidRPr="00722885">
        <w:rPr>
          <w:rFonts w:ascii="Times New Roman" w:hAnsi="Times New Roman"/>
          <w:color w:val="000000" w:themeColor="text1"/>
          <w:sz w:val="16"/>
          <w:szCs w:val="16"/>
        </w:rPr>
        <w:softHyphen/>
        <w:t>ским лётчикам удалось уничтожить один «мессершмитт» ценой потери двух своих самолётов (12294).</w:t>
      </w:r>
    </w:p>
    <w:p w14:paraId="3F3F474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99D98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октября - начале ноября 1941 в ходе контрударов Донского и Сталинградского фронтов 16ВА нанесла сильные удары по 5 аэродромам противника и вывела из строя по неполным данным 60 самолетов (518,233).</w:t>
      </w:r>
    </w:p>
    <w:p w14:paraId="2DDE1159" w14:textId="77777777" w:rsidR="00090C9B" w:rsidRPr="00722885" w:rsidRDefault="00090C9B" w:rsidP="00722885">
      <w:pPr>
        <w:pStyle w:val="Iauiue"/>
        <w:jc w:val="both"/>
        <w:rPr>
          <w:color w:val="000000" w:themeColor="text1"/>
          <w:sz w:val="16"/>
          <w:szCs w:val="16"/>
        </w:rPr>
      </w:pPr>
    </w:p>
    <w:p w14:paraId="3B4C3DD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6EDA8B6" w14:textId="77777777" w:rsidR="00090C9B" w:rsidRPr="00722885" w:rsidRDefault="00090C9B" w:rsidP="00722885">
      <w:pPr>
        <w:pStyle w:val="Iauiue"/>
        <w:jc w:val="both"/>
        <w:rPr>
          <w:iCs/>
          <w:color w:val="000000" w:themeColor="text1"/>
          <w:sz w:val="16"/>
          <w:szCs w:val="16"/>
        </w:rPr>
      </w:pPr>
    </w:p>
    <w:p w14:paraId="166E4A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октября 1942 англичанами была предпринята попытка атаки Тирпица в Тронхейм-фиорде в Норвегии двумя торпедами Чариот, управляемыми подводными пловцами. Торпеды доставило норвежское судно Артур, которое должно было проникнуть в фиорд по поддельным документам. В 5 илях от цели шторм сорвал торпеды (3961, 62).</w:t>
      </w:r>
    </w:p>
    <w:p w14:paraId="201E78C8" w14:textId="77777777" w:rsidR="00090C9B" w:rsidRPr="00722885" w:rsidRDefault="00090C9B" w:rsidP="00722885">
      <w:pPr>
        <w:pStyle w:val="Iauiue"/>
        <w:jc w:val="both"/>
        <w:rPr>
          <w:color w:val="000000" w:themeColor="text1"/>
          <w:sz w:val="16"/>
          <w:szCs w:val="16"/>
        </w:rPr>
      </w:pPr>
    </w:p>
    <w:p w14:paraId="4C0C4B4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EAFB1BE" w14:textId="77777777" w:rsidR="00090C9B" w:rsidRPr="00722885" w:rsidRDefault="00090C9B" w:rsidP="00722885">
      <w:pPr>
        <w:pStyle w:val="Iauiue"/>
        <w:jc w:val="both"/>
        <w:rPr>
          <w:iCs/>
          <w:color w:val="000000" w:themeColor="text1"/>
          <w:sz w:val="16"/>
          <w:szCs w:val="16"/>
        </w:rPr>
      </w:pPr>
    </w:p>
    <w:p w14:paraId="0542713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второй половине октября 1942 г. по решению правительства разработанный проект самоходной установки У-31 был передан в КБ завода № 38, где он был использован при разработке легкой самоходной артиллерийской установки СУ-76 (10703).</w:t>
      </w:r>
    </w:p>
    <w:p w14:paraId="60FCE38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0B1888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второй половине октября 1942 г. по решению правительства разработанный проект зе</w:t>
      </w:r>
      <w:r w:rsidRPr="00722885">
        <w:rPr>
          <w:rFonts w:ascii="Times New Roman" w:hAnsi="Times New Roman"/>
          <w:color w:val="000000" w:themeColor="text1"/>
          <w:sz w:val="16"/>
          <w:szCs w:val="16"/>
        </w:rPr>
        <w:softHyphen/>
        <w:t>нитной самоходной установки У-32 был передан в КБ завода № 38 (10703).</w:t>
      </w:r>
    </w:p>
    <w:p w14:paraId="15CED49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ABE9E3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DC96DE4" w14:textId="77777777" w:rsidR="00090C9B" w:rsidRPr="00722885" w:rsidRDefault="00090C9B" w:rsidP="00722885">
      <w:pPr>
        <w:pStyle w:val="Iauiue"/>
        <w:jc w:val="both"/>
        <w:rPr>
          <w:iCs/>
          <w:color w:val="000000" w:themeColor="text1"/>
          <w:sz w:val="16"/>
          <w:szCs w:val="16"/>
        </w:rPr>
      </w:pPr>
    </w:p>
    <w:p w14:paraId="738994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в НИИ ВВС поступил на испытания вариант авиационного огнемета (АОГ), смонтированный на Ил-2. Конструкторы ГСКБ-47 доработали УХАП-250 (широко применявшийся в ВВВ для постановки дымовых завес), оснастив "зажигалкой". Конструкция предусматривала вытеснение газа газами пиротехнического заряда. В варианте огнемета заливали 100 л, смешанного с нафтенатом алюминия - вручную с использованием ведра и воронки. В ходе испытаний на земле дальность оказалась 150 м, но в воздухе на большой скорости работал плохо, так как большая часть сгорала в воздухе и даже при полете на 10 м до земли долетало не более трети массы. Не приняли (1056,45).</w:t>
      </w:r>
    </w:p>
    <w:p w14:paraId="0016AA72" w14:textId="77777777" w:rsidR="00090C9B" w:rsidRPr="00722885" w:rsidRDefault="00090C9B" w:rsidP="00722885">
      <w:pPr>
        <w:pStyle w:val="Iauiue"/>
        <w:jc w:val="both"/>
        <w:rPr>
          <w:color w:val="000000" w:themeColor="text1"/>
          <w:sz w:val="16"/>
          <w:szCs w:val="16"/>
        </w:rPr>
      </w:pPr>
    </w:p>
    <w:p w14:paraId="00958A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проходил контрольные гос. испытания в НИИ ВВС двухместный Ил-2 N 4833 с АМ-38 18 завода. Полетный вес 6152 кг, скорость у земли 370, на границе высотности - 411 км/час (1867,8).</w:t>
      </w:r>
    </w:p>
    <w:p w14:paraId="03ECDF48" w14:textId="77777777" w:rsidR="00090C9B" w:rsidRPr="00722885" w:rsidRDefault="00090C9B" w:rsidP="00722885">
      <w:pPr>
        <w:pStyle w:val="Iauiue"/>
        <w:jc w:val="both"/>
        <w:rPr>
          <w:color w:val="000000" w:themeColor="text1"/>
          <w:sz w:val="16"/>
          <w:szCs w:val="16"/>
        </w:rPr>
      </w:pPr>
    </w:p>
    <w:p w14:paraId="72B57DFD" w14:textId="77777777" w:rsidR="002025FE" w:rsidRPr="00722885" w:rsidRDefault="002025FE" w:rsidP="00722885">
      <w:pPr>
        <w:pStyle w:val="36"/>
        <w:shd w:val="clear" w:color="auto" w:fill="auto"/>
        <w:spacing w:after="0" w:line="240" w:lineRule="auto"/>
        <w:jc w:val="both"/>
        <w:rPr>
          <w:rFonts w:ascii="Times New Roman" w:cs="Times New Roman"/>
          <w:color w:val="0070C0"/>
          <w:spacing w:val="0"/>
          <w:sz w:val="16"/>
          <w:szCs w:val="16"/>
        </w:rPr>
      </w:pPr>
      <w:r w:rsidRPr="00722885">
        <w:rPr>
          <w:rFonts w:ascii="Times New Roman" w:cs="Times New Roman"/>
          <w:color w:val="0070C0"/>
          <w:spacing w:val="0"/>
          <w:sz w:val="16"/>
          <w:szCs w:val="16"/>
        </w:rPr>
        <w:t>С октября 1942 г. войска стали получать серийные двухместные Ил-2 с предельно простой кабиной стрел</w:t>
      </w:r>
      <w:r w:rsidRPr="00722885">
        <w:rPr>
          <w:rFonts w:ascii="Times New Roman" w:cs="Times New Roman"/>
          <w:color w:val="0070C0"/>
          <w:spacing w:val="0"/>
          <w:sz w:val="16"/>
          <w:szCs w:val="16"/>
        </w:rPr>
        <w:softHyphen/>
        <w:t>ка, разработанной ОКБ Ильюшина. С бор</w:t>
      </w:r>
      <w:r w:rsidRPr="00722885">
        <w:rPr>
          <w:rFonts w:ascii="Times New Roman" w:cs="Times New Roman"/>
          <w:color w:val="0070C0"/>
          <w:spacing w:val="0"/>
          <w:sz w:val="16"/>
          <w:szCs w:val="16"/>
        </w:rPr>
        <w:softHyphen/>
        <w:t>тов у нее броня отсутствовала, да и со сто</w:t>
      </w:r>
      <w:r w:rsidRPr="00722885">
        <w:rPr>
          <w:rFonts w:ascii="Times New Roman" w:cs="Times New Roman"/>
          <w:color w:val="0070C0"/>
          <w:spacing w:val="0"/>
          <w:sz w:val="16"/>
          <w:szCs w:val="16"/>
        </w:rPr>
        <w:softHyphen/>
        <w:t>роны хвоста была скорее символической, толщиной всего 6 мм. Однако выпускать такие самолеты стали без снижения тем</w:t>
      </w:r>
      <w:r w:rsidRPr="00722885">
        <w:rPr>
          <w:rFonts w:ascii="Times New Roman" w:cs="Times New Roman"/>
          <w:color w:val="0070C0"/>
          <w:spacing w:val="0"/>
          <w:sz w:val="16"/>
          <w:szCs w:val="16"/>
        </w:rPr>
        <w:softHyphen/>
        <w:t>пов производства, что являлось жестким условием Сталина. Двухместный штурмо</w:t>
      </w:r>
      <w:r w:rsidRPr="00722885">
        <w:rPr>
          <w:rFonts w:ascii="Times New Roman" w:cs="Times New Roman"/>
          <w:color w:val="0070C0"/>
          <w:spacing w:val="0"/>
          <w:sz w:val="16"/>
          <w:szCs w:val="16"/>
        </w:rPr>
        <w:softHyphen/>
        <w:t>вик потяжелел на 275 кг, и это негативно отразилось на его ЛТХ. Кроме того, раз</w:t>
      </w:r>
      <w:r w:rsidRPr="00722885">
        <w:rPr>
          <w:rFonts w:ascii="Times New Roman" w:cs="Times New Roman"/>
          <w:color w:val="0070C0"/>
          <w:spacing w:val="0"/>
          <w:sz w:val="16"/>
          <w:szCs w:val="16"/>
        </w:rPr>
        <w:softHyphen/>
        <w:t>мещенная за бронекорпусом вторая каби</w:t>
      </w:r>
      <w:r w:rsidRPr="00722885">
        <w:rPr>
          <w:rFonts w:ascii="Times New Roman" w:cs="Times New Roman"/>
          <w:color w:val="0070C0"/>
          <w:spacing w:val="0"/>
          <w:sz w:val="16"/>
          <w:szCs w:val="16"/>
        </w:rPr>
        <w:softHyphen/>
        <w:t>на с 12,7-мм пулеметом УБТ привела к еще большему смещению центровки назад (до 31,5% САХ), в результате чего продольная устойчивость стала и вовсе плачевной. Одновременно существенно ухудшились маневренность и управляе</w:t>
      </w:r>
      <w:r w:rsidRPr="00722885">
        <w:rPr>
          <w:rFonts w:ascii="Times New Roman" w:cs="Times New Roman"/>
          <w:color w:val="0070C0"/>
          <w:spacing w:val="0"/>
          <w:sz w:val="16"/>
          <w:szCs w:val="16"/>
        </w:rPr>
        <w:softHyphen/>
        <w:t>мость штурмовика (19854).</w:t>
      </w:r>
    </w:p>
    <w:p w14:paraId="37AF4062" w14:textId="77777777" w:rsidR="002025FE" w:rsidRPr="00722885" w:rsidRDefault="002025FE" w:rsidP="00722885">
      <w:pPr>
        <w:pStyle w:val="36"/>
        <w:shd w:val="clear" w:color="auto" w:fill="auto"/>
        <w:spacing w:after="0" w:line="240" w:lineRule="auto"/>
        <w:jc w:val="both"/>
        <w:rPr>
          <w:rFonts w:ascii="Times New Roman" w:cs="Times New Roman"/>
          <w:color w:val="0070C0"/>
          <w:spacing w:val="0"/>
          <w:sz w:val="16"/>
          <w:szCs w:val="16"/>
        </w:rPr>
      </w:pPr>
    </w:p>
    <w:p w14:paraId="313E80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на заводе № 1 им. Сталина были проведены испытания самолета Ил-2бис с просторной и хорошо забронированной кабиной стрелка с пулеметом Березина калибра 12,7 мм. Это был специально созданный двухместный штурмовик. Его испытания прошли успешно, но и он не был запущен в серийное производство (ГАСО. Ф. Р-3454. Оп. 2. Д. 1. Л. 130.). Эталонной машиной стал двухместный штурмовик, созданный на заводе № 18. От самолета завода № 1 его отличало то, что он являлся переделанным одноместным вариантом, а соответственно меньшей броневой защитой стрелка (11714).</w:t>
      </w:r>
    </w:p>
    <w:p w14:paraId="45C90B8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CCBA72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октября 1942 г. удалось развернутьСерийный выпуск Ил-2 с рабочим местом стрелка и оборонительным пу</w:t>
      </w:r>
      <w:r w:rsidRPr="00722885">
        <w:rPr>
          <w:rFonts w:ascii="Times New Roman" w:hAnsi="Times New Roman"/>
          <w:color w:val="000000" w:themeColor="text1"/>
          <w:sz w:val="16"/>
          <w:szCs w:val="16"/>
        </w:rPr>
        <w:softHyphen/>
        <w:t>леметом УБТ.</w:t>
      </w:r>
    </w:p>
    <w:p w14:paraId="3BD7427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Рост полетного веса привел к уве</w:t>
      </w:r>
      <w:r w:rsidRPr="00722885">
        <w:rPr>
          <w:rFonts w:ascii="Times New Roman" w:hAnsi="Times New Roman"/>
          <w:color w:val="000000" w:themeColor="text1"/>
          <w:sz w:val="16"/>
          <w:szCs w:val="16"/>
        </w:rPr>
        <w:softHyphen/>
        <w:t>личению нагрузки на крыло и к умень</w:t>
      </w:r>
      <w:r w:rsidRPr="00722885">
        <w:rPr>
          <w:rFonts w:ascii="Times New Roman" w:hAnsi="Times New Roman"/>
          <w:color w:val="000000" w:themeColor="text1"/>
          <w:sz w:val="16"/>
          <w:szCs w:val="16"/>
        </w:rPr>
        <w:softHyphen/>
        <w:t>шению энерговооруженности штурмо</w:t>
      </w:r>
      <w:r w:rsidRPr="00722885">
        <w:rPr>
          <w:rFonts w:ascii="Times New Roman" w:hAnsi="Times New Roman"/>
          <w:color w:val="000000" w:themeColor="text1"/>
          <w:sz w:val="16"/>
          <w:szCs w:val="16"/>
        </w:rPr>
        <w:softHyphen/>
        <w:t>вика. Одновременно на 3,5% САХ смес</w:t>
      </w:r>
      <w:r w:rsidRPr="00722885">
        <w:rPr>
          <w:rFonts w:ascii="Times New Roman" w:hAnsi="Times New Roman"/>
          <w:color w:val="000000" w:themeColor="text1"/>
          <w:sz w:val="16"/>
          <w:szCs w:val="16"/>
        </w:rPr>
        <w:softHyphen/>
        <w:t>тилась назад центровка самолета. Имен</w:t>
      </w:r>
      <w:r w:rsidRPr="00722885">
        <w:rPr>
          <w:rFonts w:ascii="Times New Roman" w:hAnsi="Times New Roman"/>
          <w:color w:val="000000" w:themeColor="text1"/>
          <w:sz w:val="16"/>
          <w:szCs w:val="16"/>
        </w:rPr>
        <w:softHyphen/>
        <w:t>но поэтому воздушный стрелок оказал</w:t>
      </w:r>
      <w:r w:rsidRPr="00722885">
        <w:rPr>
          <w:rFonts w:ascii="Times New Roman" w:hAnsi="Times New Roman"/>
          <w:color w:val="000000" w:themeColor="text1"/>
          <w:sz w:val="16"/>
          <w:szCs w:val="16"/>
        </w:rPr>
        <w:softHyphen/>
        <w:t>ся «голым» - лишь со стороны хвоста его прикрывал 6-мм бронещиток не</w:t>
      </w:r>
      <w:r w:rsidRPr="00722885">
        <w:rPr>
          <w:rFonts w:ascii="Times New Roman" w:hAnsi="Times New Roman"/>
          <w:color w:val="000000" w:themeColor="text1"/>
          <w:sz w:val="16"/>
          <w:szCs w:val="16"/>
        </w:rPr>
        <w:softHyphen/>
        <w:t>больших размеров, который пробивал</w:t>
      </w:r>
      <w:r w:rsidRPr="00722885">
        <w:rPr>
          <w:rFonts w:ascii="Times New Roman" w:hAnsi="Times New Roman"/>
          <w:color w:val="000000" w:themeColor="text1"/>
          <w:sz w:val="16"/>
          <w:szCs w:val="16"/>
        </w:rPr>
        <w:softHyphen/>
        <w:t>ся боеприпасами немецких авиапушек и крупнокалиберных пулеметов. Одна</w:t>
      </w:r>
      <w:r w:rsidRPr="00722885">
        <w:rPr>
          <w:rFonts w:ascii="Times New Roman" w:hAnsi="Times New Roman"/>
          <w:color w:val="000000" w:themeColor="text1"/>
          <w:sz w:val="16"/>
          <w:szCs w:val="16"/>
        </w:rPr>
        <w:softHyphen/>
        <w:t>ко усилить защиту стрелка без карди</w:t>
      </w:r>
      <w:r w:rsidRPr="00722885">
        <w:rPr>
          <w:rFonts w:ascii="Times New Roman" w:hAnsi="Times New Roman"/>
          <w:color w:val="000000" w:themeColor="text1"/>
          <w:sz w:val="16"/>
          <w:szCs w:val="16"/>
        </w:rPr>
        <w:softHyphen/>
        <w:t>нальной переделки бронекорпуса было нельзя, так как центровка самолета ста</w:t>
      </w:r>
      <w:r w:rsidRPr="00722885">
        <w:rPr>
          <w:rFonts w:ascii="Times New Roman" w:hAnsi="Times New Roman"/>
          <w:color w:val="000000" w:themeColor="text1"/>
          <w:sz w:val="16"/>
          <w:szCs w:val="16"/>
        </w:rPr>
        <w:softHyphen/>
        <w:t>новилась опасной для полетов.</w:t>
      </w:r>
    </w:p>
    <w:p w14:paraId="4C1D2F1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если была встреча с немецкими истребителями и велся воз</w:t>
      </w:r>
      <w:r w:rsidRPr="00722885">
        <w:rPr>
          <w:rFonts w:ascii="Times New Roman" w:hAnsi="Times New Roman"/>
          <w:color w:val="000000" w:themeColor="text1"/>
          <w:sz w:val="16"/>
          <w:szCs w:val="16"/>
        </w:rPr>
        <w:softHyphen/>
        <w:t>душный бой, то обязательно одного-двух стрелков из состава группы при</w:t>
      </w:r>
      <w:r w:rsidRPr="00722885">
        <w:rPr>
          <w:rFonts w:ascii="Times New Roman" w:hAnsi="Times New Roman"/>
          <w:color w:val="000000" w:themeColor="text1"/>
          <w:sz w:val="16"/>
          <w:szCs w:val="16"/>
        </w:rPr>
        <w:softHyphen/>
        <w:t>возили ранеными или убитыми. Любой осколочный снаряд, попавший в каби</w:t>
      </w:r>
      <w:r w:rsidRPr="00722885">
        <w:rPr>
          <w:rFonts w:ascii="Times New Roman" w:hAnsi="Times New Roman"/>
          <w:color w:val="000000" w:themeColor="text1"/>
          <w:sz w:val="16"/>
          <w:szCs w:val="16"/>
        </w:rPr>
        <w:softHyphen/>
        <w:t>ну воздушного стрелка, если не попа-</w:t>
      </w:r>
    </w:p>
    <w:p w14:paraId="16A43BC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 в стрелка,то разрывался на задней поперечной броне бронекорпуса и осколками поражал его.</w:t>
      </w:r>
    </w:p>
    <w:p w14:paraId="3595300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Установка форсированного мотора АМ-38ф позволила улучшить взлетные свойства штурмовика, но маневренные и пилотажные качества оставались не</w:t>
      </w:r>
      <w:r w:rsidRPr="00722885">
        <w:rPr>
          <w:rFonts w:ascii="Times New Roman" w:hAnsi="Times New Roman"/>
          <w:color w:val="000000" w:themeColor="text1"/>
          <w:sz w:val="16"/>
          <w:szCs w:val="16"/>
        </w:rPr>
        <w:softHyphen/>
        <w:t>удовлетворительными. Продольная ус</w:t>
      </w:r>
      <w:r w:rsidRPr="00722885">
        <w:rPr>
          <w:rFonts w:ascii="Times New Roman" w:hAnsi="Times New Roman"/>
          <w:color w:val="000000" w:themeColor="text1"/>
          <w:sz w:val="16"/>
          <w:szCs w:val="16"/>
        </w:rPr>
        <w:softHyphen/>
        <w:t>тойчивость двухместного Ил-2 оказа</w:t>
      </w:r>
      <w:r w:rsidRPr="00722885">
        <w:rPr>
          <w:rFonts w:ascii="Times New Roman" w:hAnsi="Times New Roman"/>
          <w:color w:val="000000" w:themeColor="text1"/>
          <w:sz w:val="16"/>
          <w:szCs w:val="16"/>
        </w:rPr>
        <w:softHyphen/>
        <w:t>лась даже хуже, чем у БШ-2. Пилотиро</w:t>
      </w:r>
      <w:r w:rsidRPr="00722885">
        <w:rPr>
          <w:rFonts w:ascii="Times New Roman" w:hAnsi="Times New Roman"/>
          <w:color w:val="000000" w:themeColor="text1"/>
          <w:sz w:val="16"/>
          <w:szCs w:val="16"/>
        </w:rPr>
        <w:softHyphen/>
        <w:t>вание самолета требовало от летчиков повышенного внимания (11215).</w:t>
      </w:r>
    </w:p>
    <w:p w14:paraId="375F8ED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7F7F7A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приказом НКАП С.В. Ильюшин обязывался к 5 ноября подготовить чертежи установки на Ил-2 двух пушек 11П, а директор авиазавода № 30 — построить войсковую се</w:t>
      </w:r>
      <w:r w:rsidRPr="00722885">
        <w:rPr>
          <w:rFonts w:ascii="Times New Roman" w:hAnsi="Times New Roman"/>
          <w:color w:val="000000" w:themeColor="text1"/>
          <w:sz w:val="16"/>
          <w:szCs w:val="16"/>
        </w:rPr>
        <w:softHyphen/>
        <w:t>рию в количестве 10 таких самолетов со сроком сдачи 1 января 1943 г. Предполагалось испытать самолеты в бою, после чего сделать вывод о целесообразности установки на Ил-2 пушек ОКБ-16 (11474,332).</w:t>
      </w:r>
    </w:p>
    <w:p w14:paraId="2EE536F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A7B2F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 с целью повышения противотанковых свойств Ил-2 по ини</w:t>
      </w:r>
      <w:r w:rsidRPr="00722885">
        <w:rPr>
          <w:color w:val="000000" w:themeColor="text1"/>
          <w:sz w:val="16"/>
          <w:szCs w:val="16"/>
        </w:rPr>
        <w:softHyphen/>
        <w:t>циативе С.В.Ильюшина рассматривался вопрос о создании на базе пушки ВЯ-23 авиационного пу</w:t>
      </w:r>
      <w:r w:rsidRPr="00722885">
        <w:rPr>
          <w:color w:val="000000" w:themeColor="text1"/>
          <w:sz w:val="16"/>
          <w:szCs w:val="16"/>
        </w:rPr>
        <w:softHyphen/>
        <w:t>лемета под патрон 14,5-мм противотан</w:t>
      </w:r>
      <w:r w:rsidRPr="00722885">
        <w:rPr>
          <w:color w:val="000000" w:themeColor="text1"/>
          <w:sz w:val="16"/>
          <w:szCs w:val="16"/>
        </w:rPr>
        <w:softHyphen/>
        <w:t>кового ружья, который обладал прекрас</w:t>
      </w:r>
      <w:r w:rsidRPr="00722885">
        <w:rPr>
          <w:color w:val="000000" w:themeColor="text1"/>
          <w:sz w:val="16"/>
          <w:szCs w:val="16"/>
        </w:rPr>
        <w:softHyphen/>
        <w:t>ными бронепробивными свойствами. Однако никаких сведений о результатах этих работ пока найти не удалось (6467).</w:t>
      </w:r>
    </w:p>
    <w:p w14:paraId="52DBEB12" w14:textId="77777777" w:rsidR="00090C9B" w:rsidRPr="00722885" w:rsidRDefault="00090C9B" w:rsidP="00722885">
      <w:pPr>
        <w:pStyle w:val="Iauiue"/>
        <w:jc w:val="both"/>
        <w:rPr>
          <w:color w:val="000000" w:themeColor="text1"/>
          <w:sz w:val="16"/>
          <w:szCs w:val="16"/>
        </w:rPr>
      </w:pPr>
    </w:p>
    <w:p w14:paraId="59D5E9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согласно Отчету по основным работам, выполненным предприятиями 8 ГУ отмечалось:</w:t>
      </w:r>
    </w:p>
    <w:p w14:paraId="7E7A3C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ОКБ завода 24 ГК А.А.М.</w:t>
      </w:r>
    </w:p>
    <w:p w14:paraId="326FB3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АМ-38Ф</w:t>
      </w:r>
    </w:p>
    <w:p w14:paraId="023B58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Из трех моторов АМ-38Ф, поставленных на заводские испытания, 2 прошли удовлетворительно 100 час., а 3-й сошел после 73</w:t>
      </w:r>
    </w:p>
    <w:p w14:paraId="39BF8C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После этого два АМ-38Ф были предъявлены на гос. испытания. На 1 ноября один прошел 50, второй - 80 час.</w:t>
      </w:r>
    </w:p>
    <w:p w14:paraId="047949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Кроме того, один АМ-38Ф был испытан на режимах моторов АМ-42, т.е. на взлетной мощности 2000 нр и на номинальной - 1750 нр.</w:t>
      </w:r>
    </w:p>
    <w:p w14:paraId="3C0838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Мотор прошел 25 час. по программе 67 МТУ и был снят для разборки и осмотра.</w:t>
      </w:r>
    </w:p>
    <w:p w14:paraId="227938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Эти последние испытания позволяют с уверенностью рассчитывать на получение указанных данных на АМ-42...</w:t>
      </w:r>
    </w:p>
    <w:p w14:paraId="1F7BEF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161 ГК Воронков</w:t>
      </w:r>
    </w:p>
    <w:p w14:paraId="70ABCF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Новые свечи ВГ-4 проработали на моторе АМ-38 в летных условиях 96 час..." (2504,18).</w:t>
      </w:r>
    </w:p>
    <w:p w14:paraId="0A54E7B5" w14:textId="77777777" w:rsidR="00090C9B" w:rsidRPr="00722885" w:rsidRDefault="00090C9B" w:rsidP="00722885">
      <w:pPr>
        <w:pStyle w:val="Iauiue"/>
        <w:jc w:val="both"/>
        <w:rPr>
          <w:color w:val="000000" w:themeColor="text1"/>
          <w:sz w:val="16"/>
          <w:szCs w:val="16"/>
        </w:rPr>
      </w:pPr>
    </w:p>
    <w:p w14:paraId="7649C32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октября 1942 г. серийно выпускался на заводе № 24 АМ-38Ф, форсированный по оборотам на взлетном режиме. Сте</w:t>
      </w:r>
      <w:r w:rsidRPr="00722885">
        <w:rPr>
          <w:rFonts w:ascii="Times New Roman" w:hAnsi="Times New Roman"/>
          <w:color w:val="000000" w:themeColor="text1"/>
          <w:sz w:val="16"/>
          <w:szCs w:val="16"/>
        </w:rPr>
        <w:softHyphen/>
        <w:t>пень сжатия 6,0, мощность 1500/1700 л.с., вес 880 кг. Установлена масляная центрифуга, усилены распредвалы и впускные клапаны, головки блоков изготовлены из другого сплава. Уменьшен диаметр крыльчатки ПЦН. Степень сжатия понижена для того, чтобы мож</w:t>
      </w:r>
      <w:r w:rsidRPr="00722885">
        <w:rPr>
          <w:rFonts w:ascii="Times New Roman" w:hAnsi="Times New Roman"/>
          <w:color w:val="000000" w:themeColor="text1"/>
          <w:sz w:val="16"/>
          <w:szCs w:val="16"/>
        </w:rPr>
        <w:softHyphen/>
        <w:t>но было использовать низкокачественный бензин. На заводе № 45 - с 1943 г. Официальные госиспытания АМ-38Ф прошел только в мае 1943 г. В июне 1944 г. проводили эксперименты по впрыску воды на форсированных режимах. - ГАМ-38Ф, проект катерного варианта АМ-38Ф, выполненный весной 1944 г. Имел измененные картер, коленвал, ПЦН. Введены реверс-муфта и дополнительный водяной насос. Опытный образец не из</w:t>
      </w:r>
      <w:r w:rsidRPr="00722885">
        <w:rPr>
          <w:rFonts w:ascii="Times New Roman" w:hAnsi="Times New Roman"/>
          <w:color w:val="000000" w:themeColor="text1"/>
          <w:sz w:val="16"/>
          <w:szCs w:val="16"/>
        </w:rPr>
        <w:softHyphen/>
        <w:t>готавливался. Двигатели АМ-38 и АМ-38Ф устанавливались на серийных штурмови</w:t>
      </w:r>
      <w:r w:rsidRPr="00722885">
        <w:rPr>
          <w:rFonts w:ascii="Times New Roman" w:hAnsi="Times New Roman"/>
          <w:color w:val="000000" w:themeColor="text1"/>
          <w:sz w:val="16"/>
          <w:szCs w:val="16"/>
        </w:rPr>
        <w:softHyphen/>
        <w:t>ках Ил-2, а также на опытном самолете ТИС-МА. Истребители МиГ-3 в мастерских и строевых полках переделывали под АМ-38. Использование АМ-38 предусматривалось также в проекте самолета ОДБ(П). Моторы АМ-38Ф экспортировались в Польшу, Чехословакию и Югос</w:t>
      </w:r>
      <w:r w:rsidRPr="00722885">
        <w:rPr>
          <w:rFonts w:ascii="Times New Roman" w:hAnsi="Times New Roman"/>
          <w:color w:val="000000" w:themeColor="text1"/>
          <w:sz w:val="16"/>
          <w:szCs w:val="16"/>
        </w:rPr>
        <w:softHyphen/>
        <w:t>лавию (11852).</w:t>
      </w:r>
    </w:p>
    <w:p w14:paraId="06D1669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A58C4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г., еще на заводе № 24, Микулин развернул работу по созданию более совершенного мотора для штурмовиков АМ-42. На заводе № 300 осуществлялась его доводка до 100-часового ресурса. Значительная часть задач по доводке мотора АМ-42 в 1943 г. ложилась на ОКБ завода № 24, являвшегося вплоть до 15 апреля 1944 г. филиалом завода № 300 (9032).</w:t>
      </w:r>
    </w:p>
    <w:p w14:paraId="2A89B823" w14:textId="77777777" w:rsidR="00090C9B" w:rsidRPr="00722885" w:rsidRDefault="00090C9B" w:rsidP="00722885">
      <w:pPr>
        <w:pStyle w:val="Iauiue"/>
        <w:jc w:val="both"/>
        <w:rPr>
          <w:color w:val="000000" w:themeColor="text1"/>
          <w:sz w:val="16"/>
          <w:szCs w:val="16"/>
        </w:rPr>
      </w:pPr>
    </w:p>
    <w:p w14:paraId="0069E039" w14:textId="77777777" w:rsidR="002630D2" w:rsidRPr="00722885" w:rsidRDefault="002630D2"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октябре 1942 вышел приказ НКАП</w:t>
      </w:r>
    </w:p>
    <w:p w14:paraId="78CBA573" w14:textId="77777777" w:rsidR="002630D2" w:rsidRPr="00722885" w:rsidRDefault="002630D2" w:rsidP="00722885">
      <w:pPr>
        <w:pStyle w:val="ae"/>
        <w:shd w:val="clear" w:color="auto" w:fill="FFFFFF"/>
        <w:spacing w:before="0" w:after="0"/>
        <w:jc w:val="both"/>
        <w:rPr>
          <w:color w:val="000000" w:themeColor="text1"/>
          <w:sz w:val="16"/>
          <w:szCs w:val="16"/>
        </w:rPr>
      </w:pPr>
      <w:r w:rsidRPr="00722885">
        <w:rPr>
          <w:color w:val="000000" w:themeColor="text1"/>
          <w:sz w:val="16"/>
          <w:szCs w:val="16"/>
        </w:rPr>
        <w:t>Устанавливать с 10.11.42 маслорадитор в тонель впереди водорадиатора (19706).</w:t>
      </w:r>
    </w:p>
    <w:p w14:paraId="37971634" w14:textId="77777777" w:rsidR="002630D2" w:rsidRPr="00722885" w:rsidRDefault="002630D2" w:rsidP="00722885">
      <w:pPr>
        <w:pStyle w:val="ae"/>
        <w:shd w:val="clear" w:color="auto" w:fill="FFFFFF"/>
        <w:spacing w:before="0" w:after="0"/>
        <w:jc w:val="both"/>
        <w:rPr>
          <w:color w:val="000000" w:themeColor="text1"/>
          <w:sz w:val="16"/>
          <w:szCs w:val="16"/>
        </w:rPr>
      </w:pPr>
    </w:p>
    <w:p w14:paraId="3A3BA0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октября 1942 г., еще на заводе № 24, Микулин развернул работу по созданию более со</w:t>
      </w:r>
      <w:r w:rsidRPr="00722885">
        <w:rPr>
          <w:rFonts w:ascii="Times New Roman" w:hAnsi="Times New Roman"/>
          <w:color w:val="000000" w:themeColor="text1"/>
          <w:sz w:val="16"/>
          <w:szCs w:val="16"/>
        </w:rPr>
        <w:softHyphen/>
        <w:t>вершенного мотора для штурмовиков АМ-42. На заводе № 300 осу</w:t>
      </w:r>
      <w:r w:rsidRPr="00722885">
        <w:rPr>
          <w:rFonts w:ascii="Times New Roman" w:hAnsi="Times New Roman"/>
          <w:color w:val="000000" w:themeColor="text1"/>
          <w:sz w:val="16"/>
          <w:szCs w:val="16"/>
        </w:rPr>
        <w:softHyphen/>
        <w:t>ществлялась его доводка на станке сначала до 50-часового, а затем и до 100-часового ресурса. Значительная часть задач по мотору АМ-42 в 1943 г. ложилась на ОКБ завода №24, являвшегося вплоть до 15 апреля 1944 г. филиалом завода № 300 (10781).</w:t>
      </w:r>
    </w:p>
    <w:p w14:paraId="1C8E353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69CCB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октябре 1942 г. была проведена модернизация бомбардировочного вооружения Ил-2. Из состава вооружения самолета были изъяты КМБ-2 и балки для подвески 250-кг бомб и спецприборов (ВАП-250, УХАП-250). Это упростило производство штурмовика на заводах и одновременно облегчило его эксплуатацию в строевых частях. Калибры загружаемых бомб и спецприборов, управление сбрасыванием (пиротехническое и механическое) остались прежними. Изменился лишь способ загрузки бомб.</w:t>
      </w:r>
    </w:p>
    <w:p w14:paraId="1841BB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Мелкие бомбы калибра 1-25 кг теперь загружались непосредственно в бомбоотсеки самолета на створки бомболюков, через окна, сделанные в верхней обшивке крыла. Для подвески 50 кг и 100 кг бомб внутри бомболюка оставлены замки Дер-21, но ухваты, служившие для предотвращения качания бомб, ликвидированы - их роль выполняли наклонные боковые стенки бомболюка.</w:t>
      </w:r>
    </w:p>
    <w:p w14:paraId="2CC5D8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Подвеска бомб калибров 50, 100, 250 кг и спецприборов снаружи осуществлялась на замки МДЗ-40, вмонтированные в нижние балки нервюр центроплана. При этом для бомб 50 кг и 100 кг были оставлены складывающиеся ухваты, а для бомб 250 кг и спецприборов сделаны легкосъемные ухваты.</w:t>
      </w:r>
    </w:p>
    <w:p w14:paraId="3CFD9E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эксплуатации универсальных бомбоотсеков имели место случаи, особенно «при полетах с полевых неблагоустроенных аэродромов», самопроизвольного раскрытия створок бомболюков и последующим выпадением и взрывом бомб под фюзеляжем. В ряде случаев это приводило к тяжелым последствиям.</w:t>
      </w:r>
    </w:p>
    <w:p w14:paraId="68BFD8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дефект был связан с неправильной регулировкой длины штока тяги замка, при которой крюк не полностью входит в свое гнездо и между концами трубы и крюком образуется зазор. После усиления тяги замка запирания створок бомболюков, дефект больше не проявлялся.</w:t>
      </w:r>
    </w:p>
    <w:p w14:paraId="22D551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«Негладкая внутренняя поверхность стенок и створок бомболюков благодаря выступанию заклепок, листов жесткости и др. деталей люка» иногда приводила к зависанию бомб после сброса. При посадке зависшая бомба срывалась и от соударения с землей взрывалась под фюзеляжем.</w:t>
      </w:r>
    </w:p>
    <w:p w14:paraId="6CB3C1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«система самозакрывания створок люков силою пружин не обеспечивает надежную и безопасную работу». После сброса бомб люки оставались открытыми, что ухудшало аэродинамику и затрудняло пилотирование самолетом.</w:t>
      </w:r>
    </w:p>
    <w:p w14:paraId="471A74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Прочность замков МДЗ-40 оказалась недостаточной при подвеске бомб калибра более 100 кг. Уже после 7-8 подвесок ФАБ-250 отмечались случаи поломок переднего упора замка.</w:t>
      </w:r>
    </w:p>
    <w:p w14:paraId="5CFACE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подвеске бомб ФАБ-50 на замки МДЗ-40 установка ухватов производилось путем ввинчивания их в гнезда, что занимало много времени при подготовке самолета к боевому вылету.</w:t>
      </w:r>
    </w:p>
    <w:p w14:paraId="1CD164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50-70 вылетов с бомбами или после 5-10 посадок с бомбами происходила «осадка болтов защелок замков Дер-21». В результате нарушалась «соосность между спусковым штоком замка и предохранительно-спусковым штырем». Как следствие, открыть замок было невозможно. Техническому составу приходилось предпринимать неординарные меры.</w:t>
      </w:r>
    </w:p>
    <w:p w14:paraId="27FF3A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Конструкция сигнализации подвешенных бомб на замок Дер-21 не отвечала своему назначению. При загрузке бомбоотсека мелкими бомбами и при подвеске на Дер-21 нестандартных бомб калибра 50 кг сигнализация не работала. При загрузке стандартных ФАБ-50 вследствие раскачивания бомбы контактный стержень заклинивался и сигнализация также не работала.</w:t>
      </w:r>
    </w:p>
    <w:p w14:paraId="056784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недостаточной прочности кронштейна крепления сигнализации его часто ломали и гнули во время загрузки бомб в бомбоотсеки.</w:t>
      </w:r>
    </w:p>
    <w:p w14:paraId="6F5E65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указывалось в докладах инженеров полков, из-за ненадежной работы системы сигнализации, «летный состав ей не пользуется и в большинстве случаев ей не доверяет» (11921).</w:t>
      </w:r>
    </w:p>
    <w:p w14:paraId="136E352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5F8B9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1942-го в отношении предложений Томашевича последовал приказ НКАП, где, в частности, говорилось:</w:t>
      </w:r>
    </w:p>
    <w:p w14:paraId="31F182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проверки летных и боевых качеств предложенного работниками ЦКБ-29 нового самолета типа "Пегас" с двумя М-11Ф начальнику ЦКБ-29 и директору завода №288 Кутепову спроектировать и построить 5 самолетов со следующими сроками передачи на испытания в НИИ ВВС: 1-й - 1 декабря 1942 г., остальные -15 февраля 1943 г." (9653).</w:t>
      </w:r>
    </w:p>
    <w:p w14:paraId="19282CEA" w14:textId="77777777" w:rsidR="00090C9B" w:rsidRPr="00722885" w:rsidRDefault="00090C9B" w:rsidP="00722885">
      <w:pPr>
        <w:pStyle w:val="Iauiue"/>
        <w:jc w:val="both"/>
        <w:rPr>
          <w:color w:val="000000" w:themeColor="text1"/>
          <w:sz w:val="16"/>
          <w:szCs w:val="16"/>
        </w:rPr>
      </w:pPr>
    </w:p>
    <w:p w14:paraId="354FBA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 ВВС предложили ставить внизу крупнокалиберный пулемет с боезапасом в 300 патронов на серийных заводах, а в верхней фюзеляжной турели - 20-мм пушку ШВАК, но НКАП не пошел на это. И все же подобные установки кустарно монтировались на отдельных самолетах (7666).</w:t>
      </w:r>
    </w:p>
    <w:p w14:paraId="4EA99174" w14:textId="77777777" w:rsidR="00090C9B" w:rsidRPr="00722885" w:rsidRDefault="00090C9B" w:rsidP="00722885">
      <w:pPr>
        <w:pStyle w:val="Iauiue"/>
        <w:jc w:val="both"/>
        <w:rPr>
          <w:color w:val="000000" w:themeColor="text1"/>
          <w:sz w:val="16"/>
          <w:szCs w:val="16"/>
        </w:rPr>
      </w:pPr>
    </w:p>
    <w:p w14:paraId="5A3DE54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ВВС предложили ставить внизу крупнокалиберный пулемет с боезапа</w:t>
      </w:r>
      <w:r w:rsidRPr="00722885">
        <w:rPr>
          <w:rFonts w:ascii="Times New Roman" w:hAnsi="Times New Roman"/>
          <w:color w:val="000000" w:themeColor="text1"/>
          <w:sz w:val="16"/>
          <w:szCs w:val="16"/>
        </w:rPr>
        <w:softHyphen/>
        <w:t>сом в 300 патронов на серийных заво</w:t>
      </w:r>
      <w:r w:rsidRPr="00722885">
        <w:rPr>
          <w:rFonts w:ascii="Times New Roman" w:hAnsi="Times New Roman"/>
          <w:color w:val="000000" w:themeColor="text1"/>
          <w:sz w:val="16"/>
          <w:szCs w:val="16"/>
        </w:rPr>
        <w:softHyphen/>
        <w:t>дах, а наверху — 20-мм пушку ШВАК, но НКАП не пошел на это. Подобные установки кустарно монтировались на отдельных самолетах (10734,71).</w:t>
      </w:r>
    </w:p>
    <w:p w14:paraId="1392DD3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43C84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 директор завода № 23 обратился в наркомат с просьбой разрешить ставить на серийных машинах деревянные кабину штурмана, пол пилотской кабины и хвостовой кок. Очевидно, это были части той самой довоенной разработки. Действительно, часть Ил-4 получила в этот период деревянные узлы. Это сэкономило около 170 кг дюраля на самолет, но отрицательно сказалось на полетном весе и прочности планера (7666).</w:t>
      </w:r>
    </w:p>
    <w:p w14:paraId="20AC8692" w14:textId="77777777" w:rsidR="00090C9B" w:rsidRPr="00722885" w:rsidRDefault="00090C9B" w:rsidP="00722885">
      <w:pPr>
        <w:pStyle w:val="Iauiue"/>
        <w:jc w:val="both"/>
        <w:rPr>
          <w:color w:val="000000" w:themeColor="text1"/>
          <w:sz w:val="16"/>
          <w:szCs w:val="16"/>
        </w:rPr>
      </w:pPr>
    </w:p>
    <w:p w14:paraId="15B3478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дирек</w:t>
      </w:r>
      <w:r w:rsidRPr="00722885">
        <w:rPr>
          <w:rFonts w:ascii="Times New Roman" w:hAnsi="Times New Roman"/>
          <w:color w:val="000000" w:themeColor="text1"/>
          <w:sz w:val="16"/>
          <w:szCs w:val="16"/>
        </w:rPr>
        <w:softHyphen/>
        <w:t>тор завода № 23 обратился в наркомат с просьбой разрешить ставить на се</w:t>
      </w:r>
      <w:r w:rsidRPr="00722885">
        <w:rPr>
          <w:rFonts w:ascii="Times New Roman" w:hAnsi="Times New Roman"/>
          <w:color w:val="000000" w:themeColor="text1"/>
          <w:sz w:val="16"/>
          <w:szCs w:val="16"/>
        </w:rPr>
        <w:softHyphen/>
        <w:t>рийных машинах Ил-4 деревянные кабину штурмана, пол пилотской кабины и хво</w:t>
      </w:r>
      <w:r w:rsidRPr="00722885">
        <w:rPr>
          <w:rFonts w:ascii="Times New Roman" w:hAnsi="Times New Roman"/>
          <w:color w:val="000000" w:themeColor="text1"/>
          <w:sz w:val="16"/>
          <w:szCs w:val="16"/>
        </w:rPr>
        <w:softHyphen/>
        <w:t>стовой кок. Очевидно, это были части той самой довоенной разработки. Дей</w:t>
      </w:r>
      <w:r w:rsidRPr="00722885">
        <w:rPr>
          <w:rFonts w:ascii="Times New Roman" w:hAnsi="Times New Roman"/>
          <w:color w:val="000000" w:themeColor="text1"/>
          <w:sz w:val="16"/>
          <w:szCs w:val="16"/>
        </w:rPr>
        <w:softHyphen/>
        <w:t>ствительно, часть Ил-4 получила в этот период деревянные узлы. Это сэконо</w:t>
      </w:r>
      <w:r w:rsidRPr="00722885">
        <w:rPr>
          <w:rFonts w:ascii="Times New Roman" w:hAnsi="Times New Roman"/>
          <w:color w:val="000000" w:themeColor="text1"/>
          <w:sz w:val="16"/>
          <w:szCs w:val="16"/>
        </w:rPr>
        <w:softHyphen/>
        <w:t>мило около 170 кг дюраля на самолет, но отрицательно сказалось на полетном весе и прочности планера (10734,77).</w:t>
      </w:r>
    </w:p>
    <w:p w14:paraId="19CC2AF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898F1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директор завода № 23 обратился в наркомат с просьбой разрешить ставить на серийных машинах деревянные кабину штурмана, пол пилотской кабины и хвостовой кок. Очевидно, это были части той самой довоенной разработки ЦКБ-30ФД. Действительно, часть Ил-4 получила в этот период деревянные узлы. Это сэкономило около 170 кг дюраля на самолет, но отрицательно сказалось на полетном весе и прочности планера.</w:t>
      </w:r>
    </w:p>
    <w:p w14:paraId="2E69A5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Еще в 1939 г. от ОКБ-39 потребовали к I октября выставить на государственные испытания вариант ДБ-ЗФ с моторами М-88 и деревянным фюзеляжем (ДБ-ЗФД). К концу года завод № 39 должен был выпустить не менее пяти таких машин.</w:t>
      </w:r>
    </w:p>
    <w:p w14:paraId="260916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Переход на дерево позволил бы подключить к выпуску бомбардировщиков небольшие деревообрабатывающие заводы и тем самым увеличить выпуск машин, в которых остро нуждались бурно растущие ВВС РККА. Опытный образец построили, а за ним и малую серию из пяти самолетов, летом 1941 г. отправленную на войсковые испытания. В апреле 1942 г. эти работы прекратили, как второстепенные, но опять вспомнили о них осенью.</w:t>
      </w:r>
    </w:p>
    <w:p w14:paraId="45A4FB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Нехватка алюминия вынуждала обращать тщательное внимание на экономию металла. Деревянные узлы проектировались и для других самолетов, например, Пе-2 (12021).</w:t>
      </w:r>
    </w:p>
    <w:p w14:paraId="6562117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E45A0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C октября 1942 на ЧФ на Ил-4 торпедоносце в бомбоотсеке стали ставить дополнительные баки, а под крыльями вешали РС-82 (561,18).</w:t>
      </w:r>
    </w:p>
    <w:p w14:paraId="501B1DE5" w14:textId="77777777" w:rsidR="00090C9B" w:rsidRPr="00722885" w:rsidRDefault="00090C9B" w:rsidP="00722885">
      <w:pPr>
        <w:pStyle w:val="Iauiue"/>
        <w:jc w:val="both"/>
        <w:rPr>
          <w:color w:val="000000" w:themeColor="text1"/>
          <w:sz w:val="16"/>
          <w:szCs w:val="16"/>
        </w:rPr>
      </w:pPr>
    </w:p>
    <w:p w14:paraId="3B56B3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октября 1942 г. дополнительный бензобак стали ставить в 5-м мтап. Там же дополняли вооружение Ил-4 реактивными снарядами РС-82. Так что специфика совершенствования морских Ил-4 (иногда их именуют Ил-4Т) заключалась в основном в совершенствовании их вооружения - авиамин и торпед. На торпедах для низкого торпедометания появились стабилизаторы. Они были двух видов: перистые Сагайдука, применявшиеся на Черном море, и цилиндрические АН-42, спроектированные в НИМТИ и использовавшиеся на севере и на Балтике (12021). </w:t>
      </w:r>
    </w:p>
    <w:p w14:paraId="0822EA2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E7CD87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завод № 39 сдал всего четыре самолета ДБ-3 (правда, в плане стояли два) (10734,69).</w:t>
      </w:r>
    </w:p>
    <w:p w14:paraId="56893D5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A0268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на вооружение приняли плавающую мину АПМ-1 (561,28).</w:t>
      </w:r>
    </w:p>
    <w:p w14:paraId="797B5D88" w14:textId="77777777" w:rsidR="00090C9B" w:rsidRPr="00722885" w:rsidRDefault="00090C9B" w:rsidP="00722885">
      <w:pPr>
        <w:pStyle w:val="Iauiue"/>
        <w:jc w:val="both"/>
        <w:rPr>
          <w:color w:val="000000" w:themeColor="text1"/>
          <w:sz w:val="16"/>
          <w:szCs w:val="16"/>
        </w:rPr>
      </w:pPr>
    </w:p>
    <w:p w14:paraId="0CC01B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в ВВС флотов стали поступать плавающие мины АПМ-1 для сбрасывания с высот до 500 м, а вскоре разработали плавающую мину в габаритах ФАБ-1500 (1085,176).</w:t>
      </w:r>
    </w:p>
    <w:p w14:paraId="40DF4F0F" w14:textId="77777777" w:rsidR="00090C9B" w:rsidRPr="00722885" w:rsidRDefault="00090C9B" w:rsidP="00722885">
      <w:pPr>
        <w:pStyle w:val="Iauiue"/>
        <w:jc w:val="both"/>
        <w:rPr>
          <w:color w:val="000000" w:themeColor="text1"/>
          <w:sz w:val="16"/>
          <w:szCs w:val="16"/>
        </w:rPr>
      </w:pPr>
    </w:p>
    <w:p w14:paraId="108CF103" w14:textId="77777777" w:rsidR="0097543E" w:rsidRPr="00722885" w:rsidRDefault="0097543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октябре 1942 г. дополнительные требования ВВС к Ту-2Р, подписанные начальником НИИ ВВС К.А. Лосюковым, уточнили задание в части фотоаппаратуры. Теперь самолет должен был иметь три варианта комплектации: два – для работы днем, а третий – ночью. В первом случае монтировались два АФА-3с в планово-перспективной установке; одна камера могла быть наклонена вправо, другая – влево от направления полета. По второму варианту ставились вертикально два плановых АФА-33 с разным фокусным расстоянием. Оба комплектовались дополнительными бензобаками, подвешивавшимися в бывшем бомбоотсеке. Ночной разведчик нес один аппарат НАФА-19 и девять бомб ФОТАБ-35; дополнительный бензобак у него отсутствовал, а стало быть, радиус действия был меньше. Задержка с заводским изготовлением разведчиков привела к тому, что в разведывательные полки сперва начали поставлять обычные бомбардировщики. Они дорабатывались в мастерских 2-го авиаполка дальней разведки (апдр) в Монино. Там только монтировали фотоаппараты, дополнительные баки не изготовляли и не ставили (21059).</w:t>
      </w:r>
    </w:p>
    <w:p w14:paraId="0A06BDD6" w14:textId="77777777" w:rsidR="0097543E" w:rsidRPr="00722885" w:rsidRDefault="0097543E" w:rsidP="00722885">
      <w:pPr>
        <w:spacing w:after="0" w:line="240" w:lineRule="auto"/>
        <w:jc w:val="both"/>
        <w:rPr>
          <w:rFonts w:ascii="Times New Roman" w:hAnsi="Times New Roman"/>
          <w:color w:val="0070C0"/>
          <w:sz w:val="16"/>
          <w:szCs w:val="16"/>
        </w:rPr>
      </w:pPr>
    </w:p>
    <w:p w14:paraId="36025BDC" w14:textId="77777777" w:rsidR="00004B26" w:rsidRPr="00722885" w:rsidRDefault="00004B26" w:rsidP="00722885">
      <w:pPr>
        <w:pStyle w:val="Iauiue"/>
        <w:jc w:val="both"/>
        <w:rPr>
          <w:color w:val="000000" w:themeColor="text1"/>
          <w:sz w:val="16"/>
          <w:szCs w:val="16"/>
        </w:rPr>
      </w:pPr>
      <w:r w:rsidRPr="00722885">
        <w:rPr>
          <w:color w:val="000000" w:themeColor="text1"/>
          <w:sz w:val="16"/>
          <w:szCs w:val="16"/>
        </w:rPr>
        <w:t>В приказах АДД наименование Пе-8 стали использовать с октября (1103,64).</w:t>
      </w:r>
    </w:p>
    <w:p w14:paraId="138AE2DD" w14:textId="77777777" w:rsidR="00004B26" w:rsidRPr="00722885" w:rsidRDefault="00004B26" w:rsidP="00722885">
      <w:pPr>
        <w:pStyle w:val="Iauiue"/>
        <w:jc w:val="both"/>
        <w:rPr>
          <w:color w:val="000000" w:themeColor="text1"/>
          <w:sz w:val="16"/>
          <w:szCs w:val="16"/>
        </w:rPr>
      </w:pPr>
    </w:p>
    <w:p w14:paraId="51E8D7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В октябре 1942 в НИИ ВВС проходил испытания Ла-5 N 37210444 и получил дальность 960-970 км (1780).</w:t>
      </w:r>
    </w:p>
    <w:p w14:paraId="6CA9D0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и продолжительность полета Ла-5 № 37210444 с мотором М-82А и карбюратором АК-82БП на различных режимах.</w:t>
      </w:r>
    </w:p>
    <w:p w14:paraId="49BADE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Высотный корректор закрыт. Полетный вес 3350 кг. Запас горючего 390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9B487A" w:rsidRPr="00722885" w14:paraId="79DD8BD8" w14:textId="77777777" w:rsidTr="00CC5360">
        <w:tc>
          <w:tcPr>
            <w:tcW w:w="1868" w:type="dxa"/>
            <w:tcBorders>
              <w:top w:val="single" w:sz="12" w:space="0" w:color="auto"/>
            </w:tcBorders>
          </w:tcPr>
          <w:p w14:paraId="20ECF8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 режима</w:t>
            </w:r>
          </w:p>
        </w:tc>
        <w:tc>
          <w:tcPr>
            <w:tcW w:w="1868" w:type="dxa"/>
            <w:tcBorders>
              <w:top w:val="single" w:sz="12" w:space="0" w:color="auto"/>
            </w:tcBorders>
          </w:tcPr>
          <w:p w14:paraId="3DFB54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по прибору, км/ч</w:t>
            </w:r>
          </w:p>
        </w:tc>
        <w:tc>
          <w:tcPr>
            <w:tcW w:w="1868" w:type="dxa"/>
            <w:tcBorders>
              <w:top w:val="single" w:sz="12" w:space="0" w:color="auto"/>
            </w:tcBorders>
          </w:tcPr>
          <w:p w14:paraId="6DDE3D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 двигателя в минуту</w:t>
            </w:r>
          </w:p>
        </w:tc>
        <w:tc>
          <w:tcPr>
            <w:tcW w:w="1868" w:type="dxa"/>
            <w:tcBorders>
              <w:top w:val="single" w:sz="12" w:space="0" w:color="auto"/>
            </w:tcBorders>
          </w:tcPr>
          <w:p w14:paraId="01FC93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полета, км</w:t>
            </w:r>
          </w:p>
        </w:tc>
        <w:tc>
          <w:tcPr>
            <w:tcW w:w="1868" w:type="dxa"/>
            <w:tcBorders>
              <w:top w:val="single" w:sz="12" w:space="0" w:color="auto"/>
            </w:tcBorders>
          </w:tcPr>
          <w:p w14:paraId="51B3CD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Продолжительность полета, час-мин</w:t>
            </w:r>
          </w:p>
        </w:tc>
      </w:tr>
      <w:tr w:rsidR="009B487A" w:rsidRPr="00722885" w14:paraId="1F0ECC3D" w14:textId="77777777" w:rsidTr="00CC5360">
        <w:tc>
          <w:tcPr>
            <w:tcW w:w="1868" w:type="dxa"/>
          </w:tcPr>
          <w:p w14:paraId="434AD0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500 м</w:t>
            </w:r>
          </w:p>
        </w:tc>
        <w:tc>
          <w:tcPr>
            <w:tcW w:w="1868" w:type="dxa"/>
          </w:tcPr>
          <w:p w14:paraId="283B574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078FD99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349C5D4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6DB3A00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3E412DE" w14:textId="77777777" w:rsidTr="00CC5360">
        <w:tc>
          <w:tcPr>
            <w:tcW w:w="1868" w:type="dxa"/>
          </w:tcPr>
          <w:p w14:paraId="15BE13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максимальной скорости</w:t>
            </w:r>
          </w:p>
        </w:tc>
        <w:tc>
          <w:tcPr>
            <w:tcW w:w="1868" w:type="dxa"/>
          </w:tcPr>
          <w:p w14:paraId="3806CE8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782E38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868" w:type="dxa"/>
          </w:tcPr>
          <w:p w14:paraId="20296C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420</w:t>
            </w:r>
          </w:p>
        </w:tc>
        <w:tc>
          <w:tcPr>
            <w:tcW w:w="1868" w:type="dxa"/>
          </w:tcPr>
          <w:p w14:paraId="7036DD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0-50</w:t>
            </w:r>
          </w:p>
        </w:tc>
      </w:tr>
      <w:tr w:rsidR="009B487A" w:rsidRPr="00722885" w14:paraId="0A5B6C84" w14:textId="77777777" w:rsidTr="00CC5360">
        <w:tc>
          <w:tcPr>
            <w:tcW w:w="1868" w:type="dxa"/>
          </w:tcPr>
          <w:p w14:paraId="5FB4856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скоростной дальности</w:t>
            </w:r>
          </w:p>
        </w:tc>
        <w:tc>
          <w:tcPr>
            <w:tcW w:w="1868" w:type="dxa"/>
          </w:tcPr>
          <w:p w14:paraId="2B6F51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430</w:t>
            </w:r>
          </w:p>
        </w:tc>
        <w:tc>
          <w:tcPr>
            <w:tcW w:w="1868" w:type="dxa"/>
          </w:tcPr>
          <w:p w14:paraId="689A8B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tc>
        <w:tc>
          <w:tcPr>
            <w:tcW w:w="1868" w:type="dxa"/>
          </w:tcPr>
          <w:p w14:paraId="0BDA8F2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550</w:t>
            </w:r>
          </w:p>
        </w:tc>
        <w:tc>
          <w:tcPr>
            <w:tcW w:w="1868" w:type="dxa"/>
          </w:tcPr>
          <w:p w14:paraId="5AB26F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1-13</w:t>
            </w:r>
          </w:p>
        </w:tc>
      </w:tr>
      <w:tr w:rsidR="009B487A" w:rsidRPr="00722885" w14:paraId="10B365D4" w14:textId="77777777" w:rsidTr="00CC5360">
        <w:tc>
          <w:tcPr>
            <w:tcW w:w="1868" w:type="dxa"/>
          </w:tcPr>
          <w:p w14:paraId="705EC4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Экономичный режим</w:t>
            </w:r>
          </w:p>
        </w:tc>
        <w:tc>
          <w:tcPr>
            <w:tcW w:w="1868" w:type="dxa"/>
          </w:tcPr>
          <w:p w14:paraId="7E9872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315</w:t>
            </w:r>
          </w:p>
        </w:tc>
        <w:tc>
          <w:tcPr>
            <w:tcW w:w="1868" w:type="dxa"/>
          </w:tcPr>
          <w:p w14:paraId="397319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1600</w:t>
            </w:r>
          </w:p>
        </w:tc>
        <w:tc>
          <w:tcPr>
            <w:tcW w:w="1868" w:type="dxa"/>
          </w:tcPr>
          <w:p w14:paraId="0FAC03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1150</w:t>
            </w:r>
          </w:p>
        </w:tc>
        <w:tc>
          <w:tcPr>
            <w:tcW w:w="1868" w:type="dxa"/>
          </w:tcPr>
          <w:p w14:paraId="550736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3-23</w:t>
            </w:r>
          </w:p>
        </w:tc>
      </w:tr>
      <w:tr w:rsidR="009B487A" w:rsidRPr="00722885" w14:paraId="7D74352E" w14:textId="77777777" w:rsidTr="00CC5360">
        <w:tc>
          <w:tcPr>
            <w:tcW w:w="1868" w:type="dxa"/>
          </w:tcPr>
          <w:p w14:paraId="4D563C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2000 м</w:t>
            </w:r>
          </w:p>
        </w:tc>
        <w:tc>
          <w:tcPr>
            <w:tcW w:w="1868" w:type="dxa"/>
          </w:tcPr>
          <w:p w14:paraId="0059D7B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11B5CD2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068BBE5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3A12C74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26390C4" w14:textId="77777777" w:rsidTr="00CC5360">
        <w:tc>
          <w:tcPr>
            <w:tcW w:w="1868" w:type="dxa"/>
          </w:tcPr>
          <w:p w14:paraId="6E292D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максимальной скорости</w:t>
            </w:r>
          </w:p>
        </w:tc>
        <w:tc>
          <w:tcPr>
            <w:tcW w:w="1868" w:type="dxa"/>
          </w:tcPr>
          <w:p w14:paraId="3CB7272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596533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868" w:type="dxa"/>
          </w:tcPr>
          <w:p w14:paraId="1A650C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420</w:t>
            </w:r>
          </w:p>
        </w:tc>
        <w:tc>
          <w:tcPr>
            <w:tcW w:w="1868" w:type="dxa"/>
          </w:tcPr>
          <w:p w14:paraId="31A56D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0-47</w:t>
            </w:r>
          </w:p>
        </w:tc>
      </w:tr>
      <w:tr w:rsidR="009B487A" w:rsidRPr="00722885" w14:paraId="5362E87F" w14:textId="77777777" w:rsidTr="00CC5360">
        <w:tc>
          <w:tcPr>
            <w:tcW w:w="1868" w:type="dxa"/>
          </w:tcPr>
          <w:p w14:paraId="30B582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скоростной дальности</w:t>
            </w:r>
          </w:p>
        </w:tc>
        <w:tc>
          <w:tcPr>
            <w:tcW w:w="1868" w:type="dxa"/>
          </w:tcPr>
          <w:p w14:paraId="3E5A48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425</w:t>
            </w:r>
          </w:p>
        </w:tc>
        <w:tc>
          <w:tcPr>
            <w:tcW w:w="1868" w:type="dxa"/>
          </w:tcPr>
          <w:p w14:paraId="288ADF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tc>
        <w:tc>
          <w:tcPr>
            <w:tcW w:w="1868" w:type="dxa"/>
          </w:tcPr>
          <w:p w14:paraId="729EEE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560</w:t>
            </w:r>
          </w:p>
        </w:tc>
        <w:tc>
          <w:tcPr>
            <w:tcW w:w="1868" w:type="dxa"/>
          </w:tcPr>
          <w:p w14:paraId="564295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1-09</w:t>
            </w:r>
          </w:p>
        </w:tc>
      </w:tr>
      <w:tr w:rsidR="009B487A" w:rsidRPr="00722885" w14:paraId="64E38F2C" w14:textId="77777777" w:rsidTr="00CC5360">
        <w:tc>
          <w:tcPr>
            <w:tcW w:w="1868" w:type="dxa"/>
          </w:tcPr>
          <w:p w14:paraId="147E2C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Экономичный режим</w:t>
            </w:r>
          </w:p>
        </w:tc>
        <w:tc>
          <w:tcPr>
            <w:tcW w:w="1868" w:type="dxa"/>
          </w:tcPr>
          <w:p w14:paraId="4781C8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310</w:t>
            </w:r>
          </w:p>
        </w:tc>
        <w:tc>
          <w:tcPr>
            <w:tcW w:w="1868" w:type="dxa"/>
          </w:tcPr>
          <w:p w14:paraId="59078E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1600</w:t>
            </w:r>
          </w:p>
        </w:tc>
        <w:tc>
          <w:tcPr>
            <w:tcW w:w="1868" w:type="dxa"/>
          </w:tcPr>
          <w:p w14:paraId="11EC54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1120</w:t>
            </w:r>
          </w:p>
        </w:tc>
        <w:tc>
          <w:tcPr>
            <w:tcW w:w="1868" w:type="dxa"/>
          </w:tcPr>
          <w:p w14:paraId="32759B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3-08</w:t>
            </w:r>
          </w:p>
        </w:tc>
      </w:tr>
      <w:tr w:rsidR="009B487A" w:rsidRPr="00722885" w14:paraId="6E569088" w14:textId="77777777" w:rsidTr="00CC5360">
        <w:tc>
          <w:tcPr>
            <w:tcW w:w="1868" w:type="dxa"/>
          </w:tcPr>
          <w:p w14:paraId="08F887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4000 м</w:t>
            </w:r>
          </w:p>
        </w:tc>
        <w:tc>
          <w:tcPr>
            <w:tcW w:w="1868" w:type="dxa"/>
          </w:tcPr>
          <w:p w14:paraId="4162693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776B859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72F0386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04AFFBA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6EF2B5EA" w14:textId="77777777" w:rsidTr="00CC5360">
        <w:tc>
          <w:tcPr>
            <w:tcW w:w="1868" w:type="dxa"/>
          </w:tcPr>
          <w:p w14:paraId="09F3A1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максимальной скорости</w:t>
            </w:r>
          </w:p>
        </w:tc>
        <w:tc>
          <w:tcPr>
            <w:tcW w:w="1868" w:type="dxa"/>
          </w:tcPr>
          <w:p w14:paraId="627BFB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497296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868" w:type="dxa"/>
          </w:tcPr>
          <w:p w14:paraId="4BFCF7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475</w:t>
            </w:r>
          </w:p>
        </w:tc>
        <w:tc>
          <w:tcPr>
            <w:tcW w:w="1868" w:type="dxa"/>
          </w:tcPr>
          <w:p w14:paraId="42A5D5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0-50</w:t>
            </w:r>
          </w:p>
        </w:tc>
      </w:tr>
      <w:tr w:rsidR="009B487A" w:rsidRPr="00722885" w14:paraId="7E896B65" w14:textId="77777777" w:rsidTr="00CC5360">
        <w:tc>
          <w:tcPr>
            <w:tcW w:w="1868" w:type="dxa"/>
          </w:tcPr>
          <w:p w14:paraId="7039BE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скоростной дальности</w:t>
            </w:r>
          </w:p>
        </w:tc>
        <w:tc>
          <w:tcPr>
            <w:tcW w:w="1868" w:type="dxa"/>
          </w:tcPr>
          <w:p w14:paraId="7253F5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405</w:t>
            </w:r>
          </w:p>
        </w:tc>
        <w:tc>
          <w:tcPr>
            <w:tcW w:w="1868" w:type="dxa"/>
          </w:tcPr>
          <w:p w14:paraId="19F241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tc>
        <w:tc>
          <w:tcPr>
            <w:tcW w:w="1868" w:type="dxa"/>
          </w:tcPr>
          <w:p w14:paraId="7DCC75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595</w:t>
            </w:r>
          </w:p>
        </w:tc>
        <w:tc>
          <w:tcPr>
            <w:tcW w:w="1868" w:type="dxa"/>
          </w:tcPr>
          <w:p w14:paraId="27C2FD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1-09</w:t>
            </w:r>
          </w:p>
        </w:tc>
      </w:tr>
      <w:tr w:rsidR="009B487A" w:rsidRPr="00722885" w14:paraId="7650529F" w14:textId="77777777" w:rsidTr="00CC5360">
        <w:tc>
          <w:tcPr>
            <w:tcW w:w="1868" w:type="dxa"/>
          </w:tcPr>
          <w:p w14:paraId="78E9F4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Экономичный режим</w:t>
            </w:r>
          </w:p>
        </w:tc>
        <w:tc>
          <w:tcPr>
            <w:tcW w:w="1868" w:type="dxa"/>
          </w:tcPr>
          <w:p w14:paraId="424F37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265</w:t>
            </w:r>
          </w:p>
        </w:tc>
        <w:tc>
          <w:tcPr>
            <w:tcW w:w="1868" w:type="dxa"/>
          </w:tcPr>
          <w:p w14:paraId="740DFC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1500</w:t>
            </w:r>
          </w:p>
        </w:tc>
        <w:tc>
          <w:tcPr>
            <w:tcW w:w="1868" w:type="dxa"/>
          </w:tcPr>
          <w:p w14:paraId="57942C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1190</w:t>
            </w:r>
          </w:p>
        </w:tc>
        <w:tc>
          <w:tcPr>
            <w:tcW w:w="1868" w:type="dxa"/>
          </w:tcPr>
          <w:p w14:paraId="6A69C2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2-36</w:t>
            </w:r>
          </w:p>
        </w:tc>
      </w:tr>
      <w:tr w:rsidR="009B487A" w:rsidRPr="00722885" w14:paraId="6B58B628" w14:textId="77777777" w:rsidTr="00CC5360">
        <w:tc>
          <w:tcPr>
            <w:tcW w:w="1868" w:type="dxa"/>
          </w:tcPr>
          <w:p w14:paraId="027E9C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6000 м</w:t>
            </w:r>
          </w:p>
        </w:tc>
        <w:tc>
          <w:tcPr>
            <w:tcW w:w="1868" w:type="dxa"/>
          </w:tcPr>
          <w:p w14:paraId="4E4B20CE"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33365CA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478D26A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0D114A3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50719A5" w14:textId="77777777" w:rsidTr="00CC5360">
        <w:tc>
          <w:tcPr>
            <w:tcW w:w="1868" w:type="dxa"/>
          </w:tcPr>
          <w:p w14:paraId="455113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(2-я скорость нагнетателя)</w:t>
            </w:r>
          </w:p>
        </w:tc>
        <w:tc>
          <w:tcPr>
            <w:tcW w:w="1868" w:type="dxa"/>
          </w:tcPr>
          <w:p w14:paraId="526F399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1000257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70AA7CD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868" w:type="dxa"/>
          </w:tcPr>
          <w:p w14:paraId="5783C41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6DB1833" w14:textId="77777777" w:rsidTr="00CC5360">
        <w:tc>
          <w:tcPr>
            <w:tcW w:w="1868" w:type="dxa"/>
          </w:tcPr>
          <w:p w14:paraId="2C6FC6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максимальной скорости</w:t>
            </w:r>
          </w:p>
        </w:tc>
        <w:tc>
          <w:tcPr>
            <w:tcW w:w="1868" w:type="dxa"/>
          </w:tcPr>
          <w:p w14:paraId="57313E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17322B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868" w:type="dxa"/>
          </w:tcPr>
          <w:p w14:paraId="7ABEDD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425</w:t>
            </w:r>
          </w:p>
        </w:tc>
        <w:tc>
          <w:tcPr>
            <w:tcW w:w="1868" w:type="dxa"/>
          </w:tcPr>
          <w:p w14:paraId="07313C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0-46</w:t>
            </w:r>
          </w:p>
        </w:tc>
      </w:tr>
      <w:tr w:rsidR="009B487A" w:rsidRPr="00722885" w14:paraId="46EECD34" w14:textId="77777777" w:rsidTr="00CC5360">
        <w:tc>
          <w:tcPr>
            <w:tcW w:w="1868" w:type="dxa"/>
          </w:tcPr>
          <w:p w14:paraId="1E3C07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скоростной дальности</w:t>
            </w:r>
          </w:p>
        </w:tc>
        <w:tc>
          <w:tcPr>
            <w:tcW w:w="1868" w:type="dxa"/>
          </w:tcPr>
          <w:p w14:paraId="000576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355</w:t>
            </w:r>
          </w:p>
        </w:tc>
        <w:tc>
          <w:tcPr>
            <w:tcW w:w="1868" w:type="dxa"/>
          </w:tcPr>
          <w:p w14:paraId="6C91C4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tc>
        <w:tc>
          <w:tcPr>
            <w:tcW w:w="1868" w:type="dxa"/>
          </w:tcPr>
          <w:p w14:paraId="2F2F2D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425</w:t>
            </w:r>
          </w:p>
        </w:tc>
        <w:tc>
          <w:tcPr>
            <w:tcW w:w="1868" w:type="dxa"/>
          </w:tcPr>
          <w:p w14:paraId="3FF221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0-51</w:t>
            </w:r>
          </w:p>
        </w:tc>
      </w:tr>
      <w:tr w:rsidR="009B487A" w:rsidRPr="00722885" w14:paraId="3B4EA794" w14:textId="77777777" w:rsidTr="00CC5360">
        <w:tc>
          <w:tcPr>
            <w:tcW w:w="1868" w:type="dxa"/>
          </w:tcPr>
          <w:p w14:paraId="52431D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наибольшей дальности</w:t>
            </w:r>
          </w:p>
        </w:tc>
        <w:tc>
          <w:tcPr>
            <w:tcW w:w="1868" w:type="dxa"/>
          </w:tcPr>
          <w:p w14:paraId="73C721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w:t>
            </w:r>
          </w:p>
        </w:tc>
        <w:tc>
          <w:tcPr>
            <w:tcW w:w="1868" w:type="dxa"/>
          </w:tcPr>
          <w:p w14:paraId="395878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1800</w:t>
            </w:r>
          </w:p>
        </w:tc>
        <w:tc>
          <w:tcPr>
            <w:tcW w:w="1868" w:type="dxa"/>
          </w:tcPr>
          <w:p w14:paraId="120E07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945</w:t>
            </w:r>
          </w:p>
        </w:tc>
        <w:tc>
          <w:tcPr>
            <w:tcW w:w="1868" w:type="dxa"/>
          </w:tcPr>
          <w:p w14:paraId="3F33A5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2-35</w:t>
            </w:r>
          </w:p>
        </w:tc>
      </w:tr>
      <w:tr w:rsidR="009B487A" w:rsidRPr="00722885" w14:paraId="45BBAE25" w14:textId="77777777" w:rsidTr="00CC5360">
        <w:tc>
          <w:tcPr>
            <w:tcW w:w="1868" w:type="dxa"/>
          </w:tcPr>
          <w:p w14:paraId="537FAE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максимальной продолжительности 245</w:t>
            </w:r>
          </w:p>
        </w:tc>
        <w:tc>
          <w:tcPr>
            <w:tcW w:w="1868" w:type="dxa"/>
          </w:tcPr>
          <w:p w14:paraId="64611C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1800</w:t>
            </w:r>
          </w:p>
        </w:tc>
        <w:tc>
          <w:tcPr>
            <w:tcW w:w="1868" w:type="dxa"/>
          </w:tcPr>
          <w:p w14:paraId="7C921F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c>
          <w:tcPr>
            <w:tcW w:w="1868" w:type="dxa"/>
          </w:tcPr>
          <w:p w14:paraId="0CC1D6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w:t>
            </w:r>
          </w:p>
        </w:tc>
        <w:tc>
          <w:tcPr>
            <w:tcW w:w="1868" w:type="dxa"/>
          </w:tcPr>
          <w:p w14:paraId="0346948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F9B74C7" w14:textId="77777777" w:rsidTr="00CC5360">
        <w:tc>
          <w:tcPr>
            <w:tcW w:w="1868" w:type="dxa"/>
          </w:tcPr>
          <w:p w14:paraId="4C148B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максимальной скорости</w:t>
            </w:r>
          </w:p>
        </w:tc>
        <w:tc>
          <w:tcPr>
            <w:tcW w:w="1868" w:type="dxa"/>
          </w:tcPr>
          <w:p w14:paraId="4B349D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3C8167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868" w:type="dxa"/>
          </w:tcPr>
          <w:p w14:paraId="4B7B15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525</w:t>
            </w:r>
          </w:p>
        </w:tc>
        <w:tc>
          <w:tcPr>
            <w:tcW w:w="1868" w:type="dxa"/>
          </w:tcPr>
          <w:p w14:paraId="4BF2E08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0-58</w:t>
            </w:r>
          </w:p>
        </w:tc>
      </w:tr>
      <w:tr w:rsidR="009B487A" w:rsidRPr="00722885" w14:paraId="7F6E8261" w14:textId="77777777" w:rsidTr="00CC5360">
        <w:tc>
          <w:tcPr>
            <w:tcW w:w="1868" w:type="dxa"/>
          </w:tcPr>
          <w:p w14:paraId="49DBCD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скоростной дальности</w:t>
            </w:r>
          </w:p>
        </w:tc>
        <w:tc>
          <w:tcPr>
            <w:tcW w:w="1868" w:type="dxa"/>
          </w:tcPr>
          <w:p w14:paraId="10735E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305</w:t>
            </w:r>
          </w:p>
        </w:tc>
        <w:tc>
          <w:tcPr>
            <w:tcW w:w="1868" w:type="dxa"/>
          </w:tcPr>
          <w:p w14:paraId="34EB3E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tc>
        <w:tc>
          <w:tcPr>
            <w:tcW w:w="1868" w:type="dxa"/>
          </w:tcPr>
          <w:p w14:paraId="3FDB25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w:t>
            </w:r>
          </w:p>
        </w:tc>
        <w:tc>
          <w:tcPr>
            <w:tcW w:w="1868" w:type="dxa"/>
          </w:tcPr>
          <w:p w14:paraId="554CD4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0-59</w:t>
            </w:r>
          </w:p>
        </w:tc>
      </w:tr>
      <w:tr w:rsidR="009B487A" w:rsidRPr="00722885" w14:paraId="51C1642B" w14:textId="77777777" w:rsidTr="00CC5360">
        <w:tc>
          <w:tcPr>
            <w:tcW w:w="1868" w:type="dxa"/>
          </w:tcPr>
          <w:p w14:paraId="4D8CB6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наибольшей дальности</w:t>
            </w:r>
          </w:p>
        </w:tc>
        <w:tc>
          <w:tcPr>
            <w:tcW w:w="1868" w:type="dxa"/>
          </w:tcPr>
          <w:p w14:paraId="2A4CCD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255</w:t>
            </w:r>
          </w:p>
        </w:tc>
        <w:tc>
          <w:tcPr>
            <w:tcW w:w="1868" w:type="dxa"/>
          </w:tcPr>
          <w:p w14:paraId="5F7D45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1800</w:t>
            </w:r>
          </w:p>
        </w:tc>
        <w:tc>
          <w:tcPr>
            <w:tcW w:w="1868" w:type="dxa"/>
          </w:tcPr>
          <w:p w14:paraId="63EC36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805</w:t>
            </w:r>
          </w:p>
        </w:tc>
        <w:tc>
          <w:tcPr>
            <w:tcW w:w="1868" w:type="dxa"/>
          </w:tcPr>
          <w:p w14:paraId="77ECC7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1-58</w:t>
            </w:r>
          </w:p>
        </w:tc>
      </w:tr>
      <w:tr w:rsidR="009B487A" w:rsidRPr="00722885" w14:paraId="4CA8686B" w14:textId="77777777" w:rsidTr="00CC5360">
        <w:tc>
          <w:tcPr>
            <w:tcW w:w="1868" w:type="dxa"/>
            <w:tcBorders>
              <w:bottom w:val="single" w:sz="12" w:space="0" w:color="auto"/>
            </w:tcBorders>
          </w:tcPr>
          <w:p w14:paraId="032C9A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Режим максимальной продолжительности 225</w:t>
            </w:r>
          </w:p>
        </w:tc>
        <w:tc>
          <w:tcPr>
            <w:tcW w:w="1868" w:type="dxa"/>
            <w:tcBorders>
              <w:bottom w:val="single" w:sz="12" w:space="0" w:color="auto"/>
            </w:tcBorders>
          </w:tcPr>
          <w:p w14:paraId="611F4C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1800</w:t>
            </w:r>
          </w:p>
        </w:tc>
        <w:tc>
          <w:tcPr>
            <w:tcW w:w="1868" w:type="dxa"/>
            <w:tcBorders>
              <w:bottom w:val="single" w:sz="12" w:space="0" w:color="auto"/>
            </w:tcBorders>
          </w:tcPr>
          <w:p w14:paraId="08D416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890</w:t>
            </w:r>
          </w:p>
        </w:tc>
        <w:tc>
          <w:tcPr>
            <w:tcW w:w="1868" w:type="dxa"/>
            <w:tcBorders>
              <w:bottom w:val="single" w:sz="12" w:space="0" w:color="auto"/>
            </w:tcBorders>
          </w:tcPr>
          <w:p w14:paraId="4B6C11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2-28</w:t>
            </w:r>
          </w:p>
        </w:tc>
        <w:tc>
          <w:tcPr>
            <w:tcW w:w="1868" w:type="dxa"/>
            <w:tcBorders>
              <w:bottom w:val="single" w:sz="12" w:space="0" w:color="auto"/>
            </w:tcBorders>
          </w:tcPr>
          <w:p w14:paraId="0BE0DDC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bl>
    <w:p w14:paraId="73BA9D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Примечание.</w:t>
      </w:r>
    </w:p>
    <w:p w14:paraId="59484F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Продолжительность беспрерывного полета на максимальной скорости не должна превышать 30 минут.</w:t>
      </w:r>
    </w:p>
    <w:p w14:paraId="462E38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Полеты на барражирование на высотах 6000 м и 8000 м проводить на режимах наибольшей дальности. Режим максимальной продолжительности</w:t>
      </w:r>
    </w:p>
    <w:p w14:paraId="763C0E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этих высотах из-за малой скорости полета по прибору использовать только в крайних случаях (например, при потере ориентировки) (12032).</w:t>
      </w:r>
    </w:p>
    <w:p w14:paraId="78FF751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B3B46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М.И.Гудков ознакомился в НКАП с чертежами РД-1 и предложил А.М.Люльке сделать проект на базе ЛаГГ-3 - Гу-1 (2641,8).</w:t>
      </w:r>
    </w:p>
    <w:p w14:paraId="2C16F0EC" w14:textId="77777777" w:rsidR="00090C9B" w:rsidRPr="00722885" w:rsidRDefault="00090C9B" w:rsidP="00722885">
      <w:pPr>
        <w:pStyle w:val="Iauiue"/>
        <w:jc w:val="both"/>
        <w:rPr>
          <w:color w:val="000000" w:themeColor="text1"/>
          <w:sz w:val="16"/>
          <w:szCs w:val="16"/>
        </w:rPr>
      </w:pPr>
    </w:p>
    <w:p w14:paraId="0725633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был подготовлен вто</w:t>
      </w:r>
      <w:r w:rsidRPr="00722885">
        <w:rPr>
          <w:rFonts w:ascii="Times New Roman" w:hAnsi="Times New Roman"/>
          <w:color w:val="000000" w:themeColor="text1"/>
          <w:sz w:val="16"/>
          <w:szCs w:val="16"/>
        </w:rPr>
        <w:softHyphen/>
        <w:t>рой отчет по войсковым испытани</w:t>
      </w:r>
      <w:r w:rsidRPr="00722885">
        <w:rPr>
          <w:rFonts w:ascii="Times New Roman" w:hAnsi="Times New Roman"/>
          <w:color w:val="000000" w:themeColor="text1"/>
          <w:sz w:val="16"/>
          <w:szCs w:val="16"/>
        </w:rPr>
        <w:softHyphen/>
        <w:t>ям самолета Ла-5, теперь уже по опы</w:t>
      </w:r>
      <w:r w:rsidRPr="00722885">
        <w:rPr>
          <w:rFonts w:ascii="Times New Roman" w:hAnsi="Times New Roman"/>
          <w:color w:val="000000" w:themeColor="text1"/>
          <w:sz w:val="16"/>
          <w:szCs w:val="16"/>
        </w:rPr>
        <w:softHyphen/>
        <w:t>ту боевой работы 287 ИАД.</w:t>
      </w:r>
    </w:p>
    <w:p w14:paraId="405C8B9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период с 20 августа по 13 сен</w:t>
      </w:r>
      <w:r w:rsidRPr="00722885">
        <w:rPr>
          <w:rFonts w:ascii="Times New Roman" w:hAnsi="Times New Roman"/>
          <w:color w:val="000000" w:themeColor="text1"/>
          <w:sz w:val="16"/>
          <w:szCs w:val="16"/>
        </w:rPr>
        <w:softHyphen/>
        <w:t>тября 1942 года частями 287 ИАД было выполнено 226 самолето-выле</w:t>
      </w:r>
      <w:r w:rsidRPr="00722885">
        <w:rPr>
          <w:rFonts w:ascii="Times New Roman" w:hAnsi="Times New Roman"/>
          <w:color w:val="000000" w:themeColor="text1"/>
          <w:sz w:val="16"/>
          <w:szCs w:val="16"/>
        </w:rPr>
        <w:softHyphen/>
        <w:t>тов на разведку войск противника... и 571 самолето-вылет на прикрытие войск и перехват самолетов против</w:t>
      </w:r>
      <w:r w:rsidRPr="00722885">
        <w:rPr>
          <w:rFonts w:ascii="Times New Roman" w:hAnsi="Times New Roman"/>
          <w:color w:val="000000" w:themeColor="text1"/>
          <w:sz w:val="16"/>
          <w:szCs w:val="16"/>
        </w:rPr>
        <w:softHyphen/>
        <w:t>ника. В результате воздушных боев сбито: бомбардировщиков -51, ис</w:t>
      </w:r>
      <w:r w:rsidRPr="00722885">
        <w:rPr>
          <w:rFonts w:ascii="Times New Roman" w:hAnsi="Times New Roman"/>
          <w:color w:val="000000" w:themeColor="text1"/>
          <w:sz w:val="16"/>
          <w:szCs w:val="16"/>
        </w:rPr>
        <w:softHyphen/>
        <w:t>требителей Ме-109 - 19 и Ме-109Ф - 17...</w:t>
      </w:r>
    </w:p>
    <w:p w14:paraId="396368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Сталинградском фронте само</w:t>
      </w:r>
      <w:r w:rsidRPr="00722885">
        <w:rPr>
          <w:rFonts w:ascii="Times New Roman" w:hAnsi="Times New Roman"/>
          <w:color w:val="000000" w:themeColor="text1"/>
          <w:sz w:val="16"/>
          <w:szCs w:val="16"/>
        </w:rPr>
        <w:softHyphen/>
        <w:t>леты Ла-5 с М-82 вели бои с немец</w:t>
      </w:r>
      <w:r w:rsidRPr="00722885">
        <w:rPr>
          <w:rFonts w:ascii="Times New Roman" w:hAnsi="Times New Roman"/>
          <w:color w:val="000000" w:themeColor="text1"/>
          <w:sz w:val="16"/>
          <w:szCs w:val="16"/>
        </w:rPr>
        <w:softHyphen/>
        <w:t>кими истребителями Ме-109Ф-4 с мотором ДБ-601Е и Ме-109Г-2 с мо</w:t>
      </w:r>
      <w:r w:rsidRPr="00722885">
        <w:rPr>
          <w:rFonts w:ascii="Times New Roman" w:hAnsi="Times New Roman"/>
          <w:color w:val="000000" w:themeColor="text1"/>
          <w:sz w:val="16"/>
          <w:szCs w:val="16"/>
        </w:rPr>
        <w:softHyphen/>
        <w:t>тором ДБ-605А}..., а также с бомбар</w:t>
      </w:r>
      <w:r w:rsidRPr="00722885">
        <w:rPr>
          <w:rFonts w:ascii="Times New Roman" w:hAnsi="Times New Roman"/>
          <w:color w:val="000000" w:themeColor="text1"/>
          <w:sz w:val="16"/>
          <w:szCs w:val="16"/>
        </w:rPr>
        <w:softHyphen/>
        <w:t>дировщиками Ю-88, Ю-87, Ме-110, Хе-111.</w:t>
      </w:r>
    </w:p>
    <w:p w14:paraId="35B1EDB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воздушном бою с немецкими самолетами Ме-109Ф-4 и Ме-109Г-2 самолет Ла-5 значительно уступает им как по вертикальному маневру, так и по горизонтальной скорости. В ре</w:t>
      </w:r>
      <w:r w:rsidRPr="00722885">
        <w:rPr>
          <w:rFonts w:ascii="Times New Roman" w:hAnsi="Times New Roman"/>
          <w:color w:val="000000" w:themeColor="text1"/>
          <w:sz w:val="16"/>
          <w:szCs w:val="16"/>
        </w:rPr>
        <w:softHyphen/>
        <w:t>зультате чего самолет Ла-5 не может вести с немецкими истребителями Ме-109Ф-4 и Ме-109Г-2 активного воздушного боя, а вынужден вести оборонительный бой.</w:t>
      </w:r>
    </w:p>
    <w:p w14:paraId="05F9375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воздушном бою с немецкими самолетами Ю-88, Ме-110 и Хе-111 самолет Ла-5 отвечает всем требо</w:t>
      </w:r>
      <w:r w:rsidRPr="00722885">
        <w:rPr>
          <w:rFonts w:ascii="Times New Roman" w:hAnsi="Times New Roman"/>
          <w:color w:val="000000" w:themeColor="text1"/>
          <w:sz w:val="16"/>
          <w:szCs w:val="16"/>
        </w:rPr>
        <w:softHyphen/>
        <w:t>ваниям современного истребителя по скорости и маневру. Вооружение тре</w:t>
      </w:r>
      <w:r w:rsidRPr="00722885">
        <w:rPr>
          <w:rFonts w:ascii="Times New Roman" w:hAnsi="Times New Roman"/>
          <w:color w:val="000000" w:themeColor="text1"/>
          <w:sz w:val="16"/>
          <w:szCs w:val="16"/>
        </w:rPr>
        <w:softHyphen/>
        <w:t>бует усиления мощности огня...</w:t>
      </w:r>
    </w:p>
    <w:p w14:paraId="44CBA38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Моторы М-82 в процессе боевой работы эксплоатировались на топли</w:t>
      </w:r>
      <w:r w:rsidRPr="00722885">
        <w:rPr>
          <w:rFonts w:ascii="Times New Roman" w:hAnsi="Times New Roman"/>
          <w:color w:val="000000" w:themeColor="text1"/>
          <w:sz w:val="16"/>
          <w:szCs w:val="16"/>
        </w:rPr>
        <w:softHyphen/>
        <w:t>ве 46-78 и масле МК. По характеру боевой работы (разведка с бреюще</w:t>
      </w:r>
      <w:r w:rsidRPr="00722885">
        <w:rPr>
          <w:rFonts w:ascii="Times New Roman" w:hAnsi="Times New Roman"/>
          <w:color w:val="000000" w:themeColor="text1"/>
          <w:sz w:val="16"/>
          <w:szCs w:val="16"/>
        </w:rPr>
        <w:softHyphen/>
        <w:t>го полета, воздушный бой с бомбар</w:t>
      </w:r>
      <w:r w:rsidRPr="00722885">
        <w:rPr>
          <w:rFonts w:ascii="Times New Roman" w:hAnsi="Times New Roman"/>
          <w:color w:val="000000" w:themeColor="text1"/>
          <w:sz w:val="16"/>
          <w:szCs w:val="16"/>
        </w:rPr>
        <w:softHyphen/>
        <w:t>дировщиками и истребителями и пат</w:t>
      </w:r>
      <w:r w:rsidRPr="00722885">
        <w:rPr>
          <w:rFonts w:ascii="Times New Roman" w:hAnsi="Times New Roman"/>
          <w:color w:val="000000" w:themeColor="text1"/>
          <w:sz w:val="16"/>
          <w:szCs w:val="16"/>
        </w:rPr>
        <w:softHyphen/>
        <w:t>рулирование) моторы большую часть времени работали на номинальном режиме...</w:t>
      </w:r>
    </w:p>
    <w:p w14:paraId="534D0CA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80% моторов после 10-12 ча</w:t>
      </w:r>
      <w:r w:rsidRPr="00722885">
        <w:rPr>
          <w:rFonts w:ascii="Times New Roman" w:hAnsi="Times New Roman"/>
          <w:color w:val="000000" w:themeColor="text1"/>
          <w:sz w:val="16"/>
          <w:szCs w:val="16"/>
        </w:rPr>
        <w:softHyphen/>
        <w:t>сов работы появлялась тряска из-за отказа свечей ВГ-12. После замены свечей тряска прекращалась.</w:t>
      </w:r>
    </w:p>
    <w:p w14:paraId="4DEADBE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15 моторах после 10-12 часов работы мотора появлялась перекач</w:t>
      </w:r>
      <w:r w:rsidRPr="00722885">
        <w:rPr>
          <w:rFonts w:ascii="Times New Roman" w:hAnsi="Times New Roman"/>
          <w:color w:val="000000" w:themeColor="text1"/>
          <w:sz w:val="16"/>
          <w:szCs w:val="16"/>
        </w:rPr>
        <w:softHyphen/>
        <w:t>ка масла из маслобака в картер мо</w:t>
      </w:r>
      <w:r w:rsidRPr="00722885">
        <w:rPr>
          <w:rFonts w:ascii="Times New Roman" w:hAnsi="Times New Roman"/>
          <w:color w:val="000000" w:themeColor="text1"/>
          <w:sz w:val="16"/>
          <w:szCs w:val="16"/>
        </w:rPr>
        <w:softHyphen/>
        <w:t>тора и падение давления масла, это явление наблюдалось на земле и в воздухе, при полетах в течение 3-5 минут давление масла падало до 2 кг/см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вследствие чего летчик вынуж</w:t>
      </w:r>
      <w:r w:rsidRPr="00722885">
        <w:rPr>
          <w:rFonts w:ascii="Times New Roman" w:hAnsi="Times New Roman"/>
          <w:color w:val="000000" w:themeColor="text1"/>
          <w:sz w:val="16"/>
          <w:szCs w:val="16"/>
        </w:rPr>
        <w:softHyphen/>
        <w:t>денно садился. При выявлении при</w:t>
      </w:r>
      <w:r w:rsidRPr="00722885">
        <w:rPr>
          <w:rFonts w:ascii="Times New Roman" w:hAnsi="Times New Roman"/>
          <w:color w:val="000000" w:themeColor="text1"/>
          <w:sz w:val="16"/>
          <w:szCs w:val="16"/>
        </w:rPr>
        <w:softHyphen/>
        <w:t>чины перекачки масла было установ</w:t>
      </w:r>
      <w:r w:rsidRPr="00722885">
        <w:rPr>
          <w:rFonts w:ascii="Times New Roman" w:hAnsi="Times New Roman"/>
          <w:color w:val="000000" w:themeColor="text1"/>
          <w:sz w:val="16"/>
          <w:szCs w:val="16"/>
        </w:rPr>
        <w:softHyphen/>
        <w:t>лено, что она происходит в результа</w:t>
      </w:r>
      <w:r w:rsidRPr="00722885">
        <w:rPr>
          <w:rFonts w:ascii="Times New Roman" w:hAnsi="Times New Roman"/>
          <w:color w:val="000000" w:themeColor="text1"/>
          <w:sz w:val="16"/>
          <w:szCs w:val="16"/>
        </w:rPr>
        <w:softHyphen/>
        <w:t>те повышения сопротивления, созда</w:t>
      </w:r>
      <w:r w:rsidRPr="00722885">
        <w:rPr>
          <w:rFonts w:ascii="Times New Roman" w:hAnsi="Times New Roman"/>
          <w:color w:val="000000" w:themeColor="text1"/>
          <w:sz w:val="16"/>
          <w:szCs w:val="16"/>
        </w:rPr>
        <w:softHyphen/>
        <w:t>ваемого в откачивающей магистрали фетровым фильтром. После замены фетровых фильтров на моторах, име</w:t>
      </w:r>
      <w:r w:rsidRPr="00722885">
        <w:rPr>
          <w:rFonts w:ascii="Times New Roman" w:hAnsi="Times New Roman"/>
          <w:color w:val="000000" w:themeColor="text1"/>
          <w:sz w:val="16"/>
          <w:szCs w:val="16"/>
        </w:rPr>
        <w:softHyphen/>
        <w:t>ющих перекачку масла, дефект уст</w:t>
      </w:r>
      <w:r w:rsidRPr="00722885">
        <w:rPr>
          <w:rFonts w:ascii="Times New Roman" w:hAnsi="Times New Roman"/>
          <w:color w:val="000000" w:themeColor="text1"/>
          <w:sz w:val="16"/>
          <w:szCs w:val="16"/>
        </w:rPr>
        <w:softHyphen/>
        <w:t>ранялся...</w:t>
      </w:r>
    </w:p>
    <w:p w14:paraId="4603DF9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процессе эксплоатации моторов М-82 наблюдалось произвольное обеднение смеси после 4-5 часов работы мотора, после восстановления нормальной регулировки карбюрато</w:t>
      </w:r>
      <w:r w:rsidRPr="00722885">
        <w:rPr>
          <w:rFonts w:ascii="Times New Roman" w:hAnsi="Times New Roman"/>
          <w:color w:val="000000" w:themeColor="text1"/>
          <w:sz w:val="16"/>
          <w:szCs w:val="16"/>
        </w:rPr>
        <w:softHyphen/>
        <w:t>ра АК-82БП качество смеси в тече</w:t>
      </w:r>
      <w:r w:rsidRPr="00722885">
        <w:rPr>
          <w:rFonts w:ascii="Times New Roman" w:hAnsi="Times New Roman"/>
          <w:color w:val="000000" w:themeColor="text1"/>
          <w:sz w:val="16"/>
          <w:szCs w:val="16"/>
        </w:rPr>
        <w:softHyphen/>
        <w:t>ние 15-20 часов не изменялось.</w:t>
      </w:r>
    </w:p>
    <w:p w14:paraId="1DA5DBE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Течь масла из-под крышек клапан</w:t>
      </w:r>
      <w:r w:rsidRPr="00722885">
        <w:rPr>
          <w:rFonts w:ascii="Times New Roman" w:hAnsi="Times New Roman"/>
          <w:color w:val="000000" w:themeColor="text1"/>
          <w:sz w:val="16"/>
          <w:szCs w:val="16"/>
        </w:rPr>
        <w:softHyphen/>
        <w:t>ных коробок, из подшипника оси ко</w:t>
      </w:r>
      <w:r w:rsidRPr="00722885">
        <w:rPr>
          <w:rFonts w:ascii="Times New Roman" w:hAnsi="Times New Roman"/>
          <w:color w:val="000000" w:themeColor="text1"/>
          <w:sz w:val="16"/>
          <w:szCs w:val="16"/>
        </w:rPr>
        <w:softHyphen/>
        <w:t>ромысел, из-под гайки кожухов тяг тол</w:t>
      </w:r>
      <w:r w:rsidRPr="00722885">
        <w:rPr>
          <w:rFonts w:ascii="Times New Roman" w:hAnsi="Times New Roman"/>
          <w:color w:val="000000" w:themeColor="text1"/>
          <w:sz w:val="16"/>
          <w:szCs w:val="16"/>
        </w:rPr>
        <w:softHyphen/>
        <w:t>кателей. Выбивание масла из-под аг</w:t>
      </w:r>
      <w:r w:rsidRPr="00722885">
        <w:rPr>
          <w:rFonts w:ascii="Times New Roman" w:hAnsi="Times New Roman"/>
          <w:color w:val="000000" w:themeColor="text1"/>
          <w:sz w:val="16"/>
          <w:szCs w:val="16"/>
        </w:rPr>
        <w:softHyphen/>
        <w:t>регатов задней крышки мотора и в соединениях маслосистемы. Из-за этого возвращались с боевого зада</w:t>
      </w:r>
      <w:r w:rsidRPr="00722885">
        <w:rPr>
          <w:rFonts w:ascii="Times New Roman" w:hAnsi="Times New Roman"/>
          <w:color w:val="000000" w:themeColor="text1"/>
          <w:sz w:val="16"/>
          <w:szCs w:val="16"/>
        </w:rPr>
        <w:softHyphen/>
        <w:t>ния, так как козырек весь забрызги</w:t>
      </w:r>
      <w:r w:rsidRPr="00722885">
        <w:rPr>
          <w:rFonts w:ascii="Times New Roman" w:hAnsi="Times New Roman"/>
          <w:color w:val="000000" w:themeColor="text1"/>
          <w:sz w:val="16"/>
          <w:szCs w:val="16"/>
        </w:rPr>
        <w:softHyphen/>
        <w:t>вает маслом, и самолет становится слепым.</w:t>
      </w:r>
    </w:p>
    <w:p w14:paraId="7EF124C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горизонтальном полете у земли (разведка с бреющего полета) на ре</w:t>
      </w:r>
      <w:r w:rsidRPr="00722885">
        <w:rPr>
          <w:rFonts w:ascii="Times New Roman" w:hAnsi="Times New Roman"/>
          <w:color w:val="000000" w:themeColor="text1"/>
          <w:sz w:val="16"/>
          <w:szCs w:val="16"/>
        </w:rPr>
        <w:softHyphen/>
        <w:t>жиме Рк=850-950мм рт.ст. и п=2300-2400 с почти полностью закрытыми створками капотов мотора, темпера</w:t>
      </w:r>
      <w:r w:rsidRPr="00722885">
        <w:rPr>
          <w:rFonts w:ascii="Times New Roman" w:hAnsi="Times New Roman"/>
          <w:color w:val="000000" w:themeColor="text1"/>
          <w:sz w:val="16"/>
          <w:szCs w:val="16"/>
        </w:rPr>
        <w:softHyphen/>
        <w:t>тура головок цилиндров не превыша</w:t>
      </w:r>
      <w:r w:rsidRPr="00722885">
        <w:rPr>
          <w:rFonts w:ascii="Times New Roman" w:hAnsi="Times New Roman"/>
          <w:color w:val="000000" w:themeColor="text1"/>
          <w:sz w:val="16"/>
          <w:szCs w:val="16"/>
        </w:rPr>
        <w:softHyphen/>
        <w:t>ла 210-240 °С, а температура выходя</w:t>
      </w:r>
      <w:r w:rsidRPr="00722885">
        <w:rPr>
          <w:rFonts w:ascii="Times New Roman" w:hAnsi="Times New Roman"/>
          <w:color w:val="000000" w:themeColor="text1"/>
          <w:sz w:val="16"/>
          <w:szCs w:val="16"/>
        </w:rPr>
        <w:softHyphen/>
        <w:t>щего масла достигала 90-100 °С. Зас</w:t>
      </w:r>
      <w:r w:rsidRPr="00722885">
        <w:rPr>
          <w:rFonts w:ascii="Times New Roman" w:hAnsi="Times New Roman"/>
          <w:color w:val="000000" w:themeColor="text1"/>
          <w:sz w:val="16"/>
          <w:szCs w:val="16"/>
        </w:rPr>
        <w:softHyphen/>
        <w:t>лонка маслорадиатора была установ</w:t>
      </w:r>
      <w:r w:rsidRPr="00722885">
        <w:rPr>
          <w:rFonts w:ascii="Times New Roman" w:hAnsi="Times New Roman"/>
          <w:color w:val="000000" w:themeColor="text1"/>
          <w:sz w:val="16"/>
          <w:szCs w:val="16"/>
        </w:rPr>
        <w:softHyphen/>
        <w:t>лена по потоку, температура наружного воздуха 25-30 °С.</w:t>
      </w:r>
    </w:p>
    <w:p w14:paraId="041C983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полном закрытии створок ка</w:t>
      </w:r>
      <w:r w:rsidRPr="00722885">
        <w:rPr>
          <w:rFonts w:ascii="Times New Roman" w:hAnsi="Times New Roman"/>
          <w:color w:val="000000" w:themeColor="text1"/>
          <w:sz w:val="16"/>
          <w:szCs w:val="16"/>
        </w:rPr>
        <w:softHyphen/>
        <w:t>потов мотора температура воздуха в кабине летчика значительно повыша</w:t>
      </w:r>
      <w:r w:rsidRPr="00722885">
        <w:rPr>
          <w:rFonts w:ascii="Times New Roman" w:hAnsi="Times New Roman"/>
          <w:color w:val="000000" w:themeColor="text1"/>
          <w:sz w:val="16"/>
          <w:szCs w:val="16"/>
        </w:rPr>
        <w:softHyphen/>
        <w:t>ется вследствие негерметичности про</w:t>
      </w:r>
      <w:r w:rsidRPr="00722885">
        <w:rPr>
          <w:rFonts w:ascii="Times New Roman" w:hAnsi="Times New Roman"/>
          <w:color w:val="000000" w:themeColor="text1"/>
          <w:sz w:val="16"/>
          <w:szCs w:val="16"/>
        </w:rPr>
        <w:softHyphen/>
        <w:t>тивопожарной перегородки и недо</w:t>
      </w:r>
      <w:r w:rsidRPr="00722885">
        <w:rPr>
          <w:rFonts w:ascii="Times New Roman" w:hAnsi="Times New Roman"/>
          <w:color w:val="000000" w:themeColor="text1"/>
          <w:sz w:val="16"/>
          <w:szCs w:val="16"/>
        </w:rPr>
        <w:softHyphen/>
        <w:t>статочной высоты ее, что утомляет летчика и затрудняет полет.</w:t>
      </w:r>
    </w:p>
    <w:p w14:paraId="58078F1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воздушном бою на высотах от 1000 до 4000 метров температура головок цилиндров не превышала 210-230 С, а масла - 100-110 С, створ</w:t>
      </w:r>
      <w:r w:rsidRPr="00722885">
        <w:rPr>
          <w:rFonts w:ascii="Times New Roman" w:hAnsi="Times New Roman"/>
          <w:color w:val="000000" w:themeColor="text1"/>
          <w:sz w:val="16"/>
          <w:szCs w:val="16"/>
        </w:rPr>
        <w:softHyphen/>
        <w:t>ки капотов мотора при этом были открыты на 1/3 хода. Заслонка мас</w:t>
      </w:r>
      <w:r w:rsidRPr="00722885">
        <w:rPr>
          <w:rFonts w:ascii="Times New Roman" w:hAnsi="Times New Roman"/>
          <w:color w:val="000000" w:themeColor="text1"/>
          <w:sz w:val="16"/>
          <w:szCs w:val="16"/>
        </w:rPr>
        <w:softHyphen/>
        <w:t>лорадиатора установлена по потоку. Регулировка температуры головок цилиндров в полете затруднена из-за больших усилий на штурвале уп</w:t>
      </w:r>
      <w:r w:rsidRPr="00722885">
        <w:rPr>
          <w:rFonts w:ascii="Times New Roman" w:hAnsi="Times New Roman"/>
          <w:color w:val="000000" w:themeColor="text1"/>
          <w:sz w:val="16"/>
          <w:szCs w:val="16"/>
        </w:rPr>
        <w:softHyphen/>
        <w:t>равления створками...</w:t>
      </w:r>
    </w:p>
    <w:p w14:paraId="3509C99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работе на форсаже в тече</w:t>
      </w:r>
      <w:r w:rsidRPr="00722885">
        <w:rPr>
          <w:rFonts w:ascii="Times New Roman" w:hAnsi="Times New Roman"/>
          <w:color w:val="000000" w:themeColor="text1"/>
          <w:sz w:val="16"/>
          <w:szCs w:val="16"/>
        </w:rPr>
        <w:softHyphen/>
        <w:t>ние более 5 минут и непрерывном наборе высоты до 5000 м при темпе</w:t>
      </w:r>
      <w:r w:rsidRPr="00722885">
        <w:rPr>
          <w:rFonts w:ascii="Times New Roman" w:hAnsi="Times New Roman"/>
          <w:color w:val="000000" w:themeColor="text1"/>
          <w:sz w:val="16"/>
          <w:szCs w:val="16"/>
        </w:rPr>
        <w:softHyphen/>
        <w:t>ратуре головок цилиндров перед вы</w:t>
      </w:r>
      <w:r w:rsidRPr="00722885">
        <w:rPr>
          <w:rFonts w:ascii="Times New Roman" w:hAnsi="Times New Roman"/>
          <w:color w:val="000000" w:themeColor="text1"/>
          <w:sz w:val="16"/>
          <w:szCs w:val="16"/>
        </w:rPr>
        <w:softHyphen/>
        <w:t>летом 200-210 °С, температура голо</w:t>
      </w:r>
      <w:r w:rsidRPr="00722885">
        <w:rPr>
          <w:rFonts w:ascii="Times New Roman" w:hAnsi="Times New Roman"/>
          <w:color w:val="000000" w:themeColor="text1"/>
          <w:sz w:val="16"/>
          <w:szCs w:val="16"/>
        </w:rPr>
        <w:softHyphen/>
        <w:t>вок цилиндров доходила до верхнего предела, т.е. 250 °С при полностью открытых створках капота.</w:t>
      </w:r>
    </w:p>
    <w:p w14:paraId="538763F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 производился, как правило, через 1-1,5 мин (иногда 0,5 мин) пос</w:t>
      </w:r>
      <w:r w:rsidRPr="00722885">
        <w:rPr>
          <w:rFonts w:ascii="Times New Roman" w:hAnsi="Times New Roman"/>
          <w:color w:val="000000" w:themeColor="text1"/>
          <w:sz w:val="16"/>
          <w:szCs w:val="16"/>
        </w:rPr>
        <w:softHyphen/>
        <w:t>ле запуска мотора, вследствие чего моторы достаточно не прогревались. Обычно перед взлетом температура масла была 40-60 °С и температура головок цилиндров 120-150 °С...»</w:t>
      </w:r>
    </w:p>
    <w:p w14:paraId="0C13113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был сделан вывод, что:</w:t>
      </w:r>
    </w:p>
    <w:p w14:paraId="52872E1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«Самолет Ла-5 с мотором М-82 вследствие большой удельной нагруз</w:t>
      </w:r>
      <w:r w:rsidRPr="00722885">
        <w:rPr>
          <w:rFonts w:ascii="Times New Roman" w:hAnsi="Times New Roman"/>
          <w:color w:val="000000" w:themeColor="text1"/>
          <w:sz w:val="16"/>
          <w:szCs w:val="16"/>
        </w:rPr>
        <w:softHyphen/>
        <w:t>ки на крыло значительно уступает в воздушном бою немецким истреби</w:t>
      </w:r>
      <w:r w:rsidRPr="00722885">
        <w:rPr>
          <w:rFonts w:ascii="Times New Roman" w:hAnsi="Times New Roman"/>
          <w:color w:val="000000" w:themeColor="text1"/>
          <w:sz w:val="16"/>
          <w:szCs w:val="16"/>
        </w:rPr>
        <w:softHyphen/>
        <w:t>телям Ме-109Р-4 и Ме-109О-2 как по вертикальному маневру, так и по горизонтальной скорости.</w:t>
      </w:r>
    </w:p>
    <w:p w14:paraId="26FFDF0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Ла-5 может вести воздуш</w:t>
      </w:r>
      <w:r w:rsidRPr="00722885">
        <w:rPr>
          <w:rFonts w:ascii="Times New Roman" w:hAnsi="Times New Roman"/>
          <w:color w:val="000000" w:themeColor="text1"/>
          <w:sz w:val="16"/>
          <w:szCs w:val="16"/>
        </w:rPr>
        <w:softHyphen/>
        <w:t>ный бой с указанными немецкими истребителями — только оборонитель</w:t>
      </w:r>
      <w:r w:rsidRPr="00722885">
        <w:rPr>
          <w:rFonts w:ascii="Times New Roman" w:hAnsi="Times New Roman"/>
          <w:color w:val="000000" w:themeColor="text1"/>
          <w:sz w:val="16"/>
          <w:szCs w:val="16"/>
        </w:rPr>
        <w:softHyphen/>
        <w:t>ный, так как, имея превосходство в го</w:t>
      </w:r>
      <w:r w:rsidRPr="00722885">
        <w:rPr>
          <w:rFonts w:ascii="Times New Roman" w:hAnsi="Times New Roman"/>
          <w:color w:val="000000" w:themeColor="text1"/>
          <w:sz w:val="16"/>
          <w:szCs w:val="16"/>
        </w:rPr>
        <w:softHyphen/>
        <w:t>ризонтальной скорости и вертикаль</w:t>
      </w:r>
      <w:r w:rsidRPr="00722885">
        <w:rPr>
          <w:rFonts w:ascii="Times New Roman" w:hAnsi="Times New Roman"/>
          <w:color w:val="000000" w:themeColor="text1"/>
          <w:sz w:val="16"/>
          <w:szCs w:val="16"/>
        </w:rPr>
        <w:softHyphen/>
        <w:t>ном маневре истребители противни</w:t>
      </w:r>
      <w:r w:rsidRPr="00722885">
        <w:rPr>
          <w:rFonts w:ascii="Times New Roman" w:hAnsi="Times New Roman"/>
          <w:color w:val="000000" w:themeColor="text1"/>
          <w:sz w:val="16"/>
          <w:szCs w:val="16"/>
        </w:rPr>
        <w:softHyphen/>
        <w:t>ка имеют большое преимущество в выборе наивыгоднейших позиций для атаки, что дает возможность их чис</w:t>
      </w:r>
      <w:r w:rsidRPr="00722885">
        <w:rPr>
          <w:rFonts w:ascii="Times New Roman" w:hAnsi="Times New Roman"/>
          <w:color w:val="000000" w:themeColor="text1"/>
          <w:sz w:val="16"/>
          <w:szCs w:val="16"/>
        </w:rPr>
        <w:softHyphen/>
        <w:t>ленно меньшей группе сковывать чис</w:t>
      </w:r>
      <w:r w:rsidRPr="00722885">
        <w:rPr>
          <w:rFonts w:ascii="Times New Roman" w:hAnsi="Times New Roman"/>
          <w:color w:val="000000" w:themeColor="text1"/>
          <w:sz w:val="16"/>
          <w:szCs w:val="16"/>
        </w:rPr>
        <w:softHyphen/>
        <w:t>ленно превосходящую группу само</w:t>
      </w:r>
      <w:r w:rsidRPr="00722885">
        <w:rPr>
          <w:rFonts w:ascii="Times New Roman" w:hAnsi="Times New Roman"/>
          <w:color w:val="000000" w:themeColor="text1"/>
          <w:sz w:val="16"/>
          <w:szCs w:val="16"/>
        </w:rPr>
        <w:softHyphen/>
        <w:t>летов Ла-5 и навязывать ей бой на выгодных для себя условиях...» (10699).</w:t>
      </w:r>
    </w:p>
    <w:p w14:paraId="411CE67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CC331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ОКБ Лавочкина вернулось из Тбилиси, до этого на помощь ему НКАП направлял на завод №21 всех конструкторов, ка</w:t>
      </w:r>
      <w:r w:rsidRPr="00722885">
        <w:rPr>
          <w:rFonts w:ascii="Times New Roman" w:hAnsi="Times New Roman"/>
          <w:color w:val="000000" w:themeColor="text1"/>
          <w:sz w:val="16"/>
          <w:szCs w:val="16"/>
        </w:rPr>
        <w:softHyphen/>
        <w:t>ких мог наскрести в других, менее важных местах. С новыми силами ОКБ принялось за облегчение самолета и устранение выявленных недостатков. Но главные надежды были связаны с повышением мощности мотора (10699).</w:t>
      </w:r>
    </w:p>
    <w:p w14:paraId="374B677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2CDA775"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октябре 1942 г. ОКБ Лавочкина вернулось из Тбилиси, до этого на помощь ему НКАП на</w:t>
      </w:r>
      <w:r w:rsidRPr="00722885">
        <w:rPr>
          <w:rFonts w:ascii="Times New Roman" w:cs="Times New Roman"/>
          <w:color w:val="000000" w:themeColor="text1"/>
          <w:spacing w:val="0"/>
        </w:rPr>
        <w:softHyphen/>
        <w:t>правлял на завод № 21 всех конструкторов, каких мог наскрести в других, менее ва</w:t>
      </w:r>
      <w:r w:rsidRPr="00722885">
        <w:rPr>
          <w:rFonts w:ascii="Times New Roman" w:cs="Times New Roman"/>
          <w:color w:val="000000" w:themeColor="text1"/>
          <w:spacing w:val="0"/>
        </w:rPr>
        <w:softHyphen/>
        <w:t>жных местах. С новыми силами ОКБ принялось за облегчение самолёта и устранение выявленных недостатков. Но главные надежды связывали с повышением мощности мотора. И эти надежды окакзались небеспочвенными (15813).</w:t>
      </w:r>
    </w:p>
    <w:p w14:paraId="069E222D"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p>
    <w:p w14:paraId="7B91D6A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при испытании в НИИ ВВС КА самолета Ла-5 №37210444 на наивыгоднейшем ре</w:t>
      </w:r>
      <w:r w:rsidRPr="00722885">
        <w:rPr>
          <w:rFonts w:ascii="Times New Roman" w:hAnsi="Times New Roman"/>
          <w:color w:val="000000" w:themeColor="text1"/>
          <w:sz w:val="16"/>
          <w:szCs w:val="16"/>
        </w:rPr>
        <w:softHyphen/>
        <w:t>жиме на высотах Н=500-2000 м по</w:t>
      </w:r>
      <w:r w:rsidRPr="00722885">
        <w:rPr>
          <w:rFonts w:ascii="Times New Roman" w:hAnsi="Times New Roman"/>
          <w:color w:val="000000" w:themeColor="text1"/>
          <w:sz w:val="16"/>
          <w:szCs w:val="16"/>
        </w:rPr>
        <w:softHyphen/>
        <w:t>лучена дальность полета 960-970 км (10705).</w:t>
      </w:r>
    </w:p>
    <w:p w14:paraId="24E5FC9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61756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года испытания Ла-5 № 37210404 в НИИ ВВС показали, что в полете на наивыгоднейшей скорости и высоте до 2000 м дальность не превышала 960-970 км. Летом следующего года дальность Ла-5 № 37212124 снизилась до 820 км, а на Ла-5Ф № 37212501 - до 580 км. В обоих случаях запас горючего был по 340 кг, но на Ла-5Ф дополнительной причиной снижения дальности стала ухудшившаяся аэродинамика (12032).</w:t>
      </w:r>
    </w:p>
    <w:p w14:paraId="68685BF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69E01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 производство истребителя Лавочкина с двигателем М-82 постановлением ГКО и приказом НКАП расширилось за счет сокращения выпуска штурмовиков Ил-2 и бомбардировщиков Ту-2 на заводах № 99 (Улан-Удэ) и № 381 (Нижний Тагил) (4707).</w:t>
      </w:r>
    </w:p>
    <w:p w14:paraId="76A6D0FA" w14:textId="77777777" w:rsidR="00090C9B" w:rsidRPr="00722885" w:rsidRDefault="00090C9B" w:rsidP="00722885">
      <w:pPr>
        <w:pStyle w:val="Iauiue"/>
        <w:jc w:val="both"/>
        <w:rPr>
          <w:color w:val="000000" w:themeColor="text1"/>
          <w:sz w:val="16"/>
          <w:szCs w:val="16"/>
        </w:rPr>
      </w:pPr>
    </w:p>
    <w:p w14:paraId="78AC0D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вышел приказ НКАП, предписывалось построить две машины с полетным весом 3000 кг и вооружением из одной пушки ШВАК и пулемета БС. Первый истребитель требовалось передать на государственные испытания к 1 ноября, а второй - спустя 19 дней, что и было выполнено, но с некоторой задержкой. Несмотря на то, что осенью 1942 года Ла-5 во все возрастающих количествах шли на фронт, их летные характеристики оставляли желать лучшего. Конструкторы и технологи постоянно искали пути повышения качества своей продукции и пытались добиться ее соответствия постановлениям правительства (12032).</w:t>
      </w:r>
    </w:p>
    <w:p w14:paraId="7B93378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9C6C4E8" w14:textId="77777777" w:rsidR="00C66249" w:rsidRPr="00722885" w:rsidRDefault="00C66249"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ок тябре 1942 г. авиаконструктор М.И. Гудков ознакомился в НКАП с чертежами двигателя РД-1 A.M. Люльки и предло жил ему сделать проект реактивного самолета на базе винто моторного истребителя ЛаГГ-3.</w:t>
      </w:r>
    </w:p>
    <w:p w14:paraId="397CEA66" w14:textId="77777777" w:rsidR="00C66249" w:rsidRPr="00722885" w:rsidRDefault="00C66249"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Предварительные расчеты показали, что на машине тако го типа с установкой ТРД A.M. Люльки вместо штатного мо тора М-105П можно получить скорость в 1000 км/ч.</w:t>
      </w:r>
    </w:p>
    <w:p w14:paraId="08391709" w14:textId="77777777" w:rsidR="00C66249" w:rsidRPr="00722885" w:rsidRDefault="00C66249"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Проект самолета ЛаГГ-3 с РД-1 предусматривал размещение двигателя по реданной схеме. Это был моноплан с ТРД, размещенным снизу и немного сза ди носовой части фюзеляжа. За обрезом реактивного сопла образовывался уступ, после которого хвостовая часть фюзеля жа имела заметно меньшее сечение, чем носовая.</w:t>
      </w:r>
    </w:p>
    <w:p w14:paraId="11356ECB" w14:textId="77777777" w:rsidR="00C66249" w:rsidRPr="00722885" w:rsidRDefault="00C66249"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Проект ЛаГГ-ЗВРД (Гу-ВРД) был рассмотрен в НИИ ВВС.</w:t>
      </w:r>
    </w:p>
    <w:p w14:paraId="49E80FE7" w14:textId="77777777" w:rsidR="00C66249" w:rsidRPr="00722885" w:rsidRDefault="00C66249" w:rsidP="00722885">
      <w:pPr>
        <w:pStyle w:val="ae"/>
        <w:shd w:val="clear" w:color="auto" w:fill="FFFFFF"/>
        <w:spacing w:before="0" w:after="0"/>
        <w:jc w:val="both"/>
        <w:rPr>
          <w:color w:val="000000" w:themeColor="text1"/>
          <w:sz w:val="16"/>
          <w:szCs w:val="16"/>
        </w:rPr>
      </w:pPr>
      <w:r w:rsidRPr="00722885">
        <w:rPr>
          <w:color w:val="000000" w:themeColor="text1"/>
          <w:sz w:val="16"/>
          <w:szCs w:val="16"/>
        </w:rPr>
        <w:t>Заостренный нос самолета имел четыре входных канала для забора воздуха в двигатель. Крыло трапециевидное в пла не с закругленными законцовками. Хвостовое оперение обыч ное. Шасси с хвостовым колесом, убирающееся. Взлетная масса самолета — 2250 кг. Запас топлива — 400 кг, масса — 12 кг.</w:t>
      </w:r>
    </w:p>
    <w:p w14:paraId="66B6E68F" w14:textId="77777777" w:rsidR="00C66249" w:rsidRPr="00722885" w:rsidRDefault="00C66249" w:rsidP="00722885">
      <w:pPr>
        <w:pStyle w:val="ae"/>
        <w:shd w:val="clear" w:color="auto" w:fill="FFFFFF"/>
        <w:spacing w:before="0" w:after="0"/>
        <w:jc w:val="both"/>
        <w:rPr>
          <w:color w:val="000000" w:themeColor="text1"/>
          <w:sz w:val="16"/>
          <w:szCs w:val="16"/>
        </w:rPr>
      </w:pPr>
      <w:r w:rsidRPr="00722885">
        <w:rPr>
          <w:color w:val="000000" w:themeColor="text1"/>
          <w:sz w:val="16"/>
          <w:szCs w:val="16"/>
        </w:rPr>
        <w:t>Масса двигателя— 700 кг, диаметр— 0,9 м, длина— 2,1 м.</w:t>
      </w:r>
    </w:p>
    <w:p w14:paraId="11B7ED65" w14:textId="77777777" w:rsidR="00C66249" w:rsidRPr="00722885" w:rsidRDefault="00C66249"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Площадь крыла относительно небольшая — 11,0 м 2.</w:t>
      </w:r>
    </w:p>
    <w:p w14:paraId="581AEF51" w14:textId="77777777" w:rsidR="00C66249" w:rsidRPr="00722885" w:rsidRDefault="00C66249"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Вооружение самолета должно было размещаться сверху в носовой части фюзеляжа и включать одну пушку ШВАК с за пасом 200 снарядов и один крупнокалиберный пулемет БС с запасом 200 патронов. Статическая тяга двигателя предпола галась 1500 кгс. По расчетам Гудкова максимальная скорость полета у земли должна была составить 870 км/ч, а на высоте 6000 м— 900...1000 км/ч. Время набора высоты 5000 м — 1,39 мин. Дальность полета на скорости М = 0,8 от максималь ной — до 700 км. Основные расчетные тактико-технические характеристики самолета Гу-ВРД даны в табл. 17 прил. 1. Со ответственно, продолжительность полета — около 1 ч. Длина разбега по расчету — 222 м. Последующий опыт постройки са молетов с ТРД показал, что этот прогноз был слишком опти мистичен. Посадочная скорость — 141 км/ч</w:t>
      </w:r>
    </w:p>
    <w:p w14:paraId="1C5BD609" w14:textId="77777777" w:rsidR="00C66249" w:rsidRPr="00722885" w:rsidRDefault="00C66249" w:rsidP="00722885">
      <w:pPr>
        <w:pStyle w:val="ae"/>
        <w:shd w:val="clear" w:color="auto" w:fill="FFFFFF"/>
        <w:spacing w:before="0" w:after="0"/>
        <w:jc w:val="both"/>
        <w:rPr>
          <w:color w:val="000000" w:themeColor="text1"/>
          <w:sz w:val="16"/>
          <w:szCs w:val="16"/>
        </w:rPr>
      </w:pPr>
      <w:r w:rsidRPr="00722885">
        <w:rPr>
          <w:color w:val="000000" w:themeColor="text1"/>
          <w:sz w:val="16"/>
          <w:szCs w:val="16"/>
        </w:rPr>
        <w:t>Резолюция руководства института от 10 апреля 1943 г. в ад рес начальника самолетного отдела гласила: «Срочно дайте заключение по проекту сверхскоростного истребителя-перехват чика с двигателем Люльки конструкции Гудкова». Начальник отдела И.И. Сафронов в своей резолюции исполнителю от 17 ап реля 1943 г. писал: «... самолет летать, по-видимому, будет с указанной скоростью, но беда в том, что двигателя, кроме фа милии автора, на сегодня нет. Следовательно, упор на двига тель». Под этим предлогом эскизный проект Гу-ВРД был от клонен, инициатива Гудкова не нашла поддержки.</w:t>
      </w:r>
    </w:p>
    <w:p w14:paraId="0A2EE86C" w14:textId="77777777" w:rsidR="00C66249" w:rsidRPr="00722885" w:rsidRDefault="00C66249" w:rsidP="00722885">
      <w:pPr>
        <w:pStyle w:val="ae"/>
        <w:shd w:val="clear" w:color="auto" w:fill="FFFFFF"/>
        <w:spacing w:before="0" w:after="0"/>
        <w:jc w:val="both"/>
        <w:rPr>
          <w:color w:val="000000" w:themeColor="text1"/>
          <w:sz w:val="16"/>
          <w:szCs w:val="16"/>
        </w:rPr>
      </w:pPr>
      <w:r w:rsidRPr="00722885">
        <w:rPr>
          <w:color w:val="000000" w:themeColor="text1"/>
          <w:sz w:val="16"/>
          <w:szCs w:val="16"/>
        </w:rPr>
        <w:t>Между тем в объяснительной записке к проекту Гудк указывал, что на тот момент уже была успешно испытана к мера сгорания двигателя A.M. Люльки, построен и испытан двухступенчатый осевой нагнетатель (компрессор), дающий степень сжатия в одной ступени 1,25 при КПД 0,75, что тоже было вполне успешным. Был спроектирован и на 70 % изго товлен опытный образец двигателя с тягой 750 кгс у земли, а не 530 кгс, как говорилось выше. При этом Гудков отмечал, что изготовленный двигатель, а также основные кадры кол лектива его создателей находятся в Москве. Люлька планиро вал приступить к созданию двигателя со статической тягой 1500 кгс. Никакой реакции на эту информацию не последова ло: нет двигателя и все тут (19586).</w:t>
      </w:r>
    </w:p>
    <w:p w14:paraId="44971FD8" w14:textId="77777777" w:rsidR="00C66249" w:rsidRPr="00722885" w:rsidRDefault="00C66249" w:rsidP="00722885">
      <w:pPr>
        <w:pStyle w:val="ae"/>
        <w:shd w:val="clear" w:color="auto" w:fill="FFFFFF"/>
        <w:spacing w:before="0" w:after="0"/>
        <w:jc w:val="both"/>
        <w:rPr>
          <w:color w:val="000000" w:themeColor="text1"/>
          <w:sz w:val="16"/>
          <w:szCs w:val="16"/>
        </w:rPr>
      </w:pPr>
    </w:p>
    <w:p w14:paraId="74AD8C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292 завод полностью перешел на производство Як-1б (65,66).</w:t>
      </w:r>
    </w:p>
    <w:p w14:paraId="40F579A0" w14:textId="77777777" w:rsidR="00090C9B" w:rsidRPr="00722885" w:rsidRDefault="00090C9B" w:rsidP="00722885">
      <w:pPr>
        <w:pStyle w:val="Iauiue"/>
        <w:jc w:val="both"/>
        <w:rPr>
          <w:color w:val="000000" w:themeColor="text1"/>
          <w:sz w:val="16"/>
          <w:szCs w:val="16"/>
        </w:rPr>
      </w:pPr>
    </w:p>
    <w:p w14:paraId="2447D3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на 292 заводе, в ЛИИ и НИИ ВВС испытывался Як-1 с улучшенной аэродинамикой (65,60).</w:t>
      </w:r>
    </w:p>
    <w:p w14:paraId="72936AC7" w14:textId="77777777" w:rsidR="00090C9B" w:rsidRPr="00722885" w:rsidRDefault="00090C9B" w:rsidP="00722885">
      <w:pPr>
        <w:pStyle w:val="Iauiue"/>
        <w:jc w:val="both"/>
        <w:rPr>
          <w:color w:val="000000" w:themeColor="text1"/>
          <w:sz w:val="16"/>
          <w:szCs w:val="16"/>
        </w:rPr>
      </w:pPr>
    </w:p>
    <w:p w14:paraId="1C7442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в НИИ ВВС испытывался серийный Як-1 N 16-99 т в бригаде были ли В.Н.Коченюк (военпред на 292) и и ЛИИ В.Я.Молочаев (65,60).</w:t>
      </w:r>
    </w:p>
    <w:p w14:paraId="33173DB3" w14:textId="77777777" w:rsidR="00090C9B" w:rsidRPr="00722885" w:rsidRDefault="00090C9B" w:rsidP="00722885">
      <w:pPr>
        <w:pStyle w:val="Iauiue"/>
        <w:jc w:val="both"/>
        <w:rPr>
          <w:color w:val="000000" w:themeColor="text1"/>
          <w:sz w:val="16"/>
          <w:szCs w:val="16"/>
        </w:rPr>
      </w:pPr>
    </w:p>
    <w:p w14:paraId="1DA6C6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ЛИИ испытывал серийный Як-1 с точки зрения соблюдения рекомендаций ЦАГИ и ЛИИ по улучшению аэродинамики (65,61).</w:t>
      </w:r>
    </w:p>
    <w:p w14:paraId="22147218" w14:textId="77777777" w:rsidR="00090C9B" w:rsidRPr="00722885" w:rsidRDefault="00090C9B" w:rsidP="00722885">
      <w:pPr>
        <w:pStyle w:val="Iauiue"/>
        <w:jc w:val="both"/>
        <w:rPr>
          <w:color w:val="000000" w:themeColor="text1"/>
          <w:sz w:val="16"/>
          <w:szCs w:val="16"/>
        </w:rPr>
      </w:pPr>
    </w:p>
    <w:p w14:paraId="0569BE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 испытания, проведенные в ЛИИ, показали, что Як-1 с улучшенной аэродинамикой превосходил своих серийных “собратьев" в скорости на 10-15 км/ч, а в скороподъемности - примерно на 7% (4537).</w:t>
      </w:r>
    </w:p>
    <w:p w14:paraId="44C9FEF7" w14:textId="77777777" w:rsidR="00090C9B" w:rsidRPr="00722885" w:rsidRDefault="00090C9B" w:rsidP="00722885">
      <w:pPr>
        <w:pStyle w:val="Iauiue"/>
        <w:jc w:val="both"/>
        <w:rPr>
          <w:color w:val="000000" w:themeColor="text1"/>
          <w:sz w:val="16"/>
          <w:szCs w:val="16"/>
        </w:rPr>
      </w:pPr>
    </w:p>
    <w:p w14:paraId="1447159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октября 1942 г. но</w:t>
      </w:r>
      <w:r w:rsidRPr="00722885">
        <w:rPr>
          <w:rFonts w:ascii="Times New Roman" w:hAnsi="Times New Roman"/>
          <w:color w:val="000000" w:themeColor="text1"/>
          <w:sz w:val="16"/>
          <w:szCs w:val="16"/>
        </w:rPr>
        <w:softHyphen/>
        <w:t>восибирский завод №153 па</w:t>
      </w:r>
      <w:r w:rsidRPr="00722885">
        <w:rPr>
          <w:rFonts w:ascii="Times New Roman" w:hAnsi="Times New Roman"/>
          <w:color w:val="000000" w:themeColor="text1"/>
          <w:sz w:val="16"/>
          <w:szCs w:val="16"/>
        </w:rPr>
        <w:softHyphen/>
        <w:t>раллельно с выпуском Як-7Б начал изготавливать новые истребители, получившие обозначение Як-9. Их доля в продукции завода непрерыв</w:t>
      </w:r>
      <w:r w:rsidRPr="00722885">
        <w:rPr>
          <w:rFonts w:ascii="Times New Roman" w:hAnsi="Times New Roman"/>
          <w:color w:val="000000" w:themeColor="text1"/>
          <w:sz w:val="16"/>
          <w:szCs w:val="16"/>
        </w:rPr>
        <w:softHyphen/>
        <w:t>но возрастала. В серии был реализован только облегчен</w:t>
      </w:r>
      <w:r w:rsidRPr="00722885">
        <w:rPr>
          <w:rFonts w:ascii="Times New Roman" w:hAnsi="Times New Roman"/>
          <w:color w:val="000000" w:themeColor="text1"/>
          <w:sz w:val="16"/>
          <w:szCs w:val="16"/>
        </w:rPr>
        <w:softHyphen/>
        <w:t>ный вариант истребителя, как более нужный для ВВС (два бензобака не ставили, при этом закрывавшие их ха</w:t>
      </w:r>
      <w:r w:rsidRPr="00722885">
        <w:rPr>
          <w:rFonts w:ascii="Times New Roman" w:hAnsi="Times New Roman"/>
          <w:color w:val="000000" w:themeColor="text1"/>
          <w:sz w:val="16"/>
          <w:szCs w:val="16"/>
        </w:rPr>
        <w:softHyphen/>
        <w:t>рактерные дюралевые пане</w:t>
      </w:r>
      <w:r w:rsidRPr="00722885">
        <w:rPr>
          <w:rFonts w:ascii="Times New Roman" w:hAnsi="Times New Roman"/>
          <w:color w:val="000000" w:themeColor="text1"/>
          <w:sz w:val="16"/>
          <w:szCs w:val="16"/>
        </w:rPr>
        <w:softHyphen/>
        <w:t>ли на нижней поверхности крыла сохранили). C октября 1942 г. по август 1943 г. было пос</w:t>
      </w:r>
      <w:r w:rsidRPr="00722885">
        <w:rPr>
          <w:rFonts w:ascii="Times New Roman" w:hAnsi="Times New Roman"/>
          <w:color w:val="000000" w:themeColor="text1"/>
          <w:sz w:val="16"/>
          <w:szCs w:val="16"/>
        </w:rPr>
        <w:softHyphen/>
        <w:t>троено 459 ранних Як-9. Од</w:t>
      </w:r>
      <w:r w:rsidRPr="00722885">
        <w:rPr>
          <w:rFonts w:ascii="Times New Roman" w:hAnsi="Times New Roman"/>
          <w:color w:val="000000" w:themeColor="text1"/>
          <w:sz w:val="16"/>
          <w:szCs w:val="16"/>
        </w:rPr>
        <w:softHyphen/>
        <w:t>нако гонка за численными показателями обернулась крупными неприятностями, связанными с нарушением технологии. Потреб</w:t>
      </w:r>
      <w:r w:rsidRPr="00722885">
        <w:rPr>
          <w:rFonts w:ascii="Times New Roman" w:hAnsi="Times New Roman"/>
          <w:color w:val="000000" w:themeColor="text1"/>
          <w:sz w:val="16"/>
          <w:szCs w:val="16"/>
        </w:rPr>
        <w:softHyphen/>
        <w:t>ность в таком самолете ощу</w:t>
      </w:r>
      <w:r w:rsidRPr="00722885">
        <w:rPr>
          <w:rFonts w:ascii="Times New Roman" w:hAnsi="Times New Roman"/>
          <w:color w:val="000000" w:themeColor="text1"/>
          <w:sz w:val="16"/>
          <w:szCs w:val="16"/>
        </w:rPr>
        <w:softHyphen/>
        <w:t>щалась настолько остро, что его выпуск с января 1943 г. наладили и на заводе № 166 в Омске, свернув там с боль</w:t>
      </w:r>
      <w:r w:rsidRPr="00722885">
        <w:rPr>
          <w:rFonts w:ascii="Times New Roman" w:hAnsi="Times New Roman"/>
          <w:color w:val="000000" w:themeColor="text1"/>
          <w:sz w:val="16"/>
          <w:szCs w:val="16"/>
        </w:rPr>
        <w:softHyphen/>
        <w:t>шим трудом налаженное производство новых бомбар</w:t>
      </w:r>
      <w:r w:rsidRPr="00722885">
        <w:rPr>
          <w:rFonts w:ascii="Times New Roman" w:hAnsi="Times New Roman"/>
          <w:color w:val="000000" w:themeColor="text1"/>
          <w:sz w:val="16"/>
          <w:szCs w:val="16"/>
        </w:rPr>
        <w:softHyphen/>
        <w:t>дировщиков Ту-2 (10712).</w:t>
      </w:r>
    </w:p>
    <w:p w14:paraId="0612E1E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D70EAF4" w14:textId="77777777" w:rsidR="002630D2" w:rsidRPr="00722885" w:rsidRDefault="002630D2"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октябре 1942 г. (первый полёт состоялся 1 октября) лётчи</w:t>
      </w:r>
      <w:r w:rsidRPr="00722885">
        <w:rPr>
          <w:rFonts w:ascii="Times New Roman" w:cs="Times New Roman"/>
          <w:color w:val="000000" w:themeColor="text1"/>
          <w:spacing w:val="0"/>
        </w:rPr>
        <w:softHyphen/>
        <w:t>к П.Я. Федрови под руководст</w:t>
      </w:r>
      <w:r w:rsidRPr="00722885">
        <w:rPr>
          <w:rFonts w:ascii="Times New Roman" w:cs="Times New Roman"/>
          <w:color w:val="000000" w:themeColor="text1"/>
          <w:spacing w:val="0"/>
        </w:rPr>
        <w:softHyphen/>
        <w:t>вом ведущего инженера К.В. Синельщикова провел испытания Як-7ДИ и выяснил, что истребитель при нормаль</w:t>
      </w:r>
      <w:r w:rsidRPr="00722885">
        <w:rPr>
          <w:rFonts w:ascii="Times New Roman" w:cs="Times New Roman"/>
          <w:color w:val="000000" w:themeColor="text1"/>
          <w:spacing w:val="0"/>
        </w:rPr>
        <w:softHyphen/>
        <w:t>ном полётном весе 2825 кг (вес пустого - 2348 кг) развивал скорость до 593 км/ч, на 23 км/ч больше, чем у Як-7Б.</w:t>
      </w:r>
    </w:p>
    <w:p w14:paraId="0FF2678A" w14:textId="77777777" w:rsidR="002630D2" w:rsidRPr="00722885" w:rsidRDefault="002630D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Истребитель Як-7ДИ успешно выдержал госиспытания и рекомендовался к серийно</w:t>
      </w:r>
      <w:r w:rsidRPr="00722885">
        <w:rPr>
          <w:rFonts w:ascii="Times New Roman" w:hAnsi="Times New Roman"/>
          <w:color w:val="000000" w:themeColor="text1"/>
          <w:sz w:val="16"/>
          <w:szCs w:val="16"/>
        </w:rPr>
        <w:softHyphen/>
        <w:t>му производству при условии устранения выявленных дефектов. После его доводки затянувшейся почти на два месяца, по</w:t>
      </w:r>
      <w:r w:rsidRPr="00722885">
        <w:rPr>
          <w:rFonts w:ascii="Times New Roman" w:hAnsi="Times New Roman"/>
          <w:color w:val="000000" w:themeColor="text1"/>
          <w:sz w:val="16"/>
          <w:szCs w:val="16"/>
        </w:rPr>
        <w:softHyphen/>
        <w:t>явился фактически новый самолёт - Як-9, запущенный в серию. Внешне он отличался от Як-7Б одноместной кабиной без гаргрота, щитки на основных опорах шасси сделали цельными. Как и на Як-7ДИ, на истребителе имелись мотор-пушка МП-20 (ШВАК) и син</w:t>
      </w:r>
      <w:r w:rsidRPr="00722885">
        <w:rPr>
          <w:rFonts w:ascii="Times New Roman" w:hAnsi="Times New Roman"/>
          <w:color w:val="000000" w:themeColor="text1"/>
          <w:sz w:val="16"/>
          <w:szCs w:val="16"/>
        </w:rPr>
        <w:softHyphen/>
        <w:t>хронный пулемёт УБС с боезапасом 120 и 200 патронов соответственно, но отсутство</w:t>
      </w:r>
      <w:r w:rsidRPr="00722885">
        <w:rPr>
          <w:rFonts w:ascii="Times New Roman" w:hAnsi="Times New Roman"/>
          <w:color w:val="000000" w:themeColor="text1"/>
          <w:sz w:val="16"/>
          <w:szCs w:val="16"/>
        </w:rPr>
        <w:softHyphen/>
        <w:t>вали крыльевые бомбодержатели. Самолёт укомплектовали радиостанцией РСИ-4 и кислородным прибором КПА-Збис (19103).</w:t>
      </w:r>
    </w:p>
    <w:p w14:paraId="617AC4E4" w14:textId="77777777" w:rsidR="002630D2" w:rsidRPr="00722885" w:rsidRDefault="002630D2" w:rsidP="00722885">
      <w:pPr>
        <w:spacing w:after="0" w:line="240" w:lineRule="auto"/>
        <w:jc w:val="both"/>
        <w:rPr>
          <w:rFonts w:ascii="Times New Roman" w:hAnsi="Times New Roman"/>
          <w:color w:val="000000" w:themeColor="text1"/>
          <w:sz w:val="16"/>
          <w:szCs w:val="16"/>
        </w:rPr>
      </w:pPr>
    </w:p>
    <w:p w14:paraId="3DE03BA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на испытания вышел самолет Як-9 с мотором М-106-1ск, оснащенным односкоростным нагнетателем. Но двигатель работал неудов</w:t>
      </w:r>
      <w:r w:rsidRPr="00722885">
        <w:rPr>
          <w:rFonts w:ascii="Times New Roman" w:hAnsi="Times New Roman"/>
          <w:color w:val="000000" w:themeColor="text1"/>
          <w:sz w:val="16"/>
          <w:szCs w:val="16"/>
        </w:rPr>
        <w:softHyphen/>
        <w:t>летворительно, и этот истребитель остался в опытном экземпляре. Такая же судьба пос</w:t>
      </w:r>
      <w:r w:rsidRPr="00722885">
        <w:rPr>
          <w:rFonts w:ascii="Times New Roman" w:hAnsi="Times New Roman"/>
          <w:color w:val="000000" w:themeColor="text1"/>
          <w:sz w:val="16"/>
          <w:szCs w:val="16"/>
        </w:rPr>
        <w:softHyphen/>
        <w:t>тигла и следующий вариант Як-9, испытывав</w:t>
      </w:r>
      <w:r w:rsidRPr="00722885">
        <w:rPr>
          <w:rFonts w:ascii="Times New Roman" w:hAnsi="Times New Roman"/>
          <w:color w:val="000000" w:themeColor="text1"/>
          <w:sz w:val="16"/>
          <w:szCs w:val="16"/>
        </w:rPr>
        <w:softHyphen/>
        <w:t>шийся в декабре 1942 г. с перспективным М-107А, который при почти таких же габаритах, как М-105ПФ, имел гораздо большую мощ</w:t>
      </w:r>
      <w:r w:rsidRPr="00722885">
        <w:rPr>
          <w:rFonts w:ascii="Times New Roman" w:hAnsi="Times New Roman"/>
          <w:color w:val="000000" w:themeColor="text1"/>
          <w:sz w:val="16"/>
          <w:szCs w:val="16"/>
        </w:rPr>
        <w:softHyphen/>
        <w:t xml:space="preserve">ность и очень хорошо подходил для «Яков». Однако он был еще очень </w:t>
      </w:r>
      <w:r w:rsidRPr="00722885">
        <w:rPr>
          <w:rFonts w:ascii="Times New Roman" w:hAnsi="Times New Roman"/>
          <w:color w:val="000000" w:themeColor="text1"/>
          <w:sz w:val="16"/>
          <w:szCs w:val="16"/>
        </w:rPr>
        <w:lastRenderedPageBreak/>
        <w:t>«сырым», и однаж</w:t>
      </w:r>
      <w:r w:rsidRPr="00722885">
        <w:rPr>
          <w:rFonts w:ascii="Times New Roman" w:hAnsi="Times New Roman"/>
          <w:color w:val="000000" w:themeColor="text1"/>
          <w:sz w:val="16"/>
          <w:szCs w:val="16"/>
        </w:rPr>
        <w:softHyphen/>
        <w:t>ды из-за отказа двигателя самолет потерпел аварию, в которой чуть не погиб один из ве</w:t>
      </w:r>
      <w:r w:rsidRPr="00722885">
        <w:rPr>
          <w:rFonts w:ascii="Times New Roman" w:hAnsi="Times New Roman"/>
          <w:color w:val="000000" w:themeColor="text1"/>
          <w:sz w:val="16"/>
          <w:szCs w:val="16"/>
        </w:rPr>
        <w:softHyphen/>
        <w:t>дущих советских военных летчиков-испыта</w:t>
      </w:r>
      <w:r w:rsidRPr="00722885">
        <w:rPr>
          <w:rFonts w:ascii="Times New Roman" w:hAnsi="Times New Roman"/>
          <w:color w:val="000000" w:themeColor="text1"/>
          <w:sz w:val="16"/>
          <w:szCs w:val="16"/>
        </w:rPr>
        <w:softHyphen/>
        <w:t>телей П.М. Стефановский (10712).</w:t>
      </w:r>
    </w:p>
    <w:p w14:paraId="5E5DC49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E4CD5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153 и 166 заводы стали выпускать Як-9 М-105ПФ и делали их по февраль 1943 (153 - с 1 по 3 серия и последний был 03-51- сделал 195, а 166 - с 1 по 6 сделав 264) (65,112).</w:t>
      </w:r>
    </w:p>
    <w:p w14:paraId="74B177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 153, 166, 82 заводы до декабря 1948 сделали 16769 Як-9 15 основных модификаций (из 22) (65,111).</w:t>
      </w:r>
    </w:p>
    <w:p w14:paraId="57310610" w14:textId="77777777" w:rsidR="00090C9B" w:rsidRPr="00722885" w:rsidRDefault="00090C9B" w:rsidP="00722885">
      <w:pPr>
        <w:pStyle w:val="Iauiue"/>
        <w:jc w:val="both"/>
        <w:rPr>
          <w:color w:val="000000" w:themeColor="text1"/>
          <w:sz w:val="16"/>
          <w:szCs w:val="16"/>
        </w:rPr>
      </w:pPr>
    </w:p>
    <w:p w14:paraId="0EC273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был построен Як-9 с М-106-1ск как дублер Як-7ДИ на основе серийного Як-7 N 23-91 с мотором М-105ПФ, который продолжительное время был в эксплуатации и прошел серию испытаний на выносливость (1000 фигур и 500 посадок) (65,69).</w:t>
      </w:r>
    </w:p>
    <w:p w14:paraId="54DB66FE" w14:textId="77777777" w:rsidR="00090C9B" w:rsidRPr="00722885" w:rsidRDefault="00090C9B" w:rsidP="00722885">
      <w:pPr>
        <w:pStyle w:val="Iauiue"/>
        <w:jc w:val="both"/>
        <w:rPr>
          <w:color w:val="000000" w:themeColor="text1"/>
          <w:sz w:val="16"/>
          <w:szCs w:val="16"/>
        </w:rPr>
      </w:pPr>
    </w:p>
    <w:p w14:paraId="000B07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года завод приступил к изготовлению металлических частей для крыла и к сдаче крыла в готовом виде заводу № 82 сначала для самолетов ЯК-7, а с 1944 года – для самолетов ЯК-9.</w:t>
      </w:r>
    </w:p>
    <w:p w14:paraId="4221E8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июле 1942 года директором завода был назначен Смирнов И.Н.</w:t>
      </w:r>
    </w:p>
    <w:p w14:paraId="29D152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Приказом НКАП от 30 декабря 1944 года за № 712сс на завод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5E5912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Директором завода в мае 1945 года был назначен Сычев В.В.</w:t>
      </w:r>
    </w:p>
    <w:p w14:paraId="1A31A2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7D2F07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Этим же приказом директором завода назначен гл. конструктор С.А. Лавочкин.</w:t>
      </w:r>
    </w:p>
    <w:p w14:paraId="102E77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 81 помещался на территории завода № 381. Производственное слияние резко увеличило мощности завода ………..(9602).</w:t>
      </w:r>
    </w:p>
    <w:p w14:paraId="619F0A7B" w14:textId="77777777" w:rsidR="00090C9B" w:rsidRPr="00722885" w:rsidRDefault="00090C9B" w:rsidP="00722885">
      <w:pPr>
        <w:pStyle w:val="Iauiue"/>
        <w:jc w:val="both"/>
        <w:rPr>
          <w:color w:val="000000" w:themeColor="text1"/>
          <w:sz w:val="16"/>
          <w:szCs w:val="16"/>
        </w:rPr>
      </w:pPr>
    </w:p>
    <w:p w14:paraId="2D620A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 в Новосибирске собрали 16 истребителей Як-9. Их шансы в борьбе с Bf109G-2 заметно возросли (4537).</w:t>
      </w:r>
    </w:p>
    <w:p w14:paraId="254010DF" w14:textId="77777777" w:rsidR="00090C9B" w:rsidRPr="00722885" w:rsidRDefault="00090C9B" w:rsidP="00722885">
      <w:pPr>
        <w:pStyle w:val="Iauiue"/>
        <w:jc w:val="both"/>
        <w:rPr>
          <w:color w:val="000000" w:themeColor="text1"/>
          <w:sz w:val="16"/>
          <w:szCs w:val="16"/>
        </w:rPr>
      </w:pPr>
    </w:p>
    <w:p w14:paraId="25D411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года в ходе госиспытаний Як-9 с мотором М-106-1СК и ВИШ-61П (зав. № 2391, завода N°115) обнаружился выброс масла в полете при 2700 оборотах двигателя в минуту (заправка масла - 40 литров).</w:t>
      </w:r>
    </w:p>
    <w:p w14:paraId="53A3E7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серийный истребитель Як-7 (заводской № 23-01) переделали на заводе № 115 в Москве в вариант Як-9 с двигателем М-106-ICK, как дублер опытного истребителя Як-7ДИ с М-105ПФ. Як-7 до этого находился в эксплуатации и прошел серию испытаний, в процессе которых на нем выполнили свыше 1000 фигур высшего пилотажа и 500 посадок.</w:t>
      </w:r>
    </w:p>
    <w:p w14:paraId="51E999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Замена силовой установки на более мощную потребовала новых водо- и маслорадиаторов. Тогда же облагородили внешние формы самолета, улучшив его аэродинамические характеристики - в частности, костыльное колесо стало полностью убирающимся, понизили гаргрот и придали фонарю кабины пилота более обтекаемую форму. Одновременно на нем установили переднее и заднее бронестекла, а на выхлопные коллекторы мотора надели обтекатели. Улучшили герметизацию фюзеляжа и устранили щель между стабилизатором и рулем высоты. Вместо штурвального управления шагом воздушного винта применили более удобное - рычажное. На самолете установили радиополукомпас РГЖ-10. Были и другие мелкие доработки, но способствовавшие повышению боевых возможностей истребителя. </w:t>
      </w:r>
    </w:p>
    <w:p w14:paraId="09AE99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Заводские испытания машины (летчик П.Я. Федрови) проходили с 17 ноября 1942 г. по 20 января 1943 г. Спустя неделю, в НИИ ВВС начались государственные испытания Як-9М-106-1ск. Ведущими на этом этапе были инженер А.Т. Степанец и летчик В.И. Хомяков.</w:t>
      </w:r>
    </w:p>
    <w:p w14:paraId="0A53D1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через суфлер. Выявленные дефекты двигателя делали невозможной эксплуатацию машины в строевых частях.</w:t>
      </w:r>
    </w:p>
    <w:p w14:paraId="4C9C8C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"Акте по результатам государственных испытаний..." ведущий летчик Хомяков отметил:</w:t>
      </w:r>
    </w:p>
    <w:p w14:paraId="2CC369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5FC510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2605D5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48D9CF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высотах от 3000 до 4500 м самолеты Як-9 и Me-109G-2 имеют практически одинаковую маневренность в вертикальной плоскости.</w:t>
      </w:r>
    </w:p>
    <w:p w14:paraId="6706BC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088B94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6DC599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итоге НИИ ВВС рекомендовал НКАП к 1 апреля 1943 года довести винто-мотор- ную группу Як-9 до состояния нормальной эксплуатации. Но это пожелание так и не реализовали, и Як-9М-106-1ск остался в единственном экземпляре (12046).</w:t>
      </w:r>
    </w:p>
    <w:p w14:paraId="5098044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2EA07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года высотный Як-7, укомплектованный лишь одним орудием калибра 20 мм (боезапас 120 патронов) проходил государственные испытания, показавшие, в частности, что его потолок возрос до 11 300 м, максимальная скорость 61 1 км/ч достигалась на высоте 7600 м, а на 10 000 м - 591 км/ч. Самолет поднимался на 10 км за 13,8 минуты. Для сравнения, такой же "як", нос обычным М-105ПФ имел практический потолок 10 000 м. Заводские испытания высотного Як-7 продолжались до конца года, и высоту полета машины довели до 12 км.</w:t>
      </w:r>
    </w:p>
    <w:p w14:paraId="173305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25 апреля 1943 года завод построил пять Як-9 с такими же без гермокабин, но с кислородными приборами. Заводские испытания самолета, получившего обозначение Як-9ПД, проводил летчик И. Шунейко. Одновременно с ним машину осваивали и военные летчики 12-го гвардейского иап 1-й ВА.</w:t>
      </w:r>
    </w:p>
    <w:p w14:paraId="1B6F75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авиации ПВО использовались самолеты Як-9МПВО, отличавшиеся от серийных машин установкой радиополукомпаса РПК-10, фарой ФС-55 (в левой консоли крыла) и дополнительными двумя красными лампами в кабине, сигнализировавшими о положении шасси. Но для борьбы с высотными самолетами противника, летавшими в стратосфере, они не годились.</w:t>
      </w:r>
    </w:p>
    <w:p w14:paraId="1DF8D4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Высотному варианту истребителя Як-9 предшествовал Як-7 с мотором М-105ПД, оснащенным нагнетателем Э-100, разработанным в ЦИАМе под руководством В.А. Доллежаля (12046).</w:t>
      </w:r>
    </w:p>
    <w:p w14:paraId="6DEAECE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8903E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в ЛИИ в Казани проходил второй этап заводских испытаний ТИС 2АМ-37 Н.Н.П. Тут то и появились увеличенные кили и стал ТИС 2А. Л Б.Н.Кудрин сделал петлю (2350,28).</w:t>
      </w:r>
    </w:p>
    <w:p w14:paraId="00C8FE1B" w14:textId="77777777" w:rsidR="00090C9B" w:rsidRPr="00722885" w:rsidRDefault="00090C9B" w:rsidP="00722885">
      <w:pPr>
        <w:pStyle w:val="Iauiue"/>
        <w:jc w:val="both"/>
        <w:rPr>
          <w:color w:val="000000" w:themeColor="text1"/>
          <w:sz w:val="16"/>
          <w:szCs w:val="16"/>
        </w:rPr>
      </w:pPr>
    </w:p>
    <w:p w14:paraId="39C90669"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Поликарпов писал:</w:t>
      </w:r>
    </w:p>
    <w:p w14:paraId="7007B140"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Год тому назад прибыл эвакуированный из Москвы завод № 51.</w:t>
      </w:r>
    </w:p>
    <w:p w14:paraId="7227D803" w14:textId="77777777" w:rsidR="004F59B2" w:rsidRPr="00722885" w:rsidRDefault="004F59B2" w:rsidP="00722885">
      <w:pPr>
        <w:tabs>
          <w:tab w:val="left" w:pos="45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За 11 месяцев работы за</w:t>
      </w:r>
      <w:r w:rsidRPr="00722885">
        <w:rPr>
          <w:rFonts w:ascii="Times New Roman" w:hAnsi="Times New Roman"/>
          <w:color w:val="000000" w:themeColor="text1"/>
          <w:sz w:val="16"/>
          <w:szCs w:val="16"/>
        </w:rPr>
        <w:softHyphen/>
        <w:t>вод № 51 не только освоил отведенные ему помещения, выстроил ряд образцов бое</w:t>
      </w:r>
      <w:r w:rsidRPr="00722885">
        <w:rPr>
          <w:rFonts w:ascii="Times New Roman" w:hAnsi="Times New Roman"/>
          <w:color w:val="000000" w:themeColor="text1"/>
          <w:sz w:val="16"/>
          <w:szCs w:val="16"/>
        </w:rPr>
        <w:softHyphen/>
        <w:t>вых самолётов, но и пустил производство на Московском заводе (филиале) и отремон</w:t>
      </w:r>
      <w:r w:rsidRPr="00722885">
        <w:rPr>
          <w:rFonts w:ascii="Times New Roman" w:hAnsi="Times New Roman"/>
          <w:color w:val="000000" w:themeColor="text1"/>
          <w:sz w:val="16"/>
          <w:szCs w:val="16"/>
        </w:rPr>
        <w:softHyphen/>
        <w:t>тировал его после бомбёжки.</w:t>
      </w:r>
    </w:p>
    <w:p w14:paraId="7D96DD5A" w14:textId="77777777" w:rsidR="004F59B2" w:rsidRPr="00722885" w:rsidRDefault="004F59B2" w:rsidP="00722885">
      <w:pPr>
        <w:tabs>
          <w:tab w:val="left" w:pos="43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Трудности были большие, основное — строительство и оборудование: — по решению ГОКО — взято 54 станка, вза</w:t>
      </w:r>
      <w:r w:rsidRPr="00722885">
        <w:rPr>
          <w:rFonts w:ascii="Times New Roman" w:hAnsi="Times New Roman"/>
          <w:color w:val="000000" w:themeColor="text1"/>
          <w:sz w:val="16"/>
          <w:szCs w:val="16"/>
        </w:rPr>
        <w:softHyphen/>
        <w:t>мен их пока ничего не получе</w:t>
      </w:r>
      <w:r w:rsidRPr="00722885">
        <w:rPr>
          <w:rFonts w:ascii="Times New Roman" w:hAnsi="Times New Roman"/>
          <w:color w:val="000000" w:themeColor="text1"/>
          <w:sz w:val="16"/>
          <w:szCs w:val="16"/>
        </w:rPr>
        <w:softHyphen/>
        <w:t>но. Этим колоссально задержи</w:t>
      </w:r>
      <w:r w:rsidRPr="00722885">
        <w:rPr>
          <w:rFonts w:ascii="Times New Roman" w:hAnsi="Times New Roman"/>
          <w:color w:val="000000" w:themeColor="text1"/>
          <w:sz w:val="16"/>
          <w:szCs w:val="16"/>
        </w:rPr>
        <w:softHyphen/>
        <w:t>вается работа всего завода.</w:t>
      </w:r>
    </w:p>
    <w:p w14:paraId="1FB6C60D" w14:textId="77777777" w:rsidR="004F59B2" w:rsidRPr="00722885" w:rsidRDefault="004F59B2" w:rsidP="00722885">
      <w:pPr>
        <w:tabs>
          <w:tab w:val="left" w:pos="48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 н/время: завод имеет ... станков, ... кв.м рабочей ... площади, ... цехов и отделов и может проводить любую рабо</w:t>
      </w:r>
      <w:r w:rsidRPr="00722885">
        <w:rPr>
          <w:rFonts w:ascii="Times New Roman" w:hAnsi="Times New Roman"/>
          <w:color w:val="000000" w:themeColor="text1"/>
          <w:sz w:val="16"/>
          <w:szCs w:val="16"/>
        </w:rPr>
        <w:softHyphen/>
        <w:t>ту по самолётостроению</w:t>
      </w:r>
      <w:r w:rsidRPr="00722885">
        <w:rPr>
          <w:rFonts w:ascii="Times New Roman" w:hAnsi="Times New Roman"/>
          <w:color w:val="000000" w:themeColor="text1"/>
          <w:sz w:val="16"/>
          <w:szCs w:val="16"/>
          <w:vertAlign w:val="superscript"/>
        </w:rPr>
        <w:t>18</w:t>
      </w:r>
      <w:r w:rsidRPr="00722885">
        <w:rPr>
          <w:rFonts w:ascii="Times New Roman" w:hAnsi="Times New Roman"/>
          <w:color w:val="000000" w:themeColor="text1"/>
          <w:sz w:val="16"/>
          <w:szCs w:val="16"/>
        </w:rPr>
        <w:t>.</w:t>
      </w:r>
    </w:p>
    <w:p w14:paraId="41D89A0B" w14:textId="77777777" w:rsidR="004F59B2" w:rsidRPr="00722885" w:rsidRDefault="004F59B2" w:rsidP="00722885">
      <w:pPr>
        <w:tabs>
          <w:tab w:val="left" w:pos="46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Завод имеет программу — план ОС на 1942 и 1-й квартал 1943 г. — истро под М90: — истро под АМ39 и бомбардировщик НБ на сумму около 15 м[лн].р[уб]. поми</w:t>
      </w:r>
      <w:r w:rsidRPr="00722885">
        <w:rPr>
          <w:rFonts w:ascii="Times New Roman" w:hAnsi="Times New Roman"/>
          <w:color w:val="000000" w:themeColor="text1"/>
          <w:sz w:val="16"/>
          <w:szCs w:val="16"/>
        </w:rPr>
        <w:softHyphen/>
        <w:t>мо программы по ремонту.</w:t>
      </w:r>
    </w:p>
    <w:p w14:paraId="2D9A701D" w14:textId="77777777" w:rsidR="004F59B2" w:rsidRPr="00722885" w:rsidRDefault="004F59B2" w:rsidP="00722885">
      <w:pPr>
        <w:tabs>
          <w:tab w:val="left" w:pos="462"/>
        </w:tabs>
        <w:spacing w:after="0" w:line="240" w:lineRule="auto"/>
        <w:jc w:val="both"/>
        <w:rPr>
          <w:rStyle w:val="22SimHei8pt"/>
          <w:rFonts w:ascii="Times New Roman" w:eastAsia="Arial Unicode MS" w:hAnsi="Times New Roman" w:cs="Times New Roman"/>
          <w:color w:val="000000" w:themeColor="text1"/>
        </w:rPr>
      </w:pPr>
      <w:r w:rsidRPr="00722885">
        <w:rPr>
          <w:rStyle w:val="22SimHei8pt"/>
          <w:rFonts w:ascii="Times New Roman" w:eastAsia="Arial Unicode MS" w:hAnsi="Times New Roman" w:cs="Times New Roman"/>
          <w:color w:val="000000" w:themeColor="text1"/>
        </w:rPr>
        <w:t>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9"/>
        <w:gridCol w:w="1660"/>
        <w:gridCol w:w="1660"/>
        <w:gridCol w:w="1660"/>
        <w:gridCol w:w="1660"/>
      </w:tblGrid>
      <w:tr w:rsidR="009B487A" w:rsidRPr="00722885" w14:paraId="39B6C298" w14:textId="77777777" w:rsidTr="00B528D1">
        <w:tc>
          <w:tcPr>
            <w:tcW w:w="1659" w:type="dxa"/>
            <w:shd w:val="clear" w:color="auto" w:fill="auto"/>
          </w:tcPr>
          <w:p w14:paraId="18CBD364"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shd w:val="clear" w:color="auto" w:fill="auto"/>
          </w:tcPr>
          <w:p w14:paraId="5E796869"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shd w:val="clear" w:color="auto" w:fill="auto"/>
          </w:tcPr>
          <w:p w14:paraId="72A7701D"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Осн[овной з-д]</w:t>
            </w:r>
          </w:p>
        </w:tc>
        <w:tc>
          <w:tcPr>
            <w:tcW w:w="1660" w:type="dxa"/>
            <w:shd w:val="clear" w:color="auto" w:fill="auto"/>
          </w:tcPr>
          <w:p w14:paraId="1C84FEED"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Ф[илиал]-51</w:t>
            </w:r>
          </w:p>
        </w:tc>
        <w:tc>
          <w:tcPr>
            <w:tcW w:w="1660" w:type="dxa"/>
            <w:shd w:val="clear" w:color="auto" w:fill="auto"/>
          </w:tcPr>
          <w:p w14:paraId="35347D46"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r>
      <w:tr w:rsidR="009B487A" w:rsidRPr="00722885" w14:paraId="124023C6" w14:textId="77777777" w:rsidTr="00B528D1">
        <w:tc>
          <w:tcPr>
            <w:tcW w:w="1659" w:type="dxa"/>
            <w:shd w:val="clear" w:color="auto" w:fill="auto"/>
          </w:tcPr>
          <w:p w14:paraId="335404BB"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lastRenderedPageBreak/>
              <w:t>Р.С.</w:t>
            </w:r>
          </w:p>
        </w:tc>
        <w:tc>
          <w:tcPr>
            <w:tcW w:w="1660" w:type="dxa"/>
            <w:shd w:val="clear" w:color="auto" w:fill="auto"/>
          </w:tcPr>
          <w:p w14:paraId="394646A9"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произв.</w:t>
            </w:r>
          </w:p>
        </w:tc>
        <w:tc>
          <w:tcPr>
            <w:tcW w:w="1660" w:type="dxa"/>
            <w:shd w:val="clear" w:color="auto" w:fill="auto"/>
          </w:tcPr>
          <w:p w14:paraId="58119B3B"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88</w:t>
            </w:r>
          </w:p>
        </w:tc>
        <w:tc>
          <w:tcPr>
            <w:tcW w:w="1660" w:type="dxa"/>
            <w:shd w:val="clear" w:color="auto" w:fill="auto"/>
          </w:tcPr>
          <w:p w14:paraId="367D1E78"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35</w:t>
            </w:r>
          </w:p>
        </w:tc>
        <w:tc>
          <w:tcPr>
            <w:tcW w:w="1660" w:type="dxa"/>
            <w:shd w:val="clear" w:color="auto" w:fill="auto"/>
          </w:tcPr>
          <w:p w14:paraId="7906BAFB"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 320 чел.</w:t>
            </w:r>
          </w:p>
        </w:tc>
      </w:tr>
      <w:tr w:rsidR="009B487A" w:rsidRPr="00722885" w14:paraId="1776C0FA" w14:textId="77777777" w:rsidTr="00B528D1">
        <w:tc>
          <w:tcPr>
            <w:tcW w:w="1659" w:type="dxa"/>
            <w:shd w:val="clear" w:color="auto" w:fill="auto"/>
          </w:tcPr>
          <w:p w14:paraId="41A92EAF"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shd w:val="clear" w:color="auto" w:fill="auto"/>
          </w:tcPr>
          <w:p w14:paraId="1270BB8E"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непроизв.</w:t>
            </w:r>
          </w:p>
        </w:tc>
        <w:tc>
          <w:tcPr>
            <w:tcW w:w="1660" w:type="dxa"/>
            <w:shd w:val="clear" w:color="auto" w:fill="auto"/>
          </w:tcPr>
          <w:p w14:paraId="09D7F11C"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171</w:t>
            </w:r>
          </w:p>
        </w:tc>
        <w:tc>
          <w:tcPr>
            <w:tcW w:w="1660" w:type="dxa"/>
            <w:shd w:val="clear" w:color="auto" w:fill="auto"/>
          </w:tcPr>
          <w:p w14:paraId="3C496D54"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105</w:t>
            </w:r>
          </w:p>
        </w:tc>
        <w:tc>
          <w:tcPr>
            <w:tcW w:w="1660" w:type="dxa"/>
            <w:shd w:val="clear" w:color="auto" w:fill="auto"/>
          </w:tcPr>
          <w:p w14:paraId="67F40528"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 xml:space="preserve">= </w:t>
            </w:r>
            <w:r w:rsidRPr="00722885">
              <w:rPr>
                <w:rStyle w:val="217"/>
                <w:rFonts w:ascii="Times New Roman" w:hAnsi="Times New Roman" w:cs="Times New Roman"/>
                <w:color w:val="000000" w:themeColor="text1"/>
                <w:sz w:val="16"/>
                <w:szCs w:val="16"/>
              </w:rPr>
              <w:t>276 чел.</w:t>
            </w:r>
          </w:p>
        </w:tc>
      </w:tr>
      <w:tr w:rsidR="009B487A" w:rsidRPr="00722885" w14:paraId="04EA3341" w14:textId="77777777" w:rsidTr="00B528D1">
        <w:tc>
          <w:tcPr>
            <w:tcW w:w="1659" w:type="dxa"/>
            <w:shd w:val="clear" w:color="auto" w:fill="auto"/>
          </w:tcPr>
          <w:p w14:paraId="41D5EA72"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ИТР</w:t>
            </w:r>
          </w:p>
        </w:tc>
        <w:tc>
          <w:tcPr>
            <w:tcW w:w="1660" w:type="dxa"/>
            <w:shd w:val="clear" w:color="auto" w:fill="auto"/>
          </w:tcPr>
          <w:p w14:paraId="468FF706"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shd w:val="clear" w:color="auto" w:fill="auto"/>
          </w:tcPr>
          <w:p w14:paraId="1C047254"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239</w:t>
            </w:r>
          </w:p>
        </w:tc>
        <w:tc>
          <w:tcPr>
            <w:tcW w:w="1660" w:type="dxa"/>
            <w:shd w:val="clear" w:color="auto" w:fill="auto"/>
          </w:tcPr>
          <w:p w14:paraId="71A2CF7D"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49</w:t>
            </w:r>
          </w:p>
        </w:tc>
        <w:tc>
          <w:tcPr>
            <w:tcW w:w="1660" w:type="dxa"/>
            <w:shd w:val="clear" w:color="auto" w:fill="auto"/>
          </w:tcPr>
          <w:p w14:paraId="0DFED97C"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596 чел.</w:t>
            </w:r>
          </w:p>
        </w:tc>
      </w:tr>
      <w:tr w:rsidR="009B487A" w:rsidRPr="00722885" w14:paraId="6ACC771F" w14:textId="77777777" w:rsidTr="00B528D1">
        <w:tc>
          <w:tcPr>
            <w:tcW w:w="1659" w:type="dxa"/>
            <w:shd w:val="clear" w:color="auto" w:fill="auto"/>
          </w:tcPr>
          <w:p w14:paraId="27BD09D9"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shd w:val="clear" w:color="auto" w:fill="auto"/>
          </w:tcPr>
          <w:p w14:paraId="1A2F9D61"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shd w:val="clear" w:color="auto" w:fill="auto"/>
          </w:tcPr>
          <w:p w14:paraId="2FB55A05"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19</w:t>
            </w:r>
          </w:p>
        </w:tc>
        <w:tc>
          <w:tcPr>
            <w:tcW w:w="1660" w:type="dxa"/>
            <w:shd w:val="clear" w:color="auto" w:fill="auto"/>
          </w:tcPr>
          <w:p w14:paraId="5B4B4C1B"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29</w:t>
            </w:r>
          </w:p>
        </w:tc>
        <w:tc>
          <w:tcPr>
            <w:tcW w:w="1660" w:type="dxa"/>
            <w:shd w:val="clear" w:color="auto" w:fill="auto"/>
          </w:tcPr>
          <w:p w14:paraId="72B37CED"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r>
      <w:tr w:rsidR="009B487A" w:rsidRPr="00722885" w14:paraId="66D79624" w14:textId="77777777" w:rsidTr="00B528D1">
        <w:tc>
          <w:tcPr>
            <w:tcW w:w="1659" w:type="dxa"/>
            <w:shd w:val="clear" w:color="auto" w:fill="auto"/>
          </w:tcPr>
          <w:p w14:paraId="4102D72C"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Всего</w:t>
            </w:r>
          </w:p>
        </w:tc>
        <w:tc>
          <w:tcPr>
            <w:tcW w:w="1660" w:type="dxa"/>
            <w:shd w:val="clear" w:color="auto" w:fill="auto"/>
          </w:tcPr>
          <w:p w14:paraId="25059704"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shd w:val="clear" w:color="auto" w:fill="auto"/>
          </w:tcPr>
          <w:p w14:paraId="627F3ABC"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760</w:t>
            </w:r>
          </w:p>
        </w:tc>
        <w:tc>
          <w:tcPr>
            <w:tcW w:w="1660" w:type="dxa"/>
            <w:shd w:val="clear" w:color="auto" w:fill="auto"/>
          </w:tcPr>
          <w:p w14:paraId="45FD26AC"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355</w:t>
            </w:r>
          </w:p>
        </w:tc>
        <w:tc>
          <w:tcPr>
            <w:tcW w:w="1660" w:type="dxa"/>
            <w:shd w:val="clear" w:color="auto" w:fill="auto"/>
          </w:tcPr>
          <w:p w14:paraId="1BC16F4D"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r>
      <w:tr w:rsidR="009B487A" w:rsidRPr="00722885" w14:paraId="07B85950" w14:textId="77777777" w:rsidTr="00B528D1">
        <w:tc>
          <w:tcPr>
            <w:tcW w:w="1659" w:type="dxa"/>
            <w:shd w:val="clear" w:color="auto" w:fill="auto"/>
          </w:tcPr>
          <w:p w14:paraId="77A7D39E"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ОКС+ОРС</w:t>
            </w:r>
          </w:p>
        </w:tc>
        <w:tc>
          <w:tcPr>
            <w:tcW w:w="1660" w:type="dxa"/>
            <w:shd w:val="clear" w:color="auto" w:fill="auto"/>
          </w:tcPr>
          <w:p w14:paraId="7C6E4DDB"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shd w:val="clear" w:color="auto" w:fill="auto"/>
          </w:tcPr>
          <w:p w14:paraId="2EADB555"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165</w:t>
            </w:r>
          </w:p>
        </w:tc>
        <w:tc>
          <w:tcPr>
            <w:tcW w:w="1660" w:type="dxa"/>
            <w:shd w:val="clear" w:color="auto" w:fill="auto"/>
          </w:tcPr>
          <w:p w14:paraId="59125193"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100</w:t>
            </w:r>
          </w:p>
        </w:tc>
        <w:tc>
          <w:tcPr>
            <w:tcW w:w="1660" w:type="dxa"/>
            <w:shd w:val="clear" w:color="auto" w:fill="auto"/>
          </w:tcPr>
          <w:p w14:paraId="2ED04A1F"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r>
      <w:tr w:rsidR="009B487A" w:rsidRPr="00722885" w14:paraId="65D07397" w14:textId="77777777" w:rsidTr="00B528D1">
        <w:tc>
          <w:tcPr>
            <w:tcW w:w="1659" w:type="dxa"/>
            <w:shd w:val="clear" w:color="auto" w:fill="auto"/>
          </w:tcPr>
          <w:p w14:paraId="46470191"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Итого</w:t>
            </w:r>
          </w:p>
        </w:tc>
        <w:tc>
          <w:tcPr>
            <w:tcW w:w="1660" w:type="dxa"/>
            <w:shd w:val="clear" w:color="auto" w:fill="auto"/>
          </w:tcPr>
          <w:p w14:paraId="2D13F7A9"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c>
          <w:tcPr>
            <w:tcW w:w="1660" w:type="dxa"/>
            <w:shd w:val="clear" w:color="auto" w:fill="auto"/>
          </w:tcPr>
          <w:p w14:paraId="7210DC04"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925</w:t>
            </w:r>
          </w:p>
        </w:tc>
        <w:tc>
          <w:tcPr>
            <w:tcW w:w="1660" w:type="dxa"/>
            <w:shd w:val="clear" w:color="auto" w:fill="auto"/>
          </w:tcPr>
          <w:p w14:paraId="0BD58C8D"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455</w:t>
            </w:r>
          </w:p>
        </w:tc>
        <w:tc>
          <w:tcPr>
            <w:tcW w:w="1660" w:type="dxa"/>
            <w:shd w:val="clear" w:color="auto" w:fill="auto"/>
          </w:tcPr>
          <w:p w14:paraId="1A7DC3E2" w14:textId="77777777" w:rsidR="004F59B2" w:rsidRPr="00722885" w:rsidRDefault="004F59B2" w:rsidP="00722885">
            <w:pPr>
              <w:tabs>
                <w:tab w:val="left" w:pos="462"/>
              </w:tabs>
              <w:spacing w:after="0" w:line="240" w:lineRule="auto"/>
              <w:jc w:val="both"/>
              <w:rPr>
                <w:rFonts w:ascii="Times New Roman" w:eastAsia="Times New Roman" w:hAnsi="Times New Roman"/>
                <w:color w:val="000000" w:themeColor="text1"/>
                <w:sz w:val="16"/>
                <w:szCs w:val="16"/>
              </w:rPr>
            </w:pPr>
          </w:p>
        </w:tc>
      </w:tr>
    </w:tbl>
    <w:p w14:paraId="08EF546E"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Необходимо срочное пополнение рабочими штатов Н/с (Новосибирского — А.К.) завода на 50-60 чел. столяров &gt; 30 чел. Слесарей — 20-30 чел..».</w:t>
      </w:r>
    </w:p>
    <w:p w14:paraId="6086BB01"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Достаточны ли были производственные мощности завода для обеспечения работ ОКБ? По-видимому, нет. Так, например, в 1943 г. на два месяца законсервировали постройку НБ («Ночного бомбовоза») по причине постройки ТИС АМ-39.</w:t>
      </w:r>
    </w:p>
    <w:p w14:paraId="2BC0F44D"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Вообще, во время войны опытные машины консервировали достаточно часто. Так, ис</w:t>
      </w:r>
      <w:r w:rsidRPr="00722885">
        <w:rPr>
          <w:rFonts w:ascii="Times New Roman" w:hAnsi="Times New Roman"/>
          <w:color w:val="000000" w:themeColor="text1"/>
          <w:sz w:val="16"/>
          <w:szCs w:val="16"/>
        </w:rPr>
        <w:softHyphen/>
        <w:t>требитель ИТП в 1942 г. законсервировали на 1.5 месяца, а в 1943 г. — на 4 месяца из- за отсутствия мотора М-107. Другой экземпляр этого самолёта находился на консерва</w:t>
      </w:r>
      <w:r w:rsidRPr="00722885">
        <w:rPr>
          <w:rFonts w:ascii="Times New Roman" w:hAnsi="Times New Roman"/>
          <w:color w:val="000000" w:themeColor="text1"/>
          <w:sz w:val="16"/>
          <w:szCs w:val="16"/>
        </w:rPr>
        <w:softHyphen/>
        <w:t>ции в 1943 г. почти полгода из-за отсутствия мотора М-37. ТИС в 1942 г. законсервиро</w:t>
      </w:r>
      <w:r w:rsidRPr="00722885">
        <w:rPr>
          <w:rFonts w:ascii="Times New Roman" w:hAnsi="Times New Roman"/>
          <w:color w:val="000000" w:themeColor="text1"/>
          <w:sz w:val="16"/>
          <w:szCs w:val="16"/>
        </w:rPr>
        <w:softHyphen/>
        <w:t>вали на 2 месяца, а в 1943 г. — на 2.5 месяца из-за отсутствия мотора М-37 и на 5.5 ме</w:t>
      </w:r>
      <w:r w:rsidRPr="00722885">
        <w:rPr>
          <w:rFonts w:ascii="Times New Roman" w:hAnsi="Times New Roman"/>
          <w:color w:val="000000" w:themeColor="text1"/>
          <w:sz w:val="16"/>
          <w:szCs w:val="16"/>
        </w:rPr>
        <w:softHyphen/>
        <w:t>сяцев осенью—зимой 1943-44 гг. из-за отсутствия моторов АМ-39. На месяц в 1944 г. законсервировали НБ из-за отсутствия винтов. Можно приводить и другие примеры.</w:t>
      </w:r>
    </w:p>
    <w:p w14:paraId="2468E6C5"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Надо чётко понимать, что в период 1942-1943 гг., когда на заводе № 51 шли работы по ИТП с М-107П, на моторе М-107 устранили многие «дефекты роста», что, во многом, предопределило впоследствии успешную установку М-107 на Як-3 и Як-9.</w:t>
      </w:r>
    </w:p>
    <w:p w14:paraId="6769E144"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этих условиях в КБ, помимо работ по проектированию и постройки новых самолётов, проводились значительные работы по технологии производства самолётов: агрегатиро</w:t>
      </w:r>
      <w:r w:rsidRPr="00722885">
        <w:rPr>
          <w:rFonts w:ascii="Times New Roman" w:hAnsi="Times New Roman"/>
          <w:color w:val="000000" w:themeColor="text1"/>
          <w:sz w:val="16"/>
          <w:szCs w:val="16"/>
        </w:rPr>
        <w:softHyphen/>
        <w:t>ванию и взаимозаменяемости, постановки производства самолётов на поток. В резуль</w:t>
      </w:r>
      <w:r w:rsidRPr="00722885">
        <w:rPr>
          <w:rFonts w:ascii="Times New Roman" w:hAnsi="Times New Roman"/>
          <w:color w:val="000000" w:themeColor="text1"/>
          <w:sz w:val="16"/>
          <w:szCs w:val="16"/>
        </w:rPr>
        <w:softHyphen/>
        <w:t>тате этих работ на заводах, серийно выпускавших У-2, организовали поточные линии.</w:t>
      </w:r>
    </w:p>
    <w:p w14:paraId="63F3D567"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проекте истребителя И-187 (развитие И-185 «эталон»), предполагавшего установки моторов М-90 и М-71Ф, предусмотрели полную взаимозаменяемость винтомоторных установок, крепившихся к фюзеляжу в 4-х точках (15804).</w:t>
      </w:r>
    </w:p>
    <w:p w14:paraId="1C4EB93F"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13255DC9" w14:textId="77777777" w:rsidR="00B528D1" w:rsidRPr="00722885" w:rsidRDefault="00B528D1" w:rsidP="00722885">
      <w:pPr>
        <w:pStyle w:val="Iauiue"/>
        <w:jc w:val="both"/>
        <w:rPr>
          <w:color w:val="000000" w:themeColor="text1"/>
          <w:sz w:val="16"/>
          <w:szCs w:val="16"/>
        </w:rPr>
      </w:pPr>
      <w:r w:rsidRPr="00722885">
        <w:rPr>
          <w:color w:val="000000" w:themeColor="text1"/>
          <w:sz w:val="16"/>
          <w:szCs w:val="16"/>
        </w:rPr>
        <w:t>В октябре 1942 закончились гос. испытания И-185 эталона, начатые в июне 1942 (228,165).</w:t>
      </w:r>
    </w:p>
    <w:p w14:paraId="1B8BAED4" w14:textId="77777777" w:rsidR="00B528D1" w:rsidRPr="00722885" w:rsidRDefault="00B528D1" w:rsidP="00722885">
      <w:pPr>
        <w:pStyle w:val="Iauiue"/>
        <w:jc w:val="both"/>
        <w:rPr>
          <w:color w:val="000000" w:themeColor="text1"/>
          <w:sz w:val="16"/>
          <w:szCs w:val="16"/>
        </w:rPr>
      </w:pPr>
    </w:p>
    <w:p w14:paraId="58BEC7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был построен ДИС (МиГ-5) в варианте с М-82Ф, названный ИТ. Испытаний не было, так как был Пе-2 (5,253).</w:t>
      </w:r>
    </w:p>
    <w:p w14:paraId="29F61E62" w14:textId="77777777" w:rsidR="00090C9B" w:rsidRPr="00722885" w:rsidRDefault="00090C9B" w:rsidP="00722885">
      <w:pPr>
        <w:pStyle w:val="Iauiue"/>
        <w:jc w:val="both"/>
        <w:rPr>
          <w:color w:val="000000" w:themeColor="text1"/>
          <w:sz w:val="16"/>
          <w:szCs w:val="16"/>
        </w:rPr>
      </w:pPr>
    </w:p>
    <w:p w14:paraId="61F85165"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октябре 1942 самолет ДИС-200 (ИТ) достроили и к 1 декабря довели до летного состоя</w:t>
      </w:r>
      <w:r w:rsidRPr="00722885">
        <w:rPr>
          <w:rFonts w:ascii="Times New Roman" w:cs="Times New Roman"/>
          <w:color w:val="000000" w:themeColor="text1"/>
          <w:spacing w:val="0"/>
        </w:rPr>
        <w:softHyphen/>
        <w:t>ния. На нем устранили все выявленные при приемке на ЛИС производствен</w:t>
      </w:r>
      <w:r w:rsidRPr="00722885">
        <w:rPr>
          <w:rFonts w:ascii="Times New Roman" w:cs="Times New Roman"/>
          <w:color w:val="000000" w:themeColor="text1"/>
          <w:spacing w:val="0"/>
        </w:rPr>
        <w:softHyphen/>
        <w:t>ные дефекты, установили винты АВ-118, провели гонку моторов. Однако первый полет продолжительностью 15 мин уда</w:t>
      </w:r>
      <w:r w:rsidRPr="00722885">
        <w:rPr>
          <w:rFonts w:ascii="Times New Roman" w:cs="Times New Roman"/>
          <w:color w:val="000000" w:themeColor="text1"/>
          <w:spacing w:val="0"/>
        </w:rPr>
        <w:softHyphen/>
        <w:t>лось выполнить только 28 января 1943 г. В полете ненормально работали бес</w:t>
      </w:r>
      <w:r w:rsidRPr="00722885">
        <w:rPr>
          <w:rFonts w:ascii="Times New Roman" w:cs="Times New Roman"/>
          <w:color w:val="000000" w:themeColor="text1"/>
          <w:spacing w:val="0"/>
        </w:rPr>
        <w:softHyphen/>
        <w:t>поплавковые карбюраторы БП-82. Помучавшись около месяца, карбюрато</w:t>
      </w:r>
      <w:r w:rsidRPr="00722885">
        <w:rPr>
          <w:rFonts w:ascii="Times New Roman" w:cs="Times New Roman"/>
          <w:color w:val="000000" w:themeColor="text1"/>
          <w:spacing w:val="0"/>
        </w:rPr>
        <w:softHyphen/>
        <w:t>ры отправили в ЦИАМ для регулировки. К 8 марта их «вернули» на самолет, но полеты по программе испытаний так и не начались. Сначала не было свобод</w:t>
      </w:r>
      <w:r w:rsidRPr="00722885">
        <w:rPr>
          <w:rFonts w:ascii="Times New Roman" w:cs="Times New Roman"/>
          <w:color w:val="000000" w:themeColor="text1"/>
          <w:spacing w:val="0"/>
        </w:rPr>
        <w:softHyphen/>
        <w:t>ных летчиков, а вскоре все работы по ДИС-200 (ИТ) свернули. Как следует из документов, последняя гонка моторов была 15 мая, а к 10 октября 1943 г. с са</w:t>
      </w:r>
      <w:r w:rsidRPr="00722885">
        <w:rPr>
          <w:rFonts w:ascii="Times New Roman" w:cs="Times New Roman"/>
          <w:color w:val="000000" w:themeColor="text1"/>
          <w:spacing w:val="0"/>
        </w:rPr>
        <w:softHyphen/>
        <w:t>молета сняли винты и отправили в ЛИИ НКАП. После 29 октября самолет в свод</w:t>
      </w:r>
      <w:r w:rsidRPr="00722885">
        <w:rPr>
          <w:rFonts w:ascii="Times New Roman" w:cs="Times New Roman"/>
          <w:color w:val="000000" w:themeColor="text1"/>
          <w:spacing w:val="0"/>
        </w:rPr>
        <w:softHyphen/>
        <w:t>ках НИИ ВВС по опытному строительст</w:t>
      </w:r>
      <w:r w:rsidRPr="00722885">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722885">
        <w:rPr>
          <w:rFonts w:ascii="Times New Roman" w:cs="Times New Roman"/>
          <w:color w:val="000000" w:themeColor="text1"/>
          <w:spacing w:val="0"/>
        </w:rPr>
        <w:softHyphen/>
        <w:t>соте 5000 м. Расчетная дальность по</w:t>
      </w:r>
      <w:r w:rsidRPr="00722885">
        <w:rPr>
          <w:rFonts w:ascii="Times New Roman" w:cs="Times New Roman"/>
          <w:color w:val="000000" w:themeColor="text1"/>
          <w:spacing w:val="0"/>
        </w:rPr>
        <w:softHyphen/>
        <w:t>лета - 2500 км. Практический потолок - 9800 м (15755).</w:t>
      </w:r>
    </w:p>
    <w:p w14:paraId="0E576796"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p>
    <w:p w14:paraId="4A2D9B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примерно через месяц после выхода Правительственного документа. главный инженер ВВС Красной Армии А.К.Репин и заместитель Наркома авиапромышленности В.П.Кузнецов создали совместную комиссию по проведению 50-часовых испытаний мотора М-107. Председателем назначили одного из ведущих специалистов НИИ ВВС военинженера 1-го ранга П.Н.Никифорова. Испытания закончились успешно (4537).</w:t>
      </w:r>
    </w:p>
    <w:p w14:paraId="52B10F7F" w14:textId="77777777" w:rsidR="00090C9B" w:rsidRPr="00722885" w:rsidRDefault="00090C9B" w:rsidP="00722885">
      <w:pPr>
        <w:pStyle w:val="Iauiue"/>
        <w:jc w:val="both"/>
        <w:rPr>
          <w:color w:val="000000" w:themeColor="text1"/>
          <w:sz w:val="16"/>
          <w:szCs w:val="16"/>
        </w:rPr>
      </w:pPr>
    </w:p>
    <w:p w14:paraId="6DAC65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г: после того как был открыт заказ №265 в ОКБ-115 развернулась работа по установке нового климовского мотора М-107. Уже в следующем месяце моторостроители передали Яковлеву два экземпляра усовершенствованного варианта двигателя. По воспоминаниям одного из старейших сотрудников ОКБ-115 Е.Г.Адлера, работу ускорило не только сообщение об успешном окончании двигателем 50-часовых заводских испытаний на станке, но и конкуренция между советскими ОКБ.</w:t>
      </w:r>
    </w:p>
    <w:p w14:paraId="09D14F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"Мы внимательно следили эа ходом работ С.А.Лавочкина по установке мотора М-107 на истребитель ЛаГГ-3 - вспоминал он позднее. - Александр Сергеевич полагал, что понял причину неудачи ОКБ Лавочкина, и усилия будут потрачены не напрасно. В то же время наши коллеги из Горького успешно решили задачу установки на серийный планер мотора ВОЗДУШНОГО охлаждения М-82. хотя мы начали работу над Як-7 М-82 по крайней мере на два-три месяца раньше, чем С.А.Лавочкин." (4537).</w:t>
      </w:r>
    </w:p>
    <w:p w14:paraId="3DD5BC6B" w14:textId="77777777" w:rsidR="00090C9B" w:rsidRPr="00722885" w:rsidRDefault="00090C9B" w:rsidP="00722885">
      <w:pPr>
        <w:pStyle w:val="Iauiue"/>
        <w:jc w:val="both"/>
        <w:rPr>
          <w:color w:val="000000" w:themeColor="text1"/>
          <w:sz w:val="16"/>
          <w:szCs w:val="16"/>
        </w:rPr>
      </w:pPr>
    </w:p>
    <w:p w14:paraId="4BAA32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 выяснилось, что двигатели М-107 оказались непригодными к летной эксплуатации, поскольку почти каждый полет Пе-2 № 5/134 с моторами М-107 завершался вынужденной посадкой. К тому же потребовалось увеличить производительность водорадиаторов, так как мотор М-107 был заметно мощнее М-105. Без существенных переделок “втиснуть” увеличенные радиаторы в носок обычных консолей от серийного Пе-2 не удавалось. Поэтому временно, до получения новых двигателей М-107А, работы над этим вариантом “пешки” пришлось прекратить (4476).</w:t>
      </w:r>
    </w:p>
    <w:p w14:paraId="5B5BA773" w14:textId="77777777" w:rsidR="00090C9B" w:rsidRPr="00722885" w:rsidRDefault="00090C9B" w:rsidP="00722885">
      <w:pPr>
        <w:pStyle w:val="Iauiue"/>
        <w:jc w:val="both"/>
        <w:rPr>
          <w:color w:val="000000" w:themeColor="text1"/>
          <w:sz w:val="16"/>
          <w:szCs w:val="16"/>
        </w:rPr>
      </w:pPr>
    </w:p>
    <w:p w14:paraId="6633DC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три истребителя МиГ-9 (первые с таким на</w:t>
      </w:r>
      <w:r w:rsidRPr="00722885">
        <w:rPr>
          <w:rFonts w:ascii="Times New Roman" w:hAnsi="Times New Roman"/>
          <w:color w:val="000000" w:themeColor="text1"/>
          <w:sz w:val="16"/>
          <w:szCs w:val="16"/>
        </w:rPr>
        <w:softHyphen/>
        <w:t>званием), являющиеся модификацией МиГ-3 с двигателем М-82 вернули на доработку. В целом МиГ-9 получил неудовлетво</w:t>
      </w:r>
      <w:r w:rsidRPr="00722885">
        <w:rPr>
          <w:rFonts w:ascii="Times New Roman" w:hAnsi="Times New Roman"/>
          <w:color w:val="000000" w:themeColor="text1"/>
          <w:sz w:val="16"/>
          <w:szCs w:val="16"/>
        </w:rPr>
        <w:softHyphen/>
        <w:t>рительную оценку - максимальная скорость со</w:t>
      </w:r>
      <w:r w:rsidRPr="00722885">
        <w:rPr>
          <w:rFonts w:ascii="Times New Roman" w:hAnsi="Times New Roman"/>
          <w:color w:val="000000" w:themeColor="text1"/>
          <w:sz w:val="16"/>
          <w:szCs w:val="16"/>
        </w:rPr>
        <w:softHyphen/>
        <w:t>ставила 565 км/ч на высоте 6 км - поэтому в серии не строился (9979).</w:t>
      </w:r>
    </w:p>
    <w:p w14:paraId="6E9BAF1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598E4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года в рамках совместных с АДД испытания Пе-8 2М-82 проводились испытания на максималльную дальность полета. После рассмотрения ряда маршрутов остановились на маршруте из Казани в Среднюю Азию со сбросом бомб в пустынной местности за Ташкентом. Пришлось выбирать дни с хорошей погодой. Взлет и посадку решили производить с Казанского аэродрома ГВФ. Вылет назначили на вечер, с тем чтобы посадку проводить утром засветло. Самолет нормально стартовал и ушел в восточном направлении в сторону Ташкента. По радиосвязи в Казань шла постоянная информация о полете. Экипаж вышел на полигон и сбросил бомбы, затем лег на обратный курс. После прохода Аральского моря связь с Пе-8 прекратилась. Связь восстановилась только перед посадкой самолета на аэродром в Казани. И первой информацией с борта была радиограмма, что экипаж просит обеспечить посадку без круга. Информация всех встревожила, все подумали, что на борту не все в порядке. Но самолет, приблизившись к аэродрому сделал полагающийся круг, нормально зашел на посадку и вскоре подрулил к стоянке. Ни Водопьянов, ни Говоров такой радиограммы не давали. И только ведущий инженер Аржанов признался Незвалю, что он послал такую радиограмму так как ему показалось, что топлива осталось слишком мало. Все прошло хорошо, новые двигатели в этом дальнем полете не подвели, хотя по ходу испытаний с силовой установкой было всякое. Важнейший этап испытаний был закончен. В баках еще оставался остаток топлива, замерили. По результатам этого полета были зафиксированы следующие результаты по дальности полета Пе-8 4М-82: при полетной массе 35000 кг, с 2000 кг бомб, с запасом топлива 11950 кг, на высоте 4000 м при средней скорости 300 км/ч самолет обеспечивал дальность полета 5800 км; при полетной массе 36000 кг, с 3000 кг бомб (из них две ФАБ-500 на внешней подвеске), с тем же запасом топлива дальность получалась 4400 км (7685).</w:t>
      </w:r>
    </w:p>
    <w:p w14:paraId="357DA9EA" w14:textId="77777777" w:rsidR="00090C9B" w:rsidRPr="00722885" w:rsidRDefault="00090C9B" w:rsidP="00722885">
      <w:pPr>
        <w:pStyle w:val="Iauiue"/>
        <w:jc w:val="both"/>
        <w:rPr>
          <w:color w:val="000000" w:themeColor="text1"/>
          <w:sz w:val="16"/>
          <w:szCs w:val="16"/>
        </w:rPr>
      </w:pPr>
    </w:p>
    <w:p w14:paraId="30EC3F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производство Ту-2 на 166 заводе прекратили и всего с апреля 1942 было выпущено 80 машин в семи сериях: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708"/>
        <w:gridCol w:w="10030"/>
      </w:tblGrid>
      <w:tr w:rsidR="009B487A" w:rsidRPr="00722885" w14:paraId="46AB3EC9" w14:textId="77777777" w:rsidTr="00CC5360">
        <w:tc>
          <w:tcPr>
            <w:tcW w:w="534" w:type="dxa"/>
            <w:tcBorders>
              <w:top w:val="single" w:sz="12" w:space="0" w:color="auto"/>
            </w:tcBorders>
          </w:tcPr>
          <w:p w14:paraId="725045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tc>
        <w:tc>
          <w:tcPr>
            <w:tcW w:w="708" w:type="dxa"/>
            <w:tcBorders>
              <w:top w:val="single" w:sz="12" w:space="0" w:color="auto"/>
            </w:tcBorders>
          </w:tcPr>
          <w:p w14:paraId="0C89B0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w:t>
            </w:r>
          </w:p>
        </w:tc>
        <w:tc>
          <w:tcPr>
            <w:tcW w:w="10030" w:type="dxa"/>
            <w:tcBorders>
              <w:top w:val="single" w:sz="12" w:space="0" w:color="auto"/>
            </w:tcBorders>
          </w:tcPr>
          <w:p w14:paraId="195756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101-105 февраль-апрель</w:t>
            </w:r>
          </w:p>
        </w:tc>
      </w:tr>
      <w:tr w:rsidR="009B487A" w:rsidRPr="00722885" w14:paraId="78BA49C4" w14:textId="77777777" w:rsidTr="00CC5360">
        <w:tc>
          <w:tcPr>
            <w:tcW w:w="534" w:type="dxa"/>
          </w:tcPr>
          <w:p w14:paraId="329486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w:t>
            </w:r>
          </w:p>
        </w:tc>
        <w:tc>
          <w:tcPr>
            <w:tcW w:w="708" w:type="dxa"/>
          </w:tcPr>
          <w:p w14:paraId="06ED42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w:t>
            </w:r>
          </w:p>
        </w:tc>
        <w:tc>
          <w:tcPr>
            <w:tcW w:w="10030" w:type="dxa"/>
          </w:tcPr>
          <w:p w14:paraId="572D1C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201-205 апрель-май</w:t>
            </w:r>
          </w:p>
        </w:tc>
      </w:tr>
      <w:tr w:rsidR="009B487A" w:rsidRPr="00722885" w14:paraId="278B15CF" w14:textId="77777777" w:rsidTr="00CC5360">
        <w:tc>
          <w:tcPr>
            <w:tcW w:w="534" w:type="dxa"/>
          </w:tcPr>
          <w:p w14:paraId="1DACD6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w:t>
            </w:r>
          </w:p>
        </w:tc>
        <w:tc>
          <w:tcPr>
            <w:tcW w:w="708" w:type="dxa"/>
          </w:tcPr>
          <w:p w14:paraId="0AAC93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w:t>
            </w:r>
          </w:p>
        </w:tc>
        <w:tc>
          <w:tcPr>
            <w:tcW w:w="10030" w:type="dxa"/>
          </w:tcPr>
          <w:p w14:paraId="19A69A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301-310 май-июнь</w:t>
            </w:r>
          </w:p>
        </w:tc>
      </w:tr>
      <w:tr w:rsidR="009B487A" w:rsidRPr="00722885" w14:paraId="714C1E64" w14:textId="77777777" w:rsidTr="00CC5360">
        <w:tc>
          <w:tcPr>
            <w:tcW w:w="534" w:type="dxa"/>
          </w:tcPr>
          <w:p w14:paraId="1DD075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w:t>
            </w:r>
          </w:p>
        </w:tc>
        <w:tc>
          <w:tcPr>
            <w:tcW w:w="708" w:type="dxa"/>
          </w:tcPr>
          <w:p w14:paraId="612C04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w:t>
            </w:r>
          </w:p>
        </w:tc>
        <w:tc>
          <w:tcPr>
            <w:tcW w:w="10030" w:type="dxa"/>
          </w:tcPr>
          <w:p w14:paraId="70A47C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401-410 июнь-июль</w:t>
            </w:r>
          </w:p>
        </w:tc>
      </w:tr>
      <w:tr w:rsidR="009B487A" w:rsidRPr="00722885" w14:paraId="303F8C79" w14:textId="77777777" w:rsidTr="00CC5360">
        <w:tc>
          <w:tcPr>
            <w:tcW w:w="534" w:type="dxa"/>
          </w:tcPr>
          <w:p w14:paraId="1036E0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w:t>
            </w:r>
          </w:p>
        </w:tc>
        <w:tc>
          <w:tcPr>
            <w:tcW w:w="708" w:type="dxa"/>
          </w:tcPr>
          <w:p w14:paraId="244CD0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w:t>
            </w:r>
          </w:p>
        </w:tc>
        <w:tc>
          <w:tcPr>
            <w:tcW w:w="10030" w:type="dxa"/>
          </w:tcPr>
          <w:p w14:paraId="31F21C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501-510 июль-август</w:t>
            </w:r>
          </w:p>
        </w:tc>
      </w:tr>
      <w:tr w:rsidR="009B487A" w:rsidRPr="00722885" w14:paraId="6FB690DE" w14:textId="77777777" w:rsidTr="00CC5360">
        <w:tc>
          <w:tcPr>
            <w:tcW w:w="534" w:type="dxa"/>
          </w:tcPr>
          <w:p w14:paraId="10FCB9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w:t>
            </w:r>
          </w:p>
        </w:tc>
        <w:tc>
          <w:tcPr>
            <w:tcW w:w="708" w:type="dxa"/>
          </w:tcPr>
          <w:p w14:paraId="4A6912E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w:t>
            </w:r>
          </w:p>
        </w:tc>
        <w:tc>
          <w:tcPr>
            <w:tcW w:w="10030" w:type="dxa"/>
          </w:tcPr>
          <w:p w14:paraId="3C06E6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601-620 август-сентябрь</w:t>
            </w:r>
          </w:p>
        </w:tc>
      </w:tr>
      <w:tr w:rsidR="009B487A" w:rsidRPr="00722885" w14:paraId="2D989D22" w14:textId="77777777" w:rsidTr="00CC5360">
        <w:tc>
          <w:tcPr>
            <w:tcW w:w="534" w:type="dxa"/>
            <w:tcBorders>
              <w:bottom w:val="single" w:sz="12" w:space="0" w:color="auto"/>
            </w:tcBorders>
          </w:tcPr>
          <w:p w14:paraId="49E086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w:t>
            </w:r>
          </w:p>
        </w:tc>
        <w:tc>
          <w:tcPr>
            <w:tcW w:w="708" w:type="dxa"/>
            <w:tcBorders>
              <w:bottom w:val="single" w:sz="12" w:space="0" w:color="auto"/>
            </w:tcBorders>
          </w:tcPr>
          <w:p w14:paraId="459639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w:t>
            </w:r>
          </w:p>
        </w:tc>
        <w:tc>
          <w:tcPr>
            <w:tcW w:w="10030" w:type="dxa"/>
            <w:tcBorders>
              <w:bottom w:val="single" w:sz="12" w:space="0" w:color="auto"/>
            </w:tcBorders>
          </w:tcPr>
          <w:p w14:paraId="2F2B5C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701-720 сентябрь-октябрь. 713, 714, 716 и 718 отдали А.Н.Т. и их потом в 1943-1944 перевезли в Москву (1835,21)</w:t>
            </w:r>
          </w:p>
        </w:tc>
      </w:tr>
    </w:tbl>
    <w:p w14:paraId="52D0DB32" w14:textId="77777777" w:rsidR="00090C9B" w:rsidRPr="00722885" w:rsidRDefault="00090C9B" w:rsidP="00722885">
      <w:pPr>
        <w:pStyle w:val="Iauiue"/>
        <w:jc w:val="both"/>
        <w:rPr>
          <w:color w:val="000000" w:themeColor="text1"/>
          <w:sz w:val="16"/>
          <w:szCs w:val="16"/>
        </w:rPr>
      </w:pPr>
    </w:p>
    <w:p w14:paraId="3175EF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вышел отчет по испытаниям УТ-2МВ с М-11Ф А.С.Я. в вариантах НБ и самолета связи производства 47 завода. Нес до 200 кг бомб на наружной подвеске (1785).</w:t>
      </w:r>
    </w:p>
    <w:p w14:paraId="14795409" w14:textId="77777777" w:rsidR="00090C9B" w:rsidRPr="00722885" w:rsidRDefault="00090C9B" w:rsidP="00722885">
      <w:pPr>
        <w:pStyle w:val="Iauiue"/>
        <w:jc w:val="both"/>
        <w:rPr>
          <w:color w:val="000000" w:themeColor="text1"/>
          <w:sz w:val="16"/>
          <w:szCs w:val="16"/>
        </w:rPr>
      </w:pPr>
    </w:p>
    <w:p w14:paraId="0D99A4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ОКБ П.О.С. разработало проект одномоторного ДБ с М-71 М-82ФНВ и ТК-3 (1454,59).</w:t>
      </w:r>
    </w:p>
    <w:p w14:paraId="5A5ADE24" w14:textId="77777777" w:rsidR="00090C9B" w:rsidRPr="00722885" w:rsidRDefault="00090C9B" w:rsidP="00722885">
      <w:pPr>
        <w:pStyle w:val="Iauiue"/>
        <w:jc w:val="both"/>
        <w:rPr>
          <w:color w:val="000000" w:themeColor="text1"/>
          <w:sz w:val="16"/>
          <w:szCs w:val="16"/>
        </w:rPr>
      </w:pPr>
    </w:p>
    <w:p w14:paraId="6B08E4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 октябре 1942 в ОКБ П.О.С, был разработан проект одноместного экспериментального самолета с ВРД - мотокомпрессорным двигателем и был направлен в ГК НИИ </w:t>
      </w:r>
      <w:r w:rsidRPr="00722885">
        <w:rPr>
          <w:color w:val="000000" w:themeColor="text1"/>
          <w:sz w:val="16"/>
          <w:szCs w:val="16"/>
        </w:rPr>
        <w:lastRenderedPageBreak/>
        <w:t>ВВС. Кабина в кольце воздухозаборника (3808,81).</w:t>
      </w:r>
    </w:p>
    <w:p w14:paraId="4F2BDE14" w14:textId="77777777" w:rsidR="00090C9B" w:rsidRPr="00722885" w:rsidRDefault="00090C9B" w:rsidP="00722885">
      <w:pPr>
        <w:pStyle w:val="Iauiue"/>
        <w:jc w:val="both"/>
        <w:rPr>
          <w:color w:val="000000" w:themeColor="text1"/>
          <w:sz w:val="16"/>
          <w:szCs w:val="16"/>
        </w:rPr>
      </w:pPr>
    </w:p>
    <w:p w14:paraId="60F37969" w14:textId="77777777" w:rsidR="00B528D1" w:rsidRPr="00722885" w:rsidRDefault="00B528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был разработан Су-5. В качестве силовой установки, предусматривалось использование мотокомпрессорного ВРД (по терминологии тех лет – воздушно-реактивного двигателя компрессорного типа или ВРДК) разработки КБ П.О.Сухого, принципиально схожего с ВРДК самолета Caproni-Campini CC-2, построенного в Италии и совершившего первый полет 17 августа 1940 г.</w:t>
      </w:r>
    </w:p>
    <w:p w14:paraId="77858A4E" w14:textId="77777777" w:rsidR="00B528D1" w:rsidRPr="00722885" w:rsidRDefault="00B528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этого самолета потребная тяга создавалась работой ВРДК, в котором наружный воздух, поступавший в реактивный двигатель, предварительно сжимался осевым компрессором, приводимым поршневым двигателем.</w:t>
      </w:r>
    </w:p>
    <w:p w14:paraId="5917D862" w14:textId="77777777" w:rsidR="00B528D1" w:rsidRPr="00722885" w:rsidRDefault="00B528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По-видимому, выбор данной схемы силовой установки был обусловлен, прежде всего, отсутствием какого-либо доведенного ВРД, а также возможностью создания тяги двигателем и без сжигания топлива в камере сгорания. В этом случае теплосодержание воздуха увеличивалось за счет сжатия его в компрессоре, а также за счет охлаждения цилиндров и маслорадиатора приводного двигателя и его выхлопа в тракт ВРДК. Данный режим снижал тягу реактивного двигателя, но значительно увеличивал продолжительность полета.</w:t>
      </w:r>
    </w:p>
    <w:p w14:paraId="02D4FFCC" w14:textId="77777777" w:rsidR="00B528D1" w:rsidRPr="00722885" w:rsidRDefault="00B528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П.О. Сухого по схеме представлял собой моноплан с низкорасположенным трапециевидным крылом, нормальным однокилевым хвостовым оперением и убирающимся в полете шасси.</w:t>
      </w:r>
    </w:p>
    <w:p w14:paraId="4065E091" w14:textId="77777777" w:rsidR="00B528D1" w:rsidRPr="00722885" w:rsidRDefault="00B528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Носовая часть самолета представляла из себя эллиптическую гондолу с кабиной пилота, бортовым оборудованием и топливным баком и крепилась к фюзеляжу на шести стойках, образуя кольцевую щель воздухозаборника.</w:t>
      </w:r>
    </w:p>
    <w:p w14:paraId="1F650202" w14:textId="77777777" w:rsidR="00B528D1" w:rsidRPr="00722885" w:rsidRDefault="00B528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Внутри фюзеляжа размещался девятицилиндровый поршневой двигатель воздушного охлаждения, предположительно М-62 или М-63, приводящий во вращение двухступенчатый осевой компрессор. За поршневым двигателем располагался ВРД, состоящий из: завихрителя (турболизатора), топливного коллектора с форсунками и камеры сгорания с нерегулируемым реактивным соплом.</w:t>
      </w:r>
    </w:p>
    <w:p w14:paraId="010ABD5A" w14:textId="77777777" w:rsidR="00B528D1" w:rsidRPr="00722885" w:rsidRDefault="00B528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другие данные по проекту отсутствуют, сохранились лишь общий вид самолета и компоновочная схема ВРД. Тем не менее известно, что данный проект был передан на рассмотрение в реактивный отдел ЦАГИ и получил там отрицательное заключение (15579).</w:t>
      </w:r>
    </w:p>
    <w:p w14:paraId="140EE922" w14:textId="77777777" w:rsidR="00B528D1" w:rsidRPr="00722885" w:rsidRDefault="00B528D1" w:rsidP="00722885">
      <w:pPr>
        <w:spacing w:after="0" w:line="240" w:lineRule="auto"/>
        <w:jc w:val="both"/>
        <w:rPr>
          <w:rFonts w:ascii="Times New Roman" w:hAnsi="Times New Roman"/>
          <w:color w:val="000000" w:themeColor="text1"/>
          <w:sz w:val="16"/>
          <w:szCs w:val="16"/>
        </w:rPr>
      </w:pPr>
    </w:p>
    <w:p w14:paraId="1B12831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в ОКБ П.О.С. про</w:t>
      </w:r>
      <w:r w:rsidRPr="00722885">
        <w:rPr>
          <w:rFonts w:ascii="Times New Roman" w:hAnsi="Times New Roman"/>
          <w:color w:val="000000" w:themeColor="text1"/>
          <w:sz w:val="16"/>
          <w:szCs w:val="16"/>
        </w:rPr>
        <w:softHyphen/>
        <w:t>екте одноместного экспериментально</w:t>
      </w:r>
      <w:r w:rsidRPr="00722885">
        <w:rPr>
          <w:rFonts w:ascii="Times New Roman" w:hAnsi="Times New Roman"/>
          <w:color w:val="000000" w:themeColor="text1"/>
          <w:sz w:val="16"/>
          <w:szCs w:val="16"/>
        </w:rPr>
        <w:softHyphen/>
        <w:t>го самолете с ВРД. В нем, в качестве силовой установ</w:t>
      </w:r>
      <w:r w:rsidRPr="00722885">
        <w:rPr>
          <w:rFonts w:ascii="Times New Roman" w:hAnsi="Times New Roman"/>
          <w:color w:val="000000" w:themeColor="text1"/>
          <w:sz w:val="16"/>
          <w:szCs w:val="16"/>
        </w:rPr>
        <w:softHyphen/>
        <w:t>ки, предусматривалось использование мотокомпрессорного ВРД (по терми</w:t>
      </w:r>
      <w:r w:rsidRPr="00722885">
        <w:rPr>
          <w:rFonts w:ascii="Times New Roman" w:hAnsi="Times New Roman"/>
          <w:color w:val="000000" w:themeColor="text1"/>
          <w:sz w:val="16"/>
          <w:szCs w:val="16"/>
        </w:rPr>
        <w:softHyphen/>
        <w:t>нологии тех лет - воздушно-реактив</w:t>
      </w:r>
      <w:r w:rsidRPr="00722885">
        <w:rPr>
          <w:rFonts w:ascii="Times New Roman" w:hAnsi="Times New Roman"/>
          <w:color w:val="000000" w:themeColor="text1"/>
          <w:sz w:val="16"/>
          <w:szCs w:val="16"/>
        </w:rPr>
        <w:softHyphen/>
        <w:t>ного двигателя компрессорного типа или ВРДК) разработки КБ П.О.Сухого, прин</w:t>
      </w:r>
      <w:r w:rsidRPr="00722885">
        <w:rPr>
          <w:rFonts w:ascii="Times New Roman" w:hAnsi="Times New Roman"/>
          <w:color w:val="000000" w:themeColor="text1"/>
          <w:sz w:val="16"/>
          <w:szCs w:val="16"/>
        </w:rPr>
        <w:softHyphen/>
        <w:t>ципиально схожего с ВРДК самолета Caproni-Campini СС-2, построенного в Италии и совершившего первый полет 17 августа 1940 г. У этого самолета потребная тяга создавалась работой ВРДК, в кото</w:t>
      </w:r>
      <w:r w:rsidRPr="00722885">
        <w:rPr>
          <w:rFonts w:ascii="Times New Roman" w:hAnsi="Times New Roman"/>
          <w:color w:val="000000" w:themeColor="text1"/>
          <w:sz w:val="16"/>
          <w:szCs w:val="16"/>
        </w:rPr>
        <w:softHyphen/>
        <w:t>ром наружный воздух, поступавший в реактивный двигатель, предварительно сжимался осевым компрессором, при</w:t>
      </w:r>
      <w:r w:rsidRPr="00722885">
        <w:rPr>
          <w:rFonts w:ascii="Times New Roman" w:hAnsi="Times New Roman"/>
          <w:color w:val="000000" w:themeColor="text1"/>
          <w:sz w:val="16"/>
          <w:szCs w:val="16"/>
        </w:rPr>
        <w:softHyphen/>
        <w:t>водимым поршневым двигателем. По-видимому, выбор данной схемы силовой установки был обусловлен, прежде всего, отсутствием какого-либо доведенного ВРД, а также возможно</w:t>
      </w:r>
      <w:r w:rsidRPr="00722885">
        <w:rPr>
          <w:rFonts w:ascii="Times New Roman" w:hAnsi="Times New Roman"/>
          <w:color w:val="000000" w:themeColor="text1"/>
          <w:sz w:val="16"/>
          <w:szCs w:val="16"/>
        </w:rPr>
        <w:softHyphen/>
        <w:t>стью создания тяги двигателем и без сжигания топлива в камере сгорания. В этом случае теплосодержание воз</w:t>
      </w:r>
      <w:r w:rsidRPr="00722885">
        <w:rPr>
          <w:rFonts w:ascii="Times New Roman" w:hAnsi="Times New Roman"/>
          <w:color w:val="000000" w:themeColor="text1"/>
          <w:sz w:val="16"/>
          <w:szCs w:val="16"/>
        </w:rPr>
        <w:softHyphen/>
        <w:t>духа увеличивалось за счет сжатия его в компрессоре, а также за счет охлаждения цилиндров и маслоради-атора приводного двигателя и его вых</w:t>
      </w:r>
      <w:r w:rsidRPr="00722885">
        <w:rPr>
          <w:rFonts w:ascii="Times New Roman" w:hAnsi="Times New Roman"/>
          <w:color w:val="000000" w:themeColor="text1"/>
          <w:sz w:val="16"/>
          <w:szCs w:val="16"/>
        </w:rPr>
        <w:softHyphen/>
        <w:t>лопа в тракт ВРДК. Данный режим снижал тягу реактивного двигателя, но значительно увеличивал продолжитель</w:t>
      </w:r>
      <w:r w:rsidRPr="00722885">
        <w:rPr>
          <w:rFonts w:ascii="Times New Roman" w:hAnsi="Times New Roman"/>
          <w:color w:val="000000" w:themeColor="text1"/>
          <w:sz w:val="16"/>
          <w:szCs w:val="16"/>
        </w:rPr>
        <w:softHyphen/>
        <w:t>ность полета. Самолет П.О. Сухого по схеме пред</w:t>
      </w:r>
      <w:r w:rsidRPr="00722885">
        <w:rPr>
          <w:rFonts w:ascii="Times New Roman" w:hAnsi="Times New Roman"/>
          <w:color w:val="000000" w:themeColor="text1"/>
          <w:sz w:val="16"/>
          <w:szCs w:val="16"/>
        </w:rPr>
        <w:softHyphen/>
        <w:t>ставлял собой моноплан с низкораспо</w:t>
      </w:r>
      <w:r w:rsidRPr="00722885">
        <w:rPr>
          <w:rFonts w:ascii="Times New Roman" w:hAnsi="Times New Roman"/>
          <w:color w:val="000000" w:themeColor="text1"/>
          <w:sz w:val="16"/>
          <w:szCs w:val="16"/>
        </w:rPr>
        <w:softHyphen/>
        <w:t>ложенным трапециевидным крылом, нор</w:t>
      </w:r>
      <w:r w:rsidRPr="00722885">
        <w:rPr>
          <w:rFonts w:ascii="Times New Roman" w:hAnsi="Times New Roman"/>
          <w:color w:val="000000" w:themeColor="text1"/>
          <w:sz w:val="16"/>
          <w:szCs w:val="16"/>
        </w:rPr>
        <w:softHyphen/>
        <w:t>мальным однокилевым хвостовым опере</w:t>
      </w:r>
      <w:r w:rsidRPr="00722885">
        <w:rPr>
          <w:rFonts w:ascii="Times New Roman" w:hAnsi="Times New Roman"/>
          <w:color w:val="000000" w:themeColor="text1"/>
          <w:sz w:val="16"/>
          <w:szCs w:val="16"/>
        </w:rPr>
        <w:softHyphen/>
        <w:t>нием и убирающимся в полете шасси. Носовая часть самолета - эллипти</w:t>
      </w:r>
      <w:r w:rsidRPr="00722885">
        <w:rPr>
          <w:rFonts w:ascii="Times New Roman" w:hAnsi="Times New Roman"/>
          <w:color w:val="000000" w:themeColor="text1"/>
          <w:sz w:val="16"/>
          <w:szCs w:val="16"/>
        </w:rPr>
        <w:softHyphen/>
        <w:t>ческая гондола с кабиной пилота, бор</w:t>
      </w:r>
      <w:r w:rsidRPr="00722885">
        <w:rPr>
          <w:rFonts w:ascii="Times New Roman" w:hAnsi="Times New Roman"/>
          <w:color w:val="000000" w:themeColor="text1"/>
          <w:sz w:val="16"/>
          <w:szCs w:val="16"/>
        </w:rPr>
        <w:softHyphen/>
        <w:t>товым оборудованием и топливным баком - крепилась к фюзеляжу на шести стойках, образуя кольцевую щель воздухозаборника. Внутри фюзеляжа размещался де-вятицилиндровый поршневой двигатель воздушного охлаждения, предположитель</w:t>
      </w:r>
      <w:r w:rsidRPr="00722885">
        <w:rPr>
          <w:rFonts w:ascii="Times New Roman" w:hAnsi="Times New Roman"/>
          <w:color w:val="000000" w:themeColor="text1"/>
          <w:sz w:val="16"/>
          <w:szCs w:val="16"/>
        </w:rPr>
        <w:softHyphen/>
        <w:t>но М-62 или М-63, приводящий во вра</w:t>
      </w:r>
      <w:r w:rsidRPr="00722885">
        <w:rPr>
          <w:rFonts w:ascii="Times New Roman" w:hAnsi="Times New Roman"/>
          <w:color w:val="000000" w:themeColor="text1"/>
          <w:sz w:val="16"/>
          <w:szCs w:val="16"/>
        </w:rPr>
        <w:softHyphen/>
        <w:t>щение двухступенчатый осевой комп</w:t>
      </w:r>
      <w:r w:rsidRPr="00722885">
        <w:rPr>
          <w:rFonts w:ascii="Times New Roman" w:hAnsi="Times New Roman"/>
          <w:color w:val="000000" w:themeColor="text1"/>
          <w:sz w:val="16"/>
          <w:szCs w:val="16"/>
        </w:rPr>
        <w:softHyphen/>
        <w:t>рессор. За поршневым двигателем располагался ВРД, состоящий из: завихрителя (турболизатора), топливного коллектора с форсунками и камеры сгорания с нерегулируемым реактив</w:t>
      </w:r>
      <w:r w:rsidRPr="00722885">
        <w:rPr>
          <w:rFonts w:ascii="Times New Roman" w:hAnsi="Times New Roman"/>
          <w:color w:val="000000" w:themeColor="text1"/>
          <w:sz w:val="16"/>
          <w:szCs w:val="16"/>
        </w:rPr>
        <w:softHyphen/>
        <w:t>ным соплом. К сожалению, другие данные по про</w:t>
      </w:r>
      <w:r w:rsidRPr="00722885">
        <w:rPr>
          <w:rFonts w:ascii="Times New Roman" w:hAnsi="Times New Roman"/>
          <w:color w:val="000000" w:themeColor="text1"/>
          <w:sz w:val="16"/>
          <w:szCs w:val="16"/>
        </w:rPr>
        <w:softHyphen/>
        <w:t>екту отсутствуют, сохранились лишь общий вид самолета и компоновоч</w:t>
      </w:r>
      <w:r w:rsidRPr="00722885">
        <w:rPr>
          <w:rFonts w:ascii="Times New Roman" w:hAnsi="Times New Roman"/>
          <w:color w:val="000000" w:themeColor="text1"/>
          <w:sz w:val="16"/>
          <w:szCs w:val="16"/>
        </w:rPr>
        <w:softHyphen/>
        <w:t>ная схема ВРД. Тем не менее извест</w:t>
      </w:r>
      <w:r w:rsidRPr="00722885">
        <w:rPr>
          <w:rFonts w:ascii="Times New Roman" w:hAnsi="Times New Roman"/>
          <w:color w:val="000000" w:themeColor="text1"/>
          <w:sz w:val="16"/>
          <w:szCs w:val="16"/>
        </w:rPr>
        <w:softHyphen/>
        <w:t>но, что данный проект был передан на рассмотрение в реактивный отдел ЦАГИ и получил там отрицательное зак</w:t>
      </w:r>
      <w:r w:rsidRPr="00722885">
        <w:rPr>
          <w:rFonts w:ascii="Times New Roman" w:hAnsi="Times New Roman"/>
          <w:color w:val="000000" w:themeColor="text1"/>
          <w:sz w:val="16"/>
          <w:szCs w:val="16"/>
        </w:rPr>
        <w:softHyphen/>
        <w:t>лючение (10669).</w:t>
      </w:r>
    </w:p>
    <w:p w14:paraId="303CB2A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39DD0C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на Урале на заводе № 293 окончились испытания ЖРД. Были получены регла</w:t>
      </w:r>
      <w:r w:rsidRPr="00722885">
        <w:rPr>
          <w:rFonts w:ascii="Times New Roman" w:hAnsi="Times New Roman"/>
          <w:color w:val="000000" w:themeColor="text1"/>
          <w:sz w:val="16"/>
          <w:szCs w:val="16"/>
        </w:rPr>
        <w:softHyphen/>
        <w:t>менты на работу сопла (6 рабочих пусков) и головку с камерой двигателя (12 рабо</w:t>
      </w:r>
      <w:r w:rsidRPr="00722885">
        <w:rPr>
          <w:rFonts w:ascii="Times New Roman" w:hAnsi="Times New Roman"/>
          <w:color w:val="000000" w:themeColor="text1"/>
          <w:sz w:val="16"/>
          <w:szCs w:val="16"/>
        </w:rPr>
        <w:softHyphen/>
        <w:t>чих пусков). После указанной работы завод приступил к снятию летных харак</w:t>
      </w:r>
      <w:r w:rsidRPr="00722885">
        <w:rPr>
          <w:rFonts w:ascii="Times New Roman" w:hAnsi="Times New Roman"/>
          <w:color w:val="000000" w:themeColor="text1"/>
          <w:sz w:val="16"/>
          <w:szCs w:val="16"/>
        </w:rPr>
        <w:softHyphen/>
        <w:t>теристик самолета, которые закончил в марте 1943 года (1775,138).</w:t>
      </w:r>
    </w:p>
    <w:p w14:paraId="785FFF6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5D714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вышел отчет по испытаниям Як-6 с 2М-11Ф А.С.Я. в транспортном варианте на нормальную нагрузку 500 кг производства 47 завода (1785).</w:t>
      </w:r>
    </w:p>
    <w:p w14:paraId="774B01B1" w14:textId="77777777" w:rsidR="00090C9B" w:rsidRPr="00722885" w:rsidRDefault="00090C9B" w:rsidP="00722885">
      <w:pPr>
        <w:pStyle w:val="Iauiue"/>
        <w:jc w:val="both"/>
        <w:rPr>
          <w:color w:val="000000" w:themeColor="text1"/>
          <w:sz w:val="16"/>
          <w:szCs w:val="16"/>
        </w:rPr>
      </w:pPr>
    </w:p>
    <w:p w14:paraId="138CE0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года на стол заместителя наркома по опытному самолетостроению А.С. Яковлева положили донесение из Главного разведывательного управления Генерального штаба Красной Армии:</w:t>
      </w:r>
    </w:p>
    <w:p w14:paraId="1E9082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30 апреля мы сообщали о предполагаемом введении на вооружение германских ВВС в 1942 г. самолета Ю 86 с моторами ЮМО-207 (дизель), оборудованного герметичной кабиной.</w:t>
      </w:r>
    </w:p>
    <w:p w14:paraId="28EE48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по английским данным самолеты Ю-86 уже применяются в качестве разведчиков. Они отмечены над Англией и в Египте на высоте до 14 000 м".</w:t>
      </w:r>
    </w:p>
    <w:p w14:paraId="585D3D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разведчики сильно досаждали англичанам, начиная с 1940-го, а в августе следующего года имели место и эпизодические бомбардировки с самолета Ju 86R-2. Несмотря на то, что английские перехватчики обнаруживали эти машины, но сбивать их они начали лишь в 1942 г. В августе пилот специально облегченного "Спитфайра" Mk V, взлетевший с авиабазы в Абукире, уничтожил севернее Каира Ju 86R. На безоружные "Юнкерсы" срочно установили пулеметы для защиты нижней части задней полусферы, но "Спитфайры" вскоре сбили еще пару высотных разведчиков и к августу 1943 года немцы прекратили эксплуатацию "Юнкерсов".</w:t>
      </w:r>
    </w:p>
    <w:p w14:paraId="0C0222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Установив на самолеты более мощные двигатели и увеличив площадь крыла, специалисты фирмы "Юнкере" подняли потолок машины до 14 400 м. Но и англичане не сидели, сложа руки. Построив высотный "Спитфайр" VI с герметичной кабиной и увеличенным крылом они создали значительные трудности противнику для ведения авиационной разведки (12032).</w:t>
      </w:r>
    </w:p>
    <w:p w14:paraId="48F71E1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B49C9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был утв. отчет о совм. испытаниях мотора АШ-82ФН со сроком службы 100 час.</w:t>
      </w:r>
    </w:p>
    <w:p w14:paraId="68D04D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Конструктивные отличия ФН от Ф следующие:</w:t>
      </w:r>
    </w:p>
    <w:p w14:paraId="1A4CAE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цилиндры мотора имеют головку с увеличенным оребрением на 27,7%</w:t>
      </w:r>
    </w:p>
    <w:p w14:paraId="0ACCDC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увеличен диаметр всасявающего патрубка до 70 мм вместо 65 мм</w:t>
      </w:r>
    </w:p>
    <w:p w14:paraId="70257E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выхлопные патрубки имеют уведличенный обхем внутренней полости под натрий для охлаждения</w:t>
      </w:r>
    </w:p>
    <w:p w14:paraId="697314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мотор снабжен агрегатом непосредственного впрыска НБ-3У вместо карбюратора АК-82БП</w:t>
      </w:r>
    </w:p>
    <w:p w14:paraId="7EEAF8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Основные дефекты:</w:t>
      </w:r>
    </w:p>
    <w:p w14:paraId="173AA7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течь масла из верхнего уплотнения тяг</w:t>
      </w:r>
    </w:p>
    <w:p w14:paraId="403883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неудовлетворительная работа магнето БСМ-М и свечей ВГ-12</w:t>
      </w:r>
    </w:p>
    <w:p w14:paraId="531535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Заключение:</w:t>
      </w:r>
    </w:p>
    <w:p w14:paraId="6FA0DD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мотор ФН прошел совместные испытания удовлетворительно и запущен в серийное пр-во со сроком службы 100 час. до первой перебоки</w:t>
      </w:r>
    </w:p>
    <w:p w14:paraId="095132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Топливо 4Б-78, масло МЗС, МК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275"/>
        <w:gridCol w:w="1985"/>
        <w:gridCol w:w="1701"/>
      </w:tblGrid>
      <w:tr w:rsidR="009B487A" w:rsidRPr="00722885" w14:paraId="120DC7CA" w14:textId="77777777" w:rsidTr="00CC5360">
        <w:tc>
          <w:tcPr>
            <w:tcW w:w="1951" w:type="dxa"/>
            <w:tcBorders>
              <w:top w:val="single" w:sz="12" w:space="0" w:color="auto"/>
            </w:tcBorders>
          </w:tcPr>
          <w:p w14:paraId="0B0C4D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Предельные величины</w:t>
            </w:r>
          </w:p>
        </w:tc>
        <w:tc>
          <w:tcPr>
            <w:tcW w:w="1418" w:type="dxa"/>
            <w:tcBorders>
              <w:top w:val="single" w:sz="12" w:space="0" w:color="auto"/>
            </w:tcBorders>
          </w:tcPr>
          <w:p w14:paraId="72089C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 бенз. кг/см2</w:t>
            </w:r>
          </w:p>
        </w:tc>
        <w:tc>
          <w:tcPr>
            <w:tcW w:w="1275" w:type="dxa"/>
            <w:tcBorders>
              <w:top w:val="single" w:sz="12" w:space="0" w:color="auto"/>
            </w:tcBorders>
          </w:tcPr>
          <w:p w14:paraId="4F65D8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 масла кг/см2</w:t>
            </w:r>
          </w:p>
        </w:tc>
        <w:tc>
          <w:tcPr>
            <w:tcW w:w="1985" w:type="dxa"/>
            <w:tcBorders>
              <w:top w:val="single" w:sz="12" w:space="0" w:color="auto"/>
            </w:tcBorders>
          </w:tcPr>
          <w:p w14:paraId="113E6D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температура масла</w:t>
            </w:r>
          </w:p>
        </w:tc>
        <w:tc>
          <w:tcPr>
            <w:tcW w:w="1701" w:type="dxa"/>
            <w:tcBorders>
              <w:top w:val="single" w:sz="12" w:space="0" w:color="auto"/>
            </w:tcBorders>
          </w:tcPr>
          <w:p w14:paraId="230857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температура головок цилиндров</w:t>
            </w:r>
          </w:p>
        </w:tc>
      </w:tr>
      <w:tr w:rsidR="009B487A" w:rsidRPr="00722885" w14:paraId="3420B826" w14:textId="77777777" w:rsidTr="00CC5360">
        <w:tc>
          <w:tcPr>
            <w:tcW w:w="1951" w:type="dxa"/>
          </w:tcPr>
          <w:p w14:paraId="35B63A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Минимальная</w:t>
            </w:r>
          </w:p>
        </w:tc>
        <w:tc>
          <w:tcPr>
            <w:tcW w:w="1418" w:type="dxa"/>
          </w:tcPr>
          <w:p w14:paraId="2AFA50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w:t>
            </w:r>
          </w:p>
        </w:tc>
        <w:tc>
          <w:tcPr>
            <w:tcW w:w="1275" w:type="dxa"/>
          </w:tcPr>
          <w:p w14:paraId="5FE533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w:t>
            </w:r>
          </w:p>
        </w:tc>
        <w:tc>
          <w:tcPr>
            <w:tcW w:w="1985" w:type="dxa"/>
          </w:tcPr>
          <w:p w14:paraId="770286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вх. 50, вых. 60</w:t>
            </w:r>
          </w:p>
        </w:tc>
        <w:tc>
          <w:tcPr>
            <w:tcW w:w="1701" w:type="dxa"/>
          </w:tcPr>
          <w:p w14:paraId="36E96D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120</w:t>
            </w:r>
          </w:p>
        </w:tc>
      </w:tr>
      <w:tr w:rsidR="009B487A" w:rsidRPr="00722885" w14:paraId="4E060711" w14:textId="77777777" w:rsidTr="00CC5360">
        <w:tc>
          <w:tcPr>
            <w:tcW w:w="1951" w:type="dxa"/>
          </w:tcPr>
          <w:p w14:paraId="664555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Рекомендуемая</w:t>
            </w:r>
          </w:p>
        </w:tc>
        <w:tc>
          <w:tcPr>
            <w:tcW w:w="1418" w:type="dxa"/>
          </w:tcPr>
          <w:p w14:paraId="0CF8BA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w:t>
            </w:r>
          </w:p>
        </w:tc>
        <w:tc>
          <w:tcPr>
            <w:tcW w:w="1275" w:type="dxa"/>
          </w:tcPr>
          <w:p w14:paraId="3D1914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5,5-6,5</w:t>
            </w:r>
          </w:p>
        </w:tc>
        <w:tc>
          <w:tcPr>
            <w:tcW w:w="1985" w:type="dxa"/>
          </w:tcPr>
          <w:p w14:paraId="063A20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вх. 60-75, вых. 80-100</w:t>
            </w:r>
          </w:p>
        </w:tc>
        <w:tc>
          <w:tcPr>
            <w:tcW w:w="1701" w:type="dxa"/>
          </w:tcPr>
          <w:p w14:paraId="7EF668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215</w:t>
            </w:r>
          </w:p>
        </w:tc>
      </w:tr>
      <w:tr w:rsidR="009B487A" w:rsidRPr="00722885" w14:paraId="4AAF6869" w14:textId="77777777" w:rsidTr="00CC5360">
        <w:tc>
          <w:tcPr>
            <w:tcW w:w="1951" w:type="dxa"/>
            <w:tcBorders>
              <w:bottom w:val="single" w:sz="12" w:space="0" w:color="auto"/>
            </w:tcBorders>
          </w:tcPr>
          <w:p w14:paraId="5849F6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Максимальная</w:t>
            </w:r>
          </w:p>
        </w:tc>
        <w:tc>
          <w:tcPr>
            <w:tcW w:w="1418" w:type="dxa"/>
            <w:tcBorders>
              <w:bottom w:val="single" w:sz="12" w:space="0" w:color="auto"/>
            </w:tcBorders>
          </w:tcPr>
          <w:p w14:paraId="28902E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w:t>
            </w:r>
          </w:p>
        </w:tc>
        <w:tc>
          <w:tcPr>
            <w:tcW w:w="1275" w:type="dxa"/>
            <w:tcBorders>
              <w:bottom w:val="single" w:sz="12" w:space="0" w:color="auto"/>
            </w:tcBorders>
          </w:tcPr>
          <w:p w14:paraId="3E4300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5,5-6,5</w:t>
            </w:r>
          </w:p>
        </w:tc>
        <w:tc>
          <w:tcPr>
            <w:tcW w:w="1985" w:type="dxa"/>
            <w:tcBorders>
              <w:bottom w:val="single" w:sz="12" w:space="0" w:color="auto"/>
            </w:tcBorders>
          </w:tcPr>
          <w:p w14:paraId="2B7680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вх. 85, вых. 125</w:t>
            </w:r>
          </w:p>
        </w:tc>
        <w:tc>
          <w:tcPr>
            <w:tcW w:w="1701" w:type="dxa"/>
            <w:tcBorders>
              <w:bottom w:val="single" w:sz="12" w:space="0" w:color="auto"/>
            </w:tcBorders>
          </w:tcPr>
          <w:p w14:paraId="7C2C4D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250</w:t>
            </w:r>
          </w:p>
        </w:tc>
      </w:tr>
    </w:tbl>
    <w:p w14:paraId="46455D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(735,12).</w:t>
      </w:r>
    </w:p>
    <w:p w14:paraId="6E27DEBC" w14:textId="77777777" w:rsidR="00090C9B" w:rsidRPr="00722885" w:rsidRDefault="00090C9B" w:rsidP="00722885">
      <w:pPr>
        <w:pStyle w:val="Iauiue"/>
        <w:jc w:val="both"/>
        <w:rPr>
          <w:color w:val="000000" w:themeColor="text1"/>
          <w:sz w:val="16"/>
          <w:szCs w:val="16"/>
        </w:rPr>
      </w:pPr>
    </w:p>
    <w:p w14:paraId="0A98BC2D"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С октября 1942 г. на заводе № 154 М-11Ф внедрили в серийное производство. Их делали параллельно с М-11Д, но в существенно меньших количествах. Всего в Андижане выпустили примерно 400-500 М-11Ф. Надежность их оставляла желать лучшего. Но заявленную мощность в 145 л.с. мотор исправно выдавал. Со всеми своими недостатками М-11Ф стал отправной точкой для работы конструкторов и в Андижане, и в Москве. В 1943 г. Коссов сочетал элементы конструкции опытного двигателя М-12 (200 л.с.) с цилиндро-поршневой группой от М-11Д и носком вала под винт изменяемого шага. Результатом стал мотор М-11ФР (первый с этим названием) с максимальной мощностью 160 л.с. Сменивший Коссова во главе конструкторского бюро завода № 154 Е.В. Урмин сделал значительно дальше ушедший от М-11Д вариант М-11Я (позже переименованный тоже в М-12). Но он оказался неудачен (11479).</w:t>
      </w:r>
    </w:p>
    <w:p w14:paraId="2077B0CA" w14:textId="77777777" w:rsidR="00090C9B" w:rsidRPr="00722885" w:rsidRDefault="00090C9B" w:rsidP="00722885">
      <w:pPr>
        <w:pStyle w:val="afff2"/>
        <w:jc w:val="both"/>
        <w:rPr>
          <w:i w:val="0"/>
          <w:iCs w:val="0"/>
          <w:color w:val="000000" w:themeColor="text1"/>
          <w:spacing w:val="0"/>
          <w:kern w:val="0"/>
          <w:position w:val="0"/>
          <w:sz w:val="16"/>
          <w:szCs w:val="16"/>
        </w:rPr>
      </w:pPr>
    </w:p>
    <w:p w14:paraId="2AC5EFD4"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авиаконструктор М.И. Гудков ознакомился в НКАП с чертежами двигателя РД-1 A.M. Люльки и предложил ему сделать проект реактивного самолета на базе винтомоторного истребителя ЛаГГ-3.</w:t>
      </w:r>
    </w:p>
    <w:p w14:paraId="068E6592"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Предварительные расчеты показали, что на машине такого типа с установкой ТРД A.M. Люльки вместо штатного мотора М-105П можно получить скорость в 1000 км/ч.</w:t>
      </w:r>
    </w:p>
    <w:p w14:paraId="1FDB4571" w14:textId="77777777" w:rsidR="004F59B2" w:rsidRPr="00722885" w:rsidRDefault="004F59B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Проект ЛаГГ-ЗВРД (Гу-1) был рассмотрен в НИИ ВВС (15577).</w:t>
      </w:r>
    </w:p>
    <w:p w14:paraId="3A03CAC1" w14:textId="77777777" w:rsidR="004F59B2" w:rsidRPr="00722885" w:rsidRDefault="004F59B2" w:rsidP="00722885">
      <w:pPr>
        <w:spacing w:after="0" w:line="240" w:lineRule="auto"/>
        <w:jc w:val="both"/>
        <w:rPr>
          <w:rFonts w:ascii="Times New Roman" w:hAnsi="Times New Roman"/>
          <w:color w:val="000000" w:themeColor="text1"/>
          <w:sz w:val="16"/>
          <w:szCs w:val="16"/>
        </w:rPr>
      </w:pPr>
    </w:p>
    <w:p w14:paraId="3E862B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НКАП ввел кабины со стандартным оборудованием для каждого типа самолета (237,200).</w:t>
      </w:r>
    </w:p>
    <w:p w14:paraId="3C4466FA" w14:textId="77777777" w:rsidR="00090C9B" w:rsidRPr="00722885" w:rsidRDefault="00090C9B" w:rsidP="00722885">
      <w:pPr>
        <w:pStyle w:val="Iauiue"/>
        <w:jc w:val="both"/>
        <w:rPr>
          <w:color w:val="000000" w:themeColor="text1"/>
          <w:sz w:val="16"/>
          <w:szCs w:val="16"/>
        </w:rPr>
      </w:pPr>
    </w:p>
    <w:p w14:paraId="272F54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на каждом втором истребителе стали ставить приемопередающие радиостанции (201,4).</w:t>
      </w:r>
    </w:p>
    <w:p w14:paraId="5DB9FD4D" w14:textId="77777777" w:rsidR="00090C9B" w:rsidRPr="00722885" w:rsidRDefault="00090C9B" w:rsidP="00722885">
      <w:pPr>
        <w:pStyle w:val="Iauiue"/>
        <w:jc w:val="both"/>
        <w:rPr>
          <w:color w:val="000000" w:themeColor="text1"/>
          <w:sz w:val="16"/>
          <w:szCs w:val="16"/>
        </w:rPr>
      </w:pPr>
    </w:p>
    <w:p w14:paraId="433751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состоянию на октябрь 1942 года были утверждены директора заводов НКАП:</w:t>
      </w:r>
    </w:p>
    <w:p w14:paraId="3C50F0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20 – Ивайкина А.М.</w:t>
      </w:r>
    </w:p>
    <w:p w14:paraId="081FF6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33 – Сильнова А.М.</w:t>
      </w:r>
    </w:p>
    <w:p w14:paraId="4D45D9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41 – Кочедыкова А.С.</w:t>
      </w:r>
    </w:p>
    <w:p w14:paraId="0BBBC0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49 – Соснушкина И.А.</w:t>
      </w:r>
    </w:p>
    <w:p w14:paraId="3CE6DA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89 – Леонтьева Н.Н.</w:t>
      </w:r>
    </w:p>
    <w:p w14:paraId="7F4A53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118 – Валаева Н.Б.</w:t>
      </w:r>
    </w:p>
    <w:p w14:paraId="616746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119 – Григорьева Г.М.</w:t>
      </w:r>
    </w:p>
    <w:p w14:paraId="51FB83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122 – Гоцеридзе М.С.</w:t>
      </w:r>
    </w:p>
    <w:p w14:paraId="38EB52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125 – Киселевского В.Д.</w:t>
      </w:r>
    </w:p>
    <w:p w14:paraId="36D8A3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132 – Лурье В.С.</w:t>
      </w:r>
    </w:p>
    <w:p w14:paraId="3003D8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150 – Белова А.Ф.</w:t>
      </w:r>
    </w:p>
    <w:p w14:paraId="1E95C9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156 – Ржищева С.С.</w:t>
      </w:r>
    </w:p>
    <w:p w14:paraId="73649C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213 – Березина М.Д.</w:t>
      </w:r>
    </w:p>
    <w:p w14:paraId="75E015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214 – Лебедева И.А.</w:t>
      </w:r>
    </w:p>
    <w:p w14:paraId="309C1B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280 – Фридкина В.И.</w:t>
      </w:r>
    </w:p>
    <w:p w14:paraId="6FDEBD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286 – Клементьева А.Ф.</w:t>
      </w:r>
    </w:p>
    <w:p w14:paraId="4F1A8D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301 – Смирнова И.И.</w:t>
      </w:r>
    </w:p>
    <w:p w14:paraId="48BF12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305 – Гавриленко Я.П.</w:t>
      </w:r>
    </w:p>
    <w:p w14:paraId="652413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306 – Брусникина Г.Д.</w:t>
      </w:r>
    </w:p>
    <w:p w14:paraId="3412B7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306 – Солдатова А.Г.</w:t>
      </w:r>
    </w:p>
    <w:p w14:paraId="4D1573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315 – Субботина А.С.</w:t>
      </w:r>
    </w:p>
    <w:p w14:paraId="4AFFA7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339 – Волкова П.П.</w:t>
      </w:r>
    </w:p>
    <w:p w14:paraId="4CC3A5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339 – Домбровского И.И.</w:t>
      </w:r>
    </w:p>
    <w:p w14:paraId="08BA74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448 – Цветкова И.М.</w:t>
      </w:r>
    </w:p>
    <w:p w14:paraId="742232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451 – Герасимова П.И.</w:t>
      </w:r>
    </w:p>
    <w:p w14:paraId="5EF382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462 – Озимкова М.П.</w:t>
      </w:r>
    </w:p>
    <w:p w14:paraId="3EF11B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463 – Букреева П.А.</w:t>
      </w:r>
    </w:p>
    <w:p w14:paraId="42BCB4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470 – Васильева Е.Д.</w:t>
      </w:r>
    </w:p>
    <w:p w14:paraId="5C5E6B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481 – Гулая И.А.</w:t>
      </w:r>
    </w:p>
    <w:p w14:paraId="2D476E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490 – Мартынова И.М.</w:t>
      </w:r>
    </w:p>
    <w:p w14:paraId="28558C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Завода № 494 – Шелухина М.И.</w:t>
      </w:r>
    </w:p>
    <w:p w14:paraId="75003D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Опытного завода прецизионного оборудования – Цаплина И.И.</w:t>
      </w:r>
    </w:p>
    <w:p w14:paraId="2534CE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НИИ-12 – Любарского В.А. (8909)</w:t>
      </w:r>
    </w:p>
    <w:p w14:paraId="75E8F67E" w14:textId="77777777" w:rsidR="00090C9B" w:rsidRPr="00722885" w:rsidRDefault="00090C9B" w:rsidP="00722885">
      <w:pPr>
        <w:pStyle w:val="Iauiue"/>
        <w:jc w:val="both"/>
        <w:rPr>
          <w:color w:val="000000" w:themeColor="text1"/>
          <w:sz w:val="16"/>
          <w:szCs w:val="16"/>
        </w:rPr>
      </w:pPr>
    </w:p>
    <w:p w14:paraId="05453C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 к парку ГВФ добавился один Ю-52, через месяц - ещё один. Где и при каких обстоятельствах их захватили - неизвестно. Других трофеев до этого - не было (6393).</w:t>
      </w:r>
    </w:p>
    <w:p w14:paraId="4C2D1192" w14:textId="77777777" w:rsidR="00090C9B" w:rsidRPr="00722885" w:rsidRDefault="00090C9B" w:rsidP="00722885">
      <w:pPr>
        <w:pStyle w:val="Iauiue"/>
        <w:jc w:val="both"/>
        <w:rPr>
          <w:color w:val="000000" w:themeColor="text1"/>
          <w:sz w:val="16"/>
          <w:szCs w:val="16"/>
        </w:rPr>
      </w:pPr>
    </w:p>
    <w:p w14:paraId="7807E9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во время Сталинградского кризиса союзники ездили на авиазаводы (6,160). Уэндел Уилки - представитель Рузвельта и Стенли - представитель посольства, который был на 1 заводе в Москве до эвакуации - съездили в Куйбышев на завод А.Т.Третьякова. Уилки садился в кабину и стрелял из пулеметов (6,161).</w:t>
      </w:r>
    </w:p>
    <w:p w14:paraId="628E11F3" w14:textId="77777777" w:rsidR="00090C9B" w:rsidRPr="00722885" w:rsidRDefault="00090C9B" w:rsidP="00722885">
      <w:pPr>
        <w:pStyle w:val="Iauiue"/>
        <w:jc w:val="both"/>
        <w:rPr>
          <w:color w:val="000000" w:themeColor="text1"/>
          <w:sz w:val="16"/>
          <w:szCs w:val="16"/>
        </w:rPr>
      </w:pPr>
    </w:p>
    <w:p w14:paraId="7F539587"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shd w:val="clear" w:color="auto" w:fill="FFFFFF"/>
        </w:rPr>
        <w:t>В октябре 1942 г к парку ГВФ из двух прибалтийских добавился один Ю-52, через месяц – ещё один. Где и при каких обстоятельствах их захватили – неизвестно. Из-за нехватки запчастей к 1 января 1943 г мог летать всего один «юнкерс» из имевшихся четырёх. Все четыре принадлежали в то время Западно-Сибирскому управлению (Управление магистрали расформировали) (19686).</w:t>
      </w:r>
    </w:p>
    <w:p w14:paraId="449C5EB8" w14:textId="77777777" w:rsidR="00044450" w:rsidRPr="00722885" w:rsidRDefault="00044450" w:rsidP="00722885">
      <w:pPr>
        <w:spacing w:after="0" w:line="240" w:lineRule="auto"/>
        <w:jc w:val="both"/>
        <w:rPr>
          <w:rFonts w:ascii="Times New Roman" w:hAnsi="Times New Roman"/>
          <w:color w:val="000000" w:themeColor="text1"/>
          <w:sz w:val="16"/>
          <w:szCs w:val="16"/>
        </w:rPr>
      </w:pPr>
    </w:p>
    <w:p w14:paraId="3DEA8A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года на основании Постановления ГОКО № 2107 от 26 июля 1942 года и приказа НКАП № 565-с от 28 июля 1942 года на базе местного сырья (известняка) был основан завод № 57.</w:t>
      </w:r>
    </w:p>
    <w:p w14:paraId="69C823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Расположен завод в черте Куйбышева.</w:t>
      </w:r>
    </w:p>
    <w:p w14:paraId="3E0F97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Травников</w:t>
      </w:r>
    </w:p>
    <w:p w14:paraId="7734BA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3CDC3F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Производственный профиль – основная продукция карбид кальция</w:t>
      </w:r>
    </w:p>
    <w:p w14:paraId="6872FF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Строительство его было начато в августе 1942 года, введен в эксплуатацию 2 октября 1942 года для выпуска карбида кальция (9836).</w:t>
      </w:r>
    </w:p>
    <w:p w14:paraId="1EC359E9" w14:textId="77777777" w:rsidR="00090C9B" w:rsidRPr="00722885" w:rsidRDefault="00090C9B" w:rsidP="00722885">
      <w:pPr>
        <w:pStyle w:val="Iauiue"/>
        <w:jc w:val="both"/>
        <w:rPr>
          <w:color w:val="000000" w:themeColor="text1"/>
          <w:sz w:val="16"/>
          <w:szCs w:val="16"/>
        </w:rPr>
      </w:pPr>
    </w:p>
    <w:p w14:paraId="475CF9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 на Софринском контрольно-испытательном полигоне испытали опытную партию А0-25-35м13 из бракованных РС-132 с уменьшенной длинной перьев стабилизатора с 500 до 400 мм (7453).</w:t>
      </w:r>
    </w:p>
    <w:p w14:paraId="54D37354" w14:textId="77777777" w:rsidR="00090C9B" w:rsidRPr="00722885" w:rsidRDefault="00090C9B" w:rsidP="00722885">
      <w:pPr>
        <w:pStyle w:val="Iauiue"/>
        <w:jc w:val="both"/>
        <w:rPr>
          <w:color w:val="000000" w:themeColor="text1"/>
          <w:sz w:val="16"/>
          <w:szCs w:val="16"/>
        </w:rPr>
      </w:pPr>
    </w:p>
    <w:p w14:paraId="4EFC3E3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DECE3D5" w14:textId="77777777" w:rsidR="00090C9B" w:rsidRPr="00722885" w:rsidRDefault="00090C9B" w:rsidP="00722885">
      <w:pPr>
        <w:pStyle w:val="Iauiue"/>
        <w:jc w:val="both"/>
        <w:rPr>
          <w:iCs/>
          <w:color w:val="000000" w:themeColor="text1"/>
          <w:sz w:val="16"/>
          <w:szCs w:val="16"/>
        </w:rPr>
      </w:pPr>
    </w:p>
    <w:p w14:paraId="43ED40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года стали серийно производиться 180-мм дистанционные гранаты (3861).</w:t>
      </w:r>
    </w:p>
    <w:p w14:paraId="7FC73B07" w14:textId="77777777" w:rsidR="00090C9B" w:rsidRPr="00722885" w:rsidRDefault="00090C9B" w:rsidP="00722885">
      <w:pPr>
        <w:pStyle w:val="Iauiue"/>
        <w:jc w:val="both"/>
        <w:rPr>
          <w:color w:val="000000" w:themeColor="text1"/>
          <w:sz w:val="16"/>
          <w:szCs w:val="16"/>
        </w:rPr>
      </w:pPr>
    </w:p>
    <w:p w14:paraId="193082F1"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октября 1942 года ПТРД стали выпускать на заводе №385 в Златоусте, прекратив с ноября его производство в Коврове. В Саратове выпускали ПТРС по июнь 1944 г., в Ижевске — по декабрь. В Златоусте прекратили делать ПТРД в марте, но затем выпустили мелкую партию в декабре. В 1945 г., согласно документам, ПТ ружья уже не выпускались.</w:t>
      </w:r>
    </w:p>
    <w:p w14:paraId="751C13B7"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войны были созданы и испытывались многие опытные ПТР: два варианта 12,7-мм однозарядного ПТР Рукавишникова, однозарядное 14,5-мм ПТР Никитина–Романова под мощный патрон (рис. 27), 14,5-мм ПТР Блюма, Горова и другие. 20-мм ружье РЕС (Рашкова–Ермолаева–Слухоцкого) даже выпускалось малыми партиями для войсковых испытаний (16838).</w:t>
      </w:r>
    </w:p>
    <w:p w14:paraId="512D4E36"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Данные ПТР периода ВОВ</w:t>
      </w:r>
    </w:p>
    <w:tbl>
      <w:tblPr>
        <w:tblW w:w="8075" w:type="dxa"/>
        <w:shd w:val="clear" w:color="auto" w:fill="FFFFFF"/>
        <w:tblCellMar>
          <w:left w:w="0" w:type="dxa"/>
          <w:right w:w="0" w:type="dxa"/>
        </w:tblCellMar>
        <w:tblLook w:val="04A0" w:firstRow="1" w:lastRow="0" w:firstColumn="1" w:lastColumn="0" w:noHBand="0" w:noVBand="1"/>
      </w:tblPr>
      <w:tblGrid>
        <w:gridCol w:w="709"/>
        <w:gridCol w:w="1007"/>
        <w:gridCol w:w="604"/>
        <w:gridCol w:w="912"/>
        <w:gridCol w:w="2122"/>
        <w:gridCol w:w="2721"/>
      </w:tblGrid>
      <w:tr w:rsidR="009B487A" w:rsidRPr="00722885" w14:paraId="5E41D6A5" w14:textId="77777777" w:rsidTr="00B60247">
        <w:tc>
          <w:tcPr>
            <w:tcW w:w="0" w:type="auto"/>
            <w:tcBorders>
              <w:top w:val="nil"/>
              <w:left w:val="nil"/>
              <w:bottom w:val="nil"/>
              <w:right w:val="nil"/>
            </w:tcBorders>
            <w:shd w:val="clear" w:color="auto" w:fill="FFFFFF"/>
            <w:vAlign w:val="bottom"/>
            <w:hideMark/>
          </w:tcPr>
          <w:p w14:paraId="521E5BD6"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ПТР</w:t>
            </w:r>
          </w:p>
        </w:tc>
        <w:tc>
          <w:tcPr>
            <w:tcW w:w="0" w:type="auto"/>
            <w:tcBorders>
              <w:top w:val="nil"/>
              <w:left w:val="nil"/>
              <w:bottom w:val="nil"/>
              <w:right w:val="nil"/>
            </w:tcBorders>
            <w:shd w:val="clear" w:color="auto" w:fill="FFFFFF"/>
            <w:vAlign w:val="bottom"/>
            <w:hideMark/>
          </w:tcPr>
          <w:p w14:paraId="71B601FF"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Калибр, мм</w:t>
            </w:r>
          </w:p>
        </w:tc>
        <w:tc>
          <w:tcPr>
            <w:tcW w:w="0" w:type="auto"/>
            <w:tcBorders>
              <w:top w:val="nil"/>
              <w:left w:val="nil"/>
              <w:bottom w:val="nil"/>
              <w:right w:val="nil"/>
            </w:tcBorders>
            <w:shd w:val="clear" w:color="auto" w:fill="FFFFFF"/>
            <w:vAlign w:val="bottom"/>
            <w:hideMark/>
          </w:tcPr>
          <w:p w14:paraId="6E778AFF"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кг</w:t>
            </w:r>
          </w:p>
        </w:tc>
        <w:tc>
          <w:tcPr>
            <w:tcW w:w="0" w:type="auto"/>
            <w:tcBorders>
              <w:top w:val="nil"/>
              <w:left w:val="nil"/>
              <w:bottom w:val="nil"/>
              <w:right w:val="nil"/>
            </w:tcBorders>
            <w:shd w:val="clear" w:color="auto" w:fill="FFFFFF"/>
            <w:vAlign w:val="bottom"/>
            <w:hideMark/>
          </w:tcPr>
          <w:p w14:paraId="7B1C401C"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мм</w:t>
            </w:r>
          </w:p>
        </w:tc>
        <w:tc>
          <w:tcPr>
            <w:tcW w:w="0" w:type="auto"/>
            <w:tcBorders>
              <w:top w:val="nil"/>
              <w:left w:val="nil"/>
              <w:bottom w:val="nil"/>
              <w:right w:val="nil"/>
            </w:tcBorders>
            <w:shd w:val="clear" w:color="auto" w:fill="FFFFFF"/>
            <w:vAlign w:val="bottom"/>
            <w:hideMark/>
          </w:tcPr>
          <w:p w14:paraId="05D46C89"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Начальная скорость, м/с</w:t>
            </w:r>
          </w:p>
        </w:tc>
        <w:tc>
          <w:tcPr>
            <w:tcW w:w="0" w:type="auto"/>
            <w:tcBorders>
              <w:top w:val="nil"/>
              <w:left w:val="nil"/>
              <w:bottom w:val="nil"/>
              <w:right w:val="nil"/>
            </w:tcBorders>
            <w:shd w:val="clear" w:color="auto" w:fill="FFFFFF"/>
            <w:vAlign w:val="bottom"/>
            <w:hideMark/>
          </w:tcPr>
          <w:p w14:paraId="415468B6"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Скорострельность, выстр./мин.</w:t>
            </w:r>
          </w:p>
        </w:tc>
      </w:tr>
      <w:tr w:rsidR="009B487A" w:rsidRPr="00722885" w14:paraId="6847C644"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ED4718D"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БаС-2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715007E"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BC0CC8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18,4</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E73EA7C"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FF73F70"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B495B7F"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7EB71E5"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48E0236"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PzB.39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6F78D7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1FBACE9"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F25189E"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1595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D2E6B85"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8DFAC8E"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354F9AD"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E7D1B68"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ПТРД</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0914DF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16970E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51DE64C"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718E66D"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14C9DF8"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8–10</w:t>
            </w:r>
          </w:p>
        </w:tc>
      </w:tr>
      <w:tr w:rsidR="009B487A" w:rsidRPr="00722885" w14:paraId="22AB64C7"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DFB3FB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ПТРС</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AC8D9A0"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651B028"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6DFD0FD"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2140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3614750"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5F993E5"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r>
    </w:tbl>
    <w:p w14:paraId="2445DCB1"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14,5-мм ПТР в 1941–1944 гг., шт.</w:t>
      </w:r>
    </w:p>
    <w:tbl>
      <w:tblPr>
        <w:tblW w:w="8075" w:type="dxa"/>
        <w:shd w:val="clear" w:color="auto" w:fill="FFFFFF"/>
        <w:tblCellMar>
          <w:left w:w="0" w:type="dxa"/>
          <w:right w:w="0" w:type="dxa"/>
        </w:tblCellMar>
        <w:tblLook w:val="04A0" w:firstRow="1" w:lastRow="0" w:firstColumn="1" w:lastColumn="0" w:noHBand="0" w:noVBand="1"/>
      </w:tblPr>
      <w:tblGrid>
        <w:gridCol w:w="4222"/>
        <w:gridCol w:w="716"/>
        <w:gridCol w:w="571"/>
        <w:gridCol w:w="665"/>
        <w:gridCol w:w="665"/>
        <w:gridCol w:w="571"/>
        <w:gridCol w:w="665"/>
      </w:tblGrid>
      <w:tr w:rsidR="009B487A" w:rsidRPr="00722885" w14:paraId="68DF21AE" w14:textId="77777777" w:rsidTr="00B60247">
        <w:tc>
          <w:tcPr>
            <w:tcW w:w="0" w:type="auto"/>
            <w:tcBorders>
              <w:top w:val="nil"/>
              <w:left w:val="nil"/>
              <w:bottom w:val="nil"/>
              <w:right w:val="nil"/>
            </w:tcBorders>
            <w:shd w:val="clear" w:color="auto" w:fill="FFFFFF"/>
            <w:vAlign w:val="bottom"/>
            <w:hideMark/>
          </w:tcPr>
          <w:p w14:paraId="27304732"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Производители</w:t>
            </w:r>
          </w:p>
        </w:tc>
        <w:tc>
          <w:tcPr>
            <w:tcW w:w="0" w:type="auto"/>
            <w:tcBorders>
              <w:top w:val="nil"/>
              <w:left w:val="nil"/>
              <w:bottom w:val="nil"/>
              <w:right w:val="nil"/>
            </w:tcBorders>
            <w:shd w:val="clear" w:color="auto" w:fill="FFFFFF"/>
            <w:vAlign w:val="bottom"/>
            <w:hideMark/>
          </w:tcPr>
          <w:p w14:paraId="02281B4A"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ПТР</w:t>
            </w:r>
          </w:p>
        </w:tc>
        <w:tc>
          <w:tcPr>
            <w:tcW w:w="0" w:type="auto"/>
            <w:tcBorders>
              <w:top w:val="nil"/>
              <w:left w:val="nil"/>
              <w:bottom w:val="nil"/>
              <w:right w:val="nil"/>
            </w:tcBorders>
            <w:shd w:val="clear" w:color="auto" w:fill="FFFFFF"/>
            <w:vAlign w:val="bottom"/>
            <w:hideMark/>
          </w:tcPr>
          <w:p w14:paraId="57AB9C5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 г.</w:t>
            </w:r>
          </w:p>
        </w:tc>
        <w:tc>
          <w:tcPr>
            <w:tcW w:w="0" w:type="auto"/>
            <w:tcBorders>
              <w:top w:val="nil"/>
              <w:left w:val="nil"/>
              <w:bottom w:val="nil"/>
              <w:right w:val="nil"/>
            </w:tcBorders>
            <w:shd w:val="clear" w:color="auto" w:fill="FFFFFF"/>
            <w:vAlign w:val="bottom"/>
            <w:hideMark/>
          </w:tcPr>
          <w:p w14:paraId="6D9A2AEC"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 г.</w:t>
            </w:r>
          </w:p>
        </w:tc>
        <w:tc>
          <w:tcPr>
            <w:tcW w:w="0" w:type="auto"/>
            <w:tcBorders>
              <w:top w:val="nil"/>
              <w:left w:val="nil"/>
              <w:bottom w:val="nil"/>
              <w:right w:val="nil"/>
            </w:tcBorders>
            <w:shd w:val="clear" w:color="auto" w:fill="FFFFFF"/>
            <w:vAlign w:val="bottom"/>
            <w:hideMark/>
          </w:tcPr>
          <w:p w14:paraId="4E6D84BD"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 г.</w:t>
            </w:r>
          </w:p>
        </w:tc>
        <w:tc>
          <w:tcPr>
            <w:tcW w:w="0" w:type="auto"/>
            <w:tcBorders>
              <w:top w:val="nil"/>
              <w:left w:val="nil"/>
              <w:bottom w:val="nil"/>
              <w:right w:val="nil"/>
            </w:tcBorders>
            <w:shd w:val="clear" w:color="auto" w:fill="FFFFFF"/>
            <w:vAlign w:val="bottom"/>
            <w:hideMark/>
          </w:tcPr>
          <w:p w14:paraId="5A8A1ACE"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1944 г.</w:t>
            </w:r>
          </w:p>
        </w:tc>
        <w:tc>
          <w:tcPr>
            <w:tcW w:w="0" w:type="auto"/>
            <w:tcBorders>
              <w:top w:val="nil"/>
              <w:left w:val="nil"/>
              <w:bottom w:val="nil"/>
              <w:right w:val="nil"/>
            </w:tcBorders>
            <w:shd w:val="clear" w:color="auto" w:fill="FFFFFF"/>
            <w:vAlign w:val="bottom"/>
            <w:hideMark/>
          </w:tcPr>
          <w:p w14:paraId="7F3329FF"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r>
      <w:tr w:rsidR="009B487A" w:rsidRPr="00722885" w14:paraId="1696372A"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31C0EC4"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№2 НКВ, Ковров</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66F4706"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ПТРД</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6049882"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16038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95B794A"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144959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548B8FD"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78463</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1EDA916"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57C8F68"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239460</w:t>
            </w:r>
          </w:p>
        </w:tc>
      </w:tr>
      <w:tr w:rsidR="009B487A" w:rsidRPr="00722885" w14:paraId="5DA34FAE" w14:textId="77777777" w:rsidTr="00B60247">
        <w:tc>
          <w:tcPr>
            <w:tcW w:w="0" w:type="auto"/>
            <w:vMerge w:val="restart"/>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BCF0A72"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№74, с 1 июля 1942 г. — №622 НКВ, Ижевск</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0D07620"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ПТРД</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850AB1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9C0D97E"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40040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6647079"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63B8031"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3B18E0C"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41651</w:t>
            </w:r>
          </w:p>
        </w:tc>
      </w:tr>
      <w:tr w:rsidR="009B487A" w:rsidRPr="00722885" w14:paraId="65930BEF" w14:textId="77777777" w:rsidTr="00B60247">
        <w:tc>
          <w:tcPr>
            <w:tcW w:w="0" w:type="auto"/>
            <w:vMerge/>
            <w:tcBorders>
              <w:top w:val="single" w:sz="4" w:space="0" w:color="CCCCCC"/>
              <w:left w:val="single" w:sz="4" w:space="0" w:color="CCCCCC"/>
              <w:bottom w:val="single" w:sz="4" w:space="0" w:color="CCCCCC"/>
              <w:right w:val="single" w:sz="4" w:space="0" w:color="CCCCCC"/>
            </w:tcBorders>
            <w:shd w:val="clear" w:color="auto" w:fill="FFFFFF"/>
            <w:vAlign w:val="center"/>
            <w:hideMark/>
          </w:tcPr>
          <w:p w14:paraId="5D34A093" w14:textId="77777777" w:rsidR="00044450" w:rsidRPr="00722885" w:rsidRDefault="00044450"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701037D"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ПТРС</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CEFB552"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30BB546"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29416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33617E5"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42521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D3F8162"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8537A98"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91375</w:t>
            </w:r>
          </w:p>
        </w:tc>
      </w:tr>
      <w:tr w:rsidR="009B487A" w:rsidRPr="00722885" w14:paraId="39879DF1"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53DAD2F"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№614 НКВ, Саратов</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A29CA5A"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ПТРС</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044B635"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70F1574"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35227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8B6C2E8"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38346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66007DC"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13539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D1A6AFF"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87187</w:t>
            </w:r>
          </w:p>
        </w:tc>
      </w:tr>
      <w:tr w:rsidR="009B487A" w:rsidRPr="00722885" w14:paraId="41D9E9F6"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2C2F035"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№385 НКВ, Златоуст</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B85E9F0"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ПТРД</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B6C5701"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652B1C2"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D7A24A2"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5719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1DC4DCA"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6334</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BA130CD"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12053</w:t>
            </w:r>
          </w:p>
        </w:tc>
      </w:tr>
      <w:tr w:rsidR="009B487A" w:rsidRPr="00722885" w14:paraId="34A285F6" w14:textId="77777777" w:rsidTr="00B60247">
        <w:tc>
          <w:tcPr>
            <w:tcW w:w="0" w:type="auto"/>
            <w:gridSpan w:val="2"/>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FF152C3"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800FF38"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17726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94BF543"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249642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20CF717"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165049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66FE879"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39309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E364FD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471726</w:t>
            </w:r>
          </w:p>
        </w:tc>
      </w:tr>
    </w:tbl>
    <w:p w14:paraId="59F9FC84"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14,5-мм патронов в 1940–1945 гг., млн. шт.</w:t>
      </w:r>
    </w:p>
    <w:tbl>
      <w:tblPr>
        <w:tblW w:w="8075" w:type="dxa"/>
        <w:shd w:val="clear" w:color="auto" w:fill="FFFFFF"/>
        <w:tblCellMar>
          <w:left w:w="0" w:type="dxa"/>
          <w:right w:w="0" w:type="dxa"/>
        </w:tblCellMar>
        <w:tblLook w:val="04A0" w:firstRow="1" w:lastRow="0" w:firstColumn="1" w:lastColumn="0" w:noHBand="0" w:noVBand="1"/>
      </w:tblPr>
      <w:tblGrid>
        <w:gridCol w:w="4495"/>
        <w:gridCol w:w="515"/>
        <w:gridCol w:w="515"/>
        <w:gridCol w:w="514"/>
        <w:gridCol w:w="514"/>
        <w:gridCol w:w="514"/>
        <w:gridCol w:w="514"/>
        <w:gridCol w:w="494"/>
      </w:tblGrid>
      <w:tr w:rsidR="009B487A" w:rsidRPr="00722885" w14:paraId="072A3465" w14:textId="77777777" w:rsidTr="00B60247">
        <w:tc>
          <w:tcPr>
            <w:tcW w:w="0" w:type="auto"/>
            <w:tcBorders>
              <w:top w:val="nil"/>
              <w:left w:val="nil"/>
              <w:bottom w:val="nil"/>
              <w:right w:val="nil"/>
            </w:tcBorders>
            <w:shd w:val="clear" w:color="auto" w:fill="FFFFFF"/>
            <w:vAlign w:val="bottom"/>
            <w:hideMark/>
          </w:tcPr>
          <w:p w14:paraId="66593F19"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Производители</w:t>
            </w:r>
          </w:p>
        </w:tc>
        <w:tc>
          <w:tcPr>
            <w:tcW w:w="0" w:type="auto"/>
            <w:tcBorders>
              <w:top w:val="nil"/>
              <w:left w:val="nil"/>
              <w:bottom w:val="nil"/>
              <w:right w:val="nil"/>
            </w:tcBorders>
            <w:shd w:val="clear" w:color="auto" w:fill="FFFFFF"/>
            <w:vAlign w:val="bottom"/>
            <w:hideMark/>
          </w:tcPr>
          <w:p w14:paraId="08D6988C"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1940 г.</w:t>
            </w:r>
          </w:p>
        </w:tc>
        <w:tc>
          <w:tcPr>
            <w:tcW w:w="0" w:type="auto"/>
            <w:tcBorders>
              <w:top w:val="nil"/>
              <w:left w:val="nil"/>
              <w:bottom w:val="nil"/>
              <w:right w:val="nil"/>
            </w:tcBorders>
            <w:shd w:val="clear" w:color="auto" w:fill="FFFFFF"/>
            <w:vAlign w:val="bottom"/>
            <w:hideMark/>
          </w:tcPr>
          <w:p w14:paraId="2BA6ED01"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 г.</w:t>
            </w:r>
          </w:p>
        </w:tc>
        <w:tc>
          <w:tcPr>
            <w:tcW w:w="0" w:type="auto"/>
            <w:tcBorders>
              <w:top w:val="nil"/>
              <w:left w:val="nil"/>
              <w:bottom w:val="nil"/>
              <w:right w:val="nil"/>
            </w:tcBorders>
            <w:shd w:val="clear" w:color="auto" w:fill="FFFFFF"/>
            <w:vAlign w:val="bottom"/>
            <w:hideMark/>
          </w:tcPr>
          <w:p w14:paraId="3DDF1768"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 г.</w:t>
            </w:r>
          </w:p>
        </w:tc>
        <w:tc>
          <w:tcPr>
            <w:tcW w:w="0" w:type="auto"/>
            <w:tcBorders>
              <w:top w:val="nil"/>
              <w:left w:val="nil"/>
              <w:bottom w:val="nil"/>
              <w:right w:val="nil"/>
            </w:tcBorders>
            <w:shd w:val="clear" w:color="auto" w:fill="FFFFFF"/>
            <w:vAlign w:val="bottom"/>
            <w:hideMark/>
          </w:tcPr>
          <w:p w14:paraId="3291B4A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 г.</w:t>
            </w:r>
          </w:p>
        </w:tc>
        <w:tc>
          <w:tcPr>
            <w:tcW w:w="0" w:type="auto"/>
            <w:tcBorders>
              <w:top w:val="nil"/>
              <w:left w:val="nil"/>
              <w:bottom w:val="nil"/>
              <w:right w:val="nil"/>
            </w:tcBorders>
            <w:shd w:val="clear" w:color="auto" w:fill="FFFFFF"/>
            <w:vAlign w:val="bottom"/>
            <w:hideMark/>
          </w:tcPr>
          <w:p w14:paraId="1ACCCD54"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1944 г.</w:t>
            </w:r>
          </w:p>
        </w:tc>
        <w:tc>
          <w:tcPr>
            <w:tcW w:w="0" w:type="auto"/>
            <w:tcBorders>
              <w:top w:val="nil"/>
              <w:left w:val="nil"/>
              <w:bottom w:val="nil"/>
              <w:right w:val="nil"/>
            </w:tcBorders>
            <w:shd w:val="clear" w:color="auto" w:fill="FFFFFF"/>
            <w:vAlign w:val="bottom"/>
            <w:hideMark/>
          </w:tcPr>
          <w:p w14:paraId="3DEDD4C0"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1945 г.</w:t>
            </w:r>
          </w:p>
        </w:tc>
        <w:tc>
          <w:tcPr>
            <w:tcW w:w="0" w:type="auto"/>
            <w:tcBorders>
              <w:top w:val="nil"/>
              <w:left w:val="nil"/>
              <w:bottom w:val="nil"/>
              <w:right w:val="nil"/>
            </w:tcBorders>
            <w:shd w:val="clear" w:color="auto" w:fill="FFFFFF"/>
            <w:vAlign w:val="bottom"/>
            <w:hideMark/>
          </w:tcPr>
          <w:p w14:paraId="68079D4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r>
      <w:tr w:rsidR="009B487A" w:rsidRPr="00722885" w14:paraId="7DDC8467"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928BA9D"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№3 НКВ, Ульяновск</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A8C1485"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AFBF2FA"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EA557A9"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820A504"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7677441"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6E3A75E"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698C57A"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98,5</w:t>
            </w:r>
          </w:p>
        </w:tc>
      </w:tr>
      <w:tr w:rsidR="009B487A" w:rsidRPr="00722885" w14:paraId="0E2218E4"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FD04E45"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№17 НКВ, Барнаул</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5576171"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442049E"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3B7EFB3"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27378C0"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2EC259C"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86B8C92"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0FC67AD"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w:t>
            </w:r>
          </w:p>
        </w:tc>
      </w:tr>
      <w:tr w:rsidR="009B487A" w:rsidRPr="00722885" w14:paraId="1BAFB641"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D21896A"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№44 НКВ, Москва</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AA19641"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40E00EC"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846383F"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8E8B2E8"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2246F4F"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ACEFB4D"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18B6508"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22,6</w:t>
            </w:r>
          </w:p>
        </w:tc>
      </w:tr>
      <w:tr w:rsidR="009B487A" w:rsidRPr="00722885" w14:paraId="0730837A"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EEFA6FE"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№46 НКВ, Кунцево, с ноября 1941 г. — Свердловск</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AE62DC7"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B76D40E"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8B1EFB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D46C02F"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E47B073"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F4922C3"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3C77DC3"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w:t>
            </w:r>
          </w:p>
        </w:tc>
      </w:tr>
      <w:tr w:rsidR="009B487A" w:rsidRPr="00722885" w14:paraId="5793DA3C" w14:textId="77777777" w:rsidTr="00B60247">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B30866E"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FA2231F"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A2A2B29"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EC6A800"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627D541"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12CDC81"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1141C0E"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B84FABD"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139,8</w:t>
            </w:r>
          </w:p>
        </w:tc>
      </w:tr>
    </w:tbl>
    <w:p w14:paraId="5E2804C4"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(18638).</w:t>
      </w:r>
    </w:p>
    <w:p w14:paraId="404BAC4B" w14:textId="77777777" w:rsidR="00044450" w:rsidRPr="00722885" w:rsidRDefault="00044450" w:rsidP="00722885">
      <w:pPr>
        <w:spacing w:after="0" w:line="240" w:lineRule="auto"/>
        <w:jc w:val="both"/>
        <w:rPr>
          <w:rFonts w:ascii="Times New Roman" w:hAnsi="Times New Roman"/>
          <w:color w:val="000000" w:themeColor="text1"/>
          <w:sz w:val="16"/>
          <w:szCs w:val="16"/>
        </w:rPr>
      </w:pPr>
    </w:p>
    <w:p w14:paraId="321D91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состоянию на октябрь 1942 года были:</w:t>
      </w:r>
    </w:p>
    <w:p w14:paraId="337566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 515 НКцветмета – Каменск Свердловской области</w:t>
      </w:r>
    </w:p>
    <w:p w14:paraId="39EE12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 519 НКцветмета – Верхняя Салда Свердловской области</w:t>
      </w:r>
    </w:p>
    <w:p w14:paraId="7D5397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 92 НКВ - Горький</w:t>
      </w:r>
    </w:p>
    <w:p w14:paraId="0AFA9F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 656 НКэлектропрома - Уфа</w:t>
      </w:r>
    </w:p>
    <w:p w14:paraId="4BB75CC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 688 НКрезинпрома - Уфа</w:t>
      </w:r>
    </w:p>
    <w:p w14:paraId="546F03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 151 НКрезинпрома - Ярославль</w:t>
      </w:r>
    </w:p>
    <w:p w14:paraId="41D5E6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Заводы №№ 71, 74 НКВ – Ижевск (9150).</w:t>
      </w:r>
    </w:p>
    <w:p w14:paraId="45F35E4B" w14:textId="77777777" w:rsidR="00090C9B" w:rsidRPr="00722885" w:rsidRDefault="00090C9B" w:rsidP="00722885">
      <w:pPr>
        <w:pStyle w:val="Iauiue"/>
        <w:jc w:val="both"/>
        <w:rPr>
          <w:color w:val="000000" w:themeColor="text1"/>
          <w:sz w:val="16"/>
          <w:szCs w:val="16"/>
        </w:rPr>
      </w:pPr>
    </w:p>
    <w:p w14:paraId="24753B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С октября 1942 года завод № 603 является действующим предприятием, вырабатывающим капсюльные втулки КВ-4 </w:t>
      </w:r>
    </w:p>
    <w:p w14:paraId="407049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Постановления Правительства об упразднении НКБ и учреждении НК с/х машиностроения и во исполнении приказа НКСХМ от 9 января 1946 года за № 04сс завод № 603 перешел в систему НКСХМ. Постановлением СМ от 28 марта 1953 года завод № 603 передан Министерству машиностроения. В августе 1953 года во исполнение Постановления СМ и приказа МОП за № 637сс от 26 августа 1953 года завод № 603 передан МОП.</w:t>
      </w:r>
    </w:p>
    <w:p w14:paraId="2ECAD3C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состоянию на 1 января 1955 года завод № 603 является специализированным предприятием по массовому производству капсюльных втулок.</w:t>
      </w:r>
    </w:p>
    <w:p w14:paraId="362B18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Курган, п/я 63</w:t>
      </w:r>
    </w:p>
    <w:p w14:paraId="2E4AD6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Полибза Т.Д. (10021).</w:t>
      </w:r>
    </w:p>
    <w:p w14:paraId="081F649F" w14:textId="77777777" w:rsidR="00090C9B" w:rsidRPr="00722885" w:rsidRDefault="00090C9B" w:rsidP="00722885">
      <w:pPr>
        <w:pStyle w:val="Iauiue"/>
        <w:jc w:val="both"/>
        <w:rPr>
          <w:color w:val="000000" w:themeColor="text1"/>
          <w:sz w:val="16"/>
          <w:szCs w:val="16"/>
        </w:rPr>
      </w:pPr>
    </w:p>
    <w:p w14:paraId="3763DB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года дирекция завода № 222 докладывала ГАБТУ КА, что: «за период июль - августа 1942 года эти дефекты в основном устранены, что подтверждается и военпредами ГАБТУ КА» (12217).</w:t>
      </w:r>
    </w:p>
    <w:p w14:paraId="0CEFC40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54134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ГКО принял решение о развертывании производства САУ (1068,34).</w:t>
      </w:r>
    </w:p>
    <w:p w14:paraId="11790D03" w14:textId="77777777" w:rsidR="00090C9B" w:rsidRPr="00722885" w:rsidRDefault="00090C9B" w:rsidP="00722885">
      <w:pPr>
        <w:pStyle w:val="Iauiue"/>
        <w:jc w:val="both"/>
        <w:rPr>
          <w:color w:val="000000" w:themeColor="text1"/>
          <w:sz w:val="16"/>
          <w:szCs w:val="16"/>
        </w:rPr>
      </w:pPr>
    </w:p>
    <w:p w14:paraId="6BF4E2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к производству Т-34 присоединился УЗТМ (директор - Б. Г. Музруков), выпустив 267 машин до конца года. (3862).</w:t>
      </w:r>
    </w:p>
    <w:p w14:paraId="2CAA49EB" w14:textId="77777777" w:rsidR="00090C9B" w:rsidRPr="00722885" w:rsidRDefault="00090C9B" w:rsidP="00722885">
      <w:pPr>
        <w:pStyle w:val="Iauiue"/>
        <w:jc w:val="both"/>
        <w:rPr>
          <w:color w:val="000000" w:themeColor="text1"/>
          <w:sz w:val="16"/>
          <w:szCs w:val="16"/>
        </w:rPr>
      </w:pPr>
    </w:p>
    <w:p w14:paraId="1BE282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по март 1944 года на Уралмашзаводе выпустили 2050 единиц штампованных башен для Т-34, разработанных конструктором И.Ф.Вархрушевым и технологом В.С.Ананьевым. При этом завод поставил значительное число таких башен на ЧКЗ. Танки "Уралмаш" выпускал недолго - до августа 1943 года. Затем это предприятие стало основным по выпуску САУ на базе Т-34 (3862).</w:t>
      </w:r>
    </w:p>
    <w:p w14:paraId="5BA709F2" w14:textId="77777777" w:rsidR="00090C9B" w:rsidRPr="00722885" w:rsidRDefault="00090C9B" w:rsidP="00722885">
      <w:pPr>
        <w:pStyle w:val="Iauiue"/>
        <w:jc w:val="both"/>
        <w:rPr>
          <w:color w:val="000000" w:themeColor="text1"/>
          <w:sz w:val="16"/>
          <w:szCs w:val="16"/>
        </w:rPr>
      </w:pPr>
    </w:p>
    <w:p w14:paraId="3235809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на испытания вышел танк, получивший название опять же Т-34С. Он нес 5-скоростную КПП и трехместную башню Т-43 второго образца, лобовую броню толщиной 60 мм, но прежний натяжной ме</w:t>
      </w:r>
      <w:r w:rsidRPr="00722885">
        <w:rPr>
          <w:rFonts w:ascii="Times New Roman" w:hAnsi="Times New Roman"/>
          <w:color w:val="000000" w:themeColor="text1"/>
          <w:sz w:val="16"/>
          <w:szCs w:val="16"/>
        </w:rPr>
        <w:softHyphen/>
        <w:t>ханизм и катки с внутренней амортизацией. Но этот улучшенный танк уже не имел резервов по даль</w:t>
      </w:r>
      <w:r w:rsidRPr="00722885">
        <w:rPr>
          <w:rFonts w:ascii="Times New Roman" w:hAnsi="Times New Roman"/>
          <w:color w:val="000000" w:themeColor="text1"/>
          <w:sz w:val="16"/>
          <w:szCs w:val="16"/>
        </w:rPr>
        <w:softHyphen/>
        <w:t>нейшей модернизации, так как даже с броней 45 мм его мас</w:t>
      </w:r>
      <w:r w:rsidRPr="00722885">
        <w:rPr>
          <w:rFonts w:ascii="Times New Roman" w:hAnsi="Times New Roman"/>
          <w:color w:val="000000" w:themeColor="text1"/>
          <w:sz w:val="16"/>
          <w:szCs w:val="16"/>
        </w:rPr>
        <w:softHyphen/>
        <w:t>са в превысила предел в 32 тонны. Кроме того, его механиз</w:t>
      </w:r>
      <w:r w:rsidRPr="00722885">
        <w:rPr>
          <w:rFonts w:ascii="Times New Roman" w:hAnsi="Times New Roman"/>
          <w:color w:val="000000" w:themeColor="text1"/>
          <w:sz w:val="16"/>
          <w:szCs w:val="16"/>
        </w:rPr>
        <w:softHyphen/>
        <w:t>мы работали недостаточно надежно, а эргономика рабочих мест оставляла желать лучшего. Поэтому с декабря 1943 г. все работы по дальнейшей модернизации танка Т-34 были свер</w:t>
      </w:r>
      <w:r w:rsidRPr="00722885">
        <w:rPr>
          <w:rFonts w:ascii="Times New Roman" w:hAnsi="Times New Roman"/>
          <w:color w:val="000000" w:themeColor="text1"/>
          <w:sz w:val="16"/>
          <w:szCs w:val="16"/>
        </w:rPr>
        <w:softHyphen/>
        <w:t>нуты, тогда как создание Т-43 форсировано (10782).</w:t>
      </w:r>
    </w:p>
    <w:p w14:paraId="4992645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01F33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на испытания вышел танк, названный Т-34С с пятискоростной КПП, трехместной башней второго типа и катками с внутренней аммртизацией. Даже с броней 45 мм превысил по массе 32 т. С декабря 1942 все работы по модернизации Т-34 были свернуты, а по т-43 - усилены (7518, 32).</w:t>
      </w:r>
    </w:p>
    <w:p w14:paraId="1816A213" w14:textId="77777777" w:rsidR="00090C9B" w:rsidRPr="00722885" w:rsidRDefault="00090C9B" w:rsidP="00722885">
      <w:pPr>
        <w:pStyle w:val="Iauiue"/>
        <w:jc w:val="both"/>
        <w:rPr>
          <w:color w:val="000000" w:themeColor="text1"/>
          <w:sz w:val="16"/>
          <w:szCs w:val="16"/>
        </w:rPr>
      </w:pPr>
    </w:p>
    <w:p w14:paraId="37546A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на основании приказа НКО от 19 сентября 1942 боекомплект Т-34 увеличен с 77 до 100 выстрелов - 86 в ящиках на полу (7377, 28).</w:t>
      </w:r>
    </w:p>
    <w:p w14:paraId="3C782272" w14:textId="77777777" w:rsidR="00090C9B" w:rsidRPr="00722885" w:rsidRDefault="00090C9B" w:rsidP="00722885">
      <w:pPr>
        <w:pStyle w:val="Iauiue"/>
        <w:jc w:val="both"/>
        <w:rPr>
          <w:color w:val="000000" w:themeColor="text1"/>
          <w:sz w:val="16"/>
          <w:szCs w:val="16"/>
        </w:rPr>
      </w:pPr>
    </w:p>
    <w:p w14:paraId="67CE3A9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октябрьском 1942 г. номере секретного журнала «Экспресс-информация», выпускавшегося Центральным научно-исследовательским институтом № 48 Наркомата танковой промышленности, говорилось: «Практика работы заводов (264, УЗТМ и др.) показала, что газовая резка закаленных деталей танка Т-34 приводит к массовым трещинам, причем количество деталей с трещинами доходит в отдельные периоды до 5075 %. Трещины, как правило, располагаются по кромкам обрезанных или подрезанных окон. Протяженность 10–45 мм…». [297 — «Экспресс-информация» ЦНИИ № 48 НКТП, № 1, октябрь 1942 г. ] Отныне заводам-производителям рекомендовалось газовую вырезку по закаленным деталям прекратить и вырезать весь контур до термической обработки, а огневую вырезку самого уязвимого места — прорезей для балансиров — производить от предварительно высверленных отверстий (11741).</w:t>
      </w:r>
    </w:p>
    <w:p w14:paraId="6DA9ADA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176FB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 проект И13.76-СУ был рассмотрен на заседании техсовета НКВ и для доводки артиллерий-ской части к работам было подключено ЦАКБ, а для отработки моторной группы - ОКБ-38 и КБ НАТИ (5742, 14).</w:t>
      </w:r>
    </w:p>
    <w:p w14:paraId="6C950A33" w14:textId="77777777" w:rsidR="00090C9B" w:rsidRPr="00722885" w:rsidRDefault="00090C9B" w:rsidP="00722885">
      <w:pPr>
        <w:pStyle w:val="Iauiue"/>
        <w:jc w:val="both"/>
        <w:rPr>
          <w:color w:val="000000" w:themeColor="text1"/>
          <w:sz w:val="16"/>
          <w:szCs w:val="16"/>
        </w:rPr>
      </w:pPr>
    </w:p>
    <w:p w14:paraId="2CB53F5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танк КВ-13 прошел заводские испытания, в ходе которых выявилась низкая надежность узлов и агрегатов силовой установки, трансмиссии и ходовой части. Учитывая недостатки первого варианта, конструкторское бюро опытного завода № 100 в Челябинске, выпустило рабочие чертежи второго опытного танка КВ-13. В декабре 1942 г. завод № 100 приступил к изготовлению двух танков КВ-13 второго варианта. Оба опытных танка отличалисъ от первого варианта танка КВ-13 конструкцией башни и носовой части. Изготовленные корпуса и башни, опытных образцов КВ-13 послужили базой для создания в дальнейшем опытных обр новых тяжелых танков "Объект 233" и "Объект 234". На вооружение и серийное производство танк КВ-13 не принимался (10703).</w:t>
      </w:r>
    </w:p>
    <w:p w14:paraId="404AB26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CAB318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танк КВ-13 прошел заводские испытания, в ходе которых выявилась низкая надежность узлов и агрегатов силовой установки, трансмиссии и ходовой части. Учитывая недостатки первого варианта, конструкторское бюро опытного завода № 100 в Челябинске, выпустило рабочие чертежи второго опытного танка КВ-13. В декабре 1942 г. завод № 100 приступил к изготовлению двух танков КВ-13 второго варианта. Оба опытных танка отличалисъ от первого варианта танка КВ-13 конструкцией башни и носовой части. Изготовленные корпуса и башни, опытных образцов КВ-13 послужили базой для создания в дальнейшем опытных обр новых тяжелых танков "Объект 233" и "Объект 234". На вооружение и серийное производство танк КВ-13 не принимался (10703).</w:t>
      </w:r>
    </w:p>
    <w:p w14:paraId="1E97B12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C7500D6" w14:textId="77777777" w:rsidR="00090C9B" w:rsidRPr="00722885" w:rsidRDefault="00090C9B" w:rsidP="00722885">
      <w:pPr>
        <w:pStyle w:val="a3"/>
        <w:rPr>
          <w:color w:val="000000" w:themeColor="text1"/>
          <w:lang w:val="ru-RU"/>
        </w:rPr>
      </w:pPr>
      <w:r w:rsidRPr="00722885">
        <w:rPr>
          <w:color w:val="000000" w:themeColor="text1"/>
          <w:lang w:val="ru-RU"/>
        </w:rPr>
        <w:t>В октябре 1942 г. КВ-13 прошел завод</w:t>
      </w:r>
      <w:r w:rsidRPr="00722885">
        <w:rPr>
          <w:color w:val="000000" w:themeColor="text1"/>
          <w:lang w:val="ru-RU"/>
        </w:rPr>
        <w:softHyphen/>
        <w:t>ские испытания, в ходе которых выявилась недоработанность ряда узлов и агрегатов. Отмечалась также недостаточная численность экипажа — 3 чел.</w:t>
      </w:r>
    </w:p>
    <w:p w14:paraId="6FADE463" w14:textId="77777777" w:rsidR="00090C9B" w:rsidRPr="00722885" w:rsidRDefault="00090C9B" w:rsidP="00722885">
      <w:pPr>
        <w:pStyle w:val="a3"/>
        <w:rPr>
          <w:color w:val="000000" w:themeColor="text1"/>
          <w:lang w:val="ru-RU"/>
        </w:rPr>
      </w:pPr>
      <w:r w:rsidRPr="00722885">
        <w:rPr>
          <w:color w:val="000000" w:themeColor="text1"/>
          <w:lang w:val="ru-RU"/>
        </w:rPr>
        <w:t>С учетом недостатков первого образца КВ-13 конструкторы Опытного завода №100 при ЧКЗ доработали его конструкцию. Боевая масса машины при этом возросла до 38 т. Теперь танк обозначался как «Объект 233». Первый опытный образец был изготовлен в конце 1942 г.</w:t>
      </w:r>
    </w:p>
    <w:p w14:paraId="7D1F9136" w14:textId="77777777" w:rsidR="00090C9B" w:rsidRPr="00722885" w:rsidRDefault="00090C9B" w:rsidP="00722885">
      <w:pPr>
        <w:pStyle w:val="a3"/>
        <w:rPr>
          <w:color w:val="000000" w:themeColor="text1"/>
          <w:lang w:val="ru-RU"/>
        </w:rPr>
      </w:pPr>
      <w:r w:rsidRPr="00722885">
        <w:rPr>
          <w:color w:val="000000" w:themeColor="text1"/>
          <w:lang w:val="ru-RU"/>
        </w:rPr>
        <w:t>Опыт боевого применения и эксплуатации тяжелого танка КВ выявил ряд его существен</w:t>
      </w:r>
      <w:r w:rsidRPr="00722885">
        <w:rPr>
          <w:color w:val="000000" w:themeColor="text1"/>
          <w:lang w:val="ru-RU"/>
        </w:rPr>
        <w:softHyphen/>
        <w:t xml:space="preserve">ных недостатков. Другой советский танк, средний Т-34, имел практически одинаковое с ним вооружение, незначительно уступал ему в броневой защите, но был более маневренным и имел значительно меньшую боевую массу. Машину </w:t>
      </w:r>
      <w:r w:rsidRPr="00722885">
        <w:rPr>
          <w:color w:val="000000" w:themeColor="text1"/>
          <w:lang w:val="ru-RU"/>
        </w:rPr>
        <w:lastRenderedPageBreak/>
        <w:t>хорошо освоили в войсках, а выпуск ее параллельно бсуществлялся на нескольких заводах. Вследствие этого в танковом парке Красной Армии средних танков Т-34 было при</w:t>
      </w:r>
      <w:r w:rsidRPr="00722885">
        <w:rPr>
          <w:color w:val="000000" w:themeColor="text1"/>
          <w:lang w:val="ru-RU"/>
        </w:rPr>
        <w:softHyphen/>
        <w:t>мерно в 6 раз больше, чем КВ (12617).</w:t>
      </w:r>
    </w:p>
    <w:p w14:paraId="3F12D082" w14:textId="77777777" w:rsidR="00090C9B" w:rsidRPr="00722885" w:rsidRDefault="00090C9B" w:rsidP="00722885">
      <w:pPr>
        <w:pStyle w:val="a3"/>
        <w:rPr>
          <w:color w:val="000000" w:themeColor="text1"/>
          <w:lang w:val="ru-RU"/>
        </w:rPr>
      </w:pPr>
    </w:p>
    <w:p w14:paraId="4FD5E9DC"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октябре 1942 года ЧКЗ удалось перевы</w:t>
      </w:r>
      <w:r w:rsidRPr="00722885">
        <w:rPr>
          <w:rFonts w:ascii="Times New Roman" w:cs="Times New Roman"/>
          <w:color w:val="000000" w:themeColor="text1"/>
          <w:spacing w:val="0"/>
        </w:rPr>
        <w:softHyphen/>
        <w:t xml:space="preserve">полнить план, сдав 164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(задание на месяц - 150). Однако машины по прежне</w:t>
      </w:r>
      <w:r w:rsidRPr="00722885">
        <w:rPr>
          <w:rFonts w:ascii="Times New Roman" w:cs="Times New Roman"/>
          <w:color w:val="000000" w:themeColor="text1"/>
          <w:spacing w:val="0"/>
        </w:rPr>
        <w:softHyphen/>
        <w:t>му имели значительное количество дефек</w:t>
      </w:r>
      <w:r w:rsidRPr="00722885">
        <w:rPr>
          <w:rFonts w:ascii="Times New Roman" w:cs="Times New Roman"/>
          <w:color w:val="000000" w:themeColor="text1"/>
          <w:spacing w:val="0"/>
        </w:rPr>
        <w:softHyphen/>
        <w:t xml:space="preserve">тов и недостатков. Так, 29 октября 1942 года начальник 1-го отдела бронетанкового управления полковник Павлов докладывал в ГБТУ КА, что при проверке новых машин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у части танков наблюдалось искаже</w:t>
      </w:r>
      <w:r w:rsidRPr="00722885">
        <w:rPr>
          <w:rFonts w:ascii="Times New Roman" w:cs="Times New Roman"/>
          <w:color w:val="000000" w:themeColor="text1"/>
          <w:spacing w:val="0"/>
        </w:rPr>
        <w:softHyphen/>
        <w:t>ние видимости у зеркалок в командирской башенке и у механика-водителя из-за не</w:t>
      </w:r>
      <w:r w:rsidRPr="00722885">
        <w:rPr>
          <w:rFonts w:ascii="Times New Roman" w:cs="Times New Roman"/>
          <w:color w:val="000000" w:themeColor="text1"/>
          <w:spacing w:val="0"/>
        </w:rPr>
        <w:softHyphen/>
        <w:t>брежной сборки. Наблюдались случаи, ког</w:t>
      </w:r>
      <w:r w:rsidRPr="00722885">
        <w:rPr>
          <w:rFonts w:ascii="Times New Roman" w:cs="Times New Roman"/>
          <w:color w:val="000000" w:themeColor="text1"/>
          <w:spacing w:val="0"/>
        </w:rPr>
        <w:softHyphen/>
        <w:t xml:space="preserve">да при стрельбе из орудия (как с места, так и с хода) лопались стекла «Триплекс», а при буксировке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вытягивались тро</w:t>
      </w:r>
      <w:r w:rsidRPr="00722885">
        <w:rPr>
          <w:rFonts w:ascii="Times New Roman" w:cs="Times New Roman"/>
          <w:color w:val="000000" w:themeColor="text1"/>
          <w:spacing w:val="0"/>
        </w:rPr>
        <w:softHyphen/>
        <w:t>сы из проушин из-за плохой разделки кон</w:t>
      </w:r>
      <w:r w:rsidRPr="00722885">
        <w:rPr>
          <w:rFonts w:ascii="Times New Roman" w:cs="Times New Roman"/>
          <w:color w:val="000000" w:themeColor="text1"/>
          <w:spacing w:val="0"/>
        </w:rPr>
        <w:softHyphen/>
        <w:t>цов. Кроме того, были и другие замечания: «Высоко поставлены зеркалки водителя, при пользовании ими приходится приподни</w:t>
      </w:r>
      <w:r w:rsidRPr="00722885">
        <w:rPr>
          <w:rFonts w:ascii="Times New Roman" w:cs="Times New Roman"/>
          <w:color w:val="000000" w:themeColor="text1"/>
          <w:spacing w:val="0"/>
        </w:rPr>
        <w:softHyphen/>
        <w:t>маться на сиденье. Необходимо опустить их на 5-6 см, дав возможность колебания близ</w:t>
      </w:r>
      <w:r w:rsidRPr="00722885">
        <w:rPr>
          <w:rFonts w:ascii="Times New Roman" w:cs="Times New Roman"/>
          <w:color w:val="000000" w:themeColor="text1"/>
          <w:spacing w:val="0"/>
        </w:rPr>
        <w:softHyphen/>
        <w:t>кой и дальней видимости, как было установ</w:t>
      </w:r>
      <w:r w:rsidRPr="00722885">
        <w:rPr>
          <w:rFonts w:ascii="Times New Roman" w:cs="Times New Roman"/>
          <w:color w:val="000000" w:themeColor="text1"/>
          <w:spacing w:val="0"/>
        </w:rPr>
        <w:softHyphen/>
        <w:t xml:space="preserve">лено в танке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...Зеркалки командирской башенки опустить на 2-3 см, так как существующая установ</w:t>
      </w:r>
      <w:r w:rsidRPr="00722885">
        <w:rPr>
          <w:rFonts w:ascii="Times New Roman" w:cs="Times New Roman"/>
          <w:color w:val="000000" w:themeColor="text1"/>
          <w:spacing w:val="0"/>
        </w:rPr>
        <w:softHyphen/>
        <w:t>ка затрудняет пользование ими в танковых шлемах...Для внутренней связи необходимо ста</w:t>
      </w:r>
      <w:r w:rsidRPr="00722885">
        <w:rPr>
          <w:rFonts w:ascii="Times New Roman" w:cs="Times New Roman"/>
          <w:color w:val="000000" w:themeColor="text1"/>
          <w:spacing w:val="0"/>
        </w:rPr>
        <w:softHyphen/>
        <w:t>вить «Лорингофон», так как существующая установка не обеспечивает хорошую слы</w:t>
      </w:r>
      <w:r w:rsidRPr="00722885">
        <w:rPr>
          <w:rFonts w:ascii="Times New Roman" w:cs="Times New Roman"/>
          <w:color w:val="000000" w:themeColor="text1"/>
          <w:spacing w:val="0"/>
        </w:rPr>
        <w:softHyphen/>
        <w:t>шимость, и принуждает сильно напрягать голос» (15226).</w:t>
      </w:r>
    </w:p>
    <w:p w14:paraId="5C798692"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p>
    <w:p w14:paraId="3D2C6D39"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октябре 1942 года советской стороне стала доступна весьма бурная переписка, связанная с разработкой и оценкой танка английскими военными. Машина создавалась весьма тяжело, Что, впрочем, для конструкции, созданной с нуля, вполне нормально. Но раскрывать все эти подробности потенциальным потребителям – далеко не самое разумное решение. В руки советских специалистом попала, в том числе, и переписка , касающаяся того, каким образом дальше развивать конструкцию танка. В ней упоминались самые различные варианты, включая создание совершенно нового танка.</w:t>
      </w:r>
    </w:p>
    <w:p w14:paraId="6C6709E8"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 это наложилась информация о том, что 55 танков Churchill III, прибывших с конвоем PQ-18, имели дефекты пушек, связанные с механизмом отката. Исправлять дефект пришлось, в том числе, и заводу №92. В общей сложности советская военная приемка насчитала 9 различных дефектов. Неудивительно, что в бой Churchill пошли только в начале 1943 года (17691).</w:t>
      </w:r>
    </w:p>
    <w:p w14:paraId="47F40031"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6B83BD4" w14:textId="77777777" w:rsidR="00B528D1" w:rsidRPr="00722885" w:rsidRDefault="00B528D1"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октябре 1942 года вспомнили о КВ-7. В ходе командировки П. Ф. Соломонова (к тому моменту уже в звании майора) на Кировский завод был произведён осмотр САУ. Прошли и его ходовые испытания. В ноябре из ГАУ КА пришло предложение КВ-7 доработать, установив командирскую башенку, провести отладку всех систем и отправить на войсковые испытания. Хотя эту идею забросили, КВ-7 ещё успел послужить на благо советского танкопрома. На машине испытывали планетарную трансмиссию, которую разработал коллектив Московского Машиностроительного Института им. Баумана под руководством Г. И. Зайчика. Затем КВ-7 очутился на площадке завода №100, а в декабре 1943 года многострадальную самоходку вместе с КВ-9 и КВ-12 отправили в металлолом (15838).</w:t>
      </w:r>
    </w:p>
    <w:p w14:paraId="14DC20AA" w14:textId="77777777" w:rsidR="00B528D1" w:rsidRPr="00722885" w:rsidRDefault="00B528D1" w:rsidP="00722885">
      <w:pPr>
        <w:pStyle w:val="ae"/>
        <w:shd w:val="clear" w:color="auto" w:fill="FFFFFF"/>
        <w:spacing w:before="0" w:after="0"/>
        <w:jc w:val="both"/>
        <w:rPr>
          <w:color w:val="000000" w:themeColor="text1"/>
          <w:sz w:val="16"/>
          <w:szCs w:val="16"/>
        </w:rPr>
      </w:pPr>
    </w:p>
    <w:p w14:paraId="5BDDDBEB" w14:textId="77777777" w:rsidR="00A50962" w:rsidRPr="00722885" w:rsidRDefault="00A50962" w:rsidP="00722885">
      <w:pPr>
        <w:pStyle w:val="a3"/>
        <w:rPr>
          <w:color w:val="000000" w:themeColor="text1"/>
          <w:lang w:val="ru-RU"/>
        </w:rPr>
      </w:pPr>
      <w:r w:rsidRPr="00722885">
        <w:rPr>
          <w:color w:val="000000" w:themeColor="text1"/>
          <w:lang w:val="ru-RU"/>
        </w:rPr>
        <w:t>В октябре 1942 года вспом</w:t>
      </w:r>
      <w:r w:rsidRPr="00722885">
        <w:rPr>
          <w:color w:val="000000" w:themeColor="text1"/>
          <w:lang w:val="ru-RU"/>
        </w:rPr>
        <w:softHyphen/>
        <w:t>нили о КВ-7. В ходе командировки П.Ф. Соломонова (к тому моменту уже в звании майора) на Кировский завод был произ</w:t>
      </w:r>
      <w:r w:rsidRPr="00722885">
        <w:rPr>
          <w:color w:val="000000" w:themeColor="text1"/>
          <w:lang w:val="ru-RU"/>
        </w:rPr>
        <w:softHyphen/>
        <w:t>веден осмотр САУ. По настоянию Соломонова провели ходовые испы</w:t>
      </w:r>
      <w:r w:rsidRPr="00722885">
        <w:rPr>
          <w:color w:val="000000" w:themeColor="text1"/>
          <w:lang w:val="ru-RU"/>
        </w:rPr>
        <w:softHyphen/>
        <w:t>тания КВ-7 в объеме 15 километров. Огневые испытания провести не удалось в виду неисправности поворотного механизма. 10 ноября Ко</w:t>
      </w:r>
      <w:r w:rsidRPr="00722885">
        <w:rPr>
          <w:color w:val="000000" w:themeColor="text1"/>
          <w:lang w:val="ru-RU"/>
        </w:rPr>
        <w:softHyphen/>
        <w:t>тину пришло письмо от начальника Артиллерийского Комитета ГАУ КА генерал-полковника В.И. Хохлова:</w:t>
      </w:r>
    </w:p>
    <w:p w14:paraId="694AAF1E"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 xml:space="preserve">«Кировским заводом НКТП СССР в инициативном порядке изготовлен танк </w:t>
      </w:r>
      <w:r w:rsidRPr="00722885">
        <w:rPr>
          <w:i w:val="0"/>
          <w:color w:val="000000" w:themeColor="text1"/>
          <w:sz w:val="16"/>
          <w:szCs w:val="16"/>
          <w:lang w:val="en-US"/>
        </w:rPr>
        <w:t>KB</w:t>
      </w:r>
      <w:r w:rsidRPr="00722885">
        <w:rPr>
          <w:i w:val="0"/>
          <w:color w:val="000000" w:themeColor="text1"/>
          <w:sz w:val="16"/>
          <w:szCs w:val="16"/>
        </w:rPr>
        <w:t>-</w:t>
      </w:r>
      <w:r w:rsidRPr="00722885">
        <w:rPr>
          <w:rStyle w:val="Bodytext14NotItalic13"/>
          <w:i w:val="0"/>
          <w:iCs w:val="0"/>
          <w:color w:val="000000" w:themeColor="text1"/>
          <w:sz w:val="16"/>
          <w:szCs w:val="16"/>
        </w:rPr>
        <w:t xml:space="preserve"> 7</w:t>
      </w:r>
      <w:r w:rsidRPr="00722885">
        <w:rPr>
          <w:i w:val="0"/>
          <w:color w:val="000000" w:themeColor="text1"/>
          <w:sz w:val="16"/>
          <w:szCs w:val="16"/>
        </w:rPr>
        <w:t xml:space="preserve"> с невращающейся призматической башней и смонтированной в ней спаренной установкой 16 мм танковых пушек ЗИС-5. После про</w:t>
      </w:r>
      <w:r w:rsidRPr="00722885">
        <w:rPr>
          <w:i w:val="0"/>
          <w:color w:val="000000" w:themeColor="text1"/>
          <w:sz w:val="16"/>
          <w:szCs w:val="16"/>
        </w:rPr>
        <w:softHyphen/>
        <w:t>ведения заводских испытаний танк оставлен на опытном заводе НКТП и никаких решений по нему не имеется.</w:t>
      </w:r>
    </w:p>
    <w:p w14:paraId="712D0F8D"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По мнению Артиллерийского Комитета, эту установку следует на</w:t>
      </w:r>
      <w:r w:rsidRPr="00722885">
        <w:rPr>
          <w:i w:val="0"/>
          <w:color w:val="000000" w:themeColor="text1"/>
          <w:sz w:val="16"/>
          <w:szCs w:val="16"/>
        </w:rPr>
        <w:softHyphen/>
        <w:t>править на полигонные и войсковые испытания.</w:t>
      </w:r>
    </w:p>
    <w:p w14:paraId="68BA8583" w14:textId="77777777" w:rsidR="00A50962" w:rsidRPr="00722885" w:rsidRDefault="00A50962" w:rsidP="00722885">
      <w:pPr>
        <w:pStyle w:val="72"/>
        <w:shd w:val="clear" w:color="auto" w:fill="auto"/>
        <w:spacing w:line="240" w:lineRule="auto"/>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Войсковые испытания следует произвести в действительной боевой обстановке, а полигонные — на Тагильском полигоне НКБ СССР.</w:t>
      </w:r>
    </w:p>
    <w:p w14:paraId="56A0E501"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До направления на испытания в танке КВ-7 необходимо выполнить следующие работы:</w:t>
      </w:r>
    </w:p>
    <w:p w14:paraId="757E3F36" w14:textId="77777777" w:rsidR="00A50962" w:rsidRPr="00722885" w:rsidRDefault="00A50962" w:rsidP="00722885">
      <w:pPr>
        <w:pStyle w:val="Bodytext141"/>
        <w:shd w:val="clear" w:color="auto" w:fill="auto"/>
        <w:tabs>
          <w:tab w:val="left" w:pos="546"/>
        </w:tabs>
        <w:spacing w:line="240" w:lineRule="auto"/>
        <w:ind w:firstLine="0"/>
        <w:jc w:val="both"/>
        <w:rPr>
          <w:i w:val="0"/>
          <w:color w:val="000000" w:themeColor="text1"/>
          <w:sz w:val="16"/>
          <w:szCs w:val="16"/>
        </w:rPr>
      </w:pPr>
      <w:r w:rsidRPr="00722885">
        <w:rPr>
          <w:i w:val="0"/>
          <w:color w:val="000000" w:themeColor="text1"/>
          <w:sz w:val="16"/>
          <w:szCs w:val="16"/>
        </w:rPr>
        <w:t>1. Установить наблюдательную командирскую башенку.</w:t>
      </w:r>
    </w:p>
    <w:p w14:paraId="074BF162" w14:textId="77777777" w:rsidR="00A50962" w:rsidRPr="00722885" w:rsidRDefault="00A50962" w:rsidP="00722885">
      <w:pPr>
        <w:pStyle w:val="72"/>
        <w:shd w:val="clear" w:color="auto" w:fill="auto"/>
        <w:spacing w:line="240" w:lineRule="auto"/>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2. Произвести проверку и отладку трансмиссии, моторной группы и движителя.</w:t>
      </w:r>
    </w:p>
    <w:p w14:paraId="0777EC56" w14:textId="77777777" w:rsidR="00A50962" w:rsidRPr="00722885" w:rsidRDefault="00A50962" w:rsidP="00722885">
      <w:pPr>
        <w:pStyle w:val="Bodytext141"/>
        <w:shd w:val="clear" w:color="auto" w:fill="auto"/>
        <w:tabs>
          <w:tab w:val="left" w:pos="585"/>
        </w:tabs>
        <w:spacing w:line="240" w:lineRule="auto"/>
        <w:ind w:firstLine="0"/>
        <w:jc w:val="both"/>
        <w:rPr>
          <w:i w:val="0"/>
          <w:color w:val="000000" w:themeColor="text1"/>
          <w:sz w:val="16"/>
          <w:szCs w:val="16"/>
        </w:rPr>
      </w:pPr>
      <w:r w:rsidRPr="00722885">
        <w:rPr>
          <w:i w:val="0"/>
          <w:color w:val="000000" w:themeColor="text1"/>
          <w:sz w:val="16"/>
          <w:szCs w:val="16"/>
        </w:rPr>
        <w:t>3. Произвести проверку монтажа артустановки, отремонтировать и отладить механизмы наведения (подъемный и поворотный).</w:t>
      </w:r>
    </w:p>
    <w:p w14:paraId="1EB24768" w14:textId="77777777" w:rsidR="00A50962" w:rsidRPr="00722885" w:rsidRDefault="00A50962" w:rsidP="00722885">
      <w:pPr>
        <w:pStyle w:val="Bodytext141"/>
        <w:shd w:val="clear" w:color="auto" w:fill="auto"/>
        <w:tabs>
          <w:tab w:val="left" w:pos="590"/>
        </w:tabs>
        <w:spacing w:line="240" w:lineRule="auto"/>
        <w:ind w:firstLine="0"/>
        <w:jc w:val="both"/>
        <w:rPr>
          <w:i w:val="0"/>
          <w:color w:val="000000" w:themeColor="text1"/>
          <w:sz w:val="16"/>
          <w:szCs w:val="16"/>
        </w:rPr>
      </w:pPr>
      <w:r w:rsidRPr="00722885">
        <w:rPr>
          <w:i w:val="0"/>
          <w:color w:val="000000" w:themeColor="text1"/>
          <w:sz w:val="16"/>
          <w:szCs w:val="16"/>
        </w:rPr>
        <w:t>4. Отладить спусковые механизмы.</w:t>
      </w:r>
    </w:p>
    <w:p w14:paraId="386A220B" w14:textId="77777777" w:rsidR="00A50962" w:rsidRPr="00722885" w:rsidRDefault="00A50962" w:rsidP="00722885">
      <w:pPr>
        <w:pStyle w:val="Bodytext141"/>
        <w:shd w:val="clear" w:color="auto" w:fill="auto"/>
        <w:tabs>
          <w:tab w:val="left" w:pos="570"/>
        </w:tabs>
        <w:spacing w:line="240" w:lineRule="auto"/>
        <w:ind w:firstLine="0"/>
        <w:jc w:val="both"/>
        <w:rPr>
          <w:i w:val="0"/>
          <w:color w:val="000000" w:themeColor="text1"/>
          <w:sz w:val="16"/>
          <w:szCs w:val="16"/>
        </w:rPr>
      </w:pPr>
      <w:r w:rsidRPr="00722885">
        <w:rPr>
          <w:i w:val="0"/>
          <w:color w:val="000000" w:themeColor="text1"/>
          <w:sz w:val="16"/>
          <w:szCs w:val="16"/>
        </w:rPr>
        <w:t>5. Переделать гильзоулавливатель, обеспечив большие удобства заря</w:t>
      </w:r>
      <w:r w:rsidRPr="00722885">
        <w:rPr>
          <w:i w:val="0"/>
          <w:color w:val="000000" w:themeColor="text1"/>
          <w:sz w:val="16"/>
          <w:szCs w:val="16"/>
        </w:rPr>
        <w:softHyphen/>
        <w:t>жания.</w:t>
      </w:r>
    </w:p>
    <w:p w14:paraId="5AA8E1DA"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В случае Вашего согласия, прошу выдать задание заводу №100 НКТП на производство необходимых работ и обеспечить танк экипажем»'.</w:t>
      </w:r>
    </w:p>
    <w:p w14:paraId="1BED4A94" w14:textId="77777777" w:rsidR="00A50962" w:rsidRPr="00722885" w:rsidRDefault="00A50962" w:rsidP="00722885">
      <w:pPr>
        <w:pStyle w:val="72"/>
        <w:shd w:val="clear" w:color="auto" w:fill="auto"/>
        <w:spacing w:line="240" w:lineRule="auto"/>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Модернизация КВ-7, как и войсковые испытания, так и не состоя</w:t>
      </w:r>
      <w:r w:rsidRPr="00722885">
        <w:rPr>
          <w:rFonts w:ascii="Times New Roman" w:cs="Times New Roman"/>
          <w:color w:val="000000" w:themeColor="text1"/>
          <w:spacing w:val="0"/>
          <w:sz w:val="16"/>
          <w:szCs w:val="16"/>
        </w:rPr>
        <w:softHyphen/>
        <w:t>лась.</w:t>
      </w:r>
    </w:p>
    <w:p w14:paraId="7952D632" w14:textId="77777777" w:rsidR="00A50962" w:rsidRPr="00722885" w:rsidRDefault="00A50962" w:rsidP="00722885">
      <w:pPr>
        <w:pStyle w:val="a3"/>
        <w:rPr>
          <w:color w:val="000000" w:themeColor="text1"/>
          <w:lang w:val="ru-RU"/>
        </w:rPr>
      </w:pPr>
      <w:r w:rsidRPr="00722885">
        <w:rPr>
          <w:color w:val="000000" w:themeColor="text1"/>
          <w:lang w:val="ru-RU"/>
        </w:rPr>
        <w:t>Прошедший к 10 ноября 1942 года ряд испытаний танк, по мне</w:t>
      </w:r>
      <w:r w:rsidRPr="00722885">
        <w:rPr>
          <w:color w:val="000000" w:themeColor="text1"/>
          <w:lang w:val="ru-RU"/>
        </w:rPr>
        <w:softHyphen/>
        <w:t>нию начальника БТУ ГАБТУ КА инженер-полковника С.А. Афонина, модернизировать не имело смысла, поскольку синхронного залпа так и не удалось добиться. Кроме того, вместо спарки 76-мм пушек ЗИС- 5 следовало поставить одну пушку, но куда большего калибра, чем, собственно, в этот момент и занимался завод №100. Впрочем, и на этом работы по теме КВ-7 не закончились (17484).</w:t>
      </w:r>
    </w:p>
    <w:p w14:paraId="79F03279" w14:textId="77777777" w:rsidR="00A50962" w:rsidRPr="00722885" w:rsidRDefault="00A50962" w:rsidP="00722885">
      <w:pPr>
        <w:pStyle w:val="72"/>
        <w:shd w:val="clear" w:color="auto" w:fill="auto"/>
        <w:spacing w:line="240" w:lineRule="auto"/>
        <w:rPr>
          <w:rFonts w:ascii="Times New Roman" w:cs="Times New Roman"/>
          <w:color w:val="000000" w:themeColor="text1"/>
          <w:spacing w:val="0"/>
          <w:sz w:val="16"/>
          <w:szCs w:val="16"/>
        </w:rPr>
      </w:pPr>
    </w:p>
    <w:p w14:paraId="0ECD44F8"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октябре 1942 года в ходе командировки П. Ф. Соломонова (к тому моменту уже в звании майора) на Кировский завод был произведён осмотр САУ КВ-7. Прошли и его ходовые испытания. В ноябре из ГАУ КА пришло предложение КВ-7 доработать, установив командирскую башенку, провести отладку всех систем и отправить на войсковые испытания. Хотя эту идею забросили, КВ-7 ещё успел послужить на благо советского танкопрома. На машине испытывали планетарную трансмиссию, которую разработал коллектив Московского Машиностроительного Института им. Баумана под руководством Г. И. Зайчика. Затем КВ-7 очутился на площадке завода №100, а в декабре 1943 года многострадальную самоходку вместе с КВ-9 и КВ-12 отправили в металлолом (17647).</w:t>
      </w:r>
    </w:p>
    <w:p w14:paraId="73DB9F0E"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71C8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после того, как проект истребителей танков был рассмотрен на заседании техсовета НКВ, и для доводки артиллерийской части к рабо</w:t>
      </w:r>
      <w:r w:rsidRPr="00722885">
        <w:rPr>
          <w:rFonts w:ascii="Times New Roman" w:hAnsi="Times New Roman"/>
          <w:color w:val="000000" w:themeColor="text1"/>
          <w:sz w:val="16"/>
          <w:szCs w:val="16"/>
        </w:rPr>
        <w:softHyphen/>
        <w:t>там бьшо подключено ЦАКБ, а для отработки моторной группы - ОКБ-38 и КБ НАТИ (11417).</w:t>
      </w:r>
    </w:p>
    <w:p w14:paraId="672316F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83547B1"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октябре 1942 года на заводе №92 начали разрабатывать ЗИС-25. Ведущим инженером был Д.И. Шеффер. Также работал над ней и Лепендин, до того курировавший создание ЗИС-5. Основной идеей нового проекта стала унификация системы калибра 85 мм с уже находящейся в производстве ЗИС-5. Согласно проекту, новых деталей требовалось изготовить всего 47 штук.</w:t>
      </w:r>
    </w:p>
    <w:p w14:paraId="3F0C2718"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Ствол нового орудия, по сравнению с 52-К, также укоротили, что снизило начальную скорость снаряда до 757 м/с. Согласно расчетам, этого хватало, чтобы на дистанции в километр пробить броню толщиной 75 мм, установленную под углом 30 градусов. Для сравнения, ЗИС-5 на той же дистанции и под тем же углом пробивала броню толщиной 49 мм. По сравнению с ЗИС-5 масса орудия возрастала на 250 кг. Как и в случае с ЗИК-1, для установки этой пушки не требовалось вносить изменений ни в башню КВ-1, ни в бронировку орудийной маски (17675).</w:t>
      </w:r>
    </w:p>
    <w:p w14:paraId="50449CBC"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33DAA0A"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октябре 1942 года проект, разработанный конструкторским бюро (КБ) завода №8, предполагал установку ствола БР-2 на лафет МЛ-20, при этом на орудие ставился массивный двухкамерный дульный тормоз. После того, как 30 октября 1942 года постановлением ГКО №2457сс завод №8 разделили на два (завод №8 и завод №9), Петров продолжил работу уже в должности начальника КБ завода №9. Проект переделки БР-2 был реализован в виде опытной 152-мм пушки Д-4.</w:t>
      </w:r>
    </w:p>
    <w:p w14:paraId="1FB1485B"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Существовал ещё один, альтернативный вариант переделки, который так и не был реализован. Он предполагал установку на лафет МЛ-20 ствола 203-мм корпусной гаубицы У-3. Это орудие в 1938 году разработало КБ Уральского завода тяжёлого машиностроения (УЗТМ) под руководством В.Н. Сидоренко. Оно создавалось как более лёгкая и менее мощная альтернатива гаубице особой мощности Б-4. Имея более короткий ствол (3250 мм), У-3 была значительно легче Б-4 (9,4 тонны против 17,7).</w:t>
      </w:r>
    </w:p>
    <w:p w14:paraId="6F31954F"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целом У-3 выглядела лучше, чем похожая система М-40, но по итогам испытаний ей требовалась доработка. Начало Великой Отечественной войны приостановило работы, но в апреле 1942 года гаубица снова вышла на испытания. Их она не выдержала из-за проблем с лафетом и подъёмным механизмом. Так появился проект модернизации на лафете У-3. Согласно проекту, боевая масса такой системы снижалась с 9400 до 8100 кг. Минусом являлось появление массивного двухкамерного дульного тормоза и уменьшение угла возвышения с 75 до 65 градусов.</w:t>
      </w:r>
    </w:p>
    <w:p w14:paraId="5C39F820"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описании этой системы был и пункт о её возможном использовании в самоходном варианте:</w:t>
      </w:r>
    </w:p>
    <w:p w14:paraId="36F0CA5A"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«Поскольку 152 мм пушка БР-2 имеет с 203 мм гаубицей Б-4 общий лафет, люльку, затвор, противооткатные устройства, то наложение БР-2 на танковую люльку МЛ-20 открывает возможность, при необходимости, постановки на эту люльку с подобными передками ствола-моноблока 203-мм гаубицы Б-4 и, конечно, ещё легче поставить в танк 203-мм гаубицу У-3».</w:t>
      </w:r>
    </w:p>
    <w:p w14:paraId="4E8FB9A8"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Даже эскиза установки переделанной гаубицы У-3 в САУ ЗИК-20 выполнено не было. Тем не менее, история имела продолжение (17701).</w:t>
      </w:r>
    </w:p>
    <w:p w14:paraId="7AD24F80"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140C9CC" w14:textId="77777777" w:rsidR="007D207F" w:rsidRPr="00722885" w:rsidRDefault="007D207F" w:rsidP="00722885">
      <w:pPr>
        <w:pStyle w:val="ae"/>
        <w:spacing w:before="0" w:after="0"/>
        <w:jc w:val="both"/>
        <w:textAlignment w:val="baseline"/>
        <w:rPr>
          <w:color w:val="000000" w:themeColor="text1"/>
          <w:sz w:val="16"/>
          <w:szCs w:val="16"/>
        </w:rPr>
      </w:pPr>
      <w:r w:rsidRPr="00722885">
        <w:rPr>
          <w:color w:val="000000" w:themeColor="text1"/>
          <w:sz w:val="16"/>
          <w:szCs w:val="16"/>
        </w:rPr>
        <w:t>В октябре 1942 года конструкторское бюро (КБ) завода №8 представило серию эскизных проектов артиллерийских систем, унифицированных по лафетам. 4 проекта базировались на лафете 122-мм гаубицы М-30. В одном из вариантов на модернизированный лафет М-30 накладывался ствол 122-мм корпусной пушки А-19. Полученная система получилась достаточно компактной и лёгкой. Предлагались разные варианты переделки этого орудия, включая укорочение ствола на 800 мм. Все варианты предлагалось оснастить двухкамерным дульным тормозом.</w:t>
      </w:r>
    </w:p>
    <w:p w14:paraId="5D8A9151" w14:textId="77777777" w:rsidR="007D207F" w:rsidRPr="00722885" w:rsidRDefault="007D207F" w:rsidP="00722885">
      <w:pPr>
        <w:pStyle w:val="ae"/>
        <w:spacing w:before="0" w:after="0"/>
        <w:jc w:val="both"/>
        <w:textAlignment w:val="baseline"/>
        <w:rPr>
          <w:color w:val="000000" w:themeColor="text1"/>
          <w:sz w:val="16"/>
          <w:szCs w:val="16"/>
        </w:rPr>
      </w:pPr>
      <w:r w:rsidRPr="00722885">
        <w:rPr>
          <w:color w:val="000000" w:themeColor="text1"/>
          <w:sz w:val="16"/>
          <w:szCs w:val="16"/>
        </w:rPr>
        <w:t>Уже через месяц, в ноябре 1942 года, завод №8 разделили на два предприятия. Конструкторский коллектив во главе с Ф.Ф. Петровым, который разработал упомянутую серию проектов, продолжил работать на заводе №9. В феврале 1943 года была утверждена постройка опытного образца 122-мм орудия, получившего обозначение Д-</w:t>
      </w:r>
      <w:r w:rsidRPr="00722885">
        <w:rPr>
          <w:color w:val="000000" w:themeColor="text1"/>
          <w:sz w:val="16"/>
          <w:szCs w:val="16"/>
        </w:rPr>
        <w:lastRenderedPageBreak/>
        <w:t>2. В серию орудие не пошло, но испытывалось до 1945 года. В отличие от первоначального проекта Д-2 имела ствол-моноблок. По сравнению с А-19 длина ствола Д-2 была чуть меньше — 5520 мм против 5650 мм (17717).</w:t>
      </w:r>
    </w:p>
    <w:p w14:paraId="27F5B428" w14:textId="77777777" w:rsidR="007D207F" w:rsidRPr="00722885" w:rsidRDefault="007D207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80D334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приборы для ночного вождения танков были изготовлены и в количестве 24 комплектов установ</w:t>
      </w:r>
      <w:r w:rsidRPr="00722885">
        <w:rPr>
          <w:rFonts w:ascii="Times New Roman" w:hAnsi="Times New Roman"/>
          <w:color w:val="000000" w:themeColor="text1"/>
          <w:sz w:val="16"/>
          <w:szCs w:val="16"/>
        </w:rPr>
        <w:softHyphen/>
        <w:t>лены для испытаний в танках Т-34 в 16-й и 17-й танковых бригадах 1-го гвардейского Донского кор</w:t>
      </w:r>
      <w:r w:rsidRPr="00722885">
        <w:rPr>
          <w:rFonts w:ascii="Times New Roman" w:hAnsi="Times New Roman"/>
          <w:color w:val="000000" w:themeColor="text1"/>
          <w:sz w:val="16"/>
          <w:szCs w:val="16"/>
        </w:rPr>
        <w:softHyphen/>
        <w:t>пуса.</w:t>
      </w:r>
    </w:p>
    <w:p w14:paraId="4D7609D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сентябре 1943 г. ГОИ совместно с ОКБ ВЭИ изготовили и представили на испытания два ком</w:t>
      </w:r>
      <w:r w:rsidRPr="00722885">
        <w:rPr>
          <w:rFonts w:ascii="Times New Roman" w:hAnsi="Times New Roman"/>
          <w:color w:val="000000" w:themeColor="text1"/>
          <w:sz w:val="16"/>
          <w:szCs w:val="16"/>
        </w:rPr>
        <w:softHyphen/>
        <w:t>плекта танковых ночных прицелов ПЦТ-8, которые проходили испытания на НИБТ полигоне ГБТУКА.</w:t>
      </w:r>
    </w:p>
    <w:p w14:paraId="446409B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 (11420).</w:t>
      </w:r>
    </w:p>
    <w:p w14:paraId="4CD4B8E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E1681F7" w14:textId="77777777" w:rsidR="0097543E" w:rsidRPr="00722885" w:rsidRDefault="0097543E"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октябре 1942 года был готов зенитный танк разработки завода №37. В отличие от ГАЗ им. Молотова, Савин занимался и Т-60, и Т-70. Оба образца зенитных танков (з-да 37 и ГАЗ) прибыли на полигон 23 октября 1942 года, но больше месяца до них как-то не доходили руки. Причина прозаична - отсутствовала программа испытаний. Происходящее вызывает некоторое недоумение, особенно с учетом срочности заказа на разработку. Впрочем, это вполне в духе военных.</w:t>
      </w:r>
    </w:p>
    <w:p w14:paraId="7084DC49" w14:textId="77777777" w:rsidR="0097543E" w:rsidRPr="00722885" w:rsidRDefault="0097543E"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Зенитный танк на базе Т-60, с легкой руки некоторых исследователей, часто именуют как Т-60-3. Видимо, читать документы внимательно не судьба, потому как там не цифра "3", а вполне себе буква "З". Также в переписке больше используется обозначение Т-60 (Зенитный), что еще больше намекает на истинный индекс изделия. Как и прописывалось в тактико-технических требованиях, зенитный Т-60 изготовили с использованием штатной башни. Башню сделали частично открытой сверху, для защиты от непогоды имелся съемный мягкий верх. В лобовой части башни поставили развитую неподвижную бронировку, которая прикрывала спаренную установку пулеметов ДШКТ. Про магазины на 42 патрона явно было какое-то недопонимание, поскольку использовались магазины на 30 патронов, по типу ДК. До испытаний, впрочем, зенитный Т-60 так и не допустили. 5 декабря, когда зенитные танки осматривали, как-то внезапно выяснилось, что у Т-60-З нет мотора. Дело в том, что было использовано шасси танка, на котором испытывался двигатель ЗИС-16. Незадолго до испытаний мотор сломался, в результате Т-60 (зенитный) попал на испытания без двигателя. Также имелись и замечания по самой башне. Во-первых, прицел К-8Т разместили неправильно, а во-вторых, башня оказалась слишком тесной. В результате при наведении на определенных углах (при стрельбе по наземным целям) стрелка прижимало к башне пулеметной установкой. По этой причине в испытаниях принимал участие только зенитный вариант Т-70.</w:t>
      </w:r>
    </w:p>
    <w:p w14:paraId="3403CA97" w14:textId="77777777" w:rsidR="0097543E" w:rsidRPr="00722885" w:rsidRDefault="0097543E"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Несмотря на то, что Савин настаивал на дальнейшей доработке зенитной башни Т-60, хорошо видно - он и сам куда больше внимания уделил зенитной башне Т-70. В отличие от Т-60-З, зенитный Т-70 к испытаниям допустили, из недостатков указывалось только отсутствие гильзоулавливателя. Вопреки ТТТ, на самом деле Т-70-З изготовили с использованием штатной башни Т-70, включая и механизм горизонтальной наводки. База у машины оказалась крайне интересная. Для постройки использовали шасси второго серийного экземпляра Т-70 выпуска завода №37. Их изготовили всего 10 штук, иных снимков свердловских Т-70 не попадалось. Помимо коллиматорного прицела К-8Т, был установлен телескопический прицел ТМФП для стрельбы по наземным целям. Пулеметы стояли по центру продольной оси машины, между ними размещались прицелы. Для их установки использовались штатные кронштейны от Т-40. Углы вертикальной наводки составили от -8 до +85, что даже больше, чем изначально предполагалось по ТЗ. А вот боекомплект получился маловат - всего 12 магазинов, фактически по 6 на каждый пулемет. Радиостанции, в отличие от конкурирующего Т-90, на танке не стояло (21193).</w:t>
      </w:r>
    </w:p>
    <w:p w14:paraId="107FD641" w14:textId="77777777" w:rsidR="0097543E" w:rsidRPr="00722885" w:rsidRDefault="0097543E"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134B3576" w14:textId="77777777" w:rsidR="0097543E" w:rsidRPr="00722885" w:rsidRDefault="0097543E"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октябре 1942 года КБ завода №38 запустили работу над двумя машинами. Обе они создавались по схеме СУ-31, но уже с использованием базы легкого танка Т-70Б. Речь идет о СУ-11 и СУ-12. И если СУ-12 стала серийной машиной, то СУ-11 осталась опытной, а место, где она хранится, считает, что у них более поздняя ЗСУ-37 (21409).</w:t>
      </w:r>
    </w:p>
    <w:p w14:paraId="474EAC09" w14:textId="77777777" w:rsidR="0097543E" w:rsidRPr="00722885" w:rsidRDefault="0097543E"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17C7059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с целью увеличения огневой мощи был разработан и в марте 1943 г. изготовлен на базе бронеавтомобиля БА-64 опытный образец машины (БА-64Д) с установкой крупнокалиберного пулемета ЛТК. В марте того же года па базе БА-64Б был разработан проект бро</w:t>
      </w:r>
      <w:r w:rsidRPr="00722885">
        <w:rPr>
          <w:rFonts w:ascii="Times New Roman" w:hAnsi="Times New Roman"/>
          <w:color w:val="000000" w:themeColor="text1"/>
          <w:sz w:val="16"/>
          <w:szCs w:val="16"/>
        </w:rPr>
        <w:softHyphen/>
        <w:t>неавтомобиля с аналогичным вооружением. Кроме того, были начаты проектные работы но размещению в башне бронеавтомобиля БА-64Б 25-мм автоматической пушки, но в металле эти проекты реализованы не были (10703).</w:t>
      </w:r>
    </w:p>
    <w:p w14:paraId="492EFD4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AB74AD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КБ Горьковского автоза</w:t>
      </w:r>
      <w:r w:rsidRPr="00722885">
        <w:rPr>
          <w:rFonts w:ascii="Times New Roman" w:hAnsi="Times New Roman"/>
          <w:color w:val="000000" w:themeColor="text1"/>
          <w:sz w:val="16"/>
          <w:szCs w:val="16"/>
        </w:rPr>
        <w:softHyphen/>
        <w:t>вода на базе бронеавтомобиля БА-64 ГАЗ был разработан Бронеавтомобиль БА-64Д. Опытный обра</w:t>
      </w:r>
      <w:r w:rsidRPr="00722885">
        <w:rPr>
          <w:rFonts w:ascii="Times New Roman" w:hAnsi="Times New Roman"/>
          <w:color w:val="000000" w:themeColor="text1"/>
          <w:sz w:val="16"/>
          <w:szCs w:val="16"/>
        </w:rPr>
        <w:softHyphen/>
        <w:t>зец машины был изготовлен автозаводом в марте 1943 г. и в апреле того же года прошел заводские испытания. На вооружение не принимался и в серийном производстве не состоял. Бронеавтомобиль БА-64Д отли-чался от серийного образца выпус</w:t>
      </w:r>
      <w:r w:rsidRPr="00722885">
        <w:rPr>
          <w:rFonts w:ascii="Times New Roman" w:hAnsi="Times New Roman"/>
          <w:color w:val="000000" w:themeColor="text1"/>
          <w:sz w:val="16"/>
          <w:szCs w:val="16"/>
        </w:rPr>
        <w:softHyphen/>
        <w:t>ка 1942 г. установкой увеличенной башни с 12,7-мм пулеметом ДШК с магазинным питанием. Первая попытка установки пулемета ДШК бы</w:t>
      </w:r>
      <w:r w:rsidRPr="00722885">
        <w:rPr>
          <w:rFonts w:ascii="Times New Roman" w:hAnsi="Times New Roman"/>
          <w:color w:val="000000" w:themeColor="text1"/>
          <w:sz w:val="16"/>
          <w:szCs w:val="16"/>
        </w:rPr>
        <w:softHyphen/>
        <w:t>ла произведена "по месту" еще в сентябре 1942 г. (10703).</w:t>
      </w:r>
    </w:p>
    <w:p w14:paraId="54BEB68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36C46A2"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бывший завод № 615 им. Коминтерна, который после консервации получил наименование завод № 678, обрел свое «второе дыхание» и начал возрождаться после выхода постановления ГКО № 5439сс от 20 марта 1944 г. В соответствии с этим решением на предприятие была возложена задача разработки и производства радиолокационных станций с круговым обзором по типу английского прототипа LW, а также образцов двух радиовещательных передатчика в КВ и СВ диапазонах мощностью соответственно 120 и 150 кВт.3 Таким образом, заводу была определена его будущая специализация: мощное радиостроительство и радиолокационная техника. Что касается первого направления, то, по сути дела, это было возвращение того профиля, который предприятие утратило после разделения КМРС в 1937 г. Теперь вся тематика мощного радиостроительства передавалась с завода № 619 на завод им. Коминтерна. Ну, а радиолокационные установки были традиционной продукцией предприятия с самого начала развития этого вида техники в нашей стране.</w:t>
      </w:r>
    </w:p>
    <w:p w14:paraId="5BDE9189"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Постановление ГКО № 5439сс предусматривало проведение целого комплекса мероприятий, реализация которых позволило бы заводу № 678 выполнить поставленные ему задачи.</w:t>
      </w:r>
    </w:p>
    <w:p w14:paraId="04822910"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мае-июне 1944 г. из-под Куйбышева в Ленинград в полном составе вместе с оборудованием был переведен филиал завода № 327, который и составил ядро будущего коллектива (18297).</w:t>
      </w:r>
    </w:p>
    <w:p w14:paraId="106DFAB2" w14:textId="77777777" w:rsidR="00044450" w:rsidRPr="00722885" w:rsidRDefault="00044450" w:rsidP="00722885">
      <w:pPr>
        <w:spacing w:after="0" w:line="240" w:lineRule="auto"/>
        <w:jc w:val="both"/>
        <w:rPr>
          <w:rFonts w:ascii="Times New Roman" w:hAnsi="Times New Roman"/>
          <w:color w:val="000000" w:themeColor="text1"/>
          <w:sz w:val="16"/>
          <w:szCs w:val="16"/>
        </w:rPr>
      </w:pPr>
    </w:p>
    <w:p w14:paraId="663734C3"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после обращения ГАУ КА СКБ НКСП приступило к разработке отечественного автоматического прицела «КЛК-42», хотя было известно, что попытки иностранных фирм, например фирмы «Шкода», окончились неудачей. При проектировании прицела КЛК-42 авторы предложили и реализовали новый по тем временам метод определения упрежденных координат цели по ее угловым скоростям, и в течение 6 месяцев автоматический прицел был разработан, изготовлено 4 опытных образца, а летом 1943 г. были проведены его полигонные испытания в г. Костереве (Украина) (15736).</w:t>
      </w:r>
    </w:p>
    <w:p w14:paraId="6EEFFC39" w14:textId="77777777" w:rsidR="00044450" w:rsidRPr="00722885" w:rsidRDefault="00044450" w:rsidP="00722885">
      <w:pPr>
        <w:spacing w:after="0" w:line="240" w:lineRule="auto"/>
        <w:jc w:val="both"/>
        <w:rPr>
          <w:rFonts w:ascii="Times New Roman" w:hAnsi="Times New Roman"/>
          <w:color w:val="000000" w:themeColor="text1"/>
          <w:sz w:val="16"/>
          <w:szCs w:val="16"/>
        </w:rPr>
      </w:pPr>
    </w:p>
    <w:p w14:paraId="07ABF9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w:t>
      </w:r>
      <w:r w:rsidRPr="00722885">
        <w:rPr>
          <w:color w:val="000000" w:themeColor="text1"/>
          <w:sz w:val="16"/>
          <w:szCs w:val="16"/>
        </w:rPr>
        <w:softHyphen/>
        <w:t>тябре 1942 г. головной морской бронекатер был заложен на заводе 194 (3898).</w:t>
      </w:r>
    </w:p>
    <w:p w14:paraId="6B884D66" w14:textId="77777777" w:rsidR="00090C9B" w:rsidRPr="00722885" w:rsidRDefault="00090C9B" w:rsidP="00722885">
      <w:pPr>
        <w:pStyle w:val="Iauiue"/>
        <w:jc w:val="both"/>
        <w:rPr>
          <w:color w:val="000000" w:themeColor="text1"/>
          <w:sz w:val="16"/>
          <w:szCs w:val="16"/>
        </w:rPr>
      </w:pPr>
    </w:p>
    <w:p w14:paraId="670E2C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у миноносца "Сокрушительный" отломилась корма и он погиб с частью экипажа (3573).</w:t>
      </w:r>
    </w:p>
    <w:p w14:paraId="25BAF636" w14:textId="77777777" w:rsidR="00090C9B" w:rsidRPr="00722885" w:rsidRDefault="00090C9B" w:rsidP="00722885">
      <w:pPr>
        <w:pStyle w:val="Iauiue"/>
        <w:jc w:val="both"/>
        <w:rPr>
          <w:color w:val="000000" w:themeColor="text1"/>
          <w:sz w:val="16"/>
          <w:szCs w:val="16"/>
        </w:rPr>
      </w:pPr>
    </w:p>
    <w:p w14:paraId="108432E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AA1DE73" w14:textId="77777777" w:rsidR="00090C9B" w:rsidRPr="00722885" w:rsidRDefault="00090C9B" w:rsidP="00722885">
      <w:pPr>
        <w:pStyle w:val="Iauiue"/>
        <w:jc w:val="both"/>
        <w:rPr>
          <w:iCs/>
          <w:color w:val="000000" w:themeColor="text1"/>
          <w:sz w:val="16"/>
          <w:szCs w:val="16"/>
        </w:rPr>
      </w:pPr>
    </w:p>
    <w:p w14:paraId="6EDFB86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октября 1942 г. в 5-м мтап стали ставить дополнительные баки в неиспользуемый бомбоотсек. Там же допол</w:t>
      </w:r>
      <w:r w:rsidRPr="00722885">
        <w:rPr>
          <w:rFonts w:ascii="Times New Roman" w:hAnsi="Times New Roman"/>
          <w:color w:val="000000" w:themeColor="text1"/>
          <w:sz w:val="16"/>
          <w:szCs w:val="16"/>
        </w:rPr>
        <w:softHyphen/>
        <w:t>няли вооружение Ил-4 реактивными снарядами РС-82 (10734,85).</w:t>
      </w:r>
    </w:p>
    <w:p w14:paraId="17B1D3A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C10B8B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финские летчики перегоняли ДБ-3Ф из Брянска. Перед вылетом самолеты снизу покрыли яркой желтой краской, чтобы уберечь от своих зенитчиков, и нанесли немецкие опознавательные знаки. До Финляндии долетели три машины, одна разбилась под Ригой из-за отказа правого мотора. После ремонта три ДБ-3Ф в июне-сентябре 1943 г. вошли в состав эскад</w:t>
      </w:r>
      <w:r w:rsidRPr="00722885">
        <w:rPr>
          <w:rFonts w:ascii="Times New Roman" w:hAnsi="Times New Roman"/>
          <w:color w:val="000000" w:themeColor="text1"/>
          <w:sz w:val="16"/>
          <w:szCs w:val="16"/>
        </w:rPr>
        <w:softHyphen/>
        <w:t>рильи Lelv 48. В общей сложности в ней стало шесть бомбардировщиков Илью</w:t>
      </w:r>
      <w:r w:rsidRPr="00722885">
        <w:rPr>
          <w:rFonts w:ascii="Times New Roman" w:hAnsi="Times New Roman"/>
          <w:color w:val="000000" w:themeColor="text1"/>
          <w:sz w:val="16"/>
          <w:szCs w:val="16"/>
        </w:rPr>
        <w:softHyphen/>
        <w:t>шина. Один из имевшихся в ней ДБ-3Б погиб раньше. 19 февраля 1943 г. чет</w:t>
      </w:r>
      <w:r w:rsidRPr="00722885">
        <w:rPr>
          <w:rFonts w:ascii="Times New Roman" w:hAnsi="Times New Roman"/>
          <w:color w:val="000000" w:themeColor="text1"/>
          <w:sz w:val="16"/>
          <w:szCs w:val="16"/>
        </w:rPr>
        <w:softHyphen/>
        <w:t>верка финских ДБ-3 участвовала в на</w:t>
      </w:r>
      <w:r w:rsidRPr="00722885">
        <w:rPr>
          <w:rFonts w:ascii="Times New Roman" w:hAnsi="Times New Roman"/>
          <w:color w:val="000000" w:themeColor="text1"/>
          <w:sz w:val="16"/>
          <w:szCs w:val="16"/>
        </w:rPr>
        <w:softHyphen/>
        <w:t>лете на аэродром Сегежа. На обратном пути в ненастную погоду машины заблу</w:t>
      </w:r>
      <w:r w:rsidRPr="00722885">
        <w:rPr>
          <w:rFonts w:ascii="Times New Roman" w:hAnsi="Times New Roman"/>
          <w:color w:val="000000" w:themeColor="text1"/>
          <w:sz w:val="16"/>
          <w:szCs w:val="16"/>
        </w:rPr>
        <w:softHyphen/>
        <w:t>дились и совершили вынужденные по</w:t>
      </w:r>
      <w:r w:rsidRPr="00722885">
        <w:rPr>
          <w:rFonts w:ascii="Times New Roman" w:hAnsi="Times New Roman"/>
          <w:color w:val="000000" w:themeColor="text1"/>
          <w:sz w:val="16"/>
          <w:szCs w:val="16"/>
        </w:rPr>
        <w:softHyphen/>
        <w:t>садки в разных местах. Одна из них за</w:t>
      </w:r>
      <w:r w:rsidRPr="00722885">
        <w:rPr>
          <w:rFonts w:ascii="Times New Roman" w:hAnsi="Times New Roman"/>
          <w:color w:val="000000" w:themeColor="text1"/>
          <w:sz w:val="16"/>
          <w:szCs w:val="16"/>
        </w:rPr>
        <w:softHyphen/>
        <w:t>кончилась катастрофой (10734,87).</w:t>
      </w:r>
    </w:p>
    <w:p w14:paraId="488ABCD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D7B49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октября 1942 г. были отмечены первые случаи атак советских бомбардировщиков на больших высотах сверху с пикирования новыми немецкими Bf I09G-2. В некоторых советских отчетах указывалось на применение немцами специальных истребителей с гермокабинами, однако германские документы не подтверждают эти заключения - против нас действовали обычные, серийные машины. Добавим, что "Густавы" имели практический потолок 11500-12000 м (против 7500-8000 м у Пе-2), а на высоте 7000 м превосходили "пешек", по крайней мере, на 150-180 км/ч, что позволяло немецкому пилоту в кислородной маске вести активную борьбу с советскими бомбардировщиками и на больших высотах. До этого, с конца лета - начала осени произошел переход к бомбометанию с Пе-2 с больших высот, порядка 7000-8000 м. Немецкие истребители патрулировали значительно ниже, боев на этих высотах почти не вели, и потери Пе-2 снизились (12042).</w:t>
      </w:r>
    </w:p>
    <w:p w14:paraId="4DC7C18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3574B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 октябре 1942 г. экипажи Б. Лунца и Н. И. Слепова из 101-го полка АДД доставили в соединения С. А. Ковпака и А. Н. Сабурова на Ли-2 первые артиллерийские </w:t>
      </w:r>
      <w:r w:rsidRPr="00722885">
        <w:rPr>
          <w:color w:val="000000" w:themeColor="text1"/>
          <w:sz w:val="16"/>
          <w:szCs w:val="16"/>
        </w:rPr>
        <w:lastRenderedPageBreak/>
        <w:t>орудия (3772).</w:t>
      </w:r>
    </w:p>
    <w:p w14:paraId="46F48A94" w14:textId="77777777" w:rsidR="00090C9B" w:rsidRPr="00722885" w:rsidRDefault="00090C9B" w:rsidP="00722885">
      <w:pPr>
        <w:pStyle w:val="Iauiue"/>
        <w:jc w:val="both"/>
        <w:rPr>
          <w:color w:val="000000" w:themeColor="text1"/>
          <w:sz w:val="16"/>
          <w:szCs w:val="16"/>
        </w:rPr>
      </w:pPr>
    </w:p>
    <w:p w14:paraId="2E7539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года, когда немцы рвались на Кавказ, союзники предложили усилить советскую авиацию в Закавказье англо-американским соединением, в которое должна была войти и авиагруппа (полк) на В-24. Пока шла дипломатическая утряска, острота проблемы исчезла (3457,115).</w:t>
      </w:r>
    </w:p>
    <w:p w14:paraId="6231154E" w14:textId="77777777" w:rsidR="00090C9B" w:rsidRPr="00722885" w:rsidRDefault="00090C9B" w:rsidP="00722885">
      <w:pPr>
        <w:pStyle w:val="Iauiue"/>
        <w:jc w:val="both"/>
        <w:rPr>
          <w:color w:val="000000" w:themeColor="text1"/>
          <w:sz w:val="16"/>
          <w:szCs w:val="16"/>
        </w:rPr>
      </w:pPr>
    </w:p>
    <w:p w14:paraId="100B2B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 когда были отмечены первые случаи атак советских бомбардировщиков сверху с пикирования новыми немецкими истребителями Мессершмитт Bfl09G-l с гермокабинами тактика Пе-2, перешедших на бомбардировку с больших высот, изменилась. С их помощью противник начал вести активную борьбу и на больших высотах (3542).</w:t>
      </w:r>
    </w:p>
    <w:p w14:paraId="17842F06" w14:textId="77777777" w:rsidR="00090C9B" w:rsidRPr="00722885" w:rsidRDefault="00090C9B" w:rsidP="00722885">
      <w:pPr>
        <w:pStyle w:val="Iauiue"/>
        <w:jc w:val="both"/>
        <w:rPr>
          <w:color w:val="000000" w:themeColor="text1"/>
          <w:sz w:val="16"/>
          <w:szCs w:val="16"/>
        </w:rPr>
      </w:pPr>
    </w:p>
    <w:p w14:paraId="450CAC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года в ПВО Москвы передали первые три "Бостон" Б-3 передали (3457,109).</w:t>
      </w:r>
    </w:p>
    <w:p w14:paraId="12373B7B" w14:textId="77777777" w:rsidR="00090C9B" w:rsidRPr="00722885" w:rsidRDefault="00090C9B" w:rsidP="00722885">
      <w:pPr>
        <w:pStyle w:val="Iauiue"/>
        <w:jc w:val="both"/>
        <w:rPr>
          <w:color w:val="000000" w:themeColor="text1"/>
          <w:sz w:val="16"/>
          <w:szCs w:val="16"/>
        </w:rPr>
      </w:pPr>
    </w:p>
    <w:p w14:paraId="6BF1A9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обе дивизии, воевавшие на А-20 "Бостон" - 244-ю и 221-ю пополнили и вновь отправили воевать на юг (3457,101).</w:t>
      </w:r>
    </w:p>
    <w:p w14:paraId="30FDF9AB" w14:textId="77777777" w:rsidR="00090C9B" w:rsidRPr="00722885" w:rsidRDefault="00090C9B" w:rsidP="00722885">
      <w:pPr>
        <w:pStyle w:val="Iauiue"/>
        <w:jc w:val="both"/>
        <w:rPr>
          <w:color w:val="000000" w:themeColor="text1"/>
          <w:sz w:val="16"/>
          <w:szCs w:val="16"/>
        </w:rPr>
      </w:pPr>
    </w:p>
    <w:p w14:paraId="1A5FCF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года Морская авиация впервые познакомилась с истребителями Р-39 Аэрокобра, когда 2-й гвардейский смешанный полк получил десять "Аэрокобр". Первоначально самолеты использовались в основном для прикрытия Мурманска (3457,71).</w:t>
      </w:r>
    </w:p>
    <w:p w14:paraId="68B35AD6" w14:textId="77777777" w:rsidR="00090C9B" w:rsidRPr="00722885" w:rsidRDefault="00090C9B" w:rsidP="00722885">
      <w:pPr>
        <w:pStyle w:val="Iauiue"/>
        <w:jc w:val="both"/>
        <w:rPr>
          <w:color w:val="000000" w:themeColor="text1"/>
          <w:sz w:val="16"/>
          <w:szCs w:val="16"/>
        </w:rPr>
      </w:pPr>
    </w:p>
    <w:p w14:paraId="43B0B7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ГВФ располагал в общей сложности 15 машинами ТБ-1, а в сентябре 1943 г. - только шестью. Самолеты списывали не столько из-за аварий, сколько из-за износа. С середины 1945 г. их уже перестали учитывать отдельной графой. К началу 1946 г. в ГВФ ни одного Г-1 не осталось.</w:t>
      </w:r>
    </w:p>
    <w:p w14:paraId="6D7CC2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Три транспортных ТБ-1 в начале 1945 г. еще числились на Тихоокеанском флоте, но либо летали мало, либо не могли подняться в воздух совсем.</w:t>
      </w:r>
    </w:p>
    <w:p w14:paraId="662D66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Полярники же использовали их всю войну. Самолеты Московской и Игарской групп, Беломорского отряда активно участвовали в операциях флота. Они вели ледовую разведку и даже осуществляли поиск подводных лодок. В 1942 г. УПА получило шесть машин из ГВФ. В 1944 г. в полярной авиации имелось еще больше десятка Г-1. Они некоторое время летали и после войны, причем были исправны. Списывали их больше из-за аварий и катастроф. Так, 27 марта 1946 г. пилот Иванов на подходе к Дудинке попал в снежный заряд и, потеряв ориентацию, зацепил землю. Весь экипаж погиб. Последний Г-1 полярники списали в 1947 г.</w:t>
      </w:r>
    </w:p>
    <w:p w14:paraId="76B01D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ведомственной авиации эти машины исчезли немного раньше. 13 января 1946 г. при посадке в Воронеже разбился самолет Московского отряда Минрыб- прома. Отлетавший 15 лет ветеран был ни при чем - при ремонте перепутали тросы управления! (12001).</w:t>
      </w:r>
    </w:p>
    <w:p w14:paraId="5D71DDE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45A1B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по решению ЦК ВКП(б) стала выходить центральная авиационная газета "Красный сокол" - орган АДД (1217,217).</w:t>
      </w:r>
    </w:p>
    <w:p w14:paraId="3FE2412F" w14:textId="77777777" w:rsidR="00090C9B" w:rsidRPr="00722885" w:rsidRDefault="00090C9B" w:rsidP="00722885">
      <w:pPr>
        <w:pStyle w:val="Iauiue"/>
        <w:jc w:val="both"/>
        <w:rPr>
          <w:color w:val="000000" w:themeColor="text1"/>
          <w:sz w:val="16"/>
          <w:szCs w:val="16"/>
        </w:rPr>
      </w:pPr>
    </w:p>
    <w:p w14:paraId="65EB78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утвердили штаты гвардейских танковых полков прорыва N 010/267. Сразу присваивали звание гвардейских и вооружали КВ-1С или Черчилями. 21 танк и 241 чел. (3828,32).</w:t>
      </w:r>
    </w:p>
    <w:p w14:paraId="1573D03C" w14:textId="77777777" w:rsidR="00090C9B" w:rsidRPr="00722885" w:rsidRDefault="00090C9B" w:rsidP="00722885">
      <w:pPr>
        <w:pStyle w:val="Iauiue"/>
        <w:jc w:val="both"/>
        <w:rPr>
          <w:color w:val="000000" w:themeColor="text1"/>
          <w:sz w:val="16"/>
          <w:szCs w:val="16"/>
        </w:rPr>
      </w:pPr>
    </w:p>
    <w:p w14:paraId="17085D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ОМАГ на Северном флоте была расформирована (4476).</w:t>
      </w:r>
    </w:p>
    <w:p w14:paraId="36FB7B38" w14:textId="77777777" w:rsidR="00090C9B" w:rsidRPr="00722885" w:rsidRDefault="00090C9B" w:rsidP="00722885">
      <w:pPr>
        <w:pStyle w:val="Iauiue"/>
        <w:jc w:val="both"/>
        <w:rPr>
          <w:color w:val="000000" w:themeColor="text1"/>
          <w:sz w:val="16"/>
          <w:szCs w:val="16"/>
        </w:rPr>
      </w:pPr>
    </w:p>
    <w:p w14:paraId="68B2D581" w14:textId="77777777" w:rsidR="00090C9B" w:rsidRPr="00722885" w:rsidRDefault="00090C9B"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В октябре 1942 года, подтянув свежие силы, немцы развернули наступление в направлениях Эльхотово - Ардон - Владикавказ и Эльхотово - Беслан. Создалась угроза прорыва противника к Владикавказу через "Эльхотовские ворота" (9642).</w:t>
      </w:r>
    </w:p>
    <w:p w14:paraId="2FB59E9D" w14:textId="77777777" w:rsidR="00090C9B" w:rsidRPr="00722885" w:rsidRDefault="00090C9B" w:rsidP="00722885">
      <w:pPr>
        <w:pStyle w:val="a8"/>
        <w:widowControl/>
        <w:jc w:val="both"/>
        <w:rPr>
          <w:rFonts w:ascii="Times New Roman" w:hAnsi="Times New Roman" w:cs="Times New Roman"/>
          <w:color w:val="000000" w:themeColor="text1"/>
        </w:rPr>
      </w:pPr>
    </w:p>
    <w:p w14:paraId="6592C4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 С-56 вместе с подводными лодками Л-15, С-51, С-54, С-55 совершила беспримерный переход с Тихоокеанского флота на Северный. Было пройдено 17 тыс. миль в сложных гидрометеорологических условиях, по районам активных действий японских и немецких подводных лодок. Тихоокеанские подводники сразу включились в боевые действия Северного флота. Исключительно результативными были боевые походы С-56. Она уничтожила 13 и повредила два вражеских корабля и транспорта. За мужество и отвагу командир С-56 Г. Щедрин был удостоен звания Героя Советского Союза. В послужном списке этого героического корабля и первая "лодочная кругосветка". С-56 вернулась на Тихоокеанский флот и стала памятником-музеем (10700).</w:t>
      </w:r>
    </w:p>
    <w:p w14:paraId="4A82957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EAC027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7E77714" w14:textId="77777777" w:rsidR="00090C9B" w:rsidRPr="00722885" w:rsidRDefault="00090C9B" w:rsidP="00722885">
      <w:pPr>
        <w:pStyle w:val="Iauiue"/>
        <w:jc w:val="both"/>
        <w:rPr>
          <w:iCs/>
          <w:color w:val="000000" w:themeColor="text1"/>
          <w:sz w:val="16"/>
          <w:szCs w:val="16"/>
        </w:rPr>
      </w:pPr>
    </w:p>
    <w:p w14:paraId="05D031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октября 1942 года английские "Либерейторы" стали регулярно прилетать под Москву. Открылась авиалиния, связывающая Великобританию и Советский Союз. Машины авиакомпании ВОАС шли но трассе с севера Шотландии через Северное море, пролив Скагеррак, запад Швеции, проходили над Балтикой, а затем через Селижарово и Ярославль прилетали па аэродром Кратово. Полеты осуществлялись по расписанию, продавались билеты - по 3500 рублей каждый. В частности, рейсами ВОАС в Англию отправляли наших летчиков-перегонщиков, которым предстояло принимать там транспортные самолеты "Албемарл". Советская сторона машинами, способными выполнять ответные полеты, не располагала (3457,115).</w:t>
      </w:r>
    </w:p>
    <w:p w14:paraId="1EF5AFA3" w14:textId="77777777" w:rsidR="00090C9B" w:rsidRPr="00722885" w:rsidRDefault="00090C9B" w:rsidP="00722885">
      <w:pPr>
        <w:pStyle w:val="Iauiue"/>
        <w:jc w:val="both"/>
        <w:rPr>
          <w:color w:val="000000" w:themeColor="text1"/>
          <w:sz w:val="16"/>
          <w:szCs w:val="16"/>
        </w:rPr>
      </w:pPr>
    </w:p>
    <w:p w14:paraId="525FCE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СССР и Великобритания подписали договор о поставке в СССР 200 Армстронг-Уитвор Албемарлов. Машины были плохими, но ситуация была еще хуже (1607,10).</w:t>
      </w:r>
    </w:p>
    <w:p w14:paraId="408B1049" w14:textId="77777777" w:rsidR="00090C9B" w:rsidRPr="00722885" w:rsidRDefault="00090C9B" w:rsidP="00722885">
      <w:pPr>
        <w:pStyle w:val="Iauiue"/>
        <w:jc w:val="both"/>
        <w:rPr>
          <w:color w:val="000000" w:themeColor="text1"/>
          <w:sz w:val="16"/>
          <w:szCs w:val="16"/>
        </w:rPr>
      </w:pPr>
    </w:p>
    <w:p w14:paraId="31FCA261"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Сталин в разговоре с посланником американского президента У. Уиллки заявил об ухудшении продовольственной ситуации к зиме и о необходимости скорейшей помощи со стороны союзников (19582).</w:t>
      </w:r>
    </w:p>
    <w:p w14:paraId="43EE1F42" w14:textId="77777777" w:rsidR="00044450" w:rsidRPr="00722885" w:rsidRDefault="00044450" w:rsidP="00722885">
      <w:pPr>
        <w:spacing w:after="0" w:line="240" w:lineRule="auto"/>
        <w:jc w:val="both"/>
        <w:rPr>
          <w:rFonts w:ascii="Times New Roman" w:hAnsi="Times New Roman"/>
          <w:color w:val="000000" w:themeColor="text1"/>
          <w:sz w:val="16"/>
          <w:szCs w:val="16"/>
        </w:rPr>
      </w:pPr>
    </w:p>
    <w:p w14:paraId="2131ED6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36DA519" w14:textId="77777777" w:rsidR="00090C9B" w:rsidRPr="00722885" w:rsidRDefault="00090C9B" w:rsidP="00722885">
      <w:pPr>
        <w:pStyle w:val="Iauiue"/>
        <w:jc w:val="both"/>
        <w:rPr>
          <w:iCs/>
          <w:color w:val="000000" w:themeColor="text1"/>
          <w:sz w:val="16"/>
          <w:szCs w:val="16"/>
        </w:rPr>
      </w:pPr>
    </w:p>
    <w:p w14:paraId="7CE51F1C" w14:textId="77777777" w:rsidR="005763FC" w:rsidRPr="00722885" w:rsidRDefault="005763F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Октябрь 1942 года состоялся первый полет Норт Америкен A-36 Apache, также известного как A-36 Invader и предшественник P-51 Mustang (20793).</w:t>
      </w:r>
    </w:p>
    <w:p w14:paraId="7CE763EA" w14:textId="77777777" w:rsidR="005763FC" w:rsidRPr="00722885" w:rsidRDefault="005763FC" w:rsidP="00722885">
      <w:pPr>
        <w:spacing w:after="0" w:line="240" w:lineRule="auto"/>
        <w:jc w:val="both"/>
        <w:rPr>
          <w:rFonts w:ascii="Times New Roman" w:hAnsi="Times New Roman"/>
          <w:color w:val="0070C0"/>
          <w:sz w:val="16"/>
          <w:szCs w:val="16"/>
        </w:rPr>
      </w:pPr>
    </w:p>
    <w:p w14:paraId="53F0F3D4" w14:textId="77777777" w:rsidR="005763FC" w:rsidRPr="00722885" w:rsidRDefault="005763F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Октябрь 1942 Военно-воздушные силы армии США активируют авиационную оперативную группу в Индии. Американские военные планировщики решают, что новые Boeing B-17 Flying Fortress не будут отправляться на Тихоокеанский театр военных действий после конца месяца. После этого подразделения ВВС США в Тихом океане начнут перевооружаться на Consolidated B-24 Liberator большей дальности и все производство новых B-17 будет посвящено кампании стратегических бомбардировок на Европейском театре военных действий (20793).</w:t>
      </w:r>
    </w:p>
    <w:p w14:paraId="5DC6F48A" w14:textId="77777777" w:rsidR="005763FC" w:rsidRPr="00722885" w:rsidRDefault="005763FC" w:rsidP="00722885">
      <w:pPr>
        <w:spacing w:after="0" w:line="240" w:lineRule="auto"/>
        <w:jc w:val="both"/>
        <w:rPr>
          <w:rFonts w:ascii="Times New Roman" w:hAnsi="Times New Roman"/>
          <w:color w:val="0070C0"/>
          <w:sz w:val="16"/>
          <w:szCs w:val="16"/>
        </w:rPr>
      </w:pPr>
    </w:p>
    <w:p w14:paraId="70635C49"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октябре 1942 года 12 штурмовых ору</w:t>
      </w:r>
      <w:r w:rsidRPr="00722885">
        <w:rPr>
          <w:rFonts w:ascii="Times New Roman" w:cs="Times New Roman"/>
          <w:color w:val="000000" w:themeColor="text1"/>
          <w:spacing w:val="0"/>
        </w:rPr>
        <w:softHyphen/>
        <w:t xml:space="preserve">дий </w:t>
      </w:r>
      <w:r w:rsidRPr="00722885">
        <w:rPr>
          <w:rFonts w:ascii="Times New Roman" w:cs="Times New Roman"/>
          <w:color w:val="000000" w:themeColor="text1"/>
          <w:spacing w:val="0"/>
          <w:lang w:val="en-US"/>
        </w:rPr>
        <w:t>StuGIIIAusf</w:t>
      </w:r>
      <w:r w:rsidRPr="00722885">
        <w:rPr>
          <w:rFonts w:ascii="Times New Roman" w:cs="Times New Roman"/>
          <w:color w:val="000000" w:themeColor="text1"/>
          <w:spacing w:val="0"/>
        </w:rPr>
        <w:t>.</w:t>
      </w:r>
      <w:r w:rsidRPr="00722885">
        <w:rPr>
          <w:rFonts w:ascii="Times New Roman" w:cs="Times New Roman"/>
          <w:color w:val="000000" w:themeColor="text1"/>
          <w:spacing w:val="0"/>
          <w:lang w:val="en-US"/>
        </w:rPr>
        <w:t>E</w:t>
      </w:r>
      <w:r w:rsidRPr="00722885">
        <w:rPr>
          <w:rFonts w:ascii="Times New Roman" w:cs="Times New Roman"/>
          <w:color w:val="000000" w:themeColor="text1"/>
          <w:spacing w:val="0"/>
        </w:rPr>
        <w:t xml:space="preserve">. Все они покинули заводской цех. Для следующих 12 машин, изготовленных в ноябре 1942 года, использовались шасси </w:t>
      </w:r>
      <w:r w:rsidRPr="00722885">
        <w:rPr>
          <w:rFonts w:ascii="Times New Roman" w:cs="Times New Roman"/>
          <w:color w:val="000000" w:themeColor="text1"/>
          <w:spacing w:val="0"/>
          <w:lang w:val="en-US"/>
        </w:rPr>
        <w:t>StuGIIIAusf</w:t>
      </w:r>
      <w:r w:rsidRPr="00722885">
        <w:rPr>
          <w:rFonts w:ascii="Times New Roman" w:cs="Times New Roman"/>
          <w:color w:val="000000" w:themeColor="text1"/>
          <w:spacing w:val="0"/>
        </w:rPr>
        <w:t>.</w:t>
      </w:r>
      <w:r w:rsidRPr="00722885">
        <w:rPr>
          <w:rFonts w:ascii="Times New Roman" w:cs="Times New Roman"/>
          <w:color w:val="000000" w:themeColor="text1"/>
          <w:spacing w:val="0"/>
          <w:lang w:val="en-US"/>
        </w:rPr>
        <w:t>F</w:t>
      </w:r>
      <w:r w:rsidRPr="00722885">
        <w:rPr>
          <w:rFonts w:ascii="Times New Roman" w:cs="Times New Roman"/>
          <w:color w:val="000000" w:themeColor="text1"/>
          <w:spacing w:val="0"/>
        </w:rPr>
        <w:t>/8.</w:t>
      </w:r>
    </w:p>
    <w:p w14:paraId="2ED8632B"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В моторном отделении располагался 12-цилиндровый </w:t>
      </w:r>
      <w:r w:rsidRPr="00722885">
        <w:rPr>
          <w:rFonts w:ascii="Times New Roman" w:cs="Times New Roman"/>
          <w:color w:val="000000" w:themeColor="text1"/>
          <w:spacing w:val="0"/>
          <w:lang w:val="en-US"/>
        </w:rPr>
        <w:t>V</w:t>
      </w:r>
      <w:r w:rsidRPr="00722885">
        <w:rPr>
          <w:rFonts w:ascii="Times New Roman" w:cs="Times New Roman"/>
          <w:color w:val="000000" w:themeColor="text1"/>
          <w:spacing w:val="0"/>
        </w:rPr>
        <w:t>-образный (развал ци</w:t>
      </w:r>
      <w:r w:rsidRPr="00722885">
        <w:rPr>
          <w:rFonts w:ascii="Times New Roman" w:cs="Times New Roman"/>
          <w:color w:val="000000" w:themeColor="text1"/>
          <w:spacing w:val="0"/>
        </w:rPr>
        <w:softHyphen/>
        <w:t>линдров 60°) карбюраторный четырех</w:t>
      </w:r>
      <w:r w:rsidRPr="00722885">
        <w:rPr>
          <w:rFonts w:ascii="Times New Roman" w:cs="Times New Roman"/>
          <w:color w:val="000000" w:themeColor="text1"/>
          <w:spacing w:val="0"/>
        </w:rPr>
        <w:softHyphen/>
        <w:t xml:space="preserve">тактный двигатель </w:t>
      </w:r>
      <w:r w:rsidRPr="00722885">
        <w:rPr>
          <w:rFonts w:ascii="Times New Roman" w:cs="Times New Roman"/>
          <w:color w:val="000000" w:themeColor="text1"/>
          <w:spacing w:val="0"/>
          <w:lang w:val="en-US"/>
        </w:rPr>
        <w:t>HL</w:t>
      </w:r>
      <w:r w:rsidRPr="00722885">
        <w:rPr>
          <w:rFonts w:ascii="Times New Roman" w:cs="Times New Roman"/>
          <w:color w:val="000000" w:themeColor="text1"/>
          <w:spacing w:val="0"/>
        </w:rPr>
        <w:t xml:space="preserve"> 120</w:t>
      </w:r>
      <w:r w:rsidRPr="00722885">
        <w:rPr>
          <w:rFonts w:ascii="Times New Roman" w:cs="Times New Roman"/>
          <w:color w:val="000000" w:themeColor="text1"/>
          <w:spacing w:val="0"/>
          <w:lang w:val="en-US"/>
        </w:rPr>
        <w:t>TRM</w:t>
      </w:r>
      <w:r w:rsidRPr="00722885">
        <w:rPr>
          <w:rFonts w:ascii="Times New Roman" w:cs="Times New Roman"/>
          <w:color w:val="000000" w:themeColor="text1"/>
          <w:spacing w:val="0"/>
        </w:rPr>
        <w:t xml:space="preserve"> мощнос</w:t>
      </w:r>
      <w:r w:rsidRPr="00722885">
        <w:rPr>
          <w:rFonts w:ascii="Times New Roman" w:cs="Times New Roman"/>
          <w:color w:val="000000" w:themeColor="text1"/>
          <w:spacing w:val="0"/>
        </w:rPr>
        <w:softHyphen/>
        <w:t>тью 300 л.с. при 3000 об/мин. Топливо — этилированный бензин с октановым чис</w:t>
      </w:r>
      <w:r w:rsidRPr="00722885">
        <w:rPr>
          <w:rFonts w:ascii="Times New Roman" w:cs="Times New Roman"/>
          <w:color w:val="000000" w:themeColor="text1"/>
          <w:spacing w:val="0"/>
        </w:rPr>
        <w:softHyphen/>
        <w:t>лом не ниже 74. В топливную систему входил один бензобак емкостью 320 л, располагавшийся в кормовой части кор</w:t>
      </w:r>
      <w:r w:rsidRPr="00722885">
        <w:rPr>
          <w:rFonts w:ascii="Times New Roman" w:cs="Times New Roman"/>
          <w:color w:val="000000" w:themeColor="text1"/>
          <w:spacing w:val="0"/>
        </w:rPr>
        <w:softHyphen/>
        <w:t>пуса справа от двигателя.</w:t>
      </w:r>
    </w:p>
    <w:p w14:paraId="3E612BD5" w14:textId="77777777" w:rsidR="00B528D1" w:rsidRPr="00722885" w:rsidRDefault="00B528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Трансмиссия состояла из карданной передачи, главного фрикциона, коробки передач, механизмов поворота и борто</w:t>
      </w:r>
      <w:r w:rsidRPr="00722885">
        <w:rPr>
          <w:rFonts w:ascii="Times New Roman" w:hAnsi="Times New Roman"/>
          <w:color w:val="000000" w:themeColor="text1"/>
          <w:sz w:val="16"/>
          <w:szCs w:val="16"/>
        </w:rPr>
        <w:softHyphen/>
        <w:t>вых передач. На всех машинах использо</w:t>
      </w:r>
      <w:r w:rsidRPr="00722885">
        <w:rPr>
          <w:rFonts w:ascii="Times New Roman" w:hAnsi="Times New Roman"/>
          <w:color w:val="000000" w:themeColor="text1"/>
          <w:sz w:val="16"/>
          <w:szCs w:val="16"/>
        </w:rPr>
        <w:softHyphen/>
        <w:t xml:space="preserve">вались шестискоростные механические коробки передач </w:t>
      </w:r>
      <w:r w:rsidRPr="00722885">
        <w:rPr>
          <w:rFonts w:ascii="Times New Roman" w:hAnsi="Times New Roman"/>
          <w:color w:val="000000" w:themeColor="text1"/>
          <w:sz w:val="16"/>
          <w:szCs w:val="16"/>
          <w:lang w:val="en-US"/>
        </w:rPr>
        <w:t>ZFSSG</w:t>
      </w:r>
      <w:r w:rsidRPr="00722885">
        <w:rPr>
          <w:rFonts w:ascii="Times New Roman" w:hAnsi="Times New Roman"/>
          <w:color w:val="000000" w:themeColor="text1"/>
          <w:sz w:val="16"/>
          <w:szCs w:val="16"/>
        </w:rPr>
        <w:t xml:space="preserve"> 77 </w:t>
      </w:r>
      <w:r w:rsidRPr="00722885">
        <w:rPr>
          <w:rFonts w:ascii="Times New Roman" w:hAnsi="Times New Roman"/>
          <w:color w:val="000000" w:themeColor="text1"/>
          <w:sz w:val="16"/>
          <w:szCs w:val="16"/>
          <w:lang w:val="en-US"/>
        </w:rPr>
        <w:t>Aphon</w:t>
      </w:r>
      <w:r w:rsidRPr="00722885">
        <w:rPr>
          <w:rFonts w:ascii="Times New Roman" w:hAnsi="Times New Roman"/>
          <w:color w:val="000000" w:themeColor="text1"/>
          <w:sz w:val="16"/>
          <w:szCs w:val="16"/>
        </w:rPr>
        <w:t xml:space="preserve"> с трехдисковым сухим главным фрикцио</w:t>
      </w:r>
      <w:r w:rsidRPr="00722885">
        <w:rPr>
          <w:rFonts w:ascii="Times New Roman" w:hAnsi="Times New Roman"/>
          <w:color w:val="000000" w:themeColor="text1"/>
          <w:sz w:val="16"/>
          <w:szCs w:val="16"/>
        </w:rPr>
        <w:softHyphen/>
        <w:t xml:space="preserve">ном механического управления марки </w:t>
      </w:r>
      <w:r w:rsidRPr="00722885">
        <w:rPr>
          <w:rFonts w:ascii="Times New Roman" w:hAnsi="Times New Roman"/>
          <w:color w:val="000000" w:themeColor="text1"/>
          <w:sz w:val="16"/>
          <w:szCs w:val="16"/>
          <w:lang w:val="en-US"/>
        </w:rPr>
        <w:t>Fichtel</w:t>
      </w:r>
      <w:r w:rsidRPr="00722885">
        <w:rPr>
          <w:rFonts w:ascii="Times New Roman" w:hAnsi="Times New Roman"/>
          <w:color w:val="000000" w:themeColor="text1"/>
          <w:sz w:val="16"/>
          <w:szCs w:val="16"/>
        </w:rPr>
        <w:t>&amp;</w:t>
      </w:r>
      <w:r w:rsidRPr="00722885">
        <w:rPr>
          <w:rFonts w:ascii="Times New Roman" w:hAnsi="Times New Roman"/>
          <w:color w:val="000000" w:themeColor="text1"/>
          <w:sz w:val="16"/>
          <w:szCs w:val="16"/>
          <w:lang w:val="en-US"/>
        </w:rPr>
        <w:t>SachsLa</w:t>
      </w:r>
      <w:r w:rsidRPr="00722885">
        <w:rPr>
          <w:rFonts w:ascii="Times New Roman" w:hAnsi="Times New Roman"/>
          <w:color w:val="000000" w:themeColor="text1"/>
          <w:sz w:val="16"/>
          <w:szCs w:val="16"/>
        </w:rPr>
        <w:t xml:space="preserve"> 120 </w:t>
      </w:r>
      <w:r w:rsidRPr="00722885">
        <w:rPr>
          <w:rFonts w:ascii="Times New Roman" w:hAnsi="Times New Roman"/>
          <w:color w:val="000000" w:themeColor="text1"/>
          <w:sz w:val="16"/>
          <w:szCs w:val="16"/>
          <w:lang w:val="en-US"/>
        </w:rPr>
        <w:t>HDA</w:t>
      </w:r>
      <w:r w:rsidRPr="00722885">
        <w:rPr>
          <w:rFonts w:ascii="Times New Roman" w:hAnsi="Times New Roman"/>
          <w:color w:val="000000" w:themeColor="text1"/>
          <w:sz w:val="16"/>
          <w:szCs w:val="16"/>
        </w:rPr>
        <w:t xml:space="preserve"> и механичес</w:t>
      </w:r>
      <w:r w:rsidRPr="00722885">
        <w:rPr>
          <w:rFonts w:ascii="Times New Roman" w:hAnsi="Times New Roman"/>
          <w:color w:val="000000" w:themeColor="text1"/>
          <w:sz w:val="16"/>
          <w:szCs w:val="16"/>
        </w:rPr>
        <w:softHyphen/>
        <w:t>ким или гидравлическим управлением тормозов.</w:t>
      </w:r>
    </w:p>
    <w:p w14:paraId="30DB6199"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Передача вращения от коробки пере</w:t>
      </w:r>
      <w:r w:rsidRPr="00722885">
        <w:rPr>
          <w:rFonts w:ascii="Times New Roman" w:cs="Times New Roman"/>
          <w:color w:val="000000" w:themeColor="text1"/>
          <w:spacing w:val="0"/>
        </w:rPr>
        <w:softHyphen/>
        <w:t>дач бортовым передачам производилась правым и левым одноступенчатыми пла</w:t>
      </w:r>
      <w:r w:rsidRPr="00722885">
        <w:rPr>
          <w:rFonts w:ascii="Times New Roman" w:cs="Times New Roman"/>
          <w:color w:val="000000" w:themeColor="text1"/>
          <w:spacing w:val="0"/>
        </w:rPr>
        <w:softHyphen/>
        <w:t>нетарными механизмами, смонтирован</w:t>
      </w:r>
      <w:r w:rsidRPr="00722885">
        <w:rPr>
          <w:rFonts w:ascii="Times New Roman" w:cs="Times New Roman"/>
          <w:color w:val="000000" w:themeColor="text1"/>
          <w:spacing w:val="0"/>
        </w:rPr>
        <w:softHyphen/>
        <w:t>ными в один агрегат.</w:t>
      </w:r>
    </w:p>
    <w:p w14:paraId="6B3BEE8A"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Ходовая часть состояла, применитель</w:t>
      </w:r>
      <w:r w:rsidRPr="00722885">
        <w:rPr>
          <w:rFonts w:ascii="Times New Roman" w:cs="Times New Roman"/>
          <w:color w:val="000000" w:themeColor="text1"/>
          <w:spacing w:val="0"/>
        </w:rPr>
        <w:softHyphen/>
        <w:t>но к одному борту, из шести сдвоенных обрезиненных опорных катков диамет</w:t>
      </w:r>
      <w:r w:rsidRPr="00722885">
        <w:rPr>
          <w:rFonts w:ascii="Times New Roman" w:cs="Times New Roman"/>
          <w:color w:val="000000" w:themeColor="text1"/>
          <w:spacing w:val="0"/>
        </w:rPr>
        <w:softHyphen/>
        <w:t>ром 520 мм и трех обрезиненных поддер</w:t>
      </w:r>
      <w:r w:rsidRPr="00722885">
        <w:rPr>
          <w:rFonts w:ascii="Times New Roman" w:cs="Times New Roman"/>
          <w:color w:val="000000" w:themeColor="text1"/>
          <w:spacing w:val="0"/>
        </w:rPr>
        <w:softHyphen/>
        <w:t>живающих катков диаметром 310 мм. Подвеска индивидуальная торсионная с гидравлическими телескопическими амортизаторами на 1-ми 6-м опорных катках. Ведущие колеса переднего распо</w:t>
      </w:r>
      <w:r w:rsidRPr="00722885">
        <w:rPr>
          <w:rFonts w:ascii="Times New Roman" w:cs="Times New Roman"/>
          <w:color w:val="000000" w:themeColor="text1"/>
          <w:spacing w:val="0"/>
        </w:rPr>
        <w:softHyphen/>
        <w:t>ложения. Зацепление цевочное. Гусени</w:t>
      </w:r>
      <w:r w:rsidRPr="00722885">
        <w:rPr>
          <w:rFonts w:ascii="Times New Roman" w:cs="Times New Roman"/>
          <w:color w:val="000000" w:themeColor="text1"/>
          <w:spacing w:val="0"/>
        </w:rPr>
        <w:softHyphen/>
        <w:t>цы стальные, мелкозвенчатые, из 93 — 94 одногребневых траков каждая (15232).</w:t>
      </w:r>
    </w:p>
    <w:p w14:paraId="753B1AAB"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p>
    <w:p w14:paraId="777AF9BE" w14:textId="77777777" w:rsidR="00044450" w:rsidRPr="00722885" w:rsidRDefault="00044450" w:rsidP="00722885">
      <w:pPr>
        <w:pStyle w:val="ae"/>
        <w:spacing w:before="0" w:after="0"/>
        <w:jc w:val="both"/>
        <w:rPr>
          <w:color w:val="000000" w:themeColor="text1"/>
          <w:sz w:val="16"/>
          <w:szCs w:val="16"/>
        </w:rPr>
      </w:pPr>
      <w:r w:rsidRPr="00722885">
        <w:rPr>
          <w:color w:val="000000" w:themeColor="text1"/>
          <w:sz w:val="16"/>
          <w:szCs w:val="16"/>
        </w:rPr>
        <w:t>В октябре 1942 года в Констанцу пришла U-24. Затем U-9 и U-19.</w:t>
      </w:r>
    </w:p>
    <w:p w14:paraId="43CBF651" w14:textId="77777777" w:rsidR="00044450" w:rsidRPr="00722885" w:rsidRDefault="00044450" w:rsidP="00722885">
      <w:pPr>
        <w:pStyle w:val="ae"/>
        <w:spacing w:before="0" w:after="0"/>
        <w:jc w:val="both"/>
        <w:rPr>
          <w:color w:val="000000" w:themeColor="text1"/>
          <w:sz w:val="16"/>
          <w:szCs w:val="16"/>
        </w:rPr>
      </w:pPr>
      <w:r w:rsidRPr="00722885">
        <w:rPr>
          <w:color w:val="000000" w:themeColor="text1"/>
          <w:sz w:val="16"/>
          <w:szCs w:val="16"/>
        </w:rPr>
        <w:t xml:space="preserve">Еще в Германии U-9, U-19 и U-24 подготовили к перевозке — убрали рубки и вытащили из кораблей всё, что можно. В результате 250-тонные «двойки» изрядно похудели. Их аккуратно погрузили на понтоны и доставили Каналом кайзера Вильгельма из Киля в Гамбург. Оттуда речные буксиры вышли в Эльбу, по которой потащили понтоны с «двойками» к Дрездену — там река пересекалась с имперским автобаном. Дальше лодки вытащили на сушу и погрузили на огромные автоплатформы. Платформы имели 32 низких и широких колеса, каждое из которых выдерживало до 60 тонн. А роль «мулов» взяли на себя мощные автотягачи марок «Келбле» и «Фаун». Буксируя платформы с субмаринами перевозили со скоростью восемь км/ч. Автокараван преодолел более трёхсот километров и прибыл в </w:t>
      </w:r>
      <w:r w:rsidRPr="00722885">
        <w:rPr>
          <w:color w:val="000000" w:themeColor="text1"/>
          <w:sz w:val="16"/>
          <w:szCs w:val="16"/>
        </w:rPr>
        <w:lastRenderedPageBreak/>
        <w:t>Ингольштадт. Здесь «двойки» снова погрузили на понтоны, чтобы доставить их в румынский Галац по Дунаю. Буксирам удалось дотащить понтоны до Галаца, где на местной верфи немецкие специалисты вернули «двойкам» их прежний вид.</w:t>
      </w:r>
    </w:p>
    <w:p w14:paraId="02B56ADB" w14:textId="77777777" w:rsidR="00044450" w:rsidRPr="00722885" w:rsidRDefault="00044450" w:rsidP="00722885">
      <w:pPr>
        <w:pStyle w:val="ae"/>
        <w:spacing w:before="0" w:after="0"/>
        <w:jc w:val="both"/>
        <w:rPr>
          <w:color w:val="000000" w:themeColor="text1"/>
          <w:sz w:val="16"/>
          <w:szCs w:val="16"/>
        </w:rPr>
      </w:pPr>
      <w:r w:rsidRPr="00722885">
        <w:rPr>
          <w:color w:val="000000" w:themeColor="text1"/>
          <w:sz w:val="16"/>
          <w:szCs w:val="16"/>
        </w:rPr>
        <w:t>После сборки каждая из них своим ходом спускалась по Дунаю к Чёрному морю, а затем переходила к Констанце.</w:t>
      </w:r>
    </w:p>
    <w:p w14:paraId="04D0F67B" w14:textId="77777777" w:rsidR="00044450" w:rsidRPr="00722885" w:rsidRDefault="00044450" w:rsidP="00722885">
      <w:pPr>
        <w:pStyle w:val="ae"/>
        <w:spacing w:before="0" w:after="0"/>
        <w:jc w:val="both"/>
        <w:rPr>
          <w:color w:val="000000" w:themeColor="text1"/>
          <w:sz w:val="16"/>
          <w:szCs w:val="16"/>
        </w:rPr>
      </w:pPr>
      <w:r w:rsidRPr="00722885">
        <w:rPr>
          <w:color w:val="000000" w:themeColor="text1"/>
          <w:sz w:val="16"/>
          <w:szCs w:val="16"/>
        </w:rPr>
        <w:t>После успеха этой необычной операции гросс-адмирал Редер попросил у фюрера средства на переброску ещё трёх «двоек». 26 августа 1942 года Гитлер дал «добро» на их транспортировку.</w:t>
      </w:r>
    </w:p>
    <w:p w14:paraId="5F8C7286" w14:textId="77777777" w:rsidR="00044450" w:rsidRPr="00722885" w:rsidRDefault="00044450" w:rsidP="00722885">
      <w:pPr>
        <w:pStyle w:val="ae"/>
        <w:spacing w:before="0" w:after="0"/>
        <w:jc w:val="both"/>
        <w:rPr>
          <w:color w:val="000000" w:themeColor="text1"/>
          <w:sz w:val="16"/>
          <w:szCs w:val="16"/>
        </w:rPr>
      </w:pPr>
      <w:r w:rsidRPr="00722885">
        <w:rPr>
          <w:color w:val="000000" w:themeColor="text1"/>
          <w:sz w:val="16"/>
          <w:szCs w:val="16"/>
        </w:rPr>
        <w:t>В результате таким же путём к весне 1943 года в Констанце оказались U-18, U-20 и U-23. Они влились в ряды уже сформированной 30-й подводной флотилии, которой командовал известный подводный ас Гельмут Розенбаум.</w:t>
      </w:r>
    </w:p>
    <w:p w14:paraId="2A126519" w14:textId="77777777" w:rsidR="00044450" w:rsidRPr="00722885" w:rsidRDefault="00044450" w:rsidP="00722885">
      <w:pPr>
        <w:pStyle w:val="ae"/>
        <w:spacing w:before="0" w:after="0"/>
        <w:jc w:val="both"/>
        <w:rPr>
          <w:color w:val="000000" w:themeColor="text1"/>
          <w:sz w:val="16"/>
          <w:szCs w:val="16"/>
        </w:rPr>
      </w:pPr>
      <w:r w:rsidRPr="00722885">
        <w:rPr>
          <w:color w:val="000000" w:themeColor="text1"/>
          <w:sz w:val="16"/>
          <w:szCs w:val="16"/>
        </w:rPr>
        <w:t>Шесть подлодок действовали на Чёрном море до середины 1944 года. Но немецкие подводники не добились там громких успехов, в отличие от коллег в Атлантике. Их результативность оказалась невелика.</w:t>
      </w:r>
    </w:p>
    <w:p w14:paraId="1EBD4640" w14:textId="77777777" w:rsidR="00044450" w:rsidRPr="00722885" w:rsidRDefault="00044450" w:rsidP="00722885">
      <w:pPr>
        <w:pStyle w:val="ae"/>
        <w:spacing w:before="0" w:after="0"/>
        <w:jc w:val="both"/>
        <w:rPr>
          <w:color w:val="000000" w:themeColor="text1"/>
          <w:sz w:val="16"/>
          <w:szCs w:val="16"/>
        </w:rPr>
      </w:pPr>
      <w:r w:rsidRPr="00722885">
        <w:rPr>
          <w:color w:val="000000" w:themeColor="text1"/>
          <w:sz w:val="16"/>
          <w:szCs w:val="16"/>
        </w:rPr>
        <w:t>Флотилия прекратила своё существование после выхода Румынии из войны, в сентябре 1944 года. Три «двойки» погибли в гавани Констанцы от советских бомб (U-9 потоплена, U-18 и U-24 тяжело повреждены и затоплены экипажами), остальные три были затоплены своими экипажами у побережья Турции.</w:t>
      </w:r>
    </w:p>
    <w:p w14:paraId="5E3CDABE" w14:textId="77777777" w:rsidR="00044450" w:rsidRPr="00722885" w:rsidRDefault="00044450" w:rsidP="00722885">
      <w:pPr>
        <w:pStyle w:val="ae"/>
        <w:spacing w:before="0" w:after="0"/>
        <w:jc w:val="both"/>
        <w:rPr>
          <w:color w:val="000000" w:themeColor="text1"/>
          <w:sz w:val="16"/>
          <w:szCs w:val="16"/>
        </w:rPr>
      </w:pPr>
      <w:r w:rsidRPr="00722885">
        <w:rPr>
          <w:color w:val="000000" w:themeColor="text1"/>
          <w:sz w:val="16"/>
          <w:szCs w:val="16"/>
        </w:rPr>
        <w:t>Позже аварийно-спасательная служба Черноморского флота подняла со дна румынской гавани U-9, U-18 и U-24. «Немок» включили в состав советских ВМС, но ненадолго. В 1946 году U-9 сдали на слом, а годом позже две другие «двойки» потопили на учениях как корабли-мишени (19685).</w:t>
      </w:r>
    </w:p>
    <w:p w14:paraId="5FA08E87" w14:textId="77777777" w:rsidR="00044450" w:rsidRPr="00722885" w:rsidRDefault="00044450" w:rsidP="00722885">
      <w:pPr>
        <w:pStyle w:val="ae"/>
        <w:spacing w:before="0" w:after="0"/>
        <w:jc w:val="both"/>
        <w:rPr>
          <w:color w:val="000000" w:themeColor="text1"/>
          <w:sz w:val="16"/>
          <w:szCs w:val="16"/>
        </w:rPr>
      </w:pPr>
    </w:p>
    <w:p w14:paraId="2D88B3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 1942 в Англии заложили 12 миниподлдок серии ХЕ, а с августа начали подготовку экипажей (3961, 69).</w:t>
      </w:r>
    </w:p>
    <w:p w14:paraId="70526349" w14:textId="77777777" w:rsidR="00090C9B" w:rsidRPr="00722885" w:rsidRDefault="00090C9B" w:rsidP="00722885">
      <w:pPr>
        <w:pStyle w:val="Iauiue"/>
        <w:jc w:val="both"/>
        <w:rPr>
          <w:color w:val="000000" w:themeColor="text1"/>
          <w:sz w:val="16"/>
          <w:szCs w:val="16"/>
        </w:rPr>
      </w:pPr>
    </w:p>
    <w:p w14:paraId="23B7E61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10238CC" w14:textId="77777777" w:rsidR="00090C9B" w:rsidRPr="00722885" w:rsidRDefault="00090C9B" w:rsidP="00722885">
      <w:pPr>
        <w:pStyle w:val="Iauiue"/>
        <w:jc w:val="both"/>
        <w:rPr>
          <w:iCs/>
          <w:color w:val="000000" w:themeColor="text1"/>
          <w:sz w:val="16"/>
          <w:szCs w:val="16"/>
        </w:rPr>
      </w:pPr>
    </w:p>
    <w:p w14:paraId="67395456" w14:textId="77777777" w:rsidR="000D4AE1" w:rsidRPr="00722885" w:rsidRDefault="000D4AE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октября — декабря 1942 г. в НИИ ВВС проходи</w:t>
      </w:r>
      <w:r w:rsidRPr="00722885">
        <w:rPr>
          <w:rFonts w:ascii="Times New Roman" w:hAnsi="Times New Roman"/>
          <w:color w:val="000000" w:themeColor="text1"/>
          <w:sz w:val="16"/>
          <w:szCs w:val="16"/>
        </w:rPr>
        <w:softHyphen/>
        <w:t>ли контрольные испытания серийные самолеты Ил-2 произ</w:t>
      </w:r>
      <w:r w:rsidRPr="00722885">
        <w:rPr>
          <w:rFonts w:ascii="Times New Roman" w:hAnsi="Times New Roman"/>
          <w:color w:val="000000" w:themeColor="text1"/>
          <w:sz w:val="16"/>
          <w:szCs w:val="16"/>
        </w:rPr>
        <w:softHyphen/>
        <w:t>водства заводов № 18 и № 30 в двухместном и одноместном ва</w:t>
      </w:r>
      <w:r w:rsidRPr="00722885">
        <w:rPr>
          <w:rFonts w:ascii="Times New Roman" w:hAnsi="Times New Roman"/>
          <w:color w:val="000000" w:themeColor="text1"/>
          <w:sz w:val="16"/>
          <w:szCs w:val="16"/>
        </w:rPr>
        <w:softHyphen/>
        <w:t>рианте. Самолеты испытывались на определение минималь</w:t>
      </w:r>
      <w:r w:rsidRPr="00722885">
        <w:rPr>
          <w:rFonts w:ascii="Times New Roman" w:hAnsi="Times New Roman"/>
          <w:color w:val="000000" w:themeColor="text1"/>
          <w:sz w:val="16"/>
          <w:szCs w:val="16"/>
        </w:rPr>
        <w:softHyphen/>
        <w:t>ной скорости горизонтального полета, скороподъемности и горизонтальной скорости по высотам, на парашютирование, пикирование и штопор. Летал летчик-испытатель полковник К.М. Кабанов.</w:t>
      </w:r>
    </w:p>
    <w:p w14:paraId="1D655C6F" w14:textId="77777777" w:rsidR="000D4AE1" w:rsidRPr="00722885" w:rsidRDefault="000D4AE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Минимальная скорость виража с креном 50 оказалась равной 240 км/ч по прибору. На этой скорости при незначительном пе</w:t>
      </w:r>
      <w:r w:rsidRPr="00722885">
        <w:rPr>
          <w:rFonts w:ascii="Times New Roman" w:hAnsi="Times New Roman"/>
          <w:color w:val="000000" w:themeColor="text1"/>
          <w:sz w:val="16"/>
          <w:szCs w:val="16"/>
        </w:rPr>
        <w:softHyphen/>
        <w:t>ретягивании ручки управления на себя двухместный Ил-2 сры</w:t>
      </w:r>
      <w:r w:rsidRPr="00722885">
        <w:rPr>
          <w:rFonts w:ascii="Times New Roman" w:hAnsi="Times New Roman"/>
          <w:color w:val="000000" w:themeColor="text1"/>
          <w:sz w:val="16"/>
          <w:szCs w:val="16"/>
        </w:rPr>
        <w:softHyphen/>
        <w:t>вался в штопор, причем срыв в штопор происходил практически мгновенно.</w:t>
      </w:r>
    </w:p>
    <w:p w14:paraId="5497C519" w14:textId="77777777" w:rsidR="000D4AE1" w:rsidRPr="00722885" w:rsidRDefault="000D4AE1"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Ил-2 вошел в штопор со стрелком, бомбовой нагруз</w:t>
      </w:r>
      <w:r w:rsidRPr="00722885">
        <w:rPr>
          <w:rFonts w:ascii="Times New Roman" w:hAnsi="Times New Roman"/>
          <w:color w:val="000000" w:themeColor="text1"/>
          <w:sz w:val="16"/>
          <w:szCs w:val="16"/>
        </w:rPr>
        <w:softHyphen/>
        <w:t>кой и горючим, выработанным наполовину, то уже на первом витке самолет стремился увеличить угол, нагрузка на ручку управления резко возрастала, и летчику приходилось прикла</w:t>
      </w:r>
      <w:r w:rsidRPr="00722885">
        <w:rPr>
          <w:rFonts w:ascii="Times New Roman" w:hAnsi="Times New Roman"/>
          <w:color w:val="000000" w:themeColor="text1"/>
          <w:sz w:val="16"/>
          <w:szCs w:val="16"/>
        </w:rPr>
        <w:softHyphen/>
        <w:t>дывать значительные усилия, чтобы отдать ее от себя. На вто</w:t>
      </w:r>
      <w:r w:rsidRPr="00722885">
        <w:rPr>
          <w:rFonts w:ascii="Times New Roman" w:hAnsi="Times New Roman"/>
          <w:color w:val="000000" w:themeColor="text1"/>
          <w:sz w:val="16"/>
          <w:szCs w:val="16"/>
        </w:rPr>
        <w:softHyphen/>
        <w:t>ром витке тенденция к переходу в плоский штопор у самолета усиливалась, нагрузка на ручку управления возрастала еще больше. Потеря высоты за два витка с выходом в горизон</w:t>
      </w:r>
      <w:r w:rsidRPr="00722885">
        <w:rPr>
          <w:rFonts w:ascii="Times New Roman" w:hAnsi="Times New Roman"/>
          <w:color w:val="000000" w:themeColor="text1"/>
          <w:sz w:val="16"/>
          <w:szCs w:val="16"/>
        </w:rPr>
        <w:softHyphen/>
        <w:t>тальный полет составляла 900 м при скорости на выходе 280—300 км/ч по прибору. Запаздывание при выводе — полвитка. При выполнении трех витков штопора потеря высоты равнялась 1000—1100 м, а скорость на выводе увеличивалась до 340—350 км/ч по прибору. Причем при выводе, как правило, возникала вибрация рулей управления самолетом, а сам штур</w:t>
      </w:r>
      <w:r w:rsidRPr="00722885">
        <w:rPr>
          <w:rFonts w:ascii="Times New Roman" w:hAnsi="Times New Roman"/>
          <w:color w:val="000000" w:themeColor="text1"/>
          <w:sz w:val="16"/>
          <w:szCs w:val="16"/>
        </w:rPr>
        <w:softHyphen/>
        <w:t>мовик стремился увеличить угол с последующим переходом в плоский штопор (11474,299).</w:t>
      </w:r>
    </w:p>
    <w:p w14:paraId="5D712174" w14:textId="77777777" w:rsidR="000D4AE1" w:rsidRPr="00722885" w:rsidRDefault="000D4AE1" w:rsidP="00722885">
      <w:pPr>
        <w:shd w:val="clear" w:color="auto" w:fill="FFFFFF"/>
        <w:spacing w:after="0" w:line="240" w:lineRule="auto"/>
        <w:jc w:val="both"/>
        <w:rPr>
          <w:rFonts w:ascii="Times New Roman" w:hAnsi="Times New Roman"/>
          <w:color w:val="000000" w:themeColor="text1"/>
          <w:sz w:val="16"/>
          <w:szCs w:val="16"/>
        </w:rPr>
      </w:pPr>
    </w:p>
    <w:p w14:paraId="2D49D8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октябре-ноябре 1942 на опытном Як-5 и модифицированном серийном Як-7 N 21-70 с М-105ПД проводили летные испытания автомата управления турбомуфтами конструкции ЦИАМ. Выполнили 27 полетов продолжительностью 18:10. Положительных результатов не было (65,98).</w:t>
      </w:r>
    </w:p>
    <w:p w14:paraId="04FFCFA6" w14:textId="77777777" w:rsidR="00090C9B" w:rsidRPr="00722885" w:rsidRDefault="00090C9B" w:rsidP="00722885">
      <w:pPr>
        <w:pStyle w:val="Iauiue"/>
        <w:jc w:val="both"/>
        <w:rPr>
          <w:color w:val="000000" w:themeColor="text1"/>
          <w:sz w:val="16"/>
          <w:szCs w:val="16"/>
        </w:rPr>
      </w:pPr>
    </w:p>
    <w:p w14:paraId="64CDB9D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ок</w:t>
      </w:r>
      <w:r w:rsidRPr="00722885">
        <w:rPr>
          <w:rFonts w:ascii="Times New Roman" w:hAnsi="Times New Roman"/>
          <w:color w:val="000000" w:themeColor="text1"/>
          <w:sz w:val="16"/>
          <w:szCs w:val="16"/>
        </w:rPr>
        <w:softHyphen/>
        <w:t>тябрь-ноябрь 1942 года в ЦАГИ под</w:t>
      </w:r>
      <w:r w:rsidRPr="00722885">
        <w:rPr>
          <w:rFonts w:ascii="Times New Roman" w:hAnsi="Times New Roman"/>
          <w:color w:val="000000" w:themeColor="text1"/>
          <w:sz w:val="16"/>
          <w:szCs w:val="16"/>
        </w:rPr>
        <w:softHyphen/>
        <w:t>вергался испытаниям в аэродинами</w:t>
      </w:r>
      <w:r w:rsidRPr="00722885">
        <w:rPr>
          <w:rFonts w:ascii="Times New Roman" w:hAnsi="Times New Roman"/>
          <w:color w:val="000000" w:themeColor="text1"/>
          <w:sz w:val="16"/>
          <w:szCs w:val="16"/>
        </w:rPr>
        <w:softHyphen/>
        <w:t>ческих трубах Т-101 и Т-104 серий</w:t>
      </w:r>
      <w:r w:rsidRPr="00722885">
        <w:rPr>
          <w:rFonts w:ascii="Times New Roman" w:hAnsi="Times New Roman"/>
          <w:color w:val="000000" w:themeColor="text1"/>
          <w:sz w:val="16"/>
          <w:szCs w:val="16"/>
        </w:rPr>
        <w:softHyphen/>
        <w:t>ный самолет Ла-5 №37210514 с це</w:t>
      </w:r>
      <w:r w:rsidRPr="00722885">
        <w:rPr>
          <w:rFonts w:ascii="Times New Roman" w:hAnsi="Times New Roman"/>
          <w:color w:val="000000" w:themeColor="text1"/>
          <w:sz w:val="16"/>
          <w:szCs w:val="16"/>
        </w:rPr>
        <w:softHyphen/>
        <w:t>лью изыскания мероприятий по улуч</w:t>
      </w:r>
      <w:r w:rsidRPr="00722885">
        <w:rPr>
          <w:rFonts w:ascii="Times New Roman" w:hAnsi="Times New Roman"/>
          <w:color w:val="000000" w:themeColor="text1"/>
          <w:sz w:val="16"/>
          <w:szCs w:val="16"/>
        </w:rPr>
        <w:softHyphen/>
        <w:t>шению его летных характеристик. В рамках этих испытаний было вы</w:t>
      </w:r>
      <w:r w:rsidRPr="00722885">
        <w:rPr>
          <w:rFonts w:ascii="Times New Roman" w:hAnsi="Times New Roman"/>
          <w:color w:val="000000" w:themeColor="text1"/>
          <w:sz w:val="16"/>
          <w:szCs w:val="16"/>
        </w:rPr>
        <w:softHyphen/>
        <w:t>явлено, что максимальные скорости Ла-5 на 2-й границе высотности практи</w:t>
      </w:r>
      <w:r w:rsidRPr="00722885">
        <w:rPr>
          <w:rFonts w:ascii="Times New Roman" w:hAnsi="Times New Roman"/>
          <w:color w:val="000000" w:themeColor="text1"/>
          <w:sz w:val="16"/>
          <w:szCs w:val="16"/>
        </w:rPr>
        <w:softHyphen/>
        <w:t>чески не дают прироста по сравнению с максимальными скоростями на 1-й границе из-за неудовлетворительной работы мотора М-82 на 2-й скорости нагнетателя. Предположили, что падение мощно</w:t>
      </w:r>
      <w:r w:rsidRPr="00722885">
        <w:rPr>
          <w:rFonts w:ascii="Times New Roman" w:hAnsi="Times New Roman"/>
          <w:color w:val="000000" w:themeColor="text1"/>
          <w:sz w:val="16"/>
          <w:szCs w:val="16"/>
        </w:rPr>
        <w:softHyphen/>
        <w:t>сти мотора М-82 на 2-й границе вы</w:t>
      </w:r>
      <w:r w:rsidRPr="00722885">
        <w:rPr>
          <w:rFonts w:ascii="Times New Roman" w:hAnsi="Times New Roman"/>
          <w:color w:val="000000" w:themeColor="text1"/>
          <w:sz w:val="16"/>
          <w:szCs w:val="16"/>
        </w:rPr>
        <w:softHyphen/>
        <w:t>сотности происходит из-за сильного обогащения горючей смеси. С целью подтверждения этого факта в декабре 1942 года в аэродинамической трубе Т-104 были проведены испытания мо</w:t>
      </w:r>
      <w:r w:rsidRPr="00722885">
        <w:rPr>
          <w:rFonts w:ascii="Times New Roman" w:hAnsi="Times New Roman"/>
          <w:color w:val="000000" w:themeColor="text1"/>
          <w:sz w:val="16"/>
          <w:szCs w:val="16"/>
        </w:rPr>
        <w:softHyphen/>
        <w:t>тора М-82 №112 2-й серии, установ</w:t>
      </w:r>
      <w:r w:rsidRPr="00722885">
        <w:rPr>
          <w:rFonts w:ascii="Times New Roman" w:hAnsi="Times New Roman"/>
          <w:color w:val="000000" w:themeColor="text1"/>
          <w:sz w:val="16"/>
          <w:szCs w:val="16"/>
        </w:rPr>
        <w:softHyphen/>
        <w:t>ленного на самолете Ла-5. Испытания проводились на номинальном режиме работы мотора п=2400 об/мин и Рк=950 мм рт.ст. на обеих скоростях нагнетателя при различных составах горючей смеси, характеризующихся из</w:t>
      </w:r>
      <w:r w:rsidRPr="00722885">
        <w:rPr>
          <w:rFonts w:ascii="Times New Roman" w:hAnsi="Times New Roman"/>
          <w:color w:val="000000" w:themeColor="text1"/>
          <w:sz w:val="16"/>
          <w:szCs w:val="16"/>
        </w:rPr>
        <w:softHyphen/>
        <w:t>менением коэффициентов избытка воз</w:t>
      </w:r>
      <w:r w:rsidRPr="00722885">
        <w:rPr>
          <w:rFonts w:ascii="Times New Roman" w:hAnsi="Times New Roman"/>
          <w:color w:val="000000" w:themeColor="text1"/>
          <w:sz w:val="16"/>
          <w:szCs w:val="16"/>
        </w:rPr>
        <w:softHyphen/>
        <w:t>духа а от 0,55 до 0,865 на 1 -и скоро</w:t>
      </w:r>
      <w:r w:rsidRPr="00722885">
        <w:rPr>
          <w:rFonts w:ascii="Times New Roman" w:hAnsi="Times New Roman"/>
          <w:color w:val="000000" w:themeColor="text1"/>
          <w:sz w:val="16"/>
          <w:szCs w:val="16"/>
        </w:rPr>
        <w:softHyphen/>
        <w:t>сти и от 0,51 до 0,765 на 2-й скорос</w:t>
      </w:r>
      <w:r w:rsidRPr="00722885">
        <w:rPr>
          <w:rFonts w:ascii="Times New Roman" w:hAnsi="Times New Roman"/>
          <w:color w:val="000000" w:themeColor="text1"/>
          <w:sz w:val="16"/>
          <w:szCs w:val="16"/>
        </w:rPr>
        <w:softHyphen/>
        <w:t>ти. Определялась величина потери мощности с изменением состава сме</w:t>
      </w:r>
      <w:r w:rsidRPr="00722885">
        <w:rPr>
          <w:rFonts w:ascii="Times New Roman" w:hAnsi="Times New Roman"/>
          <w:color w:val="000000" w:themeColor="text1"/>
          <w:sz w:val="16"/>
          <w:szCs w:val="16"/>
        </w:rPr>
        <w:softHyphen/>
        <w:t>си. Вывод ЦАГИ: сильное обогащение горючей смеси до а=0,55 при рабо</w:t>
      </w:r>
      <w:r w:rsidRPr="00722885">
        <w:rPr>
          <w:rFonts w:ascii="Times New Roman" w:hAnsi="Times New Roman"/>
          <w:color w:val="000000" w:themeColor="text1"/>
          <w:sz w:val="16"/>
          <w:szCs w:val="16"/>
        </w:rPr>
        <w:softHyphen/>
        <w:t>те мотора на 2-й скорости нагнета</w:t>
      </w:r>
      <w:r w:rsidRPr="00722885">
        <w:rPr>
          <w:rFonts w:ascii="Times New Roman" w:hAnsi="Times New Roman"/>
          <w:color w:val="000000" w:themeColor="text1"/>
          <w:sz w:val="16"/>
          <w:szCs w:val="16"/>
        </w:rPr>
        <w:softHyphen/>
        <w:t>теля (которое имеет место в полете), приводит к уменьшению мощности на 25-30%, а, следовательно, и к зна</w:t>
      </w:r>
      <w:r w:rsidRPr="00722885">
        <w:rPr>
          <w:rFonts w:ascii="Times New Roman" w:hAnsi="Times New Roman"/>
          <w:color w:val="000000" w:themeColor="text1"/>
          <w:sz w:val="16"/>
          <w:szCs w:val="16"/>
        </w:rPr>
        <w:softHyphen/>
        <w:t>чительному уменьшению скорости са</w:t>
      </w:r>
      <w:r w:rsidRPr="00722885">
        <w:rPr>
          <w:rFonts w:ascii="Times New Roman" w:hAnsi="Times New Roman"/>
          <w:color w:val="000000" w:themeColor="text1"/>
          <w:sz w:val="16"/>
          <w:szCs w:val="16"/>
        </w:rPr>
        <w:softHyphen/>
        <w:t>молета. Аналогичные результаты были по</w:t>
      </w:r>
      <w:r w:rsidRPr="00722885">
        <w:rPr>
          <w:rFonts w:ascii="Times New Roman" w:hAnsi="Times New Roman"/>
          <w:color w:val="000000" w:themeColor="text1"/>
          <w:sz w:val="16"/>
          <w:szCs w:val="16"/>
        </w:rPr>
        <w:softHyphen/>
        <w:t>лучены и в ЦИАМе. Для исправления этого недостатка завод №33 предложил клапан взле</w:t>
      </w:r>
      <w:r w:rsidRPr="00722885">
        <w:rPr>
          <w:rFonts w:ascii="Times New Roman" w:hAnsi="Times New Roman"/>
          <w:color w:val="000000" w:themeColor="text1"/>
          <w:sz w:val="16"/>
          <w:szCs w:val="16"/>
        </w:rPr>
        <w:softHyphen/>
        <w:t>та МВ-1, а ЦИАМ - «обогатитель взле</w:t>
      </w:r>
      <w:r w:rsidRPr="00722885">
        <w:rPr>
          <w:rFonts w:ascii="Times New Roman" w:hAnsi="Times New Roman"/>
          <w:color w:val="000000" w:themeColor="text1"/>
          <w:sz w:val="16"/>
          <w:szCs w:val="16"/>
        </w:rPr>
        <w:softHyphen/>
        <w:t>та». Первый был очень прост по кон</w:t>
      </w:r>
      <w:r w:rsidRPr="00722885">
        <w:rPr>
          <w:rFonts w:ascii="Times New Roman" w:hAnsi="Times New Roman"/>
          <w:color w:val="000000" w:themeColor="text1"/>
          <w:sz w:val="16"/>
          <w:szCs w:val="16"/>
        </w:rPr>
        <w:softHyphen/>
        <w:t>струкции и включал экономайзер только при работе мотора на режиме взле</w:t>
      </w:r>
      <w:r w:rsidRPr="00722885">
        <w:rPr>
          <w:rFonts w:ascii="Times New Roman" w:hAnsi="Times New Roman"/>
          <w:color w:val="000000" w:themeColor="text1"/>
          <w:sz w:val="16"/>
          <w:szCs w:val="16"/>
        </w:rPr>
        <w:softHyphen/>
        <w:t>та. Второй был более сложен и трудо</w:t>
      </w:r>
      <w:r w:rsidRPr="00722885">
        <w:rPr>
          <w:rFonts w:ascii="Times New Roman" w:hAnsi="Times New Roman"/>
          <w:color w:val="000000" w:themeColor="text1"/>
          <w:sz w:val="16"/>
          <w:szCs w:val="16"/>
        </w:rPr>
        <w:softHyphen/>
        <w:t>емок в изготовлении, и полностью исключал экономайзер из системы кар</w:t>
      </w:r>
      <w:r w:rsidRPr="00722885">
        <w:rPr>
          <w:rFonts w:ascii="Times New Roman" w:hAnsi="Times New Roman"/>
          <w:color w:val="000000" w:themeColor="text1"/>
          <w:sz w:val="16"/>
          <w:szCs w:val="16"/>
        </w:rPr>
        <w:softHyphen/>
        <w:t>бюратора. Впрочем, различия их кон</w:t>
      </w:r>
      <w:r w:rsidRPr="00722885">
        <w:rPr>
          <w:rFonts w:ascii="Times New Roman" w:hAnsi="Times New Roman"/>
          <w:color w:val="000000" w:themeColor="text1"/>
          <w:sz w:val="16"/>
          <w:szCs w:val="16"/>
        </w:rPr>
        <w:softHyphen/>
        <w:t>струкции не повлияли на результат -испытания обоих на моторе и на само</w:t>
      </w:r>
      <w:r w:rsidRPr="00722885">
        <w:rPr>
          <w:rFonts w:ascii="Times New Roman" w:hAnsi="Times New Roman"/>
          <w:color w:val="000000" w:themeColor="text1"/>
          <w:sz w:val="16"/>
          <w:szCs w:val="16"/>
        </w:rPr>
        <w:softHyphen/>
        <w:t>лете в полете дали неудовлетворитель</w:t>
      </w:r>
      <w:r w:rsidRPr="00722885">
        <w:rPr>
          <w:rFonts w:ascii="Times New Roman" w:hAnsi="Times New Roman"/>
          <w:color w:val="000000" w:themeColor="text1"/>
          <w:sz w:val="16"/>
          <w:szCs w:val="16"/>
        </w:rPr>
        <w:softHyphen/>
        <w:t>ные результаты. Пожалуй, единственным положитель</w:t>
      </w:r>
      <w:r w:rsidRPr="00722885">
        <w:rPr>
          <w:rFonts w:ascii="Times New Roman" w:hAnsi="Times New Roman"/>
          <w:color w:val="000000" w:themeColor="text1"/>
          <w:sz w:val="16"/>
          <w:szCs w:val="16"/>
        </w:rPr>
        <w:softHyphen/>
        <w:t>ным результатом всех этих усилий стала выпущенная заводом №33 ин</w:t>
      </w:r>
      <w:r w:rsidRPr="00722885">
        <w:rPr>
          <w:rFonts w:ascii="Times New Roman" w:hAnsi="Times New Roman"/>
          <w:color w:val="000000" w:themeColor="text1"/>
          <w:sz w:val="16"/>
          <w:szCs w:val="16"/>
        </w:rPr>
        <w:softHyphen/>
        <w:t>струкция по регулировке карбюрато</w:t>
      </w:r>
      <w:r w:rsidRPr="00722885">
        <w:rPr>
          <w:rFonts w:ascii="Times New Roman" w:hAnsi="Times New Roman"/>
          <w:color w:val="000000" w:themeColor="text1"/>
          <w:sz w:val="16"/>
          <w:szCs w:val="16"/>
        </w:rPr>
        <w:softHyphen/>
        <w:t>ра АК-82БП в аэродромных условиях с помощью переносного газоанали</w:t>
      </w:r>
      <w:r w:rsidRPr="00722885">
        <w:rPr>
          <w:rFonts w:ascii="Times New Roman" w:hAnsi="Times New Roman"/>
          <w:color w:val="000000" w:themeColor="text1"/>
          <w:sz w:val="16"/>
          <w:szCs w:val="16"/>
        </w:rPr>
        <w:softHyphen/>
        <w:t>затора - штатные газоанализаторы на серийные самолеты Ла-5 не уста</w:t>
      </w:r>
      <w:r w:rsidRPr="00722885">
        <w:rPr>
          <w:rFonts w:ascii="Times New Roman" w:hAnsi="Times New Roman"/>
          <w:color w:val="000000" w:themeColor="text1"/>
          <w:sz w:val="16"/>
          <w:szCs w:val="16"/>
        </w:rPr>
        <w:softHyphen/>
        <w:t>навливали (10705).</w:t>
      </w:r>
    </w:p>
    <w:p w14:paraId="435E6EB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8C9B8D3"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октябре-ноябре 1942 г. в аэродинамических трубах Т-101 и Т-104 провели исследования серийного самолета Ла-5 № 37210514 «с целью изыскания мероприятий по улучшению его летных характеристик». Выявилось, что максимальные скорости на 2-й границе высотности практически не дают прироста по сравнению с максимальными скоростями на 1-й границе из-за неудовлетворительной работы мотора М-82. Предположили, что падение мощности происходит из-за сильного обогащения горючей смеси. С целью подтверждения этого факта в декабре 1942 г. в аэродинамической трубе Т-104 провели испытания мотора М-82 № 112 2-й серии, установленного на самолете Ла-5. Испытания проводили на номинальном режиме работы на обеих скоростях нагнетателя при различных составах горючей смеси, и определяли величину потери мощности с изменением состава смеси. Был сделан вывод, что сильное обогащение горючей смеси при работе мотора на 2-й скорости нагнетателя (которое имеет место в полете), приводит к уменьшению мощности на 25—30% и к значительному уменьшению скорости. Аналогичные результаты получил ЦИАМ. Для исправления этого недостатка завод № 33 предложил установить клапан взлета МВ-1, а ЦИАМ — «обогатитель взлета». Первый был очень прост по конструкции и включал экономайзер только при работе мотора на режиме взлета. Второй был более сложен и трудоемок в изготовлении и полностью исключал экономайзер из системы карбюратора. Впрочем, различия их конструкции не повлияли на результат — испытания обоих на моторе и на самолете в полете дали неудовлетворительные результаты. Пожалуй, единственным положительным результатом этих усилий стала выпущенная заводом № 33 инструкция по регулировке карбюратора АК-82БП в аэродромных условиях с помощью переносного газоанализатора (штатные газоанализаторы на серийные самолеты Ла-5 не устанавливали) (19727).</w:t>
      </w:r>
    </w:p>
    <w:p w14:paraId="0DC42A6E" w14:textId="77777777" w:rsidR="00044450" w:rsidRPr="00722885" w:rsidRDefault="00044450" w:rsidP="00722885">
      <w:pPr>
        <w:spacing w:after="0" w:line="240" w:lineRule="auto"/>
        <w:jc w:val="both"/>
        <w:rPr>
          <w:rFonts w:ascii="Times New Roman" w:hAnsi="Times New Roman"/>
          <w:color w:val="000000" w:themeColor="text1"/>
          <w:sz w:val="16"/>
          <w:szCs w:val="16"/>
        </w:rPr>
      </w:pPr>
    </w:p>
    <w:p w14:paraId="399C8525"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период октябрь—ноябрь 1942 г. в ЦАГИ подвергался испытаниям в аэродинамических трубах Т—101 и Т-104 се</w:t>
      </w:r>
      <w:r w:rsidRPr="00722885">
        <w:rPr>
          <w:rFonts w:ascii="Times New Roman" w:cs="Times New Roman"/>
          <w:color w:val="000000" w:themeColor="text1"/>
          <w:spacing w:val="0"/>
        </w:rPr>
        <w:softHyphen/>
        <w:t>рийный самолёт Ла-5 № 37210514 с целью изыскания мероприятий по улучшению его лётных характеристик.</w:t>
      </w:r>
    </w:p>
    <w:p w14:paraId="44ACA559"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рамках этих испытаний выявилось, что максимальные скорости Ла-5 на 2-й гра</w:t>
      </w:r>
      <w:r w:rsidRPr="00722885">
        <w:rPr>
          <w:rFonts w:ascii="Times New Roman" w:cs="Times New Roman"/>
          <w:color w:val="000000" w:themeColor="text1"/>
          <w:spacing w:val="0"/>
        </w:rPr>
        <w:softHyphen/>
        <w:t>нице высотности практически не дают прироста по сравнению с максимальными ско</w:t>
      </w:r>
      <w:r w:rsidRPr="00722885">
        <w:rPr>
          <w:rFonts w:ascii="Times New Roman" w:cs="Times New Roman"/>
          <w:color w:val="000000" w:themeColor="text1"/>
          <w:spacing w:val="0"/>
        </w:rPr>
        <w:softHyphen/>
        <w:t>ростями на 1-й границе из-за неудовлетворительной работы мотора М-82 на 2-й скорости нагнетателя.</w:t>
      </w:r>
    </w:p>
    <w:p w14:paraId="2E50170F"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Предположили, что падение мощности мотора М-82 на 2-й границе высотности про</w:t>
      </w:r>
      <w:r w:rsidRPr="00722885">
        <w:rPr>
          <w:rFonts w:ascii="Times New Roman" w:cs="Times New Roman"/>
          <w:color w:val="000000" w:themeColor="text1"/>
          <w:spacing w:val="0"/>
        </w:rPr>
        <w:softHyphen/>
        <w:t>исходит из-за сильного обогащения горючей смеси. С целью подтверждения этого фак</w:t>
      </w:r>
      <w:r w:rsidRPr="00722885">
        <w:rPr>
          <w:rFonts w:ascii="Times New Roman" w:cs="Times New Roman"/>
          <w:color w:val="000000" w:themeColor="text1"/>
          <w:spacing w:val="0"/>
        </w:rPr>
        <w:softHyphen/>
        <w:t>та в декабре 1942 г. в аэродинамической трубе Т-104 провели испытания мотора М-82 № 112 2-й серии, установленного на самолёте Ла-5. Испытания проводили на номи</w:t>
      </w:r>
      <w:r w:rsidRPr="00722885">
        <w:rPr>
          <w:rFonts w:ascii="Times New Roman" w:cs="Times New Roman"/>
          <w:color w:val="000000" w:themeColor="text1"/>
          <w:spacing w:val="0"/>
        </w:rPr>
        <w:softHyphen/>
        <w:t>нальном режиме работы мотора п=2400 об/мин и Р</w:t>
      </w:r>
      <w:r w:rsidRPr="00722885">
        <w:rPr>
          <w:rFonts w:ascii="Times New Roman" w:cs="Times New Roman"/>
          <w:color w:val="000000" w:themeColor="text1"/>
          <w:spacing w:val="0"/>
          <w:vertAlign w:val="subscript"/>
        </w:rPr>
        <w:t>к</w:t>
      </w:r>
      <w:r w:rsidRPr="00722885">
        <w:rPr>
          <w:rFonts w:ascii="Times New Roman" w:cs="Times New Roman"/>
          <w:color w:val="000000" w:themeColor="text1"/>
          <w:spacing w:val="0"/>
        </w:rPr>
        <w:t>=950 мм рт.ст. на обеих скоростях нагнетателя при различных составах горючей смеси, характеризующихся изменением коэффициентов избытка воздуха а от 0,55 до 0,865 на 1-й скорости и от 0,51 до 0,765 на 2-й скорости. Определяли величину потери мощности с изменением состава смеси.</w:t>
      </w:r>
    </w:p>
    <w:p w14:paraId="5191581D"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Вывод ЦАГИ: сильное обогащение горючей смеси до</w:t>
      </w:r>
      <w:r w:rsidRPr="00722885">
        <w:rPr>
          <w:rStyle w:val="MSReferenceSansSerif"/>
          <w:rFonts w:ascii="Times New Roman" w:eastAsia="MS Reference Sans Serif" w:hAnsi="Times New Roman" w:cs="Times New Roman"/>
          <w:b w:val="0"/>
          <w:bCs w:val="0"/>
          <w:iCs/>
          <w:color w:val="000000" w:themeColor="text1"/>
          <w:spacing w:val="0"/>
        </w:rPr>
        <w:t xml:space="preserve"> а-0,55 при</w:t>
      </w:r>
      <w:r w:rsidRPr="00722885">
        <w:rPr>
          <w:rFonts w:ascii="Times New Roman" w:cs="Times New Roman"/>
          <w:color w:val="000000" w:themeColor="text1"/>
          <w:spacing w:val="0"/>
        </w:rPr>
        <w:t xml:space="preserve"> работе мотора на 2-й скорости нагнетателя (которое имеет место в полёте), приводит к уменьшению мощ</w:t>
      </w:r>
      <w:r w:rsidRPr="00722885">
        <w:rPr>
          <w:rFonts w:ascii="Times New Roman" w:cs="Times New Roman"/>
          <w:color w:val="000000" w:themeColor="text1"/>
          <w:spacing w:val="0"/>
        </w:rPr>
        <w:softHyphen/>
        <w:t>ности на 25-30%, а, следовательно, и к значительному уменьшению скорости самолёта.</w:t>
      </w:r>
    </w:p>
    <w:p w14:paraId="4FEE3D2E"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Аналогичные результаты получили и в ЦИАМ.</w:t>
      </w:r>
    </w:p>
    <w:p w14:paraId="01ADF617"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Для исправления этого недостатка завод № 33 предложил клапан взлёта МВ-1, а ЦИАМ — «обогатитель взлёта». Первый оказался очень прост по конструкции и включал экономайзер только при работе мотора на режиме взлёта. Второй был более сложен и трудоёмок в изготовлении, и полностью исключал экономайзер из системы карбюрато</w:t>
      </w:r>
      <w:r w:rsidRPr="00722885">
        <w:rPr>
          <w:rFonts w:ascii="Times New Roman" w:cs="Times New Roman"/>
          <w:color w:val="000000" w:themeColor="text1"/>
          <w:spacing w:val="0"/>
        </w:rPr>
        <w:softHyphen/>
        <w:t>ра. Впрочем, различия их конструкций не повлияли на результат — испытания обоих на моторе и на самолёте в полёте дали неудовлетворительные результаты.</w:t>
      </w:r>
    </w:p>
    <w:p w14:paraId="09C684CF"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Пожалуй, единственным положительным результатом всех этих усилий стала выпу</w:t>
      </w:r>
      <w:r w:rsidRPr="00722885">
        <w:rPr>
          <w:rFonts w:ascii="Times New Roman" w:cs="Times New Roman"/>
          <w:color w:val="000000" w:themeColor="text1"/>
          <w:spacing w:val="0"/>
        </w:rPr>
        <w:softHyphen/>
        <w:t>щенная заводом № 33 инструкция по регулировке карбюратора АК-82БП в аэродром</w:t>
      </w:r>
      <w:r w:rsidRPr="00722885">
        <w:rPr>
          <w:rFonts w:ascii="Times New Roman" w:cs="Times New Roman"/>
          <w:color w:val="000000" w:themeColor="text1"/>
          <w:spacing w:val="0"/>
        </w:rPr>
        <w:softHyphen/>
        <w:t>ных условиях с помощью переносного газоанализатора — штатные газоанализаторы на серийные самолёты Ла-5 не устанавливали.</w:t>
      </w:r>
    </w:p>
    <w:p w14:paraId="1FE1B260"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Однако регулировка оказалась делом непростым даже в заводских условиях. Подтвер</w:t>
      </w:r>
      <w:r w:rsidRPr="00722885">
        <w:rPr>
          <w:rFonts w:ascii="Times New Roman" w:cs="Times New Roman"/>
          <w:color w:val="000000" w:themeColor="text1"/>
          <w:spacing w:val="0"/>
        </w:rPr>
        <w:softHyphen/>
        <w:t>ждением этому служит следующий факт. С 20 декабря 1942 г. по 20 января 1943 г. за</w:t>
      </w:r>
      <w:r w:rsidRPr="00722885">
        <w:rPr>
          <w:rFonts w:ascii="Times New Roman" w:cs="Times New Roman"/>
          <w:color w:val="000000" w:themeColor="text1"/>
          <w:spacing w:val="0"/>
        </w:rPr>
        <w:softHyphen/>
        <w:t>вод № 19 проверил мощности и высотность 10 моторов М-82 на высотной установке «Хинан-Фруд». Из них 3 мотора 1-й серии выпуска конца 1941 г. и начала 1942 г., 5 — 2-й серии и 2 — 3-й серии выпуска 1942 г. Данные проверки показали, что все они не</w:t>
      </w:r>
      <w:r w:rsidRPr="00722885">
        <w:rPr>
          <w:rFonts w:ascii="Times New Roman" w:cs="Times New Roman"/>
          <w:color w:val="000000" w:themeColor="text1"/>
          <w:spacing w:val="0"/>
        </w:rPr>
        <w:softHyphen/>
        <w:t xml:space="preserve">додают мощности: на взлёте — от 30 до 90 л.е., на земном номинале 1-й скорости — от 30 до 93 л.е., на земном номинале 2-й скорости — от 2 до 63 л.с. Также недополучили на этих моторах высоту и высотную мощность: на номинале </w:t>
      </w:r>
      <w:r w:rsidRPr="00722885">
        <w:rPr>
          <w:rFonts w:ascii="Times New Roman" w:cs="Times New Roman"/>
          <w:color w:val="000000" w:themeColor="text1"/>
          <w:spacing w:val="0"/>
        </w:rPr>
        <w:lastRenderedPageBreak/>
        <w:t>1-й скорости — от 57 до 140 л.е., на номинале 2-й скорости — от 4 до 67 л.е., высота на 2-й скорости — от 50 до 300 м. Такую же проверку провели в период с 15 февраля по 15 марта 1943 г. на «Хинан-фруде» ещё 6 моторов последней серии. Результаты получились аналогичные (15813).</w:t>
      </w:r>
    </w:p>
    <w:p w14:paraId="3084C7B0"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p>
    <w:p w14:paraId="70ED65B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w:t>
      </w:r>
      <w:r w:rsidRPr="00722885">
        <w:rPr>
          <w:rFonts w:ascii="Times New Roman" w:hAnsi="Times New Roman"/>
          <w:color w:val="000000" w:themeColor="text1"/>
          <w:sz w:val="16"/>
          <w:szCs w:val="16"/>
        </w:rPr>
        <w:softHyphen/>
        <w:t>ре-декабре 1942 года заводом №19 проводились исследования падения мощности ВМГ. В них было констатировано, что серийный выхлоп</w:t>
      </w:r>
      <w:r w:rsidRPr="00722885">
        <w:rPr>
          <w:rFonts w:ascii="Times New Roman" w:hAnsi="Times New Roman"/>
          <w:color w:val="000000" w:themeColor="text1"/>
          <w:sz w:val="16"/>
          <w:szCs w:val="16"/>
        </w:rPr>
        <w:softHyphen/>
        <w:t>ной коллектор Ла-5 «съедает» 1,5-3%, а на режиме взлета — до 5% мощ</w:t>
      </w:r>
      <w:r w:rsidRPr="00722885">
        <w:rPr>
          <w:rFonts w:ascii="Times New Roman" w:hAnsi="Times New Roman"/>
          <w:color w:val="000000" w:themeColor="text1"/>
          <w:sz w:val="16"/>
          <w:szCs w:val="16"/>
        </w:rPr>
        <w:softHyphen/>
        <w:t>ности (10705).</w:t>
      </w:r>
    </w:p>
    <w:p w14:paraId="5E641D9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1CF447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782DF60" w14:textId="77777777" w:rsidR="00090C9B" w:rsidRPr="00722885" w:rsidRDefault="00090C9B" w:rsidP="00722885">
      <w:pPr>
        <w:pStyle w:val="Iauiue"/>
        <w:jc w:val="both"/>
        <w:rPr>
          <w:iCs/>
          <w:color w:val="000000" w:themeColor="text1"/>
          <w:sz w:val="16"/>
          <w:szCs w:val="16"/>
        </w:rPr>
      </w:pPr>
    </w:p>
    <w:p w14:paraId="02C044A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с октября 1942 г. по февраль 1943 г. в конструкторском отделе завода "Красное Сормово" (завод № 112) под руководством В.В. Крылова был разработан Танк СГ-34. Ведущим конструктором ма</w:t>
      </w:r>
      <w:r w:rsidRPr="00722885">
        <w:rPr>
          <w:rFonts w:ascii="Times New Roman" w:hAnsi="Times New Roman"/>
          <w:color w:val="000000" w:themeColor="text1"/>
          <w:sz w:val="16"/>
          <w:szCs w:val="16"/>
        </w:rPr>
        <w:softHyphen/>
        <w:t>шины был Ю.П. Новиков. В октябре 1943 г, экспериментальным цехом завода был изготовлен опытный образец танка, который в октябре-ноя</w:t>
      </w:r>
      <w:r w:rsidRPr="00722885">
        <w:rPr>
          <w:rFonts w:ascii="Times New Roman" w:hAnsi="Times New Roman"/>
          <w:color w:val="000000" w:themeColor="text1"/>
          <w:sz w:val="16"/>
          <w:szCs w:val="16"/>
        </w:rPr>
        <w:softHyphen/>
        <w:t>бре того же года прошел заводские испытания. На вооружение танк СГ-34 не принимался и в серийном производстве не состоял. Танк СГ-34 был создан на базе серийного танка Т-34-76 обр. 1941 г. Он отличался от него максимальной герметизацией всей машины в це</w:t>
      </w:r>
      <w:r w:rsidRPr="00722885">
        <w:rPr>
          <w:rFonts w:ascii="Times New Roman" w:hAnsi="Times New Roman"/>
          <w:color w:val="000000" w:themeColor="text1"/>
          <w:sz w:val="16"/>
          <w:szCs w:val="16"/>
        </w:rPr>
        <w:softHyphen/>
        <w:t>лом, а также монтажом специального комплекта оборудования, обеспе</w:t>
      </w:r>
      <w:r w:rsidRPr="00722885">
        <w:rPr>
          <w:rFonts w:ascii="Times New Roman" w:hAnsi="Times New Roman"/>
          <w:color w:val="000000" w:themeColor="text1"/>
          <w:sz w:val="16"/>
          <w:szCs w:val="16"/>
        </w:rPr>
        <w:softHyphen/>
        <w:t>чивавшего работоспособность двигателя и членов экипажа танка при его движении под водой. В связи с установкой комплекта ОПВТ на тан</w:t>
      </w:r>
      <w:r w:rsidRPr="00722885">
        <w:rPr>
          <w:rFonts w:ascii="Times New Roman" w:hAnsi="Times New Roman"/>
          <w:color w:val="000000" w:themeColor="text1"/>
          <w:sz w:val="16"/>
          <w:szCs w:val="16"/>
        </w:rPr>
        <w:softHyphen/>
        <w:t>ке был демонтирован левый верхний носовой топливный бак, в резуль</w:t>
      </w:r>
      <w:r w:rsidRPr="00722885">
        <w:rPr>
          <w:rFonts w:ascii="Times New Roman" w:hAnsi="Times New Roman"/>
          <w:color w:val="000000" w:themeColor="text1"/>
          <w:sz w:val="16"/>
          <w:szCs w:val="16"/>
        </w:rPr>
        <w:softHyphen/>
        <w:t>тате чего запас топлива уменьшился на 56 л, а из-за установки аппара</w:t>
      </w:r>
      <w:r w:rsidRPr="00722885">
        <w:rPr>
          <w:rFonts w:ascii="Times New Roman" w:hAnsi="Times New Roman"/>
          <w:color w:val="000000" w:themeColor="text1"/>
          <w:sz w:val="16"/>
          <w:szCs w:val="16"/>
        </w:rPr>
        <w:softHyphen/>
        <w:t>туры забортного охлаждения радиаторов двигателя был сокращен бое</w:t>
      </w:r>
      <w:r w:rsidRPr="00722885">
        <w:rPr>
          <w:rFonts w:ascii="Times New Roman" w:hAnsi="Times New Roman"/>
          <w:color w:val="000000" w:themeColor="text1"/>
          <w:sz w:val="16"/>
          <w:szCs w:val="16"/>
        </w:rPr>
        <w:softHyphen/>
        <w:t>комплект пушки на 14 выстрелов и изменена укладка ЗИП. Танк СГ-34 мог преодолевать водные преграды глубиной до 5 м с возможностью ве</w:t>
      </w:r>
      <w:r w:rsidRPr="00722885">
        <w:rPr>
          <w:rFonts w:ascii="Times New Roman" w:hAnsi="Times New Roman"/>
          <w:color w:val="000000" w:themeColor="text1"/>
          <w:sz w:val="16"/>
          <w:szCs w:val="16"/>
        </w:rPr>
        <w:softHyphen/>
        <w:t>дения боевых действий после преодоления водной преграды (10703).</w:t>
      </w:r>
    </w:p>
    <w:p w14:paraId="2516D89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880FB5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 ноябре 1942 г., когда ГАБТУ РККА выда</w:t>
      </w:r>
      <w:r w:rsidRPr="00722885">
        <w:rPr>
          <w:rFonts w:ascii="Times New Roman" w:hAnsi="Times New Roman"/>
          <w:color w:val="000000" w:themeColor="text1"/>
          <w:sz w:val="16"/>
          <w:szCs w:val="16"/>
        </w:rPr>
        <w:softHyphen/>
        <w:t>ло заводу ТТТ на проектирование опытных образцов танков Т-43 и Т-23 бы</w:t>
      </w:r>
      <w:r w:rsidRPr="00722885">
        <w:rPr>
          <w:rFonts w:ascii="Times New Roman" w:hAnsi="Times New Roman"/>
          <w:color w:val="000000" w:themeColor="text1"/>
          <w:sz w:val="16"/>
          <w:szCs w:val="16"/>
        </w:rPr>
        <w:softHyphen/>
        <w:t>ли возобновлены дальнейшие работы над новым средним танком на заводе № 183 (Т-44) (10703).</w:t>
      </w:r>
    </w:p>
    <w:p w14:paraId="0737369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C34F2D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октября 1942 г. по март 1944 г. на УЗТМ было изготовлено 2670 штампованных башен. Причем качество этих башен, изготовлен</w:t>
      </w:r>
      <w:r w:rsidRPr="00722885">
        <w:rPr>
          <w:rFonts w:ascii="Times New Roman" w:hAnsi="Times New Roman"/>
          <w:color w:val="000000" w:themeColor="text1"/>
          <w:sz w:val="16"/>
          <w:szCs w:val="16"/>
        </w:rPr>
        <w:softHyphen/>
        <w:t>ных из брони толщиной 45 мм, не уступало качеству литых башен, имевших толщину 52 мм. По бронестойкости качество штампованных башен было даже несколько выше, чем литых. Производство штампованных башен являлось уникальным т ским решением в мировом танкостроении. До этого ни в Советском Союзе, ни за границей штамповки башни из листа размером 3x5,5 м и 1 щиной 45 мм не производил никто. Штампованная башня была; литой, но изготовление заводом в течение полутора лет этих обеспечило выпуск заданного количества танков. Новшеством в мировом танкостроении явилось и отливка т башен в металлические формы (кокиль). Отливка в кокиль башен танка Т-34 на заводе № 112 позволила сэкономить только в 1944 г. 10 т броневой стали (10703).</w:t>
      </w:r>
    </w:p>
    <w:p w14:paraId="4654718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0951374"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октябре и ноябре 1942 г. на заводе № 100 спроектирован и изготовлен планетарный механизм поворота конструкции инженера подполковника Благонравова А. И...</w:t>
      </w:r>
    </w:p>
    <w:p w14:paraId="62180BD3"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 началу января общий киломе</w:t>
      </w:r>
      <w:r w:rsidRPr="00722885">
        <w:rPr>
          <w:rFonts w:ascii="Times New Roman" w:cs="Times New Roman"/>
          <w:color w:val="000000" w:themeColor="text1"/>
          <w:spacing w:val="0"/>
        </w:rPr>
        <w:softHyphen/>
        <w:t>траж пробеговых испытаний достиг 1085 км, из коих 135 км - буксировки. При этом танк с планетарным механизмом поворота бук</w:t>
      </w:r>
      <w:r w:rsidRPr="00722885">
        <w:rPr>
          <w:rFonts w:ascii="Times New Roman" w:cs="Times New Roman"/>
          <w:color w:val="000000" w:themeColor="text1"/>
          <w:spacing w:val="0"/>
        </w:rPr>
        <w:softHyphen/>
        <w:t>сировал один раз два танка общим весом 75 тонн без особых затруднений.</w:t>
      </w:r>
    </w:p>
    <w:p w14:paraId="4F8A90D1"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Планетарный механизм поворота являет</w:t>
      </w:r>
      <w:r w:rsidRPr="00722885">
        <w:rPr>
          <w:rFonts w:ascii="Times New Roman" w:cs="Times New Roman"/>
          <w:color w:val="000000" w:themeColor="text1"/>
          <w:spacing w:val="0"/>
        </w:rPr>
        <w:softHyphen/>
        <w:t>ся лишь новым словом в отечественном тан</w:t>
      </w:r>
      <w:r w:rsidRPr="00722885">
        <w:rPr>
          <w:rFonts w:ascii="Times New Roman" w:cs="Times New Roman"/>
          <w:color w:val="000000" w:themeColor="text1"/>
          <w:spacing w:val="0"/>
        </w:rPr>
        <w:softHyphen/>
        <w:t>костроении..</w:t>
      </w:r>
    </w:p>
    <w:p w14:paraId="11E282BC"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Испытания показали. Что планетарный механизм поворота имеет следующие пре</w:t>
      </w:r>
      <w:r w:rsidRPr="00722885">
        <w:rPr>
          <w:rFonts w:ascii="Times New Roman" w:cs="Times New Roman"/>
          <w:color w:val="000000" w:themeColor="text1"/>
          <w:spacing w:val="0"/>
        </w:rPr>
        <w:softHyphen/>
        <w:t>имущества перед бортовыми фрикционами:</w:t>
      </w:r>
    </w:p>
    <w:p w14:paraId="39BE33D9" w14:textId="77777777" w:rsidR="00B528D1" w:rsidRPr="00722885" w:rsidRDefault="00B528D1" w:rsidP="00722885">
      <w:pPr>
        <w:pStyle w:val="27"/>
        <w:shd w:val="clear" w:color="auto" w:fill="auto"/>
        <w:tabs>
          <w:tab w:val="left" w:pos="474"/>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повысилась маневренность танка на местности;</w:t>
      </w:r>
    </w:p>
    <w:p w14:paraId="50D7E598" w14:textId="77777777" w:rsidR="00B528D1" w:rsidRPr="00722885" w:rsidRDefault="00B528D1" w:rsidP="00722885">
      <w:pPr>
        <w:pStyle w:val="27"/>
        <w:shd w:val="clear" w:color="auto" w:fill="auto"/>
        <w:tabs>
          <w:tab w:val="left" w:pos="459"/>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увеличилась средняя скорость движения на 20-30%;</w:t>
      </w:r>
    </w:p>
    <w:p w14:paraId="058FE94A" w14:textId="77777777" w:rsidR="00B528D1" w:rsidRPr="00722885" w:rsidRDefault="00B528D1" w:rsidP="00722885">
      <w:pPr>
        <w:pStyle w:val="27"/>
        <w:shd w:val="clear" w:color="auto" w:fill="auto"/>
        <w:tabs>
          <w:tab w:val="left" w:pos="29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увеличилась проходимость;</w:t>
      </w:r>
    </w:p>
    <w:p w14:paraId="7CF57307" w14:textId="77777777" w:rsidR="00B528D1" w:rsidRPr="00722885" w:rsidRDefault="00B528D1" w:rsidP="00722885">
      <w:pPr>
        <w:pStyle w:val="27"/>
        <w:shd w:val="clear" w:color="auto" w:fill="auto"/>
        <w:tabs>
          <w:tab w:val="left" w:pos="469"/>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облегчено управление (усилие на рыча</w:t>
      </w:r>
      <w:r w:rsidRPr="00722885">
        <w:rPr>
          <w:rFonts w:ascii="Times New Roman" w:cs="Times New Roman"/>
          <w:color w:val="000000" w:themeColor="text1"/>
          <w:spacing w:val="0"/>
        </w:rPr>
        <w:softHyphen/>
        <w:t>гах 12-15 кг вместо 40-50 кг);</w:t>
      </w:r>
    </w:p>
    <w:p w14:paraId="6F4AC7C1" w14:textId="77777777" w:rsidR="00B528D1" w:rsidRPr="00722885" w:rsidRDefault="00B528D1" w:rsidP="00722885">
      <w:pPr>
        <w:pStyle w:val="27"/>
        <w:shd w:val="clear" w:color="auto" w:fill="auto"/>
        <w:tabs>
          <w:tab w:val="left" w:pos="454"/>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улучшаются условия работы двигателя. Коробки передач и главного фрикциона;</w:t>
      </w:r>
    </w:p>
    <w:p w14:paraId="22DE2CD4" w14:textId="77777777" w:rsidR="00B528D1" w:rsidRPr="00722885" w:rsidRDefault="00B528D1" w:rsidP="00722885">
      <w:pPr>
        <w:pStyle w:val="27"/>
        <w:shd w:val="clear" w:color="auto" w:fill="auto"/>
        <w:tabs>
          <w:tab w:val="left" w:pos="29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увеличился срок службы тормозов;</w:t>
      </w:r>
    </w:p>
    <w:p w14:paraId="406A8247" w14:textId="77777777" w:rsidR="00B528D1" w:rsidRPr="00722885" w:rsidRDefault="00B528D1" w:rsidP="00722885">
      <w:pPr>
        <w:pStyle w:val="27"/>
        <w:shd w:val="clear" w:color="auto" w:fill="auto"/>
        <w:tabs>
          <w:tab w:val="left" w:pos="291"/>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уменьшился расход топлива на километр.</w:t>
      </w:r>
    </w:p>
    <w:p w14:paraId="5114BFA6"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Мы считаем необходимым рекомендо</w:t>
      </w:r>
      <w:r w:rsidRPr="00722885">
        <w:rPr>
          <w:rFonts w:ascii="Times New Roman" w:cs="Times New Roman"/>
          <w:color w:val="000000" w:themeColor="text1"/>
          <w:spacing w:val="0"/>
        </w:rPr>
        <w:softHyphen/>
        <w:t>вать этот механизм в серию и полезным не</w:t>
      </w:r>
      <w:r w:rsidRPr="00722885">
        <w:rPr>
          <w:rFonts w:ascii="Times New Roman" w:cs="Times New Roman"/>
          <w:color w:val="000000" w:themeColor="text1"/>
          <w:spacing w:val="0"/>
        </w:rPr>
        <w:softHyphen/>
        <w:t>медленно изготовить установочную партию для испытания механизма поворота в боевых действиях.</w:t>
      </w:r>
    </w:p>
    <w:p w14:paraId="240925B0" w14:textId="77777777" w:rsidR="00B528D1" w:rsidRPr="00722885" w:rsidRDefault="00B528D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Планетарный механизм поворота, кроме переходных деталей, связывающих его с ко</w:t>
      </w:r>
      <w:r w:rsidRPr="00722885">
        <w:rPr>
          <w:rFonts w:ascii="Times New Roman" w:cs="Times New Roman"/>
          <w:color w:val="000000" w:themeColor="text1"/>
          <w:spacing w:val="0"/>
        </w:rPr>
        <w:softHyphen/>
        <w:t>робкой перемены передач и бортовым редук</w:t>
      </w:r>
      <w:r w:rsidRPr="00722885">
        <w:rPr>
          <w:rFonts w:ascii="Times New Roman" w:cs="Times New Roman"/>
          <w:color w:val="000000" w:themeColor="text1"/>
          <w:spacing w:val="0"/>
        </w:rPr>
        <w:softHyphen/>
        <w:t>тором, является унифицированным для тан</w:t>
      </w:r>
      <w:r w:rsidRPr="00722885">
        <w:rPr>
          <w:rFonts w:ascii="Times New Roman" w:cs="Times New Roman"/>
          <w:color w:val="000000" w:themeColor="text1"/>
          <w:spacing w:val="0"/>
        </w:rPr>
        <w:softHyphen/>
        <w:t>ков КВ-1С и Т-34.</w:t>
      </w:r>
    </w:p>
    <w:p w14:paraId="0DF79760" w14:textId="77777777" w:rsidR="00B528D1" w:rsidRPr="00722885" w:rsidRDefault="00B528D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Чертежи для запуска в серию планетар</w:t>
      </w:r>
      <w:r w:rsidRPr="00722885">
        <w:rPr>
          <w:rFonts w:ascii="Times New Roman" w:hAnsi="Times New Roman"/>
          <w:color w:val="000000" w:themeColor="text1"/>
          <w:sz w:val="16"/>
          <w:szCs w:val="16"/>
        </w:rPr>
        <w:softHyphen/>
        <w:t xml:space="preserve">ного механизма танка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с учетом замечаний на основе результатов испытаний готовы» (15226).</w:t>
      </w:r>
    </w:p>
    <w:p w14:paraId="6E76E775" w14:textId="77777777" w:rsidR="00B528D1" w:rsidRPr="00722885" w:rsidRDefault="00B528D1" w:rsidP="00722885">
      <w:pPr>
        <w:spacing w:after="0" w:line="240" w:lineRule="auto"/>
        <w:jc w:val="both"/>
        <w:rPr>
          <w:rFonts w:ascii="Times New Roman" w:hAnsi="Times New Roman"/>
          <w:color w:val="000000" w:themeColor="text1"/>
          <w:sz w:val="16"/>
          <w:szCs w:val="16"/>
        </w:rPr>
      </w:pPr>
    </w:p>
    <w:p w14:paraId="629A6C7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w:t>
      </w:r>
      <w:r w:rsidRPr="00722885">
        <w:rPr>
          <w:rFonts w:ascii="Times New Roman" w:hAnsi="Times New Roman"/>
          <w:color w:val="000000" w:themeColor="text1"/>
          <w:sz w:val="16"/>
          <w:szCs w:val="16"/>
        </w:rPr>
        <w:softHyphen/>
        <w:t>ре - ноябре 1942 г. в КБ завода № 38 в г. Кирове под руководством главного конструктора М.Н. Щукина по проекту С.А. Гинзбурга разрабатывалась самоходная установка СУ-76 (СУ-12). Опыт</w:t>
      </w:r>
      <w:r w:rsidRPr="00722885">
        <w:rPr>
          <w:rFonts w:ascii="Times New Roman" w:hAnsi="Times New Roman"/>
          <w:color w:val="000000" w:themeColor="text1"/>
          <w:sz w:val="16"/>
          <w:szCs w:val="16"/>
        </w:rPr>
        <w:softHyphen/>
        <w:t>ный образец установки был изготовлен заводом в ноябре 1942 г. и в де</w:t>
      </w:r>
      <w:r w:rsidRPr="00722885">
        <w:rPr>
          <w:rFonts w:ascii="Times New Roman" w:hAnsi="Times New Roman"/>
          <w:color w:val="000000" w:themeColor="text1"/>
          <w:sz w:val="16"/>
          <w:szCs w:val="16"/>
        </w:rPr>
        <w:softHyphen/>
        <w:t>кабре того же года прошел государственные испытания на Гороховец-ком АНИОПе. Машина была принята на вооружение постановлением ГКО от 2 декабря 1942 г. и находилась в серийном производстве на за</w:t>
      </w:r>
      <w:r w:rsidRPr="00722885">
        <w:rPr>
          <w:rFonts w:ascii="Times New Roman" w:hAnsi="Times New Roman"/>
          <w:color w:val="000000" w:themeColor="text1"/>
          <w:sz w:val="16"/>
          <w:szCs w:val="16"/>
        </w:rPr>
        <w:softHyphen/>
        <w:t>воде № 38 до июля 1943 г. Снята с производства из-за крупных дефек</w:t>
      </w:r>
      <w:r w:rsidRPr="00722885">
        <w:rPr>
          <w:rFonts w:ascii="Times New Roman" w:hAnsi="Times New Roman"/>
          <w:color w:val="000000" w:themeColor="text1"/>
          <w:sz w:val="16"/>
          <w:szCs w:val="16"/>
        </w:rPr>
        <w:softHyphen/>
        <w:t>тов в конструкции силовой установки и трансмиссии. Всего было выпу</w:t>
      </w:r>
      <w:r w:rsidRPr="00722885">
        <w:rPr>
          <w:rFonts w:ascii="Times New Roman" w:hAnsi="Times New Roman"/>
          <w:color w:val="000000" w:themeColor="text1"/>
          <w:sz w:val="16"/>
          <w:szCs w:val="16"/>
        </w:rPr>
        <w:softHyphen/>
        <w:t>щено 560 самоходных установок, которые принимали участие в боевых действиях и в дальнейшем были подвергнуты модернизации (10703).</w:t>
      </w:r>
    </w:p>
    <w:p w14:paraId="593EE51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CE8A75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-ноябре 1942 г. в КБ завода № 38 в Кирове под руководством главного кон</w:t>
      </w:r>
      <w:r w:rsidRPr="00722885">
        <w:rPr>
          <w:rFonts w:ascii="Times New Roman" w:hAnsi="Times New Roman"/>
          <w:color w:val="000000" w:themeColor="text1"/>
          <w:sz w:val="16"/>
          <w:szCs w:val="16"/>
        </w:rPr>
        <w:softHyphen/>
        <w:t>структора М.Н. Щукина по проекту С.А. Гинзбурга была разработана Зенитная самоходная установка СУ-11. Опытный образец ус</w:t>
      </w:r>
      <w:r w:rsidRPr="00722885">
        <w:rPr>
          <w:rFonts w:ascii="Times New Roman" w:hAnsi="Times New Roman"/>
          <w:color w:val="000000" w:themeColor="text1"/>
          <w:sz w:val="16"/>
          <w:szCs w:val="16"/>
        </w:rPr>
        <w:softHyphen/>
        <w:t>тановки был изготовлен заводом в ноябре 1942 г. и в декабре того же года прошел государственные испытания на Гороховецком АНИОПе. На во</w:t>
      </w:r>
      <w:r w:rsidRPr="00722885">
        <w:rPr>
          <w:rFonts w:ascii="Times New Roman" w:hAnsi="Times New Roman"/>
          <w:color w:val="000000" w:themeColor="text1"/>
          <w:sz w:val="16"/>
          <w:szCs w:val="16"/>
        </w:rPr>
        <w:softHyphen/>
        <w:t>оружение и в серийное производство установка не принималась (10703).</w:t>
      </w:r>
    </w:p>
    <w:p w14:paraId="6468563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1C19E1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и ноябре 1942 г. на заводе №100 спроектирован и изготовлен планетарный механизм поворота конструкции инженера подполковника Благонравова А.И.</w:t>
      </w:r>
    </w:p>
    <w:p w14:paraId="4BDA546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Планетарный механизм поворота является лишь новым словом в отечественном танкостроении.</w:t>
      </w:r>
    </w:p>
    <w:p w14:paraId="11E41B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показали, что планетарный механизм поворота имеет следующие преимущества перед бортовыми фрикционами:</w:t>
      </w:r>
    </w:p>
    <w:p w14:paraId="7709810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повысилась маневренность танка на местности;</w:t>
      </w:r>
    </w:p>
    <w:p w14:paraId="42A788B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увеличилась средняя скорость движения на 25-30%;</w:t>
      </w:r>
    </w:p>
    <w:p w14:paraId="30349D8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увеличилась проходимость;</w:t>
      </w:r>
    </w:p>
    <w:p w14:paraId="6D8C6E6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облегчено управление (усилие на рычагах 12-15 кг вместо 40-50 кг);</w:t>
      </w:r>
    </w:p>
    <w:p w14:paraId="3F754DC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улучшаются условия работы двигателя, коробки передач и главного фрикциона;</w:t>
      </w:r>
    </w:p>
    <w:p w14:paraId="123485D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увеличился срок службы тормозов;</w:t>
      </w:r>
    </w:p>
    <w:p w14:paraId="04000AD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уменьшился расход топлива на километр.</w:t>
      </w:r>
    </w:p>
    <w:p w14:paraId="10AD6DC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Мы считаем необходимым рекомендовать этот механизм в серию и полезным немедленно изго</w:t>
      </w:r>
      <w:r w:rsidRPr="00722885">
        <w:rPr>
          <w:rFonts w:ascii="Times New Roman" w:hAnsi="Times New Roman"/>
          <w:color w:val="000000" w:themeColor="text1"/>
          <w:sz w:val="16"/>
          <w:szCs w:val="16"/>
        </w:rPr>
        <w:softHyphen/>
        <w:t>товить установочную партию для испытания механизма в боевых действиях.</w:t>
      </w:r>
    </w:p>
    <w:p w14:paraId="6858DBD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Планетарный механизм поворота, кроме переходных деталей, связывающих его с коробкой передач и бортовым редуктором, является унифицированным для танков КБ-1С и Т-34.</w:t>
      </w:r>
    </w:p>
    <w:p w14:paraId="33F750B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Чертежи для запуска в серию планетарного механизма танка КБ-1С с учетом замечаний на осно</w:t>
      </w:r>
      <w:r w:rsidRPr="00722885">
        <w:rPr>
          <w:rFonts w:ascii="Times New Roman" w:hAnsi="Times New Roman"/>
          <w:color w:val="000000" w:themeColor="text1"/>
          <w:sz w:val="16"/>
          <w:szCs w:val="16"/>
        </w:rPr>
        <w:softHyphen/>
        <w:t>вании результатов испытаний готовы (11403).</w:t>
      </w:r>
    </w:p>
    <w:p w14:paraId="31E0C63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71FF86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0886C04" w14:textId="77777777" w:rsidR="00090C9B" w:rsidRPr="00722885" w:rsidRDefault="00090C9B" w:rsidP="00722885">
      <w:pPr>
        <w:pStyle w:val="Iauiue"/>
        <w:jc w:val="both"/>
        <w:rPr>
          <w:iCs/>
          <w:color w:val="000000" w:themeColor="text1"/>
          <w:sz w:val="16"/>
          <w:szCs w:val="16"/>
        </w:rPr>
      </w:pPr>
    </w:p>
    <w:p w14:paraId="4CA4B9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октябре-ноябре 1942 началось формирование артиллерийских дивизий РВГК в составе 8 полков с 168 орудиями и использовались при контрнаступлении под Сталинградом (359,174).</w:t>
      </w:r>
    </w:p>
    <w:p w14:paraId="667DCF8D" w14:textId="77777777" w:rsidR="00090C9B" w:rsidRPr="00722885" w:rsidRDefault="00090C9B" w:rsidP="00722885">
      <w:pPr>
        <w:pStyle w:val="Iauiue"/>
        <w:jc w:val="both"/>
        <w:rPr>
          <w:color w:val="000000" w:themeColor="text1"/>
          <w:sz w:val="16"/>
          <w:szCs w:val="16"/>
        </w:rPr>
      </w:pPr>
    </w:p>
    <w:p w14:paraId="03904A3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17CBCDB" w14:textId="77777777" w:rsidR="00090C9B" w:rsidRPr="00722885" w:rsidRDefault="00090C9B" w:rsidP="00722885">
      <w:pPr>
        <w:pStyle w:val="Iauiue"/>
        <w:jc w:val="both"/>
        <w:rPr>
          <w:iCs/>
          <w:color w:val="000000" w:themeColor="text1"/>
          <w:sz w:val="16"/>
          <w:szCs w:val="16"/>
        </w:rPr>
      </w:pPr>
    </w:p>
    <w:p w14:paraId="39660E5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ноябрю 1942 боевую авиацию изъяли из подчинения общевойсковых армий. Процесс начался 5 мая 1942 приказом НКО была создана первая воздушная армия. Вопрос рассматривался Военным советом ВВС еще в апреле. В мае появились также 2, 3, 4, и 8, а в июне - 5 и 6, в июле - 14 и 15, в августе - 6, в ноябре - 7, 13 и 17 (340,81).</w:t>
      </w:r>
    </w:p>
    <w:p w14:paraId="1B406E28" w14:textId="77777777" w:rsidR="00090C9B" w:rsidRPr="00722885" w:rsidRDefault="00090C9B" w:rsidP="00722885">
      <w:pPr>
        <w:pStyle w:val="Iauiue"/>
        <w:jc w:val="both"/>
        <w:rPr>
          <w:color w:val="000000" w:themeColor="text1"/>
          <w:sz w:val="16"/>
          <w:szCs w:val="16"/>
        </w:rPr>
      </w:pPr>
    </w:p>
    <w:p w14:paraId="11CEAC8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0BC9EA4" w14:textId="77777777" w:rsidR="00090C9B" w:rsidRPr="00722885" w:rsidRDefault="00090C9B" w:rsidP="00722885">
      <w:pPr>
        <w:pStyle w:val="Iauiue"/>
        <w:jc w:val="both"/>
        <w:rPr>
          <w:iCs/>
          <w:color w:val="000000" w:themeColor="text1"/>
          <w:sz w:val="16"/>
          <w:szCs w:val="16"/>
        </w:rPr>
      </w:pPr>
    </w:p>
    <w:p w14:paraId="1F1EC1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ноября 1942 Кузнецов писал Зам. командующего ВВС Репину письмо N 23-67-12:</w:t>
      </w:r>
    </w:p>
    <w:p w14:paraId="7A00DF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"По вопросу сигнализации на самолетах Ил-2:</w:t>
      </w:r>
    </w:p>
    <w:p w14:paraId="0E96C0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самолете Ил-2 с внедрением стрелковой установки, между л и с, кроме электро-переговорного устройства СПУ-2 с фоническим вызовом, применяется 3-х цветная световая сигнализация.</w:t>
      </w:r>
    </w:p>
    <w:p w14:paraId="4862A5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Как показывает опыт эксплуатации световой сигнализации при наличии переговорного устройства с фоническим вызовом, не используется, а ее установка требует значительных затрат проводов, арматуры и ламп.</w:t>
      </w:r>
    </w:p>
    <w:p w14:paraId="0B6CF9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Учитывая это, а также отсутствие возражений со стороны ГК С.В.И., считаю крайне желательным Ваше решение об исключении световой сигнализации из перечня оборудования самолета Ил-2 (1632,177).</w:t>
      </w:r>
    </w:p>
    <w:p w14:paraId="6EAF84D8" w14:textId="77777777" w:rsidR="00090C9B" w:rsidRPr="00722885" w:rsidRDefault="00090C9B" w:rsidP="00722885">
      <w:pPr>
        <w:pStyle w:val="Iauiue"/>
        <w:jc w:val="both"/>
        <w:rPr>
          <w:color w:val="000000" w:themeColor="text1"/>
          <w:sz w:val="16"/>
          <w:szCs w:val="16"/>
        </w:rPr>
      </w:pPr>
    </w:p>
    <w:p w14:paraId="5E8849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 ноября 1942 года удель</w:t>
      </w:r>
      <w:r w:rsidRPr="00722885">
        <w:rPr>
          <w:rFonts w:ascii="Times New Roman" w:hAnsi="Times New Roman"/>
          <w:color w:val="000000" w:themeColor="text1"/>
          <w:sz w:val="16"/>
          <w:szCs w:val="16"/>
        </w:rPr>
        <w:softHyphen/>
        <w:t>ный вес Ил-2 достиг 31,2% в числе боевых самолетов дей</w:t>
      </w:r>
      <w:r w:rsidRPr="00722885">
        <w:rPr>
          <w:rFonts w:ascii="Times New Roman" w:hAnsi="Times New Roman"/>
          <w:color w:val="000000" w:themeColor="text1"/>
          <w:sz w:val="16"/>
          <w:szCs w:val="16"/>
        </w:rPr>
        <w:softHyphen/>
        <w:t>ствующей армии по сравнению с 10.8% на 1 мая 1942 г. и 0,2% в начале войны. Массовое применение Ил-2 на фронте вместе с достоинствами выя</w:t>
      </w:r>
      <w:r w:rsidRPr="00722885">
        <w:rPr>
          <w:rFonts w:ascii="Times New Roman" w:hAnsi="Times New Roman"/>
          <w:color w:val="000000" w:themeColor="text1"/>
          <w:sz w:val="16"/>
          <w:szCs w:val="16"/>
        </w:rPr>
        <w:softHyphen/>
        <w:t>вило и существенные недостатки са</w:t>
      </w:r>
      <w:r w:rsidRPr="00722885">
        <w:rPr>
          <w:rFonts w:ascii="Times New Roman" w:hAnsi="Times New Roman"/>
          <w:color w:val="000000" w:themeColor="text1"/>
          <w:sz w:val="16"/>
          <w:szCs w:val="16"/>
        </w:rPr>
        <w:softHyphen/>
        <w:t>молета. Бронирование самолета не обес</w:t>
      </w:r>
      <w:r w:rsidRPr="00722885">
        <w:rPr>
          <w:rFonts w:ascii="Times New Roman" w:hAnsi="Times New Roman"/>
          <w:color w:val="000000" w:themeColor="text1"/>
          <w:sz w:val="16"/>
          <w:szCs w:val="16"/>
        </w:rPr>
        <w:softHyphen/>
        <w:t>печивало надежную защиту от круп</w:t>
      </w:r>
      <w:r w:rsidRPr="00722885">
        <w:rPr>
          <w:rFonts w:ascii="Times New Roman" w:hAnsi="Times New Roman"/>
          <w:color w:val="000000" w:themeColor="text1"/>
          <w:sz w:val="16"/>
          <w:szCs w:val="16"/>
        </w:rPr>
        <w:softHyphen/>
        <w:t>нокалиберных пуль и малокалибер</w:t>
      </w:r>
      <w:r w:rsidRPr="00722885">
        <w:rPr>
          <w:rFonts w:ascii="Times New Roman" w:hAnsi="Times New Roman"/>
          <w:color w:val="000000" w:themeColor="text1"/>
          <w:sz w:val="16"/>
          <w:szCs w:val="16"/>
        </w:rPr>
        <w:softHyphen/>
        <w:t>ных снарядов зенитных автоматов и авиапушек истребителей. Оказалось, что при весе металлической брони 811 кг наиболее уяз</w:t>
      </w:r>
      <w:r w:rsidRPr="00722885">
        <w:rPr>
          <w:rFonts w:ascii="Times New Roman" w:hAnsi="Times New Roman"/>
          <w:color w:val="000000" w:themeColor="text1"/>
          <w:sz w:val="16"/>
          <w:szCs w:val="16"/>
        </w:rPr>
        <w:softHyphen/>
        <w:t>вимые от огня противника бронеде-тали имеют недостаточную толщину и, наоборот, отдельные места бро-некорпуса либо вовсе не имеют по</w:t>
      </w:r>
      <w:r w:rsidRPr="00722885">
        <w:rPr>
          <w:rFonts w:ascii="Times New Roman" w:hAnsi="Times New Roman"/>
          <w:color w:val="000000" w:themeColor="text1"/>
          <w:sz w:val="16"/>
          <w:szCs w:val="16"/>
        </w:rPr>
        <w:softHyphen/>
        <w:t>паданий, либо попадания в них бы</w:t>
      </w:r>
      <w:r w:rsidRPr="00722885">
        <w:rPr>
          <w:rFonts w:ascii="Times New Roman" w:hAnsi="Times New Roman"/>
          <w:color w:val="000000" w:themeColor="text1"/>
          <w:sz w:val="16"/>
          <w:szCs w:val="16"/>
        </w:rPr>
        <w:softHyphen/>
        <w:t>вают весьма редко и при таких углах и дистанциях стрельбы, которые по</w:t>
      </w:r>
      <w:r w:rsidRPr="00722885">
        <w:rPr>
          <w:rFonts w:ascii="Times New Roman" w:hAnsi="Times New Roman"/>
          <w:color w:val="000000" w:themeColor="text1"/>
          <w:sz w:val="16"/>
          <w:szCs w:val="16"/>
        </w:rPr>
        <w:softHyphen/>
        <w:t>зволяют значительно уменьшить тол</w:t>
      </w:r>
      <w:r w:rsidRPr="00722885">
        <w:rPr>
          <w:rFonts w:ascii="Times New Roman" w:hAnsi="Times New Roman"/>
          <w:color w:val="000000" w:themeColor="text1"/>
          <w:sz w:val="16"/>
          <w:szCs w:val="16"/>
        </w:rPr>
        <w:softHyphen/>
        <w:t>щину брони (11426).</w:t>
      </w:r>
    </w:p>
    <w:p w14:paraId="2D82518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B7F38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ноября 1942, через 30 суток после выхода приказа НКАП № 732, на заводе № 24 первый АМ-42 “выкатили” на заводские испытания, в процессе которых были получены весьма обнадеживающие результаты. На взлетном режиме мотор развил мощность 1978 л. с. при числе оборотов вала п=2510 об/мин и давлении на всасывание 1325 мм. рт. ст. При этом расход топлива не превысил 306 г/л. с. ч. Разработка мотора в столь сжатые сроки не могла не сказаться на его качестве: требовалась тщательная доводка всех агрегатов и узлов (9649).</w:t>
      </w:r>
    </w:p>
    <w:p w14:paraId="5AB7F0D4" w14:textId="77777777" w:rsidR="00090C9B" w:rsidRPr="00722885" w:rsidRDefault="00090C9B" w:rsidP="00722885">
      <w:pPr>
        <w:pStyle w:val="Iauiue"/>
        <w:jc w:val="both"/>
        <w:rPr>
          <w:color w:val="000000" w:themeColor="text1"/>
          <w:sz w:val="16"/>
          <w:szCs w:val="16"/>
        </w:rPr>
      </w:pPr>
    </w:p>
    <w:p w14:paraId="17ABDBFC" w14:textId="77777777" w:rsidR="00997BE7" w:rsidRPr="00722885" w:rsidRDefault="00997BE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ноября 1942 года А.И. Шахурин направил И.В. Сталину письмо № Н-20/4319: «Исследования, проведенные в больших аэродинамичеснамических трубах ЦАГИ и летные испытания ЛИИ НКАП показали, что максимальные скорости серийных самолетов Як-1, Як-7 и ЛаГГ-3 могут быть повышены при обычном моторе М-105ПФ при проведении следующих аэродинамических улучшений: улучшение обтекания туннеля водяных и масляных радиаторов; улучшение обтекания канала всасывающих патрубков; улучшение обтекания шасси и костыля в убранном виде; заделка всех лишних щелей в перегородках, внутри фюзеляжа, капота, обтекателей оперения, обшивки крыла и фюзеляжа; улучшение обтекания фонаря; постановка специальных обтекателей на выхлопные патрубки и другие…Скорость…самолетов увеличилась у земли до 525-530 км, а скорость на расчетной высоте достигла 590 км/час… С этими аэродинамическими улучшениями: самолеты Як-1 на заводе № 292 будут выпускаться с 15-го ноября с.г. и самолеты ЛаГГ-3 на заводе № 31 будут выпускаться с 25-го ноября с.г.» (23197).</w:t>
      </w:r>
    </w:p>
    <w:p w14:paraId="54D06FAE" w14:textId="77777777" w:rsidR="00997BE7" w:rsidRPr="00722885" w:rsidRDefault="00997BE7" w:rsidP="00722885">
      <w:pPr>
        <w:pStyle w:val="Iauiue"/>
        <w:jc w:val="both"/>
        <w:rPr>
          <w:color w:val="000000" w:themeColor="text1"/>
          <w:sz w:val="16"/>
          <w:szCs w:val="16"/>
        </w:rPr>
      </w:pPr>
    </w:p>
    <w:p w14:paraId="5D9EE448" w14:textId="37230054" w:rsidR="00090C9B" w:rsidRPr="00722885" w:rsidRDefault="00090C9B" w:rsidP="00722885">
      <w:pPr>
        <w:pStyle w:val="Iauiue"/>
        <w:jc w:val="both"/>
        <w:rPr>
          <w:color w:val="000000" w:themeColor="text1"/>
          <w:sz w:val="16"/>
          <w:szCs w:val="16"/>
        </w:rPr>
      </w:pPr>
      <w:r w:rsidRPr="00722885">
        <w:rPr>
          <w:color w:val="000000" w:themeColor="text1"/>
          <w:sz w:val="16"/>
          <w:szCs w:val="16"/>
        </w:rPr>
        <w:t>1 ноября 1942 з-д № 47 начал серийный выпуск Як-6 (4830, 30).</w:t>
      </w:r>
    </w:p>
    <w:p w14:paraId="33A8943F" w14:textId="77777777" w:rsidR="00090C9B" w:rsidRPr="00722885" w:rsidRDefault="00090C9B" w:rsidP="00722885">
      <w:pPr>
        <w:pStyle w:val="Iauiue"/>
        <w:jc w:val="both"/>
        <w:rPr>
          <w:color w:val="000000" w:themeColor="text1"/>
          <w:sz w:val="16"/>
          <w:szCs w:val="16"/>
        </w:rPr>
      </w:pPr>
    </w:p>
    <w:p w14:paraId="654BF28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DA4F7DF" w14:textId="77777777" w:rsidR="00090C9B" w:rsidRPr="00722885" w:rsidRDefault="00090C9B" w:rsidP="00722885">
      <w:pPr>
        <w:pStyle w:val="Iauiue"/>
        <w:jc w:val="both"/>
        <w:rPr>
          <w:iCs/>
          <w:color w:val="000000" w:themeColor="text1"/>
          <w:sz w:val="16"/>
          <w:szCs w:val="16"/>
        </w:rPr>
      </w:pPr>
    </w:p>
    <w:p w14:paraId="2CC5E8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ноября 1942 г. проект 122-мм САУ, получивший индекс У-35, был утвержден межведомственной комиссией представителей ГАУ и НКТП.</w:t>
      </w:r>
    </w:p>
    <w:p w14:paraId="3F6308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Помимо У-35, комиссия рассмотрела также проект установки орудия М-30 на шасси Т-34, выполненный в КБ завода № 9 (Ф.Петров) и эскизную схему безбашенного танка типа КВ-2 (152-мм короткая гаубица). После обсуждения предложенных решений, в качестве эталона для серийного производства комиссия выбрала за основу У-35. Это решение не требовало больших доработок в плане ходовой части и артиллерийской системы, являясь наиболее дешевым из имеющихся (4017).</w:t>
      </w:r>
    </w:p>
    <w:p w14:paraId="555CD7CE" w14:textId="77777777" w:rsidR="00090C9B" w:rsidRPr="00722885" w:rsidRDefault="00090C9B" w:rsidP="00722885">
      <w:pPr>
        <w:pStyle w:val="Iauiue"/>
        <w:jc w:val="both"/>
        <w:rPr>
          <w:color w:val="000000" w:themeColor="text1"/>
          <w:sz w:val="16"/>
          <w:szCs w:val="16"/>
        </w:rPr>
      </w:pPr>
    </w:p>
    <w:p w14:paraId="65CFEA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ноября 1942 вышло Постановление ГКО № 2464 О дополнительном учреждении одного Красного знамени Государственного Комитета Обороны и двух Красных знамен ВЦСПС и Наркомхимпрома для заводов химической промышленности. РГАНИР, Фонд ГКО, д. 66, лл. 49 (11012).</w:t>
      </w:r>
    </w:p>
    <w:p w14:paraId="745F5E5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9B2CD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ноября 1942 вышло Постановление ГКО № 2465 О мероприятиях по обеспечению ввода в действие пусковых объектов Ново-Тагильского металлургического завода. РГАНИР, Фонд ГКО, д. 66, лл. 50-56, 57-64 (11012).</w:t>
      </w:r>
    </w:p>
    <w:p w14:paraId="2B85736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9A9A2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ноября 1942 вышло Постановление ГКО № 2466 О плане осенне-зимних лесозаготовок в сезон 1942/43 г.г. РГАНИР, Фонд ГКО, д. 66, лл. 65-79, 80-155 (11012).</w:t>
      </w:r>
    </w:p>
    <w:p w14:paraId="3BD528D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B8BB2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ноября 1942 судостроители-балтийцы совместно с рабочими завода "Большевик" и личным составом корабля ввели в действие главный калибр крейсера "Петропавловск", закончили заделку пробоин в подводной части корпуса (10671).</w:t>
      </w:r>
    </w:p>
    <w:p w14:paraId="395C994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071D90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AA04C12" w14:textId="77777777" w:rsidR="00090C9B" w:rsidRPr="00722885" w:rsidRDefault="00090C9B" w:rsidP="00722885">
      <w:pPr>
        <w:pStyle w:val="Iauiue"/>
        <w:jc w:val="both"/>
        <w:rPr>
          <w:iCs/>
          <w:color w:val="000000" w:themeColor="text1"/>
          <w:sz w:val="16"/>
          <w:szCs w:val="16"/>
        </w:rPr>
      </w:pPr>
    </w:p>
    <w:p w14:paraId="1293168C"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color w:val="000000" w:themeColor="text1"/>
          <w:sz w:val="16"/>
          <w:szCs w:val="16"/>
        </w:rPr>
        <w:t xml:space="preserve">1 ноября </w:t>
      </w:r>
      <w:r w:rsidRPr="00722885">
        <w:rPr>
          <w:rFonts w:ascii="Times New Roman" w:hAnsi="Times New Roman"/>
          <w:color w:val="000000" w:themeColor="text1"/>
          <w:sz w:val="16"/>
          <w:szCs w:val="16"/>
        </w:rPr>
        <w:t>в 1942 году утреннее сообщение Совинформбюро</w:t>
      </w:r>
    </w:p>
    <w:p w14:paraId="2FD4C1B1"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 ноября наши войска вели бои c противником в районе Сталинграда, северо-восточнее Туапсе и в районе Нальчика. На других фронтах никаких изменений не произошло.</w:t>
      </w:r>
    </w:p>
    <w:p w14:paraId="10176C0F"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части, обороняющие подступы к одному из заводов, отбили несколько атак противника силою до полка пехоты с танками. Немцы отступили на исходные позиции, оставив на поле боя 270 трупов своих солдат и офицеров и 2 подбитых танка. Экипаж танка младшего лейтенанта т. Субтело в течение двух суток не выходил из боя. За это время он уничтожил 8 немецких дзотов с их гарнизонами, орудие, несколько пулемётов и более взвода немецкой пехоты. На другом участке наши части вели активные боевые действия и несколько продвинулись вперёд.</w:t>
      </w:r>
    </w:p>
    <w:p w14:paraId="6D993D3C"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подразделения Н-ской части предприняли разведку боем. Советские бойцы ворвались в укрепления противника и в рукопашной схватке истребили 120 гитлеровцев. Огнём нашей артиллерии разрушено 7 вражеских дзотов и блиндажей и взорван склад боеприпасов.</w:t>
      </w:r>
    </w:p>
    <w:p w14:paraId="2ACF1312"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Нальчика наши части вели упорные оборонительные бои с противником. Входе этих боёв уничтожено до 300 немецких солдат и офицеров, 3 танка и 6автомашин с боеприпасами. Советские лётчики бомбили скопление танков и подходившие резервы противника.</w:t>
      </w:r>
    </w:p>
    <w:p w14:paraId="651B5F25"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Восточнее Новороссийска рота немцев, переодетых в красноармейскую форму, пыталась пробраться в расположение наших войск. Бойцы подразделения т. Гуреевабыстро обнаружили коварный приём противника и ружейно-пулемётным огнём истребили большую часть гитлеровцев.</w:t>
      </w:r>
    </w:p>
    <w:p w14:paraId="661E04D3"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два полка немецкой пехоты пытались прорваться к одному населённому пункту. Бойцы части, где командиром т. Андреев, оказали противнику упорное сопротивление и отстояли свои позиции. Отдельным группам гитлеровцев ценою больших потерь удалось вклиниться в нашу оборону. Прорвавшиеся группы противника уничтожены. На поле боя осталось свыше 300 трупов вражеских солдат и офицеров. Наши лётчики-истребители в воздушных боях сбили 6 немецких самолётов.</w:t>
      </w:r>
    </w:p>
    <w:p w14:paraId="28AC128F"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за три дня советские снайперы уничтожили 876 гитлеровцев. На подступах к Ленинграду нашими лётчиками и зенитчиками за истекшие сутки сбито 5 немецких самолётов.</w:t>
      </w:r>
    </w:p>
    <w:p w14:paraId="6C50ADBF"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оккупированных немцами районов Ленинградской области, за последнее время нанёс большой урон противнику. Партизаны пустили под откос 5 немецких поездов. В результате крушений уничтожено 4 паровоза, 10 цистерн с горючим, 7 вагонов с автомашинами, 30 вагонов с боеприпасами, 5 вагонов с войсками и 26 вагонов с различными военными грузами. Группа партизан другого ленинградского отряда из засад истребила 25 оккупантов, уничтожила легковую и 2 грузовые автомашины.</w:t>
      </w:r>
    </w:p>
    <w:p w14:paraId="6E266242"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расстреляли в Смоленске 75 жителей, отказавшихся поехать на германскую каторгу. Гитлеровские палачи вырезали семьи железнодорожных рабочих Ёльцова Петра Алексеевича, Ефремова Андрея Максимовича и Артамонова Михаила Никифоровича.</w:t>
      </w:r>
    </w:p>
    <w:p w14:paraId="51947124"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истребляют итало-немецких оккупантов. Во многих пунктах Хорватии идут ожесточённые бои. Только за последние дни оккупанты потеряли в этих боях убитыми и ранеными более 400 солдат и офицеров. В одном районе несколько партизанских отрядов окружили итальянский пехотный полк и ведут бои на его уничтожение. 1200 итальянцев взяты в плен. Партизаны захватили 33 станковых пулемёта, 60 ручных пулемётов, танк, несколько орудий и много патронов.» (14817).</w:t>
      </w:r>
    </w:p>
    <w:p w14:paraId="46C552F6" w14:textId="77777777" w:rsidR="008E32DC" w:rsidRPr="00722885" w:rsidRDefault="008E32DC" w:rsidP="00722885">
      <w:pPr>
        <w:spacing w:after="0" w:line="240" w:lineRule="auto"/>
        <w:jc w:val="both"/>
        <w:rPr>
          <w:rFonts w:ascii="Times New Roman" w:hAnsi="Times New Roman"/>
          <w:color w:val="000000" w:themeColor="text1"/>
          <w:sz w:val="16"/>
          <w:szCs w:val="16"/>
        </w:rPr>
      </w:pPr>
    </w:p>
    <w:p w14:paraId="1B0C7BE4"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color w:val="000000" w:themeColor="text1"/>
          <w:sz w:val="16"/>
          <w:szCs w:val="16"/>
        </w:rPr>
        <w:t xml:space="preserve">1 ноября </w:t>
      </w:r>
      <w:r w:rsidRPr="00722885">
        <w:rPr>
          <w:rFonts w:ascii="Times New Roman" w:hAnsi="Times New Roman"/>
          <w:color w:val="000000" w:themeColor="text1"/>
          <w:sz w:val="16"/>
          <w:szCs w:val="16"/>
        </w:rPr>
        <w:t>в 1942 году утреннее сообщение Совинформбюро:</w:t>
      </w:r>
    </w:p>
    <w:p w14:paraId="48F9891C"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 ноября наши войска вели бои с противником в районе Сталинграда, северо-восточнее Туапсе и в районе Нальчика. На других фронтах никаких изменений не произошло.</w:t>
      </w:r>
    </w:p>
    <w:p w14:paraId="280DC240"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25 по 31 октября включительно, в воздушных боях, на аэродромах и огнём зенитной артиллерии уничтожено 202 немецких самолёта. Наши потери за это же время — 128 самолётов.</w:t>
      </w:r>
    </w:p>
    <w:p w14:paraId="32E1EB3D"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 31 октября нашей авиацией на различных участках фронта уничтожено до 50 автомашин с войсками и грузами, 3 прожектора, взорвано 7 складов боеприпасов, разбит железнодорожный эшелон, подавлен огонь 4 артиллерийских батарей, рассеяно и частью уничтожено до роты пехоты противника.</w:t>
      </w:r>
    </w:p>
    <w:p w14:paraId="200A62C5"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противника. На отдельных участках наши части предприняли контратаки и несколько продвинулись вперёд. Утром в районе заводов полк немецкой пехоты после артиллерийской и авиационной подготовки перешёл в наступление. Бой длился три часа. Советские войска отбросили понёсшего большие потери противника на исходные рубежи. Не дав врагу опомниться, наши бойцы перешли в контратаку и заняли несколько опорных пунктов противника. В южном секторе обороны города Н-ская часть овладела первой линией немецких окопов. В ходе этих боёв уничтожено более 700 солдат и офицеров противника. Огнём нашей артиллерии, миномётов и авиации рассеяно и частью истреблено до двух полков немецкой пехоты, уничтожено 8 танков, 20 автомашин, 4 артиллерийских и 6 миномётных батарей противника. Нашими лётчиками в воздушных боях и огнём зенитной артиллерии сбито 13 немецких самолётов.</w:t>
      </w:r>
    </w:p>
    <w:p w14:paraId="497BF0B7"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свои позиции и вели разведку. Группа разведчиков Н-ского подразделения незаметно подобралась к вражеским дзотам и забросала их гранатами. Уничтожено 3 пулемёта и 35 гитлеровцев. На другом участке снайперами Н-ской части истреблено 80 немецких солдат и офицеров.</w:t>
      </w:r>
    </w:p>
    <w:p w14:paraId="32CE6B75"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Нальчика наши части вели тяжёлые оборонительные бои. Бойцы Н-скойчасти уничтожили 370 гитлеровцев и подбили 2 немецких танка. На другом участкепротивнику удалось вклиниться в нашу оборону. Наши части после упорных боёв, в ходе которых нанесли врагу большие потери, отошли на новые позиции.</w:t>
      </w:r>
    </w:p>
    <w:p w14:paraId="33FD2C37"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бойцы Н-ской части заняли высоту, имеющую важное значение. В боях за высоту уничтожено до 300 солдат и офицеров противника, захвачено 2 немецких орудия, 10 станковых пулемётов, 50 автоматов, много винтовок, 4 радиостанции, 7 автомашин и 2 боевых знамени. На другом участке гитлеровцы силою свыше батальона пехоты атаковали наши позиции, но были отброшены заградительным огнём.</w:t>
      </w:r>
    </w:p>
    <w:p w14:paraId="1296031D"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Новороссийска группа моряков-разведчиков совершила вылазку в тыл противника. Наши бойцы истребили до 100 гитлеровцев, уничтожили 6 пулемётных точек и склады боеприпасов и продовольствия. Снайпер Н-ской части тов. Слепенко за последнее время истребил 49 немецких солдат и офицеров, тов. Гончаренко — 19 и тов. Филичкин уничтожил 25 гитлеровцев.</w:t>
      </w:r>
    </w:p>
    <w:p w14:paraId="20022DCE"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семь немецких танков атаковали наши позиции. Бронебойщики-казахи тт. Шургей Малаев, Джюнс Ахмедзянов и Карк Байзаков бесстрашно встретили врага. Когда первый немецкий танк подошёл к окопу бронебойщиков на расстояние в 100 метров, они открыли огонь. Советские патриоты тт. Малаев, Ахмедзянов и Байзаков уничтожили один за другим 5 немецких танков. Шестой танк приблизился к окопу. Карк Байзаков схватил гранату, но не успел её бросить. Вражеский танк раздавил гусеницами трёх отважных героев. Весть о героической смерти трёх бойцов-казахов быстро облетела Н-скую часть. Советские воины поклялись ещё беспощаднее мстить гитлеровцам. B тот же день бронебойщики Прокопий Селезнев и Мавлин Авгумбаев подбили и сожгли 3 немецких танка.</w:t>
      </w:r>
    </w:p>
    <w:p w14:paraId="0EA3E924"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Сумской области, в течение месяца пустил под откос 5 железнодорожных эшелонов противника. В результате крушений уничтожено 5 паровозов, 87 вагонов и 39 платформ с вооружением и боеприпасами. Под обломками вагонов погибло много немецких солдат и офицеров. На минах, установленных партизанами, подорвалось 9 вражеских автомашин.</w:t>
      </w:r>
    </w:p>
    <w:p w14:paraId="4133D17C" w14:textId="77777777" w:rsidR="008E32DC" w:rsidRPr="00722885" w:rsidRDefault="008E32DC" w:rsidP="00722885">
      <w:pPr>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 xml:space="preserve">На одной из главных улиц города Лилль (Франция) французские патриоты бросили гранату в группу немецких офицеров. Три гитлеровца были убиты. Немецкие оккупационные власти произвели в городе аресты, но задержать виновных им не удалось.» </w:t>
      </w:r>
      <w:r w:rsidRPr="00722885">
        <w:rPr>
          <w:rFonts w:ascii="Times New Roman" w:hAnsi="Times New Roman"/>
          <w:color w:val="000000" w:themeColor="text1"/>
          <w:sz w:val="16"/>
          <w:szCs w:val="16"/>
          <w:lang w:val="en-US"/>
        </w:rPr>
        <w:t>(14817).</w:t>
      </w:r>
    </w:p>
    <w:p w14:paraId="7BF85FDB" w14:textId="77777777" w:rsidR="008E32DC" w:rsidRPr="00722885" w:rsidRDefault="008E32DC" w:rsidP="00722885">
      <w:pPr>
        <w:spacing w:after="0" w:line="240" w:lineRule="auto"/>
        <w:jc w:val="both"/>
        <w:rPr>
          <w:rFonts w:ascii="Times New Roman" w:hAnsi="Times New Roman"/>
          <w:color w:val="000000" w:themeColor="text1"/>
          <w:sz w:val="16"/>
          <w:szCs w:val="16"/>
          <w:lang w:val="en-US"/>
        </w:rPr>
      </w:pPr>
    </w:p>
    <w:p w14:paraId="02823E49" w14:textId="77777777" w:rsidR="008E32DC" w:rsidRPr="00722885" w:rsidRDefault="008E32DC" w:rsidP="00722885">
      <w:pPr>
        <w:spacing w:after="0" w:line="240" w:lineRule="auto"/>
        <w:jc w:val="both"/>
        <w:rPr>
          <w:rFonts w:ascii="Times New Roman" w:hAnsi="Times New Roman"/>
          <w:color w:val="000000" w:themeColor="text1"/>
          <w:sz w:val="16"/>
          <w:szCs w:val="16"/>
          <w:lang w:val="en-US"/>
        </w:rPr>
      </w:pPr>
      <w:r w:rsidRPr="00722885">
        <w:rPr>
          <w:rStyle w:val="ucoz-forum-post"/>
          <w:rFonts w:ascii="Times New Roman" w:hAnsi="Times New Roman"/>
          <w:color w:val="000000" w:themeColor="text1"/>
          <w:sz w:val="16"/>
          <w:szCs w:val="16"/>
          <w:lang w:val="en-US"/>
        </w:rPr>
        <w:t xml:space="preserve">1 </w:t>
      </w:r>
      <w:r w:rsidRPr="00722885">
        <w:rPr>
          <w:rStyle w:val="ucoz-forum-post"/>
          <w:rFonts w:ascii="Times New Roman" w:hAnsi="Times New Roman"/>
          <w:color w:val="000000" w:themeColor="text1"/>
          <w:sz w:val="16"/>
          <w:szCs w:val="16"/>
        </w:rPr>
        <w:t>ноября</w:t>
      </w:r>
      <w:r w:rsidRPr="00722885">
        <w:rPr>
          <w:rFonts w:ascii="Times New Roman" w:hAnsi="Times New Roman"/>
          <w:color w:val="000000" w:themeColor="text1"/>
          <w:sz w:val="16"/>
          <w:szCs w:val="16"/>
        </w:rPr>
        <w:t>в</w:t>
      </w:r>
      <w:r w:rsidRPr="00722885">
        <w:rPr>
          <w:rFonts w:ascii="Times New Roman" w:hAnsi="Times New Roman"/>
          <w:color w:val="000000" w:themeColor="text1"/>
          <w:sz w:val="16"/>
          <w:szCs w:val="16"/>
          <w:lang w:val="en-US"/>
        </w:rPr>
        <w:t xml:space="preserve"> 1942 </w:t>
      </w:r>
      <w:r w:rsidRPr="00722885">
        <w:rPr>
          <w:rFonts w:ascii="Times New Roman" w:hAnsi="Times New Roman"/>
          <w:color w:val="000000" w:themeColor="text1"/>
          <w:sz w:val="16"/>
          <w:szCs w:val="16"/>
        </w:rPr>
        <w:t>годунемецкиевойсказанялиАлагир</w:t>
      </w:r>
      <w:r w:rsidRPr="00722885">
        <w:rPr>
          <w:rFonts w:ascii="Times New Roman" w:hAnsi="Times New Roman"/>
          <w:color w:val="000000" w:themeColor="text1"/>
          <w:sz w:val="16"/>
          <w:szCs w:val="16"/>
          <w:lang w:val="en-US"/>
        </w:rPr>
        <w:t xml:space="preserve"> (14817).</w:t>
      </w:r>
    </w:p>
    <w:p w14:paraId="599C3562" w14:textId="77777777" w:rsidR="008E32DC" w:rsidRPr="00722885" w:rsidRDefault="008E32DC" w:rsidP="00722885">
      <w:pPr>
        <w:spacing w:after="0" w:line="240" w:lineRule="auto"/>
        <w:jc w:val="both"/>
        <w:rPr>
          <w:rFonts w:ascii="Times New Roman" w:hAnsi="Times New Roman"/>
          <w:color w:val="000000" w:themeColor="text1"/>
          <w:sz w:val="16"/>
          <w:szCs w:val="16"/>
          <w:lang w:val="en-US"/>
        </w:rPr>
      </w:pPr>
    </w:p>
    <w:p w14:paraId="58B8D9A7"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1, 1942: In their advance toward Ordshonikidse in the Caucasus, units of III.Panzerkorps (von Mackensen) capture Alagir on the upper Terek river (3819).</w:t>
      </w:r>
    </w:p>
    <w:p w14:paraId="4682BF79" w14:textId="77777777" w:rsidR="00090C9B" w:rsidRPr="00722885" w:rsidRDefault="00090C9B" w:rsidP="00722885">
      <w:pPr>
        <w:pStyle w:val="Iauiue"/>
        <w:jc w:val="both"/>
        <w:rPr>
          <w:color w:val="000000" w:themeColor="text1"/>
          <w:sz w:val="16"/>
          <w:szCs w:val="16"/>
          <w:lang w:val="en-US"/>
        </w:rPr>
      </w:pPr>
    </w:p>
    <w:p w14:paraId="20F85C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ноября 1942 в ходе наступления на Орджоникидзе части 3ТГ захватили Алагир в верхнем течении Терека (3819).</w:t>
      </w:r>
    </w:p>
    <w:p w14:paraId="73090D66" w14:textId="77777777" w:rsidR="00090C9B" w:rsidRPr="00722885" w:rsidRDefault="00090C9B" w:rsidP="00722885">
      <w:pPr>
        <w:pStyle w:val="Iauiue"/>
        <w:jc w:val="both"/>
        <w:rPr>
          <w:color w:val="000000" w:themeColor="text1"/>
          <w:sz w:val="16"/>
          <w:szCs w:val="16"/>
        </w:rPr>
      </w:pPr>
    </w:p>
    <w:p w14:paraId="3D54021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5AE1AFFB" w14:textId="77777777" w:rsidR="00090C9B" w:rsidRPr="00722885" w:rsidRDefault="00090C9B" w:rsidP="00722885">
      <w:pPr>
        <w:pStyle w:val="Iauiue"/>
        <w:jc w:val="both"/>
        <w:rPr>
          <w:iCs/>
          <w:color w:val="000000" w:themeColor="text1"/>
          <w:sz w:val="16"/>
          <w:szCs w:val="16"/>
        </w:rPr>
      </w:pPr>
    </w:p>
    <w:p w14:paraId="1F2918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ноября 1942 г., т.е. в разгар Сталинградской битвы был сдан в эксплуатацию бункер в Куйбышеве. Его, как и в Горьком, проектировали и возводили московские метростроевцы. Для этого в Куйбышев был откомандирован отряд аж из 600 специалистов. Им в помощь под подписку о неразглашении гостайны были приданы и местные рабочие. Для стройки был выбран двор невысокого здания обкома партии, расположенного недалеко от берега Волги, в северной части города. Работы шли стахановскими темпами, круглосуточно, в три смены. Ели и спали строители здесь же, на стройплощадке. Чтобы не привлекать внимание жителей, выемка грунта производилась практически вручную, затем землю аккуратно складывали в специальные мешочки и вывозили на неприметных «полуторках». Тем не менее работы затянулись. Проект оказался слишком масштабным и дорогостоящим. Если у Черчилля, в Лондоне, и у Рузвельта, в Вашингтоне, бункеры находились на уровне второго подземного этажа, а у Гитлера, в Берлине, – на глубине 16 м, то куйбышевский бункер замыслили разместить на глубине 37 м! Засев в таком сооружении, человек мог не бояться попаданий бомб любых калибров. Сооружение перекрывал монолитный бетон толщиной три метра, песчаная прослойка и еще один метровый бетонный «тюфяк». При его возведении были вынуты 20 тыс. кв. м грунта и уложено 10 тыс. куб. м бетона. С точки зрения строительного искусства это было уникальное сооружение. Система жизнеобеспечения убежища действовала полностью автономно. В бункере имелись мощная электростанция и установки регенерации воздуха. На самом нижнем, двенадцатом, этаже находился зал заседаний с таким же, как и в Кремле, длинным Т-образным столом, покрытым зеленым сукном. За ним могли одновременно разместиться 115 человек! Тут же, через коридор, располагался личный кабинет Сталина, имевший, как и кремлевский, несколько выходов. На верхних этажах располагались помещения для охраны, складов и служб технического обеспечения. Вход в бункер находился в холле обкома, справа от парадной лестницы, причем возле неприметной двери круглосуточно дежурил сотрудник НКВД. Еще одно секретное убежище было сооружено в Сталинграде. Вход в него был скрыт в огромном овраге, по которому текла река Царица. По воспоминаниям очевидцев, это было огромное помещение под землей, в центре которого имелся зал высотой десять метров. Самое невероятное заключается в том, что в зале стояли танк (!) и самолет По-2. Последний в случае необходимости должен был взлететь по пойме реки Царица в сторону Волги. Танком, вероятно, предполагалось воспользоваться в случае внезапного появления противника в районе убежища. Появилось тайное убежище и в Ярославской области. В 20 км от областного центра, на территории санатория «Красный холм», был сооружен большой бункер, в котором среди обычных помещений и коридоров с железными дверями, по рассказам очевидцев, был даже зал с мраморными колоннами (11774).</w:t>
      </w:r>
    </w:p>
    <w:p w14:paraId="06A8A06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E1D560C"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ноября 1942 г., т.е. в разгар Сталинградской битвы, объект в Куйбышеве был сдан в эксплуатацию бункер. С точки зрения строительного искусства это было уникальное сооружение. Система жизнеобеспечения убежища действовала полностью автономно. В бункере имелись мощная электростанция и установки регенерации воздуха. На самом нижнем, двенадцатом, этаже находился зал заседаний с таким же, как и в Кремле, длинным Т-образным столом, покрытым зеленым сукном. За ним могли одновременно разместиться 115 человек! Тут же, через коридор, располагался личный кабинет Сталина, имевший, как и кремлевский, несколько выходов. На верхних этажах располагались помещения для охраны, складов и служб технического обеспечения. Вход в бункер находился в холле обкома, справа от парадной лестницы, причем возле неприметной двери круглосуточно дежурил сотрудник НКВД. Бункер в Куйбышеве получил наибольшую известность. Его, как и в Горьком, проектировали и возводили московские метростроевцы. Для этого в Куйбышев был откомандирован отряд аж из 600 специалистов. Им в помощь под подписку о неразглашении гостайны были приданы и местные рабочие. Для стройки был выбран двор невысокого здания обкома партии, расположенного недалеко от берега Волги, в северной части города[80]. Работы шли стахановскими темпами, круглосуточно, в три смены. Ели и спали строители здесь же, на стройплощадке. Чтобы не привлекать внимание жителей, выемка грунта производилась практически вручную, затем землю аккуратно складывали в специальные мешочки и вывозили на неприметных «полуторках». Тем не менее работы затянулись. Проект оказался слишком масштабным и дорогостоящим. Если у Черчилля, в Лондоне, и у Рузвельта, в Вашингтоне, бункеры находились на уровне второго подземного этажа, а у Гитлера, в Берлине, – на глубине 16 м, то куйбышевский бункер замыслили разместить на глубине 37 м! Засев в таком сооружении, человек мог не бояться попаданий бомб любых калибров. Сооружение перекрывал монолитный бетон толщиной три метра, песчаная прослойка и еще один метровый бетонный «тюфяк». При его возведении были вынуты 20 тыс. кв. м грунта и уложено 10 тыс. куб. м бетона (15721).</w:t>
      </w:r>
    </w:p>
    <w:p w14:paraId="167AD5AA" w14:textId="77777777" w:rsidR="008E32DC" w:rsidRPr="00722885" w:rsidRDefault="008E32DC" w:rsidP="00722885">
      <w:pPr>
        <w:spacing w:after="0" w:line="240" w:lineRule="auto"/>
        <w:jc w:val="both"/>
        <w:rPr>
          <w:rFonts w:ascii="Times New Roman" w:hAnsi="Times New Roman"/>
          <w:color w:val="000000" w:themeColor="text1"/>
          <w:sz w:val="16"/>
          <w:szCs w:val="16"/>
        </w:rPr>
      </w:pPr>
    </w:p>
    <w:p w14:paraId="0163A34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67C2120" w14:textId="77777777" w:rsidR="00090C9B" w:rsidRPr="00722885" w:rsidRDefault="00090C9B" w:rsidP="00722885">
      <w:pPr>
        <w:pStyle w:val="Iauiue"/>
        <w:jc w:val="both"/>
        <w:rPr>
          <w:iCs/>
          <w:color w:val="000000" w:themeColor="text1"/>
          <w:sz w:val="16"/>
          <w:szCs w:val="16"/>
        </w:rPr>
      </w:pPr>
    </w:p>
    <w:p w14:paraId="5D4D2179" w14:textId="77777777" w:rsidR="00997BE7" w:rsidRPr="00722885" w:rsidRDefault="00997BE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ноября 1942 года состоялся первый полет Westland Welkin (20793).</w:t>
      </w:r>
    </w:p>
    <w:p w14:paraId="730A08D4" w14:textId="77777777" w:rsidR="00997BE7" w:rsidRPr="00722885" w:rsidRDefault="00997BE7" w:rsidP="00722885">
      <w:pPr>
        <w:spacing w:after="0" w:line="240" w:lineRule="auto"/>
        <w:jc w:val="both"/>
        <w:rPr>
          <w:rFonts w:ascii="Times New Roman" w:hAnsi="Times New Roman"/>
          <w:color w:val="0070C0"/>
          <w:sz w:val="16"/>
          <w:szCs w:val="16"/>
        </w:rPr>
      </w:pPr>
    </w:p>
    <w:p w14:paraId="6301A01B" w14:textId="77777777" w:rsidR="00997BE7" w:rsidRPr="00722885" w:rsidRDefault="00997BE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ноября 1942 года — первый полёт высотного истребителя Westland Welkin. /Англия/</w:t>
      </w:r>
    </w:p>
    <w:p w14:paraId="506805A6" w14:textId="77777777" w:rsidR="00997BE7" w:rsidRPr="00722885" w:rsidRDefault="00997BE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1940 году у Люфтваффе появился бомбардировщик Junkers Ju 86P, начавший выполнять разведывательные миссии над Англией на большой высоте. В ответ на это Авиационное министерство выпустило спецификацию F.4/40 на разработку высотного истребителя. Инженеры компании Westland Aircraft предложили проект Welkin, созданный на базе тяжёлого истребителя Whirlwind.</w:t>
      </w:r>
    </w:p>
    <w:p w14:paraId="41AD82FA" w14:textId="77777777" w:rsidR="00997BE7" w:rsidRPr="00722885" w:rsidRDefault="00997BE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Как и его «родитель», Welkin был среднепланом с убирающимся шасси. 2 × двигателя Rolls-Royce Merlin 76 с нагнетателями позволяли развить скорость до 620 км/ч. Благодаря гермокабине рабочая высота была 13 000 метров. Дальность полёта — 2380 км. Вооружение — 4 × 20-мм пушки Hispano.</w:t>
      </w:r>
    </w:p>
    <w:p w14:paraId="38868A36" w14:textId="77777777" w:rsidR="00997BE7" w:rsidRPr="00722885" w:rsidRDefault="00997BE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первому полёту Welkin немцы уже отказались от идеи высотных бомбардировок Англии, поэтому интерес к нему угас. Выпустили всего 77 самолётов, но в боях участия они не принимали. Тем не менее Welkin вошёл в историю как первый истребитель Королевских ВВС с гермокабиной (22300).</w:t>
      </w:r>
    </w:p>
    <w:p w14:paraId="1C7107D8" w14:textId="77777777" w:rsidR="00997BE7" w:rsidRPr="00722885" w:rsidRDefault="00997BE7" w:rsidP="00722885">
      <w:pPr>
        <w:spacing w:after="0" w:line="240" w:lineRule="auto"/>
        <w:jc w:val="both"/>
        <w:rPr>
          <w:rFonts w:ascii="Times New Roman" w:hAnsi="Times New Roman"/>
          <w:color w:val="0070C0"/>
          <w:sz w:val="16"/>
          <w:szCs w:val="16"/>
        </w:rPr>
      </w:pPr>
    </w:p>
    <w:p w14:paraId="430FC14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 ноября 1942 войска союзников прорвали немецкую оборону у Эль-Аламейна (Северная Африка) (4962).</w:t>
      </w:r>
    </w:p>
    <w:p w14:paraId="4E75F736" w14:textId="77777777" w:rsidR="00090C9B" w:rsidRPr="00722885" w:rsidRDefault="00090C9B" w:rsidP="00722885">
      <w:pPr>
        <w:pStyle w:val="Iauiue"/>
        <w:tabs>
          <w:tab w:val="left" w:pos="11199"/>
        </w:tabs>
        <w:jc w:val="both"/>
        <w:rPr>
          <w:color w:val="000000" w:themeColor="text1"/>
          <w:sz w:val="16"/>
          <w:szCs w:val="16"/>
        </w:rPr>
      </w:pPr>
    </w:p>
    <w:p w14:paraId="1E99C496"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1 1942 'Operation Supercharge' Allies break through Axis lines at El Alamein (1050).</w:t>
      </w:r>
    </w:p>
    <w:p w14:paraId="0C176C89" w14:textId="77777777" w:rsidR="00090C9B" w:rsidRPr="00722885" w:rsidRDefault="00090C9B" w:rsidP="00722885">
      <w:pPr>
        <w:pStyle w:val="Iauiue"/>
        <w:jc w:val="both"/>
        <w:rPr>
          <w:color w:val="000000" w:themeColor="text1"/>
          <w:sz w:val="16"/>
          <w:szCs w:val="16"/>
          <w:lang w:val="en-US"/>
        </w:rPr>
      </w:pPr>
    </w:p>
    <w:p w14:paraId="79AB86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ноября 1942 в ходе операции Supercharge союзники прорвали оборону противника под Эль Аламейном (1050).</w:t>
      </w:r>
    </w:p>
    <w:p w14:paraId="4454E32D" w14:textId="77777777" w:rsidR="00090C9B" w:rsidRPr="00722885" w:rsidRDefault="00090C9B" w:rsidP="00722885">
      <w:pPr>
        <w:pStyle w:val="Iauiue"/>
        <w:jc w:val="both"/>
        <w:rPr>
          <w:color w:val="000000" w:themeColor="text1"/>
          <w:sz w:val="16"/>
          <w:szCs w:val="16"/>
        </w:rPr>
      </w:pPr>
    </w:p>
    <w:p w14:paraId="079C12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ноября 1942 морские пехотинцы высадились на Гвадалканале (2261).</w:t>
      </w:r>
    </w:p>
    <w:p w14:paraId="097270F1" w14:textId="77777777" w:rsidR="00090C9B" w:rsidRPr="00722885" w:rsidRDefault="00090C9B" w:rsidP="00722885">
      <w:pPr>
        <w:pStyle w:val="Iauiue"/>
        <w:jc w:val="both"/>
        <w:rPr>
          <w:color w:val="000000" w:themeColor="text1"/>
          <w:sz w:val="16"/>
          <w:szCs w:val="16"/>
        </w:rPr>
      </w:pPr>
    </w:p>
    <w:p w14:paraId="0663753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0938FA6" w14:textId="77777777" w:rsidR="00090C9B" w:rsidRPr="00722885" w:rsidRDefault="00090C9B" w:rsidP="00722885">
      <w:pPr>
        <w:pStyle w:val="Iauiue"/>
        <w:jc w:val="both"/>
        <w:rPr>
          <w:iCs/>
          <w:color w:val="000000" w:themeColor="text1"/>
          <w:sz w:val="16"/>
          <w:szCs w:val="16"/>
        </w:rPr>
      </w:pPr>
    </w:p>
    <w:p w14:paraId="27FAAB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ноября 1942 Нач. НИИ ВВС гмиас Лосюков и Нач. 3 отд. НИИ ВВС Сафонов подписали Отчет гос. испытаний 2-местного Ил-2 N 4433 с АМ-38 с винтом АВ-5Л-158 д. 3,6 м</w:t>
      </w:r>
    </w:p>
    <w:p w14:paraId="5697B8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А.E.Репин утвердил Акт по результатам гос. испытаний 2-местного Ил-2 N 4433 с АМ-38 с винтом АВ-5Л-158 д. 3,6 м, которые проходили с 16 по 26 октября 1942 (811,4).</w:t>
      </w:r>
    </w:p>
    <w:p w14:paraId="15958A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инж. Им Синельников</w:t>
      </w:r>
    </w:p>
    <w:p w14:paraId="24E041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л. Им Супрун и др</w:t>
      </w:r>
    </w:p>
    <w:p w14:paraId="4A34B9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Объект испытаний: заводом № 1 на испытания предъявлен 2-х местный с-т Ил-2 АМ-38 № 4434 с задней стрелковой блистерной установкой под пулемет УБТ. С-т переделан из одноместного серийного Ил-2 АМ-38</w:t>
      </w:r>
    </w:p>
    <w:p w14:paraId="63BE32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Основные переделки:</w:t>
      </w:r>
    </w:p>
    <w:p w14:paraId="1295FDC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место заднего фюзеляжного б/б и выреза в хвостовой части фюзеляжа оборудована кабина стрелка, где установлен п-т УБТ на стрелковой блистерной установкой с запасом патронов 150 шт. в трех магазинах. В кабине стрелка установлено регулируемое по высоте сидение.</w:t>
      </w:r>
    </w:p>
    <w:p w14:paraId="1F3549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радиоприемник РСИ-4А, переговорное устройство СПУ-2Ф, умформер передатчика</w:t>
      </w:r>
    </w:p>
    <w:p w14:paraId="5A63EC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под полом кабины аккумулятор 12А-10</w:t>
      </w:r>
    </w:p>
    <w:p w14:paraId="467DDE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вместо заднего фюзеляжного бака емкостью 300 л установлены в центроплана в двух боибоотсеках два забронированных б/б емкостью по 150 л.</w:t>
      </w:r>
    </w:p>
    <w:p w14:paraId="65C379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кабина стрелка защищена броней сбоку, снизу и сзади. Ддя защиты его головы плита на фонаре, надголовник и на кольце блистера - прозрачная броня. Кабина стрелка снабжена сдвигающимся прозрачным фонарем. Т-образная антенна заменена на антенну в виде двух лучей, идущих от конца стабилизатора к проходному изолятору на фюзеляже.</w:t>
      </w:r>
    </w:p>
    <w:p w14:paraId="1727EE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связи с установкой двух б/б в бомбообсеки, емкость внутренних бомбодержателей уменьшена вдвое против прежнего (вместо 4 замков для бомб ФАБ-100 или ФАБ-50 имеется 2)</w:t>
      </w:r>
    </w:p>
    <w:p w14:paraId="71EFDA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Этот с-т имеет больший вес на 100-110 кг по сравнению с с-том Ил-2 двухместным № 887 завода № 30</w:t>
      </w:r>
    </w:p>
    <w:p w14:paraId="19975D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Краткие рез-ты испытаний:</w:t>
      </w:r>
    </w:p>
    <w:p w14:paraId="5EF065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16 по 26 октября произведено 28 полетов, налет 9:05</w:t>
      </w:r>
    </w:p>
    <w:p w14:paraId="4771A7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 4628, вес нагрузки 1352, в т.ч.:</w:t>
      </w:r>
    </w:p>
    <w:p w14:paraId="6E2D093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экипаж - 180</w:t>
      </w:r>
    </w:p>
    <w:p w14:paraId="50C7A3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горючее 532</w:t>
      </w:r>
    </w:p>
    <w:p w14:paraId="15C61C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смазочное 65</w:t>
      </w:r>
    </w:p>
    <w:p w14:paraId="6C4B0B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пушки ШВАКх2 80</w:t>
      </w:r>
    </w:p>
    <w:p w14:paraId="15FDA9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ШВАК (500 с ящиками) - 115</w:t>
      </w:r>
    </w:p>
    <w:p w14:paraId="3F63DCF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пулеметы ШКАСх2 - 21</w:t>
      </w:r>
    </w:p>
    <w:p w14:paraId="7520DE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ШКАС (1500 с ящиками) - 54</w:t>
      </w:r>
    </w:p>
    <w:p w14:paraId="090973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П-т УБТх1 - 21</w:t>
      </w:r>
    </w:p>
    <w:p w14:paraId="4A9BD5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нему (3 магазина - 150) - 30</w:t>
      </w:r>
    </w:p>
    <w:p w14:paraId="576824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бомбы - 200</w:t>
      </w:r>
    </w:p>
    <w:p w14:paraId="51456D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8хРС-82 - 54</w:t>
      </w:r>
    </w:p>
    <w:p w14:paraId="6F858A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(норм./перегр.) - 5980/6180</w:t>
      </w:r>
    </w:p>
    <w:p w14:paraId="710F1A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Перегрузочный вариант отличается от нормального увеличением бомбовой нагрузки на 200 кг на наружной подвеске</w:t>
      </w:r>
    </w:p>
    <w:p w14:paraId="6B6FD6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p w14:paraId="3C8E96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у земли - 388 и 368 в перегрузочном вар-те (2хФАБ-100 на внешней подвеске и 8 РС-82)</w:t>
      </w:r>
    </w:p>
    <w:p w14:paraId="4531D9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2000 - 407 и 387</w:t>
      </w:r>
    </w:p>
    <w:p w14:paraId="246AC0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420, скорость отрыва 159, взлетная дистанция (25 м) 1120</w:t>
      </w:r>
    </w:p>
    <w:p w14:paraId="2E5C8B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на форсаже - 390, 159, 980</w:t>
      </w:r>
    </w:p>
    <w:p w14:paraId="2F6228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перегрузочного вар-та - 465, дистанция 1120, скорость отрыва 163</w:t>
      </w:r>
    </w:p>
    <w:p w14:paraId="63BCF6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Маневренность на 1000 м - вираж 48-49, высота боевого разворота 400 (скорость начала 340, конца 250, полетный вес 5980)</w:t>
      </w:r>
    </w:p>
    <w:p w14:paraId="633894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с-те № 887 (завода № 30) никаких изменений в перестановке б/б и броне не было.</w:t>
      </w:r>
    </w:p>
    <w:p w14:paraId="0C9D91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Кабина стрелка сделана сзади б/б, находящегося за спиной л. Кабина тесна и неудобна. Бронирования ее нет. Бомбовая нагрузка остается той же - 400 кг на внутренней и 200 кг га наружной.</w:t>
      </w:r>
    </w:p>
    <w:p w14:paraId="13E3EB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Сравнительная таблица ЛТД 2-х местных Ил-2 пр-ва заводов № 30 и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751"/>
        <w:gridCol w:w="2835"/>
      </w:tblGrid>
      <w:tr w:rsidR="009B487A" w:rsidRPr="00722885" w14:paraId="3F134A3F" w14:textId="77777777" w:rsidTr="00CC5360">
        <w:tc>
          <w:tcPr>
            <w:tcW w:w="3736" w:type="dxa"/>
            <w:tcBorders>
              <w:top w:val="single" w:sz="12" w:space="0" w:color="auto"/>
            </w:tcBorders>
          </w:tcPr>
          <w:p w14:paraId="29D49E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Наименование</w:t>
            </w:r>
          </w:p>
        </w:tc>
        <w:tc>
          <w:tcPr>
            <w:tcW w:w="2751" w:type="dxa"/>
            <w:tcBorders>
              <w:top w:val="single" w:sz="12" w:space="0" w:color="auto"/>
            </w:tcBorders>
          </w:tcPr>
          <w:p w14:paraId="5CD20B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 № 4434 завода № 1</w:t>
            </w:r>
          </w:p>
        </w:tc>
        <w:tc>
          <w:tcPr>
            <w:tcW w:w="2835" w:type="dxa"/>
            <w:tcBorders>
              <w:top w:val="single" w:sz="12" w:space="0" w:color="auto"/>
            </w:tcBorders>
          </w:tcPr>
          <w:p w14:paraId="011FE1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 № 887 завода № 30</w:t>
            </w:r>
          </w:p>
        </w:tc>
      </w:tr>
      <w:tr w:rsidR="009B487A" w:rsidRPr="00722885" w14:paraId="0CAC4CD7" w14:textId="77777777" w:rsidTr="00CC5360">
        <w:tc>
          <w:tcPr>
            <w:tcW w:w="3736" w:type="dxa"/>
          </w:tcPr>
          <w:p w14:paraId="621435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w:t>
            </w:r>
          </w:p>
        </w:tc>
        <w:tc>
          <w:tcPr>
            <w:tcW w:w="2751" w:type="dxa"/>
          </w:tcPr>
          <w:p w14:paraId="3C5DA9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4628</w:t>
            </w:r>
          </w:p>
        </w:tc>
        <w:tc>
          <w:tcPr>
            <w:tcW w:w="2835" w:type="dxa"/>
          </w:tcPr>
          <w:p w14:paraId="70306C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4517</w:t>
            </w:r>
          </w:p>
        </w:tc>
      </w:tr>
      <w:tr w:rsidR="009B487A" w:rsidRPr="00722885" w14:paraId="08717547" w14:textId="77777777" w:rsidTr="00CC5360">
        <w:tc>
          <w:tcPr>
            <w:tcW w:w="3736" w:type="dxa"/>
          </w:tcPr>
          <w:p w14:paraId="490C8B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вес</w:t>
            </w:r>
          </w:p>
        </w:tc>
        <w:tc>
          <w:tcPr>
            <w:tcW w:w="2751" w:type="dxa"/>
          </w:tcPr>
          <w:p w14:paraId="0160E9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5980</w:t>
            </w:r>
          </w:p>
        </w:tc>
        <w:tc>
          <w:tcPr>
            <w:tcW w:w="2835" w:type="dxa"/>
          </w:tcPr>
          <w:p w14:paraId="7DE2FF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6100</w:t>
            </w:r>
          </w:p>
        </w:tc>
      </w:tr>
      <w:tr w:rsidR="009B487A" w:rsidRPr="00722885" w14:paraId="5AC3B465" w14:textId="77777777" w:rsidTr="00CC5360">
        <w:tc>
          <w:tcPr>
            <w:tcW w:w="3736" w:type="dxa"/>
          </w:tcPr>
          <w:p w14:paraId="03ACC9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Центровка</w:t>
            </w:r>
          </w:p>
        </w:tc>
        <w:tc>
          <w:tcPr>
            <w:tcW w:w="2751" w:type="dxa"/>
          </w:tcPr>
          <w:p w14:paraId="16B2BA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28,75%</w:t>
            </w:r>
          </w:p>
        </w:tc>
        <w:tc>
          <w:tcPr>
            <w:tcW w:w="2835" w:type="dxa"/>
          </w:tcPr>
          <w:p w14:paraId="61AD91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32,85%</w:t>
            </w:r>
          </w:p>
        </w:tc>
      </w:tr>
      <w:tr w:rsidR="009B487A" w:rsidRPr="00722885" w14:paraId="091C1D73" w14:textId="77777777" w:rsidTr="00CC5360">
        <w:tc>
          <w:tcPr>
            <w:tcW w:w="3736" w:type="dxa"/>
          </w:tcPr>
          <w:p w14:paraId="20EC60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Бобардировочное вооружение внутрення загрузка</w:t>
            </w:r>
          </w:p>
        </w:tc>
        <w:tc>
          <w:tcPr>
            <w:tcW w:w="2751" w:type="dxa"/>
          </w:tcPr>
          <w:p w14:paraId="273493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c>
          <w:tcPr>
            <w:tcW w:w="2835" w:type="dxa"/>
          </w:tcPr>
          <w:p w14:paraId="270F18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4х50 или 4х100</w:t>
            </w:r>
          </w:p>
        </w:tc>
      </w:tr>
      <w:tr w:rsidR="009B487A" w:rsidRPr="00722885" w14:paraId="5EDF5CF1" w14:textId="77777777" w:rsidTr="00CC5360">
        <w:tc>
          <w:tcPr>
            <w:tcW w:w="3736" w:type="dxa"/>
          </w:tcPr>
          <w:p w14:paraId="16A278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внешняя</w:t>
            </w:r>
          </w:p>
        </w:tc>
        <w:tc>
          <w:tcPr>
            <w:tcW w:w="2751" w:type="dxa"/>
          </w:tcPr>
          <w:p w14:paraId="71EC27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c>
          <w:tcPr>
            <w:tcW w:w="2835" w:type="dxa"/>
          </w:tcPr>
          <w:p w14:paraId="0BABF4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r>
      <w:tr w:rsidR="009B487A" w:rsidRPr="00722885" w14:paraId="6880F11B" w14:textId="77777777" w:rsidTr="00CC5360">
        <w:tc>
          <w:tcPr>
            <w:tcW w:w="3736" w:type="dxa"/>
          </w:tcPr>
          <w:p w14:paraId="39FD82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Ракетное вооружение</w:t>
            </w:r>
          </w:p>
        </w:tc>
        <w:tc>
          <w:tcPr>
            <w:tcW w:w="2751" w:type="dxa"/>
          </w:tcPr>
          <w:p w14:paraId="4D896F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w:t>
            </w:r>
          </w:p>
        </w:tc>
        <w:tc>
          <w:tcPr>
            <w:tcW w:w="2835" w:type="dxa"/>
          </w:tcPr>
          <w:p w14:paraId="2C76E6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w:t>
            </w:r>
          </w:p>
        </w:tc>
      </w:tr>
      <w:tr w:rsidR="009B487A" w:rsidRPr="00722885" w14:paraId="47EDDD8C" w14:textId="77777777" w:rsidTr="00CC5360">
        <w:tc>
          <w:tcPr>
            <w:tcW w:w="3736" w:type="dxa"/>
          </w:tcPr>
          <w:p w14:paraId="35AE80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tc>
        <w:tc>
          <w:tcPr>
            <w:tcW w:w="2751" w:type="dxa"/>
          </w:tcPr>
          <w:p w14:paraId="027964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391/280 с 2хФАБ-100 внутри и 8хРС</w:t>
            </w:r>
          </w:p>
        </w:tc>
        <w:tc>
          <w:tcPr>
            <w:tcW w:w="2835" w:type="dxa"/>
          </w:tcPr>
          <w:p w14:paraId="0613FD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386/280 с 4хФАБ-100 внутри и 8хРС</w:t>
            </w:r>
          </w:p>
        </w:tc>
      </w:tr>
      <w:tr w:rsidR="009B487A" w:rsidRPr="00722885" w14:paraId="0C764EB3" w14:textId="77777777" w:rsidTr="00CC5360">
        <w:tc>
          <w:tcPr>
            <w:tcW w:w="3736" w:type="dxa"/>
          </w:tcPr>
          <w:p w14:paraId="0B590F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набора 1000 м</w:t>
            </w:r>
          </w:p>
        </w:tc>
        <w:tc>
          <w:tcPr>
            <w:tcW w:w="2751" w:type="dxa"/>
          </w:tcPr>
          <w:p w14:paraId="72A16B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w:t>
            </w:r>
          </w:p>
        </w:tc>
        <w:tc>
          <w:tcPr>
            <w:tcW w:w="2835" w:type="dxa"/>
          </w:tcPr>
          <w:p w14:paraId="359411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w:t>
            </w:r>
          </w:p>
        </w:tc>
      </w:tr>
      <w:tr w:rsidR="009B487A" w:rsidRPr="00722885" w14:paraId="74008EDB" w14:textId="77777777" w:rsidTr="00CC5360">
        <w:tc>
          <w:tcPr>
            <w:tcW w:w="3736" w:type="dxa"/>
          </w:tcPr>
          <w:p w14:paraId="31B5D5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(с форсажем)</w:t>
            </w:r>
          </w:p>
        </w:tc>
        <w:tc>
          <w:tcPr>
            <w:tcW w:w="2751" w:type="dxa"/>
          </w:tcPr>
          <w:p w14:paraId="27C7FED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390</w:t>
            </w:r>
          </w:p>
        </w:tc>
        <w:tc>
          <w:tcPr>
            <w:tcW w:w="2835" w:type="dxa"/>
          </w:tcPr>
          <w:p w14:paraId="3E879F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390</w:t>
            </w:r>
          </w:p>
        </w:tc>
      </w:tr>
      <w:tr w:rsidR="009B487A" w:rsidRPr="00722885" w14:paraId="1B95E74C" w14:textId="77777777" w:rsidTr="00CC5360">
        <w:tc>
          <w:tcPr>
            <w:tcW w:w="3736" w:type="dxa"/>
          </w:tcPr>
          <w:p w14:paraId="54754E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дистанция с форсажем</w:t>
            </w:r>
          </w:p>
        </w:tc>
        <w:tc>
          <w:tcPr>
            <w:tcW w:w="2751" w:type="dxa"/>
          </w:tcPr>
          <w:p w14:paraId="336300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980</w:t>
            </w:r>
          </w:p>
        </w:tc>
        <w:tc>
          <w:tcPr>
            <w:tcW w:w="2835" w:type="dxa"/>
          </w:tcPr>
          <w:p w14:paraId="781012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1240</w:t>
            </w:r>
          </w:p>
        </w:tc>
      </w:tr>
      <w:tr w:rsidR="009B487A" w:rsidRPr="00722885" w14:paraId="151E980F" w14:textId="77777777" w:rsidTr="00CC5360">
        <w:tc>
          <w:tcPr>
            <w:tcW w:w="3736" w:type="dxa"/>
            <w:tcBorders>
              <w:bottom w:val="single" w:sz="12" w:space="0" w:color="auto"/>
            </w:tcBorders>
          </w:tcPr>
          <w:p w14:paraId="60D702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Емкость б/баков</w:t>
            </w:r>
          </w:p>
        </w:tc>
        <w:tc>
          <w:tcPr>
            <w:tcW w:w="2751" w:type="dxa"/>
            <w:tcBorders>
              <w:bottom w:val="single" w:sz="12" w:space="0" w:color="auto"/>
            </w:tcBorders>
          </w:tcPr>
          <w:p w14:paraId="339496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720</w:t>
            </w:r>
          </w:p>
        </w:tc>
        <w:tc>
          <w:tcPr>
            <w:tcW w:w="2835" w:type="dxa"/>
            <w:tcBorders>
              <w:bottom w:val="single" w:sz="12" w:space="0" w:color="auto"/>
            </w:tcBorders>
          </w:tcPr>
          <w:p w14:paraId="665991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720</w:t>
            </w:r>
          </w:p>
        </w:tc>
      </w:tr>
    </w:tbl>
    <w:p w14:paraId="51BC46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постановлению ГОКО - нормальная бомбовая нагрузка двухместного Ил-2 - 300 кг + 4хРС-82</w:t>
      </w:r>
    </w:p>
    <w:p w14:paraId="3EE3A8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 Ил-2 № 4434 - по мягкому травному грунту</w:t>
      </w:r>
    </w:p>
    <w:p w14:paraId="3EC19D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Заключение:</w:t>
      </w:r>
    </w:p>
    <w:p w14:paraId="24D4E4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Двухместный с-т Ил-2 производства з-да № 1 по сравнению с 2-х местным Ил-2 завода № 30 имеет следующие преимущества:</w:t>
      </w:r>
    </w:p>
    <w:p w14:paraId="164C9E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кабина стрелка свободна, в ней обеспечивается удобство работы</w:t>
      </w:r>
    </w:p>
    <w:p w14:paraId="145F66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кабина стрелка забронирована сбоку, снизу, сзади и частично сверху</w:t>
      </w:r>
    </w:p>
    <w:p w14:paraId="2ADF81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сохранена центровка с-та</w:t>
      </w:r>
    </w:p>
    <w:p w14:paraId="5B880F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 недостатки:</w:t>
      </w:r>
    </w:p>
    <w:p w14:paraId="0DCF457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уменьшегно число замков для внутренней подвески бомб - вместо 4-х - 2, общая емкость при этом снизилась до 400 кг вместо 600 кг, что не позволит увеличить бомбовую нагрузку при постановке на с-т более мощного мотора АМ-38Ф</w:t>
      </w:r>
    </w:p>
    <w:p w14:paraId="63A958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увеличенная поражаемая поверхность б/б</w:t>
      </w:r>
    </w:p>
    <w:p w14:paraId="72B11D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увеличен вес пустого на 100-110 кг</w:t>
      </w:r>
    </w:p>
    <w:p w14:paraId="0FBD90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Решение о целесообразности постройки 2-х местного с-тов Ил-2 производства з-да № 1 принять после проведения войсковых испытаний 2-х местных машин производства завода № 30... Этот с-т передать в часты, производящую войсковые испытания Ил-2 завода № 30</w:t>
      </w:r>
    </w:p>
    <w:p w14:paraId="7665F8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Донесение испытателя м Долгова: С-т Ил-2 № 4434 по типу пилотирования со всеми вариантами загрузки ничем не отличается от нормального серийного одноместного с-та (несколько больше склонен к планированию при скорости 190 км/час за счет увеличения полетного веса).</w:t>
      </w:r>
    </w:p>
    <w:p w14:paraId="40F470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Ил-2 № 4434 по технике пилотирования приятнее с-та Ил-2 № 887: легче поднимает хвост на взлете, легче в управлении, хороше послушен на рулении, не чувствуется задней центровки</w:t>
      </w:r>
    </w:p>
    <w:p w14:paraId="7C8526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Октябрь 1942</w:t>
      </w:r>
    </w:p>
    <w:p w14:paraId="1B1EC4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Донесение им А.В.Синельникова по облету Ил-2 № 4434 - в общем с-т Ил-2 производства з-да № 1 в управлении приятен - 26 октября 1942 (811,4).</w:t>
      </w:r>
    </w:p>
    <w:p w14:paraId="06584039" w14:textId="77777777" w:rsidR="00090C9B" w:rsidRPr="00722885" w:rsidRDefault="00090C9B" w:rsidP="00722885">
      <w:pPr>
        <w:pStyle w:val="Iauiue"/>
        <w:jc w:val="both"/>
        <w:rPr>
          <w:color w:val="000000" w:themeColor="text1"/>
          <w:sz w:val="16"/>
          <w:szCs w:val="16"/>
        </w:rPr>
      </w:pPr>
    </w:p>
    <w:p w14:paraId="02A490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ноября и 18 декабря 1942 постановлением ГКО была положительно оценена работа ЦАГИ по повышению скорости серийных истребителей (237,200).</w:t>
      </w:r>
    </w:p>
    <w:p w14:paraId="7E4FA2CD" w14:textId="77777777" w:rsidR="00090C9B" w:rsidRPr="00722885" w:rsidRDefault="00090C9B" w:rsidP="00722885">
      <w:pPr>
        <w:pStyle w:val="Iauiue"/>
        <w:jc w:val="both"/>
        <w:rPr>
          <w:color w:val="000000" w:themeColor="text1"/>
          <w:sz w:val="16"/>
          <w:szCs w:val="16"/>
        </w:rPr>
      </w:pPr>
    </w:p>
    <w:p w14:paraId="50257DC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ноября 1942 вышло постановление ГКО о производстве Як-7Б с М-105ПФ на 153 заводе (65,89).</w:t>
      </w:r>
    </w:p>
    <w:p w14:paraId="4956E3AE" w14:textId="77777777" w:rsidR="00090C9B" w:rsidRPr="00722885" w:rsidRDefault="00090C9B" w:rsidP="00722885">
      <w:pPr>
        <w:pStyle w:val="Iauiue"/>
        <w:jc w:val="both"/>
        <w:rPr>
          <w:color w:val="000000" w:themeColor="text1"/>
          <w:sz w:val="16"/>
          <w:szCs w:val="16"/>
        </w:rPr>
      </w:pPr>
    </w:p>
    <w:p w14:paraId="25696061" w14:textId="77777777" w:rsidR="008E32DC"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ноября 1942 вышло Постановление ГКО № 2467 Об улучшении летных данных серийных самолетов Як-1, Як-7 и ЛаГГ-3. РГАНИР, Фонд ГКО, д. 66, лл. 156-156об (11012).</w:t>
      </w:r>
    </w:p>
    <w:p w14:paraId="56A33EBB" w14:textId="77777777" w:rsidR="008E32DC" w:rsidRPr="00722885" w:rsidRDefault="008E32DC" w:rsidP="00722885">
      <w:pPr>
        <w:spacing w:after="0" w:line="240" w:lineRule="auto"/>
        <w:jc w:val="both"/>
        <w:rPr>
          <w:rFonts w:ascii="Times New Roman" w:hAnsi="Times New Roman"/>
          <w:color w:val="000000" w:themeColor="text1"/>
          <w:sz w:val="16"/>
          <w:szCs w:val="16"/>
        </w:rPr>
      </w:pPr>
    </w:p>
    <w:p w14:paraId="4FAA6F70"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ноября 1942 г. ГКО принял постановление № 2467 «Об улучшении летных данных серийных самолетов Як-1, Як-7 и ЛаГГ-3». В нем говорилось: «Исследования, проведенные в больших аэродинамических трубах ЦАГИ и летные испытания ЛИИ НКАП показали, что максимальные скорости серийных самолетов Як-1, Як-7 и ЛаГГ-3 могут быть повышены при обычном моторе М-105ПФ при проведении следующих аэродинамических улучшений: улучшение обтекания туннеля водяных и масляных радиаторов; улучшение обтекания канала всасывающих патрубков; улучшение обтекания шасси и костыля в убранном виде; заделка всех лишних щелей в перегородках, внутри фюзеляжа, капота, обтекателей оперения, обшивки крыла и фюзеляжа; улучшение обтекания фонаря; постановка специальных обтекателей на выхлопные патрубки и другие. Самолеты Як-1, Як-7 и ЛаГГ-3 с проведением указанных аэродинамических улучшений дали увеличение скорости на 20—25 км/ч, по сравнению с самолетами, выпускаемыми в серии. Государственный Комитет Обороны постановляет: Обязать Наркомавиапром т. Шахурина, главных конструкторов: т.т. Яковлева, Лавочкина, Горбунова и директоров заводов: № 292 тов. Левина, № 153 тов. Романова, № 31 тов. Саладзе выпускать самолеты Як-1, Як-7 и ЛаГГ-3 с указанными аэродинамическими улучшениями».</w:t>
      </w:r>
    </w:p>
    <w:p w14:paraId="5881FDEB" w14:textId="77777777" w:rsidR="00044450" w:rsidRPr="00722885" w:rsidRDefault="0004445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Систематическая работа над формой гондол маслорадиаторов и водорадиаторов привела к созданию новых форм туннелей с плавно расширяющейся входной частью и довольно большим поджатием на входе. Туннель водорадиатора УВ-5 на самолете Як-1, сконструированный в соответствии с этими принципами, дал выигрыш в скорости около 18 км/ч, улучшение туннеля маслорадиатора бомбардировщика Пе-2 повысило скорость на 4 км/ч, штурмовика Ил-2 — на 8 км/ч. Модернизация всасывающих патрубков и вынос их из затененных зон на истребителе ЛаГГ-3 дала прирост скорости 3 км/ч, на Як-1 — на 4 км/ч. В строевых частях летчики истребителей часто выполняли боевые полеты с открытым фонарем каби36 ны опасаясь, что не смогут его открыть в аварийной ситуации. Это «съедало» 10—20 км/ч максимальной скорости. Результаты измерения давлений на внутреннюю и наружную поверхности фонаря самолета Як-7 показали, что трудность открывания фонаря вызывается большими аэродинамическими нагрузками на подвижный колпак. На внешнюю поверхность колпака действовало разряжение (около 22% скоростного напора), в то время как «при негерметичных перегородках фюзеляжа давление в кабине было даже несколько выше, чем атмосферное давление». Наибо - лее радикальным средством облегчения открывания фонаря стала тщательная изоляция кабины от других полостей самолетов. Для самолетов, находящихся в эксплуатации и не имеющих гермоперегородок в фюзеляже, специалисты ЦАГИ разработали убирающуюся пластинку, которая своим лобовым сопротивлением помогала летчику открыть фонарь (19727).</w:t>
      </w:r>
    </w:p>
    <w:p w14:paraId="0DF6FF3C" w14:textId="77777777" w:rsidR="00044450" w:rsidRPr="00722885" w:rsidRDefault="00044450" w:rsidP="00722885">
      <w:pPr>
        <w:spacing w:after="0" w:line="240" w:lineRule="auto"/>
        <w:jc w:val="both"/>
        <w:rPr>
          <w:rFonts w:ascii="Times New Roman" w:hAnsi="Times New Roman"/>
          <w:color w:val="000000" w:themeColor="text1"/>
          <w:sz w:val="16"/>
          <w:szCs w:val="16"/>
        </w:rPr>
      </w:pPr>
    </w:p>
    <w:p w14:paraId="57AA52A0" w14:textId="77777777" w:rsidR="008E32DC"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ноября 1942 г. Первая страница постановления № ГОКО-2467сс </w:t>
      </w:r>
    </w:p>
    <w:p w14:paraId="3C3095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 Кремль</w:t>
      </w:r>
    </w:p>
    <w:p w14:paraId="2EF54C3E" w14:textId="77777777" w:rsidR="008E32DC"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Сов. секретно </w:t>
      </w:r>
    </w:p>
    <w:p w14:paraId="137AAC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КОМИТЕТ ОБОРОНЫ ПОСТАНОВЛЕНИЕ № ГОКО-2467сс</w:t>
      </w:r>
    </w:p>
    <w:p w14:paraId="6438C3BA" w14:textId="77777777" w:rsidR="008E32DC"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от 2 ноября 1942 г. Москва, Кремль </w:t>
      </w:r>
    </w:p>
    <w:p w14:paraId="70B9A1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 улучшении летных данных серийных самолетов Як-1, Як-7 и ЛаГГ-3.</w:t>
      </w:r>
    </w:p>
    <w:p w14:paraId="1C839F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Исследования, проведенные в больших аэродинамических трубах ЦАГИ и летные испытания ЛИИ НКАП показали, что максимальные скорости серийных самолетов Як-1, Як-7 и ЛаГГ-3 могут быть повышены при обычном моторе М-105ПФ при проведении следующих аэродинамических улучшений: </w:t>
      </w:r>
    </w:p>
    <w:p w14:paraId="0091D4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улучшение обтекания туннеля водяных и масляных радиаторов; </w:t>
      </w:r>
    </w:p>
    <w:p w14:paraId="75A1F4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улучшение обтекания канала всасывающих патрубков; </w:t>
      </w:r>
    </w:p>
    <w:p w14:paraId="6137E2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улучшение обтекания шасси и костыля в убранном виде; </w:t>
      </w:r>
    </w:p>
    <w:p w14:paraId="37F103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заделка всех лишних щелей в перегородках, внутри фюзеляжа, капота, обтекателей оперения, обшивки крыла и фюзеляжа; </w:t>
      </w:r>
    </w:p>
    <w:p w14:paraId="3415B9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улучшение обтекания фонаря; </w:t>
      </w:r>
    </w:p>
    <w:p w14:paraId="408630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постановка специальных обтекателей на выхлопные патрубки и другие. </w:t>
      </w:r>
    </w:p>
    <w:p w14:paraId="76EEA4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Самолеты Як-1, Як-7 и ЛаГГ-3 с проведением указанных аэродинамических улучшений дали увеличение скорости на 20-25 км, по сравнению с самолетами, выпускаемыми в серии. </w:t>
      </w:r>
    </w:p>
    <w:p w14:paraId="3C3A5D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Скорость этих самолетов увеличилась у земли до 525-530 км, а скорость на расчетной высоте достигла 590 км/час. </w:t>
      </w:r>
    </w:p>
    <w:p w14:paraId="262E9B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Государственный Комитет Обороны постановляет: </w:t>
      </w:r>
    </w:p>
    <w:p w14:paraId="651834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Обязать Наркомавиапром т. Шахурина, главных конструкторов: т.т. Яковлева, Лавочкина, Горбунова и директоров заводов: № 292 тов. Левина, № 153 тов. Романова, № 31 тов. Саладзе выпускать самолеты Як-1, Як-7 и ЛаГГ-3 с указанными аэродинамическими улучшениями: </w:t>
      </w:r>
    </w:p>
    <w:p w14:paraId="6CAC03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u w:val="single"/>
        </w:rPr>
        <w:t xml:space="preserve">1) По самолету Як-1. </w:t>
      </w:r>
    </w:p>
    <w:p w14:paraId="1E0227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заводе № 292 с 15-го ноября выпускать самолеты Як-1 с аэродинамическими улучшениями по рекомендации ЦАГИ с летными данными: скорость у земли 525 км, вместо имеющейся 505 км и скорость на расчетной высоте 590 км, вместо имеющейся 570 км. </w:t>
      </w:r>
    </w:p>
    <w:p w14:paraId="53A660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u w:val="single"/>
        </w:rPr>
        <w:t xml:space="preserve">2) По самолету Як-7. </w:t>
      </w:r>
    </w:p>
    <w:p w14:paraId="30DDCA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 153 не позднее 5-го ноября выпускать самолеты Як-7 в соответствии с проведенными работами по аэродинамическому улучшению самолета Як-7 главным конструктором тов. Яковлевым с летными данными: скорость у земли 530 км, и скорость на расчетной высоте 590 км... (12667).</w:t>
      </w:r>
    </w:p>
    <w:p w14:paraId="479B8784" w14:textId="77777777" w:rsidR="00090C9B" w:rsidRPr="00722885" w:rsidRDefault="00090C9B" w:rsidP="00722885">
      <w:pPr>
        <w:pStyle w:val="Iauiue"/>
        <w:jc w:val="both"/>
        <w:rPr>
          <w:color w:val="000000" w:themeColor="text1"/>
          <w:sz w:val="16"/>
          <w:szCs w:val="16"/>
        </w:rPr>
      </w:pPr>
    </w:p>
    <w:p w14:paraId="193D0DCC" w14:textId="77777777" w:rsidR="00CF7535" w:rsidRPr="00722885" w:rsidRDefault="00CF753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ноября 1942 вышло постановления ГКО № 2467сс. О ЛаГГ-3 в нем говорилось следующее: «На заводе № 31 не позднее 25-го ноября выпускать самолеты ЛаГГ-3 с аэродинамическими улучшениями по рекомендации ЦАГИ и облегченным полетным весом в соответствии с проведенными работами по облегчению самолета ЛаГГ-3 главным конструктором тов. Горбуновым, с летными данными: скорость у земли 525 км, скорость на расчетной высоте 590 км, вместо имеющейся 570 км, с полетным весом 2950 кг вместо существующего полетного веса 3160 кг». Рекомендации ЦАГИ отрабатывались на ЛаГГ-3 № 2745 одной из последних серий 1942 года завода № 31 плюс еще один самолет был подготовлен для натурных продувок в аэродинамической трубе. Нумерацию облеченных машин с аэродинамическими улучшениями и козырьком фонаря с плоскими гранями решили начать с 60-й серии (23197).</w:t>
      </w:r>
    </w:p>
    <w:p w14:paraId="5647003C" w14:textId="77777777" w:rsidR="00CF7535" w:rsidRPr="00722885" w:rsidRDefault="00CF7535" w:rsidP="00722885">
      <w:pPr>
        <w:spacing w:after="0" w:line="240" w:lineRule="auto"/>
        <w:jc w:val="both"/>
        <w:rPr>
          <w:rFonts w:ascii="Times New Roman" w:hAnsi="Times New Roman"/>
          <w:color w:val="0070C0"/>
          <w:sz w:val="16"/>
          <w:szCs w:val="16"/>
        </w:rPr>
      </w:pPr>
    </w:p>
    <w:p w14:paraId="34AAB62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41B0941" w14:textId="77777777" w:rsidR="00090C9B" w:rsidRPr="00722885" w:rsidRDefault="00090C9B" w:rsidP="00722885">
      <w:pPr>
        <w:pStyle w:val="Iauiue"/>
        <w:jc w:val="both"/>
        <w:rPr>
          <w:iCs/>
          <w:color w:val="000000" w:themeColor="text1"/>
          <w:sz w:val="16"/>
          <w:szCs w:val="16"/>
        </w:rPr>
      </w:pPr>
    </w:p>
    <w:p w14:paraId="6C3ECB9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 ноября 1942 вышло Постановление ГКО № 2468 О передаче завода "Клейтук" в ведение Наркоммясомолпрома СССР. (7061, 157).</w:t>
      </w:r>
    </w:p>
    <w:p w14:paraId="40155CE9" w14:textId="77777777" w:rsidR="00090C9B" w:rsidRPr="00722885" w:rsidRDefault="00090C9B" w:rsidP="00722885">
      <w:pPr>
        <w:pStyle w:val="Iauiue"/>
        <w:tabs>
          <w:tab w:val="left" w:pos="11199"/>
        </w:tabs>
        <w:jc w:val="both"/>
        <w:rPr>
          <w:color w:val="000000" w:themeColor="text1"/>
          <w:sz w:val="16"/>
          <w:szCs w:val="16"/>
        </w:rPr>
      </w:pPr>
    </w:p>
    <w:p w14:paraId="0E9A36A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4D2E8C1D" w14:textId="77777777" w:rsidR="00090C9B" w:rsidRPr="00722885" w:rsidRDefault="00090C9B" w:rsidP="00722885">
      <w:pPr>
        <w:pStyle w:val="Iauiue"/>
        <w:jc w:val="both"/>
        <w:rPr>
          <w:iCs/>
          <w:color w:val="000000" w:themeColor="text1"/>
          <w:sz w:val="16"/>
          <w:szCs w:val="16"/>
        </w:rPr>
      </w:pPr>
    </w:p>
    <w:p w14:paraId="0DC2154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 ноября 1942 в СССР учреждена Чрезвычайная комиссия по расследованию злодеяний фашистов (4962).</w:t>
      </w:r>
    </w:p>
    <w:p w14:paraId="69B6BEA6" w14:textId="77777777" w:rsidR="00090C9B" w:rsidRPr="00722885" w:rsidRDefault="00090C9B" w:rsidP="00722885">
      <w:pPr>
        <w:pStyle w:val="Iauiue"/>
        <w:tabs>
          <w:tab w:val="left" w:pos="11199"/>
        </w:tabs>
        <w:jc w:val="both"/>
        <w:rPr>
          <w:color w:val="000000" w:themeColor="text1"/>
          <w:sz w:val="16"/>
          <w:szCs w:val="16"/>
        </w:rPr>
      </w:pPr>
    </w:p>
    <w:p w14:paraId="22BCC4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ноября 1942 Президиум ВС принял Указ Об образовании чрезвычайной комиссии по установлению и расследованию злодеяний немецко-фашистских захватчиков на территории, временно оккупированной в годы войны (3398,378).</w:t>
      </w:r>
    </w:p>
    <w:p w14:paraId="3EBF5621" w14:textId="77777777" w:rsidR="00090C9B" w:rsidRPr="00722885" w:rsidRDefault="00090C9B" w:rsidP="00722885">
      <w:pPr>
        <w:pStyle w:val="Iauiue"/>
        <w:jc w:val="both"/>
        <w:rPr>
          <w:color w:val="000000" w:themeColor="text1"/>
          <w:sz w:val="16"/>
          <w:szCs w:val="16"/>
        </w:rPr>
      </w:pPr>
    </w:p>
    <w:p w14:paraId="4D58110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691CF46" w14:textId="77777777" w:rsidR="00090C9B" w:rsidRPr="00722885" w:rsidRDefault="00090C9B" w:rsidP="00722885">
      <w:pPr>
        <w:pStyle w:val="Iauiue"/>
        <w:jc w:val="both"/>
        <w:rPr>
          <w:iCs/>
          <w:color w:val="000000" w:themeColor="text1"/>
          <w:sz w:val="16"/>
          <w:szCs w:val="16"/>
        </w:rPr>
      </w:pPr>
    </w:p>
    <w:p w14:paraId="62C97DD4"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color w:val="000000" w:themeColor="text1"/>
          <w:sz w:val="16"/>
          <w:szCs w:val="16"/>
        </w:rPr>
        <w:t xml:space="preserve">2 ноября </w:t>
      </w:r>
      <w:r w:rsidRPr="00722885">
        <w:rPr>
          <w:rFonts w:ascii="Times New Roman" w:hAnsi="Times New Roman"/>
          <w:color w:val="000000" w:themeColor="text1"/>
          <w:sz w:val="16"/>
          <w:szCs w:val="16"/>
        </w:rPr>
        <w:t>в 1942 году утреннее сообщение Совинформбюро:</w:t>
      </w:r>
    </w:p>
    <w:p w14:paraId="66ED2034"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 ноября наши войска вели бои с противником в районе Сталинграда, северо-восточнее Туапсе и в районе Нальчика. На других фронтах никаких изменений не произошло.</w:t>
      </w:r>
    </w:p>
    <w:p w14:paraId="31F96433"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Сталинграда наши войска на отдельных участках контратаками выбили немцев из ряда укреплённых зданий. Гвардейцы под командованием тов. Лещинина в ожесточённом бою истребили 250 немецких солдат и офицеров. Защитники города показывают образцы смелости и находчивости в борьбе с врагом. Немцы окружили дом, в котором находилась кухня Н-ского подразделения. Старший сержант Петров, находившийся в доме, схватил винтовку и начал в упор расстреливать наседавших гитлеровцев. В течение суток тов. Петров удерживал дом, пока бойцы подразделения не отбросили гитлеровцев. Снайпер старшина Василий Зайцев за шесть дней наулицах Сталинграда истребил 58 немцев.</w:t>
      </w:r>
    </w:p>
    <w:p w14:paraId="4785D54A"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разведчики ворвались в укреплённый район противника, взорвали 7 дзотов и 3 блиндажа, уничтожили пушку, 5 пулемётов иистребили до роты гитлеровцев. Огнём артиллерии Н-ской части уничтожены 2 артиллерийские батареи и рассеяно скопление пехоты противника.</w:t>
      </w:r>
    </w:p>
    <w:p w14:paraId="74544CC6"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Нальчика наши части вели тяжёлые оборонительные бои. Огнём артиллерии и миномётов сожжено 4 немецких танка, разбито 12 автомашин с войсками и уничтожено 5 орудий противника.</w:t>
      </w:r>
    </w:p>
    <w:p w14:paraId="6112406A"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бойцы Н-ской части уничтожили свыше 150 вражеских солдат и офицеров. На другом участке противник пытался боем разведать расположение наших войск. Разведывательный отряд в составе 80 немецких солдат был окружён и уничтожен.</w:t>
      </w:r>
    </w:p>
    <w:p w14:paraId="143DFF59"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происходила редкая артиллерийская перестрелка. В трёхдневных боях за один населённый пункт противник потерял убитыми свыше батальона пехоты. Все попытки немцев захватить населённый пункт провалились. Миномётчики под командованием т. Каретникова произвели огневой налёт на скопление вражеской пехоты и истребили свыше 50 гитлеровцев.</w:t>
      </w:r>
    </w:p>
    <w:p w14:paraId="2979AED5"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калининских партизан совершил налёт на немецкий гарнизон в одном населённом пункте. Удар был настолько неожиданным, что противник не успел оказать сопротивления. В короткой схватке партизаны истребили гарнизон оккупантов, несколько немцев захвачено в плен. Вскоре партизаны этого же отряда произвели нападение на колонну противника и уничтожили 38 гитлеровцев. Захвачены трофеи: 2 пулемёта, 30 винтовок, автомашина и 2 походные кухни. Партизанами взорвано два моста на шоссейной магистрали.</w:t>
      </w:r>
    </w:p>
    <w:p w14:paraId="3C34EF61"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409 немецкого сапёрного батальона Август Швенк рассказал: «Я состоял в штурмовом отряде с 1932 года. На собрании штурмовиков в Ильцгофене обер-штурмфюрер Карл Монс сделал нам секретное сообщение. Он заявил: «Приближается то время, когда каждый штурмовик получит обширные земельные владения на Востоке и обзаведётся хозяйством». В январе 1942 года я получил секретный пакет. Уполномоченный начальника штаба по новым поселениям при верховном руководстве штурмовиков — обер-штурмфюрер С.Каше известил меня, что я зачислен кандидатом на получение 70 гектаров земли в районе Киева. Вскоре меня призвали на фронт. Теперь затея с переселением кажется мне несбыточной, безумной фантазией. Мне приходилось читать русские листовки. В них говорилось, что каждый немецкий солдат, который не сложит оружия, получит три аршина русской земли. Многие немецкие солдаты уже получили этот надел, обещанный им русскими».</w:t>
      </w:r>
    </w:p>
    <w:p w14:paraId="55D03973"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согнали всех крестьян деревни Марьевки, Воронежской области, и заставили их день и ночь молотить колхозный хлеб и ссыпать зерно немцам. 14 октября кто-то вывел молотилку из строя. Гитлеровские палачи, прибывшие к месту работы, расстреляли 9 колхозников и колхозниц. Колхозника Кудинова они избили до полусмерти, и он на другой день не вышел на работу. Немецкие бандиты ворвались к нему в дом, застрелили его 70-летнюю мать Марфу Ивановну, жену Василису Прохоровну и трёх детей. Кудинова палачи связали, бросили в русскую печь и подожгли избу. Гитлеровцы запретили крестьянам тушить пожар. Огнём уничтожены 36 домов, школа и другие постройки.» (14818).</w:t>
      </w:r>
    </w:p>
    <w:p w14:paraId="3038C91E" w14:textId="77777777" w:rsidR="008E32DC" w:rsidRPr="00722885" w:rsidRDefault="008E32DC" w:rsidP="00722885">
      <w:pPr>
        <w:spacing w:after="0" w:line="240" w:lineRule="auto"/>
        <w:jc w:val="both"/>
        <w:rPr>
          <w:rFonts w:ascii="Times New Roman" w:hAnsi="Times New Roman"/>
          <w:color w:val="000000" w:themeColor="text1"/>
          <w:sz w:val="16"/>
          <w:szCs w:val="16"/>
        </w:rPr>
      </w:pPr>
    </w:p>
    <w:p w14:paraId="0D8863A9"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color w:val="000000" w:themeColor="text1"/>
          <w:sz w:val="16"/>
          <w:szCs w:val="16"/>
        </w:rPr>
        <w:t xml:space="preserve">2 ноября </w:t>
      </w:r>
      <w:r w:rsidRPr="00722885">
        <w:rPr>
          <w:rFonts w:ascii="Times New Roman" w:hAnsi="Times New Roman"/>
          <w:color w:val="000000" w:themeColor="text1"/>
          <w:sz w:val="16"/>
          <w:szCs w:val="16"/>
        </w:rPr>
        <w:t>в 1942 году вечернее сообщение Совинформбюро:</w:t>
      </w:r>
    </w:p>
    <w:p w14:paraId="4464031E"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 ноября наши войска вели бои с противником в районе Сталинграда и северо-восточнее Туапсе. Наши войска оставили город Нальчик и вели бои юго-восточнее этого пункта. На других фронтах никаких изменений не произошло.</w:t>
      </w:r>
    </w:p>
    <w:p w14:paraId="4BD85CA1"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 ноября нашей авиацией на различных участках фронта уничтожено 9 танков и бронемашин, до 60 автомашин с войсками и грузами, подавлен огонь 5 артиллерийских и миномётных батарей, потоплен сторожевой корабль и повреждён транспорт противника.</w:t>
      </w:r>
    </w:p>
    <w:p w14:paraId="4666784F"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противник, подтянув резервы пехоты и танков, предпринял ряд ожесточённых атак. Немцы стремятся любой ценой вернуть потерянные накануне позиции. Бои носили ожесточённый характер и нередко переходили в рукопашные схватки. Защитники Сталинграда отбили все атаки гитлеровцев и нанесли врагу большие потери. Одна наша часть, действуя мелкими группами, выбила немцев из 6 блиндажей и закрепилась в них. В течение дня, по неполным данным, уничтожено только пехотными частями более 700 немецких солдат и офицеров. Наши лётчики и зенитчики сбили 11 самолётов противника.</w:t>
      </w:r>
    </w:p>
    <w:p w14:paraId="64225726"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группа наших разведчиков проникла в тыл противника и напала на автоколонну немцев, двигавшуюся к фронту. Взорвано 3 грузовика со снарядами, 2 автоцистерны с бензином, уничтожены автомашина с зенитной установкой и 28 гитлеровцев. Действиями нашей авиации уничтожено и повреждено 5 танков и бронемашин, 4 орудия, 30 автомашин и сбито в воздушных боях 5 немецких самолётов. Снайперы одной стрелковой части истребили 116 гитлеровцев.</w:t>
      </w:r>
    </w:p>
    <w:p w14:paraId="14762E97"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вели тяжёлые оборонительные бои с наступающими танками и пехотой противника. На одном участке противник бросил в атаку свыше ста танков с автоматчиками. Наступление поддерживали 70 самолётов. Артиллеристы Н-ского соединения подбили 11 немецких танков. После упорных боёв под давлением превосходящих сил противника наши части отошли на новые позиции.</w:t>
      </w:r>
    </w:p>
    <w:p w14:paraId="14E60BE8"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советские войска несколько потеснили противника. В боях на этом участке уничтожено до 300 немецких солдат и офицеров. Бойцы Н-ской части овладели высотой, на которой обнаружено 149 трупов гитлеровцев. Захвачены 50 ящиков патронов и мин, винтовки и несколько пулемётов.</w:t>
      </w:r>
    </w:p>
    <w:p w14:paraId="58638DD5"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противник силою до двух полков пехоты и 10 танков несколько раз атаковал наши позиции. Атаки гитлеровцев отбиты. Огнём из всех видов оружия и контратаками наших частей нанесены противнику большие потери.</w:t>
      </w:r>
    </w:p>
    <w:p w14:paraId="7E451A50"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Воронежском фронте отмечалась активная деятельность разведчиков. Старшийсержант Иван Баев и восемь красноармейцев проникли в ходы сообщения противника и уничтожили 14 гитлеровцев. Захватив документы, оружие и боеприпасы, разведчики вернулись в свою часть. Младший сержант Петр Гречишников и красноармеец Байдулла Карбузов подползли к дому, в котором находились три немецких наблюдателя, и забросали их гранатами. Оружие убитых гитлеровцев разведчики доставили в свою часть. Снайперами наших частей уничтожено 160 солдат и офицеров противника.</w:t>
      </w:r>
    </w:p>
    <w:p w14:paraId="3C0F6B85"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Смоленской области, организовал крушение железнодорожного эшелона противника. Уничтожены паровоз и 6 платформ с бронемашинами. Другой отряд смоленских партизан подорвал воинский поезд с гитлеровцами. В результате взрыва и крушения погибло 120 вражеских солдат и офицеров.</w:t>
      </w:r>
    </w:p>
    <w:p w14:paraId="369C9BEB"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сожгли дотла деревню Чачино, Касплянского района, Смоленской области, и убили жителей этой деревни. Поводом к чудовищной расправе послужил отказ крестьян сдать немецкому командованию весь урожай хлеба и овощей. Утром немецкий карательный отряд окружил Чачино и открыл по деревне артиллерийский и пулемётный огонь. Из 92 жителей деревни спаслась лишь одна шестидесятилетняя Екатерина Антонова, раненная гитлеровцами.</w:t>
      </w:r>
    </w:p>
    <w:p w14:paraId="31164E9A"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Дортмунде (Германия) в октябре месяце затонула в канале большая баржа с углём. В связи с этим гестаповцы арестовали шестьдесят поляков грузчиков. В тот же день рабочие порта, среди которых много итальянцев, французов и поляков, прекратили работу и потребовали освобождения своих товарищей. Забастовка продолжалась два дня. Гитлеровцы были вынуждены освободить арестованных рабочих.» (14818).</w:t>
      </w:r>
    </w:p>
    <w:p w14:paraId="3FD247AE" w14:textId="77777777" w:rsidR="008E32DC" w:rsidRPr="00722885" w:rsidRDefault="008E32DC" w:rsidP="00722885">
      <w:pPr>
        <w:spacing w:after="0" w:line="240" w:lineRule="auto"/>
        <w:jc w:val="both"/>
        <w:rPr>
          <w:rFonts w:ascii="Times New Roman" w:hAnsi="Times New Roman"/>
          <w:color w:val="000000" w:themeColor="text1"/>
          <w:sz w:val="16"/>
          <w:szCs w:val="16"/>
        </w:rPr>
      </w:pPr>
    </w:p>
    <w:p w14:paraId="0114C0F8"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color w:val="000000" w:themeColor="text1"/>
          <w:sz w:val="16"/>
          <w:szCs w:val="16"/>
        </w:rPr>
        <w:t xml:space="preserve">2 ноября </w:t>
      </w:r>
      <w:r w:rsidRPr="00722885">
        <w:rPr>
          <w:rFonts w:ascii="Times New Roman" w:hAnsi="Times New Roman"/>
          <w:color w:val="000000" w:themeColor="text1"/>
          <w:sz w:val="16"/>
          <w:szCs w:val="16"/>
        </w:rPr>
        <w:t>в 1942 году передовые части противника, прорвав внешний обвод Орджоникидзевского оборонительного района, захватили Гизель (пригород Орджоникидзе) (14818).</w:t>
      </w:r>
    </w:p>
    <w:p w14:paraId="143BAD02" w14:textId="77777777" w:rsidR="008E32DC" w:rsidRPr="00722885" w:rsidRDefault="008E32DC" w:rsidP="00722885">
      <w:pPr>
        <w:spacing w:after="0" w:line="240" w:lineRule="auto"/>
        <w:jc w:val="both"/>
        <w:rPr>
          <w:rFonts w:ascii="Times New Roman" w:hAnsi="Times New Roman"/>
          <w:color w:val="000000" w:themeColor="text1"/>
          <w:sz w:val="16"/>
          <w:szCs w:val="16"/>
        </w:rPr>
      </w:pPr>
    </w:p>
    <w:p w14:paraId="5068E112" w14:textId="77777777" w:rsidR="008E32DC" w:rsidRPr="00722885" w:rsidRDefault="008E32DC" w:rsidP="00722885">
      <w:pPr>
        <w:spacing w:after="0" w:line="240" w:lineRule="auto"/>
        <w:jc w:val="both"/>
        <w:rPr>
          <w:rFonts w:ascii="Times New Roman" w:hAnsi="Times New Roman"/>
          <w:color w:val="000000" w:themeColor="text1"/>
          <w:sz w:val="16"/>
          <w:szCs w:val="16"/>
          <w:lang w:val="en-US"/>
        </w:rPr>
      </w:pPr>
      <w:r w:rsidRPr="00722885">
        <w:rPr>
          <w:rStyle w:val="ucoz-forum-post"/>
          <w:rFonts w:ascii="Times New Roman" w:hAnsi="Times New Roman"/>
          <w:color w:val="000000" w:themeColor="text1"/>
          <w:sz w:val="16"/>
          <w:szCs w:val="16"/>
        </w:rPr>
        <w:t xml:space="preserve">2 ноября </w:t>
      </w:r>
      <w:r w:rsidRPr="00722885">
        <w:rPr>
          <w:rFonts w:ascii="Times New Roman" w:hAnsi="Times New Roman"/>
          <w:color w:val="000000" w:themeColor="text1"/>
          <w:sz w:val="16"/>
          <w:szCs w:val="16"/>
        </w:rPr>
        <w:t>в 1942 году бойцы 5-й роты «Бранденбурга» в красноармейской форме захватывает мост через Терек под Дарг-Кохом. ЧастиНКГБликвидируютдиверсантов</w:t>
      </w:r>
      <w:r w:rsidRPr="00722885">
        <w:rPr>
          <w:rFonts w:ascii="Times New Roman" w:hAnsi="Times New Roman"/>
          <w:color w:val="000000" w:themeColor="text1"/>
          <w:sz w:val="16"/>
          <w:szCs w:val="16"/>
          <w:lang w:val="en-US"/>
        </w:rPr>
        <w:t xml:space="preserve"> (14818).</w:t>
      </w:r>
    </w:p>
    <w:p w14:paraId="628F4F7C" w14:textId="77777777" w:rsidR="008E32DC" w:rsidRPr="00722885" w:rsidRDefault="008E32DC" w:rsidP="00722885">
      <w:pPr>
        <w:spacing w:after="0" w:line="240" w:lineRule="auto"/>
        <w:jc w:val="both"/>
        <w:rPr>
          <w:rFonts w:ascii="Times New Roman" w:hAnsi="Times New Roman"/>
          <w:color w:val="000000" w:themeColor="text1"/>
          <w:sz w:val="16"/>
          <w:szCs w:val="16"/>
          <w:lang w:val="en-US"/>
        </w:rPr>
      </w:pPr>
    </w:p>
    <w:p w14:paraId="2EE92569"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2, 1942: In the Caucasus, 13.Panzer-Division of III.Panzerkorps approaches the outskirts of Ordshonikidse, the southeastern-most point ever reached by the Wehrmacht on the entire Eastern front (3819).</w:t>
      </w:r>
    </w:p>
    <w:p w14:paraId="414CED0F" w14:textId="77777777" w:rsidR="00090C9B" w:rsidRPr="00722885" w:rsidRDefault="00090C9B" w:rsidP="00722885">
      <w:pPr>
        <w:pStyle w:val="Iauiue"/>
        <w:jc w:val="both"/>
        <w:rPr>
          <w:color w:val="000000" w:themeColor="text1"/>
          <w:sz w:val="16"/>
          <w:szCs w:val="16"/>
          <w:lang w:val="en-US"/>
        </w:rPr>
      </w:pPr>
    </w:p>
    <w:p w14:paraId="3F2F2F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ноября 1942 на Кавказе 13ТД 3 ТГ подошла к окраинам Орджоникидзе - наиболее восточный пункт продвижения Вермахта (3819).</w:t>
      </w:r>
    </w:p>
    <w:p w14:paraId="104FF691" w14:textId="77777777" w:rsidR="00090C9B" w:rsidRPr="00722885" w:rsidRDefault="00090C9B" w:rsidP="00722885">
      <w:pPr>
        <w:pStyle w:val="Iauiue"/>
        <w:jc w:val="both"/>
        <w:rPr>
          <w:color w:val="000000" w:themeColor="text1"/>
          <w:sz w:val="16"/>
          <w:szCs w:val="16"/>
        </w:rPr>
      </w:pPr>
    </w:p>
    <w:p w14:paraId="66B2D85D"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762350C2" w14:textId="77777777" w:rsidR="00090C9B" w:rsidRPr="00722885" w:rsidRDefault="00090C9B" w:rsidP="00722885">
      <w:pPr>
        <w:pStyle w:val="Iauiue"/>
        <w:jc w:val="both"/>
        <w:rPr>
          <w:iCs/>
          <w:color w:val="000000" w:themeColor="text1"/>
          <w:sz w:val="16"/>
          <w:szCs w:val="16"/>
          <w:lang w:val="en-US"/>
        </w:rPr>
      </w:pPr>
    </w:p>
    <w:p w14:paraId="22A64911" w14:textId="77777777" w:rsidR="00CF7535" w:rsidRPr="00722885" w:rsidRDefault="00CF753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ноября 1942 RLM утвердило постройку 24 Не 280 с двигателями Jumo 004, BMW 003 и HeS 8A для сравнительных испытаний, но уже 18 ноября решение отменили. Спасти проект могло только неординарное решение, и Хейнкель рискнул провести 17 декабря 1942 г. в Мариене показательный поединок между Не 280V-3 и FW 190. Используя превосходство в скорости и скороподъемности, виртуоз воздушного боя Шефер одержал победу и в тот же день перегнал самолет из Мариене в Рехлин, где показал его Мильху. Полет продолжался всего12 минут. Сразу после этого Хейнкель представил проект глубокой модернизации Не 280. Истребитель должен был иметь увеличенную дальность полета с двумя двигателями Jumo 004B, однокилевое ВО, шесть пушек MG 151. Принятыми мерами удалось добиться разрешения на завершение строительства самолетов опытной партии и обещания RLM заказать 300 серийных Не 280 (22774).</w:t>
      </w:r>
    </w:p>
    <w:p w14:paraId="604DE325" w14:textId="77777777" w:rsidR="00CF7535" w:rsidRPr="00722885" w:rsidRDefault="00CF7535" w:rsidP="00722885">
      <w:pPr>
        <w:spacing w:after="0" w:line="240" w:lineRule="auto"/>
        <w:jc w:val="both"/>
        <w:rPr>
          <w:rFonts w:ascii="Times New Roman" w:hAnsi="Times New Roman"/>
          <w:color w:val="0070C0"/>
          <w:sz w:val="16"/>
          <w:szCs w:val="16"/>
        </w:rPr>
      </w:pPr>
    </w:p>
    <w:p w14:paraId="43DE0EAC"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 xml:space="preserve">November 2 1942 Germans under Field Marshall Erwin Rommel flee 3rd Battle of El Alemain, leaving behind 90,000 German casualties or prisoners, 500 tanks, and 400 guns </w:t>
      </w:r>
      <w:r w:rsidRPr="00722885">
        <w:rPr>
          <w:color w:val="000000" w:themeColor="text1"/>
          <w:sz w:val="16"/>
          <w:szCs w:val="16"/>
          <w:lang w:val="en-US"/>
        </w:rPr>
        <w:lastRenderedPageBreak/>
        <w:t>(1769).</w:t>
      </w:r>
    </w:p>
    <w:p w14:paraId="38E5C16A" w14:textId="77777777" w:rsidR="00090C9B" w:rsidRPr="00722885" w:rsidRDefault="00090C9B" w:rsidP="00722885">
      <w:pPr>
        <w:pStyle w:val="Iauiue"/>
        <w:jc w:val="both"/>
        <w:rPr>
          <w:color w:val="000000" w:themeColor="text1"/>
          <w:sz w:val="16"/>
          <w:szCs w:val="16"/>
          <w:lang w:val="en-US"/>
        </w:rPr>
      </w:pPr>
    </w:p>
    <w:p w14:paraId="6139CC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ноября 1942 немцы потерпели поражение под Эль Аламейном оставив 90 тыс. раненых, 500 танков и 400 пушек (1769).</w:t>
      </w:r>
    </w:p>
    <w:p w14:paraId="016E32DD" w14:textId="77777777" w:rsidR="00090C9B" w:rsidRPr="00722885" w:rsidRDefault="00090C9B" w:rsidP="00722885">
      <w:pPr>
        <w:pStyle w:val="Iauiue"/>
        <w:jc w:val="both"/>
        <w:rPr>
          <w:color w:val="000000" w:themeColor="text1"/>
          <w:sz w:val="16"/>
          <w:szCs w:val="16"/>
        </w:rPr>
      </w:pPr>
    </w:p>
    <w:p w14:paraId="7BA2013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ноября 1942 в Лондоне в типографии Таймс начали печатать ежедневную газету для американских солдат Старз энд Страйпс (3481).</w:t>
      </w:r>
    </w:p>
    <w:p w14:paraId="11161013" w14:textId="77777777" w:rsidR="00090C9B" w:rsidRPr="00722885" w:rsidRDefault="00090C9B" w:rsidP="00722885">
      <w:pPr>
        <w:pStyle w:val="Iauiue"/>
        <w:jc w:val="both"/>
        <w:rPr>
          <w:color w:val="000000" w:themeColor="text1"/>
          <w:sz w:val="16"/>
          <w:szCs w:val="16"/>
        </w:rPr>
      </w:pPr>
    </w:p>
    <w:p w14:paraId="16736D9D"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color w:val="000000" w:themeColor="text1"/>
          <w:sz w:val="16"/>
          <w:szCs w:val="16"/>
        </w:rPr>
        <w:t xml:space="preserve">2 ноября </w:t>
      </w:r>
      <w:r w:rsidRPr="00722885">
        <w:rPr>
          <w:rFonts w:ascii="Times New Roman" w:hAnsi="Times New Roman"/>
          <w:color w:val="000000" w:themeColor="text1"/>
          <w:sz w:val="16"/>
          <w:szCs w:val="16"/>
        </w:rPr>
        <w:t>в 1942 году ежедневная газета &lt;Старз энд страйпс&gt; для американских военнослужащих в Европе начинает печататься в Лондоне, в типографии британской газеты &lt;Таймс&gt; (14818).</w:t>
      </w:r>
    </w:p>
    <w:p w14:paraId="6540E92A" w14:textId="77777777" w:rsidR="008E32DC" w:rsidRPr="00722885" w:rsidRDefault="008E32DC" w:rsidP="00722885">
      <w:pPr>
        <w:spacing w:after="0" w:line="240" w:lineRule="auto"/>
        <w:jc w:val="both"/>
        <w:rPr>
          <w:rFonts w:ascii="Times New Roman" w:hAnsi="Times New Roman"/>
          <w:color w:val="000000" w:themeColor="text1"/>
          <w:sz w:val="16"/>
          <w:szCs w:val="16"/>
        </w:rPr>
      </w:pPr>
    </w:p>
    <w:p w14:paraId="063DD4E4" w14:textId="77777777" w:rsidR="008E32DC" w:rsidRPr="00722885" w:rsidRDefault="008E32DC"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color w:val="000000" w:themeColor="text1"/>
          <w:sz w:val="16"/>
          <w:szCs w:val="16"/>
        </w:rPr>
        <w:t xml:space="preserve">2 ноября </w:t>
      </w:r>
      <w:r w:rsidRPr="00722885">
        <w:rPr>
          <w:rFonts w:ascii="Times New Roman" w:hAnsi="Times New Roman"/>
          <w:color w:val="000000" w:themeColor="text1"/>
          <w:sz w:val="16"/>
          <w:szCs w:val="16"/>
        </w:rPr>
        <w:t>в 1942 году в Лондоне возобновилось издание ежедневной газеты для американских военнослужащих "The Stars and Stripes" ("Звезды и полосы"). История этой газеты началась во время Гражданской войны в США, ее читали американские военные и во время Первой мировой войны, и вот сегодня увидел свет первый номер обновленного издания. Небольшой коллектив не прекращал работу, даже когда Лондон обстреливался "Фау-1", и четырехстраничный ежедневник (2 пенса за копию) выходил с чисто английской пунктуальностью. Вскоре в нему добавилась и восьмистраничная "толстушка", выходившая раз в неделю и содержавшая помимо сводок с полей сражений и патриотических статей, кроссворды и юмористические рассказы. В самый разгар войны тираж газеты доходил до 1 миллиона экземпляров. 8 мая 1945 года появились "Тихоокеанские Звезды и полосы" и ныне эта газета одна из любимых в американской армии (14818).</w:t>
      </w:r>
    </w:p>
    <w:p w14:paraId="0D1CE022" w14:textId="77777777" w:rsidR="008E32DC" w:rsidRPr="00722885" w:rsidRDefault="008E32DC" w:rsidP="00722885">
      <w:pPr>
        <w:spacing w:after="0" w:line="240" w:lineRule="auto"/>
        <w:jc w:val="both"/>
        <w:rPr>
          <w:rFonts w:ascii="Times New Roman" w:hAnsi="Times New Roman"/>
          <w:color w:val="000000" w:themeColor="text1"/>
          <w:sz w:val="16"/>
          <w:szCs w:val="16"/>
        </w:rPr>
      </w:pPr>
    </w:p>
    <w:p w14:paraId="27CF3FC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4CDD349" w14:textId="77777777" w:rsidR="00090C9B" w:rsidRPr="00722885" w:rsidRDefault="00090C9B" w:rsidP="00722885">
      <w:pPr>
        <w:pStyle w:val="Iauiue"/>
        <w:jc w:val="both"/>
        <w:rPr>
          <w:iCs/>
          <w:color w:val="000000" w:themeColor="text1"/>
          <w:sz w:val="16"/>
          <w:szCs w:val="16"/>
        </w:rPr>
      </w:pPr>
    </w:p>
    <w:p w14:paraId="772F81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ноября 1942 вышел приказ НКАП N 816 "Об улучшении летных данных серийных самолетов Як-1, Як-7 и ЛаГГ-3" по результатам исследований, проведенных в трубах ЦАГИ (917,79).</w:t>
      </w:r>
    </w:p>
    <w:p w14:paraId="747E0C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ГКО постановлением №... установил, что исследования, проведенные в больших аэродинамических трубах ЦАГИ и летные испытания в ЛИИ НКАП показывают, что макс. скорость Як-1, Як-7 и ЛаГГ-3 могут быть повышены при обычном моторе М-105ПФ при проведении следжующих мероприятий...</w:t>
      </w:r>
    </w:p>
    <w:p w14:paraId="22B92B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...Самолеты Як-1, Як-7 и ЛаГГ-3 с проведением указанных аэродинамических улучшений дали увеличение скорости на 20-25 км/час по сравнению с самолетоами, выпускаемыми в серии.</w:t>
      </w:r>
    </w:p>
    <w:p w14:paraId="34B67D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Скрости этих самолетов у земли увеличились до 525-530 км/час и скорость на расчетной высоте достигла 590 км/час.</w:t>
      </w:r>
    </w:p>
    <w:p w14:paraId="57EDEC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исполнение этого постановления ГКО приказываю:</w:t>
      </w:r>
    </w:p>
    <w:p w14:paraId="5D9DE9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Нач. ПГУ тов. Воронину, ГК тт. Яковлеву, Лавочкину, Горбунову и директорам заводов № 292 т. Левину, № 153 т. Романову, № 31 т. Саладзе выпускать с-ты Як-1, Як-7 и ЛаГГ-3 с указанными аэродинамическими улучшениями</w:t>
      </w:r>
    </w:p>
    <w:p w14:paraId="0E18F9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по самолету Як-1</w:t>
      </w:r>
    </w:p>
    <w:p w14:paraId="6F386E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заводе с 15 ноября выпускать с-ты Як-1 с аэродинамическими улучшениями по рекомендациям ЦАГИ с летными данными: скорость у земли - 520 км/час вместо 505 км/час и скорость на расчетной высоте 590 км/час вместо 570 км/час</w:t>
      </w:r>
    </w:p>
    <w:p w14:paraId="6300BF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 самолету Як-7</w:t>
      </w:r>
    </w:p>
    <w:p w14:paraId="2EC4BD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заводе не позднее 5 ноября выпускать с-ты Як-7 в соответствии с проведенными работами по аэродинамическому улучшению с-та Як-7 ГК т. Яковлевым с летными данными: скорость у земли - 530 км/час и скорость на расчетной высоте 590 км/час</w:t>
      </w:r>
    </w:p>
    <w:p w14:paraId="4CA80B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по самолету ЛаГГ-3</w:t>
      </w:r>
    </w:p>
    <w:p w14:paraId="65BFF3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заводе не позднее 25 ноября выпускать с-ты ЛаГГ-3 с аэродинамическими улучшениями по рекомендациям ЦАГИ и облегченным полетным весом в соответствии с проведенными работами по облегчению с-та ЛаГГ-3 ГК товю Горбуновым с летными данными: скорость у земли - 525 км/час и скорость на расчетной высоте 590 км/час вместо 570 км/час. Взлетный вес 1950 кг вместо 3160 кг (917,79).</w:t>
      </w:r>
    </w:p>
    <w:p w14:paraId="0FEAF299" w14:textId="77777777" w:rsidR="00090C9B" w:rsidRPr="00722885" w:rsidRDefault="00090C9B" w:rsidP="00722885">
      <w:pPr>
        <w:pStyle w:val="Iauiue"/>
        <w:jc w:val="both"/>
        <w:rPr>
          <w:color w:val="000000" w:themeColor="text1"/>
          <w:sz w:val="16"/>
          <w:szCs w:val="16"/>
        </w:rPr>
      </w:pPr>
    </w:p>
    <w:p w14:paraId="43698211" w14:textId="77777777" w:rsidR="008E32DC" w:rsidRPr="00722885" w:rsidRDefault="008E32DC" w:rsidP="00722885">
      <w:pPr>
        <w:pStyle w:val="27"/>
        <w:shd w:val="clear" w:color="auto" w:fill="auto"/>
        <w:tabs>
          <w:tab w:val="left" w:pos="505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3 ноября 1942:</w:t>
      </w:r>
    </w:p>
    <w:p w14:paraId="41AF9FA4" w14:textId="77777777" w:rsidR="008E32DC" w:rsidRPr="00722885" w:rsidRDefault="008E32DC" w:rsidP="00722885">
      <w:pPr>
        <w:pStyle w:val="27"/>
        <w:shd w:val="clear" w:color="auto" w:fill="auto"/>
        <w:tabs>
          <w:tab w:val="left" w:pos="648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«Наркому Шахурину, Главному инженеру ВВС К.А. Репину</w:t>
      </w:r>
      <w:r w:rsidRPr="00722885">
        <w:rPr>
          <w:rFonts w:ascii="Times New Roman" w:cs="Times New Roman"/>
          <w:color w:val="000000" w:themeColor="text1"/>
          <w:spacing w:val="0"/>
        </w:rPr>
        <w:tab/>
        <w:t>3.11.42 г.</w:t>
      </w:r>
    </w:p>
    <w:p w14:paraId="098C2BC6" w14:textId="77777777" w:rsidR="008E32DC" w:rsidRPr="00722885" w:rsidRDefault="008E32DC" w:rsidP="00722885">
      <w:pPr>
        <w:pStyle w:val="27"/>
        <w:shd w:val="clear" w:color="auto" w:fill="auto"/>
        <w:tabs>
          <w:tab w:val="left" w:pos="360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соответствии с Вашими указаниями завод № 19 29 октября закончил удовлетво</w:t>
      </w:r>
      <w:r w:rsidRPr="00722885">
        <w:rPr>
          <w:rFonts w:ascii="Times New Roman" w:cs="Times New Roman"/>
          <w:color w:val="000000" w:themeColor="text1"/>
          <w:spacing w:val="0"/>
        </w:rPr>
        <w:softHyphen/>
        <w:t>рительно официальное 100-часовое испытание мотора М-82Ф с непосредственным впрыском. Данные:</w:t>
      </w:r>
    </w:p>
    <w:p w14:paraId="6178128F" w14:textId="77777777" w:rsidR="008E32DC" w:rsidRPr="00722885" w:rsidRDefault="008E32DC" w:rsidP="00722885">
      <w:pPr>
        <w:pStyle w:val="27"/>
        <w:shd w:val="clear" w:color="auto" w:fill="auto"/>
        <w:tabs>
          <w:tab w:val="left" w:pos="360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взлетная мощность</w:t>
      </w:r>
      <w:r w:rsidRPr="00722885">
        <w:rPr>
          <w:rFonts w:ascii="Times New Roman" w:cs="Times New Roman"/>
          <w:color w:val="000000" w:themeColor="text1"/>
          <w:spacing w:val="0"/>
        </w:rPr>
        <w:tab/>
        <w:t>- 1850 л.с. при 2500 об/мин</w:t>
      </w:r>
    </w:p>
    <w:p w14:paraId="566CEAAA" w14:textId="77777777" w:rsidR="008E32DC" w:rsidRPr="00722885" w:rsidRDefault="008E32DC" w:rsidP="00722885">
      <w:pPr>
        <w:pStyle w:val="27"/>
        <w:shd w:val="clear" w:color="auto" w:fill="auto"/>
        <w:tabs>
          <w:tab w:val="left" w:pos="361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пика 1-й скорости 1550 мт</w:t>
      </w:r>
      <w:r w:rsidRPr="00722885">
        <w:rPr>
          <w:rFonts w:ascii="Times New Roman" w:cs="Times New Roman"/>
          <w:color w:val="000000" w:themeColor="text1"/>
          <w:spacing w:val="0"/>
        </w:rPr>
        <w:tab/>
        <w:t>- 1670 л.с. при 2400 об/мин</w:t>
      </w:r>
    </w:p>
    <w:p w14:paraId="2B73591F" w14:textId="77777777" w:rsidR="008E32DC" w:rsidRPr="00722885" w:rsidRDefault="008E32DC" w:rsidP="00722885">
      <w:pPr>
        <w:pStyle w:val="27"/>
        <w:shd w:val="clear" w:color="auto" w:fill="auto"/>
        <w:tabs>
          <w:tab w:val="left" w:pos="3618"/>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пика 2-й скорости 4500 мт</w:t>
      </w:r>
      <w:r w:rsidRPr="00722885">
        <w:rPr>
          <w:rFonts w:ascii="Times New Roman" w:cs="Times New Roman"/>
          <w:color w:val="000000" w:themeColor="text1"/>
          <w:spacing w:val="0"/>
        </w:rPr>
        <w:tab/>
        <w:t>- 1480 л.с. при 2400 об/мин.</w:t>
      </w:r>
    </w:p>
    <w:p w14:paraId="032EBA2E" w14:textId="77777777" w:rsidR="008E32DC" w:rsidRPr="00722885" w:rsidRDefault="008E32D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Мотор М-82Ф может заводом № 19 выпускаться как с НВ, так и с карбюратором, ибо одно 100-часовое испытание было проведено с карбюратором, второе — с НВ.</w:t>
      </w:r>
    </w:p>
    <w:p w14:paraId="32A927DD" w14:textId="77777777" w:rsidR="008E32DC" w:rsidRPr="00722885" w:rsidRDefault="008E32DC" w:rsidP="00722885">
      <w:pPr>
        <w:pStyle w:val="27"/>
        <w:shd w:val="clear" w:color="auto" w:fill="auto"/>
        <w:tabs>
          <w:tab w:val="left" w:pos="504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Просим разрешить выезд в Москву для личного доклада Вам и Правительству по моторам М-71 и М-82. Ждем Ваших указаний.</w:t>
      </w:r>
    </w:p>
    <w:p w14:paraId="1E6B2920" w14:textId="77777777" w:rsidR="008E32DC" w:rsidRPr="00722885" w:rsidRDefault="008E32DC" w:rsidP="00722885">
      <w:pPr>
        <w:pStyle w:val="27"/>
        <w:shd w:val="clear" w:color="auto" w:fill="auto"/>
        <w:tabs>
          <w:tab w:val="left" w:pos="504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Директор завода — Солдатов,</w:t>
      </w:r>
    </w:p>
    <w:p w14:paraId="101560F5" w14:textId="77777777" w:rsidR="008E32DC" w:rsidRPr="00722885" w:rsidRDefault="008E32DC" w:rsidP="00722885">
      <w:pPr>
        <w:pStyle w:val="27"/>
        <w:shd w:val="clear" w:color="auto" w:fill="auto"/>
        <w:tabs>
          <w:tab w:val="left" w:pos="504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Главный конструктор — Швецов,</w:t>
      </w:r>
    </w:p>
    <w:p w14:paraId="1F35508D" w14:textId="77777777" w:rsidR="008E32DC" w:rsidRPr="00722885" w:rsidRDefault="008E32DC" w:rsidP="00722885">
      <w:pPr>
        <w:pStyle w:val="27"/>
        <w:shd w:val="clear" w:color="auto" w:fill="auto"/>
        <w:tabs>
          <w:tab w:val="left" w:pos="505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Председатель Гос. Комиссии — Сеничкин,</w:t>
      </w:r>
    </w:p>
    <w:p w14:paraId="5B5FF7E1" w14:textId="77777777" w:rsidR="008E32DC" w:rsidRPr="00722885" w:rsidRDefault="008E32DC" w:rsidP="00722885">
      <w:pPr>
        <w:pStyle w:val="27"/>
        <w:shd w:val="clear" w:color="auto" w:fill="auto"/>
        <w:tabs>
          <w:tab w:val="left" w:pos="505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Ст. военпред — Сабуров» (15813).</w:t>
      </w:r>
    </w:p>
    <w:p w14:paraId="0BB55798" w14:textId="77777777" w:rsidR="008E32DC" w:rsidRPr="00722885" w:rsidRDefault="008E32DC" w:rsidP="00722885">
      <w:pPr>
        <w:pStyle w:val="27"/>
        <w:shd w:val="clear" w:color="auto" w:fill="auto"/>
        <w:tabs>
          <w:tab w:val="left" w:pos="5053"/>
        </w:tabs>
        <w:spacing w:after="0" w:line="240" w:lineRule="auto"/>
        <w:ind w:firstLine="0"/>
        <w:rPr>
          <w:rFonts w:ascii="Times New Roman" w:cs="Times New Roman"/>
          <w:color w:val="000000" w:themeColor="text1"/>
          <w:spacing w:val="0"/>
        </w:rPr>
      </w:pPr>
    </w:p>
    <w:p w14:paraId="46EE28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ноября 1942 Кузнецов писал С.В.И. письмо N 2295-12:</w:t>
      </w:r>
    </w:p>
    <w:p w14:paraId="3991BF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сообщению ВВС в эксплуатации самолетов имеют место частые отказы в работе регуляторных коробок РК-12ф-350.</w:t>
      </w:r>
    </w:p>
    <w:p w14:paraId="275968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Основной причиной этого является установка коробки на сильно вибрирующей подмоторной раме самолетов.</w:t>
      </w:r>
    </w:p>
    <w:p w14:paraId="2C030A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устранения ненормальностей необходимо изыскать возможность коробку установкой перенести в другое место.</w:t>
      </w:r>
    </w:p>
    <w:p w14:paraId="0BC0F5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Ваше решение по данному вопросу прошу сообщить мне (1680,175).</w:t>
      </w:r>
    </w:p>
    <w:p w14:paraId="048E1968" w14:textId="77777777" w:rsidR="00090C9B" w:rsidRPr="00722885" w:rsidRDefault="00090C9B" w:rsidP="00722885">
      <w:pPr>
        <w:pStyle w:val="Iauiue"/>
        <w:jc w:val="both"/>
        <w:rPr>
          <w:color w:val="000000" w:themeColor="text1"/>
          <w:sz w:val="16"/>
          <w:szCs w:val="16"/>
        </w:rPr>
      </w:pPr>
    </w:p>
    <w:p w14:paraId="5A716D3E"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ноября 1942 г. копии письма Миля от 20 октября 1942 были отправлены в ЦК ВКБ(б) и отдел военных изобретений Государственного Комитета Обороны. Они были заверены секретарем О. Разумовской с ремаркой:</w:t>
      </w:r>
    </w:p>
    <w:p w14:paraId="4C78C1C8"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испытания в Свердловске проведены и показали благоприятные результаты» (15595).</w:t>
      </w:r>
    </w:p>
    <w:p w14:paraId="4FAF02D3"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октября 1942 г., направленном в Государственный Комитет Обороны СССР, в то время заместитель главного конструктора завода №290 НКАП Михаил Леонтьевич Миль писал:</w:t>
      </w:r>
    </w:p>
    <w:p w14:paraId="080C4B72"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«Предлагаю применить на фронте противо</w:t>
      </w:r>
      <w:hyperlink r:id="rId163"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овое ружье, стреляющее реактивными снарядами РС-82».</w:t>
      </w:r>
    </w:p>
    <w:p w14:paraId="5AB71261"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«…Подобная установка может быть применена не только, как противо</w:t>
      </w:r>
      <w:hyperlink r:id="rId164"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овое ружье, но и для стрельбы по ДОТам для обеспечения продвижения пехоты; может быть, благодаря своему малому весу, поставлена на легкие суда и моторные лодки, применена для стрельбы на дистанциях 1000—1500 м по пехоте и скоплениям противника в горных районах, где доставка обычной артиллерии затруднена» (15595).</w:t>
      </w:r>
    </w:p>
    <w:p w14:paraId="3C48F565"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55FAFB9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8925F71" w14:textId="77777777" w:rsidR="00090C9B" w:rsidRPr="00722885" w:rsidRDefault="00090C9B" w:rsidP="00722885">
      <w:pPr>
        <w:pStyle w:val="Iauiue"/>
        <w:jc w:val="both"/>
        <w:rPr>
          <w:iCs/>
          <w:color w:val="000000" w:themeColor="text1"/>
          <w:sz w:val="16"/>
          <w:szCs w:val="16"/>
        </w:rPr>
      </w:pPr>
    </w:p>
    <w:p w14:paraId="426443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ноября 1942 г. из СПРАВКИ СЕКРЕТАРЯ ОБКОМА ВКП(б) ПО ПРОМЫШЛЕННОСТИ БОЕПРИПАСОВ Ф.М. ВОРОНИЧЕВА О КОМБИНАТЕ № 179 НАРКОМАТА БОЕПРИПАСОВ</w:t>
      </w:r>
    </w:p>
    <w:p w14:paraId="1B7E49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Комбинат № 179 после проведенной реорганизации представляет из себя производство 76 мм, 122 и 152 мм цельнокорпусных снарядов. В систему комбината объединено: производство корпусов снарядов, снаряжение корпусов (в процессе строительства), производство инструмента и оснастки, газогенераторная станция мощностью 96 000 мт3/час, компрессорная мощностью 26 200 мт3/час, транспорт узкой и широкой колеи, управление рабочего снабжения и жилищно-коммунальное управление. Газогенераторная, компрессорная и транспорт узкой и широкой колеи помимо комбината обеспечивают технологические нужды заводов № 65, 188, 556 и 677. Комбинат имеет оборудование в количестве 2 500 станков, рабочих, ИТР и служащих 20 500 человек. Производственные мощности комбината обеспечивают выпуск: 76 мм осколочно-фугасных снарядов — 655 тысяч в месяц, 122 мм осколочно-фугасных снарядов — 80 тысяч в месяц, 152 мм осколочно-фугасных снарядов - 80 тысяч в месяц. В полном соответствии с мощностью комбината был установлен государственный план на октябрь месяц, который им выполнен на 71%. В комбинате насчитывается 22 механических и кузнечно-прессовых цеха (без снаряжательных). Главные их них:</w:t>
      </w:r>
    </w:p>
    <w:p w14:paraId="56E923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Цех № 1, производящий штамповку корпусов 76 мм снарядов и штамповку сопла изделия М-8. В цехе работает 15 000 человек рабочих, основное оборудование цеха составляют ковочные машины, мощность цеха — 30 000 штамповок в сутки.</w:t>
      </w:r>
    </w:p>
    <w:p w14:paraId="48F5C0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Цех № 3 предварительной (обтирочной) обработки снарядов 76 мм. В цехе работает 1 500 человек рабочих и 525 токарных станков и полуавтоматов, суточная мощность цеха составляет 23 000 снарядов.</w:t>
      </w:r>
    </w:p>
    <w:p w14:paraId="16E0C6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Цех № 5, производящий окончательную обработку 76 мм снарядов. В цехе работает 2 400 человек рабочих и 840 единиц оборудования (то-карно-револьверные станки, резьбо-фрезерные станки, эксцентриковые прессы и другие).</w:t>
      </w:r>
    </w:p>
    <w:p w14:paraId="482C61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Цех № 18, производящий предварительную обработку 122 и 152 мм снарядов. В цехе работает 600 человек рабочих, около 300 единиц оборудования фирмы «Шкода».</w:t>
      </w:r>
    </w:p>
    <w:p w14:paraId="69A7A0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Цех № 12, производящий окончательную обработку 122 и 152 мм снарядов. В цехе работает около 1 000 человек рабочих и 350 единиц оборудования (фирмы «Шкода»).</w:t>
      </w:r>
    </w:p>
    <w:p w14:paraId="5EBA1B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инструмента и оснастки объединяет 10 цехов. На производстве работает 2 300 человек рабочих и ИТР и 600 единиц оборудования (токарные, револьверные, фрезерные и другие станки для производства инструмента и оснастки). Кроме основных производственных цехов комбинат имеет различные подсобные предприятия и цеха, такие как-то: подсобное призавод-ское хозяйство, транспортное хозяйство на 95 автомашин, железнодорожного подвижного состава - 98 единиц. Жилфонд комбината, насчитывающий 76 000 м2 жилой площади, и другие службы.</w:t>
      </w:r>
    </w:p>
    <w:p w14:paraId="24C655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обкома ВКП(б) по промышленности боеприпасов Вороничев</w:t>
      </w:r>
    </w:p>
    <w:p w14:paraId="67C94D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On. в. Д. 8. Л. 23. Незаверенная копия (12193).</w:t>
      </w:r>
    </w:p>
    <w:p w14:paraId="30B8E6A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075E3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ноября 1942 г.из СПРАВКИ СЕКРЕТАРЯ ОБКОМА ВКП(б) ПО ПРОМЫШЛЕННОСТИ БОЕПРИПАСОВ Ф.М. ВОРОНИЧЕВА О ЗАВОДЕ № 677 НАРКОМАТА БОЕПРИПАСОВ</w:t>
      </w:r>
    </w:p>
    <w:p w14:paraId="05AFD8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677 (бывший завод № 2 комбината № 179) выделен из системы комбината № 179 НКБ в октябре 1942 года в самостоятельный союзный завод, производящий взрыватели для артснарядов и мин, 20 и 23 мм осколочно зажигательные снаряды авиавыстрела, корпуса морских ядовито-дымных шашек и трассер к 45 мм морским снарядам. Завод имеет оборудование в количестве 1 500 станков, рабочих, ИТР и служащих — 8 000 человек, обеспечивающих выпуск продукции на сумму не менее чем 35-40 миллионов рублей в месяц. Имеющаяся снаряжательная база на заводе по своей мощности способна обеспечить снаряжение не только своей продукции, но и продукции других заводов, в частности, заводом производится снаряжение взрывателей КТМ—1 завода Ке 564 и взрывателей ГВМЗ завода «ЗИС» г. Шадринск. В октябре месяце заводу был установлен государственный план по выпуску изделий в следующих количествах: корпуса 20 мм осколочно-зажнгательных снарядов — 500 тысяч штук, корпуса 23 мм осколочно-зажигательных снарядов - 550 тысяч штук, взрыватели К-6 (к 20 мм снарядам) - 500 тысяч штук, взрыватели К-20 (к 23 мм снарядам) — 150 тысяч штук, взрыватели ГВМЗ (к минам) — 550 тысяч штук, взрыватели ГВМЗ (к артснарядам) - 100 тысяч штук, трассер ВТ-6 (к 45 мм морским снарядам) — 125 тысяч штук, корпуса морских ядовито-дымных шашек — 3 000 штук. Октябрьский план заводом выполнен на 100,2 процента. Для выполнения программы ноября месяца заводу необходимо принять дополнительно 2 800 человек рабочих. В системе завода насчитывается 14 механических и снаряжательяых цехов, среди них ... Всего на заводе работает 6 000 человек молодежи комсомольского возраста. Кроме основных производственных цехов завод имеет различные подсобные предприятия и цеха, как-то: подсобное пригородное хозяйство с земельной площадью в размере 1 500 гектаров, транспортное хозяйство на 26 автомашин, узкоколейную железную дорогу и конный парк на 50 лошадей. Жилфонд завода, насчитывающий 40 000 кв. метров жилплощади, станкостроительные и ремонтно-строительные цеха.</w:t>
      </w:r>
    </w:p>
    <w:p w14:paraId="4611A1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обкома ВКП(б) по промышленности боеприпасов Ф. Вороничев</w:t>
      </w:r>
    </w:p>
    <w:p w14:paraId="2D7A41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Оп. 6. Д. 8. Л. 26-28. Подлинник (12193).</w:t>
      </w:r>
    </w:p>
    <w:p w14:paraId="462E714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EBDBFE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07924AA" w14:textId="77777777" w:rsidR="00090C9B" w:rsidRPr="00722885" w:rsidRDefault="00090C9B" w:rsidP="00722885">
      <w:pPr>
        <w:pStyle w:val="Iauiue"/>
        <w:jc w:val="both"/>
        <w:rPr>
          <w:iCs/>
          <w:color w:val="000000" w:themeColor="text1"/>
          <w:sz w:val="16"/>
          <w:szCs w:val="16"/>
        </w:rPr>
      </w:pPr>
    </w:p>
    <w:p w14:paraId="52807CE0"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color w:val="000000" w:themeColor="text1"/>
          <w:sz w:val="16"/>
          <w:szCs w:val="16"/>
        </w:rPr>
        <w:t xml:space="preserve">3 ноября </w:t>
      </w:r>
      <w:r w:rsidRPr="00722885">
        <w:rPr>
          <w:rFonts w:ascii="Times New Roman" w:hAnsi="Times New Roman"/>
          <w:color w:val="000000" w:themeColor="text1"/>
          <w:sz w:val="16"/>
          <w:szCs w:val="16"/>
        </w:rPr>
        <w:t>в 1942 году утреннее сообщение Совинформбюро:</w:t>
      </w:r>
    </w:p>
    <w:p w14:paraId="26438587"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076651F4"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отбили атаки противника и закреплялись на занятых позициях. Гвардейская часть, действующая в районе заводов, выбила немцев из нескольких зданий. На южной окраине города наши бойцы истребили 200 немецких солдат и офицеров, уничтожили миномётную батарею, 5 пулемётов, 2 автомашины и разрушили 2 блиндажа. Огнём нашей артиллерии и гвардейцев-миномётчиков рассеяно и частью уничтожено до батальона пехоты противника, уничтожено 13 пулемётов и 2 орудия. Лётчики-истребители лейтенант Показин и сержант Останов сбили 3 немецких самолёта.</w:t>
      </w:r>
    </w:p>
    <w:p w14:paraId="7B62C32C"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разведчики Н-ской части ночью ворвались в окопы противника, перебили 40 немцев, захватили 2 пулемёта и радиостанцию. Наши миномётчики обстреляли скопление вражеской пехоты и уничтожили до роты гитлеровцев, 5 повозок с боеприпасами и 3 противотанковых орудия.</w:t>
      </w:r>
    </w:p>
    <w:p w14:paraId="16E65E68"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продолжали вести тяжёлые оборонительные бои. Подразделения Н-ской части отбили две атаки противника и уничтожили 250 гитлеровцев, 2 танка и самоходную пушку. Подтянув резервы, немцы в третий раз перешли в атаку, и ценой больших потерь им удалось потеснить наши подразделения. На другом участке части одного нашего соединения отрезали пехоту от танков противника. В завязавшихся боях подбито до 30 немецких танков.</w:t>
      </w:r>
    </w:p>
    <w:p w14:paraId="1EC07328"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бойцы выбили немцев из укреплённых позиций и овладели районом безымянных высот. В результате боя на этом участке уничтожено 250 солдат и офицеров противника. Захвачены трофеи и пленные.</w:t>
      </w:r>
    </w:p>
    <w:p w14:paraId="580E81EC"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отряда, действующего в одном из районов Орловской области, пустила под откос 2 эшелона противника. Разбито 2 паровоза, 15 вагонов с войсками и 11 платформ с вооружением. Под обломками вагонов погибло до 200 немецких солдат и офицеров. Партизаны другого отряда истребили 128 солдат и офицеров противника и взяли в плен 41 солдата и 2 немецких офицеров. Кроме того, партизаны взорвали 3 склада с боеприпасами и захватили трофеи.</w:t>
      </w:r>
    </w:p>
    <w:p w14:paraId="3F9B2402"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расстреляли 60 советских граждан — военнопленных и мирных жителей, захваченных ими в районах Белоруссии. Немцы насильно привезли белорусов в Судетскую область на военный завод, расположенный недалеко от Карлсбада. Здесь их распределили по цехам и приказали приступить к работе. Советские патриоты единодушно заявили, что они не будут работать на заводе, который выпускает продукцию для германской армии. Гитлеровцы избили пленников и лишили их пищи. Однако бандитам не удалось сломить железную волю советских людей. Немцы пригрозили им мучительной смертью, но и это не подействовало. Тогда фашистские мерзавцы учинили жестокую расправу над советскими патриотами —трудящимися Белоруссии.</w:t>
      </w:r>
    </w:p>
    <w:p w14:paraId="3DC1426F"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Голландские патриоты уничтожили экипаж немецкого транспортного самолёта, сделавшего вынужденную посадку недалеко от Алькмара. Захватив документы и оружие, патриоты подожгли самолёт и скрылись.» (14819).</w:t>
      </w:r>
    </w:p>
    <w:p w14:paraId="3A1E70C5"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3CD9043E"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color w:val="000000" w:themeColor="text1"/>
          <w:sz w:val="16"/>
          <w:szCs w:val="16"/>
        </w:rPr>
        <w:t xml:space="preserve">3 ноября </w:t>
      </w:r>
      <w:r w:rsidRPr="00722885">
        <w:rPr>
          <w:rFonts w:ascii="Times New Roman" w:hAnsi="Times New Roman"/>
          <w:color w:val="000000" w:themeColor="text1"/>
          <w:sz w:val="16"/>
          <w:szCs w:val="16"/>
        </w:rPr>
        <w:t>в 1942 году вечернее сообщение Совинформбюро:</w:t>
      </w:r>
    </w:p>
    <w:p w14:paraId="6C848DB8"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 ноября наши войска вели бои с противником в районе Сталинграда, северо-восточнее Туапсе и юго-восточнее Нальчика. На других фронтах никакихизменений не произошло.</w:t>
      </w:r>
    </w:p>
    <w:p w14:paraId="343DCBD3"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потоплено три немецких транспорта общим водоизмещением в 35.000 тонн.</w:t>
      </w:r>
    </w:p>
    <w:p w14:paraId="41C11A6B"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 ноября нашей авиацией на различных участках фронта уничтожено 20 немецких автомашин с войсками и грузами, подавлен огонь 20 зенитно-пулемётныхточек и 14 миномётов, взорван склад боеприпасов, повреждены в пути 2 железнодорожных эшелона противника.</w:t>
      </w:r>
    </w:p>
    <w:p w14:paraId="281F60A0"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ожесточённые бои. Противник, подтянувновые силы, бросил в наступление свыше двух пехотных дивизий и 40 танков. Атаки гитлеровцев поддерживались крупными силами авиации. Бои носили крайне ожесточённый характер и часто переходили в рукопашные схватки. На отдельных участках немцы по четыре-пять раз переходили в атаки, но каждый раз, неся огромные потери, были вынуждены откатываться обратно. Защитники Сталинграда отбили все атаки немецко-фашистских войск. B районе одного завода наши бойцы, отразив пять атак пехоты и танков противника, перешли в контратаку и заняли несколько опорных пунктов гитлеровцев. B ходе этих боёв, по неполным данным, уничтожено до 2.000 немецких солдат и офицеров и много военной техники. Советские лётчики в воздушных боях сбили 13 немецких самолётов. Кроме того, огнём зенитной артиллерии уничтожено 5 самолётов противника.</w:t>
      </w:r>
    </w:p>
    <w:p w14:paraId="56CAA73A"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на отдельных участках вели артиллерийскую и миномётную перестрелку с противником. Подразделения, которыми командует тов. Панков, огневыми налётами уничтожили 4 станковых пулемёта, 2 миномётные батареи, разрушили 7 блиндажей и взорвали 2 склада с боеприпасами. Подавив огневое сопротивление противника, наши бойцы перешли в атаку и овладели укреплёнными позициями немцев. Огнём и в рукопашных схватках уничтожено 160 гитлеровцев.</w:t>
      </w:r>
    </w:p>
    <w:p w14:paraId="377E3263"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советские войска вели напряжённые оборонительные бои с противником. Гитлеровцы поддерживают свою пехоту крупными силами танков иавиации. На одном участке наши бойцы сожгли и уничтожили 14 танков противника. Советские лётчики в воздушных боях сбили 12 немецких самолётов.</w:t>
      </w:r>
    </w:p>
    <w:p w14:paraId="7F5FE364"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в районе одного хутора наши подразделения окружили батальон вражеской пехоты и ведут бои на его уничтожение. На другом участке в боях за высоту уничтожено три роты пехоты противника. Захвачены пленные.</w:t>
      </w:r>
    </w:p>
    <w:p w14:paraId="1CA374F5"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Орловской области, совершил внезапный налёт на немецкий гарнизон. В короткой схватке партизаны уничтожили 29 солдат и офицеров противника. Несколько немецких солдат взято в плен. Захвачены трофеи: 2 пушки, 6 миномётов, 7 пулемётов, 60 снарядов, 19.000 патронов, 52 лошади и 10 тонн хлеба. Другой отряд орловских партизан захватил 2 пулемёта, 10 лошадей и склад противника с обмундированием.</w:t>
      </w:r>
    </w:p>
    <w:p w14:paraId="45CA97C5"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деревне Заречье (Белоруссия) крестьяне припрятали от немецко-фашистских грабителей последние остатки картофеля. Немцы узнали об этом и расстреляли 11 колхозников, в том числе 53-летнего Наума Солодовича и 48-летнего Николая Лемешко. Колхозников Петра Неровню и Луку Анцеловича гитлеровские бандиты повесили и запретили снимать их трупы.</w:t>
      </w:r>
    </w:p>
    <w:p w14:paraId="082D4653"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днях в радиопередаче из Лондона на немецком языке со ссылкой на сообщение из Стокгольма говорилось: «В начале октября германское командование под Сталинградом обратилось к русскому командованию с просьбой установить на четыре дня перемирие для погребения трупов». Предложение о перемирии было якобы сделано «через организацию Красного Креста». Далее в радиопередаче сообщалось, что будто бы «русское командование заявило о своём согласии, однако поставило условием, чтобы это было доведено до сведения германской общественности. Германское командование отклонило это условие».</w:t>
      </w:r>
    </w:p>
    <w:p w14:paraId="4BEF84E4"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Советское Информбюро сообщает, что ни со стороны немецкого командования, ни со стороны какой-либо «организации Красного Креста» советское командование не получало никаких предложений о «перемирии на четыре дня». Из этого следует, что лондонское радио, опираясь на сведения какого-то подозрительного источника из Стокгольма, передало от начала до конца ложное сообщение.» (14819).</w:t>
      </w:r>
    </w:p>
    <w:p w14:paraId="3EC9F525"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64CE6F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ноября 1942 капитан П.П.Гамов повел первый самолет на запад. До конца года в Фэрбенксе приняли не больше десятка "Митчеллов", но на следующий гол их пошло значительно больше. Вслед за В-25С. поступили B-25D. Они строились другим заводом, в Канзас-сити, и с самого начала комплектовались дополнительным баком в бомбоотсеке и имели подкрыльные бомбодержатели. На последних сериях, B-25D-30 (у нас обозначавшихся В-25ДП), отказались от нижней выпускной башни. У нас ее справедливо критиковали: ограниченный обзор, заклинивание при резком выпуске, возможность задействовать только после полного выдвижения. Ее заменили нарой пулеметов к бортовых установках. Эта схема оборонительного вооружения сохранялась и на позднейших модификациях (3457,92).</w:t>
      </w:r>
    </w:p>
    <w:p w14:paraId="5EA69946" w14:textId="77777777" w:rsidR="00090C9B" w:rsidRPr="00722885" w:rsidRDefault="00090C9B" w:rsidP="00722885">
      <w:pPr>
        <w:pStyle w:val="Iauiue"/>
        <w:jc w:val="both"/>
        <w:rPr>
          <w:color w:val="000000" w:themeColor="text1"/>
          <w:sz w:val="16"/>
          <w:szCs w:val="16"/>
        </w:rPr>
      </w:pPr>
    </w:p>
    <w:p w14:paraId="3852F56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3 ноября 1942 вышло Постановление ГКО № 2469 О партизанском движении в Эстонской ССР. (7061, 158).</w:t>
      </w:r>
    </w:p>
    <w:p w14:paraId="619D94F5" w14:textId="77777777" w:rsidR="00090C9B" w:rsidRPr="00722885" w:rsidRDefault="00090C9B" w:rsidP="00722885">
      <w:pPr>
        <w:pStyle w:val="Iauiue"/>
        <w:tabs>
          <w:tab w:val="left" w:pos="11199"/>
        </w:tabs>
        <w:jc w:val="both"/>
        <w:rPr>
          <w:color w:val="000000" w:themeColor="text1"/>
          <w:sz w:val="16"/>
          <w:szCs w:val="16"/>
        </w:rPr>
      </w:pPr>
    </w:p>
    <w:p w14:paraId="756876B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3 ноября 1942 вышло Постановление ГКО № 2470 О формировании женской добровольческой стрелковой бригады. (7061, 159-160, 161-162).</w:t>
      </w:r>
    </w:p>
    <w:p w14:paraId="439EF9AF" w14:textId="77777777" w:rsidR="00090C9B" w:rsidRPr="00722885" w:rsidRDefault="00090C9B" w:rsidP="00722885">
      <w:pPr>
        <w:pStyle w:val="Iauiue"/>
        <w:tabs>
          <w:tab w:val="left" w:pos="11199"/>
        </w:tabs>
        <w:jc w:val="both"/>
        <w:rPr>
          <w:color w:val="000000" w:themeColor="text1"/>
          <w:sz w:val="16"/>
          <w:szCs w:val="16"/>
        </w:rPr>
      </w:pPr>
    </w:p>
    <w:p w14:paraId="44DD993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44AFF37" w14:textId="77777777" w:rsidR="00090C9B" w:rsidRPr="00722885" w:rsidRDefault="00090C9B" w:rsidP="00722885">
      <w:pPr>
        <w:pStyle w:val="Iauiue"/>
        <w:jc w:val="both"/>
        <w:rPr>
          <w:iCs/>
          <w:color w:val="000000" w:themeColor="text1"/>
          <w:sz w:val="16"/>
          <w:szCs w:val="16"/>
        </w:rPr>
      </w:pPr>
    </w:p>
    <w:p w14:paraId="2D7C726C" w14:textId="77777777" w:rsidR="004C2407" w:rsidRPr="00722885" w:rsidRDefault="004C240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ноября 1942 капитан Гламов поднял с Фэрбенкса и первый В-25С. В 1943 году воздушная трасса «Аляска — Сибирь», или АЛСИБ, заработала в полную силу. После контрольных испытаний в НИИ ВВС самолеты В-25С и «Бостон» III (последние у нас называли Б-3 или ДБ-3 — Дуглас Бостон-3, последующие модификации именовались А-20, этим индексом для простоты будем пользоваться и мы) пошли в запасные полки, где началось переучивание наших летчиков (22858).</w:t>
      </w:r>
    </w:p>
    <w:p w14:paraId="1A3E5435" w14:textId="77777777" w:rsidR="004C2407" w:rsidRPr="00722885" w:rsidRDefault="004C2407" w:rsidP="00722885">
      <w:pPr>
        <w:spacing w:after="0" w:line="240" w:lineRule="auto"/>
        <w:jc w:val="both"/>
        <w:rPr>
          <w:rFonts w:ascii="Times New Roman" w:hAnsi="Times New Roman"/>
          <w:color w:val="0070C0"/>
          <w:sz w:val="16"/>
          <w:szCs w:val="16"/>
        </w:rPr>
      </w:pPr>
    </w:p>
    <w:p w14:paraId="4C2D919C"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3, 1942: Rejecting out of hand Field Marshal Rommel's proposal to withdraw the Afrikakorps, now down to about 40 tanks, to the Fuka line, Hitler orders him to stand and fight. In an interview with American journalists, Stalin describes US military aid as of little effect (3819).</w:t>
      </w:r>
    </w:p>
    <w:p w14:paraId="0B37E318" w14:textId="77777777" w:rsidR="00090C9B" w:rsidRPr="00722885" w:rsidRDefault="00090C9B" w:rsidP="00722885">
      <w:pPr>
        <w:pStyle w:val="Iauiue"/>
        <w:jc w:val="both"/>
        <w:rPr>
          <w:color w:val="000000" w:themeColor="text1"/>
          <w:sz w:val="16"/>
          <w:szCs w:val="16"/>
          <w:lang w:val="en-US"/>
        </w:rPr>
      </w:pPr>
    </w:p>
    <w:p w14:paraId="7A0FC5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ноября 1942 А.Г. отказал Роммелю в просьбе об отводе африканского корпуса. В котором осталось всего 40 танков, и приказал обороняться на линии Фука. В интервью журналистам И.В.С. сказал об американской военной помощи как о низкоэффективной (3819).</w:t>
      </w:r>
    </w:p>
    <w:p w14:paraId="4A27A22E" w14:textId="77777777" w:rsidR="00090C9B" w:rsidRPr="00722885" w:rsidRDefault="00090C9B" w:rsidP="00722885">
      <w:pPr>
        <w:pStyle w:val="Iauiue"/>
        <w:jc w:val="both"/>
        <w:rPr>
          <w:color w:val="000000" w:themeColor="text1"/>
          <w:sz w:val="16"/>
          <w:szCs w:val="16"/>
        </w:rPr>
      </w:pPr>
    </w:p>
    <w:p w14:paraId="6D859D5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3 ноября 1942 глава Китая Чан Кайши передал в распоряжение английского командования в Бирме 15 китайских дивизий (4962).</w:t>
      </w:r>
    </w:p>
    <w:p w14:paraId="39F2229E" w14:textId="77777777" w:rsidR="00090C9B" w:rsidRPr="00722885" w:rsidRDefault="00090C9B" w:rsidP="00722885">
      <w:pPr>
        <w:pStyle w:val="Iauiue"/>
        <w:tabs>
          <w:tab w:val="left" w:pos="11199"/>
        </w:tabs>
        <w:jc w:val="both"/>
        <w:rPr>
          <w:color w:val="000000" w:themeColor="text1"/>
          <w:sz w:val="16"/>
          <w:szCs w:val="16"/>
        </w:rPr>
      </w:pPr>
    </w:p>
    <w:p w14:paraId="1926E5B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4482B14" w14:textId="77777777" w:rsidR="00090C9B" w:rsidRPr="00722885" w:rsidRDefault="00090C9B" w:rsidP="00722885">
      <w:pPr>
        <w:pStyle w:val="Iauiue"/>
        <w:jc w:val="both"/>
        <w:rPr>
          <w:iCs/>
          <w:color w:val="000000" w:themeColor="text1"/>
          <w:sz w:val="16"/>
          <w:szCs w:val="16"/>
        </w:rPr>
      </w:pPr>
    </w:p>
    <w:p w14:paraId="5FA940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4 по 24 ноября 1942 г. были проведены государственные испытания мягких бензобаков для Як-1 и по заключению НИИ ВВС их рекомендовали к серийному производству при условии устранения дефектов, отмеченных при испытаниях.</w:t>
      </w:r>
    </w:p>
    <w:p w14:paraId="7B1115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Практически одновременно с началом использования самолета Як-1 в боевых условиях перед конструкторами заводов №№ 292, 301 и ВИАМ была поставлена задача для экономии дефицитного металла, а также в связи с низкими защитными свойствами металлических баков, заменить металлические протектированные бензобаки мягкими или фибровыми. В 1942 г. заводом № 292 совместно с бригадой ВИАМ была отработана конструкция протектированных мягких бензобаков самолета Як-1, выдерживающих обстрел из немецкой пушки MG-151 калибром 15 мм. При этом конструкция крыла не потребовала капитальных переделок. Изменился только способ крепления бензобаков. Мягкие баки укладывались в фанерный кессон, опирающийся на усиленные крышки бензолюков. </w:t>
      </w:r>
    </w:p>
    <w:p w14:paraId="598436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Серийно мягкие бензобаки не выпускались, несмотря на их высокую пулестойкость (при испытаниях бак выдержал пять попаданий снарядов калибром 15 мм). Основным препятствием внедрению явилась необходимость наличия поддавливания топлива в баках системой нейтрального газа для повышения высотности мотора. При простреле бензин быстро выдавливался из мягкого бака избыточным давлением газа, не давая затянуться протектирующему слою. Кроме того, общая емкость бензобаков осталась прежней при увеличении веса конструкции на 35 кг (12048).</w:t>
      </w:r>
    </w:p>
    <w:p w14:paraId="4030F4F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13180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ноября 1942 П.Воронин писал письмо дир. завода 84 Ярунину и Нач. КО Мосолову:</w:t>
      </w:r>
    </w:p>
    <w:p w14:paraId="53156B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"Предлагаю проработать вопрос размещения штурмана впереди л в удлиняемой носовой части Ли-2 в соответствии с предлагаемыми ТТТ АДД и построить макет штурманской кабины, для проверки обзора и удобства размещения.</w:t>
      </w:r>
    </w:p>
    <w:p w14:paraId="77D10F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Проект переделки носовой части фюзеляжа Ли-2 с соображениями об объеме изменений, затрагивающих серийное производство и возможных сроках внедрения в серию, направьте в 7 ГУ НКАП к 1 декабря с.г. Приложены ТТТ на кабину ш Ли-2 в варианте ночного бомбардировщика." (2504,31).</w:t>
      </w:r>
    </w:p>
    <w:p w14:paraId="2A5A4B5B" w14:textId="77777777" w:rsidR="00090C9B" w:rsidRPr="00722885" w:rsidRDefault="00090C9B" w:rsidP="00722885">
      <w:pPr>
        <w:pStyle w:val="Iauiue"/>
        <w:jc w:val="both"/>
        <w:rPr>
          <w:color w:val="000000" w:themeColor="text1"/>
          <w:sz w:val="16"/>
          <w:szCs w:val="16"/>
        </w:rPr>
      </w:pPr>
    </w:p>
    <w:p w14:paraId="6509B33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02CC73B" w14:textId="77777777" w:rsidR="00090C9B" w:rsidRPr="00722885" w:rsidRDefault="00090C9B" w:rsidP="00722885">
      <w:pPr>
        <w:pStyle w:val="Iauiue"/>
        <w:jc w:val="both"/>
        <w:rPr>
          <w:iCs/>
          <w:color w:val="000000" w:themeColor="text1"/>
          <w:sz w:val="16"/>
          <w:szCs w:val="16"/>
        </w:rPr>
      </w:pPr>
    </w:p>
    <w:p w14:paraId="10E3E7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ноября 1942 г. проект 122мм САУ с индексом У 35 (буква «У» обозначала Уралмаш) был утвержден межведомственной комиссией представителей Главного артиллерийского управления и Народного комиссариата танковой промышленности. Проект боевой машины разработал коллектив конструкторского бюро самоходной артиллерии Уралмаша, основной костяк кото рого составляли специалисты оборонных предприятий Ленинграда, эвакуированные в Свердловск осенью 1941 г. Сроки, которые дали конструкторам на создание первой серийной советской САУ, даже нельзя назвать сжатыми, они были просто фантастическими. А это означало, что не могло быть и речи о существенной переделке гаубицы М 30, находящейся в серийном производ стве. При этом самоходка должна была иметь такую же броне вую защиту, что и танк Т 34, и сохранять его маневренность. И уже 30 ноября начались заводские испытания опытного образца. Интересно отметить, что в первый день испытаний У 35 прошла пробегом без дорог более 50 км и выполнила 20 выстрелов прямой наводкой на полигоне. Правда, испытания выявили у боевой машины и ряд недостатков. Несмотря на это, Государственный Комитет Обороны уже 2 декабря выпустил постановление: не дожидаясь конца испытаний приступить к развертыванию серийного производства У 35 на Уралмашза воде, а доработку чертежей производить параллельно с вы пуском первых 25 машин (11300).</w:t>
      </w:r>
    </w:p>
    <w:p w14:paraId="12273F9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6BEA8A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4 ноября 1942 основан Московский инженерно-физический институт (МИФИ) (4962).</w:t>
      </w:r>
    </w:p>
    <w:p w14:paraId="5B597FC9" w14:textId="77777777" w:rsidR="00090C9B" w:rsidRPr="00722885" w:rsidRDefault="00090C9B" w:rsidP="00722885">
      <w:pPr>
        <w:pStyle w:val="Iauiue"/>
        <w:tabs>
          <w:tab w:val="left" w:pos="11199"/>
        </w:tabs>
        <w:jc w:val="both"/>
        <w:rPr>
          <w:color w:val="000000" w:themeColor="text1"/>
          <w:sz w:val="16"/>
          <w:szCs w:val="16"/>
        </w:rPr>
      </w:pPr>
    </w:p>
    <w:p w14:paraId="13882F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ноября 1942 основали МИФИ (3263,626).</w:t>
      </w:r>
    </w:p>
    <w:p w14:paraId="6A9E3631" w14:textId="77777777" w:rsidR="00090C9B" w:rsidRPr="00722885" w:rsidRDefault="00090C9B" w:rsidP="00722885">
      <w:pPr>
        <w:pStyle w:val="Iauiue"/>
        <w:jc w:val="both"/>
        <w:rPr>
          <w:color w:val="000000" w:themeColor="text1"/>
          <w:sz w:val="16"/>
          <w:szCs w:val="16"/>
        </w:rPr>
      </w:pPr>
    </w:p>
    <w:p w14:paraId="5291DF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ноября 1942 вышло Постановление ГКО № 2471 О частичном изменении плана строительства нефтеемкостей в 1942 году. РГАНИР, Фонд ГКО, д. 66, лл. 163-164, 165 (11012).</w:t>
      </w:r>
    </w:p>
    <w:p w14:paraId="4138FCD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24859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ноября 1942 на вновь созданной Сясьской судоверфи была спущена на воду 31-я, сверхплановая, баржа, подарок строи</w:t>
      </w:r>
      <w:r w:rsidRPr="00722885">
        <w:rPr>
          <w:color w:val="000000" w:themeColor="text1"/>
          <w:sz w:val="16"/>
          <w:szCs w:val="16"/>
        </w:rPr>
        <w:softHyphen/>
        <w:t>телей защитникам Ленинграда (3898).</w:t>
      </w:r>
    </w:p>
    <w:p w14:paraId="6C9CD4CA" w14:textId="77777777" w:rsidR="00090C9B" w:rsidRPr="00722885" w:rsidRDefault="00090C9B" w:rsidP="00722885">
      <w:pPr>
        <w:pStyle w:val="Iauiue"/>
        <w:jc w:val="both"/>
        <w:rPr>
          <w:color w:val="000000" w:themeColor="text1"/>
          <w:sz w:val="16"/>
          <w:szCs w:val="16"/>
        </w:rPr>
      </w:pPr>
    </w:p>
    <w:p w14:paraId="579C29D0" w14:textId="77777777" w:rsidR="00C63247"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CFD0813" w14:textId="77777777" w:rsidR="00C63247" w:rsidRPr="00722885" w:rsidRDefault="00C63247" w:rsidP="00722885">
      <w:pPr>
        <w:pStyle w:val="Iauiue"/>
        <w:jc w:val="both"/>
        <w:rPr>
          <w:iCs/>
          <w:color w:val="000000" w:themeColor="text1"/>
          <w:sz w:val="16"/>
          <w:szCs w:val="16"/>
        </w:rPr>
      </w:pPr>
    </w:p>
    <w:p w14:paraId="322B8FE1"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ноября</w:t>
      </w:r>
      <w:r w:rsidRPr="00722885">
        <w:rPr>
          <w:rFonts w:ascii="Times New Roman" w:hAnsi="Times New Roman"/>
          <w:color w:val="000000" w:themeColor="text1"/>
          <w:sz w:val="16"/>
          <w:szCs w:val="16"/>
        </w:rPr>
        <w:t xml:space="preserve"> в 1942 году утреннее сообщение Совинформбюро:</w:t>
      </w:r>
    </w:p>
    <w:p w14:paraId="4C3B6F72"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4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1F2F57E9"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бои. Бойцы Н-ской части отбили две атаки противника и уничтожили свыше 300 немецких солдат и офицеров, 3 орудия и 5 станковых пулемётов. Стрелковая рота под командованием младшего лейтенанта Пискунова в течение шести часов отбивала атаки пехоты и танков противника. Тов. Пискунов из противотанкового ружья подбил один немецкий танк, второй танк подбил красноармеец т. Быхов и третий танк уничтожили Быхов и старшина т. Бойко. Гитлеровцы понесли большие потери в живой силе и отошли. Командир орудия сержант Быховский вместе со своим расчётом за последние дни подбил и сжёг 6 немецких танков.</w:t>
      </w:r>
    </w:p>
    <w:p w14:paraId="764C43E8"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Северо-западнее Сталинграда наши части укрепляли свои позиции и вели перестрелку с противником. На одном из участков огнём нашей артиллерии уничтожено 4 пулемёта, 20 автомашин, взорван склад с боеприпасами, рассеяно и частью уничтожено две роты немецкой пехоты. Группа бойцов подразделения тов. Грарахина </w:t>
      </w:r>
      <w:r w:rsidRPr="00722885">
        <w:rPr>
          <w:rFonts w:ascii="Times New Roman" w:hAnsi="Times New Roman"/>
          <w:color w:val="000000" w:themeColor="text1"/>
          <w:sz w:val="16"/>
          <w:szCs w:val="16"/>
        </w:rPr>
        <w:lastRenderedPageBreak/>
        <w:t>внезапно напала на позиции противника, захватила у немцев и увезла противотанковую пушку, 100 снарядов и 2 пулемёта. Снайперы части, где командиром тов. Вязьмин, истребили 44 гитлеровца.</w:t>
      </w:r>
    </w:p>
    <w:p w14:paraId="66D6194F"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продолжали вести тяжёлые оборонительные бои с танками и пехотой противника. Артиллеристы Н-ской части произвели огневой налёт на скопление противника. Уничтожено свыше 200 гитлеровцев, 3 танка и 12 автомашин.</w:t>
      </w:r>
    </w:p>
    <w:p w14:paraId="3E95D99F"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подразделения после короткой артиллерийской подготовки атаковали немцев и выбили их из укреплённых позиций. На поле боя осталось 170 вражеских трупов. Захвачены 4 пулемёта, 2 миномёта и склад боеприпасов. Н-ская часть заняла несколько высот. Противник предпринял контратаку, но, потеряв убитыми и ранеными до роты пехоты, отошёл на исходные позиции.</w:t>
      </w:r>
    </w:p>
    <w:p w14:paraId="15CA6E26"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на участке, который обороняют подразделения тов.Андреева, полк пехоты, и 15 танков противника атаковали наши позиции. Наши бойцы встретили немцев заградительным огнём, а затем перешли в контратаку. В этом бою противник потерял убитыми и ранеными свыше 300 солдат и офицеров. Подбито и сожжено 8 немецких танков.</w:t>
      </w:r>
    </w:p>
    <w:p w14:paraId="11F062ED"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солдат 60 финского пехотного полка Илмари В. рассказал: «Недавно на участке железной дороги Оулу—Турку сошёл с рельсов воинский эшелон. При крушении было убито и ранено 140 немецких солдат. Впоследствии говорили, что катастрофа произошла по вине железнодорожников. Они знали, что на участке идёт ремонт путей, но сознательно не предупредили об этом немцев. Я думаю, что железнодорожники сделали это потому, что они ненавидят немцев».</w:t>
      </w:r>
    </w:p>
    <w:p w14:paraId="4E0FDDA3"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войска, находящиеся в Чехословакии, окружены ненавистью чешского народа. Из одной немецкой части, расположенной близ Праги, в октябре бесследно исчезли 38 немецких солдат. Некоторые из них впоследствии были найдены убитыми. В городе Ческе Будеевице патриоты убили трёх гитлеровцев. В связи сучастившимися нападениями на гитлеровцев немецкое командование запретило солдатам в одиночку уходить из казарм.» (14820).</w:t>
      </w:r>
    </w:p>
    <w:p w14:paraId="51B69141"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63EF38B0"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ноября</w:t>
      </w:r>
      <w:r w:rsidRPr="00722885">
        <w:rPr>
          <w:rFonts w:ascii="Times New Roman" w:hAnsi="Times New Roman"/>
          <w:color w:val="000000" w:themeColor="text1"/>
          <w:sz w:val="16"/>
          <w:szCs w:val="16"/>
        </w:rPr>
        <w:t xml:space="preserve"> в 1942 году вечернее сообщение Совинформбюро:</w:t>
      </w:r>
    </w:p>
    <w:p w14:paraId="6B5E9C1D"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4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797FF1F"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 ноября нашей авиацией на различных участках фронта уничтожено до 40 немецких автомашин с войсками и грузами, подавлен огонь 6 артиллерийских батарей и 10 зенитно-пулемётных точек, разбит железнодорожный состав, рассеяно и частью уничтожено до роты пехоты противника.</w:t>
      </w:r>
    </w:p>
    <w:p w14:paraId="0D230209"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ожесточённые бои. Пехота противника, поддержанная танками, предпринимала атаки на всех участках обороны города. Наши войска отбили атаки немцев и нанесли противнику большие потери. Уничтожено более 1.000 солдат и офицеров противника, подбито и сожжено 8 танков, 10 автомашин, уничтожено 2 орудия, несколько миномётных батарей, 34 пулемёта, взорван склад с боеприпасами.</w:t>
      </w:r>
    </w:p>
    <w:p w14:paraId="1311C879"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подразделениях наших войск проводятся беседы, посвященные двадцатипятилетию Великой Октябрьской Социалистической Революции. Бойцы и командиры единодушно заявляют, что они с честью выполнят свой долг перед Родиной, будут стойко и до конца защищать Сталинград. Снайпер Василий Зайцев, уничтоживший на улицах Сталинграда 110 немцев, сказал: «Нам на левый берег Волги пути нет. Мы будем нещадно истреблять фашистов. Назад не пойдём, только вперёд».</w:t>
      </w:r>
    </w:p>
    <w:p w14:paraId="2C447C16"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происходили столкновения с небольшими группами противника. Разведывательный отряд Н-ской части, действуя в тылу врага, истребил 60 немецких солдат и офицеров, уничтожил 3 орудия и взорвал склад боеприпасов. На одном из участков наши бойцы захватили 5 блиндажей и вкопанный в землю немецкий танк. Огнём артиллеристов разрушено 9 дзотов, подбито одно орудие и уничтожено до 70 гитлеровцев. Нашей авиацией уничтожено 5 немецких самолётов. Кроме того, 2 самолёта противника сбиты огнём наших наземных войск.</w:t>
      </w:r>
    </w:p>
    <w:p w14:paraId="5A591F53"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вели упорные оборонительные бои с танками и пехотой противника. На одном из участков бойцы Н-ской части, отбивая атаки врага, истребили 350 гитлеровцев и сожгли 7 немецких танков. На другом участке, несмотря на численное превосходство противника, наши танкисты вступили в бой с гитлеровцами. К исходу дня они сожгли 16 и подбили 17 немецких танков.</w:t>
      </w:r>
    </w:p>
    <w:p w14:paraId="281389FF"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советские войска вели активные боевые действия. Бойцы Н-ской части захватили несколько опорных пунктов вражеской обороны и уничтожили до 400 немецких солдат и офицеров. Группа бойцов бронебойщиков подразделения под командованием тов. Мазепова сбила немецкий самолёт. Командир роты т. Дубровскийза два дня огнём из пулемёта сбил два самолёта противника.</w:t>
      </w:r>
    </w:p>
    <w:p w14:paraId="10A1C31F"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Восточнее Новороссийска отряд разведчиков проник в тыл врага и совершил налёт на штаб немецкой части. В завязавшейся схватке уничтожено 27 гитлеровцев. Убиты командир роты и командир батальона противника.</w:t>
      </w:r>
    </w:p>
    <w:p w14:paraId="28C73AAE"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Большой урон немецко-фашистским захватчикам наносят партизаны, действующие в оккупированных врагом районах Северного Кавказа. Несколько партизанских отрядов за последнее время истребили до 400 немецких солдат и офицеров. Партизанами захвачены у немцев оружие и боеприпасы.</w:t>
      </w:r>
    </w:p>
    <w:p w14:paraId="7E22E472"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бросили в концентрационный лагерь 200 мирных жителей города Чернигова, отказавшихся поехать на немецкую каторгу. Среди заключённых было много женщин и подростков: На почве голода в лагере вспыхнула эпидемия тифа. Фашистские бандиты расстреляли 27 заключённых, заболевших тифом.</w:t>
      </w:r>
    </w:p>
    <w:p w14:paraId="1BA2F54F"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оккупационные власти в Бельгии приступили к принудительной мобилизации бельгийских рабочих для германской промышленности. Эти попытки гитлеровцев встретили упорное сопротивление рабочих. Горняки и металлурги Льежского округа объявили забастовку протеста. Несмотря на преследования и угрозы, рабочие до сих пор не приступили к работе. Они категорически отказались ехать на работу в фашистскую Германию.» (14820).</w:t>
      </w:r>
    </w:p>
    <w:p w14:paraId="55A98FF8"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650506B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CE08536" w14:textId="77777777" w:rsidR="00090C9B" w:rsidRPr="00722885" w:rsidRDefault="00090C9B" w:rsidP="00722885">
      <w:pPr>
        <w:pStyle w:val="Iauiue"/>
        <w:jc w:val="both"/>
        <w:rPr>
          <w:iCs/>
          <w:color w:val="000000" w:themeColor="text1"/>
          <w:sz w:val="16"/>
          <w:szCs w:val="16"/>
        </w:rPr>
      </w:pPr>
    </w:p>
    <w:p w14:paraId="1C632875"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ноября</w:t>
      </w:r>
      <w:r w:rsidRPr="00722885">
        <w:rPr>
          <w:rFonts w:ascii="Times New Roman" w:hAnsi="Times New Roman"/>
          <w:color w:val="000000" w:themeColor="text1"/>
          <w:sz w:val="16"/>
          <w:szCs w:val="16"/>
        </w:rPr>
        <w:t xml:space="preserve"> в 1942 году первый полет пассажирского гидросамолета «Latecoere 631» (Франция). Летающая лодка «Late 631», работа над которой была начата фирмой «Societe Industrielle d'Aviation Latecoere» в 1937 году, предназначался для перевозки 46 пассажиров на маршрутах через Южную Атлантику. Шесть двигателей самолета были установлены индивидуально на передней кромке высокорасположенного крыла. Двухреданный корпус имел великолепные обводы без дополнительных выступов, стабилизирующие поплавки убирались в гондолы внешних двигателей, а хвостовое оперение было двухкилевым. В условиях войны работа над самолетом продолжалась 4 года, и опытный экземпляр «Late 631.01» совершил свой первый полет лишь 4 ноября 1942 года. Еще три построенных модели поднялись в воздух только после окончания войны. Летные испытания самолета были прерваны из-за оккупации немцами Южной Франции в 1943 году. После их возобновления машина была конфискована и 20 января 1944 года отправлена в Фридрихсхафен в Германию, где была уничтожена во время воздушного налета союзников. Другие экземпляры «Late 631» (всего их было построено одиннадцать) стали использоваться в авиации Франции с 1947 года, а затем были проданы различным компаниям, где использовались в основном в качестве грузовых самолетов. Вторая машина продолжала использоваться до 1956 года, а третья, шестая, седьмая и восьмая разбились в результате катастроф в период с марта 1950 г. по сентябрь 1955 г. После потери восьмого самолета оставшиеся экземпляры были разобраны (14820).</w:t>
      </w:r>
    </w:p>
    <w:p w14:paraId="2313E10E"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3920481A" w14:textId="77777777" w:rsidR="00815843" w:rsidRPr="00722885" w:rsidRDefault="008158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или 11 ноября (источники различаются) 1942 года состоялся первый полет Latécoère 631 (20793).</w:t>
      </w:r>
    </w:p>
    <w:p w14:paraId="267ACF62" w14:textId="77777777" w:rsidR="00815843" w:rsidRPr="00722885" w:rsidRDefault="00815843" w:rsidP="00722885">
      <w:pPr>
        <w:spacing w:after="0" w:line="240" w:lineRule="auto"/>
        <w:jc w:val="both"/>
        <w:rPr>
          <w:rFonts w:ascii="Times New Roman" w:hAnsi="Times New Roman"/>
          <w:color w:val="0070C0"/>
          <w:sz w:val="16"/>
          <w:szCs w:val="16"/>
        </w:rPr>
      </w:pPr>
    </w:p>
    <w:p w14:paraId="4CAD93A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4 ноября 1942 под Эль-Аламейном англичанами захвачен и.о. командующего немецких войск в Северной Африке генерал Вильгельм фон Тома, в 1941 г. бравший Киев (4962).</w:t>
      </w:r>
    </w:p>
    <w:p w14:paraId="3A073987" w14:textId="77777777" w:rsidR="00090C9B" w:rsidRPr="00722885" w:rsidRDefault="00090C9B" w:rsidP="00722885">
      <w:pPr>
        <w:pStyle w:val="Iauiue"/>
        <w:tabs>
          <w:tab w:val="left" w:pos="11199"/>
        </w:tabs>
        <w:jc w:val="both"/>
        <w:rPr>
          <w:color w:val="000000" w:themeColor="text1"/>
          <w:sz w:val="16"/>
          <w:szCs w:val="16"/>
        </w:rPr>
      </w:pPr>
    </w:p>
    <w:p w14:paraId="4236B62D"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4, 1942: In Libya, the Afrikakorps is forced from the Fuka line in the face of massive attacks by the British 8th Army (Montgomery) (3819).</w:t>
      </w:r>
    </w:p>
    <w:p w14:paraId="47F7B6C9" w14:textId="77777777" w:rsidR="00090C9B" w:rsidRPr="00722885" w:rsidRDefault="00090C9B" w:rsidP="00722885">
      <w:pPr>
        <w:pStyle w:val="Iauiue"/>
        <w:jc w:val="both"/>
        <w:rPr>
          <w:color w:val="000000" w:themeColor="text1"/>
          <w:sz w:val="16"/>
          <w:szCs w:val="16"/>
          <w:lang w:val="en-US"/>
        </w:rPr>
      </w:pPr>
    </w:p>
    <w:p w14:paraId="052C20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ноября 1942 в Северной Африке армия оси под командой Роммеля отступала на запад (3907,237).</w:t>
      </w:r>
    </w:p>
    <w:p w14:paraId="08D757B1" w14:textId="77777777" w:rsidR="00090C9B" w:rsidRPr="00722885" w:rsidRDefault="00090C9B" w:rsidP="00722885">
      <w:pPr>
        <w:pStyle w:val="Iauiue"/>
        <w:jc w:val="both"/>
        <w:rPr>
          <w:color w:val="000000" w:themeColor="text1"/>
          <w:sz w:val="16"/>
          <w:szCs w:val="16"/>
        </w:rPr>
      </w:pPr>
    </w:p>
    <w:p w14:paraId="484BCC29"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ноября</w:t>
      </w:r>
      <w:r w:rsidRPr="00722885">
        <w:rPr>
          <w:rFonts w:ascii="Times New Roman" w:hAnsi="Times New Roman"/>
          <w:color w:val="000000" w:themeColor="text1"/>
          <w:sz w:val="16"/>
          <w:szCs w:val="16"/>
        </w:rPr>
        <w:t xml:space="preserve"> в 1942 году в районе Эль-Аламейна 8-я британская армия прорвала оборону итало-немецких войск. Под Эль-Аламейном англичанами захватывается и.о. командующего немецких войск в Северной Африке генерал Вильгельм фон Тома, в 1941 бравший Киев (14820).</w:t>
      </w:r>
    </w:p>
    <w:p w14:paraId="1EE416D7"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2F4CF6B2"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ноября</w:t>
      </w:r>
      <w:r w:rsidRPr="00722885">
        <w:rPr>
          <w:rFonts w:ascii="Times New Roman" w:hAnsi="Times New Roman"/>
          <w:color w:val="000000" w:themeColor="text1"/>
          <w:sz w:val="16"/>
          <w:szCs w:val="16"/>
        </w:rPr>
        <w:t xml:space="preserve"> в 1942 году генерал-лейтенант Эрвин Роммель отдал приказ об отступлении Африканского корпуса от Аль-Аламейна. Фактически это означало поражение немцев в африканской кампании (14820).</w:t>
      </w:r>
    </w:p>
    <w:p w14:paraId="36A0D42B"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52F856BA"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ноября</w:t>
      </w:r>
      <w:r w:rsidRPr="00722885">
        <w:rPr>
          <w:rFonts w:ascii="Times New Roman" w:hAnsi="Times New Roman"/>
          <w:color w:val="000000" w:themeColor="text1"/>
          <w:sz w:val="16"/>
          <w:szCs w:val="16"/>
        </w:rPr>
        <w:t xml:space="preserve"> в 1942 году в Северной Африке армия стран «оси» под командованаем Роммеля отступает в западном направлении, преследуемая британскими войсками (14820).</w:t>
      </w:r>
    </w:p>
    <w:p w14:paraId="1C2406FF"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2D2D2DEB"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4 ноября</w:t>
      </w:r>
      <w:r w:rsidRPr="00722885">
        <w:rPr>
          <w:rFonts w:ascii="Times New Roman" w:hAnsi="Times New Roman"/>
          <w:color w:val="000000" w:themeColor="text1"/>
          <w:sz w:val="16"/>
          <w:szCs w:val="16"/>
        </w:rPr>
        <w:t xml:space="preserve"> в 1942 году назначенные немцами на оккупированной территории Латвии генеральные директора самоуправления приступают к обсуждению вопроса о создании латышского легиона на основе призыва «добровольцев». Из протокола заседания: «Генеральный директор Данкерс сообщает, что вчера, 3 ноября, он вместе с полковником-лейтенантом Вейсом, полковником Крипенсом, полковником Силгайлисом и полковником-лейтенантом Осисом были приглашены к руководителю </w:t>
      </w:r>
      <w:r w:rsidRPr="00722885">
        <w:rPr>
          <w:rFonts w:ascii="Times New Roman" w:hAnsi="Times New Roman"/>
          <w:color w:val="000000" w:themeColor="text1"/>
          <w:sz w:val="16"/>
          <w:szCs w:val="16"/>
        </w:rPr>
        <w:lastRenderedPageBreak/>
        <w:t>СС и немецкой полиции в Латвии генерал-майору Шрёдеру, который предложил гендиректорам обратиться с ходатайством к высшему руководителю СС и немецкой полиции в Остланде генералу Еккельну разрешить формирование латышского легиона». Планы обсуждались до конца января 1943, когда было получено разрешение Гитлера приступать к созданию латышского легиона. Уже в марте тысяча новобранцев без всякого обучения была послана на ленинградский фронт, во 2-ю бригаду СС&amp; Штаб генерального инспектора латышского легиона Бангерского сообщал, что в легион зачислено 22,5 тысячи человек, в другие части немецкой армии — 12,7 тысяч, а 6 тысяч уклонились от явки на призывние пункты. Латышским легионерам было запрещено ношение знаков СС на воротничке, вместо этого были введены рунические знаки. В немецких частях СС солдаты именовались эсэсовцами, в латышских их официально называли легионерами, а в конце войны — оружейными гренадерами. В январе из трех батальонов была создана 2-я латышская бригада СС, позже переименованная в 1-й полк. Затем был создан 2-й полк, в мае 1943 оба полка были объединены в бригаду, которой командовал немецкий генерал Шульдт, и переведены на Волховский фронт. К 1944 были сформированы 15-я и 19-я дивизии оружейных гренадеров СС. До десятой части посылаемых на фронт дезертировали еще во время пребывания на территории Латвии. Схваченные и осужденные потом эсэсовским или полицейским судом, они попадали в тюрьмы или Саласпилсский лагерь, а потом определялись в штрафбаты, в которых оказалось около 3000 арестантов. После военных поражений и отступления немецкой армии на территорию Латвии начался процесс стремительного распада легиона. Дело доходидо до прямых военных столкновений с немцами. Во время боев в Латвии Советская Армия старалась не наступать на позиции легионеров, но если немцы узнавали о готовящемся русском наступлении, они отводили свои части и ставили на их место латышей, используя их как пушечное мясо. Гитлеровское командование в итоге было вынуждено разоружить легионеров, вывести х в Восточную Пруссию, офицеров временно заменить немецкими и лишь после переформирования вновь бросить в бой. После боев в Пруссии и Померании из 19 тысяч человек остались лишь 8 тысяч. Состав легионеров был весьма пестрым: часть составляли бывшие инструктуры и офицеры бывшей Латвийской армии, которые с началом войны ушли в леса и вели партизанскую войну с красноармейскими частями; другие (искренне или по наивности) считали, что сформированый легион станет ядром будущей армии Латвии, когда Германия и СССР обескровят друг друга; ну а «добровольцах», которые искали удобного случая дезертировать или перейти на другую сторону уже было сказано (14820).</w:t>
      </w:r>
    </w:p>
    <w:p w14:paraId="39475C93"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01B742D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E8B872B" w14:textId="77777777" w:rsidR="00090C9B" w:rsidRPr="00722885" w:rsidRDefault="00090C9B" w:rsidP="00722885">
      <w:pPr>
        <w:pStyle w:val="Iauiue"/>
        <w:jc w:val="both"/>
        <w:rPr>
          <w:iCs/>
          <w:color w:val="000000" w:themeColor="text1"/>
          <w:sz w:val="16"/>
          <w:szCs w:val="16"/>
        </w:rPr>
      </w:pPr>
    </w:p>
    <w:p w14:paraId="79CD79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А.E.Репин утвердил Акт по результатам гос. испытаний 2-местного Ил-2 N 4433 с АМ-38 с винтом АВ-5Л-158 д. 3,6 м, которые проходили с 16 по 26 октября 1942 (811,4).</w:t>
      </w:r>
    </w:p>
    <w:p w14:paraId="5AC4B8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инж. Им Синельников</w:t>
      </w:r>
    </w:p>
    <w:p w14:paraId="47EEB8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 л. Им Супрун и др</w:t>
      </w:r>
    </w:p>
    <w:p w14:paraId="2C1FF1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Объект испытаний: заводом № 1 на испытания предъявлен 2-х местный с-т Ил-2 АМ-38 № 4434 с задней стрелковой блистерной установкой под пулемет УБТ. С-т переделан из одноместного серийного Ил-2 АМ-38</w:t>
      </w:r>
    </w:p>
    <w:p w14:paraId="608486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Основные переделки:</w:t>
      </w:r>
    </w:p>
    <w:p w14:paraId="571C2F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место заднего фюзеляжного б/б и выреза в хвостовой части фюзеляжа оборудована кабина стрелка, где установлен п-т УБТ на стрелковой блистерной установкой с запасом патронов 150 шт. в трех магазинах. В кабине стрелка установлено регулируемое по высоте сидение.</w:t>
      </w:r>
    </w:p>
    <w:p w14:paraId="6F4539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радиоприемник РСИ-4А, переговорное устройство СПУ-2Ф, умформер передатчика</w:t>
      </w:r>
    </w:p>
    <w:p w14:paraId="4DAB48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под полом кабины аккумулятор 12А-10</w:t>
      </w:r>
    </w:p>
    <w:p w14:paraId="3F034B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вместо заднего фюзеляжного бака емкостью 300 л установлены в центроплана в двух боибоотсеках два забронированных б/б емкостью по 150 л.</w:t>
      </w:r>
    </w:p>
    <w:p w14:paraId="7C82F6D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кабина стрелка защищена броней сбоку, снизу и сзади. Ддя защиты его головы плита на фонаре, надголовник и на кольце блистера - прозрачная броня. Кабина стрелка снабжена сдвигающимся прозрачным фонарем. Т-образная антенна заменена на антенну в виде двух лучей, идущих от конца стабилизатора к проходному изолятору на фюзеляже.</w:t>
      </w:r>
    </w:p>
    <w:p w14:paraId="47456D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связи с установкой двух б/б в бомбообсеки, емкость внутренних бомбодержателей уменьшена вдвое против прежнего (вместо 4 замков для бомб ФАБ-100 или ФАБ-50 имеется 2)</w:t>
      </w:r>
    </w:p>
    <w:p w14:paraId="4D80F3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Этот с-т имеет больший вес на 100-110 кг по сравнению с с-том Ил-2 двухместным № 887 завода № 30</w:t>
      </w:r>
    </w:p>
    <w:p w14:paraId="6701E5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Краткие рез-ты испытаний:</w:t>
      </w:r>
    </w:p>
    <w:p w14:paraId="4EE072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16 по 26 октября произведено 28 полетов, налет 9:05</w:t>
      </w:r>
    </w:p>
    <w:p w14:paraId="13A79B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 4628, вес нагрузки 1352, в т.ч.:</w:t>
      </w:r>
    </w:p>
    <w:p w14:paraId="20020C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экипаж - 180</w:t>
      </w:r>
    </w:p>
    <w:p w14:paraId="09B964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горючее 532</w:t>
      </w:r>
    </w:p>
    <w:p w14:paraId="284444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смазочное 65</w:t>
      </w:r>
    </w:p>
    <w:p w14:paraId="5DFEE0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пушки ШВАКх2 80</w:t>
      </w:r>
    </w:p>
    <w:p w14:paraId="1602E3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ШВАК (500 с ящиками) - 115</w:t>
      </w:r>
    </w:p>
    <w:p w14:paraId="07DD92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пулеметы ШКАСх2 - 21</w:t>
      </w:r>
    </w:p>
    <w:p w14:paraId="5A43F7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ШКАС (1500 с ящиками) - 54</w:t>
      </w:r>
    </w:p>
    <w:p w14:paraId="7C746F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П-т УБТх1 - 21</w:t>
      </w:r>
    </w:p>
    <w:p w14:paraId="19D3BE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Патроны к нему (3 магазина - 150) - 30</w:t>
      </w:r>
    </w:p>
    <w:p w14:paraId="6B5149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бомбы - 200</w:t>
      </w:r>
    </w:p>
    <w:p w14:paraId="2883F3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8хРС-82 - 54</w:t>
      </w:r>
    </w:p>
    <w:p w14:paraId="691B69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(норм./перегр.) - 5980/6180</w:t>
      </w:r>
    </w:p>
    <w:p w14:paraId="5B9B3CF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Перегрузочный вариант отличается от нормального увеличением бомбовой нагрузки на 200 кг на наружной подвеске</w:t>
      </w:r>
    </w:p>
    <w:p w14:paraId="6D7ED6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p w14:paraId="360A09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у земли - 388 и 368 в перегрузочном вар-те (2хФАБ-100 на внешней подвеске и 8 РС-82)</w:t>
      </w:r>
    </w:p>
    <w:p w14:paraId="3A1524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2000 - 407 и 387</w:t>
      </w:r>
    </w:p>
    <w:p w14:paraId="581C765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420, скорость отрыва 159, взлетная дистанция (25 м) 1120</w:t>
      </w:r>
    </w:p>
    <w:p w14:paraId="56F44E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на форсаже - 390, 159, 980</w:t>
      </w:r>
    </w:p>
    <w:p w14:paraId="75748A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перегрузочного вар-та - 465, дистанция 1120, скорость отрыва 163</w:t>
      </w:r>
    </w:p>
    <w:p w14:paraId="12F115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Маневренность на 1000 м - вираж 48-49, высота боевого разворота 400 (скорость начала 340, конца 250, полетный вес 5980)</w:t>
      </w:r>
    </w:p>
    <w:p w14:paraId="45C37B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с-те № 887 (завода № 30) никаких изменений в перестановке б/б и броне не было.</w:t>
      </w:r>
    </w:p>
    <w:p w14:paraId="777372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Кабина стрелка сделана сзади б/б, находящегося за спиной л. Кабина тесна и неудобна. Бронирования ее нет. Бомбовая нагрузка остается той же - 400 кг на внутренней и 200 кг га наружной.</w:t>
      </w:r>
    </w:p>
    <w:p w14:paraId="230042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Сравнительная таблица ЛТД 2-х местных Ил-2 пр-ва заводов № 30 и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751"/>
        <w:gridCol w:w="2835"/>
      </w:tblGrid>
      <w:tr w:rsidR="009B487A" w:rsidRPr="00722885" w14:paraId="5D30486A" w14:textId="77777777" w:rsidTr="00CC5360">
        <w:tc>
          <w:tcPr>
            <w:tcW w:w="3736" w:type="dxa"/>
            <w:tcBorders>
              <w:top w:val="single" w:sz="12" w:space="0" w:color="auto"/>
            </w:tcBorders>
          </w:tcPr>
          <w:p w14:paraId="5C156F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Наименование</w:t>
            </w:r>
          </w:p>
        </w:tc>
        <w:tc>
          <w:tcPr>
            <w:tcW w:w="2751" w:type="dxa"/>
            <w:tcBorders>
              <w:top w:val="single" w:sz="12" w:space="0" w:color="auto"/>
            </w:tcBorders>
          </w:tcPr>
          <w:p w14:paraId="3D6BC0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 № 4434 завода № 1</w:t>
            </w:r>
          </w:p>
        </w:tc>
        <w:tc>
          <w:tcPr>
            <w:tcW w:w="2835" w:type="dxa"/>
            <w:tcBorders>
              <w:top w:val="single" w:sz="12" w:space="0" w:color="auto"/>
            </w:tcBorders>
          </w:tcPr>
          <w:p w14:paraId="69D64C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Ил-2 № 887 завода № 30</w:t>
            </w:r>
          </w:p>
        </w:tc>
      </w:tr>
      <w:tr w:rsidR="009B487A" w:rsidRPr="00722885" w14:paraId="6D62B2F5" w14:textId="77777777" w:rsidTr="00CC5360">
        <w:tc>
          <w:tcPr>
            <w:tcW w:w="3736" w:type="dxa"/>
          </w:tcPr>
          <w:p w14:paraId="205705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w:t>
            </w:r>
          </w:p>
        </w:tc>
        <w:tc>
          <w:tcPr>
            <w:tcW w:w="2751" w:type="dxa"/>
          </w:tcPr>
          <w:p w14:paraId="457982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4628</w:t>
            </w:r>
          </w:p>
        </w:tc>
        <w:tc>
          <w:tcPr>
            <w:tcW w:w="2835" w:type="dxa"/>
          </w:tcPr>
          <w:p w14:paraId="619D5F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4517</w:t>
            </w:r>
          </w:p>
        </w:tc>
      </w:tr>
      <w:tr w:rsidR="009B487A" w:rsidRPr="00722885" w14:paraId="4662398E" w14:textId="77777777" w:rsidTr="00CC5360">
        <w:tc>
          <w:tcPr>
            <w:tcW w:w="3736" w:type="dxa"/>
          </w:tcPr>
          <w:p w14:paraId="7E7863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вес</w:t>
            </w:r>
          </w:p>
        </w:tc>
        <w:tc>
          <w:tcPr>
            <w:tcW w:w="2751" w:type="dxa"/>
          </w:tcPr>
          <w:p w14:paraId="6B8C3C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5980</w:t>
            </w:r>
          </w:p>
        </w:tc>
        <w:tc>
          <w:tcPr>
            <w:tcW w:w="2835" w:type="dxa"/>
          </w:tcPr>
          <w:p w14:paraId="7DEB49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6100</w:t>
            </w:r>
          </w:p>
        </w:tc>
      </w:tr>
      <w:tr w:rsidR="009B487A" w:rsidRPr="00722885" w14:paraId="108DF015" w14:textId="77777777" w:rsidTr="00CC5360">
        <w:tc>
          <w:tcPr>
            <w:tcW w:w="3736" w:type="dxa"/>
          </w:tcPr>
          <w:p w14:paraId="4146D5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Центровка</w:t>
            </w:r>
          </w:p>
        </w:tc>
        <w:tc>
          <w:tcPr>
            <w:tcW w:w="2751" w:type="dxa"/>
          </w:tcPr>
          <w:p w14:paraId="556927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28,75%</w:t>
            </w:r>
          </w:p>
        </w:tc>
        <w:tc>
          <w:tcPr>
            <w:tcW w:w="2835" w:type="dxa"/>
          </w:tcPr>
          <w:p w14:paraId="3E20EF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32,85%</w:t>
            </w:r>
          </w:p>
        </w:tc>
      </w:tr>
      <w:tr w:rsidR="009B487A" w:rsidRPr="00722885" w14:paraId="75513EBA" w14:textId="77777777" w:rsidTr="00CC5360">
        <w:tc>
          <w:tcPr>
            <w:tcW w:w="3736" w:type="dxa"/>
          </w:tcPr>
          <w:p w14:paraId="304014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Бобардировочное вооружение внутрення загрузка</w:t>
            </w:r>
          </w:p>
        </w:tc>
        <w:tc>
          <w:tcPr>
            <w:tcW w:w="2751" w:type="dxa"/>
          </w:tcPr>
          <w:p w14:paraId="254DCF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c>
          <w:tcPr>
            <w:tcW w:w="2835" w:type="dxa"/>
          </w:tcPr>
          <w:p w14:paraId="352206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4х50 или 4х100</w:t>
            </w:r>
          </w:p>
        </w:tc>
      </w:tr>
      <w:tr w:rsidR="009B487A" w:rsidRPr="00722885" w14:paraId="2FB74A49" w14:textId="77777777" w:rsidTr="00CC5360">
        <w:tc>
          <w:tcPr>
            <w:tcW w:w="3736" w:type="dxa"/>
          </w:tcPr>
          <w:p w14:paraId="48E06E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внешняя</w:t>
            </w:r>
          </w:p>
        </w:tc>
        <w:tc>
          <w:tcPr>
            <w:tcW w:w="2751" w:type="dxa"/>
          </w:tcPr>
          <w:p w14:paraId="65005F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c>
          <w:tcPr>
            <w:tcW w:w="2835" w:type="dxa"/>
          </w:tcPr>
          <w:p w14:paraId="5A5952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2х50 или 2х100</w:t>
            </w:r>
          </w:p>
        </w:tc>
      </w:tr>
      <w:tr w:rsidR="009B487A" w:rsidRPr="00722885" w14:paraId="410F15BB" w14:textId="77777777" w:rsidTr="00CC5360">
        <w:tc>
          <w:tcPr>
            <w:tcW w:w="3736" w:type="dxa"/>
          </w:tcPr>
          <w:p w14:paraId="25A9A5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Ракетное вооружение</w:t>
            </w:r>
          </w:p>
        </w:tc>
        <w:tc>
          <w:tcPr>
            <w:tcW w:w="2751" w:type="dxa"/>
          </w:tcPr>
          <w:p w14:paraId="782F43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w:t>
            </w:r>
          </w:p>
        </w:tc>
        <w:tc>
          <w:tcPr>
            <w:tcW w:w="2835" w:type="dxa"/>
          </w:tcPr>
          <w:p w14:paraId="4842AD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8хРС-82</w:t>
            </w:r>
          </w:p>
        </w:tc>
      </w:tr>
      <w:tr w:rsidR="009B487A" w:rsidRPr="00722885" w14:paraId="461E0F48" w14:textId="77777777" w:rsidTr="00CC5360">
        <w:tc>
          <w:tcPr>
            <w:tcW w:w="3736" w:type="dxa"/>
          </w:tcPr>
          <w:p w14:paraId="7AC16F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tc>
        <w:tc>
          <w:tcPr>
            <w:tcW w:w="2751" w:type="dxa"/>
          </w:tcPr>
          <w:p w14:paraId="69CCBC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391/280 с 2хФАБ-100 внутри и 8хРС</w:t>
            </w:r>
          </w:p>
        </w:tc>
        <w:tc>
          <w:tcPr>
            <w:tcW w:w="2835" w:type="dxa"/>
          </w:tcPr>
          <w:p w14:paraId="6E5ECE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386/280 с 4хФАБ-100 внутри и 8хРС</w:t>
            </w:r>
          </w:p>
        </w:tc>
      </w:tr>
      <w:tr w:rsidR="009B487A" w:rsidRPr="00722885" w14:paraId="067003C8" w14:textId="77777777" w:rsidTr="00CC5360">
        <w:tc>
          <w:tcPr>
            <w:tcW w:w="3736" w:type="dxa"/>
          </w:tcPr>
          <w:p w14:paraId="0A3D21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набора 1000 м</w:t>
            </w:r>
          </w:p>
        </w:tc>
        <w:tc>
          <w:tcPr>
            <w:tcW w:w="2751" w:type="dxa"/>
          </w:tcPr>
          <w:p w14:paraId="6645F3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w:t>
            </w:r>
          </w:p>
        </w:tc>
        <w:tc>
          <w:tcPr>
            <w:tcW w:w="2835" w:type="dxa"/>
          </w:tcPr>
          <w:p w14:paraId="24A26E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w:t>
            </w:r>
          </w:p>
        </w:tc>
      </w:tr>
      <w:tr w:rsidR="009B487A" w:rsidRPr="00722885" w14:paraId="1A5D0641" w14:textId="77777777" w:rsidTr="00CC5360">
        <w:tc>
          <w:tcPr>
            <w:tcW w:w="3736" w:type="dxa"/>
          </w:tcPr>
          <w:p w14:paraId="124DD3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(с форсажем)</w:t>
            </w:r>
          </w:p>
        </w:tc>
        <w:tc>
          <w:tcPr>
            <w:tcW w:w="2751" w:type="dxa"/>
          </w:tcPr>
          <w:p w14:paraId="4EA525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390</w:t>
            </w:r>
          </w:p>
        </w:tc>
        <w:tc>
          <w:tcPr>
            <w:tcW w:w="2835" w:type="dxa"/>
          </w:tcPr>
          <w:p w14:paraId="30A08D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390</w:t>
            </w:r>
          </w:p>
        </w:tc>
      </w:tr>
      <w:tr w:rsidR="009B487A" w:rsidRPr="00722885" w14:paraId="0589A0A3" w14:textId="77777777" w:rsidTr="00CC5360">
        <w:tc>
          <w:tcPr>
            <w:tcW w:w="3736" w:type="dxa"/>
          </w:tcPr>
          <w:p w14:paraId="7DC5A5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дистанция с форсажем</w:t>
            </w:r>
          </w:p>
        </w:tc>
        <w:tc>
          <w:tcPr>
            <w:tcW w:w="2751" w:type="dxa"/>
          </w:tcPr>
          <w:p w14:paraId="2271FB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980</w:t>
            </w:r>
          </w:p>
        </w:tc>
        <w:tc>
          <w:tcPr>
            <w:tcW w:w="2835" w:type="dxa"/>
          </w:tcPr>
          <w:p w14:paraId="09CFD7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1240</w:t>
            </w:r>
          </w:p>
        </w:tc>
      </w:tr>
      <w:tr w:rsidR="009B487A" w:rsidRPr="00722885" w14:paraId="3FEE4A57" w14:textId="77777777" w:rsidTr="00CC5360">
        <w:tc>
          <w:tcPr>
            <w:tcW w:w="3736" w:type="dxa"/>
            <w:tcBorders>
              <w:bottom w:val="single" w:sz="12" w:space="0" w:color="auto"/>
            </w:tcBorders>
          </w:tcPr>
          <w:p w14:paraId="0BE44D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Емкость б/баков</w:t>
            </w:r>
          </w:p>
        </w:tc>
        <w:tc>
          <w:tcPr>
            <w:tcW w:w="2751" w:type="dxa"/>
            <w:tcBorders>
              <w:bottom w:val="single" w:sz="12" w:space="0" w:color="auto"/>
            </w:tcBorders>
          </w:tcPr>
          <w:p w14:paraId="5086C1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720</w:t>
            </w:r>
          </w:p>
        </w:tc>
        <w:tc>
          <w:tcPr>
            <w:tcW w:w="2835" w:type="dxa"/>
            <w:tcBorders>
              <w:bottom w:val="single" w:sz="12" w:space="0" w:color="auto"/>
            </w:tcBorders>
          </w:tcPr>
          <w:p w14:paraId="5CB8FD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720</w:t>
            </w:r>
          </w:p>
        </w:tc>
      </w:tr>
    </w:tbl>
    <w:p w14:paraId="33A6B8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постановлению ГОКО - нормальная бомбовая нагрузка двухместного Ил-2 - 300 кг + 4хРС-82</w:t>
      </w:r>
    </w:p>
    <w:p w14:paraId="1DFD4E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 Ил-2 № 4434 - по мягкому травному грунту</w:t>
      </w:r>
    </w:p>
    <w:p w14:paraId="19BCC4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Заключение:</w:t>
      </w:r>
    </w:p>
    <w:p w14:paraId="79C7A3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Двухместный с-т Ил-2 производства з-да № 1 по сравнению с 2-х местным Ил-2 завода № 30 имеет следующие преимущества:</w:t>
      </w:r>
    </w:p>
    <w:p w14:paraId="7AD9FC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кабина стрелка свободна, в ней обеспечивается удобство работы</w:t>
      </w:r>
    </w:p>
    <w:p w14:paraId="17BAFD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кабина стрелка забронирована сбоку, снизу, сзади и частично сверху</w:t>
      </w:r>
    </w:p>
    <w:p w14:paraId="7BAB35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в) сохранена центровка с-та</w:t>
      </w:r>
    </w:p>
    <w:p w14:paraId="722E4E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 недостатки:</w:t>
      </w:r>
    </w:p>
    <w:p w14:paraId="7595AA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уменьшегно число замков для внутренней подвески бомб - вместо 4-х - 2, общая емкость при этом снизилась до 400 кг вместо 600 кг, что не позволит увеличить бомбовую нагрузку при постановке на с-т более мощного мотора АМ-38Ф</w:t>
      </w:r>
    </w:p>
    <w:p w14:paraId="09B69A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увеличенная поражаемая поверхность б/б</w:t>
      </w:r>
    </w:p>
    <w:p w14:paraId="3D48F7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увеличен вес пустого на 100-110 кг</w:t>
      </w:r>
    </w:p>
    <w:p w14:paraId="33553A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Решение о целесообразности постройки 2-х местного с-тов Ил-2 производства з-да № 1 принять после проведения войсковых испытаний 2-х местных машин производства завода № 30... Этот с-т передать в часты, производящую войсковые испытания Ил-2 завода № 30</w:t>
      </w:r>
    </w:p>
    <w:p w14:paraId="67AFFC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Подписали Нач. НИИ ВВС гмиас Лосюков и Нач. 3 отд. НИИ ВВС Сафонов 2 ноября 1942</w:t>
      </w:r>
    </w:p>
    <w:p w14:paraId="6563B5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Донесение испытателя м Долгова: С-т Ил-2 № 4434 по типу пилотирования со всеми вариантами загрузки ничем не отличается от нормального серийного одноместного с-та (несколько больше склонен к планированию при скорости 190 км/час за счет увеличения полетного веса).</w:t>
      </w:r>
    </w:p>
    <w:p w14:paraId="3D3091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Ил-2 № 4434 по технике пилотирования приятнее с-та Ил-2 № 887: легче поднимает хвост на взлете, легче в управлении, хороше послушен на рулении, не чувствуется задней центровки</w:t>
      </w:r>
    </w:p>
    <w:p w14:paraId="0B4D1B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Октябрь 1942</w:t>
      </w:r>
    </w:p>
    <w:p w14:paraId="282B97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Донесение им А.В.Синельникова по облету Ил-2 № 4434 - в общем с-т Ил-2 производства з-да № 1 в управлении приятен - 26 октября 1942 (811,4).</w:t>
      </w:r>
    </w:p>
    <w:p w14:paraId="2B708EBB" w14:textId="77777777" w:rsidR="00090C9B" w:rsidRPr="00722885" w:rsidRDefault="00090C9B" w:rsidP="00722885">
      <w:pPr>
        <w:pStyle w:val="Iauiue"/>
        <w:jc w:val="both"/>
        <w:rPr>
          <w:color w:val="000000" w:themeColor="text1"/>
          <w:sz w:val="16"/>
          <w:szCs w:val="16"/>
        </w:rPr>
      </w:pPr>
    </w:p>
    <w:p w14:paraId="18206C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вышел акт по контрольным испытаниям самолета Ил-2 с АМ-38 в двухместном варианте, модернизированного N 4434 завода 1 конструкции С.В.И.:</w:t>
      </w:r>
    </w:p>
    <w:p w14:paraId="2EFA0E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Экипаж - 2</w:t>
      </w:r>
    </w:p>
    <w:p w14:paraId="49FC90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 мощность - 1600 нр</w:t>
      </w:r>
    </w:p>
    <w:p w14:paraId="793EA0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Ном. мощность на высоте - 1500/1650</w:t>
      </w:r>
    </w:p>
    <w:p w14:paraId="72922B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 - 4628</w:t>
      </w:r>
    </w:p>
    <w:p w14:paraId="6C8B08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(норм./перегр.) - 5980/6180</w:t>
      </w:r>
    </w:p>
    <w:p w14:paraId="2CD635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Пл. крыла - 38.5</w:t>
      </w:r>
    </w:p>
    <w:p w14:paraId="30E22B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p w14:paraId="6FB3C8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у земли - 388</w:t>
      </w:r>
    </w:p>
    <w:p w14:paraId="5F131E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2000 - 405</w:t>
      </w:r>
    </w:p>
    <w:p w14:paraId="7B903C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Посадочная скорость - 137</w:t>
      </w:r>
    </w:p>
    <w:p w14:paraId="677BC7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подъема на 4000 0:11</w:t>
      </w:r>
    </w:p>
    <w:p w14:paraId="1295AB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Практ. потолок - 6300</w:t>
      </w:r>
    </w:p>
    <w:p w14:paraId="12F41F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Запас горючего - 532</w:t>
      </w:r>
    </w:p>
    <w:p w14:paraId="3A69E8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- 390</w:t>
      </w:r>
    </w:p>
    <w:p w14:paraId="0C0ACA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Пробег - 500</w:t>
      </w:r>
    </w:p>
    <w:p w14:paraId="1518BD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 старта до 25 м - 980</w:t>
      </w:r>
    </w:p>
    <w:p w14:paraId="7135F5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Винт - АВ-5Л-158</w:t>
      </w:r>
    </w:p>
    <w:p w14:paraId="3E1FD5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Вооружение:</w:t>
      </w:r>
    </w:p>
    <w:p w14:paraId="665CEA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вперед - 2ШВАК с 500, 2ШКАС с 1500</w:t>
      </w:r>
    </w:p>
    <w:p w14:paraId="1596B7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назад - УБТ с 150 на блистерной установке</w:t>
      </w:r>
    </w:p>
    <w:p w14:paraId="5210C7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 норм. - 200</w:t>
      </w:r>
    </w:p>
    <w:p w14:paraId="68B322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 в перегруз - 400</w:t>
      </w:r>
    </w:p>
    <w:p w14:paraId="3B335A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8РС-82 (1785).</w:t>
      </w:r>
    </w:p>
    <w:p w14:paraId="3C347850" w14:textId="77777777" w:rsidR="00090C9B" w:rsidRPr="00722885" w:rsidRDefault="00090C9B" w:rsidP="00722885">
      <w:pPr>
        <w:pStyle w:val="Iauiue"/>
        <w:jc w:val="both"/>
        <w:rPr>
          <w:color w:val="000000" w:themeColor="text1"/>
          <w:sz w:val="16"/>
          <w:szCs w:val="16"/>
        </w:rPr>
      </w:pPr>
    </w:p>
    <w:p w14:paraId="43F867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 отчете по госиспытаниям Ил-2бис (зав.№4434), который поступил в НИИ ВВС 15 октября 1942, делался вывод, что Ил-2бис уступает Ил-2 завода №30 только по весу загружаемых в бомбоотсеки мелких авиабомб, но превосходит его по боевой живучести, летным и пилотажным качествам. Самолет рекомендовался для постановки в массовую серию. Однако окончательное решение в пользу одного из самолетов предлагалось принять после проведения войсковых испытаний.</w:t>
      </w:r>
    </w:p>
    <w:p w14:paraId="2BAF72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Отметим, что еще в июне 1942 г. в 8-й ВА несколько одноместных Ил-2 оборудовались кабиной стрелка с пулеметом ШКАС. Двумя месяцами позже в 17-й ВА в двухместный вариант с пулеметом УБТ были переделаны 66 Ил-2. Подобные переделки выполнялись в 1, 2 и 6-й воздушных армиях.</w:t>
      </w:r>
    </w:p>
    <w:p w14:paraId="04B575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Свой ремонтный вариант кабины стрелка разработало и ОКБ Ильюшина. Соответствующая инструкция по доработке Ил-2 силами техсостава частей в октябре была отправлена в действующую армию. Всего на фронте в двухместные было переоборудовано около 1200 Ил-2 (12020).</w:t>
      </w:r>
    </w:p>
    <w:p w14:paraId="4072CAA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ED506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года начальник 7 гл. управления С.Шишкин подготовил справку:</w:t>
      </w:r>
    </w:p>
    <w:p w14:paraId="1D752D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Мероприятия по улучшению взлетно-посадочных качеств серийных самолетов</w:t>
      </w:r>
    </w:p>
    <w:p w14:paraId="336C7D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истребителям</w:t>
      </w:r>
    </w:p>
    <w:p w14:paraId="6429B6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Форсирование мотора М-105П по наддуву</w:t>
      </w:r>
    </w:p>
    <w:p w14:paraId="2F543F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Проведены испытания совместно с НИИ ВВС по выяснению влияния форсажа мотора М-105П по наддуву на длину разбега истребителей Як-1, Як-7 и Лагг-3.</w:t>
      </w:r>
    </w:p>
    <w:p w14:paraId="4E05F5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Испытаниями установлено, что переход от давления наддува 910 мм рт. ст. к давлению наддува 1050 мм рт. ст. приводит к сокращению длины разбега на 8,5-12,5%.</w:t>
      </w:r>
    </w:p>
    <w:p w14:paraId="55B4AB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Сокращение длины разбега для этих истребителей при форсаже мотора М-105П по наддуву показано в 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9B487A" w:rsidRPr="00722885" w14:paraId="6D891D97" w14:textId="77777777" w:rsidTr="00CC5360">
        <w:tc>
          <w:tcPr>
            <w:tcW w:w="1878" w:type="dxa"/>
            <w:tcBorders>
              <w:top w:val="single" w:sz="12" w:space="0" w:color="auto"/>
            </w:tcBorders>
          </w:tcPr>
          <w:p w14:paraId="0F3711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Тип истребителя</w:t>
            </w:r>
          </w:p>
        </w:tc>
        <w:tc>
          <w:tcPr>
            <w:tcW w:w="1878" w:type="dxa"/>
            <w:tcBorders>
              <w:top w:val="single" w:sz="12" w:space="0" w:color="auto"/>
            </w:tcBorders>
          </w:tcPr>
          <w:p w14:paraId="4E9EC1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Длина разбега в м</w:t>
            </w:r>
          </w:p>
        </w:tc>
        <w:tc>
          <w:tcPr>
            <w:tcW w:w="1878" w:type="dxa"/>
            <w:tcBorders>
              <w:top w:val="single" w:sz="12" w:space="0" w:color="auto"/>
            </w:tcBorders>
          </w:tcPr>
          <w:p w14:paraId="3B6333BA" w14:textId="77777777" w:rsidR="00090C9B" w:rsidRPr="00722885" w:rsidRDefault="00090C9B" w:rsidP="00722885">
            <w:pPr>
              <w:pStyle w:val="Iauiue"/>
              <w:jc w:val="both"/>
              <w:rPr>
                <w:color w:val="000000" w:themeColor="text1"/>
                <w:sz w:val="16"/>
                <w:szCs w:val="16"/>
              </w:rPr>
            </w:pPr>
          </w:p>
        </w:tc>
        <w:tc>
          <w:tcPr>
            <w:tcW w:w="1878" w:type="dxa"/>
            <w:tcBorders>
              <w:top w:val="single" w:sz="12" w:space="0" w:color="auto"/>
            </w:tcBorders>
          </w:tcPr>
          <w:p w14:paraId="67C437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Сокращение разбега</w:t>
            </w:r>
          </w:p>
        </w:tc>
      </w:tr>
      <w:tr w:rsidR="009B487A" w:rsidRPr="00722885" w14:paraId="40485FDC" w14:textId="77777777" w:rsidTr="00CC5360">
        <w:tc>
          <w:tcPr>
            <w:tcW w:w="1878" w:type="dxa"/>
          </w:tcPr>
          <w:p w14:paraId="40412DA8" w14:textId="77777777" w:rsidR="00090C9B" w:rsidRPr="00722885" w:rsidRDefault="00090C9B" w:rsidP="00722885">
            <w:pPr>
              <w:pStyle w:val="Iauiue"/>
              <w:jc w:val="both"/>
              <w:rPr>
                <w:color w:val="000000" w:themeColor="text1"/>
                <w:sz w:val="16"/>
                <w:szCs w:val="16"/>
              </w:rPr>
            </w:pPr>
          </w:p>
        </w:tc>
        <w:tc>
          <w:tcPr>
            <w:tcW w:w="1878" w:type="dxa"/>
          </w:tcPr>
          <w:p w14:paraId="1F814C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наддув</w:t>
            </w:r>
          </w:p>
        </w:tc>
        <w:tc>
          <w:tcPr>
            <w:tcW w:w="1878" w:type="dxa"/>
          </w:tcPr>
          <w:p w14:paraId="3E7360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наддув</w:t>
            </w:r>
          </w:p>
        </w:tc>
        <w:tc>
          <w:tcPr>
            <w:tcW w:w="1878" w:type="dxa"/>
          </w:tcPr>
          <w:p w14:paraId="6B4139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w:t>
            </w:r>
          </w:p>
        </w:tc>
      </w:tr>
      <w:tr w:rsidR="009B487A" w:rsidRPr="00722885" w14:paraId="4161029E" w14:textId="77777777" w:rsidTr="00CC5360">
        <w:tc>
          <w:tcPr>
            <w:tcW w:w="1878" w:type="dxa"/>
          </w:tcPr>
          <w:p w14:paraId="33924BC5" w14:textId="77777777" w:rsidR="00090C9B" w:rsidRPr="00722885" w:rsidRDefault="00090C9B" w:rsidP="00722885">
            <w:pPr>
              <w:pStyle w:val="Iauiue"/>
              <w:jc w:val="both"/>
              <w:rPr>
                <w:color w:val="000000" w:themeColor="text1"/>
                <w:sz w:val="16"/>
                <w:szCs w:val="16"/>
              </w:rPr>
            </w:pPr>
          </w:p>
        </w:tc>
        <w:tc>
          <w:tcPr>
            <w:tcW w:w="1878" w:type="dxa"/>
          </w:tcPr>
          <w:p w14:paraId="0E719E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910 мм</w:t>
            </w:r>
          </w:p>
        </w:tc>
        <w:tc>
          <w:tcPr>
            <w:tcW w:w="1878" w:type="dxa"/>
          </w:tcPr>
          <w:p w14:paraId="37C86E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1050 мм</w:t>
            </w:r>
          </w:p>
        </w:tc>
        <w:tc>
          <w:tcPr>
            <w:tcW w:w="1878" w:type="dxa"/>
          </w:tcPr>
          <w:p w14:paraId="1F34A314" w14:textId="77777777" w:rsidR="00090C9B" w:rsidRPr="00722885" w:rsidRDefault="00090C9B" w:rsidP="00722885">
            <w:pPr>
              <w:pStyle w:val="Iauiue"/>
              <w:jc w:val="both"/>
              <w:rPr>
                <w:color w:val="000000" w:themeColor="text1"/>
                <w:sz w:val="16"/>
                <w:szCs w:val="16"/>
              </w:rPr>
            </w:pPr>
          </w:p>
        </w:tc>
      </w:tr>
      <w:tr w:rsidR="009B487A" w:rsidRPr="00722885" w14:paraId="117EA6D8" w14:textId="77777777" w:rsidTr="00CC5360">
        <w:tc>
          <w:tcPr>
            <w:tcW w:w="1878" w:type="dxa"/>
          </w:tcPr>
          <w:p w14:paraId="41AE44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Як-1</w:t>
            </w:r>
          </w:p>
        </w:tc>
        <w:tc>
          <w:tcPr>
            <w:tcW w:w="1878" w:type="dxa"/>
          </w:tcPr>
          <w:p w14:paraId="5590AC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365</w:t>
            </w:r>
          </w:p>
        </w:tc>
        <w:tc>
          <w:tcPr>
            <w:tcW w:w="1878" w:type="dxa"/>
          </w:tcPr>
          <w:p w14:paraId="2A403F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320</w:t>
            </w:r>
          </w:p>
        </w:tc>
        <w:tc>
          <w:tcPr>
            <w:tcW w:w="1878" w:type="dxa"/>
          </w:tcPr>
          <w:p w14:paraId="7DD5E3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w:t>
            </w:r>
          </w:p>
        </w:tc>
      </w:tr>
      <w:tr w:rsidR="009B487A" w:rsidRPr="00722885" w14:paraId="29EBA08B" w14:textId="77777777" w:rsidTr="00CC5360">
        <w:tc>
          <w:tcPr>
            <w:tcW w:w="1878" w:type="dxa"/>
          </w:tcPr>
          <w:p w14:paraId="42D36F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Як-7</w:t>
            </w:r>
          </w:p>
        </w:tc>
        <w:tc>
          <w:tcPr>
            <w:tcW w:w="1878" w:type="dxa"/>
          </w:tcPr>
          <w:p w14:paraId="445EFE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390</w:t>
            </w:r>
          </w:p>
        </w:tc>
        <w:tc>
          <w:tcPr>
            <w:tcW w:w="1878" w:type="dxa"/>
          </w:tcPr>
          <w:p w14:paraId="0B4AED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342</w:t>
            </w:r>
          </w:p>
        </w:tc>
        <w:tc>
          <w:tcPr>
            <w:tcW w:w="1878" w:type="dxa"/>
          </w:tcPr>
          <w:p w14:paraId="548914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48</w:t>
            </w:r>
          </w:p>
        </w:tc>
      </w:tr>
      <w:tr w:rsidR="009B487A" w:rsidRPr="00722885" w14:paraId="5A58CED3" w14:textId="77777777" w:rsidTr="00CC5360">
        <w:tc>
          <w:tcPr>
            <w:tcW w:w="1878" w:type="dxa"/>
            <w:tcBorders>
              <w:bottom w:val="single" w:sz="12" w:space="0" w:color="auto"/>
            </w:tcBorders>
          </w:tcPr>
          <w:p w14:paraId="4F7AD0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Лагг-3</w:t>
            </w:r>
          </w:p>
        </w:tc>
        <w:tc>
          <w:tcPr>
            <w:tcW w:w="1878" w:type="dxa"/>
            <w:tcBorders>
              <w:bottom w:val="single" w:sz="12" w:space="0" w:color="auto"/>
            </w:tcBorders>
          </w:tcPr>
          <w:p w14:paraId="35AF26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405</w:t>
            </w:r>
          </w:p>
        </w:tc>
        <w:tc>
          <w:tcPr>
            <w:tcW w:w="1878" w:type="dxa"/>
            <w:tcBorders>
              <w:bottom w:val="single" w:sz="12" w:space="0" w:color="auto"/>
            </w:tcBorders>
          </w:tcPr>
          <w:p w14:paraId="1B6086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370</w:t>
            </w:r>
          </w:p>
        </w:tc>
        <w:tc>
          <w:tcPr>
            <w:tcW w:w="1878" w:type="dxa"/>
            <w:tcBorders>
              <w:bottom w:val="single" w:sz="12" w:space="0" w:color="auto"/>
            </w:tcBorders>
          </w:tcPr>
          <w:p w14:paraId="61176A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35</w:t>
            </w:r>
          </w:p>
        </w:tc>
      </w:tr>
    </w:tbl>
    <w:p w14:paraId="1C0348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Установка на этих истребителях мотора М-106, представляющего собою дальнейшую модификацию мотора М-105 и имеющего взлетную мощность 1350 л.с., даст на взлете дополнительное сокращение разбега самолета еще на 5-7%.</w:t>
      </w:r>
    </w:p>
    <w:p w14:paraId="44FB54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Применение Х-образного винта</w:t>
      </w:r>
    </w:p>
    <w:p w14:paraId="78D448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Конструктором Заславским спроектирован и построен Х-образный четырехлопастный винт ВИШ-407. Проведены испытания этого винта на стенде, показавшие удовлетворительные результаты.</w:t>
      </w:r>
    </w:p>
    <w:p w14:paraId="02F883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Экземпляр винта послан в Новосибирск, где будут проводиться летные испытания на самолете Як-7. По установке Х-образного четырехлопастного винта ожидается сокращение разбега на 14%.</w:t>
      </w:r>
    </w:p>
    <w:p w14:paraId="12D719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подготовки к применению на истребителях четырехлопастного винта, в ЛИИ проведены стендовые и летные испытания разработанного приспособления к серийным сихронизаторам, дающего возможность вести стрельбу через 4-х лопастный винт. Приспособление показало хорошие результаты. В настоящее время изготавливается вариант этого приспособления с меньшим весом и габаритами.</w:t>
      </w:r>
    </w:p>
    <w:p w14:paraId="60F879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Установка на самолете более мощного мотора</w:t>
      </w:r>
    </w:p>
    <w:p w14:paraId="374970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Установка на серийных самолетах новых моторов, обладающих большей взлетной мощностью, значительно улучшает взлетные качества истребителей.</w:t>
      </w:r>
    </w:p>
    <w:p w14:paraId="177434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Лагг-3, модифицированный под мотор М-82 (Ла-5), показал на испытаниях следующее сокращение разбега:</w:t>
      </w:r>
    </w:p>
    <w:p w14:paraId="601881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Лагг-3 с М-105П имеет разбег 405 м</w:t>
      </w:r>
    </w:p>
    <w:p w14:paraId="2729AD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Лагг-3 с М-105ПФ имеет разбег 370 м</w:t>
      </w:r>
    </w:p>
    <w:p w14:paraId="04E95A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Ла-5 с М-82 имеет разбег 350 м без форсажа и с форсажем 310 м</w:t>
      </w:r>
    </w:p>
    <w:p w14:paraId="0745AF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т.е. разбег самолета уменьшился на 95 м или на 23,5%.</w:t>
      </w:r>
    </w:p>
    <w:p w14:paraId="177118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дальнейшего улучшения взлетных качеств истребителей, а также улучшения их летных данных, в ОКБ производятся работы по выпуску модификаций истребителей Як-7 и Лагг-3 с мотором М-107А, имеющим взлетную мощность 1600 л.с.</w:t>
      </w:r>
    </w:p>
    <w:p w14:paraId="68BD17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Уменьшение полетного веса самолета</w:t>
      </w:r>
    </w:p>
    <w:p w14:paraId="393BCD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На улучшение взлетно-посадочных качеств в сильной степени влияет облегчение веса самолета. В этом направлении работает большинство конструкторов и особенно </w:t>
      </w:r>
      <w:r w:rsidRPr="00722885">
        <w:rPr>
          <w:color w:val="000000" w:themeColor="text1"/>
          <w:sz w:val="16"/>
          <w:szCs w:val="16"/>
        </w:rPr>
        <w:lastRenderedPageBreak/>
        <w:t>конструкторов по истребителям.</w:t>
      </w:r>
    </w:p>
    <w:p w14:paraId="4647FB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 в настоящее время запущен в серию в двух вариантах облегченный самолет Як-9, который имеет улучшенный разбег с 342 м до 300 м и пробег, сокращенный с 620 м до 580 м. Облегчение веса самолета достигнуто в основном за счет перевода конструкции лонжеронов крыла с дерева на металл.</w:t>
      </w:r>
    </w:p>
    <w:p w14:paraId="5275E6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Ведется работа по облегчению веса самолета Лагг-3.</w:t>
      </w:r>
    </w:p>
    <w:p w14:paraId="100F13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Главным конструктором Горбуновым построен на заводе N 31 и сдан на испытания самолет Лагг-3 с полетным весом 2865 кг, имеющий то же вооружение, что и рядовой серийный самолет. Заканчивается постройкой самолет Лагг-3 с полетным весом 2750 кг, у которого облегчение веса конструкции произведено более широко и применена древесина с меньшим удельным весом. Вес серийного самолета Лагг-3 равен 3160 кг.</w:t>
      </w:r>
    </w:p>
    <w:p w14:paraId="2D7083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Главным конструктором Лавочкиным ведутся работы на заводе N 21 по облегчению веса конструкции самолета Да-5. Путем перевода лонжеронов крыла на хромансиль, сокращения количества бензиновых баков, а также ряда других конструктивных переделок, полетный вес самолета должен быть уменьшен с 3380 кг до 3000 кг. Согласно расчета, это облегчение веса самолета Ла-5 сократит его разбег на 60-70 м и он будет при взлете без форсажа мотора 280 м и с форсажем - 250 м.</w:t>
      </w:r>
    </w:p>
    <w:p w14:paraId="507526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Тормозное посадочное приспособление на хвостовом колесе.</w:t>
      </w:r>
    </w:p>
    <w:p w14:paraId="396506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Конструкторским бюро ЦАГИ разработано тормозное приспособление для самолета Як-1, состоящее из шарнирно-укрепленной стальной лыжи с тормозящим зубом, проводимой летчиком перед посадкой под хвостовое колесо при помощи тросовой проводки.</w:t>
      </w:r>
    </w:p>
    <w:p w14:paraId="73BB54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Испытания этого приспособления в ЛИИ показали, что при его применении длина послеосадочного пробега самолета Як-1 сокращается на 33%. При полетном весе 2780 кг средняя длина пробега испытывавшегося самолета Як-1 без тормозного приспособления при трехточечных посадках, составляла 658 м и с применением приспособления - 439 м.</w:t>
      </w:r>
    </w:p>
    <w:p w14:paraId="74A89D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Как выявилось на испытаниях, приспособление существенно не осложняет выполнение посадки, но его конструкция должна быть доработана, как по прочности, так и по эксплуатационным качествам. Применение этого приспособления требует также проверки прочности хвостовой части самолета ввиду больших усилий, возникающих при торможении.</w:t>
      </w:r>
    </w:p>
    <w:p w14:paraId="03B54B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Увеличение площади закрылков</w:t>
      </w:r>
    </w:p>
    <w:p w14:paraId="5D2A48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Главным конструктором Лавочкиным выполняются работы по увеличению площади закрылков на самолете Ла-5, путем продления их под фюзеляжем, что должно улучшить взлет и посадку при пользовании закрылками.</w:t>
      </w:r>
    </w:p>
    <w:p w14:paraId="3A246E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бомбардировщикам</w:t>
      </w:r>
    </w:p>
    <w:p w14:paraId="22AACF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Форсирование мотора по наддуву</w:t>
      </w:r>
    </w:p>
    <w:p w14:paraId="0DD654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Испытаниями в ЛИИ установлено, что при переходе от давления наддува 910 мм рт. ст. для мотора М-105 к наддуву 1050 мм рт. ст. длина разбега самолета Пе-2 уменьшается на 16,6%.</w:t>
      </w:r>
    </w:p>
    <w:p w14:paraId="726756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Длина разбега самолета Пе-2 при давлении наддува мотора 910 мм рт. ст. - 594 м и при давлении 1050 мм рт. ст. - 496 м, т.е. происходит сокращение разбега на 98 м.</w:t>
      </w:r>
    </w:p>
    <w:p w14:paraId="018083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Проведенными испытаниями в ЛИИ установлено, что для самолета Ил-4 при полетном весе 8700 кг, с винтами ВИШ-23, переход от давления наддува 950 мм рт. ст. к наддуву 1100 мм рт. ст. для моторов М-88Б приводит к сохранению длины разбега самолета на 10,4% или на 65 м. Длина разбега самолета сокращается с 630 м до 565 м. Длина взлетной дистанции при этом сокращается на 8,8%, или на 115 м и вместо 1310 м при взлете без форсажа уменьшается до 1195 м при взлете с форсажем.</w:t>
      </w:r>
    </w:p>
    <w:p w14:paraId="3A416E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Четырехлопастные винты</w:t>
      </w:r>
    </w:p>
    <w:p w14:paraId="7B3872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филиале ЛИИ в Казани в апреле-мае с.г. произведены летные испытания четырехлопастного винта АВ-9Л-139 диаметром 3,2 м конструкции Жданова. Испытания этого винта на самолете Пе-2 показали, что длина разбега с этим винтом меньше на 14,5% или на 96 м, чем с серийным трехлопастным винтом.</w:t>
      </w:r>
    </w:p>
    <w:p w14:paraId="3F913D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Однако новый четырехлопастный винт не может быть в настоящее время рекомендован к серийному запуску до устранения имевшего места недопустимого заброса оборотов.</w:t>
      </w:r>
    </w:p>
    <w:p w14:paraId="4201D8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Спроектирован опытный четырехлопастный винт конструкции Жданова, имеющий обозначение АВ-9-174, под самолет Ил-4 с 2М-82. Изготовлены несколько экземпляров винтов этой марки.</w:t>
      </w:r>
    </w:p>
    <w:p w14:paraId="5BD9EA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Деревянные винты</w:t>
      </w:r>
    </w:p>
    <w:p w14:paraId="51F8B8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оценки взлетных качеств самолета с винтами ВИШ-23Д-82, имеющими деревянные лопасти и предъявленными заводом N 383 (главный конструктор Г.И. Целиков) в ЛИИ, проведены летные испытания серийного самолета Ил-4 (N 8806) с двумя моторами М-88Б.</w:t>
      </w:r>
    </w:p>
    <w:p w14:paraId="4DC53AE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Испытания показали, что самолет Ил-4 с деревянными винтами с полетным весом 8700 кг, при нормальном давлении наддува мотора 950 мм рт. ст. имеет разбег 540 м, вместо 350 м при взлете с серийными винтами ВИШ-23, т.е. происходит сокращение разбега на 14,3% или на 90 м, длина взлетной дистанции сокращается при этом с 1310 м до 1130 м, т.е. на 13,7% или на 180 м.</w:t>
      </w:r>
    </w:p>
    <w:p w14:paraId="22715A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форсаже моторов М-88Б и установке деревянных винтов ВИШ-23Д-82 длина разбега самолета Ил-4 сокращается до 484 м, т.е. всего на 23% или на 145 м и длина взлетной дистанции сокращается до 1040 м, т.е. всего на 20,6% или на 270 м.</w:t>
      </w:r>
    </w:p>
    <w:p w14:paraId="719A7B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Увеличение диаметра винта</w:t>
      </w:r>
    </w:p>
    <w:p w14:paraId="4E7CDD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самолете Ли-2 с 2М-62ИР в сентябре с.г. испытан в НИИ ВВС трехлопастный винт АВ-5Н-161 диаметром 3,6 м с максимальной шириной лопасти 292 мм. Серийный винт ВИШ-21 самолета Ли-2 имеет диаметр 3,4 м и максимальную ширину лопасти 260 мм.</w:t>
      </w:r>
    </w:p>
    <w:p w14:paraId="27533B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данным испытаний, длина разбега самолета Ли-2 с винтами АВ-5Н-161, по сравнению с серийными винтами ВИШ-21, уменьшилась на 65 м или на 14% и стала 395 м, вместо 460 м. Длина взлетной дистанции сокращается при этом с 1260 м до 1050 м, т.е. на 210 м или на 16,5%.</w:t>
      </w:r>
    </w:p>
    <w:p w14:paraId="3F1EA5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Применение посадочных парашютов</w:t>
      </w:r>
    </w:p>
    <w:p w14:paraId="15B727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самолете Пе-2 были проведены испытания противоштопорные парашютов с целью использования их для сокращения длины пробега самолета. Испытания показали, что обыкновенные противоштопорные парашюты вызывают на самолете Пе-2 резкую раскачку самолета, вследствие чего применять их невозможно. Для производства посадки самолетов с парашютами, необходимы специальные парашюты, конструкция которых ЛИИ разработана и будет испытана на самолете Лагг-3.</w:t>
      </w:r>
    </w:p>
    <w:p w14:paraId="2E600A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настоящее время заканчивается разработка конструкции крепления и управления парашютом на самолете Лагг-3.</w:t>
      </w:r>
    </w:p>
    <w:p w14:paraId="357294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основании проделанной работы, можно сделать следующее заключение: несмотря на значительное сокращение посадочной дистанции и длины послепосадочного пробега в случае применения парашютов, нельзя будет использовать их широко в эксплуатации из-за трудности и сложности установки их на самолете.</w:t>
      </w:r>
    </w:p>
    <w:p w14:paraId="07BB72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Тормозное приспособление на костыле</w:t>
      </w:r>
    </w:p>
    <w:p w14:paraId="3D348A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Проведены испытания на самолете Пе-2 по исследованию эффективности тормозных приспособлений, устанавливаемых на костыле для сокращения длины послепосадочного пробега. Испытания показали, что этот способ торможения является достаточно эффективным (сокращение пробега на 25-30%), однако, в случае его применения необходимо переконструирование костыльной установки и узлов крепления ее.</w:t>
      </w:r>
    </w:p>
    <w:p w14:paraId="23A67E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Установка на самолетах более мощных моторов</w:t>
      </w:r>
    </w:p>
    <w:p w14:paraId="454CE2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Как и по истребителям, установка новых более мощных моторов значительно улучшает взлетные качества бомбардировщика.</w:t>
      </w:r>
    </w:p>
    <w:p w14:paraId="31967C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Совместные государственные и заводские испытания построенного заводом N 126 самолета Ил-4 с моторами М-82 при полетном весе 8750 кг показали следующие данные по разбегу:</w:t>
      </w:r>
    </w:p>
    <w:p w14:paraId="7527E1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давлении наддува 950 мм рт. ст. - 350 м</w:t>
      </w:r>
    </w:p>
    <w:p w14:paraId="1605F3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давлении наддува 1140 мм рт. ст. - 310 м</w:t>
      </w:r>
    </w:p>
    <w:p w14:paraId="7D530F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Испытания самолета Пе-2 с моторами М-82, проводящиеся в данное время на заводе N 22, показали, что время разбега самолета снизилось до 10 сек., с 18 сек. при установке моторов М-105.</w:t>
      </w:r>
    </w:p>
    <w:p w14:paraId="7688CB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Длина разбега самолета Пе-2 с моторами М-82 на испытаниях еще не замерена.</w:t>
      </w:r>
    </w:p>
    <w:p w14:paraId="78E82C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дальнейшего улучшения взлетных качеств бомбардировщиков и их летных данных в ОКБ Путилова и Ильюшина ведутся работы по выпуску самолета Пе-2 с моторами М-107А и модификации самолета Ил-4 под моторы М-71 или М-90.</w:t>
      </w:r>
    </w:p>
    <w:p w14:paraId="7E0EAD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Применение стартовых ракет</w:t>
      </w:r>
    </w:p>
    <w:p w14:paraId="141D01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настоящее время ОКБ завода N 22 совместно с ЦАГИ и НИИ_3 закончило разработку наружной установки стартовых ракет на самолете Пе-2.</w:t>
      </w:r>
    </w:p>
    <w:p w14:paraId="37D63B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производстве изготавливаются детали установки.</w:t>
      </w:r>
    </w:p>
    <w:p w14:paraId="30BBBF3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Работа ведется в ЦАГИ - Раменское.</w:t>
      </w:r>
    </w:p>
    <w:p w14:paraId="2DA3DF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Испытания намечено провести в ноябре с.г.</w:t>
      </w:r>
    </w:p>
    <w:p w14:paraId="02B1AE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Одновременно в НИИ-3 ведутся работы по выпуску жидкостных стартовых ракет для самолета Пе-2.</w:t>
      </w:r>
    </w:p>
    <w:p w14:paraId="759077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Изменение профиля крыла</w:t>
      </w:r>
    </w:p>
    <w:p w14:paraId="4243E1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Главным конструктором Путиловым ведутся работы совместно с ЦАГИ по применению более несущего профиля для крыла самолета Пе-2 и одновременно по увеличению поверхности крыла в связи с переходом на деревянную конструкцию.</w:t>
      </w:r>
    </w:p>
    <w:p w14:paraId="411BCC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Постройка опытных крыльев производится в Центральных мастерских ЦАГИ.</w:t>
      </w:r>
    </w:p>
    <w:p w14:paraId="6291EA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счет введения указанных улучшений, уменьшение посадочной скорости самолета Пе-2 получается по расчету около 15 км/час.</w:t>
      </w:r>
    </w:p>
    <w:p w14:paraId="12DA5B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Введение фиксаторов взлетного положения щитков</w:t>
      </w:r>
    </w:p>
    <w:p w14:paraId="5DFE58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 целях улучшения разбега самолета Ил-4, главным конструктором Ильюшиным разработаны чертежи фиксаторов взлетного положения щитков, конструкция </w:t>
      </w:r>
      <w:r w:rsidRPr="00722885">
        <w:rPr>
          <w:color w:val="000000" w:themeColor="text1"/>
          <w:sz w:val="16"/>
          <w:szCs w:val="16"/>
        </w:rPr>
        <w:lastRenderedPageBreak/>
        <w:t>которых аналогична конструкции фиксаторов, введенных на самолете Ил-2.</w:t>
      </w:r>
    </w:p>
    <w:p w14:paraId="018A5D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Чертежи фиксаторов переданы заводу N 23 для внедрения в серию.</w:t>
      </w:r>
    </w:p>
    <w:p w14:paraId="343730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штурмовикам</w:t>
      </w:r>
    </w:p>
    <w:p w14:paraId="444C62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Форсирование мотора Ам-38 по оборотам</w:t>
      </w:r>
    </w:p>
    <w:p w14:paraId="4175A4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мощность мотора АМ-38 повышена заводом N 24 с 1600 л.с. при 2150 об/мин до 1700 л.с. при 2350 об/мин.</w:t>
      </w:r>
    </w:p>
    <w:p w14:paraId="59225F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Испытания форсированного мотора Ам-38 производились в НИИ ВВС на одноместном серийном самолете Ил-2 N 1872412 постройки завода N 18.</w:t>
      </w:r>
    </w:p>
    <w:p w14:paraId="16C161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данным испытаний, длина разбега самолета Ил-2 при полетном весе 5873 кг с винтом АВ-5Л-158 равна:</w:t>
      </w:r>
    </w:p>
    <w:p w14:paraId="13BA26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2150 об/мин мотора - 470 м</w:t>
      </w:r>
    </w:p>
    <w:p w14:paraId="6768F7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2350 об/мин мотора - 375 м</w:t>
      </w:r>
    </w:p>
    <w:p w14:paraId="40ECFE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т.е. форсаж взлетной мощности мотора АМ-38 сокращает длину разбега самолета на 95 м или на 20,2%.</w:t>
      </w:r>
    </w:p>
    <w:p w14:paraId="5EF471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дистанция сокращается при форсаже мотора с 1190 м до 920 м, т.е. на 270 м или на 22,7%.</w:t>
      </w:r>
    </w:p>
    <w:p w14:paraId="62C424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Увеличение диаметра винта</w:t>
      </w:r>
    </w:p>
    <w:p w14:paraId="19CBA9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серийном самолете Ил-2 N 1872412 постройки завода N 18 в июле с.г. проведены в НИИ ВВС летные испытания опытного трехлопастного винта АВ-5Л-158, имеющего диаметр 3,6 м и максимальную ширину лопасти 292 мм. Серийный винт самолета Ил-2 марки АВ-5Л-124 имеет диаметр 3,4 м и максимальную ширину лопасти 260 мм.</w:t>
      </w:r>
    </w:p>
    <w:p w14:paraId="353BC1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данным испытаний, взлетные свойства самолета Ил-2 значительно улучшились за счет установки винта АВ-5Л-158, вместо АВ-5Л-124. При взлете с полетным весом 5873 кг без форсажа мотора длина разбега сократилась на 80 м или не 14,5% и стала 470 м, вместо 550 м.</w:t>
      </w:r>
    </w:p>
    <w:p w14:paraId="5087B9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Взлетная дистанция уменьшилась на 190 м или на 13,7% и стала 1190 м, вместо 1380 м.</w:t>
      </w:r>
    </w:p>
    <w:p w14:paraId="01EE15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Введение фиксаторов взлетного положения щитков</w:t>
      </w:r>
    </w:p>
    <w:p w14:paraId="25C925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Главным конструктором Ильюшиным разработана конструкция фиксаторов взлетного положения щитков для самолета Ил-2.</w:t>
      </w:r>
    </w:p>
    <w:p w14:paraId="30BF39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Фиксаторы испытаны в полете, установлен угол открытия щитков - 17 градусов. Серийные заводы приступили к внедрению фиксаторов в производстве. Введение фиксаторов щитков, по данным испытаний НИИ ВВС, уменьшает разбег самолета Ил-2 на 55 м при взлете с нормальным полетным весом.</w:t>
      </w:r>
    </w:p>
    <w:p w14:paraId="330252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Установка новых мощных моторов</w:t>
      </w:r>
    </w:p>
    <w:p w14:paraId="7B16D9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резкого повышения взлетных качеств штурмовика, а также улучшения его летных данных, главным конструктором Ильюшиным проектируется установка на Ил-2 нового мощного мотора М-250 и двухместный штурмовик под мотор АМ-42.</w:t>
      </w:r>
    </w:p>
    <w:p w14:paraId="36A948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Общие данные</w:t>
      </w:r>
    </w:p>
    <w:p w14:paraId="17586F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Проведенные мероприятия по улучшению взлетных качеств самолетов, по которым к настоящему времени закончены летные испытания, дают следующее сокращение длины разбега самолетов:</w:t>
      </w:r>
    </w:p>
    <w:p w14:paraId="36C4D5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истребителям - 9 - 23,5%</w:t>
      </w:r>
    </w:p>
    <w:p w14:paraId="382FF5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бомбардировщикам - 10 - 50%</w:t>
      </w:r>
    </w:p>
    <w:p w14:paraId="22ECEB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штурмовикам - 14,5 - 32</w:t>
      </w:r>
    </w:p>
    <w:p w14:paraId="762305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Сводные данные по улучшению взлетно-посадочных качеств серийных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103"/>
      </w:tblGrid>
      <w:tr w:rsidR="009B487A" w:rsidRPr="00722885" w14:paraId="00923BA9" w14:textId="77777777" w:rsidTr="00CC5360">
        <w:tc>
          <w:tcPr>
            <w:tcW w:w="5353" w:type="dxa"/>
            <w:tcBorders>
              <w:top w:val="single" w:sz="12" w:space="0" w:color="auto"/>
            </w:tcBorders>
          </w:tcPr>
          <w:p w14:paraId="389751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Истребитель Як-1</w:t>
            </w:r>
          </w:p>
        </w:tc>
        <w:tc>
          <w:tcPr>
            <w:tcW w:w="5103" w:type="dxa"/>
            <w:tcBorders>
              <w:top w:val="single" w:sz="12" w:space="0" w:color="auto"/>
            </w:tcBorders>
          </w:tcPr>
          <w:p w14:paraId="201C811F" w14:textId="77777777" w:rsidR="00090C9B" w:rsidRPr="00722885" w:rsidRDefault="00090C9B" w:rsidP="00722885">
            <w:pPr>
              <w:pStyle w:val="Iauiue"/>
              <w:jc w:val="both"/>
              <w:rPr>
                <w:color w:val="000000" w:themeColor="text1"/>
                <w:sz w:val="16"/>
                <w:szCs w:val="16"/>
              </w:rPr>
            </w:pPr>
          </w:p>
        </w:tc>
      </w:tr>
      <w:tr w:rsidR="009B487A" w:rsidRPr="00722885" w14:paraId="3E57BBCF" w14:textId="77777777" w:rsidTr="00CC5360">
        <w:tc>
          <w:tcPr>
            <w:tcW w:w="5353" w:type="dxa"/>
          </w:tcPr>
          <w:p w14:paraId="05077B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Длина разбега самолета при давлении наддува 910 мм</w:t>
            </w:r>
          </w:p>
        </w:tc>
        <w:tc>
          <w:tcPr>
            <w:tcW w:w="5103" w:type="dxa"/>
          </w:tcPr>
          <w:p w14:paraId="0B0AF4A3" w14:textId="77777777" w:rsidR="00090C9B" w:rsidRPr="00722885" w:rsidRDefault="00090C9B" w:rsidP="00722885">
            <w:pPr>
              <w:pStyle w:val="Iauiue"/>
              <w:jc w:val="both"/>
              <w:rPr>
                <w:color w:val="000000" w:themeColor="text1"/>
                <w:sz w:val="16"/>
                <w:szCs w:val="16"/>
              </w:rPr>
            </w:pPr>
          </w:p>
        </w:tc>
      </w:tr>
      <w:tr w:rsidR="009B487A" w:rsidRPr="00722885" w14:paraId="614E949A" w14:textId="77777777" w:rsidTr="00CC5360">
        <w:tc>
          <w:tcPr>
            <w:tcW w:w="5353" w:type="dxa"/>
          </w:tcPr>
          <w:p w14:paraId="46CCBD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рт. ст. мотора М-105П составляет</w:t>
            </w:r>
          </w:p>
        </w:tc>
        <w:tc>
          <w:tcPr>
            <w:tcW w:w="5103" w:type="dxa"/>
          </w:tcPr>
          <w:p w14:paraId="37876C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365 м</w:t>
            </w:r>
          </w:p>
        </w:tc>
      </w:tr>
      <w:tr w:rsidR="009B487A" w:rsidRPr="00722885" w14:paraId="438C693E" w14:textId="77777777" w:rsidTr="00CC5360">
        <w:tc>
          <w:tcPr>
            <w:tcW w:w="5353" w:type="dxa"/>
          </w:tcPr>
          <w:p w14:paraId="1EA7BB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Переход от давления наддува 910 мм рт. ст. к </w:t>
            </w:r>
          </w:p>
        </w:tc>
        <w:tc>
          <w:tcPr>
            <w:tcW w:w="5103" w:type="dxa"/>
          </w:tcPr>
          <w:p w14:paraId="23BDCDC9" w14:textId="77777777" w:rsidR="00090C9B" w:rsidRPr="00722885" w:rsidRDefault="00090C9B" w:rsidP="00722885">
            <w:pPr>
              <w:pStyle w:val="Iauiue"/>
              <w:jc w:val="both"/>
              <w:rPr>
                <w:color w:val="000000" w:themeColor="text1"/>
                <w:sz w:val="16"/>
                <w:szCs w:val="16"/>
              </w:rPr>
            </w:pPr>
          </w:p>
        </w:tc>
      </w:tr>
      <w:tr w:rsidR="009B487A" w:rsidRPr="00722885" w14:paraId="0DEB4DBB" w14:textId="77777777" w:rsidTr="00CC5360">
        <w:tc>
          <w:tcPr>
            <w:tcW w:w="5353" w:type="dxa"/>
          </w:tcPr>
          <w:p w14:paraId="7CAE45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давлению 1050 мм рт. ст. сократил длину разбега</w:t>
            </w:r>
          </w:p>
        </w:tc>
        <w:tc>
          <w:tcPr>
            <w:tcW w:w="5103" w:type="dxa"/>
          </w:tcPr>
          <w:p w14:paraId="44ABCD2F" w14:textId="77777777" w:rsidR="00090C9B" w:rsidRPr="00722885" w:rsidRDefault="00090C9B" w:rsidP="00722885">
            <w:pPr>
              <w:pStyle w:val="Iauiue"/>
              <w:jc w:val="both"/>
              <w:rPr>
                <w:color w:val="000000" w:themeColor="text1"/>
                <w:sz w:val="16"/>
                <w:szCs w:val="16"/>
              </w:rPr>
            </w:pPr>
          </w:p>
        </w:tc>
      </w:tr>
      <w:tr w:rsidR="009B487A" w:rsidRPr="00722885" w14:paraId="149F3560" w14:textId="77777777" w:rsidTr="00CC5360">
        <w:tc>
          <w:tcPr>
            <w:tcW w:w="5353" w:type="dxa"/>
          </w:tcPr>
          <w:p w14:paraId="1711C7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самолета до</w:t>
            </w:r>
          </w:p>
        </w:tc>
        <w:tc>
          <w:tcPr>
            <w:tcW w:w="5103" w:type="dxa"/>
          </w:tcPr>
          <w:p w14:paraId="2023B33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320 м</w:t>
            </w:r>
          </w:p>
        </w:tc>
      </w:tr>
      <w:tr w:rsidR="009B487A" w:rsidRPr="00722885" w14:paraId="2D2D32BC" w14:textId="77777777" w:rsidTr="00CC5360">
        <w:tc>
          <w:tcPr>
            <w:tcW w:w="5353" w:type="dxa"/>
          </w:tcPr>
          <w:p w14:paraId="3ACF69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Уменьшение полетного веса самолета с 2917 кг до</w:t>
            </w:r>
          </w:p>
        </w:tc>
        <w:tc>
          <w:tcPr>
            <w:tcW w:w="5103" w:type="dxa"/>
          </w:tcPr>
          <w:p w14:paraId="41FD4AD9" w14:textId="77777777" w:rsidR="00090C9B" w:rsidRPr="00722885" w:rsidRDefault="00090C9B" w:rsidP="00722885">
            <w:pPr>
              <w:pStyle w:val="Iauiue"/>
              <w:jc w:val="both"/>
              <w:rPr>
                <w:color w:val="000000" w:themeColor="text1"/>
                <w:sz w:val="16"/>
                <w:szCs w:val="16"/>
              </w:rPr>
            </w:pPr>
          </w:p>
        </w:tc>
      </w:tr>
      <w:tr w:rsidR="009B487A" w:rsidRPr="00722885" w14:paraId="0AE79940" w14:textId="77777777" w:rsidTr="00CC5360">
        <w:tc>
          <w:tcPr>
            <w:tcW w:w="5353" w:type="dxa"/>
          </w:tcPr>
          <w:p w14:paraId="3A0030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2750 кг сократит, согласно расчета, длину разбега</w:t>
            </w:r>
          </w:p>
        </w:tc>
        <w:tc>
          <w:tcPr>
            <w:tcW w:w="5103" w:type="dxa"/>
          </w:tcPr>
          <w:p w14:paraId="34466042" w14:textId="77777777" w:rsidR="00090C9B" w:rsidRPr="00722885" w:rsidRDefault="00090C9B" w:rsidP="00722885">
            <w:pPr>
              <w:pStyle w:val="Iauiue"/>
              <w:jc w:val="both"/>
              <w:rPr>
                <w:color w:val="000000" w:themeColor="text1"/>
                <w:sz w:val="16"/>
                <w:szCs w:val="16"/>
              </w:rPr>
            </w:pPr>
          </w:p>
        </w:tc>
      </w:tr>
      <w:tr w:rsidR="009B487A" w:rsidRPr="00722885" w14:paraId="16127C51" w14:textId="77777777" w:rsidTr="00CC5360">
        <w:tc>
          <w:tcPr>
            <w:tcW w:w="5353" w:type="dxa"/>
          </w:tcPr>
          <w:p w14:paraId="71EED47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w:t>
            </w:r>
          </w:p>
        </w:tc>
        <w:tc>
          <w:tcPr>
            <w:tcW w:w="5103" w:type="dxa"/>
          </w:tcPr>
          <w:p w14:paraId="725A87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290 м</w:t>
            </w:r>
          </w:p>
        </w:tc>
      </w:tr>
      <w:tr w:rsidR="009B487A" w:rsidRPr="00722885" w14:paraId="1094E221" w14:textId="77777777" w:rsidTr="00CC5360">
        <w:tc>
          <w:tcPr>
            <w:tcW w:w="5353" w:type="dxa"/>
          </w:tcPr>
          <w:p w14:paraId="5E37EB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Установка на самолете мотора М-106 даст </w:t>
            </w:r>
          </w:p>
        </w:tc>
        <w:tc>
          <w:tcPr>
            <w:tcW w:w="5103" w:type="dxa"/>
          </w:tcPr>
          <w:p w14:paraId="22617A13" w14:textId="77777777" w:rsidR="00090C9B" w:rsidRPr="00722885" w:rsidRDefault="00090C9B" w:rsidP="00722885">
            <w:pPr>
              <w:pStyle w:val="Iauiue"/>
              <w:jc w:val="both"/>
              <w:rPr>
                <w:color w:val="000000" w:themeColor="text1"/>
                <w:sz w:val="16"/>
                <w:szCs w:val="16"/>
              </w:rPr>
            </w:pPr>
          </w:p>
        </w:tc>
      </w:tr>
      <w:tr w:rsidR="009B487A" w:rsidRPr="00722885" w14:paraId="71AC05A1" w14:textId="77777777" w:rsidTr="00CC5360">
        <w:tc>
          <w:tcPr>
            <w:tcW w:w="5353" w:type="dxa"/>
          </w:tcPr>
          <w:p w14:paraId="3AB3BA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дополнительное сокращение разбега на 5-7% </w:t>
            </w:r>
          </w:p>
        </w:tc>
        <w:tc>
          <w:tcPr>
            <w:tcW w:w="5103" w:type="dxa"/>
          </w:tcPr>
          <w:p w14:paraId="1C047292" w14:textId="77777777" w:rsidR="00090C9B" w:rsidRPr="00722885" w:rsidRDefault="00090C9B" w:rsidP="00722885">
            <w:pPr>
              <w:pStyle w:val="Iauiue"/>
              <w:jc w:val="both"/>
              <w:rPr>
                <w:color w:val="000000" w:themeColor="text1"/>
                <w:sz w:val="16"/>
                <w:szCs w:val="16"/>
              </w:rPr>
            </w:pPr>
          </w:p>
        </w:tc>
      </w:tr>
      <w:tr w:rsidR="009B487A" w:rsidRPr="00722885" w14:paraId="1D80F764" w14:textId="77777777" w:rsidTr="00CC5360">
        <w:tc>
          <w:tcPr>
            <w:tcW w:w="5353" w:type="dxa"/>
          </w:tcPr>
          <w:p w14:paraId="6F60F3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или на 15-20 м</w:t>
            </w:r>
          </w:p>
        </w:tc>
        <w:tc>
          <w:tcPr>
            <w:tcW w:w="5103" w:type="dxa"/>
          </w:tcPr>
          <w:p w14:paraId="75642233" w14:textId="77777777" w:rsidR="00090C9B" w:rsidRPr="00722885" w:rsidRDefault="00090C9B" w:rsidP="00722885">
            <w:pPr>
              <w:pStyle w:val="Iauiue"/>
              <w:jc w:val="both"/>
              <w:rPr>
                <w:color w:val="000000" w:themeColor="text1"/>
                <w:sz w:val="16"/>
                <w:szCs w:val="16"/>
              </w:rPr>
            </w:pPr>
          </w:p>
        </w:tc>
      </w:tr>
      <w:tr w:rsidR="009B487A" w:rsidRPr="00722885" w14:paraId="13E50346" w14:textId="77777777" w:rsidTr="00CC5360">
        <w:tc>
          <w:tcPr>
            <w:tcW w:w="5353" w:type="dxa"/>
          </w:tcPr>
          <w:p w14:paraId="779F6A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Истребители Як-7 и Як-9</w:t>
            </w:r>
          </w:p>
        </w:tc>
        <w:tc>
          <w:tcPr>
            <w:tcW w:w="5103" w:type="dxa"/>
          </w:tcPr>
          <w:p w14:paraId="39BFF349" w14:textId="77777777" w:rsidR="00090C9B" w:rsidRPr="00722885" w:rsidRDefault="00090C9B" w:rsidP="00722885">
            <w:pPr>
              <w:pStyle w:val="Iauiue"/>
              <w:jc w:val="both"/>
              <w:rPr>
                <w:color w:val="000000" w:themeColor="text1"/>
                <w:sz w:val="16"/>
                <w:szCs w:val="16"/>
              </w:rPr>
            </w:pPr>
          </w:p>
        </w:tc>
      </w:tr>
      <w:tr w:rsidR="009B487A" w:rsidRPr="00722885" w14:paraId="61FF8C46" w14:textId="77777777" w:rsidTr="00CC5360">
        <w:tc>
          <w:tcPr>
            <w:tcW w:w="5353" w:type="dxa"/>
          </w:tcPr>
          <w:p w14:paraId="53BB60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Длина разбега самолета при давлении наддува 910 мм</w:t>
            </w:r>
          </w:p>
        </w:tc>
        <w:tc>
          <w:tcPr>
            <w:tcW w:w="5103" w:type="dxa"/>
          </w:tcPr>
          <w:p w14:paraId="566E56AA" w14:textId="77777777" w:rsidR="00090C9B" w:rsidRPr="00722885" w:rsidRDefault="00090C9B" w:rsidP="00722885">
            <w:pPr>
              <w:pStyle w:val="Iauiue"/>
              <w:jc w:val="both"/>
              <w:rPr>
                <w:color w:val="000000" w:themeColor="text1"/>
                <w:sz w:val="16"/>
                <w:szCs w:val="16"/>
              </w:rPr>
            </w:pPr>
          </w:p>
        </w:tc>
      </w:tr>
      <w:tr w:rsidR="009B487A" w:rsidRPr="00722885" w14:paraId="2CDB5D32" w14:textId="77777777" w:rsidTr="00CC5360">
        <w:tc>
          <w:tcPr>
            <w:tcW w:w="5353" w:type="dxa"/>
          </w:tcPr>
          <w:p w14:paraId="23B555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рт. ст. мотора М-105П составляет</w:t>
            </w:r>
          </w:p>
        </w:tc>
        <w:tc>
          <w:tcPr>
            <w:tcW w:w="5103" w:type="dxa"/>
          </w:tcPr>
          <w:p w14:paraId="7E9B74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390 м</w:t>
            </w:r>
          </w:p>
        </w:tc>
      </w:tr>
      <w:tr w:rsidR="009B487A" w:rsidRPr="00722885" w14:paraId="4016AF1D" w14:textId="77777777" w:rsidTr="00CC5360">
        <w:tc>
          <w:tcPr>
            <w:tcW w:w="5353" w:type="dxa"/>
          </w:tcPr>
          <w:p w14:paraId="769300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Переход от давления наддува 910 мм рт. ст. к</w:t>
            </w:r>
          </w:p>
        </w:tc>
        <w:tc>
          <w:tcPr>
            <w:tcW w:w="5103" w:type="dxa"/>
          </w:tcPr>
          <w:p w14:paraId="00866D2B" w14:textId="77777777" w:rsidR="00090C9B" w:rsidRPr="00722885" w:rsidRDefault="00090C9B" w:rsidP="00722885">
            <w:pPr>
              <w:pStyle w:val="Iauiue"/>
              <w:jc w:val="both"/>
              <w:rPr>
                <w:color w:val="000000" w:themeColor="text1"/>
                <w:sz w:val="16"/>
                <w:szCs w:val="16"/>
              </w:rPr>
            </w:pPr>
          </w:p>
        </w:tc>
      </w:tr>
      <w:tr w:rsidR="009B487A" w:rsidRPr="00722885" w14:paraId="23D69DC0" w14:textId="77777777" w:rsidTr="00CC5360">
        <w:tc>
          <w:tcPr>
            <w:tcW w:w="5353" w:type="dxa"/>
          </w:tcPr>
          <w:p w14:paraId="4148B09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давлению 1050 мм рт. ст. сократил длину разбега</w:t>
            </w:r>
          </w:p>
        </w:tc>
        <w:tc>
          <w:tcPr>
            <w:tcW w:w="5103" w:type="dxa"/>
          </w:tcPr>
          <w:p w14:paraId="1CAC94D6" w14:textId="77777777" w:rsidR="00090C9B" w:rsidRPr="00722885" w:rsidRDefault="00090C9B" w:rsidP="00722885">
            <w:pPr>
              <w:pStyle w:val="Iauiue"/>
              <w:jc w:val="both"/>
              <w:rPr>
                <w:color w:val="000000" w:themeColor="text1"/>
                <w:sz w:val="16"/>
                <w:szCs w:val="16"/>
              </w:rPr>
            </w:pPr>
          </w:p>
        </w:tc>
      </w:tr>
      <w:tr w:rsidR="009B487A" w:rsidRPr="00722885" w14:paraId="65678153" w14:textId="77777777" w:rsidTr="00CC5360">
        <w:tc>
          <w:tcPr>
            <w:tcW w:w="5353" w:type="dxa"/>
          </w:tcPr>
          <w:p w14:paraId="7B6E97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самолета до</w:t>
            </w:r>
          </w:p>
        </w:tc>
        <w:tc>
          <w:tcPr>
            <w:tcW w:w="5103" w:type="dxa"/>
          </w:tcPr>
          <w:p w14:paraId="5CB9F7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342 м</w:t>
            </w:r>
          </w:p>
        </w:tc>
      </w:tr>
      <w:tr w:rsidR="009B487A" w:rsidRPr="00722885" w14:paraId="24DDE93E" w14:textId="77777777" w:rsidTr="00CC5360">
        <w:tc>
          <w:tcPr>
            <w:tcW w:w="5353" w:type="dxa"/>
          </w:tcPr>
          <w:p w14:paraId="4ED940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Проведенное облегчение веса конструкции до</w:t>
            </w:r>
          </w:p>
        </w:tc>
        <w:tc>
          <w:tcPr>
            <w:tcW w:w="5103" w:type="dxa"/>
          </w:tcPr>
          <w:p w14:paraId="7F88241A" w14:textId="77777777" w:rsidR="00090C9B" w:rsidRPr="00722885" w:rsidRDefault="00090C9B" w:rsidP="00722885">
            <w:pPr>
              <w:pStyle w:val="Iauiue"/>
              <w:jc w:val="both"/>
              <w:rPr>
                <w:color w:val="000000" w:themeColor="text1"/>
                <w:sz w:val="16"/>
                <w:szCs w:val="16"/>
              </w:rPr>
            </w:pPr>
          </w:p>
        </w:tc>
      </w:tr>
      <w:tr w:rsidR="009B487A" w:rsidRPr="00722885" w14:paraId="33162F96" w14:textId="77777777" w:rsidTr="00CC5360">
        <w:tc>
          <w:tcPr>
            <w:tcW w:w="5353" w:type="dxa"/>
          </w:tcPr>
          <w:p w14:paraId="7049A3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полетного веса 2835 кг самолета Як-9 сократило</w:t>
            </w:r>
          </w:p>
        </w:tc>
        <w:tc>
          <w:tcPr>
            <w:tcW w:w="5103" w:type="dxa"/>
          </w:tcPr>
          <w:p w14:paraId="540A8827" w14:textId="77777777" w:rsidR="00090C9B" w:rsidRPr="00722885" w:rsidRDefault="00090C9B" w:rsidP="00722885">
            <w:pPr>
              <w:pStyle w:val="Iauiue"/>
              <w:jc w:val="both"/>
              <w:rPr>
                <w:color w:val="000000" w:themeColor="text1"/>
                <w:sz w:val="16"/>
                <w:szCs w:val="16"/>
              </w:rPr>
            </w:pPr>
          </w:p>
        </w:tc>
      </w:tr>
      <w:tr w:rsidR="009B487A" w:rsidRPr="00722885" w14:paraId="576D881C" w14:textId="77777777" w:rsidTr="00CC5360">
        <w:tc>
          <w:tcPr>
            <w:tcW w:w="5353" w:type="dxa"/>
          </w:tcPr>
          <w:p w14:paraId="752C6B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длину разбега самолета до</w:t>
            </w:r>
          </w:p>
        </w:tc>
        <w:tc>
          <w:tcPr>
            <w:tcW w:w="5103" w:type="dxa"/>
          </w:tcPr>
          <w:p w14:paraId="441792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300 м</w:t>
            </w:r>
          </w:p>
        </w:tc>
      </w:tr>
      <w:tr w:rsidR="009B487A" w:rsidRPr="00722885" w14:paraId="33CBAF21" w14:textId="77777777" w:rsidTr="00CC5360">
        <w:tc>
          <w:tcPr>
            <w:tcW w:w="5353" w:type="dxa"/>
          </w:tcPr>
          <w:p w14:paraId="200B82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Истребители Лагг-3 и Ла-5</w:t>
            </w:r>
          </w:p>
        </w:tc>
        <w:tc>
          <w:tcPr>
            <w:tcW w:w="5103" w:type="dxa"/>
          </w:tcPr>
          <w:p w14:paraId="74992FCD" w14:textId="77777777" w:rsidR="00090C9B" w:rsidRPr="00722885" w:rsidRDefault="00090C9B" w:rsidP="00722885">
            <w:pPr>
              <w:pStyle w:val="Iauiue"/>
              <w:jc w:val="both"/>
              <w:rPr>
                <w:color w:val="000000" w:themeColor="text1"/>
                <w:sz w:val="16"/>
                <w:szCs w:val="16"/>
              </w:rPr>
            </w:pPr>
          </w:p>
        </w:tc>
      </w:tr>
      <w:tr w:rsidR="009B487A" w:rsidRPr="00722885" w14:paraId="7FD7D481" w14:textId="77777777" w:rsidTr="00CC5360">
        <w:tc>
          <w:tcPr>
            <w:tcW w:w="5353" w:type="dxa"/>
          </w:tcPr>
          <w:p w14:paraId="280A4E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Длина разбега самолета Лагг-3 с мотором М-105П</w:t>
            </w:r>
          </w:p>
        </w:tc>
        <w:tc>
          <w:tcPr>
            <w:tcW w:w="5103" w:type="dxa"/>
          </w:tcPr>
          <w:p w14:paraId="2E83581B" w14:textId="77777777" w:rsidR="00090C9B" w:rsidRPr="00722885" w:rsidRDefault="00090C9B" w:rsidP="00722885">
            <w:pPr>
              <w:pStyle w:val="Iauiue"/>
              <w:jc w:val="both"/>
              <w:rPr>
                <w:color w:val="000000" w:themeColor="text1"/>
                <w:sz w:val="16"/>
                <w:szCs w:val="16"/>
              </w:rPr>
            </w:pPr>
          </w:p>
        </w:tc>
      </w:tr>
      <w:tr w:rsidR="009B487A" w:rsidRPr="00722885" w14:paraId="6002071A" w14:textId="77777777" w:rsidTr="00CC5360">
        <w:tc>
          <w:tcPr>
            <w:tcW w:w="5353" w:type="dxa"/>
          </w:tcPr>
          <w:p w14:paraId="16004A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давлении наддува 910 мм рт. ст. составляет</w:t>
            </w:r>
          </w:p>
        </w:tc>
        <w:tc>
          <w:tcPr>
            <w:tcW w:w="5103" w:type="dxa"/>
          </w:tcPr>
          <w:p w14:paraId="2440AB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405 м</w:t>
            </w:r>
          </w:p>
        </w:tc>
      </w:tr>
      <w:tr w:rsidR="009B487A" w:rsidRPr="00722885" w14:paraId="5358FA9D" w14:textId="77777777" w:rsidTr="00CC5360">
        <w:tc>
          <w:tcPr>
            <w:tcW w:w="5353" w:type="dxa"/>
          </w:tcPr>
          <w:p w14:paraId="48D76A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Переход от давления наддува 910 мм рт. ст. к </w:t>
            </w:r>
          </w:p>
        </w:tc>
        <w:tc>
          <w:tcPr>
            <w:tcW w:w="5103" w:type="dxa"/>
          </w:tcPr>
          <w:p w14:paraId="0B122D1A" w14:textId="77777777" w:rsidR="00090C9B" w:rsidRPr="00722885" w:rsidRDefault="00090C9B" w:rsidP="00722885">
            <w:pPr>
              <w:pStyle w:val="Iauiue"/>
              <w:jc w:val="both"/>
              <w:rPr>
                <w:color w:val="000000" w:themeColor="text1"/>
                <w:sz w:val="16"/>
                <w:szCs w:val="16"/>
              </w:rPr>
            </w:pPr>
          </w:p>
        </w:tc>
      </w:tr>
      <w:tr w:rsidR="009B487A" w:rsidRPr="00722885" w14:paraId="6802ACBA" w14:textId="77777777" w:rsidTr="00CC5360">
        <w:tc>
          <w:tcPr>
            <w:tcW w:w="5353" w:type="dxa"/>
          </w:tcPr>
          <w:p w14:paraId="17932D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давлению 1050 мм рт. ст. сократил длину разбега</w:t>
            </w:r>
          </w:p>
        </w:tc>
        <w:tc>
          <w:tcPr>
            <w:tcW w:w="5103" w:type="dxa"/>
          </w:tcPr>
          <w:p w14:paraId="0441B67E" w14:textId="77777777" w:rsidR="00090C9B" w:rsidRPr="00722885" w:rsidRDefault="00090C9B" w:rsidP="00722885">
            <w:pPr>
              <w:pStyle w:val="Iauiue"/>
              <w:jc w:val="both"/>
              <w:rPr>
                <w:color w:val="000000" w:themeColor="text1"/>
                <w:sz w:val="16"/>
                <w:szCs w:val="16"/>
              </w:rPr>
            </w:pPr>
          </w:p>
        </w:tc>
      </w:tr>
      <w:tr w:rsidR="009B487A" w:rsidRPr="00722885" w14:paraId="19157A36" w14:textId="77777777" w:rsidTr="00CC5360">
        <w:tc>
          <w:tcPr>
            <w:tcW w:w="5353" w:type="dxa"/>
          </w:tcPr>
          <w:p w14:paraId="49A95B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самолета до</w:t>
            </w:r>
          </w:p>
        </w:tc>
        <w:tc>
          <w:tcPr>
            <w:tcW w:w="5103" w:type="dxa"/>
          </w:tcPr>
          <w:p w14:paraId="011B8D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370 м</w:t>
            </w:r>
          </w:p>
        </w:tc>
      </w:tr>
      <w:tr w:rsidR="009B487A" w:rsidRPr="00722885" w14:paraId="53A6783E" w14:textId="77777777" w:rsidTr="00CC5360">
        <w:tc>
          <w:tcPr>
            <w:tcW w:w="5353" w:type="dxa"/>
          </w:tcPr>
          <w:p w14:paraId="67FE34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Облегчение полетного веса самолета Лагг-3 с </w:t>
            </w:r>
          </w:p>
        </w:tc>
        <w:tc>
          <w:tcPr>
            <w:tcW w:w="5103" w:type="dxa"/>
          </w:tcPr>
          <w:p w14:paraId="1E3E35E6" w14:textId="77777777" w:rsidR="00090C9B" w:rsidRPr="00722885" w:rsidRDefault="00090C9B" w:rsidP="00722885">
            <w:pPr>
              <w:pStyle w:val="Iauiue"/>
              <w:jc w:val="both"/>
              <w:rPr>
                <w:color w:val="000000" w:themeColor="text1"/>
                <w:sz w:val="16"/>
                <w:szCs w:val="16"/>
              </w:rPr>
            </w:pPr>
          </w:p>
        </w:tc>
      </w:tr>
      <w:tr w:rsidR="009B487A" w:rsidRPr="00722885" w14:paraId="0102A8D0" w14:textId="77777777" w:rsidTr="00CC5360">
        <w:tc>
          <w:tcPr>
            <w:tcW w:w="5353" w:type="dxa"/>
          </w:tcPr>
          <w:p w14:paraId="345FCB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М-105ПФ с 3160 кг до 2865 кг, проводимое заводом</w:t>
            </w:r>
          </w:p>
        </w:tc>
        <w:tc>
          <w:tcPr>
            <w:tcW w:w="5103" w:type="dxa"/>
          </w:tcPr>
          <w:p w14:paraId="5A0EB355" w14:textId="77777777" w:rsidR="00090C9B" w:rsidRPr="00722885" w:rsidRDefault="00090C9B" w:rsidP="00722885">
            <w:pPr>
              <w:pStyle w:val="Iauiue"/>
              <w:jc w:val="both"/>
              <w:rPr>
                <w:color w:val="000000" w:themeColor="text1"/>
                <w:sz w:val="16"/>
                <w:szCs w:val="16"/>
              </w:rPr>
            </w:pPr>
          </w:p>
        </w:tc>
      </w:tr>
      <w:tr w:rsidR="009B487A" w:rsidRPr="00722885" w14:paraId="6D3879AA" w14:textId="77777777" w:rsidTr="00CC5360">
        <w:tc>
          <w:tcPr>
            <w:tcW w:w="5353" w:type="dxa"/>
          </w:tcPr>
          <w:p w14:paraId="5E12DA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N 31, даст, согласно расчета, сокращение длины</w:t>
            </w:r>
          </w:p>
        </w:tc>
        <w:tc>
          <w:tcPr>
            <w:tcW w:w="5103" w:type="dxa"/>
          </w:tcPr>
          <w:p w14:paraId="1450722A" w14:textId="77777777" w:rsidR="00090C9B" w:rsidRPr="00722885" w:rsidRDefault="00090C9B" w:rsidP="00722885">
            <w:pPr>
              <w:pStyle w:val="Iauiue"/>
              <w:jc w:val="both"/>
              <w:rPr>
                <w:color w:val="000000" w:themeColor="text1"/>
                <w:sz w:val="16"/>
                <w:szCs w:val="16"/>
              </w:rPr>
            </w:pPr>
          </w:p>
        </w:tc>
      </w:tr>
      <w:tr w:rsidR="009B487A" w:rsidRPr="00722885" w14:paraId="166CF51A" w14:textId="77777777" w:rsidTr="00CC5360">
        <w:tc>
          <w:tcPr>
            <w:tcW w:w="5353" w:type="dxa"/>
          </w:tcPr>
          <w:p w14:paraId="2AA068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разбега до</w:t>
            </w:r>
          </w:p>
        </w:tc>
        <w:tc>
          <w:tcPr>
            <w:tcW w:w="5103" w:type="dxa"/>
          </w:tcPr>
          <w:p w14:paraId="66DF0F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310 м</w:t>
            </w:r>
          </w:p>
        </w:tc>
      </w:tr>
      <w:tr w:rsidR="009B487A" w:rsidRPr="00722885" w14:paraId="0D6BA584" w14:textId="77777777" w:rsidTr="00CC5360">
        <w:tc>
          <w:tcPr>
            <w:tcW w:w="5353" w:type="dxa"/>
          </w:tcPr>
          <w:p w14:paraId="6D0395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Установка мотора М-82, вместо мотора М-105П, с</w:t>
            </w:r>
          </w:p>
        </w:tc>
        <w:tc>
          <w:tcPr>
            <w:tcW w:w="5103" w:type="dxa"/>
          </w:tcPr>
          <w:p w14:paraId="3D8E0BE8" w14:textId="77777777" w:rsidR="00090C9B" w:rsidRPr="00722885" w:rsidRDefault="00090C9B" w:rsidP="00722885">
            <w:pPr>
              <w:pStyle w:val="Iauiue"/>
              <w:jc w:val="both"/>
              <w:rPr>
                <w:color w:val="000000" w:themeColor="text1"/>
                <w:sz w:val="16"/>
                <w:szCs w:val="16"/>
              </w:rPr>
            </w:pPr>
          </w:p>
        </w:tc>
      </w:tr>
      <w:tr w:rsidR="009B487A" w:rsidRPr="00722885" w14:paraId="11F79BFE" w14:textId="77777777" w:rsidTr="00CC5360">
        <w:tc>
          <w:tcPr>
            <w:tcW w:w="5353" w:type="dxa"/>
          </w:tcPr>
          <w:p w14:paraId="75B971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большой взлетной мощностью, значительно уменьшила</w:t>
            </w:r>
          </w:p>
        </w:tc>
        <w:tc>
          <w:tcPr>
            <w:tcW w:w="5103" w:type="dxa"/>
          </w:tcPr>
          <w:p w14:paraId="664220F7" w14:textId="77777777" w:rsidR="00090C9B" w:rsidRPr="00722885" w:rsidRDefault="00090C9B" w:rsidP="00722885">
            <w:pPr>
              <w:pStyle w:val="Iauiue"/>
              <w:jc w:val="both"/>
              <w:rPr>
                <w:color w:val="000000" w:themeColor="text1"/>
                <w:sz w:val="16"/>
                <w:szCs w:val="16"/>
              </w:rPr>
            </w:pPr>
          </w:p>
        </w:tc>
      </w:tr>
      <w:tr w:rsidR="009B487A" w:rsidRPr="00722885" w14:paraId="1C79F1C7" w14:textId="77777777" w:rsidTr="00CC5360">
        <w:tc>
          <w:tcPr>
            <w:tcW w:w="5353" w:type="dxa"/>
          </w:tcPr>
          <w:p w14:paraId="632827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длину разбега</w:t>
            </w:r>
          </w:p>
        </w:tc>
        <w:tc>
          <w:tcPr>
            <w:tcW w:w="5103" w:type="dxa"/>
          </w:tcPr>
          <w:p w14:paraId="1674DE1E" w14:textId="77777777" w:rsidR="00090C9B" w:rsidRPr="00722885" w:rsidRDefault="00090C9B" w:rsidP="00722885">
            <w:pPr>
              <w:pStyle w:val="Iauiue"/>
              <w:jc w:val="both"/>
              <w:rPr>
                <w:color w:val="000000" w:themeColor="text1"/>
                <w:sz w:val="16"/>
                <w:szCs w:val="16"/>
              </w:rPr>
            </w:pPr>
          </w:p>
        </w:tc>
      </w:tr>
      <w:tr w:rsidR="009B487A" w:rsidRPr="00722885" w14:paraId="4AC7AA36" w14:textId="77777777" w:rsidTr="00CC5360">
        <w:tc>
          <w:tcPr>
            <w:tcW w:w="5353" w:type="dxa"/>
          </w:tcPr>
          <w:p w14:paraId="0D3D20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Ла-5 имеет длину разбега без форсажа</w:t>
            </w:r>
          </w:p>
        </w:tc>
        <w:tc>
          <w:tcPr>
            <w:tcW w:w="5103" w:type="dxa"/>
          </w:tcPr>
          <w:p w14:paraId="7D1C892E" w14:textId="77777777" w:rsidR="00090C9B" w:rsidRPr="00722885" w:rsidRDefault="00090C9B" w:rsidP="00722885">
            <w:pPr>
              <w:pStyle w:val="Iauiue"/>
              <w:jc w:val="both"/>
              <w:rPr>
                <w:color w:val="000000" w:themeColor="text1"/>
                <w:sz w:val="16"/>
                <w:szCs w:val="16"/>
              </w:rPr>
            </w:pPr>
          </w:p>
        </w:tc>
      </w:tr>
      <w:tr w:rsidR="009B487A" w:rsidRPr="00722885" w14:paraId="482807DF" w14:textId="77777777" w:rsidTr="00CC5360">
        <w:tc>
          <w:tcPr>
            <w:tcW w:w="5353" w:type="dxa"/>
          </w:tcPr>
          <w:p w14:paraId="68D9C7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мотора</w:t>
            </w:r>
          </w:p>
        </w:tc>
        <w:tc>
          <w:tcPr>
            <w:tcW w:w="5103" w:type="dxa"/>
          </w:tcPr>
          <w:p w14:paraId="05BD3F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350 м</w:t>
            </w:r>
          </w:p>
        </w:tc>
      </w:tr>
      <w:tr w:rsidR="009B487A" w:rsidRPr="00722885" w14:paraId="26AC03A0" w14:textId="77777777" w:rsidTr="00CC5360">
        <w:tc>
          <w:tcPr>
            <w:tcW w:w="5353" w:type="dxa"/>
          </w:tcPr>
          <w:p w14:paraId="42C2DA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форсажем мотора</w:t>
            </w:r>
          </w:p>
        </w:tc>
        <w:tc>
          <w:tcPr>
            <w:tcW w:w="5103" w:type="dxa"/>
          </w:tcPr>
          <w:p w14:paraId="4841FD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310 м</w:t>
            </w:r>
          </w:p>
        </w:tc>
      </w:tr>
      <w:tr w:rsidR="009B487A" w:rsidRPr="00722885" w14:paraId="3CD953A2" w14:textId="77777777" w:rsidTr="00CC5360">
        <w:tc>
          <w:tcPr>
            <w:tcW w:w="5353" w:type="dxa"/>
          </w:tcPr>
          <w:p w14:paraId="3013C7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Проводимое на заводе N 21 облегчение веса</w:t>
            </w:r>
          </w:p>
        </w:tc>
        <w:tc>
          <w:tcPr>
            <w:tcW w:w="5103" w:type="dxa"/>
          </w:tcPr>
          <w:p w14:paraId="01D754B5" w14:textId="77777777" w:rsidR="00090C9B" w:rsidRPr="00722885" w:rsidRDefault="00090C9B" w:rsidP="00722885">
            <w:pPr>
              <w:pStyle w:val="Iauiue"/>
              <w:jc w:val="both"/>
              <w:rPr>
                <w:color w:val="000000" w:themeColor="text1"/>
                <w:sz w:val="16"/>
                <w:szCs w:val="16"/>
              </w:rPr>
            </w:pPr>
          </w:p>
        </w:tc>
      </w:tr>
      <w:tr w:rsidR="009B487A" w:rsidRPr="00722885" w14:paraId="61567651" w14:textId="77777777" w:rsidTr="00CC5360">
        <w:tc>
          <w:tcPr>
            <w:tcW w:w="5353" w:type="dxa"/>
          </w:tcPr>
          <w:p w14:paraId="786A4A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конструкции самолета Ла-5 даст, согласно расчета,</w:t>
            </w:r>
          </w:p>
        </w:tc>
        <w:tc>
          <w:tcPr>
            <w:tcW w:w="5103" w:type="dxa"/>
          </w:tcPr>
          <w:p w14:paraId="20B1D574" w14:textId="77777777" w:rsidR="00090C9B" w:rsidRPr="00722885" w:rsidRDefault="00090C9B" w:rsidP="00722885">
            <w:pPr>
              <w:pStyle w:val="Iauiue"/>
              <w:jc w:val="both"/>
              <w:rPr>
                <w:color w:val="000000" w:themeColor="text1"/>
                <w:sz w:val="16"/>
                <w:szCs w:val="16"/>
              </w:rPr>
            </w:pPr>
          </w:p>
        </w:tc>
      </w:tr>
      <w:tr w:rsidR="009B487A" w:rsidRPr="00722885" w14:paraId="6891BBDF" w14:textId="77777777" w:rsidTr="00CC5360">
        <w:tc>
          <w:tcPr>
            <w:tcW w:w="5353" w:type="dxa"/>
          </w:tcPr>
          <w:p w14:paraId="4D05DD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полетном весе 3000 кг</w:t>
            </w:r>
          </w:p>
        </w:tc>
        <w:tc>
          <w:tcPr>
            <w:tcW w:w="5103" w:type="dxa"/>
          </w:tcPr>
          <w:p w14:paraId="7512AD5D" w14:textId="77777777" w:rsidR="00090C9B" w:rsidRPr="00722885" w:rsidRDefault="00090C9B" w:rsidP="00722885">
            <w:pPr>
              <w:pStyle w:val="Iauiue"/>
              <w:jc w:val="both"/>
              <w:rPr>
                <w:color w:val="000000" w:themeColor="text1"/>
                <w:sz w:val="16"/>
                <w:szCs w:val="16"/>
              </w:rPr>
            </w:pPr>
          </w:p>
        </w:tc>
      </w:tr>
      <w:tr w:rsidR="009B487A" w:rsidRPr="00722885" w14:paraId="0967FD10" w14:textId="77777777" w:rsidTr="00CC5360">
        <w:tc>
          <w:tcPr>
            <w:tcW w:w="5353" w:type="dxa"/>
          </w:tcPr>
          <w:p w14:paraId="39E15A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длину разбега без форсажа мотора</w:t>
            </w:r>
          </w:p>
        </w:tc>
        <w:tc>
          <w:tcPr>
            <w:tcW w:w="5103" w:type="dxa"/>
          </w:tcPr>
          <w:p w14:paraId="154EC1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280 м</w:t>
            </w:r>
          </w:p>
        </w:tc>
      </w:tr>
      <w:tr w:rsidR="009B487A" w:rsidRPr="00722885" w14:paraId="399EDE00" w14:textId="77777777" w:rsidTr="00CC5360">
        <w:tc>
          <w:tcPr>
            <w:tcW w:w="5353" w:type="dxa"/>
          </w:tcPr>
          <w:p w14:paraId="7563F6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форсажем</w:t>
            </w:r>
          </w:p>
        </w:tc>
        <w:tc>
          <w:tcPr>
            <w:tcW w:w="5103" w:type="dxa"/>
          </w:tcPr>
          <w:p w14:paraId="16FB16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250 м</w:t>
            </w:r>
          </w:p>
        </w:tc>
      </w:tr>
      <w:tr w:rsidR="009B487A" w:rsidRPr="00722885" w14:paraId="024E3939" w14:textId="77777777" w:rsidTr="00CC5360">
        <w:tc>
          <w:tcPr>
            <w:tcW w:w="5353" w:type="dxa"/>
          </w:tcPr>
          <w:p w14:paraId="1EB767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Бомбардировщик Пе-2</w:t>
            </w:r>
          </w:p>
        </w:tc>
        <w:tc>
          <w:tcPr>
            <w:tcW w:w="5103" w:type="dxa"/>
          </w:tcPr>
          <w:p w14:paraId="7D09F6CE" w14:textId="77777777" w:rsidR="00090C9B" w:rsidRPr="00722885" w:rsidRDefault="00090C9B" w:rsidP="00722885">
            <w:pPr>
              <w:pStyle w:val="Iauiue"/>
              <w:jc w:val="both"/>
              <w:rPr>
                <w:color w:val="000000" w:themeColor="text1"/>
                <w:sz w:val="16"/>
                <w:szCs w:val="16"/>
              </w:rPr>
            </w:pPr>
          </w:p>
        </w:tc>
      </w:tr>
      <w:tr w:rsidR="009B487A" w:rsidRPr="00722885" w14:paraId="206E5976" w14:textId="77777777" w:rsidTr="00CC5360">
        <w:tc>
          <w:tcPr>
            <w:tcW w:w="5353" w:type="dxa"/>
          </w:tcPr>
          <w:p w14:paraId="0DF5E0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Длина разбега самолета при давлении наддува 910 мм</w:t>
            </w:r>
          </w:p>
        </w:tc>
        <w:tc>
          <w:tcPr>
            <w:tcW w:w="5103" w:type="dxa"/>
          </w:tcPr>
          <w:p w14:paraId="2CC1C34E" w14:textId="77777777" w:rsidR="00090C9B" w:rsidRPr="00722885" w:rsidRDefault="00090C9B" w:rsidP="00722885">
            <w:pPr>
              <w:pStyle w:val="Iauiue"/>
              <w:jc w:val="both"/>
              <w:rPr>
                <w:color w:val="000000" w:themeColor="text1"/>
                <w:sz w:val="16"/>
                <w:szCs w:val="16"/>
              </w:rPr>
            </w:pPr>
          </w:p>
        </w:tc>
      </w:tr>
      <w:tr w:rsidR="009B487A" w:rsidRPr="00722885" w14:paraId="14A30499" w14:textId="77777777" w:rsidTr="00CC5360">
        <w:tc>
          <w:tcPr>
            <w:tcW w:w="5353" w:type="dxa"/>
          </w:tcPr>
          <w:p w14:paraId="446ABA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рт. ст. мотора М-105 составляет</w:t>
            </w:r>
          </w:p>
        </w:tc>
        <w:tc>
          <w:tcPr>
            <w:tcW w:w="5103" w:type="dxa"/>
          </w:tcPr>
          <w:p w14:paraId="4D7B77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594 м</w:t>
            </w:r>
          </w:p>
        </w:tc>
      </w:tr>
      <w:tr w:rsidR="009B487A" w:rsidRPr="00722885" w14:paraId="5896C5BB" w14:textId="77777777" w:rsidTr="00CC5360">
        <w:tc>
          <w:tcPr>
            <w:tcW w:w="5353" w:type="dxa"/>
          </w:tcPr>
          <w:p w14:paraId="4CF418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Переход от давления наддува 910 мм к давлению</w:t>
            </w:r>
          </w:p>
        </w:tc>
        <w:tc>
          <w:tcPr>
            <w:tcW w:w="5103" w:type="dxa"/>
          </w:tcPr>
          <w:p w14:paraId="4B5A0C4D" w14:textId="77777777" w:rsidR="00090C9B" w:rsidRPr="00722885" w:rsidRDefault="00090C9B" w:rsidP="00722885">
            <w:pPr>
              <w:pStyle w:val="Iauiue"/>
              <w:jc w:val="both"/>
              <w:rPr>
                <w:color w:val="000000" w:themeColor="text1"/>
                <w:sz w:val="16"/>
                <w:szCs w:val="16"/>
              </w:rPr>
            </w:pPr>
          </w:p>
        </w:tc>
      </w:tr>
      <w:tr w:rsidR="009B487A" w:rsidRPr="00722885" w14:paraId="33F63AAF" w14:textId="77777777" w:rsidTr="00CC5360">
        <w:tc>
          <w:tcPr>
            <w:tcW w:w="5353" w:type="dxa"/>
          </w:tcPr>
          <w:p w14:paraId="2B2C76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1050 мм рт. ст. сократил длину разбега самолета до</w:t>
            </w:r>
          </w:p>
        </w:tc>
        <w:tc>
          <w:tcPr>
            <w:tcW w:w="5103" w:type="dxa"/>
          </w:tcPr>
          <w:p w14:paraId="63B864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496 м</w:t>
            </w:r>
          </w:p>
        </w:tc>
      </w:tr>
      <w:tr w:rsidR="009B487A" w:rsidRPr="00722885" w14:paraId="30DC0FC3" w14:textId="77777777" w:rsidTr="00CC5360">
        <w:tc>
          <w:tcPr>
            <w:tcW w:w="5353" w:type="dxa"/>
          </w:tcPr>
          <w:p w14:paraId="08360D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Применение четырехлопастного винта АВ-9Л-139</w:t>
            </w:r>
          </w:p>
        </w:tc>
        <w:tc>
          <w:tcPr>
            <w:tcW w:w="5103" w:type="dxa"/>
          </w:tcPr>
          <w:p w14:paraId="1CB6EE2E" w14:textId="77777777" w:rsidR="00090C9B" w:rsidRPr="00722885" w:rsidRDefault="00090C9B" w:rsidP="00722885">
            <w:pPr>
              <w:pStyle w:val="Iauiue"/>
              <w:jc w:val="both"/>
              <w:rPr>
                <w:color w:val="000000" w:themeColor="text1"/>
                <w:sz w:val="16"/>
                <w:szCs w:val="16"/>
              </w:rPr>
            </w:pPr>
          </w:p>
        </w:tc>
      </w:tr>
      <w:tr w:rsidR="009B487A" w:rsidRPr="00722885" w14:paraId="6C6196CB" w14:textId="77777777" w:rsidTr="00CC5360">
        <w:tc>
          <w:tcPr>
            <w:tcW w:w="5353" w:type="dxa"/>
          </w:tcPr>
          <w:p w14:paraId="055576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диаметром 3,2 м сокращает длину разбега самолета</w:t>
            </w:r>
          </w:p>
        </w:tc>
        <w:tc>
          <w:tcPr>
            <w:tcW w:w="5103" w:type="dxa"/>
          </w:tcPr>
          <w:p w14:paraId="3AABD044" w14:textId="77777777" w:rsidR="00090C9B" w:rsidRPr="00722885" w:rsidRDefault="00090C9B" w:rsidP="00722885">
            <w:pPr>
              <w:pStyle w:val="Iauiue"/>
              <w:jc w:val="both"/>
              <w:rPr>
                <w:color w:val="000000" w:themeColor="text1"/>
                <w:sz w:val="16"/>
                <w:szCs w:val="16"/>
              </w:rPr>
            </w:pPr>
          </w:p>
        </w:tc>
      </w:tr>
      <w:tr w:rsidR="009B487A" w:rsidRPr="00722885" w14:paraId="747B2E40" w14:textId="77777777" w:rsidTr="00CC5360">
        <w:tc>
          <w:tcPr>
            <w:tcW w:w="5353" w:type="dxa"/>
          </w:tcPr>
          <w:p w14:paraId="76E2DE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при полетном весе 7650 кг до</w:t>
            </w:r>
          </w:p>
        </w:tc>
        <w:tc>
          <w:tcPr>
            <w:tcW w:w="5103" w:type="dxa"/>
          </w:tcPr>
          <w:p w14:paraId="7883D4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406 м</w:t>
            </w:r>
          </w:p>
        </w:tc>
      </w:tr>
      <w:tr w:rsidR="009B487A" w:rsidRPr="00722885" w14:paraId="04AB2211" w14:textId="77777777" w:rsidTr="00CC5360">
        <w:tc>
          <w:tcPr>
            <w:tcW w:w="5353" w:type="dxa"/>
          </w:tcPr>
          <w:p w14:paraId="34AA36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Испытывавшийся четырехлопастный винт давал</w:t>
            </w:r>
          </w:p>
        </w:tc>
        <w:tc>
          <w:tcPr>
            <w:tcW w:w="5103" w:type="dxa"/>
          </w:tcPr>
          <w:p w14:paraId="01005435" w14:textId="77777777" w:rsidR="00090C9B" w:rsidRPr="00722885" w:rsidRDefault="00090C9B" w:rsidP="00722885">
            <w:pPr>
              <w:pStyle w:val="Iauiue"/>
              <w:jc w:val="both"/>
              <w:rPr>
                <w:color w:val="000000" w:themeColor="text1"/>
                <w:sz w:val="16"/>
                <w:szCs w:val="16"/>
              </w:rPr>
            </w:pPr>
          </w:p>
        </w:tc>
      </w:tr>
      <w:tr w:rsidR="009B487A" w:rsidRPr="00722885" w14:paraId="57A94B59" w14:textId="77777777" w:rsidTr="00CC5360">
        <w:tc>
          <w:tcPr>
            <w:tcW w:w="5353" w:type="dxa"/>
          </w:tcPr>
          <w:p w14:paraId="34468B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недопустимо большие забросы оборотов и в </w:t>
            </w:r>
          </w:p>
        </w:tc>
        <w:tc>
          <w:tcPr>
            <w:tcW w:w="5103" w:type="dxa"/>
          </w:tcPr>
          <w:p w14:paraId="1153D1EE" w14:textId="77777777" w:rsidR="00090C9B" w:rsidRPr="00722885" w:rsidRDefault="00090C9B" w:rsidP="00722885">
            <w:pPr>
              <w:pStyle w:val="Iauiue"/>
              <w:jc w:val="both"/>
              <w:rPr>
                <w:color w:val="000000" w:themeColor="text1"/>
                <w:sz w:val="16"/>
                <w:szCs w:val="16"/>
              </w:rPr>
            </w:pPr>
          </w:p>
        </w:tc>
      </w:tr>
      <w:tr w:rsidR="009B487A" w:rsidRPr="00722885" w14:paraId="24F97B78" w14:textId="77777777" w:rsidTr="00CC5360">
        <w:tc>
          <w:tcPr>
            <w:tcW w:w="5353" w:type="dxa"/>
          </w:tcPr>
          <w:p w14:paraId="14BC7A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настоящее время находится в доводке</w:t>
            </w:r>
          </w:p>
        </w:tc>
        <w:tc>
          <w:tcPr>
            <w:tcW w:w="5103" w:type="dxa"/>
          </w:tcPr>
          <w:p w14:paraId="1DA6D9AD" w14:textId="77777777" w:rsidR="00090C9B" w:rsidRPr="00722885" w:rsidRDefault="00090C9B" w:rsidP="00722885">
            <w:pPr>
              <w:pStyle w:val="Iauiue"/>
              <w:jc w:val="both"/>
              <w:rPr>
                <w:color w:val="000000" w:themeColor="text1"/>
                <w:sz w:val="16"/>
                <w:szCs w:val="16"/>
              </w:rPr>
            </w:pPr>
          </w:p>
        </w:tc>
      </w:tr>
      <w:tr w:rsidR="009B487A" w:rsidRPr="00722885" w14:paraId="18900EDA" w14:textId="77777777" w:rsidTr="00CC5360">
        <w:tc>
          <w:tcPr>
            <w:tcW w:w="5353" w:type="dxa"/>
          </w:tcPr>
          <w:p w14:paraId="120278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Установка на самолете более мощных моторов М-82,</w:t>
            </w:r>
          </w:p>
        </w:tc>
        <w:tc>
          <w:tcPr>
            <w:tcW w:w="5103" w:type="dxa"/>
          </w:tcPr>
          <w:p w14:paraId="03CADD15" w14:textId="77777777" w:rsidR="00090C9B" w:rsidRPr="00722885" w:rsidRDefault="00090C9B" w:rsidP="00722885">
            <w:pPr>
              <w:pStyle w:val="Iauiue"/>
              <w:jc w:val="both"/>
              <w:rPr>
                <w:color w:val="000000" w:themeColor="text1"/>
                <w:sz w:val="16"/>
                <w:szCs w:val="16"/>
              </w:rPr>
            </w:pPr>
          </w:p>
        </w:tc>
      </w:tr>
      <w:tr w:rsidR="009B487A" w:rsidRPr="00722885" w14:paraId="7C477A03" w14:textId="77777777" w:rsidTr="00CC5360">
        <w:tc>
          <w:tcPr>
            <w:tcW w:w="5353" w:type="dxa"/>
          </w:tcPr>
          <w:p w14:paraId="699678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вместо моторов М-105, как показали заводские</w:t>
            </w:r>
          </w:p>
        </w:tc>
        <w:tc>
          <w:tcPr>
            <w:tcW w:w="5103" w:type="dxa"/>
          </w:tcPr>
          <w:p w14:paraId="4CA1F52C" w14:textId="77777777" w:rsidR="00090C9B" w:rsidRPr="00722885" w:rsidRDefault="00090C9B" w:rsidP="00722885">
            <w:pPr>
              <w:pStyle w:val="Iauiue"/>
              <w:jc w:val="both"/>
              <w:rPr>
                <w:color w:val="000000" w:themeColor="text1"/>
                <w:sz w:val="16"/>
                <w:szCs w:val="16"/>
              </w:rPr>
            </w:pPr>
          </w:p>
        </w:tc>
      </w:tr>
      <w:tr w:rsidR="009B487A" w:rsidRPr="00722885" w14:paraId="59D424ED" w14:textId="77777777" w:rsidTr="00CC5360">
        <w:tc>
          <w:tcPr>
            <w:tcW w:w="5353" w:type="dxa"/>
          </w:tcPr>
          <w:p w14:paraId="5D20CD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летные испытания, сокращает время разбега</w:t>
            </w:r>
          </w:p>
        </w:tc>
        <w:tc>
          <w:tcPr>
            <w:tcW w:w="5103" w:type="dxa"/>
          </w:tcPr>
          <w:p w14:paraId="4E883132" w14:textId="77777777" w:rsidR="00090C9B" w:rsidRPr="00722885" w:rsidRDefault="00090C9B" w:rsidP="00722885">
            <w:pPr>
              <w:pStyle w:val="Iauiue"/>
              <w:jc w:val="both"/>
              <w:rPr>
                <w:color w:val="000000" w:themeColor="text1"/>
                <w:sz w:val="16"/>
                <w:szCs w:val="16"/>
              </w:rPr>
            </w:pPr>
          </w:p>
        </w:tc>
      </w:tr>
      <w:tr w:rsidR="009B487A" w:rsidRPr="00722885" w14:paraId="5CC16C6A" w14:textId="77777777" w:rsidTr="00CC5360">
        <w:tc>
          <w:tcPr>
            <w:tcW w:w="5353" w:type="dxa"/>
          </w:tcPr>
          <w:p w14:paraId="3A9989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самолета с 18 сек. до 10 сек.</w:t>
            </w:r>
          </w:p>
        </w:tc>
        <w:tc>
          <w:tcPr>
            <w:tcW w:w="5103" w:type="dxa"/>
          </w:tcPr>
          <w:p w14:paraId="2F2FEDC5" w14:textId="77777777" w:rsidR="00090C9B" w:rsidRPr="00722885" w:rsidRDefault="00090C9B" w:rsidP="00722885">
            <w:pPr>
              <w:pStyle w:val="Iauiue"/>
              <w:jc w:val="both"/>
              <w:rPr>
                <w:color w:val="000000" w:themeColor="text1"/>
                <w:sz w:val="16"/>
                <w:szCs w:val="16"/>
              </w:rPr>
            </w:pPr>
          </w:p>
        </w:tc>
      </w:tr>
      <w:tr w:rsidR="009B487A" w:rsidRPr="00722885" w14:paraId="5A0BB530" w14:textId="77777777" w:rsidTr="00CC5360">
        <w:tc>
          <w:tcPr>
            <w:tcW w:w="5353" w:type="dxa"/>
          </w:tcPr>
          <w:p w14:paraId="036914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Бомбардировщик Ил-4</w:t>
            </w:r>
          </w:p>
        </w:tc>
        <w:tc>
          <w:tcPr>
            <w:tcW w:w="5103" w:type="dxa"/>
          </w:tcPr>
          <w:p w14:paraId="7136B005" w14:textId="77777777" w:rsidR="00090C9B" w:rsidRPr="00722885" w:rsidRDefault="00090C9B" w:rsidP="00722885">
            <w:pPr>
              <w:pStyle w:val="Iauiue"/>
              <w:jc w:val="both"/>
              <w:rPr>
                <w:color w:val="000000" w:themeColor="text1"/>
                <w:sz w:val="16"/>
                <w:szCs w:val="16"/>
              </w:rPr>
            </w:pPr>
          </w:p>
        </w:tc>
      </w:tr>
      <w:tr w:rsidR="009B487A" w:rsidRPr="00722885" w14:paraId="6D9C31B0" w14:textId="77777777" w:rsidTr="00CC5360">
        <w:tc>
          <w:tcPr>
            <w:tcW w:w="5353" w:type="dxa"/>
          </w:tcPr>
          <w:p w14:paraId="0E32D8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Длина разбега самолета при полетном весе 3700 кг</w:t>
            </w:r>
          </w:p>
        </w:tc>
        <w:tc>
          <w:tcPr>
            <w:tcW w:w="5103" w:type="dxa"/>
          </w:tcPr>
          <w:p w14:paraId="4FAAFC41" w14:textId="77777777" w:rsidR="00090C9B" w:rsidRPr="00722885" w:rsidRDefault="00090C9B" w:rsidP="00722885">
            <w:pPr>
              <w:pStyle w:val="Iauiue"/>
              <w:jc w:val="both"/>
              <w:rPr>
                <w:color w:val="000000" w:themeColor="text1"/>
                <w:sz w:val="16"/>
                <w:szCs w:val="16"/>
              </w:rPr>
            </w:pPr>
          </w:p>
        </w:tc>
      </w:tr>
      <w:tr w:rsidR="009B487A" w:rsidRPr="00722885" w14:paraId="112C1365" w14:textId="77777777" w:rsidTr="00CC5360">
        <w:tc>
          <w:tcPr>
            <w:tcW w:w="5353" w:type="dxa"/>
          </w:tcPr>
          <w:p w14:paraId="1C2B12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винтами ВИШ-23 при давлении наддува 950 мм</w:t>
            </w:r>
          </w:p>
        </w:tc>
        <w:tc>
          <w:tcPr>
            <w:tcW w:w="5103" w:type="dxa"/>
          </w:tcPr>
          <w:p w14:paraId="3B679E2E" w14:textId="77777777" w:rsidR="00090C9B" w:rsidRPr="00722885" w:rsidRDefault="00090C9B" w:rsidP="00722885">
            <w:pPr>
              <w:pStyle w:val="Iauiue"/>
              <w:jc w:val="both"/>
              <w:rPr>
                <w:color w:val="000000" w:themeColor="text1"/>
                <w:sz w:val="16"/>
                <w:szCs w:val="16"/>
              </w:rPr>
            </w:pPr>
          </w:p>
        </w:tc>
      </w:tr>
      <w:tr w:rsidR="009B487A" w:rsidRPr="00722885" w14:paraId="718B5BEB" w14:textId="77777777" w:rsidTr="00CC5360">
        <w:tc>
          <w:tcPr>
            <w:tcW w:w="5353" w:type="dxa"/>
          </w:tcPr>
          <w:p w14:paraId="62F0C4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рт. ст. для моторов М-88 составляет</w:t>
            </w:r>
          </w:p>
        </w:tc>
        <w:tc>
          <w:tcPr>
            <w:tcW w:w="5103" w:type="dxa"/>
          </w:tcPr>
          <w:p w14:paraId="49AF9F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630 м</w:t>
            </w:r>
          </w:p>
        </w:tc>
      </w:tr>
      <w:tr w:rsidR="009B487A" w:rsidRPr="00722885" w14:paraId="768C0662" w14:textId="77777777" w:rsidTr="00CC5360">
        <w:tc>
          <w:tcPr>
            <w:tcW w:w="5353" w:type="dxa"/>
          </w:tcPr>
          <w:p w14:paraId="0A5239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Переход от давления наддува 950 мм рт. ст. к</w:t>
            </w:r>
          </w:p>
        </w:tc>
        <w:tc>
          <w:tcPr>
            <w:tcW w:w="5103" w:type="dxa"/>
          </w:tcPr>
          <w:p w14:paraId="0F6D7E1E" w14:textId="77777777" w:rsidR="00090C9B" w:rsidRPr="00722885" w:rsidRDefault="00090C9B" w:rsidP="00722885">
            <w:pPr>
              <w:pStyle w:val="Iauiue"/>
              <w:jc w:val="both"/>
              <w:rPr>
                <w:color w:val="000000" w:themeColor="text1"/>
                <w:sz w:val="16"/>
                <w:szCs w:val="16"/>
              </w:rPr>
            </w:pPr>
          </w:p>
        </w:tc>
      </w:tr>
      <w:tr w:rsidR="009B487A" w:rsidRPr="00722885" w14:paraId="20D58B57" w14:textId="77777777" w:rsidTr="00CC5360">
        <w:tc>
          <w:tcPr>
            <w:tcW w:w="5353" w:type="dxa"/>
          </w:tcPr>
          <w:p w14:paraId="74DDD4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давлению 1100 мм рт. ст. сократил длину разбега</w:t>
            </w:r>
          </w:p>
        </w:tc>
        <w:tc>
          <w:tcPr>
            <w:tcW w:w="5103" w:type="dxa"/>
          </w:tcPr>
          <w:p w14:paraId="7D28C9E0" w14:textId="77777777" w:rsidR="00090C9B" w:rsidRPr="00722885" w:rsidRDefault="00090C9B" w:rsidP="00722885">
            <w:pPr>
              <w:pStyle w:val="Iauiue"/>
              <w:jc w:val="both"/>
              <w:rPr>
                <w:color w:val="000000" w:themeColor="text1"/>
                <w:sz w:val="16"/>
                <w:szCs w:val="16"/>
              </w:rPr>
            </w:pPr>
          </w:p>
        </w:tc>
      </w:tr>
      <w:tr w:rsidR="009B487A" w:rsidRPr="00722885" w14:paraId="638837F7" w14:textId="77777777" w:rsidTr="00CC5360">
        <w:tc>
          <w:tcPr>
            <w:tcW w:w="5353" w:type="dxa"/>
          </w:tcPr>
          <w:p w14:paraId="3B4F50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самолета до</w:t>
            </w:r>
          </w:p>
        </w:tc>
        <w:tc>
          <w:tcPr>
            <w:tcW w:w="5103" w:type="dxa"/>
          </w:tcPr>
          <w:p w14:paraId="6CDFDF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565 м</w:t>
            </w:r>
          </w:p>
        </w:tc>
      </w:tr>
      <w:tr w:rsidR="009B487A" w:rsidRPr="00722885" w14:paraId="2E6F127A" w14:textId="77777777" w:rsidTr="00CC5360">
        <w:tc>
          <w:tcPr>
            <w:tcW w:w="5353" w:type="dxa"/>
          </w:tcPr>
          <w:p w14:paraId="7BD7E8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Установка винтов ВИШ-23Д-82, имеющих деревянные</w:t>
            </w:r>
          </w:p>
        </w:tc>
        <w:tc>
          <w:tcPr>
            <w:tcW w:w="5103" w:type="dxa"/>
          </w:tcPr>
          <w:p w14:paraId="24FD8F4C" w14:textId="77777777" w:rsidR="00090C9B" w:rsidRPr="00722885" w:rsidRDefault="00090C9B" w:rsidP="00722885">
            <w:pPr>
              <w:pStyle w:val="Iauiue"/>
              <w:jc w:val="both"/>
              <w:rPr>
                <w:color w:val="000000" w:themeColor="text1"/>
                <w:sz w:val="16"/>
                <w:szCs w:val="16"/>
              </w:rPr>
            </w:pPr>
          </w:p>
        </w:tc>
      </w:tr>
      <w:tr w:rsidR="009B487A" w:rsidRPr="00722885" w14:paraId="47BEB4D1" w14:textId="77777777" w:rsidTr="00CC5360">
        <w:tc>
          <w:tcPr>
            <w:tcW w:w="5353" w:type="dxa"/>
          </w:tcPr>
          <w:p w14:paraId="7624B1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лопасти, дает сокращение длины разбега самолета</w:t>
            </w:r>
          </w:p>
        </w:tc>
        <w:tc>
          <w:tcPr>
            <w:tcW w:w="5103" w:type="dxa"/>
          </w:tcPr>
          <w:p w14:paraId="78AE09E6" w14:textId="77777777" w:rsidR="00090C9B" w:rsidRPr="00722885" w:rsidRDefault="00090C9B" w:rsidP="00722885">
            <w:pPr>
              <w:pStyle w:val="Iauiue"/>
              <w:jc w:val="both"/>
              <w:rPr>
                <w:color w:val="000000" w:themeColor="text1"/>
                <w:sz w:val="16"/>
                <w:szCs w:val="16"/>
              </w:rPr>
            </w:pPr>
          </w:p>
        </w:tc>
      </w:tr>
      <w:tr w:rsidR="009B487A" w:rsidRPr="00722885" w14:paraId="7CF1AFC9" w14:textId="77777777" w:rsidTr="00CC5360">
        <w:tc>
          <w:tcPr>
            <w:tcW w:w="5353" w:type="dxa"/>
          </w:tcPr>
          <w:p w14:paraId="7A2B7D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нормальном давлении наддува 950 мм рт. ст. до</w:t>
            </w:r>
          </w:p>
        </w:tc>
        <w:tc>
          <w:tcPr>
            <w:tcW w:w="5103" w:type="dxa"/>
          </w:tcPr>
          <w:p w14:paraId="718B02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540 м</w:t>
            </w:r>
          </w:p>
        </w:tc>
      </w:tr>
      <w:tr w:rsidR="009B487A" w:rsidRPr="00722885" w14:paraId="0FB3137D" w14:textId="77777777" w:rsidTr="00CC5360">
        <w:tc>
          <w:tcPr>
            <w:tcW w:w="5353" w:type="dxa"/>
          </w:tcPr>
          <w:p w14:paraId="5EF19A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форсаже мотора до давления наддува 1100 мм</w:t>
            </w:r>
          </w:p>
        </w:tc>
        <w:tc>
          <w:tcPr>
            <w:tcW w:w="5103" w:type="dxa"/>
          </w:tcPr>
          <w:p w14:paraId="75B72FD6" w14:textId="77777777" w:rsidR="00090C9B" w:rsidRPr="00722885" w:rsidRDefault="00090C9B" w:rsidP="00722885">
            <w:pPr>
              <w:pStyle w:val="Iauiue"/>
              <w:jc w:val="both"/>
              <w:rPr>
                <w:color w:val="000000" w:themeColor="text1"/>
                <w:sz w:val="16"/>
                <w:szCs w:val="16"/>
              </w:rPr>
            </w:pPr>
          </w:p>
        </w:tc>
      </w:tr>
      <w:tr w:rsidR="009B487A" w:rsidRPr="00722885" w14:paraId="4117D8DD" w14:textId="77777777" w:rsidTr="00CC5360">
        <w:tc>
          <w:tcPr>
            <w:tcW w:w="5353" w:type="dxa"/>
          </w:tcPr>
          <w:p w14:paraId="63FF67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рт. ст. до</w:t>
            </w:r>
          </w:p>
        </w:tc>
        <w:tc>
          <w:tcPr>
            <w:tcW w:w="5103" w:type="dxa"/>
          </w:tcPr>
          <w:p w14:paraId="584098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485 м</w:t>
            </w:r>
          </w:p>
        </w:tc>
      </w:tr>
      <w:tr w:rsidR="009B487A" w:rsidRPr="00722885" w14:paraId="56F9E5B4" w14:textId="77777777" w:rsidTr="00CC5360">
        <w:tc>
          <w:tcPr>
            <w:tcW w:w="5353" w:type="dxa"/>
          </w:tcPr>
          <w:p w14:paraId="4AE771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Установка на самолете более мощных моторов М-82,</w:t>
            </w:r>
          </w:p>
        </w:tc>
        <w:tc>
          <w:tcPr>
            <w:tcW w:w="5103" w:type="dxa"/>
          </w:tcPr>
          <w:p w14:paraId="2C01AA95" w14:textId="77777777" w:rsidR="00090C9B" w:rsidRPr="00722885" w:rsidRDefault="00090C9B" w:rsidP="00722885">
            <w:pPr>
              <w:pStyle w:val="Iauiue"/>
              <w:jc w:val="both"/>
              <w:rPr>
                <w:color w:val="000000" w:themeColor="text1"/>
                <w:sz w:val="16"/>
                <w:szCs w:val="16"/>
              </w:rPr>
            </w:pPr>
          </w:p>
        </w:tc>
      </w:tr>
      <w:tr w:rsidR="009B487A" w:rsidRPr="00722885" w14:paraId="7219BFAA" w14:textId="77777777" w:rsidTr="00CC5360">
        <w:tc>
          <w:tcPr>
            <w:tcW w:w="5353" w:type="dxa"/>
          </w:tcPr>
          <w:p w14:paraId="4BEE007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вместо моторов М-88, по данным совместных</w:t>
            </w:r>
          </w:p>
        </w:tc>
        <w:tc>
          <w:tcPr>
            <w:tcW w:w="5103" w:type="dxa"/>
          </w:tcPr>
          <w:p w14:paraId="04956393" w14:textId="77777777" w:rsidR="00090C9B" w:rsidRPr="00722885" w:rsidRDefault="00090C9B" w:rsidP="00722885">
            <w:pPr>
              <w:pStyle w:val="Iauiue"/>
              <w:jc w:val="both"/>
              <w:rPr>
                <w:color w:val="000000" w:themeColor="text1"/>
                <w:sz w:val="16"/>
                <w:szCs w:val="16"/>
              </w:rPr>
            </w:pPr>
          </w:p>
        </w:tc>
      </w:tr>
      <w:tr w:rsidR="009B487A" w:rsidRPr="00722885" w14:paraId="2AF7E20C" w14:textId="77777777" w:rsidTr="00CC5360">
        <w:tc>
          <w:tcPr>
            <w:tcW w:w="5353" w:type="dxa"/>
          </w:tcPr>
          <w:p w14:paraId="60DABE9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испытаний самолета, выпущенного заводом N 126,</w:t>
            </w:r>
          </w:p>
        </w:tc>
        <w:tc>
          <w:tcPr>
            <w:tcW w:w="5103" w:type="dxa"/>
          </w:tcPr>
          <w:p w14:paraId="42CF6F91" w14:textId="77777777" w:rsidR="00090C9B" w:rsidRPr="00722885" w:rsidRDefault="00090C9B" w:rsidP="00722885">
            <w:pPr>
              <w:pStyle w:val="Iauiue"/>
              <w:jc w:val="both"/>
              <w:rPr>
                <w:color w:val="000000" w:themeColor="text1"/>
                <w:sz w:val="16"/>
                <w:szCs w:val="16"/>
              </w:rPr>
            </w:pPr>
          </w:p>
        </w:tc>
      </w:tr>
      <w:tr w:rsidR="009B487A" w:rsidRPr="00722885" w14:paraId="6AED0260" w14:textId="77777777" w:rsidTr="00CC5360">
        <w:tc>
          <w:tcPr>
            <w:tcW w:w="5353" w:type="dxa"/>
          </w:tcPr>
          <w:p w14:paraId="02A7AE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сокращает длину разбега</w:t>
            </w:r>
          </w:p>
        </w:tc>
        <w:tc>
          <w:tcPr>
            <w:tcW w:w="5103" w:type="dxa"/>
          </w:tcPr>
          <w:p w14:paraId="75CD957E" w14:textId="77777777" w:rsidR="00090C9B" w:rsidRPr="00722885" w:rsidRDefault="00090C9B" w:rsidP="00722885">
            <w:pPr>
              <w:pStyle w:val="Iauiue"/>
              <w:jc w:val="both"/>
              <w:rPr>
                <w:color w:val="000000" w:themeColor="text1"/>
                <w:sz w:val="16"/>
                <w:szCs w:val="16"/>
              </w:rPr>
            </w:pPr>
          </w:p>
        </w:tc>
      </w:tr>
      <w:tr w:rsidR="009B487A" w:rsidRPr="00722885" w14:paraId="6740F52A" w14:textId="77777777" w:rsidTr="00CC5360">
        <w:tc>
          <w:tcPr>
            <w:tcW w:w="5353" w:type="dxa"/>
          </w:tcPr>
          <w:p w14:paraId="21811A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давлении наддува мотора 950 мм рт. ст.</w:t>
            </w:r>
          </w:p>
        </w:tc>
        <w:tc>
          <w:tcPr>
            <w:tcW w:w="5103" w:type="dxa"/>
          </w:tcPr>
          <w:p w14:paraId="70E39E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350 м</w:t>
            </w:r>
          </w:p>
        </w:tc>
      </w:tr>
      <w:tr w:rsidR="009B487A" w:rsidRPr="00722885" w14:paraId="73E28511" w14:textId="77777777" w:rsidTr="00CC5360">
        <w:tc>
          <w:tcPr>
            <w:tcW w:w="5353" w:type="dxa"/>
          </w:tcPr>
          <w:p w14:paraId="420A2F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давлении наддува мотора 1140 мм рт. ст.</w:t>
            </w:r>
          </w:p>
        </w:tc>
        <w:tc>
          <w:tcPr>
            <w:tcW w:w="5103" w:type="dxa"/>
          </w:tcPr>
          <w:p w14:paraId="1BDFCD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310 м</w:t>
            </w:r>
          </w:p>
        </w:tc>
      </w:tr>
      <w:tr w:rsidR="009B487A" w:rsidRPr="00722885" w14:paraId="077415CE" w14:textId="77777777" w:rsidTr="00CC5360">
        <w:tc>
          <w:tcPr>
            <w:tcW w:w="5353" w:type="dxa"/>
          </w:tcPr>
          <w:p w14:paraId="5417DC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Штурмовик Ил-2</w:t>
            </w:r>
          </w:p>
        </w:tc>
        <w:tc>
          <w:tcPr>
            <w:tcW w:w="5103" w:type="dxa"/>
          </w:tcPr>
          <w:p w14:paraId="328084D1" w14:textId="77777777" w:rsidR="00090C9B" w:rsidRPr="00722885" w:rsidRDefault="00090C9B" w:rsidP="00722885">
            <w:pPr>
              <w:pStyle w:val="Iauiue"/>
              <w:jc w:val="both"/>
              <w:rPr>
                <w:color w:val="000000" w:themeColor="text1"/>
                <w:sz w:val="16"/>
                <w:szCs w:val="16"/>
              </w:rPr>
            </w:pPr>
          </w:p>
        </w:tc>
      </w:tr>
      <w:tr w:rsidR="009B487A" w:rsidRPr="00722885" w14:paraId="5C294F75" w14:textId="77777777" w:rsidTr="00CC5360">
        <w:tc>
          <w:tcPr>
            <w:tcW w:w="5353" w:type="dxa"/>
          </w:tcPr>
          <w:p w14:paraId="0B7525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Длина разбега одноместного самолета Ил-2 с</w:t>
            </w:r>
          </w:p>
        </w:tc>
        <w:tc>
          <w:tcPr>
            <w:tcW w:w="5103" w:type="dxa"/>
          </w:tcPr>
          <w:p w14:paraId="281C2E4F" w14:textId="77777777" w:rsidR="00090C9B" w:rsidRPr="00722885" w:rsidRDefault="00090C9B" w:rsidP="00722885">
            <w:pPr>
              <w:pStyle w:val="Iauiue"/>
              <w:jc w:val="both"/>
              <w:rPr>
                <w:color w:val="000000" w:themeColor="text1"/>
                <w:sz w:val="16"/>
                <w:szCs w:val="16"/>
              </w:rPr>
            </w:pPr>
          </w:p>
        </w:tc>
      </w:tr>
      <w:tr w:rsidR="009B487A" w:rsidRPr="00722885" w14:paraId="7F058DD7" w14:textId="77777777" w:rsidTr="00CC5360">
        <w:tc>
          <w:tcPr>
            <w:tcW w:w="5353" w:type="dxa"/>
          </w:tcPr>
          <w:p w14:paraId="37DA35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мотором АМ-38 и с винтом АВ-5Л-124, при полетном</w:t>
            </w:r>
          </w:p>
        </w:tc>
        <w:tc>
          <w:tcPr>
            <w:tcW w:w="5103" w:type="dxa"/>
          </w:tcPr>
          <w:p w14:paraId="49488AE7" w14:textId="77777777" w:rsidR="00090C9B" w:rsidRPr="00722885" w:rsidRDefault="00090C9B" w:rsidP="00722885">
            <w:pPr>
              <w:pStyle w:val="Iauiue"/>
              <w:jc w:val="both"/>
              <w:rPr>
                <w:color w:val="000000" w:themeColor="text1"/>
                <w:sz w:val="16"/>
                <w:szCs w:val="16"/>
              </w:rPr>
            </w:pPr>
          </w:p>
        </w:tc>
      </w:tr>
      <w:tr w:rsidR="009B487A" w:rsidRPr="00722885" w14:paraId="77EBDC04" w14:textId="77777777" w:rsidTr="00CC5360">
        <w:tc>
          <w:tcPr>
            <w:tcW w:w="5353" w:type="dxa"/>
          </w:tcPr>
          <w:p w14:paraId="131F6D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весе 5873 кг составляет</w:t>
            </w:r>
          </w:p>
        </w:tc>
        <w:tc>
          <w:tcPr>
            <w:tcW w:w="5103" w:type="dxa"/>
          </w:tcPr>
          <w:p w14:paraId="37C0BB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550 м</w:t>
            </w:r>
          </w:p>
        </w:tc>
      </w:tr>
      <w:tr w:rsidR="009B487A" w:rsidRPr="00722885" w14:paraId="2ED70AE0" w14:textId="77777777" w:rsidTr="00CC5360">
        <w:tc>
          <w:tcPr>
            <w:tcW w:w="5353" w:type="dxa"/>
          </w:tcPr>
          <w:p w14:paraId="2E648A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Установка трехлопастного винта АВ-5Л-158</w:t>
            </w:r>
          </w:p>
        </w:tc>
        <w:tc>
          <w:tcPr>
            <w:tcW w:w="5103" w:type="dxa"/>
          </w:tcPr>
          <w:p w14:paraId="621A87C2" w14:textId="77777777" w:rsidR="00090C9B" w:rsidRPr="00722885" w:rsidRDefault="00090C9B" w:rsidP="00722885">
            <w:pPr>
              <w:pStyle w:val="Iauiue"/>
              <w:jc w:val="both"/>
              <w:rPr>
                <w:color w:val="000000" w:themeColor="text1"/>
                <w:sz w:val="16"/>
                <w:szCs w:val="16"/>
              </w:rPr>
            </w:pPr>
          </w:p>
        </w:tc>
      </w:tr>
      <w:tr w:rsidR="009B487A" w:rsidRPr="00722885" w14:paraId="32281D1B" w14:textId="77777777" w:rsidTr="00CC5360">
        <w:tc>
          <w:tcPr>
            <w:tcW w:w="5353" w:type="dxa"/>
          </w:tcPr>
          <w:p w14:paraId="0AC8EE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диаметром 3,6 м сокращает длину разбега самолета</w:t>
            </w:r>
          </w:p>
        </w:tc>
        <w:tc>
          <w:tcPr>
            <w:tcW w:w="5103" w:type="dxa"/>
          </w:tcPr>
          <w:p w14:paraId="596C7DEF" w14:textId="77777777" w:rsidR="00090C9B" w:rsidRPr="00722885" w:rsidRDefault="00090C9B" w:rsidP="00722885">
            <w:pPr>
              <w:pStyle w:val="Iauiue"/>
              <w:jc w:val="both"/>
              <w:rPr>
                <w:color w:val="000000" w:themeColor="text1"/>
                <w:sz w:val="16"/>
                <w:szCs w:val="16"/>
              </w:rPr>
            </w:pPr>
          </w:p>
        </w:tc>
      </w:tr>
      <w:tr w:rsidR="009B487A" w:rsidRPr="00722885" w14:paraId="6CFFE777" w14:textId="77777777" w:rsidTr="00CC5360">
        <w:tc>
          <w:tcPr>
            <w:tcW w:w="5353" w:type="dxa"/>
          </w:tcPr>
          <w:p w14:paraId="47F162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w:t>
            </w:r>
          </w:p>
        </w:tc>
        <w:tc>
          <w:tcPr>
            <w:tcW w:w="5103" w:type="dxa"/>
          </w:tcPr>
          <w:p w14:paraId="124E9D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470 м</w:t>
            </w:r>
          </w:p>
        </w:tc>
      </w:tr>
      <w:tr w:rsidR="009B487A" w:rsidRPr="00722885" w14:paraId="6542872D" w14:textId="77777777" w:rsidTr="00CC5360">
        <w:tc>
          <w:tcPr>
            <w:tcW w:w="5353" w:type="dxa"/>
          </w:tcPr>
          <w:p w14:paraId="305FC2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Форсаж мотора Ам-38 с 2150 об/мин. до 2350 об/мин.</w:t>
            </w:r>
          </w:p>
        </w:tc>
        <w:tc>
          <w:tcPr>
            <w:tcW w:w="5103" w:type="dxa"/>
          </w:tcPr>
          <w:p w14:paraId="64C7EFAC" w14:textId="77777777" w:rsidR="00090C9B" w:rsidRPr="00722885" w:rsidRDefault="00090C9B" w:rsidP="00722885">
            <w:pPr>
              <w:pStyle w:val="Iauiue"/>
              <w:jc w:val="both"/>
              <w:rPr>
                <w:color w:val="000000" w:themeColor="text1"/>
                <w:sz w:val="16"/>
                <w:szCs w:val="16"/>
              </w:rPr>
            </w:pPr>
          </w:p>
        </w:tc>
      </w:tr>
      <w:tr w:rsidR="009B487A" w:rsidRPr="00722885" w14:paraId="15FA59F5" w14:textId="77777777" w:rsidTr="00CC5360">
        <w:tc>
          <w:tcPr>
            <w:tcW w:w="5353" w:type="dxa"/>
          </w:tcPr>
          <w:p w14:paraId="4448C68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установке винта АВ-5Л-158 сокращает разбег</w:t>
            </w:r>
          </w:p>
        </w:tc>
        <w:tc>
          <w:tcPr>
            <w:tcW w:w="5103" w:type="dxa"/>
          </w:tcPr>
          <w:p w14:paraId="36F5FD12" w14:textId="77777777" w:rsidR="00090C9B" w:rsidRPr="00722885" w:rsidRDefault="00090C9B" w:rsidP="00722885">
            <w:pPr>
              <w:pStyle w:val="Iauiue"/>
              <w:jc w:val="both"/>
              <w:rPr>
                <w:color w:val="000000" w:themeColor="text1"/>
                <w:sz w:val="16"/>
                <w:szCs w:val="16"/>
              </w:rPr>
            </w:pPr>
          </w:p>
        </w:tc>
      </w:tr>
      <w:tr w:rsidR="009B487A" w:rsidRPr="00722885" w14:paraId="039DA449" w14:textId="77777777" w:rsidTr="00CC5360">
        <w:tc>
          <w:tcPr>
            <w:tcW w:w="5353" w:type="dxa"/>
            <w:tcBorders>
              <w:bottom w:val="single" w:sz="12" w:space="0" w:color="auto"/>
            </w:tcBorders>
          </w:tcPr>
          <w:p w14:paraId="4059CB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самолета до</w:t>
            </w:r>
          </w:p>
        </w:tc>
        <w:tc>
          <w:tcPr>
            <w:tcW w:w="5103" w:type="dxa"/>
            <w:tcBorders>
              <w:bottom w:val="single" w:sz="12" w:space="0" w:color="auto"/>
            </w:tcBorders>
          </w:tcPr>
          <w:p w14:paraId="4FD6EF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375 м</w:t>
            </w:r>
          </w:p>
        </w:tc>
      </w:tr>
    </w:tbl>
    <w:p w14:paraId="51B440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Введение фиксаторов взлетного положения щитков,</w:t>
      </w:r>
    </w:p>
    <w:p w14:paraId="0B2834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данным испытаний НИИ ВВС, уменьшает длину</w:t>
      </w:r>
    </w:p>
    <w:p w14:paraId="206196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разбега самолета на 55 м (2504,60).</w:t>
      </w:r>
    </w:p>
    <w:p w14:paraId="5ACB8381" w14:textId="77777777" w:rsidR="00090C9B" w:rsidRPr="00722885" w:rsidRDefault="00090C9B" w:rsidP="00722885">
      <w:pPr>
        <w:pStyle w:val="Iauiue"/>
        <w:jc w:val="both"/>
        <w:rPr>
          <w:color w:val="000000" w:themeColor="text1"/>
          <w:sz w:val="16"/>
          <w:szCs w:val="16"/>
        </w:rPr>
      </w:pPr>
    </w:p>
    <w:p w14:paraId="4C80E4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года Гроховский был аресто-ван по ложному обвинению. Арестовали и его жену Лидию Алексеевну. Четыре года спустя Павел Игна-тьевич умер в заключении от тубер-кулеза легких (по официальным све-дениям). Было ему в то время всего 47 лет. В 1957 году вдова изобре-тателя получила справку из Трибу-нала Московского военного окру-га о том, что «дело Гроховского Павла Игнатьевича» пересмотрено и прекращено «за отсутствием со-става преступления» (12254).</w:t>
      </w:r>
    </w:p>
    <w:p w14:paraId="07C7E70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AF7426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ABA2B41" w14:textId="77777777" w:rsidR="00090C9B" w:rsidRPr="00722885" w:rsidRDefault="00090C9B" w:rsidP="00722885">
      <w:pPr>
        <w:pStyle w:val="Iauiue"/>
        <w:jc w:val="both"/>
        <w:rPr>
          <w:iCs/>
          <w:color w:val="000000" w:themeColor="text1"/>
          <w:sz w:val="16"/>
          <w:szCs w:val="16"/>
        </w:rPr>
      </w:pPr>
    </w:p>
    <w:p w14:paraId="731A0F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2472 О плане производства боеприпасов на ноябрь и декабрь месяцы 1942 года. РГАНИР, Фонд ГКО, д. 67, лл. 1-11, 12-160 (11012).</w:t>
      </w:r>
    </w:p>
    <w:p w14:paraId="49E2544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AC856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2473 О плане производства и поставок артиллерийского и стрелкового вооружения и военных приборов на ноябрь месяц 1942 г. РГАНИР, Фонд ГКО, д. 67, лл. 161-169, 170-174 (11012).</w:t>
      </w:r>
    </w:p>
    <w:p w14:paraId="429DE3A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E3303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2474 О плане производства минометов на ноябрь месяц 1942 года. РГАНИР, Фонд ГКО, д. 67, лл. 175-180, 181-201 (11012).</w:t>
      </w:r>
    </w:p>
    <w:p w14:paraId="4623387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03ACA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2475 О плане производства и поставок пулеметов-пистолетов Шпагина в ноябре мес. 1942 г. РГАНИР, Фонд ГКО, д. 67, лл. 202-206, 207-215 (11012).</w:t>
      </w:r>
    </w:p>
    <w:p w14:paraId="7A6B3E7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F477F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2476 О плане производства патронов и звеньев в ноябре и декабре 1942 года. РГАНИР, Фонд ГКО, д. 67, лл. 216-217, 218-220 (11012).</w:t>
      </w:r>
    </w:p>
    <w:p w14:paraId="74EB3F0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FDDE733" w14:textId="77777777" w:rsidR="00C63247"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5 ноября 1942 вышло Постановление ГКО № 2477 Об организации Центрального артиллерийского конструкторского бюро при Народном комиссариате вооружения СССР. (7062, 1-4).</w:t>
      </w:r>
    </w:p>
    <w:p w14:paraId="7EFB92E0" w14:textId="77777777" w:rsidR="00C63247" w:rsidRPr="00722885" w:rsidRDefault="00C63247" w:rsidP="00722885">
      <w:pPr>
        <w:pStyle w:val="Iauiue"/>
        <w:tabs>
          <w:tab w:val="left" w:pos="11199"/>
        </w:tabs>
        <w:jc w:val="both"/>
        <w:rPr>
          <w:color w:val="000000" w:themeColor="text1"/>
          <w:sz w:val="16"/>
          <w:szCs w:val="16"/>
        </w:rPr>
      </w:pPr>
    </w:p>
    <w:p w14:paraId="143E854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 xml:space="preserve">5 ноября 1942 г. в соответствии с пост. ГКО № 2477 было создано ЦАКБ НКВ (НИИ-58 </w:t>
      </w:r>
      <w:r w:rsidRPr="00722885">
        <w:rPr>
          <w:color w:val="000000" w:themeColor="text1"/>
          <w:sz w:val="16"/>
          <w:szCs w:val="16"/>
          <w:lang w:val="en-US"/>
        </w:rPr>
        <w:t>MB</w:t>
      </w:r>
      <w:r w:rsidRPr="00722885">
        <w:rPr>
          <w:color w:val="000000" w:themeColor="text1"/>
          <w:sz w:val="16"/>
          <w:szCs w:val="16"/>
        </w:rPr>
        <w:t>, Центральное артиллерийское КБ (ЦАКБ) НКВ, ОКБ-58 МОП, ЦНИИ-58 МОП, НИИ «Геодезия» ММ, ФКП «НИИ «Геодезия» /ст. Подлипки Северной ж/д,  г. Калининград Московской обл./). Сюда переведен из Горького основной конструкторский коллектив ОКБ завода № 92 во главе с В. Г. Грабиным. Располагалось по соседству с ОКБ-1 НИИ-88.</w:t>
      </w:r>
    </w:p>
    <w:p w14:paraId="3D8AB5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1943 г. на базе немецкой 105-мм пушки </w:t>
      </w:r>
      <w:r w:rsidRPr="00722885">
        <w:rPr>
          <w:rFonts w:ascii="Times New Roman" w:hAnsi="Times New Roman"/>
          <w:color w:val="000000" w:themeColor="text1"/>
          <w:sz w:val="16"/>
          <w:szCs w:val="16"/>
          <w:lang w:val="en-US"/>
        </w:rPr>
        <w:t>SKC</w:t>
      </w:r>
      <w:r w:rsidRPr="00722885">
        <w:rPr>
          <w:rFonts w:ascii="Times New Roman" w:hAnsi="Times New Roman"/>
          <w:color w:val="000000" w:themeColor="text1"/>
          <w:sz w:val="16"/>
          <w:szCs w:val="16"/>
        </w:rPr>
        <w:t xml:space="preserve">/33 разработан проект первой в стране стабилизированной корабельной спаренной 100-мм установки С-44, в 1945 г. работы по ней переданы в МАДКБ. В соответствии с пост. ГКО № 3187сс от 15.04.1943 г. начата разработка мощной танковой пушки для тяжелых танков. Пост. ГКО № 3289сс от 5.05.1943 г. и приказом НКВ/НКТП № 233/260 от 8.05.1943 г. ЦАКБ и заводу № 9 поручено изготовить опытные 85-мм пушки для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и ИС и к 1.07.1943 г. представить их на испытания. В соответствии с пост. ГКО № 4851сс от 27.12.1943 г. создана пушка С-34.</w:t>
      </w:r>
    </w:p>
    <w:p w14:paraId="0D5094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12.09.1943 г. вышло распоряжение ГКО № 4094 об улучшении условий работы ЦАКБ. 26.02.1944 г. - постановление ГКО № 5253 об обеспечении ЦАКБ ИТР и рабочей силой.</w:t>
      </w:r>
    </w:p>
    <w:p w14:paraId="675EF2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Весной 1944 г. группа конструкторов во главе с И.И. Ивановым была направлена на завод № 232 для освоения серийного выпуска пушки БС-3. На ее базе пост, правительства от 27.05.1944 г. организован Ленинградский филиал ЦАКБ, пост. ГКО № 7739 от 8.03.1945 г. преобразованный в самостоятельное МАЦКБ.</w:t>
      </w:r>
    </w:p>
    <w:p w14:paraId="409B7A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3187 от 15.04.1943 г. начата разработка 100-мм корпусной пушки с качествами противотанковой. 4.06.1943 г. были готовы чертежи пушки С-3, в 04.1944 г. на заводе № 172 изготовен оытный образец. В соответствии с пост. ГКО № 5822 от 7.05.1944 г. пушка БС-3 пнв и запущена в серию.</w:t>
      </w:r>
    </w:p>
    <w:p w14:paraId="27C1A2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18.08.1943 г. вышло постановление ГКО № 3950 об изготовлении 45-мм пушки разработки ЦАКБ для самолетов-истребителей.</w:t>
      </w:r>
    </w:p>
    <w:p w14:paraId="4A7B0E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4873сс от 1.01.1944 г. пушка С-53 пнв для танка Т-34.</w:t>
      </w:r>
    </w:p>
    <w:p w14:paraId="6DEB11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систем автоматического управления и защиты ядерных реакторов (1950-е  г.).</w:t>
      </w:r>
    </w:p>
    <w:p w14:paraId="6E0FA9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ГКОТ от 3.07.1959 г. ЦНИИ-58 с опытным заводом вошел в состав ОКБ-1 С.П. Королева.</w:t>
      </w:r>
    </w:p>
    <w:p w14:paraId="69ED0C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другой информации, НИИ-58 далее это - НИИ «Геодезия».</w:t>
      </w:r>
    </w:p>
    <w:p w14:paraId="45FA87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Начальник (1943-44 г.-)- г-л В. Г. Грабил. И.О. директора (2009 г.)- М. Сидоров.</w:t>
      </w:r>
    </w:p>
    <w:p w14:paraId="3719EF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(1943 г.)- Левертовский, (1944 г.)- И.И. Иванов.</w:t>
      </w:r>
    </w:p>
    <w:p w14:paraId="79136A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(1944-59 г.)- г-л В. Г. Грабин.</w:t>
      </w:r>
    </w:p>
    <w:p w14:paraId="78F3C2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18-го (1944 г.)- К.К. Ренне.</w:t>
      </w:r>
    </w:p>
    <w:p w14:paraId="3A7DB9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 пушки:</w:t>
      </w:r>
      <w:r w:rsidRPr="00722885">
        <w:rPr>
          <w:rFonts w:ascii="Times New Roman" w:hAnsi="Times New Roman"/>
          <w:color w:val="000000" w:themeColor="text1"/>
          <w:sz w:val="16"/>
          <w:szCs w:val="16"/>
        </w:rPr>
        <w:t xml:space="preserve"> танковые: 76-мм С-54 для Т-34 (проект, 1943), 85-мм С-18 (1943), 85-мм С-31 для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 xml:space="preserve"> и ИС (1943), 85-мм С-50 для Т-34 (1943), 85-мм С-53 для Т-34-85 (пнв 1.01.1944 г.), 100-мм С-34 для ИС (1944), 122-мм С-41 (1943), 130-мм С-26 (1946) и С-70 (1947) для ИС-7; корабельная 100-мм спаренная С-44 (проект, 1943); полевая 100-мм БС-3 (пнв 7.05.1944 г.), Н-3-457 (1945); зенитная С-68 (на базе С-60) для ЗСУ-57-2 (пнв 14.02.1955 г.); авиационная 76-мм ДРП С-14 (1943-44);</w:t>
      </w:r>
      <w:r w:rsidRPr="00722885">
        <w:rPr>
          <w:rFonts w:ascii="Times New Roman" w:hAnsi="Times New Roman"/>
          <w:iCs/>
          <w:color w:val="000000" w:themeColor="text1"/>
          <w:sz w:val="16"/>
          <w:szCs w:val="16"/>
        </w:rPr>
        <w:t xml:space="preserve"> самоходные ПУ:</w:t>
      </w:r>
      <w:r w:rsidRPr="00722885">
        <w:rPr>
          <w:rFonts w:ascii="Times New Roman" w:hAnsi="Times New Roman"/>
          <w:color w:val="000000" w:themeColor="text1"/>
          <w:sz w:val="16"/>
          <w:szCs w:val="16"/>
        </w:rPr>
        <w:t xml:space="preserve"> С-119А (2П2) на шасси ПТ-76 и С-121 для ОТРК «Марс» (1950-е); С-123А (2П16, «объект 160») на базе ПТ-76 для ОТРК 2К6 «Луна» (1950-е); транспортно-заряжающая машина 2ПЗ на шасси ПТ-76 для ОТРК «Марс» (1950-е); опытное безоткатное орудие С-103 (калибр 420 мм) на самоходном гусеничном шасси для стрельбы ядерными боеприпасами (1956) (11982).</w:t>
      </w:r>
    </w:p>
    <w:p w14:paraId="04464E8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83FFF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года было организовано в соответствии с постановлением Правительства ЦАКБ НКВ (9272).</w:t>
      </w:r>
    </w:p>
    <w:p w14:paraId="6A2CD1D6" w14:textId="77777777" w:rsidR="00090C9B" w:rsidRPr="00722885" w:rsidRDefault="00090C9B" w:rsidP="00722885">
      <w:pPr>
        <w:pStyle w:val="Iauiue"/>
        <w:jc w:val="both"/>
        <w:rPr>
          <w:color w:val="000000" w:themeColor="text1"/>
          <w:sz w:val="16"/>
          <w:szCs w:val="16"/>
        </w:rPr>
      </w:pPr>
    </w:p>
    <w:p w14:paraId="547AE7F1"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5 ноября 1942 года вышло постановление ГКО, подписанное Сталиным, о создании Центрального артиллерийского конструкторского бюро (ЦАКБ) на ст. Подлипки Дачные Московской области. Возглавил ЦАКБ В. Грабин, его первым заместителем стал И. Иванов (11268).</w:t>
      </w:r>
    </w:p>
    <w:p w14:paraId="0A20E34B" w14:textId="77777777" w:rsidR="00090C9B" w:rsidRPr="00722885" w:rsidRDefault="00090C9B" w:rsidP="00722885">
      <w:pPr>
        <w:pStyle w:val="afff2"/>
        <w:jc w:val="both"/>
        <w:rPr>
          <w:i w:val="0"/>
          <w:iCs w:val="0"/>
          <w:color w:val="000000" w:themeColor="text1"/>
          <w:spacing w:val="0"/>
          <w:kern w:val="0"/>
          <w:position w:val="0"/>
          <w:sz w:val="16"/>
          <w:szCs w:val="16"/>
        </w:rPr>
      </w:pPr>
    </w:p>
    <w:p w14:paraId="2ABC6673" w14:textId="77777777" w:rsidR="0000080E" w:rsidRPr="00722885" w:rsidRDefault="0000080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 ноября 1942 года постановлением ГКО №2477сс было организовано Центральное Артиллерийское КБ, которое возглавил В. Г. Грабин. Первой разработкой ЦАКБ стала самоходная установка С-1, представлявшая собой установку 76-мм пушки Ф-34 на трофейном шасси танка Pz.Kpfw.III. Эта машина, которая была выпущена большой серией (17663).</w:t>
      </w:r>
    </w:p>
    <w:p w14:paraId="18B31815" w14:textId="77777777" w:rsidR="0000080E" w:rsidRPr="00722885" w:rsidRDefault="0000080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AF89FD" w14:textId="77777777" w:rsidR="0000080E" w:rsidRPr="00722885" w:rsidRDefault="0000080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 ноября 1942 года проект ЗИС-25 был направлен на рассмотрение. Ответ из ГАБТУ КА оказался неоднозначным. Признав положительные свойства орудия, его авторы вполне справедливо указали, что скорострельность основного вооружения КВ-1 с такой пушкой однозначно снизится, причем до недопустимого уровня – 2 выстрела в минуту. Дело в том, что башня больше не стала, а вот унитарный патрон 52-К имел длину 985 мм, что было на целых 336 мм длиннее патрона ЗИС-5. Из-за этого процесс заряжания сильно усложнялся.</w:t>
      </w:r>
    </w:p>
    <w:p w14:paraId="4E4D76C4" w14:textId="77777777" w:rsidR="0000080E" w:rsidRPr="00722885" w:rsidRDefault="0000080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принципе, в ГАБТУ КА были не против изготовления ЗИС-25, но при этом потребовали принятия мер для повышения скорострельности до 5 выстрелов в минуту.</w:t>
      </w:r>
    </w:p>
    <w:p w14:paraId="0CD21E77" w14:textId="77777777" w:rsidR="0000080E" w:rsidRPr="00722885" w:rsidRDefault="0000080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металле пушку так и не построили. 5 ноября 1942 года постановлением ГКО №2477сс было организовано Центральное артиллерийское КБ. Работы по ЗИС-25 прекратились, но сама концепция пушки не оказалась в корзине. Весной 1943 года наработки по этому орудию стали основой для создания аналогичной системы под индексом С-31. Кстати, и это орудие преследовали те же проблемы. В ЦАКБ не учли прошлых ошибок и решили использовать для его установки уже имеющуюся относительно небольшую башню танка КВ-1с (17675).</w:t>
      </w:r>
    </w:p>
    <w:p w14:paraId="73E765DD" w14:textId="77777777" w:rsidR="0000080E" w:rsidRPr="00722885" w:rsidRDefault="0000080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3BB6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2478 Об утверждении плана отпуска вещевого имущества для Красной Армии на ноябрь месяц 1942 года. РГАНИР, Фонд ГКО, д. 68, лл. 5, 6-7 (11012).</w:t>
      </w:r>
    </w:p>
    <w:p w14:paraId="00DC4AE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E31D5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2479 О закладке в запас летнего обмундирования, головных уборов, портянок, обмоток и кожаной обуви к летнему периоду 1943 г. РГАНИР, Фонд ГКО, д. 68, лл. 8-9, 10-18 (11012).</w:t>
      </w:r>
    </w:p>
    <w:p w14:paraId="78CD3DE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4CD93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2480 О производстве и поставке в ноябре 1942 года химикатов для выпуска боеприпасов. РГАНИР, Фонд ГКО, д. 68, лл. 19-23 (11012).</w:t>
      </w:r>
    </w:p>
    <w:p w14:paraId="0D9191E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49656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2482 О ходе восстановления производства паровозов на заводах Наркомтяжмаша и НКПС. РГАНИР, Фонд ГКО, д. 68, лл. 49-54, 55-65 (11012).</w:t>
      </w:r>
    </w:p>
    <w:p w14:paraId="36835C0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86F50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2483 О материально-техническом обеспечении кобальтовых предприятий Наркомцветмета. РГАНИР, Фонд ГКО, д. 68, лл. 66-69, 70-71 (11012).</w:t>
      </w:r>
    </w:p>
    <w:p w14:paraId="1160556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7B827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2484 О строительстве средних и малых гидростанций первой очереди на реках Урала. РГАНИР, Фонд ГКО, д. 68, лл. 72-76, 77-110 (11012).</w:t>
      </w:r>
    </w:p>
    <w:p w14:paraId="2ED4361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E2B96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года вышло постановление ГКО № 2484с “О строительстве средних и малых гидростанций первой очереди на реках Урала” и сооружение Широковской ГЭС было возложено на НКВД. Начальниками Широкстроя были начинавшие еще в Дмитлаге полковник ГБ Г. Д. Афанасьев (в 1942-1944 годах) и инженер-подполковник С. И. Погарский (в 1944-1947 годах) (7560).</w:t>
      </w:r>
    </w:p>
    <w:p w14:paraId="092B22F1" w14:textId="77777777" w:rsidR="00090C9B" w:rsidRPr="00722885" w:rsidRDefault="00090C9B" w:rsidP="00722885">
      <w:pPr>
        <w:pStyle w:val="Iauiue"/>
        <w:jc w:val="both"/>
        <w:rPr>
          <w:color w:val="000000" w:themeColor="text1"/>
          <w:sz w:val="16"/>
          <w:szCs w:val="16"/>
        </w:rPr>
      </w:pPr>
    </w:p>
    <w:p w14:paraId="56E83E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2485 О т.т. Колесниченко И.С., Двинском Б.А. РГАНИР, Фонд ГКО, д. 68, лл. 111 (11012).</w:t>
      </w:r>
    </w:p>
    <w:p w14:paraId="26BE5B1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FB8B3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вышло Постановление ГКО № 2486 О формировании гвардейских минометных полков М-13. РГАНИР, Фонд ГКО, д. 68, лл. 112, 113-127 (11012).</w:t>
      </w:r>
    </w:p>
    <w:p w14:paraId="1BCB404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F6D59D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5 ноября 1942 вышло Постановление ГКО № 2487 О вводе новых мощностей на электростанциях малой мощности в ноябре-декабре 1942 года. (7062, 128-136,137-169).</w:t>
      </w:r>
    </w:p>
    <w:p w14:paraId="011BEDCA" w14:textId="77777777" w:rsidR="00090C9B" w:rsidRPr="00722885" w:rsidRDefault="00090C9B" w:rsidP="00722885">
      <w:pPr>
        <w:pStyle w:val="Iauiue"/>
        <w:tabs>
          <w:tab w:val="left" w:pos="11199"/>
        </w:tabs>
        <w:jc w:val="both"/>
        <w:rPr>
          <w:color w:val="000000" w:themeColor="text1"/>
          <w:sz w:val="16"/>
          <w:szCs w:val="16"/>
        </w:rPr>
      </w:pPr>
    </w:p>
    <w:p w14:paraId="277E14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ноября 1942 был спущен на воду головной БМО (построен за 41 день).</w:t>
      </w:r>
    </w:p>
    <w:p w14:paraId="2AED31A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897C1F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0F898C1" w14:textId="77777777" w:rsidR="00090C9B" w:rsidRPr="00722885" w:rsidRDefault="00090C9B" w:rsidP="00722885">
      <w:pPr>
        <w:pStyle w:val="Iauiue"/>
        <w:jc w:val="both"/>
        <w:rPr>
          <w:iCs/>
          <w:color w:val="000000" w:themeColor="text1"/>
          <w:sz w:val="16"/>
          <w:szCs w:val="16"/>
        </w:rPr>
      </w:pPr>
    </w:p>
    <w:p w14:paraId="7C08DD81"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ноября</w:t>
      </w:r>
      <w:r w:rsidRPr="00722885">
        <w:rPr>
          <w:rFonts w:ascii="Times New Roman" w:hAnsi="Times New Roman"/>
          <w:color w:val="000000" w:themeColor="text1"/>
          <w:sz w:val="16"/>
          <w:szCs w:val="16"/>
        </w:rPr>
        <w:t xml:space="preserve"> в 1942 году утреннее сообщение Совинформбюро:</w:t>
      </w:r>
    </w:p>
    <w:p w14:paraId="7B26A34F"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5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1453FADF"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части отбили все атаки противника. Н-ское гвардейское соединение, обороняющее один из заводов, разгромило несколько групп гитлеровцев, пытавшихся проникнуть в тыл наших войск. На южном участке обороны города советские бойцы истребили 140 немецких солдат и офицеров, уничтожили 10 пулемётов, 3 миномёта и артиллерийскую батарею противника.</w:t>
      </w:r>
    </w:p>
    <w:p w14:paraId="74CC0983"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разведывательный отряд Н-ской части проник в расположение противника и взорвал 2 немецких дзота. Разведчики уничтожили 30 гитлеровцев, захватили 3 пулемёта, миномёт и благополучно вернулись в свою часть. Наши артиллеристы обстреляли приближавшуюся к фронту автоколонну противника. Разбито 5 автомашин со снарядами и 2 автоцистерны с горючим.</w:t>
      </w:r>
    </w:p>
    <w:p w14:paraId="5295D1E3"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вели напряжённые бои. Огнём нашей артиллерии рассеяно скопление танков и пехоты противника, готовившихся к атаке. Гитлеровцы понесли большие потери. Советскими лётчиками в воздушных боях и огнём зенитной артиллерии сбито 17 немецких самолётов.</w:t>
      </w:r>
    </w:p>
    <w:p w14:paraId="58A1CF80"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немцы пытались атаковать наши позиции, но, потеряв убитыми 150 солдат и 7 офицеров, отступили. Наши подразделения, перейдя в контратаку, овладели одним опорным пунктом противника.</w:t>
      </w:r>
    </w:p>
    <w:p w14:paraId="52A239C4"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продолжали бои по уничтожению окружённых групп противника. Н-ская часть истребила 270 немецких солдат и офицеров. Захваченные в плен немецкие солдаты рассказывают об огромных потерях, которые несут немецкие войска. Пленный солдат 13 полка 4 немецкой горнострелковой дивизии Ферстер сообщил, что 13 полк только за последние, дни потерял 50 процентов личного состава. Солдат немецкого горнострелкового полка Вилли Тильзаявил, что в его роте за два дня убито и ранено 80 солдат.</w:t>
      </w:r>
    </w:p>
    <w:p w14:paraId="348EECFF"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минских партизан разгромил карательный отряд гитлеровцев. Советские патриоты убили немецкого майора — командира отряда, двух капитанов, старшего лейтенанта и 12 солдат. 12 немецких солдат взяты в плен. Другой партизанский отряд с 10 по 25 октября пустил под откос 2 эшелона с войсками и техникой немецко-фашистских оккупантов. Партизаны этого же отряда совершили налёт на гарнизон противника и истребили 105 немецких солдат и офицеров, захватили миномёт, 2 пулемёта и 35 винтовок.</w:t>
      </w:r>
    </w:p>
    <w:p w14:paraId="6A26AF7A"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Немецко-фашистские мерзавцы разрушили и сожгли дотла село Солтановку, Орловской области. Огнём уничтожены 450 домов колхозников, школа, больница, молочно-товарная ферма и другие общественные постройки. Немцы замучили и расстреляли десятки жителей села. 19-летнюю колхозницу Анну Матюшкину гитлеровские изверги изнасиловали, а потом вырезали ей груди, отрезали уши и пристрелили. Врача местной больницы Александру Алексеевну Малиновскую бандиты сожгли живьём.</w:t>
      </w:r>
    </w:p>
    <w:p w14:paraId="6926C80A"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Около Варшавы произошла крупная железнодорожная катастрофа. Немецкий эшелон с боеприпасами наскочил на мины, расставленные польскими патриотами и взлетел на воздух. Свыше пятидесяти немецких солдат, сопровождавших поезд, убиты и ранены.» (14821).</w:t>
      </w:r>
    </w:p>
    <w:p w14:paraId="0FD516FB"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7CDF4B82"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ноября</w:t>
      </w:r>
      <w:r w:rsidRPr="00722885">
        <w:rPr>
          <w:rFonts w:ascii="Times New Roman" w:hAnsi="Times New Roman"/>
          <w:color w:val="000000" w:themeColor="text1"/>
          <w:sz w:val="16"/>
          <w:szCs w:val="16"/>
        </w:rPr>
        <w:t xml:space="preserve"> в 1942 году вечернее сообщение Совинформбюро:</w:t>
      </w:r>
    </w:p>
    <w:p w14:paraId="1D60C080"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5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3C5B529"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4 ноября нашей авиацией на различных участках фронта уничтожено 5 немецких танков, 30 автомашин с войсками и грузами, 4 автоцистерны с горючим, подавлен огонь 5 артиллерийских батарей, рассеяно и частью уничтожено до роты пехоты противника.</w:t>
      </w:r>
    </w:p>
    <w:p w14:paraId="72C3A462"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Противник, вводя в бой резервы, неоднократно атаковал наши позиции. Наши бойцы и командиры отбили все атаки гитлеровцев и нанесли им большой урон. Уничтожено до 800 немецких солдат и офицеров.</w:t>
      </w:r>
    </w:p>
    <w:p w14:paraId="5686302C"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Защитники города показывают пример самоотверженной борьбы с врагом. Две роты немецкой пехоты пытались прорваться в стык наших подразделений. Десять советских сапёров во главе с лейтенантом Павловым открыли огонь из автоматов и преградили немцам путь. В этом бою красноармеец т. Дудников убил немецкого офицера, забрал у него автомат и огнём из трофейного оружия истребил 16 гитлеровцев. Красноармеец т. Цунников убил 15 немцев. Осколками мины Цунников был ранен и была разбита его винтовка. Он схватил винтовку убитого немца и уничтожил ещё 8 гитлеровцев. Красноармеец т. Костюченко, раненный в правое плечо, зубами снимал предохранительные кольца с гранат и бросал их левой рукой. В этом бою из десяти героев трое пали смертью храбрых. Семь оставшихся в живых выстояли до конца и не пропустили немцев. Десять наших бойцов уничтожили 87 гитлеровцев, 5 пулемётных и миномётных точек противника.</w:t>
      </w:r>
    </w:p>
    <w:p w14:paraId="74F2E977"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занятые позиции и вели артиллерийскую перестрелку. Артиллеристы Н-ской части разрушили 5 блиндажей, 2 наблюдательных пункта и уничтожили два взвода немецкой пехоты. Расчёты гвардии сержантов Гаркивеца и Федина уничтожили шестиствольный миномёт и разрушили продовольственный склад немцев.</w:t>
      </w:r>
    </w:p>
    <w:p w14:paraId="25F36023"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советские войска вели упорные бои с крупными силами противника. Н-ская часть уничтожила танковый десант автоматчиков, прорвавшийся в тыл нашим войскам. Истреблено до 100 гитлеровцев, разбито 4 танка и 8 автомашин. Артиллерийским и миномётным огнём рассеяно скопление немецкой пехоты, готовившейся к атаке, уничтожено более 600 солдат и офицеров противника.</w:t>
      </w:r>
    </w:p>
    <w:p w14:paraId="04BBD365"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войска продолжали вести активные боевые действияи несколько продвинулись вперёд. Немцы пытались предпринять контратаки, но были рассеяны артиллерийским и миномётным огнём. Бойцы Н-ской части уничтожили батальон пехоты противника в районе Безымянной высоты и овладели этой высотой.</w:t>
      </w:r>
    </w:p>
    <w:p w14:paraId="34A97168"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Восточнее Новороссийска наши бойцы окружили хутор, занятый противником. Немецкий гарнизон пытался выйти из окружения, но был полностью уничтожен. Убито 60 гитлеровцев. Захвачено 2 станковых и 2 ручных пулемёта, 5 автоматов, 30 винтовок и боеприпасы.</w:t>
      </w:r>
    </w:p>
    <w:p w14:paraId="63706098"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орловских партизан пустила под откос три железнодорожных эшелона противника. В результате крушения разбито 3 паровоза, 22 вагона, 36 платформ и 5 цистерн с горючим. Уничтожено 7 орудий, 12 танков и много других военных грузов. Убито 130 немецких солдат и офицеров.</w:t>
      </w:r>
    </w:p>
    <w:p w14:paraId="6936A1CD"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учинили зверскую расправу над жителями деревни Орловка, Смоленской области. 26 октября в Орловке появился отряд немецких солдат и жандармов. Три дня гитлеровские бандиты грабили и бесчинствовали. Они вырезали несколько семейств, а шесть женщин с грудными детьми сожгли живьём. Фашистские разбойники отняли у колхозников всё продовольствие, обувь и одежду.» (14821).</w:t>
      </w:r>
    </w:p>
    <w:p w14:paraId="6FEA159A"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024BB6E0"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ноября</w:t>
      </w:r>
      <w:r w:rsidRPr="00722885">
        <w:rPr>
          <w:rFonts w:ascii="Times New Roman" w:hAnsi="Times New Roman"/>
          <w:color w:val="000000" w:themeColor="text1"/>
          <w:sz w:val="16"/>
          <w:szCs w:val="16"/>
        </w:rPr>
        <w:t xml:space="preserve"> в 1942 году на орджоникидзевском направлении войска Закавказского фронта вынудили противника перейти к обороне (14821).</w:t>
      </w:r>
    </w:p>
    <w:p w14:paraId="2DB361A7"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55B618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остановили наступление немцев на Кавказ на подступах к Орджоникидзе (512,217).</w:t>
      </w:r>
    </w:p>
    <w:p w14:paraId="45E794CA" w14:textId="77777777" w:rsidR="00090C9B" w:rsidRPr="00722885" w:rsidRDefault="00090C9B" w:rsidP="00722885">
      <w:pPr>
        <w:pStyle w:val="Iauiue"/>
        <w:jc w:val="both"/>
        <w:rPr>
          <w:color w:val="000000" w:themeColor="text1"/>
          <w:sz w:val="16"/>
          <w:szCs w:val="16"/>
        </w:rPr>
      </w:pPr>
    </w:p>
    <w:p w14:paraId="6043EE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лучший ас немцев Эрих Хартман сбил свой первый самолет - Ил-2 (2115).</w:t>
      </w:r>
    </w:p>
    <w:p w14:paraId="29313F35" w14:textId="77777777" w:rsidR="00090C9B" w:rsidRPr="00722885" w:rsidRDefault="00090C9B" w:rsidP="00722885">
      <w:pPr>
        <w:pStyle w:val="Iauiue"/>
        <w:jc w:val="both"/>
        <w:rPr>
          <w:color w:val="000000" w:themeColor="text1"/>
          <w:sz w:val="16"/>
          <w:szCs w:val="16"/>
        </w:rPr>
      </w:pPr>
    </w:p>
    <w:p w14:paraId="615290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Ночь с 5 на 6 ноября 1942 в Горьком была ясной и холодной. Ударили морозы до – 10°С, со скоростью 9 м/с дул северо-восточный ветер. Наблюдатель, сидевший на вышковом посту завода «Нефтегаз», весь продрог. Все его мысли были лишь о теплом помещении и горячем чае. Высоко в небе светила полная луна. На востоке расстилалась пустынная равнина, тянувшаяся до самой Волги, дальше к югу едва различимо чернела громада нагорной части города. Вдруг в 01.46 именно с той стороны вспыхнули оранжевые огоньки, потом послышался отдаленный грохот стрельбы зенитных орудий. Наблюдатель немедленно бросился к телефону и сообщил в штаб МПВО объекта:  «В районе города открылась зенитная стрельба». Прошло еще две минуты, и в 01.50 по радио был принят хорошо знакомый сигнал «Воздушная тревога». К таким моментам за год все успели привыкнуть, но в этот же миг произошло неожиданное. Находившиеся на улице рабочие с ужасом увидели, как их скрытый во мраке затемнения завод в одно мгновение был освещен мертвецким ярко белым светом. Словно какой-то огромный прожектор выхватил из ночи корпуса, трубы и нефтехранилища. Причиной тому были десять осветительных ракет, повисших в небе в виде «люстры» прямо над «Нефтегазом». Их свет был виден на большом расстоянии. В частности, Рябухов, наблюдатель вышкового поста № 1 на автозаводе, расположенном в девяти километрах от «Нефтегаза», сообщил в штаб МПВО завода:  «Над „Красной Этной“ осветительные ракеты ярко-белого цвета». Тем временем рабочие «Нефтегаза» не успели опомниться, как послышался оглушительный свист падающих бомб. Покинуть цеха и спрятаться в укрытия, естественно, никто не успел. Бомбежка застала каждого на своем рабочем месте. Девять мощных взрывов один за другим сотрясли промзону и ее окрестности. На соседнем заводе № 92 повылетали стекла, грохот отчетливо слышался в цехах «Красного Сормова» и на авиационном заводе, находящемся в полутора километрах. Семь 50-кг бомб взорвались рядом с нефтехранилищем, восьмая – в районе газового цеха между резервуаром № 327 и гудронным котлованом первого блока. Девятая же бомба – 500-кг фугаска – попала прямо в котельную завода между экономайзером 4-го, 5-го котлов и дымососной установкой. Прогремел мощный взрыв, и в небо взметнулся столб пламени, дыма и пара. Со скрежетом повалилась дымовая труба. Погибли оказавшиеся в эпицентре кочегары Г. Капустин, М. Мальков, А. Плеханов, слесарь В. Андрианов, был тяжело ранен и чудом остался в живых зам. начальника 114-го корпуса (котельной) Н. Замыслов. Еще четыре человека получили легкие ранения и контузии. Мощной взрывной волной вышибло стекла, оконные переплеты и двери в 124-м корпусе, ЦРП, 117-м, 119-м корпусах, корпусе насосной станции пирогенных установок, коксовом цехе и других. Кроме фугасных, в районе газового цеха и на крышу механической мастерской упали четыре килограммовых зажигательных бомбы. Они были своевременно потушены рабочими завода Паюровым, Венихиным и бойцом военизированной пожарной команды Новиковым. Еще 75 зажигалок упали на Сормовское шоссе и расположенный напротив «Нефтегаза» артиллерийский завод № 92 им. Сталина. В результате там возникли 11 пожаров, которые были потушены героическими усилиями противопожарной службы и цеховых пожарных команд завода. Еще четыре бомбы перелетели на ул. Красных командиров (ныне ул. 50 лет Победы) в Калининском поселке, где были затушены силами групп самозащиты. Одновременно с этим бомбардировке подвергся район Московского вокзала, на который были сброшены три фугасных бомбы. Одна взорвалась на рельсах, вторая бомба SC50 попала в корпус № 17 железнодорожных домов на ул. Чкалова, пробила крышу, потолочные перекрытия и взорвалась в подвале. Были разрушены стены двух квартир, коридора, частично выбиты рамы и стекла. Третья бомба весом 500 кг упала в 350 м южнее станции Горький-Товарная, рядом с госпиталем № 2803, находившимся в школе № 52. Здание было битком набито ранеными, которые надеялись, что они хотя бы здесь, вдали от линии фронта, находятся в безопасности. Но война настигла их и тут. От мощнейшей взрывной волны в здании вылетели все стекла, косяки рам, частично обрушились внутренние стены и местами провалился потолок. Многие раненые были засыпаны осколками стекла, штукатуркой и кирпичами. 50 красноармейцев, находившихся на излечении, получили новые ранения, один погиб. В домах №№ 17/13, 19, 26, 28 на ул. Чкалова также были выбиты косяки рам, разрушились стены и потолочные перекрытия. Взрывная волна порвала троллейный провод протяжением 300 м. Погибли пять человек, легкие ранения получили шесть, еще четырех контузило. На перехват бомбардировщиков были подняты истребители 142-й ИАД, но обнаружить противника в темноте ноябрьской ночи они не смогли. Зенитчики тоже вели заградительный огонь, но налет произошел столь быстро и внезапно, что батареи успели выпустить всего около 1000 снарядов. Во врага они, как всегда, не попали, зато «подбили» жилой дом № 84 на ул. Караваева в Сормовском районе. 85-мм снаряд разорвался внутри помещения, разрушив пол и потолок. Был ранен один жилец. Еще один снаряд попал в воинский склад № 142 в Кагановичском районе, ушел в грунт на два метра и не взорвался. Всего в результате налета пострадали 62 человека, в т.ч. девять погибли. В 04.15 утра в городе был подан сигнал «Отбой ВТ». На следующий день начальник штаба МПВО г. Горького майор Антропов написал в своей сводке:  «Отмечаю полное бездействие службы охраны порядка и безопасности МПВО города, которая, как во время воздушного налета, так и при ликвидации последствий, не обеспечила внешнего оцепления очагов поражения, рассредоточения населения, регулирования движения (закрытие проездов по улицам, находившимся в очагах поражения)». В Кировском районе во время бомбежки почти никто из групп самозащиты не явился на свои посты, видимо, надеясь, что и так пронесет. Большинство жителей отсиживались дома. Утром рабочие завода «Нефтегаз» занялись осмотром разрушений. Оказалось, что 50-кг бомбы повредили асфальтовую дорогу и пеностанцию № 1, разрушили пожарный трубопровод у 3-й проходной. Осмотр паросилового цеха дал следующие результаты: были полностью разрушены экономайзеры 4-го и 5-го котлов, уничтожены два дымососа с моторами, снесена дымовая труба, повреждены каркасы 4-го и 5-го котлов, обмуровка 4-го и 5-го котлов, разрушены вентиляторы воздушного дутья, здания 4-го, 5-го и 6-го котлов и все бытовые помещения. Таким образом, котельная вышла из строя, и </w:t>
      </w:r>
      <w:r w:rsidRPr="00722885">
        <w:rPr>
          <w:rFonts w:ascii="Times New Roman" w:hAnsi="Times New Roman"/>
          <w:color w:val="000000" w:themeColor="text1"/>
          <w:sz w:val="16"/>
          <w:szCs w:val="16"/>
        </w:rPr>
        <w:lastRenderedPageBreak/>
        <w:t>завод прекратил работу. Убытки ориентировочно оценили в 1 млн рублей. В холодном здании заводоуправления у директора Смирнова прошло срочное совещание, на котором был определен примерный срок восстановления котельной – 30 ноября, потребности в рабочей силе оценили в 210 человек. Тем временем коллектив паросилового цеха, возглавленный главным энергетиком завода Ковановым, самоотверженно работал в чрезвычайно сложной обстановке. Его усилиями были предотвращены возможные взрывы и аварии уцелевших паровых котлов. Аварийно-восстановительная команда МПВО объекта разобрала завалы и сделала переключения на топливных и питающих трубопроводах, от восстановления которых зависело сохранение оставшихся котлов. И все это делалось на десятиградусном морозе практически без отдыха и перерывов. Каждый час был на вес золота. Директора соседних заводов №№ 92, 21 и 96 Елян, Агаджаев и Каганович немедленно оказали посильную помощь, послав на «Нефтегаз» свои ремонтные бригады, привез людей и начальник МПВО города Суханов. В результате своевременно принятых мер уже в 12.00 6 ноября был введен в работу котел № 1, а в 14.00 – котел № 2, что дало возможность сохранить оборудование и предупредить замораживание общезаводских и цеховых коммуникаций. В противном случае завод мог выйти из строя до весны. Авральные работы продолжались, и в 03.30 8 ноября был выведен на режим и котел № 3. На следующий день в 13.30, обходя территорию в районе нефтехранилища, начальник МПВО «Нефтегаза» Уткин заметил торчащие из земли мятые куски железа, окрашенные в зеленый цвет с желтыми полосками. Вскоре установили, что это не что иное, как стабилизатор от фугасной бомбы. На завод срочно прибыли саперы, и через два часа «адская машина» (SC50) была раскопана и обезврежена.</w:t>
      </w:r>
    </w:p>
    <w:p w14:paraId="378113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20.00 12 ноября был наспех выведен на режим котел № 6. С пуском котлов № 3 и 6 были введены в работу цех № 117, пирогенная установка и часть коксовых кубов, затем часть цеха № 113. 18 ноября на заседании Кагановичского райкома ВКП(б) обсуждался вопрос о ходе восстановления корпуса № 114 завода № 87. При этом было отмечено, что  «недостаточно принимаются меры со стороны директора завода тов. Смирнова по выполнению графика. Котел № 6 пущен с опозданием на три дня, отстает на четыре дня кладка котла № 4. Не хватает стройматериалов, имеются факты нечеткой расстановки рабочих на стройплощадке». </w:t>
      </w:r>
    </w:p>
    <w:p w14:paraId="6DCFFC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Наконец 25 ноября все уцелевшие котлы выведены на режим, а еще через четыре дня котельная была пущена на полную мощность. 20 человек были награждены значком «Отличник соцсоревнования» от наркомнефти, 23 человека – похвальной грамотой. Таким образом, из-за налета вражеской авиации завод в течение трех дней стоял и три недели работал на минимальной мощности. Ремонт котельной был завершен не полностью из-за отсутствия дымососных установок, экономайзеров и другого оборудования. Результатом всего этого стал рост себестоимости продукции на 17%, а также большие потери по всем установкам (до 20%). Общие же потери сырья при переработке за 1942 г. составили 38 631 т. Примечательно, что 25 ноября «Нефтегаз» был вновь переименован – теперь в завод № 93.</w:t>
      </w:r>
    </w:p>
    <w:p w14:paraId="5F21F2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Однако завод и в дальнейшем продолжал работать с большими перебоями, основной причиной которых являлось отсутствие сырья. Всего в течение ноября вместо 45 200 т нефтепродуктов на него были завезены лишь 12 247 т, что не обеспечивало нормальную работу предприятия. Из-за этого не удавалось обеспечивать газом артиллерийский завод № 92, завод № 96 в Дзержинске и «Красное Сормово», чья общая минимальная суточная потребность составляла 90 т. В декабре «Нефтегаз» работал всего на 20% мощности (на одной пирогенной установке) и стоял перед угрозой полной остановки.</w:t>
      </w:r>
    </w:p>
    <w:p w14:paraId="3454A1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К этому моменту в Южном Поволжье произошли важные события, значительно изменившие общую стратегическую ситуацию. Наступившее одновременно с этим сезонное ухудшение погоды практически свело на нет активность Люфтваффе в небе Среднего Поволжья. В течение декабря посты ВНОС зафиксировали всего один пролет самолета-разведчика над территорией Горьковской области. В связи с этим в ряде частей было допущено ослабление бдительности и участились факты нарушения дисциплины. Так, в приказе командующего корпусным районом ПВО генерала А. А. Осипова № 0172 от 22 декабря говорилось:  «Наблюдается низкий уровень боевой подготовки в 784 ЗАП. Расчет 14-й батареи совсем не явился по боевой тревоге» (11774).</w:t>
      </w:r>
    </w:p>
    <w:p w14:paraId="2DB387D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B6E9F8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3DEA5A14" w14:textId="77777777" w:rsidR="00090C9B" w:rsidRPr="00722885" w:rsidRDefault="00090C9B" w:rsidP="00722885">
      <w:pPr>
        <w:pStyle w:val="Iauiue"/>
        <w:jc w:val="both"/>
        <w:rPr>
          <w:iCs/>
          <w:color w:val="000000" w:themeColor="text1"/>
          <w:sz w:val="16"/>
          <w:szCs w:val="16"/>
        </w:rPr>
      </w:pPr>
    </w:p>
    <w:p w14:paraId="628E83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года было получено:</w:t>
      </w:r>
    </w:p>
    <w:p w14:paraId="106768E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ЛИЧНОЕ И СЕКРЕТНОЕ ПОСЛАНИЕ ОТ ПРЕМЬЕР-МИНИСТРА г-на УИНСТОНА ЧЕРЧИЛЛЯ г-ну СТАЛИНУ</w:t>
      </w:r>
    </w:p>
    <w:p w14:paraId="6A2FFE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Я обещал информировать Вас, когда наша армия в Египте одержит решающую победу над Роммелем. Теперь генерал Александер сообщает, что фронт противника прорван и что противник отступает в западном направлении в большом беспорядке. Помимо войск на главном театре сражения, имеются еще шесть итальянских и две германские дивизии в пустыне южнее наших войск, наступающих вдоль берега. Это соединение имеет в своем распоряжении весьма незначительные средства механического транспорта и снабжения, и возможно, что в течение ближайших дней противнику будет нанесен весьма тяжелый урон. Кроме того, единственный путь для отступления Роммеля идет вдоль прибрежной дороги, которая теперь забита войсками и транспортом и которая подвергается постоянным нападениям наших значительно превосходящих военно-воздушных сил.</w:t>
      </w:r>
    </w:p>
    <w:p w14:paraId="4E45F7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Строго секретно. Только для Вас лично. “Факел”</w:t>
      </w:r>
      <w:r w:rsidRPr="00722885">
        <w:rPr>
          <w:color w:val="000000" w:themeColor="text1"/>
          <w:sz w:val="16"/>
          <w:szCs w:val="16"/>
          <w:vertAlign w:val="superscript"/>
        </w:rPr>
        <w:t>24</w:t>
      </w:r>
      <w:r w:rsidRPr="00722885">
        <w:rPr>
          <w:color w:val="000000" w:themeColor="text1"/>
          <w:sz w:val="16"/>
          <w:szCs w:val="16"/>
        </w:rPr>
        <w:t xml:space="preserve"> развернется в самое ближайшее время в весьма значительном масштабе. Я полагаю, что политические трудности, по поводу которых Вы высказали беспокойство, разрешены.удовлетворительно. Военная сторона операции развивается точно по плану.</w:t>
      </w:r>
    </w:p>
    <w:p w14:paraId="6D3AF9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Я очень хочу приступить как можно скорее к переброске на Ваш южный фланг двадцати британских и американских эскадрилий. Президент Рузвельт полностью согласен, и теперь нет опасности какой-либо катастрофы в Египте. Однако, прежде чем что-либо может быть сделано, необходимо, чтобы наши и Ваши офицеры детально договорились относительно посадочных площадок и т. п. Пожалуйста, сообщите мне по возможности скорее, как бы Вы желали организовать эти совещания. Количество эскадрилий, предполагаемых к отправке, было сообщено в моей телеграмме от 9 октября, в соответствии с чем мы проводим те приготовления, которые можно провести до того, как мы договоримся с Вами.</w:t>
      </w:r>
    </w:p>
    <w:p w14:paraId="0A7B79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Позвольте мне выразить Вам, Премьер Сталин, и г-ну Молотову наши поздравления по случаю прославленной навеки обороны Сталинграда и по поводу решительного поражения второй кампании Гитлера против России. Я был бы рад узнать от Вас, как Ваши дела на Кавказе.</w:t>
      </w:r>
    </w:p>
    <w:p w14:paraId="3E037F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Всяческие добрые пожелания в связи с Вашим праздником (7430).</w:t>
      </w:r>
    </w:p>
    <w:p w14:paraId="2733D2BF" w14:textId="77777777" w:rsidR="00090C9B" w:rsidRPr="00722885" w:rsidRDefault="00090C9B" w:rsidP="00722885">
      <w:pPr>
        <w:pStyle w:val="Iauiue"/>
        <w:jc w:val="both"/>
        <w:rPr>
          <w:color w:val="000000" w:themeColor="text1"/>
          <w:sz w:val="16"/>
          <w:szCs w:val="16"/>
        </w:rPr>
      </w:pPr>
    </w:p>
    <w:p w14:paraId="0A28AF9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5E53BA0" w14:textId="77777777" w:rsidR="00090C9B" w:rsidRPr="00722885" w:rsidRDefault="00090C9B" w:rsidP="00722885">
      <w:pPr>
        <w:pStyle w:val="Iauiue"/>
        <w:jc w:val="both"/>
        <w:rPr>
          <w:iCs/>
          <w:color w:val="000000" w:themeColor="text1"/>
          <w:sz w:val="16"/>
          <w:szCs w:val="16"/>
        </w:rPr>
      </w:pPr>
    </w:p>
    <w:p w14:paraId="3FD07D1A" w14:textId="77777777" w:rsidR="00815843" w:rsidRPr="00722885" w:rsidRDefault="00815843" w:rsidP="00722885">
      <w:pPr>
        <w:pStyle w:val="36"/>
        <w:shd w:val="clear" w:color="auto" w:fill="auto"/>
        <w:spacing w:after="0" w:line="240" w:lineRule="auto"/>
        <w:jc w:val="both"/>
        <w:rPr>
          <w:rFonts w:ascii="Times New Roman" w:cs="Times New Roman"/>
          <w:color w:val="0070C0"/>
          <w:spacing w:val="0"/>
          <w:sz w:val="16"/>
          <w:szCs w:val="16"/>
        </w:rPr>
      </w:pPr>
      <w:r w:rsidRPr="00722885">
        <w:rPr>
          <w:rFonts w:ascii="Times New Roman" w:cs="Times New Roman"/>
          <w:color w:val="0070C0"/>
          <w:spacing w:val="0"/>
          <w:sz w:val="16"/>
          <w:szCs w:val="16"/>
        </w:rPr>
        <w:t>5 ноября 1942 г. Эрих Гартман (</w:t>
      </w:r>
      <w:r w:rsidRPr="00722885">
        <w:rPr>
          <w:rFonts w:ascii="Times New Roman" w:cs="Times New Roman"/>
          <w:color w:val="0070C0"/>
          <w:spacing w:val="0"/>
          <w:sz w:val="16"/>
          <w:szCs w:val="16"/>
          <w:lang w:val="en-US"/>
        </w:rPr>
        <w:t>Erich</w:t>
      </w:r>
      <w:r w:rsidRPr="00722885">
        <w:rPr>
          <w:rFonts w:ascii="Times New Roman" w:cs="Times New Roman"/>
          <w:color w:val="0070C0"/>
          <w:spacing w:val="0"/>
          <w:sz w:val="16"/>
          <w:szCs w:val="16"/>
        </w:rPr>
        <w:t xml:space="preserve"> </w:t>
      </w:r>
      <w:r w:rsidRPr="00722885">
        <w:rPr>
          <w:rFonts w:ascii="Times New Roman" w:cs="Times New Roman"/>
          <w:color w:val="0070C0"/>
          <w:spacing w:val="0"/>
          <w:sz w:val="16"/>
          <w:szCs w:val="16"/>
          <w:lang w:val="en-US"/>
        </w:rPr>
        <w:t>Hartmann</w:t>
      </w:r>
      <w:r w:rsidRPr="00722885">
        <w:rPr>
          <w:rFonts w:ascii="Times New Roman" w:cs="Times New Roman"/>
          <w:color w:val="0070C0"/>
          <w:spacing w:val="0"/>
          <w:sz w:val="16"/>
          <w:szCs w:val="16"/>
        </w:rPr>
        <w:t>, 352 официально сби</w:t>
      </w:r>
      <w:r w:rsidRPr="00722885">
        <w:rPr>
          <w:rFonts w:ascii="Times New Roman" w:cs="Times New Roman"/>
          <w:color w:val="0070C0"/>
          <w:spacing w:val="0"/>
          <w:sz w:val="16"/>
          <w:szCs w:val="16"/>
        </w:rPr>
        <w:softHyphen/>
        <w:t>тых) в составе звена атаковал восьмерку од</w:t>
      </w:r>
      <w:r w:rsidRPr="00722885">
        <w:rPr>
          <w:rFonts w:ascii="Times New Roman" w:cs="Times New Roman"/>
          <w:color w:val="0070C0"/>
          <w:spacing w:val="0"/>
          <w:sz w:val="16"/>
          <w:szCs w:val="16"/>
        </w:rPr>
        <w:softHyphen/>
        <w:t>номестных штурмовиков, шедших в сопровождении десяти ЛаГГ-3. Летчик выбрал в качестве цели один Ил-2 и, сблизив</w:t>
      </w:r>
      <w:r w:rsidRPr="00722885">
        <w:rPr>
          <w:rFonts w:ascii="Times New Roman" w:cs="Times New Roman"/>
          <w:color w:val="0070C0"/>
          <w:spacing w:val="0"/>
          <w:sz w:val="16"/>
          <w:szCs w:val="16"/>
        </w:rPr>
        <w:softHyphen/>
        <w:t>шись с ним на 70 м, открыл огонь из задней полусферы. Несмотря на ряд попаданий, «Ил» продолжал полет. Тогда Гартман спикировал почти до земли, зашел сзади-снизу с рас</w:t>
      </w:r>
      <w:r w:rsidRPr="00722885">
        <w:rPr>
          <w:rFonts w:ascii="Times New Roman" w:cs="Times New Roman"/>
          <w:color w:val="0070C0"/>
          <w:spacing w:val="0"/>
          <w:sz w:val="16"/>
          <w:szCs w:val="16"/>
        </w:rPr>
        <w:softHyphen/>
        <w:t>стояния 40 м выпустил короткую очередь по радиатору. Оттуда повалил дым, а затем вспыхнуло пламя. Ил-2 начал выворачи</w:t>
      </w:r>
      <w:r w:rsidRPr="00722885">
        <w:rPr>
          <w:rFonts w:ascii="Times New Roman" w:cs="Times New Roman"/>
          <w:color w:val="0070C0"/>
          <w:spacing w:val="0"/>
          <w:sz w:val="16"/>
          <w:szCs w:val="16"/>
        </w:rPr>
        <w:softHyphen/>
        <w:t>вать на восток. Внезапно у него в крыле что-то взорвалось, и Гартман не успел уклониться от обломков. Его «Мессер» был серьезно поврежден, что заставило совершить вынужденную посадку на контролируемой немцами территории. В дальней</w:t>
      </w:r>
      <w:r w:rsidRPr="00722885">
        <w:rPr>
          <w:rFonts w:ascii="Times New Roman" w:cs="Times New Roman"/>
          <w:color w:val="0070C0"/>
          <w:spacing w:val="0"/>
          <w:sz w:val="16"/>
          <w:szCs w:val="16"/>
        </w:rPr>
        <w:softHyphen/>
        <w:t>шем Гартман записал на свой счет еще 29 Ил-2 (19854).</w:t>
      </w:r>
    </w:p>
    <w:p w14:paraId="3C5C32ED" w14:textId="77777777" w:rsidR="00815843" w:rsidRPr="00722885" w:rsidRDefault="00815843" w:rsidP="00722885">
      <w:pPr>
        <w:pStyle w:val="36"/>
        <w:shd w:val="clear" w:color="auto" w:fill="auto"/>
        <w:spacing w:after="0" w:line="240" w:lineRule="auto"/>
        <w:jc w:val="both"/>
        <w:rPr>
          <w:rFonts w:ascii="Times New Roman" w:cs="Times New Roman"/>
          <w:color w:val="0070C0"/>
          <w:spacing w:val="0"/>
          <w:sz w:val="16"/>
          <w:szCs w:val="16"/>
        </w:rPr>
      </w:pPr>
    </w:p>
    <w:p w14:paraId="562D48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lang w:val="en-US"/>
        </w:rPr>
        <w:t>November</w:t>
      </w:r>
      <w:r w:rsidRPr="00722885">
        <w:rPr>
          <w:color w:val="000000" w:themeColor="text1"/>
          <w:sz w:val="16"/>
          <w:szCs w:val="16"/>
        </w:rPr>
        <w:t xml:space="preserve"> 5 1942 </w:t>
      </w:r>
      <w:r w:rsidRPr="00722885">
        <w:rPr>
          <w:color w:val="000000" w:themeColor="text1"/>
          <w:sz w:val="16"/>
          <w:szCs w:val="16"/>
          <w:lang w:val="en-US"/>
        </w:rPr>
        <w:t>Axis</w:t>
      </w:r>
      <w:r w:rsidRPr="00722885">
        <w:rPr>
          <w:color w:val="000000" w:themeColor="text1"/>
          <w:sz w:val="16"/>
          <w:szCs w:val="16"/>
        </w:rPr>
        <w:t xml:space="preserve"> </w:t>
      </w:r>
      <w:r w:rsidRPr="00722885">
        <w:rPr>
          <w:color w:val="000000" w:themeColor="text1"/>
          <w:sz w:val="16"/>
          <w:szCs w:val="16"/>
          <w:lang w:val="en-US"/>
        </w:rPr>
        <w:t>troops</w:t>
      </w:r>
      <w:r w:rsidRPr="00722885">
        <w:rPr>
          <w:color w:val="000000" w:themeColor="text1"/>
          <w:sz w:val="16"/>
          <w:szCs w:val="16"/>
        </w:rPr>
        <w:t xml:space="preserve"> </w:t>
      </w:r>
      <w:r w:rsidRPr="00722885">
        <w:rPr>
          <w:color w:val="000000" w:themeColor="text1"/>
          <w:sz w:val="16"/>
          <w:szCs w:val="16"/>
          <w:lang w:val="en-US"/>
        </w:rPr>
        <w:t>withdraw</w:t>
      </w:r>
      <w:r w:rsidRPr="00722885">
        <w:rPr>
          <w:color w:val="000000" w:themeColor="text1"/>
          <w:sz w:val="16"/>
          <w:szCs w:val="16"/>
        </w:rPr>
        <w:t xml:space="preserve"> </w:t>
      </w:r>
      <w:r w:rsidRPr="00722885">
        <w:rPr>
          <w:color w:val="000000" w:themeColor="text1"/>
          <w:sz w:val="16"/>
          <w:szCs w:val="16"/>
          <w:lang w:val="en-US"/>
        </w:rPr>
        <w:t>from</w:t>
      </w:r>
      <w:r w:rsidRPr="00722885">
        <w:rPr>
          <w:color w:val="000000" w:themeColor="text1"/>
          <w:sz w:val="16"/>
          <w:szCs w:val="16"/>
        </w:rPr>
        <w:t xml:space="preserve"> </w:t>
      </w:r>
      <w:r w:rsidRPr="00722885">
        <w:rPr>
          <w:color w:val="000000" w:themeColor="text1"/>
          <w:sz w:val="16"/>
          <w:szCs w:val="16"/>
          <w:lang w:val="en-US"/>
        </w:rPr>
        <w:t>El</w:t>
      </w:r>
      <w:r w:rsidRPr="00722885">
        <w:rPr>
          <w:color w:val="000000" w:themeColor="text1"/>
          <w:sz w:val="16"/>
          <w:szCs w:val="16"/>
        </w:rPr>
        <w:t xml:space="preserve"> </w:t>
      </w:r>
      <w:r w:rsidRPr="00722885">
        <w:rPr>
          <w:color w:val="000000" w:themeColor="text1"/>
          <w:sz w:val="16"/>
          <w:szCs w:val="16"/>
          <w:lang w:val="en-US"/>
        </w:rPr>
        <w:t>Alamein</w:t>
      </w:r>
      <w:r w:rsidRPr="00722885">
        <w:rPr>
          <w:color w:val="000000" w:themeColor="text1"/>
          <w:sz w:val="16"/>
          <w:szCs w:val="16"/>
        </w:rPr>
        <w:t xml:space="preserve"> </w:t>
      </w:r>
      <w:r w:rsidRPr="00722885">
        <w:rPr>
          <w:color w:val="000000" w:themeColor="text1"/>
          <w:sz w:val="16"/>
          <w:szCs w:val="16"/>
          <w:lang w:val="en-US"/>
        </w:rPr>
        <w:t>area</w:t>
      </w:r>
      <w:r w:rsidRPr="00722885">
        <w:rPr>
          <w:color w:val="000000" w:themeColor="text1"/>
          <w:sz w:val="16"/>
          <w:szCs w:val="16"/>
        </w:rPr>
        <w:t xml:space="preserve"> (1037).</w:t>
      </w:r>
    </w:p>
    <w:p w14:paraId="2232469C" w14:textId="77777777" w:rsidR="00090C9B" w:rsidRPr="00722885" w:rsidRDefault="00090C9B" w:rsidP="00722885">
      <w:pPr>
        <w:pStyle w:val="Iauiue"/>
        <w:jc w:val="both"/>
        <w:rPr>
          <w:color w:val="000000" w:themeColor="text1"/>
          <w:sz w:val="16"/>
          <w:szCs w:val="16"/>
        </w:rPr>
      </w:pPr>
    </w:p>
    <w:p w14:paraId="7DCB9C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ноября 1942 силы оси начали отвод войск от Эль Аламейна (1037).</w:t>
      </w:r>
    </w:p>
    <w:p w14:paraId="073AD037" w14:textId="77777777" w:rsidR="00090C9B" w:rsidRPr="00722885" w:rsidRDefault="00090C9B" w:rsidP="00722885">
      <w:pPr>
        <w:pStyle w:val="Iauiue"/>
        <w:jc w:val="both"/>
        <w:rPr>
          <w:color w:val="000000" w:themeColor="text1"/>
          <w:sz w:val="16"/>
          <w:szCs w:val="16"/>
        </w:rPr>
      </w:pPr>
    </w:p>
    <w:p w14:paraId="7652907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87C1D4F" w14:textId="77777777" w:rsidR="00090C9B" w:rsidRPr="00722885" w:rsidRDefault="00090C9B" w:rsidP="00722885">
      <w:pPr>
        <w:pStyle w:val="Iauiue"/>
        <w:jc w:val="both"/>
        <w:rPr>
          <w:iCs/>
          <w:color w:val="000000" w:themeColor="text1"/>
          <w:sz w:val="16"/>
          <w:szCs w:val="16"/>
        </w:rPr>
      </w:pPr>
    </w:p>
    <w:p w14:paraId="2C7D4D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ноября 1942 А.И.Ш. в проекте письма Ком. ВВС Новикову на N 376269 писал:</w:t>
      </w:r>
    </w:p>
    <w:p w14:paraId="5E0093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Ваше письмо по вопросу разработки образцов Ил-2 в варианте артиллерийского разведчика-корректировщика, сообщаю:</w:t>
      </w:r>
    </w:p>
    <w:p w14:paraId="571B27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Оборудование двухместного самолета Ил-2 с АМ-38 в варианте артиллерийского разведчика-корректировщика невозможно, вследствие значительного ухудшения центровки, его взлетных качеств, а также неудовлетворительного размещения дополнительного оборудования, требуемого ТТТ.</w:t>
      </w:r>
    </w:p>
    <w:p w14:paraId="47D2A0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Согласно постановления ГКО от 25 сентября 1942, ГК С.В.И. строится модификация Ил-2 под АМ-42, в которой предусматривается выполнение требований, предъявляемых к варианту артиллерийского корректировщика-разведчика. Эта модификация выпускается на испытания 15 января 1943.</w:t>
      </w:r>
    </w:p>
    <w:p w14:paraId="76518A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проверки размещения оборудования и выполнения требований, предъявляемых к этому варианту самолета, в настоящее время С.В.И. оборудуется двухместный Ил-2 с М-82, который намечается подготовить для полетов к 1 декабря 1942." (1632,292).</w:t>
      </w:r>
    </w:p>
    <w:p w14:paraId="313385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этому проекту прилагался и проект приказа НКАП:</w:t>
      </w:r>
    </w:p>
    <w:p w14:paraId="2092EF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отработки вопросов размещения дополнительного оборудования и выполнения требований, предъявляемых к артиллерийскому самолету разведчику-корректировщику, Приказываю:</w:t>
      </w:r>
    </w:p>
    <w:p w14:paraId="3FE8DB7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Директору и ГК завода 240 С.В.И. оборудовать двухместный самолет Ил-2 с М-82, в соответствии с ТТТ на артиллерийский самолет р-к и выпустить в полет 1 декабря с.г. (1632,293).</w:t>
      </w:r>
    </w:p>
    <w:p w14:paraId="63389B6E" w14:textId="77777777" w:rsidR="00090C9B" w:rsidRPr="00722885" w:rsidRDefault="00090C9B" w:rsidP="00722885">
      <w:pPr>
        <w:pStyle w:val="Iauiue"/>
        <w:jc w:val="both"/>
        <w:rPr>
          <w:color w:val="000000" w:themeColor="text1"/>
          <w:sz w:val="16"/>
          <w:szCs w:val="16"/>
        </w:rPr>
      </w:pPr>
    </w:p>
    <w:p w14:paraId="0DAFA9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ноября 1942 согласно справке 8 ГУ от 10 ноября 1942 были закончены 100 час. официальные испытания АМ-38Ф на станке.</w:t>
      </w:r>
    </w:p>
    <w:p w14:paraId="26F5F6C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Внедрение мотора в серийное производство намечено осуществить путем постепенной замены выпуска АМ-38. Полный переход на серийный выпуск АМ-38Ф намечен на 1 февраля 1943 (2504,26).</w:t>
      </w:r>
    </w:p>
    <w:p w14:paraId="4508DE99" w14:textId="77777777" w:rsidR="00090C9B" w:rsidRPr="00722885" w:rsidRDefault="00090C9B" w:rsidP="00722885">
      <w:pPr>
        <w:pStyle w:val="Iauiue"/>
        <w:jc w:val="both"/>
        <w:rPr>
          <w:color w:val="000000" w:themeColor="text1"/>
          <w:sz w:val="16"/>
          <w:szCs w:val="16"/>
        </w:rPr>
      </w:pPr>
    </w:p>
    <w:p w14:paraId="005077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С 6 ноября 1942 по 6 февраля 1943 проводилась опытная эксплуатация М-30Б на Пе-8 (ТБ-7) N 42038 22 завода в 45 АД ДД. Ли Лисачев. 35 полетов, 2 боевых. Заменили 3 мотора (995,1).</w:t>
      </w:r>
    </w:p>
    <w:p w14:paraId="29F84918" w14:textId="77777777" w:rsidR="00090C9B" w:rsidRPr="00722885" w:rsidRDefault="00090C9B" w:rsidP="00722885">
      <w:pPr>
        <w:pStyle w:val="Iauiue"/>
        <w:jc w:val="both"/>
        <w:rPr>
          <w:color w:val="000000" w:themeColor="text1"/>
          <w:sz w:val="16"/>
          <w:szCs w:val="16"/>
        </w:rPr>
      </w:pPr>
    </w:p>
    <w:p w14:paraId="5E340460" w14:textId="77777777" w:rsidR="00121990" w:rsidRPr="00722885" w:rsidRDefault="00121990"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ноября 1942 года после заводских испытаний ТБ-7 №42038, на который установили четыре М-30Б, сдали в опытную эксплуатацию в 45-ю дивизию АДД, где экипаж летчика Лисачева сделал 35 полетов, в т.ч. два боевых. По бумагам М-30Б работали нормально до потолка 9000 м, но за это время пришлось поменять три дизеля. В 1942 году построили еще два ТБ-7 с М-30Б, но улучшенные дизели строились пока поштучно (22871).</w:t>
      </w:r>
    </w:p>
    <w:p w14:paraId="0C98AFBE" w14:textId="77777777" w:rsidR="00121990" w:rsidRPr="00722885" w:rsidRDefault="00121990" w:rsidP="00722885">
      <w:pPr>
        <w:shd w:val="clear" w:color="auto" w:fill="FFFFFF"/>
        <w:spacing w:after="0" w:line="240" w:lineRule="auto"/>
        <w:jc w:val="both"/>
        <w:rPr>
          <w:rFonts w:ascii="Times New Roman" w:hAnsi="Times New Roman"/>
          <w:color w:val="0070C0"/>
          <w:sz w:val="16"/>
          <w:szCs w:val="16"/>
        </w:rPr>
      </w:pPr>
    </w:p>
    <w:p w14:paraId="3518F8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ноября 1942 года самолет Пе-8 4М-30Б №42038 прибыл с завода в 45-ю дивизию АДД и проходил испытания по программе опытной эксплуатации до 6 февраля 1943 года. За этот период было выполнено 35 полетов, из них два полета на боевое задание. За время опытно-боевой эксплуатации по причинам различных дефектов было заменено три двигателя М-30Б. Основные дефекты двигателей были в основном производственно-технологического характера, сопровождавшиеся поломками элементов и агрегатов двигателя. На основе испытаний была дана удовлетворительная оценка работе М-30Б на Пе-8. В заключении к акту по испытаниям отмечалось: "В процессе эксплуатации М-30Б на самолете Пе-8 работал удовлетворительно на всем диапазоне высот до 9000 м.</w:t>
      </w:r>
    </w:p>
    <w:p w14:paraId="1A0087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Двигатели могут быть рекомендованы в серийное производство для самолета Пе-8. Устранить все дефекты, выявленные в опытной эксплуатации" (7685).</w:t>
      </w:r>
    </w:p>
    <w:p w14:paraId="21595D03" w14:textId="77777777" w:rsidR="00090C9B" w:rsidRPr="00722885" w:rsidRDefault="00090C9B" w:rsidP="00722885">
      <w:pPr>
        <w:pStyle w:val="Iauiue"/>
        <w:jc w:val="both"/>
        <w:rPr>
          <w:color w:val="000000" w:themeColor="text1"/>
          <w:sz w:val="16"/>
          <w:szCs w:val="16"/>
        </w:rPr>
      </w:pPr>
    </w:p>
    <w:p w14:paraId="7C51F6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6 ноября 1942 по 6 февраля 1943 Ли Лисачев проводил испытания по опытной эксплуатации М-30Б на Пе-8 (ТБ-7) N 42038 22 завода в 45 АД ДД.</w:t>
      </w:r>
    </w:p>
    <w:p w14:paraId="6F7732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16 февраля 1943 Командующий АДД гл Головин утвердил Акт по результатам </w:t>
      </w:r>
    </w:p>
    <w:p w14:paraId="4AE4D2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Отв. Исполнители:</w:t>
      </w:r>
    </w:p>
    <w:p w14:paraId="476075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си 45 АД ДД и/м Ануров</w:t>
      </w:r>
    </w:p>
    <w:p w14:paraId="5A771F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 к-р эск. 45 АД ДД м Лисачев</w:t>
      </w:r>
    </w:p>
    <w:p w14:paraId="27054E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 НИИ ВВС и/м Шибаев</w:t>
      </w:r>
    </w:p>
    <w:p w14:paraId="119833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 и эск. И/к Андреев</w:t>
      </w:r>
    </w:p>
    <w:p w14:paraId="170E33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Результат испытаний:</w:t>
      </w:r>
    </w:p>
    <w:p w14:paraId="16CBDC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 Пе-8 с 4хМ-30Б № 42038 22 завода прибыл на испытания в 45 АД ДД 6 ноября 1942. Испытание закончено 6 февраля 1943. В качестве охлаждающей жидкости исп. Антифриз, масло МЗС и МС, горючее тракторный керосин. Было выполнено 35 полетов, из них 2 для выполнения боевых задач. За время опытно-боевой эксплоатации по причинам различных дефектов было заменено три мотора (№№ 375, 371, 365).</w:t>
      </w:r>
    </w:p>
    <w:p w14:paraId="25C64D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 375 - поломка коренной опоры кулачкового вала выхлопа правого блока</w:t>
      </w:r>
    </w:p>
    <w:p w14:paraId="439E7C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 371 - разрушение уплотнительных колец и прогара шестого поршня правого блока</w:t>
      </w:r>
    </w:p>
    <w:p w14:paraId="321FE8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 365 - падение давления масла в магистрали (трещина в алюминиевой заглушке третьей мотылевой шайбы коленчатого вала)</w:t>
      </w:r>
    </w:p>
    <w:p w14:paraId="0D21C9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Другиме основные дефекты мотором М-30Б:</w:t>
      </w:r>
    </w:p>
    <w:p w14:paraId="644C14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трещины в головке топливного насоса ТН-2 мотора № 367</w:t>
      </w:r>
    </w:p>
    <w:p w14:paraId="55BDAA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поломка четырех пружин плунжеров этого же мотора</w:t>
      </w:r>
    </w:p>
    <w:p w14:paraId="6834C1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продавливание шарика и пружинки обратного клапана штуцера заправки масляной магистрали при запрпвке маслом (мотор № 389)</w:t>
      </w:r>
    </w:p>
    <w:p w14:paraId="4AF6F6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поломка рессоры привода топливной помпы на моторе № 362</w:t>
      </w:r>
    </w:p>
    <w:p w14:paraId="7F4FA8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Общий вес самолета - 22761 кг</w:t>
      </w:r>
    </w:p>
    <w:p w14:paraId="2E066D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28000, 31000, 34000.</w:t>
      </w:r>
    </w:p>
    <w:p w14:paraId="479290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5CAFCD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 процессе опытной эксплоатации моторы М-30Б на с-те Пе-8 работали удовлетворительно на всем диапазоне высот до 9000 м. Моторы могут быть рекомендованы в серийное производство для самолета Пе-8</w:t>
      </w:r>
    </w:p>
    <w:p w14:paraId="5F6C8C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...устранить все дефекты, выявленные в опытной эксплоатации и указанные в выводах настоящего отчета</w:t>
      </w:r>
    </w:p>
    <w:p w14:paraId="6263AA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Ги АДД гм иас </w:t>
      </w:r>
    </w:p>
    <w:p w14:paraId="249402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 45 АД ДД п Лебедев (995,1)</w:t>
      </w:r>
    </w:p>
    <w:p w14:paraId="5D3E2E2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57E4B0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9119E8A" w14:textId="77777777" w:rsidR="00090C9B" w:rsidRPr="00722885" w:rsidRDefault="00090C9B" w:rsidP="00722885">
      <w:pPr>
        <w:pStyle w:val="Iauiue"/>
        <w:jc w:val="both"/>
        <w:rPr>
          <w:iCs/>
          <w:color w:val="000000" w:themeColor="text1"/>
          <w:sz w:val="16"/>
          <w:szCs w:val="16"/>
        </w:rPr>
      </w:pPr>
    </w:p>
    <w:p w14:paraId="43FC01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ноября 1942 г. Барнаульский завод транспортного машиностроения (Завод № 77 НКТП, Минтрансмаша, Барнаульский завод транспортного машиностроения, А-7494, ОАО «Холдинговая компания (ХК) «Барнаултрансмаш» (БТМ) /г. Барнаул а/я 13/ /656037  г. Барнаул пр. Калинина, 28 тел. 77-08-11/) выдал первую продукцию- танковые дизели В-2, этот день стал официальным днем рождения завода. 12.11.1942 г. вышло постановление ГКО № 2509 о пуске Барнаульского завода танковых дизелей. Имел наименование- «п/я А-7494».</w:t>
      </w:r>
    </w:p>
    <w:p w14:paraId="35C51A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по заданию МСП проведена конвертация танкового дизеля В-4 в вариант для катеров «Алтай-6», на его базе создан ЗД6.</w:t>
      </w:r>
    </w:p>
    <w:p w14:paraId="65841E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1992 г. - ОАО ХК «Барнаултрансмаш». С 2002 г. входило в СОК (2003 г.), затем было продано. По решению правительства № 22-р от 9.01.2004 г. вошло в перечень стратегических предприятий. В 2007 г. входило в группу ГАЗ.</w:t>
      </w:r>
    </w:p>
    <w:p w14:paraId="188E9D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Компания имела дочерние предприятия (2002 г.): Барнаульский завод топливной аппаратуры (БЗТА), Барнаульский кузнечный завод (БКЗ), АО «СТО», АО «АЛТИС» (производство ТИП), АО «Торговое предприятие «Барнаултрансмаш».</w:t>
      </w:r>
    </w:p>
    <w:p w14:paraId="323824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(2002 г.)- П. Г. Рожков.</w:t>
      </w:r>
    </w:p>
    <w:p w14:paraId="2EDB08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по техническому развитию (2002 г.)- Н.И. Валуйский.</w:t>
      </w:r>
    </w:p>
    <w:p w14:paraId="23E4BD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(1941 г.-)- М.П. Поддубный.</w:t>
      </w:r>
    </w:p>
    <w:p w14:paraId="1937762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(1941 г.-)- Е. Лев, (2002 г.)- А.С. Калюнов.</w:t>
      </w:r>
    </w:p>
    <w:p w14:paraId="7FBC52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Коммерческий директор (2002 г.)- А.С. Понимаскин. Финансовый директор (2002 г.)- Т.А. Степанова.</w:t>
      </w:r>
    </w:p>
    <w:p w14:paraId="76ACD8F6" w14:textId="77777777" w:rsidR="00C63247"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(2004): дизельные двигатели: танковые В-2, В-16 (ВОВ)- всего более 10.000; Д20 для БМП (1960-е), транспортный Д25 (1970-е); судовые главные и вспомогательные: «Алтай-6», ЗД6, ЗД12А, ЗД6С2, ЗД6Н, ЗД20 (1970-е), ЗДОЗ, ЗД25; дизель-генераторные установки УЗОА, У39, У34Н, У36Н, У45Н; транспортные 1Д12- 400С2, Д12А-525А; многоцелевые БМД-30, БМД-40, БМД-80; автокомпоненты.</w:t>
      </w:r>
    </w:p>
    <w:p w14:paraId="600C42B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по дизелям завода № 77, КБ завода «Барнаултрансмаш»</w:t>
      </w:r>
    </w:p>
    <w:p w14:paraId="516734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(11.1958 г.-)- Б. Г. Егоров.</w:t>
      </w:r>
    </w:p>
    <w:p w14:paraId="7F5129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дизельные двигатели: В-6М, УТД-20, УТД-29 для БТР; судовые для катеров ЗД20 (1965), ЗД20Б (1970-е) (11982).</w:t>
      </w:r>
    </w:p>
    <w:p w14:paraId="67C26E3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90C3830"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ноября</w:t>
      </w:r>
      <w:r w:rsidRPr="00722885">
        <w:rPr>
          <w:rFonts w:ascii="Times New Roman" w:hAnsi="Times New Roman"/>
          <w:color w:val="000000" w:themeColor="text1"/>
          <w:sz w:val="16"/>
          <w:szCs w:val="16"/>
        </w:rPr>
        <w:t xml:space="preserve"> в 1942 году основано ОАО "Холдинговая компания "Барнаултрансмаш". Сегодня ОАО "Холдинговая компания "Барнаултрансмаш" - специализированное предприятие по конструированию и производству быстроходных дизелей и агрегатов на их базе, имеющее полный производственно - технологический цикл, включая заготовительные, кузнечно-прессовое, металлургическое, механосборочные производства. "Барнаултрансмаш" - один из основных производителей дизельной продукции мощностью до 1000 л.с. и дизель-генераторов мощностью от 16 до 315 кВт. Выпускаемые предприятием народно-хозяйственные модификации двигателей и ДГУ широко используются в железнодорожном, морском, речном и автомобильном транспорте, изделиях строительно-дорожного машиностроения, нефтегазового комплекса, судовых, стационарных и передвижных энергетических установках. Предприятие имеет на производстве более 450 модификаций дизелей и дизель-генераторов. Широкая номенклатура предприятия представлена в разделе "Продукция", все поставки осуществляет Торговый дом "Барнаултрансмаш". "Барнаултрансмаш" является крупным разработчиком и производителем дизельной продукции для военной техники. Разработанные и находящиеся на производстве дизели типа Д6, Д12, УТД-20, УТД-29, дизель-генераторы У94, У96 и У45 хорошо зарекомендовали себя при эксплуатации в изделиях бронетанковой и ракетной техники в условиях высокогорья и жарких пустынь, экватора и Заполярья. Предприятие постоянно ведет работы по совершенствованию выпускаемой продукции, повышению ее технико-экономических показателей (14822).</w:t>
      </w:r>
    </w:p>
    <w:p w14:paraId="54D43FFC"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6DA7896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F4E181E" w14:textId="77777777" w:rsidR="00090C9B" w:rsidRPr="00722885" w:rsidRDefault="00090C9B" w:rsidP="00722885">
      <w:pPr>
        <w:pStyle w:val="Iauiue"/>
        <w:jc w:val="both"/>
        <w:rPr>
          <w:iCs/>
          <w:color w:val="000000" w:themeColor="text1"/>
          <w:sz w:val="16"/>
          <w:szCs w:val="16"/>
        </w:rPr>
      </w:pPr>
    </w:p>
    <w:p w14:paraId="020014A3"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ноября</w:t>
      </w:r>
      <w:r w:rsidRPr="00722885">
        <w:rPr>
          <w:rFonts w:ascii="Times New Roman" w:hAnsi="Times New Roman"/>
          <w:color w:val="000000" w:themeColor="text1"/>
          <w:sz w:val="16"/>
          <w:szCs w:val="16"/>
        </w:rPr>
        <w:t xml:space="preserve"> в 1942 году утреннее сообщение Совинформбюро:</w:t>
      </w:r>
    </w:p>
    <w:p w14:paraId="58246D9B"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6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088DBC97"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районе Сталинграда наши войска отбивали атаки пехоты и танков противника. Бойцы Н-ской части, действующей в районе одного из заводов, предприняли контратаку, разгромили две роты гитлеровцев и несколько улучшили свои позиции. На другом участке группа танков противника атаковала наши артиллерийские </w:t>
      </w:r>
      <w:r w:rsidRPr="00722885">
        <w:rPr>
          <w:rFonts w:ascii="Times New Roman" w:hAnsi="Times New Roman"/>
          <w:color w:val="000000" w:themeColor="text1"/>
          <w:sz w:val="16"/>
          <w:szCs w:val="16"/>
        </w:rPr>
        <w:lastRenderedPageBreak/>
        <w:t>позиции. Артиллеристы под командованием лейтенанта Кемир-Булата прямой наводкой уничтожили 8 немецких танков. Остальные танки противника быстро скрылись.</w:t>
      </w:r>
    </w:p>
    <w:p w14:paraId="408898D7"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наносили удары по боевым порядкам немецких войск. За сутки они уничтожили 7 артиллерийских и 6 миномётных батарей, 28 пулемётных точек, рассеяли и частью истребили до роты немецкой пехоты.</w:t>
      </w:r>
    </w:p>
    <w:p w14:paraId="535C3B7C"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одном из участков артиллеристы Н-ской части разрушили 14 немецких дзотов и блиндажей, подавили огонь артиллерийской и двух миномётных батарей. На другом участке наши разведчики проникли в тыл противникаи уничтожили 8 повозок с боеприпасами, 5 повозок с продовольствием и свыше 40 гитлеровцев.</w:t>
      </w:r>
    </w:p>
    <w:p w14:paraId="1462D38C"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продолжались упорные бои. На одном из участков полк пехоты противника, поддержанный танками, предпринял атаку наших опорных пунктов. Советские бойцы встретили врага артиллерийским и миномётным огнём. Потеряв убитыми до 300 солдат и офицеров, немцы отошли на исходные позиции. На поле боя осталось 7 сгоревших танков противника.</w:t>
      </w:r>
    </w:p>
    <w:p w14:paraId="2E5A70FC"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советские войска на одном из участков продолжали вести активные боевые действия. В ходе этих боёв уничтожено до 300 гитлеровцев, 3 орудия, 8 миномётов и 6 пулемётов. Захвачены трофеи и пленные. За два дня нашими зенитчиками сбито 16 немецких самолётов.</w:t>
      </w:r>
    </w:p>
    <w:p w14:paraId="5EAD4631"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 снайперы за три дня истребили 820 вражеских солдат и офицеров. Огнём артиллерии разрушено 28 дзотов и 17 блиндажей противника. Подразделение, где командиром тов. Лукин, преодолев проволочные заграждения, достигло немецких траншей и атаковало находившихся в них гитлеровцев. В результате этой операции уничтожено 40 немецких солдат, захвачено 7 ручных пулемётов, 2 миномёта, 4 гранатомёта и радиостанция.</w:t>
      </w:r>
    </w:p>
    <w:p w14:paraId="386AAD0E"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калининских партизан в бою с противником уничтожил 115 немецко-фашистских оккупантов. Этот же отряд партизан совершил налёт на занятый гитлеровцами населённый пункт. Партизаны истребили 180 немецких солдат и офицеров и захватили 4 автомашины с оружием и боеприпасами.</w:t>
      </w:r>
    </w:p>
    <w:p w14:paraId="6F7DB119"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смоленских партизан пустил под откос 2 железнодорожных эшелона противника. Разбито 2 паровоза, 22 воинских вагона, 6 цистерн с горючим и 4 платформы с военной техникой и боеприпасами.</w:t>
      </w:r>
    </w:p>
    <w:p w14:paraId="44000311"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сожгли 234 дома, школу и другие общественные здания в селе Глинное, Орловской области. Фашистские палачи замучили и расстреляли многих крестьян этого села. Колхозника Павла Ермольева бандиты бросили в горящий дом. Гитлеровцы запороли до смерти плетьми 60-летнюю колхозницу Наталью Абанину. Группа немецких солдат надругалась над 16-летней колхозницей Евдокией Козловой, а потом расстреляла её. 122 семьи колхозников села Глинное гитлеровцы угнали на принудительные работы.</w:t>
      </w:r>
    </w:p>
    <w:p w14:paraId="4F828E19"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Несколько партизанских отрядов Югославии за три недели боевых действий истребили до 1.500 немецко-итальянских оккупантов. В боях с оккупантами югославские патриоты захватили большие трофеи. Один партизанский отряд захватил у итальянцев 245 винтовок, 10 пулемётов и 6.000 патронов. Партизаны другого отряда захватили у противника 2 орудия, миномёт, 17 пулемётов, 350 винтовок и 30000 винтовочных патронов.» (14822).</w:t>
      </w:r>
    </w:p>
    <w:p w14:paraId="5E9236A3"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2A46F816"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ноября</w:t>
      </w:r>
      <w:r w:rsidRPr="00722885">
        <w:rPr>
          <w:rFonts w:ascii="Times New Roman" w:hAnsi="Times New Roman"/>
          <w:color w:val="000000" w:themeColor="text1"/>
          <w:sz w:val="16"/>
          <w:szCs w:val="16"/>
        </w:rPr>
        <w:t xml:space="preserve"> в 1942 году вечернее сообщение Совинформбюро:</w:t>
      </w:r>
    </w:p>
    <w:p w14:paraId="7FA83AE8"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6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73E8CB17"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 немецкий транспорт водоизмещениемв 15.000 тонн.</w:t>
      </w:r>
    </w:p>
    <w:p w14:paraId="44C43874"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5 ноября нашей авиацией на различных участках фронта уничтожено 10 немецких автомашин с войсками и грузами, разбито 40 железнодорожных вагонов, подавлен огонь 4 артиллерийских батарей и 28 пулемётных точек.</w:t>
      </w:r>
    </w:p>
    <w:p w14:paraId="36B680CD"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Противник крупными силами пехоты и танков атаковал наши части, обороняющие район заводов. Группы немецких самолётов бомбили боевые порядки советских войск. Все атаки гитлеровцев отбиты с большими для них потерями. Под ударами наших частей немцы отошли на исходные позиции. В этих боях уничтожено до 1000 вражеских солдат и офицеров, 11 немецких танков, 20 автомашин, разрушено 6 дзотов и блиндажей.</w:t>
      </w:r>
    </w:p>
    <w:p w14:paraId="1277F6F7"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Защитники города самоотверженно ведут борьбу с врагом. Гвардии красноармеец т. Невзоров, отбивая атаку противника огнём из пулемёта, истребил более 50 гитлеровцев. Гвардии красноармеец т. Рызченко проник к немецкому дзоту и гранатами уничтожил 12 гитлеровцев. Двух выскочивших из дзота немцев советский воин заколол штыком. Взвод противотанковых ружей сержанта т. Коршунова подбил и сжёг 7 немецких танков.</w:t>
      </w:r>
    </w:p>
    <w:p w14:paraId="1F4A27F1"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огневой бой с противником. Артиллеристы и миномётчики Н-ской части уничтожили вражескую батарею 75-мм пушек, наблюдательный пункт, 2 автомашины с грузами и 6 повозок с боеприпасами. Огнём артиллерии другой нашей части рассеяно и частью уничтожено в одной балке скопление до 400 солдат противника.</w:t>
      </w:r>
    </w:p>
    <w:p w14:paraId="7AEB0397"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советские войска вели упорные бои с танками и пехотой противника. На участке обороны Н-ского соединения отбиты три ожесточённые атаки гитлеровцев. На поле боя осталось до 400 вражеских трупов и 5 сожжённых танков. Огнём артиллерии рассеяно и частью уничтожено до батальона немецкой пехоты.</w:t>
      </w:r>
    </w:p>
    <w:p w14:paraId="24F5BD28"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происходили бои местного значения. На одном участке наши части уничтожали мелкие группы противника. Отряд бойцов под командованием капитана Артюшенко проник в тыл немцам, внезапно атаковал врага и в короткой схватке уничтожил более 60 гитлеровцев. Красноармеец т. Кузин из противотанкового ружья сбил немецкий самолёт. Захваченный в плен немецкий солдат Томас Инце сообщил, что за один день боёв его рота потеряла 72 человека убитымии ранеными. Вечером от огневого налёта советской артиллерии погибло ещё 26 солдат. В результате от роты осталось всего лишь несколько человек. Огромные потери понесли и другие немецкие подразделения.</w:t>
      </w:r>
    </w:p>
    <w:p w14:paraId="02666068"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батальон немецкой пехоты пытался захватить важную в тактическом отношении высоту. Вначале противнику удалось потеснить наше боевое охранение. Подразделения тов. Соколова перешли вконтратаку и отбросили немцев. Гитлеровцы потеряли до роты пехоты. Наши бойцы захватили 4 миномёта, 2 пулемёта и другие трофеи.</w:t>
      </w:r>
    </w:p>
    <w:p w14:paraId="2C8D2417"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партизаны непрерывно наносят удары немецко-фашистским захватчикам. По далеко не полным данным, партизанские отряды за три дня пустили под откос 42 железнодорожных эшелона с живой силой и техникой противника. За этот же срок советские патриоты истребили до 1500 немецких солдат, офицеров и полицейских.» (14822).</w:t>
      </w:r>
    </w:p>
    <w:p w14:paraId="3DAE4393"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6163383D"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ноября</w:t>
      </w:r>
      <w:r w:rsidRPr="00722885">
        <w:rPr>
          <w:rFonts w:ascii="Times New Roman" w:hAnsi="Times New Roman"/>
          <w:color w:val="000000" w:themeColor="text1"/>
          <w:sz w:val="16"/>
          <w:szCs w:val="16"/>
        </w:rPr>
        <w:t xml:space="preserve"> в 1942 году в завершающую фазу вступила Нальчикско-Орджоникидзевская операция, в результате которой войсками Северной группы Закавказского фронта была разбита гизельская группировка противника, сорвана последняя попытка врага прорваться к Грозненскому и Бакинскому нефтяным районам и в Закавказье (14822).</w:t>
      </w:r>
    </w:p>
    <w:p w14:paraId="36717432"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39837B8E"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6, 1942: Halted before Ordshonikidse in the Caucasus, 13.Panzer-Division is fighting to prevent being cut off by superior Soviet forces attacking its flanks and rear (3819).</w:t>
      </w:r>
    </w:p>
    <w:p w14:paraId="0427C4D1" w14:textId="77777777" w:rsidR="00090C9B" w:rsidRPr="00722885" w:rsidRDefault="00090C9B" w:rsidP="00722885">
      <w:pPr>
        <w:pStyle w:val="Iauiue"/>
        <w:jc w:val="both"/>
        <w:rPr>
          <w:color w:val="000000" w:themeColor="text1"/>
          <w:sz w:val="16"/>
          <w:szCs w:val="16"/>
          <w:lang w:val="en-US"/>
        </w:rPr>
      </w:pPr>
    </w:p>
    <w:p w14:paraId="04B62B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ноября 1942 13ТД, остановленная у Орджоникидзе, отбивалась от попыток отрезать ее (3819).</w:t>
      </w:r>
    </w:p>
    <w:p w14:paraId="5BA88E67" w14:textId="77777777" w:rsidR="00090C9B" w:rsidRPr="00722885" w:rsidRDefault="00090C9B" w:rsidP="00722885">
      <w:pPr>
        <w:pStyle w:val="Iauiue"/>
        <w:jc w:val="both"/>
        <w:rPr>
          <w:color w:val="000000" w:themeColor="text1"/>
          <w:sz w:val="16"/>
          <w:szCs w:val="16"/>
        </w:rPr>
      </w:pPr>
    </w:p>
    <w:p w14:paraId="6C6BE6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ноября 1942 г. часть сил 2-й ВА Воронежского фронта была опера</w:t>
      </w:r>
      <w:r w:rsidRPr="00722885">
        <w:rPr>
          <w:color w:val="000000" w:themeColor="text1"/>
          <w:sz w:val="16"/>
          <w:szCs w:val="16"/>
        </w:rPr>
        <w:softHyphen/>
        <w:t>тивно подчинена командующему Юго-Западного фронта (6467).</w:t>
      </w:r>
    </w:p>
    <w:p w14:paraId="026EEC7F" w14:textId="77777777" w:rsidR="00090C9B" w:rsidRPr="00722885" w:rsidRDefault="00090C9B" w:rsidP="00722885">
      <w:pPr>
        <w:pStyle w:val="Iauiue"/>
        <w:jc w:val="both"/>
        <w:rPr>
          <w:color w:val="000000" w:themeColor="text1"/>
          <w:sz w:val="16"/>
          <w:szCs w:val="16"/>
        </w:rPr>
      </w:pPr>
    </w:p>
    <w:p w14:paraId="7473736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0C1F9AF5" w14:textId="77777777" w:rsidR="00090C9B" w:rsidRPr="00722885" w:rsidRDefault="00090C9B" w:rsidP="00722885">
      <w:pPr>
        <w:pStyle w:val="Iauiue"/>
        <w:jc w:val="both"/>
        <w:rPr>
          <w:iCs/>
          <w:color w:val="000000" w:themeColor="text1"/>
          <w:sz w:val="16"/>
          <w:szCs w:val="16"/>
        </w:rPr>
      </w:pPr>
    </w:p>
    <w:p w14:paraId="33884D58" w14:textId="77777777" w:rsidR="00C63247" w:rsidRPr="00722885" w:rsidRDefault="00C6324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ноября</w:t>
      </w:r>
      <w:r w:rsidRPr="00722885">
        <w:rPr>
          <w:rFonts w:ascii="Times New Roman" w:hAnsi="Times New Roman"/>
          <w:color w:val="000000" w:themeColor="text1"/>
          <w:sz w:val="16"/>
          <w:szCs w:val="16"/>
        </w:rPr>
        <w:t xml:space="preserve"> в 1942 году доклад Председателя Государственного Комитета Обороны И.В.Сталина на торжественном заседании Московского Совета депутатов трудящихся, посвященном 25-й годовщине Великой Октябрьской социалистической революции (14822).</w:t>
      </w:r>
    </w:p>
    <w:p w14:paraId="0F0C067C" w14:textId="77777777" w:rsidR="00C63247" w:rsidRPr="00722885" w:rsidRDefault="00C63247" w:rsidP="00722885">
      <w:pPr>
        <w:spacing w:after="0" w:line="240" w:lineRule="auto"/>
        <w:jc w:val="both"/>
        <w:rPr>
          <w:rFonts w:ascii="Times New Roman" w:hAnsi="Times New Roman"/>
          <w:color w:val="000000" w:themeColor="text1"/>
          <w:sz w:val="16"/>
          <w:szCs w:val="16"/>
        </w:rPr>
      </w:pPr>
    </w:p>
    <w:p w14:paraId="5B616A88" w14:textId="77777777" w:rsidR="00C63247" w:rsidRPr="00722885" w:rsidRDefault="00C63247" w:rsidP="00722885">
      <w:pPr>
        <w:pStyle w:val="ae"/>
        <w:spacing w:before="0" w:after="0"/>
        <w:jc w:val="both"/>
        <w:rPr>
          <w:color w:val="000000" w:themeColor="text1"/>
          <w:sz w:val="16"/>
          <w:szCs w:val="16"/>
        </w:rPr>
      </w:pPr>
      <w:r w:rsidRPr="00722885">
        <w:rPr>
          <w:color w:val="000000" w:themeColor="text1"/>
          <w:sz w:val="16"/>
          <w:szCs w:val="16"/>
        </w:rPr>
        <w:t>6 ноября 1942 года спрятавшийся на Лобном месте Красной площади дезертир Савелий Дмитриев открыл стрельбу по правительственной машине, выехавшей из Спасских ворот Кремля. После того как он сделал несколько выстрелов, террорист был обезврежен охраной, никто не пострадал. Считается, что Дмитриев принял машину Микояна за машину Сталина. Согласно существующим версиям: Дмитриев хотел отомстить либо он был психически болен (17371).</w:t>
      </w:r>
    </w:p>
    <w:p w14:paraId="4340D90B" w14:textId="77777777" w:rsidR="00C63247" w:rsidRPr="00722885" w:rsidRDefault="00C63247" w:rsidP="00722885">
      <w:pPr>
        <w:spacing w:after="0" w:line="240" w:lineRule="auto"/>
        <w:jc w:val="both"/>
        <w:rPr>
          <w:rFonts w:ascii="Times New Roman" w:hAnsi="Times New Roman"/>
          <w:bCs/>
          <w:color w:val="000000" w:themeColor="text1"/>
          <w:sz w:val="16"/>
          <w:szCs w:val="16"/>
        </w:rPr>
      </w:pPr>
    </w:p>
    <w:p w14:paraId="29D35B95" w14:textId="77777777" w:rsidR="00815A2D" w:rsidRPr="00722885" w:rsidRDefault="00815A2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ноября 1942. С Лобного места террорист произвел несколько выстрелов по правительственной машине, выезжавшей из Спасских ворот Кремля, в которой находился А. И. Микоян и сопровождавший его люди. Никто не пострадал. Преступник был задержан (18696).</w:t>
      </w:r>
    </w:p>
    <w:p w14:paraId="2C6D1BC7" w14:textId="77777777" w:rsidR="00815A2D" w:rsidRPr="00722885" w:rsidRDefault="00815A2D" w:rsidP="00722885">
      <w:pPr>
        <w:spacing w:after="0" w:line="240" w:lineRule="auto"/>
        <w:jc w:val="both"/>
        <w:rPr>
          <w:rFonts w:ascii="Times New Roman" w:hAnsi="Times New Roman"/>
          <w:color w:val="000000" w:themeColor="text1"/>
          <w:sz w:val="16"/>
          <w:szCs w:val="16"/>
        </w:rPr>
      </w:pPr>
    </w:p>
    <w:p w14:paraId="70CF610E" w14:textId="77777777" w:rsidR="00C63247"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5ECB4607" w14:textId="77777777" w:rsidR="00C63247" w:rsidRPr="00722885" w:rsidRDefault="00C63247" w:rsidP="00722885">
      <w:pPr>
        <w:pStyle w:val="Iauiue"/>
        <w:jc w:val="both"/>
        <w:rPr>
          <w:iCs/>
          <w:color w:val="000000" w:themeColor="text1"/>
          <w:sz w:val="16"/>
          <w:szCs w:val="16"/>
        </w:rPr>
      </w:pPr>
    </w:p>
    <w:p w14:paraId="374A62C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6 ноября 1942 Сталин публично обвинил союзников в затягивании открытия Второго фронта (4962).</w:t>
      </w:r>
    </w:p>
    <w:p w14:paraId="3BBBEC72" w14:textId="77777777" w:rsidR="00090C9B" w:rsidRPr="00722885" w:rsidRDefault="00090C9B" w:rsidP="00722885">
      <w:pPr>
        <w:pStyle w:val="Iauiue"/>
        <w:tabs>
          <w:tab w:val="left" w:pos="11199"/>
        </w:tabs>
        <w:jc w:val="both"/>
        <w:rPr>
          <w:color w:val="000000" w:themeColor="text1"/>
          <w:sz w:val="16"/>
          <w:szCs w:val="16"/>
        </w:rPr>
      </w:pPr>
    </w:p>
    <w:p w14:paraId="336A92D4"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 xml:space="preserve">November 6, 1942: In a speech to the Congress of Soviet Deputies, Stalin warns the United States and Britain that the absence of a second front against Fascist Germany may end </w:t>
      </w:r>
      <w:r w:rsidRPr="00722885">
        <w:rPr>
          <w:color w:val="000000" w:themeColor="text1"/>
          <w:sz w:val="16"/>
          <w:szCs w:val="16"/>
          <w:lang w:val="en-US"/>
        </w:rPr>
        <w:lastRenderedPageBreak/>
        <w:t>badly for all fredom-loving countries, including the Allies themselves. He declares that the aim of the coalition is to save mankind from reversion to savagery and mediaeval brutality (3819).</w:t>
      </w:r>
    </w:p>
    <w:p w14:paraId="1A8F9873" w14:textId="77777777" w:rsidR="00090C9B" w:rsidRPr="00722885" w:rsidRDefault="00090C9B" w:rsidP="00722885">
      <w:pPr>
        <w:pStyle w:val="Iauiue"/>
        <w:jc w:val="both"/>
        <w:rPr>
          <w:color w:val="000000" w:themeColor="text1"/>
          <w:sz w:val="16"/>
          <w:szCs w:val="16"/>
          <w:lang w:val="en-US"/>
        </w:rPr>
      </w:pPr>
    </w:p>
    <w:p w14:paraId="11D8278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ноября 1942 И.В.С. указал на отсутствие второго фронта в 1942 как главную причину поражений советской армии в 1942 (2070,141).</w:t>
      </w:r>
    </w:p>
    <w:p w14:paraId="2C7239C5" w14:textId="77777777" w:rsidR="00090C9B" w:rsidRPr="00722885" w:rsidRDefault="00090C9B" w:rsidP="00722885">
      <w:pPr>
        <w:pStyle w:val="Iauiue"/>
        <w:jc w:val="both"/>
        <w:rPr>
          <w:color w:val="000000" w:themeColor="text1"/>
          <w:sz w:val="16"/>
          <w:szCs w:val="16"/>
        </w:rPr>
      </w:pPr>
    </w:p>
    <w:p w14:paraId="351F037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1D508AF" w14:textId="77777777" w:rsidR="00090C9B" w:rsidRPr="00722885" w:rsidRDefault="00090C9B" w:rsidP="00722885">
      <w:pPr>
        <w:pStyle w:val="Iauiue"/>
        <w:jc w:val="both"/>
        <w:rPr>
          <w:iCs/>
          <w:color w:val="000000" w:themeColor="text1"/>
          <w:sz w:val="16"/>
          <w:szCs w:val="16"/>
        </w:rPr>
      </w:pPr>
    </w:p>
    <w:p w14:paraId="6F2C9489" w14:textId="77777777" w:rsidR="00121990" w:rsidRPr="00722885" w:rsidRDefault="0012199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ноября 1942 - Первый полёт ночного истребителя Heinkel He 219 Uhu. He 219 был единственным поршневым ночным истребителем, способным совладать с британским Москито, учитывая его скорость, манёвренность и огневую мощь, но он никогда не играл значительной роли в войне, так как промышленность не смогла сделать его в достаточном количестве - построено около 300 экземпляров (21315).</w:t>
      </w:r>
    </w:p>
    <w:p w14:paraId="1C4B454E" w14:textId="77777777" w:rsidR="00121990" w:rsidRPr="00722885" w:rsidRDefault="00121990" w:rsidP="00722885">
      <w:pPr>
        <w:pStyle w:val="36"/>
        <w:shd w:val="clear" w:color="auto" w:fill="auto"/>
        <w:spacing w:after="0" w:line="240" w:lineRule="auto"/>
        <w:jc w:val="both"/>
        <w:rPr>
          <w:rFonts w:ascii="Times New Roman" w:cs="Times New Roman"/>
          <w:color w:val="0070C0"/>
          <w:spacing w:val="0"/>
          <w:sz w:val="16"/>
          <w:szCs w:val="16"/>
        </w:rPr>
      </w:pPr>
    </w:p>
    <w:p w14:paraId="64BADF3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6 ноября 1942 американский генерал Макартур взял на себя командование американскими войсками в Новой Гвинее (4962).</w:t>
      </w:r>
    </w:p>
    <w:p w14:paraId="701313CE" w14:textId="77777777" w:rsidR="00090C9B" w:rsidRPr="00722885" w:rsidRDefault="00090C9B" w:rsidP="00722885">
      <w:pPr>
        <w:pStyle w:val="Iauiue"/>
        <w:tabs>
          <w:tab w:val="left" w:pos="11199"/>
        </w:tabs>
        <w:jc w:val="both"/>
        <w:rPr>
          <w:color w:val="000000" w:themeColor="text1"/>
          <w:sz w:val="16"/>
          <w:szCs w:val="16"/>
        </w:rPr>
      </w:pPr>
    </w:p>
    <w:p w14:paraId="26EBC53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6 ноября 1942 войска вишистской Франции на Мадагаскаре капитулировали англичанам (4962).</w:t>
      </w:r>
    </w:p>
    <w:p w14:paraId="3DF9A0BA" w14:textId="77777777" w:rsidR="00090C9B" w:rsidRPr="00722885" w:rsidRDefault="00090C9B" w:rsidP="00722885">
      <w:pPr>
        <w:pStyle w:val="Iauiue"/>
        <w:tabs>
          <w:tab w:val="left" w:pos="11199"/>
        </w:tabs>
        <w:jc w:val="both"/>
        <w:rPr>
          <w:color w:val="000000" w:themeColor="text1"/>
          <w:sz w:val="16"/>
          <w:szCs w:val="16"/>
        </w:rPr>
      </w:pPr>
    </w:p>
    <w:p w14:paraId="2C97DFE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9767790" w14:textId="77777777" w:rsidR="00090C9B" w:rsidRPr="00722885" w:rsidRDefault="00090C9B" w:rsidP="00722885">
      <w:pPr>
        <w:pStyle w:val="Iauiue"/>
        <w:jc w:val="both"/>
        <w:rPr>
          <w:iCs/>
          <w:color w:val="000000" w:themeColor="text1"/>
          <w:sz w:val="16"/>
          <w:szCs w:val="16"/>
        </w:rPr>
      </w:pPr>
    </w:p>
    <w:p w14:paraId="30D5C1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начале ноября 1942 промышленность стала поставлять на фронт двухместные Ил-2 (341,104).</w:t>
      </w:r>
    </w:p>
    <w:p w14:paraId="1378C44B" w14:textId="77777777" w:rsidR="00090C9B" w:rsidRPr="00722885" w:rsidRDefault="00090C9B" w:rsidP="00722885">
      <w:pPr>
        <w:pStyle w:val="Iauiue"/>
        <w:jc w:val="both"/>
        <w:rPr>
          <w:color w:val="000000" w:themeColor="text1"/>
          <w:sz w:val="16"/>
          <w:szCs w:val="16"/>
        </w:rPr>
      </w:pPr>
    </w:p>
    <w:p w14:paraId="1B0F3D8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ноября 1942 г. завершилась постройка вто</w:t>
      </w:r>
      <w:r w:rsidRPr="00722885">
        <w:rPr>
          <w:rFonts w:ascii="Times New Roman" w:hAnsi="Times New Roman"/>
          <w:color w:val="000000" w:themeColor="text1"/>
          <w:sz w:val="16"/>
          <w:szCs w:val="16"/>
        </w:rPr>
        <w:softHyphen/>
        <w:t>рого экземпляра «эталона для серии». Он предназначал</w:t>
      </w:r>
      <w:r w:rsidRPr="00722885">
        <w:rPr>
          <w:rFonts w:ascii="Times New Roman" w:hAnsi="Times New Roman"/>
          <w:color w:val="000000" w:themeColor="text1"/>
          <w:sz w:val="16"/>
          <w:szCs w:val="16"/>
        </w:rPr>
        <w:softHyphen/>
        <w:t>ся для проведения государственных испытаний. 12 ноября 1942 г. машину опробовали в полете, о чем Ни</w:t>
      </w:r>
      <w:r w:rsidRPr="00722885">
        <w:rPr>
          <w:rFonts w:ascii="Times New Roman" w:hAnsi="Times New Roman"/>
          <w:color w:val="000000" w:themeColor="text1"/>
          <w:sz w:val="16"/>
          <w:szCs w:val="16"/>
        </w:rPr>
        <w:softHyphen/>
        <w:t>колай Николаевич немедленно известил наркома авиа</w:t>
      </w:r>
      <w:r w:rsidRPr="00722885">
        <w:rPr>
          <w:rFonts w:ascii="Times New Roman" w:hAnsi="Times New Roman"/>
          <w:color w:val="000000" w:themeColor="text1"/>
          <w:sz w:val="16"/>
          <w:szCs w:val="16"/>
        </w:rPr>
        <w:softHyphen/>
        <w:t>ционной промышленности СССР Шахурина. Самолет поднял в воздух летчик-испытатель завода № 51 П.Е.Логинов. Его оценка была восторженной: «Об</w:t>
      </w:r>
      <w:r w:rsidRPr="00722885">
        <w:rPr>
          <w:rFonts w:ascii="Times New Roman" w:hAnsi="Times New Roman"/>
          <w:color w:val="000000" w:themeColor="text1"/>
          <w:sz w:val="16"/>
          <w:szCs w:val="16"/>
        </w:rPr>
        <w:softHyphen/>
        <w:t>разцовый самолет И-185 с М-71 по своим летным дан</w:t>
      </w:r>
      <w:r w:rsidRPr="00722885">
        <w:rPr>
          <w:rFonts w:ascii="Times New Roman" w:hAnsi="Times New Roman"/>
          <w:color w:val="000000" w:themeColor="text1"/>
          <w:sz w:val="16"/>
          <w:szCs w:val="16"/>
        </w:rPr>
        <w:softHyphen/>
        <w:t>ным и вооружению является лучшим современным истребителем» (10667).</w:t>
      </w:r>
    </w:p>
    <w:p w14:paraId="32B8141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AE6E0F0" w14:textId="77777777" w:rsidR="00594136" w:rsidRPr="00722885" w:rsidRDefault="0059413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начале ноября 1942 г. завод №51 сдал на испытания И-185 М-71 "Эталон №2". Первый полет на нем заводской летчик Логинов выполнил 12 ноября 1942 г.</w:t>
      </w:r>
    </w:p>
    <w:p w14:paraId="66502E54" w14:textId="77777777" w:rsidR="00594136" w:rsidRPr="00722885" w:rsidRDefault="0059413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нем учли замечания, которые успели выявить на испытаниях "Эталона №1", но в целом эти самолеты были почти идентичны, за исключением проведения обширных мероприятий, направленных на исправление перетяжеления планера, допущенного на первой машине, пустая масса которой получилась на 284 кг больше, чем у самолета №6204 и на 659 кг чем у машины №6202 с мотором М-71. Прибавка веса от перехода на вооружение из трех ШВАКов была чуть более 100 кг, порядка 20 кг давали увеличенные баки (вес собственно системы - полеты с полной заправкой пока не производились) и еще примерно на 130 кг увеличился вес мотора М-71 выпуска конца 1942 г. Остальное пришлось на несовершенство конструкции и плохое качество изготовления.</w:t>
      </w:r>
    </w:p>
    <w:p w14:paraId="2D0E2FDF" w14:textId="77777777" w:rsidR="00594136" w:rsidRPr="00722885" w:rsidRDefault="0059413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Когда войсковые испытания И-185 успешно завершились, закономерно вновь встал вопрос о запуске машины в серийное производство. На тот момент это был самый скоростной и самый скороподъемный отечественный истребитель и его вертикальная маневренность в значительной степени компенсировала проигрыш в маневренности горизонтальной. И это - при самом мощном вооружении.</w:t>
      </w:r>
    </w:p>
    <w:p w14:paraId="144F524F" w14:textId="77777777" w:rsidR="00594136" w:rsidRPr="00722885" w:rsidRDefault="0059413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Поликарпов доложил в Наркомат, что "Эталон №2" удалось облегчить на 421 кг по массе пустого самолета, однако эта цифра вызывает определенные сомнения, т.к. нормальный взлетный вес уменьшился лишь на 106 кг. Также бросается в глаза разница между нормальной и максимальной взлетными массами - всего 21 кг. На первом она была 90 кг - это будет как раз полная заправка. Данных по массе "Эталона №2" с бомбами нет (17737).</w:t>
      </w:r>
    </w:p>
    <w:p w14:paraId="42156170" w14:textId="77777777" w:rsidR="00594136" w:rsidRPr="00722885" w:rsidRDefault="00594136" w:rsidP="00722885">
      <w:pPr>
        <w:pStyle w:val="12a"/>
        <w:shd w:val="clear" w:color="auto" w:fill="auto"/>
        <w:spacing w:after="0" w:line="240" w:lineRule="auto"/>
        <w:jc w:val="both"/>
        <w:rPr>
          <w:color w:val="000000" w:themeColor="text1"/>
          <w:sz w:val="16"/>
          <w:szCs w:val="16"/>
        </w:rPr>
      </w:pPr>
    </w:p>
    <w:p w14:paraId="4947DD2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4FB13DA" w14:textId="77777777" w:rsidR="00090C9B" w:rsidRPr="00722885" w:rsidRDefault="00090C9B" w:rsidP="00722885">
      <w:pPr>
        <w:pStyle w:val="Iauiue"/>
        <w:jc w:val="both"/>
        <w:rPr>
          <w:iCs/>
          <w:color w:val="000000" w:themeColor="text1"/>
          <w:sz w:val="16"/>
          <w:szCs w:val="16"/>
        </w:rPr>
      </w:pPr>
    </w:p>
    <w:p w14:paraId="0F357C5F" w14:textId="77777777" w:rsidR="00752DA1" w:rsidRPr="00722885" w:rsidRDefault="00752DA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начале ноября 1942 вышел отчет о производстве тан</w:t>
      </w:r>
      <w:r w:rsidRPr="00722885">
        <w:rPr>
          <w:rFonts w:ascii="Times New Roman" w:cs="Times New Roman"/>
          <w:color w:val="000000" w:themeColor="text1"/>
          <w:spacing w:val="0"/>
        </w:rPr>
        <w:softHyphen/>
        <w:t>ков Кировским заводом за октябрь 1942 года, в котором было сказано следующее:</w:t>
      </w:r>
    </w:p>
    <w:p w14:paraId="11F10AC0" w14:textId="77777777" w:rsidR="00752DA1" w:rsidRPr="00722885" w:rsidRDefault="00752DA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«Корпуса танков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вследствие недо</w:t>
      </w:r>
      <w:r w:rsidRPr="00722885">
        <w:rPr>
          <w:rFonts w:ascii="Times New Roman" w:cs="Times New Roman"/>
          <w:color w:val="000000" w:themeColor="text1"/>
          <w:spacing w:val="0"/>
        </w:rPr>
        <w:softHyphen/>
        <w:t>статка облегченных, согласно постановле</w:t>
      </w:r>
      <w:r w:rsidRPr="00722885">
        <w:rPr>
          <w:rFonts w:ascii="Times New Roman" w:cs="Times New Roman"/>
          <w:color w:val="000000" w:themeColor="text1"/>
          <w:spacing w:val="0"/>
        </w:rPr>
        <w:softHyphen/>
        <w:t>ния ГКО были приняты к монтажу машин утяжеленные (танка КВ-1) с большим коли</w:t>
      </w:r>
      <w:r w:rsidRPr="00722885">
        <w:rPr>
          <w:rFonts w:ascii="Times New Roman" w:cs="Times New Roman"/>
          <w:color w:val="000000" w:themeColor="text1"/>
          <w:spacing w:val="0"/>
        </w:rPr>
        <w:softHyphen/>
        <w:t>чеством добавочных корпусных работ в сбо</w:t>
      </w:r>
      <w:r w:rsidRPr="00722885">
        <w:rPr>
          <w:rFonts w:ascii="Times New Roman" w:cs="Times New Roman"/>
          <w:color w:val="000000" w:themeColor="text1"/>
          <w:spacing w:val="0"/>
        </w:rPr>
        <w:softHyphen/>
        <w:t>рочном цехе».</w:t>
      </w:r>
    </w:p>
    <w:p w14:paraId="6736311A" w14:textId="77777777" w:rsidR="00752DA1" w:rsidRPr="00722885" w:rsidRDefault="00752DA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Для обеспечения «утяжеленных» корпусов КВ-1 башнями, согласно годовому отчету за</w:t>
      </w:r>
      <w:r w:rsidRPr="00722885">
        <w:rPr>
          <w:rFonts w:ascii="Times New Roman" w:cs="Times New Roman"/>
          <w:color w:val="000000" w:themeColor="text1"/>
          <w:spacing w:val="0"/>
        </w:rPr>
        <w:softHyphen/>
        <w:t>вода № 200, в октябре 1942 года было изго</w:t>
      </w:r>
      <w:r w:rsidRPr="00722885">
        <w:rPr>
          <w:rFonts w:ascii="Times New Roman" w:cs="Times New Roman"/>
          <w:color w:val="000000" w:themeColor="text1"/>
          <w:spacing w:val="0"/>
        </w:rPr>
        <w:softHyphen/>
        <w:t xml:space="preserve">товлено 82 башни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«сверх комплект</w:t>
      </w:r>
      <w:r w:rsidRPr="00722885">
        <w:rPr>
          <w:rFonts w:ascii="Times New Roman" w:cs="Times New Roman"/>
          <w:color w:val="000000" w:themeColor="text1"/>
          <w:spacing w:val="0"/>
        </w:rPr>
        <w:softHyphen/>
        <w:t>ных для корпусов с толщиной брони 75 мм» (15226).</w:t>
      </w:r>
    </w:p>
    <w:p w14:paraId="2506ABFB" w14:textId="77777777" w:rsidR="00752DA1" w:rsidRPr="00722885" w:rsidRDefault="00752DA1" w:rsidP="00722885">
      <w:pPr>
        <w:pStyle w:val="27"/>
        <w:shd w:val="clear" w:color="auto" w:fill="auto"/>
        <w:spacing w:after="0" w:line="240" w:lineRule="auto"/>
        <w:ind w:firstLine="0"/>
        <w:rPr>
          <w:rFonts w:ascii="Times New Roman" w:cs="Times New Roman"/>
          <w:color w:val="000000" w:themeColor="text1"/>
          <w:spacing w:val="0"/>
        </w:rPr>
      </w:pPr>
    </w:p>
    <w:p w14:paraId="0C00877D" w14:textId="77777777" w:rsidR="00594136" w:rsidRPr="00722885" w:rsidRDefault="0059413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начале ноября 1942 года впервые встречается информация о ЗИС-42. Московский автомобильный завод ЗИС по-своему понял слово «доработка». Фактически он стал разрабатывать собственную машину, которая базировалась на наработках по ЗИС-41. Больше того, на сей раз речь шла не об истребителе танков, а о зенитной самоходной установке. Получила она обозначение ЗИС-43, и в данном случае это именно индекс автомобильного завода, а не КБ завода №92. История совершила полный оборот: тема САУ на грузовой базе спустя полтора года вернулась туда, где началась – на ЗИС (17671).</w:t>
      </w:r>
    </w:p>
    <w:p w14:paraId="0B5A8EF2" w14:textId="77777777" w:rsidR="00594136" w:rsidRPr="00722885" w:rsidRDefault="00594136" w:rsidP="00722885">
      <w:pPr>
        <w:spacing w:after="0" w:line="240" w:lineRule="auto"/>
        <w:jc w:val="both"/>
        <w:rPr>
          <w:rFonts w:ascii="Times New Roman" w:eastAsia="Times New Roman" w:hAnsi="Times New Roman"/>
          <w:color w:val="000000" w:themeColor="text1"/>
          <w:sz w:val="16"/>
          <w:szCs w:val="16"/>
          <w:lang w:eastAsia="ru-RU"/>
        </w:rPr>
      </w:pPr>
    </w:p>
    <w:p w14:paraId="2C2A86C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ноября 1942 г. на базе опытного ширококолейного бронеавтомобиля 64-125Б ГАЗом был изготов</w:t>
      </w:r>
      <w:r w:rsidRPr="00722885">
        <w:rPr>
          <w:rFonts w:ascii="Times New Roman" w:hAnsi="Times New Roman"/>
          <w:color w:val="000000" w:themeColor="text1"/>
          <w:sz w:val="16"/>
          <w:szCs w:val="16"/>
        </w:rPr>
        <w:softHyphen/>
        <w:t>лен Опытный образец машины БА-64Г. После проведения заводского пробега в ноя</w:t>
      </w:r>
      <w:r w:rsidRPr="00722885">
        <w:rPr>
          <w:rFonts w:ascii="Times New Roman" w:hAnsi="Times New Roman"/>
          <w:color w:val="000000" w:themeColor="text1"/>
          <w:sz w:val="16"/>
          <w:szCs w:val="16"/>
        </w:rPr>
        <w:softHyphen/>
        <w:t>бре 1942 г., был разработан улучшенный вариант машины па железно</w:t>
      </w:r>
      <w:r w:rsidRPr="00722885">
        <w:rPr>
          <w:rFonts w:ascii="Times New Roman" w:hAnsi="Times New Roman"/>
          <w:color w:val="000000" w:themeColor="text1"/>
          <w:sz w:val="16"/>
          <w:szCs w:val="16"/>
        </w:rPr>
        <w:softHyphen/>
        <w:t>дорожном ходу. Опытный улучшенный образен бронеавтомобиля был изготовлен автозаводом в январе 1943 г. Весной 1943 г. был изготовлен второй опытный образец улучшенного варианта (эталонный). Оба улучшенных образца бронеавтомобиля поступили на полигонные ис</w:t>
      </w:r>
      <w:r w:rsidRPr="00722885">
        <w:rPr>
          <w:rFonts w:ascii="Times New Roman" w:hAnsi="Times New Roman"/>
          <w:color w:val="000000" w:themeColor="text1"/>
          <w:sz w:val="16"/>
          <w:szCs w:val="16"/>
        </w:rPr>
        <w:softHyphen/>
        <w:t>пытания на Гороховецкий полигон ВОСО. Бронеавтомобиль БА-64Г отличался от серийного образца БА-64 возможностью движения по железнодорожной колее. В носовой и кор</w:t>
      </w:r>
      <w:r w:rsidRPr="00722885">
        <w:rPr>
          <w:rFonts w:ascii="Times New Roman" w:hAnsi="Times New Roman"/>
          <w:color w:val="000000" w:themeColor="text1"/>
          <w:sz w:val="16"/>
          <w:szCs w:val="16"/>
        </w:rPr>
        <w:softHyphen/>
        <w:t>мовой частях корпуса машины устанавливались специальные, частично подрессоренные, откидывавшиеся вверх железнодорожные колеса ма</w:t>
      </w:r>
      <w:r w:rsidRPr="00722885">
        <w:rPr>
          <w:rFonts w:ascii="Times New Roman" w:hAnsi="Times New Roman"/>
          <w:color w:val="000000" w:themeColor="text1"/>
          <w:sz w:val="16"/>
          <w:szCs w:val="16"/>
        </w:rPr>
        <w:softHyphen/>
        <w:t>лого диаметра, которые представляли собой направляющие ролики с ребордами, препятствовавшими сходу машины с железнодорожной ко</w:t>
      </w:r>
      <w:r w:rsidRPr="00722885">
        <w:rPr>
          <w:rFonts w:ascii="Times New Roman" w:hAnsi="Times New Roman"/>
          <w:color w:val="000000" w:themeColor="text1"/>
          <w:sz w:val="16"/>
          <w:szCs w:val="16"/>
        </w:rPr>
        <w:softHyphen/>
        <w:t>леи и позволявшие ей двигаться по железнодорожному полотну при ис</w:t>
      </w:r>
      <w:r w:rsidRPr="00722885">
        <w:rPr>
          <w:rFonts w:ascii="Times New Roman" w:hAnsi="Times New Roman"/>
          <w:color w:val="000000" w:themeColor="text1"/>
          <w:sz w:val="16"/>
          <w:szCs w:val="16"/>
        </w:rPr>
        <w:softHyphen/>
        <w:t>пользовании колесного движителя. Для достижения постоянного кон</w:t>
      </w:r>
      <w:r w:rsidRPr="00722885">
        <w:rPr>
          <w:rFonts w:ascii="Times New Roman" w:hAnsi="Times New Roman"/>
          <w:color w:val="000000" w:themeColor="text1"/>
          <w:sz w:val="16"/>
          <w:szCs w:val="16"/>
        </w:rPr>
        <w:softHyphen/>
        <w:t>такта колес с шинами "ГК" с железнодорожным полотном (колея 1524 мм) было предусмотрено расширение собственной колеи машины, что соответствовало планам ее дальнейшей модернизации и проведению работ над машиной БА-64Б (10703).</w:t>
      </w:r>
    </w:p>
    <w:p w14:paraId="768212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707FE0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8A88CCA" w14:textId="77777777" w:rsidR="00090C9B" w:rsidRPr="00722885" w:rsidRDefault="00090C9B" w:rsidP="00722885">
      <w:pPr>
        <w:pStyle w:val="Iauiue"/>
        <w:jc w:val="both"/>
        <w:rPr>
          <w:iCs/>
          <w:color w:val="000000" w:themeColor="text1"/>
          <w:sz w:val="16"/>
          <w:szCs w:val="16"/>
        </w:rPr>
      </w:pPr>
    </w:p>
    <w:p w14:paraId="452DD0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началу ноября 1942 во всех пяти авиагруппах пикировщиков 1-й, 2-й и 77-й эскадр насчитывалось всего 43 самолета Ju87 (8907).</w:t>
      </w:r>
    </w:p>
    <w:p w14:paraId="09B09495" w14:textId="77777777" w:rsidR="00090C9B" w:rsidRPr="00722885" w:rsidRDefault="00090C9B" w:rsidP="00722885">
      <w:pPr>
        <w:pStyle w:val="Iauiue"/>
        <w:jc w:val="both"/>
        <w:rPr>
          <w:color w:val="000000" w:themeColor="text1"/>
          <w:sz w:val="16"/>
          <w:szCs w:val="16"/>
        </w:rPr>
      </w:pPr>
    </w:p>
    <w:p w14:paraId="5640C3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началу ноября 1942 на сталинградском направле</w:t>
      </w:r>
      <w:r w:rsidRPr="00722885">
        <w:rPr>
          <w:rFonts w:ascii="Times New Roman" w:hAnsi="Times New Roman"/>
          <w:color w:val="000000" w:themeColor="text1"/>
          <w:sz w:val="16"/>
          <w:szCs w:val="16"/>
        </w:rPr>
        <w:softHyphen/>
        <w:t>нии во всех пяти авиагруппах пикировщиков 1-й, 2-й и 77-й эскадр осталось всего 43 самолета Ю87.</w:t>
      </w:r>
    </w:p>
    <w:p w14:paraId="0D9958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Усиление противодействия истреби</w:t>
      </w:r>
      <w:r w:rsidRPr="00722885">
        <w:rPr>
          <w:rFonts w:ascii="Times New Roman" w:hAnsi="Times New Roman"/>
          <w:color w:val="000000" w:themeColor="text1"/>
          <w:sz w:val="16"/>
          <w:szCs w:val="16"/>
        </w:rPr>
        <w:softHyphen/>
        <w:t>телей и зенитных средств ПВО Красной Армии, а также неспособность истребите</w:t>
      </w:r>
      <w:r w:rsidRPr="00722885">
        <w:rPr>
          <w:rFonts w:ascii="Times New Roman" w:hAnsi="Times New Roman"/>
          <w:color w:val="000000" w:themeColor="text1"/>
          <w:sz w:val="16"/>
          <w:szCs w:val="16"/>
        </w:rPr>
        <w:softHyphen/>
        <w:t>лей люфтваффе обеспечить эффективное прикрытие авиагрупп непосредственной поддержки войск потребовали радикаль</w:t>
      </w:r>
      <w:r w:rsidRPr="00722885">
        <w:rPr>
          <w:rFonts w:ascii="Times New Roman" w:hAnsi="Times New Roman"/>
          <w:color w:val="000000" w:themeColor="text1"/>
          <w:sz w:val="16"/>
          <w:szCs w:val="16"/>
        </w:rPr>
        <w:softHyphen/>
        <w:t>ного пересмотра тактики боевого приме</w:t>
      </w:r>
      <w:r w:rsidRPr="00722885">
        <w:rPr>
          <w:rFonts w:ascii="Times New Roman" w:hAnsi="Times New Roman"/>
          <w:color w:val="000000" w:themeColor="text1"/>
          <w:sz w:val="16"/>
          <w:szCs w:val="16"/>
        </w:rPr>
        <w:softHyphen/>
        <w:t>нения Ю87. Немцы были вынуждены на</w:t>
      </w:r>
      <w:r w:rsidRPr="00722885">
        <w:rPr>
          <w:rFonts w:ascii="Times New Roman" w:hAnsi="Times New Roman"/>
          <w:color w:val="000000" w:themeColor="text1"/>
          <w:sz w:val="16"/>
          <w:szCs w:val="16"/>
        </w:rPr>
        <w:softHyphen/>
        <w:t>носить удары с малых и предельно малых высот. Как следствие, резко увеличились потери Ю87 от огня всех видов стрелко</w:t>
      </w:r>
      <w:r w:rsidRPr="00722885">
        <w:rPr>
          <w:rFonts w:ascii="Times New Roman" w:hAnsi="Times New Roman"/>
          <w:color w:val="000000" w:themeColor="text1"/>
          <w:sz w:val="16"/>
          <w:szCs w:val="16"/>
        </w:rPr>
        <w:softHyphen/>
        <w:t>вого оружия.</w:t>
      </w:r>
    </w:p>
    <w:p w14:paraId="4EF62C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стало совершенно оче</w:t>
      </w:r>
      <w:r w:rsidRPr="00722885">
        <w:rPr>
          <w:rFonts w:ascii="Times New Roman" w:hAnsi="Times New Roman"/>
          <w:color w:val="000000" w:themeColor="text1"/>
          <w:sz w:val="16"/>
          <w:szCs w:val="16"/>
        </w:rPr>
        <w:softHyphen/>
        <w:t>видно, что даже при большой плотности бронетехники, приходящейся на один км фронта, Ю87 даже самым точным попада</w:t>
      </w:r>
      <w:r w:rsidRPr="00722885">
        <w:rPr>
          <w:rFonts w:ascii="Times New Roman" w:hAnsi="Times New Roman"/>
          <w:color w:val="000000" w:themeColor="text1"/>
          <w:sz w:val="16"/>
          <w:szCs w:val="16"/>
        </w:rPr>
        <w:softHyphen/>
        <w:t>нием бомбы может уничтожить или выве</w:t>
      </w:r>
      <w:r w:rsidRPr="00722885">
        <w:rPr>
          <w:rFonts w:ascii="Times New Roman" w:hAnsi="Times New Roman"/>
          <w:color w:val="000000" w:themeColor="text1"/>
          <w:sz w:val="16"/>
          <w:szCs w:val="16"/>
        </w:rPr>
        <w:softHyphen/>
        <w:t>сти из строя лишь один танк, израсходовав при этом весь запас бомб. Требовалось либо увеличивать плотность самолетов на км фронта, либо разрабатывать новые тактические приемы использования 87. Фактически уже к январю 1943 г. восемь</w:t>
      </w:r>
      <w:r w:rsidRPr="00722885">
        <w:rPr>
          <w:rFonts w:ascii="Times New Roman" w:hAnsi="Times New Roman"/>
          <w:color w:val="000000" w:themeColor="text1"/>
          <w:sz w:val="16"/>
          <w:szCs w:val="16"/>
        </w:rPr>
        <w:softHyphen/>
        <w:t>десят седьмые «юнкерсы» из классических пикировщиков превратились в штурмо</w:t>
      </w:r>
      <w:r w:rsidRPr="00722885">
        <w:rPr>
          <w:rFonts w:ascii="Times New Roman" w:hAnsi="Times New Roman"/>
          <w:color w:val="000000" w:themeColor="text1"/>
          <w:sz w:val="16"/>
          <w:szCs w:val="16"/>
        </w:rPr>
        <w:softHyphen/>
        <w:t>вики, которые не самым лучшим образом соответствовали требованиям к самолету- штурмовику (12728).</w:t>
      </w:r>
    </w:p>
    <w:p w14:paraId="551177B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A2B096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0140D9C" w14:textId="77777777" w:rsidR="00090C9B" w:rsidRPr="00722885" w:rsidRDefault="00090C9B" w:rsidP="00722885">
      <w:pPr>
        <w:pStyle w:val="Iauiue"/>
        <w:jc w:val="both"/>
        <w:rPr>
          <w:iCs/>
          <w:color w:val="000000" w:themeColor="text1"/>
          <w:sz w:val="16"/>
          <w:szCs w:val="16"/>
        </w:rPr>
      </w:pPr>
    </w:p>
    <w:p w14:paraId="1C5AC9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С 7 ноября по 9 декабря 1942 г. на Калининском фронте в 6-м </w:t>
      </w:r>
      <w:r w:rsidRPr="00722885">
        <w:rPr>
          <w:iCs/>
          <w:color w:val="000000" w:themeColor="text1"/>
          <w:sz w:val="16"/>
          <w:szCs w:val="16"/>
        </w:rPr>
        <w:t>гшап</w:t>
      </w:r>
      <w:r w:rsidRPr="00722885">
        <w:rPr>
          <w:color w:val="000000" w:themeColor="text1"/>
          <w:sz w:val="16"/>
          <w:szCs w:val="16"/>
        </w:rPr>
        <w:t xml:space="preserve"> 3-й ВА проходил вой</w:t>
      </w:r>
      <w:r w:rsidRPr="00722885">
        <w:rPr>
          <w:color w:val="000000" w:themeColor="text1"/>
          <w:sz w:val="16"/>
          <w:szCs w:val="16"/>
        </w:rPr>
        <w:softHyphen/>
        <w:t>сковые испытания двухместный Ил-2бис 1 завода. Несмотря на произ</w:t>
      </w:r>
      <w:r w:rsidRPr="00722885">
        <w:rPr>
          <w:color w:val="000000" w:themeColor="text1"/>
          <w:sz w:val="16"/>
          <w:szCs w:val="16"/>
        </w:rPr>
        <w:softHyphen/>
        <w:t>водство всего 9 боевых вылетов (на 10-м боевом вылете самолет был потерян от огня зенитной артиллерии), новый штурмовик сразу же завоевал большой авторитет у летного состава, особенно самолет понравился стрелкам. После</w:t>
      </w:r>
      <w:r w:rsidRPr="00722885">
        <w:rPr>
          <w:color w:val="000000" w:themeColor="text1"/>
          <w:sz w:val="16"/>
          <w:szCs w:val="16"/>
        </w:rPr>
        <w:softHyphen/>
        <w:t>дние отмечали, что кабина стрелка очень удобна и просторна, совершенно не стесняет движений во время отражения атак истребителей противника, а вслед</w:t>
      </w:r>
      <w:r w:rsidRPr="00722885">
        <w:rPr>
          <w:color w:val="000000" w:themeColor="text1"/>
          <w:sz w:val="16"/>
          <w:szCs w:val="16"/>
        </w:rPr>
        <w:softHyphen/>
        <w:t>ствие сильного бронирования кабины стрелок чувствовал себя в ней спокой</w:t>
      </w:r>
      <w:r w:rsidRPr="00722885">
        <w:rPr>
          <w:color w:val="000000" w:themeColor="text1"/>
          <w:sz w:val="16"/>
          <w:szCs w:val="16"/>
        </w:rPr>
        <w:softHyphen/>
        <w:t>но, что благоприятно сказывалось на эффективности воздушной стрельбы из пулемета. Более того, кабина стрелка позволяла брать с собой в полет руч</w:t>
      </w:r>
      <w:r w:rsidRPr="00722885">
        <w:rPr>
          <w:color w:val="000000" w:themeColor="text1"/>
          <w:sz w:val="16"/>
          <w:szCs w:val="16"/>
        </w:rPr>
        <w:softHyphen/>
        <w:t>ной пулемет ДА калибра 7,62 мм и ус</w:t>
      </w:r>
      <w:r w:rsidRPr="00722885">
        <w:rPr>
          <w:color w:val="000000" w:themeColor="text1"/>
          <w:sz w:val="16"/>
          <w:szCs w:val="16"/>
        </w:rPr>
        <w:softHyphen/>
        <w:t>пешно использовать его как при стрель</w:t>
      </w:r>
      <w:r w:rsidRPr="00722885">
        <w:rPr>
          <w:color w:val="000000" w:themeColor="text1"/>
          <w:sz w:val="16"/>
          <w:szCs w:val="16"/>
        </w:rPr>
        <w:softHyphen/>
        <w:t>бе по наземным целям, так и при отра</w:t>
      </w:r>
      <w:r w:rsidRPr="00722885">
        <w:rPr>
          <w:color w:val="000000" w:themeColor="text1"/>
          <w:sz w:val="16"/>
          <w:szCs w:val="16"/>
        </w:rPr>
        <w:softHyphen/>
        <w:t>жении атак истребителей противника сбоку.</w:t>
      </w:r>
    </w:p>
    <w:p w14:paraId="61F8C2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Блистерная установка с пулеметом УБТ с магазинным питанием работала хорошо, боекомплект пулемета достаточен. В отзыве о самолете командование и летный состав 6-го гвардейского </w:t>
      </w:r>
      <w:r w:rsidRPr="00722885">
        <w:rPr>
          <w:iCs/>
          <w:color w:val="000000" w:themeColor="text1"/>
          <w:sz w:val="16"/>
          <w:szCs w:val="16"/>
        </w:rPr>
        <w:t xml:space="preserve">шап </w:t>
      </w:r>
      <w:r w:rsidRPr="00722885">
        <w:rPr>
          <w:color w:val="000000" w:themeColor="text1"/>
          <w:sz w:val="16"/>
          <w:szCs w:val="16"/>
        </w:rPr>
        <w:t>писали:</w:t>
      </w:r>
    </w:p>
    <w:p w14:paraId="1F47B461"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"Больше выпускать самолеты Ил-2 со стрелком. Наилучшей машиной та</w:t>
      </w:r>
      <w:r w:rsidRPr="00722885">
        <w:rPr>
          <w:iCs/>
          <w:color w:val="000000" w:themeColor="text1"/>
          <w:sz w:val="16"/>
          <w:szCs w:val="16"/>
        </w:rPr>
        <w:softHyphen/>
        <w:t>кого типа является машина первого завода. Летно-технический состав 6-го Гв.шап благодарит коллектив 1-го завода, создавший замечательную ка</w:t>
      </w:r>
      <w:r w:rsidRPr="00722885">
        <w:rPr>
          <w:iCs/>
          <w:color w:val="000000" w:themeColor="text1"/>
          <w:sz w:val="16"/>
          <w:szCs w:val="16"/>
        </w:rPr>
        <w:softHyphen/>
        <w:t>бину стрелка, тем самым давший воз</w:t>
      </w:r>
      <w:r w:rsidRPr="00722885">
        <w:rPr>
          <w:iCs/>
          <w:color w:val="000000" w:themeColor="text1"/>
          <w:sz w:val="16"/>
          <w:szCs w:val="16"/>
        </w:rPr>
        <w:softHyphen/>
        <w:t>можность всесторонне использовать самолеты Ил-2, что и требует обста</w:t>
      </w:r>
      <w:r w:rsidRPr="00722885">
        <w:rPr>
          <w:iCs/>
          <w:color w:val="000000" w:themeColor="text1"/>
          <w:sz w:val="16"/>
          <w:szCs w:val="16"/>
        </w:rPr>
        <w:softHyphen/>
        <w:t xml:space="preserve">новка </w:t>
      </w:r>
      <w:r w:rsidRPr="00722885">
        <w:rPr>
          <w:iCs/>
          <w:color w:val="000000" w:themeColor="text1"/>
          <w:sz w:val="16"/>
          <w:szCs w:val="16"/>
        </w:rPr>
        <w:lastRenderedPageBreak/>
        <w:t xml:space="preserve">на фронтах... Самолеты Ил-2 со стрелком по своим качествам превосходят все предшествующие варианты. Летчики 6-го Гв.шап просят давать побольше этих машин". </w:t>
      </w:r>
      <w:r w:rsidRPr="00722885">
        <w:rPr>
          <w:color w:val="000000" w:themeColor="text1"/>
          <w:sz w:val="16"/>
          <w:szCs w:val="16"/>
        </w:rPr>
        <w:t>Тем не менее, решение о постановке серийного производства двухместного Ил-2бис завода № 1 принято не было. Основными причинами этого явились большой объем конструктивных измене</w:t>
      </w:r>
      <w:r w:rsidRPr="00722885">
        <w:rPr>
          <w:color w:val="000000" w:themeColor="text1"/>
          <w:sz w:val="16"/>
          <w:szCs w:val="16"/>
        </w:rPr>
        <w:softHyphen/>
        <w:t>ний, требовавший переоснастки конвей</w:t>
      </w:r>
      <w:r w:rsidRPr="00722885">
        <w:rPr>
          <w:color w:val="000000" w:themeColor="text1"/>
          <w:sz w:val="16"/>
          <w:szCs w:val="16"/>
        </w:rPr>
        <w:softHyphen/>
        <w:t>ера авиазавода, и уменьшение почти вдвое нормального бомбового груза по сравнению с одноместным вариантом (6467).</w:t>
      </w:r>
    </w:p>
    <w:p w14:paraId="1CDFAC7B" w14:textId="77777777" w:rsidR="00090C9B" w:rsidRPr="00722885" w:rsidRDefault="00090C9B" w:rsidP="00722885">
      <w:pPr>
        <w:pStyle w:val="Iauiue"/>
        <w:jc w:val="both"/>
        <w:rPr>
          <w:color w:val="000000" w:themeColor="text1"/>
          <w:sz w:val="16"/>
          <w:szCs w:val="16"/>
        </w:rPr>
      </w:pPr>
    </w:p>
    <w:p w14:paraId="4BE8A9D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7 ноября по 9 декабря 1942 г. Двухместный Ил-2бис проходил войсковые испытания также на Калининском фронте в 6-м гвардейском штурмовом авиаполку 3-й воздушной армии. Было произведено всего 9 боевых вылетов, а на десятом вылете самолет был сбит зенитной артиллерией противника. Блистерная установка с пулеметом УБТ с магазинным питанием работала хорошо, боекомплект пулемета достаточен. В отзыве о самолете командование и летный состав 6-го авиаполка писали: «Больше выпускать самолеты Ил-2 со стрелком. Наилучшей машиной такого типа является машина первого завода. "Летно-технический состав 6-го Гвардейского штурмового авиапол-ьр благодарит коллектив 1-го завода, создавший замечательную ка</w:t>
      </w:r>
      <w:r w:rsidRPr="00722885">
        <w:rPr>
          <w:rFonts w:ascii="Times New Roman" w:hAnsi="Times New Roman"/>
          <w:color w:val="000000" w:themeColor="text1"/>
          <w:sz w:val="16"/>
          <w:szCs w:val="16"/>
        </w:rPr>
        <w:softHyphen/>
        <w:t>бину стрелка, тем самым давший возможность всесторонне ис</w:t>
      </w:r>
      <w:r w:rsidRPr="00722885">
        <w:rPr>
          <w:rFonts w:ascii="Times New Roman" w:hAnsi="Times New Roman"/>
          <w:color w:val="000000" w:themeColor="text1"/>
          <w:sz w:val="16"/>
          <w:szCs w:val="16"/>
        </w:rPr>
        <w:softHyphen/>
        <w:t>пользовать самолеты Ил-2, что и требует обстановка на фронтах... Самолеты Ил-2 со стрелком по своим качествам превосходят все щшествующие варианты. Летчики 6-го Гвардейского авиаполка просят давать побольше этих машин». Но, несмотря на все достоинства, в серию Ил-2бис завода № 1 пошел, поскольку машина имела много конструктивных изменений, требовавших переделки конвейера завода, а также почти вдвое по сравнению с одноместным вариантом снижалась бомбовая нагрузка штурмовика. Рассматривался вариант кабины стрелка, вооруженной клычковой установкой конструкции Можаровского и Веневидова МВ-3 с пулеметом УБТ, имевшей аэродинамическую компенсацию. Турель МВ-3 обеспечивала значительно большие по сравнению с другими вариантами углы наведения: горизонтального 240°, верти-ьного —15°; +45°. А благодаря аэродинамическому экрану стрелок мог вести прицельный огонь при скоростях полета более 400 км/ч (10695).</w:t>
      </w:r>
    </w:p>
    <w:p w14:paraId="37C8C86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CB9DA88" w14:textId="77777777" w:rsidR="006C3821" w:rsidRPr="00722885" w:rsidRDefault="006C382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lang w:val="ru-RU"/>
        </w:rPr>
        <w:t>С</w:t>
      </w:r>
      <w:r w:rsidRPr="00722885">
        <w:rPr>
          <w:rFonts w:ascii="Times New Roman" w:hAnsi="Times New Roman" w:cs="Times New Roman"/>
          <w:color w:val="0070C0"/>
          <w:w w:val="100"/>
          <w:sz w:val="16"/>
          <w:szCs w:val="16"/>
        </w:rPr>
        <w:t xml:space="preserve"> 7 ноября по 9 декабря 1942 г. </w:t>
      </w:r>
      <w:r w:rsidRPr="00722885">
        <w:rPr>
          <w:rFonts w:ascii="Times New Roman" w:hAnsi="Times New Roman" w:cs="Times New Roman"/>
          <w:color w:val="0070C0"/>
          <w:w w:val="100"/>
          <w:sz w:val="16"/>
          <w:szCs w:val="16"/>
          <w:lang w:val="ru-RU"/>
        </w:rPr>
        <w:t>д</w:t>
      </w:r>
      <w:r w:rsidRPr="00722885">
        <w:rPr>
          <w:rFonts w:ascii="Times New Roman" w:hAnsi="Times New Roman" w:cs="Times New Roman"/>
          <w:color w:val="0070C0"/>
          <w:w w:val="100"/>
          <w:sz w:val="16"/>
          <w:szCs w:val="16"/>
        </w:rPr>
        <w:t>вухместный Ил-2бис проходил войско</w:t>
      </w:r>
      <w:r w:rsidRPr="00722885">
        <w:rPr>
          <w:rFonts w:ascii="Times New Roman" w:hAnsi="Times New Roman" w:cs="Times New Roman"/>
          <w:color w:val="0070C0"/>
          <w:w w:val="100"/>
          <w:sz w:val="16"/>
          <w:szCs w:val="16"/>
        </w:rPr>
        <w:softHyphen/>
        <w:t>вые испытания также на Калининском фронте в 6-м гшап</w:t>
      </w:r>
      <w:r w:rsidRPr="00722885">
        <w:rPr>
          <w:rFonts w:ascii="Times New Roman" w:hAnsi="Times New Roman" w:cs="Times New Roman"/>
          <w:color w:val="0070C0"/>
          <w:w w:val="100"/>
          <w:sz w:val="16"/>
          <w:szCs w:val="16"/>
          <w:lang w:val="ru-RU"/>
        </w:rPr>
        <w:t>.</w:t>
      </w:r>
      <w:r w:rsidRPr="00722885">
        <w:rPr>
          <w:rFonts w:ascii="Times New Roman" w:hAnsi="Times New Roman" w:cs="Times New Roman"/>
          <w:color w:val="0070C0"/>
          <w:w w:val="100"/>
          <w:sz w:val="16"/>
          <w:szCs w:val="16"/>
        </w:rPr>
        <w:t xml:space="preserve"> Он выполнил всего девять боевых вылетов (в де</w:t>
      </w:r>
      <w:r w:rsidRPr="00722885">
        <w:rPr>
          <w:rFonts w:ascii="Times New Roman" w:hAnsi="Times New Roman" w:cs="Times New Roman"/>
          <w:color w:val="0070C0"/>
          <w:w w:val="100"/>
          <w:sz w:val="16"/>
          <w:szCs w:val="16"/>
        </w:rPr>
        <w:softHyphen/>
        <w:t>сятом вылете его сбили зенитным огнем), но успел понравиться летному составу, особенно стрелкам. Они отмечали, что кабина удобна и просторна. Благодаря сильному бронирова</w:t>
      </w:r>
      <w:r w:rsidRPr="00722885">
        <w:rPr>
          <w:rFonts w:ascii="Times New Roman" w:hAnsi="Times New Roman" w:cs="Times New Roman"/>
          <w:color w:val="0070C0"/>
          <w:w w:val="100"/>
          <w:sz w:val="16"/>
          <w:szCs w:val="16"/>
        </w:rPr>
        <w:softHyphen/>
        <w:t>нию стрелок чувствовал себя увереннее, что повышало эффективность ведения воздуш</w:t>
      </w:r>
      <w:r w:rsidRPr="00722885">
        <w:rPr>
          <w:rFonts w:ascii="Times New Roman" w:hAnsi="Times New Roman" w:cs="Times New Roman"/>
          <w:color w:val="0070C0"/>
          <w:w w:val="100"/>
          <w:sz w:val="16"/>
          <w:szCs w:val="16"/>
        </w:rPr>
        <w:softHyphen/>
        <w:t>ного боя. Более того, размеры кабины позво</w:t>
      </w:r>
      <w:r w:rsidRPr="00722885">
        <w:rPr>
          <w:rFonts w:ascii="Times New Roman" w:hAnsi="Times New Roman" w:cs="Times New Roman"/>
          <w:color w:val="0070C0"/>
          <w:w w:val="100"/>
          <w:sz w:val="16"/>
          <w:szCs w:val="16"/>
        </w:rPr>
        <w:softHyphen/>
        <w:t>ляли брать в полет пулемет ДА и использовать его при отражении атак истребителей.</w:t>
      </w:r>
    </w:p>
    <w:p w14:paraId="51013FD7" w14:textId="77777777" w:rsidR="006C3821" w:rsidRPr="00722885" w:rsidRDefault="006C3821" w:rsidP="00722885">
      <w:pPr>
        <w:pStyle w:val="28"/>
        <w:shd w:val="clear" w:color="auto" w:fill="auto"/>
        <w:spacing w:before="0" w:line="240" w:lineRule="auto"/>
        <w:jc w:val="both"/>
        <w:rPr>
          <w:rFonts w:ascii="Times New Roman" w:hAnsi="Times New Roman" w:cs="Times New Roman"/>
          <w:color w:val="0070C0"/>
          <w:sz w:val="16"/>
          <w:szCs w:val="16"/>
        </w:rPr>
      </w:pPr>
      <w:r w:rsidRPr="00722885">
        <w:rPr>
          <w:rStyle w:val="2750"/>
          <w:rFonts w:ascii="Times New Roman" w:hAnsi="Times New Roman" w:cs="Times New Roman"/>
          <w:i w:val="0"/>
          <w:iCs w:val="0"/>
          <w:color w:val="0070C0"/>
          <w:w w:val="100"/>
          <w:sz w:val="16"/>
          <w:szCs w:val="16"/>
        </w:rPr>
        <w:t xml:space="preserve">В отзыве о самолете указывалось: </w:t>
      </w:r>
      <w:r w:rsidRPr="00722885">
        <w:rPr>
          <w:rFonts w:ascii="Times New Roman" w:hAnsi="Times New Roman" w:cs="Times New Roman"/>
          <w:color w:val="0070C0"/>
          <w:sz w:val="16"/>
          <w:szCs w:val="16"/>
        </w:rPr>
        <w:t>«Больше выпускать самолеты Ил-2 со стрел</w:t>
      </w:r>
      <w:r w:rsidRPr="00722885">
        <w:rPr>
          <w:rFonts w:ascii="Times New Roman" w:hAnsi="Times New Roman" w:cs="Times New Roman"/>
          <w:color w:val="0070C0"/>
          <w:sz w:val="16"/>
          <w:szCs w:val="16"/>
        </w:rPr>
        <w:softHyphen/>
        <w:t>ком. Наилучшей машиной такого типа явля</w:t>
      </w:r>
      <w:r w:rsidRPr="00722885">
        <w:rPr>
          <w:rFonts w:ascii="Times New Roman" w:hAnsi="Times New Roman" w:cs="Times New Roman"/>
          <w:color w:val="0070C0"/>
          <w:sz w:val="16"/>
          <w:szCs w:val="16"/>
        </w:rPr>
        <w:softHyphen/>
        <w:t>ется машина первого завода. Летно-технический состав 6-го Гв.шап благодарит коллектив 1-го завода, создавший замечательную кабину стрелка, тем самым давший возможность все</w:t>
      </w:r>
      <w:r w:rsidRPr="00722885">
        <w:rPr>
          <w:rFonts w:ascii="Times New Roman" w:hAnsi="Times New Roman" w:cs="Times New Roman"/>
          <w:color w:val="0070C0"/>
          <w:sz w:val="16"/>
          <w:szCs w:val="16"/>
        </w:rPr>
        <w:softHyphen/>
        <w:t>сторонне использовать самолеты Ил-2, что и требует обстановка на фронтах././Летчики 6-го Гв.шап просят давать побольше этих ма</w:t>
      </w:r>
      <w:r w:rsidRPr="00722885">
        <w:rPr>
          <w:rFonts w:ascii="Times New Roman" w:hAnsi="Times New Roman" w:cs="Times New Roman"/>
          <w:color w:val="0070C0"/>
          <w:sz w:val="16"/>
          <w:szCs w:val="16"/>
        </w:rPr>
        <w:softHyphen/>
        <w:t>шин».</w:t>
      </w:r>
    </w:p>
    <w:p w14:paraId="37FAE9EE" w14:textId="77777777" w:rsidR="006C3821" w:rsidRPr="00722885" w:rsidRDefault="006C3821"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Тем не менее, решение о серийном вы</w:t>
      </w:r>
      <w:r w:rsidRPr="00722885">
        <w:rPr>
          <w:rFonts w:ascii="Times New Roman" w:hAnsi="Times New Roman"/>
          <w:color w:val="0070C0"/>
          <w:sz w:val="16"/>
          <w:szCs w:val="16"/>
        </w:rPr>
        <w:softHyphen/>
        <w:t>пуске Ил-2бис так и не приняли. Основными препятствиями стали большой объем необхо</w:t>
      </w:r>
      <w:r w:rsidRPr="00722885">
        <w:rPr>
          <w:rFonts w:ascii="Times New Roman" w:hAnsi="Times New Roman"/>
          <w:color w:val="0070C0"/>
          <w:sz w:val="16"/>
          <w:szCs w:val="16"/>
        </w:rPr>
        <w:softHyphen/>
        <w:t>димых конструктивных изменений, связанных в основном с переделкой бронекорпуса и перекомпоновкой бензобаков, что было слож</w:t>
      </w:r>
      <w:r w:rsidRPr="00722885">
        <w:rPr>
          <w:rFonts w:ascii="Times New Roman" w:hAnsi="Times New Roman"/>
          <w:color w:val="0070C0"/>
          <w:sz w:val="16"/>
          <w:szCs w:val="16"/>
        </w:rPr>
        <w:softHyphen/>
        <w:t>ным для производства и неизбежно привело бы к снижению выпуска Ил-2 (19878).</w:t>
      </w:r>
    </w:p>
    <w:p w14:paraId="2FED2C99" w14:textId="77777777" w:rsidR="006C3821" w:rsidRPr="00722885" w:rsidRDefault="006C3821" w:rsidP="00722885">
      <w:pPr>
        <w:shd w:val="clear" w:color="auto" w:fill="FFFFFF"/>
        <w:spacing w:after="0" w:line="240" w:lineRule="auto"/>
        <w:jc w:val="both"/>
        <w:rPr>
          <w:rFonts w:ascii="Times New Roman" w:hAnsi="Times New Roman"/>
          <w:color w:val="0070C0"/>
          <w:sz w:val="16"/>
          <w:szCs w:val="16"/>
        </w:rPr>
      </w:pPr>
    </w:p>
    <w:p w14:paraId="2CBC8703" w14:textId="77777777" w:rsidR="00815A2D" w:rsidRPr="00722885" w:rsidRDefault="00815A2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7 ноября по 9 декабря 1942 г. двухместный Ил-2бис завода № 1 проходил войсковые испытания также на Калининском фронте в 6-м гшап</w:t>
      </w:r>
    </w:p>
    <w:p w14:paraId="57943A08" w14:textId="77777777" w:rsidR="00815A2D" w:rsidRPr="00722885" w:rsidRDefault="00815A2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производство всего 9 боевых вылетов (на 10-м самолет сбит зенитным огнем), Ил-2бис понравился летному составу. Стрелки отмечали, что кабина удобна и просторна. Вследствие сильного бронирования стрелок чувствовал себя в кабине комфортно и спокойно, что благоприятно сказывалось на эффективности воздушного боя.</w:t>
      </w:r>
    </w:p>
    <w:p w14:paraId="6C832ABB" w14:textId="77777777" w:rsidR="00815A2D" w:rsidRPr="00722885" w:rsidRDefault="00815A2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отзыве о самолете указывалось: «Больше выпускать самолеты Ил-2 со стрелком. Наилучшей машиной такого типа является машина первого завода. Летно-технический состав 6-го Гв.шап благодарит коллектив 1-го завода, создавшего замечательную кабину стрелка, тем самым давший возможность всесторонне использовать самолеты Ил-2, что и требует обстановка на фронтах. /.../Летчики 6-го Гв.шап просят давать побольше этих машин».</w:t>
      </w:r>
    </w:p>
    <w:p w14:paraId="7F0B425D" w14:textId="77777777" w:rsidR="00815A2D" w:rsidRPr="00722885" w:rsidRDefault="00815A2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не менее, решение о серийном выпуске Ил-2бис принято не было. Основными причинами этого стали боль</w:t>
      </w:r>
      <w:r w:rsidRPr="00722885">
        <w:rPr>
          <w:rFonts w:ascii="Times New Roman" w:hAnsi="Times New Roman"/>
          <w:color w:val="000000" w:themeColor="text1"/>
          <w:sz w:val="16"/>
          <w:szCs w:val="16"/>
        </w:rPr>
        <w:softHyphen/>
        <w:t>шой объем конструктивных изменений, связанных в основном с переделкой бронекорпуса и перекомпоновкой бензобаков, что было сложным для производства и неизбежно привело бы к снижению выпуска Ил-2 (19540).</w:t>
      </w:r>
    </w:p>
    <w:p w14:paraId="6DFDE27E" w14:textId="77777777" w:rsidR="00815A2D" w:rsidRPr="00722885" w:rsidRDefault="00815A2D" w:rsidP="00722885">
      <w:pPr>
        <w:spacing w:after="0" w:line="240" w:lineRule="auto"/>
        <w:jc w:val="both"/>
        <w:rPr>
          <w:rFonts w:ascii="Times New Roman" w:hAnsi="Times New Roman"/>
          <w:color w:val="000000" w:themeColor="text1"/>
          <w:sz w:val="16"/>
          <w:szCs w:val="16"/>
          <w:shd w:val="clear" w:color="auto" w:fill="FFFFFF"/>
        </w:rPr>
      </w:pPr>
    </w:p>
    <w:p w14:paraId="3FE6ED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7 ноября по 9 декабря 1942 г. двухместный Ил-2бис проходил войсковые испытания также на Калининском фронте в 6-м гшап. Несмотря на производство всего 9 боевых вылетов (на 10-м самолет сбит зенитным огнем), Ил-2бис понравился летному составу, особенно, стрелкам. Они отмечали, что кабина удобна и просторна. Вследствие сильного бронирования стрелок чувствовал себя в кабине комфортно и спокойно, что благоприятно сказывалось на эффективности воздушного боя. Более того, размеры кабины позволяли брать в полет пулемет ДА и использовать его при отражении атак истребителей сбоку.</w:t>
      </w:r>
    </w:p>
    <w:p w14:paraId="193590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отзыве о самолете указывалось: "Больше выпускать самолеты Ил-2 со стрелком. Наилучшей машиной такого типа является машина первого завода. Летно-технический состав 6-го гв. шап благодарит коллектив 1-го завода, создавший замечательную кабину стрелка, тем самым давший возможность всесторонне использовать самолеты Ил-2, что и требует обстановка на фронтах... Летчики 6-го гв. шап просят давать побольше этих машин".</w:t>
      </w:r>
    </w:p>
    <w:p w14:paraId="36F16B0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не менее, решение о серийном выпуске Ил-2бис принято не было. Основными причинами этого явились большой объем конструктивных изменений, связанных в основном с переделкой бронекорпуса и перекомпоновкой бензобаков, что было сложным для производства.</w:t>
      </w:r>
    </w:p>
    <w:p w14:paraId="66A3BA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Укажем, что ТТТ к кабине воздушного стрелка самолета Ил-2, разработанные к 6 января 1943 г. в 4-м отделе НИИ ВВС, в целом соответствовали кабине Ил-2бис, отличаясь увеличенными углами обстрела и усиленным бронированием со стороны задней полусферы, "рассчитанным на защиту от бронебойных пуль калибра 15 мм с дальности 400 м" (12020).</w:t>
      </w:r>
    </w:p>
    <w:p w14:paraId="3234652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F197C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7 ноября 1942 (с 18 октября) сделали 40 пушек НС-37 для проверки на ЛаГГ (177,301).</w:t>
      </w:r>
    </w:p>
    <w:p w14:paraId="2FD4E8E9" w14:textId="77777777" w:rsidR="00090C9B" w:rsidRPr="00722885" w:rsidRDefault="00090C9B" w:rsidP="00722885">
      <w:pPr>
        <w:pStyle w:val="Iauiue"/>
        <w:jc w:val="both"/>
        <w:rPr>
          <w:color w:val="000000" w:themeColor="text1"/>
          <w:sz w:val="16"/>
          <w:szCs w:val="16"/>
        </w:rPr>
      </w:pPr>
    </w:p>
    <w:p w14:paraId="15F80DD6" w14:textId="77777777" w:rsidR="00752DA1" w:rsidRPr="00722885" w:rsidRDefault="00752DA1"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К 7 ноября 1942 г. в Ижевске были готовы все 40 пушек, которые передали на авиационный завод, где их установили на истребители ЛаГГ-3. К концу 1942 года была изготовлена технологическая оснастка, можно было приступать к серийному производству пушек (15979).</w:t>
      </w:r>
    </w:p>
    <w:p w14:paraId="68378064" w14:textId="77777777" w:rsidR="00752DA1" w:rsidRPr="00722885" w:rsidRDefault="00752DA1" w:rsidP="00722885">
      <w:pPr>
        <w:shd w:val="clear" w:color="auto" w:fill="FFFFFF"/>
        <w:spacing w:after="0" w:line="240" w:lineRule="auto"/>
        <w:jc w:val="both"/>
        <w:rPr>
          <w:rFonts w:ascii="Times New Roman" w:eastAsia="Times New Roman" w:hAnsi="Times New Roman"/>
          <w:color w:val="000000" w:themeColor="text1"/>
          <w:sz w:val="16"/>
          <w:szCs w:val="16"/>
        </w:rPr>
      </w:pPr>
    </w:p>
    <w:p w14:paraId="3445584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357FDAC" w14:textId="77777777" w:rsidR="00090C9B" w:rsidRPr="00722885" w:rsidRDefault="00090C9B" w:rsidP="00722885">
      <w:pPr>
        <w:pStyle w:val="Iauiue"/>
        <w:jc w:val="both"/>
        <w:rPr>
          <w:iCs/>
          <w:color w:val="000000" w:themeColor="text1"/>
          <w:sz w:val="16"/>
          <w:szCs w:val="16"/>
        </w:rPr>
      </w:pPr>
    </w:p>
    <w:p w14:paraId="41AB88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7 ноября 1942 радиолокационный завод-институт НКЭП разработал два образца РЛС орудийной наводки, включая СОН-2а для ПВО, производимый серийно с 1943 (384,222).</w:t>
      </w:r>
    </w:p>
    <w:p w14:paraId="6CA3481D" w14:textId="77777777" w:rsidR="00090C9B" w:rsidRPr="00722885" w:rsidRDefault="00090C9B" w:rsidP="00722885">
      <w:pPr>
        <w:pStyle w:val="Iauiue"/>
        <w:jc w:val="both"/>
        <w:rPr>
          <w:color w:val="000000" w:themeColor="text1"/>
          <w:sz w:val="16"/>
          <w:szCs w:val="16"/>
        </w:rPr>
      </w:pPr>
    </w:p>
    <w:p w14:paraId="4F1283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ноября 1942 года состоялась первая пробная передача новой станции, а с 5 декабря она начала действовать в опытном режиме. За разработку и пуск новой сверхмощной станции многие ее создатели были удостоены Сталинской премии, а строители награждены орденами и медалями. 31 июля 1943 года станция была официально принята правительственной комиссией. При этом было отмечено, что по своим рабочим характеристикам она является самой мощной в стране, а по антенному оснащению ей нет равных в мире. Станция значительно расширила зону уверенного радиоприема на средних волнах. Передачи московского радио стали слышать в странах Европы и Азии, в Средиземноморье и Атлантике. После войны объект номер 15 стал называться Государственной радиовещательной станцией имени Попова. Она была дважды реконструирована. В первый раз – после сильного пожара 1971 года, когда почти полностью выгорела вся аппаратная. Сейчас станция законсервирована. Как утверждают специалисты, запас прочности у нее еще лет на пятьдесят (11878).</w:t>
      </w:r>
    </w:p>
    <w:p w14:paraId="143DA04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B3A46A5"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7 ноябре 1942 года, всего за восемь месяцев была закончена разработка и изготовление двух опытных образцов станций орудийной наводки СОН-2от, и после проведения испытаний Постановлением ГКО от 20 декабря 1942 года станция была принята на вооружение и поставлена на серийное производство. На флоте предвоенное недоверие к корабельной радиолокации как демаскирующему фактору после успешной работы единственной РЛС дальнего обнаружения на крейсере «Молотов» Черноморского флота и ознакомления с работой английских корабельных РЛС в Северных конвоях также сменилось требованиями о скорейшем оснащении радиолокаторами советских кораблей. Последовало Распоряжение ГКО за № 2960 от 3 марта 1943 г. «О мерах по оснащению кораблей ВМФ радиолокационной аппаратурой, в том числе импортной, и изготовлению аппаратуры в НИИ-10». СОН-2от работала на волне 4 м и позволяла обнаруживать самолет на дальности от 20 до 40 км (при высотах полета от 1000 до 4000 м) и определять его координаты с точностью: по азимуту – 12 д. у. (делений угломера), по углу места – 7 д. у., по дальности – 25–70 м (15736).</w:t>
      </w:r>
    </w:p>
    <w:p w14:paraId="25B4D7AC"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25C2B0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ноября 1942 г. технический пр. 200 был утвержден совместным решением двух наркоматов (3898).</w:t>
      </w:r>
    </w:p>
    <w:p w14:paraId="38E7245A" w14:textId="77777777" w:rsidR="00090C9B" w:rsidRPr="00722885" w:rsidRDefault="00090C9B" w:rsidP="00722885">
      <w:pPr>
        <w:pStyle w:val="Iauiue"/>
        <w:jc w:val="both"/>
        <w:rPr>
          <w:color w:val="000000" w:themeColor="text1"/>
          <w:sz w:val="16"/>
          <w:szCs w:val="16"/>
        </w:rPr>
      </w:pPr>
    </w:p>
    <w:p w14:paraId="166A728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CB96D9B" w14:textId="77777777" w:rsidR="00090C9B" w:rsidRPr="00722885" w:rsidRDefault="00090C9B" w:rsidP="00722885">
      <w:pPr>
        <w:pStyle w:val="Iauiue"/>
        <w:jc w:val="both"/>
        <w:rPr>
          <w:iCs/>
          <w:color w:val="000000" w:themeColor="text1"/>
          <w:sz w:val="16"/>
          <w:szCs w:val="16"/>
        </w:rPr>
      </w:pPr>
    </w:p>
    <w:p w14:paraId="40AE99BE"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7 ноября</w:t>
      </w:r>
      <w:r w:rsidRPr="00722885">
        <w:rPr>
          <w:rFonts w:ascii="Times New Roman" w:hAnsi="Times New Roman"/>
          <w:color w:val="000000" w:themeColor="text1"/>
          <w:sz w:val="16"/>
          <w:szCs w:val="16"/>
        </w:rPr>
        <w:t xml:space="preserve"> в 1942 году утреннее сообщение Совинформбюро:</w:t>
      </w:r>
    </w:p>
    <w:p w14:paraId="054CDDF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течение ночи на 7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70EC6C0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бои с противником. Бойцы Н-ской части, действующей в районе заводов, выбили немцев из двух укреплённых пунктов и уничтожили до роты пехоты противника. На южном участке обороны города наши подразделения разрушили 9 дзотов и истребили 180 немецких солдат и офицеров.</w:t>
      </w:r>
    </w:p>
    <w:p w14:paraId="38F928D4"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происходила артиллерийская и миномётная перестрелка. Огнём наших артиллеристов разрушено 8 дзотов, подавлен огонь 3 артиллерийских и 2 миномётных батарей, рассеяно и частью уничтожено до батальона немецкой пехоты. На другом участке разгромлен разведывательный отряд итальянцев,пытавшийся ночью проникнуть в тыл советских войск.</w:t>
      </w:r>
    </w:p>
    <w:p w14:paraId="49A0103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противник силою до двух полков пехоты, поддержанных танками, атаковал наши позиции. Бойцы Н-ской части отбили атаки гитлеровцев и нанесли им большой урон. Два советских бронепоезда в шестичасовом бою уничтожили 10 немецких танков, бронемашину, сбили немецкий самолёт и рассеяли до двух рот пехоты противника.</w:t>
      </w:r>
    </w:p>
    <w:p w14:paraId="1C9B584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нашими подразделениями уничтожена окружённая и оказавшая сопротивление группа противника. Истреблено 170 немецких солдат и офицеров. Захвачены трофеи.</w:t>
      </w:r>
    </w:p>
    <w:p w14:paraId="0E96D2D9"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смоленских партизан совершил внезапный налёт на немецкий гарнизон и истребил 35 вражеских солдат и 6 полицейских. Другой партизанский отряд атаковал на шоссейной дороге немецкую автоколонну. В бою с противником партизаны истребили 188 немецких солдат и офицеров. Уничтожено 14 грузовых автомашин с прицепами. Группа подрывников из партизанского отряда, действующего в одном из районов Украины, пустила под откос немецкий воинский поезд. Во время крушения убито более 100 немецко-фашистских оккупантов.</w:t>
      </w:r>
    </w:p>
    <w:p w14:paraId="4B2378A4"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октября отряд гитлеровцев устроил кровавую расправу над мирным населением деревни Полесье, Белорусской республики. Немецко-фашистские мерзавцы расстреляли 12 стариков, изнасиловали, а потом убили четырёх 15—17-летних девушек. Ограбив дочиста деревню, немцы отобрали 55 женщин и девушек и погнали их на станцию для отправки на каторжные работы в Германию. По дороге в лесу арестованные напали на конвой и убили 7 конвоиров-немцев. Расправившись с гитлеровцами, советские патриотки ушли к партизанам.» (14823).</w:t>
      </w:r>
    </w:p>
    <w:p w14:paraId="2AD8130E"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3E5FD402"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7 ноября</w:t>
      </w:r>
      <w:r w:rsidRPr="00722885">
        <w:rPr>
          <w:rFonts w:ascii="Times New Roman" w:hAnsi="Times New Roman"/>
          <w:color w:val="000000" w:themeColor="text1"/>
          <w:sz w:val="16"/>
          <w:szCs w:val="16"/>
        </w:rPr>
        <w:t xml:space="preserve"> в 1942 году вечернее сообщение Совинформбюро:</w:t>
      </w:r>
    </w:p>
    <w:p w14:paraId="7D5514FC"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7 ноября наши войск вели бои с противником, в районе Сталинграда, северо-восточнее Туапсе и юго-восточнее Нальчика. На других фронтах никаких изменении не произошло.</w:t>
      </w:r>
    </w:p>
    <w:p w14:paraId="4412F398"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укрепляли свои позиции и частью сил отбивали атаки противника. Немцы силами пехоты безуспешно пытались атаковать наши опорные пункты. Артиллерийским, миномётным и пулемётным огнём наших частей противнику нанесены большие потери. Только в районе заводов истреблено до 700 немецких солдат и офицеров, уничтожено несколько танков, 11 пулемётов и разрушено 4 вражеских дзота.</w:t>
      </w:r>
    </w:p>
    <w:p w14:paraId="2617E55D"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огневой бой с противником. Артиллеристы Н-ской части разрушили 3 немецких дзота, взорвали склад с боеприпасами, подавили огонь 3 артиллерийских батарей и рассеяли до роты вражеской пехоты. Ружейно-пулемётным огнём нашими бойцами сбито 2 немецких самолёта.</w:t>
      </w:r>
    </w:p>
    <w:p w14:paraId="7DC6DDC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вели ожесточённые бои с танками и пехотой противника. В результате активных действий наших частей в течение дня уничтожено более 400 немецких солдат и офицеров, подбито и сожжено 66 немецких танков, разбито 60 автомашин. Нашими бойцами захвачены 2 исправных немецких танка, 8 противотанковых орудий и другие трофеи.</w:t>
      </w:r>
    </w:p>
    <w:p w14:paraId="5136EF9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в районе Моздока и юго-восточнее Нальчика сбили в воздушных боях 14 немецких самолётов.</w:t>
      </w:r>
    </w:p>
    <w:p w14:paraId="439234AB"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происходили бои местного значения. Противник, понёсший за последнее время огромные потери, подтягивает подкрепления. Наша артиллерия вела обстрел позиций немцев и подходящих к фронту вражеских резервов. Огневыми налётами артиллеристов рассеяно и частью истреблено свыше батальона пехоты противника.</w:t>
      </w:r>
    </w:p>
    <w:p w14:paraId="5AFB6288"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на ряде участков происходила артиллерийско-миномётная перестрелка с противником. В течение дня снайперами и разведчиками наших частей уничтожено до 700 немецких солдат и офицеров.</w:t>
      </w:r>
    </w:p>
    <w:p w14:paraId="78FFD02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тылу противника в Ленинградской области, пустил под откос два воинских эшелона противника. Уничтожено 2 паровоза, 4 вагона с немецкими солдатами, 3 платформы с орудиями, 17 вагонов с боеприпасами, 3 платформы с автомашинами и 7 вагонов с продовольствием.</w:t>
      </w:r>
    </w:p>
    <w:p w14:paraId="08E12C5B"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огромным вниманием слушала вся страна передававшийся по радио доклад Председателя Государственного Комитета Обороны товарища И.В.Сталина о 25-й годовщине Великой Октябрьской Социалистической Революции на торжественном заседании Московского Совета депутатов трудящихся с партийными и общественными организациями города Москвы. В Москве, Ленинграде, Свердловске, Баку, Ташкенте, Тбилиси, Архангельске и других городах Советского Союза, на фронтах, в частях Красной Армии, на кораблях Красного Флота, а также во многих колхозах страны было организовано коллективное слушание доклада товарища Сталина. Мудрая речь товарища Сталина, всесторонний и глубокий анализ событий истекшего года, предельно ясно сформулированные задачи советского народа и его Красной Армии вызвали новый величайший патриотический подъём на фронте и в тылу.</w:t>
      </w:r>
    </w:p>
    <w:p w14:paraId="416F5DEC"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Старый кадровый рабочий Н-ского завода города Москвы тов. Морозенков заявил: «Товарищ Сталин поставил перед нами три задачи: уничтожить гитлеровское государство и его вдохновителей, гитлеровскую армию и ее руководителей, разрушить ненавистный «новый порядок в Европе» и покарать его строителей. Решать эти задачи должна не только Красная Армия на фронтах Отечественной войны, но и мы, работники тыла. Мы дадим фронту ещё больше вооружения и боеприпасов и тем самым ускорим победу над врагом». «B октябре мы дали боеприпасов на 15 процентов больше плана, — говорит начальник цеха тов. Нутихин. — Воодушевлённые речью нашего вождя, мы обязуемся досрочно, к 20 ноября, выполнить годовой план». Это заявление было встречено общим одобрением всех рабочих цеха.» (14823).</w:t>
      </w:r>
    </w:p>
    <w:p w14:paraId="68730FC8"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21315ED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ноября 1942 на ЧМ одиночный бомбардировщик обстрелял катера №54, 74 и 84. Все они получили повреждения, причем на 74-м взорвался бензобак, он остался без хода. Хотя “пострадавшего” притащили в Поти, море не отпустило жертву. Спустя четыре дня он затонул из-за плохой заделки повреждений корпуса при буксировке в Туапсе на ремонт. 13 ноября два других участника “революционных событий 7 ноября” - №54 и 84 - торпедировали камни Эльчан-Кая, принятые в темноте за неприятельский буксир. Оправдывая понятие несчастливого числа (вот только для кого?), немецкая авиация 13-го повредила несколько “Гэ-пятых”: около полудня пострадали №55 и 115, причем на последнем вышел из строя практически весь экипаж - четверо убиты, трое ранены. А во второй половине дня пара “мессеров” подловила 84-й - пострадала матчасть, погиб краснофлотец (6002).</w:t>
      </w:r>
    </w:p>
    <w:p w14:paraId="7E0F7F18" w14:textId="77777777" w:rsidR="00090C9B" w:rsidRPr="00722885" w:rsidRDefault="00090C9B" w:rsidP="00722885">
      <w:pPr>
        <w:pStyle w:val="Iauiue"/>
        <w:jc w:val="both"/>
        <w:rPr>
          <w:color w:val="000000" w:themeColor="text1"/>
          <w:sz w:val="16"/>
          <w:szCs w:val="16"/>
        </w:rPr>
      </w:pPr>
    </w:p>
    <w:p w14:paraId="7FB00E75"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ноября 1942 в 11 часов 25 минут по официальным данным теплоход Армения был атакован одиночным немецким торпедоносцем Не-111, принадлежавшим к 1-й эскадрилье авиагруппы I/KG28. Самолет зашел со стороны берега и с дистанции 600 метров сбросил две торпеды. Одна прошла мимо, а вторая попала в носовую часть теплохода. Через 4 минуты в 11 часов 29 минут, кормой в верх транспорт ушел на дно. По другим данным, в основном со слов оставшихся в живых «Армению» атаковали сразу несколько пар вражеских бомбардировщиков.</w:t>
      </w:r>
    </w:p>
    <w:p w14:paraId="20279F62"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Это был пассажирско-грузовой теплоход. Судно было не столь велико. Оно было спущено на воду в Ленинграде в 1928 году и рассчитано на перевозку 980 пассажиров и 1000 тонн груза. В тот роковой рейс на «Армении» в основном были раненые бойцы Красной армии, медицинский персонал из состава 23 военных госпиталей, а также эвакуированные жители Севастополя и Ялты. В результате гибели теплохода спастись удалось только 8 человекам. По другим данным, спаслось чуть более 80 человек.</w:t>
      </w:r>
    </w:p>
    <w:p w14:paraId="2B1A3643"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советское время считалось, что всего на «Армении» погибли около пяти тысяч человек. Позже некоторые историки увеличили эту цифру до 7-9 тысяч. И это такое количество людей было размещено на судне, проект которого позволял взять на борт не более всего одной тысячи пассажиров. По рассказам немногочисленных оставшихся в живых, люди стояли на палубах плечом к плечу, словно в трамвае в часы пик.</w:t>
      </w:r>
    </w:p>
    <w:p w14:paraId="27A08301"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Было непонятно, почему капитан транспорта нарушил приказ и вышел в море в дневное время. Так, в своих дневниках тогдашний командующий адмирал Октябрьский писал, что командир «Армении» нарушил его приказ дожидаться в Ялте ночи на 8 ноября, чтобы обезопасить судно от удара с воздуха. Однако опытный капитан Плаушевский не был самоубийцей. Он и без приказов командующего прекрасно знал, чем ему грозит дневной переход, поэтому, вероятно, только самые серьезные и необычайные обстоятельства смогли заставить выйти его в море утром (20190).</w:t>
      </w:r>
    </w:p>
    <w:p w14:paraId="53CE8EF6" w14:textId="77777777" w:rsidR="006C3821" w:rsidRPr="00722885" w:rsidRDefault="006C3821" w:rsidP="00722885">
      <w:pPr>
        <w:spacing w:after="0" w:line="240" w:lineRule="auto"/>
        <w:jc w:val="both"/>
        <w:rPr>
          <w:rFonts w:ascii="Times New Roman" w:hAnsi="Times New Roman"/>
          <w:color w:val="0070C0"/>
          <w:sz w:val="16"/>
          <w:szCs w:val="16"/>
        </w:rPr>
      </w:pPr>
    </w:p>
    <w:p w14:paraId="338BAFA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0DDB3B2" w14:textId="77777777" w:rsidR="00090C9B" w:rsidRPr="00722885" w:rsidRDefault="00090C9B" w:rsidP="00722885">
      <w:pPr>
        <w:pStyle w:val="Iauiue"/>
        <w:jc w:val="both"/>
        <w:rPr>
          <w:iCs/>
          <w:color w:val="000000" w:themeColor="text1"/>
          <w:sz w:val="16"/>
          <w:szCs w:val="16"/>
        </w:rPr>
      </w:pPr>
    </w:p>
    <w:p w14:paraId="24435E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ноября 1942 И.В.С. в приказе намекнул на Сталинградское контрнаступление - "будет и на нашей улице праздник" (2070,81).</w:t>
      </w:r>
    </w:p>
    <w:p w14:paraId="479F4FD9" w14:textId="77777777" w:rsidR="00090C9B" w:rsidRPr="00722885" w:rsidRDefault="00090C9B" w:rsidP="00722885">
      <w:pPr>
        <w:pStyle w:val="Iauiue"/>
        <w:jc w:val="both"/>
        <w:rPr>
          <w:color w:val="000000" w:themeColor="text1"/>
          <w:sz w:val="16"/>
          <w:szCs w:val="16"/>
        </w:rPr>
      </w:pPr>
    </w:p>
    <w:p w14:paraId="45C7060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F403933" w14:textId="77777777" w:rsidR="00090C9B" w:rsidRPr="00722885" w:rsidRDefault="00090C9B" w:rsidP="00722885">
      <w:pPr>
        <w:pStyle w:val="Iauiue"/>
        <w:jc w:val="both"/>
        <w:rPr>
          <w:iCs/>
          <w:color w:val="000000" w:themeColor="text1"/>
          <w:sz w:val="16"/>
          <w:szCs w:val="16"/>
        </w:rPr>
      </w:pPr>
    </w:p>
    <w:p w14:paraId="04685951"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ноября 1942 бомбардировщик ВВС США обнаруживает, что японские войска занимают Атту на Алеутских островах . Американская авиация вскоре начинает бомбардировку Атту (20793).</w:t>
      </w:r>
    </w:p>
    <w:p w14:paraId="32372190" w14:textId="77777777" w:rsidR="006C3821" w:rsidRPr="00722885" w:rsidRDefault="006C3821" w:rsidP="00722885">
      <w:pPr>
        <w:spacing w:after="0" w:line="240" w:lineRule="auto"/>
        <w:jc w:val="both"/>
        <w:rPr>
          <w:rFonts w:ascii="Times New Roman" w:hAnsi="Times New Roman"/>
          <w:color w:val="0070C0"/>
          <w:sz w:val="16"/>
          <w:szCs w:val="16"/>
        </w:rPr>
      </w:pPr>
    </w:p>
    <w:p w14:paraId="5DDF4B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ноября 1942 началась операция Факел и шла до 8 ноября. Высадка в Марокко и Алжире (3907,237).</w:t>
      </w:r>
    </w:p>
    <w:p w14:paraId="5A6E64AE" w14:textId="77777777" w:rsidR="00090C9B" w:rsidRPr="00722885" w:rsidRDefault="00090C9B" w:rsidP="00722885">
      <w:pPr>
        <w:pStyle w:val="Iauiue"/>
        <w:jc w:val="both"/>
        <w:rPr>
          <w:color w:val="000000" w:themeColor="text1"/>
          <w:sz w:val="16"/>
          <w:szCs w:val="16"/>
        </w:rPr>
      </w:pPr>
    </w:p>
    <w:p w14:paraId="581949A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7 ноября</w:t>
      </w:r>
      <w:r w:rsidRPr="00722885">
        <w:rPr>
          <w:rFonts w:ascii="Times New Roman" w:hAnsi="Times New Roman"/>
          <w:color w:val="000000" w:themeColor="text1"/>
          <w:sz w:val="16"/>
          <w:szCs w:val="16"/>
        </w:rPr>
        <w:t xml:space="preserve"> в 1942 году операция «Факел» в Северной Африке (до 8 ноября). Союзные войска под командованием американского генерала Дуайта Эйзенхауэра высаживаются в Марокко и Алжире (14823).</w:t>
      </w:r>
    </w:p>
    <w:p w14:paraId="5D2BF285"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7A03CA8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E7CB02B" w14:textId="77777777" w:rsidR="00090C9B" w:rsidRPr="00722885" w:rsidRDefault="00090C9B" w:rsidP="00722885">
      <w:pPr>
        <w:pStyle w:val="Iauiue"/>
        <w:jc w:val="both"/>
        <w:rPr>
          <w:iCs/>
          <w:color w:val="000000" w:themeColor="text1"/>
          <w:sz w:val="16"/>
          <w:szCs w:val="16"/>
        </w:rPr>
      </w:pPr>
    </w:p>
    <w:p w14:paraId="107F64D3"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8 ноября 1942 г. - моменту приезда в полк старшего техника военного представительства ГУЗ ВВС КА на за</w:t>
      </w:r>
      <w:r w:rsidRPr="00722885">
        <w:rPr>
          <w:color w:val="000000" w:themeColor="text1"/>
          <w:sz w:val="16"/>
          <w:szCs w:val="16"/>
        </w:rPr>
        <w:softHyphen/>
        <w:t>воде № 18 старшего техника-лейтенанта А. Г. Тишевского - пушки Ш-37 на всех 10 самолетах Ил-2 оказались в крайне запущенном состоянии: «. подвижные части и каналы ство</w:t>
      </w:r>
      <w:r w:rsidRPr="00722885">
        <w:rPr>
          <w:color w:val="000000" w:themeColor="text1"/>
          <w:sz w:val="16"/>
          <w:szCs w:val="16"/>
        </w:rPr>
        <w:softHyphen/>
        <w:t>лов и снаружи пушки были ржавые». Тишев- ский немедленно доложил о положении дел в полку старшему военному представителю ГУЗ ВВС на заводе № 18 инженер-подполковнику Кувеневу и предпринял активные шаги по приведению пу</w:t>
      </w:r>
      <w:r w:rsidRPr="00722885">
        <w:rPr>
          <w:color w:val="000000" w:themeColor="text1"/>
          <w:sz w:val="16"/>
          <w:szCs w:val="16"/>
        </w:rPr>
        <w:softHyphen/>
        <w:t>шек в надлежащий вид.</w:t>
      </w:r>
    </w:p>
    <w:p w14:paraId="024BA83B"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докладу Тишевского, «инженер по вооруже</w:t>
      </w:r>
      <w:r w:rsidRPr="00722885">
        <w:rPr>
          <w:color w:val="000000" w:themeColor="text1"/>
          <w:sz w:val="16"/>
          <w:szCs w:val="16"/>
        </w:rPr>
        <w:softHyphen/>
        <w:t>нию 617-го шап военинженер 3-го ранга Черненков беззаботно и халатно отнесся к оружию». Послед</w:t>
      </w:r>
      <w:r w:rsidRPr="00722885">
        <w:rPr>
          <w:color w:val="000000" w:themeColor="text1"/>
          <w:sz w:val="16"/>
          <w:szCs w:val="16"/>
        </w:rPr>
        <w:softHyphen/>
        <w:t>ний ссылался на отсутствие технического состава, хотя в полку было 20 специалистов по вооружению. Однако «часть этих людей все время использова</w:t>
      </w:r>
      <w:r w:rsidRPr="00722885">
        <w:rPr>
          <w:color w:val="000000" w:themeColor="text1"/>
          <w:sz w:val="16"/>
          <w:szCs w:val="16"/>
        </w:rPr>
        <w:softHyphen/>
        <w:t>лась в нарядах и на разных работах, но если бы у инженера полка по вооружению было желание содержать оружие в надлежащем виде и в полной сохранности, то он всегда сумел бы найти для этого людей и время». Между тем со стороны заместите</w:t>
      </w:r>
      <w:r w:rsidRPr="00722885">
        <w:rPr>
          <w:color w:val="000000" w:themeColor="text1"/>
          <w:sz w:val="16"/>
          <w:szCs w:val="16"/>
        </w:rPr>
        <w:softHyphen/>
        <w:t>ля командира полка майора Шалыгина (командир полка майор Гапанюк до 17 ноября находился в от</w:t>
      </w:r>
      <w:r w:rsidRPr="00722885">
        <w:rPr>
          <w:color w:val="000000" w:themeColor="text1"/>
          <w:sz w:val="16"/>
          <w:szCs w:val="16"/>
        </w:rPr>
        <w:softHyphen/>
        <w:t>пуске) полностью отсутствовал контроль состояния материальной части вооружения самолетов и ра</w:t>
      </w:r>
      <w:r w:rsidRPr="00722885">
        <w:rPr>
          <w:color w:val="000000" w:themeColor="text1"/>
          <w:sz w:val="16"/>
          <w:szCs w:val="16"/>
        </w:rPr>
        <w:softHyphen/>
        <w:t>боты инженера полка по вооружению. Не проявило должного внимания к противотанковым самолетам Ил-2 и командование 5-го запасного полка (коман</w:t>
      </w:r>
      <w:r w:rsidRPr="00722885">
        <w:rPr>
          <w:color w:val="000000" w:themeColor="text1"/>
          <w:sz w:val="16"/>
          <w:szCs w:val="16"/>
        </w:rPr>
        <w:softHyphen/>
        <w:t>дир полка — майор Беляков, инженер по вооруже</w:t>
      </w:r>
      <w:r w:rsidRPr="00722885">
        <w:rPr>
          <w:color w:val="000000" w:themeColor="text1"/>
          <w:sz w:val="16"/>
          <w:szCs w:val="16"/>
        </w:rPr>
        <w:softHyphen/>
        <w:t>нию — воентехник 1-го ранга Галкин), в подчине</w:t>
      </w:r>
      <w:r w:rsidRPr="00722885">
        <w:rPr>
          <w:color w:val="000000" w:themeColor="text1"/>
          <w:sz w:val="16"/>
          <w:szCs w:val="16"/>
        </w:rPr>
        <w:softHyphen/>
        <w:t>нии которого находился 617-й шап в период пере</w:t>
      </w:r>
      <w:r w:rsidRPr="00722885">
        <w:rPr>
          <w:color w:val="000000" w:themeColor="text1"/>
          <w:sz w:val="16"/>
          <w:szCs w:val="16"/>
        </w:rPr>
        <w:softHyphen/>
        <w:t>учивания.</w:t>
      </w:r>
    </w:p>
    <w:p w14:paraId="2B818E0A"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«разбора полетов» на уровне командо</w:t>
      </w:r>
      <w:r w:rsidRPr="00722885">
        <w:rPr>
          <w:color w:val="000000" w:themeColor="text1"/>
          <w:sz w:val="16"/>
          <w:szCs w:val="16"/>
        </w:rPr>
        <w:softHyphen/>
        <w:t>вания полков, запасной бригады, руководства во</w:t>
      </w:r>
      <w:r w:rsidRPr="00722885">
        <w:rPr>
          <w:color w:val="000000" w:themeColor="text1"/>
          <w:sz w:val="16"/>
          <w:szCs w:val="16"/>
        </w:rPr>
        <w:softHyphen/>
        <w:t>енного представительства на заводе № 18 и УЗСиМ ГУЗ ВВС за пушки, наконец, основательно взялись и к 21 ноября привели в надлежащий вид. Однако «от сильного ржавения на многих деталях пушек остались неустранимые следы ржавчины и рако</w:t>
      </w:r>
      <w:r w:rsidRPr="00722885">
        <w:rPr>
          <w:color w:val="000000" w:themeColor="text1"/>
          <w:sz w:val="16"/>
          <w:szCs w:val="16"/>
        </w:rPr>
        <w:softHyphen/>
        <w:t>вины».</w:t>
      </w:r>
    </w:p>
    <w:p w14:paraId="2432EEBA"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 фактическом состоянии пушек Ш-37 и самоле</w:t>
      </w:r>
      <w:r w:rsidRPr="00722885">
        <w:rPr>
          <w:color w:val="000000" w:themeColor="text1"/>
          <w:sz w:val="16"/>
          <w:szCs w:val="16"/>
        </w:rPr>
        <w:softHyphen/>
        <w:t>тов Ил-2 противотанковой серии Тишевский 23 но</w:t>
      </w:r>
      <w:r w:rsidRPr="00722885">
        <w:rPr>
          <w:color w:val="000000" w:themeColor="text1"/>
          <w:sz w:val="16"/>
          <w:szCs w:val="16"/>
        </w:rPr>
        <w:softHyphen/>
        <w:t>ября письменно доложил инженер-подполковнику Кувеневу, а тот в УЗСиМ ГУЗ ВВС.</w:t>
      </w:r>
    </w:p>
    <w:p w14:paraId="50FD1EED"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Здесь необходимо сказать, что старший тех</w:t>
      </w:r>
      <w:r w:rsidRPr="00722885">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722885">
        <w:rPr>
          <w:color w:val="000000" w:themeColor="text1"/>
          <w:sz w:val="16"/>
          <w:szCs w:val="16"/>
        </w:rPr>
        <w:softHyphen/>
        <w:t>мощи летно-техническому составу полка в осво</w:t>
      </w:r>
      <w:r w:rsidRPr="00722885">
        <w:rPr>
          <w:color w:val="000000" w:themeColor="text1"/>
          <w:sz w:val="16"/>
          <w:szCs w:val="16"/>
        </w:rPr>
        <w:softHyphen/>
        <w:t>ении и эксплуатации пушек. Позже, когда в полк приехала комиссия НИИ ВВС для проведения вой</w:t>
      </w:r>
      <w:r w:rsidRPr="00722885">
        <w:rPr>
          <w:color w:val="000000" w:themeColor="text1"/>
          <w:sz w:val="16"/>
          <w:szCs w:val="16"/>
        </w:rPr>
        <w:softHyphen/>
        <w:t>сковых испытаний самолетов Ил-2 с пушками Ш-37, Тишевский принял деятельное участие и в их про</w:t>
      </w:r>
      <w:r w:rsidRPr="00722885">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19983D45"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Поскольку ни инженер 617-го шап, ни специ</w:t>
      </w:r>
      <w:r w:rsidRPr="00722885">
        <w:rPr>
          <w:color w:val="000000" w:themeColor="text1"/>
          <w:sz w:val="16"/>
          <w:szCs w:val="16"/>
        </w:rPr>
        <w:softHyphen/>
        <w:t>алисты полка по вооружению пушку Ш-37 не зна</w:t>
      </w:r>
      <w:r w:rsidRPr="00722885">
        <w:rPr>
          <w:color w:val="000000" w:themeColor="text1"/>
          <w:sz w:val="16"/>
          <w:szCs w:val="16"/>
        </w:rPr>
        <w:softHyphen/>
        <w:t>ли, то Тишевский «занялся обучением техниче</w:t>
      </w:r>
      <w:r w:rsidRPr="00722885">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722885">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722885">
        <w:rPr>
          <w:color w:val="000000" w:themeColor="text1"/>
          <w:sz w:val="16"/>
          <w:szCs w:val="16"/>
        </w:rPr>
        <w:softHyphen/>
        <w:t>ко отдельные люди». Прибывшая «от конструкто</w:t>
      </w:r>
      <w:r w:rsidRPr="00722885">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722885">
        <w:rPr>
          <w:color w:val="000000" w:themeColor="text1"/>
          <w:sz w:val="16"/>
          <w:szCs w:val="16"/>
        </w:rPr>
        <w:softHyphen/>
        <w:t>тинов, 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00734B60"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это оказалось не самым главным. К это</w:t>
      </w:r>
      <w:r w:rsidRPr="00722885">
        <w:rPr>
          <w:color w:val="000000" w:themeColor="text1"/>
          <w:sz w:val="16"/>
          <w:szCs w:val="16"/>
        </w:rPr>
        <w:softHyphen/>
        <w:t>му времени выяснилось, что «в 617-м шап летный состав с «илами» мало знаком, летчики все моло</w:t>
      </w:r>
      <w:r w:rsidRPr="00722885">
        <w:rPr>
          <w:color w:val="000000" w:themeColor="text1"/>
          <w:sz w:val="16"/>
          <w:szCs w:val="16"/>
        </w:rPr>
        <w:softHyphen/>
        <w:t>дые, только выпущенные из школ, /.../ переучива</w:t>
      </w:r>
      <w:r w:rsidRPr="00722885">
        <w:rPr>
          <w:color w:val="000000" w:themeColor="text1"/>
          <w:sz w:val="16"/>
          <w:szCs w:val="16"/>
        </w:rPr>
        <w:softHyphen/>
        <w:t>ние только началось, еще не был проработан пер</w:t>
      </w:r>
      <w:r w:rsidRPr="00722885">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722885">
        <w:rPr>
          <w:color w:val="000000" w:themeColor="text1"/>
          <w:sz w:val="16"/>
          <w:szCs w:val="16"/>
        </w:rPr>
        <w:softHyphen/>
        <w:t>ние полка 10 опытных летчиков командир 1-го заб полковник А. И. Подольский оставил без вни</w:t>
      </w:r>
      <w:r w:rsidRPr="00722885">
        <w:rPr>
          <w:color w:val="000000" w:themeColor="text1"/>
          <w:sz w:val="16"/>
          <w:szCs w:val="16"/>
        </w:rPr>
        <w:softHyphen/>
        <w:t>мания.</w:t>
      </w:r>
    </w:p>
    <w:p w14:paraId="621F440A"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сложившейся ситуации старший техник-лей</w:t>
      </w:r>
      <w:r w:rsidRPr="00722885">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722885">
        <w:rPr>
          <w:color w:val="000000" w:themeColor="text1"/>
          <w:sz w:val="16"/>
          <w:szCs w:val="16"/>
        </w:rPr>
        <w:softHyphen/>
        <w:t>рованную телеграмму лично начальнику УЗСиМ ГУЗ ВВС инженер-полковнику Алексееву, в которой из</w:t>
      </w:r>
      <w:r w:rsidRPr="00722885">
        <w:rPr>
          <w:color w:val="000000" w:themeColor="text1"/>
          <w:sz w:val="16"/>
          <w:szCs w:val="16"/>
        </w:rPr>
        <w:softHyphen/>
        <w:t>ложил свое мнение и дал оценку состояния пушек и самолетов Ил-2.</w:t>
      </w:r>
    </w:p>
    <w:p w14:paraId="64822D3E"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710E8142"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722885">
        <w:rPr>
          <w:color w:val="000000" w:themeColor="text1"/>
          <w:sz w:val="16"/>
          <w:szCs w:val="16"/>
        </w:rPr>
        <w:softHyphen/>
        <w:t>ные не было патронов») (17500).</w:t>
      </w:r>
    </w:p>
    <w:p w14:paraId="5481A3BB" w14:textId="77777777" w:rsidR="00594136" w:rsidRPr="00722885" w:rsidRDefault="00594136" w:rsidP="00722885">
      <w:pPr>
        <w:spacing w:after="0" w:line="240" w:lineRule="auto"/>
        <w:jc w:val="both"/>
        <w:rPr>
          <w:rFonts w:ascii="Times New Roman" w:eastAsia="Times New Roman" w:hAnsi="Times New Roman"/>
          <w:color w:val="000000" w:themeColor="text1"/>
          <w:sz w:val="16"/>
          <w:szCs w:val="16"/>
          <w:lang w:eastAsia="ru-RU"/>
        </w:rPr>
      </w:pPr>
    </w:p>
    <w:p w14:paraId="0C7326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ноября 1942 начался выпуск первых серийным М-106П (198,53).</w:t>
      </w:r>
    </w:p>
    <w:p w14:paraId="389360B4" w14:textId="77777777" w:rsidR="00090C9B" w:rsidRPr="00722885" w:rsidRDefault="00090C9B" w:rsidP="00722885">
      <w:pPr>
        <w:pStyle w:val="Iauiue"/>
        <w:jc w:val="both"/>
        <w:rPr>
          <w:color w:val="000000" w:themeColor="text1"/>
          <w:sz w:val="16"/>
          <w:szCs w:val="16"/>
        </w:rPr>
      </w:pPr>
    </w:p>
    <w:p w14:paraId="08F1A5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ноября 1942 г. были выполнены первые серийные моторы М-106П. 10 января 1943 г. закончились заводские испытания серийного Як-1 № 01111 с серийным мотором М-106-ICK. На испытаниях были достигнуты максимальные скорости горизонтального полета у земли - 535 и на высоте 3400 м - 606 км/ч. Высоту 5000 м самолет набрал за 5,1 мин. Испытания подтвердили необходимость увеличения на 12-15 % (для обеспечения нормального температурного режима мотора) эффективности существующих охлаждающих устройств. Отмечалась также тряска мотора на переходных режимах (1800-2200 об/мин), детонация и повышенный расход топлива, дымление на всех режимах работы (12048).</w:t>
      </w:r>
    </w:p>
    <w:p w14:paraId="396A87A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6E28D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ноября 1942 в контрольном полете Ер-2 с М-30 с нагнетателями от АМ-38 на дальность на 1000 км, было обнаружено падение давления в маслосистеме правого мотора, по этой причине полет был прекращен и посадка произведена с одним левым работающим мотором. При осмотре правого мотора специалистами завода N 500, после посадки самолета, дефектов обнаружено не было и по проверке работы его на земле, мотор был признан пригодным к дальнейшим полетам (2504,69).</w:t>
      </w:r>
    </w:p>
    <w:p w14:paraId="7C4BCED8" w14:textId="77777777" w:rsidR="00090C9B" w:rsidRPr="00722885" w:rsidRDefault="00090C9B" w:rsidP="00722885">
      <w:pPr>
        <w:pStyle w:val="Iauiue"/>
        <w:jc w:val="both"/>
        <w:rPr>
          <w:color w:val="000000" w:themeColor="text1"/>
          <w:sz w:val="16"/>
          <w:szCs w:val="16"/>
        </w:rPr>
      </w:pPr>
    </w:p>
    <w:p w14:paraId="034B41B6"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8 ноября 1942 по</w:t>
      </w:r>
      <w:r w:rsidRPr="00722885">
        <w:rPr>
          <w:rFonts w:ascii="Times New Roman" w:cs="Times New Roman"/>
          <w:color w:val="000000" w:themeColor="text1"/>
          <w:spacing w:val="0"/>
        </w:rPr>
        <w:softHyphen/>
        <w:t>ступила на испытания в НИП АВ повторно ПТАБ-1,5 (264 штуки) с взры</w:t>
      </w:r>
      <w:r w:rsidRPr="00722885">
        <w:rPr>
          <w:rFonts w:ascii="Times New Roman" w:cs="Times New Roman"/>
          <w:color w:val="000000" w:themeColor="text1"/>
          <w:spacing w:val="0"/>
        </w:rPr>
        <w:softHyphen/>
        <w:t>вателем АВ-108-3 конструкции ЦКБ-22. Одновременно на полигон была предъяв</w:t>
      </w:r>
      <w:r w:rsidRPr="00722885">
        <w:rPr>
          <w:rFonts w:ascii="Times New Roman" w:cs="Times New Roman"/>
          <w:color w:val="000000" w:themeColor="text1"/>
          <w:spacing w:val="0"/>
        </w:rPr>
        <w:softHyphen/>
        <w:t xml:space="preserve">лена противотанковая кумулятивная бомба ПТАБ-2,5 (187 штук) в габаритах калибра </w:t>
      </w:r>
      <w:r w:rsidRPr="00722885">
        <w:rPr>
          <w:rStyle w:val="ArialNarrow-1pt"/>
          <w:rFonts w:ascii="Times New Roman" w:hAnsi="Times New Roman" w:cs="Times New Roman"/>
          <w:b w:val="0"/>
          <w:color w:val="000000" w:themeColor="text1"/>
          <w:spacing w:val="0"/>
          <w:sz w:val="16"/>
          <w:szCs w:val="16"/>
        </w:rPr>
        <w:t>2,5</w:t>
      </w:r>
      <w:r w:rsidRPr="00722885">
        <w:rPr>
          <w:rFonts w:ascii="Times New Roman" w:cs="Times New Roman"/>
          <w:color w:val="000000" w:themeColor="text1"/>
          <w:spacing w:val="0"/>
        </w:rPr>
        <w:t xml:space="preserve"> кг конструкции ГСКБ-47. Программу сравнительных испытаний бомб утвердил лично главный инженер ВВС генерал-лейтенант А.К. Ре</w:t>
      </w:r>
      <w:r w:rsidRPr="00722885">
        <w:rPr>
          <w:rFonts w:ascii="Times New Roman" w:cs="Times New Roman"/>
          <w:color w:val="000000" w:themeColor="text1"/>
          <w:spacing w:val="0"/>
        </w:rPr>
        <w:softHyphen/>
        <w:t>пин. Сбрасывать бомбы предполагалось с самоле</w:t>
      </w:r>
      <w:r w:rsidRPr="00722885">
        <w:rPr>
          <w:rFonts w:ascii="Times New Roman" w:cs="Times New Roman"/>
          <w:color w:val="000000" w:themeColor="text1"/>
          <w:spacing w:val="0"/>
        </w:rPr>
        <w:softHyphen/>
        <w:t>тов Ил-2 и У-2.</w:t>
      </w:r>
    </w:p>
    <w:p w14:paraId="7924A5BA"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Для проведения испы</w:t>
      </w:r>
      <w:r w:rsidRPr="00722885">
        <w:rPr>
          <w:rFonts w:ascii="Times New Roman" w:cs="Times New Roman"/>
          <w:color w:val="000000" w:themeColor="text1"/>
          <w:spacing w:val="0"/>
        </w:rPr>
        <w:softHyphen/>
        <w:t>таний начальник НИП АВ полковник Лобачев назна</w:t>
      </w:r>
      <w:r w:rsidRPr="00722885">
        <w:rPr>
          <w:rFonts w:ascii="Times New Roman" w:cs="Times New Roman"/>
          <w:color w:val="000000" w:themeColor="text1"/>
          <w:spacing w:val="0"/>
        </w:rPr>
        <w:softHyphen/>
        <w:t>чил наземную бригаду в со</w:t>
      </w:r>
      <w:r w:rsidRPr="00722885">
        <w:rPr>
          <w:rFonts w:ascii="Times New Roman" w:cs="Times New Roman"/>
          <w:color w:val="000000" w:themeColor="text1"/>
          <w:spacing w:val="0"/>
        </w:rPr>
        <w:softHyphen/>
        <w:t>ставе: ведущего инженера по испытаниям инженер- майора Дьячкова, техников- лейтенантов Думайленко и Багрова, сержантов Ино</w:t>
      </w:r>
      <w:r w:rsidRPr="00722885">
        <w:rPr>
          <w:rFonts w:ascii="Times New Roman" w:cs="Times New Roman"/>
          <w:color w:val="000000" w:themeColor="text1"/>
          <w:spacing w:val="0"/>
        </w:rPr>
        <w:softHyphen/>
        <w:t>земцева и Анохина, а также мастера по вооружению Мыльцева. Выполнение летной части программы испытаний обеспечивалась летчиками-испытателями - майором Звонаревым и капитаном Девятниковым, а также штурманом-испы</w:t>
      </w:r>
      <w:r w:rsidRPr="00722885">
        <w:rPr>
          <w:rFonts w:ascii="Times New Roman" w:cs="Times New Roman"/>
          <w:color w:val="000000" w:themeColor="text1"/>
          <w:spacing w:val="0"/>
        </w:rPr>
        <w:softHyphen/>
        <w:t>тателем старшим лейтенан</w:t>
      </w:r>
      <w:r w:rsidRPr="00722885">
        <w:rPr>
          <w:rFonts w:ascii="Times New Roman" w:cs="Times New Roman"/>
          <w:color w:val="000000" w:themeColor="text1"/>
          <w:spacing w:val="0"/>
        </w:rPr>
        <w:softHyphen/>
        <w:t>том Ароновым.</w:t>
      </w:r>
    </w:p>
    <w:p w14:paraId="0DF6BCC6"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Оказалось, что дора</w:t>
      </w:r>
      <w:r w:rsidRPr="00722885">
        <w:rPr>
          <w:rFonts w:ascii="Times New Roman" w:cs="Times New Roman"/>
          <w:color w:val="000000" w:themeColor="text1"/>
          <w:spacing w:val="0"/>
        </w:rPr>
        <w:softHyphen/>
        <w:t>ботанный вариант бомбы ПТАБ-1,5 по длине не впол</w:t>
      </w:r>
      <w:r w:rsidRPr="00722885">
        <w:rPr>
          <w:rFonts w:ascii="Times New Roman" w:cs="Times New Roman"/>
          <w:color w:val="000000" w:themeColor="text1"/>
          <w:spacing w:val="0"/>
        </w:rPr>
        <w:softHyphen/>
        <w:t>не отвечает требованиям по размещению их в мо</w:t>
      </w:r>
      <w:r w:rsidRPr="00722885">
        <w:rPr>
          <w:rFonts w:ascii="Times New Roman" w:cs="Times New Roman"/>
          <w:color w:val="000000" w:themeColor="text1"/>
          <w:spacing w:val="0"/>
        </w:rPr>
        <w:softHyphen/>
        <w:t>дернизированных кассетах мелких бомб КМБ-2 самолета Ил-2. Кроме того, бомбы зависали в кассетах при сбросе с самолета, а также имели место отказы в действии из-за несвертывания ветрянки.</w:t>
      </w:r>
    </w:p>
    <w:p w14:paraId="4DB4A735"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Так, в испытательном полете 9 ноября из-за зависания бомб ПТАБ-1,5 в кассетах мелких бомб Ил-2 произошло самопроиз</w:t>
      </w:r>
      <w:r w:rsidRPr="00722885">
        <w:rPr>
          <w:rFonts w:ascii="Times New Roman" w:cs="Times New Roman"/>
          <w:color w:val="000000" w:themeColor="text1"/>
          <w:spacing w:val="0"/>
        </w:rPr>
        <w:softHyphen/>
        <w:t>вольное сбрасывание последних недалеко от аэродрома в районе временного бомбо- склада. По счастью, обошлось. Бомбы упали на окраине склада, не при</w:t>
      </w:r>
      <w:r w:rsidRPr="00722885">
        <w:rPr>
          <w:rFonts w:ascii="Times New Roman" w:cs="Times New Roman"/>
          <w:color w:val="000000" w:themeColor="text1"/>
          <w:spacing w:val="0"/>
        </w:rPr>
        <w:softHyphen/>
        <w:t>чинив никакого ущерба.</w:t>
      </w:r>
    </w:p>
    <w:p w14:paraId="267F8DB2"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заданию майор Звонарев должен был вы</w:t>
      </w:r>
      <w:r w:rsidRPr="00722885">
        <w:rPr>
          <w:rFonts w:ascii="Times New Roman" w:cs="Times New Roman"/>
          <w:color w:val="000000" w:themeColor="text1"/>
          <w:spacing w:val="0"/>
        </w:rPr>
        <w:softHyphen/>
        <w:t>полнить бомбометание по трофейным танкам, со</w:t>
      </w:r>
      <w:r w:rsidRPr="00722885">
        <w:rPr>
          <w:rFonts w:ascii="Times New Roman" w:cs="Times New Roman"/>
          <w:color w:val="000000" w:themeColor="text1"/>
          <w:spacing w:val="0"/>
        </w:rPr>
        <w:softHyphen/>
        <w:t>ставлявшим мишенную обстановку. В самолет за</w:t>
      </w:r>
      <w:r w:rsidRPr="00722885">
        <w:rPr>
          <w:rFonts w:ascii="Times New Roman" w:cs="Times New Roman"/>
          <w:color w:val="000000" w:themeColor="text1"/>
          <w:spacing w:val="0"/>
        </w:rPr>
        <w:softHyphen/>
        <w:t>грузили две кассеты по 28 бомб в каждой. При первом заходе были сбро</w:t>
      </w:r>
      <w:r w:rsidRPr="00722885">
        <w:rPr>
          <w:rFonts w:ascii="Times New Roman" w:cs="Times New Roman"/>
          <w:color w:val="000000" w:themeColor="text1"/>
          <w:spacing w:val="0"/>
        </w:rPr>
        <w:softHyphen/>
        <w:t>шены бомбы из одной кас</w:t>
      </w:r>
      <w:r w:rsidRPr="00722885">
        <w:rPr>
          <w:rFonts w:ascii="Times New Roman" w:cs="Times New Roman"/>
          <w:color w:val="000000" w:themeColor="text1"/>
          <w:spacing w:val="0"/>
        </w:rPr>
        <w:softHyphen/>
        <w:t>сеты: «Бомбы высыпались нормально». Поскольку на правом развороте летчи</w:t>
      </w:r>
      <w:r w:rsidRPr="00722885">
        <w:rPr>
          <w:rFonts w:ascii="Times New Roman" w:cs="Times New Roman"/>
          <w:color w:val="000000" w:themeColor="text1"/>
          <w:spacing w:val="0"/>
        </w:rPr>
        <w:softHyphen/>
        <w:t>ку было трудно наблюдать результаты падения бомб и цель - «солнце и дым от упавших бомб», то майор Звонарев в нарушение На</w:t>
      </w:r>
      <w:r w:rsidRPr="00722885">
        <w:rPr>
          <w:rFonts w:ascii="Times New Roman" w:cs="Times New Roman"/>
          <w:color w:val="000000" w:themeColor="text1"/>
          <w:spacing w:val="0"/>
        </w:rPr>
        <w:softHyphen/>
        <w:t>ставления по полигонной службе решил второй заход выполнить с левого разво</w:t>
      </w:r>
      <w:r w:rsidRPr="00722885">
        <w:rPr>
          <w:rFonts w:ascii="Times New Roman" w:cs="Times New Roman"/>
          <w:color w:val="000000" w:themeColor="text1"/>
          <w:spacing w:val="0"/>
        </w:rPr>
        <w:softHyphen/>
        <w:t>рота. Дело в том, что в этом случае самолет «в конце боевого курса вы</w:t>
      </w:r>
      <w:r w:rsidRPr="00722885">
        <w:rPr>
          <w:rFonts w:ascii="Times New Roman" w:cs="Times New Roman"/>
          <w:color w:val="000000" w:themeColor="text1"/>
          <w:spacing w:val="0"/>
        </w:rPr>
        <w:softHyphen/>
        <w:t>ходил к окраинам бомбосклада». При откры</w:t>
      </w:r>
      <w:r w:rsidRPr="00722885">
        <w:rPr>
          <w:rFonts w:ascii="Times New Roman" w:cs="Times New Roman"/>
          <w:color w:val="000000" w:themeColor="text1"/>
          <w:spacing w:val="0"/>
        </w:rPr>
        <w:softHyphen/>
        <w:t>тии второй кассеты 14 бомб упали на цель, а 14 зависли в кассете. Подойдя к границе склада, Звонарев сделал энергичный раз</w:t>
      </w:r>
      <w:r w:rsidRPr="00722885">
        <w:rPr>
          <w:rFonts w:ascii="Times New Roman" w:cs="Times New Roman"/>
          <w:color w:val="000000" w:themeColor="text1"/>
          <w:spacing w:val="0"/>
        </w:rPr>
        <w:softHyphen/>
        <w:t>ворот «и в это время из кассеты высыпались остальные 14 бомб». При осмотре места падения бомб «найдено 13 сработавших и один отказ».</w:t>
      </w:r>
    </w:p>
    <w:p w14:paraId="066BBFA8"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Как следует из документов, испыта</w:t>
      </w:r>
      <w:r w:rsidRPr="00722885">
        <w:rPr>
          <w:rFonts w:ascii="Times New Roman" w:cs="Times New Roman"/>
          <w:color w:val="000000" w:themeColor="text1"/>
          <w:spacing w:val="0"/>
        </w:rPr>
        <w:softHyphen/>
        <w:t>ния бомб ПТАБ-2,5 конструкции ГСКБ-47 вместо майора Звонарева и капитана Девятникова проводили капитан Кусакин и старший лейтенант Евсеев. Впрочем, сме</w:t>
      </w:r>
      <w:r w:rsidRPr="00722885">
        <w:rPr>
          <w:rFonts w:ascii="Times New Roman" w:cs="Times New Roman"/>
          <w:color w:val="000000" w:themeColor="text1"/>
          <w:spacing w:val="0"/>
        </w:rPr>
        <w:softHyphen/>
        <w:t>на исполнителей не повлияла на оконча</w:t>
      </w:r>
      <w:r w:rsidRPr="00722885">
        <w:rPr>
          <w:rFonts w:ascii="Times New Roman" w:cs="Times New Roman"/>
          <w:color w:val="000000" w:themeColor="text1"/>
          <w:spacing w:val="0"/>
        </w:rPr>
        <w:softHyphen/>
        <w:t>тельный результат - также как ПТАБ-1,5, бомба ПТАБ-2,5 испытаний не выдержала. Основные нарекания к бомбе сводились к ее недостаточной устойчивости в полете на траектории падения при сбросе с самолета Ил-2 и частые отказы в действии.</w:t>
      </w:r>
    </w:p>
    <w:p w14:paraId="6EA44946"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Акте по результатам испытаний от 21 ноября 1942 г. специалисты НИП АВ ре</w:t>
      </w:r>
      <w:r w:rsidRPr="00722885">
        <w:rPr>
          <w:rFonts w:ascii="Times New Roman" w:cs="Times New Roman"/>
          <w:color w:val="000000" w:themeColor="text1"/>
          <w:spacing w:val="0"/>
        </w:rPr>
        <w:softHyphen/>
        <w:t>комендовали срочно доработать ПТАБ-1,5 и ПТАБ-2,5 в первую очередь в части обе</w:t>
      </w:r>
      <w:r w:rsidRPr="00722885">
        <w:rPr>
          <w:rFonts w:ascii="Times New Roman" w:cs="Times New Roman"/>
          <w:color w:val="000000" w:themeColor="text1"/>
          <w:spacing w:val="0"/>
        </w:rPr>
        <w:softHyphen/>
        <w:t>спечения безотказности их действия и вновь представить на полигонные испыта</w:t>
      </w:r>
      <w:r w:rsidRPr="00722885">
        <w:rPr>
          <w:rFonts w:ascii="Times New Roman" w:cs="Times New Roman"/>
          <w:color w:val="000000" w:themeColor="text1"/>
          <w:spacing w:val="0"/>
        </w:rPr>
        <w:softHyphen/>
        <w:t>ния. Одновременно отмечалось, что бомба конструкции ЦКБ-22 имеет явные преиму</w:t>
      </w:r>
      <w:r w:rsidRPr="00722885">
        <w:rPr>
          <w:rFonts w:ascii="Times New Roman" w:cs="Times New Roman"/>
          <w:color w:val="000000" w:themeColor="text1"/>
          <w:spacing w:val="0"/>
        </w:rPr>
        <w:softHyphen/>
        <w:t>щества по сравнению с бомбой конструк</w:t>
      </w:r>
      <w:r w:rsidRPr="00722885">
        <w:rPr>
          <w:rFonts w:ascii="Times New Roman" w:cs="Times New Roman"/>
          <w:color w:val="000000" w:themeColor="text1"/>
          <w:spacing w:val="0"/>
        </w:rPr>
        <w:softHyphen/>
        <w:t>ции ГСКБ-47 в надежности и устойчивости полета на траектории падения. Предлага</w:t>
      </w:r>
      <w:r w:rsidRPr="00722885">
        <w:rPr>
          <w:rFonts w:ascii="Times New Roman" w:cs="Times New Roman"/>
          <w:color w:val="000000" w:themeColor="text1"/>
          <w:spacing w:val="0"/>
        </w:rPr>
        <w:softHyphen/>
        <w:t>лось уменьшить габариты бомбы ПТАБ-1,5 (диаметр и длину) до уровня штатной бомбы калибра 2,5 кг (вместо 10 кг), что позволяло почти в четыре раза увеличить количество таких бомб на борту самолета Ил-2 и резко повысить вероятность попадания бомб в цели малых размеров (12739).</w:t>
      </w:r>
    </w:p>
    <w:p w14:paraId="2F9BF9F1"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p>
    <w:p w14:paraId="0DD0619B"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8 ноября 1942 ПТАБ-1,5 (264 штуки) с взрывателем к ней АВ-108-3 конструкции ЦКБ-22 повторно поступила на НИП АВ. Одновременно на полигон была предъявлена противотанковая кумулятивная бомба ПТАБ-2,5 (187 штук) в габаритах калибра 2,5 кг конструкции ГСКБ-47. Программу сравни</w:t>
      </w:r>
      <w:r w:rsidRPr="00722885">
        <w:rPr>
          <w:color w:val="000000" w:themeColor="text1"/>
          <w:sz w:val="16"/>
          <w:szCs w:val="16"/>
        </w:rPr>
        <w:softHyphen/>
        <w:t>тельных испытаний бомб утвердил лично главный инженер ВВС генерал-лейтенант А. К. Репин. Сбра</w:t>
      </w:r>
      <w:r w:rsidRPr="00722885">
        <w:rPr>
          <w:color w:val="000000" w:themeColor="text1"/>
          <w:sz w:val="16"/>
          <w:szCs w:val="16"/>
        </w:rPr>
        <w:softHyphen/>
        <w:t>сывать бомбы предполагалось с самолетов Ил-2 и У-2.</w:t>
      </w:r>
    </w:p>
    <w:p w14:paraId="0E3D1CA0"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Для проведения испытаний начальник НИП АВ полковник Лобачев назначил наземную бригаду в составе: ведущего инженера по испытаниям ин</w:t>
      </w:r>
      <w:r w:rsidRPr="00722885">
        <w:rPr>
          <w:color w:val="000000" w:themeColor="text1"/>
          <w:sz w:val="16"/>
          <w:szCs w:val="16"/>
        </w:rPr>
        <w:softHyphen/>
        <w:t>женер-майора Дьячкова, техников-лейтенантов Ду- майленко и Багрова, сержантов Иноземцева и Ано</w:t>
      </w:r>
      <w:r w:rsidRPr="00722885">
        <w:rPr>
          <w:color w:val="000000" w:themeColor="text1"/>
          <w:sz w:val="16"/>
          <w:szCs w:val="16"/>
        </w:rPr>
        <w:softHyphen/>
        <w:t>хина, а также мастера по вооружению Мыльцева. Выполнение летной части программы испытаний обеспечивалась летчиками-испытателями — майо</w:t>
      </w:r>
      <w:r w:rsidRPr="00722885">
        <w:rPr>
          <w:color w:val="000000" w:themeColor="text1"/>
          <w:sz w:val="16"/>
          <w:szCs w:val="16"/>
        </w:rPr>
        <w:softHyphen/>
        <w:t>ром Звонаревым и капитаном Девятниковым, а так</w:t>
      </w:r>
      <w:r w:rsidRPr="00722885">
        <w:rPr>
          <w:color w:val="000000" w:themeColor="text1"/>
          <w:sz w:val="16"/>
          <w:szCs w:val="16"/>
        </w:rPr>
        <w:softHyphen/>
        <w:t>же штурманом-испытателем старшим лейтенантом Ароновым.</w:t>
      </w:r>
    </w:p>
    <w:p w14:paraId="597FEB22"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Оказалось, что доработанный вариант бомбы ПТАБ-1,5 по длине не вполне отвечает требовани</w:t>
      </w:r>
      <w:r w:rsidRPr="00722885">
        <w:rPr>
          <w:color w:val="000000" w:themeColor="text1"/>
          <w:sz w:val="16"/>
          <w:szCs w:val="16"/>
        </w:rPr>
        <w:softHyphen/>
        <w:t>ям по размещению их в модернизированных кассе</w:t>
      </w:r>
      <w:r w:rsidRPr="00722885">
        <w:rPr>
          <w:color w:val="000000" w:themeColor="text1"/>
          <w:sz w:val="16"/>
          <w:szCs w:val="16"/>
        </w:rPr>
        <w:softHyphen/>
        <w:t>тах мелких бомб КМБ-2 самолета Ил-2. Кроме того, бомбы зависали в кассетах при сбросе с самолета, а также имели место отказы в действии из-за не</w:t>
      </w:r>
      <w:r w:rsidRPr="00722885">
        <w:rPr>
          <w:color w:val="000000" w:themeColor="text1"/>
          <w:sz w:val="16"/>
          <w:szCs w:val="16"/>
        </w:rPr>
        <w:softHyphen/>
        <w:t>свертывания ветрянки.</w:t>
      </w:r>
    </w:p>
    <w:p w14:paraId="1B6C5C5C"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в испытательном полете 9 ноября из-за за</w:t>
      </w:r>
      <w:r w:rsidRPr="00722885">
        <w:rPr>
          <w:color w:val="000000" w:themeColor="text1"/>
          <w:sz w:val="16"/>
          <w:szCs w:val="16"/>
        </w:rPr>
        <w:softHyphen/>
        <w:t>висания бомб ПТАБ-1,5 в кассетах мелких бомб Ил-2 произошло «самопроизвольное сбрасывание по</w:t>
      </w:r>
      <w:r w:rsidRPr="00722885">
        <w:rPr>
          <w:color w:val="000000" w:themeColor="text1"/>
          <w:sz w:val="16"/>
          <w:szCs w:val="16"/>
        </w:rPr>
        <w:softHyphen/>
        <w:t>следних в районе временного бомбосклада (в ле</w:t>
      </w:r>
      <w:r w:rsidRPr="00722885">
        <w:rPr>
          <w:color w:val="000000" w:themeColor="text1"/>
          <w:sz w:val="16"/>
          <w:szCs w:val="16"/>
        </w:rPr>
        <w:softHyphen/>
        <w:t>су)». По счастью, обошлось. Бомбы упали на окраи</w:t>
      </w:r>
      <w:r w:rsidRPr="00722885">
        <w:rPr>
          <w:color w:val="000000" w:themeColor="text1"/>
          <w:sz w:val="16"/>
          <w:szCs w:val="16"/>
        </w:rPr>
        <w:softHyphen/>
        <w:t>не склада, не причинив никакого ущерба.</w:t>
      </w:r>
    </w:p>
    <w:p w14:paraId="271FE334"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заданию майор Звонарев должен был выпол</w:t>
      </w:r>
      <w:r w:rsidRPr="00722885">
        <w:rPr>
          <w:color w:val="000000" w:themeColor="text1"/>
          <w:sz w:val="16"/>
          <w:szCs w:val="16"/>
        </w:rPr>
        <w:softHyphen/>
        <w:t>нить бомбометание по трофейным танкам, состав</w:t>
      </w:r>
      <w:r w:rsidRPr="00722885">
        <w:rPr>
          <w:color w:val="000000" w:themeColor="text1"/>
          <w:sz w:val="16"/>
          <w:szCs w:val="16"/>
        </w:rPr>
        <w:softHyphen/>
        <w:t>лявшим мишенную обстановку. В самолет загрузили 2 кассеты по 28 бомб в каждой. При первом заходе были сброшены бомбы из одной кассеты: «Бомбы высыпались нормально». Поскольку на правом раз</w:t>
      </w:r>
      <w:r w:rsidRPr="00722885">
        <w:rPr>
          <w:color w:val="000000" w:themeColor="text1"/>
          <w:sz w:val="16"/>
          <w:szCs w:val="16"/>
        </w:rPr>
        <w:softHyphen/>
        <w:t>вороте летчику было трудно наблюдать результаты падения бомб и цель — «солнце и дым от упавших бомб», то майор Звонарев в нарушение Наставле</w:t>
      </w:r>
      <w:r w:rsidRPr="00722885">
        <w:rPr>
          <w:color w:val="000000" w:themeColor="text1"/>
          <w:sz w:val="16"/>
          <w:szCs w:val="16"/>
        </w:rPr>
        <w:softHyphen/>
        <w:t>ния по полигонной службе 1939 г. решил второй заход выполнить, строя заход с левого разворота. Дело в том, что в этом случае самолет «в конце бое</w:t>
      </w:r>
      <w:r w:rsidRPr="00722885">
        <w:rPr>
          <w:color w:val="000000" w:themeColor="text1"/>
          <w:sz w:val="16"/>
          <w:szCs w:val="16"/>
        </w:rPr>
        <w:softHyphen/>
        <w:t>вого курса выходил к окраинам бомбосклада». При открытии второй кассеты 14 бомб упали на цель, а 14 зависли в кассете. Подойдя к границе склада, Звонарев сделал энергичный разворот, «и в это время из кассеты высыпались остальные 14 бомб». При осмотре места падения бомб «найдено 13 сра</w:t>
      </w:r>
      <w:r w:rsidRPr="00722885">
        <w:rPr>
          <w:color w:val="000000" w:themeColor="text1"/>
          <w:sz w:val="16"/>
          <w:szCs w:val="16"/>
        </w:rPr>
        <w:softHyphen/>
        <w:t>ботавших и один отказ».</w:t>
      </w:r>
    </w:p>
    <w:p w14:paraId="0D5C1B0F"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испытания бомб ПТАБ-2,5 конструкции ГСКБ-47 вместо майора Зво- нарева и капитана Девятникова проводили капи</w:t>
      </w:r>
      <w:r w:rsidRPr="00722885">
        <w:rPr>
          <w:color w:val="000000" w:themeColor="text1"/>
          <w:sz w:val="16"/>
          <w:szCs w:val="16"/>
        </w:rPr>
        <w:softHyphen/>
        <w:t>тан Кусакин и старший лейтенант Евсеев. Впро</w:t>
      </w:r>
      <w:r w:rsidRPr="00722885">
        <w:rPr>
          <w:color w:val="000000" w:themeColor="text1"/>
          <w:sz w:val="16"/>
          <w:szCs w:val="16"/>
        </w:rPr>
        <w:softHyphen/>
        <w:t>чем, смена исполнителей не повлияла на оконча</w:t>
      </w:r>
      <w:r w:rsidRPr="00722885">
        <w:rPr>
          <w:color w:val="000000" w:themeColor="text1"/>
          <w:sz w:val="16"/>
          <w:szCs w:val="16"/>
        </w:rPr>
        <w:softHyphen/>
        <w:t>тельный результат — так же, как ПТАБ-1,5, бомба ПТАБ-2,5 испытаний не выдержала. Основные на</w:t>
      </w:r>
      <w:r w:rsidRPr="00722885">
        <w:rPr>
          <w:color w:val="000000" w:themeColor="text1"/>
          <w:sz w:val="16"/>
          <w:szCs w:val="16"/>
        </w:rPr>
        <w:softHyphen/>
        <w:t>рекания к бомбе сводились к ее недостаточной устойчивости в полете на траектории падения при сбросе с самолета Ил-2 и частые отказы в дей</w:t>
      </w:r>
      <w:r w:rsidRPr="00722885">
        <w:rPr>
          <w:color w:val="000000" w:themeColor="text1"/>
          <w:sz w:val="16"/>
          <w:szCs w:val="16"/>
        </w:rPr>
        <w:softHyphen/>
        <w:t>ствии.</w:t>
      </w:r>
    </w:p>
    <w:p w14:paraId="2186C7C6" w14:textId="77777777" w:rsidR="00594136" w:rsidRPr="00722885" w:rsidRDefault="00594136"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Акте по результатам испытаний от 21 ноя</w:t>
      </w:r>
      <w:r w:rsidRPr="00722885">
        <w:rPr>
          <w:color w:val="000000" w:themeColor="text1"/>
          <w:sz w:val="16"/>
          <w:szCs w:val="16"/>
        </w:rPr>
        <w:softHyphen/>
        <w:t>бря 1942 г. специалисты НИП АВ рекомендовали срочно доработать ПТАБ-1,5 и ПТАБ-2,5 в первую очередь в части обеспечения безотказности их действия, и вновь предъявить на полигонные ис</w:t>
      </w:r>
      <w:r w:rsidRPr="00722885">
        <w:rPr>
          <w:color w:val="000000" w:themeColor="text1"/>
          <w:sz w:val="16"/>
          <w:szCs w:val="16"/>
        </w:rPr>
        <w:softHyphen/>
        <w:t>пытания. Одновременно отмечалось, что бомба конструкции ЦКБ-22 имеет явные преимущества по сравнению с бомбой конструкции ГСКБ-47 в на</w:t>
      </w:r>
      <w:r w:rsidRPr="00722885">
        <w:rPr>
          <w:color w:val="000000" w:themeColor="text1"/>
          <w:sz w:val="16"/>
          <w:szCs w:val="16"/>
        </w:rPr>
        <w:softHyphen/>
        <w:t>дежности и устойчивости полета на траектории падения. Предлагалось уменьшить габариты бом</w:t>
      </w:r>
      <w:r w:rsidRPr="00722885">
        <w:rPr>
          <w:color w:val="000000" w:themeColor="text1"/>
          <w:sz w:val="16"/>
          <w:szCs w:val="16"/>
        </w:rPr>
        <w:softHyphen/>
        <w:t>бы ПТАБ-1,5 (диаметр и длину) до уровня штатной бомбы калибра 2,5 кг, что позволяло почти в четы</w:t>
      </w:r>
      <w:r w:rsidRPr="00722885">
        <w:rPr>
          <w:color w:val="000000" w:themeColor="text1"/>
          <w:sz w:val="16"/>
          <w:szCs w:val="16"/>
        </w:rPr>
        <w:softHyphen/>
        <w:t>ре раза увеличить количество таких бомб на борту самолета Ил-2 и резко повысить вероятность попа</w:t>
      </w:r>
      <w:r w:rsidRPr="00722885">
        <w:rPr>
          <w:color w:val="000000" w:themeColor="text1"/>
          <w:sz w:val="16"/>
          <w:szCs w:val="16"/>
        </w:rPr>
        <w:softHyphen/>
        <w:t>дания бомб в цели малых размеров (17500).</w:t>
      </w:r>
    </w:p>
    <w:p w14:paraId="4AAAA8AF" w14:textId="77777777" w:rsidR="00594136" w:rsidRPr="00722885" w:rsidRDefault="00594136" w:rsidP="00722885">
      <w:pPr>
        <w:spacing w:after="0" w:line="240" w:lineRule="auto"/>
        <w:jc w:val="both"/>
        <w:rPr>
          <w:rFonts w:ascii="Times New Roman" w:hAnsi="Times New Roman"/>
          <w:color w:val="000000" w:themeColor="text1"/>
          <w:sz w:val="16"/>
          <w:szCs w:val="16"/>
        </w:rPr>
      </w:pPr>
    </w:p>
    <w:p w14:paraId="10160C6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8E79D0C" w14:textId="77777777" w:rsidR="00090C9B" w:rsidRPr="00722885" w:rsidRDefault="00090C9B" w:rsidP="00722885">
      <w:pPr>
        <w:pStyle w:val="Iauiue"/>
        <w:jc w:val="both"/>
        <w:rPr>
          <w:iCs/>
          <w:color w:val="000000" w:themeColor="text1"/>
          <w:sz w:val="16"/>
          <w:szCs w:val="16"/>
        </w:rPr>
      </w:pPr>
    </w:p>
    <w:p w14:paraId="28809AF8" w14:textId="77777777" w:rsidR="008D2293" w:rsidRPr="00722885" w:rsidRDefault="008D22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ноября 1942 года старший инженер 6-го отдела БТУ ГАБТУ КА старший техник-лейтенант Розенгарт, курировавший опытные работы по заводу №183, составил новые требования. Из текста исчезли наиболее спорные пункты, а боекомплект снизился до 85 патронов калибра 76 мм и 1764 патронов винтовочного калибра. На этом бурная переписка не закончилась, но пока Морозов праздновал победу, поскольку удалось отстоять танк в том виде, в каком он проектировался.</w:t>
      </w:r>
    </w:p>
    <w:p w14:paraId="68C5EC1D" w14:textId="77777777" w:rsidR="008D2293" w:rsidRPr="00722885" w:rsidRDefault="008D229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Эволюция Т-34 на этом не закончилась. Вслед за Т-34 с командирской башенкой на испытания вышел Т-34с, на котором была и трёхместная башня, и пятискоростная КПП. Выводы испытаний, проведённых осенью 1942 года, оказались очень похожи на предыдущие результаты. Башенка явно была не лучшей конструкции, а место командира требовало улучшения. В результате к концу ноября 1942 года КБ-520 разработало улучшенный вариант командирской башенки. Во-первых, появился люк диаметром 465 мм, благодаря чему командир мог попадать на своё место, минуя гильзоулавливатель. В крышке люка появился сигнальный лючок, а также ввели торсионное устройство для уравновешивания основной крышки. Во-вторых, ввели новые смотровые приборы в стенках башенки, благодаря чему вероятность поражения командира резко снизилась. В-третьих, изменилась форма башенки. Башенка изначально проектировалась для установки на Т-34, но в реальности первым танком, который её получил, стал Т-43 (18420).</w:t>
      </w:r>
    </w:p>
    <w:p w14:paraId="0C001471" w14:textId="77777777" w:rsidR="008D2293" w:rsidRPr="00722885" w:rsidRDefault="008D2293" w:rsidP="00722885">
      <w:pPr>
        <w:spacing w:after="0" w:line="240" w:lineRule="auto"/>
        <w:jc w:val="both"/>
        <w:rPr>
          <w:rFonts w:ascii="Times New Roman" w:hAnsi="Times New Roman"/>
          <w:color w:val="000000" w:themeColor="text1"/>
          <w:sz w:val="16"/>
          <w:szCs w:val="16"/>
        </w:rPr>
      </w:pPr>
    </w:p>
    <w:p w14:paraId="7A1CE8D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ноября 1942 года был изготовлен первый ж/д вариант Б-64 ГАЗ - БА-64Г, и в тот же день состоялись первые испытания. Прошли они неудачно: при заезде на ж/д полотно были погнуты оси тележек. Дальнейшие испытания выявили неустойчивость машины и частые сходы с рельс из-за малого диаметра опорных роликов. Ввиду этого испытания временно прекратили для исправления вскрытых недостатков (3862).</w:t>
      </w:r>
    </w:p>
    <w:p w14:paraId="421DB6B5" w14:textId="77777777" w:rsidR="00090C9B" w:rsidRPr="00722885" w:rsidRDefault="00090C9B" w:rsidP="00722885">
      <w:pPr>
        <w:pStyle w:val="Iauiue"/>
        <w:jc w:val="both"/>
        <w:rPr>
          <w:color w:val="000000" w:themeColor="text1"/>
          <w:sz w:val="16"/>
          <w:szCs w:val="16"/>
        </w:rPr>
      </w:pPr>
    </w:p>
    <w:p w14:paraId="08F70A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ноября 1942 вышло Постановление ГКО № 2488 О плане производства боеприпасов по предприятиям Закавказья на ноябрь месяц 1942 г. РГАНИР, Фонд ГКО, д. 68, лл. 170-171, 172-175 (11012).</w:t>
      </w:r>
    </w:p>
    <w:p w14:paraId="085CCA6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ACD523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8 ноября 1942 вышло Постановление ГКО № 2489 О мероприятиях по обеспечению нормальной работы железных дорог в зиму 1942-1943 гг. (7062, 176-178,179-180).</w:t>
      </w:r>
    </w:p>
    <w:p w14:paraId="61D8EE49" w14:textId="77777777" w:rsidR="00090C9B" w:rsidRPr="00722885" w:rsidRDefault="00090C9B" w:rsidP="00722885">
      <w:pPr>
        <w:pStyle w:val="Iauiue"/>
        <w:tabs>
          <w:tab w:val="left" w:pos="11199"/>
        </w:tabs>
        <w:jc w:val="both"/>
        <w:rPr>
          <w:color w:val="000000" w:themeColor="text1"/>
          <w:sz w:val="16"/>
          <w:szCs w:val="16"/>
        </w:rPr>
      </w:pPr>
    </w:p>
    <w:p w14:paraId="5A3A57B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8 ноября 1942 вышло Постановление ГКО № 2490 О премировании паровозных бригад за безаварийную работу на подмосковном угле. (7062, 181).</w:t>
      </w:r>
    </w:p>
    <w:p w14:paraId="0B44B2BF" w14:textId="77777777" w:rsidR="00090C9B" w:rsidRPr="00722885" w:rsidRDefault="00090C9B" w:rsidP="00722885">
      <w:pPr>
        <w:pStyle w:val="Iauiue"/>
        <w:tabs>
          <w:tab w:val="left" w:pos="11199"/>
        </w:tabs>
        <w:jc w:val="both"/>
        <w:rPr>
          <w:color w:val="000000" w:themeColor="text1"/>
          <w:sz w:val="16"/>
          <w:szCs w:val="16"/>
        </w:rPr>
      </w:pPr>
    </w:p>
    <w:p w14:paraId="658A0EF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C6E1CA8" w14:textId="77777777" w:rsidR="00090C9B" w:rsidRPr="00722885" w:rsidRDefault="00090C9B" w:rsidP="00722885">
      <w:pPr>
        <w:pStyle w:val="Iauiue"/>
        <w:jc w:val="both"/>
        <w:rPr>
          <w:iCs/>
          <w:color w:val="000000" w:themeColor="text1"/>
          <w:sz w:val="16"/>
          <w:szCs w:val="16"/>
        </w:rPr>
      </w:pPr>
    </w:p>
    <w:p w14:paraId="274E58F0"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ноября</w:t>
      </w:r>
      <w:r w:rsidRPr="00722885">
        <w:rPr>
          <w:rFonts w:ascii="Times New Roman" w:hAnsi="Times New Roman"/>
          <w:color w:val="000000" w:themeColor="text1"/>
          <w:sz w:val="16"/>
          <w:szCs w:val="16"/>
        </w:rPr>
        <w:t xml:space="preserve"> в 1942 году утреннее сообщение Совинформбюро:</w:t>
      </w:r>
    </w:p>
    <w:p w14:paraId="03B6A51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течение ночи на 8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10E7214B"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частью сил отражали атаки противника. Бойцы Н-ской части истребили 250 гитлеровцев, подбили 3 танка, уничтожили 2 орудия и 7 пулемётов. В районе заводов советские гвардейцы выбили немцев из нескольких зданий. Бойцы батареи под командованием гвардии лейтенанта Солохи, защищая Сталинград, сожгли и подбили 32 немецких танка, уничтожили 130 автомашин, 21 пулемётную точку, подавили, огонь 17 артиллерийских батарей и истребили не менее700 немецких солдат и офицеров.</w:t>
      </w:r>
    </w:p>
    <w:p w14:paraId="0DF502DB"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 разведывательный отряд проник в тыл противника и разгромил штаб вражеского батальона. Убиты 7 немецких офицеров и 14солдат.</w:t>
      </w:r>
    </w:p>
    <w:p w14:paraId="0B7B3F6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ведут активные боевые действия. Бойцы Н-ской части уничтожили 150 немецких солдат и офицеров. На другом участке наши бронебойщики подбили 8 вражеских танков. Красноармеец тов. Лавушин огнём из противотанкового ружья уничтожил 2 танка противника.</w:t>
      </w:r>
    </w:p>
    <w:p w14:paraId="123C6D4C"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подразделения взяли штурмом одну высоту. На поле боя противник оставил 130 трупов. Захвачены орудие, 3 пулемёта, винтовки и боеприпасы. Орудийный расчёт сержанта Смернякова метким огнём сбил самолё тпротивника. Немецкий истребитель сбил пулемётным огнём младший лейтенант Праведный. Кроме того, групповым ружейно-пулемётным огнём наши бойцы сбили 2 немецких самолёта.</w:t>
      </w:r>
    </w:p>
    <w:p w14:paraId="3339C165"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полесских партизан пустил под откос железнодорожный поезд с солдатами и офицерами противника. Разбито 22 вагона. Группа подрывников партизанского отряда, действующего в Барановичской области, организовала крушение железнодорожного эшелона с углём. Паровоз и 26 вагонов разбиты.</w:t>
      </w:r>
    </w:p>
    <w:p w14:paraId="49BD0FC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величайшим подъёмом встретили трудящиеся нашей страны доклад товарища Сталина о 25-й годовщине Великой Октябрьской Социалистической Революции. В докладе вождя выражены чувства и мысли советского народа, его непоколебимая верав победу над немецко-фашистскими империалистами. Рабочие и колхозники, советская интеллигенция, бойцы и командиры Красной Армии на митингах единодушно заверяют,что они будут и впредь, не покладая рук, бороться за разрешение задач, поставленных товарищем Сталиным.</w:t>
      </w:r>
    </w:p>
    <w:p w14:paraId="751398E3"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паровозном депо Москва-Пассажирская Ленинской железной дороги после коллективного чтения доклада вождя с речью выступил помощник машиниста тов. Андреев и заявил: «Мы даём слово товарищу Сталину, что железнодорожники и впредь будут надёжными помощниками Красной Армии. Мы будем ещё быстрее водить воинские поезда, эшелоны с вооружением и боеприпасами для фронта и сырьём для наших фабрик и заводов. Мы сделаем всё, чтобы помочь Красной Армии уничтожить гитлеровскую армию и её руководителей». Мастер сборочного цеха Московского трансформаторного завода тов. Бычков на митинге заявил: «Мы никогда не сомневались в победе. Сейчас мы увереныв ней больше, чем когда-либо, и готовы работать, не щадя своих сил и не зная устали». Старший мастер промысла № 8 Лениннефть (Баку) тов. Бабаш Али сказал:«Доклад товарища Сталина вдохнул в нас новые силы. Мы обязуемся пустить в ход ряд новых скважин и дать до конца года много тысяч тонн нефти сверх плана».</w:t>
      </w:r>
    </w:p>
    <w:p w14:paraId="0BDD3ADF"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многих городах страны состоялись демонстрации. На улицы Новосибирска вышли десятки тысяч трудящихся. Многолюдные демонстрации состоялись в Хабаровске, Иркутске, Куйбышеве, Горьком, Нижнем Тагиле, Чите и других городах.» (14824).</w:t>
      </w:r>
    </w:p>
    <w:p w14:paraId="412840F9"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405160A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ноября</w:t>
      </w:r>
      <w:r w:rsidRPr="00722885">
        <w:rPr>
          <w:rFonts w:ascii="Times New Roman" w:hAnsi="Times New Roman"/>
          <w:color w:val="000000" w:themeColor="text1"/>
          <w:sz w:val="16"/>
          <w:szCs w:val="16"/>
        </w:rPr>
        <w:t xml:space="preserve"> в 1942 году вечернее сообщение Совинформбюро:</w:t>
      </w:r>
    </w:p>
    <w:p w14:paraId="0CF4E7F8"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течение 8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A73C2A7"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1 по 7 ноября включительно, в воздушных боях, на аэродромах и огнём зенитной артиллерии уничтожено 158 немецких самолётов. Наши потери за это же время—63 самолёта.</w:t>
      </w:r>
    </w:p>
    <w:p w14:paraId="35FF44EE"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потоплено два немецких транспорта общим водоизмещением в 12.000 тонн.</w:t>
      </w:r>
    </w:p>
    <w:p w14:paraId="1D04242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7 ноября нашей авиацией на различных участках фронта уничтожено 20 немецких автомашин и 15 повозок с боеприпасами, 10 автоцистерн с горючим, взорваны 2 склада боеприпасов и 2 склада горючего, подавлен огонь 12 артиллерийских батарей, рассеяно и частью уничтожено до роты пехоты противника.</w:t>
      </w:r>
    </w:p>
    <w:p w14:paraId="42EB766F"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мелких групп противника и совершенствовали свои оборонительные укрепления. Рота немецкой пехоты прорвалась к одному важному военному объекту. Лейтенант Андреев и восемь бойцов напали на гитлеровцев с фланга и вынудили их отступить. В этом бою красноармеец т. Козлов истребил 15 немцев. Старшина т. Жедовин захватил вражеский пулемёт и, открыв из него огонь, уничтожил 20 гитлеровцев. Старший сержант т. Щепов убил 19, старшина т. Иванов и сержант т. Киселёв — по 12 немцев. Всего на участках обороны города истреблено до 500 немецких солдат и офицеров, уничтожено 8 орудий, 13 пулемётов и 7 миномётов. Наши лётчики сбили 4 самолёта противника.</w:t>
      </w:r>
    </w:p>
    <w:p w14:paraId="5E2B55BE"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вели активные боевые действия и нанесли гитлеровцам серьёзный урон.</w:t>
      </w:r>
    </w:p>
    <w:p w14:paraId="3F85368F"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участке, где действует Н-ская гвардейская кавалерийская часть, казаки-гвардейцы за два дня истребили до 1.700 вражеских солдат и офицеров, подбили и сожгли 27 танков, 39 бронемашин, 69 автомашин, уничтожили 12 миномётов, 32 пулемёта, 12 орудий и 3 тягача с прицепами. Захвачены склад с обмундированием, радиостанция и другое военное имущество.</w:t>
      </w:r>
    </w:p>
    <w:p w14:paraId="748AF24C"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в воздушных боях сбили 6 немецких самолётов.</w:t>
      </w:r>
    </w:p>
    <w:p w14:paraId="117E527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противник предпринял несколько контратак. Атаки немцев были отбиты с большими для них потерями. На другом участке немецкая пехота, поддержанная танками и авиацией, заняла населённый пункт. Контратакой наши части выбили противника из населённого пункта и восстановили положение. Гитлеровцы потеряли в этом бою до роты пехоты.</w:t>
      </w:r>
    </w:p>
    <w:p w14:paraId="362E2E4B"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Белорусские, смоленские и орловские партизаны нанесли ряд ударов по путям сообщения противника. За 1, 2, и 3 ноября партизанские отряды пустили под откос 39 немецких железнодорожных эшелонов. Разбито 28 паровозов и 538 вагонов, платформ и цистерн. В результате железнодорожных крушений и активных действий партизан за это время истреблено несколько тысяч немецко-фашистских захватчиков.</w:t>
      </w:r>
    </w:p>
    <w:p w14:paraId="24B2BA48"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Доклад и приказ Народного Комиссара Обороны товарища Сталина о 25-й годовщинеВеликой Октябрьской Социалистической Революции вызвали величайший патриотический подъём в частях Красной Армии и Военно-Морского Флота. На различных участках фронта, в прифронтовых и тыловых гарнизонах состоялись массовые митинги бойцов, командиров и политработников Красной Армии.</w:t>
      </w:r>
    </w:p>
    <w:p w14:paraId="77A1171F"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Красноармеец Н-ской части Ленинградского фронта тов. Егоров на митинге заявил: «Каждое выступление товарища Сталина вдохновляет советского человека на новые подвиги во славу Родины. Товарищ Сталин сказал, что мы должны уничтожить гитлеровское государство, гитлеровскую армию и фашистский «новый порядок вЕвропе». Как товарищ Сталин сказал, так и будет».</w:t>
      </w:r>
    </w:p>
    <w:p w14:paraId="7A00FE9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митинге Кронштадтского гарнизона выступил с речью красноармеец-казах тов. Амердинов, уничтоживший накануне праздника трёх гитлеровцев. Он заявил: «В боях против гитлеровских полчищ ещё более окрепла дружба народов нашей страны. Русские и казахи, украинцы и грузины, армяне и белорусы — все мы защищаем нашу любимую родину. Для меня Ленинград и Кронштадт так же дороги, как родной Казахстан.</w:t>
      </w:r>
    </w:p>
    <w:p w14:paraId="1333CA4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Клянусь бороться с врагом до полного его уничтожения».</w:t>
      </w:r>
    </w:p>
    <w:p w14:paraId="44E42DDB"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на митинге с горячей речью выступил красноармеец-узбек тов. Усманов. «Мы клянёмся, — сказал он, — что с честью выполним приказ товарища Сталина. Мы очистим советскую землю от гитлеровской мрази и уничтожим немецко-фашистских мерзавцев. Недалёк тот день, когда и на нашей улице будет праздник».</w:t>
      </w:r>
    </w:p>
    <w:p w14:paraId="00C01483"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многих частях бойцы и командиры после ознакомления с докладом и приказом товарища Сталина истребили большое количество немецких солдат и офицеров. На Ленинградском фронте 7 ноября на участке одной только дивизии снайперы уничтожили 113 гитлеровцев, на Калининском фронте — 132, на Брянском — 240, на Западном фронте снайперы истребили 350 немецких солдат и офицеров.»</w:t>
      </w:r>
    </w:p>
    <w:p w14:paraId="63DF92EB"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4CE7ADEF"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8 ноября 1942 года первые 12 штурмовых танков </w:t>
      </w:r>
      <w:r w:rsidRPr="00722885">
        <w:rPr>
          <w:rFonts w:ascii="Times New Roman" w:cs="Times New Roman"/>
          <w:color w:val="000000" w:themeColor="text1"/>
          <w:spacing w:val="0"/>
          <w:lang w:val="en-US"/>
        </w:rPr>
        <w:t>Sturminfanterie</w:t>
      </w:r>
      <w:r w:rsidRPr="00722885">
        <w:rPr>
          <w:rFonts w:ascii="Times New Roman" w:cs="Times New Roman"/>
          <w:color w:val="000000" w:themeColor="text1"/>
          <w:spacing w:val="0"/>
        </w:rPr>
        <w:t>-</w:t>
      </w:r>
      <w:r w:rsidRPr="00722885">
        <w:rPr>
          <w:rFonts w:ascii="Times New Roman" w:cs="Times New Roman"/>
          <w:color w:val="000000" w:themeColor="text1"/>
          <w:spacing w:val="0"/>
          <w:lang w:val="en-US"/>
        </w:rPr>
        <w:t>Geschutz</w:t>
      </w:r>
      <w:r w:rsidRPr="00722885">
        <w:rPr>
          <w:rFonts w:ascii="Times New Roman" w:cs="Times New Roman"/>
          <w:color w:val="000000" w:themeColor="text1"/>
          <w:spacing w:val="0"/>
        </w:rPr>
        <w:t xml:space="preserve"> 33 (</w:t>
      </w:r>
      <w:r w:rsidRPr="00722885">
        <w:rPr>
          <w:rFonts w:ascii="Times New Roman" w:cs="Times New Roman"/>
          <w:color w:val="000000" w:themeColor="text1"/>
          <w:spacing w:val="0"/>
          <w:lang w:val="en-US"/>
        </w:rPr>
        <w:t>StulG</w:t>
      </w:r>
      <w:r w:rsidRPr="00722885">
        <w:rPr>
          <w:rFonts w:ascii="Times New Roman" w:cs="Times New Roman"/>
          <w:color w:val="000000" w:themeColor="text1"/>
          <w:spacing w:val="0"/>
        </w:rPr>
        <w:t xml:space="preserve"> 33), или </w:t>
      </w:r>
      <w:r w:rsidRPr="00722885">
        <w:rPr>
          <w:rFonts w:ascii="Times New Roman" w:cs="Times New Roman"/>
          <w:color w:val="000000" w:themeColor="text1"/>
          <w:spacing w:val="0"/>
          <w:lang w:val="en-US"/>
        </w:rPr>
        <w:t>Sturmpanzer</w:t>
      </w:r>
      <w:r w:rsidRPr="00722885">
        <w:rPr>
          <w:rFonts w:ascii="Times New Roman" w:cs="Times New Roman"/>
          <w:color w:val="000000" w:themeColor="text1"/>
          <w:spacing w:val="0"/>
        </w:rPr>
        <w:t xml:space="preserve"> 33 прибыли в Сталинград. В пер</w:t>
      </w:r>
      <w:r w:rsidRPr="00722885">
        <w:rPr>
          <w:rFonts w:ascii="Times New Roman" w:cs="Times New Roman"/>
          <w:color w:val="000000" w:themeColor="text1"/>
          <w:spacing w:val="0"/>
        </w:rPr>
        <w:softHyphen/>
        <w:t>вых же боях они зарекомендовали себя весьма неплохо, благодаря мощному во</w:t>
      </w:r>
      <w:r w:rsidRPr="00722885">
        <w:rPr>
          <w:rFonts w:ascii="Times New Roman" w:cs="Times New Roman"/>
          <w:color w:val="000000" w:themeColor="text1"/>
          <w:spacing w:val="0"/>
        </w:rPr>
        <w:softHyphen/>
        <w:t>оружению и хорошей бронезащите. Впрочем, 19 ноября все 12 машин, во</w:t>
      </w:r>
      <w:r w:rsidRPr="00722885">
        <w:rPr>
          <w:rFonts w:ascii="Times New Roman" w:cs="Times New Roman"/>
          <w:color w:val="000000" w:themeColor="text1"/>
          <w:spacing w:val="0"/>
        </w:rPr>
        <w:softHyphen/>
        <w:t>шедших в состав 177-го штурмового ди</w:t>
      </w:r>
      <w:r w:rsidRPr="00722885">
        <w:rPr>
          <w:rFonts w:ascii="Times New Roman" w:cs="Times New Roman"/>
          <w:color w:val="000000" w:themeColor="text1"/>
          <w:spacing w:val="0"/>
        </w:rPr>
        <w:softHyphen/>
        <w:t>визиона, попали в окружение. Следующие 12 машин пошли в бой в составе батареи штурмовых пехотных орудий 17-го учебного танкового баталь</w:t>
      </w:r>
      <w:r w:rsidRPr="00722885">
        <w:rPr>
          <w:rFonts w:ascii="Times New Roman" w:cs="Times New Roman"/>
          <w:color w:val="000000" w:themeColor="text1"/>
          <w:spacing w:val="0"/>
        </w:rPr>
        <w:softHyphen/>
        <w:t>она. После потери пяти штурмовых тан</w:t>
      </w:r>
      <w:r w:rsidRPr="00722885">
        <w:rPr>
          <w:rFonts w:ascii="Times New Roman" w:cs="Times New Roman"/>
          <w:color w:val="000000" w:themeColor="text1"/>
          <w:spacing w:val="0"/>
        </w:rPr>
        <w:softHyphen/>
        <w:t>ков оставшиеся семь 11 апреля 1943 года были переданы в состав 201-го танкового полка 23-й танковой дивизии. Послед</w:t>
      </w:r>
      <w:r w:rsidRPr="00722885">
        <w:rPr>
          <w:rFonts w:ascii="Times New Roman" w:cs="Times New Roman"/>
          <w:color w:val="000000" w:themeColor="text1"/>
          <w:spacing w:val="0"/>
        </w:rPr>
        <w:softHyphen/>
        <w:t>ний штурмовой танк в этом соединении был потерян в октябре 1943 года. До наших дней сохранился единствен</w:t>
      </w:r>
      <w:r w:rsidRPr="00722885">
        <w:rPr>
          <w:rFonts w:ascii="Times New Roman" w:cs="Times New Roman"/>
          <w:color w:val="000000" w:themeColor="text1"/>
          <w:spacing w:val="0"/>
        </w:rPr>
        <w:softHyphen/>
        <w:t xml:space="preserve">ный экземпляр штурмового танка </w:t>
      </w:r>
      <w:r w:rsidRPr="00722885">
        <w:rPr>
          <w:rFonts w:ascii="Times New Roman" w:cs="Times New Roman"/>
          <w:color w:val="000000" w:themeColor="text1"/>
          <w:spacing w:val="0"/>
          <w:lang w:val="en-US"/>
        </w:rPr>
        <w:t>StulG</w:t>
      </w:r>
      <w:r w:rsidRPr="00722885">
        <w:rPr>
          <w:rFonts w:ascii="Times New Roman" w:cs="Times New Roman"/>
          <w:color w:val="000000" w:themeColor="text1"/>
          <w:spacing w:val="0"/>
        </w:rPr>
        <w:t xml:space="preserve"> 33. Он экспонируется в Военно-истори- ческом музее бронетанкового вооруже</w:t>
      </w:r>
      <w:r w:rsidRPr="00722885">
        <w:rPr>
          <w:rFonts w:ascii="Times New Roman" w:cs="Times New Roman"/>
          <w:color w:val="000000" w:themeColor="text1"/>
          <w:spacing w:val="0"/>
        </w:rPr>
        <w:softHyphen/>
        <w:t>ния и техники в подмосковной Кубинке.</w:t>
      </w:r>
    </w:p>
    <w:p w14:paraId="6F087A25"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bookmarkStart w:id="9" w:name="bookmark16"/>
      <w:r w:rsidRPr="00722885">
        <w:rPr>
          <w:rFonts w:ascii="Times New Roman" w:cs="Times New Roman"/>
          <w:color w:val="000000" w:themeColor="text1"/>
          <w:spacing w:val="0"/>
        </w:rPr>
        <w:t xml:space="preserve">ТАКТИКО-ТЕХНИЧЕСКИЕ ХАРАКТЕРИСТИКИ </w:t>
      </w:r>
      <w:r w:rsidRPr="00722885">
        <w:rPr>
          <w:rFonts w:ascii="Times New Roman" w:cs="Times New Roman"/>
          <w:color w:val="000000" w:themeColor="text1"/>
          <w:spacing w:val="0"/>
          <w:lang w:val="en-US"/>
        </w:rPr>
        <w:t xml:space="preserve">Sturmpanzer </w:t>
      </w:r>
      <w:r w:rsidRPr="00722885">
        <w:rPr>
          <w:rFonts w:ascii="Times New Roman" w:cs="Times New Roman"/>
          <w:color w:val="000000" w:themeColor="text1"/>
          <w:spacing w:val="0"/>
        </w:rPr>
        <w:t>33</w:t>
      </w:r>
      <w:bookmarkEnd w:id="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611"/>
        <w:gridCol w:w="1051"/>
      </w:tblGrid>
      <w:tr w:rsidR="006C3821" w:rsidRPr="00722885" w14:paraId="0279B40B" w14:textId="77777777" w:rsidTr="00076D96">
        <w:trPr>
          <w:trHeight w:val="240"/>
        </w:trPr>
        <w:tc>
          <w:tcPr>
            <w:tcW w:w="2611" w:type="dxa"/>
            <w:shd w:val="clear" w:color="auto" w:fill="FFFFFF"/>
          </w:tcPr>
          <w:p w14:paraId="3342D2DB"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Боевая масса, т</w:t>
            </w:r>
          </w:p>
        </w:tc>
        <w:tc>
          <w:tcPr>
            <w:tcW w:w="1051" w:type="dxa"/>
            <w:shd w:val="clear" w:color="auto" w:fill="FFFFFF"/>
          </w:tcPr>
          <w:p w14:paraId="259FE750"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21</w:t>
            </w:r>
          </w:p>
        </w:tc>
      </w:tr>
      <w:tr w:rsidR="006C3821" w:rsidRPr="00722885" w14:paraId="45499E9A" w14:textId="77777777" w:rsidTr="00076D96">
        <w:trPr>
          <w:trHeight w:val="202"/>
        </w:trPr>
        <w:tc>
          <w:tcPr>
            <w:tcW w:w="2611" w:type="dxa"/>
            <w:shd w:val="clear" w:color="auto" w:fill="FFFFFF"/>
          </w:tcPr>
          <w:p w14:paraId="11FCC485"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Экипаж, чел.</w:t>
            </w:r>
          </w:p>
        </w:tc>
        <w:tc>
          <w:tcPr>
            <w:tcW w:w="1051" w:type="dxa"/>
            <w:shd w:val="clear" w:color="auto" w:fill="FFFFFF"/>
          </w:tcPr>
          <w:p w14:paraId="290BD07A"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5</w:t>
            </w:r>
          </w:p>
        </w:tc>
      </w:tr>
      <w:tr w:rsidR="006C3821" w:rsidRPr="00722885" w14:paraId="2ACAF97B" w14:textId="77777777" w:rsidTr="00076D96">
        <w:trPr>
          <w:trHeight w:val="221"/>
        </w:trPr>
        <w:tc>
          <w:tcPr>
            <w:tcW w:w="2611" w:type="dxa"/>
            <w:shd w:val="clear" w:color="auto" w:fill="FFFFFF"/>
          </w:tcPr>
          <w:p w14:paraId="34566252"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Габаритные размеры, мм:</w:t>
            </w:r>
          </w:p>
        </w:tc>
        <w:tc>
          <w:tcPr>
            <w:tcW w:w="1051" w:type="dxa"/>
            <w:shd w:val="clear" w:color="auto" w:fill="FFFFFF"/>
          </w:tcPr>
          <w:p w14:paraId="7106BE99" w14:textId="77777777" w:rsidR="006C3821" w:rsidRPr="00722885" w:rsidRDefault="006C3821" w:rsidP="00722885">
            <w:pPr>
              <w:spacing w:after="0" w:line="240" w:lineRule="auto"/>
              <w:jc w:val="both"/>
              <w:rPr>
                <w:rFonts w:ascii="Times New Roman" w:hAnsi="Times New Roman"/>
                <w:color w:val="000000" w:themeColor="text1"/>
                <w:sz w:val="16"/>
                <w:szCs w:val="16"/>
              </w:rPr>
            </w:pPr>
          </w:p>
        </w:tc>
      </w:tr>
      <w:tr w:rsidR="006C3821" w:rsidRPr="00722885" w14:paraId="7E323FD3" w14:textId="77777777" w:rsidTr="00076D96">
        <w:trPr>
          <w:trHeight w:val="187"/>
        </w:trPr>
        <w:tc>
          <w:tcPr>
            <w:tcW w:w="2611" w:type="dxa"/>
            <w:shd w:val="clear" w:color="auto" w:fill="FFFFFF"/>
          </w:tcPr>
          <w:p w14:paraId="47D1ADF0"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длина</w:t>
            </w:r>
          </w:p>
        </w:tc>
        <w:tc>
          <w:tcPr>
            <w:tcW w:w="1051" w:type="dxa"/>
            <w:shd w:val="clear" w:color="auto" w:fill="FFFFFF"/>
          </w:tcPr>
          <w:p w14:paraId="520AAA40"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5400</w:t>
            </w:r>
          </w:p>
        </w:tc>
      </w:tr>
      <w:tr w:rsidR="006C3821" w:rsidRPr="00722885" w14:paraId="65B47585" w14:textId="77777777" w:rsidTr="00076D96">
        <w:trPr>
          <w:trHeight w:val="206"/>
        </w:trPr>
        <w:tc>
          <w:tcPr>
            <w:tcW w:w="2611" w:type="dxa"/>
            <w:shd w:val="clear" w:color="auto" w:fill="FFFFFF"/>
          </w:tcPr>
          <w:p w14:paraId="68C7750A"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ширина</w:t>
            </w:r>
          </w:p>
        </w:tc>
        <w:tc>
          <w:tcPr>
            <w:tcW w:w="1051" w:type="dxa"/>
            <w:shd w:val="clear" w:color="auto" w:fill="FFFFFF"/>
          </w:tcPr>
          <w:p w14:paraId="46E1F658"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2900</w:t>
            </w:r>
          </w:p>
        </w:tc>
      </w:tr>
      <w:tr w:rsidR="006C3821" w:rsidRPr="00722885" w14:paraId="62F74FBF" w14:textId="77777777" w:rsidTr="00076D96">
        <w:trPr>
          <w:trHeight w:val="187"/>
        </w:trPr>
        <w:tc>
          <w:tcPr>
            <w:tcW w:w="2611" w:type="dxa"/>
            <w:shd w:val="clear" w:color="auto" w:fill="FFFFFF"/>
          </w:tcPr>
          <w:p w14:paraId="570D4A34"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высота</w:t>
            </w:r>
          </w:p>
        </w:tc>
        <w:tc>
          <w:tcPr>
            <w:tcW w:w="1051" w:type="dxa"/>
            <w:shd w:val="clear" w:color="auto" w:fill="FFFFFF"/>
          </w:tcPr>
          <w:p w14:paraId="33E49365"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2300</w:t>
            </w:r>
          </w:p>
        </w:tc>
      </w:tr>
      <w:tr w:rsidR="006C3821" w:rsidRPr="00722885" w14:paraId="0D29B7BB" w14:textId="77777777" w:rsidTr="00076D96">
        <w:trPr>
          <w:trHeight w:val="211"/>
        </w:trPr>
        <w:tc>
          <w:tcPr>
            <w:tcW w:w="2611" w:type="dxa"/>
            <w:shd w:val="clear" w:color="auto" w:fill="FFFFFF"/>
          </w:tcPr>
          <w:p w14:paraId="44BB4C38"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клиренс</w:t>
            </w:r>
          </w:p>
        </w:tc>
        <w:tc>
          <w:tcPr>
            <w:tcW w:w="1051" w:type="dxa"/>
            <w:shd w:val="clear" w:color="auto" w:fill="FFFFFF"/>
          </w:tcPr>
          <w:p w14:paraId="6067E785"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385</w:t>
            </w:r>
          </w:p>
        </w:tc>
      </w:tr>
      <w:tr w:rsidR="006C3821" w:rsidRPr="00722885" w14:paraId="7F1C17BF" w14:textId="77777777" w:rsidTr="00076D96">
        <w:trPr>
          <w:trHeight w:val="197"/>
        </w:trPr>
        <w:tc>
          <w:tcPr>
            <w:tcW w:w="2611" w:type="dxa"/>
            <w:shd w:val="clear" w:color="auto" w:fill="FFFFFF"/>
          </w:tcPr>
          <w:p w14:paraId="147A2F51"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Толщина брони, мм:</w:t>
            </w:r>
          </w:p>
        </w:tc>
        <w:tc>
          <w:tcPr>
            <w:tcW w:w="1051" w:type="dxa"/>
            <w:shd w:val="clear" w:color="auto" w:fill="FFFFFF"/>
          </w:tcPr>
          <w:p w14:paraId="2E75FA9D" w14:textId="77777777" w:rsidR="006C3821" w:rsidRPr="00722885" w:rsidRDefault="006C3821" w:rsidP="00722885">
            <w:pPr>
              <w:spacing w:after="0" w:line="240" w:lineRule="auto"/>
              <w:jc w:val="both"/>
              <w:rPr>
                <w:rFonts w:ascii="Times New Roman" w:hAnsi="Times New Roman"/>
                <w:color w:val="000000" w:themeColor="text1"/>
                <w:sz w:val="16"/>
                <w:szCs w:val="16"/>
              </w:rPr>
            </w:pPr>
          </w:p>
        </w:tc>
      </w:tr>
      <w:tr w:rsidR="006C3821" w:rsidRPr="00722885" w14:paraId="1E2FD0A7" w14:textId="77777777" w:rsidTr="00076D96">
        <w:trPr>
          <w:trHeight w:val="206"/>
        </w:trPr>
        <w:tc>
          <w:tcPr>
            <w:tcW w:w="2611" w:type="dxa"/>
            <w:shd w:val="clear" w:color="auto" w:fill="FFFFFF"/>
          </w:tcPr>
          <w:p w14:paraId="73C7FBDC"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лоб корпуса</w:t>
            </w:r>
          </w:p>
        </w:tc>
        <w:tc>
          <w:tcPr>
            <w:tcW w:w="1051" w:type="dxa"/>
            <w:shd w:val="clear" w:color="auto" w:fill="FFFFFF"/>
          </w:tcPr>
          <w:p w14:paraId="5A162254"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50</w:t>
            </w:r>
          </w:p>
        </w:tc>
      </w:tr>
      <w:tr w:rsidR="006C3821" w:rsidRPr="00722885" w14:paraId="653E9868" w14:textId="77777777" w:rsidTr="00076D96">
        <w:trPr>
          <w:trHeight w:val="211"/>
        </w:trPr>
        <w:tc>
          <w:tcPr>
            <w:tcW w:w="2611" w:type="dxa"/>
            <w:shd w:val="clear" w:color="auto" w:fill="FFFFFF"/>
          </w:tcPr>
          <w:p w14:paraId="2B644BDE"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борт и корма</w:t>
            </w:r>
          </w:p>
        </w:tc>
        <w:tc>
          <w:tcPr>
            <w:tcW w:w="1051" w:type="dxa"/>
            <w:shd w:val="clear" w:color="auto" w:fill="FFFFFF"/>
          </w:tcPr>
          <w:p w14:paraId="41BF5C24"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30</w:t>
            </w:r>
          </w:p>
        </w:tc>
      </w:tr>
      <w:tr w:rsidR="006C3821" w:rsidRPr="00722885" w14:paraId="7AFDC81A" w14:textId="77777777" w:rsidTr="00076D96">
        <w:trPr>
          <w:trHeight w:val="182"/>
        </w:trPr>
        <w:tc>
          <w:tcPr>
            <w:tcW w:w="2611" w:type="dxa"/>
            <w:shd w:val="clear" w:color="auto" w:fill="FFFFFF"/>
          </w:tcPr>
          <w:p w14:paraId="2D69CAFD"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днище</w:t>
            </w:r>
          </w:p>
        </w:tc>
        <w:tc>
          <w:tcPr>
            <w:tcW w:w="1051" w:type="dxa"/>
            <w:shd w:val="clear" w:color="auto" w:fill="FFFFFF"/>
          </w:tcPr>
          <w:p w14:paraId="4E9D1364"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16</w:t>
            </w:r>
          </w:p>
        </w:tc>
      </w:tr>
      <w:tr w:rsidR="006C3821" w:rsidRPr="00722885" w14:paraId="48E2431E" w14:textId="77777777" w:rsidTr="00076D96">
        <w:trPr>
          <w:trHeight w:val="197"/>
        </w:trPr>
        <w:tc>
          <w:tcPr>
            <w:tcW w:w="2611" w:type="dxa"/>
            <w:shd w:val="clear" w:color="auto" w:fill="FFFFFF"/>
          </w:tcPr>
          <w:p w14:paraId="74F29969"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лоб рубки</w:t>
            </w:r>
          </w:p>
        </w:tc>
        <w:tc>
          <w:tcPr>
            <w:tcW w:w="1051" w:type="dxa"/>
            <w:shd w:val="clear" w:color="auto" w:fill="FFFFFF"/>
          </w:tcPr>
          <w:p w14:paraId="19F436AD"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50 + 30</w:t>
            </w:r>
          </w:p>
        </w:tc>
      </w:tr>
      <w:tr w:rsidR="006C3821" w:rsidRPr="00722885" w14:paraId="18C65833" w14:textId="77777777" w:rsidTr="00076D96">
        <w:trPr>
          <w:trHeight w:val="202"/>
        </w:trPr>
        <w:tc>
          <w:tcPr>
            <w:tcW w:w="2611" w:type="dxa"/>
            <w:shd w:val="clear" w:color="auto" w:fill="FFFFFF"/>
          </w:tcPr>
          <w:p w14:paraId="2B35BF8D"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Максимальная скорость</w:t>
            </w:r>
          </w:p>
        </w:tc>
        <w:tc>
          <w:tcPr>
            <w:tcW w:w="1051" w:type="dxa"/>
            <w:shd w:val="clear" w:color="auto" w:fill="FFFFFF"/>
          </w:tcPr>
          <w:p w14:paraId="48023C0B" w14:textId="77777777" w:rsidR="006C3821" w:rsidRPr="00722885" w:rsidRDefault="006C3821" w:rsidP="00722885">
            <w:pPr>
              <w:spacing w:after="0" w:line="240" w:lineRule="auto"/>
              <w:jc w:val="both"/>
              <w:rPr>
                <w:rFonts w:ascii="Times New Roman" w:hAnsi="Times New Roman"/>
                <w:color w:val="000000" w:themeColor="text1"/>
                <w:sz w:val="16"/>
                <w:szCs w:val="16"/>
              </w:rPr>
            </w:pPr>
          </w:p>
        </w:tc>
      </w:tr>
      <w:tr w:rsidR="006C3821" w:rsidRPr="00722885" w14:paraId="66DD983C" w14:textId="77777777" w:rsidTr="00076D96">
        <w:trPr>
          <w:trHeight w:val="197"/>
        </w:trPr>
        <w:tc>
          <w:tcPr>
            <w:tcW w:w="2611" w:type="dxa"/>
            <w:shd w:val="clear" w:color="auto" w:fill="FFFFFF"/>
          </w:tcPr>
          <w:p w14:paraId="0C326D14"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движения, км/ч</w:t>
            </w:r>
          </w:p>
        </w:tc>
        <w:tc>
          <w:tcPr>
            <w:tcW w:w="1051" w:type="dxa"/>
            <w:shd w:val="clear" w:color="auto" w:fill="FFFFFF"/>
          </w:tcPr>
          <w:p w14:paraId="058F55DC"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20</w:t>
            </w:r>
          </w:p>
        </w:tc>
      </w:tr>
      <w:tr w:rsidR="006C3821" w:rsidRPr="00722885" w14:paraId="775C29A0" w14:textId="77777777" w:rsidTr="00076D96">
        <w:trPr>
          <w:trHeight w:val="245"/>
        </w:trPr>
        <w:tc>
          <w:tcPr>
            <w:tcW w:w="2611" w:type="dxa"/>
            <w:shd w:val="clear" w:color="auto" w:fill="FFFFFF"/>
          </w:tcPr>
          <w:p w14:paraId="5E26224B"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Запас хода, км</w:t>
            </w:r>
          </w:p>
        </w:tc>
        <w:tc>
          <w:tcPr>
            <w:tcW w:w="1051" w:type="dxa"/>
            <w:shd w:val="clear" w:color="auto" w:fill="FFFFFF"/>
          </w:tcPr>
          <w:p w14:paraId="77FE71AE"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110</w:t>
            </w:r>
          </w:p>
        </w:tc>
      </w:tr>
    </w:tbl>
    <w:p w14:paraId="25B5E46D"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 (15232).</w:t>
      </w:r>
    </w:p>
    <w:p w14:paraId="4E08E278" w14:textId="77777777" w:rsidR="006C3821" w:rsidRPr="00722885" w:rsidRDefault="006C3821" w:rsidP="00722885">
      <w:pPr>
        <w:pStyle w:val="27"/>
        <w:shd w:val="clear" w:color="auto" w:fill="auto"/>
        <w:spacing w:after="0" w:line="240" w:lineRule="auto"/>
        <w:ind w:firstLine="0"/>
        <w:rPr>
          <w:rFonts w:ascii="Times New Roman" w:cs="Times New Roman"/>
          <w:color w:val="000000" w:themeColor="text1"/>
          <w:spacing w:val="0"/>
        </w:rPr>
      </w:pPr>
    </w:p>
    <w:p w14:paraId="13143D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ноября 1942 А.Гитлер объявил, что Сталинград пал (2245,9).</w:t>
      </w:r>
    </w:p>
    <w:p w14:paraId="0A8668A8" w14:textId="77777777" w:rsidR="00090C9B" w:rsidRPr="00722885" w:rsidRDefault="00090C9B" w:rsidP="00722885">
      <w:pPr>
        <w:pStyle w:val="Iauiue"/>
        <w:jc w:val="both"/>
        <w:rPr>
          <w:color w:val="000000" w:themeColor="text1"/>
          <w:sz w:val="16"/>
          <w:szCs w:val="16"/>
        </w:rPr>
      </w:pPr>
    </w:p>
    <w:p w14:paraId="61699C8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8 ноября 1942 в Мюнхене Гитлер публично объявил о том, что Сталинград уже пал (4962).</w:t>
      </w:r>
    </w:p>
    <w:p w14:paraId="2BA66998" w14:textId="77777777" w:rsidR="00090C9B" w:rsidRPr="00722885" w:rsidRDefault="00090C9B" w:rsidP="00722885">
      <w:pPr>
        <w:pStyle w:val="Iauiue"/>
        <w:tabs>
          <w:tab w:val="left" w:pos="11199"/>
        </w:tabs>
        <w:jc w:val="both"/>
        <w:rPr>
          <w:color w:val="000000" w:themeColor="text1"/>
          <w:sz w:val="16"/>
          <w:szCs w:val="16"/>
        </w:rPr>
      </w:pPr>
    </w:p>
    <w:p w14:paraId="2A2DA67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ноября</w:t>
      </w:r>
      <w:r w:rsidRPr="00722885">
        <w:rPr>
          <w:rFonts w:ascii="Times New Roman" w:hAnsi="Times New Roman"/>
          <w:color w:val="000000" w:themeColor="text1"/>
          <w:sz w:val="16"/>
          <w:szCs w:val="16"/>
        </w:rPr>
        <w:t xml:space="preserve"> в 1942 году в Мюнхене Адольф Гитлер публично объявляет о том, что Сталинград уже пал (14824).</w:t>
      </w:r>
    </w:p>
    <w:p w14:paraId="3456F5B3"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071C93CC"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8 ноября 1942 был первый боевой вылет советских Хэмпденов Н.Р.52 24 мтап, но непогода не позволила обнаружить цели (5493, 47).</w:t>
      </w:r>
    </w:p>
    <w:p w14:paraId="6E5E9C53" w14:textId="77777777" w:rsidR="00090C9B" w:rsidRPr="00722885" w:rsidRDefault="00090C9B" w:rsidP="00722885">
      <w:pPr>
        <w:pStyle w:val="Iauiue"/>
        <w:tabs>
          <w:tab w:val="left" w:pos="11199"/>
        </w:tabs>
        <w:jc w:val="both"/>
        <w:rPr>
          <w:color w:val="000000" w:themeColor="text1"/>
          <w:sz w:val="16"/>
          <w:szCs w:val="16"/>
        </w:rPr>
      </w:pPr>
    </w:p>
    <w:p w14:paraId="3EA0043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1BCF0A73" w14:textId="77777777" w:rsidR="00090C9B" w:rsidRPr="00722885" w:rsidRDefault="00090C9B" w:rsidP="00722885">
      <w:pPr>
        <w:pStyle w:val="Iauiue"/>
        <w:jc w:val="both"/>
        <w:rPr>
          <w:iCs/>
          <w:color w:val="000000" w:themeColor="text1"/>
          <w:sz w:val="16"/>
          <w:szCs w:val="16"/>
        </w:rPr>
      </w:pPr>
    </w:p>
    <w:p w14:paraId="70D0AE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ноября 1942 года было отправлено:</w:t>
      </w:r>
    </w:p>
    <w:p w14:paraId="10BF69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ЛИЧНОЕ И СЕКРЕТНОЕ ПОСЛАНИЕ ПРЕМЬЕРА СТАЛИНА ПРЕМЬЕР-МИНИСТРУ ЧЕРЧИЛЛЮ</w:t>
      </w:r>
    </w:p>
    <w:p w14:paraId="1A517D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Ваше послание получил 5 ноября.</w:t>
      </w:r>
    </w:p>
    <w:p w14:paraId="434698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Поздравляю Вас с успешным развитием военных действий в Египте и выражаю уверенность, что теперь удастся довести до конца разгром банд Роммеля и его итальянских союзников.</w:t>
      </w:r>
    </w:p>
    <w:p w14:paraId="0659B8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Мы все здесь надеемся на Ваши успехи в осуществлении “Факела” </w:t>
      </w:r>
      <w:r w:rsidRPr="00722885">
        <w:rPr>
          <w:color w:val="000000" w:themeColor="text1"/>
          <w:sz w:val="16"/>
          <w:szCs w:val="16"/>
          <w:vertAlign w:val="superscript"/>
        </w:rPr>
        <w:t>24</w:t>
      </w:r>
      <w:r w:rsidRPr="00722885">
        <w:rPr>
          <w:color w:val="000000" w:themeColor="text1"/>
          <w:sz w:val="16"/>
          <w:szCs w:val="16"/>
        </w:rPr>
        <w:t>.</w:t>
      </w:r>
    </w:p>
    <w:p w14:paraId="3AFC24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Выражаю признательность за Ваше сообщение о том, что Вы и Президент Рузвельт решили послать на наш Южный фронт 20 британских и американских эскадрилий в ближайшее время. Быстрая присылка 20 эскадрилий будет очень ценным подспорьем. Что касается необходимых в связи с этим делом совещаний и разработки </w:t>
      </w:r>
      <w:r w:rsidRPr="00722885">
        <w:rPr>
          <w:color w:val="000000" w:themeColor="text1"/>
          <w:sz w:val="16"/>
          <w:szCs w:val="16"/>
        </w:rPr>
        <w:lastRenderedPageBreak/>
        <w:t>конкретных мер представителями английской, американской и нашей авиации, то соответствующие встречи лучше всего устроить сначала в Москве, а затем, если потребуется, и непосредственно на Кавказе. Мне уже известно, что со стороны США для этой цели направляется генерал Е. Е. Эдлер. Жду сообщений о том, кто назначается со стороны Великобритании.</w:t>
      </w:r>
    </w:p>
    <w:p w14:paraId="7623DB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Положение на нашем Кавказском фронте несколько ухудшилось в сравнении с положением в октябре. Немцам удалось захватить гор. Нальчик и подойти к Владикавказу, где идут сейчас большие бои. Наша слабость здесь в недостатке истребительной авиации.</w:t>
      </w:r>
    </w:p>
    <w:p w14:paraId="58972C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Выражаю благодарность за Ваши пожелания в связи с годовщиной СССР (7430).</w:t>
      </w:r>
    </w:p>
    <w:p w14:paraId="3A9BE5F7" w14:textId="77777777" w:rsidR="00090C9B" w:rsidRPr="00722885" w:rsidRDefault="00090C9B" w:rsidP="00722885">
      <w:pPr>
        <w:pStyle w:val="Iauiue"/>
        <w:jc w:val="both"/>
        <w:rPr>
          <w:color w:val="000000" w:themeColor="text1"/>
          <w:sz w:val="16"/>
          <w:szCs w:val="16"/>
        </w:rPr>
      </w:pPr>
    </w:p>
    <w:p w14:paraId="09D1FB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ноября 1942 года было получено:</w:t>
      </w:r>
    </w:p>
    <w:p w14:paraId="57978A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 ЧЕРЧИЛЛЬ И. В. СТАЛИНУ *</w:t>
      </w:r>
    </w:p>
    <w:p w14:paraId="6BA7D2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Без сомнения, Вам известно, что, когда Гитлер потеряет надежду взять Баку, он будет пытаться разрушить его путем воздушных атак.</w:t>
      </w:r>
    </w:p>
    <w:p w14:paraId="2031CF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Прошу Вас верить моему сообщению (7430).</w:t>
      </w:r>
    </w:p>
    <w:p w14:paraId="31F35EA9" w14:textId="77777777" w:rsidR="00090C9B" w:rsidRPr="00722885" w:rsidRDefault="00090C9B" w:rsidP="00722885">
      <w:pPr>
        <w:pStyle w:val="Iauiue"/>
        <w:jc w:val="both"/>
        <w:rPr>
          <w:color w:val="000000" w:themeColor="text1"/>
          <w:sz w:val="16"/>
          <w:szCs w:val="16"/>
        </w:rPr>
      </w:pPr>
    </w:p>
    <w:p w14:paraId="6083537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9259615" w14:textId="77777777" w:rsidR="00090C9B" w:rsidRPr="00722885" w:rsidRDefault="00090C9B" w:rsidP="00722885">
      <w:pPr>
        <w:pStyle w:val="Iauiue"/>
        <w:jc w:val="both"/>
        <w:rPr>
          <w:iCs/>
          <w:color w:val="000000" w:themeColor="text1"/>
          <w:sz w:val="16"/>
          <w:szCs w:val="16"/>
        </w:rPr>
      </w:pPr>
    </w:p>
    <w:p w14:paraId="512FF392"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ноября 1942 года состоялся первый полет Grumman XF4F-8, прототипа Eastern Aircraft FM-2 Wildcat (20793).</w:t>
      </w:r>
    </w:p>
    <w:p w14:paraId="37A002C7" w14:textId="77777777" w:rsidR="006C3821" w:rsidRPr="00722885" w:rsidRDefault="006C3821" w:rsidP="00722885">
      <w:pPr>
        <w:spacing w:after="0" w:line="240" w:lineRule="auto"/>
        <w:jc w:val="both"/>
        <w:rPr>
          <w:rFonts w:ascii="Times New Roman" w:hAnsi="Times New Roman"/>
          <w:color w:val="0070C0"/>
          <w:sz w:val="16"/>
          <w:szCs w:val="16"/>
        </w:rPr>
      </w:pPr>
    </w:p>
    <w:p w14:paraId="13DE9790"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ноября 1942 года — первое применение противоперегрузочного костюма для пилотов. Канада / Великобритания</w:t>
      </w:r>
    </w:p>
    <w:p w14:paraId="5D692496"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Первые случаи потери сознания лётчиками из-за перегрузок были зафиксированы ещё в 1917 году. Но разработка защитных костюмов началась лишь в 1940 году после воздушной битвы за Британию — много пилотов погибло из-за потери сознания во время манёвров на быстрых Supermarine Spitfire.</w:t>
      </w:r>
    </w:p>
    <w:p w14:paraId="25AD6DF4"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1941 году учёный Уилбур Френкс (Wilbur R. Franks) из Университета Торонто создал первый успешный противоперегрузочный костюм. В нём использовались заполненные водой камеры вокруг ног и в районе живота. Производством костюмов занялась компания Dunlop.</w:t>
      </w:r>
    </w:p>
    <w:p w14:paraId="095FECDB"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первый боевой вылет с противоперегрузочными костюмами вылетели лётчики 807-й эскадрильи Воздушных силы флота Великобритании на истребителях Supermarine Seafire во время высадки Союзников в Северной Африке. Отзывы лётчиков были самые разные, но в основном положительные. За свою работу Уилбур Френкс был награждён Орденом Британской империи (22300).</w:t>
      </w:r>
    </w:p>
    <w:p w14:paraId="400E3E6A" w14:textId="77777777" w:rsidR="006C3821" w:rsidRPr="00722885" w:rsidRDefault="006C3821" w:rsidP="00722885">
      <w:pPr>
        <w:spacing w:after="0" w:line="240" w:lineRule="auto"/>
        <w:jc w:val="both"/>
        <w:rPr>
          <w:rFonts w:ascii="Times New Roman" w:hAnsi="Times New Roman"/>
          <w:color w:val="0070C0"/>
          <w:sz w:val="16"/>
          <w:szCs w:val="16"/>
        </w:rPr>
      </w:pPr>
    </w:p>
    <w:p w14:paraId="16007465"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8 ноября 1942 самолеты ВМС США сбили 20 французских самолетов в боях «воздух-воздух» и еще больше уничтожили на земле, потеряв взамен 44 самолета ВМС США (20793).</w:t>
      </w:r>
    </w:p>
    <w:p w14:paraId="2A7E0D20" w14:textId="77777777" w:rsidR="006C3821" w:rsidRPr="00722885" w:rsidRDefault="006C3821" w:rsidP="00722885">
      <w:pPr>
        <w:spacing w:after="0" w:line="240" w:lineRule="auto"/>
        <w:jc w:val="both"/>
        <w:rPr>
          <w:rFonts w:ascii="Times New Roman" w:hAnsi="Times New Roman"/>
          <w:color w:val="0070C0"/>
          <w:sz w:val="16"/>
          <w:szCs w:val="16"/>
        </w:rPr>
      </w:pPr>
    </w:p>
    <w:p w14:paraId="16057FB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8 ноября 1942 американские войска начали высадку в Северной Африке (4962).</w:t>
      </w:r>
    </w:p>
    <w:p w14:paraId="6C0148E0" w14:textId="77777777" w:rsidR="00090C9B" w:rsidRPr="00722885" w:rsidRDefault="00090C9B" w:rsidP="00722885">
      <w:pPr>
        <w:pStyle w:val="Iauiue"/>
        <w:tabs>
          <w:tab w:val="left" w:pos="11199"/>
        </w:tabs>
        <w:jc w:val="both"/>
        <w:rPr>
          <w:color w:val="000000" w:themeColor="text1"/>
          <w:sz w:val="16"/>
          <w:szCs w:val="16"/>
        </w:rPr>
      </w:pPr>
    </w:p>
    <w:p w14:paraId="08559876"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8, 1942: Anglo-American forces under Lieutenant General Eisenhower land in Morocco and Algeria against minimal Vichy French resistance. On the anniversary of the 1923 Beer Hall Putsch in Munich Hitler tells his old comrades that Stalingrad is practically in German hands, adding that he didn't want to take that city just because it happens to bear the name of Stalin (3819).</w:t>
      </w:r>
    </w:p>
    <w:p w14:paraId="56C6ADAC" w14:textId="77777777" w:rsidR="00090C9B" w:rsidRPr="00722885" w:rsidRDefault="00090C9B" w:rsidP="00722885">
      <w:pPr>
        <w:pStyle w:val="Iauiue"/>
        <w:jc w:val="both"/>
        <w:rPr>
          <w:color w:val="000000" w:themeColor="text1"/>
          <w:sz w:val="16"/>
          <w:szCs w:val="16"/>
          <w:lang w:val="en-US"/>
        </w:rPr>
      </w:pPr>
    </w:p>
    <w:p w14:paraId="1F0192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ноября 1942 г. американские силы высадились в Северной Африке на побережье Марокко. Перед союзниками стояла сложная дипломатическая задача. В Северной Африке были дислоцированы французские войска, подчинявшиеся коллаборационистскому правительству Виши. На стороне союзников был генерал де Голль с его движением "Сражающаяся Франция". Однако в Северной Африке у него не было значительной поддержки, и его имя могло, скорее, спровоцировать французские войска оказать сопротивление союзникам. С другой стороны, полностью исключить де Голля из операции представлялось неблагоразумным: это подрывало его престиж, а другого антифашистского лидера с именем и многочисленными сторонниками у союзников не было.</w:t>
      </w:r>
    </w:p>
    <w:p w14:paraId="1A556B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Черчилль, у которого и так было много хлопот с несговорчивым и сварливым де Голлем, предоставил американцам решать эту проблему самим. Чтобы по возможности поставить всю сложную проблему легитимности власти во Франции и ее колониях в чисто военный контекст, переговоры вели американские генералы. В конце концов была достигнута договоренность, что адмирал Жан Луи Дарлан из зоны Виши будет политическим главой французской "миссии" в Северной Африке, а генерал Анри Жиро, бежавший из германского плена, не связанный с пораженчеством Виши, но и не переваривавший де Голля, будет военным главой. Однако эти назначения не распространялись на другие французские колонии, поддерживавшие де Голля. Лондон, однако, заявил Вашингтону, что назначение Дарлана будет крайне непопулярно, и что в искупление прошлых грехов он должен хотя бы привести с собой в Алжир французский флот из Тулона. Однако американцы настаивали, что только Дарлан может представлять правительство Виши в Северной Африке. Черчилль уступил, оговорившись, что не считает решение проблемы постоянным и правильным (3871).</w:t>
      </w:r>
    </w:p>
    <w:p w14:paraId="5A13D3A2" w14:textId="77777777" w:rsidR="00090C9B" w:rsidRPr="00722885" w:rsidRDefault="00090C9B" w:rsidP="00722885">
      <w:pPr>
        <w:pStyle w:val="Iauiue"/>
        <w:jc w:val="both"/>
        <w:rPr>
          <w:color w:val="000000" w:themeColor="text1"/>
          <w:sz w:val="16"/>
          <w:szCs w:val="16"/>
        </w:rPr>
      </w:pPr>
    </w:p>
    <w:p w14:paraId="45AAC5BE"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8-11 1942 Invasion of North Africa 1942 Carrier aircraft from Ranger and the escort carriers Sangamon, Suwannee, and Santee of Task Group 34.2 (Rear Admiral E. D. McWhorter) of the Western Naval Task Force, covered the landings of Army troops near Casablanca (8 Nov) and supported their operation ashore until opposing French forces capitulated (11 Nov). The escort carrier Chenango accompanied assault forces to the area and launched her load of 78 AAF P-40s (10-11 Nov) for operations from the field at Port Lyautey (1090).</w:t>
      </w:r>
    </w:p>
    <w:p w14:paraId="4370E656" w14:textId="77777777" w:rsidR="00090C9B" w:rsidRPr="00722885" w:rsidRDefault="00090C9B" w:rsidP="00722885">
      <w:pPr>
        <w:pStyle w:val="Iauiue"/>
        <w:jc w:val="both"/>
        <w:rPr>
          <w:color w:val="000000" w:themeColor="text1"/>
          <w:sz w:val="16"/>
          <w:szCs w:val="16"/>
          <w:lang w:val="en-US"/>
        </w:rPr>
      </w:pPr>
    </w:p>
    <w:p w14:paraId="5D4142B0"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8 1942 'Operation Torch' begins U.S. invasion of North Africa (1050).</w:t>
      </w:r>
    </w:p>
    <w:p w14:paraId="2BA844C9"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1. Casablanca = 35000 US troops from US under Patton (1052).</w:t>
      </w:r>
    </w:p>
    <w:p w14:paraId="7163AD9B"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2. Oran = 39000 US troops from England under Fredendall (1052).</w:t>
      </w:r>
    </w:p>
    <w:p w14:paraId="1808044E"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3. Algiers = 33000 US and Brit under Ryder (1052).</w:t>
      </w:r>
    </w:p>
    <w:p w14:paraId="0699D485" w14:textId="77777777" w:rsidR="00090C9B" w:rsidRPr="00722885" w:rsidRDefault="00090C9B" w:rsidP="00722885">
      <w:pPr>
        <w:pStyle w:val="Iauiue"/>
        <w:jc w:val="both"/>
        <w:rPr>
          <w:color w:val="000000" w:themeColor="text1"/>
          <w:sz w:val="16"/>
          <w:szCs w:val="16"/>
          <w:lang w:val="en-US"/>
        </w:rPr>
      </w:pPr>
    </w:p>
    <w:p w14:paraId="567A9D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ноября 1942 началась операция Факел по высадке американцев в Северной Африке под командованием г Эйзенхауэра (1052).</w:t>
      </w:r>
    </w:p>
    <w:p w14:paraId="39095BFF" w14:textId="77777777" w:rsidR="00090C9B" w:rsidRPr="00722885" w:rsidRDefault="00090C9B" w:rsidP="00722885">
      <w:pPr>
        <w:pStyle w:val="Iauiue"/>
        <w:jc w:val="both"/>
        <w:rPr>
          <w:color w:val="000000" w:themeColor="text1"/>
          <w:sz w:val="16"/>
          <w:szCs w:val="16"/>
        </w:rPr>
      </w:pPr>
    </w:p>
    <w:p w14:paraId="371B29BE"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ноября</w:t>
      </w:r>
      <w:r w:rsidRPr="00722885">
        <w:rPr>
          <w:rFonts w:ascii="Times New Roman" w:hAnsi="Times New Roman"/>
          <w:color w:val="000000" w:themeColor="text1"/>
          <w:sz w:val="16"/>
          <w:szCs w:val="16"/>
        </w:rPr>
        <w:t xml:space="preserve"> в 1942 году началась операция "Torch" (Факел) - высадка американских и британских войск под командованием генерала Эйзенхауэра на побережье Сев-Западной Африки в районах Алжира, Орана и Касабланки  (14824).</w:t>
      </w:r>
    </w:p>
    <w:p w14:paraId="281D2B47"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2DCBCF6E" w14:textId="77777777" w:rsidR="006C3821" w:rsidRPr="00722885" w:rsidRDefault="006C382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ноября 1942 проходит операция «Факел» - высадка десанта союзников во французской Северной Африке. Проводится при поддержке британских авианосцев HMS Victorious, HMS Formidable, HMS Argus, HMS Avenger, HMS Biter и HMS Dasher с участием 160 самолетов и американских авианосцев USS Рейнджер (CV-4), USS Sangamon (ACV-26), USS Suwannee (ACV-27), USS Chenango (ACV-28) и USS Santee (ACV-29) со 136 самолетами. Французские самолеты сопротивляются высадке, обстреливая пляжи не менее пяти раз, а воздушные бои происходят между американскими ВМС Grumman F4F Wildcats и французскими истребителями Dewoitine D.520 и Curtiss Hawk 75A. Во время морского сражения при Касабланке в тот день самолеты ВМС США бомбят и атакуют французские корабли, помогая потопить или повредить легкий крейсер Primauguet, лилер и два эсминца. У берегов Алжира 21 немецкий Junkers Ju 88 и Heinkel He 111 атакуют корабли союзников, смертельно повредив транспортный USS Leedstown (AP-73) и повредив другие корабли (20793).</w:t>
      </w:r>
    </w:p>
    <w:p w14:paraId="7EE176D0" w14:textId="77777777" w:rsidR="006C3821" w:rsidRPr="00722885" w:rsidRDefault="006C3821" w:rsidP="00722885">
      <w:pPr>
        <w:spacing w:after="0" w:line="240" w:lineRule="auto"/>
        <w:jc w:val="both"/>
        <w:rPr>
          <w:rFonts w:ascii="Times New Roman" w:hAnsi="Times New Roman"/>
          <w:color w:val="0070C0"/>
          <w:sz w:val="16"/>
          <w:szCs w:val="16"/>
        </w:rPr>
      </w:pPr>
    </w:p>
    <w:p w14:paraId="021200B0"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ноября</w:t>
      </w:r>
      <w:r w:rsidRPr="00722885">
        <w:rPr>
          <w:rFonts w:ascii="Times New Roman" w:hAnsi="Times New Roman"/>
          <w:color w:val="000000" w:themeColor="text1"/>
          <w:sz w:val="16"/>
          <w:szCs w:val="16"/>
        </w:rPr>
        <w:t xml:space="preserve"> в 1942 году правительство Виши разорвало дипломатические отношения с Соединенными Штатами Америки (14824).</w:t>
      </w:r>
    </w:p>
    <w:p w14:paraId="07B114C4"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2F7658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ноября 1942 Ф.Д.Р. по радио обратился к французскому народу и вишистские войска прекратили сопротивление (2261).</w:t>
      </w:r>
    </w:p>
    <w:p w14:paraId="6A3B9620" w14:textId="77777777" w:rsidR="00090C9B" w:rsidRPr="00722885" w:rsidRDefault="00090C9B" w:rsidP="00722885">
      <w:pPr>
        <w:pStyle w:val="Iauiue"/>
        <w:jc w:val="both"/>
        <w:rPr>
          <w:color w:val="000000" w:themeColor="text1"/>
          <w:sz w:val="16"/>
          <w:szCs w:val="16"/>
        </w:rPr>
      </w:pPr>
    </w:p>
    <w:p w14:paraId="0AFB2C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ноября 1942 вишистское правительство разорвало дипотношения с США и немцы захватили Виши несмотря на приказы г Петена. Алжир прекратил сопротивление (2245,9).</w:t>
      </w:r>
    </w:p>
    <w:p w14:paraId="60EC7E05" w14:textId="77777777" w:rsidR="00090C9B" w:rsidRPr="00722885" w:rsidRDefault="00090C9B" w:rsidP="00722885">
      <w:pPr>
        <w:pStyle w:val="Iauiue"/>
        <w:jc w:val="both"/>
        <w:rPr>
          <w:color w:val="000000" w:themeColor="text1"/>
          <w:sz w:val="16"/>
          <w:szCs w:val="16"/>
        </w:rPr>
      </w:pPr>
    </w:p>
    <w:p w14:paraId="6BAB7BF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CC010D2" w14:textId="77777777" w:rsidR="00090C9B" w:rsidRPr="00722885" w:rsidRDefault="00090C9B" w:rsidP="00722885">
      <w:pPr>
        <w:pStyle w:val="Iauiue"/>
        <w:jc w:val="both"/>
        <w:rPr>
          <w:iCs/>
          <w:color w:val="000000" w:themeColor="text1"/>
          <w:sz w:val="16"/>
          <w:szCs w:val="16"/>
        </w:rPr>
      </w:pPr>
    </w:p>
    <w:p w14:paraId="5F520A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ноября 1942 Нач. НИИ ВВС Лосюков (а также без дат - Зам. Нач. НИИ ВВС КА А.Чесалов, Дир. З-да № 22 ? и ГК изделия “42” Незваль подписаали:</w:t>
      </w:r>
    </w:p>
    <w:p w14:paraId="6967C6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Отчет о совместных испытаниях Пе-8 с 4М-82</w:t>
      </w:r>
    </w:p>
    <w:p w14:paraId="4D3800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Утв.:</w:t>
      </w:r>
    </w:p>
    <w:p w14:paraId="7871AE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ГИ ВВС </w:t>
      </w:r>
      <w:r w:rsidRPr="00722885">
        <w:rPr>
          <w:rFonts w:ascii="Times New Roman" w:hAnsi="Times New Roman"/>
          <w:color w:val="000000" w:themeColor="text1"/>
          <w:sz w:val="16"/>
          <w:szCs w:val="16"/>
        </w:rPr>
        <w:tab/>
        <w:t>Зам. НКАП</w:t>
      </w:r>
    </w:p>
    <w:p w14:paraId="3C339A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ВВС</w:t>
      </w:r>
      <w:r w:rsidRPr="00722885">
        <w:rPr>
          <w:rFonts w:ascii="Times New Roman" w:hAnsi="Times New Roman"/>
          <w:color w:val="000000" w:themeColor="text1"/>
          <w:sz w:val="16"/>
          <w:szCs w:val="16"/>
        </w:rPr>
        <w:tab/>
        <w:t>Дементьев</w:t>
      </w:r>
    </w:p>
    <w:p w14:paraId="22A933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Репин</w:t>
      </w:r>
    </w:p>
    <w:p w14:paraId="501DDC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Подписан:</w:t>
      </w:r>
    </w:p>
    <w:p w14:paraId="24A21F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 НИИ ВВС</w:t>
      </w:r>
      <w:r w:rsidRPr="00722885">
        <w:rPr>
          <w:rFonts w:ascii="Times New Roman" w:hAnsi="Times New Roman"/>
          <w:color w:val="000000" w:themeColor="text1"/>
          <w:sz w:val="16"/>
          <w:szCs w:val="16"/>
        </w:rPr>
        <w:tab/>
        <w:t>Зам. Начю. НИИ ВВС</w:t>
      </w:r>
      <w:r w:rsidRPr="00722885">
        <w:rPr>
          <w:rFonts w:ascii="Times New Roman" w:hAnsi="Times New Roman"/>
          <w:color w:val="000000" w:themeColor="text1"/>
          <w:sz w:val="16"/>
          <w:szCs w:val="16"/>
        </w:rPr>
        <w:tab/>
        <w:t>Директор з-да № 22</w:t>
      </w:r>
      <w:r w:rsidRPr="00722885">
        <w:rPr>
          <w:rFonts w:ascii="Times New Roman" w:hAnsi="Times New Roman"/>
          <w:color w:val="000000" w:themeColor="text1"/>
          <w:sz w:val="16"/>
          <w:szCs w:val="16"/>
        </w:rPr>
        <w:tab/>
        <w:t xml:space="preserve"> ГК изд. 42</w:t>
      </w:r>
    </w:p>
    <w:p w14:paraId="7A97BB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Лосюков</w:t>
      </w:r>
      <w:r w:rsidRPr="00722885">
        <w:rPr>
          <w:rFonts w:ascii="Times New Roman" w:hAnsi="Times New Roman"/>
          <w:color w:val="000000" w:themeColor="text1"/>
          <w:sz w:val="16"/>
          <w:szCs w:val="16"/>
        </w:rPr>
        <w:tab/>
        <w:t>Чесалов</w:t>
      </w:r>
      <w:r w:rsidRPr="00722885">
        <w:rPr>
          <w:rFonts w:ascii="Times New Roman" w:hAnsi="Times New Roman"/>
          <w:color w:val="000000" w:themeColor="text1"/>
          <w:sz w:val="16"/>
          <w:szCs w:val="16"/>
        </w:rPr>
        <w:tab/>
        <w:t>?</w:t>
      </w:r>
      <w:r w:rsidRPr="00722885">
        <w:rPr>
          <w:rFonts w:ascii="Times New Roman" w:hAnsi="Times New Roman"/>
          <w:color w:val="000000" w:themeColor="text1"/>
          <w:sz w:val="16"/>
          <w:szCs w:val="16"/>
        </w:rPr>
        <w:tab/>
        <w:t>Незваль</w:t>
      </w:r>
    </w:p>
    <w:p w14:paraId="29F807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9.11.42</w:t>
      </w:r>
    </w:p>
    <w:p w14:paraId="2B5502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Отв. Исполнители:</w:t>
      </w:r>
    </w:p>
    <w:p w14:paraId="774A64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вл ГСС комбриг Водопьянов</w:t>
      </w:r>
    </w:p>
    <w:p w14:paraId="7C0D44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 НИИ ВВС ип Ефимов</w:t>
      </w:r>
    </w:p>
    <w:p w14:paraId="23FBCD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 ЛИИ НКАП Туманский</w:t>
      </w:r>
    </w:p>
    <w:p w14:paraId="0DFFF4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вм ЛИС з-да № 22 Аржаков</w:t>
      </w:r>
    </w:p>
    <w:p w14:paraId="2F4201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 Ефимов</w:t>
      </w:r>
    </w:p>
    <w:p w14:paraId="1232B6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Объект: С-т Пе-8 № 42047 с 4М-82 изг. Заводом № 22 согласно постановлению ГКО № 915 от 19 ноября 1941 и приказа НКАП № 1147 от 20 ноября 1941</w:t>
      </w:r>
    </w:p>
    <w:p w14:paraId="3E882A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Ход исполнения: испытания начаты 3 апреля 1942 и закончены 24 сентября 1942</w:t>
      </w:r>
    </w:p>
    <w:p w14:paraId="08D410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полета, 58 час. Из общего количества 204 дней полеты произодились в течение 22 дней, ост. Время падает в основном на доводки моторов и ВМГ (замена 4-го мотора - 7 дней, замена мотора вып. Августа 1942 - 19 дн. И др.), нелетная погода - 21 день, осмотры и подготовка к полетам - 13 дн., подготовка полета на дальность - 15 дн.</w:t>
      </w:r>
    </w:p>
    <w:p w14:paraId="4A9926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Нагрузка: экипаж - 11 чел. - 999 кг, оружие с турелями - 165, прицел ПС-1 - 25, вспомогат. Оборуд - 90,4, боезапас - 332 кг, горючее - норм. 4095 кг, перегрузка - 11595 кг, масло - норм. 300, перегруз - 800, бомбы - 2000 (в норм. Вар-те), освет. Бомбы - 50, антифриз в доп. баки - 24 (только в перегруз), антифриз в крыльевые баки - 120 и 120. Нагрузка 8210 и 16210, пустой - от 18790, полетный - 27000-35000.</w:t>
      </w:r>
    </w:p>
    <w:p w14:paraId="706948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Различия весов: с АМ-35А - 8831, с М-82 - 7639, разница - 1192</w:t>
      </w:r>
    </w:p>
    <w:p w14:paraId="120CE0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9B487A" w:rsidRPr="00722885" w14:paraId="7E133387" w14:textId="77777777" w:rsidTr="00CC5360">
        <w:tc>
          <w:tcPr>
            <w:tcW w:w="1601" w:type="dxa"/>
            <w:tcBorders>
              <w:top w:val="single" w:sz="12" w:space="0" w:color="auto"/>
            </w:tcBorders>
          </w:tcPr>
          <w:p w14:paraId="131268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w:t>
            </w:r>
          </w:p>
        </w:tc>
        <w:tc>
          <w:tcPr>
            <w:tcW w:w="1601" w:type="dxa"/>
            <w:tcBorders>
              <w:top w:val="single" w:sz="12" w:space="0" w:color="auto"/>
            </w:tcBorders>
          </w:tcPr>
          <w:p w14:paraId="444801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w:t>
            </w:r>
          </w:p>
        </w:tc>
        <w:tc>
          <w:tcPr>
            <w:tcW w:w="1601" w:type="dxa"/>
            <w:tcBorders>
              <w:top w:val="single" w:sz="12" w:space="0" w:color="auto"/>
            </w:tcBorders>
          </w:tcPr>
          <w:p w14:paraId="1968E7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 (средние)</w:t>
            </w:r>
          </w:p>
        </w:tc>
        <w:tc>
          <w:tcPr>
            <w:tcW w:w="1601" w:type="dxa"/>
            <w:tcBorders>
              <w:top w:val="single" w:sz="12" w:space="0" w:color="auto"/>
            </w:tcBorders>
          </w:tcPr>
          <w:p w14:paraId="6892C6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Давление</w:t>
            </w:r>
          </w:p>
        </w:tc>
        <w:tc>
          <w:tcPr>
            <w:tcW w:w="1601" w:type="dxa"/>
            <w:tcBorders>
              <w:top w:val="single" w:sz="12" w:space="0" w:color="auto"/>
            </w:tcBorders>
          </w:tcPr>
          <w:p w14:paraId="61C9601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057972D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F36381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EF62B46" w14:textId="77777777" w:rsidTr="00CC5360">
        <w:tc>
          <w:tcPr>
            <w:tcW w:w="1601" w:type="dxa"/>
          </w:tcPr>
          <w:p w14:paraId="41ACCC7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1D2BAB0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2F4DB457"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530C44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601" w:type="dxa"/>
          </w:tcPr>
          <w:p w14:paraId="18A4F7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601" w:type="dxa"/>
          </w:tcPr>
          <w:p w14:paraId="0BB86F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601" w:type="dxa"/>
          </w:tcPr>
          <w:p w14:paraId="3DAC88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r>
      <w:tr w:rsidR="009B487A" w:rsidRPr="00722885" w14:paraId="14370CAC" w14:textId="77777777" w:rsidTr="00CC5360">
        <w:tc>
          <w:tcPr>
            <w:tcW w:w="1601" w:type="dxa"/>
          </w:tcPr>
          <w:p w14:paraId="64E6D7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601" w:type="dxa"/>
          </w:tcPr>
          <w:p w14:paraId="06E51B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358</w:t>
            </w:r>
          </w:p>
        </w:tc>
        <w:tc>
          <w:tcPr>
            <w:tcW w:w="1601" w:type="dxa"/>
          </w:tcPr>
          <w:p w14:paraId="1E6BD8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2A702F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2CDF5B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0FC134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0201A5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r>
      <w:tr w:rsidR="009B487A" w:rsidRPr="00722885" w14:paraId="66C5C323" w14:textId="77777777" w:rsidTr="00CC5360">
        <w:tc>
          <w:tcPr>
            <w:tcW w:w="1601" w:type="dxa"/>
          </w:tcPr>
          <w:p w14:paraId="1EEDEE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601" w:type="dxa"/>
          </w:tcPr>
          <w:p w14:paraId="28F35B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376</w:t>
            </w:r>
          </w:p>
        </w:tc>
        <w:tc>
          <w:tcPr>
            <w:tcW w:w="1601" w:type="dxa"/>
          </w:tcPr>
          <w:p w14:paraId="1B1C5E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2A71E9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6F124A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2BC6FF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0C52FD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r>
      <w:tr w:rsidR="009B487A" w:rsidRPr="00722885" w14:paraId="17F7D124" w14:textId="77777777" w:rsidTr="00CC5360">
        <w:tc>
          <w:tcPr>
            <w:tcW w:w="1601" w:type="dxa"/>
          </w:tcPr>
          <w:p w14:paraId="4BDC01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601" w:type="dxa"/>
          </w:tcPr>
          <w:p w14:paraId="52450C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393</w:t>
            </w:r>
          </w:p>
        </w:tc>
        <w:tc>
          <w:tcPr>
            <w:tcW w:w="1601" w:type="dxa"/>
          </w:tcPr>
          <w:p w14:paraId="3DFB3A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69FEEB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c>
          <w:tcPr>
            <w:tcW w:w="1601" w:type="dxa"/>
          </w:tcPr>
          <w:p w14:paraId="7393F8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c>
          <w:tcPr>
            <w:tcW w:w="1601" w:type="dxa"/>
          </w:tcPr>
          <w:p w14:paraId="0EAD4E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970</w:t>
            </w:r>
          </w:p>
        </w:tc>
        <w:tc>
          <w:tcPr>
            <w:tcW w:w="1601" w:type="dxa"/>
          </w:tcPr>
          <w:p w14:paraId="29A773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r>
      <w:tr w:rsidR="009B487A" w:rsidRPr="00722885" w14:paraId="612FFA41" w14:textId="77777777" w:rsidTr="00CC5360">
        <w:tc>
          <w:tcPr>
            <w:tcW w:w="1601" w:type="dxa"/>
          </w:tcPr>
          <w:p w14:paraId="191F0E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1601" w:type="dxa"/>
          </w:tcPr>
          <w:p w14:paraId="578F19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w:t>
            </w:r>
          </w:p>
        </w:tc>
        <w:tc>
          <w:tcPr>
            <w:tcW w:w="1601" w:type="dxa"/>
          </w:tcPr>
          <w:p w14:paraId="27E3DD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6BB8C0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865</w:t>
            </w:r>
          </w:p>
        </w:tc>
        <w:tc>
          <w:tcPr>
            <w:tcW w:w="1601" w:type="dxa"/>
          </w:tcPr>
          <w:p w14:paraId="29CDFA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840</w:t>
            </w:r>
          </w:p>
        </w:tc>
        <w:tc>
          <w:tcPr>
            <w:tcW w:w="1601" w:type="dxa"/>
          </w:tcPr>
          <w:p w14:paraId="5E014F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890</w:t>
            </w:r>
          </w:p>
        </w:tc>
        <w:tc>
          <w:tcPr>
            <w:tcW w:w="1601" w:type="dxa"/>
          </w:tcPr>
          <w:p w14:paraId="735D66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880</w:t>
            </w:r>
          </w:p>
        </w:tc>
      </w:tr>
      <w:tr w:rsidR="009B487A" w:rsidRPr="00722885" w14:paraId="7212670D" w14:textId="77777777" w:rsidTr="00CC5360">
        <w:tc>
          <w:tcPr>
            <w:tcW w:w="1601" w:type="dxa"/>
          </w:tcPr>
          <w:p w14:paraId="08A07D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4000</w:t>
            </w:r>
          </w:p>
        </w:tc>
        <w:tc>
          <w:tcPr>
            <w:tcW w:w="1601" w:type="dxa"/>
          </w:tcPr>
          <w:p w14:paraId="0FFCB6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392</w:t>
            </w:r>
          </w:p>
        </w:tc>
        <w:tc>
          <w:tcPr>
            <w:tcW w:w="1601" w:type="dxa"/>
          </w:tcPr>
          <w:p w14:paraId="6CE4D7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2231E1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765</w:t>
            </w:r>
          </w:p>
        </w:tc>
        <w:tc>
          <w:tcPr>
            <w:tcW w:w="1601" w:type="dxa"/>
          </w:tcPr>
          <w:p w14:paraId="6E9989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775</w:t>
            </w:r>
          </w:p>
        </w:tc>
        <w:tc>
          <w:tcPr>
            <w:tcW w:w="1601" w:type="dxa"/>
          </w:tcPr>
          <w:p w14:paraId="1334D0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785</w:t>
            </w:r>
          </w:p>
        </w:tc>
        <w:tc>
          <w:tcPr>
            <w:tcW w:w="1601" w:type="dxa"/>
          </w:tcPr>
          <w:p w14:paraId="6C28BE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765</w:t>
            </w:r>
          </w:p>
        </w:tc>
      </w:tr>
      <w:tr w:rsidR="009B487A" w:rsidRPr="00722885" w14:paraId="1FB88ED9" w14:textId="77777777" w:rsidTr="00CC5360">
        <w:tc>
          <w:tcPr>
            <w:tcW w:w="1601" w:type="dxa"/>
            <w:tcBorders>
              <w:bottom w:val="single" w:sz="12" w:space="0" w:color="auto"/>
            </w:tcBorders>
          </w:tcPr>
          <w:p w14:paraId="47085C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4500</w:t>
            </w:r>
          </w:p>
        </w:tc>
        <w:tc>
          <w:tcPr>
            <w:tcW w:w="1601" w:type="dxa"/>
            <w:tcBorders>
              <w:bottom w:val="single" w:sz="12" w:space="0" w:color="auto"/>
            </w:tcBorders>
          </w:tcPr>
          <w:p w14:paraId="26C321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386</w:t>
            </w:r>
          </w:p>
        </w:tc>
        <w:tc>
          <w:tcPr>
            <w:tcW w:w="1601" w:type="dxa"/>
            <w:tcBorders>
              <w:bottom w:val="single" w:sz="12" w:space="0" w:color="auto"/>
            </w:tcBorders>
          </w:tcPr>
          <w:p w14:paraId="26FA37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Borders>
              <w:bottom w:val="single" w:sz="12" w:space="0" w:color="auto"/>
            </w:tcBorders>
          </w:tcPr>
          <w:p w14:paraId="682E1E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710</w:t>
            </w:r>
          </w:p>
        </w:tc>
        <w:tc>
          <w:tcPr>
            <w:tcW w:w="1601" w:type="dxa"/>
            <w:tcBorders>
              <w:bottom w:val="single" w:sz="12" w:space="0" w:color="auto"/>
            </w:tcBorders>
          </w:tcPr>
          <w:p w14:paraId="4C4B77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c>
          <w:tcPr>
            <w:tcW w:w="1601" w:type="dxa"/>
            <w:tcBorders>
              <w:bottom w:val="single" w:sz="12" w:space="0" w:color="auto"/>
            </w:tcBorders>
          </w:tcPr>
          <w:p w14:paraId="063587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790</w:t>
            </w:r>
          </w:p>
        </w:tc>
        <w:tc>
          <w:tcPr>
            <w:tcW w:w="1601" w:type="dxa"/>
            <w:tcBorders>
              <w:bottom w:val="single" w:sz="12" w:space="0" w:color="auto"/>
            </w:tcBorders>
          </w:tcPr>
          <w:p w14:paraId="4E8A03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790</w:t>
            </w:r>
          </w:p>
        </w:tc>
      </w:tr>
    </w:tbl>
    <w:p w14:paraId="064CF0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гр. Высотности 2500 м - 410, на 2 гр. Высотности 5100 - 390</w:t>
      </w:r>
    </w:p>
    <w:p w14:paraId="50A9A3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Определение макс. скорости было затруднено ввиду высоких температур головок, что не позволяло выдерживать нормальные скоростные площадки с прикрытыми юбками моторов на 2-й ск. Нагнетателя. Поэтому полученные материалы не позволяют построить полный график макс. скорости, а только часть - для 1-й скорости нагнетателя.</w:t>
      </w:r>
    </w:p>
    <w:p w14:paraId="16FD3C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Сороподъемность: высокие температуры моторов не позволили провести непрерывный полет на скороподъемность. Даже при повышенной скорости набора до 240 км/час по прибору и сниженных оборотах до 2300 температура достигала предельных значений и выше. Поэтому график скороподъемности приводится только для сниженных оборотов до 2300 и соответственно меньшем наддуеве</w:t>
      </w:r>
    </w:p>
    <w:p w14:paraId="0C01E7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Вертикальные скорости с-та № 42072 с пол. Весом 28200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B487A" w:rsidRPr="00722885" w14:paraId="3656066D" w14:textId="77777777" w:rsidTr="00CC5360">
        <w:tc>
          <w:tcPr>
            <w:tcW w:w="1868" w:type="dxa"/>
            <w:tcBorders>
              <w:top w:val="single" w:sz="12" w:space="0" w:color="auto"/>
            </w:tcBorders>
          </w:tcPr>
          <w:p w14:paraId="4007A0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w:t>
            </w:r>
          </w:p>
        </w:tc>
        <w:tc>
          <w:tcPr>
            <w:tcW w:w="1868" w:type="dxa"/>
            <w:tcBorders>
              <w:top w:val="single" w:sz="12" w:space="0" w:color="auto"/>
            </w:tcBorders>
          </w:tcPr>
          <w:p w14:paraId="7F9F5C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w:t>
            </w:r>
          </w:p>
        </w:tc>
        <w:tc>
          <w:tcPr>
            <w:tcW w:w="1868" w:type="dxa"/>
            <w:tcBorders>
              <w:top w:val="single" w:sz="12" w:space="0" w:color="auto"/>
            </w:tcBorders>
          </w:tcPr>
          <w:p w14:paraId="1FB663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w:t>
            </w:r>
          </w:p>
        </w:tc>
        <w:tc>
          <w:tcPr>
            <w:tcW w:w="1868" w:type="dxa"/>
            <w:tcBorders>
              <w:top w:val="single" w:sz="12" w:space="0" w:color="auto"/>
            </w:tcBorders>
          </w:tcPr>
          <w:p w14:paraId="332479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w:t>
            </w:r>
          </w:p>
        </w:tc>
        <w:tc>
          <w:tcPr>
            <w:tcW w:w="1868" w:type="dxa"/>
            <w:tcBorders>
              <w:top w:val="single" w:sz="12" w:space="0" w:color="auto"/>
            </w:tcBorders>
          </w:tcPr>
          <w:p w14:paraId="194A8E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w:t>
            </w:r>
          </w:p>
        </w:tc>
        <w:tc>
          <w:tcPr>
            <w:tcW w:w="1868" w:type="dxa"/>
            <w:tcBorders>
              <w:top w:val="single" w:sz="12" w:space="0" w:color="auto"/>
            </w:tcBorders>
          </w:tcPr>
          <w:p w14:paraId="5C40A0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Давление</w:t>
            </w:r>
          </w:p>
        </w:tc>
      </w:tr>
      <w:tr w:rsidR="009B487A" w:rsidRPr="00722885" w14:paraId="720A8872" w14:textId="77777777" w:rsidTr="00CC5360">
        <w:tc>
          <w:tcPr>
            <w:tcW w:w="1868" w:type="dxa"/>
          </w:tcPr>
          <w:p w14:paraId="1D4165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Pr>
          <w:p w14:paraId="70D555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5,20</w:t>
            </w:r>
          </w:p>
        </w:tc>
        <w:tc>
          <w:tcPr>
            <w:tcW w:w="1868" w:type="dxa"/>
          </w:tcPr>
          <w:p w14:paraId="434D9E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Pr>
          <w:p w14:paraId="13C423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66A405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3D6F4D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930</w:t>
            </w:r>
          </w:p>
        </w:tc>
      </w:tr>
      <w:tr w:rsidR="009B487A" w:rsidRPr="00722885" w14:paraId="711A726F" w14:textId="77777777" w:rsidTr="00CC5360">
        <w:tc>
          <w:tcPr>
            <w:tcW w:w="1868" w:type="dxa"/>
          </w:tcPr>
          <w:p w14:paraId="19217E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868" w:type="dxa"/>
          </w:tcPr>
          <w:p w14:paraId="3510A5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5,50</w:t>
            </w:r>
          </w:p>
        </w:tc>
        <w:tc>
          <w:tcPr>
            <w:tcW w:w="1868" w:type="dxa"/>
          </w:tcPr>
          <w:p w14:paraId="5AB625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1868" w:type="dxa"/>
          </w:tcPr>
          <w:p w14:paraId="18D62D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6B91E3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56D2D3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930</w:t>
            </w:r>
          </w:p>
        </w:tc>
      </w:tr>
      <w:tr w:rsidR="009B487A" w:rsidRPr="00722885" w14:paraId="0634A3FF" w14:textId="77777777" w:rsidTr="00CC5360">
        <w:tc>
          <w:tcPr>
            <w:tcW w:w="1868" w:type="dxa"/>
          </w:tcPr>
          <w:p w14:paraId="1EA506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868" w:type="dxa"/>
          </w:tcPr>
          <w:p w14:paraId="3BE453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5,60</w:t>
            </w:r>
          </w:p>
        </w:tc>
        <w:tc>
          <w:tcPr>
            <w:tcW w:w="1868" w:type="dxa"/>
          </w:tcPr>
          <w:p w14:paraId="417611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w:t>
            </w:r>
          </w:p>
        </w:tc>
        <w:tc>
          <w:tcPr>
            <w:tcW w:w="1868" w:type="dxa"/>
          </w:tcPr>
          <w:p w14:paraId="6985B0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48D4A8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215CF5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835</w:t>
            </w:r>
          </w:p>
        </w:tc>
      </w:tr>
      <w:tr w:rsidR="009B487A" w:rsidRPr="00722885" w14:paraId="15A8177D" w14:textId="77777777" w:rsidTr="00CC5360">
        <w:tc>
          <w:tcPr>
            <w:tcW w:w="1868" w:type="dxa"/>
          </w:tcPr>
          <w:p w14:paraId="2C8419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1868" w:type="dxa"/>
          </w:tcPr>
          <w:p w14:paraId="62C674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4,55</w:t>
            </w:r>
          </w:p>
        </w:tc>
        <w:tc>
          <w:tcPr>
            <w:tcW w:w="1868" w:type="dxa"/>
          </w:tcPr>
          <w:p w14:paraId="72801D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1868" w:type="dxa"/>
          </w:tcPr>
          <w:p w14:paraId="37EE53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4D0CD5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0063F4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r>
      <w:tr w:rsidR="009B487A" w:rsidRPr="00722885" w14:paraId="7F30ECBB" w14:textId="77777777" w:rsidTr="00CC5360">
        <w:tc>
          <w:tcPr>
            <w:tcW w:w="1868" w:type="dxa"/>
          </w:tcPr>
          <w:p w14:paraId="6C99DE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4000</w:t>
            </w:r>
          </w:p>
        </w:tc>
        <w:tc>
          <w:tcPr>
            <w:tcW w:w="1868" w:type="dxa"/>
          </w:tcPr>
          <w:p w14:paraId="65F3A6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3,65</w:t>
            </w:r>
          </w:p>
        </w:tc>
        <w:tc>
          <w:tcPr>
            <w:tcW w:w="1868" w:type="dxa"/>
          </w:tcPr>
          <w:p w14:paraId="4F3BC2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14,0</w:t>
            </w:r>
          </w:p>
        </w:tc>
        <w:tc>
          <w:tcPr>
            <w:tcW w:w="1868" w:type="dxa"/>
          </w:tcPr>
          <w:p w14:paraId="42A094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257CCF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40224E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r>
      <w:tr w:rsidR="009B487A" w:rsidRPr="00722885" w14:paraId="626E0EDE" w14:textId="77777777" w:rsidTr="00CC5360">
        <w:tc>
          <w:tcPr>
            <w:tcW w:w="1868" w:type="dxa"/>
          </w:tcPr>
          <w:p w14:paraId="12F6B0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w:t>
            </w:r>
          </w:p>
        </w:tc>
        <w:tc>
          <w:tcPr>
            <w:tcW w:w="1868" w:type="dxa"/>
          </w:tcPr>
          <w:p w14:paraId="1CD949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w:t>
            </w:r>
          </w:p>
        </w:tc>
        <w:tc>
          <w:tcPr>
            <w:tcW w:w="1868" w:type="dxa"/>
          </w:tcPr>
          <w:p w14:paraId="56D989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7269F2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w:t>
            </w:r>
          </w:p>
        </w:tc>
        <w:tc>
          <w:tcPr>
            <w:tcW w:w="1868" w:type="dxa"/>
          </w:tcPr>
          <w:p w14:paraId="657620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7FBF21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B30F34B" w14:textId="77777777" w:rsidTr="00CC5360">
        <w:tc>
          <w:tcPr>
            <w:tcW w:w="1868" w:type="dxa"/>
          </w:tcPr>
          <w:p w14:paraId="333D50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6000</w:t>
            </w:r>
          </w:p>
        </w:tc>
        <w:tc>
          <w:tcPr>
            <w:tcW w:w="1868" w:type="dxa"/>
          </w:tcPr>
          <w:p w14:paraId="5257BF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w:t>
            </w:r>
          </w:p>
        </w:tc>
        <w:tc>
          <w:tcPr>
            <w:tcW w:w="1868" w:type="dxa"/>
          </w:tcPr>
          <w:p w14:paraId="0B6B3A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24,5</w:t>
            </w:r>
          </w:p>
        </w:tc>
        <w:tc>
          <w:tcPr>
            <w:tcW w:w="1868" w:type="dxa"/>
          </w:tcPr>
          <w:p w14:paraId="2BAEF7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724A23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2152A9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810</w:t>
            </w:r>
          </w:p>
        </w:tc>
      </w:tr>
      <w:tr w:rsidR="009B487A" w:rsidRPr="00722885" w14:paraId="37CE1E4F" w14:textId="77777777" w:rsidTr="00CC5360">
        <w:tc>
          <w:tcPr>
            <w:tcW w:w="1868" w:type="dxa"/>
          </w:tcPr>
          <w:p w14:paraId="1FF27D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7000</w:t>
            </w:r>
          </w:p>
        </w:tc>
        <w:tc>
          <w:tcPr>
            <w:tcW w:w="1868" w:type="dxa"/>
          </w:tcPr>
          <w:p w14:paraId="34B92E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w:t>
            </w:r>
          </w:p>
        </w:tc>
        <w:tc>
          <w:tcPr>
            <w:tcW w:w="1868" w:type="dxa"/>
          </w:tcPr>
          <w:p w14:paraId="3F2C12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w:t>
            </w:r>
          </w:p>
        </w:tc>
        <w:tc>
          <w:tcPr>
            <w:tcW w:w="1868" w:type="dxa"/>
          </w:tcPr>
          <w:p w14:paraId="18CF19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w:t>
            </w:r>
          </w:p>
        </w:tc>
        <w:tc>
          <w:tcPr>
            <w:tcW w:w="1868" w:type="dxa"/>
          </w:tcPr>
          <w:p w14:paraId="5C23BB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61D15C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2BADB14" w14:textId="77777777" w:rsidTr="00CC5360">
        <w:tc>
          <w:tcPr>
            <w:tcW w:w="1868" w:type="dxa"/>
          </w:tcPr>
          <w:p w14:paraId="796D82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8000</w:t>
            </w:r>
          </w:p>
        </w:tc>
        <w:tc>
          <w:tcPr>
            <w:tcW w:w="1868" w:type="dxa"/>
          </w:tcPr>
          <w:p w14:paraId="793860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w:t>
            </w:r>
          </w:p>
        </w:tc>
        <w:tc>
          <w:tcPr>
            <w:tcW w:w="1868" w:type="dxa"/>
          </w:tcPr>
          <w:p w14:paraId="02CF9A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w:t>
            </w:r>
          </w:p>
        </w:tc>
        <w:tc>
          <w:tcPr>
            <w:tcW w:w="1868" w:type="dxa"/>
          </w:tcPr>
          <w:p w14:paraId="715FA6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w:t>
            </w:r>
          </w:p>
        </w:tc>
        <w:tc>
          <w:tcPr>
            <w:tcW w:w="1868" w:type="dxa"/>
          </w:tcPr>
          <w:p w14:paraId="7D80D3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522EA6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D582E7C" w14:textId="77777777" w:rsidTr="00CC5360">
        <w:tc>
          <w:tcPr>
            <w:tcW w:w="1868" w:type="dxa"/>
            <w:tcBorders>
              <w:bottom w:val="single" w:sz="12" w:space="0" w:color="auto"/>
            </w:tcBorders>
          </w:tcPr>
          <w:p w14:paraId="35738C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9000</w:t>
            </w:r>
          </w:p>
        </w:tc>
        <w:tc>
          <w:tcPr>
            <w:tcW w:w="1868" w:type="dxa"/>
            <w:tcBorders>
              <w:bottom w:val="single" w:sz="12" w:space="0" w:color="auto"/>
            </w:tcBorders>
          </w:tcPr>
          <w:p w14:paraId="2CEB46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Borders>
              <w:bottom w:val="single" w:sz="12" w:space="0" w:color="auto"/>
            </w:tcBorders>
          </w:tcPr>
          <w:p w14:paraId="58F27D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Borders>
              <w:bottom w:val="single" w:sz="12" w:space="0" w:color="auto"/>
            </w:tcBorders>
          </w:tcPr>
          <w:p w14:paraId="69C98F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Borders>
              <w:bottom w:val="single" w:sz="12" w:space="0" w:color="auto"/>
            </w:tcBorders>
          </w:tcPr>
          <w:p w14:paraId="748A8D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Borders>
              <w:bottom w:val="single" w:sz="12" w:space="0" w:color="auto"/>
            </w:tcBorders>
          </w:tcPr>
          <w:p w14:paraId="0256F7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bl>
    <w:p w14:paraId="1AFC3B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гр. Высотности - 1850 м, скор. 5,7, 2-я гр. Высотности - 5500, скор. 3,15</w:t>
      </w:r>
    </w:p>
    <w:p w14:paraId="599279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Переключение скорости нагнетателя - 3650 м, скор. 3,75</w:t>
      </w:r>
    </w:p>
    <w:p w14:paraId="63498E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моторов: в процессе испытаний имел место ряд систематических дефектов моторов, которые в значит. Степени затрудняли производство испытаний. Основные из них:</w:t>
      </w:r>
    </w:p>
    <w:p w14:paraId="17F976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недостаток высотности моторов, несоответствие ТТТ</w:t>
      </w:r>
    </w:p>
    <w:p w14:paraId="584C35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неодинаковость регулировки и нестабильность работы карбюратора АК-82БП</w:t>
      </w:r>
    </w:p>
    <w:p w14:paraId="7EAF51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Выброс масла из суфлеров на высоте выше 4000 м</w:t>
      </w:r>
    </w:p>
    <w:p w14:paraId="26DEBE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запуск мотора при температуре ниже +10 чрезвычайно затруднен</w:t>
      </w:r>
    </w:p>
    <w:p w14:paraId="4A300F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малый газ чрезвычайно недостаточен и требует систематического подрегулированя</w:t>
      </w:r>
    </w:p>
    <w:p w14:paraId="30DF52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недопустимые течи масла из под прокладок различных соединений и особенно из под кожухов тяг</w:t>
      </w:r>
    </w:p>
    <w:p w14:paraId="026853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775027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Установка моторов М-82 на с-те Пе-8 вместо АМ-35А:</w:t>
      </w:r>
    </w:p>
    <w:p w14:paraId="591AA9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улучшает взлетные качества, сокращает длину разбега на 20%</w:t>
      </w:r>
    </w:p>
    <w:p w14:paraId="6EF19B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увеличивает дальность полета по боевому профилю до 4400 км при бомбовой нагрузке 3000 кг, из которых на наружной подвеске - 2х500</w:t>
      </w:r>
    </w:p>
    <w:p w14:paraId="45E3AE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повышает живучесть за счет отсутствия радиаторов</w:t>
      </w:r>
    </w:p>
    <w:p w14:paraId="4AAAA7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уменьшает макс. скорость на высотах от 4000 м и выше на 10 км/час и снижает потолок на 1000 м за счет недоработанности моторов М-82 по высотности и неудовлетворительной работы карбюратора</w:t>
      </w:r>
    </w:p>
    <w:p w14:paraId="0FDEAC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2...Рекомендовать установку М-82 на серийные с-ты Пе-8</w:t>
      </w:r>
    </w:p>
    <w:p w14:paraId="6C81D1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Заводам № 19 и 33 устранить указанные выше дефекты М-82 и АК-82БП</w:t>
      </w:r>
    </w:p>
    <w:p w14:paraId="4B4007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заводу № 22 устранить дефекты, указанные выше, после чего передать один самолет в АДД к 15 ноября 1942 с.г. для опытной эксплоатации, в процессе которой НИИ ВВС совместно с АДД снять летные характеристики с-та (994,4).</w:t>
      </w:r>
    </w:p>
    <w:p w14:paraId="7260015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81F74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ноября 1942 г. форсированный по мощности М-105ПФ за счет увеличения наддува до 1175 мм рт.ст. успешно прошел 100-часовые государственные испытания, которые шли с 27 октября. Взлетная мощность возросла с 1210 до 1350 л.с., а номинальная мощность на расчетной высоте с 1260 до 1350 л.с. Пик мощности мотора приходился на диапазон высот, на которых в основном велись воздушные бои, Архив ОКБ что сулило значительное улучшение летных данных серийных самолетов. У М-105ПФ в том же диапазоне высот был "провал" мощности из-за переключения скоростей нагнетателя. Поэтому сразу же опытный мотор М-106П был установлен на Як-1 № 5085 для проведения испытаний. Летный эксперимент был поставлен чисто. Этот самолет испытывался до этого дважды: первый раз после выпуска в августе, и второй раз - в октябре 1942 г. после улучшения аэродинамики, обзора и вооружения как на серийных Як-1б. В результате испытаний были получены максимальные скорости горизонтального полета, приведенные в таблице.</w:t>
      </w:r>
    </w:p>
    <w:p w14:paraId="19C7A7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Максимальные скорости горизонтального полета, км/ч, Як-1 № 5085 с моторами М-106П и М-105ПФ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9B487A" w:rsidRPr="00722885" w14:paraId="0FAC7EE9" w14:textId="77777777" w:rsidTr="00CC5360">
        <w:tc>
          <w:tcPr>
            <w:tcW w:w="1401" w:type="dxa"/>
            <w:tcBorders>
              <w:top w:val="single" w:sz="12" w:space="0" w:color="auto"/>
            </w:tcBorders>
          </w:tcPr>
          <w:p w14:paraId="1B638F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w:t>
            </w:r>
          </w:p>
        </w:tc>
        <w:tc>
          <w:tcPr>
            <w:tcW w:w="1401" w:type="dxa"/>
            <w:tcBorders>
              <w:top w:val="single" w:sz="12" w:space="0" w:color="auto"/>
            </w:tcBorders>
          </w:tcPr>
          <w:p w14:paraId="5589E9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полета, м</w:t>
            </w:r>
          </w:p>
        </w:tc>
        <w:tc>
          <w:tcPr>
            <w:tcW w:w="1401" w:type="dxa"/>
            <w:tcBorders>
              <w:top w:val="single" w:sz="12" w:space="0" w:color="auto"/>
            </w:tcBorders>
          </w:tcPr>
          <w:p w14:paraId="26DE472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85BE0D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7CE14EA"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7805294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790E561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608EE5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03130F0D" w14:textId="77777777" w:rsidTr="00CC5360">
        <w:tc>
          <w:tcPr>
            <w:tcW w:w="1401" w:type="dxa"/>
          </w:tcPr>
          <w:p w14:paraId="678D7B6C"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Pr>
          <w:p w14:paraId="39C4C2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401" w:type="dxa"/>
          </w:tcPr>
          <w:p w14:paraId="4C6EB0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401" w:type="dxa"/>
          </w:tcPr>
          <w:p w14:paraId="4D6AD7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401" w:type="dxa"/>
          </w:tcPr>
          <w:p w14:paraId="16D128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1401" w:type="dxa"/>
          </w:tcPr>
          <w:p w14:paraId="7115B1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3750</w:t>
            </w:r>
          </w:p>
        </w:tc>
        <w:tc>
          <w:tcPr>
            <w:tcW w:w="1401" w:type="dxa"/>
          </w:tcPr>
          <w:p w14:paraId="684B6F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4000</w:t>
            </w:r>
          </w:p>
        </w:tc>
        <w:tc>
          <w:tcPr>
            <w:tcW w:w="1401" w:type="dxa"/>
          </w:tcPr>
          <w:p w14:paraId="30FA08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w:t>
            </w:r>
          </w:p>
        </w:tc>
      </w:tr>
      <w:tr w:rsidR="009B487A" w:rsidRPr="00722885" w14:paraId="722660F3" w14:textId="77777777" w:rsidTr="00CC5360">
        <w:tc>
          <w:tcPr>
            <w:tcW w:w="1401" w:type="dxa"/>
          </w:tcPr>
          <w:p w14:paraId="0D3507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М-106П</w:t>
            </w:r>
          </w:p>
        </w:tc>
        <w:tc>
          <w:tcPr>
            <w:tcW w:w="1401" w:type="dxa"/>
          </w:tcPr>
          <w:p w14:paraId="4673E9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534</w:t>
            </w:r>
          </w:p>
        </w:tc>
        <w:tc>
          <w:tcPr>
            <w:tcW w:w="1401" w:type="dxa"/>
          </w:tcPr>
          <w:p w14:paraId="67D049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555</w:t>
            </w:r>
          </w:p>
        </w:tc>
        <w:tc>
          <w:tcPr>
            <w:tcW w:w="1401" w:type="dxa"/>
          </w:tcPr>
          <w:p w14:paraId="3CA05E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575</w:t>
            </w:r>
          </w:p>
        </w:tc>
        <w:tc>
          <w:tcPr>
            <w:tcW w:w="1401" w:type="dxa"/>
          </w:tcPr>
          <w:p w14:paraId="6F53A5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596</w:t>
            </w:r>
          </w:p>
        </w:tc>
        <w:tc>
          <w:tcPr>
            <w:tcW w:w="1401" w:type="dxa"/>
          </w:tcPr>
          <w:p w14:paraId="76F6D1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610</w:t>
            </w:r>
          </w:p>
        </w:tc>
        <w:tc>
          <w:tcPr>
            <w:tcW w:w="1401" w:type="dxa"/>
          </w:tcPr>
          <w:p w14:paraId="75D4D7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606</w:t>
            </w:r>
          </w:p>
        </w:tc>
        <w:tc>
          <w:tcPr>
            <w:tcW w:w="1401" w:type="dxa"/>
          </w:tcPr>
          <w:p w14:paraId="0159EE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589</w:t>
            </w:r>
          </w:p>
        </w:tc>
      </w:tr>
      <w:tr w:rsidR="009B487A" w:rsidRPr="00722885" w14:paraId="1CCF5566" w14:textId="77777777" w:rsidTr="00CC5360">
        <w:tc>
          <w:tcPr>
            <w:tcW w:w="1401" w:type="dxa"/>
            <w:tcBorders>
              <w:bottom w:val="single" w:sz="12" w:space="0" w:color="auto"/>
            </w:tcBorders>
          </w:tcPr>
          <w:p w14:paraId="45623F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М-105ПФ</w:t>
            </w:r>
          </w:p>
        </w:tc>
        <w:tc>
          <w:tcPr>
            <w:tcW w:w="1401" w:type="dxa"/>
            <w:tcBorders>
              <w:bottom w:val="single" w:sz="12" w:space="0" w:color="auto"/>
            </w:tcBorders>
          </w:tcPr>
          <w:p w14:paraId="651861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523</w:t>
            </w:r>
          </w:p>
        </w:tc>
        <w:tc>
          <w:tcPr>
            <w:tcW w:w="1401" w:type="dxa"/>
            <w:tcBorders>
              <w:bottom w:val="single" w:sz="12" w:space="0" w:color="auto"/>
            </w:tcBorders>
          </w:tcPr>
          <w:p w14:paraId="736839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546</w:t>
            </w:r>
          </w:p>
        </w:tc>
        <w:tc>
          <w:tcPr>
            <w:tcW w:w="1401" w:type="dxa"/>
            <w:tcBorders>
              <w:bottom w:val="single" w:sz="12" w:space="0" w:color="auto"/>
            </w:tcBorders>
          </w:tcPr>
          <w:p w14:paraId="00698C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568</w:t>
            </w:r>
          </w:p>
        </w:tc>
        <w:tc>
          <w:tcPr>
            <w:tcW w:w="1401" w:type="dxa"/>
            <w:tcBorders>
              <w:bottom w:val="single" w:sz="12" w:space="0" w:color="auto"/>
            </w:tcBorders>
          </w:tcPr>
          <w:p w14:paraId="6C3221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571</w:t>
            </w:r>
          </w:p>
        </w:tc>
        <w:tc>
          <w:tcPr>
            <w:tcW w:w="1401" w:type="dxa"/>
            <w:tcBorders>
              <w:bottom w:val="single" w:sz="12" w:space="0" w:color="auto"/>
            </w:tcBorders>
          </w:tcPr>
          <w:p w14:paraId="5A4DAE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590</w:t>
            </w:r>
          </w:p>
        </w:tc>
        <w:tc>
          <w:tcPr>
            <w:tcW w:w="1401" w:type="dxa"/>
            <w:tcBorders>
              <w:bottom w:val="single" w:sz="12" w:space="0" w:color="auto"/>
            </w:tcBorders>
          </w:tcPr>
          <w:p w14:paraId="713B1E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592</w:t>
            </w:r>
          </w:p>
        </w:tc>
        <w:tc>
          <w:tcPr>
            <w:tcW w:w="1401" w:type="dxa"/>
            <w:tcBorders>
              <w:bottom w:val="single" w:sz="12" w:space="0" w:color="auto"/>
            </w:tcBorders>
          </w:tcPr>
          <w:p w14:paraId="040DB4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579</w:t>
            </w:r>
          </w:p>
        </w:tc>
      </w:tr>
    </w:tbl>
    <w:p w14:paraId="590BEC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Время набора высоты 5000 м с новым мотором сократилось с 6,25 до 5,6 мин. Вместе с тем было установлено, что существующие водо- и маслорадиаторы не обеспечивают нормального охлаждения мотора на режиме максимальной скороподъемности при температурах наружного воздуха более +15° С.</w:t>
      </w:r>
    </w:p>
    <w:p w14:paraId="397A82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аналогичными результатами закончились 10 января 1943 г. заводские испытания серийного Як-1 № 01111 с серийным мотором М-106-ICK (первые серийные моторы М-106П, получившие новое обозначение, были выпущены 8 ноября 1942 г.). На испытаниях были достигнуты максимальные скорости горизонтального полета у земли - 535 и на высоте 3400 м - 606 км/ч. Высоту 5000 м самолет набрал за 5,1 мин. Испытания подтвердили необходимость увеличения на 12-15 % (для обеспечения нормального температурного режима мотора) эффективности существующих охлаждающих устройств. Отмечалась также тряска мотора на переходных режимах (1800-2200 об/мин), детонация и повышенный расход топлива, дымление на всех режимах работы (12048).</w:t>
      </w:r>
    </w:p>
    <w:p w14:paraId="2BE734E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8F3A7CD"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ноября 1942 года.</w:t>
      </w:r>
    </w:p>
    <w:p w14:paraId="0679086B"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ВЫВОДЫ К ОТЧЕТУ ПО КОМАНДИРОВКЕ В 49 ГИАП ВЕДУЩЕГО ИНЖЕНЕРА ОКБ ЗАВОДА № 21 ПИТЕРИНА П.Г.</w:t>
      </w:r>
    </w:p>
    <w:p w14:paraId="6C449309"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За 18 дней боевых действий 49 ГИАП уничтожено 20 и подбито 10 фашистских самолетов, из них:</w:t>
      </w:r>
    </w:p>
    <w:p w14:paraId="1DC9B9E1"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сбито:</w:t>
      </w:r>
      <w:r w:rsidRPr="00722885">
        <w:rPr>
          <w:rFonts w:ascii="Times New Roman" w:hAnsi="Times New Roman"/>
          <w:color w:val="0070C0"/>
          <w:sz w:val="16"/>
          <w:szCs w:val="16"/>
        </w:rPr>
        <w:tab/>
        <w:t>подбито:</w:t>
      </w:r>
    </w:p>
    <w:p w14:paraId="5EECBF15"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w:t>
      </w:r>
    </w:p>
    <w:p w14:paraId="3B6B7A5F"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Me-109</w:t>
      </w:r>
    </w:p>
    <w:p w14:paraId="25425E03"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Ме-110</w:t>
      </w:r>
    </w:p>
    <w:p w14:paraId="7E1D6836"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Ю-88</w:t>
      </w:r>
    </w:p>
    <w:p w14:paraId="4933D8A0"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Ю-87</w:t>
      </w:r>
    </w:p>
    <w:p w14:paraId="650A5973"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Фокке-Вульф -</w:t>
      </w:r>
      <w:r w:rsidRPr="00722885">
        <w:rPr>
          <w:rFonts w:ascii="Times New Roman" w:hAnsi="Times New Roman"/>
          <w:color w:val="0070C0"/>
          <w:sz w:val="16"/>
          <w:szCs w:val="16"/>
        </w:rPr>
        <w:tab/>
        <w:t>1</w:t>
      </w:r>
    </w:p>
    <w:p w14:paraId="59167D1F"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Наши потери: сбитых - 8, подбитых - 5, из них 2 восстановлено.</w:t>
      </w:r>
    </w:p>
    <w:p w14:paraId="4ECB0120"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Потери летного состава: убитых - 6, раненых - 6.</w:t>
      </w:r>
    </w:p>
    <w:p w14:paraId="5CF713EC"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Руководящий и летный состав 49 ГИАП дает следующую оценку качеств самолету ЛаГГ-5:</w:t>
      </w:r>
    </w:p>
    <w:p w14:paraId="0DC422C6"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горизонтальная скорость самолета ЛаГГ-5 на всех высотах не  уступает горизонтальной скорости самолета Ме-109ф, а при использовании форсажа превосходит максимальную скорость Ме-109ф;</w:t>
      </w:r>
    </w:p>
    <w:p w14:paraId="3876B7D5"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на виражах ЛаГГ-5 легко заходит в хвост самолету Ме-109ф;</w:t>
      </w:r>
    </w:p>
    <w:p w14:paraId="3D773F2B"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вертикальная скорость самолета ЛаГГ-5 больше, чем вертикальная скорость у самолета Ме-109ф, но ЛаГГ-5 в силу своей инертности (машина тяжела), требует большего времени на разгон для получения максимальной вертикальной скорости, особенно на выводе из виража на вертикаль;</w:t>
      </w:r>
    </w:p>
    <w:p w14:paraId="22BF37D4"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при пикировании скорости самолета ЛаГ-5 и Ме-109ф равны;</w:t>
      </w:r>
    </w:p>
    <w:p w14:paraId="1CCD8660"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на высоте 4000 м и ниже самолет ЛаГГ-5 имеет несравненные преимущества перед Ме-109ф во всех отношениях;</w:t>
      </w:r>
    </w:p>
    <w:p w14:paraId="13A8D9DC"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управление рулем глубины и элеронами самолета ЛаГГ-5 легкое, что касается ножного управления (рулем поворота), то оно не соответствует по легкости ручному, а значительно тяжелее;</w:t>
      </w:r>
    </w:p>
    <w:p w14:paraId="4FBA7D40"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самолет устойчив, при резких выводах из фигур и сваливании в штопор. Самолет прост в управлении и при посадке;</w:t>
      </w:r>
    </w:p>
    <w:p w14:paraId="4063E029"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оружие самолета мощное и работает безотказно;</w:t>
      </w:r>
    </w:p>
    <w:p w14:paraId="529B4B8D"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самолет прочен, живуч и не горит.</w:t>
      </w:r>
    </w:p>
    <w:p w14:paraId="2AAE4514"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Руководящий и летный состав очень доволен самолетом ЛаГГ-5 и заявляет, что машина хорошая, воевать на такой машине можно с большим успехом.</w:t>
      </w:r>
    </w:p>
    <w:p w14:paraId="7A9CD678"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Требования летного состава:</w:t>
      </w:r>
    </w:p>
    <w:p w14:paraId="6DDCC15D"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облегчить машину. Уменьшить вес ее минимум на 100-150 кг;</w:t>
      </w:r>
    </w:p>
    <w:p w14:paraId="48F2EBB8"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облегчить ножное управление;</w:t>
      </w:r>
    </w:p>
    <w:p w14:paraId="2A49D114"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сделать легко открывающийся фонарь кабины и устранить искажение обзора фонарем и козырьком;</w:t>
      </w:r>
    </w:p>
    <w:p w14:paraId="6CE6C0EF"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улучить задний обзор;</w:t>
      </w:r>
    </w:p>
    <w:p w14:paraId="6B847467"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5) сделать надголовную часть бронеспинки;</w:t>
      </w:r>
    </w:p>
    <w:p w14:paraId="53727CB1"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6) поставить бронестекло у козырька;</w:t>
      </w:r>
    </w:p>
    <w:p w14:paraId="6A267414"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улучшить вентиляцию кабины или изолировать кабину от проникновения горячего воздуха от мотора;</w:t>
      </w:r>
    </w:p>
    <w:p w14:paraId="6040250A"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Предложения летного состава:</w:t>
      </w:r>
    </w:p>
    <w:p w14:paraId="17D9E18D"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снять протектор с консольных бензобаков;</w:t>
      </w:r>
    </w:p>
    <w:p w14:paraId="1CAEADCD"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 вместо двух пушек установить пушку и один БС;</w:t>
      </w:r>
    </w:p>
    <w:p w14:paraId="744E4133"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убрать из кабины механическую перезарядку пушек.</w:t>
      </w:r>
    </w:p>
    <w:p w14:paraId="7928366A"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ноября 1942 года.</w:t>
      </w:r>
    </w:p>
    <w:p w14:paraId="16BC6823"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ЦАНО. Ф. 2066. Оп. 6. Д. 796. Л. 38-40.</w:t>
      </w:r>
    </w:p>
    <w:p w14:paraId="54F3C248"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Подлинник. Машинопись (20933).</w:t>
      </w:r>
    </w:p>
    <w:p w14:paraId="26712D82" w14:textId="77777777" w:rsidR="007610D8" w:rsidRPr="00722885" w:rsidRDefault="007610D8" w:rsidP="00722885">
      <w:pPr>
        <w:spacing w:after="0" w:line="240" w:lineRule="auto"/>
        <w:jc w:val="both"/>
        <w:rPr>
          <w:rFonts w:ascii="Times New Roman" w:hAnsi="Times New Roman"/>
          <w:color w:val="0070C0"/>
          <w:sz w:val="16"/>
          <w:szCs w:val="16"/>
        </w:rPr>
      </w:pPr>
    </w:p>
    <w:p w14:paraId="5FE5279B"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9 ноября 1942 в испытательном полете из-за зависания бомб ПТАБ-1,5 в кассетах мелких бомб Ил-2 произошло самопроиз</w:t>
      </w:r>
      <w:r w:rsidRPr="00722885">
        <w:rPr>
          <w:rFonts w:ascii="Times New Roman" w:cs="Times New Roman"/>
          <w:color w:val="000000" w:themeColor="text1"/>
          <w:spacing w:val="0"/>
        </w:rPr>
        <w:softHyphen/>
        <w:t>вольное сбрасывание последних недалеко от аэродрома в районе временного бомбосклада. По счастью, обошлось. Бомбы упали на окраине склада, не при</w:t>
      </w:r>
      <w:r w:rsidRPr="00722885">
        <w:rPr>
          <w:rFonts w:ascii="Times New Roman" w:cs="Times New Roman"/>
          <w:color w:val="000000" w:themeColor="text1"/>
          <w:spacing w:val="0"/>
        </w:rPr>
        <w:softHyphen/>
        <w:t>чинив никакого ущерба.</w:t>
      </w:r>
    </w:p>
    <w:p w14:paraId="752D4D28"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заданию майор Звонарев должен был вы</w:t>
      </w:r>
      <w:r w:rsidRPr="00722885">
        <w:rPr>
          <w:rFonts w:ascii="Times New Roman" w:cs="Times New Roman"/>
          <w:color w:val="000000" w:themeColor="text1"/>
          <w:spacing w:val="0"/>
        </w:rPr>
        <w:softHyphen/>
        <w:t>полнить бомбометание по трофейным танкам, со</w:t>
      </w:r>
      <w:r w:rsidRPr="00722885">
        <w:rPr>
          <w:rFonts w:ascii="Times New Roman" w:cs="Times New Roman"/>
          <w:color w:val="000000" w:themeColor="text1"/>
          <w:spacing w:val="0"/>
        </w:rPr>
        <w:softHyphen/>
        <w:t>ставлявшим мишенную обстановку. В самолет за</w:t>
      </w:r>
      <w:r w:rsidRPr="00722885">
        <w:rPr>
          <w:rFonts w:ascii="Times New Roman" w:cs="Times New Roman"/>
          <w:color w:val="000000" w:themeColor="text1"/>
          <w:spacing w:val="0"/>
        </w:rPr>
        <w:softHyphen/>
        <w:t>грузили две кассеты по 28 бомб в каждой. При первом заходе были сбро</w:t>
      </w:r>
      <w:r w:rsidRPr="00722885">
        <w:rPr>
          <w:rFonts w:ascii="Times New Roman" w:cs="Times New Roman"/>
          <w:color w:val="000000" w:themeColor="text1"/>
          <w:spacing w:val="0"/>
        </w:rPr>
        <w:softHyphen/>
        <w:t>шены бомбы из одной кас</w:t>
      </w:r>
      <w:r w:rsidRPr="00722885">
        <w:rPr>
          <w:rFonts w:ascii="Times New Roman" w:cs="Times New Roman"/>
          <w:color w:val="000000" w:themeColor="text1"/>
          <w:spacing w:val="0"/>
        </w:rPr>
        <w:softHyphen/>
        <w:t>сеты: «Бомбы высыпались нормально». Поскольку на правом развороте летчи</w:t>
      </w:r>
      <w:r w:rsidRPr="00722885">
        <w:rPr>
          <w:rFonts w:ascii="Times New Roman" w:cs="Times New Roman"/>
          <w:color w:val="000000" w:themeColor="text1"/>
          <w:spacing w:val="0"/>
        </w:rPr>
        <w:softHyphen/>
        <w:t>ку было трудно наблюдать результаты падения бомб и цель - «солнце и дым от упавших бомб», то майор Звонарев в нарушение На</w:t>
      </w:r>
      <w:r w:rsidRPr="00722885">
        <w:rPr>
          <w:rFonts w:ascii="Times New Roman" w:cs="Times New Roman"/>
          <w:color w:val="000000" w:themeColor="text1"/>
          <w:spacing w:val="0"/>
        </w:rPr>
        <w:softHyphen/>
        <w:t>ставления по полигонной службе решил второй заход выполнить с левого разво</w:t>
      </w:r>
      <w:r w:rsidRPr="00722885">
        <w:rPr>
          <w:rFonts w:ascii="Times New Roman" w:cs="Times New Roman"/>
          <w:color w:val="000000" w:themeColor="text1"/>
          <w:spacing w:val="0"/>
        </w:rPr>
        <w:softHyphen/>
        <w:t>рота. Дело в том, что в этом случае самолет «в конце боевого курса вы</w:t>
      </w:r>
      <w:r w:rsidRPr="00722885">
        <w:rPr>
          <w:rFonts w:ascii="Times New Roman" w:cs="Times New Roman"/>
          <w:color w:val="000000" w:themeColor="text1"/>
          <w:spacing w:val="0"/>
        </w:rPr>
        <w:softHyphen/>
        <w:t>ходил к окраинам бомбосклада». При откры</w:t>
      </w:r>
      <w:r w:rsidRPr="00722885">
        <w:rPr>
          <w:rFonts w:ascii="Times New Roman" w:cs="Times New Roman"/>
          <w:color w:val="000000" w:themeColor="text1"/>
          <w:spacing w:val="0"/>
        </w:rPr>
        <w:softHyphen/>
        <w:t>тии второй кассеты 14 бомб упали на цель, а 14 зависли в кассете. Подойдя к границе склада, Звонарев сделал энергичный раз</w:t>
      </w:r>
      <w:r w:rsidRPr="00722885">
        <w:rPr>
          <w:rFonts w:ascii="Times New Roman" w:cs="Times New Roman"/>
          <w:color w:val="000000" w:themeColor="text1"/>
          <w:spacing w:val="0"/>
        </w:rPr>
        <w:softHyphen/>
        <w:t>ворот «и в это время из кассеты высыпались остальные 14 бомб». При осмотре места падения бомб «найдено 13 сработавших и один отказ».</w:t>
      </w:r>
    </w:p>
    <w:p w14:paraId="65F5EE4A"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Как следует из документов, испыта</w:t>
      </w:r>
      <w:r w:rsidRPr="00722885">
        <w:rPr>
          <w:rFonts w:ascii="Times New Roman" w:cs="Times New Roman"/>
          <w:color w:val="000000" w:themeColor="text1"/>
          <w:spacing w:val="0"/>
        </w:rPr>
        <w:softHyphen/>
        <w:t>ния бомб ПТАБ-2,5 конструкции ГСКБ-47 вместо майора Звонарева и капитана Девятникова проводили капитан Кусакин и старший лейтенант Евсеев. Впрочем, сме</w:t>
      </w:r>
      <w:r w:rsidRPr="00722885">
        <w:rPr>
          <w:rFonts w:ascii="Times New Roman" w:cs="Times New Roman"/>
          <w:color w:val="000000" w:themeColor="text1"/>
          <w:spacing w:val="0"/>
        </w:rPr>
        <w:softHyphen/>
        <w:t>на исполнителей не повлияла на оконча</w:t>
      </w:r>
      <w:r w:rsidRPr="00722885">
        <w:rPr>
          <w:rFonts w:ascii="Times New Roman" w:cs="Times New Roman"/>
          <w:color w:val="000000" w:themeColor="text1"/>
          <w:spacing w:val="0"/>
        </w:rPr>
        <w:softHyphen/>
        <w:t>тельный результат - также как ПТАБ-1,5, бомба ПТАБ-2,5 испытаний не выдержала. Основные нарекания к бомбе сводились к ее недостаточной устойчивости в полете на траектории падения при сбросе с самолета Ил-2 и частые отказы в действии.</w:t>
      </w:r>
    </w:p>
    <w:p w14:paraId="26C38957"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Акте по результатам испытаний от 21 ноября 1942 г. специалисты НИП АВ ре</w:t>
      </w:r>
      <w:r w:rsidRPr="00722885">
        <w:rPr>
          <w:rFonts w:ascii="Times New Roman" w:cs="Times New Roman"/>
          <w:color w:val="000000" w:themeColor="text1"/>
          <w:spacing w:val="0"/>
        </w:rPr>
        <w:softHyphen/>
        <w:t>комендовали срочно доработать ПТАБ-1,5 и ПТАБ-2,5 в первую очередь в части обе</w:t>
      </w:r>
      <w:r w:rsidRPr="00722885">
        <w:rPr>
          <w:rFonts w:ascii="Times New Roman" w:cs="Times New Roman"/>
          <w:color w:val="000000" w:themeColor="text1"/>
          <w:spacing w:val="0"/>
        </w:rPr>
        <w:softHyphen/>
        <w:t>спечения безотказности их действия и вновь представить на полигонные испыта</w:t>
      </w:r>
      <w:r w:rsidRPr="00722885">
        <w:rPr>
          <w:rFonts w:ascii="Times New Roman" w:cs="Times New Roman"/>
          <w:color w:val="000000" w:themeColor="text1"/>
          <w:spacing w:val="0"/>
        </w:rPr>
        <w:softHyphen/>
        <w:t>ния. Одновременно отмечалось, что бомба конструкции ЦКБ-22 имеет явные преиму</w:t>
      </w:r>
      <w:r w:rsidRPr="00722885">
        <w:rPr>
          <w:rFonts w:ascii="Times New Roman" w:cs="Times New Roman"/>
          <w:color w:val="000000" w:themeColor="text1"/>
          <w:spacing w:val="0"/>
        </w:rPr>
        <w:softHyphen/>
        <w:t>щества по сравнению с бомбой конструк</w:t>
      </w:r>
      <w:r w:rsidRPr="00722885">
        <w:rPr>
          <w:rFonts w:ascii="Times New Roman" w:cs="Times New Roman"/>
          <w:color w:val="000000" w:themeColor="text1"/>
          <w:spacing w:val="0"/>
        </w:rPr>
        <w:softHyphen/>
        <w:t>ции ГСКБ-47 в надежности и устойчивости полета на траектории падения. Предлага</w:t>
      </w:r>
      <w:r w:rsidRPr="00722885">
        <w:rPr>
          <w:rFonts w:ascii="Times New Roman" w:cs="Times New Roman"/>
          <w:color w:val="000000" w:themeColor="text1"/>
          <w:spacing w:val="0"/>
        </w:rPr>
        <w:softHyphen/>
        <w:t>лось уменьшить габариты бомбы ПТАБ-1,5 (диаметр и длину) до уровня штатной бомбы калибра 2,5 кг (вместо 10 кг), что позволяло почти в четыре раза увеличить количество таких бомб на борту самолета Ил-2 и резко повысить вероятность попадания бомб в цели малых размеров (12739).</w:t>
      </w:r>
    </w:p>
    <w:p w14:paraId="36789D22"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p>
    <w:p w14:paraId="4C30E29D" w14:textId="77777777" w:rsidR="006E2EE2" w:rsidRPr="00722885" w:rsidRDefault="006E2EE2"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9 ноября 1942 в испытательном полете на НИПАВ из-за за</w:t>
      </w:r>
      <w:r w:rsidRPr="00722885">
        <w:rPr>
          <w:color w:val="000000" w:themeColor="text1"/>
          <w:sz w:val="16"/>
          <w:szCs w:val="16"/>
        </w:rPr>
        <w:softHyphen/>
        <w:t>висания бомб ПТАБ-1,5 в кассетах мелких бомб Ил-2 произошло «самопроизвольное сбрасывание по</w:t>
      </w:r>
      <w:r w:rsidRPr="00722885">
        <w:rPr>
          <w:color w:val="000000" w:themeColor="text1"/>
          <w:sz w:val="16"/>
          <w:szCs w:val="16"/>
        </w:rPr>
        <w:softHyphen/>
        <w:t>следних в районе временного бомбосклада (в ле</w:t>
      </w:r>
      <w:r w:rsidRPr="00722885">
        <w:rPr>
          <w:color w:val="000000" w:themeColor="text1"/>
          <w:sz w:val="16"/>
          <w:szCs w:val="16"/>
        </w:rPr>
        <w:softHyphen/>
        <w:t>су)». По счастью, обошлось. Бомбы упали на окраи</w:t>
      </w:r>
      <w:r w:rsidRPr="00722885">
        <w:rPr>
          <w:color w:val="000000" w:themeColor="text1"/>
          <w:sz w:val="16"/>
          <w:szCs w:val="16"/>
        </w:rPr>
        <w:softHyphen/>
        <w:t>не склада, не причинив никакого ущерба.</w:t>
      </w:r>
    </w:p>
    <w:p w14:paraId="0A7282E5" w14:textId="77777777" w:rsidR="006E2EE2" w:rsidRPr="00722885" w:rsidRDefault="006E2EE2"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заданию майор Звонарев должен был выпол</w:t>
      </w:r>
      <w:r w:rsidRPr="00722885">
        <w:rPr>
          <w:color w:val="000000" w:themeColor="text1"/>
          <w:sz w:val="16"/>
          <w:szCs w:val="16"/>
        </w:rPr>
        <w:softHyphen/>
        <w:t>нить бомбометание по трофейным танкам, состав</w:t>
      </w:r>
      <w:r w:rsidRPr="00722885">
        <w:rPr>
          <w:color w:val="000000" w:themeColor="text1"/>
          <w:sz w:val="16"/>
          <w:szCs w:val="16"/>
        </w:rPr>
        <w:softHyphen/>
        <w:t>лявшим мишенную обстановку. В самолет загрузили 2 кассеты по 28 бомб в каждой. При первом заходе были сброшены бомбы из одной кассеты: «Бомбы высыпались нормально». Поскольку на правом раз</w:t>
      </w:r>
      <w:r w:rsidRPr="00722885">
        <w:rPr>
          <w:color w:val="000000" w:themeColor="text1"/>
          <w:sz w:val="16"/>
          <w:szCs w:val="16"/>
        </w:rPr>
        <w:softHyphen/>
        <w:t>вороте летчику было трудно наблюдать результаты падения бомб и цель — «солнце и дым от упавших бомб», то майор Звонарев в нарушение Наставле</w:t>
      </w:r>
      <w:r w:rsidRPr="00722885">
        <w:rPr>
          <w:color w:val="000000" w:themeColor="text1"/>
          <w:sz w:val="16"/>
          <w:szCs w:val="16"/>
        </w:rPr>
        <w:softHyphen/>
        <w:t>ния по полигонной службе 1939 г. решил второй заход выполнить, строя заход с левого разворота. Дело в том, что в этом случае самолет «в конце бое</w:t>
      </w:r>
      <w:r w:rsidRPr="00722885">
        <w:rPr>
          <w:color w:val="000000" w:themeColor="text1"/>
          <w:sz w:val="16"/>
          <w:szCs w:val="16"/>
        </w:rPr>
        <w:softHyphen/>
        <w:t>вого курса выходил к окраинам бомбосклада». При открытии второй кассеты 14 бомб упали на цель, а 14 зависли в кассете. Подойдя к границе склада, Звонарев сделал энергичный разворот, «и в это время из кассеты высыпались остальные 14 бомб». При осмотре места падения бомб «найдено 13 сра</w:t>
      </w:r>
      <w:r w:rsidRPr="00722885">
        <w:rPr>
          <w:color w:val="000000" w:themeColor="text1"/>
          <w:sz w:val="16"/>
          <w:szCs w:val="16"/>
        </w:rPr>
        <w:softHyphen/>
        <w:t>ботавших и один отказ».</w:t>
      </w:r>
    </w:p>
    <w:p w14:paraId="66144735" w14:textId="77777777" w:rsidR="006E2EE2" w:rsidRPr="00722885" w:rsidRDefault="006E2EE2"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испытания бомб ПТАБ-2,5 конструкции ГСКБ-47 вместо майора Зво- нарева и капитана Девятникова проводили капи</w:t>
      </w:r>
      <w:r w:rsidRPr="00722885">
        <w:rPr>
          <w:color w:val="000000" w:themeColor="text1"/>
          <w:sz w:val="16"/>
          <w:szCs w:val="16"/>
        </w:rPr>
        <w:softHyphen/>
        <w:t>тан Кусакин и старший лейтенант Евсеев. Впро</w:t>
      </w:r>
      <w:r w:rsidRPr="00722885">
        <w:rPr>
          <w:color w:val="000000" w:themeColor="text1"/>
          <w:sz w:val="16"/>
          <w:szCs w:val="16"/>
        </w:rPr>
        <w:softHyphen/>
        <w:t>чем, смена исполнителей не повлияла на оконча</w:t>
      </w:r>
      <w:r w:rsidRPr="00722885">
        <w:rPr>
          <w:color w:val="000000" w:themeColor="text1"/>
          <w:sz w:val="16"/>
          <w:szCs w:val="16"/>
        </w:rPr>
        <w:softHyphen/>
        <w:t>тельный результат — так же, как ПТАБ-1,5, бомба ПТАБ-2,5 испытаний не выдержала. Основные на</w:t>
      </w:r>
      <w:r w:rsidRPr="00722885">
        <w:rPr>
          <w:color w:val="000000" w:themeColor="text1"/>
          <w:sz w:val="16"/>
          <w:szCs w:val="16"/>
        </w:rPr>
        <w:softHyphen/>
        <w:t>рекания к бомбе сводились к ее недостаточной устойчивости в полете на траектории падения при сбросе с самолета Ил-2 и частые отказы в дей</w:t>
      </w:r>
      <w:r w:rsidRPr="00722885">
        <w:rPr>
          <w:color w:val="000000" w:themeColor="text1"/>
          <w:sz w:val="16"/>
          <w:szCs w:val="16"/>
        </w:rPr>
        <w:softHyphen/>
        <w:t>ствии (17500).</w:t>
      </w:r>
    </w:p>
    <w:p w14:paraId="32FCA90D" w14:textId="77777777" w:rsidR="006E2EE2" w:rsidRPr="00722885" w:rsidRDefault="006E2EE2" w:rsidP="00722885">
      <w:pPr>
        <w:spacing w:after="0" w:line="240" w:lineRule="auto"/>
        <w:jc w:val="both"/>
        <w:rPr>
          <w:rFonts w:ascii="Times New Roman" w:hAnsi="Times New Roman"/>
          <w:color w:val="000000" w:themeColor="text1"/>
          <w:sz w:val="16"/>
          <w:szCs w:val="16"/>
        </w:rPr>
      </w:pPr>
    </w:p>
    <w:p w14:paraId="21EE27A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874C40E" w14:textId="77777777" w:rsidR="00090C9B" w:rsidRPr="00722885" w:rsidRDefault="00090C9B" w:rsidP="00722885">
      <w:pPr>
        <w:pStyle w:val="Iauiue"/>
        <w:jc w:val="both"/>
        <w:rPr>
          <w:iCs/>
          <w:color w:val="000000" w:themeColor="text1"/>
          <w:sz w:val="16"/>
          <w:szCs w:val="16"/>
        </w:rPr>
      </w:pPr>
    </w:p>
    <w:p w14:paraId="42922D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ноября 1942 г. ПОСТАНОВЛЕНИЕ ИСПОЛНИТЕЛЬНОГО КОМИТЕТА НОВОСИБИРСКОГО ОБЛАСТНОГО СОВЕТА ДЕПУТАТОВ ТРУДЯЩИХСЯ И БЮРО ОБКОМА ВКП(б) «О РЕАЛИЗАЦИИ ПОСТАНОВЛЕНИЯ СНК СССР ОТ 18 ОКТЯБРЯ 1942 ГОДА "О ПОРЯДКЕ СНАБЖЕНИЯ ПРОДОВОЛЬСТВЕННЫМИ И ПРОМЫШЛЕННЫМИ ТОВАРАМИ РАБОЧИХ ПРОМЫШЛЕННЫХ ПРЕДПРИЯТИЙ"», НАПРАВЛЕННОГО ДИРЕКТОРУ И ПАРТОРГУ ЦК ВКП(б)</w:t>
      </w:r>
    </w:p>
    <w:p w14:paraId="7CE358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ЗАВОДА № 635</w:t>
      </w:r>
    </w:p>
    <w:p w14:paraId="38CCA8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Существующий порядок снабжения населения продовольственными и промышленными товарами позволяет получать одинаковую норму и работающим хорошо, и тем, кто нарушает трудовую дисциплину и недобросовестно относится к работе. В целях ликвидации уравниловки в снабжении, поощрения хорошо работающих и дальнейшего укрепления трудовой дисциплины Совнарком Союза установил новый порядок снабжения продовольственными и промышленными товарами рабочих промышленных предприятий. Придавая исключительное значение правильному и быстрейшему проведению его в жизнь, облисполком и бюро обкома ВКП(б) ПОСТАНОВЛЯЮТ: В соответствии с решением СНК СССР от 18 октября с.г. обязать директоров промышленных предприятий:</w:t>
      </w:r>
    </w:p>
    <w:p w14:paraId="1E6B17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Немедленно установить для рабочих, выполняющих и перевыполняющих норму выработки, следующий порядок снабжения: продажу по карточкам промышленных товаров, а также некоторых продовольственных товаров (за исключением хлеба) производить в первую очередь указанным рабочим и членам их семей; выдавать дополнительное горячее питание за счет ресурсов подсобных хозяйств без зачета в норму, установленную по карточкам; производить дополнительный отпуск сверх установленных норм по продовольственным карточкам картофеля, овощей, яиц, молочных и других продуктов, получаемых от собственных подсобных хозяйств, после обеспечения ими питания в столовых, с тем, однако, чтобы дополнительная выдача продуктов не превышала норм, установленных по продовольственным карточкам; снабжать в первоочередном порядке товарами широкого потребления (предметы домашнего обихода и другие), изготовленными подсобными предприятиями ОРСов, сверх отпуска по карточкам, а также топливом; производить первоочередной ремонт обуви и домашней утвари и снабжать некоторыми строительными материалами (стекло, фанера, олифа, гвозди) для ремонта жилищ и других домашних нужд.</w:t>
      </w:r>
    </w:p>
    <w:p w14:paraId="0D7AAA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Рабочим, совершившим прогул, с момента вынесения решения суда и до отбытия наказания в порядке исправительно-трудовых работ на данном предприятии отпускать хлеб по сниженным нормам: на 200 граммов на тех предприятиях, для рабочих которых установлена норма в 800 граммов и более, и на 100 граммов -- на всех остальных предприятиях. Разрешить директорам предприятий для рабочих, отбывающих наказание за прогул, которые в течение месяца при сдельной оплате труда выполняют норму выработки, а при посменной добросовестно относятся к своей работе, восстанавливать по истечении месяца такой работы отпуск хлеба по нормам, установленным для рабочих данного предприятия. Предложить директорам промышленных предприятий копии приговора на лиц, осужденных за прогул, получать от народного суда в день вынесения приговора.</w:t>
      </w:r>
    </w:p>
    <w:p w14:paraId="35F6EE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 целях лишения пользования карточками лиц, утерявших на это право, производить 1-2 раза в месяц перерегистрацию карточек путем проставления штампа на проверенных карточках с тем, чтобы товары выдавались по карточкам, имеющим штамп о проверке.</w:t>
      </w:r>
    </w:p>
    <w:p w14:paraId="5D1F42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Предложить секретарям горкомов ВКП(б) и председателям горисполкомов немедленно разъяснить трудящимся новый порядок снабжения продовольственными и промышленными товарами трудящихся и установить систематический контроль за его выполнением.</w:t>
      </w:r>
    </w:p>
    <w:p w14:paraId="135570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председателя Новосибирского облисполкома Н. Беляев</w:t>
      </w:r>
    </w:p>
    <w:p w14:paraId="4FCDAC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Секретарь Новосибирского обкома ВКП(б) А. Семин</w:t>
      </w:r>
    </w:p>
    <w:p w14:paraId="20727F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Р-1117. Оп. I. Д. 11. Л. 306. Заверенная копия. Типографский экземпляр. Заверен печатью Новосибирского обкома ВКП(б) (12193).</w:t>
      </w:r>
    </w:p>
    <w:p w14:paraId="638FCC7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480861F"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ноября 1942 для проведения совместно с Ярос</w:t>
      </w:r>
      <w:r w:rsidRPr="00722885">
        <w:rPr>
          <w:rFonts w:ascii="Times New Roman" w:hAnsi="Times New Roman"/>
          <w:color w:val="0070C0"/>
          <w:sz w:val="16"/>
          <w:szCs w:val="16"/>
        </w:rPr>
        <w:softHyphen/>
        <w:t>лавским автомобильным заводом конструкторских работ по доводке до серийного производства транс</w:t>
      </w:r>
      <w:r w:rsidRPr="00722885">
        <w:rPr>
          <w:rFonts w:ascii="Times New Roman" w:hAnsi="Times New Roman"/>
          <w:color w:val="0070C0"/>
          <w:sz w:val="16"/>
          <w:szCs w:val="16"/>
        </w:rPr>
        <w:softHyphen/>
        <w:t>портного тягача марки «Д» (Я-11) в г. Ярославль ко</w:t>
      </w:r>
      <w:r w:rsidRPr="00722885">
        <w:rPr>
          <w:rFonts w:ascii="Times New Roman" w:hAnsi="Times New Roman"/>
          <w:color w:val="0070C0"/>
          <w:sz w:val="16"/>
          <w:szCs w:val="16"/>
        </w:rPr>
        <w:softHyphen/>
        <w:t>мандировались специалисты НАТИ И.И. Дронг, В.Г. Розанов, В.П. Пет</w:t>
      </w:r>
      <w:r w:rsidRPr="00722885">
        <w:rPr>
          <w:rFonts w:ascii="Times New Roman" w:hAnsi="Times New Roman"/>
          <w:color w:val="0070C0"/>
          <w:sz w:val="16"/>
          <w:szCs w:val="16"/>
        </w:rPr>
        <w:softHyphen/>
        <w:t>ров, Я.С. Зенкевич, Е.И. Тейтельбаум из тракторного отдела и Д.Д. Мельман из автомобильного. Бригадиром конструкторской группы назначался И.И. Дронг, его заместителем - Е.Г. Попов.</w:t>
      </w:r>
    </w:p>
    <w:p w14:paraId="71A62767"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Ярославский автомобильный завод присту</w:t>
      </w:r>
      <w:r w:rsidRPr="00722885">
        <w:rPr>
          <w:rFonts w:ascii="Times New Roman" w:hAnsi="Times New Roman"/>
          <w:color w:val="0070C0"/>
          <w:sz w:val="16"/>
          <w:szCs w:val="16"/>
        </w:rPr>
        <w:softHyphen/>
        <w:t>пил к выпуску гусеничного тягача Я-11, разработан</w:t>
      </w:r>
      <w:r w:rsidRPr="00722885">
        <w:rPr>
          <w:rFonts w:ascii="Times New Roman" w:hAnsi="Times New Roman"/>
          <w:color w:val="0070C0"/>
          <w:sz w:val="16"/>
          <w:szCs w:val="16"/>
        </w:rPr>
        <w:softHyphen/>
        <w:t>ного в НАТИ и переработанного после испытаний совместно со специалистами ЯАЗ. Авторы проекта - В.Я. Слонимский, И.И. Дронг, Е.Г. Попов, И.И. Трепе- ненков и Г.М. Кокин.</w:t>
      </w:r>
    </w:p>
    <w:p w14:paraId="0E4299F3"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качестве силовой установки должны были ис</w:t>
      </w:r>
      <w:r w:rsidRPr="00722885">
        <w:rPr>
          <w:rFonts w:ascii="Times New Roman" w:hAnsi="Times New Roman"/>
          <w:color w:val="0070C0"/>
          <w:sz w:val="16"/>
          <w:szCs w:val="16"/>
        </w:rPr>
        <w:softHyphen/>
        <w:t>пользоваться два двигателя ГАЗ-MM. Тягач развивал скорость до 26,4 км/ч.</w:t>
      </w:r>
    </w:p>
    <w:p w14:paraId="2C18B8C0"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После разрушения немецкой авиацией моторно</w:t>
      </w:r>
      <w:r w:rsidRPr="00722885">
        <w:rPr>
          <w:rFonts w:ascii="Times New Roman" w:hAnsi="Times New Roman"/>
          <w:color w:val="0070C0"/>
          <w:sz w:val="16"/>
          <w:szCs w:val="16"/>
        </w:rPr>
        <w:softHyphen/>
        <w:t>го производства на ГАЗе выпускались тягачи Я-12 с американским дизелем мощностью 110 л.с., Я-13 с двигателем ЗИС-5М и Я-1ЗФ с фор- древесные чурки, предлагался вариант газогенера</w:t>
      </w:r>
      <w:r w:rsidRPr="00722885">
        <w:rPr>
          <w:rFonts w:ascii="Times New Roman" w:hAnsi="Times New Roman"/>
          <w:color w:val="0070C0"/>
          <w:sz w:val="16"/>
          <w:szCs w:val="16"/>
        </w:rPr>
        <w:softHyphen/>
        <w:t>тора НАТИ-Г59У-01 А, имеющий несколько менее напряженную камеру газификации и без колоснико</w:t>
      </w:r>
      <w:r w:rsidRPr="00722885">
        <w:rPr>
          <w:rFonts w:ascii="Times New Roman" w:hAnsi="Times New Roman"/>
          <w:color w:val="0070C0"/>
          <w:sz w:val="16"/>
          <w:szCs w:val="16"/>
        </w:rPr>
        <w:softHyphen/>
        <w:t>вой решетки (22518).</w:t>
      </w:r>
    </w:p>
    <w:p w14:paraId="4B745D70" w14:textId="77777777" w:rsidR="007610D8" w:rsidRPr="00722885" w:rsidRDefault="007610D8" w:rsidP="00722885">
      <w:pPr>
        <w:spacing w:after="0" w:line="240" w:lineRule="auto"/>
        <w:jc w:val="both"/>
        <w:rPr>
          <w:rFonts w:ascii="Times New Roman" w:hAnsi="Times New Roman"/>
          <w:color w:val="0070C0"/>
          <w:sz w:val="16"/>
          <w:szCs w:val="16"/>
        </w:rPr>
      </w:pPr>
    </w:p>
    <w:p w14:paraId="1EA4F1B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9 ноября 1942 вышло Постановление ГКО № 2491 О восстановлении производства колес Гриффина на Уралвагонзаводе. (7062, 182).</w:t>
      </w:r>
    </w:p>
    <w:p w14:paraId="38D8C6B4" w14:textId="77777777" w:rsidR="00090C9B" w:rsidRPr="00722885" w:rsidRDefault="00090C9B" w:rsidP="00722885">
      <w:pPr>
        <w:pStyle w:val="Iauiue"/>
        <w:tabs>
          <w:tab w:val="left" w:pos="11199"/>
        </w:tabs>
        <w:jc w:val="both"/>
        <w:rPr>
          <w:color w:val="000000" w:themeColor="text1"/>
          <w:sz w:val="16"/>
          <w:szCs w:val="16"/>
        </w:rPr>
      </w:pPr>
    </w:p>
    <w:p w14:paraId="6F4BB2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ноября 1942 г. вышло постановление ГКО № 2491сс о восстановлении на УВЗ производства колес Гриффина, пост. ГКО № 2622 от 13.12.1942 г. оно отменено. 5.09.1943 г. вновь вышло постановление ГКО № 4048 об организации производства колес Гриффина и переносе производства ФАБ-100 на завод № 4. В соответствии с пост. ГКО № 4078 от 9.09.1943 г. завод освобожден от выпуска бронекорпусов самолетов. 20.08.1944 г. - постановление ГКО № 6408 о плане выпуска и поставок заводом колес Гриффина (11982).</w:t>
      </w:r>
    </w:p>
    <w:p w14:paraId="45FC203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46D454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9 ноября 1942 вышло Постановление ГКО № 2492 О работе Березниковской ТЭЦ. (7062, 183-184).</w:t>
      </w:r>
    </w:p>
    <w:p w14:paraId="1F07D0CC" w14:textId="77777777" w:rsidR="00090C9B" w:rsidRPr="00722885" w:rsidRDefault="00090C9B" w:rsidP="00722885">
      <w:pPr>
        <w:pStyle w:val="Iauiue"/>
        <w:tabs>
          <w:tab w:val="left" w:pos="11199"/>
        </w:tabs>
        <w:jc w:val="both"/>
        <w:rPr>
          <w:color w:val="000000" w:themeColor="text1"/>
          <w:sz w:val="16"/>
          <w:szCs w:val="16"/>
        </w:rPr>
      </w:pPr>
    </w:p>
    <w:p w14:paraId="09E1DC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ноября 1942 вышло Постановление ГКО № 2493 Об отпуске продовольственных, госпитальных и фуражных пайков для Красной Армии, Военно-Морского Флота и войск НКВД СССР в ноябре месяце 1942 года. РГАНИР, Фонд ГКО, д. 68, лл. 185-186, 187 (11012).</w:t>
      </w:r>
    </w:p>
    <w:p w14:paraId="38D4214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D0D0B9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ноября 1942 вышло Постановление ГКО № 2494 О плане снабжения горюче-смазочными материалами Красной Армии и Военно-Морского Флота на ноябрь 1942 года. РГАНИР, Фонд ГКО, д. 68, лл. 188, 189-225 (11012).</w:t>
      </w:r>
    </w:p>
    <w:p w14:paraId="38826A2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E306E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ноября 1943 вопросы ПВО обсуждались в нижегородском Кремле на заседании Горьковского комитета обороны. Первый секретарь обкома М. Родионов в резкой форме высказался по поводу действий зенитчиков и летчиков:  «Налетов давно не было, и, видимо, у товарища Слюсарева и у товарища Долгополова народ подразболтался, они, наверное, немножко забыли, что служба в тылу не менее важна, чем на фронте». Командир 142-й ИАД ПВО Слюсарев в ответ заявил, что  «наши истребители не могут догнать вражескую авиацию». В итоге, как обычно, решили, что противовоздушную оборону надо улучшить, а бдительность усилить. Однако на этом оргвыводы не закончились. Командование ПВО страны было недовольно действиями авиадивизии, защищавшей Горький. Итоги года воздушных боев говорили о слабой боеспособности летчиков: сотни дневных и ночных вылетов, и при этом всего один сбитый самолет-разведчик и три потерянных истребителя МиГ-3. Бомбардировка «Нефтегаза», видимо, переполнила чашу терпения, и вскоре полковник Слюсарев был отправлен на Воронежский фронт командовать полком. Новым же командиром 142-й ИАД ПВО стал вернувшийся после лечения в госпитале бывший командир 55-го ИАП полковник Иванов (11774).</w:t>
      </w:r>
    </w:p>
    <w:p w14:paraId="22FCE44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ACDD24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507E161" w14:textId="77777777" w:rsidR="00090C9B" w:rsidRPr="00722885" w:rsidRDefault="00090C9B" w:rsidP="00722885">
      <w:pPr>
        <w:pStyle w:val="Iauiue"/>
        <w:jc w:val="both"/>
        <w:rPr>
          <w:iCs/>
          <w:color w:val="000000" w:themeColor="text1"/>
          <w:sz w:val="16"/>
          <w:szCs w:val="16"/>
        </w:rPr>
      </w:pPr>
    </w:p>
    <w:p w14:paraId="3A5E10F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9 ноября </w:t>
      </w:r>
      <w:r w:rsidRPr="00722885">
        <w:rPr>
          <w:rFonts w:ascii="Times New Roman" w:hAnsi="Times New Roman"/>
          <w:color w:val="000000" w:themeColor="text1"/>
          <w:sz w:val="16"/>
          <w:szCs w:val="16"/>
        </w:rPr>
        <w:t>в 1942 году утреннее сообщение Совинформбюро:</w:t>
      </w:r>
    </w:p>
    <w:p w14:paraId="45BCCB10"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9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76C6F2A9"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бои с мелкими группами противника. В заводской части города наши бойцы отбили атаку гитлеровцев и уничтожили до роты немецкой пехоты. Защитники Сталинграда ведут самоотверженную борьбу с врагом. На одном участке противник пытался атаковать наше подразделение. Гвардейцы тт.Холодюк, Мотин и Усачёв метким огнём сковывали вражескую пехоту, не давая ей возможности двигаться вперёд. Немцы бросили против гвардейцев шесть танков. Три наших бойца связками гранат и бутылками с горючей жидкостью подожгли все 6 танков противника.</w:t>
      </w:r>
    </w:p>
    <w:p w14:paraId="49583308"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огневой бой с противником. Наодном участке наши бойцы миномётным огнём рассеяли и частью уничтожили более двух взводов вражеской пехоты. На другом участке артиллеристы под командованием тов. Лиденкова разрушили 8 дзотов и блиндажей и уничтожили 4 пулемёта противника. Снайперы части, где командиром тов. Вахрамеев, истребили 189 немецких солдат и офицеров.</w:t>
      </w:r>
    </w:p>
    <w:p w14:paraId="57AA9AA3"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танкисты под командованием тов. Филиппова отбили несколько атак противника. За три дня боёв на этом участке уничтожено до батальона вражеской пехоты и захвачено несколько исправных немецких танков. Гвардейцы-артиллеристы под командованием т. Рябкова подбили 4 танка и подавилиогонь зенитной батареи противника.</w:t>
      </w:r>
    </w:p>
    <w:p w14:paraId="46FB4C29"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нашей артиллерией и снайперами за последние пять дней уничтожено 670 немецких солдат и офицеров. Лётчики-штурмовики произвели внезапный налёт на аэродром противника. Несмотря на сильный заградительный огонь, советские лётчики прорвались к цели, уничтожили и повредили 20 немецких самолётов.</w:t>
      </w:r>
    </w:p>
    <w:p w14:paraId="31A59EC8"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отряда, действующего в одном из районов Краснодарского края, из засады напали на немецкий конвой, сопровождавший пленных красноармейцев.Партизаны перебили гитлеровцев и освободили всех военнопленных.</w:t>
      </w:r>
    </w:p>
    <w:p w14:paraId="39C928FC"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совершил налёт на крупную железнодорожную станцию. Партизаны взорвали железнодорожный мост, водокачку и подожгли склады с военными грузами.</w:t>
      </w:r>
    </w:p>
    <w:p w14:paraId="75362C93"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посёлке Зелепуговка, Орловской области, немецко-фашистские мерзавцы разрушили и сожгли 260 домов. Гитлеровские бандиты сожгли живьём десять колхозников посёлка.</w:t>
      </w:r>
    </w:p>
    <w:p w14:paraId="3A590C39"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Отряды югославских партизан, действующие у города Грачацы, разгромили пехотный полк противника. Штаб полка захвачен в плен. Недалеко от города Карловац партизаны выбили оккупантов из одного укреплённого пункта. В этом бою итальянцы потеряли убитыми и ранеными более 600 солдат и офицеров.» (14825).</w:t>
      </w:r>
    </w:p>
    <w:p w14:paraId="0536B443"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1EAE21BE"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9 ноября </w:t>
      </w:r>
      <w:r w:rsidRPr="00722885">
        <w:rPr>
          <w:rFonts w:ascii="Times New Roman" w:hAnsi="Times New Roman"/>
          <w:color w:val="000000" w:themeColor="text1"/>
          <w:sz w:val="16"/>
          <w:szCs w:val="16"/>
        </w:rPr>
        <w:t>в 1942 году вечернее сообщение Совинформбюро:</w:t>
      </w:r>
    </w:p>
    <w:p w14:paraId="195140BB"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9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5D2CFD14"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Чёрном море потоплен транспорт противника водоизмещением в 3.000 тонн.</w:t>
      </w:r>
    </w:p>
    <w:p w14:paraId="21F5DC7B"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8 ноября нашей авиацией на различных участках фронта уничтожено 5 немецких танков, до 30 автомашин, разбит железнодорожный эшелон, подавлен огонь 2 артиллерийских батарей, рассеяно и частью уничтожено до роты пехоты и эскадрон конницы противника.</w:t>
      </w:r>
    </w:p>
    <w:p w14:paraId="701829F5"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мелких групп противника и укрепляли свои позиции. На участке Н-ского соединения, в заводской части города, немцы потеряли убитыми до 200 солдат и офицеров. Артиллерийским и миномётным огнём разрушено 2 блиндажа, уничтожено 2 орудия и рассеяно до роты немецкой пехоты. На других участках в течение дня нашими бойцами уничтожено до 100 немецких солдат и офицеров, 2 танка, 4 орудия, 10 пулемётов, 9 миномётов и до 40 автомашин. Советские лётчики в воздушных боях сбили 3 немецких самолёта.</w:t>
      </w:r>
    </w:p>
    <w:p w14:paraId="6A0E7C9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продолжали вести активные боевые действия и нанесли противнику большие потери. Бойцы Н-ской части уничтожили 6 немецких танков и до 400 гитлеровцев. На другом участке наше подразделение противотанковых орудий подбило 8 немецких танков. Из этого числа три танка противника уничтожил наводчик тов. Пичхинашвили.</w:t>
      </w:r>
    </w:p>
    <w:p w14:paraId="48CE6593"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в воздушных боях сбили 3 и повредили 3 самолёта противника.</w:t>
      </w:r>
    </w:p>
    <w:p w14:paraId="311BA580"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два батальона немецкой пехоты три раза атаковали наши опорные пункты в районе одного водного рубежа. Атаки гитлеровцев отбиты. На поле боя осталось до 150 вражеских трупов.</w:t>
      </w:r>
    </w:p>
    <w:p w14:paraId="0CA8E4F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противник пытался атаковать наши позиции, но, потеряв убитыми 160 солдат и офицеров, отошёл на исходные рубежи. На этом же участке разгромлен командный пункт немецкой части. Захвачены пленные.</w:t>
      </w:r>
    </w:p>
    <w:p w14:paraId="46647374"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огнём артиллерии Н-ской части разрушено 23 дзота и блиндажа, уничтожены 2 миномётные батареи, 22 пулемёта и подавлен огонь 7 артиллерийских и миномётных батарей противника. Снайперами одного соединения истреблено 128 немецких солдат и офицеров.</w:t>
      </w:r>
    </w:p>
    <w:p w14:paraId="16AE0AED"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Витебской области, в конце октября месяца вёл ожесточённые бои с карательным отрядом противника. Немцы двинули против партизан крупные силы пехоты с танками и броневиками. Партизаны расстроили планы гитлеровцев. Нанося врагу внезапные удары, советские патриоты истребили свыше 400 немецко-фашистских захватчиков.</w:t>
      </w:r>
    </w:p>
    <w:p w14:paraId="2DE5DB2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числе трофейных документов захвачено несколько писем жены секретаря тайной полевой полиции при первой немецкой танковой армии Фридриха Шмидта. Эта немецкая тварь писала из Реклингхаузена своему мужу: «Посылки за №№ 159, 160 и 161 мы получили... Всевозможные вещи, а также продукты, особенно мясные и масло, здесь сейчас очень ценны... Девочки ужасно рады, что получили ботинки. Поскольку вы наступаете, ты достань муки, масла и любые вещи высылай нам».</w:t>
      </w:r>
    </w:p>
    <w:p w14:paraId="66150B5B"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Гитлеровский бандит Шмидт замучил и ограбил сотни мирных советских граждан. Расправившись со своей очередной жертвой, мародёр спешил на почту, чтобы отправить посылку с одеждой убитых им женщин и детей. Он не брезговал ничем и нумеровал каждую свою посылку. За свои злодеяния этот фашистский мерзавец получил советскую пулю. Придёт очередь и остальным немецким разбойникам, которых постигнет та же участь.</w:t>
      </w:r>
    </w:p>
    <w:p w14:paraId="506197FF"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действиях партизанского отряда известного норвежского патриота Ларсена. В октябре отряд истребил до 150 гитлеровских солдат и уничтожил 6 немецких грузовиков. В районе финско-норвежской границы партизаны Ларсена ночью внезапно напали на немцев. Партизаны бросили в окна казарм связки гранат. Уцелевшие гитлеровцы пытались бежать, но были уничтожены ружейно-пулемётным огнём (14825).</w:t>
      </w:r>
    </w:p>
    <w:p w14:paraId="4B10E7BB"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6296BF75"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9 ноября </w:t>
      </w:r>
      <w:r w:rsidRPr="00722885">
        <w:rPr>
          <w:rFonts w:ascii="Times New Roman" w:hAnsi="Times New Roman"/>
          <w:color w:val="000000" w:themeColor="text1"/>
          <w:sz w:val="16"/>
          <w:szCs w:val="16"/>
        </w:rPr>
        <w:t>в 1942 году утреннее сообщение Совинформбюро:</w:t>
      </w:r>
    </w:p>
    <w:p w14:paraId="4C3BD32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9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E1F7AD9"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бои с мелкими группами противника. В заводской части города наши бойцы отбили атаку гитлеровцев и уничтожили до роты немецкой пехоты. Защитники Сталинграда ведут самоотверженную борьбу с врагом. На одном участке противник пытался атаковать наше подразделение. Гвардейцы тт.Холодюк, Мотин и Усачёв метким огнём сковывали вражескую пехоту, не давая ей возможности двигаться вперёд. Немцы бросили против гвардейцев шесть танков. Три наших бойца связками гранат и бутылками с горючей жидкостью подожгли все 6 танков противника.</w:t>
      </w:r>
    </w:p>
    <w:p w14:paraId="08B892D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огневой бой с противником. Наодном участке наши бойцы миномётным огнём рассеяли и частью уничтожили более двух взводов вражеской пехоты. На другом участке артиллеристы под командованием тов. Лиденкова разрушили 8 дзотов и блиндажей и уничтожили 4 пулемёта противника. Снайперы части, где командиром тов. Вахрамеев, истребили 189 немецких солдат и офицеров.</w:t>
      </w:r>
    </w:p>
    <w:p w14:paraId="2BE67BA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танкисты под командованием тов. Филиппова отбили несколько атак противника. За три дня боёв на этом участке уничтожено до батальона вражеской пехоты и захвачено несколько исправных немецких танков. Гвардейцы-артиллеристы под командованием т. Рябкова подбили 4 танка и подавилиогонь зенитной батареи противника.</w:t>
      </w:r>
    </w:p>
    <w:p w14:paraId="44219F70"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Брянском фронте нашей артиллерией и снайперами за последние пять дней уничтожено 670 немецких солдат и офицеров. Лётчики-штурмовики произвели внезапный налёт на аэродром противника. Несмотря на сильный заградительный огонь, советские лётчики прорвались к цели, уничтожили и повредили 20 немецких самолётов.</w:t>
      </w:r>
    </w:p>
    <w:p w14:paraId="58EE5E42"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отряда, действующего в одном из районов Краснодарского края, из засады напали на немецкий конвой, сопровождавший пленных красноармейцев.Партизаны перебили гитлеровцев и освободили всех военнопленных.</w:t>
      </w:r>
    </w:p>
    <w:p w14:paraId="4BA2EA42"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совершил налёт на крупную железнодорожную станцию. Партизаны взорвали железнодорожный мост, водокачку и подожгли склады с военными грузами.</w:t>
      </w:r>
    </w:p>
    <w:p w14:paraId="4401CF7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посёлке Зелепуговка, Орловской области, немецко-фашистские мерзавцы разрушили и сожгли 260 домов. Гитлеровские бандиты сожгли живьём десять колхозников посёлка.</w:t>
      </w:r>
    </w:p>
    <w:p w14:paraId="14814B92"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Отряды югославских партизан, действующие у города Грачацы, разгромили пехотный полк противника. Штаб полка захвачен в плен. Недалеко от города Карловац партизаны выбили оккупантов из одного укреплённого пункта. В этом бою итальянцы потеряли убитыми и ранеными более 600 солдат и офицеров.» (14825).</w:t>
      </w:r>
    </w:p>
    <w:p w14:paraId="3F3CE81F"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1EA1BD10"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9 ноября </w:t>
      </w:r>
      <w:r w:rsidRPr="00722885">
        <w:rPr>
          <w:rFonts w:ascii="Times New Roman" w:hAnsi="Times New Roman"/>
          <w:color w:val="000000" w:themeColor="text1"/>
          <w:sz w:val="16"/>
          <w:szCs w:val="16"/>
        </w:rPr>
        <w:t>в 1942 году вечернее сообщение Совинформбюро:</w:t>
      </w:r>
    </w:p>
    <w:p w14:paraId="3DDED373"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9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862A4F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Чёрном море потоплен транспорт противника водоизмещением в 3.000 тонн.</w:t>
      </w:r>
    </w:p>
    <w:p w14:paraId="6B5E73EF"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8 ноября нашей авиацией на различных участках фронта уничтожено 5 немецких танков, до 30 автомашин, разбит железнодорожный эшелон, подавлен огонь 2 артиллерийских батарей, рассеяно и частью уничтожено до роты пехоты и эскадрон конницы противника.</w:t>
      </w:r>
    </w:p>
    <w:p w14:paraId="2192957B"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мелких групп противника и укрепляли свои позиции. На участке Н-ского соединения, в заводской части города, немцы потеряли убитыми до 200 солдат и офицеров. Артиллерийским и миномётным огнём разрушено 2 блиндажа, уничтожено 2 орудия и рассеяно до роты немецкой пехоты. На других участках в течение дня нашими бойцами уничтожено до 100 немецких солдат и офицеров, 2 танка, 4 орудия, 10 пулемётов, 9 миномётов и до 40 автомашин. Советские лётчики в воздушных боях сбили 3 немецких самолёта.</w:t>
      </w:r>
    </w:p>
    <w:p w14:paraId="0F7D5AB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продолжали вести активные боевые действия и нанесли противнику большие потери. Бойцы Н-ской части уничтожили 6 немецких танков и до 400 гитлеровцев. На другом участке наше подразделение противотанковых орудий подбило 8 немецких танков. Из этого числа три танка противника уничтожил наводчик тов. Пичхинашвили.</w:t>
      </w:r>
    </w:p>
    <w:p w14:paraId="570CE4F5"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в воздушных боях сбили 3 и повредили 3 самолёта противника.</w:t>
      </w:r>
    </w:p>
    <w:p w14:paraId="24B86EBC"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два батальона немецкой пехоты три раза атаковали наши опорные пункты в районе одного водного рубежа. Атаки гитлеровцев отбиты. На поле боя осталось до 150 вражеских трупов.</w:t>
      </w:r>
    </w:p>
    <w:p w14:paraId="527CF312"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противник пытался атаковать наши позиции, но, потеряв убитыми 160 солдат и офицеров, отошёл на исходные рубежи. На этом же участке разгромлен командный пункт немецкой части. Захвачены пленные.</w:t>
      </w:r>
    </w:p>
    <w:p w14:paraId="1E85CC0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огнём артиллерии Н-ской части разрушено 23 дзота и блиндажа, уничтожены 2 миномётные батареи, 22 пулемёта и подавлен огонь 7 артиллерийских и миномётных батарей противника. Снайперами одного соединения истреблено 128 немецких солдат и офицеров.</w:t>
      </w:r>
    </w:p>
    <w:p w14:paraId="0DF14E9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Партизанский отряд, действующий в одном из районов Витебской области, в конце октября месяца вёл ожесточённые бои с карательным отрядом противника. Немцы двинули против партизан крупные силы пехоты с танками и броневиками. Партизаны расстроили планы гитлеровцев. Нанося врагу внезапные удары, советские патриоты истребили свыше 400 немецко-фашистских захватчиков.</w:t>
      </w:r>
    </w:p>
    <w:p w14:paraId="7D6097BF"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числе трофейных документов захвачено несколько писем жены секретаря тайной полевой полиции при первой немецкой танковой армии Фридриха Шмидта. Эта немецкая тварь писала из Реклингхаузена своему мужу: «Посылки за №№ 159, 160 и 161 мы получили... Всевозможные вещи, а также продукты, особенно мясные и масло, здесь сейчас очень ценны... Девочки ужасно рады, что получили ботинки. Поскольку вы наступаете, ты достань муки, масла и любые вещи высылай нам».</w:t>
      </w:r>
    </w:p>
    <w:p w14:paraId="7DAA709F"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Гитлеровский бандит Шмидт замучил и ограбил сотни мирных советских граждан. Расправившись со своей очередной жертвой, мародёр спешил на почту, чтобы отправить посылку с одеждой убитых им женщин и детей. Он не брезговал ничем и нумеровал каждую свою посылку. За свои злодеяния этот фашистский мерзавец получил советскую пулю. Придёт очередь и остальным немецким разбойникам, которых постигнет та же участь.</w:t>
      </w:r>
    </w:p>
    <w:p w14:paraId="0EAF75E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действиях партизанского отряда известного норвежского патриота Ларсена. В октябре отряд истребил до 150 гитлеровских солдат и уничтожил 6 немецких грузовиков. В районе финско-норвежской границы партизаны Ларсена ночью внезапно напали на немцев. Партизаны бросили в окна казарм связки гранат. Уцелевшие гитлеровцы пытались бежать, но были уничтожены ружейно-пулемётным огнём (14825).</w:t>
      </w:r>
    </w:p>
    <w:p w14:paraId="7C4A04CA"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3EA6A1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ноября 1942 был утвержден Боевой устав пехоты КА, где написано "действия авиации в наступательном бою выливаются в форму авиационного наступления, которое состоит из двух периодов: подготовка атаки и поддержка атаки и действий пехоты и танков в глубине обороны противника" (340,103).</w:t>
      </w:r>
    </w:p>
    <w:p w14:paraId="19844B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Боевом Уставе Пехоты и проекте Полевого Устава 1942 были впервые разработаны вопросы воздушного наступления. "АП проводится с целью обеспечения непрерывной поддержки пехоты массированным, действительным огнем авиации в течение всего периода наступления". "АП состоит из двух периодов: подготовки атаки и поддержки атаки и действий пехоты и танков в глубине обороны противника." (518,108).</w:t>
      </w:r>
    </w:p>
    <w:p w14:paraId="034B52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Потом было в зиму 1942/43 под Сталинградом, в Великолужской, Ржевско-Сычевской, Острогожско-Россошанской, Воронежско-Касторненской и др. В полном объеме - под Курском (519,109).</w:t>
      </w:r>
    </w:p>
    <w:p w14:paraId="7BB90D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После авиаподготовки, заканчивающейся сосредоточенными ударами б, ВА переключали основные силы ш и б на поддержку (сопровождение) сухопутных войск, прорывающих оборону (518,110).</w:t>
      </w:r>
    </w:p>
    <w:p w14:paraId="054461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Точность ударов повысилась с широким внедрением радио для наведения ш и б на поле боя, более четкой организации управления авиацией при приближении пунктов управления авиацией к линии фронта (518,110).</w:t>
      </w:r>
    </w:p>
    <w:p w14:paraId="2B62C219" w14:textId="77777777" w:rsidR="00090C9B" w:rsidRPr="00722885" w:rsidRDefault="00090C9B" w:rsidP="00722885">
      <w:pPr>
        <w:pStyle w:val="Iauiue"/>
        <w:jc w:val="both"/>
        <w:rPr>
          <w:color w:val="000000" w:themeColor="text1"/>
          <w:sz w:val="16"/>
          <w:szCs w:val="16"/>
        </w:rPr>
      </w:pPr>
    </w:p>
    <w:p w14:paraId="06BCF3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ноября 1942 вышла директива генштаба и 11 декабря 1942 - приказ НКО, которыми во всех фронтах и армиях были введены штатные должности ст. помошников Нач. оперативного отдела по изучению опыта войны - то же самое в ВВС и АДД (518,318).</w:t>
      </w:r>
    </w:p>
    <w:p w14:paraId="19DD0F56" w14:textId="77777777" w:rsidR="00090C9B" w:rsidRPr="00722885" w:rsidRDefault="00090C9B" w:rsidP="00722885">
      <w:pPr>
        <w:pStyle w:val="Iauiue"/>
        <w:jc w:val="both"/>
        <w:rPr>
          <w:color w:val="000000" w:themeColor="text1"/>
          <w:sz w:val="16"/>
          <w:szCs w:val="16"/>
        </w:rPr>
      </w:pPr>
    </w:p>
    <w:p w14:paraId="50A227C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77DC55A7" w14:textId="77777777" w:rsidR="00090C9B" w:rsidRPr="00722885" w:rsidRDefault="00090C9B" w:rsidP="00722885">
      <w:pPr>
        <w:pStyle w:val="Iauiue"/>
        <w:jc w:val="both"/>
        <w:rPr>
          <w:iCs/>
          <w:color w:val="000000" w:themeColor="text1"/>
          <w:sz w:val="16"/>
          <w:szCs w:val="16"/>
        </w:rPr>
      </w:pPr>
    </w:p>
    <w:p w14:paraId="5ACEE4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ноября 1942 года Постановлением Совета Народных Комиссаров СССР № 1800-846с с 1 декабря вводились новые нормы снабжения продовольственными товарами в районах Крайнего Севера. Эти нормы были несколько выше, чем по стране в целом. Например, рабочие, независимо от категории стали получать по карточкам 800 грамм хлеба в день, а также 750 грамм сахара и кондитерских изделий, 800 грамм жиров, 2 килограмма крупы и макарон, 700 грамм соли в месяц. Нормы на мясо и рыбопродукты должны были устанавливать исполкомы в зависимости от ресурсов. Повышенные нормы вводились для работников рыбной промышленности Севера (Там же, ф. Р-405, оп. 6, д. 5, л. 117, 118.).</w:t>
      </w:r>
    </w:p>
    <w:p w14:paraId="4E20CDA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B7E60A0"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9 ноября </w:t>
      </w:r>
      <w:r w:rsidRPr="00722885">
        <w:rPr>
          <w:rFonts w:ascii="Times New Roman" w:hAnsi="Times New Roman"/>
          <w:color w:val="000000" w:themeColor="text1"/>
          <w:sz w:val="16"/>
          <w:szCs w:val="16"/>
        </w:rPr>
        <w:t>в 1942 году Адольф Гитлер подписал указ о создании в районе Новочеркасска казачьей автономии - "Войско Доское". Но уже в 1943 создан т.н. "Казачий Стан" - 80 тысячная группировка плюс около30 тысяч беженцев - мобильная группировка для контр-партизанских зачисток. Отметились разбоем в Белоруссии, Польше, Италии. В Италии заняли несколько городков, выгнав всё население, и через пару месяцев, прижимаемые партизанами побежали в Австрию сдаваться союзникам, которые и передали их советскому командованию (14825).</w:t>
      </w:r>
    </w:p>
    <w:p w14:paraId="1A4DB59D"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323D198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D0A4E66" w14:textId="77777777" w:rsidR="00090C9B" w:rsidRPr="00722885" w:rsidRDefault="00090C9B" w:rsidP="00722885">
      <w:pPr>
        <w:pStyle w:val="Iauiue"/>
        <w:jc w:val="both"/>
        <w:rPr>
          <w:iCs/>
          <w:color w:val="000000" w:themeColor="text1"/>
          <w:sz w:val="16"/>
          <w:szCs w:val="16"/>
        </w:rPr>
      </w:pPr>
    </w:p>
    <w:p w14:paraId="3F6E9BE3" w14:textId="77777777" w:rsidR="00752DA1" w:rsidRPr="00722885" w:rsidRDefault="00752DA1"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 xml:space="preserve">9 ноября 1942 года в районе аэродрома Тафару в Алжире состоялся бой между французскими </w:t>
      </w:r>
      <w:hyperlink r:id="rId165" w:history="1">
        <w:r w:rsidRPr="00722885">
          <w:rPr>
            <w:rFonts w:ascii="Times New Roman" w:eastAsia="Times New Roman" w:hAnsi="Times New Roman"/>
            <w:color w:val="000000" w:themeColor="text1"/>
            <w:sz w:val="16"/>
            <w:szCs w:val="16"/>
            <w:u w:val="single"/>
          </w:rPr>
          <w:t>Renault D1</w:t>
        </w:r>
      </w:hyperlink>
      <w:r w:rsidRPr="00722885">
        <w:rPr>
          <w:rFonts w:ascii="Times New Roman" w:eastAsia="Times New Roman" w:hAnsi="Times New Roman"/>
          <w:color w:val="000000" w:themeColor="text1"/>
          <w:sz w:val="16"/>
          <w:szCs w:val="16"/>
        </w:rPr>
        <w:t xml:space="preserve"> из состава 2-го RCA (Régiment de Chasseurs d'Afrique, «полка африканских охотников») и американскими лёгкими танками, прикрывавшими самоходные установки 75 mm M3 GMC. В ходе боя французы потеряли четырнадцать танков, американцы – один танк и одну САУ M3 GMC. Впрочем, уже вскоре лёгким танкам из состава 1-й танковой дивизии пришлось встретиться с гораздо более серьёзным противником</w:t>
      </w:r>
      <w:r w:rsidRPr="00722885">
        <w:rPr>
          <w:rFonts w:ascii="Times New Roman" w:hAnsi="Times New Roman"/>
          <w:color w:val="000000" w:themeColor="text1"/>
          <w:sz w:val="16"/>
          <w:szCs w:val="16"/>
        </w:rPr>
        <w:t xml:space="preserve"> (17464)</w:t>
      </w:r>
      <w:r w:rsidRPr="00722885">
        <w:rPr>
          <w:rFonts w:ascii="Times New Roman" w:eastAsia="Times New Roman" w:hAnsi="Times New Roman"/>
          <w:color w:val="000000" w:themeColor="text1"/>
          <w:sz w:val="16"/>
          <w:szCs w:val="16"/>
        </w:rPr>
        <w:t>.</w:t>
      </w:r>
    </w:p>
    <w:p w14:paraId="115F1E9F" w14:textId="77777777" w:rsidR="00752DA1" w:rsidRPr="00722885" w:rsidRDefault="00752DA1" w:rsidP="00722885">
      <w:pPr>
        <w:shd w:val="clear" w:color="auto" w:fill="FFFFFF"/>
        <w:spacing w:after="0" w:line="240" w:lineRule="auto"/>
        <w:jc w:val="both"/>
        <w:rPr>
          <w:rFonts w:ascii="Times New Roman" w:eastAsia="Times New Roman" w:hAnsi="Times New Roman"/>
          <w:color w:val="000000" w:themeColor="text1"/>
          <w:sz w:val="16"/>
          <w:szCs w:val="16"/>
        </w:rPr>
      </w:pPr>
    </w:p>
    <w:p w14:paraId="734D32C8"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9 ноября 1942 французские высотные бомбардировщики атакуют американские десантные пляжи в Северной Африке и американские корабли в прибрежных водах, но не наносят ущерба. л/л SOC-3 легкого крейсера USS Саванна (CL-42) с успехом проводит эксперимент с использованием глубинных бомб, чтобы уничтожить французские танки. Шесть F4F Wildcats с USS Ranger сбивают 11 Dewoitine D.520, сбив пять и повредив четыре, а одиночный Messerschmitt Bf 109 сбит над пляжем (20793). </w:t>
      </w:r>
    </w:p>
    <w:p w14:paraId="73A21631" w14:textId="77777777" w:rsidR="007610D8" w:rsidRPr="00722885" w:rsidRDefault="007610D8" w:rsidP="00722885">
      <w:pPr>
        <w:spacing w:after="0" w:line="240" w:lineRule="auto"/>
        <w:jc w:val="both"/>
        <w:rPr>
          <w:rFonts w:ascii="Times New Roman" w:hAnsi="Times New Roman"/>
          <w:color w:val="0070C0"/>
          <w:sz w:val="16"/>
          <w:szCs w:val="16"/>
        </w:rPr>
      </w:pPr>
    </w:p>
    <w:p w14:paraId="0926745C"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9 ноября </w:t>
      </w:r>
      <w:r w:rsidRPr="00722885">
        <w:rPr>
          <w:rFonts w:ascii="Times New Roman" w:hAnsi="Times New Roman"/>
          <w:color w:val="000000" w:themeColor="text1"/>
          <w:sz w:val="16"/>
          <w:szCs w:val="16"/>
        </w:rPr>
        <w:t>в 1942 году американская авиация атаковала Сен-Назер (14825).</w:t>
      </w:r>
    </w:p>
    <w:p w14:paraId="234AA28C"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014AA663"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9, 1942: German paratroops are landed in Tunisia to forestall an invasion by the Allies (3819).</w:t>
      </w:r>
    </w:p>
    <w:p w14:paraId="27DDC90E" w14:textId="77777777" w:rsidR="00090C9B" w:rsidRPr="00722885" w:rsidRDefault="00090C9B" w:rsidP="00722885">
      <w:pPr>
        <w:pStyle w:val="Iauiue"/>
        <w:jc w:val="both"/>
        <w:rPr>
          <w:color w:val="000000" w:themeColor="text1"/>
          <w:sz w:val="16"/>
          <w:szCs w:val="16"/>
          <w:lang w:val="en-US"/>
        </w:rPr>
      </w:pPr>
    </w:p>
    <w:p w14:paraId="0276F4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ноября 1942 в Тунисе были высажены немецкие парашютисты в попытке предотвратить вторжение союзников (3819).</w:t>
      </w:r>
    </w:p>
    <w:p w14:paraId="2890C218" w14:textId="77777777" w:rsidR="00090C9B" w:rsidRPr="00722885" w:rsidRDefault="00090C9B" w:rsidP="00722885">
      <w:pPr>
        <w:pStyle w:val="Iauiue"/>
        <w:jc w:val="both"/>
        <w:rPr>
          <w:color w:val="000000" w:themeColor="text1"/>
          <w:sz w:val="16"/>
          <w:szCs w:val="16"/>
        </w:rPr>
      </w:pPr>
    </w:p>
    <w:p w14:paraId="5472CE07"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9 ноября </w:t>
      </w:r>
      <w:r w:rsidRPr="00722885">
        <w:rPr>
          <w:rFonts w:ascii="Times New Roman" w:hAnsi="Times New Roman"/>
          <w:color w:val="000000" w:themeColor="text1"/>
          <w:sz w:val="16"/>
          <w:szCs w:val="16"/>
        </w:rPr>
        <w:t>в 1942 году американские войска, высадившиеся в Марокко, вступили в столкновения с французскими частями (14825).</w:t>
      </w:r>
    </w:p>
    <w:p w14:paraId="5356B753"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40C3C5F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9 ноября 1942 в Квебеке арестован немецкий шпион, который провалился на том, что платил старой валютой и назвал уже отмененный маршрут автобуса (4962).</w:t>
      </w:r>
    </w:p>
    <w:p w14:paraId="318E7444" w14:textId="77777777" w:rsidR="00090C9B" w:rsidRPr="00722885" w:rsidRDefault="00090C9B" w:rsidP="00722885">
      <w:pPr>
        <w:pStyle w:val="Iauiue"/>
        <w:tabs>
          <w:tab w:val="left" w:pos="11199"/>
        </w:tabs>
        <w:jc w:val="both"/>
        <w:rPr>
          <w:color w:val="000000" w:themeColor="text1"/>
          <w:sz w:val="16"/>
          <w:szCs w:val="16"/>
        </w:rPr>
      </w:pPr>
    </w:p>
    <w:p w14:paraId="410F1EE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9 ноября 1942 Канада разорвала дипломатические отношения с вишистской Францией (4962).</w:t>
      </w:r>
    </w:p>
    <w:p w14:paraId="7C209732" w14:textId="77777777" w:rsidR="00090C9B" w:rsidRPr="00722885" w:rsidRDefault="00090C9B" w:rsidP="00722885">
      <w:pPr>
        <w:pStyle w:val="Iauiue"/>
        <w:tabs>
          <w:tab w:val="left" w:pos="11199"/>
        </w:tabs>
        <w:jc w:val="both"/>
        <w:rPr>
          <w:color w:val="000000" w:themeColor="text1"/>
          <w:sz w:val="16"/>
          <w:szCs w:val="16"/>
        </w:rPr>
      </w:pPr>
    </w:p>
    <w:p w14:paraId="095543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ноября 1942 Канада разорвала дипотношения с правительством Виши (3186).</w:t>
      </w:r>
    </w:p>
    <w:p w14:paraId="271941F0" w14:textId="77777777" w:rsidR="00090C9B" w:rsidRPr="00722885" w:rsidRDefault="00090C9B" w:rsidP="00722885">
      <w:pPr>
        <w:pStyle w:val="Iauiue"/>
        <w:jc w:val="both"/>
        <w:rPr>
          <w:color w:val="000000" w:themeColor="text1"/>
          <w:sz w:val="16"/>
          <w:szCs w:val="16"/>
        </w:rPr>
      </w:pPr>
    </w:p>
    <w:p w14:paraId="0F03671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9 ноября 1942 американский радист Гарри Тернер установил мировой рекорд передачи знаков азбуки Морзе на ручном передатчике (175 знаков в минуту) (4962).</w:t>
      </w:r>
    </w:p>
    <w:p w14:paraId="1095803F" w14:textId="77777777" w:rsidR="00090C9B" w:rsidRPr="00722885" w:rsidRDefault="00090C9B" w:rsidP="00722885">
      <w:pPr>
        <w:pStyle w:val="Iauiue"/>
        <w:tabs>
          <w:tab w:val="left" w:pos="11199"/>
        </w:tabs>
        <w:jc w:val="both"/>
        <w:rPr>
          <w:color w:val="000000" w:themeColor="text1"/>
          <w:sz w:val="16"/>
          <w:szCs w:val="16"/>
        </w:rPr>
      </w:pPr>
    </w:p>
    <w:p w14:paraId="5265A3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ноября 1942 в США был установлен рекорд скорости передачи знаков азбуки Морзе - 175/минуту (3481).</w:t>
      </w:r>
    </w:p>
    <w:p w14:paraId="203FB6E2" w14:textId="77777777" w:rsidR="00090C9B" w:rsidRPr="00722885" w:rsidRDefault="00090C9B" w:rsidP="00722885">
      <w:pPr>
        <w:pStyle w:val="Iauiue"/>
        <w:jc w:val="both"/>
        <w:rPr>
          <w:color w:val="000000" w:themeColor="text1"/>
          <w:sz w:val="16"/>
          <w:szCs w:val="16"/>
        </w:rPr>
      </w:pPr>
    </w:p>
    <w:p w14:paraId="4757B619"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9 ноября </w:t>
      </w:r>
      <w:r w:rsidRPr="00722885">
        <w:rPr>
          <w:rFonts w:ascii="Times New Roman" w:hAnsi="Times New Roman"/>
          <w:color w:val="000000" w:themeColor="text1"/>
          <w:sz w:val="16"/>
          <w:szCs w:val="16"/>
        </w:rPr>
        <w:t>в 1942 году Радист армии США Гарри Тернер устанавливает рекорд скорости (175 знаков в минуту) передачи знаков азбуки Морзе на ручном передатчике (14825).</w:t>
      </w:r>
    </w:p>
    <w:p w14:paraId="0AF1A731"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73A7A89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1FA8B23" w14:textId="77777777" w:rsidR="00090C9B" w:rsidRPr="00722885" w:rsidRDefault="00090C9B" w:rsidP="00722885">
      <w:pPr>
        <w:pStyle w:val="Iauiue"/>
        <w:jc w:val="both"/>
        <w:rPr>
          <w:iCs/>
          <w:color w:val="000000" w:themeColor="text1"/>
          <w:sz w:val="16"/>
          <w:szCs w:val="16"/>
        </w:rPr>
      </w:pPr>
    </w:p>
    <w:p w14:paraId="03B863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ноября 1942 согласно справке 8 ГУ на это число:</w:t>
      </w:r>
    </w:p>
    <w:p w14:paraId="53D5CD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"АМ-42</w:t>
      </w:r>
    </w:p>
    <w:p w14:paraId="4C433C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Проводятся экспериментальные испытания на АМ-38, у которого введен ряд конструктивных изменений: усилены гильзы цилиндров, установлен вал с противовесом и др. Такой мотор на режимах работы мотора АМ-42 - проработал 25 час. По этому типу подготавливается мотор к 1 января 1943 для проведения 50 час. совместных испытаний.</w:t>
      </w:r>
    </w:p>
    <w:p w14:paraId="4A6271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Детали АМ-42 для 100 час ресурса запущены в производство - сборка мотора намечается на декабрь 1942...</w:t>
      </w:r>
    </w:p>
    <w:p w14:paraId="3DA31B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 28</w:t>
      </w:r>
    </w:p>
    <w:p w14:paraId="3563ECB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Проведены в ЛИИ испытания винтов ВИШ-61 на Ил-4 и Ил-2..." (2504,26).</w:t>
      </w:r>
    </w:p>
    <w:p w14:paraId="557D5783" w14:textId="77777777" w:rsidR="00090C9B" w:rsidRPr="00722885" w:rsidRDefault="00090C9B" w:rsidP="00722885">
      <w:pPr>
        <w:pStyle w:val="Iauiue"/>
        <w:jc w:val="both"/>
        <w:rPr>
          <w:color w:val="000000" w:themeColor="text1"/>
          <w:sz w:val="16"/>
          <w:szCs w:val="16"/>
        </w:rPr>
      </w:pPr>
    </w:p>
    <w:p w14:paraId="7275B015"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10 НОЯБРЯ 1942 ГОДА</w:t>
      </w:r>
    </w:p>
    <w:p w14:paraId="27F0FE15"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ПРОТОКОЛ № 92</w:t>
      </w:r>
    </w:p>
    <w:p w14:paraId="63502732"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ЗАСЕДАНИЯ ПАРТКОМА ЗАВОДА ИМ.С. ОРДЖОНИКИДЗЕ</w:t>
      </w:r>
    </w:p>
    <w:p w14:paraId="14FC9284"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ОТ 10 НОЯБРЯ 1942 ГОДА</w:t>
      </w:r>
    </w:p>
    <w:p w14:paraId="388D9444"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О работе опытного производства (доклад т. Лавочкина).</w:t>
      </w:r>
    </w:p>
    <w:p w14:paraId="2A7DC507"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Выступили: (Л. 351)</w:t>
      </w:r>
    </w:p>
    <w:p w14:paraId="35FC6C98"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Зайчик: После возвращения ОКБ из Тбилиси отдел вполне восстановлен, имеется собственная площадь, и, вообще, он стал полноценен для того, чтобы начать свою опытную работу. Работа проделана большая, по замене жалюзи, по снижению веса и скорости, но все же на сегодняшний день имеют место серьезные недостатки в работе главного конструктора, которые очень бьют основное производство. Имеется определенный консерватизм внутри отдельных моментов, надо с этим вопросом покончить.</w:t>
      </w:r>
    </w:p>
    <w:p w14:paraId="2FDECEE6"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Конструкция хорошая, но ее всюду нарушают, и в этом много виноват сам гл[авный] конструктор.</w:t>
      </w:r>
    </w:p>
    <w:p w14:paraId="11B41291"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цехе ОКБ общественная организация не развернула работы вокруг мастеров, стахановцев, в результате мы не видим показа работы и лучших людей, надо это работникам ОКБ учесть.</w:t>
      </w:r>
    </w:p>
    <w:p w14:paraId="44390351"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(Л. 351 об) Куприянов: В настоящее время нам тяжело работать в связи с тем, что очень много работ производится вручную, например, штампы - это конструкторам в дальнейшем надо учесть. Никто не отрицает, что конструкция хорошая, но когда конструируете, нужно думать и о площади.</w:t>
      </w:r>
    </w:p>
    <w:p w14:paraId="5A410E92"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Мы не в состоянии сейчас вам дать площадь, т.к. в одно прекрасное время сможем из-за этого подвести весь завод. Главный конструктор в стороне от графика то же не может стоять, он также отвечает за график, как и завод.</w:t>
      </w:r>
    </w:p>
    <w:p w14:paraId="0CD8D035"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Плазово-шаблонный цех необходимо укрепить и заставить его работать.</w:t>
      </w:r>
    </w:p>
    <w:p w14:paraId="74B83A92"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Закс: &lt;...&gt; Наши все требования, которые мы предъявляли, удовлетворены, но все же еще людей не хватает. По конструкции - директор завода делает большую ошибку, что не дает первую опытную машину в ЦАГИ на испытания, т.к. одним нам выявить дефекты трудно.</w:t>
      </w:r>
    </w:p>
    <w:p w14:paraId="5AABF184"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Резников: Я хочу обратить внимание работников ОТК на следующие факты, с которыми приходится сталкиваться, это то, что ни одно новшество ни одно внедрение без трений и без изменений не пройдет.</w:t>
      </w:r>
    </w:p>
    <w:p w14:paraId="115D462C"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Например, качалка - несколько раз изменялась - этого допускать нельзя. Мне кажется, что также надо проверить фонарь, т.к. в машине подгоняем, а в чертежах не изменили.</w:t>
      </w:r>
    </w:p>
    <w:p w14:paraId="4259CB12"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Я бы хотел, чтобы в работе ОКБ был живой контакт, чтобы он вязался с производством. Мне кажется, не было бы плохим, а кажется целесообразным объединить СКО и ОКБ, т.к. одно с другим очень связано.</w:t>
      </w:r>
    </w:p>
    <w:p w14:paraId="09D03727"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Агаджанов: Какие задачи перед ОКБ - ясно, что задание, которое дает нам производство, оно очень серьезное, и за это должен нести ответственность не только Лавочкин, но и весь коллектив ОКБ. В ОКБ есть, конечно, люди малограмотные, но в основном коллектив хороший, здоровый. </w:t>
      </w:r>
    </w:p>
    <w:p w14:paraId="13E07CD5"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Поэтому вопрос так стоит, что, несмотря на то, кто конструкторов мало, они работают хорошо, и нам надо это как-то отметить, и замечание т. Лавочкина в этой области справедливое. Второй вопрос - очень много изменений, почему? Необходимо над этим крепко поработать. У нас получается некоторая расхлябанность, это явление надо ликвидировать, трезво учесть все трудности и пойти им навстречу. СКО и ОБК объединять не следует, они должны быть совершенно самостоятельными, и СКО должно быть целиком под влиянием главного инженера.</w:t>
      </w:r>
    </w:p>
    <w:p w14:paraId="2621AA8F"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(Л. 352) Грушин: Конструкция тогда будет ценна, когда она испытана на фронте. В настоящее время мы, к сожалению, не можем сказать о хорошем качестве нашей машины, а ведь с нас все время спрашивают улучшение качества. Мне кажется, что партком нам должен в этой части помочь.</w:t>
      </w:r>
    </w:p>
    <w:p w14:paraId="7498E5BF"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Агуреев: На парткоме мы поставили вопрос об ОКБ в такой мере впервые, и мы должны его работу поставить на должную высоту и в те рамки, которые должны быть. Что мы должны отметить? ОКБ проделало большую работу, что отдел надо развивать и гораздо быстрее, чем это сейчас есть. Работники заявляют, что они всем удовлетворены, что все уже есть, это неправильно. Надо себя настраивать в первую очередь на расширение производства с таким расчетом, чтобы мы могли (Л. 352) потом с этого производства спросить. Нам с одной стороны, хорошо, что главный конструктор на заводе, а с другой плохо, потому, что всю ответственность </w:t>
      </w:r>
      <w:r w:rsidRPr="00722885">
        <w:rPr>
          <w:rFonts w:ascii="Tahoma" w:hAnsi="Tahoma" w:cs="Tahoma"/>
          <w:color w:val="0070C0"/>
          <w:sz w:val="16"/>
          <w:szCs w:val="16"/>
        </w:rPr>
        <w:t>﻿</w:t>
      </w:r>
      <w:r w:rsidRPr="00722885">
        <w:rPr>
          <w:rFonts w:ascii="Times New Roman" w:hAnsi="Times New Roman"/>
          <w:color w:val="0070C0"/>
          <w:sz w:val="16"/>
          <w:szCs w:val="16"/>
        </w:rPr>
        <w:t xml:space="preserve">с себя мы перекладываем на главного конструктора. Необходимо нам всем вместе стремиться к улучшению чертежного хозяйства, этим самым мы положим конец так называемой вражде между опытным и серийным производством. </w:t>
      </w:r>
    </w:p>
    <w:p w14:paraId="28B2BA43"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Надо навести порядок, и разграничить СКБ и ОКБ, я не хочу предрешать их объединение или разделение. Ведь греха таить нечего, с внедрением новой машины ОКБ всю основную работу и нес, вот поэтому мы и говорим, что нужно разобраться.</w:t>
      </w:r>
    </w:p>
    <w:p w14:paraId="6BA06924"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А в настоящее время партком интересует вопрос о том, что завтра на фронт завод выпускает машину неотработанную, и все это происходит безнаказанно, без всякого принятия к кому-либо каких-нибудь мер. Такое положение мы дальше терпеть не можем, надо это разрядить и поставить всех на свое место.</w:t>
      </w:r>
    </w:p>
    <w:p w14:paraId="03EE6AE4"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ОКБ проделало большую работу, но при тех людях и площадях можно было бы сделать больше, и я считаю, что ОКБ на сегодня работает не напряженно, и коллектив не понял всех трудностей, которые завод имеет, работает с прохладцей... Соревнованием не занимаются, коллектив не мобилизован. </w:t>
      </w:r>
    </w:p>
    <w:p w14:paraId="6C875403"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 этих конструкторов можно было выжать гораздо больше, но, мне кажется, ОКБ имеет основную болезнь - это чины и ранги. С этим трудно бороться, но это все поправимо, и я уверен, что коллектив в целом под руководством парторганизации с поставленными задачами справится».</w:t>
      </w:r>
    </w:p>
    <w:p w14:paraId="1EAEF738"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Секретарь парткома завода им. Серго Орджоникидзе</w:t>
      </w:r>
      <w:r w:rsidRPr="00722885">
        <w:rPr>
          <w:rFonts w:ascii="Times New Roman" w:hAnsi="Times New Roman"/>
          <w:color w:val="0070C0"/>
          <w:sz w:val="16"/>
          <w:szCs w:val="16"/>
        </w:rPr>
        <w:tab/>
        <w:t>(АГУРЕЕВ)</w:t>
      </w:r>
    </w:p>
    <w:p w14:paraId="394EEA33"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ГОПАНО. Ф. 1947. On. 1. Д. 315а. Л. 315-352.</w:t>
      </w:r>
    </w:p>
    <w:p w14:paraId="237B6B9D"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Подлинник. Машинопись (21031).</w:t>
      </w:r>
    </w:p>
    <w:p w14:paraId="50DC2BA5" w14:textId="77777777" w:rsidR="007610D8" w:rsidRPr="00722885" w:rsidRDefault="007610D8" w:rsidP="00722885">
      <w:pPr>
        <w:spacing w:after="0" w:line="240" w:lineRule="auto"/>
        <w:jc w:val="both"/>
        <w:rPr>
          <w:rFonts w:ascii="Times New Roman" w:hAnsi="Times New Roman"/>
          <w:color w:val="0070C0"/>
          <w:sz w:val="16"/>
          <w:szCs w:val="16"/>
        </w:rPr>
      </w:pPr>
    </w:p>
    <w:p w14:paraId="4493226B" w14:textId="77777777" w:rsidR="00752DA1" w:rsidRPr="00722885" w:rsidRDefault="00752DA1"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10 ноября 1942 в заключении отчета от по ре</w:t>
      </w:r>
      <w:r w:rsidRPr="00722885">
        <w:rPr>
          <w:rFonts w:ascii="Times New Roman" w:cs="Times New Roman"/>
          <w:color w:val="000000" w:themeColor="text1"/>
          <w:spacing w:val="0"/>
          <w:sz w:val="16"/>
          <w:szCs w:val="16"/>
        </w:rPr>
        <w:softHyphen/>
        <w:t>зультатам испытаний дюралевой брони, установленной на немецком истребителе модификации В1109С-2, и всей системы брони в целом констатировалось:</w:t>
      </w:r>
    </w:p>
    <w:p w14:paraId="5B9C36F0" w14:textId="77777777" w:rsidR="00752DA1" w:rsidRPr="00722885" w:rsidRDefault="00752DA1"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«1) Дюралевая броня примерно равноцен</w:t>
      </w:r>
      <w:r w:rsidRPr="00722885">
        <w:rPr>
          <w:rFonts w:ascii="Times New Roman" w:cs="Times New Roman"/>
          <w:color w:val="000000" w:themeColor="text1"/>
          <w:sz w:val="16"/>
          <w:szCs w:val="16"/>
        </w:rPr>
        <w:softHyphen/>
        <w:t>на 6 мм немецкой гомогенной броне или 4 мм советской АБ-2.</w:t>
      </w:r>
    </w:p>
    <w:p w14:paraId="12F48DC0" w14:textId="77777777" w:rsidR="00752DA1" w:rsidRPr="00722885" w:rsidRDefault="00752DA1"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2) От попадания в бак зажигательного со</w:t>
      </w:r>
      <w:r w:rsidRPr="00722885">
        <w:rPr>
          <w:rFonts w:ascii="Times New Roman" w:cs="Times New Roman"/>
          <w:color w:val="000000" w:themeColor="text1"/>
          <w:sz w:val="16"/>
          <w:szCs w:val="16"/>
        </w:rPr>
        <w:softHyphen/>
        <w:t>става пули при обстреле БЗ пулей калибра 12,1 мм дюралевый экран не предохраняет» (15778).</w:t>
      </w:r>
    </w:p>
    <w:p w14:paraId="4AEEBC31" w14:textId="77777777" w:rsidR="00752DA1" w:rsidRPr="00722885" w:rsidRDefault="00752DA1" w:rsidP="00722885">
      <w:pPr>
        <w:pStyle w:val="36"/>
        <w:shd w:val="clear" w:color="auto" w:fill="auto"/>
        <w:spacing w:after="0" w:line="240" w:lineRule="auto"/>
        <w:jc w:val="both"/>
        <w:rPr>
          <w:rFonts w:ascii="Times New Roman" w:cs="Times New Roman"/>
          <w:color w:val="000000" w:themeColor="text1"/>
          <w:spacing w:val="0"/>
          <w:sz w:val="16"/>
          <w:szCs w:val="16"/>
        </w:rPr>
      </w:pPr>
    </w:p>
    <w:p w14:paraId="43B67B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10 ноября 1942 года Паспорт завода № 19 им. Сталина</w:t>
      </w:r>
    </w:p>
    <w:p w14:paraId="4AAE51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Кожевников</w:t>
      </w:r>
    </w:p>
    <w:p w14:paraId="1C87B1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организации эвакуированного производства поршневых колец в августе 1941 года заводом частично занято помещение Молотовского авиационного техникума.</w:t>
      </w:r>
    </w:p>
    <w:p w14:paraId="1CB90A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период августа-ноября 1941 года завод разместил на своей территории эвакуированные из прифронтовой полосы заводы №№ 462, 289 и 135 с предоставлением производственных и вспомогательных площадей.</w:t>
      </w:r>
    </w:p>
    <w:p w14:paraId="01C64F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Солдатов (9411)</w:t>
      </w:r>
    </w:p>
    <w:p w14:paraId="2FDB647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ноября 1942 г. Королев прибыл в Казань и был направ</w:t>
      </w:r>
      <w:r w:rsidRPr="00722885">
        <w:rPr>
          <w:rFonts w:ascii="Times New Roman" w:hAnsi="Times New Roman"/>
          <w:color w:val="000000" w:themeColor="text1"/>
          <w:sz w:val="16"/>
          <w:szCs w:val="16"/>
        </w:rPr>
        <w:softHyphen/>
        <w:t>лен в КБ, которым руководил В.П. Глушко. КБ работало над созданием четырехкамерного реактивного двигателя на жидком топливе тягой 1200 кг. Однако на первом этапе наиболее реаль</w:t>
      </w:r>
      <w:r w:rsidRPr="00722885">
        <w:rPr>
          <w:rFonts w:ascii="Times New Roman" w:hAnsi="Times New Roman"/>
          <w:color w:val="000000" w:themeColor="text1"/>
          <w:sz w:val="16"/>
          <w:szCs w:val="16"/>
        </w:rPr>
        <w:softHyphen/>
        <w:t>ной оказалась установка однокамерного варианта РД-1 тягой 300 кг в качестве вспомогательного двигателя на самолет Петлякова Пе-2. На втором этапе предполагалось построить реактивный са-молет-перехватчик РП с четырехкамерным РД-1. Проект это</w:t>
      </w:r>
      <w:r w:rsidRPr="00722885">
        <w:rPr>
          <w:rFonts w:ascii="Times New Roman" w:hAnsi="Times New Roman"/>
          <w:color w:val="000000" w:themeColor="text1"/>
          <w:sz w:val="16"/>
          <w:szCs w:val="16"/>
        </w:rPr>
        <w:softHyphen/>
        <w:t>го самолета выполнили в КБ в очень короткий срок (10675).</w:t>
      </w:r>
    </w:p>
    <w:p w14:paraId="0EA988F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8F7450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11F7E85" w14:textId="77777777" w:rsidR="00090C9B" w:rsidRPr="00722885" w:rsidRDefault="00090C9B" w:rsidP="00722885">
      <w:pPr>
        <w:pStyle w:val="Iauiue"/>
        <w:jc w:val="both"/>
        <w:rPr>
          <w:iCs/>
          <w:color w:val="000000" w:themeColor="text1"/>
          <w:sz w:val="16"/>
          <w:szCs w:val="16"/>
        </w:rPr>
      </w:pPr>
    </w:p>
    <w:p w14:paraId="1045ACE1" w14:textId="77777777" w:rsidR="00752DA1" w:rsidRPr="00722885" w:rsidRDefault="00752DA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По состоянию на 10 ноября 1942 года на заводе № 100 имелось три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15001,15002 и 15125 (15226).</w:t>
      </w:r>
    </w:p>
    <w:p w14:paraId="5C05F12E" w14:textId="77777777" w:rsidR="00752DA1" w:rsidRPr="00722885" w:rsidRDefault="00752DA1" w:rsidP="00722885">
      <w:pPr>
        <w:pStyle w:val="27"/>
        <w:shd w:val="clear" w:color="auto" w:fill="auto"/>
        <w:spacing w:after="0" w:line="240" w:lineRule="auto"/>
        <w:ind w:firstLine="0"/>
        <w:rPr>
          <w:rFonts w:ascii="Times New Roman" w:cs="Times New Roman"/>
          <w:color w:val="000000" w:themeColor="text1"/>
          <w:spacing w:val="0"/>
        </w:rPr>
      </w:pPr>
    </w:p>
    <w:p w14:paraId="2784E43B" w14:textId="77777777" w:rsidR="007610D8" w:rsidRPr="00722885" w:rsidRDefault="007610D8" w:rsidP="00722885">
      <w:pPr>
        <w:pStyle w:val="172"/>
        <w:shd w:val="clear" w:color="auto" w:fill="auto"/>
        <w:spacing w:before="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shd w:val="clear" w:color="auto" w:fill="FFFFFF"/>
        </w:rPr>
        <w:t>10 ноября 1942 года было подписано Предписание Артиллерийского Комитета ГАУ КА на проведение испытаний английской 6-фунтовой  пушки. Проводили испытания на Гороховецком АНИОП. Во время войны он стал основным местом испытаний буксируемой и танковой/самоходной артиллерии. Само орудие поступило еще 7 ноября 1942 года, но по факту начались испытания 7 января 1943 года. Причина прозаичная - "снарядный голод". Прибыли боеприпасы только 6 января, причем в объеме всего 100 штук. Поэтому испытания оказались недолгими: закончились они 9 января, после того, как снаряды кончились (23189).</w:t>
      </w:r>
    </w:p>
    <w:p w14:paraId="30346EF2" w14:textId="77777777" w:rsidR="007610D8" w:rsidRPr="00722885" w:rsidRDefault="007610D8" w:rsidP="00722885">
      <w:pPr>
        <w:pStyle w:val="172"/>
        <w:shd w:val="clear" w:color="auto" w:fill="auto"/>
        <w:spacing w:before="0" w:line="240" w:lineRule="auto"/>
        <w:ind w:firstLine="0"/>
        <w:jc w:val="both"/>
        <w:rPr>
          <w:rFonts w:ascii="Times New Roman" w:hAnsi="Times New Roman" w:cs="Times New Roman"/>
          <w:color w:val="0070C0"/>
          <w:sz w:val="16"/>
          <w:szCs w:val="16"/>
        </w:rPr>
      </w:pPr>
    </w:p>
    <w:p w14:paraId="6B024973" w14:textId="77777777" w:rsidR="00752DA1" w:rsidRPr="00722885" w:rsidRDefault="00752DA1"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ноября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приказ по ГАЗ требовал организовать отгонку импортных автомобилей и бронемашин с главного конвейера в отдел сбыта в холодном состоянии (для экономии горючего) на буксире (использовать для этого автомобили марки «Студебеккер») (15218).</w:t>
      </w:r>
    </w:p>
    <w:p w14:paraId="51C8B584" w14:textId="77777777" w:rsidR="00752DA1" w:rsidRPr="00722885" w:rsidRDefault="00752DA1" w:rsidP="00722885">
      <w:pPr>
        <w:widowControl w:val="0"/>
        <w:spacing w:after="0" w:line="240" w:lineRule="auto"/>
        <w:jc w:val="both"/>
        <w:rPr>
          <w:rFonts w:ascii="Times New Roman" w:hAnsi="Times New Roman"/>
          <w:color w:val="000000" w:themeColor="text1"/>
          <w:sz w:val="16"/>
          <w:szCs w:val="16"/>
        </w:rPr>
      </w:pPr>
    </w:p>
    <w:p w14:paraId="1BE862C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10 ноября 1942 года вышел приказ НКБ и НКМВ № 895с/430с</w:t>
      </w:r>
    </w:p>
    <w:p w14:paraId="3D22D76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постановлением ГКО от 15 ноября 1942 года № 2472:</w:t>
      </w:r>
    </w:p>
    <w:p w14:paraId="7CAEFD4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Передать рязанский завод № 567 из системы НКБ в систему НКМВ (5945, 112).</w:t>
      </w:r>
    </w:p>
    <w:p w14:paraId="6036C190" w14:textId="77777777" w:rsidR="00090C9B" w:rsidRPr="00722885" w:rsidRDefault="00090C9B" w:rsidP="00722885">
      <w:pPr>
        <w:pStyle w:val="Iauiue"/>
        <w:tabs>
          <w:tab w:val="left" w:pos="11199"/>
        </w:tabs>
        <w:jc w:val="both"/>
        <w:rPr>
          <w:color w:val="000000" w:themeColor="text1"/>
          <w:sz w:val="16"/>
          <w:szCs w:val="16"/>
        </w:rPr>
      </w:pPr>
    </w:p>
    <w:p w14:paraId="2FACA36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ноября 1942 г. была подготовлена ДОКЛАДНАЯ ЗАПИСКА БТУ ГАБТУ КА В НКВТ О ПОСТАВКАХ ИЗ АНГЛИИ ТЯЖЕЛЫХ ТАНКОВ МК-4 ЧЕРЧИЛЛЬ</w:t>
      </w:r>
    </w:p>
    <w:p w14:paraId="0D067EF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Весной текущего года было принято решение о поставках из Англии в СССР тяжелых танков МК-4 Черчилль.</w:t>
      </w:r>
    </w:p>
    <w:p w14:paraId="4D409E1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по состоянию на 9 ноября 1942 г., нами получено 84 танка Черчилль.</w:t>
      </w:r>
    </w:p>
    <w:p w14:paraId="42FCED0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докладу бывшего члена Военной миссии СССР в Англии инженер - подполковника т. Ковалева, в феврале - марте 1942 г. англичанам было сообщено о согласии нашего Правительства на поставку 50 штук танков Черчилль в счет танков Матильда. Англичанам было также сообщено, что решение о дальнейших поставках танков Черчилль будет принято после испытания этих танков в боевых условиях.</w:t>
      </w:r>
    </w:p>
    <w:p w14:paraId="7C1F2E1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сами англичане предлагали эти танки в количестве 25 штук для испытаний, т.к. не</w:t>
      </w:r>
      <w:r w:rsidRPr="00722885">
        <w:rPr>
          <w:rFonts w:ascii="Times New Roman" w:hAnsi="Times New Roman"/>
          <w:color w:val="000000" w:themeColor="text1"/>
          <w:sz w:val="16"/>
          <w:szCs w:val="16"/>
        </w:rPr>
        <w:softHyphen/>
        <w:t>смотря на то, что эти танки находятся у них в крупносерийном производстве, большого опыта экс</w:t>
      </w:r>
      <w:r w:rsidRPr="00722885">
        <w:rPr>
          <w:rFonts w:ascii="Times New Roman" w:hAnsi="Times New Roman"/>
          <w:color w:val="000000" w:themeColor="text1"/>
          <w:sz w:val="16"/>
          <w:szCs w:val="16"/>
        </w:rPr>
        <w:softHyphen/>
        <w:t>плуатации они не имели и поэтому предлагали испытать их у нас на фронтах.</w:t>
      </w:r>
    </w:p>
    <w:p w14:paraId="533819C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кратковременной эксплуатации танков Черчилль в наших войсковых частях уста</w:t>
      </w:r>
      <w:r w:rsidRPr="00722885">
        <w:rPr>
          <w:rFonts w:ascii="Times New Roman" w:hAnsi="Times New Roman"/>
          <w:color w:val="000000" w:themeColor="text1"/>
          <w:sz w:val="16"/>
          <w:szCs w:val="16"/>
        </w:rPr>
        <w:softHyphen/>
        <w:t>новлено, что эти танки имеют некоторые серьезные дефекты, снижающие их боевые качества.</w:t>
      </w:r>
    </w:p>
    <w:p w14:paraId="2A42814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Ввиду всего этого, прошу Вас запросить нашу Военную миссию в Лондоне о принятых к поставкам ко</w:t>
      </w:r>
      <w:r w:rsidRPr="00722885">
        <w:rPr>
          <w:rFonts w:ascii="Times New Roman" w:hAnsi="Times New Roman"/>
          <w:color w:val="000000" w:themeColor="text1"/>
          <w:sz w:val="16"/>
          <w:szCs w:val="16"/>
        </w:rPr>
        <w:softHyphen/>
        <w:t>личествах танков Черчилль и сообщить о необходимости немедленного устранения выявленных дефектов.</w:t>
      </w:r>
    </w:p>
    <w:p w14:paraId="54653B6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дефектах танков Черчилль было сообщено англичанам и кроме того с ними был ознакомлен на месте англичанин, капитан Кокс.</w:t>
      </w:r>
    </w:p>
    <w:p w14:paraId="4AA5DA3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 своей стороны считаю, что в соответствии с прежним решением о поставках небольшой пар</w:t>
      </w:r>
      <w:r w:rsidRPr="00722885">
        <w:rPr>
          <w:rFonts w:ascii="Times New Roman" w:hAnsi="Times New Roman"/>
          <w:color w:val="000000" w:themeColor="text1"/>
          <w:sz w:val="16"/>
          <w:szCs w:val="16"/>
        </w:rPr>
        <w:softHyphen/>
        <w:t>тии танков Черчилль целесообразно воздержаться от дальнейших поставок этих танков до полного выявления их качеств и до устранения выявленных дефектов в конструкции.</w:t>
      </w:r>
    </w:p>
    <w:p w14:paraId="57B1D92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Перечень выявленных дефектов танков Черчилль при сем прилагаю.</w:t>
      </w:r>
    </w:p>
    <w:p w14:paraId="5CE4B78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Вашем решении прошу сообщить.</w:t>
      </w:r>
    </w:p>
    <w:p w14:paraId="4D62D59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БТУ ГАБТУ КА инженер - полковник Афонин</w:t>
      </w:r>
    </w:p>
    <w:p w14:paraId="63A9109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w:t>
      </w:r>
    </w:p>
    <w:p w14:paraId="67EE720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Перечень дефектов, выявленных в процессе эксплуатации танка Черчилль</w:t>
      </w:r>
    </w:p>
    <w:p w14:paraId="41997C71"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1. Пальцы траков гусениц нового образца закрепляются путем приварки замочных планок. Не</w:t>
      </w:r>
      <w:r w:rsidRPr="00722885">
        <w:rPr>
          <w:i w:val="0"/>
          <w:iCs w:val="0"/>
          <w:color w:val="000000" w:themeColor="text1"/>
          <w:spacing w:val="0"/>
          <w:kern w:val="0"/>
          <w:position w:val="0"/>
          <w:sz w:val="16"/>
          <w:szCs w:val="16"/>
        </w:rPr>
        <w:softHyphen/>
        <w:t>достаток — сложный демонтаж гусеницы в полевых условиях (в боевой обстановке). После замены траков закрепить пальцы способом приварки замочных пластин затруднительно</w:t>
      </w:r>
    </w:p>
    <w:p w14:paraId="3847C53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Траки облегченной конструкции набирают много грязи оребрениями между опорными греб</w:t>
      </w:r>
      <w:r w:rsidRPr="00722885">
        <w:rPr>
          <w:rFonts w:ascii="Times New Roman" w:hAnsi="Times New Roman"/>
          <w:color w:val="000000" w:themeColor="text1"/>
          <w:sz w:val="16"/>
          <w:szCs w:val="16"/>
        </w:rPr>
        <w:softHyphen/>
        <w:t>нями. В результате этого срываются грязевики (крылья), а иногда выпучивание гусеницы в верхней части затрудняет поворот башни.</w:t>
      </w:r>
    </w:p>
    <w:p w14:paraId="34663B8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Крепление опорных катков на осях недостаточно прочное. Наблюдаются случаи срыва сва</w:t>
      </w:r>
      <w:r w:rsidRPr="00722885">
        <w:rPr>
          <w:rFonts w:ascii="Times New Roman" w:hAnsi="Times New Roman"/>
          <w:color w:val="000000" w:themeColor="text1"/>
          <w:sz w:val="16"/>
          <w:szCs w:val="16"/>
        </w:rPr>
        <w:softHyphen/>
        <w:t>рочного шва с торцевых сторон катков и, как следствие, потеря катков при движении танка.</w:t>
      </w:r>
    </w:p>
    <w:p w14:paraId="510694B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Проушины траков гусениц имеют недостаточную прочность и поэтому при эксплуатации разрушаются.</w:t>
      </w:r>
    </w:p>
    <w:p w14:paraId="048509A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Недостаточная прочность ведущих приливов нажимного диска главного фрикциона. В работе наблюдаются случаи поломок этих приливов у основания (в месте гальтельной подрезки).</w:t>
      </w:r>
    </w:p>
    <w:p w14:paraId="7ED104B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Недостаточная прочность поводковых валиков коробки перемены передач. Очень часты слу</w:t>
      </w:r>
      <w:r w:rsidRPr="00722885">
        <w:rPr>
          <w:rFonts w:ascii="Times New Roman" w:hAnsi="Times New Roman"/>
          <w:color w:val="000000" w:themeColor="text1"/>
          <w:sz w:val="16"/>
          <w:szCs w:val="16"/>
        </w:rPr>
        <w:softHyphen/>
        <w:t>чаи поломки этих валиков в месте переходного сечения.</w:t>
      </w:r>
    </w:p>
    <w:p w14:paraId="33AEDCA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Поломки зубьев солнечных шестерен дифференциальных валов коробки перемены передач по причине недостаточной их механической прочности.</w:t>
      </w:r>
    </w:p>
    <w:p w14:paraId="5653324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Течь масла через резиновые сальники коробки перемены передач, в результате происходит быстрое замасливание тормозных колодок.</w:t>
      </w:r>
    </w:p>
    <w:p w14:paraId="50BDB30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Недостаточная прочность гибкого привода бензопомпы «Амаль». В работе наблюдаются час</w:t>
      </w:r>
      <w:r w:rsidRPr="00722885">
        <w:rPr>
          <w:rFonts w:ascii="Times New Roman" w:hAnsi="Times New Roman"/>
          <w:color w:val="000000" w:themeColor="text1"/>
          <w:sz w:val="16"/>
          <w:szCs w:val="16"/>
        </w:rPr>
        <w:softHyphen/>
        <w:t>тые случаи обрыва этих приводов.</w:t>
      </w:r>
    </w:p>
    <w:p w14:paraId="188AD5F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Конструкция ручного механизма поворота башни недостаточно надежна в работе. Происхо</w:t>
      </w:r>
      <w:r w:rsidRPr="00722885">
        <w:rPr>
          <w:rFonts w:ascii="Times New Roman" w:hAnsi="Times New Roman"/>
          <w:color w:val="000000" w:themeColor="text1"/>
          <w:sz w:val="16"/>
          <w:szCs w:val="16"/>
        </w:rPr>
        <w:softHyphen/>
        <w:t>дят частые обрывы приводной цепи галя, а также изгибы вилки переключения на ручной привод.</w:t>
      </w:r>
    </w:p>
    <w:p w14:paraId="213F08D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Расположение смотровых приборов (по высоте) у механика-водителя и его помощника не обеспечивает бортовую обзорность из отделения управления.</w:t>
      </w:r>
    </w:p>
    <w:p w14:paraId="0A43357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Открытые жалюзи воздухопритоков не предохраняют от попадания в моторное отделение жидкости зажигательных бутылок.</w:t>
      </w:r>
    </w:p>
    <w:p w14:paraId="4F65E3E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Траки гусениц полученных танков не обеспечивают хорошее зацепление с грунтом. Гладкая опорная поверхность траков ограничивает углы подъема и бокового крена при движении танка.</w:t>
      </w:r>
    </w:p>
    <w:p w14:paraId="12E4E31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При движении с креном более 20" происходит спадание гусениц.</w:t>
      </w:r>
    </w:p>
    <w:p w14:paraId="71E7EE5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Пружины противооткатных устройств 57-мм пушки имеют неправильно заправленные кон</w:t>
      </w:r>
      <w:r w:rsidRPr="00722885">
        <w:rPr>
          <w:rFonts w:ascii="Times New Roman" w:hAnsi="Times New Roman"/>
          <w:color w:val="000000" w:themeColor="text1"/>
          <w:sz w:val="16"/>
          <w:szCs w:val="16"/>
        </w:rPr>
        <w:softHyphen/>
        <w:t>цы, что вызывает перекосы и заедание пружин о стенки цилиндров при работе пушки.</w:t>
      </w:r>
    </w:p>
    <w:p w14:paraId="69AEB64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6 отдела БТУ ГАБТУ КА инженер-подполковник Ковалев</w:t>
      </w:r>
    </w:p>
    <w:p w14:paraId="6E9295D4"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11355. Д. 938. Л. 71-72. Подлинник (11211).</w:t>
      </w:r>
    </w:p>
    <w:p w14:paraId="088AEB64" w14:textId="77777777" w:rsidR="00090C9B" w:rsidRPr="00722885" w:rsidRDefault="00090C9B" w:rsidP="00722885">
      <w:pPr>
        <w:pStyle w:val="afff2"/>
        <w:jc w:val="both"/>
        <w:rPr>
          <w:i w:val="0"/>
          <w:iCs w:val="0"/>
          <w:color w:val="000000" w:themeColor="text1"/>
          <w:spacing w:val="0"/>
          <w:kern w:val="0"/>
          <w:position w:val="0"/>
          <w:sz w:val="16"/>
          <w:szCs w:val="16"/>
        </w:rPr>
      </w:pPr>
    </w:p>
    <w:p w14:paraId="54751B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ноября 1942 вышло Постановление ГКО № 2495 О материально-техническом обеспечении автомобильных заводов Наркомсредмаша в IV квартале 1942 года. РГАНИР, Фонд ГКО, д. 68, лл. 226-233, 234-249 (11012).</w:t>
      </w:r>
    </w:p>
    <w:p w14:paraId="2B9D314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87918A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10 ноября 1942 вышло Постановление ГКО № 2496 Об общем плане погрузки народнохозяйственных и воинских грузов на ноябрь 1942 года. (7062, 250).</w:t>
      </w:r>
    </w:p>
    <w:p w14:paraId="68B4D6E0" w14:textId="77777777" w:rsidR="00090C9B" w:rsidRPr="00722885" w:rsidRDefault="00090C9B" w:rsidP="00722885">
      <w:pPr>
        <w:pStyle w:val="Iauiue"/>
        <w:tabs>
          <w:tab w:val="left" w:pos="11199"/>
        </w:tabs>
        <w:jc w:val="both"/>
        <w:rPr>
          <w:color w:val="000000" w:themeColor="text1"/>
          <w:sz w:val="16"/>
          <w:szCs w:val="16"/>
        </w:rPr>
      </w:pPr>
    </w:p>
    <w:p w14:paraId="7CA43F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ноября 1942 вышло Постановление ГКО № 2497 О мероприятиях по обеспечению ввода в действие 8-й коксовой батареи Кемеровского коксохимического завода Наркомчермета. РГАНИР, Фонд ГКО, д. 68, лл. 251-254, 255-258 (11012).</w:t>
      </w:r>
    </w:p>
    <w:p w14:paraId="4420CE5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999F3D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10 ноября 1942 вышло Постановление ГКО № 2499 Об отнесении руководящих работников управлений железных дорог Ашхабадской, Ташкентской, Оренбургской и Рязано-Уральской по оплате к первой группе дорог. (7062, 260).</w:t>
      </w:r>
    </w:p>
    <w:p w14:paraId="622C7D6F" w14:textId="77777777" w:rsidR="00090C9B" w:rsidRPr="00722885" w:rsidRDefault="00090C9B" w:rsidP="00722885">
      <w:pPr>
        <w:pStyle w:val="Iauiue"/>
        <w:tabs>
          <w:tab w:val="left" w:pos="11199"/>
        </w:tabs>
        <w:jc w:val="both"/>
        <w:rPr>
          <w:color w:val="000000" w:themeColor="text1"/>
          <w:sz w:val="16"/>
          <w:szCs w:val="16"/>
        </w:rPr>
      </w:pPr>
    </w:p>
    <w:p w14:paraId="5FD4EE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 вышло Постановление ГКО № 2500 10 ноября О восстановлении Главной инспекции по эксплуатации и об организации новых главных управлений и отделов в Наркомате электростанций. РГАНИР, Фонд ГКО, д. 68, лл. 261-263, 264-266 (11012).</w:t>
      </w:r>
    </w:p>
    <w:p w14:paraId="06D27DA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42A9B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ноября 1942 вышло Постановление ГКО № 2501 О т.т. Батракове П.К., Кузнецове М.Г., Шатилове С.С., Рудакове М.В., Печерице П.Л., Грушевом К.С., Усенко А.С., Кудрявцеве В.Н., Фоминых А.Я., Субботине Н.Е., Колонине С.Е., Клокове В.Я., Маланине М.П. и Крайнюкове К.В. (назначения)РГАНИР, Фонд ГКО, д. 68, лл. (11012).</w:t>
      </w:r>
    </w:p>
    <w:p w14:paraId="018BFEF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2C14C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ноября 1942 судостроители завода им. А. А. Жданова приступили к капитальному ремонту лидера "Минск", затонувшего в Кронштадте при бомбежке 21 сентября 1941 г (10671).</w:t>
      </w:r>
    </w:p>
    <w:p w14:paraId="7C9FE31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CD8285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B90B853" w14:textId="77777777" w:rsidR="00090C9B" w:rsidRPr="00722885" w:rsidRDefault="00090C9B" w:rsidP="00722885">
      <w:pPr>
        <w:pStyle w:val="Iauiue"/>
        <w:jc w:val="both"/>
        <w:rPr>
          <w:iCs/>
          <w:color w:val="000000" w:themeColor="text1"/>
          <w:sz w:val="16"/>
          <w:szCs w:val="16"/>
        </w:rPr>
      </w:pPr>
    </w:p>
    <w:p w14:paraId="69FC0165"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10 ноября </w:t>
      </w:r>
      <w:r w:rsidRPr="00722885">
        <w:rPr>
          <w:rFonts w:ascii="Times New Roman" w:hAnsi="Times New Roman"/>
          <w:color w:val="000000" w:themeColor="text1"/>
          <w:sz w:val="16"/>
          <w:szCs w:val="16"/>
        </w:rPr>
        <w:t>в 1942 году утреннее сообщение Совинформбюро:</w:t>
      </w:r>
    </w:p>
    <w:p w14:paraId="03CE7735"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10 ноября наши войска вели бои с противником в районе Сталинграда, северо-восточнее Туапсе и юго-восточнее Нальчика. На других фронтах никаких изменении не произошло.</w:t>
      </w:r>
    </w:p>
    <w:p w14:paraId="22BFD4DE"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части укрепляли свои позиции и отражали атаки мелких групп противника. Попытки роты немецкой пехоты вести разведку на участкеу одного из заводов потерпели неудачу. Наши бойцы ружейно-пулемётным огнём рассеяли гитлеровцев. На всех участках обороны города уничтожено до 100 солдат и офицеров противника, 2 орудия, 11 пулемётов, разрушено 8 дзотов и блиндажей.</w:t>
      </w:r>
    </w:p>
    <w:p w14:paraId="34560D5C"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наше подразделение ночью совершило вылазку в тыл немцев. Бесшумно сняв часовых, советские бойцы ворвались в немецкие блиндажи и перебили 36 гитлеровцев. На другом участке гвардейцы-миномётчики огнём по скоплению противника уничтожили 8 автомашин и до роты немецкой пехоты.</w:t>
      </w:r>
    </w:p>
    <w:p w14:paraId="644B4B8D"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вели активные боевые действия. На одном участке противник силами пехоты и танков несколько раз атаковал наши позиции. Атаки немцев отбиты с большими для них потерями. Огнём нашей артиллерии подбито2 танка и уничтожено 2 орудия, 7 пулемётов и 3 миномёта противника.</w:t>
      </w:r>
    </w:p>
    <w:p w14:paraId="379E44D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противнику ценою больших потерь удалось переправиться через водный рубеж. Наши части контратакой отбросили немцев за реку, уничтожив при этом до 200 гитлеровцев. На другом участке разведывательный отряд немцев пытался проникнуть в расположение советских частей. Ружейно-пулемётным и миномётным огнём наши бойцы уничтожили 50 гитлеровцев. Остальные поспешно отошли.</w:t>
      </w:r>
    </w:p>
    <w:p w14:paraId="4DC436DC"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огнём нашей артиллерии и снайперов истреблено до 400 немецких солдат и офицеров, взорван склад боеприпасов и разрушено 29 дзотов иблиндажей. На одном участке группа разведчиков Н-ской части ворвалась в траншеи противника. B короткой схватке разведчики уничтожили 30 немецких солдат и 2офицеров. Захватив оружие и документы, наши бойцы без потерь вернулись в своючасть.</w:t>
      </w:r>
    </w:p>
    <w:p w14:paraId="7B7983B0"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Четыре партизанских отряда, действующие в Орловской области, провели объединёнными силами несколько боевых операций. Партизаны разгромили железнодорожную станцию и разъезд. Разрушено путевое хозяйство, сожженыслужебные постройки, взорваны два склада с различным военным имуществом и склад горючего.</w:t>
      </w:r>
    </w:p>
    <w:p w14:paraId="7FBDFB1C"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орловских партизан пустила под откос воинский эшелон противника.</w:t>
      </w:r>
    </w:p>
    <w:p w14:paraId="36574AE6"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Перешедший на сторону Красной Армии ефрейтор 285 немецкой пехотной дивизии Георг К. рассказал: «В деревне Никольское по распоряжению немецкого коменданта у школы была сооружена виселица. За время моего пребывания в деревне там повесили двух женщин и одного мужчину. Комендант собрал всех жителей к месту казни и сказал: «Сегодня мы вешаем трёх русских за то, что они спрятали несколько мешков картофеля со своих огородов и не сдали его немецкой армии. Если это повторится, мы построим ещё много виселиц». Ночью крестьяне подожгли здание комендатуры и убили немецкого коменданта. Многие жители деревни вместе с семьями бежали в леса» (14826).</w:t>
      </w:r>
    </w:p>
    <w:p w14:paraId="4DE1186B"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4F72A9EC"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10 ноября </w:t>
      </w:r>
      <w:r w:rsidRPr="00722885">
        <w:rPr>
          <w:rFonts w:ascii="Times New Roman" w:hAnsi="Times New Roman"/>
          <w:color w:val="000000" w:themeColor="text1"/>
          <w:sz w:val="16"/>
          <w:szCs w:val="16"/>
        </w:rPr>
        <w:t>в 1942 году вечернее сообщение Совинформбюро:</w:t>
      </w:r>
    </w:p>
    <w:p w14:paraId="7CED8F88"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10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40A85B94"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Балтийском море потоплен транспорт противника водоизмещением в 10 тысяч тонн.</w:t>
      </w:r>
    </w:p>
    <w:p w14:paraId="15CE0A52"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в заводской части города, мелкие группы противника пытались просочиться в нашу оборону, во были отброшены на исходные рубежи. Уничтожено 150 немецких солдат и офицеров. В южной части города Н-ская часть в результате атаки овладела несколькими опорными пунктами противника. В этом бою рассеяно и частью уничтожено до двух рот немецкой пехоты и подбит танк противника. Нашими бойцами захвачено 5 пулемётов, 40 винтовок, несколько ящиков гранат и патронов.</w:t>
      </w:r>
    </w:p>
    <w:p w14:paraId="1C6E9F3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происходила редкая артиллерийская перестрелка.Артиллеристы части, где командиром т. Глебов, уничтожили 3 блиндажа, несколько пулемётных точек и наблюдательный пункт противника.</w:t>
      </w:r>
    </w:p>
    <w:p w14:paraId="5ADDE58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бойцы Н-ской части отбили четыре атаки пехоты противника, действовавшей при поддержке 20 танков. В этом бою подбито 6 немецких танков.</w:t>
      </w:r>
    </w:p>
    <w:p w14:paraId="0DBA6361"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краснофлотцы под командованием капитана Степченко овладели одной укреплённой высотой. Гитлеровцы отступили, оставив на поле боя до 200 трупов, 4 пулемёта, 15 автоматов, много винтовок и боеприпасов. Краснофлотец т. Шуйский в этом бою захватил вражеский пулемёт и уничтожил 30 гитлеровцев. Командир отделения т. Гулько истребил 25, а краснофлотец т. Рыбалко — 10 немцев.</w:t>
      </w:r>
    </w:p>
    <w:p w14:paraId="428327BA"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Новороссийска артиллеристы под командованием гвардии майора т. Матушенко за два дня боевых действий уничтожили 16 немецких автомашин с боеприпасами и продовольствием и подавили огонь 5 батарей противника.</w:t>
      </w:r>
    </w:p>
    <w:p w14:paraId="3C97D9D8"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нашими снайперами за два дня истреблено 465 немецких солдат и офицеров. Артиллерийско-миномётным огнём разрушено 22 вражеских дзота,16 блиндажей и землянок, уничтожены 2 пулемёта и взорван склад сбоеприпасами.</w:t>
      </w:r>
    </w:p>
    <w:p w14:paraId="288D140E"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три дня на подступах к Ленинграду сбито 22 немецких самолёта.</w:t>
      </w:r>
    </w:p>
    <w:p w14:paraId="474715BB"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Три партизанских отряда Полесской области совместными силами совершили налёт на немецкий воинский эшелон. Партизаны остановили поезд и открыли по нему огонь. В завязавшейся схватке партизаны уничтожили 150 немецких солдат и офицеров, в том числе 75 эсэсовцев.</w:t>
      </w:r>
    </w:p>
    <w:p w14:paraId="0D198D10"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действующих в Минской области, сожгла 2 моста на шоссе и уничтожила телефонную связь между двумя городами.</w:t>
      </w:r>
    </w:p>
    <w:p w14:paraId="28456865"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унтер-офицер 6 роты 93 полка 1 румынской пехотной дивизии Теодор Шутя рассказал: «Недавно значительная группа солдат 5-го румынского егерского полка отказалась итти в атаку. Немецкие части обезоружили полк и отвели его вближайший тыл. По приказу немецкого командования расстреляны 47 румынских солдат».</w:t>
      </w:r>
    </w:p>
    <w:p w14:paraId="09C2AC68"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Греческие партизаны совершили нападение на немецкий аэродром в районе Харакаса, на острове Крит. Патриоты взорвали три немецких самолёта, сожгли склад бензина и истребили 37 гитлеровцев.» (14826).</w:t>
      </w:r>
    </w:p>
    <w:p w14:paraId="0C5CD0B9"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5FC012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ноября 1942 вышло Постановление ГКО № 2498 О комиссии для подготовки вопросов по присвоению политработникам генеральских званий. РГАНИР, Фонд ГКО, д. 68, лл. 259 (11012).</w:t>
      </w:r>
    </w:p>
    <w:p w14:paraId="66A070F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41A94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ноября 1942 г. вышел ПРИКАЗ № 348 ОБ ОТМЕНЕ СОЦИАЛИСТИЧЕСКОГО СОРЕВНОВАНИЯ МЕЖДУ СЛУЖБАМИ СВЯЗИ СТАЛИНГРАДСКОГО И ДОНСКОГО ФРОНТОВ</w:t>
      </w:r>
    </w:p>
    <w:p w14:paraId="7ACF9F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Опыт показал, что в Красной Армии, где вся жизнь и боевая деятельность каждого военнослужащего, подразделения и части строго регулируются уставами, наставлениями и приказами, организация социалистического соревнования между соединениями, частями, подразделениями и отдельными военнослужащими, требующего общественного контроля и гласности, как правило, приводит к нетерпимым извращениям и разглашению военных секретов. Бойцы и командиры соревнуются на выполнение приказов, на содержание в чистоте и сохранности оружия и боевой техники, на соблюдение воинской дисциплины и требований уставов. То, что должно выполняться в порядке воинского долга, подменяется добровольными самообязательствами — договорами. Все это не способствует укреплению дисциплины и порядка в войсках.</w:t>
      </w:r>
    </w:p>
    <w:p w14:paraId="0A1507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Примером грубого извращения соревнования является договор о социалистическом соревновании между управлениями, отделами и частями связи Сталинградского и Донского фронтов, одобренный моим заместителем генерал-лейтенантом войск связи тов. Пересыпкиным. В договор включены такие пункты, выполнение которых привело бы к разглашению военных секретов, к подмене командиров, ослаблению воинской дисциплины и порядка в армии.</w:t>
      </w:r>
    </w:p>
    <w:p w14:paraId="63D8C36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Приказываю:</w:t>
      </w:r>
    </w:p>
    <w:p w14:paraId="0DCCF2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Договор о социалистическом соревновании между управлениями, отделами и частями связи Сталинградского и Донского фронтов отменить и соревнование прекратить.</w:t>
      </w:r>
    </w:p>
    <w:p w14:paraId="0A9043E5"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 xml:space="preserve">Народный комиссар обороны СССР И. СТАЛИН </w:t>
      </w:r>
      <w:r w:rsidRPr="00722885">
        <w:rPr>
          <w:color w:val="000000" w:themeColor="text1"/>
          <w:sz w:val="16"/>
          <w:szCs w:val="16"/>
        </w:rPr>
        <w:t>(9844).</w:t>
      </w:r>
    </w:p>
    <w:p w14:paraId="5B895AD7" w14:textId="77777777" w:rsidR="00090C9B" w:rsidRPr="00722885" w:rsidRDefault="00090C9B" w:rsidP="00722885">
      <w:pPr>
        <w:pStyle w:val="Iauiue"/>
        <w:jc w:val="both"/>
        <w:rPr>
          <w:color w:val="000000" w:themeColor="text1"/>
          <w:sz w:val="16"/>
          <w:szCs w:val="16"/>
        </w:rPr>
      </w:pPr>
    </w:p>
    <w:p w14:paraId="3F6EE23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BE93857" w14:textId="77777777" w:rsidR="00090C9B" w:rsidRPr="00722885" w:rsidRDefault="00090C9B" w:rsidP="00722885">
      <w:pPr>
        <w:pStyle w:val="Iauiue"/>
        <w:jc w:val="both"/>
        <w:rPr>
          <w:iCs/>
          <w:color w:val="000000" w:themeColor="text1"/>
          <w:sz w:val="16"/>
          <w:szCs w:val="16"/>
        </w:rPr>
      </w:pPr>
    </w:p>
    <w:p w14:paraId="69B5ACC3"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ноября 1942 USS Chenango выпускает 75 истребителей Curtiss P-40 Warhawk ВВС США, которые устанавливают базу в Порт-Лиоти, Французское Марокко. Пикирующие бомбардировщики Douglas SBD Dauntless с USS Ranger повредили французский линкор Jean Bart в гавани Касабланки (20793).</w:t>
      </w:r>
    </w:p>
    <w:p w14:paraId="79B1B1D1" w14:textId="77777777" w:rsidR="007610D8" w:rsidRPr="00722885" w:rsidRDefault="007610D8" w:rsidP="00722885">
      <w:pPr>
        <w:spacing w:after="0" w:line="240" w:lineRule="auto"/>
        <w:jc w:val="both"/>
        <w:rPr>
          <w:rFonts w:ascii="Times New Roman" w:hAnsi="Times New Roman"/>
          <w:color w:val="0070C0"/>
          <w:sz w:val="16"/>
          <w:szCs w:val="16"/>
        </w:rPr>
      </w:pPr>
    </w:p>
    <w:p w14:paraId="5D232B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ноября 1942 Американские войска вступили в Оран и Касабланку (3186).</w:t>
      </w:r>
    </w:p>
    <w:p w14:paraId="2950B13F" w14:textId="77777777" w:rsidR="00090C9B" w:rsidRPr="00722885" w:rsidRDefault="00090C9B" w:rsidP="00722885">
      <w:pPr>
        <w:pStyle w:val="Iauiue"/>
        <w:jc w:val="both"/>
        <w:rPr>
          <w:color w:val="000000" w:themeColor="text1"/>
          <w:sz w:val="16"/>
          <w:szCs w:val="16"/>
        </w:rPr>
      </w:pPr>
    </w:p>
    <w:p w14:paraId="17AC8658"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10, 1942: President Roosevelt announces the breaking-off of diplomatic relations with Vichy France. The British 8th Army (Montgomery) takes Sidi Barrani in Libya recently evacuated by Panzerarmee Afrika (3819).</w:t>
      </w:r>
    </w:p>
    <w:p w14:paraId="50AAAA3F" w14:textId="77777777" w:rsidR="00090C9B" w:rsidRPr="00722885" w:rsidRDefault="00090C9B" w:rsidP="00722885">
      <w:pPr>
        <w:pStyle w:val="Iauiue"/>
        <w:jc w:val="both"/>
        <w:rPr>
          <w:color w:val="000000" w:themeColor="text1"/>
          <w:sz w:val="16"/>
          <w:szCs w:val="16"/>
          <w:lang w:val="en-US"/>
        </w:rPr>
      </w:pPr>
    </w:p>
    <w:p w14:paraId="3E5209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ноября 1942 Президент Ф.Д.Р. объявил о разрыве дипотношений с Вишистской Францией. Британская 8А (Монтгомери) взяла Сили Барани в Ливии (3819).</w:t>
      </w:r>
    </w:p>
    <w:p w14:paraId="6C3AD330" w14:textId="77777777" w:rsidR="00090C9B" w:rsidRPr="00722885" w:rsidRDefault="00090C9B" w:rsidP="00722885">
      <w:pPr>
        <w:pStyle w:val="Iauiue"/>
        <w:jc w:val="both"/>
        <w:rPr>
          <w:color w:val="000000" w:themeColor="text1"/>
          <w:sz w:val="16"/>
          <w:szCs w:val="16"/>
        </w:rPr>
      </w:pPr>
    </w:p>
    <w:p w14:paraId="27C4D5F2"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10 ноября </w:t>
      </w:r>
      <w:r w:rsidRPr="00722885">
        <w:rPr>
          <w:rFonts w:ascii="Times New Roman" w:hAnsi="Times New Roman"/>
          <w:color w:val="000000" w:themeColor="text1"/>
          <w:sz w:val="16"/>
          <w:szCs w:val="16"/>
        </w:rPr>
        <w:t>в 1942 году немецкие войска оккупировали Тунис (14826).</w:t>
      </w:r>
    </w:p>
    <w:p w14:paraId="455061FB"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37CBB572" w14:textId="77777777" w:rsidR="00752DA1" w:rsidRPr="00722885" w:rsidRDefault="00752DA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10 ноября </w:t>
      </w:r>
      <w:r w:rsidRPr="00722885">
        <w:rPr>
          <w:rFonts w:ascii="Times New Roman" w:hAnsi="Times New Roman"/>
          <w:color w:val="000000" w:themeColor="text1"/>
          <w:sz w:val="16"/>
          <w:szCs w:val="16"/>
        </w:rPr>
        <w:t>в 1942 году Черчилль заявил по поводу усиления американского влияния в Азии: «Я не для того стал первым министром его величества, чтобы председательствовать при ликвидации Британской империи» (14826).</w:t>
      </w:r>
    </w:p>
    <w:p w14:paraId="1CFCB966" w14:textId="77777777" w:rsidR="00752DA1" w:rsidRPr="00722885" w:rsidRDefault="00752DA1" w:rsidP="00722885">
      <w:pPr>
        <w:spacing w:after="0" w:line="240" w:lineRule="auto"/>
        <w:jc w:val="both"/>
        <w:rPr>
          <w:rFonts w:ascii="Times New Roman" w:hAnsi="Times New Roman"/>
          <w:color w:val="000000" w:themeColor="text1"/>
          <w:sz w:val="16"/>
          <w:szCs w:val="16"/>
        </w:rPr>
      </w:pPr>
    </w:p>
    <w:p w14:paraId="26612F8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9686391" w14:textId="77777777" w:rsidR="00090C9B" w:rsidRPr="00722885" w:rsidRDefault="00090C9B" w:rsidP="00722885">
      <w:pPr>
        <w:pStyle w:val="Iauiue"/>
        <w:jc w:val="both"/>
        <w:rPr>
          <w:iCs/>
          <w:color w:val="000000" w:themeColor="text1"/>
          <w:sz w:val="16"/>
          <w:szCs w:val="16"/>
        </w:rPr>
      </w:pPr>
    </w:p>
    <w:p w14:paraId="34C0AD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ноября 1942 вышел приказ НКАП N 834с:</w:t>
      </w:r>
    </w:p>
    <w:p w14:paraId="5ED0FD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Обязать ГК С.В.И. спроектировать установку пушки 11-П калибра 37 мм системы Нудельмана на самолет Ил-2 12 ноября 1942.</w:t>
      </w:r>
    </w:p>
    <w:p w14:paraId="12AA7F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Обязать И.о. директора завода 30 Шапиро произвести по чертежам ГК С.В.И. установить пушку 11-П системы Нудельмана на 10 шт. самолетов Ил-2 к 1 января 1943" (1598,35).</w:t>
      </w:r>
    </w:p>
    <w:p w14:paraId="31EA7538" w14:textId="77777777" w:rsidR="00090C9B" w:rsidRPr="00722885" w:rsidRDefault="00090C9B" w:rsidP="00722885">
      <w:pPr>
        <w:pStyle w:val="Iauiue"/>
        <w:jc w:val="both"/>
        <w:rPr>
          <w:color w:val="000000" w:themeColor="text1"/>
          <w:sz w:val="16"/>
          <w:szCs w:val="16"/>
        </w:rPr>
      </w:pPr>
    </w:p>
    <w:p w14:paraId="0A9FBA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ноября 1942 Народный Комиссар Авиационной Промышленности Союза ССР писал письмо № 11-20/4461</w:t>
      </w:r>
    </w:p>
    <w:p w14:paraId="2CCCA761" w14:textId="77777777" w:rsidR="00752DA1"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Москва </w:t>
      </w:r>
    </w:p>
    <w:p w14:paraId="423DF43A" w14:textId="77777777" w:rsidR="00090C9B"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color w:val="000000" w:themeColor="text1"/>
          <w:sz w:val="16"/>
          <w:szCs w:val="16"/>
        </w:rPr>
        <w:t>ПРЕДСЕДАТЕЛЮ ГОСУДАРСТВЕННОГО КОМИТЕТА ОБОРОНЫ товарищу СТАЛИНУ И.В.</w:t>
      </w:r>
    </w:p>
    <w:p w14:paraId="5DCF33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По вашему заданию рассмотрен вопрос о создании высотного бомбардировщика и высотного истребителя. Предварительные расчеты, произведенные главными конструкторами ЦАГИ и ЛИИ НКАП, показали следующие результаты:</w:t>
      </w:r>
    </w:p>
    <w:p w14:paraId="70F9AA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По высотному бомбардировщику </w:t>
      </w:r>
    </w:p>
    <w:p w14:paraId="35070C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Наиболее целесообразно вопрос о создании высотного дневного бомбардировщика решить путем модификации самолета Ил-4 с моторами М-88 с турбокомпрессором ТК-3.</w:t>
      </w:r>
    </w:p>
    <w:p w14:paraId="6A659A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ТК-3 отработан для мотора М-82 при работе нагнетателя мотора на первой скорости.</w:t>
      </w:r>
    </w:p>
    <w:p w14:paraId="56F062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мотора М-88 требуется отработать ТК, в особенности на второй скорости нагнетателя, что необходимо для получения достаточной высотности.</w:t>
      </w:r>
    </w:p>
    <w:p w14:paraId="5F061C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модифицированном самолете Ил-4 с ТК-3 и с использованием второй скорости нагнетателя, возможно получить практический потолок над целью в 12000 мт и высоту боевого применения, на которой самолет может совершать необходимые маневры, до 11000 мт.</w:t>
      </w:r>
    </w:p>
    <w:p w14:paraId="088BC6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этом модифицированный самолет будет иметь скорость на высоте 11000 мт - 460 км/час и сохранит дальность серийного самолета Ил-4.</w:t>
      </w:r>
    </w:p>
    <w:p w14:paraId="7555A6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Модификация самолета должна заключаться в основном в следующем:</w:t>
      </w:r>
    </w:p>
    <w:p w14:paraId="71D2C7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концы консолей крыла заменяются на более удлиненные; </w:t>
      </w:r>
    </w:p>
    <w:p w14:paraId="3E35DA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ставится герметическая кабина, для экипажа, с необходимым оборудованием;</w:t>
      </w:r>
    </w:p>
    <w:p w14:paraId="3301AE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экипаж состоит из 3 человек. Задний стрелок снимается; </w:t>
      </w:r>
    </w:p>
    <w:p w14:paraId="629121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стрелковое оружие и броня снимаются. Бомбовая нагрузка сохраняется прежняя.</w:t>
      </w:r>
    </w:p>
    <w:p w14:paraId="74B179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Отработку в воздухе винтомоторной группы следует провести на серийном самолете Ил-4 без герметики и с существующим крылом, с расчетом начала летных испытаний 20 декабря с. г.</w:t>
      </w:r>
    </w:p>
    <w:p w14:paraId="579ACD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Модифицированный самолет Ил-4 с герметической кабиной намечается подать на летные испытания 15 февраля 1943 года.</w:t>
      </w:r>
    </w:p>
    <w:p w14:paraId="68BFC1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По высотному истребителю </w:t>
      </w:r>
    </w:p>
    <w:p w14:paraId="1F5EC6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Модифицированный самолет Пе-2 с моторами М-105 с нагнетателем Доллежаля дает возможность получить практический потолок в 12000 мт. При этом скорость самолета на высоте 10000 мт будет 530 км/час, а время набора высоты в 9000 мт - 16 минут и в 10000 мт - 21 минута. Продолжительность полета самолета - 3 часа.</w:t>
      </w:r>
    </w:p>
    <w:p w14:paraId="11F8AD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М-105 с нагнетателем Доллежаля отработан в воздухе на самолете Як-7. Таких моторов тлеется в наличии 10 экземпляров.</w:t>
      </w:r>
    </w:p>
    <w:p w14:paraId="0C1EE2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Модификация самолета должна заключаться в основном в следующем:</w:t>
      </w:r>
    </w:p>
    <w:p w14:paraId="17DBD1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консоли крыла заменяются на консоли с другим профилем и с увеличенной на 2 м2 площадью;</w:t>
      </w:r>
    </w:p>
    <w:p w14:paraId="670B8F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ставится герметическая кабина для летчика, с необходимым оборудованием;</w:t>
      </w:r>
    </w:p>
    <w:p w14:paraId="418030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состоит из одного летчика. Штурман и задний стрелок снимаются;</w:t>
      </w:r>
    </w:p>
    <w:p w14:paraId="6DC6DF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стрелковое оружие состоит из пушки Швак и пулемета ЕС с боезапасом по 250 штук патрон;</w:t>
      </w:r>
    </w:p>
    <w:p w14:paraId="016A1E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броня снимается, кроме бронеспинки летчика; </w:t>
      </w:r>
    </w:p>
    <w:p w14:paraId="5F191D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бомбовая нагрузка снимается; </w:t>
      </w:r>
    </w:p>
    <w:p w14:paraId="618BCE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снимаются решетки для пикирования ; </w:t>
      </w:r>
    </w:p>
    <w:p w14:paraId="4B893D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Отработку в воздухе винтомоторной группы следует провести на серийном самолете Пе-2 без герметики и с существующим крылом, с расчетом начала летных испытаний 20 декабря с. г.</w:t>
      </w:r>
    </w:p>
    <w:p w14:paraId="6B0480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Модифицированный самолет Пе-2 с герметической кабиной намечается подать на летные испытания 10 февраля 1943 года.</w:t>
      </w:r>
    </w:p>
    <w:p w14:paraId="26CF80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Сообщаю, что НКАП закончена отработка высотного одномоторного истребителя Як-7 с мотором M-105II с нагнетателем Доллежаля, без герметической кабины. Самолет прошел государственные испытания в НИИ ВВС.</w:t>
      </w:r>
    </w:p>
    <w:p w14:paraId="017B40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госиспытаниях самолет показал следующие результаты: практический потолок 11300 мт, скорость на высоте 10000 мт - 591 км/час, скороподъемность на 10000 мт - 13,8 мин.</w:t>
      </w:r>
    </w:p>
    <w:p w14:paraId="707899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имеет оружие, состоящее из пушки Швак с боезапасом 120 патрон. На данный самолет может быть установлена вставная герметическая кабина конструкции т.Щербакова, успешно прошедшая госиспытания на самолете И-153.</w:t>
      </w:r>
    </w:p>
    <w:p w14:paraId="5DA885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Як-9 с герметической кабиной и с установкой дополнительного пулемета ЕС может быть подан на летные испытания 15 января 1943 года.</w:t>
      </w:r>
    </w:p>
    <w:p w14:paraId="251D2B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Конструктору т.Лавочкину НКАП дано задание на, модификацию в высотном варианте истребителя Лa-5 под мотор М-82 с ТК-3 и в настоящее время по этому самолету ведутся проектные работы.</w:t>
      </w:r>
    </w:p>
    <w:p w14:paraId="6B0DEAFB" w14:textId="77777777" w:rsidR="00752DA1"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утвердить прилагаемый проект постановления по вопросу создания высотного бомбардировщика и высотных, истребителей на основе серийных самолетов (11813).</w:t>
      </w:r>
    </w:p>
    <w:p w14:paraId="0FFCA1A3" w14:textId="77777777" w:rsidR="00752DA1"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вышло:</w:t>
      </w:r>
    </w:p>
    <w:p w14:paraId="69D1A6D4" w14:textId="77777777" w:rsidR="00752DA1"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ПОСТАНОВЛЕНИЕ ГОСУДАРСТВЕННОГО КОМИТЕТА ОБОРОНЫ №2504сс от 12.11.1942г.</w:t>
      </w:r>
    </w:p>
    <w:p w14:paraId="2AFA1132" w14:textId="77777777" w:rsidR="00090C9B"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color w:val="000000" w:themeColor="text1"/>
          <w:sz w:val="16"/>
          <w:szCs w:val="16"/>
        </w:rPr>
        <w:t>О создании высотного бомбардировщика и высотного истребителя</w:t>
      </w:r>
    </w:p>
    <w:p w14:paraId="567280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создания высотного дневного бомбардировщика и высотного истребителя на основе серийных самолетов, Государственный Комитет Обороны ПОСТАНОВЛЯЕТ:</w:t>
      </w:r>
    </w:p>
    <w:p w14:paraId="01B8D0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Наркомавиапром т.Шахурину и главному конструктору т.Ильюшину спроектировать и построить высотный дневной бомбардировщик путем модификации самолета Ил-4 с моторами М-88 с турбокомпрессором TК-3 и с герметической кабиной для экипажа.</w:t>
      </w:r>
    </w:p>
    <w:p w14:paraId="2A2EE6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должен иметь следующие летно-тактические данные:</w:t>
      </w:r>
    </w:p>
    <w:p w14:paraId="6442D0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Практическим потолок над целью - 12000 мт</w:t>
      </w:r>
    </w:p>
    <w:p w14:paraId="7243E8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боевого применения - 11000 мт.</w:t>
      </w:r>
    </w:p>
    <w:p w14:paraId="32369C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высоте боевого применения - 460 км/час</w:t>
      </w:r>
    </w:p>
    <w:p w14:paraId="742BC8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та же, что у серийного самолета Ил-4</w:t>
      </w:r>
    </w:p>
    <w:p w14:paraId="4EBAEC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Бомбовая нагрузка та же, что у серийного самолета Ил-4.</w:t>
      </w:r>
    </w:p>
    <w:p w14:paraId="740516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Разрешается снять с самолета:</w:t>
      </w:r>
    </w:p>
    <w:p w14:paraId="02377E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Стрелковое оружие с установками</w:t>
      </w:r>
    </w:p>
    <w:p w14:paraId="25EE35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Заднего стрелка</w:t>
      </w:r>
    </w:p>
    <w:p w14:paraId="3E9362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Бронирование.</w:t>
      </w:r>
    </w:p>
    <w:p w14:paraId="3736B5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Самолет построить в 2-х экземплярах. </w:t>
      </w:r>
    </w:p>
    <w:p w14:paraId="48E174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Срок предъявления 1-го экземпляра самолета на летные испытания - 15 февраля, 2-го экземпляра - 15 марта 1943 года.</w:t>
      </w:r>
    </w:p>
    <w:p w14:paraId="0C2D8C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Наркомавиапром т.Шахурину, директору завода № 22 т.Окулову и главному конструктору т.Путилову спроектировать и построить высотный двухмоторный истребитель путем модификации самолета Пе-2 с моторами M-105П с нагнетателем Доллежаля, с герметической кабиной для летчика.</w:t>
      </w:r>
    </w:p>
    <w:p w14:paraId="4A63E3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должен иметь следующие летно-тактические данные: Практический потолок - 12000 мт</w:t>
      </w:r>
    </w:p>
    <w:p w14:paraId="75180E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высоте 10000 мт - 530 км/час</w:t>
      </w:r>
    </w:p>
    <w:p w14:paraId="36F34E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10000 мт - 21 мин.</w:t>
      </w:r>
    </w:p>
    <w:p w14:paraId="2F177A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та же, что у серийного самолета Пе-2.</w:t>
      </w:r>
    </w:p>
    <w:p w14:paraId="32C3D0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Стрелковое вооружение: вперед 1 пушка калибра 20 мм и 1 пулемет калибра 12,7 мм с боезапасом по 250 штук патрон. </w:t>
      </w:r>
    </w:p>
    <w:p w14:paraId="1D2861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Разрешается снять с самолета: </w:t>
      </w:r>
    </w:p>
    <w:p w14:paraId="3120D7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Бомбовое вооружение </w:t>
      </w:r>
    </w:p>
    <w:p w14:paraId="53F9A7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человека экипажа </w:t>
      </w:r>
    </w:p>
    <w:p w14:paraId="2B9A74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Тормозные решетки для пикирования </w:t>
      </w:r>
    </w:p>
    <w:p w14:paraId="5F6F28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Броню кроме бронеспинки летчика. </w:t>
      </w:r>
    </w:p>
    <w:p w14:paraId="467DBE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построить в 2 экземплярах; срок предъявления 1 экземпляра на летные испытания - 10 февраля, 2 экземпляра - 10 марта 1943 года.</w:t>
      </w:r>
    </w:p>
    <w:p w14:paraId="610705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Наркомавиапром т.Шахурина и главного конструктора т.Яковлева выпустить 5 экземпляров истребителя Як-9 с мотором М-105ПД, в высотном варианте, с герметическими кабинами. Самолеты должны иметь следующие летно-тактические данные:</w:t>
      </w:r>
    </w:p>
    <w:p w14:paraId="655C5F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- 11500 мт</w:t>
      </w:r>
    </w:p>
    <w:p w14:paraId="23D84B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высоте 10000 мт - 590 км/час</w:t>
      </w:r>
    </w:p>
    <w:p w14:paraId="3BE1EA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 на 10000 мт - 14 мин.</w:t>
      </w:r>
    </w:p>
    <w:p w14:paraId="64E336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та же, что у серийного самолета Як-7.</w:t>
      </w:r>
    </w:p>
    <w:p w14:paraId="7BBDAC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- 1 пушка калибра 20 мы с боезапасом 120 патронов и 1 пулемет калибра 12,7 мм с боезапасом 200 патронов.</w:t>
      </w:r>
    </w:p>
    <w:p w14:paraId="369A5A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Самолеты предъявить на войсковые испытания в части ПВО 15 января 1943 года.</w:t>
      </w:r>
    </w:p>
    <w:p w14:paraId="5A885B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4. Для обеспечения перечисленных заданий обязать Наркомфин т.Зверева выделить в распоряжение Наркомавиапрома на постройку самолетов из резервного фонда Совнаркома CCCP пять млн. рублей и для премирования работников ОКБ за выполнение заданий в срок премиальный фонд в общей сумме 800 тыс. рублей. </w:t>
      </w:r>
    </w:p>
    <w:p w14:paraId="3C292C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 И. СТАЛИН (11813).</w:t>
      </w:r>
    </w:p>
    <w:p w14:paraId="1290E603" w14:textId="77777777" w:rsidR="00090C9B" w:rsidRPr="00722885" w:rsidRDefault="00090C9B" w:rsidP="00722885">
      <w:pPr>
        <w:pStyle w:val="Iauiue"/>
        <w:jc w:val="both"/>
        <w:rPr>
          <w:color w:val="000000" w:themeColor="text1"/>
          <w:sz w:val="16"/>
          <w:szCs w:val="16"/>
        </w:rPr>
      </w:pPr>
    </w:p>
    <w:p w14:paraId="5BD4B9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ноября 1942 Зам. НКАП Сандлер писал письмо Н-8/4449 Нач. 10 ГУ НКАП Б.Н.Тарасевич:</w:t>
      </w:r>
    </w:p>
    <w:p w14:paraId="0AEC07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соответствии с указанием Госплана СССР НКАП обязан к 20 ноября представить в Правительство на утверждение проект отпускных цен на 1943.</w:t>
      </w:r>
    </w:p>
    <w:p w14:paraId="1BDBBD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10 ГУ подлежат пересмотру действующие отпускные цены на следующие изделия:</w:t>
      </w:r>
    </w:p>
    <w:p w14:paraId="581348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Завод 1 - Ил-2</w:t>
      </w:r>
    </w:p>
    <w:p w14:paraId="76DDCB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завод 18 - Ил-2</w:t>
      </w:r>
    </w:p>
    <w:p w14:paraId="35CC29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Завод 30 - Ил-2</w:t>
      </w:r>
    </w:p>
    <w:p w14:paraId="7464C5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завод 126 - Ил-4</w:t>
      </w:r>
    </w:p>
    <w:p w14:paraId="58F791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завод 84 - ПС-84</w:t>
      </w:r>
    </w:p>
    <w:p w14:paraId="2C9DD1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завод 22 - Пе-8</w:t>
      </w:r>
    </w:p>
    <w:p w14:paraId="3D6D9D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завод 22 - Пе-2</w:t>
      </w:r>
    </w:p>
    <w:p w14:paraId="313D84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связи с этим Вам необходимо не позднее 15 ноября представить в ПЭО НКАП развернутые плановые калькуляции на указанные изделия на 1943, с обязательной расшифровкой готовых изделий, отчетные данные за 9 мес., а также протокол согласования проекта цен на 1943 с заказчиком." (1685,109).</w:t>
      </w:r>
    </w:p>
    <w:p w14:paraId="20022FBE" w14:textId="77777777" w:rsidR="00090C9B" w:rsidRPr="00722885" w:rsidRDefault="00090C9B" w:rsidP="00722885">
      <w:pPr>
        <w:pStyle w:val="Iauiue"/>
        <w:jc w:val="both"/>
        <w:rPr>
          <w:color w:val="000000" w:themeColor="text1"/>
          <w:sz w:val="16"/>
          <w:szCs w:val="16"/>
        </w:rPr>
      </w:pPr>
    </w:p>
    <w:p w14:paraId="0EEE52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ноября 1942 А.И.Ш. писал И.В.С. письмо N 7405:</w:t>
      </w:r>
    </w:p>
    <w:p w14:paraId="67DB42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вашему заданию рассмотрен вопрос о создании высотного бомбардировщика и высотных истребителей. Предварительные расчеты, произведенные ГК ЦАГИ и ЛИИ, показали следующие результаты:</w:t>
      </w:r>
    </w:p>
    <w:p w14:paraId="619624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По высотному бомбардировщику</w:t>
      </w:r>
    </w:p>
    <w:p w14:paraId="580F6C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Наиболее целесообразно вопрос о создании высотного дневного бомбардировщика решить путем модификации самолета Ил-4 с М-88 и ТК-3</w:t>
      </w:r>
    </w:p>
    <w:p w14:paraId="62B6A72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настоящее время ТК-3 отработан для М-82 при работе нагнетателя мотора на 1-ц скорости.</w:t>
      </w:r>
    </w:p>
    <w:p w14:paraId="14389A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М-88 потребуется отработать ТК, в особенности на 2-й скорости нагнетателя, что необходимо для получения достаточной высотности.</w:t>
      </w:r>
    </w:p>
    <w:p w14:paraId="5A9C62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модифицированном самолете Ил-4 с ТК-3 и с использованием 2-й скорости нагнетателя, возможно получить практический потолок над целью в 12000 м и высоту боевого применения, на которой самолет может совершать необходимые маневры - 11000 м</w:t>
      </w:r>
    </w:p>
    <w:p w14:paraId="3C821B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этом модифицированный самолет будет иметь скорость на высоте 10000 м - 460 км/час и сохранится дальность серийного Ил-4</w:t>
      </w:r>
    </w:p>
    <w:p w14:paraId="6666E8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Модификация самолета должна заключаться в основном в следующем:</w:t>
      </w:r>
    </w:p>
    <w:p w14:paraId="15049D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концы консолей крыла заменяются на более длинные</w:t>
      </w:r>
    </w:p>
    <w:p w14:paraId="6D2D73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ставится гермокабина для экипажа с необходимым оборудованием</w:t>
      </w:r>
    </w:p>
    <w:p w14:paraId="03C38C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экипаж состоит из 3 человек, задний стрелок снимается</w:t>
      </w:r>
    </w:p>
    <w:p w14:paraId="7FFD7D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стрелковое оружие и броня снимаются. Бомбовая нагрузка сохраняется</w:t>
      </w:r>
    </w:p>
    <w:p w14:paraId="3ABCAA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Отработку в воздухе ВМГ следует провести на серийном Ил-4 без гермокабины и с существующим крылом, с расчетом начала летных испытаний 20 декабря 1942</w:t>
      </w:r>
    </w:p>
    <w:p w14:paraId="72F3F3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Модификация самолета Ил-4 с гермокабиной намечается подать на летные испытания 15 февраля 1943</w:t>
      </w:r>
    </w:p>
    <w:p w14:paraId="13E34B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По высотным истребителям</w:t>
      </w:r>
    </w:p>
    <w:p w14:paraId="11D2A3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Модификация Пе-2 с М-105 (1654,12).</w:t>
      </w:r>
    </w:p>
    <w:p w14:paraId="58E07A80" w14:textId="77777777" w:rsidR="00090C9B" w:rsidRPr="00722885" w:rsidRDefault="00090C9B" w:rsidP="00722885">
      <w:pPr>
        <w:pStyle w:val="Iauiue"/>
        <w:jc w:val="both"/>
        <w:rPr>
          <w:color w:val="000000" w:themeColor="text1"/>
          <w:sz w:val="16"/>
          <w:szCs w:val="16"/>
        </w:rPr>
      </w:pPr>
    </w:p>
    <w:p w14:paraId="36C86F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ноября 1942 Зам. НКАП Дементьев и ГИ ВВС КА А.E.Репин 15 ноября 1942 и утвердили Отчет о совместных испытаниях Пе-8 (ТБ-7) с 4хМ-82, которые продолжались с 3 апреля по 24 октября 1942 (994,8).</w:t>
      </w:r>
    </w:p>
    <w:p w14:paraId="426928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Отчет о совместных испытаниях Пе-8 с 4М-82</w:t>
      </w:r>
    </w:p>
    <w:p w14:paraId="574F5B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B487A" w:rsidRPr="00722885" w14:paraId="75F72F29" w14:textId="77777777" w:rsidTr="00CC5360">
        <w:tc>
          <w:tcPr>
            <w:tcW w:w="5636" w:type="dxa"/>
            <w:tcBorders>
              <w:top w:val="single" w:sz="12" w:space="0" w:color="auto"/>
            </w:tcBorders>
          </w:tcPr>
          <w:p w14:paraId="1A7050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 ВВС гл ВВС</w:t>
            </w:r>
          </w:p>
        </w:tc>
        <w:tc>
          <w:tcPr>
            <w:tcW w:w="5636" w:type="dxa"/>
            <w:tcBorders>
              <w:top w:val="single" w:sz="12" w:space="0" w:color="auto"/>
            </w:tcBorders>
          </w:tcPr>
          <w:p w14:paraId="61CC4E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НКАП</w:t>
            </w:r>
          </w:p>
        </w:tc>
      </w:tr>
      <w:tr w:rsidR="009B487A" w:rsidRPr="00722885" w14:paraId="35DC0000" w14:textId="77777777" w:rsidTr="00CC5360">
        <w:tc>
          <w:tcPr>
            <w:tcW w:w="5636" w:type="dxa"/>
            <w:tcBorders>
              <w:bottom w:val="single" w:sz="12" w:space="0" w:color="auto"/>
            </w:tcBorders>
          </w:tcPr>
          <w:p w14:paraId="26D936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Репин</w:t>
            </w:r>
          </w:p>
        </w:tc>
        <w:tc>
          <w:tcPr>
            <w:tcW w:w="5636" w:type="dxa"/>
            <w:tcBorders>
              <w:bottom w:val="single" w:sz="12" w:space="0" w:color="auto"/>
            </w:tcBorders>
          </w:tcPr>
          <w:p w14:paraId="7604EB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Дементьев</w:t>
            </w:r>
          </w:p>
        </w:tc>
      </w:tr>
    </w:tbl>
    <w:p w14:paraId="53F8C1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Подписан: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9B487A" w:rsidRPr="00722885" w14:paraId="3ED3CBBC" w14:textId="77777777" w:rsidTr="00CC5360">
        <w:tc>
          <w:tcPr>
            <w:tcW w:w="2818" w:type="dxa"/>
            <w:tcBorders>
              <w:top w:val="single" w:sz="12" w:space="0" w:color="auto"/>
            </w:tcBorders>
          </w:tcPr>
          <w:p w14:paraId="091B09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 НИИ ВВС</w:t>
            </w:r>
          </w:p>
        </w:tc>
        <w:tc>
          <w:tcPr>
            <w:tcW w:w="2818" w:type="dxa"/>
            <w:tcBorders>
              <w:top w:val="single" w:sz="12" w:space="0" w:color="auto"/>
            </w:tcBorders>
          </w:tcPr>
          <w:p w14:paraId="6D3CA5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 НИИ ВВС</w:t>
            </w:r>
          </w:p>
        </w:tc>
        <w:tc>
          <w:tcPr>
            <w:tcW w:w="2818" w:type="dxa"/>
            <w:tcBorders>
              <w:top w:val="single" w:sz="12" w:space="0" w:color="auto"/>
            </w:tcBorders>
          </w:tcPr>
          <w:p w14:paraId="4AA7B2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з-да № 22</w:t>
            </w:r>
          </w:p>
        </w:tc>
        <w:tc>
          <w:tcPr>
            <w:tcW w:w="2818" w:type="dxa"/>
            <w:tcBorders>
              <w:top w:val="single" w:sz="12" w:space="0" w:color="auto"/>
            </w:tcBorders>
          </w:tcPr>
          <w:p w14:paraId="1E6FB7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ГК изд. 42</w:t>
            </w:r>
          </w:p>
        </w:tc>
      </w:tr>
      <w:tr w:rsidR="009B487A" w:rsidRPr="00722885" w14:paraId="5359AF01" w14:textId="77777777" w:rsidTr="00CC5360">
        <w:tc>
          <w:tcPr>
            <w:tcW w:w="2818" w:type="dxa"/>
            <w:tcBorders>
              <w:bottom w:val="single" w:sz="12" w:space="0" w:color="auto"/>
            </w:tcBorders>
          </w:tcPr>
          <w:p w14:paraId="5E3BCB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Лосюков</w:t>
            </w:r>
          </w:p>
        </w:tc>
        <w:tc>
          <w:tcPr>
            <w:tcW w:w="2818" w:type="dxa"/>
            <w:tcBorders>
              <w:bottom w:val="single" w:sz="12" w:space="0" w:color="auto"/>
            </w:tcBorders>
          </w:tcPr>
          <w:p w14:paraId="36FDD6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Чесалов</w:t>
            </w:r>
          </w:p>
        </w:tc>
        <w:tc>
          <w:tcPr>
            <w:tcW w:w="2818" w:type="dxa"/>
            <w:tcBorders>
              <w:bottom w:val="single" w:sz="12" w:space="0" w:color="auto"/>
            </w:tcBorders>
          </w:tcPr>
          <w:p w14:paraId="4311BE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818" w:type="dxa"/>
            <w:tcBorders>
              <w:bottom w:val="single" w:sz="12" w:space="0" w:color="auto"/>
            </w:tcBorders>
          </w:tcPr>
          <w:p w14:paraId="1AD75E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Незваль</w:t>
            </w:r>
          </w:p>
        </w:tc>
      </w:tr>
    </w:tbl>
    <w:p w14:paraId="329BA4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9.11.42</w:t>
      </w:r>
    </w:p>
    <w:p w14:paraId="17FD45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Отв. Исполнители:</w:t>
      </w:r>
    </w:p>
    <w:p w14:paraId="6A713D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вл ГСС комбриг Водопьянов</w:t>
      </w:r>
    </w:p>
    <w:p w14:paraId="15577A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 НИИ ВВС ип Ефимов</w:t>
      </w:r>
    </w:p>
    <w:p w14:paraId="57F20F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 ЛИИ НКАП Туманский</w:t>
      </w:r>
    </w:p>
    <w:p w14:paraId="7C4F45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вм ЛИС з-да № 22 Аржаков</w:t>
      </w:r>
    </w:p>
    <w:p w14:paraId="08328B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 Ефимов</w:t>
      </w:r>
    </w:p>
    <w:p w14:paraId="1625FC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Объект: С-т Пе-8 № 42047 с 4М-82 изг. Заводом № 22 согласно постановлению ГКО № 915 от 19 ноября 1941 и приказа НКАП № 1147 от 20 ноября 1941</w:t>
      </w:r>
    </w:p>
    <w:p w14:paraId="4A4987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Ход исполнения: испытания начаты 3 апреля 1942 и закончены 24 сентября 1942</w:t>
      </w:r>
    </w:p>
    <w:p w14:paraId="01E2D1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полета, 58 час. Из общего количества 204 дней полеты произодились в течение 22 дней, ост. Время падает в основном на доводки моторов и ВМГ (замена 4-го мотора - 7 дней, замена мотора вып. Августа 1942 - 19 дн. И др.), нелетная погода - 21 день, осмотры и подготовка к полетам - 13 дн., подготовка полета на дальность - 15 дн.</w:t>
      </w:r>
    </w:p>
    <w:p w14:paraId="759445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Нагрузка: экипаж - 11 чел. - 999 кг, оружие с турелями - 165, прицел ПС-1 - 25, вспомогат. Оборуд - 90,4, боезапас - 332 кг, горючее - норм. 4095 кг, перегрузка - 11595 кг, масло - норм. 300, перегруз - 800, бомбы - 2000 (в норм. Вар-те), освет. Бомбы - 50, антифриз в доп. баки - 24 (только в перегруз), антифриз в крыльевые баки - 120 и 120. Нагрузка 8210 и 16210, пустой - от 18790, полетный - 27000-35000.</w:t>
      </w:r>
    </w:p>
    <w:p w14:paraId="544D62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Различия весов: с АМ-35А - 8831, с М-82 - 7639, разница - 1192</w:t>
      </w:r>
    </w:p>
    <w:p w14:paraId="37BF78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9B487A" w:rsidRPr="00722885" w14:paraId="322C5415" w14:textId="77777777" w:rsidTr="00CC5360">
        <w:tc>
          <w:tcPr>
            <w:tcW w:w="1601" w:type="dxa"/>
            <w:tcBorders>
              <w:top w:val="single" w:sz="12" w:space="0" w:color="auto"/>
            </w:tcBorders>
          </w:tcPr>
          <w:p w14:paraId="476CC6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w:t>
            </w:r>
          </w:p>
        </w:tc>
        <w:tc>
          <w:tcPr>
            <w:tcW w:w="1601" w:type="dxa"/>
            <w:tcBorders>
              <w:top w:val="single" w:sz="12" w:space="0" w:color="auto"/>
            </w:tcBorders>
          </w:tcPr>
          <w:p w14:paraId="331AA9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w:t>
            </w:r>
          </w:p>
        </w:tc>
        <w:tc>
          <w:tcPr>
            <w:tcW w:w="1601" w:type="dxa"/>
            <w:tcBorders>
              <w:top w:val="single" w:sz="12" w:space="0" w:color="auto"/>
            </w:tcBorders>
          </w:tcPr>
          <w:p w14:paraId="20F6F1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 (средние)</w:t>
            </w:r>
          </w:p>
        </w:tc>
        <w:tc>
          <w:tcPr>
            <w:tcW w:w="1601" w:type="dxa"/>
            <w:tcBorders>
              <w:top w:val="single" w:sz="12" w:space="0" w:color="auto"/>
            </w:tcBorders>
          </w:tcPr>
          <w:p w14:paraId="3CA9D7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Давление</w:t>
            </w:r>
          </w:p>
        </w:tc>
        <w:tc>
          <w:tcPr>
            <w:tcW w:w="1601" w:type="dxa"/>
            <w:tcBorders>
              <w:top w:val="single" w:sz="12" w:space="0" w:color="auto"/>
            </w:tcBorders>
          </w:tcPr>
          <w:p w14:paraId="5AD01F4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7D4C2E1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6E90557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419D7BCA" w14:textId="77777777" w:rsidTr="00CC5360">
        <w:tc>
          <w:tcPr>
            <w:tcW w:w="1601" w:type="dxa"/>
          </w:tcPr>
          <w:p w14:paraId="69A281F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1A60E6D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1285184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170148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601" w:type="dxa"/>
          </w:tcPr>
          <w:p w14:paraId="275618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601" w:type="dxa"/>
          </w:tcPr>
          <w:p w14:paraId="2CEE90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601" w:type="dxa"/>
          </w:tcPr>
          <w:p w14:paraId="573C5B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r>
      <w:tr w:rsidR="009B487A" w:rsidRPr="00722885" w14:paraId="3D91BA23" w14:textId="77777777" w:rsidTr="00CC5360">
        <w:tc>
          <w:tcPr>
            <w:tcW w:w="1601" w:type="dxa"/>
          </w:tcPr>
          <w:p w14:paraId="51A2BE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601" w:type="dxa"/>
          </w:tcPr>
          <w:p w14:paraId="6B83CCC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358</w:t>
            </w:r>
          </w:p>
        </w:tc>
        <w:tc>
          <w:tcPr>
            <w:tcW w:w="1601" w:type="dxa"/>
          </w:tcPr>
          <w:p w14:paraId="3A532A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23A2E1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3AAEDA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610DD4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6AA7AC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r>
      <w:tr w:rsidR="009B487A" w:rsidRPr="00722885" w14:paraId="4E03E9FB" w14:textId="77777777" w:rsidTr="00CC5360">
        <w:tc>
          <w:tcPr>
            <w:tcW w:w="1601" w:type="dxa"/>
          </w:tcPr>
          <w:p w14:paraId="1A9EB2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601" w:type="dxa"/>
          </w:tcPr>
          <w:p w14:paraId="552FAD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376</w:t>
            </w:r>
          </w:p>
        </w:tc>
        <w:tc>
          <w:tcPr>
            <w:tcW w:w="1601" w:type="dxa"/>
          </w:tcPr>
          <w:p w14:paraId="2126BA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65DC65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533504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33F593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6F2DE0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r>
      <w:tr w:rsidR="009B487A" w:rsidRPr="00722885" w14:paraId="6538EC95" w14:textId="77777777" w:rsidTr="00CC5360">
        <w:tc>
          <w:tcPr>
            <w:tcW w:w="1601" w:type="dxa"/>
          </w:tcPr>
          <w:p w14:paraId="073418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601" w:type="dxa"/>
          </w:tcPr>
          <w:p w14:paraId="749FA9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393</w:t>
            </w:r>
          </w:p>
        </w:tc>
        <w:tc>
          <w:tcPr>
            <w:tcW w:w="1601" w:type="dxa"/>
          </w:tcPr>
          <w:p w14:paraId="2C41F4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79520E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c>
          <w:tcPr>
            <w:tcW w:w="1601" w:type="dxa"/>
          </w:tcPr>
          <w:p w14:paraId="5C01C6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c>
          <w:tcPr>
            <w:tcW w:w="1601" w:type="dxa"/>
          </w:tcPr>
          <w:p w14:paraId="4B28B2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970</w:t>
            </w:r>
          </w:p>
        </w:tc>
        <w:tc>
          <w:tcPr>
            <w:tcW w:w="1601" w:type="dxa"/>
          </w:tcPr>
          <w:p w14:paraId="73642D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r>
      <w:tr w:rsidR="009B487A" w:rsidRPr="00722885" w14:paraId="08104D53" w14:textId="77777777" w:rsidTr="00CC5360">
        <w:tc>
          <w:tcPr>
            <w:tcW w:w="1601" w:type="dxa"/>
          </w:tcPr>
          <w:p w14:paraId="53D90C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1601" w:type="dxa"/>
          </w:tcPr>
          <w:p w14:paraId="48D0248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w:t>
            </w:r>
          </w:p>
        </w:tc>
        <w:tc>
          <w:tcPr>
            <w:tcW w:w="1601" w:type="dxa"/>
          </w:tcPr>
          <w:p w14:paraId="741519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68858B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865</w:t>
            </w:r>
          </w:p>
        </w:tc>
        <w:tc>
          <w:tcPr>
            <w:tcW w:w="1601" w:type="dxa"/>
          </w:tcPr>
          <w:p w14:paraId="665624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840</w:t>
            </w:r>
          </w:p>
        </w:tc>
        <w:tc>
          <w:tcPr>
            <w:tcW w:w="1601" w:type="dxa"/>
          </w:tcPr>
          <w:p w14:paraId="11BA39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890</w:t>
            </w:r>
          </w:p>
        </w:tc>
        <w:tc>
          <w:tcPr>
            <w:tcW w:w="1601" w:type="dxa"/>
          </w:tcPr>
          <w:p w14:paraId="3045FD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880</w:t>
            </w:r>
          </w:p>
        </w:tc>
      </w:tr>
      <w:tr w:rsidR="009B487A" w:rsidRPr="00722885" w14:paraId="6480C9F5" w14:textId="77777777" w:rsidTr="00CC5360">
        <w:tc>
          <w:tcPr>
            <w:tcW w:w="1601" w:type="dxa"/>
          </w:tcPr>
          <w:p w14:paraId="747325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4000</w:t>
            </w:r>
          </w:p>
        </w:tc>
        <w:tc>
          <w:tcPr>
            <w:tcW w:w="1601" w:type="dxa"/>
          </w:tcPr>
          <w:p w14:paraId="00828E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392</w:t>
            </w:r>
          </w:p>
        </w:tc>
        <w:tc>
          <w:tcPr>
            <w:tcW w:w="1601" w:type="dxa"/>
          </w:tcPr>
          <w:p w14:paraId="2B932E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487A2B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765</w:t>
            </w:r>
          </w:p>
        </w:tc>
        <w:tc>
          <w:tcPr>
            <w:tcW w:w="1601" w:type="dxa"/>
          </w:tcPr>
          <w:p w14:paraId="11E8A6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775</w:t>
            </w:r>
          </w:p>
        </w:tc>
        <w:tc>
          <w:tcPr>
            <w:tcW w:w="1601" w:type="dxa"/>
          </w:tcPr>
          <w:p w14:paraId="253BF7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785</w:t>
            </w:r>
          </w:p>
        </w:tc>
        <w:tc>
          <w:tcPr>
            <w:tcW w:w="1601" w:type="dxa"/>
          </w:tcPr>
          <w:p w14:paraId="088154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765</w:t>
            </w:r>
          </w:p>
        </w:tc>
      </w:tr>
      <w:tr w:rsidR="009B487A" w:rsidRPr="00722885" w14:paraId="5C9BE8CC" w14:textId="77777777" w:rsidTr="00CC5360">
        <w:tc>
          <w:tcPr>
            <w:tcW w:w="1601" w:type="dxa"/>
            <w:tcBorders>
              <w:bottom w:val="single" w:sz="12" w:space="0" w:color="auto"/>
            </w:tcBorders>
          </w:tcPr>
          <w:p w14:paraId="3BD0B8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4500</w:t>
            </w:r>
          </w:p>
        </w:tc>
        <w:tc>
          <w:tcPr>
            <w:tcW w:w="1601" w:type="dxa"/>
            <w:tcBorders>
              <w:bottom w:val="single" w:sz="12" w:space="0" w:color="auto"/>
            </w:tcBorders>
          </w:tcPr>
          <w:p w14:paraId="5135D5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386</w:t>
            </w:r>
          </w:p>
        </w:tc>
        <w:tc>
          <w:tcPr>
            <w:tcW w:w="1601" w:type="dxa"/>
            <w:tcBorders>
              <w:bottom w:val="single" w:sz="12" w:space="0" w:color="auto"/>
            </w:tcBorders>
          </w:tcPr>
          <w:p w14:paraId="195C1D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Borders>
              <w:bottom w:val="single" w:sz="12" w:space="0" w:color="auto"/>
            </w:tcBorders>
          </w:tcPr>
          <w:p w14:paraId="7DE065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710</w:t>
            </w:r>
          </w:p>
        </w:tc>
        <w:tc>
          <w:tcPr>
            <w:tcW w:w="1601" w:type="dxa"/>
            <w:tcBorders>
              <w:bottom w:val="single" w:sz="12" w:space="0" w:color="auto"/>
            </w:tcBorders>
          </w:tcPr>
          <w:p w14:paraId="24A9DB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c>
          <w:tcPr>
            <w:tcW w:w="1601" w:type="dxa"/>
            <w:tcBorders>
              <w:bottom w:val="single" w:sz="12" w:space="0" w:color="auto"/>
            </w:tcBorders>
          </w:tcPr>
          <w:p w14:paraId="234501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790</w:t>
            </w:r>
          </w:p>
        </w:tc>
        <w:tc>
          <w:tcPr>
            <w:tcW w:w="1601" w:type="dxa"/>
            <w:tcBorders>
              <w:bottom w:val="single" w:sz="12" w:space="0" w:color="auto"/>
            </w:tcBorders>
          </w:tcPr>
          <w:p w14:paraId="294BD0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790</w:t>
            </w:r>
          </w:p>
        </w:tc>
      </w:tr>
    </w:tbl>
    <w:p w14:paraId="643EB0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гр. Высотности 2500 м - 410, на 2 гр. Высотности 5100 - 390</w:t>
      </w:r>
    </w:p>
    <w:p w14:paraId="541468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Определение макс. скорости было затруднено ввиду высоких температур головок, что не позволяло выдерживать нормальные скоростные площадки с прикрытыми юбками моторов на 2-й ск. Нагнетателя. Поэтому полученные материалы не позволяют построить полный график макс. скорости, а только часть - для 1-й скорости нагнетателя.</w:t>
      </w:r>
    </w:p>
    <w:p w14:paraId="2DF048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Сороподъемность: высокие температуры моторов не позволили провести непрерывный полет на скороподъемность. Даже при повышенной скорости набора до 240 км/час по прибору и сниженных оборотах до 2300 температура достигала предельных значений и выше. Поэтому график скороподъемности приводится только для сниженных оборотов до 2300 и соответственно меньшем наддуеве</w:t>
      </w:r>
    </w:p>
    <w:p w14:paraId="760CBF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Вертикальные скорости с-та № 42072 с пол. Весом 28200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B487A" w:rsidRPr="00722885" w14:paraId="56060724" w14:textId="77777777" w:rsidTr="00CC5360">
        <w:tc>
          <w:tcPr>
            <w:tcW w:w="1868" w:type="dxa"/>
            <w:tcBorders>
              <w:top w:val="single" w:sz="12" w:space="0" w:color="auto"/>
            </w:tcBorders>
          </w:tcPr>
          <w:p w14:paraId="62097E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w:t>
            </w:r>
          </w:p>
        </w:tc>
        <w:tc>
          <w:tcPr>
            <w:tcW w:w="1868" w:type="dxa"/>
            <w:tcBorders>
              <w:top w:val="single" w:sz="12" w:space="0" w:color="auto"/>
            </w:tcBorders>
          </w:tcPr>
          <w:p w14:paraId="215849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w:t>
            </w:r>
          </w:p>
        </w:tc>
        <w:tc>
          <w:tcPr>
            <w:tcW w:w="1868" w:type="dxa"/>
            <w:tcBorders>
              <w:top w:val="single" w:sz="12" w:space="0" w:color="auto"/>
            </w:tcBorders>
          </w:tcPr>
          <w:p w14:paraId="531A04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w:t>
            </w:r>
          </w:p>
        </w:tc>
        <w:tc>
          <w:tcPr>
            <w:tcW w:w="1868" w:type="dxa"/>
            <w:tcBorders>
              <w:top w:val="single" w:sz="12" w:space="0" w:color="auto"/>
            </w:tcBorders>
          </w:tcPr>
          <w:p w14:paraId="28270F46" w14:textId="77777777" w:rsidR="00090C9B" w:rsidRPr="00722885" w:rsidRDefault="00752DA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w:t>
            </w:r>
            <w:r w:rsidR="00090C9B" w:rsidRPr="00722885">
              <w:rPr>
                <w:rFonts w:ascii="Times New Roman" w:hAnsi="Times New Roman"/>
                <w:color w:val="000000" w:themeColor="text1"/>
                <w:sz w:val="16"/>
                <w:szCs w:val="16"/>
              </w:rPr>
              <w:t>корость</w:t>
            </w:r>
          </w:p>
        </w:tc>
        <w:tc>
          <w:tcPr>
            <w:tcW w:w="1868" w:type="dxa"/>
            <w:tcBorders>
              <w:top w:val="single" w:sz="12" w:space="0" w:color="auto"/>
            </w:tcBorders>
          </w:tcPr>
          <w:p w14:paraId="7D81CA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w:t>
            </w:r>
          </w:p>
        </w:tc>
        <w:tc>
          <w:tcPr>
            <w:tcW w:w="1868" w:type="dxa"/>
            <w:tcBorders>
              <w:top w:val="single" w:sz="12" w:space="0" w:color="auto"/>
            </w:tcBorders>
          </w:tcPr>
          <w:p w14:paraId="7753699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Давление</w:t>
            </w:r>
          </w:p>
        </w:tc>
      </w:tr>
      <w:tr w:rsidR="009B487A" w:rsidRPr="00722885" w14:paraId="512CADB9" w14:textId="77777777" w:rsidTr="00CC5360">
        <w:tc>
          <w:tcPr>
            <w:tcW w:w="1868" w:type="dxa"/>
          </w:tcPr>
          <w:p w14:paraId="404CC8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Pr>
          <w:p w14:paraId="5CBD10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5,20</w:t>
            </w:r>
          </w:p>
        </w:tc>
        <w:tc>
          <w:tcPr>
            <w:tcW w:w="1868" w:type="dxa"/>
          </w:tcPr>
          <w:p w14:paraId="5C1FF7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Pr>
          <w:p w14:paraId="5158C1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55153E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2B1149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930</w:t>
            </w:r>
          </w:p>
        </w:tc>
      </w:tr>
      <w:tr w:rsidR="009B487A" w:rsidRPr="00722885" w14:paraId="2D0F25A3" w14:textId="77777777" w:rsidTr="00CC5360">
        <w:tc>
          <w:tcPr>
            <w:tcW w:w="1868" w:type="dxa"/>
          </w:tcPr>
          <w:p w14:paraId="3A1173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868" w:type="dxa"/>
          </w:tcPr>
          <w:p w14:paraId="4A98AC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5,50</w:t>
            </w:r>
          </w:p>
        </w:tc>
        <w:tc>
          <w:tcPr>
            <w:tcW w:w="1868" w:type="dxa"/>
          </w:tcPr>
          <w:p w14:paraId="5E1CAC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1868" w:type="dxa"/>
          </w:tcPr>
          <w:p w14:paraId="0D1E9D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6A7EAE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18EF3D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930</w:t>
            </w:r>
          </w:p>
        </w:tc>
      </w:tr>
      <w:tr w:rsidR="009B487A" w:rsidRPr="00722885" w14:paraId="2DE69B23" w14:textId="77777777" w:rsidTr="00CC5360">
        <w:tc>
          <w:tcPr>
            <w:tcW w:w="1868" w:type="dxa"/>
          </w:tcPr>
          <w:p w14:paraId="3923AB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868" w:type="dxa"/>
          </w:tcPr>
          <w:p w14:paraId="287018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5,60</w:t>
            </w:r>
          </w:p>
        </w:tc>
        <w:tc>
          <w:tcPr>
            <w:tcW w:w="1868" w:type="dxa"/>
          </w:tcPr>
          <w:p w14:paraId="6F7214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w:t>
            </w:r>
          </w:p>
        </w:tc>
        <w:tc>
          <w:tcPr>
            <w:tcW w:w="1868" w:type="dxa"/>
          </w:tcPr>
          <w:p w14:paraId="068781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177C2F8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1238F3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835</w:t>
            </w:r>
          </w:p>
        </w:tc>
      </w:tr>
      <w:tr w:rsidR="009B487A" w:rsidRPr="00722885" w14:paraId="37C84BF9" w14:textId="77777777" w:rsidTr="00CC5360">
        <w:tc>
          <w:tcPr>
            <w:tcW w:w="1868" w:type="dxa"/>
          </w:tcPr>
          <w:p w14:paraId="02DA64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3000</w:t>
            </w:r>
          </w:p>
        </w:tc>
        <w:tc>
          <w:tcPr>
            <w:tcW w:w="1868" w:type="dxa"/>
          </w:tcPr>
          <w:p w14:paraId="0F3C6A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4,55</w:t>
            </w:r>
          </w:p>
        </w:tc>
        <w:tc>
          <w:tcPr>
            <w:tcW w:w="1868" w:type="dxa"/>
          </w:tcPr>
          <w:p w14:paraId="1BC840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1868" w:type="dxa"/>
          </w:tcPr>
          <w:p w14:paraId="6C5F8E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28F7E9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49C8CF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r>
      <w:tr w:rsidR="009B487A" w:rsidRPr="00722885" w14:paraId="16287BF9" w14:textId="77777777" w:rsidTr="00CC5360">
        <w:tc>
          <w:tcPr>
            <w:tcW w:w="1868" w:type="dxa"/>
          </w:tcPr>
          <w:p w14:paraId="1A176E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4000</w:t>
            </w:r>
          </w:p>
        </w:tc>
        <w:tc>
          <w:tcPr>
            <w:tcW w:w="1868" w:type="dxa"/>
          </w:tcPr>
          <w:p w14:paraId="100410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3,65</w:t>
            </w:r>
          </w:p>
        </w:tc>
        <w:tc>
          <w:tcPr>
            <w:tcW w:w="1868" w:type="dxa"/>
          </w:tcPr>
          <w:p w14:paraId="0701F1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14,0</w:t>
            </w:r>
          </w:p>
        </w:tc>
        <w:tc>
          <w:tcPr>
            <w:tcW w:w="1868" w:type="dxa"/>
          </w:tcPr>
          <w:p w14:paraId="7098D9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32CD1B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019397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r>
      <w:tr w:rsidR="009B487A" w:rsidRPr="00722885" w14:paraId="06DC375A" w14:textId="77777777" w:rsidTr="00CC5360">
        <w:tc>
          <w:tcPr>
            <w:tcW w:w="1868" w:type="dxa"/>
          </w:tcPr>
          <w:p w14:paraId="2A28AA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w:t>
            </w:r>
          </w:p>
        </w:tc>
        <w:tc>
          <w:tcPr>
            <w:tcW w:w="1868" w:type="dxa"/>
          </w:tcPr>
          <w:p w14:paraId="752EE5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w:t>
            </w:r>
          </w:p>
        </w:tc>
        <w:tc>
          <w:tcPr>
            <w:tcW w:w="1868" w:type="dxa"/>
          </w:tcPr>
          <w:p w14:paraId="23390D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5EC71A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w:t>
            </w:r>
          </w:p>
        </w:tc>
        <w:tc>
          <w:tcPr>
            <w:tcW w:w="1868" w:type="dxa"/>
          </w:tcPr>
          <w:p w14:paraId="175817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2999A8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7A9EEDC" w14:textId="77777777" w:rsidTr="00CC5360">
        <w:tc>
          <w:tcPr>
            <w:tcW w:w="1868" w:type="dxa"/>
          </w:tcPr>
          <w:p w14:paraId="494423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6000</w:t>
            </w:r>
          </w:p>
        </w:tc>
        <w:tc>
          <w:tcPr>
            <w:tcW w:w="1868" w:type="dxa"/>
          </w:tcPr>
          <w:p w14:paraId="560296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w:t>
            </w:r>
          </w:p>
        </w:tc>
        <w:tc>
          <w:tcPr>
            <w:tcW w:w="1868" w:type="dxa"/>
          </w:tcPr>
          <w:p w14:paraId="3C5942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24,5</w:t>
            </w:r>
          </w:p>
        </w:tc>
        <w:tc>
          <w:tcPr>
            <w:tcW w:w="1868" w:type="dxa"/>
          </w:tcPr>
          <w:p w14:paraId="474E9D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2DFF65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39F002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810</w:t>
            </w:r>
          </w:p>
        </w:tc>
      </w:tr>
      <w:tr w:rsidR="009B487A" w:rsidRPr="00722885" w14:paraId="7E565C6C" w14:textId="77777777" w:rsidTr="00CC5360">
        <w:tc>
          <w:tcPr>
            <w:tcW w:w="1868" w:type="dxa"/>
          </w:tcPr>
          <w:p w14:paraId="5D3D58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7000</w:t>
            </w:r>
          </w:p>
        </w:tc>
        <w:tc>
          <w:tcPr>
            <w:tcW w:w="1868" w:type="dxa"/>
          </w:tcPr>
          <w:p w14:paraId="157218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w:t>
            </w:r>
          </w:p>
        </w:tc>
        <w:tc>
          <w:tcPr>
            <w:tcW w:w="1868" w:type="dxa"/>
          </w:tcPr>
          <w:p w14:paraId="553345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w:t>
            </w:r>
          </w:p>
        </w:tc>
        <w:tc>
          <w:tcPr>
            <w:tcW w:w="1868" w:type="dxa"/>
          </w:tcPr>
          <w:p w14:paraId="2B0A37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w:t>
            </w:r>
          </w:p>
        </w:tc>
        <w:tc>
          <w:tcPr>
            <w:tcW w:w="1868" w:type="dxa"/>
          </w:tcPr>
          <w:p w14:paraId="41F546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799C5A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59C4BFD" w14:textId="77777777" w:rsidTr="00CC5360">
        <w:tc>
          <w:tcPr>
            <w:tcW w:w="1868" w:type="dxa"/>
          </w:tcPr>
          <w:p w14:paraId="522485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8000</w:t>
            </w:r>
          </w:p>
        </w:tc>
        <w:tc>
          <w:tcPr>
            <w:tcW w:w="1868" w:type="dxa"/>
          </w:tcPr>
          <w:p w14:paraId="5E248F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w:t>
            </w:r>
          </w:p>
        </w:tc>
        <w:tc>
          <w:tcPr>
            <w:tcW w:w="1868" w:type="dxa"/>
          </w:tcPr>
          <w:p w14:paraId="3B965F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w:t>
            </w:r>
          </w:p>
        </w:tc>
        <w:tc>
          <w:tcPr>
            <w:tcW w:w="1868" w:type="dxa"/>
          </w:tcPr>
          <w:p w14:paraId="12DEB3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w:t>
            </w:r>
          </w:p>
        </w:tc>
        <w:tc>
          <w:tcPr>
            <w:tcW w:w="1868" w:type="dxa"/>
          </w:tcPr>
          <w:p w14:paraId="0497ED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5382A2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2DC9C7BF" w14:textId="77777777" w:rsidTr="00CC5360">
        <w:tc>
          <w:tcPr>
            <w:tcW w:w="1868" w:type="dxa"/>
            <w:tcBorders>
              <w:bottom w:val="single" w:sz="12" w:space="0" w:color="auto"/>
            </w:tcBorders>
          </w:tcPr>
          <w:p w14:paraId="681C00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9000</w:t>
            </w:r>
          </w:p>
        </w:tc>
        <w:tc>
          <w:tcPr>
            <w:tcW w:w="1868" w:type="dxa"/>
            <w:tcBorders>
              <w:bottom w:val="single" w:sz="12" w:space="0" w:color="auto"/>
            </w:tcBorders>
          </w:tcPr>
          <w:p w14:paraId="154095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Borders>
              <w:bottom w:val="single" w:sz="12" w:space="0" w:color="auto"/>
            </w:tcBorders>
          </w:tcPr>
          <w:p w14:paraId="69C065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Borders>
              <w:bottom w:val="single" w:sz="12" w:space="0" w:color="auto"/>
            </w:tcBorders>
          </w:tcPr>
          <w:p w14:paraId="14FCA2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Borders>
              <w:bottom w:val="single" w:sz="12" w:space="0" w:color="auto"/>
            </w:tcBorders>
          </w:tcPr>
          <w:p w14:paraId="3AF132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Borders>
              <w:bottom w:val="single" w:sz="12" w:space="0" w:color="auto"/>
            </w:tcBorders>
          </w:tcPr>
          <w:p w14:paraId="523A9D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bl>
    <w:p w14:paraId="3100AF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гр. Высотности - 1850 м, скор. 5,7, 2-я гр. Высотности - 5500, скор. 3,15</w:t>
      </w:r>
    </w:p>
    <w:p w14:paraId="0263FA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Переключение скорости нагнетателя - 3650 м, скор. 3,75</w:t>
      </w:r>
    </w:p>
    <w:p w14:paraId="507C84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моторов: в процессе испытаний имел место ряд систематических дефектов моторов, которые в значит. Степени затрудняли производство испытаний. Основные из них:</w:t>
      </w:r>
    </w:p>
    <w:p w14:paraId="53EAD9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недостаток высотности моторов, несоответствие ТТТ</w:t>
      </w:r>
    </w:p>
    <w:p w14:paraId="73A243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неодинаковость регулировки и нестабильность работы карбюратора АК-82БП</w:t>
      </w:r>
    </w:p>
    <w:p w14:paraId="32FD55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Выброс масла из суфлеров на высоте выше 4000 м</w:t>
      </w:r>
    </w:p>
    <w:p w14:paraId="3BC764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запуск мотора при температуре ниже +10 чрезвычайно затруднен</w:t>
      </w:r>
    </w:p>
    <w:p w14:paraId="6B5AF2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малый газ чрезвычайно недостаточен и требует систематического подрегулированя</w:t>
      </w:r>
    </w:p>
    <w:p w14:paraId="1B1254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недопустимые течи масла из под прокладок различных соединений и особенно из под кожухов тяг</w:t>
      </w:r>
    </w:p>
    <w:p w14:paraId="293BC3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74CA39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Установка моторов М-82 на с-те Пе-8 вместо АМ-35А:</w:t>
      </w:r>
    </w:p>
    <w:p w14:paraId="0D02AF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улучшает взлетные качества, сокращает длину разбега на 20%</w:t>
      </w:r>
    </w:p>
    <w:p w14:paraId="3B0FDE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увеличивает дальность полета по боевому профилю до 4400 км при бомбовой нагрузке 3000 кг, из которых на наружной подвеске - 2х500</w:t>
      </w:r>
    </w:p>
    <w:p w14:paraId="6AE91C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повышает живучесть за счет отсутствия радиаторов</w:t>
      </w:r>
    </w:p>
    <w:p w14:paraId="0C0A1A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уменьшает макс. скорость на высотах от 4000 м и выше на 10 км/час и снижает потолок на 1000 м за счет недоработанности моторов М-82 по высотности и неудовлетворительной работы карбюратора</w:t>
      </w:r>
    </w:p>
    <w:p w14:paraId="7AB160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2...Рекомендовать установку М-82 на серийные с-ты Пе-8</w:t>
      </w:r>
    </w:p>
    <w:p w14:paraId="01C6D7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Заводам № 19 и 33 устранить указанные выше дефекты М-82 и АК-82БП</w:t>
      </w:r>
    </w:p>
    <w:p w14:paraId="444F28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заводу № 22 устранить дефекты, указанные выше, после чего передать один самолет в АДД к 15 ноября 1942 с.г. для опытной эксплоатации, в процессе которой НИИ ВВС совместно с АДД снять летные характеристики с-та (994,4).</w:t>
      </w:r>
    </w:p>
    <w:p w14:paraId="2BD6807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F0ADC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ноября 1944 г. по приказу № 655с старая территории (Ново-Владыкино) завода № 282, где был оставлена небольшая часть личного состава (в основном, охрана и обслуживающий персонал), была передана НИИ-1 НКАП для организации работ по реактивной авиации (образован филиал № 2 НИИ-1).</w:t>
      </w:r>
    </w:p>
    <w:p w14:paraId="3EB705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0E688E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5C33A7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44A60A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(04.1941 г.-)- А.И. Меркулов.</w:t>
      </w:r>
    </w:p>
    <w:p w14:paraId="30E97A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(1941-06.1943 г.)- А.Я. Щербаков, (06.1943-46 г.)- В.М. Мясищев.</w:t>
      </w:r>
    </w:p>
    <w:p w14:paraId="081B56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(1946 г.-)- Е.П. Шекунов.</w:t>
      </w:r>
    </w:p>
    <w:p w14:paraId="1BD789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(04.1941 г.-)- А.И. Меркулов.</w:t>
      </w:r>
    </w:p>
    <w:p w14:paraId="36CA73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гл. конструктора А.Я. Щербакова при заводе № 482 НКАП</w:t>
      </w:r>
    </w:p>
    <w:p w14:paraId="0FC700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605B31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2584BA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6FE09F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1746F0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722885">
        <w:rPr>
          <w:rFonts w:ascii="Times New Roman" w:hAnsi="Times New Roman"/>
          <w:color w:val="000000" w:themeColor="text1"/>
          <w:sz w:val="16"/>
          <w:szCs w:val="16"/>
          <w:lang w:val="en-US"/>
        </w:rPr>
        <w:t>JIa</w:t>
      </w:r>
      <w:r w:rsidRPr="00722885">
        <w:rPr>
          <w:rFonts w:ascii="Times New Roman" w:hAnsi="Times New Roman"/>
          <w:color w:val="000000" w:themeColor="text1"/>
          <w:sz w:val="16"/>
          <w:szCs w:val="16"/>
        </w:rPr>
        <w:t>-5 и Пе-2ВИ.</w:t>
      </w:r>
    </w:p>
    <w:p w14:paraId="17794A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2339C9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ОКБ завода № 22 гл. конструктора В.М. Мясищева, ОКБ-482 НКАП, МАП /г. Москва/</w:t>
      </w:r>
    </w:p>
    <w:p w14:paraId="7AF68BE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5F6106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283641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447856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5792A2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2F6973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7B76AA0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(1944-46 г.)- В.М. Мясищев.</w:t>
      </w:r>
    </w:p>
    <w:p w14:paraId="1265913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5D81516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51C0B5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ноября 1942 года директор и гл. конструктор Государственного института реактивной техники при Совнаркоме А. Костиков писал письмо N 955сс Молотову.</w:t>
      </w:r>
    </w:p>
    <w:p w14:paraId="5FEC1A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Докладываю, что выполнение постановления ГОКО от 26 июля 1942 года за N 2105, обязывающее Государственный комитет реактивной техники при Совнаркоме - спроектировать и построить совместно с НКАП реактивный самолет - протекает крайне неудовлетворительно.</w:t>
      </w:r>
    </w:p>
    <w:p w14:paraId="7FC6E0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Основными причинами указанного неблагополучия являются:</w:t>
      </w:r>
    </w:p>
    <w:p w14:paraId="0B8FBC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невыполнение НКАП возложенных на него постановлением ГОКО за N 2105сс от 26 июля срочных мероприятий по организации конструкторского бюро и специального завода на территории Государственного института реактивной техники.</w:t>
      </w:r>
    </w:p>
    <w:p w14:paraId="243AAF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Несмотря на наличие изданных НКАП Шахуриным двух приказов (NN 616сс и 784с), достаточно точно определяющих объемы, сроки и ответственных лиц по Наркомату и заводам НКАП за своевременное проведение указанных мероприятий, последние либо совершенно не выполнены, либо выполняются крайне медленно со значительным нарушением установленных сроков.</w:t>
      </w:r>
    </w:p>
    <w:p w14:paraId="7A7DE2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результате:</w:t>
      </w:r>
    </w:p>
    <w:p w14:paraId="4A62BE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Конструкторское бюро начало работать с опозданием на два месяца и на сегодня укомплектовано лишь на 60%. До сих пор не выполнены решение ГОКО и два приказа наркома Авиапрома Шахурина об откомандировании группы в 30 человек высококвалифицированных конструкторов бывш. КБ Архангельского.</w:t>
      </w:r>
    </w:p>
    <w:p w14:paraId="492A09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б) Специальный завод для постройки реактивного самолета фактически не только не начал работу, но еще на этом заводе не приступлено к монтажу оборудования. Строительные работы по переоборудованию помещений под завод выполнены стройтрестом N 18 НКАП только лишь на 20% против установленного объема на 10.XI; отечественное оборудование, выделенное Госснабом НКАП, составляет лишь 29... (37 единиц) от установленной Наркоматом потребности завода....</w:t>
      </w:r>
    </w:p>
    <w:p w14:paraId="6CBB42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 менее остро обстоит вопрос с рабочими кадрами для заводов.</w:t>
      </w:r>
    </w:p>
    <w:p w14:paraId="66EC47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Предусмотренный приказами НКАП от 12.VIII и 17.Х.с.г. перевод с других заводов не позднее 25.Х 150 человек рабочих - фактически сорван, так как до 5.XI переведено лишь 6 человек.</w:t>
      </w:r>
    </w:p>
    <w:p w14:paraId="1177B3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Невыполнение постановления ГКО за N 2105сс от 26 июля 1942 г. по работам и мероприятиям возложенным этим постановлением на другие наркоматы:</w:t>
      </w:r>
    </w:p>
    <w:p w14:paraId="382788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по Наркомвооружению - организация к 15 сентября 1942 года изготовления прошитых, кованных заготовок из стали ЭЖ17;</w:t>
      </w:r>
    </w:p>
    <w:p w14:paraId="5FA732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 Наркомвооружению - организация изготовления насосных установок.</w:t>
      </w:r>
    </w:p>
    <w:p w14:paraId="2C4457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Предусмотренное постановлением ГОКО окончание к 1 сентября одного экземпляра насосной установки задерживается по вине НКАП, не обеспечившего поставки... и лопаток для турбин.</w:t>
      </w:r>
    </w:p>
    <w:p w14:paraId="54DDC6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связи с вышеуказанным, из весьма сжатых установленных.... месяцев для разработки и постройки опытных образцов самолета же почти более 3-х месяцев потеряно, что создало явную угрозу выполнению работ в назначенный срок.</w:t>
      </w:r>
    </w:p>
    <w:p w14:paraId="5B1155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Необходимо немедленное выполнение всех мероприятий, предусмотренных постановлением ГОКО с тем, чтобы избежать такого положения, когда уже будет совершенно невозможно ни при каких условиях наверстать упущенного времени для разработки и постройки реактивного самолета в установленный ГКО срок.</w:t>
      </w:r>
    </w:p>
    <w:p w14:paraId="43139C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Прошу Ваших указаний (2158,292).</w:t>
      </w:r>
    </w:p>
    <w:p w14:paraId="62550331" w14:textId="77777777" w:rsidR="00090C9B" w:rsidRPr="00722885" w:rsidRDefault="00090C9B" w:rsidP="00722885">
      <w:pPr>
        <w:pStyle w:val="Iauiue"/>
        <w:jc w:val="both"/>
        <w:rPr>
          <w:color w:val="000000" w:themeColor="text1"/>
          <w:sz w:val="16"/>
          <w:szCs w:val="16"/>
        </w:rPr>
      </w:pPr>
    </w:p>
    <w:p w14:paraId="726862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ноября 1942 Зам. НКАП Сандлер писал письмо Н-9/4450 Нач. 11 ГУ НКАП Куликову:</w:t>
      </w:r>
    </w:p>
    <w:p w14:paraId="299460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соответствии с указанием Госплана СССР НКАП обязан к 20 ноября представить в Правительство на утверждение проект отпускных цен на 1943.</w:t>
      </w:r>
    </w:p>
    <w:p w14:paraId="3C50F4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10 ГУ подлежат пересмотру действующие отпускные цены на следующие изделия:</w:t>
      </w:r>
    </w:p>
    <w:p w14:paraId="08B44C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Завод 387 - У-2</w:t>
      </w:r>
    </w:p>
    <w:p w14:paraId="07DFD3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Завод 116 - Ут-2</w:t>
      </w:r>
    </w:p>
    <w:p w14:paraId="30BA2D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связи с этим Вам необходимо не позднее 15 ноября представить в ПЭО НКАП развернутые плановые калькуляции на указанные изделия на 1943, с обязательной расшифровкой готовых изделий, отчетные данные за 9 мес., а также протокол согласования проекта цен на 1943 с заказчиком." (2503,20).</w:t>
      </w:r>
    </w:p>
    <w:p w14:paraId="715F4421" w14:textId="77777777" w:rsidR="00090C9B" w:rsidRPr="00722885" w:rsidRDefault="00090C9B" w:rsidP="00722885">
      <w:pPr>
        <w:pStyle w:val="Iauiue"/>
        <w:jc w:val="both"/>
        <w:rPr>
          <w:color w:val="000000" w:themeColor="text1"/>
          <w:sz w:val="16"/>
          <w:szCs w:val="16"/>
        </w:rPr>
      </w:pPr>
    </w:p>
    <w:p w14:paraId="6EC5A2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11 ноября 1942 по 31 декабря 1943 года относятся работы по вопросам изготовления и испытаний импортных нитроглицериновых порохов НОД [50]. К первой половине 1943 года можно отнести решение о принятии ракетных зарядов для ракетных частей снарядов М-13 из шнекованного пороха НМ-4Ш на серийное производство [51]. В 1943 году проводились работы специалистами Специального экспериментально-производственного бюро НКБ и Ленинградского полигона по исследованию химической стойкости аммоналов; испытание на осколочность головок 132 мм осколочно-фугасных снарядов М-13 и на детонацию мин М-28. Специалисты НИИ-3 и Софринского полигона занимались стендовыми испытаниями зарядов, составленных из 5 шашек Н-31 и 6/8-900, испытаниями снарядов М-13 с реактивными зарядами из порохов рецептур НП-22, проводили стендовые испытания зарядов НОД-4 и другими вопросами [52]. Были рассмотрены вопросы хранения и транспортировки химических снарядов, их окраски и маркировки [53], рационализаторские предложения и чертежи приборов для вставки пиропатронов в изделия М-13, М-20 [54], выпущена инструкция ЦНИИ ТМАШ по контролю и исправлению дефектов сварных швов ракетной части снаряда М-13-С [55], работы по опытным работам по снарядам МХ-13, МХ-30, М-30 [56], отчет Гороховецкого артиллерийского полигона об исследовании разрывного заряда и дымового состава 158,5 мм реактивной немецкой мины к шестиствольному миномету (1.3.43 – 18.4.43) [57] (11772).</w:t>
      </w:r>
    </w:p>
    <w:p w14:paraId="2EED1E7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9B709F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E05DB76" w14:textId="77777777" w:rsidR="00090C9B" w:rsidRPr="00722885" w:rsidRDefault="00090C9B" w:rsidP="00722885">
      <w:pPr>
        <w:pStyle w:val="Iauiue"/>
        <w:jc w:val="both"/>
        <w:rPr>
          <w:iCs/>
          <w:color w:val="000000" w:themeColor="text1"/>
          <w:sz w:val="16"/>
          <w:szCs w:val="16"/>
        </w:rPr>
      </w:pPr>
    </w:p>
    <w:p w14:paraId="21C12771" w14:textId="77777777" w:rsidR="00752DA1" w:rsidRPr="00722885" w:rsidRDefault="00752DA1"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период с 11 ноября 1942 по 31.12 1943 года проводились работы по вопросам изготовления и испытаний импортных нитроглицериновых порохов НОД (15981).</w:t>
      </w:r>
    </w:p>
    <w:p w14:paraId="0A12F145" w14:textId="77777777" w:rsidR="00752DA1" w:rsidRPr="00722885" w:rsidRDefault="00752DA1" w:rsidP="00722885">
      <w:pPr>
        <w:spacing w:after="0" w:line="240" w:lineRule="auto"/>
        <w:jc w:val="both"/>
        <w:rPr>
          <w:rFonts w:ascii="Times New Roman" w:eastAsia="Times New Roman" w:hAnsi="Times New Roman"/>
          <w:color w:val="000000" w:themeColor="text1"/>
          <w:sz w:val="16"/>
          <w:szCs w:val="16"/>
        </w:rPr>
      </w:pPr>
    </w:p>
    <w:p w14:paraId="13BEA8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ноября 1942 года вышел приказ № 445 НКВ, которым был утвержден Устав завода № 9 НКВ (9272).</w:t>
      </w:r>
    </w:p>
    <w:p w14:paraId="1440E4B8" w14:textId="77777777" w:rsidR="00090C9B" w:rsidRPr="00722885" w:rsidRDefault="00090C9B" w:rsidP="00722885">
      <w:pPr>
        <w:pStyle w:val="Iauiue"/>
        <w:jc w:val="both"/>
        <w:rPr>
          <w:color w:val="000000" w:themeColor="text1"/>
          <w:sz w:val="16"/>
          <w:szCs w:val="16"/>
        </w:rPr>
      </w:pPr>
    </w:p>
    <w:p w14:paraId="189327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ноября 1942 Директор Хаб. судорем. завода Рачев писал письмоСекретарю Крайкома ВКП(б) т. Медкову</w:t>
      </w:r>
    </w:p>
    <w:p w14:paraId="6070B5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Сообщаем состояние выполнения спецзаказа по боеприпасам АО-10 на 10-е ноября.</w:t>
      </w:r>
    </w:p>
    <w:p w14:paraId="5F0009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основном сначала работ подготовлено к сдаче военпреду 1126 штук из них 1-ая партия 540 шт. уложена в ящики.</w:t>
      </w:r>
    </w:p>
    <w:p w14:paraId="1F73D4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Задерживают обработку корпусов и отзывается на производительности отсутствия стали для резцов "победник" . Кроме того задерживают работы, в известкой степени отсутствия парафина, лака № 67 и наждачных кругов Л-500м. Полученный калибр на очко под взрыватель одного из Московских заводов забракован. В настоящее время в соответствии с указанием военпреда нами изготовлены и пущены в производство три калибра собственного изготовления.</w:t>
      </w:r>
    </w:p>
    <w:p w14:paraId="399CE6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Деят. предприят., ф. 35, оп. 1, д.. 983., л. 33 (10701).</w:t>
      </w:r>
    </w:p>
    <w:p w14:paraId="534F1BE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CEDD6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11 по 15 ноября 1942 г. состоялась уже вторая техническая конференция по качеству В-2К (КВ-1) и В2-34 (Т-34). Представители ГБТУ в первую очередь констатировали весьма несовершенную систему фильтрации воздуха, топлива, масла. Отвечая на упреки, Чупахин ссылался на недостаток места на танке для установки более мощной системы фильтров, прежде всего воздушных. В итоге расход масла во фронтовых условиях доходил до 30 кг за час работы и двигатель быстро выходил из строя. Фильтры не задерживали песок, поршневые кольца катастрофически изнашивались. Трашутин сказал о том, что проводятся исследования по улучшению рабочего процесса и пары "гильза-кольцо" с привлечением специалистов НАТИ. Внедрен специальный прибор по проверке колец на изгиб. Чупахин напомнил, что госиспытания двигатель проходил с другими поршнями и кольцами. Но кольца показались сложными в изготовлении и по просьбам технологов их упростили, вдобавок оставив всего по одному кольцу на поршень. В итоге - быстрый износ и прекращение выполнения кольцами функции маслосъема. Было бы правильным вернуться к первоначальному положению, но есть сомнения в возможности освоения предлагаемой технологии колец. Вновь зашел разговор о топливной аппаратуре - течи, заедания плунжеров, зависание иглы распылителя. Необходима высочайшая культура производства. Очень много проблем со сверлением отверстий форсунок. Совершенно не обеспечивается герметичность соединений трубок с насосами. В итоге в фронтовых условиях приходится постоянно их подтягивать. Проявился органический (с самого начала существования мотора) порок - пробивка прокладок блока. Конструктивное решение - завышение бурта гильзы, известное еще с довоенного времени - так и не было реализовано. Отмечалось, что указываемый в формуляре техпаспорта срок гарантийной работы 150 часов никак не соответствует действительности (11224).</w:t>
      </w:r>
    </w:p>
    <w:p w14:paraId="6B45942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750E13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11 ноября 1942 г. была подготовлена:</w:t>
      </w:r>
    </w:p>
    <w:p w14:paraId="24DC3D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СПРАВКА о выполнении в 1942 году промышленностью плана снабжения Наркомата обороны машинами и автотракторным имуществом по данным на 11 ноября 1942 г.</w:t>
      </w:r>
    </w:p>
    <w:p w14:paraId="3029137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главнейшим номенклатурам)</w:t>
      </w:r>
    </w:p>
    <w:tbl>
      <w:tblPr>
        <w:tblW w:w="0" w:type="auto"/>
        <w:tblInd w:w="40" w:type="dxa"/>
        <w:tblLayout w:type="fixed"/>
        <w:tblCellMar>
          <w:left w:w="40" w:type="dxa"/>
          <w:right w:w="40" w:type="dxa"/>
        </w:tblCellMar>
        <w:tblLook w:val="0000" w:firstRow="0" w:lastRow="0" w:firstColumn="0" w:lastColumn="0" w:noHBand="0" w:noVBand="0"/>
      </w:tblPr>
      <w:tblGrid>
        <w:gridCol w:w="2352"/>
        <w:gridCol w:w="1613"/>
        <w:gridCol w:w="518"/>
        <w:gridCol w:w="835"/>
        <w:gridCol w:w="1046"/>
        <w:gridCol w:w="1056"/>
        <w:gridCol w:w="1046"/>
        <w:gridCol w:w="1066"/>
      </w:tblGrid>
      <w:tr w:rsidR="009B487A" w:rsidRPr="00722885" w14:paraId="00B92F11" w14:textId="77777777" w:rsidTr="00CC5360">
        <w:trPr>
          <w:trHeight w:val="154"/>
        </w:trPr>
        <w:tc>
          <w:tcPr>
            <w:tcW w:w="2352" w:type="dxa"/>
            <w:tcBorders>
              <w:top w:val="single" w:sz="6" w:space="0" w:color="auto"/>
              <w:left w:val="single" w:sz="6" w:space="0" w:color="auto"/>
              <w:bottom w:val="nil"/>
              <w:right w:val="single" w:sz="6" w:space="0" w:color="auto"/>
            </w:tcBorders>
          </w:tcPr>
          <w:p w14:paraId="32DC50D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Номенклатура</w:t>
            </w:r>
          </w:p>
          <w:p w14:paraId="4915F9B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nil"/>
              <w:right w:val="single" w:sz="6" w:space="0" w:color="auto"/>
            </w:tcBorders>
          </w:tcPr>
          <w:p w14:paraId="6B19780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Завод-изготовитель</w:t>
            </w:r>
          </w:p>
          <w:p w14:paraId="4B1EBE9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nil"/>
              <w:right w:val="single" w:sz="6" w:space="0" w:color="auto"/>
            </w:tcBorders>
          </w:tcPr>
          <w:p w14:paraId="7582B87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Ед изм</w:t>
            </w:r>
          </w:p>
          <w:p w14:paraId="32EA9E1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nil"/>
              <w:right w:val="single" w:sz="6" w:space="0" w:color="auto"/>
            </w:tcBorders>
          </w:tcPr>
          <w:p w14:paraId="6DC0C1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 на квартал 1942 г</w:t>
            </w:r>
          </w:p>
          <w:p w14:paraId="16C9A5A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4214" w:type="dxa"/>
            <w:gridSpan w:val="4"/>
            <w:tcBorders>
              <w:top w:val="single" w:sz="6" w:space="0" w:color="auto"/>
              <w:left w:val="single" w:sz="6" w:space="0" w:color="auto"/>
              <w:bottom w:val="single" w:sz="6" w:space="0" w:color="auto"/>
              <w:right w:val="single" w:sz="6" w:space="0" w:color="auto"/>
            </w:tcBorders>
          </w:tcPr>
          <w:p w14:paraId="50E5BC7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от заводов промышленности</w:t>
            </w:r>
          </w:p>
          <w:p w14:paraId="187CA45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0F4E922" w14:textId="77777777" w:rsidTr="00CC5360">
        <w:trPr>
          <w:trHeight w:val="413"/>
        </w:trPr>
        <w:tc>
          <w:tcPr>
            <w:tcW w:w="2352" w:type="dxa"/>
            <w:tcBorders>
              <w:top w:val="nil"/>
              <w:left w:val="single" w:sz="6" w:space="0" w:color="auto"/>
              <w:bottom w:val="single" w:sz="6" w:space="0" w:color="auto"/>
              <w:right w:val="single" w:sz="6" w:space="0" w:color="auto"/>
            </w:tcBorders>
          </w:tcPr>
          <w:p w14:paraId="5B4F5F0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EFCED0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single" w:sz="6" w:space="0" w:color="auto"/>
              <w:right w:val="single" w:sz="6" w:space="0" w:color="auto"/>
            </w:tcBorders>
          </w:tcPr>
          <w:p w14:paraId="181D086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CD8CE8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518" w:type="dxa"/>
            <w:tcBorders>
              <w:top w:val="nil"/>
              <w:left w:val="single" w:sz="6" w:space="0" w:color="auto"/>
              <w:bottom w:val="single" w:sz="6" w:space="0" w:color="auto"/>
              <w:right w:val="single" w:sz="6" w:space="0" w:color="auto"/>
            </w:tcBorders>
          </w:tcPr>
          <w:p w14:paraId="1478133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D852C3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835" w:type="dxa"/>
            <w:tcBorders>
              <w:top w:val="nil"/>
              <w:left w:val="single" w:sz="6" w:space="0" w:color="auto"/>
              <w:bottom w:val="single" w:sz="6" w:space="0" w:color="auto"/>
              <w:right w:val="single" w:sz="6" w:space="0" w:color="auto"/>
            </w:tcBorders>
          </w:tcPr>
          <w:p w14:paraId="58FD5B7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AABEF1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009BB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IV квартале 1942 г</w:t>
            </w:r>
          </w:p>
          <w:p w14:paraId="0F62FBE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3666B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 ч за 10 дней ноября</w:t>
            </w:r>
          </w:p>
          <w:p w14:paraId="6B33A41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2A57E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выполнения плана IV кв</w:t>
            </w:r>
          </w:p>
          <w:p w14:paraId="6E7AFB1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EFF170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с начала гола на 11.11 42 г.</w:t>
            </w:r>
          </w:p>
          <w:p w14:paraId="1B22CBE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57D148C" w14:textId="77777777" w:rsidTr="00CC5360">
        <w:trPr>
          <w:trHeight w:val="1613"/>
        </w:trPr>
        <w:tc>
          <w:tcPr>
            <w:tcW w:w="2352" w:type="dxa"/>
            <w:tcBorders>
              <w:top w:val="single" w:sz="6" w:space="0" w:color="auto"/>
              <w:left w:val="single" w:sz="6" w:space="0" w:color="auto"/>
              <w:bottom w:val="single" w:sz="6" w:space="0" w:color="auto"/>
              <w:right w:val="single" w:sz="6" w:space="0" w:color="auto"/>
            </w:tcBorders>
          </w:tcPr>
          <w:p w14:paraId="6EA0882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Автомашины отече ственные</w:t>
            </w:r>
          </w:p>
          <w:p w14:paraId="1F933E7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Легк. ГАЗ-61-64</w:t>
            </w:r>
          </w:p>
          <w:p w14:paraId="6ED04B6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Груз. ГАЗ-АА-ААА</w:t>
            </w:r>
          </w:p>
          <w:p w14:paraId="47E95EA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Шасси ГАЗ-АА-ААА</w:t>
            </w:r>
          </w:p>
          <w:p w14:paraId="5EE1C56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Автоб. штаб, и санит.</w:t>
            </w:r>
          </w:p>
          <w:p w14:paraId="165FB1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Груз. ЗИС-5</w:t>
            </w:r>
          </w:p>
          <w:p w14:paraId="7024945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Шасси ЗИС-5</w:t>
            </w:r>
          </w:p>
          <w:p w14:paraId="465C30C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Вездеходы ЗИС-42</w:t>
            </w:r>
          </w:p>
          <w:p w14:paraId="59C8850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Автобусы ЗИС-16</w:t>
            </w:r>
          </w:p>
          <w:p w14:paraId="7CA460F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928D47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E6CF43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Автозавод им. Молотова</w:t>
            </w:r>
          </w:p>
          <w:p w14:paraId="74E1A0E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Автозавод им. Молотова</w:t>
            </w:r>
          </w:p>
          <w:p w14:paraId="0EE7476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Автозавод им. Сталина</w:t>
            </w:r>
          </w:p>
          <w:p w14:paraId="59AA901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Автозавод им. Сталина</w:t>
            </w:r>
          </w:p>
          <w:p w14:paraId="7F665DC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28879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EE58B4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 ШТ. ШТ. ШТ.</w:t>
            </w:r>
          </w:p>
          <w:p w14:paraId="571D3F8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 шт. шт. шт.</w:t>
            </w:r>
          </w:p>
          <w:p w14:paraId="181B910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497E26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1D67FD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CF3018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18F124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8BE1EE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0B3E18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16300</w:t>
            </w:r>
          </w:p>
          <w:p w14:paraId="5FDFC39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65E957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599303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p w14:paraId="30DB0E4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2816</w:t>
            </w:r>
          </w:p>
          <w:p w14:paraId="5EBFE6B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w:t>
            </w:r>
          </w:p>
          <w:p w14:paraId="0303501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w:t>
            </w:r>
          </w:p>
          <w:p w14:paraId="3124C9D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1503</w:t>
            </w:r>
          </w:p>
          <w:p w14:paraId="6B5F1EA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134</w:t>
            </w:r>
          </w:p>
          <w:p w14:paraId="3B27172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179</w:t>
            </w:r>
          </w:p>
          <w:p w14:paraId="65B0E99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p w14:paraId="4EFE5AA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EE8FB8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B07619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p w14:paraId="053779A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723</w:t>
            </w:r>
          </w:p>
          <w:p w14:paraId="3C42E46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6D41B42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w:t>
            </w:r>
          </w:p>
          <w:p w14:paraId="0CA97A3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384</w:t>
            </w:r>
          </w:p>
          <w:p w14:paraId="5CC14F7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p w14:paraId="7F13564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p w14:paraId="23E118B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0D7EE0C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7811AA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EE7C6D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CC407F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7724AC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p w14:paraId="36AA6E4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12550</w:t>
            </w:r>
          </w:p>
          <w:p w14:paraId="4354B0E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953</w:t>
            </w:r>
          </w:p>
          <w:p w14:paraId="23130FA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1023</w:t>
            </w:r>
          </w:p>
          <w:p w14:paraId="2D4BE73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3359</w:t>
            </w:r>
          </w:p>
          <w:p w14:paraId="53F2CEC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655</w:t>
            </w:r>
          </w:p>
          <w:p w14:paraId="24F363F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179</w:t>
            </w:r>
          </w:p>
          <w:p w14:paraId="284DB82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w:t>
            </w:r>
          </w:p>
          <w:p w14:paraId="489E21A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650E405" w14:textId="77777777" w:rsidTr="00CC5360">
        <w:trPr>
          <w:trHeight w:val="192"/>
        </w:trPr>
        <w:tc>
          <w:tcPr>
            <w:tcW w:w="3965" w:type="dxa"/>
            <w:gridSpan w:val="2"/>
            <w:tcBorders>
              <w:top w:val="single" w:sz="6" w:space="0" w:color="auto"/>
              <w:left w:val="single" w:sz="6" w:space="0" w:color="auto"/>
              <w:bottom w:val="single" w:sz="6" w:space="0" w:color="auto"/>
              <w:right w:val="single" w:sz="6" w:space="0" w:color="auto"/>
            </w:tcBorders>
          </w:tcPr>
          <w:p w14:paraId="5A8A30C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Итого:</w:t>
            </w:r>
          </w:p>
          <w:p w14:paraId="027D133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355DF5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065202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290A24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16300</w:t>
            </w:r>
          </w:p>
          <w:p w14:paraId="21AEA3F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3D5CFB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4878</w:t>
            </w:r>
          </w:p>
          <w:p w14:paraId="7C8F73A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654C06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1168</w:t>
            </w:r>
          </w:p>
          <w:p w14:paraId="1C654D0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493F8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29,9</w:t>
            </w:r>
          </w:p>
          <w:p w14:paraId="16167E5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7F9FC9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18785</w:t>
            </w:r>
          </w:p>
          <w:p w14:paraId="4C5CFC8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74FA5A2" w14:textId="77777777" w:rsidTr="00CC5360">
        <w:trPr>
          <w:trHeight w:val="182"/>
        </w:trPr>
        <w:tc>
          <w:tcPr>
            <w:tcW w:w="3965" w:type="dxa"/>
            <w:gridSpan w:val="2"/>
            <w:tcBorders>
              <w:top w:val="single" w:sz="6" w:space="0" w:color="auto"/>
              <w:left w:val="single" w:sz="6" w:space="0" w:color="auto"/>
              <w:bottom w:val="single" w:sz="6" w:space="0" w:color="auto"/>
              <w:right w:val="single" w:sz="6" w:space="0" w:color="auto"/>
            </w:tcBorders>
          </w:tcPr>
          <w:p w14:paraId="08485BE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Автомашины импортные</w:t>
            </w:r>
          </w:p>
          <w:p w14:paraId="5AFA565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0CFA5B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9145FD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AD0A6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274E8B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A10590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034ED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984BCF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453530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A5564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0EC1C7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D0BE08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BB0C3A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0D6746A" w14:textId="77777777" w:rsidTr="00CC5360">
        <w:trPr>
          <w:trHeight w:val="547"/>
        </w:trPr>
        <w:tc>
          <w:tcPr>
            <w:tcW w:w="2352" w:type="dxa"/>
            <w:tcBorders>
              <w:top w:val="single" w:sz="6" w:space="0" w:color="auto"/>
              <w:left w:val="single" w:sz="6" w:space="0" w:color="auto"/>
              <w:bottom w:val="single" w:sz="6" w:space="0" w:color="auto"/>
              <w:right w:val="single" w:sz="6" w:space="0" w:color="auto"/>
            </w:tcBorders>
          </w:tcPr>
          <w:p w14:paraId="6591ECE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Бантам, Виллис, Студебекер, Форд, Бедфорд МС, Шевроле, Интернейшенл и др.</w:t>
            </w:r>
          </w:p>
          <w:p w14:paraId="2A3A247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396058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D5F087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1D5E50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p w14:paraId="45BFFEC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19F06B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7CD096A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9317E1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2601</w:t>
            </w:r>
          </w:p>
          <w:p w14:paraId="2ABEC29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33D232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232</w:t>
            </w:r>
          </w:p>
          <w:p w14:paraId="0B7B784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C0EF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76A9B58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7A5608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27954</w:t>
            </w:r>
          </w:p>
          <w:p w14:paraId="4E759B5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C3FA29C" w14:textId="77777777" w:rsidTr="00CC5360">
        <w:trPr>
          <w:trHeight w:val="182"/>
        </w:trPr>
        <w:tc>
          <w:tcPr>
            <w:tcW w:w="3965" w:type="dxa"/>
            <w:gridSpan w:val="2"/>
            <w:tcBorders>
              <w:top w:val="single" w:sz="6" w:space="0" w:color="auto"/>
              <w:left w:val="single" w:sz="6" w:space="0" w:color="auto"/>
              <w:bottom w:val="single" w:sz="6" w:space="0" w:color="auto"/>
              <w:right w:val="single" w:sz="6" w:space="0" w:color="auto"/>
            </w:tcBorders>
          </w:tcPr>
          <w:p w14:paraId="0E3CC56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p w14:paraId="4C6CB69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1A47F1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EAD5C5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BBC698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0628F89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CD5458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7479</w:t>
            </w:r>
          </w:p>
          <w:p w14:paraId="4CD8CD8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452194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1400</w:t>
            </w:r>
          </w:p>
          <w:p w14:paraId="4C9F783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D429F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25A4A2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CDBDC8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46739</w:t>
            </w:r>
          </w:p>
          <w:p w14:paraId="09A8653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01100FB" w14:textId="77777777" w:rsidTr="00CC5360">
        <w:trPr>
          <w:trHeight w:val="365"/>
        </w:trPr>
        <w:tc>
          <w:tcPr>
            <w:tcW w:w="2352" w:type="dxa"/>
            <w:tcBorders>
              <w:top w:val="single" w:sz="6" w:space="0" w:color="auto"/>
              <w:left w:val="single" w:sz="6" w:space="0" w:color="auto"/>
              <w:bottom w:val="nil"/>
              <w:right w:val="single" w:sz="6" w:space="0" w:color="auto"/>
            </w:tcBorders>
          </w:tcPr>
          <w:p w14:paraId="504DF3E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Тракторы СТЗ-5</w:t>
            </w:r>
          </w:p>
          <w:p w14:paraId="59934F8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35E704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nil"/>
              <w:right w:val="single" w:sz="6" w:space="0" w:color="auto"/>
            </w:tcBorders>
          </w:tcPr>
          <w:p w14:paraId="5906B1F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Сталинград, тракторный завод</w:t>
            </w:r>
          </w:p>
          <w:p w14:paraId="70E5CD2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AFB75F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p w14:paraId="5BE9F5E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98C537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576B22A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41CFE0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274AA74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FFA92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6C0A1C8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F4762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6F648DC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FA0EC0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3197</w:t>
            </w:r>
          </w:p>
          <w:p w14:paraId="5B8CB53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A5D973B" w14:textId="77777777" w:rsidTr="00CC5360">
        <w:trPr>
          <w:trHeight w:val="374"/>
        </w:trPr>
        <w:tc>
          <w:tcPr>
            <w:tcW w:w="2352" w:type="dxa"/>
            <w:tcBorders>
              <w:top w:val="nil"/>
              <w:left w:val="single" w:sz="6" w:space="0" w:color="auto"/>
              <w:bottom w:val="nil"/>
              <w:right w:val="single" w:sz="6" w:space="0" w:color="auto"/>
            </w:tcBorders>
          </w:tcPr>
          <w:p w14:paraId="675F7CA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Прицепы</w:t>
            </w:r>
          </w:p>
          <w:p w14:paraId="553D892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4C3746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4954BDE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Заводы НКСМ</w:t>
            </w:r>
          </w:p>
          <w:p w14:paraId="5306FD4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E2F278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20CD36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p w14:paraId="4117742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BCF020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 не утверж.</w:t>
            </w:r>
          </w:p>
          <w:p w14:paraId="0F8E014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5D35A0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2045</w:t>
            </w:r>
          </w:p>
          <w:p w14:paraId="2832A87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A7503B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293</w:t>
            </w:r>
          </w:p>
          <w:p w14:paraId="361B74D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5D55C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55AFD98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638F90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14566</w:t>
            </w:r>
          </w:p>
          <w:p w14:paraId="62B5FAA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36566B7" w14:textId="77777777" w:rsidTr="00CC5360">
        <w:trPr>
          <w:trHeight w:val="538"/>
        </w:trPr>
        <w:tc>
          <w:tcPr>
            <w:tcW w:w="2352" w:type="dxa"/>
            <w:tcBorders>
              <w:top w:val="nil"/>
              <w:left w:val="single" w:sz="6" w:space="0" w:color="auto"/>
              <w:bottom w:val="nil"/>
              <w:right w:val="single" w:sz="6" w:space="0" w:color="auto"/>
            </w:tcBorders>
          </w:tcPr>
          <w:p w14:paraId="737FA5F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Мотоциклы М-72, М-600</w:t>
            </w:r>
          </w:p>
          <w:p w14:paraId="030F1EE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620FE2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6AC2D2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Горьк.,Ирбит. и Тюменьск. Мотозаводы</w:t>
            </w:r>
          </w:p>
          <w:p w14:paraId="4F05AEC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80F35D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p w14:paraId="6A90D39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1113B7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2700</w:t>
            </w:r>
          </w:p>
          <w:p w14:paraId="1D2228C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8251A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371</w:t>
            </w:r>
          </w:p>
          <w:p w14:paraId="1C8234F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A372A1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4156BB4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5C57F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14,0</w:t>
            </w:r>
          </w:p>
          <w:p w14:paraId="6CA81E4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89FACA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2669</w:t>
            </w:r>
          </w:p>
          <w:p w14:paraId="70AEF7C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F39759C" w14:textId="77777777" w:rsidTr="00CC5360">
        <w:trPr>
          <w:trHeight w:val="374"/>
        </w:trPr>
        <w:tc>
          <w:tcPr>
            <w:tcW w:w="2352" w:type="dxa"/>
            <w:tcBorders>
              <w:top w:val="nil"/>
              <w:left w:val="single" w:sz="6" w:space="0" w:color="auto"/>
              <w:bottom w:val="nil"/>
              <w:right w:val="single" w:sz="6" w:space="0" w:color="auto"/>
            </w:tcBorders>
          </w:tcPr>
          <w:p w14:paraId="64223C0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Авторезина</w:t>
            </w:r>
          </w:p>
          <w:p w14:paraId="1066495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F1946A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47B96F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Яросл. и Омск. шин. Заводы </w:t>
            </w:r>
          </w:p>
        </w:tc>
        <w:tc>
          <w:tcPr>
            <w:tcW w:w="518" w:type="dxa"/>
            <w:tcBorders>
              <w:top w:val="single" w:sz="6" w:space="0" w:color="auto"/>
              <w:left w:val="single" w:sz="6" w:space="0" w:color="auto"/>
              <w:bottom w:val="single" w:sz="6" w:space="0" w:color="auto"/>
              <w:right w:val="single" w:sz="6" w:space="0" w:color="auto"/>
            </w:tcBorders>
          </w:tcPr>
          <w:p w14:paraId="2FF7901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w:t>
            </w:r>
          </w:p>
          <w:p w14:paraId="475F8F3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06B23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190000</w:t>
            </w:r>
          </w:p>
          <w:p w14:paraId="73EF8B0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B6257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62440</w:t>
            </w:r>
          </w:p>
          <w:p w14:paraId="31C966C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677F05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8017</w:t>
            </w:r>
          </w:p>
          <w:p w14:paraId="124C784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AFE00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32,8</w:t>
            </w:r>
          </w:p>
          <w:p w14:paraId="6831BC3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70E5DC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506174</w:t>
            </w:r>
          </w:p>
          <w:p w14:paraId="5D2F6B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2EAE354" w14:textId="77777777" w:rsidTr="00CC5360">
        <w:trPr>
          <w:trHeight w:val="182"/>
        </w:trPr>
        <w:tc>
          <w:tcPr>
            <w:tcW w:w="2352" w:type="dxa"/>
            <w:tcBorders>
              <w:top w:val="nil"/>
              <w:left w:val="single" w:sz="6" w:space="0" w:color="auto"/>
              <w:bottom w:val="nil"/>
              <w:right w:val="single" w:sz="6" w:space="0" w:color="auto"/>
            </w:tcBorders>
          </w:tcPr>
          <w:p w14:paraId="5A61DE4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Запчасти автомоб.</w:t>
            </w:r>
          </w:p>
          <w:p w14:paraId="7799265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49604A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ГАЗ и ЗИС</w:t>
            </w:r>
          </w:p>
          <w:p w14:paraId="0E250549"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D4884C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w:t>
            </w:r>
          </w:p>
          <w:p w14:paraId="221BB10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B62F30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30000,0</w:t>
            </w:r>
          </w:p>
          <w:p w14:paraId="3E11D75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7FEEB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4464,1</w:t>
            </w:r>
          </w:p>
          <w:p w14:paraId="3FF6AE5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8B05B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252,6</w:t>
            </w:r>
          </w:p>
          <w:p w14:paraId="7167FE1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D8BE83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14,9</w:t>
            </w:r>
          </w:p>
          <w:p w14:paraId="3B58457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46CFA7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41409,2</w:t>
            </w:r>
          </w:p>
          <w:p w14:paraId="23D2393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E88174F" w14:textId="77777777" w:rsidTr="00CC5360">
        <w:trPr>
          <w:trHeight w:val="365"/>
        </w:trPr>
        <w:tc>
          <w:tcPr>
            <w:tcW w:w="2352" w:type="dxa"/>
            <w:tcBorders>
              <w:top w:val="nil"/>
              <w:left w:val="single" w:sz="6" w:space="0" w:color="auto"/>
              <w:bottom w:val="nil"/>
              <w:right w:val="single" w:sz="6" w:space="0" w:color="auto"/>
            </w:tcBorders>
          </w:tcPr>
          <w:p w14:paraId="181FE54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Запчасти тракторные</w:t>
            </w:r>
          </w:p>
          <w:p w14:paraId="1AAAE35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8E0CD6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533412B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Заводы НКТП и НКСМ</w:t>
            </w:r>
          </w:p>
          <w:p w14:paraId="0FBE3EA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076A6E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2EC8BC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w:t>
            </w:r>
          </w:p>
          <w:p w14:paraId="37BC530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EC9EA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15000,0</w:t>
            </w:r>
          </w:p>
          <w:p w14:paraId="332EF6C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BED3F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105,0</w:t>
            </w:r>
          </w:p>
          <w:p w14:paraId="52D76F9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DE1F10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4FE8008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68AE8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0,9</w:t>
            </w:r>
          </w:p>
          <w:p w14:paraId="54FC646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A5C5A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5105,9</w:t>
            </w:r>
          </w:p>
          <w:p w14:paraId="7F9D3F0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609AD45" w14:textId="77777777" w:rsidTr="00CC5360">
        <w:trPr>
          <w:trHeight w:val="374"/>
        </w:trPr>
        <w:tc>
          <w:tcPr>
            <w:tcW w:w="2352" w:type="dxa"/>
            <w:tcBorders>
              <w:top w:val="nil"/>
              <w:left w:val="single" w:sz="6" w:space="0" w:color="auto"/>
              <w:bottom w:val="nil"/>
              <w:right w:val="single" w:sz="6" w:space="0" w:color="auto"/>
            </w:tcBorders>
          </w:tcPr>
          <w:p w14:paraId="55F2FFD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Аккумуляторы</w:t>
            </w:r>
          </w:p>
          <w:p w14:paraId="664E12F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C3AF748"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5D2D65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Заводы НКСМ и НКЭП</w:t>
            </w:r>
          </w:p>
          <w:p w14:paraId="31A202C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F52365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p w14:paraId="7FFC30A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E255B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 не утверж.</w:t>
            </w:r>
          </w:p>
          <w:p w14:paraId="6DFF6DC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B224CE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16000</w:t>
            </w:r>
          </w:p>
          <w:p w14:paraId="6DECC7A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FB34E9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0CDBE93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8F2A2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E50794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49565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138266</w:t>
            </w:r>
          </w:p>
          <w:p w14:paraId="3880F37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ABC1E21" w14:textId="77777777" w:rsidTr="00CC5360">
        <w:trPr>
          <w:trHeight w:val="365"/>
        </w:trPr>
        <w:tc>
          <w:tcPr>
            <w:tcW w:w="2352" w:type="dxa"/>
            <w:tcBorders>
              <w:top w:val="nil"/>
              <w:left w:val="single" w:sz="6" w:space="0" w:color="auto"/>
              <w:bottom w:val="nil"/>
              <w:right w:val="single" w:sz="6" w:space="0" w:color="auto"/>
            </w:tcBorders>
          </w:tcPr>
          <w:p w14:paraId="7C49060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Капоты утеплительные</w:t>
            </w:r>
          </w:p>
          <w:p w14:paraId="187861A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D4819D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nil"/>
              <w:right w:val="single" w:sz="6" w:space="0" w:color="auto"/>
            </w:tcBorders>
          </w:tcPr>
          <w:p w14:paraId="3215225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Предпр.мест.пром. и НКЛТ РСФСР </w:t>
            </w:r>
          </w:p>
          <w:p w14:paraId="6FD2D1B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5C38A0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994269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p w14:paraId="0399FB4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548922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130000</w:t>
            </w:r>
          </w:p>
          <w:p w14:paraId="0C1BBC1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0B4A4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21693</w:t>
            </w:r>
          </w:p>
          <w:p w14:paraId="0F2D0E5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E8BC7D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6333</w:t>
            </w:r>
          </w:p>
          <w:p w14:paraId="637E71B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4DCBDC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w:t>
            </w:r>
          </w:p>
          <w:p w14:paraId="2368C49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54AE47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100704</w:t>
            </w:r>
          </w:p>
          <w:p w14:paraId="252C977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F01A712" w14:textId="77777777" w:rsidTr="00CC5360">
        <w:trPr>
          <w:trHeight w:val="384"/>
        </w:trPr>
        <w:tc>
          <w:tcPr>
            <w:tcW w:w="2352" w:type="dxa"/>
            <w:tcBorders>
              <w:top w:val="nil"/>
              <w:left w:val="single" w:sz="6" w:space="0" w:color="auto"/>
              <w:bottom w:val="single" w:sz="6" w:space="0" w:color="auto"/>
              <w:right w:val="single" w:sz="6" w:space="0" w:color="auto"/>
            </w:tcBorders>
          </w:tcPr>
          <w:p w14:paraId="5DDCA6A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Цепи противоскольж.</w:t>
            </w:r>
          </w:p>
          <w:p w14:paraId="74F296F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9960E9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single" w:sz="6" w:space="0" w:color="auto"/>
              <w:right w:val="single" w:sz="6" w:space="0" w:color="auto"/>
            </w:tcBorders>
          </w:tcPr>
          <w:p w14:paraId="2CBBA68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3-ды НКСМ и НК Судпром</w:t>
            </w:r>
          </w:p>
          <w:p w14:paraId="35F06EC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3D7553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6ECCEE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w:t>
            </w:r>
          </w:p>
          <w:p w14:paraId="55CB8A4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C83BAD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90000</w:t>
            </w:r>
          </w:p>
          <w:p w14:paraId="64A5065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F1A8F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11014</w:t>
            </w:r>
          </w:p>
          <w:p w14:paraId="36EB4E9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C32C84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433B1CD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CD7F0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w:t>
            </w:r>
          </w:p>
          <w:p w14:paraId="5F8F081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D36E87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139892</w:t>
            </w:r>
          </w:p>
          <w:p w14:paraId="0E813CA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bl>
    <w:p w14:paraId="4D7318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АТУ ГАБТУ КА генерал-майор технических войск Тягунов</w:t>
      </w:r>
    </w:p>
    <w:p w14:paraId="537D2B52" w14:textId="77777777" w:rsidR="00090C9B" w:rsidRPr="00722885" w:rsidRDefault="00090C9B"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11492. Д. 53. Л. 17-20. Копия (11211).</w:t>
      </w:r>
    </w:p>
    <w:p w14:paraId="03F3D032" w14:textId="77777777" w:rsidR="00090C9B" w:rsidRPr="00722885" w:rsidRDefault="00090C9B" w:rsidP="00722885">
      <w:pPr>
        <w:pStyle w:val="afff2"/>
        <w:jc w:val="both"/>
        <w:rPr>
          <w:i w:val="0"/>
          <w:iCs w:val="0"/>
          <w:color w:val="000000" w:themeColor="text1"/>
          <w:spacing w:val="0"/>
          <w:kern w:val="0"/>
          <w:position w:val="0"/>
          <w:sz w:val="16"/>
          <w:szCs w:val="16"/>
        </w:rPr>
      </w:pPr>
    </w:p>
    <w:p w14:paraId="3B86B4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 ноября 1942 г. Томский электроламповый переименован в ГС завод № 660 (Завод № 660 НКЭП, МПСС, </w:t>
      </w:r>
      <w:r w:rsidRPr="00722885">
        <w:rPr>
          <w:rFonts w:ascii="Times New Roman" w:hAnsi="Times New Roman"/>
          <w:color w:val="000000" w:themeColor="text1"/>
          <w:sz w:val="16"/>
          <w:szCs w:val="16"/>
          <w:lang w:val="en-US"/>
        </w:rPr>
        <w:t>MPTTI</w:t>
      </w:r>
      <w:r w:rsidRPr="00722885">
        <w:rPr>
          <w:rFonts w:ascii="Times New Roman" w:hAnsi="Times New Roman"/>
          <w:color w:val="000000" w:themeColor="text1"/>
          <w:sz w:val="16"/>
          <w:szCs w:val="16"/>
        </w:rPr>
        <w:t>, СНХ, п/я 134, Томский электроламповый завод (ТЭЛЗ) МЭТП РСФСР, АОЗТ, ЗАО «ТЭЛЗ» /634034  г. Томск пр. Кирова, 5/). Позднее получил наименование «п/я 134». С 28.06.1946 г. передан в ведете 5ГУ МПСС, с 1.01.1953 г.- 12ГУ МПСС, а с 1954 г.- в ведении МРТП.</w:t>
      </w:r>
    </w:p>
    <w:p w14:paraId="39D118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1945 г. на заводе действовало 8 сборочных линий, а к 1958 г.- 14. В 1964-66 г. построен новый производственный корпус № 2, в котором размещены сборочный и заготовителный цехи.</w:t>
      </w:r>
    </w:p>
    <w:p w14:paraId="25A585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1957 г. завод - в ведении Томского СНХ, с 1963 г. - Управления радиотехнической и электронной промышленности Западно-Сибирского СНХ,</w:t>
      </w:r>
      <w:r w:rsidRPr="00722885">
        <w:rPr>
          <w:rFonts w:ascii="Times New Roman" w:hAnsi="Times New Roman"/>
          <w:color w:val="000000" w:themeColor="text1"/>
          <w:sz w:val="16"/>
          <w:szCs w:val="16"/>
          <w:vertAlign w:val="superscript"/>
        </w:rPr>
        <w:t>80</w:t>
      </w:r>
      <w:r w:rsidRPr="00722885">
        <w:rPr>
          <w:rFonts w:ascii="Times New Roman" w:hAnsi="Times New Roman"/>
          <w:color w:val="000000" w:themeColor="text1"/>
          <w:sz w:val="16"/>
          <w:szCs w:val="16"/>
        </w:rPr>
        <w:t xml:space="preserve"> с 1966 г. - в ведении МЭТП РСФСР.</w:t>
      </w:r>
    </w:p>
    <w:p w14:paraId="59FD40E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1960-е  г. выпускал специальные лампы и колбы для различных приборов и узлов оборонной техники. В 1975 г. завод выпустил 123 млн. ламп, а в 1982 г.- 133 млн. шт. Всего к началу 2000-х  г. выпущено более 4,6 млрд ламп.</w:t>
      </w:r>
    </w:p>
    <w:p w14:paraId="63B0AE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1992 г. завод преобразован в АОЗТ ТЭЛЗ. В 2003 г. вошло в состав холдинга В.А.В.С.</w:t>
      </w:r>
    </w:p>
    <w:p w14:paraId="0C14B5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2008 г. предприятие находилось в процессе внешнего наблюдения.</w:t>
      </w:r>
    </w:p>
    <w:p w14:paraId="119416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(15.09.1964 г.)- 2668 чел.</w:t>
      </w:r>
      <w:r w:rsidRPr="00722885">
        <w:rPr>
          <w:rFonts w:ascii="Times New Roman" w:hAnsi="Times New Roman"/>
          <w:color w:val="000000" w:themeColor="text1"/>
          <w:sz w:val="16"/>
          <w:szCs w:val="16"/>
          <w:vertAlign w:val="superscript"/>
        </w:rPr>
        <w:t>80</w:t>
      </w:r>
    </w:p>
    <w:p w14:paraId="79377D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(01.1942-70 г.)- А.Т. Иванов. Гендиректор (2005 г.)- М.В. Казаков, (2007 г.-)- В. Голубев (11982).</w:t>
      </w:r>
    </w:p>
    <w:p w14:paraId="60C6875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B42E00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F9A75EB" w14:textId="77777777" w:rsidR="00090C9B" w:rsidRPr="00722885" w:rsidRDefault="00090C9B" w:rsidP="00722885">
      <w:pPr>
        <w:pStyle w:val="Iauiue"/>
        <w:jc w:val="both"/>
        <w:rPr>
          <w:iCs/>
          <w:color w:val="000000" w:themeColor="text1"/>
          <w:sz w:val="16"/>
          <w:szCs w:val="16"/>
        </w:rPr>
      </w:pPr>
    </w:p>
    <w:p w14:paraId="33AA8360"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11 ноября </w:t>
      </w:r>
      <w:r w:rsidRPr="00722885">
        <w:rPr>
          <w:rFonts w:ascii="Times New Roman" w:hAnsi="Times New Roman"/>
          <w:color w:val="000000" w:themeColor="text1"/>
          <w:sz w:val="16"/>
          <w:szCs w:val="16"/>
        </w:rPr>
        <w:t>в 1942 году утреннее сообщение Совинформбюро:</w:t>
      </w:r>
    </w:p>
    <w:p w14:paraId="2F7ECCE6"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11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E8750EC"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укрепляли свои позиции и вели разведку.Бойцы Н-ской части совершили налёт на расположение противника и истребили 70 немецких солдат и офицеров, уничтожили противотанковую пушку и две автомашины.На другом участке рота немецкой пехоты пыталась приблизиться к переднему краюнашей обороны. Потеряв в результате боя до двух взводов пехоты, противник отошёл на исходные позиции.</w:t>
      </w:r>
    </w:p>
    <w:p w14:paraId="18383E83"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огневой бой с противником.Артиллеристы Н-ской части уничтожили 3 врытых в землю немецких танка, подавили огонь 2 артиллерийских и 4 миномётных батарей. На другом участке огнём нашей артиллерии взорван крупный склад боеприпасов противника.</w:t>
      </w:r>
    </w:p>
    <w:p w14:paraId="40C2D3B9"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части Н-ского соединения вели активные боевые действия против пехоты и танков противника. В результате ожесточённых боёв, проходивших вчера в течение всего дня, уничтожено до 300 немецких солдат и офицеров. Нашими частями подбито 12 и сожжено 9 танков противника. Захвачены 7 исправных немецких танков, 2 бронемашины, 3 орудия, шестиствольный миномёт и штабная автомашина.</w:t>
      </w:r>
    </w:p>
    <w:p w14:paraId="0D413986"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батальон немецкой пехоты атаковал позиции Н-скойчасти. Отдельным группам немцев удалось вклиниться в нашу оборону. В результате ожесточённого боя советские бойцы уничтожили прорвавшиеся группы противника.</w:t>
      </w:r>
    </w:p>
    <w:p w14:paraId="1A4890F0"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огнём пехотного оружия и артиллерии уничтожено до 350немецких солдат и офицеров, разрушено 23 блиндажа и рассеяно несколько мелких разведывательных групп противника. Нашей зенитной артиллерией сбито 5 немецких самолётов.</w:t>
      </w:r>
    </w:p>
    <w:p w14:paraId="6CED170F"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Партизанский отряд, действующий в одном из районов Калининской области, вёл упорные бои против карательной экспедиции немцев. Гитлеровцы пытались окружить партизан. Умелым манёвром партизаны вышли из окружения и напали на немцев стыла. В ожесточённой схватке уничтожено 80 немецких солдат и офицеров. Другой отряд калининских партизан пробрался к охранявшемуся мосту через реку. Перебив немецкую охрану, партизаны взорвали мост и уничтожили телефонную связь на протяжение нескольких километров.</w:t>
      </w:r>
    </w:p>
    <w:p w14:paraId="5E9A8C6A"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Гитлеровцы глумятся над населением оккупированных ими советских районов.Чтобы принизить национальное и человеческое достоинство советских людей, немецко-фашистские мерзавцы принуждают их носить специальные нумерованные бирки. Недавно захвачен приказ № 4 командования 161 немецкой пехотной дивизии начальнику тыла. Ниже приводится выдержка из этого приказа: «Для обозначения русского гражданского населения каждое гражданское лицо в возрасте свыше 12 лет должно носить деревянную дощечку (бирку). Па этой деревянной дощечке должно быть написано: название населённого пункта, в списках жителей которого числится данное лицо; порядковый номер, за которым числится гражданское лицо в списке». В особом распоряжении штаба этой же дивизии говорится: «Наблюдалось, что население, в особенности женщины, не носят введённые бирки с указанием своего номера и места жительства. Нарушителей приказа следует подвергать порке и аресту».</w:t>
      </w:r>
    </w:p>
    <w:p w14:paraId="6A09A2FC"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Валоны (Албания) албанские патриоты перебили итальянских солдат, охранявших склад с фуражом, и сожгли большие запасы сена. На днях партизаны в районе Либрашта бросили в казарму итальянских солдат несколько гранат. Убито 28 оккупантов.» (14827).</w:t>
      </w:r>
    </w:p>
    <w:p w14:paraId="0EBE8DA5"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3F4C9C3A"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11 ноября </w:t>
      </w:r>
      <w:r w:rsidRPr="00722885">
        <w:rPr>
          <w:rFonts w:ascii="Times New Roman" w:hAnsi="Times New Roman"/>
          <w:color w:val="000000" w:themeColor="text1"/>
          <w:sz w:val="16"/>
          <w:szCs w:val="16"/>
        </w:rPr>
        <w:t>в 1942 году вечернее сообщение Совинформбюро:</w:t>
      </w:r>
    </w:p>
    <w:p w14:paraId="79123A21"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11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4B4CF4C1"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10 ноября нашей авиацией на различных участках фронта уничтожено до 30 автомашин с войсками и грузами, разбито 2 железнодорожных состава, подавлен огонь 4 артиллерийских батарей и 14 миномётов противника.</w:t>
      </w:r>
    </w:p>
    <w:p w14:paraId="62567830"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части отбили несколько атак противника и уничтожилидо 200 немецких солдат и офицеров. Огневыми налётами артиллеристов и миномётчиков уничтожено 4 орудия, 17 миномётов, 23 пулемёта, разрушено 11 дзотов и блиндажей противника. Сбито 5 немецких самолётов. Среди защитников Сталинграда ширится снайперское движение. Старший сержант т. Тусупов за последние дни уничтожил 18 немцев, красноармеец т. Увалиев истребил 10 гитлеровцев.</w:t>
      </w:r>
    </w:p>
    <w:p w14:paraId="2A4DAEBE"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подразделения под командованием т. Меркулова атаковали противника и заняли окраину одного населённого пункта. B этом бою уничтожено до двух рот гитлеровцев. Захвачены трофеи и пленные. Кроме того, более взвода немецких солдат добровольно перешло на сторону Красной Армии.</w:t>
      </w:r>
    </w:p>
    <w:p w14:paraId="013578AF"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вели активные боевые действия. Танкисты под командованием т. Петушкова в ожесточённом бою с противником уничтожили 3 немецких танка, 4 батареи противотанковых орудий, 3 миномётные батареи, 6 бронетранспортёров с пехотой, 5 легковых машин и более роты пехоты противника.</w:t>
      </w:r>
    </w:p>
    <w:p w14:paraId="7B6373E3"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бойцы Н-ской части отразили две атаки гитлеровцев и уничтожили более 100 немецких солдат и офицеров, 8 пулемётов, орудие и 2 миномёта.</w:t>
      </w:r>
    </w:p>
    <w:p w14:paraId="3161D303"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 Черноморского флота совершили налёт на вражеский аэродром. Советские бомбардировщики сделали по 5-6 заходов на цель. Затем появились штурмовики, которые обрушили свои удары на прожекторные и зенитные установки противника. Вслед за этим транспортные самолёты сбросили с небольшой высоты парашютистов. Приземлившись, наши десантники подожгли находившиеся на аэродроме самолёты и скрылись. Всего в результате этой операции сожжено 13 и серьёзно повреждено 10 немецких самолётов. Наши десантники пробрались через линию фронта и вышли в расположение советских войск.</w:t>
      </w:r>
    </w:p>
    <w:p w14:paraId="10E8EFBC"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Два отряда курских партизан истребили 96 солдат немецкой железнодорожной охраны и взорвали 6 километров железнодорожного пути. Успеху этой операции способствовал чех, солдат немецкой армии, поддерживавший связь с партизанами. Сейчас этот солдат находится в партизанском отряде и активно борется против немецких захватчиков.</w:t>
      </w:r>
    </w:p>
    <w:p w14:paraId="5341CA60"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Белградская радиостанция, находящаяся, как известно, в полном распоряжении гитлеровцев, передала на венгерском языке сообщение о том, что якобы в Советском Союзе «нормы хлеба снижены до 80 граммов в день». Советское Информбюро уже однажды опровергло столь же лживую выдумку радио Виши. 17 июля нынешнего года Советское Информбюро сообщало, что один житель Москвы получает хлеба больше, чем один житель Берлина, один житель Рима и один житель Виши, вместе взятые. С тех пор норма выдачи хлеба как в Москве, так и в других городах Советского Союза ни разу не снижалась и осталась неизменной. Сегодня к этому можно добавить, что советские граждане получают хлеба в три, четыре и пять раз больше, чем население Венгрии. Немцы опустошили Венгрию, вывезли из страны все продовольственные запасы и обрекли её население на голод. Ограбив венгров, гитлеровцы преподносят им в утешение всякие небылицы о снижении продовольственных норм в СССР. Можно не сомневаться, что голодающим венграм от этого легче не будет.» (14827).</w:t>
      </w:r>
    </w:p>
    <w:p w14:paraId="1DFD9EDE"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25C463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ноября 1942 была последняя попытка наступления Паулюса в Сталинграде и он вышел к Волге в 3-й точке (2070,78).</w:t>
      </w:r>
    </w:p>
    <w:p w14:paraId="7A391956" w14:textId="77777777" w:rsidR="00090C9B" w:rsidRPr="00722885" w:rsidRDefault="00090C9B" w:rsidP="00722885">
      <w:pPr>
        <w:pStyle w:val="Iauiue"/>
        <w:jc w:val="both"/>
        <w:rPr>
          <w:color w:val="000000" w:themeColor="text1"/>
          <w:sz w:val="16"/>
          <w:szCs w:val="16"/>
        </w:rPr>
      </w:pPr>
    </w:p>
    <w:p w14:paraId="7B8DED94" w14:textId="77777777" w:rsidR="00E55FE3" w:rsidRPr="00722885" w:rsidRDefault="00E55FE3" w:rsidP="00722885">
      <w:pPr>
        <w:pStyle w:val="Iauiue"/>
        <w:jc w:val="both"/>
        <w:rPr>
          <w:color w:val="000000" w:themeColor="text1"/>
          <w:sz w:val="16"/>
          <w:szCs w:val="16"/>
          <w:lang w:val="en-US"/>
        </w:rPr>
      </w:pPr>
      <w:r w:rsidRPr="00722885">
        <w:rPr>
          <w:color w:val="000000" w:themeColor="text1"/>
          <w:sz w:val="16"/>
          <w:szCs w:val="16"/>
          <w:lang w:val="en-US"/>
        </w:rPr>
        <w:t>November 11, 1942: At Stalingrad, 6.Armee (von Paulus) launches its last major attack to capture the city and succeeds in reaching the Volga near the Red October factory on a frontage of 600 yards. In the Caucasus, 13.Panzer-Division (von der Chevallerie) of III.Panzerkorps (von Mackensen) begins to disengage its units halted before Ordshonikidse to avoid being cut off by heavy Soviet attacks against its rear communications. In the West, German forces begin the occupation of those parts of France controlled by the Vichy government. In a letter to Marshal Petain, Hitler declares that the purpose of this move is "to protect France" against the Allies. The United States extends Lend-Lease aid to the Free Forces under General de Gaulle (3819).</w:t>
      </w:r>
    </w:p>
    <w:p w14:paraId="0EE031FE" w14:textId="77777777" w:rsidR="00E55FE3" w:rsidRPr="00722885" w:rsidRDefault="00E55FE3" w:rsidP="00722885">
      <w:pPr>
        <w:pStyle w:val="Iauiue"/>
        <w:jc w:val="both"/>
        <w:rPr>
          <w:color w:val="000000" w:themeColor="text1"/>
          <w:sz w:val="16"/>
          <w:szCs w:val="16"/>
          <w:lang w:val="en-US"/>
        </w:rPr>
      </w:pPr>
    </w:p>
    <w:p w14:paraId="49EA8E0D"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11 ноября </w:t>
      </w:r>
      <w:r w:rsidRPr="00722885">
        <w:rPr>
          <w:rFonts w:ascii="Times New Roman" w:hAnsi="Times New Roman"/>
          <w:color w:val="000000" w:themeColor="text1"/>
          <w:sz w:val="16"/>
          <w:szCs w:val="16"/>
        </w:rPr>
        <w:t>в 1942 году противник предпринял последнюю попытку овладеть Сталинградом: ему удалось пробиться к Волге южнее завода «Баррикады». Войска 62-й армии обороняли город в трёх группировках: на северной окраине - в районе Рынок, Спартаковка, в центре - у завода «Баррикады», а также в районе завода «Красный Октябрь» (14827).</w:t>
      </w:r>
    </w:p>
    <w:p w14:paraId="46586C14"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49370F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ноября 1942 13ТД 3ТГ начала отход от Орджоникидзе с целью предотвращения окружения. Немцы заняли часть Франции, ранее контролировавшуюся вишистами. США расширили ленд-лиз на войска г Де Голя (3819).</w:t>
      </w:r>
    </w:p>
    <w:p w14:paraId="605CC80D" w14:textId="77777777" w:rsidR="00090C9B" w:rsidRPr="00722885" w:rsidRDefault="00090C9B" w:rsidP="00722885">
      <w:pPr>
        <w:pStyle w:val="Iauiue"/>
        <w:jc w:val="both"/>
        <w:rPr>
          <w:color w:val="000000" w:themeColor="text1"/>
          <w:sz w:val="16"/>
          <w:szCs w:val="16"/>
        </w:rPr>
      </w:pPr>
    </w:p>
    <w:p w14:paraId="627372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ноября 1942 одна из финских “Чаек” в районе Пенинсаари подловила одиночный Пе-2 и предположительно сбила его (6592).</w:t>
      </w:r>
    </w:p>
    <w:p w14:paraId="01EF8E20" w14:textId="77777777" w:rsidR="00090C9B" w:rsidRPr="00722885" w:rsidRDefault="00090C9B" w:rsidP="00722885">
      <w:pPr>
        <w:pStyle w:val="Iauiue"/>
        <w:jc w:val="both"/>
        <w:rPr>
          <w:color w:val="000000" w:themeColor="text1"/>
          <w:sz w:val="16"/>
          <w:szCs w:val="16"/>
        </w:rPr>
      </w:pPr>
    </w:p>
    <w:p w14:paraId="5E2C256F" w14:textId="77777777" w:rsidR="00E55FE3" w:rsidRPr="00722885" w:rsidRDefault="00E55FE3" w:rsidP="00722885">
      <w:pPr>
        <w:pStyle w:val="Iauiue"/>
        <w:tabs>
          <w:tab w:val="left" w:pos="11199"/>
        </w:tabs>
        <w:jc w:val="both"/>
        <w:rPr>
          <w:color w:val="000000" w:themeColor="text1"/>
          <w:sz w:val="16"/>
          <w:szCs w:val="16"/>
        </w:rPr>
      </w:pPr>
      <w:r w:rsidRPr="00722885">
        <w:rPr>
          <w:color w:val="000000" w:themeColor="text1"/>
          <w:sz w:val="16"/>
          <w:szCs w:val="16"/>
        </w:rPr>
        <w:t>11 ноября 1942 вышло Постановление ГКО № 2502 [О штатной численности боевых самолетов в авиаполках.] (7063, 1).</w:t>
      </w:r>
    </w:p>
    <w:p w14:paraId="5EA4FBED" w14:textId="77777777" w:rsidR="00E55FE3" w:rsidRPr="00722885" w:rsidRDefault="00E55FE3" w:rsidP="00722885">
      <w:pPr>
        <w:pStyle w:val="Iauiue"/>
        <w:tabs>
          <w:tab w:val="left" w:pos="11199"/>
        </w:tabs>
        <w:jc w:val="both"/>
        <w:rPr>
          <w:color w:val="000000" w:themeColor="text1"/>
          <w:sz w:val="16"/>
          <w:szCs w:val="16"/>
        </w:rPr>
      </w:pPr>
    </w:p>
    <w:p w14:paraId="7A61937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C62B99D" w14:textId="77777777" w:rsidR="00090C9B" w:rsidRPr="00722885" w:rsidRDefault="00090C9B" w:rsidP="00722885">
      <w:pPr>
        <w:pStyle w:val="Iauiue"/>
        <w:jc w:val="both"/>
        <w:rPr>
          <w:iCs/>
          <w:color w:val="000000" w:themeColor="text1"/>
          <w:sz w:val="16"/>
          <w:szCs w:val="16"/>
        </w:rPr>
      </w:pPr>
    </w:p>
    <w:p w14:paraId="799382C5"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ноября  1942 года состоялся первый полет Lockheed XP-49 (20793).</w:t>
      </w:r>
    </w:p>
    <w:p w14:paraId="2B0CBF52" w14:textId="77777777" w:rsidR="007610D8" w:rsidRPr="00722885" w:rsidRDefault="007610D8" w:rsidP="00722885">
      <w:pPr>
        <w:spacing w:after="0" w:line="240" w:lineRule="auto"/>
        <w:jc w:val="both"/>
        <w:rPr>
          <w:rFonts w:ascii="Times New Roman" w:hAnsi="Times New Roman"/>
          <w:color w:val="0070C0"/>
          <w:sz w:val="16"/>
          <w:szCs w:val="16"/>
        </w:rPr>
      </w:pPr>
    </w:p>
    <w:p w14:paraId="3A6DB76A"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ноября 1942 прекращаются боевые действия между войсками союзников и французов во французской Северной Африке (20793).</w:t>
      </w:r>
    </w:p>
    <w:p w14:paraId="1E22370D" w14:textId="77777777" w:rsidR="007610D8" w:rsidRPr="00722885" w:rsidRDefault="007610D8" w:rsidP="00722885">
      <w:pPr>
        <w:spacing w:after="0" w:line="240" w:lineRule="auto"/>
        <w:jc w:val="both"/>
        <w:rPr>
          <w:rFonts w:ascii="Times New Roman" w:hAnsi="Times New Roman"/>
          <w:color w:val="0070C0"/>
          <w:sz w:val="16"/>
          <w:szCs w:val="16"/>
        </w:rPr>
      </w:pPr>
    </w:p>
    <w:p w14:paraId="427761E0"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11 ноября </w:t>
      </w:r>
      <w:r w:rsidRPr="00722885">
        <w:rPr>
          <w:rFonts w:ascii="Times New Roman" w:hAnsi="Times New Roman"/>
          <w:color w:val="000000" w:themeColor="text1"/>
          <w:sz w:val="16"/>
          <w:szCs w:val="16"/>
        </w:rPr>
        <w:t>в 1942 году когда бронированный авианосец «Викториус» возвращался в Англию, самолет эскадрильи потопил «U-517» посреди Атлантики (14827).</w:t>
      </w:r>
    </w:p>
    <w:p w14:paraId="78F29DCC"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0E9C89A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11 ноября 1942 фашисты оккупировали Южную Францию (4962).</w:t>
      </w:r>
    </w:p>
    <w:p w14:paraId="2658BC55" w14:textId="77777777" w:rsidR="00090C9B" w:rsidRPr="00722885" w:rsidRDefault="00090C9B" w:rsidP="00722885">
      <w:pPr>
        <w:pStyle w:val="Iauiue"/>
        <w:tabs>
          <w:tab w:val="left" w:pos="11199"/>
        </w:tabs>
        <w:jc w:val="both"/>
        <w:rPr>
          <w:color w:val="000000" w:themeColor="text1"/>
          <w:sz w:val="16"/>
          <w:szCs w:val="16"/>
        </w:rPr>
      </w:pPr>
    </w:p>
    <w:p w14:paraId="353DD05D"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11 Wed. 1942 German troops occupy France, south to the Mediterranean Sea. Italian troops land on Corsica and move into France (1064).</w:t>
      </w:r>
    </w:p>
    <w:p w14:paraId="1F6F3E34" w14:textId="77777777" w:rsidR="00090C9B" w:rsidRPr="00722885" w:rsidRDefault="00090C9B" w:rsidP="00722885">
      <w:pPr>
        <w:pStyle w:val="Iauiue"/>
        <w:jc w:val="both"/>
        <w:rPr>
          <w:color w:val="000000" w:themeColor="text1"/>
          <w:sz w:val="16"/>
          <w:szCs w:val="16"/>
          <w:lang w:val="en-US"/>
        </w:rPr>
      </w:pPr>
    </w:p>
    <w:p w14:paraId="09B21022"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11 1942 Germans and Italians invade Southern France (1050).</w:t>
      </w:r>
    </w:p>
    <w:p w14:paraId="0F21A785" w14:textId="77777777" w:rsidR="00090C9B" w:rsidRPr="00722885" w:rsidRDefault="00090C9B" w:rsidP="00722885">
      <w:pPr>
        <w:pStyle w:val="Iauiue"/>
        <w:jc w:val="both"/>
        <w:rPr>
          <w:color w:val="000000" w:themeColor="text1"/>
          <w:sz w:val="16"/>
          <w:szCs w:val="16"/>
          <w:lang w:val="en-US"/>
        </w:rPr>
      </w:pPr>
    </w:p>
    <w:p w14:paraId="192451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11-27 ноября 1942 немецкие войска оккупировали Южную Францию, а итальянские войска высадились на Корсике и выдвинулись в сторону Франции (1064;1050). Операция Anton (2245,9). Цель: организация обороны южного побережья Франции (2438,55).</w:t>
      </w:r>
    </w:p>
    <w:p w14:paraId="2157F146" w14:textId="77777777" w:rsidR="00090C9B" w:rsidRPr="00722885" w:rsidRDefault="00090C9B" w:rsidP="00722885">
      <w:pPr>
        <w:pStyle w:val="Iauiue"/>
        <w:jc w:val="both"/>
        <w:rPr>
          <w:color w:val="000000" w:themeColor="text1"/>
          <w:sz w:val="16"/>
          <w:szCs w:val="16"/>
        </w:rPr>
      </w:pPr>
    </w:p>
    <w:p w14:paraId="45CFC6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 ноября 1942 после высадки американских войск в СА вокруг г Анри Оноре Жиро образовалась проамериканская группа Сопротивления. ВС Франции прекратили сопротивление англо-американским войскам в СА (3186), но США признали Франсуа Дарлана, чем вызвали негодование Великобритании (3481).</w:t>
      </w:r>
    </w:p>
    <w:p w14:paraId="4EFA1057" w14:textId="77777777" w:rsidR="00090C9B" w:rsidRPr="00722885" w:rsidRDefault="00090C9B" w:rsidP="00722885">
      <w:pPr>
        <w:pStyle w:val="Iauiue"/>
        <w:jc w:val="both"/>
        <w:rPr>
          <w:color w:val="000000" w:themeColor="text1"/>
          <w:sz w:val="16"/>
          <w:szCs w:val="16"/>
        </w:rPr>
      </w:pPr>
    </w:p>
    <w:p w14:paraId="6A51ADAC"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11 ноября </w:t>
      </w:r>
      <w:r w:rsidRPr="00722885">
        <w:rPr>
          <w:rFonts w:ascii="Times New Roman" w:hAnsi="Times New Roman"/>
          <w:color w:val="000000" w:themeColor="text1"/>
          <w:sz w:val="16"/>
          <w:szCs w:val="16"/>
        </w:rPr>
        <w:t>в 1942 году Монако оккупировано итальянскими войсками (14827).</w:t>
      </w:r>
    </w:p>
    <w:p w14:paraId="5A80980B"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1255C1CE"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lastRenderedPageBreak/>
        <w:t xml:space="preserve">11 ноября </w:t>
      </w:r>
      <w:r w:rsidRPr="00722885">
        <w:rPr>
          <w:rFonts w:ascii="Times New Roman" w:hAnsi="Times New Roman"/>
          <w:color w:val="000000" w:themeColor="text1"/>
          <w:sz w:val="16"/>
          <w:szCs w:val="16"/>
        </w:rPr>
        <w:t>в 1942 году вооруженные силы Франции (общей численностью 200 тысяч человек) прекратили сопротивление англо-американским войскам во Французской Северной Африке (14827).</w:t>
      </w:r>
    </w:p>
    <w:p w14:paraId="7EF8AD36"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2519E55C"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 xml:space="preserve">11 </w:t>
      </w:r>
      <w:r w:rsidRPr="00722885">
        <w:rPr>
          <w:color w:val="000000" w:themeColor="text1"/>
          <w:sz w:val="16"/>
          <w:szCs w:val="16"/>
        </w:rPr>
        <w:t>ноября</w:t>
      </w:r>
      <w:r w:rsidRPr="00722885">
        <w:rPr>
          <w:color w:val="000000" w:themeColor="text1"/>
          <w:sz w:val="16"/>
          <w:szCs w:val="16"/>
          <w:lang w:val="en-US"/>
        </w:rPr>
        <w:t xml:space="preserve"> 1942 </w:t>
      </w:r>
      <w:r w:rsidRPr="00722885">
        <w:rPr>
          <w:color w:val="000000" w:themeColor="text1"/>
          <w:sz w:val="16"/>
          <w:szCs w:val="16"/>
        </w:rPr>
        <w:t>союзникиоккупировалиКасабланку</w:t>
      </w:r>
      <w:r w:rsidRPr="00722885">
        <w:rPr>
          <w:color w:val="000000" w:themeColor="text1"/>
          <w:sz w:val="16"/>
          <w:szCs w:val="16"/>
          <w:lang w:val="en-US"/>
        </w:rPr>
        <w:t xml:space="preserve"> (2261).</w:t>
      </w:r>
    </w:p>
    <w:p w14:paraId="6D80ADE5" w14:textId="77777777" w:rsidR="00090C9B" w:rsidRPr="00722885" w:rsidRDefault="00090C9B" w:rsidP="00722885">
      <w:pPr>
        <w:pStyle w:val="Iauiue"/>
        <w:jc w:val="both"/>
        <w:rPr>
          <w:color w:val="000000" w:themeColor="text1"/>
          <w:sz w:val="16"/>
          <w:szCs w:val="16"/>
          <w:lang w:val="en-US"/>
        </w:rPr>
      </w:pPr>
    </w:p>
    <w:p w14:paraId="7C9C22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lang w:val="en-US"/>
        </w:rPr>
        <w:t xml:space="preserve">November 11 1942 Milk cans and farm fencing are placed on rationing lists in the US. </w:t>
      </w:r>
      <w:r w:rsidRPr="00722885">
        <w:rPr>
          <w:color w:val="000000" w:themeColor="text1"/>
          <w:sz w:val="16"/>
          <w:szCs w:val="16"/>
        </w:rPr>
        <w:t>(1242).</w:t>
      </w:r>
    </w:p>
    <w:p w14:paraId="0CD9E49D" w14:textId="77777777" w:rsidR="00090C9B" w:rsidRPr="00722885" w:rsidRDefault="00090C9B" w:rsidP="00722885">
      <w:pPr>
        <w:pStyle w:val="Iauiue"/>
        <w:jc w:val="both"/>
        <w:rPr>
          <w:color w:val="000000" w:themeColor="text1"/>
          <w:sz w:val="16"/>
          <w:szCs w:val="16"/>
        </w:rPr>
      </w:pPr>
    </w:p>
    <w:p w14:paraId="1E2410E9" w14:textId="77777777" w:rsidR="00E55FE3" w:rsidRPr="00722885" w:rsidRDefault="00E55FE3" w:rsidP="00722885">
      <w:pPr>
        <w:pStyle w:val="Iauiue"/>
        <w:jc w:val="both"/>
        <w:rPr>
          <w:color w:val="000000" w:themeColor="text1"/>
          <w:sz w:val="16"/>
          <w:szCs w:val="16"/>
        </w:rPr>
      </w:pPr>
      <w:r w:rsidRPr="00722885">
        <w:rPr>
          <w:color w:val="000000" w:themeColor="text1"/>
          <w:sz w:val="16"/>
          <w:szCs w:val="16"/>
        </w:rPr>
        <w:t>11 ноября 1942 проходили тяжелые бои в море и в воздухе на Гуадалканале (2245,9).</w:t>
      </w:r>
    </w:p>
    <w:p w14:paraId="68A9851F" w14:textId="77777777" w:rsidR="00E55FE3" w:rsidRPr="00722885" w:rsidRDefault="00E55FE3" w:rsidP="00722885">
      <w:pPr>
        <w:pStyle w:val="Iauiue"/>
        <w:jc w:val="both"/>
        <w:rPr>
          <w:color w:val="000000" w:themeColor="text1"/>
          <w:sz w:val="16"/>
          <w:szCs w:val="16"/>
        </w:rPr>
      </w:pPr>
    </w:p>
    <w:p w14:paraId="4A64E53B"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11 ноября </w:t>
      </w:r>
      <w:r w:rsidRPr="00722885">
        <w:rPr>
          <w:rFonts w:ascii="Times New Roman" w:hAnsi="Times New Roman"/>
          <w:color w:val="000000" w:themeColor="text1"/>
          <w:sz w:val="16"/>
          <w:szCs w:val="16"/>
        </w:rPr>
        <w:t>в 1942 году битва у острова Гуадалканал (14827).</w:t>
      </w:r>
    </w:p>
    <w:p w14:paraId="1BBAE2A6"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6B95C874"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11 ноября </w:t>
      </w:r>
      <w:r w:rsidRPr="00722885">
        <w:rPr>
          <w:rFonts w:ascii="Times New Roman" w:hAnsi="Times New Roman"/>
          <w:color w:val="000000" w:themeColor="text1"/>
          <w:sz w:val="16"/>
          <w:szCs w:val="16"/>
        </w:rPr>
        <w:t>в 1942 году лорд Вултон назначается первым британским министром по восстановлению (в составе кабинета) (14827).</w:t>
      </w:r>
    </w:p>
    <w:p w14:paraId="6C37F549"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39C9E822" w14:textId="77777777" w:rsidR="00E55FE3" w:rsidRPr="00722885" w:rsidRDefault="00E55FE3" w:rsidP="00722885">
      <w:pPr>
        <w:pStyle w:val="Iauiue"/>
        <w:jc w:val="both"/>
        <w:rPr>
          <w:color w:val="000000" w:themeColor="text1"/>
          <w:sz w:val="16"/>
          <w:szCs w:val="16"/>
        </w:rPr>
      </w:pPr>
      <w:r w:rsidRPr="00722885">
        <w:rPr>
          <w:color w:val="000000" w:themeColor="text1"/>
          <w:sz w:val="16"/>
          <w:szCs w:val="16"/>
        </w:rPr>
        <w:t>11 ноября 1942 в список продуктов, продающихся по карточкам, были включены молочные бидоны и фермерские изгороди (1242).</w:t>
      </w:r>
    </w:p>
    <w:p w14:paraId="11DB2883" w14:textId="77777777" w:rsidR="00E55FE3" w:rsidRPr="00722885" w:rsidRDefault="00E55FE3" w:rsidP="00722885">
      <w:pPr>
        <w:pStyle w:val="Iauiue"/>
        <w:jc w:val="both"/>
        <w:rPr>
          <w:color w:val="000000" w:themeColor="text1"/>
          <w:sz w:val="16"/>
          <w:szCs w:val="16"/>
        </w:rPr>
      </w:pPr>
    </w:p>
    <w:p w14:paraId="1FADD9F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B90CC26" w14:textId="77777777" w:rsidR="00090C9B" w:rsidRPr="00722885" w:rsidRDefault="00090C9B" w:rsidP="00722885">
      <w:pPr>
        <w:pStyle w:val="Iauiue"/>
        <w:jc w:val="both"/>
        <w:rPr>
          <w:iCs/>
          <w:color w:val="000000" w:themeColor="text1"/>
          <w:sz w:val="16"/>
          <w:szCs w:val="16"/>
        </w:rPr>
      </w:pPr>
    </w:p>
    <w:p w14:paraId="2CF4B6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1942 С.В.И. писал нач. особой группы Фирсаеву письмо N 665с:</w:t>
      </w:r>
    </w:p>
    <w:p w14:paraId="4311FC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сем направляю проект приказа по установке пушек 11-П калибра 37 мм системы Нудельмана на самолете Ил-2 (1680,179).</w:t>
      </w:r>
    </w:p>
    <w:p w14:paraId="24152273" w14:textId="77777777" w:rsidR="00090C9B" w:rsidRPr="00722885" w:rsidRDefault="00090C9B" w:rsidP="00722885">
      <w:pPr>
        <w:pStyle w:val="Iauiue"/>
        <w:jc w:val="both"/>
        <w:rPr>
          <w:color w:val="000000" w:themeColor="text1"/>
          <w:sz w:val="16"/>
          <w:szCs w:val="16"/>
        </w:rPr>
      </w:pPr>
    </w:p>
    <w:p w14:paraId="59D762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1942 г. в ЛИИ начались совместные заводские и государственные испытания на Ил-4 сразу трех типов противообледенительных систем, обеспечивавших нагрев воздуха от выхлопных газов j двигателей или в специальной рубашке, надетой на выхлопной патрубок, или в подвесном калорифере, или в паровой установке. Лобовые стекла кабины летчика смачивались антифризом. В результате сравнительных летных испытаний для установки на серийные машины рекомендовали противообледенительную систему, которая использовала в передних кромках крыла и оперения воздух, нагретый выхлопными газами двигателей в трех подвесных теплообменниках. Хотя подвесные теплообменники такой противообледенительной системы заметно, на 10-15 км/ч, снижали скорость полета, их установка повысила боевые возможности бомбардировщика, сделала его менее зависимым от метеорологических условий при выполнении боевого задания. Серийный выпуск Ил-4, оборудованных противообледенительной системой этого типа, начался в 1943 г. |Ею оснащались в первую очередь самолеты, предназначенные для выполнения длительных боевых полетов в | глубокий тыл противника и для действия в условиях Заполярья (9528).</w:t>
      </w:r>
    </w:p>
    <w:p w14:paraId="36EDA893" w14:textId="77777777" w:rsidR="00090C9B" w:rsidRPr="00722885" w:rsidRDefault="00090C9B" w:rsidP="00722885">
      <w:pPr>
        <w:pStyle w:val="Iauiue"/>
        <w:jc w:val="both"/>
        <w:rPr>
          <w:color w:val="000000" w:themeColor="text1"/>
          <w:sz w:val="16"/>
          <w:szCs w:val="16"/>
        </w:rPr>
      </w:pPr>
    </w:p>
    <w:p w14:paraId="5668DCF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г. Постановлением ГКО предусматривалась постройка трех опытных Ил-4ТК, из них первый без гермокабины (10734,87).</w:t>
      </w:r>
    </w:p>
    <w:p w14:paraId="0FF1566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F249477"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ноября 1942 г. вышедшим Постановлением ГКО предусматривалась постройка трех опытных Ил-4ТК, из них первый без гермокабины. В начале января следующего года решили ограничиться двумя.</w:t>
      </w:r>
    </w:p>
    <w:p w14:paraId="7960662E"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Ил-4ТК, первоначально по заданию именовавшийся 'Ил-4 с турбонагнетателями и герметической кабиной'. Это был высотный разведчик и бомбардировщик. Возможно, возврату к этой концепции способствовало знакомство с немецким самолетом Юнкерс Ju 86Р Такие машины безнаказанно летали над Москвой, и наши истребители никак не могли до них 'дотянуться'. Ил-4ТК был двухместным. Его экипаж состоял из пилота и штурмана, сидевших в обшей гермокабине вентиляционного типа. В отличие от всех прочих модификаций Ил-4, пилот располагался перед местом штурмана. Подготовили два варианта носовой части: округлую, полностью застекленную и срезанную снизу под дистанционно управляемую турель. Поскольку второй создавал дополнительные сложности. для опытного экземпляра выбрали первый. Оборонительного вооружения не предусматривалось (на Ju 86Р стоял лишь неподвижный 'пугач' в хвостовом коке). зато в фюзеляже разместили фотокамеру АФА-3. Бронирования тоже не было. Потолок и скорость на высоте собирались поднять введением турбонаддува. На каждом моторе М-88Б стояли турбонагнетатели ТК-3. Их разместили в задних частях мотогондол. Турбина лежала в горизонтальной плоскости, как у американского 'Лайтнинга'. Выхлопные газы шли к ней через сборный коллектор (21548).</w:t>
      </w:r>
    </w:p>
    <w:p w14:paraId="023CE176" w14:textId="77777777" w:rsidR="007610D8" w:rsidRPr="00722885" w:rsidRDefault="007610D8" w:rsidP="00722885">
      <w:pPr>
        <w:spacing w:after="0" w:line="240" w:lineRule="auto"/>
        <w:jc w:val="both"/>
        <w:rPr>
          <w:rFonts w:ascii="Times New Roman" w:hAnsi="Times New Roman"/>
          <w:color w:val="0070C0"/>
          <w:sz w:val="16"/>
          <w:szCs w:val="16"/>
        </w:rPr>
      </w:pPr>
    </w:p>
    <w:p w14:paraId="74A20AF6" w14:textId="77777777" w:rsidR="007610D8" w:rsidRPr="00722885" w:rsidRDefault="007610D8"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ноября 1942 нарком авиационной промышленности подписал приказ С. В. Ильюшину спроектировать и построить высот</w:t>
      </w:r>
      <w:r w:rsidRPr="00722885">
        <w:rPr>
          <w:rFonts w:ascii="Times New Roman" w:hAnsi="Times New Roman"/>
          <w:color w:val="0070C0"/>
          <w:sz w:val="16"/>
          <w:szCs w:val="16"/>
        </w:rPr>
        <w:softHyphen/>
        <w:t>ный бомбардировщик путем модификации Ил-4. При этом директору завода № 288 Кутепову предпи</w:t>
      </w:r>
      <w:r w:rsidRPr="00722885">
        <w:rPr>
          <w:rFonts w:ascii="Times New Roman" w:hAnsi="Times New Roman"/>
          <w:color w:val="0070C0"/>
          <w:sz w:val="16"/>
          <w:szCs w:val="16"/>
        </w:rPr>
        <w:softHyphen/>
        <w:t>сывалось передать заводу № 240 полный комплект рабочих чертежей гермокабин и их оборудования по самолету ДВБ-102 не позднее 25 ноября. Но про</w:t>
      </w:r>
      <w:r w:rsidRPr="00722885">
        <w:rPr>
          <w:rFonts w:ascii="Times New Roman" w:hAnsi="Times New Roman"/>
          <w:color w:val="0070C0"/>
          <w:sz w:val="16"/>
          <w:szCs w:val="16"/>
        </w:rPr>
        <w:softHyphen/>
        <w:t>мышленность, перегруженная срочными заданиями, не справилась с поставленной задачей, и машина «перекочевала» в план опытного самолетостроения НКАП на 1943 год (23188).</w:t>
      </w:r>
    </w:p>
    <w:p w14:paraId="078B67D3" w14:textId="77777777" w:rsidR="007610D8" w:rsidRPr="00722885" w:rsidRDefault="007610D8" w:rsidP="00722885">
      <w:pPr>
        <w:spacing w:after="0" w:line="240" w:lineRule="auto"/>
        <w:jc w:val="both"/>
        <w:rPr>
          <w:rFonts w:ascii="Times New Roman" w:hAnsi="Times New Roman"/>
          <w:color w:val="0070C0"/>
          <w:sz w:val="16"/>
          <w:szCs w:val="16"/>
        </w:rPr>
      </w:pPr>
    </w:p>
    <w:p w14:paraId="388C9E7C" w14:textId="77777777" w:rsidR="00E55FE3"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вышло Постановление ГКО № 2504 О создании высотного бомбардировщика и высотного истребителя. РГАНИР, Фонд ГКО, д. 69, лл. 3-4 (11012).</w:t>
      </w:r>
    </w:p>
    <w:p w14:paraId="05A8D890"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3988B3CD" w14:textId="77777777" w:rsidR="003B6800" w:rsidRPr="00722885" w:rsidRDefault="003B68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вышло Постановление ГКО № 2504 О создании высотного бомбардировщика и высотного истребителя</w:t>
      </w:r>
    </w:p>
    <w:p w14:paraId="4C668EBF"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Для создания высотного дневного бомбардировщика и вы</w:t>
      </w:r>
      <w:r w:rsidRPr="00722885">
        <w:rPr>
          <w:rFonts w:ascii="Times New Roman" w:hAnsi="Times New Roman" w:cs="Times New Roman"/>
          <w:color w:val="000000" w:themeColor="text1"/>
          <w:sz w:val="16"/>
          <w:szCs w:val="16"/>
        </w:rPr>
        <w:softHyphen/>
        <w:t>сотного истребителя на основе серийных самолетов Государ</w:t>
      </w:r>
      <w:r w:rsidRPr="00722885">
        <w:rPr>
          <w:rFonts w:ascii="Times New Roman" w:hAnsi="Times New Roman" w:cs="Times New Roman"/>
          <w:color w:val="000000" w:themeColor="text1"/>
          <w:sz w:val="16"/>
          <w:szCs w:val="16"/>
        </w:rPr>
        <w:softHyphen/>
        <w:t>ственный Комитет Обороны постановляет:</w:t>
      </w:r>
    </w:p>
    <w:p w14:paraId="157F15F9" w14:textId="77777777" w:rsidR="003B6800" w:rsidRPr="00722885" w:rsidRDefault="003B6800" w:rsidP="00722885">
      <w:pPr>
        <w:pStyle w:val="5f2"/>
        <w:shd w:val="clear" w:color="auto" w:fill="auto"/>
        <w:tabs>
          <w:tab w:val="left" w:pos="1110"/>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1. Наркомавиапром т. Шахурину и главному конструктору т.Ильюшину спроектировать и построить высотный дневной бомбардировщик путем модификации самолета </w:t>
      </w:r>
      <w:r w:rsidRPr="00722885">
        <w:rPr>
          <w:rStyle w:val="0pt"/>
          <w:rFonts w:ascii="Times New Roman" w:hAnsi="Times New Roman" w:cs="Times New Roman"/>
          <w:color w:val="000000" w:themeColor="text1"/>
          <w:spacing w:val="0"/>
          <w:sz w:val="16"/>
          <w:szCs w:val="16"/>
        </w:rPr>
        <w:t>Ил-4</w:t>
      </w:r>
      <w:r w:rsidRPr="00722885">
        <w:rPr>
          <w:rFonts w:ascii="Times New Roman" w:hAnsi="Times New Roman" w:cs="Times New Roman"/>
          <w:color w:val="000000" w:themeColor="text1"/>
          <w:sz w:val="16"/>
          <w:szCs w:val="16"/>
        </w:rPr>
        <w:t xml:space="preserve"> с моторами М</w:t>
      </w:r>
      <w:r w:rsidRPr="00722885">
        <w:rPr>
          <w:rStyle w:val="0pt"/>
          <w:rFonts w:ascii="Times New Roman" w:hAnsi="Times New Roman" w:cs="Times New Roman"/>
          <w:color w:val="000000" w:themeColor="text1"/>
          <w:spacing w:val="0"/>
          <w:sz w:val="16"/>
          <w:szCs w:val="16"/>
        </w:rPr>
        <w:t xml:space="preserve">-88 </w:t>
      </w:r>
      <w:r w:rsidRPr="00722885">
        <w:rPr>
          <w:rFonts w:ascii="Times New Roman" w:hAnsi="Times New Roman" w:cs="Times New Roman"/>
          <w:color w:val="000000" w:themeColor="text1"/>
          <w:sz w:val="16"/>
          <w:szCs w:val="16"/>
        </w:rPr>
        <w:t>с турбокомпрессором ТК-3 и с герметической кабиной для эки</w:t>
      </w:r>
      <w:r w:rsidRPr="00722885">
        <w:rPr>
          <w:rFonts w:ascii="Times New Roman" w:hAnsi="Times New Roman" w:cs="Times New Roman"/>
          <w:color w:val="000000" w:themeColor="text1"/>
          <w:sz w:val="16"/>
          <w:szCs w:val="16"/>
        </w:rPr>
        <w:softHyphen/>
        <w:t>пажа .</w:t>
      </w:r>
    </w:p>
    <w:p w14:paraId="477AAA1A" w14:textId="77777777" w:rsidR="003B6800" w:rsidRPr="00722885" w:rsidRDefault="003B6800" w:rsidP="00722885">
      <w:pPr>
        <w:pStyle w:val="28"/>
        <w:shd w:val="clear" w:color="auto" w:fill="auto"/>
        <w:spacing w:before="0" w:line="240" w:lineRule="auto"/>
        <w:jc w:val="both"/>
        <w:rPr>
          <w:rFonts w:ascii="Times New Roman" w:hAnsi="Times New Roman" w:cs="Times New Roman"/>
          <w:color w:val="000000" w:themeColor="text1"/>
          <w:sz w:val="16"/>
          <w:szCs w:val="16"/>
        </w:rPr>
      </w:pPr>
      <w:r w:rsidRPr="00722885">
        <w:rPr>
          <w:rStyle w:val="2fa"/>
          <w:rFonts w:ascii="Times New Roman" w:hAnsi="Times New Roman" w:cs="Times New Roman"/>
          <w:b w:val="0"/>
          <w:color w:val="000000" w:themeColor="text1"/>
          <w:spacing w:val="0"/>
          <w:sz w:val="16"/>
          <w:szCs w:val="16"/>
        </w:rPr>
        <w:t>Самолет должен</w:t>
      </w:r>
      <w:r w:rsidRPr="00722885">
        <w:rPr>
          <w:rFonts w:ascii="Times New Roman" w:hAnsi="Times New Roman" w:cs="Times New Roman"/>
          <w:color w:val="000000" w:themeColor="text1"/>
          <w:sz w:val="16"/>
          <w:szCs w:val="16"/>
        </w:rPr>
        <w:t xml:space="preserve"> иметь следующие летно-тактическке</w:t>
      </w:r>
      <w:r w:rsidRPr="00722885">
        <w:rPr>
          <w:rStyle w:val="2fa"/>
          <w:rFonts w:ascii="Times New Roman" w:hAnsi="Times New Roman" w:cs="Times New Roman"/>
          <w:b w:val="0"/>
          <w:color w:val="000000" w:themeColor="text1"/>
          <w:spacing w:val="0"/>
          <w:sz w:val="16"/>
          <w:szCs w:val="16"/>
        </w:rPr>
        <w:t xml:space="preserve"> дан</w:t>
      </w:r>
      <w:r w:rsidRPr="00722885">
        <w:rPr>
          <w:rStyle w:val="2fa"/>
          <w:rFonts w:ascii="Times New Roman" w:hAnsi="Times New Roman" w:cs="Times New Roman"/>
          <w:b w:val="0"/>
          <w:color w:val="000000" w:themeColor="text1"/>
          <w:spacing w:val="0"/>
          <w:sz w:val="16"/>
          <w:szCs w:val="16"/>
        </w:rPr>
        <w:softHyphen/>
        <w:t>ные:</w:t>
      </w:r>
    </w:p>
    <w:p w14:paraId="47DC8D93"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Практический потолок над целью - </w:t>
      </w:r>
      <w:r w:rsidRPr="00722885">
        <w:rPr>
          <w:rStyle w:val="0pt"/>
          <w:rFonts w:ascii="Times New Roman" w:hAnsi="Times New Roman" w:cs="Times New Roman"/>
          <w:color w:val="000000" w:themeColor="text1"/>
          <w:spacing w:val="0"/>
          <w:sz w:val="16"/>
          <w:szCs w:val="16"/>
        </w:rPr>
        <w:t>12000</w:t>
      </w:r>
      <w:r w:rsidRPr="00722885">
        <w:rPr>
          <w:rStyle w:val="aff8"/>
          <w:rFonts w:ascii="Times New Roman" w:hAnsi="Times New Roman" w:cs="Times New Roman"/>
          <w:b w:val="0"/>
          <w:color w:val="000000" w:themeColor="text1"/>
          <w:spacing w:val="0"/>
          <w:sz w:val="16"/>
          <w:szCs w:val="16"/>
        </w:rPr>
        <w:t xml:space="preserve"> мт.</w:t>
      </w:r>
    </w:p>
    <w:p w14:paraId="733009FB"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Высота боевого применения - </w:t>
      </w:r>
      <w:r w:rsidRPr="00722885">
        <w:rPr>
          <w:rStyle w:val="0pt"/>
          <w:rFonts w:ascii="Times New Roman" w:hAnsi="Times New Roman" w:cs="Times New Roman"/>
          <w:color w:val="000000" w:themeColor="text1"/>
          <w:spacing w:val="0"/>
          <w:sz w:val="16"/>
          <w:szCs w:val="16"/>
        </w:rPr>
        <w:t>11000</w:t>
      </w:r>
      <w:r w:rsidRPr="00722885">
        <w:rPr>
          <w:rFonts w:ascii="Times New Roman" w:hAnsi="Times New Roman" w:cs="Times New Roman"/>
          <w:color w:val="000000" w:themeColor="text1"/>
          <w:sz w:val="16"/>
          <w:szCs w:val="16"/>
        </w:rPr>
        <w:t xml:space="preserve"> мт.</w:t>
      </w:r>
    </w:p>
    <w:p w14:paraId="14FBCA43"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Скорость на высоте боевого применения - </w:t>
      </w:r>
      <w:r w:rsidRPr="00722885">
        <w:rPr>
          <w:rStyle w:val="0pt"/>
          <w:rFonts w:ascii="Times New Roman" w:hAnsi="Times New Roman" w:cs="Times New Roman"/>
          <w:color w:val="000000" w:themeColor="text1"/>
          <w:spacing w:val="0"/>
          <w:sz w:val="16"/>
          <w:szCs w:val="16"/>
        </w:rPr>
        <w:t>460</w:t>
      </w:r>
      <w:r w:rsidRPr="00722885">
        <w:rPr>
          <w:rStyle w:val="aff8"/>
          <w:rFonts w:ascii="Times New Roman" w:hAnsi="Times New Roman" w:cs="Times New Roman"/>
          <w:b w:val="0"/>
          <w:color w:val="000000" w:themeColor="text1"/>
          <w:spacing w:val="0"/>
          <w:sz w:val="16"/>
          <w:szCs w:val="16"/>
        </w:rPr>
        <w:t xml:space="preserve"> км/час.</w:t>
      </w:r>
    </w:p>
    <w:p w14:paraId="1A8B2B5B"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Дальность та же, что у серийного самолета </w:t>
      </w:r>
      <w:r w:rsidRPr="00722885">
        <w:rPr>
          <w:rStyle w:val="0pt"/>
          <w:rFonts w:ascii="Times New Roman" w:hAnsi="Times New Roman" w:cs="Times New Roman"/>
          <w:color w:val="000000" w:themeColor="text1"/>
          <w:spacing w:val="0"/>
          <w:sz w:val="16"/>
          <w:szCs w:val="16"/>
        </w:rPr>
        <w:t>Ил-4.</w:t>
      </w:r>
    </w:p>
    <w:p w14:paraId="680B12AE"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Бомбовая нагрузка та :гв , что у серийного самолета </w:t>
      </w:r>
      <w:r w:rsidRPr="00722885">
        <w:rPr>
          <w:rStyle w:val="0pt"/>
          <w:rFonts w:ascii="Times New Roman" w:hAnsi="Times New Roman" w:cs="Times New Roman"/>
          <w:color w:val="000000" w:themeColor="text1"/>
          <w:spacing w:val="0"/>
          <w:sz w:val="16"/>
          <w:szCs w:val="16"/>
        </w:rPr>
        <w:t>Ил-4.</w:t>
      </w:r>
    </w:p>
    <w:p w14:paraId="0BD88823"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Разрешается снять с самолета:</w:t>
      </w:r>
    </w:p>
    <w:p w14:paraId="0CEB61E9"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Стрелковое оружие с установками.</w:t>
      </w:r>
    </w:p>
    <w:p w14:paraId="3D17EE27"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Заднего стрелка.</w:t>
      </w:r>
    </w:p>
    <w:p w14:paraId="5A182515"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Бронирование.</w:t>
      </w:r>
    </w:p>
    <w:p w14:paraId="6B538B71"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Самолёт построить в 2 экземплярах.</w:t>
      </w:r>
    </w:p>
    <w:p w14:paraId="7F194EB4" w14:textId="77777777" w:rsidR="003B6800" w:rsidRPr="00722885" w:rsidRDefault="003B6800" w:rsidP="00722885">
      <w:pPr>
        <w:pStyle w:val="28"/>
        <w:shd w:val="clear" w:color="auto" w:fill="auto"/>
        <w:spacing w:before="0"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Срок пред"явления 1-го экземпляра самолета на летные испытания 15 февраля, 2-го экземпляра - 15 марта </w:t>
      </w:r>
      <w:r w:rsidRPr="00722885">
        <w:rPr>
          <w:rStyle w:val="20pt"/>
          <w:rFonts w:ascii="Times New Roman" w:hAnsi="Times New Roman" w:cs="Times New Roman"/>
          <w:color w:val="000000" w:themeColor="text1"/>
          <w:sz w:val="16"/>
          <w:szCs w:val="16"/>
        </w:rPr>
        <w:t>1943</w:t>
      </w:r>
      <w:r w:rsidRPr="00722885">
        <w:rPr>
          <w:rFonts w:ascii="Times New Roman" w:hAnsi="Times New Roman" w:cs="Times New Roman"/>
          <w:color w:val="000000" w:themeColor="text1"/>
          <w:sz w:val="16"/>
          <w:szCs w:val="16"/>
        </w:rPr>
        <w:t xml:space="preserve"> года.</w:t>
      </w:r>
    </w:p>
    <w:p w14:paraId="08ED5BE3" w14:textId="77777777" w:rsidR="003B6800" w:rsidRPr="00722885" w:rsidRDefault="003B6800" w:rsidP="00722885">
      <w:pPr>
        <w:pStyle w:val="5f2"/>
        <w:shd w:val="clear" w:color="auto" w:fill="auto"/>
        <w:tabs>
          <w:tab w:val="left" w:pos="1110"/>
        </w:tabs>
        <w:spacing w:before="0" w:after="0" w:line="240" w:lineRule="auto"/>
        <w:rPr>
          <w:rFonts w:ascii="Times New Roman" w:hAnsi="Times New Roman" w:cs="Times New Roman"/>
          <w:color w:val="000000" w:themeColor="text1"/>
          <w:sz w:val="16"/>
          <w:szCs w:val="16"/>
        </w:rPr>
      </w:pPr>
      <w:r w:rsidRPr="00722885">
        <w:rPr>
          <w:rStyle w:val="aff8"/>
          <w:rFonts w:ascii="Times New Roman" w:hAnsi="Times New Roman" w:cs="Times New Roman"/>
          <w:b w:val="0"/>
          <w:color w:val="000000" w:themeColor="text1"/>
          <w:spacing w:val="0"/>
          <w:sz w:val="16"/>
          <w:szCs w:val="16"/>
        </w:rPr>
        <w:t>2. Наркомавиапром т.Шахурину</w:t>
      </w:r>
      <w:r w:rsidRPr="00722885">
        <w:rPr>
          <w:rFonts w:ascii="Times New Roman" w:hAnsi="Times New Roman" w:cs="Times New Roman"/>
          <w:color w:val="000000" w:themeColor="text1"/>
          <w:sz w:val="16"/>
          <w:szCs w:val="16"/>
        </w:rPr>
        <w:t>, директору завода № 22</w:t>
      </w:r>
      <w:r w:rsidRPr="00722885">
        <w:rPr>
          <w:rStyle w:val="aff8"/>
          <w:rFonts w:ascii="Times New Roman" w:hAnsi="Times New Roman" w:cs="Times New Roman"/>
          <w:b w:val="0"/>
          <w:color w:val="000000" w:themeColor="text1"/>
          <w:spacing w:val="0"/>
          <w:sz w:val="16"/>
          <w:szCs w:val="16"/>
        </w:rPr>
        <w:t xml:space="preserve"> тов. </w:t>
      </w:r>
      <w:r w:rsidRPr="00722885">
        <w:rPr>
          <w:rFonts w:ascii="Times New Roman" w:hAnsi="Times New Roman" w:cs="Times New Roman"/>
          <w:color w:val="000000" w:themeColor="text1"/>
          <w:sz w:val="16"/>
          <w:szCs w:val="16"/>
        </w:rPr>
        <w:t>Окулову и главному конструктору т.Путилову спроектировать и построить высотный двухмоторный истребитель путем модифика</w:t>
      </w:r>
      <w:r w:rsidRPr="00722885">
        <w:rPr>
          <w:rFonts w:ascii="Times New Roman" w:hAnsi="Times New Roman" w:cs="Times New Roman"/>
          <w:color w:val="000000" w:themeColor="text1"/>
          <w:sz w:val="16"/>
          <w:szCs w:val="16"/>
        </w:rPr>
        <w:softHyphen/>
        <w:t xml:space="preserve">ции самолета Пе-2 с моторами </w:t>
      </w:r>
      <w:r w:rsidRPr="00722885">
        <w:rPr>
          <w:rStyle w:val="0pt"/>
          <w:rFonts w:ascii="Times New Roman" w:hAnsi="Times New Roman" w:cs="Times New Roman"/>
          <w:color w:val="000000" w:themeColor="text1"/>
          <w:spacing w:val="0"/>
          <w:sz w:val="16"/>
          <w:szCs w:val="16"/>
        </w:rPr>
        <w:t>М—105П1</w:t>
      </w:r>
      <w:r w:rsidRPr="00722885">
        <w:rPr>
          <w:rFonts w:ascii="Times New Roman" w:hAnsi="Times New Roman" w:cs="Times New Roman"/>
          <w:color w:val="000000" w:themeColor="text1"/>
          <w:sz w:val="16"/>
          <w:szCs w:val="16"/>
        </w:rPr>
        <w:t xml:space="preserve"> с нагнетателем Доллежа</w:t>
      </w:r>
      <w:r w:rsidRPr="00722885">
        <w:rPr>
          <w:rFonts w:ascii="Times New Roman" w:hAnsi="Times New Roman" w:cs="Times New Roman"/>
          <w:color w:val="000000" w:themeColor="text1"/>
          <w:sz w:val="16"/>
          <w:szCs w:val="16"/>
        </w:rPr>
        <w:softHyphen/>
        <w:t>ля, с герметической кабиной для летчика.</w:t>
      </w:r>
    </w:p>
    <w:p w14:paraId="14EAB6C2"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Самолет должен иметь следующие летно-тактические дан</w:t>
      </w:r>
      <w:r w:rsidRPr="00722885">
        <w:rPr>
          <w:rFonts w:ascii="Times New Roman" w:hAnsi="Times New Roman" w:cs="Times New Roman"/>
          <w:color w:val="000000" w:themeColor="text1"/>
          <w:sz w:val="16"/>
          <w:szCs w:val="16"/>
        </w:rPr>
        <w:softHyphen/>
        <w:t>ные:</w:t>
      </w:r>
    </w:p>
    <w:p w14:paraId="0B71F929"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Практический потолок - </w:t>
      </w:r>
      <w:r w:rsidRPr="00722885">
        <w:rPr>
          <w:rStyle w:val="0pt"/>
          <w:rFonts w:ascii="Times New Roman" w:hAnsi="Times New Roman" w:cs="Times New Roman"/>
          <w:color w:val="000000" w:themeColor="text1"/>
          <w:spacing w:val="0"/>
          <w:sz w:val="16"/>
          <w:szCs w:val="16"/>
        </w:rPr>
        <w:t>12000</w:t>
      </w:r>
      <w:r w:rsidRPr="00722885">
        <w:rPr>
          <w:rFonts w:ascii="Times New Roman" w:hAnsi="Times New Roman" w:cs="Times New Roman"/>
          <w:color w:val="000000" w:themeColor="text1"/>
          <w:sz w:val="16"/>
          <w:szCs w:val="16"/>
        </w:rPr>
        <w:t xml:space="preserve"> мт.</w:t>
      </w:r>
    </w:p>
    <w:p w14:paraId="2E7054B7"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Скорость на высоте </w:t>
      </w:r>
      <w:r w:rsidRPr="00722885">
        <w:rPr>
          <w:rStyle w:val="0pt"/>
          <w:rFonts w:ascii="Times New Roman" w:hAnsi="Times New Roman" w:cs="Times New Roman"/>
          <w:color w:val="000000" w:themeColor="text1"/>
          <w:spacing w:val="0"/>
          <w:sz w:val="16"/>
          <w:szCs w:val="16"/>
        </w:rPr>
        <w:t>10000 мт - 530</w:t>
      </w:r>
      <w:r w:rsidRPr="00722885">
        <w:rPr>
          <w:rFonts w:ascii="Times New Roman" w:hAnsi="Times New Roman" w:cs="Times New Roman"/>
          <w:color w:val="000000" w:themeColor="text1"/>
          <w:sz w:val="16"/>
          <w:szCs w:val="16"/>
        </w:rPr>
        <w:t xml:space="preserve"> км/час.</w:t>
      </w:r>
    </w:p>
    <w:p w14:paraId="266EBA83"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Зремя набора высоты </w:t>
      </w:r>
      <w:r w:rsidRPr="00722885">
        <w:rPr>
          <w:rStyle w:val="0pt"/>
          <w:rFonts w:ascii="Times New Roman" w:hAnsi="Times New Roman" w:cs="Times New Roman"/>
          <w:color w:val="000000" w:themeColor="text1"/>
          <w:spacing w:val="0"/>
          <w:sz w:val="16"/>
          <w:szCs w:val="16"/>
        </w:rPr>
        <w:t>10000</w:t>
      </w:r>
      <w:r w:rsidRPr="00722885">
        <w:rPr>
          <w:rFonts w:ascii="Times New Roman" w:hAnsi="Times New Roman" w:cs="Times New Roman"/>
          <w:color w:val="000000" w:themeColor="text1"/>
          <w:sz w:val="16"/>
          <w:szCs w:val="16"/>
        </w:rPr>
        <w:t xml:space="preserve"> мт- 21 мин.</w:t>
      </w:r>
    </w:p>
    <w:p w14:paraId="00F5F8C1"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дальность та</w:t>
      </w:r>
      <w:r w:rsidRPr="00722885">
        <w:rPr>
          <w:rStyle w:val="aff8"/>
          <w:rFonts w:ascii="Times New Roman" w:hAnsi="Times New Roman" w:cs="Times New Roman"/>
          <w:b w:val="0"/>
          <w:color w:val="000000" w:themeColor="text1"/>
          <w:spacing w:val="0"/>
          <w:sz w:val="16"/>
          <w:szCs w:val="16"/>
        </w:rPr>
        <w:t xml:space="preserve"> же,</w:t>
      </w:r>
      <w:r w:rsidRPr="00722885">
        <w:rPr>
          <w:rFonts w:ascii="Times New Roman" w:hAnsi="Times New Roman" w:cs="Times New Roman"/>
          <w:color w:val="000000" w:themeColor="text1"/>
          <w:sz w:val="16"/>
          <w:szCs w:val="16"/>
        </w:rPr>
        <w:t xml:space="preserve"> что у серийного самолета </w:t>
      </w:r>
      <w:r w:rsidRPr="00722885">
        <w:rPr>
          <w:rStyle w:val="0pt"/>
          <w:rFonts w:ascii="Times New Roman" w:hAnsi="Times New Roman" w:cs="Times New Roman"/>
          <w:color w:val="000000" w:themeColor="text1"/>
          <w:spacing w:val="0"/>
          <w:sz w:val="16"/>
          <w:szCs w:val="16"/>
        </w:rPr>
        <w:t>Пе-2.</w:t>
      </w:r>
    </w:p>
    <w:p w14:paraId="7754AA53"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Стрелковое вооружение:</w:t>
      </w:r>
      <w:r w:rsidRPr="00722885">
        <w:rPr>
          <w:rStyle w:val="aff8"/>
          <w:rFonts w:ascii="Times New Roman" w:hAnsi="Times New Roman" w:cs="Times New Roman"/>
          <w:b w:val="0"/>
          <w:color w:val="000000" w:themeColor="text1"/>
          <w:spacing w:val="0"/>
          <w:sz w:val="16"/>
          <w:szCs w:val="16"/>
        </w:rPr>
        <w:t xml:space="preserve"> вперед 1</w:t>
      </w:r>
      <w:r w:rsidRPr="00722885">
        <w:rPr>
          <w:rFonts w:ascii="Times New Roman" w:hAnsi="Times New Roman" w:cs="Times New Roman"/>
          <w:color w:val="000000" w:themeColor="text1"/>
          <w:sz w:val="16"/>
          <w:szCs w:val="16"/>
        </w:rPr>
        <w:t xml:space="preserve"> г.ушка калибра</w:t>
      </w:r>
      <w:r w:rsidRPr="00722885">
        <w:rPr>
          <w:rStyle w:val="aff8"/>
          <w:rFonts w:ascii="Times New Roman" w:hAnsi="Times New Roman" w:cs="Times New Roman"/>
          <w:b w:val="0"/>
          <w:color w:val="000000" w:themeColor="text1"/>
          <w:spacing w:val="0"/>
          <w:sz w:val="16"/>
          <w:szCs w:val="16"/>
        </w:rPr>
        <w:t xml:space="preserve"> 20 мм</w:t>
      </w:r>
      <w:r w:rsidRPr="00722885">
        <w:rPr>
          <w:rFonts w:ascii="Times New Roman" w:hAnsi="Times New Roman" w:cs="Times New Roman"/>
          <w:color w:val="000000" w:themeColor="text1"/>
          <w:sz w:val="16"/>
          <w:szCs w:val="16"/>
        </w:rPr>
        <w:t xml:space="preserve"> и </w:t>
      </w:r>
      <w:r w:rsidRPr="00722885">
        <w:rPr>
          <w:rStyle w:val="0pt1"/>
          <w:rFonts w:eastAsia="Batang"/>
          <w:b w:val="0"/>
          <w:color w:val="000000" w:themeColor="text1"/>
          <w:spacing w:val="0"/>
          <w:sz w:val="16"/>
          <w:szCs w:val="16"/>
        </w:rPr>
        <w:t>1</w:t>
      </w:r>
      <w:r w:rsidRPr="00722885">
        <w:rPr>
          <w:rFonts w:ascii="Times New Roman" w:hAnsi="Times New Roman" w:cs="Times New Roman"/>
          <w:color w:val="000000" w:themeColor="text1"/>
          <w:sz w:val="16"/>
          <w:szCs w:val="16"/>
        </w:rPr>
        <w:t xml:space="preserve"> пулемет калибра</w:t>
      </w:r>
      <w:r w:rsidRPr="00722885">
        <w:rPr>
          <w:rStyle w:val="0pt1"/>
          <w:rFonts w:eastAsia="Batang"/>
          <w:b w:val="0"/>
          <w:color w:val="000000" w:themeColor="text1"/>
          <w:spacing w:val="0"/>
          <w:sz w:val="16"/>
          <w:szCs w:val="16"/>
        </w:rPr>
        <w:t xml:space="preserve"> 12,7</w:t>
      </w:r>
      <w:r w:rsidRPr="00722885">
        <w:rPr>
          <w:rFonts w:ascii="Times New Roman" w:hAnsi="Times New Roman" w:cs="Times New Roman"/>
          <w:color w:val="000000" w:themeColor="text1"/>
          <w:sz w:val="16"/>
          <w:szCs w:val="16"/>
        </w:rPr>
        <w:t xml:space="preserve"> мм с боезапасом по</w:t>
      </w:r>
      <w:r w:rsidRPr="00722885">
        <w:rPr>
          <w:rStyle w:val="0pt1"/>
          <w:rFonts w:eastAsia="Batang"/>
          <w:b w:val="0"/>
          <w:color w:val="000000" w:themeColor="text1"/>
          <w:spacing w:val="0"/>
          <w:sz w:val="16"/>
          <w:szCs w:val="16"/>
        </w:rPr>
        <w:t xml:space="preserve"> 250</w:t>
      </w:r>
      <w:r w:rsidRPr="00722885">
        <w:rPr>
          <w:rFonts w:ascii="Times New Roman" w:hAnsi="Times New Roman" w:cs="Times New Roman"/>
          <w:color w:val="000000" w:themeColor="text1"/>
          <w:sz w:val="16"/>
          <w:szCs w:val="16"/>
        </w:rPr>
        <w:t xml:space="preserve"> штук патрон.</w:t>
      </w:r>
    </w:p>
    <w:p w14:paraId="0617246C"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Разрешается снять с самолета:</w:t>
      </w:r>
    </w:p>
    <w:p w14:paraId="40DD0266"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Бомо'овое вооружение.</w:t>
      </w:r>
    </w:p>
    <w:p w14:paraId="79B1E19C"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 человека экипажа.</w:t>
      </w:r>
    </w:p>
    <w:p w14:paraId="382926B7"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Тормоэные решетки для пикирования.</w:t>
      </w:r>
    </w:p>
    <w:p w14:paraId="1DBF1CDD"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Броню,кроме бронеспинки летчика.</w:t>
      </w:r>
    </w:p>
    <w:p w14:paraId="47C310B8" w14:textId="77777777" w:rsidR="003B6800" w:rsidRPr="00722885" w:rsidRDefault="003B6800"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Самолет построить в 2 экземплярах, срок пред"явления 1 экземпляра на летные испытания - 10 февраля, 2 экземпля</w:t>
      </w:r>
      <w:r w:rsidRPr="00722885">
        <w:rPr>
          <w:rFonts w:ascii="Times New Roman" w:hAnsi="Times New Roman" w:cs="Times New Roman"/>
          <w:color w:val="000000" w:themeColor="text1"/>
          <w:sz w:val="16"/>
          <w:szCs w:val="16"/>
        </w:rPr>
        <w:softHyphen/>
        <w:t xml:space="preserve">ра - 10 марта </w:t>
      </w:r>
      <w:r w:rsidRPr="00722885">
        <w:rPr>
          <w:rStyle w:val="0pt"/>
          <w:rFonts w:ascii="Times New Roman" w:hAnsi="Times New Roman" w:cs="Times New Roman"/>
          <w:color w:val="000000" w:themeColor="text1"/>
          <w:spacing w:val="0"/>
          <w:sz w:val="16"/>
          <w:szCs w:val="16"/>
        </w:rPr>
        <w:t>1943</w:t>
      </w:r>
      <w:r w:rsidRPr="00722885">
        <w:rPr>
          <w:rFonts w:ascii="Times New Roman" w:hAnsi="Times New Roman" w:cs="Times New Roman"/>
          <w:color w:val="000000" w:themeColor="text1"/>
          <w:sz w:val="16"/>
          <w:szCs w:val="16"/>
        </w:rPr>
        <w:t xml:space="preserve"> года.</w:t>
      </w:r>
    </w:p>
    <w:p w14:paraId="216532CB" w14:textId="77777777" w:rsidR="003B6800" w:rsidRPr="00722885" w:rsidRDefault="003B6800" w:rsidP="00722885">
      <w:pPr>
        <w:tabs>
          <w:tab w:val="left" w:pos="97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Наркомавиапром т.Шахурина и главного конст</w:t>
      </w:r>
      <w:r w:rsidRPr="00722885">
        <w:rPr>
          <w:rFonts w:ascii="Times New Roman" w:hAnsi="Times New Roman"/>
          <w:color w:val="000000" w:themeColor="text1"/>
          <w:sz w:val="16"/>
          <w:szCs w:val="16"/>
        </w:rPr>
        <w:softHyphen/>
        <w:t>руктора т.Яковлева выпустить 5 экземпляров истребителя Як-9 с мотором М-105ПД,</w:t>
      </w:r>
      <w:r w:rsidRPr="00722885">
        <w:rPr>
          <w:rStyle w:val="CourierNew105pt0pt"/>
          <w:rFonts w:ascii="Times New Roman" w:hAnsi="Times New Roman" w:cs="Times New Roman"/>
          <w:color w:val="000000" w:themeColor="text1"/>
          <w:sz w:val="16"/>
          <w:szCs w:val="16"/>
        </w:rPr>
        <w:t xml:space="preserve"> в высотном</w:t>
      </w:r>
      <w:r w:rsidRPr="00722885">
        <w:rPr>
          <w:rFonts w:ascii="Times New Roman" w:hAnsi="Times New Roman"/>
          <w:color w:val="000000" w:themeColor="text1"/>
          <w:sz w:val="16"/>
          <w:szCs w:val="16"/>
        </w:rPr>
        <w:t xml:space="preserve"> вариантев с герметическими ка</w:t>
      </w:r>
      <w:r w:rsidRPr="00722885">
        <w:rPr>
          <w:rFonts w:ascii="Times New Roman" w:hAnsi="Times New Roman"/>
          <w:color w:val="000000" w:themeColor="text1"/>
          <w:sz w:val="16"/>
          <w:szCs w:val="16"/>
        </w:rPr>
        <w:softHyphen/>
        <w:t>бинами. Самолеты должны иметь следующие летно-тактические данные:</w:t>
      </w:r>
    </w:p>
    <w:p w14:paraId="425A6851" w14:textId="77777777" w:rsidR="003B6800" w:rsidRPr="00722885" w:rsidRDefault="003B6800" w:rsidP="00722885">
      <w:pPr>
        <w:tabs>
          <w:tab w:val="left" w:pos="97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- 11500 мт.</w:t>
      </w:r>
    </w:p>
    <w:p w14:paraId="2160CBB6" w14:textId="77777777" w:rsidR="003B6800" w:rsidRPr="00722885" w:rsidRDefault="003B68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Скорость на высоте 10000 мт- </w:t>
      </w:r>
      <w:r w:rsidRPr="00722885">
        <w:rPr>
          <w:rStyle w:val="0pt"/>
          <w:rFonts w:ascii="Times New Roman" w:hAnsi="Times New Roman" w:cs="Times New Roman"/>
          <w:color w:val="000000" w:themeColor="text1"/>
          <w:spacing w:val="0"/>
          <w:sz w:val="16"/>
          <w:szCs w:val="16"/>
        </w:rPr>
        <w:t>590</w:t>
      </w:r>
      <w:r w:rsidRPr="00722885">
        <w:rPr>
          <w:rFonts w:ascii="Times New Roman" w:hAnsi="Times New Roman"/>
          <w:color w:val="000000" w:themeColor="text1"/>
          <w:sz w:val="16"/>
          <w:szCs w:val="16"/>
        </w:rPr>
        <w:t xml:space="preserve"> км/час.</w:t>
      </w:r>
    </w:p>
    <w:p w14:paraId="1973C841" w14:textId="77777777" w:rsidR="003B6800" w:rsidRPr="00722885" w:rsidRDefault="003B68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Скоропод"емность на 1</w:t>
      </w:r>
      <w:r w:rsidRPr="00722885">
        <w:rPr>
          <w:rStyle w:val="10pt0"/>
          <w:rFonts w:ascii="Times New Roman" w:hAnsi="Times New Roman" w:cs="Times New Roman"/>
          <w:color w:val="000000" w:themeColor="text1"/>
          <w:sz w:val="16"/>
          <w:szCs w:val="16"/>
        </w:rPr>
        <w:t>0000</w:t>
      </w:r>
      <w:r w:rsidRPr="00722885">
        <w:rPr>
          <w:rFonts w:ascii="Times New Roman" w:hAnsi="Times New Roman"/>
          <w:color w:val="000000" w:themeColor="text1"/>
          <w:sz w:val="16"/>
          <w:szCs w:val="16"/>
        </w:rPr>
        <w:t xml:space="preserve"> мт - </w:t>
      </w:r>
      <w:r w:rsidRPr="00722885">
        <w:rPr>
          <w:rStyle w:val="10pt0"/>
          <w:rFonts w:ascii="Times New Roman" w:hAnsi="Times New Roman" w:cs="Times New Roman"/>
          <w:color w:val="000000" w:themeColor="text1"/>
          <w:sz w:val="16"/>
          <w:szCs w:val="16"/>
        </w:rPr>
        <w:t>14</w:t>
      </w:r>
      <w:r w:rsidRPr="00722885">
        <w:rPr>
          <w:rFonts w:ascii="Times New Roman" w:hAnsi="Times New Roman"/>
          <w:color w:val="000000" w:themeColor="text1"/>
          <w:sz w:val="16"/>
          <w:szCs w:val="16"/>
        </w:rPr>
        <w:t xml:space="preserve"> мин.</w:t>
      </w:r>
    </w:p>
    <w:p w14:paraId="09D635DD" w14:textId="77777777" w:rsidR="003B6800" w:rsidRPr="00722885" w:rsidRDefault="003B68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Дальность та же, что у серийного самолета Як-7.</w:t>
      </w:r>
    </w:p>
    <w:p w14:paraId="79DD275D" w14:textId="77777777" w:rsidR="003B6800" w:rsidRPr="00722885" w:rsidRDefault="003B68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Вооружение - 1 пушка калибра 20 мм с боезапасом </w:t>
      </w:r>
      <w:r w:rsidRPr="00722885">
        <w:rPr>
          <w:rStyle w:val="0pt"/>
          <w:rFonts w:ascii="Times New Roman" w:hAnsi="Times New Roman" w:cs="Times New Roman"/>
          <w:color w:val="000000" w:themeColor="text1"/>
          <w:spacing w:val="0"/>
          <w:sz w:val="16"/>
          <w:szCs w:val="16"/>
        </w:rPr>
        <w:t>120</w:t>
      </w:r>
      <w:r w:rsidRPr="00722885">
        <w:rPr>
          <w:rFonts w:ascii="Times New Roman" w:hAnsi="Times New Roman"/>
          <w:color w:val="000000" w:themeColor="text1"/>
          <w:sz w:val="16"/>
          <w:szCs w:val="16"/>
        </w:rPr>
        <w:t xml:space="preserve"> пат</w:t>
      </w:r>
      <w:r w:rsidRPr="00722885">
        <w:rPr>
          <w:rFonts w:ascii="Times New Roman" w:hAnsi="Times New Roman"/>
          <w:color w:val="000000" w:themeColor="text1"/>
          <w:sz w:val="16"/>
          <w:szCs w:val="16"/>
        </w:rPr>
        <w:softHyphen/>
        <w:t xml:space="preserve">ронов и 1 пулемет калибра </w:t>
      </w:r>
      <w:r w:rsidRPr="00722885">
        <w:rPr>
          <w:rStyle w:val="0pt"/>
          <w:rFonts w:ascii="Times New Roman" w:hAnsi="Times New Roman" w:cs="Times New Roman"/>
          <w:color w:val="000000" w:themeColor="text1"/>
          <w:spacing w:val="0"/>
          <w:sz w:val="16"/>
          <w:szCs w:val="16"/>
        </w:rPr>
        <w:t>12,7</w:t>
      </w:r>
      <w:r w:rsidRPr="00722885">
        <w:rPr>
          <w:rFonts w:ascii="Times New Roman" w:hAnsi="Times New Roman"/>
          <w:color w:val="000000" w:themeColor="text1"/>
          <w:sz w:val="16"/>
          <w:szCs w:val="16"/>
        </w:rPr>
        <w:t xml:space="preserve"> мм с боезапасом </w:t>
      </w:r>
      <w:r w:rsidRPr="00722885">
        <w:rPr>
          <w:rStyle w:val="0pt"/>
          <w:rFonts w:ascii="Times New Roman" w:hAnsi="Times New Roman" w:cs="Times New Roman"/>
          <w:color w:val="000000" w:themeColor="text1"/>
          <w:spacing w:val="0"/>
          <w:sz w:val="16"/>
          <w:szCs w:val="16"/>
        </w:rPr>
        <w:t>200</w:t>
      </w:r>
      <w:r w:rsidRPr="00722885">
        <w:rPr>
          <w:rFonts w:ascii="Times New Roman" w:hAnsi="Times New Roman"/>
          <w:color w:val="000000" w:themeColor="text1"/>
          <w:sz w:val="16"/>
          <w:szCs w:val="16"/>
        </w:rPr>
        <w:t xml:space="preserve"> патронов.</w:t>
      </w:r>
    </w:p>
    <w:p w14:paraId="343C10F3" w14:textId="77777777" w:rsidR="003B6800" w:rsidRPr="00722885" w:rsidRDefault="003B68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Самолеты пред</w:t>
      </w:r>
      <w:r w:rsidRPr="00722885">
        <w:rPr>
          <w:rFonts w:ascii="Times New Roman" w:hAnsi="Times New Roman"/>
          <w:color w:val="000000" w:themeColor="text1"/>
          <w:sz w:val="16"/>
          <w:szCs w:val="16"/>
          <w:vertAlign w:val="superscript"/>
        </w:rPr>
        <w:t>и</w:t>
      </w:r>
      <w:r w:rsidRPr="00722885">
        <w:rPr>
          <w:rFonts w:ascii="Times New Roman" w:hAnsi="Times New Roman"/>
          <w:color w:val="000000" w:themeColor="text1"/>
          <w:sz w:val="16"/>
          <w:szCs w:val="16"/>
        </w:rPr>
        <w:t xml:space="preserve">явить на войсковые испытания в части ПВО 15 января </w:t>
      </w:r>
      <w:r w:rsidRPr="00722885">
        <w:rPr>
          <w:rStyle w:val="0pt"/>
          <w:rFonts w:ascii="Times New Roman" w:hAnsi="Times New Roman" w:cs="Times New Roman"/>
          <w:color w:val="000000" w:themeColor="text1"/>
          <w:spacing w:val="0"/>
          <w:sz w:val="16"/>
          <w:szCs w:val="16"/>
        </w:rPr>
        <w:t>1943</w:t>
      </w:r>
      <w:r w:rsidRPr="00722885">
        <w:rPr>
          <w:rFonts w:ascii="Times New Roman" w:hAnsi="Times New Roman"/>
          <w:color w:val="000000" w:themeColor="text1"/>
          <w:sz w:val="16"/>
          <w:szCs w:val="16"/>
        </w:rPr>
        <w:t xml:space="preserve"> года.</w:t>
      </w:r>
    </w:p>
    <w:p w14:paraId="7F62FEFC" w14:textId="77777777" w:rsidR="003B6800" w:rsidRPr="00722885" w:rsidRDefault="003B68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Для обеспечения перечисленных заданий обязать Нарком</w:t>
      </w:r>
      <w:r w:rsidRPr="00722885">
        <w:rPr>
          <w:rFonts w:ascii="Times New Roman" w:hAnsi="Times New Roman"/>
          <w:color w:val="000000" w:themeColor="text1"/>
          <w:sz w:val="16"/>
          <w:szCs w:val="16"/>
        </w:rPr>
        <w:softHyphen/>
        <w:t>ан т.Зверева выделить в распоряжение Наркомавиапрома на по</w:t>
      </w:r>
      <w:r w:rsidRPr="00722885">
        <w:rPr>
          <w:rFonts w:ascii="Times New Roman" w:hAnsi="Times New Roman"/>
          <w:color w:val="000000" w:themeColor="text1"/>
          <w:sz w:val="16"/>
          <w:szCs w:val="16"/>
        </w:rPr>
        <w:softHyphen/>
        <w:t xml:space="preserve">стройку самолетов из резервного фонда Совнаркома СССР пять млн.рублей и для премирования работников ОКБ за выполнение заданий премиальный фонд в общей сумме </w:t>
      </w:r>
      <w:r w:rsidRPr="00722885">
        <w:rPr>
          <w:rStyle w:val="0pt"/>
          <w:rFonts w:ascii="Times New Roman" w:hAnsi="Times New Roman" w:cs="Times New Roman"/>
          <w:color w:val="000000" w:themeColor="text1"/>
          <w:spacing w:val="0"/>
          <w:sz w:val="16"/>
          <w:szCs w:val="16"/>
        </w:rPr>
        <w:t>800</w:t>
      </w:r>
      <w:r w:rsidRPr="00722885">
        <w:rPr>
          <w:rFonts w:ascii="Times New Roman" w:hAnsi="Times New Roman"/>
          <w:color w:val="000000" w:themeColor="text1"/>
          <w:sz w:val="16"/>
          <w:szCs w:val="16"/>
        </w:rPr>
        <w:t xml:space="preserve"> тыс.рублей (19373).</w:t>
      </w:r>
    </w:p>
    <w:p w14:paraId="13DCF90B" w14:textId="77777777" w:rsidR="003B6800" w:rsidRPr="00722885" w:rsidRDefault="003B6800" w:rsidP="00722885">
      <w:pPr>
        <w:spacing w:after="0" w:line="240" w:lineRule="auto"/>
        <w:jc w:val="both"/>
        <w:rPr>
          <w:rFonts w:ascii="Times New Roman" w:hAnsi="Times New Roman"/>
          <w:color w:val="000000" w:themeColor="text1"/>
          <w:sz w:val="16"/>
          <w:szCs w:val="16"/>
        </w:rPr>
      </w:pPr>
    </w:p>
    <w:p w14:paraId="1F4AD944" w14:textId="77777777" w:rsidR="00E55FE3"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12 ноября 1942 вышло:</w:t>
      </w:r>
    </w:p>
    <w:p w14:paraId="157DB702" w14:textId="77777777" w:rsidR="00E55FE3"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ПОСТАНОВЛЕНИЕ ГОСУДАРСТВЕННОГО КОМИТЕТА ОБОРОНЫ №2504сс от 12.11.1942г.</w:t>
      </w:r>
    </w:p>
    <w:p w14:paraId="12E28F23" w14:textId="77777777" w:rsidR="00090C9B"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О создании высотного бомбардировщика и высотного истребителя</w:t>
      </w:r>
    </w:p>
    <w:p w14:paraId="1899E9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создания высотного дневного бомбардировщика и высотного истребителя на основе серийных самолетов, Государственный Комитет Обороны ПОСТАНОВЛЯЕТ:</w:t>
      </w:r>
    </w:p>
    <w:p w14:paraId="6392B3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Наркомавиапром т.Шахурину и главному конструктору т.Ильюшину спроектировать и построить высотный дневной бомбардировщик путем модификации самолета Ил-4 с моторами М-88 с турбокомпрессором TК-3 и с герметической кабиной для экипажа.</w:t>
      </w:r>
    </w:p>
    <w:p w14:paraId="0E0199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должен иметь следующие летно-тактические данные:</w:t>
      </w:r>
    </w:p>
    <w:p w14:paraId="6E6C98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Практическим потолок над целью - 12000 мт</w:t>
      </w:r>
    </w:p>
    <w:p w14:paraId="571BB9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боевого применения - 11000 мт.</w:t>
      </w:r>
    </w:p>
    <w:p w14:paraId="5D9EF9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высоте боевого применения - 460 км/час</w:t>
      </w:r>
    </w:p>
    <w:p w14:paraId="36D302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та же, что у серийного самолета Ил-4</w:t>
      </w:r>
    </w:p>
    <w:p w14:paraId="5808E6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Бомбовая нагрузка та же, что у серийного самолета Ил-4.</w:t>
      </w:r>
    </w:p>
    <w:p w14:paraId="6879D3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Разрешается снять с самолета:</w:t>
      </w:r>
    </w:p>
    <w:p w14:paraId="24B4AA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Стрелковое оружие с установками</w:t>
      </w:r>
    </w:p>
    <w:p w14:paraId="42093C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Заднего стрелка</w:t>
      </w:r>
    </w:p>
    <w:p w14:paraId="77599C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Бронирование.</w:t>
      </w:r>
    </w:p>
    <w:p w14:paraId="43CC08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Самолет построить в 2-х экземплярах. </w:t>
      </w:r>
    </w:p>
    <w:p w14:paraId="0579D0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Срок предъявления 1-го экземпляра самолета на летные испытания - 15 февраля, 2-го экземпляра - 15 марта 1943 года.</w:t>
      </w:r>
    </w:p>
    <w:p w14:paraId="2D3046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Наркомавиапром т.Шахурину, директору завода № 22 т.Окулову и главному конструктору т.Путилову спроектировать и построить высотный двухмоторный истребитель путем модификации самолета Пе-2 с моторами M-105П с нагнетателем Доллежаля, с герметической кабиной для летчика.</w:t>
      </w:r>
    </w:p>
    <w:p w14:paraId="300FDE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должен иметь следующие летно-тактические данные: Практический потолок - 12000 мт</w:t>
      </w:r>
    </w:p>
    <w:p w14:paraId="6BC852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высоте 10000 мт - 530 км/час</w:t>
      </w:r>
    </w:p>
    <w:p w14:paraId="7F10F3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10000 мт - 21 мин.</w:t>
      </w:r>
    </w:p>
    <w:p w14:paraId="486025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та же, что у серийного самолета Пе-2.</w:t>
      </w:r>
    </w:p>
    <w:p w14:paraId="2B937B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Стрелковое вооружение: вперед 1 пушка калибра 20 мм и 1 пулемет калибра 12,7 мм с боезапасом по 250 штук патрон. </w:t>
      </w:r>
    </w:p>
    <w:p w14:paraId="53E57E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Разрешается снять с самолета: </w:t>
      </w:r>
    </w:p>
    <w:p w14:paraId="263076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Бомбовое вооружение </w:t>
      </w:r>
    </w:p>
    <w:p w14:paraId="2C31FD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человека экипажа </w:t>
      </w:r>
    </w:p>
    <w:p w14:paraId="14CA91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Тормозные решетки для пикирования </w:t>
      </w:r>
    </w:p>
    <w:p w14:paraId="3A4EC3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Броню кроме бронеспинки летчика. </w:t>
      </w:r>
    </w:p>
    <w:p w14:paraId="7AA113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построить в 2 экземплярах; срок предъявления 1 экземпляра на летные испытания - 10 февраля, 2 экземпляра - 10 марта 1943 года.</w:t>
      </w:r>
    </w:p>
    <w:p w14:paraId="10656E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Обязать Наркомавиапром т.Шахурина и главного конструктора т.Яковлева выпустить 5 экземпляров истребителя Як-9 с мотором М-105ПД, в высотном варианте, с герметическими кабинами. Самолеты должны иметь следующие летно-тактические данные:</w:t>
      </w:r>
    </w:p>
    <w:p w14:paraId="1E5E89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- 11500 мт</w:t>
      </w:r>
    </w:p>
    <w:p w14:paraId="2BCF59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высоте 10000 мт - 590 км/час</w:t>
      </w:r>
    </w:p>
    <w:p w14:paraId="4CA8C8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 на 10000 мт - 14 мин.</w:t>
      </w:r>
    </w:p>
    <w:p w14:paraId="0221E5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та же, что у серийного самолета Як-7.</w:t>
      </w:r>
    </w:p>
    <w:p w14:paraId="695F96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- 1 пушка калибра 20 мы с боезапасом 120 патронов и 1 пулемет калибра 12,7 мм с боезапасом 200 патронов.</w:t>
      </w:r>
    </w:p>
    <w:p w14:paraId="1316D3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Самолеты предъявить на войсковые испытания в части ПВО 15 января 1943 года.</w:t>
      </w:r>
    </w:p>
    <w:p w14:paraId="6DC0CF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Для обеспечения перечисленных заданий обязать Наркомфин т.Зверева выделить в распоряжение Наркомавиапрома на постройку самолетов из резервного фонда Совнаркома CCCP пять млн. рублей и для премирования работников ОКБ за выполнение заданий в срок премиальный фонд в общей сумме 800 тыс. рублей. </w:t>
      </w:r>
    </w:p>
    <w:p w14:paraId="18F4AE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 И. СТАЛИН (11813).</w:t>
      </w:r>
    </w:p>
    <w:p w14:paraId="7DDD1F7F" w14:textId="77777777" w:rsidR="003B6800" w:rsidRPr="00722885" w:rsidRDefault="003B6800" w:rsidP="00722885">
      <w:pPr>
        <w:spacing w:after="0" w:line="240" w:lineRule="auto"/>
        <w:jc w:val="both"/>
        <w:rPr>
          <w:rFonts w:ascii="Times New Roman" w:hAnsi="Times New Roman"/>
          <w:color w:val="000000" w:themeColor="text1"/>
          <w:sz w:val="16"/>
          <w:szCs w:val="16"/>
        </w:rPr>
      </w:pPr>
    </w:p>
    <w:p w14:paraId="270E3B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ноября 1942</w:t>
      </w:r>
    </w:p>
    <w:p w14:paraId="6808D5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Народный Комиссар Авиационной Промышленности Союза ССР писал письмо № 11-20/4461</w:t>
      </w:r>
    </w:p>
    <w:p w14:paraId="36059437" w14:textId="77777777" w:rsidR="00E55FE3"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Москва </w:t>
      </w:r>
    </w:p>
    <w:p w14:paraId="0F13C4E5" w14:textId="77777777" w:rsidR="00090C9B" w:rsidRPr="00722885" w:rsidRDefault="00090C9B"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ПРЕДСЕДАТЕЛЮ ГОСУДАРСТВЕННОГО КОМИТЕТА ОБОРОНЫ товарищу СТАЛИНУ И.В.</w:t>
      </w:r>
    </w:p>
    <w:p w14:paraId="047540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вашему заданию рассмотрен вопрос о создании высотного бомбардировщика и высотного истребителя. Предварительные расчеты, произведенные главными конструкторами ЦАГИ и ЛИИ НКАП, показали следующие результаты:</w:t>
      </w:r>
    </w:p>
    <w:p w14:paraId="21399C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По высотному бомбардировщику </w:t>
      </w:r>
    </w:p>
    <w:p w14:paraId="3A2AB8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Наиболее целесообразно вопрос о создании высотного дневного бомбардировщика решить путем модификации самолета Ил-4 с моторами М-88 с турбокомпрессором ТК-3.</w:t>
      </w:r>
    </w:p>
    <w:p w14:paraId="13FAD4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ТК-3 отработан для мотора М-82 при работе нагнетателя мотора на первой скорости.</w:t>
      </w:r>
    </w:p>
    <w:p w14:paraId="18ACB5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мотора М-88 требуется отработать ТК, в особенности на второй скорости нагнетателя, что необходимо для получения достаточной высотности.</w:t>
      </w:r>
    </w:p>
    <w:p w14:paraId="34AA70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модифицированном самолете Ил-4 с ТК-3 и с использованием второй скорости нагнетателя, возможно получить практический потолок над целью в 12000 мт и высоту боевого применения, на которой самолет может совершать необходимые маневры, до 11000 мт.</w:t>
      </w:r>
    </w:p>
    <w:p w14:paraId="09AA51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этом модифицированный самолет будет иметь скорость на высоте 11000 мт - 460 км/час и сохранит дальность серийного самолета Ил-4.</w:t>
      </w:r>
    </w:p>
    <w:p w14:paraId="65F885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Модификация самолета должна заключаться в основном в следующем:</w:t>
      </w:r>
    </w:p>
    <w:p w14:paraId="0A20F0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концы консолей крыла заменяются на более удлиненные; </w:t>
      </w:r>
    </w:p>
    <w:p w14:paraId="2CC066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ставится герметическая кабина, для экипажа, с необходимым оборудованием;</w:t>
      </w:r>
    </w:p>
    <w:p w14:paraId="6C195B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экипаж состоит из 3 человек. Задний стрелок снимается; </w:t>
      </w:r>
    </w:p>
    <w:p w14:paraId="23DC9F6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стрелковое оружие и броня снимаются. Бомбовая нагрузка сохраняется прежняя.</w:t>
      </w:r>
    </w:p>
    <w:p w14:paraId="61DB24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Отработку в воздухе винтомоторной группы следует провести на серийном самолете Ил-4 без герметики и с существующим крылом, с расчетом начала летных испытаний 20 декабря с. г.</w:t>
      </w:r>
    </w:p>
    <w:p w14:paraId="2F05E2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Модифицированный самолет Ил-4 с герметической кабиной намечается подать на летные испытания 15 февраля 1943 года.</w:t>
      </w:r>
    </w:p>
    <w:p w14:paraId="0FC7756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По высотному истребителю </w:t>
      </w:r>
    </w:p>
    <w:p w14:paraId="71F074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Модифицированный самолет Пе-2 с моторами М-105 с нагнетателем Доллежаля дает возможность получить практический потолок в 12000 мт. При этом скорость самолета на высоте 10000 мт будет 530 км/час, а время набора высоты в 9000 мт - 16 минут и в 10000 мт - 21 минута. Продолжительность полета самолета - 3 часа.</w:t>
      </w:r>
    </w:p>
    <w:p w14:paraId="30BA91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М-105 с нагнетателем Доллежаля отработан в воздухе на самолете Як-7. Таких моторов тлеется в наличии 10 экземпляров.</w:t>
      </w:r>
    </w:p>
    <w:p w14:paraId="006A1A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Модификация самолета должна заключаться в основном в следующем:</w:t>
      </w:r>
    </w:p>
    <w:p w14:paraId="01755C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консоли крыла заменяются на консоли с другим профилем и с увеличенной на 2 м2 площадью;</w:t>
      </w:r>
    </w:p>
    <w:p w14:paraId="0E5952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ставится герметическая кабина для летчика, с необходимым оборудованием;</w:t>
      </w:r>
    </w:p>
    <w:p w14:paraId="13CF9B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состоит из одного летчика. Штурман и задний стрелок снимаются;</w:t>
      </w:r>
    </w:p>
    <w:p w14:paraId="1E9F04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стрелковое оружие состоит из пушки Швак и пулемета ЕС с боезапасом по 250 штук патрон;</w:t>
      </w:r>
    </w:p>
    <w:p w14:paraId="558023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броня снимается, кроме бронеспинки летчика; </w:t>
      </w:r>
    </w:p>
    <w:p w14:paraId="2FE6A8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бомбовая нагрузка снимается; </w:t>
      </w:r>
    </w:p>
    <w:p w14:paraId="3EE806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снимаются решетки для пикирования ; </w:t>
      </w:r>
    </w:p>
    <w:p w14:paraId="66442C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Отработку в воздухе винтомоторной группы следует провести на серийном самолете Пе-2 без герметики и с существующим крылом, с расчетом начала летных испытаний 20 декабря с. г.</w:t>
      </w:r>
    </w:p>
    <w:p w14:paraId="606FCC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Модифицированный самолет Пе-2 с герметической кабиной намечается подать на летные испытания 10 февраля 1943 года.</w:t>
      </w:r>
    </w:p>
    <w:p w14:paraId="3C0A68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Сообщаю, что НКАП закончена отработка высотного одномоторного истребителя Як-7 с мотором M-105II с нагнетателем Доллежаля, без герметической кабины. Самолет прошел государственные испытания в НИИ ВВС.</w:t>
      </w:r>
    </w:p>
    <w:p w14:paraId="764499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госиспытаниях самолет показал следующие результаты: практический потолок 11300 мт, скорость на высоте 10000 мт - 591 км/час, скороподъемность на 10000 мт - 13,8 мин.</w:t>
      </w:r>
    </w:p>
    <w:p w14:paraId="40B6F5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имеет оружие, состоящее из пушки Швак с боезапасом 120 патрон. На данный самолет может быть установлена вставная герметическая кабина конструкции т.Щербакова, успешно прошедшая госиспытания на самолете И-153.</w:t>
      </w:r>
    </w:p>
    <w:p w14:paraId="45FAC8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Як-9 с герметической кабиной и с установкой дополнительного пулемета ЕС может быть подан на летные испытания 15 января 1943 года.</w:t>
      </w:r>
    </w:p>
    <w:p w14:paraId="40E435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Конструктору т.Лавочкину НКАП дано задание на, модификацию в высотном варианте истребителя Лa-5 под мотор М-82 с ТК-3 и в настоящее время по этому самолету ведутся проектные работы.</w:t>
      </w:r>
    </w:p>
    <w:p w14:paraId="0DDF9A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утвердить прилагаемый проект постановления по вопросу создания высотного бомбардировщика и высотных, истребителей на основе серийных самолетов (11813).</w:t>
      </w:r>
    </w:p>
    <w:p w14:paraId="563DEF0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1070BD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1942 вышел приказ НКАП N 835cc в исполнение постановления ГКО для создания высотных бомбардировщиков и истребителей на основе серийных самолетов приказываю:</w:t>
      </w:r>
    </w:p>
    <w:p w14:paraId="265E61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исполнение постановления ГКО от... для создания высотных бомбардировщиков и высотных истребителей на основе серийных самолетов приказываю:</w:t>
      </w:r>
    </w:p>
    <w:p w14:paraId="0DDA7A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Директору и ГК завода 240 тов. Ильюшину спроектировать и построить высотный бомбардировщик путем модификации Ил-4 с М-88 с ТК-3 и с герметической кабиной. Самолет должен иметь высоту 12000 м и высоту боевого применения 11000 м. Скорость 460 км/час. Самолет построить в 3 экз. и с гермокабиной.</w:t>
      </w:r>
    </w:p>
    <w:p w14:paraId="1188D4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потолок - 12000</w:t>
      </w:r>
    </w:p>
    <w:p w14:paraId="495CAB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высота боевого применения 11000</w:t>
      </w:r>
    </w:p>
    <w:p w14:paraId="031D41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 460 км/час на высоте боевого применения</w:t>
      </w:r>
    </w:p>
    <w:p w14:paraId="14635D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построить в 3-х экз. и с гк представить на летные испытания 15 марта 1943.</w:t>
      </w:r>
    </w:p>
    <w:p w14:paraId="42F736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Директору завода № 22 т. Окуню и ГК т. Путилову спроектировать и построить высотный 2 моторный истребитель путем модификации Пе-2 с М-105П с нагнетателем Доллежаля с ГК.</w:t>
      </w:r>
    </w:p>
    <w:p w14:paraId="20F42E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Высота применения 12000 м, скорость - 530 км/час на высоте применения, Первый экз. на л/и 10 марта 1943.</w:t>
      </w:r>
    </w:p>
    <w:p w14:paraId="52A0A4C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Директору и ГК завода № 115 т. А.С.Я. 5 экз. Як-9 с М-105ПД в высотном варианте с гермокабиной.</w:t>
      </w:r>
    </w:p>
    <w:p w14:paraId="77DE1C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Высота применения 11500 м, макс. скорость 590 км/час, скороподъемность на 10000 м - 14 мин., вооружение 1-пушка 20мм с б/з 120 патронов и 1хпулемет 12, 7 с боезапасом 200 патронов</w:t>
      </w:r>
    </w:p>
    <w:p w14:paraId="1EEE47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 предъявить на войсковые испытания в частях ПВО 15 января 1943</w:t>
      </w:r>
    </w:p>
    <w:p w14:paraId="364BE0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ГК завода № 21 т. С.А.Л. разработать эскизный проект модификации Ла-5 в варианте высотного истребителя с М-82 с 2хТК-3 с ГК и представить представить на рассмотрение к 1 декабря 1942...(919,39).</w:t>
      </w:r>
    </w:p>
    <w:p w14:paraId="17DDDB03" w14:textId="77777777" w:rsidR="00090C9B" w:rsidRPr="00722885" w:rsidRDefault="00090C9B" w:rsidP="00722885">
      <w:pPr>
        <w:pStyle w:val="Iauiue"/>
        <w:jc w:val="both"/>
        <w:rPr>
          <w:color w:val="000000" w:themeColor="text1"/>
          <w:sz w:val="16"/>
          <w:szCs w:val="16"/>
        </w:rPr>
      </w:pPr>
    </w:p>
    <w:p w14:paraId="3527C89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г. НКАП издал приказ № 835сс о высотных модификациях Як-9 с ВК-105ПД, а также Ла-5 с М-82А и турбокомпрессором ТК-3. ОКБ-21 на эскизный проект получило 20 дней.. (11123). В силу ряда обстоятельств, включая доводку са</w:t>
      </w:r>
      <w:r w:rsidRPr="00722885">
        <w:rPr>
          <w:rFonts w:ascii="Times New Roman" w:hAnsi="Times New Roman"/>
          <w:color w:val="000000" w:themeColor="text1"/>
          <w:sz w:val="16"/>
          <w:szCs w:val="16"/>
        </w:rPr>
        <w:softHyphen/>
        <w:t>мого турбокомпрессора, Ла-5 с ТК-3 (Ла-5ТК) впер</w:t>
      </w:r>
      <w:r w:rsidRPr="00722885">
        <w:rPr>
          <w:rFonts w:ascii="Times New Roman" w:hAnsi="Times New Roman"/>
          <w:color w:val="000000" w:themeColor="text1"/>
          <w:sz w:val="16"/>
          <w:szCs w:val="16"/>
        </w:rPr>
        <w:softHyphen/>
        <w:t>вые поднялся в воздух лишь 17 апреля 1943 г. Уже в первых полетах была получена скорость 660 км/ч на 8000 м и потолок 12200 м, компрессор работал нор</w:t>
      </w:r>
      <w:r w:rsidRPr="00722885">
        <w:rPr>
          <w:rFonts w:ascii="Times New Roman" w:hAnsi="Times New Roman"/>
          <w:color w:val="000000" w:themeColor="text1"/>
          <w:sz w:val="16"/>
          <w:szCs w:val="16"/>
        </w:rPr>
        <w:softHyphen/>
        <w:t>мально, правда, мотор перегревался. По летным дан</w:t>
      </w:r>
      <w:r w:rsidRPr="00722885">
        <w:rPr>
          <w:rFonts w:ascii="Times New Roman" w:hAnsi="Times New Roman"/>
          <w:color w:val="000000" w:themeColor="text1"/>
          <w:sz w:val="16"/>
          <w:szCs w:val="16"/>
        </w:rPr>
        <w:softHyphen/>
        <w:t>ным и характеристикам Ла-5 М-82Ф с ТК-3 превосхо</w:t>
      </w:r>
      <w:r w:rsidRPr="00722885">
        <w:rPr>
          <w:rFonts w:ascii="Times New Roman" w:hAnsi="Times New Roman"/>
          <w:color w:val="000000" w:themeColor="text1"/>
          <w:sz w:val="16"/>
          <w:szCs w:val="16"/>
        </w:rPr>
        <w:softHyphen/>
        <w:t>дил Як-9ПД, но уступал истребителю Микояна И-231 с двигателем АМ-39 (11123).</w:t>
      </w:r>
    </w:p>
    <w:p w14:paraId="52476C8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91A38F4"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г. Постановлением ГКО № 2504 предусматривалась постройка пя</w:t>
      </w:r>
      <w:r w:rsidRPr="00722885">
        <w:rPr>
          <w:rFonts w:ascii="Times New Roman" w:hAnsi="Times New Roman"/>
          <w:color w:val="000000" w:themeColor="text1"/>
          <w:sz w:val="16"/>
          <w:szCs w:val="16"/>
        </w:rPr>
        <w:softHyphen/>
        <w:t>ти высотных истребителей Як-9 с М-105ПД, с герметическими кабинами. Проведенные по инициативе ЦИАМ в период 1942-1943 гг. работы по двухступенчатому нагнетателю Э-100 позволили поднять высотность мотора М-105ПФ с 2700 м до 6300 м у М-105ПД. Установка высотного мотора М-105ПД должна была обеспечить самолёту Як-9 высоту полёта до 12000 м. Более того, существовала реальная возможность поднять высот</w:t>
      </w:r>
      <w:r w:rsidRPr="00722885">
        <w:rPr>
          <w:rFonts w:ascii="Times New Roman" w:hAnsi="Times New Roman"/>
          <w:color w:val="000000" w:themeColor="text1"/>
          <w:sz w:val="16"/>
          <w:szCs w:val="16"/>
        </w:rPr>
        <w:softHyphen/>
        <w:t>ность мотора М-105ПД до 8500 м посредством изменения передаточного числа в при</w:t>
      </w:r>
      <w:r w:rsidRPr="00722885">
        <w:rPr>
          <w:rFonts w:ascii="Times New Roman" w:hAnsi="Times New Roman"/>
          <w:color w:val="000000" w:themeColor="text1"/>
          <w:sz w:val="16"/>
          <w:szCs w:val="16"/>
        </w:rPr>
        <w:softHyphen/>
        <w:t>воде к двухступенчатому нагнетателю с 8,48 на 9,72. Правда, в этом случае на самолёт пришлось бы установить мотор с радиатором для охлаждения воздуха за нагнетателем, на что авиаконструкторы идти никак не хотели.</w:t>
      </w:r>
    </w:p>
    <w:p w14:paraId="1E07A2F0"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Параллельно в ЦИАМ велись работы по повышению высотности моторов воздушного охлаждения М-82 и М-88Б до 10000-11000 м посредством установки на них турбокомпрес</w:t>
      </w:r>
      <w:r w:rsidRPr="00722885">
        <w:rPr>
          <w:rFonts w:ascii="Times New Roman" w:hAnsi="Times New Roman"/>
          <w:color w:val="000000" w:themeColor="text1"/>
          <w:sz w:val="16"/>
          <w:szCs w:val="16"/>
        </w:rPr>
        <w:softHyphen/>
        <w:t>соров ТК-3 и ТКМ. На больших высотах турбо</w:t>
      </w:r>
      <w:r w:rsidRPr="00722885">
        <w:rPr>
          <w:rFonts w:ascii="Times New Roman" w:hAnsi="Times New Roman"/>
          <w:color w:val="000000" w:themeColor="text1"/>
          <w:sz w:val="16"/>
          <w:szCs w:val="16"/>
        </w:rPr>
        <w:softHyphen/>
        <w:t>компрессоры, позволяли обеспечить постоян</w:t>
      </w:r>
      <w:r w:rsidRPr="00722885">
        <w:rPr>
          <w:rFonts w:ascii="Times New Roman" w:hAnsi="Times New Roman"/>
          <w:color w:val="000000" w:themeColor="text1"/>
          <w:sz w:val="16"/>
          <w:szCs w:val="16"/>
        </w:rPr>
        <w:softHyphen/>
        <w:t>ное номинальное давление наддува на входе в цилиндры мотора, что не мог сделать при</w:t>
      </w:r>
      <w:r w:rsidRPr="00722885">
        <w:rPr>
          <w:rFonts w:ascii="Times New Roman" w:hAnsi="Times New Roman"/>
          <w:color w:val="000000" w:themeColor="text1"/>
          <w:sz w:val="16"/>
          <w:szCs w:val="16"/>
        </w:rPr>
        <w:softHyphen/>
        <w:t>водной центробежный нагнетатель (15830).</w:t>
      </w:r>
    </w:p>
    <w:p w14:paraId="260290CE"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4B79EA7A"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г. Постановлением ГКО № 2504, помимо пяти высотных Як-9, были заданы ещё два самолёта с гермокабинами: высотный истребитель с двумя М-105ПД — А.И. Путилову, и дневной высотный бомбардировщик — С.В. Ильюшину, модифика</w:t>
      </w:r>
      <w:r w:rsidRPr="00722885">
        <w:rPr>
          <w:rFonts w:ascii="Times New Roman" w:hAnsi="Times New Roman"/>
          <w:color w:val="000000" w:themeColor="text1"/>
          <w:sz w:val="16"/>
          <w:szCs w:val="16"/>
        </w:rPr>
        <w:softHyphen/>
        <w:t>ция Ил-4. Обе машины построили, но на государственные испытания они так и не вы</w:t>
      </w:r>
      <w:r w:rsidRPr="00722885">
        <w:rPr>
          <w:rFonts w:ascii="Times New Roman" w:hAnsi="Times New Roman"/>
          <w:color w:val="000000" w:themeColor="text1"/>
          <w:sz w:val="16"/>
          <w:szCs w:val="16"/>
        </w:rPr>
        <w:softHyphen/>
        <w:t>шли. Подобное положение сохранилось до конца 1940-х годов (15830).</w:t>
      </w:r>
    </w:p>
    <w:p w14:paraId="1F253AA4"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724763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1942 в очередном контрольном полете Ер-2 М-30 с нагнетателем от АМ-38 повторилось падение давления в маслосистеме правого мотора. Мотор остановился и посадка была опять сделана при одном работающем левом моторе. Осмотр мотора обнаружил поломку рессоры привода маслонасоса, почему мотор к дальнейшей работе был признан непригодным. 13 ноября 1942 правый мотор был снят с самолета и взят заводом N 500 для осмотра его и устранения дефекта. По заявлению гл. конструктора завода N 500 Чаромского, ремонт мотора займет продолжительное время, почему вместо него заводом выделен другой экземпляр мотора. Выбывший правый мотор наработал за время испытаний:</w:t>
      </w:r>
    </w:p>
    <w:p w14:paraId="37CB4D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полете - 36 часов 41 минуту</w:t>
      </w:r>
    </w:p>
    <w:p w14:paraId="0D5FF5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земле - 15 часов.</w:t>
      </w:r>
    </w:p>
    <w:p w14:paraId="355295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Новый мотор, взамен дефектного д.б.б. направлен 19 ноября 1942 заводом N 500 на аэродром в Раменское для установки на самолет (2504,69).</w:t>
      </w:r>
    </w:p>
    <w:p w14:paraId="3C475CC9" w14:textId="77777777" w:rsidR="00090C9B" w:rsidRPr="00722885" w:rsidRDefault="00090C9B" w:rsidP="00722885">
      <w:pPr>
        <w:pStyle w:val="Iauiue"/>
        <w:jc w:val="both"/>
        <w:rPr>
          <w:color w:val="000000" w:themeColor="text1"/>
          <w:sz w:val="16"/>
          <w:szCs w:val="16"/>
        </w:rPr>
      </w:pPr>
    </w:p>
    <w:p w14:paraId="18BF5E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1942 ГКО поручило ОКБ А.С.Я. к 15 января 1943 сделать для ПВО Москвы пять Як-9 с М-105ПД с нагнетателем Э-100 В.А.Доллежаля и поручили сделать до 15 января 1943 (65,122).</w:t>
      </w:r>
    </w:p>
    <w:p w14:paraId="00A44813" w14:textId="77777777" w:rsidR="00090C9B" w:rsidRPr="00722885" w:rsidRDefault="00090C9B" w:rsidP="00722885">
      <w:pPr>
        <w:pStyle w:val="Iauiue"/>
        <w:jc w:val="both"/>
        <w:rPr>
          <w:color w:val="000000" w:themeColor="text1"/>
          <w:sz w:val="16"/>
          <w:szCs w:val="16"/>
        </w:rPr>
      </w:pPr>
    </w:p>
    <w:p w14:paraId="396DA87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г. второй экз. И-185 эталон опробовали в полете, о чем Ни</w:t>
      </w:r>
      <w:r w:rsidRPr="00722885">
        <w:rPr>
          <w:rFonts w:ascii="Times New Roman" w:hAnsi="Times New Roman"/>
          <w:color w:val="000000" w:themeColor="text1"/>
          <w:sz w:val="16"/>
          <w:szCs w:val="16"/>
        </w:rPr>
        <w:softHyphen/>
        <w:t>колай Николаевич немедленно известил наркома авиа</w:t>
      </w:r>
      <w:r w:rsidRPr="00722885">
        <w:rPr>
          <w:rFonts w:ascii="Times New Roman" w:hAnsi="Times New Roman"/>
          <w:color w:val="000000" w:themeColor="text1"/>
          <w:sz w:val="16"/>
          <w:szCs w:val="16"/>
        </w:rPr>
        <w:softHyphen/>
        <w:t>ционной промышленности СССР Шахурина. Самолет поднял в воздух летчик-испытатель завода № 51 П.Е.Логинов. Его оценка была восторженной: «Об</w:t>
      </w:r>
      <w:r w:rsidRPr="00722885">
        <w:rPr>
          <w:rFonts w:ascii="Times New Roman" w:hAnsi="Times New Roman"/>
          <w:color w:val="000000" w:themeColor="text1"/>
          <w:sz w:val="16"/>
          <w:szCs w:val="16"/>
        </w:rPr>
        <w:softHyphen/>
        <w:t>разцовый самолет И-185 с М-71 по своим летным дан</w:t>
      </w:r>
      <w:r w:rsidRPr="00722885">
        <w:rPr>
          <w:rFonts w:ascii="Times New Roman" w:hAnsi="Times New Roman"/>
          <w:color w:val="000000" w:themeColor="text1"/>
          <w:sz w:val="16"/>
          <w:szCs w:val="16"/>
        </w:rPr>
        <w:softHyphen/>
        <w:t>ным и вооружению является лучшим современным истребителем» (10667). А.И.Шахурин счел, что такая оценка, возможно, свя</w:t>
      </w:r>
      <w:r w:rsidRPr="00722885">
        <w:rPr>
          <w:rFonts w:ascii="Times New Roman" w:hAnsi="Times New Roman"/>
          <w:color w:val="000000" w:themeColor="text1"/>
          <w:sz w:val="16"/>
          <w:szCs w:val="16"/>
        </w:rPr>
        <w:softHyphen/>
        <w:t>зана с недостаточным летным опытом Логинова на се</w:t>
      </w:r>
      <w:r w:rsidRPr="00722885">
        <w:rPr>
          <w:rFonts w:ascii="Times New Roman" w:hAnsi="Times New Roman"/>
          <w:color w:val="000000" w:themeColor="text1"/>
          <w:sz w:val="16"/>
          <w:szCs w:val="16"/>
        </w:rPr>
        <w:softHyphen/>
        <w:t>рийных боевых самолетах. По его указанию Логинова обязали облетать другие истребители, стоящие на во</w:t>
      </w:r>
      <w:r w:rsidRPr="00722885">
        <w:rPr>
          <w:rFonts w:ascii="Times New Roman" w:hAnsi="Times New Roman"/>
          <w:color w:val="000000" w:themeColor="text1"/>
          <w:sz w:val="16"/>
          <w:szCs w:val="16"/>
        </w:rPr>
        <w:softHyphen/>
        <w:t>оружении ВВС СССР, и после этого дать свое заключе</w:t>
      </w:r>
      <w:r w:rsidRPr="00722885">
        <w:rPr>
          <w:rFonts w:ascii="Times New Roman" w:hAnsi="Times New Roman"/>
          <w:color w:val="000000" w:themeColor="text1"/>
          <w:sz w:val="16"/>
          <w:szCs w:val="16"/>
        </w:rPr>
        <w:softHyphen/>
        <w:t>ние. В течение последующих трех дней Логинов выполнял полеты на истребителях Як-1 и Ла-5, причем последних модификаций. 16 ноября 1942 г. он написал А.И.Шахурину отзыв-заключение о проделанной рабо</w:t>
      </w:r>
      <w:r w:rsidRPr="00722885">
        <w:rPr>
          <w:rFonts w:ascii="Times New Roman" w:hAnsi="Times New Roman"/>
          <w:color w:val="000000" w:themeColor="text1"/>
          <w:sz w:val="16"/>
          <w:szCs w:val="16"/>
        </w:rPr>
        <w:softHyphen/>
        <w:t>те:</w:t>
      </w:r>
    </w:p>
    <w:p w14:paraId="3EE4B37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«Ваше приказание о облете имеющихся в ЛИИ НКАП истребительных самолетов мною выполнено.</w:t>
      </w:r>
    </w:p>
    <w:p w14:paraId="66C610E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Выводы по облетанным самолетам следующие:</w:t>
      </w:r>
    </w:p>
    <w:p w14:paraId="5782857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Улучшенный Як-1 с мотором М-105ПФ имеет за</w:t>
      </w:r>
      <w:r w:rsidRPr="00722885">
        <w:rPr>
          <w:rFonts w:ascii="Times New Roman" w:hAnsi="Times New Roman"/>
          <w:color w:val="000000" w:themeColor="text1"/>
          <w:sz w:val="16"/>
          <w:szCs w:val="16"/>
        </w:rPr>
        <w:softHyphen/>
        <w:t>трудненный взлет вследствие большой (полной) дачи левой ноги. Скороподъемность самолета незавидная. Фигуры высшего пилотажа выполняются легко, летчик не утомляется, управление легкое. Вираж выполняется за 18-19 секунд, но в случае перетягивания ручки летчи</w:t>
      </w:r>
      <w:r w:rsidRPr="00722885">
        <w:rPr>
          <w:rFonts w:ascii="Times New Roman" w:hAnsi="Times New Roman"/>
          <w:color w:val="000000" w:themeColor="text1"/>
          <w:sz w:val="16"/>
          <w:szCs w:val="16"/>
        </w:rPr>
        <w:softHyphen/>
        <w:t>ком самолет сваливается в штопор.</w:t>
      </w:r>
    </w:p>
    <w:p w14:paraId="45471E7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выполнение боевого разворота от земли на скоро</w:t>
      </w:r>
      <w:r w:rsidRPr="00722885">
        <w:rPr>
          <w:rFonts w:ascii="Times New Roman" w:hAnsi="Times New Roman"/>
          <w:color w:val="000000" w:themeColor="text1"/>
          <w:sz w:val="16"/>
          <w:szCs w:val="16"/>
        </w:rPr>
        <w:softHyphen/>
        <w:t>сти = 490 км/ч по прибору до скорости 220 км/ч по при</w:t>
      </w:r>
      <w:r w:rsidRPr="00722885">
        <w:rPr>
          <w:rFonts w:ascii="Times New Roman" w:hAnsi="Times New Roman"/>
          <w:color w:val="000000" w:themeColor="text1"/>
          <w:sz w:val="16"/>
          <w:szCs w:val="16"/>
        </w:rPr>
        <w:softHyphen/>
        <w:t>бору машина набирает 800 метров высоты.</w:t>
      </w:r>
    </w:p>
    <w:p w14:paraId="54698FB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Ла-5 с мотором М-82 долго бежит на взлете от 10 до 11 секунд. Взлет особых трудностей не представляет. Все фигуры высшего пилотажа выполняются с повышейными нагрузками на управление. Самолет медлен</w:t>
      </w:r>
      <w:r w:rsidRPr="00722885">
        <w:rPr>
          <w:rFonts w:ascii="Times New Roman" w:hAnsi="Times New Roman"/>
          <w:color w:val="000000" w:themeColor="text1"/>
          <w:sz w:val="16"/>
          <w:szCs w:val="16"/>
        </w:rPr>
        <w:softHyphen/>
        <w:t>но набирает скорость. Вираж самолета размазанный, 23-24 секунды, к перетягиванию ручки мало чувствите</w:t>
      </w:r>
      <w:r w:rsidRPr="00722885">
        <w:rPr>
          <w:rFonts w:ascii="Times New Roman" w:hAnsi="Times New Roman"/>
          <w:color w:val="000000" w:themeColor="text1"/>
          <w:sz w:val="16"/>
          <w:szCs w:val="16"/>
        </w:rPr>
        <w:softHyphen/>
        <w:t>лен, только при большом перетягивании самолет начи</w:t>
      </w:r>
      <w:r w:rsidRPr="00722885">
        <w:rPr>
          <w:rFonts w:ascii="Times New Roman" w:hAnsi="Times New Roman"/>
          <w:color w:val="000000" w:themeColor="text1"/>
          <w:sz w:val="16"/>
          <w:szCs w:val="16"/>
        </w:rPr>
        <w:softHyphen/>
        <w:t>нает раскачиваться с крыла на крыло и сваливаться во внутрь.</w:t>
      </w:r>
    </w:p>
    <w:p w14:paraId="70BAD49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выполнении боевого разворота от земли на на</w:t>
      </w:r>
      <w:r w:rsidRPr="00722885">
        <w:rPr>
          <w:rFonts w:ascii="Times New Roman" w:hAnsi="Times New Roman"/>
          <w:color w:val="000000" w:themeColor="text1"/>
          <w:sz w:val="16"/>
          <w:szCs w:val="16"/>
        </w:rPr>
        <w:softHyphen/>
        <w:t>чальной скорости = 480 км/ч по прибору и окончании фигуры на скорости = 220 км/ч по прибору машина на</w:t>
      </w:r>
      <w:r w:rsidRPr="00722885">
        <w:rPr>
          <w:rFonts w:ascii="Times New Roman" w:hAnsi="Times New Roman"/>
          <w:color w:val="000000" w:themeColor="text1"/>
          <w:sz w:val="16"/>
          <w:szCs w:val="16"/>
        </w:rPr>
        <w:softHyphen/>
        <w:t>бирает 850 м высоты.</w:t>
      </w:r>
    </w:p>
    <w:p w14:paraId="4A7B7E4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 самолета на номинальном режи</w:t>
      </w:r>
      <w:r w:rsidRPr="00722885">
        <w:rPr>
          <w:rFonts w:ascii="Times New Roman" w:hAnsi="Times New Roman"/>
          <w:color w:val="000000" w:themeColor="text1"/>
          <w:sz w:val="16"/>
          <w:szCs w:val="16"/>
        </w:rPr>
        <w:softHyphen/>
        <w:t>ме слабая.</w:t>
      </w:r>
    </w:p>
    <w:p w14:paraId="7EA82B5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Эффективность и приемистость рулей различна. У элеронов больше, чем у руля высоты и, особенно, чем у руля поворота.</w:t>
      </w:r>
    </w:p>
    <w:p w14:paraId="1494196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Расчет на посадку усложнен плохим обзором поса</w:t>
      </w:r>
      <w:r w:rsidRPr="00722885">
        <w:rPr>
          <w:rFonts w:ascii="Times New Roman" w:hAnsi="Times New Roman"/>
          <w:color w:val="000000" w:themeColor="text1"/>
          <w:sz w:val="16"/>
          <w:szCs w:val="16"/>
        </w:rPr>
        <w:softHyphen/>
        <w:t>дочной полосы из-за чего на посадке требуется повы</w:t>
      </w:r>
      <w:r w:rsidRPr="00722885">
        <w:rPr>
          <w:rFonts w:ascii="Times New Roman" w:hAnsi="Times New Roman"/>
          <w:color w:val="000000" w:themeColor="text1"/>
          <w:sz w:val="16"/>
          <w:szCs w:val="16"/>
        </w:rPr>
        <w:softHyphen/>
        <w:t>шенное внимание.</w:t>
      </w:r>
    </w:p>
    <w:p w14:paraId="10A03CA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Машина в воздухе тяжела и незначительно отличает</w:t>
      </w:r>
      <w:r w:rsidRPr="00722885">
        <w:rPr>
          <w:rFonts w:ascii="Times New Roman" w:hAnsi="Times New Roman"/>
          <w:color w:val="000000" w:themeColor="text1"/>
          <w:sz w:val="16"/>
          <w:szCs w:val="16"/>
        </w:rPr>
        <w:softHyphen/>
        <w:t>ся в лучшую сторону от ЛаГГ-3. Ла-5 мало похож на иде</w:t>
      </w:r>
      <w:r w:rsidRPr="00722885">
        <w:rPr>
          <w:rFonts w:ascii="Times New Roman" w:hAnsi="Times New Roman"/>
          <w:color w:val="000000" w:themeColor="text1"/>
          <w:sz w:val="16"/>
          <w:szCs w:val="16"/>
        </w:rPr>
        <w:softHyphen/>
        <w:t>альный самолет.</w:t>
      </w:r>
    </w:p>
    <w:p w14:paraId="6E435BC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Сравнивая Як-1 с Ла-5, нужно отдать должное перво</w:t>
      </w:r>
      <w:r w:rsidRPr="00722885">
        <w:rPr>
          <w:rFonts w:ascii="Times New Roman" w:hAnsi="Times New Roman"/>
          <w:color w:val="000000" w:themeColor="text1"/>
          <w:sz w:val="16"/>
          <w:szCs w:val="16"/>
        </w:rPr>
        <w:softHyphen/>
        <w:t>му. Як-1 лучше Ла-5.</w:t>
      </w:r>
    </w:p>
    <w:p w14:paraId="2925F42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И-185 с мотором М-71 на взлете проще, чем Як-1 и Ла-5. Скороподъемность машины не превзойдена ни одним современным самолетом. По нагрузкам на рули машина находится между Як-1 и Ла-5. Вираж выполня</w:t>
      </w:r>
      <w:r w:rsidRPr="00722885">
        <w:rPr>
          <w:rFonts w:ascii="Times New Roman" w:hAnsi="Times New Roman"/>
          <w:color w:val="000000" w:themeColor="text1"/>
          <w:sz w:val="16"/>
          <w:szCs w:val="16"/>
        </w:rPr>
        <w:softHyphen/>
        <w:t>ется за 21-22 секунды. Большое перетягивание ручки летчика приводит к выходу самолета из виража в гори</w:t>
      </w:r>
      <w:r w:rsidRPr="00722885">
        <w:rPr>
          <w:rFonts w:ascii="Times New Roman" w:hAnsi="Times New Roman"/>
          <w:color w:val="000000" w:themeColor="text1"/>
          <w:sz w:val="16"/>
          <w:szCs w:val="16"/>
        </w:rPr>
        <w:softHyphen/>
        <w:t>зонтальный полет.</w:t>
      </w:r>
    </w:p>
    <w:p w14:paraId="30157CC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Набор высоты от земли за боевой разворот на номи</w:t>
      </w:r>
      <w:r w:rsidRPr="00722885">
        <w:rPr>
          <w:rFonts w:ascii="Times New Roman" w:hAnsi="Times New Roman"/>
          <w:color w:val="000000" w:themeColor="text1"/>
          <w:sz w:val="16"/>
          <w:szCs w:val="16"/>
        </w:rPr>
        <w:softHyphen/>
        <w:t>нальном режиме мотора при начальной скорости = 515 км/ч по прибору и скорости вывода 260 км/ч по прибо</w:t>
      </w:r>
      <w:r w:rsidRPr="00722885">
        <w:rPr>
          <w:rFonts w:ascii="Times New Roman" w:hAnsi="Times New Roman"/>
          <w:color w:val="000000" w:themeColor="text1"/>
          <w:sz w:val="16"/>
          <w:szCs w:val="16"/>
        </w:rPr>
        <w:softHyphen/>
        <w:t>ру = 1000-1200 мт. На форсаже при начальной скорости 555 км/ч по прибору и скорости вывода 260 км/ч по при</w:t>
      </w:r>
      <w:r w:rsidRPr="00722885">
        <w:rPr>
          <w:rFonts w:ascii="Times New Roman" w:hAnsi="Times New Roman"/>
          <w:color w:val="000000" w:themeColor="text1"/>
          <w:sz w:val="16"/>
          <w:szCs w:val="16"/>
        </w:rPr>
        <w:softHyphen/>
        <w:t>бору набор высоты 1500 мт.</w:t>
      </w:r>
    </w:p>
    <w:p w14:paraId="43609FA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просто и легко делает все фигуры высшего пилотажа. Летчик в полете не утомляется.</w:t>
      </w:r>
    </w:p>
    <w:p w14:paraId="6CD8CC5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Расчет на посадку прост. Посадка однотипна с само</w:t>
      </w:r>
      <w:r w:rsidRPr="00722885">
        <w:rPr>
          <w:rFonts w:ascii="Times New Roman" w:hAnsi="Times New Roman"/>
          <w:color w:val="000000" w:themeColor="text1"/>
          <w:sz w:val="16"/>
          <w:szCs w:val="16"/>
        </w:rPr>
        <w:softHyphen/>
        <w:t>летом И-16, но проще, так как в случае перебора ручки отсутствует резкое сваливание на крыло.</w:t>
      </w:r>
    </w:p>
    <w:p w14:paraId="5422F75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Пробег после посадки меньше, чем у Як-1 и Ла-5.</w:t>
      </w:r>
    </w:p>
    <w:p w14:paraId="5C76F21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Эти данные относятся к самолету весом = 3629 кг, так как машина при производстве была перетяжелена.</w:t>
      </w:r>
    </w:p>
    <w:p w14:paraId="5A32F68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серийном выпуске И-185 с М-71 с 3-мя синхрон</w:t>
      </w:r>
      <w:r w:rsidRPr="00722885">
        <w:rPr>
          <w:rFonts w:ascii="Times New Roman" w:hAnsi="Times New Roman"/>
          <w:color w:val="000000" w:themeColor="text1"/>
          <w:sz w:val="16"/>
          <w:szCs w:val="16"/>
        </w:rPr>
        <w:softHyphen/>
        <w:t>ными «ШВАК-20» его полетный вес будет не более 3420-3450 кг, т.е. = Ла-5-му.</w:t>
      </w:r>
    </w:p>
    <w:p w14:paraId="7028C1D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всех существующих истребителей И-185 имеет лучшее соотношение веса конструкции к полетному ве</w:t>
      </w:r>
      <w:r w:rsidRPr="00722885">
        <w:rPr>
          <w:rFonts w:ascii="Times New Roman" w:hAnsi="Times New Roman"/>
          <w:color w:val="000000" w:themeColor="text1"/>
          <w:sz w:val="16"/>
          <w:szCs w:val="16"/>
        </w:rPr>
        <w:softHyphen/>
        <w:t>су самолета = 30%, а в серии соотношение будет 25,8%, что в настоящий момент является лучшим достижени</w:t>
      </w:r>
      <w:r w:rsidRPr="00722885">
        <w:rPr>
          <w:rFonts w:ascii="Times New Roman" w:hAnsi="Times New Roman"/>
          <w:color w:val="000000" w:themeColor="text1"/>
          <w:sz w:val="16"/>
          <w:szCs w:val="16"/>
        </w:rPr>
        <w:softHyphen/>
        <w:t>ем самолетной техники.</w:t>
      </w:r>
    </w:p>
    <w:p w14:paraId="66A1D17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установке уже форсированного мотора М-71 мощностью на номинале 1820 л.с. и на форсаже 2200 л.с. данные И-185 будут следующие:</w:t>
      </w:r>
    </w:p>
    <w:p w14:paraId="68ED931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скорость у земли на форсаже = 595-600 км/ч,</w:t>
      </w:r>
    </w:p>
    <w:p w14:paraId="7D303FB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скорость на расчетной высоте = 682-685 км/ч,</w:t>
      </w:r>
    </w:p>
    <w:p w14:paraId="3F09BE2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время набора высоты 5000 м = 4,35 мин,</w:t>
      </w:r>
    </w:p>
    <w:p w14:paraId="73CFBFB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время замкнутого виража = 20-21 сек,</w:t>
      </w:r>
    </w:p>
    <w:p w14:paraId="03F9E2F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значительно улучшаются взлетно-посадочные свойства.</w:t>
      </w:r>
    </w:p>
    <w:p w14:paraId="2485B6C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обещаниям Главного Конструктора завода № 19 тов. Швецова, мотор М-71 будет в ближайшее вре</w:t>
      </w:r>
      <w:r w:rsidRPr="00722885">
        <w:rPr>
          <w:rFonts w:ascii="Times New Roman" w:hAnsi="Times New Roman"/>
          <w:color w:val="000000" w:themeColor="text1"/>
          <w:sz w:val="16"/>
          <w:szCs w:val="16"/>
        </w:rPr>
        <w:softHyphen/>
        <w:t>мя доведен до мощности на номинале 2000 л.с. и на фор</w:t>
      </w:r>
      <w:r w:rsidRPr="00722885">
        <w:rPr>
          <w:rFonts w:ascii="Times New Roman" w:hAnsi="Times New Roman"/>
          <w:color w:val="000000" w:themeColor="text1"/>
          <w:sz w:val="16"/>
          <w:szCs w:val="16"/>
        </w:rPr>
        <w:softHyphen/>
        <w:t>саже 2500 л.с.</w:t>
      </w:r>
    </w:p>
    <w:p w14:paraId="38C223A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установить такой мотор, то И-185 даст следую</w:t>
      </w:r>
      <w:r w:rsidRPr="00722885">
        <w:rPr>
          <w:rFonts w:ascii="Times New Roman" w:hAnsi="Times New Roman"/>
          <w:color w:val="000000" w:themeColor="text1"/>
          <w:sz w:val="16"/>
          <w:szCs w:val="16"/>
        </w:rPr>
        <w:softHyphen/>
        <w:t>щие данные:</w:t>
      </w:r>
    </w:p>
    <w:p w14:paraId="0ADF517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скорость у земли = 625 км/ч,</w:t>
      </w:r>
    </w:p>
    <w:p w14:paraId="3445A6E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скорость на расчетной высоте = 700-710 км/ч,</w:t>
      </w:r>
    </w:p>
    <w:p w14:paraId="6F21209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время набора высоты 5000 м не больше 4 мин,</w:t>
      </w:r>
    </w:p>
    <w:p w14:paraId="64EB586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набор высоты за боевой разворот = 1900-2000 мт.</w:t>
      </w:r>
    </w:p>
    <w:p w14:paraId="33AB5FD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Некоторое облагораживание винтомоторной груп</w:t>
      </w:r>
      <w:r w:rsidRPr="00722885">
        <w:rPr>
          <w:rFonts w:ascii="Times New Roman" w:hAnsi="Times New Roman"/>
          <w:color w:val="000000" w:themeColor="text1"/>
          <w:sz w:val="16"/>
          <w:szCs w:val="16"/>
        </w:rPr>
        <w:softHyphen/>
        <w:t>пы и аэродинамики самолета значительно повысят при</w:t>
      </w:r>
      <w:r w:rsidRPr="00722885">
        <w:rPr>
          <w:rFonts w:ascii="Times New Roman" w:hAnsi="Times New Roman"/>
          <w:color w:val="000000" w:themeColor="text1"/>
          <w:sz w:val="16"/>
          <w:szCs w:val="16"/>
        </w:rPr>
        <w:softHyphen/>
        <w:t>веденные мной данные.</w:t>
      </w:r>
    </w:p>
    <w:p w14:paraId="50881DE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Выпущенные мной летчики строевых частей ВВС КА зачастую имели практику только на самолетах И-16 и тем не менее прекрасно справлялись с машиной и дают о ней самые похвальные отзывы.</w:t>
      </w:r>
    </w:p>
    <w:p w14:paraId="10EF471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Летчики, летавшие на Як и ЛаГГ, отзываются о И-185 как о лучшем представителе семейства истребителей.</w:t>
      </w:r>
    </w:p>
    <w:p w14:paraId="4686E4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Мое личное мнение: самолет И-185 с мотором М-71 конструкции Н.Н.Поликарпова по своим данным явля</w:t>
      </w:r>
      <w:r w:rsidRPr="00722885">
        <w:rPr>
          <w:rFonts w:ascii="Times New Roman" w:hAnsi="Times New Roman"/>
          <w:color w:val="000000" w:themeColor="text1"/>
          <w:sz w:val="16"/>
          <w:szCs w:val="16"/>
        </w:rPr>
        <w:softHyphen/>
        <w:t>ется лучшим современным истребителем» (10667).</w:t>
      </w:r>
    </w:p>
    <w:p w14:paraId="3FFD622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6AA78EE" w14:textId="77777777" w:rsidR="006E2EE2" w:rsidRPr="00722885" w:rsidRDefault="006E2EE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12 ноября 1942 г. заводской летчик Логинов выполнил на И-185 М-71 "Эталон №2" первый полет. В И-185 М-71 "Эталон №2" учли замечания, которые успели выявить на испытаниях "Эталона №1", но в целом эти самолеты были почти идентичны, за исключением проведения обширных мероприятий, направленных на исправление перетяжеления планера, допущенного на первой машине, пустая масса которой получилась на 284 кг больше, чем у самолета №6204 и на 659 кг чем у машины №6202 с мотором М-71. Прибавка веса от перехода на вооружение из трех ШВАКов была чуть более 100 кг, порядка 20 кг давали увеличенные баки (вес собственно системы - полеты с полной заправкой пока не производились) и еще примерно на 130 кг увеличился вес мотора М-71 выпуска конца 1942 г. Остальное пришлось на несовершенство конструкции и плохое качество изготовления.</w:t>
      </w:r>
    </w:p>
    <w:p w14:paraId="04EE46B7" w14:textId="77777777" w:rsidR="006E2EE2" w:rsidRPr="00722885" w:rsidRDefault="006E2EE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Когда войсковые испытания И-185 успешно завершились, закономерно вновь встал вопрос о запуске машины в серийное производство. На тот момент это был самый скоростной и самый скороподъемный отечественный истребитель и его вертикальная маневренность в значительной степени компенсировала проигрыш в маневренности горизонтальной. И это - при самом мощном вооружении.</w:t>
      </w:r>
    </w:p>
    <w:p w14:paraId="441B7E85" w14:textId="77777777" w:rsidR="006E2EE2" w:rsidRPr="00722885" w:rsidRDefault="006E2EE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Поликарпов доложил в Наркомат, что "Эталон №2" удалось облегчить на 421 кг по массе пустого самолета, однако эта цифра вызывает определенные сомнения, т.к. нормальный взлетный вес уменьшился лишь на 106 кг. Также бросается в глаза разница между нормальной и максимальной взлетными массами - всего 21 кг. На первом она была 90 кг - это будет как раз полная заправка. Данных по массе "Эталона №2" с бомбами нет (17737).</w:t>
      </w:r>
    </w:p>
    <w:p w14:paraId="6DD19C50" w14:textId="77777777" w:rsidR="006E2EE2" w:rsidRPr="00722885" w:rsidRDefault="006E2EE2" w:rsidP="00722885">
      <w:pPr>
        <w:pStyle w:val="12a"/>
        <w:shd w:val="clear" w:color="auto" w:fill="auto"/>
        <w:spacing w:after="0" w:line="240" w:lineRule="auto"/>
        <w:jc w:val="both"/>
        <w:rPr>
          <w:color w:val="000000" w:themeColor="text1"/>
          <w:sz w:val="16"/>
          <w:szCs w:val="16"/>
        </w:rPr>
      </w:pPr>
    </w:p>
    <w:p w14:paraId="1D66ADC3"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(или декабря) 1942 г. начальник Главного управления вооружений гвардейских минометных частей Ставки Верховного Главнокомандования инженер-полковник Н.Н. Кузнецов утвердил официальное заключение на предложение инженера М.Л. Миля «Противо</w:t>
      </w:r>
      <w:hyperlink r:id="rId166"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овое ружье, стреляющее реактивными снарядами РС-82», направленное ранее в отдел военных изобретений Государственного Комитета Обороны СССР. Заключение гласило:</w:t>
      </w:r>
    </w:p>
    <w:p w14:paraId="0724DFB2"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«Идея предложения об использовании реактивных снарядов РС-82 для стрельбы по </w:t>
      </w:r>
      <w:hyperlink r:id="rId167"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ам и ДЗОТам не нова. Подобные предложения делались и ранее. Некоторые из них осуществлены, но не нашли применения в виду их явной неэффективности.</w:t>
      </w:r>
    </w:p>
    <w:p w14:paraId="2CA65894"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Дело в том, что снаряды РС-82 обладают таким большим рассеиванием, что прицельная стрельба ими по </w:t>
      </w:r>
      <w:hyperlink r:id="rId168"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ам илиДОТам явно нецелесообразна. При дальности в 200 м у снарядов РС-82 рассеивание по боковому направлению — Зм, а по высоте - еще больше. Принимая рассеивание по высоте 4 м, получаем, что цель размером 3 м по фронту и 2м в высоту равна 3,4% (имелась в виду вероятность поражения цели заданных габаритов. — PC). Это значит, что в среднем, из 100 выстрелов только не более 4 попадут в цель.</w:t>
      </w:r>
    </w:p>
    <w:p w14:paraId="04A0DFFD"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силу изложенного, разработка предложения тов. Миль представляется нецелесообразной».</w:t>
      </w:r>
    </w:p>
    <w:p w14:paraId="2ABDA58F"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Письмо также подписали начальник 2 отдела ГУВГМЧ СВГК инженер-подполковник А.И. Семенов и старший помощник начальника 2 отдела ГУВГМЧ СВГК инженер-майор Я. Б. Шор - признанные в послевоенный период корифеи отечественной школы полевой реактивной артиллерии (15595).</w:t>
      </w:r>
    </w:p>
    <w:p w14:paraId="48851EB7"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35F81C10"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12 ноября 1942 г. начальник Главного управления вооружений гвардейских минометных частей Ставки Верховного Главнокомандования инженер-полковник Н.Н. Кузнецов утвердил официальное заключение на предложение инженера М.Л. Миля «Противо</w:t>
      </w:r>
      <w:hyperlink r:id="rId169"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овое ружье, стреляющее реактивными снарядами РС-82», направленное ранее в отдел военных изобретений Государственного Комитета Обороны СССР. Заключение гласило:</w:t>
      </w:r>
    </w:p>
    <w:p w14:paraId="0A595387"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«Идея предложения об использовании реактивных снарядов РС-82 для стрельбы по </w:t>
      </w:r>
      <w:hyperlink r:id="rId170"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ам иДЗОТам не нова. Подобные предложения делались и ранее. Некоторые из них осуществлены, но не нашли применения в виду их явной неэффективности.</w:t>
      </w:r>
    </w:p>
    <w:p w14:paraId="1FE620FC"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Дело в том, что снаряды РС-82 обладают таким большим рассеиванием, что прицельная стрельба ими по </w:t>
      </w:r>
      <w:hyperlink r:id="rId171"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ам илиДОТам явно нецелесообразна. При дальности в 200 м у снарядов РС-82 рассеивание по боковому направлению — Зм, а по высоте — еще больше. Принимая рассеивание по высоте 4 м, получаем, что цель размером 3 м по фронту и 2м в высоту равна 3,4% (имелась в виду вероятность поражения цели заданных габаритов. — PC). Это значит, что в среднем, из 100 выстрелов только не более 4 попадут в цель.</w:t>
      </w:r>
    </w:p>
    <w:p w14:paraId="5A8C2D33"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В силу изложенного, разработка предложения тов. Миль представляется нецелесообразной». </w:t>
      </w:r>
    </w:p>
    <w:p w14:paraId="4EAEEC92"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Письмо также подписали начальник 2 отдела ГУВГМЧ СВГК инженер-подполковник А.И. Семенов и старший помощник начальника 2 отдела ГУВГМЧ СВГК инженер-майор Я. Б. Шор — признанные в послевоенный период корифеи отечественной школы полевой реактивной артиллерии.</w:t>
      </w:r>
    </w:p>
    <w:p w14:paraId="27B67E39"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За два дня фельдъегерская почта не смогла доставить это послание из Москвы в Свердловскую область, и 14 декабря 1942 г. испытания трех вариантов СРГ в Билимбае начались без одобрения военных. Для этого на заводе была создана комиссия в составе председателя стрелка-испытателя А.В. Новикова (начальника производства завода №290 НКАП) и членов: представителя НИИ ВВС КА старшего техника лейтенанта Ф. П. Наумова и ведущего инженера по заказу №1 13 Г.И. Коротких. На испытаниях также присутствовали: директор завода №290 Н.И. Камов, старший инженер 7-го ГУ НКАП М.М. Итина, заместитель главного конструктора завода МЛ. Миль, техник-вооруженецС.В. Пасхин, 2-й стрелок (запасной) В.И. Хорев.</w:t>
      </w:r>
    </w:p>
    <w:p w14:paraId="1F151ABD"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На сравнительные огневые испытания было представлено два СРГ конструкции Миля-Пасхи на и одна альтернативная разработка Н.И. Камова и Г.И. Коротких. Из них в общей сложности по деревянному щиту отстреляли 25 боевых реактивных снарядов РОС-82 модели 3-00863 выпуска 1942 г. без взрывателей.</w:t>
      </w:r>
    </w:p>
    <w:p w14:paraId="07AF89D3"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В заключении по испытаниям всех образцов говорилось:</w:t>
      </w:r>
    </w:p>
    <w:p w14:paraId="744709DD"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«Комиссия считает доказанным возможность и целесообразность применения такого рода оружия. Комиссия считает возможным предъявить указанные образцы на государственные испытания после устранения отмеченных дефектов».</w:t>
      </w:r>
    </w:p>
    <w:p w14:paraId="6452558D"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18 декабря испытания завершились, и тут изобретатели получили отзыв потенциальных заказчиков на свои изобретения…(18989)</w:t>
      </w:r>
    </w:p>
    <w:p w14:paraId="45A8DC36" w14:textId="77777777" w:rsidR="008D2293" w:rsidRPr="00722885" w:rsidRDefault="008D2293" w:rsidP="00722885">
      <w:pPr>
        <w:pStyle w:val="ae"/>
        <w:spacing w:before="0" w:after="0"/>
        <w:jc w:val="both"/>
        <w:textAlignment w:val="baseline"/>
        <w:rPr>
          <w:color w:val="000000" w:themeColor="text1"/>
          <w:sz w:val="16"/>
          <w:szCs w:val="16"/>
        </w:rPr>
      </w:pPr>
    </w:p>
    <w:p w14:paraId="7A14E33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E5DF939" w14:textId="77777777" w:rsidR="00090C9B" w:rsidRPr="00722885" w:rsidRDefault="00090C9B" w:rsidP="00722885">
      <w:pPr>
        <w:pStyle w:val="Iauiue"/>
        <w:jc w:val="both"/>
        <w:rPr>
          <w:iCs/>
          <w:color w:val="000000" w:themeColor="text1"/>
          <w:sz w:val="16"/>
          <w:szCs w:val="16"/>
        </w:rPr>
      </w:pPr>
    </w:p>
    <w:p w14:paraId="462EA86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 12 по 18 ноября 1942 г. танк Т-90 прошел предварительные испытания и с 5 по 12 декабря выдержал срав</w:t>
      </w:r>
      <w:r w:rsidRPr="00722885">
        <w:rPr>
          <w:rFonts w:ascii="Times New Roman" w:hAnsi="Times New Roman"/>
          <w:color w:val="000000" w:themeColor="text1"/>
          <w:sz w:val="16"/>
          <w:szCs w:val="16"/>
        </w:rPr>
        <w:softHyphen/>
        <w:t>нительные полигонные испытания с танком Т-70-3, продемонстриро</w:t>
      </w:r>
      <w:r w:rsidRPr="00722885">
        <w:rPr>
          <w:rFonts w:ascii="Times New Roman" w:hAnsi="Times New Roman"/>
          <w:color w:val="000000" w:themeColor="text1"/>
          <w:sz w:val="16"/>
          <w:szCs w:val="16"/>
        </w:rPr>
        <w:softHyphen/>
        <w:t>вав возможность ведения огня как по наземным, так и по воздушным целям. По результатам испытаний после устранения выявленных недо</w:t>
      </w:r>
      <w:r w:rsidRPr="00722885">
        <w:rPr>
          <w:rFonts w:ascii="Times New Roman" w:hAnsi="Times New Roman"/>
          <w:color w:val="000000" w:themeColor="text1"/>
          <w:sz w:val="16"/>
          <w:szCs w:val="16"/>
        </w:rPr>
        <w:softHyphen/>
        <w:t>статков машина была рекомендована для принятия на вооружение РККА, но в связи с прекращением выпуска легких танков Т-70М и Т-80 (при проектировании был предусмотрен вариант использования и это</w:t>
      </w:r>
      <w:r w:rsidRPr="00722885">
        <w:rPr>
          <w:rFonts w:ascii="Times New Roman" w:hAnsi="Times New Roman"/>
          <w:color w:val="000000" w:themeColor="text1"/>
          <w:sz w:val="16"/>
          <w:szCs w:val="16"/>
        </w:rPr>
        <w:softHyphen/>
        <w:t>го шасси) и изменения ТТТ к такого рода машинам, дальнейшие рабо</w:t>
      </w:r>
      <w:r w:rsidRPr="00722885">
        <w:rPr>
          <w:rFonts w:ascii="Times New Roman" w:hAnsi="Times New Roman"/>
          <w:color w:val="000000" w:themeColor="text1"/>
          <w:sz w:val="16"/>
          <w:szCs w:val="16"/>
        </w:rPr>
        <w:softHyphen/>
        <w:t>ты по танку Т-90 были прекращены. Опытный образец танка Т-90 был изготовлен на базе серийного тан</w:t>
      </w:r>
      <w:r w:rsidRPr="00722885">
        <w:rPr>
          <w:rFonts w:ascii="Times New Roman" w:hAnsi="Times New Roman"/>
          <w:color w:val="000000" w:themeColor="text1"/>
          <w:sz w:val="16"/>
          <w:szCs w:val="16"/>
        </w:rPr>
        <w:softHyphen/>
        <w:t>ка Т-70 (первого выпуска) и отличался от него установкой вооружения и измененной конструкцией башни. Схема общей компоновки машины принципиально была такой же, как у танка Т-70. Экипаж машины со</w:t>
      </w:r>
      <w:r w:rsidRPr="00722885">
        <w:rPr>
          <w:rFonts w:ascii="Times New Roman" w:hAnsi="Times New Roman"/>
          <w:color w:val="000000" w:themeColor="text1"/>
          <w:sz w:val="16"/>
          <w:szCs w:val="16"/>
        </w:rPr>
        <w:softHyphen/>
        <w:t>стоял из двух человек. Механик-водитель размещался в отделении уп</w:t>
      </w:r>
      <w:r w:rsidRPr="00722885">
        <w:rPr>
          <w:rFonts w:ascii="Times New Roman" w:hAnsi="Times New Roman"/>
          <w:color w:val="000000" w:themeColor="text1"/>
          <w:sz w:val="16"/>
          <w:szCs w:val="16"/>
        </w:rPr>
        <w:softHyphen/>
        <w:t>равления у левого борта. Во вращающейся открытой сверху башне, сме</w:t>
      </w:r>
      <w:r w:rsidRPr="00722885">
        <w:rPr>
          <w:rFonts w:ascii="Times New Roman" w:hAnsi="Times New Roman"/>
          <w:color w:val="000000" w:themeColor="text1"/>
          <w:sz w:val="16"/>
          <w:szCs w:val="16"/>
        </w:rPr>
        <w:softHyphen/>
        <w:t>щенной к левому борту от продольной оси корпуса, располагался ко</w:t>
      </w:r>
      <w:r w:rsidRPr="00722885">
        <w:rPr>
          <w:rFonts w:ascii="Times New Roman" w:hAnsi="Times New Roman"/>
          <w:color w:val="000000" w:themeColor="text1"/>
          <w:sz w:val="16"/>
          <w:szCs w:val="16"/>
        </w:rPr>
        <w:softHyphen/>
        <w:t>мандир танка. Посадка и выход экипажа производились или через люк в отделении управления, располагавшийся в верхнем лобовом листе корпуса и закрывавшийся броневой крышкой, или через борта башни. В днище корпуса размещался аварийный (запасный) люк. Наблюдение за полем боя осуществлялось: механиком-водителем через смотровой пе</w:t>
      </w:r>
      <w:r w:rsidRPr="00722885">
        <w:rPr>
          <w:rFonts w:ascii="Times New Roman" w:hAnsi="Times New Roman"/>
          <w:color w:val="000000" w:themeColor="text1"/>
          <w:sz w:val="16"/>
          <w:szCs w:val="16"/>
        </w:rPr>
        <w:softHyphen/>
        <w:t>рископический прибор, установленный в крышке люка, командиром -поверх бортов башни или телескопический прицел (10703).</w:t>
      </w:r>
    </w:p>
    <w:p w14:paraId="06FEF65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E3E5F84" w14:textId="77777777" w:rsidR="00E55FE3" w:rsidRPr="00722885" w:rsidRDefault="00E55FE3"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12 по 18 ноября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xml:space="preserve">. прошли предварительные испытания Т-90. С 5 по 12 декабря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танк Т-90 выдержал сравнительные полигонные испытания с танком Т-60-3, продемонстрировав возможность ведения огня как по наземным, так и по воздушным целям. По результатам испытаний после устранения выявленных недостатков машина была рекомендована для принятия на вооружение РККА, но, в связи с прекращением выпуска легких танков Т-70 и Т-80 (при проектировании был предусмотрен вариант использования и этого шасси) и изменения ТТТ к такого рода машинам, дальнейшие работы по танку Т-90 были прекращены. По мнению М.Н. Свирина, интерес ГАБТУ к Т-60-3, Т-70 (З) и Т-90 упал в связи с началом поставок пулеметных зенитных самоходных установок (ЗСУ) М-16 по ленд-лизу (15218).</w:t>
      </w:r>
    </w:p>
    <w:p w14:paraId="39E35652" w14:textId="77777777" w:rsidR="00E55FE3" w:rsidRPr="00722885" w:rsidRDefault="00E55FE3" w:rsidP="00722885">
      <w:pPr>
        <w:widowControl w:val="0"/>
        <w:spacing w:after="0" w:line="240" w:lineRule="auto"/>
        <w:jc w:val="both"/>
        <w:rPr>
          <w:rFonts w:ascii="Times New Roman" w:hAnsi="Times New Roman"/>
          <w:color w:val="000000" w:themeColor="text1"/>
          <w:sz w:val="16"/>
          <w:szCs w:val="16"/>
        </w:rPr>
      </w:pPr>
    </w:p>
    <w:p w14:paraId="61735BE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12 ноября 1942 вышло Постановление ГКО № 2503 [О назначении Трудова Т.Ф. уполномоченным по заготовке и вывозке деловой древесины и дров по Новосибирской обл.] (7063, 2).</w:t>
      </w:r>
    </w:p>
    <w:p w14:paraId="219AB8FE" w14:textId="77777777" w:rsidR="00090C9B" w:rsidRPr="00722885" w:rsidRDefault="00090C9B" w:rsidP="00722885">
      <w:pPr>
        <w:pStyle w:val="Iauiue"/>
        <w:tabs>
          <w:tab w:val="left" w:pos="11199"/>
        </w:tabs>
        <w:jc w:val="both"/>
        <w:rPr>
          <w:color w:val="000000" w:themeColor="text1"/>
          <w:sz w:val="16"/>
          <w:szCs w:val="16"/>
        </w:rPr>
      </w:pPr>
    </w:p>
    <w:p w14:paraId="47B7A19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12 ноября 1942 вышло Постановление ГКО № 2505 [О передаче со складов НКО гражданского старого обмундирования в Распоряжение ГКО НКВД.] (7063, 5).</w:t>
      </w:r>
    </w:p>
    <w:p w14:paraId="6ABF1C55" w14:textId="77777777" w:rsidR="00090C9B" w:rsidRPr="00722885" w:rsidRDefault="00090C9B" w:rsidP="00722885">
      <w:pPr>
        <w:pStyle w:val="Iauiue"/>
        <w:tabs>
          <w:tab w:val="left" w:pos="11199"/>
        </w:tabs>
        <w:jc w:val="both"/>
        <w:rPr>
          <w:color w:val="000000" w:themeColor="text1"/>
          <w:sz w:val="16"/>
          <w:szCs w:val="16"/>
        </w:rPr>
      </w:pPr>
    </w:p>
    <w:p w14:paraId="40AEDA19"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12 ноября 1942 вышло Постановление ГКО № 2506 Об обеспечении работы паровозного хозяйства в зиму 1942-43 гг. (7063, 6-12).</w:t>
      </w:r>
    </w:p>
    <w:p w14:paraId="0EF1B62B" w14:textId="77777777" w:rsidR="00090C9B" w:rsidRPr="00722885" w:rsidRDefault="00090C9B" w:rsidP="00722885">
      <w:pPr>
        <w:pStyle w:val="Iauiue"/>
        <w:tabs>
          <w:tab w:val="left" w:pos="11199"/>
        </w:tabs>
        <w:jc w:val="both"/>
        <w:rPr>
          <w:color w:val="000000" w:themeColor="text1"/>
          <w:sz w:val="16"/>
          <w:szCs w:val="16"/>
        </w:rPr>
      </w:pPr>
    </w:p>
    <w:p w14:paraId="69E655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вышло Постановление ГКО № 2509 О пуске Барнаульского завода танковых дизелей. РГАНИР, Фонд ГКО, д. 69, лл. 16-20, 21-37 (11012).</w:t>
      </w:r>
    </w:p>
    <w:p w14:paraId="4460887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65FCA0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3D6E428" w14:textId="77777777" w:rsidR="00090C9B" w:rsidRPr="00722885" w:rsidRDefault="00090C9B" w:rsidP="00722885">
      <w:pPr>
        <w:pStyle w:val="Iauiue"/>
        <w:jc w:val="both"/>
        <w:rPr>
          <w:iCs/>
          <w:color w:val="000000" w:themeColor="text1"/>
          <w:sz w:val="16"/>
          <w:szCs w:val="16"/>
        </w:rPr>
      </w:pPr>
    </w:p>
    <w:p w14:paraId="45FBBC68"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12 ноября </w:t>
      </w:r>
      <w:r w:rsidRPr="00722885">
        <w:rPr>
          <w:rFonts w:ascii="Times New Roman" w:hAnsi="Times New Roman"/>
          <w:color w:val="000000" w:themeColor="text1"/>
          <w:sz w:val="16"/>
          <w:szCs w:val="16"/>
        </w:rPr>
        <w:t>в 1942 году утреннее сообщение Совинформбюро:</w:t>
      </w:r>
    </w:p>
    <w:p w14:paraId="6577AE82"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12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3B6E8B11"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отражали атаки противника. В заводской части города отбиты атаки противника, пытавшегося вклиниться в нашу оборону. Артиллеристы и миномётчики Н-ской части рассеяли и частью уничтожили до двух рот немецкой пехоты. Группа бойцов во главе с младшим лейтенантом Горностаевым блокировала отдельные дома, занятые противником. Забросав гитлеровцев гранатами, наши бойцы истребили 130 немецких солдат и офицеров.</w:t>
      </w:r>
    </w:p>
    <w:p w14:paraId="1AD9DCDA"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два батальона пехоты противника атаковали наши позиции в одном населенном пункте. Огнём нашей артиллерии и пехоты атака гитлеровцев отбита с большими для них потерями. В результате боя уничтожено до 400 солдат и офицеров противника. Нашими бойцами захвачены 8 пулемётов, миномёт и 72 винтовки. На другом участке бойцы Н-ской части ворвались в окопы румын и уничтожили 80 солдат и офицеров. Захвачено орудие, 3 пулемёта и 2 миномёта.</w:t>
      </w:r>
    </w:p>
    <w:p w14:paraId="32FA4A39"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два батальона немецкой пехоты при поддержке танков пытались с фланга опрокинуть нашу часть, защищающую подступы к пункту, имеющему важное значение. Советские подразделения отбили атаку немцев. На поле боя осталось до 200 вражеских трупов и 3 подбитых танка.</w:t>
      </w:r>
    </w:p>
    <w:p w14:paraId="46FE3AEF"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огнём наших частей уничтожено 440 немецких солдат и офицеров, 3 орудия, разбито 7 дзотов и 30 блиндажей. Снайперы Н-ского соединения в течение месяца уничтожили 1.947 немцев. Снайпер т. Дроздов истребил 155, снайпер т. Афанасьев — 119 и снайпер т. Везбердев — 106 гитлеровцев.</w:t>
      </w:r>
    </w:p>
    <w:p w14:paraId="2227AE94"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происходила редкая артиллерийская и ружейно-пулемётная перестрелка. Группа наших бойцов под командованием старшего лейтенанта т. Коваленко незаметно пробралась к переднему краю обороны противника и окружила 3 вражеских дзота. Разведчики взорвали дзоты, истребили до 20 немцев и без потерь вернулись в свою часть. Лётчики-штурмовики под руководством т. Савченко нанесли удар по вражеской автоколонне. Уничтожено 15 автомашин с грузами и живой силой.</w:t>
      </w:r>
    </w:p>
    <w:p w14:paraId="67612FBE"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полесских партизан окружил населённый пункт и уничтожил находившийся в нём немецкий гарнизон.</w:t>
      </w:r>
    </w:p>
    <w:p w14:paraId="16716CE9"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Минской области, за десять дней уничтожил 107 немецких автомашин с различными грузами и пустил под откос два железнодорожных эшелона противника. В результате крушений уничтожено 2 паровоза и 25 вагонов с боеприпасами и военной техникой.</w:t>
      </w:r>
    </w:p>
    <w:p w14:paraId="186BD4CE"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перешли в наступление на город Бихач. После ночного боя партизаны прорвали укрепления и вступили в город. Партизаны захватили в городе более 500 вагонов кукурузы и пшеницы, предназначенной для вывоза в Германию. Патриоты раздают это продовольствие населению районов, особенно пострадавших от зверств и грабежей немецко-итальянских оккупантов.» (14828).</w:t>
      </w:r>
    </w:p>
    <w:p w14:paraId="7BCF921D"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652553FA"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12 ноября </w:t>
      </w:r>
      <w:r w:rsidRPr="00722885">
        <w:rPr>
          <w:rFonts w:ascii="Times New Roman" w:hAnsi="Times New Roman"/>
          <w:color w:val="000000" w:themeColor="text1"/>
          <w:sz w:val="16"/>
          <w:szCs w:val="16"/>
        </w:rPr>
        <w:t>в 1942 году вечернее сообщение Совинформбюро:</w:t>
      </w:r>
    </w:p>
    <w:p w14:paraId="641377F5"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12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59EDDF8C"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11 ноября нашей авиацией на различных участках фронта подавлен огонь 5 артиллерийских батарей, 10 зенитно-пулемётных точек, 15 миномётов и разбито 2 железнодорожных состава противника.</w:t>
      </w:r>
    </w:p>
    <w:p w14:paraId="15A5ED21"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противник, подтянув резервы и перегруппировав потрёпанные в боях части, вновь перешёл в наступление на всех участках обороны города. Защитники города отбили многочисленные атаки гитлеровцев. Лишь на одном участке ценой огромных потерь немцам удалось вклиниться в нашу оборону на 100—200 метров. На северном участке наши части перешли в контратаку и отбросили врага на 400 метров. Только на этом участке в ходе боя уничтожено до 200 немецких солдат и офицеров, 4 танка, 14 орудий, 16 миномётов и взорвано 2 склада с боеприпасами.</w:t>
      </w:r>
    </w:p>
    <w:p w14:paraId="1986DAB7"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подразделения под командованием тов. Меркулова продолжали вести бои в населённом пункте и выбили немцев из многих домов. Противник предпринял несколько безуспешных контратак. За два дня в боях за этот населённый пункт уничтожено свыше батальона румынской пехоты. Нашими бойцами захвачено 11 станковых и ручных пулемётов, много винтовок и боеприпасов. На другом участке рота противника пыталась боем разведать наши позиции. Пулемётно-миномётным огнём враг был отброшен.</w:t>
      </w:r>
    </w:p>
    <w:p w14:paraId="65815C25"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вели активные боевые действия и, сломив сопротивление противника, выбили его из двух населённых пунктов. В течение дня в боях на этом участке уничтожено 170 автомашин и несколько артиллерийских и миномётных батарей противника. По предварительным данным, немцы оставили на поле боя свыше 400 трупов. Захвачены 2 исправных немецких танка, тягач, шестиствольный миномёт, 2 орудия, 108 ящиков со снарядами, 10.000 патронов, два склада боеприпасов и склад продовольствия.</w:t>
      </w:r>
    </w:p>
    <w:p w14:paraId="2EB8E417"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отбивали атаки небольших групп противника. Разведывательными отрядами уничтожено 130 немецких солдат и офицеров. В воздушных боях сбито 2 немецких истребителя.</w:t>
      </w:r>
    </w:p>
    <w:p w14:paraId="0613085F"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Карельском фронте группа разведчиков под командованием тов. Абдуталилова зашла в тыл противнику и нанесла ему внезапный удар. Наши бойцы истребили до 30 гитлеровцев и без потерь вернулись в свою часть.</w:t>
      </w:r>
    </w:p>
    <w:p w14:paraId="2334D8F7"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смоленских партизан за последнее время пустил под откос два железнодорожных эшелона противника, следовавших к линии фронта. B результате крушений уничтожено 2 паровоза, 40 вагонов и убито 220 немецких солдат.</w:t>
      </w:r>
    </w:p>
    <w:p w14:paraId="3D7434E7"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немецкого солдата Норберта Моравица найдено неотправленное письмо к некоему Иоганну Кулавику. В письме он писал: «Нас окружают партизаны, и не проходит ни одного дня без жертв. Днём еще терпимо, а ночью очень мучительно. На прошлой неделе партизаны напали на наш пункт. После боя с ними мы похоронили 20 солдат. Русские навязали нам вторую войну — в тылу. Здесь, пожалуй, даже опаснее, чем на фронте, так как не знаешь, когда, где и с какой стороны противник на тебя нападёт. Каждую ночь мы ждём нападения. От этого можно с ума сойти».</w:t>
      </w:r>
    </w:p>
    <w:p w14:paraId="2E1E4C19"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учинили кровавую расправу над колхозниками артели «Красная звезда», Курской области. Гитлеровские палачи повесили 7 стариков и 41 женщину. B Дмитровском районе, Курской области, немцы сожгли дотла шесть деревень, а всех жителей угнали на принудительные работы.</w:t>
      </w:r>
    </w:p>
    <w:p w14:paraId="5B5A2E2D"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Берлинское радио распространяет следующее сообщение: «Германия значительно улучшила своё экономическое положение, главным образом за счёт Кавказа. Мы получаем теперь 30 процентов потребной нефти с Кавказа». Слушая это бахвальство немцев, нельзя не вспомнить мудрую русскую пословицу: «Голодной курице </w:t>
      </w:r>
      <w:r w:rsidRPr="00722885">
        <w:rPr>
          <w:rFonts w:ascii="Times New Roman" w:hAnsi="Times New Roman"/>
          <w:color w:val="000000" w:themeColor="text1"/>
          <w:sz w:val="16"/>
          <w:szCs w:val="16"/>
        </w:rPr>
        <w:lastRenderedPageBreak/>
        <w:t>просо снится». Гитлеровцы испытывают острый недостаток горючего. Наяву и во сне им мерещится кавказская нефть. Ценою огромных потерь немцам удалось захватить майкопские нефтепромыслы. Однако нефти они там не получили и не получат. Оборудование промыслов и все запасы нефти были своевременно вывезены, а сами нефтепромыслы приведены в полную негодность. Немцы пытались было восстановить некоторые нефтепромыслы, но из этого ничего не вышло. Гитлеровцам не удалось поживиться советской нефтью.» (14828).</w:t>
      </w:r>
    </w:p>
    <w:p w14:paraId="2DAA5F0C"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7C0D1C02"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12 ноября </w:t>
      </w:r>
      <w:r w:rsidRPr="00722885">
        <w:rPr>
          <w:rFonts w:ascii="Times New Roman" w:hAnsi="Times New Roman"/>
          <w:color w:val="000000" w:themeColor="text1"/>
          <w:sz w:val="16"/>
          <w:szCs w:val="16"/>
        </w:rPr>
        <w:t>в 1942 году завершилась Нальчикско-Орджоникидзевская операция, в результате которой войска Северной группы Закавказского фронта разгромили ударную гизельскую группировку 1-й немецкой танковой армии противника и отбросили ее остатки за реку Фиагдон. Советские войска сорвали последнюю попытку противника прорваться к Грозненскому и Бакинскому нефтяным районам и в Закавказье. Фашисты были отброшены на 40—50 км. Это не позволило противнику перебросить силы под Сталинград, где 19 ноября 1942 г. началось контрнаступление советских войск (14828).</w:t>
      </w:r>
    </w:p>
    <w:p w14:paraId="1DF871F7"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5F38C04F"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12 ноября </w:t>
      </w:r>
      <w:r w:rsidRPr="00722885">
        <w:rPr>
          <w:rFonts w:ascii="Times New Roman" w:hAnsi="Times New Roman"/>
          <w:color w:val="000000" w:themeColor="text1"/>
          <w:sz w:val="16"/>
          <w:szCs w:val="16"/>
        </w:rPr>
        <w:t>в 1942 году во время Великой Отечественной войны входе битвы за Кавказ в районе г. Орджоникидзе в ожесточенных боях советские войска разгромили ударную группировку 1-й немецкой танковой армии, которой командовал генерал-полковник Э.Клейст. Фашисты были отброшены на 40-50 км к северу. Это не позволило противнику перебросить силы под Сталинград, где 19 ноября 1942 г. началось контрнаступление советских войск (14828).</w:t>
      </w:r>
    </w:p>
    <w:p w14:paraId="1F367DA7"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087F39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г. первая группа из 14 французских летчиков, 46 технических специалистов и офицеров штаба отправилась в СССР из Ливана через Сирию, Иран и Ирак. На переговорах начальника штаба ВВС КА генерал-лейтенанта Ф.Я. Фалалеева с главой Французской военной миссии в СССР генералом Э. Пети была достигнута договоренность о предоставлении в распоряжение французских летчиков истребителей Як-1. Выбор определился тем, что он был в то время одним из лучших советских истребителей, и был более подготовлен к зимним условиям, чем иностранные машины. Но, самое важное, что по многим показателям он был схож с французским истребителем Dewoitine D.520, на котором приходилось летать до этого летчикам эскадрильи.</w:t>
      </w:r>
    </w:p>
    <w:p w14:paraId="13C12E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Предварительная подготовка летного состава с целью восстановления утраченных навыков происходила под командованием майора Пуликена с 1 по 18 декабря на самолетах У-2 и УТ-2. Далее до 25 января 1943 г. шло переучивание на Як-7В. После получения 19 января первых 10 Як-1 начались тренировки в учебных воздушных боях, продолжавшиеся до 14 марта.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751211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5140EE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431B398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067B407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166080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г. на Сталинградском фронте появился первый именной Як-1. Это был самолет командира 291-го иап Героя Советского Союза майора В.И. Шишкина. На бортах фюзеляжа эта машина несла надпись: "Сталинскому соколу майору Шишкину от колхозников колхоза "Сигнал революции" Ворошиловского района Саратовской области", которая говорила сама за себя. Идея сделать подарок защитникам Сталинградского фронта к 25-й годовщине Октябрьской революции возникла у колхозников после посещения завода, на который они привезли продукты. Первыми, кто предложил собрать и сдал деньги на постройку самолета, были отец пятерых солдат С.Г. Кожевников (сдал 500 р.), жена фронтовика С. Чапова (600 р.) и 70-тилетний колхозник И.Г. Морозов (1000 р.). Собрав за один день 170 тысяч рублей, колхозники обратились на завод с просьбой продать им самолет. При решении вопроса, кому передать машину, помог директор Саратовского авиазавода И.С. Левин, который познакомился с летчиком В.И. Шишкиным во время своей поездки на фронт. По желанию покупателей на самолет нанесли дарственную надпись. "Як" № 34104 передали в надежные руки - В.И. Шишкин к этому времени сбил лично 9 и в группе 15 самолетов врага (всего за войну 12+16). На подаренной машине летчик выполнил еще 55 боевых вылетов и сбил три самолета. После Орловской операции полк переучился на новую технику, и именной Як-1 сдали в 512-й иап. В ней самолет, участвуя в боях, долетел до Бреста, где выработал свой ресурс и был списан. 7 марта 1945 г. самолет вернулся в Саратов и некоторое время экспонировался в музее. В настоящее время хвостовая часть этого самолета находится в экспозиции Саратовского музея краеведения.</w:t>
      </w:r>
    </w:p>
    <w:p w14:paraId="024FB2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Почин был сделан и, стремясь не отстать, в других колхозах области начали собирать средства на постройку эскадрильи "Саратовский колхозник" в подарок фронтовым летчикам. К 11 декабря 1942 г. в фонд обороны для этой цели колхозники внесли 33 миллиона 500 тысяч рублей. На заводе для этих самолетов даже изготовили трафарет, по которому наносили дарственные надписи: Защитникам Сталинградского фронта от колхозников ... района Саратовской области". На средства собранные жителями Дурасов- ского района на фронт отправили три истребителя Як-1, Воскресенского района - два. Красноярского района - 13, Хвалынского района - 14, Новоузенского района - 17, а г. Балашова - 19. Именные самолеты вручались в частях лучшим пилотам. На подарке колхозников Жерновского района защищал ленинградское небо В. Мочалов, Дурасов- ского района - ведомый А.Н. Катрича - Крюков, колхозников Балашова - А.И. Се- врюков. Один из самолетов Красноярского района попал в эскадрилью "Нормандия" к Иву Бизьену (Yves Bizien).</w:t>
      </w:r>
    </w:p>
    <w:p w14:paraId="4675AD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Наибольшую известность получил Як-1, подаренный Ф.П. Головатым командиру 273-го иап (31-го гиап) майору Б.Н. Еремину. Впервые деньги для оплаты постройки самолета были собраны одним человеком. Командование 8-й ВА поручило подобрать для этого самолета летчика командиру 268-й иад (6-й гиад) Б.А. Сидневу, дивизия которого в течение многих месяцев принимала самое активное участие в воздушных боях за Сталинград. На принятие решения в большой степени повлиял бой семерки Як-1 из 296-го иап под командованием Еремина против группы из 25 самолетов противника состоявшийся 9 марта 1942 г. в районе Харькова. Немецкая группа состояла из семи Ju-88 и Ju-87, двенадцати Bf. 109Е, приспособленных для бомбометания и несших бомбы, и шести Bf. I09F прикрытия. В первой же внезапной атаке сзади с использованием РС-82 было уничтожено четыре самолета (из них два Ju-88). Боевой порядок немцев распался, и при преследовании наши летчики сбили еше три Bf. 109. Для весны 1942 г., когда численное и техническое превосходство было на стороне противника, этот выдающийся бой стал мощным средством пропаганды. Б.Н. Еремин так описывал свои ощущения после боя:</w:t>
      </w:r>
    </w:p>
    <w:p w14:paraId="2BA0CF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"Поскольку бой проходил на предельных режимах двигателей, горючего уже почти не было. Я понял, что надо собирать группу - подаю сигнал сбора. Подходит слева Сало- матин, смотрю, конфигурация самолета у него какая-то необычная - снарядом фонарь сбило. Сам он, спасаясь от встречной струи воздуха, пригнулся так, что его и не видно. Справа - вижу, подходит Скотной - за ним белый шлейф, видимо, радиатор подбили осколками. Потом мимо меня - один, второй, третий... все наши! После такой схватки - и все пристраиваются! Все - в полном порядке! Я чувствовал радость победы, удовлетворение необычное, какого никогда и не испытывал! Первые-то дни мы чаще в побежденных были" (12048).</w:t>
      </w:r>
    </w:p>
    <w:p w14:paraId="533EA32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5050C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К 12 ноября 1942 в состав 8-й ВА вошли части вновь сформированного 2-го </w:t>
      </w:r>
      <w:r w:rsidRPr="00722885">
        <w:rPr>
          <w:iCs/>
          <w:color w:val="000000" w:themeColor="text1"/>
          <w:sz w:val="16"/>
          <w:szCs w:val="16"/>
        </w:rPr>
        <w:t xml:space="preserve">сак </w:t>
      </w:r>
      <w:r w:rsidRPr="00722885">
        <w:rPr>
          <w:color w:val="000000" w:themeColor="text1"/>
          <w:sz w:val="16"/>
          <w:szCs w:val="16"/>
        </w:rPr>
        <w:t xml:space="preserve">РВГК генерал-майора И.Т.Еременко в составе 214-й </w:t>
      </w:r>
      <w:r w:rsidRPr="00722885">
        <w:rPr>
          <w:iCs/>
          <w:color w:val="000000" w:themeColor="text1"/>
          <w:sz w:val="16"/>
          <w:szCs w:val="16"/>
        </w:rPr>
        <w:t>шад,</w:t>
      </w:r>
      <w:r w:rsidRPr="00722885">
        <w:rPr>
          <w:color w:val="000000" w:themeColor="text1"/>
          <w:sz w:val="16"/>
          <w:szCs w:val="16"/>
        </w:rPr>
        <w:t xml:space="preserve"> 201-й и 235-й </w:t>
      </w:r>
      <w:r w:rsidRPr="00722885">
        <w:rPr>
          <w:iCs/>
          <w:color w:val="000000" w:themeColor="text1"/>
          <w:sz w:val="16"/>
          <w:szCs w:val="16"/>
        </w:rPr>
        <w:t>иад.</w:t>
      </w:r>
      <w:r w:rsidRPr="00722885">
        <w:rPr>
          <w:color w:val="000000" w:themeColor="text1"/>
          <w:sz w:val="16"/>
          <w:szCs w:val="16"/>
        </w:rPr>
        <w:t xml:space="preserve"> К началу наступления в общей сложности авиация Красной Армии под Сталинградом насчитывала 1414 боевых самолетов различного типа. В том числе 2-я ВА - 163 (из них 24 неисправных), 17-я ВА - 423 (из них 51 неисправных), 16-я ВА - 329 (из них 80 неисправных), 8-я ВА - 499 (из них 232 неисправных) и 102-я </w:t>
      </w:r>
      <w:r w:rsidRPr="00722885">
        <w:rPr>
          <w:iCs/>
          <w:color w:val="000000" w:themeColor="text1"/>
          <w:sz w:val="16"/>
          <w:szCs w:val="16"/>
        </w:rPr>
        <w:t>иад</w:t>
      </w:r>
      <w:r w:rsidRPr="00722885">
        <w:rPr>
          <w:color w:val="000000" w:themeColor="text1"/>
          <w:sz w:val="16"/>
          <w:szCs w:val="16"/>
        </w:rPr>
        <w:t xml:space="preserve"> ПВО - 88 бо</w:t>
      </w:r>
      <w:r w:rsidRPr="00722885">
        <w:rPr>
          <w:color w:val="000000" w:themeColor="text1"/>
          <w:sz w:val="16"/>
          <w:szCs w:val="16"/>
        </w:rPr>
        <w:softHyphen/>
        <w:t>евых самолетов (из них 65 неисправных) (6467).</w:t>
      </w:r>
    </w:p>
    <w:p w14:paraId="4DAEC0A7" w14:textId="77777777" w:rsidR="00090C9B" w:rsidRPr="00722885" w:rsidRDefault="00090C9B" w:rsidP="00722885">
      <w:pPr>
        <w:pStyle w:val="Iauiue"/>
        <w:jc w:val="both"/>
        <w:rPr>
          <w:color w:val="000000" w:themeColor="text1"/>
          <w:sz w:val="16"/>
          <w:szCs w:val="16"/>
        </w:rPr>
      </w:pPr>
    </w:p>
    <w:p w14:paraId="442193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1942 Ставка писала Г.К.Жукову "Если авиаподготовка операции неудовлетворительна у Еременко и Ватутина, то операция кончится провалом. Опыт войны с немцами показывает, что операцию против немцев можно выиграть только лишь в том случае, если имеем превосходство в воздухе. В этом случае наша авиация должна выполнить три задачи:</w:t>
      </w:r>
    </w:p>
    <w:p w14:paraId="572EC2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Первое - сосредоточить действия нашей авиации в районе наступления наших ударных частей, подавить авиацию немцев и прочно прикрыть наши войска;</w:t>
      </w:r>
    </w:p>
    <w:p w14:paraId="37F73B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Второе - пробить дорогу нашим наступающим частям путем систематической бомбежки стоящих против нас немецких войск;</w:t>
      </w:r>
    </w:p>
    <w:p w14:paraId="22B3AB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Третье - преследовать отступающие войска противника путем систематической бомбежки и штурмовые действий, чтобы окончательно расстроить их и не дать закрепиться на ближайших рубежах обороны.</w:t>
      </w:r>
    </w:p>
    <w:p w14:paraId="61CDA2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Если А.А.Новиков думает, что наша авиация сейчас не в состоянии выполнить эти задачи, то лучше отложить операцию на некоторое время и накопить побольше авиации" (340,101).</w:t>
      </w:r>
    </w:p>
    <w:p w14:paraId="28D097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Командующий ВВС Красной Армии маршал Новиков писал, что во время Сталинградской битвы была сделана основная ставка на штурмовую авиацию и она полностью оправдала. "Штурмовики были проще и дешевле в производстве и своей большой численностью, помноженной на великолепные боевые качества, в значительной мере компенсировали некоторую нехватку у нас бомбардировщиков" Новиков также отметил, что Ил-2 в меньшей степени зависели от капризов погоды, </w:t>
      </w:r>
      <w:r w:rsidRPr="00722885">
        <w:rPr>
          <w:color w:val="000000" w:themeColor="text1"/>
          <w:sz w:val="16"/>
          <w:szCs w:val="16"/>
        </w:rPr>
        <w:lastRenderedPageBreak/>
        <w:t>чем бомбардировщики, что позволяли их применять в сложных метеоусловиях (452).</w:t>
      </w:r>
    </w:p>
    <w:p w14:paraId="6547BA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Постоянно увеличивалось количество Ил-2 на фронте. К контрнаступлению под Сталинградом их было в строю ВВС 1644 машины, а к началу Курской битвы - 2817. В обоих случаях штурмовики Ил-2 составляли почти треть всех боевых советских самолетов (452).</w:t>
      </w:r>
    </w:p>
    <w:p w14:paraId="0BD1A125" w14:textId="77777777" w:rsidR="00090C9B" w:rsidRPr="00722885" w:rsidRDefault="00090C9B" w:rsidP="00722885">
      <w:pPr>
        <w:pStyle w:val="Iauiue"/>
        <w:jc w:val="both"/>
        <w:rPr>
          <w:color w:val="000000" w:themeColor="text1"/>
          <w:sz w:val="16"/>
          <w:szCs w:val="16"/>
        </w:rPr>
      </w:pPr>
    </w:p>
    <w:p w14:paraId="041FCC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12-16 ноября 1942 г. в Саратовской военной планёрной школе (СВАПШ) и 1-м отдельном планёрном полку проходила операция «Антифриз». Во время битвы под Сталинградом планёры доставили туда из-под Москвы большое количество антифриза для моторов танков и автомобилей. Планёры буксировались самолётами разных типов. Р-6 тянул один или два планёра А-7, каждый из которых перевозил три бочки по 200 л. Экипажи буксировщиков и пилотов планёров набрали из строевых частей, а также из числа инструкторов и курсантов СВАПШ. Руководил операцией Д.А. Кошиц. Груз принимали на аэродроме Медвежьи Озёра, делали промежуточную посадку в Саратове, а далее следовали через Энгельс и Красный Кут к Сталинграду. Посадка осуществлялась у станции Котельниковская, непосредственно у передовых танковых частей. 19 ноября танкисты пошли в наступление...(12264).</w:t>
      </w:r>
    </w:p>
    <w:p w14:paraId="52F71B5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CE06B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12 по 16 ноября 1942 года подразделения авиапланёр</w:t>
      </w:r>
      <w:r w:rsidRPr="00722885">
        <w:rPr>
          <w:rFonts w:ascii="Times New Roman" w:hAnsi="Times New Roman"/>
          <w:color w:val="000000" w:themeColor="text1"/>
          <w:sz w:val="16"/>
          <w:szCs w:val="16"/>
        </w:rPr>
        <w:softHyphen/>
        <w:t>ных полков ВДВ КА выполняли специ</w:t>
      </w:r>
      <w:r w:rsidRPr="00722885">
        <w:rPr>
          <w:rFonts w:ascii="Times New Roman" w:hAnsi="Times New Roman"/>
          <w:color w:val="000000" w:themeColor="text1"/>
          <w:sz w:val="16"/>
          <w:szCs w:val="16"/>
        </w:rPr>
        <w:softHyphen/>
        <w:t>альное оперативное задание Главного управления тыла Красной Армии по до</w:t>
      </w:r>
      <w:r w:rsidRPr="00722885">
        <w:rPr>
          <w:rFonts w:ascii="Times New Roman" w:hAnsi="Times New Roman"/>
          <w:color w:val="000000" w:themeColor="text1"/>
          <w:sz w:val="16"/>
          <w:szCs w:val="16"/>
        </w:rPr>
        <w:softHyphen/>
        <w:t>ставке груза Сталинградскому фронту. Переброска на планёрах в таких масш</w:t>
      </w:r>
      <w:r w:rsidRPr="00722885">
        <w:rPr>
          <w:rFonts w:ascii="Times New Roman" w:hAnsi="Times New Roman"/>
          <w:color w:val="000000" w:themeColor="text1"/>
          <w:sz w:val="16"/>
          <w:szCs w:val="16"/>
        </w:rPr>
        <w:softHyphen/>
        <w:t>табах проведена впервые и, несмотря на отсутствие подготовленной трассы, техпомощи и опыта в продолжительных полётах, экипажи справились с задачей хорошо.</w:t>
      </w:r>
    </w:p>
    <w:p w14:paraId="787A0C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стремлении доставить груз во что бы то ни стало, пилоты летели по 5 ча</w:t>
      </w:r>
      <w:r w:rsidRPr="00722885">
        <w:rPr>
          <w:rFonts w:ascii="Times New Roman" w:hAnsi="Times New Roman"/>
          <w:color w:val="000000" w:themeColor="text1"/>
          <w:sz w:val="16"/>
          <w:szCs w:val="16"/>
        </w:rPr>
        <w:softHyphen/>
        <w:t>сов без посадок в условиях ночи, снего</w:t>
      </w:r>
      <w:r w:rsidRPr="00722885">
        <w:rPr>
          <w:rFonts w:ascii="Times New Roman" w:hAnsi="Times New Roman"/>
          <w:color w:val="000000" w:themeColor="text1"/>
          <w:sz w:val="16"/>
          <w:szCs w:val="16"/>
        </w:rPr>
        <w:softHyphen/>
        <w:t>пада и тумана. Отдельные планеристы совершали перелёты в исключительно тяжёлых условиях погоды на высоте 10-15 метров (12266).</w:t>
      </w:r>
    </w:p>
    <w:p w14:paraId="7D330A9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A2B46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1942 в ходе битвы за Кавказ в районе Орджоникидзе в ходе шестидневных боев советские войска разгромили ударную группировку 1ТА. Отбросили на 40-50 км (3398,394).</w:t>
      </w:r>
    </w:p>
    <w:p w14:paraId="5940A836" w14:textId="77777777" w:rsidR="00090C9B" w:rsidRPr="00722885" w:rsidRDefault="00090C9B" w:rsidP="00722885">
      <w:pPr>
        <w:pStyle w:val="Iauiue"/>
        <w:jc w:val="both"/>
        <w:rPr>
          <w:color w:val="000000" w:themeColor="text1"/>
          <w:sz w:val="16"/>
          <w:szCs w:val="16"/>
        </w:rPr>
      </w:pPr>
    </w:p>
    <w:p w14:paraId="2081FB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вышло Постановление ГКО № 2507 О выдаче водки войсковым частям действующей армии с 25 ноября. 1942 года. РГАНИР, Фонд ГКО, д. 69, лл. 13, 14 (11012).</w:t>
      </w:r>
    </w:p>
    <w:p w14:paraId="35A4EB2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2DE9D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1942 ГКО установил новый, более либеральный порядок отпуска водки. По сто грамм в сутки на человека теперь выдавались не только наступающим частям, но и всем подразделениям, ведущим непосредственные боевые действия и находившимся на передовых позициях. После 24 ноября в разведку также ходили, ежедневно потребляя 100 грамм. Норма распространялась на артиллерийские и минометные части, поддерживающие огнем пехоту. Экипажам боевых самолетов выдавали 100 грамм "по выполнении боевой задачи", из чего следовало, что "храбриться" можно было только на земле, но никак не в воздухе. Самое большое новшество касалось тыловиков. Полковым и дивизионным резервам, стройбату, выполняющему ответственную работу "под огнем противника", и раненым (по указанию врачей) разрешили наливать по 50 грамм на человека в сутки. Всем остальным пить можно было, как и раньше, только по праздникам. Индивидуально решился вопрос по Закавказскому фронту. Вместо 100 грамм водки здесь решено было выдавать 200 грамм крепленого вина или 300 грамм столового вина. Впервые Сталин утвердил ежемесячный лимит расхода водки. Например, с 25 ноября по 31 декабря 1942 года Карельский фронт выпил 364 тысячи литров водки, 7-я армия - 99 тысяч литров, Сталинградский фронт - 407 тысяч. Западный фронт освоил почти миллион литров. Рекой в 1 миллион 200 тысяч литров лилось вино в частях Закавказского фронта. Как реализовывались постановления ГКО в войсках, можно только догадываться. Но о том, что в деле распределения алкоголя были "отдельные недостатки", красноречиво свидетельствует делопроизводство Комитета обороны (7859).</w:t>
      </w:r>
    </w:p>
    <w:p w14:paraId="0147392D" w14:textId="77777777" w:rsidR="00090C9B" w:rsidRPr="00722885" w:rsidRDefault="00090C9B" w:rsidP="00722885">
      <w:pPr>
        <w:pStyle w:val="Iauiue"/>
        <w:jc w:val="both"/>
        <w:rPr>
          <w:color w:val="000000" w:themeColor="text1"/>
          <w:sz w:val="16"/>
          <w:szCs w:val="16"/>
        </w:rPr>
      </w:pPr>
    </w:p>
    <w:p w14:paraId="24691E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удалось сбросить торпеду по сторожевику на Балтике, но и она не достигла цели. После безуспешного вылета пары «Илов» 6 декабря деятельность торпедоносцев прекратилась на 4,5 месяца (9965).</w:t>
      </w:r>
    </w:p>
    <w:p w14:paraId="6FC9EC6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07FC4F6"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ноября 1942 г. вышел Приказ о переосвидетельствовании военнообязанных, военнослужащих и призывников и проверке правильности бронирования № 0882</w:t>
      </w:r>
    </w:p>
    <w:p w14:paraId="30B3EBCF"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Существующие положения по определению годности к военной службе военнообязанных и военнослужащих приспособлены к условиям отбора людских контингентов в мирное время, когда призывных контингентов было значительно больше потребности армии, но они совершенно не отвечают условиям военного времени.</w:t>
      </w:r>
    </w:p>
    <w:p w14:paraId="016A20E5"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Многие командиры частей, соединений, врачи, районные, городские и областные военные комиссары продолжают подходить к отбору людских контингентов с меркой мирного времени, а в отношении лиц, заявляющих о незначительных и даже мнимых болезнях и физических недостатках, проявляют недопустимый либерализм.</w:t>
      </w:r>
    </w:p>
    <w:p w14:paraId="5F7CA99C"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этого:</w:t>
      </w:r>
    </w:p>
    <w:p w14:paraId="4C83BD42"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тысячи физически здоровых людей, имеющих незначительные легко излечимые заболевания или недостатки (трахома в начальной стадии, чесотка, ушибы, порезы, грыжа и пр.), вместо принудительного лечения систематически освобождаются от службы в армии;</w:t>
      </w:r>
    </w:p>
    <w:p w14:paraId="75006E61"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военнослужащие и военнообязанные, имеющие пониженное зрение, слух и другие недостатки, не препятствующие службе в армии в условиях военного времени, освобождаются от военной службы;</w:t>
      </w:r>
    </w:p>
    <w:p w14:paraId="2C97848A"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большое количество военнослужащих, имеющих незначительные физические недостатки, зачисляются в нестроевые части по чисто формальным признакам.</w:t>
      </w:r>
    </w:p>
    <w:p w14:paraId="4BC45B01"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значительные группы здоровых мужчин, имеющих отдельные физические недостатки, препятствующие службе в войсковых частях, но пригодных для работы в тыловых учреждениях (складах, мастерских и пр.), на оборонительных работах и в военной промышленности снимаются с воинского учета и не используются как военнообязанные контингенты.</w:t>
      </w:r>
    </w:p>
    <w:p w14:paraId="46E40A08"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тем, как показал опыт использования нестроевых Ленинградским и другими фронтами, такие «нестроевые» с успехом несут службу в строевых частях в качестве стрелков, пулеметчиков, минометчиков, артиллеристов, а тем более связистов, саперов, химиков и др.; [362]</w:t>
      </w:r>
    </w:p>
    <w:p w14:paraId="3561B87D"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Приказываю:</w:t>
      </w:r>
    </w:p>
    <w:p w14:paraId="00EF5640"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Руководствуясь новым расписанием болезней, объявленным при приказе НКО № 336 от 24 октября 1942 г., переосвидетельствовать в период до 15 января 1943 г. всех военнообязанных и военнослужащих в возрасте до 50 лет и призывников, получивших отсрочки или отпуска по последствиям ранений и болезни, а также признанных годными к нестроевой службе и вовсе негодными к военной службе (исключение с воинского учета).</w:t>
      </w:r>
    </w:p>
    <w:p w14:paraId="78CC899F"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переосвидетельствовать по новому расписанию:</w:t>
      </w:r>
    </w:p>
    <w:p w14:paraId="59C897B1"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военнообязанных, состоящих на специальном учете (забронированных) ;</w:t>
      </w:r>
    </w:p>
    <w:p w14:paraId="7F703B23"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военнообязанных, переданных в промышленность в составе рабочих колонн по отдельным постановлениям правительства;</w:t>
      </w:r>
    </w:p>
    <w:p w14:paraId="0F99A5C1"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всех мужчин в возрасте от 51 до 56 лет включительно (родившихся в 1891-1887 гг.).</w:t>
      </w:r>
    </w:p>
    <w:p w14:paraId="1478904B"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При переосвидетельствовании обратить особое внимание на выявление членовредителей, отмеченных в приказе НКО № 0546 от 9 июля с. г.{358} дезертиров и скрывающихся от воинского учета.</w:t>
      </w:r>
    </w:p>
    <w:p w14:paraId="7044430B"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взять на учет и переосвидетельствовать всех призывников и военнообязанных, эвакуированных с территории, временно занятой противником.</w:t>
      </w:r>
    </w:p>
    <w:p w14:paraId="05CCE6E0"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Установить учет военнообязанных и призывников с подразделением по физическому состоянию на 3 группы:</w:t>
      </w:r>
    </w:p>
    <w:p w14:paraId="20C1C5D1"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годных к строевой службе;</w:t>
      </w:r>
    </w:p>
    <w:p w14:paraId="44CE9D5F"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годных к нестроевой службе;</w:t>
      </w:r>
    </w:p>
    <w:p w14:paraId="45781310"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негодных к службе в войсковых частях, но годных к физическому труду.</w:t>
      </w:r>
    </w:p>
    <w:p w14:paraId="2A802694"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Военнообязанных и призывников последней группы (негодных к службе в войсковых частях, но годных к физическому труду) зачислить на воинский учет на общем основании, но использовать исключительно для укомплектования тыловых учреждений в качестве рабочих на складах и в мастерских, в военизированной охране, на оборонительном строительстве и в промышленности с учетом в каждом случае физического состояния призываемых.</w:t>
      </w:r>
    </w:p>
    <w:p w14:paraId="1154C679"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Мужчин в возрасте от 51 до 55 лет, признанных годными, принять на учет, выделив их в особую группу, и выдать на руки справки о прохождении переосвидетельствования.</w:t>
      </w:r>
    </w:p>
    <w:p w14:paraId="7C4EC71A"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 результате переосвидетельствования всех годных к строевой службе в возрасте до 50 лет призвать в армию и направить: в возрасте до 47 лет — на укомплектование формируемых частей, а с 48 до 50 лет включительно в запасные стрелковые бригады для укомплектования рот тылового обслуживания. Призыв по Забайкальскому, Дальневосточному и Закавказскому фронтам производить по мере потребности, а в САВО — по особому указанию.</w:t>
      </w:r>
    </w:p>
    <w:p w14:paraId="753924A8"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Одновременно с переосвидетельствованием забронированных:</w:t>
      </w:r>
    </w:p>
    <w:p w14:paraId="2C4036BF"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проверить правильность (законность) их бронирования и соответствие выполняемой работы должностям и квалификации, указанным в удостоверениях о бронировании. Всех лиц, незаконно забронированных, немедленно призвать в армию;</w:t>
      </w:r>
    </w:p>
    <w:p w14:paraId="3680FEA6"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совместно с представителями обкомов, горкомов и райкомов, директорами и партийными комитетами предприятий выявить возможность замены забронированных военнообязанных молодых возрастов из числа малоквалифицированных рабочих и служащих.</w:t>
      </w:r>
    </w:p>
    <w:p w14:paraId="0DB6082A"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6. Обращаю внимание военных советов округов (фронтов) на исключительную важность и безусловную необходимость полного выявления всех людских ресурсов, требующихся как для пополнения фронта, так и для обеспечения промышленности взамен уходящих на фронт. [363]</w:t>
      </w:r>
    </w:p>
    <w:p w14:paraId="1B63EF47"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В целях обеспечения успешного проведения указанного мероприятия военным советам округов:</w:t>
      </w:r>
    </w:p>
    <w:p w14:paraId="63DF3D39"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обратиться за помощью к секретарям обкомов, крайкомов ВКП(б), ЦК КП(б) союзных республик, председателям местных исполнительных комитетов советов депутатов трудящихся и органам НКВД — и всю работу проводить при их содействии и помощи;</w:t>
      </w:r>
    </w:p>
    <w:p w14:paraId="063CAA06"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командировать своих ответственных представителей по областям с задачей проверки хода переосвидетельствования и оказания практической помощи военкоматам. При этом для повышения качества проверки не распылять внимание одновременной проверкой всех областей и районов, а сосредоточить все силы в одной-двух областях. Только после всесторонней и глубокой проверки в этих областях перебрасывать людей, получивших опыт, для работы в другие отстающие области;</w:t>
      </w:r>
    </w:p>
    <w:p w14:paraId="60535463"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лично самим проверить ход переосвидетельствования в двух-трех областях.</w:t>
      </w:r>
    </w:p>
    <w:p w14:paraId="77D93A3F"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В результате переосвидетельствования:</w:t>
      </w:r>
    </w:p>
    <w:p w14:paraId="639C6C62"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выявить и призвать всех военнообязанных в возрасте до 50 лет включительно больных грыжей, трахомой, экземой и другими заболеваниями кожи, по физическому состоянию годных к строевой и нестроевой службе. По Забайкальскому, Дальневосточному и Заказвказскому фронтам призыв указанных лиц производить по мере потребности, а в САВО — только по особому указанию;</w:t>
      </w:r>
    </w:p>
    <w:p w14:paraId="02F6E238"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призванных направить в госпитали для принудительного лечения, а после излечения передать в запасные части для подготовки и отправления с маршевыми ротами; в запасных частях бывших больных трахомой, а также экземой и другими заболеваниями кожи, в целях предотвращения случаев заражения, выделить в особые батальоны (роты), размещая и обучая их изолированно;</w:t>
      </w:r>
    </w:p>
    <w:p w14:paraId="54512010"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 САВО, Забайкальском, Дальневосточном и Закавказском фронтах указанных больных передать райздравотделам для принудительного лечения, установив со стороны военкоматов контроль за этим лечением.</w:t>
      </w:r>
    </w:p>
    <w:p w14:paraId="4747D59D"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Категорически запретить командирам войсковых частей и соединений:</w:t>
      </w:r>
    </w:p>
    <w:p w14:paraId="29DAC3AD"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самовольно откомандировывать рядовой и младший начальствующий состав по болезни и физическим недостаткам, производя это только по решению гарнизонных комиссий, утвержденных военно-врачебными комиссиями соответствующих эвакопунктов;</w:t>
      </w:r>
    </w:p>
    <w:p w14:paraId="48917CF1"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откомандировывать из частей лиц, имеющих отдельные дефекты в состоянии здоровья, не препятствующие службе в армии, а использовать их на нестроевых, вспомогательных и технических должностях;</w:t>
      </w:r>
    </w:p>
    <w:p w14:paraId="10731321"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отправлять на переосвидетельствование военнослужащих, признанных врачебными комиссиями годными к службе, но продолжающих заявлять себя больными, без предварительного тщательного осмотра врачами частей и их письменных заключений. Если будет установлено, что военнослужащий симулирует болезнь и членовредитель, предавать суду, а осужденных немедленно отправлять в штрафные части действующей армии.</w:t>
      </w:r>
    </w:p>
    <w:p w14:paraId="29B189D8"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Начальникам гарнизонов:</w:t>
      </w:r>
    </w:p>
    <w:p w14:paraId="1B01E76E"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назначать в состав гарнизонных и госпитальных военно-врачебных комиссий ответственных представителей из числа командного и политического состава;</w:t>
      </w:r>
    </w:p>
    <w:p w14:paraId="33183723"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систематически контролировать работу выделенных представителей. 11. Запретить начальникам госпиталей:</w:t>
      </w:r>
    </w:p>
    <w:p w14:paraId="4307FAD4"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увольнять из армии негодных к службе в войсковых частях, но годных к физическому труду, а передавать их на пересыльные пункты военкоматов для направления по нарядам;</w:t>
      </w:r>
    </w:p>
    <w:p w14:paraId="242E6AF0"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увольнять военнослужащих в отпуска по последствиям ранений или болезни без утверждения свидетельств о болезни военно-врачебными комиссиями соответствующих эвакопунктов.</w:t>
      </w:r>
    </w:p>
    <w:p w14:paraId="23C93D73"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Врачебным комиссиям эвакопунктов отпуска по болезни предоставлять только в исключительных случаях действительно нуждающимся на [364] срок 30 дней, а как правило всех лиц, не вполне окрепших, оставлять в госпиталях для окончания лечения или отправлять в батальоны выздоравливающих.</w:t>
      </w:r>
    </w:p>
    <w:p w14:paraId="7A472A75"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Военным комиссариатам строго следить за своевременным переосвидетельствованием отпускных и возвращением в армию всех годных к военной службе или направлению по нарядам годных к физическому труду.</w:t>
      </w:r>
    </w:p>
    <w:p w14:paraId="1734C7DD"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Лиц, нарушающих требования пунктов 8, 9, 11 и 12 настоящего приказа, привлекать к суровой ответственности, как за пособничество незаконному освобождению от военной службы.</w:t>
      </w:r>
    </w:p>
    <w:p w14:paraId="5EE4186A"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Областным военным комиссарам:</w:t>
      </w:r>
    </w:p>
    <w:p w14:paraId="6F897E03"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организовать переосвидетельствование военнообязанных с наименьшим отрывом их от работы, а рабочих и служащих оборонных заводов и крупных предприятий — по месту работы;</w:t>
      </w:r>
    </w:p>
    <w:p w14:paraId="08B41B53"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установить живой и систематический контроль за ходом переосвидетельствования и сосредоточить главное внимание на районах с наибольшим количеством людских ресурсов.</w:t>
      </w:r>
    </w:p>
    <w:p w14:paraId="0088F7BA"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О выполнении настоящего приказа военным советам округов (фронтов) доносить через каждые 5 дней, начиная с 20 ноября, указывая:</w:t>
      </w:r>
    </w:p>
    <w:p w14:paraId="2194535E"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Первое: переосвидетельствовано нестроевых военнообязанных и призывников, из них: а) годных к строю, б) осталось нестроевых, в) переведено в группу годных к физическому труду, г) вовсе негодных к службе.</w:t>
      </w:r>
    </w:p>
    <w:p w14:paraId="524F0AD9"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Второе: переосвидетельствовано снятых с учета, из них: а) годных к строю, б) нестроевых, в) зачислено на учет военнообязанных в группу годных к физическому труду, г) вовсе негодных к службе.</w:t>
      </w:r>
    </w:p>
    <w:p w14:paraId="3D601A09"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Третье: переосвидетельствовано отпускных по болезни, из них: а) годных к строю, б) нестроевых, в) зачислено в группу годных к физическому труду, г) передано в батальоны выздоравливающих, д) продлен отпуск, е) вовсе негодных к службе.</w:t>
      </w:r>
    </w:p>
    <w:p w14:paraId="2AD39C58"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Четвертое: освидетельствовано граждан в возрасте от 51 до 55 лет, из них: а) зачислено в группу годных к нестроевой службе, б) годных к физическому труду, в) вовсе негодных к труду.</w:t>
      </w:r>
    </w:p>
    <w:p w14:paraId="1321A3FA"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Пятое: переосвидетельствовано состоящих на специальном учете (забронированных), из них: а) годных к строю, б) годных к нестроевой службе, в) зачислено в группу годных к физическому труду, г) вовсе негодных к военной службе.</w:t>
      </w:r>
    </w:p>
    <w:p w14:paraId="0C9C76A7"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Шестое: переосвидетельствовано военнообязанных, переданных для работы в промышленности, на стройках и пр., в составе рабочих колонн и по отдельным постановлениям правительства, из них: а) годных к строю, б) годных к нестроевой службе, в) зачислено в группу годных к физическому труду, г) вовсе негодных к военной службе.</w:t>
      </w:r>
    </w:p>
    <w:p w14:paraId="6980AD6C"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Седьмое: из общего числа годных к строю, указанных в первом и втором пунктах, призвано и отправлено: а) в дивизии и бригады, б) в артиллерийские, автобронетанковые, части связи и др., в) в запасные части, г) в военные училища.</w:t>
      </w:r>
    </w:p>
    <w:p w14:paraId="0889F063"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Восьмое: из общего числа годных к нестроевой службе, указанных в первом и втором пунктах, призвано и отправлено: а) в дивизии и бригады, б) артиллерийские части и др., в) в роты тылового обслуживания запасных частей.</w:t>
      </w:r>
    </w:p>
    <w:p w14:paraId="2ED7CBE0"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Девятое: выявлено уклонившихся от учета, из них: а) годных к строю, б) годных к нестроевой службе, в) зачислено в группу годных к физическому труду, г) вовсе негодных к военной службе.</w:t>
      </w:r>
    </w:p>
    <w:p w14:paraId="27B515E9"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окончании работ представить полный отчет о результатах переосвидетельствования и состоянии людских ресурсов, приложив к отчету списки забронированных военнообязанных, подлежащих замене (пункт 5б), с указанием наркомата, точного названия предприятий, занимаемых должностей или квалификации, годов рождения и воинских званий.</w:t>
      </w:r>
    </w:p>
    <w:p w14:paraId="691654B3"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предупреждаю военные советы округов (фронтов), областных, краевых, районных и городских военных комиссаров и все врачебные комиссии, что жесткие требования к выявлению военнообязанных, [365] годных для службы в армии, не должны служить основанием для направления в войсковые части и на заводы действительно больных и негодных к военной службе и труду.</w:t>
      </w:r>
    </w:p>
    <w:p w14:paraId="18BC34B1"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 ввести в действие по телеграфу.</w:t>
      </w:r>
    </w:p>
    <w:p w14:paraId="073E1FBA"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Заместитель Народного комиссара обороны армейский комиссар I ранга Е. Щаденко</w:t>
      </w:r>
    </w:p>
    <w:p w14:paraId="7553E999" w14:textId="77777777" w:rsidR="001E4A88" w:rsidRPr="00722885" w:rsidRDefault="001E4A8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 4, оп. 11, д. 73, л. 148-153. Подлинник (19824).</w:t>
      </w:r>
    </w:p>
    <w:p w14:paraId="2F359A47" w14:textId="77777777" w:rsidR="001E4A88" w:rsidRPr="00722885" w:rsidRDefault="001E4A88" w:rsidP="00722885">
      <w:pPr>
        <w:spacing w:after="0" w:line="240" w:lineRule="auto"/>
        <w:jc w:val="both"/>
        <w:rPr>
          <w:rFonts w:ascii="Times New Roman" w:hAnsi="Times New Roman"/>
          <w:color w:val="000000" w:themeColor="text1"/>
          <w:sz w:val="16"/>
          <w:szCs w:val="16"/>
        </w:rPr>
      </w:pPr>
    </w:p>
    <w:p w14:paraId="366C6DD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78BE6EA0" w14:textId="77777777" w:rsidR="00090C9B" w:rsidRPr="00722885" w:rsidRDefault="00090C9B" w:rsidP="00722885">
      <w:pPr>
        <w:pStyle w:val="Iauiue"/>
        <w:jc w:val="both"/>
        <w:rPr>
          <w:iCs/>
          <w:color w:val="000000" w:themeColor="text1"/>
          <w:sz w:val="16"/>
          <w:szCs w:val="16"/>
        </w:rPr>
      </w:pPr>
    </w:p>
    <w:p w14:paraId="3CA6DFB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12 ноября 1942 вышло Постановление ГКО № 2508 О борьбе с хулиганством и бандитизмом в Узбекистане. (7063, 15).</w:t>
      </w:r>
    </w:p>
    <w:p w14:paraId="68E074F8" w14:textId="77777777" w:rsidR="00090C9B" w:rsidRPr="00722885" w:rsidRDefault="00090C9B" w:rsidP="00722885">
      <w:pPr>
        <w:pStyle w:val="Iauiue"/>
        <w:tabs>
          <w:tab w:val="left" w:pos="11199"/>
        </w:tabs>
        <w:jc w:val="both"/>
        <w:rPr>
          <w:color w:val="000000" w:themeColor="text1"/>
          <w:sz w:val="16"/>
          <w:szCs w:val="16"/>
        </w:rPr>
      </w:pPr>
    </w:p>
    <w:p w14:paraId="05F44EF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08866A1F" w14:textId="77777777" w:rsidR="00090C9B" w:rsidRPr="00722885" w:rsidRDefault="00090C9B" w:rsidP="00722885">
      <w:pPr>
        <w:pStyle w:val="Iauiue"/>
        <w:jc w:val="both"/>
        <w:rPr>
          <w:iCs/>
          <w:color w:val="000000" w:themeColor="text1"/>
          <w:sz w:val="16"/>
          <w:szCs w:val="16"/>
        </w:rPr>
      </w:pPr>
    </w:p>
    <w:p w14:paraId="27A1DB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1942 были восстановлены дипотношения между СССР и Мексикой (3186).</w:t>
      </w:r>
    </w:p>
    <w:p w14:paraId="0770F4EA" w14:textId="77777777" w:rsidR="00090C9B" w:rsidRPr="00722885" w:rsidRDefault="00090C9B" w:rsidP="00722885">
      <w:pPr>
        <w:pStyle w:val="Iauiue"/>
        <w:jc w:val="both"/>
        <w:rPr>
          <w:color w:val="000000" w:themeColor="text1"/>
          <w:sz w:val="16"/>
          <w:szCs w:val="16"/>
        </w:rPr>
      </w:pPr>
    </w:p>
    <w:p w14:paraId="1370611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9489B85" w14:textId="77777777" w:rsidR="00090C9B" w:rsidRPr="00722885" w:rsidRDefault="00090C9B" w:rsidP="00722885">
      <w:pPr>
        <w:pStyle w:val="Iauiue"/>
        <w:jc w:val="both"/>
        <w:rPr>
          <w:iCs/>
          <w:color w:val="000000" w:themeColor="text1"/>
          <w:sz w:val="16"/>
          <w:szCs w:val="16"/>
        </w:rPr>
      </w:pPr>
    </w:p>
    <w:p w14:paraId="51832F0F" w14:textId="77777777" w:rsidR="00F855A8" w:rsidRPr="00722885" w:rsidRDefault="00F855A8"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lastRenderedPageBreak/>
        <w:t xml:space="preserve">12 ноября </w:t>
      </w:r>
      <w:r w:rsidRPr="00722885">
        <w:rPr>
          <w:rFonts w:ascii="Times New Roman" w:hAnsi="Times New Roman"/>
          <w:color w:val="000000" w:themeColor="text1"/>
          <w:sz w:val="16"/>
          <w:szCs w:val="16"/>
        </w:rPr>
        <w:t>в 1942 году недалеко от побережья Испании немецкой подводной лодкой U-515 под командованием Вернера Хенке был потоплен четырехторпедным залпом легкий крейсер HMS Hecla и тяжело поврежден эсминец HMS Marne. Вернер Хенке был № 10 среди немецких асов-подводников. Его тоннаж - 157.064 тонн (25 судов). Этот кавалер Рыцарского креста с дубовыми листьями был потоплен со своей лодкой недалеко от острова Мадейра 9 апреля 1944 года в результате атаки глубинными бомбами американским экскортным авианосцем USS Guadalcanal и эсминцами USS Pope, Pillsbury, Chatelain и Flaherty (14828).</w:t>
      </w:r>
    </w:p>
    <w:p w14:paraId="30B121F3" w14:textId="77777777" w:rsidR="00F855A8" w:rsidRPr="00722885" w:rsidRDefault="00F855A8" w:rsidP="00722885">
      <w:pPr>
        <w:spacing w:after="0" w:line="240" w:lineRule="auto"/>
        <w:jc w:val="both"/>
        <w:rPr>
          <w:rFonts w:ascii="Times New Roman" w:hAnsi="Times New Roman"/>
          <w:color w:val="000000" w:themeColor="text1"/>
          <w:sz w:val="16"/>
          <w:szCs w:val="16"/>
        </w:rPr>
      </w:pPr>
    </w:p>
    <w:p w14:paraId="16703668"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12, 1942: In Libya, the British 8th Army retakes Sollum and Bardia, while Panzerarmee Afrika continues its withdrawal toward Tripoli (3819).</w:t>
      </w:r>
    </w:p>
    <w:p w14:paraId="69E3E010" w14:textId="77777777" w:rsidR="00090C9B" w:rsidRPr="00722885" w:rsidRDefault="00090C9B" w:rsidP="00722885">
      <w:pPr>
        <w:pStyle w:val="Iauiue"/>
        <w:jc w:val="both"/>
        <w:rPr>
          <w:color w:val="000000" w:themeColor="text1"/>
          <w:sz w:val="16"/>
          <w:szCs w:val="16"/>
          <w:lang w:val="en-US"/>
        </w:rPr>
      </w:pPr>
    </w:p>
    <w:p w14:paraId="6617AD1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1942 в Ливии части британской 8А отбили Соллум и Бардию, а Африканский корпус наступал на Триполи (3819).</w:t>
      </w:r>
    </w:p>
    <w:p w14:paraId="35572431" w14:textId="77777777" w:rsidR="00090C9B" w:rsidRPr="00722885" w:rsidRDefault="00090C9B" w:rsidP="00722885">
      <w:pPr>
        <w:pStyle w:val="Iauiue"/>
        <w:jc w:val="both"/>
        <w:rPr>
          <w:color w:val="000000" w:themeColor="text1"/>
          <w:sz w:val="16"/>
          <w:szCs w:val="16"/>
        </w:rPr>
      </w:pPr>
    </w:p>
    <w:p w14:paraId="6B143C6C" w14:textId="77777777" w:rsidR="00F855A8" w:rsidRPr="00722885" w:rsidRDefault="00F855A8"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12 ноября </w:t>
      </w:r>
      <w:r w:rsidRPr="00722885">
        <w:rPr>
          <w:rFonts w:ascii="Times New Roman" w:hAnsi="Times New Roman"/>
          <w:color w:val="000000" w:themeColor="text1"/>
          <w:sz w:val="16"/>
          <w:szCs w:val="16"/>
        </w:rPr>
        <w:t>в 1942 году британские парашютисты высадились в населенном пункте Бон в Северной Африке и отразили атаку немецких парашютистов, которые высадились в том же районе несколькими минутами позже (14828).</w:t>
      </w:r>
    </w:p>
    <w:p w14:paraId="025EE629" w14:textId="77777777" w:rsidR="00F855A8" w:rsidRPr="00722885" w:rsidRDefault="00F855A8" w:rsidP="00722885">
      <w:pPr>
        <w:spacing w:after="0" w:line="240" w:lineRule="auto"/>
        <w:jc w:val="both"/>
        <w:rPr>
          <w:rFonts w:ascii="Times New Roman" w:hAnsi="Times New Roman"/>
          <w:color w:val="000000" w:themeColor="text1"/>
          <w:sz w:val="16"/>
          <w:szCs w:val="16"/>
        </w:rPr>
      </w:pPr>
    </w:p>
    <w:p w14:paraId="0DB06E2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12 ноября 1942 англо-американские войска захватили Тобрук (Северная Африка) (4962).</w:t>
      </w:r>
    </w:p>
    <w:p w14:paraId="447F0EBC" w14:textId="77777777" w:rsidR="00090C9B" w:rsidRPr="00722885" w:rsidRDefault="00090C9B" w:rsidP="00722885">
      <w:pPr>
        <w:pStyle w:val="Iauiue"/>
        <w:tabs>
          <w:tab w:val="left" w:pos="11199"/>
        </w:tabs>
        <w:jc w:val="both"/>
        <w:rPr>
          <w:color w:val="000000" w:themeColor="text1"/>
          <w:sz w:val="16"/>
          <w:szCs w:val="16"/>
        </w:rPr>
      </w:pPr>
    </w:p>
    <w:p w14:paraId="59652C1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12 ноября 1942 немецкие войска оккупировали Марсель (4962).</w:t>
      </w:r>
    </w:p>
    <w:p w14:paraId="195980D8" w14:textId="77777777" w:rsidR="00090C9B" w:rsidRPr="00722885" w:rsidRDefault="00090C9B" w:rsidP="00722885">
      <w:pPr>
        <w:pStyle w:val="Iauiue"/>
        <w:tabs>
          <w:tab w:val="left" w:pos="11199"/>
        </w:tabs>
        <w:jc w:val="both"/>
        <w:rPr>
          <w:color w:val="000000" w:themeColor="text1"/>
          <w:sz w:val="16"/>
          <w:szCs w:val="16"/>
        </w:rPr>
      </w:pPr>
    </w:p>
    <w:p w14:paraId="19B096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1942 в ходе ночной битвы у Гвадалканала США потеряли 2 крейсера и 4 эсминца (2261).</w:t>
      </w:r>
    </w:p>
    <w:p w14:paraId="2679DB7A" w14:textId="77777777" w:rsidR="00090C9B" w:rsidRPr="00722885" w:rsidRDefault="00090C9B" w:rsidP="00722885">
      <w:pPr>
        <w:pStyle w:val="Iauiue"/>
        <w:jc w:val="both"/>
        <w:rPr>
          <w:color w:val="000000" w:themeColor="text1"/>
          <w:sz w:val="16"/>
          <w:szCs w:val="16"/>
        </w:rPr>
      </w:pPr>
    </w:p>
    <w:p w14:paraId="2BE58D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12-15 ноября 1942 было сражение между флотами США и Японии у о Гуадалканал (3186).</w:t>
      </w:r>
    </w:p>
    <w:p w14:paraId="2080607B" w14:textId="77777777" w:rsidR="00090C9B" w:rsidRPr="00722885" w:rsidRDefault="00090C9B" w:rsidP="00722885">
      <w:pPr>
        <w:pStyle w:val="Iauiue"/>
        <w:jc w:val="both"/>
        <w:rPr>
          <w:color w:val="000000" w:themeColor="text1"/>
          <w:sz w:val="16"/>
          <w:szCs w:val="16"/>
        </w:rPr>
      </w:pPr>
    </w:p>
    <w:p w14:paraId="7802188F"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12 ноября </w:t>
      </w:r>
      <w:r w:rsidRPr="00722885">
        <w:rPr>
          <w:rFonts w:ascii="Times New Roman" w:hAnsi="Times New Roman"/>
          <w:color w:val="000000" w:themeColor="text1"/>
          <w:sz w:val="16"/>
          <w:szCs w:val="16"/>
        </w:rPr>
        <w:t>в 1942 году 12-15 ноября в Тихом океане у острова Гуадалканал (Соломоновы острова), произошло крупное морское сражение между военно-морскими силами США и Японии, при попытке японцев провести караван с подкреплением защитникам острова. В результате сражения японцам удалось высадить на остров большую часть солдат , находившихся на транспортах , но из за налётов американской авиации практически все транспорты были уничтожены при высадке , а вместе с ними была уничтожена большая часть техники и тяжёлого снаряжения десанта. Кроме того японцы потеряли линкоры "Хией" и "Кирисима", а также крейсер "Кинугаса". Потери американцев - крейсеры "Джюно" , "Атланта" и 7 эсминцев (14828).</w:t>
      </w:r>
    </w:p>
    <w:p w14:paraId="037529E7"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40D53173" w14:textId="77777777" w:rsidR="00E55FE3" w:rsidRPr="00722885" w:rsidRDefault="00E55FE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12 ноября </w:t>
      </w:r>
      <w:r w:rsidRPr="00722885">
        <w:rPr>
          <w:rFonts w:ascii="Times New Roman" w:hAnsi="Times New Roman"/>
          <w:color w:val="000000" w:themeColor="text1"/>
          <w:sz w:val="16"/>
          <w:szCs w:val="16"/>
        </w:rPr>
        <w:t>в 1942 году (12-15 ноября) сражение между флотами США и Японии у острова Гуадалканал (Соломоновы острова). Япония потеряла 2 линкора, крейсер, 3 эсминца и 11 транспортов. США потеряли 3 крейсера и 7 эсминцев (14828).</w:t>
      </w:r>
    </w:p>
    <w:p w14:paraId="4DD6DAE6" w14:textId="77777777" w:rsidR="00E55FE3" w:rsidRPr="00722885" w:rsidRDefault="00E55FE3" w:rsidP="00722885">
      <w:pPr>
        <w:spacing w:after="0" w:line="240" w:lineRule="auto"/>
        <w:jc w:val="both"/>
        <w:rPr>
          <w:rFonts w:ascii="Times New Roman" w:hAnsi="Times New Roman"/>
          <w:color w:val="000000" w:themeColor="text1"/>
          <w:sz w:val="16"/>
          <w:szCs w:val="16"/>
        </w:rPr>
      </w:pPr>
    </w:p>
    <w:p w14:paraId="4698866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4688630" w14:textId="77777777" w:rsidR="00090C9B" w:rsidRPr="00722885" w:rsidRDefault="00090C9B" w:rsidP="00722885">
      <w:pPr>
        <w:pStyle w:val="Iauiue"/>
        <w:jc w:val="both"/>
        <w:rPr>
          <w:iCs/>
          <w:color w:val="000000" w:themeColor="text1"/>
          <w:sz w:val="16"/>
          <w:szCs w:val="16"/>
        </w:rPr>
      </w:pPr>
    </w:p>
    <w:p w14:paraId="18F0D3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ноября 1942 НКАП А.Кузнецов писал Зам. Командующего ВВС КА, ГИ Репину писбмо N Н-36/4479 по вопросу сигнализации на Ил-2:</w:t>
      </w:r>
    </w:p>
    <w:p w14:paraId="69FA3C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Ил-2 с внедрением стрелковой установки между л и с кроме электро-переговорного устройства СПУ-2 с фоническим вывозом, применяется х цветная световая сигнализация.</w:t>
      </w:r>
    </w:p>
    <w:p w14:paraId="3FF6DD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Как показывает опыт эксплуатации световой сигнализации, при наличии переговорного устройства с фоническим вызовом, она не используется, а установка требует значительных затрат проводов, арматуры и ламп.</w:t>
      </w:r>
    </w:p>
    <w:p w14:paraId="7CAC39C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Учитывая это, а также отсутствие возражений со стороны ГК С.В.И., считаю крайне желательным Ваше решение об исключении световой сигнализации из перечня оборудования Ил-2.</w:t>
      </w:r>
    </w:p>
    <w:p w14:paraId="7630F34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 Вашем решении прошу уведомить." (1632,177).</w:t>
      </w:r>
    </w:p>
    <w:p w14:paraId="4EF224B1" w14:textId="77777777" w:rsidR="00090C9B" w:rsidRPr="00722885" w:rsidRDefault="00090C9B" w:rsidP="00722885">
      <w:pPr>
        <w:pStyle w:val="Iauiue"/>
        <w:jc w:val="both"/>
        <w:rPr>
          <w:color w:val="000000" w:themeColor="text1"/>
          <w:sz w:val="16"/>
          <w:szCs w:val="16"/>
        </w:rPr>
      </w:pPr>
    </w:p>
    <w:p w14:paraId="3A7666CE" w14:textId="77777777" w:rsidR="00F855A8" w:rsidRPr="00722885" w:rsidRDefault="00F855A8" w:rsidP="00722885">
      <w:pPr>
        <w:pStyle w:val="36"/>
        <w:shd w:val="clear" w:color="auto" w:fill="auto"/>
        <w:spacing w:after="0" w:line="240" w:lineRule="auto"/>
        <w:jc w:val="both"/>
        <w:rPr>
          <w:rStyle w:val="46"/>
          <w:rFonts w:ascii="Times New Roman" w:eastAsia="Trebuchet MS" w:cs="Times New Roman"/>
          <w:color w:val="000000" w:themeColor="text1"/>
          <w:spacing w:val="0"/>
          <w:sz w:val="16"/>
          <w:szCs w:val="16"/>
        </w:rPr>
      </w:pPr>
      <w:r w:rsidRPr="00722885">
        <w:rPr>
          <w:rFonts w:ascii="Times New Roman" w:cs="Times New Roman"/>
          <w:color w:val="000000" w:themeColor="text1"/>
          <w:spacing w:val="0"/>
          <w:sz w:val="16"/>
          <w:szCs w:val="16"/>
        </w:rPr>
        <w:t>13 ноября 1942 г. в заключении отчета по испытаниям брони начальник 8-го отдела НИИ ВВС инженер-май</w:t>
      </w:r>
      <w:r w:rsidRPr="00722885">
        <w:rPr>
          <w:rFonts w:ascii="Times New Roman" w:cs="Times New Roman"/>
          <w:color w:val="000000" w:themeColor="text1"/>
          <w:spacing w:val="0"/>
          <w:sz w:val="16"/>
          <w:szCs w:val="16"/>
        </w:rPr>
        <w:softHyphen/>
        <w:t>ор Панин констатировал:</w:t>
      </w:r>
      <w:r w:rsidRPr="00722885">
        <w:rPr>
          <w:rStyle w:val="46"/>
          <w:rFonts w:ascii="Times New Roman" w:eastAsia="Trebuchet MS" w:cs="Times New Roman"/>
          <w:color w:val="000000" w:themeColor="text1"/>
          <w:spacing w:val="0"/>
          <w:sz w:val="16"/>
          <w:szCs w:val="16"/>
        </w:rPr>
        <w:t xml:space="preserve"> «Результаты прове</w:t>
      </w:r>
      <w:r w:rsidRPr="00722885">
        <w:rPr>
          <w:rStyle w:val="46"/>
          <w:rFonts w:ascii="Times New Roman" w:eastAsia="Trebuchet MS" w:cs="Times New Roman"/>
          <w:color w:val="000000" w:themeColor="text1"/>
          <w:spacing w:val="0"/>
          <w:sz w:val="16"/>
          <w:szCs w:val="16"/>
        </w:rPr>
        <w:softHyphen/>
        <w:t>денного обстрела бронеспинок самолета Ил-2 толщиной 12 мм подтверждают, что обшивка фюзеляжа, заставляя снаряд терять устойчи</w:t>
      </w:r>
      <w:r w:rsidRPr="00722885">
        <w:rPr>
          <w:rStyle w:val="46"/>
          <w:rFonts w:ascii="Times New Roman" w:eastAsia="Trebuchet MS" w:cs="Times New Roman"/>
          <w:color w:val="000000" w:themeColor="text1"/>
          <w:spacing w:val="0"/>
          <w:sz w:val="16"/>
          <w:szCs w:val="16"/>
        </w:rPr>
        <w:softHyphen/>
        <w:t>вость, значительно повышает бронестойкость спинки самолета Ил-2» (15778).</w:t>
      </w:r>
    </w:p>
    <w:p w14:paraId="6B52B1C5" w14:textId="77777777" w:rsidR="00F855A8" w:rsidRPr="00722885" w:rsidRDefault="00F855A8" w:rsidP="00722885">
      <w:pPr>
        <w:pStyle w:val="36"/>
        <w:shd w:val="clear" w:color="auto" w:fill="auto"/>
        <w:spacing w:after="0" w:line="240" w:lineRule="auto"/>
        <w:jc w:val="both"/>
        <w:rPr>
          <w:rFonts w:ascii="Times New Roman" w:cs="Times New Roman"/>
          <w:color w:val="000000" w:themeColor="text1"/>
          <w:spacing w:val="0"/>
          <w:sz w:val="16"/>
          <w:szCs w:val="16"/>
        </w:rPr>
      </w:pPr>
    </w:p>
    <w:p w14:paraId="5E7AB0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ноября 1942 ГИ ВВС Репин писал НКАП А.И.Ш. письмо N 416979с о разрушении в воздухе крыльев на Як-7, Ил-2 и ЛаГГ-3:</w:t>
      </w:r>
    </w:p>
    <w:p w14:paraId="23D5DC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1942 в период июнь-октябрь месяц в авиачастях ВВС КА при выполнении боевых и тренировочных полетов на Як-7б, Як-7, ЛаГГ-3 и Ил-2 имели место 11 случаев разрушения крыльев из них,</w:t>
      </w:r>
    </w:p>
    <w:p w14:paraId="5E70BC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ЛаГГ-3 - 6</w:t>
      </w:r>
    </w:p>
    <w:p w14:paraId="25F3CE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Як-7 - 3</w:t>
      </w:r>
    </w:p>
    <w:p w14:paraId="155454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Як-7б - 1</w:t>
      </w:r>
    </w:p>
    <w:p w14:paraId="5F396B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Ил-2 - 1</w:t>
      </w:r>
    </w:p>
    <w:p w14:paraId="38DAA9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...Разрушение крыльев во всех 11 случаях начиналось со срыва обшивки...(1632,182).</w:t>
      </w:r>
    </w:p>
    <w:p w14:paraId="37B6FDC9" w14:textId="77777777" w:rsidR="00090C9B" w:rsidRPr="00722885" w:rsidRDefault="00090C9B" w:rsidP="00722885">
      <w:pPr>
        <w:pStyle w:val="Iauiue"/>
        <w:jc w:val="both"/>
        <w:rPr>
          <w:color w:val="000000" w:themeColor="text1"/>
          <w:sz w:val="16"/>
          <w:szCs w:val="16"/>
        </w:rPr>
      </w:pPr>
    </w:p>
    <w:p w14:paraId="0232E3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ноября 1942 вышло Постановление ГКО № 2510 О заводе № 82. РГАНИР, Фонд ГКО, д. 69, лл. 38 (11012).</w:t>
      </w:r>
    </w:p>
    <w:p w14:paraId="754BE3E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B71FE50" w14:textId="77777777" w:rsidR="003B6800" w:rsidRPr="00722885" w:rsidRDefault="003B68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ноября 1942 вышло Постановление ГКО № 2510 О заводе № 82</w:t>
      </w:r>
    </w:p>
    <w:p w14:paraId="5F36303B" w14:textId="77777777" w:rsidR="003B6800" w:rsidRPr="00722885" w:rsidRDefault="003B6800" w:rsidP="00722885">
      <w:pPr>
        <w:tabs>
          <w:tab w:val="left" w:pos="146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Государственный Комитет Обороны констатирует, что завод № 82 работает плохо и не выполняет возложенных на него задач.</w:t>
      </w:r>
    </w:p>
    <w:p w14:paraId="3CE53A4D" w14:textId="77777777" w:rsidR="003B6800" w:rsidRPr="00722885" w:rsidRDefault="003B6800" w:rsidP="00722885">
      <w:pPr>
        <w:tabs>
          <w:tab w:val="left" w:pos="151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Государственный Комитет Обороны постановляет: Поручить лично главному конструктору и вам. наркома</w:t>
      </w:r>
    </w:p>
    <w:p w14:paraId="40FA60E8" w14:textId="77777777" w:rsidR="003B6800" w:rsidRPr="00722885" w:rsidRDefault="003B68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т.Яковлеву взять на себя контроль над заводом $ 82 и на</w:t>
      </w:r>
      <w:r w:rsidRPr="00722885">
        <w:rPr>
          <w:rFonts w:ascii="Times New Roman" w:hAnsi="Times New Roman"/>
          <w:color w:val="000000" w:themeColor="text1"/>
          <w:sz w:val="16"/>
          <w:szCs w:val="16"/>
        </w:rPr>
        <w:softHyphen/>
        <w:t xml:space="preserve">вести порядок с тем, чтобы вавод уже с 1 декабря давал по 2 самолета в день, а с 1 февраля </w:t>
      </w:r>
      <w:r w:rsidRPr="00722885">
        <w:rPr>
          <w:rStyle w:val="0pt"/>
          <w:rFonts w:ascii="Times New Roman" w:hAnsi="Times New Roman" w:cs="Times New Roman"/>
          <w:color w:val="000000" w:themeColor="text1"/>
          <w:spacing w:val="0"/>
          <w:sz w:val="16"/>
          <w:szCs w:val="16"/>
        </w:rPr>
        <w:t>1943</w:t>
      </w:r>
      <w:r w:rsidRPr="00722885">
        <w:rPr>
          <w:rFonts w:ascii="Times New Roman" w:hAnsi="Times New Roman"/>
          <w:color w:val="000000" w:themeColor="text1"/>
          <w:sz w:val="16"/>
          <w:szCs w:val="16"/>
        </w:rPr>
        <w:t xml:space="preserve"> </w:t>
      </w:r>
      <w:r w:rsidRPr="00722885">
        <w:rPr>
          <w:rStyle w:val="0pt"/>
          <w:rFonts w:ascii="Times New Roman" w:hAnsi="Times New Roman" w:cs="Times New Roman"/>
          <w:color w:val="000000" w:themeColor="text1"/>
          <w:spacing w:val="0"/>
          <w:sz w:val="16"/>
          <w:szCs w:val="16"/>
        </w:rPr>
        <w:t>г.</w:t>
      </w:r>
      <w:r w:rsidRPr="00722885">
        <w:rPr>
          <w:rFonts w:ascii="Times New Roman" w:hAnsi="Times New Roman"/>
          <w:color w:val="000000" w:themeColor="text1"/>
          <w:sz w:val="16"/>
          <w:szCs w:val="16"/>
        </w:rPr>
        <w:t xml:space="preserve"> на каждые </w:t>
      </w:r>
      <w:r w:rsidRPr="00722885">
        <w:rPr>
          <w:rStyle w:val="0pt"/>
          <w:rFonts w:ascii="Times New Roman" w:hAnsi="Times New Roman" w:cs="Times New Roman"/>
          <w:color w:val="000000" w:themeColor="text1"/>
          <w:spacing w:val="0"/>
          <w:sz w:val="16"/>
          <w:szCs w:val="16"/>
        </w:rPr>
        <w:t>100</w:t>
      </w:r>
      <w:r w:rsidRPr="00722885">
        <w:rPr>
          <w:rFonts w:ascii="Times New Roman" w:hAnsi="Times New Roman"/>
          <w:color w:val="000000" w:themeColor="text1"/>
          <w:sz w:val="16"/>
          <w:szCs w:val="16"/>
        </w:rPr>
        <w:t xml:space="preserve"> стан</w:t>
      </w:r>
      <w:r w:rsidRPr="00722885">
        <w:rPr>
          <w:rFonts w:ascii="Times New Roman" w:hAnsi="Times New Roman"/>
          <w:color w:val="000000" w:themeColor="text1"/>
          <w:sz w:val="16"/>
          <w:szCs w:val="16"/>
        </w:rPr>
        <w:softHyphen/>
        <w:t>ков из четырехсот имеющихся - один самолет.</w:t>
      </w:r>
    </w:p>
    <w:p w14:paraId="60648251" w14:textId="77777777" w:rsidR="003B6800" w:rsidRPr="00722885" w:rsidRDefault="003B680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Наркомавиапром т.Шахурина в течение декаб</w:t>
      </w:r>
      <w:r w:rsidRPr="00722885">
        <w:rPr>
          <w:rFonts w:ascii="Times New Roman" w:hAnsi="Times New Roman"/>
          <w:color w:val="000000" w:themeColor="text1"/>
          <w:sz w:val="16"/>
          <w:szCs w:val="16"/>
        </w:rPr>
        <w:softHyphen/>
        <w:t xml:space="preserve">ря довести количество станков на заводе № 82 до </w:t>
      </w:r>
      <w:r w:rsidRPr="00722885">
        <w:rPr>
          <w:rStyle w:val="0pt"/>
          <w:rFonts w:ascii="Times New Roman" w:hAnsi="Times New Roman" w:cs="Times New Roman"/>
          <w:color w:val="000000" w:themeColor="text1"/>
          <w:spacing w:val="0"/>
          <w:sz w:val="16"/>
          <w:szCs w:val="16"/>
        </w:rPr>
        <w:t>700</w:t>
      </w:r>
      <w:r w:rsidRPr="00722885">
        <w:rPr>
          <w:rFonts w:ascii="Times New Roman" w:hAnsi="Times New Roman"/>
          <w:color w:val="000000" w:themeColor="text1"/>
          <w:sz w:val="16"/>
          <w:szCs w:val="16"/>
        </w:rPr>
        <w:t xml:space="preserve"> штук (19374).</w:t>
      </w:r>
    </w:p>
    <w:p w14:paraId="0AE835B2" w14:textId="77777777" w:rsidR="003B6800" w:rsidRPr="00722885" w:rsidRDefault="003B6800" w:rsidP="00722885">
      <w:pPr>
        <w:spacing w:after="0" w:line="240" w:lineRule="auto"/>
        <w:jc w:val="both"/>
        <w:rPr>
          <w:rFonts w:ascii="Times New Roman" w:hAnsi="Times New Roman"/>
          <w:color w:val="000000" w:themeColor="text1"/>
          <w:sz w:val="16"/>
          <w:szCs w:val="16"/>
        </w:rPr>
      </w:pPr>
    </w:p>
    <w:p w14:paraId="0960A0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ноября 1942 вышло Постановление ГКО № 2512 О производстве по 20 самолетов Ли-2 ежемесячно на заводе № 84 НКАП. РГАНИР, Фонд ГКО, д. 69, лл. 40 (11012).</w:t>
      </w:r>
    </w:p>
    <w:p w14:paraId="5AEA758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FACDBA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5741E77" w14:textId="77777777" w:rsidR="00090C9B" w:rsidRPr="00722885" w:rsidRDefault="00090C9B" w:rsidP="00722885">
      <w:pPr>
        <w:pStyle w:val="Iauiue"/>
        <w:jc w:val="both"/>
        <w:rPr>
          <w:iCs/>
          <w:color w:val="000000" w:themeColor="text1"/>
          <w:sz w:val="16"/>
          <w:szCs w:val="16"/>
        </w:rPr>
      </w:pPr>
    </w:p>
    <w:p w14:paraId="62C192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ноября 1942 по приказу Наркома танковой промышленности.№764 в специальную группу, созданную для разработки САУ в КБ ЧКЗ, перевели с УЗТМ для постоянной работы перевели конструкторов Н.В.Курина, Г.Н.Рыбина, К.Н.Ильина и В.Л.Вишнякова (6001,20).</w:t>
      </w:r>
    </w:p>
    <w:p w14:paraId="370DAA63" w14:textId="77777777" w:rsidR="00090C9B" w:rsidRPr="00722885" w:rsidRDefault="00090C9B" w:rsidP="00722885">
      <w:pPr>
        <w:pStyle w:val="Iauiue"/>
        <w:jc w:val="both"/>
        <w:rPr>
          <w:color w:val="000000" w:themeColor="text1"/>
          <w:sz w:val="16"/>
          <w:szCs w:val="16"/>
        </w:rPr>
      </w:pPr>
    </w:p>
    <w:p w14:paraId="224E56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ноября 1942 года специальную конструкторскую группу по САУ, которую сформировали в КБ ЧКЗ, приказом НКТП включили конструкторов Н.В.Курина, ГН.Рыбина, К.Н.Ильина, и В.А.Вишнякова, переведенных с УЗТМ. Возглавил группу Л.С.Троянов (11638).</w:t>
      </w:r>
    </w:p>
    <w:p w14:paraId="3254ACD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57799A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ноября 1942 г. в состав специаль</w:t>
      </w:r>
      <w:r w:rsidRPr="00722885">
        <w:rPr>
          <w:rFonts w:ascii="Times New Roman" w:hAnsi="Times New Roman"/>
          <w:color w:val="000000" w:themeColor="text1"/>
          <w:sz w:val="16"/>
          <w:szCs w:val="16"/>
        </w:rPr>
        <w:softHyphen/>
        <w:t>ной конструкторской группы ЧКЗ приказом НКТП были включены конструкторы Н.В. Курин, Г.Н. Рыбин, К.Н. Ильин, и В.А. Вишняков, переведенные с УЗТМ. Задание на разработку тяжелой самоходной установки на базе танка КВ-1С, вооруженной 152,4-мм пушкой-гаубицей МЛ-20С, было дано ЧКЗ по инициативе начальника ГБТУ генерал-лейтенанта Я.Н. Федоренко и наркома вооружения Д.Ф. Устинова. Ведущим конструктором проекта был назначен Л.С. Троянов, в помощь ему были привлечены конструкторы Г.Н. Москвин, Г.Н. Рыбин и К.Н. Ильин (10703). Разработка проекта велась на конкурсной основе. Для обсуждения были представлены три проекта самоходных установок: проект "У-18" конструкции УЗТМ; проект установки, предложенный Ж.Я. Котиным и проект группы конструкторов под руководством Л.С. Троянова. Проект самоходной установки Ж.Я. Котина представлял собой раз</w:t>
      </w:r>
      <w:r w:rsidRPr="00722885">
        <w:rPr>
          <w:rFonts w:ascii="Times New Roman" w:hAnsi="Times New Roman"/>
          <w:color w:val="000000" w:themeColor="text1"/>
          <w:sz w:val="16"/>
          <w:szCs w:val="16"/>
        </w:rPr>
        <w:softHyphen/>
        <w:t>мещение пушки-гаубицы МЛ-20 с экипажем и боекомплектом в специ</w:t>
      </w:r>
      <w:r w:rsidRPr="00722885">
        <w:rPr>
          <w:rFonts w:ascii="Times New Roman" w:hAnsi="Times New Roman"/>
          <w:color w:val="000000" w:themeColor="text1"/>
          <w:sz w:val="16"/>
          <w:szCs w:val="16"/>
        </w:rPr>
        <w:softHyphen/>
        <w:t>ально спроектированной броневой рубке на базе танка КВ-1. Качающая</w:t>
      </w:r>
      <w:r w:rsidRPr="00722885">
        <w:rPr>
          <w:rFonts w:ascii="Times New Roman" w:hAnsi="Times New Roman"/>
          <w:color w:val="000000" w:themeColor="text1"/>
          <w:sz w:val="16"/>
          <w:szCs w:val="16"/>
        </w:rPr>
        <w:softHyphen/>
        <w:t>ся часть орудия использовалась практически без изменения его конст</w:t>
      </w:r>
      <w:r w:rsidRPr="00722885">
        <w:rPr>
          <w:rFonts w:ascii="Times New Roman" w:hAnsi="Times New Roman"/>
          <w:color w:val="000000" w:themeColor="text1"/>
          <w:sz w:val="16"/>
          <w:szCs w:val="16"/>
        </w:rPr>
        <w:softHyphen/>
        <w:t>рукции, за исключением конструкции противооткатных устройств и цапф, и устанавливалась в рамке. Уравновешивание системы осуществ</w:t>
      </w:r>
      <w:r w:rsidRPr="00722885">
        <w:rPr>
          <w:rFonts w:ascii="Times New Roman" w:hAnsi="Times New Roman"/>
          <w:color w:val="000000" w:themeColor="text1"/>
          <w:sz w:val="16"/>
          <w:szCs w:val="16"/>
        </w:rPr>
        <w:softHyphen/>
        <w:t>лялось за счет бронировки орудия. Проект, представленный Л.С. Трояновым, предусматривал использование орудия МЛ-20 без конструктив</w:t>
      </w:r>
      <w:r w:rsidRPr="00722885">
        <w:rPr>
          <w:rFonts w:ascii="Times New Roman" w:hAnsi="Times New Roman"/>
          <w:color w:val="000000" w:themeColor="text1"/>
          <w:sz w:val="16"/>
          <w:szCs w:val="16"/>
        </w:rPr>
        <w:softHyphen/>
        <w:t>ных изменений на удлиненной базе танка КВ-1 С. Главный конструктор пушки-гаубицы МЛ-20 Ф.Ф. Петров настаивал на ее модернизации при установке на танковую базу. После рассмотрения и обсуждения проектов за основу был принят проект Ж.Я. Котина, как обеспечивавший уско</w:t>
      </w:r>
      <w:r w:rsidRPr="00722885">
        <w:rPr>
          <w:rFonts w:ascii="Times New Roman" w:hAnsi="Times New Roman"/>
          <w:color w:val="000000" w:themeColor="text1"/>
          <w:sz w:val="16"/>
          <w:szCs w:val="16"/>
        </w:rPr>
        <w:softHyphen/>
        <w:t>ренное развертывание серийного производства самоходной установки (10703).</w:t>
      </w:r>
    </w:p>
    <w:p w14:paraId="084DBA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8F530FA"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13 ноября 1942 заместитель начальника ГАБТУ КА генерал-майор танковых войск Б. М. Коробков направил письмо Молотову с просьбой разобраться. В 13:00 письмо достигло адресата, и уже в тот же день пришел ответ от Зальцмана:</w:t>
      </w:r>
    </w:p>
    <w:p w14:paraId="6164B0B3"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Ваше письмо от 13.</w:t>
      </w:r>
      <w:r w:rsidRPr="00722885">
        <w:rPr>
          <w:rFonts w:ascii="Times New Roman" w:hAnsi="Times New Roman"/>
          <w:color w:val="000000" w:themeColor="text1"/>
          <w:sz w:val="16"/>
          <w:szCs w:val="16"/>
          <w:lang w:val="en-US"/>
        </w:rPr>
        <w:t>XI</w:t>
      </w:r>
      <w:r w:rsidRPr="00722885">
        <w:rPr>
          <w:rFonts w:ascii="Times New Roman" w:hAnsi="Times New Roman"/>
          <w:color w:val="000000" w:themeColor="text1"/>
          <w:sz w:val="16"/>
          <w:szCs w:val="16"/>
        </w:rPr>
        <w:t xml:space="preserve"> сего года, адресованное на имя тов. Молотова В. М. по вопросу укомплектования Уралмашзаводом 80 танков Т-60, сообщаю:</w:t>
      </w:r>
    </w:p>
    <w:p w14:paraId="6EDBA09C"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Уралмашзаводом приняты все необходимые меры для укомплектования траками Т-60 до конца ноября месяца 60 танков, и остальные 20 танков в первой пятидневке декабря месяца.</w:t>
      </w:r>
    </w:p>
    <w:p w14:paraId="7AAD7BDA" w14:textId="77777777" w:rsidR="00A50962" w:rsidRPr="00722885" w:rsidRDefault="00A50962" w:rsidP="00722885">
      <w:pPr>
        <w:pStyle w:val="72"/>
        <w:shd w:val="clear" w:color="auto" w:fill="auto"/>
        <w:spacing w:line="240" w:lineRule="auto"/>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Об указанном Наркомтанкопромом поставил в известность замести</w:t>
      </w:r>
      <w:r w:rsidRPr="00722885">
        <w:rPr>
          <w:rFonts w:ascii="Times New Roman" w:cs="Times New Roman"/>
          <w:color w:val="000000" w:themeColor="text1"/>
          <w:spacing w:val="0"/>
          <w:sz w:val="16"/>
          <w:szCs w:val="16"/>
        </w:rPr>
        <w:softHyphen/>
        <w:t>теля председателя Совнаркома т. Молотова В. М.» (17485).</w:t>
      </w:r>
    </w:p>
    <w:p w14:paraId="6C754BB6" w14:textId="77777777" w:rsidR="00A50962" w:rsidRPr="00722885" w:rsidRDefault="00A50962" w:rsidP="00722885">
      <w:pPr>
        <w:pStyle w:val="72"/>
        <w:shd w:val="clear" w:color="auto" w:fill="auto"/>
        <w:spacing w:line="240" w:lineRule="auto"/>
        <w:rPr>
          <w:rFonts w:ascii="Times New Roman" w:cs="Times New Roman"/>
          <w:color w:val="000000" w:themeColor="text1"/>
          <w:spacing w:val="0"/>
          <w:sz w:val="16"/>
          <w:szCs w:val="16"/>
        </w:rPr>
      </w:pPr>
    </w:p>
    <w:p w14:paraId="6AE66626" w14:textId="77777777" w:rsidR="00922D34" w:rsidRPr="00722885" w:rsidRDefault="00922D34"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13 ноября 1942 член торгового представительства СССР в Великобритании К. Ольховский посетил центральный танковый полигон в Чобхеме. На полигоне ему и членам Военной Миссии СССР показали два опытных Cromwell I, на которые ещё не было установлено вооружение.</w:t>
      </w:r>
    </w:p>
    <w:p w14:paraId="23E9A256" w14:textId="77777777" w:rsidR="00922D34" w:rsidRPr="00722885" w:rsidRDefault="00922D34"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ходе испытаний один из танков демонстрировал плавную езду по пересечённой местности. При этом случались мелкие неисправности в коробке передач, а после 5 километров пробега по бездорожью закипела вода в радиаторе. Несколько раз ломались пружины подвески. По просьбе Ольховского англичане представили характеристики танка. Боевая масса машины в 27 тонн вызвала у него недоверие. Кроме того, у Ольховского создалось впечатление, что целью демонстрации было показать неготовность машины. По его мнению, англичане не хотели посылать «Кромвели» вместо «Матильд» и «Черчиллей». В реальности танк действительно был сырой, доводить его пришлось ещё минимум год (15737).</w:t>
      </w:r>
    </w:p>
    <w:p w14:paraId="550591AF" w14:textId="77777777" w:rsidR="00922D34" w:rsidRPr="00722885" w:rsidRDefault="00922D34" w:rsidP="00722885">
      <w:pPr>
        <w:shd w:val="clear" w:color="auto" w:fill="FFFFFF"/>
        <w:spacing w:after="0" w:line="240" w:lineRule="auto"/>
        <w:jc w:val="both"/>
        <w:rPr>
          <w:rFonts w:ascii="Times New Roman" w:eastAsia="Times New Roman" w:hAnsi="Times New Roman"/>
          <w:color w:val="000000" w:themeColor="text1"/>
          <w:sz w:val="16"/>
          <w:szCs w:val="16"/>
        </w:rPr>
      </w:pPr>
    </w:p>
    <w:p w14:paraId="51B2DB9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59FE53C" w14:textId="77777777" w:rsidR="00090C9B" w:rsidRPr="00722885" w:rsidRDefault="00090C9B" w:rsidP="00722885">
      <w:pPr>
        <w:pStyle w:val="Iauiue"/>
        <w:jc w:val="both"/>
        <w:rPr>
          <w:iCs/>
          <w:color w:val="000000" w:themeColor="text1"/>
          <w:sz w:val="16"/>
          <w:szCs w:val="16"/>
        </w:rPr>
      </w:pPr>
    </w:p>
    <w:p w14:paraId="722A0869"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13 ноября </w:t>
      </w:r>
      <w:r w:rsidRPr="00722885">
        <w:rPr>
          <w:rFonts w:ascii="Times New Roman" w:hAnsi="Times New Roman"/>
          <w:color w:val="000000" w:themeColor="text1"/>
          <w:sz w:val="16"/>
          <w:szCs w:val="16"/>
        </w:rPr>
        <w:t>в 1942 году утреннее сообщение Совинформбюро:</w:t>
      </w:r>
    </w:p>
    <w:p w14:paraId="51918746"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течение ночи на 13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56FF6E42"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Наши части стойко обороняют свои позиции и отбивают атаки пехоты и танков противника. Защитники города наносят врагу большие потери. На одном участке восемь красноармейцев истарший сержант Филатов защищали фланг своего подразделения. Гитлеровцы трижды бросались в атаку, но каждый раз откатывались назад. В четвёртый раз немцы бросили в атаку роту пехоты. Неравный бой длился свыше трёх часов, но гитлеровцытак и не смогли одолеть девять наших бойцов. На поле боя осталось 60 убиты хнемцев.</w:t>
      </w:r>
    </w:p>
    <w:p w14:paraId="2035AE0C"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Н-ской части отразили атаку противника и уничтожили 150 немецких солдат и офицеров, подбили танк и 3 противотанковых орудия. На другом участке наша разведывательная группа проникла в расположение противника, взорвала 3 дзота и истребила несколько десятков гитлеровцев.</w:t>
      </w:r>
    </w:p>
    <w:p w14:paraId="4662D48E"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артиллеристы Н-ской части уничтожили 4 бронемашины,105-мм артиллерийскую и миномётную батареи противника. На другом участке артиллеристы под командованием тов. Шармайданова подбили 2 немецких танка.</w:t>
      </w:r>
    </w:p>
    <w:p w14:paraId="58812F64"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противник пытался переправиться через один водный рубеж. Советские артиллеристы метким огнём уничтожили переправы и нанесли немцам значительный урон. На другом участке гитлеровцы предприняли разведку боем, но, потеряв более 100 солдат, отошли на исходные позиции.</w:t>
      </w:r>
    </w:p>
    <w:p w14:paraId="6F03E711"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два дня огнём нашей зенитной артиллерии сбито 8 немецких амолётов.</w:t>
      </w:r>
    </w:p>
    <w:p w14:paraId="03C46BEB"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 снайперы за два дня истребили 550 немецких солдат и офицеров. В течение дня на подступах к Ленинграду уничтожено 11 немецких самолётов. Из них 7 самолётов сбито в воздушных боях и 4 огнём зенитной артиллерии.</w:t>
      </w:r>
    </w:p>
    <w:p w14:paraId="216CC9D9"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происходила артиллерийская перестрелка и поиски разведчиков. Огнём нашей артиллерии и снайперов уничтожено до 300 гитлеровцев, разбито 4 дзота и взорван склад боеприпасов противника. Советские зенитчики сбили 5 вражеских самолётов. Один бомбардировщик был сбит расчётом зенитного орудия сержанта Миронова, имеющим уже на своём счету 7 уничтоженных немецких самолётов.</w:t>
      </w:r>
    </w:p>
    <w:p w14:paraId="65885B80"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снайперами наших частей в течение дня уничтожено 215 немецких солдат и офицеров.</w:t>
      </w:r>
    </w:p>
    <w:p w14:paraId="3B2B3D41"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оккупированных районов Карело-Финской Советской Республики, за последнее время уничтожил 9 грузовых автомашин противника, вырезал свыше 3 километров линии телефонно-телеграфнойсвязи и истребил 65 белофиннов. Группа партизан другого карело-финского отряда пустила под откос следовавший к фронту железнодорожный эшелон. Разбиты паровоз и 21 вагон. Убито и ранено до 200 вражеских солдат и офицеров.</w:t>
      </w:r>
    </w:p>
    <w:p w14:paraId="04D9B4D8"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днях близ Турку (Финляндия) сгорела крупная мельница. Пожаром уничтожены постройки, машины, а также свыше двух тысяч тонн зерна и муки, предназначенных для немецких войск, находящихся в Финляндии. Полагают, что мельницу подожгли финские патриоты в знак протеста против голодных норм продовольствия, установленных для населения Финляндии.» (14829).</w:t>
      </w:r>
    </w:p>
    <w:p w14:paraId="2EFB67DC" w14:textId="77777777" w:rsidR="00922D34" w:rsidRPr="00722885" w:rsidRDefault="00922D34" w:rsidP="00722885">
      <w:pPr>
        <w:spacing w:after="0" w:line="240" w:lineRule="auto"/>
        <w:jc w:val="both"/>
        <w:rPr>
          <w:rFonts w:ascii="Times New Roman" w:hAnsi="Times New Roman"/>
          <w:color w:val="000000" w:themeColor="text1"/>
          <w:sz w:val="16"/>
          <w:szCs w:val="16"/>
        </w:rPr>
      </w:pPr>
    </w:p>
    <w:p w14:paraId="7DCC2EE5"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13 ноября </w:t>
      </w:r>
      <w:r w:rsidRPr="00722885">
        <w:rPr>
          <w:rFonts w:ascii="Times New Roman" w:hAnsi="Times New Roman"/>
          <w:color w:val="000000" w:themeColor="text1"/>
          <w:sz w:val="16"/>
          <w:szCs w:val="16"/>
        </w:rPr>
        <w:t>в 1942 году вечернее сообщение Совинформбюро:</w:t>
      </w:r>
    </w:p>
    <w:p w14:paraId="1D300E70"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13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57A6B348"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12 ноября нашей авиацией на различных участках фронта разбито до 50 автомашин с войсками и грузами, железнодорожный состав, подавлен огонь 4 артиллерийских батарей, рассеяно и частью уничтожено до двух рот пехоты противника.</w:t>
      </w:r>
    </w:p>
    <w:p w14:paraId="3138ADC5"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ожесточённые бои. Наши войска отбили многочисленные атаки противника и нанесли ему значительные потери. Защитники города самоотверженно отстаивают каждую пядь советской земли. 12 бойцов под командованием старшины Трушкина отбили три атаки роты немцев. За четыре часа эта группа советских бойцов истребила до двух взводов вражеской пехоты, не понеся при этом никаких потерь. В районе заводов бойцы Н-ской части в течение дня подбили танк, уничтожили 2 орудия, 7 пулемётов и истребили 150 гитлеровцев.</w:t>
      </w:r>
    </w:p>
    <w:p w14:paraId="666F2585"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огнём артиллерии и миномётов Н-ской части уничтожено 3 дзота, 3 станковых пулемёта и рассеяно до батальона пехоты противника. Снайперы части, где командиром тов. Постревич, истребили 34 гитлеровца. Снайперы части, где командиром тов. Вязьмин, уничтожили 57 немцев. Огнём зенитной артиллерии сбито 2 немецких самолёта.</w:t>
      </w:r>
    </w:p>
    <w:p w14:paraId="50FF600B"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вели активные боевые действия. Танкисты под командованием тов. Дергунова уничтожили 21 немецкий танк, 2 бронемашины, 12 противотанковых орудий с их расчётами и истребили до 300 гитлеровцев. В этом бою экипаж танка в составе лейтенанта Корниенко, механика-водителя Гулаенко, командира башни Дубинина и радиста Смирнова уничтожил 5 немецких танков, 3 противотанковых орудия и 4 автомашины. Танковый экипаж под командованием лейтенанта Самусенко уничтожил 3 вражеских танка. Группа бойцов во главе состаршиной Адбущиновым была окружена танками противника. Тов. Амбущинов вскочилна немецкий танк, открыл люк и бросил туда гранату. Немецкий танк был взорван, а его экипаж уничтожен.</w:t>
      </w:r>
    </w:p>
    <w:p w14:paraId="70146215"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 ряде участков гитлеровцы предприняли несколько атак. Огнём нашей обороны враг отброшен на исходные позиции. В районе одной высоты бойцы под командованием тов. Кузьмина стремительной контратакой нанесли противнику значительный урон. Немцы потеряли убитыми до 200 солдат и офицеров. Огнём зенитной артиллерии над передним краем обороны сбито 3 немецких самолёта. Кроме того, нашими лётчиками в воздушных боях сбито два самолёта противника.</w:t>
      </w:r>
    </w:p>
    <w:p w14:paraId="5903A288"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Воронежа происходила редкая артиллерийская и миномётная перестрелка. Расчёт орудия, которым командует тов. Дмитриев, уничтожил 2 немецких дзота и до взвода вражеской пехоты. Красноармейцы тт. Бандура и Кузнецов прорыли траншейный ход к подбитому танку противника, застрявшему между нашими и немецкими позициями. Смелые бойцы установили между гусеницами танка противотанковое ружьёи в течение дня уничтожили 8 огневых точек противника.</w:t>
      </w:r>
    </w:p>
    <w:p w14:paraId="7B7F329D"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Сумской области, в октябре месяце напал на немецкие гарнизоны в трёх населённых пунктах. В ожесточённых боях партизаны истребили до 200 немецко-фашистских захватчиков, уничтожили 2 бронемашины, взорвали 3 склада с боеприпасами и захватили трофеи.</w:t>
      </w:r>
    </w:p>
    <w:p w14:paraId="59C5B0DD"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расстреляли свыше 150 мирных жителей хутора Белявского, Сталинградской области. Озверевшие бандиты сгоняли во дворы женщин, детей и стариков и расстреливали их из автоматов. Оставшихся в живых крестьян гитлеровцы угнали на передовые позиции строить оборонительные сооружения.</w:t>
      </w:r>
    </w:p>
    <w:p w14:paraId="101EE3A2"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Грызня и междоусобица в лагере квислинговцев принимают всё более острые формы. В городе Осло группа норвежских эсэсовцев отказалась ехать на советско-германский фронт. Эсэсовцы избили квислинговского министра Фугльсанга, личного адъютанта Квислинга капитана Лангли и других фашистских главарей Норвегии. Как сообщают, Квислинг предложил своим сообщникам во избежание нежелательных конфликтов некоторое время не появляться в общественных местах.» (14829).</w:t>
      </w:r>
    </w:p>
    <w:p w14:paraId="0C0F6D0F" w14:textId="77777777" w:rsidR="00922D34" w:rsidRPr="00722885" w:rsidRDefault="00922D34" w:rsidP="00722885">
      <w:pPr>
        <w:spacing w:after="0" w:line="240" w:lineRule="auto"/>
        <w:jc w:val="both"/>
        <w:rPr>
          <w:rFonts w:ascii="Times New Roman" w:hAnsi="Times New Roman"/>
          <w:color w:val="000000" w:themeColor="text1"/>
          <w:sz w:val="16"/>
          <w:szCs w:val="16"/>
        </w:rPr>
      </w:pPr>
    </w:p>
    <w:p w14:paraId="46D79C8F"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13 ноября </w:t>
      </w:r>
      <w:r w:rsidRPr="00722885">
        <w:rPr>
          <w:rFonts w:ascii="Times New Roman" w:hAnsi="Times New Roman"/>
          <w:color w:val="000000" w:themeColor="text1"/>
          <w:sz w:val="16"/>
          <w:szCs w:val="16"/>
        </w:rPr>
        <w:t>в 1942 году совместное заседание Политбюро ЦК ВКП(б), ГКО и Ставки ВГК, на котором заместитель Верховного Главнокомандующего Г.К.Жуков и начальник Генерального штаба А.М.Василевский доложили уточненный план и сроки начала контрнаступления на сталинградском направлении (операция «Уран») (14829).</w:t>
      </w:r>
    </w:p>
    <w:p w14:paraId="589DF80F" w14:textId="77777777" w:rsidR="00922D34" w:rsidRPr="00722885" w:rsidRDefault="00922D34" w:rsidP="00722885">
      <w:pPr>
        <w:spacing w:after="0" w:line="240" w:lineRule="auto"/>
        <w:jc w:val="both"/>
        <w:rPr>
          <w:rFonts w:ascii="Times New Roman" w:hAnsi="Times New Roman"/>
          <w:color w:val="000000" w:themeColor="text1"/>
          <w:sz w:val="16"/>
          <w:szCs w:val="16"/>
        </w:rPr>
      </w:pPr>
    </w:p>
    <w:p w14:paraId="3F4236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ноября 1942 вышло Постановление ГКО № 2511 О назначении Фалалеева Ф.Я. зам. Командующего ВВС и чл. ВС ВВС. РГАНИР, Фонд ГКО, д. 69, лл. 39 (11012).</w:t>
      </w:r>
    </w:p>
    <w:p w14:paraId="6A38AC3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B34AA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ноября 1942 г. Ставкой ВГК был окончательно утвержден план контрна</w:t>
      </w:r>
      <w:r w:rsidRPr="00722885">
        <w:rPr>
          <w:color w:val="000000" w:themeColor="text1"/>
          <w:sz w:val="16"/>
          <w:szCs w:val="16"/>
        </w:rPr>
        <w:softHyphen/>
        <w:t xml:space="preserve">ступления под Сталинградом. В соответствии с планом главный удар наносился войсками </w:t>
      </w:r>
      <w:r w:rsidRPr="00722885">
        <w:rPr>
          <w:color w:val="000000" w:themeColor="text1"/>
          <w:sz w:val="16"/>
          <w:szCs w:val="16"/>
        </w:rPr>
        <w:lastRenderedPageBreak/>
        <w:t>Юго-Западного и Сталинградского фронтов. Сходя</w:t>
      </w:r>
      <w:r w:rsidRPr="00722885">
        <w:rPr>
          <w:color w:val="000000" w:themeColor="text1"/>
          <w:sz w:val="16"/>
          <w:szCs w:val="16"/>
        </w:rPr>
        <w:softHyphen/>
        <w:t>щимися мощными ударами намечалось окружить основные силы 6-й армии Паулюса и 4-й танковой армии Гота в меж</w:t>
      </w:r>
      <w:r w:rsidRPr="00722885">
        <w:rPr>
          <w:color w:val="000000" w:themeColor="text1"/>
          <w:sz w:val="16"/>
          <w:szCs w:val="16"/>
        </w:rPr>
        <w:softHyphen/>
        <w:t>дуречье Волги и Дона. Донской фронт наносил два удара: один - из района Клетской на юго-вос</w:t>
      </w:r>
      <w:r w:rsidRPr="00722885">
        <w:rPr>
          <w:color w:val="000000" w:themeColor="text1"/>
          <w:sz w:val="16"/>
          <w:szCs w:val="16"/>
        </w:rPr>
        <w:softHyphen/>
        <w:t>ток, а другой - из района Качалинской вдоль левого берега Дона на юг. Для участия в контрнаступлении на сталинградском направлении от ВВС КА привлекались три воздушные армии: 17-я Юго-Западного, 16-я Донского и 8-я Сталинградского фронтов.</w:t>
      </w:r>
    </w:p>
    <w:p w14:paraId="4E6E90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 целях усиления 17-й ВА из резерва ВГК прибыл 1-й </w:t>
      </w:r>
      <w:r w:rsidRPr="00722885">
        <w:rPr>
          <w:iCs/>
          <w:color w:val="000000" w:themeColor="text1"/>
          <w:sz w:val="16"/>
          <w:szCs w:val="16"/>
        </w:rPr>
        <w:t>сак</w:t>
      </w:r>
      <w:r w:rsidRPr="00722885">
        <w:rPr>
          <w:color w:val="000000" w:themeColor="text1"/>
          <w:sz w:val="16"/>
          <w:szCs w:val="16"/>
        </w:rPr>
        <w:t xml:space="preserve"> генерал-майора В.И.Шевченко в составе 288-й </w:t>
      </w:r>
      <w:r w:rsidRPr="00722885">
        <w:rPr>
          <w:iCs/>
          <w:color w:val="000000" w:themeColor="text1"/>
          <w:sz w:val="16"/>
          <w:szCs w:val="16"/>
        </w:rPr>
        <w:t>иад</w:t>
      </w:r>
      <w:r w:rsidRPr="00722885">
        <w:rPr>
          <w:color w:val="000000" w:themeColor="text1"/>
          <w:sz w:val="16"/>
          <w:szCs w:val="16"/>
        </w:rPr>
        <w:t xml:space="preserve"> и 267-й </w:t>
      </w:r>
      <w:r w:rsidRPr="00722885">
        <w:rPr>
          <w:iCs/>
          <w:color w:val="000000" w:themeColor="text1"/>
          <w:sz w:val="16"/>
          <w:szCs w:val="16"/>
        </w:rPr>
        <w:t>шад.</w:t>
      </w:r>
      <w:r w:rsidRPr="00722885">
        <w:rPr>
          <w:color w:val="000000" w:themeColor="text1"/>
          <w:sz w:val="16"/>
          <w:szCs w:val="16"/>
        </w:rPr>
        <w:t xml:space="preserve"> Кроме того, директивой Став</w:t>
      </w:r>
      <w:r w:rsidRPr="00722885">
        <w:rPr>
          <w:color w:val="000000" w:themeColor="text1"/>
          <w:sz w:val="16"/>
          <w:szCs w:val="16"/>
        </w:rPr>
        <w:softHyphen/>
        <w:t>ки ВГК от 6 ноября 1942 г. часть сил 2-й ВА Воронежского фронта была опера</w:t>
      </w:r>
      <w:r w:rsidRPr="00722885">
        <w:rPr>
          <w:color w:val="000000" w:themeColor="text1"/>
          <w:sz w:val="16"/>
          <w:szCs w:val="16"/>
        </w:rPr>
        <w:softHyphen/>
        <w:t>тивно подчинена командующему Юго-Западного фронта.</w:t>
      </w:r>
    </w:p>
    <w:p w14:paraId="02AFE4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Особое внимание командование ВВС КА уделило пополнению 8-й ВА, которая в период обороны Сталинграда понес</w:t>
      </w:r>
      <w:r w:rsidRPr="00722885">
        <w:rPr>
          <w:color w:val="000000" w:themeColor="text1"/>
          <w:sz w:val="16"/>
          <w:szCs w:val="16"/>
        </w:rPr>
        <w:softHyphen/>
        <w:t>ла наибольшие потери.</w:t>
      </w:r>
    </w:p>
    <w:p w14:paraId="30E4BF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К 12 ноября в состав 8-й ВА вошли части вновь сформированного 2-го </w:t>
      </w:r>
      <w:r w:rsidRPr="00722885">
        <w:rPr>
          <w:iCs/>
          <w:color w:val="000000" w:themeColor="text1"/>
          <w:sz w:val="16"/>
          <w:szCs w:val="16"/>
        </w:rPr>
        <w:t xml:space="preserve">сак </w:t>
      </w:r>
      <w:r w:rsidRPr="00722885">
        <w:rPr>
          <w:color w:val="000000" w:themeColor="text1"/>
          <w:sz w:val="16"/>
          <w:szCs w:val="16"/>
        </w:rPr>
        <w:t xml:space="preserve">РВГК генерал-майора И.Т.Еременко в составе 214-й </w:t>
      </w:r>
      <w:r w:rsidRPr="00722885">
        <w:rPr>
          <w:iCs/>
          <w:color w:val="000000" w:themeColor="text1"/>
          <w:sz w:val="16"/>
          <w:szCs w:val="16"/>
        </w:rPr>
        <w:t>шад,</w:t>
      </w:r>
      <w:r w:rsidRPr="00722885">
        <w:rPr>
          <w:color w:val="000000" w:themeColor="text1"/>
          <w:sz w:val="16"/>
          <w:szCs w:val="16"/>
        </w:rPr>
        <w:t xml:space="preserve"> 201-й и 235-й </w:t>
      </w:r>
      <w:r w:rsidRPr="00722885">
        <w:rPr>
          <w:iCs/>
          <w:color w:val="000000" w:themeColor="text1"/>
          <w:sz w:val="16"/>
          <w:szCs w:val="16"/>
        </w:rPr>
        <w:t>иад.</w:t>
      </w:r>
    </w:p>
    <w:p w14:paraId="529E03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 общей сложности авиация Красной Армии под Сталинградом насчитывала 1414 боевых самолетов различного типа. В том числе 2-я ВА - 163 (из них 24 неисправных), 17-я ВА - 423 (из них 51 неисправных), 16-я ВА - 329 (из них 80 неисправных), 8-я ВА - 499 (из них 232 неисправных) и 102-я </w:t>
      </w:r>
      <w:r w:rsidRPr="00722885">
        <w:rPr>
          <w:iCs/>
          <w:color w:val="000000" w:themeColor="text1"/>
          <w:sz w:val="16"/>
          <w:szCs w:val="16"/>
        </w:rPr>
        <w:t>иад</w:t>
      </w:r>
      <w:r w:rsidRPr="00722885">
        <w:rPr>
          <w:color w:val="000000" w:themeColor="text1"/>
          <w:sz w:val="16"/>
          <w:szCs w:val="16"/>
        </w:rPr>
        <w:t xml:space="preserve"> ПВО - 88 бо</w:t>
      </w:r>
      <w:r w:rsidRPr="00722885">
        <w:rPr>
          <w:color w:val="000000" w:themeColor="text1"/>
          <w:sz w:val="16"/>
          <w:szCs w:val="16"/>
        </w:rPr>
        <w:softHyphen/>
        <w:t>евых самолетов (из них 65 неисправных) (6467).</w:t>
      </w:r>
    </w:p>
    <w:p w14:paraId="12FCC7F2" w14:textId="77777777" w:rsidR="00090C9B" w:rsidRPr="00722885" w:rsidRDefault="00090C9B" w:rsidP="00722885">
      <w:pPr>
        <w:pStyle w:val="Iauiue"/>
        <w:jc w:val="both"/>
        <w:rPr>
          <w:color w:val="000000" w:themeColor="text1"/>
          <w:sz w:val="16"/>
          <w:szCs w:val="16"/>
        </w:rPr>
      </w:pPr>
    </w:p>
    <w:p w14:paraId="068F4D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ноября 1942 Ставкой ВГК был окончательно утвержден план контрнаступления под Сталинградом. Для участия в контрнаступлении привлекались 17, 16 и 8-я воздушные армии.</w:t>
      </w:r>
    </w:p>
    <w:p w14:paraId="42A4D4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Группировка штурмовой авиации включала восемь авиадивизий (206-я, 214-я, 289-я, 291-я, 228-я, 267-я, 227-я) и два отдельных Ил-2 на выходе из атаки авиаполка (208-й, 637-й), всего 317 исправных и 133 неисправных Ил-2.</w:t>
      </w:r>
    </w:p>
    <w:p w14:paraId="4877F6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сложные метеоусловия, летчики-штурмовики с честью справились со всеми боевыми задачами и обеспечили действенную поддержку своим войскам. Советским войскам удалось окружить в районе Сталинграда 6-ю полевую армию и соединения 4-й танковой армии вермахта.</w:t>
      </w:r>
    </w:p>
    <w:p w14:paraId="3D46F6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Трагически сложился боевой вылет летчиков 622-го шап капитана Емельянова 10 декабря на штурмовку аэродрома противника Питомник. Согласно журналу боевых действий полка из 7 Ил-2, вылетавших на боевое задание, на свой аэродром вернулось только три самолета: "...Группа мл. л-та Опалева не вернулась с боевого задания, причины не известны. Из группы Карпова не вернулся мл. л-т Горячев с воздушным стрелком Разумновым, причины не известны. Подбиты самолеты у летчиков Мордавцева и Догалева..."</w:t>
      </w:r>
    </w:p>
    <w:p w14:paraId="665EC7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Позже выяснилось, что 4 Ла-5 от 13-го иап не смогли надежно прикрыть Ил-2. В результате вся группа Опалева была сбита истребителями противника. Штурмовик сержанта Дольберидзе был подбит над линией фронта в результате атаки 4 Bf 109 и сел на вынужденную на своей территории. Ил-2 Кузнецова и Опалева были подбиты в районе аэродрома противника. Летчики сели на вынужденную на нейтральной полосе вблизи немецких окопов и только стремительная атака роты красноармейцев при поддержке двух танков спасла их от неминуемой гибели. </w:t>
      </w:r>
    </w:p>
    <w:p w14:paraId="5D0752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"Смешались в кучу - В воздушном бою с "мессершмиттами" кони, люди" замполит эскадрильи капитан Артемьев, летевший за воздушного стрелка у сержанта Кузнецова, огнем из УБТ сбил один Bf 109. Еще один "мессер" коронным приемом штурмовиков удалось сбить Опалеву. Когда 2 Bf 109 взяли его самолет в "клещи", Опалев резко сбросил газ и пулеметно-пушечной очередью точно поразил проскочивший вперед ведущий "мессершмитт". Истребитель задымил и упал на землю в районе аэродрома Питомник.</w:t>
      </w:r>
    </w:p>
    <w:p w14:paraId="7CF31B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Паре Опалева все же удалось выполнить два захода на штурмовку аэродрома Питомник, после которых на стоянках наблюдались три пожара (12020).</w:t>
      </w:r>
    </w:p>
    <w:p w14:paraId="156C7B0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DB770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ноября 1942 состоялось последнее совещание командующих и установили дату наступление - 19 ноября 1942 (2070,81).</w:t>
      </w:r>
    </w:p>
    <w:p w14:paraId="01719B2A" w14:textId="77777777" w:rsidR="00090C9B" w:rsidRPr="00722885" w:rsidRDefault="00090C9B" w:rsidP="00722885">
      <w:pPr>
        <w:pStyle w:val="Iauiue"/>
        <w:jc w:val="both"/>
        <w:rPr>
          <w:color w:val="000000" w:themeColor="text1"/>
          <w:sz w:val="16"/>
          <w:szCs w:val="16"/>
        </w:rPr>
      </w:pPr>
    </w:p>
    <w:p w14:paraId="7E5A5B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ноября 1942 г. вышел ПРИКАЗ № 0883 О ВЫДАЧЕ ВОДКИ ВОЙСКОВЫМ ЧАСТЯМ ДЕЙСТВУЮЩЕЙ АРМИИ С 25 НОЯБРЯ 1942 ГОДА</w:t>
      </w:r>
    </w:p>
    <w:p w14:paraId="6B815E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 соответствии с постановлением Государственного Комитета Обороны от 12 ноября 1942 г. № 2507с с 25 ноября с. г. начать выдачу водки войсковым частям действующей армии в следующем порядке:*</w:t>
      </w:r>
    </w:p>
    <w:p w14:paraId="5D1930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по 100 граммов на человека в сутки: подразделениям частей, ведущим непосредственно боевые действия и находищимися в окопах на передовых позициях; подразделениям, ведущим разведку; артиллерийским и минометным частям, приданным и поддерживающим пехоту и находящимся на огневых позициях; экипажам боевых самолетов по выполнении ими боевой задачи;</w:t>
      </w:r>
    </w:p>
    <w:p w14:paraId="2A6532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 50 граммов на человека в сутки: полковым и дивизионным резервам; подразделениям и частям боевого обеспечения, производящим работы на передовых позициях; частям, выполняющим ответственные задания в особых случаях (постройка и восстановление мостов, дорог и прочее в особо трудных условиях и под огнем противника), и раненым, находящимся в учреждениях полевой санитарной службы, по указанию врачей.</w:t>
      </w:r>
    </w:p>
    <w:p w14:paraId="075125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Всем военнослужащим действующей армии выдачу водки в размере 100 граммов на человека в сутки производить в дни революционных и общественных праздников, указанные постановлением ГОКО № 1889 от 6 июня 1942 г.</w:t>
      </w:r>
    </w:p>
    <w:p w14:paraId="4F1BC7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По Закавказскому фронту вместо 100 граммов водки выдавать 200 граммов крепленого вина или 300 граммов столового вина; вместо 50 граммов водки— 100 граммов крепленого вина или 150 граммов столового вина.</w:t>
      </w:r>
    </w:p>
    <w:p w14:paraId="77C45B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Военным советам фронтов и армий приказами фронта, армии устанавливать ежемесячные лимиты выдачи водки армиям — частям и расход производить в пределах устанавливаемого на каждый месяц лимита.</w:t>
      </w:r>
    </w:p>
    <w:p w14:paraId="42FDA6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В израсходовании месячного лимита водки фронтам отчитываться перед Главным управлением продовольственного снабжения Красной Армии для получения лимита на следующий месяц.</w:t>
      </w:r>
    </w:p>
    <w:p w14:paraId="17E2E4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случае непредставления отчета фронтами и израсходовании водки к 10 числу за истекший месяц начальнику Главного управления продовольственного снабжения Красной Армии на следующий месяц фронтам, не представившим отчета, водку не отгружать.</w:t>
      </w:r>
    </w:p>
    <w:p w14:paraId="7661B9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Установить лимит расхода водки для фронтов с 25 ноября по 31 декабря 1942 г. согласно приложения.</w:t>
      </w:r>
    </w:p>
    <w:p w14:paraId="1E0451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Начальнику Главного управления продовольственного снабжения Красной Армии бригинженеру тов. Павлову и начальнику Военных сообщений Красной Армии генерал-майору технических войск тов. Ковалеву водку в количествах, предусмотренных лимитом, доставить: Юго-Западному, Донскому и Сталинградскому фронтам — к 16 ноября, остальным фронтам — к 20 ноября с. г.</w:t>
      </w:r>
    </w:p>
    <w:p w14:paraId="26C232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Начальнику Главного Управления продовольственного снабжения Красной Армии установить постоянный контроль за расходом водки в строгом соответствии с настоящим приказом.</w:t>
      </w:r>
    </w:p>
    <w:p w14:paraId="031693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Военным советам фронтов и армий организовать возврат освобождающейся тары из-под водки водочным заводам и разливочным пунктам Нар-компищепрома, прикрепленным к фронтам.</w:t>
      </w:r>
    </w:p>
    <w:p w14:paraId="141E31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Войсковым частям, не возвратившим тару, водку не отпускать.</w:t>
      </w:r>
    </w:p>
    <w:p w14:paraId="65622D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Приказ ввести в действие по телеграфу.</w:t>
      </w:r>
    </w:p>
    <w:p w14:paraId="0283F32F"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Заместитель Народного комиссара обороны СССР генерал-лейтенант интендантской службы ХРУЛЕВ</w:t>
      </w:r>
      <w:r w:rsidRPr="00722885">
        <w:rPr>
          <w:color w:val="000000" w:themeColor="text1"/>
          <w:sz w:val="16"/>
          <w:szCs w:val="16"/>
        </w:rPr>
        <w:t xml:space="preserve"> (9844).</w:t>
      </w:r>
    </w:p>
    <w:p w14:paraId="1B150028" w14:textId="77777777" w:rsidR="00090C9B" w:rsidRPr="00722885" w:rsidRDefault="00090C9B" w:rsidP="00722885">
      <w:pPr>
        <w:pStyle w:val="Iauiue"/>
        <w:jc w:val="both"/>
        <w:rPr>
          <w:iCs/>
          <w:color w:val="000000" w:themeColor="text1"/>
          <w:sz w:val="16"/>
          <w:szCs w:val="16"/>
        </w:rPr>
      </w:pPr>
      <w:r w:rsidRPr="00722885">
        <w:rPr>
          <w:iCs/>
          <w:color w:val="000000" w:themeColor="text1"/>
          <w:sz w:val="16"/>
          <w:szCs w:val="16"/>
        </w:rPr>
        <w:t>Приложение к приказу НКО № 0883</w:t>
      </w:r>
    </w:p>
    <w:p w14:paraId="0FB3CD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лимит</w:t>
      </w:r>
    </w:p>
    <w:p w14:paraId="7FD450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РАСХОДА ВОДКИ ДЛЯ ВОЙСКОВЫХ ЧАСТЕЙ ДЕЙСТВУЮЩЕЙ АРМИИ С 25 НОЯБРЯ ПО 31 ДЕКАБРЯ 1942 ГОДА</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398"/>
        <w:gridCol w:w="3056"/>
      </w:tblGrid>
      <w:tr w:rsidR="009B487A" w:rsidRPr="00722885" w14:paraId="0A7FE166" w14:textId="77777777" w:rsidTr="00CC5360">
        <w:trPr>
          <w:trHeight w:val="405"/>
        </w:trPr>
        <w:tc>
          <w:tcPr>
            <w:tcW w:w="4398" w:type="dxa"/>
            <w:tcBorders>
              <w:top w:val="single" w:sz="12" w:space="0" w:color="auto"/>
            </w:tcBorders>
          </w:tcPr>
          <w:p w14:paraId="0F1F69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Наименование фронтов и отдельных армий</w:t>
            </w:r>
          </w:p>
        </w:tc>
        <w:tc>
          <w:tcPr>
            <w:tcW w:w="3056" w:type="dxa"/>
            <w:tcBorders>
              <w:top w:val="single" w:sz="12" w:space="0" w:color="auto"/>
            </w:tcBorders>
          </w:tcPr>
          <w:p w14:paraId="430DFB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Лимит расхода водки (в литрах)</w:t>
            </w:r>
          </w:p>
        </w:tc>
      </w:tr>
      <w:tr w:rsidR="009B487A" w:rsidRPr="00722885" w14:paraId="7A59DF71" w14:textId="77777777" w:rsidTr="00CC5360">
        <w:trPr>
          <w:trHeight w:val="270"/>
        </w:trPr>
        <w:tc>
          <w:tcPr>
            <w:tcW w:w="4398" w:type="dxa"/>
          </w:tcPr>
          <w:p w14:paraId="66F6C8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Карельский фронт</w:t>
            </w:r>
          </w:p>
        </w:tc>
        <w:tc>
          <w:tcPr>
            <w:tcW w:w="3056" w:type="dxa"/>
          </w:tcPr>
          <w:p w14:paraId="24660E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364 000</w:t>
            </w:r>
          </w:p>
        </w:tc>
      </w:tr>
      <w:tr w:rsidR="009B487A" w:rsidRPr="00722885" w14:paraId="5FFA0B80" w14:textId="77777777" w:rsidTr="00CC5360">
        <w:trPr>
          <w:trHeight w:val="165"/>
        </w:trPr>
        <w:tc>
          <w:tcPr>
            <w:tcW w:w="4398" w:type="dxa"/>
          </w:tcPr>
          <w:p w14:paraId="64DDE2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7-я армия</w:t>
            </w:r>
          </w:p>
        </w:tc>
        <w:tc>
          <w:tcPr>
            <w:tcW w:w="3056" w:type="dxa"/>
          </w:tcPr>
          <w:p w14:paraId="2F4AB4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99000</w:t>
            </w:r>
          </w:p>
        </w:tc>
      </w:tr>
      <w:tr w:rsidR="009B487A" w:rsidRPr="00722885" w14:paraId="57B00679" w14:textId="77777777" w:rsidTr="00CC5360">
        <w:trPr>
          <w:trHeight w:val="270"/>
        </w:trPr>
        <w:tc>
          <w:tcPr>
            <w:tcW w:w="4398" w:type="dxa"/>
          </w:tcPr>
          <w:p w14:paraId="169818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Ленинградский фронт</w:t>
            </w:r>
          </w:p>
        </w:tc>
        <w:tc>
          <w:tcPr>
            <w:tcW w:w="3056" w:type="dxa"/>
          </w:tcPr>
          <w:p w14:paraId="63E809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533 000</w:t>
            </w:r>
          </w:p>
        </w:tc>
      </w:tr>
      <w:tr w:rsidR="009B487A" w:rsidRPr="00722885" w14:paraId="6BE7B567" w14:textId="77777777" w:rsidTr="00CC5360">
        <w:trPr>
          <w:trHeight w:val="240"/>
        </w:trPr>
        <w:tc>
          <w:tcPr>
            <w:tcW w:w="4398" w:type="dxa"/>
          </w:tcPr>
          <w:p w14:paraId="16F526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Волховский фронт</w:t>
            </w:r>
          </w:p>
        </w:tc>
        <w:tc>
          <w:tcPr>
            <w:tcW w:w="3056" w:type="dxa"/>
          </w:tcPr>
          <w:p w14:paraId="55C46F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407 000</w:t>
            </w:r>
          </w:p>
        </w:tc>
      </w:tr>
      <w:tr w:rsidR="009B487A" w:rsidRPr="00722885" w14:paraId="021D8853" w14:textId="77777777" w:rsidTr="00CC5360">
        <w:trPr>
          <w:trHeight w:val="180"/>
        </w:trPr>
        <w:tc>
          <w:tcPr>
            <w:tcW w:w="4398" w:type="dxa"/>
          </w:tcPr>
          <w:p w14:paraId="332712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Сев.-Западный фронт</w:t>
            </w:r>
          </w:p>
        </w:tc>
        <w:tc>
          <w:tcPr>
            <w:tcW w:w="3056" w:type="dxa"/>
          </w:tcPr>
          <w:p w14:paraId="7D0349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394 000</w:t>
            </w:r>
          </w:p>
        </w:tc>
      </w:tr>
      <w:tr w:rsidR="009B487A" w:rsidRPr="00722885" w14:paraId="2ECFF3C8" w14:textId="77777777" w:rsidTr="00CC5360">
        <w:trPr>
          <w:trHeight w:val="240"/>
        </w:trPr>
        <w:tc>
          <w:tcPr>
            <w:tcW w:w="4398" w:type="dxa"/>
          </w:tcPr>
          <w:p w14:paraId="42037FA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Калининский фронт</w:t>
            </w:r>
          </w:p>
        </w:tc>
        <w:tc>
          <w:tcPr>
            <w:tcW w:w="3056" w:type="dxa"/>
          </w:tcPr>
          <w:p w14:paraId="1B4485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690 000</w:t>
            </w:r>
          </w:p>
        </w:tc>
      </w:tr>
      <w:tr w:rsidR="009B487A" w:rsidRPr="00722885" w14:paraId="1236D26D" w14:textId="77777777" w:rsidTr="00CC5360">
        <w:trPr>
          <w:trHeight w:val="240"/>
        </w:trPr>
        <w:tc>
          <w:tcPr>
            <w:tcW w:w="4398" w:type="dxa"/>
          </w:tcPr>
          <w:p w14:paraId="7AC815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Западный фронт</w:t>
            </w:r>
          </w:p>
        </w:tc>
        <w:tc>
          <w:tcPr>
            <w:tcW w:w="3056" w:type="dxa"/>
          </w:tcPr>
          <w:p w14:paraId="68F175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980 000</w:t>
            </w:r>
          </w:p>
        </w:tc>
      </w:tr>
      <w:tr w:rsidR="009B487A" w:rsidRPr="00722885" w14:paraId="6079DCD9" w14:textId="77777777" w:rsidTr="00CC5360">
        <w:trPr>
          <w:trHeight w:val="165"/>
        </w:trPr>
        <w:tc>
          <w:tcPr>
            <w:tcW w:w="4398" w:type="dxa"/>
          </w:tcPr>
          <w:p w14:paraId="5C3368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Брянский фронт</w:t>
            </w:r>
          </w:p>
        </w:tc>
        <w:tc>
          <w:tcPr>
            <w:tcW w:w="3056" w:type="dxa"/>
          </w:tcPr>
          <w:p w14:paraId="3B344C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414 000</w:t>
            </w:r>
          </w:p>
        </w:tc>
      </w:tr>
      <w:tr w:rsidR="009B487A" w:rsidRPr="00722885" w14:paraId="3CD7C81E" w14:textId="77777777" w:rsidTr="00CC5360">
        <w:trPr>
          <w:trHeight w:val="255"/>
        </w:trPr>
        <w:tc>
          <w:tcPr>
            <w:tcW w:w="4398" w:type="dxa"/>
          </w:tcPr>
          <w:p w14:paraId="3E1A5C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Воронежский фронт</w:t>
            </w:r>
          </w:p>
        </w:tc>
        <w:tc>
          <w:tcPr>
            <w:tcW w:w="3056" w:type="dxa"/>
          </w:tcPr>
          <w:p w14:paraId="1455DBA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381 000</w:t>
            </w:r>
          </w:p>
        </w:tc>
      </w:tr>
      <w:tr w:rsidR="009B487A" w:rsidRPr="00722885" w14:paraId="55B71428" w14:textId="77777777" w:rsidTr="00CC5360">
        <w:trPr>
          <w:trHeight w:val="225"/>
        </w:trPr>
        <w:tc>
          <w:tcPr>
            <w:tcW w:w="4398" w:type="dxa"/>
          </w:tcPr>
          <w:p w14:paraId="3D2500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Юго-Западный фронт</w:t>
            </w:r>
          </w:p>
        </w:tc>
        <w:tc>
          <w:tcPr>
            <w:tcW w:w="3056" w:type="dxa"/>
          </w:tcPr>
          <w:p w14:paraId="4F9D04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478 000</w:t>
            </w:r>
          </w:p>
        </w:tc>
      </w:tr>
      <w:tr w:rsidR="009B487A" w:rsidRPr="00722885" w14:paraId="6B04B2E2" w14:textId="77777777" w:rsidTr="00CC5360">
        <w:trPr>
          <w:trHeight w:val="165"/>
        </w:trPr>
        <w:tc>
          <w:tcPr>
            <w:tcW w:w="4398" w:type="dxa"/>
          </w:tcPr>
          <w:p w14:paraId="6B8D37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Донской фронт</w:t>
            </w:r>
          </w:p>
        </w:tc>
        <w:tc>
          <w:tcPr>
            <w:tcW w:w="3056" w:type="dxa"/>
          </w:tcPr>
          <w:p w14:paraId="2396CB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544 000</w:t>
            </w:r>
          </w:p>
        </w:tc>
      </w:tr>
      <w:tr w:rsidR="009B487A" w:rsidRPr="00722885" w14:paraId="580758D3" w14:textId="77777777" w:rsidTr="00CC5360">
        <w:trPr>
          <w:trHeight w:val="255"/>
        </w:trPr>
        <w:tc>
          <w:tcPr>
            <w:tcW w:w="4398" w:type="dxa"/>
          </w:tcPr>
          <w:p w14:paraId="2E4F6A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Сталинградский фронт</w:t>
            </w:r>
          </w:p>
        </w:tc>
        <w:tc>
          <w:tcPr>
            <w:tcW w:w="3056" w:type="dxa"/>
          </w:tcPr>
          <w:p w14:paraId="37C33CF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407 000</w:t>
            </w:r>
          </w:p>
        </w:tc>
      </w:tr>
      <w:tr w:rsidR="009B487A" w:rsidRPr="00722885" w14:paraId="4987F8C4" w14:textId="77777777" w:rsidTr="00CC5360">
        <w:trPr>
          <w:trHeight w:val="225"/>
        </w:trPr>
        <w:tc>
          <w:tcPr>
            <w:tcW w:w="4398" w:type="dxa"/>
            <w:gridSpan w:val="2"/>
          </w:tcPr>
          <w:p w14:paraId="2CE7893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Итого: 5 691 000</w:t>
            </w:r>
          </w:p>
        </w:tc>
      </w:tr>
      <w:tr w:rsidR="009B487A" w:rsidRPr="00722885" w14:paraId="66CE40F9" w14:textId="77777777" w:rsidTr="00CC5360">
        <w:trPr>
          <w:trHeight w:val="195"/>
        </w:trPr>
        <w:tc>
          <w:tcPr>
            <w:tcW w:w="4398" w:type="dxa"/>
            <w:gridSpan w:val="2"/>
            <w:tcBorders>
              <w:bottom w:val="single" w:sz="12" w:space="0" w:color="auto"/>
            </w:tcBorders>
          </w:tcPr>
          <w:p w14:paraId="005F65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Закавказский фронт 1 200 000 (вино)</w:t>
            </w:r>
          </w:p>
        </w:tc>
      </w:tr>
    </w:tbl>
    <w:p w14:paraId="119F77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Зам. </w:t>
      </w:r>
      <w:r w:rsidRPr="00722885">
        <w:rPr>
          <w:iCs/>
          <w:color w:val="000000" w:themeColor="text1"/>
          <w:sz w:val="16"/>
          <w:szCs w:val="16"/>
        </w:rPr>
        <w:t xml:space="preserve">Народного комиссара обороны ХРУЛЕВ </w:t>
      </w:r>
      <w:r w:rsidRPr="00722885">
        <w:rPr>
          <w:color w:val="000000" w:themeColor="text1"/>
          <w:sz w:val="16"/>
          <w:szCs w:val="16"/>
        </w:rPr>
        <w:t>(9844)</w:t>
      </w:r>
    </w:p>
    <w:p w14:paraId="2DB1EF2B" w14:textId="77777777" w:rsidR="00090C9B" w:rsidRPr="00722885" w:rsidRDefault="00090C9B" w:rsidP="00722885">
      <w:pPr>
        <w:pStyle w:val="Iauiue"/>
        <w:jc w:val="both"/>
        <w:rPr>
          <w:color w:val="000000" w:themeColor="text1"/>
          <w:sz w:val="16"/>
          <w:szCs w:val="16"/>
        </w:rPr>
      </w:pPr>
    </w:p>
    <w:p w14:paraId="1E30FE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ноября 1942г. вышел ПРИКАЗ № 354 О ВЫДАЧЕ НЕКУРЯЩИМ БОЙЦАМ И КОМАНДИРАМ ШОКОЛАДА, САХАРА ИЛИ КОНФЕТ ВЗАМЕН ТАБАЧНОГО ДОВОЛЬСТВИЯ</w:t>
      </w:r>
    </w:p>
    <w:p w14:paraId="58A79D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соответствии с постановлением Государственного Комитета Обороны от 9 ноября 1942 г. приказываю:</w:t>
      </w:r>
    </w:p>
    <w:p w14:paraId="314D33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Ввести с 16 ноября 1942 г. выдачу некурящим бойцам и командирам (мужчинам и женщинам) шоколада, сахара или конфет.</w:t>
      </w:r>
    </w:p>
    <w:p w14:paraId="79CC2D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Взамен положенного табачного довольствия выдавать в месяц на одного некурящего</w:t>
      </w:r>
    </w:p>
    <w:p w14:paraId="290AF2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200 г шоколада или</w:t>
      </w:r>
    </w:p>
    <w:p w14:paraId="2408FF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300 г сахара или</w:t>
      </w:r>
    </w:p>
    <w:p w14:paraId="085180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300 г конфет.</w:t>
      </w:r>
    </w:p>
    <w:p w14:paraId="39AE19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Приказ распространить:</w:t>
      </w:r>
    </w:p>
    <w:p w14:paraId="6718328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на лиц, получающих табачное довольствие по нормам № 1, 2, 5, 6 приказа НКО 1941 г. № 312;*</w:t>
      </w:r>
    </w:p>
    <w:p w14:paraId="265872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на некурящих раненых и больных, поступивших на излечение в госпитали из действующей армии;</w:t>
      </w:r>
    </w:p>
    <w:p w14:paraId="2A1DA3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на командиров, получающих табачное довольствие по п. 8 приказа НКО 1941 г. № 312, вместо табачного довольствия по нормам № 1 и 2 того же приказа.</w:t>
      </w:r>
    </w:p>
    <w:p w14:paraId="4E17AE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Приказ НКО 1942 г. № 244** отменить.</w:t>
      </w:r>
    </w:p>
    <w:p w14:paraId="7D7C85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Приказ передать по телеграфу.</w:t>
      </w:r>
    </w:p>
    <w:p w14:paraId="2D14D817"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Заместитель Народного комиссара обороны СССР генерал-лейтенант интендантской службы А. ХРУЛЕВ</w:t>
      </w:r>
      <w:r w:rsidRPr="00722885">
        <w:rPr>
          <w:color w:val="000000" w:themeColor="text1"/>
          <w:sz w:val="16"/>
          <w:szCs w:val="16"/>
        </w:rPr>
        <w:t xml:space="preserve"> (9844).</w:t>
      </w:r>
    </w:p>
    <w:p w14:paraId="13B2B0B7" w14:textId="77777777" w:rsidR="00090C9B" w:rsidRPr="00722885" w:rsidRDefault="00090C9B" w:rsidP="00722885">
      <w:pPr>
        <w:pStyle w:val="Iauiue"/>
        <w:jc w:val="both"/>
        <w:rPr>
          <w:color w:val="000000" w:themeColor="text1"/>
          <w:sz w:val="16"/>
          <w:szCs w:val="16"/>
        </w:rPr>
      </w:pPr>
    </w:p>
    <w:p w14:paraId="4932257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23D3F690" w14:textId="77777777" w:rsidR="00090C9B" w:rsidRPr="00722885" w:rsidRDefault="00090C9B" w:rsidP="00722885">
      <w:pPr>
        <w:pStyle w:val="Iauiue"/>
        <w:jc w:val="both"/>
        <w:rPr>
          <w:iCs/>
          <w:color w:val="000000" w:themeColor="text1"/>
          <w:sz w:val="16"/>
          <w:szCs w:val="16"/>
        </w:rPr>
      </w:pPr>
    </w:p>
    <w:p w14:paraId="15A6AB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ноября 1942 года</w:t>
      </w:r>
    </w:p>
    <w:p w14:paraId="361BDD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ЛИЧНОЕ И СЕКРЕТНОЕ ПОСЛАНИЕ ОТ ПРЕМЬЕР-МИНИСТРА г-на УИНСТОНА ЧЕРЧИЛЛЯ ПРЕМЬЕРУ СТАЛИНУ</w:t>
      </w:r>
    </w:p>
    <w:p w14:paraId="66105B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Весьма благодарен за Ваши послания от 8 и 10 ноября, которые я получил.</w:t>
      </w:r>
    </w:p>
    <w:p w14:paraId="1C97A8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Я назначил маршала авиации Дрэммонда в качестве представителя Великобритании для штабных переговоров между советскими, американскими и британскими представителями по поводу предварительных мероприятий для использования 20 британских и американских эскадрилий на Вашем Южном фронте. Маршалу авиации Дрэммонду приказано немедленно выехать из Каира в Москву с небольшой группой штабных офицеров.</w:t>
      </w:r>
    </w:p>
    <w:p w14:paraId="013A13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Наши операции как в Египте, так и во Французской Северной Африке увенчались значительным успехом. Мы уже проникли глубоко в Киренаику. Тобрук только что взят. Так называемая бронетанковая армия теперь низведена до весьма небольшой, подвергающейся сильному нажиму группы, насчитывающей едва 20 танков, и мы ее преследуем по пятам. Мне представляется почти несомненным, что Бенгази будет скоро занят и что противник попытается отступить в Триполитанию, удерживая линию у Агейла. Он уже эвакуирует склады из Бенгази и пытается создать новые импровизированные небольшие базы в заливе Сирта.</w:t>
      </w:r>
    </w:p>
    <w:p w14:paraId="2C0AF4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“Факел” пылает хорошо, и генерал Эйзенхауэр и наши командующие твердо надеются на завоевание полного контроля над Французской Северной Африкой и на создание превосходящих военно-воздушных сил на тунисском выступе. До сих пор все большие конвои с войсками прошли или проходят благополучно через океан и из Великобритании. Мы надеемся создать сильную антигерманскую французскую армию в Северной Африке под командованием генерала Жиро.</w:t>
      </w:r>
    </w:p>
    <w:p w14:paraId="3B50257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5. Политическая реакция в Испании и Португалии была в высшей степени удовлетворительной, и опасность того, что порт Гибралтара и аэродром будут приведены в негодность, пока перестала причинять беспокойство. Германское вторжение во Францию Виши </w:t>
      </w:r>
      <w:r w:rsidRPr="00722885">
        <w:rPr>
          <w:color w:val="000000" w:themeColor="text1"/>
          <w:sz w:val="16"/>
          <w:szCs w:val="16"/>
          <w:vertAlign w:val="superscript"/>
        </w:rPr>
        <w:t>33</w:t>
      </w:r>
      <w:r w:rsidRPr="00722885">
        <w:rPr>
          <w:color w:val="000000" w:themeColor="text1"/>
          <w:sz w:val="16"/>
          <w:szCs w:val="16"/>
        </w:rPr>
        <w:t>, которое мы, а также Вы предвидели в наших переговорах,— к лучшему. Яд парализующего влияния Виши на французскую нацию ослабеет, и весь народ скоро научится ненавидеть немцев так же сильно, как их ненавидят в оккупированной зоне. Будущее тулонского флота</w:t>
      </w:r>
      <w:r w:rsidRPr="00722885">
        <w:rPr>
          <w:color w:val="000000" w:themeColor="text1"/>
          <w:sz w:val="16"/>
          <w:szCs w:val="16"/>
          <w:vertAlign w:val="superscript"/>
        </w:rPr>
        <w:t>34</w:t>
      </w:r>
      <w:r w:rsidRPr="00722885">
        <w:rPr>
          <w:color w:val="000000" w:themeColor="text1"/>
          <w:sz w:val="16"/>
          <w:szCs w:val="16"/>
        </w:rPr>
        <w:t xml:space="preserve"> неясно. Немцы не почувствовали себя достаточно сильными, чтобы потребовать его передачи, и, как сообщают, они намерены не занимать Тулон. Адмирал Дарлан, который находится в нашей власти, приказал флоту отплыть в порты Западной Африки. Однако сомнительно, будет ли выполнен этот приказ.</w:t>
      </w:r>
    </w:p>
    <w:p w14:paraId="0CBADF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Значительное изменение положения произошло вдоль всего африканского побережья, и это можно использовать. Если мы сможем открыть путь для военного транспорта через Средиземное море, проблема нашего судоходства будет значительно облегчена и мы войдем с Турцией в контакт более тесный, чем это до сих пор было возможно. Я поддерживаю контакт с Президентом Рузвельтом, который весьма обрадован успехом американцев. Нужно будет через несколько дней снова рассмотреть все положение с целью предпринять дальнейшие очень сильные действия. Я сообщу Вам в ближайшее время, каковы наши планы на будущее. Я уверен, что Вы знаете, насколько сильно мы желаем снять с Вас часть чрезмерного бремени, которое Вы стойко несли в течение последних суровых месяцев. Тем временем я исхожу из предположения, что Вы по-прежнему уверены в том, что в течение зимних месяцев через Кавказский хребет не пройдут (7430).</w:t>
      </w:r>
    </w:p>
    <w:p w14:paraId="78136A45" w14:textId="77777777" w:rsidR="00090C9B" w:rsidRPr="00722885" w:rsidRDefault="00090C9B" w:rsidP="00722885">
      <w:pPr>
        <w:pStyle w:val="Iauiue"/>
        <w:jc w:val="both"/>
        <w:rPr>
          <w:color w:val="000000" w:themeColor="text1"/>
          <w:sz w:val="16"/>
          <w:szCs w:val="16"/>
        </w:rPr>
      </w:pPr>
    </w:p>
    <w:p w14:paraId="1BE0D8F9"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BF07E55" w14:textId="77777777" w:rsidR="00090C9B" w:rsidRPr="00722885" w:rsidRDefault="00090C9B" w:rsidP="00722885">
      <w:pPr>
        <w:pStyle w:val="Iauiue"/>
        <w:jc w:val="both"/>
        <w:rPr>
          <w:iCs/>
          <w:color w:val="000000" w:themeColor="text1"/>
          <w:sz w:val="16"/>
          <w:szCs w:val="16"/>
        </w:rPr>
      </w:pPr>
    </w:p>
    <w:p w14:paraId="4CABFC2E" w14:textId="77777777" w:rsidR="00546E6F" w:rsidRPr="00722885" w:rsidRDefault="00546E6F" w:rsidP="00722885">
      <w:pPr>
        <w:spacing w:after="0" w:line="240" w:lineRule="auto"/>
        <w:jc w:val="both"/>
        <w:rPr>
          <w:rFonts w:ascii="Times New Roman" w:hAnsi="Times New Roman"/>
          <w:color w:val="0070C0"/>
          <w:sz w:val="16"/>
          <w:szCs w:val="16"/>
          <w:lang w:val="en-US"/>
        </w:rPr>
      </w:pPr>
      <w:r w:rsidRPr="00722885">
        <w:rPr>
          <w:rFonts w:ascii="Times New Roman" w:hAnsi="Times New Roman"/>
          <w:color w:val="0070C0"/>
          <w:sz w:val="16"/>
          <w:szCs w:val="16"/>
        </w:rPr>
        <w:t>13 ноября 1942 поплавковый самолет Vought OS2U Kingfisher ВМС США спасает американского аса Первой мировой войны Эдди Рикенбакера и двух других выживших после падения Boeing B-17D Flying Fortress со спасательного плота. Они</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плыли</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по</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Тихому</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океану</w:t>
      </w:r>
      <w:r w:rsidRPr="00722885">
        <w:rPr>
          <w:rFonts w:ascii="Times New Roman" w:hAnsi="Times New Roman"/>
          <w:color w:val="0070C0"/>
          <w:sz w:val="16"/>
          <w:szCs w:val="16"/>
          <w:lang w:val="en-US"/>
        </w:rPr>
        <w:t xml:space="preserve"> 22 </w:t>
      </w:r>
      <w:r w:rsidRPr="00722885">
        <w:rPr>
          <w:rFonts w:ascii="Times New Roman" w:hAnsi="Times New Roman"/>
          <w:color w:val="0070C0"/>
          <w:sz w:val="16"/>
          <w:szCs w:val="16"/>
        </w:rPr>
        <w:t>дня</w:t>
      </w:r>
      <w:r w:rsidRPr="00722885">
        <w:rPr>
          <w:rFonts w:ascii="Times New Roman" w:hAnsi="Times New Roman"/>
          <w:color w:val="0070C0"/>
          <w:sz w:val="16"/>
          <w:szCs w:val="16"/>
          <w:lang w:val="en-US"/>
        </w:rPr>
        <w:t xml:space="preserve"> (20793).</w:t>
      </w:r>
    </w:p>
    <w:p w14:paraId="7CF64500" w14:textId="77777777" w:rsidR="00546E6F" w:rsidRPr="00722885" w:rsidRDefault="00546E6F" w:rsidP="00722885">
      <w:pPr>
        <w:spacing w:after="0" w:line="240" w:lineRule="auto"/>
        <w:jc w:val="both"/>
        <w:rPr>
          <w:rFonts w:ascii="Times New Roman" w:hAnsi="Times New Roman"/>
          <w:color w:val="0070C0"/>
          <w:sz w:val="16"/>
          <w:szCs w:val="16"/>
          <w:lang w:val="en-US"/>
        </w:rPr>
      </w:pPr>
    </w:p>
    <w:p w14:paraId="742B4D5B"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13, 1942: In Libya, the British 8th Army retakes Tobruk (3819).</w:t>
      </w:r>
    </w:p>
    <w:p w14:paraId="3C438B07" w14:textId="77777777" w:rsidR="00090C9B" w:rsidRPr="00722885" w:rsidRDefault="00090C9B" w:rsidP="00722885">
      <w:pPr>
        <w:pStyle w:val="Iauiue"/>
        <w:jc w:val="both"/>
        <w:rPr>
          <w:color w:val="000000" w:themeColor="text1"/>
          <w:sz w:val="16"/>
          <w:szCs w:val="16"/>
          <w:lang w:val="en-US"/>
        </w:rPr>
      </w:pPr>
    </w:p>
    <w:p w14:paraId="063965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ноября 1942 англичане отбили Тобрук (2245,9).</w:t>
      </w:r>
    </w:p>
    <w:p w14:paraId="6304717F" w14:textId="77777777" w:rsidR="00090C9B" w:rsidRPr="00722885" w:rsidRDefault="00090C9B" w:rsidP="00722885">
      <w:pPr>
        <w:pStyle w:val="Iauiue"/>
        <w:jc w:val="both"/>
        <w:rPr>
          <w:color w:val="000000" w:themeColor="text1"/>
          <w:sz w:val="16"/>
          <w:szCs w:val="16"/>
        </w:rPr>
      </w:pPr>
    </w:p>
    <w:p w14:paraId="3C82FC2A"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13 ноября </w:t>
      </w:r>
      <w:r w:rsidRPr="00722885">
        <w:rPr>
          <w:rFonts w:ascii="Times New Roman" w:hAnsi="Times New Roman"/>
          <w:color w:val="000000" w:themeColor="text1"/>
          <w:sz w:val="16"/>
          <w:szCs w:val="16"/>
        </w:rPr>
        <w:t>в 1942 году в Северо-Восточной Ливии британские войска снова овладевают Тобруком (14829).</w:t>
      </w:r>
    </w:p>
    <w:p w14:paraId="0810A7BC" w14:textId="77777777" w:rsidR="00922D34" w:rsidRPr="00722885" w:rsidRDefault="00922D34" w:rsidP="00722885">
      <w:pPr>
        <w:spacing w:after="0" w:line="240" w:lineRule="auto"/>
        <w:jc w:val="both"/>
        <w:rPr>
          <w:rFonts w:ascii="Times New Roman" w:hAnsi="Times New Roman"/>
          <w:color w:val="000000" w:themeColor="text1"/>
          <w:sz w:val="16"/>
          <w:szCs w:val="16"/>
        </w:rPr>
      </w:pPr>
    </w:p>
    <w:p w14:paraId="01FF8D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ноября 1942 А.Гитлер уверил Петена, что он не будет оккупировать Тулон (2245,9).</w:t>
      </w:r>
    </w:p>
    <w:p w14:paraId="43F45A2C" w14:textId="77777777" w:rsidR="00090C9B" w:rsidRPr="00722885" w:rsidRDefault="00090C9B" w:rsidP="00722885">
      <w:pPr>
        <w:pStyle w:val="Iauiue"/>
        <w:jc w:val="both"/>
        <w:rPr>
          <w:color w:val="000000" w:themeColor="text1"/>
          <w:sz w:val="16"/>
          <w:szCs w:val="16"/>
        </w:rPr>
      </w:pPr>
    </w:p>
    <w:p w14:paraId="10340FC0"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13 ноября </w:t>
      </w:r>
      <w:r w:rsidRPr="00722885">
        <w:rPr>
          <w:rFonts w:ascii="Times New Roman" w:hAnsi="Times New Roman"/>
          <w:color w:val="000000" w:themeColor="text1"/>
          <w:sz w:val="16"/>
          <w:szCs w:val="16"/>
        </w:rPr>
        <w:t>в 1942 году линкор «Хиеи» потоплен в боях за Гуадалканал (14829).</w:t>
      </w:r>
    </w:p>
    <w:p w14:paraId="384CE0FD" w14:textId="77777777" w:rsidR="00922D34" w:rsidRPr="00722885" w:rsidRDefault="00922D34" w:rsidP="00722885">
      <w:pPr>
        <w:spacing w:after="0" w:line="240" w:lineRule="auto"/>
        <w:jc w:val="both"/>
        <w:rPr>
          <w:rFonts w:ascii="Times New Roman" w:hAnsi="Times New Roman"/>
          <w:color w:val="000000" w:themeColor="text1"/>
          <w:sz w:val="16"/>
          <w:szCs w:val="16"/>
        </w:rPr>
      </w:pPr>
    </w:p>
    <w:p w14:paraId="7860122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8A4CCD1" w14:textId="77777777" w:rsidR="00090C9B" w:rsidRPr="00722885" w:rsidRDefault="00090C9B" w:rsidP="00722885">
      <w:pPr>
        <w:pStyle w:val="Iauiue"/>
        <w:jc w:val="both"/>
        <w:rPr>
          <w:iCs/>
          <w:color w:val="000000" w:themeColor="text1"/>
          <w:sz w:val="16"/>
          <w:szCs w:val="16"/>
        </w:rPr>
      </w:pPr>
    </w:p>
    <w:p w14:paraId="05522A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ноября 1942 С.В.И. писал А.И.Ш. письмо N 671с:</w:t>
      </w:r>
    </w:p>
    <w:p w14:paraId="3C312E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пушки Волкова-Ярцева, стоящей на самолете Ил-2, разработан броневой снаряд путем уменьшения его калибра до 14.5 мм вместо 23 мм, при неизменном размере патрона.</w:t>
      </w:r>
    </w:p>
    <w:p w14:paraId="45D474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проведенным испытаниям этот бронебойный снаряд пробивает броню 50 мм на дистанции 150 м.</w:t>
      </w:r>
    </w:p>
    <w:p w14:paraId="028AF2F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Целесообразно в срочном порядке спроектировать и сделать установку боепитания под этот снаряд на самолете Ил-2 и провести соответствующие испытания.</w:t>
      </w:r>
    </w:p>
    <w:p w14:paraId="2796F9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Прошу Вас разрешить спроектировать новое боепитание пушки ВЯ на самолете Ил-2 и дать указание заводу 18 установить на одном из серийных самолетов (1680,180).</w:t>
      </w:r>
    </w:p>
    <w:p w14:paraId="65DDE222" w14:textId="77777777" w:rsidR="00090C9B" w:rsidRPr="00722885" w:rsidRDefault="00090C9B" w:rsidP="00722885">
      <w:pPr>
        <w:pStyle w:val="Iauiue"/>
        <w:jc w:val="both"/>
        <w:rPr>
          <w:color w:val="000000" w:themeColor="text1"/>
          <w:sz w:val="16"/>
          <w:szCs w:val="16"/>
        </w:rPr>
      </w:pPr>
    </w:p>
    <w:p w14:paraId="0C3924D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7473AEE" w14:textId="77777777" w:rsidR="00090C9B" w:rsidRPr="00722885" w:rsidRDefault="00090C9B" w:rsidP="00722885">
      <w:pPr>
        <w:pStyle w:val="Iauiue"/>
        <w:jc w:val="both"/>
        <w:rPr>
          <w:iCs/>
          <w:color w:val="000000" w:themeColor="text1"/>
          <w:sz w:val="16"/>
          <w:szCs w:val="16"/>
        </w:rPr>
      </w:pPr>
    </w:p>
    <w:p w14:paraId="52AC6260" w14:textId="77777777" w:rsidR="006E2EE2" w:rsidRPr="00722885" w:rsidRDefault="006E2EE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14 ноября 1942 года по запросу директора ЗИЗ Лихачева из Арткома пришли тактико-технические требования на «самоходную установку 37 мм зенитной пушки на вездеходе ЗИС-42». Согласно им, кабина и моторное отделение закрывались броней, а зенитная установка получала щитовое прикрытие. Отдельно в требованиях указывалось на необходимость переделки кабины для создания комфортных условий для водителя. Также оговаривалась переделка воздуховодов моторного отделения и капота, что должно было обеспечить нормальный доступ к двигателю. ГАУ КА снова настаивало на том, что боевая масса машины не должна превышать 6,5 тонн. Как именно артиллеристы представляли себе снижение массы при ничуть не меньшем бронировании и требовании иметь у САУ платформу с бортами, сказать трудно.</w:t>
      </w:r>
    </w:p>
    <w:p w14:paraId="3A46D345" w14:textId="77777777" w:rsidR="006E2EE2" w:rsidRPr="00722885" w:rsidRDefault="006E2EE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конструированием на ЗИС тянуть не стали — на испытания ЗИС-43 вышла уже 15 декабря 1942 года. В этот раз в качестве базы использовались новое шасси ЗИС-42. На опытный образец броневую сталь тратить не стали, ограничившись котельным железом. Внешне бронировка моторного отсека и кабина были похожи на бронировку и кабину ЗИС-41, но с рядом нюансов. Конструкцию жалюзи переделали, так что ситуация с охлаждением улучшилась. С другой стороны, боевая масса САУ выросла еще больше – до 8750 килограмм, так что нагрузка на мотор выросла (17671).</w:t>
      </w:r>
    </w:p>
    <w:p w14:paraId="4A23C21A" w14:textId="77777777" w:rsidR="006E2EE2" w:rsidRPr="00722885" w:rsidRDefault="006E2EE2" w:rsidP="00722885">
      <w:pPr>
        <w:spacing w:after="0" w:line="240" w:lineRule="auto"/>
        <w:jc w:val="both"/>
        <w:rPr>
          <w:rFonts w:ascii="Times New Roman" w:hAnsi="Times New Roman"/>
          <w:color w:val="000000" w:themeColor="text1"/>
          <w:sz w:val="16"/>
          <w:szCs w:val="16"/>
        </w:rPr>
      </w:pPr>
    </w:p>
    <w:p w14:paraId="58DA36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ноября 1942 вышло ПОСТАНОВЛЕНИЕ ВОЕННОГО СОВЕТА ДАЛЬНЕВОСТОЧНОГО ФРОНТА № 25/с г.Хабаровск</w:t>
      </w:r>
    </w:p>
    <w:p w14:paraId="466CFB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Заслушав доклад Начальника Сануправления Дальний Восток фронта бригврача т. КУПЕРИНА о недостаче полноценных белков в красноармейском пайке, ввиду недостатка мяса и поступления его с перебоями, что при усиленной учебе в поле и физической нагрузке на оборонных работах приводит к ослаблению физического состояния бойцов. Компенсировав недостачу полноценных белков можно путем использования местных ресурсов- организовав производство белковых дрожжей на отходах Хорского спиртового завода .</w:t>
      </w:r>
    </w:p>
    <w:p w14:paraId="5E0688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ВОЕНСОВЕТ ПОСТАНОВЛЯЕТ:</w:t>
      </w:r>
    </w:p>
    <w:p w14:paraId="3BA11A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1.Просит зам. наркома обороны тов. ХРУЛЕВА</w:t>
      </w:r>
    </w:p>
    <w:p w14:paraId="2E8B290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возбудить ходатайство перед Главком Гидролизной промышленности санкционировать постройку дрожжевого цеха при Хорском спиртовом заводе, ассигновав для этой цели 600.000 рублей.</w:t>
      </w:r>
    </w:p>
    <w:p w14:paraId="2BB130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узаконить суточную норму отпуска сухих белковых дрожжей в красноармейский паек для частей ДВФ в количестве 30 грамм.</w:t>
      </w:r>
    </w:p>
    <w:p w14:paraId="47AFEAD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Проектирование и начало работ финансировать КЭО фронта из кредитов отпущенных на строительство 4-го квартала 1942 г. Одновременно просить секретаря Крайкома ВКП(б) по хабаровскому краю тов. БОРКОВА возбудить ходатайство перед Главком Гидролизной промышленности санкционировать постройку дрожжевого цеха и ассигновать 600.000 рублей.</w:t>
      </w:r>
    </w:p>
    <w:p w14:paraId="42D016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Просить Хабаровский крайисполком обязать директора Хорского Спиртоводочного завода построить 4 деревянных чана емкостью в 200 куб. метров каждый.Срок окончания работ 20.1. 1943 года. Рабочая сила и средства наши. директор только руководить.</w:t>
      </w:r>
    </w:p>
    <w:p w14:paraId="43EF12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КОМАНДУЮЩИЙ ВОЙСКАМИ ЧЛЕН ВОЕННОГО ДВ ФРОНТА ГЕНЕРАЛ АРМИИ СОВЕТА ДВ ФРОНТА (АПАНАСЕНКО) Подпись КОРПУСНОЙ КОМИССАР Подпись ЯКОВЛЕВ</w:t>
      </w:r>
    </w:p>
    <w:p w14:paraId="45A9E43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Машинопись,деят.предприятий,ф. 35, оп. 1, д. 980, л. 29, 29об (10701).</w:t>
      </w:r>
    </w:p>
    <w:p w14:paraId="21A4908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14A867B" w14:textId="77777777" w:rsidR="00922D34"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315EFED" w14:textId="77777777" w:rsidR="00922D34" w:rsidRPr="00722885" w:rsidRDefault="00922D34" w:rsidP="00722885">
      <w:pPr>
        <w:pStyle w:val="Iauiue"/>
        <w:jc w:val="both"/>
        <w:rPr>
          <w:iCs/>
          <w:color w:val="000000" w:themeColor="text1"/>
          <w:sz w:val="16"/>
          <w:szCs w:val="16"/>
        </w:rPr>
      </w:pPr>
    </w:p>
    <w:p w14:paraId="5BA24FBB"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14 ноября</w:t>
      </w:r>
      <w:r w:rsidRPr="00722885">
        <w:rPr>
          <w:rFonts w:ascii="Times New Roman" w:hAnsi="Times New Roman"/>
          <w:color w:val="000000" w:themeColor="text1"/>
          <w:sz w:val="16"/>
          <w:szCs w:val="16"/>
        </w:rPr>
        <w:t xml:space="preserve"> в 1942 году утреннее сообщение Совинформбюро:</w:t>
      </w:r>
    </w:p>
    <w:p w14:paraId="7CD9A3B4"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14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446A2A60"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противник силою свыше двух полков пехоты неоднократно атаковал наши позиции в заводской части города. Наши войска отбили атаки врага и ведут бои за восстановление положения на участке, где немцам накануне удалось незначительно продвинуться вперёд. В течение вчерашнего дня нашими бойцами уничтожено до 900 немецких солдат и офицеров, 8 танков, 24 автомашины, 8 орудий, 19 миномётов, 18 пулемётов, разрушено 5 дзотов и блиндажей противника.</w:t>
      </w:r>
    </w:p>
    <w:p w14:paraId="37E873A0"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продолжали вести активные боевые действияи заняли несколько позиций противника. Н-ское танковое подразделение уничтожило 6 немецких танков, 2 орудия и истребило 150 гитлеровцев. Бойцы тт. Саламатин, Ларин, Кудрянов и Терентьев за два дня подбили и сожгли 2 танка и 15 автомашин противника. Снайпер т. Горбус за это же время истребил 15 гитлеровцев. Ввоздушных боях и огнём зенитной артиллерии сбито 8 и подбито 3 немецких самолёта.</w:t>
      </w:r>
    </w:p>
    <w:p w14:paraId="6BA8974A"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огневым налётом артиллеристов Н-ской части разбито и сожжено 11 автомашин, рассеяно и частью уничтожено до роты пехоты противника. Наши разведчики ночью проникли в занятый немцами населённый пункт, истребили до 30 гитлеровцев, подожгли склад горючего и без потерь вернулись в свою часть.</w:t>
      </w:r>
    </w:p>
    <w:p w14:paraId="3DC0EDBD"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на одном участке несколько продвинулись вперёд, разгромив роту пехоты противника. Захвачены трофеи и документы штаба.Пленные 1 батальона 13 горнострелкового немецкого полка заявили, что их батальонпочти полностью уничтожен. В первой роте этого батальона осталось в наличии всего лишь два человека.</w:t>
      </w:r>
    </w:p>
    <w:p w14:paraId="2D6D4F3E"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происходила перестрелка и поиски разведчиков. Наши разведывательные группы взорвали 2 немецких дзота, сожгли автомашину, танк иуничтожили 39 немецких солдат и офицеров. Снайперы Н-ской части в течение дня истребили 75 немцев.</w:t>
      </w:r>
    </w:p>
    <w:p w14:paraId="5585C05C"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и зенитчики за два дня сбили 8 самолётов противника.</w:t>
      </w:r>
    </w:p>
    <w:p w14:paraId="0731642A"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участке Северо-Западного фронта восемь бойцов во главе с лейтенантом Ниловым пробрались в тыл врага. Выяснив место расположения огневых точек противника, разведчики по радио сообщили об этом артиллеристам. Огнём нашей артиллерии уничтожена немецкая батарея тяжёлых миномётов с их прислугой.</w:t>
      </w:r>
    </w:p>
    <w:p w14:paraId="0CDC5177"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ноября три партизанских отряда, действующие в Орловской области, совместными силами напали на немецкий гарнизон в одном населённом пункте. Партизаны уничтожили вражескую бронемашину, 2 пушки и 5 станковых пулемётов. В бою истреблено 78 гитлеровцев. Группа орловских партизан пустила под откос два немецких железнодорожных эшелона. Разбито 3 вагона и 28 платформ с грузами. Под обломками вагонов погибло 40 немецких солдат.</w:t>
      </w:r>
    </w:p>
    <w:p w14:paraId="7B2DEA2A"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заняв город Бихач, продолжают вести активные бои с оккупантами. Преследуя врага, партизаны заняли десятки населённых пунктов. Захвачено в плен 850 вражеских солдат и 20 офицеров. Партизаны захватили также 900 винтовок, много станковых и ручных пулемётов.» (14830).</w:t>
      </w:r>
    </w:p>
    <w:p w14:paraId="2B7D4658" w14:textId="77777777" w:rsidR="00922D34" w:rsidRPr="00722885" w:rsidRDefault="00922D34" w:rsidP="00722885">
      <w:pPr>
        <w:spacing w:after="0" w:line="240" w:lineRule="auto"/>
        <w:jc w:val="both"/>
        <w:rPr>
          <w:rFonts w:ascii="Times New Roman" w:hAnsi="Times New Roman"/>
          <w:color w:val="000000" w:themeColor="text1"/>
          <w:sz w:val="16"/>
          <w:szCs w:val="16"/>
        </w:rPr>
      </w:pPr>
    </w:p>
    <w:p w14:paraId="000065D4"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14 ноября</w:t>
      </w:r>
      <w:r w:rsidRPr="00722885">
        <w:rPr>
          <w:rFonts w:ascii="Times New Roman" w:hAnsi="Times New Roman"/>
          <w:color w:val="000000" w:themeColor="text1"/>
          <w:sz w:val="16"/>
          <w:szCs w:val="16"/>
        </w:rPr>
        <w:t xml:space="preserve"> в 1942 году вечернее сообщение Совинформбюро:</w:t>
      </w:r>
    </w:p>
    <w:p w14:paraId="2A4F30E9"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14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3B142BA5"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13 ноября нашей авиацией на различных участках фронта уничтожено 10 немецких танков, до 40 автомашин с войсками и грузами, подавлен огонь 3 артиллерийских батарей, рассеяно и частью уничтожено до роты пехоты противника.</w:t>
      </w:r>
    </w:p>
    <w:p w14:paraId="0FDB27C5"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происходили ожесточённые бои. В заводской части города противник непрерывно атакует наши позиции. На этом участке третьи сутки днём и ночью продолжаются бои, часто переходящие в рукопашные схватки. Защитники города самоотверженно отбивают все атаки гитлеровцев. Лишь на одной улице противнику удалось потеснить наши подразделения. За три дня боёв наши бойцы уничтожили 17 танков, 14 орудий, 36 миномётов и несколько тысяч немецких солдат и офицеров. За это же время над линией фронта сбито 13 немецких самолётов.</w:t>
      </w:r>
    </w:p>
    <w:p w14:paraId="65916756"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свои позиции, вели разведкуи артиллерийскую перестрелку с противником. Рано утром над боевыми порядками нашей пехоты появились 8 немецких бомбардировщиков. Орудийный расчёт младшего лейтенанта Румянцева открыл огонь и сбил 3 немецких самолёта.</w:t>
      </w:r>
    </w:p>
    <w:p w14:paraId="163645FB"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совершили налёт на расположение противника. Бомбёжкой с небольшой высоты было вызвано 8 очагов пожара и 2 сильных взрыва. Все советские самолёты вернулись на свою базу.</w:t>
      </w:r>
    </w:p>
    <w:p w14:paraId="3B276BB3"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вели активные боевые действия и заняли несколько вражеских позиций. Противник оказывает сопротивление и контратаками пытается задержать продвижение наших частей. На одном участке бойцы Н-ской части заняли мост через реку, имеющий важное тактическое значение. На другом участке танки и автоматчики противника атаковали наши позиции. После ожесточённого боя, во время которого было подбито 8 немецких танков, 2 автомашины и истреблено 150 вражеских автоматчиков, противник отошёл на исходные рубежи.</w:t>
      </w:r>
    </w:p>
    <w:p w14:paraId="725B90BC"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отбивали атаки войск противника, получивших новые подкрепления. В течение дня подбито и сожжено 11 немецких танков, 17 автомашин с пехотой и боеприпасами. Огнём артиллерии и миномётов рассеяно и частично истреблено до двух рот вражеской пехоты.</w:t>
      </w:r>
    </w:p>
    <w:p w14:paraId="3DCC6CEA"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в начале ноября из засад уничтожил 5 немецких автомашин, 11 мотоциклов и 117 немецко-фашистских захватчиков. Партизаны захватили 6 пулемётов, 3 миномёта, 30 винтовок, 8 пистолетов, 148 мин и 2.000 патронов. Объединёнными силами трёх партизанских отрядов, действующих в Гомельской области, пущено под откос 2 железнодорожных эшелона и повреждён бронепоезд противника.</w:t>
      </w:r>
    </w:p>
    <w:p w14:paraId="667B2725"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обер-фельдфебель стрелок-радист сбитого немецкого бомбардировщика Бено Шольц рассказал: «B конце сентября я окончил лётную школу в Нейштадте, а 2 октября выехал на фронт. По дороге между Минском и Смоленском партизаны обстреляли наш поезд. В вагоне, в котором я ехал, было ранено 9 лётчиков. 18 октября я совершил первый боевой вылет. Советская зенитная артиллерия открыла огонь и подбила мой самолёт. Я выбросился с парашютом и, приземлившись, сдался в плен».</w:t>
      </w:r>
    </w:p>
    <w:p w14:paraId="1D99A3FD"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разграбили и сожгли дотла деревни Алексино и Шушелово, Ленинградской области. В деревне Алексино фашистские палачи повесили учительницу и четырёх колхозниц. Гитлеровцы арестовали и бросили в концентрационный лагерь более 50 мирных жителей этих деревень. Всех остальных крестьян немцы под конвоем угнали на принудительные работы.</w:t>
      </w:r>
    </w:p>
    <w:p w14:paraId="2A34E9D1"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Поражение итало-немецких войск в Египте произвело в Италии угнетающее впечатление. В стране заметно оживилась деятельность подпольных антифашистских организаций и групп, требующих разрыва с гитлеровской Германией и выхода Италии из войны. B Милане, Неаполе и других городах жандармерия произвела многочисленные аресты среди солдат и унтер-офицеров. Арестованных заковали в кандалы и отправили в концентрационный лагерь на остров Асинара.» (14830).</w:t>
      </w:r>
    </w:p>
    <w:p w14:paraId="4AFAC6A6" w14:textId="77777777" w:rsidR="00922D34" w:rsidRPr="00722885" w:rsidRDefault="00922D34" w:rsidP="00722885">
      <w:pPr>
        <w:spacing w:after="0" w:line="240" w:lineRule="auto"/>
        <w:jc w:val="both"/>
        <w:rPr>
          <w:rFonts w:ascii="Times New Roman" w:hAnsi="Times New Roman"/>
          <w:color w:val="000000" w:themeColor="text1"/>
          <w:sz w:val="16"/>
          <w:szCs w:val="16"/>
        </w:rPr>
      </w:pPr>
    </w:p>
    <w:p w14:paraId="11A3B25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4FFD5386" w14:textId="77777777" w:rsidR="00090C9B" w:rsidRPr="00722885" w:rsidRDefault="00090C9B" w:rsidP="00722885">
      <w:pPr>
        <w:pStyle w:val="Iauiue"/>
        <w:jc w:val="both"/>
        <w:rPr>
          <w:iCs/>
          <w:color w:val="000000" w:themeColor="text1"/>
          <w:sz w:val="16"/>
          <w:szCs w:val="16"/>
        </w:rPr>
      </w:pPr>
    </w:p>
    <w:p w14:paraId="447A24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14 ноября 1942 года</w:t>
      </w:r>
    </w:p>
    <w:p w14:paraId="1CC607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ЛИЧНОЕ И СЕКРЕТНОЕ ПОСЛАНИЕ ОТ ПРЕМЬЕРА СТАЛИНА ПРЕМЬЕР-МИНИСТРУ г. ЧЕРЧИЛЛЮ</w:t>
      </w:r>
    </w:p>
    <w:p w14:paraId="7429E21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Благодарю Вас за Ваше послание от 13 ноября. Мы все здесь очень обрадованы Вашими успехами в Ливии и успехами англо-американских войск во Французской Африке. Разрешите от души поздравить Вас с победой и пожелать Вам дальнейших успехов.</w:t>
      </w:r>
    </w:p>
    <w:p w14:paraId="05D356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последние дни удалось приостановить продвижение немцев под Владикавказом и стабилизировать положение. Владикавказ в наших руках и, как мне кажется, останется у нас. Принимаем все возможные меры для удержания наших позиций на Северном Кавказе.</w:t>
      </w:r>
    </w:p>
    <w:p w14:paraId="17AB99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ближайшее время думаем начать зимнюю кампанию, именно удастся начать, это зависит от погоды, которая не в нашей власти. О ходе операций буду осведомлять Вас регулярно (7430).</w:t>
      </w:r>
    </w:p>
    <w:p w14:paraId="2D1A00BA" w14:textId="77777777" w:rsidR="00090C9B" w:rsidRPr="00722885" w:rsidRDefault="00090C9B" w:rsidP="00722885">
      <w:pPr>
        <w:pStyle w:val="Iauiue"/>
        <w:jc w:val="both"/>
        <w:rPr>
          <w:color w:val="000000" w:themeColor="text1"/>
          <w:sz w:val="16"/>
          <w:szCs w:val="16"/>
        </w:rPr>
      </w:pPr>
    </w:p>
    <w:p w14:paraId="599AA3FB" w14:textId="77777777" w:rsidR="00922D34"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C91A7CE" w14:textId="77777777" w:rsidR="00922D34" w:rsidRPr="00722885" w:rsidRDefault="00922D34" w:rsidP="00722885">
      <w:pPr>
        <w:pStyle w:val="Iauiue"/>
        <w:jc w:val="both"/>
        <w:rPr>
          <w:iCs/>
          <w:color w:val="000000" w:themeColor="text1"/>
          <w:sz w:val="16"/>
          <w:szCs w:val="16"/>
        </w:rPr>
      </w:pPr>
    </w:p>
    <w:p w14:paraId="77652E76"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ноября 1942 во время морского сражения за Гуадалканал самолеты ВМС США с авианосца USS Enterprise (CV-6) и самолеты Корпуса морской пехоты США из Хендерсон-Филд повредили, а затем и потопили японский линкор Hiei в проливе Айронботтом к северу от Гуадалканала в серии воздушных атак в течение дня. В тот вечер Хиеи тонет (20793).</w:t>
      </w:r>
    </w:p>
    <w:p w14:paraId="7FB45495" w14:textId="77777777" w:rsidR="00546E6F" w:rsidRPr="00722885" w:rsidRDefault="00546E6F" w:rsidP="00722885">
      <w:pPr>
        <w:spacing w:after="0" w:line="240" w:lineRule="auto"/>
        <w:jc w:val="both"/>
        <w:rPr>
          <w:rFonts w:ascii="Times New Roman" w:hAnsi="Times New Roman"/>
          <w:color w:val="0070C0"/>
          <w:sz w:val="16"/>
          <w:szCs w:val="16"/>
        </w:rPr>
      </w:pPr>
    </w:p>
    <w:p w14:paraId="441DD1BD"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14 ноября 1942 немецкая подводная лодка U-155 торпедирует и топит британский авианосец HMS Avenger у берегов Гибралтара с потерей всех, кроме 17 членов экипажа (20793).</w:t>
      </w:r>
    </w:p>
    <w:p w14:paraId="47041202" w14:textId="77777777" w:rsidR="00546E6F" w:rsidRPr="00722885" w:rsidRDefault="00546E6F" w:rsidP="00722885">
      <w:pPr>
        <w:spacing w:after="0" w:line="240" w:lineRule="auto"/>
        <w:jc w:val="both"/>
        <w:rPr>
          <w:rFonts w:ascii="Times New Roman" w:hAnsi="Times New Roman"/>
          <w:color w:val="0070C0"/>
          <w:sz w:val="16"/>
          <w:szCs w:val="16"/>
        </w:rPr>
      </w:pPr>
    </w:p>
    <w:p w14:paraId="1ADF5897" w14:textId="77777777" w:rsidR="00922D34" w:rsidRPr="00722885" w:rsidRDefault="00922D34"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14 ноября</w:t>
      </w:r>
      <w:r w:rsidRPr="00722885">
        <w:rPr>
          <w:rFonts w:ascii="Times New Roman" w:hAnsi="Times New Roman"/>
          <w:color w:val="000000" w:themeColor="text1"/>
          <w:sz w:val="16"/>
          <w:szCs w:val="16"/>
        </w:rPr>
        <w:t xml:space="preserve"> в 1942 году линкоры Вашингтон и Южная Дакота потопили линкор Кирисима (14830).</w:t>
      </w:r>
    </w:p>
    <w:p w14:paraId="055648AA" w14:textId="77777777" w:rsidR="00922D34" w:rsidRPr="00722885" w:rsidRDefault="00922D34" w:rsidP="00722885">
      <w:pPr>
        <w:spacing w:after="0" w:line="240" w:lineRule="auto"/>
        <w:jc w:val="both"/>
        <w:rPr>
          <w:rFonts w:ascii="Times New Roman" w:hAnsi="Times New Roman"/>
          <w:color w:val="000000" w:themeColor="text1"/>
          <w:sz w:val="16"/>
          <w:szCs w:val="16"/>
        </w:rPr>
      </w:pPr>
    </w:p>
    <w:p w14:paraId="5A2E50E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DE1F7F8" w14:textId="77777777" w:rsidR="00090C9B" w:rsidRPr="00722885" w:rsidRDefault="00090C9B" w:rsidP="00722885">
      <w:pPr>
        <w:pStyle w:val="Iauiue"/>
        <w:jc w:val="both"/>
        <w:rPr>
          <w:iCs/>
          <w:color w:val="000000" w:themeColor="text1"/>
          <w:sz w:val="16"/>
          <w:szCs w:val="16"/>
        </w:rPr>
      </w:pPr>
    </w:p>
    <w:p w14:paraId="20F2C75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ноября 1942 ГИ ВВС КА А.E.Репин и Зам. НКАП Дементьев 11 ноября 1942 утвердили Отчет о совместных испытаниях Пе-8 (ТБ-7) с 4хМ-82, которые продолжались с 3 апреля по 24 октября 1942 (994,8).</w:t>
      </w:r>
    </w:p>
    <w:p w14:paraId="1CD59A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Отчет о совместных испытаниях Пе-8 с 4М-82</w:t>
      </w:r>
    </w:p>
    <w:p w14:paraId="49823D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Утв.:</w:t>
      </w:r>
    </w:p>
    <w:p w14:paraId="2475C4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ГИ ВВС </w:t>
      </w:r>
      <w:r w:rsidRPr="00722885">
        <w:rPr>
          <w:rFonts w:ascii="Times New Roman" w:hAnsi="Times New Roman"/>
          <w:color w:val="000000" w:themeColor="text1"/>
          <w:sz w:val="16"/>
          <w:szCs w:val="16"/>
        </w:rPr>
        <w:tab/>
        <w:t>Зам. НКАП</w:t>
      </w:r>
    </w:p>
    <w:p w14:paraId="551292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ВВС</w:t>
      </w:r>
      <w:r w:rsidRPr="00722885">
        <w:rPr>
          <w:rFonts w:ascii="Times New Roman" w:hAnsi="Times New Roman"/>
          <w:color w:val="000000" w:themeColor="text1"/>
          <w:sz w:val="16"/>
          <w:szCs w:val="16"/>
        </w:rPr>
        <w:tab/>
        <w:t>Дементьев</w:t>
      </w:r>
    </w:p>
    <w:p w14:paraId="447D81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Репин</w:t>
      </w:r>
    </w:p>
    <w:p w14:paraId="1DE8EE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Подписан:</w:t>
      </w:r>
    </w:p>
    <w:p w14:paraId="0C213F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 НИИ ВВС</w:t>
      </w:r>
      <w:r w:rsidRPr="00722885">
        <w:rPr>
          <w:rFonts w:ascii="Times New Roman" w:hAnsi="Times New Roman"/>
          <w:color w:val="000000" w:themeColor="text1"/>
          <w:sz w:val="16"/>
          <w:szCs w:val="16"/>
        </w:rPr>
        <w:tab/>
        <w:t>Зам. Начю. НИИ ВВС</w:t>
      </w:r>
      <w:r w:rsidRPr="00722885">
        <w:rPr>
          <w:rFonts w:ascii="Times New Roman" w:hAnsi="Times New Roman"/>
          <w:color w:val="000000" w:themeColor="text1"/>
          <w:sz w:val="16"/>
          <w:szCs w:val="16"/>
        </w:rPr>
        <w:tab/>
        <w:t>Директор з-да № 22</w:t>
      </w:r>
      <w:r w:rsidRPr="00722885">
        <w:rPr>
          <w:rFonts w:ascii="Times New Roman" w:hAnsi="Times New Roman"/>
          <w:color w:val="000000" w:themeColor="text1"/>
          <w:sz w:val="16"/>
          <w:szCs w:val="16"/>
        </w:rPr>
        <w:tab/>
        <w:t xml:space="preserve"> ГК изд. 42</w:t>
      </w:r>
    </w:p>
    <w:p w14:paraId="728A0A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Лосюков</w:t>
      </w:r>
      <w:r w:rsidRPr="00722885">
        <w:rPr>
          <w:rFonts w:ascii="Times New Roman" w:hAnsi="Times New Roman"/>
          <w:color w:val="000000" w:themeColor="text1"/>
          <w:sz w:val="16"/>
          <w:szCs w:val="16"/>
        </w:rPr>
        <w:tab/>
        <w:t>Чесалов</w:t>
      </w:r>
      <w:r w:rsidRPr="00722885">
        <w:rPr>
          <w:rFonts w:ascii="Times New Roman" w:hAnsi="Times New Roman"/>
          <w:color w:val="000000" w:themeColor="text1"/>
          <w:sz w:val="16"/>
          <w:szCs w:val="16"/>
        </w:rPr>
        <w:tab/>
        <w:t>?</w:t>
      </w:r>
      <w:r w:rsidRPr="00722885">
        <w:rPr>
          <w:rFonts w:ascii="Times New Roman" w:hAnsi="Times New Roman"/>
          <w:color w:val="000000" w:themeColor="text1"/>
          <w:sz w:val="16"/>
          <w:szCs w:val="16"/>
        </w:rPr>
        <w:tab/>
        <w:t>Незваль</w:t>
      </w:r>
    </w:p>
    <w:p w14:paraId="34B1EC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9.11.42</w:t>
      </w:r>
    </w:p>
    <w:p w14:paraId="28CF68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Отв. Исполнители:</w:t>
      </w:r>
    </w:p>
    <w:p w14:paraId="37F08C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вл ГСС комбриг Водопьянов</w:t>
      </w:r>
    </w:p>
    <w:p w14:paraId="223E321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 НИИ ВВС ип Ефимов</w:t>
      </w:r>
    </w:p>
    <w:p w14:paraId="4714D9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 ЛИИ НКАП Туманский</w:t>
      </w:r>
    </w:p>
    <w:p w14:paraId="05DC63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вм ЛИС з-да № 22 Аржаков</w:t>
      </w:r>
    </w:p>
    <w:p w14:paraId="72CEAD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 Ефимов</w:t>
      </w:r>
    </w:p>
    <w:p w14:paraId="7DEA76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Объект: С-т Пе-8 № 42047 с 4М-82 изг. Заводом № 22 согласно постановлению ГКО № 915 от 19 ноября 1941 и приказа НКАП № 1147 от 20 ноября 1941</w:t>
      </w:r>
    </w:p>
    <w:p w14:paraId="26CE42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Ход исполнения: испытания начаты 3 апреля 1942 и закончены 24 сентября 1942</w:t>
      </w:r>
    </w:p>
    <w:p w14:paraId="51C838A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полета, 58 час. Из общего количества 204 дней полеты произодились в течение 22 дней, ост. Время падает в основном на доводки моторов и ВМГ (замена 4-го мотора - 7 дней, замена мотора вып. Августа 1942 - 19 дн. И др.), нелетная погода - 21 день, осмотры и подготовка к полетам - 13 дн., подготовка полета на дальность - 15 дн.</w:t>
      </w:r>
    </w:p>
    <w:p w14:paraId="093208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Нагрузка: экипаж - 11 чел. - 999 кг, оружие с турелями - 165, прицел ПС-1 - 25, вспомогат. Оборуд - 90,4, боезапас - 332 кг, горючее - норм. 4095 кг, перегрузка - 11595 кг, масло - норм. 300, перегруз - 800, бомбы - 2000 (в норм. Вар-те), освет. Бомбы - 50, антифриз в доп. баки - 24 (только в перегруз), антифриз в крыльевые баки - 120 и 120. Нагрузка 8210 и 16210, пустой - от 18790, полетный - 27000-35000.</w:t>
      </w:r>
    </w:p>
    <w:p w14:paraId="5F8D57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Различия весов: с АМ-35А - 8831, с М-82 - 7639, разница - 1192</w:t>
      </w:r>
    </w:p>
    <w:p w14:paraId="4C503C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9B487A" w:rsidRPr="00722885" w14:paraId="0CB21743" w14:textId="77777777" w:rsidTr="00CC5360">
        <w:tc>
          <w:tcPr>
            <w:tcW w:w="1601" w:type="dxa"/>
            <w:tcBorders>
              <w:top w:val="single" w:sz="12" w:space="0" w:color="auto"/>
            </w:tcBorders>
          </w:tcPr>
          <w:p w14:paraId="3D28F56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w:t>
            </w:r>
          </w:p>
        </w:tc>
        <w:tc>
          <w:tcPr>
            <w:tcW w:w="1601" w:type="dxa"/>
            <w:tcBorders>
              <w:top w:val="single" w:sz="12" w:space="0" w:color="auto"/>
            </w:tcBorders>
          </w:tcPr>
          <w:p w14:paraId="675A87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w:t>
            </w:r>
          </w:p>
        </w:tc>
        <w:tc>
          <w:tcPr>
            <w:tcW w:w="1601" w:type="dxa"/>
            <w:tcBorders>
              <w:top w:val="single" w:sz="12" w:space="0" w:color="auto"/>
            </w:tcBorders>
          </w:tcPr>
          <w:p w14:paraId="170DC7C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 (средние)</w:t>
            </w:r>
          </w:p>
        </w:tc>
        <w:tc>
          <w:tcPr>
            <w:tcW w:w="1601" w:type="dxa"/>
            <w:tcBorders>
              <w:top w:val="single" w:sz="12" w:space="0" w:color="auto"/>
            </w:tcBorders>
          </w:tcPr>
          <w:p w14:paraId="06B58A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Давление</w:t>
            </w:r>
          </w:p>
        </w:tc>
        <w:tc>
          <w:tcPr>
            <w:tcW w:w="1601" w:type="dxa"/>
            <w:tcBorders>
              <w:top w:val="single" w:sz="12" w:space="0" w:color="auto"/>
            </w:tcBorders>
          </w:tcPr>
          <w:p w14:paraId="7D9CFFE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0B11FC90"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4C12EA4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872244C" w14:textId="77777777" w:rsidTr="00CC5360">
        <w:tc>
          <w:tcPr>
            <w:tcW w:w="1601" w:type="dxa"/>
          </w:tcPr>
          <w:p w14:paraId="27330FA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6CED2B5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61A5DF4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601" w:type="dxa"/>
          </w:tcPr>
          <w:p w14:paraId="3374C7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601" w:type="dxa"/>
          </w:tcPr>
          <w:p w14:paraId="2203E5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601" w:type="dxa"/>
          </w:tcPr>
          <w:p w14:paraId="0A7BF1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601" w:type="dxa"/>
          </w:tcPr>
          <w:p w14:paraId="4FF802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r>
      <w:tr w:rsidR="009B487A" w:rsidRPr="00722885" w14:paraId="62C15129" w14:textId="77777777" w:rsidTr="00CC5360">
        <w:tc>
          <w:tcPr>
            <w:tcW w:w="1601" w:type="dxa"/>
          </w:tcPr>
          <w:p w14:paraId="4DE777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601" w:type="dxa"/>
          </w:tcPr>
          <w:p w14:paraId="43DDD9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358</w:t>
            </w:r>
          </w:p>
        </w:tc>
        <w:tc>
          <w:tcPr>
            <w:tcW w:w="1601" w:type="dxa"/>
          </w:tcPr>
          <w:p w14:paraId="30DBDD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7DCC55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22F63B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5B4500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013B809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r>
      <w:tr w:rsidR="009B487A" w:rsidRPr="00722885" w14:paraId="7B9F1002" w14:textId="77777777" w:rsidTr="00CC5360">
        <w:tc>
          <w:tcPr>
            <w:tcW w:w="1601" w:type="dxa"/>
          </w:tcPr>
          <w:p w14:paraId="2D537B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601" w:type="dxa"/>
          </w:tcPr>
          <w:p w14:paraId="76A62D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376</w:t>
            </w:r>
          </w:p>
        </w:tc>
        <w:tc>
          <w:tcPr>
            <w:tcW w:w="1601" w:type="dxa"/>
          </w:tcPr>
          <w:p w14:paraId="603C87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0D1EB9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6EB32C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6AC777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c>
          <w:tcPr>
            <w:tcW w:w="1601" w:type="dxa"/>
          </w:tcPr>
          <w:p w14:paraId="01357A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950</w:t>
            </w:r>
          </w:p>
        </w:tc>
      </w:tr>
      <w:tr w:rsidR="009B487A" w:rsidRPr="00722885" w14:paraId="2D5114DE" w14:textId="77777777" w:rsidTr="00CC5360">
        <w:tc>
          <w:tcPr>
            <w:tcW w:w="1601" w:type="dxa"/>
          </w:tcPr>
          <w:p w14:paraId="203610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601" w:type="dxa"/>
          </w:tcPr>
          <w:p w14:paraId="551529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393</w:t>
            </w:r>
          </w:p>
        </w:tc>
        <w:tc>
          <w:tcPr>
            <w:tcW w:w="1601" w:type="dxa"/>
          </w:tcPr>
          <w:p w14:paraId="27F0EA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6061DC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c>
          <w:tcPr>
            <w:tcW w:w="1601" w:type="dxa"/>
          </w:tcPr>
          <w:p w14:paraId="255E12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c>
          <w:tcPr>
            <w:tcW w:w="1601" w:type="dxa"/>
          </w:tcPr>
          <w:p w14:paraId="24EA63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970</w:t>
            </w:r>
          </w:p>
        </w:tc>
        <w:tc>
          <w:tcPr>
            <w:tcW w:w="1601" w:type="dxa"/>
          </w:tcPr>
          <w:p w14:paraId="4EEB20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960</w:t>
            </w:r>
          </w:p>
        </w:tc>
      </w:tr>
      <w:tr w:rsidR="009B487A" w:rsidRPr="00722885" w14:paraId="33CC9DE2" w14:textId="77777777" w:rsidTr="00CC5360">
        <w:tc>
          <w:tcPr>
            <w:tcW w:w="1601" w:type="dxa"/>
          </w:tcPr>
          <w:p w14:paraId="1A9A4C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1601" w:type="dxa"/>
          </w:tcPr>
          <w:p w14:paraId="2C826C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w:t>
            </w:r>
          </w:p>
        </w:tc>
        <w:tc>
          <w:tcPr>
            <w:tcW w:w="1601" w:type="dxa"/>
          </w:tcPr>
          <w:p w14:paraId="22879F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480345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865</w:t>
            </w:r>
          </w:p>
        </w:tc>
        <w:tc>
          <w:tcPr>
            <w:tcW w:w="1601" w:type="dxa"/>
          </w:tcPr>
          <w:p w14:paraId="408BE01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840</w:t>
            </w:r>
          </w:p>
        </w:tc>
        <w:tc>
          <w:tcPr>
            <w:tcW w:w="1601" w:type="dxa"/>
          </w:tcPr>
          <w:p w14:paraId="512166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890</w:t>
            </w:r>
          </w:p>
        </w:tc>
        <w:tc>
          <w:tcPr>
            <w:tcW w:w="1601" w:type="dxa"/>
          </w:tcPr>
          <w:p w14:paraId="097049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880</w:t>
            </w:r>
          </w:p>
        </w:tc>
      </w:tr>
      <w:tr w:rsidR="009B487A" w:rsidRPr="00722885" w14:paraId="6B9D1AA2" w14:textId="77777777" w:rsidTr="00CC5360">
        <w:tc>
          <w:tcPr>
            <w:tcW w:w="1601" w:type="dxa"/>
          </w:tcPr>
          <w:p w14:paraId="4BD1C1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4000</w:t>
            </w:r>
          </w:p>
        </w:tc>
        <w:tc>
          <w:tcPr>
            <w:tcW w:w="1601" w:type="dxa"/>
          </w:tcPr>
          <w:p w14:paraId="48F7CE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392</w:t>
            </w:r>
          </w:p>
        </w:tc>
        <w:tc>
          <w:tcPr>
            <w:tcW w:w="1601" w:type="dxa"/>
          </w:tcPr>
          <w:p w14:paraId="65B2DC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Pr>
          <w:p w14:paraId="19BB79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765</w:t>
            </w:r>
          </w:p>
        </w:tc>
        <w:tc>
          <w:tcPr>
            <w:tcW w:w="1601" w:type="dxa"/>
          </w:tcPr>
          <w:p w14:paraId="4839AE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775</w:t>
            </w:r>
          </w:p>
        </w:tc>
        <w:tc>
          <w:tcPr>
            <w:tcW w:w="1601" w:type="dxa"/>
          </w:tcPr>
          <w:p w14:paraId="67D664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785</w:t>
            </w:r>
          </w:p>
        </w:tc>
        <w:tc>
          <w:tcPr>
            <w:tcW w:w="1601" w:type="dxa"/>
          </w:tcPr>
          <w:p w14:paraId="26D8F0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765</w:t>
            </w:r>
          </w:p>
        </w:tc>
      </w:tr>
      <w:tr w:rsidR="009B487A" w:rsidRPr="00722885" w14:paraId="4F498736" w14:textId="77777777" w:rsidTr="00CC5360">
        <w:tc>
          <w:tcPr>
            <w:tcW w:w="1601" w:type="dxa"/>
            <w:tcBorders>
              <w:bottom w:val="single" w:sz="12" w:space="0" w:color="auto"/>
            </w:tcBorders>
          </w:tcPr>
          <w:p w14:paraId="0513BC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4500</w:t>
            </w:r>
          </w:p>
        </w:tc>
        <w:tc>
          <w:tcPr>
            <w:tcW w:w="1601" w:type="dxa"/>
            <w:tcBorders>
              <w:bottom w:val="single" w:sz="12" w:space="0" w:color="auto"/>
            </w:tcBorders>
          </w:tcPr>
          <w:p w14:paraId="613639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386</w:t>
            </w:r>
          </w:p>
        </w:tc>
        <w:tc>
          <w:tcPr>
            <w:tcW w:w="1601" w:type="dxa"/>
            <w:tcBorders>
              <w:bottom w:val="single" w:sz="12" w:space="0" w:color="auto"/>
            </w:tcBorders>
          </w:tcPr>
          <w:p w14:paraId="78555F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601" w:type="dxa"/>
            <w:tcBorders>
              <w:bottom w:val="single" w:sz="12" w:space="0" w:color="auto"/>
            </w:tcBorders>
          </w:tcPr>
          <w:p w14:paraId="7E3C56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710</w:t>
            </w:r>
          </w:p>
        </w:tc>
        <w:tc>
          <w:tcPr>
            <w:tcW w:w="1601" w:type="dxa"/>
            <w:tcBorders>
              <w:bottom w:val="single" w:sz="12" w:space="0" w:color="auto"/>
            </w:tcBorders>
          </w:tcPr>
          <w:p w14:paraId="6BC32F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c>
          <w:tcPr>
            <w:tcW w:w="1601" w:type="dxa"/>
            <w:tcBorders>
              <w:bottom w:val="single" w:sz="12" w:space="0" w:color="auto"/>
            </w:tcBorders>
          </w:tcPr>
          <w:p w14:paraId="3A13664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790</w:t>
            </w:r>
          </w:p>
        </w:tc>
        <w:tc>
          <w:tcPr>
            <w:tcW w:w="1601" w:type="dxa"/>
            <w:tcBorders>
              <w:bottom w:val="single" w:sz="12" w:space="0" w:color="auto"/>
            </w:tcBorders>
          </w:tcPr>
          <w:p w14:paraId="154691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790</w:t>
            </w:r>
          </w:p>
        </w:tc>
      </w:tr>
    </w:tbl>
    <w:p w14:paraId="52D512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гр. Высотности 2500 м - 410, на 2 гр. Высотности 5100 - 390</w:t>
      </w:r>
    </w:p>
    <w:p w14:paraId="5321C0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Определение макс. скорости было затруднено ввиду высоких температур головок, что не позволяло выдерживать нормальные скоростные площадки с прикрытыми юбками моторов на 2-й ск. Нагнетателя. Поэтому полученные материалы не позволяют построить полный график макс. скорости, а только часть - для 1-й скорости нагнетателя.</w:t>
      </w:r>
    </w:p>
    <w:p w14:paraId="50F346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Сороподъемность: высокие температуры моторов не позволили провести непрерывный полет на скороподъемность. Даже при повышенной скорости набора до 240 км/час по прибору и сниженных оборотах до 2300 температура достигала предельных значений и выше. Поэтому график скороподъемности приводится только для сниженных оборотов до 2300 и соответственно меньшем наддуеве</w:t>
      </w:r>
    </w:p>
    <w:p w14:paraId="1FDACC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Вертикальные скорости с-та № 42072 с пол. Весом 28200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B487A" w:rsidRPr="00722885" w14:paraId="23DE0798" w14:textId="77777777" w:rsidTr="00CC5360">
        <w:tc>
          <w:tcPr>
            <w:tcW w:w="1868" w:type="dxa"/>
            <w:tcBorders>
              <w:top w:val="single" w:sz="12" w:space="0" w:color="auto"/>
            </w:tcBorders>
          </w:tcPr>
          <w:p w14:paraId="27DBC7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w:t>
            </w:r>
          </w:p>
        </w:tc>
        <w:tc>
          <w:tcPr>
            <w:tcW w:w="1868" w:type="dxa"/>
            <w:tcBorders>
              <w:top w:val="single" w:sz="12" w:space="0" w:color="auto"/>
            </w:tcBorders>
          </w:tcPr>
          <w:p w14:paraId="3580DE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w:t>
            </w:r>
          </w:p>
        </w:tc>
        <w:tc>
          <w:tcPr>
            <w:tcW w:w="1868" w:type="dxa"/>
            <w:tcBorders>
              <w:top w:val="single" w:sz="12" w:space="0" w:color="auto"/>
            </w:tcBorders>
          </w:tcPr>
          <w:p w14:paraId="2BDFEC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w:t>
            </w:r>
          </w:p>
        </w:tc>
        <w:tc>
          <w:tcPr>
            <w:tcW w:w="1868" w:type="dxa"/>
            <w:tcBorders>
              <w:top w:val="single" w:sz="12" w:space="0" w:color="auto"/>
            </w:tcBorders>
          </w:tcPr>
          <w:p w14:paraId="487387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w:t>
            </w:r>
          </w:p>
        </w:tc>
        <w:tc>
          <w:tcPr>
            <w:tcW w:w="1868" w:type="dxa"/>
            <w:tcBorders>
              <w:top w:val="single" w:sz="12" w:space="0" w:color="auto"/>
            </w:tcBorders>
          </w:tcPr>
          <w:p w14:paraId="132FC7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w:t>
            </w:r>
          </w:p>
        </w:tc>
        <w:tc>
          <w:tcPr>
            <w:tcW w:w="1868" w:type="dxa"/>
            <w:tcBorders>
              <w:top w:val="single" w:sz="12" w:space="0" w:color="auto"/>
            </w:tcBorders>
          </w:tcPr>
          <w:p w14:paraId="2B101A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Давление</w:t>
            </w:r>
          </w:p>
        </w:tc>
      </w:tr>
      <w:tr w:rsidR="009B487A" w:rsidRPr="00722885" w14:paraId="38CA42C7" w14:textId="77777777" w:rsidTr="00CC5360">
        <w:tc>
          <w:tcPr>
            <w:tcW w:w="1868" w:type="dxa"/>
          </w:tcPr>
          <w:p w14:paraId="17D62A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Pr>
          <w:p w14:paraId="0E2E6F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5,20</w:t>
            </w:r>
          </w:p>
        </w:tc>
        <w:tc>
          <w:tcPr>
            <w:tcW w:w="1868" w:type="dxa"/>
          </w:tcPr>
          <w:p w14:paraId="267B5B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Pr>
          <w:p w14:paraId="657ADC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355853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1898CB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930</w:t>
            </w:r>
          </w:p>
        </w:tc>
      </w:tr>
      <w:tr w:rsidR="009B487A" w:rsidRPr="00722885" w14:paraId="376C90B7" w14:textId="77777777" w:rsidTr="00CC5360">
        <w:tc>
          <w:tcPr>
            <w:tcW w:w="1868" w:type="dxa"/>
          </w:tcPr>
          <w:p w14:paraId="4270961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868" w:type="dxa"/>
          </w:tcPr>
          <w:p w14:paraId="743B13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5,50</w:t>
            </w:r>
          </w:p>
        </w:tc>
        <w:tc>
          <w:tcPr>
            <w:tcW w:w="1868" w:type="dxa"/>
          </w:tcPr>
          <w:p w14:paraId="196F92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1868" w:type="dxa"/>
          </w:tcPr>
          <w:p w14:paraId="6865FE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2BF275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0F8D36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930</w:t>
            </w:r>
          </w:p>
        </w:tc>
      </w:tr>
      <w:tr w:rsidR="009B487A" w:rsidRPr="00722885" w14:paraId="0C836CB8" w14:textId="77777777" w:rsidTr="00CC5360">
        <w:tc>
          <w:tcPr>
            <w:tcW w:w="1868" w:type="dxa"/>
          </w:tcPr>
          <w:p w14:paraId="5AF896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868" w:type="dxa"/>
          </w:tcPr>
          <w:p w14:paraId="0DA019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5,60</w:t>
            </w:r>
          </w:p>
        </w:tc>
        <w:tc>
          <w:tcPr>
            <w:tcW w:w="1868" w:type="dxa"/>
          </w:tcPr>
          <w:p w14:paraId="521175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w:t>
            </w:r>
          </w:p>
        </w:tc>
        <w:tc>
          <w:tcPr>
            <w:tcW w:w="1868" w:type="dxa"/>
          </w:tcPr>
          <w:p w14:paraId="02DCFA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727EA8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00064B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835</w:t>
            </w:r>
          </w:p>
        </w:tc>
      </w:tr>
      <w:tr w:rsidR="009B487A" w:rsidRPr="00722885" w14:paraId="0EE9F1D9" w14:textId="77777777" w:rsidTr="00CC5360">
        <w:tc>
          <w:tcPr>
            <w:tcW w:w="1868" w:type="dxa"/>
          </w:tcPr>
          <w:p w14:paraId="28EE74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1868" w:type="dxa"/>
          </w:tcPr>
          <w:p w14:paraId="5EFC5A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4,55</w:t>
            </w:r>
          </w:p>
        </w:tc>
        <w:tc>
          <w:tcPr>
            <w:tcW w:w="1868" w:type="dxa"/>
          </w:tcPr>
          <w:p w14:paraId="123397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1868" w:type="dxa"/>
          </w:tcPr>
          <w:p w14:paraId="604EAC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45443B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65AF3DF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r>
      <w:tr w:rsidR="009B487A" w:rsidRPr="00722885" w14:paraId="5359C7ED" w14:textId="77777777" w:rsidTr="00CC5360">
        <w:tc>
          <w:tcPr>
            <w:tcW w:w="1868" w:type="dxa"/>
          </w:tcPr>
          <w:p w14:paraId="3FEFCA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4000</w:t>
            </w:r>
          </w:p>
        </w:tc>
        <w:tc>
          <w:tcPr>
            <w:tcW w:w="1868" w:type="dxa"/>
          </w:tcPr>
          <w:p w14:paraId="6D3D50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3,65</w:t>
            </w:r>
          </w:p>
        </w:tc>
        <w:tc>
          <w:tcPr>
            <w:tcW w:w="1868" w:type="dxa"/>
          </w:tcPr>
          <w:p w14:paraId="643A29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14,0</w:t>
            </w:r>
          </w:p>
        </w:tc>
        <w:tc>
          <w:tcPr>
            <w:tcW w:w="1868" w:type="dxa"/>
          </w:tcPr>
          <w:p w14:paraId="26490C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5B72E8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624A31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r>
      <w:tr w:rsidR="009B487A" w:rsidRPr="00722885" w14:paraId="07AE9D76" w14:textId="77777777" w:rsidTr="00CC5360">
        <w:tc>
          <w:tcPr>
            <w:tcW w:w="1868" w:type="dxa"/>
          </w:tcPr>
          <w:p w14:paraId="3657B3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w:t>
            </w:r>
          </w:p>
        </w:tc>
        <w:tc>
          <w:tcPr>
            <w:tcW w:w="1868" w:type="dxa"/>
          </w:tcPr>
          <w:p w14:paraId="5D8B3E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w:t>
            </w:r>
          </w:p>
        </w:tc>
        <w:tc>
          <w:tcPr>
            <w:tcW w:w="1868" w:type="dxa"/>
          </w:tcPr>
          <w:p w14:paraId="41F34A0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2D6AE4A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w:t>
            </w:r>
          </w:p>
        </w:tc>
        <w:tc>
          <w:tcPr>
            <w:tcW w:w="1868" w:type="dxa"/>
          </w:tcPr>
          <w:p w14:paraId="78D392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67A032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0CF4137" w14:textId="77777777" w:rsidTr="00CC5360">
        <w:tc>
          <w:tcPr>
            <w:tcW w:w="1868" w:type="dxa"/>
          </w:tcPr>
          <w:p w14:paraId="50DB6A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6000</w:t>
            </w:r>
          </w:p>
        </w:tc>
        <w:tc>
          <w:tcPr>
            <w:tcW w:w="1868" w:type="dxa"/>
          </w:tcPr>
          <w:p w14:paraId="0C8102D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w:t>
            </w:r>
          </w:p>
        </w:tc>
        <w:tc>
          <w:tcPr>
            <w:tcW w:w="1868" w:type="dxa"/>
          </w:tcPr>
          <w:p w14:paraId="4C56C4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24,5</w:t>
            </w:r>
          </w:p>
        </w:tc>
        <w:tc>
          <w:tcPr>
            <w:tcW w:w="1868" w:type="dxa"/>
          </w:tcPr>
          <w:p w14:paraId="37C9C0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868" w:type="dxa"/>
          </w:tcPr>
          <w:p w14:paraId="51F90C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5A5884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810</w:t>
            </w:r>
          </w:p>
        </w:tc>
      </w:tr>
      <w:tr w:rsidR="009B487A" w:rsidRPr="00722885" w14:paraId="5DB6E4EC" w14:textId="77777777" w:rsidTr="00CC5360">
        <w:tc>
          <w:tcPr>
            <w:tcW w:w="1868" w:type="dxa"/>
          </w:tcPr>
          <w:p w14:paraId="7A05A7E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7000</w:t>
            </w:r>
          </w:p>
        </w:tc>
        <w:tc>
          <w:tcPr>
            <w:tcW w:w="1868" w:type="dxa"/>
          </w:tcPr>
          <w:p w14:paraId="460844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w:t>
            </w:r>
          </w:p>
        </w:tc>
        <w:tc>
          <w:tcPr>
            <w:tcW w:w="1868" w:type="dxa"/>
          </w:tcPr>
          <w:p w14:paraId="462D6A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w:t>
            </w:r>
          </w:p>
        </w:tc>
        <w:tc>
          <w:tcPr>
            <w:tcW w:w="1868" w:type="dxa"/>
          </w:tcPr>
          <w:p w14:paraId="5763B0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w:t>
            </w:r>
          </w:p>
        </w:tc>
        <w:tc>
          <w:tcPr>
            <w:tcW w:w="1868" w:type="dxa"/>
          </w:tcPr>
          <w:p w14:paraId="26798C7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200E3F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FD11398" w14:textId="77777777" w:rsidTr="00CC5360">
        <w:tc>
          <w:tcPr>
            <w:tcW w:w="1868" w:type="dxa"/>
          </w:tcPr>
          <w:p w14:paraId="4C7927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8000</w:t>
            </w:r>
          </w:p>
        </w:tc>
        <w:tc>
          <w:tcPr>
            <w:tcW w:w="1868" w:type="dxa"/>
          </w:tcPr>
          <w:p w14:paraId="5EF3C7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w:t>
            </w:r>
          </w:p>
        </w:tc>
        <w:tc>
          <w:tcPr>
            <w:tcW w:w="1868" w:type="dxa"/>
          </w:tcPr>
          <w:p w14:paraId="493C47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w:t>
            </w:r>
          </w:p>
        </w:tc>
        <w:tc>
          <w:tcPr>
            <w:tcW w:w="1868" w:type="dxa"/>
          </w:tcPr>
          <w:p w14:paraId="2887C9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w:t>
            </w:r>
          </w:p>
        </w:tc>
        <w:tc>
          <w:tcPr>
            <w:tcW w:w="1868" w:type="dxa"/>
          </w:tcPr>
          <w:p w14:paraId="7C4A621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Pr>
          <w:p w14:paraId="4CA1A2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04F8AC6" w14:textId="77777777" w:rsidTr="00CC5360">
        <w:tc>
          <w:tcPr>
            <w:tcW w:w="1868" w:type="dxa"/>
            <w:tcBorders>
              <w:bottom w:val="single" w:sz="12" w:space="0" w:color="auto"/>
            </w:tcBorders>
          </w:tcPr>
          <w:p w14:paraId="42E9AB8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9000</w:t>
            </w:r>
          </w:p>
        </w:tc>
        <w:tc>
          <w:tcPr>
            <w:tcW w:w="1868" w:type="dxa"/>
            <w:tcBorders>
              <w:bottom w:val="single" w:sz="12" w:space="0" w:color="auto"/>
            </w:tcBorders>
          </w:tcPr>
          <w:p w14:paraId="19651B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1868" w:type="dxa"/>
            <w:tcBorders>
              <w:bottom w:val="single" w:sz="12" w:space="0" w:color="auto"/>
            </w:tcBorders>
          </w:tcPr>
          <w:p w14:paraId="56EE19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Borders>
              <w:bottom w:val="single" w:sz="12" w:space="0" w:color="auto"/>
            </w:tcBorders>
          </w:tcPr>
          <w:p w14:paraId="0765CBC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Borders>
              <w:bottom w:val="single" w:sz="12" w:space="0" w:color="auto"/>
            </w:tcBorders>
          </w:tcPr>
          <w:p w14:paraId="674859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c>
          <w:tcPr>
            <w:tcW w:w="1868" w:type="dxa"/>
            <w:tcBorders>
              <w:bottom w:val="single" w:sz="12" w:space="0" w:color="auto"/>
            </w:tcBorders>
          </w:tcPr>
          <w:p w14:paraId="5D9D8D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bl>
    <w:p w14:paraId="068B784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гр. Высотности - 1850 м, скор. 5,7, 2-я гр. Высотности - 5500, скор. 3,15</w:t>
      </w:r>
    </w:p>
    <w:p w14:paraId="2F9194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Переключение скорости нагнетателя - 3650 м, скор. 3,75</w:t>
      </w:r>
    </w:p>
    <w:p w14:paraId="7EF087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моторов: в процессе испытаний имел место ряд систематических дефектов моторов, которые в значит. Степени затрудняли производство испытаний. Основные из них:</w:t>
      </w:r>
    </w:p>
    <w:p w14:paraId="6C8127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недостаток высотности моторов, несоответствие ТТТ</w:t>
      </w:r>
    </w:p>
    <w:p w14:paraId="31C532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неодинаковость регулировки и нестабильность работы карбюратора АК-82БП</w:t>
      </w:r>
    </w:p>
    <w:p w14:paraId="753D00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Выброс масла из суфлеров на высоте выше 4000 м</w:t>
      </w:r>
    </w:p>
    <w:p w14:paraId="4056B0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запуск мотора при температуре ниже +10 чрезвычайно затруднен</w:t>
      </w:r>
    </w:p>
    <w:p w14:paraId="58C650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5. малый газ чрезвычайно недостаточен и требует систематического подрегулированя</w:t>
      </w:r>
    </w:p>
    <w:p w14:paraId="4B128B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недопустимые течи масла из под прокладок различных соединений и особенно из под кожухов тяг</w:t>
      </w:r>
    </w:p>
    <w:p w14:paraId="218F56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1300A2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Установка моторов М-82 на с-те Пе-8 вместо АМ-35А:</w:t>
      </w:r>
    </w:p>
    <w:p w14:paraId="1A69C7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улучшает взлетные качества, сокращает длину разбега на 20%</w:t>
      </w:r>
    </w:p>
    <w:p w14:paraId="671875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увеличивает дальность полета по боевому профилю до 4400 км при бомбовой нагрузке 3000 кг, из которых на наружной подвеске - 2х500</w:t>
      </w:r>
    </w:p>
    <w:p w14:paraId="30732C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повышает живучесть за счет отсутствия радиаторов</w:t>
      </w:r>
    </w:p>
    <w:p w14:paraId="4D83B5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уменьшает макс. скорость на высотах от 4000 м и выше на 10 км/час и снижает потолок на 1000 м за счет недоработанности моторов М-82 по высотности и неудовлетворительной работы карбюратора</w:t>
      </w:r>
    </w:p>
    <w:p w14:paraId="50C616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2...Рекомендовать установку М-82 на серийные с-ты Пе-8</w:t>
      </w:r>
    </w:p>
    <w:p w14:paraId="5A66B2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Заводам № 19 и 33 устранить указанные выше дефекты М-82 и АК-82БП</w:t>
      </w:r>
    </w:p>
    <w:p w14:paraId="30C9CA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заводу № 22 устранить дефекты, указанные выше, после чего передать один самолет в АДД к 15 ноября 1942 с.г. для опытной эксплоатации, в процессе которой НИИ ВВС совместно с АДД снять летные характеристики с-та (994,4).</w:t>
      </w:r>
    </w:p>
    <w:p w14:paraId="486F72E1" w14:textId="77777777" w:rsidR="00090C9B" w:rsidRPr="00722885" w:rsidRDefault="00090C9B" w:rsidP="00722885">
      <w:pPr>
        <w:pStyle w:val="Iauiue"/>
        <w:jc w:val="both"/>
        <w:rPr>
          <w:color w:val="000000" w:themeColor="text1"/>
          <w:sz w:val="16"/>
          <w:szCs w:val="16"/>
        </w:rPr>
      </w:pPr>
    </w:p>
    <w:p w14:paraId="76970D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ноября 1942 вышел отчет по гос. испытаниям Пе-8 с 4М-82 и винтом АВ-5 конструкции В.М.П. 22 завода (1785).</w:t>
      </w:r>
    </w:p>
    <w:p w14:paraId="1BE48FEB" w14:textId="77777777" w:rsidR="00090C9B" w:rsidRPr="00722885" w:rsidRDefault="00090C9B" w:rsidP="00722885">
      <w:pPr>
        <w:pStyle w:val="Iauiue"/>
        <w:jc w:val="both"/>
        <w:rPr>
          <w:color w:val="000000" w:themeColor="text1"/>
          <w:sz w:val="16"/>
          <w:szCs w:val="16"/>
        </w:rPr>
      </w:pPr>
    </w:p>
    <w:p w14:paraId="2A71F6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ноября 1942 вышло Постановление ГКО № 2514 Об улучшении летных и эксплуатационных данных самолета Ла-5. РГАНИР, Фонд ГКО, д. 69, лл. 74-76 (11012).</w:t>
      </w:r>
    </w:p>
    <w:p w14:paraId="7107751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6239D64" w14:textId="77777777" w:rsidR="00B82F32" w:rsidRPr="00722885" w:rsidRDefault="00B82F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ноября 1942 вышло Постановление ГКО № 2514 Об улучшении летных и эксплуатационных данных самолета Ла-5</w:t>
      </w:r>
    </w:p>
    <w:p w14:paraId="5F59DB6B" w14:textId="77777777" w:rsidR="00B82F32" w:rsidRPr="00722885" w:rsidRDefault="00B82F32"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Государственный Комитет Обороны отвечает, что</w:t>
      </w:r>
      <w:r w:rsidRPr="00722885">
        <w:rPr>
          <w:rStyle w:val="95pt0"/>
          <w:rFonts w:ascii="Times New Roman" w:hAnsi="Times New Roman" w:cs="Times New Roman"/>
          <w:color w:val="000000" w:themeColor="text1"/>
          <w:sz w:val="16"/>
          <w:szCs w:val="16"/>
        </w:rPr>
        <w:t xml:space="preserve"> завод №</w:t>
      </w:r>
      <w:r w:rsidRPr="00722885">
        <w:rPr>
          <w:rFonts w:ascii="Times New Roman" w:hAnsi="Times New Roman" w:cs="Times New Roman"/>
          <w:color w:val="000000" w:themeColor="text1"/>
          <w:spacing w:val="0"/>
          <w:sz w:val="16"/>
          <w:szCs w:val="16"/>
        </w:rPr>
        <w:t xml:space="preserve"> 21 в серийном производстве ухудшил летные качества само</w:t>
      </w:r>
      <w:r w:rsidRPr="00722885">
        <w:rPr>
          <w:rFonts w:ascii="Times New Roman" w:hAnsi="Times New Roman" w:cs="Times New Roman"/>
          <w:color w:val="000000" w:themeColor="text1"/>
          <w:spacing w:val="0"/>
          <w:sz w:val="16"/>
          <w:szCs w:val="16"/>
        </w:rPr>
        <w:softHyphen/>
        <w:t>лета Ла-5</w:t>
      </w:r>
      <w:r w:rsidRPr="00722885">
        <w:rPr>
          <w:rStyle w:val="Tahoma95pt"/>
          <w:rFonts w:ascii="Times New Roman" w:hAnsi="Times New Roman" w:cs="Times New Roman"/>
          <w:color w:val="000000" w:themeColor="text1"/>
          <w:sz w:val="16"/>
          <w:szCs w:val="16"/>
        </w:rPr>
        <w:t xml:space="preserve"> в</w:t>
      </w:r>
      <w:r w:rsidRPr="00722885">
        <w:rPr>
          <w:rFonts w:ascii="Times New Roman" w:hAnsi="Times New Roman" w:cs="Times New Roman"/>
          <w:color w:val="000000" w:themeColor="text1"/>
          <w:spacing w:val="0"/>
          <w:sz w:val="16"/>
          <w:szCs w:val="16"/>
        </w:rPr>
        <w:t xml:space="preserve"> сравнении с опытным экземпляром.</w:t>
      </w:r>
    </w:p>
    <w:p w14:paraId="15438CC3" w14:textId="77777777" w:rsidR="00B82F32" w:rsidRPr="00722885" w:rsidRDefault="00B82F32"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 серийном производстве самолета Ла-5 на заводе № 21 имеются следующие крупные недостатки:</w:t>
      </w:r>
    </w:p>
    <w:p w14:paraId="5B7BD61A" w14:textId="77777777" w:rsidR="00B82F32" w:rsidRPr="00722885" w:rsidRDefault="00B82F32" w:rsidP="00722885">
      <w:pPr>
        <w:pStyle w:val="6"/>
        <w:shd w:val="clear" w:color="auto" w:fill="auto"/>
        <w:tabs>
          <w:tab w:val="left" w:pos="1075"/>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а) недоброкачественно производятся ментажи проводок самолета, что приводит к течи бензина и масла;</w:t>
      </w:r>
    </w:p>
    <w:p w14:paraId="38D1854D" w14:textId="77777777" w:rsidR="00B82F32" w:rsidRPr="00722885" w:rsidRDefault="00B82F32" w:rsidP="00722885">
      <w:pPr>
        <w:pStyle w:val="6"/>
        <w:shd w:val="clear" w:color="auto" w:fill="auto"/>
        <w:tabs>
          <w:tab w:val="left" w:pos="1075"/>
        </w:tabs>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б) недостаточная герметичность капотов и излишне боль</w:t>
      </w:r>
      <w:r w:rsidRPr="00722885">
        <w:rPr>
          <w:rFonts w:ascii="Times New Roman" w:hAnsi="Times New Roman" w:cs="Times New Roman"/>
          <w:color w:val="000000" w:themeColor="text1"/>
          <w:spacing w:val="0"/>
          <w:sz w:val="16"/>
          <w:szCs w:val="16"/>
        </w:rPr>
        <w:softHyphen/>
        <w:t>шие цели между рулями и неподвижными частями самолета;</w:t>
      </w:r>
    </w:p>
    <w:p w14:paraId="58F3BD5A" w14:textId="77777777" w:rsidR="00B82F32" w:rsidRPr="00722885" w:rsidRDefault="00B82F32"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 поверхности самолета выполняются небрежно.</w:t>
      </w:r>
    </w:p>
    <w:p w14:paraId="19B4127E" w14:textId="77777777" w:rsidR="00B82F32" w:rsidRPr="00722885" w:rsidRDefault="00B82F32"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Главный конструктор самолета Ла-5 т.Лавочкин недоста</w:t>
      </w:r>
      <w:r w:rsidRPr="00722885">
        <w:rPr>
          <w:rFonts w:ascii="Times New Roman" w:hAnsi="Times New Roman" w:cs="Times New Roman"/>
          <w:color w:val="000000" w:themeColor="text1"/>
          <w:spacing w:val="0"/>
          <w:sz w:val="16"/>
          <w:szCs w:val="16"/>
        </w:rPr>
        <w:softHyphen/>
        <w:t>точно требователен к серийному производству и в ущерб ка</w:t>
      </w:r>
      <w:r w:rsidRPr="00722885">
        <w:rPr>
          <w:rFonts w:ascii="Times New Roman" w:hAnsi="Times New Roman" w:cs="Times New Roman"/>
          <w:color w:val="000000" w:themeColor="text1"/>
          <w:spacing w:val="0"/>
          <w:sz w:val="16"/>
          <w:szCs w:val="16"/>
        </w:rPr>
        <w:softHyphen/>
        <w:t xml:space="preserve">честву самолета </w:t>
      </w:r>
      <w:r w:rsidRPr="00722885">
        <w:rPr>
          <w:rStyle w:val="-1pt"/>
          <w:rFonts w:ascii="Times New Roman" w:hAnsi="Times New Roman" w:cs="Times New Roman"/>
          <w:color w:val="000000" w:themeColor="text1"/>
          <w:spacing w:val="0"/>
          <w:sz w:val="16"/>
          <w:szCs w:val="16"/>
        </w:rPr>
        <w:t>Т.а-5</w:t>
      </w:r>
      <w:r w:rsidRPr="00722885">
        <w:rPr>
          <w:rFonts w:ascii="Times New Roman" w:hAnsi="Times New Roman" w:cs="Times New Roman"/>
          <w:color w:val="000000" w:themeColor="text1"/>
          <w:spacing w:val="0"/>
          <w:sz w:val="16"/>
          <w:szCs w:val="16"/>
        </w:rPr>
        <w:t xml:space="preserve"> делает послабления зароду.</w:t>
      </w:r>
    </w:p>
    <w:p w14:paraId="2C363BB9" w14:textId="77777777" w:rsidR="00B82F32" w:rsidRPr="00722885" w:rsidRDefault="00B82F32"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Все эти недостатки приводят к уменьшению скорости само</w:t>
      </w:r>
      <w:r w:rsidRPr="00722885">
        <w:rPr>
          <w:rFonts w:ascii="Times New Roman" w:hAnsi="Times New Roman" w:cs="Times New Roman"/>
          <w:color w:val="000000" w:themeColor="text1"/>
          <w:spacing w:val="0"/>
          <w:sz w:val="16"/>
          <w:szCs w:val="16"/>
        </w:rPr>
        <w:softHyphen/>
        <w:t>лета и к снижению эксплоатационной надежности самолета.</w:t>
      </w:r>
    </w:p>
    <w:p w14:paraId="379DFAC7" w14:textId="77777777" w:rsidR="00B82F32" w:rsidRPr="00722885" w:rsidRDefault="00B82F32"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Государственный Комитет Обороны постановляет:</w:t>
      </w:r>
    </w:p>
    <w:p w14:paraId="42AA8493" w14:textId="77777777" w:rsidR="00B82F32" w:rsidRPr="00722885" w:rsidRDefault="00B82F32"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1. Обязать Наркомавиапром т.Шахурина, директора заво</w:t>
      </w:r>
      <w:r w:rsidRPr="00722885">
        <w:rPr>
          <w:rFonts w:ascii="Times New Roman" w:hAnsi="Times New Roman" w:cs="Times New Roman"/>
          <w:color w:val="000000" w:themeColor="text1"/>
          <w:spacing w:val="0"/>
          <w:sz w:val="16"/>
          <w:szCs w:val="16"/>
        </w:rPr>
        <w:softHyphen/>
        <w:t>да № 21 т.Агаджанова и глевного конструктора т.Лавочкина:</w:t>
      </w:r>
    </w:p>
    <w:p w14:paraId="22ACE4E7" w14:textId="77777777" w:rsidR="00B82F32" w:rsidRPr="00722885" w:rsidRDefault="00B82F32"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а) устранить</w:t>
      </w:r>
      <w:r w:rsidRPr="00722885">
        <w:rPr>
          <w:rStyle w:val="Tahoma8pt1pt"/>
          <w:rFonts w:ascii="Times New Roman" w:hAnsi="Times New Roman" w:cs="Times New Roman"/>
          <w:color w:val="000000" w:themeColor="text1"/>
          <w:spacing w:val="0"/>
        </w:rPr>
        <w:t xml:space="preserve"> в</w:t>
      </w:r>
      <w:r w:rsidRPr="00722885">
        <w:rPr>
          <w:rFonts w:ascii="Times New Roman" w:hAnsi="Times New Roman" w:cs="Times New Roman"/>
          <w:color w:val="000000" w:themeColor="text1"/>
          <w:spacing w:val="0"/>
          <w:sz w:val="16"/>
          <w:szCs w:val="16"/>
        </w:rPr>
        <w:t xml:space="preserve"> серийном</w:t>
      </w:r>
      <w:r w:rsidRPr="00722885">
        <w:rPr>
          <w:rStyle w:val="Tahoma8pt1pt"/>
          <w:rFonts w:ascii="Times New Roman" w:hAnsi="Times New Roman" w:cs="Times New Roman"/>
          <w:color w:val="000000" w:themeColor="text1"/>
          <w:spacing w:val="0"/>
        </w:rPr>
        <w:t xml:space="preserve"> производстве</w:t>
      </w:r>
      <w:r w:rsidRPr="00722885">
        <w:rPr>
          <w:rFonts w:ascii="Times New Roman" w:hAnsi="Times New Roman" w:cs="Times New Roman"/>
          <w:color w:val="000000" w:themeColor="text1"/>
          <w:spacing w:val="0"/>
          <w:sz w:val="16"/>
          <w:szCs w:val="16"/>
        </w:rPr>
        <w:t xml:space="preserve"> самолета </w:t>
      </w:r>
      <w:r w:rsidRPr="00722885">
        <w:rPr>
          <w:rStyle w:val="-1pt"/>
          <w:rFonts w:ascii="Times New Roman" w:hAnsi="Times New Roman" w:cs="Times New Roman"/>
          <w:color w:val="000000" w:themeColor="text1"/>
          <w:spacing w:val="0"/>
          <w:sz w:val="16"/>
          <w:szCs w:val="16"/>
        </w:rPr>
        <w:t xml:space="preserve">Ла-5 </w:t>
      </w:r>
      <w:r w:rsidRPr="00722885">
        <w:rPr>
          <w:rFonts w:ascii="Times New Roman" w:hAnsi="Times New Roman" w:cs="Times New Roman"/>
          <w:color w:val="000000" w:themeColor="text1"/>
          <w:spacing w:val="0"/>
          <w:sz w:val="16"/>
          <w:szCs w:val="16"/>
        </w:rPr>
        <w:t>недостатки монтажей, обеспечить надежность и плавность рабо</w:t>
      </w:r>
      <w:r w:rsidRPr="00722885">
        <w:rPr>
          <w:rFonts w:ascii="Times New Roman" w:hAnsi="Times New Roman" w:cs="Times New Roman"/>
          <w:color w:val="000000" w:themeColor="text1"/>
          <w:spacing w:val="0"/>
          <w:sz w:val="16"/>
          <w:szCs w:val="16"/>
        </w:rPr>
        <w:softHyphen/>
        <w:t xml:space="preserve">ты предкрылков саиолета, восстановить скорости самолета до данных опытного экземпляра и не позднее, чем с 1 декабря 1942 г. выпускать самолеты </w:t>
      </w:r>
      <w:r w:rsidRPr="00722885">
        <w:rPr>
          <w:rStyle w:val="-1pt"/>
          <w:rFonts w:ascii="Times New Roman" w:hAnsi="Times New Roman" w:cs="Times New Roman"/>
          <w:color w:val="000000" w:themeColor="text1"/>
          <w:spacing w:val="0"/>
          <w:sz w:val="16"/>
          <w:szCs w:val="16"/>
        </w:rPr>
        <w:t>Ла-5</w:t>
      </w:r>
      <w:r w:rsidRPr="00722885">
        <w:rPr>
          <w:rFonts w:ascii="Times New Roman" w:hAnsi="Times New Roman" w:cs="Times New Roman"/>
          <w:color w:val="000000" w:themeColor="text1"/>
          <w:spacing w:val="0"/>
          <w:sz w:val="16"/>
          <w:szCs w:val="16"/>
        </w:rPr>
        <w:t xml:space="preserve"> с проведенными улучшениями;</w:t>
      </w:r>
    </w:p>
    <w:p w14:paraId="5DD6422A" w14:textId="77777777" w:rsidR="00B82F32" w:rsidRPr="00722885" w:rsidRDefault="00B82F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б се серийные самолеты </w:t>
      </w:r>
      <w:r w:rsidRPr="00722885">
        <w:rPr>
          <w:rStyle w:val="0pt"/>
          <w:rFonts w:ascii="Times New Roman" w:hAnsi="Times New Roman" w:cs="Times New Roman"/>
          <w:color w:val="000000" w:themeColor="text1"/>
          <w:spacing w:val="0"/>
          <w:sz w:val="16"/>
          <w:szCs w:val="16"/>
        </w:rPr>
        <w:t>JIa-5</w:t>
      </w:r>
      <w:r w:rsidRPr="00722885">
        <w:rPr>
          <w:rFonts w:ascii="Times New Roman" w:hAnsi="Times New Roman"/>
          <w:color w:val="000000" w:themeColor="text1"/>
          <w:sz w:val="16"/>
          <w:szCs w:val="16"/>
        </w:rPr>
        <w:t xml:space="preserve"> с </w:t>
      </w:r>
      <w:r w:rsidRPr="00722885">
        <w:rPr>
          <w:rStyle w:val="0pt"/>
          <w:rFonts w:ascii="Times New Roman" w:hAnsi="Times New Roman" w:cs="Times New Roman"/>
          <w:color w:val="000000" w:themeColor="text1"/>
          <w:spacing w:val="0"/>
          <w:sz w:val="16"/>
          <w:szCs w:val="16"/>
        </w:rPr>
        <w:t>17</w:t>
      </w:r>
      <w:r w:rsidRPr="00722885">
        <w:rPr>
          <w:rFonts w:ascii="Times New Roman" w:hAnsi="Times New Roman"/>
          <w:color w:val="000000" w:themeColor="text1"/>
          <w:sz w:val="16"/>
          <w:szCs w:val="16"/>
        </w:rPr>
        <w:t xml:space="preserve"> ноября </w:t>
      </w:r>
      <w:r w:rsidRPr="00722885">
        <w:rPr>
          <w:rStyle w:val="0pt"/>
          <w:rFonts w:ascii="Times New Roman" w:hAnsi="Times New Roman" w:cs="Times New Roman"/>
          <w:color w:val="000000" w:themeColor="text1"/>
          <w:spacing w:val="0"/>
          <w:sz w:val="16"/>
          <w:szCs w:val="16"/>
        </w:rPr>
        <w:t>i942</w:t>
      </w:r>
      <w:r w:rsidRPr="00722885">
        <w:rPr>
          <w:rFonts w:ascii="Times New Roman" w:hAnsi="Times New Roman"/>
          <w:color w:val="000000" w:themeColor="text1"/>
          <w:sz w:val="16"/>
          <w:szCs w:val="16"/>
        </w:rPr>
        <w:t xml:space="preserve"> года выпускать с управляемыми в полете жалюзями, обеспечивающими нормальное охлаждение мотора и до 20 декабря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olor w:val="000000" w:themeColor="text1"/>
          <w:sz w:val="16"/>
          <w:szCs w:val="16"/>
        </w:rPr>
        <w:t xml:space="preserve"> года поставить ВГ-С Красной Армии </w:t>
      </w:r>
      <w:r w:rsidRPr="00722885">
        <w:rPr>
          <w:rStyle w:val="0pt"/>
          <w:rFonts w:ascii="Times New Roman" w:hAnsi="Times New Roman" w:cs="Times New Roman"/>
          <w:color w:val="000000" w:themeColor="text1"/>
          <w:spacing w:val="0"/>
          <w:sz w:val="16"/>
          <w:szCs w:val="16"/>
        </w:rPr>
        <w:t>200</w:t>
      </w:r>
      <w:r w:rsidRPr="00722885">
        <w:rPr>
          <w:rFonts w:ascii="Times New Roman" w:hAnsi="Times New Roman"/>
          <w:color w:val="000000" w:themeColor="text1"/>
          <w:sz w:val="16"/>
          <w:szCs w:val="16"/>
        </w:rPr>
        <w:t xml:space="preserve"> комплектов управляемых жалюзи для постановки их на самолеты, находящиеся в строевых частях;</w:t>
      </w:r>
    </w:p>
    <w:p w14:paraId="7FB533B3" w14:textId="77777777" w:rsidR="00B82F32" w:rsidRPr="00722885" w:rsidRDefault="00B82F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к 1 января Г.</w:t>
      </w:r>
      <w:r w:rsidRPr="00722885">
        <w:rPr>
          <w:rFonts w:ascii="Times New Roman" w:hAnsi="Times New Roman"/>
          <w:color w:val="000000" w:themeColor="text1"/>
          <w:sz w:val="16"/>
          <w:szCs w:val="16"/>
          <w:vertAlign w:val="superscript"/>
        </w:rPr>
        <w:t>:</w:t>
      </w:r>
      <w:r w:rsidRPr="00722885">
        <w:rPr>
          <w:rFonts w:ascii="Times New Roman" w:hAnsi="Times New Roman"/>
          <w:color w:val="000000" w:themeColor="text1"/>
          <w:sz w:val="16"/>
          <w:szCs w:val="16"/>
        </w:rPr>
        <w:t>45 года внедрить в серию аэродинамические улучшения самолета Ла-5 по герметизации капотов и фюзеляжа самолета, уменьшению щелей между рулями и неподвижными частями самолета, улучшению внешней отделки самолета, под</w:t>
      </w:r>
      <w:r w:rsidRPr="00722885">
        <w:rPr>
          <w:rFonts w:ascii="Times New Roman" w:hAnsi="Times New Roman"/>
          <w:color w:val="000000" w:themeColor="text1"/>
          <w:sz w:val="16"/>
          <w:szCs w:val="16"/>
        </w:rPr>
        <w:softHyphen/>
        <w:t>гонке щитков и улучшению тоннеля масляного радиатора, обеспе</w:t>
      </w:r>
      <w:r w:rsidRPr="00722885">
        <w:rPr>
          <w:rStyle w:val="Tahoma9pt0pt"/>
          <w:rFonts w:ascii="Times New Roman" w:eastAsia="Calibri" w:hAnsi="Times New Roman" w:cs="Times New Roman"/>
          <w:color w:val="000000" w:themeColor="text1"/>
          <w:sz w:val="16"/>
          <w:szCs w:val="16"/>
        </w:rPr>
        <w:t>чи</w:t>
      </w:r>
      <w:r w:rsidRPr="00722885">
        <w:rPr>
          <w:rStyle w:val="Tahoma9pt0pt"/>
          <w:rFonts w:ascii="Times New Roman" w:hAnsi="Times New Roman" w:cs="Times New Roman"/>
          <w:color w:val="000000" w:themeColor="text1"/>
          <w:sz w:val="16"/>
          <w:szCs w:val="16"/>
        </w:rPr>
        <w:t>в</w:t>
      </w:r>
      <w:r w:rsidRPr="00722885">
        <w:rPr>
          <w:rFonts w:ascii="Times New Roman" w:hAnsi="Times New Roman"/>
          <w:color w:val="000000" w:themeColor="text1"/>
          <w:sz w:val="16"/>
          <w:szCs w:val="16"/>
        </w:rPr>
        <w:t xml:space="preserve"> счет зтих улучшений увеличение скорости серийного самолета Ла-5 по сравнению с опытным самолетом на всем диапа</w:t>
      </w:r>
      <w:r w:rsidRPr="00722885">
        <w:rPr>
          <w:rFonts w:ascii="Times New Roman" w:hAnsi="Times New Roman"/>
          <w:color w:val="000000" w:themeColor="text1"/>
          <w:sz w:val="16"/>
          <w:szCs w:val="16"/>
        </w:rPr>
        <w:softHyphen/>
        <w:t xml:space="preserve">зоне высот на </w:t>
      </w:r>
      <w:r w:rsidRPr="00722885">
        <w:rPr>
          <w:rStyle w:val="0pt"/>
          <w:rFonts w:ascii="Times New Roman" w:hAnsi="Times New Roman" w:cs="Times New Roman"/>
          <w:color w:val="000000" w:themeColor="text1"/>
          <w:spacing w:val="0"/>
          <w:sz w:val="16"/>
          <w:szCs w:val="16"/>
        </w:rPr>
        <w:t>10-15</w:t>
      </w:r>
      <w:r w:rsidRPr="00722885">
        <w:rPr>
          <w:rFonts w:ascii="Times New Roman" w:hAnsi="Times New Roman"/>
          <w:color w:val="000000" w:themeColor="text1"/>
          <w:sz w:val="16"/>
          <w:szCs w:val="16"/>
        </w:rPr>
        <w:t xml:space="preserve"> километров.</w:t>
      </w:r>
    </w:p>
    <w:p w14:paraId="658D5030" w14:textId="77777777" w:rsidR="00B82F32" w:rsidRPr="00722885" w:rsidRDefault="00B82F32" w:rsidP="00722885">
      <w:pPr>
        <w:tabs>
          <w:tab w:val="left" w:pos="96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Обязать главного конструктора самолета </w:t>
      </w:r>
      <w:r w:rsidRPr="00722885">
        <w:rPr>
          <w:rStyle w:val="0pt"/>
          <w:rFonts w:ascii="Times New Roman" w:hAnsi="Times New Roman" w:cs="Times New Roman"/>
          <w:color w:val="000000" w:themeColor="text1"/>
          <w:spacing w:val="0"/>
          <w:sz w:val="16"/>
          <w:szCs w:val="16"/>
        </w:rPr>
        <w:t>JIa-5</w:t>
      </w:r>
      <w:r w:rsidRPr="00722885">
        <w:rPr>
          <w:rFonts w:ascii="Times New Roman" w:hAnsi="Times New Roman"/>
          <w:color w:val="000000" w:themeColor="text1"/>
          <w:sz w:val="16"/>
          <w:szCs w:val="16"/>
        </w:rPr>
        <w:t xml:space="preserve"> т.Лавоч</w:t>
      </w:r>
      <w:r w:rsidRPr="00722885">
        <w:rPr>
          <w:rFonts w:ascii="Times New Roman" w:hAnsi="Times New Roman"/>
          <w:color w:val="000000" w:themeColor="text1"/>
          <w:sz w:val="16"/>
          <w:szCs w:val="16"/>
        </w:rPr>
        <w:softHyphen/>
        <w:t xml:space="preserve">кина и директора завода № 21 НКАП т.Агаджакова к 17 ноября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olor w:val="000000" w:themeColor="text1"/>
          <w:sz w:val="16"/>
          <w:szCs w:val="16"/>
        </w:rPr>
        <w:t xml:space="preserve"> года представить на испытание в </w:t>
      </w:r>
      <w:r w:rsidRPr="00722885">
        <w:rPr>
          <w:rStyle w:val="16"/>
          <w:rFonts w:ascii="Times New Roman" w:hAnsi="Times New Roman" w:cs="Times New Roman"/>
          <w:color w:val="000000" w:themeColor="text1"/>
          <w:spacing w:val="0"/>
        </w:rPr>
        <w:t>НИИ ВВС</w:t>
      </w:r>
      <w:r w:rsidRPr="00722885">
        <w:rPr>
          <w:rFonts w:ascii="Times New Roman" w:hAnsi="Times New Roman"/>
          <w:color w:val="000000" w:themeColor="text1"/>
          <w:sz w:val="16"/>
          <w:szCs w:val="16"/>
        </w:rPr>
        <w:t xml:space="preserve"> облегченный самолет Ла-5 весом </w:t>
      </w:r>
      <w:r w:rsidRPr="00722885">
        <w:rPr>
          <w:rStyle w:val="0pt"/>
          <w:rFonts w:ascii="Times New Roman" w:hAnsi="Times New Roman" w:cs="Times New Roman"/>
          <w:color w:val="000000" w:themeColor="text1"/>
          <w:spacing w:val="0"/>
          <w:sz w:val="16"/>
          <w:szCs w:val="16"/>
        </w:rPr>
        <w:t>3.200</w:t>
      </w:r>
      <w:r w:rsidRPr="00722885">
        <w:rPr>
          <w:rFonts w:ascii="Times New Roman" w:hAnsi="Times New Roman"/>
          <w:color w:val="000000" w:themeColor="text1"/>
          <w:sz w:val="16"/>
          <w:szCs w:val="16"/>
        </w:rPr>
        <w:t xml:space="preserve"> килограмм, вместо веса опытного образца г </w:t>
      </w:r>
      <w:r w:rsidRPr="00722885">
        <w:rPr>
          <w:rStyle w:val="16"/>
          <w:rFonts w:ascii="Times New Roman" w:hAnsi="Times New Roman" w:cs="Times New Roman"/>
          <w:color w:val="000000" w:themeColor="text1"/>
          <w:spacing w:val="0"/>
        </w:rPr>
        <w:t>3.380</w:t>
      </w:r>
      <w:r w:rsidRPr="00722885">
        <w:rPr>
          <w:rFonts w:ascii="Times New Roman" w:hAnsi="Times New Roman"/>
          <w:color w:val="000000" w:themeColor="text1"/>
          <w:sz w:val="16"/>
          <w:szCs w:val="16"/>
        </w:rPr>
        <w:t xml:space="preserve"> килограмм.</w:t>
      </w:r>
    </w:p>
    <w:p w14:paraId="794A2C82" w14:textId="77777777" w:rsidR="00B82F32" w:rsidRPr="00722885" w:rsidRDefault="00B82F32" w:rsidP="00722885">
      <w:pPr>
        <w:spacing w:after="0" w:line="240" w:lineRule="auto"/>
        <w:jc w:val="both"/>
        <w:rPr>
          <w:rFonts w:ascii="Times New Roman" w:hAnsi="Times New Roman"/>
          <w:color w:val="000000" w:themeColor="text1"/>
          <w:sz w:val="16"/>
          <w:szCs w:val="16"/>
        </w:rPr>
      </w:pPr>
      <w:r w:rsidRPr="00722885">
        <w:rPr>
          <w:rStyle w:val="16"/>
          <w:rFonts w:ascii="Times New Roman" w:hAnsi="Times New Roman" w:cs="Times New Roman"/>
          <w:color w:val="000000" w:themeColor="text1"/>
          <w:spacing w:val="0"/>
        </w:rPr>
        <w:t>ВВС</w:t>
      </w:r>
      <w:r w:rsidRPr="00722885">
        <w:rPr>
          <w:rFonts w:ascii="Times New Roman" w:hAnsi="Times New Roman"/>
          <w:color w:val="000000" w:themeColor="text1"/>
          <w:sz w:val="16"/>
          <w:szCs w:val="16"/>
        </w:rPr>
        <w:t xml:space="preserve"> Красной Армии (т.т.Всрожейккну и Лосюкову) провести к 25 ноября с.г.. полное испытание облегченного самолета Ла-5 и результаты доловить ГОГО.</w:t>
      </w:r>
    </w:p>
    <w:p w14:paraId="2D9A66B9" w14:textId="77777777" w:rsidR="00B82F32" w:rsidRPr="00722885" w:rsidRDefault="00B82F32" w:rsidP="00722885">
      <w:pPr>
        <w:tabs>
          <w:tab w:val="left" w:pos="97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Принять предложение главного конструктора т.Лавочки на о дальнейшем облегчении веса самолета Ла-5</w:t>
      </w:r>
      <w:r w:rsidRPr="00722885">
        <w:rPr>
          <w:rStyle w:val="0pt"/>
          <w:rFonts w:ascii="Times New Roman" w:hAnsi="Times New Roman" w:cs="Times New Roman"/>
          <w:color w:val="000000" w:themeColor="text1"/>
          <w:spacing w:val="0"/>
          <w:sz w:val="16"/>
          <w:szCs w:val="16"/>
        </w:rPr>
        <w:t xml:space="preserve"> </w:t>
      </w:r>
      <w:r w:rsidRPr="00722885">
        <w:rPr>
          <w:rFonts w:ascii="Times New Roman" w:hAnsi="Times New Roman"/>
          <w:color w:val="000000" w:themeColor="text1"/>
          <w:sz w:val="16"/>
          <w:szCs w:val="16"/>
        </w:rPr>
        <w:t>до</w:t>
      </w:r>
      <w:r w:rsidRPr="00722885">
        <w:rPr>
          <w:rStyle w:val="0pt"/>
          <w:rFonts w:ascii="Times New Roman" w:hAnsi="Times New Roman" w:cs="Times New Roman"/>
          <w:color w:val="000000" w:themeColor="text1"/>
          <w:spacing w:val="0"/>
          <w:sz w:val="16"/>
          <w:szCs w:val="16"/>
        </w:rPr>
        <w:t xml:space="preserve"> 3.1C0</w:t>
      </w:r>
      <w:r w:rsidRPr="00722885">
        <w:rPr>
          <w:rFonts w:ascii="Times New Roman" w:hAnsi="Times New Roman"/>
          <w:color w:val="000000" w:themeColor="text1"/>
          <w:sz w:val="16"/>
          <w:szCs w:val="16"/>
        </w:rPr>
        <w:t xml:space="preserve"> кгр., обязать его к декабря </w:t>
      </w:r>
      <w:r w:rsidRPr="00722885">
        <w:rPr>
          <w:rStyle w:val="0pt"/>
          <w:rFonts w:ascii="Times New Roman" w:hAnsi="Times New Roman" w:cs="Times New Roman"/>
          <w:color w:val="000000" w:themeColor="text1"/>
          <w:spacing w:val="0"/>
          <w:sz w:val="16"/>
          <w:szCs w:val="16"/>
        </w:rPr>
        <w:t>1942</w:t>
      </w:r>
      <w:r w:rsidRPr="00722885">
        <w:rPr>
          <w:rFonts w:ascii="Times New Roman" w:hAnsi="Times New Roman"/>
          <w:color w:val="000000" w:themeColor="text1"/>
          <w:sz w:val="16"/>
          <w:szCs w:val="16"/>
        </w:rPr>
        <w:t xml:space="preserve"> года пред"явить на испытания в  </w:t>
      </w:r>
      <w:r w:rsidRPr="00722885">
        <w:rPr>
          <w:rStyle w:val="16"/>
          <w:rFonts w:ascii="Times New Roman" w:hAnsi="Times New Roman" w:cs="Times New Roman"/>
          <w:color w:val="000000" w:themeColor="text1"/>
          <w:spacing w:val="0"/>
        </w:rPr>
        <w:t>НИИ</w:t>
      </w:r>
      <w:r w:rsidRPr="00722885">
        <w:rPr>
          <w:rFonts w:ascii="Times New Roman" w:hAnsi="Times New Roman"/>
          <w:color w:val="000000" w:themeColor="text1"/>
          <w:sz w:val="16"/>
          <w:szCs w:val="16"/>
        </w:rPr>
        <w:t xml:space="preserve"> ВВС один экземпляр самллета Ла-5 весом не более 3</w:t>
      </w:r>
      <w:r w:rsidRPr="00722885">
        <w:rPr>
          <w:rStyle w:val="0pt"/>
          <w:rFonts w:ascii="Times New Roman" w:hAnsi="Times New Roman" w:cs="Times New Roman"/>
          <w:color w:val="000000" w:themeColor="text1"/>
          <w:spacing w:val="0"/>
          <w:sz w:val="16"/>
          <w:szCs w:val="16"/>
        </w:rPr>
        <w:t xml:space="preserve">.100 </w:t>
      </w:r>
      <w:r w:rsidRPr="00722885">
        <w:rPr>
          <w:rFonts w:ascii="Times New Roman" w:hAnsi="Times New Roman"/>
          <w:color w:val="000000" w:themeColor="text1"/>
          <w:sz w:val="16"/>
          <w:szCs w:val="16"/>
        </w:rPr>
        <w:t>килограмм.</w:t>
      </w:r>
    </w:p>
    <w:p w14:paraId="1763857A" w14:textId="77777777" w:rsidR="00B82F32" w:rsidRPr="00722885" w:rsidRDefault="00B82F32" w:rsidP="00722885">
      <w:pPr>
        <w:tabs>
          <w:tab w:val="left" w:pos="96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Возложить по линии НКАП личную ответственность за проведение</w:t>
      </w:r>
      <w:r w:rsidRPr="00722885">
        <w:rPr>
          <w:rStyle w:val="Tahoma9pt0pt"/>
          <w:rFonts w:ascii="Times New Roman" w:eastAsia="Calibri" w:hAnsi="Times New Roman" w:cs="Times New Roman"/>
          <w:color w:val="000000" w:themeColor="text1"/>
          <w:sz w:val="16"/>
          <w:szCs w:val="16"/>
        </w:rPr>
        <w:t xml:space="preserve"> </w:t>
      </w:r>
      <w:r w:rsidRPr="00722885">
        <w:rPr>
          <w:rStyle w:val="Tahoma9pt0pt"/>
          <w:rFonts w:ascii="Times New Roman" w:hAnsi="Times New Roman" w:cs="Times New Roman"/>
          <w:color w:val="000000" w:themeColor="text1"/>
          <w:sz w:val="16"/>
          <w:szCs w:val="16"/>
        </w:rPr>
        <w:t>в</w:t>
      </w:r>
      <w:r w:rsidRPr="00722885">
        <w:rPr>
          <w:rFonts w:ascii="Times New Roman" w:hAnsi="Times New Roman"/>
          <w:color w:val="000000" w:themeColor="text1"/>
          <w:sz w:val="16"/>
          <w:szCs w:val="16"/>
        </w:rPr>
        <w:t xml:space="preserve"> жизнь настоящего решения ГОКО на заместителя наркома авиапромышленности т.Дементьева.</w:t>
      </w:r>
    </w:p>
    <w:p w14:paraId="60044A9F" w14:textId="77777777" w:rsidR="00B82F32" w:rsidRPr="00722885" w:rsidRDefault="00B82F32" w:rsidP="00722885">
      <w:pPr>
        <w:tabs>
          <w:tab w:val="left" w:pos="985"/>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Ввиду того, что завод № 21 не уделял должного внима</w:t>
      </w:r>
      <w:r w:rsidRPr="00722885">
        <w:rPr>
          <w:rFonts w:ascii="Times New Roman" w:hAnsi="Times New Roman"/>
          <w:color w:val="000000" w:themeColor="text1"/>
          <w:sz w:val="16"/>
          <w:szCs w:val="16"/>
        </w:rPr>
        <w:softHyphen/>
        <w:t>ния качеству серийного самолета Ла-5 и допустил ухудшение показателей серийного самолета в сравнении с самолетом Ла-5, ГОКО постановляет отобрать от завода № 21 Знамя Государственного Комитета Обороны (19375).</w:t>
      </w:r>
    </w:p>
    <w:p w14:paraId="1FAFA389" w14:textId="77777777" w:rsidR="00B82F32" w:rsidRPr="00722885" w:rsidRDefault="00B82F32" w:rsidP="00722885">
      <w:pPr>
        <w:spacing w:after="0" w:line="240" w:lineRule="auto"/>
        <w:jc w:val="both"/>
        <w:rPr>
          <w:rFonts w:ascii="Times New Roman" w:hAnsi="Times New Roman"/>
          <w:color w:val="000000" w:themeColor="text1"/>
          <w:sz w:val="16"/>
          <w:szCs w:val="16"/>
        </w:rPr>
      </w:pPr>
    </w:p>
    <w:p w14:paraId="3021763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ноября 1942 вышло постановление ГКО по улучшению Ла-5 (2519).</w:t>
      </w:r>
    </w:p>
    <w:p w14:paraId="0EC105B5" w14:textId="77777777" w:rsidR="00090C9B" w:rsidRPr="00722885" w:rsidRDefault="00090C9B" w:rsidP="00722885">
      <w:pPr>
        <w:pStyle w:val="Iauiue"/>
        <w:jc w:val="both"/>
        <w:rPr>
          <w:color w:val="000000" w:themeColor="text1"/>
          <w:sz w:val="16"/>
          <w:szCs w:val="16"/>
        </w:rPr>
      </w:pPr>
    </w:p>
    <w:p w14:paraId="1E04AF8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ноября 1942 вышло постановление ГКО по дальнейшему улучше</w:t>
      </w:r>
      <w:r w:rsidRPr="00722885">
        <w:rPr>
          <w:rFonts w:ascii="Times New Roman" w:hAnsi="Times New Roman"/>
          <w:color w:val="000000" w:themeColor="text1"/>
          <w:sz w:val="16"/>
          <w:szCs w:val="16"/>
        </w:rPr>
        <w:softHyphen/>
        <w:t>нию летных данных Ла-5 и ликвидации брака. В ответ завод №21 на трех машинах выполнил различные комплексы доработок. Общим в них были установка мотора М-82 с увеличенным с 950 до 1140 мм рт. ст. наддувом у земли и улучшенная внешняя отделка. Скорость у земли такого Ла-5 №8-53 достигла 519 км/ч на номинале, на фор</w:t>
      </w:r>
      <w:r w:rsidRPr="00722885">
        <w:rPr>
          <w:rFonts w:ascii="Times New Roman" w:hAnsi="Times New Roman"/>
          <w:color w:val="000000" w:themeColor="text1"/>
          <w:sz w:val="16"/>
          <w:szCs w:val="16"/>
        </w:rPr>
        <w:softHyphen/>
        <w:t>саже — 550 км/ч (на 2700 м — 569 км/ч) (11123).</w:t>
      </w:r>
    </w:p>
    <w:p w14:paraId="34CF499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сер. № 8-71 дополнительно получил новые тоннель маслорадиатора и патрубок ПЦН. Скорость на границе высотно</w:t>
      </w:r>
      <w:r w:rsidRPr="00722885">
        <w:rPr>
          <w:rFonts w:ascii="Times New Roman" w:hAnsi="Times New Roman"/>
          <w:color w:val="000000" w:themeColor="text1"/>
          <w:sz w:val="16"/>
          <w:szCs w:val="16"/>
        </w:rPr>
        <w:softHyphen/>
        <w:t>сти 3200 м выросла до 576 км/ч, но у земли на форсаже была на 3 км/ч меньше, чем у машины № 8-53 (11123).</w:t>
      </w:r>
    </w:p>
    <w:p w14:paraId="0F4683B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 8-50 вдобавок имел внешний и внутренний капоты с улучшенной герметизацией, новые выходы охлаждающего воздуха и выхлопные патрубки. На высоте 600 м на форсаже скорость была 565 км/ч, без него — 530 км/ч, а на границе высотности 3250 м — 590 км/ч (11123).</w:t>
      </w:r>
    </w:p>
    <w:p w14:paraId="1F36D75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5F128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15 ноября 1942 г. на заводе № 292 началось постепенное внедрение мер, предложенных ЦАГИ для совершенствования аэродинамики Як-1, испытания которых завершилось 11 сентября. Полностью процесс завершился примерно к 110-й серии.</w:t>
      </w:r>
    </w:p>
    <w:p w14:paraId="5FAECA7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были проведены мероприятия по частичному облегчению конструкции серийных самолетов. По постановлению ГКО от 22 сентября 1942 г.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4F9B59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15BEDA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9B487A" w:rsidRPr="00722885" w14:paraId="2833B7AF" w14:textId="77777777" w:rsidTr="00CC5360">
        <w:tc>
          <w:tcPr>
            <w:tcW w:w="2802" w:type="dxa"/>
            <w:tcBorders>
              <w:top w:val="single" w:sz="12" w:space="0" w:color="auto"/>
            </w:tcBorders>
          </w:tcPr>
          <w:p w14:paraId="55D661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данные</w:t>
            </w:r>
          </w:p>
        </w:tc>
        <w:tc>
          <w:tcPr>
            <w:tcW w:w="2802" w:type="dxa"/>
            <w:tcBorders>
              <w:top w:val="single" w:sz="12" w:space="0" w:color="auto"/>
            </w:tcBorders>
          </w:tcPr>
          <w:p w14:paraId="1C5429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2898</w:t>
            </w:r>
          </w:p>
        </w:tc>
        <w:tc>
          <w:tcPr>
            <w:tcW w:w="2802" w:type="dxa"/>
            <w:tcBorders>
              <w:top w:val="single" w:sz="12" w:space="0" w:color="auto"/>
            </w:tcBorders>
          </w:tcPr>
          <w:p w14:paraId="63C027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5DC9F7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1699</w:t>
            </w:r>
          </w:p>
        </w:tc>
      </w:tr>
      <w:tr w:rsidR="009B487A" w:rsidRPr="00722885" w14:paraId="15365BE8" w14:textId="77777777" w:rsidTr="00CC5360">
        <w:tc>
          <w:tcPr>
            <w:tcW w:w="2802" w:type="dxa"/>
          </w:tcPr>
          <w:p w14:paraId="631A69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кг</w:t>
            </w:r>
          </w:p>
        </w:tc>
        <w:tc>
          <w:tcPr>
            <w:tcW w:w="2802" w:type="dxa"/>
          </w:tcPr>
          <w:p w14:paraId="076149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2940</w:t>
            </w:r>
          </w:p>
        </w:tc>
        <w:tc>
          <w:tcPr>
            <w:tcW w:w="2802" w:type="dxa"/>
          </w:tcPr>
          <w:p w14:paraId="3A3B99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2780</w:t>
            </w:r>
          </w:p>
        </w:tc>
        <w:tc>
          <w:tcPr>
            <w:tcW w:w="2802" w:type="dxa"/>
          </w:tcPr>
          <w:p w14:paraId="1B7291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2920</w:t>
            </w:r>
          </w:p>
        </w:tc>
      </w:tr>
      <w:tr w:rsidR="009B487A" w:rsidRPr="00722885" w14:paraId="4B6C9F62" w14:textId="77777777" w:rsidTr="00CC5360">
        <w:tc>
          <w:tcPr>
            <w:tcW w:w="2802" w:type="dxa"/>
          </w:tcPr>
          <w:p w14:paraId="6170A0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км/ч у земли</w:t>
            </w:r>
          </w:p>
        </w:tc>
        <w:tc>
          <w:tcPr>
            <w:tcW w:w="2802" w:type="dxa"/>
          </w:tcPr>
          <w:p w14:paraId="38CE45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516</w:t>
            </w:r>
          </w:p>
        </w:tc>
        <w:tc>
          <w:tcPr>
            <w:tcW w:w="2802" w:type="dxa"/>
          </w:tcPr>
          <w:p w14:paraId="5C4E49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526</w:t>
            </w:r>
          </w:p>
        </w:tc>
        <w:tc>
          <w:tcPr>
            <w:tcW w:w="2802" w:type="dxa"/>
          </w:tcPr>
          <w:p w14:paraId="426583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524</w:t>
            </w:r>
          </w:p>
        </w:tc>
      </w:tr>
      <w:tr w:rsidR="009B487A" w:rsidRPr="00722885" w14:paraId="731FE16B" w14:textId="77777777" w:rsidTr="00CC5360">
        <w:tc>
          <w:tcPr>
            <w:tcW w:w="2802" w:type="dxa"/>
          </w:tcPr>
          <w:p w14:paraId="212B59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170EC6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566</w:t>
            </w:r>
          </w:p>
        </w:tc>
        <w:tc>
          <w:tcPr>
            <w:tcW w:w="2802" w:type="dxa"/>
          </w:tcPr>
          <w:p w14:paraId="2CE123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586</w:t>
            </w:r>
          </w:p>
        </w:tc>
        <w:tc>
          <w:tcPr>
            <w:tcW w:w="2802" w:type="dxa"/>
          </w:tcPr>
          <w:p w14:paraId="5426E4A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584</w:t>
            </w:r>
          </w:p>
        </w:tc>
      </w:tr>
      <w:tr w:rsidR="009B487A" w:rsidRPr="00722885" w14:paraId="7A86C206" w14:textId="77777777" w:rsidTr="00CC5360">
        <w:tc>
          <w:tcPr>
            <w:tcW w:w="2802" w:type="dxa"/>
          </w:tcPr>
          <w:p w14:paraId="2917A9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0BCF6A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569</w:t>
            </w:r>
          </w:p>
        </w:tc>
        <w:tc>
          <w:tcPr>
            <w:tcW w:w="2802" w:type="dxa"/>
          </w:tcPr>
          <w:p w14:paraId="2F2240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592</w:t>
            </w:r>
          </w:p>
        </w:tc>
        <w:tc>
          <w:tcPr>
            <w:tcW w:w="2802" w:type="dxa"/>
          </w:tcPr>
          <w:p w14:paraId="5005687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E52DE5C" w14:textId="77777777" w:rsidTr="00CC5360">
        <w:tc>
          <w:tcPr>
            <w:tcW w:w="2802" w:type="dxa"/>
            <w:tcBorders>
              <w:bottom w:val="single" w:sz="12" w:space="0" w:color="auto"/>
            </w:tcBorders>
          </w:tcPr>
          <w:p w14:paraId="1ECE63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6EDE5B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w:t>
            </w:r>
          </w:p>
        </w:tc>
        <w:tc>
          <w:tcPr>
            <w:tcW w:w="2802" w:type="dxa"/>
            <w:tcBorders>
              <w:bottom w:val="single" w:sz="12" w:space="0" w:color="auto"/>
            </w:tcBorders>
          </w:tcPr>
          <w:p w14:paraId="635B4E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2802" w:type="dxa"/>
            <w:tcBorders>
              <w:bottom w:val="single" w:sz="12" w:space="0" w:color="auto"/>
            </w:tcBorders>
          </w:tcPr>
          <w:p w14:paraId="40DD21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r>
    </w:tbl>
    <w:p w14:paraId="4C295E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6A16FC9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0EE60E8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AC7C4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ноября 1942 в НИИ ВВС закончились гос. испытания НББ Як-6 № 0247, которые проходили с 26 октября 1942. Поставили РСИ-4 и РПК-10. Мог нести 500 кг бомб под крылом. Поставили ШКАС на шкворневой установке ОП-102. Ви - А.В.Синельников. Летал п/п К.А.Калилец. Были ли облеты л НИИ ВВС и 12 боевых л и ш 661 ЛБАП и 242 НБАП. Выполнили 64 полета, в т.ч. л 661 ЛБАП - 30 (4657, 17).</w:t>
      </w:r>
    </w:p>
    <w:p w14:paraId="4CDCA1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Заключение:</w:t>
      </w:r>
    </w:p>
    <w:p w14:paraId="47328704" w14:textId="77777777" w:rsidR="00090C9B" w:rsidRPr="00722885" w:rsidRDefault="00090C9B" w:rsidP="00722885">
      <w:pPr>
        <w:pStyle w:val="Iauiue"/>
        <w:numPr>
          <w:ilvl w:val="0"/>
          <w:numId w:val="20"/>
        </w:numPr>
        <w:ind w:left="0" w:firstLine="0"/>
        <w:jc w:val="both"/>
        <w:rPr>
          <w:color w:val="000000" w:themeColor="text1"/>
          <w:sz w:val="16"/>
          <w:szCs w:val="16"/>
        </w:rPr>
      </w:pPr>
      <w:r w:rsidRPr="00722885">
        <w:rPr>
          <w:color w:val="000000" w:themeColor="text1"/>
          <w:sz w:val="16"/>
          <w:szCs w:val="16"/>
        </w:rPr>
        <w:t>С-т Як-6 № 0247 с 2хМ-11Ф в предъявленном виде имеет ряд существенных недостатковы, не позволяющих использовать его как массовой НБ,</w:t>
      </w:r>
    </w:p>
    <w:p w14:paraId="78728E40" w14:textId="77777777" w:rsidR="00090C9B" w:rsidRPr="00722885" w:rsidRDefault="00090C9B" w:rsidP="00722885">
      <w:pPr>
        <w:pStyle w:val="Iauiue"/>
        <w:numPr>
          <w:ilvl w:val="0"/>
          <w:numId w:val="20"/>
        </w:numPr>
        <w:ind w:left="0" w:firstLine="0"/>
        <w:jc w:val="both"/>
        <w:rPr>
          <w:color w:val="000000" w:themeColor="text1"/>
          <w:sz w:val="16"/>
          <w:szCs w:val="16"/>
        </w:rPr>
      </w:pPr>
      <w:r w:rsidRPr="00722885">
        <w:rPr>
          <w:color w:val="000000" w:themeColor="text1"/>
          <w:sz w:val="16"/>
          <w:szCs w:val="16"/>
        </w:rPr>
        <w:t>Обязать з-д № 47 в январе 1943 предъявить эталон с-та Як-6 2хМ-11Ф на контрольные испытания, нак отором устранить дефекты, отмеченные в п. 1 заключения и перечне дефектов.</w:t>
      </w:r>
    </w:p>
    <w:p w14:paraId="5DC819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январе - не вышел (4657, 17).</w:t>
      </w:r>
    </w:p>
    <w:p w14:paraId="60822F8C" w14:textId="77777777" w:rsidR="00090C9B" w:rsidRPr="00722885" w:rsidRDefault="00090C9B" w:rsidP="00722885">
      <w:pPr>
        <w:pStyle w:val="Iauiue"/>
        <w:jc w:val="both"/>
        <w:rPr>
          <w:color w:val="000000" w:themeColor="text1"/>
          <w:sz w:val="16"/>
          <w:szCs w:val="16"/>
        </w:rPr>
      </w:pPr>
    </w:p>
    <w:p w14:paraId="7D66E6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ноября 1942 года был составлен Паспорт филиала завода № 25 по состоянию на 1 января 1942</w:t>
      </w:r>
    </w:p>
    <w:p w14:paraId="6F9732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Шенкман</w:t>
      </w:r>
    </w:p>
    <w:p w14:paraId="1675EF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Москва 20, п/я 2364/4 (9482)</w:t>
      </w:r>
    </w:p>
    <w:p w14:paraId="457CE5C9" w14:textId="77777777" w:rsidR="00090C9B" w:rsidRPr="00722885" w:rsidRDefault="00090C9B" w:rsidP="00722885">
      <w:pPr>
        <w:pStyle w:val="Iauiue"/>
        <w:jc w:val="both"/>
        <w:rPr>
          <w:iCs/>
          <w:color w:val="000000" w:themeColor="text1"/>
          <w:sz w:val="16"/>
          <w:szCs w:val="16"/>
        </w:rPr>
      </w:pPr>
    </w:p>
    <w:p w14:paraId="63881BD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7A126C6" w14:textId="77777777" w:rsidR="00090C9B" w:rsidRPr="00722885" w:rsidRDefault="00090C9B" w:rsidP="00722885">
      <w:pPr>
        <w:pStyle w:val="Iauiue"/>
        <w:jc w:val="both"/>
        <w:rPr>
          <w:iCs/>
          <w:color w:val="000000" w:themeColor="text1"/>
          <w:sz w:val="16"/>
          <w:szCs w:val="16"/>
        </w:rPr>
      </w:pPr>
    </w:p>
    <w:p w14:paraId="7C597D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ноября 1942 года вышел приказ № 450 НКВ, которым был утвержден Устав Центрального артиллерийского КБ (ЦАКБ) НКВ</w:t>
      </w:r>
    </w:p>
    <w:p w14:paraId="101F57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Бюро организовано в соответствии с постановлением Правительства от 5 ноября 1942 года (9272).</w:t>
      </w:r>
    </w:p>
    <w:p w14:paraId="1D5E6D20" w14:textId="77777777" w:rsidR="00090C9B" w:rsidRPr="00722885" w:rsidRDefault="00090C9B" w:rsidP="00722885">
      <w:pPr>
        <w:pStyle w:val="Iauiue"/>
        <w:jc w:val="both"/>
        <w:rPr>
          <w:color w:val="000000" w:themeColor="text1"/>
          <w:sz w:val="16"/>
          <w:szCs w:val="16"/>
        </w:rPr>
      </w:pPr>
    </w:p>
    <w:p w14:paraId="4A8D19D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15 ноября 1942 г. на артиллерийском полигоне под Свердловском имелось пять СГ-122. Одна из двух СГ-122 "улучшенных" - на шасси танка PzKpfw III - 5 декабря была доставлена на Гороховецкий полигон для сравнительных Государственных испытаний с У-35 (будущей СУ-122) конструкции Уралмашзавода (9695).</w:t>
      </w:r>
    </w:p>
    <w:p w14:paraId="22248C25" w14:textId="77777777" w:rsidR="00090C9B" w:rsidRPr="00722885" w:rsidRDefault="00090C9B" w:rsidP="00722885">
      <w:pPr>
        <w:pStyle w:val="Iauiue"/>
        <w:jc w:val="both"/>
        <w:rPr>
          <w:color w:val="000000" w:themeColor="text1"/>
          <w:sz w:val="16"/>
          <w:szCs w:val="16"/>
        </w:rPr>
      </w:pPr>
    </w:p>
    <w:p w14:paraId="6F212EC5"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С 15 по 16 ноября 1942 года на НИПСВО КА проходили испытания гранаты РБ-60 конструкции Наркомугля, изготовленной заводом №58. Эта попытка «запрыгнуть на подножку уходящего поезда» оказалась неудачной. Безжалостное заключение гласило: </w:t>
      </w:r>
      <w:r w:rsidRPr="00722885">
        <w:rPr>
          <w:iCs/>
          <w:color w:val="000000" w:themeColor="text1"/>
          <w:sz w:val="16"/>
          <w:szCs w:val="16"/>
          <w:bdr w:val="none" w:sz="0" w:space="0" w:color="auto" w:frame="1"/>
        </w:rPr>
        <w:t>«Предлагаемая конструкция гранаты РБ-60 по сравнению с испытанными конструкциями ручных гранат направленного действия КБ-30 и НИИ-6 никаких преимуществ не имеет» (18876)</w:t>
      </w:r>
      <w:r w:rsidRPr="00722885">
        <w:rPr>
          <w:color w:val="000000" w:themeColor="text1"/>
          <w:sz w:val="16"/>
          <w:szCs w:val="16"/>
        </w:rPr>
        <w:t>.</w:t>
      </w:r>
    </w:p>
    <w:p w14:paraId="670C38C5" w14:textId="77777777" w:rsidR="008D2293" w:rsidRPr="00722885" w:rsidRDefault="008D2293" w:rsidP="00722885">
      <w:pPr>
        <w:spacing w:after="0" w:line="240" w:lineRule="auto"/>
        <w:jc w:val="both"/>
        <w:textAlignment w:val="baseline"/>
        <w:rPr>
          <w:rFonts w:ascii="Times New Roman" w:hAnsi="Times New Roman"/>
          <w:color w:val="000000" w:themeColor="text1"/>
          <w:sz w:val="16"/>
          <w:szCs w:val="16"/>
        </w:rPr>
      </w:pPr>
    </w:p>
    <w:p w14:paraId="5AEACB7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ноября 1942 ГК з-да № 183 Морозов писал письмо:</w:t>
      </w:r>
    </w:p>
    <w:p w14:paraId="7C8D3F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НАЧАЛЬНИКУ БТУ КА ИНЖ-ПОЛКОВНИКУ т.АФОНИНУ Г. Москва, Красная площадь 2-й дом НКО НАРОДНОМУ КОМИССАРУ ТАНКОВОЙ ПРОМЫШЛЕННОСТИ Т.ЗАЛЬЦМАНУ</w:t>
      </w:r>
    </w:p>
    <w:p w14:paraId="51D5303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ВОПРОСУ: рассмотрения проекта опытн. образца танка Т-43 и Т44.</w:t>
      </w:r>
    </w:p>
    <w:p w14:paraId="7AA807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дополнение к моему письму от З.Х1 - с. г. за № сс-4698, направленного на Ваше имя и в копии заместителю народного комиссара тов. КОТИНУ Ж.Я., в результате рассмотрения проектов опытного образца танков Т-43 и Т-44 с вашими представителями т. т. РОЗЕНГАРД и ВОРОШИЛОВЫМ, считаю необходимым сообщить следующее:</w:t>
      </w:r>
    </w:p>
    <w:p w14:paraId="1B23395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Как я вам уже сообщал, что в основу проэкта, разработанного нами нового танка Т-43, были положены следующие требования :</w:t>
      </w:r>
    </w:p>
    <w:p w14:paraId="315C951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Получение максимально возможного утолщения брони при сохранении веса нового танка в пределах Т-34.</w:t>
      </w:r>
    </w:p>
    <w:p w14:paraId="47D0EB0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Максимально возможное упрощение конструкции деталей и узлов танка для обеспечения резкого снижения трудоемкости работ.</w:t>
      </w:r>
    </w:p>
    <w:p w14:paraId="34D42F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Максимальное использование серийных с Т-34 деталей и узлов освоенных уже на производстве рядом заводов.</w:t>
      </w:r>
    </w:p>
    <w:p w14:paraId="4B36B18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Эти основные требования нами ставились для достижения в конечном счете, увеличенного выпуска танков нашими танковыми заводами при сохранении тактико-технических качеств нового танка, равноценных танку Т-34.</w:t>
      </w:r>
    </w:p>
    <w:p w14:paraId="0C4672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Такое решение задачи давало возможность более скорому переходу завода на выпуск нового образца танка, не требовало переподготовки кадров танкистов и неусложняло вопроса со снабжением армии запасными частями.</w:t>
      </w:r>
    </w:p>
    <w:p w14:paraId="0591171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Всякое другое решение, хотя бы в варианте предложенных вами тактико-технических требований, не дает решения, вопросу получения простой в эксплоатации и в производстве, более легкой и надежной машины.</w:t>
      </w:r>
    </w:p>
    <w:p w14:paraId="2A2E94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Выполнение образца машины в соответствии с вашими требованиями, конечно возможно и такая машина отнюдь не будет в какой либо степени хуже изготовляемого нами в данное время образца, но на данный период - период военного времени такую машину изготовлять просто нельзя, да этого сейчас никто и не позволит деталь.</w:t>
      </w:r>
    </w:p>
    <w:p w14:paraId="57F895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 по себе переход на изготовление нового образца во всех случаях вызовет на определенный период некоторое снижение выпуска танков на заводе проводящего перестройку на новую конструкцию и чем больше в этой конструкции будет новых элементов, тем больше потребуется времени, средств и труда к их освоению в производстве.</w:t>
      </w:r>
    </w:p>
    <w:p w14:paraId="768AB26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Такой рискованный эксперимент в танковой промышленности сейчас производить никак нельзя.</w:t>
      </w:r>
    </w:p>
    <w:p w14:paraId="41EAC7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Ваши требования на новую машину, как раз это, основное и неучитывают. Примером этого могут служить следующие пункты требований:</w:t>
      </w:r>
    </w:p>
    <w:p w14:paraId="66F168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 “Тип зацепления ведущего колеса должен быть цевочный”.</w:t>
      </w:r>
    </w:p>
    <w:p w14:paraId="56410B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Указанное требование неучитывает, что практически такой гусеницы еще нет и только ее отработка и испытание потребует много времени не считая затрат на последующее освоение в производстве. Преимуществ-же цевочное зацепление по моему, никаких не сулит.</w:t>
      </w:r>
    </w:p>
    <w:p w14:paraId="185F19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 “Погон башни в свету должен быть не менее 1600 мм, для</w:t>
      </w:r>
    </w:p>
    <w:p w14:paraId="1350EF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свободного размещения 3-х человек!”</w:t>
      </w:r>
    </w:p>
    <w:p w14:paraId="22F26B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Это требование в корне меняет лицо машины. Помимо того, что в этом случае абсолютно отпадает всякая ВОЗМОЖНОСТЬ сохранения взаимозаменяемости башень с Т-34, потребуется большая работа по подготовке производства и переделки самих станков ДЛЯ обработки погонов увеличенного диаметра и переоборудовании специальных станков для обработки башен.</w:t>
      </w:r>
    </w:p>
    <w:p w14:paraId="4915D5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Увеличение же диаметра башни потребует и увеличение габаритов машины в целом, а это, в свою очередь, как следствие вызовет увеличение веса танка, что в итоге снизит динамические качества танка и запас прочности его узлов.</w:t>
      </w:r>
    </w:p>
    <w:p w14:paraId="659ED8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Мое мнение - сейчас делать этого нельзя.</w:t>
      </w:r>
    </w:p>
    <w:p w14:paraId="19D5AB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 “Командиру машины установить во вращающемся люке кругового обзора призменные приборы.”</w:t>
      </w:r>
    </w:p>
    <w:p w14:paraId="350FD5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Вами предусматривается какая-то новая командирская башенка с новыми смотровыми приборами, что потребует опять времени на отработку и освоение, в то время, когда уже опробованная на Т-34 командирская башенка могла бы быть с успехом использована для этой цели, что нами и сделано</w:t>
      </w:r>
    </w:p>
    <w:p w14:paraId="3B79EB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Несмея загружать вашего внимания на других вопросах, т.т.т., которые также расходятся с тем, что мы осуществляем в новом образце я, с своей стороны прошу Вас по этому вопросу внести определенную ясность, т.к., еще раз повторяю, что Вами с июня месяца до октября м-ца, т.е. до момента, когда эту работу разрешил продолжать т. СТАЛИН” никаких замечаний по проекту небыло высказано.</w:t>
      </w:r>
    </w:p>
    <w:p w14:paraId="4F4361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Я считал-бы правильным сейчас в изготовляемый нами образец танка не вносить каких-либо изменений, а изготовить последний в том виде, в каком он был нами отработан в октябре м-це. Ваши же требования на новый образец, как я вам сообщал, принимаю для конструктивной проработки.</w:t>
      </w:r>
    </w:p>
    <w:p w14:paraId="66F899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Ваше решение по затронутому вопросу, прошу сообщить.</w:t>
      </w:r>
    </w:p>
    <w:p w14:paraId="6A218A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(МОРОЗОВ)</w:t>
      </w:r>
    </w:p>
    <w:p w14:paraId="23B96D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ГЛ. КОНСТРУКТОР ЗАВОДА № 183 (7637,37).</w:t>
      </w:r>
    </w:p>
    <w:p w14:paraId="1B97DB97" w14:textId="77777777" w:rsidR="00090C9B" w:rsidRPr="00722885" w:rsidRDefault="00090C9B" w:rsidP="00722885">
      <w:pPr>
        <w:pStyle w:val="Iauiue"/>
        <w:jc w:val="both"/>
        <w:rPr>
          <w:color w:val="000000" w:themeColor="text1"/>
          <w:sz w:val="16"/>
          <w:szCs w:val="16"/>
        </w:rPr>
      </w:pPr>
    </w:p>
    <w:p w14:paraId="2BCFFE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15 ноября 1942 г. на артиллерийском полигоне под Свердловском имелось пять СГ-122. Одна из двух СГ-122 «улучшенных» (на шасси танка Pz. Kpfw III) 5 декабря была доставлена на Гороховецкий полигон для сравнительных Государственных испытаний с У-35 (будущей СУ-122) конструкции Уралмашзавода. Предполагавшийся на 1943 год заказ на 122-мм самоходные гаубицы заводу № 592 был отменен, а II февраля 1943 г. все изготовленные СГ-122, хранившиеся на территории завода, приказом по Наркомату вооружений были переданы в распоряжение начальника бронетанкового управления для формирования учебных танко-самоходных подразделений.</w:t>
      </w:r>
    </w:p>
    <w:p w14:paraId="6575B5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После доработки проекта завод № 592 изготовил два улучшенных варианта СГ-122, отличавшихся типом примененного шасси (штурмового орудия и танка Pz. Kpfw III), которые имели ряд отличий от прототипа. По отчету завода № 592 за 1942 год всего было изготовлено десять СГ-122, (при плане на год 63 машины), причем одна на шасси Pz. Ill, а остальные — на шасси StuG III. </w:t>
      </w:r>
    </w:p>
    <w:p w14:paraId="6FCD6D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январе 1943 г. Каштанов предложил на базе СГ-122 создать 76-мм САУ. Решение о подготовке серийного производства штурмовой 76-мм САУ поддержки на трофейном шасси было принято 3 февраля 1943 г. Конструкторский коллектив Каштанова был переведен в Свердловск, на территорию эвакуированного завода № 37, и приказом по Наркомату тяжелой промышленности преобразован в конструкторское бюро и начал доработку проекта СГ-122. Времени было мало, так как опытный образец САУ должен был быть готов к 1 марта (12687).</w:t>
      </w:r>
    </w:p>
    <w:p w14:paraId="36E5AF1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47A895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15 ноября 1942 вышло Постановление ГКО № 2513 Об увеличении добычи угля по комбинату "Свердловскуголь". (7063, 41-50,51-73).</w:t>
      </w:r>
    </w:p>
    <w:p w14:paraId="0BF3270C" w14:textId="77777777" w:rsidR="00090C9B" w:rsidRPr="00722885" w:rsidRDefault="00090C9B" w:rsidP="00722885">
      <w:pPr>
        <w:pStyle w:val="Iauiue"/>
        <w:tabs>
          <w:tab w:val="left" w:pos="11199"/>
        </w:tabs>
        <w:jc w:val="both"/>
        <w:rPr>
          <w:color w:val="000000" w:themeColor="text1"/>
          <w:sz w:val="16"/>
          <w:szCs w:val="16"/>
        </w:rPr>
      </w:pPr>
    </w:p>
    <w:p w14:paraId="0A2DAE6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15-18 ноября 1942 на Адмиралтейском заводе заложен второй МБК, закончен ремонт 11 БК и 5 ПЛ типа "щука"; петрозаводцы завершили ремонт одного БТЩ (10671).</w:t>
      </w:r>
    </w:p>
    <w:p w14:paraId="15899F3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BAD87A6" w14:textId="77777777" w:rsidR="001166A2"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B39CB84" w14:textId="77777777" w:rsidR="001166A2" w:rsidRPr="00722885" w:rsidRDefault="001166A2" w:rsidP="00722885">
      <w:pPr>
        <w:pStyle w:val="Iauiue"/>
        <w:jc w:val="both"/>
        <w:rPr>
          <w:iCs/>
          <w:color w:val="000000" w:themeColor="text1"/>
          <w:sz w:val="16"/>
          <w:szCs w:val="16"/>
        </w:rPr>
      </w:pPr>
    </w:p>
    <w:p w14:paraId="6341431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15 ноября </w:t>
      </w:r>
      <w:r w:rsidRPr="00722885">
        <w:rPr>
          <w:rFonts w:ascii="Times New Roman" w:hAnsi="Times New Roman"/>
          <w:color w:val="000000" w:themeColor="text1"/>
          <w:sz w:val="16"/>
          <w:szCs w:val="16"/>
        </w:rPr>
        <w:t>в 1942 году утреннее сообщение Совинформбюро:</w:t>
      </w:r>
    </w:p>
    <w:p w14:paraId="59B8D0A1"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15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2289E8F"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бои. В заводской части города наши части отбили ряд атак противника. Защитники Сталинграда самоотверженно защищают свои позиции. Герой Советского Союза пулемётчик т. Ермаков за 17 дней боёв на улицахСталинграда истребил до 300 гитлеровцев. Расчёт орудия сержанта т. Куткова за последние дни сбил 3 немецких самолёта. Южнее Сталинграда наша разведывательная группа ворвалась в расположение противника и уничтожила 100 румынских солдат и офицеров, взорвала несколько дзотов и врытых в землю немецких танков.</w:t>
      </w:r>
    </w:p>
    <w:p w14:paraId="0B57A746"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артиллеристы Н-ской части разрушили 7 немецких блиндажей, подавили огонь 4 артиллерийских батарей и рассеяли скопление пехоты противника. Наше подразделение предприняло разведку боем и уничтожило 80гитлеровцев.</w:t>
      </w:r>
    </w:p>
    <w:p w14:paraId="3CB8DB4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с боями продвинулись вперёд и нанесли противнику тяжёлые потери. Только одна, наша часть истребила 280 гитлеровцев, подбила 7 немецких танков и захватила трофеи.</w:t>
      </w:r>
    </w:p>
    <w:p w14:paraId="1AC225F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вели активные боевые действия и заняли одну высоту, имеющую важное тактическое значение. Немцы предприняли несколько контратак, но все они были отбиты нашими бойцами. На другом участке бойцы Н-скойчасти морской пехоты захватили 6 станковых и 3 ручных пулемёта, 2 противотанковых ружья, 3 миномёта и значительное количество боеприпасов. В воздушных боях и огнём зенитной артиллерии сбито 6 немецких самолётов.</w:t>
      </w:r>
    </w:p>
    <w:p w14:paraId="25382EE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нашими разведчиками и снайперами за два дня истреблено до 700 немецких солдат и офицеров. Огнём артиллерии разрушены 10 дзотов, 17 блиндажей и наблюдательный пункт противника. Над передним краем обороны за этоже время сбито 7 немецких самолётов.</w:t>
      </w:r>
    </w:p>
    <w:p w14:paraId="776C4582"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орловских партизан в конце октября месяца пустил под откос железнодорожный эшелон противника. Во время крушения уничтожено до 200 немецких солдат и офицеров.</w:t>
      </w:r>
    </w:p>
    <w:p w14:paraId="0FB3742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калининских партизан взорвал 2 железнодорожных моста и уничтожил 24 автомашины противника. За две недели боевых действий партизаны этого отрядаистребили 230 немецко-фашистских оккупантов.</w:t>
      </w:r>
    </w:p>
    <w:p w14:paraId="727BD39B"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изверги совершили дикое и гнусное преступление в селе Тросна, Курской области. Гитлеровцы согнали в это село из окружающих деревень группу девушек для отправки их на каторжные работы в Германию. Здесь всех девушек заперли в сарай. Ночью через село проходила немецкая воинская часть.Фашистские мерзавцы ворвались в сарай и надругались над находившимися в нём советскими девушками.» (14831).</w:t>
      </w:r>
    </w:p>
    <w:p w14:paraId="1371E08A"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12BFD219"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15 ноября </w:t>
      </w:r>
      <w:r w:rsidRPr="00722885">
        <w:rPr>
          <w:rFonts w:ascii="Times New Roman" w:hAnsi="Times New Roman"/>
          <w:color w:val="000000" w:themeColor="text1"/>
          <w:sz w:val="16"/>
          <w:szCs w:val="16"/>
        </w:rPr>
        <w:t>в 1942 году вечернее сообщение Совинформбюро:</w:t>
      </w:r>
    </w:p>
    <w:p w14:paraId="63EBB2E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15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643ABC4D"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8 по 14 ноября включительно, в воздушных боях, на аэродромах и огнём зенитной артиллерии уничтожено 97 немецких самолётов. Наши потери за это же время — 66 самолётов.</w:t>
      </w:r>
    </w:p>
    <w:p w14:paraId="3C56D042"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14 ноября нашей авиацией на различных участках фронта уничтожено 20 автомашин с войсками и грузами, подавлен огонь 5 артиллерийских батарей, 10 миномётов, взорвано 2 склада боеприпасов, разбит железнодорожный состав противника.</w:t>
      </w:r>
    </w:p>
    <w:p w14:paraId="6980383C"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Сталинграда наши войска отбивали атаки противника. От заводской части города немцы силою до полка пехоты несколько раз атаковали наши позиции. Все атаки гитлеровцев отбиты с тяжёлыми для противника потерями. По неполным данным, уничтожено более 400 немецких солдат и офицеров, 10 орудий и 26 миномётов.</w:t>
      </w:r>
    </w:p>
    <w:p w14:paraId="76FA41D7"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 разведывательный отряд выбил немцев из укреплённого района и закрепился в нём. Противник потерял убитыми 150 солдат и офицеров, уничтожено 2 миномётные батареи и разрушено 8 блиндажей.</w:t>
      </w:r>
    </w:p>
    <w:p w14:paraId="79BCD27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огневой бой с противником.</w:t>
      </w:r>
    </w:p>
    <w:p w14:paraId="5BE2CE5C"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Артиллеристы части, где командиром тов. Столбошинский, уничтожили 8 немецкихдзотов и подавили огонь двух артиллерийских батарей противника. Артиллеристы части под командованием тов. Глебова уничтожили две 75-мм пушки и внезапным огневым налётом истребили до роты вражеской пехоты.</w:t>
      </w:r>
    </w:p>
    <w:p w14:paraId="27138301"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преодолевая сопротивление противника, продолжали продвигаться вперёд. На одном участке немцы силою до батальона пехоты с 40 танками контратаковали наши части. Контратака была отбита нашими бойцами. В результате боя уничтожено до двух рот вражеской пехоты, подбито и сожжено 20 немецких танков.</w:t>
      </w:r>
    </w:p>
    <w:p w14:paraId="32958033"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советские бойцы отбивали атаки мелких групппротивника. В течение дня нашими подразделениями уничтожено до 150 вражеских солдат и офицеров, 3 танка и 11 автомашин. На одном участке группа немецкихавтоматчиков просочилась сквозь наши боевые порядки и зашла в тыл Н-ской части. Своевременно принятыми мерами враг был разгромлен. Уничтожено до 100 немецких автоматчиков.</w:t>
      </w:r>
    </w:p>
    <w:p w14:paraId="2C63FF4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происходила редкая артиллерийская и ружейная перестрелка. Группа бойцов под командованием тов. Панченко совершила налёт на вражеский гарнизон. В результате налёта разведчики сожгли танк противника и разгромили штаб немецкого батальона.</w:t>
      </w:r>
    </w:p>
    <w:p w14:paraId="1344AC4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Снайперы подразделения капитана Сусанова в течение дня уничтожили 52 гитлеровца. Снайпер тов. Опарин уничтожил 4 немцев. Сейчас на его счету 303 убитых гитлеровца. Наши лётчики сбили 3 немецких самолёта.</w:t>
      </w:r>
    </w:p>
    <w:p w14:paraId="4C91A15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огнём зенитной артиллерии сбито 5 самолётов противника.</w:t>
      </w:r>
    </w:p>
    <w:p w14:paraId="09E865DF"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Ленинградской области, организовал крушение двух железнодорожных эшелонов противника. Уничтожено 2 паровоза и 26 вагонов. Убито и ранено до 200 немецких солдат и офицеров. Партизаны того же отряда взорвали железнодорожный мост.</w:t>
      </w:r>
    </w:p>
    <w:p w14:paraId="3398E3D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событиях, происшедших в лагере французскихвоеннопленных, расположенном близ Мангейма (Германия). Гитлеровцы зверски избили семь французов за то, что они не выполнили нормы выработки. Ночью группа пленных напала на часовых, задушила их и бежала из лагеря. Предпринятые немцами розыскине дали никаких результатов.» (14831).</w:t>
      </w:r>
    </w:p>
    <w:p w14:paraId="0B6A9CE9"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1412414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B5F2832" w14:textId="77777777" w:rsidR="00090C9B" w:rsidRPr="00722885" w:rsidRDefault="00090C9B" w:rsidP="00722885">
      <w:pPr>
        <w:pStyle w:val="Iauiue"/>
        <w:jc w:val="both"/>
        <w:rPr>
          <w:iCs/>
          <w:color w:val="000000" w:themeColor="text1"/>
          <w:sz w:val="16"/>
          <w:szCs w:val="16"/>
        </w:rPr>
      </w:pPr>
    </w:p>
    <w:p w14:paraId="2C95D31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15 ноября </w:t>
      </w:r>
      <w:r w:rsidRPr="00722885">
        <w:rPr>
          <w:rFonts w:ascii="Times New Roman" w:hAnsi="Times New Roman"/>
          <w:color w:val="000000" w:themeColor="text1"/>
          <w:sz w:val="16"/>
          <w:szCs w:val="16"/>
        </w:rPr>
        <w:t>в 1942 году состоялся первый полет «Не219», самолета, на котором впервые серийно устанавливали пневмо-катапульту. В варианте ночного перехватчика кроме 6-8 курсовых 20-30- мм пушек, в середине фюзеляжа ставили 2 30-мм пушки под углом в 65 град к продольной оси для обстрела бомбардировщиков с парралельного снизу-сзади курса (14831).</w:t>
      </w:r>
    </w:p>
    <w:p w14:paraId="0AD0EE48"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27DE66D4"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ноября 1942 года состоялся первый полет Heinkel He 219 (20793).</w:t>
      </w:r>
    </w:p>
    <w:p w14:paraId="1A1B964E" w14:textId="77777777" w:rsidR="00546E6F" w:rsidRPr="00722885" w:rsidRDefault="00546E6F" w:rsidP="00722885">
      <w:pPr>
        <w:spacing w:after="0" w:line="240" w:lineRule="auto"/>
        <w:jc w:val="both"/>
        <w:rPr>
          <w:rFonts w:ascii="Times New Roman" w:hAnsi="Times New Roman"/>
          <w:color w:val="0070C0"/>
          <w:sz w:val="16"/>
          <w:szCs w:val="16"/>
        </w:rPr>
      </w:pPr>
    </w:p>
    <w:p w14:paraId="0C52057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15 ноября </w:t>
      </w:r>
      <w:r w:rsidRPr="00722885">
        <w:rPr>
          <w:rFonts w:ascii="Times New Roman" w:hAnsi="Times New Roman"/>
          <w:color w:val="000000" w:themeColor="text1"/>
          <w:sz w:val="16"/>
          <w:szCs w:val="16"/>
        </w:rPr>
        <w:t>в 1942 году потоплен в Гиброалтаре торпедой с ПЛ «U-155» авианосец «BAVG.2» (14831).</w:t>
      </w:r>
    </w:p>
    <w:p w14:paraId="41A880BE"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785FE30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15 ноября 1942 впервые с 1940 г. во всей Англии зазвонили церковные колокола - в честь победы под Эль-Аламейном (4962).</w:t>
      </w:r>
    </w:p>
    <w:p w14:paraId="11961E07" w14:textId="77777777" w:rsidR="00090C9B" w:rsidRPr="00722885" w:rsidRDefault="00090C9B" w:rsidP="00722885">
      <w:pPr>
        <w:pStyle w:val="Iauiue"/>
        <w:tabs>
          <w:tab w:val="left" w:pos="11199"/>
        </w:tabs>
        <w:jc w:val="both"/>
        <w:rPr>
          <w:color w:val="000000" w:themeColor="text1"/>
          <w:sz w:val="16"/>
          <w:szCs w:val="16"/>
        </w:rPr>
      </w:pPr>
    </w:p>
    <w:p w14:paraId="470A9DE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15 ноября 1942 англо-американские войска вторглись в Тунис (4962).</w:t>
      </w:r>
    </w:p>
    <w:p w14:paraId="7D596D74" w14:textId="77777777" w:rsidR="00090C9B" w:rsidRPr="00722885" w:rsidRDefault="00090C9B" w:rsidP="00722885">
      <w:pPr>
        <w:pStyle w:val="Iauiue"/>
        <w:tabs>
          <w:tab w:val="left" w:pos="11199"/>
        </w:tabs>
        <w:jc w:val="both"/>
        <w:rPr>
          <w:color w:val="000000" w:themeColor="text1"/>
          <w:sz w:val="16"/>
          <w:szCs w:val="16"/>
        </w:rPr>
      </w:pPr>
    </w:p>
    <w:p w14:paraId="6AC8EB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ноября 1942 за один день битвы за Гвадалканал японцы потеряли 7 транспортных судов, линкор и эсминец, а потом и еще 4 транспорта оставив Гвадалканал без поддержки (2261).</w:t>
      </w:r>
    </w:p>
    <w:p w14:paraId="39038BE0" w14:textId="77777777" w:rsidR="00090C9B" w:rsidRPr="00722885" w:rsidRDefault="00090C9B" w:rsidP="00722885">
      <w:pPr>
        <w:pStyle w:val="Iauiue"/>
        <w:jc w:val="both"/>
        <w:rPr>
          <w:color w:val="000000" w:themeColor="text1"/>
          <w:sz w:val="16"/>
          <w:szCs w:val="16"/>
        </w:rPr>
      </w:pPr>
    </w:p>
    <w:p w14:paraId="5819DF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 ноября 1942 Никарагуа, Гондурас и Бразилия разорвали дипотношения с правительством Виши (3186).</w:t>
      </w:r>
    </w:p>
    <w:p w14:paraId="73AE637F" w14:textId="77777777" w:rsidR="00090C9B" w:rsidRPr="00722885" w:rsidRDefault="00090C9B" w:rsidP="00722885">
      <w:pPr>
        <w:pStyle w:val="Iauiue"/>
        <w:jc w:val="both"/>
        <w:rPr>
          <w:color w:val="000000" w:themeColor="text1"/>
          <w:sz w:val="16"/>
          <w:szCs w:val="16"/>
        </w:rPr>
      </w:pPr>
    </w:p>
    <w:p w14:paraId="042BF82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5DB8AC5" w14:textId="77777777" w:rsidR="00090C9B" w:rsidRPr="00722885" w:rsidRDefault="00090C9B" w:rsidP="00722885">
      <w:pPr>
        <w:pStyle w:val="Iauiue"/>
        <w:jc w:val="both"/>
        <w:rPr>
          <w:iCs/>
          <w:color w:val="000000" w:themeColor="text1"/>
          <w:sz w:val="16"/>
          <w:szCs w:val="16"/>
        </w:rPr>
      </w:pPr>
    </w:p>
    <w:p w14:paraId="72676D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В середине ноября 1942 появилось новое решение облегчить машину ЛаГГ-43 еще на 100 кг. Главный конструктор завода Горбунов приложил массу усилий, чтобы выполнить взятые на себя обязательства. Нарком авиационной промышленности вскоре докладывал Сталину о том, что массу истребителя удалось уменьшить на 120 кг. Это в сочетании с облагороженной аэродинамикой позволило увеличить скорость самолета на 30 км/ ч. Тем временем Горбунов продолжал дальше облегчать ЛаГГ. План предусматривал, что с 25 октября завод № 31 будет выпускать самолет массой 2850 кг вместо прежних 3160 кг. Полностью исправить аэродинамику самолета могло внедрение полностью убиравшегося в полете хвостового колеса. На прототипе И-301 такое колесо уже имелось, но на серийных самолетах ставили колесо, заклиненное в выпущенном состоянии, поскольку сложный механизм уборки колеса не отличался надежностью. Теперь колесо снова делали убирающимся, но механизм уборки теперь был совершенно иным. Колесную нишу снабдили выпуклыми крышками, полностью закрывавшими колесо в убранном состоянии. Все самолеты, начиная с 35-й производственной серии, оснащались убирающимся хвостовым колесом. </w:t>
      </w:r>
    </w:p>
    <w:p w14:paraId="04E286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Облегчение конструкции ЛаГГа-3 позволило ему набирать высоту 5000 м за 5,8 мин вместо прежних 6,4. Полный разворот на высоте 1500 м самолет теперь производил за 20 секунд вместо прежних 21 секунды. Разбег сократился с 370 до 280 м. Выпуклое остекление фонаря заменили плоским, что улучшило обзор вперед. Маслосистема стала меньше терять масло и уже не пачкала фонарь. На самолет установили прицел с красной подсветкой, что повысило точность прицеливания. Но всех требований, определенных в указе НКАП, выполнить не удалось. В начале 1943 года главной целью завода № 31 было сократить массу серийного самолета до 2950 кг, подняв при этом максимальную скорость у земли до 526 км/ч, а на оперативной высоте до 590 км/ч. Облегченный самолет пустили в серию без статичных и летных испытаний. Его массу уменьшили, уменьшив толщину некоторых деталей, используя облегчающие отверстия, а также уменьшив запас прочности фюзеляжа. </w:t>
      </w:r>
    </w:p>
    <w:p w14:paraId="015752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передней части фюзеляжа толщину обшивки уменьшили с 9,5 до 7 мм, облегчили каркас капота, два маслобака заменили на один. С самолета сняли узлы для крепления подвесных топливных баков, у внутренних топливных баков уменьшили толщину стенок. Использование новых тросиков управления газом, а также ряд других изменений в конструкции позволили в общей сложности облегчить самолет на 252-283 кг. С другой стороны переделка воздухозаборников водяного и масляного радиаторов, герметизация противопожарной переборки, установка обтекателей на выхлопные патрубки и доработка форсированного двигателя М-105ПФ (на двигатель поставили усиленный коленвал) добавили к массе самолета 55 кг. В результате массу не удалось понизить больше чем до 2962 кг. Серийные самолеты часто весили на 9% больше, опытных машин. Эту проблему часто обсуждали в НКАП (11749).</w:t>
      </w:r>
    </w:p>
    <w:p w14:paraId="0E07DCC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EAD45B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8583BC9" w14:textId="77777777" w:rsidR="00090C9B" w:rsidRPr="00722885" w:rsidRDefault="00090C9B" w:rsidP="00722885">
      <w:pPr>
        <w:pStyle w:val="Iauiue"/>
        <w:jc w:val="both"/>
        <w:rPr>
          <w:iCs/>
          <w:color w:val="000000" w:themeColor="text1"/>
          <w:sz w:val="16"/>
          <w:szCs w:val="16"/>
        </w:rPr>
      </w:pPr>
    </w:p>
    <w:p w14:paraId="2BFA55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ноября 1942 на разных фронтах имелся уже 41 корректировщик данного типа, из которых 34 боеспособных. Больше всего - дюжина - их имелось в сражавшихся под Сталинградом 34-й и 45-й отдельных каэ. Последнее подразделение, возглавляемое капитаном Н.Н. Королевым, за январь 1943 г. совершила без потерь 26 вылетов, из которых 8 были связаны с корректировкой артогня, 14 - визуальной разведкой, 2 - фоторазведкой, а 2 вылета пришлось прервать из-за непогоды. Иногда авиаторам удавалось корректировать огоньорудий 1-й артдивизии РГК генерала В.Н. Мазура по семи целям одновременно. После победы на Волге, эскадрилья получила почетное звание 1-й гвардейской (12028).</w:t>
      </w:r>
    </w:p>
    <w:p w14:paraId="3DC0338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184A8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середине ноября 1942 г. на Сталинградском направлении действовали крупные, по немецким меркам, силы авиации:</w:t>
      </w:r>
    </w:p>
    <w:p w14:paraId="294A42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восемь бомбардировочных групп: I. и III./KG1, I. и часть II./KG51,1. и II./KG55, а также KG27 в полном составе;</w:t>
      </w:r>
    </w:p>
    <w:p w14:paraId="20E38C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три штурмовых группы: II./StGl, I. и II./StG2;</w:t>
      </w:r>
    </w:p>
    <w:p w14:paraId="5483350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 четыре эскадрильи непосредственной поддержки войск: Stab., 3,6, 7h8./Sc1i.G1.</w:t>
      </w:r>
    </w:p>
    <w:p w14:paraId="489687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В то же время 76-я бомбардировочная эскадра навсегда покинула Восточный фронт, перебазировавшись из Армавира на Средиземное море. В России остались лишь несколько экипажей из ее состава. Истребительная авиация Люфтваффе под Сталинградом по-прежнему состояла из эскадры JG3 «Удет». Хотя все эти силы располагали в общей сложности 330 самолетами, в исправном состоянии находились 127 двухмоторных бомбардировщиков, 67 штурмовиков и 64 истребителя. Кроме того, в составе 4-го воздушного флота имелись 16 эскадрилий ближней разведки, имевшие 38 боеготовых самолетов «Фокке-Вульф» FW-189 и 12 «Мессершмиттов» Bf-ПО. Дальнюю разведку на всем южном участке советско-германского фронта вели всего три эскадрильи – 3.(F)/Aufkl.Gr.lO, 3.(F)/Aufkl.Gr.l21 и 4.(F)/Aufkl.Gr.l22, располагавшие четырнадцатью исправными Ju-88D.  В то же время советские 8-я, 16-я, 17-я воздушные армии и часть приданных им сил 2-й воздушной армии, а также 102-я ИАД ПВО имели в своем составе 1916 боевых самолетов, из которых 1360, в т.ч. 519 истребителей, находились в исправном состоянии. Таким образом, численное превосходство советской авиации составляло 4,5:1 (11774).</w:t>
      </w:r>
    </w:p>
    <w:p w14:paraId="51E525D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EE92C1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24DC57A" w14:textId="77777777" w:rsidR="00090C9B" w:rsidRPr="00722885" w:rsidRDefault="00090C9B" w:rsidP="00722885">
      <w:pPr>
        <w:pStyle w:val="Iauiue"/>
        <w:jc w:val="both"/>
        <w:rPr>
          <w:iCs/>
          <w:color w:val="000000" w:themeColor="text1"/>
          <w:sz w:val="16"/>
          <w:szCs w:val="16"/>
        </w:rPr>
      </w:pPr>
    </w:p>
    <w:p w14:paraId="6C9D9F9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ноября 1942 г. л Пухов написал А.И.Шахурину отзыв-заключение о проделанной рабо</w:t>
      </w:r>
      <w:r w:rsidRPr="00722885">
        <w:rPr>
          <w:rFonts w:ascii="Times New Roman" w:hAnsi="Times New Roman"/>
          <w:color w:val="000000" w:themeColor="text1"/>
          <w:sz w:val="16"/>
          <w:szCs w:val="16"/>
        </w:rPr>
        <w:softHyphen/>
        <w:t>те:</w:t>
      </w:r>
    </w:p>
    <w:p w14:paraId="7600BF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«Ваше приказание о облете имеющихся в ЛИИ НКАП истребительных самолетов мною выполнено.</w:t>
      </w:r>
    </w:p>
    <w:p w14:paraId="15B887A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Выводы по облетанным самолетам следующие:</w:t>
      </w:r>
    </w:p>
    <w:p w14:paraId="6339DE6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Улучшенный Як-1 с мотором М-105ПФ имеет за</w:t>
      </w:r>
      <w:r w:rsidRPr="00722885">
        <w:rPr>
          <w:rFonts w:ascii="Times New Roman" w:hAnsi="Times New Roman"/>
          <w:color w:val="000000" w:themeColor="text1"/>
          <w:sz w:val="16"/>
          <w:szCs w:val="16"/>
        </w:rPr>
        <w:softHyphen/>
        <w:t>трудненный взлет вследствие большой (полной) дачи левой ноги. Скороподъемность самолета незавидная. Фигуры высшего пилотажа выполняются легко, летчик не утомляется, управление легкое. Вираж выполняется за 18-19 секунд, но в случае перетягивания ручки летчи</w:t>
      </w:r>
      <w:r w:rsidRPr="00722885">
        <w:rPr>
          <w:rFonts w:ascii="Times New Roman" w:hAnsi="Times New Roman"/>
          <w:color w:val="000000" w:themeColor="text1"/>
          <w:sz w:val="16"/>
          <w:szCs w:val="16"/>
        </w:rPr>
        <w:softHyphen/>
        <w:t>ком самолет сваливается в штопор.</w:t>
      </w:r>
    </w:p>
    <w:p w14:paraId="3E16C8A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выполнение боевого разворота от земли на скоро</w:t>
      </w:r>
      <w:r w:rsidRPr="00722885">
        <w:rPr>
          <w:rFonts w:ascii="Times New Roman" w:hAnsi="Times New Roman"/>
          <w:color w:val="000000" w:themeColor="text1"/>
          <w:sz w:val="16"/>
          <w:szCs w:val="16"/>
        </w:rPr>
        <w:softHyphen/>
        <w:t>сти = 490 км/ч по прибору до скорости 220 км/ч по при</w:t>
      </w:r>
      <w:r w:rsidRPr="00722885">
        <w:rPr>
          <w:rFonts w:ascii="Times New Roman" w:hAnsi="Times New Roman"/>
          <w:color w:val="000000" w:themeColor="text1"/>
          <w:sz w:val="16"/>
          <w:szCs w:val="16"/>
        </w:rPr>
        <w:softHyphen/>
        <w:t>бору машина набирает 800 метров высоты.</w:t>
      </w:r>
    </w:p>
    <w:p w14:paraId="0B1B717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Ла-5 с мотором М-82 долго бежит на взлете от 10 до 11 секунд. Взлет особых трудностей не представляет. Все фигуры высшего пилотажа выполняются с повышейными нагрузками на управление. Самолет медлен</w:t>
      </w:r>
      <w:r w:rsidRPr="00722885">
        <w:rPr>
          <w:rFonts w:ascii="Times New Roman" w:hAnsi="Times New Roman"/>
          <w:color w:val="000000" w:themeColor="text1"/>
          <w:sz w:val="16"/>
          <w:szCs w:val="16"/>
        </w:rPr>
        <w:softHyphen/>
        <w:t>но набирает скорость. Вираж самолета размазанный, 23-24 секунды, к перетягиванию ручки мало чувствите</w:t>
      </w:r>
      <w:r w:rsidRPr="00722885">
        <w:rPr>
          <w:rFonts w:ascii="Times New Roman" w:hAnsi="Times New Roman"/>
          <w:color w:val="000000" w:themeColor="text1"/>
          <w:sz w:val="16"/>
          <w:szCs w:val="16"/>
        </w:rPr>
        <w:softHyphen/>
        <w:t>лен, только при большом перетягивании самолет начи</w:t>
      </w:r>
      <w:r w:rsidRPr="00722885">
        <w:rPr>
          <w:rFonts w:ascii="Times New Roman" w:hAnsi="Times New Roman"/>
          <w:color w:val="000000" w:themeColor="text1"/>
          <w:sz w:val="16"/>
          <w:szCs w:val="16"/>
        </w:rPr>
        <w:softHyphen/>
        <w:t>нает раскачиваться с крыла на крыло и сваливаться во внутрь.</w:t>
      </w:r>
    </w:p>
    <w:p w14:paraId="36DD168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выполнении боевого разворота от земли на на</w:t>
      </w:r>
      <w:r w:rsidRPr="00722885">
        <w:rPr>
          <w:rFonts w:ascii="Times New Roman" w:hAnsi="Times New Roman"/>
          <w:color w:val="000000" w:themeColor="text1"/>
          <w:sz w:val="16"/>
          <w:szCs w:val="16"/>
        </w:rPr>
        <w:softHyphen/>
        <w:t>чальной скорости = 480 км/ч по прибору и окончании фигуры на скорости = 220 км/ч по прибору машина на</w:t>
      </w:r>
      <w:r w:rsidRPr="00722885">
        <w:rPr>
          <w:rFonts w:ascii="Times New Roman" w:hAnsi="Times New Roman"/>
          <w:color w:val="000000" w:themeColor="text1"/>
          <w:sz w:val="16"/>
          <w:szCs w:val="16"/>
        </w:rPr>
        <w:softHyphen/>
        <w:t>бирает 850 м высоты.</w:t>
      </w:r>
    </w:p>
    <w:p w14:paraId="5AB5541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Скороподъемность самолета на номинальном режи</w:t>
      </w:r>
      <w:r w:rsidRPr="00722885">
        <w:rPr>
          <w:rFonts w:ascii="Times New Roman" w:hAnsi="Times New Roman"/>
          <w:color w:val="000000" w:themeColor="text1"/>
          <w:sz w:val="16"/>
          <w:szCs w:val="16"/>
        </w:rPr>
        <w:softHyphen/>
        <w:t>ме слабая.</w:t>
      </w:r>
    </w:p>
    <w:p w14:paraId="7968C30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Эффективность и приемистость рулей различна. У элеронов больше, чем у руля высоты и, особенно, чем у руля поворота.</w:t>
      </w:r>
    </w:p>
    <w:p w14:paraId="430F1CB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Расчет на посадку усложнен плохим обзором поса</w:t>
      </w:r>
      <w:r w:rsidRPr="00722885">
        <w:rPr>
          <w:rFonts w:ascii="Times New Roman" w:hAnsi="Times New Roman"/>
          <w:color w:val="000000" w:themeColor="text1"/>
          <w:sz w:val="16"/>
          <w:szCs w:val="16"/>
        </w:rPr>
        <w:softHyphen/>
        <w:t>дочной полосы из-за чего на посадке требуется повы</w:t>
      </w:r>
      <w:r w:rsidRPr="00722885">
        <w:rPr>
          <w:rFonts w:ascii="Times New Roman" w:hAnsi="Times New Roman"/>
          <w:color w:val="000000" w:themeColor="text1"/>
          <w:sz w:val="16"/>
          <w:szCs w:val="16"/>
        </w:rPr>
        <w:softHyphen/>
        <w:t>шенное внимание.</w:t>
      </w:r>
    </w:p>
    <w:p w14:paraId="35CC85D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Машина в воздухе тяжела и незначительно отличает</w:t>
      </w:r>
      <w:r w:rsidRPr="00722885">
        <w:rPr>
          <w:rFonts w:ascii="Times New Roman" w:hAnsi="Times New Roman"/>
          <w:color w:val="000000" w:themeColor="text1"/>
          <w:sz w:val="16"/>
          <w:szCs w:val="16"/>
        </w:rPr>
        <w:softHyphen/>
        <w:t>ся в лучшую сторону от ЛаГГ-3. Ла-5 мало похож на иде</w:t>
      </w:r>
      <w:r w:rsidRPr="00722885">
        <w:rPr>
          <w:rFonts w:ascii="Times New Roman" w:hAnsi="Times New Roman"/>
          <w:color w:val="000000" w:themeColor="text1"/>
          <w:sz w:val="16"/>
          <w:szCs w:val="16"/>
        </w:rPr>
        <w:softHyphen/>
        <w:t>альный самолет.</w:t>
      </w:r>
    </w:p>
    <w:p w14:paraId="02379D9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Сравнивая Як-1 с Ла-5, нужно отдать должное перво</w:t>
      </w:r>
      <w:r w:rsidRPr="00722885">
        <w:rPr>
          <w:rFonts w:ascii="Times New Roman" w:hAnsi="Times New Roman"/>
          <w:color w:val="000000" w:themeColor="text1"/>
          <w:sz w:val="16"/>
          <w:szCs w:val="16"/>
        </w:rPr>
        <w:softHyphen/>
        <w:t>му. Як-1 лучше Ла-5.</w:t>
      </w:r>
    </w:p>
    <w:p w14:paraId="2AA66A5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И-185 с мотором М-71 на взлете проще, чем Як-1 и Ла-5. Скороподъемность машины не превзойдена ни одним современным самолетом. По нагрузкам на рули машина находится между Як-1 и Ла-5. Вираж выполня</w:t>
      </w:r>
      <w:r w:rsidRPr="00722885">
        <w:rPr>
          <w:rFonts w:ascii="Times New Roman" w:hAnsi="Times New Roman"/>
          <w:color w:val="000000" w:themeColor="text1"/>
          <w:sz w:val="16"/>
          <w:szCs w:val="16"/>
        </w:rPr>
        <w:softHyphen/>
        <w:t>ется за 21-22 секунды. Большое перетягивание ручки летчика приводит к выходу самолета из виража в гори</w:t>
      </w:r>
      <w:r w:rsidRPr="00722885">
        <w:rPr>
          <w:rFonts w:ascii="Times New Roman" w:hAnsi="Times New Roman"/>
          <w:color w:val="000000" w:themeColor="text1"/>
          <w:sz w:val="16"/>
          <w:szCs w:val="16"/>
        </w:rPr>
        <w:softHyphen/>
        <w:t>зонтальный полет.</w:t>
      </w:r>
    </w:p>
    <w:p w14:paraId="4D49C74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Набор высоты от земли за боевой разворот на номи</w:t>
      </w:r>
      <w:r w:rsidRPr="00722885">
        <w:rPr>
          <w:rFonts w:ascii="Times New Roman" w:hAnsi="Times New Roman"/>
          <w:color w:val="000000" w:themeColor="text1"/>
          <w:sz w:val="16"/>
          <w:szCs w:val="16"/>
        </w:rPr>
        <w:softHyphen/>
        <w:t>нальном режиме мотора при начальной скорости = 515 км/ч по прибору и скорости вывода 260 км/ч по прибо</w:t>
      </w:r>
      <w:r w:rsidRPr="00722885">
        <w:rPr>
          <w:rFonts w:ascii="Times New Roman" w:hAnsi="Times New Roman"/>
          <w:color w:val="000000" w:themeColor="text1"/>
          <w:sz w:val="16"/>
          <w:szCs w:val="16"/>
        </w:rPr>
        <w:softHyphen/>
        <w:t>ру = 1000-1200 мт. На форсаже при начальной скорости 555 км/ч по прибору и скорости вывода 260 км/ч по при</w:t>
      </w:r>
      <w:r w:rsidRPr="00722885">
        <w:rPr>
          <w:rFonts w:ascii="Times New Roman" w:hAnsi="Times New Roman"/>
          <w:color w:val="000000" w:themeColor="text1"/>
          <w:sz w:val="16"/>
          <w:szCs w:val="16"/>
        </w:rPr>
        <w:softHyphen/>
        <w:t>бору набор высоты 1500 мт.</w:t>
      </w:r>
    </w:p>
    <w:p w14:paraId="226EA01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просто и легко делает все фигуры высшего пилотажа. Летчик в полете не утомляется.</w:t>
      </w:r>
    </w:p>
    <w:p w14:paraId="0900A67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Расчет на посадку прост. Посадка однотипна с само</w:t>
      </w:r>
      <w:r w:rsidRPr="00722885">
        <w:rPr>
          <w:rFonts w:ascii="Times New Roman" w:hAnsi="Times New Roman"/>
          <w:color w:val="000000" w:themeColor="text1"/>
          <w:sz w:val="16"/>
          <w:szCs w:val="16"/>
        </w:rPr>
        <w:softHyphen/>
        <w:t>летом И-16, но проще, так как в случае перебора ручки отсутствует резкое сваливание на крыло.</w:t>
      </w:r>
    </w:p>
    <w:p w14:paraId="78FFE73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Пробег после посадки меньше, чем у Як-1 и Ла-5.</w:t>
      </w:r>
    </w:p>
    <w:p w14:paraId="0C56391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Эти данные относятся к самолету весом = 3629 кг, так как машина при производстве была перетяжелена.</w:t>
      </w:r>
    </w:p>
    <w:p w14:paraId="62D8266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серийном выпуске И-185 с М-71 с 3-мя синхрон</w:t>
      </w:r>
      <w:r w:rsidRPr="00722885">
        <w:rPr>
          <w:rFonts w:ascii="Times New Roman" w:hAnsi="Times New Roman"/>
          <w:color w:val="000000" w:themeColor="text1"/>
          <w:sz w:val="16"/>
          <w:szCs w:val="16"/>
        </w:rPr>
        <w:softHyphen/>
        <w:t>ными «ШВАК-20» его полетный вес будет не более 3420-3450 кг, т.е. = Ла-5-му.</w:t>
      </w:r>
    </w:p>
    <w:p w14:paraId="1946267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всех существующих истребителей И-185 имеет лучшее соотношение веса конструкции к полетному ве</w:t>
      </w:r>
      <w:r w:rsidRPr="00722885">
        <w:rPr>
          <w:rFonts w:ascii="Times New Roman" w:hAnsi="Times New Roman"/>
          <w:color w:val="000000" w:themeColor="text1"/>
          <w:sz w:val="16"/>
          <w:szCs w:val="16"/>
        </w:rPr>
        <w:softHyphen/>
        <w:t>су самолета = 30%, а в серии соотношение будет 25,8%, что в настоящий момент является лучшим достижени</w:t>
      </w:r>
      <w:r w:rsidRPr="00722885">
        <w:rPr>
          <w:rFonts w:ascii="Times New Roman" w:hAnsi="Times New Roman"/>
          <w:color w:val="000000" w:themeColor="text1"/>
          <w:sz w:val="16"/>
          <w:szCs w:val="16"/>
        </w:rPr>
        <w:softHyphen/>
        <w:t>ем самолетной техники.</w:t>
      </w:r>
    </w:p>
    <w:p w14:paraId="333E966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установке уже форсированного мотора М-71 мощностью на номинале 1820 л.с. и на форсаже 2200 л.с. данные И-185 будут следующие:</w:t>
      </w:r>
    </w:p>
    <w:p w14:paraId="031C818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скорость у земли на форсаже = 595-600 км/ч,</w:t>
      </w:r>
    </w:p>
    <w:p w14:paraId="77A0D90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скорость на расчетной высоте = 682-685 км/ч,</w:t>
      </w:r>
    </w:p>
    <w:p w14:paraId="70B3A17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время набора высоты 5000 м = 4,35 мин,</w:t>
      </w:r>
    </w:p>
    <w:p w14:paraId="36471A3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время замкнутого виража = 20-21 сек,</w:t>
      </w:r>
    </w:p>
    <w:p w14:paraId="60C4A54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значительно улучшаются взлетно-посадочные свойства.</w:t>
      </w:r>
    </w:p>
    <w:p w14:paraId="7305D96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обещаниям Главного Конструктора завода № 19 тов. Швецова, мотор М-71 будет в ближайшее вре</w:t>
      </w:r>
      <w:r w:rsidRPr="00722885">
        <w:rPr>
          <w:rFonts w:ascii="Times New Roman" w:hAnsi="Times New Roman"/>
          <w:color w:val="000000" w:themeColor="text1"/>
          <w:sz w:val="16"/>
          <w:szCs w:val="16"/>
        </w:rPr>
        <w:softHyphen/>
        <w:t>мя доведен до мощности на номинале 2000 л.с. и на фор</w:t>
      </w:r>
      <w:r w:rsidRPr="00722885">
        <w:rPr>
          <w:rFonts w:ascii="Times New Roman" w:hAnsi="Times New Roman"/>
          <w:color w:val="000000" w:themeColor="text1"/>
          <w:sz w:val="16"/>
          <w:szCs w:val="16"/>
        </w:rPr>
        <w:softHyphen/>
        <w:t>саже 2500 л.с.</w:t>
      </w:r>
    </w:p>
    <w:p w14:paraId="4272363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установить такой мотор, то И-185 даст следую</w:t>
      </w:r>
      <w:r w:rsidRPr="00722885">
        <w:rPr>
          <w:rFonts w:ascii="Times New Roman" w:hAnsi="Times New Roman"/>
          <w:color w:val="000000" w:themeColor="text1"/>
          <w:sz w:val="16"/>
          <w:szCs w:val="16"/>
        </w:rPr>
        <w:softHyphen/>
        <w:t>щие данные:</w:t>
      </w:r>
    </w:p>
    <w:p w14:paraId="3297725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скорость у земли = 625 км/ч,</w:t>
      </w:r>
    </w:p>
    <w:p w14:paraId="770A459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скорость на расчетной высоте = 700-710 км/ч,</w:t>
      </w:r>
    </w:p>
    <w:p w14:paraId="601C0DA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время набора высоты 5000 м не больше 4 мин,</w:t>
      </w:r>
    </w:p>
    <w:p w14:paraId="2F4516F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 набор высоты за боевой разворот = 1900-2000 мт.</w:t>
      </w:r>
    </w:p>
    <w:p w14:paraId="088DC96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Некоторое облагораживание винтомоторной груп</w:t>
      </w:r>
      <w:r w:rsidRPr="00722885">
        <w:rPr>
          <w:rFonts w:ascii="Times New Roman" w:hAnsi="Times New Roman"/>
          <w:color w:val="000000" w:themeColor="text1"/>
          <w:sz w:val="16"/>
          <w:szCs w:val="16"/>
        </w:rPr>
        <w:softHyphen/>
        <w:t>пы и аэродинамики самолета значительно повысят при</w:t>
      </w:r>
      <w:r w:rsidRPr="00722885">
        <w:rPr>
          <w:rFonts w:ascii="Times New Roman" w:hAnsi="Times New Roman"/>
          <w:color w:val="000000" w:themeColor="text1"/>
          <w:sz w:val="16"/>
          <w:szCs w:val="16"/>
        </w:rPr>
        <w:softHyphen/>
        <w:t>веденные мной данные.</w:t>
      </w:r>
    </w:p>
    <w:p w14:paraId="42747AE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Выпущенные мной летчики строевых частей ВВС КА зачастую имели практику только на самолетах И-16 и тем не менее прекрасно справлялись с машиной и дают о ней самые похвальные отзывы.</w:t>
      </w:r>
    </w:p>
    <w:p w14:paraId="099C3E9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Летчики, летавшие на Як и ЛаГГ, отзываются о И-185 как о лучшем представителе семейства истребителей.</w:t>
      </w:r>
    </w:p>
    <w:p w14:paraId="4A193F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Мое личное мнение: самолет И-185 с мотором М-71 конструкции Н.Н.Поликарпова по своим данным явля</w:t>
      </w:r>
      <w:r w:rsidRPr="00722885">
        <w:rPr>
          <w:rFonts w:ascii="Times New Roman" w:hAnsi="Times New Roman"/>
          <w:color w:val="000000" w:themeColor="text1"/>
          <w:sz w:val="16"/>
          <w:szCs w:val="16"/>
        </w:rPr>
        <w:softHyphen/>
        <w:t>ется лучшим современным истребителем» (10667).</w:t>
      </w:r>
    </w:p>
    <w:p w14:paraId="45A70BB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47A288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ноября 1942 года ГКО своим постановлением предложил заводу №21 изготовить и предъявить на испытания самолет Ла-5 весом 3100 кг (4573).</w:t>
      </w:r>
    </w:p>
    <w:p w14:paraId="4D70A458" w14:textId="77777777" w:rsidR="00090C9B" w:rsidRPr="00722885" w:rsidRDefault="00090C9B" w:rsidP="00722885">
      <w:pPr>
        <w:pStyle w:val="Iauiue"/>
        <w:jc w:val="both"/>
        <w:rPr>
          <w:color w:val="000000" w:themeColor="text1"/>
          <w:sz w:val="16"/>
          <w:szCs w:val="16"/>
        </w:rPr>
      </w:pPr>
    </w:p>
    <w:p w14:paraId="755DA8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ноября 1942 года Государственный Комитет обороны обязал завод № 21 предъявить на испытания Ла-5 с полетным весом 3100 кг, а спустя 23 дня потребовал установить на истребитель мотор М-82Ф.</w:t>
      </w:r>
    </w:p>
    <w:p w14:paraId="251F8C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время войсковых испытаний Ла-5 выяснилось, что летчики в бою эксплуатировали мотор, что называется на полную "катушку". Во время боя им некогда было заниматься регулировкой температуры двигателя и масла, переключать скорости нагнетателя, да и двигатель подчас работал свыше допустимого времени на предельных оборотах. Видимо, это обстоятельство послужило причиной довольно быстрого появления форсированного мотора М-82Ф.</w:t>
      </w:r>
    </w:p>
    <w:p w14:paraId="4670AB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Взлетная мощность М-82Ф, по сравнению с предшественником, не изменилась, но существовавший кратковременный максимальный режим стал фактически номинальным. Это, казалось бы, небольшое новшество позволило не только улучшить летные характеристики машины, но и легче стало вести бой на повышенном режиме работы мотора, меньше отвлекая летчика для контроля работы силовой установки.</w:t>
      </w:r>
    </w:p>
    <w:p w14:paraId="6B6DC6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ответ на это Дементьев, Швецов и Лавочкин сообщали 5 декабря:</w:t>
      </w:r>
    </w:p>
    <w:p w14:paraId="6D5B41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основании вашего указания были проведены на заводе № 21 на серийном Ла-5 аэродинамические улучшения по герметизации капотов и внешней от- </w:t>
      </w:r>
    </w:p>
    <w:p w14:paraId="60EF3A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делке. В ходе испытаний, проведенных (...) 24-25 ноября сего года, были получены у земли на номинальном режиме (наддув 950 мм) - 518 км/ч и повышенном режиме (наддув 1140 мм) - 550 км/ч...</w:t>
      </w:r>
    </w:p>
    <w:p w14:paraId="549317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на высоте не проведены из-за отсутствия летной погоды.</w:t>
      </w:r>
    </w:p>
    <w:p w14:paraId="2A0AE8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основе проведенных в последнее время на заводе № 19 работ с мотором М-82 выявилась возможность применения повышенных режимов, как на 1-й, так и на 2-й скоростях нагнетателей.</w:t>
      </w:r>
    </w:p>
    <w:p w14:paraId="7F9674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первой скорости нагнетателя может быть установлено 10-ти минутное непрерывное пользование наддувом (1140 мм). Применение этого наддува увеличивает мощность мотора у земли на 300 л.с. и повышает скорость самолета до 2000 м на 30 км/ч.</w:t>
      </w:r>
    </w:p>
    <w:p w14:paraId="49F40F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2-й скорости нагнетателя может быть разрешено 10-ти минутное повышение наддува с 950 мм до 1050 мм. Это позволит на высоте 3500-5000 м получить прирост мощности до 120 л.с. и повысить скорость самолета на 15 км/ч и максимальную скорость на расчетной высоте на 5-8 км/ч.</w:t>
      </w:r>
    </w:p>
    <w:p w14:paraId="330C5F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применение повышенных режимов заметно улучшает вертикальную скорость и маневренность...</w:t>
      </w:r>
    </w:p>
    <w:p w14:paraId="7CA7B26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Просим разрешить в течение декабря сего года выпустить в опытную боевую эксплуатацию 100 Jla-5 с применением повышенных режимов мотора" (12032).</w:t>
      </w:r>
    </w:p>
    <w:p w14:paraId="48738E6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42AEA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ноября 1942 г. было письмо начальника инспекции ВВС КА при ЗНКО СССР полковника В.Сталина начальнику ГУЗ и ТС генерал-майору ИАС Селезневу № 434773с:</w:t>
      </w:r>
    </w:p>
    <w:p w14:paraId="4D7E64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Старший военпред завода № 153 инженер-майор Быков летом 1942 г. допустил отправку в строевые части самолетов Як-7 М-105ПФ с скоростями, не соответствующими ТУ ВВС КА. В октябре 1942 г. не выполнены указания моего помощника и начальника отдела эксплуатации и ремонта в отношении самолетов Як-9 М-105ПФ, которые обязывали военпреда отправить самоелты Як-9 первой серии в Москву. Также не было выполнено ваше телефонное распоряжение, запрещающее передачу самолетов Як-9 в 12-й иап.</w:t>
      </w:r>
    </w:p>
    <w:p w14:paraId="04EB44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допущенную приемку самолетов не соответствующих ТТТ, невыполнение распоряжения в отношении отправки самолетов Як-9 старшего военпреда завода № 153 инженер-майора Быкова отстранить от занимаемой должности и понизить в звании.</w:t>
      </w:r>
    </w:p>
    <w:p w14:paraId="50BD67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Инспекция рекомендует старшим военпредом завода № 153 назначить старшего военпреда завода № 301 инженер-майора Федосеева.</w:t>
      </w:r>
    </w:p>
    <w:p w14:paraId="0D29B0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 Инспекция получила-таки Як-9. Вполне возможно, что эти самолеты забрали из 12-го иап. Именно на Як-9 первых серий и разбился 31.12.42 ГСС Клещев, который формально на момент гибели был переведен из Инспекции зам. командира 269 иад.</w:t>
      </w:r>
    </w:p>
    <w:p w14:paraId="13615CB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92E0D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ноября 1942 вышел приказ НКАП N 841с по вопросу внедрения изменений в вооружение и оборудование серийного самолета У-2 с М-11.</w:t>
      </w:r>
    </w:p>
    <w:p w14:paraId="16C7E1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целях обеспечения большей эффективности боевого применения самолета У-2 с М-11:</w:t>
      </w:r>
    </w:p>
    <w:p w14:paraId="0D3519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Директору завода 387 Федину установить на самолете У-2:</w:t>
      </w:r>
    </w:p>
    <w:p w14:paraId="492B89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6 балок под бомбы от 25 до 100 кг</w:t>
      </w:r>
    </w:p>
    <w:p w14:paraId="26380D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2 кассеты под мелкие бомбы и зажигательные пакеты с подвеской их на бомбовые балки</w:t>
      </w:r>
    </w:p>
    <w:p w14:paraId="4F7848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визуальные прицелы у ш и л для бомбометания с высоты от 200 до 1500 м со сроком внедрения 13 ноября с.г.</w:t>
      </w:r>
    </w:p>
    <w:p w14:paraId="548BBE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1 пулемет ШКАС на шкворне во 2-й кабине самолета с магазинным питанием с боекомплектом 400 патронов с кольцевым прицелом, со сроком внедрения 13 ноября с.г.</w:t>
      </w:r>
    </w:p>
    <w:p w14:paraId="10160D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Оборудовать самолет У-2 пламягасителями типа МАКФ-4</w:t>
      </w:r>
    </w:p>
    <w:p w14:paraId="390946C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Изготовлять самолет У-2 с доп. бензиновым баком в центроплане емкостью 50 кг типа С-2</w:t>
      </w:r>
    </w:p>
    <w:p w14:paraId="33ECE0D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Нач. ЦАГИ С.Н.Шишкину не позднее 1 декабря с.г. установить предельно допустимый вес учебного самолета У-2 в условиях боевого применения (1599,3).</w:t>
      </w:r>
    </w:p>
    <w:p w14:paraId="21795EF6" w14:textId="77777777" w:rsidR="00090C9B" w:rsidRPr="00722885" w:rsidRDefault="00090C9B" w:rsidP="00722885">
      <w:pPr>
        <w:pStyle w:val="Iauiue"/>
        <w:jc w:val="both"/>
        <w:rPr>
          <w:color w:val="000000" w:themeColor="text1"/>
          <w:sz w:val="16"/>
          <w:szCs w:val="16"/>
        </w:rPr>
      </w:pPr>
    </w:p>
    <w:p w14:paraId="483CBD3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D33A325" w14:textId="77777777" w:rsidR="00090C9B" w:rsidRPr="00722885" w:rsidRDefault="00090C9B" w:rsidP="00722885">
      <w:pPr>
        <w:pStyle w:val="Iauiue"/>
        <w:jc w:val="both"/>
        <w:rPr>
          <w:iCs/>
          <w:color w:val="000000" w:themeColor="text1"/>
          <w:sz w:val="16"/>
          <w:szCs w:val="16"/>
        </w:rPr>
      </w:pPr>
    </w:p>
    <w:p w14:paraId="2106BD2D"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16 ноября </w:t>
      </w:r>
      <w:r w:rsidRPr="00722885">
        <w:rPr>
          <w:rFonts w:ascii="Times New Roman" w:hAnsi="Times New Roman"/>
          <w:color w:val="000000" w:themeColor="text1"/>
          <w:sz w:val="16"/>
          <w:szCs w:val="16"/>
        </w:rPr>
        <w:t>в 1942 году утреннее сообщение Совинформбюро:</w:t>
      </w:r>
    </w:p>
    <w:p w14:paraId="1A942F0F"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16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41DDFF6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отражали атаки мелких групп противника. В заводской части города отбита атака батальона немецкой пехоты. Бойцы Н-ского артиллерийского подразделения уничтожили артиллерийскую батарею, 3 автомашины с пехотой, разбили 6 блиндажей и взорвали склад боеприпасов противника.</w:t>
      </w:r>
    </w:p>
    <w:p w14:paraId="7C9C120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 разведывательный отряд ночью проник в расположение противника и истребил до 60 гитлеровцев. Разведчики захватили 6 пулемётов, 28 винтовок и благополучно вернулись в свою часть. Артиллеристы Н-ской части, ведя огонь с открытых позиций, уничтожили 8 дзотов, рассеяли и частью истребили до роты немецкой пехоты.</w:t>
      </w:r>
    </w:p>
    <w:p w14:paraId="0A6C3079"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вели активные боевые действия и несколько продвинулись вперёд. Бойцы Н-ской стрелковой части в ночном бою уничтожили до 200 немецких солдат и офицеров. Подбито 6 танков противника.</w:t>
      </w:r>
    </w:p>
    <w:p w14:paraId="738C3FBC"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разведчики проникли в тыл противника и внезапно атаковали колонну автомашин с боеприпасами и продовольствием. Взорвав 16 автомашин и истребив до 40 гитлеровцев, разведчики без потерь вернулись в свою часть.</w:t>
      </w:r>
    </w:p>
    <w:p w14:paraId="66760ED3"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Волховского фронта Н-ская часть внезапным ударом ворвалась в населённый пункт, занятый противником, и овладела им. Немцы предприняли несколько контратак, пытаясь вернуть населённый пункт, имеющий важное тактическое значение. Все контратаки гитлеровцев отбиты с большими дляних потерями. В боях за этот населённый пункт уничтожено до батальона пехоты противника и захвачены трофеи.</w:t>
      </w:r>
    </w:p>
    <w:p w14:paraId="5A23947C"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Два украинских партизанских отряда за последние 12 дней провели несколько успешных операций. В боях против немецких захватчиков партизаны истребили 120 немецких солдат и офицеров, 20 гитлеровцев захвачены партизанами в плен. Уничтожены немецкий танк, 14 пулемётов и 18 автомашин. Кроме того, советские патриоты пустили под откос железнодорожный эшелон противника и взорвали 11 мостов. Партизаны захватили трофеи: 6 миномётов, 21 пулемёт, 8 автоматов, 100 винтовок и несколько тысяч пудов зерна. Захваченное продовольствие роздано населению.</w:t>
      </w:r>
    </w:p>
    <w:p w14:paraId="22043F1A"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ефрейтор 10 роты 110 полка 112 немецкой пехотной дивизии Иозеф Каспари рассказал: «После ранения я побывал на родине. Там я узнал, что из нашего села Шалькенбах были призваны в армию все мужчины, способные носить оружие, всего 40 человек. До сентября 1942 года из числа призванных было убито 15 человек, о чём их семьи уже получили официальные извещения. Из соседнего села Никених было призвано 150 человек. К сентябрю 1942 года 52 из них уже были убиты в России. А за четыре года первой мировой войны эта деревни вместе потеряли убитыми всего лишь 40 человек».</w:t>
      </w:r>
    </w:p>
    <w:p w14:paraId="17F58B0F"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Польши сообщают, что в Люблине группа женщин напала на агентов гестапо и избила их. В местечке Адамов группа молодых патриотов истребила немецкихп олицейских. Многие жители ушли в леса и присоединились к польским партизанам.» (14832).</w:t>
      </w:r>
    </w:p>
    <w:p w14:paraId="41E48448"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76B3A31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16 ноября </w:t>
      </w:r>
      <w:r w:rsidRPr="00722885">
        <w:rPr>
          <w:rFonts w:ascii="Times New Roman" w:hAnsi="Times New Roman"/>
          <w:color w:val="000000" w:themeColor="text1"/>
          <w:sz w:val="16"/>
          <w:szCs w:val="16"/>
        </w:rPr>
        <w:t>в 1942 году вечернее сообщение Совинформбюро:</w:t>
      </w:r>
    </w:p>
    <w:p w14:paraId="6484502B"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течение 16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43045F0F"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Баренцевом море потоплен немецкий танкер водоизмещением около 8.000 тонн.</w:t>
      </w:r>
    </w:p>
    <w:p w14:paraId="19BF8956"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продолжались бои. Противник силою до полка пехоты много раз атаковал наши позиции в заводской части города. В результате этих атак гитлеровцы понесли большие потери и не добились никакого успеха. На другом участке наши части вели активные бои и выбили противника с рубежей, занятых им два дня тому назад. В течение дня противник потерял убитыми и ранеными до 1.500 солдат и офицеров. Уничтожено 2 немецких танка, 6 орудий, 17 миномётов, 11 пулемётов, разрушено 10 дзотов и блиндажей. Огнём нашей зенитной артиллерии сбито 3 немецких самолёта.</w:t>
      </w:r>
    </w:p>
    <w:p w14:paraId="64045546"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свои позиции и вели разведку. Артиллеристы Н-ской части уничтожили 105-мм орудие, 3 блиндажа и до взвода вражеской пехоты. Снайперы двух соединений истребили за день 120 гитлеровцев. Огнём зенитчиков и пехоты сбито 7 и подбито 10 немецких самолётов. Кроме того, наши лётчики в воздушных боях сбили 4 самолёта противника.</w:t>
      </w:r>
    </w:p>
    <w:p w14:paraId="15483EA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вели активные боевые действия и, преодолевая огневое сопротивление противника, несколько продвинулись вперёд.Танкисты Н-ского подразделения под командованием тов. Кандыбы подбили 4 немецких танка и одну автомашину. Танковый экипаж лейтенанта Ватрушина уничтожил 2 танка и одно противотанковое орудие противника. Наводчик тов. Кузьменко подбил из противотанкового орудия тяжёлый немецкий танк.</w:t>
      </w:r>
    </w:p>
    <w:p w14:paraId="0F97D5C0"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 одном участке противнику удалось продвинуться вперёд. Контратакой наших подразделений враг был отброшен на исходные рубежи. На поле боя осталось более 100 трупов немецких солдат и офицеров. При налёте на один наш объект огнём зенитной артиллерии сбито 5 и подбито 2 немецких самолёта.</w:t>
      </w:r>
    </w:p>
    <w:p w14:paraId="4EEFD4C1"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Волховского фронта противник вновь предпринял несколько атак с целью вернуть занятый нашими бойцами населённый пункт. Все атаки гитлеровцев отбиты. По уточнённым данным, в боях за этот населённый пункт за два дня немцы потеряли убитыми до 1.500 солдат и офицеров.</w:t>
      </w:r>
    </w:p>
    <w:p w14:paraId="61C1DE2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Карельском фронте снайперы Н-ского соединения за три дня истребили 179 солдат и офицеров противника. Снайперы тт. Заватский, Назаров, Закматов,Петреченко и Лавров за один день уничтожили 12 гитлеровцев.</w:t>
      </w:r>
    </w:p>
    <w:p w14:paraId="6575846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смоленских партизан пустил под откос воинский поезд противника. Разбиты паровоз и 20 вагонов. Партизаны этого же отряда за последние дни уничтожили 9 немецких автомашин, 4 мотоцикла и истребили 48 немецких солдат.</w:t>
      </w:r>
    </w:p>
    <w:p w14:paraId="6864EFE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в селе, освобождённом на днях от немецко-фашистских войск, лейтенант Николай Меньшиков, красноармейцы Сергей Архипов, Иван Юрко, Иван Орешкин, Виталий Сизов и Александр Савицкий обнаружили 8 трупов красноармейцев, замученных немцами. Показаниями очевидцев и медицинским осмотром установлено, что гитлеровцы подвергли пленных зверским пыткам. Палачи отрезали советским бойцам уши, пальцы, раздробили суставы ног и рук, а потом прикладом размозжили им головы.</w:t>
      </w:r>
    </w:p>
    <w:p w14:paraId="0355641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последние дни норвежские патриоты усилили борьбу против немецких оккупантов. В Осло убито несколько десятков немецких солдат и офицеров. В концентрационном лагере близ Тромсе заключённые подняли восстание. Немецкая охрана оказала слабое сопротивление и сложила оружие. Норвежские патриоты подожгли казармы и скрылись в горах.»</w:t>
      </w:r>
    </w:p>
    <w:p w14:paraId="7DEE8087"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Преступная клика Гитлера грабит и уничтожает культурные богатства Советского Cоюза.</w:t>
      </w:r>
    </w:p>
    <w:p w14:paraId="41C5ACA3"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захвачен в плен обер-штурмфюрер 4-й роты батальона особого назначения германского министерства иностранных дел Норман Ферстер. Пленный обратился к советским военным властям со следующим письменным заявлением:</w:t>
      </w:r>
    </w:p>
    <w:p w14:paraId="577CC1DB"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«Советским военным властям</w:t>
      </w:r>
    </w:p>
    <w:p w14:paraId="6825C3D3"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батальоне особого назначения считаю своим долгом сообщить следующее:</w:t>
      </w:r>
    </w:p>
    <w:p w14:paraId="0BD66A9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1941 года, будучи в Берлине, я с помощью моего старого знакомого по Берлинскому университету доктора Фокке, работавшего в отделе печати министерства иностранных дел, был откомандирован из 87 противотанкового дивизиона в батальон особого назначения при министерстве иностранных дел. Этот батальон был создан по инициативе министра иностранных дел Риббентропа и действовал под его руководством. Командиром батальона является майор эсэсовских войск фон Кюнсберг. Задача батальона особого назначения состоит в том, чтобы немедленно после падения крупных городов захватывать культурные и исторические ценности, библиотеки научных учреждений, отбирать ценные издания книг, фильмы, а затем отправлять всё это в Германию. Батальон особого назначения состоит из четырёх рот. 1-я рота приданагерманскому экспедиционному корпусу в Африке, 2-я — северной армейской группе, 3-я — центральной армейской группе и 4-я — южной армейской группе. 1-я рота находится в настоящее время в Италии, в Неаполе, где она ожидает возможности переброски в Африку. Штаб батальона находится в Берлине, улица Германа Геринга, дом № 6. Конфискованный материал помещается в залах магазина фирмы Адлер на Гарденбергштрассе. Перед отъездом в Россию майор фон Кюнсберг передал нам приказ Риббентропа —основательно «прочёсывать» все научные учреждения, институты, библиотеки, дворцы, перетрясти архивы и накладывать свою руку на всё, что имеет определённую ценность. Из рассказов моих товарищей мне известно, что 2-я рота нашего батальона изъяла ценности из дворцов в пригородах Ленинграда. Я лично не присутствовал при этом. В Царском Селе рота захватила и вывезла имущество Большого дворца-музея императрицы Екатерины. Со стен были сняты китайские шёлковые обои и золочёные резные украшения. Наборный пол сложного рисунка увезли в разобранном виде. Из дворца императора Александра вывезены старинная мебель и богатая библиотека в 6—7 тысяч книг на французском языке и свыше 5 тысяч книг и рукописей на русском языке. Среди этих отобранных книг было очень много исторической и мемуарной литературы на французском языке и большое количество произведений греческих и римских классиков, являющихся библиографической редкостью. 4-я рота, в которой я находился, захватила в Киеве лабораторию медицинского научно-исследовательского института. Всё оборудование, а также научныематериалы, документация и книги вывезены в Германию. Активное участие в этой операции принимал военный врач Бауэр. Богатые трофеи нам достались в библиотеке Украинской Академии наук, где хранились редчайшие рукописи персидской, абиссинской, китайской письменности, русские и украинские летописи, первые экземпляры книг, напечатанных русским первопечатником Иваном Фёдоровым, и редкие издания произведений Шевченко, Мицкевича, Ивана Франко. Из киевских музеев: украинского искусства, русского искусства, западного и восточного искусства, Центрального музея Шевченко—отправлены в Берлин многие оставшиеся там экспонаты. Среди них были картины, этюды и портреты, написанные Репиным, полотна Верещагина, Федотова, Ге, скульптура Антокольского и другие произведения русских и украинских художников и скульпторов. В Харькове в библиотеке имени Короленко отобрано и отправлено в Берлин несколько тысяч ценных книг в роскошных изданиях. Остальные книги уничтожены. Из Харьковской картинной галереи вывезено несколько сот картин, в том числе 14 картин Айвазовского, произведения Репина, многие работы Поленова, Шишкина идругих. Также вывезены все скульптуры и весь научный архив музея. Вышивками, коврами, гобеленами и другими экспонатами воспользовались немецкие солдаты. В Краснодаре доктор Либен изъял из сельско-хозяйственной библиотеки до 30 ящиков книг.Представитель хозяйственной команды опротестовал действия Либена, поскольку Краснодар находится не в зоне военных действий, а в зоне тылового управления. Мне также известно, что и при штабе Альфреда Розенберга существуют специальные команды по изъятию музейных и антикварных ценностей в оккупированных странах Европы и восточных областях. Во главе этих команд стоят штатские компетентные лица. Как только войска занимают какой-нибудь крупный город, немедленно туда приезжают начальники этих команд со специалистами разного рода. Они осматриваютмузеи, картинные галереи, выставки, культурные и художественные учреждения, устанавливают, в каком они находятся состоянии, и конфискуют всё, что представляет ценность. Я считаю своим долгом поставить в известность об этом Советские власти.</w:t>
      </w:r>
    </w:p>
    <w:p w14:paraId="3BC4F7A1"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Доктор Ферстер.</w:t>
      </w:r>
    </w:p>
    <w:p w14:paraId="0E5CB93A"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 10 ноября 1942</w:t>
      </w:r>
    </w:p>
    <w:p w14:paraId="163AA277"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СС обер-штурмфюрер, 4 рота батальона особого назначения войск СС».</w:t>
      </w:r>
    </w:p>
    <w:p w14:paraId="6277722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заявлении пленного Ферстера перечислена лишь незначительная часть культурных, научных и исторических ценностей, награбленных гитлеровцами в оккупированных советских районах. Советскому Информбюро доподлинно известно, что батальоном особого назначения Риббентропа и командами штаба Розенберга расхищены и уничтожены огромнейшие ценности, остававшиеся в научных и культурных учреждениях оккупированных районов. Из Павловского дворца в городе Слуцке вывезена в Германию ценнейшая дворцовая мебель, созданная по эскизам знаменитого русского мастера Воронихина и крупнейших мастеров XVIII века, и часть коллекции редчайшего фарфора XVIII века. Во дворце снят паркет из дорогого дерева величайшей художественной ценности. Со стен дворца сорваны барельефы, гобелены, стенные и потолочные плафоны. Сняты все ручки и дверные украшения из бронзы и дерева. Из дворцового парка вывезены скульптуры. Из Петергофских дворцов немцы вывезли все оставшиеся там лепные и резные украшения, ковры и картины. Статуя-фонтан «Самсон, раздиравший пасть льва» скульптора Козловского распилена на части и отправлена в Германию. В верхнем и нижнем парках сняты фонтан «Нептун», скульптурные украшения террасы «Большого каскада» и другие ценные скульптурные произведения. Большой Петергофский дворец, заложенный еще при Петре Первом, после ограбления был варварски сожжён. В городе Львове немецкие оккупанты полностью разграбили городской музей. В Германию направлены десятки ящиков с картинами русских и украинских мастеров, коврами и старинным фарфором. Вывезена также знаменитая коллекция часов Львовского музея, в том числе 2.000 золотых часов работы мастеров XVI, XVII и XVIII веков. Львовская библиотека опустошена: наиболее ценные книги отправлены в Германию, а тысячи томов русских и украинских писателей сожжены. В Одессе немецкие и румынские войска разграбили Музей западного искусства и Художественный музей русского искусства. Многие полотна Перова, Серова, Боровиковского, Левитана, Рубо, Шишкина и других, ценнейшие копии скульптур греческих и римских мастеров, а также коллекция старинной мебели увезены в Германию. Немецкие вандалы уничтожили Одесскую государственную публичную библиотеку, насчитывавшую более 2.000.000 томов, а наиболее ценные рукописи и уникальные произведения, находившиеся в этой библиотеке, увезены. В Виннице гитлеровские громилы ограбили областную библиотеку имени Горького, имевшую 470.000 томов. Похищены редчайшие экземпляры средневековой рукописной литературы и первые печатные книги XVI и XVII веков. Недавно выстроенный морфологический корпус Винницкого медицинского института разграблен. Оттуда увезены точные медицинские инструменты, различные микроскопы, </w:t>
      </w:r>
      <w:r w:rsidRPr="00722885">
        <w:rPr>
          <w:rFonts w:ascii="Times New Roman" w:hAnsi="Times New Roman"/>
          <w:color w:val="000000" w:themeColor="text1"/>
          <w:sz w:val="16"/>
          <w:szCs w:val="16"/>
        </w:rPr>
        <w:lastRenderedPageBreak/>
        <w:t>приборы для изготовления тончайших срезов — микротомы, поляриметры, рентгеновская аппаратура и другие. В Чернигове расхищена знаменитая коллекция украинских древностей Тарновского, долгие годы собиравшего материалы по истории украинского народа и жизни украинских деятелей и писателей. Из коллекции выкрадены рукописи и картины большой ценности, портреты русских и украинских писателей, а также богатое собрание икон работы русских и украинских мастеров. В Киево-Печерской Лавре немцы захватили документы из архива киевских митрополитов и книги из личной библиотеки Петра Могилы, собравшего ценнейшие памятники мировой литературы. В научно-исследовательских институтах Киева немцы разграбили все библиотеки, архивы и оборудование лабораторий. Например, из медицинского института вывезеныв Германию сложнейшие приборы — микропроекционные аппараты, микроманипуляторы, микроскопы, микротомы и другое точное медицинское оборудование стоимостью в десятки миллионов рублей. В Полтаве немцы ограбили областную библиотеку, насчитывавшую 500.000 томов. Похищена вся личная библиотека Гнедича — автора перевода на русский язык «Илиады» Гомера, первые издания русских писателей XIX века — Пушкина, Жуковского, Гоголя, Крылова и других с автографами авторов и все книги древнейшей в России библиотеки Переяславской духовной семинарии, редчайшийпамятник — рукописное Пересолницкое евангелие, а также десятки старинных церковных книг, первое издание книги Сервантеса «Дон-Кихот» на испанском языке, юбилейная коллекция, собранная к столетнему юбилею Отечественной войны 1812 года. 500 томов старинных японских изданий на шёлковой бумаге. Из Полтавского музея вывезено в Германию более шестидесяти ящиков с картинами крупных русских, украинских и польских мастеров. Все эти и многие другие факты ограбления научных, культурных и исторических ценностей советского народа, которые невозможно перечислить в настоящем документе, ещё раз подтверждают, что повсеместные грабежи в оккупированных районах СССР производятся по прямому приказу германского правительства и носят организованный государственный характер. Немецкая армия уже давно зарекомендовала себя перед лицом всего мира как орда профессиональных бандитов и громил. Однако никто до сих пор не подозревал, что в составе германских вооружённых сил имеются специальные формирования, которым официально вменяется в обязанность грабить все культурные и исторические ценности временно захваченных стран Европы и районов СССР. Характерно, что эти подразделения существуют при германском министерстве иностранных дел, то естьпри германском правительстве. Стало быть, германское правительство несёт всю полноту уголовной и материальной ответственности за их преступные действия. Гитлеровское правительство не только не обуздывает солдат, а напротив, создавая при различных министерствах специальные батальоны и команды мародёров и взломщиков, само выступает в роли организатора и вдохновителя грабежей. Впервые мир встречается с такой военно-бандитской организацией, поставленной на широкую государственную ногу. Гитлеровцы бесцеремонно попирают все общепринятые законы и обычаи ведения войны. Статья шестая Гаагской конвенции о законах и обычаях сухопутной войны от 18 октября 1907 года, к которой присоединилась Германия, воспрещает захват, повреждение и истребление собственности образовательных, художественных учреждений, а также исторических памятников, научных и художественных ценностей, принадлежащих как частным лицам и обществам, так и государству. Но гитлеровская клика преступно попирает общепринятые всеми цивилизованными народами правила и законы ведения войны. Гитлеровцы уничтожают и разворовывают сокровищницы культуры народов СССР. Они расхищают и уничтожают научные ценности, произведения искусства и литературы, памятники старины. Они хотят уничтожить, искоренить русскую культуру. Советские люди никогда не забудут злодеяний, совершённых гитлеровскими мерзавцами на нашей земле. Преступные гитлеровские правители и их пособники, посягнувшие на культурные сокровища советского народа, получат по заслугам. От ответственности не уйдут ни главари разбойничьей шайки из берлинского вертепа, именующие себя правительством, ни исполнители их чудовищных грабительских планов. Карающая рука советского народа настигнет всех взломщиков и грабителей, где бы они ни были, и воздаст им сполна за все преступления.» (14832).</w:t>
      </w:r>
    </w:p>
    <w:p w14:paraId="1B62B0CA"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3424E377"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16 ноября </w:t>
      </w:r>
      <w:r w:rsidRPr="00722885">
        <w:rPr>
          <w:rFonts w:ascii="Times New Roman" w:hAnsi="Times New Roman"/>
          <w:color w:val="000000" w:themeColor="text1"/>
          <w:sz w:val="16"/>
          <w:szCs w:val="16"/>
        </w:rPr>
        <w:t>в 1942 году войска противника предприняли третью попытку прорваться к Туапсе через с.Георгиевское (14832).</w:t>
      </w:r>
    </w:p>
    <w:p w14:paraId="06371AE9"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0B10057C"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16 ноября 1942:</w:t>
      </w:r>
    </w:p>
    <w:p w14:paraId="00AF194D"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“УТВЕРЖДАЮ”</w:t>
      </w:r>
    </w:p>
    <w:p w14:paraId="586A5BBD"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Командующий войсками Член Военного совета</w:t>
      </w:r>
    </w:p>
    <w:p w14:paraId="034E476B"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Юго-Западного фронта Юго-Западного фронта</w:t>
      </w:r>
    </w:p>
    <w:p w14:paraId="6D168612"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генерал-лейтенант (Ватутин) корпусной комиссар (Желтов)</w:t>
      </w:r>
    </w:p>
    <w:p w14:paraId="14225535"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16 ноября 1942 г.</w:t>
      </w:r>
    </w:p>
    <w:p w14:paraId="042B959E"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ПЛАН</w:t>
      </w:r>
    </w:p>
    <w:p w14:paraId="17178D31"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БОЕВОГО ИСПОЛЬЗОВАНИЯ ВОЕННО-ВОЗДУШНЫХ СИЛ ЮГО-ЗАПАДНОГО ФРОНТА И ПРИДАННЫХ ЧАСТЕЙ 2-й ВОЗДУШНОЙ АРМИИ В ОПЕРАЦИИ ЮГО-ЗАПАДНОГО ФРОНТА В НОЯБРЕ 1942 г.</w:t>
      </w:r>
    </w:p>
    <w:p w14:paraId="7D904C84"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Основная задача. Содействовать войскам Юго-Западного фронта в уничтожении наземных войск противника и разгромить его авиацию.</w:t>
      </w:r>
    </w:p>
    <w:p w14:paraId="23D45B3E"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Частные задачи:</w:t>
      </w:r>
    </w:p>
    <w:p w14:paraId="24BD1398"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1. Прикрыть наземные войска от воздействия авиации противника в период занятия ими исходного положения.</w:t>
      </w:r>
    </w:p>
    <w:p w14:paraId="04A57F4C"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2. Содействовать наземным войскам в прорыве оборонительной полосы противника действиями по артиллерийским и минометным позициям и прикрыть свои войска от воздействия авиации противника.</w:t>
      </w:r>
    </w:p>
    <w:p w14:paraId="5C112840"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3. Подавить авиацию противника активными действиями днем и ночью по его аэродромам, нарушить управление войсками противника ударами по штабам и не допустить подхода и подвоза резервов.</w:t>
      </w:r>
    </w:p>
    <w:p w14:paraId="19420E72"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4. Содействовать вводу в прорыв подвижных групп и быстрейшему продвижению их на заданные рубежи уничтожением огневых точек, узлов и групп сопротивления противника и отражением авиации противника, препятствующей движению наших войск.</w:t>
      </w:r>
    </w:p>
    <w:p w14:paraId="1630F42C"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5. Уничтожать отходящего противника действиями штурмовиков и истребителей.</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7" w:type="dxa"/>
          <w:right w:w="37" w:type="dxa"/>
        </w:tblCellMar>
        <w:tblLook w:val="0000" w:firstRow="0" w:lastRow="0" w:firstColumn="0" w:lastColumn="0" w:noHBand="0" w:noVBand="0"/>
      </w:tblPr>
      <w:tblGrid>
        <w:gridCol w:w="460"/>
        <w:gridCol w:w="612"/>
        <w:gridCol w:w="1528"/>
        <w:gridCol w:w="1375"/>
        <w:gridCol w:w="949"/>
        <w:gridCol w:w="884"/>
        <w:gridCol w:w="823"/>
        <w:gridCol w:w="1317"/>
        <w:gridCol w:w="2139"/>
      </w:tblGrid>
      <w:tr w:rsidR="009B487A" w:rsidRPr="00722885" w14:paraId="301C61D5" w14:textId="77777777" w:rsidTr="00CC5360">
        <w:trPr>
          <w:cantSplit/>
          <w:trHeight w:val="795"/>
          <w:jc w:val="center"/>
        </w:trPr>
        <w:tc>
          <w:tcPr>
            <w:tcW w:w="460" w:type="dxa"/>
            <w:tcBorders>
              <w:top w:val="single" w:sz="12" w:space="0" w:color="auto"/>
            </w:tcBorders>
            <w:shd w:val="clear" w:color="FFFFFF" w:fill="FFFFFF"/>
          </w:tcPr>
          <w:p w14:paraId="6F13FD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Дата</w:t>
            </w:r>
          </w:p>
        </w:tc>
        <w:tc>
          <w:tcPr>
            <w:tcW w:w="612" w:type="dxa"/>
            <w:tcBorders>
              <w:top w:val="single" w:sz="12" w:space="0" w:color="auto"/>
            </w:tcBorders>
            <w:shd w:val="clear" w:color="FFFFFF" w:fill="FFFFFF"/>
          </w:tcPr>
          <w:p w14:paraId="6CFB5A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w:t>
            </w:r>
          </w:p>
        </w:tc>
        <w:tc>
          <w:tcPr>
            <w:tcW w:w="1527" w:type="dxa"/>
            <w:tcBorders>
              <w:top w:val="single" w:sz="12" w:space="0" w:color="auto"/>
            </w:tcBorders>
            <w:shd w:val="clear" w:color="FFFFFF" w:fill="FFFFFF"/>
          </w:tcPr>
          <w:p w14:paraId="01D8AF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Этапы действий наземных войск</w:t>
            </w:r>
          </w:p>
        </w:tc>
        <w:tc>
          <w:tcPr>
            <w:tcW w:w="1375" w:type="dxa"/>
            <w:tcBorders>
              <w:top w:val="single" w:sz="12" w:space="0" w:color="auto"/>
            </w:tcBorders>
            <w:shd w:val="clear" w:color="FFFFFF" w:fill="FFFFFF"/>
          </w:tcPr>
          <w:p w14:paraId="70D9CF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2-я воздушная армия</w:t>
            </w:r>
          </w:p>
          <w:p w14:paraId="6EFD41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1-я гвардейская армия</w:t>
            </w:r>
          </w:p>
        </w:tc>
        <w:tc>
          <w:tcPr>
            <w:tcW w:w="949" w:type="dxa"/>
            <w:tcBorders>
              <w:top w:val="single" w:sz="12" w:space="0" w:color="auto"/>
            </w:tcBorders>
            <w:shd w:val="clear" w:color="FFFFFF" w:fill="FFFFFF"/>
          </w:tcPr>
          <w:p w14:paraId="04BE098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1-й смешанный авиационный корпус</w:t>
            </w:r>
          </w:p>
          <w:p w14:paraId="098128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5-я танковая армия</w:t>
            </w:r>
          </w:p>
        </w:tc>
        <w:tc>
          <w:tcPr>
            <w:tcW w:w="884" w:type="dxa"/>
            <w:tcBorders>
              <w:top w:val="single" w:sz="12" w:space="0" w:color="auto"/>
            </w:tcBorders>
            <w:shd w:val="clear" w:color="FFFFFF" w:fill="FFFFFF"/>
          </w:tcPr>
          <w:p w14:paraId="3AEBA0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Группа Белецкого</w:t>
            </w:r>
          </w:p>
          <w:p w14:paraId="7C874C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21-я армия</w:t>
            </w:r>
          </w:p>
        </w:tc>
        <w:tc>
          <w:tcPr>
            <w:tcW w:w="823" w:type="dxa"/>
            <w:gridSpan w:val="2"/>
            <w:tcBorders>
              <w:top w:val="single" w:sz="12" w:space="0" w:color="auto"/>
            </w:tcBorders>
            <w:shd w:val="clear" w:color="FFFFFF" w:fill="FFFFFF"/>
          </w:tcPr>
          <w:p w14:paraId="6D8BBB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Фронтовая авиация</w:t>
            </w:r>
          </w:p>
        </w:tc>
        <w:tc>
          <w:tcPr>
            <w:tcW w:w="2139" w:type="dxa"/>
            <w:tcBorders>
              <w:top w:val="single" w:sz="12" w:space="0" w:color="auto"/>
            </w:tcBorders>
            <w:shd w:val="clear" w:color="FFFFFF" w:fill="FFFFFF"/>
          </w:tcPr>
          <w:p w14:paraId="2492D5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Примечание</w:t>
            </w:r>
          </w:p>
        </w:tc>
      </w:tr>
      <w:tr w:rsidR="009B487A" w:rsidRPr="00722885" w14:paraId="06016ECB" w14:textId="77777777" w:rsidTr="00CC5360">
        <w:trPr>
          <w:cantSplit/>
          <w:trHeight w:val="585"/>
          <w:jc w:val="center"/>
        </w:trPr>
        <w:tc>
          <w:tcPr>
            <w:tcW w:w="460" w:type="dxa"/>
          </w:tcPr>
          <w:p w14:paraId="4BE1F841" w14:textId="77777777" w:rsidR="00090C9B" w:rsidRPr="00722885" w:rsidRDefault="00090C9B" w:rsidP="00722885">
            <w:pPr>
              <w:pStyle w:val="Iauiue"/>
              <w:jc w:val="both"/>
              <w:rPr>
                <w:color w:val="000000" w:themeColor="text1"/>
                <w:sz w:val="16"/>
                <w:szCs w:val="16"/>
              </w:rPr>
            </w:pPr>
          </w:p>
        </w:tc>
        <w:tc>
          <w:tcPr>
            <w:tcW w:w="611" w:type="dxa"/>
          </w:tcPr>
          <w:p w14:paraId="36FDA138" w14:textId="77777777" w:rsidR="00090C9B" w:rsidRPr="00722885" w:rsidRDefault="00090C9B" w:rsidP="00722885">
            <w:pPr>
              <w:pStyle w:val="Iauiue"/>
              <w:jc w:val="both"/>
              <w:rPr>
                <w:color w:val="000000" w:themeColor="text1"/>
                <w:sz w:val="16"/>
                <w:szCs w:val="16"/>
              </w:rPr>
            </w:pPr>
          </w:p>
        </w:tc>
        <w:tc>
          <w:tcPr>
            <w:tcW w:w="1528" w:type="dxa"/>
          </w:tcPr>
          <w:p w14:paraId="3B1E9F63" w14:textId="77777777" w:rsidR="00090C9B" w:rsidRPr="00722885" w:rsidRDefault="00090C9B" w:rsidP="00722885">
            <w:pPr>
              <w:pStyle w:val="Iauiue"/>
              <w:jc w:val="both"/>
              <w:rPr>
                <w:color w:val="000000" w:themeColor="text1"/>
                <w:sz w:val="16"/>
                <w:szCs w:val="16"/>
              </w:rPr>
            </w:pPr>
          </w:p>
        </w:tc>
        <w:tc>
          <w:tcPr>
            <w:tcW w:w="1375" w:type="dxa"/>
          </w:tcPr>
          <w:p w14:paraId="20D55BBA" w14:textId="77777777" w:rsidR="00090C9B" w:rsidRPr="00722885" w:rsidRDefault="00090C9B" w:rsidP="00722885">
            <w:pPr>
              <w:pStyle w:val="Iauiue"/>
              <w:jc w:val="both"/>
              <w:rPr>
                <w:color w:val="000000" w:themeColor="text1"/>
                <w:sz w:val="16"/>
                <w:szCs w:val="16"/>
              </w:rPr>
            </w:pPr>
          </w:p>
        </w:tc>
        <w:tc>
          <w:tcPr>
            <w:tcW w:w="949" w:type="dxa"/>
          </w:tcPr>
          <w:p w14:paraId="342CC257" w14:textId="77777777" w:rsidR="00090C9B" w:rsidRPr="00722885" w:rsidRDefault="00090C9B" w:rsidP="00722885">
            <w:pPr>
              <w:pStyle w:val="Iauiue"/>
              <w:jc w:val="both"/>
              <w:rPr>
                <w:color w:val="000000" w:themeColor="text1"/>
                <w:sz w:val="16"/>
                <w:szCs w:val="16"/>
              </w:rPr>
            </w:pPr>
          </w:p>
        </w:tc>
        <w:tc>
          <w:tcPr>
            <w:tcW w:w="884" w:type="dxa"/>
          </w:tcPr>
          <w:p w14:paraId="3428604B" w14:textId="77777777" w:rsidR="00090C9B" w:rsidRPr="00722885" w:rsidRDefault="00090C9B" w:rsidP="00722885">
            <w:pPr>
              <w:pStyle w:val="Iauiue"/>
              <w:jc w:val="both"/>
              <w:rPr>
                <w:color w:val="000000" w:themeColor="text1"/>
                <w:sz w:val="16"/>
                <w:szCs w:val="16"/>
              </w:rPr>
            </w:pPr>
          </w:p>
        </w:tc>
        <w:tc>
          <w:tcPr>
            <w:tcW w:w="823" w:type="dxa"/>
          </w:tcPr>
          <w:p w14:paraId="0C02EB2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дневная </w:t>
            </w:r>
          </w:p>
        </w:tc>
        <w:tc>
          <w:tcPr>
            <w:tcW w:w="1317" w:type="dxa"/>
          </w:tcPr>
          <w:p w14:paraId="6704CD3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ночная</w:t>
            </w:r>
          </w:p>
        </w:tc>
        <w:tc>
          <w:tcPr>
            <w:tcW w:w="2139" w:type="dxa"/>
          </w:tcPr>
          <w:p w14:paraId="3E420688" w14:textId="77777777" w:rsidR="00090C9B" w:rsidRPr="00722885" w:rsidRDefault="00090C9B" w:rsidP="00722885">
            <w:pPr>
              <w:pStyle w:val="Iauiue"/>
              <w:jc w:val="both"/>
              <w:rPr>
                <w:color w:val="000000" w:themeColor="text1"/>
                <w:sz w:val="16"/>
                <w:szCs w:val="16"/>
              </w:rPr>
            </w:pPr>
          </w:p>
        </w:tc>
      </w:tr>
      <w:tr w:rsidR="009B487A" w:rsidRPr="00722885" w14:paraId="39A3B3ED" w14:textId="77777777" w:rsidTr="00CC5360">
        <w:trPr>
          <w:cantSplit/>
          <w:trHeight w:val="1275"/>
          <w:jc w:val="center"/>
        </w:trPr>
        <w:tc>
          <w:tcPr>
            <w:tcW w:w="460" w:type="dxa"/>
            <w:shd w:val="clear" w:color="FFFFFF" w:fill="FFFFFF"/>
          </w:tcPr>
          <w:p w14:paraId="00041DFE" w14:textId="77777777" w:rsidR="00090C9B" w:rsidRPr="00722885" w:rsidRDefault="00090C9B" w:rsidP="00722885">
            <w:pPr>
              <w:pStyle w:val="Iauiue"/>
              <w:jc w:val="both"/>
              <w:rPr>
                <w:color w:val="000000" w:themeColor="text1"/>
                <w:sz w:val="16"/>
                <w:szCs w:val="16"/>
              </w:rPr>
            </w:pPr>
          </w:p>
        </w:tc>
        <w:tc>
          <w:tcPr>
            <w:tcW w:w="611" w:type="dxa"/>
            <w:shd w:val="clear" w:color="FFFFFF" w:fill="FFFFFF"/>
          </w:tcPr>
          <w:p w14:paraId="38FF4E40" w14:textId="77777777" w:rsidR="00090C9B" w:rsidRPr="00722885" w:rsidRDefault="00090C9B" w:rsidP="00722885">
            <w:pPr>
              <w:pStyle w:val="Iauiue"/>
              <w:jc w:val="both"/>
              <w:rPr>
                <w:color w:val="000000" w:themeColor="text1"/>
                <w:sz w:val="16"/>
                <w:szCs w:val="16"/>
              </w:rPr>
            </w:pPr>
          </w:p>
        </w:tc>
        <w:tc>
          <w:tcPr>
            <w:tcW w:w="1528" w:type="dxa"/>
            <w:shd w:val="clear" w:color="FFFFFF" w:fill="FFFFFF"/>
          </w:tcPr>
          <w:p w14:paraId="3569B0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Боевой состав авиации.</w:t>
            </w:r>
          </w:p>
          <w:p w14:paraId="32B1E3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Аэродромные узлы</w:t>
            </w:r>
          </w:p>
        </w:tc>
        <w:tc>
          <w:tcPr>
            <w:tcW w:w="1375" w:type="dxa"/>
            <w:shd w:val="clear" w:color="FFFFFF" w:fill="FFFFFF"/>
          </w:tcPr>
          <w:p w14:paraId="6D69C77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Штурмовиков Ил-2 - 60</w:t>
            </w:r>
          </w:p>
          <w:p w14:paraId="0E1690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Истребителей разных - 30</w:t>
            </w:r>
          </w:p>
          <w:p w14:paraId="12B6326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Бомбардировщиков</w:t>
            </w:r>
          </w:p>
          <w:p w14:paraId="72B82D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Пе-2 - 12</w:t>
            </w:r>
          </w:p>
          <w:p w14:paraId="1EB095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Бомбардировщиков ночных - 50</w:t>
            </w:r>
          </w:p>
          <w:p w14:paraId="775CD9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Аэродромный узел - Калач</w:t>
            </w:r>
          </w:p>
        </w:tc>
        <w:tc>
          <w:tcPr>
            <w:tcW w:w="949" w:type="dxa"/>
            <w:shd w:val="clear" w:color="FFFFFF" w:fill="FFFFFF"/>
          </w:tcPr>
          <w:p w14:paraId="401B9E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Штурмовиков Ил-2 - 90</w:t>
            </w:r>
          </w:p>
          <w:p w14:paraId="7E9F74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Истребителей Як-76 - 60</w:t>
            </w:r>
          </w:p>
          <w:p w14:paraId="463999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Аэродромный узел - Сырычи, Рогожин</w:t>
            </w:r>
          </w:p>
        </w:tc>
        <w:tc>
          <w:tcPr>
            <w:tcW w:w="884" w:type="dxa"/>
            <w:shd w:val="clear" w:color="FFFFFF" w:fill="FFFFFF"/>
          </w:tcPr>
          <w:p w14:paraId="2AC671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Штурмовиков Ил-2 - 40</w:t>
            </w:r>
          </w:p>
          <w:p w14:paraId="19EDC9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Истребителей Як-76 - 60</w:t>
            </w:r>
          </w:p>
          <w:p w14:paraId="524D03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Аэродромный узел - Ендовский Раков</w:t>
            </w:r>
          </w:p>
        </w:tc>
        <w:tc>
          <w:tcPr>
            <w:tcW w:w="823" w:type="dxa"/>
            <w:shd w:val="clear" w:color="FFFFFF" w:fill="FFFFFF"/>
          </w:tcPr>
          <w:p w14:paraId="6F8BE1A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Бостон - 60</w:t>
            </w:r>
          </w:p>
          <w:p w14:paraId="645D68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Истребителей - 6</w:t>
            </w:r>
          </w:p>
        </w:tc>
        <w:tc>
          <w:tcPr>
            <w:tcW w:w="1317" w:type="dxa"/>
            <w:shd w:val="clear" w:color="FFFFFF" w:fill="FFFFFF"/>
          </w:tcPr>
          <w:p w14:paraId="6E86F7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У-2 - 37</w:t>
            </w:r>
          </w:p>
          <w:p w14:paraId="4AC7D9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Р-5 - 15</w:t>
            </w:r>
          </w:p>
        </w:tc>
        <w:tc>
          <w:tcPr>
            <w:tcW w:w="2139" w:type="dxa"/>
            <w:shd w:val="clear" w:color="FFFFFF" w:fill="FFFFFF"/>
          </w:tcPr>
          <w:p w14:paraId="6FE7EF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 ночных бомбардировщиков - 102, дневных бомбардировщиков - 72, штурмовиков - 190, истребителей - 210.</w:t>
            </w:r>
          </w:p>
          <w:p w14:paraId="2FCBD47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 - 574</w:t>
            </w:r>
          </w:p>
        </w:tc>
      </w:tr>
      <w:tr w:rsidR="009B487A" w:rsidRPr="00722885" w14:paraId="009F36F2" w14:textId="77777777" w:rsidTr="00CC5360">
        <w:trPr>
          <w:cantSplit/>
          <w:trHeight w:val="3525"/>
          <w:jc w:val="center"/>
        </w:trPr>
        <w:tc>
          <w:tcPr>
            <w:tcW w:w="460" w:type="dxa"/>
            <w:shd w:val="clear" w:color="FFFFFF" w:fill="FFFFFF"/>
          </w:tcPr>
          <w:p w14:paraId="583A4F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Д-Зд</w:t>
            </w:r>
          </w:p>
        </w:tc>
        <w:tc>
          <w:tcPr>
            <w:tcW w:w="611" w:type="dxa"/>
            <w:shd w:val="clear" w:color="FFFFFF" w:fill="FFFFFF"/>
          </w:tcPr>
          <w:p w14:paraId="501761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Ночью</w:t>
            </w:r>
          </w:p>
        </w:tc>
        <w:tc>
          <w:tcPr>
            <w:tcW w:w="1528" w:type="dxa"/>
            <w:shd w:val="clear" w:color="FFFFFF" w:fill="FFFFFF"/>
          </w:tcPr>
          <w:p w14:paraId="2BF8C20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Сосредоточение войск в исходное положение</w:t>
            </w:r>
          </w:p>
        </w:tc>
        <w:tc>
          <w:tcPr>
            <w:tcW w:w="1375" w:type="dxa"/>
            <w:shd w:val="clear" w:color="FFFFFF" w:fill="FFFFFF"/>
          </w:tcPr>
          <w:p w14:paraId="0138AB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Ночными бомбардировочными действиями уничтожать авиацию противника на аэродромах: Миллерово, Евстратовский и резервы в районе Богучар, Мешков Напряжение - 3 вылета на исправный самолет</w:t>
            </w:r>
          </w:p>
        </w:tc>
        <w:tc>
          <w:tcPr>
            <w:tcW w:w="949" w:type="dxa"/>
            <w:shd w:val="clear" w:color="FFFFFF" w:fill="FFFFFF"/>
          </w:tcPr>
          <w:p w14:paraId="7610DFF2" w14:textId="77777777" w:rsidR="00090C9B" w:rsidRPr="00722885" w:rsidRDefault="00090C9B" w:rsidP="00722885">
            <w:pPr>
              <w:pStyle w:val="Iauiue"/>
              <w:jc w:val="both"/>
              <w:rPr>
                <w:color w:val="000000" w:themeColor="text1"/>
                <w:sz w:val="16"/>
                <w:szCs w:val="16"/>
              </w:rPr>
            </w:pPr>
          </w:p>
        </w:tc>
        <w:tc>
          <w:tcPr>
            <w:tcW w:w="884" w:type="dxa"/>
            <w:shd w:val="clear" w:color="FFFFFF" w:fill="FFFFFF"/>
          </w:tcPr>
          <w:p w14:paraId="006C367D" w14:textId="77777777" w:rsidR="00090C9B" w:rsidRPr="00722885" w:rsidRDefault="00090C9B" w:rsidP="00722885">
            <w:pPr>
              <w:pStyle w:val="Iauiue"/>
              <w:jc w:val="both"/>
              <w:rPr>
                <w:color w:val="000000" w:themeColor="text1"/>
                <w:sz w:val="16"/>
                <w:szCs w:val="16"/>
              </w:rPr>
            </w:pPr>
          </w:p>
        </w:tc>
        <w:tc>
          <w:tcPr>
            <w:tcW w:w="823" w:type="dxa"/>
            <w:shd w:val="clear" w:color="FFFFFF" w:fill="FFFFFF"/>
          </w:tcPr>
          <w:p w14:paraId="527303E5" w14:textId="77777777" w:rsidR="00090C9B" w:rsidRPr="00722885" w:rsidRDefault="00090C9B" w:rsidP="00722885">
            <w:pPr>
              <w:pStyle w:val="Iauiue"/>
              <w:jc w:val="both"/>
              <w:rPr>
                <w:color w:val="000000" w:themeColor="text1"/>
                <w:sz w:val="16"/>
                <w:szCs w:val="16"/>
              </w:rPr>
            </w:pPr>
          </w:p>
        </w:tc>
        <w:tc>
          <w:tcPr>
            <w:tcW w:w="1317" w:type="dxa"/>
            <w:shd w:val="clear" w:color="FFFFFF" w:fill="FFFFFF"/>
          </w:tcPr>
          <w:p w14:paraId="216941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Ночными бомбардировочными действиями уничтожать авиацию противника на аэродромах: Боковкий, Евстратовский и резервы в районе Мешков, Богучар. Напряжение — 3 вылета на самолет</w:t>
            </w:r>
          </w:p>
        </w:tc>
        <w:tc>
          <w:tcPr>
            <w:tcW w:w="2139" w:type="dxa"/>
            <w:shd w:val="clear" w:color="FFFFFF" w:fill="FFFFFF"/>
          </w:tcPr>
          <w:p w14:paraId="5E08AA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Ведут воздушную разведку:</w:t>
            </w:r>
          </w:p>
          <w:p w14:paraId="0D8907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разведывательная эскадрилья № 10 - 6 самолетов Пе-2;</w:t>
            </w:r>
          </w:p>
          <w:p w14:paraId="5D017E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разведывательная эскадрилья № 4 - 10 самолетов Пе-2</w:t>
            </w:r>
          </w:p>
          <w:p w14:paraId="1D4C29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 16 самолетов.</w:t>
            </w:r>
          </w:p>
          <w:p w14:paraId="0DDD5F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Авиация дальнего действия уничтожает авиацию на аэродромах: Морозовск, Тацинская, Обливская и железнодорожные узлы: Лихая, Тацинская, Миллерово. 8-я и 16-я воздушные армии по своим планам действуют по аэродромам в полосе своего фронта и по данным разведки</w:t>
            </w:r>
          </w:p>
        </w:tc>
      </w:tr>
      <w:tr w:rsidR="009B487A" w:rsidRPr="00722885" w14:paraId="7667DCBD" w14:textId="77777777" w:rsidTr="00CC5360">
        <w:trPr>
          <w:cantSplit/>
          <w:trHeight w:val="4230"/>
          <w:jc w:val="center"/>
        </w:trPr>
        <w:tc>
          <w:tcPr>
            <w:tcW w:w="460" w:type="dxa"/>
            <w:shd w:val="clear" w:color="FFFFFF" w:fill="FFFFFF"/>
          </w:tcPr>
          <w:p w14:paraId="770B8713" w14:textId="77777777" w:rsidR="00090C9B" w:rsidRPr="00722885" w:rsidRDefault="00090C9B" w:rsidP="00722885">
            <w:pPr>
              <w:pStyle w:val="Iauiue"/>
              <w:jc w:val="both"/>
              <w:rPr>
                <w:color w:val="000000" w:themeColor="text1"/>
                <w:sz w:val="16"/>
                <w:szCs w:val="16"/>
              </w:rPr>
            </w:pPr>
          </w:p>
        </w:tc>
        <w:tc>
          <w:tcPr>
            <w:tcW w:w="611" w:type="dxa"/>
            <w:shd w:val="clear" w:color="FFFFFF" w:fill="FFFFFF"/>
          </w:tcPr>
          <w:p w14:paraId="1049E7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 - 1 ч. 20м.</w:t>
            </w:r>
          </w:p>
        </w:tc>
        <w:tc>
          <w:tcPr>
            <w:tcW w:w="1528" w:type="dxa"/>
            <w:shd w:val="clear" w:color="FFFFFF" w:fill="FFFFFF"/>
          </w:tcPr>
          <w:p w14:paraId="7E4AB6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Артиллерийская подготовка</w:t>
            </w:r>
          </w:p>
        </w:tc>
        <w:tc>
          <w:tcPr>
            <w:tcW w:w="1375" w:type="dxa"/>
            <w:gridSpan w:val="3"/>
            <w:shd w:val="clear" w:color="FFFFFF" w:fill="FFFFFF"/>
          </w:tcPr>
          <w:p w14:paraId="1356FB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Мелкими группами 2 — 4 самолета прикрыть наземные войска на поле боя.</w:t>
            </w:r>
          </w:p>
          <w:p w14:paraId="0B05EE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Быть в готовности к отражению сосредоточенных ударов военно-воздушных сил противника</w:t>
            </w:r>
          </w:p>
        </w:tc>
        <w:tc>
          <w:tcPr>
            <w:tcW w:w="823" w:type="dxa"/>
            <w:shd w:val="clear" w:color="FFFFFF" w:fill="FFFFFF"/>
          </w:tcPr>
          <w:p w14:paraId="7DAB56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Бомбардировочными действиями по штабам противника: Перелазовский, Боковский, Евстратовский, Головский — нарушить управление войсками противника</w:t>
            </w:r>
          </w:p>
        </w:tc>
        <w:tc>
          <w:tcPr>
            <w:tcW w:w="1317" w:type="dxa"/>
            <w:shd w:val="clear" w:color="FFFFFF" w:fill="FFFFFF"/>
          </w:tcPr>
          <w:p w14:paraId="3130E7B5" w14:textId="77777777" w:rsidR="00090C9B" w:rsidRPr="00722885" w:rsidRDefault="00090C9B" w:rsidP="00722885">
            <w:pPr>
              <w:pStyle w:val="Iauiue"/>
              <w:jc w:val="both"/>
              <w:rPr>
                <w:color w:val="000000" w:themeColor="text1"/>
                <w:sz w:val="16"/>
                <w:szCs w:val="16"/>
              </w:rPr>
            </w:pPr>
          </w:p>
        </w:tc>
        <w:tc>
          <w:tcPr>
            <w:tcW w:w="2139" w:type="dxa"/>
            <w:shd w:val="clear" w:color="FFFFFF" w:fill="FFFFFF"/>
          </w:tcPr>
          <w:p w14:paraId="3C35C8DF" w14:textId="77777777" w:rsidR="00090C9B" w:rsidRPr="00722885" w:rsidRDefault="00090C9B" w:rsidP="00722885">
            <w:pPr>
              <w:pStyle w:val="Iauiue"/>
              <w:jc w:val="both"/>
              <w:rPr>
                <w:color w:val="000000" w:themeColor="text1"/>
                <w:sz w:val="16"/>
                <w:szCs w:val="16"/>
              </w:rPr>
            </w:pPr>
          </w:p>
        </w:tc>
      </w:tr>
      <w:tr w:rsidR="009B487A" w:rsidRPr="00722885" w14:paraId="3046A161" w14:textId="77777777" w:rsidTr="00CC5360">
        <w:trPr>
          <w:cantSplit/>
          <w:trHeight w:val="4710"/>
          <w:jc w:val="center"/>
        </w:trPr>
        <w:tc>
          <w:tcPr>
            <w:tcW w:w="460" w:type="dxa"/>
            <w:shd w:val="clear" w:color="FFFFFF" w:fill="FFFFFF"/>
          </w:tcPr>
          <w:p w14:paraId="098C34AD" w14:textId="77777777" w:rsidR="00090C9B" w:rsidRPr="00722885" w:rsidRDefault="00090C9B" w:rsidP="00722885">
            <w:pPr>
              <w:pStyle w:val="Iauiue"/>
              <w:jc w:val="both"/>
              <w:rPr>
                <w:color w:val="000000" w:themeColor="text1"/>
                <w:sz w:val="16"/>
                <w:szCs w:val="16"/>
              </w:rPr>
            </w:pPr>
          </w:p>
        </w:tc>
        <w:tc>
          <w:tcPr>
            <w:tcW w:w="611" w:type="dxa"/>
            <w:shd w:val="clear" w:color="FFFFFF" w:fill="FFFFFF"/>
          </w:tcPr>
          <w:p w14:paraId="62CD87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 - 5 мин.</w:t>
            </w:r>
          </w:p>
        </w:tc>
        <w:tc>
          <w:tcPr>
            <w:tcW w:w="1528" w:type="dxa"/>
            <w:shd w:val="clear" w:color="FFFFFF" w:fill="FFFFFF"/>
          </w:tcPr>
          <w:p w14:paraId="01D8B0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Атака прорывающихся частей</w:t>
            </w:r>
          </w:p>
        </w:tc>
        <w:tc>
          <w:tcPr>
            <w:tcW w:w="1375" w:type="dxa"/>
            <w:gridSpan w:val="3"/>
            <w:shd w:val="clear" w:color="FFFFFF" w:fill="FFFFFF"/>
          </w:tcPr>
          <w:p w14:paraId="70E9EC3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С началом атаки наземных войск штурмовыми действиями по артиллерийским позициям, минометным батареям и узлам сопротивления противника прокладывать путь прорывающимся частям через оборонительную полосу противника.</w:t>
            </w:r>
          </w:p>
          <w:p w14:paraId="591872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Истребителями прикрывать вводимые в прорыв механизированные и кавалерийские части, оказывая им содействие в преодолении огневых точек и узлов сопротивления</w:t>
            </w:r>
          </w:p>
        </w:tc>
        <w:tc>
          <w:tcPr>
            <w:tcW w:w="823" w:type="dxa"/>
            <w:shd w:val="clear" w:color="FFFFFF" w:fill="FFFFFF"/>
          </w:tcPr>
          <w:p w14:paraId="19DFD6C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Быть в готовности для действий по аэродромам и подходящим резервам противника.</w:t>
            </w:r>
          </w:p>
          <w:p w14:paraId="3B3F41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Один бомбардировочный авиационный полк и один истребительный авиационный полк в резерве командующего военно-воздушными силами Юго-Западного фронта. Напряжение — 2 вылета</w:t>
            </w:r>
          </w:p>
        </w:tc>
        <w:tc>
          <w:tcPr>
            <w:tcW w:w="1317" w:type="dxa"/>
            <w:shd w:val="clear" w:color="FFFFFF" w:fill="FFFFFF"/>
          </w:tcPr>
          <w:p w14:paraId="04CFD17A" w14:textId="77777777" w:rsidR="00090C9B" w:rsidRPr="00722885" w:rsidRDefault="00090C9B" w:rsidP="00722885">
            <w:pPr>
              <w:pStyle w:val="Iauiue"/>
              <w:jc w:val="both"/>
              <w:rPr>
                <w:color w:val="000000" w:themeColor="text1"/>
                <w:sz w:val="16"/>
                <w:szCs w:val="16"/>
              </w:rPr>
            </w:pPr>
          </w:p>
        </w:tc>
        <w:tc>
          <w:tcPr>
            <w:tcW w:w="2139" w:type="dxa"/>
            <w:shd w:val="clear" w:color="FFFFFF" w:fill="FFFFFF"/>
          </w:tcPr>
          <w:p w14:paraId="33A3DC49" w14:textId="77777777" w:rsidR="00090C9B" w:rsidRPr="00722885" w:rsidRDefault="00090C9B" w:rsidP="00722885">
            <w:pPr>
              <w:pStyle w:val="Iauiue"/>
              <w:jc w:val="both"/>
              <w:rPr>
                <w:color w:val="000000" w:themeColor="text1"/>
                <w:sz w:val="16"/>
                <w:szCs w:val="16"/>
              </w:rPr>
            </w:pPr>
          </w:p>
        </w:tc>
      </w:tr>
      <w:tr w:rsidR="009B487A" w:rsidRPr="00722885" w14:paraId="12D6C1C8" w14:textId="77777777" w:rsidTr="00CC5360">
        <w:trPr>
          <w:cantSplit/>
          <w:trHeight w:val="975"/>
          <w:jc w:val="center"/>
        </w:trPr>
        <w:tc>
          <w:tcPr>
            <w:tcW w:w="460" w:type="dxa"/>
            <w:shd w:val="clear" w:color="FFFFFF" w:fill="FFFFFF"/>
          </w:tcPr>
          <w:p w14:paraId="20A9DD4F" w14:textId="77777777" w:rsidR="00090C9B" w:rsidRPr="00722885" w:rsidRDefault="00090C9B" w:rsidP="00722885">
            <w:pPr>
              <w:pStyle w:val="Iauiue"/>
              <w:jc w:val="both"/>
              <w:rPr>
                <w:color w:val="000000" w:themeColor="text1"/>
                <w:sz w:val="16"/>
                <w:szCs w:val="16"/>
              </w:rPr>
            </w:pPr>
          </w:p>
        </w:tc>
        <w:tc>
          <w:tcPr>
            <w:tcW w:w="611" w:type="dxa"/>
            <w:shd w:val="clear" w:color="FFFFFF" w:fill="FFFFFF"/>
          </w:tcPr>
          <w:p w14:paraId="2F9BD5B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 + 3- 5.00</w:t>
            </w:r>
          </w:p>
          <w:p w14:paraId="0862F2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“Ч”+5-24.00</w:t>
            </w:r>
          </w:p>
        </w:tc>
        <w:tc>
          <w:tcPr>
            <w:tcW w:w="1528" w:type="dxa"/>
            <w:shd w:val="clear" w:color="FFFFFF" w:fill="FFFFFF"/>
          </w:tcPr>
          <w:p w14:paraId="5702A47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Ввод в прорыв механизированных и кавалерийских частей</w:t>
            </w:r>
          </w:p>
        </w:tc>
        <w:tc>
          <w:tcPr>
            <w:tcW w:w="1375" w:type="dxa"/>
            <w:gridSpan w:val="3"/>
            <w:shd w:val="clear" w:color="FFFFFF" w:fill="FFFFFF"/>
          </w:tcPr>
          <w:p w14:paraId="1B6D2A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Действуя децентрализованно по заданиям командиров корпусов подвижных групп, штурмовыми действиями уничтожать огневые точки, узлы сопротивления и ближайшие резервы противника и тем способствовать быстрейшему продвижению вперед наших подвижных механизированных и кавалерийских частей:</w:t>
            </w:r>
          </w:p>
          <w:p w14:paraId="45FF6B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истребителям прикрывать механизированные и кавалерийские части на всей глубине их действия; б) отдельными самолетами вести наблюдение за полем боя, ближнюю разведку, наводить свои войска на обнаруженные цели и вызывать по радио боевую авиацию (штурмовую и бомбардировочную).</w:t>
            </w:r>
          </w:p>
          <w:p w14:paraId="72DE647B" w14:textId="77777777" w:rsidR="00090C9B" w:rsidRPr="00722885" w:rsidRDefault="00090C9B" w:rsidP="00722885">
            <w:pPr>
              <w:pStyle w:val="Iauiue"/>
              <w:jc w:val="both"/>
              <w:rPr>
                <w:color w:val="000000" w:themeColor="text1"/>
                <w:sz w:val="16"/>
                <w:szCs w:val="16"/>
              </w:rPr>
            </w:pPr>
          </w:p>
          <w:p w14:paraId="58C1BC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Преследовать отходящие части противника, нанося им штурмовыми действиями непрерывные удары. Напряжение — 3 вылета на исправный самолет. 3. Ночными бомбардировочными действия ми уничтожать отходящие части и подходящие резервы противника и авиацию на аэродромах, выявленную разведкой</w:t>
            </w:r>
          </w:p>
        </w:tc>
        <w:tc>
          <w:tcPr>
            <w:tcW w:w="823" w:type="dxa"/>
            <w:shd w:val="clear" w:color="FFFFFF" w:fill="FFFFFF"/>
          </w:tcPr>
          <w:p w14:paraId="1B785A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Готовность для действий по подходящим резервам и аэродромам противника</w:t>
            </w:r>
          </w:p>
        </w:tc>
        <w:tc>
          <w:tcPr>
            <w:tcW w:w="1317" w:type="dxa"/>
            <w:shd w:val="clear" w:color="FFFFFF" w:fill="FFFFFF"/>
          </w:tcPr>
          <w:p w14:paraId="7336F0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Ночными действиями уничтожать отходящие части и под ходящие резервы и авиацию на аэродромах, установленных разведкой. Напряжение — 3 вылета</w:t>
            </w:r>
          </w:p>
        </w:tc>
        <w:tc>
          <w:tcPr>
            <w:tcW w:w="2139" w:type="dxa"/>
            <w:shd w:val="clear" w:color="FFFFFF" w:fill="FFFFFF"/>
          </w:tcPr>
          <w:p w14:paraId="1DBDBB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16-я и 8-я воздушные армии взаимодействуют с наземными войсками своих фронтов. Авиация дальнего действия действует ночью по аэродромам и железнодорожным узлам по данным дневной разведки</w:t>
            </w:r>
          </w:p>
        </w:tc>
      </w:tr>
      <w:tr w:rsidR="009B487A" w:rsidRPr="00722885" w14:paraId="34F068B5" w14:textId="77777777" w:rsidTr="00CC5360">
        <w:trPr>
          <w:cantSplit/>
          <w:trHeight w:val="975"/>
          <w:jc w:val="center"/>
        </w:trPr>
        <w:tc>
          <w:tcPr>
            <w:tcW w:w="460" w:type="dxa"/>
            <w:tcBorders>
              <w:bottom w:val="single" w:sz="12" w:space="0" w:color="auto"/>
            </w:tcBorders>
            <w:shd w:val="clear" w:color="FFFFFF" w:fill="FFFFFF"/>
          </w:tcPr>
          <w:p w14:paraId="53D4E3E1" w14:textId="77777777" w:rsidR="00090C9B" w:rsidRPr="00722885" w:rsidRDefault="00090C9B" w:rsidP="00722885">
            <w:pPr>
              <w:pStyle w:val="Iauiue"/>
              <w:jc w:val="both"/>
              <w:rPr>
                <w:color w:val="000000" w:themeColor="text1"/>
                <w:sz w:val="16"/>
                <w:szCs w:val="16"/>
              </w:rPr>
            </w:pPr>
          </w:p>
        </w:tc>
        <w:tc>
          <w:tcPr>
            <w:tcW w:w="611" w:type="dxa"/>
            <w:tcBorders>
              <w:bottom w:val="single" w:sz="12" w:space="0" w:color="auto"/>
            </w:tcBorders>
            <w:shd w:val="clear" w:color="FFFFFF" w:fill="FFFFFF"/>
          </w:tcPr>
          <w:p w14:paraId="293720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 + 25 час.</w:t>
            </w:r>
          </w:p>
        </w:tc>
        <w:tc>
          <w:tcPr>
            <w:tcW w:w="1528" w:type="dxa"/>
            <w:tcBorders>
              <w:bottom w:val="single" w:sz="12" w:space="0" w:color="auto"/>
            </w:tcBorders>
            <w:shd w:val="clear" w:color="FFFFFF" w:fill="FFFFFF"/>
          </w:tcPr>
          <w:p w14:paraId="42F43D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Развитие успеха</w:t>
            </w:r>
          </w:p>
        </w:tc>
        <w:tc>
          <w:tcPr>
            <w:tcW w:w="1375" w:type="dxa"/>
            <w:gridSpan w:val="3"/>
            <w:tcBorders>
              <w:bottom w:val="single" w:sz="12" w:space="0" w:color="auto"/>
            </w:tcBorders>
            <w:shd w:val="clear" w:color="FFFFFF" w:fill="FFFFFF"/>
          </w:tcPr>
          <w:p w14:paraId="2EE991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Сопровождая штурмовыми действиями по войскам и огневым точкам противника на пути движения наших войск способствовать быстрейшему продвижению наших механизированных и кавалерийских частей. Истребителями прикрывать наши кавалерийские и механизированные части.</w:t>
            </w:r>
          </w:p>
          <w:p w14:paraId="518588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Преследовать противника днем и ночью.</w:t>
            </w:r>
          </w:p>
        </w:tc>
        <w:tc>
          <w:tcPr>
            <w:tcW w:w="823" w:type="dxa"/>
            <w:tcBorders>
              <w:bottom w:val="single" w:sz="12" w:space="0" w:color="auto"/>
            </w:tcBorders>
            <w:shd w:val="clear" w:color="FFFFFF" w:fill="FFFFFF"/>
          </w:tcPr>
          <w:p w14:paraId="0AC66F1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Готовность для действий по подходящим резервам и аэродромам противника</w:t>
            </w:r>
          </w:p>
        </w:tc>
        <w:tc>
          <w:tcPr>
            <w:tcW w:w="1317" w:type="dxa"/>
            <w:tcBorders>
              <w:bottom w:val="single" w:sz="12" w:space="0" w:color="auto"/>
            </w:tcBorders>
            <w:shd w:val="clear" w:color="FFFFFF" w:fill="FFFFFF"/>
          </w:tcPr>
          <w:p w14:paraId="79A043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Ночными действиями уничтожать отходящие части и под ходящие резервы и авиацию на аэродромах, установленных разведкой. Напряжение — 3 вылета</w:t>
            </w:r>
          </w:p>
        </w:tc>
        <w:tc>
          <w:tcPr>
            <w:tcW w:w="2139" w:type="dxa"/>
            <w:tcBorders>
              <w:bottom w:val="single" w:sz="12" w:space="0" w:color="auto"/>
            </w:tcBorders>
            <w:shd w:val="clear" w:color="FFFFFF" w:fill="FFFFFF"/>
          </w:tcPr>
          <w:p w14:paraId="145250BF" w14:textId="77777777" w:rsidR="00090C9B" w:rsidRPr="00722885" w:rsidRDefault="00090C9B" w:rsidP="00722885">
            <w:pPr>
              <w:pStyle w:val="Iauiue"/>
              <w:jc w:val="both"/>
              <w:rPr>
                <w:color w:val="000000" w:themeColor="text1"/>
                <w:sz w:val="16"/>
                <w:szCs w:val="16"/>
              </w:rPr>
            </w:pPr>
          </w:p>
        </w:tc>
      </w:tr>
    </w:tbl>
    <w:p w14:paraId="05EDBFE0" w14:textId="77777777" w:rsidR="00090C9B" w:rsidRPr="00722885" w:rsidRDefault="00090C9B" w:rsidP="00722885">
      <w:pPr>
        <w:pStyle w:val="Blockquote"/>
        <w:widowControl/>
        <w:spacing w:before="0" w:after="0"/>
        <w:ind w:left="0" w:right="0"/>
        <w:jc w:val="both"/>
        <w:rPr>
          <w:color w:val="000000" w:themeColor="text1"/>
          <w:sz w:val="16"/>
          <w:szCs w:val="16"/>
          <w:lang w:val="ru-RU"/>
        </w:rPr>
      </w:pPr>
      <w:r w:rsidRPr="00722885">
        <w:rPr>
          <w:color w:val="000000" w:themeColor="text1"/>
          <w:sz w:val="16"/>
          <w:szCs w:val="16"/>
          <w:lang w:val="ru-RU"/>
        </w:rPr>
        <w:t>Особая задача. Прикрыть корректировочную авиацию. Боевой авиации вести разведку на себя и искать объекты противника (резервы, колонны, сосредоточения). Быть готовым наносить массированные удары всей авиацией при обнаружении крупных резервов, особенно танковых и моторизованных дивизий противника.</w:t>
      </w:r>
    </w:p>
    <w:p w14:paraId="0CE698D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Командующий военно-воздушными силами Юго-Западного фронта</w:t>
      </w:r>
    </w:p>
    <w:p w14:paraId="058341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генерал-майор (КРАСОВСКИЙ) (7751).</w:t>
      </w:r>
    </w:p>
    <w:p w14:paraId="177D8E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Архив МО СССР, ф. 370, оп. 44772с, д. 15, лл. 28—29 (7751)</w:t>
      </w:r>
    </w:p>
    <w:p w14:paraId="46E02A4E" w14:textId="77777777" w:rsidR="00090C9B" w:rsidRPr="00722885" w:rsidRDefault="00090C9B" w:rsidP="00722885">
      <w:pPr>
        <w:pStyle w:val="Iauiue"/>
        <w:jc w:val="both"/>
        <w:rPr>
          <w:iCs/>
          <w:color w:val="000000" w:themeColor="text1"/>
          <w:sz w:val="16"/>
          <w:szCs w:val="16"/>
        </w:rPr>
      </w:pPr>
    </w:p>
    <w:p w14:paraId="20C3CBE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2712C8A" w14:textId="77777777" w:rsidR="00090C9B" w:rsidRPr="00722885" w:rsidRDefault="00090C9B" w:rsidP="00722885">
      <w:pPr>
        <w:pStyle w:val="Iauiue"/>
        <w:jc w:val="both"/>
        <w:rPr>
          <w:iCs/>
          <w:color w:val="000000" w:themeColor="text1"/>
          <w:sz w:val="16"/>
          <w:szCs w:val="16"/>
        </w:rPr>
      </w:pPr>
    </w:p>
    <w:p w14:paraId="1AC66D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ноября 1942 г. приказом Наркомата электростанций СССР был создан Государственный союзный трест по проектированию и изысканиям промышленных электростанций и тепловых сетей "Промэнергопроект". Приказом Министерства электростанций СССР от 12 апреля 1951 г, преобразован в Государственный союзный проектный институт по проектированию строительства промышленных теплоэлектроцентралей для энергоснабжения промышленных предприятий всех отраслей народного хозяйства "Промэнергопроект". Приказом Министерства энергетики и электрификации СССР от 23 марта 1974 г. на базе института был создан ВНИПИэнергопром.</w:t>
      </w:r>
    </w:p>
    <w:p w14:paraId="49691F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Всесоюзный государственный научно-исследовательский и проектно-конструкторский институт по промышленной энергетике и рациональному использованию в промышленности топлива, электрической и тепловой энергии "ВНИПИэнергопром" Министерства энергетики и электрификации СССР, г. Москва, 1974 - Всесоюзный государственный научно-исследовательский и проектно-конструкторский институт по промышленной энергетике и рациональному использованию в промышленности топлива, электрической и тепловой энергии "ВНИПИэнергопром" Министерства энергетики и электрификации СССР, г. Москва, 1974 - 1974 </w:t>
      </w:r>
    </w:p>
    <w:p w14:paraId="60F0BC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Создан приказом Министерства энергетики и электрификации СССР от 23 марта 1974 г. на базе института Промэнергопроект. </w:t>
      </w:r>
    </w:p>
    <w:p w14:paraId="0E8DFB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Институт имел отделения: Белорусское, Северо-Западное, Сибирское, Среднеазиатское, Украинское, Уральское (12102).</w:t>
      </w:r>
    </w:p>
    <w:p w14:paraId="77E48805" w14:textId="77777777" w:rsidR="006328CA" w:rsidRPr="00722885" w:rsidRDefault="006328CA" w:rsidP="00722885">
      <w:pPr>
        <w:pStyle w:val="Iauiue"/>
        <w:jc w:val="both"/>
        <w:rPr>
          <w:i/>
          <w:iCs/>
          <w:color w:val="000000" w:themeColor="text1"/>
          <w:sz w:val="16"/>
          <w:szCs w:val="16"/>
        </w:rPr>
      </w:pPr>
    </w:p>
    <w:p w14:paraId="15431C6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AA58D89" w14:textId="77777777" w:rsidR="00090C9B" w:rsidRPr="00722885" w:rsidRDefault="00090C9B" w:rsidP="00722885">
      <w:pPr>
        <w:pStyle w:val="Iauiue"/>
        <w:jc w:val="both"/>
        <w:rPr>
          <w:iCs/>
          <w:color w:val="000000" w:themeColor="text1"/>
          <w:sz w:val="16"/>
          <w:szCs w:val="16"/>
        </w:rPr>
      </w:pPr>
    </w:p>
    <w:p w14:paraId="538966D8"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16 ноября 1942 Консолидейтед B-24D Liberator 1- й противолодочной эскадрильи, базирующиеся в Сент-Эвале в Соединенном Королевстве, совершают первый боевой вылет противолодочного командования ВВС США (20793).</w:t>
      </w:r>
    </w:p>
    <w:p w14:paraId="593B506C" w14:textId="77777777" w:rsidR="00546E6F" w:rsidRPr="00722885" w:rsidRDefault="00546E6F" w:rsidP="00722885">
      <w:pPr>
        <w:spacing w:after="0" w:line="240" w:lineRule="auto"/>
        <w:jc w:val="both"/>
        <w:rPr>
          <w:rFonts w:ascii="Times New Roman" w:hAnsi="Times New Roman"/>
          <w:color w:val="0070C0"/>
          <w:sz w:val="16"/>
          <w:szCs w:val="16"/>
        </w:rPr>
      </w:pPr>
    </w:p>
    <w:p w14:paraId="4C338CBF"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16 ноября </w:t>
      </w:r>
      <w:r w:rsidRPr="00722885">
        <w:rPr>
          <w:rFonts w:ascii="Times New Roman" w:hAnsi="Times New Roman"/>
          <w:color w:val="000000" w:themeColor="text1"/>
          <w:sz w:val="16"/>
          <w:szCs w:val="16"/>
        </w:rPr>
        <w:t>в 1942 году французские вооруженные силы начали активные действия против держав оси в Северной Африке (14832).</w:t>
      </w:r>
    </w:p>
    <w:p w14:paraId="70AB5C44"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78FF97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ноября 1942 французские вооруженные силы начали активные действия против держав оси в СА (3186).</w:t>
      </w:r>
    </w:p>
    <w:p w14:paraId="00672B24" w14:textId="77777777" w:rsidR="00090C9B" w:rsidRPr="00722885" w:rsidRDefault="00090C9B" w:rsidP="00722885">
      <w:pPr>
        <w:pStyle w:val="Iauiue"/>
        <w:jc w:val="both"/>
        <w:rPr>
          <w:color w:val="000000" w:themeColor="text1"/>
          <w:sz w:val="16"/>
          <w:szCs w:val="16"/>
        </w:rPr>
      </w:pPr>
    </w:p>
    <w:p w14:paraId="10EEA8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 ноября 1942 был создан 8 японский фронт в составе 17А (Соломоновы острова) и 18А (Новая Гвинея) (3186).</w:t>
      </w:r>
    </w:p>
    <w:p w14:paraId="2ED12D9C" w14:textId="77777777" w:rsidR="00090C9B" w:rsidRPr="00722885" w:rsidRDefault="00090C9B" w:rsidP="00722885">
      <w:pPr>
        <w:pStyle w:val="Iauiue"/>
        <w:jc w:val="both"/>
        <w:rPr>
          <w:color w:val="000000" w:themeColor="text1"/>
          <w:sz w:val="16"/>
          <w:szCs w:val="16"/>
        </w:rPr>
      </w:pPr>
    </w:p>
    <w:p w14:paraId="29CF7D2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ноября 1942 в Чикаго начато строительство первого в мире ядерного реактора (уран-графитового). – А-Бомба. – С.39 (11321).</w:t>
      </w:r>
    </w:p>
    <w:p w14:paraId="180188D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DEBEFC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F5B9F28" w14:textId="77777777" w:rsidR="00090C9B" w:rsidRPr="00722885" w:rsidRDefault="00090C9B" w:rsidP="00722885">
      <w:pPr>
        <w:pStyle w:val="Iauiue"/>
        <w:jc w:val="both"/>
        <w:rPr>
          <w:iCs/>
          <w:color w:val="000000" w:themeColor="text1"/>
          <w:sz w:val="16"/>
          <w:szCs w:val="16"/>
        </w:rPr>
      </w:pPr>
    </w:p>
    <w:p w14:paraId="68F59B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ноября 1942 ГИ ВВС КА утвердил акт испытаний:</w:t>
      </w:r>
    </w:p>
    <w:p w14:paraId="316A7C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в НИИ ВВС КА были проведены специальные испытания одноместного и двухместного самолетов Ил-2 на определение противоштопорных свойств. Испытаниям подверглись самолеты N 301058 и N 1878330 при центровках самолетов 28,6% САХ (одноместный) и 32% САХ (двухместн).</w:t>
      </w:r>
    </w:p>
    <w:p w14:paraId="5D2E92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результате испытаний установлено, что как одноместный, так и двухместный самолеты устойчиво парашютируют на скорости 170-180 км/час.</w:t>
      </w:r>
    </w:p>
    <w:p w14:paraId="5EBEAD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Только дача педали и взятие ручки на себя заставляют самолет переходить в штопор. В левый штопор двухместный самолет входит охотнее.</w:t>
      </w:r>
    </w:p>
    <w:p w14:paraId="542143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Двухместный самолет с полетным весом в 6040 кг имеет тенденцию перехода в плоский штопор.</w:t>
      </w:r>
    </w:p>
    <w:p w14:paraId="1B3464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результате испытаний составлены указания по выводу самолетов из штопора.</w:t>
      </w:r>
    </w:p>
    <w:p w14:paraId="43F8A5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Заключение: Допускать на одноместном самолете Ил-2 с использованием тренированного летного состава ВВС выполнение штопора до одного витка.</w:t>
      </w:r>
    </w:p>
    <w:p w14:paraId="34F5F7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двухместном самолете разрешается только парашютирование и срыв в штопор до 1/2 витка при полной разгрузке задней кабины (453).</w:t>
      </w:r>
    </w:p>
    <w:p w14:paraId="5B2AEBC1" w14:textId="77777777" w:rsidR="00090C9B" w:rsidRPr="00722885" w:rsidRDefault="00090C9B" w:rsidP="00722885">
      <w:pPr>
        <w:pStyle w:val="Iauiue"/>
        <w:jc w:val="both"/>
        <w:rPr>
          <w:color w:val="000000" w:themeColor="text1"/>
          <w:sz w:val="16"/>
          <w:szCs w:val="16"/>
        </w:rPr>
      </w:pPr>
    </w:p>
    <w:p w14:paraId="18A3316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ноября 1942 вышел приказ НКАП N 842с:</w:t>
      </w:r>
    </w:p>
    <w:p w14:paraId="47AAA0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Обязать ГК С.В.И. спроектировать на самолет Ил-2 новое боепитание пушки ВЯ под бронебойный снаряд 14.5 мм</w:t>
      </w:r>
    </w:p>
    <w:p w14:paraId="77E95E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Чертежи д.б. готовы к 25 ноября 1942</w:t>
      </w:r>
    </w:p>
    <w:p w14:paraId="4ED396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Обязать директора завода 18 Белянского выпустить два самолета Ил-2 к 15 декабря 1942 с новым боепитанием пушки ВЯ под бронебойный снаряд калибра 14.5 мм (1599,8).</w:t>
      </w:r>
    </w:p>
    <w:p w14:paraId="262F4D4E" w14:textId="77777777" w:rsidR="00090C9B" w:rsidRPr="00722885" w:rsidRDefault="00090C9B" w:rsidP="00722885">
      <w:pPr>
        <w:pStyle w:val="Iauiue"/>
        <w:jc w:val="both"/>
        <w:rPr>
          <w:color w:val="000000" w:themeColor="text1"/>
          <w:sz w:val="16"/>
          <w:szCs w:val="16"/>
        </w:rPr>
      </w:pPr>
    </w:p>
    <w:p w14:paraId="6FF69B8B"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ноября 1942 г.</w:t>
      </w:r>
    </w:p>
    <w:p w14:paraId="62BA0760"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 приказа Наркома авиационной промышленности СССР о внесении изменений в конструкцию самолета Ил-2</w:t>
      </w:r>
    </w:p>
    <w:p w14:paraId="15B9CCAA"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ноября 1942 г.</w:t>
      </w:r>
    </w:p>
    <w:p w14:paraId="13ED409F"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Секретно</w:t>
      </w:r>
    </w:p>
    <w:p w14:paraId="0FD4C358"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1</w:t>
      </w:r>
    </w:p>
    <w:p w14:paraId="7056C78E"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Обязать главного конструктора тов. Ильюшина спроектировать на самолет Ил-2 новое боепитание пушки Волкова и Ярцева под бронебойный снаряд калибром 14,5 мм.</w:t>
      </w:r>
    </w:p>
    <w:p w14:paraId="4C328274"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Чертежи должны быть готовы к 25.XI.1942 года.</w:t>
      </w:r>
    </w:p>
    <w:p w14:paraId="48C37D53"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Народный Комиссар авиационной промышленности</w:t>
      </w:r>
      <w:r w:rsidRPr="00722885">
        <w:rPr>
          <w:rFonts w:ascii="Times New Roman" w:hAnsi="Times New Roman"/>
          <w:color w:val="0070C0"/>
          <w:sz w:val="16"/>
          <w:szCs w:val="16"/>
        </w:rPr>
        <w:tab/>
        <w:t>А. Шахурин</w:t>
      </w:r>
    </w:p>
    <w:p w14:paraId="0EABA32F"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ГАСО</w:t>
      </w:r>
      <w:r w:rsidRPr="00722885">
        <w:rPr>
          <w:rFonts w:ascii="Times New Roman" w:hAnsi="Times New Roman"/>
          <w:color w:val="0070C0"/>
          <w:sz w:val="16"/>
          <w:szCs w:val="16"/>
          <w:lang w:val="en-US"/>
        </w:rPr>
        <w:t xml:space="preserve">. </w:t>
      </w:r>
      <w:r w:rsidRPr="00722885">
        <w:rPr>
          <w:rFonts w:ascii="Times New Roman" w:hAnsi="Times New Roman"/>
          <w:color w:val="0070C0"/>
          <w:sz w:val="16"/>
          <w:szCs w:val="16"/>
        </w:rPr>
        <w:t>Ф</w:t>
      </w:r>
      <w:r w:rsidRPr="00722885">
        <w:rPr>
          <w:rFonts w:ascii="Times New Roman" w:hAnsi="Times New Roman"/>
          <w:color w:val="0070C0"/>
          <w:sz w:val="16"/>
          <w:szCs w:val="16"/>
          <w:lang w:val="en-US"/>
        </w:rPr>
        <w:t xml:space="preserve">. P-3454. On. 2. </w:t>
      </w:r>
      <w:r w:rsidRPr="00722885">
        <w:rPr>
          <w:rFonts w:ascii="Times New Roman" w:hAnsi="Times New Roman"/>
          <w:color w:val="0070C0"/>
          <w:sz w:val="16"/>
          <w:szCs w:val="16"/>
        </w:rPr>
        <w:t>Д</w:t>
      </w:r>
      <w:r w:rsidRPr="00722885">
        <w:rPr>
          <w:rFonts w:ascii="Times New Roman" w:hAnsi="Times New Roman"/>
          <w:color w:val="0070C0"/>
          <w:sz w:val="16"/>
          <w:szCs w:val="16"/>
          <w:lang w:val="en-US"/>
        </w:rPr>
        <w:t xml:space="preserve">. 6. </w:t>
      </w:r>
      <w:r w:rsidRPr="00722885">
        <w:rPr>
          <w:rFonts w:ascii="Times New Roman" w:hAnsi="Times New Roman"/>
          <w:color w:val="0070C0"/>
          <w:sz w:val="16"/>
          <w:szCs w:val="16"/>
        </w:rPr>
        <w:t>Л</w:t>
      </w:r>
      <w:r w:rsidRPr="00722885">
        <w:rPr>
          <w:rFonts w:ascii="Times New Roman" w:hAnsi="Times New Roman"/>
          <w:color w:val="0070C0"/>
          <w:sz w:val="16"/>
          <w:szCs w:val="16"/>
          <w:lang w:val="en-US"/>
        </w:rPr>
        <w:t xml:space="preserve">. 89. </w:t>
      </w:r>
      <w:r w:rsidRPr="00722885">
        <w:rPr>
          <w:rFonts w:ascii="Times New Roman" w:hAnsi="Times New Roman"/>
          <w:color w:val="0070C0"/>
          <w:sz w:val="16"/>
          <w:szCs w:val="16"/>
        </w:rPr>
        <w:t>Завер. Копия (20528).</w:t>
      </w:r>
    </w:p>
    <w:p w14:paraId="69A0073B" w14:textId="77777777" w:rsidR="00546E6F" w:rsidRPr="00722885" w:rsidRDefault="00546E6F" w:rsidP="00722885">
      <w:pPr>
        <w:spacing w:after="0" w:line="240" w:lineRule="auto"/>
        <w:jc w:val="both"/>
        <w:rPr>
          <w:rFonts w:ascii="Times New Roman" w:hAnsi="Times New Roman"/>
          <w:color w:val="0070C0"/>
          <w:sz w:val="16"/>
          <w:szCs w:val="16"/>
        </w:rPr>
      </w:pPr>
    </w:p>
    <w:p w14:paraId="7FB57D1A" w14:textId="77777777" w:rsidR="008D2293" w:rsidRPr="00722885" w:rsidRDefault="008D2293" w:rsidP="00722885">
      <w:pPr>
        <w:pStyle w:val="ae"/>
        <w:shd w:val="clear" w:color="auto" w:fill="FFFFFF"/>
        <w:spacing w:before="0" w:after="0"/>
        <w:jc w:val="both"/>
        <w:rPr>
          <w:color w:val="000000" w:themeColor="text1"/>
          <w:sz w:val="16"/>
          <w:szCs w:val="16"/>
        </w:rPr>
      </w:pPr>
      <w:r w:rsidRPr="00722885">
        <w:rPr>
          <w:color w:val="000000" w:themeColor="text1"/>
          <w:sz w:val="16"/>
          <w:szCs w:val="16"/>
        </w:rPr>
        <w:t>17 ноября 1942 вышел приказ НКАП</w:t>
      </w:r>
    </w:p>
    <w:p w14:paraId="708D517E" w14:textId="77777777" w:rsidR="008D2293" w:rsidRPr="00722885" w:rsidRDefault="008D2293" w:rsidP="00722885">
      <w:pPr>
        <w:pStyle w:val="ae"/>
        <w:shd w:val="clear" w:color="auto" w:fill="FFFFFF"/>
        <w:spacing w:before="0" w:after="0"/>
        <w:jc w:val="both"/>
        <w:rPr>
          <w:color w:val="000000" w:themeColor="text1"/>
          <w:sz w:val="16"/>
          <w:szCs w:val="16"/>
        </w:rPr>
      </w:pPr>
      <w:r w:rsidRPr="00722885">
        <w:rPr>
          <w:color w:val="000000" w:themeColor="text1"/>
          <w:sz w:val="16"/>
          <w:szCs w:val="16"/>
        </w:rPr>
        <w:t>О разработке и выпуске к 15.12.42 двух опытных Ил-2 с новым боепитанием ВЯ под бронебойный снаряд 14,5 мм (19706).</w:t>
      </w:r>
    </w:p>
    <w:p w14:paraId="787C4322" w14:textId="77777777" w:rsidR="008D2293" w:rsidRPr="00722885" w:rsidRDefault="008D2293" w:rsidP="00722885">
      <w:pPr>
        <w:spacing w:after="0" w:line="240" w:lineRule="auto"/>
        <w:jc w:val="both"/>
        <w:rPr>
          <w:rFonts w:ascii="Times New Roman" w:hAnsi="Times New Roman"/>
          <w:color w:val="000000" w:themeColor="text1"/>
          <w:sz w:val="16"/>
          <w:szCs w:val="16"/>
        </w:rPr>
      </w:pPr>
    </w:p>
    <w:p w14:paraId="52287300" w14:textId="77777777" w:rsidR="00825940" w:rsidRPr="00722885" w:rsidRDefault="0082594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17 ноября 1942 Приказом НКАП Ильюшину пору</w:t>
      </w:r>
      <w:r w:rsidRPr="00722885">
        <w:rPr>
          <w:color w:val="000000" w:themeColor="text1"/>
          <w:sz w:val="16"/>
          <w:szCs w:val="16"/>
        </w:rPr>
        <w:softHyphen/>
        <w:t>чалось к 25 ноября «спроектировать на самолет Ил-2 новое боепитание пушки-пулемета Волкова— Ярцева под бронеснаряд калибром 14,5 мм», а ди</w:t>
      </w:r>
      <w:r w:rsidRPr="00722885">
        <w:rPr>
          <w:color w:val="000000" w:themeColor="text1"/>
          <w:sz w:val="16"/>
          <w:szCs w:val="16"/>
        </w:rPr>
        <w:softHyphen/>
        <w:t>ректору завода № 18 Белянскому — «выпустить 2 самолета Ил-2 к 15.12.1942 г. с новым боепитани</w:t>
      </w:r>
      <w:r w:rsidRPr="00722885">
        <w:rPr>
          <w:color w:val="000000" w:themeColor="text1"/>
          <w:sz w:val="16"/>
          <w:szCs w:val="16"/>
        </w:rPr>
        <w:softHyphen/>
        <w:t>ем». Известно, что один такой самолет был постро</w:t>
      </w:r>
      <w:r w:rsidRPr="00722885">
        <w:rPr>
          <w:color w:val="000000" w:themeColor="text1"/>
          <w:sz w:val="16"/>
          <w:szCs w:val="16"/>
        </w:rPr>
        <w:softHyphen/>
        <w:t>ен и испытывался.</w:t>
      </w:r>
    </w:p>
    <w:p w14:paraId="74D0A661" w14:textId="77777777" w:rsidR="00825940" w:rsidRPr="00722885" w:rsidRDefault="0082594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Основные трудности при испытаниях ВЯ-14,5 сводились к следующему. При начальной скорости пули 1197—1217 м/с и среднем темпе стрельбы 693 выстр./мин отмечались неудовлетворительная работа автоматики и газового регулятора (который «не обеспечивал темп стрельбы в пределах темпа стрельбы штатной пушки»), а также быстрый разгар газовых отверстий регулятора и затрудненная экс</w:t>
      </w:r>
      <w:r w:rsidRPr="00722885">
        <w:rPr>
          <w:color w:val="000000" w:themeColor="text1"/>
          <w:sz w:val="16"/>
          <w:szCs w:val="16"/>
        </w:rPr>
        <w:softHyphen/>
        <w:t>тракция гильз.</w:t>
      </w:r>
    </w:p>
    <w:p w14:paraId="038BE036" w14:textId="77777777" w:rsidR="00825940" w:rsidRPr="00722885" w:rsidRDefault="0082594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Живучесть пулемета ограничивалась полом</w:t>
      </w:r>
      <w:r w:rsidRPr="00722885">
        <w:rPr>
          <w:color w:val="000000" w:themeColor="text1"/>
          <w:sz w:val="16"/>
          <w:szCs w:val="16"/>
        </w:rPr>
        <w:softHyphen/>
        <w:t>кой затыльника и рычага разрядки уже после 780 выстрелов. При стрельбе очередями после 500—700 выстрелов начинал разрушаться слой хрома. После 1200—1300 выстрелов разгар ствола достигал величины 151 мм, поля нарезов сильно оплавлялись и покрывались раковинами. При этом слой хрома полностью разрушался. Как следствие, отмечался «демонтаж пуль на траектории». Рабо</w:t>
      </w:r>
      <w:r w:rsidRPr="00722885">
        <w:rPr>
          <w:color w:val="000000" w:themeColor="text1"/>
          <w:sz w:val="16"/>
          <w:szCs w:val="16"/>
        </w:rPr>
        <w:softHyphen/>
        <w:t>та пушки при газовом отверстии 1,6 мм оказалась совершенно ненадежной. Из-за быстрого разгара газового отверстия увеличивалась его площадь, увеличивался темп стрельбы. После 839 выстрелов была установлена полная непригодность газового регулятора (17500).</w:t>
      </w:r>
    </w:p>
    <w:p w14:paraId="28252C98" w14:textId="77777777" w:rsidR="00825940" w:rsidRPr="00722885" w:rsidRDefault="00825940" w:rsidP="00722885">
      <w:pPr>
        <w:spacing w:after="0" w:line="240" w:lineRule="auto"/>
        <w:jc w:val="both"/>
        <w:rPr>
          <w:rFonts w:ascii="Times New Roman" w:hAnsi="Times New Roman"/>
          <w:color w:val="000000" w:themeColor="text1"/>
          <w:sz w:val="16"/>
          <w:szCs w:val="16"/>
        </w:rPr>
      </w:pPr>
    </w:p>
    <w:p w14:paraId="352C86C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ноября 1942 года был подготовлен:</w:t>
      </w:r>
    </w:p>
    <w:p w14:paraId="083C60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Перечень основных работ по перевооружению и переоборудованию серийного самолета Пе-8 в течение военного периода.</w:t>
      </w:r>
    </w:p>
    <w:p w14:paraId="0F5017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Установка тяжелого стрелкового вооружения взамен пулеметов Шкас.</w:t>
      </w:r>
    </w:p>
    <w:p w14:paraId="0E93F8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Бронирование членов экипажа.</w:t>
      </w:r>
    </w:p>
    <w:p w14:paraId="5DB7B4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Усиление конструкции самолета и переделки шасси под усиленные колеса в связи с увеличением полетного веса с 33 т до 36 т.</w:t>
      </w:r>
    </w:p>
    <w:p w14:paraId="6B8EC0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Установка дополнительных бензобаков для увеличения дальности до 4000 км с моторами Ам-35 при 2 т бомб.</w:t>
      </w:r>
    </w:p>
    <w:p w14:paraId="5E82A0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Переделка аэронавигационного, фото и радиооборудования по требованиям АДД.</w:t>
      </w:r>
    </w:p>
    <w:p w14:paraId="546112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Модификация самолета Пе-8 под моторы М-30, М-40 и М-82.</w:t>
      </w:r>
    </w:p>
    <w:p w14:paraId="2B0E98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Изменение штурманской кабины и носовой стрелковой точки с целью улучшения условий работы штурмана.</w:t>
      </w:r>
    </w:p>
    <w:p w14:paraId="6A0CB3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Разработана и внедрена в серию система термического антиобледенителя под моторы АМ-35А.</w:t>
      </w:r>
    </w:p>
    <w:p w14:paraId="045AB0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9. Введена подвеска 2-х бомб по 2 т внутри фюзеляжа.</w:t>
      </w:r>
    </w:p>
    <w:p w14:paraId="26251C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 Внедрена в серию система заполнения бензобаков нейтральными газами (2504,55).</w:t>
      </w:r>
    </w:p>
    <w:p w14:paraId="78BB2556" w14:textId="77777777" w:rsidR="00090C9B" w:rsidRPr="00722885" w:rsidRDefault="00090C9B" w:rsidP="00722885">
      <w:pPr>
        <w:pStyle w:val="Iauiue"/>
        <w:jc w:val="both"/>
        <w:rPr>
          <w:color w:val="000000" w:themeColor="text1"/>
          <w:sz w:val="16"/>
          <w:szCs w:val="16"/>
        </w:rPr>
      </w:pPr>
    </w:p>
    <w:p w14:paraId="3E9448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17 ноября 1942 по 20 января 1943 л П.Я.Федрови и ви В.Г.Григорьев проводили заводские испытания Як-9 М-106-1ск (65,113).</w:t>
      </w:r>
    </w:p>
    <w:p w14:paraId="599B40A1" w14:textId="77777777" w:rsidR="00090C9B" w:rsidRPr="00722885" w:rsidRDefault="00090C9B" w:rsidP="00722885">
      <w:pPr>
        <w:pStyle w:val="Iauiue"/>
        <w:jc w:val="both"/>
        <w:rPr>
          <w:color w:val="000000" w:themeColor="text1"/>
          <w:sz w:val="16"/>
          <w:szCs w:val="16"/>
        </w:rPr>
      </w:pPr>
    </w:p>
    <w:p w14:paraId="340B3A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17 ноября 1942 г. по 20 января 1943 г. летчик П.Я. Федрови проходили заводские испытания Як-9 с мотором М-106-1СК и ВИШ-61П (зав. № 2391, завода N°115).</w:t>
      </w:r>
    </w:p>
    <w:p w14:paraId="2DCC5A0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октябре 1942 года в ходе госиспытаний Як-9 с мотором М-106-1СК и ВИШ-61П (зав. № 2391, завода N°115) обнаружился выброс масла в полете при 2700 оборотах двигателя в минуту (заправка масла - 40 литров).</w:t>
      </w:r>
    </w:p>
    <w:p w14:paraId="13A7C6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1942 года серийный истребитель Як-7 (заводской № 23-01) переделали на заводе № 115 в Москве в вариант Як-9 с двигателем М-106-ICK, как дублер опытного истребителя Як-7ДИ с М-105ПФ. Як-7 до этого находился в эксплуатации и прошел серию испытаний, в процессе которых на нем выполнили свыше 1000 фигур высшего пилотажа и 500 посадок.</w:t>
      </w:r>
    </w:p>
    <w:p w14:paraId="267F4F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Замена силовой установки на более мощную потребовала новых водо- и маслорадиаторов. Тогда же облагородили внешние формы самолета, улучшив его аэродинамические характеристики - в частности, костыльное колесо стало полностью убирающимся, понизили гаргрот и придали фонарю кабины пилота более обтекаемую форму. Одновременно на нем установили переднее и заднее бронестекла, а на выхлопные коллекторы мотора надели обтекатели. Улучшили герметизацию фюзеляжа и устранили щель между стабилизатором и рулем высоты. Вместо штурвального управления шагом воздушного винта применили более удобное - рычажное. На самолете установили радиополукомпас РГЖ-10. Были и другие мелкие доработки, но способствовавшие повышению боевых возможностей истребителя. </w:t>
      </w:r>
    </w:p>
    <w:p w14:paraId="7D1790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Спустя неделю, в НИИ ВВС начались государственные испытания Як-9М-106-1ск. Ведущими на этом этапе были инженер А.Т. Степанец и летчик В.И. Хомяков.</w:t>
      </w:r>
    </w:p>
    <w:p w14:paraId="0C14E7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через суфлер. Выявленные дефекты двигателя делали невозможной эксплуатацию машины в строевых частях.</w:t>
      </w:r>
    </w:p>
    <w:p w14:paraId="1908BA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"Акте по результатам государственных испытаний..." ведущий летчик Хомяков отметил:</w:t>
      </w:r>
    </w:p>
    <w:p w14:paraId="7EEE6F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1C28A2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5DFFCC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3953038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высотах от 3000 до 4500 м самолеты Як-9 и Me-109G-2 имеют практически одинаковую маневренность в вертикальной плоскости.</w:t>
      </w:r>
    </w:p>
    <w:p w14:paraId="40BB7B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7381C5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5475F6F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итоге НИИ ВВС рекомендовал НКАП к 1 апреля 1943 года довести винто-мотор- ную группу Як-9 до состояния нормальной эксплуатации. Но это пожелание так и не реализовали, и Як-9М-106-1ск остался в единственном экземпляре (12046).</w:t>
      </w:r>
    </w:p>
    <w:p w14:paraId="4C90FED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18D10A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C 17 ноября по 13 декабря 1942 на Северно-западном фронте в 42 иап 240 иад 6 ВА производились гос. испытания Як-7Б М-105ПФ с улучшенным обзором за счет срезанного гаргрота (65,91).</w:t>
      </w:r>
    </w:p>
    <w:p w14:paraId="4BC60B93" w14:textId="77777777" w:rsidR="00090C9B" w:rsidRPr="00722885" w:rsidRDefault="00090C9B" w:rsidP="00722885">
      <w:pPr>
        <w:pStyle w:val="Iauiue"/>
        <w:jc w:val="both"/>
        <w:rPr>
          <w:color w:val="000000" w:themeColor="text1"/>
          <w:sz w:val="16"/>
          <w:szCs w:val="16"/>
        </w:rPr>
      </w:pPr>
    </w:p>
    <w:p w14:paraId="07B6E5F1" w14:textId="77777777" w:rsidR="00AD7EFE" w:rsidRPr="00722885" w:rsidRDefault="00AD7EF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С 17 ноября по 13 декабря 1942 г. в 42-м иап испытывались самолеты Як-7б и Як-7-37 с улучшенным обзором назад (со срезанным гаргротом фюзеляжа и каплевидным фонарем кабины летчика). Отчет по их испытаниям утвердил глав</w:t>
      </w:r>
      <w:r w:rsidRPr="00722885">
        <w:rPr>
          <w:color w:val="000000" w:themeColor="text1"/>
          <w:sz w:val="16"/>
          <w:szCs w:val="16"/>
        </w:rPr>
        <w:softHyphen/>
        <w:t>ный инженер ВВС генерал А. К. Репин 28 декабря 1942 г.</w:t>
      </w:r>
    </w:p>
    <w:p w14:paraId="0E9FF25F" w14:textId="77777777" w:rsidR="00AD7EFE" w:rsidRPr="00722885" w:rsidRDefault="00AD7EF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Опыт 42-го иап по боевому применению «истре</w:t>
      </w:r>
      <w:r w:rsidRPr="00722885">
        <w:rPr>
          <w:color w:val="000000" w:themeColor="text1"/>
          <w:sz w:val="16"/>
          <w:szCs w:val="16"/>
        </w:rPr>
        <w:softHyphen/>
        <w:t>бителей Як-7б М-105Пф с пушкой 37 мм ОКБ-15 и пулеметом УБС» в январе 1943 г. изучался в НИИ</w:t>
      </w:r>
    </w:p>
    <w:p w14:paraId="2921D33F" w14:textId="77777777" w:rsidR="00AD7EFE" w:rsidRPr="00722885" w:rsidRDefault="00AD7EF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ВВС КА. Ответственными исполнителями были ка</w:t>
      </w:r>
      <w:r w:rsidRPr="00722885">
        <w:rPr>
          <w:color w:val="000000" w:themeColor="text1"/>
          <w:sz w:val="16"/>
          <w:szCs w:val="16"/>
        </w:rPr>
        <w:softHyphen/>
        <w:t>питан А. С. Никитин и командир полка подполков</w:t>
      </w:r>
      <w:r w:rsidRPr="00722885">
        <w:rPr>
          <w:color w:val="000000" w:themeColor="text1"/>
          <w:sz w:val="16"/>
          <w:szCs w:val="16"/>
        </w:rPr>
        <w:softHyphen/>
        <w:t>ник Ф. И. Шинкаренко. Отчет был утвержден на</w:t>
      </w:r>
      <w:r w:rsidRPr="00722885">
        <w:rPr>
          <w:color w:val="000000" w:themeColor="text1"/>
          <w:sz w:val="16"/>
          <w:szCs w:val="16"/>
        </w:rPr>
        <w:softHyphen/>
        <w:t>чальником института генерал-майором П. А. Лосюковым 21 января.</w:t>
      </w:r>
    </w:p>
    <w:p w14:paraId="11B1DC39" w14:textId="77777777" w:rsidR="00AD7EFE" w:rsidRPr="00722885" w:rsidRDefault="00AD7EF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все полеты на Як-7-37 выполнялись только над своей террито</w:t>
      </w:r>
      <w:r w:rsidRPr="00722885">
        <w:rPr>
          <w:color w:val="000000" w:themeColor="text1"/>
          <w:sz w:val="16"/>
          <w:szCs w:val="16"/>
        </w:rPr>
        <w:softHyphen/>
        <w:t>рией. Перелет линии фронта категорически запре</w:t>
      </w:r>
      <w:r w:rsidRPr="00722885">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6F5A435B" w14:textId="77777777" w:rsidR="00AD7EFE" w:rsidRPr="00722885" w:rsidRDefault="00AD7EF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Як-7-37 было проведено 12 групповых воз</w:t>
      </w:r>
      <w:r w:rsidRPr="00722885">
        <w:rPr>
          <w:color w:val="000000" w:themeColor="text1"/>
          <w:sz w:val="16"/>
          <w:szCs w:val="16"/>
        </w:rPr>
        <w:softHyphen/>
        <w:t>душных боев при примерно равном соотношении сил, в которых было сбито десять самолетов про</w:t>
      </w:r>
      <w:r w:rsidRPr="00722885">
        <w:rPr>
          <w:color w:val="000000" w:themeColor="text1"/>
          <w:sz w:val="16"/>
          <w:szCs w:val="16"/>
        </w:rPr>
        <w:softHyphen/>
        <w:t xml:space="preserve">тивника (восемь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xml:space="preserve">, </w:t>
      </w:r>
      <w:r w:rsidRPr="00722885">
        <w:rPr>
          <w:color w:val="000000" w:themeColor="text1"/>
          <w:sz w:val="16"/>
          <w:szCs w:val="16"/>
          <w:lang w:val="en-US"/>
        </w:rPr>
        <w:t>Fw</w:t>
      </w:r>
      <w:r w:rsidRPr="00722885">
        <w:rPr>
          <w:color w:val="000000" w:themeColor="text1"/>
          <w:sz w:val="16"/>
          <w:szCs w:val="16"/>
        </w:rPr>
        <w:t xml:space="preserve">189, </w:t>
      </w:r>
      <w:r w:rsidRPr="00722885">
        <w:rPr>
          <w:color w:val="000000" w:themeColor="text1"/>
          <w:sz w:val="16"/>
          <w:szCs w:val="16"/>
          <w:lang w:val="en-US"/>
        </w:rPr>
        <w:t>Hs</w:t>
      </w:r>
      <w:r w:rsidRPr="00722885">
        <w:rPr>
          <w:color w:val="000000" w:themeColor="text1"/>
          <w:sz w:val="16"/>
          <w:szCs w:val="16"/>
        </w:rPr>
        <w:t>126). Свои потери составили пять летчиков.</w:t>
      </w:r>
    </w:p>
    <w:p w14:paraId="74D6F34A" w14:textId="77777777" w:rsidR="00AD7EFE" w:rsidRPr="00722885" w:rsidRDefault="00AD7EF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общему мнению летчиков полка, Як-7-37 «по сравнению с другими типами истребителей, кроме Як-1, является лучшим самолетом, который позво</w:t>
      </w:r>
      <w:r w:rsidRPr="00722885">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722885">
        <w:rPr>
          <w:color w:val="000000" w:themeColor="text1"/>
          <w:sz w:val="16"/>
          <w:szCs w:val="16"/>
        </w:rPr>
        <w:softHyphen/>
        <w:t>ми «желательно повысить скорость полета самоле</w:t>
      </w:r>
      <w:r w:rsidRPr="00722885">
        <w:rPr>
          <w:color w:val="000000" w:themeColor="text1"/>
          <w:sz w:val="16"/>
          <w:szCs w:val="16"/>
        </w:rPr>
        <w:softHyphen/>
        <w:t>та на 40—50 км/ч».</w:t>
      </w:r>
    </w:p>
    <w:p w14:paraId="75405A30" w14:textId="77777777" w:rsidR="00AD7EFE" w:rsidRPr="00722885" w:rsidRDefault="00AD7EF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пушка Ш-37 показала себя с наи</w:t>
      </w:r>
      <w:r w:rsidRPr="00722885">
        <w:rPr>
          <w:color w:val="000000" w:themeColor="text1"/>
          <w:sz w:val="16"/>
          <w:szCs w:val="16"/>
        </w:rPr>
        <w:softHyphen/>
        <w:t>лучшей стороны, работала почти без отказов и ока</w:t>
      </w:r>
      <w:r w:rsidRPr="00722885">
        <w:rPr>
          <w:color w:val="000000" w:themeColor="text1"/>
          <w:sz w:val="16"/>
          <w:szCs w:val="16"/>
        </w:rPr>
        <w:softHyphen/>
        <w:t>залась простой в эксплуатации. Вследствие силь</w:t>
      </w:r>
      <w:r w:rsidRPr="00722885">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40D0CA77" w14:textId="77777777" w:rsidR="00AD7EFE" w:rsidRPr="00722885" w:rsidRDefault="00AD7EF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722885">
        <w:rPr>
          <w:color w:val="000000" w:themeColor="text1"/>
          <w:sz w:val="16"/>
          <w:szCs w:val="16"/>
        </w:rPr>
        <w:softHyphen/>
        <w:t>совую серию уже пошел истребитель Як-9 М-105ПФ с лучшими летно-боевыми данными. По этим причи</w:t>
      </w:r>
      <w:r w:rsidRPr="00722885">
        <w:rPr>
          <w:color w:val="000000" w:themeColor="text1"/>
          <w:sz w:val="16"/>
          <w:szCs w:val="16"/>
        </w:rPr>
        <w:softHyphen/>
        <w:t>нам все дальнейшие работы по увеличению мощно</w:t>
      </w:r>
      <w:r w:rsidRPr="00722885">
        <w:rPr>
          <w:color w:val="000000" w:themeColor="text1"/>
          <w:sz w:val="16"/>
          <w:szCs w:val="16"/>
        </w:rPr>
        <w:softHyphen/>
        <w:t>сти огня проводились именно на «девятке» (17500).</w:t>
      </w:r>
    </w:p>
    <w:p w14:paraId="24F407C8" w14:textId="77777777" w:rsidR="00AD7EFE" w:rsidRPr="00722885" w:rsidRDefault="00AD7EFE" w:rsidP="00722885">
      <w:pPr>
        <w:pStyle w:val="12a"/>
        <w:shd w:val="clear" w:color="auto" w:fill="auto"/>
        <w:spacing w:after="0" w:line="240" w:lineRule="auto"/>
        <w:jc w:val="both"/>
        <w:rPr>
          <w:color w:val="000000" w:themeColor="text1"/>
          <w:sz w:val="16"/>
          <w:szCs w:val="16"/>
        </w:rPr>
      </w:pPr>
    </w:p>
    <w:p w14:paraId="40DB413F" w14:textId="77777777" w:rsidR="001166A2" w:rsidRPr="00722885" w:rsidRDefault="001166A2" w:rsidP="00722885">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722885">
        <w:rPr>
          <w:rFonts w:ascii="Times New Roman" w:cs="Times New Roman"/>
          <w:color w:val="000000" w:themeColor="text1"/>
          <w:spacing w:val="0"/>
          <w:sz w:val="16"/>
          <w:szCs w:val="16"/>
        </w:rPr>
        <w:t>17 ноя</w:t>
      </w:r>
      <w:r w:rsidRPr="00722885">
        <w:rPr>
          <w:rFonts w:ascii="Times New Roman" w:cs="Times New Roman"/>
          <w:color w:val="000000" w:themeColor="text1"/>
          <w:spacing w:val="0"/>
          <w:sz w:val="16"/>
          <w:szCs w:val="16"/>
        </w:rPr>
        <w:softHyphen/>
        <w:t>бря 1942 в НИИ ВВС КА</w:t>
      </w:r>
      <w:r w:rsidRPr="00722885">
        <w:rPr>
          <w:rStyle w:val="aff6"/>
          <w:rFonts w:ascii="Times New Roman" w:eastAsia="Arial Narrow" w:hAnsi="Times New Roman" w:cs="Times New Roman"/>
          <w:i w:val="0"/>
          <w:color w:val="000000" w:themeColor="text1"/>
          <w:spacing w:val="0"/>
        </w:rPr>
        <w:t xml:space="preserve"> был </w:t>
      </w:r>
      <w:r w:rsidRPr="00722885">
        <w:rPr>
          <w:rFonts w:ascii="Times New Roman" w:cs="Times New Roman"/>
          <w:color w:val="000000" w:themeColor="text1"/>
          <w:spacing w:val="0"/>
          <w:sz w:val="16"/>
          <w:szCs w:val="16"/>
        </w:rPr>
        <w:t xml:space="preserve">предъявлен </w:t>
      </w:r>
      <w:r w:rsidRPr="00722885">
        <w:rPr>
          <w:rStyle w:val="aff6"/>
          <w:rFonts w:ascii="Times New Roman" w:eastAsia="Arial Narrow" w:hAnsi="Times New Roman" w:cs="Times New Roman"/>
          <w:i w:val="0"/>
          <w:color w:val="000000" w:themeColor="text1"/>
          <w:spacing w:val="0"/>
        </w:rPr>
        <w:t>«комплектде</w:t>
      </w:r>
      <w:r w:rsidRPr="00722885">
        <w:rPr>
          <w:rStyle w:val="aff6"/>
          <w:rFonts w:ascii="Times New Roman" w:eastAsia="Arial Narrow" w:hAnsi="Times New Roman" w:cs="Times New Roman"/>
          <w:i w:val="0"/>
          <w:color w:val="000000" w:themeColor="text1"/>
          <w:spacing w:val="0"/>
        </w:rPr>
        <w:softHyphen/>
        <w:t>талей усиления существующей бронезащиты летчика самолета Як-1», разработанный</w:t>
      </w:r>
      <w:r w:rsidRPr="00722885">
        <w:rPr>
          <w:rFonts w:ascii="Times New Roman" w:cs="Times New Roman"/>
          <w:color w:val="000000" w:themeColor="text1"/>
          <w:spacing w:val="0"/>
          <w:sz w:val="16"/>
          <w:szCs w:val="16"/>
        </w:rPr>
        <w:t xml:space="preserve"> совмест</w:t>
      </w:r>
      <w:r w:rsidRPr="00722885">
        <w:rPr>
          <w:rFonts w:ascii="Times New Roman" w:cs="Times New Roman"/>
          <w:color w:val="000000" w:themeColor="text1"/>
          <w:spacing w:val="0"/>
          <w:sz w:val="16"/>
          <w:szCs w:val="16"/>
        </w:rPr>
        <w:softHyphen/>
        <w:t>ными усилиями ЦНИИ-48, ВВА им. Н.Е. Жуков</w:t>
      </w:r>
      <w:r w:rsidRPr="00722885">
        <w:rPr>
          <w:rFonts w:ascii="Times New Roman" w:cs="Times New Roman"/>
          <w:color w:val="000000" w:themeColor="text1"/>
          <w:spacing w:val="0"/>
          <w:sz w:val="16"/>
          <w:szCs w:val="16"/>
        </w:rPr>
        <w:softHyphen/>
        <w:t>ского и завода № 289</w:t>
      </w:r>
      <w:r w:rsidRPr="00722885">
        <w:rPr>
          <w:rStyle w:val="aff6"/>
          <w:rFonts w:ascii="Times New Roman" w:eastAsia="Arial Narrow" w:hAnsi="Times New Roman" w:cs="Times New Roman"/>
          <w:i w:val="0"/>
          <w:color w:val="000000" w:themeColor="text1"/>
          <w:spacing w:val="0"/>
        </w:rPr>
        <w:t>.</w:t>
      </w:r>
    </w:p>
    <w:p w14:paraId="3662F391" w14:textId="77777777" w:rsidR="001166A2" w:rsidRPr="00722885" w:rsidRDefault="001166A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Непосредственно в самолете на бронеспинке смонтировали:</w:t>
      </w:r>
    </w:p>
    <w:p w14:paraId="0D26C7D0" w14:textId="77777777" w:rsidR="001166A2" w:rsidRPr="00722885" w:rsidRDefault="001166A2"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«1) наголовник, крепящийся с помощью петель и болтов к противокапотажной раме;</w:t>
      </w:r>
    </w:p>
    <w:p w14:paraId="23CC2AA4" w14:textId="77777777" w:rsidR="001166A2" w:rsidRPr="00722885" w:rsidRDefault="001166A2"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2) детали защиты плеч и рук (правой и ле</w:t>
      </w:r>
      <w:r w:rsidRPr="00722885">
        <w:rPr>
          <w:rFonts w:ascii="Times New Roman" w:cs="Times New Roman"/>
          <w:color w:val="000000" w:themeColor="text1"/>
          <w:sz w:val="16"/>
          <w:szCs w:val="16"/>
        </w:rPr>
        <w:softHyphen/>
        <w:t>вой), крепящиеся болтами к спинке через име</w:t>
      </w:r>
      <w:r w:rsidRPr="00722885">
        <w:rPr>
          <w:rFonts w:ascii="Times New Roman" w:cs="Times New Roman"/>
          <w:color w:val="000000" w:themeColor="text1"/>
          <w:sz w:val="16"/>
          <w:szCs w:val="16"/>
        </w:rPr>
        <w:softHyphen/>
        <w:t>ющиеся на спинке отверстия для крепления подушки».</w:t>
      </w:r>
    </w:p>
    <w:p w14:paraId="6A8C9245" w14:textId="77777777" w:rsidR="001166A2" w:rsidRPr="00722885" w:rsidRDefault="001166A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отличие от серийного варианта, предло</w:t>
      </w:r>
      <w:r w:rsidRPr="00722885">
        <w:rPr>
          <w:rFonts w:ascii="Times New Roman" w:cs="Times New Roman"/>
          <w:color w:val="000000" w:themeColor="text1"/>
          <w:spacing w:val="0"/>
          <w:sz w:val="16"/>
          <w:szCs w:val="16"/>
        </w:rPr>
        <w:softHyphen/>
        <w:t>женная схема расположения брони гаранти</w:t>
      </w:r>
      <w:r w:rsidRPr="00722885">
        <w:rPr>
          <w:rFonts w:ascii="Times New Roman" w:cs="Times New Roman"/>
          <w:color w:val="000000" w:themeColor="text1"/>
          <w:spacing w:val="0"/>
          <w:sz w:val="16"/>
          <w:szCs w:val="16"/>
        </w:rPr>
        <w:softHyphen/>
        <w:t>ровала защиту головы, плеч, обеих рук. Угло</w:t>
      </w:r>
      <w:r w:rsidRPr="00722885">
        <w:rPr>
          <w:rFonts w:ascii="Times New Roman" w:cs="Times New Roman"/>
          <w:color w:val="000000" w:themeColor="text1"/>
          <w:spacing w:val="0"/>
          <w:sz w:val="16"/>
          <w:szCs w:val="16"/>
        </w:rPr>
        <w:softHyphen/>
        <w:t>вая защита составляла:</w:t>
      </w:r>
      <w:r w:rsidRPr="00722885">
        <w:rPr>
          <w:rStyle w:val="aff6"/>
          <w:rFonts w:ascii="Times New Roman" w:eastAsia="Arial Narrow" w:hAnsi="Times New Roman" w:cs="Times New Roman"/>
          <w:i w:val="0"/>
          <w:color w:val="000000" w:themeColor="text1"/>
          <w:spacing w:val="0"/>
        </w:rPr>
        <w:t xml:space="preserve"> «При обстреле сверху сзади угол защиты головы 30'; при обстреле сбоку сзади угол защиты плеч и рук - 30°; при обстреле сбоку сзади угол защиты нижней ча</w:t>
      </w:r>
      <w:r w:rsidRPr="00722885">
        <w:rPr>
          <w:rStyle w:val="aff6"/>
          <w:rFonts w:ascii="Times New Roman" w:eastAsia="Arial Narrow" w:hAnsi="Times New Roman" w:cs="Times New Roman"/>
          <w:i w:val="0"/>
          <w:color w:val="000000" w:themeColor="text1"/>
          <w:spacing w:val="0"/>
        </w:rPr>
        <w:softHyphen/>
        <w:t>сти корпуса - 20°».</w:t>
      </w:r>
      <w:r w:rsidRPr="00722885">
        <w:rPr>
          <w:rFonts w:ascii="Times New Roman" w:cs="Times New Roman"/>
          <w:color w:val="000000" w:themeColor="text1"/>
          <w:spacing w:val="0"/>
          <w:sz w:val="16"/>
          <w:szCs w:val="16"/>
        </w:rPr>
        <w:t xml:space="preserve"> При этом дополнительные детали не мешали использованию в полете не</w:t>
      </w:r>
      <w:r w:rsidRPr="00722885">
        <w:rPr>
          <w:rFonts w:ascii="Times New Roman" w:cs="Times New Roman"/>
          <w:color w:val="000000" w:themeColor="text1"/>
          <w:spacing w:val="0"/>
          <w:sz w:val="16"/>
          <w:szCs w:val="16"/>
        </w:rPr>
        <w:softHyphen/>
        <w:t>обходимого оборудования, а площадь брони</w:t>
      </w:r>
      <w:r w:rsidRPr="00722885">
        <w:rPr>
          <w:rFonts w:ascii="Times New Roman" w:cs="Times New Roman"/>
          <w:color w:val="000000" w:themeColor="text1"/>
          <w:spacing w:val="0"/>
          <w:sz w:val="16"/>
          <w:szCs w:val="16"/>
        </w:rPr>
        <w:softHyphen/>
        <w:t>рования была минимально необходимой, что обеспечило небольшой их вес, равный всего 10,2 кг. Такие детали легко монтировались на самолете при имеющейся бронеспинке и мо</w:t>
      </w:r>
      <w:r w:rsidRPr="00722885">
        <w:rPr>
          <w:rFonts w:ascii="Times New Roman" w:cs="Times New Roman"/>
          <w:color w:val="000000" w:themeColor="text1"/>
          <w:spacing w:val="0"/>
          <w:sz w:val="16"/>
          <w:szCs w:val="16"/>
        </w:rPr>
        <w:softHyphen/>
        <w:t>гли быть установлены любой частью ВВС в по</w:t>
      </w:r>
      <w:r w:rsidRPr="00722885">
        <w:rPr>
          <w:rFonts w:ascii="Times New Roman" w:cs="Times New Roman"/>
          <w:color w:val="000000" w:themeColor="text1"/>
          <w:spacing w:val="0"/>
          <w:sz w:val="16"/>
          <w:szCs w:val="16"/>
        </w:rPr>
        <w:softHyphen/>
        <w:t>левых условиях.</w:t>
      </w:r>
    </w:p>
    <w:p w14:paraId="2DD43FDA" w14:textId="77777777" w:rsidR="001166A2" w:rsidRPr="00722885" w:rsidRDefault="001166A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Комиссия рекомендовала внедрить допол</w:t>
      </w:r>
      <w:r w:rsidRPr="00722885">
        <w:rPr>
          <w:rFonts w:ascii="Times New Roman" w:cs="Times New Roman"/>
          <w:color w:val="000000" w:themeColor="text1"/>
          <w:spacing w:val="0"/>
          <w:sz w:val="16"/>
          <w:szCs w:val="16"/>
        </w:rPr>
        <w:softHyphen/>
        <w:t>нительные детали к серийному изготовлению и установить их на находящиеся в эксплуатации самолеты Як-1 со стандартной бронеспинкой, а также изготовить опытные комплекты допол</w:t>
      </w:r>
      <w:r w:rsidRPr="00722885">
        <w:rPr>
          <w:rFonts w:ascii="Times New Roman" w:cs="Times New Roman"/>
          <w:color w:val="000000" w:themeColor="text1"/>
          <w:spacing w:val="0"/>
          <w:sz w:val="16"/>
          <w:szCs w:val="16"/>
        </w:rPr>
        <w:softHyphen/>
        <w:t>нительных деталей усиления бронезащиты на Як-7 и ЛаГГ-3.</w:t>
      </w:r>
    </w:p>
    <w:p w14:paraId="42A25F6B" w14:textId="77777777" w:rsidR="001166A2" w:rsidRPr="00722885" w:rsidRDefault="001166A2" w:rsidP="00722885">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722885">
        <w:rPr>
          <w:rFonts w:ascii="Times New Roman" w:cs="Times New Roman"/>
          <w:color w:val="000000" w:themeColor="text1"/>
          <w:spacing w:val="0"/>
          <w:sz w:val="16"/>
          <w:szCs w:val="16"/>
        </w:rPr>
        <w:t>Имея на руках положительное заключе</w:t>
      </w:r>
      <w:r w:rsidRPr="00722885">
        <w:rPr>
          <w:rFonts w:ascii="Times New Roman" w:cs="Times New Roman"/>
          <w:color w:val="000000" w:themeColor="text1"/>
          <w:spacing w:val="0"/>
          <w:sz w:val="16"/>
          <w:szCs w:val="16"/>
        </w:rPr>
        <w:softHyphen/>
        <w:t>ние комиссии, исполняющий обязанности директора ЦНИИ-48 военинженер 1-го ранга Н.П. Гречко 20 ноября обратился к генерал- лейтенанту А.К. Репину с предложением изго</w:t>
      </w:r>
      <w:r w:rsidRPr="00722885">
        <w:rPr>
          <w:rFonts w:ascii="Times New Roman" w:cs="Times New Roman"/>
          <w:color w:val="000000" w:themeColor="text1"/>
          <w:spacing w:val="0"/>
          <w:sz w:val="16"/>
          <w:szCs w:val="16"/>
        </w:rPr>
        <w:softHyphen/>
        <w:t>товить на заводе №125 НКАП опытную партию (100 комплектов) дополнительных деталей брони самолета Як-1 для проведения войско</w:t>
      </w:r>
      <w:r w:rsidRPr="00722885">
        <w:rPr>
          <w:rFonts w:ascii="Times New Roman" w:cs="Times New Roman"/>
          <w:color w:val="000000" w:themeColor="text1"/>
          <w:spacing w:val="0"/>
          <w:sz w:val="16"/>
          <w:szCs w:val="16"/>
        </w:rPr>
        <w:softHyphen/>
        <w:t>вых испытаний. Предполагалось, что испы</w:t>
      </w:r>
      <w:r w:rsidRPr="00722885">
        <w:rPr>
          <w:rFonts w:ascii="Times New Roman" w:cs="Times New Roman"/>
          <w:color w:val="000000" w:themeColor="text1"/>
          <w:spacing w:val="0"/>
          <w:sz w:val="16"/>
          <w:szCs w:val="16"/>
        </w:rPr>
        <w:softHyphen/>
        <w:t>тания позволят</w:t>
      </w:r>
      <w:r w:rsidRPr="00722885">
        <w:rPr>
          <w:rStyle w:val="aff6"/>
          <w:rFonts w:ascii="Times New Roman" w:eastAsia="Arial Narrow" w:hAnsi="Times New Roman" w:cs="Times New Roman"/>
          <w:i w:val="0"/>
          <w:color w:val="000000" w:themeColor="text1"/>
          <w:spacing w:val="0"/>
        </w:rPr>
        <w:t xml:space="preserve"> «разрешить вопрос о доста</w:t>
      </w:r>
      <w:r w:rsidRPr="00722885">
        <w:rPr>
          <w:rStyle w:val="aff6"/>
          <w:rFonts w:ascii="Times New Roman" w:eastAsia="Arial Narrow" w:hAnsi="Times New Roman" w:cs="Times New Roman"/>
          <w:i w:val="0"/>
          <w:color w:val="000000" w:themeColor="text1"/>
          <w:spacing w:val="0"/>
        </w:rPr>
        <w:softHyphen/>
        <w:t>точности бронирования»,</w:t>
      </w:r>
      <w:r w:rsidRPr="00722885">
        <w:rPr>
          <w:rFonts w:ascii="Times New Roman" w:cs="Times New Roman"/>
          <w:color w:val="000000" w:themeColor="text1"/>
          <w:spacing w:val="0"/>
          <w:sz w:val="16"/>
          <w:szCs w:val="16"/>
        </w:rPr>
        <w:t xml:space="preserve"> поскольку</w:t>
      </w:r>
      <w:r w:rsidRPr="00722885">
        <w:rPr>
          <w:rStyle w:val="aff6"/>
          <w:rFonts w:ascii="Times New Roman" w:eastAsia="Arial Narrow" w:hAnsi="Times New Roman" w:cs="Times New Roman"/>
          <w:i w:val="0"/>
          <w:color w:val="000000" w:themeColor="text1"/>
          <w:spacing w:val="0"/>
        </w:rPr>
        <w:t xml:space="preserve"> «вопрос с объемом бронирования на одноместных истребителях весьма сложен, так как необхо</w:t>
      </w:r>
      <w:r w:rsidRPr="00722885">
        <w:rPr>
          <w:rStyle w:val="aff6"/>
          <w:rFonts w:ascii="Times New Roman" w:eastAsia="Arial Narrow" w:hAnsi="Times New Roman" w:cs="Times New Roman"/>
          <w:i w:val="0"/>
          <w:color w:val="000000" w:themeColor="text1"/>
          <w:spacing w:val="0"/>
        </w:rPr>
        <w:softHyphen/>
        <w:t>димо при достаточно полном объеме защиты обеспечить одновременно хороший обзор и уложиться в минимальный вес».</w:t>
      </w:r>
    </w:p>
    <w:p w14:paraId="6A3361D0" w14:textId="77777777" w:rsidR="001166A2" w:rsidRPr="00722885" w:rsidRDefault="001166A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Несколько позже с предложенной допол</w:t>
      </w:r>
      <w:r w:rsidRPr="00722885">
        <w:rPr>
          <w:rFonts w:ascii="Times New Roman" w:cs="Times New Roman"/>
          <w:color w:val="000000" w:themeColor="text1"/>
          <w:spacing w:val="0"/>
          <w:sz w:val="16"/>
          <w:szCs w:val="16"/>
        </w:rPr>
        <w:softHyphen/>
        <w:t>нительной броней самолета Як-1 ознакомил</w:t>
      </w:r>
      <w:r w:rsidRPr="00722885">
        <w:rPr>
          <w:rFonts w:ascii="Times New Roman" w:cs="Times New Roman"/>
          <w:color w:val="000000" w:themeColor="text1"/>
          <w:spacing w:val="0"/>
          <w:sz w:val="16"/>
          <w:szCs w:val="16"/>
        </w:rPr>
        <w:softHyphen/>
        <w:t>ся летчик-испытатель НИИ ВВС подполковник К.А. Груздев. В докладной на имя генерала Ре</w:t>
      </w:r>
      <w:r w:rsidRPr="00722885">
        <w:rPr>
          <w:rFonts w:ascii="Times New Roman" w:cs="Times New Roman"/>
          <w:color w:val="000000" w:themeColor="text1"/>
          <w:spacing w:val="0"/>
          <w:sz w:val="16"/>
          <w:szCs w:val="16"/>
        </w:rPr>
        <w:softHyphen/>
        <w:t>пина от 30 ноября он указывал:</w:t>
      </w:r>
      <w:r w:rsidRPr="00722885">
        <w:rPr>
          <w:rStyle w:val="46"/>
          <w:rFonts w:ascii="Times New Roman" w:eastAsia="Trebuchet MS" w:cs="Times New Roman"/>
          <w:color w:val="000000" w:themeColor="text1"/>
          <w:spacing w:val="0"/>
          <w:sz w:val="16"/>
          <w:szCs w:val="16"/>
        </w:rPr>
        <w:t xml:space="preserve"> «На основании личного опыта воздушных боев на истребите</w:t>
      </w:r>
      <w:r w:rsidRPr="00722885">
        <w:rPr>
          <w:rStyle w:val="46"/>
          <w:rFonts w:ascii="Times New Roman" w:eastAsia="Trebuchet MS" w:cs="Times New Roman"/>
          <w:color w:val="000000" w:themeColor="text1"/>
          <w:spacing w:val="0"/>
          <w:sz w:val="16"/>
          <w:szCs w:val="16"/>
        </w:rPr>
        <w:softHyphen/>
        <w:t>лях, в том числе и на Як-1, с самолетами про</w:t>
      </w:r>
      <w:r w:rsidRPr="00722885">
        <w:rPr>
          <w:rStyle w:val="46"/>
          <w:rFonts w:ascii="Times New Roman" w:eastAsia="Trebuchet MS" w:cs="Times New Roman"/>
          <w:color w:val="000000" w:themeColor="text1"/>
          <w:spacing w:val="0"/>
          <w:sz w:val="16"/>
          <w:szCs w:val="16"/>
        </w:rPr>
        <w:softHyphen/>
        <w:t>тивника Ме-109, Ме-110, Ю-88, Ю-87, Хе-113, Хш-126идр., считаю бронезащиту рациональ</w:t>
      </w:r>
      <w:r w:rsidRPr="00722885">
        <w:rPr>
          <w:rStyle w:val="46"/>
          <w:rFonts w:ascii="Times New Roman" w:eastAsia="Trebuchet MS" w:cs="Times New Roman"/>
          <w:color w:val="000000" w:themeColor="text1"/>
          <w:spacing w:val="0"/>
          <w:sz w:val="16"/>
          <w:szCs w:val="16"/>
        </w:rPr>
        <w:softHyphen/>
        <w:t>ной, хорошо дополняющей объем существую</w:t>
      </w:r>
      <w:r w:rsidRPr="00722885">
        <w:rPr>
          <w:rStyle w:val="46"/>
          <w:rFonts w:ascii="Times New Roman" w:eastAsia="Trebuchet MS" w:cs="Times New Roman"/>
          <w:color w:val="000000" w:themeColor="text1"/>
          <w:spacing w:val="0"/>
          <w:sz w:val="16"/>
          <w:szCs w:val="16"/>
        </w:rPr>
        <w:softHyphen/>
        <w:t>щего бронирования на истребителях. Считаю необходимым немедленно внедрить в серий</w:t>
      </w:r>
      <w:r w:rsidRPr="00722885">
        <w:rPr>
          <w:rStyle w:val="46"/>
          <w:rFonts w:ascii="Times New Roman" w:eastAsia="Trebuchet MS" w:cs="Times New Roman"/>
          <w:color w:val="000000" w:themeColor="text1"/>
          <w:spacing w:val="0"/>
          <w:sz w:val="16"/>
          <w:szCs w:val="16"/>
        </w:rPr>
        <w:softHyphen/>
        <w:t>ное производство».</w:t>
      </w:r>
    </w:p>
    <w:p w14:paraId="503C4F83" w14:textId="77777777" w:rsidR="001166A2" w:rsidRPr="00722885" w:rsidRDefault="001166A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Однако вопрос о внедрении в серию до</w:t>
      </w:r>
      <w:r w:rsidRPr="00722885">
        <w:rPr>
          <w:rFonts w:ascii="Times New Roman" w:cs="Times New Roman"/>
          <w:color w:val="000000" w:themeColor="text1"/>
          <w:spacing w:val="0"/>
          <w:sz w:val="16"/>
          <w:szCs w:val="16"/>
        </w:rPr>
        <w:softHyphen/>
        <w:t>полнительной брони летчика на Як-1, как, впрочем, и усиленных схем бронирования на других серийных самолетах ВВС КА, не был решен Наркоматом авиапромышленности ни в 1942 г., ни в 1943 г. По этому поводу замести</w:t>
      </w:r>
      <w:r w:rsidRPr="00722885">
        <w:rPr>
          <w:rFonts w:ascii="Times New Roman" w:cs="Times New Roman"/>
          <w:color w:val="000000" w:themeColor="text1"/>
          <w:spacing w:val="0"/>
          <w:sz w:val="16"/>
          <w:szCs w:val="16"/>
        </w:rPr>
        <w:softHyphen/>
        <w:t>тель командующего ВВС КА генерал-полков</w:t>
      </w:r>
      <w:r w:rsidRPr="00722885">
        <w:rPr>
          <w:rFonts w:ascii="Times New Roman" w:cs="Times New Roman"/>
          <w:color w:val="000000" w:themeColor="text1"/>
          <w:spacing w:val="0"/>
          <w:sz w:val="16"/>
          <w:szCs w:val="16"/>
        </w:rPr>
        <w:softHyphen/>
        <w:t>ник А.К. Репин дважды обращался к наркому авиапромышленности А.И. Шахурину (15778).</w:t>
      </w:r>
    </w:p>
    <w:p w14:paraId="34C34475" w14:textId="77777777" w:rsidR="001166A2" w:rsidRPr="00722885" w:rsidRDefault="001166A2" w:rsidP="00722885">
      <w:pPr>
        <w:pStyle w:val="45"/>
        <w:shd w:val="clear" w:color="auto" w:fill="auto"/>
        <w:spacing w:before="0" w:line="240" w:lineRule="auto"/>
        <w:jc w:val="both"/>
        <w:rPr>
          <w:rStyle w:val="4f0"/>
          <w:rFonts w:ascii="Times New Roman" w:hAnsi="Times New Roman" w:cs="Times New Roman"/>
          <w:i w:val="0"/>
          <w:color w:val="000000" w:themeColor="text1"/>
          <w:sz w:val="16"/>
          <w:szCs w:val="16"/>
        </w:rPr>
      </w:pPr>
    </w:p>
    <w:p w14:paraId="42261D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ноября 1942 Нач. 7 ГУ Шишкин писал А.И.Ш. НКАП докладную записку с ходатайством о присвоении Незвалю квалификации (звания) ГК 2-й степени с окладом 3000 в связи с большой работой, проделанной и требуемой по Пе-8 (2504,54).</w:t>
      </w:r>
    </w:p>
    <w:p w14:paraId="4B4AD318" w14:textId="77777777" w:rsidR="00090C9B" w:rsidRPr="00722885" w:rsidRDefault="00090C9B" w:rsidP="00722885">
      <w:pPr>
        <w:pStyle w:val="Iauiue"/>
        <w:jc w:val="both"/>
        <w:rPr>
          <w:color w:val="000000" w:themeColor="text1"/>
          <w:sz w:val="16"/>
          <w:szCs w:val="16"/>
        </w:rPr>
      </w:pPr>
    </w:p>
    <w:p w14:paraId="10912F5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CD2CEFD" w14:textId="77777777" w:rsidR="00090C9B" w:rsidRPr="00722885" w:rsidRDefault="00090C9B" w:rsidP="00722885">
      <w:pPr>
        <w:pStyle w:val="Iauiue"/>
        <w:jc w:val="both"/>
        <w:rPr>
          <w:iCs/>
          <w:color w:val="000000" w:themeColor="text1"/>
          <w:sz w:val="16"/>
          <w:szCs w:val="16"/>
        </w:rPr>
      </w:pPr>
    </w:p>
    <w:p w14:paraId="2E5B8F5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17 ноября 1942 года вышел приказ № 599с НКВ</w:t>
      </w:r>
    </w:p>
    <w:p w14:paraId="09969E6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постановлением ГОКО № 2477сс от 5 ноября 1942 года</w:t>
      </w:r>
    </w:p>
    <w:p w14:paraId="724785D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Организовать в составе НКВ Центральное артиллерийское КБ (ЦАКБ), сосредоточив в нем разработку по заданиям Правительства, НКО (ГАУ КА), Наркомата военно-морского флота и НКВ новых образцов всех видов артиллерийского вооружения КА (начальник и гл. конструктор Грабин) (6429, 215).</w:t>
      </w:r>
    </w:p>
    <w:p w14:paraId="3CE5B02B" w14:textId="77777777" w:rsidR="00090C9B" w:rsidRPr="00722885" w:rsidRDefault="00090C9B" w:rsidP="00722885">
      <w:pPr>
        <w:pStyle w:val="Iauiue"/>
        <w:tabs>
          <w:tab w:val="left" w:pos="11199"/>
        </w:tabs>
        <w:jc w:val="both"/>
        <w:rPr>
          <w:color w:val="000000" w:themeColor="text1"/>
          <w:sz w:val="16"/>
          <w:szCs w:val="16"/>
        </w:rPr>
      </w:pPr>
    </w:p>
    <w:p w14:paraId="52A4243B" w14:textId="77777777" w:rsidR="00A50962" w:rsidRPr="00722885" w:rsidRDefault="00A50962"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17 ноября 1942 некомплектные танки Т-60 на Уралмаше осмотрела комиссия, которая составила акт. Согласно ему, на 10 танках отсутствовали прицелы ТМФП, на 16 танках обнаружилась ржавчина на стволах, 21 машина была без фар и так далее. Таким образом, вместо оснащения траками боль</w:t>
      </w:r>
      <w:r w:rsidRPr="00722885">
        <w:rPr>
          <w:rFonts w:eastAsia="Calibri"/>
          <w:color w:val="000000" w:themeColor="text1"/>
          <w:sz w:val="16"/>
          <w:szCs w:val="16"/>
        </w:rPr>
        <w:softHyphen/>
        <w:t>шая часть Т-60 требовала ремонта и доукомплектования. В течение декабря шла работа по комплектации оставшихся танков, но она периодически тормозилась по разным причинам. В декабре удалось доукомплектовать и отправить в войска 25 танков, еще 11 в январе 1943 года, последние 44 Т-60 закончили в феврале. Ряд источников указывает на то, что выпуск Т-60 в Свердловске продолжался до на</w:t>
      </w:r>
      <w:r w:rsidRPr="00722885">
        <w:rPr>
          <w:rFonts w:eastAsia="Calibri"/>
          <w:color w:val="000000" w:themeColor="text1"/>
          <w:sz w:val="16"/>
          <w:szCs w:val="16"/>
        </w:rPr>
        <w:softHyphen/>
        <w:t>чала 1943 года, однако в реальности серийное производство закон</w:t>
      </w:r>
      <w:r w:rsidRPr="00722885">
        <w:rPr>
          <w:rFonts w:eastAsia="Calibri"/>
          <w:color w:val="000000" w:themeColor="text1"/>
          <w:sz w:val="16"/>
          <w:szCs w:val="16"/>
        </w:rPr>
        <w:softHyphen/>
        <w:t>чилось 5 июля 1942 года. Всего же завод № 37 построил 1033 танка, по воле поставщиков став последним предприятием, закончившим сдачу Т-60 в войска.</w:t>
      </w:r>
    </w:p>
    <w:p w14:paraId="7E0ED7A0" w14:textId="77777777" w:rsidR="00A50962" w:rsidRPr="00722885" w:rsidRDefault="00A50962" w:rsidP="00722885">
      <w:pPr>
        <w:pStyle w:val="72"/>
        <w:shd w:val="clear" w:color="auto" w:fill="auto"/>
        <w:spacing w:line="240" w:lineRule="auto"/>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Суммарно, включая опытный образец «060», изготовленный за</w:t>
      </w:r>
      <w:r w:rsidRPr="00722885">
        <w:rPr>
          <w:rFonts w:ascii="Times New Roman" w:cs="Times New Roman"/>
          <w:color w:val="000000" w:themeColor="text1"/>
          <w:spacing w:val="0"/>
          <w:sz w:val="16"/>
          <w:szCs w:val="16"/>
        </w:rPr>
        <w:softHyphen/>
        <w:t>водом № 37 в августе 1941 года, было выпущено 5662 Т-60. Данная цифра, впрочем, включает в себя не только танки, но и шасси, кото</w:t>
      </w:r>
      <w:r w:rsidRPr="00722885">
        <w:rPr>
          <w:rFonts w:ascii="Times New Roman" w:cs="Times New Roman"/>
          <w:color w:val="000000" w:themeColor="text1"/>
          <w:spacing w:val="0"/>
          <w:sz w:val="16"/>
          <w:szCs w:val="16"/>
        </w:rPr>
        <w:softHyphen/>
        <w:t>рые шли для изготовления самоходных систем, достойных отдельного описания (17485).</w:t>
      </w:r>
    </w:p>
    <w:p w14:paraId="1A73206B" w14:textId="77777777" w:rsidR="00A50962" w:rsidRPr="00722885" w:rsidRDefault="00A50962" w:rsidP="00722885">
      <w:pPr>
        <w:pStyle w:val="72"/>
        <w:shd w:val="clear" w:color="auto" w:fill="auto"/>
        <w:spacing w:line="240" w:lineRule="auto"/>
        <w:rPr>
          <w:rFonts w:ascii="Times New Roman" w:cs="Times New Roman"/>
          <w:color w:val="000000" w:themeColor="text1"/>
          <w:spacing w:val="0"/>
          <w:sz w:val="16"/>
          <w:szCs w:val="16"/>
        </w:rPr>
      </w:pPr>
    </w:p>
    <w:p w14:paraId="4DAF76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ноября 1942 года Д. Устинову переадресовал жалобу директора завода № 592 Панкратова по поводу нехватки немецких трофейных танков начальнику ГАБТУ КА Федоренко:</w:t>
      </w:r>
    </w:p>
    <w:p w14:paraId="5F5367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решения ГКО № 2429сс от 19 ноября 1942 года ГАБТУ КА должен поставить заводу № 592 на программу ноября месяца 30 штук „Артштурм“ и Т-3.</w:t>
      </w:r>
    </w:p>
    <w:p w14:paraId="1DB70E2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ноябрьскую программу завод № 592 ни одной машины не получил, что привело к невыполнению постановления ГКО о сдаче 10 машин к 15 ноября.</w:t>
      </w:r>
    </w:p>
    <w:p w14:paraId="12A657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Последующая задача в ноябре также под угрозой срыва из-за непоставки Вами машин „Артштурм“ и Т-3 согласно решения ГКО.</w:t>
      </w:r>
    </w:p>
    <w:p w14:paraId="1267E9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Вас принять самые решительные меры по обеспечению завода № 592 машинами под монтаж, сообщив точных график сроков поставки» (12688).</w:t>
      </w:r>
    </w:p>
    <w:p w14:paraId="376DB73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71A921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17 ноября 1942 вышло Постановление ГКО № 2515 Об увеличении пропускной способности Оренбургской, Ашхабадской, Ташкентской и Туркестано-Сибирской железных дорог. (7063, 77-82).</w:t>
      </w:r>
    </w:p>
    <w:p w14:paraId="21629542" w14:textId="77777777" w:rsidR="00090C9B" w:rsidRPr="00722885" w:rsidRDefault="00090C9B" w:rsidP="00722885">
      <w:pPr>
        <w:pStyle w:val="Iauiue"/>
        <w:tabs>
          <w:tab w:val="left" w:pos="11199"/>
        </w:tabs>
        <w:jc w:val="both"/>
        <w:rPr>
          <w:color w:val="000000" w:themeColor="text1"/>
          <w:sz w:val="16"/>
          <w:szCs w:val="16"/>
        </w:rPr>
      </w:pPr>
    </w:p>
    <w:p w14:paraId="5E04BA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ноября 1942 вышло Постановление ГКО № 2516 О производстве синтетического толуола на заводе № 510 Наркомхимпрома. РГАНИР, Фонд ГКО, д. 69, лл. 83-87, 88-89 (11012).</w:t>
      </w:r>
    </w:p>
    <w:p w14:paraId="768107A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F10407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D857C6E" w14:textId="77777777" w:rsidR="00090C9B" w:rsidRPr="00722885" w:rsidRDefault="00090C9B" w:rsidP="00722885">
      <w:pPr>
        <w:pStyle w:val="Iauiue"/>
        <w:jc w:val="both"/>
        <w:rPr>
          <w:iCs/>
          <w:color w:val="000000" w:themeColor="text1"/>
          <w:sz w:val="16"/>
          <w:szCs w:val="16"/>
        </w:rPr>
      </w:pPr>
    </w:p>
    <w:p w14:paraId="45035D14" w14:textId="77777777" w:rsidR="001166A2" w:rsidRPr="00722885" w:rsidRDefault="001166A2"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17 ноября 1942 4-й гвардейский танковый полк прорыва, сформирован на базе 215-й танковой бри</w:t>
      </w:r>
      <w:r w:rsidRPr="00722885">
        <w:rPr>
          <w:rFonts w:ascii="Times New Roman" w:cs="Times New Roman"/>
          <w:color w:val="000000" w:themeColor="text1"/>
          <w:spacing w:val="0"/>
        </w:rPr>
        <w:softHyphen/>
        <w:t>гады, который 26 октября 1942 года убыл на Юго- Западный фронт, где поступил в состав 21-й армии, получил боевую задачу - под</w:t>
      </w:r>
      <w:r w:rsidRPr="00722885">
        <w:rPr>
          <w:rFonts w:ascii="Times New Roman" w:cs="Times New Roman"/>
          <w:color w:val="000000" w:themeColor="text1"/>
          <w:spacing w:val="0"/>
        </w:rPr>
        <w:softHyphen/>
        <w:t>держать атаку 76-й стрелковой дивизии. Ко</w:t>
      </w:r>
      <w:r w:rsidRPr="00722885">
        <w:rPr>
          <w:rFonts w:ascii="Times New Roman" w:cs="Times New Roman"/>
          <w:color w:val="000000" w:themeColor="text1"/>
          <w:spacing w:val="0"/>
        </w:rPr>
        <w:softHyphen/>
        <w:t>мандир полка с командирами рот прове</w:t>
      </w:r>
      <w:r w:rsidRPr="00722885">
        <w:rPr>
          <w:rFonts w:ascii="Times New Roman" w:cs="Times New Roman"/>
          <w:color w:val="000000" w:themeColor="text1"/>
          <w:spacing w:val="0"/>
        </w:rPr>
        <w:softHyphen/>
        <w:t>ли необходимую рекогносцировку и увязали действия со своей пехотой (15226).</w:t>
      </w:r>
    </w:p>
    <w:p w14:paraId="2D16AF4B" w14:textId="77777777" w:rsidR="001166A2" w:rsidRPr="00722885" w:rsidRDefault="001166A2" w:rsidP="00722885">
      <w:pPr>
        <w:pStyle w:val="27"/>
        <w:shd w:val="clear" w:color="auto" w:fill="auto"/>
        <w:spacing w:after="0" w:line="240" w:lineRule="auto"/>
        <w:ind w:firstLine="0"/>
        <w:rPr>
          <w:rFonts w:ascii="Times New Roman" w:cs="Times New Roman"/>
          <w:color w:val="000000" w:themeColor="text1"/>
          <w:spacing w:val="0"/>
        </w:rPr>
      </w:pPr>
    </w:p>
    <w:p w14:paraId="5A4FA0B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17 ноября </w:t>
      </w:r>
      <w:r w:rsidRPr="00722885">
        <w:rPr>
          <w:rFonts w:ascii="Times New Roman" w:hAnsi="Times New Roman"/>
          <w:color w:val="000000" w:themeColor="text1"/>
          <w:sz w:val="16"/>
          <w:szCs w:val="16"/>
        </w:rPr>
        <w:t>в 1942 году утреннее сообщение Совинформбюро:</w:t>
      </w:r>
    </w:p>
    <w:p w14:paraId="3BD58FD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17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0AFBA1D1"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Сталинграда наши войска отбивали атаки мелких групп противника. В южной части города бойцы Н-ской части вели активные действия. На поле боя подобрано более 100 винтовок противника и другие трофеи. Орудийные расчёты сержантов Иванцова и Кратаря, ведя огонь прямой наводкой, уничтожили до роты немецкой пехоты. На другом участке огнём наших артиллеристов рассеяно до батальона пехоты противника.</w:t>
      </w:r>
    </w:p>
    <w:p w14:paraId="727B94A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артиллеристы и миномётчики под командованием тов. Полуектова разрушили 4 немецких блиндажа, подавили огонь двух миномётных батарей и рассеяли три взвода вражеской пехоты. Н-ское подразделение предприняло разведку боем. Разведчики ворвались в расположение противника, взорвали 2 дзота, уничтожили до 50 гитлеровцев и, захватив 2 станковых пулемёта и 3 миномёта, вернулись в свою часть.</w:t>
      </w:r>
    </w:p>
    <w:p w14:paraId="0A03DB8A"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вели активные боевые действия. На одномучастке группа наших танков вклинилась в оборону противника. Экипаж танка под командованием старшего лейтенанта Паршина раздавил гусеницами 3 противотанковых орудия и 4 немецких автомашины. Танк старшего лейтенанта Терещенко истребил до взвода пехоты и уничтожил несколько пулемётных точек противника. Немцы пытались ликвидировать прорыв и спешно бросили 12 танков. В завязавшемся бою наши танкисты подбили 4 танка противника.</w:t>
      </w:r>
    </w:p>
    <w:p w14:paraId="5109E837"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численно превосходящие силы немцев атаковали высоту,которую обороняло Н-ское подразделение. Советские бойцы пулемётным огнём внесли расстройство в ряды противника, а затем перешли в контратаку. Гитлеровцы отступили, оставив на поле боя 160 трупов.</w:t>
      </w:r>
    </w:p>
    <w:p w14:paraId="041E70D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разведывательная группа Н-ской части проникла в тыл противника и разгромила немецкий гарнизон в одном из населённых пунктов. Уничтожены 90 немцев, 6 пулемётов и автоматическая пушка. Взяты пленные.</w:t>
      </w:r>
    </w:p>
    <w:p w14:paraId="1EDB4F9B"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Огнём зенитной артиллерии сбито 2 самолёта противника.</w:t>
      </w:r>
    </w:p>
    <w:p w14:paraId="5E89B7F0"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белорусских партизан пустил под откос два железнодорожных эшелона противника. Уничтожено 2 паровоза и 26 вагонов. При крушениях убито 110 немецких солдат и офицеров. Другой отряд белорусских партизан совершил несколько нападений на мелкие гарнизоны противника и истребил 85 гитлеровцев.</w:t>
      </w:r>
    </w:p>
    <w:p w14:paraId="646248BA"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сообщают, команда одной немецкой подводной лодки отказалась выйти в море. Весь экипаж подводной лодки был арестован и заключён в концентрационный лагерь «Эстервеген» в Эмсланде, в районе Папенбурга. Гестапо проводит в связи с этим чистку среди личного состава флота.» (14833).</w:t>
      </w:r>
    </w:p>
    <w:p w14:paraId="298CFFE8"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2142362F"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17 ноября </w:t>
      </w:r>
      <w:r w:rsidRPr="00722885">
        <w:rPr>
          <w:rFonts w:ascii="Times New Roman" w:hAnsi="Times New Roman"/>
          <w:color w:val="000000" w:themeColor="text1"/>
          <w:sz w:val="16"/>
          <w:szCs w:val="16"/>
        </w:rPr>
        <w:t>в 1942 году вечернее сообщение Совинформбюро:</w:t>
      </w:r>
    </w:p>
    <w:p w14:paraId="042566D2"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17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29E62D2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отбили многочисленные атаки гитлеровцев. В заводской части города на одном участке после двух дневных непрерывных боёв противник потеснил наши подразделения. В течение дня, по неполным данным, немцы потеряли убитыми и ранеными до 1.000 солдат и офицеров. Уничтожено 60 автомашин, 5 орудий, 15 миномётов, 28 пулемётов и разрушено 10 дзотов противника. Старший сержант т. Феобанов огнём из противотанкового ружья сбил немецкий бомбардировщик.</w:t>
      </w:r>
    </w:p>
    <w:p w14:paraId="7E5FFB99"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обороняли свои позиции и вели перестрелку с противником. Бойцы подразделения, которым командует тов. Новиков, ружейно-пулемётным огнём истребили 75 гитлеровцев, строивших проволочные заграждения. Артиллеристы части, где командиром тов. Столбошинский, разрушили 7вражеских дзотов и блиндажей с их гарнизонами, уничтожили 2 станковых пулемёта,миномётную батарею и истребили два взвода немецкой пехоты.</w:t>
      </w:r>
    </w:p>
    <w:p w14:paraId="43441E22"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советские войска вели активные боевые действия. Подразделение под командованием тов. Белого атаковало и выбило немцев из укреплённых позиций в районе одной высоты. Танкисты под командованием тов.Филиппова подбили и сожгли 5 танков противника и истребили до роты немецкой пехоты.</w:t>
      </w:r>
    </w:p>
    <w:p w14:paraId="2744DA71"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Захваченные в плен солдаты 93 немецкого мотополка и 43 мотоциклетного батальона 13 немецкой танковой дивизии сообщили о тяжёлых потерях, которые понесла дивизия в последних боях. Во многих ротах осталось по 10—15 солдат, а все остальные убиты или ранены.</w:t>
      </w:r>
    </w:p>
    <w:p w14:paraId="177CDD9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 участке Н-ского соединения немецкая пехота, поддержанная авиацией, пыталась прорвать линию нашей обороны. В этом бою уничтожено до 400 гитлеровцев.</w:t>
      </w:r>
    </w:p>
    <w:p w14:paraId="2C4DE111"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Волховского фронта два полка вражеской пехоты, стремясь вернуть занятый нашими войсками населённый пункт, атаковали наши позиции. Советские бойцы отбили шесть атак противника и истребили до полка гитлеровцев. К вечеру, подтянув подкрепления, немцы при поддержке сильного артиллерийского и минометного огня вновь перешли в наступление. Противнику удалось ворваться на окраины населённого пункта. Наши подразделения ведут упорные уличные бои.</w:t>
      </w:r>
    </w:p>
    <w:p w14:paraId="42C022A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Партизанские отряды, действующие в захваченных немцами советских районах, с 9 по 12 ноября пустили под откос 34 железнодорожных воинских эшелона противника. Разбито 15 паровозов, 440 вагонов, платформ и цистерн. За это же время партизаны истребили 940 немецких солдат и офицеров и взорвали 7 железнодорожных и шоссейных мостов.</w:t>
      </w:r>
    </w:p>
    <w:p w14:paraId="5FFDC2C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Добровольно перешедший на нашу сторону солдат 396 пехотного полка 216 немецкой пехотной дивизии Иозеф Ф. рассказал: «В городе Витебске на вокзале я видел большой железнодорожный состав, вагоны которого были запломбированы. Из них доносились душераздирающие крики. Часовые, охранявшие эшелон, рассказали мне, что в вагонах находятся русские женщины, которых насильно отправляют вГерманию. При посадке в вагон многие из них были избиты, а 6 женщин расстреляны».</w:t>
      </w:r>
    </w:p>
    <w:p w14:paraId="2525ED90"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Продовольственное положение Румынии непрерывно ухудшается. Румынская газета«Курентул» пишет: «Кукуруза является основным продуктом питания страны. Следовательно, для спокойствия огромного большинства населения нужна кукуруза. Повторяем, вопрос о внутреннем порядке сводится к снабжению кукурузой. Однако у нас был очень неудачный сельскохозяйственный год». Урожай пшеницы и других культур почти целиком забрали немцы. Румынам Гитлер оставил кукурузу, но и её не хватает. Продажная правящая клика Румынии уже сейчас опасается голодных беспорядков. Это беспокойство гитлеровских лакеев находит своё отражение н астраницах многих румынских газет.» (14833).</w:t>
      </w:r>
    </w:p>
    <w:p w14:paraId="3B1779AA"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0EA34C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17 июля по 18 ноября 1942 немцы на Сталинградском направлении потеряли 2100 самолетов (340,100).</w:t>
      </w:r>
    </w:p>
    <w:p w14:paraId="29AC012D" w14:textId="77777777" w:rsidR="00090C9B" w:rsidRPr="00722885" w:rsidRDefault="00090C9B" w:rsidP="00722885">
      <w:pPr>
        <w:pStyle w:val="Iauiue"/>
        <w:jc w:val="both"/>
        <w:rPr>
          <w:color w:val="000000" w:themeColor="text1"/>
          <w:sz w:val="16"/>
          <w:szCs w:val="16"/>
        </w:rPr>
      </w:pPr>
    </w:p>
    <w:p w14:paraId="46B5F2D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17 ноября 1942 вышло Постановление ГКО № 2517 [О передаче импортных грузовиков в Распоряжение ГКО ГАБТУ КА для использования в качестве арттягачей.] (7063, 97).</w:t>
      </w:r>
    </w:p>
    <w:p w14:paraId="4D32E81E" w14:textId="77777777" w:rsidR="00090C9B" w:rsidRPr="00722885" w:rsidRDefault="00090C9B" w:rsidP="00722885">
      <w:pPr>
        <w:pStyle w:val="Iauiue"/>
        <w:tabs>
          <w:tab w:val="left" w:pos="11199"/>
        </w:tabs>
        <w:jc w:val="both"/>
        <w:rPr>
          <w:color w:val="000000" w:themeColor="text1"/>
          <w:sz w:val="16"/>
          <w:szCs w:val="16"/>
        </w:rPr>
      </w:pPr>
    </w:p>
    <w:p w14:paraId="34FFAC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ноября 1942 г. вышел ПРИКАЗ № 376 О СНЯТИИ МЕДАЛЬОНОВ СО СНАБЖЕНИЯ КРАСНОЙ АРМИИ</w:t>
      </w:r>
    </w:p>
    <w:p w14:paraId="4F9ACF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введением по приказу НКО № 330 1941 г. красноармейской книжки, содержащей все необходимые данные о бойце, надобность в дублировании этих сведений в медальоне отпадает.</w:t>
      </w:r>
    </w:p>
    <w:p w14:paraId="010DB6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Приказываю:</w:t>
      </w:r>
    </w:p>
    <w:p w14:paraId="061D18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Медальоны с пергаментными вкладышами со снабжения Красной Армии снять и из табелей исключить.</w:t>
      </w:r>
    </w:p>
    <w:p w14:paraId="253BB526" w14:textId="77777777" w:rsidR="00090C9B" w:rsidRPr="00722885" w:rsidRDefault="00090C9B" w:rsidP="00722885">
      <w:pPr>
        <w:pStyle w:val="Iauiue"/>
        <w:jc w:val="both"/>
        <w:rPr>
          <w:color w:val="000000" w:themeColor="text1"/>
          <w:sz w:val="16"/>
          <w:szCs w:val="16"/>
        </w:rPr>
      </w:pPr>
      <w:r w:rsidRPr="00722885">
        <w:rPr>
          <w:iCs/>
          <w:color w:val="000000" w:themeColor="text1"/>
          <w:sz w:val="16"/>
          <w:szCs w:val="16"/>
        </w:rPr>
        <w:t xml:space="preserve">Заместитель Народного комиссара обороны СССР генерал-лейтенант интендантской службы А. ХРУЛЕВ </w:t>
      </w:r>
      <w:r w:rsidRPr="00722885">
        <w:rPr>
          <w:color w:val="000000" w:themeColor="text1"/>
          <w:sz w:val="16"/>
          <w:szCs w:val="16"/>
        </w:rPr>
        <w:t>(9844).</w:t>
      </w:r>
    </w:p>
    <w:p w14:paraId="7EA13538" w14:textId="77777777" w:rsidR="00090C9B" w:rsidRPr="00722885" w:rsidRDefault="00090C9B" w:rsidP="00722885">
      <w:pPr>
        <w:pStyle w:val="Iauiue"/>
        <w:jc w:val="both"/>
        <w:rPr>
          <w:color w:val="000000" w:themeColor="text1"/>
          <w:sz w:val="16"/>
          <w:szCs w:val="16"/>
        </w:rPr>
      </w:pPr>
    </w:p>
    <w:p w14:paraId="0983B206"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17 ноября </w:t>
      </w:r>
      <w:r w:rsidRPr="00722885">
        <w:rPr>
          <w:rFonts w:ascii="Times New Roman" w:hAnsi="Times New Roman"/>
          <w:color w:val="000000" w:themeColor="text1"/>
          <w:sz w:val="16"/>
          <w:szCs w:val="16"/>
        </w:rPr>
        <w:t>в 1942 году катастрофа «Ли-2», СССР-Л3965, 5-го перегоночного полка Красноярской воздушной трассы в Красноярске. Самолет перевозил летчиков и техников 5-го перегоночного полка на авиабазу Лэдд (Аляска) для перегонки американских самолетов в СССР. На борту также находились 10 гражданских лиц. После взлета в западном направлении самолет выполнил разворот на низкой высоте на 180°. В момент пролета над аэродромом он накренился сначала вправо, затем влево, совершил "клевок" и столкнулся с землей недалеко от другого готовившегося к вылету самолета. После столкновения с землей Ли-2 взорвался. Погибло 4 члена экипажа и 26 пассажиров (14833).</w:t>
      </w:r>
    </w:p>
    <w:p w14:paraId="1C51580A"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77AB3286"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7DBE3609" w14:textId="77777777" w:rsidR="00090C9B" w:rsidRPr="00722885" w:rsidRDefault="00090C9B" w:rsidP="00722885">
      <w:pPr>
        <w:pStyle w:val="Iauiue"/>
        <w:jc w:val="both"/>
        <w:rPr>
          <w:iCs/>
          <w:color w:val="000000" w:themeColor="text1"/>
          <w:sz w:val="16"/>
          <w:szCs w:val="16"/>
          <w:lang w:val="en-US"/>
        </w:rPr>
      </w:pPr>
    </w:p>
    <w:p w14:paraId="052C051D"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17, 1942: In Tunisia, the first clashes occur between the newly landed US and German forces (3819).</w:t>
      </w:r>
    </w:p>
    <w:p w14:paraId="04CCD72C" w14:textId="77777777" w:rsidR="00090C9B" w:rsidRPr="00722885" w:rsidRDefault="00090C9B" w:rsidP="00722885">
      <w:pPr>
        <w:pStyle w:val="Iauiue"/>
        <w:jc w:val="both"/>
        <w:rPr>
          <w:color w:val="000000" w:themeColor="text1"/>
          <w:sz w:val="16"/>
          <w:szCs w:val="16"/>
          <w:lang w:val="en-US"/>
        </w:rPr>
      </w:pPr>
    </w:p>
    <w:p w14:paraId="416757D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 ноября 1942 в Тунисе высадившиеся американские части впервые столкнулись с немецкими (3819).</w:t>
      </w:r>
    </w:p>
    <w:p w14:paraId="34A207C2" w14:textId="77777777" w:rsidR="00090C9B" w:rsidRPr="00722885" w:rsidRDefault="00090C9B" w:rsidP="00722885">
      <w:pPr>
        <w:pStyle w:val="Iauiue"/>
        <w:jc w:val="both"/>
        <w:rPr>
          <w:color w:val="000000" w:themeColor="text1"/>
          <w:sz w:val="16"/>
          <w:szCs w:val="16"/>
        </w:rPr>
      </w:pPr>
    </w:p>
    <w:p w14:paraId="471074D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17 ноября </w:t>
      </w:r>
      <w:r w:rsidRPr="00722885">
        <w:rPr>
          <w:rFonts w:ascii="Times New Roman" w:hAnsi="Times New Roman"/>
          <w:color w:val="000000" w:themeColor="text1"/>
          <w:sz w:val="16"/>
          <w:szCs w:val="16"/>
        </w:rPr>
        <w:t>в 1942 году первое боестолкновение немецких и англо-американских войск в Тунисе немного западнее Бизерты (14833).</w:t>
      </w:r>
    </w:p>
    <w:p w14:paraId="5D5F545D"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2D346215"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17 ноября 1942 жена Чан Кайши уговорила президента США Ф. Рузвельта отменить планируемое вторжение в Бирму (4962).</w:t>
      </w:r>
    </w:p>
    <w:p w14:paraId="4DA3817E" w14:textId="77777777" w:rsidR="00090C9B" w:rsidRPr="00722885" w:rsidRDefault="00090C9B" w:rsidP="00722885">
      <w:pPr>
        <w:pStyle w:val="Iauiue"/>
        <w:tabs>
          <w:tab w:val="left" w:pos="11199"/>
        </w:tabs>
        <w:jc w:val="both"/>
        <w:rPr>
          <w:color w:val="000000" w:themeColor="text1"/>
          <w:sz w:val="16"/>
          <w:szCs w:val="16"/>
        </w:rPr>
      </w:pPr>
    </w:p>
    <w:p w14:paraId="14AB8BA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4194715" w14:textId="77777777" w:rsidR="00090C9B" w:rsidRPr="00722885" w:rsidRDefault="00090C9B" w:rsidP="00722885">
      <w:pPr>
        <w:pStyle w:val="Iauiue"/>
        <w:jc w:val="both"/>
        <w:rPr>
          <w:iCs/>
          <w:color w:val="000000" w:themeColor="text1"/>
          <w:sz w:val="16"/>
          <w:szCs w:val="16"/>
        </w:rPr>
      </w:pPr>
    </w:p>
    <w:p w14:paraId="28C8BA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ноября 1942 вышел акт по контрольным испытаниям самолета Ил-2 с АМ-38 в двухместном варианте, N 8339 завода 18 конструкции С.В.И.:</w:t>
      </w:r>
    </w:p>
    <w:p w14:paraId="3796AB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Экипаж - 2</w:t>
      </w:r>
    </w:p>
    <w:p w14:paraId="2A4187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Взл. мощность - 1600 нр</w:t>
      </w:r>
    </w:p>
    <w:p w14:paraId="2EE653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Ном. мощность на высоте - 1500/1650</w:t>
      </w:r>
    </w:p>
    <w:p w14:paraId="551FA4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Вес пустого - 4500</w:t>
      </w:r>
    </w:p>
    <w:p w14:paraId="3A0449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Полетный (норм./перегр.) - 6060/6198</w:t>
      </w:r>
    </w:p>
    <w:p w14:paraId="5187EC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Пл. крыла - 38.5</w:t>
      </w:r>
    </w:p>
    <w:p w14:paraId="667AE3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Макс. скорость</w:t>
      </w:r>
    </w:p>
    <w:p w14:paraId="1366C4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у земли - 372</w:t>
      </w:r>
    </w:p>
    <w:p w14:paraId="688085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на 2350 - 405</w:t>
      </w:r>
    </w:p>
    <w:p w14:paraId="258119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Посадочная скорость - 136</w:t>
      </w:r>
    </w:p>
    <w:p w14:paraId="64C42E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Время подъема на 4000 0:10.8</w:t>
      </w:r>
    </w:p>
    <w:p w14:paraId="552DB8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Практ. потолок - 6000</w:t>
      </w:r>
    </w:p>
    <w:p w14:paraId="5604C8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Запас горючего - 535</w:t>
      </w:r>
    </w:p>
    <w:p w14:paraId="107C7A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Разбег - 375</w:t>
      </w:r>
    </w:p>
    <w:p w14:paraId="126666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Пробег - 535</w:t>
      </w:r>
    </w:p>
    <w:p w14:paraId="7D77623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 старта до 25 м - 900</w:t>
      </w:r>
    </w:p>
    <w:p w14:paraId="6800B64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Винт - АВ-5Л-158</w:t>
      </w:r>
    </w:p>
    <w:p w14:paraId="7E5D55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Вооружение:</w:t>
      </w:r>
    </w:p>
    <w:p w14:paraId="5DA5E0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вперед - 2ВЯ с 300, 2ШКАС с 1500</w:t>
      </w:r>
    </w:p>
    <w:p w14:paraId="3FA52F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назад - УБТ с 150 на спец. установке</w:t>
      </w:r>
    </w:p>
    <w:p w14:paraId="3F1E57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 норм. - 300</w:t>
      </w:r>
    </w:p>
    <w:p w14:paraId="0A17EE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Бомб в перегруз - 400</w:t>
      </w:r>
    </w:p>
    <w:p w14:paraId="532001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4РС-82 в норме 8РС-82 в перегруз (1785).</w:t>
      </w:r>
    </w:p>
    <w:p w14:paraId="0DF7F93C" w14:textId="77777777" w:rsidR="00090C9B" w:rsidRPr="00722885" w:rsidRDefault="00090C9B" w:rsidP="00722885">
      <w:pPr>
        <w:pStyle w:val="Iauiue"/>
        <w:jc w:val="both"/>
        <w:rPr>
          <w:color w:val="000000" w:themeColor="text1"/>
          <w:sz w:val="16"/>
          <w:szCs w:val="16"/>
        </w:rPr>
      </w:pPr>
    </w:p>
    <w:p w14:paraId="7D2135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ноября 1942 А.И.Ш. писал С.В.И. письмо N Н-37/4548:</w:t>
      </w:r>
    </w:p>
    <w:p w14:paraId="7E0DA2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"Срочно разработайте систему перезарядки пушек ШВАК 20 мм на самолете Ил-2 с использованием имеющейся на пушках пневмоперезярядки, работающей на принципе подачи воздуха в газовый цилиндр.</w:t>
      </w:r>
    </w:p>
    <w:p w14:paraId="6C2D3F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Новую систему перезярядки смонтируйте на одном из серийных самолетов и подайте из НИПАВ для проведения испытаний (1680,186).</w:t>
      </w:r>
    </w:p>
    <w:p w14:paraId="1EF22414" w14:textId="77777777" w:rsidR="00090C9B" w:rsidRPr="00722885" w:rsidRDefault="00090C9B" w:rsidP="00722885">
      <w:pPr>
        <w:pStyle w:val="Iauiue"/>
        <w:jc w:val="both"/>
        <w:rPr>
          <w:color w:val="000000" w:themeColor="text1"/>
          <w:sz w:val="16"/>
          <w:szCs w:val="16"/>
        </w:rPr>
      </w:pPr>
    </w:p>
    <w:p w14:paraId="4A5EC9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ноября 1942 года зам. начальника 7 гл. управления Алексеев писал письмо N 1655с А.И.Шахурину:</w:t>
      </w:r>
    </w:p>
    <w:p w14:paraId="316873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Справка о ходе летных испытаний самолета Ер-2 с дизель-моторами М-30</w:t>
      </w:r>
    </w:p>
    <w:p w14:paraId="0F2E95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Ер-2 с дизель-моторами М-30, оборудованный нагнетателями мотора АМ-38, закончил летные испытания по отработке винтомоторной группы 10 октября с.г.</w:t>
      </w:r>
    </w:p>
    <w:p w14:paraId="0939750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течение этих испытаний моторы работали удовлетворительно и самолет готовился к проведению испытаний на дальность, согласно Вашего указания по результатам летных испытаний.</w:t>
      </w:r>
    </w:p>
    <w:p w14:paraId="7C4AF9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ноября с.г. в контрольном полете на дальность на 1000 км, было обнаружено падение давления в маслосистеме правого мотора, по этой причине полет был прекращен и посадка произведена с одним левым работающим мотором.</w:t>
      </w:r>
    </w:p>
    <w:p w14:paraId="635F69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осмотре правого мотора специалистами завода N 500, после посадки самолета, дефектов обнаружено не было и по проверке работы его на земле, мотор был признан пригодным к дальнейшим полетам.</w:t>
      </w:r>
    </w:p>
    <w:p w14:paraId="5E5956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 ноября с.г. в очередном контрольном полете повторилось падение давления в маслосистеме правого мотора. Мотор остановился и посадка была опять сделана при одном работающем левом моторе. Осмотр мотора обнаружил поломку рессоры привода маслонасоса, почему мотор к дальнейшей работе был признан непригодным.</w:t>
      </w:r>
    </w:p>
    <w:p w14:paraId="245EC8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 ноября с.г. правый мотор был снят с самолета и взят заводом N 500 для осмотра его и устранения дефекта.</w:t>
      </w:r>
    </w:p>
    <w:p w14:paraId="632E2E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заявлению гл. конструктора завода N 500 Чаромского, ремонт мотора займет продолжительное время, почему вместо него заводом выделен другой экземпляр мотора.</w:t>
      </w:r>
    </w:p>
    <w:p w14:paraId="7DB0898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Выбывший правый мотор наработал за время испытаний:</w:t>
      </w:r>
    </w:p>
    <w:p w14:paraId="78985E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полете - 36 часов 41 минуту</w:t>
      </w:r>
    </w:p>
    <w:p w14:paraId="088158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земле - 15 часов.</w:t>
      </w:r>
    </w:p>
    <w:p w14:paraId="653DFC9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Новый мотор, взамен дефектного направляется 19 ноября с.г. заводом N 500 на аэродром в Раменское для установки на самолет (2504,69).</w:t>
      </w:r>
    </w:p>
    <w:p w14:paraId="160F8A3E" w14:textId="77777777" w:rsidR="00090C9B" w:rsidRPr="00722885" w:rsidRDefault="00090C9B" w:rsidP="00722885">
      <w:pPr>
        <w:pStyle w:val="Iauiue"/>
        <w:jc w:val="both"/>
        <w:rPr>
          <w:color w:val="000000" w:themeColor="text1"/>
          <w:sz w:val="16"/>
          <w:szCs w:val="16"/>
        </w:rPr>
      </w:pPr>
    </w:p>
    <w:p w14:paraId="6D3723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ноября 1942 на гос. испытания поступил И-185 М-71 эталон, который выполнил первый полет 10 июня 1942 (2495,25).</w:t>
      </w:r>
    </w:p>
    <w:p w14:paraId="774C2C3D" w14:textId="77777777" w:rsidR="00090C9B" w:rsidRPr="00722885" w:rsidRDefault="00090C9B" w:rsidP="00722885">
      <w:pPr>
        <w:pStyle w:val="Iauiue"/>
        <w:jc w:val="both"/>
        <w:rPr>
          <w:color w:val="000000" w:themeColor="text1"/>
          <w:sz w:val="16"/>
          <w:szCs w:val="16"/>
        </w:rPr>
      </w:pPr>
    </w:p>
    <w:p w14:paraId="404A0C4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ноября 1942 г. И-185 передали в НИИ ВВС для очередных государственных испытаний. При этом вес пустого самолета составлял 3105 кг, полетный - 3735 кг. Руководство авиапромышленности опять начало об</w:t>
      </w:r>
      <w:r w:rsidRPr="00722885">
        <w:rPr>
          <w:rFonts w:ascii="Times New Roman" w:hAnsi="Times New Roman"/>
          <w:color w:val="000000" w:themeColor="text1"/>
          <w:sz w:val="16"/>
          <w:szCs w:val="16"/>
        </w:rPr>
        <w:softHyphen/>
        <w:t>суждать вопрос о необходимости и возможности запус</w:t>
      </w:r>
      <w:r w:rsidRPr="00722885">
        <w:rPr>
          <w:rFonts w:ascii="Times New Roman" w:hAnsi="Times New Roman"/>
          <w:color w:val="000000" w:themeColor="text1"/>
          <w:sz w:val="16"/>
          <w:szCs w:val="16"/>
        </w:rPr>
        <w:softHyphen/>
        <w:t>ка в серию поликарповской машины (10667).</w:t>
      </w:r>
    </w:p>
    <w:p w14:paraId="73C6043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E9BA412" w14:textId="77777777" w:rsidR="001166A2" w:rsidRPr="00722885" w:rsidRDefault="001166A2"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18 ноября 1942 г. на стрельбах по плавающим мишеням в море около устья р.Хоппи комиссией под председательством командира 1-й бригады торпедных катеров (БТК-1) капитана 1 ранга А.М.Филиппова с участим конструктора Ю.Д.Первицкого были успешно проведены испытания первой на ЧФ РПУ-6 для ТК.</w:t>
      </w:r>
    </w:p>
    <w:p w14:paraId="03F1F91F" w14:textId="77777777" w:rsidR="001166A2" w:rsidRPr="00722885" w:rsidRDefault="001166A2"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Результаты испытаний РПУ-6 на ТК типа Г-5 показали: 1) вооружение торпедных катеров РПУ-6 с использованием РС 82, фугасных и в особенности осколочного действия с дистанционной трубкой, существенно увеличивает огневую мощь корабля, расширяет зону поражения цели, повышает эффективность стрельбы, поэтому целесообразность применения РПУ-6 безусловна. 2) Установка на ТК РПУ-6 не только усиливает вооружение ТК (было две торпеды и два пулемета ДШК) но и расширяет область тактического применения ТК для обстрела морских и береговых объектов противника.3) Конструкция РПУ-6 соответствует особенностям легких дюралевых катеров типа Г-5, не снижает их мореходных качеств и удобна тем, что управление стрельбой осуществляется из рубки командира катера. 4) Применение ртутных устройств. автоматически обеспечивающих выстрел только при крене и дифференте катера близком к нулю, обеспечивает хорошие показатели поражения цели. 5) Все узлы конструкции РПУ-6 работали безотказно. 6) Целесообразно рекомендовать испытанную конструкцию РПУ-6 для вооружения ТК типа Г-5.</w:t>
      </w:r>
    </w:p>
    <w:p w14:paraId="74EEBEAD" w14:textId="77777777" w:rsidR="001166A2" w:rsidRPr="00722885" w:rsidRDefault="001166A2"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Испытания РПУ-6 для МО-2, которая в соответствии с ТТЗ закреплялась на откатнике 45 мм пушки, были проведены в ОВР Потийской ВМБ в начале ноября 1942 г. с участием конструктора А.Н.Белова.</w:t>
      </w:r>
    </w:p>
    <w:p w14:paraId="0615D755" w14:textId="77777777" w:rsidR="001166A2" w:rsidRPr="00722885" w:rsidRDefault="001166A2"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Результаты испытаний РПУ-6 на МО-2 показали: </w:t>
      </w:r>
    </w:p>
    <w:p w14:paraId="0EF27B53" w14:textId="77777777" w:rsidR="001166A2" w:rsidRPr="00722885" w:rsidRDefault="001166A2"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1. Все узлы РПУ-6 работали безотказно. </w:t>
      </w:r>
    </w:p>
    <w:p w14:paraId="0771CF69" w14:textId="77777777" w:rsidR="001166A2" w:rsidRPr="00722885" w:rsidRDefault="001166A2"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2. Установка РПУ-6 на откатник нарушает нормы штатной эксплуатации пушки, неудобна и не безопасна для наводчика. </w:t>
      </w:r>
    </w:p>
    <w:p w14:paraId="342EA1B9" w14:textId="77777777" w:rsidR="001166A2" w:rsidRPr="00722885" w:rsidRDefault="001166A2"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3. Вариант РПУ-6 для МО-2 с креплением на пушке неприемлем (15985).</w:t>
      </w:r>
    </w:p>
    <w:p w14:paraId="7BFF00FB" w14:textId="77777777" w:rsidR="001166A2" w:rsidRPr="00722885" w:rsidRDefault="001166A2" w:rsidP="00722885">
      <w:pPr>
        <w:spacing w:after="0" w:line="240" w:lineRule="auto"/>
        <w:jc w:val="both"/>
        <w:rPr>
          <w:rFonts w:ascii="Times New Roman" w:eastAsia="Times New Roman" w:hAnsi="Times New Roman"/>
          <w:color w:val="000000" w:themeColor="text1"/>
          <w:sz w:val="16"/>
          <w:szCs w:val="16"/>
        </w:rPr>
      </w:pPr>
    </w:p>
    <w:p w14:paraId="00D5A80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F9BDE5A" w14:textId="77777777" w:rsidR="00090C9B" w:rsidRPr="00722885" w:rsidRDefault="00090C9B" w:rsidP="00722885">
      <w:pPr>
        <w:pStyle w:val="Iauiue"/>
        <w:jc w:val="both"/>
        <w:rPr>
          <w:iCs/>
          <w:color w:val="000000" w:themeColor="text1"/>
          <w:sz w:val="16"/>
          <w:szCs w:val="16"/>
        </w:rPr>
      </w:pPr>
    </w:p>
    <w:p w14:paraId="39ADD2F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ноября 1942 года опытный образец 203-мм мортиры М-4 прибыл с завода № 172 на Гороховецкий полигон (Гороховецкий артиллерийский научно-исследовательский опытный полигон). Однако по ряду причин испытания мортиры задержались и были начаты лишь 21 января 1943 года (3861).</w:t>
      </w:r>
    </w:p>
    <w:p w14:paraId="5C8298B8" w14:textId="77777777" w:rsidR="00090C9B" w:rsidRPr="00722885" w:rsidRDefault="00090C9B" w:rsidP="00722885">
      <w:pPr>
        <w:pStyle w:val="Iauiue"/>
        <w:jc w:val="both"/>
        <w:rPr>
          <w:color w:val="000000" w:themeColor="text1"/>
          <w:sz w:val="16"/>
          <w:szCs w:val="16"/>
        </w:rPr>
      </w:pPr>
    </w:p>
    <w:p w14:paraId="1929A45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ноября 1942 г. танк Т-90 закончил предварительные испытания, которые шли с 12 ноября и с 5 по 12 декабря выдержал срав</w:t>
      </w:r>
      <w:r w:rsidRPr="00722885">
        <w:rPr>
          <w:rFonts w:ascii="Times New Roman" w:hAnsi="Times New Roman"/>
          <w:color w:val="000000" w:themeColor="text1"/>
          <w:sz w:val="16"/>
          <w:szCs w:val="16"/>
        </w:rPr>
        <w:softHyphen/>
        <w:t>нительные полигонные испытания с танком Т-70-3, продемонстриро</w:t>
      </w:r>
      <w:r w:rsidRPr="00722885">
        <w:rPr>
          <w:rFonts w:ascii="Times New Roman" w:hAnsi="Times New Roman"/>
          <w:color w:val="000000" w:themeColor="text1"/>
          <w:sz w:val="16"/>
          <w:szCs w:val="16"/>
        </w:rPr>
        <w:softHyphen/>
        <w:t>вав возможность ведения огня как по наземным, так и по воздушным целям. По результатам испытаний после устранения выявленных недо</w:t>
      </w:r>
      <w:r w:rsidRPr="00722885">
        <w:rPr>
          <w:rFonts w:ascii="Times New Roman" w:hAnsi="Times New Roman"/>
          <w:color w:val="000000" w:themeColor="text1"/>
          <w:sz w:val="16"/>
          <w:szCs w:val="16"/>
        </w:rPr>
        <w:softHyphen/>
        <w:t>статков машина была рекомендована для принятия на вооружение РККА, но в связи с прекращением выпуска легких танков Т-70М и Т-80 (при проектировании был предусмотрен вариант использования и это</w:t>
      </w:r>
      <w:r w:rsidRPr="00722885">
        <w:rPr>
          <w:rFonts w:ascii="Times New Roman" w:hAnsi="Times New Roman"/>
          <w:color w:val="000000" w:themeColor="text1"/>
          <w:sz w:val="16"/>
          <w:szCs w:val="16"/>
        </w:rPr>
        <w:softHyphen/>
        <w:t>го шасси) и изменения ТТТ к такого рода машинам, дальнейшие рабо</w:t>
      </w:r>
      <w:r w:rsidRPr="00722885">
        <w:rPr>
          <w:rFonts w:ascii="Times New Roman" w:hAnsi="Times New Roman"/>
          <w:color w:val="000000" w:themeColor="text1"/>
          <w:sz w:val="16"/>
          <w:szCs w:val="16"/>
        </w:rPr>
        <w:softHyphen/>
        <w:t>ты по танку Т-90 были прекращены. Опытный образец танка Т-90 был изготовлен на базе серийного тан</w:t>
      </w:r>
      <w:r w:rsidRPr="00722885">
        <w:rPr>
          <w:rFonts w:ascii="Times New Roman" w:hAnsi="Times New Roman"/>
          <w:color w:val="000000" w:themeColor="text1"/>
          <w:sz w:val="16"/>
          <w:szCs w:val="16"/>
        </w:rPr>
        <w:softHyphen/>
        <w:t>ка Т-70 (первого выпуска) и отличался от него установкой вооружения и измененной конструкцией башни. Схема общей компоновки машины принципиально была такой же, как у танка Т-70. Экипаж машины со</w:t>
      </w:r>
      <w:r w:rsidRPr="00722885">
        <w:rPr>
          <w:rFonts w:ascii="Times New Roman" w:hAnsi="Times New Roman"/>
          <w:color w:val="000000" w:themeColor="text1"/>
          <w:sz w:val="16"/>
          <w:szCs w:val="16"/>
        </w:rPr>
        <w:softHyphen/>
        <w:t>стоял из двух человек. Механик-водитель размещался в отделении уп</w:t>
      </w:r>
      <w:r w:rsidRPr="00722885">
        <w:rPr>
          <w:rFonts w:ascii="Times New Roman" w:hAnsi="Times New Roman"/>
          <w:color w:val="000000" w:themeColor="text1"/>
          <w:sz w:val="16"/>
          <w:szCs w:val="16"/>
        </w:rPr>
        <w:softHyphen/>
        <w:t>равления у левого борта. Во вращающейся открытой сверху башне, сме</w:t>
      </w:r>
      <w:r w:rsidRPr="00722885">
        <w:rPr>
          <w:rFonts w:ascii="Times New Roman" w:hAnsi="Times New Roman"/>
          <w:color w:val="000000" w:themeColor="text1"/>
          <w:sz w:val="16"/>
          <w:szCs w:val="16"/>
        </w:rPr>
        <w:softHyphen/>
        <w:t>щенной к левому борту от продольной оси корпуса, располагался ко</w:t>
      </w:r>
      <w:r w:rsidRPr="00722885">
        <w:rPr>
          <w:rFonts w:ascii="Times New Roman" w:hAnsi="Times New Roman"/>
          <w:color w:val="000000" w:themeColor="text1"/>
          <w:sz w:val="16"/>
          <w:szCs w:val="16"/>
        </w:rPr>
        <w:softHyphen/>
        <w:t>мандир танка. Посадка и выход экипажа производились или через люк в отделении управления, располагавшийся в верхнем лобовом листе корпуса и закрывавшийся броневой крышкой, или через борта башни. В днище корпуса размещался аварийный (запасный) люк. Наблюдение за полем боя осуществлялось: механиком-водителем через смотровой пе</w:t>
      </w:r>
      <w:r w:rsidRPr="00722885">
        <w:rPr>
          <w:rFonts w:ascii="Times New Roman" w:hAnsi="Times New Roman"/>
          <w:color w:val="000000" w:themeColor="text1"/>
          <w:sz w:val="16"/>
          <w:szCs w:val="16"/>
        </w:rPr>
        <w:softHyphen/>
        <w:t>рископический прибор, установленный в крышке люка, командиром -поверх бортов башни или телескопический прицел (10703).</w:t>
      </w:r>
    </w:p>
    <w:p w14:paraId="6D913FE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84CFB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18 ноября 1942 вышло Постановление ГКО № 2518 О плане поставки угля в ноябре 1942 г. РГАНИР, Фонд ГКО, д. 69, лл. 98-100, 101-116 (11012).</w:t>
      </w:r>
    </w:p>
    <w:p w14:paraId="3C659A0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0D1F5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ноября 1942 вышло Постановление ГКО № 2519 О поставке сырья заводам Наркомлеса СССР для выработки авиационной фанеры. РГАНИР, Фонд ГКО, д. 69, лл. 117-120 (11012).</w:t>
      </w:r>
    </w:p>
    <w:p w14:paraId="31CF805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07BF6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ноября 1942 вышло Постановление ГКО № 2520 О строительстве гидроэлектростанций в Узбекской ССР. РГАНИР, Фонд ГКО, д. 69, лл. 121-123, 124-132 (11012).</w:t>
      </w:r>
    </w:p>
    <w:p w14:paraId="2EAAA05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2D658DD"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18 ноября</w:t>
      </w:r>
      <w:r w:rsidRPr="00722885">
        <w:rPr>
          <w:rFonts w:ascii="Times New Roman" w:hAnsi="Times New Roman"/>
          <w:color w:val="000000" w:themeColor="text1"/>
          <w:sz w:val="16"/>
          <w:szCs w:val="16"/>
        </w:rPr>
        <w:t xml:space="preserve"> в 1942 году СНК СССР принял решение «О строительстве пяти гидроэлектростанций в Узбекской ССР» (Ак-Кавакские №1 и 2, Саларская, Нижне-Бозсуйская и Фархадская) (14834).</w:t>
      </w:r>
    </w:p>
    <w:p w14:paraId="541BF628"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4FBF32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ноября 1942 вышло Постановление ГКО № 2521 О строительстве заводских электросанций. РГАНИР, Фонд ГКО, д. 69, лл. 133-141, 142-166 (11012).</w:t>
      </w:r>
    </w:p>
    <w:p w14:paraId="750E924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B0DEF9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0ADCA13" w14:textId="77777777" w:rsidR="00090C9B" w:rsidRPr="00722885" w:rsidRDefault="00090C9B" w:rsidP="00722885">
      <w:pPr>
        <w:pStyle w:val="Iauiue"/>
        <w:jc w:val="both"/>
        <w:rPr>
          <w:iCs/>
          <w:color w:val="000000" w:themeColor="text1"/>
          <w:sz w:val="16"/>
          <w:szCs w:val="16"/>
        </w:rPr>
      </w:pPr>
    </w:p>
    <w:p w14:paraId="562E20A7"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18 ноября</w:t>
      </w:r>
      <w:r w:rsidRPr="00722885">
        <w:rPr>
          <w:rFonts w:ascii="Times New Roman" w:hAnsi="Times New Roman"/>
          <w:color w:val="000000" w:themeColor="text1"/>
          <w:sz w:val="16"/>
          <w:szCs w:val="16"/>
        </w:rPr>
        <w:t xml:space="preserve"> в 1942 году утреннее сообщение Совинформбюро:</w:t>
      </w:r>
    </w:p>
    <w:p w14:paraId="42A79A4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18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32D6A069"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противника. На одном участке гитлеровцы силою до полка пехоты и 18 танков с двух направлений атаковали наши опорные пункты. Все атаки немцев были отбиты. В этом бою подбито 6 танков и уничтожено 250 солдат и офицеров противника. На другом участке 13 красноармейцев под командованием старшего лейтенанта Рогова отразили атаку двух рот противникаи истребили до 100 гитлеровцев.</w:t>
      </w:r>
    </w:p>
    <w:p w14:paraId="6ED4B75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артиллеристы внезапным огневым налётом рассеяли и частично уничтожили две роты солдат противника.</w:t>
      </w:r>
    </w:p>
    <w:p w14:paraId="718A13E3"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Ружейно-пулемётным огнём сбито 2 немецких самолёта.</w:t>
      </w:r>
    </w:p>
    <w:p w14:paraId="5929EDC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 одном участке полк немецкой пехоты при поддержке танков атаковал наши позиции. Силами наших пехотинцев и артиллеристов атака гитлеровцев была отбита с большими для них потерями. В результате боя уничтоженодо 500 немецких солдат и офицеров, подбито 16 и сожжено 5 немецких танков, подавлен огонь 5 миномётных и 2 артиллерийских батарей.</w:t>
      </w:r>
    </w:p>
    <w:p w14:paraId="38934D3F"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разведчики проникли в тыл противника и разгромили роту румынской пехоты. Захвачено 8 пулемётов и 3 миномёта. На другом участке в районе одной высоты немцы предприняли разведку боем. Залповым огнём наши бойцы истребили 60 гитлеровцев.</w:t>
      </w:r>
    </w:p>
    <w:p w14:paraId="060749F3"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 снайперы за три дня истребили 529 вражескихсолдат и офицеров. В течение дня снайпер тов. Гордиенко уничтожил 6 немцев, тов. Омельяненко — 5, тов. Киселёв — 4 гитлеровцев.</w:t>
      </w:r>
    </w:p>
    <w:p w14:paraId="60AC9D82"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в воздушных боях на подступах к Ленинграду сбили 2 немецких самолёта.</w:t>
      </w:r>
    </w:p>
    <w:p w14:paraId="592360D6"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Краснодарского края, за месяц боевых действий уничтожил 10 офицеров и 187 солдат противника.</w:t>
      </w:r>
    </w:p>
    <w:p w14:paraId="3D46DF10"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захватили у немцев 2 пулемёта, 8 автоматов, 23 винтовки, 2 грузовые машины, ручные гранаты, обмундирование и другие трофеи.</w:t>
      </w:r>
    </w:p>
    <w:p w14:paraId="62E8432D"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кабардино-балкарских партизан в тылу противника истребил более 80 немецко-фашистских оккупантов и уничтожил 4 пулемёта и миномёт с расчётом. Партизаны захватили в плен немецкого офицера и нескольких солдат.</w:t>
      </w:r>
    </w:p>
    <w:p w14:paraId="0365F170"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захватчики истребляют мирное население оккупированных ими советских районов. В деревне Пасека, Ленинградской области, гитлеровцы замучили и зверски убили колхозниц Анну Степанову и Татьяну Сергееву за отказ работать на немецком аэродроме. В селении Жарково фашистские изверги повесили колхозницу Марию Жильцову и её 16-летнего сына за то, что они обругали немецкогоофицера.</w:t>
      </w:r>
    </w:p>
    <w:p w14:paraId="78EC123A"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войска, вторгшиеся в неоккупированную зону Франции, с первых же дней начали грабить французские города и сёла. Гитлеровцы забирают у французских крестьян продовольствие. Безудержный грабёж теперь узаконен особым приказом германского командования. Этот приказ гласит: «B целях наилучшего снабжения германским войскам предоставляется право пользоваться на месте необходимыми для них соломой, сеном, овсом, овощами, яйцами и другими продуктами сельского хозяйства» (14834).</w:t>
      </w:r>
    </w:p>
    <w:p w14:paraId="13843249"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5189CDB2"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18 ноября</w:t>
      </w:r>
      <w:r w:rsidRPr="00722885">
        <w:rPr>
          <w:rFonts w:ascii="Times New Roman" w:hAnsi="Times New Roman"/>
          <w:color w:val="000000" w:themeColor="text1"/>
          <w:sz w:val="16"/>
          <w:szCs w:val="16"/>
        </w:rPr>
        <w:t xml:space="preserve"> в 1942 году вечернее сообщение Совинформбюро:</w:t>
      </w:r>
    </w:p>
    <w:p w14:paraId="2EA501D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18 ноября наши войска вели бои с противником в районе Сталинграда, северо-восточнее Туапсе и юго-восточнее Нальчика. На других фронтах никаких изменений не произошло.</w:t>
      </w:r>
    </w:p>
    <w:p w14:paraId="0B43E58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танков и пехоты противника. Немцы силою до полка пехоты при поддержке танков вновь предприняли наступление на северную часть обороны города. Бойцы под командованием тов. Горохова отбили атаки гитлеровцев. В районе заводов Н-ское соединение в результате активных боевых действий заняло несколько опорных пунктов противника. В ходе этих боёв немцы потеряли убитыми и ранеными до 600 солдат и офицеров. Сожжено и подбито 8 немецких танков, уничтожено 9 орудий, 12 миномётов, 24 пулемёта, разрушено 11 дзотов и блиндажей. Защитники города ежедневно наносят огромные потери врагу. Миномётный расчёт красноармейца Ивана Егорова в течение дня истребил 30 вражеских солдат. Лейтенант Ходаковский и несколько бойцов отразили атаку роты противника и уничтожили 70 гитлеровцев.</w:t>
      </w:r>
    </w:p>
    <w:p w14:paraId="46C938C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занимаемые позиции и вели огневой бой с противником. На одном участке наблюдатели заметили движение колонны вражеской пехоты численностью до 500 штыков. Артиллеристы части, гдекомандиром тов. Баринов, открыли огонь, рассеяли и частью уничтожили колонну противника.</w:t>
      </w:r>
    </w:p>
    <w:p w14:paraId="3093B76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советские войска вели активные бои с противником. Наша часть совершила налёт на населённый пункт, занятый немцами. Уничтожено 200 вражеских солдат и офицеров, сожжено 3 танка и 4 автомашины. На другом участке наши бойцы захватили 2 легковые автомашины с немецкими офицерами.</w:t>
      </w:r>
    </w:p>
    <w:p w14:paraId="2DEFE27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два батальона противника с 50 танками и 20 бронемашинами пытались прорвать нашу оборону. Наши части организованным огнём отсекли немецкую пехоту от танков и отбросили гитлеровцев. В этом бою подбито и сожжено 17 немецких танков, из них 6 танков в ходе боя нашими бойцами были использованы как доты. К исходу дня противник предпринял вторую атаку. Наши части ведут бой, удерживая прежние позиции.</w:t>
      </w:r>
    </w:p>
    <w:p w14:paraId="66CF5587"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бойцы части под командованием тов. Цепляева выбили немцев из укреплённых позиций. Замечательный подвиг совершил красноармеец узбек Ахмет Ташматов. Пулемётным огнём он трижды останавливал переходивших в контратаку гитлеровцев. Группа немцев окружила бойца и пыталась захватить его в плен. Ташматов гранатами уничтожил окруживших его гитлеровцев и продолжал вести огонь из пулемёта. В этом бою он истребил несколько десятков гитлеровцев.</w:t>
      </w:r>
    </w:p>
    <w:p w14:paraId="3B1110A2"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огнём артиллерии и пехоты уничтожено до 400 немецких солдат и офицеров. Разрушены 10 дзотов, 24 блиндажа и наблюдательный пункт противника.</w:t>
      </w:r>
    </w:p>
    <w:p w14:paraId="18B7E29B"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ленинградских партизан разгромил немецкий гарнизон в одном населённом пункте. В ожесточённой схватке истреблено 50 вражеских солдат и офицеров. Группа партизан этого отряда пустила под откос железнодорожный эшелон противника. Разбиты паровоз и несколько вагонов.</w:t>
      </w:r>
    </w:p>
    <w:p w14:paraId="617D2049"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расположении немецких позиций, занятых нашими войсками юго-восточнее Нальчика, группа бойцов обнаружила истерзанный труп лейтенанта Тарабарова. Накануне лейтенант был тяжело ранен и захвачен в плен. Гитлеровские бандиты долго мучили и зверски пытали пленного командира. Они отрубили ему все пальцы на руках, обожгли в нескольких местах лицо, нанесли 23 пулевые и ножовые раны, а затем размозжили череп.</w:t>
      </w:r>
    </w:p>
    <w:p w14:paraId="184C716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Население Корсики встретило итальянских оккупантов с нескрываемой враждой. B Кальви, Бонифачо на другой же день после вторжения итальянских войск группа жителей совершила нападение на итальянских солдат и офицеров. В Аяччо днём был убит итальянский офицер. В Бонифачо французские патриоты сожгли склад горючего.»</w:t>
      </w:r>
    </w:p>
    <w:p w14:paraId="47A750F0"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78D8DCD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«Удар по группе немецко-фашистских войск в районе города Орджоникидзе.</w:t>
      </w:r>
    </w:p>
    <w:p w14:paraId="329CA27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Многодневные бои на подступах к городу Орджоникидзе закончились поражением немцев.</w:t>
      </w:r>
    </w:p>
    <w:p w14:paraId="3E113CA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этих боях нашими войсками разгромлены 13 немецкая танковая дивизия, полк «Бранденбург», 45 велобатальон, 7 сапёрный батальон, 525 дивизион противотанковой обороны, батальон 1 немецкой горнострелковой дивизии и 336 отдельный батальон. Нанесены серьёзные потери 23 немецкой танковой дивизии, 2 румынской горнострелковой дивизии и другим частям противника.</w:t>
      </w:r>
    </w:p>
    <w:p w14:paraId="36504D20"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захватили при этом 140 немецких танков, 7 бронемашин, 70 орудий разных калибров, в том числе 36 дальнобойных, 95 миномётов, из них 4 шестиствольных, 84 пулемёта, 2.350 автомашин, 183 мотоцикла, свыше 1 миллиона патронов, 2 склада боеприпасов, склад продовольствия и другие трофеи.</w:t>
      </w:r>
    </w:p>
    <w:p w14:paraId="41AB8D8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поле боя немцы оставили свыше 5.000 трупов солдат и офицеров. Количество раненых немцев в несколько раз превышает число убитых.» (14834).</w:t>
      </w:r>
    </w:p>
    <w:p w14:paraId="6D616A21"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4D31580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lastRenderedPageBreak/>
        <w:t>18 ноября</w:t>
      </w:r>
      <w:r w:rsidRPr="00722885">
        <w:rPr>
          <w:rFonts w:ascii="Times New Roman" w:hAnsi="Times New Roman"/>
          <w:color w:val="000000" w:themeColor="text1"/>
          <w:sz w:val="16"/>
          <w:szCs w:val="16"/>
        </w:rPr>
        <w:t xml:space="preserve"> в 1942 году завершилась оборонительная операция советских войск в Сталинградской битве. План германского. командования, рассчитанный на быстрое овладение Сталинградом, а также план всей летне-осенней кампании 1942 были сорваны. На Кавказском направлении Восточного фронта советские войска заставляют немцев начать отход, что приводит к окружению немецкой армии, осаждающей Сталинград (14834).</w:t>
      </w:r>
    </w:p>
    <w:p w14:paraId="790A7E2C"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22974D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по 18 ноября с 28 августа 1942 Ил-2 выполнили 406 боевых самолето-вылетов ночью и в сумерки, в основном по аэродромам, железнодорожным станциям и составам на перегоне. Так как эти цели достаточно хорошо обнаруживались, то эффективность ударов Ил-2 по ним почти сравнивалась с эффективностью дневных ударов. В ряде случаев привлекались легкие бомбардировщики У-2. В их задачу входило обнаружение и подсветка целей на поле боя. Найдя и определив цель, экипажи У-2 за 1-2 минуты до подхода Ил-2 освещали цель, сбрасывая осветительные или зажигательные бомбы, а штурмовики атаковали ее. Именно так действовали летчики 228-й шад в ночь на 24 октября, когда 19 Ил-2 дивизии совместно с 10 экипажами У-2 от 271-й нбад нанесли весьма результативный удар по немецким войскам в 20-30 км северо-западнее Сталинграда. Подсветка целей для Ил-2 и ударных У-2 в течение всего налета осуществлялась специально выделенными экипажами У-2-осветителей, поочередно сменявших друг друга над целью (12020).</w:t>
      </w:r>
    </w:p>
    <w:p w14:paraId="217E665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9299E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18 ноября 1942 на флотах:</w:t>
      </w:r>
    </w:p>
    <w:p w14:paraId="1CC1E8B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9B487A" w:rsidRPr="00722885" w14:paraId="52A9298E" w14:textId="77777777" w:rsidTr="00CC5360">
        <w:tc>
          <w:tcPr>
            <w:tcW w:w="1401" w:type="dxa"/>
            <w:tcBorders>
              <w:top w:val="single" w:sz="12" w:space="0" w:color="auto"/>
            </w:tcBorders>
          </w:tcPr>
          <w:p w14:paraId="5608DA44"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2CAA48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1.05.42</w:t>
            </w:r>
          </w:p>
        </w:tc>
        <w:tc>
          <w:tcPr>
            <w:tcW w:w="1401" w:type="dxa"/>
            <w:tcBorders>
              <w:top w:val="single" w:sz="12" w:space="0" w:color="auto"/>
            </w:tcBorders>
          </w:tcPr>
          <w:p w14:paraId="1BA1DD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1.07.42</w:t>
            </w:r>
          </w:p>
        </w:tc>
        <w:tc>
          <w:tcPr>
            <w:tcW w:w="1401" w:type="dxa"/>
            <w:tcBorders>
              <w:top w:val="single" w:sz="12" w:space="0" w:color="auto"/>
            </w:tcBorders>
          </w:tcPr>
          <w:p w14:paraId="2BCE3B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18.11.42</w:t>
            </w:r>
          </w:p>
        </w:tc>
        <w:tc>
          <w:tcPr>
            <w:tcW w:w="1401" w:type="dxa"/>
            <w:tcBorders>
              <w:top w:val="single" w:sz="12" w:space="0" w:color="auto"/>
            </w:tcBorders>
          </w:tcPr>
          <w:p w14:paraId="21DEE1F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1.07.43</w:t>
            </w:r>
          </w:p>
        </w:tc>
        <w:tc>
          <w:tcPr>
            <w:tcW w:w="1401" w:type="dxa"/>
            <w:tcBorders>
              <w:top w:val="single" w:sz="12" w:space="0" w:color="auto"/>
            </w:tcBorders>
          </w:tcPr>
          <w:p w14:paraId="7E8EE6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1.01.44</w:t>
            </w:r>
          </w:p>
        </w:tc>
        <w:tc>
          <w:tcPr>
            <w:tcW w:w="1401" w:type="dxa"/>
            <w:tcBorders>
              <w:top w:val="single" w:sz="12" w:space="0" w:color="auto"/>
            </w:tcBorders>
          </w:tcPr>
          <w:p w14:paraId="4B36DB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1.06.44</w:t>
            </w:r>
          </w:p>
        </w:tc>
        <w:tc>
          <w:tcPr>
            <w:tcW w:w="1401" w:type="dxa"/>
            <w:tcBorders>
              <w:top w:val="single" w:sz="12" w:space="0" w:color="auto"/>
            </w:tcBorders>
          </w:tcPr>
          <w:p w14:paraId="127FFA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1.01.45</w:t>
            </w:r>
          </w:p>
        </w:tc>
      </w:tr>
      <w:tr w:rsidR="009B487A" w:rsidRPr="00722885" w14:paraId="4A77E6E0" w14:textId="77777777" w:rsidTr="00CC5360">
        <w:tc>
          <w:tcPr>
            <w:tcW w:w="1401" w:type="dxa"/>
          </w:tcPr>
          <w:p w14:paraId="3EABFC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ВВС СФ</w:t>
            </w:r>
          </w:p>
        </w:tc>
        <w:tc>
          <w:tcPr>
            <w:tcW w:w="1401" w:type="dxa"/>
          </w:tcPr>
          <w:p w14:paraId="66F2A7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w:t>
            </w:r>
          </w:p>
        </w:tc>
        <w:tc>
          <w:tcPr>
            <w:tcW w:w="1401" w:type="dxa"/>
          </w:tcPr>
          <w:p w14:paraId="0601FC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w:t>
            </w:r>
          </w:p>
        </w:tc>
        <w:tc>
          <w:tcPr>
            <w:tcW w:w="1401" w:type="dxa"/>
          </w:tcPr>
          <w:p w14:paraId="154247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w:t>
            </w:r>
          </w:p>
        </w:tc>
        <w:tc>
          <w:tcPr>
            <w:tcW w:w="1401" w:type="dxa"/>
          </w:tcPr>
          <w:p w14:paraId="2AC74F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c>
          <w:tcPr>
            <w:tcW w:w="1401" w:type="dxa"/>
          </w:tcPr>
          <w:p w14:paraId="3B4BE2D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1401" w:type="dxa"/>
          </w:tcPr>
          <w:p w14:paraId="6949A3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1401" w:type="dxa"/>
          </w:tcPr>
          <w:p w14:paraId="49151F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r>
      <w:tr w:rsidR="009B487A" w:rsidRPr="00722885" w14:paraId="1C40E90A" w14:textId="77777777" w:rsidTr="00CC5360">
        <w:tc>
          <w:tcPr>
            <w:tcW w:w="1401" w:type="dxa"/>
          </w:tcPr>
          <w:p w14:paraId="74E0F6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ВВС КБФ</w:t>
            </w:r>
          </w:p>
        </w:tc>
        <w:tc>
          <w:tcPr>
            <w:tcW w:w="1401" w:type="dxa"/>
          </w:tcPr>
          <w:p w14:paraId="755569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52/17</w:t>
            </w:r>
          </w:p>
        </w:tc>
        <w:tc>
          <w:tcPr>
            <w:tcW w:w="1401" w:type="dxa"/>
          </w:tcPr>
          <w:p w14:paraId="68C4B2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23/7</w:t>
            </w:r>
          </w:p>
        </w:tc>
        <w:tc>
          <w:tcPr>
            <w:tcW w:w="1401" w:type="dxa"/>
          </w:tcPr>
          <w:p w14:paraId="5CFCB9B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28/11</w:t>
            </w:r>
          </w:p>
        </w:tc>
        <w:tc>
          <w:tcPr>
            <w:tcW w:w="1401" w:type="dxa"/>
          </w:tcPr>
          <w:p w14:paraId="666D5F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21/3</w:t>
            </w:r>
          </w:p>
        </w:tc>
        <w:tc>
          <w:tcPr>
            <w:tcW w:w="1401" w:type="dxa"/>
          </w:tcPr>
          <w:p w14:paraId="0D0799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w:t>
            </w:r>
          </w:p>
        </w:tc>
        <w:tc>
          <w:tcPr>
            <w:tcW w:w="1401" w:type="dxa"/>
          </w:tcPr>
          <w:p w14:paraId="779EF0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401" w:type="dxa"/>
          </w:tcPr>
          <w:p w14:paraId="27705A3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2B589D94" w14:textId="77777777" w:rsidTr="00CC5360">
        <w:tc>
          <w:tcPr>
            <w:tcW w:w="1401" w:type="dxa"/>
          </w:tcPr>
          <w:p w14:paraId="0138D2F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ВВС ЧФ</w:t>
            </w:r>
          </w:p>
        </w:tc>
        <w:tc>
          <w:tcPr>
            <w:tcW w:w="1401" w:type="dxa"/>
          </w:tcPr>
          <w:p w14:paraId="7C0124C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w:t>
            </w:r>
          </w:p>
        </w:tc>
        <w:tc>
          <w:tcPr>
            <w:tcW w:w="1401" w:type="dxa"/>
          </w:tcPr>
          <w:p w14:paraId="52EC5C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14/8</w:t>
            </w:r>
          </w:p>
        </w:tc>
        <w:tc>
          <w:tcPr>
            <w:tcW w:w="1401" w:type="dxa"/>
          </w:tcPr>
          <w:p w14:paraId="50A1C1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w:t>
            </w:r>
          </w:p>
        </w:tc>
        <w:tc>
          <w:tcPr>
            <w:tcW w:w="1401" w:type="dxa"/>
          </w:tcPr>
          <w:p w14:paraId="6890A1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1401" w:type="dxa"/>
          </w:tcPr>
          <w:p w14:paraId="0F8441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w:t>
            </w:r>
          </w:p>
        </w:tc>
        <w:tc>
          <w:tcPr>
            <w:tcW w:w="1401" w:type="dxa"/>
          </w:tcPr>
          <w:p w14:paraId="5FD357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1401" w:type="dxa"/>
          </w:tcPr>
          <w:p w14:paraId="49D27ED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EE9FBEC" w14:textId="77777777" w:rsidTr="00CC5360">
        <w:tc>
          <w:tcPr>
            <w:tcW w:w="1401" w:type="dxa"/>
            <w:tcBorders>
              <w:bottom w:val="single" w:sz="12" w:space="0" w:color="auto"/>
            </w:tcBorders>
          </w:tcPr>
          <w:p w14:paraId="01A1F5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1401" w:type="dxa"/>
            <w:tcBorders>
              <w:bottom w:val="single" w:sz="12" w:space="0" w:color="auto"/>
            </w:tcBorders>
          </w:tcPr>
          <w:p w14:paraId="3D4D8B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91/27</w:t>
            </w:r>
          </w:p>
        </w:tc>
        <w:tc>
          <w:tcPr>
            <w:tcW w:w="1401" w:type="dxa"/>
            <w:tcBorders>
              <w:bottom w:val="single" w:sz="12" w:space="0" w:color="auto"/>
            </w:tcBorders>
          </w:tcPr>
          <w:p w14:paraId="62DC75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45/18</w:t>
            </w:r>
          </w:p>
        </w:tc>
        <w:tc>
          <w:tcPr>
            <w:tcW w:w="1401" w:type="dxa"/>
            <w:tcBorders>
              <w:bottom w:val="single" w:sz="12" w:space="0" w:color="auto"/>
            </w:tcBorders>
          </w:tcPr>
          <w:p w14:paraId="3E8FA8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46/19</w:t>
            </w:r>
          </w:p>
        </w:tc>
        <w:tc>
          <w:tcPr>
            <w:tcW w:w="1401" w:type="dxa"/>
            <w:tcBorders>
              <w:bottom w:val="single" w:sz="12" w:space="0" w:color="auto"/>
            </w:tcBorders>
          </w:tcPr>
          <w:p w14:paraId="2837CC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29/4 1</w:t>
            </w:r>
          </w:p>
        </w:tc>
        <w:tc>
          <w:tcPr>
            <w:tcW w:w="1401" w:type="dxa"/>
            <w:tcBorders>
              <w:bottom w:val="single" w:sz="12" w:space="0" w:color="auto"/>
            </w:tcBorders>
          </w:tcPr>
          <w:p w14:paraId="7F9F4F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w:t>
            </w:r>
          </w:p>
        </w:tc>
        <w:tc>
          <w:tcPr>
            <w:tcW w:w="1401" w:type="dxa"/>
            <w:tcBorders>
              <w:bottom w:val="single" w:sz="12" w:space="0" w:color="auto"/>
            </w:tcBorders>
          </w:tcPr>
          <w:p w14:paraId="1DC64E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15/1</w:t>
            </w:r>
          </w:p>
        </w:tc>
        <w:tc>
          <w:tcPr>
            <w:tcW w:w="1401" w:type="dxa"/>
            <w:tcBorders>
              <w:bottom w:val="single" w:sz="12" w:space="0" w:color="auto"/>
            </w:tcBorders>
          </w:tcPr>
          <w:p w14:paraId="5BB236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r>
    </w:tbl>
    <w:p w14:paraId="517266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2CDBA6D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19B71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ноября 1942 Нач. инспекции ВВС КА при Зам. НКО п В.И.Сталин за N 434777сс писал в ГКО Г.М.М., НКАП А.И.Ш., ВВС КА Новикову и ВВС КА Никитину донесение о том, что в период с 1 по 10 ноября 1942 была произведена проверка работы Управления Формирования и Боевой Подготовки ВВС КА (1632,265):</w:t>
      </w:r>
    </w:p>
    <w:p w14:paraId="434DB4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По формированию и укомплектованию маршевых АП</w:t>
      </w:r>
    </w:p>
    <w:p w14:paraId="1720E0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сентябрь и октябрь 1942 переучено, укомплектовано, отправлено на фронт и в резерв Ставки ГК КА:</w:t>
      </w:r>
    </w:p>
    <w:p w14:paraId="634F70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штурмовых АП 24 с пополнением их л в количестве 540 чел. Отправлено на фронт 274 одиночных л-ш...</w:t>
      </w:r>
    </w:p>
    <w:p w14:paraId="7996C9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работе Управления... имеет место:</w:t>
      </w:r>
    </w:p>
    <w:p w14:paraId="28AE979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низкий уровень огневой и штурманской подготовки маршевых шап. В курс подготовки ша на самолетовождение и бомбометание отведено около 25% общего времени обучения. Все маршрутные полеты и большая часть бомбометания выполняются группой, чем снижается подготовка одиночных экипажей...(1632,265).</w:t>
      </w:r>
    </w:p>
    <w:p w14:paraId="4CFA0991" w14:textId="77777777" w:rsidR="00090C9B" w:rsidRPr="00722885" w:rsidRDefault="00090C9B" w:rsidP="00722885">
      <w:pPr>
        <w:pStyle w:val="Iauiue"/>
        <w:jc w:val="both"/>
        <w:rPr>
          <w:color w:val="000000" w:themeColor="text1"/>
          <w:sz w:val="16"/>
          <w:szCs w:val="16"/>
        </w:rPr>
      </w:pPr>
    </w:p>
    <w:p w14:paraId="2F4DE2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ноября 1942 Нач. инспекции ВВС КА при Зам. НКО п В.И.Сталин за N 434777сс писал в ГКО Г.М.М., НКАП А.И.Ш., ВВС КА Новикову и ВВС КА Никитину:</w:t>
      </w:r>
    </w:p>
    <w:p w14:paraId="59FFFEB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Настоящим доношу, что в период с 1-го по 10-е Ноября 1942 года произведена проверка работы Управле</w:t>
      </w:r>
      <w:r w:rsidRPr="00722885">
        <w:rPr>
          <w:rFonts w:ascii="Times New Roman" w:hAnsi="Times New Roman"/>
          <w:color w:val="000000" w:themeColor="text1"/>
          <w:sz w:val="16"/>
          <w:szCs w:val="16"/>
        </w:rPr>
        <w:softHyphen/>
        <w:t>ния Формирования и Боевой Подготовки , в результате ко</w:t>
      </w:r>
      <w:r w:rsidRPr="00722885">
        <w:rPr>
          <w:rFonts w:ascii="Times New Roman" w:hAnsi="Times New Roman"/>
          <w:color w:val="000000" w:themeColor="text1"/>
          <w:sz w:val="16"/>
          <w:szCs w:val="16"/>
        </w:rPr>
        <w:softHyphen/>
        <w:t>торой установлено:</w:t>
      </w:r>
    </w:p>
    <w:p w14:paraId="4CDBAA1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I. По формированию и укомплектованию маршевых </w:t>
      </w:r>
      <w:r w:rsidRPr="00722885">
        <w:rPr>
          <w:rFonts w:ascii="Times New Roman" w:hAnsi="Times New Roman"/>
          <w:color w:val="000000" w:themeColor="text1"/>
          <w:sz w:val="16"/>
          <w:szCs w:val="16"/>
          <w:u w:val="single"/>
        </w:rPr>
        <w:t>авиационных полков.</w:t>
      </w:r>
    </w:p>
    <w:p w14:paraId="2218241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сентябрь и октябрь месяцы 1942 года переучено, укомплектовано, отправлено на фронт и в резерв Ставки Главного Командования Красной Армии:</w:t>
      </w:r>
    </w:p>
    <w:p w14:paraId="132E79D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истребительных авиационных полков 39; отдель</w:t>
      </w:r>
      <w:r w:rsidRPr="00722885">
        <w:rPr>
          <w:rFonts w:ascii="Times New Roman" w:hAnsi="Times New Roman"/>
          <w:color w:val="000000" w:themeColor="text1"/>
          <w:sz w:val="16"/>
          <w:szCs w:val="16"/>
        </w:rPr>
        <w:softHyphen/>
        <w:t>ных истребительных авиационных эскадрилий 2; переуче</w:t>
      </w:r>
      <w:r w:rsidRPr="00722885">
        <w:rPr>
          <w:rFonts w:ascii="Times New Roman" w:hAnsi="Times New Roman"/>
          <w:color w:val="000000" w:themeColor="text1"/>
          <w:sz w:val="16"/>
          <w:szCs w:val="16"/>
        </w:rPr>
        <w:softHyphen/>
        <w:t>но на самолетах "Киттихаук" 3 полка. Маршевые полки пополнены 739 летчиками. Отправлено на фронт 434 оди</w:t>
      </w:r>
      <w:r w:rsidRPr="00722885">
        <w:rPr>
          <w:rFonts w:ascii="Times New Roman" w:hAnsi="Times New Roman"/>
          <w:color w:val="000000" w:themeColor="text1"/>
          <w:sz w:val="16"/>
          <w:szCs w:val="16"/>
        </w:rPr>
        <w:softHyphen/>
        <w:t>ночных летчика-истребителя;</w:t>
      </w:r>
    </w:p>
    <w:p w14:paraId="790569B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штурмовых авиационных полков 24 с пополнением их летчиками в количестве - 540 человек. Отправлено на фронт 274 одиночных летчика-штурмовика;</w:t>
      </w:r>
    </w:p>
    <w:p w14:paraId="5FB4D92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бомбардировочных авиационных полков 7 с по полнением их 241 пилотом. Отправлено на фронт 80 одиноч</w:t>
      </w:r>
      <w:r w:rsidRPr="00722885">
        <w:rPr>
          <w:rFonts w:ascii="Times New Roman" w:hAnsi="Times New Roman"/>
          <w:color w:val="000000" w:themeColor="text1"/>
          <w:sz w:val="16"/>
          <w:szCs w:val="16"/>
        </w:rPr>
        <w:softHyphen/>
        <w:t>ных экипажей;</w:t>
      </w:r>
    </w:p>
    <w:p w14:paraId="37FAD6C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ночных легко-бомбардировочных авиационных полков на У-2 - 15, с количеством летчиков в них 306. Отправлено на фронт - 225 одиночных летчиков;</w:t>
      </w:r>
    </w:p>
    <w:p w14:paraId="2D0E599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разведывательных эскадрильи с количеством летчиков в них 29 человек. Отправлено на пополнение разведывательных частей фронта 7 одиночных летчиков.</w:t>
      </w:r>
    </w:p>
    <w:p w14:paraId="1A8F289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из 5.000 летчиков, подлежащих подготов</w:t>
      </w:r>
      <w:r w:rsidRPr="00722885">
        <w:rPr>
          <w:rFonts w:ascii="Times New Roman" w:hAnsi="Times New Roman"/>
          <w:color w:val="000000" w:themeColor="text1"/>
          <w:sz w:val="16"/>
          <w:szCs w:val="16"/>
        </w:rPr>
        <w:softHyphen/>
        <w:t>ке по постановлению Военного Совета ВВС КА от 3-4.IX.1942 года, в срок до 1-го января 1943 г., переучено за сентябрь октябрь месяцы - 2.875, из которых: истребителей - 1.173; штурмовиков - 814; бомбардировщиков - 321; ночных бомбар</w:t>
      </w:r>
      <w:r w:rsidRPr="00722885">
        <w:rPr>
          <w:rFonts w:ascii="Times New Roman" w:hAnsi="Times New Roman"/>
          <w:color w:val="000000" w:themeColor="text1"/>
          <w:sz w:val="16"/>
          <w:szCs w:val="16"/>
        </w:rPr>
        <w:softHyphen/>
        <w:t>дировщиков - 531; разведчиков - 38.</w:t>
      </w:r>
    </w:p>
    <w:p w14:paraId="011591B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наряду с количественным выполнением плана формирований новых частей, укомплектования и обучения марлевых полков и пополнения одиночными летчиками и эки</w:t>
      </w:r>
      <w:r w:rsidRPr="00722885">
        <w:rPr>
          <w:rFonts w:ascii="Times New Roman" w:hAnsi="Times New Roman"/>
          <w:color w:val="000000" w:themeColor="text1"/>
          <w:sz w:val="16"/>
          <w:szCs w:val="16"/>
        </w:rPr>
        <w:softHyphen/>
        <w:t>пажами частей действующей авиации, в работе Управления Формирования и Боевой Подготовки продолжает иметь место:</w:t>
      </w:r>
    </w:p>
    <w:p w14:paraId="3384A17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отсутствие систематического контроля за подготов</w:t>
      </w:r>
      <w:r w:rsidRPr="00722885">
        <w:rPr>
          <w:rFonts w:ascii="Times New Roman" w:hAnsi="Times New Roman"/>
          <w:color w:val="000000" w:themeColor="text1"/>
          <w:sz w:val="16"/>
          <w:szCs w:val="16"/>
        </w:rPr>
        <w:softHyphen/>
        <w:t>кой маревых полков. Как правило, контроль осуществляет</w:t>
      </w:r>
      <w:r w:rsidRPr="00722885">
        <w:rPr>
          <w:rFonts w:ascii="Times New Roman" w:hAnsi="Times New Roman"/>
          <w:color w:val="000000" w:themeColor="text1"/>
          <w:sz w:val="16"/>
          <w:szCs w:val="16"/>
        </w:rPr>
        <w:softHyphen/>
        <w:t>ся в случаях грозящих срыву выполнения плана или отправ</w:t>
      </w:r>
      <w:r w:rsidRPr="00722885">
        <w:rPr>
          <w:rFonts w:ascii="Times New Roman" w:hAnsi="Times New Roman"/>
          <w:color w:val="000000" w:themeColor="text1"/>
          <w:sz w:val="16"/>
          <w:szCs w:val="16"/>
        </w:rPr>
        <w:softHyphen/>
        <w:t>ки маршевых полков на фронт.</w:t>
      </w:r>
    </w:p>
    <w:p w14:paraId="0232B5E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Практических мероприятий к выполнению требований Военного Совета ВВС КА о решительном улучшении системы контроля за подготовкой маршевых полков не разработано;</w:t>
      </w:r>
    </w:p>
    <w:p w14:paraId="6E7977A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отправка на фронт и в резерв Ставки Главного Комг дования Красной Армии маршевых полков незакончивших кур</w:t>
      </w:r>
      <w:r w:rsidRPr="00722885">
        <w:rPr>
          <w:rFonts w:ascii="Times New Roman" w:hAnsi="Times New Roman"/>
          <w:color w:val="000000" w:themeColor="text1"/>
          <w:sz w:val="16"/>
          <w:szCs w:val="16"/>
        </w:rPr>
        <w:softHyphen/>
        <w:t>са боевой подготовки и не сколоченных для успешного выполнения боевых задач. Штурмовые авиационные полки прибыв</w:t>
      </w:r>
      <w:r w:rsidRPr="00722885">
        <w:rPr>
          <w:rFonts w:ascii="Times New Roman" w:hAnsi="Times New Roman"/>
          <w:color w:val="000000" w:themeColor="text1"/>
          <w:sz w:val="16"/>
          <w:szCs w:val="16"/>
        </w:rPr>
        <w:softHyphen/>
        <w:t>шие на укомплектование авиационных корпусов при проверке показали низкие результаты стрельб, бомбометания и использования радиосвязи;</w:t>
      </w:r>
    </w:p>
    <w:p w14:paraId="44F05F9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низкий уровень боевой подготовки летного .состава истребительной авиации, особенно по обучению ведению воз</w:t>
      </w:r>
      <w:r w:rsidRPr="00722885">
        <w:rPr>
          <w:rFonts w:ascii="Times New Roman" w:hAnsi="Times New Roman"/>
          <w:color w:val="000000" w:themeColor="text1"/>
          <w:sz w:val="16"/>
          <w:szCs w:val="16"/>
        </w:rPr>
        <w:softHyphen/>
        <w:t xml:space="preserve">душного боя в паре. Не организована школа воздушного боя. Неудовлетворительно поставлена работа по передаче боевого опыта молодому летному составу. Низкий уровень штурманской подготовки истребителей, подтверждающийся отсутствием самостоятельных маршрутных полетов при обучении, а также недостаточностью времени отведенного на самолетовождение </w:t>
      </w:r>
      <w:r w:rsidRPr="00722885">
        <w:rPr>
          <w:rFonts w:ascii="Times New Roman" w:hAnsi="Times New Roman"/>
          <w:iCs/>
          <w:color w:val="000000" w:themeColor="text1"/>
          <w:sz w:val="16"/>
          <w:szCs w:val="16"/>
        </w:rPr>
        <w:t xml:space="preserve">(9% </w:t>
      </w:r>
      <w:r w:rsidRPr="00722885">
        <w:rPr>
          <w:rFonts w:ascii="Times New Roman" w:hAnsi="Times New Roman"/>
          <w:color w:val="000000" w:themeColor="text1"/>
          <w:sz w:val="16"/>
          <w:szCs w:val="16"/>
        </w:rPr>
        <w:t>к общему времени обучения);</w:t>
      </w:r>
    </w:p>
    <w:p w14:paraId="548FAD8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низкий уровень огневой и штурманской подготовки маршевых штурмовых авиационных полков. В курсе подготовки штурмовой авиации на самолетовождение и бомбометание от</w:t>
      </w:r>
      <w:r w:rsidRPr="00722885">
        <w:rPr>
          <w:rFonts w:ascii="Times New Roman" w:hAnsi="Times New Roman"/>
          <w:color w:val="000000" w:themeColor="text1"/>
          <w:sz w:val="16"/>
          <w:szCs w:val="16"/>
        </w:rPr>
        <w:softHyphen/>
        <w:t xml:space="preserve">ведено около </w:t>
      </w:r>
      <w:r w:rsidRPr="00722885">
        <w:rPr>
          <w:rFonts w:ascii="Times New Roman" w:hAnsi="Times New Roman"/>
          <w:iCs/>
          <w:color w:val="000000" w:themeColor="text1"/>
          <w:sz w:val="16"/>
          <w:szCs w:val="16"/>
        </w:rPr>
        <w:t xml:space="preserve">25% </w:t>
      </w:r>
      <w:r w:rsidRPr="00722885">
        <w:rPr>
          <w:rFonts w:ascii="Times New Roman" w:hAnsi="Times New Roman"/>
          <w:color w:val="000000" w:themeColor="text1"/>
          <w:sz w:val="16"/>
          <w:szCs w:val="16"/>
        </w:rPr>
        <w:t>общего времени обучения. Все маршрутные полеты и большая часть бомбометания выполняется группой, чем снижается подготовка одиночных экипажей;</w:t>
      </w:r>
    </w:p>
    <w:p w14:paraId="2700B1B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недостаточная отработка групповой слетанности, маневренности пары и звена, невысокое качество стрельб по наземным и воздушным целям, а также бомбометания с пи</w:t>
      </w:r>
      <w:r w:rsidRPr="00722885">
        <w:rPr>
          <w:rFonts w:ascii="Times New Roman" w:hAnsi="Times New Roman"/>
          <w:color w:val="000000" w:themeColor="text1"/>
          <w:sz w:val="16"/>
          <w:szCs w:val="16"/>
        </w:rPr>
        <w:softHyphen/>
        <w:t>кирования, летного состава бомбардировочных марлевых пол</w:t>
      </w:r>
      <w:r w:rsidRPr="00722885">
        <w:rPr>
          <w:rFonts w:ascii="Times New Roman" w:hAnsi="Times New Roman"/>
          <w:color w:val="000000" w:themeColor="text1"/>
          <w:sz w:val="16"/>
          <w:szCs w:val="16"/>
        </w:rPr>
        <w:softHyphen/>
        <w:t>ков. Имеют место случаи сокращения количества бомбомета</w:t>
      </w:r>
      <w:r w:rsidRPr="00722885">
        <w:rPr>
          <w:rFonts w:ascii="Times New Roman" w:hAnsi="Times New Roman"/>
          <w:color w:val="000000" w:themeColor="text1"/>
          <w:sz w:val="16"/>
          <w:szCs w:val="16"/>
        </w:rPr>
        <w:softHyphen/>
        <w:t>ний с пикирования, горизонтального полета и времени на строевую слетанность. Средний налет летчика доведен до 20 часов, вместо 23 часов предусмотренных программою. Мало практики в самолетовождении по РПК-2 (специального полета нет). Обучение самолетовождению по радиопеленгатору не предусмотрено программой штурманской подготовки.</w:t>
      </w:r>
    </w:p>
    <w:p w14:paraId="60AE909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ночной бомбардировочной авиации курс обучения не разработан. В настоящий момент обучение ночному бомбоме</w:t>
      </w:r>
      <w:r w:rsidRPr="00722885">
        <w:rPr>
          <w:rFonts w:ascii="Times New Roman" w:hAnsi="Times New Roman"/>
          <w:color w:val="000000" w:themeColor="text1"/>
          <w:sz w:val="16"/>
          <w:szCs w:val="16"/>
        </w:rPr>
        <w:softHyphen/>
        <w:t>танию производится по освещенным целям, а упражнения по самолетовождению предусматривают практически невыполнимые способы навигационных измерений (промер угла сноса ночью по меткам на стабилизаторе);</w:t>
      </w:r>
    </w:p>
    <w:p w14:paraId="23EF071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 неудовлетворительная постановка обучения разведчи</w:t>
      </w:r>
      <w:r w:rsidRPr="00722885">
        <w:rPr>
          <w:rFonts w:ascii="Times New Roman" w:hAnsi="Times New Roman"/>
          <w:color w:val="000000" w:themeColor="text1"/>
          <w:sz w:val="16"/>
          <w:szCs w:val="16"/>
        </w:rPr>
        <w:softHyphen/>
        <w:t>ков, а именно: только в октябре месяце с.г. разработан проект новой программы подготовки разведчиков на самолете ПЕ-2, который спущен в 15-й ЗРАП без утверждения; обуче</w:t>
      </w:r>
      <w:r w:rsidRPr="00722885">
        <w:rPr>
          <w:rFonts w:ascii="Times New Roman" w:hAnsi="Times New Roman"/>
          <w:color w:val="000000" w:themeColor="text1"/>
          <w:sz w:val="16"/>
          <w:szCs w:val="16"/>
        </w:rPr>
        <w:softHyphen/>
        <w:t>ние разведчиков ведет молодой инструкторский состав, не обладающий необходимой методической подготовкой и знанием разведки ; слабо обучаются разведывательные экипажи слепо</w:t>
      </w:r>
      <w:r w:rsidRPr="00722885">
        <w:rPr>
          <w:rFonts w:ascii="Times New Roman" w:hAnsi="Times New Roman"/>
          <w:color w:val="000000" w:themeColor="text1"/>
          <w:sz w:val="16"/>
          <w:szCs w:val="16"/>
        </w:rPr>
        <w:softHyphen/>
        <w:t>му полету; мало упражнений по боызометанию (один полет); курсом обучения не предусмотрена тренировка по бомбомета</w:t>
      </w:r>
      <w:r w:rsidRPr="00722885">
        <w:rPr>
          <w:rFonts w:ascii="Times New Roman" w:hAnsi="Times New Roman"/>
          <w:color w:val="000000" w:themeColor="text1"/>
          <w:sz w:val="16"/>
          <w:szCs w:val="16"/>
        </w:rPr>
        <w:softHyphen/>
        <w:t>нию с пикирования;</w:t>
      </w:r>
    </w:p>
    <w:p w14:paraId="23F0DE3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 неудовлетворительная постановка переучивания техни</w:t>
      </w:r>
      <w:r w:rsidRPr="00722885">
        <w:rPr>
          <w:rFonts w:ascii="Times New Roman" w:hAnsi="Times New Roman"/>
          <w:color w:val="000000" w:themeColor="text1"/>
          <w:sz w:val="16"/>
          <w:szCs w:val="16"/>
        </w:rPr>
        <w:softHyphen/>
        <w:t>ческого состава на новой матчасти, а также подготовка его по вопросам эксплоатации и полевого ремонта в зимних усло</w:t>
      </w:r>
      <w:r w:rsidRPr="00722885">
        <w:rPr>
          <w:rFonts w:ascii="Times New Roman" w:hAnsi="Times New Roman"/>
          <w:color w:val="000000" w:themeColor="text1"/>
          <w:sz w:val="16"/>
          <w:szCs w:val="16"/>
        </w:rPr>
        <w:softHyphen/>
        <w:t>виях.</w:t>
      </w:r>
    </w:p>
    <w:p w14:paraId="6A88E4E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то, что в 1У квартале с.г. запланировано переподготовить 2.317 человек летно-технического состава на заводах НКАП по разработанной и утвержденной 22.9.42 г. типовой программе, Управление Формирования и Боевой Под</w:t>
      </w:r>
      <w:r w:rsidRPr="00722885">
        <w:rPr>
          <w:rFonts w:ascii="Times New Roman" w:hAnsi="Times New Roman"/>
          <w:color w:val="000000" w:themeColor="text1"/>
          <w:sz w:val="16"/>
          <w:szCs w:val="16"/>
        </w:rPr>
        <w:softHyphen/>
        <w:t>готовки не знает фактического состояния переучивания на заводах НКАП и в запасных авиаполках.</w:t>
      </w:r>
    </w:p>
    <w:p w14:paraId="20C2495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 По контролю за боевой подготовке и по борьбе </w:t>
      </w:r>
      <w:r w:rsidRPr="00722885">
        <w:rPr>
          <w:rFonts w:ascii="Times New Roman" w:hAnsi="Times New Roman"/>
          <w:color w:val="000000" w:themeColor="text1"/>
          <w:sz w:val="16"/>
          <w:szCs w:val="16"/>
          <w:u w:val="single"/>
        </w:rPr>
        <w:t>с летными происшествиями.</w:t>
      </w:r>
    </w:p>
    <w:p w14:paraId="5885274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Учет боевой подготовки маршевых полков Управление Формирования и Боевой Подготовки ведет путем получения ме</w:t>
      </w:r>
      <w:r w:rsidRPr="00722885">
        <w:rPr>
          <w:rFonts w:ascii="Times New Roman" w:hAnsi="Times New Roman"/>
          <w:color w:val="000000" w:themeColor="text1"/>
          <w:sz w:val="16"/>
          <w:szCs w:val="16"/>
        </w:rPr>
        <w:softHyphen/>
        <w:t>сячных отчетов запасных бригад и полков к 15 числу каждого следующего месяца,- а также получения актов о готовности маршевых полков.</w:t>
      </w:r>
    </w:p>
    <w:p w14:paraId="074105B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основе этих документов составляются итоги работы за истекший месяц и намечаются дальнейшие мероприятия.</w:t>
      </w:r>
    </w:p>
    <w:p w14:paraId="64843FE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Указанные документы учета боевой подготовки имеют сле</w:t>
      </w:r>
      <w:r w:rsidRPr="00722885">
        <w:rPr>
          <w:rFonts w:ascii="Times New Roman" w:hAnsi="Times New Roman"/>
          <w:color w:val="000000" w:themeColor="text1"/>
          <w:sz w:val="16"/>
          <w:szCs w:val="16"/>
        </w:rPr>
        <w:softHyphen/>
        <w:t>ду щи е недостатки:</w:t>
      </w:r>
    </w:p>
    <w:p w14:paraId="40944A4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месячный отчет поступает в Управление поздно и не отражает качественных показателей боевой подготовки;</w:t>
      </w:r>
    </w:p>
    <w:p w14:paraId="13F2329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акты о готовности марлевого полка также не отражают качество подготовки, т.к. в них нет оценок по дисциплинам и элементам летной и боевой подготовки.</w:t>
      </w:r>
    </w:p>
    <w:p w14:paraId="4D8C093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Таким образом Управление Нормирования и Боевой Подго</w:t>
      </w:r>
      <w:r w:rsidRPr="00722885">
        <w:rPr>
          <w:rFonts w:ascii="Times New Roman" w:hAnsi="Times New Roman"/>
          <w:color w:val="000000" w:themeColor="text1"/>
          <w:sz w:val="16"/>
          <w:szCs w:val="16"/>
        </w:rPr>
        <w:softHyphen/>
        <w:t>товки не имеет данных к правильному и своевременному анали</w:t>
      </w:r>
      <w:r w:rsidRPr="00722885">
        <w:rPr>
          <w:rFonts w:ascii="Times New Roman" w:hAnsi="Times New Roman"/>
          <w:color w:val="000000" w:themeColor="text1"/>
          <w:sz w:val="16"/>
          <w:szCs w:val="16"/>
        </w:rPr>
        <w:softHyphen/>
        <w:t>зу состояния боевой подготовки за истекшее время.</w:t>
      </w:r>
    </w:p>
    <w:p w14:paraId="104BA4C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Руководство боевой подготовкой УТАГГ'ов Воздушных Армий частей внутренних округов, ВВС ДВФ и Забайкальского Воен</w:t>
      </w:r>
      <w:r w:rsidRPr="00722885">
        <w:rPr>
          <w:rFonts w:ascii="Times New Roman" w:hAnsi="Times New Roman"/>
          <w:color w:val="000000" w:themeColor="text1"/>
          <w:sz w:val="16"/>
          <w:szCs w:val="16"/>
        </w:rPr>
        <w:softHyphen/>
        <w:t>ного Округа, по существу выпадает из поля зрения Управле</w:t>
      </w:r>
      <w:r w:rsidRPr="00722885">
        <w:rPr>
          <w:rFonts w:ascii="Times New Roman" w:hAnsi="Times New Roman"/>
          <w:color w:val="000000" w:themeColor="text1"/>
          <w:sz w:val="16"/>
          <w:szCs w:val="16"/>
        </w:rPr>
        <w:softHyphen/>
        <w:t>ния Формирования и Боевой Подготовки и ограничивается толь</w:t>
      </w:r>
      <w:r w:rsidRPr="00722885">
        <w:rPr>
          <w:rFonts w:ascii="Times New Roman" w:hAnsi="Times New Roman"/>
          <w:color w:val="000000" w:themeColor="text1"/>
          <w:sz w:val="16"/>
          <w:szCs w:val="16"/>
        </w:rPr>
        <w:softHyphen/>
        <w:t>ко периодическими проверками частей, рассылкой приказов и директивных указаний.</w:t>
      </w:r>
    </w:p>
    <w:p w14:paraId="40FD5FE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Учет и изучение летных происшествий страдает рядом серьезных недостатков,не позволяющих вести успешную борьбу с аварийностью.</w:t>
      </w:r>
    </w:p>
    <w:p w14:paraId="5354F33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Установленные формы учета не позволяют своевременно изучать причины летных происшествий и предупреждать их.</w:t>
      </w:r>
    </w:p>
    <w:p w14:paraId="7D02633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Первоначальное донесение сообщает только о происшед</w:t>
      </w:r>
      <w:r w:rsidRPr="00722885">
        <w:rPr>
          <w:rFonts w:ascii="Times New Roman" w:hAnsi="Times New Roman"/>
          <w:color w:val="000000" w:themeColor="text1"/>
          <w:sz w:val="16"/>
          <w:szCs w:val="16"/>
        </w:rPr>
        <w:softHyphen/>
        <w:t>шем. Аварийный акт, подробно излагающий обстоятельства и причины происшествия, поступает от частей с опаздывалием от 10 дней до 3-х месяцев. Имеют место случаи неполучения от частей действующей авиации и внутренних округов, актов о летных происшествиях.</w:t>
      </w:r>
    </w:p>
    <w:p w14:paraId="5FA4E23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Поломки и вынужденные посадки в частях тыловых округе, и по небоевым потерям фронтов не учитываются.</w:t>
      </w:r>
    </w:p>
    <w:p w14:paraId="53880CE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Анализ летных происшествий по Военно-учебным заведе</w:t>
      </w:r>
      <w:r w:rsidRPr="00722885">
        <w:rPr>
          <w:rFonts w:ascii="Times New Roman" w:hAnsi="Times New Roman"/>
          <w:color w:val="000000" w:themeColor="text1"/>
          <w:sz w:val="16"/>
          <w:szCs w:val="16"/>
        </w:rPr>
        <w:softHyphen/>
        <w:t>ниям, авиации дальнего действия, истребительной авиации ПВО территории страны не изучается и не используется.</w:t>
      </w:r>
    </w:p>
    <w:p w14:paraId="25641CD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Управление Формирования и Боевой Подго</w:t>
      </w:r>
      <w:r w:rsidRPr="00722885">
        <w:rPr>
          <w:rFonts w:ascii="Times New Roman" w:hAnsi="Times New Roman"/>
          <w:color w:val="000000" w:themeColor="text1"/>
          <w:sz w:val="16"/>
          <w:szCs w:val="16"/>
        </w:rPr>
        <w:softHyphen/>
        <w:t>товки не дает всестороннего анализа летных происшествий и не обучает ВВС КА правильным методам предупреждения и борьбы с ними, вследствие чего количество аварий и ката</w:t>
      </w:r>
      <w:r w:rsidRPr="00722885">
        <w:rPr>
          <w:rFonts w:ascii="Times New Roman" w:hAnsi="Times New Roman"/>
          <w:color w:val="000000" w:themeColor="text1"/>
          <w:sz w:val="16"/>
          <w:szCs w:val="16"/>
        </w:rPr>
        <w:softHyphen/>
        <w:t>строф не уменьшается: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98"/>
        <w:gridCol w:w="798"/>
        <w:gridCol w:w="798"/>
        <w:gridCol w:w="798"/>
        <w:gridCol w:w="798"/>
        <w:gridCol w:w="798"/>
        <w:gridCol w:w="798"/>
        <w:gridCol w:w="798"/>
        <w:gridCol w:w="798"/>
        <w:gridCol w:w="798"/>
        <w:gridCol w:w="798"/>
        <w:gridCol w:w="798"/>
      </w:tblGrid>
      <w:tr w:rsidR="009B487A" w:rsidRPr="00722885" w14:paraId="0D0CCD89" w14:textId="77777777" w:rsidTr="00CC5360">
        <w:tc>
          <w:tcPr>
            <w:tcW w:w="798" w:type="dxa"/>
            <w:tcBorders>
              <w:top w:val="single" w:sz="12" w:space="0" w:color="auto"/>
            </w:tcBorders>
          </w:tcPr>
          <w:p w14:paraId="0CB22D0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w:t>
            </w:r>
            <w:r w:rsidRPr="00722885">
              <w:rPr>
                <w:rFonts w:ascii="Times New Roman" w:hAnsi="Times New Roman"/>
                <w:color w:val="000000" w:themeColor="text1"/>
                <w:sz w:val="16"/>
                <w:szCs w:val="16"/>
              </w:rPr>
              <w:softHyphen/>
              <w:t>ние проис</w:t>
            </w:r>
            <w:r w:rsidRPr="00722885">
              <w:rPr>
                <w:rFonts w:ascii="Times New Roman" w:hAnsi="Times New Roman"/>
                <w:color w:val="000000" w:themeColor="text1"/>
                <w:sz w:val="16"/>
                <w:szCs w:val="16"/>
              </w:rPr>
              <w:softHyphen/>
              <w:t xml:space="preserve">шествий </w:t>
            </w:r>
          </w:p>
        </w:tc>
        <w:tc>
          <w:tcPr>
            <w:tcW w:w="798" w:type="dxa"/>
            <w:tcBorders>
              <w:top w:val="single" w:sz="12" w:space="0" w:color="auto"/>
            </w:tcBorders>
          </w:tcPr>
          <w:p w14:paraId="2A77559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Январь</w:t>
            </w:r>
          </w:p>
        </w:tc>
        <w:tc>
          <w:tcPr>
            <w:tcW w:w="798" w:type="dxa"/>
            <w:tcBorders>
              <w:top w:val="single" w:sz="12" w:space="0" w:color="auto"/>
            </w:tcBorders>
          </w:tcPr>
          <w:p w14:paraId="3F1B641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Февраль</w:t>
            </w:r>
          </w:p>
        </w:tc>
        <w:tc>
          <w:tcPr>
            <w:tcW w:w="798" w:type="dxa"/>
            <w:tcBorders>
              <w:top w:val="single" w:sz="12" w:space="0" w:color="auto"/>
            </w:tcBorders>
          </w:tcPr>
          <w:p w14:paraId="18DB7ED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Март</w:t>
            </w:r>
          </w:p>
        </w:tc>
        <w:tc>
          <w:tcPr>
            <w:tcW w:w="798" w:type="dxa"/>
            <w:tcBorders>
              <w:top w:val="single" w:sz="12" w:space="0" w:color="auto"/>
            </w:tcBorders>
          </w:tcPr>
          <w:p w14:paraId="379E496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Апрель</w:t>
            </w:r>
          </w:p>
        </w:tc>
        <w:tc>
          <w:tcPr>
            <w:tcW w:w="798" w:type="dxa"/>
            <w:tcBorders>
              <w:top w:val="single" w:sz="12" w:space="0" w:color="auto"/>
            </w:tcBorders>
          </w:tcPr>
          <w:p w14:paraId="4E722CC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Май</w:t>
            </w:r>
          </w:p>
        </w:tc>
        <w:tc>
          <w:tcPr>
            <w:tcW w:w="798" w:type="dxa"/>
            <w:tcBorders>
              <w:top w:val="single" w:sz="12" w:space="0" w:color="auto"/>
            </w:tcBorders>
          </w:tcPr>
          <w:p w14:paraId="0D2D025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Июнь</w:t>
            </w:r>
          </w:p>
        </w:tc>
        <w:tc>
          <w:tcPr>
            <w:tcW w:w="798" w:type="dxa"/>
            <w:tcBorders>
              <w:top w:val="single" w:sz="12" w:space="0" w:color="auto"/>
            </w:tcBorders>
          </w:tcPr>
          <w:p w14:paraId="12BFD6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Июль</w:t>
            </w:r>
          </w:p>
        </w:tc>
        <w:tc>
          <w:tcPr>
            <w:tcW w:w="798" w:type="dxa"/>
            <w:tcBorders>
              <w:top w:val="single" w:sz="12" w:space="0" w:color="auto"/>
            </w:tcBorders>
          </w:tcPr>
          <w:p w14:paraId="648DADE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Август</w:t>
            </w:r>
          </w:p>
        </w:tc>
        <w:tc>
          <w:tcPr>
            <w:tcW w:w="798" w:type="dxa"/>
            <w:tcBorders>
              <w:top w:val="single" w:sz="12" w:space="0" w:color="auto"/>
            </w:tcBorders>
          </w:tcPr>
          <w:p w14:paraId="2A56486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Сентябрь</w:t>
            </w:r>
          </w:p>
        </w:tc>
        <w:tc>
          <w:tcPr>
            <w:tcW w:w="798" w:type="dxa"/>
            <w:tcBorders>
              <w:top w:val="single" w:sz="12" w:space="0" w:color="auto"/>
            </w:tcBorders>
          </w:tcPr>
          <w:p w14:paraId="4B2428B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Октябрь</w:t>
            </w:r>
          </w:p>
        </w:tc>
        <w:tc>
          <w:tcPr>
            <w:tcW w:w="798" w:type="dxa"/>
            <w:tcBorders>
              <w:top w:val="single" w:sz="12" w:space="0" w:color="auto"/>
            </w:tcBorders>
          </w:tcPr>
          <w:p w14:paraId="453B3FD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r>
      <w:tr w:rsidR="009B487A" w:rsidRPr="00722885" w14:paraId="2FD771CF" w14:textId="77777777" w:rsidTr="00CC5360">
        <w:tc>
          <w:tcPr>
            <w:tcW w:w="798" w:type="dxa"/>
          </w:tcPr>
          <w:p w14:paraId="3F35BD9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Катастроф</w:t>
            </w:r>
          </w:p>
        </w:tc>
        <w:tc>
          <w:tcPr>
            <w:tcW w:w="798" w:type="dxa"/>
          </w:tcPr>
          <w:p w14:paraId="0BB7F66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51 </w:t>
            </w:r>
          </w:p>
        </w:tc>
        <w:tc>
          <w:tcPr>
            <w:tcW w:w="798" w:type="dxa"/>
          </w:tcPr>
          <w:p w14:paraId="2B7449A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63 </w:t>
            </w:r>
          </w:p>
        </w:tc>
        <w:tc>
          <w:tcPr>
            <w:tcW w:w="798" w:type="dxa"/>
          </w:tcPr>
          <w:p w14:paraId="273B222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62 </w:t>
            </w:r>
          </w:p>
        </w:tc>
        <w:tc>
          <w:tcPr>
            <w:tcW w:w="798" w:type="dxa"/>
          </w:tcPr>
          <w:p w14:paraId="229AF84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54 </w:t>
            </w:r>
          </w:p>
        </w:tc>
        <w:tc>
          <w:tcPr>
            <w:tcW w:w="798" w:type="dxa"/>
          </w:tcPr>
          <w:p w14:paraId="2E32C2A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54 </w:t>
            </w:r>
          </w:p>
        </w:tc>
        <w:tc>
          <w:tcPr>
            <w:tcW w:w="798" w:type="dxa"/>
          </w:tcPr>
          <w:p w14:paraId="6C61A5B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74 </w:t>
            </w:r>
          </w:p>
        </w:tc>
        <w:tc>
          <w:tcPr>
            <w:tcW w:w="798" w:type="dxa"/>
          </w:tcPr>
          <w:p w14:paraId="791ED6F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82 </w:t>
            </w:r>
          </w:p>
        </w:tc>
        <w:tc>
          <w:tcPr>
            <w:tcW w:w="798" w:type="dxa"/>
          </w:tcPr>
          <w:p w14:paraId="2F297CD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77 </w:t>
            </w:r>
          </w:p>
        </w:tc>
        <w:tc>
          <w:tcPr>
            <w:tcW w:w="798" w:type="dxa"/>
          </w:tcPr>
          <w:p w14:paraId="65A776C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43 </w:t>
            </w:r>
          </w:p>
        </w:tc>
        <w:tc>
          <w:tcPr>
            <w:tcW w:w="798" w:type="dxa"/>
          </w:tcPr>
          <w:p w14:paraId="6485C53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72 </w:t>
            </w:r>
          </w:p>
        </w:tc>
        <w:tc>
          <w:tcPr>
            <w:tcW w:w="798" w:type="dxa"/>
          </w:tcPr>
          <w:p w14:paraId="7AEB4C3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632 </w:t>
            </w:r>
          </w:p>
        </w:tc>
      </w:tr>
      <w:tr w:rsidR="009B487A" w:rsidRPr="00722885" w14:paraId="52838026" w14:textId="77777777" w:rsidTr="00CC5360">
        <w:tc>
          <w:tcPr>
            <w:tcW w:w="798" w:type="dxa"/>
          </w:tcPr>
          <w:p w14:paraId="7735E30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Аварий</w:t>
            </w:r>
          </w:p>
        </w:tc>
        <w:tc>
          <w:tcPr>
            <w:tcW w:w="798" w:type="dxa"/>
          </w:tcPr>
          <w:p w14:paraId="69541CD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71 </w:t>
            </w:r>
          </w:p>
        </w:tc>
        <w:tc>
          <w:tcPr>
            <w:tcW w:w="798" w:type="dxa"/>
          </w:tcPr>
          <w:p w14:paraId="5AE29FF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97 </w:t>
            </w:r>
          </w:p>
        </w:tc>
        <w:tc>
          <w:tcPr>
            <w:tcW w:w="798" w:type="dxa"/>
          </w:tcPr>
          <w:p w14:paraId="4320CF3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132 </w:t>
            </w:r>
          </w:p>
        </w:tc>
        <w:tc>
          <w:tcPr>
            <w:tcW w:w="798" w:type="dxa"/>
          </w:tcPr>
          <w:p w14:paraId="5CB9E85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106 </w:t>
            </w:r>
          </w:p>
        </w:tc>
        <w:tc>
          <w:tcPr>
            <w:tcW w:w="798" w:type="dxa"/>
          </w:tcPr>
          <w:p w14:paraId="631415E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117 </w:t>
            </w:r>
          </w:p>
        </w:tc>
        <w:tc>
          <w:tcPr>
            <w:tcW w:w="798" w:type="dxa"/>
          </w:tcPr>
          <w:p w14:paraId="1498D16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143 </w:t>
            </w:r>
          </w:p>
        </w:tc>
        <w:tc>
          <w:tcPr>
            <w:tcW w:w="798" w:type="dxa"/>
          </w:tcPr>
          <w:p w14:paraId="45A7174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157 </w:t>
            </w:r>
          </w:p>
        </w:tc>
        <w:tc>
          <w:tcPr>
            <w:tcW w:w="798" w:type="dxa"/>
          </w:tcPr>
          <w:p w14:paraId="36346F4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134 </w:t>
            </w:r>
          </w:p>
        </w:tc>
        <w:tc>
          <w:tcPr>
            <w:tcW w:w="798" w:type="dxa"/>
          </w:tcPr>
          <w:p w14:paraId="149E065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97 </w:t>
            </w:r>
          </w:p>
        </w:tc>
        <w:tc>
          <w:tcPr>
            <w:tcW w:w="798" w:type="dxa"/>
          </w:tcPr>
          <w:p w14:paraId="0D66ABC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72 </w:t>
            </w:r>
          </w:p>
        </w:tc>
        <w:tc>
          <w:tcPr>
            <w:tcW w:w="798" w:type="dxa"/>
          </w:tcPr>
          <w:p w14:paraId="36D989A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1116 </w:t>
            </w:r>
          </w:p>
        </w:tc>
      </w:tr>
      <w:tr w:rsidR="009B487A" w:rsidRPr="00722885" w14:paraId="6DE3C606" w14:textId="77777777" w:rsidTr="00CC5360">
        <w:tc>
          <w:tcPr>
            <w:tcW w:w="798" w:type="dxa"/>
          </w:tcPr>
          <w:p w14:paraId="19D8048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Поломок</w:t>
            </w:r>
          </w:p>
        </w:tc>
        <w:tc>
          <w:tcPr>
            <w:tcW w:w="798" w:type="dxa"/>
          </w:tcPr>
          <w:p w14:paraId="0F3276E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32 </w:t>
            </w:r>
          </w:p>
        </w:tc>
        <w:tc>
          <w:tcPr>
            <w:tcW w:w="798" w:type="dxa"/>
          </w:tcPr>
          <w:p w14:paraId="1E0836D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39 </w:t>
            </w:r>
          </w:p>
        </w:tc>
        <w:tc>
          <w:tcPr>
            <w:tcW w:w="798" w:type="dxa"/>
          </w:tcPr>
          <w:p w14:paraId="3C2B9A8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201 </w:t>
            </w:r>
          </w:p>
        </w:tc>
        <w:tc>
          <w:tcPr>
            <w:tcW w:w="798" w:type="dxa"/>
          </w:tcPr>
          <w:p w14:paraId="6FD5475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125 </w:t>
            </w:r>
          </w:p>
        </w:tc>
        <w:tc>
          <w:tcPr>
            <w:tcW w:w="798" w:type="dxa"/>
          </w:tcPr>
          <w:p w14:paraId="641F14A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222 </w:t>
            </w:r>
          </w:p>
        </w:tc>
        <w:tc>
          <w:tcPr>
            <w:tcW w:w="798" w:type="dxa"/>
          </w:tcPr>
          <w:p w14:paraId="1767ECC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199 </w:t>
            </w:r>
          </w:p>
        </w:tc>
        <w:tc>
          <w:tcPr>
            <w:tcW w:w="798" w:type="dxa"/>
          </w:tcPr>
          <w:p w14:paraId="08F2C11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189 </w:t>
            </w:r>
          </w:p>
        </w:tc>
        <w:tc>
          <w:tcPr>
            <w:tcW w:w="798" w:type="dxa"/>
          </w:tcPr>
          <w:p w14:paraId="63E7724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144 </w:t>
            </w:r>
          </w:p>
        </w:tc>
        <w:tc>
          <w:tcPr>
            <w:tcW w:w="798" w:type="dxa"/>
          </w:tcPr>
          <w:p w14:paraId="41186B4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97 </w:t>
            </w:r>
          </w:p>
        </w:tc>
        <w:tc>
          <w:tcPr>
            <w:tcW w:w="798" w:type="dxa"/>
          </w:tcPr>
          <w:p w14:paraId="60D8804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w:t>
            </w:r>
          </w:p>
        </w:tc>
        <w:tc>
          <w:tcPr>
            <w:tcW w:w="798" w:type="dxa"/>
          </w:tcPr>
          <w:p w14:paraId="6CBEC6F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1248 </w:t>
            </w:r>
          </w:p>
        </w:tc>
      </w:tr>
      <w:tr w:rsidR="009B487A" w:rsidRPr="00722885" w14:paraId="7E1F3579" w14:textId="77777777" w:rsidTr="00CC5360">
        <w:tc>
          <w:tcPr>
            <w:tcW w:w="798" w:type="dxa"/>
          </w:tcPr>
          <w:p w14:paraId="5630BB5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Вынужденных посадок</w:t>
            </w:r>
          </w:p>
        </w:tc>
        <w:tc>
          <w:tcPr>
            <w:tcW w:w="798" w:type="dxa"/>
          </w:tcPr>
          <w:p w14:paraId="2690708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w:t>
            </w:r>
          </w:p>
        </w:tc>
        <w:tc>
          <w:tcPr>
            <w:tcW w:w="798" w:type="dxa"/>
          </w:tcPr>
          <w:p w14:paraId="0E3A603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18 </w:t>
            </w:r>
          </w:p>
        </w:tc>
        <w:tc>
          <w:tcPr>
            <w:tcW w:w="798" w:type="dxa"/>
          </w:tcPr>
          <w:p w14:paraId="7089B7A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62 </w:t>
            </w:r>
          </w:p>
        </w:tc>
        <w:tc>
          <w:tcPr>
            <w:tcW w:w="798" w:type="dxa"/>
          </w:tcPr>
          <w:p w14:paraId="6E5873A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68 </w:t>
            </w:r>
          </w:p>
        </w:tc>
        <w:tc>
          <w:tcPr>
            <w:tcW w:w="798" w:type="dxa"/>
          </w:tcPr>
          <w:p w14:paraId="525A188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89 </w:t>
            </w:r>
          </w:p>
        </w:tc>
        <w:tc>
          <w:tcPr>
            <w:tcW w:w="798" w:type="dxa"/>
          </w:tcPr>
          <w:p w14:paraId="656AB4F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91 </w:t>
            </w:r>
          </w:p>
        </w:tc>
        <w:tc>
          <w:tcPr>
            <w:tcW w:w="798" w:type="dxa"/>
          </w:tcPr>
          <w:p w14:paraId="49ACAEE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112 </w:t>
            </w:r>
          </w:p>
        </w:tc>
        <w:tc>
          <w:tcPr>
            <w:tcW w:w="798" w:type="dxa"/>
          </w:tcPr>
          <w:p w14:paraId="00BFECC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93 </w:t>
            </w:r>
          </w:p>
        </w:tc>
        <w:tc>
          <w:tcPr>
            <w:tcW w:w="798" w:type="dxa"/>
          </w:tcPr>
          <w:p w14:paraId="5DEC567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60 </w:t>
            </w:r>
          </w:p>
        </w:tc>
        <w:tc>
          <w:tcPr>
            <w:tcW w:w="798" w:type="dxa"/>
          </w:tcPr>
          <w:p w14:paraId="4EBE76A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w:t>
            </w:r>
          </w:p>
        </w:tc>
        <w:tc>
          <w:tcPr>
            <w:tcW w:w="798" w:type="dxa"/>
          </w:tcPr>
          <w:p w14:paraId="7BDA3B3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601 </w:t>
            </w:r>
          </w:p>
        </w:tc>
      </w:tr>
      <w:tr w:rsidR="009B487A" w:rsidRPr="00722885" w14:paraId="3D9D7601" w14:textId="77777777" w:rsidTr="00CC5360">
        <w:tc>
          <w:tcPr>
            <w:tcW w:w="798" w:type="dxa"/>
            <w:tcBorders>
              <w:bottom w:val="single" w:sz="12" w:space="0" w:color="auto"/>
            </w:tcBorders>
          </w:tcPr>
          <w:p w14:paraId="0E536AA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w:t>
            </w:r>
          </w:p>
        </w:tc>
        <w:tc>
          <w:tcPr>
            <w:tcW w:w="798" w:type="dxa"/>
            <w:tcBorders>
              <w:bottom w:val="single" w:sz="12" w:space="0" w:color="auto"/>
            </w:tcBorders>
          </w:tcPr>
          <w:p w14:paraId="312F60B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172 </w:t>
            </w:r>
          </w:p>
        </w:tc>
        <w:tc>
          <w:tcPr>
            <w:tcW w:w="798" w:type="dxa"/>
            <w:tcBorders>
              <w:bottom w:val="single" w:sz="12" w:space="0" w:color="auto"/>
            </w:tcBorders>
          </w:tcPr>
          <w:p w14:paraId="019DEA0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217 </w:t>
            </w:r>
          </w:p>
        </w:tc>
        <w:tc>
          <w:tcPr>
            <w:tcW w:w="798" w:type="dxa"/>
            <w:tcBorders>
              <w:bottom w:val="single" w:sz="12" w:space="0" w:color="auto"/>
            </w:tcBorders>
          </w:tcPr>
          <w:p w14:paraId="2226F19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456 </w:t>
            </w:r>
          </w:p>
        </w:tc>
        <w:tc>
          <w:tcPr>
            <w:tcW w:w="798" w:type="dxa"/>
            <w:tcBorders>
              <w:bottom w:val="single" w:sz="12" w:space="0" w:color="auto"/>
            </w:tcBorders>
          </w:tcPr>
          <w:p w14:paraId="4B0E334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353 </w:t>
            </w:r>
          </w:p>
        </w:tc>
        <w:tc>
          <w:tcPr>
            <w:tcW w:w="798" w:type="dxa"/>
            <w:tcBorders>
              <w:bottom w:val="single" w:sz="12" w:space="0" w:color="auto"/>
            </w:tcBorders>
          </w:tcPr>
          <w:p w14:paraId="7AD1E37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482 </w:t>
            </w:r>
          </w:p>
        </w:tc>
        <w:tc>
          <w:tcPr>
            <w:tcW w:w="798" w:type="dxa"/>
            <w:tcBorders>
              <w:bottom w:val="single" w:sz="12" w:space="0" w:color="auto"/>
            </w:tcBorders>
          </w:tcPr>
          <w:p w14:paraId="611095C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507 </w:t>
            </w:r>
          </w:p>
        </w:tc>
        <w:tc>
          <w:tcPr>
            <w:tcW w:w="798" w:type="dxa"/>
            <w:tcBorders>
              <w:bottom w:val="single" w:sz="12" w:space="0" w:color="auto"/>
            </w:tcBorders>
          </w:tcPr>
          <w:p w14:paraId="544F318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540 </w:t>
            </w:r>
          </w:p>
        </w:tc>
        <w:tc>
          <w:tcPr>
            <w:tcW w:w="798" w:type="dxa"/>
            <w:tcBorders>
              <w:bottom w:val="single" w:sz="12" w:space="0" w:color="auto"/>
            </w:tcBorders>
          </w:tcPr>
          <w:p w14:paraId="7D2C35B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448 </w:t>
            </w:r>
          </w:p>
        </w:tc>
        <w:tc>
          <w:tcPr>
            <w:tcW w:w="798" w:type="dxa"/>
            <w:tcBorders>
              <w:bottom w:val="single" w:sz="12" w:space="0" w:color="auto"/>
            </w:tcBorders>
          </w:tcPr>
          <w:p w14:paraId="2415FC0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294 </w:t>
            </w:r>
          </w:p>
        </w:tc>
        <w:tc>
          <w:tcPr>
            <w:tcW w:w="798" w:type="dxa"/>
            <w:tcBorders>
              <w:bottom w:val="single" w:sz="12" w:space="0" w:color="auto"/>
            </w:tcBorders>
          </w:tcPr>
          <w:p w14:paraId="7A739D0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144 </w:t>
            </w:r>
          </w:p>
        </w:tc>
        <w:tc>
          <w:tcPr>
            <w:tcW w:w="798" w:type="dxa"/>
            <w:tcBorders>
              <w:bottom w:val="single" w:sz="12" w:space="0" w:color="auto"/>
            </w:tcBorders>
          </w:tcPr>
          <w:p w14:paraId="405CA7C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3597 </w:t>
            </w:r>
          </w:p>
        </w:tc>
      </w:tr>
    </w:tbl>
    <w:p w14:paraId="5CC4CFB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чего: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98"/>
        <w:gridCol w:w="798"/>
        <w:gridCol w:w="798"/>
        <w:gridCol w:w="798"/>
        <w:gridCol w:w="798"/>
        <w:gridCol w:w="798"/>
        <w:gridCol w:w="798"/>
        <w:gridCol w:w="798"/>
        <w:gridCol w:w="798"/>
        <w:gridCol w:w="798"/>
        <w:gridCol w:w="798"/>
        <w:gridCol w:w="798"/>
      </w:tblGrid>
      <w:tr w:rsidR="009B487A" w:rsidRPr="00722885" w14:paraId="4D0CFA5A" w14:textId="77777777" w:rsidTr="00CC5360">
        <w:tc>
          <w:tcPr>
            <w:tcW w:w="798" w:type="dxa"/>
            <w:tcBorders>
              <w:top w:val="single" w:sz="12" w:space="0" w:color="auto"/>
            </w:tcBorders>
          </w:tcPr>
          <w:p w14:paraId="05627B8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Потери; </w:t>
            </w:r>
          </w:p>
        </w:tc>
        <w:tc>
          <w:tcPr>
            <w:tcW w:w="798" w:type="dxa"/>
            <w:tcBorders>
              <w:top w:val="single" w:sz="12" w:space="0" w:color="auto"/>
            </w:tcBorders>
          </w:tcPr>
          <w:p w14:paraId="2E2992C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Январь</w:t>
            </w:r>
          </w:p>
        </w:tc>
        <w:tc>
          <w:tcPr>
            <w:tcW w:w="798" w:type="dxa"/>
            <w:tcBorders>
              <w:top w:val="single" w:sz="12" w:space="0" w:color="auto"/>
            </w:tcBorders>
          </w:tcPr>
          <w:p w14:paraId="0BF1BB7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Февраль</w:t>
            </w:r>
          </w:p>
        </w:tc>
        <w:tc>
          <w:tcPr>
            <w:tcW w:w="798" w:type="dxa"/>
            <w:tcBorders>
              <w:top w:val="single" w:sz="12" w:space="0" w:color="auto"/>
            </w:tcBorders>
          </w:tcPr>
          <w:p w14:paraId="53B244E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Март</w:t>
            </w:r>
          </w:p>
        </w:tc>
        <w:tc>
          <w:tcPr>
            <w:tcW w:w="798" w:type="dxa"/>
            <w:tcBorders>
              <w:top w:val="single" w:sz="12" w:space="0" w:color="auto"/>
            </w:tcBorders>
          </w:tcPr>
          <w:p w14:paraId="790B6A3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Апрель</w:t>
            </w:r>
          </w:p>
        </w:tc>
        <w:tc>
          <w:tcPr>
            <w:tcW w:w="798" w:type="dxa"/>
            <w:tcBorders>
              <w:top w:val="single" w:sz="12" w:space="0" w:color="auto"/>
            </w:tcBorders>
          </w:tcPr>
          <w:p w14:paraId="45F61D8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Май</w:t>
            </w:r>
          </w:p>
        </w:tc>
        <w:tc>
          <w:tcPr>
            <w:tcW w:w="798" w:type="dxa"/>
            <w:tcBorders>
              <w:top w:val="single" w:sz="12" w:space="0" w:color="auto"/>
            </w:tcBorders>
          </w:tcPr>
          <w:p w14:paraId="0DD7158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Июнь</w:t>
            </w:r>
          </w:p>
        </w:tc>
        <w:tc>
          <w:tcPr>
            <w:tcW w:w="798" w:type="dxa"/>
            <w:tcBorders>
              <w:top w:val="single" w:sz="12" w:space="0" w:color="auto"/>
            </w:tcBorders>
          </w:tcPr>
          <w:p w14:paraId="0F61242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Июль</w:t>
            </w:r>
          </w:p>
        </w:tc>
        <w:tc>
          <w:tcPr>
            <w:tcW w:w="798" w:type="dxa"/>
            <w:tcBorders>
              <w:top w:val="single" w:sz="12" w:space="0" w:color="auto"/>
            </w:tcBorders>
          </w:tcPr>
          <w:p w14:paraId="1CB48C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Август</w:t>
            </w:r>
          </w:p>
        </w:tc>
        <w:tc>
          <w:tcPr>
            <w:tcW w:w="798" w:type="dxa"/>
            <w:tcBorders>
              <w:top w:val="single" w:sz="12" w:space="0" w:color="auto"/>
            </w:tcBorders>
          </w:tcPr>
          <w:p w14:paraId="5577AFF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Сентябрь</w:t>
            </w:r>
          </w:p>
        </w:tc>
        <w:tc>
          <w:tcPr>
            <w:tcW w:w="798" w:type="dxa"/>
            <w:tcBorders>
              <w:top w:val="single" w:sz="12" w:space="0" w:color="auto"/>
            </w:tcBorders>
          </w:tcPr>
          <w:p w14:paraId="6BA6FEA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Октябрь</w:t>
            </w:r>
          </w:p>
        </w:tc>
        <w:tc>
          <w:tcPr>
            <w:tcW w:w="798" w:type="dxa"/>
            <w:tcBorders>
              <w:top w:val="single" w:sz="12" w:space="0" w:color="auto"/>
            </w:tcBorders>
          </w:tcPr>
          <w:p w14:paraId="00836D8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r>
      <w:tr w:rsidR="009B487A" w:rsidRPr="00722885" w14:paraId="631D20AC" w14:textId="77777777" w:rsidTr="00CC5360">
        <w:tc>
          <w:tcPr>
            <w:tcW w:w="798" w:type="dxa"/>
          </w:tcPr>
          <w:p w14:paraId="05ED3EA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Убито-чел. </w:t>
            </w:r>
          </w:p>
        </w:tc>
        <w:tc>
          <w:tcPr>
            <w:tcW w:w="798" w:type="dxa"/>
          </w:tcPr>
          <w:p w14:paraId="7988E6C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77 </w:t>
            </w:r>
          </w:p>
        </w:tc>
        <w:tc>
          <w:tcPr>
            <w:tcW w:w="798" w:type="dxa"/>
          </w:tcPr>
          <w:p w14:paraId="1409576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123 </w:t>
            </w:r>
          </w:p>
        </w:tc>
        <w:tc>
          <w:tcPr>
            <w:tcW w:w="798" w:type="dxa"/>
          </w:tcPr>
          <w:p w14:paraId="456AC37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124 </w:t>
            </w:r>
          </w:p>
        </w:tc>
        <w:tc>
          <w:tcPr>
            <w:tcW w:w="798" w:type="dxa"/>
          </w:tcPr>
          <w:p w14:paraId="2BD8824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85 </w:t>
            </w:r>
          </w:p>
        </w:tc>
        <w:tc>
          <w:tcPr>
            <w:tcW w:w="798" w:type="dxa"/>
          </w:tcPr>
          <w:p w14:paraId="2C0B529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96 </w:t>
            </w:r>
          </w:p>
        </w:tc>
        <w:tc>
          <w:tcPr>
            <w:tcW w:w="798" w:type="dxa"/>
          </w:tcPr>
          <w:p w14:paraId="496C081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130 </w:t>
            </w:r>
          </w:p>
        </w:tc>
        <w:tc>
          <w:tcPr>
            <w:tcW w:w="798" w:type="dxa"/>
          </w:tcPr>
          <w:p w14:paraId="507EBAF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119 </w:t>
            </w:r>
          </w:p>
        </w:tc>
        <w:tc>
          <w:tcPr>
            <w:tcW w:w="798" w:type="dxa"/>
          </w:tcPr>
          <w:p w14:paraId="28D7451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122 </w:t>
            </w:r>
          </w:p>
        </w:tc>
        <w:tc>
          <w:tcPr>
            <w:tcW w:w="798" w:type="dxa"/>
          </w:tcPr>
          <w:p w14:paraId="65822F0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59 </w:t>
            </w:r>
          </w:p>
        </w:tc>
        <w:tc>
          <w:tcPr>
            <w:tcW w:w="798" w:type="dxa"/>
          </w:tcPr>
          <w:p w14:paraId="4E53688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w:t>
            </w:r>
          </w:p>
        </w:tc>
        <w:tc>
          <w:tcPr>
            <w:tcW w:w="798" w:type="dxa"/>
          </w:tcPr>
          <w:p w14:paraId="70DCD67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104 </w:t>
            </w:r>
          </w:p>
        </w:tc>
      </w:tr>
      <w:tr w:rsidR="009B487A" w:rsidRPr="00722885" w14:paraId="22ABC687" w14:textId="77777777" w:rsidTr="00CC5360">
        <w:tc>
          <w:tcPr>
            <w:tcW w:w="798" w:type="dxa"/>
          </w:tcPr>
          <w:p w14:paraId="6F7B473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Ранено -чел. </w:t>
            </w:r>
          </w:p>
        </w:tc>
        <w:tc>
          <w:tcPr>
            <w:tcW w:w="798" w:type="dxa"/>
          </w:tcPr>
          <w:p w14:paraId="6767F5E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21 </w:t>
            </w:r>
          </w:p>
        </w:tc>
        <w:tc>
          <w:tcPr>
            <w:tcW w:w="798" w:type="dxa"/>
          </w:tcPr>
          <w:p w14:paraId="1A52632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 </w:t>
            </w:r>
          </w:p>
        </w:tc>
        <w:tc>
          <w:tcPr>
            <w:tcW w:w="798" w:type="dxa"/>
          </w:tcPr>
          <w:p w14:paraId="65B1E79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39 </w:t>
            </w:r>
          </w:p>
        </w:tc>
        <w:tc>
          <w:tcPr>
            <w:tcW w:w="798" w:type="dxa"/>
          </w:tcPr>
          <w:p w14:paraId="750F713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58 </w:t>
            </w:r>
          </w:p>
        </w:tc>
        <w:tc>
          <w:tcPr>
            <w:tcW w:w="798" w:type="dxa"/>
          </w:tcPr>
          <w:p w14:paraId="6C7621A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63 </w:t>
            </w:r>
          </w:p>
        </w:tc>
        <w:tc>
          <w:tcPr>
            <w:tcW w:w="798" w:type="dxa"/>
          </w:tcPr>
          <w:p w14:paraId="0AF57D4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60 </w:t>
            </w:r>
          </w:p>
        </w:tc>
        <w:tc>
          <w:tcPr>
            <w:tcW w:w="798" w:type="dxa"/>
          </w:tcPr>
          <w:p w14:paraId="06D4BC0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57 </w:t>
            </w:r>
          </w:p>
        </w:tc>
        <w:tc>
          <w:tcPr>
            <w:tcW w:w="798" w:type="dxa"/>
          </w:tcPr>
          <w:p w14:paraId="2A3E363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42 </w:t>
            </w:r>
          </w:p>
        </w:tc>
        <w:tc>
          <w:tcPr>
            <w:tcW w:w="798" w:type="dxa"/>
          </w:tcPr>
          <w:p w14:paraId="2FB244A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50 </w:t>
            </w:r>
          </w:p>
        </w:tc>
        <w:tc>
          <w:tcPr>
            <w:tcW w:w="798" w:type="dxa"/>
          </w:tcPr>
          <w:p w14:paraId="65018E3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48 </w:t>
            </w:r>
          </w:p>
        </w:tc>
        <w:tc>
          <w:tcPr>
            <w:tcW w:w="798" w:type="dxa"/>
          </w:tcPr>
          <w:p w14:paraId="07BAC1D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46 </w:t>
            </w:r>
          </w:p>
        </w:tc>
      </w:tr>
      <w:tr w:rsidR="009B487A" w:rsidRPr="00722885" w14:paraId="104AED7D" w14:textId="77777777" w:rsidTr="00CC5360">
        <w:tc>
          <w:tcPr>
            <w:tcW w:w="798" w:type="dxa"/>
          </w:tcPr>
          <w:p w14:paraId="32EBE5F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Разбито самолетов</w:t>
            </w:r>
          </w:p>
        </w:tc>
        <w:tc>
          <w:tcPr>
            <w:tcW w:w="798" w:type="dxa"/>
          </w:tcPr>
          <w:p w14:paraId="1EE1DBB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92 </w:t>
            </w:r>
          </w:p>
        </w:tc>
        <w:tc>
          <w:tcPr>
            <w:tcW w:w="798" w:type="dxa"/>
          </w:tcPr>
          <w:p w14:paraId="59B6008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119 </w:t>
            </w:r>
          </w:p>
        </w:tc>
        <w:tc>
          <w:tcPr>
            <w:tcW w:w="798" w:type="dxa"/>
          </w:tcPr>
          <w:p w14:paraId="363EEBB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147 </w:t>
            </w:r>
          </w:p>
        </w:tc>
        <w:tc>
          <w:tcPr>
            <w:tcW w:w="798" w:type="dxa"/>
          </w:tcPr>
          <w:p w14:paraId="26E6DAC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106 </w:t>
            </w:r>
          </w:p>
        </w:tc>
        <w:tc>
          <w:tcPr>
            <w:tcW w:w="798" w:type="dxa"/>
          </w:tcPr>
          <w:p w14:paraId="0163B65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114 </w:t>
            </w:r>
          </w:p>
        </w:tc>
        <w:tc>
          <w:tcPr>
            <w:tcW w:w="798" w:type="dxa"/>
          </w:tcPr>
          <w:p w14:paraId="695734B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149 </w:t>
            </w:r>
          </w:p>
        </w:tc>
        <w:tc>
          <w:tcPr>
            <w:tcW w:w="798" w:type="dxa"/>
          </w:tcPr>
          <w:p w14:paraId="518D6BA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171 </w:t>
            </w:r>
          </w:p>
        </w:tc>
        <w:tc>
          <w:tcPr>
            <w:tcW w:w="798" w:type="dxa"/>
          </w:tcPr>
          <w:p w14:paraId="3966D20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146 </w:t>
            </w:r>
          </w:p>
        </w:tc>
        <w:tc>
          <w:tcPr>
            <w:tcW w:w="798" w:type="dxa"/>
          </w:tcPr>
          <w:p w14:paraId="389569B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99 </w:t>
            </w:r>
          </w:p>
        </w:tc>
        <w:tc>
          <w:tcPr>
            <w:tcW w:w="798" w:type="dxa"/>
          </w:tcPr>
          <w:p w14:paraId="5706146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119 </w:t>
            </w:r>
          </w:p>
        </w:tc>
        <w:tc>
          <w:tcPr>
            <w:tcW w:w="798" w:type="dxa"/>
          </w:tcPr>
          <w:p w14:paraId="1F4AB69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126 </w:t>
            </w:r>
          </w:p>
        </w:tc>
      </w:tr>
      <w:tr w:rsidR="009B487A" w:rsidRPr="00722885" w14:paraId="7B8DDA04" w14:textId="77777777" w:rsidTr="00CC5360">
        <w:tc>
          <w:tcPr>
            <w:tcW w:w="798" w:type="dxa"/>
            <w:tcBorders>
              <w:bottom w:val="single" w:sz="12" w:space="0" w:color="auto"/>
            </w:tcBorders>
          </w:tcPr>
          <w:p w14:paraId="25857DD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Самолетов, требующих ремонта</w:t>
            </w:r>
          </w:p>
        </w:tc>
        <w:tc>
          <w:tcPr>
            <w:tcW w:w="798" w:type="dxa"/>
            <w:tcBorders>
              <w:bottom w:val="single" w:sz="12" w:space="0" w:color="auto"/>
            </w:tcBorders>
          </w:tcPr>
          <w:p w14:paraId="0D39B27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30 </w:t>
            </w:r>
          </w:p>
        </w:tc>
        <w:tc>
          <w:tcPr>
            <w:tcW w:w="798" w:type="dxa"/>
            <w:tcBorders>
              <w:bottom w:val="single" w:sz="12" w:space="0" w:color="auto"/>
            </w:tcBorders>
          </w:tcPr>
          <w:p w14:paraId="798067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46 </w:t>
            </w:r>
          </w:p>
        </w:tc>
        <w:tc>
          <w:tcPr>
            <w:tcW w:w="798" w:type="dxa"/>
            <w:tcBorders>
              <w:bottom w:val="single" w:sz="12" w:space="0" w:color="auto"/>
            </w:tcBorders>
          </w:tcPr>
          <w:p w14:paraId="4E193FD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47 </w:t>
            </w:r>
          </w:p>
        </w:tc>
        <w:tc>
          <w:tcPr>
            <w:tcW w:w="798" w:type="dxa"/>
            <w:tcBorders>
              <w:bottom w:val="single" w:sz="12" w:space="0" w:color="auto"/>
            </w:tcBorders>
          </w:tcPr>
          <w:p w14:paraId="39B3D8B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54 </w:t>
            </w:r>
          </w:p>
        </w:tc>
        <w:tc>
          <w:tcPr>
            <w:tcW w:w="798" w:type="dxa"/>
            <w:tcBorders>
              <w:bottom w:val="single" w:sz="12" w:space="0" w:color="auto"/>
            </w:tcBorders>
          </w:tcPr>
          <w:p w14:paraId="438E30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60 </w:t>
            </w:r>
          </w:p>
        </w:tc>
        <w:tc>
          <w:tcPr>
            <w:tcW w:w="798" w:type="dxa"/>
            <w:tcBorders>
              <w:bottom w:val="single" w:sz="12" w:space="0" w:color="auto"/>
            </w:tcBorders>
          </w:tcPr>
          <w:p w14:paraId="40E4FC7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70 </w:t>
            </w:r>
          </w:p>
        </w:tc>
        <w:tc>
          <w:tcPr>
            <w:tcW w:w="798" w:type="dxa"/>
            <w:tcBorders>
              <w:bottom w:val="single" w:sz="12" w:space="0" w:color="auto"/>
            </w:tcBorders>
          </w:tcPr>
          <w:p w14:paraId="2BB77CB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68 </w:t>
            </w:r>
          </w:p>
        </w:tc>
        <w:tc>
          <w:tcPr>
            <w:tcW w:w="798" w:type="dxa"/>
            <w:tcBorders>
              <w:bottom w:val="single" w:sz="12" w:space="0" w:color="auto"/>
            </w:tcBorders>
          </w:tcPr>
          <w:p w14:paraId="3939280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66 </w:t>
            </w:r>
          </w:p>
        </w:tc>
        <w:tc>
          <w:tcPr>
            <w:tcW w:w="798" w:type="dxa"/>
            <w:tcBorders>
              <w:bottom w:val="single" w:sz="12" w:space="0" w:color="auto"/>
            </w:tcBorders>
          </w:tcPr>
          <w:p w14:paraId="60C0F49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41 </w:t>
            </w:r>
          </w:p>
        </w:tc>
        <w:tc>
          <w:tcPr>
            <w:tcW w:w="798" w:type="dxa"/>
            <w:tcBorders>
              <w:bottom w:val="single" w:sz="12" w:space="0" w:color="auto"/>
            </w:tcBorders>
          </w:tcPr>
          <w:p w14:paraId="6575696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29 </w:t>
            </w:r>
          </w:p>
        </w:tc>
        <w:tc>
          <w:tcPr>
            <w:tcW w:w="798" w:type="dxa"/>
            <w:tcBorders>
              <w:bottom w:val="single" w:sz="12" w:space="0" w:color="auto"/>
            </w:tcBorders>
          </w:tcPr>
          <w:p w14:paraId="645A697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51 </w:t>
            </w:r>
          </w:p>
        </w:tc>
      </w:tr>
    </w:tbl>
    <w:p w14:paraId="0BF1C41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Характерно также повторение летных происшествий по одним и тем же причинам, а именно (данные в процентах от общего количества происшествий):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78"/>
        <w:gridCol w:w="810"/>
        <w:gridCol w:w="900"/>
        <w:gridCol w:w="810"/>
        <w:gridCol w:w="900"/>
        <w:gridCol w:w="810"/>
        <w:gridCol w:w="810"/>
        <w:gridCol w:w="810"/>
        <w:gridCol w:w="810"/>
        <w:gridCol w:w="900"/>
      </w:tblGrid>
      <w:tr w:rsidR="009B487A" w:rsidRPr="00722885" w14:paraId="0FAC4487" w14:textId="77777777" w:rsidTr="00CC5360">
        <w:tc>
          <w:tcPr>
            <w:tcW w:w="2178" w:type="dxa"/>
            <w:tcBorders>
              <w:top w:val="single" w:sz="12" w:space="0" w:color="auto"/>
            </w:tcBorders>
          </w:tcPr>
          <w:p w14:paraId="54FC6AE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Причины: </w:t>
            </w:r>
          </w:p>
        </w:tc>
        <w:tc>
          <w:tcPr>
            <w:tcW w:w="810" w:type="dxa"/>
            <w:tcBorders>
              <w:top w:val="single" w:sz="12" w:space="0" w:color="auto"/>
            </w:tcBorders>
          </w:tcPr>
          <w:p w14:paraId="729E749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Январь</w:t>
            </w:r>
          </w:p>
        </w:tc>
        <w:tc>
          <w:tcPr>
            <w:tcW w:w="900" w:type="dxa"/>
            <w:tcBorders>
              <w:top w:val="single" w:sz="12" w:space="0" w:color="auto"/>
            </w:tcBorders>
          </w:tcPr>
          <w:p w14:paraId="43EAA52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Февраль</w:t>
            </w:r>
          </w:p>
        </w:tc>
        <w:tc>
          <w:tcPr>
            <w:tcW w:w="810" w:type="dxa"/>
            <w:tcBorders>
              <w:top w:val="single" w:sz="12" w:space="0" w:color="auto"/>
            </w:tcBorders>
          </w:tcPr>
          <w:p w14:paraId="1BCFD31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Март</w:t>
            </w:r>
          </w:p>
        </w:tc>
        <w:tc>
          <w:tcPr>
            <w:tcW w:w="900" w:type="dxa"/>
            <w:tcBorders>
              <w:top w:val="single" w:sz="12" w:space="0" w:color="auto"/>
            </w:tcBorders>
          </w:tcPr>
          <w:p w14:paraId="0EE1089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Апрель</w:t>
            </w:r>
          </w:p>
        </w:tc>
        <w:tc>
          <w:tcPr>
            <w:tcW w:w="810" w:type="dxa"/>
            <w:tcBorders>
              <w:top w:val="single" w:sz="12" w:space="0" w:color="auto"/>
            </w:tcBorders>
          </w:tcPr>
          <w:p w14:paraId="6A138B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Май</w:t>
            </w:r>
          </w:p>
        </w:tc>
        <w:tc>
          <w:tcPr>
            <w:tcW w:w="810" w:type="dxa"/>
            <w:tcBorders>
              <w:top w:val="single" w:sz="12" w:space="0" w:color="auto"/>
            </w:tcBorders>
          </w:tcPr>
          <w:p w14:paraId="0AE5517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Июнь</w:t>
            </w:r>
          </w:p>
        </w:tc>
        <w:tc>
          <w:tcPr>
            <w:tcW w:w="810" w:type="dxa"/>
            <w:tcBorders>
              <w:top w:val="single" w:sz="12" w:space="0" w:color="auto"/>
            </w:tcBorders>
          </w:tcPr>
          <w:p w14:paraId="1A7320B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Июль</w:t>
            </w:r>
          </w:p>
        </w:tc>
        <w:tc>
          <w:tcPr>
            <w:tcW w:w="810" w:type="dxa"/>
            <w:tcBorders>
              <w:top w:val="single" w:sz="12" w:space="0" w:color="auto"/>
            </w:tcBorders>
          </w:tcPr>
          <w:p w14:paraId="4DBAE83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Август</w:t>
            </w:r>
          </w:p>
        </w:tc>
        <w:tc>
          <w:tcPr>
            <w:tcW w:w="900" w:type="dxa"/>
            <w:tcBorders>
              <w:top w:val="single" w:sz="12" w:space="0" w:color="auto"/>
            </w:tcBorders>
          </w:tcPr>
          <w:p w14:paraId="166A863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Сентябрь</w:t>
            </w:r>
          </w:p>
        </w:tc>
      </w:tr>
      <w:tr w:rsidR="009B487A" w:rsidRPr="00722885" w14:paraId="6BEA906A" w14:textId="77777777" w:rsidTr="00CC5360">
        <w:tc>
          <w:tcPr>
            <w:tcW w:w="2178" w:type="dxa"/>
          </w:tcPr>
          <w:p w14:paraId="5ECDA04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Ошибки техники пилотирования </w:t>
            </w:r>
          </w:p>
        </w:tc>
        <w:tc>
          <w:tcPr>
            <w:tcW w:w="810" w:type="dxa"/>
          </w:tcPr>
          <w:p w14:paraId="118A5DD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48 </w:t>
            </w:r>
          </w:p>
        </w:tc>
        <w:tc>
          <w:tcPr>
            <w:tcW w:w="900" w:type="dxa"/>
          </w:tcPr>
          <w:p w14:paraId="043FEF9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27 </w:t>
            </w:r>
          </w:p>
        </w:tc>
        <w:tc>
          <w:tcPr>
            <w:tcW w:w="810" w:type="dxa"/>
          </w:tcPr>
          <w:p w14:paraId="23D6EA1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38 </w:t>
            </w:r>
          </w:p>
        </w:tc>
        <w:tc>
          <w:tcPr>
            <w:tcW w:w="900" w:type="dxa"/>
          </w:tcPr>
          <w:p w14:paraId="06E0433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41 </w:t>
            </w:r>
          </w:p>
        </w:tc>
        <w:tc>
          <w:tcPr>
            <w:tcW w:w="810" w:type="dxa"/>
          </w:tcPr>
          <w:p w14:paraId="647F3EF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18 </w:t>
            </w:r>
          </w:p>
        </w:tc>
        <w:tc>
          <w:tcPr>
            <w:tcW w:w="810" w:type="dxa"/>
          </w:tcPr>
          <w:p w14:paraId="009E729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w:t>
            </w:r>
          </w:p>
        </w:tc>
        <w:tc>
          <w:tcPr>
            <w:tcW w:w="810" w:type="dxa"/>
          </w:tcPr>
          <w:p w14:paraId="599F499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33 </w:t>
            </w:r>
          </w:p>
        </w:tc>
        <w:tc>
          <w:tcPr>
            <w:tcW w:w="810" w:type="dxa"/>
          </w:tcPr>
          <w:p w14:paraId="4ED8442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32 </w:t>
            </w:r>
          </w:p>
        </w:tc>
        <w:tc>
          <w:tcPr>
            <w:tcW w:w="900" w:type="dxa"/>
          </w:tcPr>
          <w:p w14:paraId="59BABCD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22 </w:t>
            </w:r>
          </w:p>
        </w:tc>
      </w:tr>
      <w:tr w:rsidR="009B487A" w:rsidRPr="00722885" w14:paraId="32A8FC89" w14:textId="77777777" w:rsidTr="00CC5360">
        <w:tc>
          <w:tcPr>
            <w:tcW w:w="2178" w:type="dxa"/>
          </w:tcPr>
          <w:p w14:paraId="20B3215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Неграмотная эксплоатация •матчасти</w:t>
            </w:r>
          </w:p>
        </w:tc>
        <w:tc>
          <w:tcPr>
            <w:tcW w:w="810" w:type="dxa"/>
          </w:tcPr>
          <w:p w14:paraId="13125FD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II </w:t>
            </w:r>
          </w:p>
        </w:tc>
        <w:tc>
          <w:tcPr>
            <w:tcW w:w="900" w:type="dxa"/>
          </w:tcPr>
          <w:p w14:paraId="42F4A50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w:t>
            </w:r>
          </w:p>
        </w:tc>
        <w:tc>
          <w:tcPr>
            <w:tcW w:w="810" w:type="dxa"/>
          </w:tcPr>
          <w:p w14:paraId="3E6B240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w:t>
            </w:r>
          </w:p>
        </w:tc>
        <w:tc>
          <w:tcPr>
            <w:tcW w:w="900" w:type="dxa"/>
          </w:tcPr>
          <w:p w14:paraId="2F5111E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w:t>
            </w:r>
          </w:p>
        </w:tc>
        <w:tc>
          <w:tcPr>
            <w:tcW w:w="810" w:type="dxa"/>
          </w:tcPr>
          <w:p w14:paraId="5427C49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w:t>
            </w:r>
          </w:p>
        </w:tc>
        <w:tc>
          <w:tcPr>
            <w:tcW w:w="810" w:type="dxa"/>
          </w:tcPr>
          <w:p w14:paraId="14ACFB1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w:t>
            </w:r>
          </w:p>
        </w:tc>
        <w:tc>
          <w:tcPr>
            <w:tcW w:w="810" w:type="dxa"/>
          </w:tcPr>
          <w:p w14:paraId="4B298A5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w:t>
            </w:r>
          </w:p>
        </w:tc>
        <w:tc>
          <w:tcPr>
            <w:tcW w:w="810" w:type="dxa"/>
          </w:tcPr>
          <w:p w14:paraId="13ACA4B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w:t>
            </w:r>
          </w:p>
        </w:tc>
        <w:tc>
          <w:tcPr>
            <w:tcW w:w="900" w:type="dxa"/>
          </w:tcPr>
          <w:p w14:paraId="6137BF0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II </w:t>
            </w:r>
          </w:p>
        </w:tc>
      </w:tr>
      <w:tr w:rsidR="009B487A" w:rsidRPr="00722885" w14:paraId="01457F08" w14:textId="77777777" w:rsidTr="00CC5360">
        <w:tc>
          <w:tcPr>
            <w:tcW w:w="2178" w:type="dxa"/>
          </w:tcPr>
          <w:p w14:paraId="17ECF10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Недисциплиниро ванность летн. Состава</w:t>
            </w:r>
          </w:p>
        </w:tc>
        <w:tc>
          <w:tcPr>
            <w:tcW w:w="810" w:type="dxa"/>
          </w:tcPr>
          <w:p w14:paraId="77E8856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900" w:type="dxa"/>
          </w:tcPr>
          <w:p w14:paraId="2E524F5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w:t>
            </w:r>
          </w:p>
        </w:tc>
        <w:tc>
          <w:tcPr>
            <w:tcW w:w="810" w:type="dxa"/>
          </w:tcPr>
          <w:p w14:paraId="26BA290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900" w:type="dxa"/>
          </w:tcPr>
          <w:p w14:paraId="4EC5A1E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w:t>
            </w:r>
          </w:p>
        </w:tc>
        <w:tc>
          <w:tcPr>
            <w:tcW w:w="810" w:type="dxa"/>
          </w:tcPr>
          <w:p w14:paraId="0EE0EE0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26 </w:t>
            </w:r>
          </w:p>
        </w:tc>
        <w:tc>
          <w:tcPr>
            <w:tcW w:w="810" w:type="dxa"/>
          </w:tcPr>
          <w:p w14:paraId="6617D3C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35 </w:t>
            </w:r>
          </w:p>
        </w:tc>
        <w:tc>
          <w:tcPr>
            <w:tcW w:w="810" w:type="dxa"/>
          </w:tcPr>
          <w:p w14:paraId="3B24B90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 </w:t>
            </w:r>
          </w:p>
        </w:tc>
        <w:tc>
          <w:tcPr>
            <w:tcW w:w="810" w:type="dxa"/>
          </w:tcPr>
          <w:p w14:paraId="0ADB612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24 </w:t>
            </w:r>
          </w:p>
        </w:tc>
        <w:tc>
          <w:tcPr>
            <w:tcW w:w="900" w:type="dxa"/>
          </w:tcPr>
          <w:p w14:paraId="1D2A77E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16 </w:t>
            </w:r>
          </w:p>
        </w:tc>
      </w:tr>
      <w:tr w:rsidR="009B487A" w:rsidRPr="00722885" w14:paraId="40E33E33" w14:textId="77777777" w:rsidTr="00CC5360">
        <w:tc>
          <w:tcPr>
            <w:tcW w:w="2178" w:type="dxa"/>
          </w:tcPr>
          <w:p w14:paraId="6227014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Отказ матчасти </w:t>
            </w:r>
          </w:p>
        </w:tc>
        <w:tc>
          <w:tcPr>
            <w:tcW w:w="810" w:type="dxa"/>
          </w:tcPr>
          <w:p w14:paraId="0D69543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w:t>
            </w:r>
          </w:p>
        </w:tc>
        <w:tc>
          <w:tcPr>
            <w:tcW w:w="900" w:type="dxa"/>
          </w:tcPr>
          <w:p w14:paraId="1CD1A41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 </w:t>
            </w:r>
          </w:p>
        </w:tc>
        <w:tc>
          <w:tcPr>
            <w:tcW w:w="810" w:type="dxa"/>
          </w:tcPr>
          <w:p w14:paraId="3190F0D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17 </w:t>
            </w:r>
          </w:p>
        </w:tc>
        <w:tc>
          <w:tcPr>
            <w:tcW w:w="900" w:type="dxa"/>
          </w:tcPr>
          <w:p w14:paraId="2073D32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w:t>
            </w:r>
          </w:p>
        </w:tc>
        <w:tc>
          <w:tcPr>
            <w:tcW w:w="810" w:type="dxa"/>
          </w:tcPr>
          <w:p w14:paraId="167751D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w:t>
            </w:r>
          </w:p>
        </w:tc>
        <w:tc>
          <w:tcPr>
            <w:tcW w:w="810" w:type="dxa"/>
          </w:tcPr>
          <w:p w14:paraId="7A8C399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w:t>
            </w:r>
          </w:p>
        </w:tc>
        <w:tc>
          <w:tcPr>
            <w:tcW w:w="810" w:type="dxa"/>
          </w:tcPr>
          <w:p w14:paraId="708A39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w:t>
            </w:r>
          </w:p>
        </w:tc>
        <w:tc>
          <w:tcPr>
            <w:tcW w:w="810" w:type="dxa"/>
          </w:tcPr>
          <w:p w14:paraId="01CA409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w:t>
            </w:r>
          </w:p>
        </w:tc>
        <w:tc>
          <w:tcPr>
            <w:tcW w:w="900" w:type="dxa"/>
          </w:tcPr>
          <w:p w14:paraId="471D0F5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w:t>
            </w:r>
          </w:p>
        </w:tc>
      </w:tr>
      <w:tr w:rsidR="009B487A" w:rsidRPr="00722885" w14:paraId="111C0EBB" w14:textId="77777777" w:rsidTr="00CC5360">
        <w:tc>
          <w:tcPr>
            <w:tcW w:w="2178" w:type="dxa"/>
          </w:tcPr>
          <w:p w14:paraId="68D60C1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метеоусло</w:t>
            </w:r>
            <w:r w:rsidRPr="00722885">
              <w:rPr>
                <w:rFonts w:ascii="Times New Roman" w:hAnsi="Times New Roman"/>
                <w:color w:val="000000" w:themeColor="text1"/>
                <w:sz w:val="16"/>
                <w:szCs w:val="16"/>
              </w:rPr>
              <w:softHyphen/>
              <w:t>виям</w:t>
            </w:r>
          </w:p>
        </w:tc>
        <w:tc>
          <w:tcPr>
            <w:tcW w:w="810" w:type="dxa"/>
          </w:tcPr>
          <w:p w14:paraId="769A6E7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II </w:t>
            </w:r>
          </w:p>
        </w:tc>
        <w:tc>
          <w:tcPr>
            <w:tcW w:w="900" w:type="dxa"/>
          </w:tcPr>
          <w:p w14:paraId="1D8DFB6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w:t>
            </w:r>
          </w:p>
        </w:tc>
        <w:tc>
          <w:tcPr>
            <w:tcW w:w="810" w:type="dxa"/>
          </w:tcPr>
          <w:p w14:paraId="6AF3065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w:t>
            </w:r>
          </w:p>
        </w:tc>
        <w:tc>
          <w:tcPr>
            <w:tcW w:w="900" w:type="dxa"/>
          </w:tcPr>
          <w:p w14:paraId="0846587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w:t>
            </w:r>
          </w:p>
        </w:tc>
        <w:tc>
          <w:tcPr>
            <w:tcW w:w="810" w:type="dxa"/>
          </w:tcPr>
          <w:p w14:paraId="0DBBF38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810" w:type="dxa"/>
          </w:tcPr>
          <w:p w14:paraId="7E7AE51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w:t>
            </w:r>
          </w:p>
        </w:tc>
        <w:tc>
          <w:tcPr>
            <w:tcW w:w="810" w:type="dxa"/>
          </w:tcPr>
          <w:p w14:paraId="4BB2F1F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w:t>
            </w:r>
          </w:p>
        </w:tc>
        <w:tc>
          <w:tcPr>
            <w:tcW w:w="810" w:type="dxa"/>
          </w:tcPr>
          <w:p w14:paraId="2AF9E93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w:t>
            </w:r>
          </w:p>
        </w:tc>
        <w:tc>
          <w:tcPr>
            <w:tcW w:w="900" w:type="dxa"/>
          </w:tcPr>
          <w:p w14:paraId="50741A2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57F7C04" w14:textId="77777777" w:rsidTr="00CC5360">
        <w:tc>
          <w:tcPr>
            <w:tcW w:w="2178" w:type="dxa"/>
          </w:tcPr>
          <w:p w14:paraId="7C6DD72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Потеря ориентир. </w:t>
            </w:r>
          </w:p>
        </w:tc>
        <w:tc>
          <w:tcPr>
            <w:tcW w:w="810" w:type="dxa"/>
          </w:tcPr>
          <w:p w14:paraId="1CE2D38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w:t>
            </w:r>
          </w:p>
        </w:tc>
        <w:tc>
          <w:tcPr>
            <w:tcW w:w="900" w:type="dxa"/>
          </w:tcPr>
          <w:p w14:paraId="44D8862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w:t>
            </w:r>
          </w:p>
        </w:tc>
        <w:tc>
          <w:tcPr>
            <w:tcW w:w="810" w:type="dxa"/>
          </w:tcPr>
          <w:p w14:paraId="419E756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w:t>
            </w:r>
          </w:p>
        </w:tc>
        <w:tc>
          <w:tcPr>
            <w:tcW w:w="900" w:type="dxa"/>
          </w:tcPr>
          <w:p w14:paraId="770AF3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w:t>
            </w:r>
          </w:p>
        </w:tc>
        <w:tc>
          <w:tcPr>
            <w:tcW w:w="810" w:type="dxa"/>
          </w:tcPr>
          <w:p w14:paraId="7A2550C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w:t>
            </w:r>
          </w:p>
        </w:tc>
        <w:tc>
          <w:tcPr>
            <w:tcW w:w="810" w:type="dxa"/>
          </w:tcPr>
          <w:p w14:paraId="0498C0E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I </w:t>
            </w:r>
          </w:p>
        </w:tc>
        <w:tc>
          <w:tcPr>
            <w:tcW w:w="810" w:type="dxa"/>
          </w:tcPr>
          <w:p w14:paraId="732E2DD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I </w:t>
            </w:r>
          </w:p>
        </w:tc>
        <w:tc>
          <w:tcPr>
            <w:tcW w:w="810" w:type="dxa"/>
          </w:tcPr>
          <w:p w14:paraId="4DA0B67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I </w:t>
            </w:r>
          </w:p>
        </w:tc>
        <w:tc>
          <w:tcPr>
            <w:tcW w:w="900" w:type="dxa"/>
          </w:tcPr>
          <w:p w14:paraId="2983EF4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w:t>
            </w:r>
          </w:p>
        </w:tc>
      </w:tr>
      <w:tr w:rsidR="009B487A" w:rsidRPr="00722885" w14:paraId="2E970B77" w14:textId="77777777" w:rsidTr="00CC5360">
        <w:tc>
          <w:tcPr>
            <w:tcW w:w="2178" w:type="dxa"/>
          </w:tcPr>
          <w:p w14:paraId="46C57DA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Плохая организ. руководства по</w:t>
            </w:r>
            <w:r w:rsidRPr="00722885">
              <w:rPr>
                <w:rFonts w:ascii="Times New Roman" w:hAnsi="Times New Roman"/>
                <w:color w:val="000000" w:themeColor="text1"/>
                <w:sz w:val="16"/>
                <w:szCs w:val="16"/>
              </w:rPr>
              <w:softHyphen/>
              <w:t>летами</w:t>
            </w:r>
          </w:p>
        </w:tc>
        <w:tc>
          <w:tcPr>
            <w:tcW w:w="810" w:type="dxa"/>
          </w:tcPr>
          <w:p w14:paraId="2171F4C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w:t>
            </w:r>
          </w:p>
        </w:tc>
        <w:tc>
          <w:tcPr>
            <w:tcW w:w="900" w:type="dxa"/>
          </w:tcPr>
          <w:p w14:paraId="2BC7C42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w:t>
            </w:r>
          </w:p>
        </w:tc>
        <w:tc>
          <w:tcPr>
            <w:tcW w:w="810" w:type="dxa"/>
          </w:tcPr>
          <w:p w14:paraId="29BD6B9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w:t>
            </w:r>
          </w:p>
        </w:tc>
        <w:tc>
          <w:tcPr>
            <w:tcW w:w="900" w:type="dxa"/>
          </w:tcPr>
          <w:p w14:paraId="62D5E5C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w:t>
            </w:r>
          </w:p>
        </w:tc>
        <w:tc>
          <w:tcPr>
            <w:tcW w:w="810" w:type="dxa"/>
          </w:tcPr>
          <w:p w14:paraId="42DE217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w:t>
            </w:r>
          </w:p>
        </w:tc>
        <w:tc>
          <w:tcPr>
            <w:tcW w:w="810" w:type="dxa"/>
          </w:tcPr>
          <w:p w14:paraId="5EB7E32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 </w:t>
            </w:r>
          </w:p>
        </w:tc>
        <w:tc>
          <w:tcPr>
            <w:tcW w:w="810" w:type="dxa"/>
          </w:tcPr>
          <w:p w14:paraId="4F92E74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 </w:t>
            </w:r>
          </w:p>
        </w:tc>
        <w:tc>
          <w:tcPr>
            <w:tcW w:w="810" w:type="dxa"/>
          </w:tcPr>
          <w:p w14:paraId="51BE5B0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15 </w:t>
            </w:r>
          </w:p>
        </w:tc>
        <w:tc>
          <w:tcPr>
            <w:tcW w:w="900" w:type="dxa"/>
          </w:tcPr>
          <w:p w14:paraId="0EB771D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 </w:t>
            </w:r>
          </w:p>
        </w:tc>
      </w:tr>
      <w:tr w:rsidR="009B487A" w:rsidRPr="00722885" w14:paraId="3B94C1D7" w14:textId="77777777" w:rsidTr="00CC5360">
        <w:tc>
          <w:tcPr>
            <w:tcW w:w="2178" w:type="dxa"/>
          </w:tcPr>
          <w:p w14:paraId="739F9D3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Производствен. дефекты </w:t>
            </w:r>
          </w:p>
        </w:tc>
        <w:tc>
          <w:tcPr>
            <w:tcW w:w="810" w:type="dxa"/>
          </w:tcPr>
          <w:p w14:paraId="4D5EF74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w:t>
            </w:r>
          </w:p>
        </w:tc>
        <w:tc>
          <w:tcPr>
            <w:tcW w:w="900" w:type="dxa"/>
          </w:tcPr>
          <w:p w14:paraId="4F4271A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w:t>
            </w:r>
          </w:p>
        </w:tc>
        <w:tc>
          <w:tcPr>
            <w:tcW w:w="810" w:type="dxa"/>
          </w:tcPr>
          <w:p w14:paraId="4310143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w:t>
            </w:r>
          </w:p>
        </w:tc>
        <w:tc>
          <w:tcPr>
            <w:tcW w:w="900" w:type="dxa"/>
          </w:tcPr>
          <w:p w14:paraId="5AE3C94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w:t>
            </w:r>
          </w:p>
        </w:tc>
        <w:tc>
          <w:tcPr>
            <w:tcW w:w="810" w:type="dxa"/>
          </w:tcPr>
          <w:p w14:paraId="6FACD5E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w:t>
            </w:r>
          </w:p>
        </w:tc>
        <w:tc>
          <w:tcPr>
            <w:tcW w:w="810" w:type="dxa"/>
          </w:tcPr>
          <w:p w14:paraId="54979C9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 </w:t>
            </w:r>
          </w:p>
        </w:tc>
        <w:tc>
          <w:tcPr>
            <w:tcW w:w="810" w:type="dxa"/>
          </w:tcPr>
          <w:p w14:paraId="57604A2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 </w:t>
            </w:r>
          </w:p>
        </w:tc>
        <w:tc>
          <w:tcPr>
            <w:tcW w:w="810" w:type="dxa"/>
          </w:tcPr>
          <w:p w14:paraId="240A154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15 </w:t>
            </w:r>
          </w:p>
        </w:tc>
        <w:tc>
          <w:tcPr>
            <w:tcW w:w="900" w:type="dxa"/>
          </w:tcPr>
          <w:p w14:paraId="31DE635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 </w:t>
            </w:r>
          </w:p>
        </w:tc>
      </w:tr>
      <w:tr w:rsidR="009B487A" w:rsidRPr="00722885" w14:paraId="27ABE6A9" w14:textId="77777777" w:rsidTr="00CC5360">
        <w:tc>
          <w:tcPr>
            <w:tcW w:w="2178" w:type="dxa"/>
            <w:tcBorders>
              <w:bottom w:val="single" w:sz="12" w:space="0" w:color="auto"/>
            </w:tcBorders>
          </w:tcPr>
          <w:p w14:paraId="54DD1D6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неустановленным причинам</w:t>
            </w:r>
          </w:p>
        </w:tc>
        <w:tc>
          <w:tcPr>
            <w:tcW w:w="810" w:type="dxa"/>
            <w:tcBorders>
              <w:bottom w:val="single" w:sz="12" w:space="0" w:color="auto"/>
            </w:tcBorders>
          </w:tcPr>
          <w:p w14:paraId="41BE29D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w:t>
            </w:r>
          </w:p>
        </w:tc>
        <w:tc>
          <w:tcPr>
            <w:tcW w:w="900" w:type="dxa"/>
            <w:tcBorders>
              <w:bottom w:val="single" w:sz="12" w:space="0" w:color="auto"/>
            </w:tcBorders>
          </w:tcPr>
          <w:p w14:paraId="3758487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20 </w:t>
            </w:r>
          </w:p>
        </w:tc>
        <w:tc>
          <w:tcPr>
            <w:tcW w:w="810" w:type="dxa"/>
            <w:tcBorders>
              <w:bottom w:val="single" w:sz="12" w:space="0" w:color="auto"/>
            </w:tcBorders>
          </w:tcPr>
          <w:p w14:paraId="50E0E6E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13 </w:t>
            </w:r>
          </w:p>
        </w:tc>
        <w:tc>
          <w:tcPr>
            <w:tcW w:w="900" w:type="dxa"/>
            <w:tcBorders>
              <w:bottom w:val="single" w:sz="12" w:space="0" w:color="auto"/>
            </w:tcBorders>
          </w:tcPr>
          <w:p w14:paraId="5F0623E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15 </w:t>
            </w:r>
          </w:p>
        </w:tc>
        <w:tc>
          <w:tcPr>
            <w:tcW w:w="810" w:type="dxa"/>
            <w:tcBorders>
              <w:bottom w:val="single" w:sz="12" w:space="0" w:color="auto"/>
            </w:tcBorders>
          </w:tcPr>
          <w:p w14:paraId="099CFAF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21 </w:t>
            </w:r>
          </w:p>
        </w:tc>
        <w:tc>
          <w:tcPr>
            <w:tcW w:w="810" w:type="dxa"/>
            <w:tcBorders>
              <w:bottom w:val="single" w:sz="12" w:space="0" w:color="auto"/>
            </w:tcBorders>
          </w:tcPr>
          <w:p w14:paraId="665399B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810" w:type="dxa"/>
            <w:tcBorders>
              <w:bottom w:val="single" w:sz="12" w:space="0" w:color="auto"/>
            </w:tcBorders>
          </w:tcPr>
          <w:p w14:paraId="303DA54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w:t>
            </w:r>
          </w:p>
        </w:tc>
        <w:tc>
          <w:tcPr>
            <w:tcW w:w="810" w:type="dxa"/>
            <w:tcBorders>
              <w:bottom w:val="single" w:sz="12" w:space="0" w:color="auto"/>
            </w:tcBorders>
          </w:tcPr>
          <w:p w14:paraId="47F96DE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w:t>
            </w:r>
          </w:p>
        </w:tc>
        <w:tc>
          <w:tcPr>
            <w:tcW w:w="900" w:type="dxa"/>
            <w:tcBorders>
              <w:bottom w:val="single" w:sz="12" w:space="0" w:color="auto"/>
            </w:tcBorders>
          </w:tcPr>
          <w:p w14:paraId="46FB099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r>
    </w:tbl>
    <w:p w14:paraId="08BC9E1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этого следует, что:</w:t>
      </w:r>
    </w:p>
    <w:p w14:paraId="470990C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процент летных происшествий по одной и той-же при</w:t>
      </w:r>
      <w:r w:rsidRPr="00722885">
        <w:rPr>
          <w:rFonts w:ascii="Times New Roman" w:hAnsi="Times New Roman"/>
          <w:color w:val="000000" w:themeColor="text1"/>
          <w:sz w:val="16"/>
          <w:szCs w:val="16"/>
        </w:rPr>
        <w:softHyphen/>
        <w:t>чине являясь устойчивым, подтверждает не эффективность борьбы с аварийностью;</w:t>
      </w:r>
    </w:p>
    <w:p w14:paraId="5503F38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предполетная подготовка в ЗАП"ах и ЗАБ"ах поставлена плохо и не обеспечена тренировочной аппаратурой и на</w:t>
      </w:r>
      <w:r w:rsidRPr="00722885">
        <w:rPr>
          <w:rFonts w:ascii="Times New Roman" w:hAnsi="Times New Roman"/>
          <w:color w:val="000000" w:themeColor="text1"/>
          <w:sz w:val="16"/>
          <w:szCs w:val="16"/>
        </w:rPr>
        <w:softHyphen/>
        <w:t>глядными пособиями.</w:t>
      </w:r>
    </w:p>
    <w:p w14:paraId="13A1E4E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 П</w:t>
      </w:r>
      <w:r w:rsidRPr="00722885">
        <w:rPr>
          <w:rFonts w:ascii="Times New Roman" w:hAnsi="Times New Roman"/>
          <w:color w:val="000000" w:themeColor="text1"/>
          <w:sz w:val="16"/>
          <w:szCs w:val="16"/>
          <w:u w:val="single"/>
        </w:rPr>
        <w:t>о материально-техническому обеспечению.</w:t>
      </w:r>
    </w:p>
    <w:p w14:paraId="44D70C2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постановление Военного Совета ВВС КА от 3-4-го Сентября 19-12 года материально-техническое обеспе</w:t>
      </w:r>
      <w:r w:rsidRPr="00722885">
        <w:rPr>
          <w:rFonts w:ascii="Times New Roman" w:hAnsi="Times New Roman"/>
          <w:color w:val="000000" w:themeColor="text1"/>
          <w:sz w:val="16"/>
          <w:szCs w:val="16"/>
        </w:rPr>
        <w:softHyphen/>
        <w:t>чение ЗАП"ов попревшему остается неудовлетворительным.</w:t>
      </w:r>
    </w:p>
    <w:p w14:paraId="08F9B0F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запасных авиаполков лимитируется несвоевремен</w:t>
      </w:r>
      <w:r w:rsidRPr="00722885">
        <w:rPr>
          <w:rFonts w:ascii="Times New Roman" w:hAnsi="Times New Roman"/>
          <w:color w:val="000000" w:themeColor="text1"/>
          <w:sz w:val="16"/>
          <w:szCs w:val="16"/>
        </w:rPr>
        <w:softHyphen/>
        <w:t>ной подшей горючего и смазочного, неудовлетворительным шабжением запасными частями, моторами и расходно-эксплоатационными материалами.</w:t>
      </w:r>
    </w:p>
    <w:p w14:paraId="6E06150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этого продолжают иметь место задержки в отправке маревых полков на фронт (август - 9 полков; сен</w:t>
      </w:r>
      <w:r w:rsidRPr="00722885">
        <w:rPr>
          <w:rFonts w:ascii="Times New Roman" w:hAnsi="Times New Roman"/>
          <w:color w:val="000000" w:themeColor="text1"/>
          <w:sz w:val="16"/>
          <w:szCs w:val="16"/>
        </w:rPr>
        <w:softHyphen/>
        <w:t>тябрь - 16 полков и 100 одиночных экипажей; в октябре -не летали до 8 числа полностью I и 2-- ЗАБ, 3 и 9-й ЗАЛ).</w:t>
      </w:r>
    </w:p>
    <w:p w14:paraId="7A614A3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основании постановления ГКО от 7.9.1942 года за № 2271 ее и постановления Военного Совета ВВС КА от 3-4.9. 1942 года за № ВС-8сс о выделении моторов для ЗАБ и школ ВВС КА, в течение сентября и октября месяцев с.г.от НКАП получено: АМ-38 вместо 80 - 74, М-105П из 167 - 100 и М-105р из 58 всего лишь 4.</w:t>
      </w:r>
    </w:p>
    <w:p w14:paraId="0169F5E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НКАП должен поставить: АМ-38 - 140, М-105П -282, М-105р - 93.</w:t>
      </w:r>
    </w:p>
    <w:p w14:paraId="590A8BF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Решение ГКО о поставке моторов заводами №№ 26, 36 и 466 не выполняется. Завод № 24 не поставляя моторы взамен снятых по -рекламациям, создал большие затруднения в летной работе 1-й ЗАБ. Бригаде по состоянию на 28.10.42 года необходимо - 89 АМ-38.</w:t>
      </w:r>
    </w:p>
    <w:p w14:paraId="04A914D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Запасным авиаполкам по состоянию на 1-е Ноября 1942 го</w:t>
      </w:r>
      <w:r w:rsidRPr="00722885">
        <w:rPr>
          <w:rFonts w:ascii="Times New Roman" w:hAnsi="Times New Roman"/>
          <w:color w:val="000000" w:themeColor="text1"/>
          <w:sz w:val="16"/>
          <w:szCs w:val="16"/>
        </w:rPr>
        <w:softHyphen/>
        <w:t>да необходимо: моторов АМ-38 - 97; М-105П - 65; М-11 - 21; М-82 - 10 и Мерлин-20 - 38.</w:t>
      </w:r>
    </w:p>
    <w:p w14:paraId="65908C2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выполнено постановление Военного Совета ВВС КА от 3-4.9.42 года в части немедленного восстановления и ремон</w:t>
      </w:r>
      <w:r w:rsidRPr="00722885">
        <w:rPr>
          <w:rFonts w:ascii="Times New Roman" w:hAnsi="Times New Roman"/>
          <w:color w:val="000000" w:themeColor="text1"/>
          <w:sz w:val="16"/>
          <w:szCs w:val="16"/>
        </w:rPr>
        <w:softHyphen/>
        <w:t>та неисправной матчасти в запасных полках, вследствие чего на 1-е Ноября 1942 года из 1.643 самолетов запасных авиа</w:t>
      </w:r>
      <w:r w:rsidRPr="00722885">
        <w:rPr>
          <w:rFonts w:ascii="Times New Roman" w:hAnsi="Times New Roman"/>
          <w:color w:val="000000" w:themeColor="text1"/>
          <w:sz w:val="16"/>
          <w:szCs w:val="16"/>
        </w:rPr>
        <w:softHyphen/>
        <w:t>полков 682 в неисправном состоянии.</w:t>
      </w:r>
    </w:p>
    <w:p w14:paraId="755DF2D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1У. </w:t>
      </w:r>
      <w:r w:rsidRPr="00722885">
        <w:rPr>
          <w:rFonts w:ascii="Times New Roman" w:hAnsi="Times New Roman"/>
          <w:color w:val="000000" w:themeColor="text1"/>
          <w:sz w:val="16"/>
          <w:szCs w:val="16"/>
          <w:u w:val="single"/>
        </w:rPr>
        <w:t>По резерву летно-технического состава.</w:t>
      </w:r>
    </w:p>
    <w:p w14:paraId="303AC65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данным на 1-е ноября 1942 года в резерве ЗАБ иЗАП состояло - 13.779 человек, из которых: летчиков и пилотов - 4.869 (истребителей - 2.532; штурмовиков - 1.282; бомба; дировщиков - 467; разведчиков - 103; ночных бомбардировщи</w:t>
      </w:r>
      <w:r w:rsidRPr="00722885">
        <w:rPr>
          <w:rFonts w:ascii="Times New Roman" w:hAnsi="Times New Roman"/>
          <w:color w:val="000000" w:themeColor="text1"/>
          <w:sz w:val="16"/>
          <w:szCs w:val="16"/>
        </w:rPr>
        <w:softHyphen/>
        <w:t>ков на У-2 - 485); штурманов и стрелков-бомбардиров 1.267; авиационных механиков всех специальностей - 6.142; инженв-, ров и техников - 771 и остального начсостава - 730 человек,</w:t>
      </w:r>
    </w:p>
    <w:p w14:paraId="59D7474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Резерв летчиков и пилотов, плюс ожидаемое пополнение его выпуском школ в срок до 1-го Января 1943 года в коли</w:t>
      </w:r>
      <w:r w:rsidRPr="00722885">
        <w:rPr>
          <w:rFonts w:ascii="Times New Roman" w:hAnsi="Times New Roman"/>
          <w:color w:val="000000" w:themeColor="text1"/>
          <w:sz w:val="16"/>
          <w:szCs w:val="16"/>
        </w:rPr>
        <w:softHyphen/>
        <w:t>честве -915 пилотов, обеспечивает предстоящие формирова</w:t>
      </w:r>
      <w:r w:rsidRPr="00722885">
        <w:rPr>
          <w:rFonts w:ascii="Times New Roman" w:hAnsi="Times New Roman"/>
          <w:color w:val="000000" w:themeColor="text1"/>
          <w:sz w:val="16"/>
          <w:szCs w:val="16"/>
        </w:rPr>
        <w:softHyphen/>
        <w:t>ния авиационных корпусов резерва Ставки Верховного Коман</w:t>
      </w:r>
      <w:r w:rsidRPr="00722885">
        <w:rPr>
          <w:rFonts w:ascii="Times New Roman" w:hAnsi="Times New Roman"/>
          <w:color w:val="000000" w:themeColor="text1"/>
          <w:sz w:val="16"/>
          <w:szCs w:val="16"/>
        </w:rPr>
        <w:softHyphen/>
        <w:t>дования Красной Армии и укомплектование марлевых полков, с остатком на 1-е Января 1943 года минимум - 1.000 пило</w:t>
      </w:r>
      <w:r w:rsidRPr="00722885">
        <w:rPr>
          <w:rFonts w:ascii="Times New Roman" w:hAnsi="Times New Roman"/>
          <w:color w:val="000000" w:themeColor="text1"/>
          <w:sz w:val="16"/>
          <w:szCs w:val="16"/>
        </w:rPr>
        <w:softHyphen/>
        <w:t>тов.</w:t>
      </w:r>
    </w:p>
    <w:p w14:paraId="32D6429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в связи с неудовлетворительной работой летных школ ВВС КА и невыполнением ими приказа йКО № 001 16-41 г., по выпуску в 1942 г.- 25.000 пилотов полностью обученных технике пилотирования и боевому применению, необходимо проведение решительных мер к предупреждению возможных за</w:t>
      </w:r>
      <w:r w:rsidRPr="00722885">
        <w:rPr>
          <w:rFonts w:ascii="Times New Roman" w:hAnsi="Times New Roman"/>
          <w:color w:val="000000" w:themeColor="text1"/>
          <w:sz w:val="16"/>
          <w:szCs w:val="16"/>
        </w:rPr>
        <w:softHyphen/>
        <w:t>труднений с резервом летного состава, особенно по истреби-) тельной авиации.</w:t>
      </w:r>
    </w:p>
    <w:p w14:paraId="60C46AF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Необходимо немедленное утверждение контрольных цийр на подготовку летного и' технического состава в школах ВВС КА и обеспечения их потребным количеством самолетов, моторов, орудия, боеприпасов, горючего и смазочного.</w:t>
      </w:r>
    </w:p>
    <w:p w14:paraId="6A49ACE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Основными недостатками Управления Формирования и Бое</w:t>
      </w:r>
      <w:r w:rsidRPr="00722885">
        <w:rPr>
          <w:rFonts w:ascii="Times New Roman" w:hAnsi="Times New Roman"/>
          <w:color w:val="000000" w:themeColor="text1"/>
          <w:sz w:val="16"/>
          <w:szCs w:val="16"/>
        </w:rPr>
        <w:softHyphen/>
        <w:t>вой Подготовки по учету, изучению и подготовке резерва запасных авиационных полков, наряду с вышеизложенным, яв</w:t>
      </w:r>
      <w:r w:rsidRPr="00722885">
        <w:rPr>
          <w:rFonts w:ascii="Times New Roman" w:hAnsi="Times New Roman"/>
          <w:color w:val="000000" w:themeColor="text1"/>
          <w:sz w:val="16"/>
          <w:szCs w:val="16"/>
        </w:rPr>
        <w:softHyphen/>
        <w:t>ляются :</w:t>
      </w:r>
    </w:p>
    <w:p w14:paraId="277BD65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отсутствие планирования , с ориентировочным предви</w:t>
      </w:r>
      <w:r w:rsidRPr="00722885">
        <w:rPr>
          <w:rFonts w:ascii="Times New Roman" w:hAnsi="Times New Roman"/>
          <w:color w:val="000000" w:themeColor="text1"/>
          <w:sz w:val="16"/>
          <w:szCs w:val="16"/>
        </w:rPr>
        <w:softHyphen/>
        <w:t>дением потребностей резерва и подготовки его на квартал вперед;</w:t>
      </w:r>
    </w:p>
    <w:p w14:paraId="54DAA41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незнание качественного состава резерва по всем специальностям;</w:t>
      </w:r>
    </w:p>
    <w:p w14:paraId="62D4FF8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срыв подготовки в запасных авиационных полках и бригадах командиров звеньев и заместителей командиров эскадрилий (подготовлено из 630 человек на 1.10.42 года только - 139) ;</w:t>
      </w:r>
    </w:p>
    <w:p w14:paraId="205CF38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отсутствие четкого представления о качественном составе резерва штурманов и стрелков-бомбардиров;</w:t>
      </w:r>
    </w:p>
    <w:p w14:paraId="28F869E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отсутствие планирования подготовки потребного ко</w:t>
      </w:r>
      <w:r w:rsidRPr="00722885">
        <w:rPr>
          <w:rFonts w:ascii="Times New Roman" w:hAnsi="Times New Roman"/>
          <w:color w:val="000000" w:themeColor="text1"/>
          <w:sz w:val="16"/>
          <w:szCs w:val="16"/>
        </w:rPr>
        <w:softHyphen/>
        <w:t>личества технического состава по вооружению, несмотря на большую нужду в нем.</w:t>
      </w:r>
    </w:p>
    <w:p w14:paraId="5D046CA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Ы В О Д Ы:</w:t>
      </w:r>
    </w:p>
    <w:p w14:paraId="0DCA494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проверки Управления Формирования и Боевой Под</w:t>
      </w:r>
      <w:r w:rsidRPr="00722885">
        <w:rPr>
          <w:rFonts w:ascii="Times New Roman" w:hAnsi="Times New Roman"/>
          <w:color w:val="000000" w:themeColor="text1"/>
          <w:sz w:val="16"/>
          <w:szCs w:val="16"/>
        </w:rPr>
        <w:softHyphen/>
        <w:t>готовки , выявлено:</w:t>
      </w:r>
    </w:p>
    <w:p w14:paraId="2469B1C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отсутствие систематического руководства учебно-боевой подготовкой маршевых авиационных полков, в резуль-) тате чего они, как правило, уходили и продолжают уходить на фронт неподготовленными.</w:t>
      </w:r>
    </w:p>
    <w:p w14:paraId="05D63E1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Управление фиксируя бесконтрольные донесения телеграф фом и по "ВЧ", бессистемно руководит ЗАП"ами, подшняя полки зафиксированные приказами НКО на новые формирования) и постоянно запаздывал в сроках готовностт их.</w:t>
      </w:r>
    </w:p>
    <w:p w14:paraId="0717E80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Необеспечение необходимого и серьезного руковод</w:t>
      </w:r>
      <w:r w:rsidRPr="00722885">
        <w:rPr>
          <w:rFonts w:ascii="Times New Roman" w:hAnsi="Times New Roman"/>
          <w:color w:val="000000" w:themeColor="text1"/>
          <w:sz w:val="16"/>
          <w:szCs w:val="16"/>
        </w:rPr>
        <w:softHyphen/>
        <w:t>ства боевой подготовкой маршевых полков, частей действую</w:t>
      </w:r>
      <w:r w:rsidRPr="00722885">
        <w:rPr>
          <w:rFonts w:ascii="Times New Roman" w:hAnsi="Times New Roman"/>
          <w:color w:val="000000" w:themeColor="text1"/>
          <w:sz w:val="16"/>
          <w:szCs w:val="16"/>
        </w:rPr>
        <w:softHyphen/>
        <w:t>щей авиации, Забайкальского Военного Округа, ВВС Дальне</w:t>
      </w:r>
      <w:r w:rsidRPr="00722885">
        <w:rPr>
          <w:rFonts w:ascii="Times New Roman" w:hAnsi="Times New Roman"/>
          <w:color w:val="000000" w:themeColor="text1"/>
          <w:sz w:val="16"/>
          <w:szCs w:val="16"/>
        </w:rPr>
        <w:softHyphen/>
        <w:t>восточного фронта, ВУЗ"ов ВВС КА, частей АДД и истреби</w:t>
      </w:r>
      <w:r w:rsidRPr="00722885">
        <w:rPr>
          <w:rFonts w:ascii="Times New Roman" w:hAnsi="Times New Roman"/>
          <w:color w:val="000000" w:themeColor="text1"/>
          <w:sz w:val="16"/>
          <w:szCs w:val="16"/>
        </w:rPr>
        <w:softHyphen/>
        <w:t>тельной авиацией ПВО территории страны.</w:t>
      </w:r>
    </w:p>
    <w:p w14:paraId="3B2DCDF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Боевая подготовка растворялась в бессистемной работе по формированию и по существу дела не обеспечивается в строгом соответствии с требованиями войны.</w:t>
      </w:r>
    </w:p>
    <w:p w14:paraId="6743E3C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u w:val="single"/>
        </w:rPr>
        <w:t>П Р Е Д Л О Ж Е Н И Я:</w:t>
      </w:r>
    </w:p>
    <w:p w14:paraId="32875CE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Исходя из всего вышеизложенного необходимо:</w:t>
      </w:r>
    </w:p>
    <w:p w14:paraId="0E05036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Немедленно решить вопрос о создании самостоятель</w:t>
      </w:r>
      <w:r w:rsidRPr="00722885">
        <w:rPr>
          <w:rFonts w:ascii="Times New Roman" w:hAnsi="Times New Roman"/>
          <w:color w:val="000000" w:themeColor="text1"/>
          <w:sz w:val="16"/>
          <w:szCs w:val="16"/>
        </w:rPr>
        <w:softHyphen/>
        <w:t>ного Управления Боевой Подготовки ВВС КА, укомплектовав его высококвалифицированными кадрами командиров, обладаю</w:t>
      </w:r>
      <w:r w:rsidRPr="00722885">
        <w:rPr>
          <w:rFonts w:ascii="Times New Roman" w:hAnsi="Times New Roman"/>
          <w:color w:val="000000" w:themeColor="text1"/>
          <w:sz w:val="16"/>
          <w:szCs w:val="16"/>
        </w:rPr>
        <w:softHyphen/>
        <w:t>щих большим боевым опытом и умением обеспечить рациональ</w:t>
      </w:r>
      <w:r w:rsidRPr="00722885">
        <w:rPr>
          <w:rFonts w:ascii="Times New Roman" w:hAnsi="Times New Roman"/>
          <w:color w:val="000000" w:themeColor="text1"/>
          <w:sz w:val="16"/>
          <w:szCs w:val="16"/>
        </w:rPr>
        <w:softHyphen/>
        <w:t>ное обучение авиационных сил Красной Армии боевому приме</w:t>
      </w:r>
      <w:r w:rsidRPr="00722885">
        <w:rPr>
          <w:rFonts w:ascii="Times New Roman" w:hAnsi="Times New Roman"/>
          <w:color w:val="000000" w:themeColor="text1"/>
          <w:sz w:val="16"/>
          <w:szCs w:val="16"/>
        </w:rPr>
        <w:softHyphen/>
        <w:t>нению всех видов военной авиации.</w:t>
      </w:r>
    </w:p>
    <w:p w14:paraId="71608AA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Передать полностью резерв летно-технического соста</w:t>
      </w:r>
      <w:r w:rsidRPr="00722885">
        <w:rPr>
          <w:rFonts w:ascii="Times New Roman" w:hAnsi="Times New Roman"/>
          <w:color w:val="000000" w:themeColor="text1"/>
          <w:sz w:val="16"/>
          <w:szCs w:val="16"/>
        </w:rPr>
        <w:softHyphen/>
        <w:t>ва Управлению Кадров ВВС КА, создав в его составе Отдел запасных авиационных полков и возложить на него подбор и подготовку всех руководящих кадров по новым йэршрования'м| и маршевым полкам.</w:t>
      </w:r>
    </w:p>
    <w:p w14:paraId="1FB48C7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Немедленно разработать и утвердить контрольные цифры на подготовку летно-технического состава в 1943 го</w:t>
      </w:r>
      <w:r w:rsidRPr="00722885">
        <w:rPr>
          <w:rFonts w:ascii="Times New Roman" w:hAnsi="Times New Roman"/>
          <w:color w:val="000000" w:themeColor="text1"/>
          <w:sz w:val="16"/>
          <w:szCs w:val="16"/>
        </w:rPr>
        <w:softHyphen/>
        <w:t>ду, одновременно разрешив вопрос о материально-техниче</w:t>
      </w:r>
      <w:r w:rsidRPr="00722885">
        <w:rPr>
          <w:rFonts w:ascii="Times New Roman" w:hAnsi="Times New Roman"/>
          <w:color w:val="000000" w:themeColor="text1"/>
          <w:sz w:val="16"/>
          <w:szCs w:val="16"/>
        </w:rPr>
        <w:softHyphen/>
        <w:t>ском обеспечении запасных авиаполков и учебных заведений потребным количеством самолетов, моторов, оружия, боепри</w:t>
      </w:r>
      <w:r w:rsidRPr="00722885">
        <w:rPr>
          <w:rFonts w:ascii="Times New Roman" w:hAnsi="Times New Roman"/>
          <w:color w:val="000000" w:themeColor="text1"/>
          <w:sz w:val="16"/>
          <w:szCs w:val="16"/>
        </w:rPr>
        <w:softHyphen/>
        <w:t>пасов, горшего и смазочного.</w:t>
      </w:r>
    </w:p>
    <w:p w14:paraId="6C7CF8C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Обязать Начальника ^правления Формировашя и Бое</w:t>
      </w:r>
      <w:r w:rsidRPr="00722885">
        <w:rPr>
          <w:rFonts w:ascii="Times New Roman" w:hAnsi="Times New Roman"/>
          <w:color w:val="000000" w:themeColor="text1"/>
          <w:sz w:val="16"/>
          <w:szCs w:val="16"/>
        </w:rPr>
        <w:softHyphen/>
        <w:t>вой Подготовки - Полковника ВОЛКОВА разработать практи</w:t>
      </w:r>
      <w:r w:rsidRPr="00722885">
        <w:rPr>
          <w:rFonts w:ascii="Times New Roman" w:hAnsi="Times New Roman"/>
          <w:color w:val="000000" w:themeColor="text1"/>
          <w:sz w:val="16"/>
          <w:szCs w:val="16"/>
        </w:rPr>
        <w:softHyphen/>
        <w:t>ческие мероприятия к усилению контроля за подготовкой маршевых авиационных полков, как этого требует постановление Военного Совета ВВС КА от 3--4.9.1942 года.</w:t>
      </w:r>
    </w:p>
    <w:p w14:paraId="1161FFA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ИНСПЕКЦИИ ВВС КА</w:t>
      </w:r>
    </w:p>
    <w:p w14:paraId="77999D9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ЗАМ.НАРКОМА ОЕОРОШ СОЮЗА</w:t>
      </w:r>
    </w:p>
    <w:p w14:paraId="5B3F36E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О Л К О В Н И К (В. СТАЛИН)</w:t>
      </w:r>
    </w:p>
    <w:p w14:paraId="2329BA0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Ноября 1942 г. (1632,265).</w:t>
      </w:r>
    </w:p>
    <w:p w14:paraId="12D32372" w14:textId="77777777" w:rsidR="00090C9B" w:rsidRPr="00722885" w:rsidRDefault="00090C9B" w:rsidP="00722885">
      <w:pPr>
        <w:pStyle w:val="Iauiue"/>
        <w:jc w:val="both"/>
        <w:rPr>
          <w:color w:val="000000" w:themeColor="text1"/>
          <w:sz w:val="16"/>
          <w:szCs w:val="16"/>
        </w:rPr>
      </w:pPr>
    </w:p>
    <w:p w14:paraId="490392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ноября 1942 вышел приказ мурманского дивизионного района ПВО N 01932:</w:t>
      </w:r>
    </w:p>
    <w:p w14:paraId="2905C0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развитие указаний Командующего войсками ПВО территории страны - Командующий МДР ПВО приказал:</w:t>
      </w:r>
    </w:p>
    <w:p w14:paraId="5CAB64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Сбитым самолетов считать только тот, на который будет представлены подтверждающие документы о падении самолета:</w:t>
      </w:r>
    </w:p>
    <w:p w14:paraId="3638AC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место падения самолета;</w:t>
      </w:r>
    </w:p>
    <w:p w14:paraId="37300B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фотоснимок упавшего самолета;</w:t>
      </w:r>
    </w:p>
    <w:p w14:paraId="49280A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данные, определяющие тип и принадлежность к соответствующей части, номер и другие опознавательные знаки;</w:t>
      </w:r>
    </w:p>
    <w:p w14:paraId="20256A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акт на сбитие самолета, подписанный незаинтересованными лицами (не той части, подразделения которой представляют акт);</w:t>
      </w:r>
    </w:p>
    <w:p w14:paraId="56827E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подтверждение постов ВНОС.</w:t>
      </w:r>
    </w:p>
    <w:p w14:paraId="673BCD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Для истребительной авиации:</w:t>
      </w:r>
    </w:p>
    <w:p w14:paraId="7C56720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фотоснимок сбитого самолета;</w:t>
      </w:r>
    </w:p>
    <w:p w14:paraId="1B624E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подтверждение постов ВНОС или НП ЗА</w:t>
      </w:r>
    </w:p>
    <w:p w14:paraId="25775A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Подбитым самолетом считать тот, у которого после стрельбы ЗА или воздушного боя с и явно заметно нарушение режима полета (резкое снижение высоты, потеря скорости, появление пламени.</w:t>
      </w:r>
    </w:p>
    <w:p w14:paraId="6ECA98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В представленных документах на подбитие самолета указывать, какие принципы и кто подтверждает.</w:t>
      </w:r>
    </w:p>
    <w:p w14:paraId="6D44B7F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Одновременно с актом представлять и все подтверждающие документы. К представленному акту обязательно прилагать заполненную схему.</w:t>
      </w:r>
    </w:p>
    <w:p w14:paraId="0053AE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Без представления и оформления соответствующих документов, самолеты сбитыми считаться не будут." (3796).</w:t>
      </w:r>
    </w:p>
    <w:p w14:paraId="254A9D52" w14:textId="77777777" w:rsidR="00090C9B" w:rsidRPr="00722885" w:rsidRDefault="00090C9B" w:rsidP="00722885">
      <w:pPr>
        <w:pStyle w:val="Iauiue"/>
        <w:jc w:val="both"/>
        <w:rPr>
          <w:color w:val="000000" w:themeColor="text1"/>
          <w:sz w:val="16"/>
          <w:szCs w:val="16"/>
        </w:rPr>
      </w:pPr>
    </w:p>
    <w:p w14:paraId="3A821B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18 ноября 1942 в парке 222-й дивизии насчитывалось 68 В-25. Для увеличения дальности в бомбоотсек ставили специально спроектированные подковообразные дополнительные бензобаки. Эти баки применялись при полетах па максимальную дальность. Бомбы при этом размещались па внешней подвеске под крылом (обычно брали две ФАБ-250). Потом па заводе № 156 освоили производство картонных одноразовых подвесных баков. Для бомбометания ночью на самолетах смонтировали прицелы ПКПБ-7 (3457,92).</w:t>
      </w:r>
    </w:p>
    <w:p w14:paraId="2C537AF1" w14:textId="77777777" w:rsidR="00090C9B" w:rsidRPr="00722885" w:rsidRDefault="00090C9B" w:rsidP="00722885">
      <w:pPr>
        <w:pStyle w:val="Iauiue"/>
        <w:jc w:val="both"/>
        <w:rPr>
          <w:color w:val="000000" w:themeColor="text1"/>
          <w:sz w:val="16"/>
          <w:szCs w:val="16"/>
        </w:rPr>
      </w:pPr>
    </w:p>
    <w:p w14:paraId="19A027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ноября 1942 на Кавказском направлении советские войска заставляют немцев начать отход (3481).</w:t>
      </w:r>
    </w:p>
    <w:p w14:paraId="300AAE1A" w14:textId="77777777" w:rsidR="00090C9B" w:rsidRPr="00722885" w:rsidRDefault="00090C9B" w:rsidP="00722885">
      <w:pPr>
        <w:pStyle w:val="Iauiue"/>
        <w:jc w:val="both"/>
        <w:rPr>
          <w:color w:val="000000" w:themeColor="text1"/>
          <w:sz w:val="16"/>
          <w:szCs w:val="16"/>
        </w:rPr>
      </w:pPr>
    </w:p>
    <w:p w14:paraId="24C5F8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ноября 1942 вышло Постановление ГКО № 2522 О формировании 42 отдельных армейских рот ВНОС по штату № 050/134. РГАНИР, Фонд ГКО, д. 69, лл. 167-167об (11012).</w:t>
      </w:r>
    </w:p>
    <w:p w14:paraId="59D59DE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316FD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ноября 1942 вышло Постановление ГКО № 2523 О сформировании 22 зенитных дивизий РГК и 6 артиллерийских дивизий РГК. РГАНИР, Фонд ГКО, д. 69, лл. 168-169 (11012).</w:t>
      </w:r>
    </w:p>
    <w:p w14:paraId="540FE65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1046C8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1C33CA0" w14:textId="77777777" w:rsidR="00090C9B" w:rsidRPr="00722885" w:rsidRDefault="00090C9B" w:rsidP="00722885">
      <w:pPr>
        <w:pStyle w:val="Iauiue"/>
        <w:jc w:val="both"/>
        <w:rPr>
          <w:iCs/>
          <w:color w:val="000000" w:themeColor="text1"/>
          <w:sz w:val="16"/>
          <w:szCs w:val="16"/>
        </w:rPr>
      </w:pPr>
    </w:p>
    <w:p w14:paraId="67B41F34"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18 ноября 1942 года состоялся первый полет Тачикава Ки-77 (20793).</w:t>
      </w:r>
    </w:p>
    <w:p w14:paraId="041E0CE6" w14:textId="77777777" w:rsidR="00546E6F" w:rsidRPr="00722885" w:rsidRDefault="00546E6F" w:rsidP="00722885">
      <w:pPr>
        <w:spacing w:after="0" w:line="240" w:lineRule="auto"/>
        <w:jc w:val="both"/>
        <w:rPr>
          <w:rFonts w:ascii="Times New Roman" w:hAnsi="Times New Roman"/>
          <w:color w:val="0070C0"/>
          <w:sz w:val="16"/>
          <w:szCs w:val="16"/>
        </w:rPr>
      </w:pPr>
    </w:p>
    <w:p w14:paraId="59F97C9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18 ноября 1942 в Англии, Ньюбиггин-бай-Зе-Си в Нортумберленде мужчина заявил, что в этот день его похитили инопланетяне с целью медицинского осмотра (3714).</w:t>
      </w:r>
    </w:p>
    <w:p w14:paraId="532DE0F2" w14:textId="77777777" w:rsidR="00090C9B" w:rsidRPr="00722885" w:rsidRDefault="00090C9B" w:rsidP="00722885">
      <w:pPr>
        <w:pStyle w:val="Iauiue"/>
        <w:jc w:val="both"/>
        <w:rPr>
          <w:color w:val="000000" w:themeColor="text1"/>
          <w:sz w:val="16"/>
          <w:szCs w:val="16"/>
        </w:rPr>
      </w:pPr>
    </w:p>
    <w:p w14:paraId="221B808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41E8201" w14:textId="77777777" w:rsidR="00090C9B" w:rsidRPr="00722885" w:rsidRDefault="00090C9B" w:rsidP="00722885">
      <w:pPr>
        <w:pStyle w:val="Iauiue"/>
        <w:jc w:val="both"/>
        <w:rPr>
          <w:iCs/>
          <w:color w:val="000000" w:themeColor="text1"/>
          <w:sz w:val="16"/>
          <w:szCs w:val="16"/>
        </w:rPr>
      </w:pPr>
    </w:p>
    <w:p w14:paraId="716E14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ноября 1942 С.П.К. начал работать в ОКБ-16 и с 8 января стал руководителем бригады по разработке АРУ-1 (РУ-1) на основе РД-1 для Пе-2 (1136,81).</w:t>
      </w:r>
    </w:p>
    <w:p w14:paraId="27100FE0" w14:textId="77777777" w:rsidR="00090C9B" w:rsidRPr="00722885" w:rsidRDefault="00090C9B" w:rsidP="00722885">
      <w:pPr>
        <w:pStyle w:val="Iauiue"/>
        <w:jc w:val="both"/>
        <w:rPr>
          <w:color w:val="000000" w:themeColor="text1"/>
          <w:sz w:val="16"/>
          <w:szCs w:val="16"/>
        </w:rPr>
      </w:pPr>
    </w:p>
    <w:p w14:paraId="2E3DC0FE" w14:textId="77777777" w:rsidR="008D2293" w:rsidRPr="00722885" w:rsidRDefault="008D2293" w:rsidP="00722885">
      <w:pPr>
        <w:pStyle w:val="ae"/>
        <w:spacing w:before="0" w:after="0"/>
        <w:jc w:val="both"/>
        <w:rPr>
          <w:color w:val="000000" w:themeColor="text1"/>
          <w:sz w:val="16"/>
          <w:szCs w:val="16"/>
        </w:rPr>
      </w:pPr>
      <w:r w:rsidRPr="00722885">
        <w:rPr>
          <w:color w:val="000000" w:themeColor="text1"/>
          <w:sz w:val="16"/>
          <w:szCs w:val="16"/>
        </w:rPr>
        <w:t>19 ноября 1942 г. заключенного С.П. Королева, по ходатайству другого заключенного, В.П. Глушко, перевели из Омска в Казань, в ОКБ-16, бывшее ОКБ-82, и поселили в одной из спальных комнат четвертого этажа заводоуправления 22-го завода (так завод стал называться после объединения с эвакуированным из Филей Московским самолетостроительным № 22). Директором завода № 22 был В.А. Окулов.</w:t>
      </w:r>
    </w:p>
    <w:p w14:paraId="1221A818" w14:textId="77777777" w:rsidR="008D2293" w:rsidRPr="00722885" w:rsidRDefault="008D2293" w:rsidP="00722885">
      <w:pPr>
        <w:pStyle w:val="ae"/>
        <w:spacing w:before="0" w:after="0"/>
        <w:jc w:val="both"/>
        <w:rPr>
          <w:color w:val="000000" w:themeColor="text1"/>
          <w:sz w:val="16"/>
          <w:szCs w:val="16"/>
        </w:rPr>
      </w:pPr>
      <w:r w:rsidRPr="00722885">
        <w:rPr>
          <w:color w:val="000000" w:themeColor="text1"/>
          <w:sz w:val="16"/>
          <w:szCs w:val="16"/>
        </w:rPr>
        <w:t xml:space="preserve">Директор завода № 16 М.М. Лукин относился к заключенным подчеркнуто вежливо и доброжелательно. Должности главного инженера, главного технолога и </w:t>
      </w:r>
      <w:r w:rsidRPr="00722885">
        <w:rPr>
          <w:color w:val="000000" w:themeColor="text1"/>
          <w:sz w:val="16"/>
          <w:szCs w:val="16"/>
        </w:rPr>
        <w:lastRenderedPageBreak/>
        <w:t>начальников цехов занимали работники завода, а их заместителями (как и в Тушино, «пронумерованными») были заключенные из ОКБ-16. Храпко имел номер 293. Только в самых необходимых случаях документы подписывали фамилиями, но так, чтобы разобрать их было невозможно. Начальником опытного цеха № 30 был вольнонаемный Изотов, но все привыкли, что фактически этим цехом руководит некий Михаил Алексеевич, технологической группой цеха – Самуил Израилевич; а вот их фамилии – Храпко и Меламуд – никто из вольнонаемных знать был не должен (19567).</w:t>
      </w:r>
    </w:p>
    <w:p w14:paraId="303A4FB3" w14:textId="77777777" w:rsidR="008D2293" w:rsidRPr="00722885" w:rsidRDefault="008D2293" w:rsidP="00722885">
      <w:pPr>
        <w:pStyle w:val="ae"/>
        <w:spacing w:before="0" w:after="0"/>
        <w:jc w:val="both"/>
        <w:rPr>
          <w:color w:val="000000" w:themeColor="text1"/>
          <w:sz w:val="16"/>
          <w:szCs w:val="16"/>
        </w:rPr>
      </w:pPr>
    </w:p>
    <w:p w14:paraId="48105B9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696C0B1" w14:textId="77777777" w:rsidR="00090C9B" w:rsidRPr="00722885" w:rsidRDefault="00090C9B" w:rsidP="00722885">
      <w:pPr>
        <w:pStyle w:val="Iauiue"/>
        <w:jc w:val="both"/>
        <w:rPr>
          <w:iCs/>
          <w:color w:val="000000" w:themeColor="text1"/>
          <w:sz w:val="16"/>
          <w:szCs w:val="16"/>
        </w:rPr>
      </w:pPr>
    </w:p>
    <w:p w14:paraId="506B2469"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 ноября 1942 доклад по экранировке был представлен Сталину. В нём предлагалось построить 46 экранированных Т-34 — 23 по первому варианту и 23 по второму. Предложение было Сталиным одобрено, 7 декабря 1942 года он подписал постановление ГКО №2594сс, согласно которому завод №112 выпускал к 1 марта 1943 года указанное число экранированных машин. Изготовили их весной 1943 года (18883).</w:t>
      </w:r>
    </w:p>
    <w:p w14:paraId="3960AF61"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p>
    <w:p w14:paraId="4D34F0E8"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 ноября 1942 года в адрес Технического совета НКВ поступил эскизный проект самоходной установки ИС-10 разработки КБ завода №92. Руководил работами П.Ф. Муравьев. Концепция создания этой самоходной установки заключалась в том, чтобы изменения в базовое шасси Т-70 оказались минимальными. В целом это удалось: компоновка Т-70 оставалась без изменений, рубка устанавливалась вместо башни и подбашенного погона. Правда, при этом рубка немного «залезала» на надмоторную плиту.</w:t>
      </w:r>
    </w:p>
    <w:p w14:paraId="030AD7DD"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Задача минимального изменения конструкции шасси Т-70 привела к появлению самоходной установки весьма специфичного вида. Фактически завод №92 предлагал переделать двухместный Т-70 в трехместную самоходную установку с ЗИС-3 в качестве вооружения. На бумаге предлагаемая самоходная установка выглядела весьма интересно. Согласно проекту, внутренние объемы боевого отделения позволяли разместить боезапас из 40 патронов к ЗИС-3, а боевая масса ИС-10 всего на 500 килограмм превышала Т-70. Орудие САУ должно было иметь вполне адекватные углы наклона. В качающуюся часть ЗИС-3 вносились минимальные изменения, в частности, устанавливался телескопический прицел. Кроме того, с орудием был спарен пулемет ДТ.</w:t>
      </w:r>
    </w:p>
    <w:p w14:paraId="5207FC1F"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 практике проект САУ ИС-10 выглядел далеко не так радужно, как это описывалось. Достаточно одного взгляда на эскизы самоходной установки, чтобы пожалеть тех людей, которым на ней предстояло бы воевать. Рубка частично заходила на надмоторную плиту, так что демонтаж двигателя превратился бы в весьма нетривиальную задачу. Это была, впрочем, далеко не самая серьезная проблема. Создается стойкое ощущение, что в 1942 году коллектив КБ завода №92 думал о чем угодно, кроме как об удобстве работы расчета.</w:t>
      </w:r>
    </w:p>
    <w:p w14:paraId="17600C01"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Например, 85-мм пушка ЗИС-25 теоретически </w:t>
      </w:r>
      <w:hyperlink r:id="rId172" w:history="1">
        <w:r w:rsidRPr="00722885">
          <w:rPr>
            <w:rFonts w:ascii="Times New Roman" w:eastAsia="Times New Roman" w:hAnsi="Times New Roman"/>
            <w:color w:val="000000" w:themeColor="text1"/>
            <w:sz w:val="16"/>
            <w:szCs w:val="16"/>
            <w:lang w:eastAsia="ru-RU"/>
          </w:rPr>
          <w:t>вписывалась</w:t>
        </w:r>
      </w:hyperlink>
      <w:r w:rsidRPr="00722885">
        <w:rPr>
          <w:rFonts w:ascii="Times New Roman" w:eastAsia="Times New Roman" w:hAnsi="Times New Roman"/>
          <w:color w:val="000000" w:themeColor="text1"/>
          <w:sz w:val="16"/>
          <w:szCs w:val="16"/>
          <w:lang w:eastAsia="ru-RU"/>
        </w:rPr>
        <w:t xml:space="preserve"> в башню КВ-1, но процесс ее заряжания должен был стать одним из чудес эквилибристики. Но по сравнению с работой заряжающего в ИС-10 это казалось сущей мелочью. Бедолаге-заряжающему здесь пришлось бы прилагать немалые усилия просто для того, чтобы не быть задетым орудием при стрельбе. Даже наличие ограждения особо проблему не решало – деваться заряжающему было просто некуда. Акробатическим трюком становилась перезарядка спаренного пулемета. А про такие мелочи, как сидения для командира и заряжающего, можно даже не спрашивать. Командир, кстати говоря, судя по схеме должен был стоять на боеукладке. Вероятно, это было сделано для упрощения заряжания. Масса вопросов возникает и к обеспечению вентиляции боевого отделения. Судя по схеме, о ней конструкторы даже не задумывались (17683).</w:t>
      </w:r>
    </w:p>
    <w:p w14:paraId="5AB94B91" w14:textId="77777777" w:rsidR="00C86874" w:rsidRPr="00722885" w:rsidRDefault="00C86874" w:rsidP="00722885">
      <w:pPr>
        <w:pStyle w:val="12a"/>
        <w:shd w:val="clear" w:color="auto" w:fill="auto"/>
        <w:spacing w:after="0" w:line="240" w:lineRule="auto"/>
        <w:jc w:val="both"/>
        <w:rPr>
          <w:color w:val="000000" w:themeColor="text1"/>
          <w:sz w:val="16"/>
          <w:szCs w:val="16"/>
        </w:rPr>
      </w:pPr>
    </w:p>
    <w:p w14:paraId="1194E5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ноября 1942 г. приемочная комиссия составила акт, согласно которому образец самоходки ГАЗ был назван не отвечающим требованиям технического задания и не обладающим надлежащей надежностью. СУ-12 же был рекомендован к принятию на вооружение, с оговоркой о необходимости проведения повторных пробеговых испытаний. Пробег был проведен в короткий срок, однако он велся по дорогам и возможно потому никаких крупных дефектов в конструкции машин отмечено не было (6205, 14).</w:t>
      </w:r>
    </w:p>
    <w:p w14:paraId="182C81FA" w14:textId="77777777" w:rsidR="00090C9B" w:rsidRPr="00722885" w:rsidRDefault="00090C9B" w:rsidP="00722885">
      <w:pPr>
        <w:pStyle w:val="Iauiue"/>
        <w:jc w:val="both"/>
        <w:rPr>
          <w:color w:val="000000" w:themeColor="text1"/>
          <w:sz w:val="16"/>
          <w:szCs w:val="16"/>
        </w:rPr>
      </w:pPr>
    </w:p>
    <w:p w14:paraId="7E831B9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ноября 1942 г. приемочная комиссия составила акт, согласно которому образец Автозавода был назван не отве</w:t>
      </w:r>
      <w:r w:rsidRPr="00722885">
        <w:rPr>
          <w:rFonts w:ascii="Times New Roman" w:hAnsi="Times New Roman"/>
          <w:color w:val="000000" w:themeColor="text1"/>
          <w:sz w:val="16"/>
          <w:szCs w:val="16"/>
        </w:rPr>
        <w:softHyphen/>
        <w:t>чающим требованиям технического задания и не обладаю</w:t>
      </w:r>
      <w:r w:rsidRPr="00722885">
        <w:rPr>
          <w:rFonts w:ascii="Times New Roman" w:hAnsi="Times New Roman"/>
          <w:color w:val="000000" w:themeColor="text1"/>
          <w:sz w:val="16"/>
          <w:szCs w:val="16"/>
        </w:rPr>
        <w:softHyphen/>
        <w:t>щим надлежащей надежностью. СУ-12 же был рекомендо</w:t>
      </w:r>
      <w:r w:rsidRPr="00722885">
        <w:rPr>
          <w:rFonts w:ascii="Times New Roman" w:hAnsi="Times New Roman"/>
          <w:color w:val="000000" w:themeColor="text1"/>
          <w:sz w:val="16"/>
          <w:szCs w:val="16"/>
        </w:rPr>
        <w:softHyphen/>
        <w:t>ван к принятию на вооружение, с оговоркой о необходимо</w:t>
      </w:r>
      <w:r w:rsidRPr="00722885">
        <w:rPr>
          <w:rFonts w:ascii="Times New Roman" w:hAnsi="Times New Roman"/>
          <w:color w:val="000000" w:themeColor="text1"/>
          <w:sz w:val="16"/>
          <w:szCs w:val="16"/>
        </w:rPr>
        <w:softHyphen/>
        <w:t>сти проведения повторных пробеговых испытаний. Пробег был проведен в короткий срок, однако он велся по доро</w:t>
      </w:r>
      <w:r w:rsidRPr="00722885">
        <w:rPr>
          <w:rFonts w:ascii="Times New Roman" w:hAnsi="Times New Roman"/>
          <w:color w:val="000000" w:themeColor="text1"/>
          <w:sz w:val="16"/>
          <w:szCs w:val="16"/>
        </w:rPr>
        <w:softHyphen/>
        <w:t>гам, и, возможно, поэтому никаких крупных дефектов в конструкции машин отмечено не было. В январе 1943 г. на</w:t>
      </w:r>
      <w:r w:rsidRPr="00722885">
        <w:rPr>
          <w:rFonts w:ascii="Times New Roman" w:hAnsi="Times New Roman"/>
          <w:color w:val="000000" w:themeColor="text1"/>
          <w:sz w:val="16"/>
          <w:szCs w:val="16"/>
        </w:rPr>
        <w:softHyphen/>
        <w:t>чалось серийное производство СУ-12, получивших войско</w:t>
      </w:r>
      <w:r w:rsidRPr="00722885">
        <w:rPr>
          <w:rFonts w:ascii="Times New Roman" w:hAnsi="Times New Roman"/>
          <w:color w:val="000000" w:themeColor="text1"/>
          <w:sz w:val="16"/>
          <w:szCs w:val="16"/>
        </w:rPr>
        <w:softHyphen/>
        <w:t>вой индекс СУ-76. Первые машины были переданы заказ</w:t>
      </w:r>
      <w:r w:rsidRPr="00722885">
        <w:rPr>
          <w:rFonts w:ascii="Times New Roman" w:hAnsi="Times New Roman"/>
          <w:color w:val="000000" w:themeColor="text1"/>
          <w:sz w:val="16"/>
          <w:szCs w:val="16"/>
        </w:rPr>
        <w:softHyphen/>
        <w:t>чику 14 января и вскоре прошли на формирование двух полков САУ смешанной организации трансмиссии (11417).</w:t>
      </w:r>
    </w:p>
    <w:p w14:paraId="06C6BD3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1567B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ноября 1942 года в ответ на письмо Устинова от 17 ноября заместитель начальника ГАБТУ КА генерал-майор Лебедев сообщал Устинову:</w:t>
      </w:r>
    </w:p>
    <w:p w14:paraId="3DDF86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«Сообщаю, что заводу № 592 нами поставлено в октябре 13 отремонтированных танков (в том числе один Т-4) и до 15 ноября ещё 11 танков. Всего до 15 ноября поставлено, не считая Т-4, 23 танка при заданной к этому сроку программе 30 штук.</w:t>
      </w:r>
    </w:p>
    <w:p w14:paraId="43473E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Недовыполнение программы на 7 единиц объясняется трудностью освоения ремонта трофейных машин и наступившими холодами, значительно осложнившими ремонт и регулировку.</w:t>
      </w:r>
    </w:p>
    <w:p w14:paraId="1F3AAA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Нами принимаются меры для обеспечения в дальнейшем поставки машин точно по заданному графику.</w:t>
      </w:r>
    </w:p>
    <w:p w14:paraId="28A0BF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вышеизложенного видно, что завод № 592 не имеет оснований объяснять полный срыв программы выпуска машин в октябре и 15 дней ноября не поставкой под монтаж 7 единиц.</w:t>
      </w:r>
    </w:p>
    <w:p w14:paraId="39EE8BB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Вас указать заводу на необходимость более тесного взаимодействия с нашим ремонтным заводом, поставляющим танки» (12688).</w:t>
      </w:r>
    </w:p>
    <w:p w14:paraId="0F727E9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66F268C"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19 ноября 1942 года на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№15002 испытывалась планетарная трансмиссия конструкции инженера-полковника А.И. Благонравова (17484).</w:t>
      </w:r>
    </w:p>
    <w:p w14:paraId="61268B78" w14:textId="77777777" w:rsidR="00A50962" w:rsidRPr="00722885" w:rsidRDefault="00A50962" w:rsidP="00722885">
      <w:pPr>
        <w:spacing w:after="0" w:line="240" w:lineRule="auto"/>
        <w:jc w:val="both"/>
        <w:rPr>
          <w:rFonts w:ascii="Times New Roman" w:hAnsi="Times New Roman"/>
          <w:color w:val="000000" w:themeColor="text1"/>
          <w:sz w:val="16"/>
          <w:szCs w:val="16"/>
        </w:rPr>
      </w:pPr>
    </w:p>
    <w:p w14:paraId="1EC166CB" w14:textId="77777777" w:rsidR="001166A2" w:rsidRPr="00722885" w:rsidRDefault="001166A2"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19 ноября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xml:space="preserve">. приемочная комиссия составила акт, согласно которому образец Автозавода был назван не отвечающим требованиям технического задания и не обладающим надлежащей надежностью. СУ-12 же был рекомендован к принятию на вооружение, с оговоркой о необходимости проведения повторных пробеговых испытаний. Пробег был проведен в короткий срок, однако он велся по дорогам, и, возможно, поэтому никаких крупных дефектов в конструкции машины отмечено не было. В январе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1943 г</w:t>
        </w:r>
      </w:smartTag>
      <w:r w:rsidRPr="00722885">
        <w:rPr>
          <w:rFonts w:ascii="Times New Roman" w:hAnsi="Times New Roman"/>
          <w:color w:val="000000" w:themeColor="text1"/>
          <w:sz w:val="16"/>
          <w:szCs w:val="16"/>
        </w:rPr>
        <w:t>. началось серийное производство СУ-12, получивших войсковой индекс СУ-76. Первая партия состояла из 25 машин, которые были направлены в учебный центр самоходной артиллерии. Эти машины вошли в состав двух первых самоходно-артиллерийских полков, которые находились в подчинении начальника артиллерии Красной Армии и приказом НКО от 10 января «Об усилении огневой мощи бронетанковых и механизированных войск» предназначались для передачи в танковые и механизированные корпуса. Однако в связи с начавшейся операцией по прорыву блокады Ленинграда два первых сформированных полка (1433-й и 1434-й) решением ставки ВГК в конце января 1943 года были направлены на Волховский фронт для использования их в качестве артиллерии сопровождения пехоты и танков (15218).</w:t>
      </w:r>
    </w:p>
    <w:p w14:paraId="7C91384F" w14:textId="77777777" w:rsidR="001166A2" w:rsidRPr="00722885" w:rsidRDefault="001166A2" w:rsidP="00722885">
      <w:pPr>
        <w:widowControl w:val="0"/>
        <w:spacing w:after="0" w:line="240" w:lineRule="auto"/>
        <w:jc w:val="both"/>
        <w:rPr>
          <w:rFonts w:ascii="Times New Roman" w:hAnsi="Times New Roman"/>
          <w:color w:val="000000" w:themeColor="text1"/>
          <w:sz w:val="16"/>
          <w:szCs w:val="16"/>
        </w:rPr>
      </w:pPr>
    </w:p>
    <w:p w14:paraId="6A2A223D"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19 ноября 1942 вышло Постановление ГКО № 2524 О мерах помощи уральским электростанциям и об упорядочении электроснабжения промышленности Урала. (7063, 170-173,174-211).</w:t>
      </w:r>
    </w:p>
    <w:p w14:paraId="6D705B98" w14:textId="77777777" w:rsidR="00090C9B" w:rsidRPr="00722885" w:rsidRDefault="00090C9B" w:rsidP="00722885">
      <w:pPr>
        <w:pStyle w:val="Iauiue"/>
        <w:tabs>
          <w:tab w:val="left" w:pos="11199"/>
        </w:tabs>
        <w:jc w:val="both"/>
        <w:rPr>
          <w:color w:val="000000" w:themeColor="text1"/>
          <w:sz w:val="16"/>
          <w:szCs w:val="16"/>
        </w:rPr>
      </w:pPr>
    </w:p>
    <w:p w14:paraId="0A76C37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ноября 1942 вышло Распоряжение ГКО № 2525 О лимите электроэнергии для НКБП от Уральской энергосистемы и запрещении отключать от энергоснабжения Камский целлюлозно-бумажный комбинат. РГАНИР, Фонд ГКО, д. 69, лл. 212 (11012).</w:t>
      </w:r>
    </w:p>
    <w:p w14:paraId="09357FC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473BD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ноября 1942 вышло Постановление ГКО № 2526 О т.т. Суслове М.А., Кагановиче Л.М. и Сорокине К.А. РГАНИР, Фонд ГКО, д. 69, лл. 213 (11012).</w:t>
      </w:r>
    </w:p>
    <w:p w14:paraId="47295C3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8C298E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C715665" w14:textId="77777777" w:rsidR="00090C9B" w:rsidRPr="00722885" w:rsidRDefault="00090C9B" w:rsidP="00722885">
      <w:pPr>
        <w:pStyle w:val="Iauiue"/>
        <w:jc w:val="both"/>
        <w:rPr>
          <w:iCs/>
          <w:color w:val="000000" w:themeColor="text1"/>
          <w:sz w:val="16"/>
          <w:szCs w:val="16"/>
        </w:rPr>
      </w:pPr>
    </w:p>
    <w:p w14:paraId="230C578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19 ноября </w:t>
      </w:r>
      <w:r w:rsidRPr="00722885">
        <w:rPr>
          <w:rFonts w:ascii="Times New Roman" w:hAnsi="Times New Roman"/>
          <w:color w:val="000000" w:themeColor="text1"/>
          <w:sz w:val="16"/>
          <w:szCs w:val="16"/>
        </w:rPr>
        <w:t>в 1942 году утреннее сообщение Совинформбюро:</w:t>
      </w:r>
    </w:p>
    <w:p w14:paraId="2B86B32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19 ноября на фронтах никаких изменений не произошло.</w:t>
      </w:r>
    </w:p>
    <w:p w14:paraId="6994BD1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противника. В заводской части города Н-ская гвардейская миномётная часть истребила до 200 немецких солдат и офицеров. Пулемётчики под командованием тов. Литвинова в течение двух суток успешно отражали атаки противника и уничтожили более роты гитлеровцев. В южной части города наши подразделения предприняли активные действия и захватили несколько вражеских укреплений.</w:t>
      </w:r>
    </w:p>
    <w:p w14:paraId="0A26B283"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бойцами огнём из пехотного оружия сбито 2 немецких самолёта.</w:t>
      </w:r>
    </w:p>
    <w:p w14:paraId="099B03F1"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Н-ское подразделение предприняло разведку боем. Преодолев минные поля и проволочные заграждения, наши бойцы ворвались в окопы и блиндажи противника и истребили свыше 60 гитлеровцев. Захватив пленных и трофеи, подразделение вернулось в расположение своей части.</w:t>
      </w:r>
    </w:p>
    <w:p w14:paraId="1AF2D872"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артиллеристы одного нашего соединения, поддерживая атаки пехотных частей, уничтожили до 300 вражеских солдат и офицеров и подбили 6 танков противника.</w:t>
      </w:r>
    </w:p>
    <w:p w14:paraId="7166411D"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Северо-восточнее Туапсе наши части продолжали вести активные боевые действияи несколько продвинулись вперёд. Противник контратаками пытался задержать продвижение наших подразделений. Все контратаки гитлеровцев были отбиты с большими для них потерями. Захваченные в плен солдаты и офицеры 2 батальона 13 немецкого горнострелкового полка сообщили, что в одной роте батальона остался 21, а в другой всего лишь 6 солдат. Только в боях за последние два дня батальон потерял убитыми около 300 солдат и офицеров.</w:t>
      </w:r>
    </w:p>
    <w:p w14:paraId="7ADCDC1C"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подступах к Туапсе огнём зенитной артиллерии сбито 7 немецких cамолётов.</w:t>
      </w:r>
    </w:p>
    <w:p w14:paraId="05F511A4"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Карельском фронте снайперами Н-ского соединения за последние шесть дней истреблено 180 вражеских солдат и офицеров. Снайперы тт. Коровин и Генералов за эти дни уничтожили по 5 немцев, снайпер т. Еременюк истребил 6 гитлеровцев. Разведывательный отряд в составе подразделений старших лейтенантов Валеева и Ратушного совершил успешный налёт на опорный пункт противника. В результате налёта убито и ранено до 100 гитлеровцев, разрушено 9 дзотов и землянок, уничтожено 5 пулемётов и 5 миномётов. Наши разведчики благополучно вернулись всвою часть.</w:t>
      </w:r>
    </w:p>
    <w:p w14:paraId="25B2709C"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Орловской области, в бою против карательной экспедиции гитлеровцев уничтожил свыше 100 немецких солдат и офицеров. При налёте на немецкий гарнизон партизаны сожгли склад боеприпасов и 4 автомашины противника.</w:t>
      </w:r>
    </w:p>
    <w:p w14:paraId="4996D4B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Гитлеровцы ограбили и обрекли на голодную смерть крестьян Доброслинского сельсовета, Ленинградской области. В 12 деревнях этого сельского совета осталось только две коровы, принадлежащие ставленникам немцев — бургомистру и его помощнику. По приказу немецких военных властей у крестьян отобран весь хлеб урожая нынешнего года. Им было запрещено под страхом смерти пользоваться картофелем с приусадебных участков. Немецко-фашистские мерзавцы расстреляли 19 крестьян, застигнутых на своих огородах и осмелившихся взять для себя немного картофеля. Из деревни Большое Опуево немцы насильно увезли 60 женщин на каторгув Германию.</w:t>
      </w:r>
    </w:p>
    <w:p w14:paraId="3A6AFAE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заняли Петинград и Воногроч. В районе Грахово—Книн идут ожесточённые бои. В этих боях партизаны истребили большое количество немецко-итальянских оккупантов и сбили два немецких самолёта (14835).</w:t>
      </w:r>
    </w:p>
    <w:p w14:paraId="3528068C"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5B8FFD27"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19 ноября </w:t>
      </w:r>
      <w:r w:rsidRPr="00722885">
        <w:rPr>
          <w:rFonts w:ascii="Times New Roman" w:hAnsi="Times New Roman"/>
          <w:color w:val="000000" w:themeColor="text1"/>
          <w:sz w:val="16"/>
          <w:szCs w:val="16"/>
        </w:rPr>
        <w:t>в 1942 году вечернее сообщение Совинформбюро:</w:t>
      </w:r>
    </w:p>
    <w:p w14:paraId="3DEFA84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19 ноября наши войска вели бои с противником в районе Сталинграда и северо-восточнее Туапсе. На других фронтах никаких изменений не произошло.</w:t>
      </w:r>
    </w:p>
    <w:p w14:paraId="2E173682"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18 ноября нашей авиацией на различных участках фронта уничтожено 5 немецких танков, до 20 автомашин с войсками, подавлен огонь 2 артиллерийских батарей, рассеяно и частью уничтожено до роты пехоты противника.</w:t>
      </w:r>
    </w:p>
    <w:p w14:paraId="4B92F217"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бои с противником. В северной части города немцы силами пехоты и танков атаковали наши позиции. Наши пехотинцы, артиллеристы и миномётчики отбили шесть атак гитлеровцев. B ходе боя подбито 11 немецких танков, уничтожено до 800 солдат и офицеров противника. Захвачены трофеи и пленные. На другом участке в результате неоднократных атак противнику ценою больших потерь удалось занять несколько разрушенных домов.</w:t>
      </w:r>
    </w:p>
    <w:p w14:paraId="5F5E4687"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воздушных боях и огнём зенитной артиллерии сбито 8 немецких самолётов.</w:t>
      </w:r>
    </w:p>
    <w:p w14:paraId="3EC491A5"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артиллеристы части, где командиром тов. Глебов, внезапным огневым налётом уничтожили 3 автомашины, 4 пулемётные точки и 50 солдат и офицеров противника. Группа разведчиков под командованием старшего лейтенанта Чапыгина пробралась к переднему краю вражеской обороны и окружила несколько окопов. Наши бойцы перекололи штыками 19 гитлеровцев и нескольких немцев взяли в плен. Захватив оружие, разведчики вернулись в свою часть.</w:t>
      </w:r>
    </w:p>
    <w:p w14:paraId="1614304D"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противник после неудавшихся вчера атак с целью прорыва нашей обороны активности не проявлял. По уточнённым данным, в происходивших боях было подбито и сожжено не 17, а 38 немецких танков и уничтожено более 200 солдат и офицеров противника.</w:t>
      </w:r>
    </w:p>
    <w:p w14:paraId="1F8DA6C8"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войска оставались на ранее занятых позициях и отбивали атаки мелких групп противника. Бойцы части под командованием тов. Гордеева отразили атаку и уничтожили до роты гитлеровцев. Захвачено 5 миномётов,17 пулемётов и 2 радиостанции.</w:t>
      </w:r>
    </w:p>
    <w:p w14:paraId="184411F6"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происходила редкая артиллерийская перестрелка. Артиллеристы подразделения тов. Ужанского уничтожили вражескую батарею 105-мм орудий. Группа бойцов во главе с младшим лейтенантом Укладчиковым пробралась в тыл противника и устроила засаду у дороги. Вскоре на дороге появилась колонна немецкой пехоты. Разведчики открыли огонь, истребили 15 гитлеровцев и без потерь вернулись в свою часть.</w:t>
      </w:r>
    </w:p>
    <w:p w14:paraId="0671D2E7"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Витебской области, взорвал железнодорожный эшелон противника. Разбиты паровоз, 4 вагона и 14 платформ. При крушении убито 60 немецких солдат и офицеров. Группа минских партизан разгромила карательный отряд немецко-фашистских оккупантов. Захвачены трофеи: грузовая и легковая автомашины, мотоцикл, 15 винтовок, 5.000 патронов и много продовольствия. Партизанам удалось освободить большое количество советских патриотов, арестованных гитлеровцами.</w:t>
      </w:r>
    </w:p>
    <w:p w14:paraId="57B494CD"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немецкого солдата Иозефа Копача, убитого юго-восточнее Нальчика, найдено письмо из Судетской области, в котором говорится: «...В Чехии ещё две деревни стёрты с лица земли. Всё население этих деревень было замешано в саботаже. Недавно в Праге были расстреляны 3 священника и один епископ».</w:t>
      </w:r>
    </w:p>
    <w:p w14:paraId="45BD4EBE"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нефтепромыслах Плоешти (Румыния) за последнее время произошло несколько пожаров. Уничтожено большое количество нефтепродуктов и оборудования. В связи сэтим произведены многочисленные аресты. Из Германии прибыли специальные отряды гестаповцев для охраны нефтепромыслов (14835).</w:t>
      </w:r>
    </w:p>
    <w:p w14:paraId="0A82B9CD"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541E9ABA" w14:textId="77777777" w:rsidR="001166A2" w:rsidRPr="00722885" w:rsidRDefault="001166A2" w:rsidP="00722885">
      <w:pPr>
        <w:spacing w:after="0" w:line="240" w:lineRule="auto"/>
        <w:jc w:val="both"/>
        <w:rPr>
          <w:rFonts w:ascii="Times New Roman" w:hAnsi="Times New Roman"/>
          <w:bCs/>
          <w:color w:val="000000" w:themeColor="text1"/>
          <w:sz w:val="16"/>
          <w:szCs w:val="16"/>
        </w:rPr>
      </w:pPr>
      <w:r w:rsidRPr="00722885">
        <w:rPr>
          <w:rStyle w:val="ucoz-forum-post"/>
          <w:rFonts w:ascii="Times New Roman" w:hAnsi="Times New Roman"/>
          <w:bCs/>
          <w:color w:val="000000" w:themeColor="text1"/>
          <w:sz w:val="16"/>
          <w:szCs w:val="16"/>
        </w:rPr>
        <w:t xml:space="preserve">19 ноября </w:t>
      </w:r>
      <w:r w:rsidRPr="00722885">
        <w:rPr>
          <w:rFonts w:ascii="Times New Roman" w:hAnsi="Times New Roman"/>
          <w:color w:val="000000" w:themeColor="text1"/>
          <w:sz w:val="16"/>
          <w:szCs w:val="16"/>
        </w:rPr>
        <w:t>в 1942 году после мощной артподготовки началось контрнаступление советских войск под Сталинградом. План этой операции трех фронтов под кодовым наименованием "Уран" с целью окружения и уничтожения ударной группировки противника в районе Сталинграда был утвержден Ставкой 13 ноября и заключался в следующем. Юго-Западный фронт (командующий генерал-лейтенант Н.Ф.Ватутин) в составе усиленных 1-й гвардейской армии (генерал-лейтенант Д.Д.Лелюшенко), 5-й танковой армии (генерал-лейтенант П.Л.Романенко), 21-й армии (генерал-лейтенант И.М.Чистяков), 2-й воздушной (генерал-майор авиации К.Н.Смирнов) и 17-й воздушной (генерал-лейтенант авиации С.А.Красовский) армий имел задачу нанести глубокие удары с плацдармов на правом берегу Дона в районах Серафимовича и Клетской.</w:t>
      </w:r>
    </w:p>
    <w:p w14:paraId="3522C6AF" w14:textId="77777777" w:rsidR="001166A2" w:rsidRPr="00722885" w:rsidRDefault="001166A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Ударная группировка Сталинградского фронта в составе 64-й (генерал-майор М.С.Шумилов), 57-й (генерал-майор Ф.И.Толбухин), 51-й (генерал-майор Н.И.Труфанов), 8-й воздушной (генерал-майор авиации Т.Т.Хрюкин) армий наступала из района Сарпинских озер. Ударные группировки должны были соединиться в районе Калач - Советский и окружить основные силы противника под Сталинградом. Одновременно наносились удары на на юге и юго-западе. с целью обеспечения наступления ударных группировок фронтов и образования внешнего фронта окружения. Донской фронт в составе 65-й (генерал-лейтенант П.И.Батов), 24-й (генерал-майор И.В.Галанин), 66-й (генерал-лейтенант А.С.Жадов), 16-й воздушной (генерал-майор авиации С.И.Руденко) армий наносил два вспомогательных удара - один из района Клетской, а другой из района Качалинской вдоль левого берега Дона. В контрнаступлении участвовал также ряд отдельных танковых, механизированных, кавалерийских корпусов, бригад и отдельных частей - всего свыше 1 млн. чел., 13,5 тыс. орудий и минометов, свыше 1000 зенитных орудий, 115 дивизионов реактивной артиллерии, около 900 танков, 1115 самолетов. Основные силы группы армий "Б", действовавшие в районе Среднего Дона, Сталинграда и южнее, включали 8-ю итальянскую, 3-ю и 4-ю румынские армии, 6-ю армию и 4-ю танковую немецкую армию. В этой группировке насчитывалось свыше 1 млн. чел., 675 танков и штурмовых орудий, свыше 10 тысяч орудий и минометов. Группу армий "Б" поддерживали 4-й воздушный флот и 8-й авиакорпус - свыше 1200 самолетов. Войска 5-й танковой и 21-й армий прорвали оборону 3-й румынской армии, а располагавшиеся за ней немецкие части были разгромлены введенными в сражение 1-м и 26-м танковыми корпусами. Войска 65-й армии Донского фронта отрезали врагу путь отступления на запад из малой излучины Дона. 23 ноября войска 4-го танкового корпуса Юго-Западного фронта и 4-го механизированного корпуса Сталинградского фронта встретились в районе хутора Советского, замкнув кольцо окружения сталинградской группировки противника в междуречье Дона и Волги. В кольце окружения оказались основные силы 6-й армии и часть сил 4-й танковой немецкой армии - 22 дивизии и 160 отдельных частей общей численностью 330 тысяч человек. К этому же времени войска Юго-Западного и Сталинградского фронтов создали внешний фронт окружения, удаление которого от внутреннего фронта составляло от 40 до 100 км. С 1944 года этот день отмечается как День артиллерии (а с 1964 - как День ракетных войск и артиллерии) (14835).</w:t>
      </w:r>
    </w:p>
    <w:p w14:paraId="122CFDBF" w14:textId="77777777" w:rsidR="001166A2" w:rsidRPr="00722885" w:rsidRDefault="001166A2" w:rsidP="00722885">
      <w:pPr>
        <w:spacing w:after="0" w:line="240" w:lineRule="auto"/>
        <w:jc w:val="both"/>
        <w:rPr>
          <w:rFonts w:ascii="Times New Roman" w:hAnsi="Times New Roman"/>
          <w:color w:val="000000" w:themeColor="text1"/>
          <w:sz w:val="16"/>
          <w:szCs w:val="16"/>
        </w:rPr>
      </w:pPr>
    </w:p>
    <w:p w14:paraId="630F37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19 ноября 1942 по 2 фев</w:t>
      </w:r>
      <w:r w:rsidRPr="00722885">
        <w:rPr>
          <w:color w:val="000000" w:themeColor="text1"/>
          <w:sz w:val="16"/>
          <w:szCs w:val="16"/>
        </w:rPr>
        <w:softHyphen/>
        <w:t>раля 1943 в период контрнаступления удельный вес боевых действий Ил-2 почти удвоился и составил 15,2% всех самолето-вылетов (или 5463 боевых вылетов). При этом в 82% слу</w:t>
      </w:r>
      <w:r w:rsidRPr="00722885">
        <w:rPr>
          <w:color w:val="000000" w:themeColor="text1"/>
          <w:sz w:val="16"/>
          <w:szCs w:val="16"/>
        </w:rPr>
        <w:softHyphen/>
        <w:t>чаях "ильюшины" действовали непос</w:t>
      </w:r>
      <w:r w:rsidRPr="00722885">
        <w:rPr>
          <w:color w:val="000000" w:themeColor="text1"/>
          <w:sz w:val="16"/>
          <w:szCs w:val="16"/>
        </w:rPr>
        <w:softHyphen/>
        <w:t>редственно в интересах наземных войск на поле боя, около 9,6% самолето-вы</w:t>
      </w:r>
      <w:r w:rsidRPr="00722885">
        <w:rPr>
          <w:color w:val="000000" w:themeColor="text1"/>
          <w:sz w:val="16"/>
          <w:szCs w:val="16"/>
        </w:rPr>
        <w:softHyphen/>
        <w:t>летов было затрачено ими на удары по аэродромам, 3,9% - на патрулирование и воздушную разведку, 1,4% боевых вылетов - для действий по резервам, же</w:t>
      </w:r>
      <w:r w:rsidRPr="00722885">
        <w:rPr>
          <w:color w:val="000000" w:themeColor="text1"/>
          <w:sz w:val="16"/>
          <w:szCs w:val="16"/>
        </w:rPr>
        <w:softHyphen/>
        <w:t>лезнодорожным и автомобильным пере</w:t>
      </w:r>
      <w:r w:rsidRPr="00722885">
        <w:rPr>
          <w:color w:val="000000" w:themeColor="text1"/>
          <w:sz w:val="16"/>
          <w:szCs w:val="16"/>
        </w:rPr>
        <w:softHyphen/>
        <w:t>возкам противника, на прочие задачи пришлось 3,1% самолето-вылетов.</w:t>
      </w:r>
    </w:p>
    <w:p w14:paraId="59D1A6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Вместе с тем, тактика и способы вы</w:t>
      </w:r>
      <w:r w:rsidRPr="00722885">
        <w:rPr>
          <w:color w:val="000000" w:themeColor="text1"/>
          <w:sz w:val="16"/>
          <w:szCs w:val="16"/>
        </w:rPr>
        <w:softHyphen/>
        <w:t>полнения повторных атак штурмовика</w:t>
      </w:r>
      <w:r w:rsidRPr="00722885">
        <w:rPr>
          <w:color w:val="000000" w:themeColor="text1"/>
          <w:sz w:val="16"/>
          <w:szCs w:val="16"/>
        </w:rPr>
        <w:softHyphen/>
        <w:t>ми Ил-2 все еще оставались не отрабо</w:t>
      </w:r>
      <w:r w:rsidRPr="00722885">
        <w:rPr>
          <w:color w:val="000000" w:themeColor="text1"/>
          <w:sz w:val="16"/>
          <w:szCs w:val="16"/>
        </w:rPr>
        <w:softHyphen/>
        <w:t>танными. Продолжительность огневого воздействия на противника была не</w:t>
      </w:r>
      <w:r w:rsidRPr="00722885">
        <w:rPr>
          <w:color w:val="000000" w:themeColor="text1"/>
          <w:sz w:val="16"/>
          <w:szCs w:val="16"/>
        </w:rPr>
        <w:softHyphen/>
        <w:t>большой, боевые задачи зачастую вы</w:t>
      </w:r>
      <w:r w:rsidRPr="00722885">
        <w:rPr>
          <w:color w:val="000000" w:themeColor="text1"/>
          <w:sz w:val="16"/>
          <w:szCs w:val="16"/>
        </w:rPr>
        <w:softHyphen/>
        <w:t>полнялись наспех, без должной подго</w:t>
      </w:r>
      <w:r w:rsidRPr="00722885">
        <w:rPr>
          <w:color w:val="000000" w:themeColor="text1"/>
          <w:sz w:val="16"/>
          <w:szCs w:val="16"/>
        </w:rPr>
        <w:softHyphen/>
        <w:t>товки на земле, а атаки целей - с одно</w:t>
      </w:r>
      <w:r w:rsidRPr="00722885">
        <w:rPr>
          <w:color w:val="000000" w:themeColor="text1"/>
          <w:sz w:val="16"/>
          <w:szCs w:val="16"/>
        </w:rPr>
        <w:softHyphen/>
        <w:t>го захода без учета обстановки и харак</w:t>
      </w:r>
      <w:r w:rsidRPr="00722885">
        <w:rPr>
          <w:color w:val="000000" w:themeColor="text1"/>
          <w:sz w:val="16"/>
          <w:szCs w:val="16"/>
        </w:rPr>
        <w:softHyphen/>
        <w:t>тера цели. Сигналы для перестроения, перехода в атаку и сбора группы экипа</w:t>
      </w:r>
      <w:r w:rsidRPr="00722885">
        <w:rPr>
          <w:color w:val="000000" w:themeColor="text1"/>
          <w:sz w:val="16"/>
          <w:szCs w:val="16"/>
        </w:rPr>
        <w:softHyphen/>
        <w:t>жами не отрабатывались, вследствие чего штурмовики продолжали нести нео</w:t>
      </w:r>
      <w:r w:rsidRPr="00722885">
        <w:rPr>
          <w:color w:val="000000" w:themeColor="text1"/>
          <w:sz w:val="16"/>
          <w:szCs w:val="16"/>
        </w:rPr>
        <w:softHyphen/>
        <w:t>правданные потери от истребительной авиа</w:t>
      </w:r>
      <w:r w:rsidRPr="00722885">
        <w:rPr>
          <w:color w:val="000000" w:themeColor="text1"/>
          <w:sz w:val="16"/>
          <w:szCs w:val="16"/>
        </w:rPr>
        <w:softHyphen/>
        <w:t>ции и зенитной артиллерии противника (6467).</w:t>
      </w:r>
    </w:p>
    <w:p w14:paraId="5AEBB8BC" w14:textId="77777777" w:rsidR="00090C9B" w:rsidRPr="00722885" w:rsidRDefault="00090C9B" w:rsidP="00722885">
      <w:pPr>
        <w:pStyle w:val="Iauiue"/>
        <w:jc w:val="both"/>
        <w:rPr>
          <w:color w:val="000000" w:themeColor="text1"/>
          <w:sz w:val="16"/>
          <w:szCs w:val="16"/>
        </w:rPr>
      </w:pPr>
    </w:p>
    <w:p w14:paraId="201AE329"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19 ноября 1942 г. армии Западного фронта под руководством генерала Жукова перешли в наступление, одновременно под Сталинградом войска генералов Еременко и Рокоссовского нанесли отвлекающий удар по флангам немецкой 6-й армии. Однако если первая операция под кодовым наименованием «Марс» полностью провалилась, то вторая операция, названная «Уран», наоборот, принесла неожиданный успех. В итоге к 25 ноября германские войска в Сталинграде оказались в котле.</w:t>
      </w:r>
    </w:p>
    <w:p w14:paraId="42894DB9"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Командование вермахта оценило сложившуюся ситуацию с излишним оптимизмом. Оно решило снабжать Паулюса по воздуху, организовав воздушный мост наподобие того, что весной 1942 г. снабжал окруженные части в Демянске и Холме. Первоначально для этой цели привлекли транспортные эскадры, в общей сложности около 200 трехмоторных Ju-52 и двухмоторных Ju-86.</w:t>
      </w:r>
    </w:p>
    <w:p w14:paraId="28778408"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lastRenderedPageBreak/>
        <w:t>Вскоре стало ясно, что одной транспортной авиации для обеспечения 6-й армии недостаточно и что 60–70 тонн грузов, доставляемых за сутки, никак не удовлетворяли потребностям котла. Тогда было принято решение дополнительно использовать бомбардировщики Не-111. 29 ноября 1942 г. для координации действий всех групп «Хейнкелей», базировавшихся на аэродроме Морозовская, в 200 километрах северо-восточнее Ростова, было создано 1-е авиационное транспортное командование (Lufttransportfhrer 1). Его возглавил командир KG55 «Грайф» 53-летний оберст Эрнст Кюль, которому теперь в оперативном отношении также были подчинены KG27 «Бельке», III./KG4 и I./KG 100.</w:t>
      </w:r>
    </w:p>
    <w:p w14:paraId="0C10E7DF"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Затем в начале января 1943 г. для увеличения грузооборота на подмогу транспортным и бомбардировочным эскадрам дополнительно выделили даже дефицитные четырехмоторные самолеты: восемнадцать FW-200 «Кондор», два Ju-290, а также семь новейших бомбардировщиков Не-177 «Грайф». К 20 января к полетам в район Сталинграда привлекли 1-ю воздушно-десантную эскадру (Luftlandgeschwader 1 — LLG1), располагавшую 64 самолетами-буксировщиками и 170 грузовыми планерами DFS-230 и Go-242.</w:t>
      </w:r>
    </w:p>
    <w:p w14:paraId="7F9C1BFE"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В итоге в течение более чем двух месяцев по воздушному мосту между котлом и немецкой территорией ежедневно летала армада из самых разных самолетов. Все они внутри котла садились на аэродроме Питомник, располагавшемся в 20 километрах западнее Сталинграда. В конце ноября советские посты воздушного наблюдения ежедневно фиксировали 100–150 самолето-пролетов. Перехватывать транспортники, идущие под эскортом Bf-109G и Bf-110, было делом хлопотным, поэтому советское авиационное командование в очередной раз решило прибегнуть к простому и излюбленному методу — ударам по аэродромам (19522).</w:t>
      </w:r>
    </w:p>
    <w:p w14:paraId="22EAD224" w14:textId="77777777" w:rsidR="008D2293" w:rsidRPr="00722885" w:rsidRDefault="008D2293" w:rsidP="00722885">
      <w:pPr>
        <w:pStyle w:val="ae"/>
        <w:spacing w:before="0" w:after="0"/>
        <w:jc w:val="both"/>
        <w:textAlignment w:val="baseline"/>
        <w:rPr>
          <w:color w:val="000000" w:themeColor="text1"/>
          <w:sz w:val="16"/>
          <w:szCs w:val="16"/>
        </w:rPr>
      </w:pPr>
    </w:p>
    <w:p w14:paraId="258C74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ноября 1942 началось Сталинградское наступление. Немцы с июля по ноябрь 1942 потеряли 1400, а с 19 ноября по 31 декабря - 3000 самолетов (223,62). В канун атаки г Вольский - командующий мехкорпусом - направил И.В.С. письмо, где говорил, что наступление надо отложить и катастрофа - неизбежна. Василевский еле-еле уговорил И.В.С. (2070,81).</w:t>
      </w:r>
    </w:p>
    <w:p w14:paraId="184E5500" w14:textId="77777777" w:rsidR="00090C9B" w:rsidRPr="00722885" w:rsidRDefault="00090C9B" w:rsidP="00722885">
      <w:pPr>
        <w:pStyle w:val="Iauiue"/>
        <w:jc w:val="both"/>
        <w:rPr>
          <w:color w:val="000000" w:themeColor="text1"/>
          <w:sz w:val="16"/>
          <w:szCs w:val="16"/>
        </w:rPr>
      </w:pPr>
    </w:p>
    <w:p w14:paraId="101F8E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состоянию на 19 ноября 1942 г. под Сталинградом действовало 519 Пе-2 - почти половина всех бомбардировщиков. В 8-й воздушной армии их было немного, но к операции было привлечено свыше 200 пикировщиков из резерва ВГК. Удары пикирующих бомбардировщиков наносили большой ущерб врагу. Например, в период организации немцами "воздушного моста" в Сталинград Пе-2 привлекались к уничтожению немецкой транспортной авиации на аэродромах (3542).</w:t>
      </w:r>
    </w:p>
    <w:p w14:paraId="25B567D3" w14:textId="77777777" w:rsidR="00090C9B" w:rsidRPr="00722885" w:rsidRDefault="00090C9B" w:rsidP="00722885">
      <w:pPr>
        <w:pStyle w:val="Iauiue"/>
        <w:jc w:val="both"/>
        <w:rPr>
          <w:color w:val="000000" w:themeColor="text1"/>
          <w:sz w:val="16"/>
          <w:szCs w:val="16"/>
        </w:rPr>
      </w:pPr>
    </w:p>
    <w:p w14:paraId="3B5CC2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19 ноября 1942 г. наличие самолетов Пе-2 в авиационных объединениях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tblGrid>
      <w:tr w:rsidR="009B487A" w:rsidRPr="00722885" w14:paraId="63502CB8" w14:textId="77777777" w:rsidTr="00CC5360">
        <w:tc>
          <w:tcPr>
            <w:tcW w:w="1019" w:type="dxa"/>
            <w:tcBorders>
              <w:top w:val="single" w:sz="12" w:space="0" w:color="auto"/>
            </w:tcBorders>
          </w:tcPr>
          <w:p w14:paraId="70B0A29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4359AC41"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6232252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38C77C4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57F8152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1A047E47" w14:textId="77777777" w:rsidTr="00CC5360">
        <w:tc>
          <w:tcPr>
            <w:tcW w:w="1019" w:type="dxa"/>
          </w:tcPr>
          <w:p w14:paraId="15D067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Объединение</w:t>
            </w:r>
          </w:p>
        </w:tc>
        <w:tc>
          <w:tcPr>
            <w:tcW w:w="1019" w:type="dxa"/>
          </w:tcPr>
          <w:p w14:paraId="771ED5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Бомбардировщики</w:t>
            </w:r>
          </w:p>
        </w:tc>
        <w:tc>
          <w:tcPr>
            <w:tcW w:w="1019" w:type="dxa"/>
          </w:tcPr>
          <w:p w14:paraId="74EA5306"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019" w:type="dxa"/>
          </w:tcPr>
          <w:p w14:paraId="5C7FFB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Разведчики</w:t>
            </w:r>
          </w:p>
        </w:tc>
        <w:tc>
          <w:tcPr>
            <w:tcW w:w="1019" w:type="dxa"/>
          </w:tcPr>
          <w:p w14:paraId="34ED989D"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31157F4A" w14:textId="77777777" w:rsidTr="00CC5360">
        <w:tc>
          <w:tcPr>
            <w:tcW w:w="1019" w:type="dxa"/>
          </w:tcPr>
          <w:p w14:paraId="396D28F5"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019" w:type="dxa"/>
          </w:tcPr>
          <w:p w14:paraId="2BC91D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1019" w:type="dxa"/>
          </w:tcPr>
          <w:p w14:paraId="5D7FFF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Неисправны</w:t>
            </w:r>
          </w:p>
        </w:tc>
        <w:tc>
          <w:tcPr>
            <w:tcW w:w="1019" w:type="dxa"/>
          </w:tcPr>
          <w:p w14:paraId="128C95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1019" w:type="dxa"/>
          </w:tcPr>
          <w:p w14:paraId="3653349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Неисравны</w:t>
            </w:r>
          </w:p>
        </w:tc>
      </w:tr>
      <w:tr w:rsidR="009B487A" w:rsidRPr="00722885" w14:paraId="029C2AA3" w14:textId="77777777" w:rsidTr="00CC5360">
        <w:tc>
          <w:tcPr>
            <w:tcW w:w="1019" w:type="dxa"/>
          </w:tcPr>
          <w:p w14:paraId="20C10C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1-я ВА</w:t>
            </w:r>
          </w:p>
        </w:tc>
        <w:tc>
          <w:tcPr>
            <w:tcW w:w="1019" w:type="dxa"/>
          </w:tcPr>
          <w:p w14:paraId="28F93F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w:t>
            </w:r>
          </w:p>
        </w:tc>
        <w:tc>
          <w:tcPr>
            <w:tcW w:w="1019" w:type="dxa"/>
          </w:tcPr>
          <w:p w14:paraId="7CF56D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1019" w:type="dxa"/>
          </w:tcPr>
          <w:p w14:paraId="6E6E318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1019" w:type="dxa"/>
          </w:tcPr>
          <w:p w14:paraId="146F084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r>
      <w:tr w:rsidR="009B487A" w:rsidRPr="00722885" w14:paraId="70B03A0D" w14:textId="77777777" w:rsidTr="00CC5360">
        <w:tc>
          <w:tcPr>
            <w:tcW w:w="1019" w:type="dxa"/>
          </w:tcPr>
          <w:p w14:paraId="3C1C69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2-я ВА</w:t>
            </w:r>
          </w:p>
        </w:tc>
        <w:tc>
          <w:tcPr>
            <w:tcW w:w="1019" w:type="dxa"/>
          </w:tcPr>
          <w:p w14:paraId="28FD06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0DF7CA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761A2AF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1019" w:type="dxa"/>
          </w:tcPr>
          <w:p w14:paraId="64F045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r>
      <w:tr w:rsidR="009B487A" w:rsidRPr="00722885" w14:paraId="1153566D" w14:textId="77777777" w:rsidTr="00CC5360">
        <w:tc>
          <w:tcPr>
            <w:tcW w:w="1019" w:type="dxa"/>
          </w:tcPr>
          <w:p w14:paraId="33AFEF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3-я ВА</w:t>
            </w:r>
          </w:p>
        </w:tc>
        <w:tc>
          <w:tcPr>
            <w:tcW w:w="1019" w:type="dxa"/>
          </w:tcPr>
          <w:p w14:paraId="7F754F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119</w:t>
            </w:r>
          </w:p>
        </w:tc>
        <w:tc>
          <w:tcPr>
            <w:tcW w:w="1019" w:type="dxa"/>
          </w:tcPr>
          <w:p w14:paraId="527405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019" w:type="dxa"/>
          </w:tcPr>
          <w:p w14:paraId="480E51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w:t>
            </w:r>
          </w:p>
        </w:tc>
        <w:tc>
          <w:tcPr>
            <w:tcW w:w="1019" w:type="dxa"/>
          </w:tcPr>
          <w:p w14:paraId="68549E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r>
      <w:tr w:rsidR="009B487A" w:rsidRPr="00722885" w14:paraId="03A1ECE1" w14:textId="77777777" w:rsidTr="00CC5360">
        <w:tc>
          <w:tcPr>
            <w:tcW w:w="1019" w:type="dxa"/>
          </w:tcPr>
          <w:p w14:paraId="452746D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4-я ВА</w:t>
            </w:r>
          </w:p>
        </w:tc>
        <w:tc>
          <w:tcPr>
            <w:tcW w:w="1019" w:type="dxa"/>
          </w:tcPr>
          <w:p w14:paraId="0ED5D5F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1019" w:type="dxa"/>
          </w:tcPr>
          <w:p w14:paraId="3C7E24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019" w:type="dxa"/>
          </w:tcPr>
          <w:p w14:paraId="4E3C86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19" w:type="dxa"/>
          </w:tcPr>
          <w:p w14:paraId="02FB74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r>
      <w:tr w:rsidR="009B487A" w:rsidRPr="00722885" w14:paraId="0204CBD7" w14:textId="77777777" w:rsidTr="00CC5360">
        <w:tc>
          <w:tcPr>
            <w:tcW w:w="1019" w:type="dxa"/>
          </w:tcPr>
          <w:p w14:paraId="760928A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5-я ВА</w:t>
            </w:r>
          </w:p>
        </w:tc>
        <w:tc>
          <w:tcPr>
            <w:tcW w:w="1019" w:type="dxa"/>
          </w:tcPr>
          <w:p w14:paraId="5868EF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4CACEA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20A9C6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019" w:type="dxa"/>
          </w:tcPr>
          <w:p w14:paraId="2C317F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r>
      <w:tr w:rsidR="009B487A" w:rsidRPr="00722885" w14:paraId="7FA5A6E0" w14:textId="77777777" w:rsidTr="00CC5360">
        <w:tc>
          <w:tcPr>
            <w:tcW w:w="1019" w:type="dxa"/>
          </w:tcPr>
          <w:p w14:paraId="0D0CA1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6-я ВА</w:t>
            </w:r>
          </w:p>
        </w:tc>
        <w:tc>
          <w:tcPr>
            <w:tcW w:w="1019" w:type="dxa"/>
          </w:tcPr>
          <w:p w14:paraId="389A37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w:t>
            </w:r>
          </w:p>
        </w:tc>
        <w:tc>
          <w:tcPr>
            <w:tcW w:w="1019" w:type="dxa"/>
          </w:tcPr>
          <w:p w14:paraId="0F531D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19" w:type="dxa"/>
          </w:tcPr>
          <w:p w14:paraId="0293DC1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019" w:type="dxa"/>
          </w:tcPr>
          <w:p w14:paraId="7D6DFD9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r>
      <w:tr w:rsidR="009B487A" w:rsidRPr="00722885" w14:paraId="3C8CF331" w14:textId="77777777" w:rsidTr="00CC5360">
        <w:tc>
          <w:tcPr>
            <w:tcW w:w="1019" w:type="dxa"/>
          </w:tcPr>
          <w:p w14:paraId="10FFD23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7-я ВА</w:t>
            </w:r>
          </w:p>
        </w:tc>
        <w:tc>
          <w:tcPr>
            <w:tcW w:w="1019" w:type="dxa"/>
          </w:tcPr>
          <w:p w14:paraId="4131598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1019" w:type="dxa"/>
          </w:tcPr>
          <w:p w14:paraId="1D449B6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19" w:type="dxa"/>
          </w:tcPr>
          <w:p w14:paraId="6C0ADF4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19" w:type="dxa"/>
          </w:tcPr>
          <w:p w14:paraId="7824F3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r>
      <w:tr w:rsidR="009B487A" w:rsidRPr="00722885" w14:paraId="34B0F17D" w14:textId="77777777" w:rsidTr="00CC5360">
        <w:tc>
          <w:tcPr>
            <w:tcW w:w="1019" w:type="dxa"/>
          </w:tcPr>
          <w:p w14:paraId="065A84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8-я ВА</w:t>
            </w:r>
          </w:p>
        </w:tc>
        <w:tc>
          <w:tcPr>
            <w:tcW w:w="1019" w:type="dxa"/>
          </w:tcPr>
          <w:p w14:paraId="59AA68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c>
          <w:tcPr>
            <w:tcW w:w="1019" w:type="dxa"/>
          </w:tcPr>
          <w:p w14:paraId="79662FB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1019" w:type="dxa"/>
          </w:tcPr>
          <w:p w14:paraId="604118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1019" w:type="dxa"/>
          </w:tcPr>
          <w:p w14:paraId="3C44C1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r>
      <w:tr w:rsidR="009B487A" w:rsidRPr="00722885" w14:paraId="70624384" w14:textId="77777777" w:rsidTr="00CC5360">
        <w:tc>
          <w:tcPr>
            <w:tcW w:w="1019" w:type="dxa"/>
          </w:tcPr>
          <w:p w14:paraId="032D29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13-я ВА</w:t>
            </w:r>
          </w:p>
        </w:tc>
        <w:tc>
          <w:tcPr>
            <w:tcW w:w="1019" w:type="dxa"/>
          </w:tcPr>
          <w:p w14:paraId="76A176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2B423A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26C7B1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55F9EF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E626A5E" w14:textId="77777777" w:rsidTr="00CC5360">
        <w:tc>
          <w:tcPr>
            <w:tcW w:w="1019" w:type="dxa"/>
          </w:tcPr>
          <w:p w14:paraId="04C51D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14-я ВА</w:t>
            </w:r>
          </w:p>
        </w:tc>
        <w:tc>
          <w:tcPr>
            <w:tcW w:w="1019" w:type="dxa"/>
          </w:tcPr>
          <w:p w14:paraId="1918358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w:t>
            </w:r>
          </w:p>
        </w:tc>
        <w:tc>
          <w:tcPr>
            <w:tcW w:w="1019" w:type="dxa"/>
          </w:tcPr>
          <w:p w14:paraId="50CB42E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19" w:type="dxa"/>
          </w:tcPr>
          <w:p w14:paraId="20D197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019" w:type="dxa"/>
          </w:tcPr>
          <w:p w14:paraId="23B629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r>
      <w:tr w:rsidR="009B487A" w:rsidRPr="00722885" w14:paraId="3CD5D7E7" w14:textId="77777777" w:rsidTr="00CC5360">
        <w:tc>
          <w:tcPr>
            <w:tcW w:w="1019" w:type="dxa"/>
          </w:tcPr>
          <w:p w14:paraId="409756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15-я ВА</w:t>
            </w:r>
          </w:p>
        </w:tc>
        <w:tc>
          <w:tcPr>
            <w:tcW w:w="1019" w:type="dxa"/>
          </w:tcPr>
          <w:p w14:paraId="08D818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1019" w:type="dxa"/>
          </w:tcPr>
          <w:p w14:paraId="652933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w:t>
            </w:r>
          </w:p>
        </w:tc>
        <w:tc>
          <w:tcPr>
            <w:tcW w:w="1019" w:type="dxa"/>
          </w:tcPr>
          <w:p w14:paraId="78B782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019" w:type="dxa"/>
          </w:tcPr>
          <w:p w14:paraId="331EBA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r>
      <w:tr w:rsidR="009B487A" w:rsidRPr="00722885" w14:paraId="49B5B55C" w14:textId="77777777" w:rsidTr="00CC5360">
        <w:tc>
          <w:tcPr>
            <w:tcW w:w="1019" w:type="dxa"/>
          </w:tcPr>
          <w:p w14:paraId="72C880B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16-я ВА</w:t>
            </w:r>
          </w:p>
        </w:tc>
        <w:tc>
          <w:tcPr>
            <w:tcW w:w="1019" w:type="dxa"/>
          </w:tcPr>
          <w:p w14:paraId="10FE2D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021D51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39D108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233BD7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4C9919A" w14:textId="77777777" w:rsidTr="00CC5360">
        <w:tc>
          <w:tcPr>
            <w:tcW w:w="1019" w:type="dxa"/>
          </w:tcPr>
          <w:p w14:paraId="5AFB67A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17-я ВА</w:t>
            </w:r>
          </w:p>
        </w:tc>
        <w:tc>
          <w:tcPr>
            <w:tcW w:w="1019" w:type="dxa"/>
          </w:tcPr>
          <w:p w14:paraId="79C38A3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5D9959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5F0DA2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1019" w:type="dxa"/>
          </w:tcPr>
          <w:p w14:paraId="2913B9B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99E1941" w14:textId="77777777" w:rsidTr="00CC5360">
        <w:tc>
          <w:tcPr>
            <w:tcW w:w="1019" w:type="dxa"/>
          </w:tcPr>
          <w:p w14:paraId="73E3AA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ВВС 7-й OA</w:t>
            </w:r>
          </w:p>
        </w:tc>
        <w:tc>
          <w:tcPr>
            <w:tcW w:w="1019" w:type="dxa"/>
          </w:tcPr>
          <w:p w14:paraId="000328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1019" w:type="dxa"/>
          </w:tcPr>
          <w:p w14:paraId="142945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19" w:type="dxa"/>
          </w:tcPr>
          <w:p w14:paraId="0E5662F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019" w:type="dxa"/>
          </w:tcPr>
          <w:p w14:paraId="231F7A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A094829" w14:textId="77777777" w:rsidTr="00CC5360">
        <w:tc>
          <w:tcPr>
            <w:tcW w:w="1019" w:type="dxa"/>
          </w:tcPr>
          <w:p w14:paraId="113B7DB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ЗАПах и резерве</w:t>
            </w:r>
          </w:p>
        </w:tc>
        <w:tc>
          <w:tcPr>
            <w:tcW w:w="1019" w:type="dxa"/>
          </w:tcPr>
          <w:p w14:paraId="325370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208</w:t>
            </w:r>
          </w:p>
        </w:tc>
        <w:tc>
          <w:tcPr>
            <w:tcW w:w="1019" w:type="dxa"/>
          </w:tcPr>
          <w:p w14:paraId="460DB12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w:t>
            </w:r>
          </w:p>
        </w:tc>
        <w:tc>
          <w:tcPr>
            <w:tcW w:w="1019" w:type="dxa"/>
          </w:tcPr>
          <w:p w14:paraId="1650E3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19" w:type="dxa"/>
          </w:tcPr>
          <w:p w14:paraId="38323A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5EE33FF" w14:textId="77777777" w:rsidTr="00CC5360">
        <w:tc>
          <w:tcPr>
            <w:tcW w:w="1019" w:type="dxa"/>
          </w:tcPr>
          <w:p w14:paraId="512254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резерве ГК</w:t>
            </w:r>
          </w:p>
        </w:tc>
        <w:tc>
          <w:tcPr>
            <w:tcW w:w="1019" w:type="dxa"/>
          </w:tcPr>
          <w:p w14:paraId="2D059D9F"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019" w:type="dxa"/>
          </w:tcPr>
          <w:p w14:paraId="4B7C95DB"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019" w:type="dxa"/>
          </w:tcPr>
          <w:p w14:paraId="058DDC23"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c>
          <w:tcPr>
            <w:tcW w:w="1019" w:type="dxa"/>
          </w:tcPr>
          <w:p w14:paraId="2E42DB92" w14:textId="77777777" w:rsidR="00090C9B" w:rsidRPr="00722885" w:rsidRDefault="00090C9B" w:rsidP="00722885">
            <w:pPr>
              <w:spacing w:after="0" w:line="240" w:lineRule="auto"/>
              <w:jc w:val="both"/>
              <w:rPr>
                <w:rFonts w:ascii="Times New Roman" w:hAnsi="Times New Roman"/>
                <w:color w:val="000000" w:themeColor="text1"/>
                <w:sz w:val="16"/>
                <w:szCs w:val="16"/>
              </w:rPr>
            </w:pPr>
          </w:p>
        </w:tc>
      </w:tr>
      <w:tr w:rsidR="009B487A" w:rsidRPr="00722885" w14:paraId="7658E21D" w14:textId="77777777" w:rsidTr="00CC5360">
        <w:tc>
          <w:tcPr>
            <w:tcW w:w="1019" w:type="dxa"/>
            <w:tcBorders>
              <w:bottom w:val="single" w:sz="12" w:space="0" w:color="auto"/>
            </w:tcBorders>
          </w:tcPr>
          <w:p w14:paraId="2E4DB4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1019" w:type="dxa"/>
            <w:tcBorders>
              <w:bottom w:val="single" w:sz="12" w:space="0" w:color="auto"/>
            </w:tcBorders>
          </w:tcPr>
          <w:p w14:paraId="7605E37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519</w:t>
            </w:r>
          </w:p>
        </w:tc>
        <w:tc>
          <w:tcPr>
            <w:tcW w:w="1019" w:type="dxa"/>
            <w:tcBorders>
              <w:bottom w:val="single" w:sz="12" w:space="0" w:color="auto"/>
            </w:tcBorders>
          </w:tcPr>
          <w:p w14:paraId="5AF3F9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w:t>
            </w:r>
          </w:p>
        </w:tc>
        <w:tc>
          <w:tcPr>
            <w:tcW w:w="1019" w:type="dxa"/>
            <w:tcBorders>
              <w:bottom w:val="single" w:sz="12" w:space="0" w:color="auto"/>
            </w:tcBorders>
          </w:tcPr>
          <w:p w14:paraId="5CC27EA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109</w:t>
            </w:r>
          </w:p>
        </w:tc>
        <w:tc>
          <w:tcPr>
            <w:tcW w:w="1019" w:type="dxa"/>
            <w:tcBorders>
              <w:bottom w:val="single" w:sz="12" w:space="0" w:color="auto"/>
            </w:tcBorders>
          </w:tcPr>
          <w:p w14:paraId="2C8145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r>
    </w:tbl>
    <w:p w14:paraId="4AE76E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(12042).</w:t>
      </w:r>
    </w:p>
    <w:p w14:paraId="2B7FF5F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70BC4B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19 ноября 1942 началось контрнаступление советских войск под Сталинградом</w:t>
      </w:r>
    </w:p>
    <w:p w14:paraId="4986A554" w14:textId="77777777" w:rsidR="00090C9B" w:rsidRPr="00722885" w:rsidRDefault="00090C9B" w:rsidP="00722885">
      <w:pPr>
        <w:pStyle w:val="Iauiue"/>
        <w:jc w:val="both"/>
        <w:rPr>
          <w:iCs/>
          <w:color w:val="000000" w:themeColor="text1"/>
          <w:sz w:val="16"/>
          <w:szCs w:val="16"/>
        </w:rPr>
      </w:pPr>
    </w:p>
    <w:p w14:paraId="4D81633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 ноября 1942 в контрнаступлении под Сталинградом приняли участие 4 танковых и 2 механизированных корпуса, а также 17 отдельных танковых полков и бригад. Меньше, чем за четверо суток наши танки прошли 150 км с севера и 100 км с юга и замкнули кольцо окружения. (3862).</w:t>
      </w:r>
    </w:p>
    <w:p w14:paraId="77C88E7F" w14:textId="77777777" w:rsidR="00090C9B" w:rsidRPr="00722885" w:rsidRDefault="00090C9B" w:rsidP="00722885">
      <w:pPr>
        <w:pStyle w:val="Iauiue"/>
        <w:jc w:val="both"/>
        <w:rPr>
          <w:color w:val="000000" w:themeColor="text1"/>
          <w:sz w:val="16"/>
          <w:szCs w:val="16"/>
        </w:rPr>
      </w:pPr>
    </w:p>
    <w:p w14:paraId="640F83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ночь с 18 на 19 ноября 1943 в Южном Поволжье установилась нелетная погода – густые облака и сильный снегопад с почти нулевой видимостью. Еще в 7 часов утра все было спокойно. На обширном Донском фронте от Воронежа до Качалино стояла тишина. Венгерские, итальянские и румынские солдаты, кутаясь в теплую одежду и почесываясь от укусов вшей, спали в землянках, и только патрули мерзли на своих постах в окопах. Над черной полоской реки периодически взлетали ракеты, освещая неровную, изрытую траншеями и воронками снарядов степь. Восточнее, в Сталинграде, также царило затишье. И именно в этот момент для Вермахта разразился кризис. В 07.30 по московскому времени (в 05.30 по берлинскому) 19 ноября советские войска начали операцию «Уран». После длительной артиллерийской подготовки 5-я танковая армия и 21-я армия, прорвав фронт, двинулись в глубь румынской обороны.</w:t>
      </w:r>
    </w:p>
    <w:p w14:paraId="42380F9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В это время в 150 км к юго-западу, на аэродроме эскадры KG27 в Миллерово, унтер-офицер Людвиг Денц получил приказ, несмотря на плохие погодные условия, провести авиационную разведку, чтобы установить, что происходит на румынских позициях. Вскоре закамуфлированный в зимние цвета «Хейнкель» уже катился по взлетной полосе, скрипя колесами по свежему снегу. Поднявшись в небо, самолет полетел к Дону сквозь сплошные облака. За стеклом фонаря кабины ничего не было видно, и штурман Людвиг Хафигхорст ориентировался только по приборам. Затем облака стали рассеиваться, внизу показалась заснеженная степь.  И тут глазам летчиков предстало ужасное зрелище. Они увидели огромные колонны советских войск: танки, пехота, бронемашины и грузовики во многих местах пересекли реку и двигались в южном и юго-восточном направлениях. Бортрадист немедленно стал докладывать об увиденном в штаб эскадры. Было очевидно, что русские начали крупномасштабное наступление. Вскоре бомбардировщик вернулся обратно в Миллерово, где экипаж уже в устной форме доложил своему начальству о результатах разведки.</w:t>
      </w:r>
    </w:p>
    <w:p w14:paraId="7BBB2E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Командир эскадры барон фон Бёст отреагировал незамедлительно. Уже через полчаса самолеты II./KG27 поднялись в воздух, чтобы атаковать прорвавшиеся советские войска. Однако из-за плохой видимости «Хейнкели» вынуждены были сбрасывать бомбы с небольших высот, фактически исполняя роль штурмовиков, находясь при этом подолгу в зоне сильного зенитного огня. В результате были сбиты сразу семь бомбардировщиков! Таких огромных потерь группа не знала за весь период Сталинградской битвы. Не-111 Людвига Денца также получил много повреждений, но все же смог вернуться на аэродром. Потом механик насчитал в самолете 151 пулевое отверстие. Однако эти героические усилия не смогли остановить мощное и стремительное советское наступление, и утром 20 ноября русские танки заняли г. Перелазовский. А это было уже глубоко в немецком тылу, всего в 60 км от штаба 8-го авиакорпуса Люфтваффе, находившегося в тот момент в станице Обливской! Там, находясь в своем бункере, обложившись картами, генерал-лейтенант Фибиг [133] нервно изучал последние донесения. Вскоре поступили сведения, что армии Сталинградского фронта, нанося удар из района озер Сарпа и Цаца, атаковали позиции 4-й румынской армии, обратив ее в бегство. Одновременно с этим с плацдарма в районе Клетской перешла в наступление 65-я советская армия.</w:t>
      </w:r>
    </w:p>
    <w:p w14:paraId="570546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Ей навстречу вылетели Ju-87 из StG2. Среди них был и «Юнкере» Ханса-Ульриха Руделя. Вскоре внизу в заснеженной степи он увидел отступающие в панике румынские войска, побросавшие винтовки и орудия. Дальше к северу двигались широкие колонны советской пехоты.  «Я безжалостно сбросил бомбы на вражескую колонну, и мои пулеметы выплюнули струи раскаленного свинца в эти бесконечные желто-зеленые волны наступающей пехоты, которые хлынули на нас из Азии и монгольских степей. Я израсходовал все патроны, не оставив ни одного, даже для защиты от возможной атаки русских истребителей», — вспоминал потом Рудель. Удары по советским танковым колоннам нанесли и «Хеншели» из штурмовой авиагруппы I./Sch.Gl майора Альфреда Друшеля. В атаках участвовали даже бипланы </w:t>
      </w:r>
      <w:r w:rsidRPr="00722885">
        <w:rPr>
          <w:rFonts w:ascii="Times New Roman" w:hAnsi="Times New Roman"/>
          <w:color w:val="000000" w:themeColor="text1"/>
          <w:sz w:val="16"/>
          <w:szCs w:val="16"/>
        </w:rPr>
        <w:lastRenderedPageBreak/>
        <w:t>Hs-123. Несмотря на нелетную погоду, командование 8-го авиакорпуса бросило против наступавших все наличные силы. Самые опытные пилоты из шести бомбардировочных и трех штурмовых групп, решавшиеся взлетать при видимости около 100 м, беспрерывно атаковали советские войска, неся при этом большие потери. Только 5-я эскадрилья из KG27 в течение нескольких дней лишилась шести «Хейнкелей» (60% штатной численности!), которые были сбиты либо списаны из-за сильных повреждений. 20 ноября в ходе боевого вылета для атаки советских войск южнее Сталинграда был сбит Не-111 обер-фельдфебеля Карла Липпа из II./KG55, при этом погиб находившийся на его борту командир группы майор Ханс-Йоахим Габриэль.</w:t>
      </w:r>
    </w:p>
    <w:p w14:paraId="0075DE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характерно, советская авиация из-за плохой погоды в эти дни практически бездействовала. Тем не менее к 06.00 22 ноября передовой отряд 26-го танкового корпуса, состоявший из пяти танков Т-34 и трех бронемашин, прорвался глубоко в тыл 6-й немецкой армии на берег Дона возле Калача. В результате советские войска сумели захватить в большой излучине реки полевые аэродромы ближних разведчиков Люфтваффе. В их руки попали как сами самолеты, так и штабы с ценными разведданными. Штурмовики майора Хичхольда чудом успели удрать с аэродрома Тусов из-под носа у противника.</w:t>
      </w:r>
    </w:p>
    <w:p w14:paraId="44E4B0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Дивизии и сводные отряды Вермахта во многих местах отчаянно контратаковали противника, но, не считаясь с потерями, прокладывая дорогу через минные поля тысячами трупов штрафников, советские войска упорно шли вперед и к исходу 23 ноября замкнули кольцо окружения. Создавшаяся критическая ситуация заставляла немецких пилотов совершать по пять – десять вылетов в сутки, атакуя противника то тут, то там. Именно 25 ноября обер-лейтенант Рудель установил мировой рекорд, совершив в течение дня на своей «Штуке» 17 боевых вылетов! Таким образом, несмотря на поражения сухопутных войск, плохую погоду и огромные, по немецким меркам, потери, Люфтваффе по-прежнему удерживали господство в воздухе. Вскоре командование 8-го авиакорпуса вынуждено было перебазировать свои силы. Истребительная эскадра JG3 с аэродрома Питомник перелетела в Морозовскую и Обливскую. Туда же перебрались Ju-87 из StG2 «Иммельман». Внутри котла из ее состава была оставлена только специальная штурмовая эскадрилья обер-лейтенанта Юнгклаузена. В качестве подкрепления из Армавира в Морозовскую вернулась I./KG100, за исключением штабного звена, которое Рихтхофен оставил там для продолжения атак танкеров в Каспийском море. Тем самым, несмотря на тяжелейший кризис командование Люфтваффе все же полностью не отказывалось от выполнения стратегических задач. В то же время часть бомбардировщиков использовалась для весьма специфической цели – сбрасывания на отступающие румынские части листовок с призывом прекратить паническое бегство…26 ноября советские танки прорвались к станице Обливской, в результате чего штаб 8-го авиакорпуса оказался на передовой. Командир 99-го зенитного полка оберет Райнер Штаэль организовал импровизированную оборону, причем в боях участвовал даже комсостав, в частности начальник штаба оберет-лейтенант фон Хайнман лично вел огонь из пулемета. В разгар боев в Обливской приземлился самолет фон Рихтхофена. Он не оценил героизм и самопожертвование своих подчиненных и приказал им эвакуироваться в тыл, организовывать снабжение 6-й армии по воздуху. Впоследствии оборону на р. Чир заняли новые подразделения группы армий «Дон», а штаб авиакорпуса переместился в Тацинскую.</w:t>
      </w:r>
    </w:p>
    <w:p w14:paraId="145627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Первоначально командование Люфтваффе намеревалось снабжать окруженные войска исключительно силами транспортных эскадр. Для этого на аэродромы Тацинская и Морозовская были одна задругой переброшены 11 авиагрупп, оснащенных трехмоторными Ju-52, а также две группы Ju-86, всего около 200 транспортников. Бомбардировщики же использовались для ударов по советским войскам. Так, «Хейнкели» из KG27 и I./KG 100 в течение 22– 28 ноября по три-четыре раза в сутки вылетали на бомбардировку Сталинграда и прилегающих районов. Из-за плохих погодных условий самолетам приходилось действовать на предельно малых высотах, в зоне интенсивного огня зениток. Поэтому потери и повреждения были неизбежны. 25 ноября в районе г. Перелазовский был сбит Ju-87 командира 5-й эскадрильи StG2 гауптмана Иоахима Лангбена. Пилот, совершивший до этого около 400 боевых вылетов, погиб. Этот вылет стал последним и для его бортстрелка обер-фельдфебеля Йозефа Лауса. 28-го числа во время очередного вылета Не-111 гауптмана Бётхера получил прямое попадание 85-мм зенитного снаряда в правое крыло. Лишь благодаря своему огромному опыту пилот смог в тяжелых погодных условиях дотянуть до аэродрома в Морозовской и совершить посадку. Вскоре стало ясно, что одной транспортной авиации для снабжения 6-й армии недостаточно. Тихоходные и неповоротливые «Юнкерсы-52», для пилотов которых подняться в воздух в условиях снежной пурги уже было подвигом, доставляли в Питомник лишь 60—70 т грузов в сутки. Тогда 29 ноября командующий 4-м воздушным флотом фон Рихтхофен принял срочные меры. На аэродроме Морозовская было сформировано 1-е авиационно-транспортное командование, которое возглавил опытнейший летчик – командир KG55 «Грайф» оберет Эрнст Кюхл. Он получил от Рихтхофена приказ использовать для доставки грузов в Сталинград все Не-111 из шести имевшихся авиагрупп, одновременно с этим поддерживать с воздуха оборону на р. Чир с тем, чтобы не допустить продвижения советских войск к аэродромам в Тацинской и Морозовской (последний находился всего в 40 км от линии фронта). Для выполнения последней задачи в распоряжение Кюхла были переданы истребительная эскадра JG3 «Удет», а также штурмовые StG2 и I./Sch.Gl. Можно было использовать еще и румынские истребители. 30 ноября первые 40 «Хейнкелей» вылетели не с привычным бомбовым грузом, а битком набитые провизией и боеприпасами. Однако успехи в снабжении, достигнутые за счет «нецелевого» использования бомбардировщиков, обошлись немцам боком на полях сражений. Войска лишились значительной поддержки с воздуха, и советское командование смогло наконец почти беспрепятственно подвозить свои резервы прямо к фронту. Только сорок Ju-88 из I. и III./KG1 «Гинденбург», а так же I./KG51 по-прежнему исполняли роль бомбардировщиков, и их пилоты поистине работали «по-стахановски», совершая налеты на железнодорожные станции Михайловка и Арчеда, атакуя железнодорожные составы на восточном берегу Волги, и даже бомбили железную дорогу Астрахань – Урбах (11774).</w:t>
      </w:r>
    </w:p>
    <w:p w14:paraId="482EB9F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3A148B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состоянию на 19 ноября 1942 было следующее число частей реактивной артиллерии: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9B487A" w:rsidRPr="00722885" w14:paraId="59148963" w14:textId="77777777" w:rsidTr="00CC5360">
        <w:tc>
          <w:tcPr>
            <w:tcW w:w="1610" w:type="dxa"/>
            <w:tcBorders>
              <w:top w:val="single" w:sz="12" w:space="0" w:color="auto"/>
            </w:tcBorders>
          </w:tcPr>
          <w:p w14:paraId="1D707F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Даты и фронты</w:t>
            </w:r>
          </w:p>
        </w:tc>
        <w:tc>
          <w:tcPr>
            <w:tcW w:w="1610" w:type="dxa"/>
            <w:tcBorders>
              <w:top w:val="single" w:sz="12" w:space="0" w:color="auto"/>
            </w:tcBorders>
          </w:tcPr>
          <w:p w14:paraId="7FCCFA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Отд. дивизионы</w:t>
            </w:r>
          </w:p>
        </w:tc>
        <w:tc>
          <w:tcPr>
            <w:tcW w:w="1610" w:type="dxa"/>
            <w:tcBorders>
              <w:top w:val="single" w:sz="12" w:space="0" w:color="auto"/>
            </w:tcBorders>
          </w:tcPr>
          <w:p w14:paraId="75B12B0D" w14:textId="77777777" w:rsidR="00090C9B" w:rsidRPr="00722885" w:rsidRDefault="00090C9B" w:rsidP="00722885">
            <w:pPr>
              <w:pStyle w:val="Iauiue"/>
              <w:jc w:val="both"/>
              <w:rPr>
                <w:color w:val="000000" w:themeColor="text1"/>
                <w:sz w:val="16"/>
                <w:szCs w:val="16"/>
              </w:rPr>
            </w:pPr>
          </w:p>
        </w:tc>
        <w:tc>
          <w:tcPr>
            <w:tcW w:w="1610" w:type="dxa"/>
            <w:tcBorders>
              <w:top w:val="single" w:sz="12" w:space="0" w:color="auto"/>
            </w:tcBorders>
          </w:tcPr>
          <w:p w14:paraId="28CD75C1" w14:textId="77777777" w:rsidR="00090C9B" w:rsidRPr="00722885" w:rsidRDefault="00090C9B" w:rsidP="00722885">
            <w:pPr>
              <w:pStyle w:val="Iauiue"/>
              <w:jc w:val="both"/>
              <w:rPr>
                <w:color w:val="000000" w:themeColor="text1"/>
                <w:sz w:val="16"/>
                <w:szCs w:val="16"/>
              </w:rPr>
            </w:pPr>
          </w:p>
        </w:tc>
        <w:tc>
          <w:tcPr>
            <w:tcW w:w="1610" w:type="dxa"/>
            <w:tcBorders>
              <w:top w:val="single" w:sz="12" w:space="0" w:color="auto"/>
            </w:tcBorders>
          </w:tcPr>
          <w:p w14:paraId="6D2B337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Полки</w:t>
            </w:r>
          </w:p>
        </w:tc>
        <w:tc>
          <w:tcPr>
            <w:tcW w:w="1610" w:type="dxa"/>
            <w:tcBorders>
              <w:top w:val="single" w:sz="12" w:space="0" w:color="auto"/>
            </w:tcBorders>
          </w:tcPr>
          <w:p w14:paraId="2D6271F0" w14:textId="77777777" w:rsidR="00090C9B" w:rsidRPr="00722885" w:rsidRDefault="00090C9B" w:rsidP="00722885">
            <w:pPr>
              <w:pStyle w:val="Iauiue"/>
              <w:jc w:val="both"/>
              <w:rPr>
                <w:color w:val="000000" w:themeColor="text1"/>
                <w:sz w:val="16"/>
                <w:szCs w:val="16"/>
              </w:rPr>
            </w:pPr>
          </w:p>
        </w:tc>
        <w:tc>
          <w:tcPr>
            <w:tcW w:w="1610" w:type="dxa"/>
            <w:tcBorders>
              <w:top w:val="single" w:sz="12" w:space="0" w:color="auto"/>
            </w:tcBorders>
          </w:tcPr>
          <w:p w14:paraId="34B9DB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w:t>
            </w:r>
          </w:p>
        </w:tc>
      </w:tr>
      <w:tr w:rsidR="009B487A" w:rsidRPr="00722885" w14:paraId="4CE8F327" w14:textId="77777777" w:rsidTr="00CC5360">
        <w:tc>
          <w:tcPr>
            <w:tcW w:w="1610" w:type="dxa"/>
          </w:tcPr>
          <w:p w14:paraId="03E77FBF" w14:textId="77777777" w:rsidR="00090C9B" w:rsidRPr="00722885" w:rsidRDefault="00090C9B" w:rsidP="00722885">
            <w:pPr>
              <w:pStyle w:val="Iauiue"/>
              <w:jc w:val="both"/>
              <w:rPr>
                <w:color w:val="000000" w:themeColor="text1"/>
                <w:sz w:val="16"/>
                <w:szCs w:val="16"/>
              </w:rPr>
            </w:pPr>
          </w:p>
        </w:tc>
        <w:tc>
          <w:tcPr>
            <w:tcW w:w="1610" w:type="dxa"/>
          </w:tcPr>
          <w:p w14:paraId="631C81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М-8</w:t>
            </w:r>
          </w:p>
        </w:tc>
        <w:tc>
          <w:tcPr>
            <w:tcW w:w="1610" w:type="dxa"/>
          </w:tcPr>
          <w:p w14:paraId="57A5BC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М-13</w:t>
            </w:r>
          </w:p>
        </w:tc>
        <w:tc>
          <w:tcPr>
            <w:tcW w:w="1610" w:type="dxa"/>
          </w:tcPr>
          <w:p w14:paraId="0C4331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М-30</w:t>
            </w:r>
          </w:p>
        </w:tc>
        <w:tc>
          <w:tcPr>
            <w:tcW w:w="1610" w:type="dxa"/>
          </w:tcPr>
          <w:p w14:paraId="08C460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М-8</w:t>
            </w:r>
          </w:p>
        </w:tc>
        <w:tc>
          <w:tcPr>
            <w:tcW w:w="1610" w:type="dxa"/>
          </w:tcPr>
          <w:p w14:paraId="70C0880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М-13</w:t>
            </w:r>
          </w:p>
        </w:tc>
        <w:tc>
          <w:tcPr>
            <w:tcW w:w="1610" w:type="dxa"/>
          </w:tcPr>
          <w:p w14:paraId="253066EA" w14:textId="77777777" w:rsidR="00090C9B" w:rsidRPr="00722885" w:rsidRDefault="00090C9B" w:rsidP="00722885">
            <w:pPr>
              <w:pStyle w:val="Iauiue"/>
              <w:jc w:val="both"/>
              <w:rPr>
                <w:color w:val="000000" w:themeColor="text1"/>
                <w:sz w:val="16"/>
                <w:szCs w:val="16"/>
              </w:rPr>
            </w:pPr>
          </w:p>
        </w:tc>
      </w:tr>
      <w:tr w:rsidR="009B487A" w:rsidRPr="00722885" w14:paraId="6D632442" w14:textId="77777777" w:rsidTr="00CC5360">
        <w:tc>
          <w:tcPr>
            <w:tcW w:w="1610" w:type="dxa"/>
          </w:tcPr>
          <w:p w14:paraId="1FC4F8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22 июня</w:t>
            </w:r>
          </w:p>
        </w:tc>
        <w:tc>
          <w:tcPr>
            <w:tcW w:w="1610" w:type="dxa"/>
          </w:tcPr>
          <w:p w14:paraId="6277B4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610" w:type="dxa"/>
          </w:tcPr>
          <w:p w14:paraId="2556D06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610" w:type="dxa"/>
          </w:tcPr>
          <w:p w14:paraId="0E86D6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610" w:type="dxa"/>
          </w:tcPr>
          <w:p w14:paraId="65EBD5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610" w:type="dxa"/>
          </w:tcPr>
          <w:p w14:paraId="235799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610" w:type="dxa"/>
          </w:tcPr>
          <w:p w14:paraId="72B038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r>
      <w:tr w:rsidR="009B487A" w:rsidRPr="00722885" w14:paraId="6E71912B" w14:textId="77777777" w:rsidTr="00CC5360">
        <w:tc>
          <w:tcPr>
            <w:tcW w:w="1610" w:type="dxa"/>
          </w:tcPr>
          <w:p w14:paraId="0F72FA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 июля</w:t>
            </w:r>
          </w:p>
        </w:tc>
        <w:tc>
          <w:tcPr>
            <w:tcW w:w="1610" w:type="dxa"/>
          </w:tcPr>
          <w:p w14:paraId="4903CA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610" w:type="dxa"/>
          </w:tcPr>
          <w:p w14:paraId="31757B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tc>
        <w:tc>
          <w:tcPr>
            <w:tcW w:w="1610" w:type="dxa"/>
          </w:tcPr>
          <w:p w14:paraId="030A74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610" w:type="dxa"/>
          </w:tcPr>
          <w:p w14:paraId="4332AA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610" w:type="dxa"/>
          </w:tcPr>
          <w:p w14:paraId="09BAB3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610" w:type="dxa"/>
          </w:tcPr>
          <w:p w14:paraId="5A9703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tc>
      </w:tr>
      <w:tr w:rsidR="009B487A" w:rsidRPr="00722885" w14:paraId="3BD20D17" w14:textId="77777777" w:rsidTr="00CC5360">
        <w:tc>
          <w:tcPr>
            <w:tcW w:w="1610" w:type="dxa"/>
          </w:tcPr>
          <w:p w14:paraId="15DB0C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 января 1942</w:t>
            </w:r>
          </w:p>
        </w:tc>
        <w:tc>
          <w:tcPr>
            <w:tcW w:w="1610" w:type="dxa"/>
          </w:tcPr>
          <w:p w14:paraId="0F71767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w:t>
            </w:r>
          </w:p>
        </w:tc>
        <w:tc>
          <w:tcPr>
            <w:tcW w:w="1610" w:type="dxa"/>
          </w:tcPr>
          <w:p w14:paraId="0EDAD2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43</w:t>
            </w:r>
          </w:p>
        </w:tc>
        <w:tc>
          <w:tcPr>
            <w:tcW w:w="1610" w:type="dxa"/>
          </w:tcPr>
          <w:p w14:paraId="7BCB65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610" w:type="dxa"/>
          </w:tcPr>
          <w:p w14:paraId="44FB0A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w:t>
            </w:r>
          </w:p>
        </w:tc>
        <w:tc>
          <w:tcPr>
            <w:tcW w:w="1610" w:type="dxa"/>
          </w:tcPr>
          <w:p w14:paraId="6DD478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w:t>
            </w:r>
          </w:p>
        </w:tc>
        <w:tc>
          <w:tcPr>
            <w:tcW w:w="1610" w:type="dxa"/>
          </w:tcPr>
          <w:p w14:paraId="0B2F97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87</w:t>
            </w:r>
          </w:p>
        </w:tc>
      </w:tr>
      <w:tr w:rsidR="009B487A" w:rsidRPr="00722885" w14:paraId="7F7856BF" w14:textId="77777777" w:rsidTr="00CC5360">
        <w:tc>
          <w:tcPr>
            <w:tcW w:w="1610" w:type="dxa"/>
          </w:tcPr>
          <w:p w14:paraId="044CFD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4 июля 1942</w:t>
            </w:r>
          </w:p>
        </w:tc>
        <w:tc>
          <w:tcPr>
            <w:tcW w:w="1610" w:type="dxa"/>
          </w:tcPr>
          <w:p w14:paraId="18B64D6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w:t>
            </w:r>
          </w:p>
        </w:tc>
        <w:tc>
          <w:tcPr>
            <w:tcW w:w="1610" w:type="dxa"/>
          </w:tcPr>
          <w:p w14:paraId="24C36B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w:t>
            </w:r>
          </w:p>
        </w:tc>
        <w:tc>
          <w:tcPr>
            <w:tcW w:w="1610" w:type="dxa"/>
          </w:tcPr>
          <w:p w14:paraId="780901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w:t>
            </w:r>
          </w:p>
        </w:tc>
        <w:tc>
          <w:tcPr>
            <w:tcW w:w="1610" w:type="dxa"/>
          </w:tcPr>
          <w:p w14:paraId="0C9B0F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w:t>
            </w:r>
          </w:p>
        </w:tc>
        <w:tc>
          <w:tcPr>
            <w:tcW w:w="1610" w:type="dxa"/>
          </w:tcPr>
          <w:p w14:paraId="33B722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44</w:t>
            </w:r>
          </w:p>
        </w:tc>
        <w:tc>
          <w:tcPr>
            <w:tcW w:w="1610" w:type="dxa"/>
          </w:tcPr>
          <w:p w14:paraId="13B41A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216</w:t>
            </w:r>
          </w:p>
        </w:tc>
      </w:tr>
      <w:tr w:rsidR="009B487A" w:rsidRPr="00722885" w14:paraId="28CD27F7" w14:textId="77777777" w:rsidTr="00CC5360">
        <w:tc>
          <w:tcPr>
            <w:tcW w:w="1610" w:type="dxa"/>
          </w:tcPr>
          <w:p w14:paraId="46A4C6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 октября 1942</w:t>
            </w:r>
          </w:p>
        </w:tc>
        <w:tc>
          <w:tcPr>
            <w:tcW w:w="1610" w:type="dxa"/>
          </w:tcPr>
          <w:p w14:paraId="3A6EC2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w:t>
            </w:r>
          </w:p>
        </w:tc>
        <w:tc>
          <w:tcPr>
            <w:tcW w:w="1610" w:type="dxa"/>
          </w:tcPr>
          <w:p w14:paraId="4630AE9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w:t>
            </w:r>
          </w:p>
        </w:tc>
        <w:tc>
          <w:tcPr>
            <w:tcW w:w="1610" w:type="dxa"/>
          </w:tcPr>
          <w:p w14:paraId="54A59A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77</w:t>
            </w:r>
          </w:p>
        </w:tc>
        <w:tc>
          <w:tcPr>
            <w:tcW w:w="1610" w:type="dxa"/>
          </w:tcPr>
          <w:p w14:paraId="70160F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w:t>
            </w:r>
          </w:p>
        </w:tc>
        <w:tc>
          <w:tcPr>
            <w:tcW w:w="1610" w:type="dxa"/>
          </w:tcPr>
          <w:p w14:paraId="1950CD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60</w:t>
            </w:r>
          </w:p>
        </w:tc>
        <w:tc>
          <w:tcPr>
            <w:tcW w:w="1610" w:type="dxa"/>
          </w:tcPr>
          <w:p w14:paraId="4BDAED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350</w:t>
            </w:r>
          </w:p>
        </w:tc>
      </w:tr>
      <w:tr w:rsidR="009B487A" w:rsidRPr="00722885" w14:paraId="04BA443B" w14:textId="77777777" w:rsidTr="00CC5360">
        <w:tc>
          <w:tcPr>
            <w:tcW w:w="1610" w:type="dxa"/>
            <w:tcBorders>
              <w:bottom w:val="single" w:sz="12" w:space="0" w:color="auto"/>
            </w:tcBorders>
          </w:tcPr>
          <w:p w14:paraId="6182F58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19 ноября</w:t>
            </w:r>
          </w:p>
        </w:tc>
        <w:tc>
          <w:tcPr>
            <w:tcW w:w="1610" w:type="dxa"/>
            <w:tcBorders>
              <w:bottom w:val="single" w:sz="12" w:space="0" w:color="auto"/>
            </w:tcBorders>
          </w:tcPr>
          <w:p w14:paraId="78127B8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w:t>
            </w:r>
          </w:p>
        </w:tc>
        <w:tc>
          <w:tcPr>
            <w:tcW w:w="1610" w:type="dxa"/>
            <w:tcBorders>
              <w:bottom w:val="single" w:sz="12" w:space="0" w:color="auto"/>
            </w:tcBorders>
          </w:tcPr>
          <w:p w14:paraId="781B01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17</w:t>
            </w:r>
          </w:p>
        </w:tc>
        <w:tc>
          <w:tcPr>
            <w:tcW w:w="1610" w:type="dxa"/>
            <w:tcBorders>
              <w:bottom w:val="single" w:sz="12" w:space="0" w:color="auto"/>
            </w:tcBorders>
          </w:tcPr>
          <w:p w14:paraId="3F0CE3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85</w:t>
            </w:r>
          </w:p>
        </w:tc>
        <w:tc>
          <w:tcPr>
            <w:tcW w:w="1610" w:type="dxa"/>
            <w:tcBorders>
              <w:bottom w:val="single" w:sz="12" w:space="0" w:color="auto"/>
            </w:tcBorders>
          </w:tcPr>
          <w:p w14:paraId="6C6E3C1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w:t>
            </w:r>
          </w:p>
        </w:tc>
        <w:tc>
          <w:tcPr>
            <w:tcW w:w="1610" w:type="dxa"/>
            <w:tcBorders>
              <w:bottom w:val="single" w:sz="12" w:space="0" w:color="auto"/>
            </w:tcBorders>
          </w:tcPr>
          <w:p w14:paraId="5C0503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62</w:t>
            </w:r>
          </w:p>
        </w:tc>
        <w:tc>
          <w:tcPr>
            <w:tcW w:w="1610" w:type="dxa"/>
            <w:tcBorders>
              <w:bottom w:val="single" w:sz="12" w:space="0" w:color="auto"/>
            </w:tcBorders>
          </w:tcPr>
          <w:p w14:paraId="476B91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355</w:t>
            </w:r>
          </w:p>
        </w:tc>
      </w:tr>
    </w:tbl>
    <w:p w14:paraId="78D845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(3890).</w:t>
      </w:r>
    </w:p>
    <w:p w14:paraId="1BF4F6AE" w14:textId="77777777" w:rsidR="00090C9B" w:rsidRPr="00722885" w:rsidRDefault="00090C9B" w:rsidP="00722885">
      <w:pPr>
        <w:pStyle w:val="Iauiue"/>
        <w:jc w:val="both"/>
        <w:rPr>
          <w:color w:val="000000" w:themeColor="text1"/>
          <w:sz w:val="16"/>
          <w:szCs w:val="16"/>
        </w:rPr>
      </w:pPr>
    </w:p>
    <w:p w14:paraId="1FA830F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ноября 1942 года, когда началось контрнаступление советских войск под Сталинградом, в войсках трех фронтов - Донского, Сталинградского и Юго-Западного — насчитывалось 1650 танков, из которых до 60% составляли тридцатьчетверки. В этой операции впервые участвовали механизированные корпуса, (4 и 13-й) формирование которых началось осенью 1942 года.</w:t>
      </w:r>
    </w:p>
    <w:p w14:paraId="126BB0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Темпы наступления, несмотря на суровую зиму, были достигнуты весьма высокие - к вечеру 20 ноября ударные группировки продвинулись в глубину до 40 километров.</w:t>
      </w:r>
    </w:p>
    <w:p w14:paraId="485B21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 удачно действовал 26-й танковый корпус, который смелым броском захватил переправы через Дон. Для решения этой задачи сформировали передовой отряд в составе двух рот мотострелковой бригады, 5 танков Т-34 и бронемашины БА-64. В ночь с 21 на 22 ноября, пройдя в глубь расположения противника на машинах с включенными фарами, отряд вышел к переправе. Немцы приняли колонну за свою и пропустили ее к мосту через Дон. Внезапно перебив охрану переправы, отряд занял ее и организовал оборону. Эта дерзкая операция значительно облегчила последующие действия по овла- лению Калачом, а на следующий лень танковые части Юго-Западного и Сталинградского фронтов соединились, завершив окружение немецких войск под Сталинградом (12217).</w:t>
      </w:r>
    </w:p>
    <w:p w14:paraId="6B12D44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C670A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ноября 1942 вышло Постановление ГКО № 2527 Вопросы партизанского движения. РГАНИР, Фонд ГКО, д. 69, лл. 214 (11012).</w:t>
      </w:r>
    </w:p>
    <w:p w14:paraId="281A08A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9CB96A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25EB11F" w14:textId="77777777" w:rsidR="00090C9B" w:rsidRPr="00722885" w:rsidRDefault="00090C9B" w:rsidP="00722885">
      <w:pPr>
        <w:pStyle w:val="Iauiue"/>
        <w:jc w:val="both"/>
        <w:rPr>
          <w:iCs/>
          <w:color w:val="000000" w:themeColor="text1"/>
          <w:sz w:val="16"/>
          <w:szCs w:val="16"/>
        </w:rPr>
      </w:pPr>
    </w:p>
    <w:p w14:paraId="65BDDE2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19 ноября 1942 англо-американские войска захватили Бенгази (Ливия).</w:t>
      </w:r>
    </w:p>
    <w:p w14:paraId="400093F3" w14:textId="77777777" w:rsidR="00090C9B" w:rsidRPr="00722885" w:rsidRDefault="00090C9B" w:rsidP="00722885">
      <w:pPr>
        <w:pStyle w:val="Iauiue"/>
        <w:tabs>
          <w:tab w:val="left" w:pos="11199"/>
        </w:tabs>
        <w:jc w:val="both"/>
        <w:rPr>
          <w:color w:val="000000" w:themeColor="text1"/>
          <w:sz w:val="16"/>
          <w:szCs w:val="16"/>
        </w:rPr>
      </w:pPr>
    </w:p>
    <w:p w14:paraId="7138AEE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69C08FA" w14:textId="77777777" w:rsidR="00090C9B" w:rsidRPr="00722885" w:rsidRDefault="00090C9B" w:rsidP="00722885">
      <w:pPr>
        <w:pStyle w:val="Iauiue"/>
        <w:jc w:val="both"/>
        <w:rPr>
          <w:iCs/>
          <w:color w:val="000000" w:themeColor="text1"/>
          <w:sz w:val="16"/>
          <w:szCs w:val="16"/>
        </w:rPr>
      </w:pPr>
    </w:p>
    <w:p w14:paraId="4B1125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 ноября 1942 начались и 26 декабря 1942 завершились гос. испытания И-185 эталона (228,170). Летал П.М.Стефановский, а в облете участвовал П.Федрови (2495,26).</w:t>
      </w:r>
    </w:p>
    <w:p w14:paraId="6BE8DD65" w14:textId="77777777" w:rsidR="00090C9B" w:rsidRPr="00722885" w:rsidRDefault="00090C9B" w:rsidP="00722885">
      <w:pPr>
        <w:pStyle w:val="Iauiue"/>
        <w:jc w:val="both"/>
        <w:rPr>
          <w:color w:val="000000" w:themeColor="text1"/>
          <w:sz w:val="16"/>
          <w:szCs w:val="16"/>
        </w:rPr>
      </w:pPr>
    </w:p>
    <w:p w14:paraId="5F8265E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другим данным в ноябре 1942 П.М.Стефановский только получил задание на испытание И-185. Ви был назначен отозванный с фронта И.Г.Лазарев (2921,145).</w:t>
      </w:r>
    </w:p>
    <w:p w14:paraId="288C0C49" w14:textId="77777777" w:rsidR="00090C9B" w:rsidRPr="00722885" w:rsidRDefault="00090C9B" w:rsidP="00722885">
      <w:pPr>
        <w:pStyle w:val="Iauiue"/>
        <w:jc w:val="both"/>
        <w:rPr>
          <w:color w:val="000000" w:themeColor="text1"/>
          <w:sz w:val="16"/>
          <w:szCs w:val="16"/>
        </w:rPr>
      </w:pPr>
    </w:p>
    <w:p w14:paraId="1FC01D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 ноября 1942 П.М.Стефановский выполнил облет И-185 (2921,145).</w:t>
      </w:r>
    </w:p>
    <w:p w14:paraId="283098BE" w14:textId="77777777" w:rsidR="00090C9B" w:rsidRPr="00722885" w:rsidRDefault="00090C9B" w:rsidP="00722885">
      <w:pPr>
        <w:pStyle w:val="Iauiue"/>
        <w:jc w:val="both"/>
        <w:rPr>
          <w:color w:val="000000" w:themeColor="text1"/>
          <w:sz w:val="16"/>
          <w:szCs w:val="16"/>
        </w:rPr>
      </w:pPr>
    </w:p>
    <w:p w14:paraId="6B608A5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 20 ноября 1942 по 27 января 1943 года — «образцовый» И-185 с М-71 прошел в НИИ ВВС госиспытания. Именно здесь на нем были получены те известные скорос</w:t>
      </w:r>
      <w:r w:rsidRPr="00722885">
        <w:rPr>
          <w:rFonts w:ascii="Times New Roman" w:hAnsi="Times New Roman"/>
          <w:color w:val="000000" w:themeColor="text1"/>
          <w:sz w:val="16"/>
          <w:szCs w:val="16"/>
        </w:rPr>
        <w:softHyphen/>
        <w:t>ти, которые фигурировали затем во всех публикациях, посвященных этому самолету: максимальная скорость у земли на номинале - 560, на форса</w:t>
      </w:r>
      <w:r w:rsidRPr="00722885">
        <w:rPr>
          <w:rFonts w:ascii="Times New Roman" w:hAnsi="Times New Roman"/>
          <w:color w:val="000000" w:themeColor="text1"/>
          <w:sz w:val="16"/>
          <w:szCs w:val="16"/>
        </w:rPr>
        <w:softHyphen/>
        <w:t>же - 600 км/ч, на 2-й границе высот</w:t>
      </w:r>
      <w:r w:rsidRPr="00722885">
        <w:rPr>
          <w:rFonts w:ascii="Times New Roman" w:hAnsi="Times New Roman"/>
          <w:color w:val="000000" w:themeColor="text1"/>
          <w:sz w:val="16"/>
          <w:szCs w:val="16"/>
        </w:rPr>
        <w:softHyphen/>
        <w:t>ности 6100 м — 680 км/ч. Испытания остались незавершен</w:t>
      </w:r>
      <w:r w:rsidRPr="00722885">
        <w:rPr>
          <w:rFonts w:ascii="Times New Roman" w:hAnsi="Times New Roman"/>
          <w:color w:val="000000" w:themeColor="text1"/>
          <w:sz w:val="16"/>
          <w:szCs w:val="16"/>
        </w:rPr>
        <w:softHyphen/>
        <w:t>ными из-за аварии, происшедшей 27 января по причине разрушения в воз</w:t>
      </w:r>
      <w:r w:rsidRPr="00722885">
        <w:rPr>
          <w:rFonts w:ascii="Times New Roman" w:hAnsi="Times New Roman"/>
          <w:color w:val="000000" w:themeColor="text1"/>
          <w:sz w:val="16"/>
          <w:szCs w:val="16"/>
        </w:rPr>
        <w:softHyphen/>
        <w:t xml:space="preserve">духе только </w:t>
      </w:r>
      <w:r w:rsidRPr="00722885">
        <w:rPr>
          <w:rFonts w:ascii="Times New Roman" w:hAnsi="Times New Roman"/>
          <w:color w:val="000000" w:themeColor="text1"/>
          <w:sz w:val="16"/>
          <w:szCs w:val="16"/>
        </w:rPr>
        <w:lastRenderedPageBreak/>
        <w:t>что установленного ново</w:t>
      </w:r>
      <w:r w:rsidRPr="00722885">
        <w:rPr>
          <w:rFonts w:ascii="Times New Roman" w:hAnsi="Times New Roman"/>
          <w:color w:val="000000" w:themeColor="text1"/>
          <w:sz w:val="16"/>
          <w:szCs w:val="16"/>
        </w:rPr>
        <w:softHyphen/>
        <w:t>го мотора, но и этих цифр было доста</w:t>
      </w:r>
      <w:r w:rsidRPr="00722885">
        <w:rPr>
          <w:rFonts w:ascii="Times New Roman" w:hAnsi="Times New Roman"/>
          <w:color w:val="000000" w:themeColor="text1"/>
          <w:sz w:val="16"/>
          <w:szCs w:val="16"/>
        </w:rPr>
        <w:softHyphen/>
        <w:t>точно, чтобы вновь ставить вопрос о запуске И-185 в серийное производ</w:t>
      </w:r>
      <w:r w:rsidRPr="00722885">
        <w:rPr>
          <w:rFonts w:ascii="Times New Roman" w:hAnsi="Times New Roman"/>
          <w:color w:val="000000" w:themeColor="text1"/>
          <w:sz w:val="16"/>
          <w:szCs w:val="16"/>
        </w:rPr>
        <w:softHyphen/>
        <w:t>ство. Игнорировать эти результаты дальше было невозможно, и в НКАПе начались разговоры о запуске И-185 в «малую серию» на восстановлен</w:t>
      </w:r>
      <w:r w:rsidRPr="00722885">
        <w:rPr>
          <w:rFonts w:ascii="Times New Roman" w:hAnsi="Times New Roman"/>
          <w:color w:val="000000" w:themeColor="text1"/>
          <w:sz w:val="16"/>
          <w:szCs w:val="16"/>
        </w:rPr>
        <w:softHyphen/>
        <w:t>ном московском заводе №81. Оче</w:t>
      </w:r>
      <w:r w:rsidRPr="00722885">
        <w:rPr>
          <w:rFonts w:ascii="Times New Roman" w:hAnsi="Times New Roman"/>
          <w:color w:val="000000" w:themeColor="text1"/>
          <w:sz w:val="16"/>
          <w:szCs w:val="16"/>
        </w:rPr>
        <w:softHyphen/>
        <w:t>видно Шахурин решил «не дразнить гусей» и в принципе выразил согла</w:t>
      </w:r>
      <w:r w:rsidRPr="00722885">
        <w:rPr>
          <w:rFonts w:ascii="Times New Roman" w:hAnsi="Times New Roman"/>
          <w:color w:val="000000" w:themeColor="text1"/>
          <w:sz w:val="16"/>
          <w:szCs w:val="16"/>
        </w:rPr>
        <w:softHyphen/>
        <w:t>сие на выпуск моторов М-71 малой серией (порядка 30 шт. в месяц) в опытном цехе завода №19, сохраняя на потоке выпуск М-82. Завод №81 был маломощным и все равно не смог бы поддерживать более высокий темп выпуска самолетов. К тому же И-185 имел цельнометаллическую конструк</w:t>
      </w:r>
      <w:r w:rsidRPr="00722885">
        <w:rPr>
          <w:rFonts w:ascii="Times New Roman" w:hAnsi="Times New Roman"/>
          <w:color w:val="000000" w:themeColor="text1"/>
          <w:sz w:val="16"/>
          <w:szCs w:val="16"/>
        </w:rPr>
        <w:softHyphen/>
        <w:t>цию крыла, а алюминий в то время был в большом дефиците, что также не позволяло рассчитывать на боль</w:t>
      </w:r>
      <w:r w:rsidRPr="00722885">
        <w:rPr>
          <w:rFonts w:ascii="Times New Roman" w:hAnsi="Times New Roman"/>
          <w:color w:val="000000" w:themeColor="text1"/>
          <w:sz w:val="16"/>
          <w:szCs w:val="16"/>
        </w:rPr>
        <w:softHyphen/>
        <w:t>шую серию. Конечно, теперь уже ясно, что это была своего рода «кость», брошенная сторонникам И-185, а также попытка обезопасить себя от возможных бу</w:t>
      </w:r>
      <w:r w:rsidRPr="00722885">
        <w:rPr>
          <w:rFonts w:ascii="Times New Roman" w:hAnsi="Times New Roman"/>
          <w:color w:val="000000" w:themeColor="text1"/>
          <w:sz w:val="16"/>
          <w:szCs w:val="16"/>
        </w:rPr>
        <w:softHyphen/>
        <w:t>дущих упреков в бездействии. Шаху</w:t>
      </w:r>
      <w:r w:rsidRPr="00722885">
        <w:rPr>
          <w:rFonts w:ascii="Times New Roman" w:hAnsi="Times New Roman"/>
          <w:color w:val="000000" w:themeColor="text1"/>
          <w:sz w:val="16"/>
          <w:szCs w:val="16"/>
        </w:rPr>
        <w:softHyphen/>
        <w:t>рин по-прежнему рассчитывал на работу ОКБ Лавочкина, которое в это время устанавливало на следующий опытный экземпляр Ла-5 теперь уже мотор М-82ФНВ - так он тогда на</w:t>
      </w:r>
      <w:r w:rsidRPr="00722885">
        <w:rPr>
          <w:rFonts w:ascii="Times New Roman" w:hAnsi="Times New Roman"/>
          <w:color w:val="000000" w:themeColor="text1"/>
          <w:sz w:val="16"/>
          <w:szCs w:val="16"/>
        </w:rPr>
        <w:softHyphen/>
        <w:t>зывался. И ждал не только потому, что не любил Н.Н. Поликарпова, а пото</w:t>
      </w:r>
      <w:r w:rsidRPr="00722885">
        <w:rPr>
          <w:rFonts w:ascii="Times New Roman" w:hAnsi="Times New Roman"/>
          <w:color w:val="000000" w:themeColor="text1"/>
          <w:sz w:val="16"/>
          <w:szCs w:val="16"/>
        </w:rPr>
        <w:softHyphen/>
        <w:t>му, что к этому времени по опыту 1942 года и ему, и командующему ВВС А.А. Новикову уже было ясно, что малые серии сколь угодно выдающихся об</w:t>
      </w:r>
      <w:r w:rsidRPr="00722885">
        <w:rPr>
          <w:rFonts w:ascii="Times New Roman" w:hAnsi="Times New Roman"/>
          <w:color w:val="000000" w:themeColor="text1"/>
          <w:sz w:val="16"/>
          <w:szCs w:val="16"/>
        </w:rPr>
        <w:softHyphen/>
        <w:t>разцов вооружения в условиях тоталь</w:t>
      </w:r>
      <w:r w:rsidRPr="00722885">
        <w:rPr>
          <w:rFonts w:ascii="Times New Roman" w:hAnsi="Times New Roman"/>
          <w:color w:val="000000" w:themeColor="text1"/>
          <w:sz w:val="16"/>
          <w:szCs w:val="16"/>
        </w:rPr>
        <w:softHyphen/>
        <w:t>ной войны ничего изменить не смо</w:t>
      </w:r>
      <w:r w:rsidRPr="00722885">
        <w:rPr>
          <w:rFonts w:ascii="Times New Roman" w:hAnsi="Times New Roman"/>
          <w:color w:val="000000" w:themeColor="text1"/>
          <w:sz w:val="16"/>
          <w:szCs w:val="16"/>
        </w:rPr>
        <w:softHyphen/>
        <w:t>гут (10705).</w:t>
      </w:r>
    </w:p>
    <w:p w14:paraId="71A7F2D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31CD83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нояб</w:t>
      </w:r>
      <w:r w:rsidRPr="00722885">
        <w:rPr>
          <w:rFonts w:ascii="Times New Roman" w:hAnsi="Times New Roman"/>
          <w:color w:val="000000" w:themeColor="text1"/>
          <w:sz w:val="16"/>
          <w:szCs w:val="16"/>
        </w:rPr>
        <w:softHyphen/>
        <w:t>ря 1942 г. начались государственные испытания И-185 эталона. Их проводил П.М.Стефановский. В отдельных полетах кратковременно достигалась скорость 708 км/ч, однако «держать площадку» не удавалось из-за ненадеж</w:t>
      </w:r>
      <w:r w:rsidRPr="00722885">
        <w:rPr>
          <w:rFonts w:ascii="Times New Roman" w:hAnsi="Times New Roman"/>
          <w:color w:val="000000" w:themeColor="text1"/>
          <w:sz w:val="16"/>
          <w:szCs w:val="16"/>
        </w:rPr>
        <w:softHyphen/>
        <w:t>ной работы мотора, кроме того, двигатель на высоте не добирал мощности из-за низкого качества свечей ВГ-12, невысотных магнето и неудовлетворительной работы карбюратора АК-71ВП. Но и реально достигнутые харак</w:t>
      </w:r>
      <w:r w:rsidRPr="00722885">
        <w:rPr>
          <w:rFonts w:ascii="Times New Roman" w:hAnsi="Times New Roman"/>
          <w:color w:val="000000" w:themeColor="text1"/>
          <w:sz w:val="16"/>
          <w:szCs w:val="16"/>
        </w:rPr>
        <w:softHyphen/>
        <w:t>теристики впечатляли: максимальная скорость 680 км/ч на высоте 6150 м, время набора высоты 5000 м - 4,7 мин (10667).</w:t>
      </w:r>
    </w:p>
    <w:p w14:paraId="14A0487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407FE4D" w14:textId="77777777" w:rsidR="0081456C" w:rsidRPr="00722885" w:rsidRDefault="0081456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 20 ноября 1942 г. по 27 января 1943 г. — «образ</w:t>
      </w:r>
      <w:r w:rsidRPr="00722885">
        <w:rPr>
          <w:rFonts w:ascii="Times New Roman" w:cs="Times New Roman"/>
          <w:color w:val="000000" w:themeColor="text1"/>
          <w:spacing w:val="0"/>
        </w:rPr>
        <w:softHyphen/>
        <w:t>цовый» И-185 с М-71 прошел в НИИ ВВС госиспытания. Именно здесь на нём получи</w:t>
      </w:r>
      <w:r w:rsidRPr="00722885">
        <w:rPr>
          <w:rFonts w:ascii="Times New Roman" w:cs="Times New Roman"/>
          <w:color w:val="000000" w:themeColor="text1"/>
          <w:spacing w:val="0"/>
        </w:rPr>
        <w:softHyphen/>
        <w:t>ли те известные скорости, фигурировавшие затем во всех публикациях, посвящённых этому самолёту: максимальная скорость у земли на номинале — 560, на форсаже — 600 км/ч, на 2-й границе высотности 6100 м — 680 км/ч.</w:t>
      </w:r>
    </w:p>
    <w:p w14:paraId="21B3B55A" w14:textId="77777777" w:rsidR="0081456C" w:rsidRPr="00722885" w:rsidRDefault="0081456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Испытания остались незавершёнными из-за аварии, происшедшей 27 января по при</w:t>
      </w:r>
      <w:r w:rsidRPr="00722885">
        <w:rPr>
          <w:rFonts w:ascii="Times New Roman" w:cs="Times New Roman"/>
          <w:color w:val="000000" w:themeColor="text1"/>
          <w:spacing w:val="0"/>
        </w:rPr>
        <w:softHyphen/>
        <w:t>чине разрушения в воздухе только что установленного нового мотора, но и этих цифр оказалось достаточно, чтобы вновь ставить вопрос о запуске И-185 в серийное произ</w:t>
      </w:r>
      <w:r w:rsidRPr="00722885">
        <w:rPr>
          <w:rFonts w:ascii="Times New Roman" w:cs="Times New Roman"/>
          <w:color w:val="000000" w:themeColor="text1"/>
          <w:spacing w:val="0"/>
        </w:rPr>
        <w:softHyphen/>
        <w:t>водство. Игнорировать эти результаты дальше было невозможно, и в НКАП начались разговоры о запуске И-185 в «малую серию» на восстановленном московском заводе № 81. Очевидно, Шахурин решил «не дразнить гусей» и в принципе выразил согласие на выпуск моторов М-71 малой серией (порядка 30 шт. в месяц) в опытном цехе заво</w:t>
      </w:r>
      <w:r w:rsidRPr="00722885">
        <w:rPr>
          <w:rFonts w:ascii="Times New Roman" w:cs="Times New Roman"/>
          <w:color w:val="000000" w:themeColor="text1"/>
          <w:spacing w:val="0"/>
        </w:rPr>
        <w:softHyphen/>
        <w:t>да № 19, сохраняя на потоке выпуск М-82. Завод № 81 был маломощным и все равно не смог бы поддерживать более высокий темп выпуска самолётов. К тому же И-185 имел цельнометаллическую конструкцию крыла, а алюминий в то время был в большом дефиците, что также не позволяло рассчитывать на большую серию.</w:t>
      </w:r>
    </w:p>
    <w:p w14:paraId="06410E52" w14:textId="77777777" w:rsidR="0081456C" w:rsidRPr="00722885" w:rsidRDefault="0081456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Конечно, теперь уже ясно, что это была своего рода «кость», брошенная сторонникам И-185, а также попытка обезопасить себя от возможных будущих упреков в бездейст</w:t>
      </w:r>
      <w:r w:rsidRPr="00722885">
        <w:rPr>
          <w:rFonts w:ascii="Times New Roman" w:cs="Times New Roman"/>
          <w:color w:val="000000" w:themeColor="text1"/>
          <w:spacing w:val="0"/>
        </w:rPr>
        <w:softHyphen/>
        <w:t>вии. Шахурин по-прежнему рассчитывал на работу ОКБ Лавочкина, которое в это вре</w:t>
      </w:r>
      <w:r w:rsidRPr="00722885">
        <w:rPr>
          <w:rFonts w:ascii="Times New Roman" w:cs="Times New Roman"/>
          <w:color w:val="000000" w:themeColor="text1"/>
          <w:spacing w:val="0"/>
        </w:rPr>
        <w:softHyphen/>
        <w:t>мя устанавливало на следующий опытный экземпляр Ла-5 теперь уже мотор М-82ФНВ — так он тогда назывался. И ждал не только потому, что не любил Н.Н. Поликарпова, а потому, что к этому времени по опыту 1942 г. и ему, и командующему ВВС А.А. Нови</w:t>
      </w:r>
      <w:r w:rsidRPr="00722885">
        <w:rPr>
          <w:rFonts w:ascii="Times New Roman" w:cs="Times New Roman"/>
          <w:color w:val="000000" w:themeColor="text1"/>
          <w:spacing w:val="0"/>
        </w:rPr>
        <w:softHyphen/>
        <w:t>кову уже стало ясно, что малые серии сколь угодно выдающихся образцов вооружения в условиях тотальной войны ничего изменить не смогут. В моменты решающих сраже</w:t>
      </w:r>
      <w:r w:rsidRPr="00722885">
        <w:rPr>
          <w:rFonts w:ascii="Times New Roman" w:cs="Times New Roman"/>
          <w:color w:val="000000" w:themeColor="text1"/>
          <w:spacing w:val="0"/>
        </w:rPr>
        <w:softHyphen/>
        <w:t>ний ежедневные потери самолётов любых типов были столь велики (до сотни и более самолётов всех типов), что полки теряли матчасть буквально за одну—две недели. При темпе выпуска 1-2 самолёта в день поддерживать боевой состав даже единичных пол</w:t>
      </w:r>
      <w:r w:rsidRPr="00722885">
        <w:rPr>
          <w:rFonts w:ascii="Times New Roman" w:cs="Times New Roman"/>
          <w:color w:val="000000" w:themeColor="text1"/>
          <w:spacing w:val="0"/>
        </w:rPr>
        <w:softHyphen/>
        <w:t>ков было бы просто невозможно. Победа же доставалась тому, кто дольше поддержи</w:t>
      </w:r>
      <w:r w:rsidRPr="00722885">
        <w:rPr>
          <w:rFonts w:ascii="Times New Roman" w:cs="Times New Roman"/>
          <w:color w:val="000000" w:themeColor="text1"/>
          <w:spacing w:val="0"/>
        </w:rPr>
        <w:softHyphen/>
        <w:t>вал боеспособность своих частей вводом свежей, пусть и менее совершенной техники. Темп подачи на фронт пополнений решал всё.</w:t>
      </w:r>
    </w:p>
    <w:p w14:paraId="08CF245A" w14:textId="77777777" w:rsidR="0081456C" w:rsidRPr="00722885" w:rsidRDefault="0081456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Впоследствии эту истину на деле «подтвердили» и немцы, в конце войны выпускавшие малой серией намного более скоростные и перспективные реактивные самолёты, одна</w:t>
      </w:r>
      <w:r w:rsidRPr="00722885">
        <w:rPr>
          <w:rFonts w:ascii="Times New Roman" w:cs="Times New Roman"/>
          <w:color w:val="000000" w:themeColor="text1"/>
          <w:spacing w:val="0"/>
        </w:rPr>
        <w:softHyphen/>
        <w:t>ко и они ничего не смогли противопоставить армадам обычных поршневых противников (15813).</w:t>
      </w:r>
    </w:p>
    <w:p w14:paraId="0DB24BE4" w14:textId="77777777" w:rsidR="0081456C" w:rsidRPr="00722885" w:rsidRDefault="0081456C" w:rsidP="00722885">
      <w:pPr>
        <w:pStyle w:val="27"/>
        <w:shd w:val="clear" w:color="auto" w:fill="auto"/>
        <w:spacing w:after="0" w:line="240" w:lineRule="auto"/>
        <w:ind w:firstLine="0"/>
        <w:rPr>
          <w:rFonts w:ascii="Times New Roman" w:cs="Times New Roman"/>
          <w:color w:val="000000" w:themeColor="text1"/>
          <w:spacing w:val="0"/>
        </w:rPr>
      </w:pPr>
    </w:p>
    <w:p w14:paraId="0C163057"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20 ноября 1942 г. Стефановский первый полет на "Эталон" №2 и был в восторге от новой машины,  Облетал ее также летчик-испытатель П.Я. Федрови.</w:t>
      </w:r>
    </w:p>
    <w:p w14:paraId="4A492A29"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Он достигал скоростей до 708 км/ч, но на таком режиме "площадку не держал" из-за дефектов карбюратора АК-71ВП и магнето, которое на границе высотности работало неустойчиво. Постоянные нарекания вызывали свечи ВГ-12 - на М-71 они вели себя еще хуже, чем на других самолетах. Стефановский сделал два полета на километраж, но на максимальную дальность пока не летали. Дальнейшие испытания прервало зимнее ненастье.</w:t>
      </w:r>
    </w:p>
    <w:p w14:paraId="73E33557"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 том, что было дальше, сам Стефановский пишет в книге "Триста неизвестных" так:</w:t>
      </w:r>
    </w:p>
    <w:p w14:paraId="6E8251A0"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"Непогодь отступила только 16 декабря. Самолет, сметая кучи снега, круто устремился в залитое солнцем небо. Высота 7500 метров. Гэризонтальная площадка на максимальной скорости. Показания непривычно велики! Такие же площадки на высотах 9500, 5500, 4000 метров. Сразу будем иметь всю кривую значения максимальных скоростей по высотам. Завидная удача!</w:t>
      </w:r>
    </w:p>
    <w:p w14:paraId="18824D41"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Радость как рукой сняло: раздался глухой удар. Что-то заскрежетало внутри мотора. Затрясся и остановился винт. Скорее на аэродром! Он находится немного в стороне.</w:t>
      </w:r>
    </w:p>
    <w:p w14:paraId="59DA8044"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Разворот, планирование, выпуск шасси и закрылков. Посадка на центр аэродрома. Навстречу мчится машина с испытательной бригадой. Осмотр и вывод: мотор заклинило, нужно ждать присылки нового".</w:t>
      </w:r>
    </w:p>
    <w:p w14:paraId="2E779FC0"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Причиной происшествия оказалась поломка валика шестеренчатого насоса MLU-5 двигателя М-71, который из-за отсутствия смазки полностью вышел из стоя. Нужен был новый мотор.</w:t>
      </w:r>
    </w:p>
    <w:p w14:paraId="3E384392"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"Ждали десять дней. 26 декабря состоялся пробный полет с новым мотором. На следующий день я поднялся на 6500 метров. Выполняю площадку для получения максимальных скоростей через каждую тысячу метров, Сколько их уже выполнил за свою долгую испытательскую работу!</w:t>
      </w:r>
    </w:p>
    <w:p w14:paraId="0F850212"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Высота 2000 метров. И снова удар! Все повторяется, как в предыдущем полете. На этот раз аэродром оказался несколько дальше, к тому же и высота была вдвое меньше. Она катастрофически теряется, а спасительный пятачок земли приближается томительно медленно.</w:t>
      </w:r>
    </w:p>
    <w:p w14:paraId="7CAD31B2"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Кажется, все-таки дотяну. Под крылом уже вершины елей. Шасси на выпуск. Но что это? Вдоль границы аэродрома полно бомбардировщиков дальней авиации. Они, рассредоточившись, заняли почти четвертую часть посадочной площадки.</w:t>
      </w:r>
    </w:p>
    <w:p w14:paraId="1B586C9B"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Нос моей машины направлен прямо в фюзеляж Б-25. Вижу, как от него разбегаются техники, мотористы.</w:t>
      </w:r>
    </w:p>
    <w:p w14:paraId="2A4B425D"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Ничего не остается, как уменьшить угол планирования, а следовательно, и потерять скорость. Без работающего мотора ее уже не восстановишь.</w:t>
      </w:r>
    </w:p>
    <w:p w14:paraId="243DAB46"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Проскакиваю мимо бомбардировщика, резко беру ручку на себя, чтобы за счет максимальной подъемной силы на большом угле атаки крыла компенсировать недостающую скорость. Но, увы, самолет резко проваливается. Большой ход амортизаторов несколько смягчает удар, однако силовые узлы конструкции не выдерживают и крылья самолета складываются над моей головой наподобие шалаша.</w:t>
      </w:r>
    </w:p>
    <w:p w14:paraId="6CE06CD3"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Вылез из самолета, снял парашют, с грустью смотрю на искалеченную стальную птицу. А ведь могло кончиться куда хуже. Значит, хороший самолет, надежный. Может стать верным товарищем в бою. Только вот мотор"...</w:t>
      </w:r>
    </w:p>
    <w:p w14:paraId="78BBD708" w14:textId="77777777" w:rsidR="00C86874" w:rsidRPr="00722885" w:rsidRDefault="00C8687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 этот раз причина отказа М-71 была новая - выпало седло клапана. Сколько еще может быть "узких мест" в этом моторе, который мучительно доводился вот уже третий год?! По программе испытаний "Эталон" №2 успел сделать 8 полетов общей продолжительностью 5 ч 13 мин и восстановлению не подлежал (17737).</w:t>
      </w:r>
    </w:p>
    <w:p w14:paraId="59353BD3" w14:textId="77777777" w:rsidR="00C86874" w:rsidRPr="00722885" w:rsidRDefault="00C86874" w:rsidP="00722885">
      <w:pPr>
        <w:pStyle w:val="12a"/>
        <w:shd w:val="clear" w:color="auto" w:fill="auto"/>
        <w:spacing w:after="0" w:line="240" w:lineRule="auto"/>
        <w:jc w:val="both"/>
        <w:rPr>
          <w:color w:val="000000" w:themeColor="text1"/>
          <w:sz w:val="16"/>
          <w:szCs w:val="16"/>
        </w:rPr>
      </w:pPr>
    </w:p>
    <w:p w14:paraId="6A44F97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 ноября 1942 И-220 передали на заводские испытания. Ответственными за их проведение назначили ведущего инженера А.Г.Брунова и летчика-испытателя А.И.Жукова (5669).</w:t>
      </w:r>
    </w:p>
    <w:p w14:paraId="73237F67" w14:textId="77777777" w:rsidR="00090C9B" w:rsidRPr="00722885" w:rsidRDefault="00090C9B" w:rsidP="00722885">
      <w:pPr>
        <w:pStyle w:val="Iauiue"/>
        <w:jc w:val="both"/>
        <w:rPr>
          <w:color w:val="000000" w:themeColor="text1"/>
          <w:sz w:val="16"/>
          <w:szCs w:val="16"/>
        </w:rPr>
      </w:pPr>
    </w:p>
    <w:p w14:paraId="33DB9A9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ноября 1942 первый опытный экземпляр И—220 передали на завод</w:t>
      </w:r>
      <w:r w:rsidRPr="00722885">
        <w:rPr>
          <w:rFonts w:ascii="Times New Roman" w:hAnsi="Times New Roman"/>
          <w:color w:val="000000" w:themeColor="text1"/>
          <w:sz w:val="16"/>
          <w:szCs w:val="16"/>
        </w:rPr>
        <w:softHyphen/>
        <w:t>ские испытания, которые проводили ведущий инже</w:t>
      </w:r>
      <w:r w:rsidRPr="00722885">
        <w:rPr>
          <w:rFonts w:ascii="Times New Roman" w:hAnsi="Times New Roman"/>
          <w:color w:val="000000" w:themeColor="text1"/>
          <w:sz w:val="16"/>
          <w:szCs w:val="16"/>
        </w:rPr>
        <w:softHyphen/>
        <w:t>нер А.Г.Брунов и летчик-испытатель А.И.Жуков. В первый полет И—220 зав. № 01 отправился с обыч</w:t>
      </w:r>
      <w:r w:rsidRPr="00722885">
        <w:rPr>
          <w:rFonts w:ascii="Times New Roman" w:hAnsi="Times New Roman"/>
          <w:color w:val="000000" w:themeColor="text1"/>
          <w:sz w:val="16"/>
          <w:szCs w:val="16"/>
        </w:rPr>
        <w:softHyphen/>
        <w:t>ным, нефорсированным мотором ввиду отсутствия АМ—38Ф. Двигатель АМ—38Ф установили на само</w:t>
      </w:r>
      <w:r w:rsidRPr="00722885">
        <w:rPr>
          <w:rFonts w:ascii="Times New Roman" w:hAnsi="Times New Roman"/>
          <w:color w:val="000000" w:themeColor="text1"/>
          <w:sz w:val="16"/>
          <w:szCs w:val="16"/>
        </w:rPr>
        <w:softHyphen/>
        <w:t>лет только 8 января 1943 г. Кроме того, на машине усилили центроплан и провели ряд других доработок. Возобновившиеся 7 февраля 1943 г. полеты в основ</w:t>
      </w:r>
      <w:r w:rsidRPr="00722885">
        <w:rPr>
          <w:rFonts w:ascii="Times New Roman" w:hAnsi="Times New Roman"/>
          <w:color w:val="000000" w:themeColor="text1"/>
          <w:sz w:val="16"/>
          <w:szCs w:val="16"/>
        </w:rPr>
        <w:softHyphen/>
        <w:t>ном имели целью отработку шасси, поначалу не же</w:t>
      </w:r>
      <w:r w:rsidRPr="00722885">
        <w:rPr>
          <w:rFonts w:ascii="Times New Roman" w:hAnsi="Times New Roman"/>
          <w:color w:val="000000" w:themeColor="text1"/>
          <w:sz w:val="16"/>
          <w:szCs w:val="16"/>
        </w:rPr>
        <w:softHyphen/>
        <w:t>лавшего убираться. В середине марта перешли к оп</w:t>
      </w:r>
      <w:r w:rsidRPr="00722885">
        <w:rPr>
          <w:rFonts w:ascii="Times New Roman" w:hAnsi="Times New Roman"/>
          <w:color w:val="000000" w:themeColor="text1"/>
          <w:sz w:val="16"/>
          <w:szCs w:val="16"/>
        </w:rPr>
        <w:softHyphen/>
        <w:t>ределению основных характеристик самолета. Даже с маловысотным мотором АМ—38Ф самолет обладал большой скоростью и скороподъемностью. Макси</w:t>
      </w:r>
      <w:r w:rsidRPr="00722885">
        <w:rPr>
          <w:rFonts w:ascii="Times New Roman" w:hAnsi="Times New Roman"/>
          <w:color w:val="000000" w:themeColor="text1"/>
          <w:sz w:val="16"/>
          <w:szCs w:val="16"/>
        </w:rPr>
        <w:softHyphen/>
        <w:t>мальная скорость на номинальном режиме составила 576 км/ч у земли и 624 км/ч на высоте 2650 м. Высо</w:t>
      </w:r>
      <w:r w:rsidRPr="00722885">
        <w:rPr>
          <w:rFonts w:ascii="Times New Roman" w:hAnsi="Times New Roman"/>
          <w:color w:val="000000" w:themeColor="text1"/>
          <w:sz w:val="16"/>
          <w:szCs w:val="16"/>
        </w:rPr>
        <w:softHyphen/>
        <w:t>ту 3000 м самолет набирал за 2,5 мин, а 5000 м — за 4,6 мин. На высоте до 4000—5000 м истребитель И—220 в начале 1943 г. мог легко потягаться с любой серийной неприятельской машиной (9984).</w:t>
      </w:r>
    </w:p>
    <w:p w14:paraId="0AC561C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145C6FE" w14:textId="77777777" w:rsidR="0081456C" w:rsidRPr="00722885" w:rsidRDefault="0081456C" w:rsidP="00722885">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722885">
        <w:rPr>
          <w:rFonts w:ascii="Times New Roman" w:cs="Times New Roman"/>
          <w:color w:val="000000" w:themeColor="text1"/>
          <w:spacing w:val="0"/>
          <w:sz w:val="16"/>
          <w:szCs w:val="16"/>
        </w:rPr>
        <w:t>20 ноября 1942, имея на руках положительное заключе</w:t>
      </w:r>
      <w:r w:rsidRPr="00722885">
        <w:rPr>
          <w:rFonts w:ascii="Times New Roman" w:cs="Times New Roman"/>
          <w:color w:val="000000" w:themeColor="text1"/>
          <w:spacing w:val="0"/>
          <w:sz w:val="16"/>
          <w:szCs w:val="16"/>
        </w:rPr>
        <w:softHyphen/>
        <w:t>ние комиссии, исполняющий обязанности директора ЦНИИ-48 военинженер 1-го ранга Н.П. Гречко обратился к генерал- лейтенанту А.К. Репину с предложением изго</w:t>
      </w:r>
      <w:r w:rsidRPr="00722885">
        <w:rPr>
          <w:rFonts w:ascii="Times New Roman" w:cs="Times New Roman"/>
          <w:color w:val="000000" w:themeColor="text1"/>
          <w:spacing w:val="0"/>
          <w:sz w:val="16"/>
          <w:szCs w:val="16"/>
        </w:rPr>
        <w:softHyphen/>
        <w:t>товить на заводе №125 НКАП опытную партию (100 комплектов) дополнительных деталей брони самолета Як-1 для проведения войско</w:t>
      </w:r>
      <w:r w:rsidRPr="00722885">
        <w:rPr>
          <w:rFonts w:ascii="Times New Roman" w:cs="Times New Roman"/>
          <w:color w:val="000000" w:themeColor="text1"/>
          <w:spacing w:val="0"/>
          <w:sz w:val="16"/>
          <w:szCs w:val="16"/>
        </w:rPr>
        <w:softHyphen/>
        <w:t>вых испытаний. Предполагалось, что испы</w:t>
      </w:r>
      <w:r w:rsidRPr="00722885">
        <w:rPr>
          <w:rFonts w:ascii="Times New Roman" w:cs="Times New Roman"/>
          <w:color w:val="000000" w:themeColor="text1"/>
          <w:spacing w:val="0"/>
          <w:sz w:val="16"/>
          <w:szCs w:val="16"/>
        </w:rPr>
        <w:softHyphen/>
        <w:t>тания позволят</w:t>
      </w:r>
      <w:r w:rsidRPr="00722885">
        <w:rPr>
          <w:rStyle w:val="aff6"/>
          <w:rFonts w:ascii="Times New Roman" w:eastAsia="Arial Narrow" w:hAnsi="Times New Roman" w:cs="Times New Roman"/>
          <w:i w:val="0"/>
          <w:color w:val="000000" w:themeColor="text1"/>
          <w:spacing w:val="0"/>
        </w:rPr>
        <w:t xml:space="preserve"> «разрешить вопрос о доста</w:t>
      </w:r>
      <w:r w:rsidRPr="00722885">
        <w:rPr>
          <w:rStyle w:val="aff6"/>
          <w:rFonts w:ascii="Times New Roman" w:eastAsia="Arial Narrow" w:hAnsi="Times New Roman" w:cs="Times New Roman"/>
          <w:i w:val="0"/>
          <w:color w:val="000000" w:themeColor="text1"/>
          <w:spacing w:val="0"/>
        </w:rPr>
        <w:softHyphen/>
        <w:t>точности бронирования»,</w:t>
      </w:r>
      <w:r w:rsidRPr="00722885">
        <w:rPr>
          <w:rFonts w:ascii="Times New Roman" w:cs="Times New Roman"/>
          <w:color w:val="000000" w:themeColor="text1"/>
          <w:spacing w:val="0"/>
          <w:sz w:val="16"/>
          <w:szCs w:val="16"/>
        </w:rPr>
        <w:t xml:space="preserve"> поскольку</w:t>
      </w:r>
      <w:r w:rsidRPr="00722885">
        <w:rPr>
          <w:rStyle w:val="aff6"/>
          <w:rFonts w:ascii="Times New Roman" w:eastAsia="Arial Narrow" w:hAnsi="Times New Roman" w:cs="Times New Roman"/>
          <w:i w:val="0"/>
          <w:color w:val="000000" w:themeColor="text1"/>
          <w:spacing w:val="0"/>
        </w:rPr>
        <w:t xml:space="preserve"> «вопрос с объемом бронирования на одноместных истребителях весьма сложен, так как необхо</w:t>
      </w:r>
      <w:r w:rsidRPr="00722885">
        <w:rPr>
          <w:rStyle w:val="aff6"/>
          <w:rFonts w:ascii="Times New Roman" w:eastAsia="Arial Narrow" w:hAnsi="Times New Roman" w:cs="Times New Roman"/>
          <w:i w:val="0"/>
          <w:color w:val="000000" w:themeColor="text1"/>
          <w:spacing w:val="0"/>
        </w:rPr>
        <w:softHyphen/>
        <w:t>димо при достаточно полном объеме защиты обеспечить одновременно хороший обзор и уложиться в минимальный вес».</w:t>
      </w:r>
    </w:p>
    <w:p w14:paraId="7CEFF016" w14:textId="77777777" w:rsidR="0081456C" w:rsidRPr="00722885" w:rsidRDefault="0081456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Несколько позже с предложенной допол</w:t>
      </w:r>
      <w:r w:rsidRPr="00722885">
        <w:rPr>
          <w:rFonts w:ascii="Times New Roman" w:cs="Times New Roman"/>
          <w:color w:val="000000" w:themeColor="text1"/>
          <w:spacing w:val="0"/>
          <w:sz w:val="16"/>
          <w:szCs w:val="16"/>
        </w:rPr>
        <w:softHyphen/>
        <w:t>нительной броней самолета Як-1 ознакомил</w:t>
      </w:r>
      <w:r w:rsidRPr="00722885">
        <w:rPr>
          <w:rFonts w:ascii="Times New Roman" w:cs="Times New Roman"/>
          <w:color w:val="000000" w:themeColor="text1"/>
          <w:spacing w:val="0"/>
          <w:sz w:val="16"/>
          <w:szCs w:val="16"/>
        </w:rPr>
        <w:softHyphen/>
        <w:t>ся летчик-испытатель НИИ ВВС подполковник К.А. Груздев. В докладной на имя генерала Ре</w:t>
      </w:r>
      <w:r w:rsidRPr="00722885">
        <w:rPr>
          <w:rFonts w:ascii="Times New Roman" w:cs="Times New Roman"/>
          <w:color w:val="000000" w:themeColor="text1"/>
          <w:spacing w:val="0"/>
          <w:sz w:val="16"/>
          <w:szCs w:val="16"/>
        </w:rPr>
        <w:softHyphen/>
        <w:t>пина от 30 ноября он указывал:</w:t>
      </w:r>
      <w:r w:rsidRPr="00722885">
        <w:rPr>
          <w:rStyle w:val="46"/>
          <w:rFonts w:ascii="Times New Roman" w:eastAsia="Trebuchet MS" w:cs="Times New Roman"/>
          <w:color w:val="000000" w:themeColor="text1"/>
          <w:spacing w:val="0"/>
          <w:sz w:val="16"/>
          <w:szCs w:val="16"/>
        </w:rPr>
        <w:t xml:space="preserve"> «На основании личного опыта воздушных боев на истребите</w:t>
      </w:r>
      <w:r w:rsidRPr="00722885">
        <w:rPr>
          <w:rStyle w:val="46"/>
          <w:rFonts w:ascii="Times New Roman" w:eastAsia="Trebuchet MS" w:cs="Times New Roman"/>
          <w:color w:val="000000" w:themeColor="text1"/>
          <w:spacing w:val="0"/>
          <w:sz w:val="16"/>
          <w:szCs w:val="16"/>
        </w:rPr>
        <w:softHyphen/>
        <w:t>лях, в том числе и на Як-1, с самолетами про</w:t>
      </w:r>
      <w:r w:rsidRPr="00722885">
        <w:rPr>
          <w:rStyle w:val="46"/>
          <w:rFonts w:ascii="Times New Roman" w:eastAsia="Trebuchet MS" w:cs="Times New Roman"/>
          <w:color w:val="000000" w:themeColor="text1"/>
          <w:spacing w:val="0"/>
          <w:sz w:val="16"/>
          <w:szCs w:val="16"/>
        </w:rPr>
        <w:softHyphen/>
        <w:t>тивника Ме-109, Ме-110, Ю-88, Ю-87, Хе-113, Хш-126идр., считаю бронезащиту рациональ</w:t>
      </w:r>
      <w:r w:rsidRPr="00722885">
        <w:rPr>
          <w:rStyle w:val="46"/>
          <w:rFonts w:ascii="Times New Roman" w:eastAsia="Trebuchet MS" w:cs="Times New Roman"/>
          <w:color w:val="000000" w:themeColor="text1"/>
          <w:spacing w:val="0"/>
          <w:sz w:val="16"/>
          <w:szCs w:val="16"/>
        </w:rPr>
        <w:softHyphen/>
        <w:t>ной, хорошо дополняющей объем существую</w:t>
      </w:r>
      <w:r w:rsidRPr="00722885">
        <w:rPr>
          <w:rStyle w:val="46"/>
          <w:rFonts w:ascii="Times New Roman" w:eastAsia="Trebuchet MS" w:cs="Times New Roman"/>
          <w:color w:val="000000" w:themeColor="text1"/>
          <w:spacing w:val="0"/>
          <w:sz w:val="16"/>
          <w:szCs w:val="16"/>
        </w:rPr>
        <w:softHyphen/>
        <w:t>щего бронирования на истребителях. Считаю необходимым немедленно внедрить в серий</w:t>
      </w:r>
      <w:r w:rsidRPr="00722885">
        <w:rPr>
          <w:rStyle w:val="46"/>
          <w:rFonts w:ascii="Times New Roman" w:eastAsia="Trebuchet MS" w:cs="Times New Roman"/>
          <w:color w:val="000000" w:themeColor="text1"/>
          <w:spacing w:val="0"/>
          <w:sz w:val="16"/>
          <w:szCs w:val="16"/>
        </w:rPr>
        <w:softHyphen/>
        <w:t>ное производство».</w:t>
      </w:r>
    </w:p>
    <w:p w14:paraId="1BDA78D3" w14:textId="77777777" w:rsidR="0081456C" w:rsidRPr="00722885" w:rsidRDefault="0081456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lastRenderedPageBreak/>
        <w:t>Однако вопрос о внедрении в серию до</w:t>
      </w:r>
      <w:r w:rsidRPr="00722885">
        <w:rPr>
          <w:rFonts w:ascii="Times New Roman" w:cs="Times New Roman"/>
          <w:color w:val="000000" w:themeColor="text1"/>
          <w:spacing w:val="0"/>
          <w:sz w:val="16"/>
          <w:szCs w:val="16"/>
        </w:rPr>
        <w:softHyphen/>
        <w:t>полнительной брони летчика на Як-1, как, впрочем, и усиленных схем бронирования на других серийных самолетах ВВС КА, не был решен Наркоматом авиапромышленности ни в 1942 г., ни в 1943 г. По этому поводу замести</w:t>
      </w:r>
      <w:r w:rsidRPr="00722885">
        <w:rPr>
          <w:rFonts w:ascii="Times New Roman" w:cs="Times New Roman"/>
          <w:color w:val="000000" w:themeColor="text1"/>
          <w:spacing w:val="0"/>
          <w:sz w:val="16"/>
          <w:szCs w:val="16"/>
        </w:rPr>
        <w:softHyphen/>
        <w:t>тель командующего ВВС КА генерал-полков</w:t>
      </w:r>
      <w:r w:rsidRPr="00722885">
        <w:rPr>
          <w:rFonts w:ascii="Times New Roman" w:cs="Times New Roman"/>
          <w:color w:val="000000" w:themeColor="text1"/>
          <w:spacing w:val="0"/>
          <w:sz w:val="16"/>
          <w:szCs w:val="16"/>
        </w:rPr>
        <w:softHyphen/>
        <w:t>ник А.К. Репин дважды обращался к наркому авиапромышленности А.И. Шахурину (15778).</w:t>
      </w:r>
    </w:p>
    <w:p w14:paraId="275A01CF" w14:textId="77777777" w:rsidR="0081456C" w:rsidRPr="00722885" w:rsidRDefault="0081456C" w:rsidP="00722885">
      <w:pPr>
        <w:pStyle w:val="45"/>
        <w:shd w:val="clear" w:color="auto" w:fill="auto"/>
        <w:spacing w:before="0" w:line="240" w:lineRule="auto"/>
        <w:jc w:val="both"/>
        <w:rPr>
          <w:rStyle w:val="4f0"/>
          <w:rFonts w:ascii="Times New Roman" w:hAnsi="Times New Roman" w:cs="Times New Roman"/>
          <w:i w:val="0"/>
          <w:color w:val="000000" w:themeColor="text1"/>
          <w:sz w:val="16"/>
          <w:szCs w:val="16"/>
        </w:rPr>
      </w:pPr>
    </w:p>
    <w:p w14:paraId="43041C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ноября 1942 вышло Постановление ГКО № 2529 Об обеспечении топливом ТЭЦ завода № 36 НКАП. РГАНИР, Фонд ГКО, д. 70, лл. 3 (11012).</w:t>
      </w:r>
    </w:p>
    <w:p w14:paraId="0FD1733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13E965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ноября 1942 г. вышло Постановление СНК СССР от за №1853-866с «Об экономии алюминия», которое обязывало:</w:t>
      </w:r>
    </w:p>
    <w:p w14:paraId="0919933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Наркомсредмаш совместно с ГАБТУ КА провести к 1 января 1943 г. испытания деталей мото</w:t>
      </w:r>
      <w:r w:rsidRPr="00722885">
        <w:rPr>
          <w:rFonts w:ascii="Times New Roman" w:hAnsi="Times New Roman"/>
          <w:color w:val="000000" w:themeColor="text1"/>
          <w:sz w:val="16"/>
          <w:szCs w:val="16"/>
        </w:rPr>
        <w:softHyphen/>
        <w:t>цикла М-72, изготовленных из черных металлов взамен алюминия, согласно приложению №2 к постановлению.</w:t>
      </w:r>
    </w:p>
    <w:p w14:paraId="3532881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Наркомтанкопром совместно с ГАБТУ провести к 1 февраля 1943 г. испытание деталей танков КВ и Т-34, изготовленных из черных металлов взамен алюминиевых сплавов, согласно приложению №4 к постановлению ЦАМО. Ф. 38. Оп. И 358. Д. 93а. Л. 27. Копия (11403).</w:t>
      </w:r>
    </w:p>
    <w:p w14:paraId="6E9AC62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2B06EB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593D393" w14:textId="77777777" w:rsidR="00090C9B" w:rsidRPr="00722885" w:rsidRDefault="00090C9B" w:rsidP="00722885">
      <w:pPr>
        <w:pStyle w:val="Iauiue"/>
        <w:jc w:val="both"/>
        <w:rPr>
          <w:iCs/>
          <w:color w:val="000000" w:themeColor="text1"/>
          <w:sz w:val="16"/>
          <w:szCs w:val="16"/>
        </w:rPr>
      </w:pPr>
    </w:p>
    <w:p w14:paraId="13285C43"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20 ноября</w:t>
      </w:r>
      <w:r w:rsidRPr="00722885">
        <w:rPr>
          <w:rFonts w:ascii="Times New Roman" w:hAnsi="Times New Roman"/>
          <w:color w:val="000000" w:themeColor="text1"/>
          <w:sz w:val="16"/>
          <w:szCs w:val="16"/>
        </w:rPr>
        <w:t xml:space="preserve"> в 1942 году утреннее сообщение Совинформбюро:</w:t>
      </w:r>
    </w:p>
    <w:p w14:paraId="0E68301D"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20 ноября на фронтах существенных изменений не произошло.</w:t>
      </w:r>
    </w:p>
    <w:p w14:paraId="4E0A7DBC"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 одном участке пехота и танки противника прорвались в стыке двух наших частей. Бойцы под командованием младшего лейтенанта Калинина вступили в бой с врагом и в ожесточённой схватке уничтожили 170 гитлеровцев и 5 немецких танков. Положение на этом участке было восстановлено. Миномётчики под командованием лейтенанта Бездидько за несколько дней уничтожили 4 немецкие миномётные батареи, 2 орудия, 7 автомашин, радиостанцию и до двух рот пехоты противника.</w:t>
      </w:r>
    </w:p>
    <w:p w14:paraId="03866DCB"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артиллеристы Н-ской части произвели огневой налёт на автоколонну с войсками противника, приближавшуюся к линии фронта. Уничтожено 7 автомашин и несколько десятков гитлеровцев. Разведывательный отряд Н-ской части ночью пробрался в тыл противника и напал на румынский батальон, расположившийся в одном населённом пункте. При первых выстрелах среди румын началась паника, воспользовавшись которой наши разведчики истребили до 100 солдат и офицеров противника.</w:t>
      </w:r>
    </w:p>
    <w:p w14:paraId="572EA5B7"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обороняли занимаемые рубежи и вели бои с мелкими группами противника. Подразделение Н-ской части во главе с сержантом Михеевым совершило налёт на боевое охранение немцев. Истребив в рукопашной схватке до 60 гитлеровцев, наши бойцы захватили пулемёт, несколько винтовок и без потерь вернулись в свою часть.</w:t>
      </w:r>
    </w:p>
    <w:p w14:paraId="33983453"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Волховского фронта завершена важная разведывательнаяоперация. Как уже сообщалось, наша часть несколько дней тому назад атаковала противника и выбила немцев из одного населённого пункта. Гитлеровцы вынужденыбыли ввести в действие крупные силы. Успешно отражая контратаки врага, наши бойцы за три дня уничтожили до 5 тысяч солдат и офицеров противника. В этих бояхуничтожено 11 орудий, 3 миномёта, взорван склад боеприпасов, подавлен огонь 19 артиллерийских и 7 миномётных батарей противника. После того, как основные задачи разведки были выполнены, наша часть по приказу командования отошла на прежние позиции.</w:t>
      </w:r>
    </w:p>
    <w:p w14:paraId="711C1BA2"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на территории Смоленской области, пустил под откос три железнодорожных эшелона противника. Разбито 3 паровоза, 23 вагона, 8 платформ и 2 цистерны с горючим. Из засад партизаны истребили 80 немецких солдат и офицеров.</w:t>
      </w:r>
    </w:p>
    <w:p w14:paraId="5E5CFAA1"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Судже, Курской области, гитлеровцы повесили пять женщин, бежавших с принудительных работ. В городе Дмитровске немецко-фашистские мерзавцы расстреляли восемь детей школьного возраста «за непочтительные высказывания о германской армии». 13-летнего Ильина немцы расстреляли за то, что он не снял шапку, встретившись на улице с немецким офицером.</w:t>
      </w:r>
    </w:p>
    <w:p w14:paraId="3007D82B"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военном заводе в Дрездене (Германия) произошли волнения среди итальянских рабочих. Выведенные из терпения издевательским к ним отношением, итальянцы потребовали расчёта и отправки их на родину. После того, как администрация отказалась выполнить эти требования, итальянцы прекратили работу. Прибывшие на завод эсэсовцы расстреляли 5 итальянских рабочих.» (14836).</w:t>
      </w:r>
    </w:p>
    <w:p w14:paraId="37FCAFC1"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73EF598D"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20 ноября</w:t>
      </w:r>
      <w:r w:rsidRPr="00722885">
        <w:rPr>
          <w:rFonts w:ascii="Times New Roman" w:hAnsi="Times New Roman"/>
          <w:color w:val="000000" w:themeColor="text1"/>
          <w:sz w:val="16"/>
          <w:szCs w:val="16"/>
        </w:rPr>
        <w:t xml:space="preserve"> в 1942 году вечернее сообщение Совинформбюро:</w:t>
      </w:r>
    </w:p>
    <w:p w14:paraId="404B5947"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20 ноября наши войска вели бои с противником в районе Сталинграда, юго-восточнее Нальчика и северо-восточнее Туапсе.</w:t>
      </w:r>
    </w:p>
    <w:p w14:paraId="25ACD7BB"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отбивали атаки противника и укрепляли занимаемые позиции. Южнее города советское подразделение захватило безымянную высоту и закрепилось на ней. В ходе этих боёв уничтожено до 400 немецких солдати офицеров, 30 пулемётов, 10 миномётов и 24 автомашины противника.</w:t>
      </w:r>
    </w:p>
    <w:p w14:paraId="72DCD9BA"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 одном из участков Н-ская гвардейская часть отбила четыре контратаки противника. В результате боя немцы оставили 9 подбитых и 2сожжённых танка. На другом участке разгромлен штаб румынского батальона и уничтожено до 200 гитлеровцев. Нашими бойцами захвачено 9 миномётов, из них один шестиствольный, 2 орудия, 17 пулемётов, до 1.000 снарядов и мин, 700 тысяч винтовочных патронов, 50 километров телефонного кабеля и другое военное имущество.</w:t>
      </w:r>
    </w:p>
    <w:p w14:paraId="1D99A8A3"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войска отбивали атаки небольших групп противникаи укрепляли свои позиции. В одном населённом пункте, занятом нашим подразделением, захвачены 10 автомашин, 3 мотоцикла, склад боеприпасов, вещевойсклад и радиостанция. В бою за этот населённый пункт уничтожено до 100гитлеровцев. Группа разведчиков под командованием старшего лейтенанта Окунева пробралась в тыл противника и устроила засаду на одной из горных дорог. По этойдороге проходил взвод немецких солдат. Наши бойцы подпустили гитлеровцев на несколько шагов и уничтожили их. Разведчики без потерь вернулись в своючасть.</w:t>
      </w:r>
    </w:p>
    <w:p w14:paraId="2AE736A1"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происходила артиллерийская и ружейно-пулемётная перестрелка. Огнём всех видов оружия уничтожено 620 немецких солдат и офицеров. На одном участке огневым налётом нашей артиллерии рассеяно до двух батальонов немецкой пехоты. На другом участке группа наших разведчиков ворвалась в расположение противника, подорвала гранатами 5 немецких блиндажей и уничтожила 40 гитлеровцев. Разведчики захватили 2 ручных пулемёта, 5 автоматов и 2.500 патронов.</w:t>
      </w:r>
    </w:p>
    <w:p w14:paraId="032787EC"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за три дня наши снайперы истребили до 800 гитлеровцев. Артиллерийским огнём разрушено. 12 дзотов, уничтожено 4 станковых пулемёта и 2 орудия противника.</w:t>
      </w:r>
    </w:p>
    <w:p w14:paraId="1E961C83"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Партизанские отряды, действующие в захваченных немцами советских районах, наносят удары по коммуникациям противника. С 13 по 17 ноября партизаны пустили под откос 66 железнодорожных эшелонов немецко-фашистских оккупантов. По неполным данным, разбито 2 бронепоезда, 16 паровозов, 200 вагонов и платформ с различными военными грузами. За это же время партизаны взорвали 10 мостов. B результате крушений поездов и в боях с гитлеровцами партизаны истребили много немецких захватчиков.</w:t>
      </w:r>
    </w:p>
    <w:p w14:paraId="7FD094C5"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13 немецкого артиллерийского полка А.Нагель рассказал: «В районе расположения нашей дивизии немецкие военные власти отобрали у населения весь скот и урожай. Жителей насильно заставляют работать на строительстве военных укреплений. За невыполнение норм их наказывают розгами или сажают на 20 часов в холодную воду. Это равносильно убийству, так как люди, подвергшиеся такому наказанию, умирают» (14836).</w:t>
      </w:r>
    </w:p>
    <w:p w14:paraId="7FE84FD6"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0E4BB1C4"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20 ноября</w:t>
      </w:r>
      <w:r w:rsidRPr="00722885">
        <w:rPr>
          <w:rFonts w:ascii="Times New Roman" w:hAnsi="Times New Roman"/>
          <w:color w:val="000000" w:themeColor="text1"/>
          <w:sz w:val="16"/>
          <w:szCs w:val="16"/>
        </w:rPr>
        <w:t xml:space="preserve"> в 1942 году началось контрнаступление советских войск под Сталинградом. Проводилось силами Юго-Западного (генерал-лейтенант Н.Ф.Ватутин), Донского (генерал-полковник К. К. Рокоссовский) и Сталинградского фронтов (генерал-полковник А.И.Еременко), Волжской военной флотилии (контр-адмирал С.М.Воробьев). Войска Сталинградского фронта (генерал-полковник А.И.Еременко) перешли в наступление из района Сарпинских озер, прорвали оборону противника и обеспечили ввод в прорыв 13-го танкового, 4-го механизированного и 4-го кавалерийского корпусов (14836).</w:t>
      </w:r>
    </w:p>
    <w:p w14:paraId="08EF6AC6"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63DFD4BE"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20 ноября</w:t>
      </w:r>
      <w:r w:rsidRPr="00722885">
        <w:rPr>
          <w:rFonts w:ascii="Times New Roman" w:hAnsi="Times New Roman"/>
          <w:color w:val="000000" w:themeColor="text1"/>
          <w:sz w:val="16"/>
          <w:szCs w:val="16"/>
        </w:rPr>
        <w:t xml:space="preserve"> в 1942 году 26-й танковый корпус овладел районом Перелазовский, разгромив штаб 5-го румынского армейского корпуса. Противник потерял 8 танков и 15 орудий (14836).</w:t>
      </w:r>
    </w:p>
    <w:p w14:paraId="1CF15A50"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72226801"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20 ноября 1942 вышло Постановление ГКО № 2528 Об укомплектовании формируемых на территории СССР чехословацких частей карпаторуссами, украинцами и словаками, состоявшими до расчленения Чехословакии в чехословацком гражданстве. (7064, 1-2).</w:t>
      </w:r>
    </w:p>
    <w:p w14:paraId="2CFCF05E" w14:textId="77777777" w:rsidR="00090C9B" w:rsidRPr="00722885" w:rsidRDefault="00090C9B" w:rsidP="00722885">
      <w:pPr>
        <w:pStyle w:val="Iauiue"/>
        <w:tabs>
          <w:tab w:val="left" w:pos="11199"/>
        </w:tabs>
        <w:jc w:val="both"/>
        <w:rPr>
          <w:color w:val="000000" w:themeColor="text1"/>
          <w:sz w:val="16"/>
          <w:szCs w:val="16"/>
        </w:rPr>
      </w:pPr>
    </w:p>
    <w:p w14:paraId="7E9DFF51" w14:textId="77777777" w:rsidR="00C92AEA"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0E58B6F9" w14:textId="77777777" w:rsidR="00C92AEA" w:rsidRPr="00722885" w:rsidRDefault="00C92AEA" w:rsidP="00722885">
      <w:pPr>
        <w:pStyle w:val="Iauiue"/>
        <w:jc w:val="both"/>
        <w:rPr>
          <w:iCs/>
          <w:color w:val="000000" w:themeColor="text1"/>
          <w:sz w:val="16"/>
          <w:szCs w:val="16"/>
        </w:rPr>
      </w:pPr>
    </w:p>
    <w:p w14:paraId="7C701B56"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20 ноября</w:t>
      </w:r>
      <w:r w:rsidRPr="00722885">
        <w:rPr>
          <w:rFonts w:ascii="Times New Roman" w:hAnsi="Times New Roman"/>
          <w:color w:val="000000" w:themeColor="text1"/>
          <w:sz w:val="16"/>
          <w:szCs w:val="16"/>
        </w:rPr>
        <w:t xml:space="preserve"> в 1942 году опубликованы сообщения: за время войны высшие учебные заведения СССР выпустили 170 тысяч специалистов во всех областях науки и техники; к ноябрю 1942 в Академию Наук СССР входило 76 институтов, в которых работало 118 академиков, 182 члена-корреспондента, 4700 научно-технических сотрудников (14836).</w:t>
      </w:r>
    </w:p>
    <w:p w14:paraId="73D5AAE0"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67093E4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Внешняя политика:</w:t>
      </w:r>
    </w:p>
    <w:p w14:paraId="68A7CB3D" w14:textId="77777777" w:rsidR="00090C9B" w:rsidRPr="00722885" w:rsidRDefault="00090C9B" w:rsidP="00722885">
      <w:pPr>
        <w:pStyle w:val="Iauiue"/>
        <w:jc w:val="both"/>
        <w:rPr>
          <w:iCs/>
          <w:color w:val="000000" w:themeColor="text1"/>
          <w:sz w:val="16"/>
          <w:szCs w:val="16"/>
        </w:rPr>
      </w:pPr>
    </w:p>
    <w:p w14:paraId="082CD70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 ноября 1942 года было отправлено:</w:t>
      </w:r>
    </w:p>
    <w:p w14:paraId="3B40ED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ЛИЧНОЕ И СЕКРЕТНОЕ ПОСЛАНИЕ</w:t>
      </w:r>
    </w:p>
    <w:p w14:paraId="44EF79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ПРЕМЬЕРА СТАЛИНА ПРЕЗИДЕНТУ г. РУЗВЕЛЬТУ</w:t>
      </w:r>
    </w:p>
    <w:p w14:paraId="3225A2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Начались наступательные операции в районе Сталинграда, в южном и северо-западном секторах. Первый этап наступательных операций имеет целью захват железнодорожной линии Сталинград — Лихая и расстройство коммуникаций Сталинградской группы немецких войск. В северо-западном секторе фронт немецких войск прорван на протяжении 22 километров, в южном секторе — на протяжении 12 километров. Операция идет неплохо (7430).</w:t>
      </w:r>
    </w:p>
    <w:p w14:paraId="68E988BD" w14:textId="77777777" w:rsidR="00090C9B" w:rsidRPr="00722885" w:rsidRDefault="00090C9B" w:rsidP="00722885">
      <w:pPr>
        <w:pStyle w:val="Iauiue"/>
        <w:jc w:val="both"/>
        <w:rPr>
          <w:color w:val="000000" w:themeColor="text1"/>
          <w:sz w:val="16"/>
          <w:szCs w:val="16"/>
        </w:rPr>
      </w:pPr>
    </w:p>
    <w:p w14:paraId="622F9E8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 ноября 1942 года было отправлено:</w:t>
      </w:r>
    </w:p>
    <w:p w14:paraId="57E1F2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ЛИЧНОЕ И СЕКРЕТНОЕ ПОСЛАНИЕ ПРЕМЬЕРА СТАЛИНА ПРЕМЬЕР-МИНИСТРУ г. ЧЕРЧИЛЛЮ</w:t>
      </w:r>
    </w:p>
    <w:p w14:paraId="122E12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Начались наступательные операции в районе Сталинграда, в южном и северо-западном секторах. Первый этап наступательных операций имеет целью захват железнодорожной линии Сталинград — Лихая и расстройство коммуникаций сталинградской группы немецких войск. В северо-западном секторе фронт немецких войск прорван на протяжении 22 километров, в южном секторе — на протяжении 12 километров. Операция идет неплохо (7430).</w:t>
      </w:r>
    </w:p>
    <w:p w14:paraId="0C911D46" w14:textId="77777777" w:rsidR="00090C9B" w:rsidRPr="00722885" w:rsidRDefault="00090C9B" w:rsidP="00722885">
      <w:pPr>
        <w:pStyle w:val="Iauiue"/>
        <w:jc w:val="both"/>
        <w:rPr>
          <w:color w:val="000000" w:themeColor="text1"/>
          <w:sz w:val="16"/>
          <w:szCs w:val="16"/>
        </w:rPr>
      </w:pPr>
    </w:p>
    <w:p w14:paraId="397C0263" w14:textId="7732CA2A" w:rsidR="00546E6F" w:rsidRPr="00722885" w:rsidRDefault="00546E6F" w:rsidP="00722885">
      <w:pPr>
        <w:pStyle w:val="Iauiue"/>
        <w:jc w:val="both"/>
        <w:rPr>
          <w:i/>
          <w:iCs/>
          <w:color w:val="000000" w:themeColor="text1"/>
          <w:sz w:val="16"/>
          <w:szCs w:val="16"/>
        </w:rPr>
      </w:pPr>
      <w:r w:rsidRPr="00722885">
        <w:rPr>
          <w:i/>
          <w:iCs/>
          <w:color w:val="000000" w:themeColor="text1"/>
          <w:sz w:val="16"/>
          <w:szCs w:val="16"/>
        </w:rPr>
        <w:t>За рубежом:</w:t>
      </w:r>
    </w:p>
    <w:p w14:paraId="3F64C5FD" w14:textId="77777777" w:rsidR="00546E6F" w:rsidRPr="00722885" w:rsidRDefault="00546E6F" w:rsidP="00722885">
      <w:pPr>
        <w:pStyle w:val="Iauiue"/>
        <w:jc w:val="both"/>
        <w:rPr>
          <w:i/>
          <w:iCs/>
          <w:color w:val="000000" w:themeColor="text1"/>
          <w:sz w:val="16"/>
          <w:szCs w:val="16"/>
        </w:rPr>
      </w:pPr>
    </w:p>
    <w:p w14:paraId="7282B806"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 ноября 1942 завершается строительства шоссе Аляска («Алкан»), позволяя открыть Северо-западный промежуточный маршрут. Он включает в себя полеты самолетов американского производства по ленд-лизу из Грейт-Фоллс, штат Монтана, в Фэрбенкс, территория Аляски , где они передаются советским пилотам, которые летят на них в Ном , Аляска, а затем в Сибирь через Аляску-Сибирь по маршруту (АЛСИБ ). К 31 декабря Соединенные Штаты поставят в Советский Союз 148 самолетов по этому маршруту.</w:t>
      </w:r>
    </w:p>
    <w:p w14:paraId="1BDAA74E" w14:textId="77777777" w:rsidR="00546E6F" w:rsidRPr="00722885" w:rsidRDefault="00546E6F" w:rsidP="00722885">
      <w:pPr>
        <w:spacing w:after="0" w:line="240" w:lineRule="auto"/>
        <w:jc w:val="both"/>
        <w:rPr>
          <w:rFonts w:ascii="Times New Roman" w:hAnsi="Times New Roman"/>
          <w:color w:val="0070C0"/>
          <w:sz w:val="16"/>
          <w:szCs w:val="16"/>
        </w:rPr>
      </w:pPr>
    </w:p>
    <w:p w14:paraId="361CC6A5" w14:textId="657472CB"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8FD74F9" w14:textId="77777777" w:rsidR="00090C9B" w:rsidRPr="00722885" w:rsidRDefault="00090C9B" w:rsidP="00722885">
      <w:pPr>
        <w:pStyle w:val="Iauiue"/>
        <w:jc w:val="both"/>
        <w:rPr>
          <w:iCs/>
          <w:color w:val="000000" w:themeColor="text1"/>
          <w:sz w:val="16"/>
          <w:szCs w:val="16"/>
        </w:rPr>
      </w:pPr>
    </w:p>
    <w:p w14:paraId="7E7D1D70" w14:textId="77777777" w:rsidR="00B67A0E" w:rsidRPr="00722885" w:rsidRDefault="00B67A0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21 ноября 1942 после «разбора полетов» на уровне командо</w:t>
      </w:r>
      <w:r w:rsidRPr="00722885">
        <w:rPr>
          <w:color w:val="000000" w:themeColor="text1"/>
          <w:sz w:val="16"/>
          <w:szCs w:val="16"/>
        </w:rPr>
        <w:softHyphen/>
        <w:t>вания полков, запасной бригады, руководства во</w:t>
      </w:r>
      <w:r w:rsidRPr="00722885">
        <w:rPr>
          <w:color w:val="000000" w:themeColor="text1"/>
          <w:sz w:val="16"/>
          <w:szCs w:val="16"/>
        </w:rPr>
        <w:softHyphen/>
        <w:t>енного представительства на заводе № 18 и УЗСиМ ГУЗ ВВС за пушки, наконец, основательно взялись и привели в надлежащий вид. Однако «от сильного ржавения на многих деталях пушек остались неустранимые следы ржавчины и рако</w:t>
      </w:r>
      <w:r w:rsidRPr="00722885">
        <w:rPr>
          <w:color w:val="000000" w:themeColor="text1"/>
          <w:sz w:val="16"/>
          <w:szCs w:val="16"/>
        </w:rPr>
        <w:softHyphen/>
        <w:t>вины».</w:t>
      </w:r>
    </w:p>
    <w:p w14:paraId="20DF5F9B" w14:textId="77777777" w:rsidR="00B67A0E" w:rsidRPr="00722885" w:rsidRDefault="00B67A0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 фактическом состоянии пушек Ш-37 и самоле</w:t>
      </w:r>
      <w:r w:rsidRPr="00722885">
        <w:rPr>
          <w:color w:val="000000" w:themeColor="text1"/>
          <w:sz w:val="16"/>
          <w:szCs w:val="16"/>
        </w:rPr>
        <w:softHyphen/>
        <w:t>тов Ил-2 противотанковой серии Тишевский 23 но</w:t>
      </w:r>
      <w:r w:rsidRPr="00722885">
        <w:rPr>
          <w:color w:val="000000" w:themeColor="text1"/>
          <w:sz w:val="16"/>
          <w:szCs w:val="16"/>
        </w:rPr>
        <w:softHyphen/>
        <w:t>ября письменно доложил инженер-подполковнику Кувеневу, а тот в УЗСиМ ГУЗ ВВС.</w:t>
      </w:r>
    </w:p>
    <w:p w14:paraId="346371FC" w14:textId="77777777" w:rsidR="00B67A0E" w:rsidRPr="00722885" w:rsidRDefault="00B67A0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Здесь необходимо сказать, что старший тех</w:t>
      </w:r>
      <w:r w:rsidRPr="00722885">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722885">
        <w:rPr>
          <w:color w:val="000000" w:themeColor="text1"/>
          <w:sz w:val="16"/>
          <w:szCs w:val="16"/>
        </w:rPr>
        <w:softHyphen/>
        <w:t>мощи летно-техническому составу полка в осво</w:t>
      </w:r>
      <w:r w:rsidRPr="00722885">
        <w:rPr>
          <w:color w:val="000000" w:themeColor="text1"/>
          <w:sz w:val="16"/>
          <w:szCs w:val="16"/>
        </w:rPr>
        <w:softHyphen/>
        <w:t>ении и эксплуатации пушек. Позже, когда в полк приехала комиссия НИИ ВВС для проведения вой</w:t>
      </w:r>
      <w:r w:rsidRPr="00722885">
        <w:rPr>
          <w:color w:val="000000" w:themeColor="text1"/>
          <w:sz w:val="16"/>
          <w:szCs w:val="16"/>
        </w:rPr>
        <w:softHyphen/>
        <w:t>сковых испытаний самолетов Ил-2 с пушками Ш-37, Тишевский принял деятельное участие и в их про</w:t>
      </w:r>
      <w:r w:rsidRPr="00722885">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66189E9F" w14:textId="77777777" w:rsidR="00B67A0E" w:rsidRPr="00722885" w:rsidRDefault="00B67A0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Поскольку ни инженер 617-го шап, ни специ</w:t>
      </w:r>
      <w:r w:rsidRPr="00722885">
        <w:rPr>
          <w:color w:val="000000" w:themeColor="text1"/>
          <w:sz w:val="16"/>
          <w:szCs w:val="16"/>
        </w:rPr>
        <w:softHyphen/>
        <w:t>алисты полка по вооружению пушку Ш-37 не зна</w:t>
      </w:r>
      <w:r w:rsidRPr="00722885">
        <w:rPr>
          <w:color w:val="000000" w:themeColor="text1"/>
          <w:sz w:val="16"/>
          <w:szCs w:val="16"/>
        </w:rPr>
        <w:softHyphen/>
        <w:t>ли, то Тишевский «занялся обучением техниче</w:t>
      </w:r>
      <w:r w:rsidRPr="00722885">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722885">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722885">
        <w:rPr>
          <w:color w:val="000000" w:themeColor="text1"/>
          <w:sz w:val="16"/>
          <w:szCs w:val="16"/>
        </w:rPr>
        <w:softHyphen/>
        <w:t>ко отдельные люди». Прибывшая «от конструкто</w:t>
      </w:r>
      <w:r w:rsidRPr="00722885">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722885">
        <w:rPr>
          <w:color w:val="000000" w:themeColor="text1"/>
          <w:sz w:val="16"/>
          <w:szCs w:val="16"/>
        </w:rPr>
        <w:softHyphen/>
        <w:t>тинов, 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598A1DF1" w14:textId="77777777" w:rsidR="00B67A0E" w:rsidRPr="00722885" w:rsidRDefault="00B67A0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это оказалось не самым главным. К это</w:t>
      </w:r>
      <w:r w:rsidRPr="00722885">
        <w:rPr>
          <w:color w:val="000000" w:themeColor="text1"/>
          <w:sz w:val="16"/>
          <w:szCs w:val="16"/>
        </w:rPr>
        <w:softHyphen/>
        <w:t>му времени выяснилось, что «в 617-м шап летный состав с «илами» мало знаком, летчики все моло</w:t>
      </w:r>
      <w:r w:rsidRPr="00722885">
        <w:rPr>
          <w:color w:val="000000" w:themeColor="text1"/>
          <w:sz w:val="16"/>
          <w:szCs w:val="16"/>
        </w:rPr>
        <w:softHyphen/>
        <w:t>дые, только выпущенные из школ, /.../ переучива</w:t>
      </w:r>
      <w:r w:rsidRPr="00722885">
        <w:rPr>
          <w:color w:val="000000" w:themeColor="text1"/>
          <w:sz w:val="16"/>
          <w:szCs w:val="16"/>
        </w:rPr>
        <w:softHyphen/>
        <w:t>ние только началось, еще не был проработан пер</w:t>
      </w:r>
      <w:r w:rsidRPr="00722885">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722885">
        <w:rPr>
          <w:color w:val="000000" w:themeColor="text1"/>
          <w:sz w:val="16"/>
          <w:szCs w:val="16"/>
        </w:rPr>
        <w:softHyphen/>
        <w:t>ние полка 10 опытных летчиков командир 1-го заб полковник А. И. Подольский оставил без вни</w:t>
      </w:r>
      <w:r w:rsidRPr="00722885">
        <w:rPr>
          <w:color w:val="000000" w:themeColor="text1"/>
          <w:sz w:val="16"/>
          <w:szCs w:val="16"/>
        </w:rPr>
        <w:softHyphen/>
        <w:t>мания.</w:t>
      </w:r>
    </w:p>
    <w:p w14:paraId="22AB7AC6" w14:textId="77777777" w:rsidR="00B67A0E" w:rsidRPr="00722885" w:rsidRDefault="00B67A0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сложившейся ситуации старший техник-лей</w:t>
      </w:r>
      <w:r w:rsidRPr="00722885">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722885">
        <w:rPr>
          <w:color w:val="000000" w:themeColor="text1"/>
          <w:sz w:val="16"/>
          <w:szCs w:val="16"/>
        </w:rPr>
        <w:softHyphen/>
        <w:t>рованную телеграмму лично начальнику УЗСиМ ГУЗ ВВС инженер-полковнику Алексееву, в которой из</w:t>
      </w:r>
      <w:r w:rsidRPr="00722885">
        <w:rPr>
          <w:color w:val="000000" w:themeColor="text1"/>
          <w:sz w:val="16"/>
          <w:szCs w:val="16"/>
        </w:rPr>
        <w:softHyphen/>
        <w:t>ложил свое мнение и дал оценку состояния пушек и самолетов Ил-2.</w:t>
      </w:r>
    </w:p>
    <w:p w14:paraId="2791B7B4" w14:textId="77777777" w:rsidR="00B67A0E" w:rsidRPr="00722885" w:rsidRDefault="00B67A0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1C412998" w14:textId="77777777" w:rsidR="00B67A0E" w:rsidRPr="00722885" w:rsidRDefault="00B67A0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722885">
        <w:rPr>
          <w:color w:val="000000" w:themeColor="text1"/>
          <w:sz w:val="16"/>
          <w:szCs w:val="16"/>
        </w:rPr>
        <w:softHyphen/>
        <w:t>ные не было патронов») (17500).</w:t>
      </w:r>
    </w:p>
    <w:p w14:paraId="0AE55E59" w14:textId="77777777" w:rsidR="00B67A0E" w:rsidRPr="00722885" w:rsidRDefault="00B67A0E" w:rsidP="00722885">
      <w:pPr>
        <w:spacing w:after="0" w:line="240" w:lineRule="auto"/>
        <w:jc w:val="both"/>
        <w:rPr>
          <w:rFonts w:ascii="Times New Roman" w:eastAsia="Times New Roman" w:hAnsi="Times New Roman"/>
          <w:color w:val="000000" w:themeColor="text1"/>
          <w:sz w:val="16"/>
          <w:szCs w:val="16"/>
          <w:lang w:eastAsia="ru-RU"/>
        </w:rPr>
      </w:pPr>
    </w:p>
    <w:p w14:paraId="1C6143A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ноября 1942 в НИИ ВВС был предъявлен облегченный Ла-5 №39210101 с полетным весом 3200 кг, что на 160 кг было меньше серийно</w:t>
      </w:r>
      <w:r w:rsidRPr="00722885">
        <w:rPr>
          <w:rFonts w:ascii="Times New Roman" w:hAnsi="Times New Roman"/>
          <w:color w:val="000000" w:themeColor="text1"/>
          <w:sz w:val="16"/>
          <w:szCs w:val="16"/>
        </w:rPr>
        <w:softHyphen/>
        <w:t>го. На самолете были произведены значительные переделки: поставлен новый фонарь с бронестеклами и с задним обзором, введена трехбачная бензосистема вместо пятибачной, одна пушка ШВАК заменена пулеметом УБС (в серии такой вариант воору</w:t>
      </w:r>
      <w:r w:rsidRPr="00722885">
        <w:rPr>
          <w:rFonts w:ascii="Times New Roman" w:hAnsi="Times New Roman"/>
          <w:color w:val="000000" w:themeColor="text1"/>
          <w:sz w:val="16"/>
          <w:szCs w:val="16"/>
        </w:rPr>
        <w:softHyphen/>
        <w:t>жения не использовался), улучшена герметизация капота, облегчено управ</w:t>
      </w:r>
      <w:r w:rsidRPr="00722885">
        <w:rPr>
          <w:rFonts w:ascii="Times New Roman" w:hAnsi="Times New Roman"/>
          <w:color w:val="000000" w:themeColor="text1"/>
          <w:sz w:val="16"/>
          <w:szCs w:val="16"/>
        </w:rPr>
        <w:softHyphen/>
        <w:t>ление и т.д. «Детские болезни», при</w:t>
      </w:r>
      <w:r w:rsidRPr="00722885">
        <w:rPr>
          <w:rFonts w:ascii="Times New Roman" w:hAnsi="Times New Roman"/>
          <w:color w:val="000000" w:themeColor="text1"/>
          <w:sz w:val="16"/>
          <w:szCs w:val="16"/>
        </w:rPr>
        <w:softHyphen/>
        <w:t>сущие самолетам первых серий, в зна</w:t>
      </w:r>
      <w:r w:rsidRPr="00722885">
        <w:rPr>
          <w:rFonts w:ascii="Times New Roman" w:hAnsi="Times New Roman"/>
          <w:color w:val="000000" w:themeColor="text1"/>
          <w:sz w:val="16"/>
          <w:szCs w:val="16"/>
        </w:rPr>
        <w:softHyphen/>
        <w:t>чительной степени были преодолены. Мотор М-82, установленный на самолете, допускал работу на форса</w:t>
      </w:r>
      <w:r w:rsidRPr="00722885">
        <w:rPr>
          <w:rFonts w:ascii="Times New Roman" w:hAnsi="Times New Roman"/>
          <w:color w:val="000000" w:themeColor="text1"/>
          <w:sz w:val="16"/>
          <w:szCs w:val="16"/>
        </w:rPr>
        <w:softHyphen/>
        <w:t>же не только на 1-й (наддув 1140 мм рт.ст.), но и на 2-й скорости нагнета</w:t>
      </w:r>
      <w:r w:rsidRPr="00722885">
        <w:rPr>
          <w:rFonts w:ascii="Times New Roman" w:hAnsi="Times New Roman"/>
          <w:color w:val="000000" w:themeColor="text1"/>
          <w:sz w:val="16"/>
          <w:szCs w:val="16"/>
        </w:rPr>
        <w:softHyphen/>
        <w:t>теля (1050 мм). Летные данные самолета улучши</w:t>
      </w:r>
      <w:r w:rsidRPr="00722885">
        <w:rPr>
          <w:rFonts w:ascii="Times New Roman" w:hAnsi="Times New Roman"/>
          <w:color w:val="000000" w:themeColor="text1"/>
          <w:sz w:val="16"/>
          <w:szCs w:val="16"/>
        </w:rPr>
        <w:softHyphen/>
        <w:t>лись по сравнению с серийными ма</w:t>
      </w:r>
      <w:r w:rsidRPr="00722885">
        <w:rPr>
          <w:rFonts w:ascii="Times New Roman" w:hAnsi="Times New Roman"/>
          <w:color w:val="000000" w:themeColor="text1"/>
          <w:sz w:val="16"/>
          <w:szCs w:val="16"/>
        </w:rPr>
        <w:softHyphen/>
        <w:t>шинами, но в цифрах почти соответ</w:t>
      </w:r>
      <w:r w:rsidRPr="00722885">
        <w:rPr>
          <w:rFonts w:ascii="Times New Roman" w:hAnsi="Times New Roman"/>
          <w:color w:val="000000" w:themeColor="text1"/>
          <w:sz w:val="16"/>
          <w:szCs w:val="16"/>
        </w:rPr>
        <w:softHyphen/>
        <w:t>ствовали опытному ЛаГГ-5: максималь</w:t>
      </w:r>
      <w:r w:rsidRPr="00722885">
        <w:rPr>
          <w:rFonts w:ascii="Times New Roman" w:hAnsi="Times New Roman"/>
          <w:color w:val="000000" w:themeColor="text1"/>
          <w:sz w:val="16"/>
          <w:szCs w:val="16"/>
        </w:rPr>
        <w:softHyphen/>
        <w:t>ная скорость у земли на номинале — 518 км/ч, на форсаже — 556 км/ч, на 2-й границе высотности - 600 и 612 км/ч соответственно, время набора 5000 м - 6,1 мин на номинале и 5,5 мин на форсаже. Карбюратор АК-82БП на 2-й скорости нагнетателя работал по-прежнему неудовлетвори</w:t>
      </w:r>
      <w:r w:rsidRPr="00722885">
        <w:rPr>
          <w:rFonts w:ascii="Times New Roman" w:hAnsi="Times New Roman"/>
          <w:color w:val="000000" w:themeColor="text1"/>
          <w:sz w:val="16"/>
          <w:szCs w:val="16"/>
        </w:rPr>
        <w:softHyphen/>
        <w:t>тельно, а свечи не выдерживали дли</w:t>
      </w:r>
      <w:r w:rsidRPr="00722885">
        <w:rPr>
          <w:rFonts w:ascii="Times New Roman" w:hAnsi="Times New Roman"/>
          <w:color w:val="000000" w:themeColor="text1"/>
          <w:sz w:val="16"/>
          <w:szCs w:val="16"/>
        </w:rPr>
        <w:softHyphen/>
        <w:t>тельной работы на форсаже. В это же время в НИИ ВВС посту</w:t>
      </w:r>
      <w:r w:rsidRPr="00722885">
        <w:rPr>
          <w:rFonts w:ascii="Times New Roman" w:hAnsi="Times New Roman"/>
          <w:color w:val="000000" w:themeColor="text1"/>
          <w:sz w:val="16"/>
          <w:szCs w:val="16"/>
        </w:rPr>
        <w:softHyphen/>
        <w:t>пил и трофейный 5-точечный Вf-109С-2, с которым облегченный Ла-5 провел учебные воздушные бои. Было при</w:t>
      </w:r>
      <w:r w:rsidRPr="00722885">
        <w:rPr>
          <w:rFonts w:ascii="Times New Roman" w:hAnsi="Times New Roman"/>
          <w:color w:val="000000" w:themeColor="text1"/>
          <w:sz w:val="16"/>
          <w:szCs w:val="16"/>
        </w:rPr>
        <w:softHyphen/>
        <w:t>знано, что при грамотной эксплуата</w:t>
      </w:r>
      <w:r w:rsidRPr="00722885">
        <w:rPr>
          <w:rFonts w:ascii="Times New Roman" w:hAnsi="Times New Roman"/>
          <w:color w:val="000000" w:themeColor="text1"/>
          <w:sz w:val="16"/>
          <w:szCs w:val="16"/>
        </w:rPr>
        <w:softHyphen/>
        <w:t>ции матчасти и хорошем знании сла</w:t>
      </w:r>
      <w:r w:rsidRPr="00722885">
        <w:rPr>
          <w:rFonts w:ascii="Times New Roman" w:hAnsi="Times New Roman"/>
          <w:color w:val="000000" w:themeColor="text1"/>
          <w:sz w:val="16"/>
          <w:szCs w:val="16"/>
        </w:rPr>
        <w:softHyphen/>
        <w:t>бых мест противника опытный летчик на новом Ла-5 мог вполне успешно вести воздушный бой с Вf-109С-2 на малых и средних высотах как на го</w:t>
      </w:r>
      <w:r w:rsidRPr="00722885">
        <w:rPr>
          <w:rFonts w:ascii="Times New Roman" w:hAnsi="Times New Roman"/>
          <w:color w:val="000000" w:themeColor="text1"/>
          <w:sz w:val="16"/>
          <w:szCs w:val="16"/>
        </w:rPr>
        <w:softHyphen/>
        <w:t>ризонтали, так и на вертикали. Ко</w:t>
      </w:r>
      <w:r w:rsidRPr="00722885">
        <w:rPr>
          <w:rFonts w:ascii="Times New Roman" w:hAnsi="Times New Roman"/>
          <w:color w:val="000000" w:themeColor="text1"/>
          <w:sz w:val="16"/>
          <w:szCs w:val="16"/>
        </w:rPr>
        <w:softHyphen/>
        <w:t>нечно, в строевых частях ВВС КА та</w:t>
      </w:r>
      <w:r w:rsidRPr="00722885">
        <w:rPr>
          <w:rFonts w:ascii="Times New Roman" w:hAnsi="Times New Roman"/>
          <w:color w:val="000000" w:themeColor="text1"/>
          <w:sz w:val="16"/>
          <w:szCs w:val="16"/>
        </w:rPr>
        <w:softHyphen/>
        <w:t>ких пилотов было тогда немного. Зна</w:t>
      </w:r>
      <w:r w:rsidRPr="00722885">
        <w:rPr>
          <w:rFonts w:ascii="Times New Roman" w:hAnsi="Times New Roman"/>
          <w:color w:val="000000" w:themeColor="text1"/>
          <w:sz w:val="16"/>
          <w:szCs w:val="16"/>
        </w:rPr>
        <w:softHyphen/>
        <w:t>чительное преимущество Вf-09С-2 имел только на больших высотах (10705).</w:t>
      </w:r>
    </w:p>
    <w:p w14:paraId="5A6DA79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BC386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ноября 1942 предъявили на государственные испытания Ла-5 № 39210101 с мотором М-82Ф. Обращает на себя внимание его обозначение тип "39"; все предшествовавшие машины Ла-5 и Ла-5Ф покидали завод как тип "37". Новый самолет был облегченным трехбаковым истребителем с уменьшенным гаргро- том. В его арсенале были пушка ШВАК и пулемет ВС. Все изменения, внесенные в него, были предварительно "обкатаны" на самолетах № 37210850 и № 37210871. В частности, на самолете № 37210850 дополнительно улучшили герметизацию капота и противопожарной перегородки, устранили люфты и щели в элеронах и рулях, улучшили внешнюю отделку и ряд других доработок. В итоге самолет показал у земли скорость 565 км/ч, на высоте - 590 км/ч.</w:t>
      </w:r>
    </w:p>
    <w:p w14:paraId="5708E8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и в КБ постоянно велась борьба за снижение веса самолета, но стабилизировать его не удавалось. Только облегчили планер почти на 140 кг, в том числе и за счет перехода на металлические лонжероны крыла, как пришлось вновь возвращаться к деревянным из-за нехватки металла.</w:t>
      </w:r>
    </w:p>
    <w:p w14:paraId="0BC790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госиспытаний усовершенствованного Ла-5Ф № 39210101, завершившихся в январе 1943 года, получили максимальную скорость 600 км/ч на высоте 6300 м и 582 км/ч на высоте 3600 м. Это был наивысший результат для Ла-5 с мотором М-82Ф, при этом самолет стал, как бы, переходным от Ла-5Ф к Ла-5ФН.</w:t>
      </w:r>
    </w:p>
    <w:p w14:paraId="01FE7D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капотах серийных самолетов с новыми двигателями появилось специфическое обозначение - буква "Ф" в светлом кружочке, а в серийном производстве он остался типом "37". Отличиями Ла-5Ф стали трехбаковая топливная система и более тонкая бронеспинка (8,5 мм). Это, в совокупности с неполной заправкой топливом, позволило снизить полетный вес истребителя и улучшить его маневренность, особенно на вертикалях.</w:t>
      </w:r>
    </w:p>
    <w:p w14:paraId="1B2ECC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предпринимались меры по облегчению управления самолетом (12032).</w:t>
      </w:r>
    </w:p>
    <w:p w14:paraId="6D63FB0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FA17509" w14:textId="77777777" w:rsidR="00C92AEA" w:rsidRPr="00722885" w:rsidRDefault="00C92AE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21 ноября 1942 в НИИ ВВС предъявили облегчённый Ла-5 № 39210101 с полётным весом 3200 кг, что на 160 кг меньше серийного. На самолёте произвели значительные переделки: поставили новый фонарь с бронестеклами и с задним обзором, ввели трёх- бачную бензосистему вместо пятибачной, одну пушка ШВАК заменили пулемётом УБС (в серии такой вариант вооружения не использовался), улучшили герметизацию капота, облегчили управление и т.д. «Детские болезни», присущие самолётам первых се</w:t>
      </w:r>
      <w:r w:rsidRPr="00722885">
        <w:rPr>
          <w:rFonts w:ascii="Times New Roman" w:cs="Times New Roman"/>
          <w:color w:val="000000" w:themeColor="text1"/>
          <w:spacing w:val="0"/>
        </w:rPr>
        <w:softHyphen/>
        <w:t>рий, в значительной степени преодолели.</w:t>
      </w:r>
    </w:p>
    <w:p w14:paraId="6013B71B" w14:textId="77777777" w:rsidR="00C92AEA" w:rsidRPr="00722885" w:rsidRDefault="00C92AE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Установленный на самолёте мотор М-82 допускал работу на форсаже не только на 1-й (наддув 1140 мм рт.ст.), но и на 2-й скорости нагнетателя (1050 мм).</w:t>
      </w:r>
    </w:p>
    <w:p w14:paraId="6F6462AB" w14:textId="77777777" w:rsidR="00C92AEA" w:rsidRPr="00722885" w:rsidRDefault="00C92AE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lastRenderedPageBreak/>
        <w:t>Летные данные самолёта улучшились по сравнению с серийными машинами, но в циф</w:t>
      </w:r>
      <w:r w:rsidRPr="00722885">
        <w:rPr>
          <w:rFonts w:ascii="Times New Roman" w:cs="Times New Roman"/>
          <w:color w:val="000000" w:themeColor="text1"/>
          <w:spacing w:val="0"/>
        </w:rPr>
        <w:softHyphen/>
        <w:t>рах почти соответствовали опытному ЛаГГ-5: максимальная скорость у земли на номи</w:t>
      </w:r>
      <w:r w:rsidRPr="00722885">
        <w:rPr>
          <w:rFonts w:ascii="Times New Roman" w:cs="Times New Roman"/>
          <w:color w:val="000000" w:themeColor="text1"/>
          <w:spacing w:val="0"/>
        </w:rPr>
        <w:softHyphen/>
        <w:t>нале — 518 км/ч, на форсаже — 556 км/ч, на 2-й границе высотности — 600 и 612 км/ч соответственно, время набора 5000 м — 6,1 мин на номинале и 5,5 мин на форсаже. Карбюратор АК-82БП на 2-й скорости нагнетателя работал по-прежнему неудовлетво</w:t>
      </w:r>
      <w:r w:rsidRPr="00722885">
        <w:rPr>
          <w:rFonts w:ascii="Times New Roman" w:cs="Times New Roman"/>
          <w:color w:val="000000" w:themeColor="text1"/>
          <w:spacing w:val="0"/>
        </w:rPr>
        <w:softHyphen/>
        <w:t>рительно, а свечи не выдерживали длительной работы на форсаже.</w:t>
      </w:r>
    </w:p>
    <w:p w14:paraId="792A2E7B" w14:textId="77777777" w:rsidR="00C92AEA" w:rsidRPr="00722885" w:rsidRDefault="00C92AEA"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В это же время в НИИ ВВС поступил и трофейный 5-точечный </w:t>
      </w:r>
      <w:r w:rsidRPr="00722885">
        <w:rPr>
          <w:rFonts w:ascii="Times New Roman" w:cs="Times New Roman"/>
          <w:color w:val="000000" w:themeColor="text1"/>
          <w:spacing w:val="0"/>
          <w:lang w:val="en-US"/>
        </w:rPr>
        <w:t>Bf</w:t>
      </w:r>
      <w:r w:rsidRPr="00722885">
        <w:rPr>
          <w:rFonts w:ascii="Times New Roman" w:cs="Times New Roman"/>
          <w:color w:val="000000" w:themeColor="text1"/>
          <w:spacing w:val="0"/>
        </w:rPr>
        <w:t>.109</w:t>
      </w:r>
      <w:r w:rsidRPr="00722885">
        <w:rPr>
          <w:rFonts w:ascii="Times New Roman" w:cs="Times New Roman"/>
          <w:color w:val="000000" w:themeColor="text1"/>
          <w:spacing w:val="0"/>
          <w:lang w:val="en-US"/>
        </w:rPr>
        <w:t>G</w:t>
      </w:r>
      <w:r w:rsidRPr="00722885">
        <w:rPr>
          <w:rFonts w:ascii="Times New Roman" w:cs="Times New Roman"/>
          <w:color w:val="000000" w:themeColor="text1"/>
          <w:spacing w:val="0"/>
        </w:rPr>
        <w:t>-2, с ним облег</w:t>
      </w:r>
      <w:r w:rsidRPr="00722885">
        <w:rPr>
          <w:rFonts w:ascii="Times New Roman" w:cs="Times New Roman"/>
          <w:color w:val="000000" w:themeColor="text1"/>
          <w:spacing w:val="0"/>
        </w:rPr>
        <w:softHyphen/>
        <w:t xml:space="preserve">чённый Ла-5 провел учебные воздушные бои. Признали, что при грамотной эксплуатации матчасти и хорошем знании слабых мест противника опытный лётчик на новом Ла-5 мог вполне успешно вести воздушный бой с </w:t>
      </w:r>
      <w:r w:rsidRPr="00722885">
        <w:rPr>
          <w:rFonts w:ascii="Times New Roman" w:cs="Times New Roman"/>
          <w:color w:val="000000" w:themeColor="text1"/>
          <w:spacing w:val="0"/>
          <w:lang w:val="en-US"/>
        </w:rPr>
        <w:t>Bf</w:t>
      </w:r>
      <w:r w:rsidRPr="00722885">
        <w:rPr>
          <w:rFonts w:ascii="Times New Roman" w:cs="Times New Roman"/>
          <w:color w:val="000000" w:themeColor="text1"/>
          <w:spacing w:val="0"/>
        </w:rPr>
        <w:t>.109</w:t>
      </w:r>
      <w:r w:rsidRPr="00722885">
        <w:rPr>
          <w:rFonts w:ascii="Times New Roman" w:cs="Times New Roman"/>
          <w:color w:val="000000" w:themeColor="text1"/>
          <w:spacing w:val="0"/>
          <w:lang w:val="en-US"/>
        </w:rPr>
        <w:t>G</w:t>
      </w:r>
      <w:r w:rsidRPr="00722885">
        <w:rPr>
          <w:rFonts w:ascii="Times New Roman" w:cs="Times New Roman"/>
          <w:color w:val="000000" w:themeColor="text1"/>
          <w:spacing w:val="0"/>
        </w:rPr>
        <w:t>-2 на малых и средних высотах как на го</w:t>
      </w:r>
      <w:r w:rsidRPr="00722885">
        <w:rPr>
          <w:rFonts w:ascii="Times New Roman" w:cs="Times New Roman"/>
          <w:color w:val="000000" w:themeColor="text1"/>
          <w:spacing w:val="0"/>
        </w:rPr>
        <w:softHyphen/>
        <w:t xml:space="preserve">ризонтали, так и на вертикали. Конечно, в строевых частях ВВС КА таких пилотов имелось тогда немного. Значительное преимущество </w:t>
      </w:r>
      <w:r w:rsidRPr="00722885">
        <w:rPr>
          <w:rFonts w:ascii="Times New Roman" w:cs="Times New Roman"/>
          <w:color w:val="000000" w:themeColor="text1"/>
          <w:spacing w:val="0"/>
          <w:lang w:val="en-US"/>
        </w:rPr>
        <w:t>Bf</w:t>
      </w:r>
      <w:r w:rsidRPr="00722885">
        <w:rPr>
          <w:rFonts w:ascii="Times New Roman" w:cs="Times New Roman"/>
          <w:color w:val="000000" w:themeColor="text1"/>
          <w:spacing w:val="0"/>
        </w:rPr>
        <w:t>.109</w:t>
      </w:r>
      <w:r w:rsidRPr="00722885">
        <w:rPr>
          <w:rFonts w:ascii="Times New Roman" w:cs="Times New Roman"/>
          <w:color w:val="000000" w:themeColor="text1"/>
          <w:spacing w:val="0"/>
          <w:lang w:val="en-US"/>
        </w:rPr>
        <w:t>G</w:t>
      </w:r>
      <w:r w:rsidRPr="00722885">
        <w:rPr>
          <w:rFonts w:ascii="Times New Roman" w:cs="Times New Roman"/>
          <w:color w:val="000000" w:themeColor="text1"/>
          <w:spacing w:val="0"/>
        </w:rPr>
        <w:t>-2 имел только на больших высотах (15813).</w:t>
      </w:r>
    </w:p>
    <w:p w14:paraId="62462855" w14:textId="77777777" w:rsidR="00C92AEA" w:rsidRPr="00722885" w:rsidRDefault="00C92AEA" w:rsidP="00722885">
      <w:pPr>
        <w:pStyle w:val="27"/>
        <w:shd w:val="clear" w:color="auto" w:fill="auto"/>
        <w:spacing w:after="0" w:line="240" w:lineRule="auto"/>
        <w:ind w:firstLine="0"/>
        <w:rPr>
          <w:rFonts w:ascii="Times New Roman" w:cs="Times New Roman"/>
          <w:color w:val="000000" w:themeColor="text1"/>
          <w:spacing w:val="0"/>
        </w:rPr>
      </w:pPr>
    </w:p>
    <w:p w14:paraId="38862443"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21 ноября 1942 г. в Акте по результатам испытаний специалисты НИП АВ ре</w:t>
      </w:r>
      <w:r w:rsidRPr="00722885">
        <w:rPr>
          <w:rFonts w:ascii="Times New Roman" w:cs="Times New Roman"/>
          <w:color w:val="000000" w:themeColor="text1"/>
          <w:spacing w:val="0"/>
        </w:rPr>
        <w:softHyphen/>
        <w:t>комендовали срочно доработать ПТАБ-1,5 и ПТАБ-2,5 в первую очередь в части обе</w:t>
      </w:r>
      <w:r w:rsidRPr="00722885">
        <w:rPr>
          <w:rFonts w:ascii="Times New Roman" w:cs="Times New Roman"/>
          <w:color w:val="000000" w:themeColor="text1"/>
          <w:spacing w:val="0"/>
        </w:rPr>
        <w:softHyphen/>
        <w:t>спечения безотказности их действия и вновь представить на полигонные испыта</w:t>
      </w:r>
      <w:r w:rsidRPr="00722885">
        <w:rPr>
          <w:rFonts w:ascii="Times New Roman" w:cs="Times New Roman"/>
          <w:color w:val="000000" w:themeColor="text1"/>
          <w:spacing w:val="0"/>
        </w:rPr>
        <w:softHyphen/>
        <w:t>ния. Одновременно отмечалось, что бомба конструкции ЦКБ-22 имеет явные преиму</w:t>
      </w:r>
      <w:r w:rsidRPr="00722885">
        <w:rPr>
          <w:rFonts w:ascii="Times New Roman" w:cs="Times New Roman"/>
          <w:color w:val="000000" w:themeColor="text1"/>
          <w:spacing w:val="0"/>
        </w:rPr>
        <w:softHyphen/>
        <w:t>щества по сравнению с бомбой конструк</w:t>
      </w:r>
      <w:r w:rsidRPr="00722885">
        <w:rPr>
          <w:rFonts w:ascii="Times New Roman" w:cs="Times New Roman"/>
          <w:color w:val="000000" w:themeColor="text1"/>
          <w:spacing w:val="0"/>
        </w:rPr>
        <w:softHyphen/>
        <w:t>ции ГСКБ-47 в надежности и устойчивости полета на траектории падения. Предлага</w:t>
      </w:r>
      <w:r w:rsidRPr="00722885">
        <w:rPr>
          <w:rFonts w:ascii="Times New Roman" w:cs="Times New Roman"/>
          <w:color w:val="000000" w:themeColor="text1"/>
          <w:spacing w:val="0"/>
        </w:rPr>
        <w:softHyphen/>
        <w:t>лось уменьшить габариты бомбы ПТАБ-1,5 (диаметр и длину) до уровня штатной бомбы калибра 2,5 кг (вместо 10 кг), что позволяло почти в четыре раза увеличить количество таких бомб на борту самолета Ил-2 и резко повысить вероятность попадания бомб в цели малых размеров (12739).</w:t>
      </w:r>
    </w:p>
    <w:p w14:paraId="0D2A00F3"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p>
    <w:p w14:paraId="1F731F41" w14:textId="77777777" w:rsidR="00B67A0E" w:rsidRPr="00722885" w:rsidRDefault="00B67A0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21 ноя</w:t>
      </w:r>
      <w:r w:rsidRPr="00722885">
        <w:rPr>
          <w:color w:val="000000" w:themeColor="text1"/>
          <w:sz w:val="16"/>
          <w:szCs w:val="16"/>
        </w:rPr>
        <w:softHyphen/>
        <w:t>бря 1942 г. в Акте по результатам испытаний ПТАБ-1,5 (264 штуки) с взрывателем к ней АВ-108-3 конструкции ЦКБ-22, которые повторно поступила на НИП АВ 8 ноября 1942, специалисты НИП АВ рекомендовали срочно доработать ПТАБ-1,5 и ПТАБ-2,5 в первую очередь в части обеспечения безотказности их действия, и вновь предъявить на полигонные ис</w:t>
      </w:r>
      <w:r w:rsidRPr="00722885">
        <w:rPr>
          <w:color w:val="000000" w:themeColor="text1"/>
          <w:sz w:val="16"/>
          <w:szCs w:val="16"/>
        </w:rPr>
        <w:softHyphen/>
        <w:t>пытания. Одновременно отмечалось, что бомба конструкции ЦКБ-22 имеет явные преимущества по сравнению с бомбой конструкции ГСКБ-47 в на</w:t>
      </w:r>
      <w:r w:rsidRPr="00722885">
        <w:rPr>
          <w:color w:val="000000" w:themeColor="text1"/>
          <w:sz w:val="16"/>
          <w:szCs w:val="16"/>
        </w:rPr>
        <w:softHyphen/>
        <w:t>дежности и устойчивости полета на траектории падения. Предлагалось уменьшить габариты бом</w:t>
      </w:r>
      <w:r w:rsidRPr="00722885">
        <w:rPr>
          <w:color w:val="000000" w:themeColor="text1"/>
          <w:sz w:val="16"/>
          <w:szCs w:val="16"/>
        </w:rPr>
        <w:softHyphen/>
        <w:t>бы ПТАБ-1,5 (диаметр и длину) до уровня штатной бомбы калибра 2,5 кг, что позволяло почти в четы</w:t>
      </w:r>
      <w:r w:rsidRPr="00722885">
        <w:rPr>
          <w:color w:val="000000" w:themeColor="text1"/>
          <w:sz w:val="16"/>
          <w:szCs w:val="16"/>
        </w:rPr>
        <w:softHyphen/>
        <w:t>ре раза увеличить количество таких бомб на борту самолета Ил-2 и резко повысить вероятность попа</w:t>
      </w:r>
      <w:r w:rsidRPr="00722885">
        <w:rPr>
          <w:color w:val="000000" w:themeColor="text1"/>
          <w:sz w:val="16"/>
          <w:szCs w:val="16"/>
        </w:rPr>
        <w:softHyphen/>
        <w:t>дания бомб в цели малых размеров (17500).</w:t>
      </w:r>
    </w:p>
    <w:p w14:paraId="1E82C433" w14:textId="77777777" w:rsidR="00B67A0E" w:rsidRPr="00722885" w:rsidRDefault="00B67A0E" w:rsidP="00722885">
      <w:pPr>
        <w:spacing w:after="0" w:line="240" w:lineRule="auto"/>
        <w:jc w:val="both"/>
        <w:rPr>
          <w:rFonts w:ascii="Times New Roman" w:hAnsi="Times New Roman"/>
          <w:color w:val="000000" w:themeColor="text1"/>
          <w:sz w:val="16"/>
          <w:szCs w:val="16"/>
        </w:rPr>
      </w:pPr>
    </w:p>
    <w:p w14:paraId="19ADAC3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6B4DC6D" w14:textId="77777777" w:rsidR="00090C9B" w:rsidRPr="00722885" w:rsidRDefault="00090C9B" w:rsidP="00722885">
      <w:pPr>
        <w:pStyle w:val="Iauiue"/>
        <w:jc w:val="both"/>
        <w:rPr>
          <w:iCs/>
          <w:color w:val="000000" w:themeColor="text1"/>
          <w:sz w:val="16"/>
          <w:szCs w:val="16"/>
        </w:rPr>
      </w:pPr>
    </w:p>
    <w:p w14:paraId="537913A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ноября 1942 г. директор завода № 112 Э. А. Рубинчик получил очередное гневное письмо от заместителя начальника ГУ наркомата танковой промышленности Каневского: «БТУ КА снова сообщает о том, что качество поставляемых вами бронекорпусов и башен находится на низком уровне». Впрочем, на других предприятиях дела обстояли не лучше. В номере журнала «Экспресс-информация» за тот же ноябрь указано: «На всех заводах черной металлургии и танковой промышленности, производящих броневой лист марки 8-С, при полигонных испытаниях имеет место значительный брак по хрупкости поражением и низкой бронестойкости». [298 — Там же, № 10, ноябрь 1942 г.]. Ко всему прочему, важнейший поставщик Корецкий металлургический завод отправил бронелисты с грубейшим отступлением по химическому анализу, сорвав работу заводов № 112 и 183. В номере № 12 указанного журнала еще раз поднималась тема газовой вырезки: «На деталях бортов машин Т-34 применяется вырезка конфигураций по закаленному металлу. Всякая огневая резка по таким деталям чревата опасностью образования трещин в местах вырезки. На УЗТМ в результате огневой вырезки по закаленному металлу 50 % деталей получаются с надрывами и трещинами». [299 — Там же, № 12, ноябрь 1942 г.]. ЦНИИ № 48 разработало подробную инструкцию термической обработки броневых листов. Ее стоит привести, дабы читатель понял, насколько сложно было изготовить качественную броню для Т-34. Сборка листов должна была производиться пакетами не более четырех метров без прокладок в каждом. Укладка в печи производится на прокладки высотой 75 мм. После этого печь должна нагреваться до +600 °C, причем не быстрее чем на 60° в час. Затем печь надо было быстро нагреть до +1000 °C, после чего снова охладить до 600 °C, потом опять нагреть до 620–660 °C, произвести отпуск, нагреть до 680 °C, выдержать 10–12 часов и после этого охладить на воздухе. Только после этого броню можно было пускать в сборку. Любое отступление от режима вело к ухудшению свойств стали (11741).</w:t>
      </w:r>
    </w:p>
    <w:p w14:paraId="66F376C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521C32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21 ноября 1942 года вышла «Справка о принятых и отправленных танках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с корпусами танка КВ-1 (утя</w:t>
      </w:r>
      <w:r w:rsidRPr="00722885">
        <w:rPr>
          <w:rFonts w:ascii="Times New Roman" w:hAnsi="Times New Roman"/>
          <w:color w:val="000000" w:themeColor="text1"/>
          <w:sz w:val="16"/>
          <w:szCs w:val="16"/>
        </w:rPr>
        <w:softHyphen/>
        <w:t xml:space="preserve">желенными)», согласно которой общий же выпуск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с корпусом от КВ-1 соста</w:t>
      </w:r>
      <w:r w:rsidRPr="00722885">
        <w:rPr>
          <w:rFonts w:ascii="Times New Roman" w:hAnsi="Times New Roman"/>
          <w:color w:val="000000" w:themeColor="text1"/>
          <w:sz w:val="16"/>
          <w:szCs w:val="16"/>
        </w:rPr>
        <w:softHyphen/>
        <w:t>вил 70 штук - именно такое количество ма</w:t>
      </w:r>
      <w:r w:rsidRPr="00722885">
        <w:rPr>
          <w:rFonts w:ascii="Times New Roman" w:hAnsi="Times New Roman"/>
          <w:color w:val="000000" w:themeColor="text1"/>
          <w:sz w:val="16"/>
          <w:szCs w:val="16"/>
        </w:rPr>
        <w:softHyphen/>
        <w:t>шин фигурирует среди отгруженных с завода. Известно, что эти машины поступили на во</w:t>
      </w:r>
      <w:r w:rsidRPr="00722885">
        <w:rPr>
          <w:rFonts w:ascii="Times New Roman" w:hAnsi="Times New Roman"/>
          <w:color w:val="000000" w:themeColor="text1"/>
          <w:sz w:val="16"/>
          <w:szCs w:val="16"/>
        </w:rPr>
        <w:softHyphen/>
        <w:t>оружение 9, 10 и 12-го гвардейских тяжелых полков прорыва. Интересно, что одна такая машина дожила до наших дней - она уста</w:t>
      </w:r>
      <w:r w:rsidRPr="00722885">
        <w:rPr>
          <w:rFonts w:ascii="Times New Roman" w:hAnsi="Times New Roman"/>
          <w:color w:val="000000" w:themeColor="text1"/>
          <w:sz w:val="16"/>
          <w:szCs w:val="16"/>
        </w:rPr>
        <w:softHyphen/>
        <w:t>новлена в качестве памятника в поселке Парфино Новгородской области. Долгое время ее считали «гибридом», собранным из частей КВ-1 и КВ-1С. Однако исследования пока</w:t>
      </w:r>
      <w:r w:rsidRPr="00722885">
        <w:rPr>
          <w:rFonts w:ascii="Times New Roman" w:hAnsi="Times New Roman"/>
          <w:color w:val="000000" w:themeColor="text1"/>
          <w:sz w:val="16"/>
          <w:szCs w:val="16"/>
        </w:rPr>
        <w:softHyphen/>
        <w:t xml:space="preserve">зали, что это полноценный танк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но с «утяжеленным» корпусом от КВ-1. Вероят</w:t>
      </w:r>
      <w:r w:rsidRPr="00722885">
        <w:rPr>
          <w:rFonts w:ascii="Times New Roman" w:hAnsi="Times New Roman"/>
          <w:color w:val="000000" w:themeColor="text1"/>
          <w:sz w:val="16"/>
          <w:szCs w:val="16"/>
        </w:rPr>
        <w:softHyphen/>
        <w:t>нее всего, машина из состава 12-го гвардей</w:t>
      </w:r>
      <w:r w:rsidRPr="00722885">
        <w:rPr>
          <w:rFonts w:ascii="Times New Roman" w:hAnsi="Times New Roman"/>
          <w:color w:val="000000" w:themeColor="text1"/>
          <w:sz w:val="16"/>
          <w:szCs w:val="16"/>
        </w:rPr>
        <w:softHyphen/>
        <w:t>ского тяжелого танкового полка, который вел бои в том районе в начале 1943 года (15226).</w:t>
      </w:r>
    </w:p>
    <w:p w14:paraId="1B49AFB4"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74E646C2" w14:textId="77777777" w:rsidR="00DA5455" w:rsidRPr="00722885" w:rsidRDefault="00DA545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21 ноября 1942 и СУ-11, и СУ-12 не только построили, но и начали испытывать. Заводские испытания пробегом закончились к 27 числу. За это время СУ-11 прошла 100, а СУ-12 – 112 километров.</w:t>
      </w:r>
    </w:p>
    <w:p w14:paraId="41356D6C" w14:textId="77777777" w:rsidR="00DA5455" w:rsidRPr="00722885" w:rsidRDefault="00DA545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Отправка самоходных установок на Гороховецкий АНИОП несколько затянулась. Обе машины были убыли туда только 5 декабря. Тем не менее, уже к тому моменту стало ясно, какая машина стала фаворитом в советской программе создания лёгкой штурмовой САУ. 2 декабря Сталин подписал постановление ГКО № 2559 «Об организации производства самоходных артиллерийских установок на Уралмашзаводе и заводе № 38» (17699).</w:t>
      </w:r>
    </w:p>
    <w:p w14:paraId="39B3A645" w14:textId="77777777" w:rsidR="00DA5455" w:rsidRPr="00722885" w:rsidRDefault="00DA5455" w:rsidP="00722885">
      <w:pPr>
        <w:spacing w:after="0" w:line="240" w:lineRule="auto"/>
        <w:jc w:val="both"/>
        <w:rPr>
          <w:rFonts w:ascii="Times New Roman" w:hAnsi="Times New Roman"/>
          <w:color w:val="000000" w:themeColor="text1"/>
          <w:sz w:val="16"/>
          <w:szCs w:val="16"/>
        </w:rPr>
      </w:pPr>
    </w:p>
    <w:p w14:paraId="3BFE7D5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21 ноября 1942 г. Горьковский мотозавод укомплектован оборудованием и оснаст</w:t>
      </w:r>
      <w:r w:rsidRPr="00722885">
        <w:rPr>
          <w:rFonts w:ascii="Times New Roman" w:hAnsi="Times New Roman"/>
          <w:color w:val="000000" w:themeColor="text1"/>
          <w:sz w:val="16"/>
          <w:szCs w:val="16"/>
        </w:rPr>
        <w:softHyphen/>
        <w:t>кой в следующем количестве:</w:t>
      </w:r>
    </w:p>
    <w:p w14:paraId="2D1AFEA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Оборудование:</w:t>
      </w:r>
    </w:p>
    <w:p w14:paraId="7FA8C95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1)требуется для выпуска 15 000 мотоциклов - 626 станков;</w:t>
      </w:r>
    </w:p>
    <w:p w14:paraId="094061E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2)имеется в наличии - 352 станка;</w:t>
      </w:r>
    </w:p>
    <w:p w14:paraId="05F797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недостает - 274 станка.</w:t>
      </w:r>
    </w:p>
    <w:p w14:paraId="067934A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Оснащение:</w:t>
      </w:r>
    </w:p>
    <w:p w14:paraId="72E4938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1)требуется (приспособлений, инструмента, штампов) - 2026 единиц;</w:t>
      </w:r>
    </w:p>
    <w:p w14:paraId="45FD4F4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2)имеется - 1546 единиц;</w:t>
      </w:r>
    </w:p>
    <w:p w14:paraId="21D651F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3)недостает - 479 единиц.</w:t>
      </w:r>
    </w:p>
    <w:p w14:paraId="361288E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Горьковский мотозавод освоил изготовление деталей экипажной части М-72. Полностью освоил изготовление деталей коробки перемены передач. Освоил изготовление деталей мотора, за исключением кривошипного механизма.</w:t>
      </w:r>
    </w:p>
    <w:p w14:paraId="001A030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Горьковский мотозавод может выпускать 350-400 мотоциклов при следующей ему помощи:</w:t>
      </w:r>
    </w:p>
    <w:p w14:paraId="00F2A42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доукомплектовать завод 158 станками;</w:t>
      </w:r>
    </w:p>
    <w:p w14:paraId="778FE44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доукомплектовать завод 479 единицами оснастки;</w:t>
      </w:r>
    </w:p>
    <w:p w14:paraId="6636436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доукомплектовать рабочей силой.</w:t>
      </w:r>
    </w:p>
    <w:p w14:paraId="4AC505D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(Данные на ноябрь месяц 1942 г.).</w:t>
      </w:r>
    </w:p>
    <w:p w14:paraId="037EA64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Ирбитский мотозавод имеет 621 станок, которые обеспечивают без учета некоторой неком</w:t>
      </w:r>
      <w:r w:rsidRPr="00722885">
        <w:rPr>
          <w:rFonts w:ascii="Times New Roman" w:hAnsi="Times New Roman"/>
          <w:color w:val="000000" w:themeColor="text1"/>
          <w:sz w:val="16"/>
          <w:szCs w:val="16"/>
        </w:rPr>
        <w:softHyphen/>
        <w:t>плектности оборудования выпуск в год моторов — 20000, коробок передач — 20000 и экипажной части на 13 000 мотоциклов М-72.</w:t>
      </w:r>
    </w:p>
    <w:p w14:paraId="2CBDFE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Учитывая некомплектность оборудования, узкие места по оборудованию могут обеспечить:</w:t>
      </w:r>
    </w:p>
    <w:p w14:paraId="0FD6BFD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а)поршней 160 шт. вдень</w:t>
      </w:r>
    </w:p>
    <w:p w14:paraId="3C8A7AF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поршневых колец 300 шт. в день</w:t>
      </w:r>
    </w:p>
    <w:p w14:paraId="279B2F3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клапанов 160 шт.</w:t>
      </w:r>
    </w:p>
    <w:p w14:paraId="0770202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распред. валиков 35 шт.</w:t>
      </w:r>
    </w:p>
    <w:p w14:paraId="738DA48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кривошипн. механизмов 50 шт. е)коробок пер. смены передач 50 шт. ж)ступиц колеса 176 шт. з) ступиц колеса 22 000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13"/>
        <w:gridCol w:w="682"/>
        <w:gridCol w:w="1402"/>
      </w:tblGrid>
      <w:tr w:rsidR="009B487A" w:rsidRPr="00722885" w14:paraId="14910B7F" w14:textId="77777777" w:rsidTr="00CC5360">
        <w:trPr>
          <w:trHeight w:val="240"/>
        </w:trPr>
        <w:tc>
          <w:tcPr>
            <w:tcW w:w="413" w:type="dxa"/>
            <w:tcBorders>
              <w:top w:val="single" w:sz="12" w:space="0" w:color="auto"/>
            </w:tcBorders>
          </w:tcPr>
          <w:p w14:paraId="1BEE73C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w:t>
            </w:r>
          </w:p>
          <w:p w14:paraId="25DCD9A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682" w:type="dxa"/>
            <w:tcBorders>
              <w:top w:val="single" w:sz="12" w:space="0" w:color="auto"/>
            </w:tcBorders>
          </w:tcPr>
          <w:p w14:paraId="2496001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w:t>
            </w:r>
          </w:p>
          <w:p w14:paraId="298EE6F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12" w:space="0" w:color="auto"/>
            </w:tcBorders>
          </w:tcPr>
          <w:p w14:paraId="6A40A0A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мотоциклов;</w:t>
            </w:r>
          </w:p>
          <w:p w14:paraId="4C5FDC3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2685008" w14:textId="77777777" w:rsidTr="00CC5360">
        <w:trPr>
          <w:trHeight w:val="230"/>
        </w:trPr>
        <w:tc>
          <w:tcPr>
            <w:tcW w:w="413" w:type="dxa"/>
          </w:tcPr>
          <w:p w14:paraId="1B72B9D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w:t>
            </w:r>
          </w:p>
          <w:p w14:paraId="1B512C0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682" w:type="dxa"/>
          </w:tcPr>
          <w:p w14:paraId="1411D83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p w14:paraId="0BA166A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402" w:type="dxa"/>
          </w:tcPr>
          <w:p w14:paraId="49EB6A2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мотоциклов;</w:t>
            </w:r>
          </w:p>
          <w:p w14:paraId="6755674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0C06AA8" w14:textId="77777777" w:rsidTr="00CC5360">
        <w:trPr>
          <w:trHeight w:val="240"/>
        </w:trPr>
        <w:tc>
          <w:tcPr>
            <w:tcW w:w="413" w:type="dxa"/>
          </w:tcPr>
          <w:p w14:paraId="06D32E0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w:t>
            </w:r>
          </w:p>
          <w:p w14:paraId="6E9A9F2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682" w:type="dxa"/>
          </w:tcPr>
          <w:p w14:paraId="3CD9AE9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p w14:paraId="060B622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402" w:type="dxa"/>
          </w:tcPr>
          <w:p w14:paraId="7DC1F5D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мотоциклов;</w:t>
            </w:r>
          </w:p>
          <w:p w14:paraId="1502353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68B30854" w14:textId="77777777" w:rsidTr="00CC5360">
        <w:trPr>
          <w:trHeight w:val="240"/>
        </w:trPr>
        <w:tc>
          <w:tcPr>
            <w:tcW w:w="413" w:type="dxa"/>
          </w:tcPr>
          <w:p w14:paraId="40C8632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w:t>
            </w:r>
          </w:p>
          <w:p w14:paraId="6291C5B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682" w:type="dxa"/>
          </w:tcPr>
          <w:p w14:paraId="0D5B97F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p w14:paraId="0DE189F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402" w:type="dxa"/>
          </w:tcPr>
          <w:p w14:paraId="20769B2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мотоциклов;</w:t>
            </w:r>
          </w:p>
          <w:p w14:paraId="012AF98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B764F96" w14:textId="77777777" w:rsidTr="00CC5360">
        <w:trPr>
          <w:trHeight w:val="240"/>
        </w:trPr>
        <w:tc>
          <w:tcPr>
            <w:tcW w:w="413" w:type="dxa"/>
          </w:tcPr>
          <w:p w14:paraId="375374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w:t>
            </w:r>
          </w:p>
          <w:p w14:paraId="17A487D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682" w:type="dxa"/>
          </w:tcPr>
          <w:p w14:paraId="1DFB9AA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p w14:paraId="5868827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402" w:type="dxa"/>
          </w:tcPr>
          <w:p w14:paraId="3C62A10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мотоциклов;</w:t>
            </w:r>
          </w:p>
          <w:p w14:paraId="2EC80BB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06BB59A" w14:textId="77777777" w:rsidTr="00CC5360">
        <w:trPr>
          <w:trHeight w:val="240"/>
        </w:trPr>
        <w:tc>
          <w:tcPr>
            <w:tcW w:w="413" w:type="dxa"/>
          </w:tcPr>
          <w:p w14:paraId="14D7FAB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w:t>
            </w:r>
          </w:p>
          <w:p w14:paraId="3CBB2F4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682" w:type="dxa"/>
          </w:tcPr>
          <w:p w14:paraId="741191F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p w14:paraId="611A263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402" w:type="dxa"/>
          </w:tcPr>
          <w:p w14:paraId="4338281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мотоциклов;</w:t>
            </w:r>
          </w:p>
          <w:p w14:paraId="5C6742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50F8FEF" w14:textId="77777777" w:rsidTr="00CC5360">
        <w:trPr>
          <w:trHeight w:val="230"/>
        </w:trPr>
        <w:tc>
          <w:tcPr>
            <w:tcW w:w="413" w:type="dxa"/>
          </w:tcPr>
          <w:p w14:paraId="3F22874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w:t>
            </w:r>
          </w:p>
          <w:p w14:paraId="2AAD4AD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682" w:type="dxa"/>
          </w:tcPr>
          <w:p w14:paraId="551D3CC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w:t>
            </w:r>
          </w:p>
          <w:p w14:paraId="5DB15EE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402" w:type="dxa"/>
          </w:tcPr>
          <w:p w14:paraId="7891CD9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мотоцикла;</w:t>
            </w:r>
          </w:p>
          <w:p w14:paraId="0C89946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5542111" w14:textId="77777777" w:rsidTr="00CC5360">
        <w:trPr>
          <w:trHeight w:val="240"/>
        </w:trPr>
        <w:tc>
          <w:tcPr>
            <w:tcW w:w="413" w:type="dxa"/>
            <w:tcBorders>
              <w:bottom w:val="single" w:sz="12" w:space="0" w:color="auto"/>
            </w:tcBorders>
          </w:tcPr>
          <w:p w14:paraId="11118D1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w:t>
            </w:r>
          </w:p>
          <w:p w14:paraId="695F110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682" w:type="dxa"/>
            <w:tcBorders>
              <w:bottom w:val="single" w:sz="12" w:space="0" w:color="auto"/>
            </w:tcBorders>
          </w:tcPr>
          <w:p w14:paraId="7F1C6F8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w:t>
            </w:r>
          </w:p>
          <w:p w14:paraId="00EEE31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c>
          <w:tcPr>
            <w:tcW w:w="1402" w:type="dxa"/>
            <w:tcBorders>
              <w:bottom w:val="single" w:sz="12" w:space="0" w:color="auto"/>
            </w:tcBorders>
          </w:tcPr>
          <w:p w14:paraId="678B800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мотоциклов.</w:t>
            </w:r>
          </w:p>
          <w:p w14:paraId="6DBAE0E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tc>
      </w:tr>
    </w:tbl>
    <w:p w14:paraId="778566E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наличное оборудование обеспечивает производство не менее 50 мотоциклов в день, так как участки с меньшим числом деталей могут быть усилены за счет участков, имеющих избыточное оборудование.</w:t>
      </w:r>
    </w:p>
    <w:p w14:paraId="53C9DB6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оборудование моторного цеха коробки передач увеличить на 18 станков, то завод может производить 1300 моторов и коробок в месяц.</w:t>
      </w:r>
    </w:p>
    <w:p w14:paraId="01F2C17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 декабря завод имел 650 человек производственных рабочих. На производство одного мото</w:t>
      </w:r>
      <w:r w:rsidRPr="00722885">
        <w:rPr>
          <w:rFonts w:ascii="Times New Roman" w:hAnsi="Times New Roman"/>
          <w:color w:val="000000" w:themeColor="text1"/>
          <w:sz w:val="16"/>
          <w:szCs w:val="16"/>
        </w:rPr>
        <w:softHyphen/>
        <w:t>цикла требуется 348 человек. Отсюда производственная мощность завода по рабочей силе составля</w:t>
      </w:r>
      <w:r w:rsidRPr="00722885">
        <w:rPr>
          <w:rFonts w:ascii="Times New Roman" w:hAnsi="Times New Roman"/>
          <w:color w:val="000000" w:themeColor="text1"/>
          <w:sz w:val="16"/>
          <w:szCs w:val="16"/>
        </w:rPr>
        <w:softHyphen/>
        <w:t>ла 6500 мотоциклов в год.</w:t>
      </w:r>
    </w:p>
    <w:p w14:paraId="58F554F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Оборудование и рабочая сила заводом полностью не используется. Постоянные перебои в снабжении деталями смежников и подаче нефти для питания дизелей и отопления термического и литейного цехов вызывают простои рабочей силы и оборудования. Завод работает не равномерно, а рывками, в результате дисциплина труда подрывается.</w:t>
      </w:r>
    </w:p>
    <w:p w14:paraId="56C953E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Почти весь декабрь 1942 г. и до 8 января 1943 г. завод стоял из-за отсутствия электроэнергии. Строительство ТЭЦ задерживается и в лучшем случае может начать работать с мая месяца 1943 г., а то и позднее. Немедленно и эффективно можно разрешить проблему энергоснабжения завода за счет работы дизелей, установленных на заводе «Автоприцеп».</w:t>
      </w:r>
    </w:p>
    <w:p w14:paraId="04A5DE4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этого необходимо часть дизелей передать мотозаводу и обеспечить их топливом. Автоприцеп имеет дизеля 100 сил; 300 сил; 400 сил и 600 сил. Всего — 1400 сил.</w:t>
      </w:r>
    </w:p>
    <w:p w14:paraId="6A4C22B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обеспечить топливом имеющиеся дизеля, и бесперебойно получать энергию от локомоби</w:t>
      </w:r>
      <w:r w:rsidRPr="00722885">
        <w:rPr>
          <w:rFonts w:ascii="Times New Roman" w:hAnsi="Times New Roman"/>
          <w:color w:val="000000" w:themeColor="text1"/>
          <w:sz w:val="16"/>
          <w:szCs w:val="16"/>
        </w:rPr>
        <w:softHyphen/>
        <w:t>ля, имеющегося на заводе, тогда Ирбитский мотозавод электроэнергией будет обеспечен.</w:t>
      </w:r>
    </w:p>
    <w:p w14:paraId="05DC2AF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Тюменский мотозавод.</w:t>
      </w:r>
    </w:p>
    <w:p w14:paraId="6A69C5F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наличию оборудования завод в состоянии выпускать до 350 мотоциклов АМ-600 в месяц. Для нормальной работы заводу необходимо, чтобы Тюменская электростанция давала заводу ежемесяч</w:t>
      </w:r>
      <w:r w:rsidRPr="00722885">
        <w:rPr>
          <w:rFonts w:ascii="Times New Roman" w:hAnsi="Times New Roman"/>
          <w:color w:val="000000" w:themeColor="text1"/>
          <w:sz w:val="16"/>
          <w:szCs w:val="16"/>
        </w:rPr>
        <w:softHyphen/>
        <w:t>но не менее 600-700 кВт. электроэнергии. По состоянию на 1 ноября 1942 года завод имел рабочих 515 человек.</w:t>
      </w:r>
    </w:p>
    <w:p w14:paraId="76DD367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причины плохой работы мотоциклетных заводов в 1942 г. и январе-феврале 1943 года:</w:t>
      </w:r>
    </w:p>
    <w:p w14:paraId="1F7FCFA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Недопустимо медленные темпы восстановления мотоциклетных заводов на новых пунктах размещения и неудачный выбор их.</w:t>
      </w:r>
    </w:p>
    <w:p w14:paraId="054EBBF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Наркомсредмаш по настоящему не занимался производством мотоциклов и не оказывал долж</w:t>
      </w:r>
      <w:r w:rsidRPr="00722885">
        <w:rPr>
          <w:rFonts w:ascii="Times New Roman" w:hAnsi="Times New Roman"/>
          <w:color w:val="000000" w:themeColor="text1"/>
          <w:sz w:val="16"/>
          <w:szCs w:val="16"/>
        </w:rPr>
        <w:softHyphen/>
        <w:t>ной помощи заводам.</w:t>
      </w:r>
    </w:p>
    <w:p w14:paraId="388D112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На мотозаводах до сих пор не созданы заготовительные цеха (кузнечные и литейные и инстру</w:t>
      </w:r>
      <w:r w:rsidRPr="00722885">
        <w:rPr>
          <w:rFonts w:ascii="Times New Roman" w:hAnsi="Times New Roman"/>
          <w:color w:val="000000" w:themeColor="text1"/>
          <w:sz w:val="16"/>
          <w:szCs w:val="16"/>
        </w:rPr>
        <w:softHyphen/>
        <w:t>ментальные) , в результате чего мотозаводы поставлены в полную зависимость от поставок деталей заводов смежников.</w:t>
      </w:r>
    </w:p>
    <w:p w14:paraId="16D8B22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Директора заводов ЗИС, ГАЗ, Красная Этна и завод №37 не выполнили постановления ГОКО и сорвали план выпуска мотоциклов в 1942 году.</w:t>
      </w:r>
    </w:p>
    <w:p w14:paraId="123774F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исполнение постановления ГОКО от 16.03.1942 г. за №1456с о восстановлении мотоциклет</w:t>
      </w:r>
      <w:r w:rsidRPr="00722885">
        <w:rPr>
          <w:rFonts w:ascii="Times New Roman" w:hAnsi="Times New Roman"/>
          <w:color w:val="000000" w:themeColor="text1"/>
          <w:sz w:val="16"/>
          <w:szCs w:val="16"/>
        </w:rPr>
        <w:softHyphen/>
        <w:t>ного производства Наркомсредмаш в 1942 году издал пять приказов и ни один из них полностью не выполнен.</w:t>
      </w:r>
    </w:p>
    <w:p w14:paraId="748EBF5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Необеспеченность Ирбитского и Тюменского мотозаводов электроэнергией.</w:t>
      </w:r>
    </w:p>
    <w:p w14:paraId="234F020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4 отдела управления бронепоездов и бронемашин ГБТУ КА инженер-майор Апарин</w:t>
      </w:r>
    </w:p>
    <w:p w14:paraId="290DEB5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11358. Д. 939. Л. 28-29. Подлинник (11403).</w:t>
      </w:r>
    </w:p>
    <w:p w14:paraId="16091FF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71B767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21 ноября 1942 вышло Постановление ГКО № 2530 Об усилении пропускной способности линии Урбах - Астрахань, В. Баскунчак - Ленинск Рязано-Уральской жел. дороги и о строительстве новой линии Эльтон - Ленинск (Солодовка). (7064, 4-10,11-12).</w:t>
      </w:r>
    </w:p>
    <w:p w14:paraId="739D3847" w14:textId="77777777" w:rsidR="00090C9B" w:rsidRPr="00722885" w:rsidRDefault="00090C9B" w:rsidP="00722885">
      <w:pPr>
        <w:pStyle w:val="Iauiue"/>
        <w:tabs>
          <w:tab w:val="left" w:pos="11199"/>
        </w:tabs>
        <w:jc w:val="both"/>
        <w:rPr>
          <w:color w:val="000000" w:themeColor="text1"/>
          <w:sz w:val="16"/>
          <w:szCs w:val="16"/>
        </w:rPr>
      </w:pPr>
    </w:p>
    <w:p w14:paraId="7184F5B3"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21 ноября 1942 вышло Постановление ГКО № 2531 Об обеспечении коммуникаций г. Ленинграда и Ленинградского фронта в зиму 1942-43 гг. (7064, 13-17).</w:t>
      </w:r>
    </w:p>
    <w:p w14:paraId="14D2C240" w14:textId="77777777" w:rsidR="00090C9B" w:rsidRPr="00722885" w:rsidRDefault="00090C9B" w:rsidP="00722885">
      <w:pPr>
        <w:pStyle w:val="Iauiue"/>
        <w:tabs>
          <w:tab w:val="left" w:pos="11199"/>
        </w:tabs>
        <w:jc w:val="both"/>
        <w:rPr>
          <w:color w:val="000000" w:themeColor="text1"/>
          <w:sz w:val="16"/>
          <w:szCs w:val="16"/>
        </w:rPr>
      </w:pPr>
    </w:p>
    <w:p w14:paraId="7472CC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ноября 1942 вышло Постановление ГКО № 2532 О завозе нефтесырья на Московский, Саратовский, Уфимский и Константиновский нефтеперерабатывающие заводы Наркомнефти. РГАНИР, Фонд ГКО, д. 70, лл. 18-19 (11012).</w:t>
      </w:r>
    </w:p>
    <w:p w14:paraId="7311584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B75B22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21 ноября 1942 вышло Постановление ГКО № 2533 О мерах неотложной помощи Березниковской ТЭЦ Наркомата электростанций. (7064, 20-26,27-30).</w:t>
      </w:r>
    </w:p>
    <w:p w14:paraId="6D3F7753" w14:textId="77777777" w:rsidR="00090C9B" w:rsidRPr="00722885" w:rsidRDefault="00090C9B" w:rsidP="00722885">
      <w:pPr>
        <w:pStyle w:val="Iauiue"/>
        <w:tabs>
          <w:tab w:val="left" w:pos="11199"/>
        </w:tabs>
        <w:jc w:val="both"/>
        <w:rPr>
          <w:color w:val="000000" w:themeColor="text1"/>
          <w:sz w:val="16"/>
          <w:szCs w:val="16"/>
        </w:rPr>
      </w:pPr>
    </w:p>
    <w:p w14:paraId="36D1952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154BA17" w14:textId="77777777" w:rsidR="00090C9B" w:rsidRPr="00722885" w:rsidRDefault="00090C9B" w:rsidP="00722885">
      <w:pPr>
        <w:pStyle w:val="Iauiue"/>
        <w:jc w:val="both"/>
        <w:rPr>
          <w:iCs/>
          <w:color w:val="000000" w:themeColor="text1"/>
          <w:sz w:val="16"/>
          <w:szCs w:val="16"/>
        </w:rPr>
      </w:pPr>
    </w:p>
    <w:p w14:paraId="4A73B68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21 ноября </w:t>
      </w:r>
      <w:r w:rsidRPr="00722885">
        <w:rPr>
          <w:rFonts w:ascii="Times New Roman" w:hAnsi="Times New Roman"/>
          <w:color w:val="000000" w:themeColor="text1"/>
          <w:sz w:val="16"/>
          <w:szCs w:val="16"/>
        </w:rPr>
        <w:t>в 1942 году утреннее сообщение Совинформбюро:</w:t>
      </w:r>
    </w:p>
    <w:p w14:paraId="542F5A40"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21 ноября на фронтах существенных изменений не произошло.</w:t>
      </w:r>
    </w:p>
    <w:p w14:paraId="37A61BF9"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части отбивали атаки мелких групп противника. На южной окраине города происходила артиллерийская и миномётная перестрелка. Группа наших разведчиков ворвалась в окопы противника, разрушила 3 блиндажа, взорвала склад боеприпасов и уничтожила до 80 гитлеровцев. В боях за Сталинград снайпер старший сержант т. Сабаев истребил 73 немца, красноармеец т. Хужматов — 117, снайпер т. Зайцев — 161 и лейтенант т. Новицкий уничтожил 60 гитлеровцев.</w:t>
      </w:r>
    </w:p>
    <w:p w14:paraId="7A8BE74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продолжались бои с противником. Н-ская часть очистила от немцев одну высоту, упорно оборонявшуюся гитлеровцами. На поле боя осталосьдо 200 вражеских трупов. На другом участке гвардейцы-миномётчики огневыми залпами сожгли 2 немецких танка, 4 автомашины и истребили до роты пехоты противника.</w:t>
      </w:r>
    </w:p>
    <w:p w14:paraId="6435C951"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бойцы Н-ской части атаковали противника и уничтожили более 100 гитлеровцев, 5 автомашин и 2 противотанковых орудия. Артиллерийским огнём натом же участке разрушено 12 дзотов и блиндажей противника.</w:t>
      </w:r>
    </w:p>
    <w:p w14:paraId="7E791FE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участке Западного фронта пехотное подразделение Н-ской части атаковало укреплённый рубеж противника.</w:t>
      </w:r>
    </w:p>
    <w:p w14:paraId="07CB092A"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непродолжительного боя наши бойцы выбили гитлеровцев с этого рубежа. Немцы потеряли убитыми 70 солдат и офицеров. Захвачены 7 пулемётов и миномёт.</w:t>
      </w:r>
    </w:p>
    <w:p w14:paraId="132B551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происходила артиллерийская перестрелка и поиски разведчиков. Группа разведчиков под командованием лейтенанта Колосова, преодолев минное поле, проникла в расположение противника. Наши бойцы истребили 25 гитлеровцев и, захватив вражеский пулемёт, вернулись в свою часть. Гвардейцы-миномётчики части, где командиром тов. Козлов, огневыми налётами уничтожили 3 артиллерийские батареи противника вместе с орудийными расчётами.</w:t>
      </w:r>
    </w:p>
    <w:p w14:paraId="006D36F8"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моряков Черноморского флота под командованием младшего лейтенанта Пшеченко высадилась в глубоком тылу противника. Краснофлотцы напали на береговую охрану и уничтожили 15 немецких солдат и офицеров. Захватив оружие, оставленное противником, краснофлотцы без потерь вернулись в свою часть.</w:t>
      </w:r>
    </w:p>
    <w:p w14:paraId="78E27E1D"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отряда, действующего на Северном Кавказе, организовала крушение железнодорожного эшелона противника. Разбито два паровоза и 20 вагонов.</w:t>
      </w:r>
    </w:p>
    <w:p w14:paraId="240D1D51"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день вступления немецких войск в Лион (Франция) произошли три взрыва. Однаиз бомб взорвалась в отеле, где разместились германские офицеры.» (14836).</w:t>
      </w:r>
    </w:p>
    <w:p w14:paraId="262A7854"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4657086E"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21 ноября </w:t>
      </w:r>
      <w:r w:rsidRPr="00722885">
        <w:rPr>
          <w:rFonts w:ascii="Times New Roman" w:hAnsi="Times New Roman"/>
          <w:color w:val="000000" w:themeColor="text1"/>
          <w:sz w:val="16"/>
          <w:szCs w:val="16"/>
        </w:rPr>
        <w:t>в 1942 году вечернее сообщение Совинформбюро</w:t>
      </w:r>
    </w:p>
    <w:p w14:paraId="13EB3C9B"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21 ноября наши войска вели бои с противником в районе Сталинграда, юго-восточнее Нальчика и северо-восточнее Туапсе.</w:t>
      </w:r>
    </w:p>
    <w:p w14:paraId="4280B537"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в заводской части города наши войска отбивали атаки мелких групп немецкой пехоты. На других участках наши части вели огневой бой с противником. В течение дня уничтожено до 500 немецких солдат и офицеров, 6 орудий и 8 миномётов.</w:t>
      </w:r>
    </w:p>
    <w:p w14:paraId="5EB4CD94"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на одном из участков вели активные боевые действия. Н-ская гвардейская часть истребила до 700 вражеских солдат и офицеров. Нашими бойцами и огнём артиллерии подбито 2 и сожжено 4 немецких танка, уничтожено 6 автомашин и 6 станковых пулемётов.</w:t>
      </w:r>
    </w:p>
    <w:p w14:paraId="593F955C"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бойцы Н-ской части в течение дня отбили три атаки противника. Уничтожено до двух рот вражеской пехоты, 2 танка и 10 автомашин. Советские артиллеристы и миномётчики подавили огонь 2 артиллерийских и 3 миномётных батарей, рассеяли и частично уничтожили до батальона немцев.</w:t>
      </w:r>
    </w:p>
    <w:p w14:paraId="7751C827"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продолжались бои. На одном из участков наши подразделения потеснили противника и заняли несколько вражеских укреплений. Уничтожено 170 гитлеровцев, орудие, 3 пулемёта и 2 миномёта. В этом бою лейтенант Чулков в рукопашной схватке истребил трёх гитлеровцев и захватил немецкий пулемёт. Пулемётчик т. Нискулов расстрелял несколько десятков солдат противника.</w:t>
      </w:r>
    </w:p>
    <w:p w14:paraId="1778894A"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Западном фронте наши войска обороняли занимаемые позиции и вели артиллерийско-миномётную перестрелку с противником. На ряде участков фронта наши подразделения предприняли разведку боем. В течение дня уничтожено до 500 солдат и офицеров противника, разрушено 16 блиндажей и дзотов. Нашими разведчиками захвачено 19 пулемётов и 50 винтовок.</w:t>
      </w:r>
    </w:p>
    <w:p w14:paraId="06379EF3"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Северо-Западном фронте происходила редкая артиллерийская перестрелка. Орудийный расчёт т. Панова разрушил два вражеских дзота и уничтожил орудие противника вместе с прислугой. Снайпер т. Митрофанов за день истребил 9 немцев, т. Нефедов — 7, т. Шишенко уничтожил 5 гитлеровцев. Красноармеец т. Булыгин задержал двух немецких лётчиков, приземлившихся в расположении наших войск и пытавшихся пробраться через линию фронта.</w:t>
      </w:r>
    </w:p>
    <w:p w14:paraId="1ED97332"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Витебской области, пустил под откос воинский эшелон противника, следовавший на фронт. Разбиты паровоз и 16 вагонов. Другой отряд витебских партизан истребил 63 немецко-фашистских оккупанта. Группа партизан устроила засаду в районе аэродрома противника. Советские патриоты уничтожили 2 автомашины и захватили в плен 3 немецких лётчиков.</w:t>
      </w:r>
    </w:p>
    <w:p w14:paraId="1725115E"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учинили кровавую расправу над жителями села Залужного, Воронежской области. Гитлеровские бандиты расстреляли 16 колхозниц этого села только за то, что они без разрешения немецкого коменданта собирали оставшийся в поле мелкий картофель. Из хутора Титчиха немцы угнали на каторжные работы в Германию около 100 человек молодёжи, главным образом девушек.</w:t>
      </w:r>
    </w:p>
    <w:p w14:paraId="04181294"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после ожесточённых боёв заняли город Слунь. Партизаны захватили 170 винтовок, противотанковое орудие, несколько пулемётов и много боеприпасов. По неполным данным, группа партизанских отрядов Югославии в октябре месяце уничтожила 1160 немецко-итальянских оккупантов.»</w:t>
      </w:r>
    </w:p>
    <w:p w14:paraId="2A8D598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0BB199B8"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Успешное наступление наших войск в районе города Сталинграда.</w:t>
      </w:r>
    </w:p>
    <w:p w14:paraId="3762E85C"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днях наши войска, расположенные на подступах Сталинграда, перешли в наступление против немецко-фашистских войск. Наступление началось в двух направлениях: с северо-запада и с юга от Сталинграда. Прорвав оборонительную линию противника протяжением 30 километров на северо-западе (в районе Серафимович), а на юге от Сталинграда — протяжением 20 километров, наши войска за три дня напряжённых боёв, преодолевая сопротивление противника, продвинулись на 60—70 километров. Нашими войсками заняты город Калач на восточном берегу Дона, станция Кривомузгинская (Советск), станция и город Абганерово. Таким образом, обе железные дороги, снабжающие войска противника, расположенные восточнее Дона, оказались прерванными.</w:t>
      </w:r>
    </w:p>
    <w:p w14:paraId="6878D3F5"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наступления наших войск полностью разгромлены шесть пехотных и одна танковая дивизии противника. Нанесены большие потери семи пехотным, двум танковым и двум моторизованным дивизиям противника.</w:t>
      </w:r>
    </w:p>
    <w:p w14:paraId="7E68433B"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Захвачено за три дня боёв 13.000 пленных и 360 орудий.</w:t>
      </w:r>
    </w:p>
    <w:p w14:paraId="00E8177D"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Захвачено также много пулемётов, миномётов, винтовок, автомашин, большое количество складов с боеприпасами, вооружением и продовольствием. Трофеи подсчитываются.</w:t>
      </w:r>
    </w:p>
    <w:p w14:paraId="62D9BCF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Противник оставил на поле боя более 14.000 трупов солдат и офицеров.</w:t>
      </w:r>
    </w:p>
    <w:p w14:paraId="56347162"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боях отличились войска генерал-лейтенанта т. Романенко, генерал-майора т. Чистякова, генерал-майора т. Толбухина, генерал-майора т. Труфанова, генерал-лейтенанта т. Батова.</w:t>
      </w:r>
    </w:p>
    <w:p w14:paraId="34EE8D60"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продолжается.» (14836).</w:t>
      </w:r>
    </w:p>
    <w:p w14:paraId="3EB26E5F"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5E410BD3"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21 ноября </w:t>
      </w:r>
      <w:r w:rsidRPr="00722885">
        <w:rPr>
          <w:rFonts w:ascii="Times New Roman" w:hAnsi="Times New Roman"/>
          <w:color w:val="000000" w:themeColor="text1"/>
          <w:sz w:val="16"/>
          <w:szCs w:val="16"/>
        </w:rPr>
        <w:t>в 1942 году в районе Жирки советские войска разгромили 1-ю танковую и 15-ю пехотную румынские дивизии, окружили в районе Распопинской войска 5-го и 4-го румынских армейских корпусов. Войска Сталинградского фронта вышли в район Абганерово (14836).</w:t>
      </w:r>
    </w:p>
    <w:p w14:paraId="006F8B47"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523ECC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21 и 22 декабря 1942 продолжалась упор</w:t>
      </w:r>
      <w:r w:rsidRPr="00722885">
        <w:rPr>
          <w:color w:val="000000" w:themeColor="text1"/>
          <w:sz w:val="16"/>
          <w:szCs w:val="16"/>
        </w:rPr>
        <w:softHyphen/>
        <w:t>ная борьба на левом берегу р. Мышкова. Немцы удерживали плацдарм у Васильевки. По данным разведки к исхо</w:t>
      </w:r>
      <w:r w:rsidRPr="00722885">
        <w:rPr>
          <w:color w:val="000000" w:themeColor="text1"/>
          <w:sz w:val="16"/>
          <w:szCs w:val="16"/>
        </w:rPr>
        <w:softHyphen/>
        <w:t>ду 22 декабря в районе Васильевки про</w:t>
      </w:r>
      <w:r w:rsidRPr="00722885">
        <w:rPr>
          <w:color w:val="000000" w:themeColor="text1"/>
          <w:sz w:val="16"/>
          <w:szCs w:val="16"/>
        </w:rPr>
        <w:softHyphen/>
        <w:t>тивник сосредоточил до 300 танков и САУ и до пяти полков мотопехоты. На сле</w:t>
      </w:r>
      <w:r w:rsidRPr="00722885">
        <w:rPr>
          <w:color w:val="000000" w:themeColor="text1"/>
          <w:sz w:val="16"/>
          <w:szCs w:val="16"/>
        </w:rPr>
        <w:softHyphen/>
        <w:t>дующий день немцы ударили в стык между 2-й гвардейской и 51-й армий и овладели д. Васильевка и хут. Бирзовой. Попытка развить успех на Табектенеровку успеха не имела. Под контрударами частей 2-й гвардейской армии против</w:t>
      </w:r>
      <w:r w:rsidRPr="00722885">
        <w:rPr>
          <w:color w:val="000000" w:themeColor="text1"/>
          <w:sz w:val="16"/>
          <w:szCs w:val="16"/>
        </w:rPr>
        <w:softHyphen/>
        <w:t>ник в ночь на 23 декабря отошел с ру</w:t>
      </w:r>
      <w:r w:rsidRPr="00722885">
        <w:rPr>
          <w:color w:val="000000" w:themeColor="text1"/>
          <w:sz w:val="16"/>
          <w:szCs w:val="16"/>
        </w:rPr>
        <w:softHyphen/>
        <w:t>бежа Нижне-Кумский, Громославка, Кап</w:t>
      </w:r>
      <w:r w:rsidRPr="00722885">
        <w:rPr>
          <w:color w:val="000000" w:themeColor="text1"/>
          <w:sz w:val="16"/>
          <w:szCs w:val="16"/>
        </w:rPr>
        <w:softHyphen/>
        <w:t>кинский к югу, на уровень Верхне-Кумс</w:t>
      </w:r>
      <w:r w:rsidRPr="00722885">
        <w:rPr>
          <w:color w:val="000000" w:themeColor="text1"/>
          <w:sz w:val="16"/>
          <w:szCs w:val="16"/>
        </w:rPr>
        <w:softHyphen/>
        <w:t>кий. Наступление противника было ос</w:t>
      </w:r>
      <w:r w:rsidRPr="00722885">
        <w:rPr>
          <w:color w:val="000000" w:themeColor="text1"/>
          <w:sz w:val="16"/>
          <w:szCs w:val="16"/>
        </w:rPr>
        <w:softHyphen/>
        <w:t>тановлено (6467).</w:t>
      </w:r>
    </w:p>
    <w:p w14:paraId="4E3097F0" w14:textId="77777777" w:rsidR="00090C9B" w:rsidRPr="00722885" w:rsidRDefault="00090C9B" w:rsidP="00722885">
      <w:pPr>
        <w:pStyle w:val="Iauiue"/>
        <w:jc w:val="both"/>
        <w:rPr>
          <w:color w:val="000000" w:themeColor="text1"/>
          <w:sz w:val="16"/>
          <w:szCs w:val="16"/>
        </w:rPr>
      </w:pPr>
    </w:p>
    <w:p w14:paraId="3941C20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ABE7432" w14:textId="77777777" w:rsidR="00090C9B" w:rsidRPr="00722885" w:rsidRDefault="00090C9B" w:rsidP="00722885">
      <w:pPr>
        <w:pStyle w:val="Iauiue"/>
        <w:jc w:val="both"/>
        <w:rPr>
          <w:iCs/>
          <w:color w:val="000000" w:themeColor="text1"/>
          <w:sz w:val="16"/>
          <w:szCs w:val="16"/>
        </w:rPr>
      </w:pPr>
    </w:p>
    <w:p w14:paraId="677C6539"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21 ноября </w:t>
      </w:r>
      <w:r w:rsidRPr="00722885">
        <w:rPr>
          <w:rFonts w:ascii="Times New Roman" w:hAnsi="Times New Roman"/>
          <w:color w:val="000000" w:themeColor="text1"/>
          <w:sz w:val="16"/>
          <w:szCs w:val="16"/>
        </w:rPr>
        <w:t>в 1942 году в Северной Африке 8-ая британская армия вновь захватила город Бенгази, Ливия (14836).</w:t>
      </w:r>
    </w:p>
    <w:p w14:paraId="2A442B5A"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143FE7E6"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21 ноября </w:t>
      </w:r>
      <w:r w:rsidRPr="00722885">
        <w:rPr>
          <w:rFonts w:ascii="Times New Roman" w:hAnsi="Times New Roman"/>
          <w:color w:val="000000" w:themeColor="text1"/>
          <w:sz w:val="16"/>
          <w:szCs w:val="16"/>
        </w:rPr>
        <w:t>в 1942 году массированный налет англо-американской стратегической авиации на города Италии (14836).</w:t>
      </w:r>
    </w:p>
    <w:p w14:paraId="72B031FA"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6C7A3256"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21 ноября 1942 открыт хайвэй Аляски через Канаду (4962).</w:t>
      </w:r>
    </w:p>
    <w:p w14:paraId="26EA0A73" w14:textId="77777777" w:rsidR="00090C9B" w:rsidRPr="00722885" w:rsidRDefault="00090C9B" w:rsidP="00722885">
      <w:pPr>
        <w:pStyle w:val="Iauiue"/>
        <w:tabs>
          <w:tab w:val="left" w:pos="11199"/>
        </w:tabs>
        <w:jc w:val="both"/>
        <w:rPr>
          <w:color w:val="000000" w:themeColor="text1"/>
          <w:sz w:val="16"/>
          <w:szCs w:val="16"/>
        </w:rPr>
      </w:pPr>
    </w:p>
    <w:p w14:paraId="7B9FA55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69699A0" w14:textId="77777777" w:rsidR="00090C9B" w:rsidRPr="00722885" w:rsidRDefault="00090C9B" w:rsidP="00722885">
      <w:pPr>
        <w:pStyle w:val="Iauiue"/>
        <w:jc w:val="both"/>
        <w:rPr>
          <w:iCs/>
          <w:color w:val="000000" w:themeColor="text1"/>
          <w:sz w:val="16"/>
          <w:szCs w:val="16"/>
        </w:rPr>
      </w:pPr>
    </w:p>
    <w:p w14:paraId="4A9070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ноября 1942 судя по фото в бригаде 7 ОКБ П.О.С. была готова схема самолета ББ</w:t>
      </w:r>
    </w:p>
    <w:p w14:paraId="22428FF4" w14:textId="77777777" w:rsidR="00090C9B" w:rsidRPr="00722885" w:rsidRDefault="00090C9B" w:rsidP="00722885">
      <w:pPr>
        <w:pStyle w:val="Iauiue"/>
        <w:jc w:val="both"/>
        <w:rPr>
          <w:color w:val="000000" w:themeColor="text1"/>
          <w:sz w:val="16"/>
          <w:szCs w:val="16"/>
        </w:rPr>
      </w:pPr>
    </w:p>
    <w:p w14:paraId="6E9956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22 ноября 1942 Врид. ком. ВВС Фалалеев писал письмо N 357430сс НКАП А.И.Ш.:</w:t>
      </w:r>
    </w:p>
    <w:p w14:paraId="0B95D5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"Отсутствие на фронте самолетов-корректировщиков не дает возможности использовать со всей мощностью и эффективностью артогонь.</w:t>
      </w:r>
    </w:p>
    <w:p w14:paraId="0E2CDFB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Вопрос о корректировочном самолете разрешается с начала войны, но до сих пор так и остается неразрешенным.</w:t>
      </w:r>
    </w:p>
    <w:p w14:paraId="6A8FB3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данное время из имеющихся образцов лучшим будет Ил-2 М-82 (двухмоторный).</w:t>
      </w:r>
    </w:p>
    <w:p w14:paraId="25F708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Прошу Вас поставить перед конструкторами задачу переделать один из наших двухместных самолетов под корректировщика. Мы имеем задание Ставки сформировать 19 корректировочных эскадрилий, но подходящего типа самолета не имеем." (1632,233).</w:t>
      </w:r>
    </w:p>
    <w:p w14:paraId="110B42AC" w14:textId="77777777" w:rsidR="00090C9B" w:rsidRPr="00722885" w:rsidRDefault="00090C9B" w:rsidP="00722885">
      <w:pPr>
        <w:pStyle w:val="Iauiue"/>
        <w:jc w:val="both"/>
        <w:rPr>
          <w:color w:val="000000" w:themeColor="text1"/>
          <w:sz w:val="16"/>
          <w:szCs w:val="16"/>
        </w:rPr>
      </w:pPr>
    </w:p>
    <w:p w14:paraId="78098AB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11C4EBA" w14:textId="77777777" w:rsidR="00090C9B" w:rsidRPr="00722885" w:rsidRDefault="00090C9B" w:rsidP="00722885">
      <w:pPr>
        <w:pStyle w:val="Iauiue"/>
        <w:jc w:val="both"/>
        <w:rPr>
          <w:iCs/>
          <w:color w:val="000000" w:themeColor="text1"/>
          <w:sz w:val="16"/>
          <w:szCs w:val="16"/>
        </w:rPr>
      </w:pPr>
    </w:p>
    <w:p w14:paraId="5604F5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ноября 1942 вышло Распоряжение ГКО № 2534 Об уменьшении лимитов потребления электроэнергии по Куйбышевской обл. на ноябрь и декабрь 1942 г. РГАНИР, Фонд ГКО, д. 70, лл. 31 (11012).</w:t>
      </w:r>
    </w:p>
    <w:p w14:paraId="175BACC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300887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6810BB6" w14:textId="77777777" w:rsidR="00090C9B" w:rsidRPr="00722885" w:rsidRDefault="00090C9B" w:rsidP="00722885">
      <w:pPr>
        <w:pStyle w:val="Iauiue"/>
        <w:jc w:val="both"/>
        <w:rPr>
          <w:iCs/>
          <w:color w:val="000000" w:themeColor="text1"/>
          <w:sz w:val="16"/>
          <w:szCs w:val="16"/>
        </w:rPr>
      </w:pPr>
    </w:p>
    <w:p w14:paraId="0FAB18F7"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22 ноября </w:t>
      </w:r>
      <w:r w:rsidRPr="00722885">
        <w:rPr>
          <w:rFonts w:ascii="Times New Roman" w:hAnsi="Times New Roman"/>
          <w:color w:val="000000" w:themeColor="text1"/>
          <w:sz w:val="16"/>
          <w:szCs w:val="16"/>
        </w:rPr>
        <w:t>в 1942 году утреннее сообщение Совинформбюро:</w:t>
      </w:r>
    </w:p>
    <w:p w14:paraId="31E97906"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22 ноября на фронтах существенных изменений не произошло.</w:t>
      </w:r>
    </w:p>
    <w:p w14:paraId="64D4A4FB"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бойцы Н-ской части отбили две атаки противника и уничтожили 130 гитлеровцев. Захвачено 3 пулемёта и 40 винтовок. На другом участке наше подразделение совершило ночную вылазку в расположение противника, взорвало 4 дзота и уничтожило 60 немецких солдат и офицеров. Огневыми налётами гвардейцев-миномётчиков взорван склад боеприпасов и уничтожено до роты пехоты противника.</w:t>
      </w:r>
    </w:p>
    <w:p w14:paraId="4CCA2E2A"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Н-ская часть отбила контратаку гитлеровцев и уничтожила более 100 вражеских солдат и офицеров. Нашими артиллеристами подавлен огонь 3 артиллерийских и 3 миномётных батарей противника.</w:t>
      </w:r>
    </w:p>
    <w:p w14:paraId="0359DA34"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одно наше подразделение ночью ворвалось в расположение противника. В рукопашной схватке уничтожено 70 гитлеровцев.</w:t>
      </w:r>
    </w:p>
    <w:p w14:paraId="2914A14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противнику ценой больших потерь удалось занять одну высоту. Наши подразделения контратаковали немцев и после упорного боя вынудили их отойти на прежние позиции. На скатах высоты осталось до 200 вражеских трупов. На другом участке огнём нашей артиллерии рассеяно и частью уничтожено до батальона пехоты противника.</w:t>
      </w:r>
    </w:p>
    <w:p w14:paraId="177D11D1"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орловских партизан в первой половине ноября организовала крушение 2 железнодорожных эшелонов противника. Разбито 2 паровоза, 37 вагонов и уничтожено до 200 немецких солдат и офицеров. Ночью группа партизан проникла на железнодорожную станцию, занятую немцами, и подожгла состав с горючим. Огнём уничтожено 10 цистерн. Другой отряд орловских партизан совершил нападение на штаб венгерского батальона. Советские патриоты разгромили штаб, перебили 29 венгерских солдат и офицеров и захватили 20 винтовок и 2 пулемёта.</w:t>
      </w:r>
    </w:p>
    <w:p w14:paraId="342148A8"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боях в районе Владикавказа наши войска освободили от немецких оккупанто вряд населённых пунктов. B одном селе немцы хозяйничали всего лишь несколько дней. За это время они дочиста ограбили всех колхозников. Бандиты выбросили из домов на улицу всех жителей, в том числе стариков, женщин и детей. У колхозника Похаева гитлеровцы разрушили дом, забрали 2 коровы, свинью, 38 пудов картофеля, 2 пуда сушёных фруктов и все вещи, вплоть до детского белья. У колхозника Хостоева грабители порезали домашний скот, перебили посуду и забрали все продукты. Такой же участи подверглись все 75 колхозников села. В немецких автомашинах и танках, захваченных нашими бойцами, обнаружено много вещей, награбленных у колхозников. Часть вещей немецкие солдаты и офицеры уже упаковали в посылки. Они даже написали на них адреса, но отправить посылки не успели.</w:t>
      </w:r>
    </w:p>
    <w:p w14:paraId="7BED24AD"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Бельгийские патриоты взорвали и на длительный срок вывели из строя горнорудный завод в районе Ламбюсар. Этот завод работал по заказам немцев. На днях выстрелом из револьвера был убит на улице бургомистр города Вервье, ставленник гитлеровцев (14837).</w:t>
      </w:r>
    </w:p>
    <w:p w14:paraId="53A50445"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7CA1BBFB"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22 ноября </w:t>
      </w:r>
      <w:r w:rsidRPr="00722885">
        <w:rPr>
          <w:rFonts w:ascii="Times New Roman" w:hAnsi="Times New Roman"/>
          <w:color w:val="000000" w:themeColor="text1"/>
          <w:sz w:val="16"/>
          <w:szCs w:val="16"/>
        </w:rPr>
        <w:t>в 1942 году вечернее сообщение Совинформбюро:</w:t>
      </w:r>
    </w:p>
    <w:p w14:paraId="63B5821E"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22 ноября наши войска вели успешное наступление с северо-запада и с юга от города Сталинграда.</w:t>
      </w:r>
    </w:p>
    <w:p w14:paraId="454DB581"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войсками заняты город Калач на восточном берегу Дона, станция Кривомузгинская (Советск), станция и город Абганерово.</w:t>
      </w:r>
    </w:p>
    <w:p w14:paraId="5138F253"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15 по 21 ноября включительно, в воздушных боях, на аэродромах и огнём зенитной артиллерии уничтожено 60 немецких самолётов. Наши потери за это же время — 34 самолёта.</w:t>
      </w:r>
    </w:p>
    <w:p w14:paraId="10B5398A"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ноября частями нашей авиации на различных участках фронта уничтожено 10 немецких танков, 40 автомашин с войсками и грузами, подавлен огонь 2 артиллерийских батарей, рассеяно и частью уничтожено до батальона пехоты противника.</w:t>
      </w:r>
    </w:p>
    <w:p w14:paraId="136D1F61"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заводской части города Сталинграда наши войска отбили атаку пехоты и танков противника. На поле боя осталось несколько сот убитых немецких солдат и офицеров. На другом участке наши части атаковали противника, сломили его сопротивление и заняли господствующую над городом высоту.</w:t>
      </w:r>
    </w:p>
    <w:p w14:paraId="5C598136"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прорвав оборону противника, продолжали успешно продвигаться вперёд. На одном участке советские части в течение дня разгромили до двух полков немецкой пехоты, уничтожили 18 танков, 12 орудий, разрушили до 30 дзотов противника. Захвачено много пленных. На другом участке наши бойцы выбили противника из сильно укреплённого пункта. B этом бою истреблено до 1.000 вражеских солдат и офицеров. Захвачены 23 пулемёта, 14 миномётов, 2 склада с боеприпасами, 2 склада с инженерным имуществом, склад с продовольствием и другие трофеи.</w:t>
      </w:r>
    </w:p>
    <w:p w14:paraId="70BEDE90"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преодолевая сопротивление противника, успешно продвигаются вперёд. Заняты десятки населённых пунктов. Бойцы Н-ской части разгромили пехотную дивизию противника и захватили в плен около 5 тысяч солдат иофицеров. Целиком сдался в плен вместе с командиром артиллерийский полк этой дивизии. За день боя захвачены 3 немецких танка, 36 орудий, 22 миномёта, 100 противотанковых ружей, 2 миллиона винтовочных патронов и другие трофеи.</w:t>
      </w:r>
    </w:p>
    <w:p w14:paraId="656D345E"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Н-ское соединение отбило три контратаки противника и улучшило свои позиции. На поле боя осталось до 200 вражеских трупов, 2 сожжённыхи 3 подбитых танка. На другом участке наши части овладели одним заводом. Советская артиллерия подавила огонь 2 артиллерийских и 5 миномётных батарей противника, рассеяла до трёх рот вражеской пехоты.</w:t>
      </w:r>
    </w:p>
    <w:p w14:paraId="297EF64E"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происходили бои местного значения. В районе одной высоты противник силою до батальона пехоты атаковал наши позиции. Атака гитлеровцев отбита. Уничтожено свыше 100 немецких солдат и офицеров. На другом участке подразделение лейтенанта Придухина очистило от немцев несколько окопов и блиндажей.</w:t>
      </w:r>
    </w:p>
    <w:p w14:paraId="06BBE75B"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Над передним краем нашей обороны сбито 5 самолётов противника.</w:t>
      </w:r>
    </w:p>
    <w:p w14:paraId="71A73970"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Смоленской области, пустил под откос два железнодорожных эшелона противника. Разбито 2 паровоза, 45 вагонови 4 платформы. Партизаны другого отряда сожгли казарму, в которой помещались немецкие солдаты, и взорвали мост через реку. В одном районе немцы окружили небольшую группу смоленских партизан. Советские патриоты вступили в бой против численно превосходящих сил врага, истребили 92 немецких солдата и прорвали окружение.</w:t>
      </w:r>
    </w:p>
    <w:p w14:paraId="37538469"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советских граждан, бежавшая из фашистского плена, рассказала о зверствах гитлеровских мерзавцев в оккупированных районах Смоленской области. Немецкие захватчики сожгли дотла деревни Никитинки, Синяки, Покровское и Маклаково. В деревне Новосёлки фашистские изверги сожгли не только дома и другие постройки, но и всех жителей. В деревнях Воробьёво, Акатово и Тверды немцы установили тюремный режим. Они разместили всех колхозников — мужчин и женщин, стариков и детей — в нескольких домах и держат их под охраной. Два раза в день —утром и вечером устраивается перекличка. Заключённых под конвоем гоняют на работу.</w:t>
      </w:r>
    </w:p>
    <w:p w14:paraId="1A0B7A67"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сведениям, полученным из Будапешта, Гитлер потребовал от правительства Венгрии значительного увеличения поставок продовольствия в Германию. По настоянию Берлина в ближайшие дни во всей Венгрии будет уменьшена норма выдачи хлеба. Официально объявлено, что хлебный паёк снижается с 200 граммов до 150 граммов на человека в день. Как известно, это норма — самая низкая в Европе. До последнего времени такую норму получали только итальянцы. Теперь гитлеровцы посадили на голодный паёк не только итальянцев, но и венгров.»</w:t>
      </w:r>
    </w:p>
    <w:p w14:paraId="4563751E"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1390E67A"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продолжается.</w:t>
      </w:r>
    </w:p>
    <w:p w14:paraId="38E6A359"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23-го ноября наши войска, продолжая наступление, в северо-западном направлении прошли 10—20 километров и заняли город Чернышевская, город Перелазовский и местечко Погодинский. На юге от Сталинграда наши войска продвинулись на 15—20 километров и заняли город Тундутово и город Аксай.</w:t>
      </w:r>
    </w:p>
    <w:p w14:paraId="03155CA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23-го ноября количество пленных увеличилось на 11 тысяч, и теперь количество пленных составляет 24 тысячи.</w:t>
      </w:r>
    </w:p>
    <w:p w14:paraId="659166C3"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захвачено трофеев к исходу 23-го ноября: орудий — 557, автомашин —2.826, железнодорожных вагонов — 1.200, пулемётов— 2.625, самолётов исправных —32, танков исправных — 35 и большое количество ручного оружия и боеприпасов, пока еще не учтённых.</w:t>
      </w:r>
    </w:p>
    <w:p w14:paraId="162021BC"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Уничтожено: самолётов — 70, танков — 157, орудий — 186.</w:t>
      </w:r>
    </w:p>
    <w:p w14:paraId="69BADA13"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23-е ноября противник оставил на поле боя 12 тысяч трупов солдат и офицеров.» (14837).</w:t>
      </w:r>
    </w:p>
    <w:p w14:paraId="404CEE42"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625D2E45"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22 ноября 1942 немецкую автоколонну около калмыцкой станции Яшкуль протаранил сбитый «горбатый» младшего лейтенанта Александра Прудникова из 232-го шап. По этому поводу в официальной истории 8-й воздушной армии говорится:</w:t>
      </w:r>
    </w:p>
    <w:p w14:paraId="2BC4F42B" w14:textId="77777777" w:rsidR="008D2293" w:rsidRPr="00722885" w:rsidRDefault="008D2293" w:rsidP="00722885">
      <w:pPr>
        <w:pStyle w:val="ae"/>
        <w:spacing w:before="0" w:after="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«Наземные войска, действовавшие здесь, под впечатлением подвига летчика-штурмовика бросились в атаку и освободили Яшкуль, а затем нашли останки героя и захоронили их в центре населенного пункта».</w:t>
      </w:r>
    </w:p>
    <w:p w14:paraId="3DD7ED10"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Таким образом, за четыре месяца летчики 8-й воздушной армии совершили тринадцать огненных таранов, из которых десять приходились на штурмовики. Кто-кто, а штатные пропагандисты и агитаторы могли спать спокойно, поскольку их деятельность принесла наглядные результаты.</w:t>
      </w:r>
    </w:p>
    <w:p w14:paraId="1FAE57AE"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Всего же в ходе Великой Отечественной войны, по имеющимся данным, огненные тараны совершили как минимум 120 летчиков-штурмовиков.</w:t>
      </w:r>
    </w:p>
    <w:p w14:paraId="7E667204"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Однако при всем пафосе, которым советская пропаганда окружала, без всякого сомнения, их героические действия, обращает на себя внимание следующий факт. К моменту совершения огненного тарана шестеро — гвардии лейтенант Петр Кривень, старший лейтенант Борис Окрестин, капитаны Петр Зубко и Евгений Иванов, гвардии капитаны Дмитрий Жабинский и Николай Семейко — уже имели звания Героев Советского Союза, а из оставшихся 114 человек это звание затем присвоили только 21 пилоту.</w:t>
      </w:r>
    </w:p>
    <w:p w14:paraId="3B31126B"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Получается следующая картина. Выше на примере действий флотских штурмовиков было показано, что порой летчики получали звание Героя за огненные тараны, которые не имели подтверждений. И наоборот, те, кто действительно таранил вражеские корабли, танки и автомобили, даже не представлялись к нему. Это было одним из наглядных проявлений известного выражения о «наказании невиновных и награждении непричастных», которое находило подтверждение абсолютно во всех областях советской действительности (19522).</w:t>
      </w:r>
    </w:p>
    <w:p w14:paraId="649C5C39" w14:textId="77777777" w:rsidR="008D2293" w:rsidRPr="00722885" w:rsidRDefault="008D2293" w:rsidP="00722885">
      <w:pPr>
        <w:pStyle w:val="ae"/>
        <w:spacing w:before="0" w:after="0"/>
        <w:jc w:val="both"/>
        <w:textAlignment w:val="baseline"/>
        <w:rPr>
          <w:color w:val="000000" w:themeColor="text1"/>
          <w:sz w:val="16"/>
          <w:szCs w:val="16"/>
        </w:rPr>
      </w:pPr>
    </w:p>
    <w:p w14:paraId="5D8AF03D"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22 ноября </w:t>
      </w:r>
      <w:r w:rsidRPr="00722885">
        <w:rPr>
          <w:rFonts w:ascii="Times New Roman" w:hAnsi="Times New Roman"/>
          <w:color w:val="000000" w:themeColor="text1"/>
          <w:sz w:val="16"/>
          <w:szCs w:val="16"/>
        </w:rPr>
        <w:t>в 1942 году на туапсинском направлении противник вклинился в оборону 18-й армии до 10 км по фронту и 8 км в глубину (14837).</w:t>
      </w:r>
    </w:p>
    <w:p w14:paraId="362F45D4"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4E969E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ночь на 22 ноября 1942 лихим рейдом танкисты 157-й танковой бригады захватили мост через р. Дон. Немецкая охрана моста никак не ожидала, что приближавшиеся с зажженными фарами машины - советские. (3862).</w:t>
      </w:r>
    </w:p>
    <w:p w14:paraId="034D341C" w14:textId="77777777" w:rsidR="00090C9B" w:rsidRPr="00722885" w:rsidRDefault="00090C9B" w:rsidP="00722885">
      <w:pPr>
        <w:pStyle w:val="Iauiue"/>
        <w:jc w:val="both"/>
        <w:rPr>
          <w:color w:val="000000" w:themeColor="text1"/>
          <w:sz w:val="16"/>
          <w:szCs w:val="16"/>
        </w:rPr>
      </w:pPr>
    </w:p>
    <w:p w14:paraId="43D4C21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22 ноября 1942 под Сталинградом окружена 6-я немецкая армия (4962).</w:t>
      </w:r>
    </w:p>
    <w:p w14:paraId="5426640A" w14:textId="77777777" w:rsidR="00090C9B" w:rsidRPr="00722885" w:rsidRDefault="00090C9B" w:rsidP="00722885">
      <w:pPr>
        <w:pStyle w:val="Iauiue"/>
        <w:tabs>
          <w:tab w:val="left" w:pos="11199"/>
        </w:tabs>
        <w:jc w:val="both"/>
        <w:rPr>
          <w:color w:val="000000" w:themeColor="text1"/>
          <w:sz w:val="16"/>
          <w:szCs w:val="16"/>
        </w:rPr>
      </w:pPr>
    </w:p>
    <w:p w14:paraId="5FD8BE41" w14:textId="77777777" w:rsidR="00DA5455" w:rsidRPr="00722885" w:rsidRDefault="00DA5455"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907AFAA" w14:textId="77777777" w:rsidR="00DA5455" w:rsidRPr="00722885" w:rsidRDefault="00DA5455" w:rsidP="00722885">
      <w:pPr>
        <w:pStyle w:val="Iauiue"/>
        <w:jc w:val="both"/>
        <w:rPr>
          <w:iCs/>
          <w:color w:val="000000" w:themeColor="text1"/>
          <w:sz w:val="16"/>
          <w:szCs w:val="16"/>
        </w:rPr>
      </w:pPr>
    </w:p>
    <w:p w14:paraId="56EABD63"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23 но</w:t>
      </w:r>
      <w:r w:rsidRPr="00722885">
        <w:rPr>
          <w:color w:val="000000" w:themeColor="text1"/>
          <w:sz w:val="16"/>
          <w:szCs w:val="16"/>
        </w:rPr>
        <w:softHyphen/>
        <w:t>ября 1942 о фактическом состоянии пушек Ш-37 и самоле</w:t>
      </w:r>
      <w:r w:rsidRPr="00722885">
        <w:rPr>
          <w:color w:val="000000" w:themeColor="text1"/>
          <w:sz w:val="16"/>
          <w:szCs w:val="16"/>
        </w:rPr>
        <w:softHyphen/>
        <w:t>тов Ил-2 противотанковой серии Тишевский письменно доложил инженер-подполковнику Кувеневу, а тот в УЗСиМ ГУЗ ВВС.</w:t>
      </w:r>
    </w:p>
    <w:p w14:paraId="06705463"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Здесь необходимо сказать, что старший тех</w:t>
      </w:r>
      <w:r w:rsidRPr="00722885">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722885">
        <w:rPr>
          <w:color w:val="000000" w:themeColor="text1"/>
          <w:sz w:val="16"/>
          <w:szCs w:val="16"/>
        </w:rPr>
        <w:softHyphen/>
        <w:t>мощи летно-техническому составу полка в осво</w:t>
      </w:r>
      <w:r w:rsidRPr="00722885">
        <w:rPr>
          <w:color w:val="000000" w:themeColor="text1"/>
          <w:sz w:val="16"/>
          <w:szCs w:val="16"/>
        </w:rPr>
        <w:softHyphen/>
        <w:t>ении и эксплуатации пушек. Позже, когда в полк приехала комиссия НИИ ВВС для проведения вой</w:t>
      </w:r>
      <w:r w:rsidRPr="00722885">
        <w:rPr>
          <w:color w:val="000000" w:themeColor="text1"/>
          <w:sz w:val="16"/>
          <w:szCs w:val="16"/>
        </w:rPr>
        <w:softHyphen/>
        <w:t>сковых испытаний самолетов Ил-2 с пушками Ш-37, Тишевский принял деятельное участие и в их про</w:t>
      </w:r>
      <w:r w:rsidRPr="00722885">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1E621024"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Поскольку ни инженер 617-го шап, ни специ</w:t>
      </w:r>
      <w:r w:rsidRPr="00722885">
        <w:rPr>
          <w:color w:val="000000" w:themeColor="text1"/>
          <w:sz w:val="16"/>
          <w:szCs w:val="16"/>
        </w:rPr>
        <w:softHyphen/>
        <w:t>алисты полка по вооружению пушку Ш-37 не зна</w:t>
      </w:r>
      <w:r w:rsidRPr="00722885">
        <w:rPr>
          <w:color w:val="000000" w:themeColor="text1"/>
          <w:sz w:val="16"/>
          <w:szCs w:val="16"/>
        </w:rPr>
        <w:softHyphen/>
        <w:t>ли, то Тишевский «занялся обучением техниче</w:t>
      </w:r>
      <w:r w:rsidRPr="00722885">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722885">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722885">
        <w:rPr>
          <w:color w:val="000000" w:themeColor="text1"/>
          <w:sz w:val="16"/>
          <w:szCs w:val="16"/>
        </w:rPr>
        <w:softHyphen/>
        <w:t>ко отдельные люди». Прибывшая «от конструкто</w:t>
      </w:r>
      <w:r w:rsidRPr="00722885">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722885">
        <w:rPr>
          <w:color w:val="000000" w:themeColor="text1"/>
          <w:sz w:val="16"/>
          <w:szCs w:val="16"/>
        </w:rPr>
        <w:softHyphen/>
        <w:t xml:space="preserve">тинов, </w:t>
      </w:r>
      <w:r w:rsidRPr="00722885">
        <w:rPr>
          <w:color w:val="000000" w:themeColor="text1"/>
          <w:sz w:val="16"/>
          <w:szCs w:val="16"/>
        </w:rPr>
        <w:lastRenderedPageBreak/>
        <w:t>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3311F511"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это оказалось не самым главным. К это</w:t>
      </w:r>
      <w:r w:rsidRPr="00722885">
        <w:rPr>
          <w:color w:val="000000" w:themeColor="text1"/>
          <w:sz w:val="16"/>
          <w:szCs w:val="16"/>
        </w:rPr>
        <w:softHyphen/>
        <w:t>му времени выяснилось, что «в 617-м шап летный состав с «илами» мало знаком, летчики все моло</w:t>
      </w:r>
      <w:r w:rsidRPr="00722885">
        <w:rPr>
          <w:color w:val="000000" w:themeColor="text1"/>
          <w:sz w:val="16"/>
          <w:szCs w:val="16"/>
        </w:rPr>
        <w:softHyphen/>
        <w:t>дые, только выпущенные из школ, /.../ переучива</w:t>
      </w:r>
      <w:r w:rsidRPr="00722885">
        <w:rPr>
          <w:color w:val="000000" w:themeColor="text1"/>
          <w:sz w:val="16"/>
          <w:szCs w:val="16"/>
        </w:rPr>
        <w:softHyphen/>
        <w:t>ние только началось, еще не был проработан пер</w:t>
      </w:r>
      <w:r w:rsidRPr="00722885">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722885">
        <w:rPr>
          <w:color w:val="000000" w:themeColor="text1"/>
          <w:sz w:val="16"/>
          <w:szCs w:val="16"/>
        </w:rPr>
        <w:softHyphen/>
        <w:t>ние полка 10 опытных летчиков командир 1-го заб полковник А. И. Подольский оставил без вни</w:t>
      </w:r>
      <w:r w:rsidRPr="00722885">
        <w:rPr>
          <w:color w:val="000000" w:themeColor="text1"/>
          <w:sz w:val="16"/>
          <w:szCs w:val="16"/>
        </w:rPr>
        <w:softHyphen/>
        <w:t>мания.</w:t>
      </w:r>
    </w:p>
    <w:p w14:paraId="52F36BA9"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сложившейся ситуации старший техник-лей</w:t>
      </w:r>
      <w:r w:rsidRPr="00722885">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722885">
        <w:rPr>
          <w:color w:val="000000" w:themeColor="text1"/>
          <w:sz w:val="16"/>
          <w:szCs w:val="16"/>
        </w:rPr>
        <w:softHyphen/>
        <w:t>рованную телеграмму лично начальнику УЗСиМ ГУЗ ВВС инженер-полковнику Алексееву, в которой из</w:t>
      </w:r>
      <w:r w:rsidRPr="00722885">
        <w:rPr>
          <w:color w:val="000000" w:themeColor="text1"/>
          <w:sz w:val="16"/>
          <w:szCs w:val="16"/>
        </w:rPr>
        <w:softHyphen/>
        <w:t>ложил свое мнение и дал оценку состояния пушек и самолетов Ил-2.</w:t>
      </w:r>
    </w:p>
    <w:p w14:paraId="5F760E1B"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4F08083C"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722885">
        <w:rPr>
          <w:color w:val="000000" w:themeColor="text1"/>
          <w:sz w:val="16"/>
          <w:szCs w:val="16"/>
        </w:rPr>
        <w:softHyphen/>
        <w:t>ные не было патронов») (17500).</w:t>
      </w:r>
    </w:p>
    <w:p w14:paraId="0230CB41" w14:textId="77777777" w:rsidR="00DA5455" w:rsidRPr="00722885" w:rsidRDefault="00DA5455" w:rsidP="00722885">
      <w:pPr>
        <w:spacing w:after="0" w:line="240" w:lineRule="auto"/>
        <w:jc w:val="both"/>
        <w:rPr>
          <w:rFonts w:ascii="Times New Roman" w:eastAsia="Times New Roman" w:hAnsi="Times New Roman"/>
          <w:color w:val="000000" w:themeColor="text1"/>
          <w:sz w:val="16"/>
          <w:szCs w:val="16"/>
          <w:lang w:eastAsia="ru-RU"/>
        </w:rPr>
      </w:pPr>
    </w:p>
    <w:p w14:paraId="24F22DD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9D577E8" w14:textId="77777777" w:rsidR="00090C9B" w:rsidRPr="00722885" w:rsidRDefault="00090C9B" w:rsidP="00722885">
      <w:pPr>
        <w:pStyle w:val="Iauiue"/>
        <w:jc w:val="both"/>
        <w:rPr>
          <w:iCs/>
          <w:color w:val="000000" w:themeColor="text1"/>
          <w:sz w:val="16"/>
          <w:szCs w:val="16"/>
        </w:rPr>
      </w:pPr>
    </w:p>
    <w:p w14:paraId="0D65F838" w14:textId="77777777" w:rsidR="00DA5455" w:rsidRPr="00722885" w:rsidRDefault="00DA545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23 ноября 1942 года была подписана Программа испытаний ВТ-42 - 45 мм длинноствольной танковой пушки ОКБ завода №235 (г. Воткинск), которое, как и ОКБ-172, подчинялось НКВД, но реально на Артиллерийский научно-испытательный полигон (АНИОП) система вместе с Т-70 прибыла только 12 мая 1943 года. Испытания продолжались до 1 июня, пушка испытания выдержала. Вопрос в том, что на 1 июня 1943 года она уже слегка припозднилась. Кроме того, у ГАУ КА и НКВ уже имелась альтернатива этому орудию – подкалиберный снаряд, который с 200 метров пробивал бортовую броню «Тигра» (17695).</w:t>
      </w:r>
    </w:p>
    <w:p w14:paraId="1BF0366A" w14:textId="77777777" w:rsidR="00DA5455" w:rsidRPr="00722885" w:rsidRDefault="00DA5455" w:rsidP="00722885">
      <w:pPr>
        <w:spacing w:after="0" w:line="240" w:lineRule="auto"/>
        <w:jc w:val="both"/>
        <w:rPr>
          <w:rFonts w:ascii="Times New Roman" w:eastAsia="Times New Roman" w:hAnsi="Times New Roman"/>
          <w:color w:val="000000" w:themeColor="text1"/>
          <w:sz w:val="16"/>
          <w:szCs w:val="16"/>
          <w:lang w:eastAsia="ru-RU"/>
        </w:rPr>
      </w:pPr>
    </w:p>
    <w:p w14:paraId="36270D90" w14:textId="77777777" w:rsidR="00546E6F" w:rsidRPr="00722885" w:rsidRDefault="00546E6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23 ноября 1942 года вышло предписание об испытаниях танковой версии М-42, вот только орудия не было. О том, что чего-то пошло не так, догадались только к началу 1943 года. При этом на ГАЗ им. Молотова уже разработали новый легкий танк, получивший обозначение Т-80 (20344).</w:t>
      </w:r>
    </w:p>
    <w:p w14:paraId="13401A7E" w14:textId="77777777" w:rsidR="00546E6F" w:rsidRPr="00722885" w:rsidRDefault="00546E6F" w:rsidP="00722885">
      <w:pPr>
        <w:pStyle w:val="article-renderblock"/>
        <w:shd w:val="clear" w:color="auto" w:fill="FFFFFF"/>
        <w:spacing w:before="0" w:beforeAutospacing="0" w:after="0" w:afterAutospacing="0"/>
        <w:jc w:val="both"/>
        <w:rPr>
          <w:color w:val="0070C0"/>
          <w:sz w:val="16"/>
          <w:szCs w:val="16"/>
        </w:rPr>
      </w:pPr>
    </w:p>
    <w:p w14:paraId="696451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ноября 1942 г. в соответствии с пост. СНК № 1871-872с на базе завода № 518 НКБ был образован ММИБ. Завод в 02.1945 г. был со всем штатом и оборудованием передан ММИБ в качестве производственно-экспериментальной базы.</w:t>
      </w:r>
    </w:p>
    <w:p w14:paraId="489A892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Московский механический институт боеприпасов (ММИБ), Московский инженерно-физический институт (МИФИ) /г. Москва Каширское ш., 31/</w:t>
      </w:r>
    </w:p>
    <w:p w14:paraId="6B8BCC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ММИБ образован в соответствии с пост. СНК № 1871-872с от 23.11.1942 г. на базе завода № 518 НКБ для подготовки инженеров-механиков для оборонной промышленности.</w:t>
      </w:r>
    </w:p>
    <w:p w14:paraId="6D32DF9D"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23 ноября </w:t>
      </w:r>
      <w:r w:rsidRPr="00722885">
        <w:rPr>
          <w:rFonts w:ascii="Times New Roman" w:hAnsi="Times New Roman"/>
          <w:color w:val="000000" w:themeColor="text1"/>
          <w:sz w:val="16"/>
          <w:szCs w:val="16"/>
        </w:rPr>
        <w:t>в 1942 году в разгар Сталинградской битвы Совнарком СССР издал постановление № 1871-872 о создании Московского механического института боеприпасов (ММИБ) Наркомата боеприпасов (Московский механический институт Первого Главного управления при СНК СССР). Ныне — Московский инженерно-физический институт (государственный университет — МИФИ). Занятия в нем начались уже 1 января 1943 года. Созданный изначально для решения чисто технических оборонных задач, он быстро превратился в настоящую «кузницу кадров» для бурно развивавшейся атомной промышленности. В дальнейшем круг дисциплин, преподаваемых в МИФИ, охватил практически все важнейшие направления науки и техники в области физики — от теоретической физики и материаловедения до энергетики и кибернетики. Здесь преподавали пять нобелевских лауреатов: физики Николай Басов, Игорь Тамм, Илья Франк, Павел Черенков, Андрей Сахаров (14838).</w:t>
      </w:r>
    </w:p>
    <w:p w14:paraId="53B97242"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0C61414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Осенью 1945 г. ММИ преобразован в МИФИ. Институт перепрофилирован для подготовки специалистов- ядерщиков.</w:t>
      </w:r>
    </w:p>
    <w:p w14:paraId="0A12A2A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института (1999 г.) - Лаборатория радиационного контроля (</w:t>
      </w:r>
      <w:r w:rsidRPr="00722885">
        <w:rPr>
          <w:rFonts w:ascii="Times New Roman" w:hAnsi="Times New Roman"/>
          <w:color w:val="000000" w:themeColor="text1"/>
          <w:sz w:val="16"/>
          <w:szCs w:val="16"/>
          <w:lang w:val="en-US"/>
        </w:rPr>
        <w:t>JIPK</w:t>
      </w:r>
      <w:r w:rsidRPr="00722885">
        <w:rPr>
          <w:rFonts w:ascii="Times New Roman" w:hAnsi="Times New Roman"/>
          <w:color w:val="000000" w:themeColor="text1"/>
          <w:sz w:val="16"/>
          <w:szCs w:val="16"/>
        </w:rPr>
        <w:t>-1).</w:t>
      </w:r>
    </w:p>
    <w:p w14:paraId="07F5BFC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(11.1942 г.-)- А.Ф. Ланда.</w:t>
      </w:r>
    </w:p>
    <w:p w14:paraId="79CBCF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А.А.Бобровский.</w:t>
      </w:r>
    </w:p>
    <w:p w14:paraId="1AE8F0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А.Д. Надирадзе при ММИ /г. Москва ул. М. Пионерская, 12/</w:t>
      </w:r>
    </w:p>
    <w:p w14:paraId="756A29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А.Д. Надирадзе при ММИ создано в 1945(6) г. на базе СКВ, действовавшего при заводе № 22 НКАП.</w:t>
      </w:r>
    </w:p>
    <w:p w14:paraId="04D0D0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Надирадзе переведен в КБ-2 МСХМ, в 1948 г. пост, правительства ОКБ ММИ полностью влито в состав КБ-2.</w:t>
      </w:r>
    </w:p>
    <w:p w14:paraId="59CA047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(1945(6) г.-)- А.Д. Надирадзе.</w:t>
      </w:r>
    </w:p>
    <w:p w14:paraId="36196A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(1945(6) г.-)- А.Д. Надирадзе.</w:t>
      </w:r>
    </w:p>
    <w:p w14:paraId="08071A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Экспериментальный опытный завод «Квант» МИФИ /г. Москва Каширское ш., 31 к. 44А тел. 324-34-75/</w:t>
      </w:r>
    </w:p>
    <w:p w14:paraId="13911B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(2000 г.)- К. Г. Бобков.</w:t>
      </w:r>
    </w:p>
    <w:p w14:paraId="40EA76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ООО «Производственная фирма «Логос» /115409  г. Москва Каширское ш., 31 тел. 324-80-16/</w:t>
      </w:r>
    </w:p>
    <w:p w14:paraId="7DCA0C5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Основана в 1992 г. для разработки и производства компьютерных тренажеров для военной бронетанковой и автомобильной техники.</w:t>
      </w:r>
    </w:p>
    <w:p w14:paraId="4B485CA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(2005 г.)- Н. Ильинский.</w:t>
      </w:r>
    </w:p>
    <w:p w14:paraId="3217D7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w:t>
      </w:r>
      <w:r w:rsidRPr="00722885">
        <w:rPr>
          <w:rFonts w:ascii="Times New Roman" w:hAnsi="Times New Roman"/>
          <w:color w:val="000000" w:themeColor="text1"/>
          <w:sz w:val="16"/>
          <w:szCs w:val="16"/>
        </w:rPr>
        <w:t xml:space="preserve"> тренажеры командиров, наводчиков Т-55, Т-62, Т-72, Т-80Б, Т-80У, Т-90, БМП-1, БМП-2, БМП-3, БТР-80, БТР-90, БМД-3, МАЗ-7917, </w:t>
      </w:r>
      <w:r w:rsidRPr="00722885">
        <w:rPr>
          <w:rFonts w:ascii="Times New Roman" w:hAnsi="Times New Roman"/>
          <w:color w:val="000000" w:themeColor="text1"/>
          <w:sz w:val="16"/>
          <w:szCs w:val="16"/>
          <w:lang w:val="en-US"/>
        </w:rPr>
        <w:t>MA</w:t>
      </w:r>
      <w:r w:rsidRPr="00722885">
        <w:rPr>
          <w:rFonts w:ascii="Times New Roman" w:hAnsi="Times New Roman"/>
          <w:color w:val="000000" w:themeColor="text1"/>
          <w:sz w:val="16"/>
          <w:szCs w:val="16"/>
        </w:rPr>
        <w:t>3-543; тактические тренажеры (11982).</w:t>
      </w:r>
    </w:p>
    <w:p w14:paraId="57BBB89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7A621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ноября 1942 г. во время заводских ходовых испытаний п/л М-104 произошла тяжелая авария. Лодка в течение нескольких часов находилась в подводном по</w:t>
      </w:r>
      <w:r w:rsidRPr="00722885">
        <w:rPr>
          <w:rFonts w:ascii="Times New Roman" w:hAnsi="Times New Roman"/>
          <w:color w:val="000000" w:themeColor="text1"/>
          <w:sz w:val="16"/>
          <w:szCs w:val="16"/>
        </w:rPr>
        <w:softHyphen/>
        <w:t>ложении, главные двигатели работали по замкнутому циклу, проводились испытания по замеру скоростей в подводном пр-дожении. Лодка развила ход в 12,5-13 уз</w:t>
      </w:r>
      <w:r w:rsidRPr="00722885">
        <w:rPr>
          <w:rFonts w:ascii="Times New Roman" w:hAnsi="Times New Roman"/>
          <w:color w:val="000000" w:themeColor="text1"/>
          <w:sz w:val="16"/>
          <w:szCs w:val="16"/>
        </w:rPr>
        <w:softHyphen/>
        <w:t>лов. В 14 час 27 мин оператор на лульте управления энергоустановкой обяаружил, что дистанционно управляемый клапан на расходном кислородном трубопроводе заклинило в откры</w:t>
      </w:r>
      <w:r w:rsidRPr="00722885">
        <w:rPr>
          <w:rFonts w:ascii="Times New Roman" w:hAnsi="Times New Roman"/>
          <w:color w:val="000000" w:themeColor="text1"/>
          <w:sz w:val="16"/>
          <w:szCs w:val="16"/>
        </w:rPr>
        <w:softHyphen/>
        <w:t xml:space="preserve">том положении и давление и носовом дизельном отсеке стало быстро расти, а цвет газовой среды стеновился голубоватям. Об этом сраду же додожили командиру электромеханической боевой части Ю.Н. Кулминскому и командиру лодки М.И.Шейхатовичу, принявшему решение всплывать в надводное положение. В это же время автор установки В.С. Дмитриевский и оператор пульта управлвления конструктор Н.С, Иссерлис через иллюминатор на переборке увидели пожар в носовом дизельном отсеке. В.С. Дмитриевский без разрешения командования создавая при этом большую опасность для всего личного става, самовольно отдраил дверь и вошел в аварийный отсек. Через несколько секунд он выскочил оттуда в горящей одежде, которую погасили моряки, находившиеся в центральном посту. Пожар в дизельном отсеке продолжался. В.С. Дмитриевский, по-видимому, опасаясь повышения давления от нагрева в кислородной цистерне и соответственно в дизельном отсеке, самовольно открыл клапан на трубопроводе стравливания кислорода в центральный пост. Одежда на нем вспыхнула иодновременно загорелась одежда и на присутствующих в отсеке Н.С.Иссерлисе, Ю.Н. Кузьминском, Зимине и других. Все они получили небольшие ожоги. После всплытия лодки оператор пульта управления открыл клапан подачи кислорода в центральный пост и открыл клапан стравливания его за борт. Тлевшую на людях одежду погасили, но пожар во 2-м и 3-м отсеках все еще продолжался. Горели электрические кабели, краска и другое оборудование, возникла большая задымленность. Командир приказал личному составу покинуть лодку и перейти на обеспечивающий тральщик. Личному составу 1-го отсека пройти через Центральный пост, охваченный огнем, не удалось, поэтому пришлось задраить дверь и остаться в своем отсеке. В радиорубке находился обгоревший и потерявший сознание радист, которого смогли вынести наверх и оказать медицинскую помощь. Затем вывели личный состав 1-го отсека ибоеприпас для 45-мм орудия. В.С. Дмитриевского, получившего очень тяжелые ожоги и потерявшего сознание, спасти не удалось. После аварии ремонтные работы но восстановлению': водной лодки, из-за отсутствия запасных частей, необходимых материалов и слабой пронзводственной базы мастерских, не говоря уже о тяжелой обстановке военного времени, затянулись надолго. Работы </w:t>
      </w:r>
      <w:r w:rsidRPr="00722885">
        <w:rPr>
          <w:rFonts w:ascii="Times New Roman" w:hAnsi="Times New Roman"/>
          <w:smallCaps/>
          <w:color w:val="000000" w:themeColor="text1"/>
          <w:sz w:val="16"/>
          <w:szCs w:val="16"/>
        </w:rPr>
        <w:t xml:space="preserve">над </w:t>
      </w:r>
      <w:r w:rsidRPr="00722885">
        <w:rPr>
          <w:rFonts w:ascii="Times New Roman" w:hAnsi="Times New Roman"/>
          <w:color w:val="000000" w:themeColor="text1"/>
          <w:sz w:val="16"/>
          <w:szCs w:val="16"/>
        </w:rPr>
        <w:t>установкой Дмитриевского возглавил А.С. Кассациер (10675).</w:t>
      </w:r>
    </w:p>
    <w:p w14:paraId="1B6B62E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1BD2E6E" w14:textId="77777777" w:rsidR="00613CE1" w:rsidRPr="00722885" w:rsidRDefault="00613CE1" w:rsidP="00722885">
      <w:pPr>
        <w:pStyle w:val="ae"/>
        <w:spacing w:before="0" w:after="0"/>
        <w:jc w:val="both"/>
        <w:rPr>
          <w:color w:val="000000" w:themeColor="text1"/>
          <w:sz w:val="16"/>
          <w:szCs w:val="16"/>
        </w:rPr>
      </w:pPr>
      <w:r w:rsidRPr="00722885">
        <w:rPr>
          <w:color w:val="000000" w:themeColor="text1"/>
          <w:sz w:val="16"/>
          <w:szCs w:val="16"/>
        </w:rPr>
        <w:t xml:space="preserve">23 ноября 1942 года в 14:27 субмарина М-401 шла в подводном положении (главные двигатели работали по замкнутому циклу; в это время корабль развил скорость порядка 13 узлов). Оператор управления энергетической установкой Н.С. Иссерлис (в его задачи входило наблюдение через небольшие иллюминаторы в переборке отсека за цветом газовой среды; при повышенном давлении она становилась голубой, при пониженном – светло-коричневой; и в зависимости от этого манипулировать клапанами подачи газа), обнаружил избыточную подачу кислорода в газовый смеситель. Об этом было доложено командиру подводной лодки М.И. Шейхатовичу, который дал команду на всплытие. Тем временем автор проекта энергоустановки В.С. Дмитриевский обнаружил пожар в носовом дизельном отсеке. В нарушение всех правил, он, рискуя жизнями остальных членов экипажа субмарины, самовольно отдраил дверь в аварийный отсек и вошел туда. Тут же на нем загорелась одежда, которую те, кто находился в центральном посту, смогли потушить. Пожар в отсеке продолжался. Дмитриевский, опасаясь повышения давления в кислородной цистерне, самовольно открыл на трубопроводе клапан стравливания кислорода в центральный пост. Теперь одежда загорелась и на всех присутствующих в отсеке. Горящую одежду быстро погасили, подводная лодка всплыла. Командир субмарины приказал личному составу перейти на обеспечивающий испытания тральщик. Тем временем пожар во 2-м и 3-м отсеках продолжался: горели электрокабели, краска, оборудование. Люди из 1-го отсека, отрезанные от центрального поста огнем и дымом выйти из отсека не смогли, им пришлось ждать ликвидации пожара. Борьбу за живучесть корабля продолжал инженер-механик Ю.М. Кузьминский. Пожар </w:t>
      </w:r>
      <w:r w:rsidRPr="00722885">
        <w:rPr>
          <w:color w:val="000000" w:themeColor="text1"/>
          <w:sz w:val="16"/>
          <w:szCs w:val="16"/>
        </w:rPr>
        <w:lastRenderedPageBreak/>
        <w:t>был ликвидирован, от полученных ожогов умер В.С. Дмитриевский. В ходе аварии в центральном посту обгорела краска и изоляции корпусных конструкций, сгорело оборудование, резиновые детали, кабели; в 3-м отсеке прогорел всасывающий коллектор главного двигателя, сгорели дюритовые соединения на газопроводе у газового охладителя, обгорели амортизаторы дизелей и часть сальников, изоляция электропроводки, краска и другие горючие материалы.</w:t>
      </w:r>
    </w:p>
    <w:p w14:paraId="51AAD986" w14:textId="77777777" w:rsidR="00613CE1" w:rsidRPr="00722885" w:rsidRDefault="00613CE1" w:rsidP="00722885">
      <w:pPr>
        <w:pStyle w:val="ae"/>
        <w:spacing w:before="0" w:after="0"/>
        <w:jc w:val="both"/>
        <w:rPr>
          <w:color w:val="000000" w:themeColor="text1"/>
          <w:sz w:val="16"/>
          <w:szCs w:val="16"/>
          <w:shd w:val="clear" w:color="auto" w:fill="F0FFFF"/>
        </w:rPr>
      </w:pPr>
      <w:r w:rsidRPr="00722885">
        <w:rPr>
          <w:color w:val="000000" w:themeColor="text1"/>
          <w:sz w:val="16"/>
          <w:szCs w:val="16"/>
        </w:rPr>
        <w:t>После ликвидации аварии ремонтные работы по восстановлению корабля затянулись надолго; в условиях военного времени сказывалась слабая заводская производственная база в Баку, отсутствие необходимых материалов и запасных частей (19841).</w:t>
      </w:r>
    </w:p>
    <w:p w14:paraId="2267BFED" w14:textId="77777777" w:rsidR="00613CE1" w:rsidRPr="00722885" w:rsidRDefault="00613CE1" w:rsidP="00722885">
      <w:pPr>
        <w:pStyle w:val="ae"/>
        <w:spacing w:before="0" w:after="0"/>
        <w:jc w:val="both"/>
        <w:rPr>
          <w:color w:val="000000" w:themeColor="text1"/>
          <w:sz w:val="16"/>
          <w:szCs w:val="16"/>
          <w:shd w:val="clear" w:color="auto" w:fill="F0FFFF"/>
        </w:rPr>
      </w:pPr>
    </w:p>
    <w:p w14:paraId="013AB43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ноября 1942 в Кронштадте начаты ходовые испытания головного БМО; в связи с ледоходом испытания перенесены на весну 1943 г. Катеростроители досрочно сдали флоту три катера типа КМ-4, отремонтировали 52 катера. На ЭТЩ "Василий Громов" закончили установку главных турбин. На ленинградских судостроительных заводах возросло количество женщин среди рабочих до 66%, а среди служащих - до 84% (по отношению ко всему числу работающих) (10671).</w:t>
      </w:r>
    </w:p>
    <w:p w14:paraId="441FDED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5B4E7E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8314948" w14:textId="77777777" w:rsidR="00090C9B" w:rsidRPr="00722885" w:rsidRDefault="00090C9B" w:rsidP="00722885">
      <w:pPr>
        <w:pStyle w:val="Iauiue"/>
        <w:jc w:val="both"/>
        <w:rPr>
          <w:iCs/>
          <w:color w:val="000000" w:themeColor="text1"/>
          <w:sz w:val="16"/>
          <w:szCs w:val="16"/>
        </w:rPr>
      </w:pPr>
    </w:p>
    <w:p w14:paraId="75D52A1E"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23 ноября </w:t>
      </w:r>
      <w:r w:rsidRPr="00722885">
        <w:rPr>
          <w:rFonts w:ascii="Times New Roman" w:hAnsi="Times New Roman"/>
          <w:color w:val="000000" w:themeColor="text1"/>
          <w:sz w:val="16"/>
          <w:szCs w:val="16"/>
        </w:rPr>
        <w:t>в 1942 году утреннее сообщение Совинформбюро:</w:t>
      </w:r>
    </w:p>
    <w:p w14:paraId="0DBDAE5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23 ноября наши войска в районе города Сталинграда вели успешные наступательные бои на прежних направлениях.</w:t>
      </w:r>
    </w:p>
    <w:p w14:paraId="40D73486"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заводской части города Сталинграда бойцы Н-ской части истребили 140 немецких солдат и офицеров. На другом участке гитлеровцы предприняли две контратаки, пытаясь вернуть потерянные вчера позиции. Наши бойцы встретили немцев мощным огнём и истребили до двух рот пехоты противника.</w:t>
      </w:r>
    </w:p>
    <w:p w14:paraId="1B06D37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продолжали вести успешные наступательные бои. Бойцы Н-ской части ночью разгромили два штурмовых батальона противника. Захвачено 6 тяжёлых орудий с тягачами, 22 противотанковых орудия, 78 пулемётов, 11 миномётов, 800 винтовок и много боеприпасов. На другом участке немцы, спешно подтянув два батальона пехоты и 25 танков, пытались остановить продвижение наших подразделений. Танкисты под командованием тов. Якубовского подбили 8 вражеских танков и, смяв противника, заняли его укреплённые позиции. Оба батальона немцев в большей части уничтожены. Их остатки захвачены в плен.</w:t>
      </w:r>
    </w:p>
    <w:p w14:paraId="6FEC684E"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продолжали продвигаться вперёд и уничтожать живую силу и технику врага. Только на одном участке советскими частями стреблено 700 гитлеровцев, захвачены 40 орудий разных калибров, 70 пулемётов, несколько миномётных батарей, свыше 400 лошадей и другие трофеи. В происходящих боях активно действуют наши танкисты. Танковые экипажи старшего лейтенанта Тренькина и младшего лейтенанта Боровика вырвались вперёд, уничтожили 3 орудия,а затем, преследуя противника, передавили гусеницами свыше ста гитлеровцев. Несколько танкистов во главе со старшиной Шепелевым с автоматами в руках выскочили из танков и захватили в плен более 100 румынских солдат.</w:t>
      </w:r>
    </w:p>
    <w:p w14:paraId="5B6A68E0"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наша артиллерия вела обстрел вражеских укреплений. Разрушено 7 немецких дзотов и блиндажей, рассеяно и частью уничтожено до двух рот пехоты противника. Разведывательный отряд, действующий в тылу противника, напал на немецкую автоколонну. Наши разведчики уничтожили 8 автомашин с боеприпасами и 40 гитлеровцев.</w:t>
      </w:r>
    </w:p>
    <w:p w14:paraId="1C4652FC"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за два дня снайперы уничтожили более 400 немецких солдат и офицеров. На одном участке два батальона немецкой пехоты при поддержке 10 танков атаковали Н-скую часть и вынудили её несколько отойти. Перегруппировав силы, наши бойцы перешли в контратаку и отбросили немцев на исходные рубежи. На поле боя осталось свыше 400 вражеских трупов. Захвачены 7 пулемётов, 10 автоматов, винтовки и боеприпасы.</w:t>
      </w:r>
    </w:p>
    <w:p w14:paraId="50EA5FD1"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бойцы Н-ской части заняли укреплённый противником населённый пункт. Уничтожено свыше 400 немецких солдат иофицеров. Захвачено 60 станковых и ручных пулемётов, 4 орудия, 5 миномётов и три радиостанции.</w:t>
      </w:r>
    </w:p>
    <w:p w14:paraId="4A6ABFB3"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рота итальянской пехоты пыталась вклиниться в нашу оборону. Бойцы под командованием тов. Зайцева ружейно-пулемётным огнём рассеяли противника. Уничтожено несколько десятков итальянских солдат. Захвачены трофеи и пленные.</w:t>
      </w:r>
    </w:p>
    <w:p w14:paraId="7C4909A5"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Калининского фронта разведывательная группа Н-ской части захватила вражескую штабную машину и взяла в плен находившихся в ней немецкого майора, фельдфебеля, писаря и шофёра. Охрана, сопровождавшая машину, оказала сопротивление и была уничтожена.</w:t>
      </w:r>
    </w:p>
    <w:p w14:paraId="1903F40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Курские партизаны за пятнадцать дней ноября месяца организовали крушение 6 железнодорожных эшелонов противника. В боях с немецкими захватчиками советские патриоты истребили до 800 гитлеровцев, уничтожили 3 танкетки и 7 автомашин.» (14838).</w:t>
      </w:r>
    </w:p>
    <w:p w14:paraId="47B69354"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423ED9FA"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23 ноября </w:t>
      </w:r>
      <w:r w:rsidRPr="00722885">
        <w:rPr>
          <w:rFonts w:ascii="Times New Roman" w:hAnsi="Times New Roman"/>
          <w:color w:val="000000" w:themeColor="text1"/>
          <w:sz w:val="16"/>
          <w:szCs w:val="16"/>
        </w:rPr>
        <w:t>в 1942 году вечернее сообщение Совинформбюро:</w:t>
      </w:r>
    </w:p>
    <w:p w14:paraId="003D2B35"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течение 23 ноября наши войска продолжали вести успешное наступление ссеверо-запада и с юга от города Сталинграда на прежних направлениях.</w:t>
      </w:r>
    </w:p>
    <w:p w14:paraId="45AF4C7F"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заняли город Чернышевская, город Перелазовский, местечко Погодинский, город Тундутово, город Аксай.</w:t>
      </w:r>
    </w:p>
    <w:p w14:paraId="71167F79"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ноября частями нашей авиации на различных участках фронта уничтожено 12 немецких танков и бронемашин. 40 автомашин с войсками и грузами, подавлен огонь 4 артиллерийских батарей, рассеяно и частью уничтожено до трёх рот пехоты противника.</w:t>
      </w:r>
    </w:p>
    <w:p w14:paraId="07253D4C"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заводской части города Сталинграда наши войска вели активные боевые действия и медленно продвигались вперёд. В течение дня уничтожено до 1.000 гитлеровцев. Сожжено 2 немецких танка, захвачено 16 пулемётов, много винтовок и боеприпасов. На южной окраине города советские части, сломив упорное сопротивление немцев, заняли многочисленные укрепления и опорные пункты противника. На поле боя остались сотни вражеских трупов.</w:t>
      </w:r>
    </w:p>
    <w:p w14:paraId="3AAD354C"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продолжали успешно продвигаться вперёд. Противник, стремясь остановить наступление частей Красной Армии, спешно подтянул пехотную и танковую дивизии и бросил их в бой. Завязалось крупное сражение. Наши танкисты с флангов ворвались в расположение войск противника и дезорганизовали его оборону. Следуя за танками, советская пехота перешла в атаку и опрокинула гитлеровцев. Преследуя врага, наши части заняли несколько населённых пунктов. Нa одном этом участке, по неполным данным, уничтожено свыше 4.000 вражеских солдат и офицеров. Захвачены 18 танков, из них 3 в полной исправности, 29 орудий, 40 пулемётов, 3 склада с боеприпасами и другие трофеи.</w:t>
      </w:r>
    </w:p>
    <w:p w14:paraId="21E2704A"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другом участке наши войска ведут бои с окружёнными силами противника.</w:t>
      </w:r>
    </w:p>
    <w:p w14:paraId="06FA8BE5"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предварительным данным, в этих боях взято в плен до 2.000 солдат и офицеров, захвачено 13 танков, 10 орудий, 70.000 патронов, свыше 500 лошадей. Взято в плен командование одной дивизии противника.</w:t>
      </w:r>
    </w:p>
    <w:p w14:paraId="54D58ED5"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успешно продвигались вперёд и выбили противника из ряда населённых пунктов. Только на одном участке, где вело наступление наше Н-ское соединение, противник оставил на поле боя более 3.000 трупов своих солдат и офицеров. Захвачены пленные, более 1000 автомашин и другое военное имущество.</w:t>
      </w:r>
    </w:p>
    <w:p w14:paraId="1FD55587"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отразили контратаку противника и истребили две роты немецкой пехоты. Подбит немецкий танк, подавлен огонь артиллерийской и 2 миномётных батарей. На другом участке рассеяна рота вражеских автоматчиков, пытавшихся проникнуть в тыл наших войск.</w:t>
      </w:r>
    </w:p>
    <w:p w14:paraId="563ECED8"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происходили бои местного значения. На одном из участков противник пытался овладеть высотой, накануне занятой советскими войсками. Наши бойцы ружейно-пулемётным огнём уничтожили до роты гитлеровцев. На другом участке Н-ское подразделение атаковало немцев и захватило несколько дзотов и блиндажей. На поле боя осталось более 100 вражеских трупов.</w:t>
      </w:r>
    </w:p>
    <w:p w14:paraId="42921427"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Калининском фронте наши разведывательные отряды за два дня истребили 127 немецких солдат и офицеров. Группа бойцов под командованием старшего лейтенанта Ерохина внезапно напала и разгромила немецкий гарнизон в деревне К. Уничтожено 35 гитлеровцев, захвачены 6 пулемётов, винтовки и боеприпасы. Снайперами отдельных наших частей в течение дня уничтожено 166 гитлеровцев.</w:t>
      </w:r>
    </w:p>
    <w:p w14:paraId="791BF448"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«Непобедимый», действующий в Минской области, пустил под откос 3 железнодорожных эшелона противника, один из них с двойной тягой. Разбито 4 паровоза и 45 вагонов. Кроме того, партизаны разрушили 4 километра железнодорожного пути, сожгли о мостов и истребили 128 немецко-фашистских захватчиков.»</w:t>
      </w:r>
    </w:p>
    <w:p w14:paraId="40775F60"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3E92AB09"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продолжается.</w:t>
      </w:r>
    </w:p>
    <w:p w14:paraId="1BB844D9"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24 ноября наши войска под Сталинградом продолжали развивать наступление. На северо-западном участке фронта наши войска продвинулись на 40 километров и заняли город и станцию Суро-Викино. В районе излучины Дона наши войска продвинулись на 6—10 километров и заняли населённые пункты Зимовский, Камышинка, Ближняя Перекопка, Трехостровская, Сиротинская. Юго-западнее Клетскаянами взяты в плен три ранее окружённые дивизии противника во главе с тремя генералами и их штабами. Наши войска, наступающие севернее Сталинграда, заняв населённые пункты Томилин, Акатовка, Латошанка на берегу Волги, соединились свойсками, обороняющими северную часть Сталинграда. На юге от Сталинграда наши войска продвинулись на 15—20 километров и заняли город Садовое и населённые пункты Уманцево, Перегрузный.</w:t>
      </w:r>
    </w:p>
    <w:p w14:paraId="073604BD"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24 ноября количество пленных увеличилось на 12.000 человек. Всего за время боёв взято в плен 36.000 солдат и офицеров противника.</w:t>
      </w:r>
    </w:p>
    <w:p w14:paraId="3E607A36"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неполным данным, за время боёв с 19 по 24 ноября нашими войсками захвачены трофеи: орудий всех калибров — 1.164, танков исправных и неисправных — 431, самолётов исправных и неисправных — 88, автомашин — 3940, лошадей — более 5.000, 3 миллиона снарядов, 18 миллионов патронов, большое количество ручного оружия, склады с боеприпасами, снаряжением и продовольствием, которые учитываются.</w:t>
      </w:r>
    </w:p>
    <w:p w14:paraId="163D4243"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24 ноября противник оставил на поле боя свыше 15.000 трупов солдат и офицеров.» (14838).</w:t>
      </w:r>
    </w:p>
    <w:p w14:paraId="4723B33F"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3FA0467D" w14:textId="77777777" w:rsidR="00C92AEA" w:rsidRPr="00722885" w:rsidRDefault="00C92AEA"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lastRenderedPageBreak/>
        <w:t xml:space="preserve">23 ноября </w:t>
      </w:r>
      <w:r w:rsidRPr="00722885">
        <w:rPr>
          <w:rFonts w:ascii="Times New Roman" w:hAnsi="Times New Roman"/>
          <w:color w:val="000000" w:themeColor="text1"/>
          <w:sz w:val="16"/>
          <w:szCs w:val="16"/>
        </w:rPr>
        <w:t>в 1942 году подвижные соединения Юго-Западного и Сталинградского фронтов встретились в районе Калача, Советского и завершили окружение 6-й армии и части сил 4-й танковой армии противника (330 тысяч человек, всего 22 дивизии и 160 отдельных частей). Капитулировала распопинская группировка противника. Соединения левого крыла Сталинградского фронта выдвинулись на рубеж реки Аксай, Уманцево, направляя удары на Котельниковский (14838).</w:t>
      </w:r>
    </w:p>
    <w:p w14:paraId="02BCF1A5" w14:textId="77777777" w:rsidR="00C92AEA" w:rsidRPr="00722885" w:rsidRDefault="00C92AEA" w:rsidP="00722885">
      <w:pPr>
        <w:spacing w:after="0" w:line="240" w:lineRule="auto"/>
        <w:jc w:val="both"/>
        <w:rPr>
          <w:rFonts w:ascii="Times New Roman" w:hAnsi="Times New Roman"/>
          <w:color w:val="000000" w:themeColor="text1"/>
          <w:sz w:val="16"/>
          <w:szCs w:val="16"/>
        </w:rPr>
      </w:pPr>
    </w:p>
    <w:p w14:paraId="258EFE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ноября 1942 в районе Калача был захвачен Gotha Go 145, который потом испытывался в НИИ ВВС (2466,149).</w:t>
      </w:r>
    </w:p>
    <w:p w14:paraId="79BF25D1" w14:textId="77777777" w:rsidR="00090C9B" w:rsidRPr="00722885" w:rsidRDefault="00090C9B" w:rsidP="00722885">
      <w:pPr>
        <w:pStyle w:val="Iauiue"/>
        <w:jc w:val="both"/>
        <w:rPr>
          <w:color w:val="000000" w:themeColor="text1"/>
          <w:sz w:val="16"/>
          <w:szCs w:val="16"/>
        </w:rPr>
      </w:pPr>
    </w:p>
    <w:p w14:paraId="351AC33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ноября 1942 под Калачом было захвачено несколько Gotha G 145 и один из них N 2468 испытывался в НИИ ВВС (2466,86).</w:t>
      </w:r>
    </w:p>
    <w:p w14:paraId="5EBF7A87" w14:textId="77777777" w:rsidR="00090C9B" w:rsidRPr="00722885" w:rsidRDefault="00090C9B" w:rsidP="00722885">
      <w:pPr>
        <w:pStyle w:val="Iauiue"/>
        <w:jc w:val="both"/>
        <w:rPr>
          <w:color w:val="000000" w:themeColor="text1"/>
          <w:sz w:val="16"/>
          <w:szCs w:val="16"/>
        </w:rPr>
      </w:pPr>
    </w:p>
    <w:p w14:paraId="72CC88AC"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23 November 1942 Soviet offensive encircles German forces in Stalingrad (270).</w:t>
      </w:r>
    </w:p>
    <w:p w14:paraId="2BA42373" w14:textId="77777777" w:rsidR="00090C9B" w:rsidRPr="00722885" w:rsidRDefault="00090C9B" w:rsidP="00722885">
      <w:pPr>
        <w:pStyle w:val="Iauiue"/>
        <w:jc w:val="both"/>
        <w:rPr>
          <w:color w:val="000000" w:themeColor="text1"/>
          <w:sz w:val="16"/>
          <w:szCs w:val="16"/>
          <w:lang w:val="en-US"/>
        </w:rPr>
      </w:pPr>
    </w:p>
    <w:p w14:paraId="52F0BB1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ноября 1942 Сталинградскому наступлению грозила катастрофа, так как И.В.С. приказал Василевскому после операции Уран начать операцию Сатурн - немедленное наступление на Ростов против итальянцев (2070,81). Гитлер приказал войскам зарыться и ждать помощи (2261).</w:t>
      </w:r>
    </w:p>
    <w:p w14:paraId="7845F954" w14:textId="77777777" w:rsidR="00090C9B" w:rsidRPr="00722885" w:rsidRDefault="00090C9B" w:rsidP="00722885">
      <w:pPr>
        <w:pStyle w:val="Iauiue"/>
        <w:jc w:val="both"/>
        <w:rPr>
          <w:color w:val="000000" w:themeColor="text1"/>
          <w:sz w:val="16"/>
          <w:szCs w:val="16"/>
        </w:rPr>
      </w:pPr>
    </w:p>
    <w:p w14:paraId="2F7B10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ноября 1942 в 16.00 части 4-го танко</w:t>
      </w:r>
      <w:r w:rsidRPr="00722885">
        <w:rPr>
          <w:color w:val="000000" w:themeColor="text1"/>
          <w:sz w:val="16"/>
          <w:szCs w:val="16"/>
        </w:rPr>
        <w:softHyphen/>
        <w:t>вого корпуса Юго-Западного и 4-го мехкорпуса Сталинградского фронтов соединились в районе Калач, хутор Совет</w:t>
      </w:r>
      <w:r w:rsidRPr="00722885">
        <w:rPr>
          <w:color w:val="000000" w:themeColor="text1"/>
          <w:sz w:val="16"/>
          <w:szCs w:val="16"/>
        </w:rPr>
        <w:softHyphen/>
        <w:t>ский. 13-й мехкорпус и стрелковые со</w:t>
      </w:r>
      <w:r w:rsidRPr="00722885">
        <w:rPr>
          <w:color w:val="000000" w:themeColor="text1"/>
          <w:sz w:val="16"/>
          <w:szCs w:val="16"/>
        </w:rPr>
        <w:softHyphen/>
        <w:t>единения 57-й и 64-й армий Сталинг</w:t>
      </w:r>
      <w:r w:rsidRPr="00722885">
        <w:rPr>
          <w:color w:val="000000" w:themeColor="text1"/>
          <w:sz w:val="16"/>
          <w:szCs w:val="16"/>
        </w:rPr>
        <w:softHyphen/>
        <w:t>радского фронта вышли юго-западнее Сталинграда на рубеж реки Червленая, перекрыв пути отхода противнику на юг. Путь на запад был отрезан войсками Юго-Западного фронта. В окружении оказались 22 дивизии противника - око</w:t>
      </w:r>
      <w:r w:rsidRPr="00722885">
        <w:rPr>
          <w:color w:val="000000" w:themeColor="text1"/>
          <w:sz w:val="16"/>
          <w:szCs w:val="16"/>
        </w:rPr>
        <w:softHyphen/>
        <w:t>ло 330 тыс. солдат и офицеров. За весь период прорыва обороны и окружения немецкой группировки (с 19 по 30 ноября) Ил-2 всех четырех воздуш</w:t>
      </w:r>
      <w:r w:rsidRPr="00722885">
        <w:rPr>
          <w:color w:val="000000" w:themeColor="text1"/>
          <w:sz w:val="16"/>
          <w:szCs w:val="16"/>
        </w:rPr>
        <w:softHyphen/>
        <w:t>ных армий совершили 1598 самолето-вылетов, что составило среднесуточное напряжение на один исправный само</w:t>
      </w:r>
      <w:r w:rsidRPr="00722885">
        <w:rPr>
          <w:color w:val="000000" w:themeColor="text1"/>
          <w:sz w:val="16"/>
          <w:szCs w:val="16"/>
        </w:rPr>
        <w:softHyphen/>
        <w:t>лет всего 0,31, хотя напряжение на каж</w:t>
      </w:r>
      <w:r w:rsidRPr="00722885">
        <w:rPr>
          <w:color w:val="000000" w:themeColor="text1"/>
          <w:sz w:val="16"/>
          <w:szCs w:val="16"/>
        </w:rPr>
        <w:softHyphen/>
        <w:t>дый летающий экипаж (в плохих метео</w:t>
      </w:r>
      <w:r w:rsidRPr="00722885">
        <w:rPr>
          <w:color w:val="000000" w:themeColor="text1"/>
          <w:sz w:val="16"/>
          <w:szCs w:val="16"/>
        </w:rPr>
        <w:softHyphen/>
        <w:t>условиях) было более высоким и дохо</w:t>
      </w:r>
      <w:r w:rsidRPr="00722885">
        <w:rPr>
          <w:color w:val="000000" w:themeColor="text1"/>
          <w:sz w:val="16"/>
          <w:szCs w:val="16"/>
        </w:rPr>
        <w:softHyphen/>
        <w:t>дило до 3-4 боевых вылетов в день.</w:t>
      </w:r>
    </w:p>
    <w:p w14:paraId="1F355B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Главной причиной такого сравнитель</w:t>
      </w:r>
      <w:r w:rsidRPr="00722885">
        <w:rPr>
          <w:color w:val="000000" w:themeColor="text1"/>
          <w:sz w:val="16"/>
          <w:szCs w:val="16"/>
        </w:rPr>
        <w:softHyphen/>
        <w:t xml:space="preserve">но слабого напряжения боевых действий Ил-2 являлись сложные метеоусловия. В этот период было: летных дней - 3, нелетных - 3, ограниченно летных - 6. Кроме того, боевая деятельность 16-й ВА, а также некоторых авиачастей 8-й ВА (201-я и 235-я </w:t>
      </w:r>
      <w:r w:rsidRPr="00722885">
        <w:rPr>
          <w:iCs/>
          <w:color w:val="000000" w:themeColor="text1"/>
          <w:sz w:val="16"/>
          <w:szCs w:val="16"/>
        </w:rPr>
        <w:t>иад,</w:t>
      </w:r>
      <w:r w:rsidRPr="00722885">
        <w:rPr>
          <w:color w:val="000000" w:themeColor="text1"/>
          <w:sz w:val="16"/>
          <w:szCs w:val="16"/>
        </w:rPr>
        <w:t xml:space="preserve"> 214-я </w:t>
      </w:r>
      <w:r w:rsidRPr="00722885">
        <w:rPr>
          <w:iCs/>
          <w:color w:val="000000" w:themeColor="text1"/>
          <w:sz w:val="16"/>
          <w:szCs w:val="16"/>
        </w:rPr>
        <w:t>шад</w:t>
      </w:r>
      <w:r w:rsidRPr="00722885">
        <w:rPr>
          <w:color w:val="000000" w:themeColor="text1"/>
          <w:sz w:val="16"/>
          <w:szCs w:val="16"/>
        </w:rPr>
        <w:t xml:space="preserve"> и 272-я </w:t>
      </w:r>
      <w:r w:rsidRPr="00722885">
        <w:rPr>
          <w:iCs/>
          <w:color w:val="000000" w:themeColor="text1"/>
          <w:sz w:val="16"/>
          <w:szCs w:val="16"/>
        </w:rPr>
        <w:t>нбад},</w:t>
      </w:r>
      <w:r w:rsidRPr="00722885">
        <w:rPr>
          <w:color w:val="000000" w:themeColor="text1"/>
          <w:sz w:val="16"/>
          <w:szCs w:val="16"/>
        </w:rPr>
        <w:t xml:space="preserve"> перебазировавшихся в ходе на</w:t>
      </w:r>
      <w:r w:rsidRPr="00722885">
        <w:rPr>
          <w:color w:val="000000" w:themeColor="text1"/>
          <w:sz w:val="16"/>
          <w:szCs w:val="16"/>
        </w:rPr>
        <w:softHyphen/>
        <w:t>ступления на западный берег Волги (на аэродромы Малые и Большие Чапурники, Райгород, Зеты, Абганерово) в извес</w:t>
      </w:r>
      <w:r w:rsidRPr="00722885">
        <w:rPr>
          <w:color w:val="000000" w:themeColor="text1"/>
          <w:sz w:val="16"/>
          <w:szCs w:val="16"/>
        </w:rPr>
        <w:softHyphen/>
        <w:t>тной степени тормозилась перебоями в снабжении горючим и боеприпасами, что, в свою очередь, объяснялось как недо</w:t>
      </w:r>
      <w:r w:rsidRPr="00722885">
        <w:rPr>
          <w:color w:val="000000" w:themeColor="text1"/>
          <w:sz w:val="16"/>
          <w:szCs w:val="16"/>
        </w:rPr>
        <w:softHyphen/>
        <w:t>статочным количеством автотранспорта в тыловых частях воздушных армий, так и ограниченной пропускной способностью переправы (всего одной) через Вол</w:t>
      </w:r>
      <w:r w:rsidRPr="00722885">
        <w:rPr>
          <w:color w:val="000000" w:themeColor="text1"/>
          <w:sz w:val="16"/>
          <w:szCs w:val="16"/>
        </w:rPr>
        <w:softHyphen/>
        <w:t>гу и затянувшимся ледоставом.</w:t>
      </w:r>
    </w:p>
    <w:p w14:paraId="5CFCF1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 вследствие отсутствия на скла</w:t>
      </w:r>
      <w:r w:rsidRPr="00722885">
        <w:rPr>
          <w:color w:val="000000" w:themeColor="text1"/>
          <w:sz w:val="16"/>
          <w:szCs w:val="16"/>
        </w:rPr>
        <w:softHyphen/>
        <w:t>дах БАО необходимого количества и ассортимента авиабомб, вооруженцам авиачастей только в редких случаях уда</w:t>
      </w:r>
      <w:r w:rsidRPr="00722885">
        <w:rPr>
          <w:color w:val="000000" w:themeColor="text1"/>
          <w:sz w:val="16"/>
          <w:szCs w:val="16"/>
        </w:rPr>
        <w:softHyphen/>
        <w:t>валось произвести загрузку штурмови</w:t>
      </w:r>
      <w:r w:rsidRPr="00722885">
        <w:rPr>
          <w:color w:val="000000" w:themeColor="text1"/>
          <w:sz w:val="16"/>
          <w:szCs w:val="16"/>
        </w:rPr>
        <w:softHyphen/>
        <w:t>ков бомбами в полном соответствии с решаемыми задачами и типами целей. При этом основным типом расходуемых бомб по всем целям были бомбы типа ФАБ-100. В достаточном количестве имелись только зажигательные авиабом</w:t>
      </w:r>
      <w:r w:rsidRPr="00722885">
        <w:rPr>
          <w:color w:val="000000" w:themeColor="text1"/>
          <w:sz w:val="16"/>
          <w:szCs w:val="16"/>
        </w:rPr>
        <w:softHyphen/>
        <w:t>бы типа ЗАБ-250. Однако последние, в силу нерегулярности боевых вылетов, не снаряжались, так как при хранении в снаряженном состоянии свыше 3-5 су</w:t>
      </w:r>
      <w:r w:rsidRPr="00722885">
        <w:rPr>
          <w:color w:val="000000" w:themeColor="text1"/>
          <w:sz w:val="16"/>
          <w:szCs w:val="16"/>
        </w:rPr>
        <w:softHyphen/>
        <w:t>ток они приходили в негодность.</w:t>
      </w:r>
    </w:p>
    <w:p w14:paraId="6EBEAD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Поскольку в подавляющем большин</w:t>
      </w:r>
      <w:r w:rsidRPr="00722885">
        <w:rPr>
          <w:color w:val="000000" w:themeColor="text1"/>
          <w:sz w:val="16"/>
          <w:szCs w:val="16"/>
        </w:rPr>
        <w:softHyphen/>
        <w:t>стве дней боевой работы из-за низкой облачности бомбометание осуществля</w:t>
      </w:r>
      <w:r w:rsidRPr="00722885">
        <w:rPr>
          <w:color w:val="000000" w:themeColor="text1"/>
          <w:sz w:val="16"/>
          <w:szCs w:val="16"/>
        </w:rPr>
        <w:softHyphen/>
        <w:t>лось с малых высот, то расход взрыва</w:t>
      </w:r>
      <w:r w:rsidRPr="00722885">
        <w:rPr>
          <w:color w:val="000000" w:themeColor="text1"/>
          <w:sz w:val="16"/>
          <w:szCs w:val="16"/>
        </w:rPr>
        <w:softHyphen/>
        <w:t>телей замедленного действия был ве</w:t>
      </w:r>
      <w:r w:rsidRPr="00722885">
        <w:rPr>
          <w:color w:val="000000" w:themeColor="text1"/>
          <w:sz w:val="16"/>
          <w:szCs w:val="16"/>
        </w:rPr>
        <w:softHyphen/>
        <w:t>лик. Запас же последних на складах БАО всегда внушал опасения срыва боевой ра</w:t>
      </w:r>
      <w:r w:rsidRPr="00722885">
        <w:rPr>
          <w:color w:val="000000" w:themeColor="text1"/>
          <w:sz w:val="16"/>
          <w:szCs w:val="16"/>
        </w:rPr>
        <w:softHyphen/>
        <w:t>боты.</w:t>
      </w:r>
    </w:p>
    <w:p w14:paraId="24020F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Эффективность боевой работы штур</w:t>
      </w:r>
      <w:r w:rsidRPr="00722885">
        <w:rPr>
          <w:color w:val="000000" w:themeColor="text1"/>
          <w:sz w:val="16"/>
          <w:szCs w:val="16"/>
        </w:rPr>
        <w:softHyphen/>
        <w:t>мовых авиачастей в этот период в зна</w:t>
      </w:r>
      <w:r w:rsidRPr="00722885">
        <w:rPr>
          <w:color w:val="000000" w:themeColor="text1"/>
          <w:sz w:val="16"/>
          <w:szCs w:val="16"/>
        </w:rPr>
        <w:softHyphen/>
        <w:t>чительной степени была снижена и вследствие неорганизованности и не</w:t>
      </w:r>
      <w:r w:rsidRPr="00722885">
        <w:rPr>
          <w:color w:val="000000" w:themeColor="text1"/>
          <w:sz w:val="16"/>
          <w:szCs w:val="16"/>
        </w:rPr>
        <w:softHyphen/>
        <w:t>согласованности действий тыловых ор</w:t>
      </w:r>
      <w:r w:rsidRPr="00722885">
        <w:rPr>
          <w:color w:val="000000" w:themeColor="text1"/>
          <w:sz w:val="16"/>
          <w:szCs w:val="16"/>
        </w:rPr>
        <w:softHyphen/>
        <w:t xml:space="preserve">ганов - БАО и РАБ. Например, 206-я </w:t>
      </w:r>
      <w:r w:rsidRPr="00722885">
        <w:rPr>
          <w:iCs/>
          <w:color w:val="000000" w:themeColor="text1"/>
          <w:sz w:val="16"/>
          <w:szCs w:val="16"/>
        </w:rPr>
        <w:t xml:space="preserve">шад, </w:t>
      </w:r>
      <w:r w:rsidRPr="00722885">
        <w:rPr>
          <w:color w:val="000000" w:themeColor="text1"/>
          <w:sz w:val="16"/>
          <w:szCs w:val="16"/>
        </w:rPr>
        <w:t>имевшая к началу ноября 42-го аэро</w:t>
      </w:r>
      <w:r w:rsidRPr="00722885">
        <w:rPr>
          <w:color w:val="000000" w:themeColor="text1"/>
          <w:sz w:val="16"/>
          <w:szCs w:val="16"/>
        </w:rPr>
        <w:softHyphen/>
        <w:t>дромный узел, состоящий из 4-х аэро</w:t>
      </w:r>
      <w:r w:rsidRPr="00722885">
        <w:rPr>
          <w:color w:val="000000" w:themeColor="text1"/>
          <w:sz w:val="16"/>
          <w:szCs w:val="16"/>
        </w:rPr>
        <w:softHyphen/>
        <w:t>дромов, во второй половине ноября была вынуждена все свои пять полков сосре</w:t>
      </w:r>
      <w:r w:rsidRPr="00722885">
        <w:rPr>
          <w:color w:val="000000" w:themeColor="text1"/>
          <w:sz w:val="16"/>
          <w:szCs w:val="16"/>
        </w:rPr>
        <w:softHyphen/>
        <w:t>доточить только на двух аэродромах -Конституция и Солодовка. Дело в том, что распоряжением начальников 32-й и 27-й РАБ 427-й и 796-й БАО, обслужи</w:t>
      </w:r>
      <w:r w:rsidRPr="00722885">
        <w:rPr>
          <w:color w:val="000000" w:themeColor="text1"/>
          <w:sz w:val="16"/>
          <w:szCs w:val="16"/>
        </w:rPr>
        <w:softHyphen/>
        <w:t>вавшие два других аэродрома дивизии - Избаченков и Большой Караколь, не только без согласования с командова</w:t>
      </w:r>
      <w:r w:rsidRPr="00722885">
        <w:rPr>
          <w:color w:val="000000" w:themeColor="text1"/>
          <w:sz w:val="16"/>
          <w:szCs w:val="16"/>
        </w:rPr>
        <w:softHyphen/>
        <w:t xml:space="preserve">нием 206-й </w:t>
      </w:r>
      <w:r w:rsidRPr="00722885">
        <w:rPr>
          <w:iCs/>
          <w:color w:val="000000" w:themeColor="text1"/>
          <w:sz w:val="16"/>
          <w:szCs w:val="16"/>
        </w:rPr>
        <w:t>шад,</w:t>
      </w:r>
      <w:r w:rsidRPr="00722885">
        <w:rPr>
          <w:color w:val="000000" w:themeColor="text1"/>
          <w:sz w:val="16"/>
          <w:szCs w:val="16"/>
        </w:rPr>
        <w:t xml:space="preserve"> но даже без предуп</w:t>
      </w:r>
      <w:r w:rsidRPr="00722885">
        <w:rPr>
          <w:color w:val="000000" w:themeColor="text1"/>
          <w:sz w:val="16"/>
          <w:szCs w:val="16"/>
        </w:rPr>
        <w:softHyphen/>
        <w:t>реждения были сняты со своих аэродро</w:t>
      </w:r>
      <w:r w:rsidRPr="00722885">
        <w:rPr>
          <w:color w:val="000000" w:themeColor="text1"/>
          <w:sz w:val="16"/>
          <w:szCs w:val="16"/>
        </w:rPr>
        <w:softHyphen/>
        <w:t xml:space="preserve">мов. В результате 811-й и 945-й </w:t>
      </w:r>
      <w:r w:rsidRPr="00722885">
        <w:rPr>
          <w:iCs/>
          <w:color w:val="000000" w:themeColor="text1"/>
          <w:sz w:val="16"/>
          <w:szCs w:val="16"/>
        </w:rPr>
        <w:t xml:space="preserve">шап </w:t>
      </w:r>
      <w:r w:rsidRPr="00722885">
        <w:rPr>
          <w:color w:val="000000" w:themeColor="text1"/>
          <w:sz w:val="16"/>
          <w:szCs w:val="16"/>
        </w:rPr>
        <w:t xml:space="preserve">оказались без всякого обеспечения. Непредвиденная же скученность на двух аэродромах всех полков 206-й </w:t>
      </w:r>
      <w:r w:rsidRPr="00722885">
        <w:rPr>
          <w:iCs/>
          <w:color w:val="000000" w:themeColor="text1"/>
          <w:sz w:val="16"/>
          <w:szCs w:val="16"/>
        </w:rPr>
        <w:t>шад,</w:t>
      </w:r>
      <w:r w:rsidRPr="00722885">
        <w:rPr>
          <w:color w:val="000000" w:themeColor="text1"/>
          <w:sz w:val="16"/>
          <w:szCs w:val="16"/>
        </w:rPr>
        <w:t xml:space="preserve"> при</w:t>
      </w:r>
      <w:r w:rsidRPr="00722885">
        <w:rPr>
          <w:color w:val="000000" w:themeColor="text1"/>
          <w:sz w:val="16"/>
          <w:szCs w:val="16"/>
        </w:rPr>
        <w:softHyphen/>
        <w:t>нимая во внимание слабую оснащен</w:t>
      </w:r>
      <w:r w:rsidRPr="00722885">
        <w:rPr>
          <w:color w:val="000000" w:themeColor="text1"/>
          <w:sz w:val="16"/>
          <w:szCs w:val="16"/>
        </w:rPr>
        <w:softHyphen/>
        <w:t>ность батальонов обслуживания на этих аэродромах - отсутствие компрессоров для производства сжатого воздуха, не</w:t>
      </w:r>
      <w:r w:rsidRPr="00722885">
        <w:rPr>
          <w:color w:val="000000" w:themeColor="text1"/>
          <w:sz w:val="16"/>
          <w:szCs w:val="16"/>
        </w:rPr>
        <w:softHyphen/>
        <w:t>достаточное количество заправочных средств и средств подогрева, недоста</w:t>
      </w:r>
      <w:r w:rsidRPr="00722885">
        <w:rPr>
          <w:color w:val="000000" w:themeColor="text1"/>
          <w:sz w:val="16"/>
          <w:szCs w:val="16"/>
        </w:rPr>
        <w:softHyphen/>
        <w:t>ток автотранспорта для подвоза боеп</w:t>
      </w:r>
      <w:r w:rsidRPr="00722885">
        <w:rPr>
          <w:color w:val="000000" w:themeColor="text1"/>
          <w:sz w:val="16"/>
          <w:szCs w:val="16"/>
        </w:rPr>
        <w:softHyphen/>
        <w:t>рипасов и т.д., создала большие труд</w:t>
      </w:r>
      <w:r w:rsidRPr="00722885">
        <w:rPr>
          <w:color w:val="000000" w:themeColor="text1"/>
          <w:sz w:val="16"/>
          <w:szCs w:val="16"/>
        </w:rPr>
        <w:softHyphen/>
        <w:t>ности как в отношении размещения лично</w:t>
      </w:r>
      <w:r w:rsidRPr="00722885">
        <w:rPr>
          <w:color w:val="000000" w:themeColor="text1"/>
          <w:sz w:val="16"/>
          <w:szCs w:val="16"/>
        </w:rPr>
        <w:softHyphen/>
        <w:t>го состава, так и в отношении нормального обеспечения боевой работы полков.</w:t>
      </w:r>
    </w:p>
    <w:p w14:paraId="7E227FB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Помимо этого, на активность штурмо</w:t>
      </w:r>
      <w:r w:rsidRPr="00722885">
        <w:rPr>
          <w:color w:val="000000" w:themeColor="text1"/>
          <w:sz w:val="16"/>
          <w:szCs w:val="16"/>
        </w:rPr>
        <w:softHyphen/>
        <w:t>вой авиации Красной Армии определен</w:t>
      </w:r>
      <w:r w:rsidRPr="00722885">
        <w:rPr>
          <w:color w:val="000000" w:themeColor="text1"/>
          <w:sz w:val="16"/>
          <w:szCs w:val="16"/>
        </w:rPr>
        <w:softHyphen/>
        <w:t>ное влияние оказала и удаленность ба</w:t>
      </w:r>
      <w:r w:rsidRPr="00722885">
        <w:rPr>
          <w:color w:val="000000" w:themeColor="text1"/>
          <w:sz w:val="16"/>
          <w:szCs w:val="16"/>
        </w:rPr>
        <w:softHyphen/>
        <w:t>зирования штурмовых авиачастей от районов боевых действий фронтов. На</w:t>
      </w:r>
      <w:r w:rsidRPr="00722885">
        <w:rPr>
          <w:color w:val="000000" w:themeColor="text1"/>
          <w:sz w:val="16"/>
          <w:szCs w:val="16"/>
        </w:rPr>
        <w:softHyphen/>
        <w:t>пример, в 8-й ВА еще до начала наступ</w:t>
      </w:r>
      <w:r w:rsidRPr="00722885">
        <w:rPr>
          <w:color w:val="000000" w:themeColor="text1"/>
          <w:sz w:val="16"/>
          <w:szCs w:val="16"/>
        </w:rPr>
        <w:softHyphen/>
        <w:t>ления удаленность аэродромов базиро</w:t>
      </w:r>
      <w:r w:rsidRPr="00722885">
        <w:rPr>
          <w:color w:val="000000" w:themeColor="text1"/>
          <w:sz w:val="16"/>
          <w:szCs w:val="16"/>
        </w:rPr>
        <w:softHyphen/>
        <w:t>вания от линии фронта уже составляла 100-130 км, а к моменту борьбы с Котельниковской группировкой (12-30 де</w:t>
      </w:r>
      <w:r w:rsidRPr="00722885">
        <w:rPr>
          <w:color w:val="000000" w:themeColor="text1"/>
          <w:sz w:val="16"/>
          <w:szCs w:val="16"/>
        </w:rPr>
        <w:softHyphen/>
        <w:t>кабря) до ближайших заволжских аэро</w:t>
      </w:r>
      <w:r w:rsidRPr="00722885">
        <w:rPr>
          <w:color w:val="000000" w:themeColor="text1"/>
          <w:sz w:val="16"/>
          <w:szCs w:val="16"/>
        </w:rPr>
        <w:softHyphen/>
        <w:t>дромов было 200-350 км и радиуса дей</w:t>
      </w:r>
      <w:r w:rsidRPr="00722885">
        <w:rPr>
          <w:color w:val="000000" w:themeColor="text1"/>
          <w:sz w:val="16"/>
          <w:szCs w:val="16"/>
        </w:rPr>
        <w:softHyphen/>
        <w:t>ствия Ил-2 стало катастрофически не хватать для успешного выполнения бо</w:t>
      </w:r>
      <w:r w:rsidRPr="00722885">
        <w:rPr>
          <w:color w:val="000000" w:themeColor="text1"/>
          <w:sz w:val="16"/>
          <w:szCs w:val="16"/>
        </w:rPr>
        <w:softHyphen/>
        <w:t>евых задач. Остро встала проблема уве</w:t>
      </w:r>
      <w:r w:rsidRPr="00722885">
        <w:rPr>
          <w:color w:val="000000" w:themeColor="text1"/>
          <w:sz w:val="16"/>
          <w:szCs w:val="16"/>
        </w:rPr>
        <w:softHyphen/>
        <w:t>личения дальности полета Ил-2.. (6467).</w:t>
      </w:r>
    </w:p>
    <w:p w14:paraId="0C8AFA02" w14:textId="77777777" w:rsidR="00090C9B" w:rsidRPr="00722885" w:rsidRDefault="00090C9B" w:rsidP="00722885">
      <w:pPr>
        <w:pStyle w:val="Iauiue"/>
        <w:jc w:val="both"/>
        <w:rPr>
          <w:color w:val="000000" w:themeColor="text1"/>
          <w:sz w:val="16"/>
          <w:szCs w:val="16"/>
        </w:rPr>
      </w:pPr>
    </w:p>
    <w:p w14:paraId="4AA5E6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23-25 ноября 1942 начался массовый пролет немецких транспор</w:t>
      </w:r>
      <w:r w:rsidRPr="00722885">
        <w:rPr>
          <w:color w:val="000000" w:themeColor="text1"/>
          <w:sz w:val="16"/>
          <w:szCs w:val="16"/>
        </w:rPr>
        <w:softHyphen/>
        <w:t>тных самолетов в район Сталинграда группами по 20-40 машин под прикры</w:t>
      </w:r>
      <w:r w:rsidRPr="00722885">
        <w:rPr>
          <w:color w:val="000000" w:themeColor="text1"/>
          <w:sz w:val="16"/>
          <w:szCs w:val="16"/>
        </w:rPr>
        <w:softHyphen/>
        <w:t>тием истребителей ВТ109 и В1110, специально оборудованных подвесными бензобаками, начался. Интенсивность полетов германской транспортной авиации в окруженную группировку в конце ноября фиксиро</w:t>
      </w:r>
      <w:r w:rsidRPr="00722885">
        <w:rPr>
          <w:color w:val="000000" w:themeColor="text1"/>
          <w:sz w:val="16"/>
          <w:szCs w:val="16"/>
        </w:rPr>
        <w:softHyphen/>
        <w:t>валась на уровне 100-150 самолето-про</w:t>
      </w:r>
      <w:r w:rsidRPr="00722885">
        <w:rPr>
          <w:color w:val="000000" w:themeColor="text1"/>
          <w:sz w:val="16"/>
          <w:szCs w:val="16"/>
        </w:rPr>
        <w:softHyphen/>
        <w:t>летов ежедневно. В этой связи перед авиацией Крас</w:t>
      </w:r>
      <w:r w:rsidRPr="00722885">
        <w:rPr>
          <w:color w:val="000000" w:themeColor="text1"/>
          <w:sz w:val="16"/>
          <w:szCs w:val="16"/>
        </w:rPr>
        <w:softHyphen/>
        <w:t>ной Армии со всей остротой встала за</w:t>
      </w:r>
      <w:r w:rsidRPr="00722885">
        <w:rPr>
          <w:color w:val="000000" w:themeColor="text1"/>
          <w:sz w:val="16"/>
          <w:szCs w:val="16"/>
        </w:rPr>
        <w:softHyphen/>
        <w:t>дача ведения эффективной борьбы с немецкими транспортными самолетами (6467).</w:t>
      </w:r>
    </w:p>
    <w:p w14:paraId="599742DE" w14:textId="77777777" w:rsidR="00090C9B" w:rsidRPr="00722885" w:rsidRDefault="00090C9B" w:rsidP="00722885">
      <w:pPr>
        <w:pStyle w:val="Iauiue"/>
        <w:jc w:val="both"/>
        <w:rPr>
          <w:color w:val="000000" w:themeColor="text1"/>
          <w:sz w:val="16"/>
          <w:szCs w:val="16"/>
        </w:rPr>
      </w:pPr>
    </w:p>
    <w:p w14:paraId="1AED258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23 ноября 1942 Гитлер отдал приказ немецким армиям под Сталинградом любой ценой удерживать свои позиции (4962).</w:t>
      </w:r>
    </w:p>
    <w:p w14:paraId="16C56E95" w14:textId="77777777" w:rsidR="00090C9B" w:rsidRPr="00722885" w:rsidRDefault="00090C9B" w:rsidP="00722885">
      <w:pPr>
        <w:pStyle w:val="Iauiue"/>
        <w:tabs>
          <w:tab w:val="left" w:pos="11199"/>
        </w:tabs>
        <w:jc w:val="both"/>
        <w:rPr>
          <w:color w:val="000000" w:themeColor="text1"/>
          <w:sz w:val="16"/>
          <w:szCs w:val="16"/>
        </w:rPr>
      </w:pPr>
    </w:p>
    <w:p w14:paraId="2F3008FF"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23 ноября </w:t>
      </w:r>
      <w:r w:rsidRPr="00722885">
        <w:rPr>
          <w:rFonts w:ascii="Times New Roman" w:hAnsi="Times New Roman"/>
          <w:color w:val="000000" w:themeColor="text1"/>
          <w:sz w:val="16"/>
          <w:szCs w:val="16"/>
        </w:rPr>
        <w:t>в 1942 году приказ Гитлера "ни шагу назад". "...Армия может быть убеждена в том, что я сделаю все для того, чтобы соответствующим образом обеспечить ее и своевременно деблокировать. Я знаю храбрую 6-ю армию и ее командующего и уверен, что она выполнит свой долг..." Служил впоследствии самооправданиям Паулюсу, хотя по мнению Зейдлица фельдмаршал виновен в гибели 6 армии не меньше Гитлера (14838).</w:t>
      </w:r>
    </w:p>
    <w:p w14:paraId="60D5E152"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0831F9F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ноября 1942 в результате Туапсинской операции в ходе битвы за Кавказ немцы были вынуждены перейти к обороне (2443,213).</w:t>
      </w:r>
    </w:p>
    <w:p w14:paraId="004EE6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А.А.Гречко писал: " Особенности горных условий влияли на характер боевых действий всех родов авиации. Для ба в связи с трудностью отыскания объектов, видимость которых здесь значительно ниже, чем в обычных условиях. большее значение приобретает целеуказание и наведение с земли. Штурмовики... в районах с резко пересеченным рельефом... использовались группами по 6-8 самолетов." (518,151).</w:t>
      </w:r>
    </w:p>
    <w:p w14:paraId="6DEB9753" w14:textId="77777777" w:rsidR="00090C9B" w:rsidRPr="00722885" w:rsidRDefault="00090C9B" w:rsidP="00722885">
      <w:pPr>
        <w:pStyle w:val="Iauiue"/>
        <w:jc w:val="both"/>
        <w:rPr>
          <w:color w:val="000000" w:themeColor="text1"/>
          <w:sz w:val="16"/>
          <w:szCs w:val="16"/>
        </w:rPr>
      </w:pPr>
    </w:p>
    <w:p w14:paraId="02194B49" w14:textId="77777777" w:rsidR="00090C9B" w:rsidRPr="00722885" w:rsidRDefault="00090C9B" w:rsidP="00722885">
      <w:pPr>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rPr>
        <w:t>23 ноября 1942 вышло Постановление ГКО № 2535 Об установлении норм довольствия печеным хлебом и овощами личного состава частей Закавказского фронта и норм выдачи хлеба населению закавказских и северокавказских республик. РГАНИР</w:t>
      </w:r>
      <w:r w:rsidRPr="00722885">
        <w:rPr>
          <w:rFonts w:ascii="Times New Roman" w:hAnsi="Times New Roman"/>
          <w:color w:val="000000" w:themeColor="text1"/>
          <w:sz w:val="16"/>
          <w:szCs w:val="16"/>
          <w:lang w:val="en-US"/>
        </w:rPr>
        <w:t xml:space="preserve">, </w:t>
      </w:r>
      <w:r w:rsidRPr="00722885">
        <w:rPr>
          <w:rFonts w:ascii="Times New Roman" w:hAnsi="Times New Roman"/>
          <w:color w:val="000000" w:themeColor="text1"/>
          <w:sz w:val="16"/>
          <w:szCs w:val="16"/>
        </w:rPr>
        <w:t>ФондГКО</w:t>
      </w:r>
      <w:r w:rsidRPr="00722885">
        <w:rPr>
          <w:rFonts w:ascii="Times New Roman" w:hAnsi="Times New Roman"/>
          <w:color w:val="000000" w:themeColor="text1"/>
          <w:sz w:val="16"/>
          <w:szCs w:val="16"/>
          <w:lang w:val="en-US"/>
        </w:rPr>
        <w:t xml:space="preserve">, </w:t>
      </w:r>
      <w:r w:rsidRPr="00722885">
        <w:rPr>
          <w:rFonts w:ascii="Times New Roman" w:hAnsi="Times New Roman"/>
          <w:color w:val="000000" w:themeColor="text1"/>
          <w:sz w:val="16"/>
          <w:szCs w:val="16"/>
        </w:rPr>
        <w:t>д</w:t>
      </w:r>
      <w:r w:rsidRPr="00722885">
        <w:rPr>
          <w:rFonts w:ascii="Times New Roman" w:hAnsi="Times New Roman"/>
          <w:color w:val="000000" w:themeColor="text1"/>
          <w:sz w:val="16"/>
          <w:szCs w:val="16"/>
          <w:lang w:val="en-US"/>
        </w:rPr>
        <w:t xml:space="preserve">. 70, </w:t>
      </w:r>
      <w:r w:rsidRPr="00722885">
        <w:rPr>
          <w:rFonts w:ascii="Times New Roman" w:hAnsi="Times New Roman"/>
          <w:color w:val="000000" w:themeColor="text1"/>
          <w:sz w:val="16"/>
          <w:szCs w:val="16"/>
        </w:rPr>
        <w:t>лл</w:t>
      </w:r>
      <w:r w:rsidRPr="00722885">
        <w:rPr>
          <w:rFonts w:ascii="Times New Roman" w:hAnsi="Times New Roman"/>
          <w:color w:val="000000" w:themeColor="text1"/>
          <w:sz w:val="16"/>
          <w:szCs w:val="16"/>
          <w:lang w:val="en-US"/>
        </w:rPr>
        <w:t>. 32 (11012).</w:t>
      </w:r>
    </w:p>
    <w:p w14:paraId="1F69E240" w14:textId="77777777" w:rsidR="00090C9B" w:rsidRPr="00722885" w:rsidRDefault="00090C9B" w:rsidP="00722885">
      <w:pPr>
        <w:spacing w:after="0" w:line="240" w:lineRule="auto"/>
        <w:jc w:val="both"/>
        <w:rPr>
          <w:rFonts w:ascii="Times New Roman" w:hAnsi="Times New Roman"/>
          <w:color w:val="000000" w:themeColor="text1"/>
          <w:sz w:val="16"/>
          <w:szCs w:val="16"/>
          <w:lang w:val="en-US"/>
        </w:rPr>
      </w:pPr>
    </w:p>
    <w:p w14:paraId="3C19639B"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350EFE30" w14:textId="77777777" w:rsidR="00090C9B" w:rsidRPr="00722885" w:rsidRDefault="00090C9B" w:rsidP="00722885">
      <w:pPr>
        <w:pStyle w:val="Iauiue"/>
        <w:jc w:val="both"/>
        <w:rPr>
          <w:iCs/>
          <w:color w:val="000000" w:themeColor="text1"/>
          <w:sz w:val="16"/>
          <w:szCs w:val="16"/>
          <w:lang w:val="en-US"/>
        </w:rPr>
      </w:pPr>
    </w:p>
    <w:p w14:paraId="1B3A38DA"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23, 1942: Retreating before the British 8th Army (Montgomery), Panzerarmee Afrika reaches El Agheila, the starting-point of its great counter-offensive that began on January 21, 1942 (3819).</w:t>
      </w:r>
    </w:p>
    <w:p w14:paraId="23A3CCA1" w14:textId="77777777" w:rsidR="00090C9B" w:rsidRPr="00722885" w:rsidRDefault="00090C9B" w:rsidP="00722885">
      <w:pPr>
        <w:pStyle w:val="Iauiue"/>
        <w:jc w:val="both"/>
        <w:rPr>
          <w:color w:val="000000" w:themeColor="text1"/>
          <w:sz w:val="16"/>
          <w:szCs w:val="16"/>
          <w:lang w:val="en-US"/>
        </w:rPr>
      </w:pPr>
    </w:p>
    <w:p w14:paraId="7FC12190"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23 ноября 1942 года состоялся первый полет Vought V-173 (20793).</w:t>
      </w:r>
    </w:p>
    <w:p w14:paraId="2F318467" w14:textId="77777777" w:rsidR="00546E6F" w:rsidRPr="00722885" w:rsidRDefault="00546E6F" w:rsidP="00722885">
      <w:pPr>
        <w:spacing w:after="0" w:line="240" w:lineRule="auto"/>
        <w:jc w:val="both"/>
        <w:rPr>
          <w:rFonts w:ascii="Times New Roman" w:hAnsi="Times New Roman"/>
          <w:color w:val="0070C0"/>
          <w:sz w:val="16"/>
          <w:szCs w:val="16"/>
        </w:rPr>
      </w:pPr>
    </w:p>
    <w:p w14:paraId="62ECDF94" w14:textId="77777777" w:rsidR="00546E6F" w:rsidRPr="00722885" w:rsidRDefault="00546E6F" w:rsidP="00722885">
      <w:pPr>
        <w:pStyle w:val="Iauiue"/>
        <w:jc w:val="both"/>
        <w:rPr>
          <w:color w:val="000000" w:themeColor="text1"/>
          <w:sz w:val="16"/>
          <w:szCs w:val="16"/>
          <w:lang w:val="en-US"/>
        </w:rPr>
      </w:pPr>
      <w:r w:rsidRPr="00722885">
        <w:rPr>
          <w:color w:val="000000" w:themeColor="text1"/>
          <w:sz w:val="16"/>
          <w:szCs w:val="16"/>
          <w:lang w:val="en-US"/>
        </w:rPr>
        <w:t>November 23 1942 The V-173, a full-scale model of a fighter aircraft with an almost circular wing, made its first flight at the Vought-Sikorsky plant, Stratford, Conn. A military version of this aircraft, the XF5U-1, was constructed later but never flown (1090).</w:t>
      </w:r>
    </w:p>
    <w:p w14:paraId="344A231B" w14:textId="77777777" w:rsidR="00546E6F" w:rsidRPr="00722885" w:rsidRDefault="00546E6F" w:rsidP="00722885">
      <w:pPr>
        <w:pStyle w:val="Iauiue"/>
        <w:jc w:val="both"/>
        <w:rPr>
          <w:color w:val="000000" w:themeColor="text1"/>
          <w:sz w:val="16"/>
          <w:szCs w:val="16"/>
          <w:lang w:val="en-US"/>
        </w:rPr>
      </w:pPr>
    </w:p>
    <w:p w14:paraId="1B31A3B2" w14:textId="77777777" w:rsidR="00546E6F" w:rsidRPr="00722885" w:rsidRDefault="00546E6F" w:rsidP="00722885">
      <w:pPr>
        <w:pStyle w:val="Iauiue"/>
        <w:jc w:val="both"/>
        <w:rPr>
          <w:color w:val="000000" w:themeColor="text1"/>
          <w:sz w:val="16"/>
          <w:szCs w:val="16"/>
        </w:rPr>
      </w:pPr>
      <w:r w:rsidRPr="00722885">
        <w:rPr>
          <w:color w:val="000000" w:themeColor="text1"/>
          <w:sz w:val="16"/>
          <w:szCs w:val="16"/>
        </w:rPr>
        <w:t>23 ноября 1942 первый полет выполнила модель самолета V-173 с круглым крылом фирмы Vought-Sikorsky (1090).</w:t>
      </w:r>
    </w:p>
    <w:p w14:paraId="5A6191D2" w14:textId="77777777" w:rsidR="00546E6F" w:rsidRPr="00722885" w:rsidRDefault="00546E6F" w:rsidP="00722885">
      <w:pPr>
        <w:pStyle w:val="Iauiue"/>
        <w:jc w:val="both"/>
        <w:rPr>
          <w:color w:val="000000" w:themeColor="text1"/>
          <w:sz w:val="16"/>
          <w:szCs w:val="16"/>
        </w:rPr>
      </w:pPr>
    </w:p>
    <w:p w14:paraId="5DEDF0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 ноября 1942 отступающий Африканский корпус достиг Эль Аламейна, точки начала наступления 21 января (3819).</w:t>
      </w:r>
    </w:p>
    <w:p w14:paraId="0C2727E3" w14:textId="77777777" w:rsidR="00090C9B" w:rsidRPr="00722885" w:rsidRDefault="00090C9B" w:rsidP="00722885">
      <w:pPr>
        <w:pStyle w:val="Iauiue"/>
        <w:jc w:val="both"/>
        <w:rPr>
          <w:color w:val="000000" w:themeColor="text1"/>
          <w:sz w:val="16"/>
          <w:szCs w:val="16"/>
        </w:rPr>
      </w:pPr>
    </w:p>
    <w:p w14:paraId="16B107D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0873341" w14:textId="77777777" w:rsidR="00090C9B" w:rsidRPr="00722885" w:rsidRDefault="00090C9B" w:rsidP="00722885">
      <w:pPr>
        <w:pStyle w:val="Iauiue"/>
        <w:jc w:val="both"/>
        <w:rPr>
          <w:iCs/>
          <w:color w:val="000000" w:themeColor="text1"/>
          <w:sz w:val="16"/>
          <w:szCs w:val="16"/>
        </w:rPr>
      </w:pPr>
    </w:p>
    <w:p w14:paraId="7DC609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ноября 1942 вышел приказ НКАП и командующего ВВС N 847с/046:</w:t>
      </w:r>
    </w:p>
    <w:p w14:paraId="316D6DB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"Винт ВИШ-51ИФ производства завода 28 прошел удовлетворительно летные испытания на самолете Ил-4 с М-88Б</w:t>
      </w:r>
    </w:p>
    <w:p w14:paraId="4E16516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Испытанием установлено, что для самолета Ил-4 винт ВИШ-61ИФ является более совершенным по сравнению с ныне устанавливаемым винтом ВИШ-23</w:t>
      </w:r>
    </w:p>
    <w:p w14:paraId="493DD3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Длинна разбега самолета Ил-4 с ВИШ-61ИФ сокращается на 11%</w:t>
      </w:r>
    </w:p>
    <w:p w14:paraId="63E401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основании вышеизложенного:</w:t>
      </w:r>
    </w:p>
    <w:p w14:paraId="3D1448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Разрешить устанавливать ВИШ-61ИФ на серийные самолеты Ил-4 с М-88Б</w:t>
      </w:r>
    </w:p>
    <w:p w14:paraId="4E2139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ГК самолета Ил-4 С.В.И. предусмотреть необходимые конструктивные изменения коков под ВИШ-61ИФ, а также выпустить бюллетень на случай замены ВИШ-</w:t>
      </w:r>
      <w:r w:rsidRPr="00722885">
        <w:rPr>
          <w:color w:val="000000" w:themeColor="text1"/>
          <w:sz w:val="16"/>
          <w:szCs w:val="16"/>
        </w:rPr>
        <w:lastRenderedPageBreak/>
        <w:t>23 винтами ВИШ-61ИФ (1599,95).</w:t>
      </w:r>
    </w:p>
    <w:p w14:paraId="6BB1EB1E" w14:textId="77777777" w:rsidR="00090C9B" w:rsidRPr="00722885" w:rsidRDefault="00090C9B" w:rsidP="00722885">
      <w:pPr>
        <w:pStyle w:val="Iauiue"/>
        <w:jc w:val="both"/>
        <w:rPr>
          <w:color w:val="000000" w:themeColor="text1"/>
          <w:sz w:val="16"/>
          <w:szCs w:val="16"/>
        </w:rPr>
      </w:pPr>
    </w:p>
    <w:p w14:paraId="2395D2B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24-25 ноября 1942 на заводе 21 были произведены испытания Ла-5 серийного N 8-50 с аэродинамическими улучшениями по герметизации капотов и внешней отделке и скорость у земли на номинале (950 мм) была 518 км/час, а при наддуве (1140 мм) - 550 км/час. Испытания на высоте не производились из-за нелетной погоды. 19 завод согласился с возможностью использования наддува в теч. по крайней мере 10 мин. В письме, направленном в декабре 1942 Зам. НКАП Дементьев, ГК завода 19 Швецов и ГК завода 21 просили разрешение выпустить в опытную боевую эксплуатацию 100 Ла-5 с применением повышенных режимов работы и предлагали провести на заводе 19 совместные испытания серийного М-82 на повышенных режимах (2519,10).</w:t>
      </w:r>
    </w:p>
    <w:p w14:paraId="45C170D9" w14:textId="77777777" w:rsidR="00090C9B" w:rsidRPr="00722885" w:rsidRDefault="00090C9B" w:rsidP="00722885">
      <w:pPr>
        <w:pStyle w:val="Iauiue"/>
        <w:jc w:val="both"/>
        <w:rPr>
          <w:color w:val="000000" w:themeColor="text1"/>
          <w:sz w:val="16"/>
          <w:szCs w:val="16"/>
        </w:rPr>
      </w:pPr>
    </w:p>
    <w:p w14:paraId="291321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ноября 1942 г. закончились государственные испытания мягких бензобаков для Як-1, которые шли с 4 ноября, по и по заключению НИИ ВВС их рекомендовали к серийному производству при условии устранения дефектов, отмеченных при испытаниях.</w:t>
      </w:r>
    </w:p>
    <w:p w14:paraId="5E03AD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Практически одновременно с началом использования самолета Як-1 в боевых условиях перед конструкторами заводов №№ 292, 301 и ВИАМ была поставлена задача для экономии дефицитного металла, а также в связи с низкими защитными свойствами металлических баков, заменить металлические протектированные бензобаки мягкими или фибровыми. В 1942 г. заводом № 292 совместно с бригадой ВИАМ была отработана конструкция протектированных мягких бензобаков самолета Як-1, выдерживающих обстрел из немецкой пушки MG-151 калибром 15 мм. При этом конструкция крыла не потребовала капитальных переделок. Изменился только способ крепления бензобаков. Мягкие баки укладывались в фанерный кессон, опирающийся на усиленные крышки бензолюков. </w:t>
      </w:r>
    </w:p>
    <w:p w14:paraId="4E17880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Серийно мягкие бензобаки не выпускались, несмотря на их высокую пулестойкость (при испытаниях бак выдержал пять попаданий снарядов калибром 15 мм). Основным препятствием внедрению явилась необходимость наличия поддавливания топлива в баках системой нейтрального газа для повышения высотности мотора. При простреле бензин быстро выдавливался из мягкого бака избыточным давлением газа, не давая затянуться протектирующему слою. Кроме того, общая емкость бензобаков осталась прежней при увеличении веса конструкции на 35 кг (12048).</w:t>
      </w:r>
    </w:p>
    <w:p w14:paraId="77CAC8A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9810437"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24 ноября 1942 г. закончились по</w:t>
      </w:r>
      <w:r w:rsidRPr="00722885">
        <w:rPr>
          <w:rFonts w:ascii="Times New Roman" w:cs="Times New Roman"/>
          <w:color w:val="000000" w:themeColor="text1"/>
          <w:spacing w:val="0"/>
        </w:rPr>
        <w:softHyphen/>
        <w:t>вторные полигонные испытания РБСК-82 на НИП АВ, которые шли с 15 октября. По ре</w:t>
      </w:r>
      <w:r w:rsidRPr="00722885">
        <w:rPr>
          <w:rFonts w:ascii="Times New Roman" w:cs="Times New Roman"/>
          <w:color w:val="000000" w:themeColor="text1"/>
          <w:spacing w:val="0"/>
        </w:rPr>
        <w:softHyphen/>
        <w:t>зультатам стрельб специалисты полиго</w:t>
      </w:r>
      <w:r w:rsidRPr="00722885">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258B7F88" w14:textId="77777777" w:rsidR="00090C9B" w:rsidRPr="00722885" w:rsidRDefault="00090C9B" w:rsidP="00722885">
      <w:pPr>
        <w:pStyle w:val="27"/>
        <w:shd w:val="clear" w:color="auto" w:fill="auto"/>
        <w:spacing w:after="0" w:line="240" w:lineRule="auto"/>
        <w:ind w:firstLine="0"/>
        <w:rPr>
          <w:rFonts w:ascii="Times New Roman" w:cs="Times New Roman"/>
          <w:color w:val="000000" w:themeColor="text1"/>
          <w:spacing w:val="0"/>
        </w:rPr>
      </w:pPr>
    </w:p>
    <w:p w14:paraId="73A85E2B"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24 ноября 1942 г. РБСК-82 прошел на НИП АВ повторные полигонные испытания, которые шли с 15 октября. По результатам стрельб специалисты полигона рекомендовали принять боеприпас на вооружение ВВС КА как универсальный осколоч- но-фугасно-бронебойный снаряд. Но решения по нему так и не последовало. Ставка была сделана на мелкокалиберные противотанковые бомбы кумуля</w:t>
      </w:r>
      <w:r w:rsidRPr="00722885">
        <w:rPr>
          <w:color w:val="000000" w:themeColor="text1"/>
          <w:sz w:val="16"/>
          <w:szCs w:val="16"/>
        </w:rPr>
        <w:softHyphen/>
        <w:t>тивного действия, которые показали весьма обна</w:t>
      </w:r>
      <w:r w:rsidRPr="00722885">
        <w:rPr>
          <w:color w:val="000000" w:themeColor="text1"/>
          <w:sz w:val="16"/>
          <w:szCs w:val="16"/>
        </w:rPr>
        <w:softHyphen/>
        <w:t>деживающие результаты (17500).</w:t>
      </w:r>
    </w:p>
    <w:p w14:paraId="1D3188B1" w14:textId="77777777" w:rsidR="00DA5455" w:rsidRPr="00722885" w:rsidRDefault="00DA5455" w:rsidP="00722885">
      <w:pPr>
        <w:pStyle w:val="12a"/>
        <w:shd w:val="clear" w:color="auto" w:fill="auto"/>
        <w:spacing w:after="0" w:line="240" w:lineRule="auto"/>
        <w:jc w:val="both"/>
        <w:rPr>
          <w:color w:val="000000" w:themeColor="text1"/>
          <w:sz w:val="16"/>
          <w:szCs w:val="16"/>
        </w:rPr>
      </w:pPr>
    </w:p>
    <w:p w14:paraId="1055A58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0BBDA80" w14:textId="77777777" w:rsidR="00090C9B" w:rsidRPr="00722885" w:rsidRDefault="00090C9B" w:rsidP="00722885">
      <w:pPr>
        <w:pStyle w:val="Iauiue"/>
        <w:jc w:val="both"/>
        <w:rPr>
          <w:iCs/>
          <w:color w:val="000000" w:themeColor="text1"/>
          <w:sz w:val="16"/>
          <w:szCs w:val="16"/>
        </w:rPr>
      </w:pPr>
    </w:p>
    <w:p w14:paraId="01BA2BA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24 ноября 1942 вышло Постановление ГКО № 2536 [Об укомплектовании аэродромно-технических команд для зимней эксплуатации аэродромов автотранспортом и тракторами.] (7064, 33).</w:t>
      </w:r>
    </w:p>
    <w:p w14:paraId="5E2986A0" w14:textId="77777777" w:rsidR="00090C9B" w:rsidRPr="00722885" w:rsidRDefault="00090C9B" w:rsidP="00722885">
      <w:pPr>
        <w:pStyle w:val="Iauiue"/>
        <w:tabs>
          <w:tab w:val="left" w:pos="11199"/>
        </w:tabs>
        <w:jc w:val="both"/>
        <w:rPr>
          <w:color w:val="000000" w:themeColor="text1"/>
          <w:sz w:val="16"/>
          <w:szCs w:val="16"/>
        </w:rPr>
      </w:pPr>
    </w:p>
    <w:p w14:paraId="7A1E839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FAC068E" w14:textId="77777777" w:rsidR="00090C9B" w:rsidRPr="00722885" w:rsidRDefault="00090C9B" w:rsidP="00722885">
      <w:pPr>
        <w:pStyle w:val="Iauiue"/>
        <w:jc w:val="both"/>
        <w:rPr>
          <w:iCs/>
          <w:color w:val="000000" w:themeColor="text1"/>
          <w:sz w:val="16"/>
          <w:szCs w:val="16"/>
        </w:rPr>
      </w:pPr>
    </w:p>
    <w:p w14:paraId="058484C7"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24 ноября </w:t>
      </w:r>
      <w:r w:rsidRPr="00722885">
        <w:rPr>
          <w:rFonts w:ascii="Times New Roman" w:hAnsi="Times New Roman"/>
          <w:color w:val="000000" w:themeColor="text1"/>
          <w:sz w:val="16"/>
          <w:szCs w:val="16"/>
        </w:rPr>
        <w:t>в 1942 году утреннее сообщение Совинформбюро:</w:t>
      </w:r>
    </w:p>
    <w:p w14:paraId="47E67E44"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24 ноября наши войска продолжали вести успешное наступлениес северо-запада и юга от города Сталинграда на прежних направлениях.</w:t>
      </w:r>
    </w:p>
    <w:p w14:paraId="7086C47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заводской части города Сталинграда Н-ская часть очистила от немцев 17 дзотов и уничтожила 250 гитлеровцев. Захвачены 2 орудия, 12 пулемётов, 35 автоматов, 120 винтовок и боеприпасы. Подразделение бронебойщиков сожгло 3 немецких танка.</w:t>
      </w:r>
    </w:p>
    <w:p w14:paraId="7D2C6AFC"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ломая сопротивление противника,успешно продвигались вперёд. Развивая наступление, наши части заняли несколько населённых пунктов. Бойцы Н-ской части подбили 9 вражеских танков и захватили 7 орудий, склад боеприпасов, радиостанцию и другие трофеи. На другом участке подбито и сожжено 13 немецких танков. Захвачено 5 исправных танков, 22 пулемёта и другое вооружение. Взяты пленные, количество которых уточняется. Н-ская часть Красной Армии ворвалась в один населенный пункт, занятый противником. Нападение было настолько внезапным, что гитлеровцы не успели организовать оборону. Нашими бойцами уничтожено до 1.000 немецких солдат и офицеров, 70 автомашин и 25 самолётов, стоявших на аэродроме близ этого населённого пункта.</w:t>
      </w:r>
    </w:p>
    <w:p w14:paraId="2C1150B1"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продолжали вести успешные наступательные бои. Н-ская часть уничтожила 850 вражеских солдат и офицеров. Захвачено 35 орудий, 19 автомашин, 49 станковых и ручных пулемётов, взято в плен 520 солдат и офицеров противника. Наши танкисты, преследуя отступающих гитлеровцев, уничтожили 14 немецких танков, 28 автомашин, 8 орудий и захватили трофеи.</w:t>
      </w:r>
    </w:p>
    <w:p w14:paraId="2F51559E"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советские войска вели бои местного значения. Артиллеристы Н-ской части уничтожили 6 немецких автомашин и подавили огонь артиллерийской батареи противника.</w:t>
      </w:r>
    </w:p>
    <w:p w14:paraId="5E4E5488"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Н-ское подразделение отбило контратаку противника и, преследуя гитлеровцев, захватило вражеские укреплённые позиции.</w:t>
      </w:r>
    </w:p>
    <w:p w14:paraId="7E0DBFD7"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наши подразделения заняли ещё один вражеский узел сопротивления. Захвачены танк, 2 орудия, 5 пулемётов и 2 миномёта. На поле боя осталось до 100 вражеских трупов.</w:t>
      </w:r>
    </w:p>
    <w:p w14:paraId="7085A485"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отряда, действующего в Пинской области, пустила под откос следовавший на фронт воинский эшелон с живой силой противника. Уничтожены паровоз и 10 вагонов с солдатами. Несколько дней спустя партизаны взорвали железнодорожное полотно. Движение поездов на этом участке железной дороги было приостановлено.</w:t>
      </w:r>
    </w:p>
    <w:p w14:paraId="5205879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румынского солдата С.Албу найдено неотправленное письмо к родным в Бухарест. В письме говорится: «Живу под вечным страхом смерти. Уже несколько дней не получаем ни пищи, ни табаку. Даже воды нельзя найти здесь. Недавно русские атаковали нас, и мы опять потеряли много солдат и офицеров. Мне всё это так надоело, что я уже больше не в силах терпеть... Если дальше будет так продолжаться, то я просто сойду с ума. Здесь уже погибло больше половины полка. Прошу вас ещё раз, сделайте всё, что можно, но вырвите меня из России».</w:t>
      </w:r>
    </w:p>
    <w:p w14:paraId="39307145"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Свирепый террор не сломил воли чехословацкого народа к борьбе против немецких оккупантов. Из Чехословакии сообщают о многочисленных актах саботажа на транспорте и в промышленности. Недалеко от Праги на днях произошло столкновение двух немецких воинских эшелонов. В районе Брно сгорел военный склад с обмундированием и обувью.» (14839).</w:t>
      </w:r>
    </w:p>
    <w:p w14:paraId="127638BD"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5C6B67E0"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24 ноября </w:t>
      </w:r>
      <w:r w:rsidRPr="00722885">
        <w:rPr>
          <w:rFonts w:ascii="Times New Roman" w:hAnsi="Times New Roman"/>
          <w:color w:val="000000" w:themeColor="text1"/>
          <w:sz w:val="16"/>
          <w:szCs w:val="16"/>
        </w:rPr>
        <w:t>в 1942 году вечернее сообщение Совинформбюро:</w:t>
      </w:r>
    </w:p>
    <w:p w14:paraId="1F7CE594"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24 ноября наши войска продолжали вести успешное наступление ссеверо-запада и с юга от города Сталинграда на прежних направлениях.</w:t>
      </w:r>
    </w:p>
    <w:p w14:paraId="15801325"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заняли город и станцию Суровикино, населённые пункты Зимовский, Камышинка, Ближняя Перекопка, Трёхостровская, Сиротинская, Томилин, Акатовка, Латошанка, Уманцево, Перегрузный и город Садовое.</w:t>
      </w:r>
    </w:p>
    <w:p w14:paraId="6D6B24A4"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ноября частями нашей авиации на различных участках фронта уничтожено 10 немецких танков, 50 автомашин, разбит железнодорожный эшелон, рассеяно и частью уничтожено до 4 рот пехоты противника.</w:t>
      </w:r>
    </w:p>
    <w:p w14:paraId="42699C3E"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заводской части города Сталинграда наши войска медленно продвигались вперёди очистили от противника несколько десятков дзотов и блиндажей. Уничтожено 900 солдат и офицеров противника и 6 немецких танков. На южной окраине города после артиллерийской и миномётной подготовки наши части перешли в наступление и заняли важную в тактическом отношении высоту. Уничтожено до трёх батальонов вражеской пехоты. Взяты пленные.</w:t>
      </w:r>
    </w:p>
    <w:p w14:paraId="689BC951"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продолжали успешно продвигаться вперёд. На одном участке после ожесточённых боёв капитулировала окружённая советскими частями вражеская группировка. Наши войска взяли в плен три дивизии противника во главе с генералами и их штабами. На другом участке бойцы Н-ской части, преследуя отходящего противника, ворвались на один из его аэродромов. Удар для немцев был настолько неожиданным, что они не успели поднять самолёты. Наши бойцы уничтожили 25 немецких самолётов и захватили 17 исправных самолётов противника.</w:t>
      </w:r>
    </w:p>
    <w:p w14:paraId="3B871D9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успешно развивали наступательные операции и освободили от немецко-фашистских захватчиков ряд населённых пунктов. Бойцы Н-ского соединения, преследуя отступающего врага, уничтожили до трёх полков пехоты противника. Захвачены 54 немецких танка, находившихся в ремонте, 91 орудие, 57 миномётов, 100 пулемётов, 100 километров телефонного кабеля, до миллиона винтовочных патронов, 5 разных складов и другие трофеи. Кроме того,уничтожены 36 танков, 31 орудие, 6 самолётов и другая военная техника противника. Захвачено много пленных.</w:t>
      </w:r>
    </w:p>
    <w:p w14:paraId="4987ED2C"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вели бои местного значения. На одном участке вражеская пехота при поддержке танков атаковала наши позиции.</w:t>
      </w:r>
    </w:p>
    <w:p w14:paraId="7EA2825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Н-ская часть перешла в контратаку и отбросила гитлеровцев на исходные рубежи. B этом бою уничтожено до 300 немецких солдат и офицеров, сожжено 2 танка, уничтожены 3 автомашины, шестиствольный миномёт и орудие противника.</w:t>
      </w:r>
    </w:p>
    <w:p w14:paraId="3B6FC0F0"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Северо-восточнее Туапсе части морской пехоты нанесли серьёзный урон противнику. Подразделение под командованием тов. Кузьмина атаковало немцев и уничтожило офицерскую штрафную роту гитлеровцев. Сломив сопротивление противника, подразделение моряков под командованием тов. Степанова заняло одну высоту. В этих боях краснофлотцы уничтожили до 400 гитлеровцев, захватили 23 пулемёта, 2 радиостанции, 5 миномётов, 20000 патронов, винтовки, гранаты и мины.</w:t>
      </w:r>
    </w:p>
    <w:p w14:paraId="494995F9"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Смоленской области, за первую половину ноября месяца организовал крушение 3 железнодорожных эшелонов противника. Разбито 3 паровоза, 10 вагонов с солдатами и 30 платформ с военной техникой.</w:t>
      </w:r>
    </w:p>
    <w:p w14:paraId="270B42AE"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Кубани, истребил 70 немецко-фашистских оккупантов и сжёг склады с продовольствием, награбленным гитлеровцами у населения и приготовленным к отправке в Германию.</w:t>
      </w:r>
    </w:p>
    <w:p w14:paraId="7609E327"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наступающие в направлении Сухача и Любины, разгромили два итальянских батальона. Уничтожено более 200 вражеских солдат и офицеров. Свыше 500 итальянских солдат захвачено в плен. Партизанами взяты трофеи: 600винтовок, 84 пулемёта и много другого вооружения.»</w:t>
      </w:r>
    </w:p>
    <w:p w14:paraId="745C361E"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10950CEB"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продолжается.</w:t>
      </w:r>
    </w:p>
    <w:p w14:paraId="411D5C20"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24 ноября наши войска под Сталинградом продолжали развивать наступление. На северо-западном участке фронта наши войска продвинулись на 40 километров и заняли город и станцию Суровикино. В районе излучмны Дона наши войска продвинулись на 6-10 километров и заняли населенные пункты Зимовский, Камышинка, Ближняя Перекопка, Трёхостровская, Сиротинская. Юго-западнее Клетная нами взяты в плен три ранее окруженные дивизии противника во главе с тремя генералами и их штабами. Наши войска, наступающие севернее Сталинграда, заняв населенные пункты Томилин, Акатовка, Латошанка на берегу Волги, соединились с войсками, обороняющими северную часть Сталинграда. На юге Сталинграда наши войска продвинулись на 15-20 километров и заняли город Садовое и населенные пункты Уманцево, Перегрузный. За 24 ноября противник оставил на поле боя свыше 15 000 трупов солдат и офицеров. Северо-восточнее Туапсе части морской пехоты нанесли серьезный урон противнику. Подразделение под командованием тов. Кузьмина атаковало немцев и уничтожило офицерскую штрафную роту гитлеровцев." (14839).</w:t>
      </w:r>
    </w:p>
    <w:p w14:paraId="1E641FC7"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0223DB35"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24 ноября </w:t>
      </w:r>
      <w:r w:rsidRPr="00722885">
        <w:rPr>
          <w:rFonts w:ascii="Times New Roman" w:hAnsi="Times New Roman"/>
          <w:color w:val="000000" w:themeColor="text1"/>
          <w:sz w:val="16"/>
          <w:szCs w:val="16"/>
        </w:rPr>
        <w:t>в 1942 году началась Великолукская наступательная операция части сил Калининского фронта (генерал-полковник М.А.Пуркаев) и авиации дальнего действия, продолжавшаяся до 20 января 1943 г. В ходе ее была скована крупная немецко-фашистская группировка в районе Невеля и Великих Лук, что не позволило немецко-фашистскому командованию перебросить значительные силы в район Сталинграда. Началось наступление советских войск с целью разгрома окружённой между Волгой и Доном группировки противника (14839).</w:t>
      </w:r>
    </w:p>
    <w:p w14:paraId="349D1F6D"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33EE37DC" w14:textId="77777777" w:rsidR="005B5EE0" w:rsidRPr="00722885" w:rsidRDefault="005B5EE0" w:rsidP="00722885">
      <w:pPr>
        <w:pStyle w:val="Iauiue"/>
        <w:jc w:val="both"/>
        <w:rPr>
          <w:color w:val="000000" w:themeColor="text1"/>
          <w:sz w:val="16"/>
          <w:szCs w:val="16"/>
        </w:rPr>
      </w:pPr>
      <w:r w:rsidRPr="00722885">
        <w:rPr>
          <w:color w:val="000000" w:themeColor="text1"/>
          <w:sz w:val="16"/>
          <w:szCs w:val="16"/>
        </w:rPr>
        <w:t>С 24 ноября 1942 по 20 января 1943 состоялась Великолукская операция 3УА Калининского фронта с целью отвлечения средств от Сталинградского фронта. Продвинулись на 25-30 км и сковали 10 дивизий (2438,133) в районе Невеля и Великих Лук (3398,415).</w:t>
      </w:r>
    </w:p>
    <w:p w14:paraId="54E1D0BB" w14:textId="77777777" w:rsidR="005B5EE0" w:rsidRPr="00722885" w:rsidRDefault="005B5EE0" w:rsidP="00722885">
      <w:pPr>
        <w:pStyle w:val="Iauiue"/>
        <w:jc w:val="both"/>
        <w:rPr>
          <w:color w:val="000000" w:themeColor="text1"/>
          <w:sz w:val="16"/>
          <w:szCs w:val="16"/>
        </w:rPr>
      </w:pPr>
      <w:r w:rsidRPr="00722885">
        <w:rPr>
          <w:color w:val="000000" w:themeColor="text1"/>
          <w:sz w:val="16"/>
          <w:szCs w:val="16"/>
        </w:rPr>
        <w:t>В ней авианаступление проводилось на глубину прорыва сухопутными войсками тактической обороны (518,109).</w:t>
      </w:r>
    </w:p>
    <w:p w14:paraId="76117FA8" w14:textId="77777777" w:rsidR="005B5EE0" w:rsidRPr="00722885" w:rsidRDefault="005B5EE0" w:rsidP="00722885">
      <w:pPr>
        <w:pStyle w:val="Iauiue"/>
        <w:jc w:val="both"/>
        <w:rPr>
          <w:color w:val="000000" w:themeColor="text1"/>
          <w:sz w:val="16"/>
          <w:szCs w:val="16"/>
        </w:rPr>
      </w:pPr>
    </w:p>
    <w:p w14:paraId="0ACB61A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24 ноября 1942 г. для снабжения "котла" немецкий 4-й воздушный флот имел 308 транспортных самолетов типа Ju52 (из них 66 боеготовых) и 355 бомбардировщиков Не111 (исправных 153) (6467).</w:t>
      </w:r>
    </w:p>
    <w:p w14:paraId="376E3855" w14:textId="77777777" w:rsidR="00090C9B" w:rsidRPr="00722885" w:rsidRDefault="00090C9B" w:rsidP="00722885">
      <w:pPr>
        <w:pStyle w:val="Iauiue"/>
        <w:jc w:val="both"/>
        <w:rPr>
          <w:color w:val="000000" w:themeColor="text1"/>
          <w:sz w:val="16"/>
          <w:szCs w:val="16"/>
        </w:rPr>
      </w:pPr>
    </w:p>
    <w:p w14:paraId="1A73E79A"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Всего с 24 ноября 1942 г. по 3 февраля 1943 г. самолеты немецкого 1-го авиационного транспортного командования выполнили 4872 вылета, доставив окруженным частям 8250 тонн различных грузов. По воздуху из котла эвакуировали почти 30 тысяч человек, то есть 11 % состава окруженных частей. Общие потери люфтваффе составили 488 самолетов всех типов, но большинство из них были списаны из-за аварий, потерпели катастрофы в результате плохих погодных условий или были брошены на аэродромах (19522).</w:t>
      </w:r>
    </w:p>
    <w:p w14:paraId="6B88C6CD" w14:textId="77777777" w:rsidR="008D2293" w:rsidRPr="00722885" w:rsidRDefault="008D2293" w:rsidP="00722885">
      <w:pPr>
        <w:pStyle w:val="ae"/>
        <w:spacing w:before="0" w:after="0"/>
        <w:jc w:val="both"/>
        <w:textAlignment w:val="baseline"/>
        <w:rPr>
          <w:color w:val="000000" w:themeColor="text1"/>
          <w:sz w:val="16"/>
          <w:szCs w:val="16"/>
        </w:rPr>
      </w:pPr>
    </w:p>
    <w:p w14:paraId="75ABF4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ноября 1942 А.Г. передал г Паулюсу, что его армия будет получать ежедневно не менее 500 т грузов. Так и не смогли (2598,8). Начали с 200 Ю-52 и 100 Хе-111, в декабре их число выросло до 240 и 130, а в январе - до 300-350 и 200 (2783,30).</w:t>
      </w:r>
    </w:p>
    <w:p w14:paraId="60DE93D6" w14:textId="77777777" w:rsidR="00090C9B" w:rsidRPr="00722885" w:rsidRDefault="00090C9B" w:rsidP="00722885">
      <w:pPr>
        <w:pStyle w:val="Iauiue"/>
        <w:jc w:val="both"/>
        <w:rPr>
          <w:color w:val="000000" w:themeColor="text1"/>
          <w:sz w:val="16"/>
          <w:szCs w:val="16"/>
        </w:rPr>
      </w:pPr>
    </w:p>
    <w:p w14:paraId="55DA5DD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24 по 30 ноября 1942 17, 16 и 8ВА произвели 5760 вылетов, в 5 раз больше, чем сделал противник (340,104).</w:t>
      </w:r>
    </w:p>
    <w:p w14:paraId="354E1C67" w14:textId="77777777" w:rsidR="00090C9B" w:rsidRPr="00722885" w:rsidRDefault="00090C9B" w:rsidP="00722885">
      <w:pPr>
        <w:pStyle w:val="Iauiue"/>
        <w:jc w:val="both"/>
        <w:rPr>
          <w:color w:val="000000" w:themeColor="text1"/>
          <w:sz w:val="16"/>
          <w:szCs w:val="16"/>
        </w:rPr>
      </w:pPr>
    </w:p>
    <w:p w14:paraId="10A470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ноября 1942 года Гитлер передал Паулюсу, что его армия будет ежедневно получать не менее 500 тонн грузов (3573).</w:t>
      </w:r>
    </w:p>
    <w:p w14:paraId="0F7B3EEE" w14:textId="77777777" w:rsidR="00090C9B" w:rsidRPr="00722885" w:rsidRDefault="00090C9B" w:rsidP="00722885">
      <w:pPr>
        <w:pStyle w:val="Iauiue"/>
        <w:jc w:val="both"/>
        <w:rPr>
          <w:color w:val="000000" w:themeColor="text1"/>
          <w:sz w:val="16"/>
          <w:szCs w:val="16"/>
        </w:rPr>
      </w:pPr>
    </w:p>
    <w:p w14:paraId="0629DE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ноября 1942 А.Г. передал г Паулюсу, что его армия будет получать ежедневно не менее 500 т грузов. Так и не смогли (2598,8). Начали с 200 Ю-52 и 100 Хе-111, в декабре их число выросло до 240 и 130, а в январе - до 300-350 и 200 (2783,30).</w:t>
      </w:r>
    </w:p>
    <w:p w14:paraId="0F5108EA" w14:textId="77777777" w:rsidR="00090C9B" w:rsidRPr="00722885" w:rsidRDefault="00090C9B" w:rsidP="00722885">
      <w:pPr>
        <w:pStyle w:val="Iauiue"/>
        <w:jc w:val="both"/>
        <w:rPr>
          <w:color w:val="000000" w:themeColor="text1"/>
          <w:sz w:val="16"/>
          <w:szCs w:val="16"/>
        </w:rPr>
      </w:pPr>
    </w:p>
    <w:p w14:paraId="32CFBF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24 ноября 1942 г. по 31 января 1943 г. по данным бывшего начальника на</w:t>
      </w:r>
      <w:r w:rsidRPr="00722885">
        <w:rPr>
          <w:color w:val="000000" w:themeColor="text1"/>
          <w:sz w:val="16"/>
          <w:szCs w:val="16"/>
        </w:rPr>
        <w:softHyphen/>
        <w:t>учно-исследовательского отдела ВВС Германии фон Родена (H. von Roden) 4-й воздушный флот Германии в воздушных боях под Сталинградом за период потерял 488 самолетов, из них: Ju 52 - 266 машин, Не 111 - 165 самолетов, Ju 86 - 42 ма</w:t>
      </w:r>
      <w:r w:rsidRPr="00722885">
        <w:rPr>
          <w:color w:val="000000" w:themeColor="text1"/>
          <w:sz w:val="16"/>
          <w:szCs w:val="16"/>
        </w:rPr>
        <w:softHyphen/>
        <w:t>шины, Fw 200 - 9 самолетов, Не 177 - 5 самолетов и Ju 290 - 1 машину. С уче</w:t>
      </w:r>
      <w:r w:rsidRPr="00722885">
        <w:rPr>
          <w:color w:val="000000" w:themeColor="text1"/>
          <w:sz w:val="16"/>
          <w:szCs w:val="16"/>
        </w:rPr>
        <w:softHyphen/>
        <w:t>том уничтоженных машин на земле об</w:t>
      </w:r>
      <w:r w:rsidRPr="00722885">
        <w:rPr>
          <w:color w:val="000000" w:themeColor="text1"/>
          <w:sz w:val="16"/>
          <w:szCs w:val="16"/>
        </w:rPr>
        <w:softHyphen/>
        <w:t>щие потери составили свыше 800 транс</w:t>
      </w:r>
      <w:r w:rsidRPr="00722885">
        <w:rPr>
          <w:color w:val="000000" w:themeColor="text1"/>
          <w:sz w:val="16"/>
          <w:szCs w:val="16"/>
        </w:rPr>
        <w:softHyphen/>
        <w:t>портных и бомбардировочных самоле</w:t>
      </w:r>
      <w:r w:rsidRPr="00722885">
        <w:rPr>
          <w:color w:val="000000" w:themeColor="text1"/>
          <w:sz w:val="16"/>
          <w:szCs w:val="16"/>
        </w:rPr>
        <w:softHyphen/>
        <w:t>тов. Безвозвратные потери флота в лет</w:t>
      </w:r>
      <w:r w:rsidRPr="00722885">
        <w:rPr>
          <w:color w:val="000000" w:themeColor="text1"/>
          <w:sz w:val="16"/>
          <w:szCs w:val="16"/>
        </w:rPr>
        <w:softHyphen/>
        <w:t>ном составе составили 1000 человек. Средний процент потерь 4-го флота по отношению к общему числу боевых вы</w:t>
      </w:r>
      <w:r w:rsidRPr="00722885">
        <w:rPr>
          <w:color w:val="000000" w:themeColor="text1"/>
          <w:sz w:val="16"/>
          <w:szCs w:val="16"/>
        </w:rPr>
        <w:softHyphen/>
        <w:t>летов для транспортных самолетов Ju 52 составил - 10%, для Fw 200 - 9,7%, для самолетов-бомбардировщиков Не111-5,5%, для Ju86 - 21% и для Не177 - 26% (6467).</w:t>
      </w:r>
    </w:p>
    <w:p w14:paraId="67044118" w14:textId="77777777" w:rsidR="00090C9B" w:rsidRPr="00722885" w:rsidRDefault="00090C9B" w:rsidP="00722885">
      <w:pPr>
        <w:pStyle w:val="Iauiue"/>
        <w:jc w:val="both"/>
        <w:rPr>
          <w:color w:val="000000" w:themeColor="text1"/>
          <w:sz w:val="16"/>
          <w:szCs w:val="16"/>
        </w:rPr>
      </w:pPr>
    </w:p>
    <w:p w14:paraId="294211C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ноября 1942 восьмерка Ла-5 13-го иап во главе с Лышковым, прикрывая штурмовики Ил-2, сражалась сначала с четверкой, а затем с 12-ю Bf 109. Они уничтожили пять самолетов противника, не потеряв ни одного своего. Два дня спустя четверка Ла-5, выполняя аналогичную задачу, уничтожила три Bf 109, потеряв лишь один свой истребитель, совершивший вынужденную посадку (12032).</w:t>
      </w:r>
    </w:p>
    <w:p w14:paraId="66B1EEB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320BF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ноября 1942 вышло Постановление ГКО № 2537 Об организации Главного автомобильного управления Красной Армии. РГАНИР, Фонд ГКО, д. 70, лл. 34-35 (11012).</w:t>
      </w:r>
    </w:p>
    <w:p w14:paraId="2A6DA77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BBEC883"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11F3795" w14:textId="77777777" w:rsidR="00090C9B" w:rsidRPr="00722885" w:rsidRDefault="00090C9B" w:rsidP="00722885">
      <w:pPr>
        <w:pStyle w:val="Iauiue"/>
        <w:jc w:val="both"/>
        <w:rPr>
          <w:iCs/>
          <w:color w:val="000000" w:themeColor="text1"/>
          <w:sz w:val="16"/>
          <w:szCs w:val="16"/>
        </w:rPr>
      </w:pPr>
    </w:p>
    <w:p w14:paraId="55A441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ноября 1942 года</w:t>
      </w:r>
    </w:p>
    <w:p w14:paraId="197ED8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СТРОГО СЕКРЕТНОЕ И ЛИЧНОЕ ПОСЛАНИЕ ОТ ПРЕМЬЕР-МИНИСТРА г-на УИНСТОНА ЧЕРЧИЛЛЯ ПРЕМЬЕРУ СТАЛИНУ</w:t>
      </w:r>
    </w:p>
    <w:p w14:paraId="325403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Мне доставило величайшее удовольствие получение Ваших горячих и сердечных поздравлений. Я считаю, что наши проникнутые правдивостью личные отношения весьма важны для выполнения наших обязанностей перед огромными массами людей, жизнь которых поставлена на карту.</w:t>
      </w:r>
    </w:p>
    <w:p w14:paraId="5C0A35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2. Хотя Президент не может, к великому сожалению, предоставить мне взаймы 12 американских эсминцев, о которых я просил, мне удалось в настоящее время принять меры для отправки конвоя в составе свыше 30 судов из Исландии 22 декабря. Адмиралтейство согласует операции с Вашими офицерами, как это делалось и прежде. В результате “Факела” </w:t>
      </w:r>
      <w:r w:rsidRPr="00722885">
        <w:rPr>
          <w:color w:val="000000" w:themeColor="text1"/>
          <w:sz w:val="16"/>
          <w:szCs w:val="16"/>
          <w:vertAlign w:val="superscript"/>
        </w:rPr>
        <w:t>24</w:t>
      </w:r>
      <w:r w:rsidRPr="00722885">
        <w:rPr>
          <w:color w:val="000000" w:themeColor="text1"/>
          <w:sz w:val="16"/>
          <w:szCs w:val="16"/>
        </w:rPr>
        <w:t xml:space="preserve"> немцы перебросили основные силы авиации из Северной Норвегии в Южную Европу. С другой стороны, наземные силы немцев в Норвегии по-прежнему начеку.</w:t>
      </w:r>
    </w:p>
    <w:p w14:paraId="0EB927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Пока Адмиралтейство довольно движением конвоя Q. Р., которому помогла плохая погода и который в настоящее время находится под защитой наших крейсеров, отправленных для его встречи.</w:t>
      </w:r>
    </w:p>
    <w:p w14:paraId="703B9E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3. Я сообщил Президенту Рузвельту некоторые предварительные соображения относительно Турции и обнаружил, что он независимо от меня пришел к почти аналогичным выводам. Мне кажется, что мы все должны были бы сделать новое энергичное усилие, чтобы заставить Турцию вступить весной в войну на нашей стороне. Для этой цели я хотел бы, чтобы Соединенные Штаты присоединились к англо-советской гарантии территориальной целостности и статута Турции. Это поставило бы наши три силы в общий сомкнутый строй, а турки весьма считаются с американцами. Во-вторых, мы уже отправляем в Турцию значительные поставки оружия, включая 200 танков со Среднего Востока. В течение зимы по сухопутному маршруту или морем вдоль побережья Леванта я буду продолжать отправку в Турцию поставок вооружения совместно, если это будет разрешено, со специалистами в гражданской одежде для целей обучения и обслуживания. В-третьих, я надеюсь в начале весны собрать значительную армию в Сирии из состава наших 8-й, 9-й и 10-й армий с тем, чтобы оказать помощь Турции на тот случай, если она подвергнется угрозе или будет готова присоединиться к нам. Очевидно, что Ваши операции на Кавказе или к северу от него могут также оказать большое влияние. Если бы мы могли вовлечь Турцию в войну, мы могли бы не только приступить к операциям, цель которых состоит в том, чтобы открыть судоходный путь к Вашему левому флангу на Черном море, но мы могли бы также усиленно бомбить с турецких баз румынские нефтяные источники, которые имеют такое жизненно важное значение для держав оси ввиду успешной защиты Вами главных нефтяных ресурсов на Кавказе. Преимущество вступления в Турцию состоит в том, что оно произойдет главным образом по суше и может явиться дополнением к наступательной акции в центральной части Средиземного моря, которая займет наши морские </w:t>
      </w:r>
      <w:r w:rsidRPr="00722885">
        <w:rPr>
          <w:color w:val="000000" w:themeColor="text1"/>
          <w:sz w:val="16"/>
          <w:szCs w:val="16"/>
        </w:rPr>
        <w:lastRenderedPageBreak/>
        <w:t>силы и значительную часть нашей воздушной мощи.</w:t>
      </w:r>
    </w:p>
    <w:p w14:paraId="3A4BFEA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Я согласился с предложением Президента Рузвельта о том, чтобы каждый из нас отправил в недалеком будущем, если это приемлемо для Вас, двух британских офицеров высокого ранга и двух американцев в Москву для составления планов на 1943 год в этой части. Пожалуйста, сообщите мне, согласны ли Вы с этим.</w:t>
      </w:r>
    </w:p>
    <w:p w14:paraId="107514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Я надеюсь, что Вы, Премьер Сталин, понимаете, что тоннаж является нашим лимитирующим фактором. Для того чтобы осуществить “Факел”, нам пришлось настолько сократить наши трансатлантические эскорты, что первая половина ноября была пока нашим самым плохим месяцем. Мы и американцы предусмотрели, с одной стороны, потери в 700 тысяч тонн ежемесячно и, с другой стороны, — улучшение нашего баланса. В течение года наши средние потери были не столь тяжелыми, как эта цифра, но в течение этих первых двух недель ноября дело обстояло хуже. Для Вас, располагающих столь большим количеством суши, может оказаться трудным представить себе, что мы можем жить и вести борьбу только в зависимости от состояния наших морских коммуникаций.</w:t>
      </w:r>
    </w:p>
    <w:p w14:paraId="76A139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Не беспокойтесь по поводу мошенника Дарлана. Мы бросили во Французскую Северную Африку большую англо-американскую армию и прочно овладеваем этой территорией. Благодаря отсутствию сопротивления со стороны французской армии, а теперь благодаря ее возрастающей поддержке мы идем, возможно, на 15 дней впереди плана. Крайне важно овладеть тунисским выступом и военно-морской базой Бизерты в самый ближайший момент. Авангардные части нашей 1-й армии, вероятно, начнут свое наступление немедленно. Как только мы закрепимся там с преобладающими военно-воздушными силами, мы сможем донести войну до Муссолини и его фашистской банды с такой интенсивностью, которая еще пока что невозможна.</w:t>
      </w:r>
    </w:p>
    <w:p w14:paraId="22387D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В то же самое время путем создания сильных англо-американской армии и военно-воздушных сил в Великобритании и путем проведения постоянных приготовлений вдоль нашего юго-восточного и южного побережья мы будем сковывать немцев в районе Па-де-Кале и так далее, и мы готовы воспользоваться любой благоприятной возможностью, а наши бомбардировщики будут все время громить Германию с возрастающей силой. Таким образом, веревка затянется на шее обреченного виновника.</w:t>
      </w:r>
    </w:p>
    <w:p w14:paraId="6C275B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К нам поступают славные вести о Вашем наступлении. Мы следим за наступлением, затаив дыхание. Всяческие добрые пожелания (2430).</w:t>
      </w:r>
    </w:p>
    <w:p w14:paraId="3CF00425" w14:textId="77777777" w:rsidR="00090C9B" w:rsidRPr="00722885" w:rsidRDefault="00090C9B" w:rsidP="00722885">
      <w:pPr>
        <w:pStyle w:val="Iauiue"/>
        <w:jc w:val="both"/>
        <w:rPr>
          <w:color w:val="000000" w:themeColor="text1"/>
          <w:sz w:val="16"/>
          <w:szCs w:val="16"/>
        </w:rPr>
      </w:pPr>
    </w:p>
    <w:p w14:paraId="5EDBC3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24 ноября 1942 года Сталин дал указание паркому торговли Микояну приобрести для ГВФ шесть "Либерейторов". Однако получить эти машины тогда не удалось (3457,115).</w:t>
      </w:r>
    </w:p>
    <w:p w14:paraId="2FEF9613" w14:textId="77777777" w:rsidR="00090C9B" w:rsidRPr="00722885" w:rsidRDefault="00090C9B" w:rsidP="00722885">
      <w:pPr>
        <w:pStyle w:val="Iauiue"/>
        <w:jc w:val="both"/>
        <w:rPr>
          <w:color w:val="000000" w:themeColor="text1"/>
          <w:sz w:val="16"/>
          <w:szCs w:val="16"/>
        </w:rPr>
      </w:pPr>
    </w:p>
    <w:p w14:paraId="2DBA33A2" w14:textId="49692D11" w:rsidR="00546E6F" w:rsidRPr="00722885" w:rsidRDefault="00546E6F" w:rsidP="00722885">
      <w:pPr>
        <w:pStyle w:val="Iauiue"/>
        <w:jc w:val="both"/>
        <w:rPr>
          <w:i/>
          <w:iCs/>
          <w:color w:val="000000" w:themeColor="text1"/>
          <w:sz w:val="16"/>
          <w:szCs w:val="16"/>
        </w:rPr>
      </w:pPr>
      <w:r w:rsidRPr="00722885">
        <w:rPr>
          <w:i/>
          <w:iCs/>
          <w:color w:val="000000" w:themeColor="text1"/>
          <w:sz w:val="16"/>
          <w:szCs w:val="16"/>
        </w:rPr>
        <w:t>За рубежом:</w:t>
      </w:r>
    </w:p>
    <w:p w14:paraId="63B36033" w14:textId="77777777" w:rsidR="00546E6F" w:rsidRPr="00722885" w:rsidRDefault="00546E6F" w:rsidP="00722885">
      <w:pPr>
        <w:pStyle w:val="Iauiue"/>
        <w:jc w:val="both"/>
        <w:rPr>
          <w:i/>
          <w:iCs/>
          <w:color w:val="000000" w:themeColor="text1"/>
          <w:sz w:val="16"/>
          <w:szCs w:val="16"/>
        </w:rPr>
      </w:pPr>
    </w:p>
    <w:p w14:paraId="62F2C9A7"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24 ноября 1942 итальянский ас Первой мировой войны и пионер авиации Гвидо Масиеро и итальянский летчик-испытатель Франческо Агелло погибли, когда испытываемые ими истребители Macchi C.202 сталкиваются в воздухе в сильном тумане над Миланом , Италия (20793). </w:t>
      </w:r>
    </w:p>
    <w:p w14:paraId="172F0A26" w14:textId="77777777" w:rsidR="00546E6F" w:rsidRPr="00722885" w:rsidRDefault="00546E6F" w:rsidP="00722885">
      <w:pPr>
        <w:spacing w:after="0" w:line="240" w:lineRule="auto"/>
        <w:jc w:val="both"/>
        <w:rPr>
          <w:rFonts w:ascii="Times New Roman" w:hAnsi="Times New Roman"/>
          <w:color w:val="0070C0"/>
          <w:sz w:val="16"/>
          <w:szCs w:val="16"/>
        </w:rPr>
      </w:pPr>
    </w:p>
    <w:p w14:paraId="155D2DE6" w14:textId="5B5B96C1"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2B67F9C" w14:textId="77777777" w:rsidR="00090C9B" w:rsidRPr="00722885" w:rsidRDefault="00090C9B" w:rsidP="00722885">
      <w:pPr>
        <w:pStyle w:val="Iauiue"/>
        <w:jc w:val="both"/>
        <w:rPr>
          <w:iCs/>
          <w:color w:val="000000" w:themeColor="text1"/>
          <w:sz w:val="16"/>
          <w:szCs w:val="16"/>
        </w:rPr>
      </w:pPr>
    </w:p>
    <w:p w14:paraId="1E4A6036"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25 ноября 1942 старший техник-лей</w:t>
      </w:r>
      <w:r w:rsidRPr="00722885">
        <w:rPr>
          <w:color w:val="000000" w:themeColor="text1"/>
          <w:sz w:val="16"/>
          <w:szCs w:val="16"/>
        </w:rPr>
        <w:softHyphen/>
        <w:t>тенант Тишевский «поставил вопрос о передаче этих самолетов (Ил-2 с Ш-37) в действующий полк, чтобы они немедленно принимали участие в боевой работе» и с этой целью Тишевский направил шиф</w:t>
      </w:r>
      <w:r w:rsidRPr="00722885">
        <w:rPr>
          <w:color w:val="000000" w:themeColor="text1"/>
          <w:sz w:val="16"/>
          <w:szCs w:val="16"/>
        </w:rPr>
        <w:softHyphen/>
        <w:t>рованную телеграмму лично начальнику УЗСиМ ГУЗ ВВС инженер-полковнику Алексееву, в которой из</w:t>
      </w:r>
      <w:r w:rsidRPr="00722885">
        <w:rPr>
          <w:color w:val="000000" w:themeColor="text1"/>
          <w:sz w:val="16"/>
          <w:szCs w:val="16"/>
        </w:rPr>
        <w:softHyphen/>
        <w:t>ложил свое мнение и дал оценку состояния пушек и самолетов Ил-2.</w:t>
      </w:r>
    </w:p>
    <w:p w14:paraId="2659B79C"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5AE593CB"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722885">
        <w:rPr>
          <w:color w:val="000000" w:themeColor="text1"/>
          <w:sz w:val="16"/>
          <w:szCs w:val="16"/>
        </w:rPr>
        <w:softHyphen/>
        <w:t>ные не было патронов»).</w:t>
      </w:r>
    </w:p>
    <w:p w14:paraId="3463AE76"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Вылет 3 декабря не состоялся, так как «не все самолеты были готовы к вылету». Дело в том, что «до этого самолеты стояли без движения, моторы не опробовались». Когда же началась подготовка к вылету, «некоторые моторы оказались неисправ</w:t>
      </w:r>
      <w:r w:rsidRPr="00722885">
        <w:rPr>
          <w:color w:val="000000" w:themeColor="text1"/>
          <w:sz w:val="16"/>
          <w:szCs w:val="16"/>
        </w:rPr>
        <w:softHyphen/>
        <w:t>ны, на других самолетах порвали маслорадиаторы». Вылет пришлось отложить до полной летной готов</w:t>
      </w:r>
      <w:r w:rsidRPr="00722885">
        <w:rPr>
          <w:color w:val="000000" w:themeColor="text1"/>
          <w:sz w:val="16"/>
          <w:szCs w:val="16"/>
        </w:rPr>
        <w:softHyphen/>
        <w:t>ности самолетов.</w:t>
      </w:r>
    </w:p>
    <w:p w14:paraId="6F28A4EE"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Задержка с вылетом оказалась к лучшему. Дело в том, что еще 1 декабря в штабе ВВС КА было при</w:t>
      </w:r>
      <w:r w:rsidRPr="00722885">
        <w:rPr>
          <w:color w:val="000000" w:themeColor="text1"/>
          <w:sz w:val="16"/>
          <w:szCs w:val="16"/>
        </w:rPr>
        <w:softHyphen/>
        <w:t>нято решение «о проведении войсковых испытаний на боевое применение Ил-2 с АМ-38, вооруженных 37-мм пушками конструкции ОКБ-15» в 16-й воз</w:t>
      </w:r>
      <w:r w:rsidRPr="00722885">
        <w:rPr>
          <w:color w:val="000000" w:themeColor="text1"/>
          <w:sz w:val="16"/>
          <w:szCs w:val="16"/>
        </w:rPr>
        <w:softHyphen/>
        <w:t>душной армии Донского фронта. Соответствующий приказ командующего ВВС был подписан 3 де</w:t>
      </w:r>
      <w:r w:rsidRPr="00722885">
        <w:rPr>
          <w:color w:val="000000" w:themeColor="text1"/>
          <w:sz w:val="16"/>
          <w:szCs w:val="16"/>
        </w:rPr>
        <w:softHyphen/>
        <w:t>кабря  (17500).</w:t>
      </w:r>
    </w:p>
    <w:p w14:paraId="054C23EB" w14:textId="77777777" w:rsidR="00DA5455" w:rsidRPr="00722885" w:rsidRDefault="00DA5455" w:rsidP="00722885">
      <w:pPr>
        <w:spacing w:after="0" w:line="240" w:lineRule="auto"/>
        <w:jc w:val="both"/>
        <w:rPr>
          <w:rFonts w:ascii="Times New Roman" w:eastAsia="Times New Roman" w:hAnsi="Times New Roman"/>
          <w:color w:val="000000" w:themeColor="text1"/>
          <w:sz w:val="16"/>
          <w:szCs w:val="16"/>
          <w:lang w:eastAsia="ru-RU"/>
        </w:rPr>
      </w:pPr>
    </w:p>
    <w:p w14:paraId="550A9FB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ноября 1942 начальник НИИ ВВС генерал-майор П.А.Лосюков подписал заключение, в котором содержалась положительная оценка проектным данным самолета Ил-6 с двигателями М-71. Однако руководство ВВС высказало пожелание об увеличении дальности полета с максимальной бомбовой нагрузкой и замене бензиновых j двигателей М-71, которые нуждались в длительной доводке, двумя дизельными двигателями АЧ-30Б, являвющихся дальнейшим развитием первого советского авиационного дизельного двигателя АН-1, созданного в 1935 г. под руководством А.Д.Чаромского.</w:t>
      </w:r>
    </w:p>
    <w:p w14:paraId="139F572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Целесообразность установки на дальнем бомбардировщике Ил-6 дизельных двигателей определялась их высокой экономичностью: они расходовали примерно 1 на 40% меньше топлива, чем бензиновые двигатели такой же мощности. Кроме того, не подверженный детонации дизель мог использовать в качестве топлива вместо дорогого высокооктанового бензина более дешевый тракторный керосин, который к тому же из-за меньшей летучести обеспечивал лучшую взрыво- и пожаробезопасность. Большая плотность керосина позволяла уменьшить объем баков и снижала тем самым вес конструкции самолета.</w:t>
      </w:r>
    </w:p>
    <w:p w14:paraId="62DE405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Однако из-за высоких значений степени сжатия и температуры сгорания топлива в цилиндрах, характерных для термодинамического цикла дизельного двигателя, он имел больший удельный вес по сравнению с бензиновым двигателем той же мощности. Тем не менее, расчеты показывали, что экономичность дизеля делает выгодной его установку на самолете, имеющем продолжительность полета более 5 ч. Совершая налеты на Берлин с подмосковных аэродромов, Ил-6 с дизельными двигателями могли бы нести примерно в два раза больше бомб, чем в варианте с бензиновыми.</w:t>
      </w:r>
    </w:p>
    <w:p w14:paraId="035627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Опыт ограниченной эксплуатации самолетов Ер-2 с дизельными двигателями АЧ-30Б выявил трудность их запуска в полевых условиях и желательность повышения надежности их работы. Поэтому одновременно с проектированием Ил-6 совершенствовался двигатель АЧ-ЗОБ, создавался его более мощный вариант.</w:t>
      </w:r>
    </w:p>
    <w:p w14:paraId="1B2931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АЧ-30Б развивал взлетную мощность 1500 л.с. На высоте 6000 м благодаря комбинированному наддуву от приводного центробежного нагнетателя и двух турбокомпрессоров (по одному ТК на каждый блок из шести цилиндров) он имел номинальную мощность 1250 л.с. и крейсерский удельный расход топлива 150-165 г/л.с. в час вместо 265-280 г/л.с. в час у лучших бензиновых двигателей того времени. Однако удельный вес АЧ-30Б, равный 0,86 кг/л.с., существенно превышал удельный вес бензиновых двигателей (0,6 кг/л.с.). Для установки на Ил-б предназначался АЧ-30БФ - форсированный вариант с взлетной мощностью 1900 л.с. и более высоким уровнем надежности. Проектные размеры самолета Ил-6 с дизельными двигателями пришлось пересмотреть - увеличить площадь крыла и взлетный вес самолета. Эскизный проект самолета с дизельными двигателями был закончен в декабре 1942 г. (9528).</w:t>
      </w:r>
    </w:p>
    <w:p w14:paraId="165DD586" w14:textId="77777777" w:rsidR="00090C9B" w:rsidRPr="00722885" w:rsidRDefault="00090C9B" w:rsidP="00722885">
      <w:pPr>
        <w:pStyle w:val="Iauiue"/>
        <w:jc w:val="both"/>
        <w:rPr>
          <w:color w:val="000000" w:themeColor="text1"/>
          <w:sz w:val="16"/>
          <w:szCs w:val="16"/>
        </w:rPr>
      </w:pPr>
    </w:p>
    <w:p w14:paraId="28D522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ноября 1942 начальник НИИ ВВС подписал заключение с положительной оценкой проектных данных самолета Ил-6 2М-71. Однако руководство ВВС высказало сомнение относительно увеличения дальности полета с максимальной бомбовой нагрузкой и предложило заменить бензиновые звездообразные моторы М-71, которые нуждались в длительной доводке, двумя рядными дизелями АЧ-30Б.</w:t>
      </w:r>
    </w:p>
    <w:p w14:paraId="138A81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Целесообразность установки на Ил-6 дизельных двигателей определялась их высокой экономичностью и возможностью использования: они расходовали примерно 40% меньше топлива, чем бензиновые двигатели и вместо высокооктанового бензина потребляли более дешевый керосин, который к тому же обеспечивал лучшую взрыво- и пожаро- безопасность.</w:t>
      </w:r>
    </w:p>
    <w:p w14:paraId="4391838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Расчеты показали, что экономичность дизеля делает выгодной его установку на самолете, имеющем продолжительность полета более 5 ч. Совершая налеты на Берлин с подмосковных аэродромов, Ил-6 с дизелями могли бы нести примерно в два раза больше бомб, чем в варианте с бензиновыми М-71.</w:t>
      </w:r>
    </w:p>
    <w:p w14:paraId="4070D6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установки на Ил-6 предназначался АЧ-30БФ - форсированный вариант с взлетной мощностью 1900 л.с. и более высоким уровнем надежности. Проектные размеры самолета Ил-6 с дизельными двигателями пришлось пересмотреть: увеличить площадь крыла и взлетную массу самолета. Эскизный проект самолета с дизельными двигателями был закончен в декабре 1942 г. (12037).</w:t>
      </w:r>
    </w:p>
    <w:p w14:paraId="43DAEBA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08FDD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ноября 1942 вышел приказ N 849а о том, что при проверке качества Ла-5 выявились существенные эксплуатационные дефекты по причине небрежности производства и конструктивных недостатков. Объявили выговоры (920,130).</w:t>
      </w:r>
    </w:p>
    <w:p w14:paraId="6A3DFEA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проверке качества производства самолетов Ла-5 на заводе ... выявились существенные эксплуатационные дефекты Ла-5, которые появились по причине небрежного производства и конструктивных недостатков.</w:t>
      </w:r>
    </w:p>
    <w:p w14:paraId="675E66E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Зам. ГК завода т. Грушину, ги завода Кукушкину и нач. СКБ тов. Меситрову пересмотреть всю гидросистему и дать свои предложения по коренному улучшению гидравлики и устранению дефектов, выявленных в эксплуатации по гидросистеме Ла-5, в первую очередь по складыванию закрылков и костыля.</w:t>
      </w:r>
    </w:p>
    <w:p w14:paraId="2B9F05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p w14:paraId="0EA618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пар. 6.</w:t>
      </w:r>
    </w:p>
    <w:p w14:paraId="150775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ГК завода тов. С.А.Л. и ГИ тов. Куприянову пересмотреть к 1 декабря с.г. конструкцию в сторону улучшения качества следующих агрегатов с-та Ла-5:</w:t>
      </w:r>
    </w:p>
    <w:p w14:paraId="5A39E2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а) соединение б\б в центроплане</w:t>
      </w:r>
    </w:p>
    <w:p w14:paraId="79ABCB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введение кранового управления гидравликой шасси взамен существующего кнопочного</w:t>
      </w:r>
    </w:p>
    <w:p w14:paraId="4EAE1F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костыль и механизм уборки костыля пересмотреть и дать конструкцию надежную в работе, взамен существующей</w:t>
      </w:r>
    </w:p>
    <w:p w14:paraId="090E3F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дать механизм для закрытия створки шасси, обеспечивающий полное закрытие</w:t>
      </w:r>
    </w:p>
    <w:p w14:paraId="02AE63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 пересмотреть люки для заделки мест разъема крыла с центропланом около стойки шасси, т.к. существующие открываются в полете</w:t>
      </w:r>
    </w:p>
    <w:p w14:paraId="771DF68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p w14:paraId="5387777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пар. 10.</w:t>
      </w:r>
    </w:p>
    <w:p w14:paraId="0EFE88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непринятие своевременных мер по улучшению качества агрегатов и монтажей с-та Ла-5 нач. цеха № 40 тов. Андрюхину и нач. цеха № 200 тов. Шиваеву, нач. БЦК цеха № 200 тов. Шульгину, нач. ОКБ тов. Алексееву и бывшему ги завода тов. Резнику объявить выговор</w:t>
      </w:r>
    </w:p>
    <w:p w14:paraId="55D92D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пар. 11.</w:t>
      </w:r>
    </w:p>
    <w:p w14:paraId="07BF8C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Отметитиь также, что директор завода тов. Агаджанов, ГК С.А.Л. и нач. ОТК т. Малинин не приняли своевременных и решительных мер по улучшению летных и эксплуатационных качеств самолета. Предлагаю немедленно принять самые решительные меры по улучшению качества выпускаемых с-тов Ла-5</w:t>
      </w:r>
    </w:p>
    <w:p w14:paraId="5A85D7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Подписал зам. НКАП Дементьев (920,130).</w:t>
      </w:r>
    </w:p>
    <w:p w14:paraId="5B9C572C" w14:textId="77777777" w:rsidR="00090C9B" w:rsidRPr="00722885" w:rsidRDefault="00090C9B" w:rsidP="00722885">
      <w:pPr>
        <w:pStyle w:val="Iauiue"/>
        <w:jc w:val="both"/>
        <w:rPr>
          <w:color w:val="000000" w:themeColor="text1"/>
          <w:sz w:val="16"/>
          <w:szCs w:val="16"/>
        </w:rPr>
      </w:pPr>
    </w:p>
    <w:p w14:paraId="17C928E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B33BBD4" w14:textId="77777777" w:rsidR="00090C9B" w:rsidRPr="00722885" w:rsidRDefault="00090C9B" w:rsidP="00722885">
      <w:pPr>
        <w:pStyle w:val="Iauiue"/>
        <w:jc w:val="both"/>
        <w:rPr>
          <w:iCs/>
          <w:color w:val="000000" w:themeColor="text1"/>
          <w:sz w:val="16"/>
          <w:szCs w:val="16"/>
        </w:rPr>
      </w:pPr>
    </w:p>
    <w:p w14:paraId="2AB9828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ноября 1942 г. по приказу НКМВ было создано СКБ завода № 738 (СКБ завода № 738 НКМВ, СКБ-3 НКМВ, НИИ-3 НКМВ, НИИ полиграфического машиностроения (НИИПолиграфмаш) ММиП, ММ, Мннлегпищемаша, Всесоюзный НИИ оборудования для печатных изданий, картонной и бумажной тары (ВНИИОПИТ) Минлегпищемаша, ВНИИПолиграфмаш, ЗАО «НИИ полиграфического машиностроения» («НИИПолиграфмаш») /117420  г. Москва ул. Профсоюзная, 57 тел. 334-20-88/). Решением СНК от 2.08.1943 г. оно выделено из состава завода и преобразовано в самостоятельное СКБ-3 НКМВ. По приказу НКМВ от 26.05.1945 г. СКБ-3 реорганизовано в НИИ-3 НКМВ. В 1946 г. НИИ-3 переименован в НИИполиграфмаш ММиП, в ведении которого находился в 1946-53 г. и в 1954-56г (в 1947 г. - в ведении Главполиграфмаша ММиП). В 1953-54 г. и в 1956-57 г. - в ведении ММ. В 1957 г. передан в ведение Госплана РСФСР, а в 1958 г. - в ведение МосгорСНХ. В 1959-63 г. - в ведении ГК по автоматизации и машиностроению, в 1963-65 г. - ГК по печати. С 1965 г. передан в подчинение Минлегпищемаша. По приказу Минлегпищемаша от 15.07.1968 г. институт реорганизован во ВНИИОПИТ, а по приказу от 22.09.1977 г. переименован во ВНИИполиграфмаш.</w:t>
      </w:r>
    </w:p>
    <w:p w14:paraId="29D1CF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Имел филиалы: Ленинградский, Рыбинский (Щербаковский).</w:t>
      </w:r>
    </w:p>
    <w:p w14:paraId="711C27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проектирование нового и модернизация действующего оборудования для полиграфической промышленности и предприятий по производству картонной и бумажной тары.</w:t>
      </w:r>
    </w:p>
    <w:p w14:paraId="601DCA4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Гендиректор (1999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Присяжный (11982).</w:t>
      </w:r>
    </w:p>
    <w:p w14:paraId="71E532D8"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00DC85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ноября 1942 г. приказом Наркомата минометного вооружения СССР было создано Специальное конструкторское бюро при заводе N 738 (СКБ при заводе N 738). Решением Совета Народных Комиссаров СССР от 2 августа 1943 г. выделено из состава завода и переименовано в Специальное конструкторское бюро N 3 (СКБ-3). Приказом Наркомата минометного вооружения СССР от 26 мая 1945 г. бюро реорганизовано в Научно-исследовательский институт -3 (НИИ-3). В 1946 г. институт переименован в Научно-исследовательский институт полиграфического машиностроения (НИИполиграфмаш). Приказом Министерства машиностроения для легкой и пищевой промышленности и бытовых приборов СССР от 15 июля 1968 г. институт реорганизован во Всесоюзный научно-исследовательский институт оборудования для печатных изданий, картонной и бумажной тары (ВНИИОПИТ), который приказом министерства от 22 сентября 1977 г. переименован во Всесоюзный научно-исследовательский институт полиграфического машиностроения (ВНИИполиграфмаш) (12102).</w:t>
      </w:r>
    </w:p>
    <w:p w14:paraId="2703E534"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5B7CB6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ноября 1942 вышло Постановление ГКО № 2538 О назначении Петросьянца А.М. помощником чл. ГКО Молотова В.М. по контролю за производством танков. РГАНИР, Фонд ГКО, д. 70, лл. 36 (11012).</w:t>
      </w:r>
    </w:p>
    <w:p w14:paraId="5A661A8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A1583EB"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25 ноября 1942 вышло Постановление ГКО № 2539 О реорганизации Военно-медицинской академии Красной Армии им. С.М. Кирова. (7064, 37-38,39-69).</w:t>
      </w:r>
    </w:p>
    <w:p w14:paraId="4672890A" w14:textId="77777777" w:rsidR="00090C9B" w:rsidRPr="00722885" w:rsidRDefault="00090C9B" w:rsidP="00722885">
      <w:pPr>
        <w:pStyle w:val="Iauiue"/>
        <w:tabs>
          <w:tab w:val="left" w:pos="11199"/>
        </w:tabs>
        <w:jc w:val="both"/>
        <w:rPr>
          <w:color w:val="000000" w:themeColor="text1"/>
          <w:sz w:val="16"/>
          <w:szCs w:val="16"/>
        </w:rPr>
      </w:pPr>
    </w:p>
    <w:p w14:paraId="33002717"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25/27 ноября 1942 года вышел приказ НКБ и Наркомата нефтяной промышленности № 933/226</w:t>
      </w:r>
    </w:p>
    <w:p w14:paraId="27E86AC2"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распоряжением СНК от 21 ноября 1942 года</w:t>
      </w:r>
    </w:p>
    <w:p w14:paraId="1A54604E"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Завод № 679 НКБ передать из системы последнего в систему Наркомата нефтяной промышленности (5944, 108).</w:t>
      </w:r>
    </w:p>
    <w:p w14:paraId="31FF6348" w14:textId="77777777" w:rsidR="00090C9B" w:rsidRPr="00722885" w:rsidRDefault="00090C9B" w:rsidP="00722885">
      <w:pPr>
        <w:pStyle w:val="Iauiue"/>
        <w:tabs>
          <w:tab w:val="left" w:pos="11199"/>
        </w:tabs>
        <w:jc w:val="both"/>
        <w:rPr>
          <w:color w:val="000000" w:themeColor="text1"/>
          <w:sz w:val="16"/>
          <w:szCs w:val="16"/>
        </w:rPr>
      </w:pPr>
    </w:p>
    <w:p w14:paraId="2D909DE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0071544" w14:textId="77777777" w:rsidR="00090C9B" w:rsidRPr="00722885" w:rsidRDefault="00090C9B" w:rsidP="00722885">
      <w:pPr>
        <w:pStyle w:val="Iauiue"/>
        <w:jc w:val="both"/>
        <w:rPr>
          <w:iCs/>
          <w:color w:val="000000" w:themeColor="text1"/>
          <w:sz w:val="16"/>
          <w:szCs w:val="16"/>
        </w:rPr>
      </w:pPr>
    </w:p>
    <w:p w14:paraId="4AC7A3D3"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25 ноября </w:t>
      </w:r>
      <w:r w:rsidRPr="00722885">
        <w:rPr>
          <w:rFonts w:ascii="Times New Roman" w:hAnsi="Times New Roman"/>
          <w:color w:val="000000" w:themeColor="text1"/>
          <w:sz w:val="16"/>
          <w:szCs w:val="16"/>
        </w:rPr>
        <w:t>в 1942 году утреннее сообщение Совинформбюро:</w:t>
      </w:r>
    </w:p>
    <w:p w14:paraId="67E4B27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25 ноября наши войска в районе города Сталинграда продолжали вести успешные наступательные бои на прежних направлениях.</w:t>
      </w:r>
    </w:p>
    <w:p w14:paraId="4BA04146"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заводской части города Сталинграда наши войска вели активные боевые действия и продвинулись вперёд. На южной окраине города советские части заняли ряд высот и укреплённых позиций противника. Уничтожено до 400 немецких солдат и офицеров. Захвачено 4 орудия, 2 миномёта, 3 трактора и 22 километра телефонного кабеля.</w:t>
      </w:r>
    </w:p>
    <w:p w14:paraId="5DF4E86E"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преодолевая сопротивление противника, продвинулись вперёд. На одном участке бойцы Н-ской части разгромили пехотный полк противника и заняли сильно укреплённый узел обороны. Захвачены 3 танка, 16 орудий, 21 пулемёт и склад боеприпасов. Взяты пленные. На другом участке наши части, преследуя отступающего противника, захватили 21 танк, 32 орудия, из них 8 дальнобойных, 30 миномётов, свыше 100 повозок, три склада боеприпасов и другое военное имущество.</w:t>
      </w:r>
    </w:p>
    <w:p w14:paraId="1785A12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успешно продвигались вперёд и заняли несколько населённых пунктов. Противник несёт огромные потери в людях и технике. Н-ское соединение в течение суток уничтожило до 3.000 вражеских солдат и офицеров, 33 бронемашины и 20 орудий. Захвачены трофеи и пленные.</w:t>
      </w:r>
    </w:p>
    <w:p w14:paraId="7C84ED52"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вели бои местного значения. На одном участке противник пытался атаковать наши позиции. Встреченные ружейно-пулемётным огнём, немцы понесли большие потери и отошли на исходный рубеж. На другом участке окружена и уничтожена группа вражеских разведчиков.</w:t>
      </w:r>
    </w:p>
    <w:p w14:paraId="129168E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немецкая пехота при поддержке танков пыталась прорваться в расположение Н-ской части. Наши бойцы отбили атаку гитлеровцев. В результате боя противник потерял убитыми до 200 солдат и офицеров. Подбито 2 немецких танка.</w:t>
      </w:r>
    </w:p>
    <w:p w14:paraId="6F7291E0"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наши подразделения атаковали и уничтожили роту немецкой пехоты. Батальон гитлеровцев при поддержке 3 танков предпринял контратаку, но, встреченный огнём наших войск, залёг, а позднее отошёл на исходные позиции.</w:t>
      </w:r>
    </w:p>
    <w:p w14:paraId="19533969"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огнём снайперов за два дня уничтожено свыше 600 немецких солдат и офицеров. Наши артиллеристы разрушили 11 дзотов и 2 наблюдательных пункта противника.</w:t>
      </w:r>
    </w:p>
    <w:p w14:paraId="28CE2E83"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воздушных боях и огнём зенитной артиллерии на подступах к Ленинграду сбито 8 немецких самолётов.</w:t>
      </w:r>
    </w:p>
    <w:p w14:paraId="08DB285E"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одном из районов Полесской области партизаны разгромили немецкий карательный отряд. Гитлеровцы несколько дней хозяйничали в деревнях и забрали укрестьян скот, хлеб и ценные вещи. Каратели погрузили награбленное добро на автомашины и повозки и вместе со стадом коров отправили на железнодорожную станцию. Партизаны выследили обоз и напали на него. В завязавшейся схватке уничтожено 52 немецких солдата. Партизаны вернули крестьянам 150 коров, все продукты и вещи, которые разграбили гитлеровцы.» (14840).</w:t>
      </w:r>
    </w:p>
    <w:p w14:paraId="5AA84A48"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0536857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25 ноября </w:t>
      </w:r>
      <w:r w:rsidRPr="00722885">
        <w:rPr>
          <w:rFonts w:ascii="Times New Roman" w:hAnsi="Times New Roman"/>
          <w:color w:val="000000" w:themeColor="text1"/>
          <w:sz w:val="16"/>
          <w:szCs w:val="16"/>
        </w:rPr>
        <w:t>в 1942 году вечернее сообщение Совинформбюро:</w:t>
      </w:r>
    </w:p>
    <w:p w14:paraId="17AB3A37"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25 ноября наши войска в районе города Сталинграда, преодолевая сопротивление противника, продолжали наступление на прежних направлениях.</w:t>
      </w:r>
    </w:p>
    <w:p w14:paraId="1EE51FDB"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заняли железнодорожные станции Рычковский, Новомаксимовский, Старомаксимовский и населённые пункты Малонабатовский, Бирючков, Родионов, Большая Донщинка, Малая Донщинка.</w:t>
      </w:r>
    </w:p>
    <w:p w14:paraId="5703E029"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ноября частями нашей авиации на различных участках фронта уничтожено 30 немецких танков, до 150 автомашин с различными грузами, разбит железнодорожный состав, подавлен огонь 5 артиллерийских батарей, рассеяно и частью уничтожено до двух рот пехоты противника.</w:t>
      </w:r>
    </w:p>
    <w:p w14:paraId="4ABB694C"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заводской части города Сталинграда наши войска вели активные боевые действия и очистили от немцев ряд дзотов и укреплённых опорных пунктов. Враг несёт большие потери в людях и технике. Только на одном участке подсчитано свыше 300 трупов немецких солдат и офицеров. Сожжено и подбито 6 вражеских танков, уничтожены 3 артиллерийские и 2 миномётные батареи противника.</w:t>
      </w:r>
    </w:p>
    <w:p w14:paraId="12C371B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Северо-западнее Сталинграда наши войска продолжали наступательные операции. Н-ское танковое соединение, продвигаясь вперёд, захватило 20 немецких орудий, 270 автомашин, 30 мотоциклов, 30 понтонов, 4 платформы с самолётами, железнодорожный эшелон с лошадьми и два продовольственных склада. На поле боя противник оставил много убитых и раненых солдат и офицеров, взято большое количество пленных. На отдельных участках немецко-фашистские войска, опираясь </w:t>
      </w:r>
      <w:r w:rsidRPr="00722885">
        <w:rPr>
          <w:rFonts w:ascii="Times New Roman" w:hAnsi="Times New Roman"/>
          <w:color w:val="000000" w:themeColor="text1"/>
          <w:sz w:val="16"/>
          <w:szCs w:val="16"/>
        </w:rPr>
        <w:lastRenderedPageBreak/>
        <w:t>на полевые укрепления, оказывают сопротивление нашим наступающим частям и переходят в контратаки. Ударные отряды советских войск ломают сопротивление противника, отбивают его контратаки и наносят гитлеровцам тяжёлые потери.</w:t>
      </w:r>
    </w:p>
    <w:p w14:paraId="6EEF0D10"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продолжали вести успешное наступление. Противник пытался силою пехоты и танков прорвать боевые порядки наших войск. Советские войска отбили шесть атак гитлеровцев и отбросили их на исходныепозиции. В ходе этих боёв противник понёс огромные потери в людях и технике. Советская штурмовая авиация непрерывно бомбила боевые порядки немецких войск. В воздушных боях сбито 9 истребителей противника. Кроме того, сбито 15транспортных трёхмоторных самолётов «Юнкерс-52».</w:t>
      </w:r>
    </w:p>
    <w:p w14:paraId="63D521DC"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Н-ская часть отбила три атаки противника и захватила его окопы. Подбито и сожжено 2 немецких танка и 5 автомашин. В захваченных немецких окопах подсчитано до 150 трупов гитлеровцев. Огнём нашей артиллерии и миномётов рассеяно и частично уничтожено до двух рот вражеской пехоты.</w:t>
      </w:r>
    </w:p>
    <w:p w14:paraId="0280E94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советские войска вели бои местного значения. На одном участке бойцы Н-ской части ворвались в оборону немцев и заняли 13 дзотов противника. Взяты трофеи и пленные.</w:t>
      </w:r>
    </w:p>
    <w:p w14:paraId="268272BB"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лётчиками в воздушных боях сбито 6 и подбито 2 немецких самолёта.</w:t>
      </w:r>
    </w:p>
    <w:p w14:paraId="75784846"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Партизанские отряды, действующие в районах, оккупированных немецко-фашистскими захватчиками, нанесли ряд ударов по коммуникациям врага. За период с 18 по 21 ноября партизаны пустили под откос свыше ста железнодорожных эшелонов противника. Разбиты 71 паровоз, до 1500 вагонов, платформ и цистерн. Кроме того, партизанские отряды взорвали 40 мостов на железных и грунтовых дорогах и сбили 2 самолёта противника.</w:t>
      </w:r>
    </w:p>
    <w:p w14:paraId="22799C31"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Озверелые немецко-фашистские мерзавцы истребляют мирное население в захваченных ими советских районов. В Старой Ушице, Каменец-Подольской области, гитлеровские бандиты расстреляли 700 жителей. Партизаны перехватили донесение немецкого коменданта военным властям об этой кровавой резне. Убийца и палач доложил начальству: «Всего расстреляно 700 человек, как непригодные к использованию». В переводе на обычный язык это значит, что фашистские изверги расстреляли нетрудоспособных стариков, женщин и детей.»</w:t>
      </w:r>
    </w:p>
    <w:p w14:paraId="2E69D9E5"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2DD8F4B8"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продолжается.</w:t>
      </w:r>
    </w:p>
    <w:p w14:paraId="7730F81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25 ноября наши войска в районе города Сталинграда, преодолевая сопротивление противника, продолжали наступление на прежних направлениях. На северо-западном участке фронта наши войска заняли железнодорожные станции Рычковский, Ново-Максимовский, Старомаксимовский и населённые пункты Малонабатовский, Бирючков, Родионов, Большая Дон-Щинка, Малая Донщинка.</w:t>
      </w:r>
    </w:p>
    <w:p w14:paraId="2CAB05AB"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населённых пунктов Большая Донщинка и Малая Дон-щинка разгромлены ранее окружённые части 22 танковой дивизии противника.</w:t>
      </w:r>
    </w:p>
    <w:p w14:paraId="38052D4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25 ноября количество пленных увеличилось на 15.000 человек. Всего за время боёв с 19 по 25 ноября наши войска захватили в плен 51.000 солдат и офицеров противника.</w:t>
      </w:r>
    </w:p>
    <w:p w14:paraId="39A74441"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боёв с 19 по 25 ноября нашими войсками захвачено орудий всех калибров — 1.300, автомашин — 5.618 и 52 склада с боеприпасами, снаряжением и продовольствием.</w:t>
      </w:r>
    </w:p>
    <w:p w14:paraId="60F23951"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25 ноября противник потерял убитыми до 6.000 солдат и офицеров.» (14840).</w:t>
      </w:r>
    </w:p>
    <w:p w14:paraId="478DD21C"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26C2556A"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К 25 ноября 1942 германские войска в Сталинграде оказались в котле.</w:t>
      </w:r>
    </w:p>
    <w:p w14:paraId="085383CD"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Командование вермахта оценило сложившуюся ситуацию с излишним оптимизмом. Оно решило снабжать Паулюса по воздуху, организовав воздушный мост наподобие того, что весной 1942 г. снабжал окруженные части в Демянске и Холме. Первоначально для этой цели привлекли транспортные эскадры, в общей сложности около 200 трехмоторных Ju-52 и двухмоторных Ju-86.</w:t>
      </w:r>
    </w:p>
    <w:p w14:paraId="06F3FD1C"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Вскоре стало ясно, что одной транспортной авиации для обеспечения 6-й армии недостаточно и что 60–70 тонн грузов, доставляемых за сутки, никак не удовлетворяли потребностям котла. Тогда было принято решение дополнительно использовать бомбардировщики Не-111. 29 ноября 1942 г. для координации действий всех групп «Хейнкелей», базировавшихся на аэродроме Морозовская, в 200 километрах северо-восточнее Ростова, было создано 1-е авиационное транспортное командование (Lufttransportfhrer 1). Его возглавил командир KG55 «Грайф» 53-летний оберст Эрнст Кюль, которому теперь в оперативном отношении также были подчинены KG27 «Бельке», III./KG4 и I./KG 100.</w:t>
      </w:r>
    </w:p>
    <w:p w14:paraId="5941C009"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Затем в начале января 1943 г. для увеличения грузооборота на подмогу транспортным и бомбардировочным эскадрам дополнительно выделили даже дефицитные четырехмоторные самолеты: восемнадцать FW-200 «Кондор», два Ju-290, а также семь новейших бомбардировщиков Не-177 «Грайф». К 20 января к полетам в район Сталинграда привлекли 1-ю воздушно-десантную эскадру (Luftlandgeschwader 1 — LLG1), располагавшую 64 самолетами-буксировщиками и 170 грузовыми планерами DFS-230 и Go-242.</w:t>
      </w:r>
    </w:p>
    <w:p w14:paraId="4A710132" w14:textId="77777777" w:rsidR="008D2293" w:rsidRPr="00722885" w:rsidRDefault="008D2293" w:rsidP="00722885">
      <w:pPr>
        <w:pStyle w:val="ae"/>
        <w:spacing w:before="0" w:after="0"/>
        <w:jc w:val="both"/>
        <w:textAlignment w:val="baseline"/>
        <w:rPr>
          <w:color w:val="000000" w:themeColor="text1"/>
          <w:sz w:val="16"/>
          <w:szCs w:val="16"/>
        </w:rPr>
      </w:pPr>
      <w:r w:rsidRPr="00722885">
        <w:rPr>
          <w:color w:val="000000" w:themeColor="text1"/>
          <w:sz w:val="16"/>
          <w:szCs w:val="16"/>
        </w:rPr>
        <w:t>В итоге в течение более чем двух месяцев по воздушному мосту между котлом и немецкой территорией ежедневно летала армада из самых разных самолетов. Все они внутри котла садились на аэродроме Питомник, располагавшемся в 20 километрах западнее Сталинграда. В конце ноября советские посты воздушного наблюдения ежедневно фиксировали 100–150 самолето-пролетов. Перехватывать транспортники, идущие под эскортом Bf-109G и Bf-110, было делом хлопотным, поэтому советское авиационное командование в очередной раз решило прибегнуть к простому и излюбленному методу — ударам по аэродромам (19522).</w:t>
      </w:r>
    </w:p>
    <w:p w14:paraId="6C47B287" w14:textId="77777777" w:rsidR="008D2293" w:rsidRPr="00722885" w:rsidRDefault="008D2293" w:rsidP="00722885">
      <w:pPr>
        <w:pStyle w:val="ae"/>
        <w:spacing w:before="0" w:after="0"/>
        <w:jc w:val="both"/>
        <w:textAlignment w:val="baseline"/>
        <w:rPr>
          <w:color w:val="000000" w:themeColor="text1"/>
          <w:sz w:val="16"/>
          <w:szCs w:val="16"/>
        </w:rPr>
      </w:pPr>
    </w:p>
    <w:p w14:paraId="1598DD4E"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25 ноября </w:t>
      </w:r>
      <w:r w:rsidRPr="00722885">
        <w:rPr>
          <w:rFonts w:ascii="Times New Roman" w:hAnsi="Times New Roman"/>
          <w:color w:val="000000" w:themeColor="text1"/>
          <w:sz w:val="16"/>
          <w:szCs w:val="16"/>
        </w:rPr>
        <w:t>в 1942 году войска Западного и Калининского фронтов, насчитывавшие 1,9 миллиона человек, более 24 тысяч орудий и минометов, 3300 танков и 1100 самолетов, под руководством Георгия Жукова начали операцию "Марс" - наступление на Ржевский плацдарм, окончившееся неудачей. Ударные группировки попали в окружение и лишь с большим трудом прорвались к своим, потеряв до полумиллиона человек и 1850 танков (14840).</w:t>
      </w:r>
    </w:p>
    <w:p w14:paraId="246EC158"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47FC15C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25 ноября </w:t>
      </w:r>
      <w:r w:rsidRPr="00722885">
        <w:rPr>
          <w:rFonts w:ascii="Times New Roman" w:hAnsi="Times New Roman"/>
          <w:color w:val="000000" w:themeColor="text1"/>
          <w:sz w:val="16"/>
          <w:szCs w:val="16"/>
        </w:rPr>
        <w:t>в 1942 году началась Великолукская наступательная операция войск Калининского фронта (14840).</w:t>
      </w:r>
    </w:p>
    <w:p w14:paraId="2CDD223B"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3A76F339"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25 ноября </w:t>
      </w:r>
      <w:r w:rsidRPr="00722885">
        <w:rPr>
          <w:rFonts w:ascii="Times New Roman" w:hAnsi="Times New Roman"/>
          <w:color w:val="000000" w:themeColor="text1"/>
          <w:sz w:val="16"/>
          <w:szCs w:val="16"/>
        </w:rPr>
        <w:t>в 1942 году силами левого крыла Калининского фронта (генералполковник М.А.Пуркаев) началась Ржевско-Сычевская наступательная операция, которая сковала немецко-фашистскую группировку в составе 9-й, 4-й и 3-й танковой армий, предназначавшуюся для поддержки войск, окруженных под Сталинградом (14840).</w:t>
      </w:r>
    </w:p>
    <w:p w14:paraId="005D979F"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218E4D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ноября 1942 г. 8-й кавалерийский корпус Юго-Западного фронта, имевший задачу захват ст. Обливская, вовремя не был прикрыт с воздуха и обеспечен авиационной поддержкой. Воздушная разведка на пути следования корпуса, а также наблюдение за его движением командованием 17-й ВА организована не была. Вследствие этого кавкорпус, натолкнувшись в районе Обливской на систему опорных пунктов противника и массированные бомбоштурмовые удары люфтваффе, понес большие потери в личном составе и материальной части.</w:t>
      </w:r>
    </w:p>
    <w:p w14:paraId="6B5092E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112-я кавалерийская дивизия генерал-майора М. М. Шаймуратова, развернувшаяся к 6.00 для атаки Обливской к югу от П.Фролов, была атакована немецкими бомбардировщиками. Пользуясь слабостью зенитных средств корпуса и полным отсутствием истребителей 17-й ВА, противник в течение всего дня практически непрерывно атаковал боевые порядки дивизии группами до 50 самолетов.</w:t>
      </w:r>
    </w:p>
    <w:p w14:paraId="0D1FAD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55-я кавалерийская дивизия п-ка И. Т. Чаленко на подходе к п. Чугунка, начиная с 7.00, также подверглась непрерывным атакам пилотов люфтваффе (до 20-30 самолетов в каждой группе), продолжавшихся до наступления темноты.</w:t>
      </w:r>
    </w:p>
    <w:p w14:paraId="135ACF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Фактически массированные бомбоштурмовые удары немецкой авиации приковали дивизию к месту. Только к 2.00 26 ноября дивизия смогла привести себя в порядок и выдвинулась в направлении на ст. Обливская.</w:t>
      </w:r>
    </w:p>
    <w:p w14:paraId="1DCA3B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течение 25 ноября 55-я и 112-я кавалерийские дивизии потеряли убитыми и ранеными 559 человек (в том числе 4 командира полка, одного начальника штаба и 12 командиров эскадронов) и 995 лошадей, было разбито много материальной части.</w:t>
      </w:r>
    </w:p>
    <w:p w14:paraId="724FDA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5.00 26 ноября части 8-го кавкорпуса развернулись для атаки ст. Обливская: 55-я кавдивизия в направлении на п. Рябовский, п. Птицесовхоз, а 112-я кавдивизия - на ж.д. станцию Обливская и п. Больница. Однако с рассветом полки 55-й и 112-й кавдивизий корпуса вновь были подвергнуты мощным ударам немецкой авиации.</w:t>
      </w:r>
    </w:p>
    <w:p w14:paraId="7C7FED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Над полем боя, непрерывно сменяя друг друга, работали группы бомбардировщиков истребителей люфтваффе по 35-50 самолетов. Навалившись практически всеми силами на имевшиеся в распоряжении 8-го кавкорпуса зенитные батареи 586-го полка ПВО, немцам удалось в первые же часы боя полностью подавить их огонь и в дальнейшем беспрепятственно действовать над позициями советских кавалеристов.</w:t>
      </w:r>
    </w:p>
    <w:p w14:paraId="52CADE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этих боях истребители-бомбардировщики ВМ09Е-4/В широко использовали контейнеры для мелких осколочных бомб. После сброса авиабомб "мессершмитты" с предельно низких высот обстреливали позиции красноармейцев пулеметно-пушечным огнем. Точно так же действовали и Hsl23, и пикировщики Ju87.</w:t>
      </w:r>
    </w:p>
    <w:p w14:paraId="4BB465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Особого эффекта при атаках зенитных батарей достигали Ju87 и Hsl23, которые пикировали почти в упор под большими углами и выходили из атаки на бреющем полете. Переход в пикирование при криволинейном курсе осуществлялся с крутого левого разворота. Это обеспечивало уменьшение времени нахождения самолетов под огнем зенитных расчетов и увеличение ошибки прицеливания.</w:t>
      </w:r>
    </w:p>
    <w:p w14:paraId="629821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Несмотря на своевременно поданную через офицера связи штаба 1-го сак заявку, истребители 288-й над так и не появились. Не появились над полем боя и штурмовики 267-й шад этого авиакорпуса, оставив кавалеристов без огневой поддержки с воздуха как во время атак позиций противника, так и во время отражения контратак его танков и пехоты.</w:t>
      </w:r>
    </w:p>
    <w:p w14:paraId="013861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исходу дня дивизии 8-го кавкорпуса потеряли 773 человека убитыми и ранеными и 1058 лошадей.</w:t>
      </w:r>
    </w:p>
    <w:p w14:paraId="6AF25F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По поводу случившегося командир 8-го кавкорпуса генерал-майор М. Д. Борисов в своем донесении на имя командующего 5-й ТА докладывал: "Пользуясь полным </w:t>
      </w:r>
      <w:r w:rsidRPr="00722885">
        <w:rPr>
          <w:color w:val="000000" w:themeColor="text1"/>
          <w:sz w:val="16"/>
          <w:szCs w:val="16"/>
        </w:rPr>
        <w:lastRenderedPageBreak/>
        <w:t>отсутствием нашей авиации, авиация противника снижалась до 50 м и ниже, методически обрабатывая поле боя бомбами различных калибров и интенсивным пулеметным огнем. Противник охотился буквально за отдельными людьми, повозками и автомашинами. Все было прижато к земле. На каждое орудие или пулемет, открывающие огонь, немедленно пикировало по несколько самолетов, 586-й полк противовоздушной обороны, имея по 100 выстрелов на батарею и недостаточное количество бензина, быстро прекратил работу. Авиацией противника захват Обливской был сорван..."</w:t>
      </w:r>
    </w:p>
    <w:p w14:paraId="6F3D83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Всего в период с 19 по 27 ноября 8-й кавкорпус понес потери в людях до 60%, а в лошадях до 70% всего состава, имевшегося к началу контрнаступления. По данным штаба Юго-Западного фронта почти все потери понесены в результате воздействия авиации противника (8907).</w:t>
      </w:r>
    </w:p>
    <w:p w14:paraId="25E4FC5F" w14:textId="77777777" w:rsidR="00090C9B" w:rsidRPr="00722885" w:rsidRDefault="00090C9B" w:rsidP="00722885">
      <w:pPr>
        <w:pStyle w:val="Iauiue"/>
        <w:jc w:val="both"/>
        <w:rPr>
          <w:color w:val="000000" w:themeColor="text1"/>
          <w:sz w:val="16"/>
          <w:szCs w:val="16"/>
        </w:rPr>
      </w:pPr>
    </w:p>
    <w:p w14:paraId="5CB298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25 ноября 1942 55-я и 112-я кавалерийские дивизии из состава 8-го кавкорпуса от ударов авиации потеряли убитыми и ранеными 559 человек и 995 лошадей. На следующий день полки 55-й и 112-й кавдивизий корпуса вновь были подвергнуты налетам немецкой ави</w:t>
      </w:r>
      <w:r w:rsidRPr="00722885">
        <w:rPr>
          <w:rFonts w:ascii="Times New Roman" w:hAnsi="Times New Roman"/>
          <w:color w:val="000000" w:themeColor="text1"/>
          <w:sz w:val="16"/>
          <w:szCs w:val="16"/>
        </w:rPr>
        <w:softHyphen/>
        <w:t>ации. Над полем боя, непрерывно сменяя друг друга, работали группы бомбарди</w:t>
      </w:r>
      <w:r w:rsidRPr="00722885">
        <w:rPr>
          <w:rFonts w:ascii="Times New Roman" w:hAnsi="Times New Roman"/>
          <w:color w:val="000000" w:themeColor="text1"/>
          <w:sz w:val="16"/>
          <w:szCs w:val="16"/>
        </w:rPr>
        <w:softHyphen/>
        <w:t>ровщиков и истребителей люфтваффе по 35-50 самолетов. Навалившись прак</w:t>
      </w:r>
      <w:r w:rsidRPr="00722885">
        <w:rPr>
          <w:rFonts w:ascii="Times New Roman" w:hAnsi="Times New Roman"/>
          <w:color w:val="000000" w:themeColor="text1"/>
          <w:sz w:val="16"/>
          <w:szCs w:val="16"/>
        </w:rPr>
        <w:softHyphen/>
        <w:t>тически всеми силами на имевшиеся в распоряжении 8-го кавкорпуса зенитные батареи, немцам удалось в первые же часы боя полностью подавить их огонь и в даль</w:t>
      </w:r>
      <w:r w:rsidRPr="00722885">
        <w:rPr>
          <w:rFonts w:ascii="Times New Roman" w:hAnsi="Times New Roman"/>
          <w:color w:val="000000" w:themeColor="text1"/>
          <w:sz w:val="16"/>
          <w:szCs w:val="16"/>
        </w:rPr>
        <w:softHyphen/>
        <w:t>нейшем беспрепятственно действовать над позициями советских кавалеристов. В этих боях истребители-бомбардировщики В1 109Е-4/В широко использовали контейнеры для мелких осколочных бомб. После сброса авиабомб «мессершмитты» с предельно низких высот обстреливали позиции красноармейцев пулеметно-пушечным огнем. Точно также действовали и Нз 123, и пикировщики 87. К исходу дня дивизии 8-го кавкорпуса потеряли еще 773 человека убитыми и ранеными и 1058 лошадей.</w:t>
      </w:r>
    </w:p>
    <w:p w14:paraId="4AA0F8A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109Е-4/В и Нз 123 на фоне Нз 129В и 87 выглядели в боях под Сталинградом довольно неплохо, главным образом за счет своей большей «универ</w:t>
      </w:r>
      <w:r w:rsidRPr="00722885">
        <w:rPr>
          <w:rFonts w:ascii="Times New Roman" w:hAnsi="Times New Roman"/>
          <w:color w:val="000000" w:themeColor="text1"/>
          <w:sz w:val="16"/>
          <w:szCs w:val="16"/>
        </w:rPr>
        <w:softHyphen/>
        <w:t>сальности» и сбалансированности летных и боевых качеств: возможности выполнять атаки, как с пикирования под большими углами, так и с предельно малой высоты.</w:t>
      </w:r>
    </w:p>
    <w:p w14:paraId="1C7059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ряде случаев, при особо благопри</w:t>
      </w:r>
      <w:r w:rsidRPr="00722885">
        <w:rPr>
          <w:rFonts w:ascii="Times New Roman" w:hAnsi="Times New Roman"/>
          <w:color w:val="000000" w:themeColor="text1"/>
          <w:sz w:val="16"/>
          <w:szCs w:val="16"/>
        </w:rPr>
        <w:softHyphen/>
        <w:t>ятных условиях (отсутствие у противника зенитной артиллерии и истребительного прикрытия), именно такие атаки большим числом самолетов приводили к серьезным успехам.</w:t>
      </w:r>
    </w:p>
    <w:p w14:paraId="1D1F3DD0" w14:textId="77777777" w:rsidR="00090C9B" w:rsidRPr="00722885" w:rsidRDefault="00090C9B" w:rsidP="00722885">
      <w:pPr>
        <w:pStyle w:val="34"/>
        <w:shd w:val="clear" w:color="auto" w:fill="auto"/>
        <w:spacing w:line="240" w:lineRule="auto"/>
        <w:jc w:val="both"/>
        <w:rPr>
          <w:rFonts w:ascii="Times New Roman" w:cs="Times New Roman"/>
          <w:color w:val="000000" w:themeColor="text1"/>
          <w:spacing w:val="0"/>
          <w:sz w:val="16"/>
          <w:szCs w:val="16"/>
        </w:rPr>
      </w:pPr>
      <w:r w:rsidRPr="00722885">
        <w:rPr>
          <w:rStyle w:val="3Tahoma8pt"/>
          <w:rFonts w:ascii="Times New Roman" w:hAnsi="Times New Roman" w:cs="Times New Roman"/>
          <w:i w:val="0"/>
          <w:color w:val="000000" w:themeColor="text1"/>
          <w:spacing w:val="0"/>
          <w:sz w:val="16"/>
          <w:szCs w:val="16"/>
        </w:rPr>
        <w:t>По поводу случившегося командир 8-го кавкорпуса генерал-майор М.Д. Борисов докладывал:</w:t>
      </w:r>
      <w:r w:rsidRPr="00722885">
        <w:rPr>
          <w:rFonts w:ascii="Times New Roman" w:cs="Times New Roman"/>
          <w:color w:val="000000" w:themeColor="text1"/>
          <w:spacing w:val="0"/>
          <w:sz w:val="16"/>
          <w:szCs w:val="16"/>
        </w:rPr>
        <w:t xml:space="preserve"> «Пользуясь полным отсутстви</w:t>
      </w:r>
      <w:r w:rsidRPr="00722885">
        <w:rPr>
          <w:rFonts w:ascii="Times New Roman" w:cs="Times New Roman"/>
          <w:color w:val="000000" w:themeColor="text1"/>
          <w:spacing w:val="0"/>
          <w:sz w:val="16"/>
          <w:szCs w:val="16"/>
        </w:rPr>
        <w:softHyphen/>
        <w:t>ем нашей авиации, авиация противника снижалась до 50 м и ниже, методически обрабатывая поле боя бомбами различ</w:t>
      </w:r>
      <w:r w:rsidRPr="00722885">
        <w:rPr>
          <w:rFonts w:ascii="Times New Roman" w:cs="Times New Roman"/>
          <w:color w:val="000000" w:themeColor="text1"/>
          <w:spacing w:val="0"/>
          <w:sz w:val="16"/>
          <w:szCs w:val="16"/>
        </w:rPr>
        <w:softHyphen/>
        <w:t>ных калибров и интенсивным пулеметным огнем. Противник охотился буквально за отдельными людьми, повозками и авто</w:t>
      </w:r>
      <w:r w:rsidRPr="00722885">
        <w:rPr>
          <w:rFonts w:ascii="Times New Roman" w:cs="Times New Roman"/>
          <w:color w:val="000000" w:themeColor="text1"/>
          <w:spacing w:val="0"/>
          <w:sz w:val="16"/>
          <w:szCs w:val="16"/>
        </w:rPr>
        <w:softHyphen/>
        <w:t>машинами. Все было прижато к земле. На каждое орудие или пулемет, открывающие огонь, немедленно пикировало по несколь</w:t>
      </w:r>
      <w:r w:rsidRPr="00722885">
        <w:rPr>
          <w:rFonts w:ascii="Times New Roman" w:cs="Times New Roman"/>
          <w:color w:val="000000" w:themeColor="text1"/>
          <w:spacing w:val="0"/>
          <w:sz w:val="16"/>
          <w:szCs w:val="16"/>
        </w:rPr>
        <w:softHyphen/>
        <w:t>ко самолетов. 586-й полк противовоздуш</w:t>
      </w:r>
      <w:r w:rsidRPr="00722885">
        <w:rPr>
          <w:rFonts w:ascii="Times New Roman" w:cs="Times New Roman"/>
          <w:color w:val="000000" w:themeColor="text1"/>
          <w:spacing w:val="0"/>
          <w:sz w:val="16"/>
          <w:szCs w:val="16"/>
        </w:rPr>
        <w:softHyphen/>
        <w:t>ной обороны, имея по 100 выстрелов на батарею, быстро прекратил работу...»</w:t>
      </w:r>
    </w:p>
    <w:p w14:paraId="52930FA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Подобная результатив</w:t>
      </w:r>
      <w:r w:rsidRPr="00722885">
        <w:rPr>
          <w:rFonts w:ascii="Times New Roman" w:hAnsi="Times New Roman"/>
          <w:color w:val="000000" w:themeColor="text1"/>
          <w:sz w:val="16"/>
          <w:szCs w:val="16"/>
        </w:rPr>
        <w:softHyphen/>
        <w:t>ность групп непосредственной поддержки войск люфтваффе являлась в этот период войны скорее исключением, чем какой-то закономерностью. Средняя эффектив</w:t>
      </w:r>
      <w:r w:rsidRPr="00722885">
        <w:rPr>
          <w:rFonts w:ascii="Times New Roman" w:hAnsi="Times New Roman"/>
          <w:color w:val="000000" w:themeColor="text1"/>
          <w:sz w:val="16"/>
          <w:szCs w:val="16"/>
        </w:rPr>
        <w:softHyphen/>
        <w:t>ность, показываемая «мессершмиттами» и «хеншелями» на поле боя этого периода войны, была куда более скромной, чем этого хотелось немецкому командованию. Действия штурмовиков люфтваффе под Сталинградом, несмотря на их активность, не смогли оказать сколько-нибудь замет</w:t>
      </w:r>
      <w:r w:rsidRPr="00722885">
        <w:rPr>
          <w:rFonts w:ascii="Times New Roman" w:hAnsi="Times New Roman"/>
          <w:color w:val="000000" w:themeColor="text1"/>
          <w:sz w:val="16"/>
          <w:szCs w:val="16"/>
        </w:rPr>
        <w:softHyphen/>
        <w:t>ного влияния на общий ход контрнаступле</w:t>
      </w:r>
      <w:r w:rsidRPr="00722885">
        <w:rPr>
          <w:rFonts w:ascii="Times New Roman" w:hAnsi="Times New Roman"/>
          <w:color w:val="000000" w:themeColor="text1"/>
          <w:sz w:val="16"/>
          <w:szCs w:val="16"/>
        </w:rPr>
        <w:softHyphen/>
        <w:t>ния войск Красной Армии (12728).</w:t>
      </w:r>
    </w:p>
    <w:p w14:paraId="6ECD6C1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9B96F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25 ноября по 12 декабря 1942 силами левого крыла КФ (М.А.Пуркаев) начали Ржевско-Сычевскую операцию, в ходе которой сковали силы 9, 4, 2ТА и их не перебросили под Сталинград (3398,417).</w:t>
      </w:r>
    </w:p>
    <w:p w14:paraId="39FA288E" w14:textId="77777777" w:rsidR="00090C9B" w:rsidRPr="00722885" w:rsidRDefault="00090C9B" w:rsidP="00722885">
      <w:pPr>
        <w:pStyle w:val="Iauiue"/>
        <w:jc w:val="both"/>
        <w:rPr>
          <w:color w:val="000000" w:themeColor="text1"/>
          <w:sz w:val="16"/>
          <w:szCs w:val="16"/>
        </w:rPr>
      </w:pPr>
    </w:p>
    <w:p w14:paraId="4CF2945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ноября 1942 г. приказом НКО в ГАУ РККА было создано Управление механической тяги и са</w:t>
      </w:r>
      <w:r w:rsidRPr="00722885">
        <w:rPr>
          <w:rFonts w:ascii="Times New Roman" w:hAnsi="Times New Roman"/>
          <w:color w:val="000000" w:themeColor="text1"/>
          <w:sz w:val="16"/>
          <w:szCs w:val="16"/>
        </w:rPr>
        <w:softHyphen/>
        <w:t>моходной артиллерии, в обязанности которого входила организация производства, снабжения и ремонта самоходных установок. Формиро</w:t>
      </w:r>
      <w:r w:rsidRPr="00722885">
        <w:rPr>
          <w:rFonts w:ascii="Times New Roman" w:hAnsi="Times New Roman"/>
          <w:color w:val="000000" w:themeColor="text1"/>
          <w:sz w:val="16"/>
          <w:szCs w:val="16"/>
        </w:rPr>
        <w:softHyphen/>
        <w:t>вание частей было возложено на вновь организованный учебный центр самоходной артиллерии, подчиненный управлению формирований Главного управления командующего артиллерией РККА (10703).</w:t>
      </w:r>
    </w:p>
    <w:p w14:paraId="1132D09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579D12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ноября 1942 года на основе постановления ГКО и приказа НКО СССР в поселке Клязьма Московской области был сформирован Учебный центр самоходной артиллерии (УЦСА). Центр находился в подчинении командующего артиллерией Красной Армии. Задачей УЦСА являлись формирование и обучение самоходно-артиллерийских полков, маршевых батарей и отправка их на фронт. Центр состоял из пяти групп: одна занималась формированием тяжелых, две — средних и две — легких самоходно-артиллерийских полков. Во главе каждой группы стояли начальник группы и штаб. Для подготовки тяжелых самоходно-артиллерийских полков в марте 1943 года в Челябинске были сформированы 21-й учебный тяжелый самоходно-артиллерийский полк и 36-й запасной самоходно-артиллерийский полк под Москвой. Сформированные в учебных полках маршевые батареи направлялись в УЦСА, где они распределялись по группам, затем сводились в полки, пополнялись личным составом из запасного полка, специалистами (ремонтниками, связистами, радистами, шоферами и др.), комплектовались военно-техническим имуществом и автомобилями. После этого полки отправляли на фронт. Командиров тяжелых САУ и старших механиков-водителей готовили 2-е Киевское училище самоходной артиллерии, 3-е Горьковское, Соликамское и Буйское танковые училища (11638).</w:t>
      </w:r>
    </w:p>
    <w:p w14:paraId="0D5AA9C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A2F14FF"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25 ноября </w:t>
      </w:r>
      <w:r w:rsidRPr="00722885">
        <w:rPr>
          <w:rFonts w:ascii="Times New Roman" w:hAnsi="Times New Roman"/>
          <w:color w:val="000000" w:themeColor="text1"/>
          <w:sz w:val="16"/>
          <w:szCs w:val="16"/>
        </w:rPr>
        <w:t>в 1942 году началось снабжение по воздуху 6й немецкой армии, окруженной под Сталинградом (14840).</w:t>
      </w:r>
    </w:p>
    <w:p w14:paraId="2B456A35"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2108387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536BE6F4" w14:textId="77777777" w:rsidR="00090C9B" w:rsidRPr="00722885" w:rsidRDefault="00090C9B" w:rsidP="00722885">
      <w:pPr>
        <w:pStyle w:val="Iauiue"/>
        <w:jc w:val="both"/>
        <w:rPr>
          <w:iCs/>
          <w:color w:val="000000" w:themeColor="text1"/>
          <w:sz w:val="16"/>
          <w:szCs w:val="16"/>
        </w:rPr>
      </w:pPr>
    </w:p>
    <w:p w14:paraId="6D880CC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ноября 1942 г. было подписано согла</w:t>
      </w:r>
      <w:r w:rsidRPr="00722885">
        <w:rPr>
          <w:color w:val="000000" w:themeColor="text1"/>
          <w:sz w:val="16"/>
          <w:szCs w:val="16"/>
        </w:rPr>
        <w:softHyphen/>
        <w:t>шение между советским командовани</w:t>
      </w:r>
      <w:r w:rsidRPr="00722885">
        <w:rPr>
          <w:color w:val="000000" w:themeColor="text1"/>
          <w:sz w:val="16"/>
          <w:szCs w:val="16"/>
        </w:rPr>
        <w:softHyphen/>
        <w:t>ем и главой французской военной мис</w:t>
      </w:r>
      <w:r w:rsidRPr="00722885">
        <w:rPr>
          <w:color w:val="000000" w:themeColor="text1"/>
          <w:sz w:val="16"/>
          <w:szCs w:val="16"/>
        </w:rPr>
        <w:softHyphen/>
        <w:t>сии в СССР генералом Э. Пети, которое привело к созданию широко известной отдель</w:t>
      </w:r>
      <w:r w:rsidRPr="00722885">
        <w:rPr>
          <w:color w:val="000000" w:themeColor="text1"/>
          <w:sz w:val="16"/>
          <w:szCs w:val="16"/>
        </w:rPr>
        <w:softHyphen/>
        <w:t>ной авиаэскадрильи “Нормандия” (3956).</w:t>
      </w:r>
    </w:p>
    <w:p w14:paraId="175F5550" w14:textId="77777777" w:rsidR="00090C9B" w:rsidRPr="00722885" w:rsidRDefault="00090C9B" w:rsidP="00722885">
      <w:pPr>
        <w:pStyle w:val="Iauiue"/>
        <w:jc w:val="both"/>
        <w:rPr>
          <w:color w:val="000000" w:themeColor="text1"/>
          <w:sz w:val="16"/>
          <w:szCs w:val="16"/>
        </w:rPr>
      </w:pPr>
    </w:p>
    <w:p w14:paraId="3F588CE5"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25 ноября </w:t>
      </w:r>
      <w:r w:rsidRPr="00722885">
        <w:rPr>
          <w:rFonts w:ascii="Times New Roman" w:hAnsi="Times New Roman"/>
          <w:color w:val="000000" w:themeColor="text1"/>
          <w:sz w:val="16"/>
          <w:szCs w:val="16"/>
        </w:rPr>
        <w:t>в 1942 году подписано советско-французское Соглашение об участии французских частей ВВС в операциях в Советском Союзе (формирование на территории СССР французской авиаэскадрильи началось в ноябре в городе Иваново). Уже 5 апреля 1943 года в составе 303-й истребительной авиационной дивизии 1-й Воздушной армии Западного фронта начала свой боевой путь французская добровольческая эскадрилья «Нормандия», действовавшая на советско-германском фронте против фашистcкой Германии в 1943-1945 годах. Первоначально эскадрилья насчитывала 14 летчиков и 58 авиационных техников. Первым ее командиром был известный французский пилот Жан Луи Тюлян, еще до прибытия в Союз сбивший шесть самолетов противника (погиб в бою летом 1943 года). 5 июля 1943 года на базе французской эскадрильи «Нормандия» был сформирован 1-й отдельный истребительный авиационный полк «Нормандия», состоявший уже из четырех эскадрилий: «Руан», «Гавр», «Шербур» и «Кан». За доблестное участие в освобождении Белоруссии получил наименование «Неманский» - так родилось двойное имя «Нормандия-Неман». Полк участвовал в сражении на Курской дуге, освобождении Орла, Брянска, Смоленска, Белоруссии, Литвы. Зимой 1945 года летчики «Нормандии» приняли участие в напряженных боях за Кенигсберг. За период пребывания на советско-германском фронте полк «Нормандия-Неман» совершил более пяти тысяч боевых вылетов, провел свыше 800 воздушных боев. Французские летчики сбили около 300 фашистских самолетов, уничтожили значительное количество боевой техники противника. За совершенные подвиги советское правительство наградило полк орденами Красного Знамени и Александра Невского, а французское - Почетного легиона, Крестом войны с шестью пальмами, Крестом освобождения и Военной медалью. Многих советских орденов и медалей удостоились 83 французских летчика, четверо из них стали Героями Советского Союза. 15 июня 1945 года полк на своих боевых машинах, подаренных им советским правительством, взлетел с аэродрома Эльбинг и взял курс на Париж. Один из самолетов Як-3, на которых воевали летчики «Нормандии», в настоящее время хранится в Национальном Музее Авиации в Ле Бурже (14840).</w:t>
      </w:r>
    </w:p>
    <w:p w14:paraId="4321F4D3"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08BA0F02" w14:textId="77777777" w:rsidR="00C77C92"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4DE76B9" w14:textId="77777777" w:rsidR="00C77C92" w:rsidRPr="00722885" w:rsidRDefault="00C77C92" w:rsidP="00722885">
      <w:pPr>
        <w:pStyle w:val="Iauiue"/>
        <w:jc w:val="both"/>
        <w:rPr>
          <w:iCs/>
          <w:color w:val="000000" w:themeColor="text1"/>
          <w:sz w:val="16"/>
          <w:szCs w:val="16"/>
        </w:rPr>
      </w:pPr>
    </w:p>
    <w:p w14:paraId="457D7D7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25 ноября 1942 в ходе операции Лилия немецкие войска захватили Тулон и французский флот затопил свои корабли (2245,10).</w:t>
      </w:r>
    </w:p>
    <w:p w14:paraId="7A43D58F" w14:textId="77777777" w:rsidR="00090C9B" w:rsidRPr="00722885" w:rsidRDefault="00090C9B" w:rsidP="00722885">
      <w:pPr>
        <w:pStyle w:val="Iauiue"/>
        <w:jc w:val="both"/>
        <w:rPr>
          <w:color w:val="000000" w:themeColor="text1"/>
          <w:sz w:val="16"/>
          <w:szCs w:val="16"/>
        </w:rPr>
      </w:pPr>
    </w:p>
    <w:p w14:paraId="1764D52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251D292" w14:textId="77777777" w:rsidR="00090C9B" w:rsidRPr="00722885" w:rsidRDefault="00090C9B" w:rsidP="00722885">
      <w:pPr>
        <w:pStyle w:val="Iauiue"/>
        <w:jc w:val="both"/>
        <w:rPr>
          <w:iCs/>
          <w:color w:val="000000" w:themeColor="text1"/>
          <w:sz w:val="16"/>
          <w:szCs w:val="16"/>
        </w:rPr>
      </w:pPr>
    </w:p>
    <w:p w14:paraId="6807F49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ноября 1942 Зам. нач. 12 ГУ Васильев писал Кузнецову справку N 2595 по вопросу оборудования самолетов Ил-4 автоматами курса АК-1:</w:t>
      </w:r>
    </w:p>
    <w:p w14:paraId="1440397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На установку АК-1 чертежей, разработанных ГК С.В.И., нет</w:t>
      </w:r>
    </w:p>
    <w:p w14:paraId="7EE9BC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В заводских условиях на самолетах И-4 установка АК-1 не проводилась</w:t>
      </w:r>
    </w:p>
    <w:p w14:paraId="67E81FF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окончательного решения вопроса о сроках и количествах выпуска самолетов Ил-2 с АК-1 необходимо:</w:t>
      </w:r>
    </w:p>
    <w:p w14:paraId="4F2042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Поручить ГК С.В.И. разработать чертежи установки АК-1 к 20 декабря с.г. и передать заводу 23 для отработки и монтажа на 5 самолетах Ил-4</w:t>
      </w:r>
    </w:p>
    <w:p w14:paraId="239FDE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Установить срок сдачи на испытания в НИИ ВВС первых двух машин к 15 января 1943</w:t>
      </w:r>
    </w:p>
    <w:p w14:paraId="4726DA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На основе результатов гос. испытаний первых двух машин окончательно разработать рабочие чертежи и провести их проверку на следующих трех машинах к 25 января 1943 (1683,53).</w:t>
      </w:r>
    </w:p>
    <w:p w14:paraId="389CBEC1" w14:textId="77777777" w:rsidR="00090C9B" w:rsidRPr="00722885" w:rsidRDefault="00090C9B" w:rsidP="00722885">
      <w:pPr>
        <w:pStyle w:val="Iauiue"/>
        <w:jc w:val="both"/>
        <w:rPr>
          <w:color w:val="000000" w:themeColor="text1"/>
          <w:sz w:val="16"/>
          <w:szCs w:val="16"/>
        </w:rPr>
      </w:pPr>
    </w:p>
    <w:p w14:paraId="704EBB2A" w14:textId="77777777" w:rsidR="00A50962"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76F3E49" w14:textId="77777777" w:rsidR="00A50962" w:rsidRPr="00722885" w:rsidRDefault="00A50962" w:rsidP="00722885">
      <w:pPr>
        <w:pStyle w:val="Iauiue"/>
        <w:jc w:val="both"/>
        <w:rPr>
          <w:iCs/>
          <w:color w:val="000000" w:themeColor="text1"/>
          <w:sz w:val="16"/>
          <w:szCs w:val="16"/>
        </w:rPr>
      </w:pPr>
    </w:p>
    <w:p w14:paraId="21B52C18" w14:textId="77777777" w:rsidR="00A50962" w:rsidRPr="00722885" w:rsidRDefault="00A50962" w:rsidP="00722885">
      <w:pPr>
        <w:pStyle w:val="a3"/>
        <w:rPr>
          <w:color w:val="000000" w:themeColor="text1"/>
          <w:lang w:val="ru-RU"/>
        </w:rPr>
      </w:pPr>
      <w:r w:rsidRPr="00722885">
        <w:rPr>
          <w:color w:val="000000" w:themeColor="text1"/>
          <w:lang w:val="ru-RU"/>
        </w:rPr>
        <w:t>26 ноября 1942 в адрес начальника БТУ ГАБТУ КА инженер-полковника Афонина пришло письмо от директора заво</w:t>
      </w:r>
      <w:r w:rsidRPr="00722885">
        <w:rPr>
          <w:color w:val="000000" w:themeColor="text1"/>
          <w:lang w:val="ru-RU"/>
        </w:rPr>
        <w:softHyphen/>
        <w:t>да №92 А.С. Еляна:</w:t>
      </w:r>
    </w:p>
    <w:p w14:paraId="3E6969B0"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lastRenderedPageBreak/>
        <w:t>«Наш старший инженер-конструктор т. Муравьев П.Ф., будучи в Мо</w:t>
      </w:r>
      <w:r w:rsidRPr="00722885">
        <w:rPr>
          <w:i w:val="0"/>
          <w:color w:val="000000" w:themeColor="text1"/>
          <w:sz w:val="16"/>
          <w:szCs w:val="16"/>
        </w:rPr>
        <w:softHyphen/>
        <w:t>скве, говорил с Вами о создании самохода с установкой 400-мм мортиры на танке КВ. К настоящему времени этот вопрос настолько нами прора</w:t>
      </w:r>
      <w:r w:rsidRPr="00722885">
        <w:rPr>
          <w:i w:val="0"/>
          <w:color w:val="000000" w:themeColor="text1"/>
          <w:sz w:val="16"/>
          <w:szCs w:val="16"/>
        </w:rPr>
        <w:softHyphen/>
        <w:t>ботан, что есть возможность говорить о нем более конкретно.</w:t>
      </w:r>
    </w:p>
    <w:p w14:paraId="6D085E06"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Нами разработан эскизный проект этой установки, который мы Вам вышлем после уточнения некоторых сведений относительно танка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 и Т-34, которые нам сейчас неизвестны, но которые просим сообщить. В частности, нас интересуют следующие сведения:</w:t>
      </w:r>
    </w:p>
    <w:p w14:paraId="750C0B41" w14:textId="77777777" w:rsidR="00A50962" w:rsidRPr="00722885" w:rsidRDefault="00A50962" w:rsidP="00722885">
      <w:pPr>
        <w:pStyle w:val="Bodytext141"/>
        <w:shd w:val="clear" w:color="auto" w:fill="auto"/>
        <w:tabs>
          <w:tab w:val="left" w:pos="594"/>
        </w:tabs>
        <w:spacing w:line="240" w:lineRule="auto"/>
        <w:ind w:firstLine="0"/>
        <w:jc w:val="both"/>
        <w:rPr>
          <w:i w:val="0"/>
          <w:color w:val="000000" w:themeColor="text1"/>
          <w:sz w:val="16"/>
          <w:szCs w:val="16"/>
        </w:rPr>
      </w:pPr>
      <w:r w:rsidRPr="00722885">
        <w:rPr>
          <w:i w:val="0"/>
          <w:color w:val="000000" w:themeColor="text1"/>
          <w:sz w:val="16"/>
          <w:szCs w:val="16"/>
        </w:rPr>
        <w:t>1. Какой общий вес танка КВ-1 изготовления 1941 года (до войны с Германией) и вес башни его с боекомплектом для 76,2 мм пушки и самой пушкой.</w:t>
      </w:r>
    </w:p>
    <w:p w14:paraId="6A18BF36" w14:textId="77777777" w:rsidR="00A50962" w:rsidRPr="00722885" w:rsidRDefault="00A50962" w:rsidP="00722885">
      <w:pPr>
        <w:pStyle w:val="Bodytext141"/>
        <w:shd w:val="clear" w:color="auto" w:fill="auto"/>
        <w:tabs>
          <w:tab w:val="left" w:pos="584"/>
        </w:tabs>
        <w:spacing w:line="240" w:lineRule="auto"/>
        <w:ind w:firstLine="0"/>
        <w:jc w:val="both"/>
        <w:rPr>
          <w:i w:val="0"/>
          <w:color w:val="000000" w:themeColor="text1"/>
          <w:sz w:val="16"/>
          <w:szCs w:val="16"/>
        </w:rPr>
      </w:pPr>
      <w:r w:rsidRPr="00722885">
        <w:rPr>
          <w:i w:val="0"/>
          <w:color w:val="000000" w:themeColor="text1"/>
          <w:sz w:val="16"/>
          <w:szCs w:val="16"/>
        </w:rPr>
        <w:t xml:space="preserve">2. Какой общий вес танка </w:t>
      </w:r>
      <w:r w:rsidRPr="00722885">
        <w:rPr>
          <w:i w:val="0"/>
          <w:color w:val="000000" w:themeColor="text1"/>
          <w:sz w:val="16"/>
          <w:szCs w:val="16"/>
          <w:lang w:val="en-US"/>
        </w:rPr>
        <w:t>KB</w:t>
      </w:r>
      <w:r w:rsidRPr="00722885">
        <w:rPr>
          <w:i w:val="0"/>
          <w:color w:val="000000" w:themeColor="text1"/>
          <w:sz w:val="16"/>
          <w:szCs w:val="16"/>
        </w:rPr>
        <w:t>-1 изготовления 1942 года, утяжеленный в результате модернизации и вес башни его с боекомплектом для 76,2 мм пушки и самой пушкой.</w:t>
      </w:r>
    </w:p>
    <w:p w14:paraId="526C6B89" w14:textId="77777777" w:rsidR="00A50962" w:rsidRPr="00722885" w:rsidRDefault="00A50962" w:rsidP="00722885">
      <w:pPr>
        <w:pStyle w:val="Bodytext141"/>
        <w:shd w:val="clear" w:color="auto" w:fill="auto"/>
        <w:tabs>
          <w:tab w:val="left" w:pos="603"/>
        </w:tabs>
        <w:spacing w:line="240" w:lineRule="auto"/>
        <w:ind w:firstLine="0"/>
        <w:jc w:val="both"/>
        <w:rPr>
          <w:i w:val="0"/>
          <w:color w:val="000000" w:themeColor="text1"/>
          <w:sz w:val="16"/>
          <w:szCs w:val="16"/>
        </w:rPr>
      </w:pPr>
      <w:r w:rsidRPr="00722885">
        <w:rPr>
          <w:i w:val="0"/>
          <w:color w:val="000000" w:themeColor="text1"/>
          <w:sz w:val="16"/>
          <w:szCs w:val="16"/>
        </w:rPr>
        <w:t xml:space="preserve">3. Какой общий вес танка </w:t>
      </w:r>
      <w:r w:rsidRPr="00722885">
        <w:rPr>
          <w:i w:val="0"/>
          <w:color w:val="000000" w:themeColor="text1"/>
          <w:sz w:val="16"/>
          <w:szCs w:val="16"/>
          <w:lang w:val="en-US"/>
        </w:rPr>
        <w:t>KB</w:t>
      </w:r>
      <w:r w:rsidRPr="00722885">
        <w:rPr>
          <w:i w:val="0"/>
          <w:color w:val="000000" w:themeColor="text1"/>
          <w:sz w:val="16"/>
          <w:szCs w:val="16"/>
        </w:rPr>
        <w:t>-1С изготовления 1942 года после его об</w:t>
      </w:r>
      <w:r w:rsidRPr="00722885">
        <w:rPr>
          <w:i w:val="0"/>
          <w:color w:val="000000" w:themeColor="text1"/>
          <w:sz w:val="16"/>
          <w:szCs w:val="16"/>
        </w:rPr>
        <w:softHyphen/>
        <w:t>легчения, вес башни его с боекомплектом для 76,2 мм пушки и са</w:t>
      </w:r>
      <w:r w:rsidRPr="00722885">
        <w:rPr>
          <w:i w:val="0"/>
          <w:color w:val="000000" w:themeColor="text1"/>
          <w:sz w:val="16"/>
          <w:szCs w:val="16"/>
        </w:rPr>
        <w:softHyphen/>
        <w:t>мой пушкой. Для облегчения этого танка изменилась ли его общая длина и ширина, поверхность гусеницы, соприкасающейся с землей, мощность мотора, расположение мотора и водителя, прочность элементов подвески и корпуса. Может ли подвеска и корпус выдер</w:t>
      </w:r>
      <w:r w:rsidRPr="00722885">
        <w:rPr>
          <w:i w:val="0"/>
          <w:color w:val="000000" w:themeColor="text1"/>
          <w:sz w:val="16"/>
          <w:szCs w:val="16"/>
        </w:rPr>
        <w:softHyphen/>
        <w:t>жать нагрузку от выстрела, равной 100 тонн, действующей соглас</w:t>
      </w:r>
      <w:r w:rsidRPr="00722885">
        <w:rPr>
          <w:i w:val="0"/>
          <w:color w:val="000000" w:themeColor="text1"/>
          <w:sz w:val="16"/>
          <w:szCs w:val="16"/>
        </w:rPr>
        <w:softHyphen/>
        <w:t>но прилагаемой схеме, и как будет себя вести мотор и ходовая часть этого танка на походе, если к его общему весу (за вычетом башни, пушки и боекомплекта) добавится вес нашей новой установки, рав</w:t>
      </w:r>
      <w:r w:rsidRPr="00722885">
        <w:rPr>
          <w:i w:val="0"/>
          <w:color w:val="000000" w:themeColor="text1"/>
          <w:sz w:val="16"/>
          <w:szCs w:val="16"/>
        </w:rPr>
        <w:softHyphen/>
        <w:t>ный двадцати тоннам.</w:t>
      </w:r>
    </w:p>
    <w:p w14:paraId="24663658" w14:textId="77777777" w:rsidR="00A50962" w:rsidRPr="00722885" w:rsidRDefault="00A5096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Нами прорабатывается также возможность установки этой си</w:t>
      </w:r>
      <w:r w:rsidRPr="00722885">
        <w:rPr>
          <w:rFonts w:ascii="Times New Roman" w:hAnsi="Times New Roman"/>
          <w:color w:val="000000" w:themeColor="text1"/>
          <w:sz w:val="16"/>
          <w:szCs w:val="16"/>
        </w:rPr>
        <w:softHyphen/>
        <w:t>стемы на танк Т-34, поэтому одновременно просим сообщить, как будут вести себя все элементы ходовой части, корпус и мотор на походе и от выстрела, нагруженные согласно той же прилагаемой схеме, так как конструктора завода №112 не могли нам дать ис</w:t>
      </w:r>
      <w:r w:rsidRPr="00722885">
        <w:rPr>
          <w:rFonts w:ascii="Times New Roman" w:hAnsi="Times New Roman"/>
          <w:color w:val="000000" w:themeColor="text1"/>
          <w:sz w:val="16"/>
          <w:szCs w:val="16"/>
        </w:rPr>
        <w:softHyphen/>
        <w:t>черпывающих ответов на поставленные вопросы, мотивируя от</w:t>
      </w:r>
      <w:r w:rsidRPr="00722885">
        <w:rPr>
          <w:rFonts w:ascii="Times New Roman" w:hAnsi="Times New Roman"/>
          <w:color w:val="000000" w:themeColor="text1"/>
          <w:sz w:val="16"/>
          <w:szCs w:val="16"/>
        </w:rPr>
        <w:softHyphen/>
        <w:t>сутствием в их распоряжении расчета на прочность танка Т-34.</w:t>
      </w:r>
    </w:p>
    <w:p w14:paraId="003FA411"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rStyle w:val="Bodytext14NotItalic1"/>
          <w:i w:val="0"/>
          <w:iCs w:val="0"/>
          <w:color w:val="000000" w:themeColor="text1"/>
          <w:sz w:val="16"/>
          <w:szCs w:val="16"/>
        </w:rPr>
        <w:t>5.</w:t>
      </w:r>
      <w:r w:rsidRPr="00722885">
        <w:rPr>
          <w:i w:val="0"/>
          <w:color w:val="000000" w:themeColor="text1"/>
          <w:sz w:val="16"/>
          <w:szCs w:val="16"/>
        </w:rPr>
        <w:t xml:space="preserve"> С точки зрения установки нашей системы, нас больше всего ин</w:t>
      </w:r>
      <w:r w:rsidRPr="00722885">
        <w:rPr>
          <w:i w:val="0"/>
          <w:color w:val="000000" w:themeColor="text1"/>
          <w:sz w:val="16"/>
          <w:szCs w:val="16"/>
        </w:rPr>
        <w:softHyphen/>
        <w:t xml:space="preserve">тересует танк </w:t>
      </w:r>
      <w:r w:rsidRPr="00722885">
        <w:rPr>
          <w:i w:val="0"/>
          <w:color w:val="000000" w:themeColor="text1"/>
          <w:sz w:val="16"/>
          <w:szCs w:val="16"/>
          <w:lang w:val="en-US"/>
        </w:rPr>
        <w:t>KB</w:t>
      </w:r>
      <w:r w:rsidRPr="00722885">
        <w:rPr>
          <w:i w:val="0"/>
          <w:color w:val="000000" w:themeColor="text1"/>
          <w:sz w:val="16"/>
          <w:szCs w:val="16"/>
        </w:rPr>
        <w:t>-1С. По нашим сведениям, его общий вес равен 37 тонн. Если башня, пушка и боекомплект к ней весят 7 тонн, то общий вес самоходной установкой будет равен 50 тонн, то есть столько, сколько весит танк КВ-1 изготовления 1941 года (до вой</w:t>
      </w:r>
      <w:r w:rsidRPr="00722885">
        <w:rPr>
          <w:i w:val="0"/>
          <w:color w:val="000000" w:themeColor="text1"/>
          <w:sz w:val="16"/>
          <w:szCs w:val="16"/>
        </w:rPr>
        <w:softHyphen/>
        <w:t>ны с Германией). А это значит, что если мотор, гусеница и проч</w:t>
      </w:r>
      <w:r w:rsidRPr="00722885">
        <w:rPr>
          <w:i w:val="0"/>
          <w:color w:val="000000" w:themeColor="text1"/>
          <w:sz w:val="16"/>
          <w:szCs w:val="16"/>
        </w:rPr>
        <w:softHyphen/>
        <w:t xml:space="preserve">ность подвески в танке </w:t>
      </w:r>
      <w:r w:rsidRPr="00722885">
        <w:rPr>
          <w:i w:val="0"/>
          <w:color w:val="000000" w:themeColor="text1"/>
          <w:sz w:val="16"/>
          <w:szCs w:val="16"/>
          <w:lang w:val="en-US"/>
        </w:rPr>
        <w:t>KB</w:t>
      </w:r>
      <w:r w:rsidRPr="00722885">
        <w:rPr>
          <w:i w:val="0"/>
          <w:color w:val="000000" w:themeColor="text1"/>
          <w:sz w:val="16"/>
          <w:szCs w:val="16"/>
        </w:rPr>
        <w:t>-1С остались прежними по сравнению с танком КВ-1 изготовления 1941 года, то новый самоход будет ве</w:t>
      </w:r>
      <w:r w:rsidRPr="00722885">
        <w:rPr>
          <w:i w:val="0"/>
          <w:color w:val="000000" w:themeColor="text1"/>
          <w:sz w:val="16"/>
          <w:szCs w:val="16"/>
        </w:rPr>
        <w:softHyphen/>
        <w:t xml:space="preserve">сти на походе вполне удовлетворительно. В случае справедливости приведенных предположений относительно нового танка </w:t>
      </w:r>
      <w:r w:rsidRPr="00722885">
        <w:rPr>
          <w:i w:val="0"/>
          <w:color w:val="000000" w:themeColor="text1"/>
          <w:sz w:val="16"/>
          <w:szCs w:val="16"/>
          <w:lang w:val="en-US"/>
        </w:rPr>
        <w:t>KB</w:t>
      </w:r>
      <w:r w:rsidRPr="00722885">
        <w:rPr>
          <w:i w:val="0"/>
          <w:color w:val="000000" w:themeColor="text1"/>
          <w:sz w:val="16"/>
          <w:szCs w:val="16"/>
        </w:rPr>
        <w:t xml:space="preserve">-1С просим дать распоряжение об отправке в адрес завода №92 одного комплекта чертежей корпуса и подвески танка </w:t>
      </w:r>
      <w:r w:rsidRPr="00722885">
        <w:rPr>
          <w:i w:val="0"/>
          <w:color w:val="000000" w:themeColor="text1"/>
          <w:sz w:val="16"/>
          <w:szCs w:val="16"/>
          <w:lang w:val="en-US"/>
        </w:rPr>
        <w:t>KB</w:t>
      </w:r>
      <w:r w:rsidRPr="00722885">
        <w:rPr>
          <w:i w:val="0"/>
          <w:color w:val="000000" w:themeColor="text1"/>
          <w:sz w:val="16"/>
          <w:szCs w:val="16"/>
        </w:rPr>
        <w:t>- 1С и сообщить заводу №92 соображения относительно возможности и способа по</w:t>
      </w:r>
      <w:r w:rsidRPr="00722885">
        <w:rPr>
          <w:i w:val="0"/>
          <w:color w:val="000000" w:themeColor="text1"/>
          <w:sz w:val="16"/>
          <w:szCs w:val="16"/>
        </w:rPr>
        <w:softHyphen/>
        <w:t>лучить этот танк для установки опытного образца системы.</w:t>
      </w:r>
    </w:p>
    <w:p w14:paraId="2485C857"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На основе проведенного Вами анализа вообще просим посоветовать, на каком танке нам нужно остановиться, и дать распоряжение об отправке чертежей корпуса этого танка на завод №92; чертежи Т-34 мы имеем»'.</w:t>
      </w:r>
    </w:p>
    <w:p w14:paraId="3B6372DF" w14:textId="77777777" w:rsidR="00A50962" w:rsidRPr="00722885" w:rsidRDefault="00A50962" w:rsidP="00722885">
      <w:pPr>
        <w:pStyle w:val="a3"/>
        <w:rPr>
          <w:color w:val="000000" w:themeColor="text1"/>
          <w:lang w:val="ru-RU"/>
        </w:rPr>
      </w:pPr>
      <w:r w:rsidRPr="00722885">
        <w:rPr>
          <w:color w:val="000000" w:themeColor="text1"/>
          <w:lang w:val="ru-RU"/>
        </w:rPr>
        <w:t xml:space="preserve">К сожалению, до настоящего момента неизвестно, что за 400-мм мортиру планировали ставить на шасси </w:t>
      </w:r>
      <w:r w:rsidRPr="00722885">
        <w:rPr>
          <w:color w:val="000000" w:themeColor="text1"/>
        </w:rPr>
        <w:t>KB</w:t>
      </w:r>
      <w:r w:rsidRPr="00722885">
        <w:rPr>
          <w:color w:val="000000" w:themeColor="text1"/>
          <w:lang w:val="ru-RU"/>
        </w:rPr>
        <w:t>-1С и Т-34. О разработке таких систем заводом №92 ничего неизвестно. Что же касается письма Еляна, то ответ на него пришел 14 декабря:</w:t>
      </w:r>
    </w:p>
    <w:p w14:paraId="713A9EE3"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 xml:space="preserve">«Опыт эксплуатации танков </w:t>
      </w:r>
      <w:r w:rsidRPr="00722885">
        <w:rPr>
          <w:i w:val="0"/>
          <w:color w:val="000000" w:themeColor="text1"/>
          <w:sz w:val="16"/>
          <w:szCs w:val="16"/>
          <w:lang w:val="en-US"/>
        </w:rPr>
        <w:t>KB</w:t>
      </w:r>
      <w:r w:rsidRPr="00722885">
        <w:rPr>
          <w:i w:val="0"/>
          <w:color w:val="000000" w:themeColor="text1"/>
          <w:sz w:val="16"/>
          <w:szCs w:val="16"/>
        </w:rPr>
        <w:t xml:space="preserve"> показал, что при весе танка в 50тонн ходовая часть и мотор работают с большой перегрузкой и часто выхо</w:t>
      </w:r>
      <w:r w:rsidRPr="00722885">
        <w:rPr>
          <w:i w:val="0"/>
          <w:color w:val="000000" w:themeColor="text1"/>
          <w:sz w:val="16"/>
          <w:szCs w:val="16"/>
        </w:rPr>
        <w:softHyphen/>
        <w:t xml:space="preserve">дят из строя. Это обстоятельство заставило создать более легкий танк </w:t>
      </w:r>
      <w:r w:rsidRPr="00722885">
        <w:rPr>
          <w:i w:val="0"/>
          <w:color w:val="000000" w:themeColor="text1"/>
          <w:sz w:val="16"/>
          <w:szCs w:val="16"/>
          <w:lang w:val="en-US"/>
        </w:rPr>
        <w:t>KB</w:t>
      </w:r>
      <w:r w:rsidRPr="00722885">
        <w:rPr>
          <w:i w:val="0"/>
          <w:color w:val="000000" w:themeColor="text1"/>
          <w:sz w:val="16"/>
          <w:szCs w:val="16"/>
        </w:rPr>
        <w:t>-1с весом 42,5 тонн.</w:t>
      </w:r>
    </w:p>
    <w:p w14:paraId="70EE6E69"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 xml:space="preserve">Мощность мотора, его расположение и прочность элементов подвески и корпуса танка </w:t>
      </w:r>
      <w:r w:rsidRPr="00722885">
        <w:rPr>
          <w:i w:val="0"/>
          <w:color w:val="000000" w:themeColor="text1"/>
          <w:sz w:val="16"/>
          <w:szCs w:val="16"/>
          <w:lang w:val="en-US"/>
        </w:rPr>
        <w:t>KB</w:t>
      </w:r>
      <w:r w:rsidRPr="00722885">
        <w:rPr>
          <w:i w:val="0"/>
          <w:color w:val="000000" w:themeColor="text1"/>
          <w:sz w:val="16"/>
          <w:szCs w:val="16"/>
        </w:rPr>
        <w:t>-1с, по сравнению с танком КВ-1, изменилась незна</w:t>
      </w:r>
      <w:r w:rsidRPr="00722885">
        <w:rPr>
          <w:i w:val="0"/>
          <w:color w:val="000000" w:themeColor="text1"/>
          <w:sz w:val="16"/>
          <w:szCs w:val="16"/>
        </w:rPr>
        <w:softHyphen/>
        <w:t>чительно.</w:t>
      </w:r>
    </w:p>
    <w:p w14:paraId="060EAD68"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Выдержит ли подвеска танка нагрузку от выстрела, равную 100 тонн, сообщить мы не можем ввиду отсутствия опыта по использованию уста</w:t>
      </w:r>
      <w:r w:rsidRPr="00722885">
        <w:rPr>
          <w:i w:val="0"/>
          <w:color w:val="000000" w:themeColor="text1"/>
          <w:sz w:val="16"/>
          <w:szCs w:val="16"/>
        </w:rPr>
        <w:softHyphen/>
        <w:t>новок с подобными нагрузками.</w:t>
      </w:r>
    </w:p>
    <w:p w14:paraId="7C1F1A9C" w14:textId="77777777" w:rsidR="00A50962" w:rsidRPr="00722885" w:rsidRDefault="00A50962"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Отсутствие характеристики конструкции устанавливаемой морти</w:t>
      </w:r>
      <w:r w:rsidRPr="00722885">
        <w:rPr>
          <w:i w:val="0"/>
          <w:color w:val="000000" w:themeColor="text1"/>
          <w:sz w:val="16"/>
          <w:szCs w:val="16"/>
        </w:rPr>
        <w:softHyphen/>
        <w:t>ры не даст возможности сделать вывод о целесообразности установки ее в танк» (17484).</w:t>
      </w:r>
    </w:p>
    <w:p w14:paraId="504CDCD7" w14:textId="77777777" w:rsidR="00A50962" w:rsidRPr="00722885" w:rsidRDefault="00A50962" w:rsidP="00722885">
      <w:pPr>
        <w:spacing w:after="0" w:line="240" w:lineRule="auto"/>
        <w:jc w:val="both"/>
        <w:rPr>
          <w:rFonts w:ascii="Times New Roman" w:hAnsi="Times New Roman"/>
          <w:color w:val="000000" w:themeColor="text1"/>
          <w:sz w:val="16"/>
          <w:szCs w:val="16"/>
        </w:rPr>
      </w:pPr>
    </w:p>
    <w:p w14:paraId="2FC0FBD9" w14:textId="77777777" w:rsidR="00DA5455" w:rsidRPr="00722885" w:rsidRDefault="00DA545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26 ноября 1942 вслед за эскизным проектом пришло еще одно письмо с завода №92. Директор завода А.С. Елян просил срочно прислать Т-70 с целью постройки к 15 декабря опытного образца ИС-10. Ответ Технического совета НКВ оказался коротким. Поскольку 2 декабря 1942 года вышло постановление ГКО №2559 «Об организации производства самоходных артиллерийских установок на Уралмашзаводе и заводе №38», необходимости в постройке еще одной САУ уже не было. С учетом того, что никаких преимуществ ИС-10 не имела, проект был отклонен (17683).</w:t>
      </w:r>
    </w:p>
    <w:p w14:paraId="198A8236" w14:textId="77777777" w:rsidR="00DA5455" w:rsidRPr="00722885" w:rsidRDefault="00DA5455" w:rsidP="00722885">
      <w:pPr>
        <w:spacing w:after="0" w:line="240" w:lineRule="auto"/>
        <w:jc w:val="both"/>
        <w:rPr>
          <w:rFonts w:ascii="Times New Roman" w:eastAsia="Times New Roman" w:hAnsi="Times New Roman"/>
          <w:color w:val="000000" w:themeColor="text1"/>
          <w:sz w:val="16"/>
          <w:szCs w:val="16"/>
          <w:lang w:eastAsia="ru-RU"/>
        </w:rPr>
      </w:pPr>
    </w:p>
    <w:p w14:paraId="71B204F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5747BA6" w14:textId="77777777" w:rsidR="00090C9B" w:rsidRPr="00722885" w:rsidRDefault="00090C9B" w:rsidP="00722885">
      <w:pPr>
        <w:pStyle w:val="Iauiue"/>
        <w:jc w:val="both"/>
        <w:rPr>
          <w:iCs/>
          <w:color w:val="000000" w:themeColor="text1"/>
          <w:sz w:val="16"/>
          <w:szCs w:val="16"/>
        </w:rPr>
      </w:pPr>
    </w:p>
    <w:p w14:paraId="70B870EF"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26 ноября </w:t>
      </w:r>
      <w:r w:rsidRPr="00722885">
        <w:rPr>
          <w:rFonts w:ascii="Times New Roman" w:hAnsi="Times New Roman"/>
          <w:color w:val="000000" w:themeColor="text1"/>
          <w:sz w:val="16"/>
          <w:szCs w:val="16"/>
        </w:rPr>
        <w:t>в 1942 году утреннее сообщение Совинформбюро:</w:t>
      </w:r>
    </w:p>
    <w:p w14:paraId="6ED174A9"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26 ноября наши войска в районе города Сталинграда, преодолевая сопротивление противника, продолжали наступление на прежних направлениях.</w:t>
      </w:r>
    </w:p>
    <w:p w14:paraId="747570B3"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северной части города Сталинграда бойцы Н-ской части выбили немцев с одной высоты, имеющей важное тактическое значение. Уничтожено до 300 немецких солдат и офицеров, 2 танка, артиллерийская батарея и 8 пулемётов. На другом участке наши подразделения в результате ночного боя продвинулись вперёд и захватили ряд немецких укреплений.</w:t>
      </w:r>
    </w:p>
    <w:p w14:paraId="5871863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продвигались вперёд. На одном участке советские части захватили 157 подбитых немецких танков, которые были вкопаны в землю и использовались противником как огневые точки. На этом же участке захвачены 10 орудий, несколько тысяч снарядов и другие трофеи. Бойцы Н-ской части, сломив сопротивление гитлеровцев, заняли населённый пункт и захватили 29 орудий, 3 танка, склад боеприпасов, 2 вещевых склада и 37 автомашин. На поле боя осталось до 600 вражеских трупов.</w:t>
      </w:r>
    </w:p>
    <w:p w14:paraId="16373B03"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вели наступательные бои и заняли несколько населённых пунктов. В результате этих боёв было уничтожено до полка немецкой пехоты. Нашими артиллеристами подавлен огонь 16 артиллерийских и 9 миномётных батарей противника и разрушен 31 дзот. На другом участке наши подразделения, продвигаясь вперёд, уничтожили 200 гитлеровцев и захватили 12 пулемётов и миномётную батарею противника.</w:t>
      </w:r>
    </w:p>
    <w:p w14:paraId="5FDF90B2"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происходили бои местного значения. Артиллеристы Н-ской части разрушили несколько вражеских дзотов и блиндажей и уничтожили более 100 гитлеровцев.</w:t>
      </w:r>
    </w:p>
    <w:p w14:paraId="1EBED5C2"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бойцы Н-ской части во время ночной атаки уничтожилидо роты немецкой пехоты. Отряд наших разведчиков, действуя в тылу врага, истребил 80 гитлеровцев.</w:t>
      </w:r>
    </w:p>
    <w:p w14:paraId="1A1B25D5"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наши части заняли опорный пункт противника. Захвачены 10 орудий, 16 миномётов, 58 автоматов, 170 винтовок, 3 танка, 150 тысяч патронов, около 5 тысяч снарядов, 10 тысяч ручных гранат и мин, 7 радиостанций, 20 километров телефонного кабеля и другие трофеи.</w:t>
      </w:r>
    </w:p>
    <w:p w14:paraId="1E871241"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Отрядом партизан, действующим в Харьковской области, произведено нападение на гарнизон противника. Взорвано помещение, в котором находилось до 200 немецких солдат и офицеров. Кроме того, на улицах населённого пункта убито ещё 11 гитлеровцев. Этим же отрядом пущен под откос воинский эшелон противника. В результате крушения разбито 15 танков, 7 автомашин и 27 вагонов с другими грузами. Партизаны другого отряда, действующего на Украине, уничтожили 76 гитлеровцев и ружейно-пулемётным огнём сбили самолёт противника.</w:t>
      </w:r>
    </w:p>
    <w:p w14:paraId="3ED41218"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истребили почти всё население деревни Островляны, Витебской области. Гитлеровские палача расстреляли 80 жителей этой деревни. После такой чудовищной расправы немецкие власти издали приказ, в котором объявили, что «деревня Островляны наказана за саботаж немецких мероприятий». В деревне Храповичи гитлеровские бандиты долго пытали 65-летнего крестьянинаВасилия Давыдова. Они хотели выведать у него, где находятся партизаны и кто им помогает. Старик перенёс все издевательства и пытки и не произнёс ни одного слова. Тогда немецкий офицер приказал расстрелять Давыдова. Перед расстрелом советский патриот воскликнул: «Всех не перестреляете. Смерть немецким оккупантам!» (14841).</w:t>
      </w:r>
    </w:p>
    <w:p w14:paraId="68C6EB52"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323EA95E"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26 ноября </w:t>
      </w:r>
      <w:r w:rsidRPr="00722885">
        <w:rPr>
          <w:rFonts w:ascii="Times New Roman" w:hAnsi="Times New Roman"/>
          <w:color w:val="000000" w:themeColor="text1"/>
          <w:sz w:val="16"/>
          <w:szCs w:val="16"/>
        </w:rPr>
        <w:t>в 1942 году вечернее сообщение Совинформбюро:</w:t>
      </w:r>
    </w:p>
    <w:p w14:paraId="28F4494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26 ноября наши войска в районе города Сталинграда, преодолевая сопротивление противника, продолжали наступление на прежних направлениях.</w:t>
      </w:r>
    </w:p>
    <w:p w14:paraId="3EACD3C2"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заняли населённые пункты Красное село, Генералов, Калачкин, Перепольный, Верхний и Нижний Герасимов, Верхний Акатов, Ягодный, Скляров, Ляпичев, Нижне-Кумский, Громославка, Генераловский, Дарганов.</w:t>
      </w:r>
    </w:p>
    <w:p w14:paraId="07448994"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ноября частями нашей авиации на различных участках фронта уничтожено 20 немецких танков, более 100 автомашин, разбит железнодорожный состав, подавлен огонь 3 артиллерийских батарей, взорвано 4 склада боеприпасов, рассеяно и частью уничтожено до двух батальонов пехоты противника.</w:t>
      </w:r>
    </w:p>
    <w:p w14:paraId="6B5EACE8"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северной части города Сталинграда наши части ворвались в один рабочий посёлок и ведут упорные бои с противником. На другом участке соединение под командованием тов. Родимцева, ломая сопротивление врага, заняло несколько улиц и уничтожило свыше 500 немецких солдат и офицеров. Сожжено 5 немецких танков. На южной окраине города продолжались ожесточённые бои с противником.</w:t>
      </w:r>
    </w:p>
    <w:p w14:paraId="2A1C3EB0"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продолжали наступление. Стремясь вывести свои части из-под удара, немцы оказывают отчаянное сопротивление на укреплённых рубежах. Советские ударные группы и артиллерия, уничтожая опорны епункты гитлеровцев, расчищают путь нашим танкам и пехоте.</w:t>
      </w:r>
    </w:p>
    <w:p w14:paraId="189DA9E6"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Бойцы Н-ской части, преследуя отходящие части противника, захватили 10 орудий, 200 автомашин, 4 танкетки, 2.000 мин и другие трофеи. Уничтожено до 2.000 и взято в плен 750 солдат и офицеров противника. На другом участке наши бойцы захватили до 100 орудий разных калибров, 39 миномётов, 180 автомашин и 3 склада с боеприпасами и различным военным имуществом. Н-ская мотоциклетная часть, действуя по тылам противника, истребила немецкие гарнизоны в ряде населённых пунктов. В течение дня бойцы этой части уничтожили более 800 гитлеровцев, захватили 75 автомашин, 418 пулемётов, 150 автоматов, 700 винтовок, 5 складов и взяли в плен 1.200 солдат и офицеров противника.</w:t>
      </w:r>
    </w:p>
    <w:p w14:paraId="738BACB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Юго-западнее Сталинграда наши войска, преодолевая сопротивление противника, продвигались вперёд и заняли несколько населённых пунктов. На одном участке разгромлен вражеский пехотный полк. Захвачены 8 орудий, 34 пулемёта, 9 миномётов, 80 повозок с боеприпасами и другие трофеи. На другом участке наша </w:t>
      </w:r>
      <w:r w:rsidRPr="00722885">
        <w:rPr>
          <w:rFonts w:ascii="Times New Roman" w:hAnsi="Times New Roman"/>
          <w:color w:val="000000" w:themeColor="text1"/>
          <w:sz w:val="16"/>
          <w:szCs w:val="16"/>
        </w:rPr>
        <w:lastRenderedPageBreak/>
        <w:t>кавалерийская часть истребила 700 гитлеровцев и взяла много пленных. Захвачены трофеи: 8 танков, 11 орудий, 29 пулемётов, 2 склада боеприпасов, 3 радиостанциии другое военное имущество.</w:t>
      </w:r>
    </w:p>
    <w:p w14:paraId="506E430C"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вели бои местного значения. Н-ская часть отбила две атаки противника и уничтожила до роты гитлеровцев. Нашими артиллеристами подбито и сожжено 4 танка, подавлен огонь 2 артиллерийских и 4 миномётных батарей противника.</w:t>
      </w:r>
    </w:p>
    <w:p w14:paraId="310EF75B"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происходила артиллерийская перестрелка и поиски разведчиков. На участке подразделения капитана Третьякова уничтожена группа вражеских автоматчиков, пытавшихся вклиниться в нашу оборону. Артиллеристы подразделения под командованием тов. Бондаровского уничтожили 10 автомашин с боеприпасами, 2 пулемётные точки и до двух взводов гитлеровцев.</w:t>
      </w:r>
    </w:p>
    <w:p w14:paraId="2634294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смоленских партизан в начале ноября месяца уничтожил 3 автомашины, радиостанцию и истребил 53 немецко-фашистских оккупанта. Другой партизанский отряд за месяц пустил под откос 8 железнодорожных эшелонов, взорвал 2 моста и разгромил карательный отряд противника.</w:t>
      </w:r>
    </w:p>
    <w:p w14:paraId="3A20BD72"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ожесточённых боёв югославские партизаны заняли местечко Ситница и ряд других населённых пунктов. В боях у Ситницы захвачено в плен 700 солдат иофицеров противника. Группа объединённых партизанских отрядов быстро продвигается к одному городу, уничтожая мелкие отряды немецко-итальянских оккупантов.»</w:t>
      </w:r>
    </w:p>
    <w:p w14:paraId="151095C9"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Лживые сообщения немецкого командования о боях в районе Сталинграда.</w:t>
      </w:r>
    </w:p>
    <w:p w14:paraId="384EEB8E"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«Немецкое командование первые дни скрывало от своих солдат и населенияГермании факт прорыва советскими войсками немецкой линии обороны и огромные потери немецких войск в районе Сталинграда. Когда же скрывать этот факт стало невозможно, гитлеровские заправилы осторожно, в четверть голоса, признали прорыв своей линии обороны, но до сего дня скрывают свои потери. Зато гитлеровское командование усиленно принялось рассказывать арабские сказки о советских потерях и распространять всякого рода небылицы.</w:t>
      </w:r>
    </w:p>
    <w:p w14:paraId="46AF6E84"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Например, в одном из сообщений немцы заявили, что они в два дня разбили 10 советских танковых бригад и стрелковых дивизий. При этом немцы назвали следующие номера якобы уничтоженных советских дивизий и бригад: 463, 333, 321, 302 стрелковые дивизии, 121 танковую дивизию, 155, 163 и 235 танковые бригады, 5 и 6 кавалерийские дивизии. Это заявление немецкого командования является брехнёй, ибо одних дивизий, названных в немецком сообщении (например, 463 стрелковой, 121 танковой и некоторых других), нет и не было вообще в составе Красной Армии, других дивизий и бригад нет и не было в составе наступающей группы наших войск в районе города Сталинграда. Те же дивизии и бригады, которые есть в составе наступающих войск, вовсе не разбиты, а продолжают успешно наступать. Это один жульнический трюк немецкого командования.</w:t>
      </w:r>
    </w:p>
    <w:p w14:paraId="532FA62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Другой трюк гитлеровских шулеров заключается в том, что они вдруг в десятках радиопередач заговорили о «новом чрезвычайно эффективном вооружении немецкой армии».</w:t>
      </w:r>
    </w:p>
    <w:p w14:paraId="6606FF96"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же это за новое вооружение?</w:t>
      </w:r>
    </w:p>
    <w:p w14:paraId="35880545"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 якобы новый танк-огнемёт, перебрасывающий пламя через пятиэтажные дома, и электрический пулемёт, выпускающий 3.000 пуль в минуту. На самом деле никакого нового танка-огнемёта у немцев нет, а есть танки-огнемёты, которые они применяли еще в первые дни войны. Нет у немцев также и электрического пулемёта, выпускающего 3.000 пуль в минуту.Для чего же рассказываются все эти чудеса в решете? Разумеется, гитлеровцы это делают с той целью, чтобы путём беспардонной лжи удержать немецкие войска, попавшие в тяжелейшее положение, от окончательного разложения и каким угодно способом заставить их сражаться. Эта ложь нужна гитлеровцам также и для того, чтобы как-нибудь успокоить немцев в тылу.</w:t>
      </w:r>
    </w:p>
    <w:p w14:paraId="3E3EF17F"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на арабских сказках далеко не уедешь! Правду не скроешь, она — правда —своё возьмёт!»</w:t>
      </w:r>
    </w:p>
    <w:p w14:paraId="0FC36F47"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5790BDF9"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под Сталинградом продолжается.</w:t>
      </w:r>
    </w:p>
    <w:p w14:paraId="66D4E8B9"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26 ноября наши войска в районе города Сталинграда, преодолевая сопротивление противника, продолжали наступление на прежних направлениях. На северо-западном участке фронта наши войска заняли населённые пункты Красное Село и Генералов. В районе излучины реки Дон наши войска заняли населённые пункты Калачкин, Перепольный, Верхний и Нижний Герасимов, Верхний Акатов, отбросив наэтом участке остатки частей противника на восточный берег реки Дон. К юго-западуот Сталинграда наши войска заняли населённые пункты Ягодный, Скляров, Ляпичев, Нижне-Кумский, Громославка, Генераловский, Дарганов.</w:t>
      </w:r>
    </w:p>
    <w:p w14:paraId="10F0F74C"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успешно отражены контратаки двух пехотных дивизий противника, пытавшихся пробиться на юго-запад. Противник понёс большие потери.</w:t>
      </w:r>
    </w:p>
    <w:p w14:paraId="074BDC47"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26 ноября количество пленных увеличилось на 12.000 человек. Всего за время боёв с 19 по 26 ноября наши войска захватили в плен 63.000 солдат и офицеров противника.</w:t>
      </w:r>
    </w:p>
    <w:p w14:paraId="044E5614"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боёв с 19 по 26 ноября нашими войсками захвачено орудий всех калибров — 1.863, пулемётов — 3.851, винтовок — около 50.000, танков исправных и неисправных — 1.320, лошадей — около 9.000. Захвачено также 108 складов с военным имуществом, боеприпасами и продовольствием.» (14841).</w:t>
      </w:r>
    </w:p>
    <w:p w14:paraId="4C48FF47"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2776219C"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26 ноября </w:t>
      </w:r>
      <w:r w:rsidRPr="00722885">
        <w:rPr>
          <w:rFonts w:ascii="Times New Roman" w:hAnsi="Times New Roman"/>
          <w:color w:val="000000" w:themeColor="text1"/>
          <w:sz w:val="16"/>
          <w:szCs w:val="16"/>
        </w:rPr>
        <w:t>в 1942 году контратака советских войск в Сталинграде, положившая конец блокаде и заставившая отступать Шестую Армию генерала фон Паулюса (14841).</w:t>
      </w:r>
    </w:p>
    <w:p w14:paraId="79F416D7"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241D26A6"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26 ноября </w:t>
      </w:r>
      <w:r w:rsidRPr="00722885">
        <w:rPr>
          <w:rFonts w:ascii="Times New Roman" w:hAnsi="Times New Roman"/>
          <w:color w:val="000000" w:themeColor="text1"/>
          <w:sz w:val="16"/>
          <w:szCs w:val="16"/>
        </w:rPr>
        <w:t>в 1942 году в районе Иваново началось формирование французской авиационной эскадрильи "Нормандия". В апреле следующего года она вступит в бой на советско-германском фронте, превратится в полк и получит название "Нормандия - Неман" (14841).</w:t>
      </w:r>
    </w:p>
    <w:p w14:paraId="0D60818E"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4A56D07E" w14:textId="77777777" w:rsidR="00C77C92" w:rsidRPr="00722885" w:rsidRDefault="00C77C92"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26 ноября 1942 года 1-й батальон 1-го танкового полка столкнулся с немецкими танками из 190-го танкового батальона, входившего в 90-ю лёгкую моторизованную дивизию. Лёгкие танки при поддержке M3 GMC атаковали колонну Pz.Kpfw.III Ausf.J и Pz.Kpfw.IV Ausf.G, двигавшуюся по дороге из Матеера в Тербурбу. Это был первый бой между американскими и немецкими танкистами. Попытка атаковать противника в лоб особого успеха не имела. Снаряды попросту отскакивали от лобовой плиты Pz.Kpfw.IV Ausf.G, которая была для пушки M6 слишком толстой. Ответным огнём оказалось подбито шесть Light Tank M3A1.</w:t>
      </w:r>
    </w:p>
    <w:p w14:paraId="7F895C8B" w14:textId="77777777" w:rsidR="00C77C92" w:rsidRPr="00722885" w:rsidRDefault="00C77C92"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Тогда американские танкисты сменили тактику и атаковали врага с фланга. Это принесло результаты: немцы потеряли шесть Pz.Kpfw.IV и один Pz.Kpfw.III. Надо отдать должное танкистам из второй роты, которые в непростой ситуации смогли быстро оценить ситуацию и провести удачную атаку во фланг</w:t>
      </w:r>
      <w:r w:rsidRPr="00722885">
        <w:rPr>
          <w:rFonts w:ascii="Times New Roman" w:hAnsi="Times New Roman"/>
          <w:color w:val="000000" w:themeColor="text1"/>
          <w:sz w:val="16"/>
          <w:szCs w:val="16"/>
        </w:rPr>
        <w:t xml:space="preserve"> (17464)</w:t>
      </w:r>
      <w:r w:rsidRPr="00722885">
        <w:rPr>
          <w:rFonts w:ascii="Times New Roman" w:eastAsia="Times New Roman" w:hAnsi="Times New Roman"/>
          <w:color w:val="000000" w:themeColor="text1"/>
          <w:sz w:val="16"/>
          <w:szCs w:val="16"/>
        </w:rPr>
        <w:t>.</w:t>
      </w:r>
    </w:p>
    <w:p w14:paraId="53B03A7A" w14:textId="77777777" w:rsidR="00C77C92" w:rsidRPr="00722885" w:rsidRDefault="00C77C92" w:rsidP="00722885">
      <w:pPr>
        <w:shd w:val="clear" w:color="auto" w:fill="FFFFFF"/>
        <w:spacing w:after="0" w:line="240" w:lineRule="auto"/>
        <w:jc w:val="both"/>
        <w:rPr>
          <w:rFonts w:ascii="Times New Roman" w:eastAsia="Times New Roman" w:hAnsi="Times New Roman"/>
          <w:color w:val="000000" w:themeColor="text1"/>
          <w:sz w:val="16"/>
          <w:szCs w:val="16"/>
        </w:rPr>
      </w:pPr>
    </w:p>
    <w:p w14:paraId="2AC04F6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ноября 1942 началось формирование французской эскадрильи в районе Иваново (3398,139).</w:t>
      </w:r>
    </w:p>
    <w:p w14:paraId="2EB42B7E" w14:textId="77777777" w:rsidR="00090C9B" w:rsidRPr="00722885" w:rsidRDefault="00090C9B" w:rsidP="00722885">
      <w:pPr>
        <w:pStyle w:val="Iauiue"/>
        <w:jc w:val="both"/>
        <w:rPr>
          <w:color w:val="000000" w:themeColor="text1"/>
          <w:sz w:val="16"/>
          <w:szCs w:val="16"/>
        </w:rPr>
      </w:pPr>
    </w:p>
    <w:p w14:paraId="50F5564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ноября 1942 вышло Постановление ГКО № 2540 Вопросы Центрального штаба партизанского движения. РГАНИР, Фонд ГКО, д. 70, лл. 70 (11012).</w:t>
      </w:r>
    </w:p>
    <w:p w14:paraId="6EFB523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A8D9D7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ноября 1942 вышло Постановление ГКО № 2541 Вопросы партизанского движения. РГАНИР, Фонд ГКО, д. 70, лл. 71, 72-143 (11012).</w:t>
      </w:r>
    </w:p>
    <w:p w14:paraId="65DF7CF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CA885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9DD65AB" w14:textId="77777777" w:rsidR="00090C9B" w:rsidRPr="00722885" w:rsidRDefault="00090C9B" w:rsidP="00722885">
      <w:pPr>
        <w:pStyle w:val="Iauiue"/>
        <w:jc w:val="both"/>
        <w:rPr>
          <w:iCs/>
          <w:color w:val="000000" w:themeColor="text1"/>
          <w:sz w:val="16"/>
          <w:szCs w:val="16"/>
        </w:rPr>
      </w:pPr>
    </w:p>
    <w:p w14:paraId="3D9238D3"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26 ноября </w:t>
      </w:r>
      <w:r w:rsidRPr="00722885">
        <w:rPr>
          <w:rFonts w:ascii="Times New Roman" w:hAnsi="Times New Roman"/>
          <w:color w:val="000000" w:themeColor="text1"/>
          <w:sz w:val="16"/>
          <w:szCs w:val="16"/>
        </w:rPr>
        <w:t>в 1942 году солдатам вермахта разрешено жениться на фламандках (14841).</w:t>
      </w:r>
    </w:p>
    <w:p w14:paraId="2D9AB91D"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23BC6BCC"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26 ноября </w:t>
      </w:r>
      <w:r w:rsidRPr="00722885">
        <w:rPr>
          <w:rFonts w:ascii="Times New Roman" w:hAnsi="Times New Roman"/>
          <w:color w:val="000000" w:themeColor="text1"/>
          <w:sz w:val="16"/>
          <w:szCs w:val="16"/>
        </w:rPr>
        <w:t>в 1942 году директива рейхсминистра восточных территорий А.Розенберга о запрещении польских газет и журналов, а также польского среднего и высшего образования в рейхскомиссариатах Остланд и Украина (14841).</w:t>
      </w:r>
    </w:p>
    <w:p w14:paraId="0E8037EC"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67EDFECC"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26 ноября </w:t>
      </w:r>
      <w:r w:rsidRPr="00722885">
        <w:rPr>
          <w:rFonts w:ascii="Times New Roman" w:hAnsi="Times New Roman"/>
          <w:color w:val="000000" w:themeColor="text1"/>
          <w:sz w:val="16"/>
          <w:szCs w:val="16"/>
        </w:rPr>
        <w:t>в 1942 году в Нью-Йорке в День благодарения, спустя две недели после того как американцы отбили у французских коллаборационистских властей порт Касабланку, столицу Марокко, и на второй день после окончания здесь встречи Франклина Делано Рузвельта, Уинстона Черчилля и Шарля де Голля, состоялся предпремьерный показ фильма «Касабланка» Майкла Кёртиса с Хэмфри Богартом и Ингрид Бергман в главных ролях. Картину предполагалось выпустить на большой экран в начале 1943 года, но реальные события развернулись так быстро, что создателям пришлось поторопиться, пока слово «Касабланка» еще не успело пропасть с первых полос газет. Картина была номинирована на восемь «Оскаров» и три из них получила («Лучший фильм», «Лучшая режиссура», «Лучший сценарий»). Она считается одним из величайших творений Голливуда (14841).</w:t>
      </w:r>
    </w:p>
    <w:p w14:paraId="3054BC71"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3DCDF6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26 ноября 1942 было создано Антифашистское вече народного освобождения Югославии (512,295).</w:t>
      </w:r>
    </w:p>
    <w:p w14:paraId="2183945D" w14:textId="77777777" w:rsidR="00090C9B" w:rsidRPr="00722885" w:rsidRDefault="00090C9B" w:rsidP="00722885">
      <w:pPr>
        <w:pStyle w:val="Iauiue"/>
        <w:jc w:val="both"/>
        <w:rPr>
          <w:color w:val="000000" w:themeColor="text1"/>
          <w:sz w:val="16"/>
          <w:szCs w:val="16"/>
        </w:rPr>
      </w:pPr>
    </w:p>
    <w:p w14:paraId="4FDF69B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8E822BE" w14:textId="77777777" w:rsidR="00090C9B" w:rsidRPr="00722885" w:rsidRDefault="00090C9B" w:rsidP="00722885">
      <w:pPr>
        <w:pStyle w:val="Iauiue"/>
        <w:jc w:val="both"/>
        <w:rPr>
          <w:iCs/>
          <w:color w:val="000000" w:themeColor="text1"/>
          <w:sz w:val="16"/>
          <w:szCs w:val="16"/>
        </w:rPr>
      </w:pPr>
    </w:p>
    <w:p w14:paraId="0C89BDE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27 ноября 1942 П.Воронин НКАП писал ГИ ВВС А.К.Репину письмо N Н-36/4700 по вопросу установки фильтров на </w:t>
      </w:r>
      <w:r w:rsidR="00DA5455" w:rsidRPr="00722885">
        <w:rPr>
          <w:color w:val="000000" w:themeColor="text1"/>
          <w:sz w:val="16"/>
          <w:szCs w:val="16"/>
        </w:rPr>
        <w:t>И</w:t>
      </w:r>
      <w:r w:rsidRPr="00722885">
        <w:rPr>
          <w:color w:val="000000" w:themeColor="text1"/>
          <w:sz w:val="16"/>
          <w:szCs w:val="16"/>
        </w:rPr>
        <w:t>л-2:</w:t>
      </w:r>
    </w:p>
    <w:p w14:paraId="1B45EE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"заводы 1, 18 и 30 выпускают самолеты Ил-2 с установкой воздушных фильтров.</w:t>
      </w:r>
    </w:p>
    <w:p w14:paraId="64DF54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 как в зимнее время фильтры не нужны, считаю нецелесообразным производить их установку до 1 марта 1943, ибо в этот период времени в строевых частях фильтры будут сниматься и большая часть их будет растеряна.</w:t>
      </w:r>
    </w:p>
    <w:p w14:paraId="66BC61F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Прошу сообщить Ваши соображения по этому вопросу." (1632,199).</w:t>
      </w:r>
    </w:p>
    <w:p w14:paraId="640652E2" w14:textId="77777777" w:rsidR="00090C9B" w:rsidRPr="00722885" w:rsidRDefault="00090C9B" w:rsidP="00722885">
      <w:pPr>
        <w:pStyle w:val="Iauiue"/>
        <w:jc w:val="both"/>
        <w:rPr>
          <w:color w:val="000000" w:themeColor="text1"/>
          <w:sz w:val="16"/>
          <w:szCs w:val="16"/>
        </w:rPr>
      </w:pPr>
    </w:p>
    <w:p w14:paraId="61A69D5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ноября 1942 Воронин писал ГИ ВВС Репину письмо N 1489:</w:t>
      </w:r>
    </w:p>
    <w:p w14:paraId="4FEFDC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"заводы 1, 18, 30 выпускают самолеты Ил-2 с установкой воздушных фильтров.</w:t>
      </w:r>
    </w:p>
    <w:p w14:paraId="3FF9E4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Т.к. в зимнее время фильтры не нужны, считаю нецелесообразным производить их установку до 1 марта 1943, ибо в этот период времени в строевых частях фильтры будут снимать и большая их часть будут растеряна (1632,199).</w:t>
      </w:r>
    </w:p>
    <w:p w14:paraId="70AFB784" w14:textId="77777777" w:rsidR="00090C9B" w:rsidRPr="00722885" w:rsidRDefault="00090C9B" w:rsidP="00722885">
      <w:pPr>
        <w:pStyle w:val="Iauiue"/>
        <w:jc w:val="both"/>
        <w:rPr>
          <w:color w:val="000000" w:themeColor="text1"/>
          <w:sz w:val="16"/>
          <w:szCs w:val="16"/>
        </w:rPr>
      </w:pPr>
    </w:p>
    <w:p w14:paraId="2020448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ноября 1942 ГК С.В.И. писал Зам. НКАП П.Воронину письмо N 721с на вход. N 1078сс:</w:t>
      </w:r>
    </w:p>
    <w:p w14:paraId="10F0E4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"Возвращая при сем письмо Врид командующего ВВС КА на имя НКАП А.И.Ш. докладываю, что двухмоторного самолета Ил-2 с М-82, о котором говорится в указанном письме, не имеется." (1632,232).</w:t>
      </w:r>
    </w:p>
    <w:p w14:paraId="048C2130" w14:textId="77777777" w:rsidR="00090C9B" w:rsidRPr="00722885" w:rsidRDefault="00090C9B" w:rsidP="00722885">
      <w:pPr>
        <w:pStyle w:val="Iauiue"/>
        <w:jc w:val="both"/>
        <w:rPr>
          <w:color w:val="000000" w:themeColor="text1"/>
          <w:sz w:val="16"/>
          <w:szCs w:val="16"/>
        </w:rPr>
      </w:pPr>
    </w:p>
    <w:p w14:paraId="0EE1D8ED" w14:textId="77777777" w:rsidR="00DA5455" w:rsidRPr="00722885" w:rsidRDefault="00DA545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27 ноября 1942 г. заводом № 289 была изготовлена вся необходимая оснаст</w:t>
      </w:r>
      <w:r w:rsidRPr="00722885">
        <w:rPr>
          <w:color w:val="000000" w:themeColor="text1"/>
          <w:sz w:val="16"/>
          <w:szCs w:val="16"/>
        </w:rPr>
        <w:softHyphen/>
        <w:t>ка и приспособления для 2 самолетов. Окончание постройки 1-го экземпляра ДДБШ 2М-71 плани</w:t>
      </w:r>
      <w:r w:rsidRPr="00722885">
        <w:rPr>
          <w:color w:val="000000" w:themeColor="text1"/>
          <w:sz w:val="16"/>
          <w:szCs w:val="16"/>
        </w:rPr>
        <w:softHyphen/>
        <w:t>ровалось к 1 мая 1943 г. Однако, поскольку завод не обладал достаточным станочным парком, эти сроки оказались нереальными. Поэтому при фор</w:t>
      </w:r>
      <w:r w:rsidRPr="00722885">
        <w:rPr>
          <w:color w:val="000000" w:themeColor="text1"/>
          <w:sz w:val="16"/>
          <w:szCs w:val="16"/>
        </w:rPr>
        <w:softHyphen/>
        <w:t>мировании плана опытного самолетостроения на 1943 г. передачу штурмовика на государственные летные испытания наметили на 1 сентября этого года (17500).</w:t>
      </w:r>
    </w:p>
    <w:p w14:paraId="094BAF34" w14:textId="77777777" w:rsidR="00DA5455" w:rsidRPr="00722885" w:rsidRDefault="00DA5455" w:rsidP="00722885">
      <w:pPr>
        <w:spacing w:after="0" w:line="240" w:lineRule="auto"/>
        <w:jc w:val="both"/>
        <w:rPr>
          <w:rFonts w:ascii="Times New Roman" w:hAnsi="Times New Roman"/>
          <w:color w:val="000000" w:themeColor="text1"/>
          <w:sz w:val="16"/>
          <w:szCs w:val="16"/>
        </w:rPr>
      </w:pPr>
    </w:p>
    <w:p w14:paraId="378D0CB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ноября 1942 Нач. 7 ГУ Шишкин представил НКАП А.И.Ш. справку по вопросу повышения потолка самолета 102 с 8300 м до 10000 м путем увеличения площади крыла, облегчения машины и установкой моторов МБ-102 или М-82Ф-ТК, т.к. с М-71 не получается (2504,39).</w:t>
      </w:r>
    </w:p>
    <w:p w14:paraId="392DDCD7" w14:textId="77777777" w:rsidR="00090C9B" w:rsidRPr="00722885" w:rsidRDefault="00090C9B" w:rsidP="00722885">
      <w:pPr>
        <w:pStyle w:val="Iauiue"/>
        <w:jc w:val="both"/>
        <w:rPr>
          <w:color w:val="000000" w:themeColor="text1"/>
          <w:sz w:val="16"/>
          <w:szCs w:val="16"/>
        </w:rPr>
      </w:pPr>
    </w:p>
    <w:p w14:paraId="2F7DF0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27 ноября 1942 г. заводом № 289 была изготовлена вся необходимая оснастка и приспособления для двух машин ДДБШ П.О.С. Постройка ДДБШ 2М-71 осуществлялась на базе моторостроительного завода № 19 в г. Молотов (г. Пермь), где ОКБ находилось в эвакуации (9649).</w:t>
      </w:r>
    </w:p>
    <w:p w14:paraId="0D7E95DE" w14:textId="77777777" w:rsidR="00090C9B" w:rsidRPr="00722885" w:rsidRDefault="00090C9B" w:rsidP="00722885">
      <w:pPr>
        <w:pStyle w:val="Iauiue"/>
        <w:jc w:val="both"/>
        <w:rPr>
          <w:color w:val="000000" w:themeColor="text1"/>
          <w:sz w:val="16"/>
          <w:szCs w:val="16"/>
        </w:rPr>
      </w:pPr>
    </w:p>
    <w:p w14:paraId="4C482590"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6D5DCD5" w14:textId="77777777" w:rsidR="00090C9B" w:rsidRPr="00722885" w:rsidRDefault="00090C9B" w:rsidP="00722885">
      <w:pPr>
        <w:pStyle w:val="Iauiue"/>
        <w:jc w:val="both"/>
        <w:rPr>
          <w:iCs/>
          <w:color w:val="000000" w:themeColor="text1"/>
          <w:sz w:val="16"/>
          <w:szCs w:val="16"/>
        </w:rPr>
      </w:pPr>
    </w:p>
    <w:p w14:paraId="558590D9" w14:textId="77777777" w:rsidR="00AA36A2" w:rsidRPr="00722885" w:rsidRDefault="00AA36A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27 ноября 1942 КБ завода № 38 успело не только разработало собственную машину, получившую индекс СУ-12, но и успело её построить, а также провести заводские испытания. К 30 ноября предполагалось отправить её на Гороховецкий артиллерийский научно-испытательный опытный полигон (АНИОП) для проведения полигонных испытаний. В Горьком работы задерживались, из-за чего самоходная установка уже в начале декабря оказалась за бортом. 2 декабря 1942 года вышло постановление ГКО № 2559 «Об организации производства самоходных артиллерийских установок на Уралмашзаводе и заводе № 38». Ещё до начала совместных испытаний горьковская САУ оказалась не у дел.</w:t>
      </w:r>
    </w:p>
    <w:p w14:paraId="0012BAE3" w14:textId="77777777" w:rsidR="00AA36A2" w:rsidRPr="00722885" w:rsidRDefault="00AA36A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Несмотря на решение Государственного комитета обороны о производстве СУ-12, сравнительные испытания СУ-12 и СУ-71 никто не отменял. На Гороховецкий АНИОП СУ-12 прибыла 5 декабря, к тому времени САУ в ходе заводских испытаний прошла 150 км.</w:t>
      </w:r>
    </w:p>
    <w:p w14:paraId="69985913" w14:textId="77777777" w:rsidR="00AA36A2" w:rsidRPr="00722885" w:rsidRDefault="00AA36A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Что же касается СУ-71, то её доставка на полигон затягивалась. 3 декабря на ГАЗ был отправлен член испытательной комиссии майор Соломонов. В ходе последовавших переговоров с руководством завода, в которых также принимал участие председатель комиссии генерал-лейтенант артиллерии В. Г. Тихонов, был назначен срок прибытия СУ-71 на полигон — 6 декабря. В назначенный срок машина не пришла, и лишь после вторичного прибытия Тихонова на ГАЗ СУ-71 отправили на полигон. Однако на полпути САУ вернули обратно вследствие неисправности системы охлаждения двигателей. В итоге до полигона СУ-71 добралась 9 декабря лишь для того, чтобы после проведения программы заводских испытаний и стрельб на следующий день снова вернуться на завод (17690).</w:t>
      </w:r>
    </w:p>
    <w:p w14:paraId="149E1A1A" w14:textId="77777777" w:rsidR="00AA36A2" w:rsidRPr="00722885" w:rsidRDefault="00AA36A2" w:rsidP="00722885">
      <w:pPr>
        <w:spacing w:after="0" w:line="240" w:lineRule="auto"/>
        <w:jc w:val="both"/>
        <w:rPr>
          <w:rFonts w:ascii="Times New Roman" w:hAnsi="Times New Roman"/>
          <w:color w:val="000000" w:themeColor="text1"/>
          <w:sz w:val="16"/>
          <w:szCs w:val="16"/>
        </w:rPr>
      </w:pPr>
    </w:p>
    <w:p w14:paraId="105C23A7" w14:textId="77777777" w:rsidR="00F1597F" w:rsidRPr="00722885" w:rsidRDefault="00F1597F" w:rsidP="00722885">
      <w:pPr>
        <w:pStyle w:val="162"/>
        <w:shd w:val="clear" w:color="auto" w:fill="auto"/>
        <w:spacing w:line="240" w:lineRule="auto"/>
        <w:jc w:val="both"/>
        <w:rPr>
          <w:rFonts w:eastAsia="Calibri"/>
          <w:color w:val="000000" w:themeColor="text1"/>
          <w:sz w:val="16"/>
          <w:szCs w:val="16"/>
        </w:rPr>
      </w:pPr>
      <w:r w:rsidRPr="00722885">
        <w:rPr>
          <w:rFonts w:eastAsia="Calibri"/>
          <w:color w:val="000000" w:themeColor="text1"/>
          <w:sz w:val="16"/>
          <w:szCs w:val="16"/>
        </w:rPr>
        <w:t>27 ноября 1942 по результатам заводских испытаний бронесаней на заводе № 180 прошло техническое совещание, по которому было принято решение о внесе</w:t>
      </w:r>
      <w:r w:rsidRPr="00722885">
        <w:rPr>
          <w:rFonts w:eastAsia="Calibri"/>
          <w:color w:val="000000" w:themeColor="text1"/>
          <w:sz w:val="16"/>
          <w:szCs w:val="16"/>
        </w:rPr>
        <w:softHyphen/>
        <w:t>нии в конструкцию саней ряда изменений. Лыжи удлинялись в перед</w:t>
      </w:r>
      <w:r w:rsidRPr="00722885">
        <w:rPr>
          <w:rFonts w:eastAsia="Calibri"/>
          <w:color w:val="000000" w:themeColor="text1"/>
          <w:sz w:val="16"/>
          <w:szCs w:val="16"/>
        </w:rPr>
        <w:softHyphen/>
        <w:t>ней и задней части, переделывалась конструкция сцепных устройств, усиливались задние рымы. Позднее Гаранов был направлен на ГАЗ им. Молтова, где также участвовал в подготовке производства бронеса</w:t>
      </w:r>
      <w:r w:rsidRPr="00722885">
        <w:rPr>
          <w:rFonts w:eastAsia="Calibri"/>
          <w:color w:val="000000" w:themeColor="text1"/>
          <w:sz w:val="16"/>
          <w:szCs w:val="16"/>
        </w:rPr>
        <w:softHyphen/>
        <w:t>ней. Первые образцы БП-60 были готовы в Горьком к январю 1943 года.</w:t>
      </w:r>
    </w:p>
    <w:p w14:paraId="39D066BB" w14:textId="77777777" w:rsidR="00F1597F" w:rsidRPr="00722885" w:rsidRDefault="00F1597F"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Согласно первоначальной программе испытаний, бронесани испытывались ездой за танком (25 километров по шоссе и 25 километров по целине), кроме того, планировались тактические учения с исполь</w:t>
      </w:r>
      <w:r w:rsidRPr="00722885">
        <w:rPr>
          <w:rFonts w:eastAsia="Calibri"/>
          <w:color w:val="000000" w:themeColor="text1"/>
          <w:sz w:val="16"/>
          <w:szCs w:val="16"/>
        </w:rPr>
        <w:softHyphen/>
        <w:t>зованием трех экземпляров бронесаней для определения возможности их использования как бронированных огневых точек. По факту же ис</w:t>
      </w:r>
      <w:r w:rsidRPr="00722885">
        <w:rPr>
          <w:rFonts w:eastAsia="Calibri"/>
          <w:color w:val="000000" w:themeColor="text1"/>
          <w:sz w:val="16"/>
          <w:szCs w:val="16"/>
        </w:rPr>
        <w:softHyphen/>
        <w:t>пытания, проведенные 13—14 января 1943 года на полигоне НИИБТ в Кубинке, пришлось проводить по сокращенной программе. В ходе определения наименьшего радиуса разворота, дышла оказались по</w:t>
      </w:r>
      <w:r w:rsidRPr="00722885">
        <w:rPr>
          <w:rFonts w:eastAsia="Calibri"/>
          <w:color w:val="000000" w:themeColor="text1"/>
          <w:sz w:val="16"/>
          <w:szCs w:val="16"/>
        </w:rPr>
        <w:softHyphen/>
        <w:t>гнуты. Удалось произвести два контрольных выезда: в первом, про</w:t>
      </w:r>
      <w:r w:rsidRPr="00722885">
        <w:rPr>
          <w:rFonts w:eastAsia="Calibri"/>
          <w:color w:val="000000" w:themeColor="text1"/>
          <w:sz w:val="16"/>
          <w:szCs w:val="16"/>
        </w:rPr>
        <w:softHyphen/>
        <w:t>тяженностью 5 километров, участвовали двое бронесаней, во втором, протяженностью 3 километра — одни бронесани, в обоих случаях сани буксировались с полным десантом. Бронесани уверенно буксировались за Т-34 как в одиночку, так и парой со средней скоростью 25 км/ч по шоссе и 20 км/ч по снежной целине (толщина снежного покрова достигала 400 мм). В ходе испытаний выяснилось, что с радиусом пово</w:t>
      </w:r>
      <w:r w:rsidRPr="00722885">
        <w:rPr>
          <w:rFonts w:eastAsia="Calibri"/>
          <w:color w:val="000000" w:themeColor="text1"/>
          <w:sz w:val="16"/>
          <w:szCs w:val="16"/>
        </w:rPr>
        <w:softHyphen/>
        <w:t>рота меньше 20 метров начинает гнуться дышло и начинают отрывать</w:t>
      </w:r>
      <w:r w:rsidRPr="00722885">
        <w:rPr>
          <w:rFonts w:eastAsia="Calibri"/>
          <w:color w:val="000000" w:themeColor="text1"/>
          <w:sz w:val="16"/>
          <w:szCs w:val="16"/>
        </w:rPr>
        <w:softHyphen/>
        <w:t>ся буксирные крюки.</w:t>
      </w:r>
    </w:p>
    <w:p w14:paraId="0B01DC18" w14:textId="77777777" w:rsidR="00F1597F" w:rsidRPr="00722885" w:rsidRDefault="00F1597F" w:rsidP="00722885">
      <w:pPr>
        <w:pStyle w:val="162"/>
        <w:shd w:val="clear" w:color="auto" w:fill="auto"/>
        <w:spacing w:line="240" w:lineRule="auto"/>
        <w:jc w:val="both"/>
        <w:rPr>
          <w:rFonts w:eastAsia="Calibri"/>
          <w:color w:val="000000" w:themeColor="text1"/>
          <w:sz w:val="16"/>
          <w:szCs w:val="16"/>
        </w:rPr>
      </w:pPr>
      <w:r w:rsidRPr="00722885">
        <w:rPr>
          <w:rFonts w:eastAsia="Calibri"/>
          <w:color w:val="000000" w:themeColor="text1"/>
          <w:sz w:val="16"/>
          <w:szCs w:val="16"/>
        </w:rPr>
        <w:t>Во время испытаний десант из 10 человек с личным оружием за</w:t>
      </w:r>
      <w:r w:rsidRPr="00722885">
        <w:rPr>
          <w:rFonts w:eastAsia="Calibri"/>
          <w:color w:val="000000" w:themeColor="text1"/>
          <w:sz w:val="16"/>
          <w:szCs w:val="16"/>
        </w:rPr>
        <w:softHyphen/>
        <w:t>нимал бронесани за 20—25 секунд, высадка занимала 30—35 секунд. Конструкцию задних десантных люков с петлями сбоку признали не очень удобной и рекомендовали переделать. Внутри десант раз</w:t>
      </w:r>
      <w:r w:rsidRPr="00722885">
        <w:rPr>
          <w:rFonts w:eastAsia="Calibri"/>
          <w:color w:val="000000" w:themeColor="text1"/>
          <w:sz w:val="16"/>
          <w:szCs w:val="16"/>
        </w:rPr>
        <w:softHyphen/>
        <w:t>мещался прямо на полу (скамьи ввиду небольшой высоты корпуса Т-60 не были предусмотрены), что вызывало немало неудобств, од</w:t>
      </w:r>
      <w:r w:rsidRPr="00722885">
        <w:rPr>
          <w:rFonts w:eastAsia="Calibri"/>
          <w:color w:val="000000" w:themeColor="text1"/>
          <w:sz w:val="16"/>
          <w:szCs w:val="16"/>
        </w:rPr>
        <w:softHyphen/>
        <w:t>нако при движении излишней тряски не ощущалось. По результа</w:t>
      </w:r>
      <w:r w:rsidRPr="00722885">
        <w:rPr>
          <w:rFonts w:eastAsia="Calibri"/>
          <w:color w:val="000000" w:themeColor="text1"/>
          <w:sz w:val="16"/>
          <w:szCs w:val="16"/>
        </w:rPr>
        <w:softHyphen/>
        <w:t>там испытаний стрельбу из бойниц, а также конструкцию крышек амбразур признали вполне удобной. Вместе с тем, во время движе</w:t>
      </w:r>
      <w:r w:rsidRPr="00722885">
        <w:rPr>
          <w:rFonts w:eastAsia="Calibri"/>
          <w:color w:val="000000" w:themeColor="text1"/>
          <w:sz w:val="16"/>
          <w:szCs w:val="16"/>
        </w:rPr>
        <w:softHyphen/>
        <w:t>ния по снежной целине и проселочным дорогам поднималось облако снежной пыли, делавшее невозможным прицельную стрельбу десан</w:t>
      </w:r>
      <w:r w:rsidRPr="00722885">
        <w:rPr>
          <w:rFonts w:eastAsia="Calibri"/>
          <w:color w:val="000000" w:themeColor="text1"/>
          <w:sz w:val="16"/>
          <w:szCs w:val="16"/>
        </w:rPr>
        <w:softHyphen/>
        <w:t>та из бойниц. Кроме того, испытания стрельбой выявили наличие мертвых зон обстрела из саней.</w:t>
      </w:r>
    </w:p>
    <w:p w14:paraId="6165351F" w14:textId="77777777" w:rsidR="00F1597F" w:rsidRPr="00722885" w:rsidRDefault="00F1597F"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Несмотря на выявленные в ходе испытаний недостатки, общее за</w:t>
      </w:r>
      <w:r w:rsidRPr="00722885">
        <w:rPr>
          <w:rFonts w:eastAsia="Calibri"/>
          <w:color w:val="000000" w:themeColor="text1"/>
          <w:sz w:val="16"/>
          <w:szCs w:val="16"/>
        </w:rPr>
        <w:softHyphen/>
        <w:t>ключение по саням оказалось вполне положительным:</w:t>
      </w:r>
    </w:p>
    <w:p w14:paraId="02B3CD24" w14:textId="77777777" w:rsidR="00F1597F" w:rsidRPr="00722885" w:rsidRDefault="00F159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Представленные для испытаний бронесани могут быть использова</w:t>
      </w:r>
      <w:r w:rsidRPr="00722885">
        <w:rPr>
          <w:rFonts w:ascii="Times New Roman" w:hAnsi="Times New Roman"/>
          <w:color w:val="000000" w:themeColor="text1"/>
          <w:sz w:val="16"/>
          <w:szCs w:val="16"/>
        </w:rPr>
        <w:softHyphen/>
        <w:t>ны для переброски пехотного десанта в количестве 10 человек, а также как бронированные огневые точки при стрельбе с места.</w:t>
      </w:r>
    </w:p>
    <w:p w14:paraId="46D1A09D" w14:textId="77777777" w:rsidR="00F1597F" w:rsidRPr="00722885" w:rsidRDefault="00F1597F" w:rsidP="00722885">
      <w:pPr>
        <w:tabs>
          <w:tab w:val="left" w:pos="55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За танком Т-34 возможна одновременная буксировка двух броне</w:t>
      </w:r>
      <w:r w:rsidRPr="00722885">
        <w:rPr>
          <w:rFonts w:ascii="Times New Roman" w:hAnsi="Times New Roman"/>
          <w:color w:val="000000" w:themeColor="text1"/>
          <w:sz w:val="16"/>
          <w:szCs w:val="16"/>
        </w:rPr>
        <w:softHyphen/>
        <w:t>саней.</w:t>
      </w:r>
    </w:p>
    <w:p w14:paraId="730B8C43" w14:textId="77777777" w:rsidR="00F1597F" w:rsidRPr="00722885" w:rsidRDefault="00F1597F" w:rsidP="00722885">
      <w:pPr>
        <w:tabs>
          <w:tab w:val="left" w:pos="529"/>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Конструкция прицепного устройства позволяет производить отцеп</w:t>
      </w:r>
      <w:r w:rsidRPr="00722885">
        <w:rPr>
          <w:rFonts w:ascii="Times New Roman" w:hAnsi="Times New Roman"/>
          <w:color w:val="000000" w:themeColor="text1"/>
          <w:sz w:val="16"/>
          <w:szCs w:val="16"/>
        </w:rPr>
        <w:softHyphen/>
        <w:t>ку бронесаней на ходу.</w:t>
      </w:r>
    </w:p>
    <w:p w14:paraId="1D10E665" w14:textId="77777777" w:rsidR="00F1597F" w:rsidRPr="00722885" w:rsidRDefault="00F1597F" w:rsidP="00722885">
      <w:pPr>
        <w:tabs>
          <w:tab w:val="left" w:pos="54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Прочность прицепного дышла не обеспечивает поворота бронесаней с радиусом менее 20 метров.</w:t>
      </w:r>
    </w:p>
    <w:p w14:paraId="2C637481" w14:textId="77777777" w:rsidR="00F1597F" w:rsidRPr="00722885" w:rsidRDefault="00F1597F" w:rsidP="00722885">
      <w:pPr>
        <w:tabs>
          <w:tab w:val="left" w:pos="54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7E793B19" w14:textId="77777777" w:rsidR="00F1597F" w:rsidRPr="00722885" w:rsidRDefault="00F1597F"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Таким образом, наконец серийному производству бронесаней был дан зеленый свет. Производство саней из корпусов Т-60 началось на ГАЗ в конце января 1943 года, в январе же начался выпуск саней и в Са</w:t>
      </w:r>
      <w:r w:rsidRPr="00722885">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722885">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0BDD1DCE" w14:textId="77777777" w:rsidR="00F1597F" w:rsidRPr="00722885" w:rsidRDefault="00F1597F"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722885">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722885">
        <w:rPr>
          <w:rFonts w:eastAsia="Calibri"/>
          <w:color w:val="000000" w:themeColor="text1"/>
          <w:sz w:val="16"/>
          <w:szCs w:val="16"/>
        </w:rPr>
        <w:softHyphen/>
        <w:t>де № 180 оценивается в районе 300 штук (17485).</w:t>
      </w:r>
    </w:p>
    <w:p w14:paraId="3CCD14B8" w14:textId="77777777" w:rsidR="00F1597F" w:rsidRPr="00722885" w:rsidRDefault="00F1597F" w:rsidP="00722885">
      <w:pPr>
        <w:pStyle w:val="a3"/>
        <w:rPr>
          <w:color w:val="000000" w:themeColor="text1"/>
          <w:lang w:val="ru-RU"/>
        </w:rPr>
      </w:pPr>
    </w:p>
    <w:p w14:paraId="22A0A9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ноября 1942 вышло постановление ГКО "О добыче урана", в котором Наркомцветмет поручено к 1 мая 1943 организовать добычу и переработку руды и получение 4 т урановых солей на Табашарском заводе В Главредмета, а в первом квартале 1943 подготовить проект завода на 10 т в год (1566,212).</w:t>
      </w:r>
    </w:p>
    <w:p w14:paraId="0884A850" w14:textId="77777777" w:rsidR="00090C9B" w:rsidRPr="00722885" w:rsidRDefault="00090C9B" w:rsidP="00722885">
      <w:pPr>
        <w:pStyle w:val="Iauiue"/>
        <w:jc w:val="both"/>
        <w:rPr>
          <w:color w:val="000000" w:themeColor="text1"/>
          <w:sz w:val="16"/>
          <w:szCs w:val="16"/>
        </w:rPr>
      </w:pPr>
    </w:p>
    <w:p w14:paraId="6439B25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1942 года И.В.Курчатовым была представлена записка В.М. Молотову с анализом данных, полученных разведкой, и был сформулирован ряд предложений по организации работ по созданию атомного оружия в СССР. И.В. Курчатов отмечал достижения Великобритании по установлению возможности создания ядерного реактора на основе природного урана и тяжелой воды. Уникальный эксперимент, который позволил сделать этот вывод, был обусловлен благодаря тому, что в Великобритании оказалось примерно 180 кг тяжелой воды, вывезенной из Норвегии, и составлявшей в то время почти весь мировой запас этого материала (10549).</w:t>
      </w:r>
    </w:p>
    <w:p w14:paraId="147AC28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485FE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1942 года Государственный Комитет Обороны принял Постановление "О добыче урана". Это постановление поручало Наркомату цветной металлургии организовать на Табошарском месторождении добычу и переработку урановых руд с проектной мощностью порядка 4 тонн в год солей урана. При этом Радиевому институту предписывалось разработать технологическую схему получения урановых концентратов и солей урана из табошарских руд. Постановление поручало также Комитету по делам геологии провести работы по изысканию новых месторождений урановых руд (10549).</w:t>
      </w:r>
    </w:p>
    <w:p w14:paraId="6379A57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CCDA9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1942 года - Докладная записка И.В. Курчатова В.М. Молотову, содержавшая анализ разведывательных материалов о развитии атомного проекта в Великобритании и предложения о создании атомного оружия в СССР (10549).</w:t>
      </w:r>
    </w:p>
    <w:p w14:paraId="08F5738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B5DE0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27 ноября 1942 вышло Постановление ГКО № 2542 О добыче урана. РГАНИР, Фонд ГКО, д. 70, лл. 144 (11012).</w:t>
      </w:r>
    </w:p>
    <w:p w14:paraId="6B89D61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1E7C1FF"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27 ноября 1942 г. </w:t>
      </w:r>
    </w:p>
    <w:p w14:paraId="530A1499"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Постановление ГКО № 2542сс «О добыче урана»1 </w:t>
      </w:r>
    </w:p>
    <w:p w14:paraId="44C51DEE"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Сов. секретно </w:t>
      </w:r>
    </w:p>
    <w:p w14:paraId="5919FFF6"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Государственный комитет обороны </w:t>
      </w:r>
    </w:p>
    <w:p w14:paraId="557D6BAA"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Постановление № 2542сс </w:t>
      </w:r>
    </w:p>
    <w:p w14:paraId="479836CB"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27 ноября 1942 г. Москва, Кремль </w:t>
      </w:r>
    </w:p>
    <w:p w14:paraId="357AE203"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О добыче урана </w:t>
      </w:r>
    </w:p>
    <w:p w14:paraId="463D65E1"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Государственный комитет обороны постановляет: </w:t>
      </w:r>
    </w:p>
    <w:p w14:paraId="3C7A4BF2"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1. Обязать Наркомцветмет (тт. Ломако, Флоров): </w:t>
      </w:r>
    </w:p>
    <w:p w14:paraId="3AC04946"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а) к 1.V.1943г. организовать добычу и переработку урановых руд и получение урановых солей в количестве четырех тонн в год на Табошарском заводе «В» Главредмета2; </w:t>
      </w:r>
    </w:p>
    <w:p w14:paraId="7DC7CB68"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б) перевести на временную консервацию Адрасманский висмутовый рудник, использовав оборудование и кадры его для строительства Табошарского уранового предприятия; </w:t>
      </w:r>
    </w:p>
    <w:p w14:paraId="74D351D5"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в) в месячный срок представить на утверждение ГОКО заявку на рабочую силу, материалы и оборудование, необходимые для выполнения работ по урану; </w:t>
      </w:r>
    </w:p>
    <w:p w14:paraId="69F75EB9"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г) в первом квартале 1943 г. составить комплексный проект уранового предприятия производительностью 10 тонн урана в солях в год; </w:t>
      </w:r>
    </w:p>
    <w:p w14:paraId="51F9D345"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д) закончить в 1943 г. разведочные, изыскательские и исследовательские работы по урановым месторождениям Майли-Су и Уйгур-Сай и запроектировать их промышленное использование. </w:t>
      </w:r>
    </w:p>
    <w:p w14:paraId="782AE5C4"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2. Разрешить Наркомцвету временно извлекать на заводе «В» только уран, обеспечив сохранность складируемых радий-содержащих отходов. </w:t>
      </w:r>
    </w:p>
    <w:p w14:paraId="20BD7908"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3. Приравнять завод «В» в части порядка финансирования, проектирования, строительства, оплаты труда, материально-технического и продовольственного снабжения к строительствам особого значения и распространить на него действие Постановления СНК СССР и ЦК ВКП(б) от 30 января 1941 г. «Об увеличении производства молибденового концентрата на предприятиях Наркомцветмета». </w:t>
      </w:r>
    </w:p>
    <w:p w14:paraId="1FD8DFE1"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4. Возложить на Радиевый институт АН СССР (акад[емик] Хлопин) с привлечением Научного института удобрений и инсектофунгисидов им. Самойлова и Уральского института механической обработки полезных ископаемых разработку к 1.II1943 г. технологической схемы получения урановых концентратов из табошарских руд и переработки их для получения урановых солей. </w:t>
      </w:r>
    </w:p>
    <w:p w14:paraId="5E118883"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5. Комитету по делам геологии при СНК СССР (т. Малышев) в 1943 г. провести работы по изысканию новых месторождений урановых руд с первым докладом Совнаркому СССР не позже 1 мая 1943 года. </w:t>
      </w:r>
    </w:p>
    <w:p w14:paraId="61AEF842"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6. Обязать Наркомсредмаш выделить в ноябре месяце Наркомцвету для Табошарского завода «В» 4 трехтонных автомашины за счет резерва ГОКО. </w:t>
      </w:r>
    </w:p>
    <w:p w14:paraId="1076E0AF"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7. 3 Возложить на т. Попова (НКГК) лично контроль за неуклонным выполнением настоящего Постановления ГОКО. </w:t>
      </w:r>
    </w:p>
    <w:p w14:paraId="3B9651D9"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 xml:space="preserve">Зам[еститель]4 председателя Государственного комитета обороны В. Молотов </w:t>
      </w:r>
    </w:p>
    <w:p w14:paraId="10CEB51F"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rPr>
        <w:t>АП РФ. Ф.22, оп.1, д.112, л.149-150. Подлинник (11323).</w:t>
      </w:r>
    </w:p>
    <w:p w14:paraId="65071E15"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vertAlign w:val="superscript"/>
        </w:rPr>
        <w:t xml:space="preserve">1 </w:t>
      </w:r>
      <w:r w:rsidRPr="00722885">
        <w:rPr>
          <w:color w:val="000000" w:themeColor="text1"/>
          <w:sz w:val="16"/>
          <w:szCs w:val="16"/>
        </w:rPr>
        <w:t xml:space="preserve">В дате документа напечатанное октября от руки исправлено на ноября, число месяца в дате и номер постановления проставлены от руки. </w:t>
      </w:r>
    </w:p>
    <w:p w14:paraId="5D19F1D4"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vertAlign w:val="superscript"/>
        </w:rPr>
        <w:t xml:space="preserve">2 </w:t>
      </w:r>
      <w:r w:rsidRPr="00722885">
        <w:rPr>
          <w:color w:val="000000" w:themeColor="text1"/>
          <w:sz w:val="16"/>
          <w:szCs w:val="16"/>
        </w:rPr>
        <w:t xml:space="preserve">Опытный завод «В» Главредмета НКЦМ пущен в 1935 г. Основой для него послужила опытная химическая установка в Табошаре, созданная И.Я. Башиловым в 1934 г. для исследований по разработке технологии переработки урановых руд с целью получения радия и урана. Подробнее см., в частности: Академик В.Г. Хлопин. Очерки, воспоминания современников,–Л.: Наука, 1987. С. 107–110. </w:t>
      </w:r>
    </w:p>
    <w:p w14:paraId="475F48ED" w14:textId="77777777" w:rsidR="00090C9B" w:rsidRPr="00722885" w:rsidRDefault="00090C9B" w:rsidP="00722885">
      <w:pPr>
        <w:pStyle w:val="Default"/>
        <w:jc w:val="both"/>
        <w:rPr>
          <w:color w:val="000000" w:themeColor="text1"/>
          <w:sz w:val="16"/>
          <w:szCs w:val="16"/>
        </w:rPr>
      </w:pPr>
      <w:r w:rsidRPr="00722885">
        <w:rPr>
          <w:color w:val="000000" w:themeColor="text1"/>
          <w:sz w:val="16"/>
          <w:szCs w:val="16"/>
          <w:vertAlign w:val="superscript"/>
        </w:rPr>
        <w:t xml:space="preserve">3 </w:t>
      </w:r>
      <w:r w:rsidRPr="00722885">
        <w:rPr>
          <w:color w:val="000000" w:themeColor="text1"/>
          <w:sz w:val="16"/>
          <w:szCs w:val="16"/>
        </w:rPr>
        <w:t xml:space="preserve">Пункт 7 вписан В.М. Молотовым от руки. </w:t>
      </w:r>
    </w:p>
    <w:p w14:paraId="2D7D90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vertAlign w:val="superscript"/>
        </w:rPr>
        <w:t xml:space="preserve">4 </w:t>
      </w:r>
      <w:r w:rsidRPr="00722885">
        <w:rPr>
          <w:rFonts w:ascii="Times New Roman" w:hAnsi="Times New Roman"/>
          <w:color w:val="000000" w:themeColor="text1"/>
          <w:sz w:val="16"/>
          <w:szCs w:val="16"/>
        </w:rPr>
        <w:t>Зам. вписано В.М. Молотовым от руки. Ниже подписи от руки сделан список на рассылку, полный текст направлен В.М. Молотову, П.Ф. Ломако, В.А. Флорову, М.З. Сабурову, В.Ф. Попову, Я.Е. Чадаеву, выписки – упоминаемым в тексте лицам и организациям (11323).</w:t>
      </w:r>
    </w:p>
    <w:p w14:paraId="450C286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3762BFB" w14:textId="77777777" w:rsidR="00546E6F" w:rsidRPr="00722885" w:rsidRDefault="00546E6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К 27 ноября 1942 года проектные работы по зенитному танку с орудием11-П были закончены. Согласно описанию, автоматическую пушку 11-П планировалось разместить в башенной установке с толщиной стенок 20 мм, созданной на базе штатной башни Т-70. От башни Т-70 планировалось использовать механизм горизонтального наведения, спусковой механизм, механизм крепления башни по-походному, а также всю нижнюю подвесную часть. Общий вес качающейся части установки оценивался в 820 кг, а башенной установки в целом 2204 кг. Углы наведения системы в вертикальной плоскости варьировались от –5 до +80 градусов. Подобно переработанному варианту ЗУТ-37, на на 72-П предусматривалось два прицела – телескопический ТОП и коллиматорный К-8Т. ленточные магазины на 60 патронов. Как их в ОКБ-16 предлагали перезаряжать в боевых условиях, загадка (20346).</w:t>
      </w:r>
    </w:p>
    <w:p w14:paraId="3781F9C7" w14:textId="77777777" w:rsidR="00546E6F" w:rsidRPr="00722885" w:rsidRDefault="00546E6F" w:rsidP="00722885">
      <w:pPr>
        <w:shd w:val="clear" w:color="auto" w:fill="FFFFFF"/>
        <w:spacing w:after="0" w:line="240" w:lineRule="auto"/>
        <w:jc w:val="both"/>
        <w:rPr>
          <w:rFonts w:ascii="Times New Roman" w:hAnsi="Times New Roman"/>
          <w:color w:val="0070C0"/>
          <w:sz w:val="16"/>
          <w:szCs w:val="16"/>
        </w:rPr>
      </w:pPr>
    </w:p>
    <w:p w14:paraId="1058069C" w14:textId="77777777" w:rsidR="00546E6F" w:rsidRPr="00722885" w:rsidRDefault="00546E6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27 ноября 1942 СУ-11 вышла на заводские испытания, а 30 ноября ее отправили на Гороховецкий АНИОП. То есть в другую дату постановления ГКО завод вписался. Боевая масса 10 тонн, указанная в требованиях, оказалась недостижимым параметром. Реально боевая масса машины составила 11 тонн, как и в случае с СУ-12. Причина прозаична - более "тяжелая" база. Боевое отделение практически не меняли, оно у СУ-31 было уже более-менее отработанным. Как и ранее, внутри находился расчет из 5 человек - 2 наводчика, 2 заряжающих, командир. С точки зрения технической базы машина была идентична СУ-12, по которой явно наблюдался больший приоритет. И как раз эта, более приоритетная машина, во многом и похоронила вполне удачную ЗСУ (21409).</w:t>
      </w:r>
    </w:p>
    <w:p w14:paraId="1C0254CF" w14:textId="77777777" w:rsidR="00546E6F" w:rsidRPr="00722885" w:rsidRDefault="00546E6F"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7E76BD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1942 г. ГКО поручил НКЦветмету приступить к производству урана. В 1943г. дано поручение Гиредмету организовать производство урана. В 12.1944г. был получен первый слиток металлического урана (Н.П. Сажин, З.В. Ершова). После войны институту поручены работы по материалам для атомной промышленности (разведка месторождений, переработка сырья, получение чистых веществ) (11982).</w:t>
      </w:r>
    </w:p>
    <w:p w14:paraId="2C52A4A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983CA85"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27 ноября </w:t>
      </w:r>
      <w:r w:rsidRPr="00722885">
        <w:rPr>
          <w:rFonts w:ascii="Times New Roman" w:hAnsi="Times New Roman"/>
          <w:color w:val="000000" w:themeColor="text1"/>
          <w:sz w:val="16"/>
          <w:szCs w:val="16"/>
        </w:rPr>
        <w:t>в 1942 году решением ГКО СССР Наркомцветмету было поручено приступить к производству урана из отечественного сырья. Тогда же ГКО обязал Академию наук начать исследовательские работы по использованию атомной энергии в военных целях и обеспечить их координацию. Основанием для возобновления исследований по использованию энергии деления ядер, фактически прекратившихся в СССР с началом ВОВ, послужили сведения о ведущихся в Германии, Великобретинии и США секретных работах по созданию нового оружия - атомной бомбы. Заметную роль в принятии этого решения видимо сыграли письма Г.Н. Флерова в ГКО и лично И.В. Сталину, в которых он указывал на полное прекращение публикаций ученными Германии, Великобритании и США в физических зарубежных журналах работ по делению урана и использованию внутриатомной энергии, что свидетельствовало о засекречиапнии исследований в этих странах (14842).</w:t>
      </w:r>
    </w:p>
    <w:p w14:paraId="4FFD5C6F"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45CFDB9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1942г. в соответствии с пост. ГКО № 2542сс Табошарскому химико-металлургическому заводу Главредмета НКЦМ (Табошарский завод «В» НКЦМ, ПГУ /Таджикистан/) было выдано задание по организации добычи и переработки урановых руд (в количестве 4 т к 1.05.1943г.), заводу было разрешено извлекать из руды только уран. Завод был приравнен к строительствам особого значения. В 1943 г. было необходимо закончить разведочные и изыскательские работы по урановым месторождениям Майли-Су и Уйгур-Сай. 24.02.1943г. вышло постановление ГКО № 2942 о материально- техническом обеспечении уранового производства завода. 27 ноября 1942 г. в соответствии с пост. ГКО № 2542сс Адрасманский висмутовый от рудник временно законсервирован, его оборудование и кадры переведены на Табошарский завод «В». В 08.1945г. завод вошел в состав комбината № 6 111 У. 14.04.1949г. получен первый слиток металлического плутония. 5.08.1949г. из него изготовлена боевая часть для первой атомной бомбы РДС-1.</w:t>
      </w:r>
      <w:r w:rsidRPr="00722885">
        <w:rPr>
          <w:rFonts w:ascii="Times New Roman" w:hAnsi="Times New Roman"/>
          <w:color w:val="000000" w:themeColor="text1"/>
          <w:sz w:val="16"/>
          <w:szCs w:val="16"/>
          <w:vertAlign w:val="superscript"/>
        </w:rPr>
        <w:t>3,75</w:t>
      </w:r>
    </w:p>
    <w:p w14:paraId="52277A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(1945г.-)- Г. А. Сальман (11982).</w:t>
      </w:r>
    </w:p>
    <w:p w14:paraId="4F995A3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26F25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1942 вышло Постановление ГКО № 2543 О т.т. Колонине С.Е. и Емельянове В.Н. РГАНИР, Фонд ГКО, д. 70, лл. 145 (11012).</w:t>
      </w:r>
    </w:p>
    <w:p w14:paraId="762C68F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0C4D3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1942 вышло Постановление ГКО № 2544 О т. Туманян Г.Л. РГАНИР, Фонд ГКО, д. 70, лл. 146 (11012).</w:t>
      </w:r>
    </w:p>
    <w:p w14:paraId="39F6BA8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5F73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1942 вышло Постановление ГКО № 2545 О мерах по обеспечению в декабре 1942 г. производства глицерина для нитроглицериновых порохов. РГАНИР, Фонд ГКО, д. 70, лл. 147-149, 150-151 (11012).</w:t>
      </w:r>
    </w:p>
    <w:p w14:paraId="6DDF3C9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82411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1942 вышло Постановление ГКО № 2546 О мерах по увеличению производства брома и металлического натрия. РГАНИР, Фонд ГКО, д. 70, лл. 152-155, 156-163 (11012).</w:t>
      </w:r>
    </w:p>
    <w:p w14:paraId="0AC8A7C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ED907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27 ноября 1942 вышло Постановление ГКО № 2547 Об обеспечении соляным рассолом заводов № 96 и 93 Наркомхимпрома. РГАНИР, Фонд ГКО, д. 70, лл. 164-166 (11012).</w:t>
      </w:r>
    </w:p>
    <w:p w14:paraId="77122DB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F70DA24"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27 ноября 1942 вышло Постановление ГКО № 2548 О перекачке нефти по трубопроводу Гурьев - Орск. (7064, 167).</w:t>
      </w:r>
    </w:p>
    <w:p w14:paraId="776D58F0" w14:textId="77777777" w:rsidR="00090C9B" w:rsidRPr="00722885" w:rsidRDefault="00090C9B" w:rsidP="00722885">
      <w:pPr>
        <w:pStyle w:val="Iauiue"/>
        <w:tabs>
          <w:tab w:val="left" w:pos="11199"/>
        </w:tabs>
        <w:jc w:val="both"/>
        <w:rPr>
          <w:color w:val="000000" w:themeColor="text1"/>
          <w:sz w:val="16"/>
          <w:szCs w:val="16"/>
        </w:rPr>
      </w:pPr>
    </w:p>
    <w:p w14:paraId="38F9E2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1942 вышло Постановление ГКО № 2549 Об освобождении от мобилизации в КА рабочих и ИТР заводов НКБ, производящих пороха, взрывчатые вещества и т.РГАНИР, Фонд ГКО, д. РГАНИР, Фонд ГКО, д. 70, лл. 168, 169-170 (11012).</w:t>
      </w:r>
    </w:p>
    <w:p w14:paraId="6570578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1DA870C" w14:textId="77777777" w:rsidR="00C77C92"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77BA941" w14:textId="77777777" w:rsidR="00C77C92" w:rsidRPr="00722885" w:rsidRDefault="00C77C92" w:rsidP="00722885">
      <w:pPr>
        <w:pStyle w:val="Iauiue"/>
        <w:jc w:val="both"/>
        <w:rPr>
          <w:iCs/>
          <w:color w:val="000000" w:themeColor="text1"/>
          <w:sz w:val="16"/>
          <w:szCs w:val="16"/>
        </w:rPr>
      </w:pPr>
    </w:p>
    <w:p w14:paraId="3E1910E8"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27 ноября </w:t>
      </w:r>
      <w:r w:rsidRPr="00722885">
        <w:rPr>
          <w:rFonts w:ascii="Times New Roman" w:hAnsi="Times New Roman"/>
          <w:color w:val="000000" w:themeColor="text1"/>
          <w:sz w:val="16"/>
          <w:szCs w:val="16"/>
        </w:rPr>
        <w:t>в 1942 году утреннее сообщение Совинформбюро:</w:t>
      </w:r>
    </w:p>
    <w:p w14:paraId="62AA7C81"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27 ноября наши войска в районе города Сталинграда, преодолевая сопротивление противника, продолжали наступление на прежних направлениях.</w:t>
      </w:r>
    </w:p>
    <w:p w14:paraId="4177541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северной части города Сталинграда наши бойцы ударами с флангов отбросили противника и заняли четыре больших квартала. Немцы потеряли убитыми свыше 250 солдат и офицеров. В районе заводов наши части продвинулись вперёд. В течение ночи истреблено свыше 700 солдат и офицеров противника.</w:t>
      </w:r>
    </w:p>
    <w:p w14:paraId="19E25139"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советские войска, преодолевая сопротивление противника, продвигались вперёд. На одном участке части, которыми командуют тт. Шехтман и Меркулов, истребили свыше 1.000 вражеских солдат и офицеров, взяли много пленных и захватили 3 исправных самолёта, 99 орудий, 3 танка, 65 пулемётов, 9 миномётов, 164 автомашины и 520 велосипедов. На другом участке наши танкисты и пехотинцы уничтожили 66 танков и 25 самолётов противника. Овладев одним железнодорожным разъездом, наши бойцы захватили 19 паровозов, 100 вагонов, 160 бочек с бензином и несколько складов военного имущества противника. Несмотряна плохую погоду, советские лётчики штурмовали отступающие немецкие войска.</w:t>
      </w:r>
    </w:p>
    <w:p w14:paraId="1A52C124"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успешные наступательные операции. В ночных боях только одно наше соединение истребило свыше 600 вражеских солдат и офицеров, уничтожило 23 пулемётные точки, 4 орудия, 5 танков и 13 автомашин. Нашими бойцами захвачены у немцев 6 орудий, 2 бронемашины, 24 пулемёта и другие трофеи. Взято много пленных.</w:t>
      </w:r>
    </w:p>
    <w:p w14:paraId="73C835D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укрепляли свои позиции и вели боевую разведку. На одном участке артиллерийским огнём рассеяно и частично уничтожено до роты вражеской пехоты. На другом участке немецкие автоматчики просочились в глубину нашей обороны. Все вражеские автоматчики уничтожены. Захвачено 75 автоматов и 2 пулемёта. Наши лётчики уничтожили на аэродроме противника 2 немецких самолёта.</w:t>
      </w:r>
    </w:p>
    <w:p w14:paraId="62C6D9B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Северо-Западном фронте происходила редкая артиллерийская перестрелка. Группа бойцов под командованием старшего лейтенанта Ходорченко пробралась на позиции артиллерийской батареи противника. Когда советская артиллерия открыла огонь, гитлеровцы выскочили из блиндажей и побежали к своим орудиям. В это время притаившиеся поблизости наши бойцы открыли огонь и уничтожили орудийные расчёты. Взорвав орудия противника, бойцы вернулись в свою часть.</w:t>
      </w:r>
    </w:p>
    <w:p w14:paraId="019C1715"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одной из областей Украины, в течение месяца пустил под откос 5 железнодорожных эшелонов с войсками и военными грузами противника. В результате крушений уничтожено 5 паровозов, 87 вагонов с военной техникой и убито много немецких солдат и офицеров.</w:t>
      </w:r>
    </w:p>
    <w:p w14:paraId="5C2E37E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душат поборами крестьян временно захваченных ими советских районов. В Витебской области гитлеровцы ввели несколько десятков самых различных налогов. Установлены налоги на содержание немецких комендатур, жандармерии, бургомистров, старост. Помимо земельного и подушного налогов, крестьяне должны платить отдельно налоги за каждое окно, за каждую печную трубу, за домашнюю птицу и т. д. Кроме налогов, введённых для всей области, каждый комендант устанавливает дополнительно денежные и натуральные повинности. Этипоборы преследуют одну цель — окончательно ограбить население и обречь советских людей на голод и вымирание.» (14842).</w:t>
      </w:r>
    </w:p>
    <w:p w14:paraId="74245AE2"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31BF88F6"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27 ноября </w:t>
      </w:r>
      <w:r w:rsidRPr="00722885">
        <w:rPr>
          <w:rFonts w:ascii="Times New Roman" w:hAnsi="Times New Roman"/>
          <w:color w:val="000000" w:themeColor="text1"/>
          <w:sz w:val="16"/>
          <w:szCs w:val="16"/>
        </w:rPr>
        <w:t>в 1942 году вечернее сообщение Совинформбюро:</w:t>
      </w:r>
    </w:p>
    <w:p w14:paraId="1BF61EC2"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27 ноября под Сталинградом наши войска продолжали наступление и заняли населённые пункты Верхне-Гниловский, Мариновка, Новоаксайский, Заря.</w:t>
      </w:r>
    </w:p>
    <w:p w14:paraId="4C06C6B4"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ноября частями нашей авиации на различных участках фронта уничтожено 20 немецких танков, до 200 автомашин с войсками и грузами, разбито 3 железнодорожных состава, подавлен огонь 10 артиллерийских батарей, рассеяно и частью уничтожено до двух батальонов пехоты и эскадрон конницы противника.</w:t>
      </w:r>
    </w:p>
    <w:p w14:paraId="3B01B325"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северной части города Сталинграда бойцы под командованием тов. Гороховавели активные боевые действия и продвинулись вперёд на 400—500 метров. На поле боя осталось свыше 200 вражеских трупов. В заводском районе наши части заняли несколько зданий и нанесли немцам большой урон.</w:t>
      </w:r>
    </w:p>
    <w:p w14:paraId="4B425E6B"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преодолевая сопротивление противника, вели наступательные операции. На одном участке бойцы Н-ского соединения, продвигаясь вперёд, захватили 51 немецкий танк, 5 орудий, 8 миномётов, около 1.000 винтовок и другие трофеи. На поле боя немцы оставили много трупов своих солдат и офицеров. На другом участке наши бойцы внезапным ударом заняли населённый пункт, в котором находилась база снабжения частей противника. Захвачены крупный продовольственный и 4 вещевых склада, около 200 бочек с горючим и другое военное имущество. Наши кавалерийские части окружили гитлеровцев в одном крупном населённом пункте и ведут бои за овладение этим пунктом.</w:t>
      </w:r>
    </w:p>
    <w:p w14:paraId="4C2D0FC1"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на одном участке отбивали атаки противника, пытавшегося прорваться па юго-запад, а на остальных участках успешно продвигались вперёд. Н-ское соединение заняло несколько населённых пунктов, уничтожило более 600 немецких солдат и офицеров, 18 пулемётных точек, 6 артиллерийских батарей, разрушило 18 дзотов и блиндажей. Взято много пленных. Наши моторизованные части прорвались вперёд и разгромили крупную колонну противника. Уничтожено 11 танков, 58 автомашин с войсками и боеприпасами, 9 орудий. Захвачено в плен несколько сот вражеских солдат и офицеров.</w:t>
      </w:r>
    </w:p>
    <w:p w14:paraId="77C233A1"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происходила артиллерийская перестрелка. На участке Н-ской части наши артиллеристы и миномётчики разрушили 8 немецких дзотов иблиндажей, подбили 2 танка к 6 автомашин с боеприпасами. Подавлен огонь 3 артиллерийских батарей противника. Истреблено до 250 гитлеровцев.</w:t>
      </w:r>
    </w:p>
    <w:p w14:paraId="7043A37E"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наше артиллерийское подразделение за два дня уничтожило 13 автомашин с боеприпасами, подавило огонь артиллерийской и двух миномётных батарей противника. Разведывательный отряд, действующий в тылу противника, совершил налёт на немецкий гарнизон, уничтожил 60 немецких солдат и офицеров, взорвал 3 орудия и склад боеприпасов.</w:t>
      </w:r>
    </w:p>
    <w:p w14:paraId="6DE40A4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Карельском фронте бойцы и командиры Н-ского соединения за последние четыре дня истребили до 200 белофинских солдат и офицеров, 77 из них убиты снайперами. Отличились снайперы этого соединения тт. Куликов, Питаев, Климовский, Шмонин и Бецаров.</w:t>
      </w:r>
    </w:p>
    <w:p w14:paraId="606B99E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Партизанские отряды, действующие на территории Минской области, за десять дней ноября месяца пустили под откос 17 железнодорожных эшелонов, в том числе 2 с живой силой противника. Уничтожено 7 паровозов и 51 вагон. Кроме того, в боях с оккупантами советские патриоты истребили l60 и ранили 50 немецких солдат и офицеров.</w:t>
      </w:r>
    </w:p>
    <w:p w14:paraId="1AFC888B"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гнусном преступлении немецко-фашистских мерзавцев в деревне Семёновка, Орловской области. Семь девушек из этой деревни были насильно увезены в соседний город для отправки их в Германию. По дороге девушки сбежали и вернулись в свою деревню. Несколько дней спустя гитлеровские людоеды согнали на площадь всех жителей Семёновки и расстреляли вернувшихся девушек.»</w:t>
      </w:r>
    </w:p>
    <w:p w14:paraId="650EEA80"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08471E93"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Новый удар по противнику.</w:t>
      </w:r>
    </w:p>
    <w:p w14:paraId="2B6C9A5C"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Началось наступление наших войск на центральном фронте.</w:t>
      </w:r>
    </w:p>
    <w:p w14:paraId="006A94A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днях наши войска перешли в наступление в районе восточнее города Великие Луки и в районе западнее города Ржев. Преодолевая упорное сопротивление противника, наши войска прорвали сильно укреплённую оборонительную полосу противника. В районе города Великие Луки фронт немцев прорван протяжением 30 км. В районе западнее города Ржев фронт противника прорван в трёх местах: в одном месте протяжением 20 км., надругом участке протяжением 17 км. и на третьем участке протяжением до 10 км. На всех указанных направлениях наши войска продвинулись в глубину от 12 до 30 км. Нашими войсками перерваны железные дороги Великие Луки — Невель, Великие Луки — Новосокольники, а также железная дорога Ржев—Вязьма.</w:t>
      </w:r>
    </w:p>
    <w:p w14:paraId="13D5FE0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Противник, пытаясь задержать продвижение наших войск, ведёт многочисленные и ожесточённые контратаки. Контратаки противника с успехом отбиваются с большими для него потерями.</w:t>
      </w:r>
    </w:p>
    <w:p w14:paraId="137FE65C"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наступления наших войск освобождено свыше 300 населённых пунктов и разгромлены 4 пехотные дивизии и одна танковая дивизия немцев.</w:t>
      </w:r>
    </w:p>
    <w:p w14:paraId="2CB507CA"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три дня боёв захвачены до 400 человек пленных, 138 орудий, 110 миномётов, 593 пулемёта, 3.592 винтовки, склады с боеприпасами, продовольствием и вещевым имуществом.</w:t>
      </w:r>
    </w:p>
    <w:p w14:paraId="37F8A098"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Уничтожено 106 орудий, 180 миномётов, 300 пулемётов и 50 танков.</w:t>
      </w:r>
    </w:p>
    <w:p w14:paraId="5835BEFF"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Противник оставил на поле боя до 10.000 трупов солдат и офицеров.</w:t>
      </w:r>
    </w:p>
    <w:p w14:paraId="20ED21A4"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боях отличились войска генерал-майора Тарасова, генерал-майора Галицкого, генерал-майора Зыгина, генерал-майора Поветкина, полковника Виноградова, полковника Репина, майора Зубатова, полковника Маслова, полковника Михайлова, полковника Князькова, полковника Бусарова, полковника Андрюшенко.</w:t>
      </w:r>
    </w:p>
    <w:p w14:paraId="443064B9"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продолжится.» (14842).</w:t>
      </w:r>
    </w:p>
    <w:p w14:paraId="0F94E660"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5E56AA32"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27 ноября </w:t>
      </w:r>
      <w:r w:rsidRPr="00722885">
        <w:rPr>
          <w:rFonts w:ascii="Times New Roman" w:hAnsi="Times New Roman"/>
          <w:color w:val="000000" w:themeColor="text1"/>
          <w:sz w:val="16"/>
          <w:szCs w:val="16"/>
        </w:rPr>
        <w:t>в 1942 году наступление войск Северной группы Закавказского фронта западнее города Орджоникидзе против 1-й немецкой танковой армии. - Затопление французскими моряками кораблей своего флота в Тулоне с целью не допустить их захвата фашистской Германией (14842).</w:t>
      </w:r>
    </w:p>
    <w:p w14:paraId="3DCC1848"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59CC4D0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0DB3312D" w14:textId="77777777" w:rsidR="00090C9B" w:rsidRPr="00722885" w:rsidRDefault="00090C9B" w:rsidP="00722885">
      <w:pPr>
        <w:pStyle w:val="Iauiue"/>
        <w:jc w:val="both"/>
        <w:rPr>
          <w:iCs/>
          <w:color w:val="000000" w:themeColor="text1"/>
          <w:sz w:val="16"/>
          <w:szCs w:val="16"/>
        </w:rPr>
      </w:pPr>
    </w:p>
    <w:p w14:paraId="2E7250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1942 года Мурманский облисполком установил для населения области норму мясо- и рыбопродуктов на декабрь: 4 кг для рабочих и ИТР, 3,2 кг для служащих, 1,5 кг для иждивенцев и 2 кг для детей до 12 лет. В месяц на человека отпускалось два куска мыла (1 кусок туалетного и 1 хозяйственного) и 5 коробок спичек. Согласно тому же решению облисполкома горожане могли выбирать: либо сразу получить месячную норму продуктов на руки (кроме хлеба - хлеб продавался по дням), либо питаться в столовых. В этом случае человек получал столовую карточку вместо продовольственной. Трудоспособные иждивенцы, подлежавшие мобилизации на производство, но не желающие работать, продуктовой карточки не получали и снабжались только хлебом и сахаром. Для закрытых детских учреждений, больниц, доноров, беременных женщин и кормящих матерей сохранялось дополнительное снабжение продуктами сверх карточки (Там же, ф. Р-405, оп. 1, д. 255, л. 5, 6; д. 282, л. 149, 150, 150 об.) (11911).</w:t>
      </w:r>
    </w:p>
    <w:p w14:paraId="7298970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2E6C11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98A1EDE" w14:textId="77777777" w:rsidR="00090C9B" w:rsidRPr="00722885" w:rsidRDefault="00090C9B" w:rsidP="00722885">
      <w:pPr>
        <w:pStyle w:val="Iauiue"/>
        <w:jc w:val="both"/>
        <w:rPr>
          <w:iCs/>
          <w:color w:val="000000" w:themeColor="text1"/>
          <w:sz w:val="16"/>
          <w:szCs w:val="16"/>
        </w:rPr>
      </w:pPr>
    </w:p>
    <w:p w14:paraId="52CEF520"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27 ноября </w:t>
      </w:r>
      <w:r w:rsidRPr="00722885">
        <w:rPr>
          <w:rFonts w:ascii="Times New Roman" w:hAnsi="Times New Roman"/>
          <w:color w:val="000000" w:themeColor="text1"/>
          <w:sz w:val="16"/>
          <w:szCs w:val="16"/>
        </w:rPr>
        <w:t>в 1942 году немецкие войска завершили операцию "Антон" - оккупацию территории Франции, контролировавшуюся т.н. "правительством Виши"</w:t>
      </w:r>
    </w:p>
    <w:p w14:paraId="689EBB97"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на встрече представителей партизанских групп в Лионе создано Объединенное движение Сопротивления Франции (14842).</w:t>
      </w:r>
    </w:p>
    <w:p w14:paraId="2C8F906F"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1AA4C07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27 ноября 1942 французские моряки потопили свой флот в Тулон</w:t>
      </w:r>
      <w:r w:rsidR="00C77C92" w:rsidRPr="00722885">
        <w:rPr>
          <w:color w:val="000000" w:themeColor="text1"/>
          <w:sz w:val="16"/>
          <w:szCs w:val="16"/>
        </w:rPr>
        <w:t>е</w:t>
      </w:r>
      <w:r w:rsidRPr="00722885">
        <w:rPr>
          <w:color w:val="000000" w:themeColor="text1"/>
          <w:sz w:val="16"/>
          <w:szCs w:val="16"/>
        </w:rPr>
        <w:t xml:space="preserve"> (4962).</w:t>
      </w:r>
    </w:p>
    <w:p w14:paraId="3D78CD1B" w14:textId="77777777" w:rsidR="00090C9B" w:rsidRPr="00722885" w:rsidRDefault="00090C9B" w:rsidP="00722885">
      <w:pPr>
        <w:pStyle w:val="Iauiue"/>
        <w:tabs>
          <w:tab w:val="left" w:pos="11199"/>
        </w:tabs>
        <w:jc w:val="both"/>
        <w:rPr>
          <w:color w:val="000000" w:themeColor="text1"/>
          <w:sz w:val="16"/>
          <w:szCs w:val="16"/>
        </w:rPr>
      </w:pPr>
    </w:p>
    <w:p w14:paraId="5E6154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27 ноября 1942 немцы захватили Тулон и французы затопили свой флот (2438,56).</w:t>
      </w:r>
    </w:p>
    <w:p w14:paraId="570328CA" w14:textId="77777777" w:rsidR="00090C9B" w:rsidRPr="00722885" w:rsidRDefault="00090C9B" w:rsidP="00722885">
      <w:pPr>
        <w:pStyle w:val="Iauiue"/>
        <w:jc w:val="both"/>
        <w:rPr>
          <w:color w:val="000000" w:themeColor="text1"/>
          <w:sz w:val="16"/>
          <w:szCs w:val="16"/>
        </w:rPr>
      </w:pPr>
    </w:p>
    <w:p w14:paraId="2F40A56D" w14:textId="77777777" w:rsidR="00C77C92" w:rsidRPr="00722885" w:rsidRDefault="00C77C92"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27 ноября </w:t>
      </w:r>
      <w:r w:rsidRPr="00722885">
        <w:rPr>
          <w:rFonts w:ascii="Times New Roman" w:hAnsi="Times New Roman"/>
          <w:color w:val="000000" w:themeColor="text1"/>
          <w:sz w:val="16"/>
          <w:szCs w:val="16"/>
        </w:rPr>
        <w:t>в 1942 году затопление французскими моряками кораблей своего флота в Тулоне с целью не допустить их захвата фашистской Германией (14842).</w:t>
      </w:r>
    </w:p>
    <w:p w14:paraId="5E170A7B" w14:textId="77777777" w:rsidR="00C77C92" w:rsidRPr="00722885" w:rsidRDefault="00C77C92" w:rsidP="00722885">
      <w:pPr>
        <w:spacing w:after="0" w:line="240" w:lineRule="auto"/>
        <w:jc w:val="both"/>
        <w:rPr>
          <w:rFonts w:ascii="Times New Roman" w:hAnsi="Times New Roman"/>
          <w:color w:val="000000" w:themeColor="text1"/>
          <w:sz w:val="16"/>
          <w:szCs w:val="16"/>
        </w:rPr>
      </w:pPr>
    </w:p>
    <w:p w14:paraId="34FA0041" w14:textId="77777777" w:rsidR="004318C9"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5E882D8" w14:textId="77777777" w:rsidR="004318C9" w:rsidRPr="00722885" w:rsidRDefault="004318C9" w:rsidP="00722885">
      <w:pPr>
        <w:pStyle w:val="Iauiue"/>
        <w:jc w:val="both"/>
        <w:rPr>
          <w:iCs/>
          <w:color w:val="000000" w:themeColor="text1"/>
          <w:sz w:val="16"/>
          <w:szCs w:val="16"/>
        </w:rPr>
      </w:pPr>
    </w:p>
    <w:p w14:paraId="73F09260"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28 ноября 1942 г. в письме, адресованном Военному Совету Уральского военного округа, М.Л. Миль и СВ. Пасхин писсали, что разработали, создали и провели огневые испытания трех различных вариантов своего СРГ. «Эти испытания показали необходимость доводки образцов, которая сейчас производится». </w:t>
      </w:r>
    </w:p>
    <w:p w14:paraId="6F2C5B18"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Там же упоминается, что 15 августа полное описание изобретения уже было послано в отдел военных изобретений ГКО, т.е. «идея созрела» намного раньше.</w:t>
      </w:r>
    </w:p>
    <w:p w14:paraId="13AF890E"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«Реактивный снаряд типа РС-82, который, благодаря большой скорости на малой дистанции, при соответствующем оформлении снаряда получает достаточную бронебойность и прицельность».</w:t>
      </w:r>
    </w:p>
    <w:p w14:paraId="50298FC3"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М.Л. Миль писал: «...Реактивные орудия и снаряды —серийные, а производство с</w:t>
      </w:r>
      <w:hyperlink r:id="rId173"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 может быть развернуто очень быстро».</w:t>
      </w:r>
    </w:p>
    <w:p w14:paraId="657D1616"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письме также упоминается, «...балка может быть расположена полозками вниз или вверх или вращающаяся на продольной оси с целью удобства заряжания ружья с казенной части».</w:t>
      </w:r>
    </w:p>
    <w:p w14:paraId="0AC53990"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Миль также писал: «Из последнего образца я лично стрелял, причем получилась удовлетворительная прицельность. В настоящее время подготавливаются окончательные испытания образцов после некоторой доработки» (15595).</w:t>
      </w:r>
    </w:p>
    <w:p w14:paraId="4B3E0E8C"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26C0E468"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1073190" w14:textId="77777777" w:rsidR="00090C9B" w:rsidRPr="00722885" w:rsidRDefault="00090C9B" w:rsidP="00722885">
      <w:pPr>
        <w:pStyle w:val="Iauiue"/>
        <w:jc w:val="both"/>
        <w:rPr>
          <w:iCs/>
          <w:color w:val="000000" w:themeColor="text1"/>
          <w:sz w:val="16"/>
          <w:szCs w:val="16"/>
        </w:rPr>
      </w:pPr>
    </w:p>
    <w:p w14:paraId="1C053B9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ноября 1942 года директор завода № 592 вновь направил в наркомат вооружения письмо, в котором писал:</w:t>
      </w:r>
    </w:p>
    <w:p w14:paraId="0FCC581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«Сообщаю, что по постановлению ГКО № 2429 программа поставки заводу № 592 отремонтированных трофейных танков Т-3 и „Артштурм“ за октябрь не выполнена на 7 единиц. Это недовыполнение программы даёт заводу лишь формальное основание для заявления о срыве программы сдачи машин. По существу же завод № 592 не сдал и тех 10 танков, которые были поставлены ему даже ранее назначенного срока.</w:t>
      </w:r>
    </w:p>
    <w:p w14:paraId="2D5B44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592 имеет готовые чертежи на монтаж установки и за период задержки 7 танков мог произвести подготовительные работы с тем расчетом, чтобы сократить длительность технологического цикла в дальнейшем и программу наверстать. Завод не сделал этого потому, что люди его были заняты на монтаже первых 10 машин и простоя не имели. Это подтверждается тем, что начиная с 20 ноября, несмотря на наши требования, завод отказывается принимать готовые танки, мотивируя это отсутствием рабочих мест в цехе.</w:t>
      </w:r>
    </w:p>
    <w:p w14:paraId="216CBC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Относительно качества ремонта танков сообщаю Вам, что все машины прошли предварительные испытания и прияты заводом № 592.</w:t>
      </w:r>
    </w:p>
    <w:p w14:paraId="638B56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отрицая отдельных дефектов ремонта можно быть уверенным, что если в процессе монтажа установки машинам не будут нанесены повреждения, и надежность ходовой части и трансмиссии посте установки на нее СГ проверена расчетом и испытанием, то не возникает никаких сомнений в том, что машины будут пригодны для поставки их в Армию.</w:t>
      </w:r>
    </w:p>
    <w:p w14:paraId="738BED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Вас убедительно прошу указать заводу № 592 на более внимательное отношение к материальной части танков в процессе монтажа СГ, так как при работе с первой партией имели место крайне нежелательные явления, как то: у многих машин были побиты контрольные приборы, водной машине передний торсион был приварен к постаменту пушки, одна машина была разморожена и возвращена в повторный ремонт.</w:t>
      </w:r>
    </w:p>
    <w:p w14:paraId="5A24FF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 своей стороны принимаю все меры к поставке танков в срок и непрерывному улучшению качества ремонта».</w:t>
      </w:r>
    </w:p>
    <w:p w14:paraId="587D1E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Кстати, на эту дату — 28 ноября — на заводе № 592 имелось готовых к сдаче лишь четыре машины СГ-122, хотя по плану должен был к концу месяца сдать уже 30 самоходок (12688).</w:t>
      </w:r>
    </w:p>
    <w:p w14:paraId="52FD229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4259376" w14:textId="77777777" w:rsidR="00AA36A2" w:rsidRPr="00722885" w:rsidRDefault="00AA36A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28 ноября 1942 ГАЗ-71, которую в переписке называли СУ-71 и которая должна была быть готова к 15 ноября 1942 года, как требовало постановление ГКО № 2429, построили, и она готовилась к заводским испытаниям. САУ получилась весьма оригинальной: формально СУ-71 базировалась на шасси Т-70Б, но в исходную конструкцию шасси внесли множество изменений. Ведущие колёса вместе с бортовыми передачами были перенесены из передней части корпуса в корму. Ленивцы, соответственно, перекочевали в носовую часть, одновременно лишившись обрезинивания. В корму, а именно под пол боевого отделения, справа по ходу движения, перекочевали коробки передач от ГАЗ ММ и фрикционы. Под пол боевого отделения, слева по ходу движения, перекочевали и топливные баки.</w:t>
      </w:r>
    </w:p>
    <w:p w14:paraId="4096F913" w14:textId="77777777" w:rsidR="00AA36A2" w:rsidRPr="00722885" w:rsidRDefault="00AA36A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отличие от СУ-31, коробки передач не были разнесены по бортам корпуса, а оказались установлены вплотную друг к другу, рядом с ними были расположены и фрикционы. Блокировку главных фрикционов конструкторы выполнили таким образом, что их можно было выключать раздельно, благодаря чему имелась возможность двигаться на одном моторе. Сами двигатели остались в носовой части СУ-71, но их расположили вплотную друг к другу, сместив вправо, а место механика-водителя перекочевало к левому борту.</w:t>
      </w:r>
    </w:p>
    <w:p w14:paraId="7ADE1442" w14:textId="77777777" w:rsidR="00AA36A2" w:rsidRPr="00722885" w:rsidRDefault="00AA36A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 менее оригинально был выполнен корпус СУ-71. Его лобовая часть собиралась не из трёх, а из двух деталей. В нижнем лобовом листе имелись лючки для доступа к механизмам заводки двигателей, а в верхнем находились люк механика-водителя и люк доступа к двигателю. Установка вооружения также отличалась: от ЗИС-3 использовались только качающаяся часть и верхний станок, который своим штырём устанавливался в гнездо на лобовом листе рубки. Подобная конструкция предусматривалась ещё на заводе № 37, но там так и не была реализована. Благодаря этому решению в рубке стало ещё просторнее (по сравнению с СУ-32). Противооткатные механизмы пушки прикрывались кожухом весьма сложной формы.</w:t>
      </w:r>
    </w:p>
    <w:p w14:paraId="34BC1752" w14:textId="77777777" w:rsidR="00AA36A2" w:rsidRPr="00722885" w:rsidRDefault="00AA36A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Верхние борта корпуса и рубки были выполнены как единое целое и имели наклонное расположение. Благодаря такому решению СУ-71 имела более просторное боевое отделение. Правда, уровень пола оказался заметно выше из-за того, что под ним размещались топливные баки и элементы трансмиссии. Доступ в боевое отделение осуществлялся через большой двустворчатый люк в верхнем кормовом листе рубки. Радиостанция размещалась слева по ходу движения, при этом место командира и его перископический прибор находились справа. Боезапас размещался в укладке под пушкой (15 выстрелов) и в ящиках по бортам боевого отделения (три ящика справа и один слева, их крышки в походном положении выполняли роль сидений), ещё восемь выстрелов крепилось с внутренней стороны задней стенки рубки. Из-за того что на СУ-71 отсутствовали крылья, большую часть шанцевого инструмента также разместили в боевом отделении (17690).</w:t>
      </w:r>
    </w:p>
    <w:p w14:paraId="2ED77BA2" w14:textId="77777777" w:rsidR="00AA36A2" w:rsidRPr="00722885" w:rsidRDefault="00AA36A2" w:rsidP="00722885">
      <w:pPr>
        <w:spacing w:after="0" w:line="240" w:lineRule="auto"/>
        <w:jc w:val="both"/>
        <w:rPr>
          <w:rFonts w:ascii="Times New Roman" w:hAnsi="Times New Roman"/>
          <w:color w:val="000000" w:themeColor="text1"/>
          <w:sz w:val="16"/>
          <w:szCs w:val="16"/>
        </w:rPr>
      </w:pPr>
    </w:p>
    <w:p w14:paraId="1BAEBD56" w14:textId="77777777" w:rsidR="00AA36A2" w:rsidRPr="00722885" w:rsidRDefault="00AA36A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состоянию на 28 ноября 1942 года корпус зенитной самоходной установки ГАЗ-72  не был сварен. По оптимистичным прогнозам заводской дирекции, ожидалось изготовить опытный образец к 6 декабря, но в реальности сроки затянулись. В целом машина повторяла по конструкции ГАЗ-71. Разница состояла в том, что в кормовой части размещалась установка 37-мм зенитного автомата 61-К. Конструктивно установка мало отличалась от той, что ставилась на СУ-31. Чтобы разместить установку, в кормовой части пришлось делать расширение.</w:t>
      </w:r>
    </w:p>
    <w:p w14:paraId="19A24AA9" w14:textId="77777777" w:rsidR="00AA36A2" w:rsidRPr="00722885" w:rsidRDefault="00AA36A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После того как СУ-71 забраковали, пропал и интерес к ГАЗ-72. Поскольку эти машины строились на общем шасси, было очевидно, что на ходовых испытаниях машину ждут аналогичные проблемы. Кроме того, возникали дополнительные проблемы с обслуживанием трансмиссии. Чтобы получить доступ к её элементам, требовалось снять зенитную установку. Неудивительно, что дальше заводских испытаний работа над ГАЗ-72 не продвинулась.</w:t>
      </w:r>
    </w:p>
    <w:p w14:paraId="0216F4A3" w14:textId="77777777" w:rsidR="00AA36A2" w:rsidRPr="00722885" w:rsidRDefault="00AA36A2"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Впрочем, на этом разработка лёгких САУ на ГАЗ им. Молотова не закончилась. В мае 1943 года на испытания вышла САУ ГАЗ-74 (17690).</w:t>
      </w:r>
    </w:p>
    <w:p w14:paraId="45B3D061" w14:textId="77777777" w:rsidR="00AA36A2" w:rsidRPr="00722885" w:rsidRDefault="00AA36A2" w:rsidP="00722885">
      <w:pPr>
        <w:spacing w:after="0" w:line="240" w:lineRule="auto"/>
        <w:jc w:val="both"/>
        <w:rPr>
          <w:rFonts w:ascii="Times New Roman" w:hAnsi="Times New Roman"/>
          <w:color w:val="000000" w:themeColor="text1"/>
          <w:sz w:val="16"/>
          <w:szCs w:val="16"/>
        </w:rPr>
      </w:pPr>
    </w:p>
    <w:p w14:paraId="1E4DF7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ноября 1942 года вышел приказ НКБ за № 740с во исполнение Постановления СНК от № 18398 РС от 26 сентября 1942 года, которыми завод № 677 с 1 октября 1942 года был выделен в самостоятельный завод № 677 НКБ.</w:t>
      </w:r>
    </w:p>
    <w:p w14:paraId="302846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Затем завод переходил в Министерство с/х машиностроения, Министерство машиностроения и в МОП, не меняя в основном своего профиля производства – взрыватели.</w:t>
      </w:r>
    </w:p>
    <w:p w14:paraId="1430B2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Адрес: Новосибирск, Кировский район, п/я 159</w:t>
      </w:r>
    </w:p>
    <w:p w14:paraId="2B4F54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Директор – Гутов (10043).</w:t>
      </w:r>
    </w:p>
    <w:p w14:paraId="1D5DFC86" w14:textId="77777777" w:rsidR="00090C9B" w:rsidRPr="00722885" w:rsidRDefault="00090C9B" w:rsidP="00722885">
      <w:pPr>
        <w:pStyle w:val="Iauiue"/>
        <w:jc w:val="both"/>
        <w:rPr>
          <w:color w:val="000000" w:themeColor="text1"/>
          <w:sz w:val="16"/>
          <w:szCs w:val="16"/>
        </w:rPr>
      </w:pPr>
    </w:p>
    <w:p w14:paraId="39AD6B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ноября 1942 вышло Постановление ГКО № 2550 Об организации аккумуляторного завода на Урале. РГАНИР, Фонд ГКО, д. 70, лл. 171-174, 175-176 (11012).</w:t>
      </w:r>
    </w:p>
    <w:p w14:paraId="4D118B3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51647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ноября 1942 вышло Постановление ГКО № 2551 О мероприятиях по обеспечению выполнения программы по бронекорпусам для танков. РГАНИР, Фонд ГКО, д. 70, лл. 177-180 (11012).</w:t>
      </w:r>
    </w:p>
    <w:p w14:paraId="32C670A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1DCCB54"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E711762" w14:textId="77777777" w:rsidR="00090C9B" w:rsidRPr="00722885" w:rsidRDefault="00090C9B" w:rsidP="00722885">
      <w:pPr>
        <w:pStyle w:val="Iauiue"/>
        <w:jc w:val="both"/>
        <w:rPr>
          <w:iCs/>
          <w:color w:val="000000" w:themeColor="text1"/>
          <w:sz w:val="16"/>
          <w:szCs w:val="16"/>
        </w:rPr>
      </w:pPr>
    </w:p>
    <w:p w14:paraId="239AB11E"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28 ноября </w:t>
      </w:r>
      <w:r w:rsidRPr="00722885">
        <w:rPr>
          <w:rFonts w:ascii="Times New Roman" w:hAnsi="Times New Roman"/>
          <w:color w:val="000000" w:themeColor="text1"/>
          <w:sz w:val="16"/>
          <w:szCs w:val="16"/>
        </w:rPr>
        <w:t>в 1942 году утреннее сообщение Совинформбюро:</w:t>
      </w:r>
    </w:p>
    <w:p w14:paraId="0089A451"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28 ноября под Сталинградом наши войска продолжали наступление на прежних направлениях.</w:t>
      </w:r>
    </w:p>
    <w:p w14:paraId="3B7177CA"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северной части города Сталинграда наши подразделения в ночном бою истребили до роты немецких солдат и офицеров и очистили от противника ряд зданий. Захвачены 8 пулемётов, 2 миномёта, 3 противотанковых ружья и радиостанция. Взаводской части города наши бойцы заняли до двадцати дзотов и блиндажей противника и уничтожили свыше 100 гитлеровцев.</w:t>
      </w:r>
    </w:p>
    <w:p w14:paraId="0B0D5B5A"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преодолевая сопротивление противника, продвигались вперёд. Н-ская часть разгромила батальон немецкой пехоты, усиленный танками. На поле боя осталось свыше 300 вражеских трупов. Подбито и сожжено 7 немецких танков. Нашими бойцами захвачены 6 орудий, 17 пулемётов, 9 миномётов, 8 автомашин и склад с боеприпасами. На другом участке советские танкисты проникли в глубину обороны противника и уничтожили до 400 немецких солдат и офицеров, 21 орудие, 2 батареи противотанковой обороны, 25 пулемётов и 30 автомашин.</w:t>
      </w:r>
    </w:p>
    <w:p w14:paraId="1A7637E8"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продолжали вести успешные наступательные бои. На одном участке противник, стремясь задержать продвижение советских частей, предпринял контратаку. В трёхчасовом сражении наши бойцы нанесли противнику тяжёлый урон и на плечах отступавших гитлеровцев ворвались в населённый пункт. Уничтожено свыше 400 немецких солдат и офицеров. Захвачены 3 исправных танка, 8 орудий, 23 пулемёта, 5 миномётов, склад боеприпасов и продовольственный склад. Взяты пленные.</w:t>
      </w:r>
    </w:p>
    <w:p w14:paraId="444B7933"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советские бойцы овладели одной высотой имеющей важное значение. Противник силою свыше батальона пехоты и 6 танков несколько раз атаковал наши подразделения с целью вернуть потерянные позиции. Атаки гитлеровцев отбиты. В бою за эту высоту уничтожено 180 солдат и офицеров противника. Захвачены 4 пулемёта, 2 миномёта, несколько автомашин и пленные. На другом участке наши разведчики под командованием тов. Шаршакова в тылу врага уничтожили 70 гитлеровцев.</w:t>
      </w:r>
    </w:p>
    <w:p w14:paraId="1E758307"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 артиллеристы, снайперы и разведчики за три дня истребили свыше 1.000 вражеских солдат и офицеров, разрушили 28 дзотов и блиндажей, уничтожили 2 противотанковые пушки и 7 станковых пулемётов противника.</w:t>
      </w:r>
    </w:p>
    <w:p w14:paraId="1D3073CB"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подступах к Ленинграду наши лётчики сбили в воздушных боях 2 немецких самолёта.</w:t>
      </w:r>
    </w:p>
    <w:p w14:paraId="66D6FAD3"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украинских партизан провела несколько успешных боевых операций. Советские патриоты разгромили две железнодорожные станции, взорвала паровоз, 2 водокачки и 35 железнодорожных вагонов с грузом. Кроме того, партизаны уничтожили 9 автомашин, 6 тракторов, сожгли вещевой склад, склад горючего и 3железнодорожных пакгауза с разным военным имуществом противника. В боях с партизанами гитлеровцы потеряли убитыми свыше 300 солдат и офицеров. Советские патриоты захватили 11 пулемётов, 148 винтовок, несколько тысяч патронов и другие трофеи.</w:t>
      </w:r>
    </w:p>
    <w:p w14:paraId="606166D0"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истребляют население временно захваченных ими советских районов. В деревне Прудяне, Витебской области, отряд гестаповцев загнал крестьян вместе с детьми на скотный двор и забросал их гранатами. В деревне Заречье, этой же области, гитлеровцы сожгли все дома, а жителей отправили на каторжные работы в Германию.</w:t>
      </w:r>
    </w:p>
    <w:p w14:paraId="13B22490"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Радома (Польша) польские патриоты пустили под откос немецкий воинский эшелон. При крушении убито и ранено свыше 200 гитлеровцев.» (14843).</w:t>
      </w:r>
    </w:p>
    <w:p w14:paraId="34316A7A"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66CE8CB4"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28 ноября </w:t>
      </w:r>
      <w:r w:rsidRPr="00722885">
        <w:rPr>
          <w:rFonts w:ascii="Times New Roman" w:hAnsi="Times New Roman"/>
          <w:color w:val="000000" w:themeColor="text1"/>
          <w:sz w:val="16"/>
          <w:szCs w:val="16"/>
        </w:rPr>
        <w:t>в 1942 году вечернее сообщение Совинформбюро:</w:t>
      </w:r>
    </w:p>
    <w:p w14:paraId="1CF8D30C"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28 ноября наши войска в районе города Сталинграда, преодолевая сопротивление противника, продолжали наступление на прежних направлениях.</w:t>
      </w:r>
    </w:p>
    <w:p w14:paraId="10C53E4A"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заняли населённые пункты Акимовский, Нижне-Гниловский, Кислов, Логовский, Ерицкий, Чилеков, Шестаков, Антонов, Ромашкин, Кругляков, Небыков,Самохин, Жутов 2-й, Нижний и Верхний Яблочный, станцию Чилеково.</w:t>
      </w:r>
    </w:p>
    <w:p w14:paraId="79F368EF"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ноября частями нашей авиации на различных участках фронта уничтожено 40 автомашин с войсками, разбит железнодорожный состав, подавлен огонь 5 артиллерийских батарей, рассеяно и частью уничтожено до батальона пехоты противника.</w:t>
      </w:r>
    </w:p>
    <w:p w14:paraId="0A0D80AE"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северной части города Сталинграда наши части в результате упорных боёв полностью заняли рабочий посёлок. Немцы предприняли несколько контратак, но, потеряв свыше 500 солдат и офицеров убитыми и много оружия, откатились на исходные позиции. На южной окраине города бои приобретают всё более ожесточённый характер. Бойцы Н-ской части выбили гитлеровцев из 18 дзотов, 7 блиндажей и истребили 350 немецких солдат и офицеров. Захвачено 2 орудия, 9 станковых пулемётов и много боеприпасов.</w:t>
      </w:r>
    </w:p>
    <w:p w14:paraId="430E3D65"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продолжали наступление. Противник подтянул резервы и контратаками стремится задержать продвижение советских частей. На одном участке крупные силы пехоты и танков противника атаковали наши позиции. Огнём артиллерии и контрударами наших войск гитлеровцы были отброшены с большими для них потерями. На поле боя остались многие сотни вражеских трупов. На другом участке наши части, продвигаясь вперёд, заняли железнодорожную станцию и взяли много пленных. Захвачены 19 орудий разных калибров, 44 пулемёта, вещевые и продовольственные склады. На соседнем участке наша часть разгромила полк вражеской пехоты и, преследуя отступающего противника, заняла населённый пункт. Захвачены 8 танков, 13 орудий, 26 пулемётов и склад боеприпасов. За два днягвардейцы под командованием тов. Фоканова ружейно-пулемётным огнём сбили 7немецких самолётов. Бойцы под командованием тов. Гайдукова сбили 4 самолёта противника.</w:t>
      </w:r>
    </w:p>
    <w:p w14:paraId="14562FA6"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успешные наступательные операции. Н-ская моторизованная часть, преследуя отступающих гитлеровцев, истребила 550 вражеских солдат и офицеров, уничтожила 9 немецких танков и захватила 19 орудий, 31 миномёт, 26 автомашин, 3 радиостанции, 130 лошадей и другие трофеи. Взято много пленных. На другом участке наши части уничтожили 600 гитлеровцев и захватили трофеи и пленных. Советские лётчики в сложных метеорологическихусловиях продолжали наносить удары по войскам противника.</w:t>
      </w:r>
    </w:p>
    <w:p w14:paraId="496EB29E"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ворвались в один населённый пункт, имеющий важное тактическое значение. По неполным данным, уничтожено до 300 вражеских солдат и офицеров. На другом участке огнём нашей артиллерии рассеяно и частично уничтожено до двух рот пехоты противника.</w:t>
      </w:r>
    </w:p>
    <w:p w14:paraId="36C743E5"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происходили бои местного значения. На одном участке советские бойцы уничтожили до 200 солдат и офицеров противника. Разведывательныйотряд одного нашего подразделения взорвал 5 дзотов и истребил несколько десятков румынских солдат.</w:t>
      </w:r>
    </w:p>
    <w:p w14:paraId="158482A2"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Краснофлотцы-артиллеристы Краснознамённого Балтийского флота под командованием тов. Дмитриева подавили огонь 5 немецких дальнобойных батарей. Подразделение старшего лейтенанта Саковского прямыми попаданиями уничтожило сильно укреплённый дзот противника вместе с его гарнизоном.</w:t>
      </w:r>
    </w:p>
    <w:p w14:paraId="17943D8C"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Смоленской области, произвёл налёт на одну железнодорожную станцию. Партизаны ночью ворвались на станцию, разбившись на две группы. Одна группа партизан забросала гранатами дома, в которых находился немецкий гарнизон. В то же время другая группа партизан уничтожала составы, находившиеся на станции. В результате налёта уничтожено 370 немецко-фашистских захватчиков из 661 и 675 охранных батальонов противника, взорван эшелон с находившимися на платформах 17 самолётами, второй эшелон с бронетягачами, сожжено 2 цистерны с горючим, уничтожено 2 вагона боеприпасов, 13 автомашин, подожжено несколько складов, разрушены пути и здание станции.</w:t>
      </w:r>
    </w:p>
    <w:p w14:paraId="2D09DC48"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территории, освобождённой от немецко-фашистских войск, наши бойцы обнаружили растерзанные трупы двух советских танкистов — старшего лейтенанта Михайлова и механика-водителя Аботина. Танкисты были ранены и попали в плен. Озверелые гитлеровцы подвергли раненых советских бойцов чудовищным пыткам и замучили их насмерть.» (14843).</w:t>
      </w:r>
    </w:p>
    <w:p w14:paraId="6E548760"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3BDA6A2E"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28 ноября </w:t>
      </w:r>
      <w:r w:rsidRPr="00722885">
        <w:rPr>
          <w:rFonts w:ascii="Times New Roman" w:hAnsi="Times New Roman"/>
          <w:color w:val="000000" w:themeColor="text1"/>
          <w:sz w:val="16"/>
          <w:szCs w:val="16"/>
        </w:rPr>
        <w:t>в 1942 году войска Калининского фронта окружили часть сил великолукской группировки противника в районе Ширипина (14843).</w:t>
      </w:r>
    </w:p>
    <w:p w14:paraId="45284DBD"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363B1C22"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28 1942 German General Manstein assumes command of the under strength Army Group Don, and is assigned the task of rescuing Paulus (Operation WINTER STORM) (1052).</w:t>
      </w:r>
    </w:p>
    <w:p w14:paraId="14B32157" w14:textId="77777777" w:rsidR="00090C9B" w:rsidRPr="00722885" w:rsidRDefault="00090C9B" w:rsidP="00722885">
      <w:pPr>
        <w:pStyle w:val="Iauiue"/>
        <w:jc w:val="both"/>
        <w:rPr>
          <w:color w:val="000000" w:themeColor="text1"/>
          <w:sz w:val="16"/>
          <w:szCs w:val="16"/>
          <w:lang w:val="en-US"/>
        </w:rPr>
      </w:pPr>
    </w:p>
    <w:p w14:paraId="3712CA0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28 ноября 1942 г Манштейн принял командование над АГ Дон с целью освобождения г Паулюса из окружения. Операция Зимний шторм (1052).</w:t>
      </w:r>
    </w:p>
    <w:p w14:paraId="66DDCDC1" w14:textId="77777777" w:rsidR="00090C9B" w:rsidRPr="00722885" w:rsidRDefault="00090C9B" w:rsidP="00722885">
      <w:pPr>
        <w:pStyle w:val="Iauiue"/>
        <w:jc w:val="both"/>
        <w:rPr>
          <w:color w:val="000000" w:themeColor="text1"/>
          <w:sz w:val="16"/>
          <w:szCs w:val="16"/>
        </w:rPr>
      </w:pPr>
    </w:p>
    <w:p w14:paraId="662B43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ноября 1942 Вермахт (Группа армий А) получила приказ об отступлении с Кавказа (2245,10).</w:t>
      </w:r>
    </w:p>
    <w:p w14:paraId="24B90134" w14:textId="77777777" w:rsidR="00090C9B" w:rsidRPr="00722885" w:rsidRDefault="00090C9B" w:rsidP="00722885">
      <w:pPr>
        <w:pStyle w:val="Iauiue"/>
        <w:jc w:val="both"/>
        <w:rPr>
          <w:color w:val="000000" w:themeColor="text1"/>
          <w:sz w:val="16"/>
          <w:szCs w:val="16"/>
        </w:rPr>
      </w:pPr>
    </w:p>
    <w:p w14:paraId="686FDE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ноября 1942 КА начала наступление на центральном фронте (2261).</w:t>
      </w:r>
    </w:p>
    <w:p w14:paraId="26B55185" w14:textId="77777777" w:rsidR="00090C9B" w:rsidRPr="00722885" w:rsidRDefault="00090C9B" w:rsidP="00722885">
      <w:pPr>
        <w:pStyle w:val="Iauiue"/>
        <w:jc w:val="both"/>
        <w:rPr>
          <w:color w:val="000000" w:themeColor="text1"/>
          <w:sz w:val="16"/>
          <w:szCs w:val="16"/>
        </w:rPr>
      </w:pPr>
    </w:p>
    <w:p w14:paraId="1505253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ноября 1942 во 2-ю группу эскадры с инспекторской проверкой прибыли офицеры генерального штаба люфтваффе, которые перед этим инспектировали 13.(Pz.)/JG51.</w:t>
      </w:r>
    </w:p>
    <w:p w14:paraId="0170CCC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Сразу же по прибытии в группу высокая комиссия с удивлением обнаружила, что пушки МК101 на всех "хеншелях" демонтированы и не используются, а вместо них установлены подфюзеляжные бомбодержатели ЕТС50. В качестве основных причин такого решения командованием группы указывались: недостаточная надежность автоматики пушки МК101, недостатки в ее размещении на самолете, а также низкая эффективность в бою.</w:t>
      </w:r>
    </w:p>
    <w:p w14:paraId="5F6BB6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мнению боевых летчиков, стрельба в воздухе по советским танкам из МК101 совершенно не эффективна, а бомбовая нагрузка в 100 кг -"погоды" не делает при любой номенклатуре бомб.</w:t>
      </w:r>
    </w:p>
    <w:p w14:paraId="4247CA3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Попытки обеспечить поражение танков путем стрельбы "на вскидку" длинными очередями продолжительностью более 1 сек приводили лишь к бесцельной трате боеприпасов, так как все снаряды конца очереди гарантированно уходили в "молоко". В то же время именно снаряды конца очереди имеют наибольший шанс, в случае попадания, пробить броню танка.</w:t>
      </w:r>
    </w:p>
    <w:p w14:paraId="5724A6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Оценки показывают, что вероятность поражения наземной цели при таком способе стрельбы в сравнении с прицельной стрельбой короткими очередями уменьшалась примерно в 3-4 раза.</w:t>
      </w:r>
    </w:p>
    <w:p w14:paraId="3409AC2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Тем не менее пилоты люфтваффе довольно активно использовали такой способ стрельбы из МК101. Соответственно, появились и жалобы летчиков на малый боекомплект к пушке.</w:t>
      </w:r>
    </w:p>
    <w:p w14:paraId="721F21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отличие от ранее посылаемых "наверх" отчетов, немецкие пилоты уже утверждали обратное: снаряды к пушке МК101 не способны устойчиво поражать броню советских "тридцатьчетверок" и КВ.</w:t>
      </w:r>
    </w:p>
    <w:p w14:paraId="2F55F01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Оперативный офицер генерального штаба люфтваффе в своем отчете о боевом применении авиации поля боя отмечал: "МК101 во многих случаях проявили себя кик недостаточно эффективное оружие. Вражеские танки часто сохраняли подвижность и боеспособность даже после нескольких прямых попаданий. Необходимо оснастить Hsl 29 более мощным оружием, способным вывести из строя вражеский танк с одного-двух попаданий".</w:t>
      </w:r>
    </w:p>
    <w:p w14:paraId="0EE8771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 тому же, автоматика пушки МК101 на морозе часто отказывала. Отказывала пушка и из-за попадания снега и грязи, отбрасываемых пропеллерами на взлете. При проверке на земле после чистки и регулировки пушки стреляли нормально, но в воздухе после взлета замолкали после первых же выстрелов. Специалисты 5-й инспекции генштаба люфтваффе только и могли, что разводить руками.</w:t>
      </w:r>
    </w:p>
    <w:p w14:paraId="072DE4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Оперативно связавшись с инспекцией истребительной авиации, комиссия генштаба, несмотря на явную неэффективность пушек МК101 в бою и их неготовность к боевой эксплуатации, получила категоричное указание: немедленно снять бомбодержатели и установить МК101...</w:t>
      </w:r>
    </w:p>
    <w:p w14:paraId="06A8D9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Бронированные "хеншели'" оказались совершенно не приспособленными к русским морозам. От морозов лопалась резина на колесах шасси, смазка каменела. маслопроводы замерзали и т.д. Поршневая группа настолько быстро изнашивалась. что моторы уже через 40 часов налета требовали полной переборки и капитального ремонта. В то же время в нормальных условиях эксплуатации "Гном-Роны" отрабатывали до 200 часов.</w:t>
      </w:r>
    </w:p>
    <w:p w14:paraId="16AF6A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Совершенно очевидно, что в сложившихся условиях все попытки немецких пилотов lI./Sch.G.l сдержать мощные удары советских танков оказались безуспешными, хотя немецкие пилоты, видимо, по инерции, в ряде случаев докладывали об уничтожении десятков советских танков.</w:t>
      </w:r>
    </w:p>
    <w:p w14:paraId="62A09C6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Из-за потерь от огня зенитной артиллерии и атак советских истребителей lI./Sch.G.l довольно быстро утрачивала боеспособность и с начала декабря эскадрильи группы стали выводиться в тыл для пополнения личным составом и новой техникой. Одновременно в состав группы временно вошла 13.(Pz.)/JG51 (8907).</w:t>
      </w:r>
    </w:p>
    <w:p w14:paraId="469DE1A8" w14:textId="77777777" w:rsidR="00090C9B" w:rsidRPr="00722885" w:rsidRDefault="00090C9B" w:rsidP="00722885">
      <w:pPr>
        <w:pStyle w:val="Iauiue"/>
        <w:jc w:val="both"/>
        <w:rPr>
          <w:color w:val="000000" w:themeColor="text1"/>
          <w:sz w:val="16"/>
          <w:szCs w:val="16"/>
        </w:rPr>
      </w:pPr>
    </w:p>
    <w:p w14:paraId="31E6BE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ноября 1942 в эскадру на «хеншеля» Нз 129В-1/Й2 с пушкой МК101 с инспекторской проверкой прибыли офицеры генерально</w:t>
      </w:r>
      <w:r w:rsidRPr="00722885">
        <w:rPr>
          <w:rFonts w:ascii="Times New Roman" w:hAnsi="Times New Roman"/>
          <w:color w:val="000000" w:themeColor="text1"/>
          <w:sz w:val="16"/>
          <w:szCs w:val="16"/>
        </w:rPr>
        <w:softHyphen/>
        <w:t>го штаба люфтваффе. Высокая комиссия с удивлением обнаружила, что пушки МК101 на всех «хеншелях» демонтиро</w:t>
      </w:r>
      <w:r w:rsidRPr="00722885">
        <w:rPr>
          <w:rFonts w:ascii="Times New Roman" w:hAnsi="Times New Roman"/>
          <w:color w:val="000000" w:themeColor="text1"/>
          <w:sz w:val="16"/>
          <w:szCs w:val="16"/>
        </w:rPr>
        <w:softHyphen/>
        <w:t>ваны и не используются, а вместо них установлены подфюзеляжные бомбо</w:t>
      </w:r>
      <w:r w:rsidRPr="00722885">
        <w:rPr>
          <w:rFonts w:ascii="Times New Roman" w:hAnsi="Times New Roman"/>
          <w:color w:val="000000" w:themeColor="text1"/>
          <w:sz w:val="16"/>
          <w:szCs w:val="16"/>
        </w:rPr>
        <w:softHyphen/>
        <w:t>держатели. В качестве основных причин такого решения командованием группы указывались недостаточная надежность автоматики пушки МК101, недостатки в ее размещении на самолете, а также низкая эффективность в бою.</w:t>
      </w:r>
    </w:p>
    <w:p w14:paraId="7C2BDCB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мнению боевых летчиков стрельба в воздухе по советским танкам из МК101 совершенно не эффективна.</w:t>
      </w:r>
    </w:p>
    <w:p w14:paraId="39C0059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Попытки обеспечить поражение танков путем стрельбы «на вскидку» длинными очередями продолжительностью более 1 с приводили лишь к бесцельной трате боеприпасов, так как все снаряды конца очереди гарантированно уходили в «моло</w:t>
      </w:r>
      <w:r w:rsidRPr="00722885">
        <w:rPr>
          <w:rFonts w:ascii="Times New Roman" w:hAnsi="Times New Roman"/>
          <w:color w:val="000000" w:themeColor="text1"/>
          <w:sz w:val="16"/>
          <w:szCs w:val="16"/>
        </w:rPr>
        <w:softHyphen/>
        <w:t>ко». А ведь именно снаряды конца очереди имеют наибольший шанс в случае попада</w:t>
      </w:r>
      <w:r w:rsidRPr="00722885">
        <w:rPr>
          <w:rFonts w:ascii="Times New Roman" w:hAnsi="Times New Roman"/>
          <w:color w:val="000000" w:themeColor="text1"/>
          <w:sz w:val="16"/>
          <w:szCs w:val="16"/>
        </w:rPr>
        <w:softHyphen/>
        <w:t>ния пробить броню танка.</w:t>
      </w:r>
    </w:p>
    <w:p w14:paraId="16A458D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отличие от ранее посылаемых «на</w:t>
      </w:r>
      <w:r w:rsidRPr="00722885">
        <w:rPr>
          <w:rFonts w:ascii="Times New Roman" w:hAnsi="Times New Roman"/>
          <w:color w:val="000000" w:themeColor="text1"/>
          <w:sz w:val="16"/>
          <w:szCs w:val="16"/>
        </w:rPr>
        <w:softHyphen/>
        <w:t>верх» отчетов, немецкие пилоты теперь утверждали обратное: снаряды к пушке МК101 не способны поражать броню со</w:t>
      </w:r>
      <w:r w:rsidRPr="00722885">
        <w:rPr>
          <w:rFonts w:ascii="Times New Roman" w:hAnsi="Times New Roman"/>
          <w:color w:val="000000" w:themeColor="text1"/>
          <w:sz w:val="16"/>
          <w:szCs w:val="16"/>
        </w:rPr>
        <w:softHyphen/>
        <w:t>ветских «тридцатьчетверок» и КВ.</w:t>
      </w:r>
    </w:p>
    <w:p w14:paraId="39F0ECCC" w14:textId="77777777" w:rsidR="00090C9B" w:rsidRPr="00722885" w:rsidRDefault="00090C9B" w:rsidP="00722885">
      <w:pPr>
        <w:pStyle w:val="34"/>
        <w:shd w:val="clear" w:color="auto" w:fill="auto"/>
        <w:spacing w:line="240" w:lineRule="auto"/>
        <w:jc w:val="both"/>
        <w:rPr>
          <w:rFonts w:ascii="Times New Roman" w:cs="Times New Roman"/>
          <w:color w:val="000000" w:themeColor="text1"/>
          <w:spacing w:val="0"/>
          <w:sz w:val="16"/>
          <w:szCs w:val="16"/>
        </w:rPr>
      </w:pPr>
      <w:r w:rsidRPr="00722885">
        <w:rPr>
          <w:rStyle w:val="3Tahoma8pt"/>
          <w:rFonts w:ascii="Times New Roman" w:hAnsi="Times New Roman" w:cs="Times New Roman"/>
          <w:i w:val="0"/>
          <w:color w:val="000000" w:themeColor="text1"/>
          <w:spacing w:val="0"/>
          <w:sz w:val="16"/>
          <w:szCs w:val="16"/>
        </w:rPr>
        <w:t>Оперативный офицер генерально</w:t>
      </w:r>
      <w:r w:rsidRPr="00722885">
        <w:rPr>
          <w:rStyle w:val="3Tahoma8pt"/>
          <w:rFonts w:ascii="Times New Roman" w:hAnsi="Times New Roman" w:cs="Times New Roman"/>
          <w:i w:val="0"/>
          <w:color w:val="000000" w:themeColor="text1"/>
          <w:spacing w:val="0"/>
          <w:sz w:val="16"/>
          <w:szCs w:val="16"/>
        </w:rPr>
        <w:softHyphen/>
        <w:t>го штаба люфтваффе в своем отчете о боевом применении авиации поля боя отмечал:</w:t>
      </w:r>
      <w:r w:rsidRPr="00722885">
        <w:rPr>
          <w:rFonts w:ascii="Times New Roman" w:cs="Times New Roman"/>
          <w:color w:val="000000" w:themeColor="text1"/>
          <w:spacing w:val="0"/>
          <w:sz w:val="16"/>
          <w:szCs w:val="16"/>
        </w:rPr>
        <w:t xml:space="preserve"> «МК101 во многих случаях про</w:t>
      </w:r>
      <w:r w:rsidRPr="00722885">
        <w:rPr>
          <w:rFonts w:ascii="Times New Roman" w:cs="Times New Roman"/>
          <w:color w:val="000000" w:themeColor="text1"/>
          <w:spacing w:val="0"/>
          <w:sz w:val="16"/>
          <w:szCs w:val="16"/>
        </w:rPr>
        <w:softHyphen/>
        <w:t>явили себя как недостаточно эффективное оружие. Вражеские танки часто сохраняли подвижность и боеспособность даже по</w:t>
      </w:r>
      <w:r w:rsidRPr="00722885">
        <w:rPr>
          <w:rFonts w:ascii="Times New Roman" w:cs="Times New Roman"/>
          <w:color w:val="000000" w:themeColor="text1"/>
          <w:spacing w:val="0"/>
          <w:sz w:val="16"/>
          <w:szCs w:val="16"/>
        </w:rPr>
        <w:softHyphen/>
        <w:t>сле нескольких прямых попаданий».</w:t>
      </w:r>
    </w:p>
    <w:p w14:paraId="6AB92CE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тому же, автоматика пушки МК101 на морозе часто отказывала. Отказывала пушка и из-за попадания снега и грязи, отбрасываемых пропеллерами на взлете. При проверке на земле после чистки и регулировки пушки стреляли нормально, но в воздухе - замолкали после первых же выстрелов. Специалисты инспекции ген</w:t>
      </w:r>
      <w:r w:rsidRPr="00722885">
        <w:rPr>
          <w:rFonts w:ascii="Times New Roman" w:hAnsi="Times New Roman"/>
          <w:color w:val="000000" w:themeColor="text1"/>
          <w:sz w:val="16"/>
          <w:szCs w:val="16"/>
        </w:rPr>
        <w:softHyphen/>
        <w:t>штаба люфтваффе разводили руками.</w:t>
      </w:r>
    </w:p>
    <w:p w14:paraId="5CFC1E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произошло необъяснимое... Оперативно связавшись с инспекцией ис</w:t>
      </w:r>
      <w:r w:rsidRPr="00722885">
        <w:rPr>
          <w:rFonts w:ascii="Times New Roman" w:hAnsi="Times New Roman"/>
          <w:color w:val="000000" w:themeColor="text1"/>
          <w:sz w:val="16"/>
          <w:szCs w:val="16"/>
        </w:rPr>
        <w:softHyphen/>
        <w:t>требительной авиации, комиссия геншта</w:t>
      </w:r>
      <w:r w:rsidRPr="00722885">
        <w:rPr>
          <w:rFonts w:ascii="Times New Roman" w:hAnsi="Times New Roman"/>
          <w:color w:val="000000" w:themeColor="text1"/>
          <w:sz w:val="16"/>
          <w:szCs w:val="16"/>
        </w:rPr>
        <w:softHyphen/>
        <w:t>ба, несмотря на явную неэффективность пушек МК101 в бою и их неготовность к бо</w:t>
      </w:r>
      <w:r w:rsidRPr="00722885">
        <w:rPr>
          <w:rFonts w:ascii="Times New Roman" w:hAnsi="Times New Roman"/>
          <w:color w:val="000000" w:themeColor="text1"/>
          <w:sz w:val="16"/>
          <w:szCs w:val="16"/>
        </w:rPr>
        <w:softHyphen/>
        <w:t>евой эксплуатации, получила категоричное указание: немедленно снять бомбодержа</w:t>
      </w:r>
      <w:r w:rsidRPr="00722885">
        <w:rPr>
          <w:rFonts w:ascii="Times New Roman" w:hAnsi="Times New Roman"/>
          <w:color w:val="000000" w:themeColor="text1"/>
          <w:sz w:val="16"/>
          <w:szCs w:val="16"/>
        </w:rPr>
        <w:softHyphen/>
        <w:t>тели и установить МК101...</w:t>
      </w:r>
    </w:p>
    <w:p w14:paraId="4F279E7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Совершенно очевидно, что в сло</w:t>
      </w:r>
      <w:r w:rsidRPr="00722885">
        <w:rPr>
          <w:rFonts w:ascii="Times New Roman" w:hAnsi="Times New Roman"/>
          <w:color w:val="000000" w:themeColor="text1"/>
          <w:sz w:val="16"/>
          <w:szCs w:val="16"/>
        </w:rPr>
        <w:softHyphen/>
        <w:t>жившихся условиях все попытки немцев сдержать наступление советских танков оказались безуспешными, хотя немецкие пилоты в ряде случаев докладывали об уничтожении десятков советских танков.</w:t>
      </w:r>
    </w:p>
    <w:p w14:paraId="3DF688B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Мало того, опыт боевого использова</w:t>
      </w:r>
      <w:r w:rsidRPr="00722885">
        <w:rPr>
          <w:rFonts w:ascii="Times New Roman" w:hAnsi="Times New Roman"/>
          <w:color w:val="000000" w:themeColor="text1"/>
          <w:sz w:val="16"/>
          <w:szCs w:val="16"/>
        </w:rPr>
        <w:softHyphen/>
        <w:t>ния бронированных «хеншелей» в условиях воздушных боев на восточном фронте со всей очевидностью продемонстрировал, что система бронирования Нз129В со</w:t>
      </w:r>
      <w:r w:rsidRPr="00722885">
        <w:rPr>
          <w:rFonts w:ascii="Times New Roman" w:hAnsi="Times New Roman"/>
          <w:color w:val="000000" w:themeColor="text1"/>
          <w:sz w:val="16"/>
          <w:szCs w:val="16"/>
        </w:rPr>
        <w:softHyphen/>
        <w:t>вершенно не обеспечивает надежную защиту от снарядов и крупнокалиберных пуль штатного авиационного и зенитного стрелково-пушечного вооружения Крас</w:t>
      </w:r>
      <w:r w:rsidRPr="00722885">
        <w:rPr>
          <w:rFonts w:ascii="Times New Roman" w:hAnsi="Times New Roman"/>
          <w:color w:val="000000" w:themeColor="text1"/>
          <w:sz w:val="16"/>
          <w:szCs w:val="16"/>
        </w:rPr>
        <w:softHyphen/>
        <w:t>ной Армии.</w:t>
      </w:r>
    </w:p>
    <w:p w14:paraId="35E8377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Полигонные испытания, проведенные в течение 1941-1942 гг. в НИП АВ ВВС КА и ВИАМ, показали, что авиационная броня типа АБ-1, стоявшая на Ил-2, примерно в 1,5 раза превосходила по пулестойкости гомогенную авиационную броню немецко</w:t>
      </w:r>
      <w:r w:rsidRPr="00722885">
        <w:rPr>
          <w:rFonts w:ascii="Times New Roman" w:hAnsi="Times New Roman"/>
          <w:color w:val="000000" w:themeColor="text1"/>
          <w:sz w:val="16"/>
          <w:szCs w:val="16"/>
        </w:rPr>
        <w:softHyphen/>
        <w:t>го производства. '</w:t>
      </w:r>
    </w:p>
    <w:p w14:paraId="28A3A4C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 есть, гомогенная броня «хеншеля» толщиной 6 мм (верх, борта и днище бронекоробки) в пересчете на советскую броню АБ-1 соответствовала толщине примерно 3,4 мм, а 12-мм броня (перед</w:t>
      </w:r>
      <w:r w:rsidRPr="00722885">
        <w:rPr>
          <w:rFonts w:ascii="Times New Roman" w:hAnsi="Times New Roman"/>
          <w:color w:val="000000" w:themeColor="text1"/>
          <w:sz w:val="16"/>
          <w:szCs w:val="16"/>
        </w:rPr>
        <w:softHyphen/>
        <w:t>няя стенка бронекоробки, бронеспинка и бронезаголовник кресла пилота) - 6,9 мм.</w:t>
      </w:r>
    </w:p>
    <w:p w14:paraId="28F5E92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Впереди голова летчика защищалась бронестеклом толщиной 75 мм. Испытания в ВИАМ показали, что при лучшем оптиче</w:t>
      </w:r>
      <w:r w:rsidRPr="00722885">
        <w:rPr>
          <w:rFonts w:ascii="Times New Roman" w:hAnsi="Times New Roman"/>
          <w:color w:val="000000" w:themeColor="text1"/>
          <w:sz w:val="16"/>
          <w:szCs w:val="16"/>
        </w:rPr>
        <w:softHyphen/>
        <w:t>ском качестве пулестойкость немецкого бронестекла в сравнении с бронестеклом Ил-2 была хуже в 1,4 раза. В пересчете на советское бронестекло эквивалентная толщина стекла «хеншеля» составляла примерно 54 мм.</w:t>
      </w:r>
    </w:p>
    <w:p w14:paraId="7CFF06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стрелково-пушечного огня сверху- сзади голова летчика вообще не была за</w:t>
      </w:r>
      <w:r w:rsidRPr="00722885">
        <w:rPr>
          <w:rFonts w:ascii="Times New Roman" w:hAnsi="Times New Roman"/>
          <w:color w:val="000000" w:themeColor="text1"/>
          <w:sz w:val="16"/>
          <w:szCs w:val="16"/>
        </w:rPr>
        <w:softHyphen/>
        <w:t>щищена броней (со всеми вытекающими из этого последствиями).</w:t>
      </w:r>
    </w:p>
    <w:p w14:paraId="5EA02AE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Моторы и карбюраторы моторов снизу были прикрыты изогнутыми броневыми плитами толщиной 5 мм (эквивалентная тол</w:t>
      </w:r>
      <w:r w:rsidRPr="00722885">
        <w:rPr>
          <w:rFonts w:ascii="Times New Roman" w:hAnsi="Times New Roman"/>
          <w:color w:val="000000" w:themeColor="text1"/>
          <w:sz w:val="16"/>
          <w:szCs w:val="16"/>
        </w:rPr>
        <w:softHyphen/>
        <w:t>щина АБ-1 - 2,9 мм). Позади каждого мотора устанавливалась полукруглая плоская 5-мм бронеперегородка, которая прикрывала мо</w:t>
      </w:r>
      <w:r w:rsidRPr="00722885">
        <w:rPr>
          <w:rFonts w:ascii="Times New Roman" w:hAnsi="Times New Roman"/>
          <w:color w:val="000000" w:themeColor="text1"/>
          <w:sz w:val="16"/>
          <w:szCs w:val="16"/>
        </w:rPr>
        <w:softHyphen/>
        <w:t>тор снизу-сзади. Впереди и сверху моторы не бронировались и вследствие этого легко поражались осколками зенитных снарядов и стрелково-пушечным огнем.</w:t>
      </w:r>
    </w:p>
    <w:p w14:paraId="419AD5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Туннель и задняя створка маслорадиатора выполнялись из брони толщиной 5 мм, что эквивалентно 2,9 мм советской брони АБ-1</w:t>
      </w:r>
    </w:p>
    <w:p w14:paraId="6C0828C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Бензо- и маслобаки не бронирова</w:t>
      </w:r>
      <w:r w:rsidRPr="00722885">
        <w:rPr>
          <w:rFonts w:ascii="Times New Roman" w:hAnsi="Times New Roman"/>
          <w:color w:val="000000" w:themeColor="text1"/>
          <w:sz w:val="16"/>
          <w:szCs w:val="16"/>
        </w:rPr>
        <w:softHyphen/>
        <w:t>лись, хотя и имели протектор. Бачки с пусковым бензином, расположенные с внешних сторон мотогондол, не имели не только бронезащиты, но и протектора! В результате пожары на самолете в бою были обычным делом.</w:t>
      </w:r>
    </w:p>
    <w:p w14:paraId="101153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Недостаточно эффективное брони</w:t>
      </w:r>
      <w:r w:rsidRPr="00722885">
        <w:rPr>
          <w:rFonts w:ascii="Times New Roman" w:hAnsi="Times New Roman"/>
          <w:color w:val="000000" w:themeColor="text1"/>
          <w:sz w:val="16"/>
          <w:szCs w:val="16"/>
        </w:rPr>
        <w:softHyphen/>
        <w:t>рование и отсутствие оборонительного вооружения в совокупности с невысокими летными данными (без внешних подвесок штурмовик имел максимальную скорость у земли - 385 км/ч, а с 30-мм пушкой и пилонами ЕТС50 - 305 км/ч) приводило к большим потерям от советских истребите</w:t>
      </w:r>
      <w:r w:rsidRPr="00722885">
        <w:rPr>
          <w:rFonts w:ascii="Times New Roman" w:hAnsi="Times New Roman"/>
          <w:color w:val="000000" w:themeColor="text1"/>
          <w:sz w:val="16"/>
          <w:szCs w:val="16"/>
        </w:rPr>
        <w:softHyphen/>
        <w:t>лей и зенитной артиллерии.</w:t>
      </w:r>
    </w:p>
    <w:p w14:paraId="03B5984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выводах НИИ ВВС КА, изучившего ряд трофейных образцов самолета Нз129В, от</w:t>
      </w:r>
      <w:r w:rsidRPr="00722885">
        <w:rPr>
          <w:rFonts w:ascii="Times New Roman" w:hAnsi="Times New Roman"/>
          <w:color w:val="000000" w:themeColor="text1"/>
          <w:sz w:val="16"/>
          <w:szCs w:val="16"/>
        </w:rPr>
        <w:softHyphen/>
        <w:t>мечалось:</w:t>
      </w:r>
      <w:r w:rsidRPr="00722885">
        <w:rPr>
          <w:rStyle w:val="ArialNarrow85pt"/>
          <w:rFonts w:ascii="Times New Roman" w:hAnsi="Times New Roman" w:cs="Times New Roman"/>
          <w:i w:val="0"/>
          <w:color w:val="000000" w:themeColor="text1"/>
          <w:sz w:val="16"/>
          <w:szCs w:val="16"/>
        </w:rPr>
        <w:t xml:space="preserve"> «Вследствие отсутствия огневой защиты самолет может легко сбиваться воздушным противником».</w:t>
      </w:r>
      <w:r w:rsidRPr="00722885">
        <w:rPr>
          <w:rFonts w:ascii="Times New Roman" w:hAnsi="Times New Roman"/>
          <w:color w:val="000000" w:themeColor="text1"/>
          <w:sz w:val="16"/>
          <w:szCs w:val="16"/>
        </w:rPr>
        <w:t xml:space="preserve"> Указывалось также, что слабое бронирование делает его весьма уязвимым от огня пехотного оружия.</w:t>
      </w:r>
    </w:p>
    <w:p w14:paraId="68A087F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показаниям пленных немецких летчиков на один потерянный в бою Нз 129В-1 летом 1942 г. приходилось всего 20 боевых вылетов. Для сравнения, живу</w:t>
      </w:r>
      <w:r w:rsidRPr="00722885">
        <w:rPr>
          <w:rFonts w:ascii="Times New Roman" w:hAnsi="Times New Roman"/>
          <w:color w:val="000000" w:themeColor="text1"/>
          <w:sz w:val="16"/>
          <w:szCs w:val="16"/>
        </w:rPr>
        <w:softHyphen/>
        <w:t>честь советского штурмовика Ил-2 в это же время составляла примерно 15-17 боевых самолето-вылетов на одну потерю. И это в условиях полного господства люфтваффе в воздухе!</w:t>
      </w:r>
    </w:p>
    <w:p w14:paraId="718C8E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боев на сталинградском направ</w:t>
      </w:r>
      <w:r w:rsidRPr="00722885">
        <w:rPr>
          <w:rFonts w:ascii="Times New Roman" w:hAnsi="Times New Roman"/>
          <w:color w:val="000000" w:themeColor="text1"/>
          <w:sz w:val="16"/>
          <w:szCs w:val="16"/>
        </w:rPr>
        <w:softHyphen/>
        <w:t xml:space="preserve">лении немецкое командование наконец-то осознало, что оно не имеет полноценной авиации непосредственной поддержки войск. Стало окончательно ясно, что ни Нз 123, ни бомбардировочные варианты В1 109, ни специальный бронированный Нз 129В не в состоянии в полной мере </w:t>
      </w:r>
      <w:r w:rsidRPr="00722885">
        <w:rPr>
          <w:rFonts w:ascii="Times New Roman" w:hAnsi="Times New Roman"/>
          <w:color w:val="000000" w:themeColor="text1"/>
          <w:sz w:val="16"/>
          <w:szCs w:val="16"/>
        </w:rPr>
        <w:lastRenderedPageBreak/>
        <w:t>выполнять задачи по непосредственной авиационной поддержке войск в обороне и в наступлении. И это в то время, когда основной задачей штурмовой авиации должна была стать борьба с атакующими танковыми и мотомеханизированными группами Красной Армии (12728).</w:t>
      </w:r>
    </w:p>
    <w:p w14:paraId="3843D62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D7BC0EF"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28 ноября </w:t>
      </w:r>
      <w:r w:rsidRPr="00722885">
        <w:rPr>
          <w:rFonts w:ascii="Times New Roman" w:hAnsi="Times New Roman"/>
          <w:color w:val="000000" w:themeColor="text1"/>
          <w:sz w:val="16"/>
          <w:szCs w:val="16"/>
        </w:rPr>
        <w:t>в 1942 году начало боевого пути авиационного полка «Нормандия-Неман». В СССР прибыла первая группа французов (14 летчиков и 17 человек технического персонала) для участия в боевых действиях против Германии. Освоив под городом Ивановом истребитель Як-1 25 марта 1943 г. эскадрилья, получившая название «Нормандия», во главе с майором Ж.-Л.Тюляном прибыла на фронт. Первое боевое крещение получила в районе города Полотняный Завод Калужской области С мая эскадрилья находилась в оперативном подчинении 303-й авиадивизии (генерал-майор Г.Н.Захаров) 1-й воздушной армии Западного фронта. 5 апреля 1943 г. французские летчики Дюран и Прециози одержали первые победы, сбив по одному немецкому истребителю. В 1943 г. эскадрилья преобразована в полк в составе четырех эскадрилий («Руан», «Гавр», «Шербур» и «Кан»). 19 февраля 1945 г. полк награжден орденом Красного Знамени. За время боев французские летчики совершили 5240 боевых вылетов, провели 869 воздушных боев, сбили 273 самолета врага. 5 июня 1945 г. 1-й истребительный авиационный Неманский Краснознаменный полк «Сражающаяся Франция» награжден орденом Александра Невского. 15 июня 1945 г. 37 самолетов Як-3 взлетели с аэродрома города Эльбинг и взяли курс на Запад. 21 июня французские летчики приземлились в Ле-Бурже. В 1956 на здании бывшей французской военной миссии в Москве была установлена мемориальная доска с именами 42 французских лётчиков, погибших в боях. В 1964 на Введенском кладбище в Москве на могиле французского лётчика, останки которого были найдены в Орловской области РСФСР, установлен памятник Неизвестному лётчику полка "Нормандия - Неман". Во французской ВВС продолжает существовать авиационная часть "Нормандия - Неман" на авиационной базе в Реймсе (14843).</w:t>
      </w:r>
    </w:p>
    <w:p w14:paraId="2FA542BA"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71FDB25C"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CB056A1" w14:textId="77777777" w:rsidR="00090C9B" w:rsidRPr="00722885" w:rsidRDefault="00090C9B" w:rsidP="00722885">
      <w:pPr>
        <w:pStyle w:val="Iauiue"/>
        <w:jc w:val="both"/>
        <w:rPr>
          <w:iCs/>
          <w:color w:val="000000" w:themeColor="text1"/>
          <w:sz w:val="16"/>
          <w:szCs w:val="16"/>
        </w:rPr>
      </w:pPr>
    </w:p>
    <w:p w14:paraId="1127285D"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28 ноября 1942 пилот Королевских ВВС Австралии сержант Рон Миддлтон получает посмертный Крест Виктории за доблесть, за доставку команды подбитого бомбардировщика после налета на Турин, Италия (20793). </w:t>
      </w:r>
    </w:p>
    <w:p w14:paraId="26443048" w14:textId="77777777" w:rsidR="00546E6F" w:rsidRPr="00722885" w:rsidRDefault="00546E6F" w:rsidP="00722885">
      <w:pPr>
        <w:spacing w:after="0" w:line="240" w:lineRule="auto"/>
        <w:jc w:val="both"/>
        <w:rPr>
          <w:rFonts w:ascii="Times New Roman" w:hAnsi="Times New Roman"/>
          <w:color w:val="0070C0"/>
          <w:sz w:val="16"/>
          <w:szCs w:val="16"/>
        </w:rPr>
      </w:pPr>
    </w:p>
    <w:p w14:paraId="03F824D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28 ноября 1942 Гитлер отверг предложение фельдмаршала Э. Роммеля немедленно вывести немецкие войска из Северной Африки (4962).</w:t>
      </w:r>
    </w:p>
    <w:p w14:paraId="61AA61CF" w14:textId="77777777" w:rsidR="00090C9B" w:rsidRPr="00722885" w:rsidRDefault="00090C9B" w:rsidP="00722885">
      <w:pPr>
        <w:pStyle w:val="Iauiue"/>
        <w:tabs>
          <w:tab w:val="left" w:pos="11199"/>
        </w:tabs>
        <w:jc w:val="both"/>
        <w:rPr>
          <w:color w:val="000000" w:themeColor="text1"/>
          <w:sz w:val="16"/>
          <w:szCs w:val="16"/>
        </w:rPr>
      </w:pPr>
    </w:p>
    <w:p w14:paraId="60773F41"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28 ноября </w:t>
      </w:r>
      <w:r w:rsidRPr="00722885">
        <w:rPr>
          <w:rFonts w:ascii="Times New Roman" w:hAnsi="Times New Roman"/>
          <w:color w:val="000000" w:themeColor="text1"/>
          <w:sz w:val="16"/>
          <w:szCs w:val="16"/>
        </w:rPr>
        <w:t>в 1942 году у восточного побережья Южной Африки был торпедирован транспортный корабль "Нова Скотиа". Погибла тысяча итальянских военнопленных, находившихся на борту, и многие из них нашли свою смерть в пасти акул. Причем, по мнению Дж.Л.Б.Смита (Университет Родса), "акулы предпочитали нападать на живых людей, а не довольствоваться изувеченными трупами" (14843).</w:t>
      </w:r>
    </w:p>
    <w:p w14:paraId="59C28085"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15C95B5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28 ноября 1942 Массовые антифашистские выступления в городах Албании в 30-ю годовщину провозглашения независимости (28.11.1912) (7594).</w:t>
      </w:r>
    </w:p>
    <w:p w14:paraId="68C1D718" w14:textId="77777777" w:rsidR="00090C9B" w:rsidRPr="00722885" w:rsidRDefault="00090C9B" w:rsidP="00722885">
      <w:pPr>
        <w:pStyle w:val="Iauiue"/>
        <w:jc w:val="both"/>
        <w:rPr>
          <w:color w:val="000000" w:themeColor="text1"/>
          <w:sz w:val="16"/>
          <w:szCs w:val="16"/>
        </w:rPr>
      </w:pPr>
    </w:p>
    <w:p w14:paraId="6F65A04A"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28 ноября 1942 при пожаре бостонского ночного клуба “Кокосовая роща” погибло 474 человека (4962).</w:t>
      </w:r>
    </w:p>
    <w:p w14:paraId="28C3184B" w14:textId="77777777" w:rsidR="00090C9B" w:rsidRPr="00722885" w:rsidRDefault="00090C9B" w:rsidP="00722885">
      <w:pPr>
        <w:pStyle w:val="Iauiue"/>
        <w:tabs>
          <w:tab w:val="left" w:pos="11199"/>
        </w:tabs>
        <w:jc w:val="both"/>
        <w:rPr>
          <w:color w:val="000000" w:themeColor="text1"/>
          <w:sz w:val="16"/>
          <w:szCs w:val="16"/>
        </w:rPr>
      </w:pPr>
    </w:p>
    <w:p w14:paraId="5F87ADD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3240A15" w14:textId="77777777" w:rsidR="00090C9B" w:rsidRPr="00722885" w:rsidRDefault="00090C9B" w:rsidP="00722885">
      <w:pPr>
        <w:pStyle w:val="Iauiue"/>
        <w:jc w:val="both"/>
        <w:rPr>
          <w:iCs/>
          <w:color w:val="000000" w:themeColor="text1"/>
          <w:sz w:val="16"/>
          <w:szCs w:val="16"/>
        </w:rPr>
      </w:pPr>
    </w:p>
    <w:p w14:paraId="48A3BBB1"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ноября 1942 года установки М-8-М и М-13-МI по результатам испытаний и боевого применения были приняты в качестве штатного вооружения кораблей Военно-морского флота. После модификации в 1943 – 1944 годах они успешно применялись в составе Черноморского флота, Онежской, Азовской, Днепровской, Дунайской флотилиях и отрядами катеров на озере Ильмень, реках Свири и Амуре (11772).</w:t>
      </w:r>
    </w:p>
    <w:p w14:paraId="4C645D13"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415391B2"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ноября 1942 года приказом Наркома ВМФ установка 24-М-8 была принята в качестве штатного вооружения кораблей [5] (11772).</w:t>
      </w:r>
    </w:p>
    <w:p w14:paraId="3E0933CE"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02152D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ноября 1942 приказом НК ВМФ реактивные установки М-80М и М-13-М1 были приняты на вооружение (4305,34).</w:t>
      </w:r>
    </w:p>
    <w:p w14:paraId="016CE1BA" w14:textId="77777777" w:rsidR="00090C9B" w:rsidRPr="00722885" w:rsidRDefault="00090C9B" w:rsidP="00722885">
      <w:pPr>
        <w:pStyle w:val="Iauiue"/>
        <w:jc w:val="both"/>
        <w:rPr>
          <w:color w:val="000000" w:themeColor="text1"/>
          <w:sz w:val="16"/>
          <w:szCs w:val="16"/>
        </w:rPr>
      </w:pPr>
    </w:p>
    <w:p w14:paraId="491C45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ноября 1942 г. приказом наркома ВМФ на вооружение были приняты башенно-палубные установки М-8-М и М-13-М, применявшиеся в дальнейшем на бронекатерах пр. 1124 (вместо одной из орудийньис башен) и пр. 1125 (в дополнение к артилле</w:t>
      </w:r>
      <w:r w:rsidRPr="00722885">
        <w:rPr>
          <w:color w:val="000000" w:themeColor="text1"/>
          <w:sz w:val="16"/>
          <w:szCs w:val="16"/>
        </w:rPr>
        <w:softHyphen/>
        <w:t>рийскому вооружению) (3898).</w:t>
      </w:r>
    </w:p>
    <w:p w14:paraId="5CB3B67C" w14:textId="77777777" w:rsidR="00090C9B" w:rsidRPr="00722885" w:rsidRDefault="00090C9B" w:rsidP="00722885">
      <w:pPr>
        <w:pStyle w:val="Iauiue"/>
        <w:jc w:val="both"/>
        <w:rPr>
          <w:color w:val="000000" w:themeColor="text1"/>
          <w:sz w:val="16"/>
          <w:szCs w:val="16"/>
        </w:rPr>
      </w:pPr>
    </w:p>
    <w:p w14:paraId="756CA9E1" w14:textId="77777777" w:rsidR="004318C9" w:rsidRPr="00722885" w:rsidRDefault="004318C9"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29 ноября 1942 года установки М-8-М и М-13-МI по результатам испытаний и боевого применения были приняты в качестве штатного вооружения кораблей Военно-морского флота. После модификации в 1943 – 1944 годах они успешно применялись в составе Черноморского флота, Онежской, Азовской, Днепровской, Дунайской флотилиях и отрядами катеров на озере Ильмень, реках Свири и Амуре (15982).</w:t>
      </w:r>
    </w:p>
    <w:p w14:paraId="64BE2016" w14:textId="77777777" w:rsidR="004318C9" w:rsidRPr="00722885" w:rsidRDefault="004318C9" w:rsidP="00722885">
      <w:pPr>
        <w:spacing w:after="0" w:line="240" w:lineRule="auto"/>
        <w:jc w:val="both"/>
        <w:rPr>
          <w:rFonts w:ascii="Times New Roman" w:eastAsia="Times New Roman" w:hAnsi="Times New Roman"/>
          <w:color w:val="000000" w:themeColor="text1"/>
          <w:sz w:val="16"/>
          <w:szCs w:val="16"/>
        </w:rPr>
      </w:pPr>
    </w:p>
    <w:p w14:paraId="6CE1D5DD"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29 ноября 1942 года Приказом НКВМФ </w:t>
      </w:r>
      <w:hyperlink r:id="rId174" w:history="1">
        <w:r w:rsidRPr="00722885">
          <w:rPr>
            <w:rStyle w:val="a5"/>
            <w:rFonts w:ascii="Times New Roman" w:hAnsi="Times New Roman"/>
            <w:color w:val="000000" w:themeColor="text1"/>
            <w:sz w:val="16"/>
            <w:szCs w:val="16"/>
          </w:rPr>
          <w:t>№00403</w:t>
        </w:r>
      </w:hyperlink>
      <w:r w:rsidRPr="00722885">
        <w:rPr>
          <w:rFonts w:ascii="Times New Roman" w:hAnsi="Times New Roman"/>
          <w:color w:val="000000" w:themeColor="text1"/>
          <w:sz w:val="16"/>
          <w:szCs w:val="16"/>
        </w:rPr>
        <w:t xml:space="preserve"> реактивные установки М-8-М и М-13-М были приняты на вооружение кораблей ВМФ.</w:t>
      </w:r>
    </w:p>
    <w:p w14:paraId="2ED67260"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года решением НКВМФ 00118сс – 30 октября 1942 года все вопросы производства реактивных установок и вооружения ими кораблей ВМФ, снабжения реактивным боезапасом были переданы АУ ВМФ (15982).</w:t>
      </w:r>
    </w:p>
    <w:p w14:paraId="73EEA6B6"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378AB8C4" w14:textId="77777777" w:rsidR="00546E6F" w:rsidRPr="00722885" w:rsidRDefault="00546E6F" w:rsidP="00722885">
      <w:pPr>
        <w:pStyle w:val="ae"/>
        <w:shd w:val="clear" w:color="auto" w:fill="FFFFFF"/>
        <w:spacing w:before="0" w:after="0"/>
        <w:jc w:val="both"/>
        <w:textAlignment w:val="baseline"/>
        <w:rPr>
          <w:color w:val="0070C0"/>
          <w:sz w:val="16"/>
          <w:szCs w:val="16"/>
        </w:rPr>
      </w:pPr>
      <w:r w:rsidRPr="00722885">
        <w:rPr>
          <w:color w:val="0070C0"/>
          <w:sz w:val="16"/>
          <w:szCs w:val="16"/>
        </w:rPr>
        <w:t>29 ноября 1942 года установки М-8-М и М-13-М по результатам испытаний и боевого применения были приняты в качестве штатного вооружения кораблей ВМФ. После необходимых модификаций они успешно применялись в составе военных флотилий на Чёрном и Азовском морях, Онежском и Ильменьском озёрах, на реках Днепр, Свирь и Дунай, а также на Амуре.</w:t>
      </w:r>
    </w:p>
    <w:p w14:paraId="5FDF0799" w14:textId="77777777" w:rsidR="00546E6F" w:rsidRPr="00722885" w:rsidRDefault="00546E6F" w:rsidP="00722885">
      <w:pPr>
        <w:pStyle w:val="ae"/>
        <w:shd w:val="clear" w:color="auto" w:fill="FFFFFF"/>
        <w:spacing w:before="0" w:after="0"/>
        <w:jc w:val="both"/>
        <w:textAlignment w:val="baseline"/>
        <w:rPr>
          <w:color w:val="0070C0"/>
          <w:sz w:val="16"/>
          <w:szCs w:val="16"/>
        </w:rPr>
      </w:pPr>
      <w:r w:rsidRPr="00722885">
        <w:rPr>
          <w:color w:val="0070C0"/>
          <w:sz w:val="16"/>
          <w:szCs w:val="16"/>
        </w:rPr>
        <w:t>Боевая эксплуатация установок, предназначенных для действия на реках, показала, что если упрочнить крепление снарядов на направляющих, увеличить скорость наведения и уменьшить усилия на маховичках механизмов наведения, то установки можно использовать в условиях открытого моря. В связи с этим СКБ завода «Компрессор» в июле 1943 года приступило к разработке башенно-палубных пусковых установок 8-М-8, 24-М-8 и 16-М-13 по техническому заданию Артиллерийского управления ВМФ. Особое внимание специалисты обращали на повышение тактико-технических характеристик.</w:t>
      </w:r>
    </w:p>
    <w:p w14:paraId="0A3374F7" w14:textId="77777777" w:rsidR="00546E6F" w:rsidRPr="00722885" w:rsidRDefault="00546E6F" w:rsidP="00722885">
      <w:pPr>
        <w:pStyle w:val="ae"/>
        <w:shd w:val="clear" w:color="auto" w:fill="FFFFFF"/>
        <w:spacing w:before="0" w:after="0"/>
        <w:jc w:val="both"/>
        <w:textAlignment w:val="baseline"/>
        <w:rPr>
          <w:color w:val="0070C0"/>
          <w:sz w:val="16"/>
          <w:szCs w:val="16"/>
        </w:rPr>
      </w:pPr>
      <w:r w:rsidRPr="00722885">
        <w:rPr>
          <w:color w:val="0070C0"/>
          <w:sz w:val="16"/>
          <w:szCs w:val="16"/>
        </w:rPr>
        <w:t>В процессе эскизного проектирования от варианта 8-М-8 с восемью направляющими отказались. В июне 1944 года были изготовлены две опытные 24-М-8 с двадцатью четырьмя направляющими, а в июле-августе они прошли успешные испытания на море: установка №1101 была размещена на полубаке минного катера №29 типа Я-5, установка №1102 — на ходовой рубке торпедного катера Г-5 №413. 19 сентября 24-М-8 была принята на вооружение (19941).</w:t>
      </w:r>
    </w:p>
    <w:p w14:paraId="731AEF49" w14:textId="77777777" w:rsidR="00546E6F" w:rsidRPr="00722885" w:rsidRDefault="00546E6F" w:rsidP="00722885">
      <w:pPr>
        <w:pStyle w:val="ae"/>
        <w:shd w:val="clear" w:color="auto" w:fill="FFFFFF"/>
        <w:spacing w:before="0" w:after="0"/>
        <w:jc w:val="both"/>
        <w:textAlignment w:val="baseline"/>
        <w:rPr>
          <w:color w:val="0070C0"/>
          <w:sz w:val="16"/>
          <w:szCs w:val="16"/>
        </w:rPr>
      </w:pPr>
    </w:p>
    <w:p w14:paraId="257E8C27"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2D38DB6" w14:textId="77777777" w:rsidR="00090C9B" w:rsidRPr="00722885" w:rsidRDefault="00090C9B" w:rsidP="00722885">
      <w:pPr>
        <w:pStyle w:val="Iauiue"/>
        <w:jc w:val="both"/>
        <w:rPr>
          <w:iCs/>
          <w:color w:val="000000" w:themeColor="text1"/>
          <w:sz w:val="16"/>
          <w:szCs w:val="16"/>
        </w:rPr>
      </w:pPr>
    </w:p>
    <w:p w14:paraId="08F034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ноября 1942 вышло Постановление ГКО № 2552 Об изготовлении танков КВ-1 на заводе № 371 НКВ в г. Ленинграде. РГАНИР, Фонд ГКО, д. 71, лл. 1, 2-6 (11012).</w:t>
      </w:r>
    </w:p>
    <w:p w14:paraId="022ADEE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1B567D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ноября 1942 вышло Распоряжение ГКО № 2553 О поставках древесного угля Уральскому алюминиевому. и Ашинскому металлургическому заводам. .. РГАНИР, Фонд ГКО, д. 71, лл. 7 (11012).</w:t>
      </w:r>
    </w:p>
    <w:p w14:paraId="675CCB2B"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DEB1F70"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29 ноября 1942 вышло Распоряжение ГКО № 2554 [О распространении действия постановлений ГКО № 2395 и № 2396 от 9 октября 1942 г. на весь личный вольнонаемный состав строительных и инженерных органов ВМФ.] (7065, 8).</w:t>
      </w:r>
    </w:p>
    <w:p w14:paraId="7021FE53" w14:textId="77777777" w:rsidR="00090C9B" w:rsidRPr="00722885" w:rsidRDefault="00090C9B" w:rsidP="00722885">
      <w:pPr>
        <w:pStyle w:val="Iauiue"/>
        <w:tabs>
          <w:tab w:val="left" w:pos="11199"/>
        </w:tabs>
        <w:jc w:val="both"/>
        <w:rPr>
          <w:color w:val="000000" w:themeColor="text1"/>
          <w:sz w:val="16"/>
          <w:szCs w:val="16"/>
        </w:rPr>
      </w:pPr>
    </w:p>
    <w:p w14:paraId="6326B30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ноября 1942 вышло Постановление ГКО № 2555 О мероприятиях по строительству фабрично-заводских электростанций. РГАНИР, Фонд ГКО, д. 71, лл. 9, 10-22 (11012).</w:t>
      </w:r>
    </w:p>
    <w:p w14:paraId="5EB0187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4A8960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ноября 1942 испытания начались и продолжались ровно год, достаточно неспешно. В итоге двигатель Т-34 вышел из строя через 72,5 часа, КВ-1 - через 66,4 часа. Т-34 про-шел всего 665 км. Двигатель под нагрузкой проработал 58,45 часа, без нагрузки - 14,05 часа. Всего произошло 14 поломок. В заключении по итогам испытаний отмечалось, что воздухоочи-ститель совершенно не годится для данного двигателя, практиче-ски не задерживает пыли и скорее способствует ускорению износа и снижению надежности (11224).</w:t>
      </w:r>
    </w:p>
    <w:p w14:paraId="728F845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6D517F6"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29 ноября </w:t>
      </w:r>
      <w:r w:rsidRPr="00722885">
        <w:rPr>
          <w:rFonts w:ascii="Times New Roman" w:hAnsi="Times New Roman"/>
          <w:color w:val="000000" w:themeColor="text1"/>
          <w:sz w:val="16"/>
          <w:szCs w:val="16"/>
        </w:rPr>
        <w:t>в 1942 году СНК СССР и ЦК ВКП(б) приняли постановление «О мерах по расширению посевов, повышению урожайности каучуконосов в колхозах и совхозах и организации производства натурального каучука». Войска Калининского фронта прорвали оборону противника в районе Великих Лук (14844).</w:t>
      </w:r>
    </w:p>
    <w:p w14:paraId="3804F2BD"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30E1033E"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3463F69" w14:textId="77777777" w:rsidR="00090C9B" w:rsidRPr="00722885" w:rsidRDefault="00090C9B" w:rsidP="00722885">
      <w:pPr>
        <w:pStyle w:val="Iauiue"/>
        <w:jc w:val="both"/>
        <w:rPr>
          <w:iCs/>
          <w:color w:val="000000" w:themeColor="text1"/>
          <w:sz w:val="16"/>
          <w:szCs w:val="16"/>
        </w:rPr>
      </w:pPr>
    </w:p>
    <w:p w14:paraId="78FB6978"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29 ноября </w:t>
      </w:r>
      <w:r w:rsidRPr="00722885">
        <w:rPr>
          <w:rFonts w:ascii="Times New Roman" w:hAnsi="Times New Roman"/>
          <w:color w:val="000000" w:themeColor="text1"/>
          <w:sz w:val="16"/>
          <w:szCs w:val="16"/>
        </w:rPr>
        <w:t>в 1942 году утреннее сообщение Совинформбюро:</w:t>
      </w:r>
    </w:p>
    <w:p w14:paraId="600A27FD"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29 ноября в районе Сталинграда и на Центральном фронте наши войска продолжали наступление на прежних направлениях.</w:t>
      </w:r>
    </w:p>
    <w:p w14:paraId="00ACF772"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северной части города Сталинграда крупные силы пехоты противника атаковали наши позиции. Контрударом советские бойцы отбросили гитлеровцев на исходные позиции, уничтожив при этом 450 солдат и офицеров противника. В заводском посёлке Н-ская часть истребила 200 гитлеровцев и подбила 2 немецких танка.</w:t>
      </w:r>
    </w:p>
    <w:p w14:paraId="069D7E6D"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преодолевая сопротивление противникаи отражая его контратаки, продолжали продвигаться вперёд. В боях на одном участке нашими частями вчера уничтожено до 1.500 вражеских солдат и офицеров. Захвачены 66 орудий, 2 исправных самолёта, до 200 автомашин с военными грузами, 7 танков, 6 тракторов, 2 склада боеприпасов, 80 бочек с авиабензином и другие трофеи. На другом участке наши бойцы после ожесточённого боя заняли населённый пункт. На подступах к населённому пункту и на его улицах подсчитано 800 вражеских трупов. Подбито и захвачено 11 немецких танков.</w:t>
      </w:r>
    </w:p>
    <w:p w14:paraId="6307BCF1"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лётчиками сбито в воздушных боях и уничтожено на аэродромах противника под Сталинградом 12 немецких истребителей, 6 бомбардировщиков и 46 транспортных самолётов. Всего в течение суток уничтожено 64 немецких самолёта.</w:t>
      </w:r>
    </w:p>
    <w:p w14:paraId="3AE8485E"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продолжали наступление и заняли несколько населённых пунктов. Бойцы одного нашего соединения истребили 700 гитлеровцев и захватили 8 орудий, 35 пулемётов, 19 миномётов, склад боеприпасови 2 вещевых склада. Советская артиллерия продвигается вперёд вместе с пехотой и наносит врагу тяжёлые потери. Артиллеристы Н-ской части за два дня подбили 22 немецких танка, уничтожили 14 орудий, до 40 автомашин, рассеяли и частью истребили до двух батальонов пехоты противника.</w:t>
      </w:r>
    </w:p>
    <w:p w14:paraId="7C2D1E6E"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советские войска, преодолевая упорное сопротивление и отбивая ожесточённые контратаки немцев, продолжают расширять прорыв по фронту и в глубину. На одном участке наши наступающие части разрушили 57 дзотов иблиндажей, уничтожили 6 немецких танков, 10 орудий, 90 пулемётов, 20 миномётов и склад боеприпасов противника. Нашими лётчиками в воздушных боях и огнём зенитной артиллерии сбито 18 немецких самолётов.</w:t>
      </w:r>
    </w:p>
    <w:p w14:paraId="69F54B75"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вели активные боевые действия. Н-скаячасть ведёт ожесточённые уличные бои в одном населённом пункте. На другом участке советские подразделения продвинулись вперёд и уничтожили до 400 солдат и офицеров противника. Захвачены 6 немецких танков, 5 орудий и другие трофеи.</w:t>
      </w:r>
    </w:p>
    <w:p w14:paraId="025CBE1F"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в воздушних боях сбили 9 и подбили 7 немецких самолётов.</w:t>
      </w:r>
    </w:p>
    <w:p w14:paraId="3AF64CFB"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Волховском фронте воздушная разведка установила на одном аэродроме противника значительное скопление немецких самолётов. Советские лётчики нанесли удар по вражескому аэродрому. Уничтожено 12 самолётов противника.</w:t>
      </w:r>
    </w:p>
    <w:p w14:paraId="15F408FD"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на Северном Кавказе, пустил под откос вражеский железнодорожный эшелон с боеприпасами и живой силой. Разбиты паровоз и 8 вагонов. Движение на этом участке железной дороги было прекращено на три дня. Другой партизанский отряд подорвал на минах 2 грузовые автомашины, одну бронемашину и истребил из засад 70 немецких солдат и офицеров.</w:t>
      </w:r>
    </w:p>
    <w:p w14:paraId="4E09872F"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дочиста ограбили крестьян деревни Выставка Ленинградской области. Они забрали у крестьян скот, продовольствие и личные вещи. Гитлеровские палачи расстреляли и повесили 17 жителей деревни. Колхозника Игнатия Савельева, его жену и двух малолетних детей фашистские изверги сожгли живьём.</w:t>
      </w:r>
    </w:p>
    <w:p w14:paraId="5E93F588"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очистили от немецких оккупантов железно рудные шахты в Боснии: Любия, Стари-Майдан и Стара Риека. Гитлеровцы оказывали ожесточённое сопротивление, но были разгромлены и отброшены. Партизаны захватили много пленных, среди которых немецкие подполковник и капитан.» (14844).</w:t>
      </w:r>
    </w:p>
    <w:p w14:paraId="6D3F4BFA"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3052B367"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29 ноября </w:t>
      </w:r>
      <w:r w:rsidRPr="00722885">
        <w:rPr>
          <w:rFonts w:ascii="Times New Roman" w:hAnsi="Times New Roman"/>
          <w:color w:val="000000" w:themeColor="text1"/>
          <w:sz w:val="16"/>
          <w:szCs w:val="16"/>
        </w:rPr>
        <w:t>в 1942 году вечернее сообщение Совинформбюро:</w:t>
      </w:r>
    </w:p>
    <w:p w14:paraId="6FB93A60"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29 ноября наши войска в районе города Сталинграда и на Центральном фронте, преодолевая упорное сопротивление противника, продолжали наступление на прежних направлениях.</w:t>
      </w:r>
    </w:p>
    <w:p w14:paraId="30016B6A"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заняли укреплённые пункты Вертячий, Песковатка, Сокаревка, Илларионовский. Юго-западнее Сталинграда наши войска заняли населённые пункты Ермохинский, Обильное, Верхне-Курмоярская и станцию Небыковский.</w:t>
      </w:r>
    </w:p>
    <w:p w14:paraId="418282C5"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22 до 28 ноября включительно, в воздушных боях, на аэродромах и огнём зенитной артиллерии уничтожено 234 немецких самолёта, из них 72 трёхмоторных транспортных самолёта. Наши потери за это же время 97самолётов.</w:t>
      </w:r>
    </w:p>
    <w:p w14:paraId="46DFA16C"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ноября частями нашей авиации на различных участках фронта уничтожено 20 немецких танков, до 200 автомашин с войсками и различными грузами, подавлен огонь 12 артиллерийских батарей, взорвано 10 складов с боеприпасами, рассеяно ичастью уничтожено до двух батальонов пехоты противника.</w:t>
      </w:r>
    </w:p>
    <w:p w14:paraId="0C408E9E"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северной части города Сталинграда противник предпринял атаки в районе рабочего посёлка, занятого нашими войсками. Наши войска отбили атаки гитлеровцеви уничтожили свыше 750 солдат и офицеров противника. Захвачено 13 пулемётов, 165 винтовок, несколько миномётов и противотанковых ружей. На южной окраине города наши части продвинулись вперёд на 300—400 метров. На поле боя остались сотни вражеских трупов. Захвачены оружие и боеприпасы.</w:t>
      </w:r>
    </w:p>
    <w:p w14:paraId="23AC09D5"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продолжали вести упорные наступательные бои. Противник контратаками пытался задержать продвижение советских частей. Все атаки гитлеровцев отбиты с большими для них потерями. Втечение дня уничтожено 1.400 вражеских солдат и офицеров, 13 орудий и 90 автомашин. Взято много пленных. Захвачено 19 орудий, 47 пулемётов и 2 склада боеприпасов. Наши бойцы, преодолевая сопротивление противника, заняли несколько укреплённых населённых пунктов.</w:t>
      </w:r>
    </w:p>
    <w:p w14:paraId="1A020054"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частью сил продвигались вперёд и заняли несколько населённых пунктов. На других участках наши части отражали ожесточённые атаки гитлеровцев. Противник несёт огромные потери. По неполным данным, уничтожено свыше 1.000 вражеских солдат и офицеров, 15 танков, 20орудий, 15 миномётов, 48 пулемётов и разрушено 30 дзотов. Захвачены трофеи: 28 орудий, 200 автомашин, 500.000 снарядов, свыше 2 миллионов патронов и различноев оенное имущество. Н-ское кавалерийское соединение успешно преследует отступающих гитлеровцев.</w:t>
      </w:r>
    </w:p>
    <w:p w14:paraId="59D36916"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сбили 11 немецких транспортных самолётов.</w:t>
      </w:r>
    </w:p>
    <w:p w14:paraId="1E735147"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вести наступательные операции и заняли ряд населённых пунктов. Противник оказывает упорное сопротивление и часто переходит в контратаки. В районе дороги Ржев—Вязьма немцы бросили в бой дваполка пехоты и 50 танков. Наши части отбросили гитлеровцев и продвинулись вперёд. На поле боя осталось много вражеских трупов. Уничтожено 20 немецких танков. На другом участке гитлеровцы предприняли контратаку, но отступили, потеряв убитыми до 400 солдат и офицеров.</w:t>
      </w:r>
    </w:p>
    <w:p w14:paraId="4901D3EE"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заняли укреплённую противником высоту. На скатах высоты осталось 250 вражеских трупов. На другом участке советские бойцы отбили несколько контратак и уничтожили свыше роты гитлеровцев.</w:t>
      </w:r>
    </w:p>
    <w:p w14:paraId="662C21B5"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 Черноморского флота гвардии капитаны Василенко и Овсянников атаковали транспорт противника водоизмещением в 5.000 тонн. Точно сброшенной торпедой вражеский транспорт потоплен.</w:t>
      </w:r>
    </w:p>
    <w:p w14:paraId="46160B33"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смоленских партизан на днях вёл бой с крупным карательным отрядом немцев. Партизаны уничтожили средний танк, 5 автомашин, 3 подводы с боеприпасамии истребили 107 немецких солдат и офицеров. Другой партизанский отряд пустил под откос 2 железнодорожных эшелона противника. Разбито 2 паровоза и 20 вагонов. В результате крушения убито и ранено до 300 гитлеровцев.»</w:t>
      </w:r>
    </w:p>
    <w:p w14:paraId="56B87353"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7D2D2226"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продолжается.</w:t>
      </w:r>
    </w:p>
    <w:p w14:paraId="4783F454"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I.Под Сталинградом.</w:t>
      </w:r>
    </w:p>
    <w:p w14:paraId="2C412358"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29 ноября наши войска под Сталинградом, преодолевая сопротивление противника, прорвали его новую линию обороны по восточному берегу Дона. Наши войска заняли укреплённые пункты Вертячий, Песковатка, Сокаревка, Илларионовский. Эти пункты являлись в этой линии обороны основными узлами сопротивления немцев. Юго-западнее Сталинграда наши войска, преследуя противника, заняли населённые пункты Ермохинский, Обильное, Верхне-Курмоярская истанцию Небыковский.</w:t>
      </w:r>
    </w:p>
    <w:p w14:paraId="59F59EDD"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29 ноября количество пленных увеличилось на 3.000 человек. Всего за время боёв с 19 по 29 ноября взято в плен 66.000 солдат и офицеров противника.</w:t>
      </w:r>
    </w:p>
    <w:p w14:paraId="3EDC7175"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боёв с 19 по 29 ноября нашими войсками захвачено: орудий всех калибров — 2.000, пулемётов — 3.935, танков исправных и неисправных — 1.379, автомашин — свыше 6.000, повозок с военным имуществом — 4.677, лошадей — 10.700, а также 122 склада с военным имуществом, боеприпасами и продовольствием. В районе Сталинграда уничтожено 72 трёхмоторных транспортных самолёта.»</w:t>
      </w:r>
    </w:p>
    <w:p w14:paraId="29F961EF"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На центральном фронте.</w:t>
      </w:r>
    </w:p>
    <w:p w14:paraId="5F2ECBCA"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29 ноября наши войска на Центральном фронте, преодолевая сопротивление противника и отражая контратаки его подошедших резервов, успешно продолжали наступление. Контратакующим частям противника нанесены значительные потери.</w:t>
      </w:r>
    </w:p>
    <w:p w14:paraId="214CE68B"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войсками занят ряд населённых пунктов и за день боёв захвачено: 55 орудий, 64 пулемёта, 8 танков, 15 складов с военным имуществом, боеприпасами и продовольствием. Уничтожено и подбито 49 танков противника.</w:t>
      </w:r>
    </w:p>
    <w:p w14:paraId="1E351407"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Противник оставил на поле боя 4.800 трупов солдат и офицеров.» (14844).</w:t>
      </w:r>
    </w:p>
    <w:p w14:paraId="754E067D"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33779F9F"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 ноября 1942 г. в связи с тем, что одной транспортной авиации для обеспечения 6</w:t>
      </w:r>
      <w:r w:rsidRPr="00722885">
        <w:rPr>
          <w:rFonts w:ascii="Times New Roman" w:hAnsi="Times New Roman"/>
          <w:color w:val="0070C0"/>
          <w:sz w:val="16"/>
          <w:szCs w:val="16"/>
        </w:rPr>
        <w:noBreakHyphen/>
        <w:t>й армии недостаточно и что 60–70 тонн грузов, доставляемых за сутки, никак не удовлетворяли потребностям котла, было принято решение дополнительно использовать бомбардировщики Не</w:t>
      </w:r>
      <w:r w:rsidRPr="00722885">
        <w:rPr>
          <w:rFonts w:ascii="Times New Roman" w:hAnsi="Times New Roman"/>
          <w:color w:val="0070C0"/>
          <w:sz w:val="16"/>
          <w:szCs w:val="16"/>
        </w:rPr>
        <w:noBreakHyphen/>
        <w:t>111. Для координации действий всех групп «Хейнкелей», базировавшихся на аэродроме Морозовская, в 200 километрах северо</w:t>
      </w:r>
      <w:r w:rsidRPr="00722885">
        <w:rPr>
          <w:rFonts w:ascii="Times New Roman" w:hAnsi="Times New Roman"/>
          <w:color w:val="0070C0"/>
          <w:sz w:val="16"/>
          <w:szCs w:val="16"/>
        </w:rPr>
        <w:noBreakHyphen/>
        <w:t>восточнее Ростова, было создано 1</w:t>
      </w:r>
      <w:r w:rsidRPr="00722885">
        <w:rPr>
          <w:rFonts w:ascii="Times New Roman" w:hAnsi="Times New Roman"/>
          <w:color w:val="0070C0"/>
          <w:sz w:val="16"/>
          <w:szCs w:val="16"/>
        </w:rPr>
        <w:noBreakHyphen/>
        <w:t xml:space="preserve">е авиационное транспортное командование </w:t>
      </w:r>
      <w:r w:rsidRPr="00722885">
        <w:rPr>
          <w:rFonts w:ascii="Times New Roman" w:hAnsi="Times New Roman"/>
          <w:color w:val="0070C0"/>
          <w:sz w:val="16"/>
          <w:szCs w:val="16"/>
        </w:rPr>
        <w:lastRenderedPageBreak/>
        <w:t>(Lufttransportführer 1). Его возглавил командир KG55 «Грайф» 53</w:t>
      </w:r>
      <w:r w:rsidRPr="00722885">
        <w:rPr>
          <w:rFonts w:ascii="Times New Roman" w:hAnsi="Times New Roman"/>
          <w:color w:val="0070C0"/>
          <w:sz w:val="16"/>
          <w:szCs w:val="16"/>
        </w:rPr>
        <w:noBreakHyphen/>
        <w:t>летний оберст Эрнст Кюль, которому теперь в оперативном отношении также были подчинены KG27 «Бельке», III./KG4 и I./KG 100.</w:t>
      </w:r>
    </w:p>
    <w:p w14:paraId="0F3375D9"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Затем в начале января 1943 г. для увеличения грузооборота на подмогу транспортным и бомбардировочным эскадрам дополнительно выделили даже дефицитные четырехмоторные самолеты: восемнадцать FW</w:t>
      </w:r>
      <w:r w:rsidRPr="00722885">
        <w:rPr>
          <w:rFonts w:ascii="Times New Roman" w:hAnsi="Times New Roman"/>
          <w:color w:val="0070C0"/>
          <w:sz w:val="16"/>
          <w:szCs w:val="16"/>
        </w:rPr>
        <w:noBreakHyphen/>
        <w:t>200 «Кондор», два Ju</w:t>
      </w:r>
      <w:r w:rsidRPr="00722885">
        <w:rPr>
          <w:rFonts w:ascii="Times New Roman" w:hAnsi="Times New Roman"/>
          <w:color w:val="0070C0"/>
          <w:sz w:val="16"/>
          <w:szCs w:val="16"/>
        </w:rPr>
        <w:noBreakHyphen/>
        <w:t>290, а также семь новейших бомбардировщиков Не</w:t>
      </w:r>
      <w:r w:rsidRPr="00722885">
        <w:rPr>
          <w:rFonts w:ascii="Times New Roman" w:hAnsi="Times New Roman"/>
          <w:color w:val="0070C0"/>
          <w:sz w:val="16"/>
          <w:szCs w:val="16"/>
        </w:rPr>
        <w:noBreakHyphen/>
        <w:t>177 «Грайф». К 20 января к полетам в район Сталинграда привлекли 1</w:t>
      </w:r>
      <w:r w:rsidRPr="00722885">
        <w:rPr>
          <w:rFonts w:ascii="Times New Roman" w:hAnsi="Times New Roman"/>
          <w:color w:val="0070C0"/>
          <w:sz w:val="16"/>
          <w:szCs w:val="16"/>
        </w:rPr>
        <w:noBreakHyphen/>
        <w:t>ю воздушно</w:t>
      </w:r>
      <w:r w:rsidRPr="00722885">
        <w:rPr>
          <w:rFonts w:ascii="Times New Roman" w:hAnsi="Times New Roman"/>
          <w:color w:val="0070C0"/>
          <w:sz w:val="16"/>
          <w:szCs w:val="16"/>
        </w:rPr>
        <w:noBreakHyphen/>
        <w:t>десантную эскадру (Luftlandgeschwader 1 – LLG1), располагавшую 64 самолетами</w:t>
      </w:r>
      <w:r w:rsidRPr="00722885">
        <w:rPr>
          <w:rFonts w:ascii="Times New Roman" w:hAnsi="Times New Roman"/>
          <w:color w:val="0070C0"/>
          <w:sz w:val="16"/>
          <w:szCs w:val="16"/>
        </w:rPr>
        <w:noBreakHyphen/>
        <w:t>буксировщиками и 170 грузовыми планерами DFS</w:t>
      </w:r>
      <w:r w:rsidRPr="00722885">
        <w:rPr>
          <w:rFonts w:ascii="Times New Roman" w:hAnsi="Times New Roman"/>
          <w:color w:val="0070C0"/>
          <w:sz w:val="16"/>
          <w:szCs w:val="16"/>
        </w:rPr>
        <w:noBreakHyphen/>
        <w:t>230 и Go</w:t>
      </w:r>
      <w:r w:rsidRPr="00722885">
        <w:rPr>
          <w:rFonts w:ascii="Times New Roman" w:hAnsi="Times New Roman"/>
          <w:color w:val="0070C0"/>
          <w:sz w:val="16"/>
          <w:szCs w:val="16"/>
        </w:rPr>
        <w:noBreakHyphen/>
        <w:t>242.</w:t>
      </w:r>
    </w:p>
    <w:p w14:paraId="443CCC90" w14:textId="77777777" w:rsidR="005B5EE0" w:rsidRPr="00722885" w:rsidRDefault="005B5EE0"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итоге в течение более чем двух месяцев по воздушному мосту между котлом и немецкой территорией ежедневно летала армада из самых разных самолетов. Все они внутри котла садились на аэродроме Питомник, располагавшемся в 20 километрах западнее Сталинграда. В конце ноября советские посты воздушного наблюдения ежедневно фиксировали 100–150 самолето</w:t>
      </w:r>
      <w:r w:rsidRPr="00722885">
        <w:rPr>
          <w:rFonts w:ascii="Times New Roman" w:hAnsi="Times New Roman"/>
          <w:color w:val="0070C0"/>
          <w:sz w:val="16"/>
          <w:szCs w:val="16"/>
        </w:rPr>
        <w:noBreakHyphen/>
        <w:t>пролетов. Перехватывать транспортники, идущие под эскортом Bf</w:t>
      </w:r>
      <w:r w:rsidRPr="00722885">
        <w:rPr>
          <w:rFonts w:ascii="Times New Roman" w:hAnsi="Times New Roman"/>
          <w:color w:val="0070C0"/>
          <w:sz w:val="16"/>
          <w:szCs w:val="16"/>
        </w:rPr>
        <w:noBreakHyphen/>
        <w:t>109G и Bf</w:t>
      </w:r>
      <w:r w:rsidRPr="00722885">
        <w:rPr>
          <w:rFonts w:ascii="Times New Roman" w:hAnsi="Times New Roman"/>
          <w:color w:val="0070C0"/>
          <w:sz w:val="16"/>
          <w:szCs w:val="16"/>
        </w:rPr>
        <w:noBreakHyphen/>
        <w:t>110, было делом хлопотным, поэтому советское авиационное командование в очередной раз решило прибегнуть к простому и излюбленному методу – ударам по аэродромам (23199).</w:t>
      </w:r>
    </w:p>
    <w:p w14:paraId="6B809C22" w14:textId="77777777" w:rsidR="005B5EE0" w:rsidRPr="00722885" w:rsidRDefault="005B5EE0" w:rsidP="00722885">
      <w:pPr>
        <w:spacing w:after="0" w:line="240" w:lineRule="auto"/>
        <w:jc w:val="both"/>
        <w:rPr>
          <w:rFonts w:ascii="Times New Roman" w:hAnsi="Times New Roman"/>
          <w:color w:val="0070C0"/>
          <w:sz w:val="16"/>
          <w:szCs w:val="16"/>
        </w:rPr>
      </w:pPr>
    </w:p>
    <w:p w14:paraId="4D5BE138"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29 ноября 1942 г. в СССР прибыли первых 14 французских летчиков - образование эскадрильи "Нормандия" (позже полк "Нормандия - Неман") (6395).</w:t>
      </w:r>
    </w:p>
    <w:p w14:paraId="58DC0C44" w14:textId="77777777" w:rsidR="00090C9B" w:rsidRPr="00722885" w:rsidRDefault="00090C9B" w:rsidP="00722885">
      <w:pPr>
        <w:pStyle w:val="Iauiue"/>
        <w:tabs>
          <w:tab w:val="left" w:pos="11199"/>
        </w:tabs>
        <w:jc w:val="both"/>
        <w:rPr>
          <w:color w:val="000000" w:themeColor="text1"/>
          <w:sz w:val="16"/>
          <w:szCs w:val="16"/>
        </w:rPr>
      </w:pPr>
    </w:p>
    <w:p w14:paraId="0CCF6E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ноября 1942 в СССР прибыли первые 14 французских л - образование авиаэскадрильи Нормандия (2668).</w:t>
      </w:r>
    </w:p>
    <w:p w14:paraId="0CC5C6DA" w14:textId="77777777" w:rsidR="00090C9B" w:rsidRPr="00722885" w:rsidRDefault="00090C9B" w:rsidP="00722885">
      <w:pPr>
        <w:pStyle w:val="Iauiue"/>
        <w:jc w:val="both"/>
        <w:rPr>
          <w:color w:val="000000" w:themeColor="text1"/>
          <w:sz w:val="16"/>
          <w:szCs w:val="16"/>
        </w:rPr>
      </w:pPr>
    </w:p>
    <w:p w14:paraId="1A6A49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29 ноября 1942 года общее командование воздушными силами под Сталинградом принял командующий VIII воздушным корпусом генерал-лейтенант Фибиг, тот самый Мартин Фибиг, который в 1927-1928 годах в чине капитана вместе с еще тремя офицерами рейхсвера работал в Военно-воздушной академии имени профессора Н.Е.Жуковского в Москве. Его донесения в штаб рейхсвера, копии которых находятся в моем архиве, довольно интересны (3573).</w:t>
      </w:r>
    </w:p>
    <w:p w14:paraId="7A9C1932" w14:textId="77777777" w:rsidR="00090C9B" w:rsidRPr="00722885" w:rsidRDefault="00090C9B" w:rsidP="00722885">
      <w:pPr>
        <w:pStyle w:val="Iauiue"/>
        <w:jc w:val="both"/>
        <w:rPr>
          <w:color w:val="000000" w:themeColor="text1"/>
          <w:sz w:val="16"/>
          <w:szCs w:val="16"/>
        </w:rPr>
      </w:pPr>
    </w:p>
    <w:p w14:paraId="517F9A2F" w14:textId="77777777" w:rsidR="00090C9B"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274AE334" w14:textId="77777777" w:rsidR="00090C9B" w:rsidRPr="00722885" w:rsidRDefault="00090C9B" w:rsidP="00722885">
      <w:pPr>
        <w:pStyle w:val="Iauiue"/>
        <w:jc w:val="both"/>
        <w:rPr>
          <w:iCs/>
          <w:color w:val="000000" w:themeColor="text1"/>
          <w:sz w:val="16"/>
          <w:szCs w:val="16"/>
          <w:lang w:val="en-US"/>
        </w:rPr>
      </w:pPr>
    </w:p>
    <w:p w14:paraId="7EFB0B77" w14:textId="77777777" w:rsidR="00090C9B" w:rsidRPr="00722885" w:rsidRDefault="00090C9B" w:rsidP="00722885">
      <w:pPr>
        <w:pStyle w:val="Iauiue"/>
        <w:jc w:val="both"/>
        <w:rPr>
          <w:color w:val="000000" w:themeColor="text1"/>
          <w:sz w:val="16"/>
          <w:szCs w:val="16"/>
          <w:lang w:val="en-US"/>
        </w:rPr>
      </w:pPr>
      <w:r w:rsidRPr="00722885">
        <w:rPr>
          <w:color w:val="000000" w:themeColor="text1"/>
          <w:sz w:val="16"/>
          <w:szCs w:val="16"/>
          <w:lang w:val="en-US"/>
        </w:rPr>
        <w:t>November 29, 1942: Prime minister Churchill warns the Italian government that RAF bombing of Italian cities will continue until Italy abandons the war (3819).</w:t>
      </w:r>
    </w:p>
    <w:p w14:paraId="7FF3E2AA" w14:textId="77777777" w:rsidR="00090C9B" w:rsidRPr="00722885" w:rsidRDefault="00090C9B" w:rsidP="00722885">
      <w:pPr>
        <w:pStyle w:val="Iauiue"/>
        <w:jc w:val="both"/>
        <w:rPr>
          <w:color w:val="000000" w:themeColor="text1"/>
          <w:sz w:val="16"/>
          <w:szCs w:val="16"/>
          <w:lang w:val="en-US"/>
        </w:rPr>
      </w:pPr>
    </w:p>
    <w:p w14:paraId="4A4B9F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 ноября 1942 У.Черчиль предупредил Италию, что бомбардировки итальянских городов будут продолжаться до выхода Италии из войны (3819).</w:t>
      </w:r>
    </w:p>
    <w:p w14:paraId="5232C232" w14:textId="77777777" w:rsidR="00090C9B" w:rsidRPr="00722885" w:rsidRDefault="00090C9B" w:rsidP="00722885">
      <w:pPr>
        <w:pStyle w:val="Iauiue"/>
        <w:jc w:val="both"/>
        <w:rPr>
          <w:color w:val="000000" w:themeColor="text1"/>
          <w:sz w:val="16"/>
          <w:szCs w:val="16"/>
        </w:rPr>
      </w:pPr>
    </w:p>
    <w:p w14:paraId="0050EA0F"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29 ноября </w:t>
      </w:r>
      <w:r w:rsidRPr="00722885">
        <w:rPr>
          <w:rFonts w:ascii="Times New Roman" w:hAnsi="Times New Roman"/>
          <w:color w:val="000000" w:themeColor="text1"/>
          <w:sz w:val="16"/>
          <w:szCs w:val="16"/>
        </w:rPr>
        <w:t>в 1942 году командиру «волчьей стаи» (четырех американских подлодок) посылается по радио приказ собрать лодки и изменить район патрулирования. Однако флагманская лодка «Скалпин» на вызов не отвечает. Через 40 часов приказ будет переадресован другой лодке, судьба же «Скалпина» долгое время будет оставаться неизвестной (14844).</w:t>
      </w:r>
    </w:p>
    <w:p w14:paraId="3B2FF886"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3A5DF390"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29 ноября </w:t>
      </w:r>
      <w:r w:rsidRPr="00722885">
        <w:rPr>
          <w:rFonts w:ascii="Times New Roman" w:hAnsi="Times New Roman"/>
          <w:color w:val="000000" w:themeColor="text1"/>
          <w:sz w:val="16"/>
          <w:szCs w:val="16"/>
        </w:rPr>
        <w:t>в 1942 году (29-30 ноября) ночной бой в бухте Тассафаронга (Соломоновы острова) между военно-морскими силами США и Японии. СШАпотеряликрейсер. Японияпотерялаэсминец (14844).</w:t>
      </w:r>
    </w:p>
    <w:p w14:paraId="4155BD18"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11441D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lang w:val="en-US"/>
        </w:rPr>
        <w:t>November</w:t>
      </w:r>
      <w:r w:rsidRPr="00722885">
        <w:rPr>
          <w:color w:val="000000" w:themeColor="text1"/>
          <w:sz w:val="16"/>
          <w:szCs w:val="16"/>
        </w:rPr>
        <w:t xml:space="preserve"> 29 1942 </w:t>
      </w:r>
      <w:r w:rsidRPr="00722885">
        <w:rPr>
          <w:color w:val="000000" w:themeColor="text1"/>
          <w:sz w:val="16"/>
          <w:szCs w:val="16"/>
          <w:lang w:val="en-US"/>
        </w:rPr>
        <w:t>Coffee</w:t>
      </w:r>
      <w:r w:rsidRPr="00722885">
        <w:rPr>
          <w:color w:val="000000" w:themeColor="text1"/>
          <w:sz w:val="16"/>
          <w:szCs w:val="16"/>
        </w:rPr>
        <w:t xml:space="preserve"> </w:t>
      </w:r>
      <w:r w:rsidRPr="00722885">
        <w:rPr>
          <w:color w:val="000000" w:themeColor="text1"/>
          <w:sz w:val="16"/>
          <w:szCs w:val="16"/>
          <w:lang w:val="en-US"/>
        </w:rPr>
        <w:t>ration</w:t>
      </w:r>
      <w:r w:rsidRPr="00722885">
        <w:rPr>
          <w:color w:val="000000" w:themeColor="text1"/>
          <w:sz w:val="16"/>
          <w:szCs w:val="16"/>
        </w:rPr>
        <w:t xml:space="preserve"> </w:t>
      </w:r>
      <w:r w:rsidRPr="00722885">
        <w:rPr>
          <w:color w:val="000000" w:themeColor="text1"/>
          <w:sz w:val="16"/>
          <w:szCs w:val="16"/>
          <w:lang w:val="en-US"/>
        </w:rPr>
        <w:t>begins</w:t>
      </w:r>
      <w:r w:rsidRPr="00722885">
        <w:rPr>
          <w:color w:val="000000" w:themeColor="text1"/>
          <w:sz w:val="16"/>
          <w:szCs w:val="16"/>
        </w:rPr>
        <w:t xml:space="preserve"> </w:t>
      </w:r>
      <w:r w:rsidRPr="00722885">
        <w:rPr>
          <w:color w:val="000000" w:themeColor="text1"/>
          <w:sz w:val="16"/>
          <w:szCs w:val="16"/>
          <w:lang w:val="en-US"/>
        </w:rPr>
        <w:t>in</w:t>
      </w:r>
      <w:r w:rsidRPr="00722885">
        <w:rPr>
          <w:color w:val="000000" w:themeColor="text1"/>
          <w:sz w:val="16"/>
          <w:szCs w:val="16"/>
        </w:rPr>
        <w:t xml:space="preserve"> </w:t>
      </w:r>
      <w:r w:rsidRPr="00722885">
        <w:rPr>
          <w:color w:val="000000" w:themeColor="text1"/>
          <w:sz w:val="16"/>
          <w:szCs w:val="16"/>
          <w:lang w:val="en-US"/>
        </w:rPr>
        <w:t>the</w:t>
      </w:r>
      <w:r w:rsidRPr="00722885">
        <w:rPr>
          <w:color w:val="000000" w:themeColor="text1"/>
          <w:sz w:val="16"/>
          <w:szCs w:val="16"/>
        </w:rPr>
        <w:t xml:space="preserve"> </w:t>
      </w:r>
      <w:r w:rsidRPr="00722885">
        <w:rPr>
          <w:color w:val="000000" w:themeColor="text1"/>
          <w:sz w:val="16"/>
          <w:szCs w:val="16"/>
          <w:lang w:val="en-US"/>
        </w:rPr>
        <w:t>US</w:t>
      </w:r>
      <w:r w:rsidRPr="00722885">
        <w:rPr>
          <w:color w:val="000000" w:themeColor="text1"/>
          <w:sz w:val="16"/>
          <w:szCs w:val="16"/>
        </w:rPr>
        <w:t xml:space="preserve"> (1242).</w:t>
      </w:r>
    </w:p>
    <w:p w14:paraId="7D1E6BE7" w14:textId="77777777" w:rsidR="00090C9B" w:rsidRPr="00722885" w:rsidRDefault="00090C9B" w:rsidP="00722885">
      <w:pPr>
        <w:pStyle w:val="Iauiue"/>
        <w:jc w:val="both"/>
        <w:rPr>
          <w:color w:val="000000" w:themeColor="text1"/>
          <w:sz w:val="16"/>
          <w:szCs w:val="16"/>
        </w:rPr>
      </w:pPr>
    </w:p>
    <w:p w14:paraId="131E72D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29 ноября 1942 в США были введены карточки на кофе (1242).</w:t>
      </w:r>
    </w:p>
    <w:p w14:paraId="122911CE" w14:textId="77777777" w:rsidR="00090C9B" w:rsidRPr="00722885" w:rsidRDefault="00090C9B" w:rsidP="00722885">
      <w:pPr>
        <w:pStyle w:val="Iauiue"/>
        <w:jc w:val="both"/>
        <w:rPr>
          <w:color w:val="000000" w:themeColor="text1"/>
          <w:sz w:val="16"/>
          <w:szCs w:val="16"/>
        </w:rPr>
      </w:pPr>
    </w:p>
    <w:p w14:paraId="4C9CC1EF" w14:textId="77777777" w:rsidR="00090C9B" w:rsidRPr="00722885" w:rsidRDefault="00090C9B" w:rsidP="00722885">
      <w:pPr>
        <w:pStyle w:val="Iauiue"/>
        <w:tabs>
          <w:tab w:val="left" w:pos="11199"/>
        </w:tabs>
        <w:jc w:val="both"/>
        <w:rPr>
          <w:color w:val="000000" w:themeColor="text1"/>
          <w:sz w:val="16"/>
          <w:szCs w:val="16"/>
        </w:rPr>
      </w:pPr>
      <w:r w:rsidRPr="00722885">
        <w:rPr>
          <w:color w:val="000000" w:themeColor="text1"/>
          <w:sz w:val="16"/>
          <w:szCs w:val="16"/>
        </w:rPr>
        <w:t>29 ноября 1942 в США введены ограничения на торговлю и потребление кофе (4962).</w:t>
      </w:r>
    </w:p>
    <w:p w14:paraId="34C8CD35" w14:textId="77777777" w:rsidR="00090C9B" w:rsidRPr="00722885" w:rsidRDefault="00090C9B" w:rsidP="00722885">
      <w:pPr>
        <w:pStyle w:val="Iauiue"/>
        <w:tabs>
          <w:tab w:val="left" w:pos="11199"/>
        </w:tabs>
        <w:jc w:val="both"/>
        <w:rPr>
          <w:color w:val="000000" w:themeColor="text1"/>
          <w:sz w:val="16"/>
          <w:szCs w:val="16"/>
        </w:rPr>
      </w:pPr>
    </w:p>
    <w:p w14:paraId="16754CD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D126F43" w14:textId="77777777" w:rsidR="00090C9B" w:rsidRPr="00722885" w:rsidRDefault="00090C9B" w:rsidP="00722885">
      <w:pPr>
        <w:pStyle w:val="Iauiue"/>
        <w:jc w:val="both"/>
        <w:rPr>
          <w:iCs/>
          <w:color w:val="000000" w:themeColor="text1"/>
          <w:sz w:val="16"/>
          <w:szCs w:val="16"/>
        </w:rPr>
      </w:pPr>
    </w:p>
    <w:p w14:paraId="374320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года гл. инженер завода N 481 Хвостюк и гл. конструктор Павлов писали письмо N 2155 Маленкову.</w:t>
      </w:r>
    </w:p>
    <w:p w14:paraId="2552F7C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Самолет Пе-2 имеет верхнюю стрелковую установку ВУБ-1, которая в настоящее время под шифром ВУБ-3 ставится также и на самолет Ил-2 в качестве задней стрелковой точки.</w:t>
      </w:r>
    </w:p>
    <w:p w14:paraId="7AF8FC7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Эта установка страдает целым рядом конструктивных недочетов, ведущих к массовым рекламациям (непрочность чугунного кольца и каретки, ненадежность электрического подтяга, недостаточные углы обстрела при установке на самолете Ил-2, не оправдывающие сложность и громоздкость конструкции).</w:t>
      </w:r>
    </w:p>
    <w:p w14:paraId="3CFA334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основе тщательного учета боевой работы самолетов нашим заводом сконструирована и изготовлена новая стрелковая установка для указанных самолетов, имеющая следующие преимущества:</w:t>
      </w:r>
    </w:p>
    <w:p w14:paraId="658E00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 Отсутствие кольца и каретки, являющихся слабым местом установки ВУБ-1 и ВУБ-3.</w:t>
      </w:r>
    </w:p>
    <w:p w14:paraId="13BF13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 Отсутствие электрического подтяга.</w:t>
      </w:r>
    </w:p>
    <w:p w14:paraId="245247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 Уменьшение веса для Пе-2 на 26 кг и для Ил-2 на 15 кг.</w:t>
      </w:r>
    </w:p>
    <w:p w14:paraId="0397983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 Увеличение углов обстрела на самолете Ил-2 более, чем в полтора раза.</w:t>
      </w:r>
    </w:p>
    <w:p w14:paraId="69B785C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5. Подвижная броня, дающая большую надежность по сравнению с существующей на Ил-2 броней заднего отсека.</w:t>
      </w:r>
    </w:p>
    <w:p w14:paraId="40939FD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6. Снижение стоимости производства до 50% по сравнению с ВУБ-1 и ВУБ-3.</w:t>
      </w:r>
    </w:p>
    <w:p w14:paraId="7A6814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7. Сокращение расхода алюминиевого литья на 7,5 тонн и дефицитных шарикоподшипников на 6000 шт. в месяц, исходя из программы выпуска самолета Ил-2.</w:t>
      </w:r>
    </w:p>
    <w:p w14:paraId="05D56C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 Отсутствие потребности в остродефицитных карусельных и зубодолбежных станках.</w:t>
      </w:r>
    </w:p>
    <w:p w14:paraId="67B7B0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Несмотря на очевидное преимущество установки конструкции завода N 481, подтвержденное военными специалистами (генерал-майор Бибиков, полковник Алексеев, инженер-подполковник Романов и др.), испытание ее на самолете Ил-2, проводимое заводом N 240 идет недопустимо медленно, а на самолете Пе-2 (завод N 22) совершенно прекращено распоряжением 10-го Гл. управления НКАП, несмотря на все имеющиеся возможности и наличие самолета Пе-2 N 19/135, выделенного для испытания прицела и др. агрегатов вооружения.</w:t>
      </w:r>
    </w:p>
    <w:p w14:paraId="0D073F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связи с этим прошу Вашего указания о быстрейшем проведении заводских и государственных испытаний нашей установки, так как подобная медлительность в данном вопросе ведет к тому, что такой важный для обороны страны самолет, как Ил-2 будет иметь заднюю стрелковую точку совершенно не отвечающую требованиям боевой эксплуатации и сложную в производстве (2179,180).</w:t>
      </w:r>
    </w:p>
    <w:p w14:paraId="6A0AE2F6" w14:textId="77777777" w:rsidR="00090C9B" w:rsidRPr="00722885" w:rsidRDefault="00090C9B" w:rsidP="00722885">
      <w:pPr>
        <w:pStyle w:val="Iauiue"/>
        <w:jc w:val="both"/>
        <w:rPr>
          <w:color w:val="000000" w:themeColor="text1"/>
          <w:sz w:val="16"/>
          <w:szCs w:val="16"/>
        </w:rPr>
      </w:pPr>
    </w:p>
    <w:p w14:paraId="3EB1E0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был подготовлен Список эвакуированных предприятий ПГУ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790"/>
        <w:gridCol w:w="761"/>
        <w:gridCol w:w="2753"/>
        <w:gridCol w:w="2293"/>
        <w:gridCol w:w="916"/>
        <w:gridCol w:w="1833"/>
      </w:tblGrid>
      <w:tr w:rsidR="009B487A" w:rsidRPr="00722885" w14:paraId="2BC73BDD" w14:textId="77777777" w:rsidTr="00CC5360">
        <w:tc>
          <w:tcPr>
            <w:tcW w:w="534" w:type="dxa"/>
            <w:tcBorders>
              <w:top w:val="single" w:sz="12" w:space="0" w:color="auto"/>
            </w:tcBorders>
          </w:tcPr>
          <w:p w14:paraId="48F575E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до эвакуации</w:t>
            </w:r>
          </w:p>
        </w:tc>
        <w:tc>
          <w:tcPr>
            <w:tcW w:w="1790" w:type="dxa"/>
            <w:tcBorders>
              <w:top w:val="single" w:sz="12" w:space="0" w:color="auto"/>
            </w:tcBorders>
          </w:tcPr>
          <w:p w14:paraId="0BBA148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Откуда эвакуирован</w:t>
            </w:r>
          </w:p>
        </w:tc>
        <w:tc>
          <w:tcPr>
            <w:tcW w:w="761" w:type="dxa"/>
            <w:tcBorders>
              <w:top w:val="single" w:sz="12" w:space="0" w:color="auto"/>
            </w:tcBorders>
          </w:tcPr>
          <w:p w14:paraId="7CB1B2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Дата эвакуации</w:t>
            </w:r>
          </w:p>
        </w:tc>
        <w:tc>
          <w:tcPr>
            <w:tcW w:w="2753" w:type="dxa"/>
            <w:tcBorders>
              <w:top w:val="single" w:sz="12" w:space="0" w:color="auto"/>
            </w:tcBorders>
          </w:tcPr>
          <w:p w14:paraId="481587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Предприятие, на которое эвакуировано</w:t>
            </w:r>
          </w:p>
        </w:tc>
        <w:tc>
          <w:tcPr>
            <w:tcW w:w="2293" w:type="dxa"/>
            <w:tcBorders>
              <w:top w:val="single" w:sz="12" w:space="0" w:color="auto"/>
            </w:tcBorders>
          </w:tcPr>
          <w:p w14:paraId="7CEE174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Сохранило ли самостоятельность или объединилось</w:t>
            </w:r>
          </w:p>
        </w:tc>
        <w:tc>
          <w:tcPr>
            <w:tcW w:w="916" w:type="dxa"/>
            <w:tcBorders>
              <w:top w:val="single" w:sz="12" w:space="0" w:color="auto"/>
            </w:tcBorders>
          </w:tcPr>
          <w:p w14:paraId="54FF65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после эвакуации</w:t>
            </w:r>
          </w:p>
        </w:tc>
        <w:tc>
          <w:tcPr>
            <w:tcW w:w="1833" w:type="dxa"/>
            <w:tcBorders>
              <w:top w:val="single" w:sz="12" w:space="0" w:color="auto"/>
            </w:tcBorders>
          </w:tcPr>
          <w:p w14:paraId="64E4777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Куда прибыло</w:t>
            </w:r>
          </w:p>
        </w:tc>
      </w:tr>
      <w:tr w:rsidR="009B487A" w:rsidRPr="00722885" w14:paraId="6ED321CB" w14:textId="77777777" w:rsidTr="00CC5360">
        <w:tc>
          <w:tcPr>
            <w:tcW w:w="534" w:type="dxa"/>
          </w:tcPr>
          <w:p w14:paraId="155052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tc>
        <w:tc>
          <w:tcPr>
            <w:tcW w:w="1790" w:type="dxa"/>
          </w:tcPr>
          <w:p w14:paraId="4588EB3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Москва</w:t>
            </w:r>
          </w:p>
        </w:tc>
        <w:tc>
          <w:tcPr>
            <w:tcW w:w="761" w:type="dxa"/>
          </w:tcPr>
          <w:p w14:paraId="30B476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09.41</w:t>
            </w:r>
          </w:p>
        </w:tc>
        <w:tc>
          <w:tcPr>
            <w:tcW w:w="2753" w:type="dxa"/>
          </w:tcPr>
          <w:p w14:paraId="1633A8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122</w:t>
            </w:r>
          </w:p>
        </w:tc>
        <w:tc>
          <w:tcPr>
            <w:tcW w:w="2293" w:type="dxa"/>
          </w:tcPr>
          <w:p w14:paraId="56D33A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сохранило</w:t>
            </w:r>
          </w:p>
        </w:tc>
        <w:tc>
          <w:tcPr>
            <w:tcW w:w="916" w:type="dxa"/>
          </w:tcPr>
          <w:p w14:paraId="006C5CE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tc>
        <w:tc>
          <w:tcPr>
            <w:tcW w:w="1833" w:type="dxa"/>
          </w:tcPr>
          <w:p w14:paraId="583470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Куйбышев</w:t>
            </w:r>
          </w:p>
        </w:tc>
      </w:tr>
      <w:tr w:rsidR="009B487A" w:rsidRPr="00722885" w14:paraId="1FBFB9B8" w14:textId="77777777" w:rsidTr="00CC5360">
        <w:tc>
          <w:tcPr>
            <w:tcW w:w="534" w:type="dxa"/>
          </w:tcPr>
          <w:p w14:paraId="34C44D9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23</w:t>
            </w:r>
          </w:p>
        </w:tc>
        <w:tc>
          <w:tcPr>
            <w:tcW w:w="1790" w:type="dxa"/>
          </w:tcPr>
          <w:p w14:paraId="69E1D3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Ленинград</w:t>
            </w:r>
          </w:p>
        </w:tc>
        <w:tc>
          <w:tcPr>
            <w:tcW w:w="761" w:type="dxa"/>
          </w:tcPr>
          <w:p w14:paraId="177420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09.41</w:t>
            </w:r>
          </w:p>
        </w:tc>
        <w:tc>
          <w:tcPr>
            <w:tcW w:w="2753" w:type="dxa"/>
          </w:tcPr>
          <w:p w14:paraId="5D089A1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153</w:t>
            </w:r>
          </w:p>
        </w:tc>
        <w:tc>
          <w:tcPr>
            <w:tcW w:w="2293" w:type="dxa"/>
          </w:tcPr>
          <w:p w14:paraId="2E0D50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слилось с з-м 153</w:t>
            </w:r>
          </w:p>
        </w:tc>
        <w:tc>
          <w:tcPr>
            <w:tcW w:w="916" w:type="dxa"/>
          </w:tcPr>
          <w:p w14:paraId="4FE1DBD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153</w:t>
            </w:r>
          </w:p>
        </w:tc>
        <w:tc>
          <w:tcPr>
            <w:tcW w:w="1833" w:type="dxa"/>
          </w:tcPr>
          <w:p w14:paraId="26BC456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Новосибирск</w:t>
            </w:r>
          </w:p>
        </w:tc>
      </w:tr>
      <w:tr w:rsidR="009B487A" w:rsidRPr="00722885" w14:paraId="040D811C" w14:textId="77777777" w:rsidTr="00CC5360">
        <w:tc>
          <w:tcPr>
            <w:tcW w:w="534" w:type="dxa"/>
          </w:tcPr>
          <w:p w14:paraId="194482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w:t>
            </w:r>
          </w:p>
        </w:tc>
        <w:tc>
          <w:tcPr>
            <w:tcW w:w="1790" w:type="dxa"/>
          </w:tcPr>
          <w:p w14:paraId="745E1D6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Таганрог</w:t>
            </w:r>
          </w:p>
        </w:tc>
        <w:tc>
          <w:tcPr>
            <w:tcW w:w="761" w:type="dxa"/>
          </w:tcPr>
          <w:p w14:paraId="599AB1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09.41</w:t>
            </w:r>
          </w:p>
        </w:tc>
        <w:tc>
          <w:tcPr>
            <w:tcW w:w="2753" w:type="dxa"/>
          </w:tcPr>
          <w:p w14:paraId="1E8D58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448</w:t>
            </w:r>
          </w:p>
        </w:tc>
        <w:tc>
          <w:tcPr>
            <w:tcW w:w="2293" w:type="dxa"/>
          </w:tcPr>
          <w:p w14:paraId="2F95B2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сохранило</w:t>
            </w:r>
          </w:p>
        </w:tc>
        <w:tc>
          <w:tcPr>
            <w:tcW w:w="916" w:type="dxa"/>
          </w:tcPr>
          <w:p w14:paraId="1CF391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31</w:t>
            </w:r>
          </w:p>
        </w:tc>
        <w:tc>
          <w:tcPr>
            <w:tcW w:w="1833" w:type="dxa"/>
          </w:tcPr>
          <w:p w14:paraId="471823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Тбилиси</w:t>
            </w:r>
          </w:p>
        </w:tc>
      </w:tr>
      <w:tr w:rsidR="009B487A" w:rsidRPr="00722885" w14:paraId="5C3DCAB5" w14:textId="77777777" w:rsidTr="00CC5360">
        <w:tc>
          <w:tcPr>
            <w:tcW w:w="534" w:type="dxa"/>
          </w:tcPr>
          <w:p w14:paraId="151EB2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43</w:t>
            </w:r>
          </w:p>
        </w:tc>
        <w:tc>
          <w:tcPr>
            <w:tcW w:w="1790" w:type="dxa"/>
          </w:tcPr>
          <w:p w14:paraId="55AE68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Киев</w:t>
            </w:r>
          </w:p>
        </w:tc>
        <w:tc>
          <w:tcPr>
            <w:tcW w:w="761" w:type="dxa"/>
          </w:tcPr>
          <w:p w14:paraId="1EDA2C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07.41</w:t>
            </w:r>
          </w:p>
        </w:tc>
        <w:tc>
          <w:tcPr>
            <w:tcW w:w="2753" w:type="dxa"/>
          </w:tcPr>
          <w:p w14:paraId="32FABC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153</w:t>
            </w:r>
          </w:p>
        </w:tc>
        <w:tc>
          <w:tcPr>
            <w:tcW w:w="2293" w:type="dxa"/>
          </w:tcPr>
          <w:p w14:paraId="582B73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слилось с з-м 153</w:t>
            </w:r>
          </w:p>
        </w:tc>
        <w:tc>
          <w:tcPr>
            <w:tcW w:w="916" w:type="dxa"/>
          </w:tcPr>
          <w:p w14:paraId="15ED59F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153</w:t>
            </w:r>
          </w:p>
        </w:tc>
        <w:tc>
          <w:tcPr>
            <w:tcW w:w="1833" w:type="dxa"/>
          </w:tcPr>
          <w:p w14:paraId="4DA208F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Новосибирск</w:t>
            </w:r>
          </w:p>
        </w:tc>
      </w:tr>
      <w:tr w:rsidR="009B487A" w:rsidRPr="00722885" w14:paraId="270CE21E" w14:textId="77777777" w:rsidTr="00CC5360">
        <w:tc>
          <w:tcPr>
            <w:tcW w:w="534" w:type="dxa"/>
          </w:tcPr>
          <w:p w14:paraId="499674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47</w:t>
            </w:r>
          </w:p>
        </w:tc>
        <w:tc>
          <w:tcPr>
            <w:tcW w:w="1790" w:type="dxa"/>
          </w:tcPr>
          <w:p w14:paraId="2C079C9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Ленинград</w:t>
            </w:r>
          </w:p>
        </w:tc>
        <w:tc>
          <w:tcPr>
            <w:tcW w:w="761" w:type="dxa"/>
          </w:tcPr>
          <w:p w14:paraId="3B0E409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08.41</w:t>
            </w:r>
          </w:p>
        </w:tc>
        <w:tc>
          <w:tcPr>
            <w:tcW w:w="2753" w:type="dxa"/>
          </w:tcPr>
          <w:p w14:paraId="2CD0B97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Мастерские Чкаловской авиашколы</w:t>
            </w:r>
          </w:p>
        </w:tc>
        <w:tc>
          <w:tcPr>
            <w:tcW w:w="2293" w:type="dxa"/>
          </w:tcPr>
          <w:p w14:paraId="5E6912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сохранило</w:t>
            </w:r>
          </w:p>
        </w:tc>
        <w:tc>
          <w:tcPr>
            <w:tcW w:w="916" w:type="dxa"/>
          </w:tcPr>
          <w:p w14:paraId="7FF3EE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47</w:t>
            </w:r>
          </w:p>
        </w:tc>
        <w:tc>
          <w:tcPr>
            <w:tcW w:w="1833" w:type="dxa"/>
          </w:tcPr>
          <w:p w14:paraId="4C0CED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Чкалов</w:t>
            </w:r>
          </w:p>
        </w:tc>
      </w:tr>
      <w:tr w:rsidR="009B487A" w:rsidRPr="00722885" w14:paraId="54FB5300" w14:textId="77777777" w:rsidTr="00CC5360">
        <w:tc>
          <w:tcPr>
            <w:tcW w:w="534" w:type="dxa"/>
          </w:tcPr>
          <w:p w14:paraId="344B55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81</w:t>
            </w:r>
          </w:p>
        </w:tc>
        <w:tc>
          <w:tcPr>
            <w:tcW w:w="1790" w:type="dxa"/>
          </w:tcPr>
          <w:p w14:paraId="4913E1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Тушино, МО</w:t>
            </w:r>
          </w:p>
        </w:tc>
        <w:tc>
          <w:tcPr>
            <w:tcW w:w="761" w:type="dxa"/>
          </w:tcPr>
          <w:p w14:paraId="1AB19D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07.41</w:t>
            </w:r>
          </w:p>
        </w:tc>
        <w:tc>
          <w:tcPr>
            <w:tcW w:w="2753" w:type="dxa"/>
          </w:tcPr>
          <w:p w14:paraId="2AEA01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з-д 166, зд Автоприцеп и мастерские Аэрофлота</w:t>
            </w:r>
          </w:p>
        </w:tc>
        <w:tc>
          <w:tcPr>
            <w:tcW w:w="2293" w:type="dxa"/>
          </w:tcPr>
          <w:p w14:paraId="6E4C65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слилось с з-д 166</w:t>
            </w:r>
          </w:p>
        </w:tc>
        <w:tc>
          <w:tcPr>
            <w:tcW w:w="916" w:type="dxa"/>
          </w:tcPr>
          <w:p w14:paraId="03F143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166</w:t>
            </w:r>
          </w:p>
        </w:tc>
        <w:tc>
          <w:tcPr>
            <w:tcW w:w="1833" w:type="dxa"/>
          </w:tcPr>
          <w:p w14:paraId="59C0D01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Омск</w:t>
            </w:r>
          </w:p>
        </w:tc>
      </w:tr>
      <w:tr w:rsidR="009B487A" w:rsidRPr="00722885" w14:paraId="25422152" w14:textId="77777777" w:rsidTr="00CC5360">
        <w:tc>
          <w:tcPr>
            <w:tcW w:w="534" w:type="dxa"/>
          </w:tcPr>
          <w:p w14:paraId="48AC08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135</w:t>
            </w:r>
          </w:p>
        </w:tc>
        <w:tc>
          <w:tcPr>
            <w:tcW w:w="1790" w:type="dxa"/>
          </w:tcPr>
          <w:p w14:paraId="0AD3FC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Харьков</w:t>
            </w:r>
          </w:p>
        </w:tc>
        <w:tc>
          <w:tcPr>
            <w:tcW w:w="761" w:type="dxa"/>
          </w:tcPr>
          <w:p w14:paraId="0183F55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10.41</w:t>
            </w:r>
          </w:p>
        </w:tc>
        <w:tc>
          <w:tcPr>
            <w:tcW w:w="2753" w:type="dxa"/>
          </w:tcPr>
          <w:p w14:paraId="3E66CCE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з-д 135</w:t>
            </w:r>
          </w:p>
        </w:tc>
        <w:tc>
          <w:tcPr>
            <w:tcW w:w="2293" w:type="dxa"/>
          </w:tcPr>
          <w:p w14:paraId="08CEFD9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ликвидировано 01.01.42</w:t>
            </w:r>
          </w:p>
        </w:tc>
        <w:tc>
          <w:tcPr>
            <w:tcW w:w="916" w:type="dxa"/>
          </w:tcPr>
          <w:p w14:paraId="07E3D9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833" w:type="dxa"/>
          </w:tcPr>
          <w:p w14:paraId="4B26A98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Молотов</w:t>
            </w:r>
          </w:p>
        </w:tc>
      </w:tr>
      <w:tr w:rsidR="009B487A" w:rsidRPr="00722885" w14:paraId="7CBB5980" w14:textId="77777777" w:rsidTr="00CC5360">
        <w:tc>
          <w:tcPr>
            <w:tcW w:w="534" w:type="dxa"/>
          </w:tcPr>
          <w:p w14:paraId="7504FDA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165</w:t>
            </w:r>
          </w:p>
        </w:tc>
        <w:tc>
          <w:tcPr>
            <w:tcW w:w="1790" w:type="dxa"/>
          </w:tcPr>
          <w:p w14:paraId="5B832E8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Днепропетровск</w:t>
            </w:r>
          </w:p>
        </w:tc>
        <w:tc>
          <w:tcPr>
            <w:tcW w:w="761" w:type="dxa"/>
          </w:tcPr>
          <w:p w14:paraId="529DDD6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08.41</w:t>
            </w:r>
          </w:p>
        </w:tc>
        <w:tc>
          <w:tcPr>
            <w:tcW w:w="2753" w:type="dxa"/>
          </w:tcPr>
          <w:p w14:paraId="0D4437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292</w:t>
            </w:r>
          </w:p>
        </w:tc>
        <w:tc>
          <w:tcPr>
            <w:tcW w:w="2293" w:type="dxa"/>
          </w:tcPr>
          <w:p w14:paraId="0D2241B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слилось с з-м 292</w:t>
            </w:r>
          </w:p>
        </w:tc>
        <w:tc>
          <w:tcPr>
            <w:tcW w:w="916" w:type="dxa"/>
          </w:tcPr>
          <w:p w14:paraId="763FA8F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292</w:t>
            </w:r>
          </w:p>
        </w:tc>
        <w:tc>
          <w:tcPr>
            <w:tcW w:w="1833" w:type="dxa"/>
          </w:tcPr>
          <w:p w14:paraId="0341573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Саратов</w:t>
            </w:r>
          </w:p>
        </w:tc>
      </w:tr>
      <w:tr w:rsidR="009B487A" w:rsidRPr="00722885" w14:paraId="7C629B0D" w14:textId="77777777" w:rsidTr="00CC5360">
        <w:tc>
          <w:tcPr>
            <w:tcW w:w="534" w:type="dxa"/>
          </w:tcPr>
          <w:p w14:paraId="3A658E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207</w:t>
            </w:r>
          </w:p>
        </w:tc>
        <w:tc>
          <w:tcPr>
            <w:tcW w:w="1790" w:type="dxa"/>
          </w:tcPr>
          <w:p w14:paraId="650A07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Долгопрудная, МО</w:t>
            </w:r>
          </w:p>
        </w:tc>
        <w:tc>
          <w:tcPr>
            <w:tcW w:w="761" w:type="dxa"/>
          </w:tcPr>
          <w:p w14:paraId="4CC1B0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09.41</w:t>
            </w:r>
          </w:p>
        </w:tc>
        <w:tc>
          <w:tcPr>
            <w:tcW w:w="2753" w:type="dxa"/>
          </w:tcPr>
          <w:p w14:paraId="3D9060A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135</w:t>
            </w:r>
          </w:p>
        </w:tc>
        <w:tc>
          <w:tcPr>
            <w:tcW w:w="2293" w:type="dxa"/>
          </w:tcPr>
          <w:p w14:paraId="66D7AF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ликвидирован 01.01.42</w:t>
            </w:r>
          </w:p>
        </w:tc>
        <w:tc>
          <w:tcPr>
            <w:tcW w:w="916" w:type="dxa"/>
          </w:tcPr>
          <w:p w14:paraId="7B70844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w:t>
            </w:r>
          </w:p>
        </w:tc>
        <w:tc>
          <w:tcPr>
            <w:tcW w:w="1833" w:type="dxa"/>
          </w:tcPr>
          <w:p w14:paraId="268FF9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Молотов</w:t>
            </w:r>
          </w:p>
        </w:tc>
      </w:tr>
      <w:tr w:rsidR="009B487A" w:rsidRPr="00722885" w14:paraId="13DE7E52" w14:textId="77777777" w:rsidTr="00CC5360">
        <w:tc>
          <w:tcPr>
            <w:tcW w:w="534" w:type="dxa"/>
          </w:tcPr>
          <w:p w14:paraId="6DE34AD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301</w:t>
            </w:r>
          </w:p>
        </w:tc>
        <w:tc>
          <w:tcPr>
            <w:tcW w:w="1790" w:type="dxa"/>
          </w:tcPr>
          <w:p w14:paraId="43BB038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Химки, МО</w:t>
            </w:r>
          </w:p>
        </w:tc>
        <w:tc>
          <w:tcPr>
            <w:tcW w:w="761" w:type="dxa"/>
          </w:tcPr>
          <w:p w14:paraId="788341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09.41</w:t>
            </w:r>
          </w:p>
        </w:tc>
        <w:tc>
          <w:tcPr>
            <w:tcW w:w="2753" w:type="dxa"/>
          </w:tcPr>
          <w:p w14:paraId="5E7EA90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153</w:t>
            </w:r>
          </w:p>
        </w:tc>
        <w:tc>
          <w:tcPr>
            <w:tcW w:w="2293" w:type="dxa"/>
          </w:tcPr>
          <w:p w14:paraId="3C26A3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слилось с з-м 153</w:t>
            </w:r>
          </w:p>
        </w:tc>
        <w:tc>
          <w:tcPr>
            <w:tcW w:w="916" w:type="dxa"/>
          </w:tcPr>
          <w:p w14:paraId="315CE1F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153</w:t>
            </w:r>
          </w:p>
        </w:tc>
        <w:tc>
          <w:tcPr>
            <w:tcW w:w="1833" w:type="dxa"/>
          </w:tcPr>
          <w:p w14:paraId="53558B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Новосибирск</w:t>
            </w:r>
          </w:p>
        </w:tc>
      </w:tr>
      <w:tr w:rsidR="009B487A" w:rsidRPr="00722885" w14:paraId="0DE9D022" w14:textId="77777777" w:rsidTr="00CC5360">
        <w:tc>
          <w:tcPr>
            <w:tcW w:w="534" w:type="dxa"/>
          </w:tcPr>
          <w:p w14:paraId="59A0CD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305</w:t>
            </w:r>
          </w:p>
        </w:tc>
        <w:tc>
          <w:tcPr>
            <w:tcW w:w="1790" w:type="dxa"/>
          </w:tcPr>
          <w:p w14:paraId="08EB48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Москва</w:t>
            </w:r>
          </w:p>
        </w:tc>
        <w:tc>
          <w:tcPr>
            <w:tcW w:w="761" w:type="dxa"/>
          </w:tcPr>
          <w:p w14:paraId="4541AAD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09.41</w:t>
            </w:r>
          </w:p>
        </w:tc>
        <w:tc>
          <w:tcPr>
            <w:tcW w:w="2753" w:type="dxa"/>
          </w:tcPr>
          <w:p w14:paraId="034386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305</w:t>
            </w:r>
          </w:p>
        </w:tc>
        <w:tc>
          <w:tcPr>
            <w:tcW w:w="2293" w:type="dxa"/>
          </w:tcPr>
          <w:p w14:paraId="509321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сохранило</w:t>
            </w:r>
          </w:p>
        </w:tc>
        <w:tc>
          <w:tcPr>
            <w:tcW w:w="916" w:type="dxa"/>
          </w:tcPr>
          <w:p w14:paraId="37892A9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305</w:t>
            </w:r>
          </w:p>
        </w:tc>
        <w:tc>
          <w:tcPr>
            <w:tcW w:w="1833" w:type="dxa"/>
          </w:tcPr>
          <w:p w14:paraId="243485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Куйбышев</w:t>
            </w:r>
          </w:p>
        </w:tc>
      </w:tr>
      <w:tr w:rsidR="009B487A" w:rsidRPr="00722885" w14:paraId="534EAC77" w14:textId="77777777" w:rsidTr="00CC5360">
        <w:tc>
          <w:tcPr>
            <w:tcW w:w="534" w:type="dxa"/>
          </w:tcPr>
          <w:p w14:paraId="5DE26B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387</w:t>
            </w:r>
          </w:p>
        </w:tc>
        <w:tc>
          <w:tcPr>
            <w:tcW w:w="1790" w:type="dxa"/>
          </w:tcPr>
          <w:p w14:paraId="5253A9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Ленинград</w:t>
            </w:r>
          </w:p>
        </w:tc>
        <w:tc>
          <w:tcPr>
            <w:tcW w:w="761" w:type="dxa"/>
          </w:tcPr>
          <w:p w14:paraId="6EA918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07.41</w:t>
            </w:r>
          </w:p>
        </w:tc>
        <w:tc>
          <w:tcPr>
            <w:tcW w:w="2753" w:type="dxa"/>
          </w:tcPr>
          <w:p w14:paraId="682A02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169</w:t>
            </w:r>
          </w:p>
        </w:tc>
        <w:tc>
          <w:tcPr>
            <w:tcW w:w="2293" w:type="dxa"/>
          </w:tcPr>
          <w:p w14:paraId="2EA8733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сохранило</w:t>
            </w:r>
          </w:p>
        </w:tc>
        <w:tc>
          <w:tcPr>
            <w:tcW w:w="916" w:type="dxa"/>
          </w:tcPr>
          <w:p w14:paraId="0F57B9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387</w:t>
            </w:r>
          </w:p>
        </w:tc>
        <w:tc>
          <w:tcPr>
            <w:tcW w:w="1833" w:type="dxa"/>
          </w:tcPr>
          <w:p w14:paraId="33620B0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Казань</w:t>
            </w:r>
          </w:p>
        </w:tc>
      </w:tr>
      <w:tr w:rsidR="009B487A" w:rsidRPr="00722885" w14:paraId="04D1C3E4" w14:textId="77777777" w:rsidTr="00CC5360">
        <w:tc>
          <w:tcPr>
            <w:tcW w:w="534" w:type="dxa"/>
          </w:tcPr>
          <w:p w14:paraId="0C3B3AA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388</w:t>
            </w:r>
          </w:p>
        </w:tc>
        <w:tc>
          <w:tcPr>
            <w:tcW w:w="1790" w:type="dxa"/>
          </w:tcPr>
          <w:p w14:paraId="5746084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Ленинград</w:t>
            </w:r>
          </w:p>
        </w:tc>
        <w:tc>
          <w:tcPr>
            <w:tcW w:w="761" w:type="dxa"/>
          </w:tcPr>
          <w:p w14:paraId="34B9B14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07.41</w:t>
            </w:r>
          </w:p>
        </w:tc>
        <w:tc>
          <w:tcPr>
            <w:tcW w:w="2753" w:type="dxa"/>
          </w:tcPr>
          <w:p w14:paraId="52D24D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153</w:t>
            </w:r>
          </w:p>
        </w:tc>
        <w:tc>
          <w:tcPr>
            <w:tcW w:w="2293" w:type="dxa"/>
          </w:tcPr>
          <w:p w14:paraId="68E5B3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слилось с з-м 153</w:t>
            </w:r>
          </w:p>
        </w:tc>
        <w:tc>
          <w:tcPr>
            <w:tcW w:w="916" w:type="dxa"/>
          </w:tcPr>
          <w:p w14:paraId="4F16693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153</w:t>
            </w:r>
          </w:p>
        </w:tc>
        <w:tc>
          <w:tcPr>
            <w:tcW w:w="1833" w:type="dxa"/>
          </w:tcPr>
          <w:p w14:paraId="29CEFD2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Новосибирск</w:t>
            </w:r>
          </w:p>
        </w:tc>
      </w:tr>
      <w:tr w:rsidR="009B487A" w:rsidRPr="00722885" w14:paraId="21F150EE" w14:textId="77777777" w:rsidTr="00CC5360">
        <w:tc>
          <w:tcPr>
            <w:tcW w:w="534" w:type="dxa"/>
          </w:tcPr>
          <w:p w14:paraId="7E54C0B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453</w:t>
            </w:r>
          </w:p>
        </w:tc>
        <w:tc>
          <w:tcPr>
            <w:tcW w:w="1790" w:type="dxa"/>
          </w:tcPr>
          <w:p w14:paraId="14712F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Минск</w:t>
            </w:r>
          </w:p>
        </w:tc>
        <w:tc>
          <w:tcPr>
            <w:tcW w:w="761" w:type="dxa"/>
          </w:tcPr>
          <w:p w14:paraId="55325CA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07.41</w:t>
            </w:r>
          </w:p>
        </w:tc>
        <w:tc>
          <w:tcPr>
            <w:tcW w:w="2753" w:type="dxa"/>
          </w:tcPr>
          <w:p w14:paraId="081914B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122</w:t>
            </w:r>
          </w:p>
        </w:tc>
        <w:tc>
          <w:tcPr>
            <w:tcW w:w="2293" w:type="dxa"/>
          </w:tcPr>
          <w:p w14:paraId="453B69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слилось с з-м 122</w:t>
            </w:r>
          </w:p>
        </w:tc>
        <w:tc>
          <w:tcPr>
            <w:tcW w:w="916" w:type="dxa"/>
          </w:tcPr>
          <w:p w14:paraId="134170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tc>
        <w:tc>
          <w:tcPr>
            <w:tcW w:w="1833" w:type="dxa"/>
          </w:tcPr>
          <w:p w14:paraId="5081E31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Куйбышев</w:t>
            </w:r>
          </w:p>
        </w:tc>
      </w:tr>
      <w:tr w:rsidR="009B487A" w:rsidRPr="00722885" w14:paraId="135E6DAA" w14:textId="77777777" w:rsidTr="00CC5360">
        <w:tc>
          <w:tcPr>
            <w:tcW w:w="534" w:type="dxa"/>
          </w:tcPr>
          <w:p w14:paraId="41BA8C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458</w:t>
            </w:r>
          </w:p>
        </w:tc>
        <w:tc>
          <w:tcPr>
            <w:tcW w:w="1790" w:type="dxa"/>
          </w:tcPr>
          <w:p w14:paraId="2C9BEDD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Ростов на Дону</w:t>
            </w:r>
          </w:p>
        </w:tc>
        <w:tc>
          <w:tcPr>
            <w:tcW w:w="761" w:type="dxa"/>
          </w:tcPr>
          <w:p w14:paraId="7501565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08.41</w:t>
            </w:r>
          </w:p>
        </w:tc>
        <w:tc>
          <w:tcPr>
            <w:tcW w:w="2753" w:type="dxa"/>
          </w:tcPr>
          <w:p w14:paraId="4F5AD2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458</w:t>
            </w:r>
          </w:p>
        </w:tc>
        <w:tc>
          <w:tcPr>
            <w:tcW w:w="2293" w:type="dxa"/>
          </w:tcPr>
          <w:p w14:paraId="6A55D2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сохранило</w:t>
            </w:r>
          </w:p>
        </w:tc>
        <w:tc>
          <w:tcPr>
            <w:tcW w:w="916" w:type="dxa"/>
          </w:tcPr>
          <w:p w14:paraId="796ACC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458</w:t>
            </w:r>
          </w:p>
        </w:tc>
        <w:tc>
          <w:tcPr>
            <w:tcW w:w="1833" w:type="dxa"/>
          </w:tcPr>
          <w:p w14:paraId="112D568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Баку</w:t>
            </w:r>
          </w:p>
        </w:tc>
      </w:tr>
      <w:tr w:rsidR="009B487A" w:rsidRPr="00722885" w14:paraId="31C04D90" w14:textId="77777777" w:rsidTr="00CC5360">
        <w:tc>
          <w:tcPr>
            <w:tcW w:w="534" w:type="dxa"/>
          </w:tcPr>
          <w:p w14:paraId="28A1D1B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463</w:t>
            </w:r>
          </w:p>
        </w:tc>
        <w:tc>
          <w:tcPr>
            <w:tcW w:w="1790" w:type="dxa"/>
          </w:tcPr>
          <w:p w14:paraId="62F689A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Таллин</w:t>
            </w:r>
          </w:p>
        </w:tc>
        <w:tc>
          <w:tcPr>
            <w:tcW w:w="761" w:type="dxa"/>
          </w:tcPr>
          <w:p w14:paraId="270CC74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06.41</w:t>
            </w:r>
          </w:p>
        </w:tc>
        <w:tc>
          <w:tcPr>
            <w:tcW w:w="2753" w:type="dxa"/>
          </w:tcPr>
          <w:p w14:paraId="3044E9C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122</w:t>
            </w:r>
          </w:p>
        </w:tc>
        <w:tc>
          <w:tcPr>
            <w:tcW w:w="2293" w:type="dxa"/>
          </w:tcPr>
          <w:p w14:paraId="5ECA012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слилось с з-м 122</w:t>
            </w:r>
          </w:p>
        </w:tc>
        <w:tc>
          <w:tcPr>
            <w:tcW w:w="916" w:type="dxa"/>
          </w:tcPr>
          <w:p w14:paraId="069A87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tc>
        <w:tc>
          <w:tcPr>
            <w:tcW w:w="1833" w:type="dxa"/>
          </w:tcPr>
          <w:p w14:paraId="7142FB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Куйбышев</w:t>
            </w:r>
          </w:p>
        </w:tc>
      </w:tr>
      <w:tr w:rsidR="009B487A" w:rsidRPr="00722885" w14:paraId="6C490673" w14:textId="77777777" w:rsidTr="00CC5360">
        <w:tc>
          <w:tcPr>
            <w:tcW w:w="534" w:type="dxa"/>
          </w:tcPr>
          <w:p w14:paraId="396C674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464</w:t>
            </w:r>
          </w:p>
        </w:tc>
        <w:tc>
          <w:tcPr>
            <w:tcW w:w="1790" w:type="dxa"/>
          </w:tcPr>
          <w:p w14:paraId="0EC3D49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Рига</w:t>
            </w:r>
          </w:p>
        </w:tc>
        <w:tc>
          <w:tcPr>
            <w:tcW w:w="761" w:type="dxa"/>
          </w:tcPr>
          <w:p w14:paraId="09BF294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06.41</w:t>
            </w:r>
          </w:p>
        </w:tc>
        <w:tc>
          <w:tcPr>
            <w:tcW w:w="2753" w:type="dxa"/>
          </w:tcPr>
          <w:p w14:paraId="059F57C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122</w:t>
            </w:r>
          </w:p>
        </w:tc>
        <w:tc>
          <w:tcPr>
            <w:tcW w:w="2293" w:type="dxa"/>
          </w:tcPr>
          <w:p w14:paraId="4CF6E54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слилось с з-м 122</w:t>
            </w:r>
          </w:p>
        </w:tc>
        <w:tc>
          <w:tcPr>
            <w:tcW w:w="916" w:type="dxa"/>
          </w:tcPr>
          <w:p w14:paraId="36C69DE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tc>
        <w:tc>
          <w:tcPr>
            <w:tcW w:w="1833" w:type="dxa"/>
          </w:tcPr>
          <w:p w14:paraId="7CA54B5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Куйбышев</w:t>
            </w:r>
          </w:p>
        </w:tc>
      </w:tr>
      <w:tr w:rsidR="009B487A" w:rsidRPr="00722885" w14:paraId="5900BB35" w14:textId="77777777" w:rsidTr="00CC5360">
        <w:tc>
          <w:tcPr>
            <w:tcW w:w="534" w:type="dxa"/>
          </w:tcPr>
          <w:p w14:paraId="488957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465</w:t>
            </w:r>
          </w:p>
        </w:tc>
        <w:tc>
          <w:tcPr>
            <w:tcW w:w="1790" w:type="dxa"/>
          </w:tcPr>
          <w:p w14:paraId="57F6337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Каунас</w:t>
            </w:r>
          </w:p>
        </w:tc>
        <w:tc>
          <w:tcPr>
            <w:tcW w:w="761" w:type="dxa"/>
          </w:tcPr>
          <w:p w14:paraId="1B2204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06.41</w:t>
            </w:r>
          </w:p>
        </w:tc>
        <w:tc>
          <w:tcPr>
            <w:tcW w:w="2753" w:type="dxa"/>
          </w:tcPr>
          <w:p w14:paraId="03135D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122</w:t>
            </w:r>
          </w:p>
        </w:tc>
        <w:tc>
          <w:tcPr>
            <w:tcW w:w="2293" w:type="dxa"/>
          </w:tcPr>
          <w:p w14:paraId="1906DB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слилось с з-м 122</w:t>
            </w:r>
          </w:p>
        </w:tc>
        <w:tc>
          <w:tcPr>
            <w:tcW w:w="916" w:type="dxa"/>
          </w:tcPr>
          <w:p w14:paraId="372A789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w:t>
            </w:r>
          </w:p>
        </w:tc>
        <w:tc>
          <w:tcPr>
            <w:tcW w:w="1833" w:type="dxa"/>
          </w:tcPr>
          <w:p w14:paraId="736085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Куйбышев</w:t>
            </w:r>
          </w:p>
        </w:tc>
      </w:tr>
      <w:tr w:rsidR="009B487A" w:rsidRPr="00722885" w14:paraId="14F9D803" w14:textId="77777777" w:rsidTr="00CC5360">
        <w:tc>
          <w:tcPr>
            <w:tcW w:w="534" w:type="dxa"/>
            <w:tcBorders>
              <w:bottom w:val="single" w:sz="12" w:space="0" w:color="auto"/>
            </w:tcBorders>
          </w:tcPr>
          <w:p w14:paraId="0C1AD5F8" w14:textId="77777777" w:rsidR="00090C9B" w:rsidRPr="00722885" w:rsidRDefault="00090C9B" w:rsidP="00722885">
            <w:pPr>
              <w:pStyle w:val="Iauiue"/>
              <w:jc w:val="both"/>
              <w:rPr>
                <w:color w:val="000000" w:themeColor="text1"/>
                <w:sz w:val="16"/>
                <w:szCs w:val="16"/>
              </w:rPr>
            </w:pPr>
          </w:p>
        </w:tc>
        <w:tc>
          <w:tcPr>
            <w:tcW w:w="1790" w:type="dxa"/>
            <w:tcBorders>
              <w:bottom w:val="single" w:sz="12" w:space="0" w:color="auto"/>
            </w:tcBorders>
          </w:tcPr>
          <w:p w14:paraId="7C8F4C47" w14:textId="77777777" w:rsidR="00090C9B" w:rsidRPr="00722885" w:rsidRDefault="00090C9B" w:rsidP="00722885">
            <w:pPr>
              <w:pStyle w:val="Iauiue"/>
              <w:jc w:val="both"/>
              <w:rPr>
                <w:color w:val="000000" w:themeColor="text1"/>
                <w:sz w:val="16"/>
                <w:szCs w:val="16"/>
              </w:rPr>
            </w:pPr>
          </w:p>
        </w:tc>
        <w:tc>
          <w:tcPr>
            <w:tcW w:w="761" w:type="dxa"/>
            <w:tcBorders>
              <w:bottom w:val="single" w:sz="12" w:space="0" w:color="auto"/>
            </w:tcBorders>
          </w:tcPr>
          <w:p w14:paraId="206E410C" w14:textId="77777777" w:rsidR="00090C9B" w:rsidRPr="00722885" w:rsidRDefault="00090C9B" w:rsidP="00722885">
            <w:pPr>
              <w:pStyle w:val="Iauiue"/>
              <w:jc w:val="both"/>
              <w:rPr>
                <w:color w:val="000000" w:themeColor="text1"/>
                <w:sz w:val="16"/>
                <w:szCs w:val="16"/>
              </w:rPr>
            </w:pPr>
          </w:p>
        </w:tc>
        <w:tc>
          <w:tcPr>
            <w:tcW w:w="2753" w:type="dxa"/>
            <w:tcBorders>
              <w:bottom w:val="single" w:sz="12" w:space="0" w:color="auto"/>
            </w:tcBorders>
          </w:tcPr>
          <w:p w14:paraId="40C22993" w14:textId="77777777" w:rsidR="00090C9B" w:rsidRPr="00722885" w:rsidRDefault="00090C9B" w:rsidP="00722885">
            <w:pPr>
              <w:pStyle w:val="Iauiue"/>
              <w:jc w:val="both"/>
              <w:rPr>
                <w:color w:val="000000" w:themeColor="text1"/>
                <w:sz w:val="16"/>
                <w:szCs w:val="16"/>
              </w:rPr>
            </w:pPr>
          </w:p>
        </w:tc>
        <w:tc>
          <w:tcPr>
            <w:tcW w:w="2293" w:type="dxa"/>
            <w:tcBorders>
              <w:bottom w:val="single" w:sz="12" w:space="0" w:color="auto"/>
            </w:tcBorders>
          </w:tcPr>
          <w:p w14:paraId="73C1B96D" w14:textId="77777777" w:rsidR="00090C9B" w:rsidRPr="00722885" w:rsidRDefault="00090C9B" w:rsidP="00722885">
            <w:pPr>
              <w:pStyle w:val="Iauiue"/>
              <w:jc w:val="both"/>
              <w:rPr>
                <w:color w:val="000000" w:themeColor="text1"/>
                <w:sz w:val="16"/>
                <w:szCs w:val="16"/>
              </w:rPr>
            </w:pPr>
          </w:p>
        </w:tc>
        <w:tc>
          <w:tcPr>
            <w:tcW w:w="916" w:type="dxa"/>
            <w:tcBorders>
              <w:bottom w:val="single" w:sz="12" w:space="0" w:color="auto"/>
            </w:tcBorders>
          </w:tcPr>
          <w:p w14:paraId="69F3804F" w14:textId="77777777" w:rsidR="00090C9B" w:rsidRPr="00722885" w:rsidRDefault="00090C9B" w:rsidP="00722885">
            <w:pPr>
              <w:pStyle w:val="Iauiue"/>
              <w:jc w:val="both"/>
              <w:rPr>
                <w:color w:val="000000" w:themeColor="text1"/>
                <w:sz w:val="16"/>
                <w:szCs w:val="16"/>
              </w:rPr>
            </w:pPr>
          </w:p>
        </w:tc>
        <w:tc>
          <w:tcPr>
            <w:tcW w:w="1833" w:type="dxa"/>
            <w:tcBorders>
              <w:bottom w:val="single" w:sz="12" w:space="0" w:color="auto"/>
            </w:tcBorders>
          </w:tcPr>
          <w:p w14:paraId="3D8E3E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(1972)</w:t>
            </w:r>
          </w:p>
        </w:tc>
      </w:tr>
    </w:tbl>
    <w:p w14:paraId="4FE0A71B" w14:textId="77777777" w:rsidR="00090C9B" w:rsidRPr="00722885" w:rsidRDefault="00090C9B" w:rsidP="00722885">
      <w:pPr>
        <w:pStyle w:val="Iauiue"/>
        <w:jc w:val="both"/>
        <w:rPr>
          <w:iCs/>
          <w:color w:val="000000" w:themeColor="text1"/>
          <w:sz w:val="16"/>
          <w:szCs w:val="16"/>
        </w:rPr>
      </w:pPr>
    </w:p>
    <w:p w14:paraId="7877A39A" w14:textId="77777777" w:rsidR="004318C9" w:rsidRPr="00722885" w:rsidRDefault="004318C9"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30 ноября 1942 летчик-испытатель НИИ ВВС подполковник К.А. Груздев в докладной на имя генерала Ре</w:t>
      </w:r>
      <w:r w:rsidRPr="00722885">
        <w:rPr>
          <w:rFonts w:ascii="Times New Roman" w:cs="Times New Roman"/>
          <w:color w:val="000000" w:themeColor="text1"/>
          <w:spacing w:val="0"/>
          <w:sz w:val="16"/>
          <w:szCs w:val="16"/>
        </w:rPr>
        <w:softHyphen/>
        <w:t>пина указывал:</w:t>
      </w:r>
      <w:r w:rsidRPr="00722885">
        <w:rPr>
          <w:rStyle w:val="46"/>
          <w:rFonts w:ascii="Times New Roman" w:eastAsia="Trebuchet MS" w:cs="Times New Roman"/>
          <w:color w:val="000000" w:themeColor="text1"/>
          <w:spacing w:val="0"/>
          <w:sz w:val="16"/>
          <w:szCs w:val="16"/>
        </w:rPr>
        <w:t xml:space="preserve"> «На основании личного опыта воздушных боев на истребите</w:t>
      </w:r>
      <w:r w:rsidRPr="00722885">
        <w:rPr>
          <w:rStyle w:val="46"/>
          <w:rFonts w:ascii="Times New Roman" w:eastAsia="Trebuchet MS" w:cs="Times New Roman"/>
          <w:color w:val="000000" w:themeColor="text1"/>
          <w:spacing w:val="0"/>
          <w:sz w:val="16"/>
          <w:szCs w:val="16"/>
        </w:rPr>
        <w:softHyphen/>
        <w:t>лях, в том числе и на Як-1, с самолетами про</w:t>
      </w:r>
      <w:r w:rsidRPr="00722885">
        <w:rPr>
          <w:rStyle w:val="46"/>
          <w:rFonts w:ascii="Times New Roman" w:eastAsia="Trebuchet MS" w:cs="Times New Roman"/>
          <w:color w:val="000000" w:themeColor="text1"/>
          <w:spacing w:val="0"/>
          <w:sz w:val="16"/>
          <w:szCs w:val="16"/>
        </w:rPr>
        <w:softHyphen/>
        <w:t>тивника Ме-109, Ме-110, Ю-88, Ю-87, Хе-113, Хш-126идр., считаю бронезащиту (</w:t>
      </w:r>
      <w:r w:rsidRPr="00722885">
        <w:rPr>
          <w:rStyle w:val="aff6"/>
          <w:rFonts w:ascii="Times New Roman" w:eastAsia="Arial Narrow" w:hAnsi="Times New Roman" w:cs="Times New Roman"/>
          <w:i w:val="0"/>
          <w:color w:val="000000" w:themeColor="text1"/>
          <w:spacing w:val="0"/>
        </w:rPr>
        <w:t>разработанную</w:t>
      </w:r>
      <w:r w:rsidRPr="00722885">
        <w:rPr>
          <w:rFonts w:ascii="Times New Roman" w:cs="Times New Roman"/>
          <w:color w:val="000000" w:themeColor="text1"/>
          <w:spacing w:val="0"/>
          <w:sz w:val="16"/>
          <w:szCs w:val="16"/>
        </w:rPr>
        <w:t xml:space="preserve"> совмест</w:t>
      </w:r>
      <w:r w:rsidRPr="00722885">
        <w:rPr>
          <w:rFonts w:ascii="Times New Roman" w:cs="Times New Roman"/>
          <w:color w:val="000000" w:themeColor="text1"/>
          <w:spacing w:val="0"/>
          <w:sz w:val="16"/>
          <w:szCs w:val="16"/>
        </w:rPr>
        <w:softHyphen/>
        <w:t>ными усилиями ЦНИИ-48, ВВА им. Н.Е. Жуков</w:t>
      </w:r>
      <w:r w:rsidRPr="00722885">
        <w:rPr>
          <w:rFonts w:ascii="Times New Roman" w:cs="Times New Roman"/>
          <w:color w:val="000000" w:themeColor="text1"/>
          <w:spacing w:val="0"/>
          <w:sz w:val="16"/>
          <w:szCs w:val="16"/>
        </w:rPr>
        <w:softHyphen/>
        <w:t>ского и завода № 289</w:t>
      </w:r>
      <w:r w:rsidRPr="00722885">
        <w:rPr>
          <w:rStyle w:val="46"/>
          <w:rFonts w:ascii="Times New Roman" w:eastAsia="Trebuchet MS" w:cs="Times New Roman"/>
          <w:color w:val="000000" w:themeColor="text1"/>
          <w:spacing w:val="0"/>
          <w:sz w:val="16"/>
          <w:szCs w:val="16"/>
        </w:rPr>
        <w:t>) рациональ</w:t>
      </w:r>
      <w:r w:rsidRPr="00722885">
        <w:rPr>
          <w:rStyle w:val="46"/>
          <w:rFonts w:ascii="Times New Roman" w:eastAsia="Trebuchet MS" w:cs="Times New Roman"/>
          <w:color w:val="000000" w:themeColor="text1"/>
          <w:spacing w:val="0"/>
          <w:sz w:val="16"/>
          <w:szCs w:val="16"/>
        </w:rPr>
        <w:softHyphen/>
        <w:t>ной, хорошо дополняющей объем существую</w:t>
      </w:r>
      <w:r w:rsidRPr="00722885">
        <w:rPr>
          <w:rStyle w:val="46"/>
          <w:rFonts w:ascii="Times New Roman" w:eastAsia="Trebuchet MS" w:cs="Times New Roman"/>
          <w:color w:val="000000" w:themeColor="text1"/>
          <w:spacing w:val="0"/>
          <w:sz w:val="16"/>
          <w:szCs w:val="16"/>
        </w:rPr>
        <w:softHyphen/>
        <w:t>щего бронирования на истребителях. Считаю необходимым немедленно внедрить в серий</w:t>
      </w:r>
      <w:r w:rsidRPr="00722885">
        <w:rPr>
          <w:rStyle w:val="46"/>
          <w:rFonts w:ascii="Times New Roman" w:eastAsia="Trebuchet MS" w:cs="Times New Roman"/>
          <w:color w:val="000000" w:themeColor="text1"/>
          <w:spacing w:val="0"/>
          <w:sz w:val="16"/>
          <w:szCs w:val="16"/>
        </w:rPr>
        <w:softHyphen/>
        <w:t>ное производство».</w:t>
      </w:r>
    </w:p>
    <w:p w14:paraId="20CC4142" w14:textId="77777777" w:rsidR="004318C9" w:rsidRPr="00722885" w:rsidRDefault="004318C9"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Однако вопрос о внедрении в серию до</w:t>
      </w:r>
      <w:r w:rsidRPr="00722885">
        <w:rPr>
          <w:rFonts w:ascii="Times New Roman" w:cs="Times New Roman"/>
          <w:color w:val="000000" w:themeColor="text1"/>
          <w:spacing w:val="0"/>
          <w:sz w:val="16"/>
          <w:szCs w:val="16"/>
        </w:rPr>
        <w:softHyphen/>
        <w:t>полнительной брони летчика на Як-1, как, впрочем, и усиленных схем бронирования на других серийных самолетах ВВС КА, не был решен Наркоматом авиапромышленности ни в 1942 г., ни в 1943 г. По этому поводу замести</w:t>
      </w:r>
      <w:r w:rsidRPr="00722885">
        <w:rPr>
          <w:rFonts w:ascii="Times New Roman" w:cs="Times New Roman"/>
          <w:color w:val="000000" w:themeColor="text1"/>
          <w:spacing w:val="0"/>
          <w:sz w:val="16"/>
          <w:szCs w:val="16"/>
        </w:rPr>
        <w:softHyphen/>
        <w:t>тель командующего ВВС КА генерал-полков</w:t>
      </w:r>
      <w:r w:rsidRPr="00722885">
        <w:rPr>
          <w:rFonts w:ascii="Times New Roman" w:cs="Times New Roman"/>
          <w:color w:val="000000" w:themeColor="text1"/>
          <w:spacing w:val="0"/>
          <w:sz w:val="16"/>
          <w:szCs w:val="16"/>
        </w:rPr>
        <w:softHyphen/>
        <w:t>ник А.К. Репин дважды обращался к наркому авиапромышленности А.И. Шахурину (15778).</w:t>
      </w:r>
    </w:p>
    <w:p w14:paraId="56F0539F" w14:textId="77777777" w:rsidR="004318C9" w:rsidRPr="00722885" w:rsidRDefault="004318C9" w:rsidP="00722885">
      <w:pPr>
        <w:pStyle w:val="45"/>
        <w:shd w:val="clear" w:color="auto" w:fill="auto"/>
        <w:spacing w:before="0" w:line="240" w:lineRule="auto"/>
        <w:jc w:val="both"/>
        <w:rPr>
          <w:rStyle w:val="4f0"/>
          <w:rFonts w:ascii="Times New Roman" w:hAnsi="Times New Roman" w:cs="Times New Roman"/>
          <w:i w:val="0"/>
          <w:color w:val="000000" w:themeColor="text1"/>
          <w:sz w:val="16"/>
          <w:szCs w:val="16"/>
        </w:rPr>
      </w:pPr>
    </w:p>
    <w:p w14:paraId="5CC4E203"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30 ноября 1942, освоив выпуск УТ-2МВ, директор завода № 600 в Урумчи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Еськов, безусловно, испытывал чувство законной гордости за свой коллектив, и направил письмо-рапорт (исх. № 374 от 30.</w:t>
      </w:r>
      <w:r w:rsidRPr="00722885">
        <w:rPr>
          <w:rFonts w:ascii="Times New Roman" w:hAnsi="Times New Roman"/>
          <w:color w:val="000000" w:themeColor="text1"/>
          <w:sz w:val="16"/>
          <w:szCs w:val="16"/>
          <w:lang w:val="en-US"/>
        </w:rPr>
        <w:t>XI</w:t>
      </w:r>
      <w:r w:rsidRPr="00722885">
        <w:rPr>
          <w:rFonts w:ascii="Times New Roman" w:hAnsi="Times New Roman"/>
          <w:color w:val="000000" w:themeColor="text1"/>
          <w:sz w:val="16"/>
          <w:szCs w:val="16"/>
        </w:rPr>
        <w:t>.42) зам. наркома авиапромышленности А.С. Яковлеву.</w:t>
      </w:r>
    </w:p>
    <w:p w14:paraId="081F7279"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Излагая состояние дел, достижения завода и достигнутые результаты, директор за</w:t>
      </w:r>
      <w:r w:rsidRPr="00722885">
        <w:rPr>
          <w:rFonts w:ascii="Times New Roman" w:hAnsi="Times New Roman"/>
          <w:color w:val="000000" w:themeColor="text1"/>
          <w:sz w:val="16"/>
          <w:szCs w:val="16"/>
        </w:rPr>
        <w:softHyphen/>
        <w:t>вода просил помочь с присылкой чертежей на направляющие к реактивным снарядов РО-82, нормативно-конструкторской документации для организации на заводе конст</w:t>
      </w:r>
      <w:r w:rsidRPr="00722885">
        <w:rPr>
          <w:rFonts w:ascii="Times New Roman" w:hAnsi="Times New Roman"/>
          <w:color w:val="000000" w:themeColor="text1"/>
          <w:sz w:val="16"/>
          <w:szCs w:val="16"/>
        </w:rPr>
        <w:softHyphen/>
        <w:t>рукторского бюро, а также командировать в Урумчи инженеров-конструкторов М.М. Ефимова с завода № 153, С.К. Мусолина и Д.Т. Кугук с завода № 47.</w:t>
      </w:r>
    </w:p>
    <w:p w14:paraId="39773638"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директор приглашал А.С. Яковлева, «в случае Вашего нахождения побли</w:t>
      </w:r>
      <w:r w:rsidRPr="00722885">
        <w:rPr>
          <w:rFonts w:ascii="Times New Roman" w:hAnsi="Times New Roman"/>
          <w:color w:val="000000" w:themeColor="text1"/>
          <w:sz w:val="16"/>
          <w:szCs w:val="16"/>
        </w:rPr>
        <w:softHyphen/>
        <w:t>зости от завода, например, в г. Новосибирске, заехать или залететь на завод для лично</w:t>
      </w:r>
      <w:r w:rsidRPr="00722885">
        <w:rPr>
          <w:rFonts w:ascii="Times New Roman" w:hAnsi="Times New Roman"/>
          <w:color w:val="000000" w:themeColor="text1"/>
          <w:sz w:val="16"/>
          <w:szCs w:val="16"/>
        </w:rPr>
        <w:softHyphen/>
        <w:t>го ознакомления с его организацией, несколько специфичной,, в силу его расположения за границей».</w:t>
      </w:r>
    </w:p>
    <w:p w14:paraId="2D67C6E8"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первые пять месяцев 1943 г. завод сдал заказчику следующее количество самолё</w:t>
      </w:r>
      <w:r w:rsidRPr="00722885">
        <w:rPr>
          <w:rFonts w:ascii="Times New Roman" w:hAnsi="Times New Roman"/>
          <w:color w:val="000000" w:themeColor="text1"/>
          <w:sz w:val="16"/>
          <w:szCs w:val="16"/>
        </w:rPr>
        <w:softHyphen/>
        <w:t>тов (по плану/фактически): январь— 10/14, февраль— 10/9, март— 15/3, апрель—15/29, май — 0/8. Итого: 50/63 (15811).</w:t>
      </w:r>
    </w:p>
    <w:p w14:paraId="01466D7B"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05E2A7D5" w14:textId="77777777" w:rsidR="00265C05" w:rsidRPr="00722885" w:rsidRDefault="00265C0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ноября 1942 г. директор завода В.Еськов рапортовал заместителю наркома НКАП А.С.Яковлеву, что во исполнение постановления ГКО завод № 600 приступил к изготовлению самолетов УТ-2МВ, затратив на перестройку производства (увеличение площадей, перепланировка, организация новых цехов и т.п.) около полутора месяцев. В основу был положен плазово-шаблонный метод, существующий на заводе со дня его перехода на изготовление запчастей. Выпуск первой машины собственного производства был намечен на 15/XII – с.г., т.е. через полтора месяца со дня запуска в производство. Завод поставил перед собой задачу – выпуск самолетов лучшего качества с полной взаимозаменяемостью агрегатов и деталей. Одновременно с этим завод занимался сборкой машин из агрегатов завода № 47, первая партия которых уже была собрана. Еськов заверил Яковлев, что установленный заводу график выпуска самолетов, как в 1942 году, так и в 1 квартале 1943 г. будет выполнен. [РГАЭ Ф. 303 оп. 1 д. 101 лл 1-2] Одновременно директор завода просил А.С.Яковлева помочь с присылкой чертежей на направляющие к реактивным снарядам РО-82 и нормативно-конструкторской документации для организации на заводе конструкторского бюро. За первые пять месяцев 1943 г. завод сдал заказчику следующее количество самолётов (по плану/фактически): январь – 10/14, февраль – 10/9, марта – 15/3, апрель – 15/29, май 0/8. Итого: 50/63. В число 63 машин вошли 9 самолётов, изготовленных и собранных с использованием агрегатов и деталей самолёта УТ-2МВ, поступивших с завода № 47. Вместе с 17 самолётами УТ-2, построенными в 1942 г., общий выпуск самолётов этого типа на заводе № 600 составил 80 машин (19006).</w:t>
      </w:r>
    </w:p>
    <w:p w14:paraId="634D46EF" w14:textId="77777777" w:rsidR="00265C05" w:rsidRPr="00722885" w:rsidRDefault="00265C05" w:rsidP="00722885">
      <w:pPr>
        <w:spacing w:after="0" w:line="240" w:lineRule="auto"/>
        <w:jc w:val="both"/>
        <w:rPr>
          <w:rFonts w:ascii="Times New Roman" w:hAnsi="Times New Roman"/>
          <w:color w:val="000000" w:themeColor="text1"/>
          <w:sz w:val="16"/>
          <w:szCs w:val="16"/>
        </w:rPr>
      </w:pPr>
    </w:p>
    <w:p w14:paraId="26A718C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36E2544" w14:textId="77777777" w:rsidR="00090C9B" w:rsidRPr="00722885" w:rsidRDefault="00090C9B" w:rsidP="00722885">
      <w:pPr>
        <w:pStyle w:val="Iauiue"/>
        <w:jc w:val="both"/>
        <w:rPr>
          <w:iCs/>
          <w:color w:val="000000" w:themeColor="text1"/>
          <w:sz w:val="16"/>
          <w:szCs w:val="16"/>
        </w:rPr>
      </w:pPr>
    </w:p>
    <w:p w14:paraId="63988A8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на Уралмашзаводе была закончена сборка опытного образца САУ У-35, позднее ставшей Су-122 (4406).</w:t>
      </w:r>
    </w:p>
    <w:p w14:paraId="6E073B60" w14:textId="77777777" w:rsidR="00090C9B" w:rsidRPr="00722885" w:rsidRDefault="00090C9B" w:rsidP="00722885">
      <w:pPr>
        <w:pStyle w:val="Iauiue"/>
        <w:jc w:val="both"/>
        <w:rPr>
          <w:color w:val="000000" w:themeColor="text1"/>
          <w:sz w:val="16"/>
          <w:szCs w:val="16"/>
        </w:rPr>
      </w:pPr>
    </w:p>
    <w:p w14:paraId="267DC60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начались заводские испытания первого опытного образца 122-мм САУ, построенного по временному техпроцессу. Интересно отметить, что в первый день испытаний У-35 прошла пробегом без дорог более 50 км и выполнила стрельбу из 20 выстрелов прямой наводкой на заводском полигоне в Красном.</w:t>
      </w:r>
    </w:p>
    <w:p w14:paraId="42224F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Однако испытания выявили у машины следующие недостатки:</w:t>
      </w:r>
    </w:p>
    <w:p w14:paraId="396069E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Непрочность крепления механизированного досылателя, который часто выходил из строя.</w:t>
      </w:r>
    </w:p>
    <w:p w14:paraId="42CC592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Углы наведения (особенно - по вертикали) не соответствовали ТТТ.</w:t>
      </w:r>
    </w:p>
    <w:p w14:paraId="34840B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Плохая вентиляция рубки способствовала скоплению пороховых газов во время стрельбы.</w:t>
      </w:r>
    </w:p>
    <w:p w14:paraId="48A7BC5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Устройство крепления орудия по-походному не обеспечивало надежности его работы во время движения по пересеченной местности.</w:t>
      </w:r>
    </w:p>
    <w:p w14:paraId="65F0792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поворотах орудия по горизонтали в крайние углы между бронировкой маски и корпусом образовывались большие щели.</w:t>
      </w:r>
    </w:p>
    <w:p w14:paraId="556454B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Пользоваться наблюдательной башенкой и вести наведение орудия по вертикали оказалось практически невозможно.</w:t>
      </w:r>
    </w:p>
    <w:p w14:paraId="0513976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После окончания заводских испытаний в САУ был исключен досылатель выстрела, установлен вытяжной башенный вентилятор, немного увеличен угол наведения гаубицы по вертикали, а также изменены сидения, места расположения которых были дополнительно уточнены (4017).</w:t>
      </w:r>
    </w:p>
    <w:p w14:paraId="5BA3FB7F" w14:textId="77777777" w:rsidR="00090C9B" w:rsidRPr="00722885" w:rsidRDefault="00090C9B" w:rsidP="00722885">
      <w:pPr>
        <w:pStyle w:val="Iauiue"/>
        <w:jc w:val="both"/>
        <w:rPr>
          <w:color w:val="000000" w:themeColor="text1"/>
          <w:sz w:val="16"/>
          <w:szCs w:val="16"/>
        </w:rPr>
      </w:pPr>
    </w:p>
    <w:p w14:paraId="3CF41001" w14:textId="77777777" w:rsidR="00090C9B" w:rsidRPr="00722885" w:rsidRDefault="00090C9B"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30 ноября 1942 года была закончена сборка опытного образца САУ У-35 или Су-122, и в тот же день проведены заводские испытания пробегом на 50 км и стрельбой 20 выстрелами на заводском полигоне в Красном. После них в конструкцию артсамохода были внесены только те доделки и исправления, которые были необходимы для госиспытаний. Все остальные недостатки, а также пожелания по улучшению конструкции САУ были учтены при отработке чертежей опытной серии (9636).</w:t>
      </w:r>
    </w:p>
    <w:p w14:paraId="7A16BA2C" w14:textId="77777777" w:rsidR="00090C9B" w:rsidRPr="00722885" w:rsidRDefault="00090C9B" w:rsidP="00722885">
      <w:pPr>
        <w:pStyle w:val="a8"/>
        <w:widowControl/>
        <w:jc w:val="both"/>
        <w:rPr>
          <w:rFonts w:ascii="Times New Roman" w:hAnsi="Times New Roman" w:cs="Times New Roman"/>
          <w:color w:val="000000" w:themeColor="text1"/>
        </w:rPr>
      </w:pPr>
    </w:p>
    <w:p w14:paraId="54F1129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ноября 1942 начались заводские испытания опытного образца 122мм САУ с индексом У 35 (буква “У” обозначала Уралмаш). Интересно отметить, что в первый день испытаний У 35 прошла пробегом без дорог более 50 км и выполнила 20 выстрелов прямой наводкой на полигоне. Правда, испытания выявили у боевой машины и ряд недостатков. Несмотря на это, Государственный Комитет Обороны уже 2 декабря выпустил постановление: не дожидаясь конца испытаний приступить к развертыванию серийного производства У 35 на Уралмашза воде, а доработку чертежей производить параллельно с вы пуском первых 25 машин (11300).</w:t>
      </w:r>
    </w:p>
    <w:p w14:paraId="3F62CDD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C7FD10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ноября 1942 г. опыт</w:t>
      </w:r>
      <w:r w:rsidRPr="00722885">
        <w:rPr>
          <w:rFonts w:ascii="Times New Roman" w:hAnsi="Times New Roman"/>
          <w:color w:val="000000" w:themeColor="text1"/>
          <w:sz w:val="16"/>
          <w:szCs w:val="16"/>
        </w:rPr>
        <w:softHyphen/>
        <w:t>ный образец самоходной установки СУ-122, изготовленный на УЗТМ, поступил на заводские испытания, которые выявили нерациональное размещение экипажа, тесноту боевого отделения, не</w:t>
      </w:r>
      <w:r w:rsidRPr="00722885">
        <w:rPr>
          <w:rFonts w:ascii="Times New Roman" w:hAnsi="Times New Roman"/>
          <w:color w:val="000000" w:themeColor="text1"/>
          <w:sz w:val="16"/>
          <w:szCs w:val="16"/>
        </w:rPr>
        <w:softHyphen/>
        <w:t>удовлетворительное расположение боекомплекта и, вследствие этого, низкую скорострельность. Для устранения выявленных недостатков на САУ были произведе</w:t>
      </w:r>
      <w:r w:rsidRPr="00722885">
        <w:rPr>
          <w:rFonts w:ascii="Times New Roman" w:hAnsi="Times New Roman"/>
          <w:color w:val="000000" w:themeColor="text1"/>
          <w:sz w:val="16"/>
          <w:szCs w:val="16"/>
        </w:rPr>
        <w:softHyphen/>
        <w:t>ны только те изменения конструкции, которые требовались для успеш</w:t>
      </w:r>
      <w:r w:rsidRPr="00722885">
        <w:rPr>
          <w:rFonts w:ascii="Times New Roman" w:hAnsi="Times New Roman"/>
          <w:color w:val="000000" w:themeColor="text1"/>
          <w:sz w:val="16"/>
          <w:szCs w:val="16"/>
        </w:rPr>
        <w:softHyphen/>
        <w:t>ного проведения государственных испытаний. Остальные недостатки и изменения были учтены при отработке чертежей установочной партии (10703).</w:t>
      </w:r>
    </w:p>
    <w:p w14:paraId="5E81DEA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7480EA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ноября 1942 г. был изготовлен опытный образец установ</w:t>
      </w:r>
      <w:r w:rsidRPr="00722885">
        <w:rPr>
          <w:rFonts w:ascii="Times New Roman" w:hAnsi="Times New Roman"/>
          <w:color w:val="000000" w:themeColor="text1"/>
          <w:sz w:val="16"/>
          <w:szCs w:val="16"/>
        </w:rPr>
        <w:softHyphen/>
        <w:t>ки СУ-122 (заводское обозначение У-35). По</w:t>
      </w:r>
      <w:r w:rsidRPr="00722885">
        <w:rPr>
          <w:rFonts w:ascii="Times New Roman" w:hAnsi="Times New Roman"/>
          <w:color w:val="000000" w:themeColor="text1"/>
          <w:sz w:val="16"/>
          <w:szCs w:val="16"/>
        </w:rPr>
        <w:softHyphen/>
        <w:t>сле заводских испытаний, в первой половине декабря того же года само</w:t>
      </w:r>
      <w:r w:rsidRPr="00722885">
        <w:rPr>
          <w:rFonts w:ascii="Times New Roman" w:hAnsi="Times New Roman"/>
          <w:color w:val="000000" w:themeColor="text1"/>
          <w:sz w:val="16"/>
          <w:szCs w:val="16"/>
        </w:rPr>
        <w:softHyphen/>
        <w:t>ходная установка прошла государственные испытания на Гороховецком АНИОПе. На вооружение была принята 5 декабря 1942 г. Серийное, производство машины началось в декабре 1942 г. и продолжалось по ав-: густ 1943 г. Всего было выпущено 638 самоходных установок (10703).</w:t>
      </w:r>
    </w:p>
    <w:p w14:paraId="6266EFE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20EB648" w14:textId="77777777" w:rsidR="00CC1852" w:rsidRPr="00722885" w:rsidRDefault="00CC18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30 ноября 1942 сборка первого опытного образца У-35 была закончена. В тот же день состоялись испытания на заводском полигоне. Машина пришла на них не до конца укомплектованной: не были установлены смотровые приборы, панорама прицела, сиденья и боеукладки. Это стало результатом спешки. Также не были отрегулированы механизмы подъема и поворота системы, в результате чего маховики вращались туго.</w:t>
      </w:r>
    </w:p>
    <w:p w14:paraId="2973AC91" w14:textId="77777777" w:rsidR="00CC1852" w:rsidRPr="00722885" w:rsidRDefault="00CC18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Уже начало испытаний преподнесло неприятные сюрпризы. При первом заряжании лоток для досылания сломался, и, чтобы он не мешался, его сняли. При первом выстреле оборвался трос спускового механизма, дальнейшая стрельба производилась при помощи шнура. Имелись проблемы с наведением на максимальные углы возвышения и горизонтальной наводкой. При повороте орудия на 10 градусов вправо было невозможно управлять правым бортовым фрикционом. Также установка системы сильно ухудшила обзор механика-водителя. После испытания стрельбой значительную часть недостатков удалось устранить (17679).</w:t>
      </w:r>
    </w:p>
    <w:p w14:paraId="55B00A4B" w14:textId="77777777" w:rsidR="00CC1852" w:rsidRPr="00722885" w:rsidRDefault="00CC1852" w:rsidP="00722885">
      <w:pPr>
        <w:spacing w:after="0" w:line="240" w:lineRule="auto"/>
        <w:jc w:val="both"/>
        <w:rPr>
          <w:rFonts w:ascii="Times New Roman" w:hAnsi="Times New Roman"/>
          <w:color w:val="000000" w:themeColor="text1"/>
          <w:sz w:val="16"/>
          <w:szCs w:val="16"/>
        </w:rPr>
      </w:pPr>
    </w:p>
    <w:p w14:paraId="6177D858" w14:textId="77777777" w:rsidR="00546E6F" w:rsidRPr="00722885" w:rsidRDefault="00546E6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30 ноября 1942 Су-11 отправили на Гороховецкий АНИОП. То есть в другую дату постановления ГКО завод вписался. Боевая масса 10 тонн, указанная в требованиях, оказалась недостижимым параметром. Реально боевая масса машины составила 11 тонн, как и в случае с СУ-12. Причина прозаична - более "тяжелая" база. Боевое отделение практически не меняли, оно у СУ-31 было уже более-менее отработанным. Как и ранее, внутри находился расчет из 5 человек - 2 наводчика, 2 заряжающих, командир. С точки зрения технической базы машина была идентична СУ-12, по которой явно наблюдался больший приоритет. И как раз эта, более приоритетная машина, во многом и похоронила вполне удачную ЗСУ (21409).</w:t>
      </w:r>
    </w:p>
    <w:p w14:paraId="4DB381E2" w14:textId="77777777" w:rsidR="00546E6F" w:rsidRPr="00722885" w:rsidRDefault="00546E6F"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5D87D45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ноября 1942 вышло Постановление ГКО № 2556 Об освобождении Горьковского автозавода им. Молотова от производства минометов М-82. РГАНИР, Фонд ГКО, д. 71, лл. 23 (11012).</w:t>
      </w:r>
    </w:p>
    <w:p w14:paraId="3EEAA39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A92AD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ноября 1942 вышло Постановление ГКО № 2557 О котлах, перебрасываемых на уральские электростанции. РГАНИР, Фонд ГКО, д. 71, лл. 24-29, 30-34 (11012).</w:t>
      </w:r>
    </w:p>
    <w:p w14:paraId="781112D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20C7DF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г. крейсер "Во</w:t>
      </w:r>
      <w:r w:rsidRPr="00722885">
        <w:rPr>
          <w:color w:val="000000" w:themeColor="text1"/>
          <w:sz w:val="16"/>
          <w:szCs w:val="16"/>
        </w:rPr>
        <w:softHyphen/>
        <w:t>рошилов", поврежденный двумя близкими взры</w:t>
      </w:r>
      <w:r w:rsidRPr="00722885">
        <w:rPr>
          <w:color w:val="000000" w:themeColor="text1"/>
          <w:sz w:val="16"/>
          <w:szCs w:val="16"/>
        </w:rPr>
        <w:softHyphen/>
        <w:t>вами мин заграждения, сохранил плавучесть (3898).</w:t>
      </w:r>
    </w:p>
    <w:p w14:paraId="74499863" w14:textId="77777777" w:rsidR="00090C9B" w:rsidRPr="00722885" w:rsidRDefault="00090C9B" w:rsidP="00722885">
      <w:pPr>
        <w:pStyle w:val="Iauiue"/>
        <w:jc w:val="both"/>
        <w:rPr>
          <w:color w:val="000000" w:themeColor="text1"/>
          <w:sz w:val="16"/>
          <w:szCs w:val="16"/>
        </w:rPr>
      </w:pPr>
    </w:p>
    <w:p w14:paraId="4668137D"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1C07043" w14:textId="77777777" w:rsidR="00090C9B" w:rsidRPr="00722885" w:rsidRDefault="00090C9B" w:rsidP="00722885">
      <w:pPr>
        <w:pStyle w:val="Iauiue"/>
        <w:jc w:val="both"/>
        <w:rPr>
          <w:iCs/>
          <w:color w:val="000000" w:themeColor="text1"/>
          <w:sz w:val="16"/>
          <w:szCs w:val="16"/>
        </w:rPr>
      </w:pPr>
    </w:p>
    <w:p w14:paraId="6E9F899D"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30 ноября </w:t>
      </w:r>
      <w:r w:rsidRPr="00722885">
        <w:rPr>
          <w:rFonts w:ascii="Times New Roman" w:hAnsi="Times New Roman"/>
          <w:color w:val="000000" w:themeColor="text1"/>
          <w:sz w:val="16"/>
          <w:szCs w:val="16"/>
        </w:rPr>
        <w:t>в 1942 году утреннее сообщение Совинформбюро:</w:t>
      </w:r>
    </w:p>
    <w:p w14:paraId="796F2C9D"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30 ноября в районе Сталинграда и на Центральном фронте наши войска продолжали наступление на прежних направлениях.</w:t>
      </w:r>
    </w:p>
    <w:p w14:paraId="390F887C"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заводской части города Сталинграда наши войска вели огневой бой и разведку обороны противника. Огнём артиллерии и миномётов уничтожено до батальона немецкой пехоты, 3 артиллерийские батареи, 21 пулемёт, разрушено 38 дзотов и блиндажей. На южной окраине города бойцы Н-ской части предприняли ночную атаку и очистили от гитлеровцев 12 дзотов и блиндажей.</w:t>
      </w:r>
    </w:p>
    <w:p w14:paraId="23F3C3DB"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прорвав новую линию обороны противника по восточному берегу Дона, с боями продвигались вперёд. В течение ночи уничтожено до 1.000 немецких солдат и офицеров. Н-ская стрелковая часть, действуя совместно с танкистами под командованием тов. Грановского и артиллеристами под командованием тов. Глебова, заняла важный укреплённый пункт противника и продвинулась вперёд на несколько километров.</w:t>
      </w:r>
    </w:p>
    <w:p w14:paraId="59AD74FC"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продолжали успешное наступление. Бойцы Н-ской части, отражая контратаку противника, сожгли и подбили 11 немецких танков и истребили свыше 200 немецких автоматчиков. Огнём зенитной артиллерии сбито 3 самолёта противника. На другом участке наши части заняли населённый пункт и захватили 50 вагонов с боеприпасами, 3 вагона с медикаментами, склад боеприпасов, склад горючего, склад продовольствия, 36 орудий, 50 мотоциклов, 100 велосипедов и другое военное имущество.</w:t>
      </w:r>
    </w:p>
    <w:p w14:paraId="6E6DCBE0"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участке фронта наши войска, преодолевая сопротивление и отбивая контратаки немцев, продвинулись вперёд и заняли несколько населённых пунктов. Бойцы Н-ской части в упорном бою уничтожили 7 немецких танков и 350 гитлеровцев. На другом участке наши подразделения овладели опорным пунктом противника и захватили 8 орудий, 14 пулеметов, 3 миномёта, радиостанцию и склад боеприпасов. На поле боя осталось до 600 вражеских трупов.</w:t>
      </w:r>
    </w:p>
    <w:p w14:paraId="05333289"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пехота и танки противника предприняли атаку. Артиллеристы под командованием тов. Любимова подбили 3 немецких танка. Следовавшая за танками вражеская пехота была рассеяна огнём пулемётчиков подразделения под командованием тов. Кравцова. Противник понёс большие потери и отошёл на исходные позиции.</w:t>
      </w:r>
    </w:p>
    <w:p w14:paraId="18266373"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Барановичской области, пустил под откос 3 железнодорожных эшелона с живой силой и 5 эшелонов с военным имуществом противника. Убито более 300 немецких солдат и офицеров, уничтожено 8 паровозов и 82 вагона.</w:t>
      </w:r>
    </w:p>
    <w:p w14:paraId="13C1F6AA"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освобождения от немецких захватчиков населённого пункта Ягодный, Сталинградской области, группа бойцов и командиров Красной Армии составила акт о нижеследующем: «Немецко-фашистские разбойники разорили колхозников населённого пункта и угнали жителей на каторжные работы в Германию. Из 144 домов и других построек — 135 разрушено и уничтожено гитлеровцами. Немецкие бандиты перерезали весь скот и уничтожили фруктовые сады. Гитлеровцы причинили колхозу и колхозникам убытки на несколько миллионов рублей».</w:t>
      </w:r>
    </w:p>
    <w:p w14:paraId="1320A0F7"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вечернее сообщение Совинформбюро:</w:t>
      </w:r>
    </w:p>
    <w:p w14:paraId="65CBE8F6"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30 ноября наши войска в районе города Сталинграда и на Центральномфронте, преодолевая упорное сопротивление противника, продолжали наступление на прежних направлениях.</w:t>
      </w:r>
    </w:p>
    <w:p w14:paraId="5AB51F46"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ноября частями нашей авиации на различных участках фронта уничтожено 17 немецких танков, до 130 автомашин с войсками и различными грузами, 50 повозок сбоеприпасами, подавлен огонь 10 артиллерийских батарей, рассеяно и частью уничтожено до двух батальонов пехоты противника.</w:t>
      </w:r>
    </w:p>
    <w:p w14:paraId="717DAE92"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вели огневой бой с противником. На южной окраине города наши войска вели активные боевые действия и очистили от гитлеровцев ряд дзотов и блиндажей. На одном участке два батальона немецкой пехоты с 30 танками пытались контратаковать наши подразделения. Потеряв в этом бою до 200 солдат и офицеров и 7 танков, противник отступил на исходные позиции.</w:t>
      </w:r>
    </w:p>
    <w:p w14:paraId="7D9F17B0"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бои в глубине обороны противникана восточном берегу Дона. Занято несколько укреплений с разветвлённой системой ходов сообщений, дзотов, противотанковых и противопехотных препятствий. Уничтожено свыше 800 немецких солдат и офицеров, 12 танков, 29 орудий и 47 пулемётов. В занятом вчера нашими частями укреплённом пункте Вертячий захвачены 17 немецких танков, 5 орудий, 110 автомашин, 17 мотоциклов, 50 подвод, склад амуниции и склад фуража.</w:t>
      </w:r>
    </w:p>
    <w:p w14:paraId="5B5CB67E"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преодолевая упорное сопротивление противника и отражая его контратаки, продолжали успешное наступление. В течение дня в боях уничтожено до 1.500 вражеских солдат и офицеров, 12 танков, 15 орудий, 14 миномётов, 65 пулемётов, разрушено 36 дзотов и блиндажей. Бойцы под командованием тов. Черного выбили немцев из населённого пункта, превращенного ими в укреплённый узел обороны. Не выдержав совместного удара артиллерии, танков и пехоты, противник, бросив оружие и военное имущество, поспешно отступил. На улицах населённого пункта подсчитано свыше 300 вражеских трупов. Уничтожено 9 орудий, 42 пулемёта, захвачено несколько складов с военным имуществом. Взяты пленные.</w:t>
      </w:r>
    </w:p>
    <w:p w14:paraId="0ED1EDD9"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упорные наступательные бои и заняли ряд населённых пунктов. Противник, опираясь на сильно укреплённые узлы обороны, бросает в контратаки подошедшие резервы. Отражая контратаки и продвигаясь вперёд, советские части наносят немцам тяжёлые потери. Бойцы Н-ской части втолько что освобождённом от гитлеровцев населённом пункте насчитали 650 вражеских трупов и 7 сгоревших танков. Захвачены 6 орудий, 19 пулемётов, склад боеприпасов, склад продовольствия и много различного военного имущества. На другом участке наши войска нанесли большое поражение частям одной дивизии противника. На поле боя остались сотни убитых немцев. Нашими бойцами захвачено16 орудий и 6 немецких танков.</w:t>
      </w:r>
    </w:p>
    <w:p w14:paraId="269E4ACA"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лётчиками в воздушных боях и огнём зенитной артиллерии над полем боя сбито 4 немецких самолёта.</w:t>
      </w:r>
    </w:p>
    <w:p w14:paraId="21A800A0"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ленинградских партизан пустила под откос немецкий железнодорожный эшелон. В результате крушения разбиты паровоз и 25 вагонов. Движение поездов на этом участке железной дороги было прекращено в течение двух суток.</w:t>
      </w:r>
    </w:p>
    <w:p w14:paraId="452CBA6A"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советские части недавно заняли одно осетинское село. Они установили, что гитлеровские бандиты за время оккупации ограбили всё население этого села. Гитлеровцы ходили из дома в дом и отбирали продовольствие, одежду и все сколько-нибудь ценные вещи. Грабёж и разбой сопровождались издевательствами над стариками и женщинами. Бандиты избили шомполами колхозниц Костуеву и Кокоеву. Семидесятилетний старик Салтанов умер от побоев, нанесённых ему гитлеровцами. Под развалинами колхозной конюшни наши бойцы обнаружили 36 растерзанных трупов пленных красноармейцев. Установлено, что немецко-фашистские мерзавцы подвергли пленных красноармейцев пыткам, а потом расстреляли их.</w:t>
      </w:r>
    </w:p>
    <w:p w14:paraId="5FF84880"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газеты сообщают об арестах и расстрелах лиц, «выражающих недовольство войной и неверие в победу Германии». В Лейпциге эсэсовцы и полиция арестовали 130 рабочих. В Дрездене уволена и арестована большая группа фашистских чиновников «за равнодушие и пассивность в борьбе против недовольных элементов». Гитлеровцы усилили репрессии и против иностранных рабочих. На одном военном заводе в Берлине они арестовали 80 итальянцев и французов, не выполнивших нормы выработки.»</w:t>
      </w:r>
    </w:p>
    <w:p w14:paraId="53024817"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19948249"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продолжается.</w:t>
      </w:r>
    </w:p>
    <w:p w14:paraId="7156DB85"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Под Сталинградом.</w:t>
      </w:r>
    </w:p>
    <w:p w14:paraId="2C307594"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30 ноября наши войска под Сталинградом, преодолевая сопротивление противника, продвинулись на 6—10 километров и заняли ряд укреплённых пунктов.</w:t>
      </w:r>
    </w:p>
    <w:p w14:paraId="5A1B76C5"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боёв с 26 по 30 ноября противник оставил на поле боя до 20.000 трупов солдат и офицеров.»</w:t>
      </w:r>
    </w:p>
    <w:p w14:paraId="6AA852C2"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На центральном фронте.</w:t>
      </w:r>
    </w:p>
    <w:p w14:paraId="567BCB98"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30 ноября наши войска на Центральном фронте, преодолевая сопротивление противника и отражая контратаки его пехоты и танков, успешно продолжали наступление и заняли несколько населённых пунктов.</w:t>
      </w:r>
    </w:p>
    <w:p w14:paraId="663E6E5E"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день боёв захвачено: танков—17, орудий—37, пулемётов — 40, складов — 12 и уничтожено 58 танков.</w:t>
      </w:r>
    </w:p>
    <w:p w14:paraId="041CF86C"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Противник оставил на поле боя 7.500 трупов солдат и офицеров.» (14845).</w:t>
      </w:r>
    </w:p>
    <w:p w14:paraId="66730CC4"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137F78C9" w14:textId="77777777" w:rsidR="00546E6F" w:rsidRPr="00722885" w:rsidRDefault="00546E6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30 ноября 1942 г. А.А. Новиков отдал командующим 16-й В А генералу СИ. Руденко и 8-й В А генералу Т.Т. Хрюкину директиву № 005/Н о выделении одного истребительного и одного штурмового авиаполков специально для борьбы с транспортной авиацией противника. Выделенным для этих целей авиаполкам ставилась задача -уничтожать немецкую транспортную авиацию на аэродромах посадки и в воздухе, а также блокировать с воздуха аэродромы Большая Россошка и Подсобное хозяйство. Кроме этого, для перехвата транспортных самолетов требовалось организовать засады на посадочных площадках Качалинская, Котлубань (16-я В А) и Бузиновка (8-я В А) по 4 истребителя и 4 штурмовика на каждой.</w:t>
      </w:r>
    </w:p>
    <w:p w14:paraId="1C4982B3" w14:textId="77777777" w:rsidR="00546E6F" w:rsidRPr="00722885" w:rsidRDefault="00546E6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lastRenderedPageBreak/>
        <w:t>Несмотря на полное господство авиации Красной Армии в районе окруженной группировки, транспортные самолеты противника все же прорывались и производили посадки на аэродромы в кольце окружения, а штурмовики Ил-2, ввиду своей малочисленности и сильного противодей</w:t>
      </w:r>
      <w:r w:rsidRPr="00722885">
        <w:rPr>
          <w:rFonts w:ascii="Times New Roman" w:eastAsia="Times New Roman" w:hAnsi="Times New Roman"/>
          <w:color w:val="0070C0"/>
          <w:sz w:val="16"/>
          <w:szCs w:val="16"/>
        </w:rPr>
        <w:softHyphen/>
        <w:t>ствия со стороны истребителей люфтваффе и зенитных средств, не могли уверенно подавлять немецкие аэродромы, неся при этом значительные потери.</w:t>
      </w:r>
    </w:p>
    <w:p w14:paraId="4B27D209" w14:textId="77777777" w:rsidR="00546E6F" w:rsidRPr="00722885" w:rsidRDefault="00546E6F" w:rsidP="00722885">
      <w:pPr>
        <w:shd w:val="clear" w:color="auto" w:fill="FFFFFF"/>
        <w:spacing w:after="0" w:line="240" w:lineRule="auto"/>
        <w:jc w:val="both"/>
        <w:rPr>
          <w:rFonts w:ascii="Times New Roman" w:eastAsia="Times New Roman" w:hAnsi="Times New Roman"/>
          <w:color w:val="0070C0"/>
          <w:sz w:val="16"/>
          <w:szCs w:val="16"/>
        </w:rPr>
      </w:pPr>
      <w:r w:rsidRPr="00722885">
        <w:rPr>
          <w:rFonts w:ascii="Times New Roman" w:eastAsia="Times New Roman" w:hAnsi="Times New Roman"/>
          <w:color w:val="0070C0"/>
          <w:sz w:val="16"/>
          <w:szCs w:val="16"/>
        </w:rPr>
        <w:t>В соответствии со сложившейся обстановкой командующий 8-й ВА уже к 1 декабря перебросил на правый берег Волги (аэродром Абганерово) все полки 201-й и 235-й истребительных и 214-й штурмовой авиадивизий (всего 77 Ил-2, а также сводную группу из экипажей от 206-й шад (503-й, 811-й и 945-й шап - всего 19 Ил-2), 296-й иап 268-й иад, 11-й иап 218-й иад и 16 экипажей 25-й гнбап 272-й нбад.</w:t>
      </w:r>
    </w:p>
    <w:p w14:paraId="51B18846" w14:textId="77777777" w:rsidR="00546E6F" w:rsidRPr="00722885" w:rsidRDefault="00546E6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За каждой из них были закреплены зоны ответственности. Базировались полки на аэродромах Б.Чапурники, Райгород, Плодовитое, Трудолюбие, Абганерово. Штурмовики находились на аэродромах совместно с истребителями, что облегчало организацию взаимодействия между ними.</w:t>
      </w:r>
    </w:p>
    <w:p w14:paraId="22C5B994" w14:textId="77777777" w:rsidR="00546E6F" w:rsidRPr="00722885" w:rsidRDefault="00546E6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Со стороны 16-й В А привлекались 228-я шад, 220-я и 283-я иад, а от сталинградского корпусного района ПВО -102-я иад.</w:t>
      </w:r>
    </w:p>
    <w:p w14:paraId="166D1592" w14:textId="77777777" w:rsidR="00546E6F" w:rsidRPr="00722885" w:rsidRDefault="00546E6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На удары по немецким аэродромам в ноябре - декабре 1942 г. штурмовики Ил-2 в среднем затратили до 25% всех самолето-вылетов, на воздушную разведку - 20%, а на «свободную охоту» и перехват самолетов противника до 15%</w:t>
      </w:r>
      <w:r w:rsidRPr="00722885">
        <w:rPr>
          <w:rFonts w:ascii="Times New Roman" w:eastAsia="Times New Roman" w:hAnsi="Times New Roman"/>
          <w:color w:val="0070C0"/>
          <w:sz w:val="16"/>
          <w:szCs w:val="16"/>
          <w:vertAlign w:val="superscript"/>
        </w:rPr>
        <w:t>1</w:t>
      </w:r>
      <w:r w:rsidRPr="00722885">
        <w:rPr>
          <w:rFonts w:ascii="Times New Roman" w:eastAsia="Times New Roman" w:hAnsi="Times New Roman"/>
          <w:color w:val="0070C0"/>
          <w:sz w:val="16"/>
          <w:szCs w:val="16"/>
        </w:rPr>
        <w:t>. Остальные боевые вылеты штурмовиками были выполнены на оказание непосредственной авиационной поддержки своим войскам, действуя по войскам противника на поле боя и его резервам в местах сосредоточения.</w:t>
      </w:r>
    </w:p>
    <w:p w14:paraId="71E13B5B" w14:textId="77777777" w:rsidR="00546E6F" w:rsidRPr="00722885" w:rsidRDefault="00546E6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Борьба с транспортными самолетами противника в воздухе велась самолетами Ил-2 в этот период обычно парами, а на участках особо интенсивных полетов - звеньями и эскадрильями. Атака производилась с различных направлений, но преимущественно с задней полусферы на дальностях от 400 до 50 м.</w:t>
      </w:r>
    </w:p>
    <w:p w14:paraId="68AF1089" w14:textId="77777777" w:rsidR="00546E6F" w:rsidRPr="00722885" w:rsidRDefault="00546E6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 xml:space="preserve">Немецкие самолеты поражались главным образом стрелково-пушечным огнем. Однако отмечалось применение против транспортных самолетов и </w:t>
      </w:r>
      <w:r w:rsidRPr="00722885">
        <w:rPr>
          <w:rFonts w:ascii="Times New Roman" w:eastAsia="Times New Roman" w:hAnsi="Times New Roman"/>
          <w:color w:val="0070C0"/>
          <w:sz w:val="16"/>
          <w:szCs w:val="16"/>
          <w:lang w:val="en-US"/>
        </w:rPr>
        <w:t>PC</w:t>
      </w:r>
      <w:r w:rsidRPr="00722885">
        <w:rPr>
          <w:rFonts w:ascii="Times New Roman" w:eastAsia="Times New Roman" w:hAnsi="Times New Roman"/>
          <w:color w:val="0070C0"/>
          <w:sz w:val="16"/>
          <w:szCs w:val="16"/>
        </w:rPr>
        <w:t xml:space="preserve">. Лучшие летчики-штурмовики работали с минимально коротких дистанций, порядка 180-200 м, и добивались прямых попаданий реактивных снарядов в одиночные немецкие самолеты. Наилучшие результаты получались при стрельбе РСами по плотным боевым порядкам. В этом случае огонь велся залпом по 2-4 реактивных снаряда или серией по 2 </w:t>
      </w:r>
      <w:r w:rsidRPr="00722885">
        <w:rPr>
          <w:rFonts w:ascii="Times New Roman" w:eastAsia="Times New Roman" w:hAnsi="Times New Roman"/>
          <w:color w:val="0070C0"/>
          <w:sz w:val="16"/>
          <w:szCs w:val="16"/>
          <w:lang w:val="en-US"/>
        </w:rPr>
        <w:t>PC</w:t>
      </w:r>
      <w:r w:rsidRPr="00722885">
        <w:rPr>
          <w:rFonts w:ascii="Times New Roman" w:eastAsia="Times New Roman" w:hAnsi="Times New Roman"/>
          <w:color w:val="0070C0"/>
          <w:sz w:val="16"/>
          <w:szCs w:val="16"/>
        </w:rPr>
        <w:t>.</w:t>
      </w:r>
    </w:p>
    <w:p w14:paraId="1F1A48FD" w14:textId="77777777" w:rsidR="00546E6F" w:rsidRPr="00722885" w:rsidRDefault="00546E6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Аэродромы блокировались днем - истребителями и штурмовиками, а ночью - самолетами У-2, которые, непрерывно сменяя друг друга, дежурили в воздухе и при включении на аэродромах ночных световых стартов сразу же сбрасывали авиабомбы.</w:t>
      </w:r>
    </w:p>
    <w:p w14:paraId="4E6ED6FE" w14:textId="77777777" w:rsidR="00546E6F" w:rsidRPr="00722885" w:rsidRDefault="00546E6F"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Удары Ил-2 по самолетам и объектам на аэродромах строились, как правило, на внезапности появления над целью и обычно производились с планирования или, чаще всего, с бреющего полета. Способ атаки цели зависел от расположения самолетов на аэродроме, степени их маскировки и наличия скрытых подступов к аэродрому. Наиболее выгодными для действий Ил-2 по аэродромам считались высоты от бреющего до 600 м.</w:t>
      </w:r>
    </w:p>
    <w:p w14:paraId="0D3ABA40" w14:textId="77777777" w:rsidR="00546E6F" w:rsidRPr="00722885" w:rsidRDefault="00546E6F" w:rsidP="00722885">
      <w:pPr>
        <w:shd w:val="clear" w:color="auto" w:fill="FFFFFF"/>
        <w:spacing w:after="0" w:line="240" w:lineRule="auto"/>
        <w:jc w:val="both"/>
        <w:rPr>
          <w:rFonts w:ascii="Times New Roman" w:eastAsia="Times New Roman" w:hAnsi="Times New Roman"/>
          <w:color w:val="0070C0"/>
          <w:sz w:val="16"/>
          <w:szCs w:val="16"/>
        </w:rPr>
      </w:pPr>
      <w:r w:rsidRPr="00722885">
        <w:rPr>
          <w:rFonts w:ascii="Times New Roman" w:eastAsia="Times New Roman" w:hAnsi="Times New Roman"/>
          <w:color w:val="0070C0"/>
          <w:sz w:val="16"/>
          <w:szCs w:val="16"/>
        </w:rPr>
        <w:t>Число заходов определялось степенью защищенности аэродрома сред</w:t>
      </w:r>
      <w:r w:rsidRPr="00722885">
        <w:rPr>
          <w:rFonts w:ascii="Times New Roman" w:eastAsia="Times New Roman" w:hAnsi="Times New Roman"/>
          <w:color w:val="0070C0"/>
          <w:sz w:val="16"/>
          <w:szCs w:val="16"/>
        </w:rPr>
        <w:softHyphen/>
        <w:t>ствами ПВО. Как правило, ПВО немецкого аэродрома состояла из 6-7 бата</w:t>
      </w:r>
      <w:r w:rsidRPr="00722885">
        <w:rPr>
          <w:rFonts w:ascii="Times New Roman" w:eastAsia="Times New Roman" w:hAnsi="Times New Roman"/>
          <w:color w:val="0070C0"/>
          <w:sz w:val="16"/>
          <w:szCs w:val="16"/>
        </w:rPr>
        <w:softHyphen/>
        <w:t>рей зенитной артиллерии (каждая батарея имела либо 4 88-мм и 2 20-мм зенитных орудия, либо 9-12 20-мм или 37-мм автоматов), 4-х зенитно-пулеметных точек (ЗПТ), сосредоточенных в одном месте, 3-х звукоулавливателей и 2-х прожекторов (20186).</w:t>
      </w:r>
    </w:p>
    <w:p w14:paraId="2107D2EA" w14:textId="77777777" w:rsidR="00546E6F" w:rsidRPr="00722885" w:rsidRDefault="00546E6F" w:rsidP="00722885">
      <w:pPr>
        <w:shd w:val="clear" w:color="auto" w:fill="FFFFFF"/>
        <w:spacing w:after="0" w:line="240" w:lineRule="auto"/>
        <w:jc w:val="both"/>
        <w:rPr>
          <w:rFonts w:ascii="Times New Roman" w:eastAsia="Times New Roman" w:hAnsi="Times New Roman"/>
          <w:color w:val="0070C0"/>
          <w:sz w:val="16"/>
          <w:szCs w:val="16"/>
        </w:rPr>
      </w:pPr>
    </w:p>
    <w:p w14:paraId="66BDAA9F" w14:textId="77777777" w:rsidR="00265C05" w:rsidRPr="00722885" w:rsidRDefault="00265C05" w:rsidP="00722885">
      <w:pPr>
        <w:pStyle w:val="ae"/>
        <w:spacing w:before="0" w:after="0"/>
        <w:jc w:val="both"/>
        <w:textAlignment w:val="baseline"/>
        <w:rPr>
          <w:color w:val="000000" w:themeColor="text1"/>
          <w:sz w:val="16"/>
          <w:szCs w:val="16"/>
        </w:rPr>
      </w:pPr>
      <w:r w:rsidRPr="00722885">
        <w:rPr>
          <w:color w:val="000000" w:themeColor="text1"/>
          <w:sz w:val="16"/>
          <w:szCs w:val="16"/>
        </w:rPr>
        <w:t>Утром 30 ноября 1942 первый налет на немецкие авиабазы, в том числе на Питомник, совершили штурмовики 622-го шап. Однако он закончился полным крахом. Обратно не вернулось шесть Ил-2, еще пять получили сильные повреждения и совершили вынужденные посадки. В числе погибших был заместитель командира полка капитан Доброхотов (19522).</w:t>
      </w:r>
    </w:p>
    <w:p w14:paraId="1547736D" w14:textId="77777777" w:rsidR="00265C05" w:rsidRPr="00722885" w:rsidRDefault="00265C05" w:rsidP="00722885">
      <w:pPr>
        <w:pStyle w:val="ae"/>
        <w:spacing w:before="0" w:after="0"/>
        <w:jc w:val="both"/>
        <w:textAlignment w:val="baseline"/>
        <w:rPr>
          <w:color w:val="000000" w:themeColor="text1"/>
          <w:sz w:val="16"/>
          <w:szCs w:val="16"/>
        </w:rPr>
      </w:pPr>
    </w:p>
    <w:p w14:paraId="7123D205"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30 ноября </w:t>
      </w:r>
      <w:r w:rsidRPr="00722885">
        <w:rPr>
          <w:rFonts w:ascii="Times New Roman" w:hAnsi="Times New Roman"/>
          <w:color w:val="000000" w:themeColor="text1"/>
          <w:sz w:val="16"/>
          <w:szCs w:val="16"/>
        </w:rPr>
        <w:t>в 1942 году войска Калининского фронта завершили окружение гарнизона противника в Великих Луках. Главные силы войск Сталинградского фронта вышли на рубеж севернее Котельниковский, северный берег озера Сарпа (южнее.). Образован более чем 500-км внешний фронт окружения, проходивший по рекам Кривая, Чир, Дон, севернее Котельниковский. Войска фронта сократили занимаемую противником площадь более чем наполовину — до 1500 км2 (с запада на восток — 40 км и с севера на юг — от 30 до 40 км). Войска Северной группы Закавказского фронта начали наступление на северном берегу реки Терек (14845).</w:t>
      </w:r>
    </w:p>
    <w:p w14:paraId="063CF737"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6BE4B3F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г. А.А.Новиков отдал командующим 16-й ВА ге</w:t>
      </w:r>
      <w:r w:rsidRPr="00722885">
        <w:rPr>
          <w:color w:val="000000" w:themeColor="text1"/>
          <w:sz w:val="16"/>
          <w:szCs w:val="16"/>
        </w:rPr>
        <w:softHyphen/>
        <w:t>нералу С.И.Руденко и 8-й ВА генералу Т.Т.Хрюкину директиву № 005/Н о вы</w:t>
      </w:r>
      <w:r w:rsidRPr="00722885">
        <w:rPr>
          <w:color w:val="000000" w:themeColor="text1"/>
          <w:sz w:val="16"/>
          <w:szCs w:val="16"/>
        </w:rPr>
        <w:softHyphen/>
        <w:t>делении одного истребительного и од</w:t>
      </w:r>
      <w:r w:rsidRPr="00722885">
        <w:rPr>
          <w:color w:val="000000" w:themeColor="text1"/>
          <w:sz w:val="16"/>
          <w:szCs w:val="16"/>
        </w:rPr>
        <w:softHyphen/>
        <w:t>ного штурмового авиаполков специаль</w:t>
      </w:r>
      <w:r w:rsidRPr="00722885">
        <w:rPr>
          <w:color w:val="000000" w:themeColor="text1"/>
          <w:sz w:val="16"/>
          <w:szCs w:val="16"/>
        </w:rPr>
        <w:softHyphen/>
        <w:t>но для борьбы с транспортной авиаци</w:t>
      </w:r>
      <w:r w:rsidRPr="00722885">
        <w:rPr>
          <w:color w:val="000000" w:themeColor="text1"/>
          <w:sz w:val="16"/>
          <w:szCs w:val="16"/>
        </w:rPr>
        <w:softHyphen/>
        <w:t>ей противника. Выделенным для этих целей авиаполкам ставилась задача -уничтожать немецкую транспортную авиацию на аэродромах посадки и в воздухе, а также блокировать с воздуха аэродромы Большая Россошка и Подсобное хозяйство. Кроме этого, для пе</w:t>
      </w:r>
      <w:r w:rsidRPr="00722885">
        <w:rPr>
          <w:color w:val="000000" w:themeColor="text1"/>
          <w:sz w:val="16"/>
          <w:szCs w:val="16"/>
        </w:rPr>
        <w:softHyphen/>
        <w:t>рехвата транспортных самолетов требо</w:t>
      </w:r>
      <w:r w:rsidRPr="00722885">
        <w:rPr>
          <w:color w:val="000000" w:themeColor="text1"/>
          <w:sz w:val="16"/>
          <w:szCs w:val="16"/>
        </w:rPr>
        <w:softHyphen/>
        <w:t>валось организовать засады на посадоч</w:t>
      </w:r>
      <w:r w:rsidRPr="00722885">
        <w:rPr>
          <w:color w:val="000000" w:themeColor="text1"/>
          <w:sz w:val="16"/>
          <w:szCs w:val="16"/>
        </w:rPr>
        <w:softHyphen/>
        <w:t>ных площадках Качалинская, совхоз "Котлубань" (16-я ВА) и Бузиновка (8-я ВА) по 4 истребителя и 4 штурмовика на каждой.</w:t>
      </w:r>
    </w:p>
    <w:p w14:paraId="3FD8493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Быстро выяснилось, что принятые меры явно недостаточны. Несмотря на полное господство авиации Красной Армии в районе окруженной группиров</w:t>
      </w:r>
      <w:r w:rsidRPr="00722885">
        <w:rPr>
          <w:color w:val="000000" w:themeColor="text1"/>
          <w:sz w:val="16"/>
          <w:szCs w:val="16"/>
        </w:rPr>
        <w:softHyphen/>
        <w:t>ки, транспортные самолеты противника все же прорывались и производили по</w:t>
      </w:r>
      <w:r w:rsidRPr="00722885">
        <w:rPr>
          <w:color w:val="000000" w:themeColor="text1"/>
          <w:sz w:val="16"/>
          <w:szCs w:val="16"/>
        </w:rPr>
        <w:softHyphen/>
        <w:t>садки на аэродромы в кольце окруже</w:t>
      </w:r>
      <w:r w:rsidRPr="00722885">
        <w:rPr>
          <w:color w:val="000000" w:themeColor="text1"/>
          <w:sz w:val="16"/>
          <w:szCs w:val="16"/>
        </w:rPr>
        <w:softHyphen/>
        <w:t>ния, а штурмовики Ил-2, ввиду своей ма</w:t>
      </w:r>
      <w:r w:rsidRPr="00722885">
        <w:rPr>
          <w:color w:val="000000" w:themeColor="text1"/>
          <w:sz w:val="16"/>
          <w:szCs w:val="16"/>
        </w:rPr>
        <w:softHyphen/>
        <w:t>лочисленности и сильного противодей</w:t>
      </w:r>
      <w:r w:rsidRPr="00722885">
        <w:rPr>
          <w:color w:val="000000" w:themeColor="text1"/>
          <w:sz w:val="16"/>
          <w:szCs w:val="16"/>
        </w:rPr>
        <w:softHyphen/>
        <w:t>ствия со стороны истребителей Люфтваффе и зенитных средств, не могли уверенно подавлять немецкие аэродро</w:t>
      </w:r>
      <w:r w:rsidRPr="00722885">
        <w:rPr>
          <w:color w:val="000000" w:themeColor="text1"/>
          <w:sz w:val="16"/>
          <w:szCs w:val="16"/>
        </w:rPr>
        <w:softHyphen/>
        <w:t>мы, неся при этом значительные потери.</w:t>
      </w:r>
    </w:p>
    <w:p w14:paraId="677EB2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 утром 30 ноября во время бомбоштурмового удара по аэродрому Пи</w:t>
      </w:r>
      <w:r w:rsidRPr="00722885">
        <w:rPr>
          <w:color w:val="000000" w:themeColor="text1"/>
          <w:sz w:val="16"/>
          <w:szCs w:val="16"/>
        </w:rPr>
        <w:softHyphen/>
        <w:t xml:space="preserve">томник, на котором, по данным штаба 214-й </w:t>
      </w:r>
      <w:r w:rsidRPr="00722885">
        <w:rPr>
          <w:iCs/>
          <w:color w:val="000000" w:themeColor="text1"/>
          <w:sz w:val="16"/>
          <w:szCs w:val="16"/>
        </w:rPr>
        <w:t>шад,</w:t>
      </w:r>
      <w:r w:rsidRPr="00722885">
        <w:rPr>
          <w:color w:val="000000" w:themeColor="text1"/>
          <w:sz w:val="16"/>
          <w:szCs w:val="16"/>
        </w:rPr>
        <w:t xml:space="preserve"> произвели посадку 25 само</w:t>
      </w:r>
      <w:r w:rsidRPr="00722885">
        <w:rPr>
          <w:color w:val="000000" w:themeColor="text1"/>
          <w:sz w:val="16"/>
          <w:szCs w:val="16"/>
        </w:rPr>
        <w:softHyphen/>
        <w:t xml:space="preserve">летов противника типа Ju52 и Не 111, из 3 экипажей 622-го </w:t>
      </w:r>
      <w:r w:rsidRPr="00722885">
        <w:rPr>
          <w:iCs/>
          <w:color w:val="000000" w:themeColor="text1"/>
          <w:sz w:val="16"/>
          <w:szCs w:val="16"/>
        </w:rPr>
        <w:t>шап,</w:t>
      </w:r>
      <w:r w:rsidRPr="00722885">
        <w:rPr>
          <w:color w:val="000000" w:themeColor="text1"/>
          <w:sz w:val="16"/>
          <w:szCs w:val="16"/>
        </w:rPr>
        <w:t xml:space="preserve"> вылетевших на боевое задание, вернулся только </w:t>
      </w:r>
      <w:r w:rsidRPr="00722885">
        <w:rPr>
          <w:iCs/>
          <w:color w:val="000000" w:themeColor="text1"/>
          <w:sz w:val="16"/>
          <w:szCs w:val="16"/>
        </w:rPr>
        <w:t>"...ст.л-т Ольховенко сильно раненым и на под</w:t>
      </w:r>
      <w:r w:rsidRPr="00722885">
        <w:rPr>
          <w:iCs/>
          <w:color w:val="000000" w:themeColor="text1"/>
          <w:sz w:val="16"/>
          <w:szCs w:val="16"/>
        </w:rPr>
        <w:softHyphen/>
        <w:t>битом самолете".</w:t>
      </w:r>
      <w:r w:rsidRPr="00722885">
        <w:rPr>
          <w:color w:val="000000" w:themeColor="text1"/>
          <w:sz w:val="16"/>
          <w:szCs w:val="16"/>
        </w:rPr>
        <w:t xml:space="preserve"> Заместитель команди</w:t>
      </w:r>
      <w:r w:rsidRPr="00722885">
        <w:rPr>
          <w:color w:val="000000" w:themeColor="text1"/>
          <w:sz w:val="16"/>
          <w:szCs w:val="16"/>
        </w:rPr>
        <w:softHyphen/>
        <w:t>ра полка к-н Доброхотов и с-т Пятилетов на свой аэродром не вернулись. По данным штаба полка, на аэродроме Пи</w:t>
      </w:r>
      <w:r w:rsidRPr="00722885">
        <w:rPr>
          <w:color w:val="000000" w:themeColor="text1"/>
          <w:sz w:val="16"/>
          <w:szCs w:val="16"/>
        </w:rPr>
        <w:softHyphen/>
        <w:t xml:space="preserve">томник группа Доброхотова уничтожила и повредила </w:t>
      </w:r>
      <w:r w:rsidRPr="00722885">
        <w:rPr>
          <w:iCs/>
          <w:color w:val="000000" w:themeColor="text1"/>
          <w:sz w:val="16"/>
          <w:szCs w:val="16"/>
        </w:rPr>
        <w:t>"6 самолетов на земле и 4 в воздухе. Два самолета в воздухе сбил ст.л-т Ольховенко ".</w:t>
      </w:r>
    </w:p>
    <w:p w14:paraId="02A415E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Всего 30 ноября 622-й </w:t>
      </w:r>
      <w:r w:rsidRPr="00722885">
        <w:rPr>
          <w:iCs/>
          <w:color w:val="000000" w:themeColor="text1"/>
          <w:sz w:val="16"/>
          <w:szCs w:val="16"/>
        </w:rPr>
        <w:t>шап</w:t>
      </w:r>
      <w:r w:rsidRPr="00722885">
        <w:rPr>
          <w:color w:val="000000" w:themeColor="text1"/>
          <w:sz w:val="16"/>
          <w:szCs w:val="16"/>
        </w:rPr>
        <w:t xml:space="preserve"> потерял погибшими 5 экипажей и 6 самолетов, еще 5 "Илов" получили серьезные по</w:t>
      </w:r>
      <w:r w:rsidRPr="00722885">
        <w:rPr>
          <w:color w:val="000000" w:themeColor="text1"/>
          <w:sz w:val="16"/>
          <w:szCs w:val="16"/>
        </w:rPr>
        <w:softHyphen/>
        <w:t>вреждения (6467).</w:t>
      </w:r>
    </w:p>
    <w:p w14:paraId="6BE921E5" w14:textId="77777777" w:rsidR="00090C9B" w:rsidRPr="00722885" w:rsidRDefault="00090C9B" w:rsidP="00722885">
      <w:pPr>
        <w:pStyle w:val="Iauiue"/>
        <w:jc w:val="both"/>
        <w:rPr>
          <w:color w:val="000000" w:themeColor="text1"/>
          <w:sz w:val="16"/>
          <w:szCs w:val="16"/>
        </w:rPr>
      </w:pPr>
    </w:p>
    <w:p w14:paraId="69C64C5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командующий ВВС А.А.Новиков отдал командующему 16ВА распоряжение о выделении одного иап и одного шап специально для борьбы с транспортной авиацией в воздухе и путем блокировки аэродромов Большая Россошка и Подсобное Хозяйство (340,105).</w:t>
      </w:r>
    </w:p>
    <w:p w14:paraId="776CC4EE" w14:textId="77777777" w:rsidR="00090C9B" w:rsidRPr="00722885" w:rsidRDefault="00090C9B" w:rsidP="00722885">
      <w:pPr>
        <w:pStyle w:val="Iauiue"/>
        <w:jc w:val="both"/>
        <w:rPr>
          <w:color w:val="000000" w:themeColor="text1"/>
          <w:sz w:val="16"/>
          <w:szCs w:val="16"/>
        </w:rPr>
      </w:pPr>
    </w:p>
    <w:p w14:paraId="22CBD84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немцы по воздуху сумели доставить в Сталинград рекордный объем грузов - 100 т используя Не-111, но это была только треть от потребности 6 армии (1493,120).</w:t>
      </w:r>
    </w:p>
    <w:p w14:paraId="01359C94" w14:textId="77777777" w:rsidR="00090C9B" w:rsidRPr="00722885" w:rsidRDefault="00090C9B" w:rsidP="00722885">
      <w:pPr>
        <w:pStyle w:val="Iauiue"/>
        <w:jc w:val="both"/>
        <w:rPr>
          <w:color w:val="000000" w:themeColor="text1"/>
          <w:sz w:val="16"/>
          <w:szCs w:val="16"/>
        </w:rPr>
      </w:pPr>
    </w:p>
    <w:p w14:paraId="00C4796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на аэродромах 4 зоны с Сталинграде вывели из строя 15 Ю-52 (518,178).</w:t>
      </w:r>
    </w:p>
    <w:p w14:paraId="0C719779" w14:textId="77777777" w:rsidR="00090C9B" w:rsidRPr="00722885" w:rsidRDefault="00090C9B" w:rsidP="00722885">
      <w:pPr>
        <w:pStyle w:val="Iauiue"/>
        <w:jc w:val="both"/>
        <w:rPr>
          <w:color w:val="000000" w:themeColor="text1"/>
          <w:sz w:val="16"/>
          <w:szCs w:val="16"/>
        </w:rPr>
      </w:pPr>
    </w:p>
    <w:p w14:paraId="7CCCA70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командующий ВВС распорядился, чтобы 16 ВА выделила по одному иап и шап для борьбы с транспортной авиацией в полете и на аэродромах и такой же приказ 4 декабря получила 8 ВА. Данная задача была определена как важнейшая (340,105).</w:t>
      </w:r>
    </w:p>
    <w:p w14:paraId="52308D3B" w14:textId="77777777" w:rsidR="00090C9B" w:rsidRPr="00722885" w:rsidRDefault="00090C9B" w:rsidP="00722885">
      <w:pPr>
        <w:pStyle w:val="Iauiue"/>
        <w:jc w:val="both"/>
        <w:rPr>
          <w:color w:val="000000" w:themeColor="text1"/>
          <w:sz w:val="16"/>
          <w:szCs w:val="16"/>
        </w:rPr>
      </w:pPr>
    </w:p>
    <w:p w14:paraId="2BA7018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1 мая по 30 ноября 1942 года Люфтваффе потеряли на всех фронтах 10535 самолетов, из них на Восточном - 3193 бомбардировщика, 892 пикировщика и 3325 истребителей (3573).</w:t>
      </w:r>
    </w:p>
    <w:p w14:paraId="40F16903" w14:textId="77777777" w:rsidR="00090C9B" w:rsidRPr="00722885" w:rsidRDefault="00090C9B" w:rsidP="00722885">
      <w:pPr>
        <w:pStyle w:val="Iauiue"/>
        <w:jc w:val="both"/>
        <w:rPr>
          <w:color w:val="000000" w:themeColor="text1"/>
          <w:sz w:val="16"/>
          <w:szCs w:val="16"/>
        </w:rPr>
      </w:pPr>
    </w:p>
    <w:p w14:paraId="085665F2"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5919DD2" w14:textId="77777777" w:rsidR="00090C9B" w:rsidRPr="00722885" w:rsidRDefault="00090C9B" w:rsidP="00722885">
      <w:pPr>
        <w:pStyle w:val="Iauiue"/>
        <w:jc w:val="both"/>
        <w:rPr>
          <w:iCs/>
          <w:color w:val="000000" w:themeColor="text1"/>
          <w:sz w:val="16"/>
          <w:szCs w:val="16"/>
        </w:rPr>
      </w:pPr>
    </w:p>
    <w:p w14:paraId="4D01CCFF" w14:textId="77777777" w:rsidR="00546E6F" w:rsidRPr="00722885" w:rsidRDefault="00546E6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 ноября 1942 года состоялся первый полет Норт Америкен XP-51B, первоначально обозначенный XP-78, первого P-51 Mustang с Packard Merlin (20793).</w:t>
      </w:r>
    </w:p>
    <w:p w14:paraId="592228CE" w14:textId="77777777" w:rsidR="00546E6F" w:rsidRPr="00722885" w:rsidRDefault="00546E6F" w:rsidP="00722885">
      <w:pPr>
        <w:spacing w:after="0" w:line="240" w:lineRule="auto"/>
        <w:jc w:val="both"/>
        <w:rPr>
          <w:rFonts w:ascii="Times New Roman" w:hAnsi="Times New Roman"/>
          <w:color w:val="0070C0"/>
          <w:sz w:val="16"/>
          <w:szCs w:val="16"/>
        </w:rPr>
      </w:pPr>
    </w:p>
    <w:p w14:paraId="6E60883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12 Hs 129B-1 4-й эскадрильи 2-й штурмовой авиационной эскадры, которую сформировали в Польше в сентябре 1942, вылетели на помощь африканскому корпусу Роммеля. Однако во время перелета в Ливию эскадрилья потеряла треть своих самолетов из-за отказов ненадежных двигателей. Для уцелевших самолетов песок африканской пустыни оказался не намного лучше русской пыли. Не помогли и новые фильтры, и еще два штурмовика из-за засорения двигателей упали на вражеской территории. Остальные Hs 129 перебросили в Триполи, однако наступление 8-й армии англичан вынудило эвакуировать остатки эскадрильи в Бари (Италия) (3037,29).</w:t>
      </w:r>
    </w:p>
    <w:p w14:paraId="085744E2" w14:textId="77777777" w:rsidR="00090C9B" w:rsidRPr="00722885" w:rsidRDefault="00090C9B" w:rsidP="00722885">
      <w:pPr>
        <w:pStyle w:val="Iauiue"/>
        <w:jc w:val="both"/>
        <w:rPr>
          <w:color w:val="000000" w:themeColor="text1"/>
          <w:sz w:val="16"/>
          <w:szCs w:val="16"/>
        </w:rPr>
      </w:pPr>
    </w:p>
    <w:p w14:paraId="16FA58E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30 ноября 1942 состоялась морская битва у Tassafaronga (2261).</w:t>
      </w:r>
    </w:p>
    <w:p w14:paraId="1D31AF13" w14:textId="77777777" w:rsidR="00090C9B" w:rsidRPr="00722885" w:rsidRDefault="00090C9B" w:rsidP="00722885">
      <w:pPr>
        <w:pStyle w:val="Iauiue"/>
        <w:jc w:val="both"/>
        <w:rPr>
          <w:color w:val="000000" w:themeColor="text1"/>
          <w:sz w:val="16"/>
          <w:szCs w:val="16"/>
        </w:rPr>
      </w:pPr>
    </w:p>
    <w:p w14:paraId="161629DF"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30 ноября </w:t>
      </w:r>
      <w:r w:rsidRPr="00722885">
        <w:rPr>
          <w:rFonts w:ascii="Times New Roman" w:hAnsi="Times New Roman"/>
          <w:color w:val="000000" w:themeColor="text1"/>
          <w:sz w:val="16"/>
          <w:szCs w:val="16"/>
        </w:rPr>
        <w:t>в 1942 году крейсер Нортгемптон получил в левый борт попадания 2 торпед с эсминца “Оясио”. Через 3 часа он был оставлен командой и затонул. Погибли 58 человек (14845).</w:t>
      </w:r>
    </w:p>
    <w:p w14:paraId="6B510BCD"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1F3EB5BB" w14:textId="77777777" w:rsidR="004318C9" w:rsidRPr="00722885" w:rsidRDefault="004318C9"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30 ноября </w:t>
      </w:r>
      <w:r w:rsidRPr="00722885">
        <w:rPr>
          <w:rFonts w:ascii="Times New Roman" w:hAnsi="Times New Roman"/>
          <w:color w:val="000000" w:themeColor="text1"/>
          <w:sz w:val="16"/>
          <w:szCs w:val="16"/>
        </w:rPr>
        <w:t>в 1942 году в бою у Тассафаронга крейсер Пенсакола получает серьезные повреждения (14845).</w:t>
      </w:r>
    </w:p>
    <w:p w14:paraId="43CE7CF5" w14:textId="77777777" w:rsidR="004318C9" w:rsidRPr="00722885" w:rsidRDefault="004318C9" w:rsidP="00722885">
      <w:pPr>
        <w:spacing w:after="0" w:line="240" w:lineRule="auto"/>
        <w:jc w:val="both"/>
        <w:rPr>
          <w:rFonts w:ascii="Times New Roman" w:hAnsi="Times New Roman"/>
          <w:color w:val="000000" w:themeColor="text1"/>
          <w:sz w:val="16"/>
          <w:szCs w:val="16"/>
        </w:rPr>
      </w:pPr>
    </w:p>
    <w:p w14:paraId="639C9B6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A033E9A" w14:textId="77777777" w:rsidR="00090C9B" w:rsidRPr="00722885" w:rsidRDefault="00090C9B" w:rsidP="00722885">
      <w:pPr>
        <w:pStyle w:val="Iauiue"/>
        <w:jc w:val="both"/>
        <w:rPr>
          <w:iCs/>
          <w:color w:val="000000" w:themeColor="text1"/>
          <w:sz w:val="16"/>
          <w:szCs w:val="16"/>
        </w:rPr>
      </w:pPr>
    </w:p>
    <w:p w14:paraId="39854E8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К концу ноября 1942 ОКБ П.О.С. разработал проект экспериментального одноместного истребителя И-2 М-92 с двумя моторами Е.В.Урмина в фюзеляже с передачей </w:t>
      </w:r>
      <w:r w:rsidRPr="00722885">
        <w:rPr>
          <w:color w:val="000000" w:themeColor="text1"/>
          <w:sz w:val="16"/>
          <w:szCs w:val="16"/>
        </w:rPr>
        <w:lastRenderedPageBreak/>
        <w:t>на винты в крыле (9537,18).</w:t>
      </w:r>
    </w:p>
    <w:p w14:paraId="4A2317F7" w14:textId="77777777" w:rsidR="00090C9B" w:rsidRPr="00722885" w:rsidRDefault="00090C9B" w:rsidP="00722885">
      <w:pPr>
        <w:pStyle w:val="Iauiue"/>
        <w:jc w:val="both"/>
        <w:rPr>
          <w:color w:val="000000" w:themeColor="text1"/>
          <w:sz w:val="16"/>
          <w:szCs w:val="16"/>
        </w:rPr>
      </w:pPr>
    </w:p>
    <w:p w14:paraId="3F5B470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ноября 1942 года в ОКБ П.О.С. велась разработка одноместного двухмоторного истребителя весьма оригинальной схемы. Два двигате</w:t>
      </w:r>
      <w:r w:rsidRPr="00722885">
        <w:rPr>
          <w:rFonts w:ascii="Times New Roman" w:hAnsi="Times New Roman"/>
          <w:color w:val="000000" w:themeColor="text1"/>
          <w:sz w:val="16"/>
          <w:szCs w:val="16"/>
        </w:rPr>
        <w:softHyphen/>
        <w:t>ля воздушного охлаждения М-92 (проектная взлетная мощность 2200 л.с.) размещались в фюзеляже и через специальную передачу при</w:t>
      </w:r>
      <w:r w:rsidRPr="00722885">
        <w:rPr>
          <w:rFonts w:ascii="Times New Roman" w:hAnsi="Times New Roman"/>
          <w:color w:val="000000" w:themeColor="text1"/>
          <w:sz w:val="16"/>
          <w:szCs w:val="16"/>
        </w:rPr>
        <w:softHyphen/>
        <w:t>водили во вращение винты, распо</w:t>
      </w:r>
      <w:r w:rsidRPr="00722885">
        <w:rPr>
          <w:rFonts w:ascii="Times New Roman" w:hAnsi="Times New Roman"/>
          <w:color w:val="000000" w:themeColor="text1"/>
          <w:sz w:val="16"/>
          <w:szCs w:val="16"/>
        </w:rPr>
        <w:softHyphen/>
        <w:t>ложенные на крыле. К концу 1942 года все работы по проекту были прекращены (11754).</w:t>
      </w:r>
    </w:p>
    <w:p w14:paraId="2BC0D1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F3B96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ноября 1942 г. 12-й бомбардировочный полк на Ту-2, которым командовал П.Х. Козырев и затем воевал на Калининском фронте. С августа 1943 г. во главе полка встал подполковник М.П. Вйсякин, летчик-испытатель, многое сделавший для успешного освоения Ту-2 экипажами. В боях полк понес значительные потери и был отведен в тыл, на подмосковный аэродром Кубинка, для пополнения (11988).</w:t>
      </w:r>
    </w:p>
    <w:p w14:paraId="4C05DD9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8129A1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ноября 1942 началась подготовка И-185 к вылету на фронт для войсковых испытаний (9979).</w:t>
      </w:r>
    </w:p>
    <w:p w14:paraId="1CAEFD1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0310C51" w14:textId="77777777" w:rsidR="004318C9" w:rsidRPr="00722885" w:rsidRDefault="004318C9"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конце ноября 1942 г. положительные результаты испытаний первых ракетно-пусковых установок для ТК типа Г-5 были доложены в Штаб и ВСЧФ, а затем и в Наркомат ВМФ в Москву.</w:t>
      </w:r>
    </w:p>
    <w:p w14:paraId="74B23D8A" w14:textId="77777777" w:rsidR="004318C9" w:rsidRPr="00722885" w:rsidRDefault="004318C9"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С декабря 1942 г. шесть ТК вооруженных РПУ-6 в составе 1-ой БТК успешно участвовали в боевых операциях на ЧФ (15985).</w:t>
      </w:r>
    </w:p>
    <w:p w14:paraId="74EFC739" w14:textId="77777777" w:rsidR="004318C9" w:rsidRPr="00722885" w:rsidRDefault="004318C9" w:rsidP="00722885">
      <w:pPr>
        <w:spacing w:after="0" w:line="240" w:lineRule="auto"/>
        <w:jc w:val="both"/>
        <w:rPr>
          <w:rFonts w:ascii="Times New Roman" w:eastAsia="Times New Roman" w:hAnsi="Times New Roman"/>
          <w:color w:val="000000" w:themeColor="text1"/>
          <w:sz w:val="16"/>
          <w:szCs w:val="16"/>
        </w:rPr>
      </w:pPr>
    </w:p>
    <w:p w14:paraId="2DBADA1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44E1625" w14:textId="77777777" w:rsidR="00090C9B" w:rsidRPr="00722885" w:rsidRDefault="00090C9B" w:rsidP="00722885">
      <w:pPr>
        <w:pStyle w:val="Iauiue"/>
        <w:jc w:val="both"/>
        <w:rPr>
          <w:iCs/>
          <w:color w:val="000000" w:themeColor="text1"/>
          <w:sz w:val="16"/>
          <w:szCs w:val="16"/>
        </w:rPr>
      </w:pPr>
    </w:p>
    <w:p w14:paraId="72B48F8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ноября 1942 г. в конструкцию ходовой ча</w:t>
      </w:r>
      <w:r w:rsidRPr="00722885">
        <w:rPr>
          <w:rFonts w:ascii="Times New Roman" w:hAnsi="Times New Roman"/>
          <w:color w:val="000000" w:themeColor="text1"/>
          <w:sz w:val="16"/>
          <w:szCs w:val="16"/>
        </w:rPr>
        <w:softHyphen/>
        <w:t>сти танка Т-34 на ЧКЗ были введены: новые гусеницы с траками, изготовленными из стали 27СГТ, литые ведущие колеса с роликами, а также штампованные диски опорных катков с наружной амортизацией (10703).</w:t>
      </w:r>
    </w:p>
    <w:p w14:paraId="13F4668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20EDD9B" w14:textId="77777777" w:rsidR="00B64EA8" w:rsidRPr="00722885" w:rsidRDefault="00B64EA8" w:rsidP="00722885">
      <w:pPr>
        <w:pStyle w:val="Iauiue"/>
        <w:jc w:val="both"/>
        <w:rPr>
          <w:color w:val="000000" w:themeColor="text1"/>
          <w:sz w:val="16"/>
          <w:szCs w:val="16"/>
        </w:rPr>
      </w:pPr>
      <w:r w:rsidRPr="00722885">
        <w:rPr>
          <w:color w:val="000000" w:themeColor="text1"/>
          <w:sz w:val="16"/>
          <w:szCs w:val="16"/>
        </w:rPr>
        <w:t>В конце ноября 1942 в КБ ЧКЗ началась разработка тяжелой СУ, вооруженной 152-мм гаубицей МЛ-20С по инициативе Нач. ГАБТУ г-л Я.Н.Федоренко и НКВ Д.Ф.У., который звонил ГК ЧКЗ Ж.Я.Котину. Тот сразу поехал на Мотовилихинский и через сутки поручил зам. Н.М.Снегову начать проработку на базе КВ-1С. Разместили и 20 49 кг снарядов с раздельным заряжанием (4411,11).</w:t>
      </w:r>
    </w:p>
    <w:p w14:paraId="2F58477F" w14:textId="77777777" w:rsidR="00B64EA8" w:rsidRPr="00722885" w:rsidRDefault="00B64EA8" w:rsidP="00722885">
      <w:pPr>
        <w:pStyle w:val="Iauiue"/>
        <w:jc w:val="both"/>
        <w:rPr>
          <w:color w:val="000000" w:themeColor="text1"/>
          <w:sz w:val="16"/>
          <w:szCs w:val="16"/>
        </w:rPr>
      </w:pPr>
    </w:p>
    <w:p w14:paraId="68BB91D9" w14:textId="77777777" w:rsidR="00B64EA8" w:rsidRPr="00722885" w:rsidRDefault="00B64EA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концу ноября 1942 облик новой машины (проект переработанной самоходной установки ЗИК-11 получил обозначение У-35) стал вырисовываться. Безусловно, некоторые ее элементы были позаимствованы у ЗИК-11, но в целом создаваемая под руководством Горлицкого машина достаточно сильно отличалась, причем в лучшую сторону. Для начала, от идеи полуоткрытого боевого отделения конструкторы решительно отказались. Боевое отделение получило не только крышу и два люка, но еще и командирскую башенку, аналогичную той, что на заводе №183 спроектировали для трехместной башни Т-34. Без «ступеньки» в лобовой части корпуса обойтись не удалось, но от сомнительной идеи установки в верхнем лобовом листе курсовых пулеметов создатели САУ отказались.</w:t>
      </w:r>
    </w:p>
    <w:p w14:paraId="7ED7334E" w14:textId="77777777" w:rsidR="00B64EA8" w:rsidRPr="00722885" w:rsidRDefault="00B64EA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проектную группу, которая занялась ее разработкой, вошли специалисты, которые уже имели опыт проектирования САУ. Среди них оказались Н. В. Курин, Г. Ф. Ксюнин и К.Н. Ильин, которые работали над орудийными установками для штурмового танка КВ-7. Несмотря на то, что в постановлении ГКО №2429 были проставлены довольно жесткие сроки, проектирование У-35 затянулось.</w:t>
      </w:r>
    </w:p>
    <w:p w14:paraId="20D832BF" w14:textId="77777777" w:rsidR="00B64EA8" w:rsidRPr="00722885" w:rsidRDefault="00B64EA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Кроме того, толщина верхнего лобового листа увеличилась до 60 мм. Более удачной получилась бронировка артиллерийской системы, теперь она позволяла наводить орудие на угол до 10 градусов влево и вправо. От идеи с нишей, в которой на ЗИК-11 размещались заряды, было решено отказаться. Переработаным оказалось и орудие: в частности, появилось ограждение и лоток, сделанный по типу СГ-122.</w:t>
      </w:r>
    </w:p>
    <w:p w14:paraId="211F8329" w14:textId="77777777" w:rsidR="00B64EA8" w:rsidRPr="00722885" w:rsidRDefault="00B64EA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29 октября 1942 года Артком ГАУ утвердил программу полигонных испытаний опытного образца самоходной установки. На практике сроки изготовления У-35 выглядели крайне оптимистичными. По состоянию на 28 ноября машина все еще находилась в состоянии сборки, завершение постройки ожидалось в первых числах декабря. В ГАУ считали причиной такого положения «отсутствие должного внимания к этой работе со стороны дирекции завода». На деле УЗТМ и смежные с ним предприятия и без того оказались перегружены работой. К слову, завод №592, который строил аналогичную по назначению САУ СГ-2, также опаздывал (17679).</w:t>
      </w:r>
    </w:p>
    <w:p w14:paraId="50F77118" w14:textId="77777777" w:rsidR="00B64EA8" w:rsidRPr="00722885" w:rsidRDefault="00B64EA8" w:rsidP="00722885">
      <w:pPr>
        <w:spacing w:after="0" w:line="240" w:lineRule="auto"/>
        <w:jc w:val="both"/>
        <w:rPr>
          <w:rFonts w:ascii="Times New Roman" w:hAnsi="Times New Roman"/>
          <w:color w:val="000000" w:themeColor="text1"/>
          <w:sz w:val="16"/>
          <w:szCs w:val="16"/>
        </w:rPr>
      </w:pPr>
    </w:p>
    <w:p w14:paraId="3FBA7E36" w14:textId="77777777" w:rsidR="00B64EA8" w:rsidRPr="00722885" w:rsidRDefault="00B64EA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состоянию на конец ноября 1942 года работы по ГАЗ-73 перешли в другое русло: теперь машину начали проектировать на базе шасси ГАЗ-71. Вместо форсированных моторов ГАЗ предполагалось использовать двигатели ЗИС-16. Последние упоминания этой машины датированы 29 ноября 1942 года, далее работы были остановлены.</w:t>
      </w:r>
    </w:p>
    <w:p w14:paraId="7088A4F2" w14:textId="77777777" w:rsidR="00B64EA8" w:rsidRPr="00722885" w:rsidRDefault="00B64EA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Никаких проектных изображений этой машины не сохранилось, но в целом она должна была напоминать самоходную установку </w:t>
      </w:r>
      <w:hyperlink r:id="rId175" w:history="1">
        <w:r w:rsidRPr="00722885">
          <w:rPr>
            <w:rFonts w:ascii="Times New Roman" w:eastAsia="Times New Roman" w:hAnsi="Times New Roman"/>
            <w:color w:val="000000" w:themeColor="text1"/>
            <w:sz w:val="16"/>
            <w:szCs w:val="16"/>
            <w:lang w:eastAsia="ru-RU"/>
          </w:rPr>
          <w:t>ИС-10</w:t>
        </w:r>
      </w:hyperlink>
      <w:r w:rsidRPr="00722885">
        <w:rPr>
          <w:rFonts w:ascii="Times New Roman" w:eastAsia="Times New Roman" w:hAnsi="Times New Roman"/>
          <w:color w:val="000000" w:themeColor="text1"/>
          <w:sz w:val="16"/>
          <w:szCs w:val="16"/>
          <w:lang w:eastAsia="ru-RU"/>
        </w:rPr>
        <w:t>, которую разработали в КБ завода № 92. На ГАЗ достаточно быстро поняли, что подобная концепция лишена смысла. Дальше проектных работ дело не продвинулось. Выяснилось, что для нормального размещения орудия необходимо поднимать высоту машины на 20 см. Боевое отделение при этом всё равно получалось маленьким, а огневая манёвренность и скорострельность оказывались низкими (17690).</w:t>
      </w:r>
    </w:p>
    <w:p w14:paraId="452CD51F" w14:textId="77777777" w:rsidR="00B64EA8" w:rsidRPr="00722885" w:rsidRDefault="00B64EA8" w:rsidP="00722885">
      <w:pPr>
        <w:spacing w:after="0" w:line="240" w:lineRule="auto"/>
        <w:jc w:val="both"/>
        <w:rPr>
          <w:rFonts w:ascii="Times New Roman" w:hAnsi="Times New Roman"/>
          <w:color w:val="000000" w:themeColor="text1"/>
          <w:sz w:val="16"/>
          <w:szCs w:val="16"/>
        </w:rPr>
      </w:pPr>
    </w:p>
    <w:p w14:paraId="63F8CDD1" w14:textId="77777777" w:rsidR="00F1597F" w:rsidRPr="00722885" w:rsidRDefault="00F1597F" w:rsidP="00722885">
      <w:pPr>
        <w:pStyle w:val="162"/>
        <w:shd w:val="clear" w:color="auto" w:fill="auto"/>
        <w:spacing w:line="240" w:lineRule="auto"/>
        <w:jc w:val="both"/>
        <w:rPr>
          <w:rFonts w:eastAsia="Calibri"/>
          <w:color w:val="000000" w:themeColor="text1"/>
          <w:sz w:val="16"/>
          <w:szCs w:val="16"/>
        </w:rPr>
      </w:pPr>
      <w:r w:rsidRPr="00722885">
        <w:rPr>
          <w:rFonts w:eastAsia="Calibri"/>
          <w:color w:val="000000" w:themeColor="text1"/>
          <w:sz w:val="16"/>
          <w:szCs w:val="16"/>
        </w:rPr>
        <w:t>К концу ноября 1942 года первые 4 образца бронесаней были изготовлены на заводе № 180, работы курировал старший конструк</w:t>
      </w:r>
      <w:r w:rsidRPr="00722885">
        <w:rPr>
          <w:rFonts w:eastAsia="Calibri"/>
          <w:color w:val="000000" w:themeColor="text1"/>
          <w:sz w:val="16"/>
          <w:szCs w:val="16"/>
        </w:rPr>
        <w:softHyphen/>
        <w:t>тор НАТИ Гаранов, один из их авторов. Сани были выпущены в двух вариантах, отличавшихся друг от друга конструкцией сцепного устрой</w:t>
      </w:r>
      <w:r w:rsidRPr="00722885">
        <w:rPr>
          <w:rFonts w:eastAsia="Calibri"/>
          <w:color w:val="000000" w:themeColor="text1"/>
          <w:sz w:val="16"/>
          <w:szCs w:val="16"/>
        </w:rPr>
        <w:softHyphen/>
        <w:t>ства. Первый вариант устройства оснащался крюками, второй рыма</w:t>
      </w:r>
      <w:r w:rsidRPr="00722885">
        <w:rPr>
          <w:rFonts w:eastAsia="Calibri"/>
          <w:color w:val="000000" w:themeColor="text1"/>
          <w:sz w:val="16"/>
          <w:szCs w:val="16"/>
        </w:rPr>
        <w:softHyphen/>
        <w:t>ми. По результатам заводских испытаний 27 ноября на заводе прошло техническое совещание, по которому было принято решение о внесе</w:t>
      </w:r>
      <w:r w:rsidRPr="00722885">
        <w:rPr>
          <w:rFonts w:eastAsia="Calibri"/>
          <w:color w:val="000000" w:themeColor="text1"/>
          <w:sz w:val="16"/>
          <w:szCs w:val="16"/>
        </w:rPr>
        <w:softHyphen/>
        <w:t>нии в конструкцию саней ряда изменений. Лыжи удлинялись в перед</w:t>
      </w:r>
      <w:r w:rsidRPr="00722885">
        <w:rPr>
          <w:rFonts w:eastAsia="Calibri"/>
          <w:color w:val="000000" w:themeColor="text1"/>
          <w:sz w:val="16"/>
          <w:szCs w:val="16"/>
        </w:rPr>
        <w:softHyphen/>
        <w:t>ней и задней части, переделывалась конструкция сцепных устройств, усиливались задние рымы. Позднее Гаранов был направлен на ГАЗ им. Молтова, где также участвовал в подготовке производства бронеса</w:t>
      </w:r>
      <w:r w:rsidRPr="00722885">
        <w:rPr>
          <w:rFonts w:eastAsia="Calibri"/>
          <w:color w:val="000000" w:themeColor="text1"/>
          <w:sz w:val="16"/>
          <w:szCs w:val="16"/>
        </w:rPr>
        <w:softHyphen/>
        <w:t>ней. Первые образцы БП-60 были готовы в Горьком к январю 1943 года.</w:t>
      </w:r>
    </w:p>
    <w:p w14:paraId="5AFCB6AC" w14:textId="77777777" w:rsidR="00F1597F" w:rsidRPr="00722885" w:rsidRDefault="00F1597F"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Согласно первоначальной программе испытаний, бронесани испытывались ездой за танком (25 километров по шоссе и 25 километров по целине), кроме того, планировались тактические учения с исполь</w:t>
      </w:r>
      <w:r w:rsidRPr="00722885">
        <w:rPr>
          <w:rFonts w:eastAsia="Calibri"/>
          <w:color w:val="000000" w:themeColor="text1"/>
          <w:sz w:val="16"/>
          <w:szCs w:val="16"/>
        </w:rPr>
        <w:softHyphen/>
        <w:t>зованием трех экземпляров бронесаней для определения возможности их использования как бронированных огневых точек. По факту же ис</w:t>
      </w:r>
      <w:r w:rsidRPr="00722885">
        <w:rPr>
          <w:rFonts w:eastAsia="Calibri"/>
          <w:color w:val="000000" w:themeColor="text1"/>
          <w:sz w:val="16"/>
          <w:szCs w:val="16"/>
        </w:rPr>
        <w:softHyphen/>
        <w:t>пытания, проведенные 13—14 января 1943 года на полигоне НИИБТ в Кубинке, пришлось проводить по сокращенной программе. В ходе определения наименьшего радиуса разворота, дышла оказались по</w:t>
      </w:r>
      <w:r w:rsidRPr="00722885">
        <w:rPr>
          <w:rFonts w:eastAsia="Calibri"/>
          <w:color w:val="000000" w:themeColor="text1"/>
          <w:sz w:val="16"/>
          <w:szCs w:val="16"/>
        </w:rPr>
        <w:softHyphen/>
        <w:t>гнуты. Удалось произвести два контрольных выезда: в первом, про</w:t>
      </w:r>
      <w:r w:rsidRPr="00722885">
        <w:rPr>
          <w:rFonts w:eastAsia="Calibri"/>
          <w:color w:val="000000" w:themeColor="text1"/>
          <w:sz w:val="16"/>
          <w:szCs w:val="16"/>
        </w:rPr>
        <w:softHyphen/>
        <w:t>тяженностью 5 километров, участвовали двое бронесаней, во втором, протяженностью 3 километра — одни бронесани, в обоих случаях сани буксировались с полным десантом. Бронесани уверенно буксировались за Т-34 как в одиночку, так и парой со средней скоростью 25 км/ч по шоссе и 20 км/ч по снежной целине (толщина снежного покрова достигала 400 мм). В ходе испытаний выяснилось, что с радиусом пово</w:t>
      </w:r>
      <w:r w:rsidRPr="00722885">
        <w:rPr>
          <w:rFonts w:eastAsia="Calibri"/>
          <w:color w:val="000000" w:themeColor="text1"/>
          <w:sz w:val="16"/>
          <w:szCs w:val="16"/>
        </w:rPr>
        <w:softHyphen/>
        <w:t>рота меньше 20 метров начинает гнуться дышло и начинают отрывать</w:t>
      </w:r>
      <w:r w:rsidRPr="00722885">
        <w:rPr>
          <w:rFonts w:eastAsia="Calibri"/>
          <w:color w:val="000000" w:themeColor="text1"/>
          <w:sz w:val="16"/>
          <w:szCs w:val="16"/>
        </w:rPr>
        <w:softHyphen/>
        <w:t>ся буксирные крюки.</w:t>
      </w:r>
    </w:p>
    <w:p w14:paraId="2BF8C5F8" w14:textId="77777777" w:rsidR="00F1597F" w:rsidRPr="00722885" w:rsidRDefault="00F1597F" w:rsidP="00722885">
      <w:pPr>
        <w:pStyle w:val="162"/>
        <w:shd w:val="clear" w:color="auto" w:fill="auto"/>
        <w:spacing w:line="240" w:lineRule="auto"/>
        <w:jc w:val="both"/>
        <w:rPr>
          <w:rFonts w:eastAsia="Calibri"/>
          <w:color w:val="000000" w:themeColor="text1"/>
          <w:sz w:val="16"/>
          <w:szCs w:val="16"/>
        </w:rPr>
      </w:pPr>
      <w:r w:rsidRPr="00722885">
        <w:rPr>
          <w:rFonts w:eastAsia="Calibri"/>
          <w:color w:val="000000" w:themeColor="text1"/>
          <w:sz w:val="16"/>
          <w:szCs w:val="16"/>
        </w:rPr>
        <w:t>Во время испытаний десант из 10 человек с личным оружием за</w:t>
      </w:r>
      <w:r w:rsidRPr="00722885">
        <w:rPr>
          <w:rFonts w:eastAsia="Calibri"/>
          <w:color w:val="000000" w:themeColor="text1"/>
          <w:sz w:val="16"/>
          <w:szCs w:val="16"/>
        </w:rPr>
        <w:softHyphen/>
        <w:t>нимал бронесани за 20—25 секунд, высадка занимала 30—35 секунд. Конструкцию задних десантных люков с петлями сбоку признали не очень удобной и рекомендовали переделать. Внутри десант раз</w:t>
      </w:r>
      <w:r w:rsidRPr="00722885">
        <w:rPr>
          <w:rFonts w:eastAsia="Calibri"/>
          <w:color w:val="000000" w:themeColor="text1"/>
          <w:sz w:val="16"/>
          <w:szCs w:val="16"/>
        </w:rPr>
        <w:softHyphen/>
        <w:t>мещался прямо на полу (скамьи ввиду небольшой высоты корпуса Т-60 не были предусмотрены), что вызывало немало неудобств, од</w:t>
      </w:r>
      <w:r w:rsidRPr="00722885">
        <w:rPr>
          <w:rFonts w:eastAsia="Calibri"/>
          <w:color w:val="000000" w:themeColor="text1"/>
          <w:sz w:val="16"/>
          <w:szCs w:val="16"/>
        </w:rPr>
        <w:softHyphen/>
        <w:t>нако при движении излишней тряски не ощущалось. По результа</w:t>
      </w:r>
      <w:r w:rsidRPr="00722885">
        <w:rPr>
          <w:rFonts w:eastAsia="Calibri"/>
          <w:color w:val="000000" w:themeColor="text1"/>
          <w:sz w:val="16"/>
          <w:szCs w:val="16"/>
        </w:rPr>
        <w:softHyphen/>
        <w:t>там испытаний стрельбу из бойниц, а также конструкцию крышек амбразур признали вполне удобной. Вместе с тем, во время движе</w:t>
      </w:r>
      <w:r w:rsidRPr="00722885">
        <w:rPr>
          <w:rFonts w:eastAsia="Calibri"/>
          <w:color w:val="000000" w:themeColor="text1"/>
          <w:sz w:val="16"/>
          <w:szCs w:val="16"/>
        </w:rPr>
        <w:softHyphen/>
        <w:t>ния по снежной целине и проселочным дорогам поднималось облако снежной пыли, делавшее невозможным прицельную стрельбу десан</w:t>
      </w:r>
      <w:r w:rsidRPr="00722885">
        <w:rPr>
          <w:rFonts w:eastAsia="Calibri"/>
          <w:color w:val="000000" w:themeColor="text1"/>
          <w:sz w:val="16"/>
          <w:szCs w:val="16"/>
        </w:rPr>
        <w:softHyphen/>
        <w:t>та из бойниц. Кроме того, испытания стрельбой выявили наличие мертвых зон обстрела из саней.</w:t>
      </w:r>
    </w:p>
    <w:p w14:paraId="01CF7AA3" w14:textId="77777777" w:rsidR="00F1597F" w:rsidRPr="00722885" w:rsidRDefault="00F1597F"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Несмотря на выявленные в ходе испытаний недостатки, общее за</w:t>
      </w:r>
      <w:r w:rsidRPr="00722885">
        <w:rPr>
          <w:rFonts w:eastAsia="Calibri"/>
          <w:color w:val="000000" w:themeColor="text1"/>
          <w:sz w:val="16"/>
          <w:szCs w:val="16"/>
        </w:rPr>
        <w:softHyphen/>
        <w:t>ключение по саням оказалось вполне положительным:</w:t>
      </w:r>
    </w:p>
    <w:p w14:paraId="0FA073E5" w14:textId="77777777" w:rsidR="00F1597F" w:rsidRPr="00722885" w:rsidRDefault="00F159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Представленные для испытаний бронесани могут быть использова</w:t>
      </w:r>
      <w:r w:rsidRPr="00722885">
        <w:rPr>
          <w:rFonts w:ascii="Times New Roman" w:hAnsi="Times New Roman"/>
          <w:color w:val="000000" w:themeColor="text1"/>
          <w:sz w:val="16"/>
          <w:szCs w:val="16"/>
        </w:rPr>
        <w:softHyphen/>
        <w:t>ны для переброски пехотного десанта в количестве 10 человек, а также как бронированные огневые точки при стрельбе с места.</w:t>
      </w:r>
    </w:p>
    <w:p w14:paraId="198ABFE9" w14:textId="77777777" w:rsidR="00F1597F" w:rsidRPr="00722885" w:rsidRDefault="00F1597F" w:rsidP="00722885">
      <w:pPr>
        <w:tabs>
          <w:tab w:val="left" w:pos="55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За танком Т-34 возможна одновременная буксировка двух броне</w:t>
      </w:r>
      <w:r w:rsidRPr="00722885">
        <w:rPr>
          <w:rFonts w:ascii="Times New Roman" w:hAnsi="Times New Roman"/>
          <w:color w:val="000000" w:themeColor="text1"/>
          <w:sz w:val="16"/>
          <w:szCs w:val="16"/>
        </w:rPr>
        <w:softHyphen/>
        <w:t>саней.</w:t>
      </w:r>
    </w:p>
    <w:p w14:paraId="7AF0FC19" w14:textId="77777777" w:rsidR="00F1597F" w:rsidRPr="00722885" w:rsidRDefault="00F1597F" w:rsidP="00722885">
      <w:pPr>
        <w:tabs>
          <w:tab w:val="left" w:pos="529"/>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Конструкция прицепного устройства позволяет производить отцеп</w:t>
      </w:r>
      <w:r w:rsidRPr="00722885">
        <w:rPr>
          <w:rFonts w:ascii="Times New Roman" w:hAnsi="Times New Roman"/>
          <w:color w:val="000000" w:themeColor="text1"/>
          <w:sz w:val="16"/>
          <w:szCs w:val="16"/>
        </w:rPr>
        <w:softHyphen/>
        <w:t>ку бронесаней на ходу.</w:t>
      </w:r>
    </w:p>
    <w:p w14:paraId="0A043C9A" w14:textId="77777777" w:rsidR="00F1597F" w:rsidRPr="00722885" w:rsidRDefault="00F1597F" w:rsidP="00722885">
      <w:pPr>
        <w:tabs>
          <w:tab w:val="left" w:pos="54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Прочность прицепного дышла не обеспечивает поворота бронесаней с радиусом менее 20 метров.</w:t>
      </w:r>
    </w:p>
    <w:p w14:paraId="5F959A9D" w14:textId="77777777" w:rsidR="00F1597F" w:rsidRPr="00722885" w:rsidRDefault="00F1597F" w:rsidP="00722885">
      <w:pPr>
        <w:tabs>
          <w:tab w:val="left" w:pos="54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09595B7F" w14:textId="77777777" w:rsidR="00F1597F" w:rsidRPr="00722885" w:rsidRDefault="00F1597F"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Таким образом, наконец серийному производству бронесаней был дан зеленый свет. Производство саней из корпусов Т-60 началось на ГАЗ в конце января 1943 года, в январе же начался выпуск саней и в Са</w:t>
      </w:r>
      <w:r w:rsidRPr="00722885">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722885">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4417BE2D" w14:textId="77777777" w:rsidR="00F1597F" w:rsidRPr="00722885" w:rsidRDefault="00F1597F"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722885">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722885">
        <w:rPr>
          <w:rFonts w:eastAsia="Calibri"/>
          <w:color w:val="000000" w:themeColor="text1"/>
          <w:sz w:val="16"/>
          <w:szCs w:val="16"/>
        </w:rPr>
        <w:softHyphen/>
        <w:t>де № 180 оценивается в районе 300 штук (17485).</w:t>
      </w:r>
    </w:p>
    <w:p w14:paraId="5DE7902C" w14:textId="77777777" w:rsidR="00F1597F" w:rsidRPr="00722885" w:rsidRDefault="00F1597F" w:rsidP="00722885">
      <w:pPr>
        <w:pStyle w:val="a3"/>
        <w:rPr>
          <w:color w:val="000000" w:themeColor="text1"/>
          <w:lang w:val="ru-RU"/>
        </w:rPr>
      </w:pPr>
    </w:p>
    <w:p w14:paraId="1792E14C" w14:textId="77777777" w:rsidR="00B64EA8" w:rsidRPr="00722885" w:rsidRDefault="00B64EA8" w:rsidP="00722885">
      <w:pPr>
        <w:pStyle w:val="ae"/>
        <w:shd w:val="clear" w:color="auto" w:fill="FFFFFF"/>
        <w:spacing w:before="0" w:after="0"/>
        <w:jc w:val="both"/>
        <w:rPr>
          <w:color w:val="000000" w:themeColor="text1"/>
          <w:sz w:val="16"/>
          <w:szCs w:val="16"/>
        </w:rPr>
      </w:pPr>
      <w:r w:rsidRPr="00722885">
        <w:rPr>
          <w:color w:val="000000" w:themeColor="text1"/>
          <w:sz w:val="16"/>
          <w:szCs w:val="16"/>
        </w:rPr>
        <w:lastRenderedPageBreak/>
        <w:t>К концу ноября 1942 года на заводе №180 первые 4 образца бронесаней были изготовлены. Работы курировал старший конструктор НАТИ Гаранов, один из авторов проекта. Сани были выпущены в двух вариантах, отличавшихся друг от друга конструкцией сцепного устройства. Первый вариант устройства оснащался крюками, второй — рымами. По результатам заводских испытаний 27 ноября на заводе прошло техническое совещание, по которому было принято решение о внесении в конструкцию саней ряда изменений. Лыжи удлинялись в передней и задней частях, переделывалась конструкция сцепных устройств, усиливались задние рымы. Позднее Гаранов был направлен на ГАЗ им. Молотова, где также участвовал в подготовке производства бронесаней. Первые образцы БП-60 были готовы в Горьком к январю 1943 года (17711).</w:t>
      </w:r>
    </w:p>
    <w:p w14:paraId="78D9D701" w14:textId="77777777" w:rsidR="00B64EA8" w:rsidRPr="00722885" w:rsidRDefault="00B64EA8" w:rsidP="00722885">
      <w:pPr>
        <w:spacing w:after="0" w:line="240" w:lineRule="auto"/>
        <w:jc w:val="both"/>
        <w:rPr>
          <w:rFonts w:ascii="Times New Roman" w:hAnsi="Times New Roman"/>
          <w:color w:val="000000" w:themeColor="text1"/>
          <w:sz w:val="16"/>
          <w:szCs w:val="16"/>
        </w:rPr>
      </w:pPr>
    </w:p>
    <w:p w14:paraId="581A3C9F"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19471F6" w14:textId="77777777" w:rsidR="00090C9B" w:rsidRPr="00722885" w:rsidRDefault="00090C9B" w:rsidP="00722885">
      <w:pPr>
        <w:pStyle w:val="Iauiue"/>
        <w:jc w:val="both"/>
        <w:rPr>
          <w:iCs/>
          <w:color w:val="000000" w:themeColor="text1"/>
          <w:sz w:val="16"/>
          <w:szCs w:val="16"/>
        </w:rPr>
      </w:pPr>
    </w:p>
    <w:p w14:paraId="36E4A7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ноября 1942 г. Sen.G.I была спешно переброшена на средний Дон. К этому времени 5. и б./Sch.G.l уже были отозваны с Восточного фронта для восполнения потерь и перевооружения на новый Hsl29B-2, a 8./Sen.G.I успела сменить коней и пересесть на бронированные "хеншели". В составе Sen.G.I в общей сложности имелось два десятка Hsl29B-l/R2 и по десятку ВМ09Е-4/В и Hsl23 (8907).</w:t>
      </w:r>
    </w:p>
    <w:p w14:paraId="7D0687F0" w14:textId="77777777" w:rsidR="00090C9B" w:rsidRPr="00722885" w:rsidRDefault="00090C9B" w:rsidP="00722885">
      <w:pPr>
        <w:pStyle w:val="Iauiue"/>
        <w:jc w:val="both"/>
        <w:rPr>
          <w:color w:val="000000" w:themeColor="text1"/>
          <w:sz w:val="16"/>
          <w:szCs w:val="16"/>
        </w:rPr>
      </w:pPr>
    </w:p>
    <w:p w14:paraId="7E9A026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ноября 1942 г. «хеншели» Нз 129В-1/Й2, которые в конце сентября 1942 были выведены из боя и под руководством спе</w:t>
      </w:r>
      <w:r w:rsidRPr="00722885">
        <w:rPr>
          <w:rFonts w:ascii="Times New Roman" w:hAnsi="Times New Roman"/>
          <w:color w:val="000000" w:themeColor="text1"/>
          <w:sz w:val="16"/>
          <w:szCs w:val="16"/>
        </w:rPr>
        <w:softHyphen/>
        <w:t>циалистов инспекций генерального штаба люфтваффе приступили к усиленным тре</w:t>
      </w:r>
      <w:r w:rsidRPr="00722885">
        <w:rPr>
          <w:rFonts w:ascii="Times New Roman" w:hAnsi="Times New Roman"/>
          <w:color w:val="000000" w:themeColor="text1"/>
          <w:sz w:val="16"/>
          <w:szCs w:val="16"/>
        </w:rPr>
        <w:softHyphen/>
        <w:t>нировкам на полигоне стрельбой по маке</w:t>
      </w:r>
      <w:r w:rsidRPr="00722885">
        <w:rPr>
          <w:rFonts w:ascii="Times New Roman" w:hAnsi="Times New Roman"/>
          <w:color w:val="000000" w:themeColor="text1"/>
          <w:sz w:val="16"/>
          <w:szCs w:val="16"/>
        </w:rPr>
        <w:softHyphen/>
        <w:t>там советских танков и добились точности стрельбы на приемлемом уровне, вновь вернулись к боевым действиям.</w:t>
      </w:r>
    </w:p>
    <w:p w14:paraId="755A88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успешным контрнаступлением Красной Армии под Сталинградом для немецких войск созда</w:t>
      </w:r>
      <w:r w:rsidRPr="00722885">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722885">
        <w:rPr>
          <w:rFonts w:ascii="Times New Roman" w:hAnsi="Times New Roman"/>
          <w:color w:val="000000" w:themeColor="text1"/>
          <w:sz w:val="16"/>
          <w:szCs w:val="16"/>
        </w:rPr>
        <w:softHyphen/>
        <w:t>но переброшена на средний Дон.</w:t>
      </w:r>
    </w:p>
    <w:p w14:paraId="2D23215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37C2B16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31C18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ноября 1942 г. построили первый экземпляр ХР-63. На нём стоял мотор \/-1710-47 мощностью 1325 л.с. и четырёхлопастный воздушный винт. Несмотря на то, что вооружение на са-молёте полностью отсутствовало, еле- еле удалось вписаться в ограничения по взлётному весу, установленные задани-ем. Оно требовало вес не более 3405 кг, а реально получилось 3399 кг (некоторые источники указывают даже цифру 3416 кг). Истребитель впервые поднялся в воздух 7 декабря в Буффало. После очень крат-ких заводских испытаний машину пере-гнали на авиабазу Мюрок, где за неё взялись военные испытатели.</w:t>
      </w:r>
    </w:p>
    <w:p w14:paraId="27DD2D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Отзывы о самолёте были очень непло-хими. Уже в начале испытаний получили скорость 651 км/ч. Но досконально опре-делить данные истребителя не смогли - 28 января 1943 г. первый ХР-63 разбился. При заходе на посадку у него отказалось выпускаться шасси. Приземляться на «брюхо» с почти полными бензобаками летчик Дж. Вулэмс побоялся. Несколько часов он ходил по кругу, вырабатывая горючее. Пока «Кобра» кружилась над аэродромом, солнце село. Приземлять-ся Вулэмс стал уже в темноте. То ли он устал, то ли перенервничал, но в резуль-тате перепутал огни в начале полосы и в конце неё. На посадке самолёт врезался в рощицу небольших деревьев и был раз-бит вдребезги. Пилот, однако, вылез из обломков самостоятельно и существенно не пострадал (12265).</w:t>
      </w:r>
    </w:p>
    <w:p w14:paraId="6B15EE7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9ADE1F8" w14:textId="77777777" w:rsidR="00C35FD7" w:rsidRPr="00722885" w:rsidRDefault="00C35FD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конце но</w:t>
      </w:r>
      <w:r w:rsidRPr="00722885">
        <w:rPr>
          <w:rFonts w:ascii="Times New Roman" w:hAnsi="Times New Roman"/>
          <w:color w:val="0070C0"/>
          <w:sz w:val="16"/>
          <w:szCs w:val="16"/>
        </w:rPr>
        <w:softHyphen/>
        <w:t>ября 1942 г. была проведена серия налетов на фин</w:t>
      </w:r>
      <w:r w:rsidRPr="00722885">
        <w:rPr>
          <w:rFonts w:ascii="Times New Roman" w:hAnsi="Times New Roman"/>
          <w:color w:val="0070C0"/>
          <w:sz w:val="16"/>
          <w:szCs w:val="16"/>
        </w:rPr>
        <w:softHyphen/>
        <w:t>скую столицу. Ночью 22 ноября четыре ДБ-3 из 1-го МТАП бомбили восточную часть Хельсинки, сбросив три ФАБ-1000, три ФАБ-500 и две ФАБ-100. Еще один само</w:t>
      </w:r>
      <w:r w:rsidRPr="00722885">
        <w:rPr>
          <w:rFonts w:ascii="Times New Roman" w:hAnsi="Times New Roman"/>
          <w:color w:val="0070C0"/>
          <w:sz w:val="16"/>
          <w:szCs w:val="16"/>
        </w:rPr>
        <w:softHyphen/>
        <w:t>лет из-за проблем с двигателями до ос</w:t>
      </w:r>
      <w:r w:rsidRPr="00722885">
        <w:rPr>
          <w:rFonts w:ascii="Times New Roman" w:hAnsi="Times New Roman"/>
          <w:color w:val="0070C0"/>
          <w:sz w:val="16"/>
          <w:szCs w:val="16"/>
        </w:rPr>
        <w:softHyphen/>
        <w:t>новной цели не дошел и сбросил свою «тоннку» на порт Котка. Налеты продол</w:t>
      </w:r>
      <w:r w:rsidRPr="00722885">
        <w:rPr>
          <w:rFonts w:ascii="Times New Roman" w:hAnsi="Times New Roman"/>
          <w:color w:val="0070C0"/>
          <w:sz w:val="16"/>
          <w:szCs w:val="16"/>
        </w:rPr>
        <w:softHyphen/>
        <w:t>жались до 28 ноября. В ту ночь стояла не</w:t>
      </w:r>
      <w:r w:rsidRPr="00722885">
        <w:rPr>
          <w:rFonts w:ascii="Times New Roman" w:hAnsi="Times New Roman"/>
          <w:color w:val="0070C0"/>
          <w:sz w:val="16"/>
          <w:szCs w:val="16"/>
        </w:rPr>
        <w:softHyphen/>
        <w:t>погода и полностью отсутствовала види</w:t>
      </w:r>
      <w:r w:rsidRPr="00722885">
        <w:rPr>
          <w:rFonts w:ascii="Times New Roman" w:hAnsi="Times New Roman"/>
          <w:color w:val="0070C0"/>
          <w:sz w:val="16"/>
          <w:szCs w:val="16"/>
        </w:rPr>
        <w:softHyphen/>
        <w:t>мость, что не помешало одиночному ДБ-3 добраться до Хельсинки и сбросить по расчету времени две ФАБ-250 (19944).</w:t>
      </w:r>
    </w:p>
    <w:p w14:paraId="4EC2CA60" w14:textId="77777777" w:rsidR="00C35FD7" w:rsidRPr="00722885" w:rsidRDefault="00C35FD7" w:rsidP="00722885">
      <w:pPr>
        <w:spacing w:after="0" w:line="240" w:lineRule="auto"/>
        <w:jc w:val="both"/>
        <w:rPr>
          <w:rFonts w:ascii="Times New Roman" w:hAnsi="Times New Roman"/>
          <w:color w:val="0070C0"/>
          <w:sz w:val="16"/>
          <w:szCs w:val="16"/>
        </w:rPr>
      </w:pPr>
    </w:p>
    <w:p w14:paraId="436B160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ноября 1942 из Ирана в Баку на транспортных самолетах прибыли первые французские л - 14 + 58 механиков (455,157).</w:t>
      </w:r>
    </w:p>
    <w:p w14:paraId="7E39555F" w14:textId="77777777" w:rsidR="00090C9B" w:rsidRPr="00722885" w:rsidRDefault="00090C9B" w:rsidP="00722885">
      <w:pPr>
        <w:pStyle w:val="Iauiue"/>
        <w:jc w:val="both"/>
        <w:rPr>
          <w:color w:val="000000" w:themeColor="text1"/>
          <w:sz w:val="16"/>
          <w:szCs w:val="16"/>
        </w:rPr>
      </w:pPr>
    </w:p>
    <w:p w14:paraId="788D123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конце ноября 1942 г. финские И-153 вошли в состав эскадрильи LeLv30 с местом базирования в Ромпотти (примерно в 100 км северозападнее Ленинграда), здесь они непродолжительное время взаимодействовали с шестеркой истребителей Фоккер D.XXI. Основной боевой задачей по-прежнему оставалась разведка побережья и прояснение обстановки вокруг островов в Финском заливе (6592).</w:t>
      </w:r>
    </w:p>
    <w:p w14:paraId="5701FB17" w14:textId="77777777" w:rsidR="00090C9B" w:rsidRPr="00722885" w:rsidRDefault="00090C9B" w:rsidP="00722885">
      <w:pPr>
        <w:pStyle w:val="Iauiue"/>
        <w:jc w:val="both"/>
        <w:rPr>
          <w:color w:val="000000" w:themeColor="text1"/>
          <w:sz w:val="16"/>
          <w:szCs w:val="16"/>
        </w:rPr>
      </w:pPr>
    </w:p>
    <w:p w14:paraId="020A731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5EE8CCD" w14:textId="77777777" w:rsidR="00090C9B" w:rsidRPr="00722885" w:rsidRDefault="00090C9B" w:rsidP="00722885">
      <w:pPr>
        <w:pStyle w:val="Iauiue"/>
        <w:jc w:val="both"/>
        <w:rPr>
          <w:iCs/>
          <w:color w:val="000000" w:themeColor="text1"/>
          <w:sz w:val="16"/>
          <w:szCs w:val="16"/>
        </w:rPr>
      </w:pPr>
    </w:p>
    <w:p w14:paraId="1E07E81E" w14:textId="77777777" w:rsidR="00C35FD7" w:rsidRPr="00722885" w:rsidRDefault="00C35FD7"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lang w:val="ru-RU"/>
        </w:rPr>
        <w:t>В</w:t>
      </w:r>
      <w:r w:rsidRPr="00722885">
        <w:rPr>
          <w:rFonts w:ascii="Times New Roman" w:hAnsi="Times New Roman" w:cs="Times New Roman"/>
          <w:color w:val="0070C0"/>
          <w:w w:val="100"/>
          <w:sz w:val="16"/>
          <w:szCs w:val="16"/>
        </w:rPr>
        <w:t xml:space="preserve"> ноябре 1942 г. при отстреле в воздухе на заводе №18 67 ВУБ-3 производства завода №32 на 25 из них фиксировались не устранимые в воздухе задержки при стрельбе, причем 18 - из-за дефектов установки. На приведение ВУБ-3 в боевое состояние у специалистов по вооруже</w:t>
      </w:r>
      <w:r w:rsidRPr="00722885">
        <w:rPr>
          <w:rFonts w:ascii="Times New Roman" w:hAnsi="Times New Roman" w:cs="Times New Roman"/>
          <w:color w:val="0070C0"/>
          <w:w w:val="100"/>
          <w:sz w:val="16"/>
          <w:szCs w:val="16"/>
        </w:rPr>
        <w:softHyphen/>
        <w:t>нию (как самолетных, так и агрегатных заво</w:t>
      </w:r>
      <w:r w:rsidRPr="00722885">
        <w:rPr>
          <w:rFonts w:ascii="Times New Roman" w:hAnsi="Times New Roman" w:cs="Times New Roman"/>
          <w:color w:val="0070C0"/>
          <w:w w:val="100"/>
          <w:sz w:val="16"/>
          <w:szCs w:val="16"/>
        </w:rPr>
        <w:softHyphen/>
        <w:t>дов по авиавооружению) уходило много вре</w:t>
      </w:r>
      <w:r w:rsidRPr="00722885">
        <w:rPr>
          <w:rFonts w:ascii="Times New Roman" w:hAnsi="Times New Roman" w:cs="Times New Roman"/>
          <w:color w:val="0070C0"/>
          <w:w w:val="100"/>
          <w:sz w:val="16"/>
          <w:szCs w:val="16"/>
        </w:rPr>
        <w:softHyphen/>
        <w:t>мени и сил, не считая затраченных нервов ру</w:t>
      </w:r>
      <w:r w:rsidRPr="00722885">
        <w:rPr>
          <w:rFonts w:ascii="Times New Roman" w:hAnsi="Times New Roman" w:cs="Times New Roman"/>
          <w:color w:val="0070C0"/>
          <w:w w:val="100"/>
          <w:sz w:val="16"/>
          <w:szCs w:val="16"/>
        </w:rPr>
        <w:softHyphen/>
        <w:t>ководителей всех уровней, ведь фронт требо</w:t>
      </w:r>
      <w:r w:rsidRPr="00722885">
        <w:rPr>
          <w:rFonts w:ascii="Times New Roman" w:hAnsi="Times New Roman" w:cs="Times New Roman"/>
          <w:color w:val="0070C0"/>
          <w:w w:val="100"/>
          <w:sz w:val="16"/>
          <w:szCs w:val="16"/>
        </w:rPr>
        <w:softHyphen/>
        <w:t>вал двухместные Ил-2 незамедлительно, что называется, еще вчера. Поэтому параллельно с внедрением в серию ВУБ-3 на многих заводах НКАП приступили к созданию более совер</w:t>
      </w:r>
      <w:r w:rsidRPr="00722885">
        <w:rPr>
          <w:rFonts w:ascii="Times New Roman" w:hAnsi="Times New Roman" w:cs="Times New Roman"/>
          <w:color w:val="0070C0"/>
          <w:w w:val="100"/>
          <w:sz w:val="16"/>
          <w:szCs w:val="16"/>
        </w:rPr>
        <w:softHyphen/>
        <w:t>шенных образцов оборонительных установок под пулемет УБТ для Ил-2 с воздушным стрел</w:t>
      </w:r>
      <w:r w:rsidRPr="00722885">
        <w:rPr>
          <w:rFonts w:ascii="Times New Roman" w:hAnsi="Times New Roman" w:cs="Times New Roman"/>
          <w:color w:val="0070C0"/>
          <w:w w:val="100"/>
          <w:sz w:val="16"/>
          <w:szCs w:val="16"/>
        </w:rPr>
        <w:softHyphen/>
        <w:t>ком.</w:t>
      </w:r>
    </w:p>
    <w:p w14:paraId="306096D9" w14:textId="77777777" w:rsidR="00C35FD7" w:rsidRPr="00722885" w:rsidRDefault="00C35FD7"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Style w:val="16"/>
          <w:rFonts w:ascii="Times New Roman" w:hAnsi="Times New Roman" w:cs="Times New Roman"/>
          <w:color w:val="0070C0"/>
          <w:spacing w:val="0"/>
          <w:w w:val="100"/>
          <w:u w:val="none"/>
        </w:rPr>
        <w:t>С появлением в строевых частях двух</w:t>
      </w:r>
      <w:r w:rsidRPr="00722885">
        <w:rPr>
          <w:rStyle w:val="16"/>
          <w:rFonts w:ascii="Times New Roman" w:hAnsi="Times New Roman" w:cs="Times New Roman"/>
          <w:color w:val="0070C0"/>
          <w:spacing w:val="0"/>
          <w:w w:val="100"/>
          <w:u w:val="none"/>
        </w:rPr>
        <w:softHyphen/>
        <w:t>местных вариантов Ил-2 с оборонительным пулеметом УБТ техническому составу и специ</w:t>
      </w:r>
      <w:r w:rsidRPr="00722885">
        <w:rPr>
          <w:rStyle w:val="16"/>
          <w:rFonts w:ascii="Times New Roman" w:hAnsi="Times New Roman" w:cs="Times New Roman"/>
          <w:color w:val="0070C0"/>
          <w:spacing w:val="0"/>
          <w:w w:val="100"/>
          <w:u w:val="none"/>
        </w:rPr>
        <w:softHyphen/>
        <w:t>алистам по вооружению полков хлопот резко прибавилось. Так, уже после 5-10 посадок двухместного Ил-2 (особенно первых серий) на полевые аэродромы в средней части полу</w:t>
      </w:r>
      <w:r w:rsidRPr="00722885">
        <w:rPr>
          <w:rStyle w:val="16"/>
          <w:rFonts w:ascii="Times New Roman" w:hAnsi="Times New Roman" w:cs="Times New Roman"/>
          <w:color w:val="0070C0"/>
          <w:spacing w:val="0"/>
          <w:w w:val="100"/>
          <w:u w:val="none"/>
        </w:rPr>
        <w:softHyphen/>
        <w:t>кольца установки ВУБ-3 появлялись трещины. Приходилось в срочном порядке заменять турель и усиливать фюзеляж в районе выреза под кабину стрелка.</w:t>
      </w:r>
    </w:p>
    <w:p w14:paraId="0487D568" w14:textId="77777777" w:rsidR="00C35FD7" w:rsidRPr="00722885" w:rsidRDefault="00C35FD7"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Style w:val="16"/>
          <w:rFonts w:ascii="Times New Roman" w:hAnsi="Times New Roman" w:cs="Times New Roman"/>
          <w:color w:val="0070C0"/>
          <w:spacing w:val="0"/>
          <w:w w:val="100"/>
          <w:u w:val="none"/>
        </w:rPr>
        <w:t>Наблюдалось также такое массовое явле</w:t>
      </w:r>
      <w:r w:rsidRPr="00722885">
        <w:rPr>
          <w:rStyle w:val="16"/>
          <w:rFonts w:ascii="Times New Roman" w:hAnsi="Times New Roman" w:cs="Times New Roman"/>
          <w:color w:val="0070C0"/>
          <w:spacing w:val="0"/>
          <w:w w:val="100"/>
          <w:u w:val="none"/>
        </w:rPr>
        <w:softHyphen/>
        <w:t>ние, как срыв в полете фонаря стрелка из-за конструктивного дефекта его замка. В воздухе даже без маневрирования самолета замок са</w:t>
      </w:r>
      <w:r w:rsidRPr="00722885">
        <w:rPr>
          <w:rStyle w:val="16"/>
          <w:rFonts w:ascii="Times New Roman" w:hAnsi="Times New Roman" w:cs="Times New Roman"/>
          <w:color w:val="0070C0"/>
          <w:spacing w:val="0"/>
          <w:w w:val="100"/>
          <w:u w:val="none"/>
        </w:rPr>
        <w:softHyphen/>
        <w:t>мопроизвольно открывался и фонарь срывало. Кроме того, отмечалось:</w:t>
      </w:r>
      <w:r w:rsidRPr="00722885">
        <w:rPr>
          <w:rStyle w:val="800"/>
          <w:rFonts w:ascii="Times New Roman" w:hAnsi="Times New Roman" w:cs="Times New Roman"/>
          <w:i w:val="0"/>
          <w:iCs w:val="0"/>
          <w:color w:val="0070C0"/>
          <w:w w:val="100"/>
          <w:sz w:val="16"/>
          <w:szCs w:val="16"/>
        </w:rPr>
        <w:t xml:space="preserve"> «...При существующей конструкции замка фонаря, стрелок, во время стрельбы с левого борта, задевает за ручку замка и открывает его, что приводит к срыву фонаря встречным потоком воздуха».</w:t>
      </w:r>
      <w:r w:rsidRPr="00722885">
        <w:rPr>
          <w:rStyle w:val="16"/>
          <w:rFonts w:ascii="Times New Roman" w:hAnsi="Times New Roman" w:cs="Times New Roman"/>
          <w:color w:val="0070C0"/>
          <w:spacing w:val="0"/>
          <w:w w:val="100"/>
          <w:u w:val="none"/>
        </w:rPr>
        <w:t xml:space="preserve"> Стрелки при этом довольно часто получали ранения. Более того, из-за отсутствия привязных рем</w:t>
      </w:r>
      <w:r w:rsidRPr="00722885">
        <w:rPr>
          <w:rStyle w:val="16"/>
          <w:rFonts w:ascii="Times New Roman" w:hAnsi="Times New Roman" w:cs="Times New Roman"/>
          <w:color w:val="0070C0"/>
          <w:spacing w:val="0"/>
          <w:w w:val="100"/>
          <w:u w:val="none"/>
        </w:rPr>
        <w:softHyphen/>
        <w:t>ней фиксировались случаи, когда «при резких эволюциях самолета, стрелка выбрасывает из кабины».</w:t>
      </w:r>
    </w:p>
    <w:p w14:paraId="6A12B0B3" w14:textId="77777777" w:rsidR="00C35FD7" w:rsidRPr="00722885" w:rsidRDefault="00C35FD7"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Style w:val="16"/>
          <w:rFonts w:ascii="Times New Roman" w:hAnsi="Times New Roman" w:cs="Times New Roman"/>
          <w:color w:val="0070C0"/>
          <w:spacing w:val="0"/>
          <w:w w:val="100"/>
          <w:u w:val="none"/>
        </w:rPr>
        <w:t>Чтобы обеспечить прицельную стрельбу вправо при углах поворота установки 20-23°, в частях своими силами монтировали дубли</w:t>
      </w:r>
      <w:r w:rsidRPr="00722885">
        <w:rPr>
          <w:rStyle w:val="16"/>
          <w:rFonts w:ascii="Times New Roman" w:hAnsi="Times New Roman" w:cs="Times New Roman"/>
          <w:color w:val="0070C0"/>
          <w:spacing w:val="0"/>
          <w:w w:val="100"/>
          <w:u w:val="none"/>
        </w:rPr>
        <w:softHyphen/>
        <w:t>рующий механический прицел на правой стороне пулемета. Устанавливали и кустар</w:t>
      </w:r>
      <w:r w:rsidRPr="00722885">
        <w:rPr>
          <w:rStyle w:val="16"/>
          <w:rFonts w:ascii="Times New Roman" w:hAnsi="Times New Roman" w:cs="Times New Roman"/>
          <w:color w:val="0070C0"/>
          <w:spacing w:val="0"/>
          <w:w w:val="100"/>
          <w:u w:val="none"/>
        </w:rPr>
        <w:softHyphen/>
        <w:t>ные звенье- и гильзоулавливатели по образцу пулемета ДА-2. Для исключения возможности попадания стреляных гильз и звеньев в хво</w:t>
      </w:r>
      <w:r w:rsidRPr="00722885">
        <w:rPr>
          <w:rStyle w:val="16"/>
          <w:rFonts w:ascii="Times New Roman" w:hAnsi="Times New Roman" w:cs="Times New Roman"/>
          <w:color w:val="0070C0"/>
          <w:spacing w:val="0"/>
          <w:w w:val="100"/>
          <w:u w:val="none"/>
        </w:rPr>
        <w:softHyphen/>
        <w:t>стовую часть фюзеляжа внутри кабины кре</w:t>
      </w:r>
      <w:r w:rsidRPr="00722885">
        <w:rPr>
          <w:rStyle w:val="16"/>
          <w:rFonts w:ascii="Times New Roman" w:hAnsi="Times New Roman" w:cs="Times New Roman"/>
          <w:color w:val="0070C0"/>
          <w:spacing w:val="0"/>
          <w:w w:val="100"/>
          <w:u w:val="none"/>
        </w:rPr>
        <w:softHyphen/>
        <w:t>пили специальный щиток из фанеры. Мучи</w:t>
      </w:r>
      <w:r w:rsidRPr="00722885">
        <w:rPr>
          <w:rStyle w:val="16"/>
          <w:rFonts w:ascii="Times New Roman" w:hAnsi="Times New Roman" w:cs="Times New Roman"/>
          <w:color w:val="0070C0"/>
          <w:spacing w:val="0"/>
          <w:w w:val="100"/>
          <w:u w:val="none"/>
        </w:rPr>
        <w:softHyphen/>
        <w:t>лись вооруженцы и с гибким рукавом подвода патронной ленты в приемник пулемета. При зарядке пулемета на протягивание ленты по рукаву даже опытный оружейник затрачивал примерно 6 мин.</w:t>
      </w:r>
    </w:p>
    <w:p w14:paraId="6A11AC86" w14:textId="77777777" w:rsidR="00C35FD7" w:rsidRPr="00722885" w:rsidRDefault="00C35FD7"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Style w:val="16"/>
          <w:rFonts w:ascii="Times New Roman" w:hAnsi="Times New Roman" w:cs="Times New Roman"/>
          <w:color w:val="0070C0"/>
          <w:spacing w:val="0"/>
          <w:w w:val="100"/>
          <w:u w:val="none"/>
        </w:rPr>
        <w:t>Выяснилось, что в ВУБ-3 имеются про</w:t>
      </w:r>
      <w:r w:rsidRPr="00722885">
        <w:rPr>
          <w:rStyle w:val="16"/>
          <w:rFonts w:ascii="Times New Roman" w:hAnsi="Times New Roman" w:cs="Times New Roman"/>
          <w:color w:val="0070C0"/>
          <w:spacing w:val="0"/>
          <w:w w:val="100"/>
          <w:u w:val="none"/>
        </w:rPr>
        <w:softHyphen/>
        <w:t>блемы с надежным питанием пулемета УБТ патронами при стрельбе в воздухе. При всех углах возвышения пулемет стрелял автомати</w:t>
      </w:r>
      <w:r w:rsidRPr="00722885">
        <w:rPr>
          <w:rStyle w:val="16"/>
          <w:rFonts w:ascii="Times New Roman" w:hAnsi="Times New Roman" w:cs="Times New Roman"/>
          <w:color w:val="0070C0"/>
          <w:spacing w:val="0"/>
          <w:w w:val="100"/>
          <w:u w:val="none"/>
        </w:rPr>
        <w:softHyphen/>
        <w:t>ческим огнем, но при максимальных углах по</w:t>
      </w:r>
      <w:r w:rsidRPr="00722885">
        <w:rPr>
          <w:rStyle w:val="16"/>
          <w:rFonts w:ascii="Times New Roman" w:hAnsi="Times New Roman" w:cs="Times New Roman"/>
          <w:color w:val="0070C0"/>
          <w:spacing w:val="0"/>
          <w:w w:val="100"/>
          <w:u w:val="none"/>
        </w:rPr>
        <w:softHyphen/>
        <w:t>ворота и возвышения патронная лента в гиб</w:t>
      </w:r>
      <w:r w:rsidRPr="00722885">
        <w:rPr>
          <w:rStyle w:val="16"/>
          <w:rFonts w:ascii="Times New Roman" w:hAnsi="Times New Roman" w:cs="Times New Roman"/>
          <w:color w:val="0070C0"/>
          <w:spacing w:val="0"/>
          <w:w w:val="100"/>
          <w:u w:val="none"/>
        </w:rPr>
        <w:softHyphen/>
        <w:t>ком рукаве настолько зажималась, что элек</w:t>
      </w:r>
      <w:r w:rsidRPr="00722885">
        <w:rPr>
          <w:rStyle w:val="16"/>
          <w:rFonts w:ascii="Times New Roman" w:hAnsi="Times New Roman" w:cs="Times New Roman"/>
          <w:color w:val="0070C0"/>
          <w:spacing w:val="0"/>
          <w:w w:val="100"/>
          <w:u w:val="none"/>
        </w:rPr>
        <w:softHyphen/>
        <w:t>тромотор МУ-50 в системе подтяга патронной ленты не мог продвинуть ее вперед. Иногда лента обрывалась. К тому же, поскольку элек</w:t>
      </w:r>
      <w:r w:rsidRPr="00722885">
        <w:rPr>
          <w:rStyle w:val="16"/>
          <w:rFonts w:ascii="Times New Roman" w:hAnsi="Times New Roman" w:cs="Times New Roman"/>
          <w:color w:val="0070C0"/>
          <w:spacing w:val="0"/>
          <w:w w:val="100"/>
          <w:u w:val="none"/>
        </w:rPr>
        <w:softHyphen/>
        <w:t>тромотор работал в наряженном режиме, то его «пережог» стал массовым явлением, осо</w:t>
      </w:r>
      <w:r w:rsidRPr="00722885">
        <w:rPr>
          <w:rStyle w:val="16"/>
          <w:rFonts w:ascii="Times New Roman" w:hAnsi="Times New Roman" w:cs="Times New Roman"/>
          <w:color w:val="0070C0"/>
          <w:spacing w:val="0"/>
          <w:w w:val="100"/>
          <w:u w:val="none"/>
        </w:rPr>
        <w:softHyphen/>
        <w:t>бенно при стрельбе длинными очередями. При перегорании предохранителя в полете воздушный стрелок не имел возможности его заменить. Весьма трудоемкой и ненадежной оказалась регулировка синхронного включе</w:t>
      </w:r>
      <w:r w:rsidRPr="00722885">
        <w:rPr>
          <w:rStyle w:val="16"/>
          <w:rFonts w:ascii="Times New Roman" w:hAnsi="Times New Roman" w:cs="Times New Roman"/>
          <w:color w:val="0070C0"/>
          <w:spacing w:val="0"/>
          <w:w w:val="100"/>
          <w:u w:val="none"/>
        </w:rPr>
        <w:softHyphen/>
        <w:t>ния электромотора и спуска пулемета.</w:t>
      </w:r>
    </w:p>
    <w:p w14:paraId="4314874B" w14:textId="77777777" w:rsidR="00C35FD7" w:rsidRPr="00722885" w:rsidRDefault="00C35FD7"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Style w:val="16"/>
          <w:rFonts w:ascii="Times New Roman" w:hAnsi="Times New Roman" w:cs="Times New Roman"/>
          <w:color w:val="0070C0"/>
          <w:spacing w:val="0"/>
          <w:w w:val="100"/>
          <w:u w:val="none"/>
        </w:rPr>
        <w:t>Все это вызывало частые задержки при стрельбе, так как патрон не подавался в при</w:t>
      </w:r>
      <w:r w:rsidRPr="00722885">
        <w:rPr>
          <w:rStyle w:val="16"/>
          <w:rFonts w:ascii="Times New Roman" w:hAnsi="Times New Roman" w:cs="Times New Roman"/>
          <w:color w:val="0070C0"/>
          <w:spacing w:val="0"/>
          <w:w w:val="100"/>
          <w:u w:val="none"/>
        </w:rPr>
        <w:softHyphen/>
        <w:t>емник пулемета. При этом из-за резкой оста</w:t>
      </w:r>
      <w:r w:rsidRPr="00722885">
        <w:rPr>
          <w:rStyle w:val="16"/>
          <w:rFonts w:ascii="Times New Roman" w:hAnsi="Times New Roman" w:cs="Times New Roman"/>
          <w:color w:val="0070C0"/>
          <w:spacing w:val="0"/>
          <w:w w:val="100"/>
          <w:u w:val="none"/>
        </w:rPr>
        <w:softHyphen/>
        <w:t>новки подвижной системы (ползуна, затвора) детали пулемета испытывали большие дина</w:t>
      </w:r>
      <w:r w:rsidRPr="00722885">
        <w:rPr>
          <w:rStyle w:val="16"/>
          <w:rFonts w:ascii="Times New Roman" w:hAnsi="Times New Roman" w:cs="Times New Roman"/>
          <w:color w:val="0070C0"/>
          <w:spacing w:val="0"/>
          <w:w w:val="100"/>
          <w:u w:val="none"/>
        </w:rPr>
        <w:softHyphen/>
        <w:t>мические нагрузки, вызывающие их поломки, деформацию или преждевременный износ. Эксплуатация самой установки в действующей армии оказалась довольно сложной. Указыва</w:t>
      </w:r>
      <w:r w:rsidRPr="00722885">
        <w:rPr>
          <w:rStyle w:val="16"/>
          <w:rFonts w:ascii="Times New Roman" w:hAnsi="Times New Roman" w:cs="Times New Roman"/>
          <w:color w:val="0070C0"/>
          <w:spacing w:val="0"/>
          <w:w w:val="100"/>
          <w:u w:val="none"/>
        </w:rPr>
        <w:softHyphen/>
        <w:t>лось, что она</w:t>
      </w:r>
      <w:r w:rsidRPr="00722885">
        <w:rPr>
          <w:rStyle w:val="800"/>
          <w:rFonts w:ascii="Times New Roman" w:hAnsi="Times New Roman" w:cs="Times New Roman"/>
          <w:i w:val="0"/>
          <w:iCs w:val="0"/>
          <w:color w:val="0070C0"/>
          <w:w w:val="100"/>
          <w:sz w:val="16"/>
          <w:szCs w:val="16"/>
        </w:rPr>
        <w:t xml:space="preserve"> «имеет много регулировочных мест - гибкий рукав, подтяг, весовая компен</w:t>
      </w:r>
      <w:r w:rsidRPr="00722885">
        <w:rPr>
          <w:rStyle w:val="800"/>
          <w:rFonts w:ascii="Times New Roman" w:hAnsi="Times New Roman" w:cs="Times New Roman"/>
          <w:i w:val="0"/>
          <w:iCs w:val="0"/>
          <w:color w:val="0070C0"/>
          <w:w w:val="100"/>
          <w:sz w:val="16"/>
          <w:szCs w:val="16"/>
        </w:rPr>
        <w:softHyphen/>
        <w:t>сация и т.д.»</w:t>
      </w:r>
    </w:p>
    <w:p w14:paraId="05971055" w14:textId="77777777" w:rsidR="00C35FD7" w:rsidRPr="00722885" w:rsidRDefault="00C35FD7" w:rsidP="00722885">
      <w:pPr>
        <w:shd w:val="clear" w:color="auto" w:fill="FFFFFF"/>
        <w:spacing w:after="0" w:line="240" w:lineRule="auto"/>
        <w:jc w:val="both"/>
        <w:rPr>
          <w:rFonts w:ascii="Times New Roman" w:hAnsi="Times New Roman"/>
          <w:color w:val="0070C0"/>
          <w:sz w:val="16"/>
          <w:szCs w:val="16"/>
        </w:rPr>
      </w:pPr>
      <w:r w:rsidRPr="00722885">
        <w:rPr>
          <w:rStyle w:val="16"/>
          <w:rFonts w:ascii="Times New Roman" w:hAnsi="Times New Roman" w:cs="Times New Roman"/>
          <w:color w:val="0070C0"/>
          <w:spacing w:val="0"/>
          <w:u w:val="none"/>
        </w:rPr>
        <w:t>Как следствие, в НКАП и заказывающие органы ВВС КА посыпались предложения лет</w:t>
      </w:r>
      <w:r w:rsidRPr="00722885">
        <w:rPr>
          <w:rStyle w:val="16"/>
          <w:rFonts w:ascii="Times New Roman" w:hAnsi="Times New Roman" w:cs="Times New Roman"/>
          <w:color w:val="0070C0"/>
          <w:spacing w:val="0"/>
          <w:u w:val="none"/>
        </w:rPr>
        <w:softHyphen/>
        <w:t>ного и технического состава строевых частей о замене ленточного питания пулемета УБТ на дисковое, как более надежное в бою, а также о срочном устранении главных дефектов ВУБ-3 - недостаточных прочности полукольца, углов обстрела, маневренности установки и т.д. (19879).</w:t>
      </w:r>
    </w:p>
    <w:p w14:paraId="0F5A3651" w14:textId="77777777" w:rsidR="00C35FD7" w:rsidRPr="00722885" w:rsidRDefault="00C35FD7" w:rsidP="00722885">
      <w:pPr>
        <w:pStyle w:val="11b"/>
        <w:shd w:val="clear" w:color="auto" w:fill="auto"/>
        <w:spacing w:before="0" w:line="240" w:lineRule="auto"/>
        <w:rPr>
          <w:rFonts w:ascii="Times New Roman" w:hAnsi="Times New Roman" w:cs="Times New Roman"/>
          <w:color w:val="0070C0"/>
          <w:w w:val="100"/>
          <w:sz w:val="16"/>
          <w:szCs w:val="16"/>
          <w:lang w:val="ru-RU"/>
        </w:rPr>
      </w:pPr>
    </w:p>
    <w:p w14:paraId="12E28610" w14:textId="77777777" w:rsidR="00C35FD7" w:rsidRPr="00722885" w:rsidRDefault="00C35FD7"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В ноябре 1942 г. в ПАМ-19 при 15-й воз</w:t>
      </w:r>
      <w:r w:rsidRPr="00722885">
        <w:rPr>
          <w:rFonts w:ascii="Times New Roman" w:hAnsi="Times New Roman" w:cs="Times New Roman"/>
          <w:color w:val="0070C0"/>
          <w:w w:val="100"/>
          <w:sz w:val="16"/>
          <w:szCs w:val="16"/>
        </w:rPr>
        <w:softHyphen/>
        <w:t>душной армии два самолета Ил-2, находя</w:t>
      </w:r>
      <w:r w:rsidRPr="00722885">
        <w:rPr>
          <w:rFonts w:ascii="Times New Roman" w:hAnsi="Times New Roman" w:cs="Times New Roman"/>
          <w:color w:val="0070C0"/>
          <w:w w:val="100"/>
          <w:sz w:val="16"/>
          <w:szCs w:val="16"/>
        </w:rPr>
        <w:softHyphen/>
        <w:t>щихся на восстановительном ремонте, пере</w:t>
      </w:r>
      <w:r w:rsidRPr="00722885">
        <w:rPr>
          <w:rFonts w:ascii="Times New Roman" w:hAnsi="Times New Roman" w:cs="Times New Roman"/>
          <w:color w:val="0070C0"/>
          <w:w w:val="100"/>
          <w:sz w:val="16"/>
          <w:szCs w:val="16"/>
        </w:rPr>
        <w:softHyphen/>
        <w:t>делали в двухместные варианты, установив во второй кабине стрелка экранированную турель УТК-1 под пулемет УБТ. Для этого из</w:t>
      </w:r>
      <w:r w:rsidRPr="00722885">
        <w:rPr>
          <w:rFonts w:ascii="Times New Roman" w:hAnsi="Times New Roman" w:cs="Times New Roman"/>
          <w:color w:val="0070C0"/>
          <w:w w:val="100"/>
          <w:sz w:val="16"/>
          <w:szCs w:val="16"/>
        </w:rPr>
        <w:softHyphen/>
        <w:t>менили конфигурацию бензобаков и их рас</w:t>
      </w:r>
      <w:r w:rsidRPr="00722885">
        <w:rPr>
          <w:rFonts w:ascii="Times New Roman" w:hAnsi="Times New Roman" w:cs="Times New Roman"/>
          <w:color w:val="0070C0"/>
          <w:w w:val="100"/>
          <w:sz w:val="16"/>
          <w:szCs w:val="16"/>
        </w:rPr>
        <w:softHyphen/>
        <w:t>положение. Турель обеспечивала круговой обстрел и стрельбу вниз. Активное участие в этой работе принимали старший техник-лей</w:t>
      </w:r>
      <w:r w:rsidRPr="00722885">
        <w:rPr>
          <w:rFonts w:ascii="Times New Roman" w:hAnsi="Times New Roman" w:cs="Times New Roman"/>
          <w:color w:val="0070C0"/>
          <w:w w:val="100"/>
          <w:sz w:val="16"/>
          <w:szCs w:val="16"/>
        </w:rPr>
        <w:softHyphen/>
        <w:t>тенант Беденко, начальник цеха вооружения инженер-капитан Кабанов, старший техник- лейтенант Сухоедов и старшина технической службы Панков.</w:t>
      </w:r>
    </w:p>
    <w:p w14:paraId="173DD5FA" w14:textId="77777777" w:rsidR="00C35FD7" w:rsidRPr="00722885" w:rsidRDefault="00C35FD7"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Испытание в воздухе показали хорошие летные качества. Самолеты передали в 225-ю шад 15-й ВА: один из них поступил в управле</w:t>
      </w:r>
      <w:r w:rsidRPr="00722885">
        <w:rPr>
          <w:rFonts w:ascii="Times New Roman" w:hAnsi="Times New Roman" w:cs="Times New Roman"/>
          <w:color w:val="0070C0"/>
          <w:w w:val="100"/>
          <w:sz w:val="16"/>
          <w:szCs w:val="16"/>
        </w:rPr>
        <w:softHyphen/>
        <w:t>ние дивизии, второй - в 810-й шап. В декабре оба Ил-2 с УТК-1 уже принимали участие в бо</w:t>
      </w:r>
      <w:r w:rsidRPr="00722885">
        <w:rPr>
          <w:rFonts w:ascii="Times New Roman" w:hAnsi="Times New Roman" w:cs="Times New Roman"/>
          <w:color w:val="0070C0"/>
          <w:w w:val="100"/>
          <w:sz w:val="16"/>
          <w:szCs w:val="16"/>
        </w:rPr>
        <w:softHyphen/>
        <w:t>евых действиях. Имеются сведения, что всего в ПАМ-19 подобным образом переделали 15 Ил-2, но подтверждения этому пока найти не удалось.</w:t>
      </w:r>
    </w:p>
    <w:p w14:paraId="3A469A35" w14:textId="77777777" w:rsidR="00C35FD7" w:rsidRPr="00722885" w:rsidRDefault="00C35FD7"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Кроме двух Ил-2 с УТК-1, в составе 225-й шад на 31 декабря 1942 г. имелось 79 штур</w:t>
      </w:r>
      <w:r w:rsidRPr="00722885">
        <w:rPr>
          <w:rFonts w:ascii="Times New Roman" w:hAnsi="Times New Roman" w:cs="Times New Roman"/>
          <w:color w:val="0070C0"/>
          <w:w w:val="100"/>
          <w:sz w:val="16"/>
          <w:szCs w:val="16"/>
        </w:rPr>
        <w:softHyphen/>
        <w:t>мовиков с кабиной воздушного стрелка и пу</w:t>
      </w:r>
      <w:r w:rsidRPr="00722885">
        <w:rPr>
          <w:rFonts w:ascii="Times New Roman" w:hAnsi="Times New Roman" w:cs="Times New Roman"/>
          <w:color w:val="0070C0"/>
          <w:w w:val="100"/>
          <w:sz w:val="16"/>
          <w:szCs w:val="16"/>
        </w:rPr>
        <w:softHyphen/>
        <w:t>леметом ШКАС на турели, переделанных си</w:t>
      </w:r>
      <w:r w:rsidRPr="00722885">
        <w:rPr>
          <w:rFonts w:ascii="Times New Roman" w:hAnsi="Times New Roman" w:cs="Times New Roman"/>
          <w:color w:val="0070C0"/>
          <w:w w:val="100"/>
          <w:sz w:val="16"/>
          <w:szCs w:val="16"/>
        </w:rPr>
        <w:softHyphen/>
        <w:t>лами техсостава и ПАРМ-1: в 614-м шап - 29, в 810-м шап - 30, в 825-м шап - 20 машин</w:t>
      </w:r>
      <w:r w:rsidRPr="00722885">
        <w:rPr>
          <w:rFonts w:ascii="Times New Roman" w:hAnsi="Times New Roman" w:cs="Times New Roman"/>
          <w:color w:val="0070C0"/>
          <w:w w:val="100"/>
          <w:sz w:val="16"/>
          <w:szCs w:val="16"/>
          <w:lang w:val="ru-RU"/>
        </w:rPr>
        <w:t xml:space="preserve"> (19878)</w:t>
      </w:r>
      <w:r w:rsidRPr="00722885">
        <w:rPr>
          <w:rFonts w:ascii="Times New Roman" w:hAnsi="Times New Roman" w:cs="Times New Roman"/>
          <w:color w:val="0070C0"/>
          <w:w w:val="100"/>
          <w:sz w:val="16"/>
          <w:szCs w:val="16"/>
        </w:rPr>
        <w:t>.</w:t>
      </w:r>
    </w:p>
    <w:p w14:paraId="4196BA8C" w14:textId="77777777" w:rsidR="00C35FD7" w:rsidRPr="00722885" w:rsidRDefault="00C35FD7" w:rsidP="00722885">
      <w:pPr>
        <w:pStyle w:val="11b"/>
        <w:shd w:val="clear" w:color="auto" w:fill="auto"/>
        <w:spacing w:before="0" w:line="240" w:lineRule="auto"/>
        <w:rPr>
          <w:rFonts w:ascii="Times New Roman" w:hAnsi="Times New Roman" w:cs="Times New Roman"/>
          <w:color w:val="0070C0"/>
          <w:w w:val="100"/>
          <w:sz w:val="16"/>
          <w:szCs w:val="16"/>
        </w:rPr>
      </w:pPr>
    </w:p>
    <w:p w14:paraId="4E7F57CA" w14:textId="77777777" w:rsidR="00C35FD7" w:rsidRPr="00722885" w:rsidRDefault="00C35FD7"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ноябре 1942 г. в авиаремонтных мастерских 15-й воздушной армии Как минимум два Ил-2 с бронированной кабиной стрелка переделали их одноместных штурмовиков. Дорабатывали их по аналогии с Ил-2бис, однако пулемет установили не в блистере, а на экранированной турели УТК-1 (применялась на Ил-4 и Ли-2) (19854).</w:t>
      </w:r>
    </w:p>
    <w:p w14:paraId="0657AC70" w14:textId="77777777" w:rsidR="00C35FD7" w:rsidRPr="00722885" w:rsidRDefault="00C35FD7" w:rsidP="00722885">
      <w:pPr>
        <w:spacing w:after="0" w:line="240" w:lineRule="auto"/>
        <w:jc w:val="both"/>
        <w:rPr>
          <w:rFonts w:ascii="Times New Roman" w:hAnsi="Times New Roman"/>
          <w:color w:val="0070C0"/>
          <w:sz w:val="16"/>
          <w:szCs w:val="16"/>
        </w:rPr>
      </w:pPr>
    </w:p>
    <w:p w14:paraId="0B9C84F2" w14:textId="77777777" w:rsidR="00EB3D31" w:rsidRPr="00722885" w:rsidRDefault="00EB3D3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года Начальник штаба ВВС КА генерал-лейтенант Ф. Я. Фалалеев в одном из своих докладов командованию особо подчеркивал, что «устранение в кратчайший срок всех/…/недочетов самолета Ил-2 является задачей первостепенной важности и должно быть выполнено к весне 1943 г.» (17490).</w:t>
      </w:r>
    </w:p>
    <w:p w14:paraId="0EA4F4AF" w14:textId="77777777" w:rsidR="00EB3D31" w:rsidRPr="00722885" w:rsidRDefault="00EB3D31" w:rsidP="00722885">
      <w:pPr>
        <w:spacing w:after="0" w:line="240" w:lineRule="auto"/>
        <w:jc w:val="both"/>
        <w:rPr>
          <w:rFonts w:ascii="Times New Roman" w:eastAsia="Times New Roman" w:hAnsi="Times New Roman"/>
          <w:color w:val="000000" w:themeColor="text1"/>
          <w:sz w:val="16"/>
          <w:szCs w:val="16"/>
          <w:lang w:eastAsia="ru-RU"/>
        </w:rPr>
      </w:pPr>
    </w:p>
    <w:p w14:paraId="694B9CF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года Шахурин писал письмо Маленкову.</w:t>
      </w:r>
    </w:p>
    <w:p w14:paraId="14D17CD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Постановлением ГОКО от 7 октября с.г. за N 2378сс на заводе N 381 взамен самолета Ил-2 ставятся в серийное производство истребители Ла-5 с доведением выпуска их в апреле до 5 самолетов в сутки.</w:t>
      </w:r>
    </w:p>
    <w:p w14:paraId="43AECDB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Для обеспечения выполнения этого постановления ГОКО на заводе N 381 требуется провести ряд мероприятий:</w:t>
      </w:r>
    </w:p>
    <w:p w14:paraId="2416091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 увеличить количество рабочих на 4000 человек, для чего нужно также построить необходимое количество жилых бараков;</w:t>
      </w:r>
    </w:p>
    <w:p w14:paraId="7C67B8F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 для расширения производственных площадей на 8000 кв. м передать заводу N 381 планерный завод N 445 в г. Алапаевске;</w:t>
      </w:r>
    </w:p>
    <w:p w14:paraId="3230582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увеличить автопарк завода из ремфонда НКО;</w:t>
      </w:r>
    </w:p>
    <w:p w14:paraId="03B31B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 для обеспечения завода N 381 топливом предоставить заводу вагоны для вывозки дров и одновременно выделить рельсы для постройки своей узкоколейной железной дороги к месту лесозаготовок, что даст возможность своевременно вывозить заготовленные дрова и лесоматериалы.</w:t>
      </w:r>
    </w:p>
    <w:p w14:paraId="09255D1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Посылая проект постановления ГОКО по этому вопросу, прошу Вас его рассмотреть и представить на утверждение (1652,234).</w:t>
      </w:r>
    </w:p>
    <w:p w14:paraId="79721958" w14:textId="77777777" w:rsidR="00090C9B" w:rsidRPr="00722885" w:rsidRDefault="00090C9B" w:rsidP="00722885">
      <w:pPr>
        <w:pStyle w:val="Iauiue"/>
        <w:jc w:val="both"/>
        <w:rPr>
          <w:color w:val="000000" w:themeColor="text1"/>
          <w:sz w:val="16"/>
          <w:szCs w:val="16"/>
        </w:rPr>
      </w:pPr>
    </w:p>
    <w:p w14:paraId="29432FD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 для оценки боевых качеств двухместный Ил-2 СКО завода № 1 передали в 6-й Гвардейский штурмовой авиаполк гшап, где она совершила девять боевых вылетов до того, как не вернулась с боевого задания.</w:t>
      </w:r>
    </w:p>
    <w:p w14:paraId="118E3FA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Вариант двухместного Ил-2 серийного конструкторского отдела завода № 1 имел полностью бронированную кабину стрелка с блистерной пулеметной установкой, сохранившую много общих компоновочных и конструктивных решений с кабинами стрелков на БШ-2 и Ил-2 с М-82. Задний фюзеляжный бак за кабиной пилота сняли, заменив его двумя бронированными баками такого же объема во нутренних бомботсеках центроплана. На месте фюзеляжного бака оборудовали кабину стрелка с УБТ. Со стороны хвоста и сверху стрелка защищала бронеперегородка, прозрачная броня в блистере и металлическая броня сдвижной части фонаря над головой. Более широкая и просторная по сравнению с первым вариантом кабина позволяла брать в полет 7,62-мм ручной пулемет ДА и успешно использовать его как по наземным елям, так и при отражении атак истребителей с боков.</w:t>
      </w:r>
    </w:p>
    <w:p w14:paraId="192D355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своим летным и пилотажным характеристикам самолет практически не отличался от одноместного и понравился летчикам и особенно стрелкам. Однако большой объем конструктивных изменений, связанных с перекомпоновкой баков и уменьшение почти вдвое бомбовой нагрузки сделали нецелесообразным его серийный выпуск.</w:t>
      </w:r>
    </w:p>
    <w:p w14:paraId="76637F7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Также не получила распространения и кабина стрелка, оборудованная турелью МВ-3 с УБТ. Она обеспечивала большие по сравнению с первым вариантом вертикальные и горизонтальные углы перемещения оружия, но, помимо значительных конструктивных доработок, громоздкий полукруглый экран турели создавал существенное аэродинамическое сопротивление и значительно снижал летные данные (9528).</w:t>
      </w:r>
    </w:p>
    <w:p w14:paraId="621D57DC" w14:textId="77777777" w:rsidR="00090C9B" w:rsidRPr="00722885" w:rsidRDefault="00090C9B" w:rsidP="00722885">
      <w:pPr>
        <w:pStyle w:val="Iauiue"/>
        <w:jc w:val="both"/>
        <w:rPr>
          <w:color w:val="000000" w:themeColor="text1"/>
          <w:sz w:val="16"/>
          <w:szCs w:val="16"/>
        </w:rPr>
      </w:pPr>
    </w:p>
    <w:p w14:paraId="1AC0812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летчик-испытатель НИИ ВВС пол</w:t>
      </w:r>
      <w:r w:rsidRPr="00722885">
        <w:rPr>
          <w:rFonts w:ascii="Times New Roman" w:hAnsi="Times New Roman"/>
          <w:color w:val="000000" w:themeColor="text1"/>
          <w:sz w:val="16"/>
          <w:szCs w:val="16"/>
        </w:rPr>
        <w:softHyphen/>
        <w:t>ковник К. М. Кабанов, проводивший специальные испытания самолетов Ил-2 на штопор, отмечал, что двухместный вариант имеет значитель</w:t>
      </w:r>
      <w:r w:rsidRPr="00722885">
        <w:rPr>
          <w:rFonts w:ascii="Times New Roman" w:hAnsi="Times New Roman"/>
          <w:color w:val="000000" w:themeColor="text1"/>
          <w:sz w:val="16"/>
          <w:szCs w:val="16"/>
        </w:rPr>
        <w:softHyphen/>
        <w:t>ную тенденцию к срыву в штопор при выполнении глубоких виражей.</w:t>
      </w:r>
    </w:p>
    <w:p w14:paraId="6627235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Выполнение боевого маневрирова</w:t>
      </w:r>
      <w:r w:rsidRPr="00722885">
        <w:rPr>
          <w:rFonts w:ascii="Times New Roman" w:hAnsi="Times New Roman"/>
          <w:color w:val="000000" w:themeColor="text1"/>
          <w:sz w:val="16"/>
          <w:szCs w:val="16"/>
        </w:rPr>
        <w:softHyphen/>
        <w:t>ния и противозенитного маневра ус</w:t>
      </w:r>
      <w:r w:rsidRPr="00722885">
        <w:rPr>
          <w:rFonts w:ascii="Times New Roman" w:hAnsi="Times New Roman"/>
          <w:color w:val="000000" w:themeColor="text1"/>
          <w:sz w:val="16"/>
          <w:szCs w:val="16"/>
        </w:rPr>
        <w:softHyphen/>
        <w:t>ложнилось. Как следствие, вероятность сбития штурмовика зенитным огнем оказывалась повышенной. Условия для ведения прицельного огня из стрел-ково-пушечного вооружения самоле</w:t>
      </w:r>
      <w:r w:rsidRPr="00722885">
        <w:rPr>
          <w:rFonts w:ascii="Times New Roman" w:hAnsi="Times New Roman"/>
          <w:color w:val="000000" w:themeColor="text1"/>
          <w:sz w:val="16"/>
          <w:szCs w:val="16"/>
        </w:rPr>
        <w:softHyphen/>
        <w:t>та, особенно на пикировании и в бое</w:t>
      </w:r>
      <w:r w:rsidRPr="00722885">
        <w:rPr>
          <w:rFonts w:ascii="Times New Roman" w:hAnsi="Times New Roman"/>
          <w:color w:val="000000" w:themeColor="text1"/>
          <w:sz w:val="16"/>
          <w:szCs w:val="16"/>
        </w:rPr>
        <w:softHyphen/>
        <w:t>вом порядке «круг», ухудшились. Пи</w:t>
      </w:r>
      <w:r w:rsidRPr="00722885">
        <w:rPr>
          <w:rFonts w:ascii="Times New Roman" w:hAnsi="Times New Roman"/>
          <w:color w:val="000000" w:themeColor="text1"/>
          <w:sz w:val="16"/>
          <w:szCs w:val="16"/>
        </w:rPr>
        <w:softHyphen/>
        <w:t>кировать необходимо было с осторож</w:t>
      </w:r>
      <w:r w:rsidRPr="00722885">
        <w:rPr>
          <w:rFonts w:ascii="Times New Roman" w:hAnsi="Times New Roman"/>
          <w:color w:val="000000" w:themeColor="text1"/>
          <w:sz w:val="16"/>
          <w:szCs w:val="16"/>
        </w:rPr>
        <w:softHyphen/>
        <w:t>ностью, так как при достижении ско</w:t>
      </w:r>
      <w:r w:rsidRPr="00722885">
        <w:rPr>
          <w:rFonts w:ascii="Times New Roman" w:hAnsi="Times New Roman"/>
          <w:color w:val="000000" w:themeColor="text1"/>
          <w:sz w:val="16"/>
          <w:szCs w:val="16"/>
        </w:rPr>
        <w:softHyphen/>
        <w:t>рости свыше 440 км/ч самолет стано</w:t>
      </w:r>
      <w:r w:rsidRPr="00722885">
        <w:rPr>
          <w:rFonts w:ascii="Times New Roman" w:hAnsi="Times New Roman"/>
          <w:color w:val="000000" w:themeColor="text1"/>
          <w:sz w:val="16"/>
          <w:szCs w:val="16"/>
        </w:rPr>
        <w:softHyphen/>
        <w:t>вился трудноуправляемым и стремил</w:t>
      </w:r>
      <w:r w:rsidRPr="00722885">
        <w:rPr>
          <w:rFonts w:ascii="Times New Roman" w:hAnsi="Times New Roman"/>
          <w:color w:val="000000" w:themeColor="text1"/>
          <w:sz w:val="16"/>
          <w:szCs w:val="16"/>
        </w:rPr>
        <w:softHyphen/>
        <w:t>ся к увеличению угла пикирования. На выводе из пикирования самолет имел тенденцию к резкому кабрированию. Иногда это приводило к сваливанию самолета в штопор. Пикирование под углами 40° запрещалось.</w:t>
      </w:r>
    </w:p>
    <w:p w14:paraId="06836B3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 сложным самолет стал для молодых летчиков, удельный вес которых в действующей армии неуклонно повышался (до 40-50%), а сред</w:t>
      </w:r>
      <w:r w:rsidRPr="00722885">
        <w:rPr>
          <w:rFonts w:ascii="Times New Roman" w:hAnsi="Times New Roman"/>
          <w:color w:val="000000" w:themeColor="text1"/>
          <w:sz w:val="16"/>
          <w:szCs w:val="16"/>
        </w:rPr>
        <w:softHyphen/>
        <w:t>ний уровень их летно-боевой подго</w:t>
      </w:r>
      <w:r w:rsidRPr="00722885">
        <w:rPr>
          <w:rFonts w:ascii="Times New Roman" w:hAnsi="Times New Roman"/>
          <w:color w:val="000000" w:themeColor="text1"/>
          <w:sz w:val="16"/>
          <w:szCs w:val="16"/>
        </w:rPr>
        <w:softHyphen/>
        <w:t>товки, наоборот, снижался.</w:t>
      </w:r>
    </w:p>
    <w:p w14:paraId="7AB5EA8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следует из документов, некото</w:t>
      </w:r>
      <w:r w:rsidRPr="00722885">
        <w:rPr>
          <w:rFonts w:ascii="Times New Roman" w:hAnsi="Times New Roman"/>
          <w:color w:val="000000" w:themeColor="text1"/>
          <w:sz w:val="16"/>
          <w:szCs w:val="16"/>
        </w:rPr>
        <w:softHyphen/>
        <w:t>рые группы пилотов выпуска первой половины 1943 г. в боевом отноше</w:t>
      </w:r>
      <w:r w:rsidRPr="00722885">
        <w:rPr>
          <w:rFonts w:ascii="Times New Roman" w:hAnsi="Times New Roman"/>
          <w:color w:val="000000" w:themeColor="text1"/>
          <w:sz w:val="16"/>
          <w:szCs w:val="16"/>
        </w:rPr>
        <w:softHyphen/>
        <w:t>нии оказались подготовленными даже хуже, чем летный состав выпуска осе</w:t>
      </w:r>
      <w:r w:rsidRPr="00722885">
        <w:rPr>
          <w:rFonts w:ascii="Times New Roman" w:hAnsi="Times New Roman"/>
          <w:color w:val="000000" w:themeColor="text1"/>
          <w:sz w:val="16"/>
          <w:szCs w:val="16"/>
        </w:rPr>
        <w:softHyphen/>
        <w:t>ни предыдущего года. Основными при</w:t>
      </w:r>
      <w:r w:rsidRPr="00722885">
        <w:rPr>
          <w:rFonts w:ascii="Times New Roman" w:hAnsi="Times New Roman"/>
          <w:color w:val="000000" w:themeColor="text1"/>
          <w:sz w:val="16"/>
          <w:szCs w:val="16"/>
        </w:rPr>
        <w:softHyphen/>
        <w:t>чинами этого являлись: резкое сниже</w:t>
      </w:r>
      <w:r w:rsidRPr="00722885">
        <w:rPr>
          <w:rFonts w:ascii="Times New Roman" w:hAnsi="Times New Roman"/>
          <w:color w:val="000000" w:themeColor="text1"/>
          <w:sz w:val="16"/>
          <w:szCs w:val="16"/>
        </w:rPr>
        <w:softHyphen/>
        <w:t>ние общего уровня подготовки выпус</w:t>
      </w:r>
      <w:r w:rsidRPr="00722885">
        <w:rPr>
          <w:rFonts w:ascii="Times New Roman" w:hAnsi="Times New Roman"/>
          <w:color w:val="000000" w:themeColor="text1"/>
          <w:sz w:val="16"/>
          <w:szCs w:val="16"/>
        </w:rPr>
        <w:softHyphen/>
        <w:t>кников-курсантов летных школ, а так</w:t>
      </w:r>
      <w:r w:rsidRPr="00722885">
        <w:rPr>
          <w:rFonts w:ascii="Times New Roman" w:hAnsi="Times New Roman"/>
          <w:color w:val="000000" w:themeColor="text1"/>
          <w:sz w:val="16"/>
          <w:szCs w:val="16"/>
        </w:rPr>
        <w:softHyphen/>
        <w:t>же острая нехватка квалифицирован</w:t>
      </w:r>
      <w:r w:rsidRPr="00722885">
        <w:rPr>
          <w:rFonts w:ascii="Times New Roman" w:hAnsi="Times New Roman"/>
          <w:color w:val="000000" w:themeColor="text1"/>
          <w:sz w:val="16"/>
          <w:szCs w:val="16"/>
        </w:rPr>
        <w:softHyphen/>
        <w:t>ных командных и преподавательских кадров в запасных авиачастях.</w:t>
      </w:r>
    </w:p>
    <w:p w14:paraId="2FF4634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Подготовка некоторых полков была такова, что в ряде случаев командиры соединений, в состав которых они по</w:t>
      </w:r>
      <w:r w:rsidRPr="00722885">
        <w:rPr>
          <w:rFonts w:ascii="Times New Roman" w:hAnsi="Times New Roman"/>
          <w:color w:val="000000" w:themeColor="text1"/>
          <w:sz w:val="16"/>
          <w:szCs w:val="16"/>
        </w:rPr>
        <w:softHyphen/>
        <w:t>ступали, отказывались их принимать.</w:t>
      </w:r>
    </w:p>
    <w:p w14:paraId="4D90F02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Боевой опыт на самолете Ил-2 име</w:t>
      </w:r>
      <w:r w:rsidRPr="00722885">
        <w:rPr>
          <w:rFonts w:ascii="Times New Roman" w:hAnsi="Times New Roman"/>
          <w:color w:val="000000" w:themeColor="text1"/>
          <w:sz w:val="16"/>
          <w:szCs w:val="16"/>
        </w:rPr>
        <w:softHyphen/>
        <w:t>ли только 7% летного состава, осталь</w:t>
      </w:r>
      <w:r w:rsidRPr="00722885">
        <w:rPr>
          <w:rFonts w:ascii="Times New Roman" w:hAnsi="Times New Roman"/>
          <w:color w:val="000000" w:themeColor="text1"/>
          <w:sz w:val="16"/>
          <w:szCs w:val="16"/>
        </w:rPr>
        <w:softHyphen/>
        <w:t>ные летчики были молодыми. Перед убытием на фронт каждый летчик имел: в 672-м шап - один полет в зону и 20 полетов по кругу, в 951-м - два полета в зону и 25 полетов по кругу. Средний налет одного летающего на Ил-2 лет</w:t>
      </w:r>
      <w:r w:rsidRPr="00722885">
        <w:rPr>
          <w:rFonts w:ascii="Times New Roman" w:hAnsi="Times New Roman"/>
          <w:color w:val="000000" w:themeColor="text1"/>
          <w:sz w:val="16"/>
          <w:szCs w:val="16"/>
        </w:rPr>
        <w:softHyphen/>
        <w:t>чика не превышал 6-8 часов. В итоге весь летный состав полков был остав</w:t>
      </w:r>
      <w:r w:rsidRPr="00722885">
        <w:rPr>
          <w:rFonts w:ascii="Times New Roman" w:hAnsi="Times New Roman"/>
          <w:color w:val="000000" w:themeColor="text1"/>
          <w:sz w:val="16"/>
          <w:szCs w:val="16"/>
        </w:rPr>
        <w:softHyphen/>
        <w:t>лен в Борисоглебске, где в течение 5-6 недель проходил дополнительную под</w:t>
      </w:r>
      <w:r w:rsidRPr="00722885">
        <w:rPr>
          <w:rFonts w:ascii="Times New Roman" w:hAnsi="Times New Roman"/>
          <w:color w:val="000000" w:themeColor="text1"/>
          <w:sz w:val="16"/>
          <w:szCs w:val="16"/>
        </w:rPr>
        <w:softHyphen/>
        <w:t>готовку, в том числе на боевое приме</w:t>
      </w:r>
      <w:r w:rsidRPr="00722885">
        <w:rPr>
          <w:rFonts w:ascii="Times New Roman" w:hAnsi="Times New Roman"/>
          <w:color w:val="000000" w:themeColor="text1"/>
          <w:sz w:val="16"/>
          <w:szCs w:val="16"/>
        </w:rPr>
        <w:softHyphen/>
        <w:t>нение.</w:t>
      </w:r>
    </w:p>
    <w:p w14:paraId="4C5A212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Состояние дел с боевой готовнос</w:t>
      </w:r>
      <w:r w:rsidRPr="00722885">
        <w:rPr>
          <w:rFonts w:ascii="Times New Roman" w:hAnsi="Times New Roman"/>
          <w:color w:val="000000" w:themeColor="text1"/>
          <w:sz w:val="16"/>
          <w:szCs w:val="16"/>
        </w:rPr>
        <w:softHyphen/>
        <w:t>тью в полках другой дивизии 9-го сак - 305-й шад, было примерно такое же. Молодежь 175-го, 237-го и 955-го авиаполков нуждалась в большой лет</w:t>
      </w:r>
      <w:r w:rsidRPr="00722885">
        <w:rPr>
          <w:rFonts w:ascii="Times New Roman" w:hAnsi="Times New Roman"/>
          <w:color w:val="000000" w:themeColor="text1"/>
          <w:sz w:val="16"/>
          <w:szCs w:val="16"/>
        </w:rPr>
        <w:softHyphen/>
        <w:t>ной тренировке, отработке бомбоме</w:t>
      </w:r>
      <w:r w:rsidRPr="00722885">
        <w:rPr>
          <w:rFonts w:ascii="Times New Roman" w:hAnsi="Times New Roman"/>
          <w:color w:val="000000" w:themeColor="text1"/>
          <w:sz w:val="16"/>
          <w:szCs w:val="16"/>
        </w:rPr>
        <w:softHyphen/>
        <w:t>тания и стрельбы в воздухе, а также в обучении ведению групповых и индивидуальных воздушных боев с истре</w:t>
      </w:r>
      <w:r w:rsidRPr="00722885">
        <w:rPr>
          <w:rFonts w:ascii="Times New Roman" w:hAnsi="Times New Roman"/>
          <w:color w:val="000000" w:themeColor="text1"/>
          <w:sz w:val="16"/>
          <w:szCs w:val="16"/>
        </w:rPr>
        <w:softHyphen/>
        <w:t>бителями противника.</w:t>
      </w:r>
    </w:p>
    <w:p w14:paraId="38B76B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Негативная тенденция с боеготов</w:t>
      </w:r>
      <w:r w:rsidRPr="00722885">
        <w:rPr>
          <w:rFonts w:ascii="Times New Roman" w:hAnsi="Times New Roman"/>
          <w:color w:val="000000" w:themeColor="text1"/>
          <w:sz w:val="16"/>
          <w:szCs w:val="16"/>
        </w:rPr>
        <w:softHyphen/>
        <w:t>ностью частей воздушных армий усу</w:t>
      </w:r>
      <w:r w:rsidRPr="00722885">
        <w:rPr>
          <w:rFonts w:ascii="Times New Roman" w:hAnsi="Times New Roman"/>
          <w:color w:val="000000" w:themeColor="text1"/>
          <w:sz w:val="16"/>
          <w:szCs w:val="16"/>
        </w:rPr>
        <w:softHyphen/>
        <w:t>гублялась резким снижением качества боевой авиатехники.</w:t>
      </w:r>
    </w:p>
    <w:p w14:paraId="6F9F2C4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Техническое состояние поступаю</w:t>
      </w:r>
      <w:r w:rsidRPr="00722885">
        <w:rPr>
          <w:rFonts w:ascii="Times New Roman" w:hAnsi="Times New Roman"/>
          <w:color w:val="000000" w:themeColor="text1"/>
          <w:sz w:val="16"/>
          <w:szCs w:val="16"/>
        </w:rPr>
        <w:softHyphen/>
        <w:t xml:space="preserve">щих с авиазаводов самолетов Ил-2 было таково, что часть из них сразу же направлялась в ремонтные органы для </w:t>
      </w:r>
      <w:r w:rsidRPr="00722885">
        <w:rPr>
          <w:rFonts w:ascii="Times New Roman" w:hAnsi="Times New Roman"/>
          <w:iCs/>
          <w:color w:val="000000" w:themeColor="text1"/>
          <w:sz w:val="16"/>
          <w:szCs w:val="16"/>
        </w:rPr>
        <w:t>«приведения в летное состояние».</w:t>
      </w:r>
    </w:p>
    <w:p w14:paraId="4872509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разряду обычных явлений отно</w:t>
      </w:r>
      <w:r w:rsidRPr="00722885">
        <w:rPr>
          <w:rFonts w:ascii="Times New Roman" w:hAnsi="Times New Roman"/>
          <w:color w:val="000000" w:themeColor="text1"/>
          <w:sz w:val="16"/>
          <w:szCs w:val="16"/>
        </w:rPr>
        <w:softHyphen/>
        <w:t>сились: течь смеси АС в амортизаци</w:t>
      </w:r>
      <w:r w:rsidRPr="00722885">
        <w:rPr>
          <w:rFonts w:ascii="Times New Roman" w:hAnsi="Times New Roman"/>
          <w:color w:val="000000" w:themeColor="text1"/>
          <w:sz w:val="16"/>
          <w:szCs w:val="16"/>
        </w:rPr>
        <w:softHyphen/>
        <w:t>онных стойках, масла из втулок вин</w:t>
      </w:r>
      <w:r w:rsidRPr="00722885">
        <w:rPr>
          <w:rFonts w:ascii="Times New Roman" w:hAnsi="Times New Roman"/>
          <w:color w:val="000000" w:themeColor="text1"/>
          <w:sz w:val="16"/>
          <w:szCs w:val="16"/>
        </w:rPr>
        <w:softHyphen/>
        <w:t>тов, бензобаков по точечной сварке, подтекания воды и бензина, разруше</w:t>
      </w:r>
      <w:r w:rsidRPr="00722885">
        <w:rPr>
          <w:rFonts w:ascii="Times New Roman" w:hAnsi="Times New Roman"/>
          <w:color w:val="000000" w:themeColor="text1"/>
          <w:sz w:val="16"/>
          <w:szCs w:val="16"/>
        </w:rPr>
        <w:softHyphen/>
        <w:t>ние тормозных шлангов, отсутствие герметичности в соединениях воздуш</w:t>
      </w:r>
      <w:r w:rsidRPr="00722885">
        <w:rPr>
          <w:rFonts w:ascii="Times New Roman" w:hAnsi="Times New Roman"/>
          <w:color w:val="000000" w:themeColor="text1"/>
          <w:sz w:val="16"/>
          <w:szCs w:val="16"/>
        </w:rPr>
        <w:softHyphen/>
        <w:t>ной системы и т.д.</w:t>
      </w:r>
    </w:p>
    <w:p w14:paraId="6489D47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штурмовиках в большом количе</w:t>
      </w:r>
      <w:r w:rsidRPr="00722885">
        <w:rPr>
          <w:rFonts w:ascii="Times New Roman" w:hAnsi="Times New Roman"/>
          <w:color w:val="000000" w:themeColor="text1"/>
          <w:sz w:val="16"/>
          <w:szCs w:val="16"/>
        </w:rPr>
        <w:softHyphen/>
        <w:t>стве имелись люфты в различных со</w:t>
      </w:r>
      <w:r w:rsidRPr="00722885">
        <w:rPr>
          <w:rFonts w:ascii="Times New Roman" w:hAnsi="Times New Roman"/>
          <w:color w:val="000000" w:themeColor="text1"/>
          <w:sz w:val="16"/>
          <w:szCs w:val="16"/>
        </w:rPr>
        <w:softHyphen/>
        <w:t>единениях управления самолетом и мотором, некоторые гайки оказывались не дотянутыми, а иногда и не законт</w:t>
      </w:r>
      <w:r w:rsidRPr="00722885">
        <w:rPr>
          <w:rFonts w:ascii="Times New Roman" w:hAnsi="Times New Roman"/>
          <w:color w:val="000000" w:themeColor="text1"/>
          <w:sz w:val="16"/>
          <w:szCs w:val="16"/>
        </w:rPr>
        <w:softHyphen/>
        <w:t xml:space="preserve">ренными. На авиазаводах ставились «не </w:t>
      </w:r>
      <w:r w:rsidRPr="00722885">
        <w:rPr>
          <w:rFonts w:ascii="Times New Roman" w:hAnsi="Times New Roman"/>
          <w:iCs/>
          <w:color w:val="000000" w:themeColor="text1"/>
          <w:sz w:val="16"/>
          <w:szCs w:val="16"/>
        </w:rPr>
        <w:t xml:space="preserve">вытянутые» </w:t>
      </w:r>
      <w:r w:rsidRPr="00722885">
        <w:rPr>
          <w:rFonts w:ascii="Times New Roman" w:hAnsi="Times New Roman"/>
          <w:color w:val="000000" w:themeColor="text1"/>
          <w:sz w:val="16"/>
          <w:szCs w:val="16"/>
        </w:rPr>
        <w:t>троса управления. В результате после 3-5 часов налета са</w:t>
      </w:r>
      <w:r w:rsidRPr="00722885">
        <w:rPr>
          <w:rFonts w:ascii="Times New Roman" w:hAnsi="Times New Roman"/>
          <w:color w:val="000000" w:themeColor="text1"/>
          <w:sz w:val="16"/>
          <w:szCs w:val="16"/>
        </w:rPr>
        <w:softHyphen/>
        <w:t xml:space="preserve">молета трос вытягивался настолько,что его уже </w:t>
      </w:r>
      <w:r w:rsidRPr="00722885">
        <w:rPr>
          <w:rFonts w:ascii="Times New Roman" w:hAnsi="Times New Roman"/>
          <w:iCs/>
          <w:color w:val="000000" w:themeColor="text1"/>
          <w:sz w:val="16"/>
          <w:szCs w:val="16"/>
        </w:rPr>
        <w:t>«не хватало для вытяжки сла</w:t>
      </w:r>
      <w:r w:rsidRPr="00722885">
        <w:rPr>
          <w:rFonts w:ascii="Times New Roman" w:hAnsi="Times New Roman"/>
          <w:iCs/>
          <w:color w:val="000000" w:themeColor="text1"/>
          <w:sz w:val="16"/>
          <w:szCs w:val="16"/>
        </w:rPr>
        <w:softHyphen/>
        <w:t xml:space="preserve">бины». </w:t>
      </w:r>
      <w:r w:rsidRPr="00722885">
        <w:rPr>
          <w:rFonts w:ascii="Times New Roman" w:hAnsi="Times New Roman"/>
          <w:color w:val="000000" w:themeColor="text1"/>
          <w:sz w:val="16"/>
          <w:szCs w:val="16"/>
        </w:rPr>
        <w:t>Троса приходилось переплетать.</w:t>
      </w:r>
    </w:p>
    <w:p w14:paraId="16A8DAD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недоброкачественной склей</w:t>
      </w:r>
      <w:r w:rsidRPr="00722885">
        <w:rPr>
          <w:rFonts w:ascii="Times New Roman" w:hAnsi="Times New Roman"/>
          <w:color w:val="000000" w:themeColor="text1"/>
          <w:sz w:val="16"/>
          <w:szCs w:val="16"/>
        </w:rPr>
        <w:softHyphen/>
        <w:t>ки шпона и подгонки деталей хвосто</w:t>
      </w:r>
      <w:r w:rsidRPr="00722885">
        <w:rPr>
          <w:rFonts w:ascii="Times New Roman" w:hAnsi="Times New Roman"/>
          <w:color w:val="000000" w:themeColor="text1"/>
          <w:sz w:val="16"/>
          <w:szCs w:val="16"/>
        </w:rPr>
        <w:softHyphen/>
        <w:t>вого оперения имелись случаи закли</w:t>
      </w:r>
      <w:r w:rsidRPr="00722885">
        <w:rPr>
          <w:rFonts w:ascii="Times New Roman" w:hAnsi="Times New Roman"/>
          <w:color w:val="000000" w:themeColor="text1"/>
          <w:sz w:val="16"/>
          <w:szCs w:val="16"/>
        </w:rPr>
        <w:softHyphen/>
        <w:t>нивания рулей высоты и направления.</w:t>
      </w:r>
    </w:p>
    <w:p w14:paraId="66E0E68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частях повсеместно усиливали слабые участки фюзеляжа и ферм хво</w:t>
      </w:r>
      <w:r w:rsidRPr="00722885">
        <w:rPr>
          <w:rFonts w:ascii="Times New Roman" w:hAnsi="Times New Roman"/>
          <w:color w:val="000000" w:themeColor="text1"/>
          <w:sz w:val="16"/>
          <w:szCs w:val="16"/>
        </w:rPr>
        <w:softHyphen/>
        <w:t>стового колеса, так как их разруше</w:t>
      </w:r>
      <w:r w:rsidRPr="00722885">
        <w:rPr>
          <w:rFonts w:ascii="Times New Roman" w:hAnsi="Times New Roman"/>
          <w:color w:val="000000" w:themeColor="text1"/>
          <w:sz w:val="16"/>
          <w:szCs w:val="16"/>
        </w:rPr>
        <w:softHyphen/>
        <w:t>ние, особенно при производстве взле</w:t>
      </w:r>
      <w:r w:rsidRPr="00722885">
        <w:rPr>
          <w:rFonts w:ascii="Times New Roman" w:hAnsi="Times New Roman"/>
          <w:color w:val="000000" w:themeColor="text1"/>
          <w:sz w:val="16"/>
          <w:szCs w:val="16"/>
        </w:rPr>
        <w:softHyphen/>
        <w:t>та и посадки на полевых аэродромах с полной бомбовой нагрузкой, было частым явлением (11215).</w:t>
      </w:r>
    </w:p>
    <w:p w14:paraId="5CF913F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A7F26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Начальник штаба ВВС КА генерал Фалалеев в одном из своих докладов командованию особо подчеркивал, что "устранение в кратчайший срок всех ...недочетов самолета Ил-2 является задачей первостепенной важности и должно быть выполнено к весне 1943 г."</w:t>
      </w:r>
    </w:p>
    <w:p w14:paraId="5AF9775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ВВС требовался более совершенный, чем Ил-2, штурмовой самолет, способный с большей эффективностью выполнять задачи непосредственной авиационной поддержки войск в условиях высокой активности огневых средств войсковой ПВО и истребительной авиации противника (12020).</w:t>
      </w:r>
    </w:p>
    <w:p w14:paraId="2F63BBF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02FB70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на заводе № 18 был изготовлен УИл-2 зав. № 7230, который налетал 526 часов и произвел 3256 посадок. Самолет УИл-2 зав. № 30790 производства завода № 30 (сентябрь 1942 г.) налетал 326 часов и выполнил 1120 посадок. При этом обе машины имели допуск к полетам. Боевые варианты Ил-2 ввиду незна</w:t>
      </w:r>
      <w:r w:rsidRPr="00722885">
        <w:rPr>
          <w:rFonts w:ascii="Times New Roman" w:hAnsi="Times New Roman"/>
          <w:color w:val="000000" w:themeColor="text1"/>
          <w:sz w:val="16"/>
          <w:szCs w:val="16"/>
        </w:rPr>
        <w:softHyphen/>
        <w:t>чительного времени жизни на фронте свой ресурс большей ча</w:t>
      </w:r>
      <w:r w:rsidRPr="00722885">
        <w:rPr>
          <w:rFonts w:ascii="Times New Roman" w:hAnsi="Times New Roman"/>
          <w:color w:val="000000" w:themeColor="text1"/>
          <w:sz w:val="16"/>
          <w:szCs w:val="16"/>
        </w:rPr>
        <w:softHyphen/>
        <w:t>стью не вырабатывали. Износ отдельных частей конструкции планера самолетов оказался сравнительно невысоким и был связан главным образом с де</w:t>
      </w:r>
      <w:r w:rsidRPr="00722885">
        <w:rPr>
          <w:rFonts w:ascii="Times New Roman" w:hAnsi="Times New Roman"/>
          <w:color w:val="000000" w:themeColor="text1"/>
          <w:sz w:val="16"/>
          <w:szCs w:val="16"/>
        </w:rPr>
        <w:softHyphen/>
        <w:t>формацией лонжеронов центроплана, расслоением и загнива</w:t>
      </w:r>
      <w:r w:rsidRPr="00722885">
        <w:rPr>
          <w:rFonts w:ascii="Times New Roman" w:hAnsi="Times New Roman"/>
          <w:color w:val="000000" w:themeColor="text1"/>
          <w:sz w:val="16"/>
          <w:szCs w:val="16"/>
        </w:rPr>
        <w:softHyphen/>
        <w:t>нием деревянных рам и шпона фюзеляжа. (11474,314).</w:t>
      </w:r>
    </w:p>
    <w:p w14:paraId="618D1A0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D2D396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в ПАМ-19 при 15-й воздушной армии два самолета Ил-2, находящихся на восстановительном ремонте, переделали в двух</w:t>
      </w:r>
      <w:r w:rsidRPr="00722885">
        <w:rPr>
          <w:rFonts w:ascii="Times New Roman" w:hAnsi="Times New Roman"/>
          <w:color w:val="000000" w:themeColor="text1"/>
          <w:sz w:val="16"/>
          <w:szCs w:val="16"/>
        </w:rPr>
        <w:softHyphen/>
        <w:t>местные варианты, установив во второй кабине стрелка экранированную турель УТК-1 под пулемет УБТ. Для этого изменили конфигурацию бен</w:t>
      </w:r>
      <w:r w:rsidRPr="00722885">
        <w:rPr>
          <w:rFonts w:ascii="Times New Roman" w:hAnsi="Times New Roman"/>
          <w:color w:val="000000" w:themeColor="text1"/>
          <w:sz w:val="16"/>
          <w:szCs w:val="16"/>
        </w:rPr>
        <w:softHyphen/>
        <w:t>зобаков и их местоположение. Турель обеспечивала круговой обстрел и стрельбу вниз. Активное участие в этой работе принимали старший тех</w:t>
      </w:r>
      <w:r w:rsidRPr="00722885">
        <w:rPr>
          <w:rFonts w:ascii="Times New Roman" w:hAnsi="Times New Roman"/>
          <w:color w:val="000000" w:themeColor="text1"/>
          <w:sz w:val="16"/>
          <w:szCs w:val="16"/>
        </w:rPr>
        <w:softHyphen/>
        <w:t>ник-лейтенант Беденко, начальник цеха вооружения инженер-капитан Кабанов, старший техник-лейтенант Сухоедов и старшина технической службы Панков.</w:t>
      </w:r>
    </w:p>
    <w:p w14:paraId="4AFF94E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Испытание в воздухе показали хорошие летные качества. Самолеты передали в 225-ю шад 15-й ВА. Один из них поступил в управление ди</w:t>
      </w:r>
      <w:r w:rsidRPr="00722885">
        <w:rPr>
          <w:rFonts w:ascii="Times New Roman" w:hAnsi="Times New Roman"/>
          <w:color w:val="000000" w:themeColor="text1"/>
          <w:sz w:val="16"/>
          <w:szCs w:val="16"/>
        </w:rPr>
        <w:softHyphen/>
        <w:t>визии. а второй - в 810-й шап. Судя по документам, в декабре оба самолета Ил-2 с УТК-1 уже принимали участие в боевых действиях. Имеются сведения, что всего в ПАМ-19 подобным образом переделали 15 самолетов Ил-2, но подтверждения пока найти не удалось (17481).</w:t>
      </w:r>
    </w:p>
    <w:p w14:paraId="4A00718E" w14:textId="77777777" w:rsidR="00517A3A" w:rsidRPr="00722885" w:rsidRDefault="00517A3A" w:rsidP="00722885">
      <w:pPr>
        <w:spacing w:after="0" w:line="240" w:lineRule="auto"/>
        <w:jc w:val="both"/>
        <w:rPr>
          <w:rFonts w:ascii="Times New Roman" w:hAnsi="Times New Roman"/>
          <w:color w:val="000000" w:themeColor="text1"/>
          <w:sz w:val="16"/>
          <w:szCs w:val="16"/>
        </w:rPr>
      </w:pPr>
    </w:p>
    <w:p w14:paraId="0E11364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завод № 24 сделал пять опытных дви</w:t>
      </w:r>
      <w:r w:rsidRPr="00722885">
        <w:rPr>
          <w:rFonts w:ascii="Times New Roman" w:hAnsi="Times New Roman"/>
          <w:color w:val="000000" w:themeColor="text1"/>
          <w:sz w:val="16"/>
          <w:szCs w:val="16"/>
        </w:rPr>
        <w:softHyphen/>
        <w:t>гателей АМ-42. На взлетном режиме мотор развил мощ</w:t>
      </w:r>
      <w:r w:rsidRPr="00722885">
        <w:rPr>
          <w:rFonts w:ascii="Times New Roman" w:hAnsi="Times New Roman"/>
          <w:color w:val="000000" w:themeColor="text1"/>
          <w:sz w:val="16"/>
          <w:szCs w:val="16"/>
        </w:rPr>
        <w:softHyphen/>
        <w:t>ность 1978 л.с. — почти на три сотни «лошадей» больше, чем давал серийный АМ-38Ф. Этой прибавки удалось добиться за счет повышения оборотов на взлетном режиме до 2510 об/мин и одновремен</w:t>
      </w:r>
      <w:r w:rsidRPr="00722885">
        <w:rPr>
          <w:rFonts w:ascii="Times New Roman" w:hAnsi="Times New Roman"/>
          <w:color w:val="000000" w:themeColor="text1"/>
          <w:sz w:val="16"/>
          <w:szCs w:val="16"/>
        </w:rPr>
        <w:softHyphen/>
        <w:t>ного повышения наддува. На номи</w:t>
      </w:r>
      <w:r w:rsidRPr="00722885">
        <w:rPr>
          <w:rFonts w:ascii="Times New Roman" w:hAnsi="Times New Roman"/>
          <w:color w:val="000000" w:themeColor="text1"/>
          <w:sz w:val="16"/>
          <w:szCs w:val="16"/>
        </w:rPr>
        <w:softHyphen/>
        <w:t>нальном режиме опытный АМ-42 по</w:t>
      </w:r>
      <w:r w:rsidRPr="00722885">
        <w:rPr>
          <w:rFonts w:ascii="Times New Roman" w:hAnsi="Times New Roman"/>
          <w:color w:val="000000" w:themeColor="text1"/>
          <w:sz w:val="16"/>
          <w:szCs w:val="16"/>
        </w:rPr>
        <w:softHyphen/>
        <w:t>казал мощность в 1762 л.с. Но работали первые моторы недолго. Разработка в столь сжатые сроки отра</w:t>
      </w:r>
      <w:r w:rsidRPr="00722885">
        <w:rPr>
          <w:rFonts w:ascii="Times New Roman" w:hAnsi="Times New Roman"/>
          <w:color w:val="000000" w:themeColor="text1"/>
          <w:sz w:val="16"/>
          <w:szCs w:val="16"/>
        </w:rPr>
        <w:softHyphen/>
        <w:t>зилась на качестве — требовалась тща</w:t>
      </w:r>
      <w:r w:rsidRPr="00722885">
        <w:rPr>
          <w:rFonts w:ascii="Times New Roman" w:hAnsi="Times New Roman"/>
          <w:color w:val="000000" w:themeColor="text1"/>
          <w:sz w:val="16"/>
          <w:szCs w:val="16"/>
        </w:rPr>
        <w:softHyphen/>
        <w:t>тельная доводка всех агрегатов и узлов. Завод ежемесячно собирал по три — пять экземпляров, на них опробовали различные усовершенствования (10680).</w:t>
      </w:r>
    </w:p>
    <w:p w14:paraId="455CAFB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FCCE7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ноябре 1942 г. изготовили первые пять опытных АМ-42. Это был низковысотный двигатель для штурмовика, дальнейшее развитие АМ-38Ф. Проектировали его на заводе № 24 под руководством М.В. Флисского, степень влияния на конструкцию этого мотора Микулина, сидевшего в Москве, но продолжавшего занимать должность главного конструктора в Куйбышеве, оценить довольно трудно. По сравнению с АМ-38Ф была опять уменьшена степень сжатия, но увеличен наддув; усилены коленчатый вал, шатуны и поршни. Ввели противовесы коленчатого вала, внесли изменения в маслосистему. Это позволило форсировать двигатель по оборотам. Далее изготовлялись небольшие партии (по три-пять двигателей в месяц) для доводки и испытаний. В январе 1943 г. АМ-42 прошел 50- часовые заводские испытания. В марте - мае того же года его облетывали на специально доработанном Ил-2 (Ил-АМ-42). Планировали провести государственные испытания АМ-42 в марте 1943 г., но двигатель не успели довести к этому сроку. В мае того же года Микулина освободили от обязанностей главного конструктора завода № 24, и дальнейшим совершенствованием мотора Флисский занимался самостоятельно. 23 сентября 1943 г. АМ-42 в первый раз представили на государственные испытания, с которых его довольно быстро сняли из-за прогара поршней. Последовала доводка двигателя. В ее ходе доработали беспоплавковый карбюратор К-42БПА, усилили силовые шпильки блока, юбки поршней, утолщили гильзы цилиндров, усилили редуктор. Госиспытания АМ-42 успешно прошел в апреле-мае 1944 г. Номинальная мощность равнялась 1750 л.с., а максимальная дошла до 2000 л.с. При этом вес у моторов первых серий был около 980 кг.</w:t>
      </w:r>
    </w:p>
    <w:p w14:paraId="42EC310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еще раньше, с самого начала 1944 г., двигатель запустили в серию на заводе No 24. Эти моторы ставили на штурмовики Ил- 10. АМ-42 изготовлялся в больших количествах. С 1947 г. усилили картер, щеки коленчатого вала, шатуны, шестерни редуктора.э увеличило вес сухого двигателя на 10 кг (до 1030 кг). Попробовали вариант с непосредственным впрыском, но внедрение его на Ил-10 потребовало бы внесения значительных изменений в винтомоторную установку, и от серийного производства отказались.</w:t>
      </w:r>
    </w:p>
    <w:p w14:paraId="7A21666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1948 г. АМ-42 сняли с производства, но в начале 1951 г. выпуск мотора восстановили в усовершенствованном варианте с ресурсом 400 часов (за счет нового увеличения веса) для Ил- 10М, но снова прекратили в 1954 г. Масштаб производства в 50-е годы был не сравним, с тем, что имел место во время войны - делали чуть более 300 моторов в год. Всего на заводе № 24 было изготовлено 10 232 двигателей АМ-42.</w:t>
      </w:r>
    </w:p>
    <w:p w14:paraId="6E636D1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весны 1952 г. АМ-42 также делали по лицензии в Чехословакии на заводе им. Димитрова как М-42 для штурмовиков В-33 (это был местный вариант Ил-10). Количество моторов, выпущенных там, неизвестно. AJM-42 экспортировался в Польшу, Венгрию, Румынию, Чехословакию, Китай и Северную Корею.</w:t>
      </w:r>
    </w:p>
    <w:p w14:paraId="775CF12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Существовало несколько опытных вариантов АМ-42. Например, имелась модификация с форкамер- ным зажиганием и степенью сжатия 7,0. Опытный образец ее испытывался на стенде в 1944 г. АМ-42Б (он же АМ-42ТК или АМ-42Б-ТК) - это вариант 1943 г. с переделанным ПЦН, новыми всасывающими патрубками и воздухо-воздушным интеркулером. Он комплектовался двумя турбонагнетателями ТК-300Б.</w:t>
      </w:r>
    </w:p>
    <w:p w14:paraId="439D6C3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Мощность была на уровне серийного типа, но номинальную мощность можно было удерживать до гораздо большей высоты. Такой двигатель изготовили в марте 1943 г., он испытывался на опытном истребителе "5А" конструкции А.И. Микояна. Был и еще один вариант с турбонаддувом - АМ-42ФБ-ТК с двумя турбонагнетателями ТК-1А.</w:t>
      </w:r>
    </w:p>
    <w:p w14:paraId="094D799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АМ-42ФНВ отличался непосредственным впрыском топлива. Он получился тяжелее карбюраторного "собрата" - вес дошел до 1000 кг. Испытания опытного образца АМ-42ФНВ на стенде были завершены 22 августа 1945 г., но серийно этот вариант строить не стали (11934).</w:t>
      </w:r>
    </w:p>
    <w:p w14:paraId="7C3E2FC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8BBDFA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ноября 1942 начались гос. испытания Су-6 (172,192).</w:t>
      </w:r>
    </w:p>
    <w:p w14:paraId="5A7FD4F8" w14:textId="77777777" w:rsidR="00090C9B" w:rsidRPr="00722885" w:rsidRDefault="00090C9B" w:rsidP="00722885">
      <w:pPr>
        <w:pStyle w:val="Iauiue"/>
        <w:jc w:val="both"/>
        <w:rPr>
          <w:color w:val="000000" w:themeColor="text1"/>
          <w:sz w:val="16"/>
          <w:szCs w:val="16"/>
        </w:rPr>
      </w:pPr>
    </w:p>
    <w:p w14:paraId="751A1D0F" w14:textId="77777777" w:rsidR="00F1597F" w:rsidRPr="00722885" w:rsidRDefault="00F159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на Ирбитском стеклоза</w:t>
      </w:r>
      <w:r w:rsidRPr="00722885">
        <w:rPr>
          <w:rFonts w:ascii="Times New Roman" w:hAnsi="Times New Roman"/>
          <w:color w:val="000000" w:themeColor="text1"/>
          <w:sz w:val="16"/>
          <w:szCs w:val="16"/>
        </w:rPr>
        <w:softHyphen/>
        <w:t>воде проводились испытания обстрелом опыт</w:t>
      </w:r>
      <w:r w:rsidRPr="00722885">
        <w:rPr>
          <w:rFonts w:ascii="Times New Roman" w:hAnsi="Times New Roman"/>
          <w:color w:val="000000" w:themeColor="text1"/>
          <w:sz w:val="16"/>
          <w:szCs w:val="16"/>
        </w:rPr>
        <w:softHyphen/>
        <w:t>ного комплекта прозрачной брони самолета Ил-2. Новый комплект отличался от серийного только тем, что плитки сталинита не шлифо</w:t>
      </w:r>
      <w:r w:rsidRPr="00722885">
        <w:rPr>
          <w:rFonts w:ascii="Times New Roman" w:hAnsi="Times New Roman"/>
          <w:color w:val="000000" w:themeColor="text1"/>
          <w:sz w:val="16"/>
          <w:szCs w:val="16"/>
        </w:rPr>
        <w:softHyphen/>
        <w:t>вались, а сверху блока на лицевой стороне наклеивалось покровное силикатное стекло толщиной 1,5-2,0 мм. Применение покровно</w:t>
      </w:r>
      <w:r w:rsidRPr="00722885">
        <w:rPr>
          <w:rFonts w:ascii="Times New Roman" w:hAnsi="Times New Roman"/>
          <w:color w:val="000000" w:themeColor="text1"/>
          <w:sz w:val="16"/>
          <w:szCs w:val="16"/>
        </w:rPr>
        <w:softHyphen/>
        <w:t>го стекла значительно улучшало</w:t>
      </w:r>
      <w:r w:rsidRPr="00722885">
        <w:rPr>
          <w:rStyle w:val="aff6"/>
          <w:rFonts w:ascii="Times New Roman" w:hAnsi="Times New Roman" w:cs="Times New Roman"/>
          <w:i w:val="0"/>
          <w:color w:val="000000" w:themeColor="text1"/>
        </w:rPr>
        <w:t xml:space="preserve"> «просматри- ваемость швов между плитками сталинита»</w:t>
      </w:r>
      <w:r w:rsidRPr="00722885">
        <w:rPr>
          <w:rFonts w:ascii="Times New Roman" w:hAnsi="Times New Roman"/>
          <w:color w:val="000000" w:themeColor="text1"/>
          <w:sz w:val="16"/>
          <w:szCs w:val="16"/>
        </w:rPr>
        <w:t xml:space="preserve"> и позволяло применять нешлифованные плитки сталинита, т.е.</w:t>
      </w:r>
      <w:r w:rsidRPr="00722885">
        <w:rPr>
          <w:rStyle w:val="aff6"/>
          <w:rFonts w:ascii="Times New Roman" w:hAnsi="Times New Roman" w:cs="Times New Roman"/>
          <w:i w:val="0"/>
          <w:color w:val="000000" w:themeColor="text1"/>
        </w:rPr>
        <w:t xml:space="preserve"> «отпадала самая трудоемкая операция производства сталинита».</w:t>
      </w:r>
      <w:r w:rsidRPr="00722885">
        <w:rPr>
          <w:rFonts w:ascii="Times New Roman" w:hAnsi="Times New Roman"/>
          <w:color w:val="000000" w:themeColor="text1"/>
          <w:sz w:val="16"/>
          <w:szCs w:val="16"/>
        </w:rPr>
        <w:t xml:space="preserve"> Испыта</w:t>
      </w:r>
      <w:r w:rsidRPr="00722885">
        <w:rPr>
          <w:rFonts w:ascii="Times New Roman" w:hAnsi="Times New Roman"/>
          <w:color w:val="000000" w:themeColor="text1"/>
          <w:sz w:val="16"/>
          <w:szCs w:val="16"/>
        </w:rPr>
        <w:softHyphen/>
        <w:t>ния отстрелом бронебойными пулями из вин</w:t>
      </w:r>
      <w:r w:rsidRPr="00722885">
        <w:rPr>
          <w:rFonts w:ascii="Times New Roman" w:hAnsi="Times New Roman"/>
          <w:color w:val="000000" w:themeColor="text1"/>
          <w:sz w:val="16"/>
          <w:szCs w:val="16"/>
        </w:rPr>
        <w:softHyphen/>
        <w:t>товки образца 1891/30 г. в целом дали положи</w:t>
      </w:r>
      <w:r w:rsidRPr="00722885">
        <w:rPr>
          <w:rFonts w:ascii="Times New Roman" w:hAnsi="Times New Roman"/>
          <w:color w:val="000000" w:themeColor="text1"/>
          <w:sz w:val="16"/>
          <w:szCs w:val="16"/>
        </w:rPr>
        <w:softHyphen/>
        <w:t>тельные результаты.</w:t>
      </w:r>
    </w:p>
    <w:p w14:paraId="05D9C908" w14:textId="77777777" w:rsidR="00F1597F" w:rsidRPr="00722885" w:rsidRDefault="00F159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этой связи заместитель главного ин</w:t>
      </w:r>
      <w:r w:rsidRPr="00722885">
        <w:rPr>
          <w:rFonts w:ascii="Times New Roman" w:hAnsi="Times New Roman"/>
          <w:color w:val="000000" w:themeColor="text1"/>
          <w:sz w:val="16"/>
          <w:szCs w:val="16"/>
        </w:rPr>
        <w:softHyphen/>
        <w:t xml:space="preserve">женера ВВС </w:t>
      </w:r>
      <w:r w:rsidRPr="00722885">
        <w:rPr>
          <w:rFonts w:ascii="Times New Roman" w:hAnsi="Times New Roman"/>
          <w:color w:val="000000" w:themeColor="text1"/>
          <w:sz w:val="16"/>
          <w:szCs w:val="16"/>
          <w:lang w:val="en-US"/>
        </w:rPr>
        <w:t>KA</w:t>
      </w:r>
      <w:r w:rsidRPr="00722885">
        <w:rPr>
          <w:rFonts w:ascii="Times New Roman" w:hAnsi="Times New Roman"/>
          <w:color w:val="000000" w:themeColor="text1"/>
          <w:sz w:val="16"/>
          <w:szCs w:val="16"/>
        </w:rPr>
        <w:t xml:space="preserve"> генерал-майор А.А. Лапин обратился к заместителю наркома промыш</w:t>
      </w:r>
      <w:r w:rsidRPr="00722885">
        <w:rPr>
          <w:rFonts w:ascii="Times New Roman" w:hAnsi="Times New Roman"/>
          <w:color w:val="000000" w:themeColor="text1"/>
          <w:sz w:val="16"/>
          <w:szCs w:val="16"/>
        </w:rPr>
        <w:softHyphen/>
        <w:t>ленности строительных материалов Тарасову с просьбой дать распоряжение Ирбитскому заводу об изготовлении опытной партии про</w:t>
      </w:r>
      <w:r w:rsidRPr="00722885">
        <w:rPr>
          <w:rFonts w:ascii="Times New Roman" w:hAnsi="Times New Roman"/>
          <w:color w:val="000000" w:themeColor="text1"/>
          <w:sz w:val="16"/>
          <w:szCs w:val="16"/>
        </w:rPr>
        <w:softHyphen/>
        <w:t>зрачной брони с покровным стеклом в количе</w:t>
      </w:r>
      <w:r w:rsidRPr="00722885">
        <w:rPr>
          <w:rFonts w:ascii="Times New Roman" w:hAnsi="Times New Roman"/>
          <w:color w:val="000000" w:themeColor="text1"/>
          <w:sz w:val="16"/>
          <w:szCs w:val="16"/>
        </w:rPr>
        <w:softHyphen/>
        <w:t>стве 50 комплектов, предназначенной для вой</w:t>
      </w:r>
      <w:r w:rsidRPr="00722885">
        <w:rPr>
          <w:rFonts w:ascii="Times New Roman" w:hAnsi="Times New Roman"/>
          <w:color w:val="000000" w:themeColor="text1"/>
          <w:sz w:val="16"/>
          <w:szCs w:val="16"/>
        </w:rPr>
        <w:softHyphen/>
        <w:t>сковых испытаний.</w:t>
      </w:r>
    </w:p>
    <w:p w14:paraId="0F01DFB2" w14:textId="77777777" w:rsidR="00F1597F" w:rsidRPr="00722885" w:rsidRDefault="00F1597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выпуске органического стекла для одного комплекта прозрачной брони ко</w:t>
      </w:r>
      <w:r w:rsidRPr="00722885">
        <w:rPr>
          <w:rFonts w:ascii="Times New Roman" w:hAnsi="Times New Roman"/>
          <w:color w:val="000000" w:themeColor="text1"/>
          <w:sz w:val="16"/>
          <w:szCs w:val="16"/>
        </w:rPr>
        <w:softHyphen/>
        <w:t>зырька фонаря кабины пилота штурмовика Ил-2 потреблялось 40 кг ацетона, 140 кг циансплава, 100 кг серной кислоты, 35 кг метанола, 5 кг дибутилфталата и 3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силикатного стекла (использовалось на формы для отливки орг</w:t>
      </w:r>
      <w:r w:rsidRPr="00722885">
        <w:rPr>
          <w:rFonts w:ascii="Times New Roman" w:hAnsi="Times New Roman"/>
          <w:color w:val="000000" w:themeColor="text1"/>
          <w:sz w:val="16"/>
          <w:szCs w:val="16"/>
        </w:rPr>
        <w:softHyphen/>
        <w:t>стекла). Причем</w:t>
      </w:r>
      <w:r w:rsidRPr="00722885">
        <w:rPr>
          <w:rStyle w:val="aff6"/>
          <w:rFonts w:ascii="Times New Roman" w:hAnsi="Times New Roman" w:cs="Times New Roman"/>
          <w:i w:val="0"/>
          <w:color w:val="000000" w:themeColor="text1"/>
        </w:rPr>
        <w:t xml:space="preserve"> «ввиду ограниченного отече</w:t>
      </w:r>
      <w:r w:rsidRPr="00722885">
        <w:rPr>
          <w:rStyle w:val="aff6"/>
          <w:rFonts w:ascii="Times New Roman" w:hAnsi="Times New Roman" w:cs="Times New Roman"/>
          <w:i w:val="0"/>
          <w:color w:val="000000" w:themeColor="text1"/>
        </w:rPr>
        <w:softHyphen/>
        <w:t>ственного производства»</w:t>
      </w:r>
      <w:r w:rsidRPr="00722885">
        <w:rPr>
          <w:rFonts w:ascii="Times New Roman" w:hAnsi="Times New Roman"/>
          <w:color w:val="000000" w:themeColor="text1"/>
          <w:sz w:val="16"/>
          <w:szCs w:val="16"/>
        </w:rPr>
        <w:t xml:space="preserve"> метанол и дибутил- фталат в основном импортировались, а серная кислота - жестко лимитировалась.</w:t>
      </w:r>
      <w:r w:rsidRPr="00722885">
        <w:rPr>
          <w:rStyle w:val="aff8"/>
          <w:rFonts w:ascii="Times New Roman" w:hAnsi="Times New Roman" w:cs="Times New Roman"/>
          <w:b w:val="0"/>
          <w:color w:val="000000" w:themeColor="text1"/>
          <w:spacing w:val="0"/>
          <w:sz w:val="16"/>
          <w:szCs w:val="16"/>
        </w:rPr>
        <w:t xml:space="preserve"> Кроме</w:t>
      </w:r>
      <w:r w:rsidRPr="00722885">
        <w:rPr>
          <w:rFonts w:ascii="Times New Roman" w:hAnsi="Times New Roman"/>
          <w:color w:val="000000" w:themeColor="text1"/>
          <w:sz w:val="16"/>
          <w:szCs w:val="16"/>
        </w:rPr>
        <w:t xml:space="preserve"> того, постоянно не хватало</w:t>
      </w:r>
      <w:r w:rsidRPr="00722885">
        <w:rPr>
          <w:rStyle w:val="aff8"/>
          <w:rFonts w:ascii="Times New Roman" w:hAnsi="Times New Roman" w:cs="Times New Roman"/>
          <w:b w:val="0"/>
          <w:color w:val="000000" w:themeColor="text1"/>
          <w:spacing w:val="0"/>
          <w:sz w:val="16"/>
          <w:szCs w:val="16"/>
        </w:rPr>
        <w:t xml:space="preserve"> силикатного стекла</w:t>
      </w:r>
      <w:r w:rsidRPr="00722885">
        <w:rPr>
          <w:rFonts w:ascii="Times New Roman" w:hAnsi="Times New Roman"/>
          <w:color w:val="000000" w:themeColor="text1"/>
          <w:sz w:val="16"/>
          <w:szCs w:val="16"/>
        </w:rPr>
        <w:t xml:space="preserve"> для форм, которое к тому</w:t>
      </w:r>
      <w:r w:rsidRPr="00722885">
        <w:rPr>
          <w:rStyle w:val="aff8"/>
          <w:rFonts w:ascii="Times New Roman" w:hAnsi="Times New Roman" w:cs="Times New Roman"/>
          <w:b w:val="0"/>
          <w:color w:val="000000" w:themeColor="text1"/>
          <w:spacing w:val="0"/>
          <w:sz w:val="16"/>
          <w:szCs w:val="16"/>
        </w:rPr>
        <w:t xml:space="preserve"> же отличалось низким </w:t>
      </w:r>
      <w:r w:rsidRPr="00722885">
        <w:rPr>
          <w:rFonts w:ascii="Times New Roman" w:hAnsi="Times New Roman"/>
          <w:color w:val="000000" w:themeColor="text1"/>
          <w:sz w:val="16"/>
          <w:szCs w:val="16"/>
        </w:rPr>
        <w:t>качеством (нешлифованное).</w:t>
      </w:r>
    </w:p>
    <w:p w14:paraId="55EF7472" w14:textId="77777777" w:rsidR="00F1597F" w:rsidRPr="00722885" w:rsidRDefault="00F1597F" w:rsidP="00722885">
      <w:pPr>
        <w:pStyle w:val="5f"/>
        <w:shd w:val="clear" w:color="auto" w:fill="auto"/>
        <w:spacing w:line="240" w:lineRule="auto"/>
        <w:jc w:val="both"/>
        <w:rPr>
          <w:rFonts w:ascii="Times New Roman" w:hAnsi="Times New Roman" w:cs="Times New Roman"/>
          <w:color w:val="000000" w:themeColor="text1"/>
          <w:sz w:val="16"/>
          <w:szCs w:val="16"/>
          <w:lang w:val="ru-RU"/>
        </w:rPr>
      </w:pPr>
      <w:r w:rsidRPr="00722885">
        <w:rPr>
          <w:rStyle w:val="5f1"/>
          <w:rFonts w:ascii="Times New Roman" w:hAnsi="Times New Roman" w:cs="Times New Roman"/>
          <w:b w:val="0"/>
          <w:color w:val="000000" w:themeColor="text1"/>
          <w:sz w:val="16"/>
          <w:szCs w:val="16"/>
          <w:lang w:val="ru-RU"/>
        </w:rPr>
        <w:t>Для изготовления</w:t>
      </w:r>
      <w:r w:rsidRPr="00722885">
        <w:rPr>
          <w:rFonts w:ascii="Times New Roman" w:hAnsi="Times New Roman" w:cs="Times New Roman"/>
          <w:color w:val="000000" w:themeColor="text1"/>
          <w:sz w:val="16"/>
          <w:szCs w:val="16"/>
          <w:lang w:val="ru-RU"/>
        </w:rPr>
        <w:t xml:space="preserve"> полибутилметакрилат- </w:t>
      </w:r>
      <w:r w:rsidRPr="00722885">
        <w:rPr>
          <w:rStyle w:val="5f1"/>
          <w:rFonts w:ascii="Times New Roman" w:hAnsi="Times New Roman" w:cs="Times New Roman"/>
          <w:b w:val="0"/>
          <w:color w:val="000000" w:themeColor="text1"/>
          <w:sz w:val="16"/>
          <w:szCs w:val="16"/>
          <w:lang w:val="ru-RU"/>
        </w:rPr>
        <w:t>ной склеивающей пленки</w:t>
      </w:r>
      <w:r w:rsidRPr="00722885">
        <w:rPr>
          <w:rFonts w:ascii="Times New Roman" w:hAnsi="Times New Roman" w:cs="Times New Roman"/>
          <w:color w:val="000000" w:themeColor="text1"/>
          <w:sz w:val="16"/>
          <w:szCs w:val="16"/>
          <w:lang w:val="ru-RU"/>
        </w:rPr>
        <w:t xml:space="preserve"> требовались те же </w:t>
      </w:r>
      <w:r w:rsidRPr="00722885">
        <w:rPr>
          <w:rStyle w:val="5f1"/>
          <w:rFonts w:ascii="Times New Roman" w:hAnsi="Times New Roman" w:cs="Times New Roman"/>
          <w:b w:val="0"/>
          <w:color w:val="000000" w:themeColor="text1"/>
          <w:sz w:val="16"/>
          <w:szCs w:val="16"/>
          <w:lang w:val="ru-RU"/>
        </w:rPr>
        <w:t>материалы, что и для</w:t>
      </w:r>
      <w:r w:rsidRPr="00722885">
        <w:rPr>
          <w:rFonts w:ascii="Times New Roman" w:hAnsi="Times New Roman" w:cs="Times New Roman"/>
          <w:color w:val="000000" w:themeColor="text1"/>
          <w:sz w:val="16"/>
          <w:szCs w:val="16"/>
          <w:lang w:val="ru-RU"/>
        </w:rPr>
        <w:t xml:space="preserve"> оргстекла.</w:t>
      </w:r>
      <w:r w:rsidRPr="00722885">
        <w:rPr>
          <w:rStyle w:val="50pt"/>
          <w:rFonts w:ascii="Times New Roman" w:hAnsi="Times New Roman" w:cs="Times New Roman"/>
          <w:color w:val="000000" w:themeColor="text1"/>
          <w:spacing w:val="0"/>
          <w:sz w:val="16"/>
          <w:szCs w:val="16"/>
          <w:lang w:val="ru-RU"/>
        </w:rPr>
        <w:t xml:space="preserve"> Кроме</w:t>
      </w:r>
      <w:r w:rsidRPr="00722885">
        <w:rPr>
          <w:rFonts w:ascii="Times New Roman" w:hAnsi="Times New Roman" w:cs="Times New Roman"/>
          <w:color w:val="000000" w:themeColor="text1"/>
          <w:sz w:val="16"/>
          <w:szCs w:val="16"/>
          <w:lang w:val="ru-RU"/>
        </w:rPr>
        <w:t xml:space="preserve"> того, </w:t>
      </w:r>
      <w:r w:rsidRPr="00722885">
        <w:rPr>
          <w:rStyle w:val="aff0"/>
          <w:rFonts w:ascii="Times New Roman" w:hAnsi="Times New Roman" w:cs="Times New Roman"/>
          <w:color w:val="000000" w:themeColor="text1"/>
          <w:spacing w:val="0"/>
          <w:sz w:val="16"/>
          <w:szCs w:val="16"/>
          <w:lang w:val="ru-RU"/>
        </w:rPr>
        <w:t>дополнительно использовался бутанол, кото</w:t>
      </w:r>
      <w:r w:rsidRPr="00722885">
        <w:rPr>
          <w:rStyle w:val="aff0"/>
          <w:rFonts w:ascii="Times New Roman" w:hAnsi="Times New Roman" w:cs="Times New Roman"/>
          <w:color w:val="000000" w:themeColor="text1"/>
          <w:spacing w:val="0"/>
          <w:sz w:val="16"/>
          <w:szCs w:val="16"/>
          <w:lang w:val="ru-RU"/>
        </w:rPr>
        <w:softHyphen/>
        <w:t>рый был в большом дефиците. На склейку бро- недеталей козырька самолета Ил-2 уходило около 3 кг пленки, для производства которой расходовалось 10 кг бутанола (17481).</w:t>
      </w:r>
    </w:p>
    <w:p w14:paraId="5E532FE0" w14:textId="77777777" w:rsidR="00F1597F" w:rsidRPr="00722885" w:rsidRDefault="00F1597F" w:rsidP="00722885">
      <w:pPr>
        <w:spacing w:after="0" w:line="240" w:lineRule="auto"/>
        <w:jc w:val="both"/>
        <w:rPr>
          <w:rFonts w:ascii="Times New Roman" w:hAnsi="Times New Roman"/>
          <w:color w:val="000000" w:themeColor="text1"/>
          <w:sz w:val="16"/>
          <w:szCs w:val="16"/>
        </w:rPr>
      </w:pPr>
    </w:p>
    <w:p w14:paraId="386084E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на заводе № 39 был построен первый иркутский Ил-4. В декабре собрали еще шесть. В январе 1943 г. были построены 10 бомбардировщиков, в июне темп достиг 15 машин в месяц. Начиная с октября по декабрь 1943 г. ежемесячно собирали по 30 машин, а затем темп стал сокращаться. Это было связано с очередным удивительным витком в биографии завода. Только- только вытянули Ил-4, и вдруг опять надо начинать перестройку производства. В сентябре завод №39 получил задание - параллельно с изготовлением Ил-4 организовать производство нового изделия - дальнего бомбардировщика Ер-2, причем первый Ер-2 следовало построить уже в декабре, с тем, чтобы начиная с января наращивать темп его выпуска при одновременном сокращении объемов строительства Ил-4.</w:t>
      </w:r>
    </w:p>
    <w:p w14:paraId="69D6AA2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№126 строил ДБ-ЗФ с темпов 60 самолетов в месяц. Этого было недостаточно для компенсации боевых потерь и наращивания численности Дальней авиации. В связи с этим в подмосковных Филях в марте 1942 г., на вернувшемся из Сибири заводе, получившем №23, тоже развернули производство Ил-4. Ввиду близости к ОКБ новый завод стал базой для отработки в условиях серийного производства всех необходимых переделок конструкции. Но его темп выпуска ДБ-ЗФ не превышал 30 машин в месяц, да и вышли на такой показатель только к ноябрю 1942 г.</w:t>
      </w:r>
    </w:p>
    <w:p w14:paraId="6B4A11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том же году для выпуска Ил-4 на площадке эвакуированного завода №39 в Москве организовали завод №81, а сам 39-й завод в Иркутске прекратил изготовление Пе-2 и Пе-3 в пользу Ил-4.</w:t>
      </w:r>
    </w:p>
    <w:p w14:paraId="13878C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Бесконечные переезды и переориентации заводов привели к тому, что даже ценой огромных усилий за 1941 г. было выпущено всего 757 ДБ-3 и ДБ-ЗФ, а за 1942 г. - 858 машин (12037).</w:t>
      </w:r>
    </w:p>
    <w:p w14:paraId="522E5A8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753547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на опытном Як-5 и модифицированном серийном Як-7 N 21-70 с М-105ПД закончили летные испытания автомата управления турбомуфтами конструкции ЦИАМ, начатые в октябре 1942. Выполнили 27 полетов продолжительностью 18:10. Положительных результатов не было (65,98).</w:t>
      </w:r>
    </w:p>
    <w:p w14:paraId="32DC4341" w14:textId="77777777" w:rsidR="00090C9B" w:rsidRPr="00722885" w:rsidRDefault="00090C9B" w:rsidP="00722885">
      <w:pPr>
        <w:pStyle w:val="Iauiue"/>
        <w:jc w:val="both"/>
        <w:rPr>
          <w:color w:val="000000" w:themeColor="text1"/>
          <w:sz w:val="16"/>
          <w:szCs w:val="16"/>
        </w:rPr>
      </w:pPr>
    </w:p>
    <w:p w14:paraId="470CEF4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Начавшиеся в ноябре 1942 года заводские испытания самолета Як-9 с М-106-1ск выявили серьезные дефекты двигателя (12047).</w:t>
      </w:r>
    </w:p>
    <w:p w14:paraId="56444864"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499F6C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ЦАГИ был разработан еше один вариант формы маслорадиатора для Як-1 и испытан в аэродинамической трубе Т-104 на натурном образце. Прирост максимальной скорости от применения такого маслорадиатора составил 6-8 км/ч. В июле 1943 г. его внедрили в серию, и после этого к совершенствованию аэродинамики Як-1 больше не возвращались (12048).</w:t>
      </w:r>
    </w:p>
    <w:p w14:paraId="719BF618"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73CE87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проведя первый этап улучшений, увенчавшийся выпуском Як-1б, ОКБ приступило к созданию машины, способной уверенно противостоять всем типам немецких истребителей. С этой целью исходная конструкция Як-1 была подвергнута тщательной ревизии в отношении веса и аэродинамики.</w:t>
      </w:r>
    </w:p>
    <w:p w14:paraId="46AEC6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прототип Як-IM с мотором М-105ПФ, построенный 15 февраля 1943 г., отличался от серийного Як-1, прежде всего, новым крылом меньшего размаха (9,2 м) и меньшей плошали (14,83 м2). Применение металлических лонжеронов крыла, уменьшение запаса топлива (установкой двух бензобаков в крыле и одного, расходного, в фюзеляже вместо четырех крыльевых бензобаков), уменьшение площади хвостового оперения и другие конструктивные мероприятия уменьшили полетный вес на 230 кг. Улучшение внешних форм и туннеля водо- радиатора (он стал более утоплен в фюзеляж, в связи с чем в стандартную ферму Як-1 в районе третьей рамы пришлось внести изменения для его крепления),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w:t>
      </w:r>
    </w:p>
    <w:p w14:paraId="3A0293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Як-IM успешно прошел заводские (с 28 февраля по 7 июня 1943 г.) и государственные (с 7 июня по 4 июля 1943 г.) испытания. К этому времени, основываясь на результатах испытаний мотора М-106, ОКБ Як-1 МДублер А.С. Яковлева выдвинуло предложение по дальнейшему форсированию мощности мотора М-Ю5ПФ путем увеличения наддува с 1050 до 1100 мм рт.ст.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w:t>
      </w:r>
    </w:p>
    <w:p w14:paraId="0FCECA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Разрешение на повышение наддува было получено от КБ В.Я. Климова, правда, только для первой скорости нагнетателя. С таким усеченным форсированием мощности мотора М-105ПФ Як-1М прошел 21-22 июля 1943 г.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конструкторов, установленные на Як-1М водо- и маслора- диаторы </w:t>
      </w:r>
      <w:r w:rsidRPr="00722885">
        <w:rPr>
          <w:rFonts w:ascii="Times New Roman" w:hAnsi="Times New Roman"/>
          <w:color w:val="000000" w:themeColor="text1"/>
          <w:sz w:val="16"/>
          <w:szCs w:val="16"/>
        </w:rPr>
        <w:lastRenderedPageBreak/>
        <w:t>оказались недостаточно эффективны. Для поиска дополнительных мер по улучшению обводов и работы устройств охлаждения самолет был отправлен в ЦАГИ, где в августе 1943 г. продувался в аэродинамической трубе.</w:t>
      </w:r>
    </w:p>
    <w:p w14:paraId="0B491B9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основе результатов продувок 17 сентября 1943 г.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 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0EB31B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082A8D4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37B64EA" w14:textId="77777777" w:rsidR="00734E2B" w:rsidRPr="00722885" w:rsidRDefault="00734E2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ЦАГИ разработал еще один вариант формы маслорадиатора для Як-1 и испытал его в аэродинамической трубе Т-104 на натурном образце (№ 0915). Прирост максимальной скорости составил 6—8 км/ч. В июле 1943 г. его внедрили в серию, и после этого к совершенствованию аэродинамики истребителя Як-1 больше не возвращались (19727).</w:t>
      </w:r>
    </w:p>
    <w:p w14:paraId="0FDB49B7" w14:textId="77777777" w:rsidR="00734E2B" w:rsidRPr="00722885" w:rsidRDefault="00734E2B" w:rsidP="00722885">
      <w:pPr>
        <w:spacing w:after="0" w:line="240" w:lineRule="auto"/>
        <w:jc w:val="both"/>
        <w:rPr>
          <w:rFonts w:ascii="Times New Roman" w:hAnsi="Times New Roman"/>
          <w:color w:val="000000" w:themeColor="text1"/>
          <w:sz w:val="16"/>
          <w:szCs w:val="16"/>
        </w:rPr>
      </w:pPr>
    </w:p>
    <w:p w14:paraId="6AA7A9C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ноября 1942 г. на заводе № 292 был начат выпуск машин с трудновоспламеняемым покрытием деревянных и полотняных частей конструкции, выполненным на основе полихлорвиниловых смол.</w:t>
      </w:r>
    </w:p>
    <w:p w14:paraId="3D2814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повышения сроков эксплуатации с 146-й серии торцы и открытые участки деревянных деталей (углубление в обшивке крыла под петлю щитков шасси; торцы лонжеронов; кромки вырезов в обшивке под купол шасси и хвостовую опору, под фонарь, АНО, фару, лючки; стрингер и кромки обшивки под петлей закрылков; кромки обшивки по торцам нервюр; кромки щелей под элероны и рули; кромки обшивки по носку стабилизатора и киля, по концевому ободу крыла; открытые кромки стенок лонжеронов) подвергли консервации. Консервация производилась лентами из ткани АОД или "маркизет" шириной 50-60 мм, подворачиваемыми внутрь подлине на 15-20 мм, а с торцов - на 25 мм. Ткань накладывалась на три слоя и покрывалась сверху еще тремя слоями нит- роклея, после чего все прокрашивали алюминиевым лаком А-2ал. Сверху наносился основной слой лакокрасочного покрытия, цвет которого с 148-й серии (с 20 июля 1943 г.) стал светло- и темно-серый (12048).</w:t>
      </w:r>
    </w:p>
    <w:p w14:paraId="45A36B3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955E95D" w14:textId="77777777" w:rsidR="00A3483C" w:rsidRPr="00722885" w:rsidRDefault="00A3483C" w:rsidP="00722885">
      <w:pPr>
        <w:pStyle w:val="a3"/>
        <w:rPr>
          <w:color w:val="000000" w:themeColor="text1"/>
          <w:lang w:val="ru-RU"/>
        </w:rPr>
      </w:pPr>
      <w:r w:rsidRPr="00722885">
        <w:rPr>
          <w:color w:val="000000" w:themeColor="text1"/>
          <w:lang w:val="ru-RU"/>
        </w:rPr>
        <w:t>В ноябре 1942 г. все самолёты МиГ-9 вернули с войсковых испытаний в ОКБ-155 для доработки ВМГ, в основном из-за неудовлетворительной работы моторов М-82А 1-й серии (15976).</w:t>
      </w:r>
    </w:p>
    <w:p w14:paraId="5FE66555" w14:textId="77777777" w:rsidR="00A3483C" w:rsidRPr="00722885" w:rsidRDefault="00A3483C" w:rsidP="00722885">
      <w:pPr>
        <w:pStyle w:val="a3"/>
        <w:rPr>
          <w:color w:val="000000" w:themeColor="text1"/>
          <w:lang w:val="ru-RU"/>
        </w:rPr>
      </w:pPr>
    </w:p>
    <w:p w14:paraId="24CA51D6" w14:textId="77777777" w:rsidR="00734E2B" w:rsidRPr="00722885" w:rsidRDefault="00734E2B"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ноябре 1942 г. самолет Ла-5, оснащенный двигателем М-82Ф, прошел государственные испытания и в декабре был запущен в серию под обозначением Ла-5Ф. Весной 1943-го с конвейера завода №21 стали сходить «Ла-5Ф с улучшенным обзором». За счет понижения гаргрота их фонарь стал каплевидным, а за головой пилота появилось прозрачное бронестекло вместо стального бронезаголовника.</w:t>
      </w:r>
    </w:p>
    <w:p w14:paraId="00B23E10" w14:textId="77777777" w:rsidR="00734E2B" w:rsidRPr="00722885" w:rsidRDefault="00734E2B"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Еще одним «нововведением» (а точнее – шагом назад) стала установка на части машин примитивных  рамочных прицелов ВВ-1 из-за нехватки и низкого качества коллиматорных прицелов ПБП-1а. Вооружение Ла-5Ф состояло из двух синхронных пушек ШВАК с боекомплектом по 200 снарядов на ствол, то есть оно вновь стало таким же, как и на ранних Ла-5 (19178).</w:t>
      </w:r>
    </w:p>
    <w:p w14:paraId="51038B95" w14:textId="77777777" w:rsidR="00734E2B" w:rsidRPr="00722885" w:rsidRDefault="00734E2B" w:rsidP="00722885">
      <w:pPr>
        <w:pStyle w:val="rtejustify"/>
        <w:shd w:val="clear" w:color="auto" w:fill="FFFFFF"/>
        <w:spacing w:before="0" w:beforeAutospacing="0" w:after="0" w:afterAutospacing="0"/>
        <w:jc w:val="both"/>
        <w:textAlignment w:val="baseline"/>
        <w:rPr>
          <w:color w:val="000000" w:themeColor="text1"/>
          <w:sz w:val="16"/>
          <w:szCs w:val="16"/>
        </w:rPr>
      </w:pPr>
    </w:p>
    <w:p w14:paraId="100EAD9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вышел отчет по испытаниям Як-6 с 2М-11Ф А.С.Я. в варианте ЛНБ на нормальную нагрузку 500 кг на наружной подвеске и ШКАС с 500 производства 47 завода (1785).</w:t>
      </w:r>
    </w:p>
    <w:p w14:paraId="1E258233" w14:textId="77777777" w:rsidR="00090C9B" w:rsidRPr="00722885" w:rsidRDefault="00090C9B" w:rsidP="00722885">
      <w:pPr>
        <w:pStyle w:val="Iauiue"/>
        <w:jc w:val="both"/>
        <w:rPr>
          <w:color w:val="000000" w:themeColor="text1"/>
          <w:sz w:val="16"/>
          <w:szCs w:val="16"/>
        </w:rPr>
      </w:pPr>
    </w:p>
    <w:p w14:paraId="20008EE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года заводчане завода № 27 в Казани приступили к освоению нового форсированного мотора В.Я.Климова - М105ПФ, мощностью 1200 лошадиных сил.</w:t>
      </w:r>
    </w:p>
    <w:p w14:paraId="5078275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1943 году в опытно - конструкторском бюро, возглавляемым В.П. Глушко был создан первый отечественный жидкостный реактивный двигатель РД-1. Он предназначался в качестве вспомогательного двигателя - ускорителя для улучшения взлётных, скоростных и высотных характеристик самолётов. Опытно - конструкторское бюро было укомплектовано высококвалифицированными учёными, конструкторами, экспериментаторами, технологами, металлургами, химиками. С 1942 по 1946 год заместителем Главного конструктора двигателей по лётным испытаниям здесь работал С.П. Королев. Таким образом в Казани на заводе №16 были сосредоточены самые талантливые двигателестроители.</w:t>
      </w:r>
    </w:p>
    <w:p w14:paraId="2C89F72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Первый послевоенный год особенно характерен интенсивной помощью заводчан сельским труженикам (в 1946 году директор завода М.М. Лукин издал приказ о производстве товаров народного потребления, а также узлов и деталей для производства сельхозмашин), а также выпуском товаров народного потребления.</w:t>
      </w:r>
    </w:p>
    <w:p w14:paraId="43DB05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Главная особенность послевоенного развития отечественной авиации в том, что происходило оно на базе реактивных двигателей. Они положительно отличались от сложных в производстве и капризных в эксплуатации поршневых моторов. Опытный образец такого двигателя, испытанного на наземном стенде, был создан ещё во время войны конструктором А. М. Люлька.</w:t>
      </w:r>
    </w:p>
    <w:p w14:paraId="44676A6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марте 1946 года правительство поручает заводу ответственейшее задание: освоить выпуск турбореактивного двигателя РД - 20. С этой целью на заводе создаётся опытно-конструкторское бюро (9688).</w:t>
      </w:r>
    </w:p>
    <w:p w14:paraId="4E6924C4" w14:textId="77777777" w:rsidR="00090C9B" w:rsidRPr="00722885" w:rsidRDefault="00090C9B" w:rsidP="00722885">
      <w:pPr>
        <w:pStyle w:val="Iauiue"/>
        <w:jc w:val="both"/>
        <w:rPr>
          <w:color w:val="000000" w:themeColor="text1"/>
          <w:sz w:val="16"/>
          <w:szCs w:val="16"/>
        </w:rPr>
      </w:pPr>
    </w:p>
    <w:p w14:paraId="32B45403"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1942-го был направлен на госиспытания самолет Ла-5 №39210101 с доработками: ликвидация консольных баков с увеличением центропланных, которая дала 30 кг, облегчение крыла - 25 кг, центроплана - 25 кг, установка стальных лонжеронов - 45 кг, облегчение фюзеляжа на 10 кг, горизонтального оперения - на 10 кг, установка БС вместо одной ШВАК также дала 20 кг экономии веса (4573).</w:t>
      </w:r>
    </w:p>
    <w:p w14:paraId="4B07C4A4" w14:textId="77777777" w:rsidR="00090C9B" w:rsidRPr="00722885" w:rsidRDefault="00090C9B" w:rsidP="00722885">
      <w:pPr>
        <w:pStyle w:val="Iauiue"/>
        <w:jc w:val="both"/>
        <w:rPr>
          <w:color w:val="000000" w:themeColor="text1"/>
          <w:sz w:val="16"/>
          <w:szCs w:val="16"/>
        </w:rPr>
      </w:pPr>
    </w:p>
    <w:p w14:paraId="040FA15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 практически сразу же, после начала поступления самолетов войска появились полевые переделки для обучения на новых тогда Ла-5 (4707).</w:t>
      </w:r>
    </w:p>
    <w:p w14:paraId="66AD77AC" w14:textId="77777777" w:rsidR="00090C9B" w:rsidRPr="00722885" w:rsidRDefault="00090C9B" w:rsidP="00722885">
      <w:pPr>
        <w:pStyle w:val="Iauiue"/>
        <w:jc w:val="both"/>
        <w:rPr>
          <w:color w:val="000000" w:themeColor="text1"/>
          <w:sz w:val="16"/>
          <w:szCs w:val="16"/>
        </w:rPr>
      </w:pPr>
    </w:p>
    <w:p w14:paraId="27D4DEF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был подготовлен отчет о команди</w:t>
      </w:r>
      <w:r w:rsidRPr="00722885">
        <w:rPr>
          <w:rFonts w:ascii="Times New Roman" w:hAnsi="Times New Roman"/>
          <w:color w:val="000000" w:themeColor="text1"/>
          <w:sz w:val="16"/>
          <w:szCs w:val="16"/>
        </w:rPr>
        <w:softHyphen/>
        <w:t>ровке в 287 ИАД ст. л-та Тимошенко А.Д.:</w:t>
      </w:r>
    </w:p>
    <w:p w14:paraId="2C7BAA7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 М-82 на самолете летным составом эксплоатировался все вре</w:t>
      </w:r>
      <w:r w:rsidRPr="00722885">
        <w:rPr>
          <w:rFonts w:ascii="Times New Roman" w:hAnsi="Times New Roman"/>
          <w:color w:val="000000" w:themeColor="text1"/>
          <w:sz w:val="16"/>
          <w:szCs w:val="16"/>
        </w:rPr>
        <w:softHyphen/>
        <w:t>мя на номинальном и взлетном ре</w:t>
      </w:r>
      <w:r w:rsidRPr="00722885">
        <w:rPr>
          <w:rFonts w:ascii="Times New Roman" w:hAnsi="Times New Roman"/>
          <w:color w:val="000000" w:themeColor="text1"/>
          <w:sz w:val="16"/>
          <w:szCs w:val="16"/>
        </w:rPr>
        <w:softHyphen/>
        <w:t>жимах, в результате чего ни один мо</w:t>
      </w:r>
      <w:r w:rsidRPr="00722885">
        <w:rPr>
          <w:rFonts w:ascii="Times New Roman" w:hAnsi="Times New Roman"/>
          <w:color w:val="000000" w:themeColor="text1"/>
          <w:sz w:val="16"/>
          <w:szCs w:val="16"/>
        </w:rPr>
        <w:softHyphen/>
        <w:t>тор по причине износа газоуплотни-тельных поршневых колец не вырабо</w:t>
      </w:r>
      <w:r w:rsidRPr="00722885">
        <w:rPr>
          <w:rFonts w:ascii="Times New Roman" w:hAnsi="Times New Roman"/>
          <w:color w:val="000000" w:themeColor="text1"/>
          <w:sz w:val="16"/>
          <w:szCs w:val="16"/>
        </w:rPr>
        <w:softHyphen/>
        <w:t>тал своего ресурса и, как правило, вы</w:t>
      </w:r>
      <w:r w:rsidRPr="00722885">
        <w:rPr>
          <w:rFonts w:ascii="Times New Roman" w:hAnsi="Times New Roman"/>
          <w:color w:val="000000" w:themeColor="text1"/>
          <w:sz w:val="16"/>
          <w:szCs w:val="16"/>
        </w:rPr>
        <w:softHyphen/>
        <w:t>ходил из строя после 35-40 часов. За время эксплоатации моторы ра</w:t>
      </w:r>
      <w:r w:rsidRPr="00722885">
        <w:rPr>
          <w:rFonts w:ascii="Times New Roman" w:hAnsi="Times New Roman"/>
          <w:color w:val="000000" w:themeColor="text1"/>
          <w:sz w:val="16"/>
          <w:szCs w:val="16"/>
        </w:rPr>
        <w:softHyphen/>
        <w:t>ботали хорошо, но имели ряд дефек</w:t>
      </w:r>
      <w:r w:rsidRPr="00722885">
        <w:rPr>
          <w:rFonts w:ascii="Times New Roman" w:hAnsi="Times New Roman"/>
          <w:color w:val="000000" w:themeColor="text1"/>
          <w:sz w:val="16"/>
          <w:szCs w:val="16"/>
        </w:rPr>
        <w:softHyphen/>
        <w:t>тов...</w:t>
      </w:r>
    </w:p>
    <w:p w14:paraId="1F484CB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с 18 августа по 21 октяб</w:t>
      </w:r>
      <w:r w:rsidRPr="00722885">
        <w:rPr>
          <w:rFonts w:ascii="Times New Roman" w:hAnsi="Times New Roman"/>
          <w:color w:val="000000" w:themeColor="text1"/>
          <w:sz w:val="16"/>
          <w:szCs w:val="16"/>
        </w:rPr>
        <w:softHyphen/>
        <w:t>ря было 46 случаев возврата самолетов с боевого задания по причине неисправности моторов и 26 случа</w:t>
      </w:r>
      <w:r w:rsidRPr="00722885">
        <w:rPr>
          <w:rFonts w:ascii="Times New Roman" w:hAnsi="Times New Roman"/>
          <w:color w:val="000000" w:themeColor="text1"/>
          <w:sz w:val="16"/>
          <w:szCs w:val="16"/>
        </w:rPr>
        <w:softHyphen/>
        <w:t>ев невозвращения самолетов по не</w:t>
      </w:r>
      <w:r w:rsidRPr="00722885">
        <w:rPr>
          <w:rFonts w:ascii="Times New Roman" w:hAnsi="Times New Roman"/>
          <w:color w:val="000000" w:themeColor="text1"/>
          <w:sz w:val="16"/>
          <w:szCs w:val="16"/>
        </w:rPr>
        <w:softHyphen/>
        <w:t>известным причинам, всего на 21 ок</w:t>
      </w:r>
      <w:r w:rsidRPr="00722885">
        <w:rPr>
          <w:rFonts w:ascii="Times New Roman" w:hAnsi="Times New Roman"/>
          <w:color w:val="000000" w:themeColor="text1"/>
          <w:sz w:val="16"/>
          <w:szCs w:val="16"/>
        </w:rPr>
        <w:softHyphen/>
        <w:t>тября в дивизии от 110 самолетов осталось только 12 самолетов, из них 4 самолета без моторов...</w:t>
      </w:r>
    </w:p>
    <w:p w14:paraId="33B2B62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Дивизия была укомплектована са</w:t>
      </w:r>
      <w:r w:rsidRPr="00722885">
        <w:rPr>
          <w:rFonts w:ascii="Times New Roman" w:hAnsi="Times New Roman"/>
          <w:color w:val="000000" w:themeColor="text1"/>
          <w:sz w:val="16"/>
          <w:szCs w:val="16"/>
        </w:rPr>
        <w:softHyphen/>
        <w:t>молетами и летным составом перед самым вылетом на фронт. Летный состав не имел должной тренировки на самолетах Ла-5 и на фронт при</w:t>
      </w:r>
      <w:r w:rsidRPr="00722885">
        <w:rPr>
          <w:rFonts w:ascii="Times New Roman" w:hAnsi="Times New Roman"/>
          <w:color w:val="000000" w:themeColor="text1"/>
          <w:sz w:val="16"/>
          <w:szCs w:val="16"/>
        </w:rPr>
        <w:softHyphen/>
        <w:t>был впервые, не имея боевого опыта, что серьезно отразилось на выход матчасти из строя. Не имея знаний матчасти, летный состав во время ве</w:t>
      </w:r>
      <w:r w:rsidRPr="00722885">
        <w:rPr>
          <w:rFonts w:ascii="Times New Roman" w:hAnsi="Times New Roman"/>
          <w:color w:val="000000" w:themeColor="text1"/>
          <w:sz w:val="16"/>
          <w:szCs w:val="16"/>
        </w:rPr>
        <w:softHyphen/>
        <w:t>дения боя придерживался низких вы</w:t>
      </w:r>
      <w:r w:rsidRPr="00722885">
        <w:rPr>
          <w:rFonts w:ascii="Times New Roman" w:hAnsi="Times New Roman"/>
          <w:color w:val="000000" w:themeColor="text1"/>
          <w:sz w:val="16"/>
          <w:szCs w:val="16"/>
        </w:rPr>
        <w:softHyphen/>
        <w:t>сот, не используя преимущество мо</w:t>
      </w:r>
      <w:r w:rsidRPr="00722885">
        <w:rPr>
          <w:rFonts w:ascii="Times New Roman" w:hAnsi="Times New Roman"/>
          <w:color w:val="000000" w:themeColor="text1"/>
          <w:sz w:val="16"/>
          <w:szCs w:val="16"/>
        </w:rPr>
        <w:softHyphen/>
        <w:t>тора М-82, что давало возможность истребителям противника находить</w:t>
      </w:r>
      <w:r w:rsidRPr="00722885">
        <w:rPr>
          <w:rFonts w:ascii="Times New Roman" w:hAnsi="Times New Roman"/>
          <w:color w:val="000000" w:themeColor="text1"/>
          <w:sz w:val="16"/>
          <w:szCs w:val="16"/>
        </w:rPr>
        <w:softHyphen/>
        <w:t>ся выше наших самолетов. Не имея боевого опыта, летный состав бросал ведущий самолет в бою, уход из боя мотивировал неисправностью мото</w:t>
      </w:r>
      <w:r w:rsidRPr="00722885">
        <w:rPr>
          <w:rFonts w:ascii="Times New Roman" w:hAnsi="Times New Roman"/>
          <w:color w:val="000000" w:themeColor="text1"/>
          <w:sz w:val="16"/>
          <w:szCs w:val="16"/>
        </w:rPr>
        <w:softHyphen/>
        <w:t>ра, что никогда не подтверждалось, или потерей ведущего самолета...</w:t>
      </w:r>
    </w:p>
    <w:p w14:paraId="6A02FB8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Причина потерь самолетов:</w:t>
      </w:r>
    </w:p>
    <w:p w14:paraId="0F78C34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 причине неимения боевого опыта летным составом - 20%</w:t>
      </w:r>
    </w:p>
    <w:p w14:paraId="26E7AAE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 причине незнания мат.части летным составом - 10%</w:t>
      </w:r>
    </w:p>
    <w:p w14:paraId="2094E17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По причине незнания мат.части техническим составом - 10%</w:t>
      </w:r>
    </w:p>
    <w:p w14:paraId="0A99B7B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По причине дефектов завода 21</w:t>
      </w:r>
    </w:p>
    <w:p w14:paraId="4629D78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- 15%</w:t>
      </w:r>
    </w:p>
    <w:p w14:paraId="4E3D122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По причине дефектов завода 19</w:t>
      </w:r>
    </w:p>
    <w:p w14:paraId="17EF4FE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p w14:paraId="52D8CE3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Потери в боях - 40% Летный состав дивизии считает самолет Ла-5 современным истреби</w:t>
      </w:r>
      <w:r w:rsidRPr="00722885">
        <w:rPr>
          <w:rFonts w:ascii="Times New Roman" w:hAnsi="Times New Roman"/>
          <w:color w:val="000000" w:themeColor="text1"/>
          <w:sz w:val="16"/>
          <w:szCs w:val="16"/>
        </w:rPr>
        <w:softHyphen/>
        <w:t>телем. На самолете Ла-5 можно вес</w:t>
      </w:r>
      <w:r w:rsidRPr="00722885">
        <w:rPr>
          <w:rFonts w:ascii="Times New Roman" w:hAnsi="Times New Roman"/>
          <w:color w:val="000000" w:themeColor="text1"/>
          <w:sz w:val="16"/>
          <w:szCs w:val="16"/>
        </w:rPr>
        <w:softHyphen/>
        <w:t>ти борьбу со всеми самолетами про</w:t>
      </w:r>
      <w:r w:rsidRPr="00722885">
        <w:rPr>
          <w:rFonts w:ascii="Times New Roman" w:hAnsi="Times New Roman"/>
          <w:color w:val="000000" w:themeColor="text1"/>
          <w:sz w:val="16"/>
          <w:szCs w:val="16"/>
        </w:rPr>
        <w:softHyphen/>
        <w:t>тивника, за исключением истребите</w:t>
      </w:r>
      <w:r w:rsidRPr="00722885">
        <w:rPr>
          <w:rFonts w:ascii="Times New Roman" w:hAnsi="Times New Roman"/>
          <w:color w:val="000000" w:themeColor="text1"/>
          <w:sz w:val="16"/>
          <w:szCs w:val="16"/>
        </w:rPr>
        <w:softHyphen/>
        <w:t>ля противника Мессершмитт 109-Ф-3, который имеет преимущество по вер</w:t>
      </w:r>
      <w:r w:rsidRPr="00722885">
        <w:rPr>
          <w:rFonts w:ascii="Times New Roman" w:hAnsi="Times New Roman"/>
          <w:color w:val="000000" w:themeColor="text1"/>
          <w:sz w:val="16"/>
          <w:szCs w:val="16"/>
        </w:rPr>
        <w:softHyphen/>
        <w:t>тикальной и горизонтальной скорос</w:t>
      </w:r>
      <w:r w:rsidRPr="00722885">
        <w:rPr>
          <w:rFonts w:ascii="Times New Roman" w:hAnsi="Times New Roman"/>
          <w:color w:val="000000" w:themeColor="text1"/>
          <w:sz w:val="16"/>
          <w:szCs w:val="16"/>
        </w:rPr>
        <w:softHyphen/>
        <w:t>тям.</w:t>
      </w:r>
    </w:p>
    <w:p w14:paraId="626C25D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Инженерно-технический состав дивизии считает, что мотор М-82 яв</w:t>
      </w:r>
      <w:r w:rsidRPr="00722885">
        <w:rPr>
          <w:rFonts w:ascii="Times New Roman" w:hAnsi="Times New Roman"/>
          <w:color w:val="000000" w:themeColor="text1"/>
          <w:sz w:val="16"/>
          <w:szCs w:val="16"/>
        </w:rPr>
        <w:softHyphen/>
        <w:t>ляется современным, требующим се</w:t>
      </w:r>
      <w:r w:rsidRPr="00722885">
        <w:rPr>
          <w:rFonts w:ascii="Times New Roman" w:hAnsi="Times New Roman"/>
          <w:color w:val="000000" w:themeColor="text1"/>
          <w:sz w:val="16"/>
          <w:szCs w:val="16"/>
        </w:rPr>
        <w:softHyphen/>
        <w:t>рьезного знания матчасти мотора для его эксплоатации. При правильной эксплоатации мотор работает безот</w:t>
      </w:r>
      <w:r w:rsidRPr="00722885">
        <w:rPr>
          <w:rFonts w:ascii="Times New Roman" w:hAnsi="Times New Roman"/>
          <w:color w:val="000000" w:themeColor="text1"/>
          <w:sz w:val="16"/>
          <w:szCs w:val="16"/>
        </w:rPr>
        <w:softHyphen/>
        <w:t>казно...» (10699).</w:t>
      </w:r>
    </w:p>
    <w:p w14:paraId="69F5823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A91B6F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ноябре 1942 г. в НИИ ВВС поступил И-185 М-71, являющийся эталоном для серийного производства. Государственные испытания велись до 26 декабря, летал испытатель П.М.Стефановский. Хотя двигатель работал не вполне надежно (в про-испытаний заменили два М-71), были олучены весьма высокие результаты по части полетной скорости самолета, являющейся о-прежнему главным мерилом достоинства машин. У земли максимальная скорость расставила 560 км/ч (600 км/ч - на форсаже), на высоте 6 км - 680 км/ч. Отмечалось, что в от-льных полетах Стефановский превысил по-ретную скорость 700 км/ч (9979).</w:t>
      </w:r>
    </w:p>
    <w:p w14:paraId="1325486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8563D2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начались испытания ИТП Н.Н.П. (681,204). Похоже, что летал л З (?) и он плохо зная матчасть чуть-чуть не разбил машину садясь на малом шаге с облегчением винта. На этом работу по этой машине, названной М-1, остановили и работали над М-2 (2863,117).</w:t>
      </w:r>
    </w:p>
    <w:p w14:paraId="3F74D6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 другим данным 23 ноября 1943. Да, но это уже машина с АМ-39.</w:t>
      </w:r>
    </w:p>
    <w:p w14:paraId="005355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 бронекорпуса штур</w:t>
      </w:r>
      <w:r w:rsidRPr="00722885">
        <w:rPr>
          <w:color w:val="000000" w:themeColor="text1"/>
          <w:sz w:val="16"/>
          <w:szCs w:val="16"/>
        </w:rPr>
        <w:softHyphen/>
        <w:t>мовиков Ил-2 стали изготавливаться из авиационной брони АБ-2 с меньшим, чем у АБ-1, содержанием никеля (в два раза) и молибдена (в три раза) из-за их острого дефицита. Пулестойкость новой брони осталась прежней, но технологи</w:t>
      </w:r>
      <w:r w:rsidRPr="00722885">
        <w:rPr>
          <w:color w:val="000000" w:themeColor="text1"/>
          <w:sz w:val="16"/>
          <w:szCs w:val="16"/>
        </w:rPr>
        <w:softHyphen/>
        <w:t>ческий процесс штамповки стал слож</w:t>
      </w:r>
      <w:r w:rsidRPr="00722885">
        <w:rPr>
          <w:color w:val="000000" w:themeColor="text1"/>
          <w:sz w:val="16"/>
          <w:szCs w:val="16"/>
        </w:rPr>
        <w:softHyphen/>
        <w:t>нее. Впоследствии была разработана еще более экономичная по рецептуре броня АБ-3 (6467).</w:t>
      </w:r>
    </w:p>
    <w:p w14:paraId="17FBC01E" w14:textId="77777777" w:rsidR="00090C9B" w:rsidRPr="00722885" w:rsidRDefault="00090C9B" w:rsidP="00722885">
      <w:pPr>
        <w:pStyle w:val="Iauiue"/>
        <w:jc w:val="both"/>
        <w:rPr>
          <w:color w:val="000000" w:themeColor="text1"/>
          <w:sz w:val="16"/>
          <w:szCs w:val="16"/>
        </w:rPr>
      </w:pPr>
    </w:p>
    <w:p w14:paraId="3005F64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от Поликарпова потребовали рассмотреть вопрос о возможности установки на НБ дизельных мо</w:t>
      </w:r>
      <w:r w:rsidRPr="00722885">
        <w:rPr>
          <w:rFonts w:ascii="Times New Roman" w:hAnsi="Times New Roman"/>
          <w:color w:val="000000" w:themeColor="text1"/>
          <w:sz w:val="16"/>
          <w:szCs w:val="16"/>
        </w:rPr>
        <w:softHyphen/>
        <w:t>торов М-30Б. Соответствующий эскизный проект этой модификации был готов к началу 1943 г. М-30Б имел взлетную мощность 1500 л.с. и 1250 л.с. на высоте 6000 м, т.е. меньшую, чем М-71 и М-82. Естественно, что с этим мотором ожидаемые летные характеристики получались не очень высокими: максимальная скорость не превы</w:t>
      </w:r>
      <w:r w:rsidRPr="00722885">
        <w:rPr>
          <w:rFonts w:ascii="Times New Roman" w:hAnsi="Times New Roman"/>
          <w:color w:val="000000" w:themeColor="text1"/>
          <w:sz w:val="16"/>
          <w:szCs w:val="16"/>
        </w:rPr>
        <w:softHyphen/>
        <w:t>шала 475 км/ч на высоте 6000 м, практический потолок понизился до 7600 м, время набора высоты 5000 м воз</w:t>
      </w:r>
      <w:r w:rsidRPr="00722885">
        <w:rPr>
          <w:rFonts w:ascii="Times New Roman" w:hAnsi="Times New Roman"/>
          <w:color w:val="000000" w:themeColor="text1"/>
          <w:sz w:val="16"/>
          <w:szCs w:val="16"/>
        </w:rPr>
        <w:softHyphen/>
        <w:t>росло до 21,7 мин. Зато дальность полета на 0,8 Умакс увеличилась до 4900 км, продолжительность полета - до 12,6 часов. Самолет имел дальность 1000 км с 4000 кг бомб и 4000 км с 1000 кг бомб. Для взлета требовалась дистанция 960-1000 м. Вес пустого самолета стал теперь равен 8835 кг. В итоге стало ясно, что повышение дальности не ис</w:t>
      </w:r>
      <w:r w:rsidRPr="00722885">
        <w:rPr>
          <w:rFonts w:ascii="Times New Roman" w:hAnsi="Times New Roman"/>
          <w:color w:val="000000" w:themeColor="text1"/>
          <w:sz w:val="16"/>
          <w:szCs w:val="16"/>
        </w:rPr>
        <w:softHyphen/>
        <w:t>купает ухудшения всех других характеристик. Поэтому приняли решение о постройке бомбардировщика с дву</w:t>
      </w:r>
      <w:r w:rsidRPr="00722885">
        <w:rPr>
          <w:rFonts w:ascii="Times New Roman" w:hAnsi="Times New Roman"/>
          <w:color w:val="000000" w:themeColor="text1"/>
          <w:sz w:val="16"/>
          <w:szCs w:val="16"/>
        </w:rPr>
        <w:softHyphen/>
        <w:t>мя двигателями М-82ФНВ. Второй экземпляр предпола</w:t>
      </w:r>
      <w:r w:rsidRPr="00722885">
        <w:rPr>
          <w:rFonts w:ascii="Times New Roman" w:hAnsi="Times New Roman"/>
          <w:color w:val="000000" w:themeColor="text1"/>
          <w:sz w:val="16"/>
          <w:szCs w:val="16"/>
        </w:rPr>
        <w:softHyphen/>
        <w:t>галось выпустить с М-71 (10667).</w:t>
      </w:r>
    </w:p>
    <w:p w14:paraId="6FC5A63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0C856BC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появился акт по гос. испытаниям самолета Пе-2 вМ105РА серийный N 20/115 В.М.П. производства 22 завода (1785).</w:t>
      </w:r>
    </w:p>
    <w:p w14:paraId="7584CAAB" w14:textId="77777777" w:rsidR="00090C9B" w:rsidRPr="00722885" w:rsidRDefault="00090C9B" w:rsidP="00722885">
      <w:pPr>
        <w:pStyle w:val="Iauiue"/>
        <w:jc w:val="both"/>
        <w:rPr>
          <w:color w:val="000000" w:themeColor="text1"/>
          <w:sz w:val="16"/>
          <w:szCs w:val="16"/>
        </w:rPr>
      </w:pPr>
    </w:p>
    <w:p w14:paraId="025FFB5C"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ноябре 1942 инженер-ин</w:t>
      </w:r>
      <w:r w:rsidRPr="00722885">
        <w:rPr>
          <w:rFonts w:ascii="Times New Roman" w:cs="Times New Roman"/>
          <w:color w:val="000000" w:themeColor="text1"/>
          <w:spacing w:val="0"/>
          <w:sz w:val="16"/>
          <w:szCs w:val="16"/>
        </w:rPr>
        <w:softHyphen/>
        <w:t>спектор ОЭР завода №22 Т.А. Дудинов после возвращения из командировки в 15-ю ВА до</w:t>
      </w:r>
      <w:r w:rsidRPr="00722885">
        <w:rPr>
          <w:rFonts w:ascii="Times New Roman" w:cs="Times New Roman"/>
          <w:color w:val="000000" w:themeColor="text1"/>
          <w:spacing w:val="0"/>
          <w:sz w:val="16"/>
          <w:szCs w:val="16"/>
        </w:rPr>
        <w:softHyphen/>
        <w:t>кладывал:</w:t>
      </w:r>
    </w:p>
    <w:p w14:paraId="373AA801" w14:textId="77777777" w:rsidR="00A3483C" w:rsidRPr="00722885" w:rsidRDefault="00A3483C"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«1. Командование боевых соединений и в особенности летный состав заявляют, что на выпускаемых машинах Пе-2 устанавливаемая броня стрелку радисту не соответствует свое</w:t>
      </w:r>
      <w:r w:rsidRPr="00722885">
        <w:rPr>
          <w:rFonts w:ascii="Times New Roman" w:cs="Times New Roman"/>
          <w:color w:val="000000" w:themeColor="text1"/>
          <w:sz w:val="16"/>
          <w:szCs w:val="16"/>
        </w:rPr>
        <w:softHyphen/>
        <w:t>му назначению и является мертвым грузом по следующим доводам:</w:t>
      </w:r>
    </w:p>
    <w:p w14:paraId="604BEEF4" w14:textId="77777777" w:rsidR="00A3483C" w:rsidRPr="00722885" w:rsidRDefault="00A3483C" w:rsidP="00722885">
      <w:pPr>
        <w:pStyle w:val="45"/>
        <w:shd w:val="clear" w:color="auto" w:fill="auto"/>
        <w:tabs>
          <w:tab w:val="left" w:pos="486"/>
        </w:tabs>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а) броня установлена для защиты от атаки истребителя в секторах обстрела, обстрелива</w:t>
      </w:r>
      <w:r w:rsidRPr="00722885">
        <w:rPr>
          <w:rFonts w:ascii="Times New Roman" w:cs="Times New Roman"/>
          <w:color w:val="000000" w:themeColor="text1"/>
          <w:sz w:val="16"/>
          <w:szCs w:val="16"/>
        </w:rPr>
        <w:softHyphen/>
        <w:t>емых штурманом и стрелком радистом, а не со стороны не обстреливаемых секторов;</w:t>
      </w:r>
    </w:p>
    <w:p w14:paraId="5C1AE726" w14:textId="77777777" w:rsidR="00A3483C" w:rsidRPr="00722885" w:rsidRDefault="00A3483C" w:rsidP="00722885">
      <w:pPr>
        <w:pStyle w:val="45"/>
        <w:shd w:val="clear" w:color="auto" w:fill="auto"/>
        <w:tabs>
          <w:tab w:val="left" w:pos="514"/>
        </w:tabs>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б) немецкие истребители атакуют наши машины снизу под крыло, с хвоста атаки ис</w:t>
      </w:r>
      <w:r w:rsidRPr="00722885">
        <w:rPr>
          <w:rFonts w:ascii="Times New Roman" w:cs="Times New Roman"/>
          <w:color w:val="000000" w:themeColor="text1"/>
          <w:sz w:val="16"/>
          <w:szCs w:val="16"/>
        </w:rPr>
        <w:softHyphen/>
        <w:t>требители избегают. Поэтому существующая броня является мертвым грузом и стрелки радисты, не видя от брони пользы, осаждают командование просьбами выбросить броню, а ввести броню снизу на пол и в нижней части с боку, в местах нахождения стрелка-радиста в период отражения атаки истребителей. С до</w:t>
      </w:r>
      <w:r w:rsidRPr="00722885">
        <w:rPr>
          <w:rFonts w:ascii="Times New Roman" w:cs="Times New Roman"/>
          <w:color w:val="000000" w:themeColor="text1"/>
          <w:sz w:val="16"/>
          <w:szCs w:val="16"/>
        </w:rPr>
        <w:softHyphen/>
        <w:t>водами командования, я лично согласен и счи</w:t>
      </w:r>
      <w:r w:rsidRPr="00722885">
        <w:rPr>
          <w:rFonts w:ascii="Times New Roman" w:cs="Times New Roman"/>
          <w:color w:val="000000" w:themeColor="text1"/>
          <w:sz w:val="16"/>
          <w:szCs w:val="16"/>
        </w:rPr>
        <w:softHyphen/>
        <w:t>таю, что броню необходимо переставить, т.е. поставить броню на пол по бокам снизу в зоне боковых установок» (15778).</w:t>
      </w:r>
    </w:p>
    <w:p w14:paraId="0F2274D9" w14:textId="77777777" w:rsidR="00A3483C" w:rsidRPr="00722885" w:rsidRDefault="00A3483C" w:rsidP="00722885">
      <w:pPr>
        <w:pStyle w:val="aff9"/>
        <w:shd w:val="clear" w:color="auto" w:fill="auto"/>
        <w:spacing w:line="240" w:lineRule="auto"/>
        <w:jc w:val="both"/>
        <w:rPr>
          <w:rFonts w:ascii="Times New Roman" w:hAnsi="Times New Roman" w:cs="Times New Roman"/>
          <w:b w:val="0"/>
          <w:color w:val="000000" w:themeColor="text1"/>
          <w:sz w:val="16"/>
          <w:szCs w:val="16"/>
        </w:rPr>
      </w:pPr>
    </w:p>
    <w:p w14:paraId="37E96CB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 в НИИ ВВС проходил испытания очередной Пе-2 зав. № 5/129 в варианте разведчика, который даже без наружных подвесок сумел разогнаться только до 492 км/ч на расчетной высоте 4700 м. (Для сравнения отметим, что BH09F и G имели превосходство в скорости в 100 км/ч и более) (4476).</w:t>
      </w:r>
    </w:p>
    <w:p w14:paraId="10FC980D" w14:textId="77777777" w:rsidR="00090C9B" w:rsidRPr="00722885" w:rsidRDefault="00090C9B" w:rsidP="00722885">
      <w:pPr>
        <w:pStyle w:val="Iauiue"/>
        <w:jc w:val="both"/>
        <w:rPr>
          <w:color w:val="000000" w:themeColor="text1"/>
          <w:sz w:val="16"/>
          <w:szCs w:val="16"/>
        </w:rPr>
      </w:pPr>
    </w:p>
    <w:p w14:paraId="4561EF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в НИИ ВВС проходил испытания очередной Пе-2 зав. № 5/129 в варианте разведчика, который даже без наружных подвесок сумел разогнаться только до 492 км/ч на расчетной высоте 4700 м.</w:t>
      </w:r>
    </w:p>
    <w:p w14:paraId="593F5D8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Разведчики, как правило, имели увеличенный запас горючего, например, за счет дополнительного бака в бомбоотсеке, но чаше применяли подвесные сигарообразные сбрасываемые баки. Изготовлялись баки из обработанного особым образом и застывшего раствора сульфатной крафт-целлюлозы, промазанного казеиновым клеем. Фактически они являлись бумажными. Для жесткости внутри бака устанавливались фанерные перегородки-шпангоуты с вырезами. В такой бак можно было залить 335 л бензина, но обычно заправляли не более 290 л. Подвеска баков снижала максимальную скорость горизонтального полета на 30-35 км/час, а потолок на 300-400 м, при этом удлинялся разбег и ухудшалась скороподъемность, зато радиус действия увеличивался с 450 км до 625-650 км. После использования баки сбрасывались.</w:t>
      </w:r>
    </w:p>
    <w:p w14:paraId="6EF4B20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Спецоборудование разведчика несколько отличалось от оборудования бомбардировщика Пе-2. В частности, устанавливался автомат курса АК-1 - прибор, стабилизирующий самолет относительно вертикальной оси путем воздействия на руль поворота. АК-1 обеспечивал выдерживание курса с точностью 1-2°, разгружая внимание пилота. Автомат мог также производить заданные развороты, для чего у летчика и штурмана имелись специальные органы управления (краны пневмосистемы). Блок АК-1 монтировался под сиденьем пилота и был связан с тягами руля. Разведчики оснащались также перекомпонованной приборной доской, а их электрооборудование несколько отличалось. Автомат пикирования снимали. В конце 1941 г. - начале 1942 г. только на разведчиках ставили радиополукомпасы РПК-2. Иногда на фронте усовершенствовали радиооборудование, обеспечивая через СПУ всем членам экипажа радиотелефонную связь с командным пунктом для оперативной передачи информации.</w:t>
      </w:r>
    </w:p>
    <w:p w14:paraId="3C5DAAA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Но, конечно, главным отличием разведчика было оснащение фотоаппаратурой. На первых порах, кроме обычной для бомбардировщика камеры АФА-Б, в кабине стрел- ка-радиста на разведывательных Пе-2, как правило, в бомбоотсеке монтировались два больших плановых аппарата АФА-1. Они имели два типа объективов - с фокусными расстояниями 30 и 50 см. При установке АФА-1 створки бомбоотсека заменялись новыми, более выпуклыми и имеющими вырезы для объективов. Управлял работой АФА-1 штурман. Вместо АФА-Б допускалось поставить специальную фотокамеру для ночной съемки НАФА-19. Затвор аппарата срабатывал по сигналу фотоэлемента, находившегося за прозрачным лючком в задней части самолета и фиксировавшего вспышку бомбы ФОТАБ. При ночной съемке на Пе-2 подвешивали 6-8 фотобомб ФОТАБ-50-35. </w:t>
      </w:r>
    </w:p>
    <w:p w14:paraId="70689D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стрелка-радиста имелся ручной фотоаппарат АФА-27Т-1 для перспективной съемки через остекление кабины. В походном положении он лежал в специальном ящике по левому борту. С 1942 г. в строевые части стали поступать аппараты АФА-ЗС или американские камеры, полученные по ленд-лизу. С целью увеличения площади фотографируемой за один заход местности иногда прибегали к установке сдвоенных камер. Делали и оригинальные установки, например, качающиеся, вдвое увеличивавшие ширину снимаемой полосы местности. Специальный обтекатель, прикрывавший объектив, позволил смонтировать на "пешке" крупную камеру АФА-33 с фокусным расстоянием 1 м. В 72-м орап для съемок Берлина подготовили специальный Пе-2 с местом для четвертого члена экипажа и четырьмя дополнительными аппаратами. Снимки, сделанные с него 7 апреля 1945 г. В.А. Теминым, обошли газеты всего мира.</w:t>
      </w:r>
    </w:p>
    <w:p w14:paraId="787CEE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Оборудованный фототехникой вариант имелся и у истребителя Пе-3 (иногда его называли Пе-ЗР или Пе-ЗФ). Следует отметить, что экипажи разведывательной авиации отдавали предпочтение именно Пе-3, имевшему несколько больший радиус действия и вооруженному пушкой. На этой машине фотоаппараты размещались не в бомбо- отсеке (занятом дополнительным бензобаком), а в хвостовой части фюзеляжа.</w:t>
      </w:r>
    </w:p>
    <w:p w14:paraId="6BE679B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Одной из первых разведывательные Пе-2 получила на вооружение созданная в июле 1941 г. 38-я разведэскадрилья ВВС Западного фронта (12042).</w:t>
      </w:r>
    </w:p>
    <w:p w14:paraId="03D88BA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571FFE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года в опытную эксплуатацию в 45-ю дивизию АДД Пе-8 4М-30Б №42038 (7685).</w:t>
      </w:r>
    </w:p>
    <w:p w14:paraId="2172F4EC" w14:textId="77777777" w:rsidR="00090C9B" w:rsidRPr="00722885" w:rsidRDefault="00090C9B" w:rsidP="00722885">
      <w:pPr>
        <w:pStyle w:val="Iauiue"/>
        <w:jc w:val="both"/>
        <w:rPr>
          <w:color w:val="000000" w:themeColor="text1"/>
          <w:sz w:val="16"/>
          <w:szCs w:val="16"/>
        </w:rPr>
      </w:pPr>
    </w:p>
    <w:p w14:paraId="522AB77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С ноября 1942 по февраль 1943 в Кратово проводили гос. испытания Пе-8 (ТБ-7) с дизелем М-30Б и винтом ВИШ-24 N 42038 (1103,103).</w:t>
      </w:r>
    </w:p>
    <w:p w14:paraId="4BCCE669" w14:textId="77777777" w:rsidR="00090C9B" w:rsidRPr="00722885" w:rsidRDefault="00090C9B" w:rsidP="00722885">
      <w:pPr>
        <w:pStyle w:val="Iauiue"/>
        <w:jc w:val="both"/>
        <w:rPr>
          <w:color w:val="000000" w:themeColor="text1"/>
          <w:sz w:val="16"/>
          <w:szCs w:val="16"/>
        </w:rPr>
      </w:pPr>
    </w:p>
    <w:p w14:paraId="0EB01AF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1-ю авиаэскадрилью, в которую вошли три Ту-2Р перебросили на аэродром Мигалово, откуда они начали разведывательные полеты в районе Демянска. Самолеты использовались по одиночке, сначала под прикрытием истребителей, а затем и без него.</w:t>
      </w:r>
    </w:p>
    <w:p w14:paraId="15085BB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дополнение к этим машинам в начале 1943 года 2-й драп получил еще три Ту-2Р, построенных и оснащенных фотокамерами (без дополнительных топливных баков) в Омске.</w:t>
      </w:r>
    </w:p>
    <w:p w14:paraId="7CB436D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Успехи полка были на лицо и в феврале 1943 года 2-й драп переименовали в 47-й гвардейский апдр, а через месяц 14 марта потеряли первый Ту-2. Произошло это под Старой Руссой, когда экипаж майора В.Ф. Столярова, выполнявший очередной боевой вылет, перехватила шестерка истребителей FW 190. Из экипажа спасся лишь штурман Хабеев (12035).</w:t>
      </w:r>
    </w:p>
    <w:p w14:paraId="28A9373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EB71F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ГКО принял постановление о создании реактивного истребителя-перехватчика 302 с продолжительностью полета 20 мин. Проект с комбинированной силовой установкой из ЖРД и двух ПВРД был выполнен в РНИИ еще до войны, но схема оказалось слишком сложной и решили ограничиться ЖРД - двухкамерного РД-2М. Был построен и испытывался в варианте планера в 1943 (173,409).</w:t>
      </w:r>
    </w:p>
    <w:p w14:paraId="5232F887" w14:textId="77777777" w:rsidR="00090C9B" w:rsidRPr="00722885" w:rsidRDefault="00090C9B" w:rsidP="00722885">
      <w:pPr>
        <w:pStyle w:val="Iauiue"/>
        <w:jc w:val="both"/>
        <w:rPr>
          <w:color w:val="000000" w:themeColor="text1"/>
          <w:sz w:val="16"/>
          <w:szCs w:val="16"/>
        </w:rPr>
      </w:pPr>
    </w:p>
    <w:p w14:paraId="08753979"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ноябре 1942 г. в ВИАМе провели от</w:t>
      </w:r>
      <w:r w:rsidRPr="00722885">
        <w:rPr>
          <w:rFonts w:ascii="Times New Roman" w:cs="Times New Roman"/>
          <w:color w:val="000000" w:themeColor="text1"/>
          <w:spacing w:val="0"/>
          <w:sz w:val="16"/>
          <w:szCs w:val="16"/>
        </w:rPr>
        <w:softHyphen/>
        <w:t>стрел дюралевой брони, установленной на немецком истребителе модификации В1109С-2, и всей системы брони в целом. Цель испытаний заключалась в определе</w:t>
      </w:r>
      <w:r w:rsidRPr="00722885">
        <w:rPr>
          <w:rFonts w:ascii="Times New Roman" w:cs="Times New Roman"/>
          <w:color w:val="000000" w:themeColor="text1"/>
          <w:spacing w:val="0"/>
          <w:sz w:val="16"/>
          <w:szCs w:val="16"/>
        </w:rPr>
        <w:softHyphen/>
        <w:t>нии эффективности системы бронирования «мессершмитта» на основе 20-мм дюралевой многослойной брони, установленной перед мягким бензобаком со стороны хвоста, само</w:t>
      </w:r>
      <w:r w:rsidRPr="00722885">
        <w:rPr>
          <w:rFonts w:ascii="Times New Roman" w:cs="Times New Roman"/>
          <w:color w:val="000000" w:themeColor="text1"/>
          <w:spacing w:val="0"/>
          <w:sz w:val="16"/>
          <w:szCs w:val="16"/>
        </w:rPr>
        <w:softHyphen/>
        <w:t>го бензобака и бронеспинки летчика толщи</w:t>
      </w:r>
      <w:r w:rsidRPr="00722885">
        <w:rPr>
          <w:rFonts w:ascii="Times New Roman" w:cs="Times New Roman"/>
          <w:color w:val="000000" w:themeColor="text1"/>
          <w:spacing w:val="0"/>
          <w:sz w:val="16"/>
          <w:szCs w:val="16"/>
        </w:rPr>
        <w:softHyphen/>
        <w:t xml:space="preserve">ной 8 мм е в верхней части и 4 мм - в средней и нижней (загнутой под </w:t>
      </w:r>
      <w:r w:rsidRPr="00722885">
        <w:rPr>
          <w:rFonts w:ascii="Times New Roman" w:cs="Times New Roman"/>
          <w:color w:val="000000" w:themeColor="text1"/>
          <w:spacing w:val="0"/>
          <w:sz w:val="16"/>
          <w:szCs w:val="16"/>
        </w:rPr>
        <w:lastRenderedPageBreak/>
        <w:t>сиденье) части. Рас</w:t>
      </w:r>
      <w:r w:rsidRPr="00722885">
        <w:rPr>
          <w:rFonts w:ascii="Times New Roman" w:cs="Times New Roman"/>
          <w:color w:val="000000" w:themeColor="text1"/>
          <w:spacing w:val="0"/>
          <w:sz w:val="16"/>
          <w:szCs w:val="16"/>
        </w:rPr>
        <w:softHyphen/>
        <w:t>стояние от дюралевой брони до бронеспинки летчика - примерно 0,5 м. По замерам получалось, что общий вес дюралевой брони составляет порядка 30,9 кг при площади около 0,6 м</w:t>
      </w:r>
      <w:r w:rsidRPr="00722885">
        <w:rPr>
          <w:rFonts w:ascii="Times New Roman" w:cs="Times New Roman"/>
          <w:color w:val="000000" w:themeColor="text1"/>
          <w:spacing w:val="0"/>
          <w:sz w:val="16"/>
          <w:szCs w:val="16"/>
          <w:vertAlign w:val="superscript"/>
        </w:rPr>
        <w:t>2</w:t>
      </w:r>
      <w:r w:rsidRPr="00722885">
        <w:rPr>
          <w:rFonts w:ascii="Times New Roman" w:cs="Times New Roman"/>
          <w:color w:val="000000" w:themeColor="text1"/>
          <w:spacing w:val="0"/>
          <w:sz w:val="16"/>
          <w:szCs w:val="16"/>
        </w:rPr>
        <w:t>. Броня состояла из двух пакетов, каждый из которых включал 27 дюралевых листов толщиной по 0,75 мм, скрепленных заклепками. Пакеты соединялись между собой по центру при помощи дюрале</w:t>
      </w:r>
      <w:r w:rsidRPr="00722885">
        <w:rPr>
          <w:rFonts w:ascii="Times New Roman" w:cs="Times New Roman"/>
          <w:color w:val="000000" w:themeColor="text1"/>
          <w:spacing w:val="0"/>
          <w:sz w:val="16"/>
          <w:szCs w:val="16"/>
        </w:rPr>
        <w:softHyphen/>
        <w:t>вой планки и болтов. Вся конструкция крепи</w:t>
      </w:r>
      <w:r w:rsidRPr="00722885">
        <w:rPr>
          <w:rFonts w:ascii="Times New Roman" w:cs="Times New Roman"/>
          <w:color w:val="000000" w:themeColor="text1"/>
          <w:spacing w:val="0"/>
          <w:sz w:val="16"/>
          <w:szCs w:val="16"/>
        </w:rPr>
        <w:softHyphen/>
        <w:t>лась непосредственно к фюзеляжу на 14 бол</w:t>
      </w:r>
      <w:r w:rsidRPr="00722885">
        <w:rPr>
          <w:rFonts w:ascii="Times New Roman" w:cs="Times New Roman"/>
          <w:color w:val="000000" w:themeColor="text1"/>
          <w:spacing w:val="0"/>
          <w:sz w:val="16"/>
          <w:szCs w:val="16"/>
        </w:rPr>
        <w:softHyphen/>
        <w:t>тах, которые одновременно скрепляли листы по кромкам пакетов.</w:t>
      </w:r>
    </w:p>
    <w:p w14:paraId="142A960D" w14:textId="77777777" w:rsidR="00A3483C" w:rsidRPr="00722885" w:rsidRDefault="00A3483C" w:rsidP="00722885">
      <w:pPr>
        <w:pStyle w:val="45"/>
        <w:shd w:val="clear" w:color="auto" w:fill="auto"/>
        <w:spacing w:before="0" w:line="240" w:lineRule="auto"/>
        <w:jc w:val="both"/>
        <w:rPr>
          <w:rFonts w:ascii="Times New Roman" w:cs="Times New Roman"/>
          <w:color w:val="000000" w:themeColor="text1"/>
          <w:sz w:val="16"/>
          <w:szCs w:val="16"/>
        </w:rPr>
      </w:pPr>
      <w:r w:rsidRPr="00722885">
        <w:rPr>
          <w:rStyle w:val="4f0"/>
          <w:rFonts w:ascii="Times New Roman" w:hAnsi="Times New Roman" w:cs="Times New Roman"/>
          <w:i w:val="0"/>
          <w:color w:val="000000" w:themeColor="text1"/>
          <w:sz w:val="16"/>
          <w:szCs w:val="16"/>
        </w:rPr>
        <w:t>Как указывали специалисты ВИАМ,</w:t>
      </w:r>
      <w:r w:rsidRPr="00722885">
        <w:rPr>
          <w:rFonts w:ascii="Times New Roman" w:cs="Times New Roman"/>
          <w:color w:val="000000" w:themeColor="text1"/>
          <w:sz w:val="16"/>
          <w:szCs w:val="16"/>
        </w:rPr>
        <w:t xml:space="preserve"> «сам факт применения экранной системы брониро</w:t>
      </w:r>
      <w:r w:rsidRPr="00722885">
        <w:rPr>
          <w:rFonts w:ascii="Times New Roman" w:cs="Times New Roman"/>
          <w:color w:val="000000" w:themeColor="text1"/>
          <w:sz w:val="16"/>
          <w:szCs w:val="16"/>
        </w:rPr>
        <w:softHyphen/>
        <w:t>вания не является новым, необычным является употребление в качестве экрана многослой</w:t>
      </w:r>
      <w:r w:rsidRPr="00722885">
        <w:rPr>
          <w:rFonts w:ascii="Times New Roman" w:cs="Times New Roman"/>
          <w:color w:val="000000" w:themeColor="text1"/>
          <w:sz w:val="16"/>
          <w:szCs w:val="16"/>
        </w:rPr>
        <w:softHyphen/>
        <w:t>ной дюралевой брони».</w:t>
      </w:r>
      <w:r w:rsidRPr="00722885">
        <w:rPr>
          <w:rStyle w:val="4f0"/>
          <w:rFonts w:ascii="Times New Roman" w:hAnsi="Times New Roman" w:cs="Times New Roman"/>
          <w:i w:val="0"/>
          <w:color w:val="000000" w:themeColor="text1"/>
          <w:sz w:val="16"/>
          <w:szCs w:val="16"/>
        </w:rPr>
        <w:t xml:space="preserve"> Предполагалось, что «ее</w:t>
      </w:r>
      <w:r w:rsidRPr="00722885">
        <w:rPr>
          <w:rFonts w:ascii="Times New Roman" w:cs="Times New Roman"/>
          <w:color w:val="000000" w:themeColor="text1"/>
          <w:sz w:val="16"/>
          <w:szCs w:val="16"/>
        </w:rPr>
        <w:t xml:space="preserve"> применение вызвано желанием защитить бензобак от зажигательного действия пуль, оболочка которых вместе с зажигательным ве</w:t>
      </w:r>
      <w:r w:rsidRPr="00722885">
        <w:rPr>
          <w:rFonts w:ascii="Times New Roman" w:cs="Times New Roman"/>
          <w:color w:val="000000" w:themeColor="text1"/>
          <w:sz w:val="16"/>
          <w:szCs w:val="16"/>
        </w:rPr>
        <w:softHyphen/>
        <w:t>ществом должна будет остаться в броне».</w:t>
      </w:r>
    </w:p>
    <w:p w14:paraId="40CB21F3"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Отстрел дюралевой брони из пулемета ШКАС показал, что ее пулестойкость соответ</w:t>
      </w:r>
      <w:r w:rsidRPr="00722885">
        <w:rPr>
          <w:rFonts w:ascii="Times New Roman" w:cs="Times New Roman"/>
          <w:color w:val="000000" w:themeColor="text1"/>
          <w:spacing w:val="0"/>
          <w:sz w:val="16"/>
          <w:szCs w:val="16"/>
        </w:rPr>
        <w:softHyphen/>
        <w:t>ствует отечественной броне толщиной 4 мм из гомогенной стали АБ-2 (вес при той же площа</w:t>
      </w:r>
      <w:r w:rsidRPr="00722885">
        <w:rPr>
          <w:rFonts w:ascii="Times New Roman" w:cs="Times New Roman"/>
          <w:color w:val="000000" w:themeColor="text1"/>
          <w:spacing w:val="0"/>
          <w:sz w:val="16"/>
          <w:szCs w:val="16"/>
        </w:rPr>
        <w:softHyphen/>
        <w:t>ди - 18,7 кг) или немецкой 6-мм гомогенной броне (вес 28 кг при той же площади), установ</w:t>
      </w:r>
      <w:r w:rsidRPr="00722885">
        <w:rPr>
          <w:rFonts w:ascii="Times New Roman" w:cs="Times New Roman"/>
          <w:color w:val="000000" w:themeColor="text1"/>
          <w:spacing w:val="0"/>
          <w:sz w:val="16"/>
          <w:szCs w:val="16"/>
        </w:rPr>
        <w:softHyphen/>
        <w:t>ленной на самолете В110.</w:t>
      </w:r>
    </w:p>
    <w:p w14:paraId="4BE24E14"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Затем была собрана вся система брони. При этом в бензобаке оставался немецкий бензин, смешанный с водой (во избежание возгорания бак при транспортировке заливал</w:t>
      </w:r>
      <w:r w:rsidRPr="00722885">
        <w:rPr>
          <w:rFonts w:ascii="Times New Roman" w:cs="Times New Roman"/>
          <w:color w:val="000000" w:themeColor="text1"/>
          <w:spacing w:val="0"/>
          <w:sz w:val="16"/>
          <w:szCs w:val="16"/>
        </w:rPr>
        <w:softHyphen/>
        <w:t>ся водой). Попытка поджечь эту смесь оказа</w:t>
      </w:r>
      <w:r w:rsidRPr="00722885">
        <w:rPr>
          <w:rFonts w:ascii="Times New Roman" w:cs="Times New Roman"/>
          <w:color w:val="000000" w:themeColor="text1"/>
          <w:spacing w:val="0"/>
          <w:sz w:val="16"/>
          <w:szCs w:val="16"/>
        </w:rPr>
        <w:softHyphen/>
        <w:t>лась неудачной:</w:t>
      </w:r>
      <w:r w:rsidRPr="00722885">
        <w:rPr>
          <w:rStyle w:val="aff6"/>
          <w:rFonts w:ascii="Times New Roman" w:eastAsia="Arial Narrow" w:hAnsi="Times New Roman" w:cs="Times New Roman"/>
          <w:i w:val="0"/>
          <w:color w:val="000000" w:themeColor="text1"/>
          <w:spacing w:val="0"/>
        </w:rPr>
        <w:t xml:space="preserve"> «бензин, загрязненный водой, не загорелся».</w:t>
      </w:r>
      <w:r w:rsidRPr="00722885">
        <w:rPr>
          <w:rFonts w:ascii="Times New Roman" w:cs="Times New Roman"/>
          <w:color w:val="000000" w:themeColor="text1"/>
          <w:spacing w:val="0"/>
          <w:sz w:val="16"/>
          <w:szCs w:val="16"/>
        </w:rPr>
        <w:t xml:space="preserve"> За неимением бронеспинки от В1109С взяли немецкую броню с самолета Нз126 толщиной 10 мм. Обстрел проводился из пулемета БС калибра 12,7 мм с дистанции 100 м бронебойно-зажигательной пулей.</w:t>
      </w:r>
    </w:p>
    <w:p w14:paraId="43DA3732"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Многослойная дюралевая броня и бензо</w:t>
      </w:r>
      <w:r w:rsidRPr="00722885">
        <w:rPr>
          <w:rFonts w:ascii="Times New Roman" w:cs="Times New Roman"/>
          <w:color w:val="000000" w:themeColor="text1"/>
          <w:spacing w:val="0"/>
          <w:sz w:val="16"/>
          <w:szCs w:val="16"/>
        </w:rPr>
        <w:softHyphen/>
        <w:t>бак во всех случаях пробивались. Отверстия от пуль в мягком бензобаке имели размеры: на входе - порядка 15x20 мм, на выходе - до 45x50 мм. При этом входные отверстия до</w:t>
      </w:r>
      <w:r w:rsidRPr="00722885">
        <w:rPr>
          <w:rFonts w:ascii="Times New Roman" w:cs="Times New Roman"/>
          <w:color w:val="000000" w:themeColor="text1"/>
          <w:spacing w:val="0"/>
          <w:sz w:val="16"/>
          <w:szCs w:val="16"/>
        </w:rPr>
        <w:softHyphen/>
        <w:t>вольно быстро затягивались протектором, а выходные уменьшались до 15x20 мм, но пол</w:t>
      </w:r>
      <w:r w:rsidRPr="00722885">
        <w:rPr>
          <w:rFonts w:ascii="Times New Roman" w:cs="Times New Roman"/>
          <w:color w:val="000000" w:themeColor="text1"/>
          <w:spacing w:val="0"/>
          <w:sz w:val="16"/>
          <w:szCs w:val="16"/>
        </w:rPr>
        <w:softHyphen/>
        <w:t>ностью не закрывались. Поверхность бензоба</w:t>
      </w:r>
      <w:r w:rsidRPr="00722885">
        <w:rPr>
          <w:rFonts w:ascii="Times New Roman" w:cs="Times New Roman"/>
          <w:color w:val="000000" w:themeColor="text1"/>
          <w:spacing w:val="0"/>
          <w:sz w:val="16"/>
          <w:szCs w:val="16"/>
        </w:rPr>
        <w:softHyphen/>
        <w:t xml:space="preserve">ка, обращенная к бронеспинке летчика, была </w:t>
      </w:r>
      <w:r w:rsidRPr="00722885">
        <w:rPr>
          <w:rStyle w:val="aff6"/>
          <w:rFonts w:ascii="Times New Roman" w:eastAsia="Arial Narrow" w:hAnsi="Times New Roman" w:cs="Times New Roman"/>
          <w:i w:val="0"/>
          <w:color w:val="000000" w:themeColor="text1"/>
          <w:spacing w:val="0"/>
        </w:rPr>
        <w:t>«сильно избита осколками сердечника пули, отразившихся от поверхности стальной бро</w:t>
      </w:r>
      <w:r w:rsidRPr="00722885">
        <w:rPr>
          <w:rStyle w:val="aff6"/>
          <w:rFonts w:ascii="Times New Roman" w:eastAsia="Arial Narrow" w:hAnsi="Times New Roman" w:cs="Times New Roman"/>
          <w:i w:val="0"/>
          <w:color w:val="000000" w:themeColor="text1"/>
          <w:spacing w:val="0"/>
        </w:rPr>
        <w:softHyphen/>
        <w:t>ни».</w:t>
      </w:r>
      <w:r w:rsidRPr="00722885">
        <w:rPr>
          <w:rFonts w:ascii="Times New Roman" w:cs="Times New Roman"/>
          <w:color w:val="000000" w:themeColor="text1"/>
          <w:spacing w:val="0"/>
          <w:sz w:val="16"/>
          <w:szCs w:val="16"/>
        </w:rPr>
        <w:t xml:space="preserve"> Бронеспинка летчика после каждого вы</w:t>
      </w:r>
      <w:r w:rsidRPr="00722885">
        <w:rPr>
          <w:rFonts w:ascii="Times New Roman" w:cs="Times New Roman"/>
          <w:color w:val="000000" w:themeColor="text1"/>
          <w:spacing w:val="0"/>
          <w:sz w:val="16"/>
          <w:szCs w:val="16"/>
        </w:rPr>
        <w:softHyphen/>
        <w:t>стрела была</w:t>
      </w:r>
      <w:r w:rsidRPr="00722885">
        <w:rPr>
          <w:rStyle w:val="aff6"/>
          <w:rFonts w:ascii="Times New Roman" w:eastAsia="Arial Narrow" w:hAnsi="Times New Roman" w:cs="Times New Roman"/>
          <w:i w:val="0"/>
          <w:color w:val="000000" w:themeColor="text1"/>
          <w:spacing w:val="0"/>
        </w:rPr>
        <w:t xml:space="preserve"> «сильно окалена зажигательным веществом и покрыта копотью».</w:t>
      </w:r>
      <w:r w:rsidRPr="00722885">
        <w:rPr>
          <w:rFonts w:ascii="Times New Roman" w:cs="Times New Roman"/>
          <w:color w:val="000000" w:themeColor="text1"/>
          <w:spacing w:val="0"/>
          <w:sz w:val="16"/>
          <w:szCs w:val="16"/>
        </w:rPr>
        <w:t xml:space="preserve"> Причем уже после третьего и четвертого по счету попада</w:t>
      </w:r>
      <w:r w:rsidRPr="00722885">
        <w:rPr>
          <w:rFonts w:ascii="Times New Roman" w:cs="Times New Roman"/>
          <w:color w:val="000000" w:themeColor="text1"/>
          <w:spacing w:val="0"/>
          <w:sz w:val="16"/>
          <w:szCs w:val="16"/>
        </w:rPr>
        <w:softHyphen/>
        <w:t>ний в бронеспинку на ней появились трещины, но сквозного пробития не было, а вот после пятого попадания образовалась пробоина. То есть, броня «работала» на пределе. Делался вывод, что</w:t>
      </w:r>
      <w:r w:rsidRPr="00722885">
        <w:rPr>
          <w:rStyle w:val="aff6"/>
          <w:rFonts w:ascii="Times New Roman" w:eastAsia="Arial Narrow" w:hAnsi="Times New Roman" w:cs="Times New Roman"/>
          <w:i w:val="0"/>
          <w:color w:val="000000" w:themeColor="text1"/>
          <w:spacing w:val="0"/>
        </w:rPr>
        <w:t xml:space="preserve"> «многослойная броня из дюраля и пустой бензобак действуют аналогично пово</w:t>
      </w:r>
      <w:r w:rsidRPr="00722885">
        <w:rPr>
          <w:rStyle w:val="aff6"/>
          <w:rFonts w:ascii="Times New Roman" w:eastAsia="Arial Narrow" w:hAnsi="Times New Roman" w:cs="Times New Roman"/>
          <w:i w:val="0"/>
          <w:color w:val="000000" w:themeColor="text1"/>
          <w:spacing w:val="0"/>
        </w:rPr>
        <w:softHyphen/>
        <w:t>роту испытываемой 10-мм стальной брони на угол 40'».</w:t>
      </w:r>
      <w:r w:rsidRPr="00722885">
        <w:rPr>
          <w:rFonts w:ascii="Times New Roman" w:cs="Times New Roman"/>
          <w:color w:val="000000" w:themeColor="text1"/>
          <w:spacing w:val="0"/>
          <w:sz w:val="16"/>
          <w:szCs w:val="16"/>
        </w:rPr>
        <w:t xml:space="preserve"> Отмечалось также, что некоторые пули попадали на броню почти плашмя.</w:t>
      </w:r>
    </w:p>
    <w:p w14:paraId="25846284"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Для «чистоты» эксперимента 10-мм бро</w:t>
      </w:r>
      <w:r w:rsidRPr="00722885">
        <w:rPr>
          <w:rFonts w:ascii="Times New Roman" w:cs="Times New Roman"/>
          <w:color w:val="000000" w:themeColor="text1"/>
          <w:spacing w:val="0"/>
          <w:sz w:val="16"/>
          <w:szCs w:val="16"/>
        </w:rPr>
        <w:softHyphen/>
        <w:t>неспинку обстреляли бронебойно-зажигатель</w:t>
      </w:r>
      <w:r w:rsidRPr="00722885">
        <w:rPr>
          <w:rFonts w:ascii="Times New Roman" w:cs="Times New Roman"/>
          <w:color w:val="000000" w:themeColor="text1"/>
          <w:spacing w:val="0"/>
          <w:sz w:val="16"/>
          <w:szCs w:val="16"/>
        </w:rPr>
        <w:softHyphen/>
        <w:t>ной пулей калибра 12,7 мм с той же дистанции (100 м), что и всю систему в сборе. Угол пре</w:t>
      </w:r>
      <w:r w:rsidRPr="00722885">
        <w:rPr>
          <w:rFonts w:ascii="Times New Roman" w:cs="Times New Roman"/>
          <w:color w:val="000000" w:themeColor="text1"/>
          <w:spacing w:val="0"/>
          <w:sz w:val="16"/>
          <w:szCs w:val="16"/>
        </w:rPr>
        <w:softHyphen/>
        <w:t>дела тыльной прочности оказался равным 45'.</w:t>
      </w:r>
    </w:p>
    <w:p w14:paraId="62C42443"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заключении отчета от 10 ноября по ре</w:t>
      </w:r>
      <w:r w:rsidRPr="00722885">
        <w:rPr>
          <w:rFonts w:ascii="Times New Roman" w:cs="Times New Roman"/>
          <w:color w:val="000000" w:themeColor="text1"/>
          <w:spacing w:val="0"/>
          <w:sz w:val="16"/>
          <w:szCs w:val="16"/>
        </w:rPr>
        <w:softHyphen/>
        <w:t>зультатам испытаний констатировалось:</w:t>
      </w:r>
    </w:p>
    <w:p w14:paraId="19B01507" w14:textId="77777777" w:rsidR="00A3483C" w:rsidRPr="00722885" w:rsidRDefault="00A3483C"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«1) Дюралевая броня примерно равноцен</w:t>
      </w:r>
      <w:r w:rsidRPr="00722885">
        <w:rPr>
          <w:rFonts w:ascii="Times New Roman" w:cs="Times New Roman"/>
          <w:color w:val="000000" w:themeColor="text1"/>
          <w:sz w:val="16"/>
          <w:szCs w:val="16"/>
        </w:rPr>
        <w:softHyphen/>
        <w:t>на 6 мм немецкой гомогенной броне или 4 мм советской АБ-2.</w:t>
      </w:r>
    </w:p>
    <w:p w14:paraId="13237C98" w14:textId="77777777" w:rsidR="00A3483C" w:rsidRPr="00722885" w:rsidRDefault="00A3483C"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2) От попадания в бак зажигательного со</w:t>
      </w:r>
      <w:r w:rsidRPr="00722885">
        <w:rPr>
          <w:rFonts w:ascii="Times New Roman" w:cs="Times New Roman"/>
          <w:color w:val="000000" w:themeColor="text1"/>
          <w:sz w:val="16"/>
          <w:szCs w:val="16"/>
        </w:rPr>
        <w:softHyphen/>
        <w:t>става пули при обстреле БЗ пулей калибра 12,1 мм дюралевый экран не предохраняет».</w:t>
      </w:r>
    </w:p>
    <w:p w14:paraId="536F9EE5"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После испытаний брони внутри фюзеляжа Ил-2 и получения отчета ВИАМ по стойкости немецкой дюралевой брони в НИИ ВВС срочно отстреляли систему защиты летчика В1109С-2 внутри и вне фюзеляжа.</w:t>
      </w:r>
    </w:p>
    <w:p w14:paraId="7C2FA28F"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Защитная система немецкого истреби</w:t>
      </w:r>
      <w:r w:rsidRPr="00722885">
        <w:rPr>
          <w:rFonts w:ascii="Times New Roman" w:cs="Times New Roman"/>
          <w:color w:val="000000" w:themeColor="text1"/>
          <w:spacing w:val="0"/>
          <w:sz w:val="16"/>
          <w:szCs w:val="16"/>
        </w:rPr>
        <w:softHyphen/>
        <w:t>теля, состоящая из дюралевой поперечной перегородки, мягкого бензобака и собствен</w:t>
      </w:r>
      <w:r w:rsidRPr="00722885">
        <w:rPr>
          <w:rFonts w:ascii="Times New Roman" w:cs="Times New Roman"/>
          <w:color w:val="000000" w:themeColor="text1"/>
          <w:spacing w:val="0"/>
          <w:sz w:val="16"/>
          <w:szCs w:val="16"/>
        </w:rPr>
        <w:softHyphen/>
        <w:t>но бронеспинки летчика, находясь внутри фю</w:t>
      </w:r>
      <w:r w:rsidRPr="00722885">
        <w:rPr>
          <w:rFonts w:ascii="Times New Roman" w:cs="Times New Roman"/>
          <w:color w:val="000000" w:themeColor="text1"/>
          <w:spacing w:val="0"/>
          <w:sz w:val="16"/>
          <w:szCs w:val="16"/>
        </w:rPr>
        <w:softHyphen/>
        <w:t>зеляжа, обеспечивала достаточное снижение эффективности бронебойных снарядов и круп</w:t>
      </w:r>
      <w:r w:rsidRPr="00722885">
        <w:rPr>
          <w:rFonts w:ascii="Times New Roman" w:cs="Times New Roman"/>
          <w:color w:val="000000" w:themeColor="text1"/>
          <w:spacing w:val="0"/>
          <w:sz w:val="16"/>
          <w:szCs w:val="16"/>
        </w:rPr>
        <w:softHyphen/>
        <w:t>нокалиберных пуль. Пули и снаряды, пробивав</w:t>
      </w:r>
      <w:r w:rsidRPr="00722885">
        <w:rPr>
          <w:rFonts w:ascii="Times New Roman" w:cs="Times New Roman"/>
          <w:color w:val="000000" w:themeColor="text1"/>
          <w:spacing w:val="0"/>
          <w:sz w:val="16"/>
          <w:szCs w:val="16"/>
        </w:rPr>
        <w:softHyphen/>
        <w:t>шие сначала дюралевую обшивку фюзеляжа, а затем дюралевую перегородку, проникали в мягкий бензобак и там задерживались. В то же время обстрел этой системы вне самолета (без обшивки) показывал значительно меньшую ее стойкость против пуль калибра 12,7 мм: сквоз</w:t>
      </w:r>
      <w:r w:rsidRPr="00722885">
        <w:rPr>
          <w:rFonts w:ascii="Times New Roman" w:cs="Times New Roman"/>
          <w:color w:val="000000" w:themeColor="text1"/>
          <w:spacing w:val="0"/>
          <w:sz w:val="16"/>
          <w:szCs w:val="16"/>
        </w:rPr>
        <w:softHyphen/>
        <w:t>ные пробоины устойчиво получались в 4-мм броне средней и нижней части бронеспинки.</w:t>
      </w:r>
    </w:p>
    <w:p w14:paraId="4A7C5351" w14:textId="77777777" w:rsidR="00A3483C" w:rsidRPr="00722885" w:rsidRDefault="00A3483C"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При обстреле защитной системы внутри самолета бронебойные пули и снаряды про</w:t>
      </w:r>
      <w:r w:rsidRPr="00722885">
        <w:rPr>
          <w:rFonts w:ascii="Times New Roman" w:cs="Times New Roman"/>
          <w:color w:val="000000" w:themeColor="text1"/>
          <w:sz w:val="16"/>
          <w:szCs w:val="16"/>
        </w:rPr>
        <w:softHyphen/>
        <w:t>изводили значительно более сильные разру</w:t>
      </w:r>
      <w:r w:rsidRPr="00722885">
        <w:rPr>
          <w:rFonts w:ascii="Times New Roman" w:cs="Times New Roman"/>
          <w:color w:val="000000" w:themeColor="text1"/>
          <w:sz w:val="16"/>
          <w:szCs w:val="16"/>
        </w:rPr>
        <w:softHyphen/>
        <w:t>шения бензобака, чем это было без перего</w:t>
      </w:r>
      <w:r w:rsidRPr="00722885">
        <w:rPr>
          <w:rFonts w:ascii="Times New Roman" w:cs="Times New Roman"/>
          <w:color w:val="000000" w:themeColor="text1"/>
          <w:sz w:val="16"/>
          <w:szCs w:val="16"/>
        </w:rPr>
        <w:softHyphen/>
        <w:t>родки и дюралевой обшивки фюзеляжа. Течь бензобака начиналась сразу же после первого поражения этой системы бронебойной пулей или снарядом. Дополнительных осколков, как в случае стальной брони, не наблюдалось. Та</w:t>
      </w:r>
      <w:r w:rsidRPr="00722885">
        <w:rPr>
          <w:rFonts w:ascii="Times New Roman" w:cs="Times New Roman"/>
          <w:color w:val="000000" w:themeColor="text1"/>
          <w:sz w:val="16"/>
          <w:szCs w:val="16"/>
        </w:rPr>
        <w:softHyphen/>
        <w:t>ким образом, применяемый вариант распо</w:t>
      </w:r>
      <w:r w:rsidRPr="00722885">
        <w:rPr>
          <w:rFonts w:ascii="Times New Roman" w:cs="Times New Roman"/>
          <w:color w:val="000000" w:themeColor="text1"/>
          <w:sz w:val="16"/>
          <w:szCs w:val="16"/>
        </w:rPr>
        <w:softHyphen/>
        <w:t>ложения брони с дополнительной дюралевой перегородкой за бензобаком</w:t>
      </w:r>
      <w:r w:rsidRPr="00722885">
        <w:rPr>
          <w:rStyle w:val="aff6"/>
          <w:rFonts w:ascii="Times New Roman" w:eastAsia="Arial Narrow" w:hAnsi="Times New Roman" w:cs="Times New Roman"/>
          <w:i w:val="0"/>
          <w:color w:val="000000" w:themeColor="text1"/>
        </w:rPr>
        <w:t xml:space="preserve"> «оказался более рациональным для улучшения защиты пилота, но не бензобака».</w:t>
      </w:r>
      <w:r w:rsidRPr="00722885">
        <w:rPr>
          <w:rFonts w:ascii="Times New Roman" w:cs="Times New Roman"/>
          <w:color w:val="000000" w:themeColor="text1"/>
          <w:sz w:val="16"/>
          <w:szCs w:val="16"/>
        </w:rPr>
        <w:t xml:space="preserve"> При этом вся система бро</w:t>
      </w:r>
      <w:r w:rsidRPr="00722885">
        <w:rPr>
          <w:rFonts w:ascii="Times New Roman" w:cs="Times New Roman"/>
          <w:color w:val="000000" w:themeColor="text1"/>
          <w:sz w:val="16"/>
          <w:szCs w:val="16"/>
        </w:rPr>
        <w:softHyphen/>
        <w:t>незащиты В11096-2 (бронеспинка, бензобак и дюралевая перегородка за бензобаком) над</w:t>
      </w:r>
      <w:r w:rsidRPr="00722885">
        <w:rPr>
          <w:rFonts w:ascii="Times New Roman" w:cs="Times New Roman"/>
          <w:color w:val="000000" w:themeColor="text1"/>
          <w:sz w:val="16"/>
          <w:szCs w:val="16"/>
        </w:rPr>
        <w:softHyphen/>
        <w:t>ежно защищала летчика от пуль и снарядов ка</w:t>
      </w:r>
      <w:r w:rsidRPr="00722885">
        <w:rPr>
          <w:rFonts w:ascii="Times New Roman" w:cs="Times New Roman"/>
          <w:color w:val="000000" w:themeColor="text1"/>
          <w:sz w:val="16"/>
          <w:szCs w:val="16"/>
        </w:rPr>
        <w:softHyphen/>
        <w:t>либра до 20 мм при обстреле по оси самолета сзади. Именно поэтому немцы ограничились установкой на самолете В1109С-2 бронеспин</w:t>
      </w:r>
      <w:r w:rsidRPr="00722885">
        <w:rPr>
          <w:rFonts w:ascii="Times New Roman" w:cs="Times New Roman"/>
          <w:color w:val="000000" w:themeColor="text1"/>
          <w:sz w:val="16"/>
          <w:szCs w:val="16"/>
        </w:rPr>
        <w:softHyphen/>
        <w:t>ки летчика толщиной 8 мм в верхней части и 4 мм - в средней и нижней части.</w:t>
      </w:r>
    </w:p>
    <w:p w14:paraId="1E951E93"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Ведущий инженер 3-го отделения 8-го отдела НИИ ВВС инженер-майор К.И. Шля- мин был первым, кто обратил внимание на основное предназначение защитной системы В1109С-2. По его мнению, немецкие конструк</w:t>
      </w:r>
      <w:r w:rsidRPr="00722885">
        <w:rPr>
          <w:rFonts w:ascii="Times New Roman" w:cs="Times New Roman"/>
          <w:color w:val="000000" w:themeColor="text1"/>
          <w:spacing w:val="0"/>
          <w:sz w:val="16"/>
          <w:szCs w:val="16"/>
        </w:rPr>
        <w:softHyphen/>
        <w:t>торы даже не пытались защитить бензобак.</w:t>
      </w:r>
    </w:p>
    <w:p w14:paraId="59C2A034"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Наоборот, он использовался как элемент за</w:t>
      </w:r>
      <w:r w:rsidRPr="00722885">
        <w:rPr>
          <w:rFonts w:ascii="Times New Roman" w:cs="Times New Roman"/>
          <w:color w:val="000000" w:themeColor="text1"/>
          <w:spacing w:val="0"/>
          <w:sz w:val="16"/>
          <w:szCs w:val="16"/>
        </w:rPr>
        <w:softHyphen/>
        <w:t>щиты летчика. То есть, немцы стремились обеспечить в первую очередь надежную за</w:t>
      </w:r>
      <w:r w:rsidRPr="00722885">
        <w:rPr>
          <w:rFonts w:ascii="Times New Roman" w:cs="Times New Roman"/>
          <w:color w:val="000000" w:themeColor="text1"/>
          <w:spacing w:val="0"/>
          <w:sz w:val="16"/>
          <w:szCs w:val="16"/>
        </w:rPr>
        <w:softHyphen/>
        <w:t>щиту летчику со стороны задней полусферы, уменьшив при этом вес брони.</w:t>
      </w:r>
    </w:p>
    <w:p w14:paraId="1A88CA94" w14:textId="77777777" w:rsidR="00A3483C" w:rsidRPr="00722885" w:rsidRDefault="00A3483C"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Стало ясно, что проектирование системы бронезащиты с учетом экранирующего эффек</w:t>
      </w:r>
      <w:r w:rsidRPr="00722885">
        <w:rPr>
          <w:rFonts w:ascii="Times New Roman" w:cs="Times New Roman"/>
          <w:color w:val="000000" w:themeColor="text1"/>
          <w:sz w:val="16"/>
          <w:szCs w:val="16"/>
        </w:rPr>
        <w:softHyphen/>
        <w:t>та элементов конструкции самолета позволяет использовать бронедетали, изготовленные из брони более простых рецептур и существен</w:t>
      </w:r>
      <w:r w:rsidRPr="00722885">
        <w:rPr>
          <w:rFonts w:ascii="Times New Roman" w:cs="Times New Roman"/>
          <w:color w:val="000000" w:themeColor="text1"/>
          <w:sz w:val="16"/>
          <w:szCs w:val="16"/>
        </w:rPr>
        <w:softHyphen/>
        <w:t>но меньшей толщины, обеспечивая при этом заданные характеристики защищенности са</w:t>
      </w:r>
      <w:r w:rsidRPr="00722885">
        <w:rPr>
          <w:rFonts w:ascii="Times New Roman" w:cs="Times New Roman"/>
          <w:color w:val="000000" w:themeColor="text1"/>
          <w:sz w:val="16"/>
          <w:szCs w:val="16"/>
        </w:rPr>
        <w:softHyphen/>
        <w:t>молета. Экономию веса брони вполне можно было «пустить» на увеличение боевой нагрузки или на повышение летных данных самолета (15778).</w:t>
      </w:r>
    </w:p>
    <w:p w14:paraId="0CD04185" w14:textId="77777777" w:rsidR="00A3483C" w:rsidRPr="00722885" w:rsidRDefault="00A3483C" w:rsidP="00722885">
      <w:pPr>
        <w:pStyle w:val="36"/>
        <w:shd w:val="clear" w:color="auto" w:fill="auto"/>
        <w:spacing w:after="0" w:line="240" w:lineRule="auto"/>
        <w:jc w:val="both"/>
        <w:rPr>
          <w:rFonts w:ascii="Times New Roman" w:cs="Times New Roman"/>
          <w:color w:val="000000" w:themeColor="text1"/>
          <w:spacing w:val="0"/>
          <w:sz w:val="16"/>
          <w:szCs w:val="16"/>
        </w:rPr>
      </w:pPr>
    </w:p>
    <w:p w14:paraId="2C6E562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были изготовлены первые пять опытных моторов АМ-42. Низковысотный двигатель для штурмовика, дальнейшее развитие АМ-38Ф. Спроектирован в конструкторском бюро завода № 24. По сравнению с АМ-38Ф уменьшена степень сжатия, увеличен наддув, усилены колен-вал, шатуны, поршни. Введены противовесы коленвала, внесены измене</w:t>
      </w:r>
      <w:r w:rsidRPr="00722885">
        <w:rPr>
          <w:rFonts w:ascii="Times New Roman" w:hAnsi="Times New Roman"/>
          <w:color w:val="000000" w:themeColor="text1"/>
          <w:sz w:val="16"/>
          <w:szCs w:val="16"/>
        </w:rPr>
        <w:softHyphen/>
        <w:t>ния в маслосистему. Двигатель форсирован по оборотам. Далее из</w:t>
      </w:r>
      <w:r w:rsidRPr="00722885">
        <w:rPr>
          <w:rFonts w:ascii="Times New Roman" w:hAnsi="Times New Roman"/>
          <w:color w:val="000000" w:themeColor="text1"/>
          <w:sz w:val="16"/>
          <w:szCs w:val="16"/>
        </w:rPr>
        <w:softHyphen/>
        <w:t>готовлялись небольшие партии (3-5 двигателей в месяц) для доводки и ис</w:t>
      </w:r>
      <w:r w:rsidRPr="00722885">
        <w:rPr>
          <w:rFonts w:ascii="Times New Roman" w:hAnsi="Times New Roman"/>
          <w:color w:val="000000" w:themeColor="text1"/>
          <w:sz w:val="16"/>
          <w:szCs w:val="16"/>
        </w:rPr>
        <w:softHyphen/>
        <w:t>пытании. В январе 1943 г. АМ-42 прошел 50-часовые заводские испытания. В марте — мае того же года его облетывали на специально доработанном Ил-2 (Ил-АМ-42). Планировали провести госиспытания АМ-42 в марте 1943 г., но двигатель не успели довести. В мае того же года Микулина освободили от обязанностей главного конструктора завода № 24, и даль</w:t>
      </w:r>
      <w:r w:rsidRPr="00722885">
        <w:rPr>
          <w:rFonts w:ascii="Times New Roman" w:hAnsi="Times New Roman"/>
          <w:color w:val="000000" w:themeColor="text1"/>
          <w:sz w:val="16"/>
          <w:szCs w:val="16"/>
        </w:rPr>
        <w:softHyphen/>
        <w:t>нейшим совершенствованием мотора Флисский занимался самостоятельно. 23 сентября 1943 г. АМ-42 в первый раз представили на госиспытания, с которых его сняли из-за прогара поршней. В ходе доводки опытного дви</w:t>
      </w:r>
      <w:r w:rsidRPr="00722885">
        <w:rPr>
          <w:rFonts w:ascii="Times New Roman" w:hAnsi="Times New Roman"/>
          <w:color w:val="000000" w:themeColor="text1"/>
          <w:sz w:val="16"/>
          <w:szCs w:val="16"/>
        </w:rPr>
        <w:softHyphen/>
        <w:t>гателя доработали беспоплавковый карбюратор К-42БПА, усилили силовые шпильки блока, юбки поршней, утолщили гильзы цилиндров, усилили ре</w:t>
      </w:r>
      <w:r w:rsidRPr="00722885">
        <w:rPr>
          <w:rFonts w:ascii="Times New Roman" w:hAnsi="Times New Roman"/>
          <w:color w:val="000000" w:themeColor="text1"/>
          <w:sz w:val="16"/>
          <w:szCs w:val="16"/>
        </w:rPr>
        <w:softHyphen/>
        <w:t>дуктор. Госиспытания АМ-42 успешно прошел в апреле — мае 1944 г. Еще раньше, 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1FEC9B1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АМ-42 экспортировался в Польшу, Венгрию, Румынию, Чехословакию, Китай, Северную Корею. </w:t>
      </w:r>
    </w:p>
    <w:p w14:paraId="5305C72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Характеристики:</w:t>
      </w:r>
    </w:p>
    <w:p w14:paraId="1FB5CCD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1C7FBA8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6B24B5B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объем 46,66 л;</w:t>
      </w:r>
    </w:p>
    <w:p w14:paraId="7A5D4A4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степень сжатия 5,5; </w:t>
      </w:r>
      <w:r w:rsidRPr="00722885">
        <w:rPr>
          <w:rFonts w:ascii="Times New Roman" w:hAnsi="Times New Roman"/>
          <w:color w:val="000000" w:themeColor="text1"/>
          <w:sz w:val="16"/>
          <w:szCs w:val="16"/>
          <w:vertAlign w:val="subscript"/>
        </w:rPr>
        <w:t>4</w:t>
      </w:r>
    </w:p>
    <w:p w14:paraId="67F6B92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мощность и вес в зависимости от модификации;</w:t>
      </w:r>
    </w:p>
    <w:p w14:paraId="7F297AF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запуск сжатым воздухом. Известны модификации:</w:t>
      </w:r>
    </w:p>
    <w:p w14:paraId="755F03E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АМ-42, единственный вариант, находившийся в массовом производ</w:t>
      </w:r>
      <w:r w:rsidRPr="00722885">
        <w:rPr>
          <w:rFonts w:ascii="Times New Roman" w:hAnsi="Times New Roman"/>
          <w:color w:val="000000" w:themeColor="text1"/>
          <w:sz w:val="16"/>
          <w:szCs w:val="16"/>
        </w:rPr>
        <w:softHyphen/>
        <w:t>стве, 1750/2000 л.с., вес 980 кг (поздние серии 996 кг).</w:t>
      </w:r>
    </w:p>
    <w:p w14:paraId="5924F11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АМ-42 с форкамерным зажиганием и степенью сжатия 7,0. Опытный образец испытывался на стенде в 1944 г.</w:t>
      </w:r>
    </w:p>
    <w:p w14:paraId="79428A5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722885">
        <w:rPr>
          <w:rFonts w:ascii="Times New Roman" w:hAnsi="Times New Roman"/>
          <w:color w:val="000000" w:themeColor="text1"/>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08C173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722885">
        <w:rPr>
          <w:rFonts w:ascii="Times New Roman" w:hAnsi="Times New Roman"/>
          <w:color w:val="000000" w:themeColor="text1"/>
          <w:sz w:val="16"/>
          <w:szCs w:val="16"/>
        </w:rPr>
        <w:softHyphen/>
        <w:t>ный вариант Ил-10). АМ-42 устанавливались также на опытные машины Ил-8, Ил-16, И-225 (5А), Су-6. Применение их предусматривалось про</w:t>
      </w:r>
      <w:r w:rsidRPr="00722885">
        <w:rPr>
          <w:rFonts w:ascii="Times New Roman" w:hAnsi="Times New Roman"/>
          <w:color w:val="000000" w:themeColor="text1"/>
          <w:sz w:val="16"/>
          <w:szCs w:val="16"/>
        </w:rPr>
        <w:softHyphen/>
        <w:t>ектом Ту-8Б (11852).</w:t>
      </w:r>
    </w:p>
    <w:p w14:paraId="0069D4D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715E8A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 январе 1943 г проходили летные испытания опытных моторов М-106 на истребителях Як-9. Двигатель М-106 представлял собой попытку форсировать М-105 по наддуву. Предполагалось, что он станет основным мотором истребитель</w:t>
      </w:r>
      <w:r w:rsidRPr="00722885">
        <w:rPr>
          <w:rFonts w:ascii="Times New Roman" w:hAnsi="Times New Roman"/>
          <w:color w:val="000000" w:themeColor="text1"/>
          <w:sz w:val="16"/>
          <w:szCs w:val="16"/>
        </w:rPr>
        <w:softHyphen/>
        <w:t>ной и отчасти бомбардировочной авиации. Разработка этого двигателя велась с 1938 г. По сравнению с М-105 были изменены поршни, конструкция блоков, усилены коленвал и шестерни редуктора, уменьшена степень сжатия. Установлен односкоростной ПЦН конструкции В.А. Доллежаля с переда</w:t>
      </w:r>
      <w:r w:rsidRPr="00722885">
        <w:rPr>
          <w:rFonts w:ascii="Times New Roman" w:hAnsi="Times New Roman"/>
          <w:color w:val="000000" w:themeColor="text1"/>
          <w:sz w:val="16"/>
          <w:szCs w:val="16"/>
        </w:rPr>
        <w:softHyphen/>
        <w:t>чей по типу М-103. Габариты и посадочные места двигателя аналогичны М-105. Двигатель М-106 долго доводился, страдал тряской на переходных ре</w:t>
      </w:r>
      <w:r w:rsidRPr="00722885">
        <w:rPr>
          <w:rFonts w:ascii="Times New Roman" w:hAnsi="Times New Roman"/>
          <w:color w:val="000000" w:themeColor="text1"/>
          <w:sz w:val="16"/>
          <w:szCs w:val="16"/>
        </w:rPr>
        <w:softHyphen/>
        <w:t>жимах, выбросами масла, детонацией и дымлением. Данные о количестве изготов</w:t>
      </w:r>
      <w:r w:rsidRPr="00722885">
        <w:rPr>
          <w:rFonts w:ascii="Times New Roman" w:hAnsi="Times New Roman"/>
          <w:color w:val="000000" w:themeColor="text1"/>
          <w:sz w:val="16"/>
          <w:szCs w:val="16"/>
        </w:rPr>
        <w:softHyphen/>
        <w:t>ленных моторов крайне противоречивы. Мотор был снят с производства в мае 1943 г.</w:t>
      </w:r>
    </w:p>
    <w:p w14:paraId="1E8B5E9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Характеристики:</w:t>
      </w:r>
    </w:p>
    <w:p w14:paraId="63B945F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12-цтиндровый, рядный, У-образный, карбюраторный, водяного охлаж</w:t>
      </w:r>
      <w:r w:rsidRPr="00722885">
        <w:rPr>
          <w:rFonts w:ascii="Times New Roman" w:hAnsi="Times New Roman"/>
          <w:color w:val="000000" w:themeColor="text1"/>
          <w:sz w:val="16"/>
          <w:szCs w:val="16"/>
        </w:rPr>
        <w:softHyphen/>
        <w:t>дения (зимой использовались этиленгликолевые или глицериновые анти</w:t>
      </w:r>
      <w:r w:rsidRPr="00722885">
        <w:rPr>
          <w:rFonts w:ascii="Times New Roman" w:hAnsi="Times New Roman"/>
          <w:color w:val="000000" w:themeColor="text1"/>
          <w:sz w:val="16"/>
          <w:szCs w:val="16"/>
        </w:rPr>
        <w:softHyphen/>
        <w:t>фризы), редукторный, с одноступенчатым односкоростным ПЦН;</w:t>
      </w:r>
    </w:p>
    <w:p w14:paraId="55BEC10B"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диаметр цилиндра/ход поршня 148/170 мм;</w:t>
      </w:r>
    </w:p>
    <w:p w14:paraId="12009D7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объем 35,08 л, степень сжатия 6,0 (по другим данным, 6,5);</w:t>
      </w:r>
    </w:p>
    <w:p w14:paraId="3CA48E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мощность и вес в зависимости от модификации.</w:t>
      </w:r>
    </w:p>
    <w:p w14:paraId="0FF6FE0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Известны следующие модификации М-106:</w:t>
      </w:r>
    </w:p>
    <w:p w14:paraId="117BFD6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М-106 (М-106-1ск), серийно выпускался в 1942-1943 гг. Иногда име</w:t>
      </w:r>
      <w:r w:rsidRPr="00722885">
        <w:rPr>
          <w:rFonts w:ascii="Times New Roman" w:hAnsi="Times New Roman"/>
          <w:color w:val="000000" w:themeColor="text1"/>
          <w:sz w:val="16"/>
          <w:szCs w:val="16"/>
        </w:rPr>
        <w:softHyphen/>
        <w:t>новался М-106П. Предусматривал установку пушки ШВАК (20 мм) в развале блоков цилиндров. Мощность 1250/1350 л.с., вес 600 кг.</w:t>
      </w:r>
    </w:p>
    <w:p w14:paraId="5CB52E5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М-106, аналогичный предыдущему вариант для бомбардировщиков без возможности установки пушки. Проектировался в 1939 г.</w:t>
      </w:r>
    </w:p>
    <w:p w14:paraId="2DC0666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М-106ПВ («повышенной высотности»), вариант с двухступенчатым ПЦН Э-100 с гидромуфтой, аналогичный М-105ПД. Он испытывался на истребителе Як-9ПД в октябре 1943 г. В 1944 г. увеличили обо</w:t>
      </w:r>
      <w:r w:rsidRPr="00722885">
        <w:rPr>
          <w:rFonts w:ascii="Times New Roman" w:hAnsi="Times New Roman"/>
          <w:color w:val="000000" w:themeColor="text1"/>
          <w:sz w:val="16"/>
          <w:szCs w:val="16"/>
        </w:rPr>
        <w:softHyphen/>
        <w:t>роты нагнетателя, ввели впрыск водно-спиртовой смеси, установили новую систему зажигания. Модернизированный М-106ПВ испытывал</w:t>
      </w:r>
      <w:r w:rsidRPr="00722885">
        <w:rPr>
          <w:rFonts w:ascii="Times New Roman" w:hAnsi="Times New Roman"/>
          <w:color w:val="000000" w:themeColor="text1"/>
          <w:sz w:val="16"/>
          <w:szCs w:val="16"/>
        </w:rPr>
        <w:softHyphen/>
        <w:t>ся на Як-9ПД в апреле 1944 г. Было выпущено более 50 модерни</w:t>
      </w:r>
      <w:r w:rsidRPr="00722885">
        <w:rPr>
          <w:rFonts w:ascii="Times New Roman" w:hAnsi="Times New Roman"/>
          <w:color w:val="000000" w:themeColor="text1"/>
          <w:sz w:val="16"/>
          <w:szCs w:val="16"/>
        </w:rPr>
        <w:softHyphen/>
        <w:t>зированных М-106ПВ. На этом типе двигателя устанавливалась об</w:t>
      </w:r>
      <w:r w:rsidRPr="00722885">
        <w:rPr>
          <w:rFonts w:ascii="Times New Roman" w:hAnsi="Times New Roman"/>
          <w:color w:val="000000" w:themeColor="text1"/>
          <w:sz w:val="16"/>
          <w:szCs w:val="16"/>
        </w:rPr>
        <w:softHyphen/>
        <w:t>легченная пушка ША-20М (20 мм).</w:t>
      </w:r>
    </w:p>
    <w:p w14:paraId="49243A6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М-106 с турбореактором Ефремова. Проект 1940 г. с «турбореакто-ром» — туннельным радиатором конструкции Ефремова, обеспечи</w:t>
      </w:r>
      <w:r w:rsidRPr="00722885">
        <w:rPr>
          <w:rFonts w:ascii="Times New Roman" w:hAnsi="Times New Roman"/>
          <w:color w:val="000000" w:themeColor="text1"/>
          <w:sz w:val="16"/>
          <w:szCs w:val="16"/>
        </w:rPr>
        <w:softHyphen/>
        <w:t>вавшим создание реактивной тяги. О постройке опытных образцов ничего не известно.</w:t>
      </w:r>
    </w:p>
    <w:p w14:paraId="0DE07C5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М-106ТК, проект 1940 г. с двумя турбонагнетателями ТК-1.</w:t>
      </w:r>
    </w:p>
    <w:p w14:paraId="780F256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Двигатели М-106 (М-106-1ск) устанавливались на серийных истребителях Як-1, но на вооружение эти самолеты приняты не были, двигатели с них сняли. Моторы М-106ПВ монтировались на серийных Як-9ПД выпуска заво</w:t>
      </w:r>
      <w:r w:rsidRPr="00722885">
        <w:rPr>
          <w:rFonts w:ascii="Times New Roman" w:hAnsi="Times New Roman"/>
          <w:color w:val="000000" w:themeColor="text1"/>
          <w:sz w:val="16"/>
          <w:szCs w:val="16"/>
        </w:rPr>
        <w:softHyphen/>
        <w:t>да № 301. Использование М-106 разных вариантов предусматривалось также проектами самолетов ДБ-240 (Ер-2), СБ, И-26 (Як-1), И-301 (ЛаГГ-1) (11852).</w:t>
      </w:r>
    </w:p>
    <w:p w14:paraId="781A5CF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66D88D0" w14:textId="77777777" w:rsidR="00734E2B" w:rsidRPr="00722885" w:rsidRDefault="00734E2B"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ноябре 1942 г. С.П.Королева препровождают из Омска в Казань, где при авиационном заводе № 16 существовало Особое конструк торское бюро 4-го Спецотдела НКВД СССР.</w:t>
      </w:r>
    </w:p>
    <w:p w14:paraId="53264AA2" w14:textId="77777777" w:rsidR="00734E2B" w:rsidRPr="00722885" w:rsidRDefault="00734E2B"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По рассказам находившегося в те годы в Казани (также не по своей воле) известного двигателиста Д.Д. Севрука и быв шего представителя ВВС на заводе № 16 А.А. Колесникова, в разное время в ОКБ-16 Спецотдела № 4 НКВД входило несколь ко конструкторских коллективов со своей тематикой и глав ными конструкторами. В их числе коллектив А.Д. Чаромско го, разрабатывавший дизельные авиационные моторы;</w:t>
      </w:r>
    </w:p>
    <w:p w14:paraId="7F0A1618" w14:textId="77777777" w:rsidR="00734E2B" w:rsidRPr="00722885" w:rsidRDefault="00734E2B" w:rsidP="00722885">
      <w:pPr>
        <w:pStyle w:val="ae"/>
        <w:shd w:val="clear" w:color="auto" w:fill="FFFFFF"/>
        <w:spacing w:before="0" w:after="0"/>
        <w:jc w:val="both"/>
        <w:rPr>
          <w:color w:val="000000" w:themeColor="text1"/>
          <w:sz w:val="16"/>
          <w:szCs w:val="16"/>
        </w:rPr>
      </w:pPr>
      <w:r w:rsidRPr="00722885">
        <w:rPr>
          <w:color w:val="000000" w:themeColor="text1"/>
          <w:sz w:val="16"/>
          <w:szCs w:val="16"/>
        </w:rPr>
        <w:t>КБ- В.П. Глушко по разработке авиационных ЖРД;</w:t>
      </w:r>
    </w:p>
    <w:p w14:paraId="40FE907A" w14:textId="77777777" w:rsidR="00734E2B" w:rsidRPr="00722885" w:rsidRDefault="00734E2B" w:rsidP="00722885">
      <w:pPr>
        <w:pStyle w:val="ae"/>
        <w:shd w:val="clear" w:color="auto" w:fill="FFFFFF"/>
        <w:spacing w:before="0" w:after="0"/>
        <w:jc w:val="both"/>
        <w:rPr>
          <w:color w:val="000000" w:themeColor="text1"/>
          <w:sz w:val="16"/>
          <w:szCs w:val="16"/>
        </w:rPr>
      </w:pPr>
      <w:r w:rsidRPr="00722885">
        <w:rPr>
          <w:color w:val="000000" w:themeColor="text1"/>
          <w:sz w:val="16"/>
          <w:szCs w:val="16"/>
        </w:rPr>
        <w:t>группа Б.С. Стечкина, экспериментировавшая со своей оригинальной конструкцией воздушно-реактивного двигателя (19586).</w:t>
      </w:r>
    </w:p>
    <w:p w14:paraId="00F9789B" w14:textId="77777777" w:rsidR="00734E2B" w:rsidRPr="00722885" w:rsidRDefault="00734E2B" w:rsidP="00722885">
      <w:pPr>
        <w:pStyle w:val="ae"/>
        <w:shd w:val="clear" w:color="auto" w:fill="FFFFFF"/>
        <w:spacing w:before="0" w:after="0"/>
        <w:jc w:val="both"/>
        <w:rPr>
          <w:color w:val="000000" w:themeColor="text1"/>
          <w:sz w:val="16"/>
          <w:szCs w:val="16"/>
        </w:rPr>
      </w:pPr>
    </w:p>
    <w:p w14:paraId="7D94957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w:t>
      </w:r>
    </w:p>
    <w:p w14:paraId="483606A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Выполнение норм выработки рабочими-сдельщиками НКАП за ноябрь 1942 г. (РГАЭ. Ф. 8044. </w:t>
      </w:r>
      <w:r w:rsidRPr="00722885">
        <w:rPr>
          <w:rFonts w:ascii="Times New Roman" w:hAnsi="Times New Roman"/>
          <w:color w:val="000000" w:themeColor="text1"/>
          <w:sz w:val="16"/>
          <w:szCs w:val="16"/>
          <w:lang w:val="en-US"/>
        </w:rPr>
        <w:t xml:space="preserve">On. </w:t>
      </w:r>
      <w:r w:rsidRPr="00722885">
        <w:rPr>
          <w:rFonts w:ascii="Times New Roman" w:hAnsi="Times New Roman"/>
          <w:color w:val="000000" w:themeColor="text1"/>
          <w:sz w:val="16"/>
          <w:szCs w:val="16"/>
        </w:rPr>
        <w:t>1. Д. 2879. Л. 34)</w:t>
      </w:r>
    </w:p>
    <w:tbl>
      <w:tblPr>
        <w:tblW w:w="0" w:type="auto"/>
        <w:tblInd w:w="8" w:type="dxa"/>
        <w:tblLayout w:type="fixed"/>
        <w:tblCellMar>
          <w:left w:w="0" w:type="dxa"/>
          <w:right w:w="0" w:type="dxa"/>
        </w:tblCellMar>
        <w:tblLook w:val="0000" w:firstRow="0" w:lastRow="0" w:firstColumn="0" w:lastColumn="0" w:noHBand="0" w:noVBand="0"/>
      </w:tblPr>
      <w:tblGrid>
        <w:gridCol w:w="2530"/>
        <w:gridCol w:w="667"/>
        <w:gridCol w:w="1373"/>
        <w:gridCol w:w="1382"/>
      </w:tblGrid>
      <w:tr w:rsidR="009B487A" w:rsidRPr="00722885" w14:paraId="48C7AF5A" w14:textId="77777777" w:rsidTr="00CC5360">
        <w:trPr>
          <w:trHeight w:val="614"/>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5BAA7B7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Процент выполнена нормы выработка</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364EE6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Человек</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0BFB57F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w:t>
            </w:r>
            <w:r w:rsidRPr="00722885">
              <w:rPr>
                <w:rFonts w:ascii="Times New Roman" w:hAnsi="Times New Roman"/>
                <w:color w:val="000000" w:themeColor="text1"/>
                <w:sz w:val="16"/>
                <w:szCs w:val="16"/>
                <w:lang w:val="en-US"/>
              </w:rPr>
              <w:t>or</w:t>
            </w:r>
            <w:r w:rsidRPr="00722885">
              <w:rPr>
                <w:rFonts w:ascii="Times New Roman" w:hAnsi="Times New Roman"/>
                <w:color w:val="000000" w:themeColor="text1"/>
                <w:sz w:val="16"/>
                <w:szCs w:val="16"/>
              </w:rPr>
              <w:t xml:space="preserve"> всего числя работало» в ноябре 1942 г.</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46A9A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от всего числа работниковв январе 1943 г.*</w:t>
            </w:r>
          </w:p>
        </w:tc>
      </w:tr>
      <w:tr w:rsidR="009B487A" w:rsidRPr="00722885" w14:paraId="0643B525" w14:textId="77777777" w:rsidTr="00CC5360">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2F9EDD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99</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7C9D73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21728</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3F65A24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390EC26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w:t>
            </w:r>
          </w:p>
        </w:tc>
      </w:tr>
      <w:tr w:rsidR="009B487A" w:rsidRPr="00722885" w14:paraId="1B390364" w14:textId="77777777" w:rsidTr="00CC5360">
        <w:trPr>
          <w:trHeight w:val="21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E88FED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100-119</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8A66DD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41724</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43D130E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B4E705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22,7</w:t>
            </w:r>
          </w:p>
        </w:tc>
      </w:tr>
      <w:tr w:rsidR="009B487A" w:rsidRPr="00722885" w14:paraId="39910DA8" w14:textId="77777777" w:rsidTr="00CC5360">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543CCD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120-149</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4517740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46535</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2FCB3B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23,6</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22C34DE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23,7</w:t>
            </w:r>
          </w:p>
        </w:tc>
      </w:tr>
      <w:tr w:rsidR="009B487A" w:rsidRPr="00722885" w14:paraId="553616B1" w14:textId="77777777" w:rsidTr="00CC5360">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0CC5C55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150-199</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A30763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тяг</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503507F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1D8011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w:t>
            </w:r>
          </w:p>
        </w:tc>
      </w:tr>
      <w:tr w:rsidR="009B487A" w:rsidRPr="00722885" w14:paraId="5B1BBB44" w14:textId="77777777" w:rsidTr="00CC5360">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17116E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нормы и более</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2CDC04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39925</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7A570B1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20,3</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78511EE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19,1</w:t>
            </w:r>
          </w:p>
        </w:tc>
      </w:tr>
      <w:tr w:rsidR="009B487A" w:rsidRPr="00722885" w14:paraId="438F3C37" w14:textId="77777777" w:rsidTr="00CC5360">
        <w:trPr>
          <w:trHeight w:val="21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51EC0B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678E7B9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197205</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602907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210B24C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r>
      <w:tr w:rsidR="009B487A" w:rsidRPr="00722885" w14:paraId="5CDE0383" w14:textId="77777777" w:rsidTr="00CC5360">
        <w:trPr>
          <w:trHeight w:val="245"/>
        </w:trPr>
        <w:tc>
          <w:tcPr>
            <w:tcW w:w="3197" w:type="dxa"/>
            <w:gridSpan w:val="2"/>
            <w:tcBorders>
              <w:top w:val="single" w:sz="6" w:space="0" w:color="auto"/>
              <w:left w:val="single" w:sz="6" w:space="0" w:color="auto"/>
              <w:bottom w:val="single" w:sz="6" w:space="0" w:color="auto"/>
              <w:right w:val="single" w:sz="6" w:space="0" w:color="auto"/>
            </w:tcBorders>
            <w:shd w:val="clear" w:color="auto" w:fill="FFFFFF"/>
          </w:tcPr>
          <w:p w14:paraId="6905D3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Средний % выполнения по отработанному временя</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1F9D7C8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149,2</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77BE5C0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147,2</w:t>
            </w:r>
          </w:p>
        </w:tc>
      </w:tr>
    </w:tbl>
    <w:p w14:paraId="4C39999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Данные за январь 1943 г. приводятся для сравнения и несопоставимы с данны</w:t>
      </w:r>
      <w:r w:rsidRPr="00722885">
        <w:rPr>
          <w:rFonts w:ascii="Times New Roman" w:hAnsi="Times New Roman"/>
          <w:color w:val="000000" w:themeColor="text1"/>
          <w:sz w:val="16"/>
          <w:szCs w:val="16"/>
        </w:rPr>
        <w:softHyphen/>
        <w:t>ми в абсолютных цифрах численности персонала.</w:t>
      </w:r>
    </w:p>
    <w:p w14:paraId="58C74B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не справлялись с нормой выработки около 11% рабочих, и в то же время 20 % перевыполняли её вдвое. Однако обращает на себя внимание негативная тенденция — к зиме 1942/43 г. количество несправлявшихся с нормой вы</w:t>
      </w:r>
      <w:r w:rsidRPr="00722885">
        <w:rPr>
          <w:rFonts w:ascii="Times New Roman" w:hAnsi="Times New Roman"/>
          <w:color w:val="000000" w:themeColor="text1"/>
          <w:sz w:val="16"/>
          <w:szCs w:val="16"/>
        </w:rPr>
        <w:softHyphen/>
        <w:t>работки несколько возросло, а удельный вес «двухсотников» снизился (12011).</w:t>
      </w:r>
    </w:p>
    <w:p w14:paraId="709D70BE"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2FB1B3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удалось пустить вторую очередь Уральского алюминиевого завода. Одновременно форсированными методами велось строительство аналогичного завода в Новокузнецке (На тот момент — Сталинск) (12011).</w:t>
      </w:r>
    </w:p>
    <w:p w14:paraId="564FDFE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14E63D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по приказу 7ГУ № 4 планировалось выделить ОКБ Гулянского в самостоятельное ОКБ-35 НКАП в системе 7ГУ на существующей опытной базе. Однако ОКБ продолжило действовать при заводе № 156 (на 02.1943 г.).</w:t>
      </w:r>
    </w:p>
    <w:p w14:paraId="4759C3D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297с от 15.05.1943 г. в связи с расширением работ по производству неметаллических агрегатов (литье из растительных волокон) на существующей базе ОКБ в составе 14 чел. создан самостоятельный завод № 225 НКАП.</w:t>
      </w:r>
    </w:p>
    <w:p w14:paraId="59B9FB0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(1942-43 г.)- П.В. Гулянский (11982).</w:t>
      </w:r>
    </w:p>
    <w:p w14:paraId="4EE0D832"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2D2D2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 с учетом всех доработок САБ-100-55 присвоили номер чертежа 3-01165. Конструктивно этот боеприпас был аналогичен САБ-50 чертежа 05941М (7453).</w:t>
      </w:r>
    </w:p>
    <w:p w14:paraId="0CD0248C" w14:textId="77777777" w:rsidR="00090C9B" w:rsidRPr="00722885" w:rsidRDefault="00090C9B" w:rsidP="00722885">
      <w:pPr>
        <w:pStyle w:val="Iauiue"/>
        <w:jc w:val="both"/>
        <w:rPr>
          <w:color w:val="000000" w:themeColor="text1"/>
          <w:sz w:val="16"/>
          <w:szCs w:val="16"/>
        </w:rPr>
      </w:pPr>
    </w:p>
    <w:p w14:paraId="2816C5B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САБ-100-55 приняли на вооружение и потом в январе 1946 испытали дополнительно для уточнения баллистических характеристик, имея в виду использование с реактивных самолетов (7453, 562).</w:t>
      </w:r>
    </w:p>
    <w:p w14:paraId="0CAB8919" w14:textId="77777777" w:rsidR="00090C9B" w:rsidRPr="00722885" w:rsidRDefault="00090C9B" w:rsidP="00722885">
      <w:pPr>
        <w:pStyle w:val="Iauiue"/>
        <w:jc w:val="both"/>
        <w:rPr>
          <w:color w:val="000000" w:themeColor="text1"/>
          <w:sz w:val="16"/>
          <w:szCs w:val="16"/>
        </w:rPr>
      </w:pPr>
    </w:p>
    <w:p w14:paraId="2BB73D7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ГСКБ-47 при отработке снаряжения опытных партий САБ-50 использовали химически чистые алюминий, магний и пр. На снаряжательных заводах в условиях войны и массового производства таких возможностей не было, и там работали с более доступными материалами. Из-за этого сила света серийных факелов в САБ-100-55 производства ГСКБ-47 и завода № 320 уменьшилась до 2.000.000 - 2.200.000 свечей. Между тем это не помешало успешно использовать САБ-100-55 в течение всей Великой Отечественной войны, а по ее окончании она еще долгое время оставалась на вооружении ВВС (7453).</w:t>
      </w:r>
    </w:p>
    <w:p w14:paraId="2FBE5068" w14:textId="77777777" w:rsidR="00090C9B" w:rsidRPr="00722885" w:rsidRDefault="00090C9B" w:rsidP="00722885">
      <w:pPr>
        <w:pStyle w:val="Iauiue"/>
        <w:jc w:val="both"/>
        <w:rPr>
          <w:color w:val="000000" w:themeColor="text1"/>
          <w:sz w:val="16"/>
          <w:szCs w:val="16"/>
        </w:rPr>
      </w:pPr>
    </w:p>
    <w:p w14:paraId="331F6C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1940 года на НИМАП РККА, как того требовали ТТТ, в испытательных целях провели наземный отстрел БРАБ-200ДС по бронеплитам. Их результаты даже несколько превысили ожидаемые - проника</w:t>
      </w:r>
      <w:r w:rsidRPr="00722885">
        <w:rPr>
          <w:rFonts w:ascii="Times New Roman" w:hAnsi="Times New Roman"/>
          <w:color w:val="000000" w:themeColor="text1"/>
          <w:sz w:val="16"/>
          <w:szCs w:val="16"/>
        </w:rPr>
        <w:softHyphen/>
        <w:t>ющая способность ракетных авиабомб превысила данный показатель у обычных бронебойных авиабомб и 2,5-3,5 раза. На совещании в 3-м УВВС РККА по итогам полигонных испытаний БРАБ-200ДС допустили в производство опытной партии для войсковых испытаний. Бронебойность авиабомбы составила 102 мм при бомбометании с высоты 1500 м орости носителя 100 м/с по броне с коэффициент ом твердости 2350 (11402).</w:t>
      </w:r>
    </w:p>
    <w:p w14:paraId="5792C969"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545A99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на заводе - № 512 - в прифронтовой полосе было разбраковано 11500 зарядов из пороха ПС в снарядах М-8. Для ускорения этой работы ГУ В ГМЧ выделило в помощь заводу 512 600 сол</w:t>
      </w:r>
      <w:r w:rsidRPr="00722885">
        <w:rPr>
          <w:rFonts w:ascii="Times New Roman" w:hAnsi="Times New Roman"/>
          <w:color w:val="000000" w:themeColor="text1"/>
          <w:sz w:val="16"/>
          <w:szCs w:val="16"/>
        </w:rPr>
        <w:softHyphen/>
        <w:t>дат и автотранспорт.</w:t>
      </w:r>
    </w:p>
    <w:p w14:paraId="4C880E0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внешнему виду пороха не имели каких-либо признаков, свиде</w:t>
      </w:r>
      <w:r w:rsidRPr="00722885">
        <w:rPr>
          <w:rFonts w:ascii="Times New Roman" w:hAnsi="Times New Roman"/>
          <w:color w:val="000000" w:themeColor="text1"/>
          <w:sz w:val="16"/>
          <w:szCs w:val="16"/>
        </w:rPr>
        <w:softHyphen/>
        <w:t>тельствующих о некондиции. Выяснить причины этого явления было поручено сотрудникам НИИ-6 Г.К.Клименко, А.Н.Гукасову и др. Оказа</w:t>
      </w:r>
      <w:r w:rsidRPr="00722885">
        <w:rPr>
          <w:rFonts w:ascii="Times New Roman" w:hAnsi="Times New Roman"/>
          <w:color w:val="000000" w:themeColor="text1"/>
          <w:sz w:val="16"/>
          <w:szCs w:val="16"/>
        </w:rPr>
        <w:softHyphen/>
        <w:t>лось, что на незакономерном горении пороха сказываются его структур</w:t>
      </w:r>
      <w:r w:rsidRPr="00722885">
        <w:rPr>
          <w:rFonts w:ascii="Times New Roman" w:hAnsi="Times New Roman"/>
          <w:color w:val="000000" w:themeColor="text1"/>
          <w:sz w:val="16"/>
          <w:szCs w:val="16"/>
        </w:rPr>
        <w:softHyphen/>
        <w:t>ная неоднородность за счет присутствия в нем неорганических твердых включений (кристаллы селитры работали как сенсибилизаторы) и нали</w:t>
      </w:r>
      <w:r w:rsidRPr="00722885">
        <w:rPr>
          <w:rFonts w:ascii="Times New Roman" w:hAnsi="Times New Roman"/>
          <w:color w:val="000000" w:themeColor="text1"/>
          <w:sz w:val="16"/>
          <w:szCs w:val="16"/>
        </w:rPr>
        <w:softHyphen/>
        <w:t>чия в шашках трещин, пузырей, непрожелатинизированного пироксил-лина и пр. При некоторых сочетаниях этих факторов площадь поверхно</w:t>
      </w:r>
      <w:r w:rsidRPr="00722885">
        <w:rPr>
          <w:rFonts w:ascii="Times New Roman" w:hAnsi="Times New Roman"/>
          <w:color w:val="000000" w:themeColor="text1"/>
          <w:sz w:val="16"/>
          <w:szCs w:val="16"/>
        </w:rPr>
        <w:softHyphen/>
        <w:t>сти горения могла возрастать в 4-5 раз, что неизбежно вело к резкому ро</w:t>
      </w:r>
      <w:r w:rsidRPr="00722885">
        <w:rPr>
          <w:rFonts w:ascii="Times New Roman" w:hAnsi="Times New Roman"/>
          <w:color w:val="000000" w:themeColor="text1"/>
          <w:sz w:val="16"/>
          <w:szCs w:val="16"/>
        </w:rPr>
        <w:softHyphen/>
        <w:t>сту давления в двигателе.</w:t>
      </w:r>
    </w:p>
    <w:p w14:paraId="1A8DF1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эти нюансы, на пироксилиновых ракетных порохах для М-13 и М-8 армия сражалась до ввода в строй завода № 98. Однако, со</w:t>
      </w:r>
      <w:r w:rsidRPr="00722885">
        <w:rPr>
          <w:rFonts w:ascii="Times New Roman" w:hAnsi="Times New Roman"/>
          <w:color w:val="000000" w:themeColor="text1"/>
          <w:sz w:val="16"/>
          <w:szCs w:val="16"/>
        </w:rPr>
        <w:softHyphen/>
        <w:t>вершенствование пироксилиновых порохов для РС продолжалось, и в 1942-1943 гг. Б.П.Жуков с И.В.Казанцевым разработали пироксилино-канифольный порох ПК, не содержащий селитры. Кроме пирокси</w:t>
      </w:r>
      <w:r w:rsidRPr="00722885">
        <w:rPr>
          <w:rFonts w:ascii="Times New Roman" w:hAnsi="Times New Roman"/>
          <w:color w:val="000000" w:themeColor="text1"/>
          <w:sz w:val="16"/>
          <w:szCs w:val="16"/>
        </w:rPr>
        <w:softHyphen/>
        <w:t>лина, в него входило от 2 до 5% канифоли и до 1% дифениламина. В го</w:t>
      </w:r>
      <w:r w:rsidRPr="00722885">
        <w:rPr>
          <w:rFonts w:ascii="Times New Roman" w:hAnsi="Times New Roman"/>
          <w:color w:val="000000" w:themeColor="text1"/>
          <w:sz w:val="16"/>
          <w:szCs w:val="16"/>
        </w:rPr>
        <w:softHyphen/>
        <w:t>товом порохе было 8,5% летучих растворителей (спирт, эфир, вода). Ис</w:t>
      </w:r>
      <w:r w:rsidRPr="00722885">
        <w:rPr>
          <w:rFonts w:ascii="Times New Roman" w:hAnsi="Times New Roman"/>
          <w:color w:val="000000" w:themeColor="text1"/>
          <w:sz w:val="16"/>
          <w:szCs w:val="16"/>
        </w:rPr>
        <w:softHyphen/>
        <w:t>пытания РС М-8 с порохом ПК дали положительный результат, кучность боя не ухудшилась, а дальность полета оказалась на 7% больше, чем при использовании ПС. Размеры шашек для М-8 из пороха ПК были анало</w:t>
      </w:r>
      <w:r w:rsidRPr="00722885">
        <w:rPr>
          <w:rFonts w:ascii="Times New Roman" w:hAnsi="Times New Roman"/>
          <w:color w:val="000000" w:themeColor="text1"/>
          <w:sz w:val="16"/>
          <w:szCs w:val="16"/>
        </w:rPr>
        <w:softHyphen/>
        <w:t>гичны шашкам из ПС. Новые шашки отлично «работали» как при низ</w:t>
      </w:r>
      <w:r w:rsidRPr="00722885">
        <w:rPr>
          <w:rFonts w:ascii="Times New Roman" w:hAnsi="Times New Roman"/>
          <w:color w:val="000000" w:themeColor="text1"/>
          <w:sz w:val="16"/>
          <w:szCs w:val="16"/>
        </w:rPr>
        <w:softHyphen/>
        <w:t>ких, так и высоких температурах заряда, что гарантировало полную без</w:t>
      </w:r>
      <w:r w:rsidRPr="00722885">
        <w:rPr>
          <w:rFonts w:ascii="Times New Roman" w:hAnsi="Times New Roman"/>
          <w:color w:val="000000" w:themeColor="text1"/>
          <w:sz w:val="16"/>
          <w:szCs w:val="16"/>
        </w:rPr>
        <w:softHyphen/>
        <w:t>опасность применения снарядов.</w:t>
      </w:r>
    </w:p>
    <w:p w14:paraId="52733A1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снарядов М-13 также изготавливали РЗ, набранные из восьми тонких пороховых шашек ПК</w:t>
      </w:r>
      <w:r w:rsidRPr="00722885">
        <w:rPr>
          <w:rFonts w:ascii="Times New Roman" w:hAnsi="Times New Roman"/>
          <w:color w:val="000000" w:themeColor="text1"/>
          <w:sz w:val="16"/>
          <w:szCs w:val="16"/>
          <w:vertAlign w:val="subscript"/>
        </w:rPr>
        <w:t>3</w:t>
      </w:r>
      <w:r w:rsidRPr="00722885">
        <w:rPr>
          <w:rFonts w:ascii="Times New Roman" w:hAnsi="Times New Roman"/>
          <w:color w:val="000000" w:themeColor="text1"/>
          <w:sz w:val="16"/>
          <w:szCs w:val="16"/>
        </w:rPr>
        <w:t>. Они имели аналогичную шашкам из ПСз форму и габариты - трехлепестковые трехканальные. Большая про</w:t>
      </w:r>
      <w:r w:rsidRPr="00722885">
        <w:rPr>
          <w:rFonts w:ascii="Times New Roman" w:hAnsi="Times New Roman"/>
          <w:color w:val="000000" w:themeColor="text1"/>
          <w:sz w:val="16"/>
          <w:szCs w:val="16"/>
        </w:rPr>
        <w:softHyphen/>
        <w:t>грамма испытаний и проверок продемонстрировала надежную работу этого пороха. Однако, как утверждает в своих воспоминаниях Л.Б.Кизнер, пороха ПК в серию не запускали (11402).</w:t>
      </w:r>
    </w:p>
    <w:p w14:paraId="2987476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45CA770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В ноябре 1942 г. на заводе N 36 была забракована партия белой краски МК-7 из-за непросева мела. Существенно уменьшить потерю скорости и даже свести ее на нет можно было, обработав окрашенные поверхности наждачной бумагой № 1, 00, 000 или даже просто грубой тряпкой по только что просохшему слою, но такие меры во фронтовых условиях были мало реальны (3092).</w:t>
      </w:r>
    </w:p>
    <w:p w14:paraId="034648FA" w14:textId="77777777" w:rsidR="00090C9B" w:rsidRPr="00722885" w:rsidRDefault="00090C9B" w:rsidP="00722885">
      <w:pPr>
        <w:pStyle w:val="Iauiue"/>
        <w:jc w:val="both"/>
        <w:rPr>
          <w:color w:val="000000" w:themeColor="text1"/>
          <w:sz w:val="16"/>
          <w:szCs w:val="16"/>
        </w:rPr>
      </w:pPr>
    </w:p>
    <w:p w14:paraId="3A6A6015"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DF4E77D" w14:textId="77777777" w:rsidR="00090C9B" w:rsidRPr="00722885" w:rsidRDefault="00090C9B" w:rsidP="00722885">
      <w:pPr>
        <w:pStyle w:val="Iauiue"/>
        <w:jc w:val="both"/>
        <w:rPr>
          <w:iCs/>
          <w:color w:val="000000" w:themeColor="text1"/>
          <w:sz w:val="16"/>
          <w:szCs w:val="16"/>
        </w:rPr>
      </w:pPr>
    </w:p>
    <w:p w14:paraId="5761796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на завод (Завод № 768 НКХП, Уфимский химический завод (УХЗ), ПО, ГП «Химпром», ОАО «Уфахимпром» /Черниковск  г. Уфа/ /Башкирия 450029  г. Уфа ул. Путейская, 25/) эвакуировано основное оборудование Рубежанского химкомбината (цехи № 1, 2, 9, 11, 23 и электроподстанция), где комбинат продолжил работу в виде отдельного производственного комплекса. Первый хлорбензол был получен на новом месте в конце апреля 1944 г. Затем оборудование комбината было включено в состав УХЗ. На базе производства хлорбензола организован цех № 2 УХЗ. В 1944 г. получен первый хлор.</w:t>
      </w:r>
    </w:p>
    <w:p w14:paraId="517C54B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УХЗ (ВОВ): цехи: № 1- хлора и электролитической щелочи; № 2- хлорбензола; № 3- соляной кислоты; № 4- хлораминов; № 5- хлорсульфоновой кислоты; № 6- контактной серной кислоты; № 7- сульфогидрата натрия; № 8- выпарки электролитической щелочи; № 10- синтетической соляной кислоты.</w:t>
      </w:r>
    </w:p>
    <w:p w14:paraId="29C9DB1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06.1946 г. завод был остановлен на капремонт на три месяца, пуск цехов хлорной группы был задержан до 11.1946 г. Полностью завод принят в эксплуатацию приказом МХП № 252 от 24.07.1947 г. В 1950 г. организовано первое в стране производство гербицидов, в 1952-53 г. оно было модернизировано. В 1954-55 г. построен новый цех по производству хлорбензола непрерывным методом.</w:t>
      </w:r>
    </w:p>
    <w:p w14:paraId="3FE63A6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1957 г. Уфимский завод химреактивов был реорганизован в цех химреактивов в составе УХЗ.</w:t>
      </w:r>
    </w:p>
    <w:p w14:paraId="7E5B345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1960 г. пущена установка пиролизного ацетилена, освоен выпуск 27 новых химреактивов, общий их ассортимент составил 39 наименований. В 1960-63 г. проведена реконструкция комплекса гербицидных цехов.</w:t>
      </w:r>
    </w:p>
    <w:p w14:paraId="0BF4E7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1965-67 г. произведено 4000 т дефолианта «оранжевый агент» для использования в ВАП во Вьетнаме. В 1966-70 г. освоен выпуск 2,4,4-Т-бутилового эфира, 8 новых химреактивов. С 1968 г. начат выпуск ТИП.</w:t>
      </w:r>
    </w:p>
    <w:p w14:paraId="4D6C408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1970-е  г. проведена реконструкция хлорного производства, впервые в стране были использованы методы защиты титанового оборудования от электрокоррозии. Введен в строй рассолопровод Стерлитамак-Уфа, проведена реконструкция производства хлорамина. В 1972-73 г. освоен выпуск эпоксидно-диановых смол. С 1980 г. начат выпуск ленацила. В 1987 г. введен в строй производственный комплекс по выпуску дифенилпропана. В 1988-89 г. проведена реконструкция предприятия с целью улучшения экологических характеристик.</w:t>
      </w:r>
    </w:p>
    <w:p w14:paraId="4CF3DA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«Химпром» было в 1983, 1995 г.</w:t>
      </w:r>
      <w:r w:rsidRPr="00722885">
        <w:rPr>
          <w:rFonts w:ascii="Times New Roman" w:hAnsi="Times New Roman"/>
          <w:color w:val="000000" w:themeColor="text1"/>
          <w:sz w:val="16"/>
          <w:szCs w:val="16"/>
          <w:vertAlign w:val="superscript"/>
        </w:rPr>
        <w:t>71</w:t>
      </w:r>
      <w:r w:rsidRPr="00722885">
        <w:rPr>
          <w:rFonts w:ascii="Times New Roman" w:hAnsi="Times New Roman"/>
          <w:color w:val="000000" w:themeColor="text1"/>
          <w:sz w:val="16"/>
          <w:szCs w:val="16"/>
        </w:rPr>
        <w:t xml:space="preserve"> В 1998 г. ГП «Химпром» преобразовано в ОАО «Уфахимпром».</w:t>
      </w:r>
    </w:p>
    <w:p w14:paraId="421326F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(2000-е): химические средства защиты растений; эпоксидные смолы и компаунды; дезинфицирующие средства; органические и неорганические кислоты; сода каустическая; бытовая химия.</w:t>
      </w:r>
    </w:p>
    <w:p w14:paraId="73CA94D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Директор (05.1942-06.1945 г.)- П.М. Пурмаль, (06.1945-04.1970 г.)- С.Л. Орел, (04.1970-04.1972 г.)- М.С. Бакиров, (04.1972-85 г.)- А.И. Селезнев, (1985-87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Никитин, (1987-11.1995 г.)- В.Я. Железняк, (11.1995- 02.1998 г.)- Т. Г. Татлыбаев, (02.1998-06.2001 г.)- С.С. Азнаев, (06.2001-05.2003 г.)- В.М. Тимербулатов, (05.2003- 08.2005 г.)- К.Ш. Амирханов, (08.2005 г.-)- С.Н. Борисов.</w:t>
      </w:r>
    </w:p>
    <w:p w14:paraId="3DBDD8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кислоты: серная, соляная, монохлоруксусная; хлоруглеводороды: хлорбензол, хлорацетилен, тетрахлорбензол, трихлорэтилен; эпоксидные смолы; сода каустическая; гербициды: метаксон, 2,4-Д натриевая соль (1951-), ленацил (1980-), «Чисталан» (1998-);</w:t>
      </w:r>
      <w:r w:rsidRPr="00722885">
        <w:rPr>
          <w:rFonts w:ascii="Times New Roman" w:hAnsi="Times New Roman"/>
          <w:color w:val="000000" w:themeColor="text1"/>
          <w:sz w:val="16"/>
          <w:szCs w:val="16"/>
          <w:vertAlign w:val="superscript"/>
        </w:rPr>
        <w:t>118</w:t>
      </w:r>
      <w:r w:rsidRPr="00722885">
        <w:rPr>
          <w:rFonts w:ascii="Times New Roman" w:hAnsi="Times New Roman"/>
          <w:color w:val="000000" w:themeColor="text1"/>
          <w:sz w:val="16"/>
          <w:szCs w:val="16"/>
        </w:rPr>
        <w:t xml:space="preserve"> детали для ППШ (1942) (11982).</w:t>
      </w:r>
    </w:p>
    <w:p w14:paraId="3736B7B6"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93297E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эскизный проект мортиры И-13-63 “Сталинский удар”, который НИИ-13 разрабатывал с марта 1942, поступил в Техсовет НКВ и рассматривался до марта 1943 (7691,30).</w:t>
      </w:r>
    </w:p>
    <w:p w14:paraId="34F99FFB" w14:textId="77777777" w:rsidR="00090C9B" w:rsidRPr="00722885" w:rsidRDefault="00090C9B" w:rsidP="00722885">
      <w:pPr>
        <w:pStyle w:val="Iauiue"/>
        <w:jc w:val="both"/>
        <w:rPr>
          <w:color w:val="000000" w:themeColor="text1"/>
          <w:sz w:val="16"/>
          <w:szCs w:val="16"/>
        </w:rPr>
      </w:pPr>
    </w:p>
    <w:p w14:paraId="677B22B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на заводе № 112 «Красное Сормово» закончилась работа по исследованию сварных соединений трофейных германских танков Pz.II и Pz.III. Его целью было выявление конструктивных особенностей сварных соединений и технологии сварки. В заключении говорилось: «В результате проведенной работы выявлены новые принципы сварки бронеконструкций, которые не только представляют большой технический интерес с точки зрения ознакомления с практикой сварки, применяющейся в германском танкостроении, но могут быть применены и в отечественном танкостроении после практической проверки». [302 — Там же, Д. 190, Л. 77.] (11741).</w:t>
      </w:r>
    </w:p>
    <w:p w14:paraId="79EFD21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05AE598"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было письмо БТУ ГАБТУ Красной Армии, отправленное в адрес завода № 112: «Несмотря на то что утвержденное мною „Основное положение“ по технологии производства брони получено заводом уже три месяца назад, завод не внедрил новую, отвечающую этим требованиям технологию, в результате чего качество бронекорпусов продолжает оставаться на низком уровне и на них наблюдается большое количество трещин. Завод широко применяет резку по каленому без последующего нужного отжига, следствием чего является, например, обнаружение в течение октября трещин на примерно 100 бортах…Бригада ЦНИИ-48, проверяя причины больших непопаданий в анализ по сталям 8-С и 44-Л на вашем заводе, установила, что скачивание шлака производится очень медленно и не полностью. Шлаковый режим плавок не соблюдается: закись железа в шлаке не определяется, шлак в печи перед выпуском не сгущается, а в ковше не подстуживается. В результате непопадания в анализ доходит в отдельные месяцы до 39 %». [294 — ГУ ЦАНО, Ф. 15, Оп. 4, Д. 190, Л. 32.] (11741).</w:t>
      </w:r>
    </w:p>
    <w:p w14:paraId="3A269EC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6A73394" w14:textId="77777777" w:rsidR="00EB3D31" w:rsidRPr="00722885" w:rsidRDefault="00EB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ноябре 1942 начались работы по разработке улучшенного КВ-13. Этот танк заметно отличался от предшественника. Что же касается первого КВ-13, то он оказался одновременно и первым шагом на пути к ИС-2, лучшему советскому тяжелому танку военного периода и, возможно, лучшему тяжелому танку всей Второй мировой войны (17537).</w:t>
      </w:r>
    </w:p>
    <w:p w14:paraId="0772AED4" w14:textId="77777777" w:rsidR="00EB3D31" w:rsidRPr="00722885" w:rsidRDefault="00EB3D31" w:rsidP="00722885">
      <w:pPr>
        <w:spacing w:after="0" w:line="240" w:lineRule="auto"/>
        <w:jc w:val="both"/>
        <w:rPr>
          <w:rFonts w:ascii="Times New Roman" w:eastAsia="Times New Roman" w:hAnsi="Times New Roman"/>
          <w:color w:val="000000" w:themeColor="text1"/>
          <w:sz w:val="16"/>
          <w:szCs w:val="16"/>
          <w:lang w:eastAsia="ru-RU"/>
        </w:rPr>
      </w:pPr>
    </w:p>
    <w:p w14:paraId="55A9AA72" w14:textId="77777777" w:rsidR="00EB3D31" w:rsidRPr="00722885" w:rsidRDefault="00EB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ноября 1942 года начались работы по проектированию переработанного КВ-13. Они совпали с первыми отзывами о КВ-1с из войск, а они оказались не только положительными. Например, критике подверглась конструкция командирской башенки, которая не имела люка. В результате нередкими были случаи, когда экипаж погибал, не успев выбраться из танка. Для КВ-13 эта проблема выглядела ещё критичнее, поскольку своего люка здесь не было и у механика-водителя. Влияние КВ-1с на КВ-13 было заметно и в конструкции опорных катков.</w:t>
      </w:r>
    </w:p>
    <w:p w14:paraId="68FCB06D" w14:textId="77777777" w:rsidR="00EB3D31" w:rsidRPr="00722885" w:rsidRDefault="00EB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От КВ-1с была позаимствована (с некоторыми изменениями) и коробка передач. Вместе с тем в конструкции танка нашлось место и совершенно новым разработкам. Например, планетарному механизму поворота, надо которым в это время работало два коллектива: Московский машиностроительный институт им. Баумана (группа Г. И. Зайчика) и инженер-полковник А. И. Благонравов. У завода № 100 с Благонравовым сложились плодотворные отношения: с 19 ноября 1942 года на КВ-1С № 15002 начались испытания его механизма поворота. Именно конструкцию Благонравова решили использовать на улучшенном КВ-13.</w:t>
      </w:r>
    </w:p>
    <w:p w14:paraId="41093DB5" w14:textId="77777777" w:rsidR="00EB3D31" w:rsidRPr="00722885" w:rsidRDefault="00EB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К 10 декабря 1942 года проект КВ-13 второго варианта был готов. Кстати, так его называло СКБ-2 ЧКЗ, а на заводе № 100 продолжал использоваться индекс ИС-1. Вместе с комплектом технической документации была готова деревянная модель. Хорошо заметно, что башня танка сильно изменилась даже по сравнению с первым вариантом трёхместной башни. По форме она во многом повторяла ту, что ставилась на КВ-1с. От неё брался погон диаметром 1590 мм, стопор, смотровые приборы. Главным отличием стала новая командирская башенка. Она была крупнее, а главное, в ней появился люк. Без рудиментов, впрочем, дело не обошлось. Подобно командирской башенке танка </w:t>
      </w:r>
      <w:hyperlink r:id="rId176" w:history="1">
        <w:r w:rsidRPr="00722885">
          <w:rPr>
            <w:rFonts w:ascii="Times New Roman" w:eastAsia="Times New Roman" w:hAnsi="Times New Roman"/>
            <w:color w:val="000000" w:themeColor="text1"/>
            <w:sz w:val="16"/>
            <w:szCs w:val="16"/>
            <w:lang w:eastAsia="ru-RU"/>
          </w:rPr>
          <w:t>Т-150</w:t>
        </w:r>
      </w:hyperlink>
      <w:r w:rsidRPr="00722885">
        <w:rPr>
          <w:rFonts w:ascii="Times New Roman" w:eastAsia="Times New Roman" w:hAnsi="Times New Roman"/>
          <w:color w:val="000000" w:themeColor="text1"/>
          <w:sz w:val="16"/>
          <w:szCs w:val="16"/>
          <w:lang w:eastAsia="ru-RU"/>
        </w:rPr>
        <w:t>, в передней части появилось расширение, куда установили перископический прибор ПТК-5.</w:t>
      </w:r>
    </w:p>
    <w:p w14:paraId="1A91291D" w14:textId="77777777" w:rsidR="00EB3D31" w:rsidRPr="00722885" w:rsidRDefault="00EB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Ещё одним существенным отличием была установка орудия. Вместо ЗИС-5 на втором варианте КВ-13 поставили Ф-34. Благодаря тому что систему вынесли на 180 мм вперед, в башне стало заметно просторнее. Также переделке подверглись сидения, это позволило дополнительно улучшить условия работы. Укладки брались как от КВ-1с, так и от Т-34 (17688).</w:t>
      </w:r>
    </w:p>
    <w:p w14:paraId="4DE307A4" w14:textId="77777777" w:rsidR="00EB3D31" w:rsidRPr="00722885" w:rsidRDefault="00EB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9A8EAB5"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ноябрю 1942 г. на УТЗ работало уже шесть сварочных полуавтоматов, а на ЧКЗ - два (10782).</w:t>
      </w:r>
    </w:p>
    <w:p w14:paraId="0040EA3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5565E5E5"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ноябре 1942 года ЧКЗ изготовил 10 КВ-8С, причем семь из них имели не только башню, но и корпус от КВ-1: из-за отсутствия в достаточном ко</w:t>
      </w:r>
      <w:r w:rsidRPr="00722885">
        <w:rPr>
          <w:rFonts w:ascii="Times New Roman" w:cs="Times New Roman"/>
          <w:color w:val="000000" w:themeColor="text1"/>
          <w:spacing w:val="0"/>
        </w:rPr>
        <w:softHyphen/>
        <w:t>личестве корпусов КВ-1С, постановлением ГКО было разрешено использование корпу</w:t>
      </w:r>
      <w:r w:rsidRPr="00722885">
        <w:rPr>
          <w:rFonts w:ascii="Times New Roman" w:cs="Times New Roman"/>
          <w:color w:val="000000" w:themeColor="text1"/>
          <w:spacing w:val="0"/>
        </w:rPr>
        <w:softHyphen/>
        <w:t>сов от КВ-1 (об этом говорилось выше). В де</w:t>
      </w:r>
      <w:r w:rsidRPr="00722885">
        <w:rPr>
          <w:rFonts w:ascii="Times New Roman" w:cs="Times New Roman"/>
          <w:color w:val="000000" w:themeColor="text1"/>
          <w:spacing w:val="0"/>
        </w:rPr>
        <w:softHyphen/>
        <w:t>кабре КВ-8С не производились, и таким об</w:t>
      </w:r>
      <w:r w:rsidRPr="00722885">
        <w:rPr>
          <w:rFonts w:ascii="Times New Roman" w:cs="Times New Roman"/>
          <w:color w:val="000000" w:themeColor="text1"/>
          <w:spacing w:val="0"/>
        </w:rPr>
        <w:softHyphen/>
        <w:t>разом за 1942 год ЧКЗ сдал 25 КВ-8С с баш</w:t>
      </w:r>
      <w:r w:rsidRPr="00722885">
        <w:rPr>
          <w:rFonts w:ascii="Times New Roman" w:cs="Times New Roman"/>
          <w:color w:val="000000" w:themeColor="text1"/>
          <w:spacing w:val="0"/>
        </w:rPr>
        <w:softHyphen/>
        <w:t>нями КВ-1 (15226).</w:t>
      </w:r>
    </w:p>
    <w:p w14:paraId="41315896"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p>
    <w:p w14:paraId="1D2044EA"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ноя</w:t>
      </w:r>
      <w:r w:rsidRPr="00722885">
        <w:rPr>
          <w:rFonts w:ascii="Times New Roman" w:cs="Times New Roman"/>
          <w:color w:val="000000" w:themeColor="text1"/>
          <w:spacing w:val="0"/>
        </w:rPr>
        <w:softHyphen/>
        <w:t xml:space="preserve">бре 1942 года, несмотря на то, что проблему с корпусами для выпуска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удалось решить,  план производства этих машин ЧКЗ выполнил всего на 79%. В докладе о ра</w:t>
      </w:r>
      <w:r w:rsidRPr="00722885">
        <w:rPr>
          <w:rFonts w:ascii="Times New Roman" w:cs="Times New Roman"/>
          <w:color w:val="000000" w:themeColor="text1"/>
          <w:spacing w:val="0"/>
        </w:rPr>
        <w:softHyphen/>
        <w:t>боте завода за данный месяц военпред докла</w:t>
      </w:r>
      <w:r w:rsidRPr="00722885">
        <w:rPr>
          <w:rFonts w:ascii="Times New Roman" w:cs="Times New Roman"/>
          <w:color w:val="000000" w:themeColor="text1"/>
          <w:spacing w:val="0"/>
        </w:rPr>
        <w:softHyphen/>
        <w:t>дывал следующее:</w:t>
      </w:r>
    </w:p>
    <w:p w14:paraId="7A00975A"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«Основной причиной невыполнения про</w:t>
      </w:r>
      <w:r w:rsidRPr="00722885">
        <w:rPr>
          <w:rFonts w:ascii="Times New Roman" w:cs="Times New Roman"/>
          <w:color w:val="000000" w:themeColor="text1"/>
          <w:spacing w:val="0"/>
        </w:rPr>
        <w:softHyphen/>
        <w:t>граммы ноября месяца остается до сих пор неразрешенный вопрос с заготовительными цехами завода.</w:t>
      </w:r>
    </w:p>
    <w:p w14:paraId="03BB4971"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 своей мощности сталелитейные цеха не могут обеспечить заготовками беспере</w:t>
      </w:r>
      <w:r w:rsidRPr="00722885">
        <w:rPr>
          <w:rFonts w:ascii="Times New Roman" w:cs="Times New Roman"/>
          <w:color w:val="000000" w:themeColor="text1"/>
          <w:spacing w:val="0"/>
        </w:rPr>
        <w:softHyphen/>
        <w:t>бойной работы механосборочные цеха, кро</w:t>
      </w:r>
      <w:r w:rsidRPr="00722885">
        <w:rPr>
          <w:rFonts w:ascii="Times New Roman" w:cs="Times New Roman"/>
          <w:color w:val="000000" w:themeColor="text1"/>
          <w:spacing w:val="0"/>
        </w:rPr>
        <w:softHyphen/>
        <w:t>ме этого в значительной степени тормозят подачу заготовок кузнечные цеха по штампо</w:t>
      </w:r>
      <w:r w:rsidRPr="00722885">
        <w:rPr>
          <w:rFonts w:ascii="Times New Roman" w:cs="Times New Roman"/>
          <w:color w:val="000000" w:themeColor="text1"/>
          <w:spacing w:val="0"/>
        </w:rPr>
        <w:softHyphen/>
        <w:t>ванным заготовкам.</w:t>
      </w:r>
    </w:p>
    <w:p w14:paraId="42FD1D56"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Вследствие этого, сборочные цеха заво</w:t>
      </w:r>
      <w:r w:rsidRPr="00722885">
        <w:rPr>
          <w:rFonts w:ascii="Times New Roman" w:cs="Times New Roman"/>
          <w:color w:val="000000" w:themeColor="text1"/>
          <w:spacing w:val="0"/>
        </w:rPr>
        <w:softHyphen/>
        <w:t>да начинают программу месяца совершенно не имея заделов, и первая половина месяца программы идет вне графика, что приводит к тому, что завод с 15-го числа и до конца ме</w:t>
      </w:r>
      <w:r w:rsidRPr="00722885">
        <w:rPr>
          <w:rFonts w:ascii="Times New Roman" w:cs="Times New Roman"/>
          <w:color w:val="000000" w:themeColor="text1"/>
          <w:spacing w:val="0"/>
        </w:rPr>
        <w:softHyphen/>
        <w:t>сяца начинает «штурмовщину» со всеми вы</w:t>
      </w:r>
      <w:r w:rsidRPr="00722885">
        <w:rPr>
          <w:rFonts w:ascii="Times New Roman" w:cs="Times New Roman"/>
          <w:color w:val="000000" w:themeColor="text1"/>
          <w:spacing w:val="0"/>
        </w:rPr>
        <w:softHyphen/>
        <w:t>текающими отсюда последствиями.</w:t>
      </w:r>
    </w:p>
    <w:p w14:paraId="035B494F"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lastRenderedPageBreak/>
        <w:t>Второй причиной невыполнения програм</w:t>
      </w:r>
      <w:r w:rsidRPr="00722885">
        <w:rPr>
          <w:rFonts w:ascii="Times New Roman" w:cs="Times New Roman"/>
          <w:color w:val="000000" w:themeColor="text1"/>
          <w:spacing w:val="0"/>
        </w:rPr>
        <w:softHyphen/>
        <w:t xml:space="preserve">мы по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является случай грубого на</w:t>
      </w:r>
      <w:r w:rsidRPr="00722885">
        <w:rPr>
          <w:rFonts w:ascii="Times New Roman" w:cs="Times New Roman"/>
          <w:color w:val="000000" w:themeColor="text1"/>
          <w:spacing w:val="0"/>
        </w:rPr>
        <w:softHyphen/>
        <w:t>рушения технологии изготовления нижних опорных катков, из-за чего собранные ма</w:t>
      </w:r>
      <w:r w:rsidRPr="00722885">
        <w:rPr>
          <w:rFonts w:ascii="Times New Roman" w:cs="Times New Roman"/>
          <w:color w:val="000000" w:themeColor="text1"/>
          <w:spacing w:val="0"/>
        </w:rPr>
        <w:softHyphen/>
        <w:t>шины простаивали в цехе без катков, так как партия имеющихся в заделе была нами забракована...</w:t>
      </w:r>
    </w:p>
    <w:p w14:paraId="6017FFBD" w14:textId="77777777" w:rsidR="00A3483C" w:rsidRPr="00722885" w:rsidRDefault="00A348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Третьей причиной невыполнения програм</w:t>
      </w:r>
      <w:r w:rsidRPr="00722885">
        <w:rPr>
          <w:rFonts w:ascii="Times New Roman" w:hAnsi="Times New Roman"/>
          <w:color w:val="000000" w:themeColor="text1"/>
          <w:sz w:val="16"/>
          <w:szCs w:val="16"/>
        </w:rPr>
        <w:softHyphen/>
        <w:t xml:space="preserve">мы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является перебой в планомерной подаче корпусов на сборку. Всего за месяц поступило корпусов на Кировский завод 137, причем все эти корпуса разукомплектованы, то есть нет некоторых деталей, например: бронемасок, корыт, крышек и т.д. Следова</w:t>
      </w:r>
      <w:r w:rsidRPr="00722885">
        <w:rPr>
          <w:rFonts w:ascii="Times New Roman" w:hAnsi="Times New Roman"/>
          <w:color w:val="000000" w:themeColor="text1"/>
          <w:sz w:val="16"/>
          <w:szCs w:val="16"/>
        </w:rPr>
        <w:softHyphen/>
        <w:t>тельно это нарушало нормальный ритм заде</w:t>
      </w:r>
      <w:r w:rsidRPr="00722885">
        <w:rPr>
          <w:rFonts w:ascii="Times New Roman" w:hAnsi="Times New Roman"/>
          <w:color w:val="000000" w:themeColor="text1"/>
          <w:sz w:val="16"/>
          <w:szCs w:val="16"/>
        </w:rPr>
        <w:softHyphen/>
        <w:t>ла на корпусном конвейере.</w:t>
      </w:r>
    </w:p>
    <w:p w14:paraId="13BADDAA"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Четвертой причиной невыполнения про</w:t>
      </w:r>
      <w:r w:rsidRPr="00722885">
        <w:rPr>
          <w:rFonts w:ascii="Times New Roman" w:cs="Times New Roman"/>
          <w:color w:val="000000" w:themeColor="text1"/>
          <w:spacing w:val="0"/>
        </w:rPr>
        <w:softHyphen/>
        <w:t>граммы по заводу является недостаточное снабжение завода электроэнергией и углем вследствие чего часто стоят цеха. Так, в ночь с 30/</w:t>
      </w:r>
      <w:r w:rsidRPr="00722885">
        <w:rPr>
          <w:rFonts w:ascii="Times New Roman" w:cs="Times New Roman"/>
          <w:color w:val="000000" w:themeColor="text1"/>
          <w:spacing w:val="0"/>
          <w:lang w:val="en-US"/>
        </w:rPr>
        <w:t>XI</w:t>
      </w:r>
      <w:r w:rsidRPr="00722885">
        <w:rPr>
          <w:rFonts w:ascii="Times New Roman" w:cs="Times New Roman"/>
          <w:color w:val="000000" w:themeColor="text1"/>
          <w:spacing w:val="0"/>
        </w:rPr>
        <w:t xml:space="preserve"> на 1/</w:t>
      </w:r>
      <w:r w:rsidRPr="00722885">
        <w:rPr>
          <w:rFonts w:ascii="Times New Roman" w:cs="Times New Roman"/>
          <w:color w:val="000000" w:themeColor="text1"/>
          <w:spacing w:val="0"/>
          <w:lang w:val="en-US"/>
        </w:rPr>
        <w:t>XII</w:t>
      </w:r>
      <w:r w:rsidRPr="00722885">
        <w:rPr>
          <w:rFonts w:ascii="Times New Roman" w:cs="Times New Roman"/>
          <w:color w:val="000000" w:themeColor="text1"/>
          <w:spacing w:val="0"/>
        </w:rPr>
        <w:t xml:space="preserve"> цех МХ-1 совершенно не ра</w:t>
      </w:r>
      <w:r w:rsidRPr="00722885">
        <w:rPr>
          <w:rFonts w:ascii="Times New Roman" w:cs="Times New Roman"/>
          <w:color w:val="000000" w:themeColor="text1"/>
          <w:spacing w:val="0"/>
        </w:rPr>
        <w:softHyphen/>
        <w:t>ботал — отсутствовала электроэнергия; но</w:t>
      </w:r>
      <w:r w:rsidRPr="00722885">
        <w:rPr>
          <w:rFonts w:ascii="Times New Roman" w:cs="Times New Roman"/>
          <w:color w:val="000000" w:themeColor="text1"/>
          <w:spacing w:val="0"/>
        </w:rPr>
        <w:softHyphen/>
        <w:t>чью с 1 на 2/</w:t>
      </w:r>
      <w:r w:rsidRPr="00722885">
        <w:rPr>
          <w:rFonts w:ascii="Times New Roman" w:cs="Times New Roman"/>
          <w:color w:val="000000" w:themeColor="text1"/>
          <w:spacing w:val="0"/>
          <w:lang w:val="en-US"/>
        </w:rPr>
        <w:t>XII</w:t>
      </w:r>
      <w:r w:rsidRPr="00722885">
        <w:rPr>
          <w:rFonts w:ascii="Times New Roman" w:cs="Times New Roman"/>
          <w:color w:val="000000" w:themeColor="text1"/>
          <w:spacing w:val="0"/>
        </w:rPr>
        <w:t xml:space="preserve"> в течение 30 минут был вы</w:t>
      </w:r>
      <w:r w:rsidRPr="00722885">
        <w:rPr>
          <w:rFonts w:ascii="Times New Roman" w:cs="Times New Roman"/>
          <w:color w:val="000000" w:themeColor="text1"/>
          <w:spacing w:val="0"/>
        </w:rPr>
        <w:softHyphen/>
        <w:t>ключен весь завод из-за отсутствия электроэ</w:t>
      </w:r>
      <w:r w:rsidRPr="00722885">
        <w:rPr>
          <w:rFonts w:ascii="Times New Roman" w:cs="Times New Roman"/>
          <w:color w:val="000000" w:themeColor="text1"/>
          <w:spacing w:val="0"/>
        </w:rPr>
        <w:softHyphen/>
        <w:t>нергии, часто стоят молоты из-за отсутствия пара и т.д.» (15226).</w:t>
      </w:r>
    </w:p>
    <w:p w14:paraId="02D67ABC"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p>
    <w:p w14:paraId="792F25B5" w14:textId="77777777" w:rsidR="00A3483C" w:rsidRPr="00722885" w:rsidRDefault="00A348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ноябре 1942 на ЧКЗ из ГАУ КА пришло предложение КВ-7 доработать, установив командирскую башенку, провести отладку всех систем и отправить на войсковые испытания. Хотя эту идею забросили, КВ-7 ещё успел послужить на благо советского танкопрома. На машине испытывали планетарную трансмиссию, которую разработал коллектив Московского Машиностроительного Института им. Баумана под руководством Г. И. Зайчика. Затем КВ-7 очутился на площадке завода №100, а в декабре 1943 года многострадальную самоходку вместе с КВ-9 и КВ-12 отправили в металлолом (15838).</w:t>
      </w:r>
    </w:p>
    <w:p w14:paraId="20C67F6D" w14:textId="77777777" w:rsidR="00A3483C" w:rsidRPr="00722885" w:rsidRDefault="00A3483C" w:rsidP="00722885">
      <w:pPr>
        <w:pStyle w:val="ae"/>
        <w:shd w:val="clear" w:color="auto" w:fill="FFFFFF"/>
        <w:spacing w:before="0" w:after="0"/>
        <w:jc w:val="both"/>
        <w:rPr>
          <w:color w:val="000000" w:themeColor="text1"/>
          <w:sz w:val="16"/>
          <w:szCs w:val="16"/>
        </w:rPr>
      </w:pPr>
    </w:p>
    <w:p w14:paraId="7A134DF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ноября 1942 года по май 1945 года ротные учения (в составе маршевых рот) прошли 4685 танков (Омского завода № 174), при этом были выявлены следующие основные дефекты.</w:t>
      </w:r>
    </w:p>
    <w:p w14:paraId="51A1EC1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Выход из строя коробки перемены передач - всего за данный период заменена 371 коробка. В начале 1943 года поломки коробок передач приняли массовый характер, главным образом из-за разрушения шестерен 3 и 4-й передач. Основной причиной этого явления являлась некачественная термическая и механическая обработка. С введением 5-скоростной коробки перемены передач чисто поломок снизилось, но до конца воины изжить этот недостаток так и не удалось. Основными причинами этого являлись как некачественная механическая и термическая обработка, так и применение некачественных поковок для изготовления деталей, а также небрежный монтаж механизмов. Например, в мае 1945 года пришлось заменить 8 коробок передач из-за пропущенного брака.</w:t>
      </w:r>
    </w:p>
    <w:p w14:paraId="4BEC258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 начале 1943 года выявлялось большое количество танков с деформированными дисками главного фрикциона. Этот дефект удалось устранить повысив контроль за качеством термической и механической обработки дисков.</w:t>
      </w:r>
    </w:p>
    <w:p w14:paraId="3D684B5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Довольно частым явлением были трешины и излом траков гусениц из-за некачественного литья или их некачественной термообработки.</w:t>
      </w:r>
    </w:p>
    <w:p w14:paraId="652005C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Разрушение резиновых амортизаторов балансиров опорных катков стало носить массовый характер зимой 1945 года (в феврале — 475 случаев). Причиной этого стало использование некачественной резины, которая при низких температурах теряла свои качества.</w:t>
      </w:r>
    </w:p>
    <w:p w14:paraId="188A78B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Облом по сварному шву кронштейнов крепления амортизаторов балансиров в январе-феврале 1945 года из-за некачественной сварки и некачественной разделки шва под сварку.</w:t>
      </w:r>
    </w:p>
    <w:p w14:paraId="1345BAA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Трещины по сварному шву командирской башенки из-за некачественной сварки (непроварки или пережоги шва).</w:t>
      </w:r>
    </w:p>
    <w:p w14:paraId="75167F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Трешины в наклонном бортовом бронелисте из-за некачественной огневой резки при заготовке листов.</w:t>
      </w:r>
    </w:p>
    <w:p w14:paraId="7B13C14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Довольно много поломок происходило во время ротных учений по вине механиков-водителей. Главным образом, это были выход из строя бортовой передачи, разрушение подшипников ленивца и опорных катков, изгиб оси кривошипа ленивца, а также различные дефекты опорных катков, ведущего, направляющего колес и траков гусениц. Причиной этого чаще всего являлось столкновение машин на маршах из-за недостаточного опыта вождения у механиков-водителей.</w:t>
      </w:r>
    </w:p>
    <w:p w14:paraId="3FEB82C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300-километровых пробегов, то всего за 1942 - 1945 года в них участвовало 49 Т-34. Результаты их были следующими:</w:t>
      </w:r>
    </w:p>
    <w:p w14:paraId="490439F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испьнывалось 2 машины, обе прошли пробег (100%);</w:t>
      </w:r>
    </w:p>
    <w:p w14:paraId="422FE13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году из 11 прошло 6 машин (54,5%);</w:t>
      </w:r>
    </w:p>
    <w:p w14:paraId="41DFCED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1944 году из 26 прошло 10 машин (38,45%);</w:t>
      </w:r>
    </w:p>
    <w:p w14:paraId="420E58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1945 году (за пять месяцев) из 10 прошло 3 (30%).</w:t>
      </w:r>
    </w:p>
    <w:p w14:paraId="3B5E988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судить по приведенным выше данным, то можно сделать вывод, что качество выпускаемых заводом № 174 танков с каждым годом ухудшалось. Однако на самом деле все обстояло не совсем так.</w:t>
      </w:r>
    </w:p>
    <w:p w14:paraId="370D63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Дело в том, что рост числа машин, не выдержавших испытания, шел за счет того, что значительно ужесточились требования заказчика, предъявляемые к качеству выпускаемых танков. Так, программы испытаний, присланные ГБТУ КА в 1943-м, и особенно в 1944-м и 1945 годах значительно повышали требовательность к испытываемым танкам. Кроме этого и сам аппарат военной приемки завода № 174 в соответствии с указаниями главного бронетанкового управления стал проводить испытания более квалифицированными силами, предъявляя высокую требовательность.</w:t>
      </w:r>
    </w:p>
    <w:p w14:paraId="17AE3EA0"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касается гарантийных испытаний на НИБТ полигоне, то первый Т-34 был отправлен из Омска в Кубинку в апреле 1943 года. Всего до конца войны на гарантийный километраж испытывалось 14 танков: в 1943 году - 5, в 1944 году - семь и в 1945 году - два (за пять месяцев), из них выдержало испытание всего 4 машины (28,57%).</w:t>
      </w:r>
    </w:p>
    <w:p w14:paraId="12A54A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Основными поломками и дефектами, по которым не были засчитаны результаты испытаний, были следующие:</w:t>
      </w:r>
    </w:p>
    <w:p w14:paraId="6A3764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Выход из строя двигателей на пяти танках - обрыв шатунов, скручивание верхнего вертикального валика привода топливного насоса, разрушение хвостовика валика водяного насоса.</w:t>
      </w:r>
    </w:p>
    <w:p w14:paraId="6A1366C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Разрушение подшипника главного фрикциона.</w:t>
      </w:r>
    </w:p>
    <w:p w14:paraId="055AFCAC"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Поломка балансира переднего правого опорного катка.</w:t>
      </w:r>
    </w:p>
    <w:p w14:paraId="0E9C09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Выход из строя коробки перемены передач.</w:t>
      </w:r>
    </w:p>
    <w:p w14:paraId="13191A7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Рекламации из войск. Всего за 1942— 1945 года завод № 174 получил 171 рекламацию из воинских частей, причем наибольшее их количество - 83 - пришлось на 1942 год, то есть на начало выпуска Т-34. В 1943-1944 годах число рекламаций оставалось примерно на одном уровне (37 и 39 соответственно), но зато изменился их характер. Например, в 1943 году была 21 рекламация по разрушению зубьев коробки перемены передач, а в 1944-м — всего 7, то есть в три раза меньше. Количество рекламаций по разрушению подшипников бортовой передачи в 1943 году была одна, а в 1944-м - 12. Также в 1944 голу получено 9 рекламаций по трещинам в корпусах и башнях, тогда как в 1942 - 1943 годах по этим дефектам не было ни одной.</w:t>
      </w:r>
    </w:p>
    <w:p w14:paraId="4519A25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посмотреть процент рекламаций к общему количеству выпущенных танков Т-34, то получится следующее:</w:t>
      </w:r>
    </w:p>
    <w:p w14:paraId="037502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изготовлено 417, получено рекламаций 83, или 19,9%;</w:t>
      </w:r>
    </w:p>
    <w:p w14:paraId="3ADF536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году изготовлено 1347, получено рекламаций 37, или 2,8%;</w:t>
      </w:r>
    </w:p>
    <w:p w14:paraId="248F5EB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1944 году изготовлено 2163, получено рекламаций 39, или 1,8%;</w:t>
      </w:r>
    </w:p>
    <w:p w14:paraId="2B31C3E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1945 году (за пять месяцев) изготовлено 865, получено рекламаций 13, или 1,5%.</w:t>
      </w:r>
    </w:p>
    <w:p w14:paraId="2F35A04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процент получен- ныхзаводомрекламаций снизился с 19.9до 1.5% (12217).</w:t>
      </w:r>
    </w:p>
    <w:p w14:paraId="3752AD71"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9D4A63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на Ленинградском фронте по предложению инже</w:t>
      </w:r>
      <w:r w:rsidRPr="00722885">
        <w:rPr>
          <w:rFonts w:ascii="Times New Roman" w:hAnsi="Times New Roman"/>
          <w:color w:val="000000" w:themeColor="text1"/>
          <w:sz w:val="16"/>
          <w:szCs w:val="16"/>
        </w:rPr>
        <w:softHyphen/>
        <w:t>нер-полковника Г.А. Федорова на ремонтном заводе № 27 на базе танка Т-34-76 была изготовлена небольшая партия танков-мостов ТМ-34. Танк-мост ТМ-34 предназначался для преодоления линейными тан</w:t>
      </w:r>
      <w:r w:rsidRPr="00722885">
        <w:rPr>
          <w:rFonts w:ascii="Times New Roman" w:hAnsi="Times New Roman"/>
          <w:color w:val="000000" w:themeColor="text1"/>
          <w:sz w:val="16"/>
          <w:szCs w:val="16"/>
        </w:rPr>
        <w:softHyphen/>
        <w:t>ками Т-34 естественных и искусственных препятствий (рвов, оврагов и т.н.). Машина заезжала в противотанковый ров, как бы заполняя его со</w:t>
      </w:r>
      <w:r w:rsidRPr="00722885">
        <w:rPr>
          <w:rFonts w:ascii="Times New Roman" w:hAnsi="Times New Roman"/>
          <w:color w:val="000000" w:themeColor="text1"/>
          <w:sz w:val="16"/>
          <w:szCs w:val="16"/>
        </w:rPr>
        <w:softHyphen/>
        <w:t>бой, после чего по мостовой ферме, закрепленной на корпусе сверху, проезжали линейные танки. Опыт изготовления и боевого применения танка-моста ТМ-34 был использован при разработке новых, более совершенных конструкций мостоопорных танков. Кроме того, 1944 г. на Калининском фронте си</w:t>
      </w:r>
      <w:r w:rsidRPr="00722885">
        <w:rPr>
          <w:rFonts w:ascii="Times New Roman" w:hAnsi="Times New Roman"/>
          <w:color w:val="000000" w:themeColor="text1"/>
          <w:sz w:val="16"/>
          <w:szCs w:val="16"/>
        </w:rPr>
        <w:softHyphen/>
        <w:t>лами и средствами войсковых частей был изготовлен самосбрасывав</w:t>
      </w:r>
      <w:r w:rsidRPr="00722885">
        <w:rPr>
          <w:rFonts w:ascii="Times New Roman" w:hAnsi="Times New Roman"/>
          <w:color w:val="000000" w:themeColor="text1"/>
          <w:sz w:val="16"/>
          <w:szCs w:val="16"/>
        </w:rPr>
        <w:softHyphen/>
        <w:t>шийся с танка деревянный мост (10703).</w:t>
      </w:r>
    </w:p>
    <w:p w14:paraId="6DFA31F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25CFA8D" w14:textId="77777777" w:rsidR="00EB3D31" w:rsidRPr="00722885" w:rsidRDefault="00EB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ноябре из ГАУ КА пришло предложение КВ-7 доработать, установив командирскую башенку, провести отладку всех систем и отправить на войсковые испытания. Хотя эту идею забросили, КВ-7 ещё успел послужить на благо советского танкопрома. На машине испытывали планетарную трансмиссию, которую разработал коллектив Московского Машиностроительного Института им. Баумана под руководством Г. И. Зайчика. Затем КВ-7 очутился на площадке завода №100, а в декабре 1943 года многострадальную самоходку вместе с КВ-9 и КВ-12 отправили в металлолом (17647).</w:t>
      </w:r>
    </w:p>
    <w:p w14:paraId="3404B0E4" w14:textId="77777777" w:rsidR="00EB3D31" w:rsidRPr="00722885" w:rsidRDefault="00EB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302E11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по предложению инженер-полковника Г.А. Федорова па ремонтном заводе № 27 Ленинградского фронта был разработан Танк-мост ТМ-34. Небольшая партия ма же заводе и использовалась в паступателъ на Ленинградском фронте была изготовлена па том х операциях 1942 - 1943 гг. Танк-мост был разработан в двух вариантах: без башни и с башней, имеющей ограниченные углы подъема и поворота пушки. Он представ</w:t>
      </w:r>
      <w:r w:rsidRPr="00722885">
        <w:rPr>
          <w:rFonts w:ascii="Times New Roman" w:hAnsi="Times New Roman"/>
          <w:color w:val="000000" w:themeColor="text1"/>
          <w:sz w:val="16"/>
          <w:szCs w:val="16"/>
        </w:rPr>
        <w:softHyphen/>
        <w:t>лял собой танк Т-34-76 обр. 1941 г., на котором была уста!юв.тепа специ</w:t>
      </w:r>
      <w:r w:rsidRPr="00722885">
        <w:rPr>
          <w:rFonts w:ascii="Times New Roman" w:hAnsi="Times New Roman"/>
          <w:color w:val="000000" w:themeColor="text1"/>
          <w:sz w:val="16"/>
          <w:szCs w:val="16"/>
        </w:rPr>
        <w:softHyphen/>
        <w:t>альная металлическая ферма, шарпирпо закрепленная к его кормовой части. Передняя часть фермы укладывалась на специальные, приварен</w:t>
      </w:r>
      <w:r w:rsidRPr="00722885">
        <w:rPr>
          <w:rFonts w:ascii="Times New Roman" w:hAnsi="Times New Roman"/>
          <w:color w:val="000000" w:themeColor="text1"/>
          <w:sz w:val="16"/>
          <w:szCs w:val="16"/>
        </w:rPr>
        <w:softHyphen/>
        <w:t>ные к корпусу тапка опоры. В кормовой части машины располагалась платформа для прикрытия гусениц и для облегчения въезда танков па мост. Для облегчения съезда танков с моста после прохождения через ров, носовая часть фермы предварительно устанавливалась на высоту перед</w:t>
      </w:r>
      <w:r w:rsidRPr="00722885">
        <w:rPr>
          <w:rFonts w:ascii="Times New Roman" w:hAnsi="Times New Roman"/>
          <w:color w:val="000000" w:themeColor="text1"/>
          <w:sz w:val="16"/>
          <w:szCs w:val="16"/>
        </w:rPr>
        <w:softHyphen/>
        <w:t>него края рва. Для этой цели ферма моста приподнималась за счет дере</w:t>
      </w:r>
      <w:r w:rsidRPr="00722885">
        <w:rPr>
          <w:rFonts w:ascii="Times New Roman" w:hAnsi="Times New Roman"/>
          <w:color w:val="000000" w:themeColor="text1"/>
          <w:sz w:val="16"/>
          <w:szCs w:val="16"/>
        </w:rPr>
        <w:softHyphen/>
        <w:t>вянных брусков, укладывавшихся между фермой и опорами. Применение танка-моста обеспечивало возможность линейным тан</w:t>
      </w:r>
      <w:r w:rsidRPr="00722885">
        <w:rPr>
          <w:rFonts w:ascii="Times New Roman" w:hAnsi="Times New Roman"/>
          <w:color w:val="000000" w:themeColor="text1"/>
          <w:sz w:val="16"/>
          <w:szCs w:val="16"/>
        </w:rPr>
        <w:softHyphen/>
        <w:t>кам преодолевать рвы трапецевидного профиля шириной от 5 до 12 м и глубиной от 2,5 до 4,5 м (10703).</w:t>
      </w:r>
    </w:p>
    <w:p w14:paraId="1082D78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0693F0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lastRenderedPageBreak/>
        <w:t>С ноября 1942 к производству дизелей В-2 подключился завод 77 в Барнауле. Однако, Кировский завод в Челябинске стал головным по серии В-2 и там было головное серийное бюро СКБ-75 во главе с И.Я.Трашутиным (4405).</w:t>
      </w:r>
    </w:p>
    <w:p w14:paraId="7484D604" w14:textId="77777777" w:rsidR="00090C9B" w:rsidRPr="00722885" w:rsidRDefault="00090C9B" w:rsidP="00722885">
      <w:pPr>
        <w:pStyle w:val="Iauiue"/>
        <w:jc w:val="both"/>
        <w:rPr>
          <w:color w:val="000000" w:themeColor="text1"/>
          <w:sz w:val="16"/>
          <w:szCs w:val="16"/>
        </w:rPr>
      </w:pPr>
    </w:p>
    <w:p w14:paraId="271347F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был изготовлен опытный образец Т-70-3. В декабре 1942 г. машина была предъявлена на сравнительные испытания с танком Т-90, которые не выдержала из-за невозможности ведения прицельной стрельбы по наземным и воздушным целям, вследствие недостаточной уравновешенности качающейся части основного оружия (10703).</w:t>
      </w:r>
    </w:p>
    <w:p w14:paraId="29BDD4E2"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29CB45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опытный образец танка Т-90 был изготовлен и предъявлен на предварительные испытания, которые прошли в пери</w:t>
      </w:r>
      <w:r w:rsidRPr="00722885">
        <w:rPr>
          <w:rFonts w:ascii="Times New Roman" w:hAnsi="Times New Roman"/>
          <w:color w:val="000000" w:themeColor="text1"/>
          <w:sz w:val="16"/>
          <w:szCs w:val="16"/>
        </w:rPr>
        <w:softHyphen/>
        <w:t>од с 12 по 18 ноября 1942 г. С 5 по 12 декабря танк Т-90 выдержал срав</w:t>
      </w:r>
      <w:r w:rsidRPr="00722885">
        <w:rPr>
          <w:rFonts w:ascii="Times New Roman" w:hAnsi="Times New Roman"/>
          <w:color w:val="000000" w:themeColor="text1"/>
          <w:sz w:val="16"/>
          <w:szCs w:val="16"/>
        </w:rPr>
        <w:softHyphen/>
        <w:t>нительные полигонные испытания с танком Т-70-3, продемонстриро</w:t>
      </w:r>
      <w:r w:rsidRPr="00722885">
        <w:rPr>
          <w:rFonts w:ascii="Times New Roman" w:hAnsi="Times New Roman"/>
          <w:color w:val="000000" w:themeColor="text1"/>
          <w:sz w:val="16"/>
          <w:szCs w:val="16"/>
        </w:rPr>
        <w:softHyphen/>
        <w:t>вав возможность ведения огня как по наземным, так и по воздушным целям. По результатам испытаний после устранения выявленных недо</w:t>
      </w:r>
      <w:r w:rsidRPr="00722885">
        <w:rPr>
          <w:rFonts w:ascii="Times New Roman" w:hAnsi="Times New Roman"/>
          <w:color w:val="000000" w:themeColor="text1"/>
          <w:sz w:val="16"/>
          <w:szCs w:val="16"/>
        </w:rPr>
        <w:softHyphen/>
        <w:t>статков машина была рекомендована для принятия на вооружение РККА, но в связи с прекращением выпуска легких танков Т-70М и Т-80 (при проектировании был предусмотрен вариант использования и это</w:t>
      </w:r>
      <w:r w:rsidRPr="00722885">
        <w:rPr>
          <w:rFonts w:ascii="Times New Roman" w:hAnsi="Times New Roman"/>
          <w:color w:val="000000" w:themeColor="text1"/>
          <w:sz w:val="16"/>
          <w:szCs w:val="16"/>
        </w:rPr>
        <w:softHyphen/>
        <w:t>го шасси) и изменения ТТТ к такого рода машинам, дальнейшие рабо</w:t>
      </w:r>
      <w:r w:rsidRPr="00722885">
        <w:rPr>
          <w:rFonts w:ascii="Times New Roman" w:hAnsi="Times New Roman"/>
          <w:color w:val="000000" w:themeColor="text1"/>
          <w:sz w:val="16"/>
          <w:szCs w:val="16"/>
        </w:rPr>
        <w:softHyphen/>
        <w:t>ты по танку Т-90 были прекращены. Опытный образец танка Т-90 был изготовлен на базе серийного тан</w:t>
      </w:r>
      <w:r w:rsidRPr="00722885">
        <w:rPr>
          <w:rFonts w:ascii="Times New Roman" w:hAnsi="Times New Roman"/>
          <w:color w:val="000000" w:themeColor="text1"/>
          <w:sz w:val="16"/>
          <w:szCs w:val="16"/>
        </w:rPr>
        <w:softHyphen/>
        <w:t>ка Т-70 (первого выпуска) и отличался от него установкой вооружения и измененной конструкцией башни. Схема общей компоновки машины принципиально была такой же, как у танка Т-70. Экипаж машины со</w:t>
      </w:r>
      <w:r w:rsidRPr="00722885">
        <w:rPr>
          <w:rFonts w:ascii="Times New Roman" w:hAnsi="Times New Roman"/>
          <w:color w:val="000000" w:themeColor="text1"/>
          <w:sz w:val="16"/>
          <w:szCs w:val="16"/>
        </w:rPr>
        <w:softHyphen/>
        <w:t>стоял из двух человек. Механик-водитель размещался в отделении уп</w:t>
      </w:r>
      <w:r w:rsidRPr="00722885">
        <w:rPr>
          <w:rFonts w:ascii="Times New Roman" w:hAnsi="Times New Roman"/>
          <w:color w:val="000000" w:themeColor="text1"/>
          <w:sz w:val="16"/>
          <w:szCs w:val="16"/>
        </w:rPr>
        <w:softHyphen/>
        <w:t>равления у левого борта. Во вращающейся открытой сверху башне, сме</w:t>
      </w:r>
      <w:r w:rsidRPr="00722885">
        <w:rPr>
          <w:rFonts w:ascii="Times New Roman" w:hAnsi="Times New Roman"/>
          <w:color w:val="000000" w:themeColor="text1"/>
          <w:sz w:val="16"/>
          <w:szCs w:val="16"/>
        </w:rPr>
        <w:softHyphen/>
        <w:t>щенной к левому борту от продольной оси корпуса, располагался ко</w:t>
      </w:r>
      <w:r w:rsidRPr="00722885">
        <w:rPr>
          <w:rFonts w:ascii="Times New Roman" w:hAnsi="Times New Roman"/>
          <w:color w:val="000000" w:themeColor="text1"/>
          <w:sz w:val="16"/>
          <w:szCs w:val="16"/>
        </w:rPr>
        <w:softHyphen/>
        <w:t>мандир танка. Посадка и выход экипажа производились или через люк в отделении управления, располагавшийся в верхнем лобовом листе корпуса и закрывавшийся броневой крышкой, или через борта башни. В днище корпуса размещался аварийный (запасный) люк. Наблюдение за полем боя осуществлялось: механиком-водителем через смотровой пе</w:t>
      </w:r>
      <w:r w:rsidRPr="00722885">
        <w:rPr>
          <w:rFonts w:ascii="Times New Roman" w:hAnsi="Times New Roman"/>
          <w:color w:val="000000" w:themeColor="text1"/>
          <w:sz w:val="16"/>
          <w:szCs w:val="16"/>
        </w:rPr>
        <w:softHyphen/>
        <w:t>рископический прибор, установленный в крышке люка, командиром -поверх бортов башни или телескопический прицел (10703).</w:t>
      </w:r>
    </w:p>
    <w:p w14:paraId="00C08B4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5AC4336" w14:textId="77777777" w:rsidR="00A3483C" w:rsidRPr="00722885" w:rsidRDefault="00A3483C"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ноябре 1942 года был изготовлен опытный образец танка Т-90 и предъявлен на предварительные испытания, которые прошли в период с 12 по 18 ноября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xml:space="preserve">. С 5 по 12 декабря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танк Т-90 выдержал сравнительные полигонные испытания с танком Т-60-3, продемонстрировав возможность ведения огня как по наземным, так и по воздушным целям. По результатам испытаний после устранения выявленных недостатков машина была рекомендована для принятия на вооружение РККА, но, в связи с прекращением выпуска легких танков Т-70 и Т-80 (при проектировании был предусмотрен вариант использования и этого шасси) и изменения ТТТ к такого рода машинам, дальнейшие работы по танку Т-90 были прекращены. По мнению М.Н. Свирина, интерес ГАБТУ к Т-60-3, Т-70 (З) и Т-90 упал в связи с началом поставок пулеметных зенитных самоходных установок (ЗСУ) М-16 по ленд-лизу (15218).</w:t>
      </w:r>
    </w:p>
    <w:p w14:paraId="6C9B6AB2" w14:textId="77777777" w:rsidR="00A3483C" w:rsidRPr="00722885" w:rsidRDefault="00A3483C" w:rsidP="00722885">
      <w:pPr>
        <w:widowControl w:val="0"/>
        <w:spacing w:after="0" w:line="240" w:lineRule="auto"/>
        <w:jc w:val="both"/>
        <w:rPr>
          <w:rFonts w:ascii="Times New Roman" w:hAnsi="Times New Roman"/>
          <w:color w:val="000000" w:themeColor="text1"/>
          <w:sz w:val="16"/>
          <w:szCs w:val="16"/>
        </w:rPr>
      </w:pPr>
    </w:p>
    <w:p w14:paraId="0178F35F" w14:textId="77777777" w:rsidR="002E1D0F" w:rsidRPr="00722885" w:rsidRDefault="002E1D0F"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В ноябре 1942 года был готов первый эскизный проект установки на самоходное шасси 305-мм гаубицы. Данная тема, которую разрабатывали совместно завод Большевик и ОКМО завода №174 (руководил работами П.И. Сячинтов), получила обозначение СУ-7. В дальнейшем "большой триплекс", как именовали СУ-7, проектировалась под 152-мм пушку, 203-мм гаубицу и 305-мм мортиру. Правда, до полноценной САУ дело так не дошло. Тем не менее, общая мысль о необходимости механизации осадной артиллерии видна отлично. Так что и немецкая осадная мортира Ger ät 040 являлась отнюдь не примером немецкой гигантомании, а вполне прослеживающейся в ряде стран идеи механизации осадных орудий. Времени на развертывание в боевое положение (и уход с огневой позиции) для них требовалось значительно меньше, чем для буксируемых аналогов (20880).</w:t>
      </w:r>
    </w:p>
    <w:p w14:paraId="181D37F7" w14:textId="77777777" w:rsidR="002E1D0F" w:rsidRPr="00722885" w:rsidRDefault="002E1D0F" w:rsidP="00722885">
      <w:pPr>
        <w:pStyle w:val="article-renderblock"/>
        <w:shd w:val="clear" w:color="auto" w:fill="FFFFFF"/>
        <w:spacing w:before="0" w:beforeAutospacing="0" w:after="0" w:afterAutospacing="0"/>
        <w:jc w:val="both"/>
        <w:rPr>
          <w:color w:val="0070C0"/>
          <w:sz w:val="16"/>
          <w:szCs w:val="16"/>
        </w:rPr>
      </w:pPr>
    </w:p>
    <w:p w14:paraId="2159329D" w14:textId="77777777" w:rsidR="00734E2B" w:rsidRPr="00722885" w:rsidRDefault="00734E2B" w:rsidP="00722885">
      <w:pPr>
        <w:spacing w:after="0" w:line="240" w:lineRule="auto"/>
        <w:jc w:val="both"/>
        <w:textAlignment w:val="baseline"/>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года первые 26 танков типа M3A3 и M3A5 прибыли в СССР в ходе операции ФБ (19038).</w:t>
      </w:r>
    </w:p>
    <w:p w14:paraId="75F785ED" w14:textId="77777777" w:rsidR="00734E2B" w:rsidRPr="00722885" w:rsidRDefault="00734E2B" w:rsidP="00722885">
      <w:pPr>
        <w:spacing w:after="0" w:line="240" w:lineRule="auto"/>
        <w:jc w:val="both"/>
        <w:textAlignment w:val="baseline"/>
        <w:rPr>
          <w:rFonts w:ascii="Times New Roman" w:hAnsi="Times New Roman"/>
          <w:color w:val="000000" w:themeColor="text1"/>
          <w:sz w:val="16"/>
          <w:szCs w:val="16"/>
        </w:rPr>
      </w:pPr>
    </w:p>
    <w:p w14:paraId="33D9CD95"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В ноябре 1942 года один из M4A2, прибывших, отправился на испытания в Кубинку, куда к тому времени возвратился НИБТ Полигон. Подопытным стал танк серийным номером U.S.A. W-3021079, выпущенный на Fisher Tank Arsenal в августе 1942 года. В отличие от Medium Tank M3, который дожидался испытаний почти полгода, с его заменителем медлить не стали. Уже 19 декабря 1942 года машина отправилась в испытательный пробег.</w:t>
      </w:r>
    </w:p>
    <w:p w14:paraId="45B0A9F7"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Согласно утверждённой программе кратковременных испытаний М4А2 в зимних условиях, предполагалось пройти 500 км, из них 100 по шоссе, 250 по просёлку, и 150 по целине. Поскольку танк имел резинометаллические траки без грунтозацепов, отдельно указывалось о проверке поведения танка с установленными шпорами. Проверялось удобство работы экипажа, надёжность работы танка, а также удобство размещения боекомплекта. Наличие на танке вертикального гироскопического стабилизатора также добавило отдельный пункт в программу испытаний. Параллельно с испытаниями составлялось краткое техническое описание машины.</w:t>
      </w:r>
    </w:p>
    <w:p w14:paraId="25754498" w14:textId="77777777" w:rsidR="00734E2B" w:rsidRPr="00722885" w:rsidRDefault="00734E2B" w:rsidP="00722885">
      <w:pPr>
        <w:spacing w:after="0" w:line="240" w:lineRule="auto"/>
        <w:jc w:val="both"/>
        <w:textAlignment w:val="baseline"/>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Испытатели отметили уменьшение высоты корпуса, хотя танк всё ещё был высоким.</w:t>
      </w:r>
    </w:p>
    <w:p w14:paraId="1ED54939"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Новый американский танк вызвал повышенный интерес у специалистов НИБТ Полигона. В отличие от М3Ср, имевшего клёпаный корпус, у М4А2 корпус собирался при помощи сварки. Испытатели отмечали снижение его высоты по сравнению с предшественником, хотя он всё равно был высоковат. Совершенно иначе были скомпонованы отделение управления и боевое отделение. Несмотря на то что ходовая часть в основном перекочевала с М3, имелся ряд отличий. В отличие от М3, у которого имелась довольно неудобная зенитная башенка, М4А2 получил зенитный пулемёт Browning M2HB калибра 12,7 мм, установленный на вертлюге командирской башенки.</w:t>
      </w:r>
    </w:p>
    <w:p w14:paraId="7766C68D" w14:textId="77777777" w:rsidR="00734E2B" w:rsidRPr="00722885" w:rsidRDefault="00734E2B" w:rsidP="00722885">
      <w:pPr>
        <w:spacing w:after="0" w:line="240" w:lineRule="auto"/>
        <w:jc w:val="both"/>
        <w:textAlignment w:val="baseline"/>
        <w:rPr>
          <w:rFonts w:ascii="Times New Roman" w:hAnsi="Times New Roman"/>
          <w:color w:val="000000" w:themeColor="text1"/>
          <w:sz w:val="16"/>
          <w:szCs w:val="16"/>
        </w:rPr>
      </w:pPr>
      <w:r w:rsidRPr="00722885">
        <w:rPr>
          <w:rFonts w:ascii="Times New Roman" w:hAnsi="Times New Roman"/>
          <w:color w:val="000000" w:themeColor="text1"/>
          <w:sz w:val="16"/>
          <w:szCs w:val="16"/>
        </w:rPr>
        <w:t>Танк выгодно отличался большим количеством смотровых приборов, обеспечивавшим хорошую обзорность.</w:t>
      </w:r>
    </w:p>
    <w:p w14:paraId="3CDC0DED"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До начала испытаний танк прошёл 74 км, а за период с 19 декабря 1942 по 8 февраля 1943 года к ним прибавились ещё 665 км. Интересно, что машину испытывали на двух типах гусеничных лент. Первые 421 км дистанции танк прошёл, переобутый на цельнометаллические траки T49, для которых шпоры не требовались. На них машина прошла 203 км по шоссе, 92 по просёлку и 126 по снежной целине. Далее танк переобули обратно на резинометаллические траки T41, к которым пристыковали шпоры. В таком виде танк прошёл 117 км по шоссе, 73 по просёлку и 54 по целине. В ходе испытаний использовалось обычное дизельное топливо. Кроме того, американское масло заменили на отечественное марки ЭЛ, но в трансмиссии сохранили масло американского производства.</w:t>
      </w:r>
    </w:p>
    <w:p w14:paraId="610F1CEE" w14:textId="77777777" w:rsidR="00734E2B" w:rsidRPr="00722885" w:rsidRDefault="00734E2B" w:rsidP="00722885">
      <w:pPr>
        <w:spacing w:after="0" w:line="240" w:lineRule="auto"/>
        <w:jc w:val="both"/>
        <w:textAlignment w:val="baseline"/>
        <w:rPr>
          <w:rFonts w:ascii="Times New Roman" w:hAnsi="Times New Roman"/>
          <w:color w:val="000000" w:themeColor="text1"/>
          <w:sz w:val="16"/>
          <w:szCs w:val="16"/>
        </w:rPr>
      </w:pPr>
      <w:r w:rsidRPr="00722885">
        <w:rPr>
          <w:rFonts w:ascii="Times New Roman" w:hAnsi="Times New Roman"/>
          <w:color w:val="000000" w:themeColor="text1"/>
          <w:sz w:val="16"/>
          <w:szCs w:val="16"/>
        </w:rPr>
        <w:t>М4А2 можно легко отличить по кормовой части, а также по наличию глушителей.</w:t>
      </w:r>
    </w:p>
    <w:p w14:paraId="1BD5BC84"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Ездить M4A2 пришлось в крайне сложных условиях. Температура окружающего воздуха находилась в пределах −12-22 градусов, шёл снег, переходящий в метель. Шоссе в районе испытаний было покрыто укатанным снегом. Тем не менее танк показал максимальную скорость 45 км/ч при езде на цельнометаллических гусеницах. Это было всего на 3 км/ч ниже официальной максимальной скорости, которую танк, впрочем, мог развивать на короткие периоды. На резинометаллических гусеницах, на которые были надеты шпоры, максимальная скорость снизилась до 31,8 км/ч. Виной тому были шпоры. Впрочем, у М3Ср, у которого такие же гусеницы шпор не имели, максимальная скорость не превысила 32,4 км/ч. Средняя скорость M4A2 на цельнометаллических траках составила 29,1 км/ч, а расход топлива составил 195 л на 100 км. При переходе на резинометаллические гусеницы со шпорами средняя скорость снизилась до 25,6 км/ч, а расход топлива вырос до 306 л на 100 км. Уже на этом этапе была хорошо видна разница между дизельным и бензиновым двигателями. М3Ср без шпор расходовал по шоссе 387 л на 100 км, а с полным их комплектом — 582 л.</w:t>
      </w:r>
    </w:p>
    <w:p w14:paraId="71ADD690" w14:textId="77777777" w:rsidR="00734E2B" w:rsidRPr="00722885" w:rsidRDefault="00734E2B" w:rsidP="00722885">
      <w:pPr>
        <w:spacing w:after="0" w:line="240" w:lineRule="auto"/>
        <w:jc w:val="both"/>
        <w:textAlignment w:val="baseline"/>
        <w:rPr>
          <w:rFonts w:ascii="Times New Roman" w:hAnsi="Times New Roman"/>
          <w:color w:val="000000" w:themeColor="text1"/>
          <w:sz w:val="16"/>
          <w:szCs w:val="16"/>
        </w:rPr>
      </w:pPr>
      <w:r w:rsidRPr="00722885">
        <w:rPr>
          <w:rFonts w:ascii="Times New Roman" w:hAnsi="Times New Roman"/>
          <w:color w:val="000000" w:themeColor="text1"/>
          <w:sz w:val="16"/>
          <w:szCs w:val="16"/>
        </w:rPr>
        <w:t>Повышенный интерес вызвало наличие стабилизатора орудия в вертикальной плоскости. Испытания показали, что он существенно повышает точность стрельбы.</w:t>
      </w:r>
    </w:p>
    <w:p w14:paraId="350D3E83"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Хорошо показал себя М4А2 и на просёлке, покрытом снегом глубиной до 40 см. В этих условиях средняя скорость на цельнометаллических траках составила 22,4 км/ч, а на резинометаллических гусеницах со шпорами — 19,1 км/ч. Расход топлива при этом составил 268 и 396 л на 100 км соответственно. М3Ср в тех же условиях потреблял от 570 до 715 л на 100 км.</w:t>
      </w:r>
    </w:p>
    <w:p w14:paraId="5823E627"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Наиболее сложной стала езда по снежной целине с глубиной снега до 40 см. Средняя скорость на двух типах гусеничных лент составила 17 и 16,5 км/ч соответственно, а расход топлива — 350 и 474 л на 100 км. Разница с М3Ср становилась и вовсе очевидной: при установленных шпорах расход топлива достигал 965 л на 100 км. При этом средняя скорость М3Ср на просёлке была равна средней скорости М4А2 по целине при использовании цельнометаллических траков. При езде отмечались случаи поломки крепления шпор, наихудшей ситуация была при движении по асфальтовому шоссе. При установке шпор через 5 траков сцепление улучшалось, но при этом шпоры, на которые возрастала нагрузка, ломались быстрее. Впрочем, не всё было гладко и с цельнометаллическими траками. В ходе пробега по шоссе траки забились снегом, и на заснеженной дороге танк занесло, после чего он попал в кювет и упал набок.</w:t>
      </w:r>
    </w:p>
    <w:p w14:paraId="744159B4" w14:textId="77777777" w:rsidR="00734E2B" w:rsidRPr="00722885" w:rsidRDefault="00734E2B" w:rsidP="00722885">
      <w:pPr>
        <w:spacing w:after="0" w:line="240" w:lineRule="auto"/>
        <w:jc w:val="both"/>
        <w:textAlignment w:val="baseline"/>
        <w:rPr>
          <w:rFonts w:ascii="Times New Roman" w:hAnsi="Times New Roman"/>
          <w:color w:val="000000" w:themeColor="text1"/>
          <w:sz w:val="16"/>
          <w:szCs w:val="16"/>
        </w:rPr>
      </w:pPr>
      <w:r w:rsidRPr="00722885">
        <w:rPr>
          <w:rFonts w:ascii="Times New Roman" w:hAnsi="Times New Roman"/>
          <w:color w:val="000000" w:themeColor="text1"/>
          <w:sz w:val="16"/>
          <w:szCs w:val="16"/>
        </w:rPr>
        <w:t>Танк показал хорошую проходимость, правда, для этого следовало ставить шпоры.</w:t>
      </w:r>
    </w:p>
    <w:p w14:paraId="0A1B520B"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В целом испытания показали, что оба типа траков на бездорожье дают одинаковый результат. Исключением стали специспытания. В ходе преодоления заснеженных подъёмов для цельнометаллических траков лимитом стало препятствие с углом крутизны 15 градусов, а для резинометаллических траков со шпорами — 25 градусов. Для чистоты эксперимента там же прошёл М3Ср, оснащённый резинометаллическими траками без грунтозацепов. Он показал те же результаты, что и М4А2 с цельнометаллическими траками. Резинометаллические гусеницы со шпорами выигрывали и во время езды по косогорам. Для этих гусениц предельным креном были 22 градуса, а для цельнометаллических — 17 градусов.</w:t>
      </w:r>
    </w:p>
    <w:p w14:paraId="55272904"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В целом машина показала себя надёжной, за всё время было выявлено всего три поломки — к слову, инжекторы двигателя в этих неисправностях не фигурировали. Вместе с тем специалисты НИБТ Полигона отмечали и некоторые недостатки эксплуатационного характера. Спуск воды из системы охлаждения производился непосредственно в корпус танка, что приводило к образованию ледяной корки на днище и примерзанию тяг приводов управления — это было чревато потерей управления. При движении по просёлку и снежной целине отмечалось забивание снегом перископических приборов наблюдения, особенно это касалось смотровых приборов механика-водителя и его помощника.</w:t>
      </w:r>
    </w:p>
    <w:p w14:paraId="5A5D610F"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 xml:space="preserve">Отдельно изучались обзорность из танка и условия работа экипажа. С места командира радиус непросматриваемого пространства составлял 14 м, что в целом не так </w:t>
      </w:r>
      <w:r w:rsidRPr="00722885">
        <w:rPr>
          <w:color w:val="000000" w:themeColor="text1"/>
          <w:sz w:val="16"/>
          <w:szCs w:val="16"/>
        </w:rPr>
        <w:lastRenderedPageBreak/>
        <w:t>много. Плюсом было наличие у наводчика смотрового перископического прибора, имевшего возможность поворота. Аналогичные приборы были в крышках люка механика-водителя, а у наводчика перископический прицел совмещался с прибором наблюдения. В целом обзорность признали хорошей — она была лучше, чем у </w:t>
      </w:r>
      <w:hyperlink r:id="rId177" w:history="1">
        <w:r w:rsidRPr="00722885">
          <w:rPr>
            <w:rStyle w:val="a5"/>
            <w:bCs/>
            <w:iCs/>
            <w:color w:val="000000" w:themeColor="text1"/>
            <w:sz w:val="16"/>
            <w:szCs w:val="16"/>
            <w:bdr w:val="none" w:sz="0" w:space="0" w:color="auto" w:frame="1"/>
          </w:rPr>
          <w:t>Т-34</w:t>
        </w:r>
      </w:hyperlink>
      <w:r w:rsidRPr="00722885">
        <w:rPr>
          <w:color w:val="000000" w:themeColor="text1"/>
          <w:sz w:val="16"/>
          <w:szCs w:val="16"/>
        </w:rPr>
        <w:t>. Прицел же не особо понравился советским испытателям, поскольку у него были шкалы только для снарядов, а также отсутствовала поправка по высоте. Очень высокой оценки удостоились места работы экипажа. В описании мест командира и наводчика недостатки вообще не указывались, зато отмечалось удобство их работы. В случае с заряжающим главной проблемой было вынимание патронов к орудию из боковых укладок. Правда, в описание не попал тот факт, что боевое отделение закрывалось кольцом и выбираться оттуда через эвакуационный люк в полу корпуса было крайне непросто. Не нашлось изъянов и на местах механика-водителя с его помощником.</w:t>
      </w:r>
    </w:p>
    <w:p w14:paraId="4B6157C9"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Довольно любопытными оказались результаты испытаний вооружения — не только орудия, но и курсового пулемёта, который, традиционно для американских танков, не имел прицела. На дистанции 100 м велась стрельба по щиту размером 2×2 м, помощник механика-водителя наводился по трассирующим пулям, наблюдая за ними через смотровые приборы. Из 100 выстрелов в цель попало 86 пуль. При стрельбе из спаренного пулемёта по тому же щиту с той же дистанции из 100 выстрелов в цель попало 85 пуль. Испытания 75-мм орудия M3 показали, что максимальная скорострельность составляет 20 выстрелов в минуту. Также были проведены испытания стрельбой с хода, при этом отдельно вели стрельбу и без включенного стабилизатора, и с включённым. Благодаря удобному размещению экипажа и орудийной установки даже без стабилизатора удалось добиться 47% попаданий и скорострельности 3,87 выстрела в минуту. Включение стабилизатора увеличивало скорострельность до 5,17 выстрела в минуту, а попадания выросли до 87%. Высокой оценки удостоился и гидравлический поворотный механизм башни.</w:t>
      </w:r>
    </w:p>
    <w:p w14:paraId="7071A3F7" w14:textId="77777777" w:rsidR="00734E2B" w:rsidRPr="00722885" w:rsidRDefault="00734E2B" w:rsidP="00722885">
      <w:pPr>
        <w:pStyle w:val="ae"/>
        <w:spacing w:before="0" w:after="0"/>
        <w:jc w:val="both"/>
        <w:textAlignment w:val="baseline"/>
        <w:rPr>
          <w:color w:val="000000" w:themeColor="text1"/>
          <w:sz w:val="16"/>
          <w:szCs w:val="16"/>
        </w:rPr>
      </w:pPr>
      <w:r w:rsidRPr="00722885">
        <w:rPr>
          <w:color w:val="000000" w:themeColor="text1"/>
          <w:sz w:val="16"/>
          <w:szCs w:val="16"/>
        </w:rPr>
        <w:t>По итогам испытаний М4А2 удостоился очень высоких оценок. Американская боевая машина мало в чём уступала Т-34, а по некоторым параметрам его превосходила. Весной 1943 года также выяснилось, что пушка Т-34 не может пробить немецкий тяжёлый танк </w:t>
      </w:r>
      <w:hyperlink r:id="rId178" w:history="1">
        <w:r w:rsidRPr="00722885">
          <w:rPr>
            <w:rStyle w:val="a5"/>
            <w:bCs/>
            <w:iCs/>
            <w:color w:val="000000" w:themeColor="text1"/>
            <w:sz w:val="16"/>
            <w:szCs w:val="16"/>
            <w:bdr w:val="none" w:sz="0" w:space="0" w:color="auto" w:frame="1"/>
          </w:rPr>
          <w:t>Pz.Kpfw.Tiger Ausf.E</w:t>
        </w:r>
      </w:hyperlink>
      <w:r w:rsidRPr="00722885">
        <w:rPr>
          <w:color w:val="000000" w:themeColor="text1"/>
          <w:sz w:val="16"/>
          <w:szCs w:val="16"/>
        </w:rPr>
        <w:t> даже в борт, а бронебойные снаряды 75-мм орудия M3 пробивали борт немецкого танка на дистанции 400-650 м. Естественно, имелись и недостатки в виде сложного обслуживания зимой, большой высоты и плохого сцепления гусениц с мягкими грунтами. Тем не менее общая оценка всё равно оказалась очень высокой. Машина заинтересовала и советскую танковую промышленность — особенно это касалось стабилизатора орудия и поворотного механизма башен. Руководства заводов №183 и ЧКЗ затребовали по одному танку данного типа для изучения. В частности, на танках серии ИС испытывался американский механизм поворота башни (19038).</w:t>
      </w:r>
    </w:p>
    <w:p w14:paraId="52AC34CA" w14:textId="77777777" w:rsidR="00734E2B" w:rsidRPr="00722885" w:rsidRDefault="00734E2B" w:rsidP="00722885">
      <w:pPr>
        <w:pStyle w:val="ae"/>
        <w:spacing w:before="0" w:after="0"/>
        <w:jc w:val="both"/>
        <w:textAlignment w:val="baseline"/>
        <w:rPr>
          <w:color w:val="000000" w:themeColor="text1"/>
          <w:sz w:val="16"/>
          <w:szCs w:val="16"/>
        </w:rPr>
      </w:pPr>
    </w:p>
    <w:p w14:paraId="3371FF2D" w14:textId="77777777" w:rsidR="00A3483C" w:rsidRPr="00722885" w:rsidRDefault="00A3483C"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ноябре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в соответствии с заданными тактико-техническими требованиями завод №38 и ГАЗ представили на госиспытания свои первые образцы «штурмовых САУ», вооруженных 76-мм дивизионной пушкой ЗИС-3 на шасси с параллельно спаренными двигателями, работающими на общий вал. Машина горьковчан имела индекс ГАЗ-71, а машина завода №38 – СУ-12. Несмотря на то, что ГАЗ-71 несла два параллельно спаренных двигателя, ее компоновка отличалась от рекомендованной спецбюро САУ НКТП. Вместо того, чтобы разместить механика-водителя между двигателями по оси машины, как то предписывалось рекомендациями, полученными от НКТП, горьковчане поместили оба двигателя типа ГАЗ-60 у правого борта машины, тогда как механик-водитель сместился к левому борту. Ведущее колесо при этом было перенесено назад, что, по мнению проектировщиков, давало преимущество с точки зрения защищенности ходовой части от огня противника. С одной стороны, такое решение давало и конструкционные преимущества, так как позволяло обойтись одной КПП, но всякая палка имеет два конца. Необходимость синхронизации оборотов двигателей и применения длинного карданного вала значительно усложняла трансмиссию и ухудшала ее надежность (15218).</w:t>
      </w:r>
    </w:p>
    <w:p w14:paraId="37573A5D" w14:textId="77777777" w:rsidR="00A3483C" w:rsidRPr="00722885" w:rsidRDefault="00A3483C" w:rsidP="00722885">
      <w:pPr>
        <w:widowControl w:val="0"/>
        <w:spacing w:after="0" w:line="240" w:lineRule="auto"/>
        <w:jc w:val="both"/>
        <w:rPr>
          <w:rFonts w:ascii="Times New Roman" w:hAnsi="Times New Roman"/>
          <w:color w:val="000000" w:themeColor="text1"/>
          <w:sz w:val="16"/>
          <w:szCs w:val="16"/>
        </w:rPr>
      </w:pPr>
    </w:p>
    <w:p w14:paraId="2866D38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в конструкторском бюро УЗТМ под руководством Л.И. Горлицкого была разработана самоходная установка СУ-122. Ве</w:t>
      </w:r>
      <w:r w:rsidRPr="00722885">
        <w:rPr>
          <w:rFonts w:ascii="Times New Roman" w:hAnsi="Times New Roman"/>
          <w:color w:val="000000" w:themeColor="text1"/>
          <w:sz w:val="16"/>
          <w:szCs w:val="16"/>
        </w:rPr>
        <w:softHyphen/>
        <w:t>дущим инженером машины был Н.В. Курин. Опытный образец установ</w:t>
      </w:r>
      <w:r w:rsidRPr="00722885">
        <w:rPr>
          <w:rFonts w:ascii="Times New Roman" w:hAnsi="Times New Roman"/>
          <w:color w:val="000000" w:themeColor="text1"/>
          <w:sz w:val="16"/>
          <w:szCs w:val="16"/>
        </w:rPr>
        <w:softHyphen/>
        <w:t>ки (заводское обозначение У-35) был изготовлен 30 ноября 1942 г. По</w:t>
      </w:r>
      <w:r w:rsidRPr="00722885">
        <w:rPr>
          <w:rFonts w:ascii="Times New Roman" w:hAnsi="Times New Roman"/>
          <w:color w:val="000000" w:themeColor="text1"/>
          <w:sz w:val="16"/>
          <w:szCs w:val="16"/>
        </w:rPr>
        <w:softHyphen/>
        <w:t>сле заводских испытаний, в первой половине декабря того же года само</w:t>
      </w:r>
      <w:r w:rsidRPr="00722885">
        <w:rPr>
          <w:rFonts w:ascii="Times New Roman" w:hAnsi="Times New Roman"/>
          <w:color w:val="000000" w:themeColor="text1"/>
          <w:sz w:val="16"/>
          <w:szCs w:val="16"/>
        </w:rPr>
        <w:softHyphen/>
        <w:t>ходная установка прошла государственные испытания на Гороховецком АНИОПе. На вооружение была принята 5 декабря 1942 г. Серийное, производство машины началось в декабре 1942 г. и продолжалось по ав-: густ 1943 г. Всего было выпущено 638 самоходных установок (10703).</w:t>
      </w:r>
    </w:p>
    <w:p w14:paraId="0BCDE8C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756771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 в соответствии с заданными тактико-техническими требованиями завод № 38 и ГАЗ представили на госиспытания свои первые образцы “штурмовых САУ”, вооруженных 76-мм дивизионной пушкой ЗИС-ЗШ на шасси с параллельно спаренными двигателями, работающими на общий вал. Машина горьковчан имела индекс ГАЗ-71, а машина завода №38 - СУ-12 (6205, 14).</w:t>
      </w:r>
    </w:p>
    <w:p w14:paraId="1C72AF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Несмотря на то, что ГАЗ-71 несла два параллельно спаренных двигателя, ее компоновка отличалась от рекомендованной спецбюро САУ НКТП. Если в принятой за эталон компоновке (которой следовали и инженеры завода № 38 под руководством М.Щукина) предусматривалось размещение водителя между двигателями по оси машины и передним расположением ведущего колеса, то горьковчане сделали все несколько иначе. Двигатели в ГАЗ-71 теснились у правого борта, водитель размещался слева от продольной оси машины, а ведущее колесо было перенесено назад. Это привело к необходимости применения длинного карданного вала, который резко ухудшал надежность трансмиссии (6205, 14).</w:t>
      </w:r>
    </w:p>
    <w:p w14:paraId="76D02078" w14:textId="77777777" w:rsidR="00090C9B" w:rsidRPr="00722885" w:rsidRDefault="00090C9B" w:rsidP="00722885">
      <w:pPr>
        <w:pStyle w:val="Iauiue"/>
        <w:jc w:val="both"/>
        <w:rPr>
          <w:color w:val="000000" w:themeColor="text1"/>
          <w:sz w:val="16"/>
          <w:szCs w:val="16"/>
        </w:rPr>
      </w:pPr>
    </w:p>
    <w:p w14:paraId="297A8E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года ГАЗ и Коломенский завод N 38 представили на испытания первые образцы новой САУ, вооруженные 76мм дивизионной пушкой ЗИС-3Ш ("Ш" - штурмовая). Машина горьковчан имела индекс ГАЗ-71, а машина завода №38 - СУ-12 (3862).</w:t>
      </w:r>
    </w:p>
    <w:p w14:paraId="5DAF6A56" w14:textId="77777777" w:rsidR="00090C9B" w:rsidRPr="00722885" w:rsidRDefault="00090C9B" w:rsidP="00722885">
      <w:pPr>
        <w:pStyle w:val="Iauiue"/>
        <w:jc w:val="both"/>
        <w:rPr>
          <w:color w:val="000000" w:themeColor="text1"/>
          <w:sz w:val="16"/>
          <w:szCs w:val="16"/>
        </w:rPr>
      </w:pPr>
    </w:p>
    <w:p w14:paraId="2D8F5D9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года один из двух изготовленных на ГАЗ СУ-71 прошел завод</w:t>
      </w:r>
      <w:r w:rsidRPr="00722885">
        <w:rPr>
          <w:rFonts w:ascii="Times New Roman" w:hAnsi="Times New Roman"/>
          <w:color w:val="000000" w:themeColor="text1"/>
          <w:sz w:val="16"/>
          <w:szCs w:val="16"/>
        </w:rPr>
        <w:softHyphen/>
        <w:t>ские испытания. Дальнейшие работы над установкой были прекращены в связи с принятием на вооружение РККА установки СУ-76 конструк</w:t>
      </w:r>
      <w:r w:rsidRPr="00722885">
        <w:rPr>
          <w:rFonts w:ascii="Times New Roman" w:hAnsi="Times New Roman"/>
          <w:color w:val="000000" w:themeColor="text1"/>
          <w:sz w:val="16"/>
          <w:szCs w:val="16"/>
        </w:rPr>
        <w:softHyphen/>
        <w:t>ции завода № 38 (10703).</w:t>
      </w:r>
    </w:p>
    <w:p w14:paraId="7005C5A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287CEEDD"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заводом № 38 был изготовлен опытный образец ус</w:t>
      </w:r>
      <w:r w:rsidRPr="00722885">
        <w:rPr>
          <w:rFonts w:ascii="Times New Roman" w:hAnsi="Times New Roman"/>
          <w:color w:val="000000" w:themeColor="text1"/>
          <w:sz w:val="16"/>
          <w:szCs w:val="16"/>
        </w:rPr>
        <w:softHyphen/>
        <w:t>тановки СУ-11 и в декабре того же года прошел государственные испытания на Гороховецком АНИОПе. На во</w:t>
      </w:r>
      <w:r w:rsidRPr="00722885">
        <w:rPr>
          <w:rFonts w:ascii="Times New Roman" w:hAnsi="Times New Roman"/>
          <w:color w:val="000000" w:themeColor="text1"/>
          <w:sz w:val="16"/>
          <w:szCs w:val="16"/>
        </w:rPr>
        <w:softHyphen/>
        <w:t>оружение и в серийное производство установка не принималась (10703).</w:t>
      </w:r>
    </w:p>
    <w:p w14:paraId="5BE46189"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37EA90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заводом № 37 был изготовлен и предъявлен на предварительные испытания, к которым не был допущен из-за конструк-тивных недоработок опытный образец танка Т-60-3. Дальнейшие работы по машине были прекращены. Танк Т-60-3 был создан на базе танка Т-60 и отличался от последнего установкой основного оружия и конструкцией башни, не имевшей броне</w:t>
      </w:r>
      <w:r w:rsidRPr="00722885">
        <w:rPr>
          <w:rFonts w:ascii="Times New Roman" w:hAnsi="Times New Roman"/>
          <w:color w:val="000000" w:themeColor="text1"/>
          <w:sz w:val="16"/>
          <w:szCs w:val="16"/>
        </w:rPr>
        <w:softHyphen/>
        <w:t>вой крыши. Схема общей компоновки танка предусматривала размещение экипажа из двух человек в корпусе и башне; установку пулеметного воору</w:t>
      </w:r>
      <w:r w:rsidRPr="00722885">
        <w:rPr>
          <w:rFonts w:ascii="Times New Roman" w:hAnsi="Times New Roman"/>
          <w:color w:val="000000" w:themeColor="text1"/>
          <w:sz w:val="16"/>
          <w:szCs w:val="16"/>
        </w:rPr>
        <w:softHyphen/>
        <w:t>жения во вращающейся башне, обеспечивавшего возможность стрельбы по воздушным целям; двигателя в средней части корпуса; переднее распо</w:t>
      </w:r>
      <w:r w:rsidRPr="00722885">
        <w:rPr>
          <w:rFonts w:ascii="Times New Roman" w:hAnsi="Times New Roman"/>
          <w:color w:val="000000" w:themeColor="text1"/>
          <w:sz w:val="16"/>
          <w:szCs w:val="16"/>
        </w:rPr>
        <w:softHyphen/>
        <w:t>ложение агрегатов трансмиссии и ведущих колес. Машина имела пять от</w:t>
      </w:r>
      <w:r w:rsidRPr="00722885">
        <w:rPr>
          <w:rFonts w:ascii="Times New Roman" w:hAnsi="Times New Roman"/>
          <w:color w:val="000000" w:themeColor="text1"/>
          <w:sz w:val="16"/>
          <w:szCs w:val="16"/>
        </w:rPr>
        <w:softHyphen/>
        <w:t>делений: трансмиссионное и управления - в передней части корпуса, мо</w:t>
      </w:r>
      <w:r w:rsidRPr="00722885">
        <w:rPr>
          <w:rFonts w:ascii="Times New Roman" w:hAnsi="Times New Roman"/>
          <w:color w:val="000000" w:themeColor="text1"/>
          <w:sz w:val="16"/>
          <w:szCs w:val="16"/>
        </w:rPr>
        <w:softHyphen/>
        <w:t>торное и боевое - в средней части корпуса и кормовое. Механик-водитель располагался посредине в выступающей вперед рубке с откидным лобо</w:t>
      </w:r>
      <w:r w:rsidRPr="00722885">
        <w:rPr>
          <w:rFonts w:ascii="Times New Roman" w:hAnsi="Times New Roman"/>
          <w:color w:val="000000" w:themeColor="text1"/>
          <w:sz w:val="16"/>
          <w:szCs w:val="16"/>
        </w:rPr>
        <w:softHyphen/>
        <w:t>вым щитком и верхним входным люком. Для наблюдения и вождения ма</w:t>
      </w:r>
      <w:r w:rsidRPr="00722885">
        <w:rPr>
          <w:rFonts w:ascii="Times New Roman" w:hAnsi="Times New Roman"/>
          <w:color w:val="000000" w:themeColor="text1"/>
          <w:sz w:val="16"/>
          <w:szCs w:val="16"/>
        </w:rPr>
        <w:softHyphen/>
        <w:t>шины в боевых условиях в лобовом щитке механика-водителя имелась смотровая щель с триплексом, прикрывавшаяся броневой заслонкой. Ко</w:t>
      </w:r>
      <w:r w:rsidRPr="00722885">
        <w:rPr>
          <w:rFonts w:ascii="Times New Roman" w:hAnsi="Times New Roman"/>
          <w:color w:val="000000" w:themeColor="text1"/>
          <w:sz w:val="16"/>
          <w:szCs w:val="16"/>
        </w:rPr>
        <w:softHyphen/>
        <w:t>мандир машины вел наблюдение за полем боя через две смотровые щели с триплексом, имевшиеся в боковых стенках башни, и телескопический прицел. Посадка и выход экипажа из машины производились через люк механика-водителя и через борта открытой сверху башни. Кроме того, в днище корпуса машины имелся аварийный (запасной) люк (10703).</w:t>
      </w:r>
    </w:p>
    <w:p w14:paraId="0D27265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1F7C02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заводы № 38 и ГАЗ представили опытные образцы самоходок. Самоходка ГАЗа была признана не соответствующей техническому заданию (свою роль сыграла также отмеченная на испытаниях её недостаточная надёжность (Главное автобронетанковое управление. Люди, события, факты в документах - 1943-1944 гг. С. 37), а машина СУ-12 завода № 38 была принята на вооружение как СУ-76. В январе 1943 года завод начал её производство. Но после поступления в войска у СУ-76 выявился серьёзный дефект. Дело в том, что самоходка приводилась в движение двумя автомобильными двигателями, не синхронизированными между собой. В результате из-за возникновения резонансных колебаний между ними разрушались главный вал и коробка перемены передач.</w:t>
      </w:r>
    </w:p>
    <w:p w14:paraId="0893C0D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Проблема коробки перемены передач СУ-12 возникла ещё во время испытаний. С. А. Гинзбург полагал, что дефект вызван плохим управлением производства на заводе и спешкой с началом испытаний. Гинзбург полагал, что проблему можно будет устранить за 15 дней (РГАЭ. Ф. 8752. Оп. 4. Д. 108. Л. 213-215). После начала производства завод № 38 пытался переложить ответственность за поломку на поставлявший ему коробки перемены передач ГАЗ. Но старший военпред ГАБТУ В. П. Окунев отверг эти объяснения (Главное автобронетанковое управление. Люди, события, факты в документах - 1943-1944 гг. С. 88-89). Ведь эти коробки передач устанавливались и на автомобилях, где у них не было никаких поломок. Причину дефекта Окунев видел в небрежной сборке на заводе № 38, из-за которой происходило смещение оси главной передачи относительно оси двигателя, из-за неправильной регулировки акселераторов, вынуждавшего силой включать и выключать передачи на высоких оборотах, а также попадания при сборке самоходки на заводе № 38 внутрь коробки перемены передач посторонних предметов (!).</w:t>
      </w:r>
    </w:p>
    <w:p w14:paraId="2759805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марте 1943 года производство самоходки было приостановлено до исправления её дефектов. Желая найти человека, на которого можно было бы возложить ответственность за этот провал, И.М. Зальцман созвал специальную комиссию под своим председательством, которая сочла главным виновником начальника отдела главного конструктора С. А. Гинзбурга, человека, благодаря которому началась и развивалась вся программа создания САУ. По решению Зальцмана Гинзбург был отстранён от должности и отправлен на фронт начальником ремонтной службы танкового корпуса. Когда информация об этом поступке наркома дошла до И.В. Сталина, он направил Зальцману письмо, в котором обозначил действия Зальцмана как «гнусное преступление». Приказом Ставки ВГК С. А. Гинзбург был отозван с фронта. Но это решение запоздало, так как к тому времени Гинзбург уже погиб (Свирин М. Самоходки Сталина: история советской САУ 1919-1945. С. 220</w:t>
      </w:r>
      <w:r w:rsidRPr="00722885">
        <w:rPr>
          <w:rFonts w:ascii="Times New Roman" w:hAnsi="Times New Roman"/>
          <w:color w:val="000000" w:themeColor="text1"/>
          <w:sz w:val="16"/>
          <w:szCs w:val="16"/>
        </w:rPr>
        <w:softHyphen/>
        <w:t>222). Между тем, в мае 1943 года началось производство модернизированной самоходки СУ-76М, в которой по предложению Гинзбурга были установлены устройства для амортизации колебаний, приводящих к резонансу. К середине июля были усовершенствованы все выпущенные ранее самоходки (12290).</w:t>
      </w:r>
    </w:p>
    <w:p w14:paraId="2F9DAF6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F5F9AF3"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ноябре 1942 г. опыт</w:t>
      </w:r>
      <w:r w:rsidRPr="00722885">
        <w:rPr>
          <w:rFonts w:ascii="Times New Roman" w:hAnsi="Times New Roman"/>
          <w:color w:val="000000" w:themeColor="text1"/>
          <w:sz w:val="16"/>
          <w:szCs w:val="16"/>
        </w:rPr>
        <w:softHyphen/>
        <w:t>ный образец установки СУ-12 был изготовлен заводом № 38 и в де</w:t>
      </w:r>
      <w:r w:rsidRPr="00722885">
        <w:rPr>
          <w:rFonts w:ascii="Times New Roman" w:hAnsi="Times New Roman"/>
          <w:color w:val="000000" w:themeColor="text1"/>
          <w:sz w:val="16"/>
          <w:szCs w:val="16"/>
        </w:rPr>
        <w:softHyphen/>
        <w:t>кабре того же года прошел государственные испытания на Гороховец-ком АНИОПе. Машина была принята на вооружение постановлением ГКО от 2 декабря 1942 г. и находилась в серийном производстве на за</w:t>
      </w:r>
      <w:r w:rsidRPr="00722885">
        <w:rPr>
          <w:rFonts w:ascii="Times New Roman" w:hAnsi="Times New Roman"/>
          <w:color w:val="000000" w:themeColor="text1"/>
          <w:sz w:val="16"/>
          <w:szCs w:val="16"/>
        </w:rPr>
        <w:softHyphen/>
        <w:t>воде № 38 до июля 1943 г. Снята с производства из-за крупных дефек</w:t>
      </w:r>
      <w:r w:rsidRPr="00722885">
        <w:rPr>
          <w:rFonts w:ascii="Times New Roman" w:hAnsi="Times New Roman"/>
          <w:color w:val="000000" w:themeColor="text1"/>
          <w:sz w:val="16"/>
          <w:szCs w:val="16"/>
        </w:rPr>
        <w:softHyphen/>
        <w:t>тов в конструкции силовой установки и трансмиссии. Всего было выпу</w:t>
      </w:r>
      <w:r w:rsidRPr="00722885">
        <w:rPr>
          <w:rFonts w:ascii="Times New Roman" w:hAnsi="Times New Roman"/>
          <w:color w:val="000000" w:themeColor="text1"/>
          <w:sz w:val="16"/>
          <w:szCs w:val="16"/>
        </w:rPr>
        <w:softHyphen/>
        <w:t>щено 560 самоходных установок, которые принимали участие в боевых действиях и в дальнейшем были подвергнуты модернизации (10703).</w:t>
      </w:r>
    </w:p>
    <w:p w14:paraId="21C8388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92CEA6F"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в соответствии с заданными тактико-техническими требованиями завод № 38 и ГАЗ представи</w:t>
      </w:r>
      <w:r w:rsidRPr="00722885">
        <w:rPr>
          <w:rFonts w:ascii="Times New Roman" w:hAnsi="Times New Roman"/>
          <w:color w:val="000000" w:themeColor="text1"/>
          <w:sz w:val="16"/>
          <w:szCs w:val="16"/>
        </w:rPr>
        <w:softHyphen/>
        <w:t>ли на госиспытания свои первые образцы «штурмовых САУ», вооруженных 76-мм дивизионной пушкой ЗИС-3 на шасси с параллельно спаренными двигателями, работаю</w:t>
      </w:r>
      <w:r w:rsidRPr="00722885">
        <w:rPr>
          <w:rFonts w:ascii="Times New Roman" w:hAnsi="Times New Roman"/>
          <w:color w:val="000000" w:themeColor="text1"/>
          <w:sz w:val="16"/>
          <w:szCs w:val="16"/>
        </w:rPr>
        <w:softHyphen/>
        <w:t>щими на общий вал. Машина горьковчан имела индекс ГАЗ-71, а машина завода № 38 - СУ-12. Несмотря на то, что ГАЗ-71 несла два параллельно спа</w:t>
      </w:r>
      <w:r w:rsidRPr="00722885">
        <w:rPr>
          <w:rFonts w:ascii="Times New Roman" w:hAnsi="Times New Roman"/>
          <w:color w:val="000000" w:themeColor="text1"/>
          <w:sz w:val="16"/>
          <w:szCs w:val="16"/>
        </w:rPr>
        <w:softHyphen/>
        <w:t>ренных двигателя, ее компоновка отличалась от рекомен</w:t>
      </w:r>
      <w:r w:rsidRPr="00722885">
        <w:rPr>
          <w:rFonts w:ascii="Times New Roman" w:hAnsi="Times New Roman"/>
          <w:color w:val="000000" w:themeColor="text1"/>
          <w:sz w:val="16"/>
          <w:szCs w:val="16"/>
        </w:rPr>
        <w:softHyphen/>
        <w:t>дованной спецбюро САУ НКТП. Вместо того, чтобы раз</w:t>
      </w:r>
      <w:r w:rsidRPr="00722885">
        <w:rPr>
          <w:rFonts w:ascii="Times New Roman" w:hAnsi="Times New Roman"/>
          <w:color w:val="000000" w:themeColor="text1"/>
          <w:sz w:val="16"/>
          <w:szCs w:val="16"/>
        </w:rPr>
        <w:softHyphen/>
        <w:t>местить механика-водителя между двигателями по оси ма</w:t>
      </w:r>
      <w:r w:rsidRPr="00722885">
        <w:rPr>
          <w:rFonts w:ascii="Times New Roman" w:hAnsi="Times New Roman"/>
          <w:color w:val="000000" w:themeColor="text1"/>
          <w:sz w:val="16"/>
          <w:szCs w:val="16"/>
        </w:rPr>
        <w:softHyphen/>
        <w:t>шины, как то предписывалось рекомендациями, получен</w:t>
      </w:r>
      <w:r w:rsidRPr="00722885">
        <w:rPr>
          <w:rFonts w:ascii="Times New Roman" w:hAnsi="Times New Roman"/>
          <w:color w:val="000000" w:themeColor="text1"/>
          <w:sz w:val="16"/>
          <w:szCs w:val="16"/>
        </w:rPr>
        <w:softHyphen/>
        <w:t>ными от НКТП, горьковчане поместили оба двигателя ти</w:t>
      </w:r>
      <w:r w:rsidRPr="00722885">
        <w:rPr>
          <w:rFonts w:ascii="Times New Roman" w:hAnsi="Times New Roman"/>
          <w:color w:val="000000" w:themeColor="text1"/>
          <w:sz w:val="16"/>
          <w:szCs w:val="16"/>
        </w:rPr>
        <w:softHyphen/>
        <w:t>па ГАЗ-60 у правого борта машины, тогда как механик-во</w:t>
      </w:r>
      <w:r w:rsidRPr="00722885">
        <w:rPr>
          <w:rFonts w:ascii="Times New Roman" w:hAnsi="Times New Roman"/>
          <w:color w:val="000000" w:themeColor="text1"/>
          <w:sz w:val="16"/>
          <w:szCs w:val="16"/>
        </w:rPr>
        <w:softHyphen/>
        <w:t>дитель сместился к левому борту. Ведущее колесо при этом было перенесено назад, что, по мнению проектировщиков, Давало преимущества с точки зрения защищенности ходо</w:t>
      </w:r>
      <w:r w:rsidRPr="00722885">
        <w:rPr>
          <w:rFonts w:ascii="Times New Roman" w:hAnsi="Times New Roman"/>
          <w:color w:val="000000" w:themeColor="text1"/>
          <w:sz w:val="16"/>
          <w:szCs w:val="16"/>
        </w:rPr>
        <w:softHyphen/>
        <w:t>вой части от огня противника. С одной стороны, такое решение давало и контсрукционные преимущества, так как позволяло обойтись одной КПП, но всякая палка имеет два конца. Необходимость синхронизировать обороты двига</w:t>
      </w:r>
      <w:r w:rsidRPr="00722885">
        <w:rPr>
          <w:rFonts w:ascii="Times New Roman" w:hAnsi="Times New Roman"/>
          <w:color w:val="000000" w:themeColor="text1"/>
          <w:sz w:val="16"/>
          <w:szCs w:val="16"/>
        </w:rPr>
        <w:softHyphen/>
        <w:t>телей и применения длинного карданного вала значитель</w:t>
      </w:r>
      <w:r w:rsidRPr="00722885">
        <w:rPr>
          <w:rFonts w:ascii="Times New Roman" w:hAnsi="Times New Roman"/>
          <w:color w:val="000000" w:themeColor="text1"/>
          <w:sz w:val="16"/>
          <w:szCs w:val="16"/>
        </w:rPr>
        <w:softHyphen/>
        <w:t>но усложняли трансмиссию и ухудшали ее надежность (11417).</w:t>
      </w:r>
    </w:p>
    <w:p w14:paraId="6B2A6CE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55A1C0AC"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помимо штурмовой САУ ГАЗ-71 на ГАЗ про</w:t>
      </w:r>
      <w:r w:rsidRPr="00722885">
        <w:rPr>
          <w:rFonts w:ascii="Times New Roman" w:hAnsi="Times New Roman"/>
          <w:color w:val="000000" w:themeColor="text1"/>
          <w:sz w:val="16"/>
          <w:szCs w:val="16"/>
        </w:rPr>
        <w:softHyphen/>
        <w:t>вели демонстрацию также зенитной САУ ГАЗ-72. Ее конст</w:t>
      </w:r>
      <w:r w:rsidRPr="00722885">
        <w:rPr>
          <w:rFonts w:ascii="Times New Roman" w:hAnsi="Times New Roman"/>
          <w:color w:val="000000" w:themeColor="text1"/>
          <w:sz w:val="16"/>
          <w:szCs w:val="16"/>
        </w:rPr>
        <w:softHyphen/>
        <w:t>рукция была во многом подобна штурмовой ГАЗ-71, но вместо рубки монтировалась вращающаяся платформа с " качающейся частью автомата 61-К, разработанная по эски</w:t>
      </w:r>
      <w:r w:rsidRPr="00722885">
        <w:rPr>
          <w:rFonts w:ascii="Times New Roman" w:hAnsi="Times New Roman"/>
          <w:color w:val="000000" w:themeColor="text1"/>
          <w:sz w:val="16"/>
          <w:szCs w:val="16"/>
        </w:rPr>
        <w:softHyphen/>
        <w:t>зу орудийной зенитной башни Савина. Завод № 38 также продемонстрировал свой вариант зе</w:t>
      </w:r>
      <w:r w:rsidRPr="00722885">
        <w:rPr>
          <w:rFonts w:ascii="Times New Roman" w:hAnsi="Times New Roman"/>
          <w:color w:val="000000" w:themeColor="text1"/>
          <w:sz w:val="16"/>
          <w:szCs w:val="16"/>
        </w:rPr>
        <w:softHyphen/>
        <w:t>нитной установки СУ-11, во многом повторяющей изделия конкурентов. Но ни один из предложенных образцов испытаний не выдержал по причине недостаточной прочности Инструкции и недостаточной маневренности орудий для со</w:t>
      </w:r>
      <w:r w:rsidRPr="00722885">
        <w:rPr>
          <w:rFonts w:ascii="Times New Roman" w:hAnsi="Times New Roman"/>
          <w:color w:val="000000" w:themeColor="text1"/>
          <w:sz w:val="16"/>
          <w:szCs w:val="16"/>
        </w:rPr>
        <w:softHyphen/>
        <w:t>провождения самолетов. Кроме того, в 1942 г. 37-мм и 25-мм зенитные автоматы находились в жесточайшем дефи</w:t>
      </w:r>
      <w:r w:rsidRPr="00722885">
        <w:rPr>
          <w:rFonts w:ascii="Times New Roman" w:hAnsi="Times New Roman"/>
          <w:color w:val="000000" w:themeColor="text1"/>
          <w:sz w:val="16"/>
          <w:szCs w:val="16"/>
        </w:rPr>
        <w:softHyphen/>
        <w:t>ците. Поэтому работы по зенитным САУ были отложены, а наркомат был больше заинтересован в выпуске легких зенитных танков с вооружением из крупнокалиберных пулеметов, так как таковое решение могло быстрее дать результат (11417).</w:t>
      </w:r>
    </w:p>
    <w:p w14:paraId="39697B0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EA073C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ноябрь 1942 года частями Западного фронта на тыловые рембазы было направлено 23 немецких танка и один бронеавтомобиль (из отдельного танкового батальона 20-й армии — 2 Pz. II, 4 Pz. III, 4 Pz. IV, 2 StuG III, I Pz.38(t) и I броневик; из 31-й армии — 6 Pz. III/IV; из 30-й армии — 2 Pz. II; из 33-й армии — 1 Pz. III; из 16-й армии — 1 Pz. IV) (12688).</w:t>
      </w:r>
    </w:p>
    <w:p w14:paraId="0C86B61F"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7057D6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на ЗИСе была разработа</w:t>
      </w:r>
      <w:r w:rsidRPr="00722885">
        <w:rPr>
          <w:rFonts w:ascii="Times New Roman" w:hAnsi="Times New Roman"/>
          <w:color w:val="000000" w:themeColor="text1"/>
          <w:sz w:val="16"/>
          <w:szCs w:val="16"/>
        </w:rPr>
        <w:softHyphen/>
        <w:t>на зенитная самоходная установка ЗИС-43 на базе ЗИС-42. Она оснащалась бронированной кабиной и была вооружена 37-мм зенитной пушкой обр.1939 г., установленной в кузове. Несмотря на успешно проведенные в конце года испытания, ЗИС-43 также осталась только опытным образцом (12729).</w:t>
      </w:r>
    </w:p>
    <w:p w14:paraId="18A8D6D3"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046208A" w14:textId="77777777" w:rsidR="00A3483C" w:rsidRPr="00722885" w:rsidRDefault="00A3483C" w:rsidP="00722885">
      <w:pPr>
        <w:pStyle w:val="a3"/>
        <w:rPr>
          <w:color w:val="000000" w:themeColor="text1"/>
          <w:lang w:val="ru-RU"/>
        </w:rPr>
      </w:pPr>
      <w:r w:rsidRPr="00722885">
        <w:rPr>
          <w:color w:val="000000" w:themeColor="text1"/>
          <w:lang w:val="ru-RU"/>
        </w:rPr>
        <w:t>В ноябре 1942 построили два опытных образца АТ-42. В декабре 1940 г. при про</w:t>
      </w:r>
      <w:r w:rsidRPr="00722885">
        <w:rPr>
          <w:color w:val="000000" w:themeColor="text1"/>
          <w:lang w:val="ru-RU"/>
        </w:rPr>
        <w:softHyphen/>
        <w:t>ведении заводских испытаний АТ-42 были выявлены дефекты в коробке передач, гусеничном дви</w:t>
      </w:r>
      <w:r w:rsidRPr="00722885">
        <w:rPr>
          <w:color w:val="000000" w:themeColor="text1"/>
          <w:lang w:val="ru-RU"/>
        </w:rPr>
        <w:softHyphen/>
        <w:t>жителе, в приводе лебедки и др. Машину от</w:t>
      </w:r>
      <w:r w:rsidRPr="00722885">
        <w:rPr>
          <w:color w:val="000000" w:themeColor="text1"/>
          <w:lang w:val="ru-RU"/>
        </w:rPr>
        <w:softHyphen/>
        <w:t>правили на доработку. С началом войны все работы по АТ-42 были завершены, но проект</w:t>
      </w:r>
      <w:r w:rsidRPr="00722885">
        <w:rPr>
          <w:color w:val="000000" w:themeColor="text1"/>
          <w:lang w:val="ru-RU"/>
        </w:rPr>
        <w:softHyphen/>
        <w:t>ные изыскания в области тракторостроения не прекращались.</w:t>
      </w:r>
    </w:p>
    <w:p w14:paraId="3D5B1757" w14:textId="77777777" w:rsidR="00A3483C" w:rsidRPr="00722885" w:rsidRDefault="00A3483C" w:rsidP="00722885">
      <w:pPr>
        <w:pStyle w:val="a3"/>
        <w:rPr>
          <w:color w:val="000000" w:themeColor="text1"/>
          <w:lang w:val="ru-RU"/>
        </w:rPr>
      </w:pPr>
      <w:r w:rsidRPr="00722885">
        <w:rPr>
          <w:color w:val="000000" w:themeColor="text1"/>
          <w:lang w:val="ru-RU"/>
        </w:rPr>
        <w:t>Про</w:t>
      </w:r>
      <w:r w:rsidRPr="00722885">
        <w:rPr>
          <w:color w:val="000000" w:themeColor="text1"/>
          <w:lang w:val="ru-RU"/>
        </w:rPr>
        <w:softHyphen/>
      </w:r>
      <w:r w:rsidRPr="00722885">
        <w:rPr>
          <w:rStyle w:val="305"/>
          <w:rFonts w:ascii="Times New Roman" w:hAnsi="Times New Roman" w:cs="Times New Roman"/>
          <w:b w:val="0"/>
          <w:color w:val="000000" w:themeColor="text1"/>
          <w:sz w:val="16"/>
          <w:szCs w:val="16"/>
          <w:lang w:val="ru-RU"/>
        </w:rPr>
        <w:t xml:space="preserve">ектирование </w:t>
      </w:r>
      <w:r w:rsidRPr="00722885">
        <w:rPr>
          <w:color w:val="000000" w:themeColor="text1"/>
          <w:lang w:val="ru-RU"/>
        </w:rPr>
        <w:t xml:space="preserve">провели </w:t>
      </w:r>
      <w:r w:rsidRPr="00722885">
        <w:rPr>
          <w:rStyle w:val="305"/>
          <w:rFonts w:ascii="Times New Roman" w:hAnsi="Times New Roman" w:cs="Times New Roman"/>
          <w:b w:val="0"/>
          <w:color w:val="000000" w:themeColor="text1"/>
          <w:sz w:val="16"/>
          <w:szCs w:val="16"/>
          <w:lang w:val="ru-RU"/>
        </w:rPr>
        <w:t>и</w:t>
      </w:r>
      <w:r w:rsidRPr="00722885">
        <w:rPr>
          <w:color w:val="000000" w:themeColor="text1"/>
          <w:lang w:val="ru-RU"/>
        </w:rPr>
        <w:t xml:space="preserve"> выполнили технический про</w:t>
      </w:r>
      <w:r w:rsidRPr="00722885">
        <w:rPr>
          <w:color w:val="000000" w:themeColor="text1"/>
          <w:lang w:val="ru-RU"/>
        </w:rPr>
        <w:softHyphen/>
      </w:r>
      <w:r w:rsidRPr="00722885">
        <w:rPr>
          <w:rStyle w:val="305"/>
          <w:rFonts w:ascii="Times New Roman" w:hAnsi="Times New Roman" w:cs="Times New Roman"/>
          <w:b w:val="0"/>
          <w:color w:val="000000" w:themeColor="text1"/>
          <w:sz w:val="16"/>
          <w:szCs w:val="16"/>
          <w:lang w:val="ru-RU"/>
        </w:rPr>
        <w:t>ект тяжелого</w:t>
      </w:r>
      <w:r w:rsidRPr="00722885">
        <w:rPr>
          <w:color w:val="000000" w:themeColor="text1"/>
          <w:lang w:val="ru-RU"/>
        </w:rPr>
        <w:t xml:space="preserve"> транспортного тягача АТ-42 (за</w:t>
      </w:r>
      <w:r w:rsidRPr="00722885">
        <w:rPr>
          <w:color w:val="000000" w:themeColor="text1"/>
          <w:lang w:val="ru-RU"/>
        </w:rPr>
        <w:softHyphen/>
      </w:r>
      <w:r w:rsidRPr="00722885">
        <w:rPr>
          <w:rStyle w:val="Arial5"/>
          <w:rFonts w:ascii="Times New Roman" w:hAnsi="Times New Roman" w:cs="Times New Roman"/>
          <w:b w:val="0"/>
          <w:color w:val="000000" w:themeColor="text1"/>
          <w:sz w:val="16"/>
          <w:szCs w:val="16"/>
          <w:lang w:val="ru-RU"/>
        </w:rPr>
        <w:t>ведете</w:t>
      </w:r>
      <w:r w:rsidRPr="00722885">
        <w:rPr>
          <w:color w:val="000000" w:themeColor="text1"/>
          <w:lang w:val="ru-RU"/>
        </w:rPr>
        <w:t xml:space="preserve"> обозначение А-42) на базе среднего </w:t>
      </w:r>
      <w:r w:rsidRPr="00722885">
        <w:rPr>
          <w:rStyle w:val="305"/>
          <w:rFonts w:ascii="Times New Roman" w:hAnsi="Times New Roman" w:cs="Times New Roman"/>
          <w:b w:val="0"/>
          <w:color w:val="000000" w:themeColor="text1"/>
          <w:sz w:val="16"/>
          <w:szCs w:val="16"/>
          <w:lang w:val="ru-RU"/>
        </w:rPr>
        <w:t>тайка Т-34</w:t>
      </w:r>
      <w:r w:rsidRPr="00722885">
        <w:rPr>
          <w:color w:val="000000" w:themeColor="text1"/>
          <w:lang w:val="ru-RU"/>
        </w:rPr>
        <w:t xml:space="preserve"> (трансмиссия и ходовая часть) конструк</w:t>
      </w:r>
      <w:r w:rsidRPr="00722885">
        <w:rPr>
          <w:color w:val="000000" w:themeColor="text1"/>
          <w:lang w:val="ru-RU"/>
        </w:rPr>
        <w:softHyphen/>
      </w:r>
      <w:r w:rsidRPr="00722885">
        <w:rPr>
          <w:rStyle w:val="305"/>
          <w:rFonts w:ascii="Times New Roman" w:hAnsi="Times New Roman" w:cs="Times New Roman"/>
          <w:b w:val="0"/>
          <w:color w:val="000000" w:themeColor="text1"/>
          <w:sz w:val="16"/>
          <w:szCs w:val="16"/>
          <w:lang w:val="ru-RU"/>
        </w:rPr>
        <w:t>торы</w:t>
      </w:r>
      <w:r w:rsidRPr="00722885">
        <w:rPr>
          <w:color w:val="000000" w:themeColor="text1"/>
          <w:lang w:val="ru-RU"/>
        </w:rPr>
        <w:t xml:space="preserve"> тракторного отдела «200» завода №183, </w:t>
      </w:r>
      <w:r w:rsidRPr="00722885">
        <w:rPr>
          <w:rStyle w:val="305"/>
          <w:rFonts w:ascii="Times New Roman" w:hAnsi="Times New Roman" w:cs="Times New Roman"/>
          <w:b w:val="0"/>
          <w:color w:val="000000" w:themeColor="text1"/>
          <w:sz w:val="16"/>
          <w:szCs w:val="16"/>
          <w:lang w:val="ru-RU"/>
        </w:rPr>
        <w:t>возглавляемые</w:t>
      </w:r>
      <w:r w:rsidRPr="00722885">
        <w:rPr>
          <w:color w:val="000000" w:themeColor="text1"/>
          <w:lang w:val="ru-RU"/>
        </w:rPr>
        <w:t xml:space="preserve"> Н.Г. Зубаревым.</w:t>
      </w:r>
    </w:p>
    <w:p w14:paraId="6A9B29D6" w14:textId="77777777" w:rsidR="00A3483C" w:rsidRPr="00722885" w:rsidRDefault="00A3483C" w:rsidP="00722885">
      <w:pPr>
        <w:pStyle w:val="a3"/>
        <w:rPr>
          <w:color w:val="000000" w:themeColor="text1"/>
          <w:lang w:val="ru-RU"/>
        </w:rPr>
      </w:pPr>
      <w:r w:rsidRPr="00722885">
        <w:rPr>
          <w:color w:val="000000" w:themeColor="text1"/>
          <w:lang w:val="ru-RU"/>
        </w:rPr>
        <w:t>Первоначально он не имел броневой защиты и вооружения. В последующем тягач получил бронированную рубку в передней и средней части корпуса, в которой размещались отде</w:t>
      </w:r>
      <w:r w:rsidRPr="00722885">
        <w:rPr>
          <w:color w:val="000000" w:themeColor="text1"/>
          <w:lang w:val="ru-RU"/>
        </w:rPr>
        <w:softHyphen/>
        <w:t>ление управления и моторное отделение. Она сваривалась из броневых листов толщиной 15 и 50 мм. В кормовой части корпуса находилось трансмиссионное отделение, а перед ним - отделение тяговой лебедки.</w:t>
      </w:r>
    </w:p>
    <w:p w14:paraId="5DA0F0A6" w14:textId="77777777" w:rsidR="00A3483C" w:rsidRPr="00722885" w:rsidRDefault="00A3483C" w:rsidP="00722885">
      <w:pPr>
        <w:pStyle w:val="a3"/>
        <w:rPr>
          <w:color w:val="000000" w:themeColor="text1"/>
          <w:lang w:val="ru-RU"/>
        </w:rPr>
      </w:pPr>
      <w:r w:rsidRPr="00722885">
        <w:rPr>
          <w:color w:val="000000" w:themeColor="text1"/>
          <w:lang w:val="ru-RU"/>
        </w:rPr>
        <w:t>АТ-42 был вооружен 7,62-мм пулеметом ДТ, устанавливавшимся в шаровой опоре справа в лобовом листе рубки.</w:t>
      </w:r>
    </w:p>
    <w:p w14:paraId="023CFE74" w14:textId="77777777" w:rsidR="00A3483C" w:rsidRPr="00722885" w:rsidRDefault="00A3483C" w:rsidP="00722885">
      <w:pPr>
        <w:pStyle w:val="a3"/>
        <w:rPr>
          <w:color w:val="000000" w:themeColor="text1"/>
          <w:lang w:val="ru-RU"/>
        </w:rPr>
      </w:pPr>
      <w:r w:rsidRPr="00722885">
        <w:rPr>
          <w:color w:val="000000" w:themeColor="text1"/>
          <w:lang w:val="ru-RU"/>
        </w:rPr>
        <w:t>В моторном отделении вдоль продольной оси корпуса устанавливался дизель типа В-2 мощностью 500 л.с. В отличие от базовой ма</w:t>
      </w:r>
      <w:r w:rsidRPr="00722885">
        <w:rPr>
          <w:color w:val="000000" w:themeColor="text1"/>
          <w:lang w:val="ru-RU"/>
        </w:rPr>
        <w:softHyphen/>
        <w:t>шины, трансмиссия АТ-42 имела привод от</w:t>
      </w:r>
      <w:r w:rsidRPr="00722885">
        <w:rPr>
          <w:color w:val="000000" w:themeColor="text1"/>
          <w:lang w:val="ru-RU"/>
        </w:rPr>
        <w:softHyphen/>
        <w:t>бора мощности на тяговую лебедку. Ходовая часть машины осталась практически без изме</w:t>
      </w:r>
      <w:r w:rsidRPr="00722885">
        <w:rPr>
          <w:color w:val="000000" w:themeColor="text1"/>
          <w:lang w:val="ru-RU"/>
        </w:rPr>
        <w:softHyphen/>
        <w:t>нений. В кормовой части тягача располагалось буксирное приспособление. Тяговое усилие на крюке достигало 15 тс.</w:t>
      </w:r>
    </w:p>
    <w:p w14:paraId="78FA5C10" w14:textId="77777777" w:rsidR="00A3483C" w:rsidRPr="00722885" w:rsidRDefault="00A3483C" w:rsidP="00722885">
      <w:pPr>
        <w:pStyle w:val="a3"/>
        <w:rPr>
          <w:color w:val="000000" w:themeColor="text1"/>
          <w:lang w:val="ru-RU"/>
        </w:rPr>
      </w:pPr>
      <w:r w:rsidRPr="00722885">
        <w:rPr>
          <w:color w:val="000000" w:themeColor="text1"/>
          <w:lang w:val="ru-RU"/>
        </w:rPr>
        <w:t>Над крышей трансмиссионного отделе</w:t>
      </w:r>
      <w:r w:rsidRPr="00722885">
        <w:rPr>
          <w:color w:val="000000" w:themeColor="text1"/>
          <w:lang w:val="ru-RU"/>
        </w:rPr>
        <w:softHyphen/>
        <w:t>ния располагалась грузовая платформа гру</w:t>
      </w:r>
      <w:r w:rsidRPr="00722885">
        <w:rPr>
          <w:color w:val="000000" w:themeColor="text1"/>
          <w:lang w:val="ru-RU"/>
        </w:rPr>
        <w:softHyphen/>
        <w:t>зоподъемностью 3 т, на которой устанавлива</w:t>
      </w:r>
      <w:r w:rsidRPr="00722885">
        <w:rPr>
          <w:color w:val="000000" w:themeColor="text1"/>
          <w:lang w:val="ru-RU"/>
        </w:rPr>
        <w:softHyphen/>
        <w:t>лись сиденья для перевозки личного состава и брезентовый тент.</w:t>
      </w:r>
    </w:p>
    <w:p w14:paraId="37AACD4C" w14:textId="77777777" w:rsidR="00A3483C" w:rsidRPr="00722885" w:rsidRDefault="00A3483C" w:rsidP="00722885">
      <w:pPr>
        <w:pStyle w:val="a3"/>
        <w:rPr>
          <w:color w:val="000000" w:themeColor="text1"/>
          <w:lang w:val="ru-RU"/>
        </w:rPr>
      </w:pPr>
      <w:r w:rsidRPr="00722885">
        <w:rPr>
          <w:color w:val="000000" w:themeColor="text1"/>
          <w:lang w:val="ru-RU"/>
        </w:rPr>
        <w:t>Максимальная скорость АТ-42 - 33 км/ч (15748).</w:t>
      </w:r>
    </w:p>
    <w:p w14:paraId="2E92B45A" w14:textId="77777777" w:rsidR="00A3483C" w:rsidRPr="00722885" w:rsidRDefault="00A3483C" w:rsidP="00722885">
      <w:pPr>
        <w:pStyle w:val="a3"/>
        <w:rPr>
          <w:color w:val="000000" w:themeColor="text1"/>
          <w:lang w:val="ru-RU"/>
        </w:rPr>
      </w:pPr>
    </w:p>
    <w:p w14:paraId="4D1DAF1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года Горьковским автозаводом была предпринята попытка перевооружить БА-64 14,5мм пятизарядным противотанковым ружьем системы Симонова (ПТРС-41). Предполагалось, что это резко повысит наступательную и оборонительную мощь, в целом слабо вооруженного бронеавтомобиля БА-64. Учитывая сильную отдачу ПТРС, его установили в башню введя специальное противооткатное устройство, проще - амортизатор (3862).</w:t>
      </w:r>
    </w:p>
    <w:p w14:paraId="06D21F3B" w14:textId="77777777" w:rsidR="00090C9B" w:rsidRPr="00722885" w:rsidRDefault="00090C9B" w:rsidP="00722885">
      <w:pPr>
        <w:pStyle w:val="Iauiue"/>
        <w:jc w:val="both"/>
        <w:rPr>
          <w:color w:val="000000" w:themeColor="text1"/>
          <w:sz w:val="16"/>
          <w:szCs w:val="16"/>
        </w:rPr>
      </w:pPr>
    </w:p>
    <w:p w14:paraId="4604DE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некоторое время работы над этой модификацией прекратили в пользу БА-64Д.</w:t>
      </w:r>
    </w:p>
    <w:p w14:paraId="43CBF94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 завод 189 сдал К-56, а в декабре 1944 г. — К-55. К-54, доведенную к июлю 1944 г. до технической готовности 67% достроить не удалось, часть ее механизмов и оборудования была использована на других однотипных лодках. Несмотря на сокращенную программу ис</w:t>
      </w:r>
      <w:r w:rsidRPr="00722885">
        <w:rPr>
          <w:color w:val="000000" w:themeColor="text1"/>
          <w:sz w:val="16"/>
          <w:szCs w:val="16"/>
        </w:rPr>
        <w:softHyphen/>
        <w:t>пытаний, К-51, К-52, К-53 и К-56 успешно действовали в заверша</w:t>
      </w:r>
      <w:r w:rsidRPr="00722885">
        <w:rPr>
          <w:color w:val="000000" w:themeColor="text1"/>
          <w:sz w:val="16"/>
          <w:szCs w:val="16"/>
        </w:rPr>
        <w:softHyphen/>
        <w:t>ющей компании войны на Балтике (3898).</w:t>
      </w:r>
    </w:p>
    <w:p w14:paraId="03260018" w14:textId="77777777" w:rsidR="00090C9B" w:rsidRPr="00722885" w:rsidRDefault="00090C9B" w:rsidP="00722885">
      <w:pPr>
        <w:pStyle w:val="Iauiue"/>
        <w:jc w:val="both"/>
        <w:rPr>
          <w:color w:val="000000" w:themeColor="text1"/>
          <w:sz w:val="16"/>
          <w:szCs w:val="16"/>
        </w:rPr>
      </w:pPr>
    </w:p>
    <w:p w14:paraId="63DE452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w:t>
      </w:r>
      <w:r w:rsidRPr="00722885">
        <w:rPr>
          <w:rFonts w:ascii="Times New Roman" w:hAnsi="Times New Roman"/>
          <w:color w:val="000000" w:themeColor="text1"/>
          <w:sz w:val="16"/>
          <w:szCs w:val="16"/>
        </w:rPr>
        <w:softHyphen/>
        <w:t>бре 1942 г. после проведения заводского пробега, был разработан улучшенный вариант машины па железно</w:t>
      </w:r>
      <w:r w:rsidRPr="00722885">
        <w:rPr>
          <w:rFonts w:ascii="Times New Roman" w:hAnsi="Times New Roman"/>
          <w:color w:val="000000" w:themeColor="text1"/>
          <w:sz w:val="16"/>
          <w:szCs w:val="16"/>
        </w:rPr>
        <w:softHyphen/>
        <w:t>дорожном ходу. Опытный улучшенный образен бронеавтомобиля был изготовлен автозаводом в январе 1943 г. Весной 1943 г. был изготовлен второй опытный образец улучшенного варианта (эталонный). Оба улучшенных образца бронеавтомобиля поступили на полигонные ис</w:t>
      </w:r>
      <w:r w:rsidRPr="00722885">
        <w:rPr>
          <w:rFonts w:ascii="Times New Roman" w:hAnsi="Times New Roman"/>
          <w:color w:val="000000" w:themeColor="text1"/>
          <w:sz w:val="16"/>
          <w:szCs w:val="16"/>
        </w:rPr>
        <w:softHyphen/>
        <w:t>пытания на Гороховецкий полигон ВОСО. Бронеавтомобиль БА-64Г отличался от серийного образца БА-64 возможностью движения по железнодорожной колее. В носовой и кор</w:t>
      </w:r>
      <w:r w:rsidRPr="00722885">
        <w:rPr>
          <w:rFonts w:ascii="Times New Roman" w:hAnsi="Times New Roman"/>
          <w:color w:val="000000" w:themeColor="text1"/>
          <w:sz w:val="16"/>
          <w:szCs w:val="16"/>
        </w:rPr>
        <w:softHyphen/>
        <w:t>мовой частях корпуса машины устанавливались специальные, частично подрессоренные, откидывавшиеся вверх железнодорожные колеса ма</w:t>
      </w:r>
      <w:r w:rsidRPr="00722885">
        <w:rPr>
          <w:rFonts w:ascii="Times New Roman" w:hAnsi="Times New Roman"/>
          <w:color w:val="000000" w:themeColor="text1"/>
          <w:sz w:val="16"/>
          <w:szCs w:val="16"/>
        </w:rPr>
        <w:softHyphen/>
        <w:t>лого диаметра, которые представляли собой направляющие ролики с ребордами, препятствовавшими сходу машины с железнодорожной ко</w:t>
      </w:r>
      <w:r w:rsidRPr="00722885">
        <w:rPr>
          <w:rFonts w:ascii="Times New Roman" w:hAnsi="Times New Roman"/>
          <w:color w:val="000000" w:themeColor="text1"/>
          <w:sz w:val="16"/>
          <w:szCs w:val="16"/>
        </w:rPr>
        <w:softHyphen/>
        <w:t>леи и позволявшие ей двигаться по железнодорожному полотну при ис</w:t>
      </w:r>
      <w:r w:rsidRPr="00722885">
        <w:rPr>
          <w:rFonts w:ascii="Times New Roman" w:hAnsi="Times New Roman"/>
          <w:color w:val="000000" w:themeColor="text1"/>
          <w:sz w:val="16"/>
          <w:szCs w:val="16"/>
        </w:rPr>
        <w:softHyphen/>
        <w:t>пользовании колесного движителя. Для достижения постоянного кон</w:t>
      </w:r>
      <w:r w:rsidRPr="00722885">
        <w:rPr>
          <w:rFonts w:ascii="Times New Roman" w:hAnsi="Times New Roman"/>
          <w:color w:val="000000" w:themeColor="text1"/>
          <w:sz w:val="16"/>
          <w:szCs w:val="16"/>
        </w:rPr>
        <w:softHyphen/>
        <w:t>такта колес с шинами "ГК" с железнодорожным полотном (колея 1524 мм) было предусмотрено расширение собственной колеи машины, что соответствовало планам ее дальнейшей модернизации и проведению работ над машиной БА-64Б (10703).</w:t>
      </w:r>
    </w:p>
    <w:p w14:paraId="610FB7FE"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3127F6A"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при заводском пробеге первого опытного образца БА-64Г бы</w:t>
      </w:r>
      <w:r w:rsidRPr="00722885">
        <w:rPr>
          <w:rFonts w:ascii="Times New Roman" w:hAnsi="Times New Roman"/>
          <w:color w:val="000000" w:themeColor="text1"/>
          <w:sz w:val="16"/>
          <w:szCs w:val="16"/>
        </w:rPr>
        <w:softHyphen/>
        <w:t>ли погнуты оси железнодорожных тележек, а из-за малого диаметра же</w:t>
      </w:r>
      <w:r w:rsidRPr="00722885">
        <w:rPr>
          <w:rFonts w:ascii="Times New Roman" w:hAnsi="Times New Roman"/>
          <w:color w:val="000000" w:themeColor="text1"/>
          <w:sz w:val="16"/>
          <w:szCs w:val="16"/>
        </w:rPr>
        <w:softHyphen/>
        <w:t>лезнодорожных колес наблюдался частый сход машины с рельсов. На по</w:t>
      </w:r>
      <w:r w:rsidRPr="00722885">
        <w:rPr>
          <w:rFonts w:ascii="Times New Roman" w:hAnsi="Times New Roman"/>
          <w:color w:val="000000" w:themeColor="text1"/>
          <w:sz w:val="16"/>
          <w:szCs w:val="16"/>
        </w:rPr>
        <w:softHyphen/>
        <w:t>следующих двух улучшенных образцах бронеавтомобиля БА-64Г были усилены оси тележек, введены распорные штанги и защелки. Кроме того, крепление осей тележек к рамам было выполнено в жестких шарнирах, а к мостам машины — через концентрические пружины. Бронеавтомобили были оборудованы железнодорожной сигнализацией (10703).</w:t>
      </w:r>
    </w:p>
    <w:p w14:paraId="67AECDD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81A8944"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был разработан проект Горьковского автозавода, который предусматривал возмож</w:t>
      </w:r>
      <w:r w:rsidRPr="00722885">
        <w:rPr>
          <w:rFonts w:ascii="Times New Roman" w:hAnsi="Times New Roman"/>
          <w:color w:val="000000" w:themeColor="text1"/>
          <w:sz w:val="16"/>
          <w:szCs w:val="16"/>
        </w:rPr>
        <w:softHyphen/>
        <w:t>ность движения бронеавтомобиля БА-64 по рельсам с помощью резинового хода па специальных откидных направляющих роликах (в виде желез-подорожных бандажей), устанавливавшихся на кронштейнах с пружи</w:t>
      </w:r>
      <w:r w:rsidRPr="00722885">
        <w:rPr>
          <w:rFonts w:ascii="Times New Roman" w:hAnsi="Times New Roman"/>
          <w:color w:val="000000" w:themeColor="text1"/>
          <w:sz w:val="16"/>
          <w:szCs w:val="16"/>
        </w:rPr>
        <w:softHyphen/>
        <w:t>нами спереди и сзади машины. В предложенном проекте значительно сокращалось время подготовки бронеавтомобиля для движения сто по железнодорожной колее. Аналогичные работы в 1944 г. велись и на Московском вагоноремонтном заводе им. Войтовича. Кроме того, в годы Великой Отечественной войны велись работы по повышению проходимости серийных бронеавтомобилей по грунтам со слабой несущей способностью. Так, в 1942 - 1943 гг. был разработан, из</w:t>
      </w:r>
      <w:r w:rsidRPr="00722885">
        <w:rPr>
          <w:rFonts w:ascii="Times New Roman" w:hAnsi="Times New Roman"/>
          <w:color w:val="000000" w:themeColor="text1"/>
          <w:sz w:val="16"/>
          <w:szCs w:val="16"/>
        </w:rPr>
        <w:softHyphen/>
        <w:t>готовлен и испытан опытный образец бронеавтомобиля БА-64 с лыжно-гуееничным движителем (10703).</w:t>
      </w:r>
    </w:p>
    <w:p w14:paraId="6D10D456"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39AED0E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В ноябре 1942 г. по решению Народного Комиссариата Строительства на базе эвакуированного из Ленинграда предприятия "Нефтеприбор" был основан Челябинский завод “Строммашина” (официальное название до 1948 г. “Завод № 8”). Вновь созданному предприятию была поставлена задача --переоборудовать автомобильные бензиновые двигатели на газогенераторные, освоить производство авиабомб ФАБ-50, а уже в 1944 г. завод начинает осваивать мирную продукцию - выпускает опытные партии вибростанков СМ-40 для производства шлакоблоков. Название завода “Строммашина” отражает профиль выпускаемой ранее продукции - строительные материалы и механизмы для железобетонных заводов и КПД. В 60-е годы ведется большая работа по благоустройству территории предприятия и развития социальной сферы. В это же время завод получает государственные заказы на изготовление специальной техники для других стран. С развитием завода на нем стали размещать военные заказы. Первый автопливозаправщик по заказу Минообороны был выпущен в 1961 году. Одним из первых военных изделий было АМ-66, предназначенное для укладки железобетонных аэродромных плит. Кстати, первые взлетные полосы Челябинского аэродрома уложены именно с использованием АМ-66. Завод получает заказ на изготовление транспортных тележек для перевозки ракет, делает и передвижные комплексы для ремонта ракетной техники. До 1985 г. выпуск военной продукции на предприятии составляет свыше 50 % общего объема производства. С 1966 г. начинается выпуск топливозаправщиков для нужд </w:t>
      </w:r>
      <w:r w:rsidRPr="00722885">
        <w:rPr>
          <w:color w:val="000000" w:themeColor="text1"/>
          <w:sz w:val="16"/>
          <w:szCs w:val="16"/>
        </w:rPr>
        <w:lastRenderedPageBreak/>
        <w:t>Министерства обороны, а в 1990-е гг. специализируется на производстве спецавтотехники на базе грузовых отечественных автомобилей “УралАЗ”, “КАМАЗ”, “ЗИЛ”</w:t>
      </w:r>
    </w:p>
    <w:p w14:paraId="029099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454007 г. Челябинск, ул. Артиллерийская, 124 (9709).</w:t>
      </w:r>
    </w:p>
    <w:p w14:paraId="0050AE0A" w14:textId="77777777" w:rsidR="00090C9B" w:rsidRPr="00722885" w:rsidRDefault="00090C9B" w:rsidP="00722885">
      <w:pPr>
        <w:pStyle w:val="Iauiue"/>
        <w:jc w:val="both"/>
        <w:rPr>
          <w:color w:val="000000" w:themeColor="text1"/>
          <w:sz w:val="16"/>
          <w:szCs w:val="16"/>
        </w:rPr>
      </w:pPr>
    </w:p>
    <w:p w14:paraId="3231579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на базе эвакуированного из Ленинграда завода «Нефтеприбор» («Химмаш») был создан Завод № 8 НКСМ и имел такое название по 1948г.</w:t>
      </w:r>
    </w:p>
    <w:p w14:paraId="29F99E1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Первоначально предприятие занималось переоборудованием бензиновых двигателей в газогенераторные, изготовлением авиабомб ФАБ-50; размещалось в бараке. В 1943г. пущен в эксплуатацию механический участок главного корпуса, освоено чугунное и стальное литье. Наряду с военной продукцией с 1944г. начат выпуск строительной техники. С 1955г. завод начал специализироваться на выпуске виброплощадок для производства железобетонных изделий (грузоподъемностью от 100 до 24000 кг), которые использовались при строительстве Асуанской, Братской и Бухтарминской ГЭС, ВПП Челябинского аэропорта.</w:t>
      </w:r>
    </w:p>
    <w:p w14:paraId="6833371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1950 г. был принят генеральный план реконструкции, в рамках которой вступили в строй цехи: сталелитейный (1957г.), металлоконструкций (1958г.), цех № 2 (1961 г.) и др. Предприятие освоило выпуск тележек дня транспортировки ракет, передвижных ракетных комплексов. С 1966г.- производство топливозаправочной техники, спецавтотехники для нефтегазового комплекса на базе автомобилей "Урал", "КамАЗ", "МАЗ". В 1994 2000 г. освоен выпуск спецтехники по заказу МО и МВД, коммунальной техники, автотопливозаправщиков для наземной техники, самолетов и вертолетов. С 1998г. производятся стеклопластиковые емкости для перевозки агрессивных веществ. В 2000-е г. выпускалось более 40 типов спецтехники (в 1993 было 9), из них 6 для нужд обороны.</w:t>
      </w:r>
    </w:p>
    <w:p w14:paraId="0FD654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(2007г.)- С.О. Фишер.</w:t>
      </w:r>
    </w:p>
    <w:p w14:paraId="2C712A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вибростанок для производства шлакоблоков СМ-40 (1944-); гидровибрационная установка С-629, вибратор для укладки камнебетона С-489; укладчик аэродромных плит АМ-66 (11982).</w:t>
      </w:r>
    </w:p>
    <w:p w14:paraId="0C6B8E4A"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153E581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ноября 1942 г. Завод № 688 НКРП, Завод «Натуркаучук», Уфимский регенераторный завод, Уфимский завод резиновых технических изделий (РТИ) им. М.В. Фрунзе, АО «Уфимский завод эластомерных материалов, изделий и конструкций» (УЗЭМИК) /г. Уфа  г. Черниковск/ /Башкортостан 450006  г. Уфа ул. Пархоменко, 156 тел. 24-93-92/ перерабатывал выращенные на полях Башкирии корни кок-сагыза в натуральный каучук.</w:t>
      </w:r>
    </w:p>
    <w:p w14:paraId="13C7495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завод № 688 переименован в завод «Натуркаучук». В 1953 г. завод преобразован в Уфимский регенераторный завод по восстановлению резиновых автопокрышек. Далее - Уфимский завод РТИ.</w:t>
      </w:r>
    </w:p>
    <w:p w14:paraId="5F54A12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23.11.1993 г. завод РТИ преобразован в АО. Был в 2004 г.</w:t>
      </w:r>
    </w:p>
    <w:p w14:paraId="4CB6871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Внешний управляющий (2002 г.)- С. Г. Хайруллин.</w:t>
      </w:r>
    </w:p>
    <w:p w14:paraId="1169733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(2002 г.)- П.Н. Демин. Зам. Гендиректора (2002 г.)- И.З. Идиятуллин.</w:t>
      </w:r>
    </w:p>
    <w:p w14:paraId="1575FA7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надувные лодки «Уфимка», «Айгуль», «Дельфин»; клиновые ремни, пневмосооружения, аэростаты; авиационные спасательные плоты, лодки, жилеты АСЖ-63, надувные трапы; транспортерная лента; резервуары.</w:t>
      </w:r>
      <w:r w:rsidRPr="00722885">
        <w:rPr>
          <w:rFonts w:ascii="Times New Roman" w:hAnsi="Times New Roman"/>
          <w:color w:val="000000" w:themeColor="text1"/>
          <w:sz w:val="16"/>
          <w:szCs w:val="16"/>
          <w:vertAlign w:val="superscript"/>
        </w:rPr>
        <w:t>69</w:t>
      </w:r>
    </w:p>
    <w:p w14:paraId="6A16A03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Комбинат «Красный треугольник» НКХП /г. Ленинград/</w:t>
      </w:r>
    </w:p>
    <w:p w14:paraId="010E2B6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1928 г. завод «Красный треугольник» выпускал резиновые бандажи колес для танка МС-1. В 1940 г. начато освоение выпуска ошиновки колес танка Т-34. В 1939 г. завод был единственным в стране, выпускавшим самолетные аккумуляторы нового типа.</w:t>
      </w:r>
    </w:p>
    <w:p w14:paraId="17A4408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12.1930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НКХП.</w:t>
      </w:r>
    </w:p>
    <w:p w14:paraId="134C254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 г. после начала войны завод «Красный треугольник» эвакуирован в Уфу (где создан завод № 688 НКРП) и в Свердловск (где создан завод № 734 НКРП).</w:t>
      </w:r>
    </w:p>
    <w:p w14:paraId="6B3FF16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восстановлен в Ленинграде (или часть завода продолжала там действовать). Пост. ЛенСНХ от 2.10.1962 г. на базе завода создано Объединение предприятий резиновых изделий «Красный треугольник».</w:t>
      </w:r>
    </w:p>
    <w:p w14:paraId="0F1C9FE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Фабрика асбестовых изделий Кригсмана, 1-я фабрика асбестовых изделий ВСНХ, Ленинградский государственный асбестообрабатывающий завод НКРП, НКХП, Завод асбестотехнических изделий МХП /г. Петербург,  г. Петроград,  г. Ленинград/</w:t>
      </w:r>
    </w:p>
    <w:p w14:paraId="582F018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Фабрика асбестовых изделий Кригсмана основана в 1911 г.</w:t>
      </w:r>
    </w:p>
    <w:p w14:paraId="1E59D8F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18.11.1920 г. фабрика национализирована и передана в ведение ВСНХ. В 1924 г. переименована в 1-ю фабрику асбестовых изделий. В 1931 г. преобразована в Ленинградский государственный асбестообрабатывающий завод, с 1932 г. - в ведении НКТП, с 1939 г. - Наркомрезинпрома. В 1943 г. - в ведении НКХП.</w:t>
      </w:r>
    </w:p>
    <w:p w14:paraId="77E4E4B9"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99сс от 11.07.1941 г. оборудование завода подлежало эвакуации на площадку Асбестовой фабрики НКПСМ (в  г. Баженова?).</w:t>
      </w:r>
    </w:p>
    <w:p w14:paraId="2327967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переименован в Завод асбестотехнических изделий МХП. 2.10.1962 г. завод вошел в состав организованного ЛПО «Красный треугольник».</w:t>
      </w:r>
    </w:p>
    <w:p w14:paraId="40C4972B"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Механический завод «Красный треугольник», Ленинградский механический завод «Металлист» НКХП, НКРП, МХП, Ленинградский машиностроительный завод «Металлист», Ленинградский государственный опытный машиностроительный завод «Металлист», АООТ, ОАО «Металлист»</w:t>
      </w:r>
    </w:p>
    <w:p w14:paraId="50E82616"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12.1930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По приказу НКХП от 9.08.1939 г. завод выделен в самостоятельный Ленинградский механический завод «Металлист». В 1941 г. передан в ведение Наркомрезинпрома.</w:t>
      </w:r>
    </w:p>
    <w:p w14:paraId="7509EF2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1946 г. - в ведении Министерства резиновой промышленности, с 1948 г. - МХП, с 07.1957 г.- Управления химической промышленности ЛенСНХ. В 1957 г. переименован в Ленинградский машиностроительный завод «Металлист». Пост. ЛенСНХ от 2.10.1962 г. завод вошел в состав Объединения предприятий резиновых изделий «Красный треугольник». В 11.1965 г. Ленинградский государственный машиностроительный завод «Металлист» выведен из состава объединения, передан в ведение ГУ нефтеперерабатывающего и резинотехнического машиностроения Министерства химического и нефтяного машиностроения и преобразован в опытный завод.</w:t>
      </w:r>
    </w:p>
    <w:p w14:paraId="1929CC12"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завод преобразован в АООТ, затем - ОАО «Металлист».</w:t>
      </w:r>
      <w:r w:rsidRPr="00722885">
        <w:rPr>
          <w:rFonts w:ascii="Times New Roman" w:hAnsi="Times New Roman"/>
          <w:color w:val="000000" w:themeColor="text1"/>
          <w:sz w:val="16"/>
          <w:szCs w:val="16"/>
          <w:vertAlign w:val="superscript"/>
        </w:rPr>
        <w:t>131</w:t>
      </w:r>
    </w:p>
    <w:p w14:paraId="73869AE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Объединения предприятий резиновых изделий «Красный треугольник», Ленинградское ПО (ЛПО) «Красный треугольник»</w:t>
      </w:r>
    </w:p>
    <w:p w14:paraId="0DF0FA3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Объединение создано пост. ЛенСНХ от 2.10.1962 г. на базе завода «Красный треугольник». В его состав вошел также Ленинградский машиностроительный завод «Металлист» (вышел из объединения в 11.1965 г.), Завод асбестотехнических изделий. В 10.1964 г. объединение переименовано в ПО «Красный треугольник» (11982).</w:t>
      </w:r>
    </w:p>
    <w:p w14:paraId="70BAE9D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DAAA8B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 на втором тральщике "Васи</w:t>
      </w:r>
      <w:r w:rsidRPr="00722885">
        <w:rPr>
          <w:color w:val="000000" w:themeColor="text1"/>
          <w:sz w:val="16"/>
          <w:szCs w:val="16"/>
        </w:rPr>
        <w:softHyphen/>
        <w:t>лий Громов" (главный строитель Б. В. Плисов) закончили уста</w:t>
      </w:r>
      <w:r w:rsidRPr="00722885">
        <w:rPr>
          <w:color w:val="000000" w:themeColor="text1"/>
          <w:sz w:val="16"/>
          <w:szCs w:val="16"/>
        </w:rPr>
        <w:softHyphen/>
        <w:t>новку главных турбин, летом он был подготовлен к выходу на испытания и 29 сентяб</w:t>
      </w:r>
      <w:r w:rsidRPr="00722885">
        <w:rPr>
          <w:color w:val="000000" w:themeColor="text1"/>
          <w:sz w:val="16"/>
          <w:szCs w:val="16"/>
        </w:rPr>
        <w:softHyphen/>
        <w:t>ря 1943 г. сдан ВМФ (3898).</w:t>
      </w:r>
    </w:p>
    <w:p w14:paraId="27183267" w14:textId="77777777" w:rsidR="00090C9B" w:rsidRPr="00722885" w:rsidRDefault="00090C9B" w:rsidP="00722885">
      <w:pPr>
        <w:pStyle w:val="Iauiue"/>
        <w:jc w:val="both"/>
        <w:rPr>
          <w:color w:val="000000" w:themeColor="text1"/>
          <w:sz w:val="16"/>
          <w:szCs w:val="16"/>
        </w:rPr>
      </w:pPr>
    </w:p>
    <w:p w14:paraId="665267C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264B070" w14:textId="77777777" w:rsidR="00090C9B" w:rsidRPr="00722885" w:rsidRDefault="00090C9B" w:rsidP="00722885">
      <w:pPr>
        <w:pStyle w:val="Iauiue"/>
        <w:jc w:val="both"/>
        <w:rPr>
          <w:iCs/>
          <w:color w:val="000000" w:themeColor="text1"/>
          <w:sz w:val="16"/>
          <w:szCs w:val="16"/>
        </w:rPr>
      </w:pPr>
    </w:p>
    <w:p w14:paraId="6BD17C6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 около 40% боевых вылетов (по опыту 2-й, 8-й и 16-й ВА) штурмовиками Ил-2 были совершены в сумерки и ночью (6467).</w:t>
      </w:r>
    </w:p>
    <w:p w14:paraId="5E9F1CDE" w14:textId="77777777" w:rsidR="00090C9B" w:rsidRPr="00722885" w:rsidRDefault="00090C9B" w:rsidP="00722885">
      <w:pPr>
        <w:pStyle w:val="Iauiue"/>
        <w:jc w:val="both"/>
        <w:rPr>
          <w:color w:val="000000" w:themeColor="text1"/>
          <w:sz w:val="16"/>
          <w:szCs w:val="16"/>
        </w:rPr>
      </w:pPr>
    </w:p>
    <w:p w14:paraId="19235521"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при формировании 7-й воздушной армии 828-й шап вошел в состав 261-й штурмовой авиадивизии. В эту дивизию вошел и 839-й иап, также летающий на И-153 и И-15бис. В феврале 1943 г. его преобразовали в 839-й штурмовой авиаполк (командир П.И.Богданов). Оба указанных полка эксплуатировали старую технику в течение всего 1943 г. В дальнейшем их перевооружили на штурмовики Ил-2 (12014).</w:t>
      </w:r>
    </w:p>
    <w:p w14:paraId="7B859CB7"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4FDA0E7E"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года Пе-8 №42038 М-30Б поступил в опытную эксплуатацию в 45-ю дивизию АДД. Самолет прибыл с завода в часть 6 ноября 1942 года и проходил испытания по программе опытной эксплуатации до 6 февраля 1943 года. За этот период было выполнено 35 полетов, из них два полета на боевое задание. За время опытно-боевой эксплуатации по причинам различных дефектов было заменено три двигателя М-ЗОБ. Основные дефекты двигателей были в основном производственно-технологического характера, сопровождавшиеся поломками элементов и агрегатов двигателя. На основе испытаний была дана удовлетворительная оценка работе М-ЗОБ на Пе-8.</w:t>
      </w:r>
    </w:p>
    <w:p w14:paraId="7B6AD4E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заключении к акту по испытаниям отмечалось:</w:t>
      </w:r>
    </w:p>
    <w:p w14:paraId="4C76C004"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процессе эксплуатации М-ЗОБ на самолете Пе-8 работал удовлетворительно на всем диапазоне высот до 9000 м.</w:t>
      </w:r>
    </w:p>
    <w:p w14:paraId="02B13D7D"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Двигатели могут быть рекомендованы в серийное производство для самолета Пе-8.Устранить все дефекты, выявленные в опытной эксплуатации" (12726).</w:t>
      </w:r>
    </w:p>
    <w:p w14:paraId="64908454" w14:textId="77777777" w:rsidR="00090C9B" w:rsidRPr="00722885" w:rsidRDefault="00090C9B" w:rsidP="00722885">
      <w:pPr>
        <w:pStyle w:val="ae"/>
        <w:spacing w:before="0" w:after="0"/>
        <w:jc w:val="both"/>
        <w:rPr>
          <w:color w:val="000000" w:themeColor="text1"/>
          <w:sz w:val="16"/>
          <w:szCs w:val="16"/>
        </w:rPr>
      </w:pPr>
    </w:p>
    <w:p w14:paraId="173172E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под Сталинградом насчитывалось уже 519 Пе-2. Здесь же, на берегах Волги впервые приняли бой летчицы 587-го авиаполка. Организованный по инициативе знаменитой Марины Расковой женский бомбардировочный полк имел на вооружении самолеты Пе-2 и в честь боевых заслуг стал Гвардейским. Девушки за два года совершили 1134 боевых вылета, сброшено 980 тонн бомб, и надо помнить, какая это была война, и какие это были самолеты. Несколько отважных летчиц получили звания Героя Советского Союза (12049).</w:t>
      </w:r>
    </w:p>
    <w:p w14:paraId="5F1186A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3E673E6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 xml:space="preserve">С ноября 1942 года в СССР через Иран начали поступать истребители модификации P-39D, строившейся для ВВС армии США. От "Аэрокобры" I, разработанной для англичан, они отличались оборудованием. На серии D-2 появились также 37-мм пушка, подвеска дополнительного бензобака под фюзеляжем и мотор V-1710-63 с возможностью кратковременного форсирования до 1325 л.с. (V-1710-E4 па "Аэрокобре" I и P-39D-1 развивал максимально 1150 л.с.). К этому времени поток все </w:t>
      </w:r>
      <w:r w:rsidRPr="00722885">
        <w:rPr>
          <w:color w:val="000000" w:themeColor="text1"/>
          <w:sz w:val="16"/>
          <w:szCs w:val="16"/>
        </w:rPr>
        <w:lastRenderedPageBreak/>
        <w:t>новых Р-39 тек и с севера - через Архангельск и Мурманск, и с юга - через Иран, и с востока - с Аляски. По АЛСИБу двигались машины еще более современных модификации-К, М, N и, наконец, Q. Первый десяток Р-39D советская миссия в Фэрбенксе приняла к концу 1942 года (первые из них американцы пригнали в ноябре). Р-39К отличались шестью (вместо трех) выхлопными патрубками на каждом борту и новыми винтами "Эйропродактс" с гидроуправлением шагом (до этого стояли "Кертисс электрик"). Первые самолеты модификации К прибыли из Ирана в конце 1942 года. На P-39L вновь вернулись к старым пропеллерам "Кертисс" с электроприводом. Р-39М являлся вариантом с мотором V-1710-83, позволившим немного улучшить высотные характеристики. Самыми массовыми модификациями, которые почти полностью направили в Советский Союз, стали P-39N с мотором V-1710-85 п винтом увеличенного диаметра, и P-39Q с усиленным вооружением (37-мм пушка и шесть 12,7-мм пулеметов). Именно эти два последних тина чаще всего встречались в нашей авиации. С начала 1943 года "Аэрокобры" стали основным типом машин, перегонявшимся по трассе. По советской статистике всего в Красноярск прибыло 2593 Р-39 (из 2618 принятых в Фэрбенксе). "Аэрокобрами" перевооружали новые и новые части, объединявшиеся теперь в целые дивизии и корпуса (3457,71).</w:t>
      </w:r>
    </w:p>
    <w:p w14:paraId="19D20D27" w14:textId="77777777" w:rsidR="00090C9B" w:rsidRPr="00722885" w:rsidRDefault="00090C9B" w:rsidP="00722885">
      <w:pPr>
        <w:pStyle w:val="Iauiue"/>
        <w:jc w:val="both"/>
        <w:rPr>
          <w:color w:val="000000" w:themeColor="text1"/>
          <w:sz w:val="16"/>
          <w:szCs w:val="16"/>
        </w:rPr>
      </w:pPr>
    </w:p>
    <w:p w14:paraId="2A4F3D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на P-40K Киттихаук частично вооружили 2-й гвардейский смешанный полк ВВС Северного флота. В конце того же месяца выпустили на Северо-западный фронт 46-й истребительный полк майора Мухина. Он начал боевые операции с аэродрома Выползово, войдя в состав 5-и гвардейской дивизии. Полк сражался над Демянским коридором, через который снабжалась из Старой Руссы окруженная 16-я армия немцев. В начале 1943 года на такие же истребители перешла 2-я эскадрилья 45-го полка Н.М. Дзусова. Далее сочеталось перевооружение частей на фронте и их переподготовка в запасных полках (3457,64).</w:t>
      </w:r>
    </w:p>
    <w:p w14:paraId="3D03AB62" w14:textId="77777777" w:rsidR="00090C9B" w:rsidRPr="00722885" w:rsidRDefault="00090C9B" w:rsidP="00722885">
      <w:pPr>
        <w:pStyle w:val="Iauiue"/>
        <w:jc w:val="both"/>
        <w:rPr>
          <w:color w:val="000000" w:themeColor="text1"/>
          <w:sz w:val="16"/>
          <w:szCs w:val="16"/>
        </w:rPr>
      </w:pPr>
    </w:p>
    <w:p w14:paraId="50D29F6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года один B-24D перепал Советскому Союзу совершенно случайно. Американская военная делегация во главе с генералом О.Брэдли возвращалась из Москвы домой по недавно начавшей работать Красноярской трассе. Одну из промежуточных посадок сделали в Якутске. Понадеявшись на новую систему разжижения масла бензином, американские пилоты отказались от прогрева моторов обогревателями, практиковавшегося у нас. А в Якутске было минус тридцать. Вскоре после взлета отказал четвертый мотор, а его винт не зафлюгировался. Пилоты решили вернуться обратно в Якутск, но, на беду, замерзла гидросистема. Шасси вышло с запозданием, закрылки вообще отказали. Самолет выкатился за полосу, сорвал пневматики колес и подломил правую стойку. Делегация вернулась на Аляску на советском ПС-84, а брошенный в Якутске "Либерейтор" предложили в подарок начальнику Красноярской трассы И.П.Мазуруку. Мотивировали это тем, что бомбардировщик был куплен богатой матерью второго пилота Т.Уотсона (впоследствии он стал послом США в СССР) п считается ее собственностью. Передачу самолета советской стороне поспешно оформил доставленный из города местный нотариус. Впоследствии американцы засчитали этот B-24D № 41-11820 как поставленный по ленд-лизу. Специалисты 1-й перегоночной дивизии Д.Островенко, В.Чечин и П.Коваленко привели машину в порядок, перебрали моторы, заменив часть деталей. Облетывал самолет сам Мазурук (3457,115).</w:t>
      </w:r>
    </w:p>
    <w:p w14:paraId="3B38F85F" w14:textId="77777777" w:rsidR="00090C9B" w:rsidRPr="00722885" w:rsidRDefault="00090C9B" w:rsidP="00722885">
      <w:pPr>
        <w:pStyle w:val="Iauiue"/>
        <w:jc w:val="both"/>
        <w:rPr>
          <w:color w:val="000000" w:themeColor="text1"/>
          <w:sz w:val="16"/>
          <w:szCs w:val="16"/>
        </w:rPr>
      </w:pPr>
    </w:p>
    <w:p w14:paraId="139D2D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года в 4-й и 40-й дальнеразведывательные полки поступили первые три самолета В-25. Впоследствии по несколько машин такого типа имели различные разведывательные полки и эскадрильи ВВС и морской авиации. Сочетание мощного оборонительного вооружения и прекрасного приборного оборудования "Митчелла" позволяло выполнять полеты и днем, и ночью. Использовались для ведения разведки и В-25 из частей АДД (3457,94).</w:t>
      </w:r>
    </w:p>
    <w:p w14:paraId="0FF3E547" w14:textId="77777777" w:rsidR="00090C9B" w:rsidRPr="00722885" w:rsidRDefault="00090C9B" w:rsidP="00722885">
      <w:pPr>
        <w:pStyle w:val="Iauiue"/>
        <w:jc w:val="both"/>
        <w:rPr>
          <w:color w:val="000000" w:themeColor="text1"/>
          <w:sz w:val="16"/>
          <w:szCs w:val="16"/>
        </w:rPr>
      </w:pPr>
    </w:p>
    <w:p w14:paraId="1AAF7E4E"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внештатная разведывательная эскадрилья на А-20В "Бостон" на ЧМФ приобрела официальный статус и номер - 29-я отдельная разведывательная эскадрилья, а в мае 1943 года ее развернули в полк - 30-й, в котором две эскадрильи летали на "Бостонах" (3457,106).</w:t>
      </w:r>
    </w:p>
    <w:p w14:paraId="598D41F0" w14:textId="77777777" w:rsidR="00090C9B" w:rsidRPr="00722885" w:rsidRDefault="00090C9B" w:rsidP="00722885">
      <w:pPr>
        <w:pStyle w:val="Iauiue"/>
        <w:jc w:val="both"/>
        <w:rPr>
          <w:color w:val="000000" w:themeColor="text1"/>
          <w:sz w:val="16"/>
          <w:szCs w:val="16"/>
        </w:rPr>
      </w:pPr>
    </w:p>
    <w:p w14:paraId="1B2778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согласно Дважды Герою Советского Союза гвардии майору М.П.Одинцову проводились действия штурмовиков "охотников" по мотоколоннам полка, базировавшегося на аэродроме Андриаполь в районе, расположенном юго-западнее г. Белый.</w:t>
      </w:r>
    </w:p>
    <w:p w14:paraId="544A21F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Противник, впустив наши танки в г. Белый, охватил его со всех сторон. В месте прорыва противник создал сильные клещи и прилагал все усилия для отсечения наших войск, прорвавшихся в глубь его обороны.</w:t>
      </w:r>
    </w:p>
    <w:p w14:paraId="3B066DF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флангах были созданы сильные группировки из пехоты и танков, которые почти отрезали наши войска. Из глубины, видимо, из Смоленска, противник спешно подбрасывал мотодивизию СС "Мертвая голова". Создавалась обстановка, явно неблагоприятная для нас.</w:t>
      </w:r>
    </w:p>
    <w:p w14:paraId="00B506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Наши войска, вклинившиеся глубоким и узким клином в оборону противника, у основания клина были сильно потеснены и испытывали острый недостаток в боеприпасах и горючем. Попытка расширить клин у его основания положительных результатов не дала. Таким образом с подходом резервов противник имел полную возможность отрезать наши войска.</w:t>
      </w:r>
    </w:p>
    <w:p w14:paraId="3BC0927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Погода на этом участке фронта стояла плохая. Постоянная низкая облачность, частые снегопады и обледенение не давали возможности пользоваться авиацией.</w:t>
      </w:r>
    </w:p>
    <w:p w14:paraId="65BECF4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Ввиду невозможности действовать группами, было приказано действовать парами охотников, а в случае надобности - одиночными экипажами.</w:t>
      </w:r>
    </w:p>
    <w:p w14:paraId="642358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день выполнения задания облачность была 10 баллов, высота 50-200 м с местными снегопадами. Видимость в снегопаде 500 м, вне его - 1,5-2 км.</w:t>
      </w:r>
    </w:p>
    <w:p w14:paraId="3AFA675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Одинцову было приказано: в составе пары с мл. лейтенантом Алеко просмотреть грунтовые дороги, идущие из городов Смоленск и Ярцево к г. Белый. Цель поиска: обнаружить на этих дорогах движение мотоколонн и техники противника. При обнаружении штурмовать, стараясь создать пробки на дорогах.</w:t>
      </w:r>
    </w:p>
    <w:p w14:paraId="335BB99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Боевая зарядка: бомб - 600 кг (2 ФАБ-100 с замедлением и набор мелких осколочных бомб), 8 PC-82, 300 снарядов ВЯ, 400 патронов ШКАС на каждый самолет.</w:t>
      </w:r>
    </w:p>
    <w:p w14:paraId="60EBC426"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Одинцов получил задание в 9.00 и проработал его с ведомым. Был принят следующий план полета: ведомый идет с той стороны, где он считает более удобным, но в случае необходимости выполняет указания Одинцова. Ввиду плохой погоды строй вытянуть в глубину (интервал 20 м, дистанция 50), так как он обеспечивает самолетам полную свободу действий. Основная ответственность за воздух была передана ведомому, а поиск цели и выбор цели Одинцов взял на себя.</w:t>
      </w:r>
    </w:p>
    <w:p w14:paraId="4FD0CE0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Предельное время полета с полным просмотром указанного района равнялось двум часам. Поэтому весь полет должен был протекать на экономичном режиме работы мотора.</w:t>
      </w:r>
    </w:p>
    <w:p w14:paraId="187CD5C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случае невозможности парного полета было условлено, что полет выполняется каждым экипажем самостоятельно.</w:t>
      </w:r>
    </w:p>
    <w:p w14:paraId="0822417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Атака колонны, если она будет найдена, поочередная, так как основной комплект бомб был мгновенного действия.</w:t>
      </w:r>
    </w:p>
    <w:p w14:paraId="253508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Ведущий атакует, ведомый обеспечивает выход из атаки. После выхода из атаки ведущего атакует ведомый, после чего все повторяется снова.</w:t>
      </w:r>
    </w:p>
    <w:p w14:paraId="7E9DAE4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Подготовка к полету заняла 50-60 мин., после чего Одинцов своей парой вылетел на задание.</w:t>
      </w:r>
    </w:p>
    <w:p w14:paraId="0232BAC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До линии фронта пришлось идти бреющим полетом. Пройдя один снегопад, который шел полосой в 20-30 км, уже на линии фронта вышли в район лучшей погоды, которая делала возможным поиск. Облака поднялись до 150-200 м и видимость улучшилась, что дало возможность просматривать до 3-5 км. Выйдя в район погоды лучший, чем предполагали, пришлось изменить боевой порядок и идти сомкнутым строем под нижней кромкой облачности.</w:t>
      </w:r>
    </w:p>
    <w:p w14:paraId="6F34ED29"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Просмотр района был начат с юга, с постепенным уходом на север (рис. 85).</w:t>
      </w:r>
    </w:p>
    <w:p w14:paraId="5C7B41E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Пересекая дороги с запада на восток вплоть до железной дороги Тупик -Ярцево, Одинцов обратил внимание на две из них, идущие к г. Белый, которые довольно резко выделялись из общей сети дорог своей накатанностью. Одна дорога шла от г. Ярцево, вторая - от Смоленска.</w:t>
      </w:r>
    </w:p>
    <w:p w14:paraId="7F9CC73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Одинцов сделал вывод, что противник подбрасывал войска по параллельным дорогам. Теперь задача заключалась в том, чтобы найти эти войска. Если они не дошли до места назначения, то сейчас должны быть на марше. Передав ведомому по радио дальнейшую цель полета, Одинцов снова вышел на место их первого пересечения и ломаным маршрутом пошел на север, имея осью маршрута эти две дороги, которые постепенно должны были сближаться. Вскоре я обнаружил в общей сложности 700 машин с пехотой и артиллерией. Увидев колонны на приличном расстоянии, Одинцов обошел их стороной и вышел к их голове, рассчитывая создать пробку впереди и этим задержать идущие сзади машины, так как глубокий снег делал невозможным объезд.</w:t>
      </w:r>
    </w:p>
    <w:p w14:paraId="3C94341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При выходе на цель ш были встречены огнем батареи МЗА, которая, видимо, постоянно охраняла этот участок дороги. Атаковав поочередно эту батарею, ш заставили ее замолчать, и в дальнейшем она не проявляла больше признаков жизни.</w:t>
      </w:r>
    </w:p>
    <w:p w14:paraId="1C9F5AC2"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 основную цель была выбрана голова колонны протяжением 200 м, на которую и был израсходован в основном весь боекомплект.</w:t>
      </w:r>
    </w:p>
    <w:p w14:paraId="2869766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Поочередными атаками с малым углом пикирования, PC, бомбами, пулеметным и пушечным огнем было уничтожено до 10-12 автомашин. Каждый экипаж сделал по 7 атак. Колонна не имела противовоздушной обороны, так как рассчитывала, что в такую погоду противодействия со стороны авиации не будет. Не встречая сопротивления с земли и воздуха, мы работали фактически, как в полигонных условиях.</w:t>
      </w:r>
    </w:p>
    <w:p w14:paraId="70EF400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Застопорив движение, ш обстреляли пехоту, которая в момент атак разбежалась и лежала в снегу по обеим сторонам дороги. Уйти от дороги она далеко не могла, так как снег был по пояс. Одетая в темные шинели, она ярко выделялась на снежном фоне. Можно было различить каждого солдата.</w:t>
      </w:r>
    </w:p>
    <w:p w14:paraId="25782FC0"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Оставив колонны на месте, ш без происшествий вышли на свою территорию и вернулись на свой аэродром.</w:t>
      </w:r>
    </w:p>
    <w:p w14:paraId="0ECC9F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После доклада о выполнении задания и дополнительного уточнения данных о колонне противника, обнаруженной в этом районе, командование дивизии направило на нее все усилия "охотников"-штурмовиков.</w:t>
      </w:r>
    </w:p>
    <w:p w14:paraId="5B00BE27"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результате действия последующих экипажей колонна была остановлена и потеряла много техники и, видимо, живой силы, так как появление этой части на фронте было обнаружено лишь через сутки, хотя находилась она в момент обнаружения в 15 км от линии фронта (3207).</w:t>
      </w:r>
    </w:p>
    <w:p w14:paraId="468BB4DC" w14:textId="77777777" w:rsidR="00090C9B" w:rsidRPr="00722885" w:rsidRDefault="00090C9B" w:rsidP="00722885">
      <w:pPr>
        <w:pStyle w:val="Iauiue"/>
        <w:jc w:val="both"/>
        <w:rPr>
          <w:color w:val="000000" w:themeColor="text1"/>
          <w:sz w:val="16"/>
          <w:szCs w:val="16"/>
        </w:rPr>
      </w:pPr>
    </w:p>
    <w:p w14:paraId="78A63BD4"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общевойсковая армия вместо смешанного авиаполка появился авиаполк легких самолетов для воздушной разведки и связи (2606,35).</w:t>
      </w:r>
    </w:p>
    <w:p w14:paraId="1C52210A" w14:textId="77777777" w:rsidR="00090C9B" w:rsidRPr="00722885" w:rsidRDefault="00090C9B" w:rsidP="00722885">
      <w:pPr>
        <w:pStyle w:val="Iauiue"/>
        <w:jc w:val="both"/>
        <w:rPr>
          <w:color w:val="000000" w:themeColor="text1"/>
          <w:sz w:val="16"/>
          <w:szCs w:val="16"/>
        </w:rPr>
      </w:pPr>
    </w:p>
    <w:p w14:paraId="15CA3B33"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ноябре 1942 г. североморцы получили английские торпедоносцы "Хэмпден" ТВ. I и получили возможность сравнить их с Ил-4. Импортные машины оказались тихоходнее и менее маневренны. Пополнившись новой техникой, организовали 24-й мтап из двух эскадрилий на "Хэмпденах" и одной на Ил-4. До конца года североморские торпедоносцы сбросили 20 торпед, но достигли всего шести попаданий (12021).</w:t>
      </w:r>
    </w:p>
    <w:p w14:paraId="0A4DE0B5"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68B236AD"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прекратила существование фронтовая авиация, которая состояла из частей и соединений авиации, действующей в соответствии с планами фронтов (2606,35).</w:t>
      </w:r>
    </w:p>
    <w:p w14:paraId="17E86A29" w14:textId="77777777" w:rsidR="00090C9B" w:rsidRPr="00722885" w:rsidRDefault="00090C9B" w:rsidP="00722885">
      <w:pPr>
        <w:pStyle w:val="Iauiue"/>
        <w:jc w:val="both"/>
        <w:rPr>
          <w:color w:val="000000" w:themeColor="text1"/>
          <w:sz w:val="16"/>
          <w:szCs w:val="16"/>
        </w:rPr>
      </w:pPr>
    </w:p>
    <w:p w14:paraId="4A3D5C2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года началось формирование зенитных артиллерийских дивизий резерва ВГК. В составе такой дивизии имелось четыре полка ПВО (всего 48 37-мм пушек и 80 ДШК) (3861).</w:t>
      </w:r>
    </w:p>
    <w:p w14:paraId="2F05BD15" w14:textId="77777777" w:rsidR="00090C9B" w:rsidRPr="00722885" w:rsidRDefault="00090C9B" w:rsidP="00722885">
      <w:pPr>
        <w:pStyle w:val="Iauiue"/>
        <w:jc w:val="both"/>
        <w:rPr>
          <w:color w:val="000000" w:themeColor="text1"/>
          <w:sz w:val="16"/>
          <w:szCs w:val="16"/>
        </w:rPr>
      </w:pPr>
    </w:p>
    <w:p w14:paraId="0A3391D8"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произошла коренная реорганизация системы ПВО и ввели должность командующего Войсками ПВО территории страны с правом зам. наркома обороны, создали Военный совет, штаб, управления истребительной авиации ПВО и командующего зенитной артиллерией. Отняли зенитные части и командующих войсками округов и фронтов. Четко разделили системы ПВО на войсковую и ПВО страны (359,186).</w:t>
      </w:r>
    </w:p>
    <w:p w14:paraId="776EBC52" w14:textId="77777777" w:rsidR="00090C9B" w:rsidRPr="00722885" w:rsidRDefault="00090C9B" w:rsidP="00722885">
      <w:pPr>
        <w:pStyle w:val="Iauiue"/>
        <w:jc w:val="both"/>
        <w:rPr>
          <w:color w:val="000000" w:themeColor="text1"/>
          <w:sz w:val="16"/>
          <w:szCs w:val="16"/>
        </w:rPr>
      </w:pPr>
    </w:p>
    <w:p w14:paraId="6E3B801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планеры использовались для доставки антифриза танковым войскам под Сталинград (94,35).</w:t>
      </w:r>
    </w:p>
    <w:p w14:paraId="7BAEA8C8" w14:textId="77777777" w:rsidR="00090C9B" w:rsidRPr="00722885" w:rsidRDefault="00090C9B" w:rsidP="00722885">
      <w:pPr>
        <w:pStyle w:val="Iauiue"/>
        <w:jc w:val="both"/>
        <w:rPr>
          <w:color w:val="000000" w:themeColor="text1"/>
          <w:sz w:val="16"/>
          <w:szCs w:val="16"/>
        </w:rPr>
      </w:pPr>
    </w:p>
    <w:p w14:paraId="768DEF2C"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 эскадрильи второй эскадры непосредственной поддержки войск Sch.G.2 имели примерно такой же состав боевых сил: на вооружении 4. (Pz.) /Sch.G.2 и 8. (Pz.)/Sch.G.2 стояли бронированные "хеншели", и остальных эскадрилий -штурмовые "фокке-вульфы".</w:t>
      </w:r>
    </w:p>
    <w:p w14:paraId="3E1D6831"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На вооружение эскадр пикирующих бомбардировщиков стали поступать "юнкерсы", приспособленные для нанесения бомбоштурмовых ударов с малых высот (9084).</w:t>
      </w:r>
    </w:p>
    <w:p w14:paraId="0932E75C" w14:textId="77777777" w:rsidR="00090C9B" w:rsidRPr="00722885" w:rsidRDefault="00090C9B" w:rsidP="00722885">
      <w:pPr>
        <w:pStyle w:val="Iauiue"/>
        <w:jc w:val="both"/>
        <w:rPr>
          <w:color w:val="000000" w:themeColor="text1"/>
          <w:sz w:val="16"/>
          <w:szCs w:val="16"/>
        </w:rPr>
      </w:pPr>
    </w:p>
    <w:p w14:paraId="00E279CF"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А.И.М. и А.Хрулев, начальник тыла КА в докладной на имя Сталина они сообщали: "Месячный лимит расхода водки по фронтам исходит из того расчета, что водку будут получать до 2.000.000 человек действующей армии, причем 3/4 из них будут получать по 100 грамм, а 1/4 по 50 грамм. Наличие на фронтах и забронированных запасов водки для фронта на складах НКО и прифронтовых водочных заводов составляет 5.945.000 литров... что равняется, примерно, месячной потребности... Месячная потребность водки будет сосредоточена на складах фронтов, армий и частей не позже 20 ноября, а на Сталинградском, Донском и Юго-Западном фронтах не позже 16 ноября. Просим для этой цели установить ежемесячный лимит расхода водки каждому фронту". Почин Микояна - Хрулева Сталин полностью поддержал (7859).</w:t>
      </w:r>
    </w:p>
    <w:p w14:paraId="0B67B552" w14:textId="77777777" w:rsidR="00090C9B" w:rsidRPr="00722885" w:rsidRDefault="00090C9B" w:rsidP="00722885">
      <w:pPr>
        <w:pStyle w:val="Iauiue"/>
        <w:jc w:val="both"/>
        <w:rPr>
          <w:color w:val="000000" w:themeColor="text1"/>
          <w:sz w:val="16"/>
          <w:szCs w:val="16"/>
        </w:rPr>
      </w:pPr>
    </w:p>
    <w:p w14:paraId="24A3CA55"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г. на ЛаГГе летчик 246-го ИАП П.М.Камозин завалил над Туапсе два Bf 109 и один Bf.110 (4707).</w:t>
      </w:r>
    </w:p>
    <w:p w14:paraId="3A95DF0E" w14:textId="77777777" w:rsidR="00090C9B" w:rsidRPr="00722885" w:rsidRDefault="00090C9B" w:rsidP="00722885">
      <w:pPr>
        <w:pStyle w:val="Iauiue"/>
        <w:jc w:val="both"/>
        <w:rPr>
          <w:color w:val="000000" w:themeColor="text1"/>
          <w:sz w:val="16"/>
          <w:szCs w:val="16"/>
        </w:rPr>
      </w:pPr>
    </w:p>
    <w:p w14:paraId="229AF8D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североморцы получили английские торпедоносцы «Хэмпден» ТВ и смогли сравнить их с Ил-4. Импортные машины оказались тихо</w:t>
      </w:r>
      <w:r w:rsidRPr="00722885">
        <w:rPr>
          <w:rFonts w:ascii="Times New Roman" w:hAnsi="Times New Roman"/>
          <w:color w:val="000000" w:themeColor="text1"/>
          <w:sz w:val="16"/>
          <w:szCs w:val="16"/>
        </w:rPr>
        <w:softHyphen/>
        <w:t>ходнее и менее маневренны. Пополнив</w:t>
      </w:r>
      <w:r w:rsidRPr="00722885">
        <w:rPr>
          <w:rFonts w:ascii="Times New Roman" w:hAnsi="Times New Roman"/>
          <w:color w:val="000000" w:themeColor="text1"/>
          <w:sz w:val="16"/>
          <w:szCs w:val="16"/>
        </w:rPr>
        <w:softHyphen/>
        <w:t>шись новой техникой, организовали 24-й мтап из двух эскадрилий на «Хэмпде-нах» и одной на Ил-4. До конца года се</w:t>
      </w:r>
      <w:r w:rsidRPr="00722885">
        <w:rPr>
          <w:rFonts w:ascii="Times New Roman" w:hAnsi="Times New Roman"/>
          <w:color w:val="000000" w:themeColor="text1"/>
          <w:sz w:val="16"/>
          <w:szCs w:val="16"/>
        </w:rPr>
        <w:softHyphen/>
        <w:t>вероморские торпедоносцы сбросили 20 торпед, но достигли всего шести по</w:t>
      </w:r>
      <w:r w:rsidRPr="00722885">
        <w:rPr>
          <w:rFonts w:ascii="Times New Roman" w:hAnsi="Times New Roman"/>
          <w:color w:val="000000" w:themeColor="text1"/>
          <w:sz w:val="16"/>
          <w:szCs w:val="16"/>
        </w:rPr>
        <w:softHyphen/>
        <w:t>паданий (10734,85).</w:t>
      </w:r>
    </w:p>
    <w:p w14:paraId="2E4801C1"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1B7819D0"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было принято решение, что все вопросы формирования, комплектования, подготов</w:t>
      </w:r>
      <w:r w:rsidRPr="00722885">
        <w:rPr>
          <w:rFonts w:ascii="Times New Roman" w:hAnsi="Times New Roman"/>
          <w:color w:val="000000" w:themeColor="text1"/>
          <w:sz w:val="16"/>
          <w:szCs w:val="16"/>
        </w:rPr>
        <w:softHyphen/>
        <w:t>ки кадров и использования частей самоходной артиллерии перейдут в ведение начальника артиллерии Красной Армии. Наиболее удобной в тактическом и организационном отно</w:t>
      </w:r>
      <w:r w:rsidRPr="00722885">
        <w:rPr>
          <w:rFonts w:ascii="Times New Roman" w:hAnsi="Times New Roman"/>
          <w:color w:val="000000" w:themeColor="text1"/>
          <w:sz w:val="16"/>
          <w:szCs w:val="16"/>
        </w:rPr>
        <w:softHyphen/>
        <w:t>шении была принята полковая организация, широко ис</w:t>
      </w:r>
      <w:r w:rsidRPr="00722885">
        <w:rPr>
          <w:rFonts w:ascii="Times New Roman" w:hAnsi="Times New Roman"/>
          <w:color w:val="000000" w:themeColor="text1"/>
          <w:sz w:val="16"/>
          <w:szCs w:val="16"/>
        </w:rPr>
        <w:softHyphen/>
        <w:t>пользовавшаяся в артиллерии. Но по подчинению все само-ходно-артиллерийские части должны были относиться к ча</w:t>
      </w:r>
      <w:r w:rsidRPr="00722885">
        <w:rPr>
          <w:rFonts w:ascii="Times New Roman" w:hAnsi="Times New Roman"/>
          <w:color w:val="000000" w:themeColor="text1"/>
          <w:sz w:val="16"/>
          <w:szCs w:val="16"/>
        </w:rPr>
        <w:softHyphen/>
        <w:t>стям Резерва Верховного Главнокомандования (РВГК) (11417).</w:t>
      </w:r>
    </w:p>
    <w:p w14:paraId="69830C17" w14:textId="77777777" w:rsidR="00090C9B" w:rsidRPr="00722885" w:rsidRDefault="00090C9B" w:rsidP="00722885">
      <w:pPr>
        <w:shd w:val="clear" w:color="auto" w:fill="FFFFFF"/>
        <w:spacing w:after="0" w:line="240" w:lineRule="auto"/>
        <w:jc w:val="both"/>
        <w:rPr>
          <w:rFonts w:ascii="Times New Roman" w:hAnsi="Times New Roman"/>
          <w:color w:val="000000" w:themeColor="text1"/>
          <w:sz w:val="16"/>
          <w:szCs w:val="16"/>
        </w:rPr>
      </w:pPr>
    </w:p>
    <w:p w14:paraId="6373ABC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Поступление в войска ультракоротковолновой радиостанции А-7 для организации и обеспечения связи и артиллерии. Установление классности для радиотелеграфистов. Поступление в войска радиостанций РБС «Север» линейного батарейного коммутатора ЛБК-19/14. Прекращение производства телефонных коммутаторов Р-20М и Р-60М. Применение на Ленинградском фронте одноканаль-ной аппаратуры ВЧ телефонирования (ОВЧТ) в звене «фронт—армия» (11072).</w:t>
      </w:r>
    </w:p>
    <w:p w14:paraId="679251A0"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735260E1"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3A5B9E4F" w14:textId="77777777" w:rsidR="00090C9B" w:rsidRPr="00722885" w:rsidRDefault="00090C9B" w:rsidP="00722885">
      <w:pPr>
        <w:pStyle w:val="Iauiue"/>
        <w:jc w:val="both"/>
        <w:rPr>
          <w:iCs/>
          <w:color w:val="000000" w:themeColor="text1"/>
          <w:sz w:val="16"/>
          <w:szCs w:val="16"/>
        </w:rPr>
      </w:pPr>
    </w:p>
    <w:p w14:paraId="67D51F3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г.Комиссия ЦК ВКП(б), проверяя бытовые условия рабочих на промышленных предприятиях Челябинска, отмечала, что на заводах очень развито воровство: “Воруют цветной металл, карбид, варят мыло, делают гребенки, зажигалки, посуду и спекулируют ими”. На заводах распространилось воровство продовольственных карточек у рабочих в цехах и общежитиях. В цехах Кировского завода в 1942 г. при входе в столовые торговали карточками. 100 г хлеба стоили 10 руб., талон на первое блюдо – 5 руб., второе – 10 руб. Возле самого завода с утра до вечера собиралось несколько сот человек и происходила торговля крадеными продовольственными карточками и различными материалами и вещами. Временами возникал протест против несправедливого распределения. Причиной возмущения и критических высказываний населения являлся не дефицит сам по себе, а неспособность властей в ряде мест организовать и гарантировать установленное “наверху” и бесперебойное распределение ограниченных товарных ресурсов. Основное содержание поступавших в ЦК ВКП(б) жалоб из Куйбышевской области от жен военнослужащих осенью 1941 г. сводилось к следующему: “ дров не дают для отопления избы ”, “ хлеба на трудодни не дают ”, “ военкомат не выдает авансом в счет аттестата пособие ”, “ нет ни обуви, ни материи ”, “ по два дня хлеба в магазины не привозят ”, “ в коммерческих магазинах за хлебом тысячные очереди ” и т.д. Аналогичные послания поступали из Башкирии: “ несколько месяцев не выдают сахар и керосин ”, “ военкомат снабжает дровами только семьи комсостава, а рядовым не дает ”, “ спекуляция на рынке очень большая - хлеб продают за 10 руб. буханка, масло 110 р. килограмм, молоко 7 руб. литр, яйца 20 руб. десяток, мясо 35 руб. килограмм ”. При всем развитии системы карточного распределения не следует преувеличивать регулирующую ее роль и воздействие на повседневную жизнь, сферу спроса и предложения. Для того, чтобы прокормиться, граждане до половины своих потребностей (против 20% накануне войны) покрывали за счет городского рынка. На внедеревенском, так называемом колхозном рынке, продавцами выступали не только колхозы и колхозники, но и работники совхозов, местные и приезжие горожане. Возрождалось “мешочничество” (11121).</w:t>
      </w:r>
    </w:p>
    <w:p w14:paraId="761BEECD"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8A51C8B"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правительственными наградами были награждены первые два священнослужители (2070,162).</w:t>
      </w:r>
    </w:p>
    <w:p w14:paraId="6144D3E4" w14:textId="77777777" w:rsidR="00090C9B" w:rsidRPr="00722885" w:rsidRDefault="00090C9B" w:rsidP="00722885">
      <w:pPr>
        <w:pStyle w:val="Iauiue"/>
        <w:jc w:val="both"/>
        <w:rPr>
          <w:color w:val="000000" w:themeColor="text1"/>
          <w:sz w:val="16"/>
          <w:szCs w:val="16"/>
        </w:rPr>
      </w:pPr>
    </w:p>
    <w:p w14:paraId="2881B20A" w14:textId="77777777" w:rsidR="00426705" w:rsidRPr="00722885" w:rsidRDefault="00426705"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1297E5CE" w14:textId="77777777" w:rsidR="00426705" w:rsidRPr="00722885" w:rsidRDefault="00426705" w:rsidP="00722885">
      <w:pPr>
        <w:pStyle w:val="Iauiue"/>
        <w:jc w:val="both"/>
        <w:rPr>
          <w:iCs/>
          <w:color w:val="000000" w:themeColor="text1"/>
          <w:sz w:val="16"/>
          <w:szCs w:val="16"/>
        </w:rPr>
      </w:pPr>
    </w:p>
    <w:p w14:paraId="6857BDD7" w14:textId="77777777" w:rsidR="00426705" w:rsidRPr="00722885" w:rsidRDefault="00426705" w:rsidP="00722885">
      <w:pPr>
        <w:pStyle w:val="ae"/>
        <w:spacing w:before="0" w:after="0"/>
        <w:jc w:val="both"/>
        <w:rPr>
          <w:color w:val="000000" w:themeColor="text1"/>
          <w:sz w:val="16"/>
          <w:szCs w:val="16"/>
          <w:shd w:val="clear" w:color="auto" w:fill="F0FFFF"/>
        </w:rPr>
      </w:pPr>
      <w:r w:rsidRPr="00722885">
        <w:rPr>
          <w:color w:val="000000" w:themeColor="text1"/>
          <w:sz w:val="16"/>
          <w:szCs w:val="16"/>
        </w:rPr>
        <w:t>В ноябре 1942 г. в Великобритании была создана репарационная комиссия под руководством Уильяма Малкина. К концу августа 1943 г. она подготовила первый официальный документ по этой теме. Автором ключевых идей был британский экономист Джон Мэйнард Кейнс (который еще в 1920-е гг. критически высказывался по вопросу репараций). По мнению комиссии, сразу после окончания войны с Германии не должны были взиматься слишком высокие репарации. Компенсация причиненного ущерба предусматривалась в трех формах: 1) в виде использования немецкой рабочей силы (с привлечением до 3 млн человек в течение трех лет); 2) за счет демонтажа части промышленного потенциала, прежде всего военного; 3) путем изъятия продукции из текущего производства в течение пяти лет. При этом точный размер германских репарационных обязательств не назывался (во внутренних документах фигурировала цифра в 4 млрд долларов США). Неудивительно, что споры относительно размеров репараций не прекращались (10850).</w:t>
      </w:r>
    </w:p>
    <w:p w14:paraId="091ACF2E" w14:textId="77777777" w:rsidR="00426705" w:rsidRPr="00722885" w:rsidRDefault="00426705" w:rsidP="00722885">
      <w:pPr>
        <w:pStyle w:val="ae"/>
        <w:spacing w:before="0" w:after="0"/>
        <w:jc w:val="both"/>
        <w:rPr>
          <w:color w:val="000000" w:themeColor="text1"/>
          <w:sz w:val="16"/>
          <w:szCs w:val="16"/>
          <w:shd w:val="clear" w:color="auto" w:fill="F0FFFF"/>
        </w:rPr>
      </w:pPr>
    </w:p>
    <w:p w14:paraId="648AC4AA"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AA7AD5D" w14:textId="77777777" w:rsidR="00090C9B" w:rsidRPr="00722885" w:rsidRDefault="00090C9B" w:rsidP="00722885">
      <w:pPr>
        <w:pStyle w:val="Iauiue"/>
        <w:jc w:val="both"/>
        <w:rPr>
          <w:iCs/>
          <w:color w:val="000000" w:themeColor="text1"/>
          <w:sz w:val="16"/>
          <w:szCs w:val="16"/>
        </w:rPr>
      </w:pPr>
    </w:p>
    <w:p w14:paraId="01B255DB" w14:textId="77777777" w:rsidR="002E1D0F" w:rsidRPr="00722885" w:rsidRDefault="002E1D0F"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Ноябрь 1942 года состоялся первый полет Kyushu K11W Shiragiku («Белая хризантема») (20793).</w:t>
      </w:r>
    </w:p>
    <w:p w14:paraId="31946BE1" w14:textId="77777777" w:rsidR="002E1D0F" w:rsidRPr="00722885" w:rsidRDefault="002E1D0F" w:rsidP="00722885">
      <w:pPr>
        <w:spacing w:after="0" w:line="240" w:lineRule="auto"/>
        <w:jc w:val="both"/>
        <w:rPr>
          <w:rFonts w:ascii="Times New Roman" w:hAnsi="Times New Roman"/>
          <w:color w:val="0070C0"/>
          <w:sz w:val="16"/>
          <w:szCs w:val="16"/>
        </w:rPr>
      </w:pPr>
    </w:p>
    <w:p w14:paraId="4DB28913" w14:textId="77777777" w:rsidR="00A3483C" w:rsidRPr="00722885" w:rsidRDefault="00A348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ноябре 1942 года Люфтваффе заключило с Брауном специальный контракт на продолжение работ по проекту "Wasserfall". Согласно ему ракеты передавались на испытания в центр ракетного оружия в Пенемюнде. Разработана в Германии Вернером фон Брауном в начале 1940-х и была предназначена для перехвата самолетов. Работы были начаты с использованием задела по проекту А-4 "Фау-2". Браун предложил уменьшить А-4 в два раза. Длина стального корпуса составили 7,92 м, максимальный размах стабидизаторов - 2.5 м. Обшивка изготавливалась из стальной жести толщиной от 0.5 до 0.8 мм. В качестве оперения на первых образцах установили трапецевидные крылья с небольшой стреловидностью по передней кромке. Одной из серьезных проблем, с которой столкнулись заработчики "Вассерфаля", оказалась силовая установка. Сложность заключалась в том, что высокую тягу при малом собственном весе могли обеспечить лишь двигатели, основанные на самовоспламеняющемся топливе. Можно было использовать твердое топливо, но его процесс горения не поддавался управлению. Оставалось применение в качестве топлива двух компонентов, смешение которых приводит к самовоспламенению. В качестве окислителя использовался состав "Сальбай" - 98% азотная кислота, который можно было хранить непосредственно в топливных баках зенитной ракеты. Масса окислителя составляла 1500 кг. В качестве горючего </w:t>
      </w:r>
      <w:r w:rsidRPr="00722885">
        <w:rPr>
          <w:rFonts w:ascii="Times New Roman" w:hAnsi="Times New Roman"/>
          <w:color w:val="000000" w:themeColor="text1"/>
          <w:sz w:val="16"/>
          <w:szCs w:val="16"/>
        </w:rPr>
        <w:lastRenderedPageBreak/>
        <w:t>применялся состав "Визоль" - винилизобутиловый спирт, массой 350-450 кг. Вместе с тем топливо оставалось высокагрессивным, несмотря на внутренее покрытие баков полимером, и время безопасного хранения ракет составляло несколько суток. Для облегчения конструкции немецкие инженеры отказались от насосов, применив вытеснительную систему, состоявшую из баллона с азотом, сжатым до 200 атм. Азот вытеснял окислитель и топливо из баков в камеру сгорания. При приведении ракеты в боевое положение подрывался пиропатрон, высвобождавший специальный поршень, который разрушал мембрану, разделяющую емкости с компонентами и сжатый азот. С этого момента ракета была готова к пуску, отложить который не представлялось возможным (15139).</w:t>
      </w:r>
    </w:p>
    <w:p w14:paraId="554171E5" w14:textId="77777777" w:rsidR="00A3483C" w:rsidRPr="00722885" w:rsidRDefault="00A3483C" w:rsidP="00722885">
      <w:pPr>
        <w:spacing w:after="0" w:line="240" w:lineRule="auto"/>
        <w:jc w:val="both"/>
        <w:rPr>
          <w:rFonts w:ascii="Times New Roman" w:hAnsi="Times New Roman"/>
          <w:color w:val="000000" w:themeColor="text1"/>
          <w:sz w:val="16"/>
          <w:szCs w:val="16"/>
        </w:rPr>
      </w:pPr>
    </w:p>
    <w:p w14:paraId="4ABB4FC8" w14:textId="77777777" w:rsidR="00A3483C" w:rsidRPr="00722885" w:rsidRDefault="00A3483C" w:rsidP="00722885">
      <w:pPr>
        <w:pStyle w:val="Iauiue"/>
        <w:jc w:val="both"/>
        <w:rPr>
          <w:color w:val="000000" w:themeColor="text1"/>
          <w:sz w:val="16"/>
          <w:szCs w:val="16"/>
        </w:rPr>
      </w:pPr>
      <w:r w:rsidRPr="00722885">
        <w:rPr>
          <w:color w:val="000000" w:themeColor="text1"/>
          <w:sz w:val="16"/>
          <w:szCs w:val="16"/>
        </w:rPr>
        <w:t>В ноябре 1942 8 основных производителей авиационной техники на западном побережье США: Boeing, Consolidated, Douglas, Locheed, North American, Northrop, Ryan, Vultee сформировали Aircraft War Production Council (AWPC) для обмена технологиями и капиталом. Фирмы начали поставлять друг-другу детали и компоненты (2886).</w:t>
      </w:r>
    </w:p>
    <w:p w14:paraId="0EF09396" w14:textId="77777777" w:rsidR="00A3483C" w:rsidRPr="00722885" w:rsidRDefault="00A3483C" w:rsidP="00722885">
      <w:pPr>
        <w:pStyle w:val="Iauiue"/>
        <w:jc w:val="both"/>
        <w:rPr>
          <w:color w:val="000000" w:themeColor="text1"/>
          <w:sz w:val="16"/>
          <w:szCs w:val="16"/>
        </w:rPr>
      </w:pPr>
    </w:p>
    <w:p w14:paraId="3E5A927F" w14:textId="77777777" w:rsidR="00A3483C" w:rsidRPr="00722885" w:rsidRDefault="00A348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г. Финляндия закупила в Герма</w:t>
      </w:r>
      <w:r w:rsidRPr="00722885">
        <w:rPr>
          <w:rFonts w:ascii="Times New Roman" w:hAnsi="Times New Roman"/>
          <w:color w:val="000000" w:themeColor="text1"/>
          <w:sz w:val="16"/>
          <w:szCs w:val="16"/>
        </w:rPr>
        <w:softHyphen/>
        <w:t>нии 11 захваченных немцами машин. Их сняли с воору</w:t>
      </w:r>
      <w:r w:rsidRPr="00722885">
        <w:rPr>
          <w:rFonts w:ascii="Times New Roman" w:hAnsi="Times New Roman"/>
          <w:color w:val="000000" w:themeColor="text1"/>
          <w:sz w:val="16"/>
          <w:szCs w:val="16"/>
        </w:rPr>
        <w:softHyphen/>
        <w:t>жения в 1944 г. (10667).</w:t>
      </w:r>
    </w:p>
    <w:p w14:paraId="33B2E409" w14:textId="77777777" w:rsidR="00A3483C" w:rsidRPr="00722885" w:rsidRDefault="00A3483C" w:rsidP="00722885">
      <w:pPr>
        <w:spacing w:after="0" w:line="240" w:lineRule="auto"/>
        <w:jc w:val="both"/>
        <w:rPr>
          <w:rFonts w:ascii="Times New Roman" w:hAnsi="Times New Roman"/>
          <w:color w:val="000000" w:themeColor="text1"/>
          <w:sz w:val="16"/>
          <w:szCs w:val="16"/>
        </w:rPr>
      </w:pPr>
    </w:p>
    <w:p w14:paraId="70E2F533" w14:textId="77777777" w:rsidR="00A3483C" w:rsidRPr="00722885" w:rsidRDefault="00A3483C" w:rsidP="00722885">
      <w:pPr>
        <w:pStyle w:val="Iauiue"/>
        <w:jc w:val="both"/>
        <w:rPr>
          <w:color w:val="000000" w:themeColor="text1"/>
          <w:sz w:val="16"/>
          <w:szCs w:val="16"/>
        </w:rPr>
      </w:pPr>
      <w:r w:rsidRPr="00722885">
        <w:rPr>
          <w:color w:val="000000" w:themeColor="text1"/>
          <w:sz w:val="16"/>
          <w:szCs w:val="16"/>
        </w:rPr>
        <w:t>В ноябре 1942 фирма МАН начала серийный выпуск танков Т-5 Пантера (355,9).</w:t>
      </w:r>
    </w:p>
    <w:p w14:paraId="4DE58DC1" w14:textId="77777777" w:rsidR="00A3483C" w:rsidRPr="00722885" w:rsidRDefault="00A3483C" w:rsidP="00722885">
      <w:pPr>
        <w:pStyle w:val="Iauiue"/>
        <w:jc w:val="both"/>
        <w:rPr>
          <w:color w:val="000000" w:themeColor="text1"/>
          <w:sz w:val="16"/>
          <w:szCs w:val="16"/>
        </w:rPr>
      </w:pPr>
    </w:p>
    <w:p w14:paraId="7A7BF210"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В ноябре 1942 года министр вооружений Третьего рейха А.Шпеер представил Гитлеру эскизы новой машины </w:t>
      </w:r>
      <w:r w:rsidRPr="00722885">
        <w:rPr>
          <w:rFonts w:ascii="Times New Roman" w:cs="Times New Roman"/>
          <w:color w:val="000000" w:themeColor="text1"/>
          <w:spacing w:val="0"/>
          <w:lang w:val="en-US"/>
        </w:rPr>
        <w:t>Sturmpanzer</w:t>
      </w:r>
      <w:r w:rsidRPr="00722885">
        <w:rPr>
          <w:rFonts w:ascii="Times New Roman" w:cs="Times New Roman"/>
          <w:color w:val="000000" w:themeColor="text1"/>
          <w:spacing w:val="0"/>
        </w:rPr>
        <w:t xml:space="preserve"> 43, к разработке которой приступила фирма </w:t>
      </w:r>
      <w:r w:rsidRPr="00722885">
        <w:rPr>
          <w:rFonts w:ascii="Times New Roman" w:cs="Times New Roman"/>
          <w:color w:val="000000" w:themeColor="text1"/>
          <w:spacing w:val="0"/>
          <w:lang w:val="en-US"/>
        </w:rPr>
        <w:t>Alkett</w:t>
      </w:r>
      <w:r w:rsidRPr="00722885">
        <w:rPr>
          <w:rFonts w:ascii="Times New Roman" w:cs="Times New Roman"/>
          <w:color w:val="000000" w:themeColor="text1"/>
          <w:spacing w:val="0"/>
        </w:rPr>
        <w:t xml:space="preserve">. На этот раз в основу конструкции было положено шасси среднего танка </w:t>
      </w:r>
      <w:r w:rsidRPr="00722885">
        <w:rPr>
          <w:rFonts w:ascii="Times New Roman" w:cs="Times New Roman"/>
          <w:color w:val="000000" w:themeColor="text1"/>
          <w:spacing w:val="0"/>
          <w:lang w:val="en-US"/>
        </w:rPr>
        <w:t>Pz</w:t>
      </w:r>
      <w:r w:rsidRPr="00722885">
        <w:rPr>
          <w:rFonts w:ascii="Times New Roman" w:cs="Times New Roman"/>
          <w:color w:val="000000" w:themeColor="text1"/>
          <w:spacing w:val="0"/>
        </w:rPr>
        <w:t>.</w:t>
      </w:r>
      <w:r w:rsidRPr="00722885">
        <w:rPr>
          <w:rFonts w:ascii="Times New Roman" w:cs="Times New Roman"/>
          <w:color w:val="000000" w:themeColor="text1"/>
          <w:spacing w:val="0"/>
          <w:lang w:val="en-US"/>
        </w:rPr>
        <w:t>IV</w:t>
      </w:r>
      <w:r w:rsidRPr="00722885">
        <w:rPr>
          <w:rFonts w:ascii="Times New Roman" w:cs="Times New Roman"/>
          <w:color w:val="000000" w:themeColor="text1"/>
          <w:spacing w:val="0"/>
        </w:rPr>
        <w:t>. Гитлер по</w:t>
      </w:r>
      <w:r w:rsidRPr="00722885">
        <w:rPr>
          <w:rFonts w:ascii="Times New Roman" w:cs="Times New Roman"/>
          <w:color w:val="000000" w:themeColor="text1"/>
          <w:spacing w:val="0"/>
        </w:rPr>
        <w:softHyphen/>
        <w:t>требовал в кратчайшие сроки изготовить 40 — 60 таких САУ, причем вооружен</w:t>
      </w:r>
      <w:r w:rsidRPr="00722885">
        <w:rPr>
          <w:rFonts w:ascii="Times New Roman" w:cs="Times New Roman"/>
          <w:color w:val="000000" w:themeColor="text1"/>
          <w:spacing w:val="0"/>
        </w:rPr>
        <w:softHyphen/>
        <w:t>ных усовершенствованным орудием с более мощным фугасным снарядом — бои в Сталинграде были в самом разга</w:t>
      </w:r>
      <w:r w:rsidRPr="00722885">
        <w:rPr>
          <w:rFonts w:ascii="Times New Roman" w:cs="Times New Roman"/>
          <w:color w:val="000000" w:themeColor="text1"/>
          <w:spacing w:val="0"/>
        </w:rPr>
        <w:softHyphen/>
        <w:t>ре. Поскольку мощности танковых заво</w:t>
      </w:r>
      <w:r w:rsidRPr="00722885">
        <w:rPr>
          <w:rFonts w:ascii="Times New Roman" w:cs="Times New Roman"/>
          <w:color w:val="000000" w:themeColor="text1"/>
          <w:spacing w:val="0"/>
        </w:rPr>
        <w:softHyphen/>
        <w:t>дов были загружены до предела и по</w:t>
      </w:r>
      <w:r w:rsidRPr="00722885">
        <w:rPr>
          <w:rFonts w:ascii="Times New Roman" w:cs="Times New Roman"/>
          <w:color w:val="000000" w:themeColor="text1"/>
          <w:spacing w:val="0"/>
        </w:rPr>
        <w:softHyphen/>
        <w:t>ступления вновь изготовленных шасси в больших количествах ожидать не прихо</w:t>
      </w:r>
      <w:r w:rsidRPr="00722885">
        <w:rPr>
          <w:rFonts w:ascii="Times New Roman" w:cs="Times New Roman"/>
          <w:color w:val="000000" w:themeColor="text1"/>
          <w:spacing w:val="0"/>
        </w:rPr>
        <w:softHyphen/>
        <w:t>дилось, для изготовления САУ решили использовать шасси боевых машин, прибывавших для капремонта. Что каса</w:t>
      </w:r>
      <w:r w:rsidRPr="00722885">
        <w:rPr>
          <w:rFonts w:ascii="Times New Roman" w:cs="Times New Roman"/>
          <w:color w:val="000000" w:themeColor="text1"/>
          <w:spacing w:val="0"/>
        </w:rPr>
        <w:softHyphen/>
        <w:t>ется нового орудия, то заказ на его раз</w:t>
      </w:r>
      <w:r w:rsidRPr="00722885">
        <w:rPr>
          <w:rFonts w:ascii="Times New Roman" w:cs="Times New Roman"/>
          <w:color w:val="000000" w:themeColor="text1"/>
          <w:spacing w:val="0"/>
        </w:rPr>
        <w:softHyphen/>
        <w:t xml:space="preserve">работку и изготовление получила фирма </w:t>
      </w:r>
      <w:r w:rsidRPr="00722885">
        <w:rPr>
          <w:rFonts w:ascii="Times New Roman" w:cs="Times New Roman"/>
          <w:color w:val="000000" w:themeColor="text1"/>
          <w:spacing w:val="0"/>
          <w:lang w:val="en-US"/>
        </w:rPr>
        <w:t>Skoda</w:t>
      </w:r>
      <w:r w:rsidRPr="00722885">
        <w:rPr>
          <w:rFonts w:ascii="Times New Roman" w:cs="Times New Roman"/>
          <w:color w:val="000000" w:themeColor="text1"/>
          <w:spacing w:val="0"/>
        </w:rPr>
        <w:t>.</w:t>
      </w:r>
    </w:p>
    <w:p w14:paraId="00023E90"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Баллистику нового орудия позаимство</w:t>
      </w:r>
      <w:r w:rsidRPr="00722885">
        <w:rPr>
          <w:rFonts w:ascii="Times New Roman" w:cs="Times New Roman"/>
          <w:color w:val="000000" w:themeColor="text1"/>
          <w:spacing w:val="0"/>
        </w:rPr>
        <w:softHyphen/>
        <w:t xml:space="preserve">вали у </w:t>
      </w:r>
      <w:r w:rsidRPr="00722885">
        <w:rPr>
          <w:rFonts w:ascii="Times New Roman" w:cs="Times New Roman"/>
          <w:color w:val="000000" w:themeColor="text1"/>
          <w:spacing w:val="0"/>
          <w:lang w:val="en-US"/>
        </w:rPr>
        <w:t>sIG</w:t>
      </w:r>
      <w:r w:rsidRPr="00722885">
        <w:rPr>
          <w:rFonts w:ascii="Times New Roman" w:cs="Times New Roman"/>
          <w:color w:val="000000" w:themeColor="text1"/>
          <w:spacing w:val="0"/>
        </w:rPr>
        <w:t xml:space="preserve"> 33. Заново были разработаны противооткатные устройства и маск-ус- тановка, что позволило уменьшить его габариты, массу и откат при сохранении всех прочих тактико-технических харак</w:t>
      </w:r>
      <w:r w:rsidRPr="00722885">
        <w:rPr>
          <w:rFonts w:ascii="Times New Roman" w:cs="Times New Roman"/>
          <w:color w:val="000000" w:themeColor="text1"/>
          <w:spacing w:val="0"/>
        </w:rPr>
        <w:softHyphen/>
        <w:t>теристик.</w:t>
      </w:r>
    </w:p>
    <w:p w14:paraId="7126B968"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Орудие получило обозначение 15 </w:t>
      </w:r>
      <w:r w:rsidRPr="00722885">
        <w:rPr>
          <w:rFonts w:ascii="Times New Roman" w:cs="Times New Roman"/>
          <w:color w:val="000000" w:themeColor="text1"/>
          <w:spacing w:val="0"/>
          <w:lang w:val="en-US"/>
        </w:rPr>
        <w:t>cmSturmhaubitze</w:t>
      </w:r>
      <w:r w:rsidRPr="00722885">
        <w:rPr>
          <w:rFonts w:ascii="Times New Roman" w:cs="Times New Roman"/>
          <w:color w:val="000000" w:themeColor="text1"/>
          <w:spacing w:val="0"/>
        </w:rPr>
        <w:t xml:space="preserve"> 43. Длина ствола составляла 1810 мм, масса орудия — 1850 кг. В бое</w:t>
      </w:r>
      <w:r w:rsidRPr="00722885">
        <w:rPr>
          <w:rFonts w:ascii="Times New Roman" w:cs="Times New Roman"/>
          <w:color w:val="000000" w:themeColor="text1"/>
          <w:spacing w:val="0"/>
        </w:rPr>
        <w:softHyphen/>
        <w:t>комплект входили выстрелы раздельного заряжания с осколочно-фугасными сна</w:t>
      </w:r>
      <w:r w:rsidRPr="00722885">
        <w:rPr>
          <w:rFonts w:ascii="Times New Roman" w:cs="Times New Roman"/>
          <w:color w:val="000000" w:themeColor="text1"/>
          <w:spacing w:val="0"/>
        </w:rPr>
        <w:softHyphen/>
        <w:t xml:space="preserve">рядами </w:t>
      </w:r>
      <w:r w:rsidRPr="00722885">
        <w:rPr>
          <w:rFonts w:ascii="Times New Roman" w:cs="Times New Roman"/>
          <w:color w:val="000000" w:themeColor="text1"/>
          <w:spacing w:val="0"/>
          <w:lang w:val="en-US"/>
        </w:rPr>
        <w:t>JGr</w:t>
      </w:r>
      <w:r w:rsidRPr="00722885">
        <w:rPr>
          <w:rFonts w:ascii="Times New Roman" w:cs="Times New Roman"/>
          <w:color w:val="000000" w:themeColor="text1"/>
          <w:spacing w:val="0"/>
        </w:rPr>
        <w:t xml:space="preserve"> 33 и </w:t>
      </w:r>
      <w:r w:rsidRPr="00722885">
        <w:rPr>
          <w:rFonts w:ascii="Times New Roman" w:cs="Times New Roman"/>
          <w:color w:val="000000" w:themeColor="text1"/>
          <w:spacing w:val="0"/>
          <w:lang w:val="en-US"/>
        </w:rPr>
        <w:t>JGr</w:t>
      </w:r>
      <w:r w:rsidRPr="00722885">
        <w:rPr>
          <w:rFonts w:ascii="Times New Roman" w:cs="Times New Roman"/>
          <w:color w:val="000000" w:themeColor="text1"/>
          <w:spacing w:val="0"/>
        </w:rPr>
        <w:t xml:space="preserve"> 38 массой 38 кг и начальной скоростью 240 м/с, а также с кумулятивными снарядами </w:t>
      </w:r>
      <w:r w:rsidRPr="00722885">
        <w:rPr>
          <w:rFonts w:ascii="Times New Roman" w:cs="Times New Roman"/>
          <w:color w:val="000000" w:themeColor="text1"/>
          <w:spacing w:val="0"/>
          <w:lang w:val="en-US"/>
        </w:rPr>
        <w:t>Gr</w:t>
      </w:r>
      <w:r w:rsidRPr="00722885">
        <w:rPr>
          <w:rFonts w:ascii="Times New Roman" w:cs="Times New Roman"/>
          <w:color w:val="000000" w:themeColor="text1"/>
          <w:spacing w:val="0"/>
        </w:rPr>
        <w:t xml:space="preserve"> 39 </w:t>
      </w:r>
      <w:r w:rsidRPr="00722885">
        <w:rPr>
          <w:rFonts w:ascii="Times New Roman" w:cs="Times New Roman"/>
          <w:color w:val="000000" w:themeColor="text1"/>
          <w:spacing w:val="0"/>
          <w:lang w:val="en-US"/>
        </w:rPr>
        <w:t>HI</w:t>
      </w:r>
      <w:r w:rsidRPr="00722885">
        <w:rPr>
          <w:rFonts w:ascii="Times New Roman" w:cs="Times New Roman"/>
          <w:color w:val="000000" w:themeColor="text1"/>
          <w:spacing w:val="0"/>
        </w:rPr>
        <w:t>/</w:t>
      </w:r>
      <w:r w:rsidRPr="00722885">
        <w:rPr>
          <w:rFonts w:ascii="Times New Roman" w:cs="Times New Roman"/>
          <w:color w:val="000000" w:themeColor="text1"/>
          <w:spacing w:val="0"/>
          <w:lang w:val="en-US"/>
        </w:rPr>
        <w:t>A</w:t>
      </w:r>
      <w:r w:rsidRPr="00722885">
        <w:rPr>
          <w:rFonts w:ascii="Times New Roman" w:cs="Times New Roman"/>
          <w:color w:val="000000" w:themeColor="text1"/>
          <w:spacing w:val="0"/>
        </w:rPr>
        <w:t xml:space="preserve"> массой 25 кг и начальной скоростью 280 м/с, пробивавшие 160-мм броню. Мак</w:t>
      </w:r>
      <w:r w:rsidRPr="00722885">
        <w:rPr>
          <w:rFonts w:ascii="Times New Roman" w:cs="Times New Roman"/>
          <w:color w:val="000000" w:themeColor="text1"/>
          <w:spacing w:val="0"/>
        </w:rPr>
        <w:softHyphen/>
        <w:t>симальная дальность стрельбы из штур</w:t>
      </w:r>
      <w:r w:rsidRPr="00722885">
        <w:rPr>
          <w:rFonts w:ascii="Times New Roman" w:cs="Times New Roman"/>
          <w:color w:val="000000" w:themeColor="text1"/>
          <w:spacing w:val="0"/>
        </w:rPr>
        <w:softHyphen/>
        <w:t>мовой гаубицы достигала 4300 м. За счет монтажа орудия в шаровой установке уг</w:t>
      </w:r>
      <w:r w:rsidRPr="00722885">
        <w:rPr>
          <w:rFonts w:ascii="Times New Roman" w:cs="Times New Roman"/>
          <w:color w:val="000000" w:themeColor="text1"/>
          <w:spacing w:val="0"/>
        </w:rPr>
        <w:softHyphen/>
        <w:t>лы горизонтального наведения составля</w:t>
      </w:r>
      <w:r w:rsidRPr="00722885">
        <w:rPr>
          <w:rFonts w:ascii="Times New Roman" w:cs="Times New Roman"/>
          <w:color w:val="000000" w:themeColor="text1"/>
          <w:spacing w:val="0"/>
        </w:rPr>
        <w:softHyphen/>
        <w:t>ли 18° на сторону, вертикального — от -8° до +30°.</w:t>
      </w:r>
    </w:p>
    <w:p w14:paraId="75A3B33B" w14:textId="77777777" w:rsidR="00A3483C" w:rsidRPr="00722885" w:rsidRDefault="00A348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Первые шесть орудий </w:t>
      </w:r>
      <w:r w:rsidRPr="00722885">
        <w:rPr>
          <w:rFonts w:ascii="Times New Roman" w:hAnsi="Times New Roman"/>
          <w:color w:val="000000" w:themeColor="text1"/>
          <w:sz w:val="16"/>
          <w:szCs w:val="16"/>
          <w:lang w:val="en-US"/>
        </w:rPr>
        <w:t>Skoda</w:t>
      </w:r>
      <w:r w:rsidRPr="00722885">
        <w:rPr>
          <w:rFonts w:ascii="Times New Roman" w:hAnsi="Times New Roman"/>
          <w:color w:val="000000" w:themeColor="text1"/>
          <w:sz w:val="16"/>
          <w:szCs w:val="16"/>
        </w:rPr>
        <w:t xml:space="preserve"> изготовила в марте, следующие 40 — в апреле и по</w:t>
      </w:r>
      <w:r w:rsidRPr="00722885">
        <w:rPr>
          <w:rFonts w:ascii="Times New Roman" w:hAnsi="Times New Roman"/>
          <w:color w:val="000000" w:themeColor="text1"/>
          <w:sz w:val="16"/>
          <w:szCs w:val="16"/>
        </w:rPr>
        <w:softHyphen/>
        <w:t>следние 14 — в мае. Соответственно, было выпущено и 60 САУ: 20 в апреле и 40 — в мае 1943 года. Для 52 из них использова</w:t>
      </w:r>
      <w:r w:rsidRPr="00722885">
        <w:rPr>
          <w:rFonts w:ascii="Times New Roman" w:hAnsi="Times New Roman"/>
          <w:color w:val="000000" w:themeColor="text1"/>
          <w:sz w:val="16"/>
          <w:szCs w:val="16"/>
        </w:rPr>
        <w:softHyphen/>
        <w:t xml:space="preserve">лись вновь изготовленные на заводе </w:t>
      </w:r>
      <w:r w:rsidRPr="00722885">
        <w:rPr>
          <w:rFonts w:ascii="Times New Roman" w:hAnsi="Times New Roman"/>
          <w:color w:val="000000" w:themeColor="text1"/>
          <w:sz w:val="16"/>
          <w:szCs w:val="16"/>
          <w:lang w:val="en-US"/>
        </w:rPr>
        <w:t>Nibelungenwerk</w:t>
      </w:r>
      <w:r w:rsidRPr="00722885">
        <w:rPr>
          <w:rFonts w:ascii="Times New Roman" w:hAnsi="Times New Roman"/>
          <w:color w:val="000000" w:themeColor="text1"/>
          <w:sz w:val="16"/>
          <w:szCs w:val="16"/>
        </w:rPr>
        <w:t xml:space="preserve"> шасси танка </w:t>
      </w:r>
      <w:r w:rsidRPr="00722885">
        <w:rPr>
          <w:rFonts w:ascii="Times New Roman" w:hAnsi="Times New Roman"/>
          <w:color w:val="000000" w:themeColor="text1"/>
          <w:sz w:val="16"/>
          <w:szCs w:val="16"/>
          <w:lang w:val="en-US"/>
        </w:rPr>
        <w:t>Pz</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IVAusf</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G</w:t>
      </w:r>
      <w:r w:rsidRPr="00722885">
        <w:rPr>
          <w:rFonts w:ascii="Times New Roman" w:hAnsi="Times New Roman"/>
          <w:color w:val="000000" w:themeColor="text1"/>
          <w:sz w:val="16"/>
          <w:szCs w:val="16"/>
        </w:rPr>
        <w:t>, для остальных — шасси посту</w:t>
      </w:r>
      <w:r w:rsidRPr="00722885">
        <w:rPr>
          <w:rFonts w:ascii="Times New Roman" w:hAnsi="Times New Roman"/>
          <w:color w:val="000000" w:themeColor="text1"/>
          <w:sz w:val="16"/>
          <w:szCs w:val="16"/>
        </w:rPr>
        <w:softHyphen/>
        <w:t xml:space="preserve">пивших в ремонт танков </w:t>
      </w:r>
      <w:r w:rsidRPr="00722885">
        <w:rPr>
          <w:rFonts w:ascii="Times New Roman" w:hAnsi="Times New Roman"/>
          <w:color w:val="000000" w:themeColor="text1"/>
          <w:sz w:val="16"/>
          <w:szCs w:val="16"/>
          <w:lang w:val="en-US"/>
        </w:rPr>
        <w:t>Pz</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IVAusf</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E</w:t>
      </w:r>
      <w:r w:rsidRPr="00722885">
        <w:rPr>
          <w:rFonts w:ascii="Times New Roman" w:hAnsi="Times New Roman"/>
          <w:color w:val="000000" w:themeColor="text1"/>
          <w:sz w:val="16"/>
          <w:szCs w:val="16"/>
        </w:rPr>
        <w:t xml:space="preserve"> и </w:t>
      </w:r>
      <w:r w:rsidRPr="00722885">
        <w:rPr>
          <w:rFonts w:ascii="Times New Roman" w:hAnsi="Times New Roman"/>
          <w:color w:val="000000" w:themeColor="text1"/>
          <w:sz w:val="16"/>
          <w:szCs w:val="16"/>
          <w:lang w:val="en-US"/>
        </w:rPr>
        <w:t>Ausf</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F</w:t>
      </w:r>
      <w:r w:rsidRPr="00722885">
        <w:rPr>
          <w:rFonts w:ascii="Times New Roman" w:hAnsi="Times New Roman"/>
          <w:color w:val="000000" w:themeColor="text1"/>
          <w:sz w:val="16"/>
          <w:szCs w:val="16"/>
        </w:rPr>
        <w:t xml:space="preserve">. Сборка самоходных установок, получивших официальное название </w:t>
      </w:r>
      <w:r w:rsidRPr="00722885">
        <w:rPr>
          <w:rFonts w:ascii="Times New Roman" w:hAnsi="Times New Roman"/>
          <w:color w:val="000000" w:themeColor="text1"/>
          <w:sz w:val="16"/>
          <w:szCs w:val="16"/>
          <w:lang w:val="en-US"/>
        </w:rPr>
        <w:t>Sturmpanzer</w:t>
      </w:r>
      <w:r w:rsidRPr="00722885">
        <w:rPr>
          <w:rFonts w:ascii="Times New Roman" w:hAnsi="Times New Roman"/>
          <w:color w:val="000000" w:themeColor="text1"/>
          <w:sz w:val="16"/>
          <w:szCs w:val="16"/>
        </w:rPr>
        <w:t xml:space="preserve"> IV, осуществлялась на ре</w:t>
      </w:r>
      <w:r w:rsidRPr="00722885">
        <w:rPr>
          <w:rFonts w:ascii="Times New Roman" w:hAnsi="Times New Roman"/>
          <w:color w:val="000000" w:themeColor="text1"/>
          <w:sz w:val="16"/>
          <w:szCs w:val="16"/>
        </w:rPr>
        <w:softHyphen/>
        <w:t>монтном заводе сухопутных войск в Вене</w:t>
      </w:r>
    </w:p>
    <w:p w14:paraId="241FCE27"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при участии фирм </w:t>
      </w:r>
      <w:r w:rsidRPr="00722885">
        <w:rPr>
          <w:rFonts w:ascii="Times New Roman" w:cs="Times New Roman"/>
          <w:color w:val="000000" w:themeColor="text1"/>
          <w:spacing w:val="0"/>
          <w:lang w:val="en-US"/>
        </w:rPr>
        <w:t>Saurer</w:t>
      </w:r>
      <w:r w:rsidRPr="00722885">
        <w:rPr>
          <w:rFonts w:ascii="Times New Roman" w:cs="Times New Roman"/>
          <w:color w:val="000000" w:themeColor="text1"/>
          <w:spacing w:val="0"/>
        </w:rPr>
        <w:t xml:space="preserve"> и </w:t>
      </w:r>
      <w:r w:rsidRPr="00722885">
        <w:rPr>
          <w:rFonts w:ascii="Times New Roman" w:cs="Times New Roman"/>
          <w:color w:val="000000" w:themeColor="text1"/>
          <w:spacing w:val="0"/>
          <w:lang w:val="en-US"/>
        </w:rPr>
        <w:t>Simmering</w:t>
      </w:r>
      <w:r w:rsidRPr="00722885">
        <w:rPr>
          <w:rFonts w:ascii="Times New Roman" w:cs="Times New Roman"/>
          <w:color w:val="000000" w:themeColor="text1"/>
          <w:spacing w:val="0"/>
        </w:rPr>
        <w:t xml:space="preserve">- </w:t>
      </w:r>
      <w:r w:rsidRPr="00722885">
        <w:rPr>
          <w:rFonts w:ascii="Times New Roman" w:cs="Times New Roman"/>
          <w:color w:val="000000" w:themeColor="text1"/>
          <w:spacing w:val="0"/>
          <w:lang w:val="en-US"/>
        </w:rPr>
        <w:t>Graz</w:t>
      </w:r>
      <w:r w:rsidRPr="00722885">
        <w:rPr>
          <w:rFonts w:ascii="Times New Roman" w:cs="Times New Roman"/>
          <w:color w:val="000000" w:themeColor="text1"/>
          <w:spacing w:val="0"/>
        </w:rPr>
        <w:t>-</w:t>
      </w:r>
      <w:r w:rsidRPr="00722885">
        <w:rPr>
          <w:rFonts w:ascii="Times New Roman" w:cs="Times New Roman"/>
          <w:color w:val="000000" w:themeColor="text1"/>
          <w:spacing w:val="0"/>
          <w:lang w:val="en-US"/>
        </w:rPr>
        <w:t>Pauker</w:t>
      </w:r>
      <w:r w:rsidRPr="00722885">
        <w:rPr>
          <w:rFonts w:ascii="Times New Roman" w:cs="Times New Roman"/>
          <w:color w:val="000000" w:themeColor="text1"/>
          <w:spacing w:val="0"/>
        </w:rPr>
        <w:t>. Впервые новая боевая ма</w:t>
      </w:r>
      <w:r w:rsidRPr="00722885">
        <w:rPr>
          <w:rFonts w:ascii="Times New Roman" w:cs="Times New Roman"/>
          <w:color w:val="000000" w:themeColor="text1"/>
          <w:spacing w:val="0"/>
        </w:rPr>
        <w:softHyphen/>
        <w:t xml:space="preserve">шина была продемонстрирована Гитлеру 15 мая 1943 года на полигоне </w:t>
      </w:r>
      <w:r w:rsidRPr="00722885">
        <w:rPr>
          <w:rFonts w:ascii="Times New Roman" w:cs="Times New Roman"/>
          <w:color w:val="000000" w:themeColor="text1"/>
          <w:spacing w:val="0"/>
          <w:lang w:val="en-US"/>
        </w:rPr>
        <w:t>Arys</w:t>
      </w:r>
      <w:r w:rsidRPr="00722885">
        <w:rPr>
          <w:rFonts w:ascii="Times New Roman" w:cs="Times New Roman"/>
          <w:color w:val="000000" w:themeColor="text1"/>
          <w:spacing w:val="0"/>
        </w:rPr>
        <w:t>. Гит</w:t>
      </w:r>
      <w:r w:rsidRPr="00722885">
        <w:rPr>
          <w:rFonts w:ascii="Times New Roman" w:cs="Times New Roman"/>
          <w:color w:val="000000" w:themeColor="text1"/>
          <w:spacing w:val="0"/>
        </w:rPr>
        <w:softHyphen/>
        <w:t>лер, кстати, настаивал на разработке штурмового танка, вооруженного еще более мощной артсистемой — мортирой калибра 210 или 220 мм. Но его пожела</w:t>
      </w:r>
      <w:r w:rsidRPr="00722885">
        <w:rPr>
          <w:rFonts w:ascii="Times New Roman" w:cs="Times New Roman"/>
          <w:color w:val="000000" w:themeColor="text1"/>
          <w:spacing w:val="0"/>
        </w:rPr>
        <w:softHyphen/>
        <w:t>ние не было выполнено.</w:t>
      </w:r>
    </w:p>
    <w:p w14:paraId="73348169"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Все </w:t>
      </w:r>
      <w:r w:rsidRPr="00722885">
        <w:rPr>
          <w:rFonts w:ascii="Times New Roman" w:cs="Times New Roman"/>
          <w:color w:val="000000" w:themeColor="text1"/>
          <w:spacing w:val="0"/>
          <w:lang w:val="en-US"/>
        </w:rPr>
        <w:t>Sturmpanzer</w:t>
      </w:r>
      <w:r w:rsidRPr="00722885">
        <w:rPr>
          <w:rFonts w:ascii="Times New Roman" w:cs="Times New Roman"/>
          <w:color w:val="000000" w:themeColor="text1"/>
          <w:spacing w:val="0"/>
        </w:rPr>
        <w:t xml:space="preserve"> IV имели полностью бронированную боевую рубку с располо</w:t>
      </w:r>
      <w:r w:rsidRPr="00722885">
        <w:rPr>
          <w:rFonts w:ascii="Times New Roman" w:cs="Times New Roman"/>
          <w:color w:val="000000" w:themeColor="text1"/>
          <w:spacing w:val="0"/>
        </w:rPr>
        <w:softHyphen/>
        <w:t>женным под большим углом наклона 100-мм лобовым листом. Боевая масса машины достигла 28,2 т (против 23,5 т у базового танка).</w:t>
      </w:r>
    </w:p>
    <w:p w14:paraId="405591C8"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На штурмовом танке были установле</w:t>
      </w:r>
      <w:r w:rsidRPr="00722885">
        <w:rPr>
          <w:rFonts w:ascii="Times New Roman" w:cs="Times New Roman"/>
          <w:color w:val="000000" w:themeColor="text1"/>
          <w:spacing w:val="0"/>
        </w:rPr>
        <w:softHyphen/>
        <w:t xml:space="preserve">ны двигатель </w:t>
      </w:r>
      <w:r w:rsidRPr="00722885">
        <w:rPr>
          <w:rFonts w:ascii="Times New Roman" w:cs="Times New Roman"/>
          <w:color w:val="000000" w:themeColor="text1"/>
          <w:spacing w:val="0"/>
          <w:lang w:val="en-US"/>
        </w:rPr>
        <w:t>MaybachHL</w:t>
      </w:r>
      <w:r w:rsidRPr="00722885">
        <w:rPr>
          <w:rFonts w:ascii="Times New Roman" w:cs="Times New Roman"/>
          <w:color w:val="000000" w:themeColor="text1"/>
          <w:spacing w:val="0"/>
        </w:rPr>
        <w:t xml:space="preserve"> 120</w:t>
      </w:r>
      <w:r w:rsidRPr="00722885">
        <w:rPr>
          <w:rFonts w:ascii="Times New Roman" w:cs="Times New Roman"/>
          <w:color w:val="000000" w:themeColor="text1"/>
          <w:spacing w:val="0"/>
          <w:lang w:val="en-US"/>
        </w:rPr>
        <w:t>TRM</w:t>
      </w:r>
      <w:r w:rsidRPr="00722885">
        <w:rPr>
          <w:rFonts w:ascii="Times New Roman" w:cs="Times New Roman"/>
          <w:color w:val="000000" w:themeColor="text1"/>
          <w:spacing w:val="0"/>
        </w:rPr>
        <w:t xml:space="preserve"> и трансмиссия, состоявшая из карданной передачи, трехдискового главного фрик</w:t>
      </w:r>
      <w:r w:rsidRPr="00722885">
        <w:rPr>
          <w:rFonts w:ascii="Times New Roman" w:cs="Times New Roman"/>
          <w:color w:val="000000" w:themeColor="text1"/>
          <w:spacing w:val="0"/>
        </w:rPr>
        <w:softHyphen/>
        <w:t>циона сухого трения, коробки передач, планетарного механизма поворота, бор</w:t>
      </w:r>
      <w:r w:rsidRPr="00722885">
        <w:rPr>
          <w:rFonts w:ascii="Times New Roman" w:cs="Times New Roman"/>
          <w:color w:val="000000" w:themeColor="text1"/>
          <w:spacing w:val="0"/>
        </w:rPr>
        <w:softHyphen/>
        <w:t>товых передач и тормозов.</w:t>
      </w:r>
    </w:p>
    <w:p w14:paraId="2DC66A38"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Ходовая часть штурмового танка была аналогична таковой у линейного танка и применительно к одному борту состояла из восьми сдвоенных обрезиненных опор</w:t>
      </w:r>
      <w:r w:rsidRPr="00722885">
        <w:rPr>
          <w:rFonts w:ascii="Times New Roman" w:cs="Times New Roman"/>
          <w:color w:val="000000" w:themeColor="text1"/>
          <w:spacing w:val="0"/>
        </w:rPr>
        <w:softHyphen/>
        <w:t>ных катков диаметром 470 мм, сблокиро</w:t>
      </w:r>
      <w:r w:rsidRPr="00722885">
        <w:rPr>
          <w:rFonts w:ascii="Times New Roman" w:cs="Times New Roman"/>
          <w:color w:val="000000" w:themeColor="text1"/>
          <w:spacing w:val="0"/>
        </w:rPr>
        <w:softHyphen/>
        <w:t>ванных попарно в четыре балансирные тележки, подвешенные на четвертьэллип- тических листовых рессорах; четырех сдвоенных обрезиненных поддерживаю</w:t>
      </w:r>
      <w:r w:rsidRPr="00722885">
        <w:rPr>
          <w:rFonts w:ascii="Times New Roman" w:cs="Times New Roman"/>
          <w:color w:val="000000" w:themeColor="text1"/>
          <w:spacing w:val="0"/>
        </w:rPr>
        <w:softHyphen/>
        <w:t>щих катков.</w:t>
      </w:r>
    </w:p>
    <w:p w14:paraId="2FE5A18A"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Несмотря на некоторую перегрузку хо</w:t>
      </w:r>
      <w:r w:rsidRPr="00722885">
        <w:rPr>
          <w:rFonts w:ascii="Times New Roman" w:cs="Times New Roman"/>
          <w:color w:val="000000" w:themeColor="text1"/>
          <w:spacing w:val="0"/>
        </w:rPr>
        <w:softHyphen/>
        <w:t>довой части и силовой установки, макси</w:t>
      </w:r>
      <w:r w:rsidRPr="00722885">
        <w:rPr>
          <w:rFonts w:ascii="Times New Roman" w:cs="Times New Roman"/>
          <w:color w:val="000000" w:themeColor="text1"/>
          <w:spacing w:val="0"/>
        </w:rPr>
        <w:softHyphen/>
        <w:t>мальная скорость машины составляла 40 км/ч, а запас хода — 180 км.</w:t>
      </w:r>
    </w:p>
    <w:p w14:paraId="1772F1A5"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Боевое крещение штурмпанцеры полу</w:t>
      </w:r>
      <w:r w:rsidRPr="00722885">
        <w:rPr>
          <w:rFonts w:ascii="Times New Roman" w:cs="Times New Roman"/>
          <w:color w:val="000000" w:themeColor="text1"/>
          <w:spacing w:val="0"/>
        </w:rPr>
        <w:softHyphen/>
        <w:t>чили на Восточном фронте в ходе опера</w:t>
      </w:r>
      <w:r w:rsidRPr="00722885">
        <w:rPr>
          <w:rFonts w:ascii="Times New Roman" w:cs="Times New Roman"/>
          <w:color w:val="000000" w:themeColor="text1"/>
          <w:spacing w:val="0"/>
        </w:rPr>
        <w:softHyphen/>
        <w:t>ции «Цитадель» летом 1943 года. Они до</w:t>
      </w:r>
      <w:r w:rsidRPr="00722885">
        <w:rPr>
          <w:rFonts w:ascii="Times New Roman" w:cs="Times New Roman"/>
          <w:color w:val="000000" w:themeColor="text1"/>
          <w:spacing w:val="0"/>
        </w:rPr>
        <w:softHyphen/>
        <w:t>статочно эффективно применялись для уничтожения фортификационных соору</w:t>
      </w:r>
      <w:r w:rsidRPr="00722885">
        <w:rPr>
          <w:rFonts w:ascii="Times New Roman" w:cs="Times New Roman"/>
          <w:color w:val="000000" w:themeColor="text1"/>
          <w:spacing w:val="0"/>
        </w:rPr>
        <w:softHyphen/>
        <w:t>жений при прорыве линии обороны со</w:t>
      </w:r>
      <w:r w:rsidRPr="00722885">
        <w:rPr>
          <w:rFonts w:ascii="Times New Roman" w:cs="Times New Roman"/>
          <w:color w:val="000000" w:themeColor="text1"/>
          <w:spacing w:val="0"/>
        </w:rPr>
        <w:softHyphen/>
        <w:t>ветских войск. Поэтому было принято решение о возобновлении их производ</w:t>
      </w:r>
      <w:r w:rsidRPr="00722885">
        <w:rPr>
          <w:rFonts w:ascii="Times New Roman" w:cs="Times New Roman"/>
          <w:color w:val="000000" w:themeColor="text1"/>
          <w:spacing w:val="0"/>
        </w:rPr>
        <w:softHyphen/>
        <w:t>ства с темпом сборки 20 машин в месяц.</w:t>
      </w:r>
    </w:p>
    <w:p w14:paraId="2FACF77F" w14:textId="77777777" w:rsidR="00A3483C" w:rsidRPr="00722885" w:rsidRDefault="00A348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САУ вновь начался в декабре 1943 года. В качестве базы использова</w:t>
      </w:r>
      <w:r w:rsidRPr="00722885">
        <w:rPr>
          <w:rFonts w:ascii="Times New Roman" w:hAnsi="Times New Roman"/>
          <w:color w:val="000000" w:themeColor="text1"/>
          <w:sz w:val="16"/>
          <w:szCs w:val="16"/>
        </w:rPr>
        <w:softHyphen/>
        <w:t xml:space="preserve">лось шасси среднего танка </w:t>
      </w:r>
      <w:r w:rsidRPr="00722885">
        <w:rPr>
          <w:rFonts w:ascii="Times New Roman" w:hAnsi="Times New Roman"/>
          <w:color w:val="000000" w:themeColor="text1"/>
          <w:sz w:val="16"/>
          <w:szCs w:val="16"/>
          <w:lang w:val="en-US"/>
        </w:rPr>
        <w:t>Pz</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IV</w:t>
      </w:r>
      <w:r w:rsidRPr="00722885">
        <w:rPr>
          <w:rFonts w:ascii="Times New Roman" w:hAnsi="Times New Roman"/>
          <w:color w:val="000000" w:themeColor="text1"/>
          <w:sz w:val="16"/>
          <w:szCs w:val="16"/>
        </w:rPr>
        <w:t xml:space="preserve"> моди</w:t>
      </w:r>
      <w:r w:rsidRPr="00722885">
        <w:rPr>
          <w:rFonts w:ascii="Times New Roman" w:hAnsi="Times New Roman"/>
          <w:color w:val="000000" w:themeColor="text1"/>
          <w:sz w:val="16"/>
          <w:szCs w:val="16"/>
        </w:rPr>
        <w:softHyphen/>
        <w:t>фикации Н. В конструкцию и форму рубки были внесены незначительные из</w:t>
      </w:r>
      <w:r w:rsidRPr="00722885">
        <w:rPr>
          <w:rFonts w:ascii="Times New Roman" w:hAnsi="Times New Roman"/>
          <w:color w:val="000000" w:themeColor="text1"/>
          <w:sz w:val="16"/>
          <w:szCs w:val="16"/>
        </w:rPr>
        <w:softHyphen/>
        <w:t>менения. В частности, в увеличенной ру- бочке механика-водителя был ликвиди</w:t>
      </w:r>
      <w:r w:rsidRPr="00722885">
        <w:rPr>
          <w:rFonts w:ascii="Times New Roman" w:hAnsi="Times New Roman"/>
          <w:color w:val="000000" w:themeColor="text1"/>
          <w:sz w:val="16"/>
          <w:szCs w:val="16"/>
        </w:rPr>
        <w:softHyphen/>
        <w:t xml:space="preserve">рован заимствованный у танка «Тигр» прибор наблюдения </w:t>
      </w:r>
      <w:r w:rsidRPr="00722885">
        <w:rPr>
          <w:rFonts w:ascii="Times New Roman" w:hAnsi="Times New Roman"/>
          <w:color w:val="000000" w:themeColor="text1"/>
          <w:sz w:val="16"/>
          <w:szCs w:val="16"/>
          <w:lang w:val="en-US"/>
        </w:rPr>
        <w:t>Fahrersehklappe</w:t>
      </w:r>
      <w:r w:rsidRPr="00722885">
        <w:rPr>
          <w:rFonts w:ascii="Times New Roman" w:hAnsi="Times New Roman"/>
          <w:color w:val="000000" w:themeColor="text1"/>
          <w:sz w:val="16"/>
          <w:szCs w:val="16"/>
        </w:rPr>
        <w:t xml:space="preserve"> 80, а вместо него смонтирован перископ. Кро</w:t>
      </w:r>
      <w:r w:rsidRPr="00722885">
        <w:rPr>
          <w:rFonts w:ascii="Times New Roman" w:hAnsi="Times New Roman"/>
          <w:color w:val="000000" w:themeColor="text1"/>
          <w:sz w:val="16"/>
          <w:szCs w:val="16"/>
        </w:rPr>
        <w:softHyphen/>
        <w:t xml:space="preserve">ме того, с февраля 1944 года на боевых машинах начали устанавливать орудие 15 </w:t>
      </w:r>
      <w:r w:rsidRPr="00722885">
        <w:rPr>
          <w:rFonts w:ascii="Times New Roman" w:hAnsi="Times New Roman"/>
          <w:color w:val="000000" w:themeColor="text1"/>
          <w:sz w:val="16"/>
          <w:szCs w:val="16"/>
          <w:lang w:val="en-US"/>
        </w:rPr>
        <w:t>cmSturmhaubitze</w:t>
      </w:r>
      <w:r w:rsidRPr="00722885">
        <w:rPr>
          <w:rFonts w:ascii="Times New Roman" w:hAnsi="Times New Roman"/>
          <w:color w:val="000000" w:themeColor="text1"/>
          <w:sz w:val="16"/>
          <w:szCs w:val="16"/>
        </w:rPr>
        <w:t xml:space="preserve"> 43/1 с удлиненным броневым кожухом ствола. Увеличилось число и расположение вентиляторов и люков на крыше рубки. Всего было вы</w:t>
      </w:r>
      <w:r w:rsidRPr="00722885">
        <w:rPr>
          <w:rFonts w:ascii="Times New Roman" w:hAnsi="Times New Roman"/>
          <w:color w:val="000000" w:themeColor="text1"/>
          <w:sz w:val="16"/>
          <w:szCs w:val="16"/>
        </w:rPr>
        <w:softHyphen/>
        <w:t xml:space="preserve">пущено 73 </w:t>
      </w:r>
      <w:r w:rsidRPr="00722885">
        <w:rPr>
          <w:rFonts w:ascii="Times New Roman" w:hAnsi="Times New Roman"/>
          <w:color w:val="000000" w:themeColor="text1"/>
          <w:sz w:val="16"/>
          <w:szCs w:val="16"/>
          <w:lang w:val="en-US"/>
        </w:rPr>
        <w:t>Sturmpanzer</w:t>
      </w:r>
      <w:r w:rsidRPr="00722885">
        <w:rPr>
          <w:rFonts w:ascii="Times New Roman" w:hAnsi="Times New Roman"/>
          <w:color w:val="000000" w:themeColor="text1"/>
          <w:sz w:val="16"/>
          <w:szCs w:val="16"/>
        </w:rPr>
        <w:t xml:space="preserve"> IV так называемой средней, серии. Кстати, в 1944 году боевая машина получила нео</w:t>
      </w:r>
      <w:r w:rsidRPr="00722885">
        <w:rPr>
          <w:rFonts w:ascii="Times New Roman" w:hAnsi="Times New Roman"/>
          <w:color w:val="000000" w:themeColor="text1"/>
          <w:sz w:val="16"/>
          <w:szCs w:val="16"/>
        </w:rPr>
        <w:softHyphen/>
        <w:t xml:space="preserve">фициальное название </w:t>
      </w:r>
      <w:r w:rsidRPr="00722885">
        <w:rPr>
          <w:rFonts w:ascii="Times New Roman" w:hAnsi="Times New Roman"/>
          <w:color w:val="000000" w:themeColor="text1"/>
          <w:sz w:val="16"/>
          <w:szCs w:val="16"/>
          <w:lang w:val="en-US"/>
        </w:rPr>
        <w:t>Brummbar</w:t>
      </w:r>
      <w:r w:rsidRPr="00722885">
        <w:rPr>
          <w:rFonts w:ascii="Times New Roman" w:hAnsi="Times New Roman"/>
          <w:color w:val="000000" w:themeColor="text1"/>
          <w:sz w:val="16"/>
          <w:szCs w:val="16"/>
        </w:rPr>
        <w:t xml:space="preserve"> («Бруммбер» — «Гризли»), под которым известна значительно больше, чем под своим официальным обозначением (15232).</w:t>
      </w:r>
    </w:p>
    <w:p w14:paraId="199F9197" w14:textId="77777777" w:rsidR="00A3483C" w:rsidRPr="00722885" w:rsidRDefault="00A3483C" w:rsidP="00722885">
      <w:pPr>
        <w:spacing w:after="0" w:line="240" w:lineRule="auto"/>
        <w:jc w:val="both"/>
        <w:rPr>
          <w:rFonts w:ascii="Times New Roman" w:hAnsi="Times New Roman"/>
          <w:color w:val="000000" w:themeColor="text1"/>
          <w:sz w:val="16"/>
          <w:szCs w:val="16"/>
        </w:rPr>
      </w:pPr>
    </w:p>
    <w:p w14:paraId="19A10827" w14:textId="77777777" w:rsidR="00A3483C" w:rsidRPr="00722885" w:rsidRDefault="00A348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1942 в США появились большие «атомные» города: Ок-Ридж (вырабатывался уран-235), Хэнфорд (вырабатывался плутоний) и Лос-Аламос, в лабораториях которого решались проблемы собственно атомной бомбы (конструкции, расчета критической массы, способов взрыва). Главой Лос-Аламосской научной лаборатории назначен Р.Оппенгеймер. – А-Бомба. – С.37–38 (11321).</w:t>
      </w:r>
    </w:p>
    <w:p w14:paraId="51C27FC8" w14:textId="77777777" w:rsidR="00A3483C" w:rsidRPr="00722885" w:rsidRDefault="00A3483C" w:rsidP="00722885">
      <w:pPr>
        <w:spacing w:after="0" w:line="240" w:lineRule="auto"/>
        <w:jc w:val="both"/>
        <w:rPr>
          <w:rFonts w:ascii="Times New Roman" w:hAnsi="Times New Roman"/>
          <w:color w:val="000000" w:themeColor="text1"/>
          <w:sz w:val="16"/>
          <w:szCs w:val="16"/>
        </w:rPr>
      </w:pPr>
    </w:p>
    <w:p w14:paraId="2DACFDAA" w14:textId="77777777" w:rsidR="00090C9B" w:rsidRPr="00722885" w:rsidRDefault="00090C9B" w:rsidP="00722885">
      <w:pPr>
        <w:pStyle w:val="Iauiue"/>
        <w:jc w:val="both"/>
        <w:rPr>
          <w:color w:val="000000" w:themeColor="text1"/>
          <w:sz w:val="16"/>
          <w:szCs w:val="16"/>
        </w:rPr>
      </w:pPr>
      <w:r w:rsidRPr="00722885">
        <w:rPr>
          <w:color w:val="000000" w:themeColor="text1"/>
          <w:sz w:val="16"/>
          <w:szCs w:val="16"/>
        </w:rPr>
        <w:t>В ноябре 1942 началось формирование Народно-освободительной армии Югославии (512,295).</w:t>
      </w:r>
    </w:p>
    <w:p w14:paraId="608C2CB6" w14:textId="77777777" w:rsidR="00090C9B" w:rsidRPr="00722885" w:rsidRDefault="00090C9B" w:rsidP="00722885">
      <w:pPr>
        <w:pStyle w:val="Iauiue"/>
        <w:jc w:val="both"/>
        <w:rPr>
          <w:color w:val="000000" w:themeColor="text1"/>
          <w:sz w:val="16"/>
          <w:szCs w:val="16"/>
        </w:rPr>
      </w:pPr>
    </w:p>
    <w:p w14:paraId="7C9C26AB"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D846530" w14:textId="77777777" w:rsidR="00090C9B" w:rsidRPr="00722885" w:rsidRDefault="00090C9B" w:rsidP="00722885">
      <w:pPr>
        <w:pStyle w:val="Iauiue"/>
        <w:jc w:val="both"/>
        <w:rPr>
          <w:iCs/>
          <w:color w:val="000000" w:themeColor="text1"/>
          <w:sz w:val="16"/>
          <w:szCs w:val="16"/>
        </w:rPr>
      </w:pPr>
    </w:p>
    <w:p w14:paraId="553FAB51" w14:textId="77777777" w:rsidR="000D4AE1" w:rsidRPr="00722885" w:rsidRDefault="000D4AE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С ноября 1942 г. по январь 1943 г. в НИИ ВВС и на НИП АВ ВВС проходили контрольные испытания серийные двухместные Ил-2 АМ- 38 зав. №1140, 4833 и 4933 производства за</w:t>
      </w:r>
      <w:r w:rsidRPr="00722885">
        <w:rPr>
          <w:rFonts w:ascii="Times New Roman" w:hAnsi="Times New Roman" w:cs="Times New Roman"/>
          <w:color w:val="0070C0"/>
          <w:w w:val="100"/>
          <w:sz w:val="16"/>
          <w:szCs w:val="16"/>
        </w:rPr>
        <w:softHyphen/>
        <w:t>водов №30, 18 и 1 соответственно.</w:t>
      </w:r>
    </w:p>
    <w:p w14:paraId="069C29AE" w14:textId="77777777" w:rsidR="000D4AE1" w:rsidRPr="00722885" w:rsidRDefault="000D4AE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В отличие от двухместного Ил-2 (№30887) завода №30, предъявленные самолеты имели ряд изменений. Кабину стрелка немного рас</w:t>
      </w:r>
      <w:r w:rsidRPr="00722885">
        <w:rPr>
          <w:rFonts w:ascii="Times New Roman" w:hAnsi="Times New Roman" w:cs="Times New Roman"/>
          <w:color w:val="0070C0"/>
          <w:w w:val="100"/>
          <w:sz w:val="16"/>
          <w:szCs w:val="16"/>
        </w:rPr>
        <w:softHyphen/>
        <w:t>ширили, что позволило перенести стрелковую установку на 100 м ближе к хвосту. Стрелку стало работать легче. Обрезали боковины фонаря кабины стрелка, что увеличило углы обстрела влево и вправо на 7°. На каретке установили усиленные точеные ролики без подшипников. Передний кронштейн патрон</w:t>
      </w:r>
      <w:r w:rsidRPr="00722885">
        <w:rPr>
          <w:rFonts w:ascii="Times New Roman" w:hAnsi="Times New Roman" w:cs="Times New Roman"/>
          <w:color w:val="0070C0"/>
          <w:w w:val="100"/>
          <w:sz w:val="16"/>
          <w:szCs w:val="16"/>
        </w:rPr>
        <w:softHyphen/>
        <w:t>ного ящика сделали более прочным.</w:t>
      </w:r>
    </w:p>
    <w:p w14:paraId="2FF7B73A" w14:textId="77777777" w:rsidR="000D4AE1" w:rsidRPr="00722885" w:rsidRDefault="000D4AE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Отмечалось, что откидной фонарь кабины стрелка имел</w:t>
      </w:r>
      <w:r w:rsidRPr="00722885">
        <w:rPr>
          <w:rStyle w:val="800"/>
          <w:rFonts w:ascii="Times New Roman" w:hAnsi="Times New Roman" w:cs="Times New Roman"/>
          <w:i w:val="0"/>
          <w:iCs w:val="0"/>
          <w:color w:val="0070C0"/>
          <w:w w:val="100"/>
          <w:sz w:val="16"/>
          <w:szCs w:val="16"/>
        </w:rPr>
        <w:t xml:space="preserve"> «большой перекос и закрывать его можно только с помощью второго чело</w:t>
      </w:r>
      <w:r w:rsidRPr="00722885">
        <w:rPr>
          <w:rStyle w:val="800"/>
          <w:rFonts w:ascii="Times New Roman" w:hAnsi="Times New Roman" w:cs="Times New Roman"/>
          <w:i w:val="0"/>
          <w:iCs w:val="0"/>
          <w:color w:val="0070C0"/>
          <w:w w:val="100"/>
          <w:sz w:val="16"/>
          <w:szCs w:val="16"/>
        </w:rPr>
        <w:softHyphen/>
        <w:t>века».</w:t>
      </w:r>
      <w:r w:rsidRPr="00722885">
        <w:rPr>
          <w:rFonts w:ascii="Times New Roman" w:hAnsi="Times New Roman" w:cs="Times New Roman"/>
          <w:color w:val="0070C0"/>
          <w:w w:val="100"/>
          <w:sz w:val="16"/>
          <w:szCs w:val="16"/>
        </w:rPr>
        <w:t xml:space="preserve"> Доступ для проверки усилителя СПУ-2ф и передатчика радиостанции осуществлялся только через бронеперегородку стрелка, для чего приходилось снимать патронный ящик, а это было затруднительно.</w:t>
      </w:r>
    </w:p>
    <w:p w14:paraId="4D3CFCB1" w14:textId="77777777" w:rsidR="000D4AE1" w:rsidRPr="00722885" w:rsidRDefault="000D4AE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По мнению штурмана-испытателя ка</w:t>
      </w:r>
      <w:r w:rsidRPr="00722885">
        <w:rPr>
          <w:rFonts w:ascii="Times New Roman" w:hAnsi="Times New Roman" w:cs="Times New Roman"/>
          <w:color w:val="0070C0"/>
          <w:w w:val="100"/>
          <w:sz w:val="16"/>
          <w:szCs w:val="16"/>
        </w:rPr>
        <w:softHyphen/>
        <w:t>питана Т.Ф. Горбунова, смещение установки ВУБ-3 ближе к хвосту положительно сказалось на прицельной стрельбе из пулемета УБТ и по</w:t>
      </w:r>
      <w:r w:rsidRPr="00722885">
        <w:rPr>
          <w:rFonts w:ascii="Times New Roman" w:hAnsi="Times New Roman" w:cs="Times New Roman"/>
          <w:color w:val="0070C0"/>
          <w:w w:val="100"/>
          <w:sz w:val="16"/>
          <w:szCs w:val="16"/>
        </w:rPr>
        <w:softHyphen/>
        <w:t>зволяло</w:t>
      </w:r>
      <w:r w:rsidRPr="00722885">
        <w:rPr>
          <w:rStyle w:val="800"/>
          <w:rFonts w:ascii="Times New Roman" w:hAnsi="Times New Roman" w:cs="Times New Roman"/>
          <w:i w:val="0"/>
          <w:iCs w:val="0"/>
          <w:color w:val="0070C0"/>
          <w:w w:val="100"/>
          <w:sz w:val="16"/>
          <w:szCs w:val="16"/>
        </w:rPr>
        <w:t xml:space="preserve"> «вести огонь, как стоя, так и с колена</w:t>
      </w:r>
      <w:r w:rsidRPr="00722885">
        <w:rPr>
          <w:rFonts w:ascii="Times New Roman" w:hAnsi="Times New Roman" w:cs="Times New Roman"/>
          <w:color w:val="0070C0"/>
          <w:w w:val="100"/>
          <w:sz w:val="16"/>
          <w:szCs w:val="16"/>
        </w:rPr>
        <w:t xml:space="preserve"> </w:t>
      </w:r>
      <w:r w:rsidRPr="00722885">
        <w:rPr>
          <w:rStyle w:val="800"/>
          <w:rFonts w:ascii="Times New Roman" w:hAnsi="Times New Roman" w:cs="Times New Roman"/>
          <w:i w:val="0"/>
          <w:iCs w:val="0"/>
          <w:color w:val="0070C0"/>
          <w:w w:val="100"/>
          <w:sz w:val="16"/>
          <w:szCs w:val="16"/>
        </w:rPr>
        <w:t>(при положительных углах обстрела)».</w:t>
      </w:r>
      <w:r w:rsidRPr="00722885">
        <w:rPr>
          <w:rFonts w:ascii="Times New Roman" w:hAnsi="Times New Roman" w:cs="Times New Roman"/>
          <w:color w:val="0070C0"/>
          <w:w w:val="100"/>
          <w:sz w:val="16"/>
          <w:szCs w:val="16"/>
        </w:rPr>
        <w:t xml:space="preserve"> Несмо</w:t>
      </w:r>
      <w:r w:rsidRPr="00722885">
        <w:rPr>
          <w:rFonts w:ascii="Times New Roman" w:hAnsi="Times New Roman" w:cs="Times New Roman"/>
          <w:color w:val="0070C0"/>
          <w:w w:val="100"/>
          <w:sz w:val="16"/>
          <w:szCs w:val="16"/>
        </w:rPr>
        <w:softHyphen/>
        <w:t>тря на некоторое увеличение горизонтальных углов поворота установки, зона прицельной стрельбы оценивалась все же как недостаточ</w:t>
      </w:r>
      <w:r w:rsidRPr="00722885">
        <w:rPr>
          <w:rFonts w:ascii="Times New Roman" w:hAnsi="Times New Roman" w:cs="Times New Roman"/>
          <w:color w:val="0070C0"/>
          <w:w w:val="100"/>
          <w:sz w:val="16"/>
          <w:szCs w:val="16"/>
        </w:rPr>
        <w:softHyphen/>
        <w:t>ная и не отвечающая условиям воздушного боя. К тому же, из-за неудовлетворительного производственного исполнения фактические углы обстрела были меньше на 1-5°, чем в ут</w:t>
      </w:r>
      <w:r w:rsidRPr="00722885">
        <w:rPr>
          <w:rFonts w:ascii="Times New Roman" w:hAnsi="Times New Roman" w:cs="Times New Roman"/>
          <w:color w:val="0070C0"/>
          <w:w w:val="100"/>
          <w:sz w:val="16"/>
          <w:szCs w:val="16"/>
        </w:rPr>
        <w:softHyphen/>
        <w:t>вержденных чертежах.</w:t>
      </w:r>
    </w:p>
    <w:p w14:paraId="37B6FD39" w14:textId="77777777" w:rsidR="000D4AE1" w:rsidRPr="00722885" w:rsidRDefault="000D4AE1"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Замена роликов с впрессованными под</w:t>
      </w:r>
      <w:r w:rsidRPr="00722885">
        <w:rPr>
          <w:rFonts w:ascii="Times New Roman" w:hAnsi="Times New Roman"/>
          <w:color w:val="0070C0"/>
          <w:sz w:val="16"/>
          <w:szCs w:val="16"/>
        </w:rPr>
        <w:softHyphen/>
        <w:t>шипниками на точечные без подшипников в каретке задней пулеметной установки УБТ не только не улучшила, но даже ухудшила манев</w:t>
      </w:r>
      <w:r w:rsidRPr="00722885">
        <w:rPr>
          <w:rFonts w:ascii="Times New Roman" w:hAnsi="Times New Roman"/>
          <w:color w:val="0070C0"/>
          <w:sz w:val="16"/>
          <w:szCs w:val="16"/>
        </w:rPr>
        <w:softHyphen/>
        <w:t>ренность установки из-за повышенного тре</w:t>
      </w:r>
      <w:r w:rsidRPr="00722885">
        <w:rPr>
          <w:rFonts w:ascii="Times New Roman" w:hAnsi="Times New Roman"/>
          <w:color w:val="0070C0"/>
          <w:sz w:val="16"/>
          <w:szCs w:val="16"/>
        </w:rPr>
        <w:softHyphen/>
        <w:t>ния. Более того, после 10-14 посадок каретка под весом патронного ящика перекашивалась, увеличивая трение. При переброске полно</w:t>
      </w:r>
      <w:r w:rsidRPr="00722885">
        <w:rPr>
          <w:rFonts w:ascii="Times New Roman" w:hAnsi="Times New Roman"/>
          <w:color w:val="0070C0"/>
          <w:sz w:val="16"/>
          <w:szCs w:val="16"/>
        </w:rPr>
        <w:softHyphen/>
        <w:t>стью снаряженного пулемета с одного борта на другой приходилось прикладывать зна</w:t>
      </w:r>
      <w:r w:rsidRPr="00722885">
        <w:rPr>
          <w:rFonts w:ascii="Times New Roman" w:hAnsi="Times New Roman"/>
          <w:color w:val="0070C0"/>
          <w:sz w:val="16"/>
          <w:szCs w:val="16"/>
        </w:rPr>
        <w:softHyphen/>
        <w:t>чительные усилия: слева направо - 25-40 кг, справа налево - 25-30 кг.</w:t>
      </w:r>
    </w:p>
    <w:p w14:paraId="021D5545" w14:textId="77777777" w:rsidR="000D4AE1" w:rsidRPr="00722885" w:rsidRDefault="000D4AE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Отсутствие реостата накала для подсвета прицела К-8Т исключало</w:t>
      </w:r>
      <w:r w:rsidRPr="00722885">
        <w:rPr>
          <w:rStyle w:val="800"/>
          <w:rFonts w:ascii="Times New Roman" w:hAnsi="Times New Roman" w:cs="Times New Roman"/>
          <w:i w:val="0"/>
          <w:iCs w:val="0"/>
          <w:color w:val="0070C0"/>
          <w:w w:val="100"/>
          <w:sz w:val="16"/>
          <w:szCs w:val="16"/>
        </w:rPr>
        <w:t xml:space="preserve"> «возможность поль</w:t>
      </w:r>
      <w:r w:rsidRPr="00722885">
        <w:rPr>
          <w:rStyle w:val="800"/>
          <w:rFonts w:ascii="Times New Roman" w:hAnsi="Times New Roman" w:cs="Times New Roman"/>
          <w:i w:val="0"/>
          <w:iCs w:val="0"/>
          <w:color w:val="0070C0"/>
          <w:w w:val="100"/>
          <w:sz w:val="16"/>
          <w:szCs w:val="16"/>
        </w:rPr>
        <w:softHyphen/>
        <w:t>зования им при стрельбе в ночных условиях, так как сильный накал на сетку прицела осле</w:t>
      </w:r>
      <w:r w:rsidRPr="00722885">
        <w:rPr>
          <w:rStyle w:val="800"/>
          <w:rFonts w:ascii="Times New Roman" w:hAnsi="Times New Roman" w:cs="Times New Roman"/>
          <w:i w:val="0"/>
          <w:iCs w:val="0"/>
          <w:color w:val="0070C0"/>
          <w:w w:val="100"/>
          <w:sz w:val="16"/>
          <w:szCs w:val="16"/>
        </w:rPr>
        <w:softHyphen/>
        <w:t>пляет стрелка».</w:t>
      </w:r>
      <w:r w:rsidRPr="00722885">
        <w:rPr>
          <w:rFonts w:ascii="Times New Roman" w:hAnsi="Times New Roman" w:cs="Times New Roman"/>
          <w:color w:val="0070C0"/>
          <w:w w:val="100"/>
          <w:sz w:val="16"/>
          <w:szCs w:val="16"/>
        </w:rPr>
        <w:t xml:space="preserve"> Отмечалось, что от сильной тряски при стрельбе разрывалась нить накала лампочки.</w:t>
      </w:r>
    </w:p>
    <w:p w14:paraId="3A5CD836" w14:textId="77777777" w:rsidR="000D4AE1" w:rsidRPr="00722885" w:rsidRDefault="000D4AE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Мешок для улавливания стреляных гильз и звеньев оказался недостаточной емкости и подлежал замене после 70-80 выстрелов. Кроме того,</w:t>
      </w:r>
      <w:r w:rsidRPr="00722885">
        <w:rPr>
          <w:rStyle w:val="800"/>
          <w:rFonts w:ascii="Times New Roman" w:hAnsi="Times New Roman" w:cs="Times New Roman"/>
          <w:i w:val="0"/>
          <w:iCs w:val="0"/>
          <w:color w:val="0070C0"/>
          <w:w w:val="100"/>
          <w:sz w:val="16"/>
          <w:szCs w:val="16"/>
        </w:rPr>
        <w:t xml:space="preserve"> «при наполнении мешка ограничи</w:t>
      </w:r>
      <w:r w:rsidRPr="00722885">
        <w:rPr>
          <w:rStyle w:val="800"/>
          <w:rFonts w:ascii="Times New Roman" w:hAnsi="Times New Roman" w:cs="Times New Roman"/>
          <w:i w:val="0"/>
          <w:iCs w:val="0"/>
          <w:color w:val="0070C0"/>
          <w:w w:val="100"/>
          <w:sz w:val="16"/>
          <w:szCs w:val="16"/>
        </w:rPr>
        <w:softHyphen/>
        <w:t>вается положительный угол обстрела, так как мешок упирается в патронный ящик».</w:t>
      </w:r>
      <w:r w:rsidRPr="00722885">
        <w:rPr>
          <w:rFonts w:ascii="Times New Roman" w:hAnsi="Times New Roman" w:cs="Times New Roman"/>
          <w:color w:val="0070C0"/>
          <w:w w:val="100"/>
          <w:sz w:val="16"/>
          <w:szCs w:val="16"/>
        </w:rPr>
        <w:t xml:space="preserve"> Снятие мешка увеличивало до 120° углы обстрела вверх и облегчало маневр установкой. Пред</w:t>
      </w:r>
      <w:r w:rsidRPr="00722885">
        <w:rPr>
          <w:rFonts w:ascii="Times New Roman" w:hAnsi="Times New Roman" w:cs="Times New Roman"/>
          <w:color w:val="0070C0"/>
          <w:w w:val="100"/>
          <w:sz w:val="16"/>
          <w:szCs w:val="16"/>
        </w:rPr>
        <w:softHyphen/>
        <w:t>лагалось</w:t>
      </w:r>
      <w:r w:rsidRPr="00722885">
        <w:rPr>
          <w:rStyle w:val="800"/>
          <w:rFonts w:ascii="Times New Roman" w:hAnsi="Times New Roman" w:cs="Times New Roman"/>
          <w:i w:val="0"/>
          <w:iCs w:val="0"/>
          <w:color w:val="0070C0"/>
          <w:w w:val="100"/>
          <w:sz w:val="16"/>
          <w:szCs w:val="16"/>
        </w:rPr>
        <w:t xml:space="preserve"> «сделать рукав, собирающий гильзы и звенья, длиной до пола кабины»</w:t>
      </w:r>
      <w:r w:rsidRPr="00722885">
        <w:rPr>
          <w:rFonts w:ascii="Times New Roman" w:hAnsi="Times New Roman" w:cs="Times New Roman"/>
          <w:color w:val="0070C0"/>
          <w:w w:val="100"/>
          <w:sz w:val="16"/>
          <w:szCs w:val="16"/>
        </w:rPr>
        <w:t xml:space="preserve"> или убрать ме</w:t>
      </w:r>
      <w:r w:rsidRPr="00722885">
        <w:rPr>
          <w:rFonts w:ascii="Times New Roman" w:hAnsi="Times New Roman" w:cs="Times New Roman"/>
          <w:color w:val="0070C0"/>
          <w:w w:val="100"/>
          <w:sz w:val="16"/>
          <w:szCs w:val="16"/>
        </w:rPr>
        <w:softHyphen/>
        <w:t>шок,</w:t>
      </w:r>
      <w:r w:rsidRPr="00722885">
        <w:rPr>
          <w:rStyle w:val="800"/>
          <w:rFonts w:ascii="Times New Roman" w:hAnsi="Times New Roman" w:cs="Times New Roman"/>
          <w:i w:val="0"/>
          <w:iCs w:val="0"/>
          <w:color w:val="0070C0"/>
          <w:w w:val="100"/>
          <w:sz w:val="16"/>
          <w:szCs w:val="16"/>
        </w:rPr>
        <w:t xml:space="preserve"> исключив возможность попадания гильз и звеньев в хвостовую часть фюзеляжа.</w:t>
      </w:r>
      <w:r w:rsidRPr="00722885">
        <w:rPr>
          <w:rFonts w:ascii="Times New Roman" w:hAnsi="Times New Roman" w:cs="Times New Roman"/>
          <w:color w:val="0070C0"/>
          <w:w w:val="100"/>
          <w:sz w:val="16"/>
          <w:szCs w:val="16"/>
        </w:rPr>
        <w:t xml:space="preserve"> В этом случае звенья и гильзы оставались в кабине стрелка на полу.</w:t>
      </w:r>
    </w:p>
    <w:p w14:paraId="16DF668A" w14:textId="77777777" w:rsidR="000D4AE1" w:rsidRPr="00722885" w:rsidRDefault="000D4AE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Надежность ВУБ-3, как и прежде, остава</w:t>
      </w:r>
      <w:r w:rsidRPr="00722885">
        <w:rPr>
          <w:rFonts w:ascii="Times New Roman" w:hAnsi="Times New Roman" w:cs="Times New Roman"/>
          <w:color w:val="0070C0"/>
          <w:w w:val="100"/>
          <w:sz w:val="16"/>
          <w:szCs w:val="16"/>
        </w:rPr>
        <w:softHyphen/>
        <w:t>лась неудовлетворительной. В ходе стрельб из пулемета УБТ имели место в среднем 2,32% задержек, что считалось очень большим. На</w:t>
      </w:r>
      <w:r w:rsidRPr="00722885">
        <w:rPr>
          <w:rFonts w:ascii="Times New Roman" w:hAnsi="Times New Roman" w:cs="Times New Roman"/>
          <w:color w:val="0070C0"/>
          <w:w w:val="100"/>
          <w:sz w:val="16"/>
          <w:szCs w:val="16"/>
        </w:rPr>
        <w:softHyphen/>
        <w:t>иболее частыми из них были</w:t>
      </w:r>
      <w:r w:rsidRPr="00722885">
        <w:rPr>
          <w:rStyle w:val="800"/>
          <w:rFonts w:ascii="Times New Roman" w:hAnsi="Times New Roman" w:cs="Times New Roman"/>
          <w:i w:val="0"/>
          <w:iCs w:val="0"/>
          <w:color w:val="0070C0"/>
          <w:w w:val="100"/>
          <w:sz w:val="16"/>
          <w:szCs w:val="16"/>
        </w:rPr>
        <w:t xml:space="preserve"> «заклинения ленты в рукаве при больших положительных углах»,</w:t>
      </w:r>
      <w:r w:rsidRPr="00722885">
        <w:rPr>
          <w:rFonts w:ascii="Times New Roman" w:hAnsi="Times New Roman" w:cs="Times New Roman"/>
          <w:color w:val="0070C0"/>
          <w:w w:val="100"/>
          <w:sz w:val="16"/>
          <w:szCs w:val="16"/>
        </w:rPr>
        <w:t xml:space="preserve"> выпадение ленты из приемника, обрыв звена и неотражение гильзы.</w:t>
      </w:r>
    </w:p>
    <w:p w14:paraId="136D7B3A" w14:textId="77777777" w:rsidR="000D4AE1" w:rsidRPr="00722885" w:rsidRDefault="000D4AE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После 800-900 выстрелов каретка уста</w:t>
      </w:r>
      <w:r w:rsidRPr="00722885">
        <w:rPr>
          <w:rFonts w:ascii="Times New Roman" w:hAnsi="Times New Roman" w:cs="Times New Roman"/>
          <w:color w:val="0070C0"/>
          <w:w w:val="100"/>
          <w:sz w:val="16"/>
          <w:szCs w:val="16"/>
        </w:rPr>
        <w:softHyphen/>
        <w:t>новки расшатывалась, появлялись большие люфты относительно полукольца, ломались зу</w:t>
      </w:r>
      <w:r w:rsidRPr="00722885">
        <w:rPr>
          <w:rFonts w:ascii="Times New Roman" w:hAnsi="Times New Roman" w:cs="Times New Roman"/>
          <w:color w:val="0070C0"/>
          <w:w w:val="100"/>
          <w:sz w:val="16"/>
          <w:szCs w:val="16"/>
        </w:rPr>
        <w:softHyphen/>
        <w:t>бья неподвижного полукольца</w:t>
      </w:r>
      <w:r w:rsidRPr="00722885">
        <w:rPr>
          <w:rStyle w:val="800"/>
          <w:rFonts w:ascii="Times New Roman" w:hAnsi="Times New Roman" w:cs="Times New Roman"/>
          <w:i w:val="0"/>
          <w:iCs w:val="0"/>
          <w:color w:val="0070C0"/>
          <w:w w:val="100"/>
          <w:sz w:val="16"/>
          <w:szCs w:val="16"/>
        </w:rPr>
        <w:t xml:space="preserve"> {«при стрельбе на некоторый угол от направления радиуса полукольца»).</w:t>
      </w:r>
      <w:r w:rsidRPr="00722885">
        <w:rPr>
          <w:rFonts w:ascii="Times New Roman" w:hAnsi="Times New Roman" w:cs="Times New Roman"/>
          <w:color w:val="0070C0"/>
          <w:w w:val="100"/>
          <w:sz w:val="16"/>
          <w:szCs w:val="16"/>
        </w:rPr>
        <w:t xml:space="preserve"> Как следствие, возникали пере</w:t>
      </w:r>
      <w:r w:rsidRPr="00722885">
        <w:rPr>
          <w:rFonts w:ascii="Times New Roman" w:hAnsi="Times New Roman" w:cs="Times New Roman"/>
          <w:color w:val="0070C0"/>
          <w:w w:val="100"/>
          <w:sz w:val="16"/>
          <w:szCs w:val="16"/>
        </w:rPr>
        <w:softHyphen/>
        <w:t>косы в установке и</w:t>
      </w:r>
      <w:r w:rsidRPr="00722885">
        <w:rPr>
          <w:rStyle w:val="800"/>
          <w:rFonts w:ascii="Times New Roman" w:hAnsi="Times New Roman" w:cs="Times New Roman"/>
          <w:i w:val="0"/>
          <w:iCs w:val="0"/>
          <w:color w:val="0070C0"/>
          <w:w w:val="100"/>
          <w:sz w:val="16"/>
          <w:szCs w:val="16"/>
        </w:rPr>
        <w:t xml:space="preserve"> «большая тряска пулемета при стрельбе»,</w:t>
      </w:r>
      <w:r w:rsidRPr="00722885">
        <w:rPr>
          <w:rFonts w:ascii="Times New Roman" w:hAnsi="Times New Roman" w:cs="Times New Roman"/>
          <w:color w:val="0070C0"/>
          <w:w w:val="100"/>
          <w:sz w:val="16"/>
          <w:szCs w:val="16"/>
        </w:rPr>
        <w:t xml:space="preserve"> что </w:t>
      </w:r>
      <w:r w:rsidRPr="00722885">
        <w:rPr>
          <w:rFonts w:ascii="Times New Roman" w:hAnsi="Times New Roman" w:cs="Times New Roman"/>
          <w:color w:val="0070C0"/>
          <w:w w:val="100"/>
          <w:sz w:val="16"/>
          <w:szCs w:val="16"/>
        </w:rPr>
        <w:lastRenderedPageBreak/>
        <w:t>приводило к существен</w:t>
      </w:r>
      <w:r w:rsidRPr="00722885">
        <w:rPr>
          <w:rFonts w:ascii="Times New Roman" w:hAnsi="Times New Roman" w:cs="Times New Roman"/>
          <w:color w:val="0070C0"/>
          <w:w w:val="100"/>
          <w:sz w:val="16"/>
          <w:szCs w:val="16"/>
        </w:rPr>
        <w:softHyphen/>
        <w:t>ному рассеиванию. После 2000 выстрелов ломался</w:t>
      </w:r>
      <w:r w:rsidRPr="00722885">
        <w:rPr>
          <w:rStyle w:val="800"/>
          <w:rFonts w:ascii="Times New Roman" w:hAnsi="Times New Roman" w:cs="Times New Roman"/>
          <w:i w:val="0"/>
          <w:iCs w:val="0"/>
          <w:color w:val="0070C0"/>
          <w:w w:val="100"/>
          <w:sz w:val="16"/>
          <w:szCs w:val="16"/>
        </w:rPr>
        <w:t xml:space="preserve"> «стержень отражательной тарелки гильзоотводной головки установки».</w:t>
      </w:r>
      <w:r w:rsidRPr="00722885">
        <w:rPr>
          <w:rStyle w:val="10a"/>
          <w:rFonts w:ascii="Times New Roman" w:hAnsi="Times New Roman" w:cs="Times New Roman"/>
          <w:color w:val="0070C0"/>
          <w:w w:val="100"/>
          <w:sz w:val="16"/>
          <w:szCs w:val="16"/>
        </w:rPr>
        <w:t xml:space="preserve"> </w:t>
      </w:r>
      <w:r w:rsidRPr="00722885">
        <w:rPr>
          <w:rFonts w:ascii="Times New Roman" w:hAnsi="Times New Roman" w:cs="Times New Roman"/>
          <w:color w:val="0070C0"/>
          <w:w w:val="100"/>
          <w:sz w:val="16"/>
          <w:szCs w:val="16"/>
        </w:rPr>
        <w:t>Кон</w:t>
      </w:r>
      <w:r w:rsidRPr="00722885">
        <w:rPr>
          <w:rFonts w:ascii="Times New Roman" w:hAnsi="Times New Roman" w:cs="Times New Roman"/>
          <w:color w:val="0070C0"/>
          <w:w w:val="100"/>
          <w:sz w:val="16"/>
          <w:szCs w:val="16"/>
        </w:rPr>
        <w:softHyphen/>
        <w:t>такты электромотора {две медные пластины) в системе подтяга патронной ленты приго</w:t>
      </w:r>
      <w:r w:rsidRPr="00722885">
        <w:rPr>
          <w:rFonts w:ascii="Times New Roman" w:hAnsi="Times New Roman" w:cs="Times New Roman"/>
          <w:color w:val="0070C0"/>
          <w:w w:val="100"/>
          <w:sz w:val="16"/>
          <w:szCs w:val="16"/>
        </w:rPr>
        <w:softHyphen/>
        <w:t>рали после отстрела порядка 500 патронов. Электромотор прекращал включаться. Регули</w:t>
      </w:r>
      <w:r w:rsidRPr="00722885">
        <w:rPr>
          <w:rFonts w:ascii="Times New Roman" w:hAnsi="Times New Roman" w:cs="Times New Roman"/>
          <w:color w:val="0070C0"/>
          <w:w w:val="100"/>
          <w:sz w:val="16"/>
          <w:szCs w:val="16"/>
        </w:rPr>
        <w:softHyphen/>
        <w:t>ровка синхронизации</w:t>
      </w:r>
      <w:r w:rsidRPr="00722885">
        <w:rPr>
          <w:rStyle w:val="800"/>
          <w:rFonts w:ascii="Times New Roman" w:hAnsi="Times New Roman" w:cs="Times New Roman"/>
          <w:i w:val="0"/>
          <w:iCs w:val="0"/>
          <w:color w:val="0070C0"/>
          <w:w w:val="100"/>
          <w:sz w:val="16"/>
          <w:szCs w:val="16"/>
        </w:rPr>
        <w:t xml:space="preserve"> «включения моторчика механизма подтяга и спуска пулемета»</w:t>
      </w:r>
      <w:r w:rsidRPr="00722885">
        <w:rPr>
          <w:rFonts w:ascii="Times New Roman" w:hAnsi="Times New Roman" w:cs="Times New Roman"/>
          <w:color w:val="0070C0"/>
          <w:w w:val="100"/>
          <w:sz w:val="16"/>
          <w:szCs w:val="16"/>
        </w:rPr>
        <w:t xml:space="preserve"> нару</w:t>
      </w:r>
      <w:r w:rsidRPr="00722885">
        <w:rPr>
          <w:rFonts w:ascii="Times New Roman" w:hAnsi="Times New Roman" w:cs="Times New Roman"/>
          <w:color w:val="0070C0"/>
          <w:w w:val="100"/>
          <w:sz w:val="16"/>
          <w:szCs w:val="16"/>
        </w:rPr>
        <w:softHyphen/>
        <w:t>шалась уже после сотни выстрелов. Это вызы</w:t>
      </w:r>
      <w:r w:rsidRPr="00722885">
        <w:rPr>
          <w:rFonts w:ascii="Times New Roman" w:hAnsi="Times New Roman" w:cs="Times New Roman"/>
          <w:color w:val="0070C0"/>
          <w:w w:val="100"/>
          <w:sz w:val="16"/>
          <w:szCs w:val="16"/>
        </w:rPr>
        <w:softHyphen/>
        <w:t>вало заедание ленты в рукаве и задержки при стрельбе.</w:t>
      </w:r>
    </w:p>
    <w:p w14:paraId="6A1D114C" w14:textId="77777777" w:rsidR="000D4AE1" w:rsidRPr="00722885" w:rsidRDefault="000D4AE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Из-за недоброкачественного изготовле</w:t>
      </w:r>
      <w:r w:rsidRPr="00722885">
        <w:rPr>
          <w:rFonts w:ascii="Times New Roman" w:hAnsi="Times New Roman" w:cs="Times New Roman"/>
          <w:color w:val="0070C0"/>
          <w:w w:val="100"/>
          <w:sz w:val="16"/>
          <w:szCs w:val="16"/>
        </w:rPr>
        <w:softHyphen/>
        <w:t>ния отдельных деталей наблюдались частые поломки механизма подтяга. После 10-14 по</w:t>
      </w:r>
      <w:r w:rsidRPr="00722885">
        <w:rPr>
          <w:rFonts w:ascii="Times New Roman" w:hAnsi="Times New Roman" w:cs="Times New Roman"/>
          <w:color w:val="0070C0"/>
          <w:w w:val="100"/>
          <w:sz w:val="16"/>
          <w:szCs w:val="16"/>
        </w:rPr>
        <w:softHyphen/>
        <w:t>садок каретки ВУБ-3 перекашивались и уста</w:t>
      </w:r>
      <w:r w:rsidRPr="00722885">
        <w:rPr>
          <w:rFonts w:ascii="Times New Roman" w:hAnsi="Times New Roman" w:cs="Times New Roman"/>
          <w:color w:val="0070C0"/>
          <w:w w:val="100"/>
          <w:sz w:val="16"/>
          <w:szCs w:val="16"/>
        </w:rPr>
        <w:softHyphen/>
        <w:t>новку заклинивало. При стоянке самолета под каретку попадали влага и снег, и там замер</w:t>
      </w:r>
      <w:r w:rsidRPr="00722885">
        <w:rPr>
          <w:rFonts w:ascii="Times New Roman" w:hAnsi="Times New Roman" w:cs="Times New Roman"/>
          <w:color w:val="0070C0"/>
          <w:w w:val="100"/>
          <w:sz w:val="16"/>
          <w:szCs w:val="16"/>
        </w:rPr>
        <w:softHyphen/>
        <w:t>зали,</w:t>
      </w:r>
      <w:r w:rsidRPr="00722885">
        <w:rPr>
          <w:rStyle w:val="800"/>
          <w:rFonts w:ascii="Times New Roman" w:hAnsi="Times New Roman" w:cs="Times New Roman"/>
          <w:i w:val="0"/>
          <w:iCs w:val="0"/>
          <w:color w:val="0070C0"/>
          <w:w w:val="100"/>
          <w:sz w:val="16"/>
          <w:szCs w:val="16"/>
        </w:rPr>
        <w:t xml:space="preserve"> «делая невозможным поворот каретки».</w:t>
      </w:r>
    </w:p>
    <w:p w14:paraId="782D7768" w14:textId="77777777" w:rsidR="000D4AE1" w:rsidRPr="00722885" w:rsidRDefault="000D4AE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В связи с этим установка ВУБ-3 улучшен</w:t>
      </w:r>
      <w:r w:rsidRPr="00722885">
        <w:rPr>
          <w:rFonts w:ascii="Times New Roman" w:hAnsi="Times New Roman" w:cs="Times New Roman"/>
          <w:color w:val="0070C0"/>
          <w:w w:val="100"/>
          <w:sz w:val="16"/>
          <w:szCs w:val="16"/>
        </w:rPr>
        <w:softHyphen/>
        <w:t>ного образца, по заключению специалистов НИП АВ,</w:t>
      </w:r>
      <w:r w:rsidRPr="00722885">
        <w:rPr>
          <w:rStyle w:val="800"/>
          <w:rFonts w:ascii="Times New Roman" w:hAnsi="Times New Roman" w:cs="Times New Roman"/>
          <w:i w:val="0"/>
          <w:iCs w:val="0"/>
          <w:color w:val="0070C0"/>
          <w:w w:val="100"/>
          <w:sz w:val="16"/>
          <w:szCs w:val="16"/>
        </w:rPr>
        <w:t xml:space="preserve"> «вследствие неотлаженности и де</w:t>
      </w:r>
      <w:r w:rsidRPr="00722885">
        <w:rPr>
          <w:rStyle w:val="800"/>
          <w:rFonts w:ascii="Times New Roman" w:hAnsi="Times New Roman" w:cs="Times New Roman"/>
          <w:i w:val="0"/>
          <w:iCs w:val="0"/>
          <w:color w:val="0070C0"/>
          <w:w w:val="100"/>
          <w:sz w:val="16"/>
          <w:szCs w:val="16"/>
        </w:rPr>
        <w:softHyphen/>
        <w:t>фектов, /.../ полигонных испытаний не выдер</w:t>
      </w:r>
      <w:r w:rsidRPr="00722885">
        <w:rPr>
          <w:rStyle w:val="800"/>
          <w:rFonts w:ascii="Times New Roman" w:hAnsi="Times New Roman" w:cs="Times New Roman"/>
          <w:i w:val="0"/>
          <w:iCs w:val="0"/>
          <w:color w:val="0070C0"/>
          <w:w w:val="100"/>
          <w:sz w:val="16"/>
          <w:szCs w:val="16"/>
        </w:rPr>
        <w:softHyphen/>
        <w:t>жала»</w:t>
      </w:r>
      <w:r w:rsidRPr="00722885">
        <w:rPr>
          <w:rStyle w:val="800"/>
          <w:rFonts w:ascii="Times New Roman" w:hAnsi="Times New Roman" w:cs="Times New Roman"/>
          <w:i w:val="0"/>
          <w:iCs w:val="0"/>
          <w:color w:val="0070C0"/>
          <w:w w:val="100"/>
          <w:sz w:val="16"/>
          <w:szCs w:val="16"/>
          <w:lang w:val="ru-RU"/>
        </w:rPr>
        <w:t xml:space="preserve"> (19878)</w:t>
      </w:r>
      <w:r w:rsidRPr="00722885">
        <w:rPr>
          <w:rStyle w:val="800"/>
          <w:rFonts w:ascii="Times New Roman" w:hAnsi="Times New Roman" w:cs="Times New Roman"/>
          <w:i w:val="0"/>
          <w:iCs w:val="0"/>
          <w:color w:val="0070C0"/>
          <w:w w:val="100"/>
          <w:sz w:val="16"/>
          <w:szCs w:val="16"/>
        </w:rPr>
        <w:t>.</w:t>
      </w:r>
    </w:p>
    <w:p w14:paraId="18824503" w14:textId="77777777" w:rsidR="000D4AE1" w:rsidRPr="00722885" w:rsidRDefault="000D4AE1" w:rsidP="00722885">
      <w:pPr>
        <w:pStyle w:val="12a"/>
        <w:shd w:val="clear" w:color="auto" w:fill="auto"/>
        <w:spacing w:after="0" w:line="240" w:lineRule="auto"/>
        <w:jc w:val="both"/>
        <w:rPr>
          <w:color w:val="000000" w:themeColor="text1"/>
          <w:sz w:val="16"/>
          <w:szCs w:val="16"/>
        </w:rPr>
      </w:pPr>
    </w:p>
    <w:p w14:paraId="374A00A1" w14:textId="4336630A"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ноябре — декабре 1942 г. на Северо-За</w:t>
      </w:r>
      <w:r w:rsidRPr="00722885">
        <w:rPr>
          <w:color w:val="000000" w:themeColor="text1"/>
          <w:sz w:val="16"/>
          <w:szCs w:val="16"/>
        </w:rPr>
        <w:softHyphen/>
        <w:t>падном фронте в 42-м иап 240-й иад 6 ВА проходили сспытания на боевое применение Як-7-37. Одновре</w:t>
      </w:r>
      <w:r w:rsidRPr="00722885">
        <w:rPr>
          <w:color w:val="000000" w:themeColor="text1"/>
          <w:sz w:val="16"/>
          <w:szCs w:val="16"/>
        </w:rPr>
        <w:softHyphen/>
        <w:t>менно в период с 17 ноября по 13 декабря 1942 г. в 42-м иап испытывались самолеты Як-7б и Як-7-37 с улучшенным обзором назад (со срезанным гар- готом фюзеляжа и каплевидным фонарем кабины летчика). Отчет по их испытаниям утвердил глав</w:t>
      </w:r>
      <w:r w:rsidRPr="00722885">
        <w:rPr>
          <w:color w:val="000000" w:themeColor="text1"/>
          <w:sz w:val="16"/>
          <w:szCs w:val="16"/>
        </w:rPr>
        <w:softHyphen/>
        <w:t>ный инженер ВВС генерал А. К. Репин 28 декабря 1942 г.</w:t>
      </w:r>
    </w:p>
    <w:p w14:paraId="2D06EE6A" w14:textId="77777777"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Опыт 42-го иап по боевому применению «истре</w:t>
      </w:r>
      <w:r w:rsidRPr="00722885">
        <w:rPr>
          <w:color w:val="000000" w:themeColor="text1"/>
          <w:sz w:val="16"/>
          <w:szCs w:val="16"/>
        </w:rPr>
        <w:softHyphen/>
        <w:t>бителей Як-7б М-105Пф с пушкой 37 мм ОКБ-15 и пулеметом УБС» в январе 1943 г. изучался в НИИ</w:t>
      </w:r>
    </w:p>
    <w:p w14:paraId="7DF52EBF" w14:textId="77777777"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ВВС КА. Ответственными исполнителями были ка</w:t>
      </w:r>
      <w:r w:rsidRPr="00722885">
        <w:rPr>
          <w:color w:val="000000" w:themeColor="text1"/>
          <w:sz w:val="16"/>
          <w:szCs w:val="16"/>
        </w:rPr>
        <w:softHyphen/>
        <w:t>питан А. С. Никитин и командир полка подполков</w:t>
      </w:r>
      <w:r w:rsidRPr="00722885">
        <w:rPr>
          <w:color w:val="000000" w:themeColor="text1"/>
          <w:sz w:val="16"/>
          <w:szCs w:val="16"/>
        </w:rPr>
        <w:softHyphen/>
        <w:t>ник Ф. И. Шинкаренко. Отчет был утвержден на</w:t>
      </w:r>
      <w:r w:rsidRPr="00722885">
        <w:rPr>
          <w:color w:val="000000" w:themeColor="text1"/>
          <w:sz w:val="16"/>
          <w:szCs w:val="16"/>
        </w:rPr>
        <w:softHyphen/>
        <w:t>чальником института генерал-майором П. А. Лосюковым 21 января.</w:t>
      </w:r>
    </w:p>
    <w:p w14:paraId="420F5836" w14:textId="77777777"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все полеты на Як-7-37 выполнялись только над своей террито</w:t>
      </w:r>
      <w:r w:rsidRPr="00722885">
        <w:rPr>
          <w:color w:val="000000" w:themeColor="text1"/>
          <w:sz w:val="16"/>
          <w:szCs w:val="16"/>
        </w:rPr>
        <w:softHyphen/>
        <w:t>рией. Перелет линии фронта категорически запре</w:t>
      </w:r>
      <w:r w:rsidRPr="00722885">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61B7EF26" w14:textId="77777777"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Як-7-37 было проведено 12 групповых воз</w:t>
      </w:r>
      <w:r w:rsidRPr="00722885">
        <w:rPr>
          <w:color w:val="000000" w:themeColor="text1"/>
          <w:sz w:val="16"/>
          <w:szCs w:val="16"/>
        </w:rPr>
        <w:softHyphen/>
        <w:t>душных боев при примерно равном соотношении сил, в которых было сбито десять самолетов про</w:t>
      </w:r>
      <w:r w:rsidRPr="00722885">
        <w:rPr>
          <w:color w:val="000000" w:themeColor="text1"/>
          <w:sz w:val="16"/>
          <w:szCs w:val="16"/>
        </w:rPr>
        <w:softHyphen/>
        <w:t xml:space="preserve">тивника (восемь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xml:space="preserve">, </w:t>
      </w:r>
      <w:r w:rsidRPr="00722885">
        <w:rPr>
          <w:color w:val="000000" w:themeColor="text1"/>
          <w:sz w:val="16"/>
          <w:szCs w:val="16"/>
          <w:lang w:val="en-US"/>
        </w:rPr>
        <w:t>Fw</w:t>
      </w:r>
      <w:r w:rsidRPr="00722885">
        <w:rPr>
          <w:color w:val="000000" w:themeColor="text1"/>
          <w:sz w:val="16"/>
          <w:szCs w:val="16"/>
        </w:rPr>
        <w:t xml:space="preserve">189, </w:t>
      </w:r>
      <w:r w:rsidRPr="00722885">
        <w:rPr>
          <w:color w:val="000000" w:themeColor="text1"/>
          <w:sz w:val="16"/>
          <w:szCs w:val="16"/>
          <w:lang w:val="en-US"/>
        </w:rPr>
        <w:t>Hs</w:t>
      </w:r>
      <w:r w:rsidRPr="00722885">
        <w:rPr>
          <w:color w:val="000000" w:themeColor="text1"/>
          <w:sz w:val="16"/>
          <w:szCs w:val="16"/>
        </w:rPr>
        <w:t>126). Свои потери составили пять летчиков.</w:t>
      </w:r>
    </w:p>
    <w:p w14:paraId="685E7558" w14:textId="77777777"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общему мнению летчиков полка, Як-7-37 «по сравнению с другими типами истребителей, кроме Як-1, является лучшим самолетом, который позво</w:t>
      </w:r>
      <w:r w:rsidRPr="00722885">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722885">
        <w:rPr>
          <w:color w:val="000000" w:themeColor="text1"/>
          <w:sz w:val="16"/>
          <w:szCs w:val="16"/>
        </w:rPr>
        <w:softHyphen/>
        <w:t>ми «желательно повысить скорость полета самоле</w:t>
      </w:r>
      <w:r w:rsidRPr="00722885">
        <w:rPr>
          <w:color w:val="000000" w:themeColor="text1"/>
          <w:sz w:val="16"/>
          <w:szCs w:val="16"/>
        </w:rPr>
        <w:softHyphen/>
        <w:t>та на 40—50 км/ч».</w:t>
      </w:r>
    </w:p>
    <w:p w14:paraId="0AC8AA6E" w14:textId="77777777"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пушка Ш-37 показала себя с наи</w:t>
      </w:r>
      <w:r w:rsidRPr="00722885">
        <w:rPr>
          <w:color w:val="000000" w:themeColor="text1"/>
          <w:sz w:val="16"/>
          <w:szCs w:val="16"/>
        </w:rPr>
        <w:softHyphen/>
        <w:t>лучшей стороны, работала почти без отказов и ока</w:t>
      </w:r>
      <w:r w:rsidRPr="00722885">
        <w:rPr>
          <w:color w:val="000000" w:themeColor="text1"/>
          <w:sz w:val="16"/>
          <w:szCs w:val="16"/>
        </w:rPr>
        <w:softHyphen/>
        <w:t>залась простой в эксплуатации. Вследствие силь</w:t>
      </w:r>
      <w:r w:rsidRPr="00722885">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4F3F024C" w14:textId="77777777"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722885">
        <w:rPr>
          <w:color w:val="000000" w:themeColor="text1"/>
          <w:sz w:val="16"/>
          <w:szCs w:val="16"/>
        </w:rPr>
        <w:softHyphen/>
        <w:t>совую серию уже пошел истребитель Як-9 М-105ПФ с лучшими летно-боевыми данными. По этим причи</w:t>
      </w:r>
      <w:r w:rsidRPr="00722885">
        <w:rPr>
          <w:color w:val="000000" w:themeColor="text1"/>
          <w:sz w:val="16"/>
          <w:szCs w:val="16"/>
        </w:rPr>
        <w:softHyphen/>
        <w:t>нам все дальнейшие работы по увеличению мощно</w:t>
      </w:r>
      <w:r w:rsidRPr="00722885">
        <w:rPr>
          <w:color w:val="000000" w:themeColor="text1"/>
          <w:sz w:val="16"/>
          <w:szCs w:val="16"/>
        </w:rPr>
        <w:softHyphen/>
        <w:t>сти огня проводились именно на «девятке» (17500).</w:t>
      </w:r>
    </w:p>
    <w:p w14:paraId="3F47EA43" w14:textId="77777777" w:rsidR="00A92D60" w:rsidRPr="00722885" w:rsidRDefault="00A92D60" w:rsidP="00722885">
      <w:pPr>
        <w:pStyle w:val="12a"/>
        <w:shd w:val="clear" w:color="auto" w:fill="auto"/>
        <w:spacing w:after="0" w:line="240" w:lineRule="auto"/>
        <w:jc w:val="both"/>
        <w:rPr>
          <w:color w:val="000000" w:themeColor="text1"/>
          <w:sz w:val="16"/>
          <w:szCs w:val="16"/>
        </w:rPr>
      </w:pPr>
    </w:p>
    <w:p w14:paraId="670F3EC3" w14:textId="77777777" w:rsidR="00F75815" w:rsidRPr="00722885" w:rsidRDefault="00F75815" w:rsidP="00722885">
      <w:pPr>
        <w:pStyle w:val="Iauiue"/>
        <w:jc w:val="both"/>
        <w:rPr>
          <w:iCs/>
          <w:color w:val="000000" w:themeColor="text1"/>
          <w:sz w:val="16"/>
          <w:szCs w:val="16"/>
        </w:rPr>
      </w:pPr>
      <w:r w:rsidRPr="00722885">
        <w:rPr>
          <w:i/>
          <w:iCs/>
          <w:color w:val="000000" w:themeColor="text1"/>
          <w:sz w:val="16"/>
          <w:szCs w:val="16"/>
        </w:rPr>
        <w:t>Армия:</w:t>
      </w:r>
    </w:p>
    <w:p w14:paraId="4EE7A258" w14:textId="77777777" w:rsidR="00F75815" w:rsidRPr="00722885" w:rsidRDefault="00F75815" w:rsidP="00722885">
      <w:pPr>
        <w:pStyle w:val="Iauiue"/>
        <w:jc w:val="both"/>
        <w:rPr>
          <w:iCs/>
          <w:color w:val="000000" w:themeColor="text1"/>
          <w:sz w:val="16"/>
          <w:szCs w:val="16"/>
        </w:rPr>
      </w:pPr>
    </w:p>
    <w:p w14:paraId="274BEC34" w14:textId="77777777" w:rsidR="00F75815" w:rsidRPr="00722885" w:rsidRDefault="00F75815" w:rsidP="00722885">
      <w:pPr>
        <w:pStyle w:val="Iauiue"/>
        <w:jc w:val="both"/>
        <w:rPr>
          <w:color w:val="000000" w:themeColor="text1"/>
          <w:sz w:val="16"/>
          <w:szCs w:val="16"/>
        </w:rPr>
      </w:pPr>
      <w:r w:rsidRPr="00722885">
        <w:rPr>
          <w:color w:val="000000" w:themeColor="text1"/>
          <w:sz w:val="16"/>
          <w:szCs w:val="16"/>
        </w:rPr>
        <w:t>В ноябре - декабре 1942 г. на удары по немецким аэродромам штурмовики Ил-2 в среднем затратили до 25% всех самолето-вылетов, на воздушную раз</w:t>
      </w:r>
      <w:r w:rsidRPr="00722885">
        <w:rPr>
          <w:color w:val="000000" w:themeColor="text1"/>
          <w:sz w:val="16"/>
          <w:szCs w:val="16"/>
        </w:rPr>
        <w:softHyphen/>
        <w:t>ведку - 20%, а на "свободную охоту" и перехват самолетов противника до 15%. Остальные боевые вылеты штурмовика</w:t>
      </w:r>
      <w:r w:rsidRPr="00722885">
        <w:rPr>
          <w:color w:val="000000" w:themeColor="text1"/>
          <w:sz w:val="16"/>
          <w:szCs w:val="16"/>
        </w:rPr>
        <w:softHyphen/>
        <w:t>ми были выполнены на оказание непос</w:t>
      </w:r>
      <w:r w:rsidRPr="00722885">
        <w:rPr>
          <w:color w:val="000000" w:themeColor="text1"/>
          <w:sz w:val="16"/>
          <w:szCs w:val="16"/>
        </w:rPr>
        <w:softHyphen/>
        <w:t>редственной авиационной поддержки своим войскам, действуя по войскам противника на поле боя и его резервам в местах сосредоточения.</w:t>
      </w:r>
    </w:p>
    <w:p w14:paraId="26B13F63" w14:textId="77777777" w:rsidR="00F75815" w:rsidRPr="00722885" w:rsidRDefault="00F75815" w:rsidP="00722885">
      <w:pPr>
        <w:pStyle w:val="Iauiue"/>
        <w:jc w:val="both"/>
        <w:rPr>
          <w:color w:val="000000" w:themeColor="text1"/>
          <w:sz w:val="16"/>
          <w:szCs w:val="16"/>
        </w:rPr>
      </w:pPr>
      <w:r w:rsidRPr="00722885">
        <w:rPr>
          <w:color w:val="000000" w:themeColor="text1"/>
          <w:sz w:val="16"/>
          <w:szCs w:val="16"/>
        </w:rPr>
        <w:t>Борьба с транспортными самолета</w:t>
      </w:r>
      <w:r w:rsidRPr="00722885">
        <w:rPr>
          <w:color w:val="000000" w:themeColor="text1"/>
          <w:sz w:val="16"/>
          <w:szCs w:val="16"/>
        </w:rPr>
        <w:softHyphen/>
        <w:t>ми противника в воздухе велась само</w:t>
      </w:r>
      <w:r w:rsidRPr="00722885">
        <w:rPr>
          <w:color w:val="000000" w:themeColor="text1"/>
          <w:sz w:val="16"/>
          <w:szCs w:val="16"/>
        </w:rPr>
        <w:softHyphen/>
        <w:t>летами Ил-2 в этот период обычно па</w:t>
      </w:r>
      <w:r w:rsidRPr="00722885">
        <w:rPr>
          <w:color w:val="000000" w:themeColor="text1"/>
          <w:sz w:val="16"/>
          <w:szCs w:val="16"/>
        </w:rPr>
        <w:softHyphen/>
        <w:t>рами, а на участках особо интенсивных полетов - звеньями и эскадрильями. Атака производилась с различных на</w:t>
      </w:r>
      <w:r w:rsidRPr="00722885">
        <w:rPr>
          <w:color w:val="000000" w:themeColor="text1"/>
          <w:sz w:val="16"/>
          <w:szCs w:val="16"/>
        </w:rPr>
        <w:softHyphen/>
        <w:t>правлений, но преимущественно с зад</w:t>
      </w:r>
      <w:r w:rsidRPr="00722885">
        <w:rPr>
          <w:color w:val="000000" w:themeColor="text1"/>
          <w:sz w:val="16"/>
          <w:szCs w:val="16"/>
        </w:rPr>
        <w:softHyphen/>
        <w:t>ней полусферы на дальностях от 400 до 50 м. Немецкие самолеты поражались главным образом стрелково-пушечным огнем. Однако отмечалось применение против транспортных самолетов и PC. Лучшие летчики-штурмовики работали с минимально коротких дистанций, по</w:t>
      </w:r>
      <w:r w:rsidRPr="00722885">
        <w:rPr>
          <w:color w:val="000000" w:themeColor="text1"/>
          <w:sz w:val="16"/>
          <w:szCs w:val="16"/>
        </w:rPr>
        <w:softHyphen/>
        <w:t>рядка 180-200 м, и добивались прямых попаданий реактивных снарядов в оди</w:t>
      </w:r>
      <w:r w:rsidRPr="00722885">
        <w:rPr>
          <w:color w:val="000000" w:themeColor="text1"/>
          <w:sz w:val="16"/>
          <w:szCs w:val="16"/>
        </w:rPr>
        <w:softHyphen/>
        <w:t>ночные немецкие самолеты. Наилучшие результаты получались при стрельбе РСами по плотным боевым порядкам. В этом случае огонь велся залпом по 2-4 реактивных снаряда или серией по 2 PC. При этом дистанционные трубки уста</w:t>
      </w:r>
      <w:r w:rsidRPr="00722885">
        <w:rPr>
          <w:color w:val="000000" w:themeColor="text1"/>
          <w:sz w:val="16"/>
          <w:szCs w:val="16"/>
        </w:rPr>
        <w:softHyphen/>
        <w:t>навливались на различные дистанции с временным интервалом 0,15-0,2 сек.</w:t>
      </w:r>
    </w:p>
    <w:p w14:paraId="78D99127" w14:textId="77777777" w:rsidR="00F75815" w:rsidRPr="00722885" w:rsidRDefault="00F75815" w:rsidP="00722885">
      <w:pPr>
        <w:pStyle w:val="Iauiue"/>
        <w:jc w:val="both"/>
        <w:rPr>
          <w:color w:val="000000" w:themeColor="text1"/>
          <w:sz w:val="16"/>
          <w:szCs w:val="16"/>
        </w:rPr>
      </w:pPr>
      <w:r w:rsidRPr="00722885">
        <w:rPr>
          <w:color w:val="000000" w:themeColor="text1"/>
          <w:sz w:val="16"/>
          <w:szCs w:val="16"/>
        </w:rPr>
        <w:t>Аэродромы блокировались днем -истребителями и штурмовиками, а но</w:t>
      </w:r>
      <w:r w:rsidRPr="00722885">
        <w:rPr>
          <w:color w:val="000000" w:themeColor="text1"/>
          <w:sz w:val="16"/>
          <w:szCs w:val="16"/>
        </w:rPr>
        <w:softHyphen/>
        <w:t>чью - самолетами У-2, которые, непре</w:t>
      </w:r>
      <w:r w:rsidRPr="00722885">
        <w:rPr>
          <w:color w:val="000000" w:themeColor="text1"/>
          <w:sz w:val="16"/>
          <w:szCs w:val="16"/>
        </w:rPr>
        <w:softHyphen/>
        <w:t>рывно сменяя друг друга, дежурили в воздухе и при включении на аэродро</w:t>
      </w:r>
      <w:r w:rsidRPr="00722885">
        <w:rPr>
          <w:color w:val="000000" w:themeColor="text1"/>
          <w:sz w:val="16"/>
          <w:szCs w:val="16"/>
        </w:rPr>
        <w:softHyphen/>
        <w:t>мах ночных световых стартов сразу же сбрасывали авиабомбы.</w:t>
      </w:r>
    </w:p>
    <w:p w14:paraId="4DA27D5A" w14:textId="77777777" w:rsidR="00F75815" w:rsidRPr="00722885" w:rsidRDefault="00F75815" w:rsidP="00722885">
      <w:pPr>
        <w:pStyle w:val="Iauiue"/>
        <w:jc w:val="both"/>
        <w:rPr>
          <w:color w:val="000000" w:themeColor="text1"/>
          <w:sz w:val="16"/>
          <w:szCs w:val="16"/>
        </w:rPr>
      </w:pPr>
      <w:r w:rsidRPr="00722885">
        <w:rPr>
          <w:color w:val="000000" w:themeColor="text1"/>
          <w:sz w:val="16"/>
          <w:szCs w:val="16"/>
        </w:rPr>
        <w:t>Удары Ил-2 по самолетам и объектам на аэродромах строились, как пра</w:t>
      </w:r>
      <w:r w:rsidRPr="00722885">
        <w:rPr>
          <w:color w:val="000000" w:themeColor="text1"/>
          <w:sz w:val="16"/>
          <w:szCs w:val="16"/>
        </w:rPr>
        <w:softHyphen/>
        <w:t>вило, на внезапности появления над це</w:t>
      </w:r>
      <w:r w:rsidRPr="00722885">
        <w:rPr>
          <w:color w:val="000000" w:themeColor="text1"/>
          <w:sz w:val="16"/>
          <w:szCs w:val="16"/>
        </w:rPr>
        <w:softHyphen/>
        <w:t>лью и обычно производились с плани</w:t>
      </w:r>
      <w:r w:rsidRPr="00722885">
        <w:rPr>
          <w:color w:val="000000" w:themeColor="text1"/>
          <w:sz w:val="16"/>
          <w:szCs w:val="16"/>
        </w:rPr>
        <w:softHyphen/>
        <w:t>рования или, чаще всего, с бреющего полета. Способ атаки цели зависел от расположения самолетов на аэродроме, степени их маскировки и наличия скры</w:t>
      </w:r>
      <w:r w:rsidRPr="00722885">
        <w:rPr>
          <w:color w:val="000000" w:themeColor="text1"/>
          <w:sz w:val="16"/>
          <w:szCs w:val="16"/>
        </w:rPr>
        <w:softHyphen/>
        <w:t>тых подступов к аэродрому. Наиболее выгодными для действий Ил-2 по аэро</w:t>
      </w:r>
      <w:r w:rsidRPr="00722885">
        <w:rPr>
          <w:color w:val="000000" w:themeColor="text1"/>
          <w:sz w:val="16"/>
          <w:szCs w:val="16"/>
        </w:rPr>
        <w:softHyphen/>
        <w:t>дромам считались высоты от бреющего до 600 м.</w:t>
      </w:r>
    </w:p>
    <w:p w14:paraId="6DAFCD05" w14:textId="77777777" w:rsidR="00F75815" w:rsidRPr="00722885" w:rsidRDefault="00F75815" w:rsidP="00722885">
      <w:pPr>
        <w:pStyle w:val="Iauiue"/>
        <w:jc w:val="both"/>
        <w:rPr>
          <w:color w:val="000000" w:themeColor="text1"/>
          <w:sz w:val="16"/>
          <w:szCs w:val="16"/>
        </w:rPr>
      </w:pPr>
      <w:r w:rsidRPr="00722885">
        <w:rPr>
          <w:color w:val="000000" w:themeColor="text1"/>
          <w:sz w:val="16"/>
          <w:szCs w:val="16"/>
        </w:rPr>
        <w:t>Число заходов определялось степе</w:t>
      </w:r>
      <w:r w:rsidRPr="00722885">
        <w:rPr>
          <w:color w:val="000000" w:themeColor="text1"/>
          <w:sz w:val="16"/>
          <w:szCs w:val="16"/>
        </w:rPr>
        <w:softHyphen/>
        <w:t>нью защищенности аэродрома сред</w:t>
      </w:r>
      <w:r w:rsidRPr="00722885">
        <w:rPr>
          <w:color w:val="000000" w:themeColor="text1"/>
          <w:sz w:val="16"/>
          <w:szCs w:val="16"/>
        </w:rPr>
        <w:softHyphen/>
        <w:t>ствами ПВО. Как правило, ПВО немец</w:t>
      </w:r>
      <w:r w:rsidRPr="00722885">
        <w:rPr>
          <w:color w:val="000000" w:themeColor="text1"/>
          <w:sz w:val="16"/>
          <w:szCs w:val="16"/>
        </w:rPr>
        <w:softHyphen/>
        <w:t>кого аэродрома состояла из 6-7 бата</w:t>
      </w:r>
      <w:r w:rsidRPr="00722885">
        <w:rPr>
          <w:color w:val="000000" w:themeColor="text1"/>
          <w:sz w:val="16"/>
          <w:szCs w:val="16"/>
        </w:rPr>
        <w:softHyphen/>
        <w:t>рей зенитной артиллерии (каждая ба</w:t>
      </w:r>
      <w:r w:rsidRPr="00722885">
        <w:rPr>
          <w:color w:val="000000" w:themeColor="text1"/>
          <w:sz w:val="16"/>
          <w:szCs w:val="16"/>
        </w:rPr>
        <w:softHyphen/>
        <w:t>тарея имела либо 4 88-мм и 2 20-мм зенитных орудия, либо 9-12 20-мм или 37-мм автоматов), 4-х зенитно-пулеметных точек (ЗПТ), сосредоточенных в од</w:t>
      </w:r>
      <w:r w:rsidRPr="00722885">
        <w:rPr>
          <w:color w:val="000000" w:themeColor="text1"/>
          <w:sz w:val="16"/>
          <w:szCs w:val="16"/>
        </w:rPr>
        <w:softHyphen/>
        <w:t>ном месте, 3-х звукоулавливателей и 2-х прожекторов.</w:t>
      </w:r>
    </w:p>
    <w:p w14:paraId="0C59252B" w14:textId="77777777" w:rsidR="00F75815" w:rsidRPr="00722885" w:rsidRDefault="00F75815" w:rsidP="00722885">
      <w:pPr>
        <w:pStyle w:val="Iauiue"/>
        <w:jc w:val="both"/>
        <w:rPr>
          <w:color w:val="000000" w:themeColor="text1"/>
          <w:sz w:val="16"/>
          <w:szCs w:val="16"/>
        </w:rPr>
      </w:pPr>
      <w:r w:rsidRPr="00722885">
        <w:rPr>
          <w:color w:val="000000" w:themeColor="text1"/>
          <w:sz w:val="16"/>
          <w:szCs w:val="16"/>
        </w:rPr>
        <w:t>Все огневые средства ПВО распола</w:t>
      </w:r>
      <w:r w:rsidRPr="00722885">
        <w:rPr>
          <w:color w:val="000000" w:themeColor="text1"/>
          <w:sz w:val="16"/>
          <w:szCs w:val="16"/>
        </w:rPr>
        <w:softHyphen/>
        <w:t>гались таким образом, чтобы прикрыть места стоянок самолетов и в то же вре</w:t>
      </w:r>
      <w:r w:rsidRPr="00722885">
        <w:rPr>
          <w:color w:val="000000" w:themeColor="text1"/>
          <w:sz w:val="16"/>
          <w:szCs w:val="16"/>
        </w:rPr>
        <w:softHyphen/>
        <w:t>мя иметь возможность вести огонь в любом направлении. При этом на наи</w:t>
      </w:r>
      <w:r w:rsidRPr="00722885">
        <w:rPr>
          <w:color w:val="000000" w:themeColor="text1"/>
          <w:sz w:val="16"/>
          <w:szCs w:val="16"/>
        </w:rPr>
        <w:softHyphen/>
        <w:t>более вероятных направлениях ударов штурмовиков Ил-2 на основных высотах их боевого применения немцы создава</w:t>
      </w:r>
      <w:r w:rsidRPr="00722885">
        <w:rPr>
          <w:color w:val="000000" w:themeColor="text1"/>
          <w:sz w:val="16"/>
          <w:szCs w:val="16"/>
        </w:rPr>
        <w:softHyphen/>
        <w:t>ли трех-пятислойный зенитный огонь.</w:t>
      </w:r>
    </w:p>
    <w:p w14:paraId="52F388E9" w14:textId="77777777" w:rsidR="00F75815" w:rsidRPr="00722885" w:rsidRDefault="00F75815" w:rsidP="00722885">
      <w:pPr>
        <w:pStyle w:val="Iauiue"/>
        <w:jc w:val="both"/>
        <w:rPr>
          <w:color w:val="000000" w:themeColor="text1"/>
          <w:sz w:val="16"/>
          <w:szCs w:val="16"/>
        </w:rPr>
      </w:pPr>
      <w:r w:rsidRPr="00722885">
        <w:rPr>
          <w:color w:val="000000" w:themeColor="text1"/>
          <w:sz w:val="16"/>
          <w:szCs w:val="16"/>
        </w:rPr>
        <w:t>Кроме этого, посты системы ВНОС немцев имели отличную организацию, вследствие чего работали чрезвычайно эффективно. Долететь "Илам" до немец</w:t>
      </w:r>
      <w:r w:rsidRPr="00722885">
        <w:rPr>
          <w:color w:val="000000" w:themeColor="text1"/>
          <w:sz w:val="16"/>
          <w:szCs w:val="16"/>
        </w:rPr>
        <w:softHyphen/>
        <w:t>кого аэродрома незамеченными удава</w:t>
      </w:r>
      <w:r w:rsidRPr="00722885">
        <w:rPr>
          <w:color w:val="000000" w:themeColor="text1"/>
          <w:sz w:val="16"/>
          <w:szCs w:val="16"/>
        </w:rPr>
        <w:softHyphen/>
        <w:t>лось далеко не всегда. Немецкие посты глубоко эшелонировались в глубину сво</w:t>
      </w:r>
      <w:r w:rsidRPr="00722885">
        <w:rPr>
          <w:color w:val="000000" w:themeColor="text1"/>
          <w:sz w:val="16"/>
          <w:szCs w:val="16"/>
        </w:rPr>
        <w:softHyphen/>
        <w:t>ей территории и располагались доволь</w:t>
      </w:r>
      <w:r w:rsidRPr="00722885">
        <w:rPr>
          <w:color w:val="000000" w:themeColor="text1"/>
          <w:sz w:val="16"/>
          <w:szCs w:val="16"/>
        </w:rPr>
        <w:softHyphen/>
        <w:t>но плотно. Расстояние между ними на линии боевого Соприкосновения редко превышало 10 км.</w:t>
      </w:r>
    </w:p>
    <w:p w14:paraId="63D82583" w14:textId="77777777" w:rsidR="00F75815" w:rsidRPr="00722885" w:rsidRDefault="00F75815" w:rsidP="00722885">
      <w:pPr>
        <w:pStyle w:val="Iauiue"/>
        <w:jc w:val="both"/>
        <w:rPr>
          <w:color w:val="000000" w:themeColor="text1"/>
          <w:sz w:val="16"/>
          <w:szCs w:val="16"/>
        </w:rPr>
      </w:pPr>
      <w:r w:rsidRPr="00722885">
        <w:rPr>
          <w:color w:val="000000" w:themeColor="text1"/>
          <w:sz w:val="16"/>
          <w:szCs w:val="16"/>
        </w:rPr>
        <w:t>Поэтому летчики "Илов" старались выполнять удары по немецким аэродро</w:t>
      </w:r>
      <w:r w:rsidRPr="00722885">
        <w:rPr>
          <w:color w:val="000000" w:themeColor="text1"/>
          <w:sz w:val="16"/>
          <w:szCs w:val="16"/>
        </w:rPr>
        <w:softHyphen/>
        <w:t>мам с одного захода, так как повторные заходы были сопряжены с риском боль</w:t>
      </w:r>
      <w:r w:rsidRPr="00722885">
        <w:rPr>
          <w:color w:val="000000" w:themeColor="text1"/>
          <w:sz w:val="16"/>
          <w:szCs w:val="16"/>
        </w:rPr>
        <w:softHyphen/>
        <w:t>ших потерь. Однако при первой же воз</w:t>
      </w:r>
      <w:r w:rsidRPr="00722885">
        <w:rPr>
          <w:color w:val="000000" w:themeColor="text1"/>
          <w:sz w:val="16"/>
          <w:szCs w:val="16"/>
        </w:rPr>
        <w:softHyphen/>
        <w:t>можности число заходов на цель увели</w:t>
      </w:r>
      <w:r w:rsidRPr="00722885">
        <w:rPr>
          <w:color w:val="000000" w:themeColor="text1"/>
          <w:sz w:val="16"/>
          <w:szCs w:val="16"/>
        </w:rPr>
        <w:softHyphen/>
        <w:t>чивалось до двух-трех (обычно) и более. В этом случае после первого захода Ил-2 уходили со снижением в район, где не было средств ПВО противника, выпол</w:t>
      </w:r>
      <w:r w:rsidRPr="00722885">
        <w:rPr>
          <w:color w:val="000000" w:themeColor="text1"/>
          <w:sz w:val="16"/>
          <w:szCs w:val="16"/>
        </w:rPr>
        <w:softHyphen/>
        <w:t>няли разворот и вторично атаковывали цель. Кроме того, очень часто при вы</w:t>
      </w:r>
      <w:r w:rsidRPr="00722885">
        <w:rPr>
          <w:color w:val="000000" w:themeColor="text1"/>
          <w:sz w:val="16"/>
          <w:szCs w:val="16"/>
        </w:rPr>
        <w:softHyphen/>
        <w:t>полнении второго захода часть группы выделялась для подавления зенитных средств противника. Уход от цели осу</w:t>
      </w:r>
      <w:r w:rsidRPr="00722885">
        <w:rPr>
          <w:color w:val="000000" w:themeColor="text1"/>
          <w:sz w:val="16"/>
          <w:szCs w:val="16"/>
        </w:rPr>
        <w:softHyphen/>
        <w:t>ществлялся "ильюшинами", как правило, на бреющем полете.</w:t>
      </w:r>
    </w:p>
    <w:p w14:paraId="76240EBE" w14:textId="77777777" w:rsidR="00F75815" w:rsidRPr="00722885" w:rsidRDefault="00F75815" w:rsidP="00722885">
      <w:pPr>
        <w:pStyle w:val="Iauiue"/>
        <w:jc w:val="both"/>
        <w:rPr>
          <w:color w:val="000000" w:themeColor="text1"/>
          <w:sz w:val="16"/>
          <w:szCs w:val="16"/>
        </w:rPr>
      </w:pPr>
      <w:r w:rsidRPr="00722885">
        <w:rPr>
          <w:color w:val="000000" w:themeColor="text1"/>
          <w:sz w:val="16"/>
          <w:szCs w:val="16"/>
        </w:rPr>
        <w:t>При повторных ударах по аэродромам командиры полков старались не менять ведущих групп и по возможности сохра</w:t>
      </w:r>
      <w:r w:rsidRPr="00722885">
        <w:rPr>
          <w:color w:val="000000" w:themeColor="text1"/>
          <w:sz w:val="16"/>
          <w:szCs w:val="16"/>
        </w:rPr>
        <w:softHyphen/>
        <w:t>няли тот же состав групп.</w:t>
      </w:r>
    </w:p>
    <w:p w14:paraId="60568E66" w14:textId="77777777" w:rsidR="00F75815" w:rsidRPr="00722885" w:rsidRDefault="00F75815" w:rsidP="00722885">
      <w:pPr>
        <w:pStyle w:val="Iauiue"/>
        <w:jc w:val="both"/>
        <w:rPr>
          <w:color w:val="000000" w:themeColor="text1"/>
          <w:sz w:val="16"/>
          <w:szCs w:val="16"/>
        </w:rPr>
      </w:pPr>
      <w:r w:rsidRPr="00722885">
        <w:rPr>
          <w:color w:val="000000" w:themeColor="text1"/>
          <w:sz w:val="16"/>
          <w:szCs w:val="16"/>
        </w:rPr>
        <w:t>К сожалению, несмотря на предпри</w:t>
      </w:r>
      <w:r w:rsidRPr="00722885">
        <w:rPr>
          <w:color w:val="000000" w:themeColor="text1"/>
          <w:sz w:val="16"/>
          <w:szCs w:val="16"/>
        </w:rPr>
        <w:softHyphen/>
        <w:t>нятые руководством ВВС КА и страны меры, в действиях советских истреби</w:t>
      </w:r>
      <w:r w:rsidRPr="00722885">
        <w:rPr>
          <w:color w:val="000000" w:themeColor="text1"/>
          <w:sz w:val="16"/>
          <w:szCs w:val="16"/>
        </w:rPr>
        <w:softHyphen/>
        <w:t>телей прикрытия все еще имелись се</w:t>
      </w:r>
      <w:r w:rsidRPr="00722885">
        <w:rPr>
          <w:color w:val="000000" w:themeColor="text1"/>
          <w:sz w:val="16"/>
          <w:szCs w:val="16"/>
        </w:rPr>
        <w:softHyphen/>
        <w:t>рьезные недостатки. Истребители же Люфтваффе, наоборот, действовали в это время весьма грамотно и эффективно (6467).</w:t>
      </w:r>
    </w:p>
    <w:p w14:paraId="73A1D729" w14:textId="77777777" w:rsidR="00F75815" w:rsidRPr="00722885" w:rsidRDefault="00F75815" w:rsidP="00722885">
      <w:pPr>
        <w:pStyle w:val="Iauiue"/>
        <w:jc w:val="both"/>
        <w:rPr>
          <w:color w:val="000000" w:themeColor="text1"/>
          <w:sz w:val="16"/>
          <w:szCs w:val="16"/>
        </w:rPr>
      </w:pPr>
    </w:p>
    <w:p w14:paraId="22C8469E" w14:textId="77777777" w:rsidR="00F75815" w:rsidRPr="00722885" w:rsidRDefault="00F7581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ноябре и декабре 1942 действия торпедоносцев на Балтике вообще не имели успеха из-за плохих метеоусловий и частых отказов техники. Лишь единожды - 12 ноября удалось сбросить торпеду по сторожевику, но и она не достигла цели. После безуспешного вылета пары «Илов» 6 декабря деятельность торпедоносцев прекратилась на 4,5 месяца (9965).</w:t>
      </w:r>
    </w:p>
    <w:p w14:paraId="7849E5A6" w14:textId="77777777" w:rsidR="00F75815" w:rsidRPr="00722885" w:rsidRDefault="00F75815" w:rsidP="00722885">
      <w:pPr>
        <w:spacing w:after="0" w:line="240" w:lineRule="auto"/>
        <w:jc w:val="both"/>
        <w:rPr>
          <w:rFonts w:ascii="Times New Roman" w:hAnsi="Times New Roman"/>
          <w:color w:val="000000" w:themeColor="text1"/>
          <w:sz w:val="16"/>
          <w:szCs w:val="16"/>
        </w:rPr>
      </w:pPr>
    </w:p>
    <w:p w14:paraId="44F2DF36" w14:textId="77777777" w:rsidR="00090C9B"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469F069" w14:textId="77777777" w:rsidR="00090C9B" w:rsidRPr="00722885" w:rsidRDefault="00090C9B" w:rsidP="00722885">
      <w:pPr>
        <w:pStyle w:val="Iauiue"/>
        <w:jc w:val="both"/>
        <w:rPr>
          <w:iCs/>
          <w:color w:val="000000" w:themeColor="text1"/>
          <w:sz w:val="16"/>
          <w:szCs w:val="16"/>
        </w:rPr>
      </w:pPr>
    </w:p>
    <w:p w14:paraId="5F38C528"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осени 1942 г. Туполевым была выработана концепция "стандартного типа". В докладной записке в Кремль, датированной 17 декабря 1942 г., он писал: "Опыт Отечественной войны показывает, что до 90% задач, ставящихся перед бомбардировочной авиацией, не требуют универсального самолета и могут быть решены более упрощенным бомбардировщиком - "стандартного типа". Под ним Туполев понимал наиболее простой и дешевый в производстве и эксплуатации вариант машины с минимальным набором оборудования. В то же время его конструкция должна была предусматривать возможность доработки в специализированные модификации. К примеру, добавили тормозные решетки и автомат пикирования - получили пикирующий бомбардировщик. Убрали место штурмана с пулеметной установкой, заменив креслом для второго пилота с органами управления, - вот вам учебно-тре- нировочный самолет. У разведчика в бомбоотсек устанавливались дополнительный бензобак и фотоаппаратура. Наибольшие изменения требовались для доработки "стандартного типа" в дальний бомбардировщик. При этом предусматривалось смонтировать новые, более длинные, консоли крыла, увеличить площадь оперения и дополнить набор приборов и оборудования. В частности, на дальние бомбардировщики планировали ставить автомат курса АК-1 - что-то вроде примитивного автопилота.</w:t>
      </w:r>
    </w:p>
    <w:p w14:paraId="1FF087A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Многое, чем оснащался омский Ту-2, для "стандартного типа" сочли лишним. Убрали тормозные решетки и механизм их выпуска, но автомат пикирования оставили. Стабилизатор зафиксировали неподвижно, механизм его поворота сняли. Триммер теперь имелся только на правом руле направления. Моторы стали запускать не электроинерционными стартерами, а сжатым воздухом. Отказались от обогрева втулок пропеллеров теплым воздухом.</w:t>
      </w:r>
    </w:p>
    <w:p w14:paraId="69907EE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Уменьшили до 14 количество бензобаков, частично компенсировав потери увеличением объема оставшихся. Общий запас горючего теперь равнялся 2600 л вместо прежних 3000 л. Заливка топлива осуществлялась через пять, а не через семь горловин. Все это позволило укоротить трубопроводы и убрать часть арматуры.</w:t>
      </w:r>
    </w:p>
    <w:p w14:paraId="6762874A"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Значительно упростили гидравлическую систему: ранее существовали две отдельные системы - высокого и низкого давления, теперь осталась одна - высокого. Гидравлический механизм переключения скоростей нагнетателей моторов заменили более простым механическим. Агрегаты гидросистемы перекомпоновали. В результате суммарная длина магистралей уменьшилась вчетверо, а боевая живучесть возросла. Отказались от дублирования некоторых приборов, приборные доски, стоявшие ранее на внутренних сторонах мотогондол, ликвидировали. Приборы, контролирующие работу двигателей, теперь располагались на доске пилота. </w:t>
      </w:r>
      <w:r w:rsidRPr="00722885">
        <w:rPr>
          <w:rFonts w:ascii="Times New Roman" w:hAnsi="Times New Roman"/>
          <w:color w:val="000000" w:themeColor="text1"/>
          <w:sz w:val="16"/>
          <w:szCs w:val="16"/>
        </w:rPr>
        <w:lastRenderedPageBreak/>
        <w:t>Уменьшили количество осветительных ламп, сняли выдвижную фару ФСВ-200 и один из двух электрогенераторов (левый). Часть электросистемы перевели на однопровод- ную схему, причем использовали как экранировку гофр под обшивкой крыла. Одних проводов при этом стало на километр меньше.</w:t>
      </w:r>
    </w:p>
    <w:p w14:paraId="49ED145F"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Носовые пулеметы ШКАС сочли лишними - 20-мм пушки и так обеспечивали достаточную огневую мощь. Упростили механизм питания пушек, убрав электроподтяг ленты. Сняли трубу прицела ПС-1 (окно для нее зашили дюралюминиевым листом), упростили механизм аварийного сброса бомб. Нормальная бомбовая нагрузка по-прежнему составляла 1000 кг, но максимальную ограничили до 2000 кг. При этом набор бомбодержателей, как и ранее, позволял при необходимости подвесить до 3000 кг.</w:t>
      </w:r>
    </w:p>
    <w:p w14:paraId="27336F55"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Провели большую работу по стандартизации крепежа и других нормализованных деталей. В результате конструкторам удалось выгадать около 400 кг "лишней" массы и снизить плановую трудоемкость самолета на 3000 человеко-часов.</w:t>
      </w:r>
    </w:p>
    <w:p w14:paraId="7B42DC27" w14:textId="77777777" w:rsidR="00090C9B" w:rsidRPr="00722885" w:rsidRDefault="00090C9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Эскизный проект новой модификации разрабатывался бригадой С.М. Егера и был завершен к лету 1943 г. (11988).</w:t>
      </w:r>
    </w:p>
    <w:p w14:paraId="4F04C0EC" w14:textId="77777777" w:rsidR="00090C9B" w:rsidRPr="00722885" w:rsidRDefault="00090C9B" w:rsidP="00722885">
      <w:pPr>
        <w:spacing w:after="0" w:line="240" w:lineRule="auto"/>
        <w:jc w:val="both"/>
        <w:rPr>
          <w:rFonts w:ascii="Times New Roman" w:hAnsi="Times New Roman"/>
          <w:color w:val="000000" w:themeColor="text1"/>
          <w:sz w:val="16"/>
          <w:szCs w:val="16"/>
        </w:rPr>
      </w:pPr>
    </w:p>
    <w:p w14:paraId="2C0F57FD" w14:textId="77777777" w:rsidR="00F75815" w:rsidRPr="00722885" w:rsidRDefault="00F75815"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lang w:eastAsia="ru-RU" w:bidi="ru-RU"/>
        </w:rPr>
        <w:t>В конце осени 1942 г. Туполевым была выработана концепция «стандартного типа». В докладной записке в Кремль, датированной 17 декабря 1942 г., он пи</w:t>
      </w:r>
      <w:r w:rsidRPr="00722885">
        <w:rPr>
          <w:rFonts w:ascii="Times New Roman" w:hAnsi="Times New Roman"/>
          <w:color w:val="0070C0"/>
          <w:sz w:val="16"/>
          <w:szCs w:val="16"/>
          <w:lang w:eastAsia="ru-RU" w:bidi="ru-RU"/>
        </w:rPr>
        <w:softHyphen/>
        <w:t>сал: «Опыт Отечественной войны по</w:t>
      </w:r>
      <w:r w:rsidRPr="00722885">
        <w:rPr>
          <w:rFonts w:ascii="Times New Roman" w:hAnsi="Times New Roman"/>
          <w:color w:val="0070C0"/>
          <w:sz w:val="16"/>
          <w:szCs w:val="16"/>
          <w:lang w:eastAsia="ru-RU" w:bidi="ru-RU"/>
        </w:rPr>
        <w:softHyphen/>
        <w:t>казывает, что до 90% задач, ставя</w:t>
      </w:r>
      <w:r w:rsidRPr="00722885">
        <w:rPr>
          <w:rFonts w:ascii="Times New Roman" w:hAnsi="Times New Roman"/>
          <w:color w:val="0070C0"/>
          <w:sz w:val="16"/>
          <w:szCs w:val="16"/>
          <w:lang w:eastAsia="ru-RU" w:bidi="ru-RU"/>
        </w:rPr>
        <w:softHyphen/>
        <w:t>щихся перед бомбардировочной авиацией, не требуют универсального самолета и могут быть решены более упрощенным бомбардировщиком - «стандартного типа». Под ним Туполев понимал наибо</w:t>
      </w:r>
      <w:r w:rsidRPr="00722885">
        <w:rPr>
          <w:rFonts w:ascii="Times New Roman" w:hAnsi="Times New Roman"/>
          <w:color w:val="0070C0"/>
          <w:sz w:val="16"/>
          <w:szCs w:val="16"/>
          <w:lang w:eastAsia="ru-RU" w:bidi="ru-RU"/>
        </w:rPr>
        <w:softHyphen/>
        <w:t>лее простой и дешевый в производстве и эксплуатации вариант машины с ми</w:t>
      </w:r>
      <w:r w:rsidRPr="00722885">
        <w:rPr>
          <w:rFonts w:ascii="Times New Roman" w:hAnsi="Times New Roman"/>
          <w:color w:val="0070C0"/>
          <w:sz w:val="16"/>
          <w:szCs w:val="16"/>
          <w:lang w:eastAsia="ru-RU" w:bidi="ru-RU"/>
        </w:rPr>
        <w:softHyphen/>
        <w:t>нимальным набором оборудования. В то же время его конструкция должна была предусматривать возможность доработки в специализированные модификации. К примеру, добавили тормозные решетки и автомат пикирования - получили пики</w:t>
      </w:r>
      <w:r w:rsidRPr="00722885">
        <w:rPr>
          <w:rFonts w:ascii="Times New Roman" w:hAnsi="Times New Roman"/>
          <w:color w:val="0070C0"/>
          <w:sz w:val="16"/>
          <w:szCs w:val="16"/>
          <w:lang w:eastAsia="ru-RU" w:bidi="ru-RU"/>
        </w:rPr>
        <w:softHyphen/>
        <w:t>рующий бомбардировщик. Убрали место штурмана с пулеметной установкой, за</w:t>
      </w:r>
      <w:r w:rsidRPr="00722885">
        <w:rPr>
          <w:rFonts w:ascii="Times New Roman" w:hAnsi="Times New Roman"/>
          <w:color w:val="0070C0"/>
          <w:sz w:val="16"/>
          <w:szCs w:val="16"/>
          <w:lang w:eastAsia="ru-RU" w:bidi="ru-RU"/>
        </w:rPr>
        <w:softHyphen/>
        <w:t>менив креслом для второго пилота с ор</w:t>
      </w:r>
      <w:r w:rsidRPr="00722885">
        <w:rPr>
          <w:rFonts w:ascii="Times New Roman" w:hAnsi="Times New Roman"/>
          <w:color w:val="0070C0"/>
          <w:sz w:val="16"/>
          <w:szCs w:val="16"/>
          <w:lang w:eastAsia="ru-RU" w:bidi="ru-RU"/>
        </w:rPr>
        <w:softHyphen/>
        <w:t>ганами управления, - вот вам учебно</w:t>
      </w:r>
      <w:r w:rsidRPr="00722885">
        <w:rPr>
          <w:rFonts w:ascii="Times New Roman" w:hAnsi="Times New Roman"/>
          <w:color w:val="0070C0"/>
          <w:sz w:val="16"/>
          <w:szCs w:val="16"/>
          <w:lang w:eastAsia="ru-RU" w:bidi="ru-RU"/>
        </w:rPr>
        <w:softHyphen/>
        <w:t>тренировочный самолет. У разведчика в бомбоотсек устанавливались дополнительный бензобак и фотоаппаратура. На</w:t>
      </w:r>
      <w:r w:rsidRPr="00722885">
        <w:rPr>
          <w:rFonts w:ascii="Times New Roman" w:hAnsi="Times New Roman"/>
          <w:color w:val="0070C0"/>
          <w:sz w:val="16"/>
          <w:szCs w:val="16"/>
          <w:lang w:eastAsia="ru-RU" w:bidi="ru-RU"/>
        </w:rPr>
        <w:softHyphen/>
        <w:t>ибольшие изменения требовались для доработки «стандартного типа» в даль</w:t>
      </w:r>
      <w:r w:rsidRPr="00722885">
        <w:rPr>
          <w:rFonts w:ascii="Times New Roman" w:hAnsi="Times New Roman"/>
          <w:color w:val="0070C0"/>
          <w:sz w:val="16"/>
          <w:szCs w:val="16"/>
          <w:lang w:eastAsia="ru-RU" w:bidi="ru-RU"/>
        </w:rPr>
        <w:softHyphen/>
        <w:t>ний бомбардировщик. При этом пред</w:t>
      </w:r>
      <w:r w:rsidRPr="00722885">
        <w:rPr>
          <w:rFonts w:ascii="Times New Roman" w:hAnsi="Times New Roman"/>
          <w:color w:val="0070C0"/>
          <w:sz w:val="16"/>
          <w:szCs w:val="16"/>
          <w:lang w:eastAsia="ru-RU" w:bidi="ru-RU"/>
        </w:rPr>
        <w:softHyphen/>
        <w:t>усматривалось смонтировать новые, бо</w:t>
      </w:r>
      <w:r w:rsidRPr="00722885">
        <w:rPr>
          <w:rFonts w:ascii="Times New Roman" w:hAnsi="Times New Roman"/>
          <w:color w:val="0070C0"/>
          <w:sz w:val="16"/>
          <w:szCs w:val="16"/>
          <w:lang w:eastAsia="ru-RU" w:bidi="ru-RU"/>
        </w:rPr>
        <w:softHyphen/>
        <w:t>лее длинные, консоли крыла, увеличить площадь оперения и дополнить набор приборов и оборудования. В частности, на дальние бомбардировщики планиро</w:t>
      </w:r>
      <w:r w:rsidRPr="00722885">
        <w:rPr>
          <w:rFonts w:ascii="Times New Roman" w:hAnsi="Times New Roman"/>
          <w:color w:val="0070C0"/>
          <w:sz w:val="16"/>
          <w:szCs w:val="16"/>
          <w:lang w:eastAsia="ru-RU" w:bidi="ru-RU"/>
        </w:rPr>
        <w:softHyphen/>
        <w:t>вали ставить автомат курса АК-1 - что-то вроде примитивного автопилота (21060).</w:t>
      </w:r>
    </w:p>
    <w:p w14:paraId="63AF474B" w14:textId="77777777" w:rsidR="00F75815" w:rsidRPr="00722885" w:rsidRDefault="00F75815" w:rsidP="00722885">
      <w:pPr>
        <w:spacing w:after="0" w:line="240" w:lineRule="auto"/>
        <w:jc w:val="both"/>
        <w:rPr>
          <w:rFonts w:ascii="Times New Roman" w:hAnsi="Times New Roman"/>
          <w:color w:val="0070C0"/>
          <w:sz w:val="16"/>
          <w:szCs w:val="16"/>
        </w:rPr>
      </w:pPr>
    </w:p>
    <w:p w14:paraId="564F05E6" w14:textId="77777777" w:rsidR="00F75815" w:rsidRPr="00722885" w:rsidRDefault="00F7581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В конце осени 1942 г. под Сталинградом захватили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-2/</w:t>
      </w:r>
      <w:r w:rsidRPr="00722885">
        <w:rPr>
          <w:rFonts w:ascii="Times New Roman" w:hAnsi="Times New Roman"/>
          <w:color w:val="0070C0"/>
          <w:sz w:val="16"/>
          <w:szCs w:val="16"/>
          <w:lang w:val="en-US"/>
        </w:rPr>
        <w:t>R</w:t>
      </w:r>
      <w:r w:rsidRPr="00722885">
        <w:rPr>
          <w:rFonts w:ascii="Times New Roman" w:hAnsi="Times New Roman"/>
          <w:color w:val="0070C0"/>
          <w:sz w:val="16"/>
          <w:szCs w:val="16"/>
        </w:rPr>
        <w:t xml:space="preserve">6 №13903 унтер-офицера Г. Блаута из группы </w:t>
      </w:r>
      <w:r w:rsidRPr="00722885">
        <w:rPr>
          <w:rFonts w:ascii="Times New Roman" w:hAnsi="Times New Roman"/>
          <w:color w:val="0070C0"/>
          <w:sz w:val="16"/>
          <w:szCs w:val="16"/>
          <w:lang w:val="en-US"/>
        </w:rPr>
        <w:t>I</w:t>
      </w:r>
      <w:r w:rsidRPr="00722885">
        <w:rPr>
          <w:rFonts w:ascii="Times New Roman" w:hAnsi="Times New Roman"/>
          <w:color w:val="0070C0"/>
          <w:sz w:val="16"/>
          <w:szCs w:val="16"/>
        </w:rPr>
        <w:t>/</w:t>
      </w:r>
      <w:r w:rsidRPr="00722885">
        <w:rPr>
          <w:rFonts w:ascii="Times New Roman" w:hAnsi="Times New Roman"/>
          <w:color w:val="0070C0"/>
          <w:sz w:val="16"/>
          <w:szCs w:val="16"/>
          <w:lang w:val="en-US"/>
        </w:rPr>
        <w:t>JG</w:t>
      </w:r>
      <w:r w:rsidRPr="00722885">
        <w:rPr>
          <w:rFonts w:ascii="Times New Roman" w:hAnsi="Times New Roman"/>
          <w:color w:val="0070C0"/>
          <w:sz w:val="16"/>
          <w:szCs w:val="16"/>
        </w:rPr>
        <w:t xml:space="preserve"> 3. После ремонта 25 декабря его по воздуху отправили в НИИ ВВС. В Чкаловскую самолет прибыл 2 января. Из-за установки под крылом дополнительной пары пушек </w:t>
      </w:r>
      <w:r w:rsidRPr="00722885">
        <w:rPr>
          <w:rFonts w:ascii="Times New Roman" w:hAnsi="Times New Roman"/>
          <w:color w:val="0070C0"/>
          <w:sz w:val="16"/>
          <w:szCs w:val="16"/>
          <w:lang w:val="en-US"/>
        </w:rPr>
        <w:t>MG</w:t>
      </w:r>
      <w:r w:rsidRPr="00722885">
        <w:rPr>
          <w:rFonts w:ascii="Times New Roman" w:hAnsi="Times New Roman"/>
          <w:color w:val="0070C0"/>
          <w:sz w:val="16"/>
          <w:szCs w:val="16"/>
        </w:rPr>
        <w:t xml:space="preserve"> 151 этот самолет часто называли «пятиточечным». К летным испытаниям привлекли П.М. Стефановского, А.Г. Прошакова и А.Г. Кубышкина. Получили максимальную скорость 650 км/ч - значительно больше, чем у всех советских истребителей. Но достигалась она на высоте 7000 м, на которой для советско-германского фронта боевые действия были не типичны. Испытатели отметили, что у немецкого истребителя проще управление винтомоторной группой, тщательнее выполнена герметизация. По сравнению с предыдущими модификациями бронезащиту усилили. Честно признали, что советским истребителям вести бой с новым «мессершмиттом» трудно. Лишь Ла-5 оказался способен одержать победу на горизонталях на малых и средних высотах, причем только на форсированном режиме мотора. Немецкий истребитель быстрее набирал скорость на пикировании и мог таким способом выйти из боя. Но мотор </w:t>
      </w:r>
      <w:r w:rsidRPr="00722885">
        <w:rPr>
          <w:rFonts w:ascii="Times New Roman" w:hAnsi="Times New Roman"/>
          <w:color w:val="0070C0"/>
          <w:sz w:val="16"/>
          <w:szCs w:val="16"/>
          <w:lang w:val="en-US"/>
        </w:rPr>
        <w:t>DB</w:t>
      </w:r>
      <w:r w:rsidRPr="00722885">
        <w:rPr>
          <w:rFonts w:ascii="Times New Roman" w:hAnsi="Times New Roman"/>
          <w:color w:val="0070C0"/>
          <w:sz w:val="16"/>
          <w:szCs w:val="16"/>
        </w:rPr>
        <w:t xml:space="preserve"> 605</w:t>
      </w:r>
      <w:r w:rsidRPr="00722885">
        <w:rPr>
          <w:rFonts w:ascii="Times New Roman" w:hAnsi="Times New Roman"/>
          <w:color w:val="0070C0"/>
          <w:sz w:val="16"/>
          <w:szCs w:val="16"/>
          <w:lang w:val="en-US"/>
        </w:rPr>
        <w:t>A</w:t>
      </w:r>
      <w:r w:rsidRPr="00722885">
        <w:rPr>
          <w:rFonts w:ascii="Times New Roman" w:hAnsi="Times New Roman"/>
          <w:color w:val="0070C0"/>
          <w:sz w:val="16"/>
          <w:szCs w:val="16"/>
        </w:rPr>
        <w:t xml:space="preserve"> работал ненадежно. В ходе испытаний из-за этого имели место несколько вынужденных посадок. В то же время отметили, что пилотирование типа </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 xml:space="preserve">-2 усложнилось по сравнению с вариантом </w:t>
      </w:r>
      <w:r w:rsidRPr="00722885">
        <w:rPr>
          <w:rFonts w:ascii="Times New Roman" w:hAnsi="Times New Roman"/>
          <w:color w:val="0070C0"/>
          <w:sz w:val="16"/>
          <w:szCs w:val="16"/>
          <w:lang w:val="en-US"/>
        </w:rPr>
        <w:t>F</w:t>
      </w:r>
      <w:r w:rsidRPr="00722885">
        <w:rPr>
          <w:rFonts w:ascii="Times New Roman" w:hAnsi="Times New Roman"/>
          <w:color w:val="0070C0"/>
          <w:sz w:val="16"/>
          <w:szCs w:val="16"/>
        </w:rPr>
        <w:t xml:space="preserve">, особенно по продольному управлению. Время виража увеличилось до почти 23 с. При перетягивании ручки на вираже самолет мог сорваться в штопор. В связи с этим советским летчикам рекомендовали уходить от атаки резким маневрированием. Обзор назад у нового немецкого истребителя остался неудовлетворительным В ходе наступления советских войск под Сталинградом на разных аэродромах захватили много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 В одной только Большой Россошке насчитали более 300 самолетов разных типов. Но практически все они имели боевые повреждения, а также были дополнительно выведены из строя немцами при отступлении. Вся техника, восстановление которой признали нецелесообразным, разбиралась на запасные части и металлолом. В Советском Союзе остро не хватало алюминия, и трофейные самолеты стали одним из источников его поступления. Тем не менее, из Большой Россошки вывезли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-2/</w:t>
      </w:r>
      <w:r w:rsidRPr="00722885">
        <w:rPr>
          <w:rFonts w:ascii="Times New Roman" w:hAnsi="Times New Roman"/>
          <w:color w:val="0070C0"/>
          <w:sz w:val="16"/>
          <w:szCs w:val="16"/>
          <w:lang w:val="en-US"/>
        </w:rPr>
        <w:t>R</w:t>
      </w:r>
      <w:r w:rsidRPr="00722885">
        <w:rPr>
          <w:rFonts w:ascii="Times New Roman" w:hAnsi="Times New Roman"/>
          <w:color w:val="0070C0"/>
          <w:sz w:val="16"/>
          <w:szCs w:val="16"/>
        </w:rPr>
        <w:t>1 №14513. Он поступил в НИИ ВВС 19 марта 1943 г. (23186).</w:t>
      </w:r>
    </w:p>
    <w:p w14:paraId="30A239D9" w14:textId="77777777" w:rsidR="00F75815" w:rsidRPr="00722885" w:rsidRDefault="00F75815" w:rsidP="00722885">
      <w:pPr>
        <w:spacing w:after="0" w:line="240" w:lineRule="auto"/>
        <w:jc w:val="both"/>
        <w:rPr>
          <w:rFonts w:ascii="Times New Roman" w:hAnsi="Times New Roman"/>
          <w:color w:val="0070C0"/>
          <w:sz w:val="16"/>
          <w:szCs w:val="16"/>
        </w:rPr>
      </w:pPr>
    </w:p>
    <w:p w14:paraId="63F5212D" w14:textId="77777777" w:rsidR="00F75815" w:rsidRPr="00722885" w:rsidRDefault="00F75815" w:rsidP="00722885">
      <w:pPr>
        <w:pStyle w:val="Iauiue"/>
        <w:jc w:val="both"/>
        <w:rPr>
          <w:iCs/>
          <w:color w:val="000000" w:themeColor="text1"/>
          <w:sz w:val="16"/>
          <w:szCs w:val="16"/>
        </w:rPr>
      </w:pPr>
      <w:r w:rsidRPr="00722885">
        <w:rPr>
          <w:i/>
          <w:iCs/>
          <w:color w:val="000000" w:themeColor="text1"/>
          <w:sz w:val="16"/>
          <w:szCs w:val="16"/>
        </w:rPr>
        <w:t>Армия:</w:t>
      </w:r>
    </w:p>
    <w:p w14:paraId="4E06A179" w14:textId="77777777" w:rsidR="00F75815" w:rsidRPr="00722885" w:rsidRDefault="00F75815" w:rsidP="00722885">
      <w:pPr>
        <w:pStyle w:val="Iauiue"/>
        <w:jc w:val="both"/>
        <w:rPr>
          <w:iCs/>
          <w:color w:val="000000" w:themeColor="text1"/>
          <w:sz w:val="16"/>
          <w:szCs w:val="16"/>
        </w:rPr>
      </w:pPr>
    </w:p>
    <w:p w14:paraId="6F6D8EE6" w14:textId="77777777" w:rsidR="00F75815" w:rsidRPr="00722885" w:rsidRDefault="00F7581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осени 1942 г. проводилась первая крупная операция с участи</w:t>
      </w:r>
      <w:r w:rsidRPr="00722885">
        <w:rPr>
          <w:rFonts w:ascii="Times New Roman" w:hAnsi="Times New Roman"/>
          <w:color w:val="000000" w:themeColor="text1"/>
          <w:sz w:val="16"/>
          <w:szCs w:val="16"/>
        </w:rPr>
        <w:softHyphen/>
        <w:t>ем планеристов. Она известна под назва</w:t>
      </w:r>
      <w:r w:rsidRPr="00722885">
        <w:rPr>
          <w:rFonts w:ascii="Times New Roman" w:hAnsi="Times New Roman"/>
          <w:color w:val="000000" w:themeColor="text1"/>
          <w:sz w:val="16"/>
          <w:szCs w:val="16"/>
        </w:rPr>
        <w:softHyphen/>
        <w:t>нием «Операция Антифриз». Главное управление тыла Красной Армии пе</w:t>
      </w:r>
      <w:r w:rsidRPr="00722885">
        <w:rPr>
          <w:rFonts w:ascii="Times New Roman" w:hAnsi="Times New Roman"/>
          <w:color w:val="000000" w:themeColor="text1"/>
          <w:sz w:val="16"/>
          <w:szCs w:val="16"/>
        </w:rPr>
        <w:softHyphen/>
        <w:t>ред наступлением под Сталинградом поручило планеристам доставить для танков антифриз, который значительно повысил бы боеспособность техники морозной зимой. В операции задейст</w:t>
      </w:r>
      <w:r w:rsidRPr="00722885">
        <w:rPr>
          <w:rFonts w:ascii="Times New Roman" w:hAnsi="Times New Roman"/>
          <w:color w:val="000000" w:themeColor="text1"/>
          <w:sz w:val="16"/>
          <w:szCs w:val="16"/>
        </w:rPr>
        <w:softHyphen/>
        <w:t>вовали практически в полном составе две эскадрильи 1-го оапп. Самолёты разных типов тянули по одному-два планёра. Они прибыли на аэродром Тейково в Ивановской области.</w:t>
      </w:r>
    </w:p>
    <w:p w14:paraId="590FF5A1" w14:textId="77777777" w:rsidR="00F75815" w:rsidRPr="00722885" w:rsidRDefault="00F7581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Группой планеристов командовал подполковник Д.А. Кошиц. В Г-11 загру</w:t>
      </w:r>
      <w:r w:rsidRPr="00722885">
        <w:rPr>
          <w:rFonts w:ascii="Times New Roman" w:hAnsi="Times New Roman"/>
          <w:color w:val="000000" w:themeColor="text1"/>
          <w:sz w:val="16"/>
          <w:szCs w:val="16"/>
        </w:rPr>
        <w:softHyphen/>
        <w:t>жали шесть бочек по 200 л, в А-7 - три. Возможно, что на каких-то этапах пути использовали один или два КЦ-20. Пе</w:t>
      </w:r>
      <w:r w:rsidRPr="00722885">
        <w:rPr>
          <w:rFonts w:ascii="Times New Roman" w:hAnsi="Times New Roman"/>
          <w:color w:val="000000" w:themeColor="text1"/>
          <w:sz w:val="16"/>
          <w:szCs w:val="16"/>
        </w:rPr>
        <w:softHyphen/>
        <w:t>релёт осуществлялся через Саратов, где на аэродроме СВАПШ выполнили промежуточную посадку. Там же попол</w:t>
      </w:r>
      <w:r w:rsidRPr="00722885">
        <w:rPr>
          <w:rFonts w:ascii="Times New Roman" w:hAnsi="Times New Roman"/>
          <w:color w:val="000000" w:themeColor="text1"/>
          <w:sz w:val="16"/>
          <w:szCs w:val="16"/>
        </w:rPr>
        <w:softHyphen/>
        <w:t>нили парк планёров и буксировщиков, использовав местные экипажи. Планёр Кошица на взлёте в Саратове отцепил</w:t>
      </w:r>
      <w:r w:rsidRPr="00722885">
        <w:rPr>
          <w:rFonts w:ascii="Times New Roman" w:hAnsi="Times New Roman"/>
          <w:color w:val="000000" w:themeColor="text1"/>
          <w:sz w:val="16"/>
          <w:szCs w:val="16"/>
        </w:rPr>
        <w:softHyphen/>
        <w:t>ся. Пилот был болен, и его оставили, а планёр дальше повёл И. Малофеев.</w:t>
      </w:r>
    </w:p>
    <w:p w14:paraId="544F06DE" w14:textId="77777777" w:rsidR="00F75815" w:rsidRPr="00722885" w:rsidRDefault="00F7581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Маршрут пролегал через Энгельс и Красный Кут до озера Житкур. Планёр</w:t>
      </w:r>
      <w:r w:rsidRPr="00722885">
        <w:rPr>
          <w:rFonts w:ascii="Times New Roman" w:hAnsi="Times New Roman"/>
          <w:color w:val="000000" w:themeColor="text1"/>
          <w:sz w:val="16"/>
          <w:szCs w:val="16"/>
        </w:rPr>
        <w:softHyphen/>
        <w:t>ные «поезда» прикрывались с воздуха истребителями ПВО Саратова, Энгель</w:t>
      </w:r>
      <w:r w:rsidRPr="00722885">
        <w:rPr>
          <w:rFonts w:ascii="Times New Roman" w:hAnsi="Times New Roman"/>
          <w:color w:val="000000" w:themeColor="text1"/>
          <w:sz w:val="16"/>
          <w:szCs w:val="16"/>
        </w:rPr>
        <w:softHyphen/>
        <w:t>са и дежурными звеньями Качинского лётного училища. От Красного Кута до Житкура местность была малонаселён</w:t>
      </w:r>
      <w:r w:rsidRPr="00722885">
        <w:rPr>
          <w:rFonts w:ascii="Times New Roman" w:hAnsi="Times New Roman"/>
          <w:color w:val="000000" w:themeColor="text1"/>
          <w:sz w:val="16"/>
          <w:szCs w:val="16"/>
        </w:rPr>
        <w:softHyphen/>
        <w:t>ная и почти безориентирная. Слабая видимость и сплошная облачность ус</w:t>
      </w:r>
      <w:r w:rsidRPr="00722885">
        <w:rPr>
          <w:rFonts w:ascii="Times New Roman" w:hAnsi="Times New Roman"/>
          <w:color w:val="000000" w:themeColor="text1"/>
          <w:sz w:val="16"/>
          <w:szCs w:val="16"/>
        </w:rPr>
        <w:softHyphen/>
        <w:t>ложняли полёт.</w:t>
      </w:r>
    </w:p>
    <w:p w14:paraId="76C74345" w14:textId="77777777" w:rsidR="00F75815" w:rsidRPr="00722885" w:rsidRDefault="00F7581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Один из планеристов вспоминал: «Карабкались к Сталинграду «на пу</w:t>
      </w:r>
      <w:r w:rsidRPr="00722885">
        <w:rPr>
          <w:rFonts w:ascii="Times New Roman" w:hAnsi="Times New Roman"/>
          <w:color w:val="000000" w:themeColor="text1"/>
          <w:sz w:val="16"/>
          <w:szCs w:val="16"/>
        </w:rPr>
        <w:softHyphen/>
        <w:t>зе». Были моменты — не поймёшь, где небо, где земля, и в каком положении я между ними. От усталости через час уже в глазах двоилось. Ниже пояса те</w:t>
      </w:r>
      <w:r w:rsidRPr="00722885">
        <w:rPr>
          <w:rFonts w:ascii="Times New Roman" w:hAnsi="Times New Roman"/>
          <w:color w:val="000000" w:themeColor="text1"/>
          <w:sz w:val="16"/>
          <w:szCs w:val="16"/>
        </w:rPr>
        <w:softHyphen/>
        <w:t>ло коченеет — кабина-то фанерная, со щелями! — выше пупка весь в горячем поту... Через час такого чёртова полёта наступило безразличие. Хлопнусь — ну и чёрт с ним! Но потом взъярился, още</w:t>
      </w:r>
      <w:r w:rsidRPr="00722885">
        <w:rPr>
          <w:rFonts w:ascii="Times New Roman" w:hAnsi="Times New Roman"/>
          <w:color w:val="000000" w:themeColor="text1"/>
          <w:sz w:val="16"/>
          <w:szCs w:val="16"/>
        </w:rPr>
        <w:softHyphen/>
        <w:t>тинился, взял себя в руки: не порадую фрицев, не огорчу маму, долечу!»</w:t>
      </w:r>
    </w:p>
    <w:p w14:paraId="556C98FD" w14:textId="77777777" w:rsidR="00F75815" w:rsidRPr="00722885" w:rsidRDefault="00F7581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Лётчики и планеристы спешили до</w:t>
      </w:r>
      <w:r w:rsidRPr="00722885">
        <w:rPr>
          <w:rFonts w:ascii="Times New Roman" w:hAnsi="Times New Roman"/>
          <w:color w:val="000000" w:themeColor="text1"/>
          <w:sz w:val="16"/>
          <w:szCs w:val="16"/>
        </w:rPr>
        <w:softHyphen/>
        <w:t>ставить антифриз к линии фронта. Де</w:t>
      </w:r>
      <w:r w:rsidRPr="00722885">
        <w:rPr>
          <w:rFonts w:ascii="Times New Roman" w:hAnsi="Times New Roman"/>
          <w:color w:val="000000" w:themeColor="text1"/>
          <w:sz w:val="16"/>
          <w:szCs w:val="16"/>
        </w:rPr>
        <w:softHyphen/>
        <w:t>сятки грузовых планёров приземлились в районе станции Котельниковская и обеспечили танки незамерзающей жид</w:t>
      </w:r>
      <w:r w:rsidRPr="00722885">
        <w:rPr>
          <w:rFonts w:ascii="Times New Roman" w:hAnsi="Times New Roman"/>
          <w:color w:val="000000" w:themeColor="text1"/>
          <w:sz w:val="16"/>
          <w:szCs w:val="16"/>
        </w:rPr>
        <w:softHyphen/>
        <w:t>костью.</w:t>
      </w:r>
    </w:p>
    <w:p w14:paraId="4236038B" w14:textId="77777777" w:rsidR="00F75815" w:rsidRPr="00722885" w:rsidRDefault="00F7581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всем пилотом удалось долететь до цели: кого-то сбили вражеские ис</w:t>
      </w:r>
      <w:r w:rsidRPr="00722885">
        <w:rPr>
          <w:rFonts w:ascii="Times New Roman" w:hAnsi="Times New Roman"/>
          <w:color w:val="000000" w:themeColor="text1"/>
          <w:sz w:val="16"/>
          <w:szCs w:val="16"/>
        </w:rPr>
        <w:softHyphen/>
        <w:t>требители, кто-то разбился при посадке на прифронтовой площадке, под артил</w:t>
      </w:r>
      <w:r w:rsidRPr="00722885">
        <w:rPr>
          <w:rFonts w:ascii="Times New Roman" w:hAnsi="Times New Roman"/>
          <w:color w:val="000000" w:themeColor="text1"/>
          <w:sz w:val="16"/>
          <w:szCs w:val="16"/>
        </w:rPr>
        <w:softHyphen/>
        <w:t>лерийским обстрелом. При заходе на посадку погиб лейтенант Р. Григорьян. При вылете из Саратова он прицепил планёр к самолёту не одним, а двумя тросами. Это его погубило: тросы пере</w:t>
      </w:r>
      <w:r w:rsidRPr="00722885">
        <w:rPr>
          <w:rFonts w:ascii="Times New Roman" w:hAnsi="Times New Roman"/>
          <w:color w:val="000000" w:themeColor="text1"/>
          <w:sz w:val="16"/>
          <w:szCs w:val="16"/>
        </w:rPr>
        <w:softHyphen/>
        <w:t>плелись и в нужный момент не отдели</w:t>
      </w:r>
      <w:r w:rsidRPr="00722885">
        <w:rPr>
          <w:rFonts w:ascii="Times New Roman" w:hAnsi="Times New Roman"/>
          <w:color w:val="000000" w:themeColor="text1"/>
          <w:sz w:val="16"/>
          <w:szCs w:val="16"/>
        </w:rPr>
        <w:softHyphen/>
        <w:t>лись от планёра. Пришлось садиться с тросами. При подходе планёра к земле они задели за препятствие и опрокину</w:t>
      </w:r>
      <w:r w:rsidRPr="00722885">
        <w:rPr>
          <w:rFonts w:ascii="Times New Roman" w:hAnsi="Times New Roman"/>
          <w:color w:val="000000" w:themeColor="text1"/>
          <w:sz w:val="16"/>
          <w:szCs w:val="16"/>
        </w:rPr>
        <w:softHyphen/>
        <w:t>ли аппарат на спину.</w:t>
      </w:r>
    </w:p>
    <w:p w14:paraId="2D32B8F9" w14:textId="77777777" w:rsidR="00F75815" w:rsidRPr="00722885" w:rsidRDefault="00F7581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2-го уапп в «Операции Антифриз» участвовали 12 буксировщиков Ил-4 и столько же планёров. Они базиро</w:t>
      </w:r>
      <w:r w:rsidRPr="00722885">
        <w:rPr>
          <w:rFonts w:ascii="Times New Roman" w:hAnsi="Times New Roman"/>
          <w:color w:val="000000" w:themeColor="text1"/>
          <w:sz w:val="16"/>
          <w:szCs w:val="16"/>
        </w:rPr>
        <w:softHyphen/>
        <w:t>вались на аэродроме Щёлково в Мос</w:t>
      </w:r>
      <w:r w:rsidRPr="00722885">
        <w:rPr>
          <w:rFonts w:ascii="Times New Roman" w:hAnsi="Times New Roman"/>
          <w:color w:val="000000" w:themeColor="text1"/>
          <w:sz w:val="16"/>
          <w:szCs w:val="16"/>
        </w:rPr>
        <w:softHyphen/>
        <w:t>ковской области. 10 октября 1942 г. планеристы этого полка доставили в район озера Житкур 14,5 т антифриза и 60 огнемётов (12266).</w:t>
      </w:r>
    </w:p>
    <w:p w14:paraId="0DEEFB42" w14:textId="77777777" w:rsidR="00F75815" w:rsidRPr="00722885" w:rsidRDefault="00F75815" w:rsidP="00722885">
      <w:pPr>
        <w:spacing w:after="0" w:line="240" w:lineRule="auto"/>
        <w:jc w:val="both"/>
        <w:rPr>
          <w:rFonts w:ascii="Times New Roman" w:hAnsi="Times New Roman"/>
          <w:color w:val="000000" w:themeColor="text1"/>
          <w:sz w:val="16"/>
          <w:szCs w:val="16"/>
        </w:rPr>
      </w:pPr>
    </w:p>
    <w:p w14:paraId="13771188"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9E84EB2" w14:textId="77777777" w:rsidR="00BB6316" w:rsidRPr="00722885" w:rsidRDefault="00BB6316" w:rsidP="00722885">
      <w:pPr>
        <w:pStyle w:val="Iauiue"/>
        <w:jc w:val="both"/>
        <w:rPr>
          <w:iCs/>
          <w:color w:val="000000" w:themeColor="text1"/>
          <w:sz w:val="16"/>
          <w:szCs w:val="16"/>
        </w:rPr>
      </w:pPr>
    </w:p>
    <w:p w14:paraId="11C3DF0B" w14:textId="77777777" w:rsidR="00F75815" w:rsidRPr="00722885" w:rsidRDefault="00F7581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декабрю 1942 в 15 ВА на двух самолетах Ил-2, проходивших ремонт в авиамастерских армии, были установлены турели УТК-1 с пулеметом УБТ. Турель обеспечивала значительные углы обстрела из пулемета и позволяла вести прицельный огонь при скоростях полета свыше 400 км/ч. Самолеты показали вполне приемлемые летные данные и были переданы в строевой полк. Всего подобным образом были переоборудованы 15 Ил-2 (21180).</w:t>
      </w:r>
    </w:p>
    <w:p w14:paraId="225058A7" w14:textId="77777777" w:rsidR="00F75815" w:rsidRPr="00722885" w:rsidRDefault="00F75815" w:rsidP="00722885">
      <w:pPr>
        <w:spacing w:after="0" w:line="240" w:lineRule="auto"/>
        <w:jc w:val="both"/>
        <w:rPr>
          <w:rFonts w:ascii="Times New Roman" w:hAnsi="Times New Roman"/>
          <w:color w:val="0070C0"/>
          <w:sz w:val="16"/>
          <w:szCs w:val="16"/>
        </w:rPr>
      </w:pPr>
    </w:p>
    <w:p w14:paraId="401FD6A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декабрю 1942 г. в ГСКБ-47 в очередной раз доработали конструкцию ННСАБ и сдали ее на госиспытания. Основным ее отличием от предшествовавших опытных вариантов был тормозной диск, установленный на срезе оперения. Он выполнял роль жесткого аэродинамического тормоза для уменьшения скорости падения бомбы, а следовательно, и глубины ее проникания в грунт (7453).</w:t>
      </w:r>
    </w:p>
    <w:p w14:paraId="207ADCA0" w14:textId="77777777" w:rsidR="00BB6316" w:rsidRPr="00722885" w:rsidRDefault="00BB6316" w:rsidP="00722885">
      <w:pPr>
        <w:pStyle w:val="Iauiue"/>
        <w:jc w:val="both"/>
        <w:rPr>
          <w:color w:val="000000" w:themeColor="text1"/>
          <w:sz w:val="16"/>
          <w:szCs w:val="16"/>
        </w:rPr>
      </w:pPr>
    </w:p>
    <w:p w14:paraId="246EA7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декабрю 1942 г., находясь в заключении и работая в спецподразделении НКВД в Омске С. П. Королев завершил Проект реактивного перехватчика. В проекте С.П. Королева были рассмотрены два варианта истребителя-перехватчика с разным начальным весом — 2150 и 2500 кг. С. П. Королев рекомендовал в качестве основного второй вариант. Достоинства новой машины становились особенно очевидными при сопоставлении ее характеристик с характеристиками самолета БИ-1, который в тот период был одним из крупных достижений авиационной техники: время полета перехватчика со скоростью 800 км/ч — 10,5 мин (БИ-1 -- 2 мин), со скоростью 550-360 км/ч -30 мин (БИ-1 — 4,5 мин), вес вооружения перехватчика — 200 кг (БИ-1 — 50-100 кг). Разрабатывая новую машину, С.П. Королев принял специальные меры для упрощения ее конструкции. Была использована хорошо изученная схема — одноместный моноплан с низким расположением крыла, конструкция машины в основном деревянная. Шасси было трехколесным. Благодаря отсутствию винта шасси можно было сделать более низким, чем обычно, и за счет этого уменьшить лобовое сопротивление. Эскизная проработка С.П. Королева по реактивному перехватчику появилась в разгар работы над самолетом БИ-1, о котором знал И.В. Сталин и для создания которого дал жесткий срок — 30 суток. В этих условиях С.П. Королев, лишенный прямых контактов с внешним миром, не мог конкурировать с конструкторскими коллективами, имеющими правительственные заказы и свои собственные варианты решения задачи (10676).</w:t>
      </w:r>
    </w:p>
    <w:p w14:paraId="4423E24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FAD9C3C"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24F71BB" w14:textId="77777777" w:rsidR="00BB6316" w:rsidRPr="00722885" w:rsidRDefault="00BB6316" w:rsidP="00722885">
      <w:pPr>
        <w:pStyle w:val="Iauiue"/>
        <w:jc w:val="both"/>
        <w:rPr>
          <w:iCs/>
          <w:color w:val="000000" w:themeColor="text1"/>
          <w:sz w:val="16"/>
          <w:szCs w:val="16"/>
        </w:rPr>
      </w:pPr>
    </w:p>
    <w:p w14:paraId="69EACE15" w14:textId="77777777" w:rsidR="00F75815" w:rsidRPr="00722885" w:rsidRDefault="00F75815"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 xml:space="preserve">К декабрю 1941 года, объем производства Т-30 (точнее, пока он именовался Т-60) достиг до 450 штук ежемесячно. Корпус с башней упрощались, а сам он становился чуть ниже. Вместе с тем, от уже принятого варианта неплавающего Т-40 не отказывались. Он становился промежуточным звеном между Т-40 и Т-60. Поначалу его </w:t>
      </w:r>
      <w:r w:rsidRPr="00722885">
        <w:rPr>
          <w:rFonts w:ascii="Times New Roman" w:eastAsia="Times New Roman" w:hAnsi="Times New Roman"/>
          <w:color w:val="0070C0"/>
          <w:sz w:val="16"/>
          <w:szCs w:val="16"/>
          <w:lang w:eastAsia="ru-RU"/>
        </w:rPr>
        <w:lastRenderedPageBreak/>
        <w:t>именовали как Т-60, но чертежный индекс сменился на 030, а позже появилось и обозначение Т-30. Индекс Т-30 начинает появляться с ноября 1941 года. До того 20 танковая бригада именует свои танки Т-40, и лишь потом они вдруг становятся Т-30.</w:t>
      </w:r>
    </w:p>
    <w:p w14:paraId="6FF0ED98" w14:textId="77777777" w:rsidR="00F75815" w:rsidRPr="00722885" w:rsidRDefault="00F75815"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Появление 20-мм автоматической пушки ШВАК, она же ТНШ, являлось вынужденным решением. В новых реалиях обеспечение танков крупнокалиберными пулеметами ДШК оказалось невозможным. Поэтому и было принято решение ставить ШВАК, как отработанный в производстве образец. С точки зрения пробития брони ДШК и ШВАК были почти равнозначны, при этом оба образца считались слабоватыми как танковое вооружение. Вместе с тем, за неимением ничего другого приходилось использовать то, что есть. Больше того, ТНШ появились не сразу, да и постановление ГКО №222 надо учитывать. Особенно что касается обеспечения ХТЗ и ГАЗ вооружением. В результате ТНШ на Т-30 московского выпуска являлась редкостью. По разным оценкам, всего танки завода №37 получили от 41 до 66 ТНШ. Фактически это две танковые бригады, плюс, возможно, еще несколько машин в других бригадах. Об этом говорит и переписка по танковым бригадам, касающаяся боеприпасов. 20-мм боеприпасы в ней почти не встречаются, а вот патроны ДШК - да.</w:t>
      </w:r>
    </w:p>
    <w:p w14:paraId="08D7C4A0" w14:textId="77777777" w:rsidR="00F75815" w:rsidRPr="00722885" w:rsidRDefault="00F75815"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Т-50 пока сохранялся, от него не отказывались, но наверху уже понимали, что быстро его производство не наладить (21348).</w:t>
      </w:r>
    </w:p>
    <w:p w14:paraId="589EF0E3" w14:textId="77777777" w:rsidR="00F75815" w:rsidRPr="00722885" w:rsidRDefault="00F75815"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2CCAD4CC" w14:textId="77777777" w:rsidR="00734E2B" w:rsidRPr="00722885" w:rsidRDefault="00734E2B"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К декабрю 1942 года самым массовым танком на Северном Кавказе был М3л, на втором месте канадский Valentine VII. В дальнейшем ленд-лиз составлял основу бронетанковых сил на Северном Кавказе, причём до самого конца войны. Учитывая, что Баку являлся одним из ключевых перевалочных пунктов с точки зрения поставки зарубежных танков, ситуация неудивительная (19620).</w:t>
      </w:r>
    </w:p>
    <w:p w14:paraId="7C5262FC" w14:textId="77777777" w:rsidR="00734E2B" w:rsidRPr="00722885" w:rsidRDefault="00734E2B" w:rsidP="00722885">
      <w:pPr>
        <w:pStyle w:val="ae"/>
        <w:shd w:val="clear" w:color="auto" w:fill="FFFFFF"/>
        <w:spacing w:before="0" w:after="0"/>
        <w:jc w:val="both"/>
        <w:textAlignment w:val="baseline"/>
        <w:rPr>
          <w:color w:val="000000" w:themeColor="text1"/>
          <w:sz w:val="16"/>
          <w:szCs w:val="16"/>
        </w:rPr>
      </w:pPr>
    </w:p>
    <w:p w14:paraId="7FAC455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декабрю 1942 г. завершилась корректировка первоначального проекта эсминца пр. 30 в ЦКБ-17. Она предусматривала повышение прочности кор</w:t>
      </w:r>
      <w:r w:rsidRPr="00722885">
        <w:rPr>
          <w:color w:val="000000" w:themeColor="text1"/>
          <w:sz w:val="16"/>
          <w:szCs w:val="16"/>
        </w:rPr>
        <w:softHyphen/>
        <w:t>пуса и усиление зенитного вооружения установкой шести 37-мм автоматов и заменой 76-мм башни 39-К на 85-мм 92-К. Вместо так и не освоенных промышленностью пятитрубных торпедньис аппаратов устанавливались трехтрубные, как на "семерках", хотя против этого и возражал Н. Г. Кузнецов (3898).</w:t>
      </w:r>
    </w:p>
    <w:p w14:paraId="0EEC4AA9" w14:textId="77777777" w:rsidR="00BB6316" w:rsidRPr="00722885" w:rsidRDefault="00BB6316" w:rsidP="00722885">
      <w:pPr>
        <w:pStyle w:val="Iauiue"/>
        <w:jc w:val="both"/>
        <w:rPr>
          <w:color w:val="000000" w:themeColor="text1"/>
          <w:sz w:val="16"/>
          <w:szCs w:val="16"/>
        </w:rPr>
      </w:pPr>
    </w:p>
    <w:p w14:paraId="19F8F03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E243802" w14:textId="77777777" w:rsidR="00BB6316" w:rsidRPr="00722885" w:rsidRDefault="00BB6316" w:rsidP="00722885">
      <w:pPr>
        <w:pStyle w:val="Iauiue"/>
        <w:jc w:val="both"/>
        <w:rPr>
          <w:iCs/>
          <w:color w:val="000000" w:themeColor="text1"/>
          <w:sz w:val="16"/>
          <w:szCs w:val="16"/>
        </w:rPr>
      </w:pPr>
    </w:p>
    <w:p w14:paraId="4E85904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зиме 1942 проблема запуска мотора М-82 при низких температурах была частично решена: на входе капота Ла-5 установили передние жалюзи, отсут</w:t>
      </w:r>
      <w:r w:rsidRPr="00722885">
        <w:rPr>
          <w:rFonts w:ascii="Times New Roman" w:hAnsi="Times New Roman"/>
          <w:color w:val="000000" w:themeColor="text1"/>
          <w:sz w:val="16"/>
          <w:szCs w:val="16"/>
        </w:rPr>
        <w:softHyphen/>
        <w:t>ствовавшие на самолетах первых се</w:t>
      </w:r>
      <w:r w:rsidRPr="00722885">
        <w:rPr>
          <w:rFonts w:ascii="Times New Roman" w:hAnsi="Times New Roman"/>
          <w:color w:val="000000" w:themeColor="text1"/>
          <w:sz w:val="16"/>
          <w:szCs w:val="16"/>
        </w:rPr>
        <w:softHyphen/>
        <w:t>рий, отеплили ВМГ, ввели хорошо за</w:t>
      </w:r>
      <w:r w:rsidRPr="00722885">
        <w:rPr>
          <w:rFonts w:ascii="Times New Roman" w:hAnsi="Times New Roman"/>
          <w:color w:val="000000" w:themeColor="text1"/>
          <w:sz w:val="16"/>
          <w:szCs w:val="16"/>
        </w:rPr>
        <w:softHyphen/>
        <w:t>рекомендовавшую себя ранее сис</w:t>
      </w:r>
      <w:r w:rsidRPr="00722885">
        <w:rPr>
          <w:rFonts w:ascii="Times New Roman" w:hAnsi="Times New Roman"/>
          <w:color w:val="000000" w:themeColor="text1"/>
          <w:sz w:val="16"/>
          <w:szCs w:val="16"/>
        </w:rPr>
        <w:softHyphen/>
        <w:t>тему разжижения масла бензином и предусмотрели возможность подогре</w:t>
      </w:r>
      <w:r w:rsidRPr="00722885">
        <w:rPr>
          <w:rFonts w:ascii="Times New Roman" w:hAnsi="Times New Roman"/>
          <w:color w:val="000000" w:themeColor="text1"/>
          <w:sz w:val="16"/>
          <w:szCs w:val="16"/>
        </w:rPr>
        <w:softHyphen/>
        <w:t>ва мотора лампами АПЛ-1. Парал</w:t>
      </w:r>
      <w:r w:rsidRPr="00722885">
        <w:rPr>
          <w:rFonts w:ascii="Times New Roman" w:hAnsi="Times New Roman"/>
          <w:color w:val="000000" w:themeColor="text1"/>
          <w:sz w:val="16"/>
          <w:szCs w:val="16"/>
        </w:rPr>
        <w:softHyphen/>
        <w:t>лельно ЦИАМ, ЛИИ и НИИ ВВС раз</w:t>
      </w:r>
      <w:r w:rsidRPr="00722885">
        <w:rPr>
          <w:rFonts w:ascii="Times New Roman" w:hAnsi="Times New Roman"/>
          <w:color w:val="000000" w:themeColor="text1"/>
          <w:sz w:val="16"/>
          <w:szCs w:val="16"/>
        </w:rPr>
        <w:softHyphen/>
        <w:t>рабатывали разные варианты систем холодного запуска без предваритель</w:t>
      </w:r>
      <w:r w:rsidRPr="00722885">
        <w:rPr>
          <w:rFonts w:ascii="Times New Roman" w:hAnsi="Times New Roman"/>
          <w:color w:val="000000" w:themeColor="text1"/>
          <w:sz w:val="16"/>
          <w:szCs w:val="16"/>
        </w:rPr>
        <w:softHyphen/>
        <w:t>ного подогрева, лучшую из которых предстояло выбрать сравнительными испытаниями. Но главной задачей в это время стало повышение летных характерис</w:t>
      </w:r>
      <w:r w:rsidRPr="00722885">
        <w:rPr>
          <w:rFonts w:ascii="Times New Roman" w:hAnsi="Times New Roman"/>
          <w:color w:val="000000" w:themeColor="text1"/>
          <w:sz w:val="16"/>
          <w:szCs w:val="16"/>
        </w:rPr>
        <w:softHyphen/>
        <w:t>тик Ла-5 (10699).</w:t>
      </w:r>
    </w:p>
    <w:p w14:paraId="74FBB3E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73177C9"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 зиме 1942 проблему запуска мотора М-82 при низких температурах частично решили: на входе капота установили передние жалюзи, отсутствовавшие на самолётах первых серий, утеплили ВМГ, ввели хорошо зареко</w:t>
      </w:r>
      <w:r w:rsidRPr="00722885">
        <w:rPr>
          <w:rFonts w:ascii="Times New Roman" w:cs="Times New Roman"/>
          <w:color w:val="000000" w:themeColor="text1"/>
          <w:spacing w:val="0"/>
        </w:rPr>
        <w:softHyphen/>
        <w:t>мендовавшую себя ранее систему разжижения масла бензином и предусмотрели воз</w:t>
      </w:r>
      <w:r w:rsidRPr="00722885">
        <w:rPr>
          <w:rFonts w:ascii="Times New Roman" w:cs="Times New Roman"/>
          <w:color w:val="000000" w:themeColor="text1"/>
          <w:spacing w:val="0"/>
        </w:rPr>
        <w:softHyphen/>
        <w:t>можность подогрева мотора лампами АПЛ-1. Параллельно ЦИАМ, ЛИИ и НИИ ВВС разрабатывали разные варианты систем холодного запуска без предварительного по</w:t>
      </w:r>
      <w:r w:rsidRPr="00722885">
        <w:rPr>
          <w:rFonts w:ascii="Times New Roman" w:cs="Times New Roman"/>
          <w:color w:val="000000" w:themeColor="text1"/>
          <w:spacing w:val="0"/>
        </w:rPr>
        <w:softHyphen/>
        <w:t>догрева, лучшую из них предстояло выбрать сравнительными испытаниями (15813).</w:t>
      </w:r>
    </w:p>
    <w:p w14:paraId="3FCD5653" w14:textId="77777777" w:rsidR="00A3483C" w:rsidRPr="00722885" w:rsidRDefault="00A3483C" w:rsidP="00722885">
      <w:pPr>
        <w:pStyle w:val="27"/>
        <w:shd w:val="clear" w:color="auto" w:fill="auto"/>
        <w:spacing w:after="0" w:line="240" w:lineRule="auto"/>
        <w:ind w:firstLine="0"/>
        <w:rPr>
          <w:rFonts w:ascii="Times New Roman" w:cs="Times New Roman"/>
          <w:color w:val="000000" w:themeColor="text1"/>
          <w:spacing w:val="0"/>
        </w:rPr>
      </w:pPr>
    </w:p>
    <w:p w14:paraId="4375952E"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0E8D630" w14:textId="77777777" w:rsidR="00BB6316" w:rsidRPr="00722885" w:rsidRDefault="00BB6316" w:rsidP="00722885">
      <w:pPr>
        <w:pStyle w:val="Iauiue"/>
        <w:jc w:val="both"/>
        <w:rPr>
          <w:iCs/>
          <w:color w:val="000000" w:themeColor="text1"/>
          <w:sz w:val="16"/>
          <w:szCs w:val="16"/>
        </w:rPr>
      </w:pPr>
    </w:p>
    <w:p w14:paraId="4F6DA60F" w14:textId="77777777"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 декабря 1942 в штабе ВВС КА было при</w:t>
      </w:r>
      <w:r w:rsidRPr="00722885">
        <w:rPr>
          <w:color w:val="000000" w:themeColor="text1"/>
          <w:sz w:val="16"/>
          <w:szCs w:val="16"/>
        </w:rPr>
        <w:softHyphen/>
        <w:t>нято решение «о проведении войсковых испытаний на боевое применение Ил-2 с АМ-38, вооруженных 37-мм пушками конструкции ОКБ-15» в 16-й воз</w:t>
      </w:r>
      <w:r w:rsidRPr="00722885">
        <w:rPr>
          <w:color w:val="000000" w:themeColor="text1"/>
          <w:sz w:val="16"/>
          <w:szCs w:val="16"/>
        </w:rPr>
        <w:softHyphen/>
        <w:t>душной армии Донского фронта. Соответствующий приказ командующего ВВС был подписан 3 де</w:t>
      </w:r>
      <w:r w:rsidRPr="00722885">
        <w:rPr>
          <w:color w:val="000000" w:themeColor="text1"/>
          <w:sz w:val="16"/>
          <w:szCs w:val="16"/>
        </w:rPr>
        <w:softHyphen/>
        <w:t>кабря.</w:t>
      </w:r>
    </w:p>
    <w:p w14:paraId="3C887740" w14:textId="77777777"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Согласно приказу испытания необходимо было начать 6 декабря. Ответственным за организацию проведения войсковых испытаний назначался на</w:t>
      </w:r>
      <w:r w:rsidRPr="00722885">
        <w:rPr>
          <w:color w:val="000000" w:themeColor="text1"/>
          <w:sz w:val="16"/>
          <w:szCs w:val="16"/>
        </w:rPr>
        <w:softHyphen/>
        <w:t>чальник НИИ ВВС генерал-майор П. А. Лосюков. Командующий 16 ВА генерал-майор С. И. Руденко должен был провести испытания в полном соответ</w:t>
      </w:r>
      <w:r w:rsidRPr="00722885">
        <w:rPr>
          <w:color w:val="000000" w:themeColor="text1"/>
          <w:sz w:val="16"/>
          <w:szCs w:val="16"/>
        </w:rPr>
        <w:softHyphen/>
        <w:t>ствии с программой, утвержденной главным инже</w:t>
      </w:r>
      <w:r w:rsidRPr="00722885">
        <w:rPr>
          <w:color w:val="000000" w:themeColor="text1"/>
          <w:sz w:val="16"/>
          <w:szCs w:val="16"/>
        </w:rPr>
        <w:softHyphen/>
        <w:t>нером ВВС КА. При этом требовалось «не разбрасы</w:t>
      </w:r>
      <w:r w:rsidRPr="00722885">
        <w:rPr>
          <w:color w:val="000000" w:themeColor="text1"/>
          <w:sz w:val="16"/>
          <w:szCs w:val="16"/>
        </w:rPr>
        <w:softHyphen/>
        <w:t>вать самолеты по нескольким полкам» (17500).</w:t>
      </w:r>
    </w:p>
    <w:p w14:paraId="5A539802" w14:textId="77777777" w:rsidR="00A92D60" w:rsidRPr="00722885" w:rsidRDefault="00A92D60" w:rsidP="00722885">
      <w:pPr>
        <w:spacing w:after="0" w:line="240" w:lineRule="auto"/>
        <w:jc w:val="both"/>
        <w:rPr>
          <w:rFonts w:ascii="Times New Roman" w:eastAsia="Times New Roman" w:hAnsi="Times New Roman"/>
          <w:color w:val="000000" w:themeColor="text1"/>
          <w:sz w:val="16"/>
          <w:szCs w:val="16"/>
          <w:lang w:eastAsia="ru-RU"/>
        </w:rPr>
      </w:pPr>
    </w:p>
    <w:p w14:paraId="53FB62B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декабря 1942 Кузнецов писал Репину письмо N 7720 тс/мп:</w:t>
      </w:r>
    </w:p>
    <w:p w14:paraId="6E05CB3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связи с поступлением на заводы НКАП бензина, несоответствующего установленному стандарту с исходным октановым числом Б-72-73 вместо Б-78 мотор АМ-38 на установленных режимах, согласно ТУ, детонирует на взлетной и номинальной мощности.</w:t>
      </w:r>
    </w:p>
    <w:p w14:paraId="6F5299B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выявления возможности работы АМ-38 без детонации на топливе с исходным октановым числом Б-72-73 вместо Б-78 заводами 24, 1 и 18 проведена работа по подбору взлетного и номинального режимов на указанном топливе без детонации с мин. потерями ЛД Ил-2 с АМ-38.</w:t>
      </w:r>
    </w:p>
    <w:p w14:paraId="4EDF979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 установлении новых режимов работы АМ-38 на самолете Ил-2, взлетные свойства будут практически одинаковые, макс. гор. скорость на номинальном режиме будет меньше на 7-10 км/час</w:t>
      </w:r>
    </w:p>
    <w:p w14:paraId="72C71F7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Прошу Вас временно, до поступления топлива, соответствующего стандарту, дать срочное указание военпредам заводов 24, 45, 1, 18 и 30 о приемке моторов АМ-38 и самолетов Ил-2 с АМ-38 на новых установленных режимах (1632,202).</w:t>
      </w:r>
    </w:p>
    <w:p w14:paraId="5C0E3CF7" w14:textId="77777777" w:rsidR="00BB6316" w:rsidRPr="00722885" w:rsidRDefault="00BB6316" w:rsidP="00722885">
      <w:pPr>
        <w:pStyle w:val="Iauiue"/>
        <w:jc w:val="both"/>
        <w:rPr>
          <w:color w:val="000000" w:themeColor="text1"/>
          <w:sz w:val="16"/>
          <w:szCs w:val="16"/>
        </w:rPr>
      </w:pPr>
    </w:p>
    <w:p w14:paraId="2945C6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декабря 1942 согласно журнала наблюдения за проектированием, постройкой и испытаниями МиГ-5 2АМ-37 и 2М-82 2-й вариант с-та был готов для летных испытаний, которые должны были производиься в ЛИИ НКАП (990,8).</w:t>
      </w:r>
    </w:p>
    <w:p w14:paraId="74EDE50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5779FA5" w14:textId="77777777" w:rsidR="00AD5651" w:rsidRPr="00722885" w:rsidRDefault="00AD5651"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 1 декабря 1942 ДИС-200 (ИТ) довели до летного состоя</w:t>
      </w:r>
      <w:r w:rsidRPr="00722885">
        <w:rPr>
          <w:rFonts w:ascii="Times New Roman" w:cs="Times New Roman"/>
          <w:color w:val="000000" w:themeColor="text1"/>
          <w:spacing w:val="0"/>
        </w:rPr>
        <w:softHyphen/>
        <w:t>ния. На нем устранили все выявленные при приемке на ЛИС производствен</w:t>
      </w:r>
      <w:r w:rsidRPr="00722885">
        <w:rPr>
          <w:rFonts w:ascii="Times New Roman" w:cs="Times New Roman"/>
          <w:color w:val="000000" w:themeColor="text1"/>
          <w:spacing w:val="0"/>
        </w:rPr>
        <w:softHyphen/>
        <w:t>ные дефекты, установили винты АВ-118, провели гонку моторов. Однако первый полет продолжительностью 15 мин уда</w:t>
      </w:r>
      <w:r w:rsidRPr="00722885">
        <w:rPr>
          <w:rFonts w:ascii="Times New Roman" w:cs="Times New Roman"/>
          <w:color w:val="000000" w:themeColor="text1"/>
          <w:spacing w:val="0"/>
        </w:rPr>
        <w:softHyphen/>
        <w:t>лось выполнить только 28 января 1943 г. В полете ненормально работали бес</w:t>
      </w:r>
      <w:r w:rsidRPr="00722885">
        <w:rPr>
          <w:rFonts w:ascii="Times New Roman" w:cs="Times New Roman"/>
          <w:color w:val="000000" w:themeColor="text1"/>
          <w:spacing w:val="0"/>
        </w:rPr>
        <w:softHyphen/>
        <w:t>поплавковые карбюраторы БП-82. Помучавшись около месяца, карбюрато</w:t>
      </w:r>
      <w:r w:rsidRPr="00722885">
        <w:rPr>
          <w:rFonts w:ascii="Times New Roman" w:cs="Times New Roman"/>
          <w:color w:val="000000" w:themeColor="text1"/>
          <w:spacing w:val="0"/>
        </w:rPr>
        <w:softHyphen/>
        <w:t>ры отправили в ЦИАМ для регулировки. К 8 марта их «вернули» на самолет, но полеты по программе испытаний так и не начались. Сначала не было свобод</w:t>
      </w:r>
      <w:r w:rsidRPr="00722885">
        <w:rPr>
          <w:rFonts w:ascii="Times New Roman" w:cs="Times New Roman"/>
          <w:color w:val="000000" w:themeColor="text1"/>
          <w:spacing w:val="0"/>
        </w:rPr>
        <w:softHyphen/>
        <w:t>ных летчиков, а вскоре все работы по ДИС-200 (ИТ) свернули. Как следует из документов, последняя гонка моторов была 15 мая, а к 10 октября 1943 г. с са</w:t>
      </w:r>
      <w:r w:rsidRPr="00722885">
        <w:rPr>
          <w:rFonts w:ascii="Times New Roman" w:cs="Times New Roman"/>
          <w:color w:val="000000" w:themeColor="text1"/>
          <w:spacing w:val="0"/>
        </w:rPr>
        <w:softHyphen/>
        <w:t>молета сняли винты и отправили в ЛИИ НКАП. После 29 октября самолет в свод</w:t>
      </w:r>
      <w:r w:rsidRPr="00722885">
        <w:rPr>
          <w:rFonts w:ascii="Times New Roman" w:cs="Times New Roman"/>
          <w:color w:val="000000" w:themeColor="text1"/>
          <w:spacing w:val="0"/>
        </w:rPr>
        <w:softHyphen/>
        <w:t>ках НИИ ВВС по опытному строительст</w:t>
      </w:r>
      <w:r w:rsidRPr="00722885">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722885">
        <w:rPr>
          <w:rFonts w:ascii="Times New Roman" w:cs="Times New Roman"/>
          <w:color w:val="000000" w:themeColor="text1"/>
          <w:spacing w:val="0"/>
        </w:rPr>
        <w:softHyphen/>
        <w:t>соте 5000 м. Расчетная дальность по</w:t>
      </w:r>
      <w:r w:rsidRPr="00722885">
        <w:rPr>
          <w:rFonts w:ascii="Times New Roman" w:cs="Times New Roman"/>
          <w:color w:val="000000" w:themeColor="text1"/>
          <w:spacing w:val="0"/>
        </w:rPr>
        <w:softHyphen/>
        <w:t>лета - 2500 км. Практический потолок - 9800 м (15755).</w:t>
      </w:r>
    </w:p>
    <w:p w14:paraId="39346B03" w14:textId="77777777" w:rsidR="00AD5651" w:rsidRPr="00722885" w:rsidRDefault="00AD5651" w:rsidP="00722885">
      <w:pPr>
        <w:pStyle w:val="27"/>
        <w:shd w:val="clear" w:color="auto" w:fill="auto"/>
        <w:spacing w:after="0" w:line="240" w:lineRule="auto"/>
        <w:ind w:firstLine="0"/>
        <w:rPr>
          <w:rFonts w:ascii="Times New Roman" w:cs="Times New Roman"/>
          <w:color w:val="000000" w:themeColor="text1"/>
          <w:spacing w:val="0"/>
        </w:rPr>
      </w:pPr>
    </w:p>
    <w:p w14:paraId="2AFA25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 декабря 1942 г. на серийных Ла-5 внедрили герметизацию капотов, улучшили качество поверхностей и стыков, доработали предкрылки, повысив их прочность и сделав выпуск более плавным (11123).</w:t>
      </w:r>
    </w:p>
    <w:p w14:paraId="597A06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тому времени уже существовал модифицированный двигатель М-82Ф, в котором были улучшены система управления форсажем, маслосистема и установлена новая муфта ПЦН. Мощность этого ва</w:t>
      </w:r>
      <w:r w:rsidRPr="00722885">
        <w:rPr>
          <w:rFonts w:ascii="Times New Roman" w:hAnsi="Times New Roman"/>
          <w:color w:val="000000" w:themeColor="text1"/>
          <w:sz w:val="16"/>
          <w:szCs w:val="16"/>
        </w:rPr>
        <w:softHyphen/>
        <w:t>рианта на высоте 600 м увеличили на 300 л.с. По сравнению с М-82А первая граница высотности была снижена с 1580 до 800 м, зато мощность на этой высоте выросла с 1540 до 1760 л.с. (по этой «бое</w:t>
      </w:r>
      <w:r w:rsidRPr="00722885">
        <w:rPr>
          <w:rFonts w:ascii="Times New Roman" w:hAnsi="Times New Roman"/>
          <w:color w:val="000000" w:themeColor="text1"/>
          <w:sz w:val="16"/>
          <w:szCs w:val="16"/>
        </w:rPr>
        <w:softHyphen/>
        <w:t>вой» мощности М-82Ф превосходил даже М-82ФН). Вторая граница высотности у М-82А и Ф была одинаковой — на 5410 м удавалось развить 1330 л.с. Масса М-82Ф выросла лишь на 20 кг. Использовать этот мотор на Ла-5 предписывал приказ НКАП № 744 от 4 октября (11123).</w:t>
      </w:r>
    </w:p>
    <w:p w14:paraId="3953C44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обозначению двигателя новая модификация истребителя получила индекс Ла-5Ф (внутризаводской шифр — «тип 38Ф»). На этой машине, кроме обновленной ВМГ, внедрили фюзеляж с пони</w:t>
      </w:r>
      <w:r w:rsidRPr="00722885">
        <w:rPr>
          <w:rFonts w:ascii="Times New Roman" w:hAnsi="Times New Roman"/>
          <w:color w:val="000000" w:themeColor="text1"/>
          <w:sz w:val="16"/>
          <w:szCs w:val="16"/>
        </w:rPr>
        <w:softHyphen/>
        <w:t>женным гаргротом, а крыло, оперение, шасси, вооружение и систе</w:t>
      </w:r>
      <w:r w:rsidRPr="00722885">
        <w:rPr>
          <w:rFonts w:ascii="Times New Roman" w:hAnsi="Times New Roman"/>
          <w:color w:val="000000" w:themeColor="text1"/>
          <w:sz w:val="16"/>
          <w:szCs w:val="16"/>
        </w:rPr>
        <w:softHyphen/>
        <w:t>мы оставили прежними. При подготовке к запуску в серийное про</w:t>
      </w:r>
      <w:r w:rsidRPr="00722885">
        <w:rPr>
          <w:rFonts w:ascii="Times New Roman" w:hAnsi="Times New Roman"/>
          <w:color w:val="000000" w:themeColor="text1"/>
          <w:sz w:val="16"/>
          <w:szCs w:val="16"/>
        </w:rPr>
        <w:softHyphen/>
        <w:t>изводство этой версии пересчитали прочность самолета, новую конструкцию проверили в статзале СибНИА и одобрили. Опытных образцов не строили, выполнив весь цикл заводских, Государст</w:t>
      </w:r>
      <w:r w:rsidRPr="00722885">
        <w:rPr>
          <w:rFonts w:ascii="Times New Roman" w:hAnsi="Times New Roman"/>
          <w:color w:val="000000" w:themeColor="text1"/>
          <w:sz w:val="16"/>
          <w:szCs w:val="16"/>
        </w:rPr>
        <w:softHyphen/>
        <w:t>венных и войсковых испытаний, а также доводку самолета в корот</w:t>
      </w:r>
      <w:r w:rsidRPr="00722885">
        <w:rPr>
          <w:rFonts w:ascii="Times New Roman" w:hAnsi="Times New Roman"/>
          <w:color w:val="000000" w:themeColor="text1"/>
          <w:sz w:val="16"/>
          <w:szCs w:val="16"/>
        </w:rPr>
        <w:softHyphen/>
        <w:t>кие сроки на головной серии. За счет облегчения конструкции и снятия части оборудования взлетный вес «эталона» Ла-5Ф по срав</w:t>
      </w:r>
      <w:r w:rsidRPr="00722885">
        <w:rPr>
          <w:rFonts w:ascii="Times New Roman" w:hAnsi="Times New Roman"/>
          <w:color w:val="000000" w:themeColor="text1"/>
          <w:sz w:val="16"/>
          <w:szCs w:val="16"/>
        </w:rPr>
        <w:softHyphen/>
        <w:t>нению с Ла-5 М-82А удалось снизить на 160 кг. Скорость у земли выросла на 50 км/ч, а на второй границе высотности — на 20 км/ч. Время набора 5000 м сократилось на 30 с, а установившийся вираж на высоте 1000 м получался быстрее на 2-3 с. Первоначально вре</w:t>
      </w:r>
      <w:r w:rsidRPr="00722885">
        <w:rPr>
          <w:rFonts w:ascii="Times New Roman" w:hAnsi="Times New Roman"/>
          <w:color w:val="000000" w:themeColor="text1"/>
          <w:sz w:val="16"/>
          <w:szCs w:val="16"/>
        </w:rPr>
        <w:softHyphen/>
        <w:t>мя использования форсажа было ограничено, но с 1 апреля 1943 г. ограничение сняли приказом НКАП №183 (11123).</w:t>
      </w:r>
    </w:p>
    <w:p w14:paraId="5D9CC59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проведенные в августе 1943 г. в НИИ ВВС контрольные испытания серийного Ла-5Ф № 37-18 показали снижение скорости у земли на 10 км/ч, на границе высотности на 5 км/ч и увеличение времени набора высоты 5 км на 30-40 с по сравнению с машинами головной серии. Уменьшение высотности произошло из-за непра</w:t>
      </w:r>
      <w:r w:rsidRPr="00722885">
        <w:rPr>
          <w:rFonts w:ascii="Times New Roman" w:hAnsi="Times New Roman"/>
          <w:color w:val="000000" w:themeColor="text1"/>
          <w:sz w:val="16"/>
          <w:szCs w:val="16"/>
        </w:rPr>
        <w:softHyphen/>
        <w:t>вильной регулировки проводки управления мотором, что было по</w:t>
      </w:r>
      <w:r w:rsidRPr="00722885">
        <w:rPr>
          <w:rFonts w:ascii="Times New Roman" w:hAnsi="Times New Roman"/>
          <w:color w:val="000000" w:themeColor="text1"/>
          <w:sz w:val="16"/>
          <w:szCs w:val="16"/>
        </w:rPr>
        <w:softHyphen/>
        <w:t>правимо. Хуже оказалось превышение нормы температуры головок цилиндров (11123).</w:t>
      </w:r>
    </w:p>
    <w:p w14:paraId="6255BCE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самолетостроителей требовалось не только создание новых модификаций Ла-5, но и улучшение качества серийной продукции. В войсках жаловались, что дальность Ла-5Ф меньше гарантирован</w:t>
      </w:r>
      <w:r w:rsidRPr="00722885">
        <w:rPr>
          <w:rFonts w:ascii="Times New Roman" w:hAnsi="Times New Roman"/>
          <w:color w:val="000000" w:themeColor="text1"/>
          <w:sz w:val="16"/>
          <w:szCs w:val="16"/>
        </w:rPr>
        <w:softHyphen/>
        <w:t>ной из-за неустойчивой работы карбюратора АК-82БП, допускав</w:t>
      </w:r>
      <w:r w:rsidRPr="00722885">
        <w:rPr>
          <w:rFonts w:ascii="Times New Roman" w:hAnsi="Times New Roman"/>
          <w:color w:val="000000" w:themeColor="text1"/>
          <w:sz w:val="16"/>
          <w:szCs w:val="16"/>
        </w:rPr>
        <w:softHyphen/>
        <w:t>шего переобогащение смеси на режиме «скоростной дальности». Контрольные испытания на дальность на наивыгоднейшем режиме на высоте 500-1000 м, проведенные на Ла-5 М-82А № 37210444 выпуска октября 1942 г., дали 970 км, самолета № 37212124, по</w:t>
      </w:r>
      <w:r w:rsidRPr="00722885">
        <w:rPr>
          <w:rFonts w:ascii="Times New Roman" w:hAnsi="Times New Roman"/>
          <w:color w:val="000000" w:themeColor="text1"/>
          <w:sz w:val="16"/>
          <w:szCs w:val="16"/>
        </w:rPr>
        <w:softHyphen/>
        <w:t>строенного в июле 1943 г., — 820, а Ла-5Ф №37212501Ф, сданного в июне, — 580 км при одинаковой заправке в 340 л. После этого на основании приказа НКАП № 602с от 29 октября 1943 г. разработали и внедрили в серию на Ла-5 улучшенный карбюратор (11123).</w:t>
      </w:r>
    </w:p>
    <w:p w14:paraId="0E3CAB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88B65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декабря 1942 г. из ОТЧЕТА ДИРЕКТОРА ЗАВОДА № 153 П.С. РОМАНОВА ЗА НОЯБРЬ 1942 г.</w:t>
      </w:r>
    </w:p>
    <w:p w14:paraId="26B075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Выполнение плана по товарному выпуску - 124,6 процента, по валовому выпуску - 92,6 процента. Производительность труда — 102,3 процента, обеспеченность рабочей силой — 90,5 процента, обеспеченность ИТР — 103,4 процента, средний процент выработки норм рабочими — 150 процентов, рабочих, выполняющих нормы, — 830, человеко/часов простоев - 19 199, простои к отработанному времени - 0,55 ... В социалистическом соревновании ноября месяца 1942 года высокие образцы производительности труда показали следующие товарищи: т. ПЕТРОВ Семен Иванович, токарь 6[-го] разряда, год рождения 1913, б/п, средний процент выполнения нормы за ноябрь месяц — 208%; т. ЯНКОВИЧ Борис Николаевич, токарь 3[-го] разряда, год рождения 1924, б/п, средний процент выполнения нормы за ноябрь месяц - 214%; т. КРЫМСКИЙ Ж.З., токарь 6(-roJ разряда, средний процент выполнения нормы за ноябрь месяц составляет 500%, лучший рационализатор; т. ТЮСТИН, токарь 6[-го) разряда, средний процент выполнения нормы за ноябрь - 535%; т. ЕВТУШЕНКО Антон Михайлович, слесарь-вооруженец 5[-го] разряда, средний процент выполнения нормы за ноябрь - 373%; т. СИДОРОВ Александр Михайлович, слесарь-вооруженец 5[-го] разряда, средний процент выполнения нормы за ноябрь — 258%; т. ПЕТРОВ Степан Васильевич, слесарь-сборщик 5[-го1 разряда, средний процент выполнения нормы за ноябрь месяц достигнут на 258%; т. СОЛОВЬЕВ Иван ВАСИЛЬЕВИЧ, фрезеровщик 5(-го] разряда, средний процент выполнения нормы за ноябрь - 405%, рационализатор; т. ЯКУШЕНКО Алексей Иванович, токарь 5(-го] разряда, средний процент выполнения нормы за ноябрь — 258%; т. ТЕТРАШКОВ Алексей Сергеевич, столяр 3[-го] разряда, средний процент выполнения нормы за ноябрь — 301%; т. ТЕТРАШКОВ, молодой рабочий, год рождения 1922, хорошо справляется с выполнением плана; т. ТРИСТЬЯНЕНКО Дмитрий Карпович, маляр 5[-го] разряда, средний процент выполнения нормы за ноябрь - 345%. По изобретательству за ноябрь месяц внедрено 100 предложений с эффективностью в 609 тысяч рублей.</w:t>
      </w:r>
    </w:p>
    <w:p w14:paraId="5A9D1C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завода № 153 имени В.П. Чкалова Романов</w:t>
      </w:r>
    </w:p>
    <w:p w14:paraId="58629A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Оп. 34. Д. 159. Л. 76-78. Подлинник.</w:t>
      </w:r>
    </w:p>
    <w:p w14:paraId="59CEF9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Подпись-автограф. Документ подготовлен в 3 экз.. отправлен в обком ВКП(б). горком ВКП(б) 1/ХИ 1942 г (12193).</w:t>
      </w:r>
    </w:p>
    <w:p w14:paraId="7456942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87E3F3C"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E4CBAEF" w14:textId="77777777" w:rsidR="00BB6316" w:rsidRPr="00722885" w:rsidRDefault="00BB6316" w:rsidP="00722885">
      <w:pPr>
        <w:pStyle w:val="Iauiue"/>
        <w:jc w:val="both"/>
        <w:rPr>
          <w:iCs/>
          <w:color w:val="000000" w:themeColor="text1"/>
          <w:sz w:val="16"/>
          <w:szCs w:val="16"/>
        </w:rPr>
      </w:pPr>
    </w:p>
    <w:p w14:paraId="40AC505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декабря 1942 г. официально считается, что началось производство СУ-122 и все машины первой серии были доработаны по результатам предварительных испытаний, но это не обязательно так. Например, известно, что первые 8 САУ, поступившие в Учебный Центр Самоходной артиллерии вентиляторов боевой рубки не имели (также не имели даже креплений для вентиляторов), кроме того, все поступившие в первые месяцы СУ-122 были спешно приспособлены силами Центра к установке радиостанций самолетного типа, переданных из Наркомата Авиапромышленности. Всего из 55 САУ первой серии в войска было отправлено 24 шт.</w:t>
      </w:r>
    </w:p>
    <w:p w14:paraId="2D94156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Учебный Центр Самоходной артиллерии характеризовал первые СУ-122 как чрезмерно тяжелые (свыше 31,5 т.), сложные в освоении и склонные к поломкам ходовой части (4017).</w:t>
      </w:r>
    </w:p>
    <w:p w14:paraId="25067999" w14:textId="77777777" w:rsidR="00BB6316" w:rsidRPr="00722885" w:rsidRDefault="00BB6316" w:rsidP="00722885">
      <w:pPr>
        <w:pStyle w:val="Iauiue"/>
        <w:jc w:val="both"/>
        <w:rPr>
          <w:color w:val="000000" w:themeColor="text1"/>
          <w:sz w:val="16"/>
          <w:szCs w:val="16"/>
        </w:rPr>
      </w:pPr>
    </w:p>
    <w:p w14:paraId="0473A041"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 декабря 1942 вышло Постановление ГКО № 2558 О строительстве водопровода и расширении электростанций в гор. Омске. (7065, 35-37).</w:t>
      </w:r>
    </w:p>
    <w:p w14:paraId="62D77D88" w14:textId="77777777" w:rsidR="00BB6316" w:rsidRPr="00722885" w:rsidRDefault="00BB6316" w:rsidP="00722885">
      <w:pPr>
        <w:pStyle w:val="Iauiue"/>
        <w:tabs>
          <w:tab w:val="left" w:pos="11199"/>
        </w:tabs>
        <w:jc w:val="both"/>
        <w:rPr>
          <w:color w:val="000000" w:themeColor="text1"/>
          <w:sz w:val="16"/>
          <w:szCs w:val="16"/>
        </w:rPr>
      </w:pPr>
    </w:p>
    <w:p w14:paraId="7FF7B2C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декабря 1942 года была подготовлена справка:</w:t>
      </w:r>
    </w:p>
    <w:p w14:paraId="5C927D7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356 – Свердловск (9267).</w:t>
      </w:r>
    </w:p>
    <w:p w14:paraId="7AE44420" w14:textId="77777777" w:rsidR="00BB6316" w:rsidRPr="00722885" w:rsidRDefault="00BB6316" w:rsidP="00722885">
      <w:pPr>
        <w:pStyle w:val="Iauiue"/>
        <w:jc w:val="both"/>
        <w:rPr>
          <w:color w:val="000000" w:themeColor="text1"/>
          <w:sz w:val="16"/>
          <w:szCs w:val="16"/>
        </w:rPr>
      </w:pPr>
    </w:p>
    <w:p w14:paraId="221670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декабря 1942 г. в составе одной атмосферной трубчатой установки мощностью 500 тыс. т нефти в год был введен в эксплуатацию Завод № 409 НКХП, НКнефти, Комсомольский-на-Амуре нефтеперерабатывающий завод (НПЗ), ПО, АООТ, ОАО «Комсомольский НПЗ» /681007  г. Комсомольск-на-Амуре Хабаровского кр. ул. Ленинградская, 115/.</w:t>
      </w:r>
    </w:p>
    <w:p w14:paraId="51D9F4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ПО «Комсомольский НПЗ» преобразовано в АООТ.</w:t>
      </w:r>
    </w:p>
    <w:p w14:paraId="3193BA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2000-е  г. мощность завода по переработке нефти- около 6 млн. т в год.</w:t>
      </w:r>
    </w:p>
    <w:p w14:paraId="0B76B4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(2006 г.)- 1500 чел.</w:t>
      </w:r>
    </w:p>
    <w:p w14:paraId="63E9C3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(1995 г.-)- В.Д. Пономарев, (2002-06 г.-)- В.В. Ежов (11982).</w:t>
      </w:r>
    </w:p>
    <w:p w14:paraId="19ED0B9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5E1697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398692E" w14:textId="77777777" w:rsidR="00BB6316" w:rsidRPr="00722885" w:rsidRDefault="00BB6316" w:rsidP="00722885">
      <w:pPr>
        <w:pStyle w:val="Iauiue"/>
        <w:jc w:val="both"/>
        <w:rPr>
          <w:iCs/>
          <w:color w:val="000000" w:themeColor="text1"/>
          <w:sz w:val="16"/>
          <w:szCs w:val="16"/>
        </w:rPr>
      </w:pPr>
    </w:p>
    <w:p w14:paraId="2907C6DB"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 декабря </w:t>
      </w:r>
      <w:r w:rsidRPr="00722885">
        <w:rPr>
          <w:rFonts w:ascii="Times New Roman" w:hAnsi="Times New Roman"/>
          <w:color w:val="000000" w:themeColor="text1"/>
          <w:sz w:val="16"/>
          <w:szCs w:val="16"/>
        </w:rPr>
        <w:t>в 1942 году утреннее сообщение Совинформбюро:</w:t>
      </w:r>
    </w:p>
    <w:p w14:paraId="2A647B6E"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 декабря в районе Сталинграда и на Центральном фронте наши войска продолжали наступление на прежних направлениях.</w:t>
      </w:r>
    </w:p>
    <w:p w14:paraId="6BDFE374"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южной части города Сталинграда наши войска отбили несколько атак противника, следовавших одна за другой. В этом бою гитлеровцы потеряли убитыми до 300 солдат и офицеров. На другом участке наши подразделения выбили гитлеровцев из 8 дзотов и блиндажей. Огнём артиллерии и миномётов уничтожено 27 огневых точек противника.</w:t>
      </w:r>
    </w:p>
    <w:p w14:paraId="0725D7B3"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наступательные операции. Бойцы Н-ской части заняли укреплённый пункт противника, уничтожив при этом 250 немецких солдат и офицеров. Подбито 6 и сожжено 4 вражеских танка. Захвачены 5 орудий, 7 миномётов, 11 пулемётов и 21 автомашина. На другом участке были рассеяны артиллерийским и миномётным огнём танки и пехота противника, пытавшиеся атаковать наши части.</w:t>
      </w:r>
    </w:p>
    <w:p w14:paraId="51D0998F"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с боями продвигались вперёд. Цепляясь за населённые пункты, противник пытается задержать наступление советских войск, но под ударами артиллерии, танков, подвижных отрядов пехоты и кавалерии вынужден откатываться на юго-запад. В течение ночи в районе двух населенных пунктовнашими частями истреблено свыше 700 солдат и офицеров противника. Уничтожено 16 орудий, 39 пулемётов и 43 автомашины. Захвачены трофеи и пленные. На другом участке наши кавалеристы захватили 50 автомашин и большой обоз с военнымимуществом.</w:t>
      </w:r>
    </w:p>
    <w:p w14:paraId="4A9FF13E"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преодолевая сопротивление противника, заняли несколько населённых пунктов. Упорные бои идут за каждое селение, превращенное немцами в укреплённый оборонительный пункт. На одном из направлений нашим соединением разгромлены штабы танкового и стрелкового полков противника. В ходе боя уничтожено до 1.000 немецких солдат и офицеров. У населённого пункта К.6 танков и большая группа немецких автоматчиков контратаковали подразделение старшего лейтенанта Назарова. Ружейно-пулемётным огнём немецкие автоматчики были отсечены от танков. Оставив на поле боя 3 подбитых танка и много трупов, немцы отошли на исходные позиции.</w:t>
      </w:r>
    </w:p>
    <w:p w14:paraId="74F6BFBF"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витебских партизан в бою с немецкой карательной экспедицией истребил 50 гитлеровцев. Оставшиеся в живых каратели спаслись бегством. Несколько дней спустя партизаны совершили налёт на гарнизон противника в населённом пункте и истребили свыше 100 немецко-фашистских оккупантов. Партизаны захватили склад с продовольствием, награбленным гитлеровцами у населения. Продовольствие возвращено колхозникам ближайших деревень.</w:t>
      </w:r>
    </w:p>
    <w:p w14:paraId="3926F5A1"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радист унтер-офицер 376 немецкой пехотной дивизии Зигфрид Шауфельд рассказал: «Наступление русских в районе Сталинграда явилось полной неожиданностью. В этом нет ничего удивительного. Три месяца со дня на день мы все ждали падения Сталинграда. В ноябре был получен новый приказ Гитлера, вкотором он требовал во что бы то ни стало захватить Сталинград и обеспечить войскам зимние квартиры. Мы надеялись, что нам после этого предоставят длительный отдых. Когда я принял первые радиограммы о том, что русские прорвали наши укрепления, этому сообщению в штабе не поверили. Мне приказали запросить части, оборонявшие передний край. Но уже было поздно — на наши позывные никто неотвечал. Позднее мы приняли от соседних дивизий несколько панических радиограмм. Ночью передовые отряды русских настигли нас, захватили радиостанцию, а меня взяли в плен» (14847).</w:t>
      </w:r>
    </w:p>
    <w:p w14:paraId="26A9E30D" w14:textId="77777777" w:rsidR="00AD5651" w:rsidRPr="00722885" w:rsidRDefault="00AD5651" w:rsidP="00722885">
      <w:pPr>
        <w:spacing w:after="0" w:line="240" w:lineRule="auto"/>
        <w:jc w:val="both"/>
        <w:rPr>
          <w:rFonts w:ascii="Times New Roman" w:hAnsi="Times New Roman"/>
          <w:color w:val="000000" w:themeColor="text1"/>
          <w:sz w:val="16"/>
          <w:szCs w:val="16"/>
        </w:rPr>
      </w:pPr>
    </w:p>
    <w:p w14:paraId="5E784116"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 декабря </w:t>
      </w:r>
      <w:r w:rsidRPr="00722885">
        <w:rPr>
          <w:rFonts w:ascii="Times New Roman" w:hAnsi="Times New Roman"/>
          <w:color w:val="000000" w:themeColor="text1"/>
          <w:sz w:val="16"/>
          <w:szCs w:val="16"/>
        </w:rPr>
        <w:t>в 1942 году вечернее сообщение Совинформбюро:</w:t>
      </w:r>
    </w:p>
    <w:p w14:paraId="4665E141"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 декабря наши войска в районе города Сталинграда и на Центральном фронте, преодолевая упорное сопротивление противника, продолжали наступление напрежних направлениях и заняли несколько населённых пунктов.</w:t>
      </w:r>
    </w:p>
    <w:p w14:paraId="4D7F428B"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30 ноября в районе Сталинграда наши лётчики уничтожили 50 трёхмоторных транспортных самолётов противника.</w:t>
      </w:r>
    </w:p>
    <w:p w14:paraId="2628B6B9"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ноября частями нашей авиации на различных участках фронта уничтожено до 20 танков, более 300 автомашин с войсками и различными грузами, разбито 2 железнодорожных состава, подавлен огонь 15 артиллерийских и 5 миномётных батарей, взорвано три склада боеприпасов, рассеяно и частью уничтожено до полка пехоты противника.</w:t>
      </w:r>
    </w:p>
    <w:p w14:paraId="02F6A416"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войска вели огневой бой и разведку противника. Наши подразделения отбили атаки мелких групп немецкой пехоты и блокировали ряд дзотов и зданий, занятых противником. В течение дня уничтожено до 300 вражеских солдат и офицеров. На южной окраине города происходила артиллерийская и миномётная перестрелка.</w:t>
      </w:r>
    </w:p>
    <w:p w14:paraId="4B01A167"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наступательные бои на левом берегу реки Дон. Противник оказывает сопротивление, пытаясь задержать продвижение советских частей. Наши бойцы взламывают неприятельскую оборону и продвигаются вперёд. Бойцы Н-ской части на подступах к одному укреплённому пункту захватили 40 подбитых немецких танков, которые использовались гитлеровцами как огневые точки. В бою уничтожено много немецких солдат иофицеров. Противник пытается на транспортных самолётах подвозить своей группировке под Сталинградом боеприпасы и продовольствие. Наши лётчики сбили в воздухе 20 и уничтожили на аэродромах 30 немецких самолётов «Юнкерс-52». Всего, таким образом, в течение дня в районе Сталинграда уничтожено 50 трёхмоторных транспортных самолётов противника.</w:t>
      </w:r>
    </w:p>
    <w:p w14:paraId="1899DC37"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Юго-западнее Сталинграда наши войска закрепляли занятые позиции и на отдельных участках продолжали продвигаться вперёд. Н-ское соединение уничтожило 700 немецких солдат и офицеров, 8 танков, 3 бронемашины, 74 автомашины, 7 орудий, разрушило 66 блиндажей и дзотов противника. Большой успех одержали танкисты Н-ской части. В бою с врагом они уничтожили 11 шестиствольных миномётов, 10 бронемашин и разгромили два батальона немецкой пехоты.</w:t>
      </w:r>
    </w:p>
    <w:p w14:paraId="61A1F4C2"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вести наступательные бои.</w:t>
      </w:r>
    </w:p>
    <w:p w14:paraId="1D379AF5"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бойцы под командованием тт. Андрюшенко и Игошина, преодолевая упорное сопротивление противника, заняли несколько населённых пунктов. В этих боях немцы потеряли убитыми свыше 1.000 солдат и офицеров. Захвачено 3 танка, 39 орудий, 30 автомашин, 3 радиостанции, 5 складов сбоеприпасами, 2 вещевых и 2 продовольственных склада, 47.000 патронов и другое военное имущество. В районе восточнее Великих Лук бойцы части, которой командует тов. Михайлов, уничтожили 1.700 гитлеровцев и подбили 9 немецких танков и бронемашин.</w:t>
      </w:r>
    </w:p>
    <w:p w14:paraId="794072BB"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 снайперы за три дня истребили свыше 700 вражеских солдат и офицеров. Огнём артиллерии и миномётов разрушено 20 дзотов,14 блиндажей и землянок, уничтожено 6 станковых пулемётов, 2 орудия, миномёт и10 автомашин противника с боеприпасами и продовольствием.</w:t>
      </w:r>
    </w:p>
    <w:p w14:paraId="387E65F2"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витебских партизан за два месяца боевой деятельности разгромил 7 фашистских волостных управ, сжёг 9 мостов на шоссейных дорогах и истребил 340 немецких солдат и офицеров. Кроме того, партизаны этого отряда пустили под откос железнодорожный эшелон противника.</w:t>
      </w:r>
    </w:p>
    <w:p w14:paraId="6419D20C"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 территории, очищенной от противника, обнаружено 4 трупа красноармейцев, замученных гитлеровцами. Захватив в плен раненых советских бойцов, немецко-фашистские мерзавцы подвергли их чудовищным издевательствам и зверским пыткам. Бандиты раздели пленных догола. Одному бойцу палачи нанесли две ножовые раны и изрезали кисти рук. Двум бойцам фашистские изверги перерезали шеи и вырвали у них половые органы. У четвёртого красноармейца разбита вся голова. Трупы убитых бойцов фашисты бросили на окраине населённого пункта.» (14847).</w:t>
      </w:r>
    </w:p>
    <w:p w14:paraId="4D9C0E18" w14:textId="77777777" w:rsidR="00AD5651" w:rsidRPr="00722885" w:rsidRDefault="00AD5651" w:rsidP="00722885">
      <w:pPr>
        <w:spacing w:after="0" w:line="240" w:lineRule="auto"/>
        <w:jc w:val="both"/>
        <w:rPr>
          <w:rFonts w:ascii="Times New Roman" w:hAnsi="Times New Roman"/>
          <w:color w:val="000000" w:themeColor="text1"/>
          <w:sz w:val="16"/>
          <w:szCs w:val="16"/>
        </w:rPr>
      </w:pPr>
    </w:p>
    <w:p w14:paraId="76D59298" w14:textId="77777777" w:rsidR="00844375" w:rsidRPr="00722885" w:rsidRDefault="00844375" w:rsidP="00722885">
      <w:pPr>
        <w:pStyle w:val="ae"/>
        <w:spacing w:before="0" w:after="0"/>
        <w:jc w:val="both"/>
        <w:textAlignment w:val="baseline"/>
        <w:rPr>
          <w:color w:val="000000" w:themeColor="text1"/>
          <w:sz w:val="16"/>
          <w:szCs w:val="16"/>
        </w:rPr>
      </w:pPr>
      <w:r w:rsidRPr="00722885">
        <w:rPr>
          <w:color w:val="000000" w:themeColor="text1"/>
          <w:sz w:val="16"/>
          <w:szCs w:val="16"/>
        </w:rPr>
        <w:t>К 1 декабря 1942 по приказу командующего 8-й воздушной армией генерал-майора Хрюкина на аэродром Абганерово перебазировалась 214-я шад полковника С. У. Рубанова, насчитывавшая в тот момент 77 Ил-2, а также группа из 19 Ил-2 из 206-й шад. Для тактического взаимодействия со штурмовиками сюда же прибыли несколько истребительных полков. Командование всей этой сводной авиагруппой было поручено командиру 206-й шад полковнику В. А. Срывкину. Одновременно командование 16-й воздушной армии выделило для ударов по немецким аэродромам 228-ю шад подполковника Г. И. Комарова.</w:t>
      </w:r>
    </w:p>
    <w:p w14:paraId="7A65D64A" w14:textId="77777777" w:rsidR="00844375" w:rsidRPr="00722885" w:rsidRDefault="00844375" w:rsidP="00722885">
      <w:pPr>
        <w:pStyle w:val="ae"/>
        <w:spacing w:before="0" w:after="0"/>
        <w:jc w:val="both"/>
        <w:textAlignment w:val="baseline"/>
        <w:rPr>
          <w:color w:val="000000" w:themeColor="text1"/>
          <w:sz w:val="16"/>
          <w:szCs w:val="16"/>
        </w:rPr>
      </w:pPr>
      <w:r w:rsidRPr="00722885">
        <w:rPr>
          <w:color w:val="000000" w:themeColor="text1"/>
          <w:sz w:val="16"/>
          <w:szCs w:val="16"/>
        </w:rPr>
        <w:t>Сами атаки были спланированы по старинке. Командиры полков основную ставку делали на «скрытые маршруты подхода», внезапность появления над целью и удары с бреющего полета. Однако соблюсти все это на деле никогда не получалось. Германская служба наблюдения всегда заблаговременно засекала приближение «чумы». Над целью штурмовики появлялись не в строгом боевом порядке, а в хаотичном растянутом строю. Бомбы сбрасывались с первого же захода, причем летчики ориентировались не по прицелу, коего, собственно, в прямом смысле слова на Ил-2 и не было, а по своему ведущему, сбросил он — сбрасывают все куда бог пошлет. Развернувшись после атаки, самолеты по прямой шли в сторону своего аэродрома.</w:t>
      </w:r>
    </w:p>
    <w:p w14:paraId="2FDAC580" w14:textId="77777777" w:rsidR="00844375" w:rsidRPr="00722885" w:rsidRDefault="00844375" w:rsidP="00722885">
      <w:pPr>
        <w:pStyle w:val="ae"/>
        <w:spacing w:before="0" w:after="0"/>
        <w:jc w:val="both"/>
        <w:textAlignment w:val="baseline"/>
        <w:rPr>
          <w:color w:val="000000" w:themeColor="text1"/>
          <w:sz w:val="16"/>
          <w:szCs w:val="16"/>
        </w:rPr>
      </w:pPr>
      <w:r w:rsidRPr="00722885">
        <w:rPr>
          <w:color w:val="000000" w:themeColor="text1"/>
          <w:sz w:val="16"/>
          <w:szCs w:val="16"/>
        </w:rPr>
        <w:t>Истребительное прикрытие также оставляло желать лучшего. «Мессершмитты» из JG3 «Удет», как правило, патрулировали далеко за пределами своих аэродромов, и в результате советские истребители задолго до подхода к цели связывались боем и оставляли Илы на произвол судьбы. Уход истребителей, в свою очередь, сильно нервировал летчиков-штурмовиков, многие впадали в панику и, не доходя до цели, сбрасывали бомбы куда попало.</w:t>
      </w:r>
    </w:p>
    <w:p w14:paraId="76D799A3" w14:textId="77777777" w:rsidR="00844375" w:rsidRPr="00722885" w:rsidRDefault="00844375" w:rsidP="00722885">
      <w:pPr>
        <w:pStyle w:val="ae"/>
        <w:spacing w:before="0" w:after="0"/>
        <w:jc w:val="both"/>
        <w:textAlignment w:val="baseline"/>
        <w:rPr>
          <w:color w:val="000000" w:themeColor="text1"/>
          <w:sz w:val="16"/>
          <w:szCs w:val="16"/>
        </w:rPr>
      </w:pPr>
      <w:r w:rsidRPr="00722885">
        <w:rPr>
          <w:color w:val="000000" w:themeColor="text1"/>
          <w:sz w:val="16"/>
          <w:szCs w:val="16"/>
        </w:rPr>
        <w:t>В силу этих причин налеты на немецкие аэродромы в котле и за его пределами оказались неэффективными и были сопряжены с большими потерями. За неделю боев сводная авиагруппа 8-й воздушной армии потеряла 14 Ил-2, десятки других требовали ремонта. 8 декабря в ее составе осталось лишь пять исправных «горбатых». Большие потери понесли и истребители. Тем не менее налеты продолжались (19522).</w:t>
      </w:r>
    </w:p>
    <w:p w14:paraId="482DEFC3" w14:textId="77777777" w:rsidR="00844375" w:rsidRPr="00722885" w:rsidRDefault="00844375" w:rsidP="00722885">
      <w:pPr>
        <w:pStyle w:val="ae"/>
        <w:spacing w:before="0" w:after="0"/>
        <w:jc w:val="both"/>
        <w:textAlignment w:val="baseline"/>
        <w:rPr>
          <w:color w:val="000000" w:themeColor="text1"/>
          <w:sz w:val="16"/>
          <w:szCs w:val="16"/>
        </w:rPr>
      </w:pPr>
    </w:p>
    <w:p w14:paraId="5F389875"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декабря 1942 г.</w:t>
      </w:r>
    </w:p>
    <w:p w14:paraId="193DB180"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 ОБ ОРГАНИЗАЦИИ ПОМОЩИ ЭКИПАЖАМ САМОЛЕТОВ И ОХРАНЫ САМОЛЕТОВ, СОВЕРШИВШИХ ВЫНУЖДЕННУЮ ПОСАДКУ № 01020</w:t>
      </w:r>
    </w:p>
    <w:p w14:paraId="6ECF2BAD"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Установлено, что командный состав ВМФ не приучен сам и не обучает подчиненный ему личный состав способам оказания помощи экипажам самолетов, совершающим вынужденную посадку вследствие повреждений, полученных в бою, или других причин.</w:t>
      </w:r>
    </w:p>
    <w:p w14:paraId="1CCB842F"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Имеются случаи, когда вместо оказания помощи экипажу самолета и организации его охраны производится расхищение оборудования самолетов местным населением и воинскими частями.</w:t>
      </w:r>
    </w:p>
    <w:p w14:paraId="469ACE20"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Так, 1 октября в районе расположения 302-го артдивизиона Ладожской военной флотилии произвел вынужденную посадку самолет «ЯК-1»; летчик погиб от ран, а самолет получил незначительные повреждения.</w:t>
      </w:r>
    </w:p>
    <w:p w14:paraId="3BE26D4E"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Вместо организации охраны самолета, командир 602-й батареи 302-го АД старший лейтенант Шилкевич приказал краснофлотцам топорами разрубить самолет. Все оборудование самолета была растащено и самолет приведен в полную негодность.</w:t>
      </w:r>
    </w:p>
    <w:p w14:paraId="78880E57"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Приказываю:</w:t>
      </w:r>
    </w:p>
    <w:p w14:paraId="169B2AFA"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 Военным советам флотов (флотилий), вменить в обязанность всему начальствующему составу немедленно принимать меры по оказанию помощи экипажам самолетов, совершивших вынужденную посадку и выставлять охрану.</w:t>
      </w:r>
    </w:p>
    <w:p w14:paraId="59CC669A"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Охране вменить в обязанность никого не допускать к самолету до прибытия лиц, присланных для эвакуации потерпевшего аварию или совершившего вынужденную посадку самолета.</w:t>
      </w:r>
    </w:p>
    <w:p w14:paraId="1188FB1D"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 обнаружении происшествия немедленно доносить по команде и в ближайшую авиационную воинскую часть.</w:t>
      </w:r>
    </w:p>
    <w:p w14:paraId="4F1640DB"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случае отсутствия в распоряжении командира бойцов для организации охраны и при отсутствии вблизи воинских частей, все мероприятия по оказанию помощи потерпевшему самолету осуществлять через местные органы власти и милицию.</w:t>
      </w:r>
    </w:p>
    <w:p w14:paraId="23C2E9AD"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КУЗНЕЦОВ</w:t>
      </w:r>
    </w:p>
    <w:p w14:paraId="078B5CB4" w14:textId="77777777" w:rsidR="00441F3A" w:rsidRPr="00722885" w:rsidRDefault="00441F3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ЦВМА, ф. 79, д. 39803, л. 204. Подлинник (20480).</w:t>
      </w:r>
    </w:p>
    <w:p w14:paraId="08702A7A" w14:textId="77777777" w:rsidR="00441F3A" w:rsidRPr="00722885" w:rsidRDefault="00441F3A" w:rsidP="00722885">
      <w:pPr>
        <w:spacing w:after="0" w:line="240" w:lineRule="auto"/>
        <w:jc w:val="both"/>
        <w:rPr>
          <w:rFonts w:ascii="Times New Roman" w:hAnsi="Times New Roman"/>
          <w:color w:val="0070C0"/>
          <w:sz w:val="16"/>
          <w:szCs w:val="16"/>
        </w:rPr>
      </w:pPr>
    </w:p>
    <w:p w14:paraId="2553D4E6"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 декабря </w:t>
      </w:r>
      <w:r w:rsidRPr="00722885">
        <w:rPr>
          <w:rFonts w:ascii="Times New Roman" w:hAnsi="Times New Roman"/>
          <w:color w:val="000000" w:themeColor="text1"/>
          <w:sz w:val="16"/>
          <w:szCs w:val="16"/>
        </w:rPr>
        <w:t>в 1942 году удары советских партизанских отрядов по железнодорожному узлу Сарны (операция "Сарненский крест") до 9 декабря 1942 (14847).</w:t>
      </w:r>
    </w:p>
    <w:p w14:paraId="1C1B32DB" w14:textId="77777777" w:rsidR="00AD5651" w:rsidRPr="00722885" w:rsidRDefault="00AD5651" w:rsidP="00722885">
      <w:pPr>
        <w:spacing w:after="0" w:line="240" w:lineRule="auto"/>
        <w:jc w:val="both"/>
        <w:rPr>
          <w:rFonts w:ascii="Times New Roman" w:hAnsi="Times New Roman"/>
          <w:color w:val="000000" w:themeColor="text1"/>
          <w:sz w:val="16"/>
          <w:szCs w:val="16"/>
        </w:rPr>
      </w:pPr>
    </w:p>
    <w:p w14:paraId="5A7AB0F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1 декабря 1942 в соответствии со сложившейся об</w:t>
      </w:r>
      <w:r w:rsidRPr="00722885">
        <w:rPr>
          <w:color w:val="000000" w:themeColor="text1"/>
          <w:sz w:val="16"/>
          <w:szCs w:val="16"/>
        </w:rPr>
        <w:softHyphen/>
        <w:t>становкой командующий 8-й ВА перебросил на правый берег Волги (аэродром Абганерово) все пол</w:t>
      </w:r>
      <w:r w:rsidRPr="00722885">
        <w:rPr>
          <w:color w:val="000000" w:themeColor="text1"/>
          <w:sz w:val="16"/>
          <w:szCs w:val="16"/>
        </w:rPr>
        <w:softHyphen/>
        <w:t xml:space="preserve">ки 201 -и и 235-й истребительных и 214-й штурмовой авиадивизий (всего 77 Ил-2), а также сводную группу из экипажей от 206-й (503-й, 811 -и и 945-й </w:t>
      </w:r>
      <w:r w:rsidRPr="00722885">
        <w:rPr>
          <w:iCs/>
          <w:color w:val="000000" w:themeColor="text1"/>
          <w:sz w:val="16"/>
          <w:szCs w:val="16"/>
        </w:rPr>
        <w:t>шап -</w:t>
      </w:r>
      <w:r w:rsidRPr="00722885">
        <w:rPr>
          <w:color w:val="000000" w:themeColor="text1"/>
          <w:sz w:val="16"/>
          <w:szCs w:val="16"/>
        </w:rPr>
        <w:t xml:space="preserve"> все</w:t>
      </w:r>
      <w:r w:rsidRPr="00722885">
        <w:rPr>
          <w:color w:val="000000" w:themeColor="text1"/>
          <w:sz w:val="16"/>
          <w:szCs w:val="16"/>
        </w:rPr>
        <w:softHyphen/>
        <w:t xml:space="preserve">го 19 Ил-2) </w:t>
      </w:r>
      <w:r w:rsidRPr="00722885">
        <w:rPr>
          <w:iCs/>
          <w:color w:val="000000" w:themeColor="text1"/>
          <w:sz w:val="16"/>
          <w:szCs w:val="16"/>
        </w:rPr>
        <w:t>шад,</w:t>
      </w:r>
      <w:r w:rsidRPr="00722885">
        <w:rPr>
          <w:color w:val="000000" w:themeColor="text1"/>
          <w:sz w:val="16"/>
          <w:szCs w:val="16"/>
        </w:rPr>
        <w:t xml:space="preserve"> 296-й </w:t>
      </w:r>
      <w:r w:rsidRPr="00722885">
        <w:rPr>
          <w:iCs/>
          <w:color w:val="000000" w:themeColor="text1"/>
          <w:sz w:val="16"/>
          <w:szCs w:val="16"/>
        </w:rPr>
        <w:t>иап</w:t>
      </w:r>
      <w:r w:rsidRPr="00722885">
        <w:rPr>
          <w:color w:val="000000" w:themeColor="text1"/>
          <w:sz w:val="16"/>
          <w:szCs w:val="16"/>
        </w:rPr>
        <w:t xml:space="preserve"> 268-й </w:t>
      </w:r>
      <w:r w:rsidRPr="00722885">
        <w:rPr>
          <w:iCs/>
          <w:color w:val="000000" w:themeColor="text1"/>
          <w:sz w:val="16"/>
          <w:szCs w:val="16"/>
        </w:rPr>
        <w:t>иад,</w:t>
      </w:r>
      <w:r w:rsidRPr="00722885">
        <w:rPr>
          <w:color w:val="000000" w:themeColor="text1"/>
          <w:sz w:val="16"/>
          <w:szCs w:val="16"/>
        </w:rPr>
        <w:t xml:space="preserve"> 11 -и </w:t>
      </w:r>
      <w:r w:rsidRPr="00722885">
        <w:rPr>
          <w:iCs/>
          <w:color w:val="000000" w:themeColor="text1"/>
          <w:sz w:val="16"/>
          <w:szCs w:val="16"/>
        </w:rPr>
        <w:t>иап</w:t>
      </w:r>
      <w:r w:rsidRPr="00722885">
        <w:rPr>
          <w:color w:val="000000" w:themeColor="text1"/>
          <w:sz w:val="16"/>
          <w:szCs w:val="16"/>
        </w:rPr>
        <w:t xml:space="preserve"> 218-й </w:t>
      </w:r>
      <w:r w:rsidRPr="00722885">
        <w:rPr>
          <w:iCs/>
          <w:color w:val="000000" w:themeColor="text1"/>
          <w:sz w:val="16"/>
          <w:szCs w:val="16"/>
        </w:rPr>
        <w:t>иад</w:t>
      </w:r>
      <w:r w:rsidRPr="00722885">
        <w:rPr>
          <w:color w:val="000000" w:themeColor="text1"/>
          <w:sz w:val="16"/>
          <w:szCs w:val="16"/>
        </w:rPr>
        <w:t xml:space="preserve"> и 16 экипажей 25-й </w:t>
      </w:r>
      <w:r w:rsidRPr="00722885">
        <w:rPr>
          <w:iCs/>
          <w:color w:val="000000" w:themeColor="text1"/>
          <w:sz w:val="16"/>
          <w:szCs w:val="16"/>
        </w:rPr>
        <w:t xml:space="preserve">гнбап </w:t>
      </w:r>
      <w:r w:rsidRPr="00722885">
        <w:rPr>
          <w:color w:val="000000" w:themeColor="text1"/>
          <w:sz w:val="16"/>
          <w:szCs w:val="16"/>
        </w:rPr>
        <w:t xml:space="preserve">272-й </w:t>
      </w:r>
      <w:r w:rsidRPr="00722885">
        <w:rPr>
          <w:iCs/>
          <w:color w:val="000000" w:themeColor="text1"/>
          <w:sz w:val="16"/>
          <w:szCs w:val="16"/>
        </w:rPr>
        <w:t>нбад. 3</w:t>
      </w:r>
      <w:r w:rsidRPr="00722885">
        <w:rPr>
          <w:color w:val="000000" w:themeColor="text1"/>
          <w:sz w:val="16"/>
          <w:szCs w:val="16"/>
        </w:rPr>
        <w:t xml:space="preserve"> декабря в сводную авиа</w:t>
      </w:r>
      <w:r w:rsidRPr="00722885">
        <w:rPr>
          <w:color w:val="000000" w:themeColor="text1"/>
          <w:sz w:val="16"/>
          <w:szCs w:val="16"/>
        </w:rPr>
        <w:softHyphen/>
        <w:t xml:space="preserve">группу прибыл 596-й </w:t>
      </w:r>
      <w:r w:rsidRPr="00722885">
        <w:rPr>
          <w:iCs/>
          <w:color w:val="000000" w:themeColor="text1"/>
          <w:sz w:val="16"/>
          <w:szCs w:val="16"/>
        </w:rPr>
        <w:t>нбап.</w:t>
      </w:r>
      <w:r w:rsidRPr="00722885">
        <w:rPr>
          <w:color w:val="000000" w:themeColor="text1"/>
          <w:sz w:val="16"/>
          <w:szCs w:val="16"/>
        </w:rPr>
        <w:t xml:space="preserve"> Командовал сводной авиагруппой командир 206-й </w:t>
      </w:r>
      <w:r w:rsidRPr="00722885">
        <w:rPr>
          <w:iCs/>
          <w:color w:val="000000" w:themeColor="text1"/>
          <w:sz w:val="16"/>
          <w:szCs w:val="16"/>
        </w:rPr>
        <w:t>шад</w:t>
      </w:r>
      <w:r w:rsidRPr="00722885">
        <w:rPr>
          <w:color w:val="000000" w:themeColor="text1"/>
          <w:sz w:val="16"/>
          <w:szCs w:val="16"/>
        </w:rPr>
        <w:t xml:space="preserve"> п-к В.А.Срывкин. За каждой из них были закреплены зоны ответственности. Базировались полки на аэродромах Б.Чапурники, Рай-город, Плодовитое, Трудолюбие, Абгане</w:t>
      </w:r>
      <w:r w:rsidRPr="00722885">
        <w:rPr>
          <w:color w:val="000000" w:themeColor="text1"/>
          <w:sz w:val="16"/>
          <w:szCs w:val="16"/>
        </w:rPr>
        <w:softHyphen/>
        <w:t>рово. Штурмовики находились на аэро</w:t>
      </w:r>
      <w:r w:rsidRPr="00722885">
        <w:rPr>
          <w:color w:val="000000" w:themeColor="text1"/>
          <w:sz w:val="16"/>
          <w:szCs w:val="16"/>
        </w:rPr>
        <w:softHyphen/>
        <w:t xml:space="preserve">дромах совместно с истребителями, что облегчало организацию взаимодействия между ними. Со стороны 16-й ВА привлекались 228-я </w:t>
      </w:r>
      <w:r w:rsidRPr="00722885">
        <w:rPr>
          <w:iCs/>
          <w:color w:val="000000" w:themeColor="text1"/>
          <w:sz w:val="16"/>
          <w:szCs w:val="16"/>
        </w:rPr>
        <w:t>шад,</w:t>
      </w:r>
      <w:r w:rsidRPr="00722885">
        <w:rPr>
          <w:color w:val="000000" w:themeColor="text1"/>
          <w:sz w:val="16"/>
          <w:szCs w:val="16"/>
        </w:rPr>
        <w:t xml:space="preserve"> 220-я и 283-я </w:t>
      </w:r>
      <w:r w:rsidRPr="00722885">
        <w:rPr>
          <w:iCs/>
          <w:color w:val="000000" w:themeColor="text1"/>
          <w:sz w:val="16"/>
          <w:szCs w:val="16"/>
        </w:rPr>
        <w:t>иад,</w:t>
      </w:r>
      <w:r w:rsidRPr="00722885">
        <w:rPr>
          <w:color w:val="000000" w:themeColor="text1"/>
          <w:sz w:val="16"/>
          <w:szCs w:val="16"/>
        </w:rPr>
        <w:t xml:space="preserve"> а от ста</w:t>
      </w:r>
      <w:r w:rsidRPr="00722885">
        <w:rPr>
          <w:color w:val="000000" w:themeColor="text1"/>
          <w:sz w:val="16"/>
          <w:szCs w:val="16"/>
        </w:rPr>
        <w:softHyphen/>
        <w:t xml:space="preserve">линградского корпусного района ПВО -102-я </w:t>
      </w:r>
      <w:r w:rsidRPr="00722885">
        <w:rPr>
          <w:iCs/>
          <w:color w:val="000000" w:themeColor="text1"/>
          <w:sz w:val="16"/>
          <w:szCs w:val="16"/>
        </w:rPr>
        <w:t>иад</w:t>
      </w:r>
      <w:r w:rsidRPr="00722885">
        <w:rPr>
          <w:color w:val="000000" w:themeColor="text1"/>
          <w:sz w:val="16"/>
          <w:szCs w:val="16"/>
        </w:rPr>
        <w:t xml:space="preserve"> (6467).</w:t>
      </w:r>
    </w:p>
    <w:p w14:paraId="2FE47A95" w14:textId="77777777" w:rsidR="00BB6316" w:rsidRPr="00722885" w:rsidRDefault="00BB6316" w:rsidP="00722885">
      <w:pPr>
        <w:pStyle w:val="Iauiue"/>
        <w:jc w:val="both"/>
        <w:rPr>
          <w:color w:val="000000" w:themeColor="text1"/>
          <w:sz w:val="16"/>
          <w:szCs w:val="16"/>
        </w:rPr>
      </w:pPr>
    </w:p>
    <w:p w14:paraId="6B3F611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декабря 1942 НКВМФ Н.Г.Кузнецов выпустил директиву N 01020 об организации помощи экипажам самолетов и охраны самолетов, совершивших вынужденную посадку (2120).</w:t>
      </w:r>
    </w:p>
    <w:p w14:paraId="797CD40B" w14:textId="77777777" w:rsidR="00BB6316" w:rsidRPr="00722885" w:rsidRDefault="00BB6316" w:rsidP="00722885">
      <w:pPr>
        <w:pStyle w:val="Iauiue"/>
        <w:jc w:val="both"/>
        <w:rPr>
          <w:color w:val="000000" w:themeColor="text1"/>
          <w:sz w:val="16"/>
          <w:szCs w:val="16"/>
        </w:rPr>
      </w:pPr>
    </w:p>
    <w:p w14:paraId="44DFB3C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декабря 1942 на аэродромах 4 зоны с Сталинграде вывели из строя 13 Ю-52 (518,178).</w:t>
      </w:r>
    </w:p>
    <w:p w14:paraId="550127B8" w14:textId="77777777" w:rsidR="00BB6316" w:rsidRPr="00722885" w:rsidRDefault="00BB6316" w:rsidP="00722885">
      <w:pPr>
        <w:pStyle w:val="Iauiue"/>
        <w:jc w:val="both"/>
        <w:rPr>
          <w:color w:val="000000" w:themeColor="text1"/>
          <w:sz w:val="16"/>
          <w:szCs w:val="16"/>
        </w:rPr>
      </w:pPr>
    </w:p>
    <w:p w14:paraId="285DA7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 по 18 декабря 1942 на самолетах У-2 и УТ-2 под командованием майора Пуликена велась предварительная подготовка летного состава французского авиаполка с целью восстановления утраченных навыков. Далее до 25 января 1943 г. шло переучивание на Як-7В. После получения 19 января первых 10 Як-1 начались тренировки в учебных воздушных боях, продолжавшиеся до 14 марта.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2BFAEA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5400C6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3CD645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03396DE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D3A16E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За рубежом:</w:t>
      </w:r>
    </w:p>
    <w:p w14:paraId="488D698C" w14:textId="77777777" w:rsidR="00BB6316" w:rsidRPr="00722885" w:rsidRDefault="00BB6316" w:rsidP="00722885">
      <w:pPr>
        <w:pStyle w:val="Iauiue"/>
        <w:jc w:val="both"/>
        <w:rPr>
          <w:iCs/>
          <w:color w:val="000000" w:themeColor="text1"/>
          <w:sz w:val="16"/>
          <w:szCs w:val="16"/>
        </w:rPr>
      </w:pPr>
    </w:p>
    <w:p w14:paraId="7416F13B"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декабря 1942 год, первый полет самолета-снаряда Fi-103 (Фау-1). Самолет Fi-103 был спроектирован в 1942 г. Гергардтом Физелером как беспилотный самолет-снаряд с пульсирующим воздушно-реактивным двигателем Аргус AS014, тяга которого равнялась 335 кг. Самолет-снаряд Fi-103, явившийся первым реактивным оружием нападения, представлял собой свободнонесущий моноплан с пульсирующим воздушно-реактивным двигателем, установленным над задней частью фюзеляжа, и боевой частью весом 850 кг, расположенной в носовой части фюзеляжа. Дальность полета самолета-снаряда составляла 240 км, максимальная скорость - 575 км/час. Пилотируемый вариант самолета, подобный испытанному в полете, предполагалось использовать для действий по морским целям. Самолет Fi-103 предполагалось доставлять в район цели на самолете-носителе. После отделения от самолета-носителя летчик самолета Fi-103 должен был направлять свой самолет на цель и выбрасываться с парашютом (4078).</w:t>
      </w:r>
    </w:p>
    <w:p w14:paraId="2F314850" w14:textId="77777777" w:rsidR="00AD5651" w:rsidRPr="00722885" w:rsidRDefault="00AD5651" w:rsidP="00722885">
      <w:pPr>
        <w:pStyle w:val="Iauiue"/>
        <w:jc w:val="both"/>
        <w:rPr>
          <w:iCs/>
          <w:color w:val="000000" w:themeColor="text1"/>
          <w:sz w:val="16"/>
          <w:szCs w:val="16"/>
        </w:rPr>
      </w:pPr>
    </w:p>
    <w:p w14:paraId="10B003DA"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 декабря </w:t>
      </w:r>
      <w:r w:rsidRPr="00722885">
        <w:rPr>
          <w:rFonts w:ascii="Times New Roman" w:hAnsi="Times New Roman"/>
          <w:color w:val="000000" w:themeColor="text1"/>
          <w:sz w:val="16"/>
          <w:szCs w:val="16"/>
        </w:rPr>
        <w:t>в 1942 году первый полет самолета-снаряда «Fi-103» («Фау-1») - Самолет «Fi-103» был спроектирован в 1942 г. Гергардтом Физлером как беспилотный самолет-снаряд с пульсирующим воздушно-реактивным двигателем «Аргус AS014», тяга которого равнялась 335 кг. Самолет-снаряд «Fi-103», явившийся первым реактивным оружием нападения, представлял собой свободнонесущий моноплан с пульсирующим воздушно-реактивным двигателем, установленным над задней частью фюзеляжа, и боевой частью весом 850 кг, расположенной в носовой части фюзеляжа. Дальность полета самолета-снаряда составляла 240 км, максимальная скорость - 575 км/час. Опытный образец самолета-снаряда «Fi-103» был испытан в качестве планера в декабре 1942 г. Пилотируемый вариант самолета, подобный испытанному в полете, предполагалось использовать для действий по морским целям. Самолет «Fi-103» предполагалось доставлять в район цели на самолете-носителе. После отделения от самолета-носителя летчик самолета «Fi-103» должен был направлять свой самолет на цель и выбрасываться с парашютом. На заводе в Данненбурге 175 беспилотных самолетов-снарядов были переоборудованы в пилотируемые самолеты-снаряды, которые, однако, в боевых условиях не применялись. Если наступательным оружием считать ЛА, уничтожающий противника, то ещё в ПМВ против змейковых аэростатов применялись твердотопливные ракеты "Ле Приер", а в 1930-х реактивные снарялы («РС-82» и «РС-132») применялись ещё с Халкин-Гола с «И-153» против японцев (14847).</w:t>
      </w:r>
    </w:p>
    <w:p w14:paraId="4B906D0E" w14:textId="77777777" w:rsidR="00AD5651" w:rsidRPr="00722885" w:rsidRDefault="00AD5651" w:rsidP="00722885">
      <w:pPr>
        <w:spacing w:after="0" w:line="240" w:lineRule="auto"/>
        <w:jc w:val="both"/>
        <w:rPr>
          <w:rFonts w:ascii="Times New Roman" w:hAnsi="Times New Roman"/>
          <w:color w:val="000000" w:themeColor="text1"/>
          <w:sz w:val="16"/>
          <w:szCs w:val="16"/>
        </w:rPr>
      </w:pPr>
    </w:p>
    <w:p w14:paraId="7EB48806" w14:textId="77777777" w:rsidR="00AD5651" w:rsidRPr="00722885" w:rsidRDefault="00AD5651" w:rsidP="00722885">
      <w:pPr>
        <w:spacing w:after="0" w:line="240" w:lineRule="auto"/>
        <w:jc w:val="both"/>
        <w:rPr>
          <w:rStyle w:val="ucoz-forum-post"/>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1 декабря 1942 года</w:t>
      </w:r>
      <w:r w:rsidRPr="00722885">
        <w:rPr>
          <w:rStyle w:val="ucoz-forum-post"/>
          <w:rFonts w:ascii="Times New Roman" w:hAnsi="Times New Roman"/>
          <w:color w:val="000000" w:themeColor="text1"/>
          <w:sz w:val="16"/>
          <w:szCs w:val="16"/>
        </w:rPr>
        <w:t xml:space="preserve"> Первый полет опытного образца самолета-снаряда Fi-103 (Фау-1) в качестве планера.</w:t>
      </w:r>
    </w:p>
    <w:p w14:paraId="6ED35B7E" w14:textId="77777777" w:rsidR="00AD5651" w:rsidRPr="00722885" w:rsidRDefault="00AD5651" w:rsidP="00722885">
      <w:pPr>
        <w:spacing w:after="0" w:line="240" w:lineRule="auto"/>
        <w:jc w:val="both"/>
        <w:rPr>
          <w:rStyle w:val="ucoz-forum-post"/>
          <w:rFonts w:ascii="Times New Roman" w:hAnsi="Times New Roman"/>
          <w:color w:val="000000" w:themeColor="text1"/>
          <w:sz w:val="16"/>
          <w:szCs w:val="16"/>
        </w:rPr>
      </w:pPr>
      <w:r w:rsidRPr="00722885">
        <w:rPr>
          <w:rStyle w:val="ucoz-forum-post"/>
          <w:rFonts w:ascii="Times New Roman" w:hAnsi="Times New Roman"/>
          <w:color w:val="000000" w:themeColor="text1"/>
          <w:sz w:val="16"/>
          <w:szCs w:val="16"/>
        </w:rPr>
        <w:t>Самолет Fi-103 был спроектирован в 1942 году Гергардтом Физелером как беспилотный самолет-снаряд с пульсирующим воздушно-реактивным двигателем Аргус AS014, тяга которого равнялась 335 кг. Самолет-снаряд Fi-103, явившийся первым реактивным оружием нападения, представлял собой свободнонесущий моноплан с пульсирующим воздушно-реактивным двигателем, установленным над задней частью фюзеляжа, и боевой частью весом 850 кг, расположенной в носовой части фюзеляжа. Дальность полета самолета-снаряда составляла 240 км, максимальная скорость - 575 км/час. Пилотируемый вариант самолета, подобный испытанному в полете, предполагалось использовать для действий по морским целям. Самолет Fi-103 предполагалось доставлять в район цели на самолете-носителе. После отделения от самолета-носителя летчик самолета Fi-103 должен был направлять свой самолет на цель и выбрасываться с парашютом. в 1942 году Первый полет самолета-снаряда Fi-103 (Фау-1) - Самолет Fi-103 был спроектирован в 1942 г. Гергардтом Физлером как беспилотный самолет-снаряд с пульсирующим воздушно-реактивным двигателем Аргус AS014, тяга которого равнялась 335 кг. Самолет-снаряд Fi-103, явившийся первым реактивным оружием нападения, представлял собой свободнонесущий моноплан с пульсирующим воздушно-реактивным двигателем, установленным над задней частью фюзеляжа, и боевой частью весом 850 кг, расположенной в носовой части фюзеляжа. Дальность полета самолета-снаряда составляла 240 км, максимальная скорость - 575 км/час. Опытный образец самолета-снаряда Fi-103 был испытан в качестве планера в декабре 1942 г. Пилотируемый вариант самолета, подобный испытанному в полете, предполагалось использовать для действий по морским целям. Самолет Fi-103 предполагалось доставлять в район цели на самолете-носителе. После отделения от самолета-носителя летчик самолета Fi-103 должен был направлять свой самолет на цель и выбрасываться с парашютом. На заводе в Данненбурге 175 беспилотных самолетов-снарядов были переоборудованы в пилотируемые самолеты-снаряды, которые, однако, в боевых условиях не применялись. Если наступательным оружием считать ЛА, уничтожающий противника, то ещё в ПМВ против змейковых аэростатов применялись твердотопливные ракеты "Ле Приер", а в 1930-х реактивные снаряды (РС-82 и РС-132) применялись начиная с Халхин-Гола с И-153 против японцев (14847).</w:t>
      </w:r>
    </w:p>
    <w:p w14:paraId="3D69E0CB" w14:textId="77777777" w:rsidR="00AD5651" w:rsidRPr="00722885" w:rsidRDefault="00AD5651" w:rsidP="00722885">
      <w:pPr>
        <w:spacing w:after="0" w:line="240" w:lineRule="auto"/>
        <w:jc w:val="both"/>
        <w:rPr>
          <w:rStyle w:val="ucoz-forum-post"/>
          <w:rFonts w:ascii="Times New Roman" w:hAnsi="Times New Roman"/>
          <w:color w:val="000000" w:themeColor="text1"/>
          <w:sz w:val="16"/>
          <w:szCs w:val="16"/>
        </w:rPr>
      </w:pPr>
    </w:p>
    <w:p w14:paraId="21E19481" w14:textId="77777777" w:rsidR="00AD5651" w:rsidRPr="00722885" w:rsidRDefault="00AD5651" w:rsidP="00722885">
      <w:pPr>
        <w:pStyle w:val="Iauiue"/>
        <w:jc w:val="both"/>
        <w:rPr>
          <w:color w:val="000000" w:themeColor="text1"/>
          <w:sz w:val="16"/>
          <w:szCs w:val="16"/>
          <w:lang w:val="en-US"/>
        </w:rPr>
      </w:pPr>
      <w:r w:rsidRPr="00722885">
        <w:rPr>
          <w:color w:val="000000" w:themeColor="text1"/>
          <w:sz w:val="16"/>
          <w:szCs w:val="16"/>
          <w:lang w:val="en-US"/>
        </w:rPr>
        <w:t>December 1, 1942 - After 17 days of work, Fermi's group completes CP-1. It contains 36.6 metric tons of uranium oxide, 5.6 metric tons of uranium metal, and 350 metric tons of graphite. Construction is halted sooner than planned when Fermi projects that a critical configuration has been reached (1039).</w:t>
      </w:r>
    </w:p>
    <w:p w14:paraId="660ADAA6" w14:textId="77777777" w:rsidR="00AD5651" w:rsidRPr="00722885" w:rsidRDefault="00AD5651" w:rsidP="00722885">
      <w:pPr>
        <w:pStyle w:val="Iauiue"/>
        <w:jc w:val="both"/>
        <w:rPr>
          <w:color w:val="000000" w:themeColor="text1"/>
          <w:sz w:val="16"/>
          <w:szCs w:val="16"/>
          <w:lang w:val="en-US"/>
        </w:rPr>
      </w:pPr>
    </w:p>
    <w:p w14:paraId="4972FE93" w14:textId="77777777" w:rsidR="00AD5651" w:rsidRPr="00722885" w:rsidRDefault="00AD5651" w:rsidP="00722885">
      <w:pPr>
        <w:pStyle w:val="Iauiue"/>
        <w:jc w:val="both"/>
        <w:rPr>
          <w:color w:val="000000" w:themeColor="text1"/>
          <w:sz w:val="16"/>
          <w:szCs w:val="16"/>
        </w:rPr>
      </w:pPr>
      <w:r w:rsidRPr="00722885">
        <w:rPr>
          <w:color w:val="000000" w:themeColor="text1"/>
          <w:sz w:val="16"/>
          <w:szCs w:val="16"/>
        </w:rPr>
        <w:t>1 декабря 1942 после 17 дней работы группа Ферми закончила реактор СР-1, который содержал 36.6 т окиси урана, 5.6 т металлического урана и 350 т графита (1039).</w:t>
      </w:r>
    </w:p>
    <w:p w14:paraId="5B9D394C" w14:textId="77777777" w:rsidR="00AD5651" w:rsidRPr="00722885" w:rsidRDefault="00AD5651" w:rsidP="00722885">
      <w:pPr>
        <w:pStyle w:val="Iauiue"/>
        <w:jc w:val="both"/>
        <w:rPr>
          <w:color w:val="000000" w:themeColor="text1"/>
          <w:sz w:val="16"/>
          <w:szCs w:val="16"/>
        </w:rPr>
      </w:pPr>
    </w:p>
    <w:p w14:paraId="39AC0807"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 декабря </w:t>
      </w:r>
      <w:r w:rsidRPr="00722885">
        <w:rPr>
          <w:rFonts w:ascii="Times New Roman" w:hAnsi="Times New Roman"/>
          <w:color w:val="000000" w:themeColor="text1"/>
          <w:sz w:val="16"/>
          <w:szCs w:val="16"/>
        </w:rPr>
        <w:t>в 1942 году группа ученых из университета Чикаго во главе с Энрико Ферми и Артуром Комптоном впервые в мире осуществила цепную реакцию деления ядер урана. Две недели назад под западными трибунами стадиона "Стагг-филд" Чикагского университета началось сооружение ядерного котла. Новая лаборатория была названа "Металлургической" (в ней, между прочим, не было ни одного металлурга).</w:t>
      </w:r>
    </w:p>
    <w:p w14:paraId="17BCD235"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Говорят, вы работаете над лечением рака? - спрашивала Лаура мужа, усталого и черного от графитовой и урановой пыли.</w:t>
      </w:r>
    </w:p>
    <w:p w14:paraId="41D8F0AE"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Правда? - спросил Ферми.</w:t>
      </w:r>
    </w:p>
    <w:p w14:paraId="3A960A3E"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Говорят, что дома поблизости от Вест-Стэдс сотрясаются от грохота той машины, которую вы, физики, построили? - спрашивала Лаура.</w:t>
      </w:r>
    </w:p>
    <w:p w14:paraId="2913CDDB"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Разве? - отвечал Энрико.</w:t>
      </w:r>
    </w:p>
    <w:p w14:paraId="77CD2285"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Физики работали круглосуточно, в несколько смен. На сооружение реактора пошло около 46 т урана и около 385 т графита. Котлу была придана форма эллипсоида, а вся конструкция была заключена в деревянную раму. В графитовых кирпичах на строго определенном расстоянии одно от другого высверливали отверстия, куда помещались бруски урана. Графитовое сооружение было, как батон с изюмом, начинено небольшими брусками урана. Сверху вниз через всю графитовую кладку проходили несколько каналов, в которых располагались бронзовые стержни, покрытые кадмием. Кадмий поглощает нейтроны, и стержни служили для них ловушкой.</w:t>
      </w:r>
    </w:p>
    <w:p w14:paraId="13B251F6"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Испытание началось рано утром, но к обеду критичность еще не была достигнута. Верный своему характеру, "адмирал" (так в шутку прозвали его сослуживцы за привычку командовать с самого высокого места лаборатории) Ферми объявил перерыв на обед... И вот, наконец, все вернулись на свои места. Кадмиевые стержни начали медленно извлекать из котла. Все следили за приборами. Вот извлечены уже все стержни, кроме одного. Взгляды всех прикованы к приборам. И вдруг чуть заметно дрогнули стрелки приборов. Послышалось щелканье счетчиков. Еще немного поднят стержень - стрелки приборов отклонились сильнее, счетчики нейтронов защелкали чаще. Стержень продолжали поднимать. Счетчики нейтронов защелкали с огромной скоростью. Прошли четыре напряженные минуты. Но вот нейтронные счетчики защелкали громче. Ферми, быстро производивший расчеты на логарифмической линейке, выглядел спокойным, даже задумчивым. Нейтроны создавали нейтроны. По чикагскому времени было 15 час. 25 мин. Движущийся грифель самописца, фиксирующий все происходящее внутри атомного реактора, поднимался все выше и выше, вычерчивая прямую вертикальную линию. Это означало, что внутри реактора идет цепная реакция.</w:t>
      </w:r>
    </w:p>
    <w:p w14:paraId="3AFF17C5"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Реакция самопроизвольная, - раздался голос Ферми среди громкого щелканья нейтронных счетчиков. "Атомному огню" разрешили гореть 28 минут. Затем Ферми дал сигнал, и "огонь" был погашен. Человек освободил энергию атомного ядра и доказал, что может ее контролировать.</w:t>
      </w:r>
    </w:p>
    <w:p w14:paraId="673FAC64"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Этим же вечером Комптон позвонил Конанту и объявил ему: </w:t>
      </w:r>
    </w:p>
    <w:p w14:paraId="10C571A4"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Представь себе, Джим, итальянский мореплаватель только что высадился в новом свете. Земля оказалась не столь большой, как он предполагал, в результате чего он прибыл в место назначения раньше, чем ожидалось.</w:t>
      </w:r>
    </w:p>
    <w:p w14:paraId="01A556FB"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Да что ты! - сказал Конант. - И туземцы были любезными? </w:t>
      </w:r>
    </w:p>
    <w:p w14:paraId="3F0689B7"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Да. Никто не пострадал, и все в восторге.</w:t>
      </w:r>
    </w:p>
    <w:p w14:paraId="78DE039A"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После этого эксперимента можно было сделать такой подсчет: один атом угля дает энергию 2-3 электроновольта, а один расщепленный атом урана-235 - 200 млн. электроновольт. Разница внушительная! Открыт огромный источник энергии! </w:t>
      </w:r>
    </w:p>
    <w:p w14:paraId="783D133E"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опытов Ферми стало ясно, что атомное оружие - реальность.</w:t>
      </w:r>
    </w:p>
    <w:p w14:paraId="5A182BBB"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месте проведения эксперимента в 1967 году была установлена бронзовая скульптура работы Генри Мура, которая так и называется - "Ядерная энергия" (14847).</w:t>
      </w:r>
    </w:p>
    <w:p w14:paraId="6C5288A9" w14:textId="77777777" w:rsidR="00AD5651" w:rsidRPr="00722885" w:rsidRDefault="00AD5651" w:rsidP="00722885">
      <w:pPr>
        <w:spacing w:after="0" w:line="240" w:lineRule="auto"/>
        <w:jc w:val="both"/>
        <w:rPr>
          <w:rFonts w:ascii="Times New Roman" w:hAnsi="Times New Roman"/>
          <w:color w:val="000000" w:themeColor="text1"/>
          <w:sz w:val="16"/>
          <w:szCs w:val="16"/>
        </w:rPr>
      </w:pPr>
    </w:p>
    <w:p w14:paraId="3551B288"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 декабря 1942 Эфиопия объявила войну Германии, Италии и Японии (4962).</w:t>
      </w:r>
    </w:p>
    <w:p w14:paraId="1A3ADE0E" w14:textId="77777777" w:rsidR="00BB6316" w:rsidRPr="00722885" w:rsidRDefault="00BB6316" w:rsidP="00722885">
      <w:pPr>
        <w:pStyle w:val="Iauiue"/>
        <w:tabs>
          <w:tab w:val="left" w:pos="11199"/>
        </w:tabs>
        <w:jc w:val="both"/>
        <w:rPr>
          <w:color w:val="000000" w:themeColor="text1"/>
          <w:sz w:val="16"/>
          <w:szCs w:val="16"/>
        </w:rPr>
      </w:pPr>
    </w:p>
    <w:p w14:paraId="5F657FF9" w14:textId="77777777" w:rsidR="00AD5651" w:rsidRPr="00722885" w:rsidRDefault="00AD5651" w:rsidP="00722885">
      <w:pPr>
        <w:pStyle w:val="Iauiue"/>
        <w:tabs>
          <w:tab w:val="left" w:pos="11199"/>
        </w:tabs>
        <w:jc w:val="both"/>
        <w:rPr>
          <w:color w:val="000000" w:themeColor="text1"/>
          <w:sz w:val="16"/>
          <w:szCs w:val="16"/>
        </w:rPr>
      </w:pPr>
      <w:r w:rsidRPr="00722885">
        <w:rPr>
          <w:color w:val="000000" w:themeColor="text1"/>
          <w:sz w:val="16"/>
          <w:szCs w:val="16"/>
        </w:rPr>
        <w:t>1 декабря 1942 французский адмирал Ж. Дарлан объявил себя главой всех французских территорий в Африке (4962).</w:t>
      </w:r>
    </w:p>
    <w:p w14:paraId="53EB58D6" w14:textId="77777777" w:rsidR="00AD5651" w:rsidRPr="00722885" w:rsidRDefault="00AD5651" w:rsidP="00722885">
      <w:pPr>
        <w:pStyle w:val="Iauiue"/>
        <w:tabs>
          <w:tab w:val="left" w:pos="11199"/>
        </w:tabs>
        <w:jc w:val="both"/>
        <w:rPr>
          <w:color w:val="000000" w:themeColor="text1"/>
          <w:sz w:val="16"/>
          <w:szCs w:val="16"/>
        </w:rPr>
      </w:pPr>
    </w:p>
    <w:p w14:paraId="06BBDA5E" w14:textId="77777777" w:rsidR="00AD5651" w:rsidRPr="00722885" w:rsidRDefault="00AD5651"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 декабря </w:t>
      </w:r>
      <w:r w:rsidRPr="00722885">
        <w:rPr>
          <w:rFonts w:ascii="Times New Roman" w:hAnsi="Times New Roman"/>
          <w:color w:val="000000" w:themeColor="text1"/>
          <w:sz w:val="16"/>
          <w:szCs w:val="16"/>
        </w:rPr>
        <w:t>в 1942 году с начала десантной операции в Северо-Западной Африке англо-американские союзники высадили 253 тысячи солдат (14847).</w:t>
      </w:r>
    </w:p>
    <w:p w14:paraId="6FB50CB5" w14:textId="77777777" w:rsidR="00AD5651" w:rsidRPr="00722885" w:rsidRDefault="00AD5651" w:rsidP="00722885">
      <w:pPr>
        <w:spacing w:after="0" w:line="240" w:lineRule="auto"/>
        <w:jc w:val="both"/>
        <w:rPr>
          <w:rFonts w:ascii="Times New Roman" w:hAnsi="Times New Roman"/>
          <w:color w:val="000000" w:themeColor="text1"/>
          <w:sz w:val="16"/>
          <w:szCs w:val="16"/>
        </w:rPr>
      </w:pPr>
    </w:p>
    <w:p w14:paraId="0FB55D50"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 декабря 1942 у Гвадалканала японцами затоплен американский крейсер “Нортамптон” (4962).</w:t>
      </w:r>
    </w:p>
    <w:p w14:paraId="3BC98CB8" w14:textId="77777777" w:rsidR="00BB6316" w:rsidRPr="00722885" w:rsidRDefault="00BB6316" w:rsidP="00722885">
      <w:pPr>
        <w:pStyle w:val="Iauiue"/>
        <w:tabs>
          <w:tab w:val="left" w:pos="11199"/>
        </w:tabs>
        <w:jc w:val="both"/>
        <w:rPr>
          <w:color w:val="000000" w:themeColor="text1"/>
          <w:sz w:val="16"/>
          <w:szCs w:val="16"/>
        </w:rPr>
      </w:pPr>
    </w:p>
    <w:p w14:paraId="3E2853B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декабря 1942 в США были введены карточки на бензин (2100).</w:t>
      </w:r>
    </w:p>
    <w:p w14:paraId="2C1FC03D" w14:textId="77777777" w:rsidR="00BB6316" w:rsidRPr="00722885" w:rsidRDefault="00BB6316" w:rsidP="00722885">
      <w:pPr>
        <w:pStyle w:val="Iauiue"/>
        <w:jc w:val="both"/>
        <w:rPr>
          <w:color w:val="000000" w:themeColor="text1"/>
          <w:sz w:val="16"/>
          <w:szCs w:val="16"/>
        </w:rPr>
      </w:pPr>
    </w:p>
    <w:p w14:paraId="591E9F3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lastRenderedPageBreak/>
        <w:t>Авиапромышленность:</w:t>
      </w:r>
    </w:p>
    <w:p w14:paraId="06CE6CD4" w14:textId="77777777" w:rsidR="00BB6316" w:rsidRPr="00722885" w:rsidRDefault="00BB6316" w:rsidP="00722885">
      <w:pPr>
        <w:pStyle w:val="Iauiue"/>
        <w:jc w:val="both"/>
        <w:rPr>
          <w:iCs/>
          <w:color w:val="000000" w:themeColor="text1"/>
          <w:sz w:val="16"/>
          <w:szCs w:val="16"/>
        </w:rPr>
      </w:pPr>
    </w:p>
    <w:p w14:paraId="3831B9D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декабря 1942 А.И.Шахурин писал И.В.Сталину проект письма:</w:t>
      </w:r>
    </w:p>
    <w:p w14:paraId="66B22E4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Гл. конструктор С.В.И. предлагает проект двухмоторного бомбардировщика с моторами М-71, который может заменить по грузоподъемности бомб и по дальности самолет Пе-8, имеющий 4 мотора АМ-35А.</w:t>
      </w:r>
    </w:p>
    <w:p w14:paraId="5CA5A80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Предложенный самолет по технологии соответствует самолету Ил-4; многие агрегаты и детали будут использованы с самолета Ил-4.</w:t>
      </w:r>
    </w:p>
    <w:p w14:paraId="5A2C707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Двухмоторный бомбардировщик с моторами М-71 при нормальной нагрузке будет иметь:</w:t>
      </w:r>
    </w:p>
    <w:p w14:paraId="75E316C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максимальную скорость на высоте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B487A" w:rsidRPr="00722885" w14:paraId="0B12B328" w14:textId="77777777" w:rsidTr="00CC5360">
        <w:tc>
          <w:tcPr>
            <w:tcW w:w="3757" w:type="dxa"/>
            <w:tcBorders>
              <w:top w:val="single" w:sz="12" w:space="0" w:color="auto"/>
            </w:tcBorders>
          </w:tcPr>
          <w:p w14:paraId="23ED240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6,5 тыс. метров</w:t>
            </w:r>
          </w:p>
        </w:tc>
        <w:tc>
          <w:tcPr>
            <w:tcW w:w="3757" w:type="dxa"/>
            <w:tcBorders>
              <w:top w:val="single" w:sz="12" w:space="0" w:color="auto"/>
            </w:tcBorders>
          </w:tcPr>
          <w:p w14:paraId="5B8B539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475 км</w:t>
            </w:r>
          </w:p>
        </w:tc>
      </w:tr>
      <w:tr w:rsidR="009B487A" w:rsidRPr="00722885" w14:paraId="3A087352" w14:textId="77777777" w:rsidTr="00CC5360">
        <w:tc>
          <w:tcPr>
            <w:tcW w:w="3757" w:type="dxa"/>
          </w:tcPr>
          <w:p w14:paraId="676FBD3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потолок</w:t>
            </w:r>
          </w:p>
        </w:tc>
        <w:tc>
          <w:tcPr>
            <w:tcW w:w="3757" w:type="dxa"/>
          </w:tcPr>
          <w:p w14:paraId="44BA4C2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8500 м</w:t>
            </w:r>
          </w:p>
        </w:tc>
      </w:tr>
      <w:tr w:rsidR="009B487A" w:rsidRPr="00722885" w14:paraId="436256B1" w14:textId="77777777" w:rsidTr="00CC5360">
        <w:tc>
          <w:tcPr>
            <w:tcW w:w="3757" w:type="dxa"/>
          </w:tcPr>
          <w:p w14:paraId="713CF3F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бомбовую нагрузку</w:t>
            </w:r>
          </w:p>
        </w:tc>
        <w:tc>
          <w:tcPr>
            <w:tcW w:w="3757" w:type="dxa"/>
          </w:tcPr>
          <w:p w14:paraId="4A6943F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1500 кг</w:t>
            </w:r>
          </w:p>
        </w:tc>
      </w:tr>
      <w:tr w:rsidR="009B487A" w:rsidRPr="00722885" w14:paraId="26B86391" w14:textId="77777777" w:rsidTr="00CC5360">
        <w:tc>
          <w:tcPr>
            <w:tcW w:w="3757" w:type="dxa"/>
          </w:tcPr>
          <w:p w14:paraId="2EA4A1F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г) дальность полета</w:t>
            </w:r>
          </w:p>
        </w:tc>
        <w:tc>
          <w:tcPr>
            <w:tcW w:w="3757" w:type="dxa"/>
          </w:tcPr>
          <w:p w14:paraId="7CE6362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2000 км</w:t>
            </w:r>
          </w:p>
        </w:tc>
      </w:tr>
      <w:tr w:rsidR="009B487A" w:rsidRPr="00722885" w14:paraId="7CBC208F" w14:textId="77777777" w:rsidTr="00CC5360">
        <w:tc>
          <w:tcPr>
            <w:tcW w:w="3757" w:type="dxa"/>
            <w:tcBorders>
              <w:bottom w:val="single" w:sz="12" w:space="0" w:color="auto"/>
            </w:tcBorders>
          </w:tcPr>
          <w:p w14:paraId="0AD06CA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 экипаж</w:t>
            </w:r>
          </w:p>
        </w:tc>
        <w:tc>
          <w:tcPr>
            <w:tcW w:w="3757" w:type="dxa"/>
            <w:tcBorders>
              <w:bottom w:val="single" w:sz="12" w:space="0" w:color="auto"/>
            </w:tcBorders>
          </w:tcPr>
          <w:p w14:paraId="78E4CDE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чел.</w:t>
            </w:r>
          </w:p>
        </w:tc>
      </w:tr>
    </w:tbl>
    <w:p w14:paraId="583A01B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е) вооружение:</w:t>
      </w:r>
    </w:p>
    <w:p w14:paraId="4460956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одну носовую установку с пулеметом Шкас калибра 7,62 мм и боезапасом в 500 патронов;</w:t>
      </w:r>
    </w:p>
    <w:p w14:paraId="484FAA8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одну верхнюю турельную установку с пулеметом Березина калибра 12,7 мм и боезапасом - 300 патронов;</w:t>
      </w:r>
    </w:p>
    <w:p w14:paraId="334D629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две боковых блистерных установки с пулеметами Березина калибра 12,7 мм и боезапасом по 200 патронов;</w:t>
      </w:r>
    </w:p>
    <w:p w14:paraId="3ACC367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одну нижнюю люковую установку с пулеметом Березина калибра 12,7 мм и боезапасом 300 патронов.</w:t>
      </w:r>
    </w:p>
    <w:p w14:paraId="4753280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Перегрузочный вариант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B487A" w:rsidRPr="00722885" w14:paraId="09E03D70" w14:textId="77777777" w:rsidTr="00CC5360">
        <w:tc>
          <w:tcPr>
            <w:tcW w:w="3757" w:type="dxa"/>
            <w:tcBorders>
              <w:top w:val="single" w:sz="12" w:space="0" w:color="auto"/>
            </w:tcBorders>
          </w:tcPr>
          <w:p w14:paraId="5C32C35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при бомбовой нагрузке</w:t>
            </w:r>
          </w:p>
        </w:tc>
        <w:tc>
          <w:tcPr>
            <w:tcW w:w="3757" w:type="dxa"/>
            <w:tcBorders>
              <w:top w:val="single" w:sz="12" w:space="0" w:color="auto"/>
            </w:tcBorders>
          </w:tcPr>
          <w:p w14:paraId="227BFE8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2000 кг</w:t>
            </w:r>
          </w:p>
        </w:tc>
      </w:tr>
      <w:tr w:rsidR="009B487A" w:rsidRPr="00722885" w14:paraId="3EAE7254" w14:textId="77777777" w:rsidTr="00CC5360">
        <w:tc>
          <w:tcPr>
            <w:tcW w:w="3757" w:type="dxa"/>
          </w:tcPr>
          <w:p w14:paraId="7AA1B49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дальность полета на скорости</w:t>
            </w:r>
          </w:p>
        </w:tc>
        <w:tc>
          <w:tcPr>
            <w:tcW w:w="3757" w:type="dxa"/>
          </w:tcPr>
          <w:p w14:paraId="289A334A" w14:textId="77777777" w:rsidR="00BB6316" w:rsidRPr="00722885" w:rsidRDefault="00BB6316" w:rsidP="00722885">
            <w:pPr>
              <w:pStyle w:val="Iauiue"/>
              <w:jc w:val="both"/>
              <w:rPr>
                <w:color w:val="000000" w:themeColor="text1"/>
                <w:sz w:val="16"/>
                <w:szCs w:val="16"/>
              </w:rPr>
            </w:pPr>
          </w:p>
        </w:tc>
      </w:tr>
      <w:tr w:rsidR="009B487A" w:rsidRPr="00722885" w14:paraId="49228B9D" w14:textId="77777777" w:rsidTr="00CC5360">
        <w:tc>
          <w:tcPr>
            <w:tcW w:w="3757" w:type="dxa"/>
          </w:tcPr>
          <w:p w14:paraId="4564CF3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350 км/час при 10% остатке горючего</w:t>
            </w:r>
          </w:p>
        </w:tc>
        <w:tc>
          <w:tcPr>
            <w:tcW w:w="3757" w:type="dxa"/>
          </w:tcPr>
          <w:p w14:paraId="476D5A0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3500 км</w:t>
            </w:r>
          </w:p>
        </w:tc>
      </w:tr>
      <w:tr w:rsidR="009B487A" w:rsidRPr="00722885" w14:paraId="0D69FE32" w14:textId="77777777" w:rsidTr="00CC5360">
        <w:tc>
          <w:tcPr>
            <w:tcW w:w="3757" w:type="dxa"/>
          </w:tcPr>
          <w:p w14:paraId="4D52E92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при бомбовой нагрузке</w:t>
            </w:r>
          </w:p>
        </w:tc>
        <w:tc>
          <w:tcPr>
            <w:tcW w:w="3757" w:type="dxa"/>
          </w:tcPr>
          <w:p w14:paraId="00C7D60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1000 кг</w:t>
            </w:r>
          </w:p>
        </w:tc>
      </w:tr>
      <w:tr w:rsidR="009B487A" w:rsidRPr="00722885" w14:paraId="6CFF5BF6" w14:textId="77777777" w:rsidTr="00CC5360">
        <w:tc>
          <w:tcPr>
            <w:tcW w:w="3757" w:type="dxa"/>
          </w:tcPr>
          <w:p w14:paraId="3649741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дальность полета</w:t>
            </w:r>
          </w:p>
        </w:tc>
        <w:tc>
          <w:tcPr>
            <w:tcW w:w="3757" w:type="dxa"/>
          </w:tcPr>
          <w:p w14:paraId="3AF891D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4000 км</w:t>
            </w:r>
          </w:p>
        </w:tc>
      </w:tr>
      <w:tr w:rsidR="009B487A" w:rsidRPr="00722885" w14:paraId="79080A57" w14:textId="77777777" w:rsidTr="00CC5360">
        <w:tc>
          <w:tcPr>
            <w:tcW w:w="3757" w:type="dxa"/>
          </w:tcPr>
          <w:p w14:paraId="1B77E66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при максимальной бомбовой нагрузке</w:t>
            </w:r>
          </w:p>
        </w:tc>
        <w:tc>
          <w:tcPr>
            <w:tcW w:w="3757" w:type="dxa"/>
          </w:tcPr>
          <w:p w14:paraId="61CFB96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4000 кг</w:t>
            </w:r>
          </w:p>
        </w:tc>
      </w:tr>
      <w:tr w:rsidR="009B487A" w:rsidRPr="00722885" w14:paraId="103B7915" w14:textId="77777777" w:rsidTr="00CC5360">
        <w:tc>
          <w:tcPr>
            <w:tcW w:w="3757" w:type="dxa"/>
            <w:tcBorders>
              <w:bottom w:val="single" w:sz="12" w:space="0" w:color="auto"/>
            </w:tcBorders>
          </w:tcPr>
          <w:p w14:paraId="4481A3B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дальность полета</w:t>
            </w:r>
          </w:p>
        </w:tc>
        <w:tc>
          <w:tcPr>
            <w:tcW w:w="3757" w:type="dxa"/>
            <w:tcBorders>
              <w:bottom w:val="single" w:sz="12" w:space="0" w:color="auto"/>
            </w:tcBorders>
          </w:tcPr>
          <w:p w14:paraId="3C7283E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1250 км</w:t>
            </w:r>
          </w:p>
        </w:tc>
      </w:tr>
    </w:tbl>
    <w:p w14:paraId="54A0E2A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Чертежи этого самолета будут готовы и сданы в производство к 1 декабря 1942 года.</w:t>
      </w:r>
    </w:p>
    <w:p w14:paraId="3B23500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Просим разрешить построить 10 таких самолетов в Москве на заводе N 23.</w:t>
      </w:r>
    </w:p>
    <w:p w14:paraId="54C2A51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Самолеты могут быть выпущены: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B487A" w:rsidRPr="00722885" w14:paraId="3C64345E" w14:textId="77777777" w:rsidTr="00CC5360">
        <w:tc>
          <w:tcPr>
            <w:tcW w:w="5636" w:type="dxa"/>
            <w:tcBorders>
              <w:top w:val="single" w:sz="12" w:space="0" w:color="auto"/>
            </w:tcBorders>
          </w:tcPr>
          <w:p w14:paraId="4A4531A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1-й самолет</w:t>
            </w:r>
          </w:p>
        </w:tc>
        <w:tc>
          <w:tcPr>
            <w:tcW w:w="5636" w:type="dxa"/>
            <w:tcBorders>
              <w:top w:val="single" w:sz="12" w:space="0" w:color="auto"/>
            </w:tcBorders>
          </w:tcPr>
          <w:p w14:paraId="5B8FF2D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1 марта 1943 года</w:t>
            </w:r>
          </w:p>
        </w:tc>
      </w:tr>
      <w:tr w:rsidR="009B487A" w:rsidRPr="00722885" w14:paraId="54E42029" w14:textId="77777777" w:rsidTr="00CC5360">
        <w:tc>
          <w:tcPr>
            <w:tcW w:w="5636" w:type="dxa"/>
            <w:tcBorders>
              <w:bottom w:val="single" w:sz="12" w:space="0" w:color="auto"/>
            </w:tcBorders>
          </w:tcPr>
          <w:p w14:paraId="6B39C33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2-й самолет</w:t>
            </w:r>
          </w:p>
        </w:tc>
        <w:tc>
          <w:tcPr>
            <w:tcW w:w="5636" w:type="dxa"/>
            <w:tcBorders>
              <w:bottom w:val="single" w:sz="12" w:space="0" w:color="auto"/>
            </w:tcBorders>
          </w:tcPr>
          <w:p w14:paraId="22027F8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15 марта 1943 года</w:t>
            </w:r>
          </w:p>
        </w:tc>
      </w:tr>
    </w:tbl>
    <w:p w14:paraId="4EB299D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 концу апреля все 10 самолетов.</w:t>
      </w:r>
    </w:p>
    <w:p w14:paraId="34C58C6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Просим утвердить прилагаемый проект постановления ГОКО (1651,1).</w:t>
      </w:r>
    </w:p>
    <w:p w14:paraId="19A71798" w14:textId="77777777" w:rsidR="00BB6316" w:rsidRPr="00722885" w:rsidRDefault="00BB6316" w:rsidP="00722885">
      <w:pPr>
        <w:pStyle w:val="Iauiue"/>
        <w:jc w:val="both"/>
        <w:rPr>
          <w:color w:val="000000" w:themeColor="text1"/>
          <w:sz w:val="16"/>
          <w:szCs w:val="16"/>
        </w:rPr>
      </w:pPr>
    </w:p>
    <w:p w14:paraId="3A40D81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C 2 по 9 декабря 1942 П.М.Стефановский выполнил на И-185 два километража на 1-й границе высотности. Потом до 16 декабря была плохая погода (2921,145).</w:t>
      </w:r>
    </w:p>
    <w:p w14:paraId="64AEDB32" w14:textId="77777777" w:rsidR="00BB6316" w:rsidRPr="00722885" w:rsidRDefault="00BB6316" w:rsidP="00722885">
      <w:pPr>
        <w:pStyle w:val="Iauiue"/>
        <w:jc w:val="both"/>
        <w:rPr>
          <w:color w:val="000000" w:themeColor="text1"/>
          <w:sz w:val="16"/>
          <w:szCs w:val="16"/>
        </w:rPr>
      </w:pPr>
    </w:p>
    <w:p w14:paraId="231BFC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декабря 1942 г. в Баку на основании приказа главного инженера 8-го АК ПВО, комиссия в составе инженера по вооружению 8-го АК майора Лазина и инженер-капитана Фидарова, начальника отдела вооружения и боеприпасов тыла 8-го АК старшего техника-лейтенанта Паничева и начальника воздушно-артиллерийской службы 962-го иап техника лейтенанта Бурова составили акт проверки безотказности действия АГДТ-А и ПП-4, а также полноты действия РС-82. Комиссия провела контрольный отстрел РС-82 с АГДТ-А и ПП-4, хранившихся со вскры</w:t>
      </w:r>
      <w:r w:rsidRPr="00722885">
        <w:rPr>
          <w:rFonts w:ascii="Times New Roman" w:hAnsi="Times New Roman"/>
          <w:color w:val="000000" w:themeColor="text1"/>
          <w:sz w:val="16"/>
          <w:szCs w:val="16"/>
        </w:rPr>
        <w:softHyphen/>
        <w:t>той гермоуку поркой и подвешиваемых на самолетах дежурной эскадри</w:t>
      </w:r>
      <w:r w:rsidRPr="00722885">
        <w:rPr>
          <w:rFonts w:ascii="Times New Roman" w:hAnsi="Times New Roman"/>
          <w:color w:val="000000" w:themeColor="text1"/>
          <w:sz w:val="16"/>
          <w:szCs w:val="16"/>
        </w:rPr>
        <w:softHyphen/>
        <w:t>льи в полном боевом снаряжении с сентября 1942 г.</w:t>
      </w:r>
    </w:p>
    <w:p w14:paraId="03A47E9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испытания взяли РС-82 (10 шт.) 290-й партии завода №12, сна-ряжания 1941 г., взрыватели АГДТ-А-РС-82 (7 шт.) 6-й партии завода №42, снаряжания 1941 г. и АГДТ-А-РС-82 (3 шт.) 32-й партии завода №42, снаряжания 1941 г. Из 10 выстрелов получили три разрыва, у ос</w:t>
      </w:r>
      <w:r w:rsidRPr="00722885">
        <w:rPr>
          <w:rFonts w:ascii="Times New Roman" w:hAnsi="Times New Roman"/>
          <w:color w:val="000000" w:themeColor="text1"/>
          <w:sz w:val="16"/>
          <w:szCs w:val="16"/>
        </w:rPr>
        <w:softHyphen/>
        <w:t>тальных снарядов РЗ сработал хорошо, но взрыватели отказали. Для окончательного выяснения негодности взрывателей, отдельно ис</w:t>
      </w:r>
      <w:r w:rsidRPr="00722885">
        <w:rPr>
          <w:rFonts w:ascii="Times New Roman" w:hAnsi="Times New Roman"/>
          <w:color w:val="000000" w:themeColor="text1"/>
          <w:sz w:val="16"/>
          <w:szCs w:val="16"/>
        </w:rPr>
        <w:softHyphen/>
        <w:t>пытали 8 взрывателей АГДТ-А-РС-82 6-й партии завода №42 снаряжа</w:t>
      </w:r>
      <w:r w:rsidRPr="00722885">
        <w:rPr>
          <w:rFonts w:ascii="Times New Roman" w:hAnsi="Times New Roman"/>
          <w:color w:val="000000" w:themeColor="text1"/>
          <w:sz w:val="16"/>
          <w:szCs w:val="16"/>
        </w:rPr>
        <w:softHyphen/>
        <w:t>ния 1941 г. «Взрыватели не сработали по следующим причинам:</w:t>
      </w:r>
    </w:p>
    <w:p w14:paraId="58984E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Отсырела замедлительная пороховая часть взрывателей в процес</w:t>
      </w:r>
      <w:r w:rsidRPr="00722885">
        <w:rPr>
          <w:rFonts w:ascii="Times New Roman" w:hAnsi="Times New Roman"/>
          <w:color w:val="000000" w:themeColor="text1"/>
          <w:sz w:val="16"/>
          <w:szCs w:val="16"/>
        </w:rPr>
        <w:softHyphen/>
        <w:t>се длительного хранения с РС-82.</w:t>
      </w:r>
    </w:p>
    <w:p w14:paraId="6614DFC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Отсыревший суконный кружок отстал от верхнего неподвижного дистанционного кольца и во время установки на замедление перекрыва</w:t>
      </w:r>
      <w:r w:rsidRPr="00722885">
        <w:rPr>
          <w:rFonts w:ascii="Times New Roman" w:hAnsi="Times New Roman"/>
          <w:color w:val="000000" w:themeColor="text1"/>
          <w:sz w:val="16"/>
          <w:szCs w:val="16"/>
        </w:rPr>
        <w:softHyphen/>
        <w:t>ет отверстия.</w:t>
      </w:r>
    </w:p>
    <w:p w14:paraId="49DA8B9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Приржавлены предохранительные шарики в гнездах корпуса».</w:t>
      </w:r>
    </w:p>
    <w:p w14:paraId="6029408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Комиссия посчитала снаряды РС-82 исправными и пригодными для дальнейшего использования, а взрыватели АГДТ-А-РС-82, используемые в дежурных эскадрильях с сентября 1942 г., непригодными к снаряжанию РС-82 и подлежат сдаче в БАО по 5-й категории (11402).</w:t>
      </w:r>
    </w:p>
    <w:p w14:paraId="299E12E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047EBCE"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декабря 1942 г. вышло ТЗ ГУВ ГМЧ на горную установку, по которму в СКБ завода «Компрессор» далее усовершенствовали горную пусковую установку, повысив ее устойчивость, при стрельбе, снизив массу до 51 кг и уменьшив габариты. Углы поворота пакета направляющих по горизонту ограничили сектором ±45°, а угол возвышения - пределами от 0° до +48°. Длина пакета направляющих уменьшилась до 780 мм. Пирописто-лет нижнего ряда упразднялся, а раздача пламени по воспламенителям снарядов верхнего и нижнего рядов осуществлялась от верхнего пиропистолета. Таким образом, уменьшилось и время перезарядки установки. Кроме того, ее оснастили панорамой.</w:t>
      </w:r>
    </w:p>
    <w:p w14:paraId="522E070A"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Пензенском машиностроительном заводе изготовили опытный образец усовершенствованной горной пусковой установки. Ее испытания прошли с 12 по 26 июля 1943 г. По их результатам установку рекомендовали принять на вооружение и запустить в серийное производство. В ходе Великой Отечественной войны горно-вьючные пусковые установки М-8-8, успешно применяли в предгорьях и горных районах Кавказа и в Карпатах. Ими же оснащали легкие джипы «Виллис-МВ» и ГАЗ-67, торпедные катера, плашкоуты и бывшие рыболовецкие сейнеры (15595).</w:t>
      </w:r>
    </w:p>
    <w:p w14:paraId="4AD0F63B" w14:textId="77777777" w:rsidR="003C3FCB" w:rsidRPr="00722885" w:rsidRDefault="003C3FCB" w:rsidP="00722885">
      <w:pPr>
        <w:spacing w:after="0" w:line="240" w:lineRule="auto"/>
        <w:jc w:val="both"/>
        <w:rPr>
          <w:rFonts w:ascii="Times New Roman" w:hAnsi="Times New Roman"/>
          <w:color w:val="000000" w:themeColor="text1"/>
          <w:sz w:val="16"/>
          <w:szCs w:val="16"/>
        </w:rPr>
      </w:pPr>
    </w:p>
    <w:p w14:paraId="4D8308FA"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2 декабря 1942 года, согласно бывшим секретным отчетам FHO (Foreign Armies East - иностранные армии востока), с начала войны были захвачены только 23 гвардейских миномета (Stalin Organs - иностранное название), более одной в январе 1943 года и более 13 в феврале 1943 года. В начале июля 1943 года (наступательная операция на Курской дуге) были захвачены 57 установок. В декабре 1943 года FHO зарегистрировала в общем целом 145 захваченных "Катюш", начиная с 22 июня 1941 года (15981).</w:t>
      </w:r>
    </w:p>
    <w:p w14:paraId="36FC4CF7"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1943 года FHO зарегистрировала в общем целом 145 захваченных "Катюш", начиная с 22 июня 1941 года.</w:t>
      </w:r>
    </w:p>
    <w:p w14:paraId="08217A06"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Большие потери были отмечены в период между июлем и декабрем 1943 года. В июне были уничтожены 73 установки, в августе 163, сентябре 114, октябре 45, ноябре 24 и декабре 9. Общее количество - 428 штук. В сравнении с данными производства в этот период времени потери установок реактивной артиллерии Красной Армии составили около 25 процентов (15981).</w:t>
      </w:r>
    </w:p>
    <w:p w14:paraId="0752E6F0" w14:textId="77777777" w:rsidR="003C3FCB" w:rsidRPr="00722885" w:rsidRDefault="003C3FCB" w:rsidP="00722885">
      <w:pPr>
        <w:spacing w:after="0" w:line="240" w:lineRule="auto"/>
        <w:jc w:val="both"/>
        <w:rPr>
          <w:rFonts w:ascii="Times New Roman" w:hAnsi="Times New Roman"/>
          <w:color w:val="000000" w:themeColor="text1"/>
          <w:sz w:val="16"/>
          <w:szCs w:val="16"/>
        </w:rPr>
      </w:pPr>
    </w:p>
    <w:p w14:paraId="127245D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4EE8CAB" w14:textId="77777777" w:rsidR="00BB6316" w:rsidRPr="00722885" w:rsidRDefault="00BB6316" w:rsidP="00722885">
      <w:pPr>
        <w:pStyle w:val="Iauiue"/>
        <w:jc w:val="both"/>
        <w:rPr>
          <w:iCs/>
          <w:color w:val="000000" w:themeColor="text1"/>
          <w:sz w:val="16"/>
          <w:szCs w:val="16"/>
        </w:rPr>
      </w:pPr>
    </w:p>
    <w:p w14:paraId="0E97591C"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 декабря 1942 года вышел приказ НКБ № 941с</w:t>
      </w:r>
    </w:p>
    <w:p w14:paraId="5F424A9B"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На основании распоряжения СНК № 21284 от 8 ноября 1942 года.</w:t>
      </w:r>
    </w:p>
    <w:p w14:paraId="0D35086F"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Присвоить заводу № 1 Осоавиахима № 331 НКБ (5943, 16).</w:t>
      </w:r>
    </w:p>
    <w:p w14:paraId="469141EC" w14:textId="77777777" w:rsidR="00BB6316" w:rsidRPr="00722885" w:rsidRDefault="00BB6316" w:rsidP="00722885">
      <w:pPr>
        <w:pStyle w:val="Iauiue"/>
        <w:tabs>
          <w:tab w:val="left" w:pos="11199"/>
        </w:tabs>
        <w:jc w:val="both"/>
        <w:rPr>
          <w:color w:val="000000" w:themeColor="text1"/>
          <w:sz w:val="16"/>
          <w:szCs w:val="16"/>
        </w:rPr>
      </w:pPr>
    </w:p>
    <w:p w14:paraId="4D9ACC0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декабря 1942г. ГоКО, не дожидаясь результатов испытаний, вынес постановление о немедленной подготовке серийного производства СУ-122 на Уралмашзаводе.</w:t>
      </w:r>
    </w:p>
    <w:p w14:paraId="46922BD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скорейшей отправки артсамоходов на фронт заводу разрешили начать отгрузку первой партии СУ-122 (125 штук) без устранения отмеченных в ходе предварительных испытаний недостатков. Однако заводу удалось устранить большинство из них уже в машинах первой отгрузки.</w:t>
      </w:r>
    </w:p>
    <w:p w14:paraId="70A7D3C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САУ первой серии были внесены следующие изменения по сравнению с прототипом:</w:t>
      </w:r>
    </w:p>
    <w:p w14:paraId="7173835A" w14:textId="77777777" w:rsidR="00BB6316" w:rsidRPr="00722885" w:rsidRDefault="00BB6316" w:rsidP="00722885">
      <w:pPr>
        <w:pStyle w:val="Iauiue"/>
        <w:numPr>
          <w:ilvl w:val="0"/>
          <w:numId w:val="6"/>
        </w:numPr>
        <w:ind w:left="0" w:firstLine="0"/>
        <w:jc w:val="both"/>
        <w:rPr>
          <w:color w:val="000000" w:themeColor="text1"/>
          <w:sz w:val="16"/>
          <w:szCs w:val="16"/>
        </w:rPr>
      </w:pPr>
      <w:r w:rsidRPr="00722885">
        <w:rPr>
          <w:color w:val="000000" w:themeColor="text1"/>
          <w:sz w:val="16"/>
          <w:szCs w:val="16"/>
        </w:rPr>
        <w:t>введен сплошной лобовой лист рубки (вместо ломаного), что увеличивало объем боевого отделения и улучшало условия работы экипажа;</w:t>
      </w:r>
    </w:p>
    <w:p w14:paraId="778317CA" w14:textId="77777777" w:rsidR="00BB6316" w:rsidRPr="00722885" w:rsidRDefault="00BB6316" w:rsidP="00722885">
      <w:pPr>
        <w:pStyle w:val="Iauiue"/>
        <w:numPr>
          <w:ilvl w:val="0"/>
          <w:numId w:val="6"/>
        </w:numPr>
        <w:ind w:left="0" w:firstLine="0"/>
        <w:jc w:val="both"/>
        <w:rPr>
          <w:color w:val="000000" w:themeColor="text1"/>
          <w:sz w:val="16"/>
          <w:szCs w:val="16"/>
        </w:rPr>
      </w:pPr>
      <w:r w:rsidRPr="00722885">
        <w:rPr>
          <w:color w:val="000000" w:themeColor="text1"/>
          <w:sz w:val="16"/>
          <w:szCs w:val="16"/>
        </w:rPr>
        <w:t>устранены щели в бронезащите гаубицы при углах ее наведения более 8 град. по горизонтали;</w:t>
      </w:r>
    </w:p>
    <w:p w14:paraId="7B34A993" w14:textId="77777777" w:rsidR="00BB6316" w:rsidRPr="00722885" w:rsidRDefault="00BB6316" w:rsidP="00722885">
      <w:pPr>
        <w:pStyle w:val="Iauiue"/>
        <w:numPr>
          <w:ilvl w:val="0"/>
          <w:numId w:val="6"/>
        </w:numPr>
        <w:ind w:left="0" w:firstLine="0"/>
        <w:jc w:val="both"/>
        <w:rPr>
          <w:color w:val="000000" w:themeColor="text1"/>
          <w:sz w:val="16"/>
          <w:szCs w:val="16"/>
        </w:rPr>
      </w:pPr>
      <w:r w:rsidRPr="00722885">
        <w:rPr>
          <w:color w:val="000000" w:themeColor="text1"/>
          <w:sz w:val="16"/>
          <w:szCs w:val="16"/>
        </w:rPr>
        <w:t>изменено расположение боеукладки (особенно в плане зарядов);</w:t>
      </w:r>
    </w:p>
    <w:p w14:paraId="2E5A5CB9" w14:textId="77777777" w:rsidR="00BB6316" w:rsidRPr="00722885" w:rsidRDefault="00BB6316" w:rsidP="00722885">
      <w:pPr>
        <w:pStyle w:val="Iauiue"/>
        <w:numPr>
          <w:ilvl w:val="0"/>
          <w:numId w:val="6"/>
        </w:numPr>
        <w:ind w:left="0" w:firstLine="0"/>
        <w:jc w:val="both"/>
        <w:rPr>
          <w:color w:val="000000" w:themeColor="text1"/>
          <w:sz w:val="16"/>
          <w:szCs w:val="16"/>
        </w:rPr>
      </w:pPr>
      <w:r w:rsidRPr="00722885">
        <w:rPr>
          <w:color w:val="000000" w:themeColor="text1"/>
          <w:sz w:val="16"/>
          <w:szCs w:val="16"/>
        </w:rPr>
        <w:lastRenderedPageBreak/>
        <w:t>изменено расположение рабочих мест членов экипажа (особенно - наводчика и командира САУ), а также некоторых прицельных и смотровых приборов, приборов освещения, люков и др.</w:t>
      </w:r>
    </w:p>
    <w:p w14:paraId="5BA3E37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Кроме того, во всех серийных машинах ввиду бесполезности была удалена командирская башенка, но с января 1943 г. начали устанавливать цилиндрические топливные баки (4017).</w:t>
      </w:r>
    </w:p>
    <w:p w14:paraId="395A70A0" w14:textId="77777777" w:rsidR="00BB6316" w:rsidRPr="00722885" w:rsidRDefault="00BB6316" w:rsidP="00722885">
      <w:pPr>
        <w:pStyle w:val="Iauiue"/>
        <w:jc w:val="both"/>
        <w:rPr>
          <w:color w:val="000000" w:themeColor="text1"/>
          <w:sz w:val="16"/>
          <w:szCs w:val="16"/>
        </w:rPr>
      </w:pPr>
    </w:p>
    <w:p w14:paraId="5D9F71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декабря 1942 вышло Постановление№ 2559 Об организации производства самоходных установок на Уралмашзаводе и заводе № 38. РГАНИР, Фонд ГКО, д. 71, лл. 38-41 (11012).</w:t>
      </w:r>
    </w:p>
    <w:p w14:paraId="48D34C3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D1FC3B4" w14:textId="77777777" w:rsidR="003C3FCB" w:rsidRPr="00722885" w:rsidRDefault="00BB6316" w:rsidP="00722885">
      <w:pPr>
        <w:pStyle w:val="Iauiue"/>
        <w:jc w:val="both"/>
        <w:rPr>
          <w:color w:val="000000" w:themeColor="text1"/>
          <w:sz w:val="16"/>
          <w:szCs w:val="16"/>
        </w:rPr>
      </w:pPr>
      <w:r w:rsidRPr="00722885">
        <w:rPr>
          <w:color w:val="000000" w:themeColor="text1"/>
          <w:sz w:val="16"/>
          <w:szCs w:val="16"/>
        </w:rPr>
        <w:t>2 декабря 1942 ГКО постановлением N 4559 (4406) принял решение о развертывании производства самоходных артиллерийских установок Су-35 (Су-122) (3905). В декабре изготовили 25 машин (4406).</w:t>
      </w:r>
    </w:p>
    <w:p w14:paraId="76A3B58A" w14:textId="77777777" w:rsidR="003C3FCB" w:rsidRPr="00722885" w:rsidRDefault="003C3FCB" w:rsidP="00722885">
      <w:pPr>
        <w:pStyle w:val="Iauiue"/>
        <w:jc w:val="both"/>
        <w:rPr>
          <w:color w:val="000000" w:themeColor="text1"/>
          <w:sz w:val="16"/>
          <w:szCs w:val="16"/>
        </w:rPr>
      </w:pPr>
    </w:p>
    <w:p w14:paraId="017877BB"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xml:space="preserve">2 декабря 1942 года было подписано постановление Государственного комитета обороны (ГКО) №2559сс «Об организации производства самоходных артиллерийских установок (САУ) на Уралмашзаводе и заводе № 38». Оно стало финальной точкой в долгой истории разработки советских средних САУ, которые изначально создавались как истребители танков, но весной 1942 года превратились в штурмовые самоходы. По решению ГКО, в серию запускалась САУ </w:t>
      </w:r>
      <w:hyperlink r:id="rId179" w:history="1">
        <w:r w:rsidRPr="00722885">
          <w:rPr>
            <w:rFonts w:ascii="Times New Roman" w:eastAsia="Times New Roman" w:hAnsi="Times New Roman"/>
            <w:iCs/>
            <w:color w:val="000000" w:themeColor="text1"/>
            <w:sz w:val="16"/>
            <w:szCs w:val="16"/>
            <w:lang w:eastAsia="ru-RU"/>
          </w:rPr>
          <w:t>У-35</w:t>
        </w:r>
      </w:hyperlink>
      <w:r w:rsidRPr="00722885">
        <w:rPr>
          <w:rFonts w:ascii="Times New Roman" w:eastAsia="Times New Roman" w:hAnsi="Times New Roman"/>
          <w:iCs/>
          <w:color w:val="000000" w:themeColor="text1"/>
          <w:sz w:val="16"/>
          <w:szCs w:val="16"/>
          <w:lang w:eastAsia="ru-RU"/>
        </w:rPr>
        <w:t xml:space="preserve"> разработки конструкторского бюро Уральского завода тяжелого машиностроения (КБ УЗТМ), которая к тому моменту еще не вышла на испытания. Подобное форсирование событий объяснялось острой потребностью Красной Армии в таких машинах. Интересно, что центром разработки средних САУ вполне мог бы стать не Свердловск, а подмосковные Мытищи. Причем средние самоходные установки, разрабатывавшихся КБ завода №592, оказались как минимум не хуже свердловских (17681).</w:t>
      </w:r>
    </w:p>
    <w:p w14:paraId="0595F982" w14:textId="77777777" w:rsidR="00A92D60" w:rsidRPr="00722885" w:rsidRDefault="00A92D60" w:rsidP="00722885">
      <w:pPr>
        <w:spacing w:after="0" w:line="240" w:lineRule="auto"/>
        <w:jc w:val="both"/>
        <w:rPr>
          <w:rFonts w:ascii="Times New Roman" w:eastAsia="Times New Roman" w:hAnsi="Times New Roman"/>
          <w:color w:val="000000" w:themeColor="text1"/>
          <w:sz w:val="16"/>
          <w:szCs w:val="16"/>
          <w:lang w:eastAsia="ru-RU"/>
        </w:rPr>
      </w:pPr>
    </w:p>
    <w:p w14:paraId="6591A905"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2 декабря 1942, то есть ещё до начала испытаний У-35, было подписано постановление ГКО №2559 «Об организации производства самоходных артиллерийских установок на Уралмашзаводе и заводе № 38». Согласно этому документу, уже в декабре 1942 года УЗТМ должен был сдать первые 25 самоходных установок СУ-35, которые впоследствии стали известны под названием СУ-122 (17685).</w:t>
      </w:r>
    </w:p>
    <w:p w14:paraId="200E2461" w14:textId="77777777" w:rsidR="00A92D60" w:rsidRPr="00722885" w:rsidRDefault="00A92D60" w:rsidP="00722885">
      <w:pPr>
        <w:spacing w:after="0" w:line="240" w:lineRule="auto"/>
        <w:jc w:val="both"/>
        <w:rPr>
          <w:rFonts w:ascii="Times New Roman" w:eastAsia="Times New Roman" w:hAnsi="Times New Roman"/>
          <w:color w:val="000000" w:themeColor="text1"/>
          <w:sz w:val="16"/>
          <w:szCs w:val="16"/>
          <w:lang w:eastAsia="ru-RU"/>
        </w:rPr>
      </w:pPr>
    </w:p>
    <w:p w14:paraId="5996659E"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 декабря 1942 Сталин подписал постановление ГКО № 2559 «Об организации производства самоходных артиллерийских установок на Уралмашзаводе и заводе № 38».</w:t>
      </w:r>
    </w:p>
    <w:p w14:paraId="79C54A11"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Этот документ содержал такие пункты:</w:t>
      </w:r>
    </w:p>
    <w:p w14:paraId="20B76F0E"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«1. Обязать Наркомтанкопром (т. Зальцмана):</w:t>
      </w:r>
    </w:p>
    <w:p w14:paraId="382C2FBF"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&lt;…&gt;</w:t>
      </w:r>
    </w:p>
    <w:p w14:paraId="12308D0E"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б) организовать на заводе №38 (г. Киров) производство самоходных артиллерийских установок СУ-12 на базе танка Т-70 с 76 мм пушкой ЗИС-3, со снятием с производства танков Т-70 с 1 января 1943 г.</w:t>
      </w:r>
    </w:p>
    <w:p w14:paraId="6B9FFD51"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2. Утвердить следующую программу по танкам Т-34 и Т-70 и по самоходным артиллерийским установкам СУ-35 и СУ-12:</w:t>
      </w:r>
    </w:p>
    <w:p w14:paraId="73C60535"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&lt;…&gt;</w:t>
      </w:r>
    </w:p>
    <w:p w14:paraId="0EC2BAF7"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б) по заводу №38</w:t>
      </w:r>
    </w:p>
    <w:p w14:paraId="5F8B612F"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Т-70</w:t>
      </w:r>
    </w:p>
    <w:p w14:paraId="011C1E8C"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декабрь мес. 1942 г. – 200.</w:t>
      </w:r>
    </w:p>
    <w:p w14:paraId="2ECC8580"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с 1 января 1943 г. танк Т-70 с производства снимается.</w:t>
      </w:r>
    </w:p>
    <w:p w14:paraId="772A5285"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СУ-12</w:t>
      </w:r>
    </w:p>
    <w:p w14:paraId="2DACA78D"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декабрь мес. 1942 г. – 25 шт.</w:t>
      </w:r>
    </w:p>
    <w:p w14:paraId="53A48564"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январь мес. 1943 г – 150 шт.</w:t>
      </w:r>
    </w:p>
    <w:p w14:paraId="699E3DDE"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февраль мес. 1943 г – 200 шт.</w:t>
      </w:r>
    </w:p>
    <w:p w14:paraId="76B8671B" w14:textId="77777777" w:rsidR="00A92D60" w:rsidRPr="00722885" w:rsidRDefault="00A92D6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xml:space="preserve">- март мес. 1943 г – 200 шт.» </w:t>
      </w:r>
      <w:r w:rsidRPr="00722885">
        <w:rPr>
          <w:rFonts w:ascii="Times New Roman" w:eastAsia="Times New Roman" w:hAnsi="Times New Roman"/>
          <w:color w:val="000000" w:themeColor="text1"/>
          <w:sz w:val="16"/>
          <w:szCs w:val="16"/>
          <w:lang w:eastAsia="ru-RU"/>
        </w:rPr>
        <w:t>(17699).</w:t>
      </w:r>
    </w:p>
    <w:p w14:paraId="1B586182" w14:textId="77777777" w:rsidR="00A92D60" w:rsidRPr="00722885" w:rsidRDefault="00A92D60" w:rsidP="00722885">
      <w:pPr>
        <w:spacing w:after="0" w:line="240" w:lineRule="auto"/>
        <w:jc w:val="both"/>
        <w:rPr>
          <w:rFonts w:ascii="Times New Roman" w:hAnsi="Times New Roman"/>
          <w:color w:val="000000" w:themeColor="text1"/>
          <w:sz w:val="16"/>
          <w:szCs w:val="16"/>
        </w:rPr>
      </w:pPr>
    </w:p>
    <w:p w14:paraId="28A184E1" w14:textId="77777777" w:rsidR="00A92D60" w:rsidRPr="00722885" w:rsidRDefault="00A92D60"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 xml:space="preserve">2 декабря 1942 года на вооружение Красной армии самоходная установка </w:t>
      </w:r>
      <w:hyperlink r:id="rId180" w:history="1">
        <w:r w:rsidRPr="00722885">
          <w:rPr>
            <w:rStyle w:val="a5"/>
            <w:iCs/>
            <w:color w:val="000000" w:themeColor="text1"/>
            <w:sz w:val="16"/>
            <w:szCs w:val="16"/>
          </w:rPr>
          <w:t>СУ-12</w:t>
        </w:r>
      </w:hyperlink>
      <w:r w:rsidRPr="00722885">
        <w:rPr>
          <w:iCs/>
          <w:color w:val="000000" w:themeColor="text1"/>
          <w:sz w:val="16"/>
          <w:szCs w:val="16"/>
        </w:rPr>
        <w:t xml:space="preserve"> была вполне удачной машиной. Правда, у неё имелся врождённый дефект в виде параллельно расположенных двигателей. Такая компоновка силовой установки стала ахиллесовой пятой машины: число дефектов, связанных с моторно-трансмиссионной группой, было очень высоким. Из-за проблем многие СУ-12 долгое время даже не могли добраться до фронта. Чтобы исправить ситуацию, нужно было серьёзно переделывать проблемные узлы. Так появилась </w:t>
      </w:r>
      <w:r w:rsidRPr="00722885">
        <w:rPr>
          <w:bCs/>
          <w:iCs/>
          <w:color w:val="000000" w:themeColor="text1"/>
          <w:sz w:val="16"/>
          <w:szCs w:val="16"/>
        </w:rPr>
        <w:t>СУ-15М</w:t>
      </w:r>
      <w:r w:rsidRPr="00722885">
        <w:rPr>
          <w:iCs/>
          <w:color w:val="000000" w:themeColor="text1"/>
          <w:sz w:val="16"/>
          <w:szCs w:val="16"/>
        </w:rPr>
        <w:t xml:space="preserve">, более известная как </w:t>
      </w:r>
      <w:r w:rsidRPr="00722885">
        <w:rPr>
          <w:bCs/>
          <w:iCs/>
          <w:color w:val="000000" w:themeColor="text1"/>
          <w:sz w:val="16"/>
          <w:szCs w:val="16"/>
        </w:rPr>
        <w:t>СУ-76М</w:t>
      </w:r>
      <w:r w:rsidRPr="00722885">
        <w:rPr>
          <w:iCs/>
          <w:color w:val="000000" w:themeColor="text1"/>
          <w:sz w:val="16"/>
          <w:szCs w:val="16"/>
        </w:rPr>
        <w:t>. Она стала вторым по численности образцом бронетехники Красной армии, уступая только Т-34. Эта статья посвящена разработке СУ-76М и её серийному производству с лета 1943 до весны 1945 года (17728).</w:t>
      </w:r>
    </w:p>
    <w:p w14:paraId="57737E9C" w14:textId="77777777" w:rsidR="00A92D60" w:rsidRPr="00722885" w:rsidRDefault="00A92D60" w:rsidP="00722885">
      <w:pPr>
        <w:spacing w:after="0" w:line="240" w:lineRule="auto"/>
        <w:jc w:val="both"/>
        <w:rPr>
          <w:rFonts w:ascii="Times New Roman" w:hAnsi="Times New Roman"/>
          <w:color w:val="000000" w:themeColor="text1"/>
          <w:sz w:val="16"/>
          <w:szCs w:val="16"/>
        </w:rPr>
      </w:pPr>
    </w:p>
    <w:p w14:paraId="04CCFC7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декабря 1942 г. ГОСУДАРСТВЕННЫЙ КОМИТЕТ ОБОРОНЫ ПОСТАНОВЛЕНИЕ № ГКО-2559сс</w:t>
      </w:r>
    </w:p>
    <w:p w14:paraId="46FE3A3F" w14:textId="77777777" w:rsidR="003C3FCB"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Москва, Кремль </w:t>
      </w:r>
    </w:p>
    <w:p w14:paraId="220D54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 организации производства самоходных установок на Уралмашзаводе и заводе № 38.</w:t>
      </w:r>
    </w:p>
    <w:p w14:paraId="7474AB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Государственный Комитет Обороны ПОСТАНОВЛЯЕТ: </w:t>
      </w:r>
    </w:p>
    <w:p w14:paraId="3AD900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Обязать Наркомтанкопром (т. Зальцмана): </w:t>
      </w:r>
    </w:p>
    <w:p w14:paraId="31FD85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организовать на Уралмашзаводе производство самоходных артиллерийских установок Су-35 на базе танка со 122 мм гаубицей М-30; </w:t>
      </w:r>
    </w:p>
    <w:p w14:paraId="65F3DC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организовать на заводе № 38 (г. Киров) производство самоходных артиллерийских установок Су-12 на базе танка Т-70 с 76 мм пушкой ЗИС-3, со снятием с производства танков Т-70 с 1 января 1943 г. </w:t>
      </w:r>
    </w:p>
    <w:p w14:paraId="576195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Утвердить следующую программу по танкам Т-34 и Т-70 и по самоходным артиллерийским установкам Су-35 и СУ-12: </w:t>
      </w:r>
    </w:p>
    <w:p w14:paraId="55A575E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По Уралмашзаводу</w:t>
      </w:r>
    </w:p>
    <w:tbl>
      <w:tblPr>
        <w:tblW w:w="10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
        <w:gridCol w:w="376"/>
        <w:gridCol w:w="753"/>
        <w:gridCol w:w="856"/>
        <w:gridCol w:w="536"/>
        <w:gridCol w:w="152"/>
        <w:gridCol w:w="193"/>
        <w:gridCol w:w="257"/>
        <w:gridCol w:w="1058"/>
        <w:gridCol w:w="386"/>
        <w:gridCol w:w="386"/>
        <w:gridCol w:w="771"/>
        <w:gridCol w:w="536"/>
        <w:gridCol w:w="536"/>
        <w:gridCol w:w="144"/>
        <w:gridCol w:w="144"/>
        <w:gridCol w:w="163"/>
        <w:gridCol w:w="152"/>
        <w:gridCol w:w="152"/>
        <w:gridCol w:w="771"/>
        <w:gridCol w:w="500"/>
        <w:gridCol w:w="536"/>
        <w:gridCol w:w="270"/>
        <w:gridCol w:w="456"/>
        <w:gridCol w:w="450"/>
      </w:tblGrid>
      <w:tr w:rsidR="009B487A" w:rsidRPr="00722885" w14:paraId="13B6FFC5" w14:textId="77777777" w:rsidTr="00CC5360">
        <w:tc>
          <w:tcPr>
            <w:tcW w:w="6099" w:type="dxa"/>
            <w:gridSpan w:val="12"/>
            <w:shd w:val="clear" w:color="auto" w:fill="auto"/>
            <w:hideMark/>
          </w:tcPr>
          <w:p w14:paraId="47AA125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p w14:paraId="628E562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Т-34</w:t>
            </w:r>
          </w:p>
        </w:tc>
        <w:tc>
          <w:tcPr>
            <w:tcW w:w="0" w:type="auto"/>
            <w:gridSpan w:val="2"/>
            <w:vMerge w:val="restart"/>
            <w:shd w:val="clear" w:color="auto" w:fill="auto"/>
            <w:hideMark/>
          </w:tcPr>
          <w:p w14:paraId="098B884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w:t>
            </w:r>
          </w:p>
        </w:tc>
        <w:tc>
          <w:tcPr>
            <w:tcW w:w="0" w:type="auto"/>
            <w:gridSpan w:val="11"/>
            <w:shd w:val="clear" w:color="auto" w:fill="auto"/>
            <w:hideMark/>
          </w:tcPr>
          <w:p w14:paraId="48F9016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СУ-35</w:t>
            </w:r>
          </w:p>
        </w:tc>
      </w:tr>
      <w:tr w:rsidR="009B487A" w:rsidRPr="00722885" w14:paraId="0B1A72B5" w14:textId="77777777" w:rsidTr="00CC5360">
        <w:tc>
          <w:tcPr>
            <w:tcW w:w="1507" w:type="dxa"/>
            <w:gridSpan w:val="3"/>
            <w:shd w:val="clear" w:color="auto" w:fill="auto"/>
            <w:hideMark/>
          </w:tcPr>
          <w:p w14:paraId="6E7EE30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декабрь</w:t>
            </w:r>
          </w:p>
        </w:tc>
        <w:tc>
          <w:tcPr>
            <w:tcW w:w="0" w:type="auto"/>
            <w:shd w:val="clear" w:color="auto" w:fill="auto"/>
            <w:hideMark/>
          </w:tcPr>
          <w:p w14:paraId="14D7B7A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мес.</w:t>
            </w:r>
          </w:p>
        </w:tc>
        <w:tc>
          <w:tcPr>
            <w:tcW w:w="0" w:type="auto"/>
            <w:gridSpan w:val="4"/>
            <w:shd w:val="clear" w:color="auto" w:fill="auto"/>
            <w:hideMark/>
          </w:tcPr>
          <w:p w14:paraId="32ACE86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1942 г.</w:t>
            </w:r>
          </w:p>
        </w:tc>
        <w:tc>
          <w:tcPr>
            <w:tcW w:w="0" w:type="auto"/>
            <w:gridSpan w:val="2"/>
            <w:shd w:val="clear" w:color="auto" w:fill="auto"/>
            <w:hideMark/>
          </w:tcPr>
          <w:p w14:paraId="2E5D228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2"/>
            <w:shd w:val="clear" w:color="auto" w:fill="auto"/>
            <w:hideMark/>
          </w:tcPr>
          <w:p w14:paraId="460307E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100</w:t>
            </w:r>
          </w:p>
        </w:tc>
        <w:tc>
          <w:tcPr>
            <w:tcW w:w="0" w:type="auto"/>
            <w:gridSpan w:val="2"/>
            <w:vMerge/>
            <w:shd w:val="clear" w:color="auto" w:fill="auto"/>
            <w:hideMark/>
          </w:tcPr>
          <w:p w14:paraId="7D525DB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6"/>
            <w:shd w:val="clear" w:color="auto" w:fill="auto"/>
            <w:hideMark/>
          </w:tcPr>
          <w:p w14:paraId="5BE11B0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декабрь</w:t>
            </w:r>
          </w:p>
        </w:tc>
        <w:tc>
          <w:tcPr>
            <w:tcW w:w="0" w:type="auto"/>
            <w:shd w:val="clear" w:color="auto" w:fill="auto"/>
            <w:hideMark/>
          </w:tcPr>
          <w:p w14:paraId="65D7B42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мес.</w:t>
            </w:r>
          </w:p>
        </w:tc>
        <w:tc>
          <w:tcPr>
            <w:tcW w:w="0" w:type="auto"/>
            <w:shd w:val="clear" w:color="auto" w:fill="auto"/>
            <w:hideMark/>
          </w:tcPr>
          <w:p w14:paraId="1F268A9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1942 г.</w:t>
            </w:r>
          </w:p>
        </w:tc>
        <w:tc>
          <w:tcPr>
            <w:tcW w:w="0" w:type="auto"/>
            <w:shd w:val="clear" w:color="auto" w:fill="auto"/>
            <w:hideMark/>
          </w:tcPr>
          <w:p w14:paraId="249EAD1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66287E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25</w:t>
            </w:r>
          </w:p>
        </w:tc>
        <w:tc>
          <w:tcPr>
            <w:tcW w:w="0" w:type="auto"/>
            <w:shd w:val="clear" w:color="auto" w:fill="auto"/>
            <w:hideMark/>
          </w:tcPr>
          <w:p w14:paraId="3D05304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шт.</w:t>
            </w:r>
          </w:p>
        </w:tc>
      </w:tr>
      <w:tr w:rsidR="009B487A" w:rsidRPr="00722885" w14:paraId="0F0C8809" w14:textId="77777777" w:rsidTr="00CC5360">
        <w:tc>
          <w:tcPr>
            <w:tcW w:w="1507" w:type="dxa"/>
            <w:gridSpan w:val="3"/>
            <w:shd w:val="clear" w:color="auto" w:fill="auto"/>
            <w:hideMark/>
          </w:tcPr>
          <w:p w14:paraId="10AF4BD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январь</w:t>
            </w:r>
          </w:p>
        </w:tc>
        <w:tc>
          <w:tcPr>
            <w:tcW w:w="0" w:type="auto"/>
            <w:shd w:val="clear" w:color="auto" w:fill="auto"/>
            <w:hideMark/>
          </w:tcPr>
          <w:p w14:paraId="2FFD58E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4"/>
            <w:shd w:val="clear" w:color="auto" w:fill="auto"/>
            <w:hideMark/>
          </w:tcPr>
          <w:p w14:paraId="2547D7E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50319D4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2"/>
            <w:shd w:val="clear" w:color="auto" w:fill="auto"/>
            <w:hideMark/>
          </w:tcPr>
          <w:p w14:paraId="1A6C15D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100</w:t>
            </w:r>
          </w:p>
        </w:tc>
        <w:tc>
          <w:tcPr>
            <w:tcW w:w="0" w:type="auto"/>
            <w:gridSpan w:val="2"/>
            <w:vMerge/>
            <w:shd w:val="clear" w:color="auto" w:fill="auto"/>
            <w:hideMark/>
          </w:tcPr>
          <w:p w14:paraId="3F8DEF6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6"/>
            <w:shd w:val="clear" w:color="auto" w:fill="auto"/>
            <w:hideMark/>
          </w:tcPr>
          <w:p w14:paraId="4325512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январь</w:t>
            </w:r>
          </w:p>
        </w:tc>
        <w:tc>
          <w:tcPr>
            <w:tcW w:w="0" w:type="auto"/>
            <w:shd w:val="clear" w:color="auto" w:fill="auto"/>
            <w:hideMark/>
          </w:tcPr>
          <w:p w14:paraId="09A6204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530191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shd w:val="clear" w:color="auto" w:fill="auto"/>
            <w:hideMark/>
          </w:tcPr>
          <w:p w14:paraId="6140033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FC7353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100</w:t>
            </w:r>
          </w:p>
        </w:tc>
        <w:tc>
          <w:tcPr>
            <w:tcW w:w="0" w:type="auto"/>
            <w:shd w:val="clear" w:color="auto" w:fill="auto"/>
            <w:hideMark/>
          </w:tcPr>
          <w:p w14:paraId="48520EB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317008DF" w14:textId="77777777" w:rsidTr="00CC5360">
        <w:tc>
          <w:tcPr>
            <w:tcW w:w="1507" w:type="dxa"/>
            <w:gridSpan w:val="3"/>
            <w:shd w:val="clear" w:color="auto" w:fill="auto"/>
            <w:hideMark/>
          </w:tcPr>
          <w:p w14:paraId="6ECB822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февраль</w:t>
            </w:r>
          </w:p>
        </w:tc>
        <w:tc>
          <w:tcPr>
            <w:tcW w:w="0" w:type="auto"/>
            <w:shd w:val="clear" w:color="auto" w:fill="auto"/>
            <w:hideMark/>
          </w:tcPr>
          <w:p w14:paraId="104D1DE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4"/>
            <w:shd w:val="clear" w:color="auto" w:fill="auto"/>
            <w:hideMark/>
          </w:tcPr>
          <w:p w14:paraId="7981445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6F27AF7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2"/>
            <w:shd w:val="clear" w:color="auto" w:fill="auto"/>
            <w:hideMark/>
          </w:tcPr>
          <w:p w14:paraId="6084789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110</w:t>
            </w:r>
          </w:p>
        </w:tc>
        <w:tc>
          <w:tcPr>
            <w:tcW w:w="0" w:type="auto"/>
            <w:gridSpan w:val="2"/>
            <w:vMerge/>
            <w:shd w:val="clear" w:color="auto" w:fill="auto"/>
            <w:hideMark/>
          </w:tcPr>
          <w:p w14:paraId="5512665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6"/>
            <w:shd w:val="clear" w:color="auto" w:fill="auto"/>
            <w:hideMark/>
          </w:tcPr>
          <w:p w14:paraId="3DEDB1C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февраль</w:t>
            </w:r>
          </w:p>
        </w:tc>
        <w:tc>
          <w:tcPr>
            <w:tcW w:w="0" w:type="auto"/>
            <w:shd w:val="clear" w:color="auto" w:fill="auto"/>
            <w:hideMark/>
          </w:tcPr>
          <w:p w14:paraId="62CA481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53D16B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shd w:val="clear" w:color="auto" w:fill="auto"/>
            <w:hideMark/>
          </w:tcPr>
          <w:p w14:paraId="139D3B5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1F9DEF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100</w:t>
            </w:r>
          </w:p>
        </w:tc>
        <w:tc>
          <w:tcPr>
            <w:tcW w:w="0" w:type="auto"/>
            <w:shd w:val="clear" w:color="auto" w:fill="auto"/>
            <w:hideMark/>
          </w:tcPr>
          <w:p w14:paraId="39EC186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3E21C22E" w14:textId="77777777" w:rsidTr="00CC5360">
        <w:tc>
          <w:tcPr>
            <w:tcW w:w="1507" w:type="dxa"/>
            <w:gridSpan w:val="3"/>
            <w:shd w:val="clear" w:color="auto" w:fill="auto"/>
            <w:hideMark/>
          </w:tcPr>
          <w:p w14:paraId="32111F5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март</w:t>
            </w:r>
          </w:p>
        </w:tc>
        <w:tc>
          <w:tcPr>
            <w:tcW w:w="0" w:type="auto"/>
            <w:shd w:val="clear" w:color="auto" w:fill="auto"/>
            <w:hideMark/>
          </w:tcPr>
          <w:p w14:paraId="55ED102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4"/>
            <w:shd w:val="clear" w:color="auto" w:fill="auto"/>
            <w:hideMark/>
          </w:tcPr>
          <w:p w14:paraId="029141B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1993075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2"/>
            <w:shd w:val="clear" w:color="auto" w:fill="auto"/>
            <w:hideMark/>
          </w:tcPr>
          <w:p w14:paraId="388E344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135</w:t>
            </w:r>
          </w:p>
        </w:tc>
        <w:tc>
          <w:tcPr>
            <w:tcW w:w="0" w:type="auto"/>
            <w:gridSpan w:val="2"/>
            <w:vMerge/>
            <w:shd w:val="clear" w:color="auto" w:fill="auto"/>
            <w:hideMark/>
          </w:tcPr>
          <w:p w14:paraId="42779EA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6"/>
            <w:shd w:val="clear" w:color="auto" w:fill="auto"/>
            <w:hideMark/>
          </w:tcPr>
          <w:p w14:paraId="020EE60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март</w:t>
            </w:r>
          </w:p>
        </w:tc>
        <w:tc>
          <w:tcPr>
            <w:tcW w:w="0" w:type="auto"/>
            <w:shd w:val="clear" w:color="auto" w:fill="auto"/>
            <w:hideMark/>
          </w:tcPr>
          <w:p w14:paraId="109B879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9AC842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shd w:val="clear" w:color="auto" w:fill="auto"/>
            <w:hideMark/>
          </w:tcPr>
          <w:p w14:paraId="2A5742D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0ABBDB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100</w:t>
            </w:r>
          </w:p>
        </w:tc>
        <w:tc>
          <w:tcPr>
            <w:tcW w:w="0" w:type="auto"/>
            <w:shd w:val="clear" w:color="auto" w:fill="auto"/>
            <w:hideMark/>
          </w:tcPr>
          <w:p w14:paraId="079A1B9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5176F3D1" w14:textId="77777777" w:rsidTr="00CC5360">
        <w:tc>
          <w:tcPr>
            <w:tcW w:w="10909" w:type="dxa"/>
            <w:gridSpan w:val="25"/>
            <w:shd w:val="clear" w:color="auto" w:fill="auto"/>
            <w:hideMark/>
          </w:tcPr>
          <w:p w14:paraId="3023336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б) по заводу № 38 </w:t>
            </w:r>
          </w:p>
        </w:tc>
      </w:tr>
      <w:tr w:rsidR="009B487A" w:rsidRPr="00722885" w14:paraId="04C4D300" w14:textId="77777777" w:rsidTr="00CC5360">
        <w:trPr>
          <w:gridAfter w:val="5"/>
          <w:wAfter w:w="2212" w:type="dxa"/>
        </w:trPr>
        <w:tc>
          <w:tcPr>
            <w:tcW w:w="3501" w:type="dxa"/>
            <w:gridSpan w:val="8"/>
            <w:shd w:val="clear" w:color="auto" w:fill="auto"/>
            <w:hideMark/>
          </w:tcPr>
          <w:p w14:paraId="5B74822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Т-70</w:t>
            </w:r>
          </w:p>
        </w:tc>
        <w:tc>
          <w:tcPr>
            <w:tcW w:w="0" w:type="auto"/>
            <w:gridSpan w:val="2"/>
            <w:vMerge w:val="restart"/>
            <w:shd w:val="clear" w:color="auto" w:fill="auto"/>
            <w:hideMark/>
          </w:tcPr>
          <w:p w14:paraId="1FB0E05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w:t>
            </w:r>
          </w:p>
        </w:tc>
        <w:tc>
          <w:tcPr>
            <w:tcW w:w="0" w:type="auto"/>
            <w:gridSpan w:val="10"/>
            <w:shd w:val="clear" w:color="auto" w:fill="auto"/>
            <w:hideMark/>
          </w:tcPr>
          <w:p w14:paraId="5F9C285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СУ-12</w:t>
            </w:r>
          </w:p>
        </w:tc>
      </w:tr>
      <w:tr w:rsidR="009B487A" w:rsidRPr="00722885" w14:paraId="59359BF7" w14:textId="77777777" w:rsidTr="00CC5360">
        <w:trPr>
          <w:gridAfter w:val="5"/>
          <w:wAfter w:w="2212" w:type="dxa"/>
        </w:trPr>
        <w:tc>
          <w:tcPr>
            <w:tcW w:w="754" w:type="dxa"/>
            <w:gridSpan w:val="2"/>
            <w:shd w:val="clear" w:color="auto" w:fill="auto"/>
            <w:hideMark/>
          </w:tcPr>
          <w:p w14:paraId="0DDF535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декабрь</w:t>
            </w:r>
          </w:p>
        </w:tc>
        <w:tc>
          <w:tcPr>
            <w:tcW w:w="0" w:type="auto"/>
            <w:shd w:val="clear" w:color="auto" w:fill="auto"/>
            <w:hideMark/>
          </w:tcPr>
          <w:p w14:paraId="4B8DB84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мес.</w:t>
            </w:r>
          </w:p>
        </w:tc>
        <w:tc>
          <w:tcPr>
            <w:tcW w:w="0" w:type="auto"/>
            <w:shd w:val="clear" w:color="auto" w:fill="auto"/>
            <w:hideMark/>
          </w:tcPr>
          <w:p w14:paraId="16E35D0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1942 г.</w:t>
            </w:r>
          </w:p>
        </w:tc>
        <w:tc>
          <w:tcPr>
            <w:tcW w:w="0" w:type="auto"/>
            <w:shd w:val="clear" w:color="auto" w:fill="auto"/>
            <w:hideMark/>
          </w:tcPr>
          <w:p w14:paraId="2B758CB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3"/>
            <w:shd w:val="clear" w:color="auto" w:fill="auto"/>
            <w:hideMark/>
          </w:tcPr>
          <w:p w14:paraId="57A4563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200</w:t>
            </w:r>
          </w:p>
        </w:tc>
        <w:tc>
          <w:tcPr>
            <w:tcW w:w="0" w:type="auto"/>
            <w:gridSpan w:val="2"/>
            <w:vMerge/>
            <w:shd w:val="clear" w:color="auto" w:fill="auto"/>
            <w:hideMark/>
          </w:tcPr>
          <w:p w14:paraId="568D7BD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2"/>
            <w:shd w:val="clear" w:color="auto" w:fill="auto"/>
            <w:hideMark/>
          </w:tcPr>
          <w:p w14:paraId="0CD4AF7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декабрь</w:t>
            </w:r>
          </w:p>
        </w:tc>
        <w:tc>
          <w:tcPr>
            <w:tcW w:w="0" w:type="auto"/>
            <w:shd w:val="clear" w:color="auto" w:fill="auto"/>
            <w:hideMark/>
          </w:tcPr>
          <w:p w14:paraId="565D13B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мес.</w:t>
            </w:r>
          </w:p>
        </w:tc>
        <w:tc>
          <w:tcPr>
            <w:tcW w:w="0" w:type="auto"/>
            <w:shd w:val="clear" w:color="auto" w:fill="auto"/>
            <w:hideMark/>
          </w:tcPr>
          <w:p w14:paraId="4BCA545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1942 г.</w:t>
            </w:r>
          </w:p>
        </w:tc>
        <w:tc>
          <w:tcPr>
            <w:tcW w:w="0" w:type="auto"/>
            <w:gridSpan w:val="2"/>
            <w:shd w:val="clear" w:color="auto" w:fill="auto"/>
            <w:hideMark/>
          </w:tcPr>
          <w:p w14:paraId="2C13111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3"/>
            <w:shd w:val="clear" w:color="auto" w:fill="auto"/>
            <w:hideMark/>
          </w:tcPr>
          <w:p w14:paraId="72832D4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25</w:t>
            </w:r>
          </w:p>
        </w:tc>
        <w:tc>
          <w:tcPr>
            <w:tcW w:w="0" w:type="auto"/>
            <w:shd w:val="clear" w:color="auto" w:fill="auto"/>
            <w:hideMark/>
          </w:tcPr>
          <w:p w14:paraId="2D6D67D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шт.</w:t>
            </w:r>
          </w:p>
        </w:tc>
      </w:tr>
      <w:tr w:rsidR="009B487A" w:rsidRPr="00722885" w14:paraId="6004E274" w14:textId="77777777" w:rsidTr="00CC5360">
        <w:trPr>
          <w:gridAfter w:val="5"/>
          <w:wAfter w:w="2212" w:type="dxa"/>
        </w:trPr>
        <w:tc>
          <w:tcPr>
            <w:tcW w:w="3501" w:type="dxa"/>
            <w:gridSpan w:val="8"/>
            <w:vMerge w:val="restart"/>
            <w:shd w:val="clear" w:color="auto" w:fill="auto"/>
            <w:hideMark/>
          </w:tcPr>
          <w:p w14:paraId="78AD2C0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1 января 1943 г.</w:t>
            </w:r>
          </w:p>
          <w:p w14:paraId="267F8F9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танк Т-70</w:t>
            </w:r>
          </w:p>
          <w:p w14:paraId="06B5705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производства снимается</w:t>
            </w:r>
          </w:p>
        </w:tc>
        <w:tc>
          <w:tcPr>
            <w:tcW w:w="0" w:type="auto"/>
            <w:gridSpan w:val="2"/>
            <w:vMerge/>
            <w:shd w:val="clear" w:color="auto" w:fill="auto"/>
            <w:hideMark/>
          </w:tcPr>
          <w:p w14:paraId="79A3D8E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2"/>
            <w:shd w:val="clear" w:color="auto" w:fill="auto"/>
            <w:hideMark/>
          </w:tcPr>
          <w:p w14:paraId="1DC4F63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январь</w:t>
            </w:r>
          </w:p>
        </w:tc>
        <w:tc>
          <w:tcPr>
            <w:tcW w:w="0" w:type="auto"/>
            <w:shd w:val="clear" w:color="auto" w:fill="auto"/>
            <w:hideMark/>
          </w:tcPr>
          <w:p w14:paraId="2825EC1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1DF78A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0524D5B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3"/>
            <w:shd w:val="clear" w:color="auto" w:fill="auto"/>
            <w:hideMark/>
          </w:tcPr>
          <w:p w14:paraId="7127C40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150</w:t>
            </w:r>
          </w:p>
        </w:tc>
        <w:tc>
          <w:tcPr>
            <w:tcW w:w="0" w:type="auto"/>
            <w:shd w:val="clear" w:color="auto" w:fill="auto"/>
            <w:hideMark/>
          </w:tcPr>
          <w:p w14:paraId="1D97B4E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67882D30" w14:textId="77777777" w:rsidTr="00CC5360">
        <w:trPr>
          <w:gridAfter w:val="5"/>
          <w:wAfter w:w="2212" w:type="dxa"/>
        </w:trPr>
        <w:tc>
          <w:tcPr>
            <w:tcW w:w="3501" w:type="dxa"/>
            <w:gridSpan w:val="8"/>
            <w:vMerge/>
            <w:shd w:val="clear" w:color="auto" w:fill="auto"/>
            <w:hideMark/>
          </w:tcPr>
          <w:p w14:paraId="36706DB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2"/>
            <w:vMerge/>
            <w:shd w:val="clear" w:color="auto" w:fill="auto"/>
            <w:hideMark/>
          </w:tcPr>
          <w:p w14:paraId="122E86D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2"/>
            <w:shd w:val="clear" w:color="auto" w:fill="auto"/>
            <w:hideMark/>
          </w:tcPr>
          <w:p w14:paraId="1DF87D4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февраль</w:t>
            </w:r>
          </w:p>
        </w:tc>
        <w:tc>
          <w:tcPr>
            <w:tcW w:w="0" w:type="auto"/>
            <w:shd w:val="clear" w:color="auto" w:fill="auto"/>
            <w:hideMark/>
          </w:tcPr>
          <w:p w14:paraId="60EB51C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EAD2D9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14BABBB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3"/>
            <w:shd w:val="clear" w:color="auto" w:fill="auto"/>
            <w:hideMark/>
          </w:tcPr>
          <w:p w14:paraId="5AC04EB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200</w:t>
            </w:r>
          </w:p>
        </w:tc>
        <w:tc>
          <w:tcPr>
            <w:tcW w:w="0" w:type="auto"/>
            <w:shd w:val="clear" w:color="auto" w:fill="auto"/>
            <w:hideMark/>
          </w:tcPr>
          <w:p w14:paraId="1E98D09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19BBFBAD" w14:textId="77777777" w:rsidTr="00CC5360">
        <w:trPr>
          <w:gridAfter w:val="5"/>
          <w:wAfter w:w="2212" w:type="dxa"/>
        </w:trPr>
        <w:tc>
          <w:tcPr>
            <w:tcW w:w="3501" w:type="dxa"/>
            <w:gridSpan w:val="8"/>
            <w:vMerge/>
            <w:shd w:val="clear" w:color="auto" w:fill="auto"/>
            <w:hideMark/>
          </w:tcPr>
          <w:p w14:paraId="6E3A8AF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2"/>
            <w:vMerge/>
            <w:shd w:val="clear" w:color="auto" w:fill="auto"/>
            <w:hideMark/>
          </w:tcPr>
          <w:p w14:paraId="56F106B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2"/>
            <w:shd w:val="clear" w:color="auto" w:fill="auto"/>
            <w:hideMark/>
          </w:tcPr>
          <w:p w14:paraId="779C235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март</w:t>
            </w:r>
          </w:p>
        </w:tc>
        <w:tc>
          <w:tcPr>
            <w:tcW w:w="0" w:type="auto"/>
            <w:shd w:val="clear" w:color="auto" w:fill="auto"/>
            <w:hideMark/>
          </w:tcPr>
          <w:p w14:paraId="3C05115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977ABF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6F0E2A9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3"/>
            <w:shd w:val="clear" w:color="auto" w:fill="auto"/>
            <w:hideMark/>
          </w:tcPr>
          <w:p w14:paraId="0D85556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300</w:t>
            </w:r>
          </w:p>
        </w:tc>
        <w:tc>
          <w:tcPr>
            <w:tcW w:w="0" w:type="auto"/>
            <w:shd w:val="clear" w:color="auto" w:fill="auto"/>
            <w:hideMark/>
          </w:tcPr>
          <w:p w14:paraId="4F2A02D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789CD43B" w14:textId="77777777" w:rsidTr="00CC5360">
        <w:tc>
          <w:tcPr>
            <w:tcW w:w="10909" w:type="dxa"/>
            <w:gridSpan w:val="25"/>
            <w:shd w:val="clear" w:color="auto" w:fill="auto"/>
            <w:hideMark/>
          </w:tcPr>
          <w:p w14:paraId="5BB2E23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3. Утвердить следующую программу производства корпусов для танков на декабрь месяц 1942 г.: </w:t>
            </w:r>
          </w:p>
        </w:tc>
      </w:tr>
      <w:tr w:rsidR="009B487A" w:rsidRPr="00722885" w14:paraId="71F2B11C" w14:textId="77777777" w:rsidTr="00CC5360">
        <w:trPr>
          <w:gridAfter w:val="7"/>
          <w:wAfter w:w="3135" w:type="dxa"/>
        </w:trPr>
        <w:tc>
          <w:tcPr>
            <w:tcW w:w="1507" w:type="dxa"/>
            <w:gridSpan w:val="3"/>
            <w:shd w:val="clear" w:color="auto" w:fill="auto"/>
            <w:hideMark/>
          </w:tcPr>
          <w:p w14:paraId="3386D87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заводу</w:t>
            </w:r>
          </w:p>
        </w:tc>
        <w:tc>
          <w:tcPr>
            <w:tcW w:w="0" w:type="auto"/>
            <w:shd w:val="clear" w:color="auto" w:fill="auto"/>
            <w:hideMark/>
          </w:tcPr>
          <w:p w14:paraId="572C136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Уралмаш</w:t>
            </w:r>
          </w:p>
        </w:tc>
        <w:tc>
          <w:tcPr>
            <w:tcW w:w="0" w:type="auto"/>
            <w:gridSpan w:val="3"/>
            <w:shd w:val="clear" w:color="auto" w:fill="auto"/>
            <w:hideMark/>
          </w:tcPr>
          <w:p w14:paraId="50F0D75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по</w:t>
            </w:r>
          </w:p>
        </w:tc>
        <w:tc>
          <w:tcPr>
            <w:tcW w:w="0" w:type="auto"/>
            <w:gridSpan w:val="3"/>
            <w:shd w:val="clear" w:color="auto" w:fill="auto"/>
            <w:hideMark/>
          </w:tcPr>
          <w:p w14:paraId="42811F2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бронекорпусам</w:t>
            </w:r>
          </w:p>
        </w:tc>
        <w:tc>
          <w:tcPr>
            <w:tcW w:w="0" w:type="auto"/>
            <w:gridSpan w:val="2"/>
            <w:shd w:val="clear" w:color="auto" w:fill="auto"/>
            <w:hideMark/>
          </w:tcPr>
          <w:p w14:paraId="6E952E7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Т-34</w:t>
            </w:r>
          </w:p>
        </w:tc>
        <w:tc>
          <w:tcPr>
            <w:tcW w:w="0" w:type="auto"/>
            <w:shd w:val="clear" w:color="auto" w:fill="auto"/>
            <w:hideMark/>
          </w:tcPr>
          <w:p w14:paraId="6C24DC3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D20A7A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650</w:t>
            </w:r>
          </w:p>
        </w:tc>
        <w:tc>
          <w:tcPr>
            <w:tcW w:w="0" w:type="auto"/>
            <w:gridSpan w:val="4"/>
            <w:shd w:val="clear" w:color="auto" w:fill="auto"/>
            <w:hideMark/>
          </w:tcPr>
          <w:p w14:paraId="48CCC01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шт.</w:t>
            </w:r>
          </w:p>
        </w:tc>
      </w:tr>
      <w:tr w:rsidR="009B487A" w:rsidRPr="00722885" w14:paraId="6E02A864" w14:textId="77777777" w:rsidTr="00CC5360">
        <w:trPr>
          <w:gridAfter w:val="7"/>
          <w:wAfter w:w="3135" w:type="dxa"/>
        </w:trPr>
        <w:tc>
          <w:tcPr>
            <w:tcW w:w="1507" w:type="dxa"/>
            <w:gridSpan w:val="3"/>
            <w:shd w:val="clear" w:color="auto" w:fill="auto"/>
            <w:hideMark/>
          </w:tcPr>
          <w:p w14:paraId="06816F3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E93738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3"/>
            <w:shd w:val="clear" w:color="auto" w:fill="auto"/>
            <w:hideMark/>
          </w:tcPr>
          <w:p w14:paraId="69C4F6B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3"/>
            <w:shd w:val="clear" w:color="auto" w:fill="auto"/>
            <w:hideMark/>
          </w:tcPr>
          <w:p w14:paraId="443A769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2"/>
            <w:shd w:val="clear" w:color="auto" w:fill="auto"/>
            <w:hideMark/>
          </w:tcPr>
          <w:p w14:paraId="11E3849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СУ-35</w:t>
            </w:r>
          </w:p>
        </w:tc>
        <w:tc>
          <w:tcPr>
            <w:tcW w:w="0" w:type="auto"/>
            <w:shd w:val="clear" w:color="auto" w:fill="auto"/>
            <w:hideMark/>
          </w:tcPr>
          <w:p w14:paraId="6061C47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1BA9A2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35</w:t>
            </w:r>
          </w:p>
        </w:tc>
        <w:tc>
          <w:tcPr>
            <w:tcW w:w="0" w:type="auto"/>
            <w:gridSpan w:val="4"/>
            <w:shd w:val="clear" w:color="auto" w:fill="auto"/>
            <w:hideMark/>
          </w:tcPr>
          <w:p w14:paraId="0EB9190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шт.</w:t>
            </w:r>
          </w:p>
        </w:tc>
      </w:tr>
      <w:tr w:rsidR="009B487A" w:rsidRPr="00722885" w14:paraId="6EADF653" w14:textId="77777777" w:rsidTr="00CC5360">
        <w:trPr>
          <w:gridAfter w:val="7"/>
          <w:wAfter w:w="3135" w:type="dxa"/>
        </w:trPr>
        <w:tc>
          <w:tcPr>
            <w:tcW w:w="1507" w:type="dxa"/>
            <w:gridSpan w:val="3"/>
            <w:shd w:val="clear" w:color="auto" w:fill="auto"/>
            <w:hideMark/>
          </w:tcPr>
          <w:p w14:paraId="7702E5A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5315C6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38</w:t>
            </w:r>
          </w:p>
        </w:tc>
        <w:tc>
          <w:tcPr>
            <w:tcW w:w="0" w:type="auto"/>
            <w:gridSpan w:val="3"/>
            <w:shd w:val="clear" w:color="auto" w:fill="auto"/>
            <w:hideMark/>
          </w:tcPr>
          <w:p w14:paraId="11B3F8A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3"/>
            <w:shd w:val="clear" w:color="auto" w:fill="auto"/>
            <w:hideMark/>
          </w:tcPr>
          <w:p w14:paraId="4056C87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2"/>
            <w:shd w:val="clear" w:color="auto" w:fill="auto"/>
            <w:hideMark/>
          </w:tcPr>
          <w:p w14:paraId="5C55D7C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Т-70</w:t>
            </w:r>
          </w:p>
        </w:tc>
        <w:tc>
          <w:tcPr>
            <w:tcW w:w="0" w:type="auto"/>
            <w:shd w:val="clear" w:color="auto" w:fill="auto"/>
            <w:hideMark/>
          </w:tcPr>
          <w:p w14:paraId="6444810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316D42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120</w:t>
            </w:r>
          </w:p>
        </w:tc>
        <w:tc>
          <w:tcPr>
            <w:tcW w:w="0" w:type="auto"/>
            <w:gridSpan w:val="4"/>
            <w:shd w:val="clear" w:color="auto" w:fill="auto"/>
            <w:hideMark/>
          </w:tcPr>
          <w:p w14:paraId="0DD63B4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шт.</w:t>
            </w:r>
          </w:p>
        </w:tc>
      </w:tr>
      <w:tr w:rsidR="009B487A" w:rsidRPr="00722885" w14:paraId="1882B25D" w14:textId="77777777" w:rsidTr="00CC5360">
        <w:tc>
          <w:tcPr>
            <w:tcW w:w="10909" w:type="dxa"/>
            <w:gridSpan w:val="25"/>
            <w:shd w:val="clear" w:color="auto" w:fill="auto"/>
            <w:hideMark/>
          </w:tcPr>
          <w:p w14:paraId="22CFC9F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4. Разрешить Наркомтанкопрому (т. Зальцману) и директорам заводов: Уралмаш т. Музрукову и № 38 т. Яковлеву изготовить первые серии самоходных установок в количествах: Су-35 - 125 шт. и СУ-12 - 175 шт. по чертежам опытных образцов, изготовленных этими заводами. </w:t>
            </w:r>
          </w:p>
        </w:tc>
      </w:tr>
      <w:tr w:rsidR="009B487A" w:rsidRPr="00722885" w14:paraId="73DDDF69" w14:textId="77777777" w:rsidTr="00CC5360">
        <w:tc>
          <w:tcPr>
            <w:tcW w:w="10909" w:type="dxa"/>
            <w:gridSpan w:val="25"/>
            <w:shd w:val="clear" w:color="auto" w:fill="auto"/>
            <w:hideMark/>
          </w:tcPr>
          <w:p w14:paraId="690159C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5. Обязать ГАУ КА т. Яковлева по окончании полигонных испытаний к 1 января 1943 г. утвердить чертежи на серийное производство самоходных установок. </w:t>
            </w:r>
          </w:p>
        </w:tc>
      </w:tr>
      <w:tr w:rsidR="009B487A" w:rsidRPr="00722885" w14:paraId="609167C5" w14:textId="77777777" w:rsidTr="00CC5360">
        <w:tc>
          <w:tcPr>
            <w:tcW w:w="10909" w:type="dxa"/>
            <w:gridSpan w:val="25"/>
            <w:shd w:val="clear" w:color="auto" w:fill="auto"/>
            <w:hideMark/>
          </w:tcPr>
          <w:p w14:paraId="21D0C13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 xml:space="preserve">6. Обязать Наркомсредмаш (т. Акопова) изготовить и поставить заводу № 38 равномерно по пятидневкам: </w:t>
            </w:r>
          </w:p>
        </w:tc>
      </w:tr>
      <w:tr w:rsidR="009B487A" w:rsidRPr="00722885" w14:paraId="498D5568" w14:textId="77777777" w:rsidTr="00CC5360">
        <w:tc>
          <w:tcPr>
            <w:tcW w:w="10909" w:type="dxa"/>
            <w:gridSpan w:val="25"/>
            <w:shd w:val="clear" w:color="auto" w:fill="auto"/>
            <w:hideMark/>
          </w:tcPr>
          <w:p w14:paraId="4546D60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а) моторы 202 комплектно с экранированным 12 вольтовым электрооборудованием в сборе с коробкой перемены передач для СУ-12 в следующих количествах: </w:t>
            </w:r>
          </w:p>
        </w:tc>
      </w:tr>
      <w:tr w:rsidR="009B487A" w:rsidRPr="00722885" w14:paraId="5F055C63" w14:textId="77777777" w:rsidTr="00CC5360">
        <w:trPr>
          <w:gridAfter w:val="10"/>
          <w:wAfter w:w="3594" w:type="dxa"/>
        </w:trPr>
        <w:tc>
          <w:tcPr>
            <w:tcW w:w="2363" w:type="dxa"/>
            <w:gridSpan w:val="4"/>
            <w:shd w:val="clear" w:color="auto" w:fill="auto"/>
            <w:hideMark/>
          </w:tcPr>
          <w:p w14:paraId="4E125D9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декабрь</w:t>
            </w:r>
          </w:p>
        </w:tc>
        <w:tc>
          <w:tcPr>
            <w:tcW w:w="0" w:type="auto"/>
            <w:shd w:val="clear" w:color="auto" w:fill="auto"/>
            <w:hideMark/>
          </w:tcPr>
          <w:p w14:paraId="319CFF1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мес.</w:t>
            </w:r>
          </w:p>
        </w:tc>
        <w:tc>
          <w:tcPr>
            <w:tcW w:w="0" w:type="auto"/>
            <w:gridSpan w:val="5"/>
            <w:shd w:val="clear" w:color="auto" w:fill="auto"/>
            <w:hideMark/>
          </w:tcPr>
          <w:p w14:paraId="6EF1CBC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1942 г.</w:t>
            </w:r>
          </w:p>
        </w:tc>
        <w:tc>
          <w:tcPr>
            <w:tcW w:w="0" w:type="auto"/>
            <w:gridSpan w:val="2"/>
            <w:shd w:val="clear" w:color="auto" w:fill="auto"/>
            <w:hideMark/>
          </w:tcPr>
          <w:p w14:paraId="4D2439C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1C9A46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120</w:t>
            </w:r>
          </w:p>
        </w:tc>
        <w:tc>
          <w:tcPr>
            <w:tcW w:w="0" w:type="auto"/>
            <w:gridSpan w:val="2"/>
            <w:shd w:val="clear" w:color="auto" w:fill="auto"/>
            <w:hideMark/>
          </w:tcPr>
          <w:p w14:paraId="2FB572E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шт.</w:t>
            </w:r>
          </w:p>
        </w:tc>
      </w:tr>
      <w:tr w:rsidR="009B487A" w:rsidRPr="00722885" w14:paraId="19FAA49E" w14:textId="77777777" w:rsidTr="00CC5360">
        <w:trPr>
          <w:gridAfter w:val="10"/>
          <w:wAfter w:w="3594" w:type="dxa"/>
        </w:trPr>
        <w:tc>
          <w:tcPr>
            <w:tcW w:w="2363" w:type="dxa"/>
            <w:gridSpan w:val="4"/>
            <w:shd w:val="clear" w:color="auto" w:fill="auto"/>
            <w:hideMark/>
          </w:tcPr>
          <w:p w14:paraId="6BB61E5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январь</w:t>
            </w:r>
          </w:p>
        </w:tc>
        <w:tc>
          <w:tcPr>
            <w:tcW w:w="0" w:type="auto"/>
            <w:shd w:val="clear" w:color="auto" w:fill="auto"/>
            <w:hideMark/>
          </w:tcPr>
          <w:p w14:paraId="44B73B1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5"/>
            <w:shd w:val="clear" w:color="auto" w:fill="auto"/>
            <w:hideMark/>
          </w:tcPr>
          <w:p w14:paraId="446387E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39615D8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74D7E6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340</w:t>
            </w:r>
          </w:p>
        </w:tc>
        <w:tc>
          <w:tcPr>
            <w:tcW w:w="0" w:type="auto"/>
            <w:gridSpan w:val="2"/>
            <w:shd w:val="clear" w:color="auto" w:fill="auto"/>
            <w:hideMark/>
          </w:tcPr>
          <w:p w14:paraId="22F7DD8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2B40466E" w14:textId="77777777" w:rsidTr="00CC5360">
        <w:trPr>
          <w:gridAfter w:val="10"/>
          <w:wAfter w:w="3594" w:type="dxa"/>
        </w:trPr>
        <w:tc>
          <w:tcPr>
            <w:tcW w:w="2363" w:type="dxa"/>
            <w:gridSpan w:val="4"/>
            <w:shd w:val="clear" w:color="auto" w:fill="auto"/>
            <w:hideMark/>
          </w:tcPr>
          <w:p w14:paraId="3F89FEB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февраль</w:t>
            </w:r>
          </w:p>
        </w:tc>
        <w:tc>
          <w:tcPr>
            <w:tcW w:w="0" w:type="auto"/>
            <w:shd w:val="clear" w:color="auto" w:fill="auto"/>
            <w:hideMark/>
          </w:tcPr>
          <w:p w14:paraId="2BFC961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5"/>
            <w:shd w:val="clear" w:color="auto" w:fill="auto"/>
            <w:hideMark/>
          </w:tcPr>
          <w:p w14:paraId="1417606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5FDB0E8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1C98EE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460</w:t>
            </w:r>
          </w:p>
        </w:tc>
        <w:tc>
          <w:tcPr>
            <w:tcW w:w="0" w:type="auto"/>
            <w:gridSpan w:val="2"/>
            <w:shd w:val="clear" w:color="auto" w:fill="auto"/>
            <w:hideMark/>
          </w:tcPr>
          <w:p w14:paraId="5C7C651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52E9D0C5" w14:textId="77777777" w:rsidTr="00CC5360">
        <w:trPr>
          <w:gridAfter w:val="10"/>
          <w:wAfter w:w="3594" w:type="dxa"/>
        </w:trPr>
        <w:tc>
          <w:tcPr>
            <w:tcW w:w="2363" w:type="dxa"/>
            <w:gridSpan w:val="4"/>
            <w:shd w:val="clear" w:color="auto" w:fill="auto"/>
            <w:hideMark/>
          </w:tcPr>
          <w:p w14:paraId="5BDAC09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март</w:t>
            </w:r>
          </w:p>
        </w:tc>
        <w:tc>
          <w:tcPr>
            <w:tcW w:w="0" w:type="auto"/>
            <w:shd w:val="clear" w:color="auto" w:fill="auto"/>
            <w:hideMark/>
          </w:tcPr>
          <w:p w14:paraId="721AC6B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gridSpan w:val="5"/>
            <w:shd w:val="clear" w:color="auto" w:fill="auto"/>
            <w:hideMark/>
          </w:tcPr>
          <w:p w14:paraId="0845D88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7A90BE0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DD736F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600</w:t>
            </w:r>
          </w:p>
        </w:tc>
        <w:tc>
          <w:tcPr>
            <w:tcW w:w="0" w:type="auto"/>
            <w:gridSpan w:val="2"/>
            <w:shd w:val="clear" w:color="auto" w:fill="auto"/>
            <w:hideMark/>
          </w:tcPr>
          <w:p w14:paraId="64635CB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2CE46D43" w14:textId="77777777" w:rsidTr="00CC5360">
        <w:tc>
          <w:tcPr>
            <w:tcW w:w="10909" w:type="dxa"/>
            <w:gridSpan w:val="25"/>
            <w:shd w:val="clear" w:color="auto" w:fill="auto"/>
            <w:hideMark/>
          </w:tcPr>
          <w:p w14:paraId="6EFAF70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б) поставлять заводу № 38 Наркомтанкопрома с Горьковского автозавода гарячую и холодную штамповку, литье серого и ковкого чугуна в объеме ранее установленной кооперации по деталям унифицированным с танком Т-70, а также холодную штамповку и детали ковкого чугуна вновь вводимые на СУ-12, по спецификации, согласованной с Наркомсредмашем; </w:t>
            </w:r>
          </w:p>
        </w:tc>
      </w:tr>
      <w:tr w:rsidR="009B487A" w:rsidRPr="00722885" w14:paraId="0F3D1D51" w14:textId="77777777" w:rsidTr="00CC5360">
        <w:tc>
          <w:tcPr>
            <w:tcW w:w="10909" w:type="dxa"/>
            <w:gridSpan w:val="25"/>
            <w:shd w:val="clear" w:color="auto" w:fill="auto"/>
            <w:hideMark/>
          </w:tcPr>
          <w:p w14:paraId="52407E6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в) изготовить для завода № 38 и сдать равномерно по месяцам в срок до 1 марта 1943 г. по спецификации завода № 38 Наркомтанкопрома, согласованной с Наркомсредмашем: </w:t>
            </w:r>
          </w:p>
        </w:tc>
      </w:tr>
      <w:tr w:rsidR="009B487A" w:rsidRPr="00722885" w14:paraId="5CEAA0BE" w14:textId="77777777" w:rsidTr="00CC5360">
        <w:tc>
          <w:tcPr>
            <w:tcW w:w="10909" w:type="dxa"/>
            <w:gridSpan w:val="25"/>
            <w:shd w:val="clear" w:color="auto" w:fill="auto"/>
            <w:hideMark/>
          </w:tcPr>
          <w:p w14:paraId="369A6A3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приспособлений - 200 наим. </w:t>
            </w:r>
          </w:p>
        </w:tc>
      </w:tr>
      <w:tr w:rsidR="009B487A" w:rsidRPr="00722885" w14:paraId="28A5CF18" w14:textId="77777777" w:rsidTr="00CC5360">
        <w:tc>
          <w:tcPr>
            <w:tcW w:w="10909" w:type="dxa"/>
            <w:gridSpan w:val="25"/>
            <w:shd w:val="clear" w:color="auto" w:fill="auto"/>
            <w:hideMark/>
          </w:tcPr>
          <w:p w14:paraId="3025792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штампы для холодный штамповки - 100 " </w:t>
            </w:r>
          </w:p>
        </w:tc>
      </w:tr>
      <w:tr w:rsidR="009B487A" w:rsidRPr="00722885" w14:paraId="25D672F3" w14:textId="77777777" w:rsidTr="00CC5360">
        <w:tc>
          <w:tcPr>
            <w:tcW w:w="10909" w:type="dxa"/>
            <w:gridSpan w:val="25"/>
            <w:shd w:val="clear" w:color="auto" w:fill="auto"/>
            <w:hideMark/>
          </w:tcPr>
          <w:p w14:paraId="7C06A43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спец. режущего инструмента - 300 " </w:t>
            </w:r>
          </w:p>
        </w:tc>
      </w:tr>
      <w:tr w:rsidR="009B487A" w:rsidRPr="00722885" w14:paraId="61258BBE" w14:textId="77777777" w:rsidTr="00CC5360">
        <w:tc>
          <w:tcPr>
            <w:tcW w:w="10909" w:type="dxa"/>
            <w:gridSpan w:val="25"/>
            <w:shd w:val="clear" w:color="auto" w:fill="auto"/>
            <w:hideMark/>
          </w:tcPr>
          <w:p w14:paraId="2F04AB1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7. Обязать Наркомат Вооружения (т. Устинова) и ГАУ КА (т. Яковлева) обеспечить поставку пушек М-30 и ЗИС-3 и оптики к ним, полностью приспособленых для монтажа в самоходные артиллерийские установки, по техническим условиям Уралмашзавода и завода № 38 в следующих количествах: </w:t>
            </w:r>
          </w:p>
        </w:tc>
      </w:tr>
      <w:tr w:rsidR="009B487A" w:rsidRPr="00722885" w14:paraId="7AF8BA84" w14:textId="77777777" w:rsidTr="00CC5360">
        <w:trPr>
          <w:gridAfter w:val="8"/>
          <w:wAfter w:w="3287" w:type="dxa"/>
        </w:trPr>
        <w:tc>
          <w:tcPr>
            <w:tcW w:w="3501" w:type="dxa"/>
            <w:gridSpan w:val="8"/>
            <w:shd w:val="clear" w:color="auto" w:fill="auto"/>
            <w:hideMark/>
          </w:tcPr>
          <w:p w14:paraId="786EDCC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M-30</w:t>
            </w:r>
          </w:p>
        </w:tc>
        <w:tc>
          <w:tcPr>
            <w:tcW w:w="0" w:type="auto"/>
            <w:vMerge w:val="restart"/>
            <w:shd w:val="clear" w:color="auto" w:fill="auto"/>
            <w:hideMark/>
          </w:tcPr>
          <w:p w14:paraId="50198A1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w:t>
            </w:r>
          </w:p>
        </w:tc>
        <w:tc>
          <w:tcPr>
            <w:tcW w:w="0" w:type="auto"/>
            <w:gridSpan w:val="8"/>
            <w:shd w:val="clear" w:color="auto" w:fill="auto"/>
            <w:hideMark/>
          </w:tcPr>
          <w:p w14:paraId="7ED2E06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ЗИС-3</w:t>
            </w:r>
          </w:p>
        </w:tc>
      </w:tr>
      <w:tr w:rsidR="009B487A" w:rsidRPr="00722885" w14:paraId="46B24B0C" w14:textId="77777777" w:rsidTr="00CC5360">
        <w:trPr>
          <w:gridAfter w:val="8"/>
          <w:wAfter w:w="3287" w:type="dxa"/>
        </w:trPr>
        <w:tc>
          <w:tcPr>
            <w:tcW w:w="378" w:type="dxa"/>
            <w:shd w:val="clear" w:color="auto" w:fill="auto"/>
            <w:hideMark/>
          </w:tcPr>
          <w:p w14:paraId="3318632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до</w:t>
            </w:r>
          </w:p>
        </w:tc>
        <w:tc>
          <w:tcPr>
            <w:tcW w:w="0" w:type="auto"/>
            <w:shd w:val="clear" w:color="auto" w:fill="auto"/>
            <w:hideMark/>
          </w:tcPr>
          <w:p w14:paraId="49A072C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15</w:t>
            </w:r>
          </w:p>
        </w:tc>
        <w:tc>
          <w:tcPr>
            <w:tcW w:w="0" w:type="auto"/>
            <w:shd w:val="clear" w:color="auto" w:fill="auto"/>
            <w:hideMark/>
          </w:tcPr>
          <w:p w14:paraId="2B5F610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декабря</w:t>
            </w:r>
          </w:p>
        </w:tc>
        <w:tc>
          <w:tcPr>
            <w:tcW w:w="0" w:type="auto"/>
            <w:shd w:val="clear" w:color="auto" w:fill="auto"/>
            <w:hideMark/>
          </w:tcPr>
          <w:p w14:paraId="051A409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1942 г.</w:t>
            </w:r>
          </w:p>
        </w:tc>
        <w:tc>
          <w:tcPr>
            <w:tcW w:w="0" w:type="auto"/>
            <w:gridSpan w:val="2"/>
            <w:shd w:val="clear" w:color="auto" w:fill="auto"/>
            <w:hideMark/>
          </w:tcPr>
          <w:p w14:paraId="5B2D45D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25</w:t>
            </w:r>
          </w:p>
        </w:tc>
        <w:tc>
          <w:tcPr>
            <w:tcW w:w="0" w:type="auto"/>
            <w:gridSpan w:val="2"/>
            <w:shd w:val="clear" w:color="auto" w:fill="auto"/>
            <w:hideMark/>
          </w:tcPr>
          <w:p w14:paraId="72DD002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шт.</w:t>
            </w:r>
          </w:p>
        </w:tc>
        <w:tc>
          <w:tcPr>
            <w:tcW w:w="0" w:type="auto"/>
            <w:vMerge/>
            <w:shd w:val="clear" w:color="auto" w:fill="auto"/>
            <w:hideMark/>
          </w:tcPr>
          <w:p w14:paraId="235CAB9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2"/>
            <w:shd w:val="clear" w:color="auto" w:fill="auto"/>
            <w:hideMark/>
          </w:tcPr>
          <w:p w14:paraId="352FB9C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декабрь</w:t>
            </w:r>
          </w:p>
        </w:tc>
        <w:tc>
          <w:tcPr>
            <w:tcW w:w="0" w:type="auto"/>
            <w:shd w:val="clear" w:color="auto" w:fill="auto"/>
            <w:hideMark/>
          </w:tcPr>
          <w:p w14:paraId="02F65BF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мес.</w:t>
            </w:r>
          </w:p>
        </w:tc>
        <w:tc>
          <w:tcPr>
            <w:tcW w:w="0" w:type="auto"/>
            <w:shd w:val="clear" w:color="auto" w:fill="auto"/>
            <w:hideMark/>
          </w:tcPr>
          <w:p w14:paraId="4033ACD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1942 г.</w:t>
            </w:r>
          </w:p>
        </w:tc>
        <w:tc>
          <w:tcPr>
            <w:tcW w:w="0" w:type="auto"/>
            <w:shd w:val="clear" w:color="auto" w:fill="auto"/>
            <w:hideMark/>
          </w:tcPr>
          <w:p w14:paraId="197A62D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75</w:t>
            </w:r>
          </w:p>
        </w:tc>
        <w:tc>
          <w:tcPr>
            <w:tcW w:w="0" w:type="auto"/>
            <w:gridSpan w:val="3"/>
            <w:shd w:val="clear" w:color="auto" w:fill="auto"/>
            <w:hideMark/>
          </w:tcPr>
          <w:p w14:paraId="072F8FF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шт.</w:t>
            </w:r>
          </w:p>
        </w:tc>
      </w:tr>
      <w:tr w:rsidR="009B487A" w:rsidRPr="00722885" w14:paraId="365DFCD8" w14:textId="77777777" w:rsidTr="00CC5360">
        <w:trPr>
          <w:gridAfter w:val="8"/>
          <w:wAfter w:w="3287" w:type="dxa"/>
        </w:trPr>
        <w:tc>
          <w:tcPr>
            <w:tcW w:w="378" w:type="dxa"/>
            <w:shd w:val="clear" w:color="auto" w:fill="auto"/>
            <w:hideMark/>
          </w:tcPr>
          <w:p w14:paraId="40F5E92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4FF005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20</w:t>
            </w:r>
          </w:p>
        </w:tc>
        <w:tc>
          <w:tcPr>
            <w:tcW w:w="0" w:type="auto"/>
            <w:shd w:val="clear" w:color="auto" w:fill="auto"/>
            <w:hideMark/>
          </w:tcPr>
          <w:p w14:paraId="35BD151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1E0285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1942 г.</w:t>
            </w:r>
          </w:p>
        </w:tc>
        <w:tc>
          <w:tcPr>
            <w:tcW w:w="0" w:type="auto"/>
            <w:gridSpan w:val="2"/>
            <w:shd w:val="clear" w:color="auto" w:fill="auto"/>
            <w:hideMark/>
          </w:tcPr>
          <w:p w14:paraId="7F7888E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30</w:t>
            </w:r>
          </w:p>
        </w:tc>
        <w:tc>
          <w:tcPr>
            <w:tcW w:w="0" w:type="auto"/>
            <w:gridSpan w:val="2"/>
            <w:shd w:val="clear" w:color="auto" w:fill="auto"/>
            <w:hideMark/>
          </w:tcPr>
          <w:p w14:paraId="4E28734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vMerge/>
            <w:shd w:val="clear" w:color="auto" w:fill="auto"/>
            <w:hideMark/>
          </w:tcPr>
          <w:p w14:paraId="00DAA27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2"/>
            <w:shd w:val="clear" w:color="auto" w:fill="auto"/>
            <w:hideMark/>
          </w:tcPr>
          <w:p w14:paraId="5E98646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январь</w:t>
            </w:r>
          </w:p>
        </w:tc>
        <w:tc>
          <w:tcPr>
            <w:tcW w:w="0" w:type="auto"/>
            <w:shd w:val="clear" w:color="auto" w:fill="auto"/>
            <w:hideMark/>
          </w:tcPr>
          <w:p w14:paraId="174FEEA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084377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shd w:val="clear" w:color="auto" w:fill="auto"/>
            <w:hideMark/>
          </w:tcPr>
          <w:p w14:paraId="1B4FC6A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175</w:t>
            </w:r>
          </w:p>
        </w:tc>
        <w:tc>
          <w:tcPr>
            <w:tcW w:w="0" w:type="auto"/>
            <w:gridSpan w:val="3"/>
            <w:shd w:val="clear" w:color="auto" w:fill="auto"/>
            <w:hideMark/>
          </w:tcPr>
          <w:p w14:paraId="5E852EB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шт.</w:t>
            </w:r>
          </w:p>
        </w:tc>
      </w:tr>
      <w:tr w:rsidR="009B487A" w:rsidRPr="00722885" w14:paraId="1C183A6D" w14:textId="77777777" w:rsidTr="00CC5360">
        <w:trPr>
          <w:gridAfter w:val="8"/>
          <w:wAfter w:w="3287" w:type="dxa"/>
        </w:trPr>
        <w:tc>
          <w:tcPr>
            <w:tcW w:w="1507" w:type="dxa"/>
            <w:gridSpan w:val="3"/>
            <w:shd w:val="clear" w:color="auto" w:fill="auto"/>
            <w:hideMark/>
          </w:tcPr>
          <w:p w14:paraId="4EB9C68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январь</w:t>
            </w:r>
          </w:p>
        </w:tc>
        <w:tc>
          <w:tcPr>
            <w:tcW w:w="0" w:type="auto"/>
            <w:shd w:val="clear" w:color="auto" w:fill="auto"/>
            <w:hideMark/>
          </w:tcPr>
          <w:p w14:paraId="4803187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39CF6A9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100</w:t>
            </w:r>
          </w:p>
        </w:tc>
        <w:tc>
          <w:tcPr>
            <w:tcW w:w="0" w:type="auto"/>
            <w:gridSpan w:val="2"/>
            <w:shd w:val="clear" w:color="auto" w:fill="auto"/>
            <w:hideMark/>
          </w:tcPr>
          <w:p w14:paraId="653A2F3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vMerge/>
            <w:shd w:val="clear" w:color="auto" w:fill="auto"/>
            <w:hideMark/>
          </w:tcPr>
          <w:p w14:paraId="0432994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2"/>
            <w:shd w:val="clear" w:color="auto" w:fill="auto"/>
            <w:hideMark/>
          </w:tcPr>
          <w:p w14:paraId="242E8D5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февраль</w:t>
            </w:r>
          </w:p>
        </w:tc>
        <w:tc>
          <w:tcPr>
            <w:tcW w:w="0" w:type="auto"/>
            <w:shd w:val="clear" w:color="auto" w:fill="auto"/>
            <w:hideMark/>
          </w:tcPr>
          <w:p w14:paraId="28F0E89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D17EC9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shd w:val="clear" w:color="auto" w:fill="auto"/>
            <w:hideMark/>
          </w:tcPr>
          <w:p w14:paraId="59DBD00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250</w:t>
            </w:r>
          </w:p>
        </w:tc>
        <w:tc>
          <w:tcPr>
            <w:tcW w:w="0" w:type="auto"/>
            <w:gridSpan w:val="3"/>
            <w:shd w:val="clear" w:color="auto" w:fill="auto"/>
            <w:hideMark/>
          </w:tcPr>
          <w:p w14:paraId="60C90D8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3CB640D9" w14:textId="77777777" w:rsidTr="00CC5360">
        <w:trPr>
          <w:gridAfter w:val="8"/>
          <w:wAfter w:w="3287" w:type="dxa"/>
        </w:trPr>
        <w:tc>
          <w:tcPr>
            <w:tcW w:w="1507" w:type="dxa"/>
            <w:gridSpan w:val="3"/>
            <w:shd w:val="clear" w:color="auto" w:fill="auto"/>
            <w:hideMark/>
          </w:tcPr>
          <w:p w14:paraId="6886274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февраль</w:t>
            </w:r>
          </w:p>
        </w:tc>
        <w:tc>
          <w:tcPr>
            <w:tcW w:w="0" w:type="auto"/>
            <w:shd w:val="clear" w:color="auto" w:fill="auto"/>
            <w:hideMark/>
          </w:tcPr>
          <w:p w14:paraId="7D9E047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321F41F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100</w:t>
            </w:r>
          </w:p>
        </w:tc>
        <w:tc>
          <w:tcPr>
            <w:tcW w:w="0" w:type="auto"/>
            <w:gridSpan w:val="2"/>
            <w:shd w:val="clear" w:color="auto" w:fill="auto"/>
            <w:hideMark/>
          </w:tcPr>
          <w:p w14:paraId="7432AC0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vMerge/>
            <w:shd w:val="clear" w:color="auto" w:fill="auto"/>
            <w:hideMark/>
          </w:tcPr>
          <w:p w14:paraId="56FE2F5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2"/>
            <w:shd w:val="clear" w:color="auto" w:fill="auto"/>
            <w:hideMark/>
          </w:tcPr>
          <w:p w14:paraId="706B937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март</w:t>
            </w:r>
          </w:p>
        </w:tc>
        <w:tc>
          <w:tcPr>
            <w:tcW w:w="0" w:type="auto"/>
            <w:shd w:val="clear" w:color="auto" w:fill="auto"/>
            <w:hideMark/>
          </w:tcPr>
          <w:p w14:paraId="6A06360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B53315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shd w:val="clear" w:color="auto" w:fill="auto"/>
            <w:hideMark/>
          </w:tcPr>
          <w:p w14:paraId="1199849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300</w:t>
            </w:r>
          </w:p>
        </w:tc>
        <w:tc>
          <w:tcPr>
            <w:tcW w:w="0" w:type="auto"/>
            <w:gridSpan w:val="3"/>
            <w:shd w:val="clear" w:color="auto" w:fill="auto"/>
            <w:hideMark/>
          </w:tcPr>
          <w:p w14:paraId="497F88F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26E28334" w14:textId="77777777" w:rsidTr="00CC5360">
        <w:trPr>
          <w:gridAfter w:val="8"/>
          <w:wAfter w:w="3287" w:type="dxa"/>
        </w:trPr>
        <w:tc>
          <w:tcPr>
            <w:tcW w:w="1507" w:type="dxa"/>
            <w:gridSpan w:val="3"/>
            <w:shd w:val="clear" w:color="auto" w:fill="auto"/>
            <w:hideMark/>
          </w:tcPr>
          <w:p w14:paraId="36E2ABD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март</w:t>
            </w:r>
          </w:p>
        </w:tc>
        <w:tc>
          <w:tcPr>
            <w:tcW w:w="0" w:type="auto"/>
            <w:shd w:val="clear" w:color="auto" w:fill="auto"/>
            <w:hideMark/>
          </w:tcPr>
          <w:p w14:paraId="30E7E76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1943 г.</w:t>
            </w:r>
          </w:p>
        </w:tc>
        <w:tc>
          <w:tcPr>
            <w:tcW w:w="0" w:type="auto"/>
            <w:gridSpan w:val="2"/>
            <w:shd w:val="clear" w:color="auto" w:fill="auto"/>
            <w:hideMark/>
          </w:tcPr>
          <w:p w14:paraId="4BA4EAA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100</w:t>
            </w:r>
          </w:p>
        </w:tc>
        <w:tc>
          <w:tcPr>
            <w:tcW w:w="0" w:type="auto"/>
            <w:gridSpan w:val="2"/>
            <w:shd w:val="clear" w:color="auto" w:fill="auto"/>
            <w:hideMark/>
          </w:tcPr>
          <w:p w14:paraId="10CBD8A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7431E0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w:t>
            </w:r>
          </w:p>
        </w:tc>
        <w:tc>
          <w:tcPr>
            <w:tcW w:w="0" w:type="auto"/>
            <w:gridSpan w:val="2"/>
            <w:shd w:val="clear" w:color="auto" w:fill="auto"/>
            <w:hideMark/>
          </w:tcPr>
          <w:p w14:paraId="64E529C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w:t>
            </w:r>
          </w:p>
        </w:tc>
        <w:tc>
          <w:tcPr>
            <w:tcW w:w="0" w:type="auto"/>
            <w:shd w:val="clear" w:color="auto" w:fill="auto"/>
            <w:hideMark/>
          </w:tcPr>
          <w:p w14:paraId="4680626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w:t>
            </w:r>
          </w:p>
        </w:tc>
        <w:tc>
          <w:tcPr>
            <w:tcW w:w="0" w:type="auto"/>
            <w:shd w:val="clear" w:color="auto" w:fill="auto"/>
            <w:hideMark/>
          </w:tcPr>
          <w:p w14:paraId="464AE7B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w:t>
            </w:r>
          </w:p>
        </w:tc>
        <w:tc>
          <w:tcPr>
            <w:tcW w:w="0" w:type="auto"/>
            <w:shd w:val="clear" w:color="auto" w:fill="auto"/>
            <w:hideMark/>
          </w:tcPr>
          <w:p w14:paraId="42A87EC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w:t>
            </w:r>
          </w:p>
        </w:tc>
        <w:tc>
          <w:tcPr>
            <w:tcW w:w="0" w:type="auto"/>
            <w:gridSpan w:val="3"/>
            <w:shd w:val="clear" w:color="auto" w:fill="auto"/>
            <w:hideMark/>
          </w:tcPr>
          <w:p w14:paraId="551522B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p>
        </w:tc>
      </w:tr>
    </w:tbl>
    <w:p w14:paraId="5AD033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Обязатъ Наркомрезинпром (т. Митрохина) производить обрезинку катков и поставлять резиновые изделия для самоходных артиллерийских установок по спецификации и срокам Наркомтанкопрома. </w:t>
      </w:r>
    </w:p>
    <w:p w14:paraId="006274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Обязать Наркомэлектростанций (т. Жимарина) установить для завода № 38 суточный лимит электроэнергии на декабрь мес. 1942 г. 3500 киловатт и 1 кв. 1943 г. - 4000 киловатт ежемесячно. </w:t>
      </w:r>
    </w:p>
    <w:p w14:paraId="5C1013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Обязать Наркомат Станкостроения (т. Ефремова) изготовить для завода № 38 в 1 кв. 1943 г. 20 специальных агрегатных станков для изготовления катков, балансиров, кривошипов и торсионных валов в счет фондов Наркомтанкопрома. </w:t>
      </w:r>
    </w:p>
    <w:p w14:paraId="6FBC98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 Обязать Наркомчермет (т. Тевосяна) поставить в декабре мес. 1942 г. для самоходных артиллерийских установок бронелист по специальному раскрою и техническим условиям УЗТМ и завода № 38 по заявке Наркомтанкопрома и в счет его фондов. </w:t>
      </w:r>
    </w:p>
    <w:p w14:paraId="314508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 Обязать Наркомтяжмаш (т. Казакова) обеспечить поставку кислорода Уралмашзаводу в размере 18.000 куб. в сутки. </w:t>
      </w:r>
    </w:p>
    <w:p w14:paraId="40510B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13. Обязать Главвоенпромстрой при Совнаркоме СССР (т. Шапиро) построить к 1 февраля 1943 г. полигон при заводе № 38 (г. Киров) для испытания самоходных установок. </w:t>
      </w:r>
    </w:p>
    <w:p w14:paraId="002A28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 Обязать Кировский облисполком (т. Иволгина) выделить площадку для полигона завода № 38. </w:t>
      </w:r>
    </w:p>
    <w:p w14:paraId="6C4ED6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15. Наркомфину СССР (т. Звереву) выделить из резервного фонда Совнаркома СССР Наркомтанкопрому на подготовку производства самоходных артиллерийских установок в декабре 1942 г. и в 1 кв. 1943 г. 5 млн. руб. </w:t>
      </w:r>
    </w:p>
    <w:p w14:paraId="2789038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16. Обязать Комитет по учету и распределению рабочей силы при Совнаркоме СССР (т. Шверника), Кировский облисполком (т. Иволгина) и Кировский обком ВКП(б) (т. Лукьянова): </w:t>
      </w:r>
    </w:p>
    <w:p w14:paraId="4E5894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мобилизовать до 1 февраля 1943 г. для завода № 38 - 1000 женщин из районов области; </w:t>
      </w:r>
    </w:p>
    <w:p w14:paraId="373B54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выделить заводу № 38 для размещения прибывающих рабочих 4000 кв. мт жилплощади, за счет уплотнения. </w:t>
      </w:r>
    </w:p>
    <w:p w14:paraId="7A26A8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17. Обязать НКПС (т. Хрулева) выделить в распоряжение завода № 38 вертушку по Горьковской и Северо-Печорской ж.д. на 1 кв. 1943 г. 18. Обязать тт. Сабурова, Малышева, Зальцмана в декадный срок представить в ГОКО предложения по организации новой производственной базы для производства танков Т-70, взамен завода № 38, имея ввиду использование площадей б. Мытищинского вагонного завода (завод № 592 НКВ) и части площадей б. завода № 8 НКВ. </w:t>
      </w:r>
    </w:p>
    <w:p w14:paraId="381F8C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19. Считать исчерпанным настоящим Постановлением пп. 3 и 4 Постановления ГОКО от 19 октября 1942 г. № 2429сс и разрешить Наркомтанкопрому и Наркомсредмашу прекратить изготовление образцов самоходных установок с 45 мм и 37 мм пушками. </w:t>
      </w:r>
    </w:p>
    <w:p w14:paraId="2D624D5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20. Директорам и главным инженерам заводов Уралмаша тт. Музрукову, Умнягину, № 38 тт. Яковлеву, Терентьеву учесть, что ГОКО возлагает на них особую ответственность за выполнение в срок настаящего Постановления. </w:t>
      </w:r>
    </w:p>
    <w:p w14:paraId="2F3E9299"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21. Возложить контроль за выполнением настоящего Постановления на т. Петросянц.</w:t>
      </w:r>
    </w:p>
    <w:p w14:paraId="0E8AB8B3"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ПРЕДСЕДАТЕЛЬ ГОСУДАРСТВЕННОГО КОМИТЕТА ОБОРОНЫ И. СТАЛИН (12668).</w:t>
      </w:r>
    </w:p>
    <w:p w14:paraId="7ADC5895" w14:textId="77777777" w:rsidR="00BB6316" w:rsidRPr="00722885" w:rsidRDefault="00BB6316" w:rsidP="00722885">
      <w:pPr>
        <w:pStyle w:val="a8"/>
        <w:widowControl/>
        <w:jc w:val="both"/>
        <w:rPr>
          <w:rFonts w:ascii="Times New Roman" w:hAnsi="Times New Roman" w:cs="Times New Roman"/>
          <w:color w:val="000000" w:themeColor="text1"/>
        </w:rPr>
      </w:pPr>
    </w:p>
    <w:p w14:paraId="723F36C0"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2 декабря 1942 года ГКО, не дожидаясь результатов госиспытаний 122 мм САУ, вынес постановление о немедленной организации серийного производства САУ СУ-122 на Уралмашзаводе. Было разрешено изготовить первые 125 машин по чертежам опытного образца, и только с февраля 1943 года выпускать самоходки с устранением всех недостатков, отмеченных Государственной комиссией. Однако завод уже в декабре выполнил чертежи, которые устраняли большинство дефектов, и по ним начал изготавливать артсамоходы серийного производства. К внесенным изменениям относились: установка выпрямленного лобового листа рубки, что увеличило объем боевого отделения и улучшило условия работы экипажа; устранение щелей в броне-защите; улучшение расположения в боевом отделении боеукладни, рабочих мест экипажа, прицельных и смотровых приборов, приборов освещения, люков и др.; замена командирской башенки на прибор ПТК; увеличение емкости топливных баков; уменьшение усилий при работе маховиками механизмов наведения; улучшение условий при работе по натяжению гусеницы и др. (9636).</w:t>
      </w:r>
    </w:p>
    <w:p w14:paraId="7E244FDE"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Окончательно отработанная конструкция серийной САУ СУ-122 имела следующие особенности: вся моторно-трансмиссионная группа и ходовая часть танка Т-34 сохранились без изменений; боевое отделение располагалось в передней части машины и было полностью бронировано; масса САУ - 29,6 т - была меньше массы танка Т-34, а скорость движения, проходимость и маневренность СУ-122 остались как у Т-34. Штыревой верхний станок от 122-мм полевой гаубицы обр.1938 года М-30 ставился в гнездо специальной тумбы, смонтированной в передней части днища корпуса. На цапфах станка крепилась качающаяся часть гаубицы, причем ствол, люлька, противооткатные устройства, прицел и механизмы наведения были взяты штатные, без изменений. Необходимость бронирования качающейся части потребовала усиления пружинного уравновешивающего механизма, что было сделано без изменения его габаритов (9636).</w:t>
      </w:r>
    </w:p>
    <w:p w14:paraId="5218FC0C"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Боекомплект состоял из 40 выстрелов раздельно-гильзового заряжания, причем в основном это были осколочно-фугасные выстрелы. В отдельных случаях для борьбы с танками противника на дальностях до 1000 м применялись кумулятивные снаряды массой 13,4 кг, способные пробивать броню в 100-120 мм. Масса осколочно-фугасного снаряда составляла 21,7 кг. Для самообороны экипажа установка снабжалась двумя пистолетами-пулеметами ППШ с 20 дисками патронов (1420 штук) и 20 ручными гранатами Ф-1. У командира машины имелся перископический танковый прибор наблюдения ПТК-5, позволявший производить круговое наблюдение за местностью, и радиостанция 9РМ. Командир машины помимо своих прямых обязанностей выполнял работу правого наводчика по углу возвышения.</w:t>
      </w:r>
    </w:p>
    <w:p w14:paraId="238A30B4"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Для стрельбы прямой наводкой и с закрытых огневых позиций использовался один панорамный прицел с полунезависимой линией прицеливания. Головка панорамы выходила под бронированный козырек корпуса, имевший боковые отверстия для обзора местности, которые при необходимости могли закрываться шарнирными крышками. Относительно большой состав экипажа (5 человек) был необходим, потому что 122-мм гаубица имела поршневой затвор, раздельное заряжание и разнесенный по обе стороны орудия механизм наведения (слева находился маховик винтового поворотного механизма, а справа - маховик секторного подъемного механизма). Орудие имело угол горизонтального наведения 20 градусов (по 10 градусов на сторону) и вертикальный угол от +25 градусов до -3 градусов. В целом общее число деталей, заимствованных от танка Т-34, составляло 75%; остальные были новыми, специально спроектированными для СУ-122 (9636).</w:t>
      </w:r>
    </w:p>
    <w:p w14:paraId="077B22CA" w14:textId="77777777" w:rsidR="00BB6316" w:rsidRPr="00722885" w:rsidRDefault="00BB6316" w:rsidP="00722885">
      <w:pPr>
        <w:pStyle w:val="a8"/>
        <w:widowControl/>
        <w:jc w:val="both"/>
        <w:rPr>
          <w:rFonts w:ascii="Times New Roman" w:hAnsi="Times New Roman" w:cs="Times New Roman"/>
          <w:color w:val="000000" w:themeColor="text1"/>
        </w:rPr>
      </w:pPr>
    </w:p>
    <w:p w14:paraId="19F258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декабря 1942 г. ГКО принял постановление о развертывании про</w:t>
      </w:r>
      <w:r w:rsidRPr="00722885">
        <w:rPr>
          <w:rFonts w:ascii="Times New Roman" w:hAnsi="Times New Roman"/>
          <w:color w:val="000000" w:themeColor="text1"/>
          <w:sz w:val="16"/>
          <w:szCs w:val="16"/>
        </w:rPr>
        <w:softHyphen/>
        <w:t>изводства самоходных установок и оснащении ими РККА (10703).</w:t>
      </w:r>
    </w:p>
    <w:p w14:paraId="012ACA8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1A8FBF4"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декабря</w:t>
      </w:r>
      <w:r w:rsidRPr="00722885">
        <w:rPr>
          <w:rFonts w:ascii="Times New Roman" w:hAnsi="Times New Roman"/>
          <w:color w:val="000000" w:themeColor="text1"/>
          <w:sz w:val="16"/>
          <w:szCs w:val="16"/>
        </w:rPr>
        <w:t xml:space="preserve"> в 1942 году ГКО принял постановление об освоении в кратчайшие сроки производства САУ на базе имевшихся на вооружении танков и артиллерийских систем. Для решения этой задачи создана комплексная группа из представителей ГАУ, ГАБТУ и главных конструкторов Ж.Я.Котина и Ф.Ф.Петрова. Совместными </w:t>
      </w:r>
      <w:r w:rsidRPr="00722885">
        <w:rPr>
          <w:rFonts w:ascii="Times New Roman" w:hAnsi="Times New Roman"/>
          <w:color w:val="000000" w:themeColor="text1"/>
          <w:sz w:val="16"/>
          <w:szCs w:val="16"/>
        </w:rPr>
        <w:lastRenderedPageBreak/>
        <w:t>усилиями в течение двух месяцев завершена разработка «СУ-122». В январе 1943 г. после испытаний и доработки она принята на вооружение. За годы войны промышленность СССР дала фронту около 22 тысяч САУ 7 типов (14848).</w:t>
      </w:r>
    </w:p>
    <w:p w14:paraId="2AD6A818" w14:textId="77777777" w:rsidR="00205FD3" w:rsidRPr="00722885" w:rsidRDefault="00205FD3" w:rsidP="00722885">
      <w:pPr>
        <w:spacing w:after="0" w:line="240" w:lineRule="auto"/>
        <w:jc w:val="both"/>
        <w:rPr>
          <w:rFonts w:ascii="Times New Roman" w:hAnsi="Times New Roman"/>
          <w:color w:val="000000" w:themeColor="text1"/>
          <w:sz w:val="16"/>
          <w:szCs w:val="16"/>
        </w:rPr>
      </w:pPr>
    </w:p>
    <w:p w14:paraId="07FB679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декабря 1942 г. постановлением ГКО СУ-12 была принята на вооружение и находилась в серийном производстве на за</w:t>
      </w:r>
      <w:r w:rsidRPr="00722885">
        <w:rPr>
          <w:rFonts w:ascii="Times New Roman" w:hAnsi="Times New Roman"/>
          <w:color w:val="000000" w:themeColor="text1"/>
          <w:sz w:val="16"/>
          <w:szCs w:val="16"/>
        </w:rPr>
        <w:softHyphen/>
        <w:t>воде № 38 до июля 1943 г. Снята с производства из-за крупных дефек</w:t>
      </w:r>
      <w:r w:rsidRPr="00722885">
        <w:rPr>
          <w:rFonts w:ascii="Times New Roman" w:hAnsi="Times New Roman"/>
          <w:color w:val="000000" w:themeColor="text1"/>
          <w:sz w:val="16"/>
          <w:szCs w:val="16"/>
        </w:rPr>
        <w:softHyphen/>
        <w:t>тов в конструкции силовой установки и трансмиссии. Всего было выпу</w:t>
      </w:r>
      <w:r w:rsidRPr="00722885">
        <w:rPr>
          <w:rFonts w:ascii="Times New Roman" w:hAnsi="Times New Roman"/>
          <w:color w:val="000000" w:themeColor="text1"/>
          <w:sz w:val="16"/>
          <w:szCs w:val="16"/>
        </w:rPr>
        <w:softHyphen/>
        <w:t>щено 560 самоходных установок, которые принимали участие в боевых действиях и в дальнейшем были подвергнуты модернизации (10703).</w:t>
      </w:r>
    </w:p>
    <w:p w14:paraId="52C2525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3DDB3D1"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B481517" w14:textId="77777777" w:rsidR="00BB6316" w:rsidRPr="00722885" w:rsidRDefault="00BB6316" w:rsidP="00722885">
      <w:pPr>
        <w:pStyle w:val="Iauiue"/>
        <w:jc w:val="both"/>
        <w:rPr>
          <w:iCs/>
          <w:color w:val="000000" w:themeColor="text1"/>
          <w:sz w:val="16"/>
          <w:szCs w:val="16"/>
        </w:rPr>
      </w:pPr>
    </w:p>
    <w:p w14:paraId="475E0E17"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7E4F5035"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течение ночи на 2 декабря в районе Сталинграда и на Центральном фронте наши войска продолжали наступление на прежних направлениях.</w:t>
      </w:r>
    </w:p>
    <w:p w14:paraId="43C508E0"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огневой бой и отражали атаки мелких групп противника. B заводской части города артиллерийским огнём разрушено 9 немецких дзотов и блиндажей, подавлен огонь 2 артиллерийских и 4 миномётных батарей противника. На южной окраине города миномётным огнём рассеяно скопление пехоты противника.</w:t>
      </w:r>
    </w:p>
    <w:p w14:paraId="78F24A85"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наступление на левом берегу Дона. Бойцы Н-ской части атаковали с фронта немцев, оборонявшихся в укреплённом населённом пункте. B это же время другие наши подразделения обошли противника с фланга. Под угрозой окружения гитлеровцы в беспорядке отступили, оставив на доле боя 300 трупов, большое количество вооружения и различного военного имущества. На другом участке артиллеристы под командованием тов. Дубровского уничтожили 19 немецких дзотов и блиндажей, взорвали склад боеприпасов и подавили огонь 3 артиллерийских батарей противника.</w:t>
      </w:r>
    </w:p>
    <w:p w14:paraId="0221C5A9"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за 1 декабря сбили в воздушных боях 7 и уничтожили на аэродромах 20 немецких самолётов.</w:t>
      </w:r>
    </w:p>
    <w:p w14:paraId="64A882E3"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закреплялись на достигнутых рубежах и передовыми отрядами вели активные боевые действия. На одном участке бойцы Н-скойчасти разрушили 26 дзотов, уничтожили 21 огневую точку и овладели опорным пунктом противника. В результате боя разгромлен батальон немецкой пехоты и захвачено 4 подбитых танка. На другом участке нашими бойцами сбит транспортный самолёт противника. Экипаж самолёта взят в плен.</w:t>
      </w:r>
    </w:p>
    <w:p w14:paraId="2FB23BE6"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наступление и заняли несколько населённых пунктов. В районе дороги Ржев—Вязьма наши части овладели селом, превращенным противником в укреплённый узел обороны. B боях за это село уничтожено до 500 немецких солдат и офицеров.</w:t>
      </w:r>
    </w:p>
    <w:p w14:paraId="63B0B394"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лётчиками в воздушных боях сбито 2 немецких самолёта. Огнём зенитной артиллерии уничтожено 3 самолёта противника.</w:t>
      </w:r>
    </w:p>
    <w:p w14:paraId="0CE62A7B"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отряда, действующего в Ленинградской области, истребив охрану, взорвала 3 железнодорожных моста. Движение поездов на этом участке железной дороги приостановлено. Другой отряд ленинградских партизан совершилналёт на деревню, в которой остановился немецкий карательный отряд. В результате боя уничтожено 10 гитлеровцев.</w:t>
      </w:r>
    </w:p>
    <w:p w14:paraId="74F871DE"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зверствах немецко-фашистских мерзавцев в городе Николаев,Украинской ССР. За время оккупации города гитлеровские бандиты замучили и расстреляли тысячи мирных жителей. Более половины населения города немцы насильно отправили на каторгу в Германию. Оставшихся жителей гоняют на принудительные работы. Неявка на работу рассматривается как саботаж и влечёт засобой суровое наказание вплоть до расстрела. В конце октября фашистские палачи расстреляли в городе 167 больных и нетрудоспособных женщин только за то, что они не вышли на работу. Жизнь в Николаеве замерла. Все попытки оккупантов восстановить и пустить в ход предприятия наталкиваются на упорное сопротивление советских патриотов. В связи с этим немцы начали вывозить остатки оборудования в Германию.» (14848).</w:t>
      </w:r>
    </w:p>
    <w:p w14:paraId="7A3552E6" w14:textId="77777777" w:rsidR="003C3FCB" w:rsidRPr="00722885" w:rsidRDefault="003C3FCB" w:rsidP="00722885">
      <w:pPr>
        <w:spacing w:after="0" w:line="240" w:lineRule="auto"/>
        <w:jc w:val="both"/>
        <w:rPr>
          <w:rFonts w:ascii="Times New Roman" w:hAnsi="Times New Roman"/>
          <w:color w:val="000000" w:themeColor="text1"/>
          <w:sz w:val="16"/>
          <w:szCs w:val="16"/>
        </w:rPr>
      </w:pPr>
    </w:p>
    <w:p w14:paraId="6ABA2821"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02A26D75"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 декабря наши войска в районе города Сталинграда и на Центральномфронте, преодолевая упорное сопротивление противника, продолжали наступление на прежних направлениях и заняли несколько населённых пунктов.</w:t>
      </w:r>
    </w:p>
    <w:p w14:paraId="2C4DD176"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декабря частями нашей авиации на различных участках фронта уничтожено и подбито 20 немецких танков, до 150 автомашин с войсками и различными грузами, подавлен огонь 8 артиллерийских батарей, повреждён бронепоезд, рассеяно и частью уничтожено до роты пехоты противника.</w:t>
      </w:r>
    </w:p>
    <w:p w14:paraId="406958F0"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войска вели огневой бой и разведку противника. Артиллеристы Н-ской части разбили 3 вражеских дзота, 2 блиндажа и подавили огонь 3 артиллерийских батарей. На южной окраине города отбиты атаки мелких групп пехоты и танков противника. Уничтожено до роты немецкой пехоты.</w:t>
      </w:r>
    </w:p>
    <w:p w14:paraId="2485BB18"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наступательные бои на левом берегу реки Дон. Сломив сопротивление немцев, наши подразделения заняли многочисленные дзоты, блиндажи, траншеи, окопы и другие полевые сооружения противника. На поле боя остались сотни вражеских трупов. Танкисты Н-ской части в течение дня истребили свыше 200 гитлеровцев, подбили несколько немецких танков и захватили 10 миномётов, 60 ящиков с минами, 25 тысяч патронов и другие трофеи. На другом участке наши бойцы отбили контратаку противника и уничтожили до 600 немецких солдат и офицеров.</w:t>
      </w:r>
    </w:p>
    <w:p w14:paraId="39673B45"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укрепляли занятые позиции и на отдельных участках вели активные боевые действия. Уничтожено 500 вражеских солдат и офицеров, 8 танков, 6 орудий, 31 пулемёт, 18 автомашин и 15 подвод с различными грузами. Часть, где командиром тов. Русских, преодолев сопротивление гитлеровцев, заняла безымянную высоту. Враг оставил на поле боя много трупов своих солдат и офицеров и 6 подбитых танков.</w:t>
      </w:r>
    </w:p>
    <w:p w14:paraId="48599EB5"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вести упорные наступательные бои. Восточнее Великих Лук части Н-ского соединения, отражая многочисленные контратаки немцев, продвинулись вперёд. Противник потерял убитыми свыше 2.000 солдат и офицеров. Подбито 19 немецких танков. Захвачены 12 орудий, 8 танков. 29 пулемётов, несколько сот винтовок и автоматов, 8 миномётов, 10 автомашин, 4 радиостанции, большое количество снарядов и другие трофеи. Западнее Ржева наши части овладели несколькими опорными пунктами противника. Уничтожено до 500 гитлеровцев, разрушено 29 дзотов, и взорвано 3 склада с боеприпасами. Нашими бойцами захвачено 2 немецких танка.</w:t>
      </w:r>
    </w:p>
    <w:p w14:paraId="312A5B06"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Калининской области, взорвал шесть мостов и пустил под откос воинский эшелон противника. В результате крушения уничтожены паровоз, 12 вагонов и 2 платформы. Другой отряд калининских партизан организовал крушение двух железнодорожных поездов. Под обломками вагонов погибло много немецких солдат и офицеров.</w:t>
      </w:r>
    </w:p>
    <w:p w14:paraId="40F2C3C8"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части, выбив немцев из хутора Старый Пронин, Перелазовского района,Сталинградской области, освободили из фашистского плена группу красноармейцев. Местные жители, бойцы и командиры Красной Армии составили акт, в котором говорится: «Когда наши войска захватили лагерь, в нём находилось 76 советскихвоеннопленных. Они помещались в свинарниках. Немцы заставляли пленных работать по 16—18 часов в сутки. Один раз в день им давали похлёбку из отрубей. Пленных избивали до полусмерти. Все заключённые одеты в лохмотья и совершенно разуты. Все крайне истощены. 14 бойцов совершенно не могли подняться на ноги. Их на руках вынесли из свинарника и свезли в госпиталь». Акт подписали: старший политрук А.Зевлев, батальонный комиссар А.Кузнецов, политрук И.Лудицкий, старший лейтенант Литвинов, жители хутора Старый Пронин Валентина Ильина, Наталья Шепихина и другие.</w:t>
      </w:r>
    </w:p>
    <w:p w14:paraId="3C4D97E3"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Среди немецких войск, расквартированных в Норвегии, проявляются антивоенные настроения. В некоторых гарнизонах недовольство солдат принимает всё более и более острые формы. В Киркенесе немецкий полк отказался ехать на советско-германский фронт. В ноябре свыше 200 солдат и офицеров дезертировали из немецкой армии и небольшими группами переправились в Швецию. Немецкое командование подавляет солдатские волнения с неслыханной жестокостью. За последние два месяца расстреляно несколько сот солдат.» (14848).</w:t>
      </w:r>
    </w:p>
    <w:p w14:paraId="07C8BD34" w14:textId="77777777" w:rsidR="003C3FCB" w:rsidRPr="00722885" w:rsidRDefault="003C3FCB" w:rsidP="00722885">
      <w:pPr>
        <w:spacing w:after="0" w:line="240" w:lineRule="auto"/>
        <w:jc w:val="both"/>
        <w:rPr>
          <w:rFonts w:ascii="Times New Roman" w:hAnsi="Times New Roman"/>
          <w:color w:val="000000" w:themeColor="text1"/>
          <w:sz w:val="16"/>
          <w:szCs w:val="16"/>
        </w:rPr>
      </w:pPr>
    </w:p>
    <w:p w14:paraId="3B0F3049"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декабря</w:t>
      </w:r>
      <w:r w:rsidRPr="00722885">
        <w:rPr>
          <w:rFonts w:ascii="Times New Roman" w:hAnsi="Times New Roman"/>
          <w:color w:val="000000" w:themeColor="text1"/>
          <w:sz w:val="16"/>
          <w:szCs w:val="16"/>
        </w:rPr>
        <w:t xml:space="preserve"> в 1942 году по данным оперативной сводки №335 ВВС КА было произведено 1113 самолёто-вылетов... В воздушных боях сбито 8 и уничтожено на аэродромах 5 самолётов противника. Наши потери: сбито 2 самолёта; не вернулись на свои аэродромы 15 самолётов (14848).</w:t>
      </w:r>
    </w:p>
    <w:p w14:paraId="50BC236E" w14:textId="77777777" w:rsidR="003C3FCB" w:rsidRPr="00722885" w:rsidRDefault="003C3FCB" w:rsidP="00722885">
      <w:pPr>
        <w:spacing w:after="0" w:line="240" w:lineRule="auto"/>
        <w:jc w:val="both"/>
        <w:rPr>
          <w:rFonts w:ascii="Times New Roman" w:hAnsi="Times New Roman"/>
          <w:color w:val="000000" w:themeColor="text1"/>
          <w:sz w:val="16"/>
          <w:szCs w:val="16"/>
        </w:rPr>
      </w:pPr>
    </w:p>
    <w:p w14:paraId="5CA814AA"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декабря</w:t>
      </w:r>
      <w:r w:rsidRPr="00722885">
        <w:rPr>
          <w:rFonts w:ascii="Times New Roman" w:hAnsi="Times New Roman"/>
          <w:color w:val="000000" w:themeColor="text1"/>
          <w:sz w:val="16"/>
          <w:szCs w:val="16"/>
        </w:rPr>
        <w:t xml:space="preserve"> в 1942 году Ставка ВГК утвердила план наступления войск Юго-Западного и Воронежского фронтов по разгрому войск противника на Среднем Дону (операция "Сатурн") (14848).</w:t>
      </w:r>
    </w:p>
    <w:p w14:paraId="372DB891" w14:textId="77777777" w:rsidR="003C3FCB" w:rsidRPr="00722885" w:rsidRDefault="003C3FCB" w:rsidP="00722885">
      <w:pPr>
        <w:spacing w:after="0" w:line="240" w:lineRule="auto"/>
        <w:jc w:val="both"/>
        <w:rPr>
          <w:rFonts w:ascii="Times New Roman" w:hAnsi="Times New Roman"/>
          <w:color w:val="000000" w:themeColor="text1"/>
          <w:sz w:val="16"/>
          <w:szCs w:val="16"/>
        </w:rPr>
      </w:pPr>
    </w:p>
    <w:p w14:paraId="700E6159"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декабря</w:t>
      </w:r>
      <w:r w:rsidRPr="00722885">
        <w:rPr>
          <w:rFonts w:ascii="Times New Roman" w:hAnsi="Times New Roman"/>
          <w:color w:val="000000" w:themeColor="text1"/>
          <w:sz w:val="16"/>
          <w:szCs w:val="16"/>
        </w:rPr>
        <w:t xml:space="preserve"> в 1942 году в соответствии с постановлением ГКО создана Московская зона обороны, руководство которой осуществлялось командованием Московского ВО (14848).</w:t>
      </w:r>
    </w:p>
    <w:p w14:paraId="72B988E4" w14:textId="77777777" w:rsidR="003C3FCB" w:rsidRPr="00722885" w:rsidRDefault="003C3FCB" w:rsidP="00722885">
      <w:pPr>
        <w:spacing w:after="0" w:line="240" w:lineRule="auto"/>
        <w:jc w:val="both"/>
        <w:rPr>
          <w:rFonts w:ascii="Times New Roman" w:hAnsi="Times New Roman"/>
          <w:color w:val="000000" w:themeColor="text1"/>
          <w:sz w:val="16"/>
          <w:szCs w:val="16"/>
        </w:rPr>
      </w:pPr>
    </w:p>
    <w:p w14:paraId="52C592E1" w14:textId="77777777" w:rsidR="003C3FCB" w:rsidRPr="00722885" w:rsidRDefault="003C3F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декабря</w:t>
      </w:r>
      <w:r w:rsidRPr="00722885">
        <w:rPr>
          <w:rFonts w:ascii="Times New Roman" w:hAnsi="Times New Roman"/>
          <w:color w:val="000000" w:themeColor="text1"/>
          <w:sz w:val="16"/>
          <w:szCs w:val="16"/>
        </w:rPr>
        <w:t xml:space="preserve"> в 1942 году советские войска предотвратили прорыв немецких войск на Кавказ, отбросив 1-ю немецкую танковую армию к западу от Ростова-на-Дону на 60–80 км (на рубеж реки Миус от Куйбышева до Покровского и далее на линию Самбек - река Самбек), сковали силы группы армий «Юг» и не позволили за их счет усилить группу армий «Центр», наступавшую на московском — стратегическом направлении (14848).</w:t>
      </w:r>
    </w:p>
    <w:p w14:paraId="00A0ABEA" w14:textId="77777777" w:rsidR="003C3FCB" w:rsidRPr="00722885" w:rsidRDefault="003C3FCB" w:rsidP="00722885">
      <w:pPr>
        <w:spacing w:after="0" w:line="240" w:lineRule="auto"/>
        <w:jc w:val="both"/>
        <w:rPr>
          <w:rFonts w:ascii="Times New Roman" w:hAnsi="Times New Roman"/>
          <w:color w:val="000000" w:themeColor="text1"/>
          <w:sz w:val="16"/>
          <w:szCs w:val="16"/>
        </w:rPr>
      </w:pPr>
    </w:p>
    <w:p w14:paraId="2EEFF23F"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декабря</w:t>
      </w:r>
      <w:r w:rsidRPr="00722885">
        <w:rPr>
          <w:rFonts w:ascii="Times New Roman" w:hAnsi="Times New Roman"/>
          <w:color w:val="000000" w:themeColor="text1"/>
          <w:sz w:val="16"/>
          <w:szCs w:val="16"/>
        </w:rPr>
        <w:t xml:space="preserve"> в 1942 году (2–3 декабря) соединения 2-й немецкой танковой армии предприняли последнюю попытку овладеть Тулой ударом с востока, перерезали связывавшие город с Москвой железные и шоссейные дороги. Одновременно противник начал наступление севернее Тулы с запада (14848).</w:t>
      </w:r>
    </w:p>
    <w:p w14:paraId="462D243E" w14:textId="77777777" w:rsidR="00205FD3" w:rsidRPr="00722885" w:rsidRDefault="00205FD3" w:rsidP="00722885">
      <w:pPr>
        <w:spacing w:after="0" w:line="240" w:lineRule="auto"/>
        <w:jc w:val="both"/>
        <w:rPr>
          <w:rFonts w:ascii="Times New Roman" w:hAnsi="Times New Roman"/>
          <w:color w:val="000000" w:themeColor="text1"/>
          <w:sz w:val="16"/>
          <w:szCs w:val="16"/>
        </w:rPr>
      </w:pPr>
    </w:p>
    <w:p w14:paraId="4CD43D3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2 декабря 1942 случился неприятный инцидент. ТКА №92 дважды обстреливался советскими СКА. При расследовании выяснилось, что командир катера... не знал </w:t>
      </w:r>
      <w:r w:rsidRPr="00722885">
        <w:rPr>
          <w:color w:val="000000" w:themeColor="text1"/>
          <w:sz w:val="16"/>
          <w:szCs w:val="16"/>
        </w:rPr>
        <w:lastRenderedPageBreak/>
        <w:t>опознавательных сигналов! Хорошо еще, что обошлось без жертв (6002).</w:t>
      </w:r>
    </w:p>
    <w:p w14:paraId="053C8115" w14:textId="77777777" w:rsidR="00BB6316" w:rsidRPr="00722885" w:rsidRDefault="00BB6316" w:rsidP="00722885">
      <w:pPr>
        <w:pStyle w:val="Iauiue"/>
        <w:jc w:val="both"/>
        <w:rPr>
          <w:color w:val="000000" w:themeColor="text1"/>
          <w:sz w:val="16"/>
          <w:szCs w:val="16"/>
        </w:rPr>
      </w:pPr>
    </w:p>
    <w:p w14:paraId="7D30B4E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098FD8D" w14:textId="77777777" w:rsidR="00BB6316" w:rsidRPr="00722885" w:rsidRDefault="00BB6316" w:rsidP="00722885">
      <w:pPr>
        <w:pStyle w:val="Iauiue"/>
        <w:jc w:val="both"/>
        <w:rPr>
          <w:iCs/>
          <w:color w:val="000000" w:themeColor="text1"/>
          <w:sz w:val="16"/>
          <w:szCs w:val="16"/>
        </w:rPr>
      </w:pPr>
    </w:p>
    <w:p w14:paraId="1843D8FA" w14:textId="77777777" w:rsidR="00205FD3" w:rsidRPr="00722885" w:rsidRDefault="00205FD3" w:rsidP="00722885">
      <w:pPr>
        <w:pStyle w:val="Iauiue"/>
        <w:tabs>
          <w:tab w:val="left" w:pos="11199"/>
        </w:tabs>
        <w:jc w:val="both"/>
        <w:rPr>
          <w:color w:val="000000" w:themeColor="text1"/>
          <w:sz w:val="16"/>
          <w:szCs w:val="16"/>
        </w:rPr>
      </w:pPr>
      <w:r w:rsidRPr="00722885">
        <w:rPr>
          <w:color w:val="000000" w:themeColor="text1"/>
          <w:sz w:val="16"/>
          <w:szCs w:val="16"/>
        </w:rPr>
        <w:t>2 декабря 1942 в Чикагском университете итальянским физиком Энрико Ферми произведена первая цепная ядерная реакция (4962).</w:t>
      </w:r>
    </w:p>
    <w:p w14:paraId="7DE79E9F" w14:textId="77777777" w:rsidR="00205FD3" w:rsidRPr="00722885" w:rsidRDefault="00205FD3" w:rsidP="00722885">
      <w:pPr>
        <w:pStyle w:val="Iauiue"/>
        <w:tabs>
          <w:tab w:val="left" w:pos="11199"/>
        </w:tabs>
        <w:jc w:val="both"/>
        <w:rPr>
          <w:color w:val="000000" w:themeColor="text1"/>
          <w:sz w:val="16"/>
          <w:szCs w:val="16"/>
        </w:rPr>
      </w:pPr>
    </w:p>
    <w:p w14:paraId="39BD359E" w14:textId="77777777" w:rsidR="00205FD3" w:rsidRPr="00722885" w:rsidRDefault="00205FD3" w:rsidP="00722885">
      <w:pPr>
        <w:pStyle w:val="Iauiue"/>
        <w:jc w:val="both"/>
        <w:rPr>
          <w:color w:val="000000" w:themeColor="text1"/>
          <w:sz w:val="16"/>
          <w:szCs w:val="16"/>
          <w:lang w:val="en-US"/>
        </w:rPr>
      </w:pPr>
      <w:r w:rsidRPr="00722885">
        <w:rPr>
          <w:color w:val="000000" w:themeColor="text1"/>
          <w:sz w:val="16"/>
          <w:szCs w:val="16"/>
          <w:lang w:val="en-US"/>
        </w:rPr>
        <w:t>2 December 1942 Professor Fermi sets up an atomic reactor in Chicago (270).</w:t>
      </w:r>
    </w:p>
    <w:p w14:paraId="2ABED1FB" w14:textId="77777777" w:rsidR="00205FD3" w:rsidRPr="00722885" w:rsidRDefault="00205FD3" w:rsidP="00722885">
      <w:pPr>
        <w:pStyle w:val="Iauiue"/>
        <w:jc w:val="both"/>
        <w:rPr>
          <w:color w:val="000000" w:themeColor="text1"/>
          <w:sz w:val="16"/>
          <w:szCs w:val="16"/>
          <w:lang w:val="en-US"/>
        </w:rPr>
      </w:pPr>
    </w:p>
    <w:p w14:paraId="758A4D04" w14:textId="77777777" w:rsidR="00205FD3" w:rsidRPr="00722885" w:rsidRDefault="00205FD3" w:rsidP="00722885">
      <w:pPr>
        <w:pStyle w:val="Iauiue"/>
        <w:jc w:val="both"/>
        <w:rPr>
          <w:color w:val="000000" w:themeColor="text1"/>
          <w:sz w:val="16"/>
          <w:szCs w:val="16"/>
        </w:rPr>
      </w:pPr>
      <w:r w:rsidRPr="00722885">
        <w:rPr>
          <w:color w:val="000000" w:themeColor="text1"/>
          <w:sz w:val="16"/>
          <w:szCs w:val="16"/>
        </w:rPr>
        <w:t>2 декабря 1942 Ферми закончил атомный реактор в Чикаго (270) и продемонстрировал управляемую ядерную реакцию (3263,700).</w:t>
      </w:r>
    </w:p>
    <w:p w14:paraId="55B9938E" w14:textId="77777777" w:rsidR="00205FD3" w:rsidRPr="00722885" w:rsidRDefault="00205FD3" w:rsidP="00722885">
      <w:pPr>
        <w:pStyle w:val="Iauiue"/>
        <w:jc w:val="both"/>
        <w:rPr>
          <w:color w:val="000000" w:themeColor="text1"/>
          <w:sz w:val="16"/>
          <w:szCs w:val="16"/>
        </w:rPr>
      </w:pPr>
    </w:p>
    <w:p w14:paraId="4B5E873A"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декабря 1942 в Чикаго Э.Ферми проводит эксперимент – осуществляет первую в мире контролируемую цепную реакцию деления ядер урана. – А-Бомба. – С.41 (11321).</w:t>
      </w:r>
    </w:p>
    <w:p w14:paraId="04769158" w14:textId="77777777" w:rsidR="00205FD3" w:rsidRPr="00722885" w:rsidRDefault="00205FD3" w:rsidP="00722885">
      <w:pPr>
        <w:spacing w:after="0" w:line="240" w:lineRule="auto"/>
        <w:jc w:val="both"/>
        <w:rPr>
          <w:rFonts w:ascii="Times New Roman" w:hAnsi="Times New Roman"/>
          <w:color w:val="000000" w:themeColor="text1"/>
          <w:sz w:val="16"/>
          <w:szCs w:val="16"/>
        </w:rPr>
      </w:pPr>
    </w:p>
    <w:p w14:paraId="53B28534"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декабря</w:t>
      </w:r>
      <w:r w:rsidRPr="00722885">
        <w:rPr>
          <w:rFonts w:ascii="Times New Roman" w:hAnsi="Times New Roman"/>
          <w:color w:val="000000" w:themeColor="text1"/>
          <w:sz w:val="16"/>
          <w:szCs w:val="16"/>
        </w:rPr>
        <w:t xml:space="preserve"> в 1942 году уничтожение английским флотом итальянского военного конвоя между Сицилией и Тунисом (потоплен 1 эсминец и 4 транспорта) (14848).</w:t>
      </w:r>
    </w:p>
    <w:p w14:paraId="02AD0A7D" w14:textId="77777777" w:rsidR="00205FD3" w:rsidRPr="00722885" w:rsidRDefault="00205FD3" w:rsidP="00722885">
      <w:pPr>
        <w:spacing w:after="0" w:line="240" w:lineRule="auto"/>
        <w:jc w:val="both"/>
        <w:rPr>
          <w:rFonts w:ascii="Times New Roman" w:hAnsi="Times New Roman"/>
          <w:color w:val="000000" w:themeColor="text1"/>
          <w:sz w:val="16"/>
          <w:szCs w:val="16"/>
        </w:rPr>
      </w:pPr>
    </w:p>
    <w:p w14:paraId="437814C8"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декабря</w:t>
      </w:r>
      <w:r w:rsidRPr="00722885">
        <w:rPr>
          <w:rFonts w:ascii="Times New Roman" w:hAnsi="Times New Roman"/>
          <w:color w:val="000000" w:themeColor="text1"/>
          <w:sz w:val="16"/>
          <w:szCs w:val="16"/>
        </w:rPr>
        <w:t xml:space="preserve"> в 1942 году окружение Тобрука английскими войсками (14848).</w:t>
      </w:r>
    </w:p>
    <w:p w14:paraId="70C21F69" w14:textId="77777777" w:rsidR="00205FD3" w:rsidRPr="00722885" w:rsidRDefault="00205FD3" w:rsidP="00722885">
      <w:pPr>
        <w:spacing w:after="0" w:line="240" w:lineRule="auto"/>
        <w:jc w:val="both"/>
        <w:rPr>
          <w:rFonts w:ascii="Times New Roman" w:hAnsi="Times New Roman"/>
          <w:color w:val="000000" w:themeColor="text1"/>
          <w:sz w:val="16"/>
          <w:szCs w:val="16"/>
        </w:rPr>
      </w:pPr>
    </w:p>
    <w:p w14:paraId="623BFF6C" w14:textId="77777777" w:rsidR="00205FD3" w:rsidRPr="00722885" w:rsidRDefault="00205FD3" w:rsidP="00722885">
      <w:pPr>
        <w:pStyle w:val="Iauiue"/>
        <w:jc w:val="both"/>
        <w:rPr>
          <w:color w:val="000000" w:themeColor="text1"/>
          <w:sz w:val="16"/>
          <w:szCs w:val="16"/>
        </w:rPr>
      </w:pPr>
      <w:r w:rsidRPr="00722885">
        <w:rPr>
          <w:color w:val="000000" w:themeColor="text1"/>
          <w:sz w:val="16"/>
          <w:szCs w:val="16"/>
        </w:rPr>
        <w:t>2 декабря 1942 союзники отбили атаку немцев на Тунис (2100).</w:t>
      </w:r>
    </w:p>
    <w:p w14:paraId="32C2AAE0" w14:textId="77777777" w:rsidR="00205FD3" w:rsidRPr="00722885" w:rsidRDefault="00205FD3" w:rsidP="00722885">
      <w:pPr>
        <w:pStyle w:val="Iauiue"/>
        <w:jc w:val="both"/>
        <w:rPr>
          <w:color w:val="000000" w:themeColor="text1"/>
          <w:sz w:val="16"/>
          <w:szCs w:val="16"/>
        </w:rPr>
      </w:pPr>
    </w:p>
    <w:p w14:paraId="712228A4"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 декабря</w:t>
      </w:r>
      <w:r w:rsidRPr="00722885">
        <w:rPr>
          <w:rFonts w:ascii="Times New Roman" w:hAnsi="Times New Roman"/>
          <w:color w:val="000000" w:themeColor="text1"/>
          <w:sz w:val="16"/>
          <w:szCs w:val="16"/>
        </w:rPr>
        <w:t xml:space="preserve"> в 1942 году американское правительство запретило экспорт нефтепродуктов в Испанию (14848).</w:t>
      </w:r>
    </w:p>
    <w:p w14:paraId="467E108B" w14:textId="77777777" w:rsidR="00205FD3" w:rsidRPr="00722885" w:rsidRDefault="00205FD3" w:rsidP="00722885">
      <w:pPr>
        <w:spacing w:after="0" w:line="240" w:lineRule="auto"/>
        <w:jc w:val="both"/>
        <w:rPr>
          <w:rFonts w:ascii="Times New Roman" w:hAnsi="Times New Roman"/>
          <w:color w:val="000000" w:themeColor="text1"/>
          <w:sz w:val="16"/>
          <w:szCs w:val="16"/>
        </w:rPr>
      </w:pPr>
    </w:p>
    <w:p w14:paraId="6D4D6CC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E53D92D" w14:textId="77777777" w:rsidR="00BB6316" w:rsidRPr="00722885" w:rsidRDefault="00BB6316" w:rsidP="00722885">
      <w:pPr>
        <w:pStyle w:val="Iauiue"/>
        <w:jc w:val="both"/>
        <w:rPr>
          <w:iCs/>
          <w:color w:val="000000" w:themeColor="text1"/>
          <w:sz w:val="16"/>
          <w:szCs w:val="16"/>
        </w:rPr>
      </w:pPr>
    </w:p>
    <w:p w14:paraId="01BF71FC" w14:textId="77777777"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3 де</w:t>
      </w:r>
      <w:r w:rsidRPr="00722885">
        <w:rPr>
          <w:color w:val="000000" w:themeColor="text1"/>
          <w:sz w:val="16"/>
          <w:szCs w:val="16"/>
        </w:rPr>
        <w:softHyphen/>
        <w:t>кабря 1942 был подписан приказ командующего ВВС «о проведении войсковых испытаний на боевое применение Ил-2 с АМ-38, вооруженных 37-мм пушками конструкции ОКБ-15» в 16-й воз</w:t>
      </w:r>
      <w:r w:rsidRPr="00722885">
        <w:rPr>
          <w:color w:val="000000" w:themeColor="text1"/>
          <w:sz w:val="16"/>
          <w:szCs w:val="16"/>
        </w:rPr>
        <w:softHyphen/>
        <w:t>душной армии Донского фронта в соответствии с решение штаба ВВС КА от 1 декабря 1942.</w:t>
      </w:r>
    </w:p>
    <w:p w14:paraId="288493D6" w14:textId="77777777" w:rsidR="00A92D60" w:rsidRPr="00722885" w:rsidRDefault="00A92D60"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Согласно приказу испытания необходимо было начать 6 декабря. Ответственным за организацию проведения войсковых испытаний назначался на</w:t>
      </w:r>
      <w:r w:rsidRPr="00722885">
        <w:rPr>
          <w:color w:val="000000" w:themeColor="text1"/>
          <w:sz w:val="16"/>
          <w:szCs w:val="16"/>
        </w:rPr>
        <w:softHyphen/>
        <w:t>чальник НИИ ВВС генерал-майор П. А. Лосюков. Командующий 16 ВА генерал-майор С. И. Руденко должен был провести испытания в полном соответ</w:t>
      </w:r>
      <w:r w:rsidRPr="00722885">
        <w:rPr>
          <w:color w:val="000000" w:themeColor="text1"/>
          <w:sz w:val="16"/>
          <w:szCs w:val="16"/>
        </w:rPr>
        <w:softHyphen/>
        <w:t>ствии с программой, утвержденной главным инже</w:t>
      </w:r>
      <w:r w:rsidRPr="00722885">
        <w:rPr>
          <w:color w:val="000000" w:themeColor="text1"/>
          <w:sz w:val="16"/>
          <w:szCs w:val="16"/>
        </w:rPr>
        <w:softHyphen/>
        <w:t>нером ВВС КА. При этом требовалось «не разбрасы</w:t>
      </w:r>
      <w:r w:rsidRPr="00722885">
        <w:rPr>
          <w:color w:val="000000" w:themeColor="text1"/>
          <w:sz w:val="16"/>
          <w:szCs w:val="16"/>
        </w:rPr>
        <w:softHyphen/>
        <w:t>вать самолеты по нескольким полкам» (17500).</w:t>
      </w:r>
    </w:p>
    <w:p w14:paraId="01283092" w14:textId="77777777" w:rsidR="00A92D60" w:rsidRPr="00722885" w:rsidRDefault="00A92D60" w:rsidP="00722885">
      <w:pPr>
        <w:spacing w:after="0" w:line="240" w:lineRule="auto"/>
        <w:jc w:val="both"/>
        <w:rPr>
          <w:rFonts w:ascii="Times New Roman" w:eastAsia="Times New Roman" w:hAnsi="Times New Roman"/>
          <w:color w:val="000000" w:themeColor="text1"/>
          <w:sz w:val="16"/>
          <w:szCs w:val="16"/>
          <w:lang w:eastAsia="ru-RU"/>
        </w:rPr>
      </w:pPr>
    </w:p>
    <w:p w14:paraId="7DDC018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декабря 1942 г. гл. инженер ВВС генерал-лейтенант ИАС Репин писал письмо N 435590с Шахурину.</w:t>
      </w:r>
    </w:p>
    <w:p w14:paraId="7C3312C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результате проведенных в ЦАГИ научно-исследовательских и экспериментальных работ по определению лобового сопротивления спецподвесок (РО-82 и РС-82) установлено, что:</w:t>
      </w:r>
    </w:p>
    <w:p w14:paraId="4E650C6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Установка простых обтекателей для реактивных орудий уменьшает лобовое сопротивление РО, при существующей установке, на 70%.</w:t>
      </w:r>
    </w:p>
    <w:p w14:paraId="159A963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Применение обтекателей и небольшое изменение установки РО приводит к снижению лобового сопротивления РО на 82%.</w:t>
      </w:r>
    </w:p>
    <w:p w14:paraId="668206B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Имеющиеся материалы позволяют считать, что применение подобных обтекателей на реактивных орудиях установленных на самолете Ил-2 по существующей схеме уменьшит потерю максимальной скорости этого самолета с 14-15 км/час до 4-4,5 км/час при восьми РО без РС, и с 24-26 км/час до 14-15,5 км/час при восьми РО и восьми РС.</w:t>
      </w:r>
    </w:p>
    <w:p w14:paraId="2549481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Исходя из вышеизложенного, прошу Ваших указаний о внедрении обтекателей к РО на самолетах Ил-2.</w:t>
      </w:r>
    </w:p>
    <w:p w14:paraId="075E91F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 Вашем решении прошу поставить меня в известность (1778).</w:t>
      </w:r>
    </w:p>
    <w:p w14:paraId="52135A45" w14:textId="77777777" w:rsidR="00BB6316" w:rsidRPr="00722885" w:rsidRDefault="00BB6316" w:rsidP="00722885">
      <w:pPr>
        <w:pStyle w:val="Iauiue"/>
        <w:jc w:val="both"/>
        <w:rPr>
          <w:color w:val="000000" w:themeColor="text1"/>
          <w:sz w:val="16"/>
          <w:szCs w:val="16"/>
        </w:rPr>
      </w:pPr>
    </w:p>
    <w:p w14:paraId="4B7AEE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декабря 1942 г. Николай Николаевич тепло попро</w:t>
      </w:r>
      <w:r w:rsidRPr="00722885">
        <w:rPr>
          <w:rFonts w:ascii="Times New Roman" w:hAnsi="Times New Roman"/>
          <w:color w:val="000000" w:themeColor="text1"/>
          <w:sz w:val="16"/>
          <w:szCs w:val="16"/>
        </w:rPr>
        <w:softHyphen/>
        <w:t>щался с каждым летчиком, пожелал наилучшего, сказал «С богом!» и перекрестил, чем немало удивил их. Как вспоминал Н.П.Игнатьев, подобное напутствие перед полетом он получил первый раз в жизни. Поднявшись в небо, четверка И-185 вылетела на фронт. Курс лежал на аэродром Мигалово под Калини</w:t>
      </w:r>
      <w:r w:rsidRPr="00722885">
        <w:rPr>
          <w:rFonts w:ascii="Times New Roman" w:hAnsi="Times New Roman"/>
          <w:color w:val="000000" w:themeColor="text1"/>
          <w:sz w:val="16"/>
          <w:szCs w:val="16"/>
        </w:rPr>
        <w:softHyphen/>
        <w:t>ным, где располагался штаб 3-й воздушной армии. Лет</w:t>
      </w:r>
      <w:r w:rsidRPr="00722885">
        <w:rPr>
          <w:rFonts w:ascii="Times New Roman" w:hAnsi="Times New Roman"/>
          <w:color w:val="000000" w:themeColor="text1"/>
          <w:sz w:val="16"/>
          <w:szCs w:val="16"/>
        </w:rPr>
        <w:softHyphen/>
        <w:t>чики представились командующему генерал-майору М.М.Громову, который лично проинструктировал их о том, как проводить фронтовые испытания И-185. Из со</w:t>
      </w:r>
      <w:r w:rsidRPr="00722885">
        <w:rPr>
          <w:rFonts w:ascii="Times New Roman" w:hAnsi="Times New Roman"/>
          <w:color w:val="000000" w:themeColor="text1"/>
          <w:sz w:val="16"/>
          <w:szCs w:val="16"/>
        </w:rPr>
        <w:softHyphen/>
        <w:t>ображений секретности летчикам запрещалось переле</w:t>
      </w:r>
      <w:r w:rsidRPr="00722885">
        <w:rPr>
          <w:rFonts w:ascii="Times New Roman" w:hAnsi="Times New Roman"/>
          <w:color w:val="000000" w:themeColor="text1"/>
          <w:sz w:val="16"/>
          <w:szCs w:val="16"/>
        </w:rPr>
        <w:softHyphen/>
        <w:t>тать через линию фронта, вступать в воздушные схватки и вести маневренный бой. По воспоминаниям Н.П.Игнатьева, им было сказано: «Падение И-185 на территорию, занятую противником, будет расценено, как измена Родине». Полеты должны были прохо</w:t>
      </w:r>
      <w:r w:rsidRPr="00722885">
        <w:rPr>
          <w:rFonts w:ascii="Times New Roman" w:hAnsi="Times New Roman"/>
          <w:color w:val="000000" w:themeColor="text1"/>
          <w:sz w:val="16"/>
          <w:szCs w:val="16"/>
        </w:rPr>
        <w:softHyphen/>
        <w:t>дить на высоте 3-4 тысячи метров при скорости 500-550 км/ч в зависимости от погоды и на каждый требова</w:t>
      </w:r>
      <w:r w:rsidRPr="00722885">
        <w:rPr>
          <w:rFonts w:ascii="Times New Roman" w:hAnsi="Times New Roman"/>
          <w:color w:val="000000" w:themeColor="text1"/>
          <w:sz w:val="16"/>
          <w:szCs w:val="16"/>
        </w:rPr>
        <w:softHyphen/>
        <w:t>лось особое разрешение М.М.Громова или его началь</w:t>
      </w:r>
      <w:r w:rsidRPr="00722885">
        <w:rPr>
          <w:rFonts w:ascii="Times New Roman" w:hAnsi="Times New Roman"/>
          <w:color w:val="000000" w:themeColor="text1"/>
          <w:sz w:val="16"/>
          <w:szCs w:val="16"/>
        </w:rPr>
        <w:softHyphen/>
        <w:t>ника штаба полковника Дагаева. Получив инструкции, летчики отправились на свой аэродром. 728-й истребительный авиационный полк базиро</w:t>
      </w:r>
      <w:r w:rsidRPr="00722885">
        <w:rPr>
          <w:rFonts w:ascii="Times New Roman" w:hAnsi="Times New Roman"/>
          <w:color w:val="000000" w:themeColor="text1"/>
          <w:sz w:val="16"/>
          <w:szCs w:val="16"/>
        </w:rPr>
        <w:softHyphen/>
        <w:t>вался вблизи древнего русского города Старица в 60 ки</w:t>
      </w:r>
      <w:r w:rsidRPr="00722885">
        <w:rPr>
          <w:rFonts w:ascii="Times New Roman" w:hAnsi="Times New Roman"/>
          <w:color w:val="000000" w:themeColor="text1"/>
          <w:sz w:val="16"/>
          <w:szCs w:val="16"/>
        </w:rPr>
        <w:softHyphen/>
        <w:t>лометрах вверх по Волге от Калинина. Обстановка на этом участке фронта в конце 1942 г. была сравнительно спокойной. Проводимая летом кровопролитная Ржевско-Сычевская операция закончилась безрезультатно, несмотря на массированное применение танковых кор</w:t>
      </w:r>
      <w:r w:rsidRPr="00722885">
        <w:rPr>
          <w:rFonts w:ascii="Times New Roman" w:hAnsi="Times New Roman"/>
          <w:color w:val="000000" w:themeColor="text1"/>
          <w:sz w:val="16"/>
          <w:szCs w:val="16"/>
        </w:rPr>
        <w:softHyphen/>
        <w:t>пусов. Также без видимого результата завершилась Ржевская операция Калининского фронта (24 ноября 1942 г. - 20 января 1943 г.). В числе прочих причин это связано еще и с тем, что частично оперативные планы были выданы германскому командованию во время спе</w:t>
      </w:r>
      <w:r w:rsidRPr="00722885">
        <w:rPr>
          <w:rFonts w:ascii="Times New Roman" w:hAnsi="Times New Roman"/>
          <w:color w:val="000000" w:themeColor="text1"/>
          <w:sz w:val="16"/>
          <w:szCs w:val="16"/>
        </w:rPr>
        <w:softHyphen/>
        <w:t>циально проводимой советской разведкой операции «Монастырь». Надо было убедить немцев в том, что именно здесь готовится главный удар советского коман</w:t>
      </w:r>
      <w:r w:rsidRPr="00722885">
        <w:rPr>
          <w:rFonts w:ascii="Times New Roman" w:hAnsi="Times New Roman"/>
          <w:color w:val="000000" w:themeColor="text1"/>
          <w:sz w:val="16"/>
          <w:szCs w:val="16"/>
        </w:rPr>
        <w:softHyphen/>
        <w:t>дования, заставить оттянуть или, по крайней мере, не дать возможности направить под Сталинград немецкие части и, в итоге, обеспечить успешное завершение Ста</w:t>
      </w:r>
      <w:r w:rsidRPr="00722885">
        <w:rPr>
          <w:rFonts w:ascii="Times New Roman" w:hAnsi="Times New Roman"/>
          <w:color w:val="000000" w:themeColor="text1"/>
          <w:sz w:val="16"/>
          <w:szCs w:val="16"/>
        </w:rPr>
        <w:softHyphen/>
        <w:t>линградской битвы. Эта стратегическая операция раз</w:t>
      </w:r>
      <w:r w:rsidRPr="00722885">
        <w:rPr>
          <w:rFonts w:ascii="Times New Roman" w:hAnsi="Times New Roman"/>
          <w:color w:val="000000" w:themeColor="text1"/>
          <w:sz w:val="16"/>
          <w:szCs w:val="16"/>
        </w:rPr>
        <w:softHyphen/>
        <w:t>ведки проводилась в строжайшем секрете и имела успех: немцы вплоть до лета 1943 г. держали на Ржевско-Вяземском выступе крупную группировку войск, причем не только наземную. В конце октября 1942 г. именно сю</w:t>
      </w:r>
      <w:r w:rsidRPr="00722885">
        <w:rPr>
          <w:rFonts w:ascii="Times New Roman" w:hAnsi="Times New Roman"/>
          <w:color w:val="000000" w:themeColor="text1"/>
          <w:sz w:val="16"/>
          <w:szCs w:val="16"/>
        </w:rPr>
        <w:softHyphen/>
        <w:t>да начали поступать первые партии истребителей «Фокке-Вульф-190» из числа прибывающих на Восточный фронт. По-видимому, проведение испытаний И-185 на Калининском фронте преследовало (кроме оценки лет</w:t>
      </w:r>
      <w:r w:rsidRPr="00722885">
        <w:rPr>
          <w:rFonts w:ascii="Times New Roman" w:hAnsi="Times New Roman"/>
          <w:color w:val="000000" w:themeColor="text1"/>
          <w:sz w:val="16"/>
          <w:szCs w:val="16"/>
        </w:rPr>
        <w:softHyphen/>
        <w:t>ных и боевых характеристик самолета) ту же самую цель дезинформации противника (10667).</w:t>
      </w:r>
    </w:p>
    <w:p w14:paraId="4611BC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176728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декабря 1942 г. Николай Николаевич Поликарпов тепло попрощался с каждым летчиком, напут</w:t>
      </w:r>
      <w:r w:rsidRPr="00722885">
        <w:rPr>
          <w:rFonts w:ascii="Times New Roman" w:hAnsi="Times New Roman"/>
          <w:color w:val="000000" w:themeColor="text1"/>
          <w:sz w:val="16"/>
          <w:szCs w:val="16"/>
        </w:rPr>
        <w:softHyphen/>
        <w:t>ствовал их пожеланием: «С Богом» - и перекре</w:t>
      </w:r>
      <w:r w:rsidRPr="00722885">
        <w:rPr>
          <w:rFonts w:ascii="Times New Roman" w:hAnsi="Times New Roman"/>
          <w:color w:val="000000" w:themeColor="text1"/>
          <w:sz w:val="16"/>
          <w:szCs w:val="16"/>
        </w:rPr>
        <w:softHyphen/>
        <w:t>стил, чем немало их удивил. Как вспоминал Н.П.Игнатьев, подобное напутствие перед по</w:t>
      </w:r>
      <w:r w:rsidRPr="00722885">
        <w:rPr>
          <w:rFonts w:ascii="Times New Roman" w:hAnsi="Times New Roman"/>
          <w:color w:val="000000" w:themeColor="text1"/>
          <w:sz w:val="16"/>
          <w:szCs w:val="16"/>
        </w:rPr>
        <w:softHyphen/>
        <w:t>летом он получил первый раз в жизни. Поднявшись в небо, четверка И-185 вылете</w:t>
      </w:r>
      <w:r w:rsidRPr="00722885">
        <w:rPr>
          <w:rFonts w:ascii="Times New Roman" w:hAnsi="Times New Roman"/>
          <w:color w:val="000000" w:themeColor="text1"/>
          <w:sz w:val="16"/>
          <w:szCs w:val="16"/>
        </w:rPr>
        <w:softHyphen/>
        <w:t>ла на фронт. Курс лежал на аэродром Мигалово под Калининым, где располагался штаб 3-й воз</w:t>
      </w:r>
      <w:r w:rsidRPr="00722885">
        <w:rPr>
          <w:rFonts w:ascii="Times New Roman" w:hAnsi="Times New Roman"/>
          <w:color w:val="000000" w:themeColor="text1"/>
          <w:sz w:val="16"/>
          <w:szCs w:val="16"/>
        </w:rPr>
        <w:softHyphen/>
        <w:t>душной армии. Летчики представились коман</w:t>
      </w:r>
      <w:r w:rsidRPr="00722885">
        <w:rPr>
          <w:rFonts w:ascii="Times New Roman" w:hAnsi="Times New Roman"/>
          <w:color w:val="000000" w:themeColor="text1"/>
          <w:sz w:val="16"/>
          <w:szCs w:val="16"/>
        </w:rPr>
        <w:softHyphen/>
        <w:t>дующему генерал-майору М.М.Громову, кото</w:t>
      </w:r>
      <w:r w:rsidRPr="00722885">
        <w:rPr>
          <w:rFonts w:ascii="Times New Roman" w:hAnsi="Times New Roman"/>
          <w:color w:val="000000" w:themeColor="text1"/>
          <w:sz w:val="16"/>
          <w:szCs w:val="16"/>
        </w:rPr>
        <w:softHyphen/>
        <w:t>рый лично проинструктировал их о том, как про</w:t>
      </w:r>
      <w:r w:rsidRPr="00722885">
        <w:rPr>
          <w:rFonts w:ascii="Times New Roman" w:hAnsi="Times New Roman"/>
          <w:color w:val="000000" w:themeColor="text1"/>
          <w:sz w:val="16"/>
          <w:szCs w:val="16"/>
        </w:rPr>
        <w:softHyphen/>
        <w:t>водить фронтовые испытания И-185. Из сооб</w:t>
      </w:r>
      <w:r w:rsidRPr="00722885">
        <w:rPr>
          <w:rFonts w:ascii="Times New Roman" w:hAnsi="Times New Roman"/>
          <w:color w:val="000000" w:themeColor="text1"/>
          <w:sz w:val="16"/>
          <w:szCs w:val="16"/>
        </w:rPr>
        <w:softHyphen/>
        <w:t>ражений секретности летчикам запрещалось перелетать через линию фронта, вступать в воз</w:t>
      </w:r>
      <w:r w:rsidRPr="00722885">
        <w:rPr>
          <w:rFonts w:ascii="Times New Roman" w:hAnsi="Times New Roman"/>
          <w:color w:val="000000" w:themeColor="text1"/>
          <w:sz w:val="16"/>
          <w:szCs w:val="16"/>
        </w:rPr>
        <w:softHyphen/>
        <w:t xml:space="preserve">душные схватки и вести маневренный бой. По воспоминаниям Н.П.Игнатьева, им было сказано: </w:t>
      </w:r>
      <w:r w:rsidRPr="00722885">
        <w:rPr>
          <w:rFonts w:ascii="Times New Roman" w:hAnsi="Times New Roman"/>
          <w:iCs/>
          <w:color w:val="000000" w:themeColor="text1"/>
          <w:sz w:val="16"/>
          <w:szCs w:val="16"/>
        </w:rPr>
        <w:t>«Падение И-185 на территорию, занятую противником, будет расценено, как измена Роди</w:t>
      </w:r>
      <w:r w:rsidRPr="00722885">
        <w:rPr>
          <w:rFonts w:ascii="Times New Roman" w:hAnsi="Times New Roman"/>
          <w:iCs/>
          <w:color w:val="000000" w:themeColor="text1"/>
          <w:sz w:val="16"/>
          <w:szCs w:val="16"/>
        </w:rPr>
        <w:softHyphen/>
        <w:t xml:space="preserve">не». </w:t>
      </w:r>
      <w:r w:rsidRPr="00722885">
        <w:rPr>
          <w:rFonts w:ascii="Times New Roman" w:hAnsi="Times New Roman"/>
          <w:color w:val="000000" w:themeColor="text1"/>
          <w:sz w:val="16"/>
          <w:szCs w:val="16"/>
        </w:rPr>
        <w:t>Полеты должны были проходить на высоте 3-4 тысячи метров при скорости 500-550 км/ч в за</w:t>
      </w:r>
      <w:r w:rsidRPr="00722885">
        <w:rPr>
          <w:rFonts w:ascii="Times New Roman" w:hAnsi="Times New Roman"/>
          <w:color w:val="000000" w:themeColor="text1"/>
          <w:sz w:val="16"/>
          <w:szCs w:val="16"/>
        </w:rPr>
        <w:softHyphen/>
        <w:t>висимости от погоды и на каждый вылет требо</w:t>
      </w:r>
      <w:r w:rsidRPr="00722885">
        <w:rPr>
          <w:rFonts w:ascii="Times New Roman" w:hAnsi="Times New Roman"/>
          <w:color w:val="000000" w:themeColor="text1"/>
          <w:sz w:val="16"/>
          <w:szCs w:val="16"/>
        </w:rPr>
        <w:softHyphen/>
        <w:t>валось особое разрешение командующего ар</w:t>
      </w:r>
      <w:r w:rsidRPr="00722885">
        <w:rPr>
          <w:rFonts w:ascii="Times New Roman" w:hAnsi="Times New Roman"/>
          <w:color w:val="000000" w:themeColor="text1"/>
          <w:sz w:val="16"/>
          <w:szCs w:val="16"/>
        </w:rPr>
        <w:softHyphen/>
        <w:t>мии генерал-майора М.М.Громова или его на</w:t>
      </w:r>
      <w:r w:rsidRPr="00722885">
        <w:rPr>
          <w:rFonts w:ascii="Times New Roman" w:hAnsi="Times New Roman"/>
          <w:color w:val="000000" w:themeColor="text1"/>
          <w:sz w:val="16"/>
          <w:szCs w:val="16"/>
        </w:rPr>
        <w:softHyphen/>
        <w:t>чальника штаба полковника Дагаева. 728-й истребительный авиационный полк базировался вблизи древнего русского города Старица в шестидесяти километрах вверх по Волге от Калинина. Обстановка на этом участке фронта в конце 1942 г. была хотя и напряженной, нестабильной. Проводимая летом Ржевско-Сычевская операция закончилась безрезультатно, несмотря на массированное применение круп</w:t>
      </w:r>
      <w:r w:rsidRPr="00722885">
        <w:rPr>
          <w:rFonts w:ascii="Times New Roman" w:hAnsi="Times New Roman"/>
          <w:color w:val="000000" w:themeColor="text1"/>
          <w:sz w:val="16"/>
          <w:szCs w:val="16"/>
        </w:rPr>
        <w:softHyphen/>
        <w:t>ных танковых соединений. Также без видимого результата завершилась Ржевская операция Калининского фронта (24 ноября 1942 г. - 20 янва</w:t>
      </w:r>
      <w:r w:rsidRPr="00722885">
        <w:rPr>
          <w:rFonts w:ascii="Times New Roman" w:hAnsi="Times New Roman"/>
          <w:color w:val="000000" w:themeColor="text1"/>
          <w:sz w:val="16"/>
          <w:szCs w:val="16"/>
        </w:rPr>
        <w:softHyphen/>
        <w:t>ря 1943 г.), являвшаяся отвлекающей (по распро</w:t>
      </w:r>
      <w:r w:rsidRPr="00722885">
        <w:rPr>
          <w:rFonts w:ascii="Times New Roman" w:hAnsi="Times New Roman"/>
          <w:color w:val="000000" w:themeColor="text1"/>
          <w:sz w:val="16"/>
          <w:szCs w:val="16"/>
        </w:rPr>
        <w:softHyphen/>
        <w:t>страненной версии) от основного Сталинградс</w:t>
      </w:r>
      <w:r w:rsidRPr="00722885">
        <w:rPr>
          <w:rFonts w:ascii="Times New Roman" w:hAnsi="Times New Roman"/>
          <w:color w:val="000000" w:themeColor="text1"/>
          <w:sz w:val="16"/>
          <w:szCs w:val="16"/>
        </w:rPr>
        <w:softHyphen/>
        <w:t>кого направления. Эта отвлекающая операция имела успех: немцы вплоть до лета 1943 г. держали на Ржевско-Вяземском выступе крупную группировку войск, причем не только наземную. В конце ок</w:t>
      </w:r>
      <w:r w:rsidRPr="00722885">
        <w:rPr>
          <w:rFonts w:ascii="Times New Roman" w:hAnsi="Times New Roman"/>
          <w:color w:val="000000" w:themeColor="text1"/>
          <w:sz w:val="16"/>
          <w:szCs w:val="16"/>
        </w:rPr>
        <w:softHyphen/>
        <w:t>тября 1942 г. именно сюда начали поступать пер</w:t>
      </w:r>
      <w:r w:rsidRPr="00722885">
        <w:rPr>
          <w:rFonts w:ascii="Times New Roman" w:hAnsi="Times New Roman"/>
          <w:color w:val="000000" w:themeColor="text1"/>
          <w:sz w:val="16"/>
          <w:szCs w:val="16"/>
        </w:rPr>
        <w:softHyphen/>
        <w:t>вые партии истребителей FW-190, прибывавшие на Восточный фронт. По-видимому, проведение испытаний И-185 на Калининском фронте также преследовало цель дезинформации противни</w:t>
      </w:r>
      <w:r w:rsidRPr="00722885">
        <w:rPr>
          <w:rFonts w:ascii="Times New Roman" w:hAnsi="Times New Roman"/>
          <w:color w:val="000000" w:themeColor="text1"/>
          <w:sz w:val="16"/>
          <w:szCs w:val="16"/>
        </w:rPr>
        <w:softHyphen/>
        <w:t>ка путем демонстраци присутствия на данном участке новейших истребителей (9979).</w:t>
      </w:r>
    </w:p>
    <w:p w14:paraId="281438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AD1EED3" w14:textId="77777777" w:rsidR="00FF43E2" w:rsidRPr="00722885" w:rsidRDefault="00FF43E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 декабря 1942 группа И-185 вылетела в Калинин, где находился штаб 3-й ВА - там задание на испытания ставил лично ее командующий генерал М.М. Громов, имевший огромный опыт такой работы.</w:t>
      </w:r>
    </w:p>
    <w:p w14:paraId="52C3DCA8" w14:textId="77777777" w:rsidR="00FF43E2" w:rsidRPr="00722885" w:rsidRDefault="00FF43E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связи с сугубой секретностью самолета летчикам запрещалось вступать в бой с самолетами противника и пересекать линию фронта. Громов особо подчеркнул, что падение И-185 на территории, занятой противником, будет расценивать как измену Родине. Каждый полет должен был быть согласован с его штабом. На Калининском фронте в это время обстановка была спокойная, но 24 ноября 1942 г. фронт начал крупную отвлекающую операцию, целью которой было заставить противника отвести войска со Сталинградского направления и не дать Манштейну прорваться к окруженной армии Паулюса.</w:t>
      </w:r>
    </w:p>
    <w:p w14:paraId="3EF5083A" w14:textId="77777777" w:rsidR="00FF43E2" w:rsidRPr="00722885" w:rsidRDefault="00FF43E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Перед частями 3-й ВА была поставлена задача массированными и последовательными ударами изматывать противника, оказывать непосредственную поддержку наступающим войскам, нанести удары по аэродромам противника, обеспечить прикрытие войск с воздуха и сопровождение ударных авиагрупп, а также производить воздушную разведку (17737).</w:t>
      </w:r>
    </w:p>
    <w:p w14:paraId="594961D3" w14:textId="77777777" w:rsidR="00FF43E2" w:rsidRPr="00722885" w:rsidRDefault="00FF43E2" w:rsidP="00722885">
      <w:pPr>
        <w:spacing w:after="0" w:line="240" w:lineRule="auto"/>
        <w:jc w:val="both"/>
        <w:rPr>
          <w:rFonts w:ascii="Times New Roman" w:eastAsia="Times New Roman" w:hAnsi="Times New Roman"/>
          <w:color w:val="000000" w:themeColor="text1"/>
          <w:sz w:val="16"/>
          <w:szCs w:val="16"/>
          <w:lang w:eastAsia="ru-RU"/>
        </w:rPr>
      </w:pPr>
    </w:p>
    <w:p w14:paraId="6F3AC3C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C767BBF" w14:textId="77777777" w:rsidR="00BB6316" w:rsidRPr="00722885" w:rsidRDefault="00BB6316" w:rsidP="00722885">
      <w:pPr>
        <w:pStyle w:val="Iauiue"/>
        <w:jc w:val="both"/>
        <w:rPr>
          <w:iCs/>
          <w:color w:val="000000" w:themeColor="text1"/>
          <w:sz w:val="16"/>
          <w:szCs w:val="16"/>
        </w:rPr>
      </w:pPr>
    </w:p>
    <w:p w14:paraId="287613FF" w14:textId="77777777" w:rsidR="00E6093D" w:rsidRPr="00722885" w:rsidRDefault="00E6093D" w:rsidP="00722885">
      <w:pPr>
        <w:pStyle w:val="ae"/>
        <w:spacing w:before="0" w:after="0"/>
        <w:jc w:val="both"/>
        <w:textAlignment w:val="baseline"/>
        <w:rPr>
          <w:color w:val="000000" w:themeColor="text1"/>
          <w:sz w:val="16"/>
          <w:szCs w:val="16"/>
        </w:rPr>
      </w:pPr>
      <w:r w:rsidRPr="00722885">
        <w:rPr>
          <w:color w:val="000000" w:themeColor="text1"/>
          <w:sz w:val="16"/>
          <w:szCs w:val="16"/>
        </w:rPr>
        <w:t>3 декабря 1942 НИПСВО КА посчитал, что граната РПГ-42, претерпевшая минимальные изменения, полигонные испытания выдержала и может быть допущена к войсковым испытаниям (18876).</w:t>
      </w:r>
    </w:p>
    <w:p w14:paraId="54E9EDA9" w14:textId="77777777" w:rsidR="00E6093D" w:rsidRPr="00722885" w:rsidRDefault="00E6093D" w:rsidP="00722885">
      <w:pPr>
        <w:pStyle w:val="ae"/>
        <w:spacing w:before="0" w:after="0"/>
        <w:jc w:val="both"/>
        <w:textAlignment w:val="baseline"/>
        <w:rPr>
          <w:color w:val="000000" w:themeColor="text1"/>
          <w:sz w:val="16"/>
          <w:szCs w:val="16"/>
        </w:rPr>
      </w:pPr>
    </w:p>
    <w:p w14:paraId="2D4F45EF"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3 декабря 1942 вышло Постановление ГКО № 2561 О ремонте импортных автомобилей для Красной Армии. (7065, 60-61,62-63).</w:t>
      </w:r>
    </w:p>
    <w:p w14:paraId="553ABDFC" w14:textId="77777777" w:rsidR="00BB6316" w:rsidRPr="00722885" w:rsidRDefault="00BB6316" w:rsidP="00722885">
      <w:pPr>
        <w:pStyle w:val="Iauiue"/>
        <w:tabs>
          <w:tab w:val="left" w:pos="11199"/>
        </w:tabs>
        <w:jc w:val="both"/>
        <w:rPr>
          <w:color w:val="000000" w:themeColor="text1"/>
          <w:sz w:val="16"/>
          <w:szCs w:val="16"/>
        </w:rPr>
      </w:pPr>
    </w:p>
    <w:p w14:paraId="499756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декабря 1942 года полковник Эссер сделал доклад на Военно-техни</w:t>
      </w:r>
      <w:r w:rsidRPr="00722885">
        <w:rPr>
          <w:rFonts w:ascii="Times New Roman" w:hAnsi="Times New Roman"/>
          <w:color w:val="000000" w:themeColor="text1"/>
          <w:sz w:val="16"/>
          <w:szCs w:val="16"/>
        </w:rPr>
        <w:softHyphen/>
        <w:t>ческой секции Союза германских инженеров о танках про</w:t>
      </w:r>
      <w:r w:rsidRPr="00722885">
        <w:rPr>
          <w:rFonts w:ascii="Times New Roman" w:hAnsi="Times New Roman"/>
          <w:color w:val="000000" w:themeColor="text1"/>
          <w:sz w:val="16"/>
          <w:szCs w:val="16"/>
        </w:rPr>
        <w:softHyphen/>
        <w:t>тивников гитлеровской Германии.</w:t>
      </w:r>
    </w:p>
    <w:p w14:paraId="4DDB39F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декабря 1941 года под руководством полковника Эссера группа инженеров, техников и мастеров, возглавляемая техническим советником доктором Кноппечеком по специально разработанной про</w:t>
      </w:r>
      <w:r w:rsidRPr="00722885">
        <w:rPr>
          <w:rFonts w:ascii="Times New Roman" w:hAnsi="Times New Roman"/>
          <w:color w:val="000000" w:themeColor="text1"/>
          <w:sz w:val="16"/>
          <w:szCs w:val="16"/>
        </w:rPr>
        <w:softHyphen/>
        <w:t>грамме испытывала танки противников воюющей Германии, в том числе и трофейный советский танк Т-34.</w:t>
      </w:r>
    </w:p>
    <w:p w14:paraId="6E4B6C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диаграммах, с помощью которых сравниваются различные показатели боевых машин, Т-34 выглядит прямо каким-то «заколдованным принцем». Там, где вы</w:t>
      </w:r>
      <w:r w:rsidRPr="00722885">
        <w:rPr>
          <w:rFonts w:ascii="Times New Roman" w:hAnsi="Times New Roman"/>
          <w:color w:val="000000" w:themeColor="text1"/>
          <w:sz w:val="16"/>
          <w:szCs w:val="16"/>
        </w:rPr>
        <w:softHyphen/>
        <w:t>годны максимальные показатели — калибр и начальная скорость снаря</w:t>
      </w:r>
      <w:r w:rsidRPr="00722885">
        <w:rPr>
          <w:rFonts w:ascii="Times New Roman" w:hAnsi="Times New Roman"/>
          <w:color w:val="000000" w:themeColor="text1"/>
          <w:sz w:val="16"/>
          <w:szCs w:val="16"/>
        </w:rPr>
        <w:softHyphen/>
        <w:t>да, скорость движения, удельная мощность, у Т-34 они оптимальны. И там, где выгодны минимальные показатели — расход топлива, вес, давле</w:t>
      </w:r>
      <w:r w:rsidRPr="00722885">
        <w:rPr>
          <w:rFonts w:ascii="Times New Roman" w:hAnsi="Times New Roman"/>
          <w:color w:val="000000" w:themeColor="text1"/>
          <w:sz w:val="16"/>
          <w:szCs w:val="16"/>
        </w:rPr>
        <w:softHyphen/>
        <w:t>ние на грунт, у Т-34 они тоже наиболее благоприятны. Как ни трудно, как ни больно это было Эссеру, но он был вынужден признать: «...В конструк</w:t>
      </w:r>
      <w:r w:rsidRPr="00722885">
        <w:rPr>
          <w:rFonts w:ascii="Times New Roman" w:hAnsi="Times New Roman"/>
          <w:color w:val="000000" w:themeColor="text1"/>
          <w:sz w:val="16"/>
          <w:szCs w:val="16"/>
        </w:rPr>
        <w:softHyphen/>
        <w:t>ции Т-34 умело соединены высокая огневая мощь 76-мм пушки с силь</w:t>
      </w:r>
      <w:r w:rsidRPr="00722885">
        <w:rPr>
          <w:rFonts w:ascii="Times New Roman" w:hAnsi="Times New Roman"/>
          <w:color w:val="000000" w:themeColor="text1"/>
          <w:sz w:val="16"/>
          <w:szCs w:val="16"/>
        </w:rPr>
        <w:softHyphen/>
        <w:t>ным бронированием; ... наибольшего внимания заслуживают конструк</w:t>
      </w:r>
      <w:r w:rsidRPr="00722885">
        <w:rPr>
          <w:rFonts w:ascii="Times New Roman" w:hAnsi="Times New Roman"/>
          <w:color w:val="000000" w:themeColor="text1"/>
          <w:sz w:val="16"/>
          <w:szCs w:val="16"/>
        </w:rPr>
        <w:softHyphen/>
        <w:t>ция ходовой части и малое удельное давление на грунт, дизельный двига</w:t>
      </w:r>
      <w:r w:rsidRPr="00722885">
        <w:rPr>
          <w:rFonts w:ascii="Times New Roman" w:hAnsi="Times New Roman"/>
          <w:color w:val="000000" w:themeColor="text1"/>
          <w:sz w:val="16"/>
          <w:szCs w:val="16"/>
        </w:rPr>
        <w:softHyphen/>
        <w:t>тель, обеспечивающий противопожарную защиту, имеет большое коли</w:t>
      </w:r>
      <w:r w:rsidRPr="00722885">
        <w:rPr>
          <w:rFonts w:ascii="Times New Roman" w:hAnsi="Times New Roman"/>
          <w:color w:val="000000" w:themeColor="text1"/>
          <w:sz w:val="16"/>
          <w:szCs w:val="16"/>
        </w:rPr>
        <w:softHyphen/>
        <w:t>чество новейших конструктивных решений...</w:t>
      </w:r>
    </w:p>
    <w:p w14:paraId="5E82FEE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целом, русские создали танк, который значительно превосходит наши танки и танки других наших противников. Т-34 в настоящее время явля</w:t>
      </w:r>
      <w:r w:rsidRPr="00722885">
        <w:rPr>
          <w:rFonts w:ascii="Times New Roman" w:hAnsi="Times New Roman"/>
          <w:color w:val="000000" w:themeColor="text1"/>
          <w:sz w:val="16"/>
          <w:szCs w:val="16"/>
        </w:rPr>
        <w:softHyphen/>
        <w:t>ется наилучшим из известных до этого времени танков мира..».</w:t>
      </w:r>
    </w:p>
    <w:p w14:paraId="627AA3A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самым неожиданным и обидным для фашистов сюрпризом была, конечно, моторная часть Т-34. Германия издавна гордилась тем, что она — родина дизеля. Тем горше было немцам убедиться: Советский Союз оказался единственной в мире страной, создавшей надежный, экономич</w:t>
      </w:r>
      <w:r w:rsidRPr="00722885">
        <w:rPr>
          <w:rFonts w:ascii="Times New Roman" w:hAnsi="Times New Roman"/>
          <w:color w:val="000000" w:themeColor="text1"/>
          <w:sz w:val="16"/>
          <w:szCs w:val="16"/>
        </w:rPr>
        <w:softHyphen/>
        <w:t>ный и мощный специальный танковый дизель.</w:t>
      </w:r>
    </w:p>
    <w:p w14:paraId="15E4806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мотор, — признавался Эссер, — представляет собой как в смыс</w:t>
      </w:r>
      <w:r w:rsidRPr="00722885">
        <w:rPr>
          <w:rFonts w:ascii="Times New Roman" w:hAnsi="Times New Roman"/>
          <w:color w:val="000000" w:themeColor="text1"/>
          <w:sz w:val="16"/>
          <w:szCs w:val="16"/>
        </w:rPr>
        <w:softHyphen/>
        <w:t>ле конструкции, так и по качеству обработки... безусловно, высокую сту</w:t>
      </w:r>
      <w:r w:rsidRPr="00722885">
        <w:rPr>
          <w:rFonts w:ascii="Times New Roman" w:hAnsi="Times New Roman"/>
          <w:color w:val="000000" w:themeColor="text1"/>
          <w:sz w:val="16"/>
          <w:szCs w:val="16"/>
        </w:rPr>
        <w:softHyphen/>
        <w:t>пень развития. Его удельный вес порядка 1,7 кг/л.с. Потребление горю</w:t>
      </w:r>
      <w:r w:rsidRPr="00722885">
        <w:rPr>
          <w:rFonts w:ascii="Times New Roman" w:hAnsi="Times New Roman"/>
          <w:color w:val="000000" w:themeColor="text1"/>
          <w:sz w:val="16"/>
          <w:szCs w:val="16"/>
        </w:rPr>
        <w:softHyphen/>
        <w:t>чего весьма невелико и обеспечивает машине большой радиус действия». И, действительно, В-2 был мощным танковым мотором. Именно благо</w:t>
      </w:r>
      <w:r w:rsidRPr="00722885">
        <w:rPr>
          <w:rFonts w:ascii="Times New Roman" w:hAnsi="Times New Roman"/>
          <w:color w:val="000000" w:themeColor="text1"/>
          <w:sz w:val="16"/>
          <w:szCs w:val="16"/>
        </w:rPr>
        <w:softHyphen/>
        <w:t>даря ему у Т-34 была достигнута рекордная удельная мощность 18 л.с на тонну веса танка, позволившая воплотить в нем формулу живучести бое</w:t>
      </w:r>
      <w:r w:rsidRPr="00722885">
        <w:rPr>
          <w:rFonts w:ascii="Times New Roman" w:hAnsi="Times New Roman"/>
          <w:color w:val="000000" w:themeColor="text1"/>
          <w:sz w:val="16"/>
          <w:szCs w:val="16"/>
        </w:rPr>
        <w:softHyphen/>
        <w:t>вой машины, выраженную в гармоничном триединстве: мощное воору</w:t>
      </w:r>
      <w:r w:rsidRPr="00722885">
        <w:rPr>
          <w:rFonts w:ascii="Times New Roman" w:hAnsi="Times New Roman"/>
          <w:color w:val="000000" w:themeColor="text1"/>
          <w:sz w:val="16"/>
          <w:szCs w:val="16"/>
        </w:rPr>
        <w:softHyphen/>
        <w:t>жение, надежное бронирование и высокая скорость хода.</w:t>
      </w:r>
    </w:p>
    <w:p w14:paraId="7A1DCC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году в одном из трофейных немецких танков была обнаружена брошюра, в которой некий полковник Эссер докладывал военно-техни</w:t>
      </w:r>
      <w:r w:rsidRPr="00722885">
        <w:rPr>
          <w:rFonts w:ascii="Times New Roman" w:hAnsi="Times New Roman"/>
          <w:color w:val="000000" w:themeColor="text1"/>
          <w:sz w:val="16"/>
          <w:szCs w:val="16"/>
        </w:rPr>
        <w:softHyphen/>
        <w:t>ческой секции союза германских инженеров свои выводы о танках про</w:t>
      </w:r>
      <w:r w:rsidRPr="00722885">
        <w:rPr>
          <w:rFonts w:ascii="Times New Roman" w:hAnsi="Times New Roman"/>
          <w:color w:val="000000" w:themeColor="text1"/>
          <w:sz w:val="16"/>
          <w:szCs w:val="16"/>
        </w:rPr>
        <w:softHyphen/>
        <w:t>тивников гитлеровской Германии (11504).</w:t>
      </w:r>
    </w:p>
    <w:p w14:paraId="6444AE7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9E658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декабря 1942 г. по приказу НКЭП Ленинградский институт приборостроения реорганизован в ГС завод №531 НКЭП (ГС завод № 531 НКЭП, МЭП, ГС ленинградский завод электроизмерительных приборов «Вибратор» МЭП, МПиСА, Приборостроительное АООТ, ОАО «Приборостроительный завод «Вибратор» /г. Ленинград/ /194292  г. Санкт-Петербург промзона Парнас 2-й Верхний пер., 5А/).</w:t>
      </w:r>
    </w:p>
    <w:p w14:paraId="54D0EE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03.1944 г. на завод № 531 НКЭП с завода № 149 НКАП переданы работы по морским измерительным приборам. Производство приборов. За время блокады изготовлено около 100 тыс. приборов.</w:t>
      </w:r>
    </w:p>
    <w:p w14:paraId="6E5D0A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1946 г. завод - в ведении МЭП. По приказу МЭП от 10.06.1954 г. завод № 531 переименован в ГС ленинградский завод электроизмерительных приборов «Вибратор». С 06.1957 г. завод - в ведении Управления приборостроительной промышленности ЛенСНХ, с 1958 г.- Управления агрегатостроения и приборостроения ЛенСНХ, с 19.11.1965 г. - ГУ по производству электроизмерительных прибров и средств точной механики МПиСА.</w:t>
      </w:r>
      <w:r w:rsidRPr="00722885">
        <w:rPr>
          <w:rFonts w:ascii="Times New Roman" w:hAnsi="Times New Roman"/>
          <w:color w:val="000000" w:themeColor="text1"/>
          <w:sz w:val="16"/>
          <w:szCs w:val="16"/>
          <w:vertAlign w:val="superscript"/>
        </w:rPr>
        <w:t>131</w:t>
      </w:r>
    </w:p>
    <w:p w14:paraId="0257FC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завод акционирован и преобразован в Приборостроительное АООТ, а затем - ОАО «Приборостроительный завод «Вибратор».</w:t>
      </w:r>
    </w:p>
    <w:p w14:paraId="047AC7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Отраслевая лаборатория измерений (ОЛИЗ) НКАП, НКЭП, Всероссийский институт по приборостроению (ВИЭП), Ленинградский институт приборостроения</w:t>
      </w:r>
    </w:p>
    <w:p w14:paraId="7537AE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ОЛИЗ организована в 1937 г. По Указу Президиума ВС СССР от 17.04.1940 г. ОЛИЗ передана из 7ГУ НКАП в НКЭП. В 01.1941 г. на базе ОЛИЗ создан Всероссийский институт по приборостроению (ВИЭП, далее- завод № 531 НКЭП).</w:t>
      </w:r>
    </w:p>
    <w:p w14:paraId="74400B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02-03.1942 г. группа из 14 специалистов института переведена на завод № 634 НКЭП в Омск (11982).</w:t>
      </w:r>
    </w:p>
    <w:p w14:paraId="57FC2C3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038A94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8C2A8DD" w14:textId="77777777" w:rsidR="00BB6316" w:rsidRPr="00722885" w:rsidRDefault="00BB6316" w:rsidP="00722885">
      <w:pPr>
        <w:pStyle w:val="Iauiue"/>
        <w:jc w:val="both"/>
        <w:rPr>
          <w:iCs/>
          <w:color w:val="000000" w:themeColor="text1"/>
          <w:sz w:val="16"/>
          <w:szCs w:val="16"/>
        </w:rPr>
      </w:pPr>
    </w:p>
    <w:p w14:paraId="7ED4F63B"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3 декабря </w:t>
      </w:r>
      <w:r w:rsidRPr="00722885">
        <w:rPr>
          <w:rFonts w:ascii="Times New Roman" w:hAnsi="Times New Roman"/>
          <w:color w:val="000000" w:themeColor="text1"/>
          <w:sz w:val="16"/>
          <w:szCs w:val="16"/>
        </w:rPr>
        <w:t>в 1942 году утреннее сообщение Совинформбюро:</w:t>
      </w:r>
    </w:p>
    <w:p w14:paraId="4AF73CBC"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 декабря в районе Сталинграда и на Центральном фронте наши войска продолжали наступление на прежних направлениях.</w:t>
      </w:r>
    </w:p>
    <w:p w14:paraId="09E1DBBB"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северной части города Сталинграда наш разведывательный отряд совершил ночную вылазку и выбил немцев из нескольких дзотов. В заводском районе советские артиллеристы уничтожили 2 вражеских орудия, 5 пулемётных точек и 8 автомашин с боеприпасами.</w:t>
      </w:r>
    </w:p>
    <w:p w14:paraId="38B749D5"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Н-ская часть в результате упорного боя заняла укреплённую высоту. Разрушено 27 вражеских дзотов и блиндажей. Разгромлен батальон немецкой пехоты. Захвачено 4 орудия, 7 пулемётов, 2 миномёта, 35 автоматов и много винтовок. На другом участке отбиты три контратаки противника. На поле боя осталось до 600 вражеских трупов.</w:t>
      </w:r>
    </w:p>
    <w:p w14:paraId="6A98535B"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укрепляли занятые позиции и на отдельных участках вели наступательные операции. В бою на подступах к населённому пункту бойцы Н-ской части уничтожили 300 вражеских солдат и офицеров, 3 танка и 2 самоходные пушки. На другом участке советские артиллеристы взорвали большой склад боеприпасов.</w:t>
      </w:r>
    </w:p>
    <w:p w14:paraId="70C2C83C"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Нашей авиацией и огнём зенитной артиллерии сбито 7 немецких самолётов, в том числе 4 транспортных трёхмоторных самолёта противника.</w:t>
      </w:r>
    </w:p>
    <w:p w14:paraId="7B88A180"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наступление. В районе восточнее Великих Лук бойцы части, где командиром тов. Михайлов, отразили три контратаки немцев, продвинулись вперёд и освободили ряд населённых пунктов. Уничтожено более 600 немецких солдат и офицеров, подбито и сожжено 6 танков противника. Захвачены трофеи: 16 орудий, 9 пулемётов, 5 автомашин, 11 тысяч снарядов и 60 тысяч патронов. Западнее Ржева наши танкисты за два дня уничтожили 800 гитлеровцев. Захвачено 5 орудий, 3 миномёта, 3 радиостанции и 2 склада с боеприпасами противника.</w:t>
      </w:r>
    </w:p>
    <w:p w14:paraId="43A8A782"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 подразделения за два дня истребили до 600 вражеских солдат и офицеров. Огнём советской артиллерии разрушено 9 дзотов и 5 блиндажей, уничтожено 2 противотанковых орудия и 11 станковых пулемётов противника. В воздушном бою на подступах к Ленинграду сбит немецкий самолёт.</w:t>
      </w:r>
    </w:p>
    <w:p w14:paraId="382EF161"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смоленских партизан за период своей боевой деятельности пустил под откос 6 железнодорожных эшелонов противника. В боях с оккупантами советские патриоты истребили свыше 800 немецких солдат и офицеров.</w:t>
      </w:r>
    </w:p>
    <w:p w14:paraId="7BEEF731"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войска, наступающие северо-западнее Сталинграда, захватили немецкий концентрационный лагерь, в котором находились мирные советские граждане. Освобождённые из фашистской неволи Александр Баксичев, Михаил Митрейчев и Василий Львов рассказывают: «Мы пробыли в лагере два месяца. Немцы измывались над нами, кормили падалью, часто по нескольку дней не давали ни крошки хлеба. Голодных и раздетых немцы гоняли на работу. Больных и выбившихся из сил они расстреливали. Гитлеровцы ограбили население Чернышевского района, забрали продовольствие, коров, свиней, овец и кур. Бандиты глумились над женщинами и девушками».</w:t>
      </w:r>
    </w:p>
    <w:p w14:paraId="198E14A7"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патриоты усиливают борьбу против немецких захватчиков. Близ Тулона группа вооружённых французов обстреляла немецкую автоколонну. В Марселе неизвестные бросили бомбу в помещение немецкого штаба. Возле Шербурга пущен под откос воинский поезд оккупантов. В результате крушения убито много немецких солдат.» (14849).</w:t>
      </w:r>
    </w:p>
    <w:p w14:paraId="7ABB1C43" w14:textId="77777777" w:rsidR="00205FD3" w:rsidRPr="00722885" w:rsidRDefault="00205FD3" w:rsidP="00722885">
      <w:pPr>
        <w:spacing w:after="0" w:line="240" w:lineRule="auto"/>
        <w:jc w:val="both"/>
        <w:rPr>
          <w:rFonts w:ascii="Times New Roman" w:hAnsi="Times New Roman"/>
          <w:color w:val="000000" w:themeColor="text1"/>
          <w:sz w:val="16"/>
          <w:szCs w:val="16"/>
        </w:rPr>
      </w:pPr>
    </w:p>
    <w:p w14:paraId="77382F1F"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3 декабря </w:t>
      </w:r>
      <w:r w:rsidRPr="00722885">
        <w:rPr>
          <w:rFonts w:ascii="Times New Roman" w:hAnsi="Times New Roman"/>
          <w:color w:val="000000" w:themeColor="text1"/>
          <w:sz w:val="16"/>
          <w:szCs w:val="16"/>
        </w:rPr>
        <w:t>в 1942 году вечернее сообщение Совинформбюро:</w:t>
      </w:r>
    </w:p>
    <w:p w14:paraId="4174B0F9"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 декабря наши войска в районе города Сталинграда и на Центральномфронте, преодолевая упорное сопротивление противника, продолжали наступление на прежних направлениях.</w:t>
      </w:r>
    </w:p>
    <w:p w14:paraId="34B60BE9"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 декабря в районе Сталинграда наши лётчики уничтожили до 50 немецких самолётов, в том числе 40 трёхмоторных транспортных самолётов.</w:t>
      </w:r>
    </w:p>
    <w:p w14:paraId="46F3C01D"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декабря частями нашей авиации на различных участках фронта уничтожено 10 немецких танков, до 50 автомашин с войсками и различными грузами, подавлен огонь 6 артиллерийских батарей, рассеяно и частью уничтожено до батальона пехоты противника.</w:t>
      </w:r>
    </w:p>
    <w:p w14:paraId="101DE38B"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подразделения выбили немцев из ряда зданий и уничтожили до роты вражеских солдат и офицеров. На южной окраине города наши части в результате ожесточённых боёв заняли укреплённый пункт противника, прикрывавший фланг немецкой группировки. На поле боя остались сотни вражеских трупов. Захвачены трофеи и пленные.</w:t>
      </w:r>
    </w:p>
    <w:p w14:paraId="65AEF827"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левом берегу реки Дон, бойцы части, где командиром тов. Мишинский, вместе с танкистами под командованием тов. Грановского атаковали сильно укреплённую высоту. Немцы оказали отчаянное сопротивление. В результате ожесточённого боя, доходившего до рукопашных схваток, наши бойцы овладели высотой. Уничтожено более 300 гитлеровцев, 5 орудийи 10 блиндажей с их гарнизонами.</w:t>
      </w:r>
    </w:p>
    <w:p w14:paraId="0472D3E7"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части на отдельных участках вели наступление. Уничтожено до 1.200 вражеских солдат и офицеров, 13 танков и бронемашин, 90 автомашин, 8 миномётов, 23 пулемёта, разрушено 28 дзотов и 52 блиндажа. На других участках наши части вели силовую разведку и истребляли мелкие группы противника.</w:t>
      </w:r>
    </w:p>
    <w:p w14:paraId="4437EF54"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Центральном фронте наши войска продолжали вести наступательные операции.Восточнее Великих Лук советские части, отражая неоднократные контратаки, уничтожали опорные пункты противника. Бойцы Н-ской части в течение дня истребили свыше 600 немецких солдат и офицеров. В этом бою старший сержант Душкин прямой наводкой из орудия подбил 4 немецких танка.</w:t>
      </w:r>
    </w:p>
    <w:p w14:paraId="30E53C03"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Ржева наши части, преодолевая упорное сопротивление противника, продвигались вперёд. Н-ская часть прорвала сильно укреплённую полосу немцев, вышла на железнодорожную ветку и захватила станцию. Другая наша часть освободилаот немецких захватчиков ряд населённых пунктов, уничтожив при этом 6 танков, 150 автомашин и до 1.000 солдат и офицеров противника.</w:t>
      </w:r>
    </w:p>
    <w:p w14:paraId="653C1867"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Смоленской области, в течение ноября месяца провёл ряд успешных операций. Партизаны истребили 85 немецких солдат и офицеров, уничтожили 6 грузовых и 1 легковую автомашину, 2 мотоцикла, 5 подвод и разрушили до километра телефонной связи. Другой отряд смоленских партизан пустил под откос два поезда с немецкими солдатами, следовавшие к линии фронта.</w:t>
      </w:r>
    </w:p>
    <w:p w14:paraId="4D81150A"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взята в плен большая группа солдат 305 немецкой пехотной дивизии. Пленный солдат 305 артиллерийского полка Гюнтер Вальц рассказал: «Уже в октябре многие солдаты сильно страдали от холода. Офицеры нас утешали, заявляя, что командование учло уроки прошлогодней зимы, и в этом году солдаты будут снабжены всем необходимым. Мы терпеливо ждали. В начале ноября начали выдавать долгожданное зимнее обмундирование. Солдаты были разочарованы. Нам выдали старые перчатки, поношенные подшлемники и набрюшники. На каждый взвод выдали по 5 пар эрзац-валенок — соломенные боты на деревянной подошве или соломенные лапти с подошвами, залитыми гудроном. Эти так называемые валенки совершенно не греют, и передвигаться в них неудобно. Уходя на пост, солдат закутывается в одеяло и стоит, как чучело. Солдаты теперь говорят: «Нас ещё раз надули. Все заверения отом, что немецкая армия хорошо подготовлена к зиме, есть не что иное, как грубый обман. Мы обмануты и обречены на гибель. Кто избежит смерти в бою, тот неминуемо погибнет от холода, замёрзнет в русских сугробах» (14849).</w:t>
      </w:r>
    </w:p>
    <w:p w14:paraId="6C10F081" w14:textId="77777777" w:rsidR="00205FD3" w:rsidRPr="00722885" w:rsidRDefault="00205FD3" w:rsidP="00722885">
      <w:pPr>
        <w:spacing w:after="0" w:line="240" w:lineRule="auto"/>
        <w:jc w:val="both"/>
        <w:rPr>
          <w:rFonts w:ascii="Times New Roman" w:hAnsi="Times New Roman"/>
          <w:color w:val="000000" w:themeColor="text1"/>
          <w:sz w:val="16"/>
          <w:szCs w:val="16"/>
        </w:rPr>
      </w:pPr>
    </w:p>
    <w:p w14:paraId="60E776D4"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3 декабря </w:t>
      </w:r>
      <w:r w:rsidRPr="00722885">
        <w:rPr>
          <w:rFonts w:ascii="Times New Roman" w:hAnsi="Times New Roman"/>
          <w:color w:val="000000" w:themeColor="text1"/>
          <w:sz w:val="16"/>
          <w:szCs w:val="16"/>
        </w:rPr>
        <w:t>в 1942 году советские войска прорывают германский фронт подо Ржевом (14849).</w:t>
      </w:r>
    </w:p>
    <w:p w14:paraId="2AC6877F" w14:textId="77777777" w:rsidR="00205FD3" w:rsidRPr="00722885" w:rsidRDefault="00205FD3" w:rsidP="00722885">
      <w:pPr>
        <w:spacing w:after="0" w:line="240" w:lineRule="auto"/>
        <w:jc w:val="both"/>
        <w:rPr>
          <w:rFonts w:ascii="Times New Roman" w:hAnsi="Times New Roman"/>
          <w:color w:val="000000" w:themeColor="text1"/>
          <w:sz w:val="16"/>
          <w:szCs w:val="16"/>
        </w:rPr>
      </w:pPr>
    </w:p>
    <w:p w14:paraId="1D48DCDE"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3 декабря </w:t>
      </w:r>
      <w:r w:rsidRPr="00722885">
        <w:rPr>
          <w:rFonts w:ascii="Times New Roman" w:hAnsi="Times New Roman"/>
          <w:color w:val="000000" w:themeColor="text1"/>
          <w:sz w:val="16"/>
          <w:szCs w:val="16"/>
        </w:rPr>
        <w:t>в 1942 году войска Калининского фронта ликвидировали группировку немцев, окружённую в районе Ширипина (14849).</w:t>
      </w:r>
    </w:p>
    <w:p w14:paraId="0F4E004D" w14:textId="77777777" w:rsidR="00205FD3" w:rsidRPr="00722885" w:rsidRDefault="00205FD3" w:rsidP="00722885">
      <w:pPr>
        <w:spacing w:after="0" w:line="240" w:lineRule="auto"/>
        <w:jc w:val="both"/>
        <w:rPr>
          <w:rFonts w:ascii="Times New Roman" w:hAnsi="Times New Roman"/>
          <w:color w:val="000000" w:themeColor="text1"/>
          <w:sz w:val="16"/>
          <w:szCs w:val="16"/>
        </w:rPr>
      </w:pPr>
    </w:p>
    <w:p w14:paraId="3E6E40A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декабря 1942 несколько немецких дивизий, отведенных из Западной Европы, начали прибывать к Группе дон (Манштейна) с целью освобождения 6А (фон Паулюс (3819).</w:t>
      </w:r>
    </w:p>
    <w:p w14:paraId="26B3D0E4" w14:textId="77777777" w:rsidR="00BB6316" w:rsidRPr="00722885" w:rsidRDefault="00BB6316" w:rsidP="00722885">
      <w:pPr>
        <w:pStyle w:val="Iauiue"/>
        <w:jc w:val="both"/>
        <w:rPr>
          <w:color w:val="000000" w:themeColor="text1"/>
          <w:sz w:val="16"/>
          <w:szCs w:val="16"/>
        </w:rPr>
      </w:pPr>
    </w:p>
    <w:p w14:paraId="5B617C77"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3 декабря 1942 советские войска прорвали германский фронт подо Ржевом (4962).</w:t>
      </w:r>
    </w:p>
    <w:p w14:paraId="45F0BF91" w14:textId="77777777" w:rsidR="00BB6316" w:rsidRPr="00722885" w:rsidRDefault="00BB6316" w:rsidP="00722885">
      <w:pPr>
        <w:pStyle w:val="Iauiue"/>
        <w:tabs>
          <w:tab w:val="left" w:pos="11199"/>
        </w:tabs>
        <w:jc w:val="both"/>
        <w:rPr>
          <w:color w:val="000000" w:themeColor="text1"/>
          <w:sz w:val="16"/>
          <w:szCs w:val="16"/>
        </w:rPr>
      </w:pPr>
    </w:p>
    <w:p w14:paraId="3FF1EB7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C 3 по 15 декабря 1942 2 и 17 ВА нанесли удары по аэродромам и уничтожили на земле и в воздухе до 140 самолетов (340,104).</w:t>
      </w:r>
    </w:p>
    <w:p w14:paraId="3EE28972" w14:textId="77777777" w:rsidR="00BB6316" w:rsidRPr="00722885" w:rsidRDefault="00BB6316" w:rsidP="00722885">
      <w:pPr>
        <w:pStyle w:val="Iauiue"/>
        <w:jc w:val="both"/>
        <w:rPr>
          <w:color w:val="000000" w:themeColor="text1"/>
          <w:sz w:val="16"/>
          <w:szCs w:val="16"/>
        </w:rPr>
      </w:pPr>
    </w:p>
    <w:p w14:paraId="13BFBF1F"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3, 1942: Several German divisions ordered transferred from western Europe begin arriving in the area of Heeresgruppe Don (von Manstein) SW of Stalingrad in preparation of Operation Winter Tempest, the relief of the encircled 6.Armee (von Paulus) (3819).</w:t>
      </w:r>
    </w:p>
    <w:p w14:paraId="3E13C089" w14:textId="77777777" w:rsidR="00BB6316" w:rsidRPr="00722885" w:rsidRDefault="00BB6316" w:rsidP="00722885">
      <w:pPr>
        <w:pStyle w:val="Iauiue"/>
        <w:jc w:val="both"/>
        <w:rPr>
          <w:color w:val="000000" w:themeColor="text1"/>
          <w:sz w:val="16"/>
          <w:szCs w:val="16"/>
          <w:lang w:val="en-US"/>
        </w:rPr>
      </w:pPr>
    </w:p>
    <w:p w14:paraId="16CE0B0F"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798AF645" w14:textId="77777777" w:rsidR="00BB6316" w:rsidRPr="00722885" w:rsidRDefault="00BB6316" w:rsidP="00722885">
      <w:pPr>
        <w:pStyle w:val="Iauiue"/>
        <w:jc w:val="both"/>
        <w:rPr>
          <w:iCs/>
          <w:color w:val="000000" w:themeColor="text1"/>
          <w:sz w:val="16"/>
          <w:szCs w:val="16"/>
        </w:rPr>
      </w:pPr>
    </w:p>
    <w:p w14:paraId="63169B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3 и 9 декабря 1942. Из протокола заседания Политбюро № 39, 1942 г.</w:t>
      </w:r>
    </w:p>
    <w:p w14:paraId="754F76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 контроле и визировании советской прессы и радиопередач по вопросам международной жизни и внешней политики СССР </w:t>
      </w:r>
    </w:p>
    <w:p w14:paraId="048648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Всю работу по контролю и визированию советской прессы (газеты, журналы, брошюры, книги) по вопросам международной жизни и внешней политики СССР, а также радиопередачи по вопросам, связанным с внешней политикой СССР, передать из компетенции Совинформбюро в ведение Отдела Печати НКИД (как это было до войны), поручив право визирования указанных материалов члену коллегии НКИД тов. Уманскому К. А. и зав. Отделом печати НКИД тов. Пальгунову Н. Г. (11652).</w:t>
      </w:r>
    </w:p>
    <w:p w14:paraId="2EAAF7B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FEEE1BA" w14:textId="77777777" w:rsidR="00205FD3"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A569521" w14:textId="77777777" w:rsidR="00205FD3" w:rsidRPr="00722885" w:rsidRDefault="00205FD3" w:rsidP="00722885">
      <w:pPr>
        <w:pStyle w:val="Iauiue"/>
        <w:jc w:val="both"/>
        <w:rPr>
          <w:iCs/>
          <w:color w:val="000000" w:themeColor="text1"/>
          <w:sz w:val="16"/>
          <w:szCs w:val="16"/>
        </w:rPr>
      </w:pPr>
    </w:p>
    <w:p w14:paraId="0D002E5A" w14:textId="77777777" w:rsidR="00FB28B1" w:rsidRPr="00722885" w:rsidRDefault="00FB28B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 декабря 1942 бомбардировщик Vickers Wellington, специально оборудованный электронным измерительным оборудованием, впервые регистрирует частоту бортового радара Lichtenstein, используемого немецкими ночными истребителями. Эта информация позволит британцам установить оперативный глушитель для борьбы с радаром в конце апреля 1943 года (20793).</w:t>
      </w:r>
    </w:p>
    <w:p w14:paraId="5AFEF3F5" w14:textId="77777777" w:rsidR="00FB28B1" w:rsidRPr="00722885" w:rsidRDefault="00FB28B1" w:rsidP="00722885">
      <w:pPr>
        <w:spacing w:after="0" w:line="240" w:lineRule="auto"/>
        <w:jc w:val="both"/>
        <w:rPr>
          <w:rFonts w:ascii="Times New Roman" w:hAnsi="Times New Roman"/>
          <w:color w:val="0070C0"/>
          <w:sz w:val="16"/>
          <w:szCs w:val="16"/>
        </w:rPr>
      </w:pPr>
    </w:p>
    <w:p w14:paraId="26A3F6DF" w14:textId="77777777" w:rsidR="00205FD3" w:rsidRPr="00722885" w:rsidRDefault="00205FD3"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3 декабря </w:t>
      </w:r>
      <w:r w:rsidRPr="00722885">
        <w:rPr>
          <w:rFonts w:ascii="Times New Roman" w:hAnsi="Times New Roman"/>
          <w:color w:val="000000" w:themeColor="text1"/>
          <w:sz w:val="16"/>
          <w:szCs w:val="16"/>
        </w:rPr>
        <w:t>в 1942 году в связи с началом сепаратных англо-итальянских переговоров в Лиссабоне Абвер установил слежку за всеми итальянцами в Испании и Португалии (14849).</w:t>
      </w:r>
    </w:p>
    <w:p w14:paraId="7B42815B" w14:textId="77777777" w:rsidR="00205FD3" w:rsidRPr="00722885" w:rsidRDefault="00205FD3" w:rsidP="00722885">
      <w:pPr>
        <w:spacing w:after="0" w:line="240" w:lineRule="auto"/>
        <w:jc w:val="both"/>
        <w:rPr>
          <w:rFonts w:ascii="Times New Roman" w:hAnsi="Times New Roman"/>
          <w:color w:val="000000" w:themeColor="text1"/>
          <w:sz w:val="16"/>
          <w:szCs w:val="16"/>
        </w:rPr>
      </w:pPr>
    </w:p>
    <w:p w14:paraId="416970A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51476FE" w14:textId="77777777" w:rsidR="00BB6316" w:rsidRPr="00722885" w:rsidRDefault="00BB6316" w:rsidP="00722885">
      <w:pPr>
        <w:pStyle w:val="Iauiue"/>
        <w:jc w:val="both"/>
        <w:rPr>
          <w:iCs/>
          <w:color w:val="000000" w:themeColor="text1"/>
          <w:sz w:val="16"/>
          <w:szCs w:val="16"/>
        </w:rPr>
      </w:pPr>
    </w:p>
    <w:p w14:paraId="7D258F17" w14:textId="77777777" w:rsidR="00D11F22" w:rsidRPr="00722885" w:rsidRDefault="00D11F22"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4 де</w:t>
      </w:r>
      <w:r w:rsidRPr="00722885">
        <w:rPr>
          <w:color w:val="000000" w:themeColor="text1"/>
          <w:sz w:val="16"/>
          <w:szCs w:val="16"/>
        </w:rPr>
        <w:softHyphen/>
        <w:t>кабря 1942  генерал П. А. Лосюков направил на имя командующего 16 ВА письмо, в ко</w:t>
      </w:r>
      <w:r w:rsidRPr="00722885">
        <w:rPr>
          <w:color w:val="000000" w:themeColor="text1"/>
          <w:sz w:val="16"/>
          <w:szCs w:val="16"/>
        </w:rPr>
        <w:softHyphen/>
        <w:t>тором сообщал, что «для проведения войсковых испытаний на боевое применение самолета Ил-2 с пушками ОКБ-15 и самолетов Як-1 с улучшенным обзором кабины летчика в соответствии с прика</w:t>
      </w:r>
      <w:r w:rsidRPr="00722885">
        <w:rPr>
          <w:color w:val="000000" w:themeColor="text1"/>
          <w:sz w:val="16"/>
          <w:szCs w:val="16"/>
        </w:rPr>
        <w:softHyphen/>
        <w:t>зом ВВС КА за № 105 и № 106 от 3.12.42 от НИИ ВВС КА командируются: подполковник Никитин П. И., инженер-подполковник Баякин И. И., инженер-май</w:t>
      </w:r>
      <w:r w:rsidRPr="00722885">
        <w:rPr>
          <w:color w:val="000000" w:themeColor="text1"/>
          <w:sz w:val="16"/>
          <w:szCs w:val="16"/>
        </w:rPr>
        <w:softHyphen/>
        <w:t>ор Ларченко А. Н.». В этой связи он просил оказать им содействие.</w:t>
      </w:r>
    </w:p>
    <w:p w14:paraId="24EF54A0" w14:textId="77777777" w:rsidR="00D11F22" w:rsidRPr="00722885" w:rsidRDefault="00D11F22"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Известна резолюция генерала Руденко: «На</w:t>
      </w:r>
      <w:r w:rsidRPr="00722885">
        <w:rPr>
          <w:color w:val="000000" w:themeColor="text1"/>
          <w:sz w:val="16"/>
          <w:szCs w:val="16"/>
        </w:rPr>
        <w:softHyphen/>
        <w:t>чальнику штаба. Отдать приказание испытания про</w:t>
      </w:r>
      <w:r w:rsidRPr="00722885">
        <w:rPr>
          <w:color w:val="000000" w:themeColor="text1"/>
          <w:sz w:val="16"/>
          <w:szCs w:val="16"/>
        </w:rPr>
        <w:softHyphen/>
        <w:t>водить в 688 шап и 220 иад. 25.12.42 п/п Руденко» (17500).</w:t>
      </w:r>
    </w:p>
    <w:p w14:paraId="0C8E4DED" w14:textId="77777777" w:rsidR="00D11F22" w:rsidRPr="00722885" w:rsidRDefault="00D11F22" w:rsidP="00722885">
      <w:pPr>
        <w:spacing w:after="0" w:line="240" w:lineRule="auto"/>
        <w:jc w:val="both"/>
        <w:rPr>
          <w:rFonts w:ascii="Times New Roman" w:eastAsia="Times New Roman" w:hAnsi="Times New Roman"/>
          <w:color w:val="000000" w:themeColor="text1"/>
          <w:sz w:val="16"/>
          <w:szCs w:val="16"/>
          <w:lang w:eastAsia="ru-RU"/>
        </w:rPr>
      </w:pPr>
    </w:p>
    <w:p w14:paraId="4A5041B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декабря 1942 Репин писал А.И.Ш. письмо N 435591с:</w:t>
      </w:r>
    </w:p>
    <w:p w14:paraId="03F68B7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результате проведенных в ЦАГИ НИ и экспериментальных работ по определено лобового сопротивления спецподвесок (РО-82 и РС-82) установлено, что:</w:t>
      </w:r>
    </w:p>
    <w:p w14:paraId="2450F04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установка простых обтекателей для РО уменьшает лобовое сопротивление РО, при существующей установке на 70%.</w:t>
      </w:r>
    </w:p>
    <w:p w14:paraId="501DC4E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применение обтекателей и небольшое изменение установки РО приводит к снижению лобового сопротивления РО на 82%.</w:t>
      </w:r>
    </w:p>
    <w:p w14:paraId="2117C33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Имеющиеся материалы позволяют считать, что применение подобных обтекателей на РО, установленных на самолете Ил-2 по существующей схеме уменьшит потерю макс. скорости самолета с 14-15 км/час до 4-5 км/час при восьми РО без РС и с 24-26 км/час до 14-15 км/час при восьми РО с РС.</w:t>
      </w:r>
    </w:p>
    <w:p w14:paraId="27A8BAA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Исходя из вышеизложенного прошу Ваших указаний о внедрении обтекателей к РО на самолетах Ил-2." (1778,122).</w:t>
      </w:r>
    </w:p>
    <w:p w14:paraId="0F0E19FA" w14:textId="77777777" w:rsidR="00BB6316" w:rsidRPr="00722885" w:rsidRDefault="00BB6316" w:rsidP="00722885">
      <w:pPr>
        <w:pStyle w:val="Iauiue"/>
        <w:jc w:val="both"/>
        <w:rPr>
          <w:color w:val="000000" w:themeColor="text1"/>
          <w:sz w:val="16"/>
          <w:szCs w:val="16"/>
        </w:rPr>
      </w:pPr>
    </w:p>
    <w:p w14:paraId="3824CF85" w14:textId="77777777" w:rsidR="00FB28B1" w:rsidRPr="00722885" w:rsidRDefault="00FB28B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С 4 декабря 1942 г. 152-й полк, который получила 29 бомбардировщиков Ту-2 разных серий; воору</w:t>
      </w:r>
      <w:r w:rsidRPr="00722885">
        <w:rPr>
          <w:rFonts w:ascii="Times New Roman" w:hAnsi="Times New Roman"/>
          <w:color w:val="0070C0"/>
          <w:sz w:val="16"/>
          <w:szCs w:val="16"/>
          <w:lang w:eastAsia="ru-RU" w:bidi="ru-RU"/>
        </w:rPr>
        <w:softHyphen/>
        <w:t>женых двумя крупнокалиберными пулеме</w:t>
      </w:r>
      <w:r w:rsidRPr="00722885">
        <w:rPr>
          <w:rFonts w:ascii="Times New Roman" w:hAnsi="Times New Roman"/>
          <w:color w:val="0070C0"/>
          <w:sz w:val="16"/>
          <w:szCs w:val="16"/>
          <w:lang w:eastAsia="ru-RU" w:bidi="ru-RU"/>
        </w:rPr>
        <w:softHyphen/>
        <w:t>тами УБТ (а на одной машине смонтиро</w:t>
      </w:r>
      <w:r w:rsidRPr="00722885">
        <w:rPr>
          <w:rFonts w:ascii="Times New Roman" w:hAnsi="Times New Roman"/>
          <w:color w:val="0070C0"/>
          <w:sz w:val="16"/>
          <w:szCs w:val="16"/>
          <w:lang w:eastAsia="ru-RU" w:bidi="ru-RU"/>
        </w:rPr>
        <w:softHyphen/>
        <w:t>вали три УБТ - во всех задних установках) прини</w:t>
      </w:r>
      <w:r w:rsidRPr="00722885">
        <w:rPr>
          <w:rFonts w:ascii="Times New Roman" w:hAnsi="Times New Roman"/>
          <w:color w:val="0070C0"/>
          <w:sz w:val="16"/>
          <w:szCs w:val="16"/>
          <w:lang w:eastAsia="ru-RU" w:bidi="ru-RU"/>
        </w:rPr>
        <w:softHyphen/>
        <w:t>мал участие в боевых операциях на Кали</w:t>
      </w:r>
      <w:r w:rsidRPr="00722885">
        <w:rPr>
          <w:rFonts w:ascii="Times New Roman" w:hAnsi="Times New Roman"/>
          <w:color w:val="0070C0"/>
          <w:sz w:val="16"/>
          <w:szCs w:val="16"/>
          <w:lang w:eastAsia="ru-RU" w:bidi="ru-RU"/>
        </w:rPr>
        <w:softHyphen/>
        <w:t>нинском фронте. Его самолеты наносили удары по целям у передовой, а также по различным объектам в районе Смо</w:t>
      </w:r>
      <w:r w:rsidRPr="00722885">
        <w:rPr>
          <w:rFonts w:ascii="Times New Roman" w:hAnsi="Times New Roman"/>
          <w:color w:val="0070C0"/>
          <w:sz w:val="16"/>
          <w:szCs w:val="16"/>
          <w:lang w:eastAsia="ru-RU" w:bidi="ru-RU"/>
        </w:rPr>
        <w:softHyphen/>
        <w:t>ленска, Витебска и Великих Лук. Летали днем, обычно без сопровождения истре</w:t>
      </w:r>
      <w:r w:rsidRPr="00722885">
        <w:rPr>
          <w:rFonts w:ascii="Times New Roman" w:hAnsi="Times New Roman"/>
          <w:color w:val="0070C0"/>
          <w:sz w:val="16"/>
          <w:szCs w:val="16"/>
          <w:lang w:eastAsia="ru-RU" w:bidi="ru-RU"/>
        </w:rPr>
        <w:softHyphen/>
        <w:t>бителей. Как пикировщики Ту-2 не ис</w:t>
      </w:r>
      <w:r w:rsidRPr="00722885">
        <w:rPr>
          <w:rFonts w:ascii="Times New Roman" w:hAnsi="Times New Roman"/>
          <w:color w:val="0070C0"/>
          <w:sz w:val="16"/>
          <w:szCs w:val="16"/>
          <w:lang w:eastAsia="ru-RU" w:bidi="ru-RU"/>
        </w:rPr>
        <w:softHyphen/>
        <w:t>пользовали, работали только с горизон</w:t>
      </w:r>
      <w:r w:rsidRPr="00722885">
        <w:rPr>
          <w:rFonts w:ascii="Times New Roman" w:hAnsi="Times New Roman"/>
          <w:color w:val="0070C0"/>
          <w:sz w:val="16"/>
          <w:szCs w:val="16"/>
          <w:lang w:eastAsia="ru-RU" w:bidi="ru-RU"/>
        </w:rPr>
        <w:softHyphen/>
        <w:t>тального полета. В частности, 15 дека</w:t>
      </w:r>
      <w:r w:rsidRPr="00722885">
        <w:rPr>
          <w:rFonts w:ascii="Times New Roman" w:hAnsi="Times New Roman"/>
          <w:color w:val="0070C0"/>
          <w:sz w:val="16"/>
          <w:szCs w:val="16"/>
          <w:lang w:eastAsia="ru-RU" w:bidi="ru-RU"/>
        </w:rPr>
        <w:softHyphen/>
        <w:t>бря 12 Ту-2 бомбили скопление войск и техники у станции Сычевка, сбросив по 2000 кг бомб каждый. В конце дека</w:t>
      </w:r>
      <w:r w:rsidRPr="00722885">
        <w:rPr>
          <w:rFonts w:ascii="Times New Roman" w:hAnsi="Times New Roman"/>
          <w:color w:val="0070C0"/>
          <w:sz w:val="16"/>
          <w:szCs w:val="16"/>
          <w:lang w:eastAsia="ru-RU" w:bidi="ru-RU"/>
        </w:rPr>
        <w:softHyphen/>
        <w:t>бря организовали налет на окруженный в Великих Луках немецкий гарнизон. Са</w:t>
      </w:r>
      <w:r w:rsidRPr="00722885">
        <w:rPr>
          <w:rFonts w:ascii="Times New Roman" w:hAnsi="Times New Roman"/>
          <w:color w:val="0070C0"/>
          <w:sz w:val="16"/>
          <w:szCs w:val="16"/>
          <w:lang w:eastAsia="ru-RU" w:bidi="ru-RU"/>
        </w:rPr>
        <w:softHyphen/>
        <w:t>молеты несли бомбы ФАБ-1000, которые сбросили с высоты 1000 м. Внизу остались двадцатиметровые воронки. В радиусе 50-70 м от места падения бомб все было разрушено. Результаты налета признали «достаточно эффективными».</w:t>
      </w:r>
    </w:p>
    <w:p w14:paraId="7739EAD1" w14:textId="77777777" w:rsidR="00FB28B1" w:rsidRPr="00722885" w:rsidRDefault="00FB28B1"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lang w:eastAsia="ru-RU" w:bidi="ru-RU"/>
        </w:rPr>
        <w:t>Летали с полевых аэродромов, устро</w:t>
      </w:r>
      <w:r w:rsidRPr="00722885">
        <w:rPr>
          <w:rFonts w:ascii="Times New Roman" w:hAnsi="Times New Roman"/>
          <w:color w:val="0070C0"/>
          <w:sz w:val="16"/>
          <w:szCs w:val="16"/>
          <w:lang w:eastAsia="ru-RU" w:bidi="ru-RU"/>
        </w:rPr>
        <w:softHyphen/>
        <w:t>енных на заснеженных полях, окружен</w:t>
      </w:r>
      <w:r w:rsidRPr="00722885">
        <w:rPr>
          <w:rFonts w:ascii="Times New Roman" w:hAnsi="Times New Roman"/>
          <w:color w:val="0070C0"/>
          <w:sz w:val="16"/>
          <w:szCs w:val="16"/>
          <w:lang w:eastAsia="ru-RU" w:bidi="ru-RU"/>
        </w:rPr>
        <w:softHyphen/>
        <w:t>ных лесом. Взлетную полосу и рулежные дорожки утрамбовывали и плотно ука</w:t>
      </w:r>
      <w:r w:rsidRPr="00722885">
        <w:rPr>
          <w:rFonts w:ascii="Times New Roman" w:hAnsi="Times New Roman"/>
          <w:color w:val="0070C0"/>
          <w:sz w:val="16"/>
          <w:szCs w:val="16"/>
          <w:lang w:eastAsia="ru-RU" w:bidi="ru-RU"/>
        </w:rPr>
        <w:softHyphen/>
        <w:t>тывали. Подготовка самолета к старту (в условиях зимы) занимала полтора - два часа. На земле машины рассредото</w:t>
      </w:r>
      <w:r w:rsidRPr="00722885">
        <w:rPr>
          <w:rFonts w:ascii="Times New Roman" w:hAnsi="Times New Roman"/>
          <w:color w:val="0070C0"/>
          <w:sz w:val="16"/>
          <w:szCs w:val="16"/>
          <w:lang w:eastAsia="ru-RU" w:bidi="ru-RU"/>
        </w:rPr>
        <w:softHyphen/>
        <w:t>чивали среди деревьев, укрывая сверху маскировочными сетями (21060).</w:t>
      </w:r>
    </w:p>
    <w:p w14:paraId="03F25B66" w14:textId="77777777" w:rsidR="00FB28B1" w:rsidRPr="00722885" w:rsidRDefault="00FB28B1" w:rsidP="00722885">
      <w:pPr>
        <w:spacing w:after="0" w:line="240" w:lineRule="auto"/>
        <w:jc w:val="both"/>
        <w:rPr>
          <w:rFonts w:ascii="Times New Roman" w:hAnsi="Times New Roman"/>
          <w:color w:val="0070C0"/>
          <w:sz w:val="16"/>
          <w:szCs w:val="16"/>
          <w:lang w:eastAsia="ru-RU" w:bidi="ru-RU"/>
        </w:rPr>
      </w:pPr>
    </w:p>
    <w:p w14:paraId="2B0735D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декабря 1942 Зам. НКАП Дементьев, Дир. завода 21 Агаджанов, ГК завода 21 С.А.Л. и Ст. военпред ГУ ВВС Ярошенко писали письмо N 3204с НКАП А.И.Ш.:</w:t>
      </w:r>
    </w:p>
    <w:p w14:paraId="4EA9E89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целях обеспечения решения ГКО от 15 ноября 1942 и во исполнение Вашего приказания, на заводе 21 были проведены следующие работы:</w:t>
      </w:r>
    </w:p>
    <w:p w14:paraId="674C3D5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 увеличению максимальных скоростей</w:t>
      </w:r>
    </w:p>
    <w:p w14:paraId="72D95E8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серийном самолете N 8-50 проведена:</w:t>
      </w:r>
    </w:p>
    <w:p w14:paraId="180C8F4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особо тщательная герметизация внутреннего и внешнего капотов мотора</w:t>
      </w:r>
    </w:p>
    <w:p w14:paraId="34E0703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изменена форма всасывающего патрубка</w:t>
      </w:r>
    </w:p>
    <w:p w14:paraId="213E431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изменена форма туннеля маслорадиатора</w:t>
      </w:r>
    </w:p>
    <w:p w14:paraId="6CA0203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г) изменено выходное сечение выхлопа</w:t>
      </w:r>
    </w:p>
    <w:p w14:paraId="5600E8E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 улучшена внешняя отделка...</w:t>
      </w:r>
    </w:p>
    <w:p w14:paraId="7BF3906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lastRenderedPageBreak/>
        <w:t>Получили скорости у земли 530-565 км/час и на 3250 - 590 км/час</w:t>
      </w:r>
    </w:p>
    <w:p w14:paraId="49F798E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серийном N 8-71 было произведено:</w:t>
      </w:r>
    </w:p>
    <w:p w14:paraId="3AB0EB7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нормальная герметизация капотов</w:t>
      </w:r>
    </w:p>
    <w:p w14:paraId="304549F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изменена форма всасывающего патрубка</w:t>
      </w:r>
    </w:p>
    <w:p w14:paraId="6D340CA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изменена форма туннеля маслорадиатора</w:t>
      </w:r>
    </w:p>
    <w:p w14:paraId="00D6672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г) улучшена внешняя отделка...</w:t>
      </w:r>
    </w:p>
    <w:p w14:paraId="3C3FAF5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Получили скорости у земли 519-547 км/час и на 3200 - 576 км/час</w:t>
      </w:r>
    </w:p>
    <w:p w14:paraId="723564B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серийном N 8-53 было произведено:</w:t>
      </w:r>
    </w:p>
    <w:p w14:paraId="056648F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нормальная герметизация капотов</w:t>
      </w:r>
    </w:p>
    <w:p w14:paraId="400A802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улучшена внешняя отделка.</w:t>
      </w:r>
    </w:p>
    <w:p w14:paraId="6DE3302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Получили скорости у земли 519-550 км/час и на 2700 - 569 км/час...</w:t>
      </w:r>
    </w:p>
    <w:p w14:paraId="3FBA6BA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В серийное производство на ла-5 с 1-го декабря внедрено:</w:t>
      </w:r>
    </w:p>
    <w:p w14:paraId="6DBFF34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внутренняя и внешняя герметизация капотов</w:t>
      </w:r>
    </w:p>
    <w:p w14:paraId="77E3D07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улучшенная внешняя отделка самолета,</w:t>
      </w:r>
    </w:p>
    <w:p w14:paraId="79C051F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усилен контроль за монтажом бензо и масло системы и и гидропроводки...</w:t>
      </w:r>
    </w:p>
    <w:p w14:paraId="6216807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В серийное производство внедрены мероприятия, дополнительно увеличивающие прочность предкрылка и обеспечивающие плавное его открытие.</w:t>
      </w:r>
    </w:p>
    <w:p w14:paraId="144B7DE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Самолет Ла-5 с весом 3200 кг с улучшенным задним обзором, заканчивает гос. испытания в НИИ ВВС и запущен серией в производство...(2519).</w:t>
      </w:r>
    </w:p>
    <w:p w14:paraId="2F298F29" w14:textId="77777777" w:rsidR="00BB6316" w:rsidRPr="00722885" w:rsidRDefault="00BB6316" w:rsidP="00722885">
      <w:pPr>
        <w:pStyle w:val="Iauiue"/>
        <w:jc w:val="both"/>
        <w:rPr>
          <w:color w:val="000000" w:themeColor="text1"/>
          <w:sz w:val="16"/>
          <w:szCs w:val="16"/>
        </w:rPr>
      </w:pPr>
    </w:p>
    <w:p w14:paraId="6865F0FB"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декабря 1942 г. М.Л. Миль в своем письме, направленном Военному Совету УралВО, пишет:</w:t>
      </w:r>
    </w:p>
    <w:p w14:paraId="29DACC43"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«Разработанный в настоящее время реактивный снаряд, с этим же весом, что и РС-82, пробивает тяжелую броню на этом же расстоянии».</w:t>
      </w:r>
    </w:p>
    <w:p w14:paraId="49DB0294"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Миль также писал: «Из одной из первых установок произведена стрельба одним из авторов непосредственно. В настоящее время изготовлено три образца описанного ниже типа, которые готовы к испытаниям на прицельность и кучность боя» (15595).</w:t>
      </w:r>
    </w:p>
    <w:p w14:paraId="71FEB23E"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5308E37E" w14:textId="77777777" w:rsidR="00E6093D" w:rsidRPr="00722885" w:rsidRDefault="00E6093D" w:rsidP="00722885">
      <w:pPr>
        <w:pStyle w:val="ae"/>
        <w:spacing w:before="0" w:after="0"/>
        <w:jc w:val="both"/>
        <w:textAlignment w:val="baseline"/>
        <w:rPr>
          <w:color w:val="000000" w:themeColor="text1"/>
          <w:sz w:val="16"/>
          <w:szCs w:val="16"/>
        </w:rPr>
      </w:pPr>
      <w:r w:rsidRPr="00722885">
        <w:rPr>
          <w:color w:val="000000" w:themeColor="text1"/>
          <w:sz w:val="16"/>
          <w:szCs w:val="16"/>
        </w:rPr>
        <w:t>4 декабря 1942 г. Миль писал:</w:t>
      </w:r>
    </w:p>
    <w:p w14:paraId="170C3311" w14:textId="77777777" w:rsidR="00E6093D" w:rsidRPr="00722885" w:rsidRDefault="00E6093D" w:rsidP="00722885">
      <w:pPr>
        <w:pStyle w:val="ae"/>
        <w:spacing w:before="0" w:after="0"/>
        <w:jc w:val="both"/>
        <w:textAlignment w:val="baseline"/>
        <w:rPr>
          <w:color w:val="000000" w:themeColor="text1"/>
          <w:sz w:val="16"/>
          <w:szCs w:val="16"/>
        </w:rPr>
      </w:pPr>
      <w:r w:rsidRPr="00722885">
        <w:rPr>
          <w:color w:val="000000" w:themeColor="text1"/>
          <w:sz w:val="16"/>
          <w:szCs w:val="16"/>
        </w:rPr>
        <w:t>«Из одной из первых установок произведена стрельба одним из авторов непосредственно. В настоящее время изготовлено три образца описанного ниже типа, которые готовы к испытаниям на прицельность и кучность боя» (18989).</w:t>
      </w:r>
    </w:p>
    <w:p w14:paraId="4A0FC1EE" w14:textId="77777777" w:rsidR="00E6093D" w:rsidRPr="00722885" w:rsidRDefault="00E6093D" w:rsidP="00722885">
      <w:pPr>
        <w:pStyle w:val="ae"/>
        <w:spacing w:before="0" w:after="0"/>
        <w:jc w:val="both"/>
        <w:textAlignment w:val="baseline"/>
        <w:rPr>
          <w:color w:val="000000" w:themeColor="text1"/>
          <w:sz w:val="16"/>
          <w:szCs w:val="16"/>
        </w:rPr>
      </w:pPr>
    </w:p>
    <w:p w14:paraId="598FAE7C"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825C1E1" w14:textId="77777777" w:rsidR="00BB6316" w:rsidRPr="00722885" w:rsidRDefault="00BB6316" w:rsidP="00722885">
      <w:pPr>
        <w:pStyle w:val="Iauiue"/>
        <w:jc w:val="both"/>
        <w:rPr>
          <w:iCs/>
          <w:color w:val="000000" w:themeColor="text1"/>
          <w:sz w:val="16"/>
          <w:szCs w:val="16"/>
        </w:rPr>
      </w:pPr>
    </w:p>
    <w:p w14:paraId="5B8BD81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декабря 1942 зенитные танки Т-90, Т-60 (з) и Т-70 (з) прибыли на испытания в Кубинку, имея следующие отличия:</w:t>
      </w:r>
    </w:p>
    <w:p w14:paraId="1EEDADD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Особенности конструкции зенитных танков: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9B487A" w:rsidRPr="00722885" w14:paraId="60816D2C" w14:textId="77777777" w:rsidTr="00CC5360">
        <w:tc>
          <w:tcPr>
            <w:tcW w:w="2394" w:type="dxa"/>
            <w:tcBorders>
              <w:top w:val="single" w:sz="12" w:space="0" w:color="auto"/>
            </w:tcBorders>
            <w:shd w:val="clear" w:color="auto" w:fill="FFFFFF"/>
          </w:tcPr>
          <w:p w14:paraId="1F33EA6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394" w:type="dxa"/>
            <w:tcBorders>
              <w:top w:val="single" w:sz="12" w:space="0" w:color="auto"/>
            </w:tcBorders>
            <w:shd w:val="clear" w:color="auto" w:fill="FFFFFF"/>
          </w:tcPr>
          <w:p w14:paraId="25B33E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Т-90</w:t>
            </w:r>
          </w:p>
        </w:tc>
        <w:tc>
          <w:tcPr>
            <w:tcW w:w="2394" w:type="dxa"/>
            <w:tcBorders>
              <w:top w:val="single" w:sz="12" w:space="0" w:color="auto"/>
            </w:tcBorders>
            <w:shd w:val="clear" w:color="auto" w:fill="FFFFFF"/>
          </w:tcPr>
          <w:p w14:paraId="6879C4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Т-70 (3)</w:t>
            </w:r>
          </w:p>
        </w:tc>
        <w:tc>
          <w:tcPr>
            <w:tcW w:w="2394" w:type="dxa"/>
            <w:tcBorders>
              <w:top w:val="single" w:sz="12" w:space="0" w:color="auto"/>
            </w:tcBorders>
            <w:shd w:val="clear" w:color="auto" w:fill="FFFFFF"/>
          </w:tcPr>
          <w:p w14:paraId="2266E5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Т-60-3</w:t>
            </w:r>
          </w:p>
        </w:tc>
      </w:tr>
      <w:tr w:rsidR="009B487A" w:rsidRPr="00722885" w14:paraId="57517D62" w14:textId="77777777" w:rsidTr="00CC5360">
        <w:tc>
          <w:tcPr>
            <w:tcW w:w="2394" w:type="dxa"/>
            <w:shd w:val="clear" w:color="auto" w:fill="FFFFFF"/>
          </w:tcPr>
          <w:p w14:paraId="604623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Спуск</w:t>
            </w:r>
          </w:p>
        </w:tc>
        <w:tc>
          <w:tcPr>
            <w:tcW w:w="2394" w:type="dxa"/>
            <w:shd w:val="clear" w:color="auto" w:fill="FFFFFF"/>
          </w:tcPr>
          <w:p w14:paraId="7DBD68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Лев.педаль - залп;</w:t>
            </w:r>
          </w:p>
        </w:tc>
        <w:tc>
          <w:tcPr>
            <w:tcW w:w="2394" w:type="dxa"/>
            <w:shd w:val="clear" w:color="auto" w:fill="FFFFFF"/>
          </w:tcPr>
          <w:p w14:paraId="665BD8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 педаль - лев. пулем;</w:t>
            </w:r>
          </w:p>
        </w:tc>
        <w:tc>
          <w:tcPr>
            <w:tcW w:w="2394" w:type="dxa"/>
            <w:shd w:val="clear" w:color="auto" w:fill="FFFFFF"/>
          </w:tcPr>
          <w:p w14:paraId="6C7ECB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Спарен, педаль - залп</w:t>
            </w:r>
          </w:p>
        </w:tc>
      </w:tr>
      <w:tr w:rsidR="009B487A" w:rsidRPr="00722885" w14:paraId="10E043AD" w14:textId="77777777" w:rsidTr="00CC5360">
        <w:tc>
          <w:tcPr>
            <w:tcW w:w="2394" w:type="dxa"/>
            <w:shd w:val="clear" w:color="auto" w:fill="FFFFFF"/>
          </w:tcPr>
          <w:p w14:paraId="6C4405E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394" w:type="dxa"/>
            <w:shd w:val="clear" w:color="auto" w:fill="FFFFFF"/>
          </w:tcPr>
          <w:p w14:paraId="08A409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 педаль - пр. Пулемет</w:t>
            </w:r>
          </w:p>
        </w:tc>
        <w:tc>
          <w:tcPr>
            <w:tcW w:w="2394" w:type="dxa"/>
            <w:shd w:val="clear" w:color="auto" w:fill="FFFFFF"/>
          </w:tcPr>
          <w:p w14:paraId="17FDE0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 Педаль - пр. пулемет</w:t>
            </w:r>
          </w:p>
        </w:tc>
        <w:tc>
          <w:tcPr>
            <w:tcW w:w="2394" w:type="dxa"/>
            <w:shd w:val="clear" w:color="auto" w:fill="FFFFFF"/>
          </w:tcPr>
          <w:p w14:paraId="0193744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07770166" w14:textId="77777777" w:rsidTr="00CC5360">
        <w:tc>
          <w:tcPr>
            <w:tcW w:w="2394" w:type="dxa"/>
            <w:shd w:val="clear" w:color="auto" w:fill="FFFFFF"/>
          </w:tcPr>
          <w:p w14:paraId="0690F7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Гильзосбор</w:t>
            </w:r>
          </w:p>
        </w:tc>
        <w:tc>
          <w:tcPr>
            <w:tcW w:w="2394" w:type="dxa"/>
            <w:shd w:val="clear" w:color="auto" w:fill="FFFFFF"/>
          </w:tcPr>
          <w:p w14:paraId="027B67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рукавам в ящик на полу башни</w:t>
            </w:r>
          </w:p>
        </w:tc>
        <w:tc>
          <w:tcPr>
            <w:tcW w:w="2394" w:type="dxa"/>
            <w:shd w:val="clear" w:color="auto" w:fill="FFFFFF"/>
          </w:tcPr>
          <w:p w14:paraId="534551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Отражение и выброс наружу</w:t>
            </w:r>
          </w:p>
        </w:tc>
        <w:tc>
          <w:tcPr>
            <w:tcW w:w="2394" w:type="dxa"/>
            <w:shd w:val="clear" w:color="auto" w:fill="FFFFFF"/>
          </w:tcPr>
          <w:p w14:paraId="2559F77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r>
      <w:tr w:rsidR="009B487A" w:rsidRPr="00722885" w14:paraId="0CFF4360" w14:textId="77777777" w:rsidTr="00CC5360">
        <w:tc>
          <w:tcPr>
            <w:tcW w:w="2394" w:type="dxa"/>
            <w:shd w:val="clear" w:color="auto" w:fill="FFFFFF"/>
          </w:tcPr>
          <w:p w14:paraId="7B7D5A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Взвод</w:t>
            </w:r>
          </w:p>
        </w:tc>
        <w:tc>
          <w:tcPr>
            <w:tcW w:w="2394" w:type="dxa"/>
            <w:shd w:val="clear" w:color="auto" w:fill="FFFFFF"/>
          </w:tcPr>
          <w:p w14:paraId="131445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Кач. рычагом до угла 20° выше - за подвижн. части</w:t>
            </w:r>
          </w:p>
        </w:tc>
        <w:tc>
          <w:tcPr>
            <w:tcW w:w="2394" w:type="dxa"/>
            <w:shd w:val="clear" w:color="auto" w:fill="FFFFFF"/>
          </w:tcPr>
          <w:p w14:paraId="0BC4B2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Гильзой, или вставной рукояткой</w:t>
            </w:r>
          </w:p>
        </w:tc>
        <w:tc>
          <w:tcPr>
            <w:tcW w:w="2394" w:type="dxa"/>
            <w:shd w:val="clear" w:color="auto" w:fill="FFFFFF"/>
          </w:tcPr>
          <w:p w14:paraId="1407DE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Гильзой</w:t>
            </w:r>
          </w:p>
        </w:tc>
      </w:tr>
      <w:tr w:rsidR="009B487A" w:rsidRPr="00722885" w14:paraId="33C82CB7" w14:textId="77777777" w:rsidTr="00CC5360">
        <w:tc>
          <w:tcPr>
            <w:tcW w:w="2394" w:type="dxa"/>
            <w:shd w:val="clear" w:color="auto" w:fill="FFFFFF"/>
          </w:tcPr>
          <w:p w14:paraId="37C86C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лин. огня</w:t>
            </w:r>
          </w:p>
        </w:tc>
        <w:tc>
          <w:tcPr>
            <w:tcW w:w="2394" w:type="dxa"/>
            <w:shd w:val="clear" w:color="auto" w:fill="FFFFFF"/>
          </w:tcPr>
          <w:p w14:paraId="1EECC9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1605</w:t>
            </w:r>
          </w:p>
        </w:tc>
        <w:tc>
          <w:tcPr>
            <w:tcW w:w="2394" w:type="dxa"/>
            <w:shd w:val="clear" w:color="auto" w:fill="FFFFFF"/>
          </w:tcPr>
          <w:p w14:paraId="7CF3A6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1642</w:t>
            </w:r>
          </w:p>
        </w:tc>
        <w:tc>
          <w:tcPr>
            <w:tcW w:w="2394" w:type="dxa"/>
            <w:shd w:val="clear" w:color="auto" w:fill="FFFFFF"/>
          </w:tcPr>
          <w:p w14:paraId="2A3AFB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измерялось</w:t>
            </w:r>
          </w:p>
        </w:tc>
      </w:tr>
      <w:tr w:rsidR="009B487A" w:rsidRPr="00722885" w14:paraId="5ACC7178" w14:textId="77777777" w:rsidTr="00CC5360">
        <w:tc>
          <w:tcPr>
            <w:tcW w:w="2394" w:type="dxa"/>
            <w:shd w:val="clear" w:color="auto" w:fill="FFFFFF"/>
          </w:tcPr>
          <w:p w14:paraId="21683D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Мертв, зона</w:t>
            </w:r>
          </w:p>
        </w:tc>
        <w:tc>
          <w:tcPr>
            <w:tcW w:w="2394" w:type="dxa"/>
            <w:shd w:val="clear" w:color="auto" w:fill="FFFFFF"/>
          </w:tcPr>
          <w:p w14:paraId="370FFD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 - 22,62, корма -21,84</w:t>
            </w:r>
          </w:p>
        </w:tc>
        <w:tc>
          <w:tcPr>
            <w:tcW w:w="2394" w:type="dxa"/>
            <w:shd w:val="clear" w:color="auto" w:fill="FFFFFF"/>
          </w:tcPr>
          <w:p w14:paraId="7B811A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 - 9,75, корма -14,82</w:t>
            </w:r>
          </w:p>
        </w:tc>
        <w:tc>
          <w:tcPr>
            <w:tcW w:w="2394" w:type="dxa"/>
            <w:shd w:val="clear" w:color="auto" w:fill="FFFFFF"/>
          </w:tcPr>
          <w:p w14:paraId="22D4DA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измерялось</w:t>
            </w:r>
          </w:p>
        </w:tc>
      </w:tr>
      <w:tr w:rsidR="009B487A" w:rsidRPr="00722885" w14:paraId="2202C190" w14:textId="77777777" w:rsidTr="00CC5360">
        <w:tc>
          <w:tcPr>
            <w:tcW w:w="2394" w:type="dxa"/>
            <w:shd w:val="clear" w:color="auto" w:fill="FFFFFF"/>
          </w:tcPr>
          <w:p w14:paraId="7029FBA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394" w:type="dxa"/>
            <w:shd w:val="clear" w:color="auto" w:fill="FFFFFF"/>
          </w:tcPr>
          <w:p w14:paraId="15A942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 - 19,5, прав. -27,3</w:t>
            </w:r>
          </w:p>
        </w:tc>
        <w:tc>
          <w:tcPr>
            <w:tcW w:w="2394" w:type="dxa"/>
            <w:shd w:val="clear" w:color="auto" w:fill="FFFFFF"/>
          </w:tcPr>
          <w:p w14:paraId="1965AE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 - 12,48, Прав. - 14,35</w:t>
            </w:r>
          </w:p>
        </w:tc>
        <w:tc>
          <w:tcPr>
            <w:tcW w:w="2394" w:type="dxa"/>
            <w:shd w:val="clear" w:color="auto" w:fill="FFFFFF"/>
          </w:tcPr>
          <w:p w14:paraId="6CDAD3F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1C117D88" w14:textId="77777777" w:rsidTr="00CC5360">
        <w:tc>
          <w:tcPr>
            <w:tcW w:w="2394" w:type="dxa"/>
            <w:shd w:val="clear" w:color="auto" w:fill="FFFFFF"/>
          </w:tcPr>
          <w:p w14:paraId="5EC87D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Мех. Наводки</w:t>
            </w:r>
          </w:p>
        </w:tc>
        <w:tc>
          <w:tcPr>
            <w:tcW w:w="2394" w:type="dxa"/>
            <w:shd w:val="clear" w:color="auto" w:fill="FFFFFF"/>
          </w:tcPr>
          <w:p w14:paraId="4C8400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Штатные от Т-70М</w:t>
            </w:r>
          </w:p>
        </w:tc>
        <w:tc>
          <w:tcPr>
            <w:tcW w:w="2394" w:type="dxa"/>
            <w:shd w:val="clear" w:color="auto" w:fill="FFFFFF"/>
          </w:tcPr>
          <w:p w14:paraId="7F0F51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Штатные от Т-70</w:t>
            </w:r>
          </w:p>
        </w:tc>
        <w:tc>
          <w:tcPr>
            <w:tcW w:w="2394" w:type="dxa"/>
            <w:shd w:val="clear" w:color="auto" w:fill="FFFFFF"/>
          </w:tcPr>
          <w:p w14:paraId="09B2667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221F9616" w14:textId="77777777" w:rsidTr="00CC5360">
        <w:tc>
          <w:tcPr>
            <w:tcW w:w="2394" w:type="dxa"/>
            <w:shd w:val="clear" w:color="auto" w:fill="FFFFFF"/>
          </w:tcPr>
          <w:p w14:paraId="66099AE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394" w:type="dxa"/>
            <w:shd w:val="clear" w:color="auto" w:fill="FFFFFF"/>
          </w:tcPr>
          <w:p w14:paraId="198786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Гориз - 6° за оборот.</w:t>
            </w:r>
          </w:p>
        </w:tc>
        <w:tc>
          <w:tcPr>
            <w:tcW w:w="2394" w:type="dxa"/>
            <w:shd w:val="clear" w:color="auto" w:fill="FFFFFF"/>
          </w:tcPr>
          <w:p w14:paraId="7F4851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Гориз - 3,5° за оборот.</w:t>
            </w:r>
          </w:p>
        </w:tc>
        <w:tc>
          <w:tcPr>
            <w:tcW w:w="2394" w:type="dxa"/>
            <w:shd w:val="clear" w:color="auto" w:fill="FFFFFF"/>
          </w:tcPr>
          <w:p w14:paraId="14587F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Свободн.</w:t>
            </w:r>
          </w:p>
        </w:tc>
      </w:tr>
      <w:tr w:rsidR="009B487A" w:rsidRPr="00722885" w14:paraId="45615AEB" w14:textId="77777777" w:rsidTr="00CC5360">
        <w:tc>
          <w:tcPr>
            <w:tcW w:w="2394" w:type="dxa"/>
            <w:tcBorders>
              <w:bottom w:val="single" w:sz="12" w:space="0" w:color="auto"/>
            </w:tcBorders>
          </w:tcPr>
          <w:p w14:paraId="30CD7BE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394" w:type="dxa"/>
            <w:tcBorders>
              <w:bottom w:val="single" w:sz="12" w:space="0" w:color="auto"/>
            </w:tcBorders>
          </w:tcPr>
          <w:p w14:paraId="5616D8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Вертик -10° за оборот.</w:t>
            </w:r>
          </w:p>
        </w:tc>
        <w:tc>
          <w:tcPr>
            <w:tcW w:w="2394" w:type="dxa"/>
            <w:tcBorders>
              <w:bottom w:val="single" w:sz="12" w:space="0" w:color="auto"/>
            </w:tcBorders>
          </w:tcPr>
          <w:p w14:paraId="458EF8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Свободное качание</w:t>
            </w:r>
          </w:p>
        </w:tc>
        <w:tc>
          <w:tcPr>
            <w:tcW w:w="2394" w:type="dxa"/>
            <w:tcBorders>
              <w:bottom w:val="single" w:sz="12" w:space="0" w:color="auto"/>
            </w:tcBorders>
          </w:tcPr>
          <w:p w14:paraId="18DBDA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Свободное качание</w:t>
            </w:r>
          </w:p>
        </w:tc>
      </w:tr>
    </w:tbl>
    <w:p w14:paraId="42E9C0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(10782).</w:t>
      </w:r>
    </w:p>
    <w:p w14:paraId="1C7A05B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Поскольку танк Т-60-3 не имел двигателя, а также колли-маторного прицела, к испытаниям он допущен не был. Тан</w:t>
      </w:r>
      <w:r w:rsidRPr="00722885">
        <w:rPr>
          <w:rFonts w:ascii="Times New Roman" w:hAnsi="Times New Roman"/>
          <w:color w:val="000000" w:themeColor="text1"/>
          <w:sz w:val="16"/>
          <w:szCs w:val="16"/>
        </w:rPr>
        <w:softHyphen/>
        <w:t>ки же Т-70 (3) и Т-90 сначала подверглись пробегу по бездо</w:t>
      </w:r>
      <w:r w:rsidRPr="00722885">
        <w:rPr>
          <w:rFonts w:ascii="Times New Roman" w:hAnsi="Times New Roman"/>
          <w:color w:val="000000" w:themeColor="text1"/>
          <w:sz w:val="16"/>
          <w:szCs w:val="16"/>
        </w:rPr>
        <w:softHyphen/>
        <w:t>рожью на 50 км с расстопоренным оружием (интересно, что по отчету ГАУ пробег состоялся еще 1 декабря).</w:t>
      </w:r>
    </w:p>
    <w:p w14:paraId="103A50D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стрельбой по щитам прошли 5-9 декабря, и во время них было сделано в общем зачете 1125 выстрелов.</w:t>
      </w:r>
    </w:p>
    <w:p w14:paraId="283D132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Отмечаемые частые задержки в стрельбе пулеметов объяснялись, по мнению комиссии, недостаточно проду</w:t>
      </w:r>
      <w:r w:rsidRPr="00722885">
        <w:rPr>
          <w:rFonts w:ascii="Times New Roman" w:hAnsi="Times New Roman"/>
          <w:color w:val="000000" w:themeColor="text1"/>
          <w:sz w:val="16"/>
          <w:szCs w:val="16"/>
        </w:rPr>
        <w:softHyphen/>
        <w:t>манной конструкцией магазинов и их плохой подгонкой.</w:t>
      </w:r>
    </w:p>
    <w:p w14:paraId="4A14124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итогам испытаний был составлен акт, который ито</w:t>
      </w:r>
      <w:r w:rsidRPr="00722885">
        <w:rPr>
          <w:rFonts w:ascii="Times New Roman" w:hAnsi="Times New Roman"/>
          <w:color w:val="000000" w:themeColor="text1"/>
          <w:sz w:val="16"/>
          <w:szCs w:val="16"/>
        </w:rPr>
        <w:softHyphen/>
        <w:t>жил, что мысль о создании зенитных пулеметных танков вполне разумна, но использовать для этой цели спешно пе</w:t>
      </w:r>
      <w:r w:rsidRPr="00722885">
        <w:rPr>
          <w:rFonts w:ascii="Times New Roman" w:hAnsi="Times New Roman"/>
          <w:color w:val="000000" w:themeColor="text1"/>
          <w:sz w:val="16"/>
          <w:szCs w:val="16"/>
        </w:rPr>
        <w:softHyphen/>
        <w:t>ределанные линейные танки нецелесообразно, так как для нормального применения объем этих переделок будет сравним с изготовлением танка заново.</w:t>
      </w:r>
    </w:p>
    <w:p w14:paraId="7F0E5BE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горизонтальной наводки зенитного танка должна составлять не менее 10 град, за один оборот махо</w:t>
      </w:r>
      <w:r w:rsidRPr="00722885">
        <w:rPr>
          <w:rFonts w:ascii="Times New Roman" w:hAnsi="Times New Roman"/>
          <w:color w:val="000000" w:themeColor="text1"/>
          <w:sz w:val="16"/>
          <w:szCs w:val="16"/>
        </w:rPr>
        <w:softHyphen/>
        <w:t>вика, так что для облегчения быстрого открытия огня из оружия в цель полезно предусмотреть возможность его на</w:t>
      </w:r>
      <w:r w:rsidRPr="00722885">
        <w:rPr>
          <w:rFonts w:ascii="Times New Roman" w:hAnsi="Times New Roman"/>
          <w:color w:val="000000" w:themeColor="text1"/>
          <w:sz w:val="16"/>
          <w:szCs w:val="16"/>
        </w:rPr>
        <w:softHyphen/>
        <w:t>ведения свободным качанием, само же оружие при этом должно быть уравновешено.</w:t>
      </w:r>
    </w:p>
    <w:p w14:paraId="64E9720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большого расхода патронов необходимо довести возимый БК танка до 900-1500 патронов с питанием от лент. Установка радиостанции в зенитном танке была необходима, так как ее наличие облегчало целеуказание.</w:t>
      </w:r>
    </w:p>
    <w:p w14:paraId="6AC87C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Комиссия отдавала явное предпочтение Т-90, но отме</w:t>
      </w:r>
      <w:r w:rsidRPr="00722885">
        <w:rPr>
          <w:rFonts w:ascii="Times New Roman" w:hAnsi="Times New Roman"/>
          <w:color w:val="000000" w:themeColor="text1"/>
          <w:sz w:val="16"/>
          <w:szCs w:val="16"/>
        </w:rPr>
        <w:softHyphen/>
        <w:t>тила необходимость значительной доводки конструкции машины до требуемых условий.</w:t>
      </w:r>
    </w:p>
    <w:p w14:paraId="284F45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Савин же не вполне согласился с выводами тт. Нена-рокова, Астрова и Маклакова, оформив их в виде своего «особого мнения» о большем удобстве быстрого наведения качающихся пулеметов. Неожиданно его поддержали испы</w:t>
      </w:r>
      <w:r w:rsidRPr="00722885">
        <w:rPr>
          <w:rFonts w:ascii="Times New Roman" w:hAnsi="Times New Roman"/>
          <w:color w:val="000000" w:themeColor="text1"/>
          <w:sz w:val="16"/>
          <w:szCs w:val="16"/>
        </w:rPr>
        <w:softHyphen/>
        <w:t>татели НИЗенПа и НИБТполигона, стрелявшие по змеям.</w:t>
      </w:r>
    </w:p>
    <w:p w14:paraId="043394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Дело в том, что кроме стрельб по щитам была органи</w:t>
      </w:r>
      <w:r w:rsidRPr="00722885">
        <w:rPr>
          <w:rFonts w:ascii="Times New Roman" w:hAnsi="Times New Roman"/>
          <w:color w:val="000000" w:themeColor="text1"/>
          <w:sz w:val="16"/>
          <w:szCs w:val="16"/>
        </w:rPr>
        <w:softHyphen/>
        <w:t>зована вне зачета также ночная стрельба по кострам с под</w:t>
      </w:r>
      <w:r w:rsidRPr="00722885">
        <w:rPr>
          <w:rFonts w:ascii="Times New Roman" w:hAnsi="Times New Roman"/>
          <w:color w:val="000000" w:themeColor="text1"/>
          <w:sz w:val="16"/>
          <w:szCs w:val="16"/>
        </w:rPr>
        <w:softHyphen/>
        <w:t>светкой шкал прицелов. Общие результаты зачетных испы</w:t>
      </w:r>
      <w:r w:rsidRPr="00722885">
        <w:rPr>
          <w:rFonts w:ascii="Times New Roman" w:hAnsi="Times New Roman"/>
          <w:color w:val="000000" w:themeColor="text1"/>
          <w:sz w:val="16"/>
          <w:szCs w:val="16"/>
        </w:rPr>
        <w:softHyphen/>
        <w:t>таний стрельбой по щитам можно вывести в виде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9B487A" w:rsidRPr="00722885" w14:paraId="08539980" w14:textId="77777777" w:rsidTr="00CC5360">
        <w:tc>
          <w:tcPr>
            <w:tcW w:w="4788" w:type="dxa"/>
            <w:tcBorders>
              <w:top w:val="single" w:sz="12" w:space="0" w:color="auto"/>
            </w:tcBorders>
          </w:tcPr>
          <w:p w14:paraId="49C613A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 Т-90</w:t>
            </w:r>
          </w:p>
        </w:tc>
        <w:tc>
          <w:tcPr>
            <w:tcW w:w="4788" w:type="dxa"/>
            <w:tcBorders>
              <w:top w:val="single" w:sz="12" w:space="0" w:color="auto"/>
            </w:tcBorders>
          </w:tcPr>
          <w:p w14:paraId="4EED7F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Т-70 (з)</w:t>
            </w:r>
          </w:p>
        </w:tc>
      </w:tr>
      <w:tr w:rsidR="009B487A" w:rsidRPr="00722885" w14:paraId="73FFBC4C" w14:textId="77777777" w:rsidTr="00CC5360">
        <w:tc>
          <w:tcPr>
            <w:tcW w:w="4788" w:type="dxa"/>
          </w:tcPr>
          <w:p w14:paraId="0A348A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Заград. Огонь вести можно</w:t>
            </w:r>
          </w:p>
        </w:tc>
        <w:tc>
          <w:tcPr>
            <w:tcW w:w="4788" w:type="dxa"/>
          </w:tcPr>
          <w:p w14:paraId="1CBC045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Заград. огонь вести неудобно; неуравновешенное оружие</w:t>
            </w:r>
          </w:p>
        </w:tc>
      </w:tr>
      <w:tr w:rsidR="009B487A" w:rsidRPr="00722885" w14:paraId="58AEB1C0" w14:textId="77777777" w:rsidTr="00CC5360">
        <w:tc>
          <w:tcPr>
            <w:tcW w:w="4788" w:type="dxa"/>
          </w:tcPr>
          <w:p w14:paraId="34E7940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Устранять задержки удобно </w:t>
            </w:r>
          </w:p>
        </w:tc>
        <w:tc>
          <w:tcPr>
            <w:tcW w:w="4788" w:type="dxa"/>
          </w:tcPr>
          <w:p w14:paraId="3326203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Устранять задержки неудобно</w:t>
            </w:r>
          </w:p>
        </w:tc>
      </w:tr>
      <w:tr w:rsidR="009B487A" w:rsidRPr="00722885" w14:paraId="60238247" w14:textId="77777777" w:rsidTr="00CC5360">
        <w:tc>
          <w:tcPr>
            <w:tcW w:w="4788" w:type="dxa"/>
          </w:tcPr>
          <w:p w14:paraId="40E5EF7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Ручная перезарядка стеснена</w:t>
            </w:r>
          </w:p>
        </w:tc>
        <w:tc>
          <w:tcPr>
            <w:tcW w:w="4788" w:type="dxa"/>
          </w:tcPr>
          <w:p w14:paraId="501F699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Ручная перезарядка допустима</w:t>
            </w:r>
          </w:p>
        </w:tc>
      </w:tr>
      <w:tr w:rsidR="009B487A" w:rsidRPr="00722885" w14:paraId="30C6CF3E" w14:textId="77777777" w:rsidTr="00CC5360">
        <w:tc>
          <w:tcPr>
            <w:tcW w:w="4788" w:type="dxa"/>
          </w:tcPr>
          <w:p w14:paraId="4D49BA4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Мала скорость гориз. и верт. наводки</w:t>
            </w:r>
          </w:p>
        </w:tc>
        <w:tc>
          <w:tcPr>
            <w:tcW w:w="4788" w:type="dxa"/>
          </w:tcPr>
          <w:p w14:paraId="207B2F0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Мала скорость гориз. наводки, верт. наводки - нормально</w:t>
            </w:r>
          </w:p>
        </w:tc>
      </w:tr>
      <w:tr w:rsidR="009B487A" w:rsidRPr="00722885" w14:paraId="658D13B4" w14:textId="77777777" w:rsidTr="00CC5360">
        <w:tc>
          <w:tcPr>
            <w:tcW w:w="4788" w:type="dxa"/>
          </w:tcPr>
          <w:p w14:paraId="560958D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Кучность стрельбы* лев. пулемет КЮОм = 70 см, К50м = 25 см КЮОм = 85 см, В50м = 45 СМ</w:t>
            </w:r>
          </w:p>
        </w:tc>
        <w:tc>
          <w:tcPr>
            <w:tcW w:w="4788" w:type="dxa"/>
          </w:tcPr>
          <w:p w14:paraId="3FA2D9D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65D5C4F" w14:textId="77777777" w:rsidTr="00CC5360">
        <w:tc>
          <w:tcPr>
            <w:tcW w:w="4788" w:type="dxa"/>
          </w:tcPr>
          <w:p w14:paraId="7039DC7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R100м = 70 см, R50м = 25 см**</w:t>
            </w:r>
          </w:p>
        </w:tc>
        <w:tc>
          <w:tcPr>
            <w:tcW w:w="4788" w:type="dxa"/>
          </w:tcPr>
          <w:p w14:paraId="76CBE00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R100м = 100 см, R50м = 40 см**</w:t>
            </w:r>
          </w:p>
        </w:tc>
      </w:tr>
      <w:tr w:rsidR="009B487A" w:rsidRPr="00722885" w14:paraId="66CADBF6" w14:textId="77777777" w:rsidTr="00CC5360">
        <w:tc>
          <w:tcPr>
            <w:tcW w:w="4788" w:type="dxa"/>
          </w:tcPr>
          <w:p w14:paraId="46AB03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Прав, пулемет</w:t>
            </w:r>
          </w:p>
        </w:tc>
        <w:tc>
          <w:tcPr>
            <w:tcW w:w="4788" w:type="dxa"/>
          </w:tcPr>
          <w:p w14:paraId="29ACD74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C4EE832" w14:textId="77777777" w:rsidTr="00CC5360">
        <w:tc>
          <w:tcPr>
            <w:tcW w:w="4788" w:type="dxa"/>
          </w:tcPr>
          <w:p w14:paraId="0F65562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R100м = 85 см, R50м = 45 см**</w:t>
            </w:r>
          </w:p>
        </w:tc>
        <w:tc>
          <w:tcPr>
            <w:tcW w:w="4788" w:type="dxa"/>
          </w:tcPr>
          <w:p w14:paraId="3DA7756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R100м = 100 см, R50м = 45 см**</w:t>
            </w:r>
          </w:p>
        </w:tc>
      </w:tr>
      <w:tr w:rsidR="009B487A" w:rsidRPr="00722885" w14:paraId="67C88B24" w14:textId="77777777" w:rsidTr="00CC5360">
        <w:tc>
          <w:tcPr>
            <w:tcW w:w="4788" w:type="dxa"/>
          </w:tcPr>
          <w:p w14:paraId="5A2EBD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Меткость: все пробоины смещены вниз-вправо</w:t>
            </w:r>
          </w:p>
        </w:tc>
        <w:tc>
          <w:tcPr>
            <w:tcW w:w="4788" w:type="dxa"/>
          </w:tcPr>
          <w:p w14:paraId="4E35249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Имеется разброс из-за отсут</w:t>
            </w:r>
            <w:r w:rsidRPr="00722885">
              <w:rPr>
                <w:rFonts w:ascii="Times New Roman" w:hAnsi="Times New Roman"/>
                <w:color w:val="000000" w:themeColor="text1"/>
                <w:sz w:val="16"/>
                <w:szCs w:val="16"/>
              </w:rPr>
              <w:softHyphen/>
              <w:t>ствия плечевых упоров пулеметов</w:t>
            </w:r>
          </w:p>
        </w:tc>
      </w:tr>
      <w:tr w:rsidR="009B487A" w:rsidRPr="00722885" w14:paraId="28B0D6B2" w14:textId="77777777" w:rsidTr="00CC5360">
        <w:tc>
          <w:tcPr>
            <w:tcW w:w="4788" w:type="dxa"/>
            <w:tcBorders>
              <w:bottom w:val="single" w:sz="12" w:space="0" w:color="auto"/>
            </w:tcBorders>
          </w:tcPr>
          <w:p w14:paraId="138ED45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Броневая защита стрелка удовл.</w:t>
            </w:r>
          </w:p>
        </w:tc>
        <w:tc>
          <w:tcPr>
            <w:tcW w:w="4788" w:type="dxa"/>
            <w:tcBorders>
              <w:bottom w:val="single" w:sz="12" w:space="0" w:color="auto"/>
            </w:tcBorders>
          </w:tcPr>
          <w:p w14:paraId="69742B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выреза под прицел защита ухудшена</w:t>
            </w:r>
          </w:p>
        </w:tc>
      </w:tr>
    </w:tbl>
    <w:p w14:paraId="232935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(10782).</w:t>
      </w:r>
    </w:p>
    <w:p w14:paraId="7F0273E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параметры Т-60-3 снимались по личной просьбе тов. Савина, в зачет не шли</w:t>
      </w:r>
    </w:p>
    <w:p w14:paraId="1C24809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кучность стрельбы Т-70 понижена из-за неукомплектованности пулеметов плечевым упором.</w:t>
      </w:r>
    </w:p>
    <w:p w14:paraId="3F65F27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из-за нелетной погоды, предложенной стрельбы по конусам, буксируемым за самолетом У-2, не производилось. Поэтому уже по окончании испытаний по предложению И. Савина состоялись стрельбы по ромбическому воздушно</w:t>
      </w:r>
      <w:r w:rsidRPr="00722885">
        <w:rPr>
          <w:rFonts w:ascii="Times New Roman" w:hAnsi="Times New Roman"/>
          <w:color w:val="000000" w:themeColor="text1"/>
          <w:sz w:val="16"/>
          <w:szCs w:val="16"/>
        </w:rPr>
        <w:softHyphen/>
        <w:t>му змею размером приблизительно 1,5x1,5 м в течение 2-3 минут из одного (на выбор) пулемета каждого танка. Всего из каждого танка было выпущено по 30 патронов (1 магазин).</w:t>
      </w:r>
    </w:p>
    <w:p w14:paraId="45131E9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Результаты обстрела змеев велись вне зачета, однако представителем ГАУ зафиксированы в виде: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9B487A" w:rsidRPr="00722885" w14:paraId="6C0892A3" w14:textId="77777777" w:rsidTr="00CC5360">
        <w:tc>
          <w:tcPr>
            <w:tcW w:w="2394" w:type="dxa"/>
            <w:tcBorders>
              <w:top w:val="single" w:sz="12" w:space="0" w:color="auto"/>
            </w:tcBorders>
            <w:shd w:val="clear" w:color="auto" w:fill="FFFFFF"/>
          </w:tcPr>
          <w:p w14:paraId="09884C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w:t>
            </w:r>
          </w:p>
        </w:tc>
        <w:tc>
          <w:tcPr>
            <w:tcW w:w="2394" w:type="dxa"/>
            <w:tcBorders>
              <w:top w:val="single" w:sz="12" w:space="0" w:color="auto"/>
            </w:tcBorders>
            <w:shd w:val="clear" w:color="auto" w:fill="FFFFFF"/>
          </w:tcPr>
          <w:p w14:paraId="4CF1BA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Т-90</w:t>
            </w:r>
          </w:p>
        </w:tc>
        <w:tc>
          <w:tcPr>
            <w:tcW w:w="2394" w:type="dxa"/>
            <w:tcBorders>
              <w:top w:val="single" w:sz="12" w:space="0" w:color="auto"/>
            </w:tcBorders>
            <w:shd w:val="clear" w:color="auto" w:fill="FFFFFF"/>
          </w:tcPr>
          <w:p w14:paraId="70970D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Т-70 (з)</w:t>
            </w:r>
          </w:p>
        </w:tc>
        <w:tc>
          <w:tcPr>
            <w:tcW w:w="2394" w:type="dxa"/>
            <w:tcBorders>
              <w:top w:val="single" w:sz="12" w:space="0" w:color="auto"/>
            </w:tcBorders>
            <w:shd w:val="clear" w:color="auto" w:fill="FFFFFF"/>
          </w:tcPr>
          <w:p w14:paraId="6DEB04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Т-60-3</w:t>
            </w:r>
          </w:p>
        </w:tc>
      </w:tr>
      <w:tr w:rsidR="009B487A" w:rsidRPr="00722885" w14:paraId="39A4DBC0" w14:textId="77777777" w:rsidTr="00CC5360">
        <w:tc>
          <w:tcPr>
            <w:tcW w:w="2394" w:type="dxa"/>
            <w:tcBorders>
              <w:bottom w:val="single" w:sz="12" w:space="0" w:color="auto"/>
            </w:tcBorders>
            <w:shd w:val="clear" w:color="auto" w:fill="FFFFFF"/>
          </w:tcPr>
          <w:p w14:paraId="1FEE5E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Попаданий:</w:t>
            </w:r>
          </w:p>
        </w:tc>
        <w:tc>
          <w:tcPr>
            <w:tcW w:w="2394" w:type="dxa"/>
            <w:tcBorders>
              <w:bottom w:val="single" w:sz="12" w:space="0" w:color="auto"/>
            </w:tcBorders>
            <w:shd w:val="clear" w:color="auto" w:fill="FFFFFF"/>
          </w:tcPr>
          <w:p w14:paraId="16ADC0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2394" w:type="dxa"/>
            <w:tcBorders>
              <w:bottom w:val="single" w:sz="12" w:space="0" w:color="auto"/>
            </w:tcBorders>
            <w:shd w:val="clear" w:color="auto" w:fill="FFFFFF"/>
          </w:tcPr>
          <w:p w14:paraId="22C0DB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2394" w:type="dxa"/>
            <w:tcBorders>
              <w:bottom w:val="single" w:sz="12" w:space="0" w:color="auto"/>
            </w:tcBorders>
            <w:shd w:val="clear" w:color="auto" w:fill="FFFFFF"/>
          </w:tcPr>
          <w:p w14:paraId="5BA08F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r>
    </w:tbl>
    <w:p w14:paraId="048F297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И. Савин готов был немедленно по результатам указан</w:t>
      </w:r>
      <w:r w:rsidRPr="00722885">
        <w:rPr>
          <w:rFonts w:ascii="Times New Roman" w:hAnsi="Times New Roman"/>
          <w:color w:val="000000" w:themeColor="text1"/>
          <w:sz w:val="16"/>
          <w:szCs w:val="16"/>
        </w:rPr>
        <w:softHyphen/>
        <w:t>ных испытаний начать работы по преобразованию легких танков в зенитные, но неожиданно, интерес ГАБТУ к Т-60-3, Т-70 (3) и Т-90 упал, что было связано скорее всего с началом поставок пулеметных ЗСУ М-16 по ленд-лизу.</w:t>
      </w:r>
    </w:p>
    <w:p w14:paraId="0337B15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Тактико-технические характеристики советских зенитных танков выпуска 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90"/>
        <w:gridCol w:w="810"/>
        <w:gridCol w:w="1260"/>
        <w:gridCol w:w="990"/>
        <w:gridCol w:w="6"/>
        <w:gridCol w:w="894"/>
      </w:tblGrid>
      <w:tr w:rsidR="009B487A" w:rsidRPr="00722885" w14:paraId="6E28C668" w14:textId="77777777" w:rsidTr="00CC5360">
        <w:trPr>
          <w:trHeight w:val="182"/>
        </w:trPr>
        <w:tc>
          <w:tcPr>
            <w:tcW w:w="1890" w:type="dxa"/>
            <w:tcBorders>
              <w:top w:val="single" w:sz="12" w:space="0" w:color="auto"/>
            </w:tcBorders>
          </w:tcPr>
          <w:p w14:paraId="0A9A7BD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10" w:type="dxa"/>
            <w:tcBorders>
              <w:top w:val="single" w:sz="12" w:space="0" w:color="auto"/>
            </w:tcBorders>
          </w:tcPr>
          <w:p w14:paraId="638ECE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Т-60-3*</w:t>
            </w:r>
          </w:p>
        </w:tc>
        <w:tc>
          <w:tcPr>
            <w:tcW w:w="1260" w:type="dxa"/>
            <w:tcBorders>
              <w:top w:val="single" w:sz="12" w:space="0" w:color="auto"/>
            </w:tcBorders>
          </w:tcPr>
          <w:p w14:paraId="789EFAE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Т-70(3)</w:t>
            </w:r>
          </w:p>
        </w:tc>
        <w:tc>
          <w:tcPr>
            <w:tcW w:w="996" w:type="dxa"/>
            <w:gridSpan w:val="2"/>
            <w:tcBorders>
              <w:top w:val="single" w:sz="12" w:space="0" w:color="auto"/>
            </w:tcBorders>
          </w:tcPr>
          <w:p w14:paraId="060B517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Т-90</w:t>
            </w:r>
          </w:p>
        </w:tc>
        <w:tc>
          <w:tcPr>
            <w:tcW w:w="894" w:type="dxa"/>
            <w:tcBorders>
              <w:top w:val="single" w:sz="12" w:space="0" w:color="auto"/>
            </w:tcBorders>
          </w:tcPr>
          <w:p w14:paraId="7B4055C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Т-50-3"</w:t>
            </w:r>
          </w:p>
        </w:tc>
      </w:tr>
      <w:tr w:rsidR="009B487A" w:rsidRPr="00722885" w14:paraId="2D45C9DF" w14:textId="77777777" w:rsidTr="00CC5360">
        <w:trPr>
          <w:trHeight w:val="163"/>
        </w:trPr>
        <w:tc>
          <w:tcPr>
            <w:tcW w:w="1890" w:type="dxa"/>
          </w:tcPr>
          <w:p w14:paraId="2D50665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ТТХ/Марка танка</w:t>
            </w:r>
          </w:p>
        </w:tc>
        <w:tc>
          <w:tcPr>
            <w:tcW w:w="810" w:type="dxa"/>
          </w:tcPr>
          <w:p w14:paraId="0071DF8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1942 .</w:t>
            </w:r>
          </w:p>
        </w:tc>
        <w:tc>
          <w:tcPr>
            <w:tcW w:w="1260" w:type="dxa"/>
          </w:tcPr>
          <w:p w14:paraId="2B984CE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996" w:type="dxa"/>
            <w:gridSpan w:val="2"/>
          </w:tcPr>
          <w:p w14:paraId="0CCB09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894" w:type="dxa"/>
          </w:tcPr>
          <w:p w14:paraId="6429A9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1941-194</w:t>
            </w:r>
          </w:p>
        </w:tc>
      </w:tr>
      <w:tr w:rsidR="009B487A" w:rsidRPr="00722885" w14:paraId="1171BB4B" w14:textId="77777777" w:rsidTr="00CC5360">
        <w:trPr>
          <w:trHeight w:val="163"/>
        </w:trPr>
        <w:tc>
          <w:tcPr>
            <w:tcW w:w="1890" w:type="dxa"/>
          </w:tcPr>
          <w:p w14:paraId="695E2FD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Боевой вес. кг</w:t>
            </w:r>
          </w:p>
        </w:tc>
        <w:tc>
          <w:tcPr>
            <w:tcW w:w="810" w:type="dxa"/>
          </w:tcPr>
          <w:p w14:paraId="5D5E8E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6500</w:t>
            </w:r>
          </w:p>
        </w:tc>
        <w:tc>
          <w:tcPr>
            <w:tcW w:w="1260" w:type="dxa"/>
          </w:tcPr>
          <w:p w14:paraId="0F96F2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9200</w:t>
            </w:r>
          </w:p>
        </w:tc>
        <w:tc>
          <w:tcPr>
            <w:tcW w:w="996" w:type="dxa"/>
            <w:gridSpan w:val="2"/>
          </w:tcPr>
          <w:p w14:paraId="2CF4468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9400</w:t>
            </w:r>
          </w:p>
        </w:tc>
        <w:tc>
          <w:tcPr>
            <w:tcW w:w="894" w:type="dxa"/>
          </w:tcPr>
          <w:p w14:paraId="324162A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15000</w:t>
            </w:r>
          </w:p>
        </w:tc>
      </w:tr>
      <w:tr w:rsidR="009B487A" w:rsidRPr="00722885" w14:paraId="2A3914C5" w14:textId="77777777" w:rsidTr="00CC5360">
        <w:trPr>
          <w:trHeight w:val="202"/>
        </w:trPr>
        <w:tc>
          <w:tcPr>
            <w:tcW w:w="1890" w:type="dxa"/>
          </w:tcPr>
          <w:p w14:paraId="532AE8F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чел.</w:t>
            </w:r>
          </w:p>
        </w:tc>
        <w:tc>
          <w:tcPr>
            <w:tcW w:w="810" w:type="dxa"/>
          </w:tcPr>
          <w:p w14:paraId="30371DF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260" w:type="dxa"/>
          </w:tcPr>
          <w:p w14:paraId="4D85AA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996" w:type="dxa"/>
            <w:gridSpan w:val="2"/>
          </w:tcPr>
          <w:p w14:paraId="1BF1AB2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894" w:type="dxa"/>
          </w:tcPr>
          <w:p w14:paraId="213FDE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r>
      <w:tr w:rsidR="009B487A" w:rsidRPr="00722885" w14:paraId="7586B41F" w14:textId="77777777" w:rsidTr="00CC5360">
        <w:trPr>
          <w:trHeight w:val="211"/>
        </w:trPr>
        <w:tc>
          <w:tcPr>
            <w:tcW w:w="5850" w:type="dxa"/>
            <w:gridSpan w:val="6"/>
          </w:tcPr>
          <w:p w14:paraId="6ADE844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Размерения. Мм</w:t>
            </w:r>
          </w:p>
        </w:tc>
      </w:tr>
      <w:tr w:rsidR="009B487A" w:rsidRPr="00722885" w14:paraId="4F3E7420" w14:textId="77777777" w:rsidTr="00CC5360">
        <w:trPr>
          <w:trHeight w:val="211"/>
        </w:trPr>
        <w:tc>
          <w:tcPr>
            <w:tcW w:w="1890" w:type="dxa"/>
          </w:tcPr>
          <w:p w14:paraId="4BB8F8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общая</w:t>
            </w:r>
          </w:p>
        </w:tc>
        <w:tc>
          <w:tcPr>
            <w:tcW w:w="810" w:type="dxa"/>
          </w:tcPr>
          <w:p w14:paraId="1234886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4100</w:t>
            </w:r>
          </w:p>
        </w:tc>
        <w:tc>
          <w:tcPr>
            <w:tcW w:w="1260" w:type="dxa"/>
          </w:tcPr>
          <w:p w14:paraId="0462B63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4285</w:t>
            </w:r>
          </w:p>
        </w:tc>
        <w:tc>
          <w:tcPr>
            <w:tcW w:w="996" w:type="dxa"/>
            <w:gridSpan w:val="2"/>
          </w:tcPr>
          <w:p w14:paraId="59F5E03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4290</w:t>
            </w:r>
          </w:p>
        </w:tc>
        <w:tc>
          <w:tcPr>
            <w:tcW w:w="894" w:type="dxa"/>
          </w:tcPr>
          <w:p w14:paraId="48A724E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5280</w:t>
            </w:r>
          </w:p>
        </w:tc>
      </w:tr>
      <w:tr w:rsidR="009B487A" w:rsidRPr="00722885" w14:paraId="73DE0DC1" w14:textId="77777777" w:rsidTr="00CC5360">
        <w:trPr>
          <w:trHeight w:val="182"/>
        </w:trPr>
        <w:tc>
          <w:tcPr>
            <w:tcW w:w="1890" w:type="dxa"/>
          </w:tcPr>
          <w:p w14:paraId="29F9C5C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Ширина</w:t>
            </w:r>
          </w:p>
        </w:tc>
        <w:tc>
          <w:tcPr>
            <w:tcW w:w="810" w:type="dxa"/>
          </w:tcPr>
          <w:p w14:paraId="6E25D23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2290</w:t>
            </w:r>
          </w:p>
        </w:tc>
        <w:tc>
          <w:tcPr>
            <w:tcW w:w="1260" w:type="dxa"/>
          </w:tcPr>
          <w:p w14:paraId="3BFF51A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2420</w:t>
            </w:r>
          </w:p>
        </w:tc>
        <w:tc>
          <w:tcPr>
            <w:tcW w:w="996" w:type="dxa"/>
            <w:gridSpan w:val="2"/>
          </w:tcPr>
          <w:p w14:paraId="4CECC8F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2420</w:t>
            </w:r>
          </w:p>
        </w:tc>
        <w:tc>
          <w:tcPr>
            <w:tcW w:w="894" w:type="dxa"/>
          </w:tcPr>
          <w:p w14:paraId="32E770C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2650</w:t>
            </w:r>
          </w:p>
        </w:tc>
      </w:tr>
      <w:tr w:rsidR="009B487A" w:rsidRPr="00722885" w14:paraId="36468601" w14:textId="77777777" w:rsidTr="00CC5360">
        <w:trPr>
          <w:trHeight w:val="154"/>
        </w:trPr>
        <w:tc>
          <w:tcPr>
            <w:tcW w:w="1890" w:type="dxa"/>
          </w:tcPr>
          <w:p w14:paraId="28C29D4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w:t>
            </w:r>
          </w:p>
        </w:tc>
        <w:tc>
          <w:tcPr>
            <w:tcW w:w="810" w:type="dxa"/>
          </w:tcPr>
          <w:p w14:paraId="4D1953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1740</w:t>
            </w:r>
          </w:p>
        </w:tc>
        <w:tc>
          <w:tcPr>
            <w:tcW w:w="1260" w:type="dxa"/>
          </w:tcPr>
          <w:p w14:paraId="5FB5E42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996" w:type="dxa"/>
            <w:gridSpan w:val="2"/>
          </w:tcPr>
          <w:p w14:paraId="5FFF38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1930</w:t>
            </w:r>
          </w:p>
        </w:tc>
        <w:tc>
          <w:tcPr>
            <w:tcW w:w="894" w:type="dxa"/>
          </w:tcPr>
          <w:p w14:paraId="5D26D85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r>
      <w:tr w:rsidR="009B487A" w:rsidRPr="00722885" w14:paraId="1342EE1D" w14:textId="77777777" w:rsidTr="00CC5360">
        <w:trPr>
          <w:trHeight w:val="211"/>
        </w:trPr>
        <w:tc>
          <w:tcPr>
            <w:tcW w:w="1890" w:type="dxa"/>
          </w:tcPr>
          <w:p w14:paraId="4A8FACA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Клиренс</w:t>
            </w:r>
          </w:p>
        </w:tc>
        <w:tc>
          <w:tcPr>
            <w:tcW w:w="810" w:type="dxa"/>
          </w:tcPr>
          <w:p w14:paraId="04DE754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c>
          <w:tcPr>
            <w:tcW w:w="1260" w:type="dxa"/>
          </w:tcPr>
          <w:p w14:paraId="654607F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c>
          <w:tcPr>
            <w:tcW w:w="996" w:type="dxa"/>
            <w:gridSpan w:val="2"/>
          </w:tcPr>
          <w:p w14:paraId="4AADAE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c>
          <w:tcPr>
            <w:tcW w:w="894" w:type="dxa"/>
          </w:tcPr>
          <w:p w14:paraId="0406C86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360</w:t>
            </w:r>
          </w:p>
        </w:tc>
      </w:tr>
      <w:tr w:rsidR="009B487A" w:rsidRPr="00722885" w14:paraId="1432544A" w14:textId="77777777" w:rsidTr="00CC5360">
        <w:trPr>
          <w:trHeight w:val="221"/>
        </w:trPr>
        <w:tc>
          <w:tcPr>
            <w:tcW w:w="5850" w:type="dxa"/>
            <w:gridSpan w:val="6"/>
          </w:tcPr>
          <w:p w14:paraId="09B5881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w:t>
            </w:r>
          </w:p>
        </w:tc>
      </w:tr>
      <w:tr w:rsidR="009B487A" w:rsidRPr="00722885" w14:paraId="65687B6C" w14:textId="77777777" w:rsidTr="00CC5360">
        <w:trPr>
          <w:trHeight w:val="192"/>
        </w:trPr>
        <w:tc>
          <w:tcPr>
            <w:tcW w:w="1890" w:type="dxa"/>
          </w:tcPr>
          <w:p w14:paraId="69D859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Пушек, шт. х кал.</w:t>
            </w:r>
          </w:p>
        </w:tc>
        <w:tc>
          <w:tcPr>
            <w:tcW w:w="810" w:type="dxa"/>
          </w:tcPr>
          <w:p w14:paraId="2BE97E1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260" w:type="dxa"/>
          </w:tcPr>
          <w:p w14:paraId="3796CD0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996" w:type="dxa"/>
            <w:gridSpan w:val="2"/>
          </w:tcPr>
          <w:p w14:paraId="2F44B1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94" w:type="dxa"/>
          </w:tcPr>
          <w:p w14:paraId="794EF70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1х25-мм</w:t>
            </w:r>
          </w:p>
        </w:tc>
      </w:tr>
      <w:tr w:rsidR="009B487A" w:rsidRPr="00722885" w14:paraId="1441EF32" w14:textId="77777777" w:rsidTr="00CC5360">
        <w:trPr>
          <w:trHeight w:val="182"/>
        </w:trPr>
        <w:tc>
          <w:tcPr>
            <w:tcW w:w="1890" w:type="dxa"/>
          </w:tcPr>
          <w:p w14:paraId="7453C6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орудия</w:t>
            </w:r>
          </w:p>
        </w:tc>
        <w:tc>
          <w:tcPr>
            <w:tcW w:w="810" w:type="dxa"/>
          </w:tcPr>
          <w:p w14:paraId="4CE02A8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60" w:type="dxa"/>
          </w:tcPr>
          <w:p w14:paraId="4ECC0A7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96" w:type="dxa"/>
            <w:gridSpan w:val="2"/>
          </w:tcPr>
          <w:p w14:paraId="04B9F1B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94" w:type="dxa"/>
          </w:tcPr>
          <w:p w14:paraId="6C79B5D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84К</w:t>
            </w:r>
          </w:p>
        </w:tc>
      </w:tr>
      <w:tr w:rsidR="009B487A" w:rsidRPr="00722885" w14:paraId="52EE3C2F" w14:textId="77777777" w:rsidTr="00CC5360">
        <w:trPr>
          <w:trHeight w:val="173"/>
        </w:trPr>
        <w:tc>
          <w:tcPr>
            <w:tcW w:w="1890" w:type="dxa"/>
          </w:tcPr>
          <w:p w14:paraId="40820ED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Снарядов, шт.</w:t>
            </w:r>
          </w:p>
        </w:tc>
        <w:tc>
          <w:tcPr>
            <w:tcW w:w="810" w:type="dxa"/>
          </w:tcPr>
          <w:p w14:paraId="587FC7A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260" w:type="dxa"/>
          </w:tcPr>
          <w:p w14:paraId="391B86C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96" w:type="dxa"/>
            <w:gridSpan w:val="2"/>
          </w:tcPr>
          <w:p w14:paraId="700E0E6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94" w:type="dxa"/>
          </w:tcPr>
          <w:p w14:paraId="664A7EC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w:t>
            </w:r>
          </w:p>
        </w:tc>
      </w:tr>
      <w:tr w:rsidR="009B487A" w:rsidRPr="00722885" w14:paraId="3B255E5B" w14:textId="77777777" w:rsidTr="00CC5360">
        <w:trPr>
          <w:trHeight w:val="154"/>
        </w:trPr>
        <w:tc>
          <w:tcPr>
            <w:tcW w:w="1890" w:type="dxa"/>
          </w:tcPr>
          <w:p w14:paraId="1887B12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Пулеметов, шт. х кал.</w:t>
            </w:r>
          </w:p>
        </w:tc>
        <w:tc>
          <w:tcPr>
            <w:tcW w:w="810" w:type="dxa"/>
          </w:tcPr>
          <w:p w14:paraId="28A3724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2х12,7-мм</w:t>
            </w:r>
          </w:p>
        </w:tc>
        <w:tc>
          <w:tcPr>
            <w:tcW w:w="1260" w:type="dxa"/>
          </w:tcPr>
          <w:p w14:paraId="2164744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1х7,62-мм</w:t>
            </w:r>
          </w:p>
        </w:tc>
        <w:tc>
          <w:tcPr>
            <w:tcW w:w="996" w:type="dxa"/>
            <w:gridSpan w:val="2"/>
          </w:tcPr>
          <w:p w14:paraId="25CD70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1х7,62-мм</w:t>
            </w:r>
          </w:p>
        </w:tc>
        <w:tc>
          <w:tcPr>
            <w:tcW w:w="894" w:type="dxa"/>
          </w:tcPr>
          <w:p w14:paraId="556C69D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779B6FE" w14:textId="77777777" w:rsidTr="00CC5360">
        <w:trPr>
          <w:trHeight w:val="173"/>
        </w:trPr>
        <w:tc>
          <w:tcPr>
            <w:tcW w:w="1890" w:type="dxa"/>
          </w:tcPr>
          <w:p w14:paraId="23A1AF9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Тин пулемета</w:t>
            </w:r>
          </w:p>
        </w:tc>
        <w:tc>
          <w:tcPr>
            <w:tcW w:w="810" w:type="dxa"/>
          </w:tcPr>
          <w:p w14:paraId="0CD8ED6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ДШК-41</w:t>
            </w:r>
          </w:p>
        </w:tc>
        <w:tc>
          <w:tcPr>
            <w:tcW w:w="1260" w:type="dxa"/>
          </w:tcPr>
          <w:p w14:paraId="791728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ДШК-41</w:t>
            </w:r>
          </w:p>
        </w:tc>
        <w:tc>
          <w:tcPr>
            <w:tcW w:w="996" w:type="dxa"/>
            <w:gridSpan w:val="2"/>
          </w:tcPr>
          <w:p w14:paraId="088C0C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ДШК-41</w:t>
            </w:r>
          </w:p>
        </w:tc>
        <w:tc>
          <w:tcPr>
            <w:tcW w:w="894" w:type="dxa"/>
          </w:tcPr>
          <w:p w14:paraId="7FC303E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4594FB8" w14:textId="77777777" w:rsidTr="00CC5360">
        <w:trPr>
          <w:trHeight w:val="202"/>
        </w:trPr>
        <w:tc>
          <w:tcPr>
            <w:tcW w:w="1890" w:type="dxa"/>
          </w:tcPr>
          <w:p w14:paraId="136E14B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Патронов, шт.</w:t>
            </w:r>
          </w:p>
        </w:tc>
        <w:tc>
          <w:tcPr>
            <w:tcW w:w="810" w:type="dxa"/>
          </w:tcPr>
          <w:p w14:paraId="011CFC8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945</w:t>
            </w:r>
          </w:p>
        </w:tc>
        <w:tc>
          <w:tcPr>
            <w:tcW w:w="1260" w:type="dxa"/>
          </w:tcPr>
          <w:p w14:paraId="5011B22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945</w:t>
            </w:r>
          </w:p>
        </w:tc>
        <w:tc>
          <w:tcPr>
            <w:tcW w:w="996" w:type="dxa"/>
            <w:gridSpan w:val="2"/>
          </w:tcPr>
          <w:p w14:paraId="51EC18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850</w:t>
            </w:r>
          </w:p>
        </w:tc>
        <w:tc>
          <w:tcPr>
            <w:tcW w:w="894" w:type="dxa"/>
          </w:tcPr>
          <w:p w14:paraId="69664B0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FF1F50B" w14:textId="77777777" w:rsidTr="00CC5360">
        <w:trPr>
          <w:trHeight w:val="173"/>
        </w:trPr>
        <w:tc>
          <w:tcPr>
            <w:tcW w:w="5850" w:type="dxa"/>
            <w:gridSpan w:val="6"/>
          </w:tcPr>
          <w:p w14:paraId="415409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Толщина брони, мм</w:t>
            </w:r>
          </w:p>
        </w:tc>
      </w:tr>
      <w:tr w:rsidR="009B487A" w:rsidRPr="00722885" w14:paraId="13BF22D5" w14:textId="77777777" w:rsidTr="00CC5360">
        <w:trPr>
          <w:trHeight w:val="259"/>
        </w:trPr>
        <w:tc>
          <w:tcPr>
            <w:tcW w:w="1890" w:type="dxa"/>
          </w:tcPr>
          <w:p w14:paraId="1052891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Верт. корпуса</w:t>
            </w:r>
          </w:p>
        </w:tc>
        <w:tc>
          <w:tcPr>
            <w:tcW w:w="810" w:type="dxa"/>
          </w:tcPr>
          <w:p w14:paraId="4961953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35-15</w:t>
            </w:r>
          </w:p>
        </w:tc>
        <w:tc>
          <w:tcPr>
            <w:tcW w:w="1260" w:type="dxa"/>
          </w:tcPr>
          <w:p w14:paraId="3FA532D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35-25-15</w:t>
            </w:r>
          </w:p>
        </w:tc>
        <w:tc>
          <w:tcPr>
            <w:tcW w:w="996" w:type="dxa"/>
            <w:gridSpan w:val="2"/>
          </w:tcPr>
          <w:p w14:paraId="3F9D661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45-35-15</w:t>
            </w:r>
          </w:p>
        </w:tc>
        <w:tc>
          <w:tcPr>
            <w:tcW w:w="894" w:type="dxa"/>
          </w:tcPr>
          <w:p w14:paraId="1462220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r>
      <w:tr w:rsidR="009B487A" w:rsidRPr="00722885" w14:paraId="12EA652F" w14:textId="77777777" w:rsidTr="00CC5360">
        <w:trPr>
          <w:trHeight w:val="163"/>
        </w:trPr>
        <w:tc>
          <w:tcPr>
            <w:tcW w:w="1890" w:type="dxa"/>
          </w:tcPr>
          <w:p w14:paraId="26A80E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Гориз. корпуса</w:t>
            </w:r>
          </w:p>
        </w:tc>
        <w:tc>
          <w:tcPr>
            <w:tcW w:w="810" w:type="dxa"/>
          </w:tcPr>
          <w:p w14:paraId="1833168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15-6</w:t>
            </w:r>
          </w:p>
        </w:tc>
        <w:tc>
          <w:tcPr>
            <w:tcW w:w="1260" w:type="dxa"/>
          </w:tcPr>
          <w:p w14:paraId="7AF318C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15-6</w:t>
            </w:r>
          </w:p>
        </w:tc>
        <w:tc>
          <w:tcPr>
            <w:tcW w:w="996" w:type="dxa"/>
            <w:gridSpan w:val="2"/>
          </w:tcPr>
          <w:p w14:paraId="5B0A297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w:t>
            </w:r>
          </w:p>
        </w:tc>
        <w:tc>
          <w:tcPr>
            <w:tcW w:w="894" w:type="dxa"/>
          </w:tcPr>
          <w:p w14:paraId="2FE5834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r>
      <w:tr w:rsidR="009B487A" w:rsidRPr="00722885" w14:paraId="5DBF921B" w14:textId="77777777" w:rsidTr="00CC5360">
        <w:trPr>
          <w:trHeight w:val="163"/>
        </w:trPr>
        <w:tc>
          <w:tcPr>
            <w:tcW w:w="1890" w:type="dxa"/>
          </w:tcPr>
          <w:p w14:paraId="4538718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Башня</w:t>
            </w:r>
          </w:p>
        </w:tc>
        <w:tc>
          <w:tcPr>
            <w:tcW w:w="810" w:type="dxa"/>
          </w:tcPr>
          <w:p w14:paraId="2167028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w:t>
            </w:r>
          </w:p>
        </w:tc>
        <w:tc>
          <w:tcPr>
            <w:tcW w:w="1260" w:type="dxa"/>
          </w:tcPr>
          <w:p w14:paraId="07D8FC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996" w:type="dxa"/>
            <w:gridSpan w:val="2"/>
          </w:tcPr>
          <w:p w14:paraId="2A64B6A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894" w:type="dxa"/>
          </w:tcPr>
          <w:p w14:paraId="74BEFB6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15-20</w:t>
            </w:r>
          </w:p>
        </w:tc>
      </w:tr>
      <w:tr w:rsidR="009B487A" w:rsidRPr="00722885" w14:paraId="44C2C5DF" w14:textId="77777777" w:rsidTr="00CC5360">
        <w:trPr>
          <w:trHeight w:val="173"/>
        </w:trPr>
        <w:tc>
          <w:tcPr>
            <w:tcW w:w="1890" w:type="dxa"/>
          </w:tcPr>
          <w:p w14:paraId="1955010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w:t>
            </w:r>
          </w:p>
        </w:tc>
        <w:tc>
          <w:tcPr>
            <w:tcW w:w="810" w:type="dxa"/>
          </w:tcPr>
          <w:p w14:paraId="6D1566F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4т/6ц/к/ж</w:t>
            </w:r>
          </w:p>
        </w:tc>
        <w:tc>
          <w:tcPr>
            <w:tcW w:w="1260" w:type="dxa"/>
          </w:tcPr>
          <w:p w14:paraId="691C3AD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4т/12ц/к/ж</w:t>
            </w:r>
          </w:p>
        </w:tc>
        <w:tc>
          <w:tcPr>
            <w:tcW w:w="990" w:type="dxa"/>
          </w:tcPr>
          <w:p w14:paraId="7B0A48F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4т/12ц/к/ж</w:t>
            </w:r>
          </w:p>
        </w:tc>
        <w:tc>
          <w:tcPr>
            <w:tcW w:w="900" w:type="dxa"/>
            <w:gridSpan w:val="2"/>
          </w:tcPr>
          <w:p w14:paraId="549DCCB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4т/6ц/д/ж</w:t>
            </w:r>
          </w:p>
        </w:tc>
      </w:tr>
      <w:tr w:rsidR="009B487A" w:rsidRPr="00722885" w14:paraId="31715007" w14:textId="77777777" w:rsidTr="00CC5360">
        <w:trPr>
          <w:trHeight w:val="173"/>
        </w:trPr>
        <w:tc>
          <w:tcPr>
            <w:tcW w:w="1890" w:type="dxa"/>
          </w:tcPr>
          <w:p w14:paraId="7F2DC37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Марка</w:t>
            </w:r>
          </w:p>
        </w:tc>
        <w:tc>
          <w:tcPr>
            <w:tcW w:w="810" w:type="dxa"/>
          </w:tcPr>
          <w:p w14:paraId="19B19D8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ЗИС-16</w:t>
            </w:r>
          </w:p>
        </w:tc>
        <w:tc>
          <w:tcPr>
            <w:tcW w:w="1260" w:type="dxa"/>
          </w:tcPr>
          <w:p w14:paraId="4DF60FE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ГАЗ-203</w:t>
            </w:r>
          </w:p>
        </w:tc>
        <w:tc>
          <w:tcPr>
            <w:tcW w:w="990" w:type="dxa"/>
          </w:tcPr>
          <w:p w14:paraId="73CCD70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ГАЗ-203</w:t>
            </w:r>
          </w:p>
        </w:tc>
        <w:tc>
          <w:tcPr>
            <w:tcW w:w="900" w:type="dxa"/>
            <w:gridSpan w:val="2"/>
          </w:tcPr>
          <w:p w14:paraId="1462E82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В-4</w:t>
            </w:r>
          </w:p>
        </w:tc>
      </w:tr>
      <w:tr w:rsidR="009B487A" w:rsidRPr="00722885" w14:paraId="3714DAC3" w14:textId="77777777" w:rsidTr="00CC5360">
        <w:trPr>
          <w:trHeight w:val="163"/>
        </w:trPr>
        <w:tc>
          <w:tcPr>
            <w:tcW w:w="1890" w:type="dxa"/>
          </w:tcPr>
          <w:p w14:paraId="6317DB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Мощность макс., л.с.</w:t>
            </w:r>
          </w:p>
        </w:tc>
        <w:tc>
          <w:tcPr>
            <w:tcW w:w="810" w:type="dxa"/>
          </w:tcPr>
          <w:p w14:paraId="255D2CE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w:t>
            </w:r>
          </w:p>
        </w:tc>
        <w:tc>
          <w:tcPr>
            <w:tcW w:w="1260" w:type="dxa"/>
          </w:tcPr>
          <w:p w14:paraId="0291566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2x70</w:t>
            </w:r>
          </w:p>
        </w:tc>
        <w:tc>
          <w:tcPr>
            <w:tcW w:w="990" w:type="dxa"/>
          </w:tcPr>
          <w:p w14:paraId="1CAD03F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2x70</w:t>
            </w:r>
          </w:p>
        </w:tc>
        <w:tc>
          <w:tcPr>
            <w:tcW w:w="900" w:type="dxa"/>
            <w:gridSpan w:val="2"/>
          </w:tcPr>
          <w:p w14:paraId="347CE97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r>
      <w:tr w:rsidR="009B487A" w:rsidRPr="00722885" w14:paraId="040D7028" w14:textId="77777777" w:rsidTr="00CC5360">
        <w:trPr>
          <w:trHeight w:val="173"/>
        </w:trPr>
        <w:tc>
          <w:tcPr>
            <w:tcW w:w="1890" w:type="dxa"/>
          </w:tcPr>
          <w:p w14:paraId="3619399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Передач КПП</w:t>
            </w:r>
          </w:p>
        </w:tc>
        <w:tc>
          <w:tcPr>
            <w:tcW w:w="810" w:type="dxa"/>
          </w:tcPr>
          <w:p w14:paraId="00C32C0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c>
          <w:tcPr>
            <w:tcW w:w="1260" w:type="dxa"/>
          </w:tcPr>
          <w:p w14:paraId="5A7CB7A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c>
          <w:tcPr>
            <w:tcW w:w="990" w:type="dxa"/>
          </w:tcPr>
          <w:p w14:paraId="7D9F24F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c>
          <w:tcPr>
            <w:tcW w:w="900" w:type="dxa"/>
            <w:gridSpan w:val="2"/>
          </w:tcPr>
          <w:p w14:paraId="5D5AEB9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r>
      <w:tr w:rsidR="009B487A" w:rsidRPr="00722885" w14:paraId="5E3220C7" w14:textId="77777777" w:rsidTr="00CC5360">
        <w:trPr>
          <w:trHeight w:val="202"/>
        </w:trPr>
        <w:tc>
          <w:tcPr>
            <w:tcW w:w="1890" w:type="dxa"/>
          </w:tcPr>
          <w:p w14:paraId="12944FA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макс., км/ч</w:t>
            </w:r>
          </w:p>
        </w:tc>
        <w:tc>
          <w:tcPr>
            <w:tcW w:w="810" w:type="dxa"/>
          </w:tcPr>
          <w:p w14:paraId="5EC0781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1260" w:type="dxa"/>
          </w:tcPr>
          <w:p w14:paraId="18CBA33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990" w:type="dxa"/>
          </w:tcPr>
          <w:p w14:paraId="5741F3F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w:t>
            </w:r>
          </w:p>
        </w:tc>
        <w:tc>
          <w:tcPr>
            <w:tcW w:w="900" w:type="dxa"/>
            <w:gridSpan w:val="2"/>
          </w:tcPr>
          <w:p w14:paraId="183902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w:t>
            </w:r>
          </w:p>
        </w:tc>
      </w:tr>
      <w:tr w:rsidR="009B487A" w:rsidRPr="00722885" w14:paraId="7D6AF0E8" w14:textId="77777777" w:rsidTr="00CC5360">
        <w:trPr>
          <w:trHeight w:val="173"/>
        </w:trPr>
        <w:tc>
          <w:tcPr>
            <w:tcW w:w="1890" w:type="dxa"/>
          </w:tcPr>
          <w:p w14:paraId="4420549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топлива</w:t>
            </w:r>
          </w:p>
        </w:tc>
        <w:tc>
          <w:tcPr>
            <w:tcW w:w="810" w:type="dxa"/>
          </w:tcPr>
          <w:p w14:paraId="275A57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Бензин 2 с</w:t>
            </w:r>
          </w:p>
        </w:tc>
        <w:tc>
          <w:tcPr>
            <w:tcW w:w="1260" w:type="dxa"/>
          </w:tcPr>
          <w:p w14:paraId="4FD82B3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Бензин 1 с</w:t>
            </w:r>
          </w:p>
        </w:tc>
        <w:tc>
          <w:tcPr>
            <w:tcW w:w="990" w:type="dxa"/>
          </w:tcPr>
          <w:p w14:paraId="32FEAF2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Бензин 1 с</w:t>
            </w:r>
          </w:p>
        </w:tc>
        <w:tc>
          <w:tcPr>
            <w:tcW w:w="900" w:type="dxa"/>
            <w:gridSpan w:val="2"/>
          </w:tcPr>
          <w:p w14:paraId="6F93352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Дизельное</w:t>
            </w:r>
          </w:p>
        </w:tc>
      </w:tr>
      <w:tr w:rsidR="009B487A" w:rsidRPr="00722885" w14:paraId="01827965" w14:textId="77777777" w:rsidTr="00CC5360">
        <w:trPr>
          <w:trHeight w:val="211"/>
        </w:trPr>
        <w:tc>
          <w:tcPr>
            <w:tcW w:w="1890" w:type="dxa"/>
          </w:tcPr>
          <w:p w14:paraId="0AA8E91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Емк. бака, л</w:t>
            </w:r>
          </w:p>
        </w:tc>
        <w:tc>
          <w:tcPr>
            <w:tcW w:w="810" w:type="dxa"/>
          </w:tcPr>
          <w:p w14:paraId="0D031E7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1260" w:type="dxa"/>
          </w:tcPr>
          <w:p w14:paraId="4BB40EB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990" w:type="dxa"/>
          </w:tcPr>
          <w:p w14:paraId="55A5AD1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900" w:type="dxa"/>
            <w:gridSpan w:val="2"/>
          </w:tcPr>
          <w:p w14:paraId="4FEE3C0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r>
      <w:tr w:rsidR="009B487A" w:rsidRPr="00722885" w14:paraId="6104936C" w14:textId="77777777" w:rsidTr="00CC5360">
        <w:trPr>
          <w:trHeight w:val="230"/>
        </w:trPr>
        <w:tc>
          <w:tcPr>
            <w:tcW w:w="5850" w:type="dxa"/>
            <w:gridSpan w:val="6"/>
          </w:tcPr>
          <w:p w14:paraId="0577D3C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 хода, км</w:t>
            </w:r>
          </w:p>
        </w:tc>
      </w:tr>
      <w:tr w:rsidR="009B487A" w:rsidRPr="00722885" w14:paraId="7BDDC859" w14:textId="77777777" w:rsidTr="00CC5360">
        <w:trPr>
          <w:trHeight w:val="173"/>
        </w:trPr>
        <w:tc>
          <w:tcPr>
            <w:tcW w:w="1890" w:type="dxa"/>
          </w:tcPr>
          <w:p w14:paraId="07986D9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шоссе</w:t>
            </w:r>
          </w:p>
        </w:tc>
        <w:tc>
          <w:tcPr>
            <w:tcW w:w="810" w:type="dxa"/>
          </w:tcPr>
          <w:p w14:paraId="7DAFE0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1260" w:type="dxa"/>
          </w:tcPr>
          <w:p w14:paraId="5F5536C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990" w:type="dxa"/>
          </w:tcPr>
          <w:p w14:paraId="6324014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900" w:type="dxa"/>
            <w:gridSpan w:val="2"/>
          </w:tcPr>
          <w:p w14:paraId="77510F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r>
      <w:tr w:rsidR="009B487A" w:rsidRPr="00722885" w14:paraId="578407FA" w14:textId="77777777" w:rsidTr="00CC5360">
        <w:trPr>
          <w:trHeight w:val="240"/>
        </w:trPr>
        <w:tc>
          <w:tcPr>
            <w:tcW w:w="1890" w:type="dxa"/>
          </w:tcPr>
          <w:p w14:paraId="065BEDE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проселок</w:t>
            </w:r>
          </w:p>
        </w:tc>
        <w:tc>
          <w:tcPr>
            <w:tcW w:w="810" w:type="dxa"/>
          </w:tcPr>
          <w:p w14:paraId="0FC27C3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1260" w:type="dxa"/>
          </w:tcPr>
          <w:p w14:paraId="3324979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990" w:type="dxa"/>
          </w:tcPr>
          <w:p w14:paraId="1DD8192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900" w:type="dxa"/>
            <w:gridSpan w:val="2"/>
          </w:tcPr>
          <w:p w14:paraId="0649C7D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w:t>
            </w:r>
          </w:p>
        </w:tc>
      </w:tr>
      <w:tr w:rsidR="009B487A" w:rsidRPr="00722885" w14:paraId="5C0520DE" w14:textId="77777777" w:rsidTr="00CC5360">
        <w:trPr>
          <w:trHeight w:val="182"/>
        </w:trPr>
        <w:tc>
          <w:tcPr>
            <w:tcW w:w="5850" w:type="dxa"/>
            <w:gridSpan w:val="6"/>
          </w:tcPr>
          <w:p w14:paraId="7F32D43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Преодолеваемые препятствия</w:t>
            </w:r>
          </w:p>
        </w:tc>
      </w:tr>
      <w:tr w:rsidR="009B487A" w:rsidRPr="00722885" w14:paraId="21BBBCCA" w14:textId="77777777" w:rsidTr="00CC5360">
        <w:trPr>
          <w:trHeight w:val="230"/>
        </w:trPr>
        <w:tc>
          <w:tcPr>
            <w:tcW w:w="1890" w:type="dxa"/>
          </w:tcPr>
          <w:p w14:paraId="4BCAD67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Уд. давление, кгс/см</w:t>
            </w:r>
            <w:r w:rsidRPr="00722885">
              <w:rPr>
                <w:rFonts w:ascii="Times New Roman" w:hAnsi="Times New Roman"/>
                <w:color w:val="000000" w:themeColor="text1"/>
                <w:sz w:val="16"/>
                <w:szCs w:val="16"/>
                <w:vertAlign w:val="superscript"/>
              </w:rPr>
              <w:t>г</w:t>
            </w:r>
          </w:p>
        </w:tc>
        <w:tc>
          <w:tcPr>
            <w:tcW w:w="810" w:type="dxa"/>
          </w:tcPr>
          <w:p w14:paraId="3F9269B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0,6</w:t>
            </w:r>
          </w:p>
        </w:tc>
        <w:tc>
          <w:tcPr>
            <w:tcW w:w="1260" w:type="dxa"/>
          </w:tcPr>
          <w:p w14:paraId="6EEDC30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0,74</w:t>
            </w:r>
          </w:p>
        </w:tc>
        <w:tc>
          <w:tcPr>
            <w:tcW w:w="990" w:type="dxa"/>
          </w:tcPr>
          <w:p w14:paraId="325FDC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0,77</w:t>
            </w:r>
          </w:p>
        </w:tc>
        <w:tc>
          <w:tcPr>
            <w:tcW w:w="900" w:type="dxa"/>
            <w:gridSpan w:val="2"/>
          </w:tcPr>
          <w:p w14:paraId="22AB53D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0,73</w:t>
            </w:r>
          </w:p>
        </w:tc>
      </w:tr>
      <w:tr w:rsidR="009B487A" w:rsidRPr="00722885" w14:paraId="29E937B0" w14:textId="77777777" w:rsidTr="00CC5360">
        <w:trPr>
          <w:trHeight w:val="173"/>
        </w:trPr>
        <w:tc>
          <w:tcPr>
            <w:tcW w:w="1890" w:type="dxa"/>
          </w:tcPr>
          <w:p w14:paraId="3A4663E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Подъем, град.</w:t>
            </w:r>
          </w:p>
        </w:tc>
        <w:tc>
          <w:tcPr>
            <w:tcW w:w="810" w:type="dxa"/>
          </w:tcPr>
          <w:p w14:paraId="3972880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1260" w:type="dxa"/>
          </w:tcPr>
          <w:p w14:paraId="79DA485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990" w:type="dxa"/>
          </w:tcPr>
          <w:p w14:paraId="461627D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900" w:type="dxa"/>
            <w:gridSpan w:val="2"/>
          </w:tcPr>
          <w:p w14:paraId="5B0355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r>
      <w:tr w:rsidR="009B487A" w:rsidRPr="00722885" w14:paraId="0BD9B659" w14:textId="77777777" w:rsidTr="00CC5360">
        <w:trPr>
          <w:trHeight w:val="173"/>
        </w:trPr>
        <w:tc>
          <w:tcPr>
            <w:tcW w:w="1890" w:type="dxa"/>
          </w:tcPr>
          <w:p w14:paraId="730A157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Cпуск, град.</w:t>
            </w:r>
          </w:p>
        </w:tc>
        <w:tc>
          <w:tcPr>
            <w:tcW w:w="810" w:type="dxa"/>
          </w:tcPr>
          <w:p w14:paraId="64E5FE0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1260" w:type="dxa"/>
          </w:tcPr>
          <w:p w14:paraId="664F01D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w:t>
            </w:r>
          </w:p>
        </w:tc>
        <w:tc>
          <w:tcPr>
            <w:tcW w:w="990" w:type="dxa"/>
          </w:tcPr>
          <w:p w14:paraId="0005C6B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w:t>
            </w:r>
          </w:p>
        </w:tc>
        <w:tc>
          <w:tcPr>
            <w:tcW w:w="900" w:type="dxa"/>
            <w:gridSpan w:val="2"/>
          </w:tcPr>
          <w:p w14:paraId="78A5CDE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w:t>
            </w:r>
          </w:p>
        </w:tc>
      </w:tr>
      <w:tr w:rsidR="009B487A" w:rsidRPr="00722885" w14:paraId="33761F2B" w14:textId="77777777" w:rsidTr="00CC5360">
        <w:trPr>
          <w:trHeight w:val="173"/>
        </w:trPr>
        <w:tc>
          <w:tcPr>
            <w:tcW w:w="1890" w:type="dxa"/>
          </w:tcPr>
          <w:p w14:paraId="3A352D0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Крен, град.</w:t>
            </w:r>
          </w:p>
        </w:tc>
        <w:tc>
          <w:tcPr>
            <w:tcW w:w="810" w:type="dxa"/>
          </w:tcPr>
          <w:p w14:paraId="250E38D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1260" w:type="dxa"/>
          </w:tcPr>
          <w:p w14:paraId="2DA695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990" w:type="dxa"/>
          </w:tcPr>
          <w:p w14:paraId="6ACBA8D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900" w:type="dxa"/>
            <w:gridSpan w:val="2"/>
          </w:tcPr>
          <w:p w14:paraId="2218FB8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r>
      <w:tr w:rsidR="009B487A" w:rsidRPr="00722885" w14:paraId="103C5D81" w14:textId="77777777" w:rsidTr="00CC5360">
        <w:trPr>
          <w:trHeight w:val="154"/>
        </w:trPr>
        <w:tc>
          <w:tcPr>
            <w:tcW w:w="1890" w:type="dxa"/>
          </w:tcPr>
          <w:p w14:paraId="5596862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Ров, мм</w:t>
            </w:r>
          </w:p>
        </w:tc>
        <w:tc>
          <w:tcPr>
            <w:tcW w:w="810" w:type="dxa"/>
          </w:tcPr>
          <w:p w14:paraId="0AA504E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1260" w:type="dxa"/>
          </w:tcPr>
          <w:p w14:paraId="77B99BA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1700</w:t>
            </w:r>
          </w:p>
        </w:tc>
        <w:tc>
          <w:tcPr>
            <w:tcW w:w="990" w:type="dxa"/>
          </w:tcPr>
          <w:p w14:paraId="26956D6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1700</w:t>
            </w:r>
          </w:p>
        </w:tc>
        <w:tc>
          <w:tcPr>
            <w:tcW w:w="900" w:type="dxa"/>
            <w:gridSpan w:val="2"/>
          </w:tcPr>
          <w:p w14:paraId="4D92B52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r>
      <w:tr w:rsidR="009B487A" w:rsidRPr="00722885" w14:paraId="2FD18169" w14:textId="77777777" w:rsidTr="00CC5360">
        <w:trPr>
          <w:trHeight w:val="163"/>
        </w:trPr>
        <w:tc>
          <w:tcPr>
            <w:tcW w:w="1890" w:type="dxa"/>
          </w:tcPr>
          <w:p w14:paraId="76DBEA8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Стенка, мм</w:t>
            </w:r>
          </w:p>
        </w:tc>
        <w:tc>
          <w:tcPr>
            <w:tcW w:w="810" w:type="dxa"/>
          </w:tcPr>
          <w:p w14:paraId="6DC09CD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1260" w:type="dxa"/>
          </w:tcPr>
          <w:p w14:paraId="114D209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w:t>
            </w:r>
          </w:p>
        </w:tc>
        <w:tc>
          <w:tcPr>
            <w:tcW w:w="990" w:type="dxa"/>
          </w:tcPr>
          <w:p w14:paraId="56E84E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w:t>
            </w:r>
          </w:p>
        </w:tc>
        <w:tc>
          <w:tcPr>
            <w:tcW w:w="900" w:type="dxa"/>
            <w:gridSpan w:val="2"/>
          </w:tcPr>
          <w:p w14:paraId="290E97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700</w:t>
            </w:r>
          </w:p>
        </w:tc>
      </w:tr>
      <w:tr w:rsidR="009B487A" w:rsidRPr="00722885" w14:paraId="3C155347" w14:textId="77777777" w:rsidTr="00CC5360">
        <w:trPr>
          <w:trHeight w:val="211"/>
        </w:trPr>
        <w:tc>
          <w:tcPr>
            <w:tcW w:w="1890" w:type="dxa"/>
            <w:tcBorders>
              <w:bottom w:val="single" w:sz="12" w:space="0" w:color="auto"/>
            </w:tcBorders>
          </w:tcPr>
          <w:p w14:paraId="135E5C9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Брод, мм</w:t>
            </w:r>
          </w:p>
        </w:tc>
        <w:tc>
          <w:tcPr>
            <w:tcW w:w="810" w:type="dxa"/>
            <w:tcBorders>
              <w:bottom w:val="single" w:sz="12" w:space="0" w:color="auto"/>
            </w:tcBorders>
          </w:tcPr>
          <w:p w14:paraId="261285E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c>
          <w:tcPr>
            <w:tcW w:w="1260" w:type="dxa"/>
            <w:tcBorders>
              <w:bottom w:val="single" w:sz="12" w:space="0" w:color="auto"/>
            </w:tcBorders>
          </w:tcPr>
          <w:p w14:paraId="2FA733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w:t>
            </w:r>
          </w:p>
        </w:tc>
        <w:tc>
          <w:tcPr>
            <w:tcW w:w="990" w:type="dxa"/>
            <w:tcBorders>
              <w:bottom w:val="single" w:sz="12" w:space="0" w:color="auto"/>
            </w:tcBorders>
          </w:tcPr>
          <w:p w14:paraId="3C6CADE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w:t>
            </w:r>
          </w:p>
        </w:tc>
        <w:tc>
          <w:tcPr>
            <w:tcW w:w="900" w:type="dxa"/>
            <w:gridSpan w:val="2"/>
            <w:tcBorders>
              <w:bottom w:val="single" w:sz="12" w:space="0" w:color="auto"/>
            </w:tcBorders>
          </w:tcPr>
          <w:p w14:paraId="305807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1100</w:t>
            </w:r>
          </w:p>
        </w:tc>
      </w:tr>
    </w:tbl>
    <w:p w14:paraId="192894A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Танк Т-60-3 в испытаниях не участвовал и ТТХ даны теоретические.</w:t>
      </w:r>
    </w:p>
    <w:p w14:paraId="44DC681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Танк Т-50-3 построен не был и испытаниям не подвергался (10782).</w:t>
      </w:r>
    </w:p>
    <w:p w14:paraId="56914F5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F9E479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декабря 1942 танки Т-60-3, которые имел еще меньшее число отличий от базового танка, чем даже Т-70(3) (корпус уже был приспособлен под двигатель ЗИС-16, кото</w:t>
      </w:r>
      <w:r w:rsidRPr="00722885">
        <w:rPr>
          <w:rFonts w:ascii="Times New Roman" w:hAnsi="Times New Roman"/>
          <w:color w:val="000000" w:themeColor="text1"/>
          <w:sz w:val="16"/>
          <w:szCs w:val="16"/>
        </w:rPr>
        <w:softHyphen/>
        <w:t>рый планировалось ставить на Т-60 и который был сломан. Боекомплект танков составлял 16 магазинов (480 па</w:t>
      </w:r>
      <w:r w:rsidRPr="00722885">
        <w:rPr>
          <w:rFonts w:ascii="Times New Roman" w:hAnsi="Times New Roman"/>
          <w:color w:val="000000" w:themeColor="text1"/>
          <w:sz w:val="16"/>
          <w:szCs w:val="16"/>
        </w:rPr>
        <w:softHyphen/>
        <w:t>тронов) для Т-90 и 12 (360 патронов) для Т-70 (3) и Т-60-3) прибыли на испытания в Кубинку, имея следующие отличия, кроме отмеченных выше: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9B487A" w:rsidRPr="00722885" w14:paraId="2089CB5F" w14:textId="77777777" w:rsidTr="00CC5360">
        <w:tc>
          <w:tcPr>
            <w:tcW w:w="2802" w:type="dxa"/>
            <w:tcBorders>
              <w:top w:val="single" w:sz="12" w:space="0" w:color="auto"/>
            </w:tcBorders>
            <w:shd w:val="clear" w:color="auto" w:fill="FFFFFF"/>
          </w:tcPr>
          <w:p w14:paraId="162CB35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shd w:val="clear" w:color="auto" w:fill="FFFFFF"/>
          </w:tcPr>
          <w:p w14:paraId="4BE9AB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Т-90</w:t>
            </w:r>
          </w:p>
        </w:tc>
        <w:tc>
          <w:tcPr>
            <w:tcW w:w="2802" w:type="dxa"/>
            <w:tcBorders>
              <w:top w:val="single" w:sz="12" w:space="0" w:color="auto"/>
            </w:tcBorders>
            <w:shd w:val="clear" w:color="auto" w:fill="FFFFFF"/>
          </w:tcPr>
          <w:p w14:paraId="5E74DB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Т-70 (3)</w:t>
            </w:r>
          </w:p>
        </w:tc>
        <w:tc>
          <w:tcPr>
            <w:tcW w:w="2802" w:type="dxa"/>
            <w:tcBorders>
              <w:top w:val="single" w:sz="12" w:space="0" w:color="auto"/>
            </w:tcBorders>
            <w:shd w:val="clear" w:color="auto" w:fill="FFFFFF"/>
          </w:tcPr>
          <w:p w14:paraId="4408CC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Т-60-3</w:t>
            </w:r>
          </w:p>
        </w:tc>
      </w:tr>
      <w:tr w:rsidR="009B487A" w:rsidRPr="00722885" w14:paraId="39EE201D" w14:textId="77777777" w:rsidTr="00CC5360">
        <w:tc>
          <w:tcPr>
            <w:tcW w:w="2802" w:type="dxa"/>
            <w:shd w:val="clear" w:color="auto" w:fill="FFFFFF"/>
          </w:tcPr>
          <w:p w14:paraId="614BC6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Спуск</w:t>
            </w:r>
          </w:p>
        </w:tc>
        <w:tc>
          <w:tcPr>
            <w:tcW w:w="2802" w:type="dxa"/>
            <w:shd w:val="clear" w:color="auto" w:fill="FFFFFF"/>
          </w:tcPr>
          <w:p w14:paraId="330B88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Лев.педаль - залп;</w:t>
            </w:r>
          </w:p>
        </w:tc>
        <w:tc>
          <w:tcPr>
            <w:tcW w:w="2802" w:type="dxa"/>
            <w:shd w:val="clear" w:color="auto" w:fill="FFFFFF"/>
          </w:tcPr>
          <w:p w14:paraId="5C929C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 педаль - лев. пулем;</w:t>
            </w:r>
          </w:p>
        </w:tc>
        <w:tc>
          <w:tcPr>
            <w:tcW w:w="2802" w:type="dxa"/>
            <w:shd w:val="clear" w:color="auto" w:fill="FFFFFF"/>
          </w:tcPr>
          <w:p w14:paraId="7F7EAE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Спарен, педаль - залп</w:t>
            </w:r>
          </w:p>
        </w:tc>
      </w:tr>
      <w:tr w:rsidR="009B487A" w:rsidRPr="00722885" w14:paraId="39D1A2DC" w14:textId="77777777" w:rsidTr="00CC5360">
        <w:tc>
          <w:tcPr>
            <w:tcW w:w="2802" w:type="dxa"/>
            <w:shd w:val="clear" w:color="auto" w:fill="FFFFFF"/>
          </w:tcPr>
          <w:p w14:paraId="7F52D1E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802" w:type="dxa"/>
            <w:shd w:val="clear" w:color="auto" w:fill="FFFFFF"/>
          </w:tcPr>
          <w:p w14:paraId="274C3F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 педаль - пр. Пулемет</w:t>
            </w:r>
          </w:p>
        </w:tc>
        <w:tc>
          <w:tcPr>
            <w:tcW w:w="2802" w:type="dxa"/>
            <w:shd w:val="clear" w:color="auto" w:fill="FFFFFF"/>
          </w:tcPr>
          <w:p w14:paraId="33261E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 педаль - пр. Пулемет</w:t>
            </w:r>
          </w:p>
        </w:tc>
        <w:tc>
          <w:tcPr>
            <w:tcW w:w="2802" w:type="dxa"/>
            <w:shd w:val="clear" w:color="auto" w:fill="FFFFFF"/>
          </w:tcPr>
          <w:p w14:paraId="587C76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17142B2" w14:textId="77777777" w:rsidTr="00CC5360">
        <w:tc>
          <w:tcPr>
            <w:tcW w:w="2802" w:type="dxa"/>
            <w:shd w:val="clear" w:color="auto" w:fill="FFFFFF"/>
          </w:tcPr>
          <w:p w14:paraId="3A61A6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Гильзосбор</w:t>
            </w:r>
          </w:p>
        </w:tc>
        <w:tc>
          <w:tcPr>
            <w:tcW w:w="2802" w:type="dxa"/>
            <w:shd w:val="clear" w:color="auto" w:fill="FFFFFF"/>
          </w:tcPr>
          <w:p w14:paraId="4F3B12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рукавам в ящик</w:t>
            </w:r>
          </w:p>
        </w:tc>
        <w:tc>
          <w:tcPr>
            <w:tcW w:w="2802" w:type="dxa"/>
            <w:shd w:val="clear" w:color="auto" w:fill="FFFFFF"/>
          </w:tcPr>
          <w:p w14:paraId="284901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Отражение и выброс</w:t>
            </w:r>
          </w:p>
        </w:tc>
        <w:tc>
          <w:tcPr>
            <w:tcW w:w="2802" w:type="dxa"/>
            <w:shd w:val="clear" w:color="auto" w:fill="FFFFFF"/>
          </w:tcPr>
          <w:p w14:paraId="13D4B0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показано</w:t>
            </w:r>
          </w:p>
        </w:tc>
      </w:tr>
      <w:tr w:rsidR="009B487A" w:rsidRPr="00722885" w14:paraId="5A764523" w14:textId="77777777" w:rsidTr="00CC5360">
        <w:tc>
          <w:tcPr>
            <w:tcW w:w="2802" w:type="dxa"/>
            <w:shd w:val="clear" w:color="auto" w:fill="FFFFFF"/>
          </w:tcPr>
          <w:p w14:paraId="51189E2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802" w:type="dxa"/>
            <w:shd w:val="clear" w:color="auto" w:fill="FFFFFF"/>
          </w:tcPr>
          <w:p w14:paraId="3878F3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полу башни</w:t>
            </w:r>
          </w:p>
        </w:tc>
        <w:tc>
          <w:tcPr>
            <w:tcW w:w="2802" w:type="dxa"/>
            <w:shd w:val="clear" w:color="auto" w:fill="FFFFFF"/>
          </w:tcPr>
          <w:p w14:paraId="131B7B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наружу</w:t>
            </w:r>
          </w:p>
        </w:tc>
        <w:tc>
          <w:tcPr>
            <w:tcW w:w="2802" w:type="dxa"/>
            <w:shd w:val="clear" w:color="auto" w:fill="FFFFFF"/>
          </w:tcPr>
          <w:p w14:paraId="206B966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6AACF7ED" w14:textId="77777777" w:rsidTr="00CC5360">
        <w:tc>
          <w:tcPr>
            <w:tcW w:w="2802" w:type="dxa"/>
            <w:shd w:val="clear" w:color="auto" w:fill="FFFFFF"/>
          </w:tcPr>
          <w:p w14:paraId="064727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Взвод</w:t>
            </w:r>
          </w:p>
        </w:tc>
        <w:tc>
          <w:tcPr>
            <w:tcW w:w="2802" w:type="dxa"/>
            <w:shd w:val="clear" w:color="auto" w:fill="FFFFFF"/>
          </w:tcPr>
          <w:p w14:paraId="72BEA2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Кач. рычагом до угла 20°</w:t>
            </w:r>
          </w:p>
        </w:tc>
        <w:tc>
          <w:tcPr>
            <w:tcW w:w="2802" w:type="dxa"/>
            <w:shd w:val="clear" w:color="auto" w:fill="FFFFFF"/>
          </w:tcPr>
          <w:p w14:paraId="165A048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Гильзой или вставной</w:t>
            </w:r>
          </w:p>
        </w:tc>
        <w:tc>
          <w:tcPr>
            <w:tcW w:w="2802" w:type="dxa"/>
            <w:shd w:val="clear" w:color="auto" w:fill="FFFFFF"/>
          </w:tcPr>
          <w:p w14:paraId="166CE5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Гильзой</w:t>
            </w:r>
          </w:p>
        </w:tc>
      </w:tr>
      <w:tr w:rsidR="009B487A" w:rsidRPr="00722885" w14:paraId="013DC53B" w14:textId="77777777" w:rsidTr="00CC5360">
        <w:tc>
          <w:tcPr>
            <w:tcW w:w="2802" w:type="dxa"/>
            <w:shd w:val="clear" w:color="auto" w:fill="FFFFFF"/>
          </w:tcPr>
          <w:p w14:paraId="08B0212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802" w:type="dxa"/>
            <w:shd w:val="clear" w:color="auto" w:fill="FFFFFF"/>
          </w:tcPr>
          <w:p w14:paraId="67F5B2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выше - за подвижн. части</w:t>
            </w:r>
          </w:p>
        </w:tc>
        <w:tc>
          <w:tcPr>
            <w:tcW w:w="2802" w:type="dxa"/>
            <w:shd w:val="clear" w:color="auto" w:fill="FFFFFF"/>
          </w:tcPr>
          <w:p w14:paraId="57D2D1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рукояткой</w:t>
            </w:r>
          </w:p>
        </w:tc>
        <w:tc>
          <w:tcPr>
            <w:tcW w:w="2802" w:type="dxa"/>
            <w:shd w:val="clear" w:color="auto" w:fill="FFFFFF"/>
          </w:tcPr>
          <w:p w14:paraId="4DB3AE9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01C0276F" w14:textId="77777777" w:rsidTr="00CC5360">
        <w:tc>
          <w:tcPr>
            <w:tcW w:w="2802" w:type="dxa"/>
            <w:shd w:val="clear" w:color="auto" w:fill="FFFFFF"/>
          </w:tcPr>
          <w:p w14:paraId="39C40A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лин. Огня</w:t>
            </w:r>
          </w:p>
        </w:tc>
        <w:tc>
          <w:tcPr>
            <w:tcW w:w="2802" w:type="dxa"/>
            <w:shd w:val="clear" w:color="auto" w:fill="FFFFFF"/>
          </w:tcPr>
          <w:p w14:paraId="30E308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1605</w:t>
            </w:r>
          </w:p>
        </w:tc>
        <w:tc>
          <w:tcPr>
            <w:tcW w:w="2802" w:type="dxa"/>
            <w:shd w:val="clear" w:color="auto" w:fill="FFFFFF"/>
          </w:tcPr>
          <w:p w14:paraId="10D0A2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1642</w:t>
            </w:r>
          </w:p>
        </w:tc>
        <w:tc>
          <w:tcPr>
            <w:tcW w:w="2802" w:type="dxa"/>
            <w:shd w:val="clear" w:color="auto" w:fill="FFFFFF"/>
          </w:tcPr>
          <w:p w14:paraId="2EE77D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измерялось</w:t>
            </w:r>
          </w:p>
        </w:tc>
      </w:tr>
      <w:tr w:rsidR="009B487A" w:rsidRPr="00722885" w14:paraId="251E5333" w14:textId="77777777" w:rsidTr="00CC5360">
        <w:tc>
          <w:tcPr>
            <w:tcW w:w="2802" w:type="dxa"/>
            <w:shd w:val="clear" w:color="auto" w:fill="FFFFFF"/>
          </w:tcPr>
          <w:p w14:paraId="43B582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Мертв. Зона</w:t>
            </w:r>
          </w:p>
        </w:tc>
        <w:tc>
          <w:tcPr>
            <w:tcW w:w="2802" w:type="dxa"/>
            <w:shd w:val="clear" w:color="auto" w:fill="FFFFFF"/>
          </w:tcPr>
          <w:p w14:paraId="256E66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 - 22,62, корма-21,84</w:t>
            </w:r>
          </w:p>
        </w:tc>
        <w:tc>
          <w:tcPr>
            <w:tcW w:w="2802" w:type="dxa"/>
            <w:shd w:val="clear" w:color="auto" w:fill="FFFFFF"/>
          </w:tcPr>
          <w:p w14:paraId="175B1C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Нос-9,75, корма-14,82</w:t>
            </w:r>
          </w:p>
        </w:tc>
        <w:tc>
          <w:tcPr>
            <w:tcW w:w="2802" w:type="dxa"/>
            <w:shd w:val="clear" w:color="auto" w:fill="FFFFFF"/>
          </w:tcPr>
          <w:p w14:paraId="1D6775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измерялось</w:t>
            </w:r>
          </w:p>
        </w:tc>
      </w:tr>
      <w:tr w:rsidR="009B487A" w:rsidRPr="00722885" w14:paraId="5D797A07" w14:textId="77777777" w:rsidTr="00CC5360">
        <w:tc>
          <w:tcPr>
            <w:tcW w:w="2802" w:type="dxa"/>
            <w:shd w:val="clear" w:color="auto" w:fill="FFFFFF"/>
          </w:tcPr>
          <w:p w14:paraId="176A815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802" w:type="dxa"/>
            <w:shd w:val="clear" w:color="auto" w:fill="FFFFFF"/>
          </w:tcPr>
          <w:p w14:paraId="6BF037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 - 19,5, прав.- 27,3</w:t>
            </w:r>
          </w:p>
        </w:tc>
        <w:tc>
          <w:tcPr>
            <w:tcW w:w="2802" w:type="dxa"/>
            <w:shd w:val="clear" w:color="auto" w:fill="FFFFFF"/>
          </w:tcPr>
          <w:p w14:paraId="797BD4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Лев. -12,48, Прав. -14,35</w:t>
            </w:r>
          </w:p>
        </w:tc>
        <w:tc>
          <w:tcPr>
            <w:tcW w:w="2802" w:type="dxa"/>
            <w:shd w:val="clear" w:color="auto" w:fill="FFFFFF"/>
          </w:tcPr>
          <w:p w14:paraId="1E8B34E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6755F5CE" w14:textId="77777777" w:rsidTr="00CC5360">
        <w:tc>
          <w:tcPr>
            <w:tcW w:w="2802" w:type="dxa"/>
            <w:shd w:val="clear" w:color="auto" w:fill="FFFFFF"/>
          </w:tcPr>
          <w:p w14:paraId="184B3E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Мех. Наводки</w:t>
            </w:r>
          </w:p>
        </w:tc>
        <w:tc>
          <w:tcPr>
            <w:tcW w:w="2802" w:type="dxa"/>
            <w:shd w:val="clear" w:color="auto" w:fill="FFFFFF"/>
          </w:tcPr>
          <w:p w14:paraId="19B8EE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Штатные от Т-70М</w:t>
            </w:r>
          </w:p>
        </w:tc>
        <w:tc>
          <w:tcPr>
            <w:tcW w:w="2802" w:type="dxa"/>
            <w:shd w:val="clear" w:color="auto" w:fill="FFFFFF"/>
          </w:tcPr>
          <w:p w14:paraId="669028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Штатные от Т-70</w:t>
            </w:r>
          </w:p>
        </w:tc>
        <w:tc>
          <w:tcPr>
            <w:tcW w:w="2802" w:type="dxa"/>
            <w:shd w:val="clear" w:color="auto" w:fill="FFFFFF"/>
          </w:tcPr>
          <w:p w14:paraId="4367272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6BBB8A09" w14:textId="77777777" w:rsidTr="00CC5360">
        <w:tc>
          <w:tcPr>
            <w:tcW w:w="2802" w:type="dxa"/>
            <w:shd w:val="clear" w:color="auto" w:fill="FFFFFF"/>
          </w:tcPr>
          <w:p w14:paraId="67C3DC9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802" w:type="dxa"/>
            <w:shd w:val="clear" w:color="auto" w:fill="FFFFFF"/>
          </w:tcPr>
          <w:p w14:paraId="5FF277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Гориз - 6° за оборот.</w:t>
            </w:r>
          </w:p>
        </w:tc>
        <w:tc>
          <w:tcPr>
            <w:tcW w:w="2802" w:type="dxa"/>
            <w:shd w:val="clear" w:color="auto" w:fill="FFFFFF"/>
          </w:tcPr>
          <w:p w14:paraId="73D5CF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Гориз. - 3,5° за оборот.</w:t>
            </w:r>
          </w:p>
        </w:tc>
        <w:tc>
          <w:tcPr>
            <w:tcW w:w="2802" w:type="dxa"/>
            <w:shd w:val="clear" w:color="auto" w:fill="FFFFFF"/>
          </w:tcPr>
          <w:p w14:paraId="6C9002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Свободный</w:t>
            </w:r>
          </w:p>
        </w:tc>
      </w:tr>
      <w:tr w:rsidR="009B487A" w:rsidRPr="00722885" w14:paraId="30F19913" w14:textId="77777777" w:rsidTr="00CC5360">
        <w:tc>
          <w:tcPr>
            <w:tcW w:w="2802" w:type="dxa"/>
            <w:tcBorders>
              <w:bottom w:val="single" w:sz="12" w:space="0" w:color="auto"/>
            </w:tcBorders>
            <w:shd w:val="clear" w:color="auto" w:fill="FFFFFF"/>
          </w:tcPr>
          <w:p w14:paraId="14AB706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shd w:val="clear" w:color="auto" w:fill="FFFFFF"/>
          </w:tcPr>
          <w:p w14:paraId="100335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Вертик -10° за оборот.</w:t>
            </w:r>
          </w:p>
        </w:tc>
        <w:tc>
          <w:tcPr>
            <w:tcW w:w="2802" w:type="dxa"/>
            <w:tcBorders>
              <w:bottom w:val="single" w:sz="12" w:space="0" w:color="auto"/>
            </w:tcBorders>
            <w:shd w:val="clear" w:color="auto" w:fill="FFFFFF"/>
          </w:tcPr>
          <w:p w14:paraId="66357B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Свободное качание</w:t>
            </w:r>
          </w:p>
        </w:tc>
        <w:tc>
          <w:tcPr>
            <w:tcW w:w="2802" w:type="dxa"/>
            <w:tcBorders>
              <w:bottom w:val="single" w:sz="12" w:space="0" w:color="auto"/>
            </w:tcBorders>
            <w:shd w:val="clear" w:color="auto" w:fill="FFFFFF"/>
          </w:tcPr>
          <w:p w14:paraId="2CE038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Свободное качание</w:t>
            </w:r>
          </w:p>
        </w:tc>
      </w:tr>
    </w:tbl>
    <w:p w14:paraId="3F8A49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Поскольку танк Т-60-3 не имел двигателя, а также кол-аторного прицела, к испытаниям он допущен не был. цанки же Т-70 (3) и Т-90 сначала подверглись пробегу по орожъю на 50 км с расстопоренным оружием (интерес-что, по отчету ГАУ, пробег состоялся еще 1 декабря) (11417).</w:t>
      </w:r>
    </w:p>
    <w:p w14:paraId="3728931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AA06C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декабря 1942, признавая вину за поломки готовых СГ-122 и шасси для них, происходивших по вине испытателей завода № 592 из-за незнания немецкой матчасти, председатель техсовета НКВ Э. Сатель попросил военных о выделении предприятию «бригады в количестве трёх человек во главе с механиком-водителем для обслуживания ходовых частей, системы управления и моторного отделения трофейных „Артштурмов“».</w:t>
      </w:r>
    </w:p>
    <w:p w14:paraId="677D56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Кроме того, на Донской, Сталинградский и Юго-Западный фронты, войска которых окружили 6-ю немецкую армию под Сталинградом, 4 декабря 1942 года выехали представители ГАБТУ КА. В задачу последних входило получить от каждого фронта в течение декабря по 70–80 штук трофейных танков Т-3, Т-4 и «Артштурм», предназначенных для изготовления СГ-122.</w:t>
      </w:r>
    </w:p>
    <w:p w14:paraId="4E6726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несмотря на принимаемые меры, выполнить программу по этим самоходкам не удалось, причем главным образом по вине завода № 592. Справедливости ради стоит сказать, что это предприятие не имело ни необходимого оборудования, ни специалистов, ни площадей для выполнения поставленной задачи. Кроме того, помимо самоходок завод имел большой план по изготовлению корпусов мин, авиабомб, минометных плит и бронепоездов ПВО. Эти задания «забирали» на себя большое количество оборудования и рабочих (12688).</w:t>
      </w:r>
    </w:p>
    <w:p w14:paraId="6631220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5F36CE5" w14:textId="77777777" w:rsidR="00D11F22" w:rsidRPr="00722885" w:rsidRDefault="00D11F2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 декабря 1942 на Гороховецкий артиллерийский научно-испытательный опытный полигон (АНИОП) прибыла СГ-2. Практически сразу появились проблемы, связанные с ремонтным шасси. На полигон машина поехала своим ходом, но после 5 километров пути начались серьезные неполадки с управлением. До полигона машину пришлось тащить на тракторе. Для ремонта с находящегося неподалеку завода №112 была выделена группа специалистов. С 4 по 11 ноября шло приведение шасси в порядок, но до конца неисправности так и не удалось устранить. В результате ходовые испытания машины не проводились, а объем огневых испытаний был сокращен до 235 выстрелов.</w:t>
      </w:r>
    </w:p>
    <w:p w14:paraId="66A53474" w14:textId="77777777" w:rsidR="00D11F22" w:rsidRPr="00722885" w:rsidRDefault="00D11F2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Все эти неприятности происходили на фоне куда большей проблемы. 2 декабря вышло постановление ГКО №2559, согласно которому завод №592 передавался из ведения НКВ в ведение Народного комиссариата танковой промышленности (НКТП) и преобразовывался в завод №40. Причиной тому стало переориентирование завода №38 на выпуск легкой САУ СУ-12. Другими словами, испытания СГ-2 проводились уже, скорее, для галочки. С учетом того, что на УЗТМ уже был освоен выпуск Т-34, выбор У-35 в качестве серийной средней САУ выглядел логичным. К тому же прибывшая чуть позже свердловская самоходка проблем с ходовыми испытаниями не имела.</w:t>
      </w:r>
    </w:p>
    <w:p w14:paraId="6ADA26DF" w14:textId="77777777" w:rsidR="00D11F22" w:rsidRPr="00722885" w:rsidRDefault="00D11F2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Совсем другая картина стала вырисовываться в ходе изучения боевого отделения и испытаний стрельбой. Насколько успешно У-35 прошла испытания пробегом, настолько все плохо оказалось с ее боевым отделением. Комиссия прямым текстом назвала его конструкцию неприемлемой. Боевое отделение получилось тесным и местами даже опасным для расчета.</w:t>
      </w:r>
    </w:p>
    <w:p w14:paraId="4E1225F5" w14:textId="77777777" w:rsidR="00D11F22" w:rsidRPr="00722885" w:rsidRDefault="00D11F2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Совсем иной оценки удостоилось боевое отделение СГ-2. Его посчитали слишком низким (высоту требовалось поднять на 5 см), а низкое расположение панорамы вызывало некоторое неудобство работы с прицелом. Всего список необходимых исправлений включал 11 пунктов. Но общий вывод комиссии был сделан в пользу СГ-2, имевшей несомненные преимущества перед У-35. Выше оказалась и скорострельность: до требуемых 10 выстрелов в минуту довести ее не удалось, но 7–8 выстрелов – это не 5, как у У-35. В заключении комиссия потребовала произвести доработку У-35с использованием конструктивных наработок по СГ-2.</w:t>
      </w:r>
    </w:p>
    <w:p w14:paraId="2947060A" w14:textId="77777777" w:rsidR="00D11F22" w:rsidRPr="00722885" w:rsidRDefault="00D11F2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Если бы не отвратительное состояние присланного ремонтного шасси, то СГ-2 могла и выдержать испытания. Другое дело, что еще до начала испытаний решение о запуске У-35 в серию уже было принято. Сложись обстоятельства чуть по-другому, свердловская самоходка проиграла бы схватку с мытищинской. Правда, у детища Синильщикова в этом случае могли возникнуть проблемы с поставками шасси (17681).</w:t>
      </w:r>
    </w:p>
    <w:p w14:paraId="24BF85E6" w14:textId="77777777" w:rsidR="00D11F22" w:rsidRPr="00722885" w:rsidRDefault="00D11F22" w:rsidP="00722885">
      <w:pPr>
        <w:spacing w:after="0" w:line="240" w:lineRule="auto"/>
        <w:jc w:val="both"/>
        <w:rPr>
          <w:rFonts w:ascii="Times New Roman" w:eastAsia="Times New Roman" w:hAnsi="Times New Roman"/>
          <w:color w:val="000000" w:themeColor="text1"/>
          <w:sz w:val="16"/>
          <w:szCs w:val="16"/>
          <w:lang w:eastAsia="ru-RU"/>
        </w:rPr>
      </w:pPr>
    </w:p>
    <w:p w14:paraId="6280A15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декабря 1942 вышло Постановление ГКО № 2562 О неотложных мерах помощи углем важнейшим электростанциям в целях предотвращения их остановки. РГАНИР, Фонд ГКО, д. 71, лл. 64-65, 66-68 (11012).</w:t>
      </w:r>
    </w:p>
    <w:p w14:paraId="7BBA902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F39D4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декабря 1942 вышло Постановление ГКО № 2563 О возвращении эвакуированных в Казахстан студентов и преподавателей Московского энергетического института. РГАНИР, Фонд ГКО, д. 71, лл. 69 (11012).</w:t>
      </w:r>
    </w:p>
    <w:p w14:paraId="28A1ECD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7069EDC"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4 декабря 1942 вышло Постановление ГКО № 2563 [О реэвакуации студентов и преподавателей Московского энергетического института.] (7065, 69).</w:t>
      </w:r>
    </w:p>
    <w:p w14:paraId="040939B7" w14:textId="77777777" w:rsidR="00BB6316" w:rsidRPr="00722885" w:rsidRDefault="00BB6316" w:rsidP="00722885">
      <w:pPr>
        <w:pStyle w:val="Iauiue"/>
        <w:tabs>
          <w:tab w:val="left" w:pos="11199"/>
        </w:tabs>
        <w:jc w:val="both"/>
        <w:rPr>
          <w:color w:val="000000" w:themeColor="text1"/>
          <w:sz w:val="16"/>
          <w:szCs w:val="16"/>
        </w:rPr>
      </w:pPr>
    </w:p>
    <w:p w14:paraId="70F7C226"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4 декабря 1942 вышло Постановление ГКО № 2564 О добыче торфа предприятиями Наркомата электростанций в 1943 г. (7065, 70-77,78-98).</w:t>
      </w:r>
    </w:p>
    <w:p w14:paraId="6BE00D22" w14:textId="77777777" w:rsidR="00BB6316" w:rsidRPr="00722885" w:rsidRDefault="00BB6316" w:rsidP="00722885">
      <w:pPr>
        <w:pStyle w:val="Iauiue"/>
        <w:tabs>
          <w:tab w:val="left" w:pos="11199"/>
        </w:tabs>
        <w:jc w:val="both"/>
        <w:rPr>
          <w:color w:val="000000" w:themeColor="text1"/>
          <w:sz w:val="16"/>
          <w:szCs w:val="16"/>
        </w:rPr>
      </w:pPr>
    </w:p>
    <w:p w14:paraId="0D64CFC2"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4 декабря 1942 вышло Постановление ГКО № 2565 О назначении уполномоченных ГКО в основные угольные тресты Наркомугля. (7065, 99-101).</w:t>
      </w:r>
    </w:p>
    <w:p w14:paraId="6F83096F" w14:textId="77777777" w:rsidR="00BB6316" w:rsidRPr="00722885" w:rsidRDefault="00BB6316" w:rsidP="00722885">
      <w:pPr>
        <w:pStyle w:val="Iauiue"/>
        <w:tabs>
          <w:tab w:val="left" w:pos="11199"/>
        </w:tabs>
        <w:jc w:val="both"/>
        <w:rPr>
          <w:color w:val="000000" w:themeColor="text1"/>
          <w:sz w:val="16"/>
          <w:szCs w:val="16"/>
        </w:rPr>
      </w:pPr>
    </w:p>
    <w:p w14:paraId="110DDD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декабря 1942 вышло Постановление ГКО № 2566 О т.т. Пискаюкове В.Т., Дружинине В.И., Зубове В.А., Мартынове Г.М., Кабичкине И.П., Соколове А.П., Бодрове А.Г., Сосновикове В.В., Фурт П.С., Яковлеве Н.А. РГАНИР, Фонд ГКО, д. 71, лл. 102 (11012).</w:t>
      </w:r>
    </w:p>
    <w:p w14:paraId="5C05288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CF164B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3B1A2DC" w14:textId="77777777" w:rsidR="00BB6316" w:rsidRPr="00722885" w:rsidRDefault="00BB6316" w:rsidP="00722885">
      <w:pPr>
        <w:pStyle w:val="Iauiue"/>
        <w:jc w:val="both"/>
        <w:rPr>
          <w:iCs/>
          <w:color w:val="000000" w:themeColor="text1"/>
          <w:sz w:val="16"/>
          <w:szCs w:val="16"/>
        </w:rPr>
      </w:pPr>
    </w:p>
    <w:p w14:paraId="30C1BEB8"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4 декабря </w:t>
      </w:r>
      <w:r w:rsidRPr="00722885">
        <w:rPr>
          <w:rFonts w:ascii="Times New Roman" w:hAnsi="Times New Roman"/>
          <w:color w:val="000000" w:themeColor="text1"/>
          <w:sz w:val="16"/>
          <w:szCs w:val="16"/>
        </w:rPr>
        <w:t>в 1942 году утреннее сообщение Совинформбюро:</w:t>
      </w:r>
    </w:p>
    <w:p w14:paraId="13BE68CC"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4 декабря в районе Сталинграда и на Центральном фронте наши войска продолжали наступление на прежних направлениях.</w:t>
      </w:r>
    </w:p>
    <w:p w14:paraId="0AC70652"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войска вели огневой бой и разведку противника. Артиллеристы Н-ской части разбили 8 немецких дзотов и блиндажей, уничтожили 3 орудия, 15 пулемётных точек и до роты вражеской пехоты. Огневыми налётами гвардейцев-миномётчиков рассеяно скопление пехоты и автомашин противника.</w:t>
      </w:r>
    </w:p>
    <w:p w14:paraId="104A31B6"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частью сил продолжали вести наступательные бои и на ряде участков отбивали контратаки противника. Батальон немецкой пехоты при поддержке 5 танков атаковал позиции Н-ского подразделения. Завязался бой, который закончился рукопашной схваткой. Наши бойцы опрокинули врага и уничтожили 150 немецких солдат и офицеров. Захвачено 2 подбитых танка, 5орудий, 10 автомашин, 42 повозки и 2 радиостанции.</w:t>
      </w:r>
    </w:p>
    <w:p w14:paraId="0961D642"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Красноармеец тов. Егоров и сержант тов. Петухов ружейно-пулемётным огнём сбили трёхмоторный транспортный самолёт противника.</w:t>
      </w:r>
    </w:p>
    <w:p w14:paraId="09654BDD"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активные боевые действия. Н-ская часть очистила от немцев ряд дзотов и блиндажей и уничтожила до 300 вражеских солдат и офицеров. Противник дважды пытался вернуть потерянные позиции, но был отброшен. На других участках наши подразделения вели разведку боем и истребили до роты гитлеровцев.</w:t>
      </w:r>
    </w:p>
    <w:p w14:paraId="0E1C255F"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наступление и отбивали контратаки противника. Западнее Ржева части под командованием тов. Поветкина за три дня уничтожили 5 немецких танков, 7 бронемашин, 9 орудий и 12 миномётов. Захвачены трофеи: 24 орудия, 10 миномётов, 164 пулемёта, около 900 винтовок и автоматов, свыше 60 автомашин, 8 радиостанций, 9 складов и около миллиона патронов. В этих боях противник потерял убитыми и ранеными несколько тысяч солдат и офицеров. В районе дороги Ржев — Вязьма наши подразделения отразили контратаку противника и уничтожили до двух рот немецкой пехоты.</w:t>
      </w:r>
    </w:p>
    <w:p w14:paraId="68D256F2"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Огнём нашей береговой артиллерии на Севере потоплено два транспорта противника общим водоизмещением около 16.000 тонн.</w:t>
      </w:r>
    </w:p>
    <w:p w14:paraId="685E6CE9"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Орловской области, пустил под откос 3 железнодорожных эшелона противника. Разбито 3 паровоза, 30 вагонов, 15 платформ, из них 6 платформ, на которых находились орудия. Во время крушений убито 140 немецких солдат и офицеров. Другой отряд орловских партизан истребил до 200 гитлеровцев и захватил их оружие.</w:t>
      </w:r>
    </w:p>
    <w:p w14:paraId="09850F2C"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захвачена в плен группа солдат 216 немецкого пехотного полка. Пленные обер-ефрейторы Вилли Зипман, Густав Штинбауэр и солдат Генрих Кеен рассказали: «Летом и осенью мы строили укрепления и готовились к зимним боям. И всё же наступление русских застигло нас врасплох. Огромные опустошения произвела у нас русская артиллерия и тяжёлые танки. Солдаты нашего батальона не выдержали и разбежались. Офицеры говорили, что нам удастся отсидеться, зарывшисьв землю. Наступление русских рассеяло эти иллюзии. Теперь все понимают, что русские будут навязывать нам бои и не дадут покоя. Недавно в ротах зачитали приказ Гитлера — сражаться до последней капли крови. Этот приказ мы выслушали как смертный приговор немецким войскам на Центральном фронте» (14850).</w:t>
      </w:r>
    </w:p>
    <w:p w14:paraId="50A3CD5F"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370A8CCE"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4 декабря </w:t>
      </w:r>
      <w:r w:rsidRPr="00722885">
        <w:rPr>
          <w:rFonts w:ascii="Times New Roman" w:hAnsi="Times New Roman"/>
          <w:color w:val="000000" w:themeColor="text1"/>
          <w:sz w:val="16"/>
          <w:szCs w:val="16"/>
        </w:rPr>
        <w:t>в 1942 году вечернее сообщение Совинформбюро:</w:t>
      </w:r>
    </w:p>
    <w:p w14:paraId="2AC885C4"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4 декабря наши войска в районе Сталинграда, продолжая наступление, заняли населённые пункты Якты-Юл, Сенышин, Савинский, Лисинский, Попов, Верхне-Чирский, Чепурин, Деев, Паршин и станцию Секретев.</w:t>
      </w:r>
    </w:p>
    <w:p w14:paraId="69C07C41"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наступление на прежних направлениях и заняли несколько населённых пунктов.</w:t>
      </w:r>
    </w:p>
    <w:p w14:paraId="186BB177"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декабря частями нашей авиации на различных участках фронта уничтожено 14 немецких танков, до 200 автомашин с войсками и различными грузами, взорвано 2 склада боеприпасов, разбит железнодорожный состав, подавлен огонь 10 артиллерийских батарей, рассеяно и частью уничтожено до батальона пехоты противника.</w:t>
      </w:r>
    </w:p>
    <w:p w14:paraId="7683F2A0"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северной окраине Сталинграда наши части продвинулись вперёд на 200— 300 метров и заняли ряд укреплённых позиций противника. В заводском районе наши войска очистили от гитлеровцев один квартал. Немцы потеряли убитыми и ранеными свыше 500 солдат и офицеров. Захвачены трофеи.</w:t>
      </w:r>
    </w:p>
    <w:p w14:paraId="3EFFE082"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левом берегу реки Дон, наши войска продолжали вести наступательные бои и уничтожали опорные пункты противника. Часть под командованием тов. Мишинского рано утром перешла в наступление. Охватывая опорный пункт противника с двух сторон, наши бойцы перерезали немцам пути отхода. Завязавшийся ожесточённый бой закончился полным разгромом вражеского гарнизона. К исходу дня наши бойцы овладели господствующей над местностыо высотой и закрепились на ней. Противник потерял в этом бою только убитыми до 600 солдат и офицеров.</w:t>
      </w:r>
    </w:p>
    <w:p w14:paraId="7954A2C8"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Юго-западнее Сталинграда наши войска частью сил вели наступление и заняли сильно укреплённый населённый пункт. В бою за этот пункт уничтожено до 1.000 немецких солдат и офицеров, 6 танков, 19 пулемётов и 2 автомашины. Разрушено 30 вражеских дзотов. Ружейно-пулемётным огнём сбито 2 немецких самолёта. На другом участке танкисты под командованием тов. Пархоменко в ожесточённом бою с противником уничтожили 3 немецких танка, 3 орудия, 4 автомашины и 150 гитлеровцев.</w:t>
      </w:r>
    </w:p>
    <w:p w14:paraId="3EF5BE67"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продолжалось наступление наших войск. В районе Великих Лук наши части вели бои по ликвидации окружённых опорных пунктов противника. Бойцы Н-ской части продвинулись вперёд и разгромили немецкий батальон, оборонявший высоту, контролирующую важную дорогу. На поле боя остались сотни вражеских трупов. Захвачены трофеи: 41 пулемёт, противотанковое орудие, 7 автомашин и склад с боеприпасами.</w:t>
      </w:r>
    </w:p>
    <w:p w14:paraId="7496570C"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Н-ское соединение, преодолев упорное сопротивление противника, заняло ряд населённых пунктов. На одном участке батальон немецкой пехоты под прикрытием танков предпринял контратаку. Наши бойцы контрударом разгромили врага. На поле боя осталось до 300 трупов противника. Сожжено и подбито несколько немецких танков. Захвачено 12 противотанковых орудий, 2 самоходных орудия, исправный танк, 57 пулемётов и много другого вооружения.</w:t>
      </w:r>
    </w:p>
    <w:p w14:paraId="46965B33"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партизан, действующий в Полесской области (Белоруссия), за месяц пустил под откос 37 железнодорожных эшелонов противника. Разбиты 461 вагон и 72 цистерны с горючим. Кроме того, партизаны взорвали 17 железнодорожных и шоссейных мостов. В боях с немецкими захватчиками и во время крушений поездов уничтожено много вражеских солдат и офицеров.</w:t>
      </w:r>
    </w:p>
    <w:p w14:paraId="1135867A"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Опьянённые летними успехами и одураченные лживой брехнёй немецкие солдаты надеялись, что немецкой армии удастся одним ударом захватить Сталинград. Еще в сентябре Гитлер предсказывал скорое падение Сталинграда. Немецкие солдаты в своих письмах к родным, как попугаи, повторяли хвастливые заявления Гитлера. Обер-ефрейтор Генрих Райф 1 сентября писал: «Сегодня или завтра Сталинград будет в наших руках. Здесь мы разместимся в тёплых квартирах и, наконец, получим долгожданный отдых». 3 сентября, в четверг, солдат Гергард Хоман писал: «Мы близки к своей цели. Я надеюсь, что в воскресенье мы будем полными хозяевами Сталинграда». Унтер-офицер Вилли Шмидт писал 26 сентября: «Борьба под Сталинградом приближается к победоносному концу. Скоро экстренное сообщение возвестит о падении этой русской твердыни».</w:t>
      </w:r>
    </w:p>
    <w:p w14:paraId="4D74ACB8"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Прошло немного времени, и тон писем немецких солдат резко изменился. От былого хвастовства не осталось и следа. Ефрейтор Генрих Даувель писал 27октября: «Мы попали в настоящий чёртов котёл. Здесь форменный ад. С каждым днём, с каждым часом наше положение становится всё хуже». Унтер-офицер Вальтер Гайслер пишет отцу убитого солдата Кунце: «Сначала всё шло хорошо и мы продвигались. Но чем ближе мы подходили к нашей цели, тем ожесточённее русские сопротивлялись. Мы были вынуждены отступить. Сейчас русские непрерывно атакуют нас. Ваш сын погиб». Ефрейтор Отто Ереппель писал в середине ноября: «Сталинград стал нам поперёк горла. В роте осталось лишь 7 человек. Повсюду видны солдатские кладбища. Теперь одно слово — Сталинград — приводит нас в ужас».</w:t>
      </w:r>
    </w:p>
    <w:p w14:paraId="1012E3BE"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Греции сообщают о волнениях среди итальянских войск. В Пирее восстал итальянский полк, солдаты которого отказались ехать на фронт. Жандармерия произвела многочисленные аресты. Арестованных солдат заковали в кандалы.» (14850).</w:t>
      </w:r>
    </w:p>
    <w:p w14:paraId="3FB79BC8"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01E0247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декабря 1942 А.А.Новиков в директиве 16 и 8ВА требовал: "Уничтожение транспортных самолетов противника считать основной задачей... Закрепить специально выделенные части и и ш для уничтожения транспортных самолетов... Блокировать все аэродромы в кольце окружения днем и ночью, для чего днем использовать и, а ночью - У-2..." (518,176).</w:t>
      </w:r>
    </w:p>
    <w:p w14:paraId="0EE4D1A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Организовали несколько зон для борьбы с транспортной авиацией:</w:t>
      </w:r>
    </w:p>
    <w:p w14:paraId="7B4B283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1-я - вне кольца окружения. И и ш атаковали аэродромы Тацинская, Морозовский, Сальск, Зверево, Шахты, Ворошиловград, Новочеркасск и Ростов силами 17 и 8ВА и АДД</w:t>
      </w:r>
    </w:p>
    <w:p w14:paraId="0D52BA3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2-я - между внутренним и внешним кольцом - круговая. Там действовали и и ш 16 и 8ВА и 102 иад ПВО. делилась на 5 секторов, в каждом из которых базировались истребители, которые патрулировали или дежурили на земле в стадии готовность N 1 и 2</w:t>
      </w:r>
    </w:p>
    <w:p w14:paraId="39BDDF8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3-я - зона зенитной артиллерии, окаймляющая на 8-10 км весь район окружения, где иногда действовала и и авиация;</w:t>
      </w:r>
    </w:p>
    <w:p w14:paraId="44348C2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4-я - район окружения - аэродрому Питомник, Басаргино, посадочные площадки Гумрак, Карповка и др. (518,178).</w:t>
      </w:r>
    </w:p>
    <w:p w14:paraId="2EF11BF8" w14:textId="77777777" w:rsidR="00BB6316" w:rsidRPr="00722885" w:rsidRDefault="00BB6316" w:rsidP="00722885">
      <w:pPr>
        <w:pStyle w:val="Iauiue"/>
        <w:jc w:val="both"/>
        <w:rPr>
          <w:color w:val="000000" w:themeColor="text1"/>
          <w:sz w:val="16"/>
          <w:szCs w:val="16"/>
        </w:rPr>
      </w:pPr>
    </w:p>
    <w:p w14:paraId="72CAB9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4 декабря 1942 г. 132-й полк, вооруженный Ту-2,  принимал участие в боевых операциях на Калининском фронте. Его самолеты наносили удары по целям у передовой, а также по различным объектам в районе Смоленска, Витебска и Великих Лук. Летали днем, обычно без сопровождения истребителей. Как пикировщики Ту-2 не использовали, работали только с горизонтального полета. В частности, 15 декабря 12 Ту-2 бомбили скопление войск и техники у станции Сычевка, сбросив по 2000 кг бомб каждый. В конце декабря организовали налет на окруженный в Великих Луках немецкий гарнизон. Самолеты несли бомбы ФАБ-1000. Их сбросили с высоты 1000 м. Внизу остались двадцатиметровые воронки. В радиусе 50 - 70 м от места падения бомбы все было разрушено. Результаты налета признали "достаточно эффективными".</w:t>
      </w:r>
    </w:p>
    <w:p w14:paraId="6630F8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Летали с полевых аэродромов, устроенных на заснеженных полях, окруженных лесом. Взлетную полосу и рулежные дорожки утрамбовывали и плотно укатывали. Подготовка самолета к старту (в условиях зимы) занимала полтора-два часа. На земле машины рассредоточивали среди деревьев, укрывая сверху маскировочными сетями.</w:t>
      </w:r>
    </w:p>
    <w:p w14:paraId="7FC7BD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февраля 1943 г. полк перебросили на Юго-Западный фронт. 18 машин перебазировались на временный аэродром Кошары в 50 км южнее Миллерова. С 12 февраля полк совершил оттуда 39 вылетов на бомбометание. Здесь уже Ту-2 не поручали атаку войск у линии фронта. Используя большие дальность полета и бомбовую нагрузку, чем Пе-2, новые самолеты специализировались на налетах на железнодорожные узлы и аэродромы. Целями стали Запорожье, Днепропетровск, Дебальцево, Красноармейск, Сине- льниково, Ясиноватская.</w:t>
      </w:r>
    </w:p>
    <w:p w14:paraId="2CAE7C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распутица препятствовала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сбрасывали на Днепропетровск и Донецк (11988).</w:t>
      </w:r>
    </w:p>
    <w:p w14:paraId="3CEE874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5C92B4E"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318F07C2" w14:textId="77777777" w:rsidR="00BB6316" w:rsidRPr="00722885" w:rsidRDefault="00BB6316" w:rsidP="00722885">
      <w:pPr>
        <w:pStyle w:val="Iauiue"/>
        <w:jc w:val="both"/>
        <w:rPr>
          <w:iCs/>
          <w:color w:val="000000" w:themeColor="text1"/>
          <w:sz w:val="16"/>
          <w:szCs w:val="16"/>
        </w:rPr>
      </w:pPr>
    </w:p>
    <w:p w14:paraId="57296E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декабря 1942 г.:</w:t>
      </w:r>
    </w:p>
    <w:p w14:paraId="6B889E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«УТВЕРЖДАЮ»</w:t>
      </w:r>
    </w:p>
    <w:p w14:paraId="734777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СОВ.СЕКРЕТНО</w:t>
      </w:r>
    </w:p>
    <w:p w14:paraId="17AED1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Прокурор Ленинградского фронта Диввоенюрист /ГРЕЗОВ/</w:t>
      </w:r>
    </w:p>
    <w:p w14:paraId="28954F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ОБЩИЕ ДАННЫЕ О СОСТОЯНИИ ПРЕСТУПНОСТИ.</w:t>
      </w:r>
    </w:p>
    <w:p w14:paraId="030C8C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Общее состояние преступности по контрреволюционным преступлениям в гор. Ленинграде за период июль-октябрь м-цы 1942 года характеризуется следующими таблицами:</w:t>
      </w:r>
    </w:p>
    <w:p w14:paraId="137337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ПРИМЕЧАНИЕ: расхождение в данных между фактическим остатком дел на первое число каждого месяца и остатком, определяемым разницей между количеством дел, прошедших за предыдущий месяц (остаток на 1-е число + количество возбужденных дел), и количеством дел, законченных производством, объясняется изменением в процессе расследования квалификации по ряду дел, а вместе с ней и изменением поднадзорности по этим делам.</w:t>
      </w:r>
    </w:p>
    <w:p w14:paraId="462C46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ОБЗОР</w:t>
      </w:r>
    </w:p>
    <w:p w14:paraId="2BA65F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СОСТОЯНИИ СЛЕДСТВИЯ в УНКВД ЛО по ДЕЛАМ О КОНТРРЕВОЛЮЦИОННЫХ ПРЕСТУПЛЕНИЯХ, ПОДНАДЗОРНЫМ ВОЕННОЙ ПРОКУРАТУРЕ гор. ЛЕНИНГРАДА за ПЕРИОД ИЮЛЬ-ОКТЯБРЬ м-цы 1942 года Таблица № 1</w:t>
      </w:r>
    </w:p>
    <w:p w14:paraId="28B610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Приведенные данные свидетельствуют о снижении преступности по контрреволюционным преступлениям.</w:t>
      </w:r>
    </w:p>
    <w:p w14:paraId="6B9338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отметить, что наряду с активной работой органов УНКВД по борьбе с этого рода преступлениями, известное влияние на снижение преступности оказало и проведенное в гор. Ленинграде на основании постановления Военного Совета Ленфронта административное выселение лиц, признанных социально опасными как по своей преступной деятельности, так и по связям с преступной средой.</w:t>
      </w:r>
    </w:p>
    <w:p w14:paraId="09F6645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 преступлений по делам, расследованным в течение указанного выше периода, представляется следующими данными:</w:t>
      </w:r>
    </w:p>
    <w:p w14:paraId="4C7438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 2</w:t>
      </w:r>
    </w:p>
    <w:p w14:paraId="2196E1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 Преступлений В УНКВД ЛО В Военной Прокуратуре Ст.ст. Остав. на 1.7.</w:t>
      </w:r>
    </w:p>
    <w:p w14:paraId="34448E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качестве примеров о преступлениях, предусмотренных ст. 58-10 ч.2 УК могут быть приведены дела:</w:t>
      </w:r>
    </w:p>
    <w:p w14:paraId="451BE2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З. В.В., 1886 г.р., урож. Виленской губ., по происхождению из крестьян-середняков, по положению рабочая, работала банщицей, по национальности полька, беспартийная, ранее не судимая, бывш. Домовладелка-извозопромыш-ленница, один из сыновей Завадской репрессирован органами НКВД.</w:t>
      </w:r>
    </w:p>
    <w:p w14:paraId="59CB2B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 в период июнь—август мес. с.г. по месту жительства среди своих знакомых проводила антисоветскую агитацию, в которой клеветала на советское правительство, на Красную Армию и ее командиров, высказывала пораженческие настроения в отношении СССР и террористические намерения в отношении красноармейцев, восхваляла фашистский строй и ожидала прихода немцев в Ленинград.</w:t>
      </w:r>
    </w:p>
    <w:p w14:paraId="625918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Военным Трибуналом З. по ст. 58-10 ч.2 УК приговорена к расстрелу.</w:t>
      </w:r>
    </w:p>
    <w:p w14:paraId="0F1913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 М. М.В., 1896 г.р., урожд. Витебской области, по национальности полька, по соц. происхождению из крестьян-середняков, домохозяйка, беспартийная, муж в 1942 г. осужден по ст 58-10 ч.2 УК.</w:t>
      </w:r>
    </w:p>
    <w:p w14:paraId="50124F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 в период февраль-июль м-цы с.г. по месту своего жительства среди знакомых, проводила антисоветскую агитацию, клеветала на советское правительство, на советскую печать и ожидала прихода немцев в Ленинград, готовясь к их встрече. По ст.58-10 ч.2 УК М. приговорена к расстрелу.</w:t>
      </w:r>
    </w:p>
    <w:p w14:paraId="697301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Ш. В.Н. , 1894 г.р. из крестьян-середняков, беспартийный. Работавший агентом по снабжению Дзержинского Райпищеторга, О. Г.Я., 1893 г.р., из крестьян-середняков, беспартийный, работавший производителем работ АТУ Ленсовета и М. Р.Ф., 1886 г.р. из крестьян-середняков, беспартийный, работавший кладовщиком в Дзержинском Райпищеторге — все трое бывшие участники Кронштадтского мятежа — систематически среди своих знакомых проводили контрреволюционную агитацию, высказывались за неизбежное поражение СССР в войне с фашистской Германией и ожидали прихода немцев в Ленинград. Кроме того, Ш. состоял участником контрреволюционной организации при НИИ-13.</w:t>
      </w:r>
    </w:p>
    <w:p w14:paraId="7C0D7B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Военным Трибуналом приговорены: Ш. по ст.58-3, 58-10 ч.2 и 58-11 УК, а О. и М. по ст.58-10 ч.2 УК — к расстрелу.</w:t>
      </w:r>
    </w:p>
    <w:p w14:paraId="2C3A06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 С.И., 1918 г.р., директор столовой № 83 Петроградского района в апреле-августе мес. с.г. среди своих знакомых проводил антисоветскую агитацию, высказывал пораженческие настроения, клеветал на советскую печать, распространял фашистские листовки. Кроме того, без разрешения хранил револьвер «Наган» и 15 штук патрон. По ст.58-10 ч.2 УК и ст. 182 ч.1 УК приговорен к 10 годам лишения свободы.</w:t>
      </w:r>
    </w:p>
    <w:p w14:paraId="491DB7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Дело по обвинению Д. Г.Г., 1896 г.р., немца, артиста Госэстрады, К.П.А., немца, артиста Госэстрады, Г. Н.М., 1904 г.р., артиста Дома В.М.Флота и С. Н.С., 1896 г.р., врача. Д. и К., являясь сторонниками фашистской Германии, начиная с 1938 г. по июль мес. 1942 г. систематически проводили свою антисоветскую деятельность после нападения фашистской Германии на СССР.</w:t>
      </w:r>
    </w:p>
    <w:p w14:paraId="141339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мае м-це 1942 г. Д. из актеров организовал антисоветскую группу, в которую входили Д., К. и Г., с целью сотрудничать с немецко-фашистскими захватчиками.</w:t>
      </w:r>
    </w:p>
    <w:p w14:paraId="408545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и Г. высказывали желание обслуживать немцев в области театрального искусства, а К. намеревался поступить на службу в гестапо с целью расправы с коммунистами и советскими работниками. Совместно с Д. антисоветскую агитацию проводила С. Военным Трибуналом Д., К. и Г. признаны виновными в совершении преступлений по ст.ст. 58-10 ч.2 и 58-11 УК, а С. в преступлениях по ст.58-10 ч.2 УК и приговорены: Д., К. и С. — к расстрелу, Г. — к 10-ти годам лишения свободы.</w:t>
      </w:r>
    </w:p>
    <w:p w14:paraId="53DB08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преступлениям о контрреволюционном саботаже (ст.58-14 УК) за весь указанный период времени возникло всего четыре дела, например:</w:t>
      </w:r>
    </w:p>
    <w:p w14:paraId="14E2E2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Дело по обвинению М. М.А., 1901 г.р., из крестьян-середняков, беспартийного, работавшего мастером электрооборудования на 1-й ГЭС. М. с начала войны по день его ареста (июль месяц 1942 г.) систематически среди рабочих 1-й ГЭС проводил антисоветскую агитацию. Кроме того, сознательно проводил контрреволюционный саботаж путем порчи и вывода из строя электрооборудования, в результате чего с января по июль месяц с.г. вышло из строя 6 электромоторов. В целях порчи электрооборудования умышленно не организовывал надлежащей приемки агрегатов из ремонта , в результате чего ряд электродвигателей через непродолжительный промежуток после ремонта повторно выходили из строя. Военным Трибуналом за совершение пр.пр. ст.5810 ч.2, 58-7 и 58-14 УК приговорен к расстрелу.</w:t>
      </w:r>
    </w:p>
    <w:p w14:paraId="5F072A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СРОКИ СЛЕДСТВИЯ</w:t>
      </w:r>
    </w:p>
    <w:p w14:paraId="30E5DF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Анализ приведенных цифровых материалов показывает, что за указанный период 81,2% дел были расследованы в сроки свыше 10-ти дней, причем 18% дел расследовались в сроки от одного до 2-х месяцев.</w:t>
      </w:r>
    </w:p>
    <w:p w14:paraId="7DBA93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сроки следствия в УНКВД ЛО являются неудовлетворительными.</w:t>
      </w:r>
    </w:p>
    <w:p w14:paraId="79B683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отметить, что, являясь неудовлетворительными на протяжении всего указанного выше периода, сроки следствия особо ухудшились в сентябре и октябре м-цах, в течение которых уменьшилось количество дел, расследованных в сроки до 5-ти дней (сентябрь — 1,4 %, октябрь — 1,2 %) и до 10-ти дней (сентябрь — 14,8 %, октябрь — 8,2 %) и увеличилось количество дел, расследованных в сроки от одного до двух месяцев (сентябрь — 25,6 %, октябрь — 33,0 %).</w:t>
      </w:r>
    </w:p>
    <w:p w14:paraId="69D079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ряду дел следствие затягивалось без всяких на то уважительных причин, так например:</w:t>
      </w:r>
    </w:p>
    <w:p w14:paraId="7DDD82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 делу № 3617 по обвинению П. Н.П. в пр.пр. ст.58-10 ч.2 УК, арестованного 21 июля, следствие было закончено лишь 16 августа. Следствие велось 25 дней, фактически же по делу было произведено лишь 5 допросов обвиняемого (22 июля, 4, 14 и 16 августа), так как свидетели по делу были допрошены еще до ареста обвиняемого.</w:t>
      </w:r>
    </w:p>
    <w:p w14:paraId="35F621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Дело № 3608 по обвинению Ч. Д.Н. в пр.пр. ст.58-10 ч.2 УК РСФСР, арестованного 19-го июля, следствием закончено 16-го августа. Несмотря на то, что по делу было произведено лишь 5 допросов обвиняемого (19, 20 и 27 июля и 1 и 3 августа) следствие велось 27 дней.</w:t>
      </w:r>
    </w:p>
    <w:p w14:paraId="3E65DD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Дело № 3600 по обвинению В. в пр.пр. ст.58-10 ч.2 УК РСФСР возникло 22 июля. При наличии свидетелей, допрошенных Райотделом НКВД до ареста обвиняемого, — это дело расследовалось 23 дня.</w:t>
      </w:r>
    </w:p>
    <w:p w14:paraId="64DD34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Дело № 3619 по обвинению П. Ф.И. в пр.пр. ст.58-10 ч.2 УК, арестованного 22 июля, следствие велось 24 дня, хотя по делу, кроме допроса обвиняемого, были произведены лишь допрос одного свидетеля и одна очная ставка.</w:t>
      </w:r>
    </w:p>
    <w:p w14:paraId="15302B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ряду дел, прокуроры, наблюдавшие за следствием, в своих письменных указаниях по делам обращали внимание следователей на волокиту в расследовании, а от начальников соответствующих отделений требовали принять меры к ускорению расследования по делам.</w:t>
      </w:r>
    </w:p>
    <w:p w14:paraId="7405D1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например:</w:t>
      </w:r>
    </w:p>
    <w:p w14:paraId="1E42B6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 делу № 3582 по обвинению Б.Н.В. в пр.пр.ст.58-10 ч.2 УК РСФСР наблюдающим прокурором тов. Прытковым было обращено внимание следователя тов. Сафонова на то, что им с 12 июля по 21 июля никаких следственных действий по делу произведено не было, что повлияло на темпы расследования. Одновременно перед Начальником 10-го Отделения СПО тов. Соколовым был поставлен вопрос о недопустимости подобных фактов в последующем.</w:t>
      </w:r>
    </w:p>
    <w:p w14:paraId="0050C9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 делу № 3570 по обвинению А. Г.Н. в пр.пр.ст. 58-10 ч.2 УК наблюдающим прокурором тов. Бураковой письменным указанием было обращено внимание начальника Следственной части СПО УНКВД на затяжку следствия по делу без всяких к тому оснований.</w:t>
      </w:r>
    </w:p>
    <w:p w14:paraId="364F2D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По делу № 3544 по обвинению К. И.Г. в пр.пр. ст.58-10 ч.2 УК РСФСР письменным указанием наблюдающего прокурора тов. Бураковой было обращено внимание нач.следственной части ЭКО УНКВД ЛО на допущенную по делу волокиту, заключающуюся в том, что после ареста обвиняемого 29 июня он был допрошен лишь 12 июля, после чего до 22 июля никаких следственных действий по делу не производилось.</w:t>
      </w:r>
    </w:p>
    <w:p w14:paraId="168AFD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в связи с тем, что наибольшая волокита в расследовании дел допускается следователями ЭКО УНКВД, мной перед начальником Управления НКВД был поставлен вопрос о принятии мер к обеспечению расследования дел в сроки, установленные законом, в результате чего начальник Следственной части ЭКО Виноградов был снят с работы.</w:t>
      </w:r>
    </w:p>
    <w:p w14:paraId="6D1AEE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III. КАЧЕСТВО СЛЕДСТВИЯ.</w:t>
      </w:r>
    </w:p>
    <w:p w14:paraId="3D4B24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Показатели, определяющие качество работы следствия, приводятся в двух нижеследующих таблицах:</w:t>
      </w:r>
    </w:p>
    <w:p w14:paraId="06B2D9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Отсутствие по делам, расследованным УНКВД, оправдательных приговоров и наличие за указанный период всего одного дела (0,3 %), прекращенного Военной Прокуратурой, а также незначительный процент дел, возвращенных к доследованию (Военной Прокуратурой — 2,2 % и Военным Трибуналом — 1,3 %) дают основания к тому, чтобы качество следствия в УНКВД признать в основном удовлетворительным.</w:t>
      </w:r>
    </w:p>
    <w:p w14:paraId="1649D2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Отсутствие оправдательных приговоров, а также дел, прекращенных за от-стутствием состава преступления (ст.4 п.5 УПК), свидетельствуют о том, что дела возбуждались при наличии к тому достаточных оснований.</w:t>
      </w:r>
    </w:p>
    <w:p w14:paraId="291978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Большинство из прекращенных дел было прекращено по ст. 204 п. «б», так, например:</w:t>
      </w:r>
    </w:p>
    <w:p w14:paraId="512E0A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Дело по обвинению Н.В.Г. в пр.пр. ст.58-10 ч.2 УК было прекращено СПО УНКВД в связи с тем, что в процессе следствия были установлены неприязненные отношения между обвиняемым и свидетелями Э. и Ф., а третий свидетель М. не мог быть допрошен в связи с его эвакуацией из Ленинграда.</w:t>
      </w:r>
    </w:p>
    <w:p w14:paraId="6E66D0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Дело № 2983 по обвинению К. И.Д. в пр.пр. ст.58-10 ч.2 УК, арестованного по показаниям других арестованных Д. и К., показавших, что К.И.Д. высказывал контрреволюционные измышления и распространял содержание фашистских листовок, причем К. указал, что якобы К.И.Д. давал ему читать эти листовки в присутствии своей матери. В процессе расследования мать К.И.Д., частично подтвердившая факт, при вторичном допросе существенно изменила свои показания, указав, что свои прежние показания она дала только потому, что на очной ставке с К. он сам об этом говорил. Сам К.И.Д. виновным себя не признал.</w:t>
      </w:r>
    </w:p>
    <w:p w14:paraId="796683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Учитывая изложенное и принимая во внимание, что показания Д. и К.И.Л. недостаточны, дело было прекращено СПО НКВД на основании ст.204 п. «б» УПК.</w:t>
      </w:r>
    </w:p>
    <w:p w14:paraId="6CC7E7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4-х дел, возвращенных на доследование ВТ, ни одно дело в процессе доследования не было прекращено.</w:t>
      </w:r>
    </w:p>
    <w:p w14:paraId="4C0DF0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Приводим основания, по которым эти дела были возвращены к доследованию:</w:t>
      </w:r>
    </w:p>
    <w:p w14:paraId="4DCD06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Дело №«3650 по обвинению Г. в пр.пр. ст.58-10 ч.2 УК было возвращено на доследование определением ВТ войск НКВД и охраны тыла по мотивам того, что Г. отрицал предъявленное ему обвинение, ссылаясь на личные счеты со свидетелями П., Ш. и Ч.</w:t>
      </w:r>
    </w:p>
    <w:p w14:paraId="4D70B78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вторичном рассмотрении дела при наличии показаний тех же свидетелей ВТ приговорил Г. к 8-ми годам лишения свободы.</w:t>
      </w:r>
    </w:p>
    <w:p w14:paraId="783D1E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Дело № 1280 по обвинению К. П.Д. в пр. пр. ст.58-10 ч.2 т. п. 109 УК определением П3 того же ВТ было возвращено на доследование по тем основаниям, что ВТ признал неправильным выделение материала в отношении других лиц, с которыми К. имел преступную связь и которые по определению ПЗ должны быть привлечены к уголовной ответственности по одному делу. При вторичном рассмотрении ВТ, рассматривая дело, опять в отношении одного К., приговорил его по ст.58-10 ч.2 п. 109 УК к 10 годам лишения свободы.</w:t>
      </w:r>
    </w:p>
    <w:p w14:paraId="5BBA27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По делу по обвинению Р. М.П. в пр.пр. ст. 58-10 ч.2 УК определением ВТ Ленфронта был отменен приговор ВТ Войск НКВД и охраны тыла, которым Р. была приговорена к расстрелу и дело возвращено на доследование для допроса дополнительных свидетелей.</w:t>
      </w:r>
    </w:p>
    <w:p w14:paraId="0F7A79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новом рассмотрении Р. вновь была приговорена к расстрелу</w:t>
      </w:r>
    </w:p>
    <w:p w14:paraId="688C07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4) Дело № 1413 по обвинению К. И.Л. в пр.пр. ст.58-10 ч.2 УК и закона от 7.8.32 г. и Г. Н.А. в пр.пр. зак.7.8.32 г. определением ВТ войск НКВД и охраны тыла было возвращено к доследованию для проведения повторной бухгалтерской ревизии и др. следственных действий, связанных с совершенным обвиняемыми хищением.</w:t>
      </w:r>
    </w:p>
    <w:p w14:paraId="5EFDA2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ВОЕННОЙ ПРОКУРАТУРЫ г.ЛЕНИНГРАДА по НАДЗОРУ и РУКОВОДСТВУ СЛЕДСТВИЕМ.</w:t>
      </w:r>
    </w:p>
    <w:p w14:paraId="433F65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участие ВП в следствии и дача указаний Таблица № 7</w:t>
      </w:r>
    </w:p>
    <w:p w14:paraId="721C4A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Сопоставляя данные об участи прокуроров в следствии с данными, характеризующими качество следствия, следует признать, что как непосредственное участие наблюдающих прокуроров в проводимом УНКВД расследовании уголовных дел о контрреволюционных преступлениях, так и дача по этим делам указаний, являются достаточными.</w:t>
      </w:r>
    </w:p>
    <w:p w14:paraId="427057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наличие в УНКВД длительных сроков следствия свидетельствует о том, что в ускорении темпов расследования наблюдающие прокуроры еще не проявляют жестких требований к работникам следственного аппарата.</w:t>
      </w:r>
    </w:p>
    <w:p w14:paraId="6AE050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Изжитие этого недостатка составляет первоочередную задачу Военной Прокуратуры гор. Ленинграда в области надзора за следствием в УНКВД ЛО.</w:t>
      </w:r>
    </w:p>
    <w:p w14:paraId="3A810C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ПРОКУРОР гор. ЛЕНИНГРАДА</w:t>
      </w:r>
    </w:p>
    <w:p w14:paraId="03B9E1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БРИГВОЕНЮРИСТ /А.ПАНФИЛЕНКО/</w:t>
      </w:r>
    </w:p>
    <w:p w14:paraId="0CFEF5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п/п. Верно: Секретарь В.П.Л.Ф. техник-интендант II р. /Вербицкая/ отп. три экз.</w:t>
      </w:r>
    </w:p>
    <w:p w14:paraId="2C1EE3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Архив УФСБ ЛО. Ф. 21/12. Оп.2. П.н. 44. Д.3 (Переписка с органами суда и прокуратуры. 3 августа 1941 г . — 30апреля 1943 г.). Л.44-48 (11814).</w:t>
      </w:r>
    </w:p>
    <w:p w14:paraId="37F8AEA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A521DF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1B540431" w14:textId="77777777" w:rsidR="00BB6316" w:rsidRPr="00722885" w:rsidRDefault="00BB6316" w:rsidP="00722885">
      <w:pPr>
        <w:pStyle w:val="Iauiue"/>
        <w:jc w:val="both"/>
        <w:rPr>
          <w:iCs/>
          <w:color w:val="000000" w:themeColor="text1"/>
          <w:sz w:val="16"/>
          <w:szCs w:val="16"/>
        </w:rPr>
      </w:pPr>
    </w:p>
    <w:p w14:paraId="01318A8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декабря 1942 была подписана Советско-польская декларация о дружбе и взаимной помощи (512,295).</w:t>
      </w:r>
    </w:p>
    <w:p w14:paraId="649BC510" w14:textId="77777777" w:rsidR="00BB6316" w:rsidRPr="00722885" w:rsidRDefault="00BB6316" w:rsidP="00722885">
      <w:pPr>
        <w:pStyle w:val="Iauiue"/>
        <w:jc w:val="both"/>
        <w:rPr>
          <w:color w:val="000000" w:themeColor="text1"/>
          <w:sz w:val="16"/>
          <w:szCs w:val="16"/>
        </w:rPr>
      </w:pPr>
    </w:p>
    <w:p w14:paraId="46E3F238" w14:textId="77777777" w:rsidR="00BB6316"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31D039DE" w14:textId="77777777" w:rsidR="00BB6316" w:rsidRPr="00722885" w:rsidRDefault="00BB6316" w:rsidP="00722885">
      <w:pPr>
        <w:pStyle w:val="Iauiue"/>
        <w:jc w:val="both"/>
        <w:rPr>
          <w:iCs/>
          <w:color w:val="000000" w:themeColor="text1"/>
          <w:sz w:val="16"/>
          <w:szCs w:val="16"/>
          <w:lang w:val="en-US"/>
        </w:rPr>
      </w:pPr>
    </w:p>
    <w:p w14:paraId="1C48C63A"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4, 1942: German forces in Tunisia capture Tebourba. The US 5th Air Force stationed in French North Africa launches its first raid against the Italian port of Naples (3819).</w:t>
      </w:r>
    </w:p>
    <w:p w14:paraId="2EE96AF9" w14:textId="77777777" w:rsidR="00BB6316" w:rsidRPr="00722885" w:rsidRDefault="00BB6316" w:rsidP="00722885">
      <w:pPr>
        <w:pStyle w:val="Iauiue"/>
        <w:jc w:val="both"/>
        <w:rPr>
          <w:color w:val="000000" w:themeColor="text1"/>
          <w:sz w:val="16"/>
          <w:szCs w:val="16"/>
          <w:lang w:val="en-US"/>
        </w:rPr>
      </w:pPr>
    </w:p>
    <w:p w14:paraId="4BB9AC5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декабря 1942 германские силы в Тунисе захватили Тебурбу. 5ВА США выполнила первый налет на Неаполь (3819).</w:t>
      </w:r>
    </w:p>
    <w:p w14:paraId="2D169127" w14:textId="77777777" w:rsidR="00BB6316" w:rsidRPr="00722885" w:rsidRDefault="00BB6316" w:rsidP="00722885">
      <w:pPr>
        <w:pStyle w:val="Iauiue"/>
        <w:jc w:val="both"/>
        <w:rPr>
          <w:color w:val="000000" w:themeColor="text1"/>
          <w:sz w:val="16"/>
          <w:szCs w:val="16"/>
        </w:rPr>
      </w:pPr>
    </w:p>
    <w:p w14:paraId="55CB5A6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декабря 1942 американцы выполнили первый налет на Неаполь (2100) на В-24 из Египта (2255).</w:t>
      </w:r>
    </w:p>
    <w:p w14:paraId="75594949" w14:textId="77777777" w:rsidR="00BB6316" w:rsidRPr="00722885" w:rsidRDefault="00BB6316" w:rsidP="00722885">
      <w:pPr>
        <w:pStyle w:val="Iauiue"/>
        <w:jc w:val="both"/>
        <w:rPr>
          <w:color w:val="000000" w:themeColor="text1"/>
          <w:sz w:val="16"/>
          <w:szCs w:val="16"/>
        </w:rPr>
      </w:pPr>
    </w:p>
    <w:p w14:paraId="5EC00BE9" w14:textId="77777777" w:rsidR="00FB28B1" w:rsidRPr="00722885" w:rsidRDefault="00FB28B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4 декабря 1942 бомбардировщики ВВС США совершают первый налет на Италию (20793).</w:t>
      </w:r>
    </w:p>
    <w:p w14:paraId="0895DF6F" w14:textId="77777777" w:rsidR="00FB28B1" w:rsidRPr="00722885" w:rsidRDefault="00FB28B1" w:rsidP="00722885">
      <w:pPr>
        <w:spacing w:after="0" w:line="240" w:lineRule="auto"/>
        <w:jc w:val="both"/>
        <w:rPr>
          <w:rFonts w:ascii="Times New Roman" w:hAnsi="Times New Roman"/>
          <w:color w:val="0070C0"/>
          <w:sz w:val="16"/>
          <w:szCs w:val="16"/>
        </w:rPr>
      </w:pPr>
    </w:p>
    <w:p w14:paraId="7D5D641C"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4 декабря </w:t>
      </w:r>
      <w:r w:rsidRPr="00722885">
        <w:rPr>
          <w:rFonts w:ascii="Times New Roman" w:hAnsi="Times New Roman"/>
          <w:color w:val="000000" w:themeColor="text1"/>
          <w:sz w:val="16"/>
          <w:szCs w:val="16"/>
        </w:rPr>
        <w:t>в 1942 году в США закрываются Управление общественных работ, Администрация общественных работ в рамках "нового курса" и Агенство по оказанию чрезвычайной помощи (14850).</w:t>
      </w:r>
    </w:p>
    <w:p w14:paraId="02D68A46"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7B835BE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969506F" w14:textId="77777777" w:rsidR="00BB6316" w:rsidRPr="00722885" w:rsidRDefault="00BB6316" w:rsidP="00722885">
      <w:pPr>
        <w:pStyle w:val="Iauiue"/>
        <w:jc w:val="both"/>
        <w:rPr>
          <w:iCs/>
          <w:color w:val="000000" w:themeColor="text1"/>
          <w:sz w:val="16"/>
          <w:szCs w:val="16"/>
        </w:rPr>
      </w:pPr>
    </w:p>
    <w:p w14:paraId="583FA6FD"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5 декабря 1942 во исполнение приказа коман</w:t>
      </w:r>
      <w:r w:rsidRPr="00722885">
        <w:rPr>
          <w:color w:val="000000" w:themeColor="text1"/>
          <w:sz w:val="16"/>
          <w:szCs w:val="16"/>
        </w:rPr>
        <w:softHyphen/>
        <w:t>дующего ВВС КА от 3 декабря, командир 1-го заб полковник По</w:t>
      </w:r>
      <w:r w:rsidRPr="00722885">
        <w:rPr>
          <w:color w:val="000000" w:themeColor="text1"/>
          <w:sz w:val="16"/>
          <w:szCs w:val="16"/>
        </w:rPr>
        <w:softHyphen/>
        <w:t>дольский получил распоряжение пере</w:t>
      </w:r>
      <w:r w:rsidRPr="00722885">
        <w:rPr>
          <w:color w:val="000000" w:themeColor="text1"/>
          <w:sz w:val="16"/>
          <w:szCs w:val="16"/>
        </w:rPr>
        <w:softHyphen/>
        <w:t>гнать противотанковые самолеты Ил-2 в район Сталинграда на Донской фронт в состав 16-й воз</w:t>
      </w:r>
      <w:r w:rsidRPr="00722885">
        <w:rPr>
          <w:color w:val="000000" w:themeColor="text1"/>
          <w:sz w:val="16"/>
          <w:szCs w:val="16"/>
        </w:rPr>
        <w:softHyphen/>
        <w:t>душной армии. Пунктом назначения значился аэро</w:t>
      </w:r>
      <w:r w:rsidRPr="00722885">
        <w:rPr>
          <w:color w:val="000000" w:themeColor="text1"/>
          <w:sz w:val="16"/>
          <w:szCs w:val="16"/>
        </w:rPr>
        <w:softHyphen/>
        <w:t>дром Вихлянцево.</w:t>
      </w:r>
    </w:p>
    <w:p w14:paraId="1CF60AB5"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Вылететь удалось только 15 декабря. До этого времени не было летной погоды и не все само</w:t>
      </w:r>
      <w:r w:rsidRPr="00722885">
        <w:rPr>
          <w:color w:val="000000" w:themeColor="text1"/>
          <w:sz w:val="16"/>
          <w:szCs w:val="16"/>
        </w:rPr>
        <w:softHyphen/>
        <w:t>леты были готовы. Надо отметить, что много было неисправностей моторов при подготовке к вылету. Например, только на Ил-2 зав. № 1875029 сменили 3 водопомпы («лопался корпус водопомпы»).</w:t>
      </w:r>
    </w:p>
    <w:p w14:paraId="26059095"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взлета всей группы один Ил-2 (зав. № 1876123) почти сразу же сел на аэродром Муханово в 12 км от аэродрома Толкай. Оказалось, в маслобак залили масла больше нормы. На взле</w:t>
      </w:r>
      <w:r w:rsidRPr="00722885">
        <w:rPr>
          <w:color w:val="000000" w:themeColor="text1"/>
          <w:sz w:val="16"/>
          <w:szCs w:val="16"/>
        </w:rPr>
        <w:softHyphen/>
        <w:t>те масло стало выбивать из маслобака, сильно за</w:t>
      </w:r>
      <w:r w:rsidRPr="00722885">
        <w:rPr>
          <w:color w:val="000000" w:themeColor="text1"/>
          <w:sz w:val="16"/>
          <w:szCs w:val="16"/>
        </w:rPr>
        <w:softHyphen/>
        <w:t>брызгало стекло фонаря кабины. Летчик сел на первую же попавшуюся площадку прямо по кур</w:t>
      </w:r>
      <w:r w:rsidRPr="00722885">
        <w:rPr>
          <w:color w:val="000000" w:themeColor="text1"/>
          <w:sz w:val="16"/>
          <w:szCs w:val="16"/>
        </w:rPr>
        <w:softHyphen/>
        <w:t>су. Избыток масла техники слили, фонарь отмыли. В этот же день самолет вылетел, но до аэродрома Разбойщина так и не долетел. Из-за полного израс</w:t>
      </w:r>
      <w:r w:rsidRPr="00722885">
        <w:rPr>
          <w:color w:val="000000" w:themeColor="text1"/>
          <w:sz w:val="16"/>
          <w:szCs w:val="16"/>
        </w:rPr>
        <w:softHyphen/>
        <w:t>ходования горючего самолет вынужденно сел в глу</w:t>
      </w:r>
      <w:r w:rsidRPr="00722885">
        <w:rPr>
          <w:color w:val="000000" w:themeColor="text1"/>
          <w:sz w:val="16"/>
          <w:szCs w:val="16"/>
        </w:rPr>
        <w:softHyphen/>
        <w:t>бокий снег вдали от посадочной полосы аэродро</w:t>
      </w:r>
      <w:r w:rsidRPr="00722885">
        <w:rPr>
          <w:color w:val="000000" w:themeColor="text1"/>
          <w:sz w:val="16"/>
          <w:szCs w:val="16"/>
        </w:rPr>
        <w:softHyphen/>
        <w:t>ма Маркштад. Несмотря на несколько телеграмм Тишевского, этот самолет находился на аэродроме Маркштад по крайней мере до 15 февраля 1943 г. Что стало с ним в дальнейшем, установить не удалось.</w:t>
      </w:r>
    </w:p>
    <w:p w14:paraId="3E885AE7"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Остальные 9 противотанковых самолетов Ил-2 до аэродрома Разбойщина все же долетели. При этом один из них (зав. № 1871129) сел в глубокий снег вдали от посадочной площадки и погнул винт. Маслом забрызгало лобовое стекло. Летчик плохо видел полосу и промазал. Осмотр самолета пока</w:t>
      </w:r>
      <w:r w:rsidRPr="00722885">
        <w:rPr>
          <w:color w:val="000000" w:themeColor="text1"/>
          <w:sz w:val="16"/>
          <w:szCs w:val="16"/>
        </w:rPr>
        <w:softHyphen/>
        <w:t>зал, что маслобак дал течь. Этот самолет долго ре</w:t>
      </w:r>
      <w:r w:rsidRPr="00722885">
        <w:rPr>
          <w:color w:val="000000" w:themeColor="text1"/>
          <w:sz w:val="16"/>
          <w:szCs w:val="16"/>
        </w:rPr>
        <w:softHyphen/>
        <w:t>монтировался и попал на фронт только 18 января 1943 г.</w:t>
      </w:r>
    </w:p>
    <w:p w14:paraId="1014214B"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Оставшаяся группа в составе 8 самолетов Ил-2 вылетела на фронт 17 декабря и благополучно села в Большой Ивановке — аэродром свх. Пролетарий, куда их перенаправили в Разбойщине вместо аэро</w:t>
      </w:r>
      <w:r w:rsidRPr="00722885">
        <w:rPr>
          <w:color w:val="000000" w:themeColor="text1"/>
          <w:sz w:val="16"/>
          <w:szCs w:val="16"/>
        </w:rPr>
        <w:softHyphen/>
        <w:t>дрома Вихлянцево.</w:t>
      </w:r>
    </w:p>
    <w:p w14:paraId="6F4DF7C2"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прибытии на фронт самолеты вошли в состав 688-го шап 228-й шад 16 ВА, «действующей по раз</w:t>
      </w:r>
      <w:r w:rsidRPr="00722885">
        <w:rPr>
          <w:color w:val="000000" w:themeColor="text1"/>
          <w:sz w:val="16"/>
          <w:szCs w:val="16"/>
        </w:rPr>
        <w:softHyphen/>
        <w:t>грому окруженной немецкой группировки под Ста</w:t>
      </w:r>
      <w:r w:rsidRPr="00722885">
        <w:rPr>
          <w:color w:val="000000" w:themeColor="text1"/>
          <w:sz w:val="16"/>
          <w:szCs w:val="16"/>
        </w:rPr>
        <w:softHyphen/>
        <w:t>линградом». Боевым приказом командира дивизии полковника Г. О. Комарова от 18 декабря коман</w:t>
      </w:r>
      <w:r w:rsidRPr="00722885">
        <w:rPr>
          <w:color w:val="000000" w:themeColor="text1"/>
          <w:sz w:val="16"/>
          <w:szCs w:val="16"/>
        </w:rPr>
        <w:softHyphen/>
        <w:t>дир 688-го шап капитан М. Г. Скляров обязывался до 22—23 декабря «закончить изучение вооруже</w:t>
      </w:r>
      <w:r w:rsidRPr="00722885">
        <w:rPr>
          <w:color w:val="000000" w:themeColor="text1"/>
          <w:sz w:val="16"/>
          <w:szCs w:val="16"/>
        </w:rPr>
        <w:softHyphen/>
        <w:t>ния самолета Ил-2 с 37-мм пушками». Требовалось «провести опробование самолетов Ил-2 в воздухе путем стрельбы по мишеням и поведение самолета на всех режимах при технике пилотирования». Для изучения материальной части и подготовки само</w:t>
      </w:r>
      <w:r w:rsidRPr="00722885">
        <w:rPr>
          <w:color w:val="000000" w:themeColor="text1"/>
          <w:sz w:val="16"/>
          <w:szCs w:val="16"/>
        </w:rPr>
        <w:softHyphen/>
        <w:t>летов и пушек к зимней эксплуатации предлагалось привлечь группу работников от ОКБ-15.</w:t>
      </w:r>
    </w:p>
    <w:p w14:paraId="1D26D28D"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Здесь следует сказать, что изменение места на</w:t>
      </w:r>
      <w:r w:rsidRPr="00722885">
        <w:rPr>
          <w:color w:val="000000" w:themeColor="text1"/>
          <w:sz w:val="16"/>
          <w:szCs w:val="16"/>
        </w:rPr>
        <w:softHyphen/>
        <w:t>значения сыграло злую шутку, так как «группком- плект запчастей к самолетам и запчасти по воору</w:t>
      </w:r>
      <w:r w:rsidRPr="00722885">
        <w:rPr>
          <w:color w:val="000000" w:themeColor="text1"/>
          <w:sz w:val="16"/>
          <w:szCs w:val="16"/>
        </w:rPr>
        <w:softHyphen/>
        <w:t>жению с завода № 18 были отправлены Дугласом в Вихлянцево». Эти запчасти до самого окончания войсковых испытаний самолетов Ил-2 с пушками Ш-37 оставались в Вихлянцеве и в полк так и не по</w:t>
      </w:r>
      <w:r w:rsidRPr="00722885">
        <w:rPr>
          <w:color w:val="000000" w:themeColor="text1"/>
          <w:sz w:val="16"/>
          <w:szCs w:val="16"/>
        </w:rPr>
        <w:softHyphen/>
        <w:t>ступили.</w:t>
      </w:r>
    </w:p>
    <w:p w14:paraId="75683579"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этому времени 688-й шап находился на фрон</w:t>
      </w:r>
      <w:r w:rsidRPr="00722885">
        <w:rPr>
          <w:color w:val="000000" w:themeColor="text1"/>
          <w:sz w:val="16"/>
          <w:szCs w:val="16"/>
        </w:rPr>
        <w:softHyphen/>
        <w:t>те бессменно около 7 месяцев, пополняясь летным составом и матчастью по мере убыли непосред</w:t>
      </w:r>
      <w:r w:rsidRPr="00722885">
        <w:rPr>
          <w:color w:val="000000" w:themeColor="text1"/>
          <w:sz w:val="16"/>
          <w:szCs w:val="16"/>
        </w:rPr>
        <w:softHyphen/>
        <w:t>ственно в ходе боевых действий. Основной ка</w:t>
      </w:r>
      <w:r w:rsidRPr="00722885">
        <w:rPr>
          <w:color w:val="000000" w:themeColor="text1"/>
          <w:sz w:val="16"/>
          <w:szCs w:val="16"/>
        </w:rPr>
        <w:softHyphen/>
        <w:t>дровый состав имел специальную подготовку для ночных полетов, соответственно, полк вылетал на боевые задания главным образом ночью.</w:t>
      </w:r>
    </w:p>
    <w:p w14:paraId="39D86363"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первого же дня нахождения противотанко</w:t>
      </w:r>
      <w:r w:rsidRPr="00722885">
        <w:rPr>
          <w:color w:val="000000" w:themeColor="text1"/>
          <w:sz w:val="16"/>
          <w:szCs w:val="16"/>
        </w:rPr>
        <w:softHyphen/>
        <w:t>вых Ил-2 в полку развернулась подготовка летного и технического состава к особенностям эксплуата</w:t>
      </w:r>
      <w:r w:rsidRPr="00722885">
        <w:rPr>
          <w:color w:val="000000" w:themeColor="text1"/>
          <w:sz w:val="16"/>
          <w:szCs w:val="16"/>
        </w:rPr>
        <w:softHyphen/>
        <w:t>ции и применения пушек Ш-37.</w:t>
      </w:r>
    </w:p>
    <w:p w14:paraId="3D698D54"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Комиссия НИИ ВВС при встрече с командиром дивизии полковником Комаровым и командиром полка капитанов Скляровым поставила вопрос о применении Ил-2 с пушками Ш-37 «днем, а не ночью, когда цели хорошо видимы, чтобы можно было судить об эффективности этих самолетов», и преимущественно по бронированным целям — танкам, штурмовым орудиям, бронетранспортерам. Кроме этого, группы штурмовиков в обязательном порядке требовалось прикрыть достаточным коли</w:t>
      </w:r>
      <w:r w:rsidRPr="00722885">
        <w:rPr>
          <w:color w:val="000000" w:themeColor="text1"/>
          <w:sz w:val="16"/>
          <w:szCs w:val="16"/>
        </w:rPr>
        <w:softHyphen/>
        <w:t>чеством истребителей.</w:t>
      </w:r>
    </w:p>
    <w:p w14:paraId="155FAA7B"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22 декабря состоялся облет этих самолетов лет</w:t>
      </w:r>
      <w:r w:rsidRPr="00722885">
        <w:rPr>
          <w:color w:val="000000" w:themeColor="text1"/>
          <w:sz w:val="16"/>
          <w:szCs w:val="16"/>
        </w:rPr>
        <w:softHyphen/>
        <w:t>ным составом полка с учебными стрельбами по на</w:t>
      </w:r>
      <w:r w:rsidRPr="00722885">
        <w:rPr>
          <w:color w:val="000000" w:themeColor="text1"/>
          <w:sz w:val="16"/>
          <w:szCs w:val="16"/>
        </w:rPr>
        <w:softHyphen/>
        <w:t>земной мишени.</w:t>
      </w:r>
    </w:p>
    <w:p w14:paraId="121BF7CB"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день 228-я шад боевой работы не вела по причине сложных метеоусловий (облачность 10 баллов, временами снегопад, утром выпал ту</w:t>
      </w:r>
      <w:r w:rsidRPr="00722885">
        <w:rPr>
          <w:color w:val="000000" w:themeColor="text1"/>
          <w:sz w:val="16"/>
          <w:szCs w:val="16"/>
        </w:rPr>
        <w:softHyphen/>
        <w:t>ман), но готовность к вылету с ночных экипажей не снималась.</w:t>
      </w:r>
    </w:p>
    <w:p w14:paraId="55FDE8AF"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Учитывая эти обстоятельства, решили выпол</w:t>
      </w:r>
      <w:r w:rsidRPr="00722885">
        <w:rPr>
          <w:color w:val="000000" w:themeColor="text1"/>
          <w:sz w:val="16"/>
          <w:szCs w:val="16"/>
        </w:rPr>
        <w:softHyphen/>
        <w:t>нить тренировочные полеты по кругу на облет но</w:t>
      </w:r>
      <w:r w:rsidRPr="00722885">
        <w:rPr>
          <w:color w:val="000000" w:themeColor="text1"/>
          <w:sz w:val="16"/>
          <w:szCs w:val="16"/>
        </w:rPr>
        <w:softHyphen/>
        <w:t>вых самолетов Ил-2 с пушками Ш-37 и отстреляться из них по мишени.</w:t>
      </w:r>
    </w:p>
    <w:p w14:paraId="08D4556C"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Летали 5 летчиков разной квалификации на 6 самолетах: капитан Скляров, капитан Копаев, лей</w:t>
      </w:r>
      <w:r w:rsidRPr="00722885">
        <w:rPr>
          <w:color w:val="000000" w:themeColor="text1"/>
          <w:sz w:val="16"/>
          <w:szCs w:val="16"/>
        </w:rPr>
        <w:softHyphen/>
        <w:t>тенант Бибишев, старшина Гололобов, лейтенант Михайленко. Всего было выполнено 10 самолето</w:t>
      </w:r>
      <w:r w:rsidRPr="00722885">
        <w:rPr>
          <w:color w:val="000000" w:themeColor="text1"/>
          <w:sz w:val="16"/>
          <w:szCs w:val="16"/>
        </w:rPr>
        <w:softHyphen/>
        <w:t>вылетов с суммарным налетом 3 ч 17 мин.</w:t>
      </w:r>
    </w:p>
    <w:p w14:paraId="54DDCD86"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Оказалось, что кучность стрельбы из пушек бы</w:t>
      </w:r>
      <w:r w:rsidRPr="00722885">
        <w:rPr>
          <w:color w:val="000000" w:themeColor="text1"/>
          <w:sz w:val="16"/>
          <w:szCs w:val="16"/>
        </w:rPr>
        <w:softHyphen/>
        <w:t>ла довольно приличной, хотя сама стрельба — не</w:t>
      </w:r>
      <w:r w:rsidRPr="00722885">
        <w:rPr>
          <w:color w:val="000000" w:themeColor="text1"/>
          <w:sz w:val="16"/>
          <w:szCs w:val="16"/>
        </w:rPr>
        <w:softHyphen/>
        <w:t>точной. Большая часть снарядов (из 153 штук) легла в 4—5 метрах в стороне от цели (щит в виде ква</w:t>
      </w:r>
      <w:r w:rsidRPr="00722885">
        <w:rPr>
          <w:color w:val="000000" w:themeColor="text1"/>
          <w:sz w:val="16"/>
          <w:szCs w:val="16"/>
        </w:rPr>
        <w:softHyphen/>
        <w:t>драта со стороной 6 м), остальные — в 12—15 м. Только командиру полка капитану Склярову уда</w:t>
      </w:r>
      <w:r w:rsidRPr="00722885">
        <w:rPr>
          <w:color w:val="000000" w:themeColor="text1"/>
          <w:sz w:val="16"/>
          <w:szCs w:val="16"/>
        </w:rPr>
        <w:softHyphen/>
        <w:t>лось поразить щит 2 снарядами. Вторым по резуль</w:t>
      </w:r>
      <w:r w:rsidRPr="00722885">
        <w:rPr>
          <w:color w:val="000000" w:themeColor="text1"/>
          <w:sz w:val="16"/>
          <w:szCs w:val="16"/>
        </w:rPr>
        <w:softHyphen/>
        <w:t>тативности оказался капитан Копаев. Низкий про</w:t>
      </w:r>
      <w:r w:rsidRPr="00722885">
        <w:rPr>
          <w:color w:val="000000" w:themeColor="text1"/>
          <w:sz w:val="16"/>
          <w:szCs w:val="16"/>
        </w:rPr>
        <w:softHyphen/>
        <w:t>цент попадания в щит объяснялся большими дис</w:t>
      </w:r>
      <w:r w:rsidRPr="00722885">
        <w:rPr>
          <w:color w:val="000000" w:themeColor="text1"/>
          <w:sz w:val="16"/>
          <w:szCs w:val="16"/>
        </w:rPr>
        <w:softHyphen/>
        <w:t>танциями стрельбы — начало стрельбы 800—900 м и окончание 500—400 м, а также «недостатками освоения техники пилотирования этим самолетом и ведения огня из пушек калибра 37 мм». Кроме этого, по сложившейся в полку практике стрельбы из пушек ВЯ и ШВАК и пулеметов ШКАС летчики вели прицеливание «с недолетом с последующим уменьшением угла пикирования с целью пересече</w:t>
      </w:r>
      <w:r w:rsidRPr="00722885">
        <w:rPr>
          <w:color w:val="000000" w:themeColor="text1"/>
          <w:sz w:val="16"/>
          <w:szCs w:val="16"/>
        </w:rPr>
        <w:softHyphen/>
        <w:t>ния трассой цели», что «для пушки 37 мм неприме</w:t>
      </w:r>
      <w:r w:rsidRPr="00722885">
        <w:rPr>
          <w:color w:val="000000" w:themeColor="text1"/>
          <w:sz w:val="16"/>
          <w:szCs w:val="16"/>
        </w:rPr>
        <w:softHyphen/>
        <w:t>нимо вследствие небольшого темпа стрельбы». Во всех случаях стрельба велась очередями по 2—3 снаряда, так как летный состав привык «к ведению огня из оружия высокого темпа стрельбы».</w:t>
      </w:r>
    </w:p>
    <w:p w14:paraId="5C227DD9"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условия стрельбы, соответствен</w:t>
      </w:r>
      <w:r w:rsidRPr="00722885">
        <w:rPr>
          <w:color w:val="000000" w:themeColor="text1"/>
          <w:sz w:val="16"/>
          <w:szCs w:val="16"/>
        </w:rPr>
        <w:softHyphen/>
        <w:t>но, и результаты стрельбы в реальном бою были бы такими же или хуже.</w:t>
      </w:r>
    </w:p>
    <w:p w14:paraId="3242C473"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выводах отчета «О произведенном отстреле 37-мм пушек, установленных на Ил-2 в 688-м шап 228-й шад» отмечалось, что для поражения назем</w:t>
      </w:r>
      <w:r w:rsidRPr="00722885">
        <w:rPr>
          <w:color w:val="000000" w:themeColor="text1"/>
          <w:sz w:val="16"/>
          <w:szCs w:val="16"/>
        </w:rPr>
        <w:softHyphen/>
        <w:t>ных целей из пушек Ш-37 прицельный огонь дол</w:t>
      </w:r>
      <w:r w:rsidRPr="00722885">
        <w:rPr>
          <w:color w:val="000000" w:themeColor="text1"/>
          <w:sz w:val="16"/>
          <w:szCs w:val="16"/>
        </w:rPr>
        <w:softHyphen/>
        <w:t>жен открываться на дистанции не более 500 м и ве</w:t>
      </w:r>
      <w:r w:rsidRPr="00722885">
        <w:rPr>
          <w:color w:val="000000" w:themeColor="text1"/>
          <w:sz w:val="16"/>
          <w:szCs w:val="16"/>
        </w:rPr>
        <w:softHyphen/>
        <w:t>стись до 200—250 м очередями в 5—7 выстрелов.</w:t>
      </w:r>
    </w:p>
    <w:p w14:paraId="467748B8"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Наиболее выгодными целями с точки зрения наибольшего эффекта от применения пушек кали</w:t>
      </w:r>
      <w:r w:rsidRPr="00722885">
        <w:rPr>
          <w:color w:val="000000" w:themeColor="text1"/>
          <w:sz w:val="16"/>
          <w:szCs w:val="16"/>
        </w:rPr>
        <w:softHyphen/>
        <w:t>бра 37 мм считались танки, бронемашины, броне</w:t>
      </w:r>
      <w:r w:rsidRPr="00722885">
        <w:rPr>
          <w:color w:val="000000" w:themeColor="text1"/>
          <w:sz w:val="16"/>
          <w:szCs w:val="16"/>
        </w:rPr>
        <w:softHyphen/>
        <w:t>поезда, суда малого тоннажа, самолеты, артилле</w:t>
      </w:r>
      <w:r w:rsidRPr="00722885">
        <w:rPr>
          <w:color w:val="000000" w:themeColor="text1"/>
          <w:sz w:val="16"/>
          <w:szCs w:val="16"/>
        </w:rPr>
        <w:softHyphen/>
        <w:t>рийские позиции, склады боеприпасов и горючего. При этом «стрельба с самолетов Ил-2, вооруженных 37-мм пушками,</w:t>
      </w:r>
    </w:p>
    <w:p w14:paraId="692D859F"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производит большое моральное действие и может эффективно применяться в днев</w:t>
      </w:r>
      <w:r w:rsidRPr="00722885">
        <w:rPr>
          <w:color w:val="000000" w:themeColor="text1"/>
          <w:sz w:val="16"/>
          <w:szCs w:val="16"/>
        </w:rPr>
        <w:softHyphen/>
        <w:t>ных условиях», а «применение огня из этих пушек против танков даст лучший эффект, нежели авиа</w:t>
      </w:r>
      <w:r w:rsidRPr="00722885">
        <w:rPr>
          <w:color w:val="000000" w:themeColor="text1"/>
          <w:sz w:val="16"/>
          <w:szCs w:val="16"/>
        </w:rPr>
        <w:softHyphen/>
        <w:t>бомбы».</w:t>
      </w:r>
    </w:p>
    <w:p w14:paraId="126C093E"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По технике пилотирования Ил-2 с Ш-37 оцени</w:t>
      </w:r>
      <w:r w:rsidRPr="00722885">
        <w:rPr>
          <w:color w:val="000000" w:themeColor="text1"/>
          <w:sz w:val="16"/>
          <w:szCs w:val="16"/>
        </w:rPr>
        <w:softHyphen/>
        <w:t>вался в целом не хуже «прежних образцов, несущих нормальный вариант бомб, но скорость меньше на 15—20 км/ч, а также несколько сложный маневр».</w:t>
      </w:r>
    </w:p>
    <w:p w14:paraId="55AB5940"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 обошлось без недостатков. Так, на Ил-2 зав. № 1878029 при стрельбе по мишени произошел отказ одной пушки (зав. № Г-146). Самолет развер</w:t>
      </w:r>
      <w:r w:rsidRPr="00722885">
        <w:rPr>
          <w:color w:val="000000" w:themeColor="text1"/>
          <w:sz w:val="16"/>
          <w:szCs w:val="16"/>
        </w:rPr>
        <w:softHyphen/>
        <w:t>нуло, очередь ушла далеко мимо цели. При по</w:t>
      </w:r>
      <w:r w:rsidRPr="00722885">
        <w:rPr>
          <w:color w:val="000000" w:themeColor="text1"/>
          <w:sz w:val="16"/>
          <w:szCs w:val="16"/>
        </w:rPr>
        <w:softHyphen/>
        <w:t>вторном заходе лейтенант Бибишев при стрельбе не смог удержать линию визирования на цели, так как самолет разворачивало в сторону стреляющей пушки. При осмотре оказалось, что отказ в работе пушки произошел «по причине неотдачи частей в крайнее заднее положение вследствие недоста</w:t>
      </w:r>
      <w:r w:rsidRPr="00722885">
        <w:rPr>
          <w:color w:val="000000" w:themeColor="text1"/>
          <w:sz w:val="16"/>
          <w:szCs w:val="16"/>
        </w:rPr>
        <w:softHyphen/>
        <w:t>точного отверстия (5 мм) газового диффузора для условий зимней эксплуатации».</w:t>
      </w:r>
    </w:p>
    <w:p w14:paraId="298BE244"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самолете Ил-2 зав. 1879928 из-за неисправ</w:t>
      </w:r>
      <w:r w:rsidRPr="00722885">
        <w:rPr>
          <w:color w:val="000000" w:themeColor="text1"/>
          <w:sz w:val="16"/>
          <w:szCs w:val="16"/>
        </w:rPr>
        <w:softHyphen/>
        <w:t>ности проводки электромагнитного спуска отказа</w:t>
      </w:r>
      <w:r w:rsidRPr="00722885">
        <w:rPr>
          <w:color w:val="000000" w:themeColor="text1"/>
          <w:sz w:val="16"/>
          <w:szCs w:val="16"/>
        </w:rPr>
        <w:softHyphen/>
        <w:t>ли в работе пушки зав. № С-107 и № С-108. При по</w:t>
      </w:r>
      <w:r w:rsidRPr="00722885">
        <w:rPr>
          <w:color w:val="000000" w:themeColor="text1"/>
          <w:sz w:val="16"/>
          <w:szCs w:val="16"/>
        </w:rPr>
        <w:softHyphen/>
        <w:t>вторном вылете самолет пришлось заменить.</w:t>
      </w:r>
    </w:p>
    <w:p w14:paraId="76740166"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Тем не менее, несмотря на выявленные не</w:t>
      </w:r>
      <w:r w:rsidRPr="00722885">
        <w:rPr>
          <w:color w:val="000000" w:themeColor="text1"/>
          <w:sz w:val="16"/>
          <w:szCs w:val="16"/>
        </w:rPr>
        <w:softHyphen/>
        <w:t>достатки пушек и их пушечных установок, в за</w:t>
      </w:r>
      <w:r w:rsidRPr="00722885">
        <w:rPr>
          <w:color w:val="000000" w:themeColor="text1"/>
          <w:sz w:val="16"/>
          <w:szCs w:val="16"/>
        </w:rPr>
        <w:softHyphen/>
        <w:t>ключение отчета был сделан вывод, что «в экс</w:t>
      </w:r>
      <w:r w:rsidRPr="00722885">
        <w:rPr>
          <w:color w:val="000000" w:themeColor="text1"/>
          <w:sz w:val="16"/>
          <w:szCs w:val="16"/>
        </w:rPr>
        <w:softHyphen/>
        <w:t>плуатации пушки просты и при грамотном уходе безотказны в работе», а «самолет Ил-2 с 2 пушка</w:t>
      </w:r>
      <w:r w:rsidRPr="00722885">
        <w:rPr>
          <w:color w:val="000000" w:themeColor="text1"/>
          <w:sz w:val="16"/>
          <w:szCs w:val="16"/>
        </w:rPr>
        <w:softHyphen/>
        <w:t>ми калибра 37 мм конструкции тов. Шпитального обладает мощным огнем и хорошей кучностью стрельбы». При этом «в целях сохранения само</w:t>
      </w:r>
      <w:r w:rsidRPr="00722885">
        <w:rPr>
          <w:color w:val="000000" w:themeColor="text1"/>
          <w:sz w:val="16"/>
          <w:szCs w:val="16"/>
        </w:rPr>
        <w:softHyphen/>
        <w:t>летов Ил-2 с пушками 37 мм и глубокого и всесто</w:t>
      </w:r>
      <w:r w:rsidRPr="00722885">
        <w:rPr>
          <w:color w:val="000000" w:themeColor="text1"/>
          <w:sz w:val="16"/>
          <w:szCs w:val="16"/>
        </w:rPr>
        <w:softHyphen/>
        <w:t>роннего изучения боевых свойств» считалось не</w:t>
      </w:r>
      <w:r w:rsidRPr="00722885">
        <w:rPr>
          <w:color w:val="000000" w:themeColor="text1"/>
          <w:sz w:val="16"/>
          <w:szCs w:val="16"/>
        </w:rPr>
        <w:softHyphen/>
        <w:t>обходимым «прикрыть их истребителями в соотно</w:t>
      </w:r>
      <w:r w:rsidRPr="00722885">
        <w:rPr>
          <w:color w:val="000000" w:themeColor="text1"/>
          <w:sz w:val="16"/>
          <w:szCs w:val="16"/>
        </w:rPr>
        <w:softHyphen/>
        <w:t>шении 1:2».</w:t>
      </w:r>
    </w:p>
    <w:p w14:paraId="5B6696D2"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Отчет подписали командир полка капитан Скля</w:t>
      </w:r>
      <w:r w:rsidRPr="00722885">
        <w:rPr>
          <w:color w:val="000000" w:themeColor="text1"/>
          <w:sz w:val="16"/>
          <w:szCs w:val="16"/>
        </w:rPr>
        <w:softHyphen/>
        <w:t>ров, начальник воздушно-стрелковой службы 228-й шад инженер-капитан Поветкин, инженер дивизии по вооружению старший техник-лейтенант Алек- сеенко и помощник начальника воздушно-стрел</w:t>
      </w:r>
      <w:r w:rsidRPr="00722885">
        <w:rPr>
          <w:color w:val="000000" w:themeColor="text1"/>
          <w:sz w:val="16"/>
          <w:szCs w:val="16"/>
        </w:rPr>
        <w:softHyphen/>
        <w:t>ковой службы 16-й воздушной армии старший тех</w:t>
      </w:r>
      <w:r w:rsidRPr="00722885">
        <w:rPr>
          <w:color w:val="000000" w:themeColor="text1"/>
          <w:sz w:val="16"/>
          <w:szCs w:val="16"/>
        </w:rPr>
        <w:softHyphen/>
        <w:t>ник-лейтенант Осьмачко.</w:t>
      </w:r>
    </w:p>
    <w:p w14:paraId="09B4DE5E"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отчетом и докладом команди</w:t>
      </w:r>
      <w:r w:rsidRPr="00722885">
        <w:rPr>
          <w:color w:val="000000" w:themeColor="text1"/>
          <w:sz w:val="16"/>
          <w:szCs w:val="16"/>
        </w:rPr>
        <w:softHyphen/>
        <w:t>ра 228-й шад полковника Г. О. Комарова, командую</w:t>
      </w:r>
      <w:r w:rsidRPr="00722885">
        <w:rPr>
          <w:color w:val="000000" w:themeColor="text1"/>
          <w:sz w:val="16"/>
          <w:szCs w:val="16"/>
        </w:rPr>
        <w:softHyphen/>
        <w:t>щий 16 ВА генерал-майор С. И. Руденко 30 декабря наложил резолюцию: «Предлагаю тренировать лет</w:t>
      </w:r>
      <w:r w:rsidRPr="00722885">
        <w:rPr>
          <w:color w:val="000000" w:themeColor="text1"/>
          <w:sz w:val="16"/>
          <w:szCs w:val="16"/>
        </w:rPr>
        <w:softHyphen/>
        <w:t>ный состав в строевой части. Начальник штаба — подготовить доклад командующему ВВС КА».</w:t>
      </w:r>
    </w:p>
    <w:p w14:paraId="7AC37B16"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Тем временем группа противотанковых Ил-2 уже вылетала на боевые действия. Боевая работа велась с полевых аэродромов Б. Ивановка и стани</w:t>
      </w:r>
      <w:r w:rsidRPr="00722885">
        <w:rPr>
          <w:color w:val="000000" w:themeColor="text1"/>
          <w:sz w:val="16"/>
          <w:szCs w:val="16"/>
        </w:rPr>
        <w:softHyphen/>
        <w:t>ца Качалинская.</w:t>
      </w:r>
    </w:p>
    <w:p w14:paraId="3855EB03"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Первый боевой вылет Ил-2 с пушками Ш-37 состоялся 25 декабря.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 сошка вылетел младший лейтенант Малявин на са</w:t>
      </w:r>
      <w:r w:rsidRPr="00722885">
        <w:rPr>
          <w:color w:val="000000" w:themeColor="text1"/>
          <w:sz w:val="16"/>
          <w:szCs w:val="16"/>
        </w:rPr>
        <w:softHyphen/>
        <w:t>молете зав. № 1879029. Штурмовиков прикрывали 4 Як-1 от 220-й иад.</w:t>
      </w:r>
    </w:p>
    <w:p w14:paraId="53259AD8"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722885">
        <w:rPr>
          <w:color w:val="000000" w:themeColor="text1"/>
          <w:sz w:val="16"/>
          <w:szCs w:val="16"/>
          <w:lang w:val="en-US"/>
        </w:rPr>
        <w:t>Ju</w:t>
      </w:r>
      <w:r w:rsidRPr="00722885">
        <w:rPr>
          <w:color w:val="000000" w:themeColor="text1"/>
          <w:sz w:val="16"/>
          <w:szCs w:val="16"/>
        </w:rPr>
        <w:t>52. Экипажи отработали по ним с пикирования снача</w:t>
      </w:r>
      <w:r w:rsidRPr="00722885">
        <w:rPr>
          <w:color w:val="000000" w:themeColor="text1"/>
          <w:sz w:val="16"/>
          <w:szCs w:val="16"/>
        </w:rPr>
        <w:softHyphen/>
        <w:t>ла ракетными снарядами, затем пулеметно-пушеч- ным огнем и на выходе из пикирования бомбами ФАБ-100 и АО-25. Потери противника оценивались в 5 уничтоженных и поврежденных самолетов.</w:t>
      </w:r>
    </w:p>
    <w:p w14:paraId="64B2389E"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районе цели был сильный зенитный огонь. Ис</w:t>
      </w:r>
      <w:r w:rsidRPr="00722885">
        <w:rPr>
          <w:color w:val="000000" w:themeColor="text1"/>
          <w:sz w:val="16"/>
          <w:szCs w:val="16"/>
        </w:rPr>
        <w:softHyphen/>
        <w:t>требительной авиации противника экипажи не на</w:t>
      </w:r>
      <w:r w:rsidRPr="00722885">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2432F1AC"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516E1904"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отходе от цели был потерян из виду проти</w:t>
      </w:r>
      <w:r w:rsidRPr="00722885">
        <w:rPr>
          <w:color w:val="000000" w:themeColor="text1"/>
          <w:sz w:val="16"/>
          <w:szCs w:val="16"/>
        </w:rPr>
        <w:softHyphen/>
        <w:t>вотанковый Ил-2. На свой аэродром младший лей</w:t>
      </w:r>
      <w:r w:rsidRPr="00722885">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722885">
        <w:rPr>
          <w:color w:val="000000" w:themeColor="text1"/>
          <w:sz w:val="16"/>
          <w:szCs w:val="16"/>
        </w:rPr>
        <w:softHyphen/>
        <w:t>ного пункта Кузьмичи. Поиски самолета и летчика в этом районе ничего не дали.</w:t>
      </w:r>
    </w:p>
    <w:p w14:paraId="07C29DE0"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502F51AC"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722885">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425D0F46"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Первой под прикрытием 2 Як-1 от 220-й иад ра</w:t>
      </w:r>
      <w:r w:rsidRPr="00722885">
        <w:rPr>
          <w:color w:val="000000" w:themeColor="text1"/>
          <w:sz w:val="16"/>
          <w:szCs w:val="16"/>
        </w:rPr>
        <w:softHyphen/>
        <w:t>ботала пятерка капитана Гребенькова. Удар нано</w:t>
      </w:r>
      <w:r w:rsidRPr="00722885">
        <w:rPr>
          <w:color w:val="000000" w:themeColor="text1"/>
          <w:sz w:val="16"/>
          <w:szCs w:val="16"/>
        </w:rPr>
        <w:softHyphen/>
        <w:t>сился в период 12.13—12.18 по аэродрому Питом</w:t>
      </w:r>
      <w:r w:rsidRPr="00722885">
        <w:rPr>
          <w:color w:val="000000" w:themeColor="text1"/>
          <w:sz w:val="16"/>
          <w:szCs w:val="16"/>
        </w:rPr>
        <w:softHyphen/>
        <w:t xml:space="preserve">ник, на котором к этому времени находилось до 15 самолетов </w:t>
      </w:r>
      <w:r w:rsidRPr="00722885">
        <w:rPr>
          <w:color w:val="000000" w:themeColor="text1"/>
          <w:sz w:val="16"/>
          <w:szCs w:val="16"/>
          <w:lang w:val="en-US"/>
        </w:rPr>
        <w:t>Ju</w:t>
      </w:r>
      <w:r w:rsidRPr="00722885">
        <w:rPr>
          <w:color w:val="000000" w:themeColor="text1"/>
          <w:sz w:val="16"/>
          <w:szCs w:val="16"/>
        </w:rPr>
        <w:t>52. По докладам экипажей и ведуще</w:t>
      </w:r>
      <w:r w:rsidRPr="00722885">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722885">
        <w:rPr>
          <w:color w:val="000000" w:themeColor="text1"/>
          <w:sz w:val="16"/>
          <w:szCs w:val="16"/>
        </w:rPr>
        <w:softHyphen/>
        <w:t>нем из пушек Ш-37 с дистанции 500—600 м зажег один «Юнкерс».</w:t>
      </w:r>
    </w:p>
    <w:p w14:paraId="071FB777"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722885">
        <w:rPr>
          <w:color w:val="000000" w:themeColor="text1"/>
          <w:sz w:val="16"/>
          <w:szCs w:val="16"/>
        </w:rPr>
        <w:softHyphen/>
        <w:t>ты кок винта и правая плоскость крыла.</w:t>
      </w:r>
    </w:p>
    <w:p w14:paraId="66CE0B32"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Вторая группа (ведущий лейтенант Михайлен- ков) — под прикрытием 6 Як-1 от 220-й иад в пе</w:t>
      </w:r>
      <w:r w:rsidRPr="00722885">
        <w:rPr>
          <w:color w:val="000000" w:themeColor="text1"/>
          <w:sz w:val="16"/>
          <w:szCs w:val="16"/>
        </w:rPr>
        <w:softHyphen/>
        <w:t xml:space="preserve">риод 13.22—13.27 атаковала до 10—15 самолетов </w:t>
      </w:r>
      <w:r w:rsidRPr="00722885">
        <w:rPr>
          <w:color w:val="000000" w:themeColor="text1"/>
          <w:sz w:val="16"/>
          <w:szCs w:val="16"/>
          <w:lang w:val="en-US"/>
        </w:rPr>
        <w:t>Ju</w:t>
      </w:r>
      <w:r w:rsidRPr="00722885">
        <w:rPr>
          <w:color w:val="000000" w:themeColor="text1"/>
          <w:sz w:val="16"/>
          <w:szCs w:val="16"/>
        </w:rPr>
        <w:t>52 на аэродроме Большая Россошка. Потери про</w:t>
      </w:r>
      <w:r w:rsidRPr="00722885">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722885">
        <w:rPr>
          <w:color w:val="000000" w:themeColor="text1"/>
          <w:sz w:val="16"/>
          <w:szCs w:val="16"/>
        </w:rPr>
        <w:softHyphen/>
        <w:t>телей противника летчики не наблюдали. Свои по</w:t>
      </w:r>
      <w:r w:rsidRPr="00722885">
        <w:rPr>
          <w:color w:val="000000" w:themeColor="text1"/>
          <w:sz w:val="16"/>
          <w:szCs w:val="16"/>
        </w:rPr>
        <w:softHyphen/>
        <w:t>тери составили 1 Ил-2 (зав. № 0915), который был подбит над целью огнем «эрликонов» и предполо</w:t>
      </w:r>
      <w:r w:rsidRPr="00722885">
        <w:rPr>
          <w:color w:val="000000" w:themeColor="text1"/>
          <w:sz w:val="16"/>
          <w:szCs w:val="16"/>
        </w:rPr>
        <w:softHyphen/>
        <w:t>жительно сел на территории противника при отхо</w:t>
      </w:r>
      <w:r w:rsidRPr="00722885">
        <w:rPr>
          <w:color w:val="000000" w:themeColor="text1"/>
          <w:sz w:val="16"/>
          <w:szCs w:val="16"/>
        </w:rPr>
        <w:softHyphen/>
        <w:t>де от цели. Сержант Меркушев с боевого задания не вернулся, пропал без вести.</w:t>
      </w:r>
    </w:p>
    <w:p w14:paraId="09907B7F"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722885">
        <w:rPr>
          <w:color w:val="000000" w:themeColor="text1"/>
          <w:sz w:val="16"/>
          <w:szCs w:val="16"/>
        </w:rPr>
        <w:softHyphen/>
        <w:t>дов. Маневренность самолетов при такой нагруз</w:t>
      </w:r>
      <w:r w:rsidRPr="00722885">
        <w:rPr>
          <w:color w:val="000000" w:themeColor="text1"/>
          <w:sz w:val="16"/>
          <w:szCs w:val="16"/>
        </w:rPr>
        <w:softHyphen/>
        <w:t>ке практически ничем не отличалась от серийных Ил-2 с пушками ВЯ и ШВАК.</w:t>
      </w:r>
    </w:p>
    <w:p w14:paraId="06DE740F"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«большими» пушками шли на задание в одном боевом строю с серийными штур</w:t>
      </w:r>
      <w:r w:rsidRPr="00722885">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1F170A6A"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докладам вылетавших на Ил-2 с Ш-37 лет</w:t>
      </w:r>
      <w:r w:rsidRPr="00722885">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51F7495E"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722885">
        <w:rPr>
          <w:color w:val="000000" w:themeColor="text1"/>
          <w:sz w:val="16"/>
          <w:szCs w:val="16"/>
        </w:rPr>
        <w:softHyphen/>
        <w:t>ры наносились в период 12.42—13.00 двумя груп</w:t>
      </w:r>
      <w:r w:rsidRPr="00722885">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722885">
        <w:rPr>
          <w:color w:val="000000" w:themeColor="text1"/>
          <w:sz w:val="16"/>
          <w:szCs w:val="16"/>
        </w:rPr>
        <w:softHyphen/>
        <w:t>нили 3 захода на цели из боевого порядка круг. Ис</w:t>
      </w:r>
      <w:r w:rsidRPr="00722885">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16C67238"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5618845E"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посадки сержант Зыков доложил, что «ма</w:t>
      </w:r>
      <w:r w:rsidRPr="00722885">
        <w:rPr>
          <w:color w:val="000000" w:themeColor="text1"/>
          <w:sz w:val="16"/>
          <w:szCs w:val="16"/>
        </w:rPr>
        <w:softHyphen/>
        <w:t>неврирует самолет хорошо, при ведении огня пе</w:t>
      </w:r>
      <w:r w:rsidRPr="00722885">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722885">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722885">
        <w:rPr>
          <w:color w:val="000000" w:themeColor="text1"/>
          <w:sz w:val="16"/>
          <w:szCs w:val="16"/>
        </w:rPr>
        <w:softHyphen/>
        <w:t>денция самолета к развороту легко парируется ру</w:t>
      </w:r>
      <w:r w:rsidRPr="00722885">
        <w:rPr>
          <w:color w:val="000000" w:themeColor="text1"/>
          <w:sz w:val="16"/>
          <w:szCs w:val="16"/>
        </w:rPr>
        <w:softHyphen/>
        <w:t>лями». Эффективность стрельбы пушек по танкам и живой силе хорошая.</w:t>
      </w:r>
    </w:p>
    <w:p w14:paraId="059AE291"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самолетах Игнатьева и Дунова пушки рабо</w:t>
      </w:r>
      <w:r w:rsidRPr="00722885">
        <w:rPr>
          <w:color w:val="000000" w:themeColor="text1"/>
          <w:sz w:val="16"/>
          <w:szCs w:val="16"/>
        </w:rPr>
        <w:softHyphen/>
        <w:t>тали отлично. Летчикам удалось расстрелять весь боекомплект к ним.</w:t>
      </w:r>
    </w:p>
    <w:p w14:paraId="21F2950B"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Отметим, что на Ил-2 Игнатьева, помимо ракет</w:t>
      </w:r>
      <w:r w:rsidRPr="00722885">
        <w:rPr>
          <w:color w:val="000000" w:themeColor="text1"/>
          <w:sz w:val="16"/>
          <w:szCs w:val="16"/>
        </w:rPr>
        <w:softHyphen/>
        <w:t>ных снарядов и полного боекомплекта к пушкам и пулеметам, были подвешены 2 фугасные авиабом</w:t>
      </w:r>
      <w:r w:rsidRPr="00722885">
        <w:rPr>
          <w:color w:val="000000" w:themeColor="text1"/>
          <w:sz w:val="16"/>
          <w:szCs w:val="16"/>
        </w:rPr>
        <w:softHyphen/>
        <w:t>бы ФАБ-100. При этом самолет хорошо маневриро</w:t>
      </w:r>
      <w:r w:rsidRPr="00722885">
        <w:rPr>
          <w:color w:val="000000" w:themeColor="text1"/>
          <w:sz w:val="16"/>
          <w:szCs w:val="16"/>
        </w:rPr>
        <w:softHyphen/>
        <w:t>вал и управлялся при всех условиях боя.</w:t>
      </w:r>
    </w:p>
    <w:p w14:paraId="724C7B98"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 целям противника (ско</w:t>
      </w:r>
      <w:r w:rsidRPr="00722885">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722885">
        <w:rPr>
          <w:color w:val="000000" w:themeColor="text1"/>
          <w:sz w:val="16"/>
          <w:szCs w:val="16"/>
        </w:rPr>
        <w:softHyphen/>
        <w:t>та Кадомцева работала в районе балки Взрубная в период 14.10—14.20 под прикрытием 6 Як-1, а пя</w:t>
      </w:r>
      <w:r w:rsidRPr="00722885">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7B2E63B0"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отходе от цели в районе Дмитриевка имел место воздушный бой с немецкими истребителя</w:t>
      </w:r>
      <w:r w:rsidRPr="00722885">
        <w:rPr>
          <w:color w:val="000000" w:themeColor="text1"/>
          <w:sz w:val="16"/>
          <w:szCs w:val="16"/>
        </w:rPr>
        <w:softHyphen/>
        <w:t xml:space="preserve">ми. Пара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G</w:t>
      </w:r>
      <w:r w:rsidRPr="00722885">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722885">
        <w:rPr>
          <w:color w:val="000000" w:themeColor="text1"/>
          <w:sz w:val="16"/>
          <w:szCs w:val="16"/>
        </w:rPr>
        <w:softHyphen/>
        <w:t>временно заметил противника. После этого в воз</w:t>
      </w:r>
      <w:r w:rsidRPr="00722885">
        <w:rPr>
          <w:color w:val="000000" w:themeColor="text1"/>
          <w:sz w:val="16"/>
          <w:szCs w:val="16"/>
        </w:rPr>
        <w:softHyphen/>
        <w:t>душный бой вступили истребители прикрытия, а штурмовики встали в оборонительный круг. По</w:t>
      </w:r>
      <w:r w:rsidRPr="00722885">
        <w:rPr>
          <w:color w:val="000000" w:themeColor="text1"/>
          <w:sz w:val="16"/>
          <w:szCs w:val="16"/>
        </w:rPr>
        <w:softHyphen/>
        <w:t>сле ухода немецких истребителей Ил-2 перестрои</w:t>
      </w:r>
      <w:r w:rsidRPr="00722885">
        <w:rPr>
          <w:color w:val="000000" w:themeColor="text1"/>
          <w:sz w:val="16"/>
          <w:szCs w:val="16"/>
        </w:rPr>
        <w:softHyphen/>
        <w:t>лись в пеленг и встали на обратный маршрут.</w:t>
      </w:r>
    </w:p>
    <w:p w14:paraId="3DB33F50"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До генерального наступления под Сталингра</w:t>
      </w:r>
      <w:r w:rsidRPr="00722885">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722885">
        <w:rPr>
          <w:color w:val="000000" w:themeColor="text1"/>
          <w:sz w:val="16"/>
          <w:szCs w:val="16"/>
        </w:rPr>
        <w:softHyphen/>
        <w:t>товым по данным разведки 228-й шад к вылету на боевое задание 2—4 экипажами.</w:t>
      </w:r>
    </w:p>
    <w:p w14:paraId="2090BAF4"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722885">
        <w:rPr>
          <w:color w:val="000000" w:themeColor="text1"/>
          <w:sz w:val="16"/>
          <w:szCs w:val="16"/>
        </w:rPr>
        <w:softHyphen/>
        <w:t>ронительной полосы, а также по аэродромам и по</w:t>
      </w:r>
      <w:r w:rsidRPr="00722885">
        <w:rPr>
          <w:color w:val="000000" w:themeColor="text1"/>
          <w:sz w:val="16"/>
          <w:szCs w:val="16"/>
        </w:rPr>
        <w:softHyphen/>
        <w:t>садочным площадкам.</w:t>
      </w:r>
    </w:p>
    <w:p w14:paraId="6B60E2C7"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37-мм пушками принимали участие в боевой работе полка до полной ликви</w:t>
      </w:r>
      <w:r w:rsidRPr="00722885">
        <w:rPr>
          <w:color w:val="000000" w:themeColor="text1"/>
          <w:sz w:val="16"/>
          <w:szCs w:val="16"/>
        </w:rPr>
        <w:softHyphen/>
        <w:t>дации группировки немецких войск под Сталингра</w:t>
      </w:r>
      <w:r w:rsidRPr="00722885">
        <w:rPr>
          <w:color w:val="000000" w:themeColor="text1"/>
          <w:sz w:val="16"/>
          <w:szCs w:val="16"/>
        </w:rPr>
        <w:softHyphen/>
        <w:t>дом. Как и прежде, противотанковые Ил-2 ходили на задания в группах вместе с серийными самоле</w:t>
      </w:r>
      <w:r w:rsidRPr="00722885">
        <w:rPr>
          <w:color w:val="000000" w:themeColor="text1"/>
          <w:sz w:val="16"/>
          <w:szCs w:val="16"/>
        </w:rPr>
        <w:softHyphen/>
        <w:t>тами. Группы состояли из 2—6 самолетов, в кото</w:t>
      </w:r>
      <w:r w:rsidRPr="00722885">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7EE8D8B6"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45CEB807"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722885">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2676AC67"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10 января в ходе боевого вылета 6 Ил-2 (веду</w:t>
      </w:r>
      <w:r w:rsidRPr="00722885">
        <w:rPr>
          <w:color w:val="000000" w:themeColor="text1"/>
          <w:sz w:val="16"/>
          <w:szCs w:val="16"/>
        </w:rPr>
        <w:softHyphen/>
        <w:t>щий капитан Гребеньков) под прикрытием 4 Як-1 от 283-й иад в период 11.21—11.29 в район насе</w:t>
      </w:r>
      <w:r w:rsidRPr="00722885">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722885">
        <w:rPr>
          <w:color w:val="000000" w:themeColor="text1"/>
          <w:sz w:val="16"/>
          <w:szCs w:val="16"/>
        </w:rPr>
        <w:softHyphen/>
        <w:t>жен прямым попаданием бомбы, сброшенной с са</w:t>
      </w:r>
      <w:r w:rsidRPr="00722885">
        <w:rPr>
          <w:color w:val="000000" w:themeColor="text1"/>
          <w:sz w:val="16"/>
          <w:szCs w:val="16"/>
        </w:rPr>
        <w:softHyphen/>
        <w:t xml:space="preserve">молета </w:t>
      </w:r>
      <w:r w:rsidRPr="00722885">
        <w:rPr>
          <w:color w:val="000000" w:themeColor="text1"/>
          <w:sz w:val="16"/>
          <w:szCs w:val="16"/>
          <w:lang w:val="en-US"/>
        </w:rPr>
        <w:t>Ju</w:t>
      </w:r>
      <w:r w:rsidRPr="00722885">
        <w:rPr>
          <w:color w:val="000000" w:themeColor="text1"/>
          <w:sz w:val="16"/>
          <w:szCs w:val="16"/>
        </w:rPr>
        <w:t>88».</w:t>
      </w:r>
    </w:p>
    <w:p w14:paraId="31C0A650"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 xml:space="preserve">На отходе от цели группа была атакована парой </w:t>
      </w:r>
      <w:r w:rsidRPr="00722885">
        <w:rPr>
          <w:color w:val="000000" w:themeColor="text1"/>
          <w:sz w:val="16"/>
          <w:szCs w:val="16"/>
          <w:lang w:val="en-US"/>
        </w:rPr>
        <w:t>Bf</w:t>
      </w:r>
      <w:r w:rsidRPr="00722885">
        <w:rPr>
          <w:color w:val="000000" w:themeColor="text1"/>
          <w:sz w:val="16"/>
          <w:szCs w:val="16"/>
        </w:rPr>
        <w:t xml:space="preserve"> 109</w:t>
      </w:r>
      <w:r w:rsidRPr="00722885">
        <w:rPr>
          <w:color w:val="000000" w:themeColor="text1"/>
          <w:sz w:val="16"/>
          <w:szCs w:val="16"/>
          <w:lang w:val="en-US"/>
        </w:rPr>
        <w:t>F</w:t>
      </w:r>
      <w:r w:rsidRPr="00722885">
        <w:rPr>
          <w:color w:val="000000" w:themeColor="text1"/>
          <w:sz w:val="16"/>
          <w:szCs w:val="16"/>
        </w:rPr>
        <w:t>. В результате Ил-2 зав. № 8029 с пушками</w:t>
      </w:r>
    </w:p>
    <w:p w14:paraId="46B91C0F"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467652DA"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722885">
        <w:rPr>
          <w:color w:val="000000" w:themeColor="text1"/>
          <w:sz w:val="16"/>
          <w:szCs w:val="16"/>
        </w:rPr>
        <w:softHyphen/>
        <w:t>ной группировки в районе Сталинграда вплоть до 2 февраля. Однако войсковые испытания офи</w:t>
      </w:r>
      <w:r w:rsidRPr="00722885">
        <w:rPr>
          <w:color w:val="000000" w:themeColor="text1"/>
          <w:sz w:val="16"/>
          <w:szCs w:val="16"/>
        </w:rPr>
        <w:softHyphen/>
        <w:t>циально были завершены 22 января. К этому вре</w:t>
      </w:r>
      <w:r w:rsidRPr="00722885">
        <w:rPr>
          <w:color w:val="000000" w:themeColor="text1"/>
          <w:sz w:val="16"/>
          <w:szCs w:val="16"/>
        </w:rPr>
        <w:softHyphen/>
        <w:t>мени Ил-2 с Ш-37 совершили 75 боевых само</w:t>
      </w:r>
      <w:r w:rsidRPr="00722885">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722885">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722885">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722885">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722885">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722885">
        <w:rPr>
          <w:color w:val="000000" w:themeColor="text1"/>
          <w:sz w:val="16"/>
          <w:szCs w:val="16"/>
        </w:rPr>
        <w:softHyphen/>
        <w:t>нил только один боевой вылет, и его результаты при составлении отчета по испытаниям не учиты</w:t>
      </w:r>
      <w:r w:rsidRPr="00722885">
        <w:rPr>
          <w:color w:val="000000" w:themeColor="text1"/>
          <w:sz w:val="16"/>
          <w:szCs w:val="16"/>
        </w:rPr>
        <w:softHyphen/>
        <w:t>вались.</w:t>
      </w:r>
    </w:p>
    <w:p w14:paraId="44554226"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пушками Ш-37 «ходили на бое</w:t>
      </w:r>
      <w:r w:rsidRPr="00722885">
        <w:rPr>
          <w:color w:val="000000" w:themeColor="text1"/>
          <w:sz w:val="16"/>
          <w:szCs w:val="16"/>
        </w:rPr>
        <w:softHyphen/>
        <w:t>вые задания, имея запас боеприпасов 80 для 37-мм пушек, 1500 для пулеметов ШКАС, 8 РС-82 и 2 бом</w:t>
      </w:r>
      <w:r w:rsidRPr="00722885">
        <w:rPr>
          <w:color w:val="000000" w:themeColor="text1"/>
          <w:sz w:val="16"/>
          <w:szCs w:val="16"/>
        </w:rPr>
        <w:softHyphen/>
        <w:t>бы ФАБ-100 или 6 бомб АО-25».</w:t>
      </w:r>
    </w:p>
    <w:p w14:paraId="15D77430"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Экипажи действовали главным образом по са</w:t>
      </w:r>
      <w:r w:rsidRPr="00722885">
        <w:rPr>
          <w:color w:val="000000" w:themeColor="text1"/>
          <w:sz w:val="16"/>
          <w:szCs w:val="16"/>
        </w:rPr>
        <w:softHyphen/>
        <w:t>молетам на аэродромах и автотранспорту против</w:t>
      </w:r>
      <w:r w:rsidRPr="00722885">
        <w:rPr>
          <w:color w:val="000000" w:themeColor="text1"/>
          <w:sz w:val="16"/>
          <w:szCs w:val="16"/>
        </w:rPr>
        <w:softHyphen/>
        <w:t>ника. В отдельных случаях — по огневым точкам на поле боя, дерево-земляным оборонительным со</w:t>
      </w:r>
      <w:r w:rsidRPr="00722885">
        <w:rPr>
          <w:color w:val="000000" w:themeColor="text1"/>
          <w:sz w:val="16"/>
          <w:szCs w:val="16"/>
        </w:rPr>
        <w:softHyphen/>
        <w:t>оружениям и бронетехнике. Общий расход боепри</w:t>
      </w:r>
      <w:r w:rsidRPr="00722885">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722885">
        <w:rPr>
          <w:color w:val="000000" w:themeColor="text1"/>
          <w:sz w:val="16"/>
          <w:szCs w:val="16"/>
        </w:rPr>
        <w:softHyphen/>
        <w:t>бомб типа ФАБ-100 — 107, осколочных авиабомб типа АО-25 — 87.</w:t>
      </w:r>
    </w:p>
    <w:p w14:paraId="05911AC0"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Атаки наземных целей производились с плани</w:t>
      </w:r>
      <w:r w:rsidRPr="00722885">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722885">
        <w:rPr>
          <w:color w:val="000000" w:themeColor="text1"/>
          <w:sz w:val="16"/>
          <w:szCs w:val="16"/>
        </w:rPr>
        <w:softHyphen/>
        <w:t>гим данным — бронемашину), но достоверность поражения целей подтвердить не могли.</w:t>
      </w:r>
    </w:p>
    <w:p w14:paraId="2ABBEBE7"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эти данные не входят потери противника от бомб, РС и пулеметов на этих же самолетах. Необ</w:t>
      </w:r>
      <w:r w:rsidRPr="00722885">
        <w:rPr>
          <w:color w:val="000000" w:themeColor="text1"/>
          <w:sz w:val="16"/>
          <w:szCs w:val="16"/>
        </w:rPr>
        <w:softHyphen/>
        <w:t>ходимо отметить, что «танков, как основных целей для этих пушек, встречалось мало».</w:t>
      </w:r>
    </w:p>
    <w:p w14:paraId="0655C095"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 время войсковых испытаний отмечалось не</w:t>
      </w:r>
      <w:r w:rsidRPr="00722885">
        <w:rPr>
          <w:color w:val="000000" w:themeColor="text1"/>
          <w:sz w:val="16"/>
          <w:szCs w:val="16"/>
        </w:rPr>
        <w:softHyphen/>
        <w:t>сколько случаев применения Ш-37 по воздушным целям, но все они, вследствие недостаточной ско</w:t>
      </w:r>
      <w:r w:rsidRPr="00722885">
        <w:rPr>
          <w:color w:val="000000" w:themeColor="text1"/>
          <w:sz w:val="16"/>
          <w:szCs w:val="16"/>
        </w:rPr>
        <w:softHyphen/>
        <w:t>рострельности пушки, были неудачными.</w:t>
      </w:r>
    </w:p>
    <w:p w14:paraId="22C9C86E"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одном случае Ил-2 на высоте 800 м был атако</w:t>
      </w:r>
      <w:r w:rsidRPr="00722885">
        <w:rPr>
          <w:color w:val="000000" w:themeColor="text1"/>
          <w:sz w:val="16"/>
          <w:szCs w:val="16"/>
        </w:rPr>
        <w:softHyphen/>
        <w:t xml:space="preserve">ван в лоб истребителем Люфтваффе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С дис</w:t>
      </w:r>
      <w:r w:rsidRPr="00722885">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722885">
        <w:rPr>
          <w:color w:val="000000" w:themeColor="text1"/>
          <w:sz w:val="16"/>
          <w:szCs w:val="16"/>
          <w:lang w:val="en-US"/>
        </w:rPr>
        <w:t>Ju</w:t>
      </w:r>
      <w:r w:rsidRPr="00722885">
        <w:rPr>
          <w:color w:val="000000" w:themeColor="text1"/>
          <w:sz w:val="16"/>
          <w:szCs w:val="16"/>
        </w:rPr>
        <w:t>52/3</w:t>
      </w:r>
      <w:r w:rsidRPr="00722885">
        <w:rPr>
          <w:color w:val="000000" w:themeColor="text1"/>
          <w:sz w:val="16"/>
          <w:szCs w:val="16"/>
          <w:lang w:val="en-US"/>
        </w:rPr>
        <w:t>m</w:t>
      </w:r>
      <w:r w:rsidRPr="00722885">
        <w:rPr>
          <w:color w:val="000000" w:themeColor="text1"/>
          <w:sz w:val="16"/>
          <w:szCs w:val="16"/>
        </w:rPr>
        <w:t>. Огонь из Ш-37 велся короткими очере</w:t>
      </w:r>
      <w:r w:rsidRPr="00722885">
        <w:rPr>
          <w:color w:val="000000" w:themeColor="text1"/>
          <w:sz w:val="16"/>
          <w:szCs w:val="16"/>
        </w:rPr>
        <w:softHyphen/>
        <w:t>дями по 3—4 снаряда с дистанции 600—300 м. Всего было выпущено до 20—30 снарядов. Попа</w:t>
      </w:r>
      <w:r w:rsidRPr="00722885">
        <w:rPr>
          <w:color w:val="000000" w:themeColor="text1"/>
          <w:sz w:val="16"/>
          <w:szCs w:val="16"/>
        </w:rPr>
        <w:softHyphen/>
        <w:t>даний в немецкий самолет не было. Летчики на</w:t>
      </w:r>
      <w:r w:rsidRPr="00722885">
        <w:rPr>
          <w:color w:val="000000" w:themeColor="text1"/>
          <w:sz w:val="16"/>
          <w:szCs w:val="16"/>
        </w:rPr>
        <w:softHyphen/>
        <w:t>блюдали, что «снаряды ложатся правее и левее плоскостей самолета». В итоге «Юнкерс» ушел в облака.</w:t>
      </w:r>
    </w:p>
    <w:p w14:paraId="321AF58F"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Средний расход боекомплекта к пушкам Ш-37 за один самолето-вылет составил 37,6%, что соот</w:t>
      </w:r>
      <w:r w:rsidRPr="00722885">
        <w:rPr>
          <w:color w:val="000000" w:themeColor="text1"/>
          <w:sz w:val="16"/>
          <w:szCs w:val="16"/>
        </w:rPr>
        <w:softHyphen/>
        <w:t>ветствует средней продолжительности непрерыв</w:t>
      </w:r>
      <w:r w:rsidRPr="00722885">
        <w:rPr>
          <w:color w:val="000000" w:themeColor="text1"/>
          <w:sz w:val="16"/>
          <w:szCs w:val="16"/>
        </w:rPr>
        <w:softHyphen/>
        <w:t>ной стрельбы всего 5 секунд. Это, с одной сторо</w:t>
      </w:r>
      <w:r w:rsidRPr="00722885">
        <w:rPr>
          <w:color w:val="000000" w:themeColor="text1"/>
          <w:sz w:val="16"/>
          <w:szCs w:val="16"/>
        </w:rPr>
        <w:softHyphen/>
        <w:t>ны, говорит о том, что целей, достойных для пушек Ш-37, в боевых вылетах было мало, а с другой сто</w:t>
      </w:r>
      <w:r w:rsidRPr="00722885">
        <w:rPr>
          <w:color w:val="000000" w:themeColor="text1"/>
          <w:sz w:val="16"/>
          <w:szCs w:val="16"/>
        </w:rPr>
        <w:softHyphen/>
        <w:t>роны, указывает на недостаточную эффективность стрельбы с самолета Ил-2 из такой пушки по точеч</w:t>
      </w:r>
      <w:r w:rsidRPr="00722885">
        <w:rPr>
          <w:color w:val="000000" w:themeColor="text1"/>
          <w:sz w:val="16"/>
          <w:szCs w:val="16"/>
        </w:rPr>
        <w:softHyphen/>
        <w:t>ным малоразмерным целям.</w:t>
      </w:r>
    </w:p>
    <w:p w14:paraId="4F4B415F"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722885">
        <w:rPr>
          <w:color w:val="000000" w:themeColor="text1"/>
          <w:sz w:val="16"/>
          <w:szCs w:val="16"/>
        </w:rPr>
        <w:softHyphen/>
        <w:t>ставил 54%. Из общего числа боевых вылетов, вы</w:t>
      </w:r>
      <w:r w:rsidRPr="00722885">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722885">
        <w:rPr>
          <w:color w:val="000000" w:themeColor="text1"/>
          <w:sz w:val="16"/>
          <w:szCs w:val="16"/>
        </w:rPr>
        <w:softHyphen/>
        <w:t>евое задание Ил-2 с пушками Ш-37 сопровождался отказом хотя бы одной из пушек.</w:t>
      </w:r>
    </w:p>
    <w:p w14:paraId="1517ABDC"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состоянию на 25 января произошло 123 от</w:t>
      </w:r>
      <w:r w:rsidRPr="00722885">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722885">
        <w:rPr>
          <w:color w:val="000000" w:themeColor="text1"/>
          <w:sz w:val="16"/>
          <w:szCs w:val="16"/>
        </w:rPr>
        <w:softHyphen/>
        <w:t>од, в то время как «по техническим условиям для оружия допускается 0,2% задержек на полную жи</w:t>
      </w:r>
      <w:r w:rsidRPr="00722885">
        <w:rPr>
          <w:color w:val="000000" w:themeColor="text1"/>
          <w:sz w:val="16"/>
          <w:szCs w:val="16"/>
        </w:rPr>
        <w:softHyphen/>
        <w:t>вучесть пушек».</w:t>
      </w:r>
    </w:p>
    <w:p w14:paraId="4828E24D"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из всех задержек исключить задержки по вине установок и по вине обслуживающего пер</w:t>
      </w:r>
      <w:r w:rsidRPr="00722885">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722885">
        <w:rPr>
          <w:color w:val="000000" w:themeColor="text1"/>
          <w:sz w:val="16"/>
          <w:szCs w:val="16"/>
        </w:rPr>
        <w:softHyphen/>
        <w:t>новные поломки следующие: ударника — 6, план</w:t>
      </w:r>
      <w:r w:rsidRPr="00722885">
        <w:rPr>
          <w:color w:val="000000" w:themeColor="text1"/>
          <w:sz w:val="16"/>
          <w:szCs w:val="16"/>
        </w:rPr>
        <w:softHyphen/>
        <w:t>ки затвора — 4, бойка — 8, направляющей втулки ударника — 5, трещина в затыльнике — 5, непо</w:t>
      </w:r>
      <w:r w:rsidRPr="00722885">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722885">
        <w:rPr>
          <w:color w:val="000000" w:themeColor="text1"/>
          <w:sz w:val="16"/>
          <w:szCs w:val="16"/>
        </w:rPr>
        <w:softHyphen/>
        <w:t>лов потребовало бы 59 ударников».</w:t>
      </w:r>
    </w:p>
    <w:p w14:paraId="637E7378"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722885">
        <w:rPr>
          <w:color w:val="000000" w:themeColor="text1"/>
          <w:sz w:val="16"/>
          <w:szCs w:val="16"/>
        </w:rPr>
        <w:softHyphen/>
        <w:t>дром в Вихлянцево. Соответственно, бригада спе</w:t>
      </w:r>
      <w:r w:rsidRPr="00722885">
        <w:rPr>
          <w:color w:val="000000" w:themeColor="text1"/>
          <w:sz w:val="16"/>
          <w:szCs w:val="16"/>
        </w:rPr>
        <w:softHyphen/>
        <w:t>циалистов от ОКБ-15 не могла оперативно устра</w:t>
      </w:r>
      <w:r w:rsidRPr="00722885">
        <w:rPr>
          <w:color w:val="000000" w:themeColor="text1"/>
          <w:sz w:val="16"/>
          <w:szCs w:val="16"/>
        </w:rPr>
        <w:softHyphen/>
        <w:t>нять отказы в работе и поломки пушек.</w:t>
      </w:r>
    </w:p>
    <w:p w14:paraId="0520B816"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Очевидно, все «это нарушало нормальную бое</w:t>
      </w:r>
      <w:r w:rsidRPr="00722885">
        <w:rPr>
          <w:color w:val="000000" w:themeColor="text1"/>
          <w:sz w:val="16"/>
          <w:szCs w:val="16"/>
        </w:rPr>
        <w:softHyphen/>
        <w:t>вую работу полка, самолеты приходилось из-за не</w:t>
      </w:r>
      <w:r w:rsidRPr="00722885">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722885">
        <w:rPr>
          <w:color w:val="000000" w:themeColor="text1"/>
          <w:sz w:val="16"/>
          <w:szCs w:val="16"/>
        </w:rPr>
        <w:softHyphen/>
        <w:t>ко с остальным вооружением».</w:t>
      </w:r>
    </w:p>
    <w:p w14:paraId="5342D046"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«Большое количество поломок, задержек и от</w:t>
      </w:r>
      <w:r w:rsidRPr="00722885">
        <w:rPr>
          <w:color w:val="000000" w:themeColor="text1"/>
          <w:sz w:val="16"/>
          <w:szCs w:val="16"/>
        </w:rPr>
        <w:softHyphen/>
        <w:t>казов в работе пушек вызвало у летчиков неприят</w:t>
      </w:r>
      <w:r w:rsidRPr="00722885">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453CF4AE"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722885">
        <w:rPr>
          <w:color w:val="000000" w:themeColor="text1"/>
          <w:sz w:val="16"/>
          <w:szCs w:val="16"/>
        </w:rPr>
        <w:softHyphen/>
        <w:t>жием».</w:t>
      </w:r>
    </w:p>
    <w:p w14:paraId="4E839C97"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своих донесениях летчики отмечали, что «са</w:t>
      </w:r>
      <w:r w:rsidRPr="00722885">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722885">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722885">
        <w:rPr>
          <w:color w:val="000000" w:themeColor="text1"/>
          <w:sz w:val="16"/>
          <w:szCs w:val="16"/>
        </w:rPr>
        <w:softHyphen/>
        <w:t>нее управляем. Плохо держится в строю при ско</w:t>
      </w:r>
      <w:r w:rsidRPr="00722885">
        <w:rPr>
          <w:color w:val="000000" w:themeColor="text1"/>
          <w:sz w:val="16"/>
          <w:szCs w:val="16"/>
        </w:rPr>
        <w:softHyphen/>
        <w:t>ростях около 250—260 км/ч и ниже. Хорошо дер</w:t>
      </w:r>
      <w:r w:rsidRPr="00722885">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2A1B1D7B"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скоростях полета 250 км/ч «прицельную стрельбу из пушек вести трудно из-за сильной ви</w:t>
      </w:r>
      <w:r w:rsidRPr="00722885">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722885">
        <w:rPr>
          <w:color w:val="000000" w:themeColor="text1"/>
          <w:sz w:val="16"/>
          <w:szCs w:val="16"/>
        </w:rPr>
        <w:softHyphen/>
        <w:t>ется незначительно». При стрельбе с набором вы</w:t>
      </w:r>
      <w:r w:rsidRPr="00722885">
        <w:rPr>
          <w:color w:val="000000" w:themeColor="text1"/>
          <w:sz w:val="16"/>
          <w:szCs w:val="16"/>
        </w:rPr>
        <w:softHyphen/>
        <w:t>соты самолет резко теряет скорость. На пикирова</w:t>
      </w:r>
      <w:r w:rsidRPr="00722885">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722885">
        <w:rPr>
          <w:color w:val="000000" w:themeColor="text1"/>
          <w:sz w:val="16"/>
          <w:szCs w:val="16"/>
        </w:rPr>
        <w:softHyphen/>
        <w:t>рачивается в сторону стреляющей пушки, прицель</w:t>
      </w:r>
      <w:r w:rsidRPr="00722885">
        <w:rPr>
          <w:color w:val="000000" w:themeColor="text1"/>
          <w:sz w:val="16"/>
          <w:szCs w:val="16"/>
        </w:rPr>
        <w:softHyphen/>
        <w:t>ный огонь вести невозможно. Боковой перенос ог</w:t>
      </w:r>
      <w:r w:rsidRPr="00722885">
        <w:rPr>
          <w:color w:val="000000" w:themeColor="text1"/>
          <w:sz w:val="16"/>
          <w:szCs w:val="16"/>
        </w:rPr>
        <w:softHyphen/>
        <w:t>ня при пикировании затруднен, а «с высоты 400 м и ниже невозможен, ввиду инертности самолета».</w:t>
      </w:r>
    </w:p>
    <w:p w14:paraId="6D46BC3E"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заявлениям летчиков, «стволы пушек в по</w:t>
      </w:r>
      <w:r w:rsidRPr="00722885">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722885">
        <w:rPr>
          <w:color w:val="000000" w:themeColor="text1"/>
          <w:sz w:val="16"/>
          <w:szCs w:val="16"/>
        </w:rPr>
        <w:softHyphen/>
        <w:t>трудняет возможность вести прицельный огонь». Утверждалось, что «при боевом развороте на ско</w:t>
      </w:r>
      <w:r w:rsidRPr="00722885">
        <w:rPr>
          <w:color w:val="000000" w:themeColor="text1"/>
          <w:sz w:val="16"/>
          <w:szCs w:val="16"/>
        </w:rPr>
        <w:softHyphen/>
        <w:t>рости 270 км/ч самолет сильно трясет».</w:t>
      </w:r>
    </w:p>
    <w:p w14:paraId="4DB07814"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722885">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722885">
        <w:rPr>
          <w:color w:val="000000" w:themeColor="text1"/>
          <w:sz w:val="16"/>
          <w:szCs w:val="16"/>
        </w:rPr>
        <w:softHyphen/>
        <w:t>ровано только 22 случая полного расстрела бое</w:t>
      </w:r>
      <w:r w:rsidRPr="00722885">
        <w:rPr>
          <w:color w:val="000000" w:themeColor="text1"/>
          <w:sz w:val="16"/>
          <w:szCs w:val="16"/>
        </w:rPr>
        <w:softHyphen/>
        <w:t>комплекта.</w:t>
      </w:r>
    </w:p>
    <w:p w14:paraId="05FB844A"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эксплуатационной точки зрения пушка Ш-37 и пушечная установка оказались простыми и удоб</w:t>
      </w:r>
      <w:r w:rsidRPr="00722885">
        <w:rPr>
          <w:color w:val="000000" w:themeColor="text1"/>
          <w:sz w:val="16"/>
          <w:szCs w:val="16"/>
        </w:rPr>
        <w:softHyphen/>
        <w:t>ными в обслуживании даже в условиях зимы, ког</w:t>
      </w:r>
      <w:r w:rsidRPr="00722885">
        <w:rPr>
          <w:color w:val="000000" w:themeColor="text1"/>
          <w:sz w:val="16"/>
          <w:szCs w:val="16"/>
        </w:rPr>
        <w:softHyphen/>
        <w:t>да технический состав вынужден работать в ру</w:t>
      </w:r>
      <w:r w:rsidRPr="00722885">
        <w:rPr>
          <w:color w:val="000000" w:themeColor="text1"/>
          <w:sz w:val="16"/>
          <w:szCs w:val="16"/>
        </w:rPr>
        <w:softHyphen/>
        <w:t>кавицах и тяжелой одежде. При работе 2 человек чистка пушки требует не более 30 мин, заряд</w:t>
      </w:r>
      <w:r w:rsidRPr="00722885">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722885">
        <w:rPr>
          <w:color w:val="000000" w:themeColor="text1"/>
          <w:sz w:val="16"/>
          <w:szCs w:val="16"/>
        </w:rPr>
        <w:softHyphen/>
        <w:t>ра — 4—5 ч, шептала — 4 ч, собачки шептала — 3 ч. Технический состав полка особо отметил «не</w:t>
      </w:r>
      <w:r w:rsidRPr="00722885">
        <w:rPr>
          <w:color w:val="000000" w:themeColor="text1"/>
          <w:sz w:val="16"/>
          <w:szCs w:val="16"/>
        </w:rPr>
        <w:softHyphen/>
        <w:t>удобную конструкцию и плохое изготовление об</w:t>
      </w:r>
      <w:r w:rsidRPr="00722885">
        <w:rPr>
          <w:color w:val="000000" w:themeColor="text1"/>
          <w:sz w:val="16"/>
          <w:szCs w:val="16"/>
        </w:rPr>
        <w:softHyphen/>
        <w:t>текателей пушек — на шомпола их невозможно закрыть».</w:t>
      </w:r>
    </w:p>
    <w:p w14:paraId="1D0EC960"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722885">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5B502E15"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722885">
        <w:rPr>
          <w:color w:val="000000" w:themeColor="text1"/>
          <w:sz w:val="16"/>
          <w:szCs w:val="16"/>
        </w:rPr>
        <w:softHyphen/>
        <w:t>лись.</w:t>
      </w:r>
    </w:p>
    <w:p w14:paraId="2E04BD09"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лейтенант Воловиков в своем донесе</w:t>
      </w:r>
      <w:r w:rsidRPr="00722885">
        <w:rPr>
          <w:color w:val="000000" w:themeColor="text1"/>
          <w:sz w:val="16"/>
          <w:szCs w:val="16"/>
        </w:rPr>
        <w:softHyphen/>
        <w:t>нии указал, что «в серийном производстве Ил-2 с ШФК-37 выпускать нельзя». К его мнению присо</w:t>
      </w:r>
      <w:r w:rsidRPr="00722885">
        <w:rPr>
          <w:color w:val="000000" w:themeColor="text1"/>
          <w:sz w:val="16"/>
          <w:szCs w:val="16"/>
        </w:rPr>
        <w:softHyphen/>
        <w:t>единились старший сержант А. В. Дунов, сержант М. А. Сахариленко и старшина В. Ф. Игнатьев.</w:t>
      </w:r>
    </w:p>
    <w:p w14:paraId="06D4E135"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722885">
        <w:rPr>
          <w:color w:val="000000" w:themeColor="text1"/>
          <w:sz w:val="16"/>
          <w:szCs w:val="16"/>
        </w:rPr>
        <w:softHyphen/>
        <w:t>го; 4) нужен более мощный мотор для противозе</w:t>
      </w:r>
      <w:r w:rsidRPr="00722885">
        <w:rPr>
          <w:color w:val="000000" w:themeColor="text1"/>
          <w:sz w:val="16"/>
          <w:szCs w:val="16"/>
        </w:rPr>
        <w:softHyphen/>
        <w:t>нитного маневра; 5) формировать отдельные диви</w:t>
      </w:r>
      <w:r w:rsidRPr="00722885">
        <w:rPr>
          <w:color w:val="000000" w:themeColor="text1"/>
          <w:sz w:val="16"/>
          <w:szCs w:val="16"/>
        </w:rPr>
        <w:softHyphen/>
        <w:t>зионные группы Ил-2 с пушками 37 мм или на полк давать 6 таких самолетов».</w:t>
      </w:r>
    </w:p>
    <w:p w14:paraId="2FD0670D"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722885">
        <w:rPr>
          <w:color w:val="000000" w:themeColor="text1"/>
          <w:sz w:val="16"/>
          <w:szCs w:val="16"/>
        </w:rPr>
        <w:softHyphen/>
        <w:t>жанта Юсова».</w:t>
      </w:r>
    </w:p>
    <w:p w14:paraId="690E2B6C"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с учетом этого в заключении «Доклада о войсковых испытаниях на боевое при</w:t>
      </w:r>
      <w:r w:rsidRPr="00722885">
        <w:rPr>
          <w:color w:val="000000" w:themeColor="text1"/>
          <w:sz w:val="16"/>
          <w:szCs w:val="16"/>
        </w:rPr>
        <w:softHyphen/>
        <w:t>менение самолетов Ил-2 АМ-38, вооруженных 37-мм пушками конструкции ОКБ-15» было записа</w:t>
      </w:r>
      <w:r w:rsidRPr="00722885">
        <w:rPr>
          <w:color w:val="000000" w:themeColor="text1"/>
          <w:sz w:val="16"/>
          <w:szCs w:val="16"/>
        </w:rPr>
        <w:softHyphen/>
        <w:t>но: «1. Самолеты с пушками ШФК-37, испытанные на боевое применение, не дали должной эффективно</w:t>
      </w:r>
      <w:r w:rsidRPr="00722885">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722885">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5FA4B5EF"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боевых летчиков от 688-го шап и чле</w:t>
      </w:r>
      <w:r w:rsidRPr="00722885">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4CE47AA6"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Уже 8 марта 1943 г. начальник 1-го отдела УЗ- СиМ ГУЗ ВВС инженер-полковник Ковалев в до</w:t>
      </w:r>
      <w:r w:rsidRPr="00722885">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722885">
        <w:rPr>
          <w:color w:val="000000" w:themeColor="text1"/>
          <w:sz w:val="16"/>
          <w:szCs w:val="16"/>
        </w:rPr>
        <w:softHyphen/>
        <w:t>вых испытаний самолетов Ил-2 с ШФК-37 37-мм пушки подлежат конструктивной доводке».</w:t>
      </w:r>
    </w:p>
    <w:p w14:paraId="74421090"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722885">
        <w:rPr>
          <w:color w:val="000000" w:themeColor="text1"/>
          <w:sz w:val="16"/>
          <w:szCs w:val="16"/>
        </w:rPr>
        <w:softHyphen/>
        <w:t>шек ШФК-37 на самолетах Ил-2».</w:t>
      </w:r>
    </w:p>
    <w:p w14:paraId="2582517C" w14:textId="77777777" w:rsidR="00B4264E" w:rsidRPr="00722885" w:rsidRDefault="00B4264E"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722885">
        <w:rPr>
          <w:color w:val="000000" w:themeColor="text1"/>
          <w:sz w:val="16"/>
          <w:szCs w:val="16"/>
        </w:rPr>
        <w:softHyphen/>
        <w:t>готовить справку о ходе испытаний пушек калибра 37 мм ОКБ-16 на самолетах Ил-2 (17500).</w:t>
      </w:r>
    </w:p>
    <w:p w14:paraId="137CCE8D" w14:textId="77777777" w:rsidR="00B4264E" w:rsidRPr="00722885" w:rsidRDefault="00B4264E" w:rsidP="00722885">
      <w:pPr>
        <w:pStyle w:val="12a"/>
        <w:shd w:val="clear" w:color="auto" w:fill="auto"/>
        <w:spacing w:after="0" w:line="240" w:lineRule="auto"/>
        <w:jc w:val="both"/>
        <w:rPr>
          <w:color w:val="000000" w:themeColor="text1"/>
          <w:sz w:val="16"/>
          <w:szCs w:val="16"/>
        </w:rPr>
      </w:pPr>
    </w:p>
    <w:p w14:paraId="360CBC2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декабря 1942 Ла-5 был запущен в серию на нескольких заводах (663,159;3486).</w:t>
      </w:r>
    </w:p>
    <w:p w14:paraId="219B2892" w14:textId="77777777" w:rsidR="00BB6316" w:rsidRPr="00722885" w:rsidRDefault="00BB6316" w:rsidP="00722885">
      <w:pPr>
        <w:pStyle w:val="Iauiue"/>
        <w:jc w:val="both"/>
        <w:rPr>
          <w:color w:val="000000" w:themeColor="text1"/>
          <w:sz w:val="16"/>
          <w:szCs w:val="16"/>
        </w:rPr>
      </w:pPr>
    </w:p>
    <w:p w14:paraId="58701AF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декабря 1942 Зам. ГК 21 Закс сообщил данные по макс. скоростям Ла-5 у земли: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B487A" w:rsidRPr="00722885" w14:paraId="122E55EC" w14:textId="77777777" w:rsidTr="00CC5360">
        <w:tc>
          <w:tcPr>
            <w:tcW w:w="5636" w:type="dxa"/>
            <w:tcBorders>
              <w:top w:val="single" w:sz="12" w:space="0" w:color="auto"/>
            </w:tcBorders>
          </w:tcPr>
          <w:p w14:paraId="5FC6685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01.12.42 (машина N 37210850 c номинальным и увеличенным наддувом)</w:t>
            </w:r>
          </w:p>
        </w:tc>
        <w:tc>
          <w:tcPr>
            <w:tcW w:w="5636" w:type="dxa"/>
            <w:tcBorders>
              <w:top w:val="single" w:sz="12" w:space="0" w:color="auto"/>
            </w:tcBorders>
          </w:tcPr>
          <w:p w14:paraId="599DB4C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510/545 и 533/571 км/час (V летн./V станд.).</w:t>
            </w:r>
          </w:p>
        </w:tc>
      </w:tr>
      <w:tr w:rsidR="009B487A" w:rsidRPr="00722885" w14:paraId="4DD14DE4" w14:textId="77777777" w:rsidTr="00CC5360">
        <w:tc>
          <w:tcPr>
            <w:tcW w:w="5636" w:type="dxa"/>
          </w:tcPr>
          <w:p w14:paraId="16A307B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01.12.42 (машина N 37210853)</w:t>
            </w:r>
          </w:p>
        </w:tc>
        <w:tc>
          <w:tcPr>
            <w:tcW w:w="5636" w:type="dxa"/>
          </w:tcPr>
          <w:p w14:paraId="076BCE2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530/565 и 526/557.6 км/час</w:t>
            </w:r>
          </w:p>
        </w:tc>
      </w:tr>
      <w:tr w:rsidR="009B487A" w:rsidRPr="00722885" w14:paraId="7D6EDB4B" w14:textId="77777777" w:rsidTr="00CC5360">
        <w:tc>
          <w:tcPr>
            <w:tcW w:w="5636" w:type="dxa"/>
          </w:tcPr>
          <w:p w14:paraId="71A610D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01.12.42 (машина N 37210871)</w:t>
            </w:r>
          </w:p>
        </w:tc>
        <w:tc>
          <w:tcPr>
            <w:tcW w:w="5636" w:type="dxa"/>
          </w:tcPr>
          <w:p w14:paraId="0AE139B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500/535 и 529/559 км/час</w:t>
            </w:r>
          </w:p>
        </w:tc>
      </w:tr>
      <w:tr w:rsidR="009B487A" w:rsidRPr="00722885" w14:paraId="3C6CA882" w14:textId="77777777" w:rsidTr="00CC5360">
        <w:tc>
          <w:tcPr>
            <w:tcW w:w="5636" w:type="dxa"/>
            <w:tcBorders>
              <w:bottom w:val="single" w:sz="12" w:space="0" w:color="auto"/>
            </w:tcBorders>
          </w:tcPr>
          <w:p w14:paraId="20DFBB9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01.12.42 (машина N 37211008)</w:t>
            </w:r>
          </w:p>
        </w:tc>
        <w:tc>
          <w:tcPr>
            <w:tcW w:w="5636" w:type="dxa"/>
            <w:tcBorders>
              <w:bottom w:val="single" w:sz="12" w:space="0" w:color="auto"/>
            </w:tcBorders>
          </w:tcPr>
          <w:p w14:paraId="422C66B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516/555 и 517.5/552 км/час (2519,9).</w:t>
            </w:r>
          </w:p>
        </w:tc>
      </w:tr>
    </w:tbl>
    <w:p w14:paraId="2F896802" w14:textId="77777777" w:rsidR="00BB6316" w:rsidRPr="00722885" w:rsidRDefault="00BB6316" w:rsidP="00722885">
      <w:pPr>
        <w:pStyle w:val="Iauiue"/>
        <w:jc w:val="both"/>
        <w:rPr>
          <w:iCs/>
          <w:color w:val="000000" w:themeColor="text1"/>
          <w:sz w:val="16"/>
          <w:szCs w:val="16"/>
        </w:rPr>
      </w:pPr>
    </w:p>
    <w:p w14:paraId="4567D3F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B3B9042" w14:textId="77777777" w:rsidR="00BB6316" w:rsidRPr="00722885" w:rsidRDefault="00BB6316" w:rsidP="00722885">
      <w:pPr>
        <w:pStyle w:val="Iauiue"/>
        <w:jc w:val="both"/>
        <w:rPr>
          <w:iCs/>
          <w:color w:val="000000" w:themeColor="text1"/>
          <w:sz w:val="16"/>
          <w:szCs w:val="16"/>
        </w:rPr>
      </w:pPr>
    </w:p>
    <w:p w14:paraId="771A12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декабря 1942 г. из СПЕЦСООБЩЕНИЯ НАЧАЛЬНИКА УПРАВЛЕНИЯ НКВД ПО НОВОСИБИРСКОЙ ОБЛАСТИ Л.А. МАЛИНИНА СЕКРЕТАРЮ ГОРКОМА ВКП(б) И.Д. ЯКОВЛЕВУ О НЕУДОВЛЕТВОРИТЕЛЬНЫХ ЖИЛ И ЩНО-БЫТОВЫХ УСЛОВИЯХ МОЛОДЫХ РАБОЧИХ ЗАВОДА № 590 НКЭП</w:t>
      </w:r>
    </w:p>
    <w:p w14:paraId="3E45F4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Жилищно-бытовые условия молодых рабочих, принятых на завод № 590 НКЭП, особенно рабочих, окончивших ремесленные училища, крайне неудовлетворительны. В общежитиях завода проживает 283 человека молодых рабочих, в 1942 году окончивших ремесленные училища. Эти рабочие в город Новосибирск прибыли из разных городов Союза: Омска, Томска, Воронежа и других. Общежития, в которых размещены рабочие, находятся в плохом, антисанитарном состоянии. По улице Змеиногорской № 43 общежитие еще не отделано и не сдано в эксплуатацию, а по распоряжению директора завода Мещерякова начальник жилищно-коммунального отдела Шержуков переселил в одну комнату 25 человек столяров. В комнате грязно, холодно, света нет. Комната имеет щели, через которые проникает холод. Нет ни табуреток, ни умывальника, трое рабочих не имеют кроватей. Не обеспечено матрацами 12 человек. Вешалок и тумбочек нет. Из-за отсутствия белья многие не ходят в баню по месяцу и больше. Имеющееся белье не стирается. Прикрепленные к общежитию уборщица и комендант -Мызникова, член ВКП(б), в общежитии не бывают. По улице Нижегородской, № 147 (комендант Дугина) замечательный двухэтажный дом, где размещены в верхнем этаже девушки, а нижнем — юноши. В комнатах живут от 6 до 8 человек. Но и это общежитие находится в антисанитарном состоянии. В комнатах беспорядок — грязь, табуреток, умывальников и другого инвентаря нет. Нет общего умывальника. Общежитие не отапливается, нет уборщицы. Из-за отсутствия топлива проживающие в общежитиях поломали все</w:t>
      </w:r>
    </w:p>
    <w:p w14:paraId="1CBFC2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рядом стоящие заборы, ломают выстроенные сараи и другие пристройки. В этом общежитии также имеют место частые хищения. По причине отсутствия обуви, одежды и наличия плохих вышеперечисленных жилищно-бытовых условий среди молодых рабочих наблюдаются массовые случаи дезертирства с завода и невыхода на работу. Так, в октябре 1942 года дезертировало с завода молодых рабочих 43 человека, из них 14 бывших ремесленников, сделано 30 прогулов, в том числе не вышли на работу 10 человек бывших ремесленников. В ноябре месяце дезертировало 36 человек, сделано 39 прогулов. Начальники цехов также не интересуются состоянием бытовых условий рабочих.</w:t>
      </w:r>
    </w:p>
    <w:p w14:paraId="038865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управления НКВД по Новосибирской области</w:t>
      </w:r>
    </w:p>
    <w:p w14:paraId="22A417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экономотдела УНКВД Новосибирской области</w:t>
      </w:r>
    </w:p>
    <w:p w14:paraId="0C2502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ГАНС Ф. П-22. Оп. 4. Д. 1. Л. 248. Подлинник (12193).</w:t>
      </w:r>
    </w:p>
    <w:p w14:paraId="02E952C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C189F9D" w14:textId="77777777" w:rsidR="00517A3A" w:rsidRPr="00722885" w:rsidRDefault="00517A3A"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5 де</w:t>
      </w:r>
      <w:r w:rsidRPr="00722885">
        <w:rPr>
          <w:rFonts w:eastAsia="Calibri"/>
          <w:color w:val="000000" w:themeColor="text1"/>
          <w:sz w:val="16"/>
          <w:szCs w:val="16"/>
        </w:rPr>
        <w:softHyphen/>
        <w:t>кабря 1942 года комиссия, созданная 16 сентября, приступила к испытаниям легких зенитных танков. С Т-60 (зенитным) сразу же произошел конфуз. Дело в том, что создана ЗСУ была на шасси того самого танка, на котором испытывался двигатель ЗиС-16, незадолго до испытаний мотор сло</w:t>
      </w:r>
      <w:r w:rsidRPr="00722885">
        <w:rPr>
          <w:rFonts w:eastAsia="Calibri"/>
          <w:color w:val="000000" w:themeColor="text1"/>
          <w:sz w:val="16"/>
          <w:szCs w:val="16"/>
        </w:rPr>
        <w:softHyphen/>
        <w:t>мался. В результате Т-60 (зенитный) попал на испытания без двигате</w:t>
      </w:r>
      <w:r w:rsidRPr="00722885">
        <w:rPr>
          <w:rFonts w:eastAsia="Calibri"/>
          <w:color w:val="000000" w:themeColor="text1"/>
          <w:sz w:val="16"/>
          <w:szCs w:val="16"/>
        </w:rPr>
        <w:softHyphen/>
        <w:t>ля. Также отмечалось, что коллиматорный прицел расположен непра</w:t>
      </w:r>
      <w:r w:rsidRPr="00722885">
        <w:rPr>
          <w:rFonts w:eastAsia="Calibri"/>
          <w:color w:val="000000" w:themeColor="text1"/>
          <w:sz w:val="16"/>
          <w:szCs w:val="16"/>
        </w:rPr>
        <w:softHyphen/>
        <w:t>вильно, а в башне тесно при стрельбе по наземным целям, поскольку пулеметы прижимали стрелка к погону башни. По результатам осмотра было принято решение Т-60 (зенитный) к испытаниям не допускать.</w:t>
      </w:r>
    </w:p>
    <w:p w14:paraId="67B01A49" w14:textId="77777777" w:rsidR="00517A3A" w:rsidRPr="00722885" w:rsidRDefault="00517A3A"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По результатам испытаний Т-90 был рекомендован для вооружения АБТ войск после устранения выявленных недостатков. Что же касается Т-70 (зенитного), то его признали не выдержавшим испытания вслед</w:t>
      </w:r>
      <w:r w:rsidRPr="00722885">
        <w:rPr>
          <w:rFonts w:eastAsia="Calibri"/>
          <w:color w:val="000000" w:themeColor="text1"/>
          <w:sz w:val="16"/>
          <w:szCs w:val="16"/>
        </w:rPr>
        <w:softHyphen/>
        <w:t>ствие наличия конструктивных недоработок. Савин, впрочем, с окон</w:t>
      </w:r>
      <w:r w:rsidRPr="00722885">
        <w:rPr>
          <w:rFonts w:eastAsia="Calibri"/>
          <w:color w:val="000000" w:themeColor="text1"/>
          <w:sz w:val="16"/>
          <w:szCs w:val="16"/>
        </w:rPr>
        <w:softHyphen/>
        <w:t>чательными выводами комиссии не согласился и написал весьма объ</w:t>
      </w:r>
      <w:r w:rsidRPr="00722885">
        <w:rPr>
          <w:rFonts w:eastAsia="Calibri"/>
          <w:color w:val="000000" w:themeColor="text1"/>
          <w:sz w:val="16"/>
          <w:szCs w:val="16"/>
        </w:rPr>
        <w:softHyphen/>
        <w:t>емный список замечаний, который был приложен к отчету. Некоторые пункты из «Особых замечаний» проливают свет на то, каким образом проходили испытания, а также на некоторые выводы комиссии:</w:t>
      </w:r>
    </w:p>
    <w:p w14:paraId="69ED419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пункту 2. На Т- 70 стреляли только из одного левого пулемета, и всего по щиту на дистанцию 100м выпущено 45 патронов, а на дистан</w:t>
      </w:r>
      <w:r w:rsidRPr="00722885">
        <w:rPr>
          <w:rFonts w:ascii="Times New Roman" w:hAnsi="Times New Roman"/>
          <w:color w:val="000000" w:themeColor="text1"/>
          <w:sz w:val="16"/>
          <w:szCs w:val="16"/>
        </w:rPr>
        <w:softHyphen/>
        <w:t>цию 400м — 20 патронов, него для вывода о стрельбе явно недостаточно. Правый пулемет по тем же причинам, которые отмечены комиссией для внимания ГАУ КА по всем установкам с пулеметами ДШК, имел несколь</w:t>
      </w:r>
      <w:r w:rsidRPr="00722885">
        <w:rPr>
          <w:rFonts w:ascii="Times New Roman" w:hAnsi="Times New Roman"/>
          <w:color w:val="000000" w:themeColor="text1"/>
          <w:sz w:val="16"/>
          <w:szCs w:val="16"/>
        </w:rPr>
        <w:softHyphen/>
        <w:t>ко отказов в работе при стрельбе 6.</w:t>
      </w:r>
      <w:r w:rsidRPr="00722885">
        <w:rPr>
          <w:rFonts w:ascii="Times New Roman" w:hAnsi="Times New Roman"/>
          <w:color w:val="000000" w:themeColor="text1"/>
          <w:sz w:val="16"/>
          <w:szCs w:val="16"/>
          <w:lang w:val="en-US"/>
        </w:rPr>
        <w:t>XII</w:t>
      </w:r>
      <w:r w:rsidRPr="00722885">
        <w:rPr>
          <w:rFonts w:ascii="Times New Roman" w:hAnsi="Times New Roman"/>
          <w:color w:val="000000" w:themeColor="text1"/>
          <w:sz w:val="16"/>
          <w:szCs w:val="16"/>
        </w:rPr>
        <w:t>, а 8.XII пулеметы на Т-90 тоже работали с перебоями. Конкретной причины отказов в стрельбе всеми пу</w:t>
      </w:r>
      <w:r w:rsidRPr="00722885">
        <w:rPr>
          <w:rFonts w:ascii="Times New Roman" w:hAnsi="Times New Roman"/>
          <w:color w:val="000000" w:themeColor="text1"/>
          <w:sz w:val="16"/>
          <w:szCs w:val="16"/>
        </w:rPr>
        <w:softHyphen/>
        <w:t>леметами (Т-70 и Т-90) комиссией не установлено на месте испытания; насколько можно предполагать, что это относится к неисправностям магазинов, я не утверждаю, так как это может относиться к смазке.</w:t>
      </w:r>
    </w:p>
    <w:p w14:paraId="4DFA9E0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пункту 3. Не соответствует пункту 3 раздела V результатов ис</w:t>
      </w:r>
      <w:r w:rsidRPr="00722885">
        <w:rPr>
          <w:rFonts w:ascii="Times New Roman" w:hAnsi="Times New Roman"/>
          <w:color w:val="000000" w:themeColor="text1"/>
          <w:sz w:val="16"/>
          <w:szCs w:val="16"/>
        </w:rPr>
        <w:softHyphen/>
        <w:t>пытания, в котором отмечена удовлетворительная работа свободной на</w:t>
      </w:r>
      <w:r w:rsidRPr="00722885">
        <w:rPr>
          <w:rFonts w:ascii="Times New Roman" w:hAnsi="Times New Roman"/>
          <w:color w:val="000000" w:themeColor="text1"/>
          <w:sz w:val="16"/>
          <w:szCs w:val="16"/>
        </w:rPr>
        <w:softHyphen/>
        <w:t>водки.</w:t>
      </w:r>
    </w:p>
    <w:p w14:paraId="228DD17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пункту 6. «Маневренность огня» на модернизированной серийной баш</w:t>
      </w:r>
      <w:r w:rsidRPr="00722885">
        <w:rPr>
          <w:rFonts w:ascii="Times New Roman" w:hAnsi="Times New Roman"/>
          <w:color w:val="000000" w:themeColor="text1"/>
          <w:sz w:val="16"/>
          <w:szCs w:val="16"/>
        </w:rPr>
        <w:softHyphen/>
        <w:t>не Т- 70 ничем не проверена, и конкретизация пункта не имеет оснований. Вопрос стоимости и трудоемкости переделок башен не очевиден из редак</w:t>
      </w:r>
      <w:r w:rsidRPr="00722885">
        <w:rPr>
          <w:rFonts w:ascii="Times New Roman" w:hAnsi="Times New Roman"/>
          <w:color w:val="000000" w:themeColor="text1"/>
          <w:sz w:val="16"/>
          <w:szCs w:val="16"/>
        </w:rPr>
        <w:softHyphen/>
        <w:t>ции определения «незначительные переделки». Считаю необходимостью заметить, что установка в Т- 70 весьма недорогая, простая в конструк</w:t>
      </w:r>
      <w:r w:rsidRPr="00722885">
        <w:rPr>
          <w:rFonts w:ascii="Times New Roman" w:hAnsi="Times New Roman"/>
          <w:color w:val="000000" w:themeColor="text1"/>
          <w:sz w:val="16"/>
          <w:szCs w:val="16"/>
        </w:rPr>
        <w:softHyphen/>
        <w:t>тивном и производственном выполнении и выполнима изготовлением каждым ремонтным заводом (каким является бывший завод № 37 без оснаще</w:t>
      </w:r>
      <w:r w:rsidRPr="00722885">
        <w:rPr>
          <w:rFonts w:ascii="Times New Roman" w:hAnsi="Times New Roman"/>
          <w:color w:val="000000" w:themeColor="text1"/>
          <w:sz w:val="16"/>
          <w:szCs w:val="16"/>
        </w:rPr>
        <w:softHyphen/>
        <w:t>ния универсальным оборудованием) и любой ремонтной базой БТУ КА.</w:t>
      </w:r>
    </w:p>
    <w:p w14:paraId="35A9379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изготовления Т-90 требуется много нового неосвоенного литья для трудоемких узлов, таким образом, установка Т-90 удорожается в стои</w:t>
      </w:r>
      <w:r w:rsidRPr="00722885">
        <w:rPr>
          <w:rFonts w:ascii="Times New Roman" w:hAnsi="Times New Roman"/>
          <w:color w:val="000000" w:themeColor="text1"/>
          <w:sz w:val="16"/>
          <w:szCs w:val="16"/>
        </w:rPr>
        <w:softHyphen/>
        <w:t>мости и может быть изготовлена только квалифицированными заводами, какими являются ГАЗ, № 38 и др., имеющие универсальное оборудование.</w:t>
      </w:r>
    </w:p>
    <w:p w14:paraId="37C67DA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Создавая установку Т-70, имелось в виду стремление к тому, чтобы дать недорогую установку. Отмеченные Т-70 недостатки свойственны любой конструкции, и они быстро устранимы для прохождения повторных испытаний с механизмом поворота, установленного с левой стороны, и скоростью наведения более 8—10градусов, установкой гильзоуловителя, установкой стеллажей для магазинов и ЗИПов.</w:t>
      </w:r>
    </w:p>
    <w:p w14:paraId="54CEB1A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пункту 7. Конструкция башни Т-90 для постановки ее на Т-60 не может быть рекомендована двумя словами «с незначительными передел</w:t>
      </w:r>
      <w:r w:rsidRPr="00722885">
        <w:rPr>
          <w:rFonts w:ascii="Times New Roman" w:hAnsi="Times New Roman"/>
          <w:color w:val="000000" w:themeColor="text1"/>
          <w:sz w:val="16"/>
          <w:szCs w:val="16"/>
        </w:rPr>
        <w:softHyphen/>
        <w:t>ками». Нужно разработать чертеж и составить калькуляцию сравни</w:t>
      </w:r>
      <w:r w:rsidRPr="00722885">
        <w:rPr>
          <w:rFonts w:ascii="Times New Roman" w:hAnsi="Times New Roman"/>
          <w:color w:val="000000" w:themeColor="text1"/>
          <w:sz w:val="16"/>
          <w:szCs w:val="16"/>
        </w:rPr>
        <w:softHyphen/>
        <w:t>тельной стоимости.</w:t>
      </w:r>
    </w:p>
    <w:p w14:paraId="1881380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 своей стороны, полагаю, что башня Т-90 при постановке ее на Т-60 претерпит такие изменения (если не менять подбашенных листов и прочих надстроек над листом), что она не сможет называться серийной башней от Т-90. Потребуется переделка не только подбашенных листов, но и воздухопритоков и других узлов»'.</w:t>
      </w:r>
    </w:p>
    <w:p w14:paraId="304FCD9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же касается Т-60 (зенитного), то предлагалось изменить маску по типу Т-70 (зенитного) с переносом коллиматорного прицела, а пу</w:t>
      </w:r>
      <w:r w:rsidRPr="00722885">
        <w:rPr>
          <w:rFonts w:ascii="Times New Roman" w:hAnsi="Times New Roman"/>
          <w:color w:val="000000" w:themeColor="text1"/>
          <w:sz w:val="16"/>
          <w:szCs w:val="16"/>
        </w:rPr>
        <w:softHyphen/>
        <w:t>леметы сдвинуть вперед на 150 мм. Особо отмечалось, что изготовление зенитной установки в штатной башне крайне необходимо, так как дан</w:t>
      </w:r>
      <w:r w:rsidRPr="00722885">
        <w:rPr>
          <w:rFonts w:ascii="Times New Roman" w:hAnsi="Times New Roman"/>
          <w:color w:val="000000" w:themeColor="text1"/>
          <w:sz w:val="16"/>
          <w:szCs w:val="16"/>
        </w:rPr>
        <w:softHyphen/>
        <w:t>ной системой интересовались не только в БТУ ГАБТУ КА, но и в Арт- управлении НКВМ Флота, причем ее параметры использовались для служебного применения. Кроме того, по предложению Савина после официальных испытаний состоялись прицельные стрельбы по воздуш</w:t>
      </w:r>
      <w:r w:rsidRPr="00722885">
        <w:rPr>
          <w:rFonts w:ascii="Times New Roman" w:hAnsi="Times New Roman"/>
          <w:color w:val="000000" w:themeColor="text1"/>
          <w:sz w:val="16"/>
          <w:szCs w:val="16"/>
        </w:rPr>
        <w:softHyphen/>
        <w:t>ному змею, по результатам которых наилучшие характеристики были зафиксированы у Т-60 (зенитного). Данные предложения Савина ока</w:t>
      </w:r>
      <w:r w:rsidRPr="00722885">
        <w:rPr>
          <w:rFonts w:ascii="Times New Roman" w:hAnsi="Times New Roman"/>
          <w:color w:val="000000" w:themeColor="text1"/>
          <w:sz w:val="16"/>
          <w:szCs w:val="16"/>
        </w:rPr>
        <w:softHyphen/>
        <w:t>зались без внимания, поскольку Т-90 был явно более предпочтителен в качестве легкой ЗСУ. Т-60 к тому моменту был почти полгода как снят с производства, отличие от Т-70, выпускавшегося сразу на двух заводах (17385).</w:t>
      </w:r>
    </w:p>
    <w:p w14:paraId="008E3023" w14:textId="77777777" w:rsidR="00517A3A" w:rsidRPr="00722885" w:rsidRDefault="00517A3A" w:rsidP="00722885">
      <w:pPr>
        <w:spacing w:after="0" w:line="240" w:lineRule="auto"/>
        <w:jc w:val="both"/>
        <w:rPr>
          <w:rFonts w:ascii="Times New Roman" w:hAnsi="Times New Roman"/>
          <w:color w:val="000000" w:themeColor="text1"/>
          <w:sz w:val="16"/>
          <w:szCs w:val="16"/>
        </w:rPr>
      </w:pPr>
    </w:p>
    <w:p w14:paraId="7D4F8B9E" w14:textId="77777777" w:rsidR="00FB28B1" w:rsidRPr="00722885" w:rsidRDefault="00FB28B1"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период с 5 по 9 декабря 1942 года на НИБТ Полигоне проводились испытания Т-70-З. Было произведено 1125 выстрелов, а также пробег на дистанцию 50 километров. Быстро выяснилось, что спешка в разработке зенитного Т-70 была явно излишней. Вести прицельный огонь по наземным и воздушным целям оказалось невозможно, поскольку установка была неуравновешенной. Выявилась масса недочетов по удобству работы и прицеливанию. Использование штатного механизма поворота привело к тому, что скорость горизонтальной наводки оказалась недостаточной. Выявилась низкая кучность, а также сбиваемость прицельных приспособлений в ходе ходовых испытаний. Также выявились неудобства с заряжанием правого пулемета. Наконец, подвижная бронировка не обеспечивала достаточной защиты, поскольку имелось большое отверстие под прицел.</w:t>
      </w:r>
    </w:p>
    <w:p w14:paraId="6FAC196B" w14:textId="77777777" w:rsidR="00FB28B1" w:rsidRPr="00722885" w:rsidRDefault="00FB28B1"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Результатом стало то, что сравнительные испытания зенитный Т-70 провалил. Несмотря на пожелания о доводке опытного образца, делать этого не стали. Победу одержал зенитный танк Т-90. Что же касается Савина, то Иван Васильевич всё же нашел место для своих разработок. Зенитные пулеметные установки на бронекатерах являются, в том числе, и его детищами (21193).</w:t>
      </w:r>
    </w:p>
    <w:p w14:paraId="385802CD" w14:textId="77777777" w:rsidR="00FB28B1" w:rsidRPr="00722885" w:rsidRDefault="00FB28B1" w:rsidP="00722885">
      <w:pPr>
        <w:spacing w:after="0" w:line="240" w:lineRule="auto"/>
        <w:jc w:val="both"/>
        <w:rPr>
          <w:rFonts w:ascii="Times New Roman" w:hAnsi="Times New Roman"/>
          <w:color w:val="0070C0"/>
          <w:sz w:val="16"/>
          <w:szCs w:val="16"/>
        </w:rPr>
      </w:pPr>
    </w:p>
    <w:p w14:paraId="23703FBA" w14:textId="77777777" w:rsidR="00FB28B1" w:rsidRPr="00722885" w:rsidRDefault="00FB28B1"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lastRenderedPageBreak/>
        <w:t>С 5 декабря 1942 по 12 января 1943 года прошли заводские испытания улучшенной версии ЧК. Конструкцию орудия весьма существенно доработали, в частности, появился более развитый дульный тормоз. Боевая масса в походном положении составила 213 кг, а в боевом - 204 кг. В третий раз на испытания ГАУ орудие вышло в феврале 1943 года, несмотря на некоторые дефекты, отмечался прогресс в работах. В ГАУ КА отмечали, что орудие хоть и чуть уступает 45-мм противотанковой пушке, но хорошо подходит для авиадесантных частей (20126).</w:t>
      </w:r>
    </w:p>
    <w:p w14:paraId="24498077" w14:textId="77777777" w:rsidR="00FB28B1" w:rsidRPr="00722885" w:rsidRDefault="00FB28B1"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69D956E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декабря 1942 нарком танкостроения В.А.Малышев приказом обязал УЗТМ приступить к выпуску самоходных СУ-35 (позднее получивших обозначение СУ-122). До конца года промышленность выпустила по 25 СУ-76 и СУ-122 (по другим данным 34 СУ-122). Последняя была создана на базе Т-34 конструкторами КБ Кировского завода, эвакуированного в Свердловск на УЗТМ. При этом был применен метод так называемого скоростного проектирования. Руководил КБ Л.Е.Горлицкий. Общая компоновка СУ-122 выполнена Н. В. Куриным. В работе над СУ-122 принимали участие такие известные конструкторы, как Л.С.Троянов и М.Н.Щукин (3905).</w:t>
      </w:r>
    </w:p>
    <w:p w14:paraId="51E6B700" w14:textId="77777777" w:rsidR="00BB6316" w:rsidRPr="00722885" w:rsidRDefault="00BB6316" w:rsidP="00722885">
      <w:pPr>
        <w:pStyle w:val="Iauiue"/>
        <w:jc w:val="both"/>
        <w:rPr>
          <w:color w:val="000000" w:themeColor="text1"/>
          <w:sz w:val="16"/>
          <w:szCs w:val="16"/>
        </w:rPr>
      </w:pPr>
    </w:p>
    <w:p w14:paraId="1B07685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5 по 19 декабря 1942 г. на Гороховецком полигоне проходили государственные испытания У-35 совместно с СГ-122 завода № 592, выполненной на трофейном шасси. По скорострельности и углу возвышения орудия уральский самоход проиграл конкуренту, но по толщине брони, высоте корпуса, подвижности и проходимости оставил его позади. Госкомиссия пришла к выводу о целесообразности принятия САУ У-35 на вооружение под индексом СУ-122, но при этом составила обширный список необходимых доработок (4017).</w:t>
      </w:r>
    </w:p>
    <w:p w14:paraId="0639EC28" w14:textId="77777777" w:rsidR="00BB6316" w:rsidRPr="00722885" w:rsidRDefault="00BB6316" w:rsidP="00722885">
      <w:pPr>
        <w:pStyle w:val="Iauiue"/>
        <w:jc w:val="both"/>
        <w:rPr>
          <w:color w:val="000000" w:themeColor="text1"/>
          <w:sz w:val="16"/>
          <w:szCs w:val="16"/>
        </w:rPr>
      </w:pPr>
    </w:p>
    <w:p w14:paraId="77257040"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С 5 по 19 декабря 1942 года на Гороховецком полигоне проводились государственные испытания двух образцов самоходных установок, изготовленных заводом № 592 и Уралмашзаводом, с целью определить их тактико-технические показатели и подготовить материал для решения вопроса о принятии одного из образцов на вооружение Красной Армии. Следует отметить, что завод № 592 согласно заданию разработал проект и изготовил опытный образец 122-мм САУ с использованием базы трофейного немецкого среднего танка PZ.IV.</w:t>
      </w:r>
    </w:p>
    <w:p w14:paraId="72505084"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Самоходная установка У-35 (СУ-122) была испытана 281 выстрелом (из. них 161 -с усиленным зарядом) и пробегом. на 430 км.</w:t>
      </w:r>
    </w:p>
    <w:p w14:paraId="0E2DCF2B"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В общей сравнительной оценке обоих представленных образцов государственная комиссия пришла к заключению о необходимости доработать артсамоход СУ-122, чтобы устранить ряд выявленных в ходе испытаний недостатков и - главным образом - тесноту в боевом отделении, но вместе с тем рекомендовала принять САУ на вооружение Красной Армии (9636).</w:t>
      </w:r>
    </w:p>
    <w:p w14:paraId="0E7157CD" w14:textId="77777777" w:rsidR="00BB6316" w:rsidRPr="00722885" w:rsidRDefault="00BB6316" w:rsidP="00722885">
      <w:pPr>
        <w:pStyle w:val="a8"/>
        <w:widowControl/>
        <w:jc w:val="both"/>
        <w:rPr>
          <w:rFonts w:ascii="Times New Roman" w:hAnsi="Times New Roman" w:cs="Times New Roman"/>
          <w:color w:val="000000" w:themeColor="text1"/>
        </w:rPr>
      </w:pPr>
    </w:p>
    <w:p w14:paraId="2D4209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5 по 19 декабря 1942 г. на Гороховецком полигоне проводились государственные испытания У 35 совместно с испытаниями СГ 122 завода № 592, выполненной на трофейном шасси. По скорострельности и углу возвышения орудия уральский самоход проиграл конку ренту, но по толщине брони, высоте корпуса, подвижности и проходимости оставил его позади. Госкомиссия пришла к выводу о целесообразности принятия САУ У 35 на вооружение под индексом СУ 122, но при этом составила обширный список необходимых доработок. К чему такая спешка? Да очень просто, до ГКО наконец дошло, что для поражения ДОТов и других укреплений требуется мощная мобильная гаубица. СУ 122 стала настоящим подарком фронтовикам, кото рые до тех пор имели орудия, передвигавшиеся в основном на конной тяге (11300).</w:t>
      </w:r>
    </w:p>
    <w:p w14:paraId="596A85F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6A13B46" w14:textId="77777777" w:rsidR="00153B27" w:rsidRPr="00722885" w:rsidRDefault="00153B2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5 декабря 1942 опытные образцы У-35 и СГ-2 прибыли на Гороховецкий артиллерийский научно-испытательный опытный полигон (АНИОП). Целью испытаний был выбор лучшей из двух машин и принятие ее на вооружение. В некотором смысле у У-35 была фора, поскольку СГ-2 строилась на базе ремонтного танка, который оказался дефектным. Но уже на этапе сравнения характеристик машины и ТТТ начались вопросы. Боевая масса У-35 оказалась больше на 700 килограмм, а ее боекомплект составил 34 выстрела вместо положенных 40. Еще больше проблем выявилось при изучении боевого отделения. Общее мнение по нему говорит обо всем:</w:t>
      </w:r>
    </w:p>
    <w:p w14:paraId="526BECA2" w14:textId="77777777" w:rsidR="00153B27" w:rsidRPr="00722885" w:rsidRDefault="00153B2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«Размеры боевого отделения, размещение в нем боекомплекта и орудийного расчета не обеспечивают не только нормального обслуживания гаубицы, но даже и безопасности работы расчета»</w:t>
      </w:r>
    </w:p>
    <w:p w14:paraId="1161D487" w14:textId="77777777" w:rsidR="00153B27" w:rsidRPr="00722885" w:rsidRDefault="00153B2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Фактический угол поворота орудийной установки вправо составлял меньше 0,5 градуса. Результаты испытаний на скорострельность составили всего 5 выстрелов в минуту при требуемых 10. Место командира оказалось неудобным, а обзор из командирской башенки – сильно ограниченным. Не меньше неудобств испытывал и наводчик, позу которого при стрельбе назвали «неестественной». Кроме того, осуществлять прицеливание было затруднительно. Заряжающий находился под угрозой удара откатной части гаубицы при выстреле, а замковой упирался плечом в ноги командира. При этом работать маховиком подъемного механизма оказалось неудобно. Практически заряжание осуществлялось одним человеком, причем снаряды приходилось вынимать с усилием. Люки оказались неудобными, а вентиляционный колпак свои функции не выполнял. В общей сложности комиссия выявила 15 пунктов для исправлений. Вывод оказался следующий:</w:t>
      </w:r>
    </w:p>
    <w:p w14:paraId="7122F211" w14:textId="77777777" w:rsidR="00153B27" w:rsidRPr="00722885" w:rsidRDefault="00153B2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«Боевое отделение самоходной гаубицы Уралмашзавода в данной компоновке неприемлемо и требует коренной переделки вместе с устранением перечисленных выше недостатков вооружения».</w:t>
      </w:r>
    </w:p>
    <w:p w14:paraId="64AD6AC3" w14:textId="77777777" w:rsidR="00153B27" w:rsidRPr="00722885" w:rsidRDefault="00153B2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учетом того, что разработка конструкторской группы УЗТМ была явно лучше, чем ЗИК-11, можно лишь догадываться, насколько разгромный вердикт могло получить детище КБ завода №8 в случае постройки. Из общего вывода комиссии видно, что СГ-2 получилась явно лучше, чем У-35. К ней тоже были претензии, но больше по шасси, которое, как уже говорилось, было изначально дефектное (17679).</w:t>
      </w:r>
    </w:p>
    <w:p w14:paraId="6BE5ACF4" w14:textId="77777777" w:rsidR="00153B27" w:rsidRPr="00722885" w:rsidRDefault="00153B27" w:rsidP="00722885">
      <w:pPr>
        <w:pStyle w:val="12a"/>
        <w:shd w:val="clear" w:color="auto" w:fill="auto"/>
        <w:spacing w:after="0" w:line="240" w:lineRule="auto"/>
        <w:jc w:val="both"/>
        <w:rPr>
          <w:color w:val="000000" w:themeColor="text1"/>
          <w:sz w:val="16"/>
          <w:szCs w:val="16"/>
        </w:rPr>
      </w:pPr>
    </w:p>
    <w:p w14:paraId="6528FEFB" w14:textId="77777777" w:rsidR="00153B27" w:rsidRPr="00722885" w:rsidRDefault="00153B2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 декабря 1942 СУ-12 прибыла на Гороховецкий АНИОП. К тому времени САУ в ходе заводских испытаний прошла 150 км. Несмотря на решение Государственного комитета обороны о производстве СУ-12, сравнительные испытания СУ-12 и СУ-71 никто не отменял.</w:t>
      </w:r>
    </w:p>
    <w:p w14:paraId="70CAC437" w14:textId="77777777" w:rsidR="00153B27" w:rsidRPr="00722885" w:rsidRDefault="00153B2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Что же касается СУ-71, то её доставка на полигон затягивалась. 3 декабря на ГАЗ был отправлен член испытательной комиссии майор Соломонов. В ходе последовавших переговоров с руководством завода, в которых также принимал участие председатель комиссии генерал-лейтенант артиллерии В. Г. Тихонов, был назначен срок прибытия СУ-71 на полигон — 6 декабря. В назначенный срок машина не пришла, и лишь после вторичного прибытия Тихонова на ГАЗ СУ-71 отправили на полигон. Однако на полпути САУ вернули обратно вследствие неисправности системы охлаждения двигателей. В итоге до полигона СУ-71 добралась 9 декабря лишь для того, чтобы после проведения программы заводских испытаний и стрельб на следующий день снова вернуться на завод (17690).</w:t>
      </w:r>
    </w:p>
    <w:p w14:paraId="2DD65470" w14:textId="77777777" w:rsidR="00153B27" w:rsidRPr="00722885" w:rsidRDefault="00153B27" w:rsidP="00722885">
      <w:pPr>
        <w:spacing w:after="0" w:line="240" w:lineRule="auto"/>
        <w:jc w:val="both"/>
        <w:rPr>
          <w:rFonts w:ascii="Times New Roman" w:hAnsi="Times New Roman"/>
          <w:color w:val="000000" w:themeColor="text1"/>
          <w:sz w:val="16"/>
          <w:szCs w:val="16"/>
        </w:rPr>
      </w:pPr>
    </w:p>
    <w:p w14:paraId="12721A3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декабря 1942 одна из двух СГ-122 "улучшенных" - на шасси танка PzKpfw III была доставлена на Гороховецкий полигон для сравнительных Государственных испытаний с У-35 (будущей СУ-122) конструкции Уралмашзавода (9695).</w:t>
      </w:r>
    </w:p>
    <w:p w14:paraId="3E656FED" w14:textId="77777777" w:rsidR="00BB6316" w:rsidRPr="00722885" w:rsidRDefault="00BB6316" w:rsidP="00722885">
      <w:pPr>
        <w:pStyle w:val="Iauiue"/>
        <w:jc w:val="both"/>
        <w:rPr>
          <w:color w:val="000000" w:themeColor="text1"/>
          <w:sz w:val="16"/>
          <w:szCs w:val="16"/>
        </w:rPr>
      </w:pPr>
    </w:p>
    <w:p w14:paraId="5483A1C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с 5 по 19 декабря 1942 г. были проведены Государственные испытания двух опытных образцов самоходных установок СУ-122 и СГ-122, изготовленных соответственно УЗТМ и за</w:t>
      </w:r>
      <w:r w:rsidRPr="00722885">
        <w:rPr>
          <w:rFonts w:ascii="Times New Roman" w:hAnsi="Times New Roman"/>
          <w:color w:val="000000" w:themeColor="text1"/>
          <w:sz w:val="16"/>
          <w:szCs w:val="16"/>
        </w:rPr>
        <w:softHyphen/>
        <w:t>водом № 592, на Гороховецком АНИОПе Самоходная установка СУ-122 выдержала испыта</w:t>
      </w:r>
      <w:r w:rsidRPr="00722885">
        <w:rPr>
          <w:rFonts w:ascii="Times New Roman" w:hAnsi="Times New Roman"/>
          <w:color w:val="000000" w:themeColor="text1"/>
          <w:sz w:val="16"/>
          <w:szCs w:val="16"/>
        </w:rPr>
        <w:softHyphen/>
        <w:t>ния и была рекомендована к серийному производству (10703).</w:t>
      </w:r>
    </w:p>
    <w:p w14:paraId="58E312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A5C1B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5 декабря 1942 года ход работ по изготовлению СГ 122 можно узнать из следующего документа:</w:t>
      </w:r>
    </w:p>
    <w:p w14:paraId="5A93E7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«Справка о ремонте и поставке заводу № 592 танков Т-3 и „Артштурм“.</w:t>
      </w:r>
    </w:p>
    <w:p w14:paraId="771E62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Общее количество сданных заводу № 592 по актам 31</w:t>
      </w:r>
    </w:p>
    <w:p w14:paraId="63A638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них:</w:t>
      </w:r>
    </w:p>
    <w:p w14:paraId="7AC2B0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готовых — 10;</w:t>
      </w:r>
    </w:p>
    <w:p w14:paraId="19F94E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в цеху на монтаже артсистем — 15;</w:t>
      </w:r>
    </w:p>
    <w:p w14:paraId="0C4A38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не заведенных в цех из-за отсутствия места — 6;</w:t>
      </w:r>
    </w:p>
    <w:p w14:paraId="1660A1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 пути из Казани с ремзавода № 8–11;</w:t>
      </w:r>
    </w:p>
    <w:p w14:paraId="142345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 заделе на ремзаводе № 82 со сроком готовности к 10 декабря 1942 года — 6;</w:t>
      </w:r>
    </w:p>
    <w:p w14:paraId="283A2C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 заделе на ремзаводе № 8 со сроком готовности к 15 декабря 1942 года — 19</w:t>
      </w:r>
    </w:p>
    <w:p w14:paraId="5AC479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 — 67» (12688).</w:t>
      </w:r>
    </w:p>
    <w:p w14:paraId="3E6A60B6"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20CEF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декабря 1942 одна из двух СГ-122 «улучшенных» (на шасси танка Pz. Kpfw III) была доставлена на Гороховецкий полигон для сравнительных Государственных испытаний с У-35 (будущей СУ-122) конструкции Уралмашзавода. Предполагавшийся на 1943 год заказ на 122-мм самоходные гаубицы заводу № 592 был отменен, а II февраля 1943 г. все изготовленные СГ-122, хранившиеся на территории завода, приказом по Наркомату вооружений были переданы в распоряжение начальника бронетанкового управления для формирования учебных танко-самоходных подразделений.</w:t>
      </w:r>
    </w:p>
    <w:p w14:paraId="153A88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После доработки проекта завод № 592 изготовил два улучшенных варианта СГ-122, отличавшихся типом примененного шасси (штурмового орудия и танка Pz. Kpfw III), которые имели ряд отличий от прототипа. По отчету завода № 592 за 1942 год всего было изготовлено десять СГ-122, (при плане на год 63 машины), причем одна на шасси Pz. Ill, а остальные — на шасси StuG III. </w:t>
      </w:r>
    </w:p>
    <w:p w14:paraId="01A2E9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январе 1943 г. Каштанов предложил на базе СГ-122 создать 76-мм САУ. Решение о подготовке серийного производства штурмовой 76-мм САУ поддержки на трофейном шасси было принято 3 февраля 1943 г. Конструкторский коллектив Каштанова был переведен в Свердловск, на территорию эвакуированного завода № 37, </w:t>
      </w:r>
      <w:r w:rsidRPr="00722885">
        <w:rPr>
          <w:rFonts w:ascii="Times New Roman" w:hAnsi="Times New Roman"/>
          <w:color w:val="000000" w:themeColor="text1"/>
          <w:sz w:val="16"/>
          <w:szCs w:val="16"/>
        </w:rPr>
        <w:lastRenderedPageBreak/>
        <w:t>и приказом по Наркомату тяжелой промышленности преобразован в конструкторское бюро и начал доработку проекта СГ-122. Времени было мало, так как опытный образец САУ должен был быть готов к 1 марта (12687).</w:t>
      </w:r>
    </w:p>
    <w:p w14:paraId="61F5D58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F0EB754" w14:textId="77777777" w:rsidR="00473FE7" w:rsidRPr="00722885" w:rsidRDefault="00473FE7" w:rsidP="00722885">
      <w:pPr>
        <w:pStyle w:val="book"/>
        <w:ind w:firstLine="0"/>
        <w:jc w:val="both"/>
        <w:rPr>
          <w:color w:val="000000" w:themeColor="text1"/>
          <w:sz w:val="16"/>
          <w:szCs w:val="16"/>
        </w:rPr>
      </w:pPr>
      <w:r w:rsidRPr="00722885">
        <w:rPr>
          <w:color w:val="000000" w:themeColor="text1"/>
          <w:sz w:val="16"/>
          <w:szCs w:val="16"/>
        </w:rPr>
        <w:t>5 декабря 1942 одна из двух СГ-122 «улучшенных» (на шасси танка Pz. Kpfw III) была доставлена на Гороховецкий полигон для сравнительных Государственных испытаний с У-35 (будущей СУ-122) конструкции Уралмашзавода (15225).</w:t>
      </w:r>
    </w:p>
    <w:p w14:paraId="629BD16D" w14:textId="77777777" w:rsidR="00473FE7" w:rsidRPr="00722885" w:rsidRDefault="00473FE7" w:rsidP="00722885">
      <w:pPr>
        <w:pStyle w:val="book"/>
        <w:ind w:firstLine="0"/>
        <w:jc w:val="both"/>
        <w:rPr>
          <w:color w:val="000000" w:themeColor="text1"/>
          <w:sz w:val="16"/>
          <w:szCs w:val="16"/>
        </w:rPr>
      </w:pPr>
    </w:p>
    <w:p w14:paraId="0EBE407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5 по 19 декабря 1942 г. са</w:t>
      </w:r>
      <w:r w:rsidRPr="00722885">
        <w:rPr>
          <w:rFonts w:ascii="Times New Roman" w:hAnsi="Times New Roman"/>
          <w:color w:val="000000" w:themeColor="text1"/>
          <w:sz w:val="16"/>
          <w:szCs w:val="16"/>
        </w:rPr>
        <w:softHyphen/>
        <w:t>моходная установка СУ-12 с 76,2-мм пушкой ЗИС-3 прошла государственные испытания на Гороховецком артиллерийском полигоне. Комиссия рекомендовала после устра</w:t>
      </w:r>
      <w:r w:rsidRPr="00722885">
        <w:rPr>
          <w:rFonts w:ascii="Times New Roman" w:hAnsi="Times New Roman"/>
          <w:color w:val="000000" w:themeColor="text1"/>
          <w:sz w:val="16"/>
          <w:szCs w:val="16"/>
        </w:rPr>
        <w:softHyphen/>
        <w:t>нения недостатков, выявленных в ходе испытаний, принять на вооруже</w:t>
      </w:r>
      <w:r w:rsidRPr="00722885">
        <w:rPr>
          <w:rFonts w:ascii="Times New Roman" w:hAnsi="Times New Roman"/>
          <w:color w:val="000000" w:themeColor="text1"/>
          <w:sz w:val="16"/>
          <w:szCs w:val="16"/>
        </w:rPr>
        <w:softHyphen/>
        <w:t>ние РККА самоходную установку СУ-76 (СУ-12) (10703).</w:t>
      </w:r>
    </w:p>
    <w:p w14:paraId="33BC682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DF486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с 5 по 19 декабря 1942 г. один из образцов СГ-122 прошел испытания на Гороховецком АНИОПе. В связи с развертыва</w:t>
      </w:r>
      <w:r w:rsidRPr="00722885">
        <w:rPr>
          <w:rFonts w:ascii="Times New Roman" w:hAnsi="Times New Roman"/>
          <w:color w:val="000000" w:themeColor="text1"/>
          <w:sz w:val="16"/>
          <w:szCs w:val="16"/>
        </w:rPr>
        <w:softHyphen/>
        <w:t>нием серийного производства само</w:t>
      </w:r>
      <w:r w:rsidRPr="00722885">
        <w:rPr>
          <w:rFonts w:ascii="Times New Roman" w:hAnsi="Times New Roman"/>
          <w:color w:val="000000" w:themeColor="text1"/>
          <w:sz w:val="16"/>
          <w:szCs w:val="16"/>
        </w:rPr>
        <w:softHyphen/>
        <w:t>ходных установок СУ-122 на базе танка Т-34 и недостаточного количе</w:t>
      </w:r>
      <w:r w:rsidRPr="00722885">
        <w:rPr>
          <w:rFonts w:ascii="Times New Roman" w:hAnsi="Times New Roman"/>
          <w:color w:val="000000" w:themeColor="text1"/>
          <w:sz w:val="16"/>
          <w:szCs w:val="16"/>
        </w:rPr>
        <w:softHyphen/>
        <w:t>ства исправных трофейных танков (штурмовых орудий), а также запас</w:t>
      </w:r>
      <w:r w:rsidRPr="00722885">
        <w:rPr>
          <w:rFonts w:ascii="Times New Roman" w:hAnsi="Times New Roman"/>
          <w:color w:val="000000" w:themeColor="text1"/>
          <w:sz w:val="16"/>
          <w:szCs w:val="16"/>
        </w:rPr>
        <w:softHyphen/>
        <w:t>ных частей к ним, заводом № 592 в 1942 - 1943 гг. была выпущена не</w:t>
      </w:r>
      <w:r w:rsidRPr="00722885">
        <w:rPr>
          <w:rFonts w:ascii="Times New Roman" w:hAnsi="Times New Roman"/>
          <w:color w:val="000000" w:themeColor="text1"/>
          <w:sz w:val="16"/>
          <w:szCs w:val="16"/>
        </w:rPr>
        <w:softHyphen/>
        <w:t>большая партия самоходных установок (10703).</w:t>
      </w:r>
    </w:p>
    <w:p w14:paraId="08CDFB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12F3E9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период с 5 по 19 декабря 1942 г. на Гороховецком полигоне проходили Государственные испытания У-35. У-35 ис</w:t>
      </w:r>
      <w:r w:rsidRPr="00722885">
        <w:rPr>
          <w:rFonts w:ascii="Times New Roman" w:hAnsi="Times New Roman"/>
          <w:color w:val="000000" w:themeColor="text1"/>
          <w:sz w:val="16"/>
          <w:szCs w:val="16"/>
        </w:rPr>
        <w:softHyphen/>
        <w:t xml:space="preserve">пытывался совместно с машиной завода № 592 на шасси </w:t>
      </w:r>
      <w:r w:rsidRPr="00722885">
        <w:rPr>
          <w:rFonts w:ascii="Times New Roman" w:hAnsi="Times New Roman"/>
          <w:color w:val="000000" w:themeColor="text1"/>
          <w:sz w:val="16"/>
          <w:szCs w:val="16"/>
          <w:lang w:val="en-US"/>
        </w:rPr>
        <w:t>PzKpfwIII</w:t>
      </w:r>
      <w:r w:rsidRPr="00722885">
        <w:rPr>
          <w:rFonts w:ascii="Times New Roman" w:hAnsi="Times New Roman"/>
          <w:color w:val="000000" w:themeColor="text1"/>
          <w:sz w:val="16"/>
          <w:szCs w:val="16"/>
        </w:rPr>
        <w:t>, носившей индекс СУ-122/Т-3. По скорострель</w:t>
      </w:r>
      <w:r w:rsidRPr="00722885">
        <w:rPr>
          <w:rFonts w:ascii="Times New Roman" w:hAnsi="Times New Roman"/>
          <w:color w:val="000000" w:themeColor="text1"/>
          <w:sz w:val="16"/>
          <w:szCs w:val="16"/>
        </w:rPr>
        <w:softHyphen/>
        <w:t>ности и углу возвышения орудия уральский самоход проиг</w:t>
      </w:r>
      <w:r w:rsidRPr="00722885">
        <w:rPr>
          <w:rFonts w:ascii="Times New Roman" w:hAnsi="Times New Roman"/>
          <w:color w:val="000000" w:themeColor="text1"/>
          <w:sz w:val="16"/>
          <w:szCs w:val="16"/>
        </w:rPr>
        <w:softHyphen/>
        <w:t>рал конкуренту, но по толщине брони, высоте корпуса и проходимости оставил его позади. Госкомиссия рекомен</w:t>
      </w:r>
      <w:r w:rsidRPr="00722885">
        <w:rPr>
          <w:rFonts w:ascii="Times New Roman" w:hAnsi="Times New Roman"/>
          <w:color w:val="000000" w:themeColor="text1"/>
          <w:sz w:val="16"/>
          <w:szCs w:val="16"/>
        </w:rPr>
        <w:softHyphen/>
        <w:t>довала принять У-35 на вооружение под индексом СУ-122, но при этом был составлен список необходимых доработок в количестве 48 пунктов. Для скорейшей отправки артса-моходов на фронт заводу разрешили отгрузить первую пар</w:t>
      </w:r>
      <w:r w:rsidRPr="00722885">
        <w:rPr>
          <w:rFonts w:ascii="Times New Roman" w:hAnsi="Times New Roman"/>
          <w:color w:val="000000" w:themeColor="text1"/>
          <w:sz w:val="16"/>
          <w:szCs w:val="16"/>
        </w:rPr>
        <w:softHyphen/>
        <w:t>тию (125 штук) СУ-122 без устранения отмеченных недос</w:t>
      </w:r>
      <w:r w:rsidRPr="00722885">
        <w:rPr>
          <w:rFonts w:ascii="Times New Roman" w:hAnsi="Times New Roman"/>
          <w:color w:val="000000" w:themeColor="text1"/>
          <w:sz w:val="16"/>
          <w:szCs w:val="16"/>
        </w:rPr>
        <w:softHyphen/>
        <w:t>татков, однако КБ Уралмашзавода удалось устранить боль</w:t>
      </w:r>
      <w:r w:rsidRPr="00722885">
        <w:rPr>
          <w:rFonts w:ascii="Times New Roman" w:hAnsi="Times New Roman"/>
          <w:color w:val="000000" w:themeColor="text1"/>
          <w:sz w:val="16"/>
          <w:szCs w:val="16"/>
        </w:rPr>
        <w:softHyphen/>
        <w:t>шинство из них еще в текущем году. Первые 10 машин не имели вентилятора боевой рубки. Они не имели бронировки орудийной панорамы. Лобовой лист этих САУ имел характерный излом в месте сопряже</w:t>
      </w:r>
      <w:r w:rsidRPr="00722885">
        <w:rPr>
          <w:rFonts w:ascii="Times New Roman" w:hAnsi="Times New Roman"/>
          <w:color w:val="000000" w:themeColor="text1"/>
          <w:sz w:val="16"/>
          <w:szCs w:val="16"/>
        </w:rPr>
        <w:softHyphen/>
        <w:t>ния корпуса с рубкой. Бронировка орудийной маски имела большой недостаток — при повороте орудия в крайние по</w:t>
      </w:r>
      <w:r w:rsidRPr="00722885">
        <w:rPr>
          <w:rFonts w:ascii="Times New Roman" w:hAnsi="Times New Roman"/>
          <w:color w:val="000000" w:themeColor="text1"/>
          <w:sz w:val="16"/>
          <w:szCs w:val="16"/>
        </w:rPr>
        <w:softHyphen/>
        <w:t>ложения вправо/влево между подвижной и неподвижной броней маски образовывалась щель шириной около 11 мм. Серийные СУ-122, пошедшие в войска в январе, отли</w:t>
      </w:r>
      <w:r w:rsidRPr="00722885">
        <w:rPr>
          <w:rFonts w:ascii="Times New Roman" w:hAnsi="Times New Roman"/>
          <w:color w:val="000000" w:themeColor="text1"/>
          <w:sz w:val="16"/>
          <w:szCs w:val="16"/>
        </w:rPr>
        <w:softHyphen/>
        <w:t>чались от эталона и первых машин, выпущенных в декаб</w:t>
      </w:r>
      <w:r w:rsidRPr="00722885">
        <w:rPr>
          <w:rFonts w:ascii="Times New Roman" w:hAnsi="Times New Roman"/>
          <w:color w:val="000000" w:themeColor="text1"/>
          <w:sz w:val="16"/>
          <w:szCs w:val="16"/>
        </w:rPr>
        <w:softHyphen/>
        <w:t>ре 1942 г., тем, что их лобовой лист стал сплошным, а не ломаным, что немного увеличило объем боевого отделе</w:t>
      </w:r>
      <w:r w:rsidRPr="00722885">
        <w:rPr>
          <w:rFonts w:ascii="Times New Roman" w:hAnsi="Times New Roman"/>
          <w:color w:val="000000" w:themeColor="text1"/>
          <w:sz w:val="16"/>
          <w:szCs w:val="16"/>
        </w:rPr>
        <w:softHyphen/>
        <w:t>ния; была изменена конструкция бронировки орудия, ис</w:t>
      </w:r>
      <w:r w:rsidRPr="00722885">
        <w:rPr>
          <w:rFonts w:ascii="Times New Roman" w:hAnsi="Times New Roman"/>
          <w:color w:val="000000" w:themeColor="text1"/>
          <w:sz w:val="16"/>
          <w:szCs w:val="16"/>
        </w:rPr>
        <w:softHyphen/>
        <w:t>ключавшая попадание пуль и осколков в щели при пово</w:t>
      </w:r>
      <w:r w:rsidRPr="00722885">
        <w:rPr>
          <w:rFonts w:ascii="Times New Roman" w:hAnsi="Times New Roman"/>
          <w:color w:val="000000" w:themeColor="text1"/>
          <w:sz w:val="16"/>
          <w:szCs w:val="16"/>
        </w:rPr>
        <w:softHyphen/>
        <w:t>роте орудия в крайние положения; увеличена емкость то</w:t>
      </w:r>
      <w:r w:rsidRPr="00722885">
        <w:rPr>
          <w:rFonts w:ascii="Times New Roman" w:hAnsi="Times New Roman"/>
          <w:color w:val="000000" w:themeColor="text1"/>
          <w:sz w:val="16"/>
          <w:szCs w:val="16"/>
        </w:rPr>
        <w:softHyphen/>
        <w:t>пливных баков и т.д. (11417).</w:t>
      </w:r>
    </w:p>
    <w:p w14:paraId="6C823EB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BABD97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декабря 1942 г. СУ-122 была принята на вооружение. Серийное, производство машины началось в декабре 1942 г. и продолжалось по август 1943 г. Всего было выпущено 638 самоходных установок (10703).</w:t>
      </w:r>
    </w:p>
    <w:p w14:paraId="6AC2FAC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51AAB5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5 по 12 декабря 1942 танк Т-90 проходил и выдержал срав</w:t>
      </w:r>
      <w:r w:rsidRPr="00722885">
        <w:rPr>
          <w:rFonts w:ascii="Times New Roman" w:hAnsi="Times New Roman"/>
          <w:color w:val="000000" w:themeColor="text1"/>
          <w:sz w:val="16"/>
          <w:szCs w:val="16"/>
        </w:rPr>
        <w:softHyphen/>
        <w:t>нительные полигонные испытания с танком Т-70-3, продемонстриро</w:t>
      </w:r>
      <w:r w:rsidRPr="00722885">
        <w:rPr>
          <w:rFonts w:ascii="Times New Roman" w:hAnsi="Times New Roman"/>
          <w:color w:val="000000" w:themeColor="text1"/>
          <w:sz w:val="16"/>
          <w:szCs w:val="16"/>
        </w:rPr>
        <w:softHyphen/>
        <w:t>вав возможность ведения огня как по наземным, так и по воздушным целям. По результатам испытаний после устранения выявленных недо</w:t>
      </w:r>
      <w:r w:rsidRPr="00722885">
        <w:rPr>
          <w:rFonts w:ascii="Times New Roman" w:hAnsi="Times New Roman"/>
          <w:color w:val="000000" w:themeColor="text1"/>
          <w:sz w:val="16"/>
          <w:szCs w:val="16"/>
        </w:rPr>
        <w:softHyphen/>
        <w:t>статков машина была рекомендована для принятия на вооружение РККА, но в связи с прекращением выпуска легких танков Т-70М и Т-80 (при проектировании был предусмотрен вариант использования и это</w:t>
      </w:r>
      <w:r w:rsidRPr="00722885">
        <w:rPr>
          <w:rFonts w:ascii="Times New Roman" w:hAnsi="Times New Roman"/>
          <w:color w:val="000000" w:themeColor="text1"/>
          <w:sz w:val="16"/>
          <w:szCs w:val="16"/>
        </w:rPr>
        <w:softHyphen/>
        <w:t>го шасси) и изменения ТТТ к такого рода машинам, дальнейшие рабо</w:t>
      </w:r>
      <w:r w:rsidRPr="00722885">
        <w:rPr>
          <w:rFonts w:ascii="Times New Roman" w:hAnsi="Times New Roman"/>
          <w:color w:val="000000" w:themeColor="text1"/>
          <w:sz w:val="16"/>
          <w:szCs w:val="16"/>
        </w:rPr>
        <w:softHyphen/>
        <w:t>ты по танку Т-90 были прекращены. Опытный образец танка Т-90 был изготовлен на базе серийного тан</w:t>
      </w:r>
      <w:r w:rsidRPr="00722885">
        <w:rPr>
          <w:rFonts w:ascii="Times New Roman" w:hAnsi="Times New Roman"/>
          <w:color w:val="000000" w:themeColor="text1"/>
          <w:sz w:val="16"/>
          <w:szCs w:val="16"/>
        </w:rPr>
        <w:softHyphen/>
        <w:t>ка Т-70 (первого выпуска) и отличался от него установкой вооружения и измененной конструкцией башни. Схема общей компоновки машины принципиально была такой же, как у танка Т-70. Экипаж машины со</w:t>
      </w:r>
      <w:r w:rsidRPr="00722885">
        <w:rPr>
          <w:rFonts w:ascii="Times New Roman" w:hAnsi="Times New Roman"/>
          <w:color w:val="000000" w:themeColor="text1"/>
          <w:sz w:val="16"/>
          <w:szCs w:val="16"/>
        </w:rPr>
        <w:softHyphen/>
        <w:t>стоял из двух человек. Механик-водитель размещался в отделении уп</w:t>
      </w:r>
      <w:r w:rsidRPr="00722885">
        <w:rPr>
          <w:rFonts w:ascii="Times New Roman" w:hAnsi="Times New Roman"/>
          <w:color w:val="000000" w:themeColor="text1"/>
          <w:sz w:val="16"/>
          <w:szCs w:val="16"/>
        </w:rPr>
        <w:softHyphen/>
        <w:t>равления у левого борта. Во вращающейся открытой сверху башне, сме</w:t>
      </w:r>
      <w:r w:rsidRPr="00722885">
        <w:rPr>
          <w:rFonts w:ascii="Times New Roman" w:hAnsi="Times New Roman"/>
          <w:color w:val="000000" w:themeColor="text1"/>
          <w:sz w:val="16"/>
          <w:szCs w:val="16"/>
        </w:rPr>
        <w:softHyphen/>
        <w:t>щенной к левому борту от продольной оси корпуса, располагался ко</w:t>
      </w:r>
      <w:r w:rsidRPr="00722885">
        <w:rPr>
          <w:rFonts w:ascii="Times New Roman" w:hAnsi="Times New Roman"/>
          <w:color w:val="000000" w:themeColor="text1"/>
          <w:sz w:val="16"/>
          <w:szCs w:val="16"/>
        </w:rPr>
        <w:softHyphen/>
        <w:t>мандир танка. Посадка и выход экипажа производились или через люк в отделении управления, располагавшийся в верхнем лобовом листе корпуса и закрывавшийся броневой крышкой, или через борта башни. В днище корпуса размещался аварийный (запасный) люк. Наблюдение за полем боя осуществлялось: механиком-водителем через смотровой пе</w:t>
      </w:r>
      <w:r w:rsidRPr="00722885">
        <w:rPr>
          <w:rFonts w:ascii="Times New Roman" w:hAnsi="Times New Roman"/>
          <w:color w:val="000000" w:themeColor="text1"/>
          <w:sz w:val="16"/>
          <w:szCs w:val="16"/>
        </w:rPr>
        <w:softHyphen/>
        <w:t>рископический прибор, установленный в крышке люка, командиром -поверх бортов башни или телескопический прицел (10703).</w:t>
      </w:r>
    </w:p>
    <w:p w14:paraId="7B2CBBD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E2E212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5 по 19 декабря 1942 г, зе</w:t>
      </w:r>
      <w:r w:rsidRPr="00722885">
        <w:rPr>
          <w:rFonts w:ascii="Times New Roman" w:hAnsi="Times New Roman"/>
          <w:color w:val="000000" w:themeColor="text1"/>
          <w:sz w:val="16"/>
          <w:szCs w:val="16"/>
        </w:rPr>
        <w:softHyphen/>
        <w:t>нитная самоходная установка ЗСУ с 37-мм зенитной автоматической пушкой на базе агрегатов танка Т-60 и Т-70 (заводской индекс СУ-11) проходила государственные испытания на Гороховецком артиллерийском полигоне. Из-за неудачной компо</w:t>
      </w:r>
      <w:r w:rsidRPr="00722885">
        <w:rPr>
          <w:rFonts w:ascii="Times New Roman" w:hAnsi="Times New Roman"/>
          <w:color w:val="000000" w:themeColor="text1"/>
          <w:sz w:val="16"/>
          <w:szCs w:val="16"/>
        </w:rPr>
        <w:softHyphen/>
        <w:t>новки боевого отделения, неудобной установки прицела, недостаточной жесткости корпуса и опоры поворотной платформы комиссия предло</w:t>
      </w:r>
      <w:r w:rsidRPr="00722885">
        <w:rPr>
          <w:rFonts w:ascii="Times New Roman" w:hAnsi="Times New Roman"/>
          <w:color w:val="000000" w:themeColor="text1"/>
          <w:sz w:val="16"/>
          <w:szCs w:val="16"/>
        </w:rPr>
        <w:softHyphen/>
        <w:t>жила возвратить ЗСУ на завод и произвести ее доработку (10703). Аналогичные работы по созданию ЗСУ в 1942 г. велись и в КБ Горьковского автозавода под руководством Н.А. Астрова. В ходе данных ра</w:t>
      </w:r>
      <w:r w:rsidRPr="00722885">
        <w:rPr>
          <w:rFonts w:ascii="Times New Roman" w:hAnsi="Times New Roman"/>
          <w:color w:val="000000" w:themeColor="text1"/>
          <w:sz w:val="16"/>
          <w:szCs w:val="16"/>
        </w:rPr>
        <w:softHyphen/>
        <w:t>бот была разработана опытная самоходная зенитная установка СУ-72. На унифицированном шасси с параллельным расположением двух дви</w:t>
      </w:r>
      <w:r w:rsidRPr="00722885">
        <w:rPr>
          <w:rFonts w:ascii="Times New Roman" w:hAnsi="Times New Roman"/>
          <w:color w:val="000000" w:themeColor="text1"/>
          <w:sz w:val="16"/>
          <w:szCs w:val="16"/>
        </w:rPr>
        <w:softHyphen/>
        <w:t>гателей ГАЗ, с двумя главными фрикционами и двумя коробками пере</w:t>
      </w:r>
      <w:r w:rsidRPr="00722885">
        <w:rPr>
          <w:rFonts w:ascii="Times New Roman" w:hAnsi="Times New Roman"/>
          <w:color w:val="000000" w:themeColor="text1"/>
          <w:sz w:val="16"/>
          <w:szCs w:val="16"/>
        </w:rPr>
        <w:softHyphen/>
        <w:t>дач была установлена 37-мм зенитная автоматическая пушка. При про</w:t>
      </w:r>
      <w:r w:rsidRPr="00722885">
        <w:rPr>
          <w:rFonts w:ascii="Times New Roman" w:hAnsi="Times New Roman"/>
          <w:color w:val="000000" w:themeColor="text1"/>
          <w:sz w:val="16"/>
          <w:szCs w:val="16"/>
        </w:rPr>
        <w:softHyphen/>
        <w:t>ведении полигонных испытаний в 1942 г. была выявлена неудовлетво</w:t>
      </w:r>
      <w:r w:rsidRPr="00722885">
        <w:rPr>
          <w:rFonts w:ascii="Times New Roman" w:hAnsi="Times New Roman"/>
          <w:color w:val="000000" w:themeColor="text1"/>
          <w:sz w:val="16"/>
          <w:szCs w:val="16"/>
        </w:rPr>
        <w:softHyphen/>
        <w:t>рительная работа системы охлаждения двигателей, которая потребова</w:t>
      </w:r>
      <w:r w:rsidRPr="00722885">
        <w:rPr>
          <w:rFonts w:ascii="Times New Roman" w:hAnsi="Times New Roman"/>
          <w:color w:val="000000" w:themeColor="text1"/>
          <w:sz w:val="16"/>
          <w:szCs w:val="16"/>
        </w:rPr>
        <w:softHyphen/>
        <w:t>ла значительной переработки ее конструкции. Дальнейшие работы по данному образцу были прекращены в связи с прекращением заводом № 38 работ над унифицированным шасси (10703).</w:t>
      </w:r>
    </w:p>
    <w:p w14:paraId="4AB9F7E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B676D8B" w14:textId="77777777" w:rsidR="00473FE7" w:rsidRPr="00722885" w:rsidRDefault="00473FE7"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5 по 12 декабря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танк Т-90 выдержал сравнительные полигонные испытания с танком Т-60-3, продемонстрировав возможность ведения огня как по наземным, так и по воздушным целям. По результатам испытаний после устранения выявленных недостатков машина была рекомендована для принятия на вооружение РККА, но, в связи с прекращением выпуска легких танков Т-70 и Т-80 (при проектировании был предусмотрен вариант использования и этого шасси) и изменения ТТТ к такого рода машинам, дальнейшие работы по танку Т-90 были прекращены. По мнению М.Н. Свирина, интерес ГАБТУ к Т-60-3, Т-70 (З) и Т-90 упал в связи с началом поставок пулеметных зенитных самоходных установок (ЗСУ) М-16 по ленд-лизу (15218).</w:t>
      </w:r>
    </w:p>
    <w:p w14:paraId="29E26289" w14:textId="77777777" w:rsidR="00473FE7" w:rsidRPr="00722885" w:rsidRDefault="00473FE7" w:rsidP="00722885">
      <w:pPr>
        <w:widowControl w:val="0"/>
        <w:spacing w:after="0" w:line="240" w:lineRule="auto"/>
        <w:jc w:val="both"/>
        <w:rPr>
          <w:rFonts w:ascii="Times New Roman" w:hAnsi="Times New Roman"/>
          <w:color w:val="000000" w:themeColor="text1"/>
          <w:sz w:val="16"/>
          <w:szCs w:val="16"/>
        </w:rPr>
      </w:pPr>
    </w:p>
    <w:p w14:paraId="6CEAF0F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 декабря 1942 прошли испытания Т-90, Т-70 (3), Т-60-3стрельбой по щитам, и во время них было сделано 1125 выстрелов всего.</w:t>
      </w:r>
    </w:p>
    <w:p w14:paraId="0C2B33B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Отмечаемые частые задержки в стрельбе пулеметов объяснялись, по мнению комиссии, недостаточно проду</w:t>
      </w:r>
      <w:r w:rsidRPr="00722885">
        <w:rPr>
          <w:rFonts w:ascii="Times New Roman" w:hAnsi="Times New Roman"/>
          <w:color w:val="000000" w:themeColor="text1"/>
          <w:sz w:val="16"/>
          <w:szCs w:val="16"/>
        </w:rPr>
        <w:softHyphen/>
        <w:t>манной конструкцией магазинов и их плохой подгонкой.</w:t>
      </w:r>
    </w:p>
    <w:p w14:paraId="706B89E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горизонтальной наводки зенитного танка должна составлять не менее 10° за один оборот маховика, так что для облегчения быстрого открытия огня из оружия в цель полезно предусмотреть возможность его наведения свободным качанием, само же оружие при этом должно быть уравновешено.</w:t>
      </w:r>
    </w:p>
    <w:p w14:paraId="689588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большого расхода патронов необходимо было до</w:t>
      </w:r>
      <w:r w:rsidRPr="00722885">
        <w:rPr>
          <w:rFonts w:ascii="Times New Roman" w:hAnsi="Times New Roman"/>
          <w:color w:val="000000" w:themeColor="text1"/>
          <w:sz w:val="16"/>
          <w:szCs w:val="16"/>
        </w:rPr>
        <w:softHyphen/>
        <w:t>вести возимый БК танка до 900—1500 патронов с питанием от лент. Установка радиостанции в зенитном танке была необходима, так как ее наличие облегчало целеуказание.</w:t>
      </w:r>
    </w:p>
    <w:p w14:paraId="4BB006C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главное, к чему пришли испытатели. Экипажа в 2 человека и тем более одноместной башни было, без сомне</w:t>
      </w:r>
      <w:r w:rsidRPr="00722885">
        <w:rPr>
          <w:rFonts w:ascii="Times New Roman" w:hAnsi="Times New Roman"/>
          <w:color w:val="000000" w:themeColor="text1"/>
          <w:sz w:val="16"/>
          <w:szCs w:val="16"/>
        </w:rPr>
        <w:softHyphen/>
        <w:t>ния, мало для нормальной обороны танковых колонн на марше от внезапно налетающих самолетов врага.</w:t>
      </w:r>
    </w:p>
    <w:p w14:paraId="3B02177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итогам испытаний был составлен акт, который подитожил, что сама мысль о создании зенитных пулеметных танков вполне разумна, но использовать для этой цели спеш-Ью переделанные линейные танки нецелесообразно, так рак для их нормального применения объем таких переделок будет сравним с изготовлением танка заново.</w:t>
      </w:r>
    </w:p>
    <w:p w14:paraId="5A4A98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Комиссия отдавала явное предпочтение Т-90, но отме</w:t>
      </w:r>
      <w:r w:rsidRPr="00722885">
        <w:rPr>
          <w:rFonts w:ascii="Times New Roman" w:hAnsi="Times New Roman"/>
          <w:color w:val="000000" w:themeColor="text1"/>
          <w:sz w:val="16"/>
          <w:szCs w:val="16"/>
        </w:rPr>
        <w:softHyphen/>
        <w:t>рила необходимость значительной доводки конструкции машины до требуемых условий.</w:t>
      </w:r>
    </w:p>
    <w:p w14:paraId="7AC2AA8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Савин не согласился с выводами тт. Ненарокова, Астрова и Маклакова, оформив их в виде своего «особого мнения» о большем удобстве быстрого наведения качающихся ЦПулеметов. Неожиданно его поддержали испытатели НИЗенПа и НИБТполигона, стрелявшие по воздушным змеям.</w:t>
      </w:r>
    </w:p>
    <w:p w14:paraId="1914D8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Дело в том, что, кроме стрельб по щитам, вне зачета была организована также ночная стрельба по кострам с подсветкой шкал прицелов и по буксируемому конусу. Общие результаты зачетных испытаний стрельбой по щитам можно вывести в виде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337"/>
        <w:gridCol w:w="5337"/>
      </w:tblGrid>
      <w:tr w:rsidR="009B487A" w:rsidRPr="00722885" w14:paraId="36F089BE" w14:textId="77777777" w:rsidTr="00CC5360">
        <w:tc>
          <w:tcPr>
            <w:tcW w:w="534" w:type="dxa"/>
            <w:tcBorders>
              <w:top w:val="single" w:sz="12" w:space="0" w:color="auto"/>
            </w:tcBorders>
            <w:shd w:val="clear" w:color="auto" w:fill="FFFFFF"/>
          </w:tcPr>
          <w:p w14:paraId="4FD4EA3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337" w:type="dxa"/>
            <w:tcBorders>
              <w:top w:val="single" w:sz="12" w:space="0" w:color="auto"/>
            </w:tcBorders>
            <w:shd w:val="clear" w:color="auto" w:fill="FFFFFF"/>
          </w:tcPr>
          <w:p w14:paraId="362A93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 Т-90</w:t>
            </w:r>
          </w:p>
        </w:tc>
        <w:tc>
          <w:tcPr>
            <w:tcW w:w="5337" w:type="dxa"/>
            <w:tcBorders>
              <w:top w:val="single" w:sz="12" w:space="0" w:color="auto"/>
            </w:tcBorders>
            <w:shd w:val="clear" w:color="auto" w:fill="FFFFFF"/>
          </w:tcPr>
          <w:p w14:paraId="1A5B2D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Т-70 (3)</w:t>
            </w:r>
          </w:p>
        </w:tc>
      </w:tr>
      <w:tr w:rsidR="009B487A" w:rsidRPr="00722885" w14:paraId="513F67D2" w14:textId="77777777" w:rsidTr="00CC5360">
        <w:tc>
          <w:tcPr>
            <w:tcW w:w="534" w:type="dxa"/>
            <w:shd w:val="clear" w:color="auto" w:fill="FFFFFF"/>
          </w:tcPr>
          <w:p w14:paraId="44E104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5337" w:type="dxa"/>
            <w:shd w:val="clear" w:color="auto" w:fill="FFFFFF"/>
          </w:tcPr>
          <w:p w14:paraId="0788EB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Заград. огонь вести можно</w:t>
            </w:r>
          </w:p>
        </w:tc>
        <w:tc>
          <w:tcPr>
            <w:tcW w:w="5337" w:type="dxa"/>
            <w:shd w:val="clear" w:color="auto" w:fill="FFFFFF"/>
          </w:tcPr>
          <w:p w14:paraId="2AC135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Заград. огонь вести неудобно; неуравновешенное оружие</w:t>
            </w:r>
          </w:p>
        </w:tc>
      </w:tr>
      <w:tr w:rsidR="009B487A" w:rsidRPr="00722885" w14:paraId="66D61CFC" w14:textId="77777777" w:rsidTr="00CC5360">
        <w:tc>
          <w:tcPr>
            <w:tcW w:w="534" w:type="dxa"/>
            <w:shd w:val="clear" w:color="auto" w:fill="FFFFFF"/>
          </w:tcPr>
          <w:p w14:paraId="087EB4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5337" w:type="dxa"/>
            <w:shd w:val="clear" w:color="auto" w:fill="FFFFFF"/>
          </w:tcPr>
          <w:p w14:paraId="7FD17C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Устранять задержки удобно, Ручная перезарядка стеснена</w:t>
            </w:r>
          </w:p>
        </w:tc>
        <w:tc>
          <w:tcPr>
            <w:tcW w:w="5337" w:type="dxa"/>
            <w:shd w:val="clear" w:color="auto" w:fill="FFFFFF"/>
          </w:tcPr>
          <w:p w14:paraId="2295C5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Устранять задержки неудобно Ручная перезарядка допустима</w:t>
            </w:r>
          </w:p>
        </w:tc>
      </w:tr>
      <w:tr w:rsidR="009B487A" w:rsidRPr="00722885" w14:paraId="597AA8B5" w14:textId="77777777" w:rsidTr="00CC5360">
        <w:tc>
          <w:tcPr>
            <w:tcW w:w="534" w:type="dxa"/>
            <w:shd w:val="clear" w:color="auto" w:fill="FFFFFF"/>
          </w:tcPr>
          <w:p w14:paraId="3F22E9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5337" w:type="dxa"/>
            <w:shd w:val="clear" w:color="auto" w:fill="FFFFFF"/>
          </w:tcPr>
          <w:p w14:paraId="395A55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Мала скорость гориз. и верт. Наводки</w:t>
            </w:r>
          </w:p>
        </w:tc>
        <w:tc>
          <w:tcPr>
            <w:tcW w:w="5337" w:type="dxa"/>
            <w:shd w:val="clear" w:color="auto" w:fill="FFFFFF"/>
          </w:tcPr>
          <w:p w14:paraId="59958E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Мала скорость гориз. наводки, верт. наводки - нормально</w:t>
            </w:r>
          </w:p>
        </w:tc>
      </w:tr>
      <w:tr w:rsidR="009B487A" w:rsidRPr="00722885" w14:paraId="6D7653D8" w14:textId="77777777" w:rsidTr="00CC5360">
        <w:tc>
          <w:tcPr>
            <w:tcW w:w="534" w:type="dxa"/>
            <w:shd w:val="clear" w:color="auto" w:fill="FFFFFF"/>
          </w:tcPr>
          <w:p w14:paraId="51A7195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5337" w:type="dxa"/>
            <w:shd w:val="clear" w:color="auto" w:fill="FFFFFF"/>
          </w:tcPr>
          <w:p w14:paraId="12842C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Кучность стрельбы лев. пулемет 100 м = 70 см, 50м = 25 см Прав, пулемет 100м = 85 см, 50м = 45 см</w:t>
            </w:r>
          </w:p>
        </w:tc>
        <w:tc>
          <w:tcPr>
            <w:tcW w:w="5337" w:type="dxa"/>
            <w:shd w:val="clear" w:color="auto" w:fill="FFFFFF"/>
          </w:tcPr>
          <w:p w14:paraId="73BB24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100М = 100 см, 50М = 40 см 100м = 100 см, 50м = 45 см </w:t>
            </w:r>
          </w:p>
        </w:tc>
      </w:tr>
      <w:tr w:rsidR="009B487A" w:rsidRPr="00722885" w14:paraId="1E1FF18A" w14:textId="77777777" w:rsidTr="00CC5360">
        <w:tc>
          <w:tcPr>
            <w:tcW w:w="534" w:type="dxa"/>
            <w:shd w:val="clear" w:color="auto" w:fill="FFFFFF"/>
          </w:tcPr>
          <w:p w14:paraId="6F7B73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5337" w:type="dxa"/>
            <w:shd w:val="clear" w:color="auto" w:fill="FFFFFF"/>
          </w:tcPr>
          <w:p w14:paraId="6E17C8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Меткость: все пробоины смещены вниз-вправо </w:t>
            </w:r>
          </w:p>
        </w:tc>
        <w:tc>
          <w:tcPr>
            <w:tcW w:w="5337" w:type="dxa"/>
            <w:shd w:val="clear" w:color="auto" w:fill="FFFFFF"/>
          </w:tcPr>
          <w:p w14:paraId="2160EA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Имеется разброс из-за отсут</w:t>
            </w:r>
            <w:r w:rsidRPr="00722885">
              <w:rPr>
                <w:rFonts w:ascii="Times New Roman" w:hAnsi="Times New Roman"/>
                <w:color w:val="000000" w:themeColor="text1"/>
                <w:sz w:val="16"/>
                <w:szCs w:val="16"/>
              </w:rPr>
              <w:softHyphen/>
              <w:t>ствия плечевых упоров пулеметов</w:t>
            </w:r>
          </w:p>
        </w:tc>
      </w:tr>
      <w:tr w:rsidR="009B487A" w:rsidRPr="00722885" w14:paraId="00DB4F67" w14:textId="77777777" w:rsidTr="00CC5360">
        <w:tc>
          <w:tcPr>
            <w:tcW w:w="534" w:type="dxa"/>
            <w:tcBorders>
              <w:bottom w:val="single" w:sz="12" w:space="0" w:color="auto"/>
            </w:tcBorders>
            <w:shd w:val="clear" w:color="auto" w:fill="FFFFFF"/>
          </w:tcPr>
          <w:p w14:paraId="4A8204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5337" w:type="dxa"/>
            <w:tcBorders>
              <w:bottom w:val="single" w:sz="12" w:space="0" w:color="auto"/>
            </w:tcBorders>
            <w:shd w:val="clear" w:color="auto" w:fill="FFFFFF"/>
          </w:tcPr>
          <w:p w14:paraId="78EA62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Броневая защита стрелка удовл</w:t>
            </w:r>
          </w:p>
        </w:tc>
        <w:tc>
          <w:tcPr>
            <w:tcW w:w="5337" w:type="dxa"/>
            <w:tcBorders>
              <w:bottom w:val="single" w:sz="12" w:space="0" w:color="auto"/>
            </w:tcBorders>
            <w:shd w:val="clear" w:color="auto" w:fill="FFFFFF"/>
          </w:tcPr>
          <w:p w14:paraId="52E39B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выреза под прицел защита ухудшена плечевым упором</w:t>
            </w:r>
          </w:p>
        </w:tc>
      </w:tr>
    </w:tbl>
    <w:p w14:paraId="7881C16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из-за нелетной погоды подготовленная стрельба по конусам, буксируемым за самолетом У-2, не производилась. Поэтому уже по окончании испытаний по предложению И. Савина состоялись стрельбы по ромбическому воздуш</w:t>
      </w:r>
      <w:r w:rsidRPr="00722885">
        <w:rPr>
          <w:rFonts w:ascii="Times New Roman" w:hAnsi="Times New Roman"/>
          <w:color w:val="000000" w:themeColor="text1"/>
          <w:sz w:val="16"/>
          <w:szCs w:val="16"/>
        </w:rPr>
        <w:softHyphen/>
        <w:t>ному змею размером приблизительно 1,5x1,5 м, который в течение 2—3 минут из одного (на выбор) пулемета каждого танка подвергался обстрелу бронебойными пулями. Всего из каждого танка было выпущено по 30 патронов (1 магазин).</w:t>
      </w:r>
    </w:p>
    <w:p w14:paraId="24E6C72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Хоть результаты обстрела змеев велись вне зачета, они были зафиксированы представителем ГАУ в виде: Танк: Т-90 Т-70 (з) Т-60-3 Попаданий: 3 9 12</w:t>
      </w:r>
    </w:p>
    <w:p w14:paraId="4473AE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Савин готов был немедленно по результатам указан</w:t>
      </w:r>
      <w:r w:rsidRPr="00722885">
        <w:rPr>
          <w:rFonts w:ascii="Times New Roman" w:hAnsi="Times New Roman"/>
          <w:color w:val="000000" w:themeColor="text1"/>
          <w:sz w:val="16"/>
          <w:szCs w:val="16"/>
        </w:rPr>
        <w:softHyphen/>
        <w:t>ных испытаний продолжить работы по преобразованию лег</w:t>
      </w:r>
      <w:r w:rsidRPr="00722885">
        <w:rPr>
          <w:rFonts w:ascii="Times New Roman" w:hAnsi="Times New Roman"/>
          <w:color w:val="000000" w:themeColor="text1"/>
          <w:sz w:val="16"/>
          <w:szCs w:val="16"/>
        </w:rPr>
        <w:softHyphen/>
        <w:t>ких танков в зенитные, но неожиданно интерес ГАБТУ к Т-60-3, Т-70 (3) и Т-90 упал, что было связано, скорее всего, с началом поставок пулеметных ЗСУ М-16 по ленд-лизу (11417).</w:t>
      </w:r>
    </w:p>
    <w:p w14:paraId="24EC55A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99F82F9"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lastRenderedPageBreak/>
        <w:t>5 декабря</w:t>
      </w:r>
      <w:r w:rsidRPr="00722885">
        <w:rPr>
          <w:rFonts w:ascii="Times New Roman" w:hAnsi="Times New Roman"/>
          <w:color w:val="000000" w:themeColor="text1"/>
          <w:sz w:val="16"/>
          <w:szCs w:val="16"/>
        </w:rPr>
        <w:t xml:space="preserve"> в 1942 году ввод в строй самой мощной в СССР и Европе пятой домны на Магнитогорском металлургическом комбинате (14851).</w:t>
      </w:r>
    </w:p>
    <w:p w14:paraId="17705BFB"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4C8577A3"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5 декабря 1942 вышло Постановление ГКО № 2567 О строительстве деревянных барж для Ладожского озера. (7065, 103-105).</w:t>
      </w:r>
    </w:p>
    <w:p w14:paraId="374B7EAF" w14:textId="77777777" w:rsidR="00BB6316" w:rsidRPr="00722885" w:rsidRDefault="00BB6316" w:rsidP="00722885">
      <w:pPr>
        <w:pStyle w:val="Iauiue"/>
        <w:tabs>
          <w:tab w:val="left" w:pos="11199"/>
        </w:tabs>
        <w:jc w:val="both"/>
        <w:rPr>
          <w:color w:val="000000" w:themeColor="text1"/>
          <w:sz w:val="16"/>
          <w:szCs w:val="16"/>
        </w:rPr>
      </w:pPr>
    </w:p>
    <w:p w14:paraId="6647CA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декабря 1942 вышло Постановление ГКО № 2568 О восстановлении и изготовлении танковых запасных частей на бронетанковых заводах и подвижных ремонтных мастерских Наркомата обороны. РГАНИР, Фонд ГКО, д. 71, лл. 106-108, 109-110 (11012).</w:t>
      </w:r>
    </w:p>
    <w:p w14:paraId="6B3362C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D619C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декабря 1942 вышло Постановление ГКО № 2569 О т. Кузнецове А.А. РГАНИР, Фонд ГКО, д. 71, лл. 111 (11012).</w:t>
      </w:r>
    </w:p>
    <w:p w14:paraId="14C7429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B52C1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декабря 1942 вышло Распоряжение ГКО № 2571. О поставке Кировскому заводу НКТП в декабре 1942 г. 200 76 мм пушек ЗИС-5. РГАНИР, Фонд ГКО, д. 71, лл. 118 (11012).</w:t>
      </w:r>
    </w:p>
    <w:p w14:paraId="70C4BE8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6CF15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декабря 1942 вышло Распоряжение ГКО№ 2572. О поставках с заводов НКЧМ сырья и полуфабрикатов заводам НКТП и НКСМ. РГАНИР, Фонд ГКО, д. 71, лл. 119 (11012).</w:t>
      </w:r>
    </w:p>
    <w:p w14:paraId="116DD1B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D127706"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86D0776" w14:textId="77777777" w:rsidR="00BB6316" w:rsidRPr="00722885" w:rsidRDefault="00BB6316" w:rsidP="00722885">
      <w:pPr>
        <w:pStyle w:val="Iauiue"/>
        <w:jc w:val="both"/>
        <w:rPr>
          <w:iCs/>
          <w:color w:val="000000" w:themeColor="text1"/>
          <w:sz w:val="16"/>
          <w:szCs w:val="16"/>
        </w:rPr>
      </w:pPr>
    </w:p>
    <w:p w14:paraId="59C3EB05"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4C1BFEA6"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5 декабря в районе Сталинграда и на Центральном фронте наши войска продолжали наступление на прежних направлениях.</w:t>
      </w:r>
    </w:p>
    <w:p w14:paraId="69050C5B"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действуя мелкими группами,блокировали и уничтожали опорные пункты противника. Разрушено 25 дзотов и блиндажей. Немцы потеряли убитыми свыше 200 солдат и офицеров. На другом участке советские артиллеристы уничтожили 3 немецких орудия, 5 миномётов, 9 пулемётных точек и истребили до роты гитлеровцев.</w:t>
      </w:r>
    </w:p>
    <w:p w14:paraId="01B7E80A"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левом берегу реки Дон, наши войска вели наступательные операции. Н-ская часть в ожесточённом бою выбила гитлеровцев из 20 дзотов и блиндажей. На поле боя осталось до 400 вражеских трупов. Захвачены 7 орудий, 2 миномёта, 19 пулемётов, склад с боеприпасами, радиостанция и другие трофеи. На другом участке противник силою до полка пехоты атаковал наши позиции. Бойцы Н-ской части отбили атаку немцев, а затем контрударом отбросили их. В этом бою разгромлено два батальона пехоты противника. Захвачено много винтовок, автоматов и пулемётов.</w:t>
      </w:r>
    </w:p>
    <w:p w14:paraId="074D671B"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частью сил продолжали наступление и заняли несколько укреплённых позиций противника. Уничтожено до 1.500 вражеских солдат и офицеров, 5 танков, 24 орудия, 10 миномётов, 57 пулемётов, разрушено 60 дзотов и 40 блиндажей. На одном участке пехота и танки противника зашли во фланг наших подразделений. Огнём из орудий и противотанковых ружей советские бойцы уничтожили 6 немецких танков. Гитлеровцы, оставшиеся без прикрытия танков, попали под пулемётный огонь и оставили на поле боя много трупов.</w:t>
      </w:r>
    </w:p>
    <w:p w14:paraId="3F793560"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преодолевая упорное сопротивление немцев, продолжали наступление. В районе западнее Ржева весь день шла ожесточённая борьба за шоссейную дорогу, занятую нашими войсками. Гитлеровцы стремились во что бы то ни стало вернуть чрезвычайно важную для них коммуникацию. Советские части отразили одну за другой все атаки противника и нанесли ему большой урон. Немцы потеряли только убитыми 1.100 солдат и офицеров. Уничтожено 7 вражеских танков и 120 автомашин.</w:t>
      </w:r>
    </w:p>
    <w:p w14:paraId="2801880C"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лётчики старший лейтенант Антонов, лейтенант Романов, младшие лейтенанты Ежов, Сыртланов и старший сержант Остапенко встретили 11 немецких истребителей. В воздушном бою советские лётчики сбили 4 и подбили 4 немецких самолёта. Все наши самолёты вернулись на свой аэродром.</w:t>
      </w:r>
    </w:p>
    <w:p w14:paraId="5DCCF94B"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отряда "Гроза", действующего на Северном Кавказе, организовала крушение воинского эшелона противника. Разбиты паровоз и несколько вагонов с немецкими солдатами. Другой партизанский отряд в бою с противником истребил 4 немецких офицеров, 46 солдат и захватил их оружие.</w:t>
      </w:r>
    </w:p>
    <w:p w14:paraId="1B849049"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селе Вертячий, Сталинградской области, занятом нашими войсками, находился немецкий лагерь для советских военнопленных. Местные жители назвали его «Лагеремпыток и смерти». Бойцы части, где командиром тов. Бирюков, обнаружили в лагере 87 трупов. Немецко-фашистские палачи перед отступлением подвергли советских бойцов, попавших к ним в плен, чудовищным пыткам. Озверелые бандиты распороли многим бойцам живот, выкололи глаза, отрезали уши и нос. Из ямы, куда были брошены трупы, извлечены еще живые красноармейцы Петренко и Назимов. Придя всебя, спасённые бойцы рассказали об ужасах фашистского плена. Петренко и Назимов сообщили, что они жили в открытом поле. За несколько дней до отступления гитлеровцы совершенно перестали кормить пленных и обрекли их на голодную смерть. Отступая, немецко-фашистские мерзавцы учинили кровавую расправу над обессилевшими бойцами.» (14851).</w:t>
      </w:r>
    </w:p>
    <w:p w14:paraId="479FF26C"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5E23F206"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2408B363"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5 декабря наши войска в районе Сталинграда и на Центральном фронте, преодолевая сопротивление противника, продолжали наступление на прежних направлениях.</w:t>
      </w:r>
    </w:p>
    <w:p w14:paraId="7CD6A352"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декабря частями нашей авиации на различных участках фронта уничтожено 10немецких танков, до 300 автомашин с войсками и различными грузами. Разбито дважелезнодорожных состава, подавлен огонь 10 батарей полевой и зенитнойартиллерии, рассеяны и частью уничтожены два батальона пехоты и эскадрон конницыпротивника.</w:t>
      </w:r>
    </w:p>
    <w:p w14:paraId="51447022"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гор. Сталинграда наши войска вели огневой бой с противником. Бойцы Н-ской части в заводском районе уничтожили окружённую группу противника. В боях, происходивших накануне в южной части города, по уточнённым данным, немцы потеряли только убитыми свыше 600 солдат и офицеров.</w:t>
      </w:r>
    </w:p>
    <w:p w14:paraId="498E9F31"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преодолевая упорное сопротивление врага, продвинулись вперёд. Бойцы Н-ского соединения рано утром атаковали укреплённые позиции противника и ворвались в первую линию его окопов. Немцы силами пехоты и танков безуспешно пытались контратаковать наши наступающие части. Все контратаки гитлеровцев отбиты. Наши бойцы заняли опорный пункт противника. В течение дня уничтожено до 2.000 немецких солдат и офицеров и захвачено 30 орудий. Взято в плен до 400 гитлеровцев. На другом участке гвардейцы под командой тов. Таварткеладзе отбили три контратаки немцев и уничтожили до 300 гитлеровцев.</w:t>
      </w:r>
    </w:p>
    <w:p w14:paraId="7F7E08A4"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завязались упорные бои с подошедшей мотопехотой и танковыми частями противника. Все попытки немцев вернуть потерянные накануне позиции потерпели неудачу. Уничтожено 800 немецких солдат и офицеров, 31 орудие, 11 миномётов и 27 пулемётов.</w:t>
      </w:r>
    </w:p>
    <w:p w14:paraId="211E86B9"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продолжалось наступление наших войск. В районе Великих Лук Н-ская гвардейская часть овладела тремя опорными пунктами противника. На поле боя подсчитано 950 вражеских трупов. Захвачено 5 танков, 49 орудий, 18миномётов, много винтовок, 89 автомашин, 5 радиостанций на автомашинах и другое военное имущество. Захвачен также бронепоезд противника.</w:t>
      </w:r>
    </w:p>
    <w:p w14:paraId="2B232686"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наши части заняли ряд населённых пунктов. Подразделение, где командиром тов. Стручков, разгромило крупный узел сопротивления противника. Немцы построили здесь десятки дзотов и густо заминировали все подходы. Наши бойцы в ожесточённой схватке уничтожили вражеский гарнизон численностью до 400 солдат.</w:t>
      </w:r>
    </w:p>
    <w:p w14:paraId="7E89A8CF"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бойцы Н-ской части, преодолев проволочные загражденияи минные поля, выбили немцев из 19 дзотов. Все контратаки противника, пытавшегося вернуть утерянные позиции, отбиты с большими для него потерями. Уничтожено до 400 гитлеровцев.</w:t>
      </w:r>
    </w:p>
    <w:p w14:paraId="021E0E01"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 подразделения за два дня уничтожили до 600 солдат и офицеров противника. Артиллерийским огнём разрушены 10 вражеских дзотов и 23 огневые точки.</w:t>
      </w:r>
    </w:p>
    <w:p w14:paraId="560BF921"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взорвал железнодорожный мост длиной около 90 метровна важной коммуникации противника. Движение поездов по этой железной дороге прекращено. Партизаны другого отряда напали на немецкий гарнизон в одном населенном пункте. Убито более 120 немецко-фашистских захватчиков, в том числе подполковник и бургомистр. Партизаны захватили трофеи.</w:t>
      </w:r>
    </w:p>
    <w:p w14:paraId="24614CBF"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селе Песковатка, Сталинградской области, немецко-фашистские мерзавцы до нитки ограбили всех колхозников. Они забрали у крестьян весь скот, продовольствие и наиболее ценные вещи. Жители ныне освобождённой Песковатки рассказывают, что фашистские изверги замучили и убили многих ни в чем неповинных мирных граждан. «Немецкие палачи расстреляли колхозников Павла Барыбина, Ирину Богачёву и других. Трёх дочерей Богачёвой — Зою, Марию иАнтонину — гитлеровцы насильно водворили в солдатский дом терпимости. Незадолгодо вступления в село Красной Армии немцы отправили в тыл 50 семейств колхозников— стариков, женщин и детей. Их погнали пешком, голодных и полураздетых.</w:t>
      </w:r>
    </w:p>
    <w:p w14:paraId="43C9F921"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за несколько дней боёв в районе Яйце—Травник истребили 120 немецких солдат и офицеров, уничтожили 3 танка и 2 бронемашины. В гор. Босански-Нови партизаны ведут уличные бои, захвачено в плен 850 солдат и офицеров противника, 5 орудий и несколько десятков пулемётов.» (14851).</w:t>
      </w:r>
    </w:p>
    <w:p w14:paraId="3667343E"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304BEC6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5 декабря 1942 с 22 июня 1941 на Мурманск было совершено 585 налетов, общая продолжительность воздушных тревог составила 332 часа, сброшено 2886 фугасных и 95700 зажигательных бомб (9453).</w:t>
      </w:r>
    </w:p>
    <w:p w14:paraId="6BB979B1" w14:textId="77777777" w:rsidR="00BB6316" w:rsidRPr="00722885" w:rsidRDefault="00BB6316" w:rsidP="00722885">
      <w:pPr>
        <w:pStyle w:val="Iauiue"/>
        <w:jc w:val="both"/>
        <w:rPr>
          <w:color w:val="000000" w:themeColor="text1"/>
          <w:sz w:val="16"/>
          <w:szCs w:val="16"/>
        </w:rPr>
      </w:pPr>
    </w:p>
    <w:p w14:paraId="457E7DAD" w14:textId="77777777" w:rsidR="00473FE7"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0A831C9" w14:textId="77777777" w:rsidR="00473FE7" w:rsidRPr="00722885" w:rsidRDefault="00473FE7" w:rsidP="00722885">
      <w:pPr>
        <w:pStyle w:val="Iauiue"/>
        <w:jc w:val="both"/>
        <w:rPr>
          <w:iCs/>
          <w:color w:val="000000" w:themeColor="text1"/>
          <w:sz w:val="16"/>
          <w:szCs w:val="16"/>
        </w:rPr>
      </w:pPr>
    </w:p>
    <w:p w14:paraId="6F8AC0FC"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5 декабря</w:t>
      </w:r>
      <w:r w:rsidRPr="00722885">
        <w:rPr>
          <w:rFonts w:ascii="Times New Roman" w:hAnsi="Times New Roman"/>
          <w:color w:val="000000" w:themeColor="text1"/>
          <w:sz w:val="16"/>
          <w:szCs w:val="16"/>
        </w:rPr>
        <w:t xml:space="preserve"> в 1942 году на военно-транспортных самолетах люфтваффе 500 диверсантов 1-го батальона 4-го полка дивизии «Бранденбург-800» гауптмана фон Кёнена перебрасываются в Тунис (14851).</w:t>
      </w:r>
    </w:p>
    <w:p w14:paraId="391A8300"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49206FCA" w14:textId="77777777" w:rsidR="00473FE7"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7C6D7B96" w14:textId="77777777" w:rsidR="00473FE7" w:rsidRPr="00722885" w:rsidRDefault="00473FE7" w:rsidP="00722885">
      <w:pPr>
        <w:pStyle w:val="Iauiue"/>
        <w:jc w:val="both"/>
        <w:rPr>
          <w:iCs/>
          <w:color w:val="000000" w:themeColor="text1"/>
          <w:sz w:val="16"/>
          <w:szCs w:val="16"/>
        </w:rPr>
      </w:pPr>
    </w:p>
    <w:p w14:paraId="0F2B1637" w14:textId="77777777" w:rsidR="00473FE7" w:rsidRPr="00722885" w:rsidRDefault="00473FE7" w:rsidP="00722885">
      <w:pPr>
        <w:pStyle w:val="Iauiue"/>
        <w:tabs>
          <w:tab w:val="left" w:pos="11199"/>
        </w:tabs>
        <w:jc w:val="both"/>
        <w:rPr>
          <w:color w:val="000000" w:themeColor="text1"/>
          <w:sz w:val="16"/>
          <w:szCs w:val="16"/>
        </w:rPr>
      </w:pPr>
      <w:r w:rsidRPr="00722885">
        <w:rPr>
          <w:color w:val="000000" w:themeColor="text1"/>
          <w:sz w:val="16"/>
          <w:szCs w:val="16"/>
        </w:rPr>
        <w:t>5 декабря 1942 вышло Постановление ГКО № 2570 Об обеспечении завоза дров в Москву в зимний период 1942-1943 гг. (7065, 112-116,117).</w:t>
      </w:r>
    </w:p>
    <w:p w14:paraId="0300050A" w14:textId="77777777" w:rsidR="00473FE7" w:rsidRPr="00722885" w:rsidRDefault="00473FE7" w:rsidP="00722885">
      <w:pPr>
        <w:pStyle w:val="Iauiue"/>
        <w:tabs>
          <w:tab w:val="left" w:pos="11199"/>
        </w:tabs>
        <w:jc w:val="both"/>
        <w:rPr>
          <w:color w:val="000000" w:themeColor="text1"/>
          <w:sz w:val="16"/>
          <w:szCs w:val="16"/>
        </w:rPr>
      </w:pPr>
    </w:p>
    <w:p w14:paraId="32CE07EE"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5131141" w14:textId="77777777" w:rsidR="00BB6316" w:rsidRPr="00722885" w:rsidRDefault="00BB6316" w:rsidP="00722885">
      <w:pPr>
        <w:pStyle w:val="Iauiue"/>
        <w:jc w:val="both"/>
        <w:rPr>
          <w:iCs/>
          <w:color w:val="000000" w:themeColor="text1"/>
          <w:sz w:val="16"/>
          <w:szCs w:val="16"/>
        </w:rPr>
      </w:pPr>
    </w:p>
    <w:p w14:paraId="6789A24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декабря 1942 года на основании приказа НКАП за № 733с заводом №84 была принята часть объекта № 600 (9461).</w:t>
      </w:r>
    </w:p>
    <w:p w14:paraId="2623A2C9" w14:textId="77777777" w:rsidR="00BB6316" w:rsidRPr="00722885" w:rsidRDefault="00BB6316" w:rsidP="00722885">
      <w:pPr>
        <w:pStyle w:val="Iauiue"/>
        <w:jc w:val="both"/>
        <w:rPr>
          <w:color w:val="000000" w:themeColor="text1"/>
          <w:sz w:val="16"/>
          <w:szCs w:val="16"/>
        </w:rPr>
      </w:pPr>
    </w:p>
    <w:p w14:paraId="4028D1CF"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905D567" w14:textId="77777777" w:rsidR="00BB6316" w:rsidRPr="00722885" w:rsidRDefault="00BB6316" w:rsidP="00722885">
      <w:pPr>
        <w:pStyle w:val="Iauiue"/>
        <w:jc w:val="both"/>
        <w:rPr>
          <w:iCs/>
          <w:color w:val="000000" w:themeColor="text1"/>
          <w:sz w:val="16"/>
          <w:szCs w:val="16"/>
        </w:rPr>
      </w:pPr>
    </w:p>
    <w:p w14:paraId="6FD8BD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2573 О плане производства и поставок артиллерийского и стрелкового вооружения и военных приборов на декабрь месяц 1942 года. РГАНИР, Фонд ГКО, д. 71, лл. 120-130, 131-137 (11012).</w:t>
      </w:r>
    </w:p>
    <w:p w14:paraId="68DCD72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B3611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2575 О плане производства боеприпасов на декабрь месяц 1942 г. РГАНИР, Фонд ГКО, д. 72, лл. 1-10, 11-20 (11012).</w:t>
      </w:r>
    </w:p>
    <w:p w14:paraId="643A5BB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DDE97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2576 О плане производства и поставок пулеметов-пистолетов Шпагина в декабре 1942 года. РГАНИР, Фонд ГКО, д. 72, лл. 21-25, 26-35 (11012).</w:t>
      </w:r>
    </w:p>
    <w:p w14:paraId="4F72CFD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29C5DAD" w14:textId="77777777" w:rsidR="00473FE7"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2577 Об изготовлении и испытании в войсках опытных партий пулеметов-пистолетов. РГАНИР, Фонд ГКО, д. 72, лл. 36 (11012).</w:t>
      </w:r>
    </w:p>
    <w:p w14:paraId="43C25EE9"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12BFD8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г. ГОСУДАРСТВЕННЫЙ КОМИТЕТ ОБОРОНЫ ПОСТАНОВЛЕНИЕ ГОКО № 2577сс</w:t>
      </w:r>
    </w:p>
    <w:p w14:paraId="64ED1E3E" w14:textId="77777777" w:rsidR="00473FE7"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Москва, Кремль </w:t>
      </w:r>
    </w:p>
    <w:p w14:paraId="77AE0E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 изготовлении и испытании в войсках опытных партий пулеметов-пистолетов.</w:t>
      </w:r>
    </w:p>
    <w:p w14:paraId="6B68BC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Государственный Комитет Обороны ПОСТАНОВЛЯЕТ: </w:t>
      </w:r>
    </w:p>
    <w:p w14:paraId="2C1845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Обязать Наркомат Вооружения (т. Устинова) изготовить и поставить ГАУ Красной Армии к 10 декабря 1942 г. 1000 штук пулеметов-пистолетов Шпагина, модель-2 (ППШ-2). </w:t>
      </w:r>
    </w:p>
    <w:p w14:paraId="3A2292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Обязать Наркомминвооружения (т. Паршина) изготовить на заводе № 828 и поставить ГАУ Красной Армии к 10 декабря 1942 г. 1000 штук пулеметов-пистолетов Судаева (ППС). </w:t>
      </w:r>
    </w:p>
    <w:p w14:paraId="5B4C0F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Обязать Мосгорисполком (т. Пронина) изготовить и поставить к 8 декабря 1942 г. заводу № 828 НКМВ - 6000 штук магазинов к ППС. </w:t>
      </w:r>
    </w:p>
    <w:p w14:paraId="100C6D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Обязать ГАУ КА (т. Яковлева) в двадцатидневный срок со дня поступления пулеметов-пистолетов Шпагина и Судаева провести войсковые испытания и представить заключение о возможности принятия на вооружение нового образца пулемета-пистолета.</w:t>
      </w:r>
    </w:p>
    <w:p w14:paraId="47C78B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 И. СТАЛИН (12669).</w:t>
      </w:r>
    </w:p>
    <w:p w14:paraId="4D2FA13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74957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2578 О плане производства минометов на декабрь месяц 1942 года. РГАНИР, Фонд ГКО, д. 72, лл. 37-42, 43-59 (11012).</w:t>
      </w:r>
    </w:p>
    <w:p w14:paraId="13A55E5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A21D2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2579 О производстве и поставках в декабре 1942 г. химикатов для выпуска боеприпасов. РГАНИР, Фонд ГКО, д. 72, лл. 60-64 (11012).</w:t>
      </w:r>
    </w:p>
    <w:p w14:paraId="0E8331E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A1D6E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2580 О плане производства боеприпасов на декабрь 1942 г. для Закавказья. РГАНИР, Фонд ГКО, д. 72, лл. 65-66, 67-76 (11012).</w:t>
      </w:r>
    </w:p>
    <w:p w14:paraId="362C29A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74601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2581 О сохранении на Карпинском заводе. Наркомугля производства деталей М-13. . РГАНИР, Фонд ГКО, д. 72, лл. 77 (11012).</w:t>
      </w:r>
    </w:p>
    <w:p w14:paraId="33B71016"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0F0F1DD" w14:textId="77777777" w:rsidR="00087597" w:rsidRPr="00722885" w:rsidRDefault="0008759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6 декабря 1942 огневые испытания начались с определения характеристик стрельбы. Всего СУ-12 произвела 64 выстрела, при этом её скорострельность составила 12 выстрелов в минуту. Отмечалась хорошая устойчивость и удовлетворительная кучность. В целом машину признали вполне удачной. Тем не менее, отмечалось, что устройство боевого отделения конкурирующей машины СУ-71 (ГАЗ-71) имеет ряд преимуществ. Там установка системы оказалась менее громоздкой, отсутствовали торчащие станины, более удачно был выполнен стопор орудия в положении по-походному (17699).</w:t>
      </w:r>
    </w:p>
    <w:p w14:paraId="067B64E9" w14:textId="77777777" w:rsidR="00087597" w:rsidRPr="00722885" w:rsidRDefault="00087597" w:rsidP="00722885">
      <w:pPr>
        <w:spacing w:after="0" w:line="240" w:lineRule="auto"/>
        <w:jc w:val="both"/>
        <w:rPr>
          <w:rFonts w:ascii="Times New Roman" w:hAnsi="Times New Roman"/>
          <w:color w:val="000000" w:themeColor="text1"/>
          <w:sz w:val="16"/>
          <w:szCs w:val="16"/>
        </w:rPr>
      </w:pPr>
    </w:p>
    <w:p w14:paraId="46DAE5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2582 О добыче нефти и выработке нефтепродуктов в декабре 1942 года. РГАНИР, Фонд ГКО, д. 72, лл. 78-80 (11012).</w:t>
      </w:r>
    </w:p>
    <w:p w14:paraId="56B2D60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5C91E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2583 Об увеличении мощности завода № 577 Наркомбоеприпасов по производству нитроглицериновых порохов. РГАНИР, Фонд ГКО, д. 72, лл. 81-82, 83 (11012).</w:t>
      </w:r>
    </w:p>
    <w:p w14:paraId="2F921D2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37551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2584 О сформировании в составе артиллерийских дивизий РГК истребительно-противотанковых, гаубичных, пушечных и минометных бригаРГАНИР, Фонд ГКО, д. РГАНИР, Фонд ГКО, д. 72, лл. 84-87 (11012).</w:t>
      </w:r>
    </w:p>
    <w:p w14:paraId="16D245F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BD284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2585 О сформировании 15 минометных бригад резерва Главного командования. РГАНИР, Фонд ГКО, д. 72, лл. 88 (11012).</w:t>
      </w:r>
    </w:p>
    <w:p w14:paraId="7622807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4A7E0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декабря 1942 вышло Постановление ГКО № 2586 Об обеспечении мазутом ТЭЦ Горьковского автозавода. РГАНИР, Фонд ГКО, д. 72, лл. 89 (11012).</w:t>
      </w:r>
    </w:p>
    <w:p w14:paraId="576AC45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5FA5A8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070A81D" w14:textId="77777777" w:rsidR="00BB6316" w:rsidRPr="00722885" w:rsidRDefault="00BB6316" w:rsidP="00722885">
      <w:pPr>
        <w:pStyle w:val="Iauiue"/>
        <w:jc w:val="both"/>
        <w:rPr>
          <w:iCs/>
          <w:color w:val="000000" w:themeColor="text1"/>
          <w:sz w:val="16"/>
          <w:szCs w:val="16"/>
        </w:rPr>
      </w:pPr>
    </w:p>
    <w:p w14:paraId="5CEE5905"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3ED9F1A7"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6 декабря в районе Сталинграда и на Центральном фронте наши войска продолжали наступление на прежних направлениях.</w:t>
      </w:r>
    </w:p>
    <w:p w14:paraId="4A186F88"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войска вели огневой бой с противником. Артиллеристы Н-ской части разрушили 18 вражеских дзотов и блиндажей, подавили огонь 3 артиллерийских и 2 миномётных батарей. Орудийный расчёт сержанта Юманского ночью выкатил орудие на открытую позицию, а на рассвете прямой наводкой уничтожил 4 немецких дзота вместе с находившимися в них гитлеровцами.</w:t>
      </w:r>
    </w:p>
    <w:p w14:paraId="267B8269"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наступательные бои и, преодолевая огневое сопротивление противника, продвинулись вперёд. Бойцы Н-ской части в течение вчерашнего дня уничтожили свыше 1.000 немецких солдат и офицеров. Захвачено 14 миномётов, 36 пулемётов и свыше 200 винтовок. Взято вплен 150 немецких солдат. На другом участке наши бойцы, вклинившись в оборону противника, истребили 200 гитлеровцев. Уничтожены 5 немецких танков, 9 орудий, 6 автомашин и склад боеприпасов.</w:t>
      </w:r>
    </w:p>
    <w:p w14:paraId="6B46ACFD"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части ведут упорные бои с мотопехотой и танками противника. Бросив вперёд танки, немцы пытались прорвать нашу оборону. Эта попытка гитлеровцев провалилась. По предварительным данным, нашими бойцами подбито и сожжено 17 немецких танков. Противник понёс тяжёлые потери в живой силе. На другом участке бойцы Н-ской части овладели одним населённым пунктом. В бою за этот населённый пункт разгромлен батальон немецкой пехоты.</w:t>
      </w:r>
    </w:p>
    <w:p w14:paraId="1167649E"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Центральном фронте продолжалось наступление наших войск. Н-ское соединение блокировало населённый пункт и ведёт бои на истребление находящихся в нём войск противника. Немецкое командование пытается с помощью, транспортной авиации подбрасывать окружённому гарнизону подкрепления и военные грузы. Бойцы Н-ской части за один день сбили 12 и подбили 7 немецких транспортных самолётов. На другом участке немцы ввели в бой новые части и пытались овладеть тремя </w:t>
      </w:r>
      <w:r w:rsidRPr="00722885">
        <w:rPr>
          <w:rFonts w:ascii="Times New Roman" w:hAnsi="Times New Roman"/>
          <w:color w:val="000000" w:themeColor="text1"/>
          <w:sz w:val="16"/>
          <w:szCs w:val="16"/>
        </w:rPr>
        <w:lastRenderedPageBreak/>
        <w:t>населёнными пунктами, ранее занятыми нашими войсками. Ценою больших потерь им удалось занять два из этих пунктов. Не дав гитлеровцам закрепиться, наши бойцы контратакой вновь выбили противника из этих населённых пунктов. В этом бою немцы потеряли убитыми свыше 500 солдат и офицеров.</w:t>
      </w:r>
    </w:p>
    <w:p w14:paraId="468BBADE"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Центрального фронта взят в плен солдат 86 немецкой пехотной дивизии Отто Гмайнер. Пленный рассказал: «В последнем бою наша дивизия потерпела поражение. Русские танки прорвались вперёд, и я в числе большой группы солдат попал в плен. Признаться, мы были рады этому, так как теперь избежали смерти. Из советских листовок солдаты узнали, что в районе Сталинграда немецкие войска отступают и несут колоссальные потери. Раньше офицеры нам всячески расписывали огромное значение Сталинграда и говорили, что его падение предрешено. Теперь они словно воды в рот набрали и на вопросы солдат о положении под Сталинградом дают уклончивые ответы. Наступление, начатое русскими, в конце концов, сомнёт немецкую армию, силы которой уже надломлены».</w:t>
      </w:r>
    </w:p>
    <w:p w14:paraId="798CBCB3"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Получены сведения о том, что в средине ноября из города Орёл был отправлен в Германию железнодорожный эшелон в составе 40 вагонов с немецкими солдатами, закованными в кандалы. Все эти солдаты приговорены к долголетней каторге за отказ воевать. В районе Курска и в Понырях гитлеровцы открыли пересыльные лагери для солдат, бежавших с фронта.» (14852).</w:t>
      </w:r>
    </w:p>
    <w:p w14:paraId="27300801"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78AFD445"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0C6F46F7"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6 декабря наши войска в районе Сталинграда и на Центральном фронте продолжали наступление на прежних направлениях.</w:t>
      </w:r>
    </w:p>
    <w:p w14:paraId="24023ACA"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29 ноября по 5 декабря включительно, в воздушных боях, на аэродромах и огнём зенитной артиллерии уничтожено 192 немецких самолёта, в том числе 108 трёхмоторных транспортных самолётов. Наши потери за это же время —102 самолёта.</w:t>
      </w:r>
    </w:p>
    <w:p w14:paraId="04960EAF"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войска вели перестрелку с противником. Советские артиллеристы уничтожили 4 немецких дзота, 7 блиндажей, подавили огонь 3 артиллерийских и 6 миномётных батарей. На южной окраине города наши части вели разведку боем и уничтожили до роты немецких солдат и офицеров.</w:t>
      </w:r>
    </w:p>
    <w:p w14:paraId="0BBE0500"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левом берегу реки Дон, наши войска вели наступательные бои и отбивали ожесточённые контратаки противника. В течение дня бойцы Н-ского соединения уничтожили до 800 немецких солдат и офицеров. Подбито и сожжено 18 немецких танков. На другом участке противник силою до полка пехоты при поддержке артиллерии и танков атаковал наши позиции. Советские бойцы отбросили немцев с большими для них потерями. На поле боя осталось до 300 вражеских трупов. Подбито 3 немецких танка, уничтожено 10 автомашин и 2 орудия.</w:t>
      </w:r>
    </w:p>
    <w:p w14:paraId="13D29809"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отражали контратаки крупных сил противника, а на отдельных участках продолжали продвигаться вперёд. На одном участке немцы бросили в бой полк пехоты и танки. Наши части нанесли противнику тяжёлый урон. На поле боя остались сотни вражеских трупов и до 40 разбитых и сожжённых танков.</w:t>
      </w:r>
    </w:p>
    <w:p w14:paraId="111F4C3E"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преодолевая упорное сопротивление противника, продолжали наступление. В районе Великих Лук советские части освободили несколько населённых пунктов и захватили 12 немецких орудий, много пулемётов, винтовок и автоматов.</w:t>
      </w:r>
    </w:p>
    <w:p w14:paraId="78BC981F"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часть, где командиром тов. Добровольский, отразила двадцать контратак врага. В этом бою гитлеровцы понесли тяжёлые потери. На поле боя подсчитано свыше 1.000 трупов немецких солдат и офицеров. Наши бойцы захватили 4 опорных пункта, 2 вражеских танка, 46 орудий, 72 пулемёта, 6 миномётов, 35 автомашин, 5 складов с продовольствием, боеприпасами, фуражом иинженерным имуществом. Ружейно-пулемётным огнём сбит немецкий транспортный самолёт.</w:t>
      </w:r>
    </w:p>
    <w:p w14:paraId="7624E6E7"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бойцы Н-ского соединения выбили противника из 2 населённых пунктов. Захвачено 49 автомашин, 3 вездехода и 3 орудия. Взяты пленные.</w:t>
      </w:r>
    </w:p>
    <w:p w14:paraId="00BB1FB0"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Украины, с 10 по 20 ноября совершил ряд успешных боевых операций. Партизаны взорвали 2 железнодорожных моста, вырезали 4,5 километра телефонно-телеграфной линии, уничтожили броневик и 4 грузовые автомашины. В схватках с противником советские патриоты истребили свыше 100 гитлеровцев.</w:t>
      </w:r>
    </w:p>
    <w:p w14:paraId="25BB487A"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Чудовищные преступления совершили немецко-фашистские мерзавцы в Навлинском районе, Орловской области. Гитлеровцы предали огню 18 сёл и 26 посёлков. Они сожгли 3.850 домов колхозников, 114 колхозных построек, 21 школу, 5 больниц, 8 аптек, 18 колхозных клубов. Гитлеровские разбойники дочиста ограбили колхозников, забрали у них скот, одежду, все вещи домашнего обихода, увезли всё зерно и картофель. В сёлах Навлинского района фашистские бандиты зверски замучили 187 колхозников. Оставшиеся в живых старики, женщины и дети обречены на голодную смерть.» (14852).</w:t>
      </w:r>
    </w:p>
    <w:p w14:paraId="1CD84A3D"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30A4C3F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6 по 30 декабря 1942 была Среднедонская операция в ходе контрнаступления СА под Сталинградом. Продвинулись на 150-200 км и прорвались в тыл группы Дон. Немцы смогли прорыв ликвидировать, но резервы были истрачены (2443,151).</w:t>
      </w:r>
    </w:p>
    <w:p w14:paraId="3BFDB21B" w14:textId="77777777" w:rsidR="00BB6316" w:rsidRPr="00722885" w:rsidRDefault="00BB6316" w:rsidP="00722885">
      <w:pPr>
        <w:pStyle w:val="Iauiue"/>
        <w:jc w:val="both"/>
        <w:rPr>
          <w:color w:val="000000" w:themeColor="text1"/>
          <w:sz w:val="16"/>
          <w:szCs w:val="16"/>
        </w:rPr>
      </w:pPr>
    </w:p>
    <w:p w14:paraId="0EA684D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декабря 1942 г. вышел ПРИКАЗ № 0949 О РЕОРГАНИЗАЦИИ ОРГАНОВ ДИСЛОКАЦИОННО-ПОЧТОВОЙ СЛУЖБЫ КРАСНОЙ АРМИИ И ВОЕННО-ПОЛЕВОЙ ПОЧТЫ</w:t>
      </w:r>
    </w:p>
    <w:p w14:paraId="254247B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Существующая организация органов дисло-почтовой службы Красной Армии не обеспечивает в должной мере скрытности дислокации частей и соединений Красной Армии. Дисло-почтовые отделы и отделения, находясь в системе управлений связи и будучи оторванными от штабов, особенно оперативных отделов, строят свою работу без учета требований скрытности группировки войск.</w:t>
      </w:r>
    </w:p>
    <w:p w14:paraId="7AC58EF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Органы военно-полевой почты, находясь в системе Народного комиссариата связи, еще дальше стоят от штабов и, сосредоточивая у себя полные сведения о дислокации частей и соединений и их группировке, делают их достоянием большого круга лиц.</w:t>
      </w:r>
    </w:p>
    <w:p w14:paraId="0809A97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Существующая система адресования и прохождения корреспонденции, порядок формирования полевых почтовых станций и военно-почтовых баз, назначение им номеров дают возможность установить дислокацию и перегруппировку войск и определить новые формирования частей и соединений.</w:t>
      </w:r>
    </w:p>
    <w:p w14:paraId="75B7F6A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целях скрытия дислокации и перегруппировки войск Красной Армии и устранения возможности разглашения дислокационных сведений через органы полевой почты приказываю:</w:t>
      </w:r>
    </w:p>
    <w:p w14:paraId="2D7E412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Органы дисло-почтовой службы Красной Армии реорганизовать, передав ведение и учет частей и соединений по их действительному наименованию и по номерам полевой почты только штабам.</w:t>
      </w:r>
    </w:p>
    <w:p w14:paraId="5F956E8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чего сформировать к 1 января 1943 г.:</w:t>
      </w:r>
    </w:p>
    <w:p w14:paraId="02BDD4D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отдел дислокации войск Красной Армии в составе Организационного управления Генерального штаба;</w:t>
      </w:r>
    </w:p>
    <w:p w14:paraId="479BCF0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отделения дислокаций войск в составе оперативных отделов штабов фронтов и армий и организационно-мобилизационных отделов штабов военных округов.</w:t>
      </w:r>
    </w:p>
    <w:p w14:paraId="3F61B72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Установить, что дислокация войск с действительным наименованием частей и соединений Красной Армии и с присвоенными им номерами полевых почт ведется только в отделе дислокаций войск Организационного управления Генерального штаба и отделениях дислокации войск штабов фронтов, армий и военных округов. В органах военно-полевой почты ведется учет только полевых почтовых учреждений и номеров полевых почт без указания принадлежности их к частям и соединениям.</w:t>
      </w:r>
    </w:p>
    <w:p w14:paraId="22BC36D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Органы военно-полевой почты из системы Народного комиссариата связи изъять и передать их в ведение начальника Главного управления связи Красной Армии.</w:t>
      </w:r>
    </w:p>
    <w:p w14:paraId="2990067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чего:</w:t>
      </w:r>
    </w:p>
    <w:p w14:paraId="15548D2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Центральное военное управление полевой связи Народного комиссариата связи реорганизовать в Управление военно-полевой почты Главного управления связи Красной Армии;</w:t>
      </w:r>
    </w:p>
    <w:p w14:paraId="67B6B73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отделы и отделения полевой связи НКС фронтов и армий реорганизовать в отделы и отделения военно-полевой почты управлений связи фронтов и отделов связи армий.</w:t>
      </w:r>
    </w:p>
    <w:p w14:paraId="679F10A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Начальнику Генерального штаба разработать единую систему почтовых адресов всех частей, соединений, учреждений и заведений Красной Армии, установить новый порядок адресования всякой корреспонденции в действующую Красную Армию и определить порядок переписки частей и соединений Красной Армии с гражданскими организациями и частными лицами.</w:t>
      </w:r>
    </w:p>
    <w:p w14:paraId="5C4F549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Сводные материалы о дислокации войск фронтов, округов и армий являются материалами совершенно секретными, особой важности, которые обрабатывать, хранить и пересылать в соответствии с приказом НКО № 0023 1941 года и без разрешения соответствующих начальников штабов никуда не представлять.</w:t>
      </w:r>
    </w:p>
    <w:p w14:paraId="6A6D61A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Присвоение вновь формируемым частям и соединениям Красной Армии номеров полевой почты производить исключительно через отдел дислокации войск Организационного управления Генерального штаба Красной Армии.</w:t>
      </w:r>
    </w:p>
    <w:p w14:paraId="0148F98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 Формирование новых учреждений военно-полевой почты из органов Народного комиссариата связи изъять и передать в Главное управление связи Красной Армии, оставив за Народным комиссариатом связи только выделение специалистов для формирований полевой почты, а также снабжение их специальным почтово-техническим имуществом и эксплуатационным материалом, централизованным порядком.</w:t>
      </w:r>
    </w:p>
    <w:p w14:paraId="67985A3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Начальнику Главного управления связи Красной Армии к 15 января 1943 года переработать, в соответствии с настоящим приказом, все существующие положения и инструкции о работе военно-полевой почты.</w:t>
      </w:r>
    </w:p>
    <w:p w14:paraId="5AC920E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 Начальнику Главупраформа к 15 декабря с. г. разработать и утвердить новые штаты органов военно-полевой почты и дислокации войск.</w:t>
      </w:r>
    </w:p>
    <w:p w14:paraId="71013DE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 Приказ НКО № 0643 от 18 августа с. г. отменить.</w:t>
      </w:r>
    </w:p>
    <w:p w14:paraId="57B1836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Органам дислокации войск в работе руководствоваться прилагаемым положением.</w:t>
      </w:r>
    </w:p>
    <w:p w14:paraId="500B5CF0" w14:textId="77777777" w:rsidR="00BB6316" w:rsidRPr="00722885" w:rsidRDefault="00BB6316" w:rsidP="00722885">
      <w:pPr>
        <w:pStyle w:val="Iauiue"/>
        <w:jc w:val="both"/>
        <w:rPr>
          <w:color w:val="000000" w:themeColor="text1"/>
          <w:sz w:val="16"/>
          <w:szCs w:val="16"/>
        </w:rPr>
      </w:pPr>
      <w:r w:rsidRPr="00722885">
        <w:rPr>
          <w:iCs/>
          <w:color w:val="000000" w:themeColor="text1"/>
          <w:sz w:val="16"/>
          <w:szCs w:val="16"/>
        </w:rPr>
        <w:t xml:space="preserve">Народный комиссар обороны И. СТАЛИН </w:t>
      </w:r>
      <w:r w:rsidRPr="00722885">
        <w:rPr>
          <w:color w:val="000000" w:themeColor="text1"/>
          <w:sz w:val="16"/>
          <w:szCs w:val="16"/>
        </w:rPr>
        <w:t>(9844).</w:t>
      </w:r>
    </w:p>
    <w:p w14:paraId="5EF93E73" w14:textId="77777777" w:rsidR="00BB6316" w:rsidRPr="00722885" w:rsidRDefault="00BB6316" w:rsidP="00722885">
      <w:pPr>
        <w:pStyle w:val="Iauiue"/>
        <w:jc w:val="both"/>
        <w:rPr>
          <w:color w:val="000000" w:themeColor="text1"/>
          <w:sz w:val="16"/>
          <w:szCs w:val="16"/>
        </w:rPr>
      </w:pPr>
    </w:p>
    <w:p w14:paraId="1ADDA4C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6 декабря 1942 г. Начальник Генерального штаба Красной Армии генерал-полковник </w:t>
      </w:r>
      <w:r w:rsidRPr="00722885">
        <w:rPr>
          <w:iCs/>
          <w:color w:val="000000" w:themeColor="text1"/>
          <w:sz w:val="16"/>
          <w:szCs w:val="16"/>
        </w:rPr>
        <w:t xml:space="preserve">ВАСИЛЕВСКИЙутвердил: </w:t>
      </w:r>
    </w:p>
    <w:p w14:paraId="44067E4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ПОЛОЖЕНИЕ О СЛУЖБЕ ДИСЛОКАЦИИ ВОЙСК КРАСНОЙ АРМИИ</w:t>
      </w:r>
    </w:p>
    <w:p w14:paraId="4827D89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lastRenderedPageBreak/>
        <w:t>1. Служба дислокации войск Красной Армии относится к службе Генерального штаба и ее органами являются:</w:t>
      </w:r>
    </w:p>
    <w:p w14:paraId="3BACEE6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отдел дислокации войск Красной Армии Организационного управления Генерального штаба;</w:t>
      </w:r>
    </w:p>
    <w:p w14:paraId="74438FB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отделения дислокации войск оперативных отделов штабов фронтов и армий;</w:t>
      </w:r>
    </w:p>
    <w:p w14:paraId="5EECF0D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отделения дислокации войск организационно-мобилизационных отделов штабов военных округов.</w:t>
      </w:r>
    </w:p>
    <w:p w14:paraId="42E12D8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На службу дислокации войск возлагается:</w:t>
      </w:r>
    </w:p>
    <w:p w14:paraId="539C1BF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разработка и проведение мероприятий, обеспечивающих скрытность дислокации войск;</w:t>
      </w:r>
    </w:p>
    <w:p w14:paraId="26EA762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ведение учета дислокации и перемещения всех без исключения войсковых частей, соединений, учреждений и заведений Красной Армии по их действительным наименованиям и номерам полевой почты;</w:t>
      </w:r>
    </w:p>
    <w:p w14:paraId="0BC292D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назначение номеров полевых почт всем частям, соединениям, учреждениям и заведениям Красной Армии всех родов войск;</w:t>
      </w:r>
    </w:p>
    <w:p w14:paraId="4287836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установление правил и порядка переписки войсковых частей, соединений и учреждений Красной Армии как между собой, так и гражданскими организациями и частными лицами;</w:t>
      </w:r>
    </w:p>
    <w:p w14:paraId="63C86BE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установление порядка формирования полевых почтовых учреждений, их учета и передислокации;</w:t>
      </w:r>
    </w:p>
    <w:p w14:paraId="1ADFFE7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контроль за работой органов военно-полевой почты в части учета дислокации полевых почтовых учреждений и порядка направления корреспонденции в действующую Красную Армию.</w:t>
      </w:r>
    </w:p>
    <w:p w14:paraId="1E32FA7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Примечание. Органы службы дислокации войск имеют право давать указания военно-полевой почте о временном задержании определенной группы корреспонденции и печати в соответствии с решением командования.</w:t>
      </w:r>
    </w:p>
    <w:p w14:paraId="24C0A1F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Отдел дислокации войск Организационного управления Генерального штаба:</w:t>
      </w:r>
    </w:p>
    <w:p w14:paraId="0D136E8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руководит деятельностью и контролирует работу всех органов службы дислокации войск Красной Армии. Контролирует работу дисло-почтового отдела управления военно-полевой почты Главного управления связи Красной Армии;</w:t>
      </w:r>
    </w:p>
    <w:p w14:paraId="3D84286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ведет учет и назначает номера полевых почт для всех войсковых частей, соединений и учреждений Красной Армии;</w:t>
      </w:r>
    </w:p>
    <w:p w14:paraId="120EDED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ведет учет дислокации и перемещения частей и соединений Красной Армии;</w:t>
      </w:r>
    </w:p>
    <w:p w14:paraId="5F86EB3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издает инструкции и правила о порядке письменных сношений частей и учреждений Красной Армии как между собой, так и с гражданскими организациями и частными лицами.</w:t>
      </w:r>
    </w:p>
    <w:p w14:paraId="55FB71E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Отделения дислокации войск оперативных отделов штабов фронтов, армий и организационно-мобилизационных отделов штабов военных округов;</w:t>
      </w:r>
    </w:p>
    <w:p w14:paraId="2A4D969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руководят деятельностью и контролируют работу органов службы дислокации войск в пределах своего фронта и контролируют работу органов дисло-почтовой службы военно-полевой почты фронта, армии (округа);</w:t>
      </w:r>
    </w:p>
    <w:p w14:paraId="7D96F95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ведут учет дислокации и перемещения всех войсковых частей, соединений и учреждений своего фронта, армии, округа, как по действительным наименованиям их, так и по номерам полевых почт;</w:t>
      </w:r>
    </w:p>
    <w:p w14:paraId="23E9752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составляют дислосводки о всех изменениях в дислокации и перегруппировке войск фронта и представляют их в отдел дислокации войск Организационного управления Генерального штаба.</w:t>
      </w:r>
    </w:p>
    <w:p w14:paraId="4E40F3B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Органы дислокации войск никаких справок гражданским организациям и частным лицам не дают и переписки с ними не ведут.</w:t>
      </w:r>
    </w:p>
    <w:p w14:paraId="2CD2D8C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В системе военно-полевой почты создаются дисло-почтовые отделы и отделения, которые в своей работе подконтрольны органам дислокации войск Красной Армии и работают с ними в полном контакте.</w:t>
      </w:r>
    </w:p>
    <w:p w14:paraId="2FD2F23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 Дисло-почтовые отделы и отделения военно-полевой почты ведут учет и дислокацию только учреждений полевой почты, также ведают припиской и отпиской воинских частей и соединений к полевым почтовым учреждениям по номерам полевых почт.</w:t>
      </w:r>
    </w:p>
    <w:p w14:paraId="4AA3942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Категорически запрещается органам военно-полевой почты иметь учет частей и соединений по их действительному наименованию.</w:t>
      </w:r>
    </w:p>
    <w:p w14:paraId="00778A6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Дисло-почтовые органы военно-полевой почты свою работу строят на основе особых положений, разрабатываемых и издаваемых Главным управлением связи Красной Армии по согласованию с Генеральным штабом (9844).</w:t>
      </w:r>
    </w:p>
    <w:p w14:paraId="0504D93A" w14:textId="77777777" w:rsidR="00BB6316" w:rsidRPr="00722885" w:rsidRDefault="00BB6316" w:rsidP="00722885">
      <w:pPr>
        <w:pStyle w:val="Iauiue"/>
        <w:jc w:val="both"/>
        <w:rPr>
          <w:color w:val="000000" w:themeColor="text1"/>
          <w:sz w:val="16"/>
          <w:szCs w:val="16"/>
        </w:rPr>
      </w:pPr>
    </w:p>
    <w:p w14:paraId="260E30B5" w14:textId="77777777" w:rsidR="00473FE7"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096F5C4B" w14:textId="77777777" w:rsidR="00473FE7" w:rsidRPr="00722885" w:rsidRDefault="00473FE7" w:rsidP="00722885">
      <w:pPr>
        <w:pStyle w:val="Iauiue"/>
        <w:jc w:val="both"/>
        <w:rPr>
          <w:iCs/>
          <w:color w:val="000000" w:themeColor="text1"/>
          <w:sz w:val="16"/>
          <w:szCs w:val="16"/>
        </w:rPr>
      </w:pPr>
    </w:p>
    <w:p w14:paraId="103456D8"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декабря</w:t>
      </w:r>
      <w:r w:rsidRPr="00722885">
        <w:rPr>
          <w:rFonts w:ascii="Times New Roman" w:hAnsi="Times New Roman"/>
          <w:color w:val="000000" w:themeColor="text1"/>
          <w:sz w:val="16"/>
          <w:szCs w:val="16"/>
        </w:rPr>
        <w:t xml:space="preserve"> в 1942 году прибытие в Москву делегации Монгольской Народной Республики во главе с премьер-министром маршалом Чойбалсаном, привезшей 240 вагонов подарков для солдат и офицеров Красной Армии (14852).</w:t>
      </w:r>
    </w:p>
    <w:p w14:paraId="42F45108"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31D576B6" w14:textId="77777777" w:rsidR="00473FE7"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537FB55" w14:textId="77777777" w:rsidR="00473FE7" w:rsidRPr="00722885" w:rsidRDefault="00473FE7" w:rsidP="00722885">
      <w:pPr>
        <w:pStyle w:val="Iauiue"/>
        <w:jc w:val="both"/>
        <w:rPr>
          <w:iCs/>
          <w:color w:val="000000" w:themeColor="text1"/>
          <w:sz w:val="16"/>
          <w:szCs w:val="16"/>
        </w:rPr>
      </w:pPr>
    </w:p>
    <w:p w14:paraId="2FB1D634"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6 декабря</w:t>
      </w:r>
      <w:r w:rsidRPr="00722885">
        <w:rPr>
          <w:rFonts w:ascii="Times New Roman" w:hAnsi="Times New Roman"/>
          <w:color w:val="000000" w:themeColor="text1"/>
          <w:sz w:val="16"/>
          <w:szCs w:val="16"/>
        </w:rPr>
        <w:t xml:space="preserve"> в 1942 году выступая по Лондонскому радио королева Нидерландов Вильгельмина обещала после войны созвать имперскую конференцию с участием делегатов Нидерландов, Нидерландской Индии, Гвианы и Кюрасао для обсуждения предложений о будущей структуре королевства и взаимосвязи его частей (14852).</w:t>
      </w:r>
    </w:p>
    <w:p w14:paraId="54735910"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682CA249"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35AC4CE" w14:textId="77777777" w:rsidR="00BB6316" w:rsidRPr="00722885" w:rsidRDefault="00BB6316" w:rsidP="00722885">
      <w:pPr>
        <w:pStyle w:val="Iauiue"/>
        <w:jc w:val="both"/>
        <w:rPr>
          <w:iCs/>
          <w:color w:val="000000" w:themeColor="text1"/>
          <w:sz w:val="16"/>
          <w:szCs w:val="16"/>
        </w:rPr>
      </w:pPr>
    </w:p>
    <w:p w14:paraId="1C3CD71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началу декабря 1942 П.О.С. закончил проект ДБ с 2хМ-82ФНВ и ТК-3 по форме, напоминающий Су-8 (1454,60).</w:t>
      </w:r>
    </w:p>
    <w:p w14:paraId="65149FC3" w14:textId="77777777" w:rsidR="00BB6316" w:rsidRPr="00722885" w:rsidRDefault="00BB6316" w:rsidP="00722885">
      <w:pPr>
        <w:pStyle w:val="Iauiue"/>
        <w:jc w:val="both"/>
        <w:rPr>
          <w:color w:val="000000" w:themeColor="text1"/>
          <w:sz w:val="16"/>
          <w:szCs w:val="16"/>
        </w:rPr>
      </w:pPr>
    </w:p>
    <w:p w14:paraId="6341F931"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501C894" w14:textId="77777777" w:rsidR="00BB6316" w:rsidRPr="00722885" w:rsidRDefault="00BB6316" w:rsidP="00722885">
      <w:pPr>
        <w:pStyle w:val="Iauiue"/>
        <w:jc w:val="both"/>
        <w:rPr>
          <w:iCs/>
          <w:color w:val="000000" w:themeColor="text1"/>
          <w:sz w:val="16"/>
          <w:szCs w:val="16"/>
        </w:rPr>
      </w:pPr>
    </w:p>
    <w:p w14:paraId="6078D8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декабря 1942 года на совместном совещании работников НКТП и БТУ подвергся серьезной критике и был отклонен 2-й проект командирской башенки с щелевыми приборами многократного преломления. В этом проекте:</w:t>
      </w:r>
    </w:p>
    <w:p w14:paraId="171CD8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При попадании пули в призму осколками ее должен поражаться наблюдающий;</w:t>
      </w:r>
    </w:p>
    <w:p w14:paraId="489E68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За счет многократного преломления значительно увеличивается путь прохождения луча в стекле, и поэтому происходит большая потеря видимости;</w:t>
      </w:r>
    </w:p>
    <w:p w14:paraId="001CDA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Сама призма тонка, и во время движения танка наблюдать через нее будет затруднительно. Кроме того, отверстия под призмы снижают бронестойкость башенки, а введение самих призм усложняет эксплуатацию и снабжение запчастями (12217).</w:t>
      </w:r>
    </w:p>
    <w:p w14:paraId="6DFC5FA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5EE6B9B" w14:textId="77777777" w:rsidR="00087597" w:rsidRPr="00722885" w:rsidRDefault="00087597" w:rsidP="00722885">
      <w:pPr>
        <w:pStyle w:val="ae"/>
        <w:shd w:val="clear" w:color="auto" w:fill="FFFFFF"/>
        <w:spacing w:before="0" w:after="0"/>
        <w:jc w:val="both"/>
        <w:rPr>
          <w:color w:val="000000" w:themeColor="text1"/>
          <w:sz w:val="16"/>
          <w:szCs w:val="16"/>
        </w:rPr>
      </w:pPr>
      <w:r w:rsidRPr="00722885">
        <w:rPr>
          <w:color w:val="000000" w:themeColor="text1"/>
          <w:sz w:val="16"/>
          <w:szCs w:val="16"/>
        </w:rPr>
        <w:t>К началу декабря 1942 года был готов второй опытный образец Т-80. Первым делом танк прошёл заводские испытания, в ходе которых преодолел 55 километров. Затем танк передали на НИБТ Полигон в подмосковную Кубинку. Здесь в испытаниях принимали участие: один экипаж 223-го танкового полка, уже имевший опыт эксплуатации Т-70, а также два экипажа из 30-го гвардейского танкового полка, которые имели на вооружении тяжёлые танки КВ-1с. От ГАЗ им. Молотова присутствовал Н.А. Астров, главный конструктор Т-80. Стрельба из танкового вооружения велась как с места, так и с хода. Экипаж 223-го танкового полка делал по 10 выстрелов сначала из Т-80, а затем из Т-70.</w:t>
      </w:r>
    </w:p>
    <w:p w14:paraId="26A2C465" w14:textId="77777777" w:rsidR="00087597" w:rsidRPr="00722885" w:rsidRDefault="00087597"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При стрельбе с места 10 выстрелов из орудия Т-80 были произведены за 2 минуты 45 секунд, при этом удалось добиться 6 попаданий. На Т-70 то же самое удалось сделать за 4 минуты 42 секунды, причём число попаданий сократилось до 3. При стрельбе с коротких остановок каждый танк сделал 10 выстрелов за 4 минуты 15 секунд, при этом из орудия Т-80 удалось добиться 3-х попаданий, из Т-70 – 4. Это оказалось единственной победой Т-70, в дальнейшем он заметно проигрывал.</w:t>
      </w:r>
    </w:p>
    <w:p w14:paraId="4D551B2D" w14:textId="77777777" w:rsidR="00087597" w:rsidRPr="00722885" w:rsidRDefault="00087597" w:rsidP="00722885">
      <w:pPr>
        <w:pStyle w:val="ae"/>
        <w:shd w:val="clear" w:color="auto" w:fill="FFFFFF"/>
        <w:spacing w:before="0" w:after="0"/>
        <w:jc w:val="both"/>
        <w:rPr>
          <w:color w:val="000000" w:themeColor="text1"/>
          <w:sz w:val="16"/>
          <w:szCs w:val="16"/>
        </w:rPr>
      </w:pPr>
      <w:r w:rsidRPr="00722885">
        <w:rPr>
          <w:color w:val="000000" w:themeColor="text1"/>
          <w:sz w:val="16"/>
          <w:szCs w:val="16"/>
        </w:rPr>
        <w:t>Экипажи 30-го гвардейского танкового полка показали ещё более высокие результаты. Например, второй экипаж смог с места выпустить 10 снарядов за 1 минуту 20 секунд при 10 попаданиях. С коротких остановок те же 10 выстрелов при 7 попаданиях были произведены за 2 минуты 17 секунд.</w:t>
      </w:r>
    </w:p>
    <w:p w14:paraId="550067EF" w14:textId="77777777" w:rsidR="00087597" w:rsidRPr="00722885" w:rsidRDefault="00087597" w:rsidP="00722885">
      <w:pPr>
        <w:pStyle w:val="ae"/>
        <w:shd w:val="clear" w:color="auto" w:fill="FFFFFF"/>
        <w:spacing w:before="0" w:after="0"/>
        <w:jc w:val="both"/>
        <w:rPr>
          <w:color w:val="000000" w:themeColor="text1"/>
          <w:sz w:val="16"/>
          <w:szCs w:val="16"/>
        </w:rPr>
      </w:pPr>
      <w:r w:rsidRPr="00722885">
        <w:rPr>
          <w:color w:val="000000" w:themeColor="text1"/>
          <w:sz w:val="16"/>
          <w:szCs w:val="16"/>
        </w:rPr>
        <w:t>Кроме того, эти экипажи вели заградительный огонь, отрабатывая стрельбу по самолётам. Первый экипаж сделал 10 выстрелов за 31 секунду, второй — за 37 секунд. Разумеется, у полноценной ЗСУ скорострельность была выше на порядок. С другой стороны, сконцентрированный огонь нескольких танков вполне мог создать проблемы для атакующих самолётов.</w:t>
      </w:r>
    </w:p>
    <w:p w14:paraId="0BA02CD2" w14:textId="77777777" w:rsidR="00087597" w:rsidRPr="00722885" w:rsidRDefault="00087597"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Проводились и ходовые испытания. В общей сложности Т-80 прошёл 215 километров, из которых 42 по шоссе, 60 по просёлку и 93 по лесной дороге. Средняя скорость по просёлку составила 23,8 км/ч при расходе топлива в 167 литров на 100 километров. В тяжёлых дорожных условиях средняя скорость движения падала до 12,1 км/ч, а расход топлива увеличился до 184 литров на 100 километров. При езде по косогорам машина показала себя как минимум не хуже Т-70. Испытатели высоко оценили и обзорность танка.</w:t>
      </w:r>
    </w:p>
    <w:p w14:paraId="1AE42478" w14:textId="77777777" w:rsidR="00087597" w:rsidRPr="00722885" w:rsidRDefault="00087597" w:rsidP="00722885">
      <w:pPr>
        <w:pStyle w:val="ae"/>
        <w:shd w:val="clear" w:color="auto" w:fill="FFFFFF"/>
        <w:spacing w:before="0" w:after="0"/>
        <w:jc w:val="both"/>
        <w:rPr>
          <w:color w:val="000000" w:themeColor="text1"/>
          <w:sz w:val="16"/>
          <w:szCs w:val="16"/>
        </w:rPr>
      </w:pPr>
      <w:r w:rsidRPr="00722885">
        <w:rPr>
          <w:color w:val="000000" w:themeColor="text1"/>
          <w:sz w:val="16"/>
          <w:szCs w:val="16"/>
        </w:rPr>
        <w:t>Итоги испытаний, которые закончились к 9 декабря, были очевидны. Существенными недостатками комиссия сочла только усложнение доступа к силовой установке и отсутствие взаимозаменяемости по ряду деталей у форсированного двигателя. В остальном же Т-80 явно превосходил Т-70Б. 18 декабря об итогах испытаний было доложено Сталину. 27 декабря 1942 года тот подписал постановление ГКО №2661сс «Об организации производства танка Т-80 на бывшем Мытищенском вагоностроительном заводе». Согласно документу, в апреле 1943 года в Мытищах должны были изготовить 25 танков данного типа, в мае 50, а в июне 100. О том, что новые танки будет собирать и ГАЗ им. Молотова, в постановлении ГКО ничего не говорилось. Заводское КБ обеспечивало завод №40, в который переформировали бывший завод №592, технической документацией, а также двигателями и рядом других узлов и агрегатов (17712).</w:t>
      </w:r>
    </w:p>
    <w:p w14:paraId="3D57E191" w14:textId="77777777" w:rsidR="00087597" w:rsidRPr="00722885" w:rsidRDefault="00087597" w:rsidP="00722885">
      <w:pPr>
        <w:pStyle w:val="12a"/>
        <w:shd w:val="clear" w:color="auto" w:fill="auto"/>
        <w:spacing w:after="0" w:line="240" w:lineRule="auto"/>
        <w:jc w:val="both"/>
        <w:rPr>
          <w:color w:val="000000" w:themeColor="text1"/>
          <w:sz w:val="16"/>
          <w:szCs w:val="16"/>
        </w:rPr>
      </w:pPr>
    </w:p>
    <w:p w14:paraId="6F75469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первых числах декабря 1942 был утвержден штат № 08/158, согласно которому самоходно-артиллерийский полк (САП) должен был состоять из четырех батарей (17 САУ) СУ-76 и двух (8 САУ) СУ-122 и насчитывал 307 человек. По этому штату еще до окончания года были сформированы два САП (1433-й и 1434-й), которые от</w:t>
      </w:r>
      <w:r w:rsidRPr="00722885">
        <w:rPr>
          <w:rFonts w:ascii="Times New Roman" w:hAnsi="Times New Roman"/>
          <w:color w:val="000000" w:themeColor="text1"/>
          <w:sz w:val="16"/>
          <w:szCs w:val="16"/>
        </w:rPr>
        <w:softHyphen/>
        <w:t>правились на Волховский фронт. Вместе с полками на фронт выехала также комиссия НКТП под руководством С.А.Гинзбурга. После обучения воинских команд оба самоходно-артиллерийских полка вступили в бои по подготовке деблокады Ленинграда.</w:t>
      </w:r>
    </w:p>
    <w:p w14:paraId="0121598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Первые боевые испытания длились недолго — десять дней, в ходе которых была отработана наиболее удачная так</w:t>
      </w:r>
      <w:r w:rsidRPr="00722885">
        <w:rPr>
          <w:rFonts w:ascii="Times New Roman" w:hAnsi="Times New Roman"/>
          <w:color w:val="000000" w:themeColor="text1"/>
          <w:sz w:val="16"/>
          <w:szCs w:val="16"/>
        </w:rPr>
        <w:softHyphen/>
        <w:t>тика поддержки наступающих пехотных и танковых подраз</w:t>
      </w:r>
      <w:r w:rsidRPr="00722885">
        <w:rPr>
          <w:rFonts w:ascii="Times New Roman" w:hAnsi="Times New Roman"/>
          <w:color w:val="000000" w:themeColor="text1"/>
          <w:sz w:val="16"/>
          <w:szCs w:val="16"/>
        </w:rPr>
        <w:softHyphen/>
        <w:t>делений. Тактика заключалась в том, что самоходы, двигаясь позади наступающих пехотных цепей или танков на расстоя</w:t>
      </w:r>
      <w:r w:rsidRPr="00722885">
        <w:rPr>
          <w:rFonts w:ascii="Times New Roman" w:hAnsi="Times New Roman"/>
          <w:color w:val="000000" w:themeColor="text1"/>
          <w:sz w:val="16"/>
          <w:szCs w:val="16"/>
        </w:rPr>
        <w:softHyphen/>
        <w:t>нии 300—600 м, подавляли огнем с остановок обнаруженные огневые точки, а после прорыва линии обороны охраняли наступающие порядки от контратак вражеских танков.</w:t>
      </w:r>
    </w:p>
    <w:p w14:paraId="77739D7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Стрелять с закрытых позиций самоходам приходилось очень редко, так как в условиях неподвижного фронта вой</w:t>
      </w:r>
      <w:r w:rsidRPr="00722885">
        <w:rPr>
          <w:rFonts w:ascii="Times New Roman" w:hAnsi="Times New Roman"/>
          <w:color w:val="000000" w:themeColor="text1"/>
          <w:sz w:val="16"/>
          <w:szCs w:val="16"/>
        </w:rPr>
        <w:softHyphen/>
        <w:t>ска вполне обходились имевшейся в наличии более деше</w:t>
      </w:r>
      <w:r w:rsidRPr="00722885">
        <w:rPr>
          <w:rFonts w:ascii="Times New Roman" w:hAnsi="Times New Roman"/>
          <w:color w:val="000000" w:themeColor="text1"/>
          <w:sz w:val="16"/>
          <w:szCs w:val="16"/>
        </w:rPr>
        <w:softHyphen/>
        <w:t>вой дивизионной артиллерией.</w:t>
      </w:r>
    </w:p>
    <w:p w14:paraId="296D35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завершении первых десяти дней войсковых будней заводские команды были большей частью сменены фронтовыми экипажами, и самоходки включились в плановые бои, которые прошли 13—15 февраля около Смердыни.</w:t>
      </w:r>
    </w:p>
    <w:p w14:paraId="5DAD2F2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образцовое выполнение заданий командования Уралмашзаводу и бригаде специалистов была объявлена благодарность. Водитель-испытатель завода Болдырев, участвовавший в боевой операции, был награжден меда</w:t>
      </w:r>
      <w:r w:rsidRPr="00722885">
        <w:rPr>
          <w:rFonts w:ascii="Times New Roman" w:hAnsi="Times New Roman"/>
          <w:color w:val="000000" w:themeColor="text1"/>
          <w:sz w:val="16"/>
          <w:szCs w:val="16"/>
        </w:rPr>
        <w:softHyphen/>
        <w:t>лью «За боевые заслуги».</w:t>
      </w:r>
    </w:p>
    <w:p w14:paraId="57F5DF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Активно применявшиеся СУ-122 вызвали массу поло</w:t>
      </w:r>
      <w:r w:rsidRPr="00722885">
        <w:rPr>
          <w:rFonts w:ascii="Times New Roman" w:hAnsi="Times New Roman"/>
          <w:color w:val="000000" w:themeColor="text1"/>
          <w:sz w:val="16"/>
          <w:szCs w:val="16"/>
        </w:rPr>
        <w:softHyphen/>
        <w:t>жительных отзывов, однако опыт войсковой эксплуатации выявил множество пожеланий к совершенствованию уст</w:t>
      </w:r>
      <w:r w:rsidRPr="00722885">
        <w:rPr>
          <w:rFonts w:ascii="Times New Roman" w:hAnsi="Times New Roman"/>
          <w:color w:val="000000" w:themeColor="text1"/>
          <w:sz w:val="16"/>
          <w:szCs w:val="16"/>
        </w:rPr>
        <w:softHyphen/>
        <w:t>ройства САУ. Во-первых, большой размер казенной части орудия М-30 и значительная длина отката усугубляли тес</w:t>
      </w:r>
      <w:r w:rsidRPr="00722885">
        <w:rPr>
          <w:rFonts w:ascii="Times New Roman" w:hAnsi="Times New Roman"/>
          <w:color w:val="000000" w:themeColor="text1"/>
          <w:sz w:val="16"/>
          <w:szCs w:val="16"/>
        </w:rPr>
        <w:softHyphen/>
        <w:t>ноту боевого отделения и не позволяли увеличить бое</w:t>
      </w:r>
      <w:r w:rsidRPr="00722885">
        <w:rPr>
          <w:rFonts w:ascii="Times New Roman" w:hAnsi="Times New Roman"/>
          <w:color w:val="000000" w:themeColor="text1"/>
          <w:sz w:val="16"/>
          <w:szCs w:val="16"/>
        </w:rPr>
        <w:softHyphen/>
        <w:t>комплект, который для боя считался недостаточным (28-30 выстрелов у первых СУ-122).</w:t>
      </w:r>
    </w:p>
    <w:p w14:paraId="0E9D5A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СУ-76 в этом отношении повезло значительно меньше. Практически все легкие САУ обоих полков в ходе боевых действий на разное время выходили из строя, при</w:t>
      </w:r>
      <w:r w:rsidRPr="00722885">
        <w:rPr>
          <w:rFonts w:ascii="Times New Roman" w:hAnsi="Times New Roman"/>
          <w:color w:val="000000" w:themeColor="text1"/>
          <w:sz w:val="16"/>
          <w:szCs w:val="16"/>
        </w:rPr>
        <w:softHyphen/>
        <w:t>чем вследствие одной и той же причины — поломок КПП и главных валов, которые не выдерживали эксплуатации в условиях глубокого снега.</w:t>
      </w:r>
    </w:p>
    <w:p w14:paraId="45AF39B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комиссии НКТП инженер-полковник С.А. Гинзбург высказал предположение, что все машины имеют какой-то конструктивный дефект. Выпуск СУ-76 требовалось остановить.</w:t>
      </w:r>
    </w:p>
    <w:p w14:paraId="6E44E8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 решение привело к тому, что запланированные для участия в летней кампании 30 создаваемых САП могли ос</w:t>
      </w:r>
      <w:r w:rsidRPr="00722885">
        <w:rPr>
          <w:rFonts w:ascii="Times New Roman" w:hAnsi="Times New Roman"/>
          <w:color w:val="000000" w:themeColor="text1"/>
          <w:sz w:val="16"/>
          <w:szCs w:val="16"/>
        </w:rPr>
        <w:softHyphen/>
        <w:t>таться без материальной части.</w:t>
      </w:r>
    </w:p>
    <w:p w14:paraId="64A3244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этих условиях предложение завода № 592 о развора-чивании серийного производства СУ-122 на шасси тро</w:t>
      </w:r>
      <w:r w:rsidRPr="00722885">
        <w:rPr>
          <w:rFonts w:ascii="Times New Roman" w:hAnsi="Times New Roman"/>
          <w:color w:val="000000" w:themeColor="text1"/>
          <w:sz w:val="16"/>
          <w:szCs w:val="16"/>
        </w:rPr>
        <w:softHyphen/>
        <w:t>фейного 20-тонного танка не требовалось, тогда как вы</w:t>
      </w:r>
      <w:r w:rsidRPr="00722885">
        <w:rPr>
          <w:rFonts w:ascii="Times New Roman" w:hAnsi="Times New Roman"/>
          <w:color w:val="000000" w:themeColor="text1"/>
          <w:sz w:val="16"/>
          <w:szCs w:val="16"/>
        </w:rPr>
        <w:softHyphen/>
        <w:t>пуск СУ-76 был под угрозой срыва. Поэтому КБ заводов № 592 (НКВ) и № 37 (НКТП) было дано задание спешно перепроектировать СГ-122 (Т-Ш) в штурмовую САУ, во</w:t>
      </w:r>
      <w:r w:rsidRPr="00722885">
        <w:rPr>
          <w:rFonts w:ascii="Times New Roman" w:hAnsi="Times New Roman"/>
          <w:color w:val="000000" w:themeColor="text1"/>
          <w:sz w:val="16"/>
          <w:szCs w:val="16"/>
        </w:rPr>
        <w:softHyphen/>
        <w:t>оруженную 76,2-мм пушкой.</w:t>
      </w:r>
    </w:p>
    <w:p w14:paraId="61B4DB0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поскольку реально удельный выпуск СУ-122 превышал таковой же для машин класса СУ-76 (ко</w:t>
      </w:r>
      <w:r w:rsidRPr="00722885">
        <w:rPr>
          <w:rFonts w:ascii="Times New Roman" w:hAnsi="Times New Roman"/>
          <w:color w:val="000000" w:themeColor="text1"/>
          <w:sz w:val="16"/>
          <w:szCs w:val="16"/>
        </w:rPr>
        <w:softHyphen/>
        <w:t>торые обладали дефектом), штат № 08/158 был пересмотрен. Теперь САП должен был состоять из пяти батарей, каж</w:t>
      </w:r>
      <w:r w:rsidRPr="00722885">
        <w:rPr>
          <w:rFonts w:ascii="Times New Roman" w:hAnsi="Times New Roman"/>
          <w:color w:val="000000" w:themeColor="text1"/>
          <w:sz w:val="16"/>
          <w:szCs w:val="16"/>
        </w:rPr>
        <w:softHyphen/>
        <w:t>дая по 4 орудия, в том числе 3 батареи — СУ-122 и 2 СУ-76 при общей численности 289 человек. Такая организация бы</w:t>
      </w:r>
      <w:r w:rsidRPr="00722885">
        <w:rPr>
          <w:rFonts w:ascii="Times New Roman" w:hAnsi="Times New Roman"/>
          <w:color w:val="000000" w:themeColor="text1"/>
          <w:sz w:val="16"/>
          <w:szCs w:val="16"/>
        </w:rPr>
        <w:softHyphen/>
        <w:t>ла закреплена за штатом № 08/191, принятым в начале 1943 г. Так как выяснилось, что для грамотной эксплуатации САУ не пригодны «чистые танкисты», впрочем, как и спе</w:t>
      </w:r>
      <w:r w:rsidRPr="00722885">
        <w:rPr>
          <w:rFonts w:ascii="Times New Roman" w:hAnsi="Times New Roman"/>
          <w:color w:val="000000" w:themeColor="text1"/>
          <w:sz w:val="16"/>
          <w:szCs w:val="16"/>
        </w:rPr>
        <w:softHyphen/>
        <w:t>циалисты по буксируемой артиллерии, то на одно из важ</w:t>
      </w:r>
      <w:r w:rsidRPr="00722885">
        <w:rPr>
          <w:rFonts w:ascii="Times New Roman" w:hAnsi="Times New Roman"/>
          <w:color w:val="000000" w:themeColor="text1"/>
          <w:sz w:val="16"/>
          <w:szCs w:val="16"/>
        </w:rPr>
        <w:softHyphen/>
        <w:t>нейших мест всплыл вопрос обучения личного состава. По</w:t>
      </w:r>
      <w:r w:rsidRPr="00722885">
        <w:rPr>
          <w:rFonts w:ascii="Times New Roman" w:hAnsi="Times New Roman"/>
          <w:color w:val="000000" w:themeColor="text1"/>
          <w:sz w:val="16"/>
          <w:szCs w:val="16"/>
        </w:rPr>
        <w:softHyphen/>
        <w:t>этому еще до готовности «линейных САУ» в пос. Клязьма Московской области был открыт учебный центр самоход</w:t>
      </w:r>
      <w:r w:rsidRPr="00722885">
        <w:rPr>
          <w:rFonts w:ascii="Times New Roman" w:hAnsi="Times New Roman"/>
          <w:color w:val="000000" w:themeColor="text1"/>
          <w:sz w:val="16"/>
          <w:szCs w:val="16"/>
        </w:rPr>
        <w:softHyphen/>
        <w:t>ной артиллерии № 1, куда в феврале 1943 г. поступили ма</w:t>
      </w:r>
      <w:r w:rsidRPr="00722885">
        <w:rPr>
          <w:rFonts w:ascii="Times New Roman" w:hAnsi="Times New Roman"/>
          <w:color w:val="000000" w:themeColor="text1"/>
          <w:sz w:val="16"/>
          <w:szCs w:val="16"/>
        </w:rPr>
        <w:softHyphen/>
        <w:t>шины СУ-122(А) и трофейные САУ. Центр был подчинен управлению формирований главного управления команду</w:t>
      </w:r>
      <w:r w:rsidRPr="00722885">
        <w:rPr>
          <w:rFonts w:ascii="Times New Roman" w:hAnsi="Times New Roman"/>
          <w:color w:val="000000" w:themeColor="text1"/>
          <w:sz w:val="16"/>
          <w:szCs w:val="16"/>
        </w:rPr>
        <w:softHyphen/>
        <w:t>ющего артиллерией Красной Армии до осени 1943 г. (11417).</w:t>
      </w:r>
    </w:p>
    <w:p w14:paraId="72430D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156D6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начале декабря 1942 г. был выведен из строя завод, поставлявший для ЗИС-5В рулевые колеса с пластмассовым ободом. Директор ЗИСа И. А. Лихачев распорядился через три дня спроектировать и </w:t>
      </w:r>
      <w:r w:rsidRPr="00722885">
        <w:rPr>
          <w:rStyle w:val="a7"/>
          <w:rFonts w:ascii="Times New Roman" w:hAnsi="Times New Roman"/>
          <w:b w:val="0"/>
          <w:bCs w:val="0"/>
          <w:color w:val="000000" w:themeColor="text1"/>
          <w:sz w:val="16"/>
          <w:szCs w:val="16"/>
        </w:rPr>
        <w:t>освоить производством</w:t>
      </w:r>
      <w:r w:rsidRPr="00722885">
        <w:rPr>
          <w:rFonts w:ascii="Times New Roman" w:hAnsi="Times New Roman"/>
          <w:color w:val="000000" w:themeColor="text1"/>
          <w:sz w:val="16"/>
          <w:szCs w:val="16"/>
        </w:rPr>
        <w:t xml:space="preserve"> другое рулевое колесо с деревянной обшивкой. За одну ночь были сделаны его рабочие чертежи, изготовлен образец. Через три дня из ворот завода уже выходили грузовики с деревянными рулевыми колесами (12098).</w:t>
      </w:r>
    </w:p>
    <w:p w14:paraId="4B6CDF3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ABB8BEF"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7F41295" w14:textId="77777777" w:rsidR="00BB6316" w:rsidRPr="00722885" w:rsidRDefault="00BB6316" w:rsidP="00722885">
      <w:pPr>
        <w:pStyle w:val="Iauiue"/>
        <w:jc w:val="both"/>
        <w:rPr>
          <w:iCs/>
          <w:color w:val="000000" w:themeColor="text1"/>
          <w:sz w:val="16"/>
          <w:szCs w:val="16"/>
        </w:rPr>
      </w:pPr>
    </w:p>
    <w:p w14:paraId="6979D84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начале декабря 1942 начались летные испытания безмоторных Fi-103 (1087,27).</w:t>
      </w:r>
    </w:p>
    <w:p w14:paraId="026A5F2E" w14:textId="77777777" w:rsidR="00BB6316" w:rsidRPr="00722885" w:rsidRDefault="00BB6316" w:rsidP="00722885">
      <w:pPr>
        <w:pStyle w:val="Iauiue"/>
        <w:jc w:val="both"/>
        <w:rPr>
          <w:color w:val="000000" w:themeColor="text1"/>
          <w:sz w:val="16"/>
          <w:szCs w:val="16"/>
        </w:rPr>
      </w:pPr>
    </w:p>
    <w:p w14:paraId="45D21D3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декабря 1942 г. состоялся экспериментальный пуск планера FZG-76 (без двигателя) с самолета Фокке-Вульф РМ 200, а 24 декабря V-! была впервые успешно запущена с катапуль</w:t>
      </w:r>
      <w:r w:rsidRPr="00722885">
        <w:rPr>
          <w:rFonts w:ascii="Times New Roman" w:hAnsi="Times New Roman"/>
          <w:color w:val="000000" w:themeColor="text1"/>
          <w:sz w:val="16"/>
          <w:szCs w:val="16"/>
        </w:rPr>
        <w:softHyphen/>
        <w:t>ты на полигоне Пенемюнде-Вест на дальность около 2,7 км (10791).</w:t>
      </w:r>
    </w:p>
    <w:p w14:paraId="28B76E9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01B979D"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В начале декабря 1942 г . был запущен первый (безмоторный) образец </w:t>
      </w:r>
      <w:r w:rsidRPr="00722885">
        <w:rPr>
          <w:i w:val="0"/>
          <w:iCs w:val="0"/>
          <w:color w:val="000000" w:themeColor="text1"/>
          <w:spacing w:val="0"/>
          <w:kern w:val="0"/>
          <w:position w:val="0"/>
          <w:sz w:val="16"/>
          <w:szCs w:val="16"/>
          <w:lang w:val="en-US"/>
        </w:rPr>
        <w:t>V</w:t>
      </w:r>
      <w:r w:rsidRPr="00722885">
        <w:rPr>
          <w:i w:val="0"/>
          <w:iCs w:val="0"/>
          <w:color w:val="000000" w:themeColor="text1"/>
          <w:spacing w:val="0"/>
          <w:kern w:val="0"/>
          <w:position w:val="0"/>
          <w:sz w:val="16"/>
          <w:szCs w:val="16"/>
        </w:rPr>
        <w:t>-1 с самолета FW 200 «Кондор» на испытательном полигоне Пеенемюнде - Вест, а первый катапультируемый запуск был осуществлен в день сочельника. Корпус ракеты создавался Робертом Луссером (который был включен и в работу над Р.1065 Мессершмидта) и Вилли Финдлером. Разработка заняла 18 месяцев. В ходе испытаний было выпущено в той или иной форме, видимо, около 350 ракет. Сначала испытания проходили не слишком гладко. Ситуация осложнялась необходимостью испытывать все компоненты в собранном виде, что затрудняло обнаружение дефектов в отдельных элементах конструкции, но в конечном итоге как узлы наиболее серьезных проблем были определены устройство воздухозаборника и подачи топлива, и когда они были заново продуманы, то баллистическая бомба стала более управляемой. Однако летала она значительно медленнее, чем планировалось, со скоростью около 600 км/ч , что делало ее уязвимой для перехвата существующими самолетами-истребителями. В результате была разработана срочная программа усовершенствования модели «Фау-1»: как путем увеличения тяги двигателей «Аргус» 109-014 (например, с помощью впрыскивания азотной кислоты в камеру сгорания), так и путем замены его более мощным, таким как 109-044 или турбореактивным «Порше» 109-005. Оба последних развивали статическую тягу в 500 кг . К концу войны экспериментальные модели летали со скоростью в 800 км/ч . К этому времени они сталкивались уже с гораздо более скоростными перехватчиками, такими, как реактивный «Метеор» фирмы «Глостер», который одержал свою первую победу в бою 4 августа 1944 г ., когда разрушил ракету «Фау-1», зацепив ее сверху за конец крыла, чтобы дестабилизировать полет. Этот маневр был не столь рискованным, как может показаться. Он представлялся более предпочтительным, чем сбивать летящие бомбы снарядом с близкого расстояния, что сопровождалось бы риском катастрофы для самого перехватчика. Вообще же ракеты «Фау-1» были гораздо более легко поражаемой целью для наземных орудий, поскольку летели по прямой и равномерно, на постоянной скорости. Большее их число было сбито именно с земли» (11561).</w:t>
      </w:r>
    </w:p>
    <w:p w14:paraId="5D94314F" w14:textId="77777777" w:rsidR="00BB6316" w:rsidRPr="00722885" w:rsidRDefault="00BB6316" w:rsidP="00722885">
      <w:pPr>
        <w:pStyle w:val="afff2"/>
        <w:jc w:val="both"/>
        <w:rPr>
          <w:i w:val="0"/>
          <w:iCs w:val="0"/>
          <w:color w:val="000000" w:themeColor="text1"/>
          <w:spacing w:val="0"/>
          <w:kern w:val="0"/>
          <w:position w:val="0"/>
          <w:sz w:val="16"/>
          <w:szCs w:val="16"/>
        </w:rPr>
      </w:pPr>
    </w:p>
    <w:p w14:paraId="19348449" w14:textId="77777777" w:rsidR="006340FE" w:rsidRPr="00722885" w:rsidRDefault="006340FE"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В начале декабря 1942 г. начались лётные испытания безмоторных вариантов самолёта-снаряда, сбрасываемых в планерном режиме с четырёхмоторного Фокке-Вульф </w:t>
      </w:r>
      <w:r w:rsidRPr="00722885">
        <w:rPr>
          <w:rFonts w:ascii="Times New Roman" w:cs="Times New Roman"/>
          <w:color w:val="000000" w:themeColor="text1"/>
          <w:spacing w:val="0"/>
          <w:sz w:val="16"/>
          <w:szCs w:val="16"/>
          <w:lang w:val="en-US"/>
        </w:rPr>
        <w:t>FW</w:t>
      </w:r>
      <w:r w:rsidRPr="00722885">
        <w:rPr>
          <w:rFonts w:ascii="Times New Roman" w:cs="Times New Roman"/>
          <w:color w:val="000000" w:themeColor="text1"/>
          <w:spacing w:val="0"/>
          <w:sz w:val="16"/>
          <w:szCs w:val="16"/>
        </w:rPr>
        <w:t>-200, 24 декабря в Пенемюнде состоялся первый пуск аппарата с ПуВРД Дальнейший ход испытаний позволил в июле 1943 г. приступить к формированию первой боевой части, вооруженной самолётами-снарядами — так называемого «103-го зенитного артиллерийского</w:t>
      </w:r>
      <w:r w:rsidRPr="00722885">
        <w:rPr>
          <w:rStyle w:val="aff6"/>
          <w:rFonts w:ascii="Times New Roman" w:eastAsia="Arial Narrow" w:hAnsi="Times New Roman" w:cs="Times New Roman"/>
          <w:i w:val="0"/>
          <w:color w:val="000000" w:themeColor="text1"/>
          <w:spacing w:val="0"/>
        </w:rPr>
        <w:t xml:space="preserve"> полка» и</w:t>
      </w:r>
      <w:r w:rsidRPr="00722885">
        <w:rPr>
          <w:rFonts w:ascii="Times New Roman" w:cs="Times New Roman"/>
          <w:color w:val="000000" w:themeColor="text1"/>
          <w:spacing w:val="0"/>
          <w:sz w:val="16"/>
          <w:szCs w:val="16"/>
        </w:rPr>
        <w:t xml:space="preserve"> обучению его личного состава, а затем и к стро</w:t>
      </w:r>
      <w:r w:rsidRPr="00722885">
        <w:rPr>
          <w:rFonts w:ascii="Times New Roman" w:cs="Times New Roman"/>
          <w:color w:val="000000" w:themeColor="text1"/>
          <w:spacing w:val="0"/>
          <w:sz w:val="16"/>
          <w:szCs w:val="16"/>
        </w:rPr>
        <w:softHyphen/>
        <w:t>ительству катапультных устройств, направленных на Лондон. Первый самолёт-снаряд, получивший от министра пропаганды Геббельса третье, наиболее известное наимено</w:t>
      </w:r>
      <w:r w:rsidRPr="00722885">
        <w:rPr>
          <w:rFonts w:ascii="Times New Roman" w:cs="Times New Roman"/>
          <w:color w:val="000000" w:themeColor="text1"/>
          <w:spacing w:val="0"/>
          <w:sz w:val="16"/>
          <w:szCs w:val="16"/>
        </w:rPr>
        <w:softHyphen/>
        <w:t xml:space="preserve">вание — </w:t>
      </w:r>
      <w:r w:rsidRPr="00722885">
        <w:rPr>
          <w:rFonts w:ascii="Times New Roman" w:cs="Times New Roman"/>
          <w:color w:val="000000" w:themeColor="text1"/>
          <w:spacing w:val="0"/>
          <w:sz w:val="16"/>
          <w:szCs w:val="16"/>
          <w:lang w:val="en-US"/>
        </w:rPr>
        <w:t>V</w:t>
      </w:r>
      <w:r w:rsidRPr="00722885">
        <w:rPr>
          <w:rFonts w:ascii="Times New Roman" w:cs="Times New Roman"/>
          <w:color w:val="000000" w:themeColor="text1"/>
          <w:spacing w:val="0"/>
          <w:sz w:val="16"/>
          <w:szCs w:val="16"/>
        </w:rPr>
        <w:t>-1 (от «</w:t>
      </w:r>
      <w:r w:rsidRPr="00722885">
        <w:rPr>
          <w:rFonts w:ascii="Times New Roman" w:cs="Times New Roman"/>
          <w:color w:val="000000" w:themeColor="text1"/>
          <w:spacing w:val="0"/>
          <w:sz w:val="16"/>
          <w:szCs w:val="16"/>
          <w:lang w:val="en-US"/>
        </w:rPr>
        <w:t>Vergeltungwaffe</w:t>
      </w:r>
      <w:r w:rsidRPr="00722885">
        <w:rPr>
          <w:rFonts w:ascii="Times New Roman" w:cs="Times New Roman"/>
          <w:color w:val="000000" w:themeColor="text1"/>
          <w:spacing w:val="0"/>
          <w:sz w:val="16"/>
          <w:szCs w:val="16"/>
        </w:rPr>
        <w:t>» — оружие возмездия, в русской транскрипции — Фау-1), спикировал на английскую столицу 14 июня 1944 г. Интенсивность воздушных ударов достигла максимума 2 августа 1944 г., когда с 38 катапультных установок запу</w:t>
      </w:r>
      <w:r w:rsidRPr="00722885">
        <w:rPr>
          <w:rFonts w:ascii="Times New Roman" w:cs="Times New Roman"/>
          <w:color w:val="000000" w:themeColor="text1"/>
          <w:spacing w:val="0"/>
          <w:sz w:val="16"/>
          <w:szCs w:val="16"/>
        </w:rPr>
        <w:softHyphen/>
        <w:t>стили 316 самолётов-снарядов (15790).</w:t>
      </w:r>
    </w:p>
    <w:p w14:paraId="0EC39D2B" w14:textId="77777777" w:rsidR="006340FE" w:rsidRPr="00722885" w:rsidRDefault="006340FE" w:rsidP="00722885">
      <w:pPr>
        <w:pStyle w:val="36"/>
        <w:shd w:val="clear" w:color="auto" w:fill="auto"/>
        <w:spacing w:after="0" w:line="240" w:lineRule="auto"/>
        <w:jc w:val="both"/>
        <w:rPr>
          <w:rFonts w:ascii="Times New Roman" w:cs="Times New Roman"/>
          <w:color w:val="000000" w:themeColor="text1"/>
          <w:spacing w:val="0"/>
          <w:sz w:val="16"/>
          <w:szCs w:val="16"/>
        </w:rPr>
      </w:pPr>
    </w:p>
    <w:p w14:paraId="01713A6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FD9B18B" w14:textId="77777777" w:rsidR="00BB6316" w:rsidRPr="00722885" w:rsidRDefault="00BB6316" w:rsidP="00722885">
      <w:pPr>
        <w:pStyle w:val="Iauiue"/>
        <w:jc w:val="both"/>
        <w:rPr>
          <w:iCs/>
          <w:color w:val="000000" w:themeColor="text1"/>
          <w:sz w:val="16"/>
          <w:szCs w:val="16"/>
        </w:rPr>
      </w:pPr>
    </w:p>
    <w:p w14:paraId="0D7D099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 декабря 1942 Зам наркома ВМФ Галлер писал А.И.Ш. и зам. нач. ВМФ Андрееву, а также нач. МТУ ВМФ Шибаеву письмо N 132562с:</w:t>
      </w:r>
    </w:p>
    <w:p w14:paraId="10E516F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"Приказом наркома ВМФ N 00338 от 6 октября 1942 на вооружение морской авиации ВМФ принят прицел для низкого торпедометания ПТН-42 улучшающий ТТД низкого торпедометания.</w:t>
      </w:r>
    </w:p>
    <w:p w14:paraId="3FAE849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связи с разработкой и проектированием ОКБ завода 240 самолета Ил-6 в варианте торпедоносца прошу вас учесть при проектировании установку ПТН-42 на Ил-6." (1858,41).</w:t>
      </w:r>
    </w:p>
    <w:p w14:paraId="2520F7DC" w14:textId="77777777" w:rsidR="00BB6316" w:rsidRPr="00722885" w:rsidRDefault="00BB6316" w:rsidP="00722885">
      <w:pPr>
        <w:pStyle w:val="Iauiue"/>
        <w:jc w:val="both"/>
        <w:rPr>
          <w:color w:val="000000" w:themeColor="text1"/>
          <w:sz w:val="16"/>
          <w:szCs w:val="16"/>
        </w:rPr>
      </w:pPr>
    </w:p>
    <w:p w14:paraId="7CD1817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 декабря 1942 ГКО СССР принял постановление об организации Северной трессы Англия - Бологое или Чудово для перегона 100 бомбардировщиков Албимал-1, переоборудованных в транспортные машины и работу поручили ГУ ГВФ. Сформировали 9 экипажей (35 чел.) и оперативную группу под руководством гш м-ра И.И.Коконина (7485, 28).</w:t>
      </w:r>
    </w:p>
    <w:p w14:paraId="0C5FDA0B" w14:textId="77777777" w:rsidR="00BB6316" w:rsidRPr="00722885" w:rsidRDefault="00BB6316" w:rsidP="00722885">
      <w:pPr>
        <w:pStyle w:val="Iauiue"/>
        <w:jc w:val="both"/>
        <w:rPr>
          <w:color w:val="000000" w:themeColor="text1"/>
          <w:sz w:val="16"/>
          <w:szCs w:val="16"/>
        </w:rPr>
      </w:pPr>
    </w:p>
    <w:p w14:paraId="543C93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декабря 1942 вышло Постановление ГКО № 2591 О перегонке из Англии в СССР самолетов "Абермаль-1". РГАНИР, Фонд ГКО, д. 72, лл. 96 (11012).</w:t>
      </w:r>
    </w:p>
    <w:p w14:paraId="32F5E4A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E5210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декабря 1942 г. инженер-пилот И.Ф. Коваленко, ст. инженер МАГ0Н П.В. Бубнов, ст. технолог ЦАРБ Лахов в гидропорте о. Молокова (Красноярск, КАРЗ) составили акт о техниче</w:t>
      </w:r>
      <w:r w:rsidRPr="00722885">
        <w:rPr>
          <w:rFonts w:ascii="Times New Roman" w:hAnsi="Times New Roman"/>
          <w:color w:val="000000" w:themeColor="text1"/>
          <w:sz w:val="16"/>
          <w:szCs w:val="16"/>
        </w:rPr>
        <w:softHyphen/>
        <w:t>ском состоянии самолета Дорнье «Валь» СССР- Н239 Московской авиагруппы ОН УПА ГУСМП. Согласно ему, машина имела 2 средних и 5 ка- премонтов. С 1938 г. по 1942 г. ежегодно проходила заводской капремонт. Из-за них вес увеличился до 4850 кг. Полная нагрузка сни</w:t>
      </w:r>
      <w:r w:rsidRPr="00722885">
        <w:rPr>
          <w:rFonts w:ascii="Times New Roman" w:hAnsi="Times New Roman"/>
          <w:color w:val="000000" w:themeColor="text1"/>
          <w:sz w:val="16"/>
          <w:szCs w:val="16"/>
        </w:rPr>
        <w:softHyphen/>
        <w:t>зилась до 2150 кг. (комерческая - 550 кг.). Потолок - до 2100 м. Гидро- и аэродинамиче</w:t>
      </w:r>
      <w:r w:rsidRPr="00722885">
        <w:rPr>
          <w:rFonts w:ascii="Times New Roman" w:hAnsi="Times New Roman"/>
          <w:color w:val="000000" w:themeColor="text1"/>
          <w:sz w:val="16"/>
          <w:szCs w:val="16"/>
        </w:rPr>
        <w:softHyphen/>
        <w:t xml:space="preserve">ские свойства снизились. Набор высоты при V пред.=125 км/ч. Пилотирование затруднено. Самолет налетал за </w:t>
      </w:r>
      <w:r w:rsidRPr="00722885">
        <w:rPr>
          <w:rFonts w:ascii="Times New Roman" w:hAnsi="Times New Roman"/>
          <w:color w:val="000000" w:themeColor="text1"/>
          <w:sz w:val="16"/>
          <w:szCs w:val="16"/>
        </w:rPr>
        <w:lastRenderedPageBreak/>
        <w:t>время эксплуатации 2098 ч. По техсостоянию пришел в ветхость из-за большого срока эксплуатации (14-лет). Ремонт признали нерентабельным. Приказом по ГУСМП № Р-181 от 26.12.42 г. самолет списали и исключили из списков само- летно-моторного паркаУПА. [РГАЭ, 9570-2-267] (11977).</w:t>
      </w:r>
    </w:p>
    <w:p w14:paraId="4D3F52D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15AB756"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03829EB" w14:textId="77777777" w:rsidR="00BB6316" w:rsidRPr="00722885" w:rsidRDefault="00BB6316" w:rsidP="00722885">
      <w:pPr>
        <w:pStyle w:val="Iauiue"/>
        <w:jc w:val="both"/>
        <w:rPr>
          <w:iCs/>
          <w:color w:val="000000" w:themeColor="text1"/>
          <w:sz w:val="16"/>
          <w:szCs w:val="16"/>
        </w:rPr>
      </w:pPr>
    </w:p>
    <w:p w14:paraId="65AD07BE"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7 декабря 1942 года И.В.С. подписал постановление ГКО №2594сс, согласно которому завод №112 выпускал к 1 марта 1943 года указанное число экранированных машин. Изготовили их весной 1943 года.</w:t>
      </w:r>
    </w:p>
    <w:p w14:paraId="3A0EE907"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Построенные машины поступили на вооружение 139-го и 198-го танковых полков. По распоряжению командующего бронетанковыми и механизированными войсками Красной армии №064 от 9 июня 1943 года, машины были отправлены на фронт для испытаний в боевых условиях. Части, оснащённые экранированными Т-34, попали в состав 41-й танковой бригады 5-го танкового корпуса и 111-й танковой бригады 25-го танкового корпуса. В 139-м танковом полку имелся 21 Т-34, экранированный по первому варианту, а также 11 Т-34 с экранировкой второго варианта. В 198-й танковый полк попало два танка с первым вариантом экранировки, 12 — со вторым, а также 18 Т-34 завода №112 безо всякой экранировки (18883).</w:t>
      </w:r>
    </w:p>
    <w:p w14:paraId="690E85AF" w14:textId="77777777" w:rsidR="00F97688" w:rsidRPr="00722885" w:rsidRDefault="00F97688" w:rsidP="00722885">
      <w:pPr>
        <w:spacing w:after="0" w:line="240" w:lineRule="auto"/>
        <w:jc w:val="both"/>
        <w:rPr>
          <w:rFonts w:ascii="Times New Roman" w:eastAsia="Times New Roman" w:hAnsi="Times New Roman"/>
          <w:color w:val="000000" w:themeColor="text1"/>
          <w:sz w:val="16"/>
          <w:szCs w:val="16"/>
          <w:lang w:eastAsia="ru-RU"/>
        </w:rPr>
      </w:pPr>
    </w:p>
    <w:p w14:paraId="6D2B8A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декабря 1942 вышло Распоряжение ГКО № 2587 О выделении мазута заводам НКТП и Горьковскому автозаводу. РГАНИР, Фонд ГКО, д. 72, лл. 90, 91 (11012).</w:t>
      </w:r>
    </w:p>
    <w:p w14:paraId="3A5DE72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F78B5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декабря 1942 вышло Распоряжение ГКО № 2588. О лимитах отпуска электроэнергии заводам НКТП и Горьковскому автозаводу. РГАНИР, Фонд ГКО, д. 72, лл. 92 (11012).</w:t>
      </w:r>
    </w:p>
    <w:p w14:paraId="14CB778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CB583BB"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7 декабря 1942 вышло Постановление ГКО № 2595 Об общем плане погрузки народнохозяйственных и воинских грузов на декабрь 1942 года. (7066, 100).</w:t>
      </w:r>
    </w:p>
    <w:p w14:paraId="3A8B8948" w14:textId="77777777" w:rsidR="00BB6316" w:rsidRPr="00722885" w:rsidRDefault="00BB6316" w:rsidP="00722885">
      <w:pPr>
        <w:pStyle w:val="Iauiue"/>
        <w:tabs>
          <w:tab w:val="left" w:pos="11199"/>
        </w:tabs>
        <w:jc w:val="both"/>
        <w:rPr>
          <w:color w:val="000000" w:themeColor="text1"/>
          <w:sz w:val="16"/>
          <w:szCs w:val="16"/>
        </w:rPr>
      </w:pPr>
    </w:p>
    <w:p w14:paraId="161E5B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декабря 1942 вышло Распоряжение ГКО № 2590. О расширении специального конструкторского бюро НКСП и его задачах. РГАНИР, Фонд ГКО, д. 72, лл. 95 (11012).</w:t>
      </w:r>
    </w:p>
    <w:p w14:paraId="25AF275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B849F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декабря 1942г. в соответствии с распоряжением ГКО № 2590 в состав СКБ влито СКБ завода № 706 НКСП с его тематикой.</w:t>
      </w:r>
    </w:p>
    <w:p w14:paraId="39E9BC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Первой разработкой была система шумопеленгования для самонаводящейся акустической торпеды, затем в годы войны создана большая гамма приборов для КА и ВМФ.</w:t>
      </w:r>
    </w:p>
    <w:p w14:paraId="56F0E033" w14:textId="77777777" w:rsidR="00473FE7"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 концу 1942 г. СКБ НКСП, созданное 1 апреля 1942 г. в соответствии с пост. ГКО № 1521 для проектирования, изготовления и испытаний торпед и мин акустического действия, начало работать. Разместилось СКБ на 2-м этаже главного корпуса НИИ-10. Первыми сотрудниками стали В.А. Поликарпов, Г.М. Клементьев, М.К. Розин, К.А. Санников,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Ужевский, В.П. Кузнецов. В 05-06.1942г. сюда реэвакуирована и переведена часть конструкторов с завода № 205; в 07.1942г. переведена группа специалистов по гироскопической тематике из НИИ-10; в 08- 09.1942г. переведены кадры с заводов № 215 и № 231; в 10-11.1942г. в СКБ влилась большая группа специалистов КБ Ленинградского завода «Электроприбор», эвакуированного в Москву. 13.06.1945г. организован Ленинградский филиал СКБ НКСП (с 1949г.- НИИ-303 МСП).</w:t>
      </w:r>
    </w:p>
    <w:p w14:paraId="71D5E7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1946г. СКБ МСП преобразовано в МНИИ-1 (Морской НИИ № 1 (МНИИ-1) МСП,</w:t>
      </w:r>
      <w:r w:rsidRPr="00722885">
        <w:rPr>
          <w:rFonts w:ascii="Times New Roman" w:hAnsi="Times New Roman"/>
          <w:smallCaps/>
          <w:color w:val="000000" w:themeColor="text1"/>
          <w:sz w:val="16"/>
          <w:szCs w:val="16"/>
        </w:rPr>
        <w:t xml:space="preserve"> скб</w:t>
      </w:r>
      <w:r w:rsidRPr="00722885">
        <w:rPr>
          <w:rFonts w:ascii="Times New Roman" w:hAnsi="Times New Roman"/>
          <w:color w:val="000000" w:themeColor="text1"/>
          <w:sz w:val="16"/>
          <w:szCs w:val="16"/>
        </w:rPr>
        <w:t xml:space="preserve"> нксп, мсп, п/я 3100, Центральный морской НИИ (ЦМНИИ), ЦНИИ «Агат» МСП, Г-4677, НПО «Агат», ГУП, ФГУП «НПО «Агат» /г. Москва ул. Авиамоторная, 51 А/, /105275 г. Москва ш. Энтузиастов, 29/53 тел. 673-40-63/)</w:t>
      </w:r>
    </w:p>
    <w:p w14:paraId="3627DD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Имел наименование «п/я 3100». В 1948г. институту передано здание фабрики-кухни по Центральному проезду (в 2000-е г. - это вторая площадка предприятия по ул. Авиамоторной, 51А). Корпус был надстроен и введен в строй в 1957(2)г. В 1952г. завершены работы по организации ОП на переданном институту заводе № 932 (ул. Сосенская). После этого помещения, занимаемые в НИИ-10, были освобождены.</w:t>
      </w:r>
    </w:p>
    <w:p w14:paraId="326F3F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r w:rsidRPr="00722885">
        <w:rPr>
          <w:rFonts w:ascii="Times New Roman" w:hAnsi="Times New Roman"/>
          <w:color w:val="000000" w:themeColor="text1"/>
          <w:sz w:val="16"/>
          <w:szCs w:val="16"/>
          <w:vertAlign w:val="superscript"/>
        </w:rPr>
        <w:t xml:space="preserve">9: </w:t>
      </w:r>
      <w:r w:rsidRPr="00722885">
        <w:rPr>
          <w:rFonts w:ascii="Times New Roman" w:hAnsi="Times New Roman"/>
          <w:color w:val="000000" w:themeColor="text1"/>
          <w:sz w:val="16"/>
          <w:szCs w:val="16"/>
        </w:rPr>
        <w:t>Разработка приборов управления стрельбой (ПУС) надводных кораблей. В соответствии с ПСМ №2361-Г124сс от 25.11.1954г. ПУС «Сфера-50» пнв.</w:t>
      </w:r>
    </w:p>
    <w:p w14:paraId="70D40C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11F63E7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института имелись проектно-конструкторский, лабораторно-исследовательский отделы, экспериментальный цех.</w:t>
      </w:r>
    </w:p>
    <w:p w14:paraId="2EC6D5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1950-е г. институт начал привлекаться к разработке РЛ систем. По приказу МСП от 31.12.1955г. ему поручена разработка счетно-решающей части и антенного поста системы «Барс», а в 1957г.- системы «Рысь». В 1955-59г. созданы первые корабельные СУ стрельбой крылатыми ракетами.</w:t>
      </w:r>
    </w:p>
    <w:p w14:paraId="1CFDA9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1952г. из МНИИ-1 в КБ завода № 782 МСП переведена группа специалистов во главе с В.Н. Егоровым.</w:t>
      </w:r>
    </w:p>
    <w:p w14:paraId="4A6E89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1954-55г. начаты, впервые в отрасли, НИР в области разработки цифровой вычислительной техники. Начата разработка теории создания СУ стрельбой ракетным оружием.</w:t>
      </w:r>
    </w:p>
    <w:p w14:paraId="0D9632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1959г. начата разработка первой в стране мобильной ЭВМ 5Э89 («Курс-1») для обработки РЛ информации станций П-35 и «Алтай». Строилась серийно в 1962-87г. В 1960 г. создана первая отечественная система «Кадр» цифрового программного управления наведением антенн АДУ-1000 ЦЦКС.</w:t>
      </w:r>
    </w:p>
    <w:p w14:paraId="562114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1957г. начаты работы по новому направлению- системы управления и защиты (СУЗ) атомных энергетических установок для ПЛ (Е.К. Беляков, С.В. Кузьмин).</w:t>
      </w:r>
    </w:p>
    <w:p w14:paraId="4E1457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начала 1960-х г. основное направление деятельности института - разработка цифровой вычислительной техники для ВМФ. Институт стал головным по этому направлению. В 1958г. начата разработка автоматизированной системы обмена информацией между кораблями «Море-У» и первой отечественной БИУС для крейсеров пр. 1123 «Корень». В 1962-65г. создана первая морская ЭВМ «Море» для системы «Море-У»; в 1960-67г.- первая БИУС «Туча» для АПЛ пр.667А. Далее институт специализировался на БИУС для ПЛ.</w:t>
      </w:r>
    </w:p>
    <w:p w14:paraId="7D7B92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1962г. разрабатывалась автоматизированная система ПВО «Колос-1126», затем с прекращением строительства корабля пр. 1126 работы свернуты.</w:t>
      </w:r>
    </w:p>
    <w:p w14:paraId="08A585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1960-х г. созданы системы наведения антенн дальней радиосвязи для КА «Союз», «Салют», «Луна», «Марс», «Зонд», «Венера-5», «Венера-6».</w:t>
      </w:r>
    </w:p>
    <w:p w14:paraId="510CBA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1960-е г. институт стал головным по ЭВМ и системам управления для МСП.</w:t>
      </w:r>
    </w:p>
    <w:p w14:paraId="705A18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1962г. были построены и введены в эксплуатацию новые корпуса для производственно-технических, лабораторно-исследовательских и вспомогательных подразделений с ОП. В 1972г. введен в строй лабораторно- производственный корпус площадью 13,5 тыс.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 1989г. введен в строй еще один лабораторно- производственный корпус площадью 8 тыс.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4B6C07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1961 г. создан филиал на Ульяновском машиностроительном заводе им. Володарского (далее- НИИ «Марс»). Создан Ереванский филиал института, ориентированный на разработку тренажерной техники.</w:t>
      </w:r>
    </w:p>
    <w:p w14:paraId="0A5C27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1966г. МНИИ-1 переименован в ЦМНИИ с филиалами в Ульяновске и Ереване, с В 1971 г. ЦМНИИ переименован в ЦНИИ «Агат». Имел наименование «предприятие- п/я Г-4677». В 1977г. на базе ЦНИИ создано НПО «Агат», в которое вошли также опытный завод «Агат», завод «Базальт» и Ереванский филиал ЦНИИ «Агат». В начале 1990-х г. завод «Базальт» и Ереванский филиал вышли из состава НПО. В 1998г. НПО «Агат» преобразовано в ГУП, а затем- в ФГУП «НПО «Агат».</w:t>
      </w:r>
    </w:p>
    <w:p w14:paraId="0C59F3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осени 1974г. начаты работы по программе «Звезда» (перевооружения ВМФ новыми ГАС) в части аппаратной поддержки пространственно-временной обработки (Парфенов, Романьянс).</w:t>
      </w:r>
    </w:p>
    <w:p w14:paraId="71D0F3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1974-83г. в институте велось серийное производство БИУС дня кораблей 3-го поколения.</w:t>
      </w:r>
    </w:p>
    <w:p w14:paraId="782056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Направления работ (1978г.): разработка: БИУС для всех классов ПЛ; корабельных цифровых ВС для управления стрельбой БР и КР; базовых средств ВТ; комплексных тактических учебно-тренировочных средств; СУЗ ЯЭУ. Институт являлся головным по разработке базовых средств ВТ. Проведены исследования по созданию унифицированных конструкций приборов, блоков и электронных модулей по программам «ПросэМ», «Единство», «Прогресс», «Изящество».</w:t>
      </w:r>
    </w:p>
    <w:p w14:paraId="0BA2C6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института- испытательная база, позволяющая проводить все категории испытаний РЭА массой</w:t>
      </w:r>
    </w:p>
    <w:p w14:paraId="7EB7A5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2 т.</w:t>
      </w:r>
    </w:p>
    <w:p w14:paraId="6649B3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Работы (2005г.): БИУС и СУО для ПЛ </w:t>
      </w:r>
      <w:r w:rsidRPr="00722885">
        <w:rPr>
          <w:rFonts w:ascii="Times New Roman" w:hAnsi="Times New Roman"/>
          <w:color w:val="000000" w:themeColor="text1"/>
          <w:sz w:val="16"/>
          <w:szCs w:val="16"/>
          <w:lang w:val="en-US"/>
        </w:rPr>
        <w:t>IV</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ro</w:t>
      </w:r>
      <w:r w:rsidRPr="00722885">
        <w:rPr>
          <w:rFonts w:ascii="Times New Roman" w:hAnsi="Times New Roman"/>
          <w:color w:val="000000" w:themeColor="text1"/>
          <w:sz w:val="16"/>
          <w:szCs w:val="16"/>
        </w:rPr>
        <w:t xml:space="preserve"> поколения; ОКР «Клен-85КСТ» по разработке системы комплексирования тренажеров и учебно-тренировочных систем для ПЛ пр. «Ясень» и «Борей»; ОКР по разработке ЦВМ «Багет-73»; разработка медицинских микротонов, систем планирования лучевой терапии.</w:t>
      </w:r>
    </w:p>
    <w:p w14:paraId="348864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(1.01.1958г.)- 2296 чел.</w:t>
      </w:r>
    </w:p>
    <w:p w14:paraId="6F899D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 (04.1942-52г.)- А.А. Розанов, (1952-60 г.)- Д.В. Чувилин, (1960-72г.)- Г.А. Астахов. Директор (1972- 93г.)- А.А. Мошков. Гендиректор (1993-94г.)- В.Н. Карпов, (1994-2003г.)-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Касьян, (10.2003-05г.-)- Е.С. Новиков.</w:t>
      </w:r>
    </w:p>
    <w:p w14:paraId="0D6755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гендиректора (-2000-03г.)- Е.С. Новиков. Зам. начальника (1943-44г.)- Н.А. Федоров. Зам. гендиректора (2002г.)- В.Н. Карпов.</w:t>
      </w:r>
    </w:p>
    <w:p w14:paraId="505173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 конструктор (2005г.)- Е.С. Новиков.</w:t>
      </w:r>
    </w:p>
    <w:p w14:paraId="5FCAC9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 конструктор морских информационных систем и комплексов (2005г.)- Е.С. Новиков.</w:t>
      </w:r>
      <w:r w:rsidRPr="00722885">
        <w:rPr>
          <w:rFonts w:ascii="Times New Roman" w:hAnsi="Times New Roman"/>
          <w:color w:val="000000" w:themeColor="text1"/>
          <w:sz w:val="16"/>
          <w:szCs w:val="16"/>
          <w:vertAlign w:val="superscript"/>
        </w:rPr>
        <w:t>101</w:t>
      </w:r>
    </w:p>
    <w:p w14:paraId="018F05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Научный руководитель (1952-60 г.)- Д.В. Чувилин.</w:t>
      </w:r>
      <w:r w:rsidRPr="00722885">
        <w:rPr>
          <w:rFonts w:ascii="Times New Roman" w:hAnsi="Times New Roman"/>
          <w:color w:val="000000" w:themeColor="text1"/>
          <w:sz w:val="16"/>
          <w:szCs w:val="16"/>
          <w:vertAlign w:val="superscript"/>
        </w:rPr>
        <w:t>103</w:t>
      </w:r>
    </w:p>
    <w:p w14:paraId="66D133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инженера (-1969г.)- Б.С. Сыромятников.</w:t>
      </w:r>
    </w:p>
    <w:p w14:paraId="02A8A8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 (-1982г.)- Н.Д. Кретинин.</w:t>
      </w:r>
    </w:p>
    <w:p w14:paraId="1B5F76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отделений: (2003г.)- В. Романчиков, И.Ф. Попов, А.А. Сорокин.</w:t>
      </w:r>
    </w:p>
    <w:p w14:paraId="385378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отделения: (-1982г.)- Н.Д. Кретинин.</w:t>
      </w:r>
    </w:p>
    <w:p w14:paraId="753C2A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Гл. конструкторы: (1949г.)- А.Э. Атомвьян (СТО-С-53), (1950-е)- К.А. Санников («Кипарис»),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xml:space="preserve">. Левин («Кипарис»), (1950-е)- М.А. Зерницкий («Тополь»), (1950-е)- А.А. Мошков («Клен»), (1958г.)- Е.Д. Егоров («Море-У»), (-1958-68г.-)- В.З. Абрамов («Корень»), (1959г.)- ЯЛ. Хетагуров («Курс»), (-1962-65г.-)- Ю.И. Абрамов («Море»), Е.Д. Лапыгин, В.И. Рыжков, (1967г.)- </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 Вельский (БИУС «Туча»), (1967г.)- И.Ф. Мусатов (ЭВМ «Туча»), (1960-е)- А.К. Заволокин (ЦВМ «Корень»), (1960-е)- Г.П. Мищенко (ЦВМ ближней надводной обстановки БИУС «Корень»), (1970-е)- М.В. Власов (ЭВМ отображения), (1976г.)- В.В. Малишевский («Атака»), (1977г.)- Г.Д. Соснин («Арка»), (-1979-83г.-)- Н.С. Парфенов («Напев», «Айлама»), (1983г.)- И.Ф. Попов («Акация»), (2000-е)- Е.С. Новиков (3</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-14</w:t>
      </w:r>
      <w:r w:rsidRPr="00722885">
        <w:rPr>
          <w:rFonts w:ascii="Times New Roman" w:hAnsi="Times New Roman"/>
          <w:color w:val="000000" w:themeColor="text1"/>
          <w:sz w:val="16"/>
          <w:szCs w:val="16"/>
          <w:lang w:val="en-US"/>
        </w:rPr>
        <w:t>H</w:t>
      </w:r>
      <w:r w:rsidRPr="00722885">
        <w:rPr>
          <w:rFonts w:ascii="Times New Roman" w:hAnsi="Times New Roman"/>
          <w:color w:val="000000" w:themeColor="text1"/>
          <w:sz w:val="16"/>
          <w:szCs w:val="16"/>
        </w:rPr>
        <w:t>-11356).</w:t>
      </w:r>
    </w:p>
    <w:p w14:paraId="203541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1-й зам. гл. конструктора (1960-е)- Н.И. Воронцова. Зам. гл. конструкторов: (1959г.)- З.Ш. Либуркин («Барс»), (1961 г.)- В.Г. Тодуров («Море»), (1960-е)- Е.К. Юферова (ЦВМ «Корень»), (1960-е)-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Борискин («Корень»), (1960-е)- И.П. Бровиков («Корень»), (1960-е)- В.М. Воробьев («Корень»), (1960-е)- И.Н. Воронцов («Корень»), (1960-е)- В.В. Воротников («Корень»), (1960-е)- А.Ф. Зайдеман («Корень»), (1960-е)- К.М. Нагибин («Корень»), (1960-е)- М.С. Померанцев («Корень»), (1960-е)- А.В. Серебряков («Корень»), (1960-е)- М.П. Смелянский («Корень»), (1960-е)- В.А. Соколова («Корень»), (1960-е)- В.Ф. Тараев («Корень»), (1960-е)- В.Т. Хавтаси («Корень»).</w:t>
      </w:r>
    </w:p>
    <w:p w14:paraId="362D7FA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(1943-47г.)- В.И. Кузнецов, (1960-74г.)- А.А. Папернов.</w:t>
      </w:r>
    </w:p>
    <w:p w14:paraId="0A86E9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секторов: (2003г.)- В. Морозов. Начальник информационно-аналитического центра (2002г.)- В. Кошелев.</w:t>
      </w:r>
    </w:p>
    <w:p w14:paraId="74B8F0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(1966г.-)- Б.С. Сыромятников.</w:t>
      </w:r>
    </w:p>
    <w:p w14:paraId="75F9BF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гирокомпасы «Курс-5», «Амур», «Маяк» (ВОВ); стабилизатор танковой пушки СТП-С-53 (тема «Таран», 1944); первый отечественный навигационный комплекс «Плутон-629» для ПЛ пр. 629; морские и речные мины (ВОВ); система шумопеленгования торпеды САТ-53-38 (ВОВ); СПН и СВП для РЛС «Якорь» (1949), счетно-решающий прибор и система стабилизации для РЛС «Барс» (1950-е); СУ стрельбой: артиллерии: МПУАЗО для мобилизуемых кораблей гражданского флота, «ПУС-МБК» для бронекатеров (ВОВ), автономные башенные ТСБ-</w:t>
      </w:r>
      <w:r w:rsidRPr="00722885">
        <w:rPr>
          <w:rFonts w:ascii="Times New Roman" w:hAnsi="Times New Roman"/>
          <w:color w:val="000000" w:themeColor="text1"/>
          <w:sz w:val="16"/>
          <w:szCs w:val="16"/>
          <w:lang w:val="en-US"/>
        </w:rPr>
        <w:t>I</w:t>
      </w:r>
      <w:r w:rsidRPr="00722885">
        <w:rPr>
          <w:rFonts w:ascii="Times New Roman" w:hAnsi="Times New Roman"/>
          <w:color w:val="000000" w:themeColor="text1"/>
          <w:sz w:val="16"/>
          <w:szCs w:val="16"/>
        </w:rPr>
        <w:t>, ТСБ-И, «Мина-ЗОбис», «Мина-2см», «Мина-КК», «Зенит-41, -42, -68бис», «Сфера-50» для пр. 50 (пнв 25.11.1954г.), «Сфера-52, -56», «Зона-50»; торпедной (ПУТС) «Сталинград-2Т-68бис» для пр. 68бис (пнв в 1953г.); для КР: «Кипарис» (1950-е), «Тополь» (1950-е), «Клен» для П-15 (1950-е), «Альфа-3» для комплекса Д-9 (1973), цифровая «Акация» для КР «Гранат» (1983), «Альт» для комплекса Д-19, «Арбат» для Д-9РМ (1986); ЭВМ: мобильная «Курс-1» 5Э89 (1962), корабельная «Море» (1965), ЦВМ «Корень» (1960-е), «Туча» (1967), «Азов», специализированная МВМ-012 «Атака» (1976), «Арфа» для ЗРК «Клинок» (прибор «189», 1977), «Напев» (1979), БС ЦВТ «Единство», ПЭВМ «Нева»; корабельные ЦВС «Альфа», «Диана», «Атолл», «Альт», «Арбат»,</w:t>
      </w:r>
    </w:p>
    <w:p w14:paraId="094326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комплекса «Булава-30» (2005); система «Кадр» (1960); автоматизированная система обмена информацией «Море- У» (1960-е), «Аллея-1» (1960-е); БИУС: «Корень» для пр. 1123 (1968), «Корень-1134» для пр. 1134 (1971), «Туча» для АЛЛ пр. 667А (1967), «Алмаз» для АПЛ П-го поколения, «Омнибус» для АЛЛ Ш-го поколения; СУ стрельбой КР «Акация», 3</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-14</w:t>
      </w:r>
      <w:r w:rsidRPr="00722885">
        <w:rPr>
          <w:rFonts w:ascii="Times New Roman" w:hAnsi="Times New Roman"/>
          <w:color w:val="000000" w:themeColor="text1"/>
          <w:sz w:val="16"/>
          <w:szCs w:val="16"/>
          <w:lang w:val="en-US"/>
        </w:rPr>
        <w:t>H</w:t>
      </w:r>
      <w:r w:rsidRPr="00722885">
        <w:rPr>
          <w:rFonts w:ascii="Times New Roman" w:hAnsi="Times New Roman"/>
          <w:color w:val="000000" w:themeColor="text1"/>
          <w:sz w:val="16"/>
          <w:szCs w:val="16"/>
        </w:rPr>
        <w:t>-11356 для "</w:t>
      </w:r>
      <w:r w:rsidRPr="00722885">
        <w:rPr>
          <w:rFonts w:ascii="Times New Roman" w:hAnsi="Times New Roman"/>
          <w:color w:val="000000" w:themeColor="text1"/>
          <w:sz w:val="16"/>
          <w:szCs w:val="16"/>
          <w:lang w:val="en-US"/>
        </w:rPr>
        <w:t>Club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N</w:t>
      </w:r>
      <w:r w:rsidRPr="00722885">
        <w:rPr>
          <w:rFonts w:ascii="Times New Roman" w:hAnsi="Times New Roman"/>
          <w:color w:val="000000" w:themeColor="text1"/>
          <w:sz w:val="16"/>
          <w:szCs w:val="16"/>
        </w:rPr>
        <w:t>", для "</w:t>
      </w:r>
      <w:r w:rsidRPr="00722885">
        <w:rPr>
          <w:rFonts w:ascii="Times New Roman" w:hAnsi="Times New Roman"/>
          <w:color w:val="000000" w:themeColor="text1"/>
          <w:sz w:val="16"/>
          <w:szCs w:val="16"/>
          <w:lang w:val="en-US"/>
        </w:rPr>
        <w:t>Club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S</w:t>
      </w:r>
      <w:r w:rsidRPr="00722885">
        <w:rPr>
          <w:rFonts w:ascii="Times New Roman" w:hAnsi="Times New Roman"/>
          <w:color w:val="000000" w:themeColor="text1"/>
          <w:sz w:val="16"/>
          <w:szCs w:val="16"/>
        </w:rPr>
        <w:t>"; СУЗ: «Экран» для АПЛ пр. 627А, «Селигер», «Сясь», «Бриг» для ПЛ пр. 670, 671, 667А, «Алтай», «Алтай К» для ПЛ пр. 705, «Алтай КМ» для пр. 705к, «Альбаторс» для ТАРК пр. 1144, «Артек», «Артек-А», «Артек-К» для ледоколов «Ленин», «Арктика», «Сибирь», «Ямал», «Штиль» для ПЛ пр. 941, 949, 685, 971, 945; унифицированная ВС частотно-временной обработки сигналов «Айлама» для ГАС (1983); корабельная АСУ «Округ» (2005); тренажеры СУ стрельбой: «Заповедь», «Коллиматор-ИТ», ЗР-69,3</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-36 (1981-91), «Коллекция» (2005);</w:t>
      </w:r>
      <w:r w:rsidRPr="00722885">
        <w:rPr>
          <w:rFonts w:ascii="Times New Roman" w:hAnsi="Times New Roman"/>
          <w:color w:val="000000" w:themeColor="text1"/>
          <w:sz w:val="16"/>
          <w:szCs w:val="16"/>
          <w:vertAlign w:val="superscript"/>
        </w:rPr>
        <w:t>82</w:t>
      </w:r>
      <w:r w:rsidRPr="00722885">
        <w:rPr>
          <w:rFonts w:ascii="Times New Roman" w:hAnsi="Times New Roman"/>
          <w:color w:val="000000" w:themeColor="text1"/>
          <w:sz w:val="16"/>
          <w:szCs w:val="16"/>
        </w:rPr>
        <w:t xml:space="preserve"> имитатор ракеты «Имитатор-Р» (2000-е) (11982).</w:t>
      </w:r>
    </w:p>
    <w:p w14:paraId="70394C9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13CAF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декабря 1942 г. в соответствии с распоряжением ГКО № 2590 СКБ завода № 706 НКСП с его тематикой влито в состав СКБ НКСП (11982).</w:t>
      </w:r>
    </w:p>
    <w:p w14:paraId="702494C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66CEF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декабря 1942 вышло Постановление ГКО № 2592 О т.т. Хмель А.Е., Черешнюк В.И., Панкове С.И., Цареве А.В. Полякове Я.Г., Тевченкове А.Н., Лайок В.М., Крайнове П.И., Касьяненко Г.Н., Стахурском М.М., Лучко Ф.П., Петрове А.М., Багнюк А.С. и Александрове В.ДРГАНИР, Фонд ГКО, д. 72, лл. 97 (11012).</w:t>
      </w:r>
    </w:p>
    <w:p w14:paraId="5C2A5E7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07635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декабря 1942 вышло Постановление ГКО № 2593 О т.т. Телегине К.Ф., Гапановиче. РГАНИР, Фонд ГКО, д. А. РГАНИР, Фонд ГКО, д. 72, лл. 98 (11012).</w:t>
      </w:r>
    </w:p>
    <w:p w14:paraId="31F1188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94780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декабря 1942 вышло Постановление ГКО № 2594 Об экспериментальных экранированных танках Т-34 и их испытании. РГАНИР, Фонд ГКО, д. 72, лл. 99 (11012).</w:t>
      </w:r>
    </w:p>
    <w:p w14:paraId="1724754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CB367CD" w14:textId="77777777" w:rsidR="00473FE7"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9A202DB" w14:textId="77777777" w:rsidR="00473FE7" w:rsidRPr="00722885" w:rsidRDefault="00473FE7" w:rsidP="00722885">
      <w:pPr>
        <w:pStyle w:val="Iauiue"/>
        <w:jc w:val="both"/>
        <w:rPr>
          <w:iCs/>
          <w:color w:val="000000" w:themeColor="text1"/>
          <w:sz w:val="16"/>
          <w:szCs w:val="16"/>
        </w:rPr>
      </w:pPr>
    </w:p>
    <w:p w14:paraId="17546E3E"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7 декабря </w:t>
      </w:r>
      <w:r w:rsidRPr="00722885">
        <w:rPr>
          <w:rFonts w:ascii="Times New Roman" w:hAnsi="Times New Roman"/>
          <w:color w:val="000000" w:themeColor="text1"/>
          <w:sz w:val="16"/>
          <w:szCs w:val="16"/>
        </w:rPr>
        <w:t>в 1942 году утреннее сообщение Совинформбюро:</w:t>
      </w:r>
    </w:p>
    <w:p w14:paraId="1D15FC78"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течение ночи на 7 декабря в районе Сталинграда и на Центральном фронте наши войска продолжали наступление на прежних направлениях.</w:t>
      </w:r>
    </w:p>
    <w:p w14:paraId="6F83470E"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северной окраине Сталинграда наши разведывательные отряды взорвали 3 вражеских дзота и уничтожили до 60 немецких солдат и офицеров. Огнём советской артиллерии взорван склад боеприпасов и рассеяно скопление пехоты противника.</w:t>
      </w:r>
    </w:p>
    <w:p w14:paraId="1A49DE85"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отбили все контратаки противника, закреплялись на занятых рубежах и вели разведку. По дополнительным данным, в течение вчерашнего дня бойцами Н-ского соединения уничтожено ещё 800 немецких солдат и офицеров, подбито и сожжено 19 танков. Таким образом, всего за день боёв уничтожено 1.600 солдат и офицеров противника, подбито и сожжено 37 немецких танков. Наши разведывательные отряды проникли ночью на позиции противника и истребили до двух рот немецкой пехоты. Бойцы Н-ской части огнём из пехотного оружия сбили немецкий транспортный самолёт.</w:t>
      </w:r>
    </w:p>
    <w:p w14:paraId="1EEA66AA"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части на отдельных участках вели активные боевые действия. Бойцы Н-ской части выбили противника из укреплённых позиций и уничтожили 250 гитлеровцев. Захвачены 5 орудий, 21 пулемёт, 8 миномётов и радиостанция. На другом участке силами танков немцы пытались отрезать одно наше подразделение. Бронебойщики под командованием старшего лейтенанта Байдурина с близкой дистанции метким огнём подбили 4 немецких танка. Остальные танкипротивника быстро скрылись.</w:t>
      </w:r>
    </w:p>
    <w:p w14:paraId="21715323"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наступательные бои. В районе дороги Ржев—Вязьма за три дня боёв немцы потеряли убитыми до 1.000 солдат и офицеров. Уничтожены 21 вражеский танк, бронемашина, 30 орудий, 17 миномётов, 150 пулемётов, 70 автомашин и 4 склада с различным имуществом. Захвачены трофеи. В воздушных боях и огнём зенитной артиллерии сбито 15 и подбито 7 немецких самолётов. На другом участке наши войска, преодолевая упорное сопротивление противника, продвинулись вперёд и вели бои в глубине немецкой обороны.</w:t>
      </w:r>
    </w:p>
    <w:p w14:paraId="138F3538"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Курской области, за месяц боевых действий истребил 450 немецких солдат и офицеров, захватил 13 пулемётов и 120 винтовок. Группа партизан этого отряда пустила под откос 4 железнодорожных эшелона противника. В результате крушений разбито 3 паровоза, 69 вагонов иплатформ.</w:t>
      </w:r>
    </w:p>
    <w:p w14:paraId="77F94E1A"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бойцы подобрали солдата 3 роты 670 полка 371 немецкой пехотной дивизии Паулл Райсинга. У пленного обморожены ноги и правая рука. Пауль Райсинг заявил: «Наша рота до сих пор еще не получила зимнего обмундирования. Фельдфебели и унтер-офицеры каждый день инструктируют солдат, как предохранить себя от обморожения. Нам рекомендовали обвязывать сапоги тряпками, обкладывать голенища соломой, завязывать уши полотенцами. Настроение солдат очень подавленное. Они говорят: «Прошлогодняя история повторяется. Мы все околеем от холода». Чтобы приободрить солдат, недавно нам объявили, что командование учредило медаль «3а участие в зимних боях на Восточном фронте». Пока на руки выдают не медаль, а только ленточку. Ленточку получают сейчас те, кто провёл прошлую зиму на фронте. Солдаты присвоили этой медали меткое название— «Орден мороженого мяса».</w:t>
      </w:r>
    </w:p>
    <w:p w14:paraId="32363475"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учинили кровавую расправу над жителями деревень Орлово и Щёткино, Калининской области. Гитлеровские бандиты загнали всех жителей от мала до велика в несколько домов, заколотили досками, обложили соломой и подожгли. В огне сгорело 80 человек.</w:t>
      </w:r>
    </w:p>
    <w:p w14:paraId="64872D77"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Получены новые сообщения о волнениях среди немецких войск в Норвегии. В Нарвике один немецкий батальон отказался стрелять в осуждённых к смертной казни немецких солдат и офицеров. Гестаповцы разоружили батальон и арестовали всех солдат. Шведская печать сообщает, что за последнее время произведены многочисленные аресты в немецких отрядах, занятых на строительстве укреплений в Норвегии.» (14853).</w:t>
      </w:r>
    </w:p>
    <w:p w14:paraId="30E81A94"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53506C44"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7 декабря </w:t>
      </w:r>
      <w:r w:rsidRPr="00722885">
        <w:rPr>
          <w:rFonts w:ascii="Times New Roman" w:hAnsi="Times New Roman"/>
          <w:color w:val="000000" w:themeColor="text1"/>
          <w:sz w:val="16"/>
          <w:szCs w:val="16"/>
        </w:rPr>
        <w:t>в 1942 году вечернее сообщение Совинформбюро:</w:t>
      </w:r>
    </w:p>
    <w:p w14:paraId="4F565800"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7 декабря наши войска в районе Сталинграда и на Центральном фронте продолжали вести наступательные бои на прежних направлениях.</w:t>
      </w:r>
    </w:p>
    <w:p w14:paraId="3E7AD609"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действуя мелкими группами, блокировали и уничтожали укрепления противника. Взорвано 6 дзотов и 3 блиндажа вместе с их гарнизонами. На другом участке огнём нашей артиллерии уничтожено 7 пулемётных точек, 2 миномётные батареи и до роты гитлеровцев.</w:t>
      </w:r>
    </w:p>
    <w:p w14:paraId="0971EF8A"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левом берегу реки Дон, наши войска отражали контратаки пехоты и танков противника.</w:t>
      </w:r>
    </w:p>
    <w:p w14:paraId="72FF338F"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бесплодных попыток вернуть потерянные накануне позиции враг понёс большие потери в людях и технике. На одном участке советские части уничтожили свыше 500 гитлеровцев, сожгли 10 и подбили 14 немецких танков. На другом участке уничтожено свыше роты немецких солдат и офицеров.</w:t>
      </w:r>
    </w:p>
    <w:p w14:paraId="4369D828"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укрепляли занимаемые позиции и вели разведку. Подразделение старшего лейтенанта Ремизова истребило 140 немецких солдат и офицеров, уничтожило танк, 5 автомашин и разрушило 2 дзота. На другом участке бойцы Н-ской части отбили контратаку немцев, уничтожив при этом до 200 гитлеровцев. Захвачены 2 противотанковых орудия, 18 пулемётов, 7 миномётов, 40 автоматов, винтовки и патроны.</w:t>
      </w:r>
    </w:p>
    <w:p w14:paraId="4E963CE3"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Центральном фронте наши войска, отражая контратаки противника, продвигались вперёд. В районе западнее Ржева советские части выбили немцев из двух опорных пунктов. Батальон пехоты и 15 танков противника предприняли контратаку, но были отброшены. На поле боя осталось много вражеских трупов и 2 разбитых танка. Провалилась контратака немцев и на другом участке, где они пытались вернуть один укреплённый пункт. Ожесточённый бой продолжался весь день. К вечеру </w:t>
      </w:r>
      <w:r w:rsidRPr="00722885">
        <w:rPr>
          <w:rFonts w:ascii="Times New Roman" w:hAnsi="Times New Roman"/>
          <w:color w:val="000000" w:themeColor="text1"/>
          <w:sz w:val="16"/>
          <w:szCs w:val="16"/>
        </w:rPr>
        <w:lastRenderedPageBreak/>
        <w:t>противник, потеряв убитыми около 200 солдат и офицеров и 7 подбитых танков, был вынужден отойти. Наши бойцы захватили танк, 7 орудий, 18 пулемётов и другое вооружение.</w:t>
      </w:r>
    </w:p>
    <w:p w14:paraId="74AABFCE"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немцам ценой больших потерь удалось потеснить наше подразделение и занять населённый пункт. Советские бойцы контратакой выбили противника из населённого пункта и, преследуя его, заняли ещё два населённых пункта. В результате трёхдневных боёв на этом участке немцы потеряли убитыми и ранеными до 800 солдат и офицеров.</w:t>
      </w:r>
    </w:p>
    <w:p w14:paraId="558D3EE4"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крымских партизан в конце ноября пустил под откос вражеский железнодорожный эшелон. Разбиты паровоз, 19 платформ с военной техникой, пульмановский вагон и 8 теплушек с войсками противника.</w:t>
      </w:r>
    </w:p>
    <w:p w14:paraId="26B290D0"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1 полка 4 итальянской альпийской дивизии «Кунеэзе» АнтониоАстеджияно рассказал: «Когда нам объявили, что получен приказ выступить на советско-германский фронт, из строя раздались крики: «Нам нечего делать в России!», «Пусть немцы воюют сами!». Перед отъездом солдаты переломали в казармах кровати и столы, перебили стёкла, изорвали портреты Муссолини. На фронте недовольство не только не улеглось, а, напротив, ещё больше усилилось. Особенно большое беспокойство вызывают в последнее время сведения о поражении немецко-итальянских войск в Ливии и о бомбардировках итальянских городов. Многие солдаты считают, что война началась по вине немцев и из-за них льётся здесь наша кровь. Немцы же принесли несчастье и позор на нашу родину. Выходит, что немцы нас предали и обрекли на смерть».</w:t>
      </w:r>
    </w:p>
    <w:p w14:paraId="2B6A4931"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Колхозницы Клавдия Астрашова и Мария Капустина из освобожденной от немецких захватчиков деревни Соколово, Великолуцкого района, Калининской области, рассказали: «Гитлеровские душегубы убили и замучили в нашей деревне многих односельчан, сожгли почти все дома и постройки. Колхозника Степана Валдаева немецкие разбойники застрелили из автомата в его избе. Палачи убили Клавдию Солдатёнкову и её трёх детей, Евдокию Соколову, Анастасию Калинину и её двух малолетних детей. Словами нельзя выразить горя, которое они нам принесли. Когда-то говорили, что немцы — культурные люди. Теперь мы знаем, что это не люди, а фашистские дикие звери, которые убивают старого и малого» (14853).</w:t>
      </w:r>
    </w:p>
    <w:p w14:paraId="2786972C"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71623990"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декабря 1942 вышло Постановление ГКО № 2589 О реорганизации Главного автобронетанкового управления Красной Армии. РГАНИР, Фонд ГКО, д. 72, лл. 93-94 (11012).</w:t>
      </w:r>
    </w:p>
    <w:p w14:paraId="60474D8F"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2A7757B8"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F6CEF7B" w14:textId="77777777" w:rsidR="00BB6316" w:rsidRPr="00722885" w:rsidRDefault="00BB6316" w:rsidP="00722885">
      <w:pPr>
        <w:pStyle w:val="Iauiue"/>
        <w:jc w:val="both"/>
        <w:rPr>
          <w:iCs/>
          <w:color w:val="000000" w:themeColor="text1"/>
          <w:sz w:val="16"/>
          <w:szCs w:val="16"/>
        </w:rPr>
      </w:pPr>
    </w:p>
    <w:p w14:paraId="512C2005" w14:textId="77777777" w:rsidR="00473FE7" w:rsidRPr="00722885" w:rsidRDefault="00473FE7" w:rsidP="00722885">
      <w:pPr>
        <w:pStyle w:val="Iauiue"/>
        <w:jc w:val="both"/>
        <w:rPr>
          <w:color w:val="000000" w:themeColor="text1"/>
          <w:sz w:val="16"/>
          <w:szCs w:val="16"/>
        </w:rPr>
      </w:pPr>
      <w:r w:rsidRPr="00722885">
        <w:rPr>
          <w:color w:val="000000" w:themeColor="text1"/>
          <w:sz w:val="16"/>
          <w:szCs w:val="16"/>
        </w:rPr>
        <w:t>7 декабря 1942 совершил первый полет первый прототип Кингкобры ХР-63 (1020).</w:t>
      </w:r>
    </w:p>
    <w:p w14:paraId="24D52D98" w14:textId="77777777" w:rsidR="00473FE7" w:rsidRPr="00722885" w:rsidRDefault="00473FE7" w:rsidP="00722885">
      <w:pPr>
        <w:pStyle w:val="Iauiue"/>
        <w:jc w:val="both"/>
        <w:rPr>
          <w:color w:val="000000" w:themeColor="text1"/>
          <w:sz w:val="16"/>
          <w:szCs w:val="16"/>
        </w:rPr>
      </w:pPr>
    </w:p>
    <w:p w14:paraId="2142E887"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7 декабря </w:t>
      </w:r>
      <w:r w:rsidRPr="00722885">
        <w:rPr>
          <w:rFonts w:ascii="Times New Roman" w:hAnsi="Times New Roman"/>
          <w:color w:val="000000" w:themeColor="text1"/>
          <w:sz w:val="16"/>
          <w:szCs w:val="16"/>
        </w:rPr>
        <w:t>в 1942 году первый полет американского истребителя «Белл Р-63» «Кингкобра» (14853).</w:t>
      </w:r>
    </w:p>
    <w:p w14:paraId="1EDF4163"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16297606" w14:textId="77777777" w:rsidR="00FB28B1" w:rsidRPr="00722885" w:rsidRDefault="00FB28B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7 декабря 1942 года состоялся первый полет прототипа Bell XP-63 Kingcobra (20793).</w:t>
      </w:r>
    </w:p>
    <w:p w14:paraId="4FA172C9" w14:textId="77777777" w:rsidR="00FB28B1" w:rsidRPr="00722885" w:rsidRDefault="00FB28B1" w:rsidP="00722885">
      <w:pPr>
        <w:spacing w:after="0" w:line="240" w:lineRule="auto"/>
        <w:jc w:val="both"/>
        <w:rPr>
          <w:rFonts w:ascii="Times New Roman" w:hAnsi="Times New Roman"/>
          <w:color w:val="0070C0"/>
          <w:sz w:val="16"/>
          <w:szCs w:val="16"/>
        </w:rPr>
      </w:pPr>
    </w:p>
    <w:p w14:paraId="75DC2B3C" w14:textId="77777777" w:rsidR="00473FE7" w:rsidRPr="00722885" w:rsidRDefault="00473FE7" w:rsidP="00722885">
      <w:pPr>
        <w:pStyle w:val="Iauiue"/>
        <w:tabs>
          <w:tab w:val="left" w:pos="11199"/>
        </w:tabs>
        <w:jc w:val="both"/>
        <w:rPr>
          <w:color w:val="000000" w:themeColor="text1"/>
          <w:sz w:val="16"/>
          <w:szCs w:val="16"/>
        </w:rPr>
      </w:pPr>
      <w:r w:rsidRPr="00722885">
        <w:rPr>
          <w:color w:val="000000" w:themeColor="text1"/>
          <w:sz w:val="16"/>
          <w:szCs w:val="16"/>
        </w:rPr>
        <w:t>7 декабря 1942 в США спущен на воду самый большой в мире военный корабль - линкор “Нью-Джерси” (4962).</w:t>
      </w:r>
    </w:p>
    <w:p w14:paraId="1A738673" w14:textId="77777777" w:rsidR="00473FE7" w:rsidRPr="00722885" w:rsidRDefault="00473FE7" w:rsidP="00722885">
      <w:pPr>
        <w:pStyle w:val="Iauiue"/>
        <w:tabs>
          <w:tab w:val="left" w:pos="11199"/>
        </w:tabs>
        <w:jc w:val="both"/>
        <w:rPr>
          <w:color w:val="000000" w:themeColor="text1"/>
          <w:sz w:val="16"/>
          <w:szCs w:val="16"/>
        </w:rPr>
      </w:pPr>
    </w:p>
    <w:p w14:paraId="5CF9A1BF" w14:textId="77777777" w:rsidR="00473FE7" w:rsidRPr="00722885" w:rsidRDefault="00473FE7" w:rsidP="00722885">
      <w:pPr>
        <w:pStyle w:val="Iauiue"/>
        <w:jc w:val="both"/>
        <w:rPr>
          <w:color w:val="000000" w:themeColor="text1"/>
          <w:sz w:val="16"/>
          <w:szCs w:val="16"/>
        </w:rPr>
      </w:pPr>
      <w:r w:rsidRPr="00722885">
        <w:rPr>
          <w:color w:val="000000" w:themeColor="text1"/>
          <w:sz w:val="16"/>
          <w:szCs w:val="16"/>
        </w:rPr>
        <w:t>7 декабря 1942 спустили на воду крупнейший в истории линкор Нью Джерси (2100).</w:t>
      </w:r>
    </w:p>
    <w:p w14:paraId="6FBF1086" w14:textId="77777777" w:rsidR="00473FE7" w:rsidRPr="00722885" w:rsidRDefault="00473FE7" w:rsidP="00722885">
      <w:pPr>
        <w:pStyle w:val="Iauiue"/>
        <w:jc w:val="both"/>
        <w:rPr>
          <w:color w:val="000000" w:themeColor="text1"/>
          <w:sz w:val="16"/>
          <w:szCs w:val="16"/>
        </w:rPr>
      </w:pPr>
    </w:p>
    <w:p w14:paraId="0FE9D35A" w14:textId="77777777" w:rsidR="00473FE7" w:rsidRPr="00722885" w:rsidRDefault="00473FE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7 декабря </w:t>
      </w:r>
      <w:r w:rsidRPr="00722885">
        <w:rPr>
          <w:rFonts w:ascii="Times New Roman" w:hAnsi="Times New Roman"/>
          <w:color w:val="000000" w:themeColor="text1"/>
          <w:sz w:val="16"/>
          <w:szCs w:val="16"/>
        </w:rPr>
        <w:t>в 1942 году в США спускается на воду самый большой в мире военный корабль - линкор "Нью-Джерси" (14853).</w:t>
      </w:r>
    </w:p>
    <w:p w14:paraId="185DE21D" w14:textId="77777777" w:rsidR="00473FE7" w:rsidRPr="00722885" w:rsidRDefault="00473FE7" w:rsidP="00722885">
      <w:pPr>
        <w:spacing w:after="0" w:line="240" w:lineRule="auto"/>
        <w:jc w:val="both"/>
        <w:rPr>
          <w:rFonts w:ascii="Times New Roman" w:hAnsi="Times New Roman"/>
          <w:color w:val="000000" w:themeColor="text1"/>
          <w:sz w:val="16"/>
          <w:szCs w:val="16"/>
        </w:rPr>
      </w:pPr>
    </w:p>
    <w:p w14:paraId="64B831C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 декабря 1942 была еще одна неудачная атака тремя торпедами, управляемыми подводными пловцами и выпушенными с торгового судОльтерра, линкора Нельсон и линейного крейсера Ринаун и авианосцев Фьюриес и Формидабл. Охрану порта усилили и торпеды прорваться не смогли (3961, 50).</w:t>
      </w:r>
    </w:p>
    <w:p w14:paraId="095A5E76" w14:textId="77777777" w:rsidR="00BB6316" w:rsidRPr="00722885" w:rsidRDefault="00BB6316" w:rsidP="00722885">
      <w:pPr>
        <w:pStyle w:val="Iauiue"/>
        <w:jc w:val="both"/>
        <w:rPr>
          <w:color w:val="000000" w:themeColor="text1"/>
          <w:sz w:val="16"/>
          <w:szCs w:val="16"/>
        </w:rPr>
      </w:pPr>
    </w:p>
    <w:p w14:paraId="6AE68D10"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9BE817F" w14:textId="77777777" w:rsidR="00BB6316" w:rsidRPr="00722885" w:rsidRDefault="00BB6316" w:rsidP="00722885">
      <w:pPr>
        <w:pStyle w:val="Iauiue"/>
        <w:jc w:val="both"/>
        <w:rPr>
          <w:iCs/>
          <w:color w:val="000000" w:themeColor="text1"/>
          <w:sz w:val="16"/>
          <w:szCs w:val="16"/>
        </w:rPr>
      </w:pPr>
    </w:p>
    <w:p w14:paraId="0C7AA12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декабря 1942 Нач. управления технической эксплуатации ВВС Шульговский писал ГИ ВВС Репину перечень "Основных производственных дефектов по отдельным типам самолетов, выявленным в частях ВВС за время с 1 июля по 1 ноября 1942:</w:t>
      </w:r>
    </w:p>
    <w:p w14:paraId="578541F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Самолет Ил-2</w:t>
      </w:r>
    </w:p>
    <w:p w14:paraId="2E4070A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Срыв при пикировании фанерной обшивки верхней части крыла в местах креплений ее к набору крыла из-за недоброкачественной склейки. Катастроф - 2</w:t>
      </w:r>
    </w:p>
    <w:p w14:paraId="792F95C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Трещины складывающегося сварного подкоса шасси в местах крепления замка и в верхних шарнирных узлах креплений его к центроплану. Трещины появляются по сварке в узлах. Поломок - 1, простоев - 33</w:t>
      </w:r>
    </w:p>
    <w:p w14:paraId="3191F9F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Поломки кронштейна крепления амортизатора к стойке хвостового колеса из-за недостаточной прочности его. Поломки - 61, простои - 24</w:t>
      </w:r>
    </w:p>
    <w:p w14:paraId="482E55C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Деформация 14 рамы фюзеляжа в местах крепления узлов фермы и амортизатора хвостового колеса из-за недостаточной жесткости рамы. Аварии - 2, поломки - 8, простои - 27</w:t>
      </w:r>
    </w:p>
    <w:p w14:paraId="349CF10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Отклеивание и трещины фанеры на хвостовой части фюзеляжа. Поломки - 7, простои - 7</w:t>
      </w:r>
    </w:p>
    <w:p w14:paraId="03D8906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Разрушение подшипников колес шасси вследствие попадания пыли из-за плохого качества обтюраторов. Простои - 3</w:t>
      </w:r>
    </w:p>
    <w:p w14:paraId="2628DC5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 Разрушение подшипников хвостового колеса вследствие попадания пыли из-за плохого качества обтюраторов. Простои - 29</w:t>
      </w:r>
    </w:p>
    <w:p w14:paraId="0898F6E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Разрушение колес шасси (поломка реборд, деформация обода колес). Поломки - 1, простои - 36</w:t>
      </w:r>
    </w:p>
    <w:p w14:paraId="6F44CFD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 Разрыв тормозных камер колес шасси при рулении из-за недостаточного отвода тепла колесами при торможении. Простои - 102</w:t>
      </w:r>
    </w:p>
    <w:p w14:paraId="3DE62F5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 Заедание штока поршня механизма подъема и выпуска шасси и щитков. Простои - 9</w:t>
      </w:r>
    </w:p>
    <w:p w14:paraId="42B3EEE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Трещины в местах крепления подвески элеронов к крылу. Простои - 5</w:t>
      </w:r>
    </w:p>
    <w:p w14:paraId="0BE1183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Срезывание конусных шпилек крепления противовеса РВ. Простоев - 8</w:t>
      </w:r>
    </w:p>
    <w:p w14:paraId="556BD3D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13. Обрыв бронированного шланга управления тормозами из-за недостаточно жесткого крепления его хомутами на стойке. Простои - 7</w:t>
      </w:r>
    </w:p>
    <w:p w14:paraId="24A9FC3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14. Образование пузырьков по месту склейки бронестекла и потеря прозрачности бронестекла. Простои - 10</w:t>
      </w:r>
    </w:p>
    <w:p w14:paraId="283D135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Трещины кронштейна крепления пусковой катушки и кронштейна крепления аккумуляторов. Простои - 10</w:t>
      </w:r>
    </w:p>
    <w:p w14:paraId="4A1C7A4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16. Трещины обечайки бензобаков в местах сварки. Вынужденные посадки - 1, простои - 33</w:t>
      </w:r>
    </w:p>
    <w:p w14:paraId="418CB98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17. Течь маслорадиаторов по сотам и по обечайке вследствие недостаточной пропайки их. Простои - 29</w:t>
      </w:r>
    </w:p>
    <w:p w14:paraId="4EB777C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Трещины маслобаков по обечайке и в местах установки штуцеров по сварке. вынужденные посадки - 3, простои - 60</w:t>
      </w:r>
    </w:p>
    <w:p w14:paraId="6F7A8BB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19. течь водорадиаторов по сотам и по обечайке. Вынужденные посадки - 3, простои - 60</w:t>
      </w:r>
    </w:p>
    <w:p w14:paraId="4B4EF2C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20. Трещины трубопроводов системы охлаждения по сварному шву и на стенках труб. вынужденные посадки - 7, простои 54</w:t>
      </w:r>
    </w:p>
    <w:p w14:paraId="2EC57E1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Конструктивные и производственные недостатки, затрудняющие работу техн. состава и мешающие летчику выполнить боевые задачи</w:t>
      </w:r>
    </w:p>
    <w:p w14:paraId="6983D7A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Часто лопаются бронированные шланги тормозной системы вследствие непрочной отметки их</w:t>
      </w:r>
    </w:p>
    <w:p w14:paraId="01F4251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Рвутся масляные петрофлексы, идущие к маслорадиатору, вследствие плохого качества изготовления и плохой заделки наконечников</w:t>
      </w:r>
    </w:p>
    <w:p w14:paraId="0E3EAE0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Течь бензина из-за небрежного монтажа и плохой обработки соединений бензопроводов</w:t>
      </w:r>
    </w:p>
    <w:p w14:paraId="15A72CD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Срезаются винты крепления бронированных капотов и люков вследствие плохой подгонки и недостаточной прочности. Необходимо улучшить подгонку и усилить винты</w:t>
      </w:r>
    </w:p>
    <w:p w14:paraId="497127D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Открываются замки и обрываются петли бронелюков в полете - необходимо изменить конструкцию замков и усилить крепление петель люков</w:t>
      </w:r>
    </w:p>
    <w:p w14:paraId="1511A81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Резина, подложенная под места крепления мотора к подмоторному брусу разрывается, а фибра растрескивается</w:t>
      </w:r>
    </w:p>
    <w:p w14:paraId="6169428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 Внутри моторных капотов образуются пары бензина. Необходимо изменить систему отводу бензиновых паров наружу капотов</w:t>
      </w:r>
    </w:p>
    <w:p w14:paraId="1E2B2C2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Плохо вентилируется кабина пилотов</w:t>
      </w:r>
    </w:p>
    <w:p w14:paraId="7948F96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 На моторе перегреваются внутренние свечи из-за отсутствия вентиляции</w:t>
      </w:r>
    </w:p>
    <w:p w14:paraId="7F95CC1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 Мал зазор между гашетками пушек и пулеметов (1777,7).</w:t>
      </w:r>
    </w:p>
    <w:p w14:paraId="30C2C9F2" w14:textId="77777777" w:rsidR="00BB6316" w:rsidRPr="00722885" w:rsidRDefault="00BB6316" w:rsidP="00722885">
      <w:pPr>
        <w:pStyle w:val="Iauiue"/>
        <w:jc w:val="both"/>
        <w:rPr>
          <w:color w:val="000000" w:themeColor="text1"/>
          <w:sz w:val="16"/>
          <w:szCs w:val="16"/>
        </w:rPr>
      </w:pPr>
    </w:p>
    <w:p w14:paraId="3BCA290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8 декабря 1942 Ил-2 со стрелковой установкой под УБ 12,7 мм конструкции и изготовления завода 481, установленной ГК С.В.И., находился на ЛИС завода 30 (2179,174).</w:t>
      </w:r>
    </w:p>
    <w:p w14:paraId="55958CEC" w14:textId="77777777" w:rsidR="00BB6316" w:rsidRPr="00722885" w:rsidRDefault="00BB6316" w:rsidP="00722885">
      <w:pPr>
        <w:pStyle w:val="Iauiue"/>
        <w:jc w:val="both"/>
        <w:rPr>
          <w:color w:val="000000" w:themeColor="text1"/>
          <w:sz w:val="16"/>
          <w:szCs w:val="16"/>
        </w:rPr>
      </w:pPr>
    </w:p>
    <w:p w14:paraId="654C123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декабря 1942 А.E.Репин утвердил Акт о гос. испытаниях серийного фронтового бомбардировщика Ту-2, которые проходили с 13 сентября по 26 октября 1942 (812,8).</w:t>
      </w:r>
    </w:p>
    <w:p w14:paraId="32640267" w14:textId="77777777" w:rsidR="00BB6316" w:rsidRPr="00722885" w:rsidRDefault="00BB6316" w:rsidP="00722885">
      <w:pPr>
        <w:pStyle w:val="Iauiue"/>
        <w:jc w:val="both"/>
        <w:rPr>
          <w:color w:val="000000" w:themeColor="text1"/>
          <w:sz w:val="16"/>
          <w:szCs w:val="16"/>
        </w:rPr>
      </w:pPr>
    </w:p>
    <w:p w14:paraId="41BD004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8 декабря 1942 Лосюков и Сафронов подписал отчет, а А.E.Репин утвердил Акт о гос. испытаниях серийного фронтового бомбардировщика Ту-2 2хМ-82 № 199308 </w:t>
      </w:r>
      <w:r w:rsidRPr="00722885">
        <w:rPr>
          <w:color w:val="000000" w:themeColor="text1"/>
          <w:sz w:val="16"/>
          <w:szCs w:val="16"/>
        </w:rPr>
        <w:lastRenderedPageBreak/>
        <w:t>производства завода № 166, которые проходили с 13 сентября по 26 октября 1942 (812,8).</w:t>
      </w:r>
    </w:p>
    <w:p w14:paraId="0ABFD1D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Вед. и и/м Г.В.Грибакин</w:t>
      </w:r>
    </w:p>
    <w:p w14:paraId="7BE14A1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ли м В.И.Жданов, М.П.Васякин</w:t>
      </w:r>
    </w:p>
    <w:p w14:paraId="0CE353C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Объект испытания:</w:t>
      </w:r>
    </w:p>
    <w:p w14:paraId="0811DED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С-т д-х моторный моноплан с высоко расположенным крылом и двухкилевым свободнонесущим оперением. Конструкция с-та металлическая, фюзеляж - полумонокок. Крыло - кессонной конструкции. Закрылки типа Шренк. Винт АВ-5167А д. 3.8 м. Система бензопитания состоит из 18 баков общей емкостью 3000 л, все быки запротектированы и заполняются инертным газом из выхлопной системы моторов. С-т снаджен приемопередатчиком РСБ-бис, РПК-7, фотоустановкой под фотоаппараты АФА-Б, НАФА-19 и автоматом курса АК-1.</w:t>
      </w:r>
    </w:p>
    <w:p w14:paraId="309DFCD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Нормальная бомбовая нагрузка - 1000 кг, максимальная расчетная бомбовая нагрузка - 2000 кг, Емкость бомбодержателей - 3000 кг.</w:t>
      </w:r>
    </w:p>
    <w:p w14:paraId="37F9F38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Калибры бомб:</w:t>
      </w:r>
    </w:p>
    <w:p w14:paraId="0AFFCAE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ФАБ-1000х1 внутр. и 2 на наружной - всего 3000</w:t>
      </w:r>
    </w:p>
    <w:p w14:paraId="1217990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ФАБ-500х1 внутр. и 2 на наружной - всего 1500</w:t>
      </w:r>
    </w:p>
    <w:p w14:paraId="2E5628E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ФАБ-250цкх4 внутр. и 2 на наружной - всего 1500</w:t>
      </w:r>
    </w:p>
    <w:p w14:paraId="3A6B5EA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ФАБ-250свх2 внутр. и 2 на наружной - всего 1000</w:t>
      </w:r>
    </w:p>
    <w:p w14:paraId="441B5D3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ФАБ-100х9 - всего 900</w:t>
      </w:r>
    </w:p>
    <w:p w14:paraId="68D3454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Стрелково-0пушечное вооружение:</w:t>
      </w:r>
    </w:p>
    <w:p w14:paraId="0C15367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неподвижное вперед - 2хШКАС с б/з 1400 + 2хШВАК с б/з 300 ш. + 10хРО-132</w:t>
      </w:r>
    </w:p>
    <w:p w14:paraId="24D666B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подвижное для стрельбы назад - блистер под УБТх1 с б/з 195, уст. ТСС-4 под ШКАСх1 с б/з 1000 ш.</w:t>
      </w:r>
    </w:p>
    <w:p w14:paraId="50304AC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Люковая установка под УБТх1 - 260 б/з </w:t>
      </w:r>
    </w:p>
    <w:p w14:paraId="67B0D61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Состав экипажа: л и ш в передней кабине, стрелок-радист - задняя кабина, стрелок - задняя кабина</w:t>
      </w:r>
    </w:p>
    <w:p w14:paraId="0612BDA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С-т по геометрическим параметрам не отличается от с-та 103В</w:t>
      </w:r>
    </w:p>
    <w:p w14:paraId="18025C1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Результаты испытаний:</w:t>
      </w:r>
    </w:p>
    <w:p w14:paraId="2D94204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Испытания в Кольцово с 13 сентября по 28 октября 1942 (в последнем полете с-т был поврежден). Налет в 44 полетах - 32:00</w:t>
      </w:r>
    </w:p>
    <w:p w14:paraId="26A6D43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Вес пустого - 7601</w:t>
      </w:r>
    </w:p>
    <w:p w14:paraId="6927A04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Нормальный полетный вес - 10537,9</w:t>
      </w:r>
    </w:p>
    <w:p w14:paraId="303C0E3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Перегрузочный вариант - 11767,9</w:t>
      </w:r>
    </w:p>
    <w:p w14:paraId="0AFA590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экипаж - 360</w:t>
      </w:r>
    </w:p>
    <w:p w14:paraId="4137385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горючее - 1000, в перегруз 2200</w:t>
      </w:r>
    </w:p>
    <w:p w14:paraId="7E793BA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масло - 150 и 180</w:t>
      </w:r>
    </w:p>
    <w:p w14:paraId="0BF2F5B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стрелково-пушечное вооружение - 167,8</w:t>
      </w:r>
    </w:p>
    <w:p w14:paraId="02C8A12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боезапас - 187</w:t>
      </w:r>
    </w:p>
    <w:p w14:paraId="65DA454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бомбы и замки - 1018,5</w:t>
      </w:r>
    </w:p>
    <w:p w14:paraId="01A1A4C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аккумулятор 29</w:t>
      </w:r>
    </w:p>
    <w:p w14:paraId="313AE57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прицелы, ракетный пистолет - 24,6</w:t>
      </w:r>
    </w:p>
    <w:p w14:paraId="3B82068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Итого 2936,9 и 41166,9 в перегруз</w:t>
      </w:r>
    </w:p>
    <w:p w14:paraId="06408D5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Макс. скорость у земли на 2400 об. - 444 км/час</w:t>
      </w:r>
    </w:p>
    <w:p w14:paraId="757C331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Макс. скорость на 1-й гр. высотности 32000 м - 521 км/час, на 2-й гр. 6160 - 514 км/час</w:t>
      </w:r>
    </w:p>
    <w:p w14:paraId="38C1522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Время набора 5000 м - 10,2, 9000 м - 35</w:t>
      </w:r>
    </w:p>
    <w:p w14:paraId="6B785BD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Разбег - 450</w:t>
      </w:r>
    </w:p>
    <w:p w14:paraId="0367DBC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Пробег - 725</w:t>
      </w:r>
    </w:p>
    <w:p w14:paraId="42678CF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Посадочная скорость - 156 км/час</w:t>
      </w:r>
    </w:p>
    <w:p w14:paraId="19974BC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Практический потолок - 9000 м</w:t>
      </w:r>
    </w:p>
    <w:p w14:paraId="5C43C52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Дальность полета при полном запасе горючего 2220 кг, бомбовой нагрузке 1000 кг</w:t>
      </w:r>
    </w:p>
    <w:p w14:paraId="2EF010B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на 1000 м действ. скорость 365 км/час (на 0,8 макс.) - 2020 км</w:t>
      </w:r>
    </w:p>
    <w:p w14:paraId="4ABCF26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на 3000 м действ. скорость 405 км\час (на 0,8 макс.) - 1980 км</w:t>
      </w:r>
    </w:p>
    <w:p w14:paraId="4DAC115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Летная оценка: Посадки - просты, пикирование - устойчивое. При выходе из пикирования - наблюдается раскрутка винтов. Автомат пикирования АП-3 работает хорошо. Полет ночью по технике ничем не отличается от дневного. Освещение кабины - неудобное</w:t>
      </w:r>
    </w:p>
    <w:p w14:paraId="5D21173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Подписал вл и нач. 3 Отд.м Жданов и м Нюхтиков</w:t>
      </w:r>
    </w:p>
    <w:p w14:paraId="5985253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Заключение:</w:t>
      </w:r>
    </w:p>
    <w:p w14:paraId="63F1E00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Серийный с-т Ту-2 № 100308 по своим ЛТД стоит на уровне современных 2-х моторных бомбардировщиков и имеет возможности для дальнейшего модифицирования.</w:t>
      </w:r>
    </w:p>
    <w:p w14:paraId="512C9B6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В результате испытаний установлено, что с-т не удовлетворяет условиям договора ГУ ВВС ИАС с НКАП о поставке с-тов Ту-2:</w:t>
      </w:r>
    </w:p>
    <w:p w14:paraId="37537C7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по максимальной скорости, которая на высоте 6000 м на 66 км/час ниже</w:t>
      </w:r>
    </w:p>
    <w:p w14:paraId="18DBA3B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по потолку, который меньше на 800 м</w:t>
      </w:r>
    </w:p>
    <w:p w14:paraId="3D24C1A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По взлетно-посадочным данным и скороподъемности с-т соответствует условям договора</w:t>
      </w:r>
    </w:p>
    <w:p w14:paraId="46260E8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ВМГ с-та не обеспечивает высотных полетов свыше 6000 м из-за тряски моторов и выброса масла из суфлера мотора, а также полетов на пикирование из-за раскрутки винтов</w:t>
      </w:r>
    </w:p>
    <w:p w14:paraId="3D07B88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Просить НКАП:</w:t>
      </w:r>
    </w:p>
    <w:p w14:paraId="6C3F771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дать указание ГК А.Н.Т. о быстрейшем устранении раскрутки винтов. Обеспечить возможность пользования прицелом ПС-1</w:t>
      </w:r>
    </w:p>
    <w:p w14:paraId="59C9DD2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дать указание ГК хавода № 19 об устранении ненормальной работы мотора М-82 на 2-й скорости нагнетателя</w:t>
      </w:r>
    </w:p>
    <w:p w14:paraId="30368CA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ввиде того, что по ЛТД с-т представляет интерес для ВВС КА, обязать ГК продолжить работу по доводке и модификации с-та, выделив в его распоряжение необходимое количество с-тов</w:t>
      </w:r>
    </w:p>
    <w:p w14:paraId="37BF51F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Доложит ГИ ВВС КА о:</w:t>
      </w:r>
    </w:p>
    <w:p w14:paraId="41B936E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необходимости указания частям не производить пикирования до устранения дефекта рскрутки винтов...(812,8).</w:t>
      </w:r>
    </w:p>
    <w:p w14:paraId="797BBCD0" w14:textId="77777777" w:rsidR="00BB6316" w:rsidRPr="00722885" w:rsidRDefault="00BB6316" w:rsidP="00722885">
      <w:pPr>
        <w:pStyle w:val="Iauiue"/>
        <w:jc w:val="both"/>
        <w:rPr>
          <w:color w:val="000000" w:themeColor="text1"/>
          <w:sz w:val="16"/>
          <w:szCs w:val="16"/>
        </w:rPr>
      </w:pPr>
    </w:p>
    <w:p w14:paraId="1B077EA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декабря 1942 была подготовлена пояснительная записка к проекту решения ГОКО по Ла-5 М-82 c повышенным наддувом (до 1140 мм) (2519).</w:t>
      </w:r>
    </w:p>
    <w:p w14:paraId="0992E00E" w14:textId="77777777" w:rsidR="00BB6316" w:rsidRPr="00722885" w:rsidRDefault="00BB6316" w:rsidP="00722885">
      <w:pPr>
        <w:pStyle w:val="Iauiue"/>
        <w:jc w:val="both"/>
        <w:rPr>
          <w:color w:val="000000" w:themeColor="text1"/>
          <w:sz w:val="16"/>
          <w:szCs w:val="16"/>
        </w:rPr>
      </w:pPr>
    </w:p>
    <w:p w14:paraId="62AA379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декабря 1942 была подготовлена Справка С.А.Л. с перечнем изменений, внедренных в конструкцию Ла-5 в серийном производстве при переходе с Ла-5 на Ла-5ФН (2519).</w:t>
      </w:r>
    </w:p>
    <w:p w14:paraId="3722EEF9" w14:textId="77777777" w:rsidR="00BB6316" w:rsidRPr="00722885" w:rsidRDefault="00BB6316" w:rsidP="00722885">
      <w:pPr>
        <w:pStyle w:val="Iauiue"/>
        <w:jc w:val="both"/>
        <w:rPr>
          <w:color w:val="000000" w:themeColor="text1"/>
          <w:sz w:val="16"/>
          <w:szCs w:val="16"/>
        </w:rPr>
      </w:pPr>
    </w:p>
    <w:p w14:paraId="5236A7D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декабря 1942 А.И.Ш. писал письмо И.В.С.:</w:t>
      </w:r>
    </w:p>
    <w:p w14:paraId="15D2A83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порядке отчета докладываю о проделанной работе на заводе 21 по выполнению постановления ГКО от 15 ноября по улучшению Ла-5..." Добились увеличения макс. скорости за счет герметизации капотов, тщательной отделки и наддува. Делали на серийном N 8-71 (2519).</w:t>
      </w:r>
    </w:p>
    <w:p w14:paraId="4D8C4B81" w14:textId="77777777" w:rsidR="00BB6316" w:rsidRPr="00722885" w:rsidRDefault="00BB6316" w:rsidP="00722885">
      <w:pPr>
        <w:pStyle w:val="Iauiue"/>
        <w:jc w:val="both"/>
        <w:rPr>
          <w:color w:val="000000" w:themeColor="text1"/>
          <w:sz w:val="16"/>
          <w:szCs w:val="16"/>
        </w:rPr>
      </w:pPr>
    </w:p>
    <w:p w14:paraId="1A39619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декабря 1942 вышел приказ НКАП N 866 "О моторе М-106", которым мотор с односкоростным нагнетателем было приказано именовать М-106П (пушечный) (921,42).</w:t>
      </w:r>
    </w:p>
    <w:p w14:paraId="2660B904" w14:textId="77777777" w:rsidR="00BB6316" w:rsidRPr="00722885" w:rsidRDefault="00BB6316" w:rsidP="00722885">
      <w:pPr>
        <w:pStyle w:val="Iauiue"/>
        <w:jc w:val="both"/>
        <w:rPr>
          <w:color w:val="000000" w:themeColor="text1"/>
          <w:sz w:val="16"/>
          <w:szCs w:val="16"/>
        </w:rPr>
      </w:pPr>
    </w:p>
    <w:p w14:paraId="67A690EA"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C123F44" w14:textId="77777777" w:rsidR="00BB6316" w:rsidRPr="00722885" w:rsidRDefault="00BB6316" w:rsidP="00722885">
      <w:pPr>
        <w:pStyle w:val="Iauiue"/>
        <w:jc w:val="both"/>
        <w:rPr>
          <w:iCs/>
          <w:color w:val="000000" w:themeColor="text1"/>
          <w:sz w:val="16"/>
          <w:szCs w:val="16"/>
        </w:rPr>
      </w:pPr>
    </w:p>
    <w:p w14:paraId="631200D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декабря 1942 при ГКО было создано Оперативное бюро в составе В.М.М., Л.П.Б., Г.М.М., А.И.М. для контроля и наблюдения за работой наркоматов оборонной промышленности. Работали на основе заявок НКО, НКВМФ, НКВД, НКГБ (1566,144).</w:t>
      </w:r>
    </w:p>
    <w:p w14:paraId="44B85DE0" w14:textId="77777777" w:rsidR="00BB6316" w:rsidRPr="00722885" w:rsidRDefault="00BB6316" w:rsidP="00722885">
      <w:pPr>
        <w:pStyle w:val="Iauiue"/>
        <w:jc w:val="both"/>
        <w:rPr>
          <w:color w:val="000000" w:themeColor="text1"/>
          <w:sz w:val="16"/>
          <w:szCs w:val="16"/>
        </w:rPr>
      </w:pPr>
    </w:p>
    <w:p w14:paraId="6FF645A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декабря 1942 г. при Государственном Комитете Обороны создается Оперативное Бюро в составе: В.М.Молотов, Л.П.Берия, Г.М.Маленков и А.И.Микоян, — для контроля и наблюдения за работой наркоматов военной промышленности, разработки и вне</w:t>
      </w:r>
      <w:r w:rsidRPr="00722885">
        <w:rPr>
          <w:rFonts w:ascii="Times New Roman" w:hAnsi="Times New Roman"/>
          <w:color w:val="000000" w:themeColor="text1"/>
          <w:sz w:val="16"/>
          <w:szCs w:val="16"/>
        </w:rPr>
        <w:softHyphen/>
        <w:t xml:space="preserve">сения на рассмотрение Председателя ГКО проектов решений по отдельным вопросам развития промышленности и транспорта. На основе заявок НКО, НКВМФ, НКВД и НКГБ Оперативное Бюро ГКО составляло, при участии отделов Госплана </w:t>
      </w:r>
      <w:r w:rsidRPr="00722885">
        <w:rPr>
          <w:rFonts w:ascii="Times New Roman" w:hAnsi="Times New Roman"/>
          <w:color w:val="000000" w:themeColor="text1"/>
          <w:sz w:val="16"/>
          <w:szCs w:val="16"/>
        </w:rPr>
        <w:lastRenderedPageBreak/>
        <w:t>СССР, месячные и квартальные планы производства «военной» и «гражданской» промышленной продукции и материально-технического снабже</w:t>
      </w:r>
      <w:r w:rsidRPr="00722885">
        <w:rPr>
          <w:rFonts w:ascii="Times New Roman" w:hAnsi="Times New Roman"/>
          <w:color w:val="000000" w:themeColor="text1"/>
          <w:sz w:val="16"/>
          <w:szCs w:val="16"/>
        </w:rPr>
        <w:softHyphen/>
        <w:t>ния важнейших отраслей народного хозяйства. 18 мая 1944 г. Оперативное Бюро было утверждено в новом составе: Л.П.Берия (председатель), Г.М.Маленков, А.И.Микоян, Н.А.Вознесенский и К.Е.Ворошилов (1566).</w:t>
      </w:r>
    </w:p>
    <w:p w14:paraId="55DBB58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8CF87A8" w14:textId="77777777" w:rsidR="00A27720" w:rsidRPr="00722885" w:rsidRDefault="00A2772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декабря 1942 г. при ГКО было создано Оперативное бюро. Через этот орган ГКО осуществлял оперативный контроль за выполнением военных заказов. Структура и состав Оперативного бюро претерпевали изменения в зависимости от тех хозяйственных задач, которые решались на том или ином этапе войны. Первоначально в состав Оперативного бюро ГКО вошли: В. М. Молотов, Л. П. Берия, Г. М. Маленков и А. И. Микоян. На основе заявок Наркомата обороны, Наркомата Военно-Морского Флота, Наркомата внутренних дел (нарком - Л. П. Берия), Наркомата государственной безопасности (нарком - В. Н. Меркулов) Оперативное бюро ГКО при участии отделов Госплана СССР составляло месячные и квартальные планы производства военной и гражданской промышленной продукции и материально-технического снабжения важнейших отраслей народного хозяйства. 18 мая 1944 г. Оперативное бюро ГКО было утверждено в новом составе: Л. П. Берия (председатель), Г. М. Маленков, А. И. Микоян, Н. А. Вознесенский и К. Е. Ворошилов (18390).</w:t>
      </w:r>
    </w:p>
    <w:p w14:paraId="7C9417C9" w14:textId="77777777" w:rsidR="00A27720" w:rsidRPr="00722885" w:rsidRDefault="00A27720" w:rsidP="00722885">
      <w:pPr>
        <w:spacing w:after="0" w:line="240" w:lineRule="auto"/>
        <w:jc w:val="both"/>
        <w:rPr>
          <w:rFonts w:ascii="Times New Roman" w:hAnsi="Times New Roman"/>
          <w:color w:val="000000" w:themeColor="text1"/>
          <w:sz w:val="16"/>
          <w:szCs w:val="16"/>
        </w:rPr>
      </w:pPr>
    </w:p>
    <w:p w14:paraId="58617F77" w14:textId="77777777" w:rsidR="00A27720" w:rsidRPr="00722885" w:rsidRDefault="00A2772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декабря 1942 г. при Государственном Комитете Обороны создается Оперативное Бюро в составе: В. М. Молотов, Л. П. Берия, Г. М. Маленков и А. И. Микоян, — для контроля и наблюдения за работой наркоматов военной промышленности, разработки и внесения на рассмотрение Председателя ГКО проектов решений по отдельным вопросам развития промышленности и транспорта. На основе заявок НКО, НКВМФ, НКВД и НКГБ Оперативное Бюро ГКО составляло, при участии отделов Госплана СССР, месячные и квартальные планы производства «военной» и «гражданской» промышленной продукции и материально-технического снабжения важнейших отраслей народного хозяйства. 18 мая 1944 г. Оперативное Бюро было утверждено в новом составе: Л. П. Берия (председатель), Г. М. Маленков, А. И. Микоян, Н. А. Вознесенский и К. Е. Ворошилов.</w:t>
      </w:r>
    </w:p>
    <w:p w14:paraId="2F63E567" w14:textId="77777777" w:rsidR="00A27720" w:rsidRPr="00722885" w:rsidRDefault="00A2772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50 месяцев своего существования ГКО принял 9971 постановление, из которых примерно две трети касались проблем военной экономики и организации производства военно-промышленной продукции. На местах ответственными за выполнение постановлений ГКО являлись местные партийные и советские органы. Особо ответственные задания находились на контроле уполномоченных ГКО (18395).</w:t>
      </w:r>
    </w:p>
    <w:p w14:paraId="26646CD9" w14:textId="77777777" w:rsidR="00A27720" w:rsidRPr="00722885" w:rsidRDefault="00A27720" w:rsidP="00722885">
      <w:pPr>
        <w:spacing w:after="0" w:line="240" w:lineRule="auto"/>
        <w:jc w:val="both"/>
        <w:rPr>
          <w:rFonts w:ascii="Times New Roman" w:hAnsi="Times New Roman"/>
          <w:color w:val="000000" w:themeColor="text1"/>
          <w:sz w:val="16"/>
          <w:szCs w:val="16"/>
        </w:rPr>
      </w:pPr>
    </w:p>
    <w:p w14:paraId="75B07ECB"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8 декабря 1942 вышло Постановление ГКО № 2615 Об утверждении Оперативного бюро ГКО. (7066, 165-166).</w:t>
      </w:r>
    </w:p>
    <w:p w14:paraId="0EFD3A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 УТВЕРЖДЕНИИ ОПЕРАТИВНОГО БЮРО ГКО</w:t>
      </w:r>
    </w:p>
    <w:p w14:paraId="23B11A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 Кремль</w:t>
      </w:r>
    </w:p>
    <w:p w14:paraId="5C5BD5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Комитет Обороны ПОСТАНОВЛЯЕТ:</w:t>
      </w:r>
    </w:p>
    <w:p w14:paraId="4A11A7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Утвердить Оперативное бюро ГО КО в следующем составе: Молотов В. М., Берия Л. П., Маленков Г. М., Микоян А. И. Отнести к ведению Оперативного бюро ГОКО контроль и наблюдение за текущей работой всех Наркоматов оборонной промышленности, Наркомата путей сообщения, Наркомата черной металлургии, Наркомата цветной металлургии, Наркомата электростанций, Наркомата угольной промышленности, Наркомата нефтяной промышленности, Наркомата химической промышленности, а также за делом составления и исполнения планов производства и снабжения указанных отраслей промышленности и транспорта всем необходимым.</w:t>
      </w:r>
    </w:p>
    <w:p w14:paraId="2258DD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Ввиду напряженного положения с углем, металлом и перевозками на железных дорогах, поручить:</w:t>
      </w:r>
    </w:p>
    <w:p w14:paraId="463458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члену ГОКО т. Берия, дополнительно к возложенным на него обязанностям, — контроль и наблюдение за работой Наркомата угольной промышленности и Наркомата путей сообщения;</w:t>
      </w:r>
    </w:p>
    <w:p w14:paraId="612D2F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члену ГОКО т. Маленкову, дополнительно к возложенным на него обязанностям, — контроль и наблюдение за работой Наркомата черной металлургии;</w:t>
      </w:r>
    </w:p>
    <w:p w14:paraId="1D94BE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члену ГОКО т. Микояну, дополнительно к возложенным на него обязанностям, — контроль и наблюдение за работой Наркомата цветной металлургии, а также контроль и наблюдение за распределением топлива, металла и электроэнергии.</w:t>
      </w:r>
    </w:p>
    <w:p w14:paraId="6E4E33A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Освободить т. Вознесенского от обязанностей по контролю и наблюдению за Наркоматом угольной промышленности, Наркоматом черной металлургии и Наркоматом цветной металлургии.</w:t>
      </w:r>
    </w:p>
    <w:p w14:paraId="492074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w:t>
      </w:r>
    </w:p>
    <w:p w14:paraId="7D29A1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СТАЛИН</w:t>
      </w:r>
    </w:p>
    <w:p w14:paraId="411A78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РЦХИДНИ. Ф. 644. Оп. 1. Д. 72, л. 165-166 (12013).</w:t>
      </w:r>
    </w:p>
    <w:p w14:paraId="2F905EDE" w14:textId="77777777" w:rsidR="00BB6316" w:rsidRPr="00722885" w:rsidRDefault="00BB6316" w:rsidP="00722885">
      <w:pPr>
        <w:pStyle w:val="Iauiue"/>
        <w:tabs>
          <w:tab w:val="left" w:pos="11199"/>
        </w:tabs>
        <w:jc w:val="both"/>
        <w:rPr>
          <w:color w:val="000000" w:themeColor="text1"/>
          <w:sz w:val="16"/>
          <w:szCs w:val="16"/>
        </w:rPr>
      </w:pPr>
    </w:p>
    <w:p w14:paraId="50943EB8"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8 декабря 1942 вышло Распоряжение ГКО № 2598 [Об использовании подвижного состава НКПС для обеспечения выполнения плана производства танков.] (7066, 104,105-106).</w:t>
      </w:r>
    </w:p>
    <w:p w14:paraId="6236EB0A" w14:textId="77777777" w:rsidR="00BB6316" w:rsidRPr="00722885" w:rsidRDefault="00BB6316" w:rsidP="00722885">
      <w:pPr>
        <w:pStyle w:val="Iauiue"/>
        <w:tabs>
          <w:tab w:val="left" w:pos="11199"/>
        </w:tabs>
        <w:jc w:val="both"/>
        <w:rPr>
          <w:color w:val="000000" w:themeColor="text1"/>
          <w:sz w:val="16"/>
          <w:szCs w:val="16"/>
        </w:rPr>
      </w:pPr>
    </w:p>
    <w:p w14:paraId="6FE3C26F"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8 декабря 1942 вышло Постановление ГКО № 2599 О создании металлургической базы на заводе № 8 Наркомвооружения [Свердловская обл.]. (7066, 107-109,110-113).</w:t>
      </w:r>
    </w:p>
    <w:p w14:paraId="0FA71A6F" w14:textId="77777777" w:rsidR="00BB6316" w:rsidRPr="00722885" w:rsidRDefault="00BB6316" w:rsidP="00722885">
      <w:pPr>
        <w:pStyle w:val="Iauiue"/>
        <w:tabs>
          <w:tab w:val="left" w:pos="11199"/>
        </w:tabs>
        <w:jc w:val="both"/>
        <w:rPr>
          <w:color w:val="000000" w:themeColor="text1"/>
          <w:sz w:val="16"/>
          <w:szCs w:val="16"/>
        </w:rPr>
      </w:pPr>
    </w:p>
    <w:p w14:paraId="18ADBC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декабря 1942 вышло Постановление ГКО № 2600 О вводе в действие и расширении олеумных цехов заводов Наркомхимпрома. РГАНИР, Фонд ГКО, д. 72, лл. 114-119, 120-125 (11012).</w:t>
      </w:r>
    </w:p>
    <w:p w14:paraId="5C21E8C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BECE67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A51ABC8" w14:textId="77777777" w:rsidR="00BB6316" w:rsidRPr="00722885" w:rsidRDefault="00BB6316" w:rsidP="00722885">
      <w:pPr>
        <w:pStyle w:val="Iauiue"/>
        <w:jc w:val="both"/>
        <w:rPr>
          <w:iCs/>
          <w:color w:val="000000" w:themeColor="text1"/>
          <w:sz w:val="16"/>
          <w:szCs w:val="16"/>
        </w:rPr>
      </w:pPr>
    </w:p>
    <w:p w14:paraId="5A3807F9"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3296C003"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8 декабря в районе Сталинграда и на Центральном фронте наши войска продолжали вести наступательные бои на прежних направлениях.</w:t>
      </w:r>
    </w:p>
    <w:p w14:paraId="5C5103C9"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укрепляли свои позиции и вели огневой бой с противником. Действиями артиллерии и мелких групп советской пехоты разрушено 40 немецких дзотов, подавлен огонь 13 огневых точек и истреблено до 200 немецких солдат и офицеров.</w:t>
      </w:r>
    </w:p>
    <w:p w14:paraId="2B0B27EA"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отражали контратаки противника и нанесли ему большие потери. Только на одном участке уничтожено до двух рот гитлеровцев. На другом участке на наши позиции двинулись 200 гитлеровцев и 6 немецких танков. Наши бойцы подбили все 6 танков противника и истребили большую часть наступавших немцев. Ни на одном из участков противнику не удалось вернуть потерянные ранее рубежи или хотя бы несколько улучшить свои позиции. Огнём зенитной артиллерии подбит немецкий транспортный самолёт, совершивший посадку недалеко от переднего края обороны.</w:t>
      </w:r>
    </w:p>
    <w:p w14:paraId="6606F314"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совершенствовали занятые рубежи и вели огневой бой с противником. На одном из участков батальон немецкой пехоты атаковал наше подразделение, обороняющее населённый пункт. Пулемётным и миномётным огнём гитлеровцы были отброшены на исходные позиции. В этом бою уничтожено свыше 200 немецких солдат и офицеров, 7 пулемётов и 16 автомашин.</w:t>
      </w:r>
    </w:p>
    <w:p w14:paraId="33A83383"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советские войска отражали контратаки противника и продолжали вести наступательные бои. Западнее Ржева Н-ское соединение отбило несколько вражеских контратак, в ходе которых немцы потеряли убитыми и ранеными до 600 солдат и офицеров. Артиллерийским огнём подбито 6 танков, уничтожено 6орудий, 20 пулемётов и 4 миномёта.</w:t>
      </w:r>
    </w:p>
    <w:p w14:paraId="56CCFBFC"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дороги Ржев—Вязьма бойцы под командованием тт. Мухина и Самойленковели активные боевые действия и уничтожили до двух рот немецкой пехоты и 8 танков.</w:t>
      </w:r>
    </w:p>
    <w:p w14:paraId="10EBD2C2"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бойцы Н-ской части за два дня боевых действий уничтожили 5 вражеских танков, 4 бронемашины, 22 станковых пулемёта и 3автомашины. Захвачены трофеи. В этом бою противник потерял убитыми до 600 солдат и офицеров.</w:t>
      </w:r>
    </w:p>
    <w:p w14:paraId="420118A5"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в воздушных боях сбили 11 и подбили 3 немецких самолёта.</w:t>
      </w:r>
    </w:p>
    <w:p w14:paraId="3F1B4650"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за два дня снайперами истреблено 360 немецких солдат и офицеров. Бойцы Н-ской части истребили до 200 немцев, разрушили 12 вражескихдзотов, 20 блиндажей и 3 наблюдательных пункта.</w:t>
      </w:r>
    </w:p>
    <w:p w14:paraId="146532C6"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за три дня боевых действий уничтожил 62 немецких солдата и офицера и захватил два склада с хлебом, предназначенным для отправки вГерманию. Всё захваченное у немцев зерно партизаны роздали местному населению.</w:t>
      </w:r>
    </w:p>
    <w:p w14:paraId="095982E4"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 сторону Красной Армии перешёл фельдфебель 297 немецкой пехотной дивизии Гергард Т. Перебежчик рассказал: «Я находился на советско-германском фронте с самого начала войны. Награждён железным крестом. Впоследнее время дивизия вела тяжёлые оборонительные бои и несла огромные потери. Атаки русских измотали нас. У всех нервы напряжены до крайнего предела. После двенадцатидневных непрерывных боёв, сопровождавшихся рукопашными схватками, многие солдаты совершенно обессилели. Я больше уже не мог выдержать. 5 декабря явместе с двумя солдатами перешел к русским».</w:t>
      </w:r>
    </w:p>
    <w:p w14:paraId="49FF17B4"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Ниже публикуется акт о зверствах немецко-фашистских мерзавцев над советскими бойцами и командирами, захваченными в плен: «В районе одной высоты, расположенной в 5—6 километрах юго-западнее населённого пункта Ягодный, Сталинградской области, мы обнаружили 27 трупов красноармейцев и командиров. Установлено, что они были ранены в боях, попали в плен к немцам и фашистские палачи зверски замучили раненых бойцов. Тело красноармейца Коцуба покрытоштыковыми ранами, череп размозжён. Лицо старшего лейтенанта Ф.Е.Саенко исколото штыками до неузнаваемости. Его удалось опознать только по одежде. </w:t>
      </w:r>
      <w:r w:rsidRPr="00722885">
        <w:rPr>
          <w:rFonts w:ascii="Times New Roman" w:hAnsi="Times New Roman"/>
          <w:color w:val="000000" w:themeColor="text1"/>
          <w:sz w:val="16"/>
          <w:szCs w:val="16"/>
        </w:rPr>
        <w:lastRenderedPageBreak/>
        <w:t>Остальные трупы изуродованы до такой степени, что их невозможно было опознать». Акт подписали: старший лейтенант Гречишников, лейтенант Богданов, старший лейтенант Чакин, лейтенант Терешин, майор Новиков.</w:t>
      </w:r>
    </w:p>
    <w:p w14:paraId="5A3D3B0B"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Кракова (Польша) польские патриоты пустили по одному пути два встречных поезда. В результате столкновения воинского эшелона с товарным составом убито и ранено свыше 200 немецких солдат.» (14854).</w:t>
      </w:r>
    </w:p>
    <w:p w14:paraId="7A0EE8FD" w14:textId="77777777" w:rsidR="006340FE" w:rsidRPr="00722885" w:rsidRDefault="006340FE" w:rsidP="00722885">
      <w:pPr>
        <w:spacing w:after="0" w:line="240" w:lineRule="auto"/>
        <w:jc w:val="both"/>
        <w:rPr>
          <w:rFonts w:ascii="Times New Roman" w:hAnsi="Times New Roman"/>
          <w:color w:val="000000" w:themeColor="text1"/>
          <w:sz w:val="16"/>
          <w:szCs w:val="16"/>
        </w:rPr>
      </w:pPr>
    </w:p>
    <w:p w14:paraId="290D2381"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7817CD6C"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8 декабря наши войска в районе Сталинграда и на Центральном фронте продолжали вести наступательные бои на прежних направлениях.</w:t>
      </w:r>
    </w:p>
    <w:p w14:paraId="4430A5F7"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7 декабря в районе Сталинграда уничтожено 44 транспортных самолёта противника.</w:t>
      </w:r>
    </w:p>
    <w:p w14:paraId="195BC6C8"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города Сталинграда наши подразделения продолжали блокировать дзоты, блиндажи, отдельные дома, занятые противником, и истребляли их гарнизоны. Разрушено 39 дзотов и блиндажей. В центральной части города бойцы Н-ской части совершили вылазку в расположение противника и истребили до роты немецких солдат и офицеров.</w:t>
      </w:r>
    </w:p>
    <w:p w14:paraId="70E59628"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занятые рубежи и вели разведку. В течение дня нашими разведывательными отрядами уничтожено до 400 немецких солдат и офицеров, 6 танков и 2 миномётные батареи. Орудийный расчёт братьев Михаила, Николая и Ивана Ведерниковых в течение дня прямой наводкой подбил 4 немецких танка, бронемашину и уничтожил 2 автомашины с пехотой противника.</w:t>
      </w:r>
    </w:p>
    <w:p w14:paraId="32BE82E1"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части вели наступательные бои и продвинулись вперёд. Противник пытался на отдельных участках контратаковать наши части, повсюду был отброшен с большими для него потерями. По неполным данным, уничтоженодо 900 немецких солдат и офицеров, 40 автомашин, 10 пулемётов и 2 миномёта. Младшие лейтенанты Рысовец и Шестов, помощник заместителя командира роты Гончаров, красноармейцы Попов, Жигарёв и Нефёдов ворвались в занятый немцами населённый пункт. Наши бойцы уничтожили 20 гитлеровцев, взорвали железнодорожное полотно и, добыв ценные сведения о противнике, без потерь вернулись в свою часть.</w:t>
      </w:r>
    </w:p>
    <w:p w14:paraId="51AFBF70"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советские войска, отражая ожесточённые контратаки противника, продвигались вперёд и заняли несколько населённых пунктов. В районе западнее Ржева немцы бросили в бой пехотный полк и 40 танков. В течение дня наши бойцы отбили одну за другой семь контратак. К исходу дня гитлеровцы были отброшены, оставив на поле боя 3 подбитых танка и около 300 трупов. На другом участке Н-ская часть выбила немцев из четырёх опорных пунктов. Особенно ожесточённой была борьба за опорный пункт, расположенный на командной высоте. Наши бойцы ворвались в расположение противника и в штыковом бою уничтожили вражеский гарнизон. Немцы потеряли убитыми до 700 солдат и офицеров. 63 солдата и один офицер сложили оружие и сдались в плен.</w:t>
      </w:r>
    </w:p>
    <w:p w14:paraId="5E501363"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наши войска вели бои по ликвидации блокированных немецких гарнизонов. В течение дня уничтожено несколько гарнизонов и очищено от противника несколько населённых пунктов. В воздушных боях над полем боя сбито 7 немецких самолётов.</w:t>
      </w:r>
    </w:p>
    <w:p w14:paraId="4104A5CA"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Житомирской области, напал на немецкий карательный отряд. В бою с оккупантами советские патриоты истребили до 300 немцев, уничтожили танк, бронемашину, сбили один и подбили второй самолёт противника.</w:t>
      </w:r>
    </w:p>
    <w:p w14:paraId="6A5914A4"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солдат 48 полка 12 венгерской пехотной дивизии Шандор Тэруш рассказал: «Когда мы уезжали из Венгрии, нам говорили, что через шесть месяцев нас сменят. Уже прошло десять месяцев, но никто и не думает отправлять нас на родину. Недавно командир роты перед строем заявил: «Я вам запрещаю говорить об отпуске, смене, жаловаться, что холодно, и вообще выражать недовольство. Всякие разговоры такого рода я буду рассматривать как подстрекательство к восстанию. Виновных будем расстреливать». Из дому пишут, что в Венгрии царит нужда и голод. На фронте немцы тоже обворовывают венгерских солдат. Они захватили и присвоили транспорт с обмундированием для нашей дивизии. Они забрали всё себе, а мы мёрзнем, как собаки».</w:t>
      </w:r>
    </w:p>
    <w:p w14:paraId="7679C4BF"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Чудовищные злодеяния творят немецко-фашистские мерзавцы в Ростовской области. В хуторе Коноваловский гитлеровские бандиты повесили старика Козлова и две недели не разрешали похоронить его труп. B хуторе Гормиловский немцы выбросили на улицу всех колхозников. Три колхозницы зашли в свои дома и взяли по куску хлеба для детей. Гитлеровские палачи схватили колхозниц и расстреляли их.</w:t>
      </w:r>
    </w:p>
    <w:p w14:paraId="387DC62D"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Бельгийские патриоты проникли в угольную шахту в Дамбюсаре, захватили 800 килограммов динамита и взорвали электростанцию, компрессоры, трансформаторы и моторы. Шахта выведена из строя на длительный срок.»</w:t>
      </w:r>
    </w:p>
    <w:p w14:paraId="4C2890AD" w14:textId="77777777" w:rsidR="006340FE" w:rsidRPr="00722885" w:rsidRDefault="006340FE" w:rsidP="00722885">
      <w:pPr>
        <w:spacing w:after="0" w:line="240" w:lineRule="auto"/>
        <w:jc w:val="both"/>
        <w:rPr>
          <w:rFonts w:ascii="Times New Roman" w:hAnsi="Times New Roman"/>
          <w:color w:val="000000" w:themeColor="text1"/>
          <w:sz w:val="16"/>
          <w:szCs w:val="16"/>
        </w:rPr>
      </w:pPr>
    </w:p>
    <w:p w14:paraId="4B431F01"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декабря</w:t>
      </w:r>
      <w:r w:rsidRPr="00722885">
        <w:rPr>
          <w:rFonts w:ascii="Times New Roman" w:hAnsi="Times New Roman"/>
          <w:color w:val="000000" w:themeColor="text1"/>
          <w:sz w:val="16"/>
          <w:szCs w:val="16"/>
        </w:rPr>
        <w:t xml:space="preserve"> в 1942 году директива Ставки ВГК Ленинградскому и Волховскому фронтам о подготовке наступления с целью прорыва блокады Ленинграда (операция "Искра") (14854).</w:t>
      </w:r>
    </w:p>
    <w:p w14:paraId="69094141" w14:textId="77777777" w:rsidR="006340FE" w:rsidRPr="00722885" w:rsidRDefault="006340FE" w:rsidP="00722885">
      <w:pPr>
        <w:spacing w:after="0" w:line="240" w:lineRule="auto"/>
        <w:jc w:val="both"/>
        <w:rPr>
          <w:rFonts w:ascii="Times New Roman" w:hAnsi="Times New Roman"/>
          <w:color w:val="000000" w:themeColor="text1"/>
          <w:sz w:val="16"/>
          <w:szCs w:val="16"/>
        </w:rPr>
      </w:pPr>
    </w:p>
    <w:p w14:paraId="231936E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8 декабря 1942 в составе сводной авиагруппы п-ка Срывкина 8-й ВА, которая уже через 7 дней боевой работы с аэродро</w:t>
      </w:r>
      <w:r w:rsidRPr="00722885">
        <w:rPr>
          <w:color w:val="000000" w:themeColor="text1"/>
          <w:sz w:val="16"/>
          <w:szCs w:val="16"/>
        </w:rPr>
        <w:softHyphen/>
        <w:t>ма Абганерово потеряла 14 Ил-2, имелось всего 5 Ил-2, 15 Як-1 и 18 У-2 (6467).</w:t>
      </w:r>
    </w:p>
    <w:p w14:paraId="195CF38C" w14:textId="77777777" w:rsidR="00BB6316" w:rsidRPr="00722885" w:rsidRDefault="00BB6316" w:rsidP="00722885">
      <w:pPr>
        <w:pStyle w:val="Iauiue"/>
        <w:jc w:val="both"/>
        <w:rPr>
          <w:color w:val="000000" w:themeColor="text1"/>
          <w:sz w:val="16"/>
          <w:szCs w:val="16"/>
        </w:rPr>
      </w:pPr>
    </w:p>
    <w:p w14:paraId="1DF80659"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8 декабря 1942 вышло Постановление ГКО № 2596 [О передаче до 1 января 1943 г. 40 тыс. чел., годных к строевой службе, из рабочих колонн оборонительного строительства для пополнения стрелковых дивизий.] (7066, 101).</w:t>
      </w:r>
    </w:p>
    <w:p w14:paraId="4F18388E" w14:textId="77777777" w:rsidR="00BB6316" w:rsidRPr="00722885" w:rsidRDefault="00BB6316" w:rsidP="00722885">
      <w:pPr>
        <w:pStyle w:val="Iauiue"/>
        <w:tabs>
          <w:tab w:val="left" w:pos="11199"/>
        </w:tabs>
        <w:jc w:val="both"/>
        <w:rPr>
          <w:color w:val="000000" w:themeColor="text1"/>
          <w:sz w:val="16"/>
          <w:szCs w:val="16"/>
        </w:rPr>
      </w:pPr>
    </w:p>
    <w:p w14:paraId="6F3E9093"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8 декабря 1942 вышло Постановление ГКО № 2597 О формировании десяти воздушно-десантных гвардейских дивизий. (7066, 102-103).</w:t>
      </w:r>
    </w:p>
    <w:p w14:paraId="4E3D544F" w14:textId="77777777" w:rsidR="00BB6316" w:rsidRPr="00722885" w:rsidRDefault="00BB6316" w:rsidP="00722885">
      <w:pPr>
        <w:pStyle w:val="Iauiue"/>
        <w:tabs>
          <w:tab w:val="left" w:pos="11199"/>
        </w:tabs>
        <w:jc w:val="both"/>
        <w:rPr>
          <w:color w:val="000000" w:themeColor="text1"/>
          <w:sz w:val="16"/>
          <w:szCs w:val="16"/>
        </w:rPr>
      </w:pPr>
    </w:p>
    <w:p w14:paraId="21D82CB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декабря 1942 г.вышел ПРИКАЗ № 00253 О ФОРМИРОВАНИИ ДЕСЯТИ ВОЗДУШНО ДЕСАНТНЫХ ГВАРДЕЙСКИХ ДИВИЗИЙ</w:t>
      </w:r>
    </w:p>
    <w:p w14:paraId="7D39714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Приказываю:</w:t>
      </w:r>
    </w:p>
    <w:p w14:paraId="1FBAAA9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Начальнику Главупраформа товарищу Щаденко совместно с военным советом воздушно-десантных войск вместо формируемых восьми воздушно-десантных корпусов и пяти маневренных воздушно-десантных бригад сформировать десять воздушно-десантных гвардейских дивизий по новому штату гвардейских стрелковых дивизий, численностью 10670 человек каждая.</w:t>
      </w:r>
    </w:p>
    <w:p w14:paraId="572F7D4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Командирами воздушно-десантных гвардейских дивизий назначить:</w:t>
      </w:r>
    </w:p>
    <w:p w14:paraId="53E61AD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1-й генерал-майора Казанкина А. Ф.</w:t>
      </w:r>
    </w:p>
    <w:p w14:paraId="3DA12C6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2-й генерал-майора Ляпина П. И.</w:t>
      </w:r>
    </w:p>
    <w:p w14:paraId="6B3089D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3-й полковника Конева И. Н.</w:t>
      </w:r>
    </w:p>
    <w:p w14:paraId="4025AA1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4-й генерал-майора Александрова П. А.</w:t>
      </w:r>
    </w:p>
    <w:p w14:paraId="7FFB273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5-й полковника Травникова Н. Г.</w:t>
      </w:r>
    </w:p>
    <w:p w14:paraId="611C7AA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6-й генерал-майора Кирзимова А. И.</w:t>
      </w:r>
    </w:p>
    <w:p w14:paraId="1C99C39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7-й генерал-майора Парафило Т. М.</w:t>
      </w:r>
    </w:p>
    <w:p w14:paraId="51F2364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8-й генерал-майора Капитохина А. Г.</w:t>
      </w:r>
    </w:p>
    <w:p w14:paraId="541A00C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9-й генерал-майора Соловьева Ф. Я.</w:t>
      </w:r>
    </w:p>
    <w:p w14:paraId="049C1C0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10-й полковника Иванова В. П.</w:t>
      </w:r>
    </w:p>
    <w:p w14:paraId="73ECBEB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Укомплектование дивизий закончить:</w:t>
      </w:r>
    </w:p>
    <w:p w14:paraId="5C5D61D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1-й очереди пять дивизий к 15 декабря 1942 года;</w:t>
      </w:r>
    </w:p>
    <w:p w14:paraId="057EB28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2-й очереди пять дивизий к 25 декабря 1942 года.</w:t>
      </w:r>
    </w:p>
    <w:p w14:paraId="6892799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По окончании укомплектования дивизий срок воздушно-десантной и общевойсковой подготовки установить четыре месяца.</w:t>
      </w:r>
    </w:p>
    <w:p w14:paraId="5650872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Начальнику Главупраформа к тем же срокам доукомплектовать дивизии недостающим рядовым, младшим начальствующим составом и лошадьми.</w:t>
      </w:r>
    </w:p>
    <w:p w14:paraId="6A5EAEF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Командующему артиллерией Красной Армии тов. Воронову укомплектовать к 25 декабря с. г. артиллерийские части (артиллерийские полки, ист-ребительно-противотанковые дивизионы, 120-мм минометные батареи и полковые батареи) командным и младшим начальствующим составом, выделив для этого:</w:t>
      </w:r>
    </w:p>
    <w:p w14:paraId="4D6A85C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из запасной артиллерийской бригады и артиллерийских частей Дальневосточного фронта — 2500 младших командиров;</w:t>
      </w:r>
    </w:p>
    <w:p w14:paraId="0A9C0E6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из запасной артиллерийской бригады и артиллерийских частей Забайкальского фронта — 1500 младших командиров.</w:t>
      </w:r>
    </w:p>
    <w:p w14:paraId="1FE11B6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 Начальникам главных управлений НКО полностью укомплектовать дивизии первой очереди к 15 декабря, а второй очереди к 25 декабря с. г. хорошо подготовленным, отвечающим службе в воздушно-десантных войсках командным, политическим и начальствующим составом, преимущественно участниками Отечественной войны.</w:t>
      </w:r>
    </w:p>
    <w:p w14:paraId="19E3EDD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Начальнику ГАУ Красной Армии тов. Яковлеву обеспечить:</w:t>
      </w:r>
    </w:p>
    <w:p w14:paraId="582750C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дивизии первой очереди стрелково-минометным вооружением к 15 декабря и артиллерийским — к 25 декабря;</w:t>
      </w:r>
    </w:p>
    <w:p w14:paraId="7751D02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дивизии второй очереди стрелково-минометным вооружением — к 25 декабря и артиллерийским к 1 января 1943 года.</w:t>
      </w:r>
    </w:p>
    <w:p w14:paraId="18AC6D4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 Начальникам главных управлений НКО полностью обеспечить дивизии, соответственно, к 25 декабря 1942 года и к 1 января 1943 года положенным имуществом, а начальнику Главного автомобильного управления тов. Бе-локоскову — положенным автотранспортом.</w:t>
      </w:r>
    </w:p>
    <w:p w14:paraId="29E8D3F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 Начальнику тыла Красной Армии тов. Хрулеву и начальнику Военных сообщений Красной Армии тов. Ковалеву перевезти к 25 декабря выделяемых для указанных дивизий:</w:t>
      </w:r>
    </w:p>
    <w:p w14:paraId="6417C99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lastRenderedPageBreak/>
        <w:t>а) младших командиров из ДВФ и Забфронта,</w:t>
      </w:r>
    </w:p>
    <w:p w14:paraId="7F9EC96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8000 лошадей из САВО.</w:t>
      </w:r>
    </w:p>
    <w:p w14:paraId="09A0684E" w14:textId="77777777" w:rsidR="00BB6316" w:rsidRPr="00722885" w:rsidRDefault="00BB6316" w:rsidP="00722885">
      <w:pPr>
        <w:pStyle w:val="Iauiue"/>
        <w:jc w:val="both"/>
        <w:rPr>
          <w:color w:val="000000" w:themeColor="text1"/>
          <w:sz w:val="16"/>
          <w:szCs w:val="16"/>
        </w:rPr>
      </w:pPr>
      <w:r w:rsidRPr="00722885">
        <w:rPr>
          <w:iCs/>
          <w:color w:val="000000" w:themeColor="text1"/>
          <w:sz w:val="16"/>
          <w:szCs w:val="16"/>
        </w:rPr>
        <w:t xml:space="preserve">Народный комиссар обороны И. СТАЛИН </w:t>
      </w:r>
      <w:r w:rsidRPr="00722885">
        <w:rPr>
          <w:color w:val="000000" w:themeColor="text1"/>
          <w:sz w:val="16"/>
          <w:szCs w:val="16"/>
        </w:rPr>
        <w:t>(9844).</w:t>
      </w:r>
    </w:p>
    <w:p w14:paraId="69CE38B2" w14:textId="77777777" w:rsidR="00BB6316" w:rsidRPr="00722885" w:rsidRDefault="00BB6316" w:rsidP="00722885">
      <w:pPr>
        <w:pStyle w:val="Iauiue"/>
        <w:jc w:val="both"/>
        <w:rPr>
          <w:color w:val="000000" w:themeColor="text1"/>
          <w:sz w:val="16"/>
          <w:szCs w:val="16"/>
        </w:rPr>
      </w:pPr>
    </w:p>
    <w:p w14:paraId="276205FE"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768CA861" w14:textId="77777777" w:rsidR="00BB6316" w:rsidRPr="00722885" w:rsidRDefault="00BB6316" w:rsidP="00722885">
      <w:pPr>
        <w:pStyle w:val="Iauiue"/>
        <w:jc w:val="both"/>
        <w:rPr>
          <w:iCs/>
          <w:color w:val="000000" w:themeColor="text1"/>
          <w:sz w:val="16"/>
          <w:szCs w:val="16"/>
        </w:rPr>
      </w:pPr>
    </w:p>
    <w:p w14:paraId="0D2479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декабря 1942 г. О развитии угольной промышленности в крае</w:t>
      </w:r>
    </w:p>
    <w:p w14:paraId="4B5776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докладной записки Красноярского крайкома ВКП (б) в Наркомат угольной промышленности СССР</w:t>
      </w:r>
    </w:p>
    <w:p w14:paraId="757C38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г.Красноярск 8 декабря 1942 г. </w:t>
      </w:r>
    </w:p>
    <w:p w14:paraId="398F6A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с[овершенно] секретно</w:t>
      </w:r>
    </w:p>
    <w:p w14:paraId="4DE724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Народному Комиссару угольной промышленности СССР тов. Вахрушеву В.В.</w:t>
      </w:r>
    </w:p>
    <w:p w14:paraId="376917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Красноярский край является одним из богатейших районов Советского Союза по запасам каменного и бурого углей. Но, несмотря на это, угледобывающая промышленность в крае развита еще чрезвычайно слабо. Причиной этого являлось общее отставание края в области развития промышленности в прошлом и низкая, в связи с этим, потребность в энергетическом топливе.</w:t>
      </w:r>
    </w:p>
    <w:p w14:paraId="55B104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с эвакуацией в край ряда крупнейших предприятий (завода №580 Наркомата боеприпасов; завода «Красный Профинтерн» Наркомата тяжелого машиностроения, завода № 327 Наркомата электропромышленности; механического завода Наркомлеса, а также строительством Красноярской райТЭЦ мощностью 50 мгвт, ТЭЦ завода «Красный Профинтерн» [мощностью] 14 мгвт, аффинажного, цементного, сахарного, гидролизных и других заводов потребность в угле резко возросла и в 1943 году составит только по союзно-республиканским потребителям не менее трех миллионов тонн, в том числе 1800 тысяч тонн бурого угля.</w:t>
      </w:r>
    </w:p>
    <w:p w14:paraId="0315D0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размерах возрастающей потребности в буром угле в 1943 году достаточно убедительно говорит тот факт, что только одни работающие и входящие в строй электростанции города Красноярска потребуют более одного миллиона тонн.</w:t>
      </w:r>
    </w:p>
    <w:p w14:paraId="76E912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этого видно, что быстро развивающаяся промышленность края предъявляет значительный спрос на энергетическое топливо и ставит перед угольной промышленностью задачу первостепенного значения по дальнейшему увеличению угледобычи, особенно бурых углей.</w:t>
      </w:r>
    </w:p>
    <w:p w14:paraId="6671E8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Исполком крайсовета и крайком ВКП (б) считают, что дальнейшее развитие каменноугольной промышленности в крае должно идти в следующем направлении.</w:t>
      </w:r>
    </w:p>
    <w:p w14:paraId="3AE22375" w14:textId="77777777" w:rsidR="00BB6316" w:rsidRPr="00722885" w:rsidRDefault="00BB6316" w:rsidP="00722885">
      <w:pPr>
        <w:spacing w:after="0" w:line="240" w:lineRule="auto"/>
        <w:jc w:val="both"/>
        <w:rPr>
          <w:rFonts w:ascii="Times New Roman" w:hAnsi="Times New Roman"/>
          <w:iCs/>
          <w:color w:val="000000" w:themeColor="text1"/>
          <w:sz w:val="16"/>
          <w:szCs w:val="16"/>
        </w:rPr>
      </w:pPr>
      <w:r w:rsidRPr="00722885">
        <w:rPr>
          <w:rFonts w:ascii="Times New Roman" w:hAnsi="Times New Roman"/>
          <w:iCs/>
          <w:color w:val="000000" w:themeColor="text1"/>
          <w:sz w:val="16"/>
          <w:szCs w:val="16"/>
        </w:rPr>
        <w:t>По добыче бурых углей</w:t>
      </w:r>
    </w:p>
    <w:p w14:paraId="10771C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Канское рудоуправление, добывающее бурые угли, может при освоении проектных мощностей действующих шахт и окончании строительства шахт – новостроек увеличить годовую добычу до одного миллиона тонн.</w:t>
      </w:r>
    </w:p>
    <w:p w14:paraId="448FB1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этом потребность края в буром угле будет покрыта на 55%. Следовательно, полное удовлетворение нужд промышленности в этом виде топлива может быть осуществлено за счет дополнительной закладки новых шахт.</w:t>
      </w:r>
    </w:p>
    <w:p w14:paraId="578934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точки зрения приближения топливной базы к основным потребителям, близости железнодорожных путей, наличия некоторой жилой и энергетической базы (безусловно, требующей дальнейшего расширения) считаем наиболее целесообразным, при закладке новых шахт, обратить внимание на Иршинское, Камалинское и Бородинское месторождения.</w:t>
      </w:r>
    </w:p>
    <w:p w14:paraId="45A6F3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свете этих задач, связанных с необходимостью значительного увеличения угледобычи, Канское рудоуправление приобретает чрезвычайно важное значение и имеет исключительно большие перспективы развития. Эти перспективы заключаются не только в большом спросе на бурый уголь и наличии огромных промышленных запасов угля в Канском буроугольном бассейне, но и в возможности простой эксплуатации его месторождений, расположенных вблизи главной железнодорожной магистрали.</w:t>
      </w:r>
    </w:p>
    <w:p w14:paraId="30C694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Большая задача, стоящая перед Канским рудоуправлением, вызывает, таким образом, необходимость проведения ряда организационных мероприятий, которые должны будут сыграть основную роль в его дальнейшем развитии.</w:t>
      </w:r>
    </w:p>
    <w:p w14:paraId="4D3848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Исполком крайсовета и крайком ВКП (б), учитывая то обстоятельство, что Канское рудоуправление находится от треста «Хакасуголь» на расстоянии более восьмисот километров и в силу территориальной отдаленности не получает от треста необходимого оперативного руководства, считают своевременным поставить перед Вами вопрос о выделении Канского рудоуправления в самостоятельный трест, с непосредственным подчинением Наркомату.</w:t>
      </w:r>
    </w:p>
    <w:p w14:paraId="034048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Такое организационное мероприятие позволит не только усилить и приблизить оперативное руководство непосредственно в шахтах, но и представит возможность, как было выше сказано, быстро осуществить развитие угледобычи в Канском буроугольном бассейне.</w:t>
      </w:r>
    </w:p>
    <w:p w14:paraId="54297551" w14:textId="77777777" w:rsidR="00BB6316" w:rsidRPr="00722885" w:rsidRDefault="00BB6316" w:rsidP="00722885">
      <w:pPr>
        <w:spacing w:after="0" w:line="240" w:lineRule="auto"/>
        <w:jc w:val="both"/>
        <w:rPr>
          <w:rFonts w:ascii="Times New Roman" w:hAnsi="Times New Roman"/>
          <w:iCs/>
          <w:color w:val="000000" w:themeColor="text1"/>
          <w:sz w:val="16"/>
          <w:szCs w:val="16"/>
        </w:rPr>
      </w:pPr>
      <w:r w:rsidRPr="00722885">
        <w:rPr>
          <w:rFonts w:ascii="Times New Roman" w:hAnsi="Times New Roman"/>
          <w:iCs/>
          <w:color w:val="000000" w:themeColor="text1"/>
          <w:sz w:val="16"/>
          <w:szCs w:val="16"/>
        </w:rPr>
        <w:t>По добыче каменных углей</w:t>
      </w:r>
    </w:p>
    <w:p w14:paraId="55868E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Наряду с развитием добычи бурых углей по Канскому рудоуправлению, неотложно встает вопрос об увеличении угледобычи по Черногорскому руднику. Дальнейшее развитие добычи каменного угля в Минусинском бассейне диктуется не только возрастающими нуждами края в каменном угле, но и реальной возможностью с окончанием строительства железнодорожной ветки Абакан-Кузнецк, выхода Черногорских углей кратчайшим путем в Кузнецк и другие важнейшие центры промышленности Западной Сибири.</w:t>
      </w:r>
    </w:p>
    <w:p w14:paraId="260564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Увеличение угледобычи по Черногорскому руднику, несомненно, должно идти, как за счет освоения проектных мощностей действующих шахт и окончания строительства мелких шахт, так и за счет закладки новых и освоения Аскызского месторождения коксующихся углей.</w:t>
      </w:r>
    </w:p>
    <w:p w14:paraId="37DDA3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отметить, что Черногорский рудник в настоящее время имеет полную возможность увеличить добычу угля против существующего плана не менее чем на 30% при условии оборудования всего фронта работ и увеличения, в соответствии с этим, численности рабочей силы.</w:t>
      </w:r>
    </w:p>
    <w:p w14:paraId="4CD5EA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учитывая быстрый рост потребности промышленности края в энергетическом топливе, увеличение добычи бурых и каменных углей в Красноярском крае является главнейшей задачей народнохозяйственного значения.</w:t>
      </w:r>
    </w:p>
    <w:p w14:paraId="458471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Решение задачи по дальнейшему развитию угольной промышленности в крае, безусловно, потребует коренного рассмотрения вопроса о механизации горных работ, переустройства на некоторых действующих шахтах поверхностных складских сооружений, расширения имеющейся и создание новой энергетической базы, увеличения жилищно-коммунального и культурного строительства, укрепления предприятий угольной промышленности инженерно-техническими работниками и рабочими кадрами.</w:t>
      </w:r>
    </w:p>
    <w:p w14:paraId="04FC3581" w14:textId="77777777" w:rsidR="00BB6316" w:rsidRPr="00722885" w:rsidRDefault="00BB6316" w:rsidP="00722885">
      <w:pPr>
        <w:pStyle w:val="affff4"/>
        <w:ind w:firstLine="0"/>
        <w:rPr>
          <w:iCs/>
          <w:color w:val="000000" w:themeColor="text1"/>
          <w:sz w:val="16"/>
          <w:szCs w:val="16"/>
        </w:rPr>
      </w:pPr>
      <w:r w:rsidRPr="00722885">
        <w:rPr>
          <w:iCs/>
          <w:color w:val="000000" w:themeColor="text1"/>
          <w:sz w:val="16"/>
          <w:szCs w:val="16"/>
        </w:rPr>
        <w:t>ГАКК. Ф.П-26. Оп.3. Д.289. Л.61. Подлинник. Машинопись (11802).</w:t>
      </w:r>
    </w:p>
    <w:p w14:paraId="5A9D39C1" w14:textId="77777777" w:rsidR="00BB6316" w:rsidRPr="00722885" w:rsidRDefault="00BB6316" w:rsidP="00722885">
      <w:pPr>
        <w:pStyle w:val="affff4"/>
        <w:ind w:firstLine="0"/>
        <w:rPr>
          <w:color w:val="000000" w:themeColor="text1"/>
          <w:sz w:val="16"/>
          <w:szCs w:val="16"/>
        </w:rPr>
      </w:pPr>
    </w:p>
    <w:p w14:paraId="5CBD7B2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C2B53EC" w14:textId="77777777" w:rsidR="00BB6316" w:rsidRPr="00722885" w:rsidRDefault="00BB6316" w:rsidP="00722885">
      <w:pPr>
        <w:pStyle w:val="Iauiue"/>
        <w:jc w:val="both"/>
        <w:rPr>
          <w:iCs/>
          <w:color w:val="000000" w:themeColor="text1"/>
          <w:sz w:val="16"/>
          <w:szCs w:val="16"/>
        </w:rPr>
      </w:pPr>
    </w:p>
    <w:p w14:paraId="32E774B4" w14:textId="77777777" w:rsidR="00FB28B1" w:rsidRPr="00722885" w:rsidRDefault="00FB28B1"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8 декабря 1942 года, когда началась высадка союзников в Северной Африке, Германия вторглась в неоккупированную зону французской метрополии. Производство LeO 451 было остановлено, и все части ВВС объявлены расформированными. 94 LeO старого и нового выпуска достались немцам и использовались ими в качестве транспортных. Части французских ВВС на LeO 451 сначала воевали против англичан и американцев, «освобождавших» французские колонии в Северной Африке и в Леванте, затем перешли на сторону «Свободной Франции» и вместе с Союзниками сражались с немцами на Средиземноморском ТВД (22813).</w:t>
      </w:r>
    </w:p>
    <w:p w14:paraId="7474E7DE" w14:textId="77777777" w:rsidR="00FB28B1" w:rsidRPr="00722885" w:rsidRDefault="00FB28B1" w:rsidP="00722885">
      <w:pPr>
        <w:spacing w:after="0" w:line="240" w:lineRule="auto"/>
        <w:jc w:val="both"/>
        <w:rPr>
          <w:rFonts w:ascii="Times New Roman" w:hAnsi="Times New Roman"/>
          <w:color w:val="0070C0"/>
          <w:sz w:val="16"/>
          <w:szCs w:val="16"/>
        </w:rPr>
      </w:pPr>
    </w:p>
    <w:p w14:paraId="553F781F"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8, 1942: German troops occupy the port of Bizerte in Tunisia (3819).</w:t>
      </w:r>
    </w:p>
    <w:p w14:paraId="7EF032F8" w14:textId="77777777" w:rsidR="00BB6316" w:rsidRPr="00722885" w:rsidRDefault="00BB6316" w:rsidP="00722885">
      <w:pPr>
        <w:pStyle w:val="Iauiue"/>
        <w:jc w:val="both"/>
        <w:rPr>
          <w:color w:val="000000" w:themeColor="text1"/>
          <w:sz w:val="16"/>
          <w:szCs w:val="16"/>
          <w:lang w:val="en-US"/>
        </w:rPr>
      </w:pPr>
    </w:p>
    <w:p w14:paraId="5FE0620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декабря 1942 немецкие части оккупировали порт Бизерт в Тунисе (3819).</w:t>
      </w:r>
    </w:p>
    <w:p w14:paraId="3E1CC1C4" w14:textId="77777777" w:rsidR="00BB6316" w:rsidRPr="00722885" w:rsidRDefault="00BB6316" w:rsidP="00722885">
      <w:pPr>
        <w:pStyle w:val="Iauiue"/>
        <w:jc w:val="both"/>
        <w:rPr>
          <w:color w:val="000000" w:themeColor="text1"/>
          <w:sz w:val="16"/>
          <w:szCs w:val="16"/>
        </w:rPr>
      </w:pPr>
    </w:p>
    <w:p w14:paraId="70424A47"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8 декабря</w:t>
      </w:r>
      <w:r w:rsidRPr="00722885">
        <w:rPr>
          <w:rFonts w:ascii="Times New Roman" w:hAnsi="Times New Roman"/>
          <w:color w:val="000000" w:themeColor="text1"/>
          <w:sz w:val="16"/>
          <w:szCs w:val="16"/>
        </w:rPr>
        <w:t xml:space="preserve"> в 1942 году германский МИД высказал финляндским представителям резкий протест по поводу намерения Финляндии выйти из войны (14854).</w:t>
      </w:r>
    </w:p>
    <w:p w14:paraId="3A2869F9" w14:textId="77777777" w:rsidR="006340FE" w:rsidRPr="00722885" w:rsidRDefault="006340FE" w:rsidP="00722885">
      <w:pPr>
        <w:spacing w:after="0" w:line="240" w:lineRule="auto"/>
        <w:jc w:val="both"/>
        <w:rPr>
          <w:rFonts w:ascii="Times New Roman" w:hAnsi="Times New Roman"/>
          <w:color w:val="000000" w:themeColor="text1"/>
          <w:sz w:val="16"/>
          <w:szCs w:val="16"/>
        </w:rPr>
      </w:pPr>
    </w:p>
    <w:p w14:paraId="3B7649C1"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8 декабря 1942 испанский диктатор генерал Франко объявил: “Мир выбирает между коммунизмом и фашизмом, и я выбираю последнее” (4962).</w:t>
      </w:r>
    </w:p>
    <w:p w14:paraId="43F831DA" w14:textId="77777777" w:rsidR="00BB6316" w:rsidRPr="00722885" w:rsidRDefault="00BB6316" w:rsidP="00722885">
      <w:pPr>
        <w:pStyle w:val="Iauiue"/>
        <w:tabs>
          <w:tab w:val="left" w:pos="11199"/>
        </w:tabs>
        <w:jc w:val="both"/>
        <w:rPr>
          <w:color w:val="000000" w:themeColor="text1"/>
          <w:sz w:val="16"/>
          <w:szCs w:val="16"/>
        </w:rPr>
      </w:pPr>
    </w:p>
    <w:p w14:paraId="239D4FA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6504F914" w14:textId="77777777" w:rsidR="00BB6316" w:rsidRPr="00722885" w:rsidRDefault="00BB6316" w:rsidP="00722885">
      <w:pPr>
        <w:pStyle w:val="Iauiue"/>
        <w:jc w:val="both"/>
        <w:rPr>
          <w:iCs/>
          <w:color w:val="000000" w:themeColor="text1"/>
          <w:sz w:val="16"/>
          <w:szCs w:val="16"/>
        </w:rPr>
      </w:pPr>
    </w:p>
    <w:p w14:paraId="0AD45E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г. двухместный Ил-2бис закончил войсковые испытания также на Калининском фронте в 6-м гшап, которые шли с 7 ноября. Несмотря на производство всего 9 боевых вылетов (на 10-м самолет сбит зенитным огнем), Ил-2бис понравился летному составу, особенно, стрелкам. Они отмечали, что кабина удобна и просторна. Вследствие сильного бронирования стрелок чувствовал себя в кабине комфортно и спокойно, что благоприятно сказывалось на эффективности воздушного боя. Более того, размеры кабины позволяли брать в полет пулемет ДА и использовать его при отражении атак истребителей сбоку.</w:t>
      </w:r>
    </w:p>
    <w:p w14:paraId="1037D7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отзыве о самолете указывалось: "Больше выпускать самолеты Ил-2 со стрелком. Наилучшей машиной такого типа является машина первого завода. Летно-технический состав 6-го гв. шап благодарит коллектив 1-го завода, создавший замечательную кабину стрелка, тем самым давший возможность всесторонне использовать самолеты Ил-2, что и требует обстановка на фронтах... Летчики 6-го гв. шап просят давать побольше этих машин".</w:t>
      </w:r>
    </w:p>
    <w:p w14:paraId="494AFB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не менее, решение о серийном выпуске Ил-2бис принято не было. Основными причинами этого явились большой объем конструктивных изменений, связанных в основном с переделкой бронекорпуса и перекомпоновкой бензобаков, что было сложным для производства.</w:t>
      </w:r>
    </w:p>
    <w:p w14:paraId="5C9526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Укажем, что ТТТ к кабине воздушного стрелка самолета Ил-2, разработанные к 6 января 1943 г. в 4-м отделе НИИ ВВС, в целом соответствовали кабине Ил-2бис, отличаясь увеличенными углами обстрела и усиленным бронированием со стороны задней полусферы, "рассчитанным на защиту от бронебойных пуль калибра 15 мм с дальности 400 м" (12020).</w:t>
      </w:r>
    </w:p>
    <w:p w14:paraId="60EC562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1B6E703" w14:textId="77777777" w:rsidR="00FB28B1" w:rsidRPr="00722885" w:rsidRDefault="00FB28B1"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 xml:space="preserve">9 декабря 1942 г. </w:t>
      </w:r>
      <w:r w:rsidRPr="00722885">
        <w:rPr>
          <w:rFonts w:ascii="Times New Roman" w:hAnsi="Times New Roman" w:cs="Times New Roman"/>
          <w:color w:val="0070C0"/>
          <w:w w:val="100"/>
          <w:sz w:val="16"/>
          <w:szCs w:val="16"/>
          <w:lang w:val="ru-RU"/>
        </w:rPr>
        <w:t>д</w:t>
      </w:r>
      <w:r w:rsidRPr="00722885">
        <w:rPr>
          <w:rFonts w:ascii="Times New Roman" w:hAnsi="Times New Roman" w:cs="Times New Roman"/>
          <w:color w:val="0070C0"/>
          <w:w w:val="100"/>
          <w:sz w:val="16"/>
          <w:szCs w:val="16"/>
        </w:rPr>
        <w:t xml:space="preserve">вухместный Ил-2бис </w:t>
      </w:r>
      <w:r w:rsidRPr="00722885">
        <w:rPr>
          <w:rFonts w:ascii="Times New Roman" w:hAnsi="Times New Roman" w:cs="Times New Roman"/>
          <w:color w:val="0070C0"/>
          <w:w w:val="100"/>
          <w:sz w:val="16"/>
          <w:szCs w:val="16"/>
          <w:lang w:val="ru-RU"/>
        </w:rPr>
        <w:t>закончил</w:t>
      </w:r>
      <w:r w:rsidRPr="00722885">
        <w:rPr>
          <w:rFonts w:ascii="Times New Roman" w:hAnsi="Times New Roman" w:cs="Times New Roman"/>
          <w:color w:val="0070C0"/>
          <w:w w:val="100"/>
          <w:sz w:val="16"/>
          <w:szCs w:val="16"/>
        </w:rPr>
        <w:t xml:space="preserve"> войско</w:t>
      </w:r>
      <w:r w:rsidRPr="00722885">
        <w:rPr>
          <w:rFonts w:ascii="Times New Roman" w:hAnsi="Times New Roman" w:cs="Times New Roman"/>
          <w:color w:val="0070C0"/>
          <w:w w:val="100"/>
          <w:sz w:val="16"/>
          <w:szCs w:val="16"/>
        </w:rPr>
        <w:softHyphen/>
        <w:t>вые испытания также на Калининском фронте в 6-м гшап</w:t>
      </w:r>
      <w:r w:rsidRPr="00722885">
        <w:rPr>
          <w:rFonts w:ascii="Times New Roman" w:hAnsi="Times New Roman" w:cs="Times New Roman"/>
          <w:color w:val="0070C0"/>
          <w:w w:val="100"/>
          <w:sz w:val="16"/>
          <w:szCs w:val="16"/>
          <w:lang w:val="ru-RU"/>
        </w:rPr>
        <w:t>, которые шли с</w:t>
      </w:r>
      <w:r w:rsidRPr="00722885">
        <w:rPr>
          <w:rFonts w:ascii="Times New Roman" w:hAnsi="Times New Roman" w:cs="Times New Roman"/>
          <w:color w:val="0070C0"/>
          <w:w w:val="100"/>
          <w:sz w:val="16"/>
          <w:szCs w:val="16"/>
        </w:rPr>
        <w:t xml:space="preserve"> 7 ноября</w:t>
      </w:r>
      <w:r w:rsidRPr="00722885">
        <w:rPr>
          <w:rFonts w:ascii="Times New Roman" w:hAnsi="Times New Roman" w:cs="Times New Roman"/>
          <w:color w:val="0070C0"/>
          <w:w w:val="100"/>
          <w:sz w:val="16"/>
          <w:szCs w:val="16"/>
          <w:lang w:val="ru-RU"/>
        </w:rPr>
        <w:t>.</w:t>
      </w:r>
      <w:r w:rsidRPr="00722885">
        <w:rPr>
          <w:rFonts w:ascii="Times New Roman" w:hAnsi="Times New Roman" w:cs="Times New Roman"/>
          <w:color w:val="0070C0"/>
          <w:w w:val="100"/>
          <w:sz w:val="16"/>
          <w:szCs w:val="16"/>
        </w:rPr>
        <w:t xml:space="preserve"> Он выполнил всего девять боевых вылетов (в де</w:t>
      </w:r>
      <w:r w:rsidRPr="00722885">
        <w:rPr>
          <w:rFonts w:ascii="Times New Roman" w:hAnsi="Times New Roman" w:cs="Times New Roman"/>
          <w:color w:val="0070C0"/>
          <w:w w:val="100"/>
          <w:sz w:val="16"/>
          <w:szCs w:val="16"/>
        </w:rPr>
        <w:softHyphen/>
        <w:t>сятом вылете его сбили зенитным огнем), но успел понравиться летному составу, особенно стрелкам. Они отмечали, что кабина удобна и просторна. Благодаря сильному бронирова</w:t>
      </w:r>
      <w:r w:rsidRPr="00722885">
        <w:rPr>
          <w:rFonts w:ascii="Times New Roman" w:hAnsi="Times New Roman" w:cs="Times New Roman"/>
          <w:color w:val="0070C0"/>
          <w:w w:val="100"/>
          <w:sz w:val="16"/>
          <w:szCs w:val="16"/>
        </w:rPr>
        <w:softHyphen/>
        <w:t>нию стрелок чувствовал себя увереннее, что повышало эффективность ведения воздуш</w:t>
      </w:r>
      <w:r w:rsidRPr="00722885">
        <w:rPr>
          <w:rFonts w:ascii="Times New Roman" w:hAnsi="Times New Roman" w:cs="Times New Roman"/>
          <w:color w:val="0070C0"/>
          <w:w w:val="100"/>
          <w:sz w:val="16"/>
          <w:szCs w:val="16"/>
        </w:rPr>
        <w:softHyphen/>
        <w:t>ного боя. Более того, размеры кабины позво</w:t>
      </w:r>
      <w:r w:rsidRPr="00722885">
        <w:rPr>
          <w:rFonts w:ascii="Times New Roman" w:hAnsi="Times New Roman" w:cs="Times New Roman"/>
          <w:color w:val="0070C0"/>
          <w:w w:val="100"/>
          <w:sz w:val="16"/>
          <w:szCs w:val="16"/>
        </w:rPr>
        <w:softHyphen/>
        <w:t>ляли брать в полет пулемет ДА и использовать его при отражении атак истребителей.</w:t>
      </w:r>
    </w:p>
    <w:p w14:paraId="00C914DE" w14:textId="77777777" w:rsidR="00FB28B1" w:rsidRPr="00722885" w:rsidRDefault="00FB28B1" w:rsidP="00722885">
      <w:pPr>
        <w:pStyle w:val="28"/>
        <w:shd w:val="clear" w:color="auto" w:fill="auto"/>
        <w:spacing w:before="0" w:line="240" w:lineRule="auto"/>
        <w:jc w:val="both"/>
        <w:rPr>
          <w:rFonts w:ascii="Times New Roman" w:hAnsi="Times New Roman" w:cs="Times New Roman"/>
          <w:color w:val="0070C0"/>
          <w:sz w:val="16"/>
          <w:szCs w:val="16"/>
        </w:rPr>
      </w:pPr>
      <w:r w:rsidRPr="00722885">
        <w:rPr>
          <w:rStyle w:val="2750"/>
          <w:rFonts w:ascii="Times New Roman" w:hAnsi="Times New Roman" w:cs="Times New Roman"/>
          <w:i w:val="0"/>
          <w:iCs w:val="0"/>
          <w:color w:val="0070C0"/>
          <w:w w:val="100"/>
          <w:sz w:val="16"/>
          <w:szCs w:val="16"/>
        </w:rPr>
        <w:t xml:space="preserve">В отзыве о самолете указывалось: </w:t>
      </w:r>
      <w:r w:rsidRPr="00722885">
        <w:rPr>
          <w:rFonts w:ascii="Times New Roman" w:hAnsi="Times New Roman" w:cs="Times New Roman"/>
          <w:color w:val="0070C0"/>
          <w:sz w:val="16"/>
          <w:szCs w:val="16"/>
        </w:rPr>
        <w:t>«Больше выпускать самолеты Ил-2 со стрел</w:t>
      </w:r>
      <w:r w:rsidRPr="00722885">
        <w:rPr>
          <w:rFonts w:ascii="Times New Roman" w:hAnsi="Times New Roman" w:cs="Times New Roman"/>
          <w:color w:val="0070C0"/>
          <w:sz w:val="16"/>
          <w:szCs w:val="16"/>
        </w:rPr>
        <w:softHyphen/>
        <w:t>ком. Наилучшей машиной такого типа явля</w:t>
      </w:r>
      <w:r w:rsidRPr="00722885">
        <w:rPr>
          <w:rFonts w:ascii="Times New Roman" w:hAnsi="Times New Roman" w:cs="Times New Roman"/>
          <w:color w:val="0070C0"/>
          <w:sz w:val="16"/>
          <w:szCs w:val="16"/>
        </w:rPr>
        <w:softHyphen/>
        <w:t>ется машина первого завода. Летно-технический состав 6-го Гв.шап благодарит коллектив 1-го завода, создавший замечательную кабину стрелка, тем самым давший возможность все</w:t>
      </w:r>
      <w:r w:rsidRPr="00722885">
        <w:rPr>
          <w:rFonts w:ascii="Times New Roman" w:hAnsi="Times New Roman" w:cs="Times New Roman"/>
          <w:color w:val="0070C0"/>
          <w:sz w:val="16"/>
          <w:szCs w:val="16"/>
        </w:rPr>
        <w:softHyphen/>
        <w:t>сторонне использовать самолеты Ил-2, что и требует обстановка на фронтах././Летчики 6-го Гв.шап просят давать побольше этих ма</w:t>
      </w:r>
      <w:r w:rsidRPr="00722885">
        <w:rPr>
          <w:rFonts w:ascii="Times New Roman" w:hAnsi="Times New Roman" w:cs="Times New Roman"/>
          <w:color w:val="0070C0"/>
          <w:sz w:val="16"/>
          <w:szCs w:val="16"/>
        </w:rPr>
        <w:softHyphen/>
        <w:t>шин».</w:t>
      </w:r>
    </w:p>
    <w:p w14:paraId="3D3233A8" w14:textId="77777777" w:rsidR="00FB28B1" w:rsidRPr="00722885" w:rsidRDefault="00FB28B1"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Тем не менее, решение о серийном вы</w:t>
      </w:r>
      <w:r w:rsidRPr="00722885">
        <w:rPr>
          <w:rFonts w:ascii="Times New Roman" w:hAnsi="Times New Roman"/>
          <w:color w:val="0070C0"/>
          <w:sz w:val="16"/>
          <w:szCs w:val="16"/>
        </w:rPr>
        <w:softHyphen/>
        <w:t>пуске Ил-2бис так и не приняли. Основными препятствиями стали большой объем необхо</w:t>
      </w:r>
      <w:r w:rsidRPr="00722885">
        <w:rPr>
          <w:rFonts w:ascii="Times New Roman" w:hAnsi="Times New Roman"/>
          <w:color w:val="0070C0"/>
          <w:sz w:val="16"/>
          <w:szCs w:val="16"/>
        </w:rPr>
        <w:softHyphen/>
        <w:t>димых конструктивных изменений, связанных в основном с переделкой бронекорпуса и перекомпоновкой бензобаков, что было слож</w:t>
      </w:r>
      <w:r w:rsidRPr="00722885">
        <w:rPr>
          <w:rFonts w:ascii="Times New Roman" w:hAnsi="Times New Roman"/>
          <w:color w:val="0070C0"/>
          <w:sz w:val="16"/>
          <w:szCs w:val="16"/>
        </w:rPr>
        <w:softHyphen/>
        <w:t>ным для производства и неизбежно привело бы к снижению выпуска Ил-2 (19878).</w:t>
      </w:r>
    </w:p>
    <w:p w14:paraId="49F497E9" w14:textId="77777777" w:rsidR="00FB28B1" w:rsidRPr="00722885" w:rsidRDefault="00FB28B1" w:rsidP="00722885">
      <w:pPr>
        <w:shd w:val="clear" w:color="auto" w:fill="FFFFFF"/>
        <w:spacing w:after="0" w:line="240" w:lineRule="auto"/>
        <w:jc w:val="both"/>
        <w:rPr>
          <w:rFonts w:ascii="Times New Roman" w:hAnsi="Times New Roman"/>
          <w:color w:val="0070C0"/>
          <w:sz w:val="16"/>
          <w:szCs w:val="16"/>
        </w:rPr>
      </w:pPr>
    </w:p>
    <w:p w14:paraId="65B3119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 декабря 1942 вышло постановление ГКО N 2603 "О дальнейшем уменьшении веса истребителя Як-1 до 2690 кг и увеличения его скорости у земли до 560 км/час и на высоте 5500 м до 670 км/час (2179,70).</w:t>
      </w:r>
    </w:p>
    <w:p w14:paraId="21B73A8E" w14:textId="77777777" w:rsidR="00BB6316" w:rsidRPr="00722885" w:rsidRDefault="00BB6316" w:rsidP="00722885">
      <w:pPr>
        <w:pStyle w:val="Iauiue"/>
        <w:jc w:val="both"/>
        <w:rPr>
          <w:color w:val="000000" w:themeColor="text1"/>
          <w:sz w:val="16"/>
          <w:szCs w:val="16"/>
        </w:rPr>
      </w:pPr>
    </w:p>
    <w:p w14:paraId="0D4E2B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вышло Постановление ГКО № 2603 О дальнейшем уменьшении веса истребителя Як-1 до 2690 кг и увеличении его скорости у земли до 560 км в час и на высоте 5000 м до 670 км в час. РГАНИР, Фонд ГКО, д. 72, лл. 128 (11012).</w:t>
      </w:r>
    </w:p>
    <w:p w14:paraId="0AF55B56"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1BD9F81" w14:textId="77777777" w:rsidR="003F114E" w:rsidRPr="00722885" w:rsidRDefault="003F11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вышло Постановление ГКО № 2603 О дальнейшем уменьшении веса истребителя Як-1 до 2690 кг и увеличении его скорости у земли до 560 км в час и на высоте 5000 м до 670 км в час</w:t>
      </w:r>
    </w:p>
    <w:p w14:paraId="629CC03F"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 целях обеспечения ВВС истребителями с повышенными летно-тактическими данными, Государственный Комитет Обороны постановляет:</w:t>
      </w:r>
    </w:p>
    <w:p w14:paraId="32882D6C"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1. Обязать Народного комиссара авиационной промышленно</w:t>
      </w:r>
      <w:r w:rsidRPr="00722885">
        <w:rPr>
          <w:rFonts w:ascii="Times New Roman" w:hAnsi="Times New Roman" w:cs="Times New Roman"/>
          <w:color w:val="000000" w:themeColor="text1"/>
          <w:spacing w:val="0"/>
          <w:sz w:val="16"/>
          <w:szCs w:val="16"/>
        </w:rPr>
        <w:softHyphen/>
        <w:t>сти - т.Шахурина, директора и главного конструктора завода № 115 - т.Яковлева спроектировать и построить модификацию истребителя Як-1 с мотором М-106П с двухскоростным нагнета</w:t>
      </w:r>
      <w:r w:rsidRPr="00722885">
        <w:rPr>
          <w:rFonts w:ascii="Times New Roman" w:hAnsi="Times New Roman" w:cs="Times New Roman"/>
          <w:color w:val="000000" w:themeColor="text1"/>
          <w:spacing w:val="0"/>
          <w:sz w:val="16"/>
          <w:szCs w:val="16"/>
        </w:rPr>
        <w:softHyphen/>
        <w:t>телем, с полетным весом 2690 кг и с уменьшенным крылом.</w:t>
      </w:r>
    </w:p>
    <w:p w14:paraId="2D434E5E"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Самолет должен иметь следующие летно-тактические дан</w:t>
      </w:r>
      <w:r w:rsidRPr="00722885">
        <w:rPr>
          <w:rFonts w:ascii="Times New Roman" w:hAnsi="Times New Roman" w:cs="Times New Roman"/>
          <w:color w:val="000000" w:themeColor="text1"/>
          <w:spacing w:val="0"/>
          <w:sz w:val="16"/>
          <w:szCs w:val="16"/>
        </w:rPr>
        <w:softHyphen/>
      </w:r>
    </w:p>
    <w:p w14:paraId="0A224697"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ные:</w:t>
      </w:r>
    </w:p>
    <w:p w14:paraId="5FFACB8C"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Скорость у эемли 560 км/час</w:t>
      </w:r>
    </w:p>
    <w:p w14:paraId="335F98A5"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Скорость на высоте 5500 мт 670 км/час</w:t>
      </w:r>
    </w:p>
    <w:p w14:paraId="756FC329"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 xml:space="preserve">Скоропод'емность на 5000 мт 4 минуты </w:t>
      </w:r>
    </w:p>
    <w:p w14:paraId="5B9EF833"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Время виража на высоте 1000 мт 17-18 секунд</w:t>
      </w:r>
    </w:p>
    <w:p w14:paraId="7CA4A38D"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Запас горючего 325 кг</w:t>
      </w:r>
    </w:p>
    <w:p w14:paraId="53234F0F"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Вооружение:</w:t>
      </w:r>
    </w:p>
    <w:p w14:paraId="0C9CCF97"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1 пушка Швак с боезапасом 120 штук снарядов 1 пулемет БС с боезапасом 200 штук патронов.</w:t>
      </w:r>
    </w:p>
    <w:p w14:paraId="76D47EDC" w14:textId="77777777" w:rsidR="003F114E" w:rsidRPr="00722885" w:rsidRDefault="003F114E"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Самолет построить в двух экземплярах. Самолет пред явить на летные испытания в ЛИИ НКАП 15-го февраля и в НИИ ВВС - 15 марта 1943 года.</w:t>
      </w:r>
    </w:p>
    <w:p w14:paraId="5113C82A" w14:textId="77777777" w:rsidR="003F114E" w:rsidRPr="00722885" w:rsidRDefault="003F114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Наркомфину СССР - т.Звереву выделить в распоряжение НКАП, в счет финансирования плана опытного строительства, на постройку двух экземпляров самолета - 3 миллиона рублей, а также 500.000 рублей для премирования работников завода 115 за выполнение в срок задания, установленного настоящим постановлением (19376).</w:t>
      </w:r>
    </w:p>
    <w:p w14:paraId="7EF2D20A" w14:textId="77777777" w:rsidR="00B82F32" w:rsidRPr="00722885" w:rsidRDefault="00B82F32" w:rsidP="00722885">
      <w:pPr>
        <w:spacing w:after="0" w:line="240" w:lineRule="auto"/>
        <w:jc w:val="both"/>
        <w:rPr>
          <w:rFonts w:ascii="Times New Roman" w:hAnsi="Times New Roman"/>
          <w:color w:val="000000" w:themeColor="text1"/>
          <w:sz w:val="16"/>
          <w:szCs w:val="16"/>
        </w:rPr>
      </w:pPr>
    </w:p>
    <w:p w14:paraId="4470C1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года вышло решение Государственного Комитета Обороны (ГКО), в соответствии с которым создавался Як-1М, но не с двигателем М-106П, к тому времени успешно выдержавшему стендовые испытания, а с М-106ск, оснащенным двухско- ростным нагнетателем. При этом ожидалось, что максимальная скорость (этот параметр тогда считался одним из главных для истребителя) возрастет до 670 км/ч на высоте 5500 метров (12047).</w:t>
      </w:r>
    </w:p>
    <w:p w14:paraId="34B157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Як-1М изготовили в полном соответствии с постановлением ГКО и приказом наркома авиапромышленности к 15 февраля 1943 года, но обещанный мотор так и не появился, и вместо него пришлось использовать испытанный в боях М-105ПФ. Правда, ожидать от него существенного улучшения летных данных не приходилось, и тогда А.С. Яковлев направил В.Я. Климову запрос о возможности форсирования двига- щитка основных теля путем увеличения наддува, на что глав- опор шасси ный конструктор двигателя ответил:</w:t>
      </w:r>
    </w:p>
    <w:p w14:paraId="126E72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Ваш запрос &lt;...&gt; сообщаю: на основании испытаний моторов М-106, наддув на первой скорости &lt;...&gt; М-105ПФ может быть поднят до 1100мм.</w:t>
      </w:r>
    </w:p>
    <w:p w14:paraId="322A55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на второй скорости из-за свойств топлива (из-за недостаточных антидетонационных свойств бензина 4Б-78) наддув следует поставить 1050 мм с нормальным допуском.</w:t>
      </w:r>
    </w:p>
    <w:p w14:paraId="1D1D70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возможности работы на разных наддувах нами спроектировано, испытано и облетано дополнительное устройство к регулятору наддува..." (12047).</w:t>
      </w:r>
    </w:p>
    <w:p w14:paraId="0D83E9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Так была решена важнейшая задача на пути создания будущего Як-3 - увеличение мощности двигателя, реализованное в М-105ПФ2 (ВК-105ПФ2). Сразу следует оговориться, что инициатива Яковлева самым благоприятным образом отразилась на летных данных не только самолетов ОКБ-115, но и на истребителях С.АЛавочкина и бомбардировщиках В.М. Петлякова.- </w:t>
      </w:r>
    </w:p>
    <w:p w14:paraId="18B04C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Сравнительные данные моторов ВК-105ПФ и ВК-105ПФ2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9B487A" w:rsidRPr="00722885" w14:paraId="74DB09A5" w14:textId="77777777" w:rsidTr="00CC5360">
        <w:tc>
          <w:tcPr>
            <w:tcW w:w="1868" w:type="dxa"/>
            <w:tcBorders>
              <w:top w:val="single" w:sz="12" w:space="0" w:color="auto"/>
            </w:tcBorders>
          </w:tcPr>
          <w:p w14:paraId="3E6F17C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46F109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ВК-105ПФ</w:t>
            </w:r>
          </w:p>
        </w:tc>
        <w:tc>
          <w:tcPr>
            <w:tcW w:w="1868" w:type="dxa"/>
            <w:tcBorders>
              <w:top w:val="single" w:sz="12" w:space="0" w:color="auto"/>
            </w:tcBorders>
          </w:tcPr>
          <w:p w14:paraId="27FD17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ВК-105ПФ2</w:t>
            </w:r>
          </w:p>
        </w:tc>
        <w:tc>
          <w:tcPr>
            <w:tcW w:w="1868" w:type="dxa"/>
            <w:tcBorders>
              <w:top w:val="single" w:sz="12" w:space="0" w:color="auto"/>
            </w:tcBorders>
          </w:tcPr>
          <w:p w14:paraId="337B39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М-106П</w:t>
            </w:r>
          </w:p>
        </w:tc>
        <w:tc>
          <w:tcPr>
            <w:tcW w:w="1868" w:type="dxa"/>
            <w:tcBorders>
              <w:top w:val="single" w:sz="12" w:space="0" w:color="auto"/>
            </w:tcBorders>
          </w:tcPr>
          <w:p w14:paraId="196939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ВК-107А</w:t>
            </w:r>
          </w:p>
        </w:tc>
      </w:tr>
      <w:tr w:rsidR="009B487A" w:rsidRPr="00722885" w14:paraId="62A9174F" w14:textId="77777777" w:rsidTr="00CC5360">
        <w:tc>
          <w:tcPr>
            <w:tcW w:w="1868" w:type="dxa"/>
          </w:tcPr>
          <w:p w14:paraId="120DE4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Взлетная мощность, л.с.</w:t>
            </w:r>
          </w:p>
        </w:tc>
        <w:tc>
          <w:tcPr>
            <w:tcW w:w="1868" w:type="dxa"/>
          </w:tcPr>
          <w:p w14:paraId="39F72E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1210</w:t>
            </w:r>
          </w:p>
        </w:tc>
        <w:tc>
          <w:tcPr>
            <w:tcW w:w="1868" w:type="dxa"/>
          </w:tcPr>
          <w:p w14:paraId="5AC929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1290</w:t>
            </w:r>
          </w:p>
        </w:tc>
        <w:tc>
          <w:tcPr>
            <w:tcW w:w="1868" w:type="dxa"/>
          </w:tcPr>
          <w:p w14:paraId="723CC0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1250</w:t>
            </w:r>
          </w:p>
        </w:tc>
        <w:tc>
          <w:tcPr>
            <w:tcW w:w="1868" w:type="dxa"/>
          </w:tcPr>
          <w:p w14:paraId="1FA6F2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1650</w:t>
            </w:r>
          </w:p>
        </w:tc>
      </w:tr>
      <w:tr w:rsidR="009B487A" w:rsidRPr="00722885" w14:paraId="7AD7217C" w14:textId="77777777" w:rsidTr="00CC5360">
        <w:tc>
          <w:tcPr>
            <w:tcW w:w="1868" w:type="dxa"/>
          </w:tcPr>
          <w:p w14:paraId="0BF00E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Высотность, м:</w:t>
            </w:r>
          </w:p>
        </w:tc>
        <w:tc>
          <w:tcPr>
            <w:tcW w:w="1868" w:type="dxa"/>
          </w:tcPr>
          <w:p w14:paraId="135C1A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700</w:t>
            </w:r>
          </w:p>
        </w:tc>
        <w:tc>
          <w:tcPr>
            <w:tcW w:w="1868" w:type="dxa"/>
          </w:tcPr>
          <w:p w14:paraId="4F68F8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tc>
        <w:tc>
          <w:tcPr>
            <w:tcW w:w="1868" w:type="dxa"/>
          </w:tcPr>
          <w:p w14:paraId="090E3C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1200</w:t>
            </w:r>
          </w:p>
        </w:tc>
        <w:tc>
          <w:tcPr>
            <w:tcW w:w="1868" w:type="dxa"/>
          </w:tcPr>
          <w:p w14:paraId="022FB24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3711180D" w14:textId="77777777" w:rsidTr="00CC5360">
        <w:tc>
          <w:tcPr>
            <w:tcW w:w="1868" w:type="dxa"/>
          </w:tcPr>
          <w:p w14:paraId="2A2C8E2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1-й границе скорости нагнетателя на 2-й границе скорости нагнетателя</w:t>
            </w:r>
          </w:p>
        </w:tc>
        <w:tc>
          <w:tcPr>
            <w:tcW w:w="1868" w:type="dxa"/>
          </w:tcPr>
          <w:p w14:paraId="0A5571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2700</w:t>
            </w:r>
          </w:p>
        </w:tc>
        <w:tc>
          <w:tcPr>
            <w:tcW w:w="1868" w:type="dxa"/>
          </w:tcPr>
          <w:p w14:paraId="0AE139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1868" w:type="dxa"/>
          </w:tcPr>
          <w:p w14:paraId="7D6042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1868" w:type="dxa"/>
          </w:tcPr>
          <w:p w14:paraId="70D1AE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3800</w:t>
            </w:r>
          </w:p>
        </w:tc>
      </w:tr>
      <w:tr w:rsidR="009B487A" w:rsidRPr="00722885" w14:paraId="4CB5D6F3" w14:textId="77777777" w:rsidTr="00CC5360">
        <w:tc>
          <w:tcPr>
            <w:tcW w:w="1868" w:type="dxa"/>
          </w:tcPr>
          <w:p w14:paraId="25D487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Высотная номинальная мощность, л.е.:</w:t>
            </w:r>
          </w:p>
        </w:tc>
        <w:tc>
          <w:tcPr>
            <w:tcW w:w="1868" w:type="dxa"/>
          </w:tcPr>
          <w:p w14:paraId="6555D5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1260</w:t>
            </w:r>
          </w:p>
        </w:tc>
        <w:tc>
          <w:tcPr>
            <w:tcW w:w="1868" w:type="dxa"/>
          </w:tcPr>
          <w:p w14:paraId="28E5D6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1310</w:t>
            </w:r>
          </w:p>
        </w:tc>
        <w:tc>
          <w:tcPr>
            <w:tcW w:w="1868" w:type="dxa"/>
          </w:tcPr>
          <w:p w14:paraId="144F99B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868" w:type="dxa"/>
          </w:tcPr>
          <w:p w14:paraId="4CC8C1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1550</w:t>
            </w:r>
          </w:p>
        </w:tc>
      </w:tr>
      <w:tr w:rsidR="009B487A" w:rsidRPr="00722885" w14:paraId="7E516558" w14:textId="77777777" w:rsidTr="00CC5360">
        <w:tc>
          <w:tcPr>
            <w:tcW w:w="1868" w:type="dxa"/>
          </w:tcPr>
          <w:p w14:paraId="7703FF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1-й границе скорости нагнетателя на 2-й границе скорости нагнетателя</w:t>
            </w:r>
          </w:p>
        </w:tc>
        <w:tc>
          <w:tcPr>
            <w:tcW w:w="1868" w:type="dxa"/>
          </w:tcPr>
          <w:p w14:paraId="6F7BCE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1180</w:t>
            </w:r>
          </w:p>
        </w:tc>
        <w:tc>
          <w:tcPr>
            <w:tcW w:w="1868" w:type="dxa"/>
          </w:tcPr>
          <w:p w14:paraId="7BABF3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1240</w:t>
            </w:r>
          </w:p>
        </w:tc>
        <w:tc>
          <w:tcPr>
            <w:tcW w:w="1868" w:type="dxa"/>
          </w:tcPr>
          <w:p w14:paraId="0EB150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1350</w:t>
            </w:r>
          </w:p>
        </w:tc>
        <w:tc>
          <w:tcPr>
            <w:tcW w:w="1868" w:type="dxa"/>
          </w:tcPr>
          <w:p w14:paraId="435DBE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1450</w:t>
            </w:r>
          </w:p>
        </w:tc>
      </w:tr>
      <w:tr w:rsidR="009B487A" w:rsidRPr="00722885" w14:paraId="340ABE21" w14:textId="77777777" w:rsidTr="00CC5360">
        <w:tc>
          <w:tcPr>
            <w:tcW w:w="1868" w:type="dxa"/>
          </w:tcPr>
          <w:p w14:paraId="13A9D2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Давление наддува за нагнетателем на 1 -й и 2-й скорости нагнетателя, мм рт. ст.</w:t>
            </w:r>
          </w:p>
        </w:tc>
        <w:tc>
          <w:tcPr>
            <w:tcW w:w="1868" w:type="dxa"/>
          </w:tcPr>
          <w:p w14:paraId="75027F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1080</w:t>
            </w:r>
          </w:p>
        </w:tc>
        <w:tc>
          <w:tcPr>
            <w:tcW w:w="1868" w:type="dxa"/>
          </w:tcPr>
          <w:p w14:paraId="7BEE75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1100</w:t>
            </w:r>
          </w:p>
        </w:tc>
        <w:tc>
          <w:tcPr>
            <w:tcW w:w="1868" w:type="dxa"/>
          </w:tcPr>
          <w:p w14:paraId="061EA4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1100</w:t>
            </w:r>
          </w:p>
        </w:tc>
        <w:tc>
          <w:tcPr>
            <w:tcW w:w="1868" w:type="dxa"/>
          </w:tcPr>
          <w:p w14:paraId="6086F2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F9EC916" w14:textId="77777777" w:rsidTr="00CC5360">
        <w:tc>
          <w:tcPr>
            <w:tcW w:w="1868" w:type="dxa"/>
          </w:tcPr>
          <w:p w14:paraId="1B2CD4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 двигателя на 1-й и 2-й скорости нагнетателя, об/мин</w:t>
            </w:r>
          </w:p>
        </w:tc>
        <w:tc>
          <w:tcPr>
            <w:tcW w:w="1868" w:type="dxa"/>
          </w:tcPr>
          <w:p w14:paraId="21DC3F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2700</w:t>
            </w:r>
          </w:p>
        </w:tc>
        <w:tc>
          <w:tcPr>
            <w:tcW w:w="1868" w:type="dxa"/>
          </w:tcPr>
          <w:p w14:paraId="1974E0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2700</w:t>
            </w:r>
          </w:p>
        </w:tc>
        <w:tc>
          <w:tcPr>
            <w:tcW w:w="1868" w:type="dxa"/>
          </w:tcPr>
          <w:p w14:paraId="33D99B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868" w:type="dxa"/>
          </w:tcPr>
          <w:p w14:paraId="3E3483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3200</w:t>
            </w:r>
          </w:p>
        </w:tc>
      </w:tr>
      <w:tr w:rsidR="009B487A" w:rsidRPr="00722885" w14:paraId="2CE0C726" w14:textId="77777777" w:rsidTr="00CC5360">
        <w:tc>
          <w:tcPr>
            <w:tcW w:w="1868" w:type="dxa"/>
          </w:tcPr>
          <w:p w14:paraId="09954B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Сухой вес, кг</w:t>
            </w:r>
          </w:p>
        </w:tc>
        <w:tc>
          <w:tcPr>
            <w:tcW w:w="1868" w:type="dxa"/>
          </w:tcPr>
          <w:p w14:paraId="3F72C7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600-620</w:t>
            </w:r>
          </w:p>
        </w:tc>
        <w:tc>
          <w:tcPr>
            <w:tcW w:w="1868" w:type="dxa"/>
          </w:tcPr>
          <w:p w14:paraId="3152FFC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868" w:type="dxa"/>
          </w:tcPr>
          <w:p w14:paraId="582A3B3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868" w:type="dxa"/>
          </w:tcPr>
          <w:p w14:paraId="672FB9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760</w:t>
            </w:r>
          </w:p>
        </w:tc>
      </w:tr>
      <w:tr w:rsidR="009B487A" w:rsidRPr="00722885" w14:paraId="24BD155B" w14:textId="77777777" w:rsidTr="00CC5360">
        <w:tc>
          <w:tcPr>
            <w:tcW w:w="1868" w:type="dxa"/>
            <w:tcBorders>
              <w:bottom w:val="single" w:sz="12" w:space="0" w:color="auto"/>
            </w:tcBorders>
          </w:tcPr>
          <w:p w14:paraId="4644CC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Удельный вес, кг/л.с.</w:t>
            </w:r>
          </w:p>
        </w:tc>
        <w:tc>
          <w:tcPr>
            <w:tcW w:w="1868" w:type="dxa"/>
            <w:tcBorders>
              <w:bottom w:val="single" w:sz="12" w:space="0" w:color="auto"/>
            </w:tcBorders>
          </w:tcPr>
          <w:p w14:paraId="586CFA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0,5-0,517</w:t>
            </w:r>
          </w:p>
        </w:tc>
        <w:tc>
          <w:tcPr>
            <w:tcW w:w="1868" w:type="dxa"/>
            <w:tcBorders>
              <w:bottom w:val="single" w:sz="12" w:space="0" w:color="auto"/>
            </w:tcBorders>
          </w:tcPr>
          <w:p w14:paraId="67DEE1F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6C8FA9D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E740A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0,461</w:t>
            </w:r>
          </w:p>
        </w:tc>
      </w:tr>
    </w:tbl>
    <w:p w14:paraId="04E8F9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(12047).</w:t>
      </w:r>
    </w:p>
    <w:p w14:paraId="78BAB0F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D23377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 декабря 1942 вышло постановление ГКО N 2604 "Об улучшении самолетов-истребителей Як-1, Як-7 и Ла-5 (2179,63) в целях обеспечения ВВС истребителями с повышенными ЛТД (1620,69) и о производстве Як-7Б с М-105ПФ на 153 заводе (65,89). В результате также родился Як-9 с М-106 (65,113).</w:t>
      </w:r>
    </w:p>
    <w:p w14:paraId="3B148EC0" w14:textId="77777777" w:rsidR="00BB6316" w:rsidRPr="00722885" w:rsidRDefault="00BB6316" w:rsidP="00722885">
      <w:pPr>
        <w:pStyle w:val="Iauiue"/>
        <w:jc w:val="both"/>
        <w:rPr>
          <w:color w:val="000000" w:themeColor="text1"/>
          <w:sz w:val="16"/>
          <w:szCs w:val="16"/>
        </w:rPr>
      </w:pPr>
    </w:p>
    <w:p w14:paraId="324CD601" w14:textId="77777777" w:rsidR="001E756A" w:rsidRPr="00722885" w:rsidRDefault="001E756A"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9 декабря 1942 г. Яковлев добился выхода Постановления ГКО № 2603 «О дальнейшем уменьшении веса истребителя Як-1…», подтвержденного 18 декабря приказом по НКАП. «Москит» с мотором М-106П должен был развивать скорость 560 км/ч у земли и 670 км/ч на высоте 5 500 м, подниматься на эшелон 5 км за 4 минуты и выполнять вираж за 17–18 секунд. «Москит» требовалось сдать на заводские испытания к 15 февраля, а на государственные — к 15 марта 1943 г. (22751).</w:t>
      </w:r>
    </w:p>
    <w:p w14:paraId="48BABCB4" w14:textId="77777777" w:rsidR="001E756A" w:rsidRPr="00722885" w:rsidRDefault="001E756A" w:rsidP="00722885">
      <w:pPr>
        <w:shd w:val="clear" w:color="auto" w:fill="FFFFFF"/>
        <w:spacing w:after="0" w:line="240" w:lineRule="auto"/>
        <w:jc w:val="both"/>
        <w:rPr>
          <w:rFonts w:ascii="Times New Roman" w:hAnsi="Times New Roman"/>
          <w:color w:val="0070C0"/>
          <w:sz w:val="16"/>
          <w:szCs w:val="16"/>
        </w:rPr>
      </w:pPr>
    </w:p>
    <w:p w14:paraId="1EB53B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вышло Постановление ГКО № 2604 Об улучшении самолетов-истребителей Як-1, Як-7 и Ла-5. РГАНИР, Фонд ГКО, д. 72, лл. 129-134 (11012).</w:t>
      </w:r>
    </w:p>
    <w:p w14:paraId="29B8C95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ПОСТАНОВЛЕНИЕ ГОСУДАРСТВЕННОГО КОМИТЕТА ОБОРОНЫ</w:t>
      </w:r>
    </w:p>
    <w:p w14:paraId="310FC8C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 улучшении самолетов-истребителей Як-1, Яа-7 и Ла-5</w:t>
      </w:r>
    </w:p>
    <w:p w14:paraId="4596FF9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Комитет Обороны постановляет:</w:t>
      </w:r>
    </w:p>
    <w:p w14:paraId="4CD7462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w:t>
      </w:r>
      <w:r w:rsidRPr="00722885">
        <w:rPr>
          <w:rFonts w:ascii="Times New Roman" w:hAnsi="Times New Roman"/>
          <w:color w:val="000000" w:themeColor="text1"/>
          <w:sz w:val="16"/>
          <w:szCs w:val="16"/>
          <w:u w:val="single"/>
        </w:rPr>
        <w:t>О самолете Як-1</w:t>
      </w:r>
    </w:p>
    <w:p w14:paraId="79AA1B6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Принять </w:t>
      </w:r>
      <w:r w:rsidRPr="00722885">
        <w:rPr>
          <w:rFonts w:ascii="Times New Roman" w:hAnsi="Times New Roman"/>
          <w:smallCaps/>
          <w:color w:val="000000" w:themeColor="text1"/>
          <w:sz w:val="16"/>
          <w:szCs w:val="16"/>
        </w:rPr>
        <w:t xml:space="preserve">е </w:t>
      </w:r>
      <w:r w:rsidRPr="00722885">
        <w:rPr>
          <w:rFonts w:ascii="Times New Roman" w:hAnsi="Times New Roman"/>
          <w:color w:val="000000" w:themeColor="text1"/>
          <w:sz w:val="16"/>
          <w:szCs w:val="16"/>
        </w:rPr>
        <w:t>сведению, что завод № 292 НКАП выпускает серийный самолет Як-1 с мотором М-105ПФ с улучшенными летными и боевыми данными:</w:t>
      </w:r>
    </w:p>
    <w:p w14:paraId="0DEA403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сашлета у;-земли - 520 км в час</w:t>
      </w:r>
    </w:p>
    <w:p w14:paraId="6EAD88B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скорость самолета на высоте 3750 м - 580 </w:t>
      </w:r>
    </w:p>
    <w:p w14:paraId="1262CA6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самолета - 2990 кг.</w:t>
      </w:r>
    </w:p>
    <w:p w14:paraId="72FC411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Улучшения летных и боевых качеств самолета, проведенные главным конструктором т. Яковлевым совместно с ЦАГИ и ааводом № 292, состоят в следующем:</w:t>
      </w:r>
    </w:p>
    <w:p w14:paraId="525AD1F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w:t>
      </w:r>
      <w:r w:rsidRPr="00722885">
        <w:rPr>
          <w:rFonts w:ascii="Times New Roman" w:hAnsi="Times New Roman"/>
          <w:color w:val="000000" w:themeColor="text1"/>
          <w:sz w:val="16"/>
          <w:szCs w:val="16"/>
          <w:u w:val="single"/>
        </w:rPr>
        <w:t>по аэродинамике</w:t>
      </w:r>
    </w:p>
    <w:p w14:paraId="0137032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улучшены туннели системы водяного охлаждения,</w:t>
      </w:r>
    </w:p>
    <w:p w14:paraId="3681792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улучлены туннели системы масляного охлаждения,</w:t>
      </w:r>
    </w:p>
    <w:p w14:paraId="201213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 полностью убирающийся костыль,</w:t>
      </w:r>
    </w:p>
    <w:p w14:paraId="707D59D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 всасывающий патрубок,</w:t>
      </w:r>
    </w:p>
    <w:p w14:paraId="13ED118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 обтекатель на выхлопные патрубки мотора,</w:t>
      </w:r>
    </w:p>
    <w:p w14:paraId="08C75D1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установлены щитка шасси, плотно прилегающие к крылу,</w:t>
      </w:r>
    </w:p>
    <w:p w14:paraId="634BE3E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улучшены зализы хвостового оперения,</w:t>
      </w:r>
    </w:p>
    <w:p w14:paraId="7173AC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введена герметизация перегородок фюзеляжа,</w:t>
      </w:r>
    </w:p>
    <w:p w14:paraId="7D9B537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введено общее улучшение внешней отделки самолета;</w:t>
      </w:r>
    </w:p>
    <w:p w14:paraId="4ADE15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 оружию и обзору</w:t>
      </w:r>
    </w:p>
    <w:p w14:paraId="44D8D5A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 1 пулемет ВС 12.7 мм с запасом патрон 200 шт., вместо 2 пулеметов Шкас и увеличен запас снарядов пушки Швак со 120 шт. до 140 штгук,</w:t>
      </w:r>
    </w:p>
    <w:p w14:paraId="4D893F0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 фонарь кабины, обеспечивающий летчику обзор назад,</w:t>
      </w:r>
    </w:p>
    <w:p w14:paraId="25440E2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улучшения обзора передний козырек сделан граненым и на нем установлена прозрачная броня,</w:t>
      </w:r>
    </w:p>
    <w:p w14:paraId="3EE04F8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установлена прозрачная броня сзади летчика,</w:t>
      </w:r>
    </w:p>
    <w:p w14:paraId="3E58BC7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установлено зеркало для обзора задней полусферы;</w:t>
      </w:r>
    </w:p>
    <w:p w14:paraId="6D4254A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w:t>
      </w:r>
      <w:r w:rsidRPr="00722885">
        <w:rPr>
          <w:rFonts w:ascii="Times New Roman" w:hAnsi="Times New Roman"/>
          <w:color w:val="000000" w:themeColor="text1"/>
          <w:sz w:val="16"/>
          <w:szCs w:val="16"/>
          <w:u w:val="single"/>
        </w:rPr>
        <w:t>эксплуатационные улучшения</w:t>
      </w:r>
    </w:p>
    <w:p w14:paraId="24B6727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ликвидации забрызгивания переднего козырька пилота маслом установлены сальники на вал мотора,</w:t>
      </w:r>
    </w:p>
    <w:p w14:paraId="065148E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улучшения доступа к оружию изменена и усилена верх</w:t>
      </w:r>
      <w:r w:rsidRPr="00722885">
        <w:rPr>
          <w:rFonts w:ascii="Times New Roman" w:hAnsi="Times New Roman"/>
          <w:color w:val="000000" w:themeColor="text1"/>
          <w:sz w:val="16"/>
          <w:szCs w:val="16"/>
        </w:rPr>
        <w:softHyphen/>
        <w:t>няя крышка капота,</w:t>
      </w:r>
    </w:p>
    <w:p w14:paraId="7767407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проведены мероприятия по обеспечению безотказной работы самолета в зимних условиях.</w:t>
      </w:r>
    </w:p>
    <w:p w14:paraId="4F2171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Государственный Комитет Обороны считает важнейшей за</w:t>
      </w:r>
      <w:r w:rsidRPr="00722885">
        <w:rPr>
          <w:rFonts w:ascii="Times New Roman" w:hAnsi="Times New Roman"/>
          <w:color w:val="000000" w:themeColor="text1"/>
          <w:sz w:val="16"/>
          <w:szCs w:val="16"/>
        </w:rPr>
        <w:softHyphen/>
        <w:t>дачей Наркомата авиационной промышленности и завода № 292 бе</w:t>
      </w:r>
      <w:r w:rsidRPr="00722885">
        <w:rPr>
          <w:rFonts w:ascii="Times New Roman" w:hAnsi="Times New Roman"/>
          <w:color w:val="000000" w:themeColor="text1"/>
          <w:sz w:val="16"/>
          <w:szCs w:val="16"/>
        </w:rPr>
        <w:softHyphen/>
        <w:t>зусловно закрепить в серийном производстве полученные летные данные истребителей Як-1, обеспечив дальнейший выпуск их с дан</w:t>
      </w:r>
      <w:r w:rsidRPr="00722885">
        <w:rPr>
          <w:rFonts w:ascii="Times New Roman" w:hAnsi="Times New Roman"/>
          <w:color w:val="000000" w:themeColor="text1"/>
          <w:sz w:val="16"/>
          <w:szCs w:val="16"/>
        </w:rPr>
        <w:softHyphen/>
        <w:t>ными, не ниже указанных в пункте 1.</w:t>
      </w:r>
    </w:p>
    <w:p w14:paraId="511575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Принять к сведению сообщение НКАП (т.т. Шахурина, Кли</w:t>
      </w:r>
      <w:r w:rsidRPr="00722885">
        <w:rPr>
          <w:rFonts w:ascii="Times New Roman" w:hAnsi="Times New Roman"/>
          <w:color w:val="000000" w:themeColor="text1"/>
          <w:sz w:val="16"/>
          <w:szCs w:val="16"/>
        </w:rPr>
        <w:softHyphen/>
        <w:t>мова и Баландина), что заводом № 26 создан в серийном производ</w:t>
      </w:r>
      <w:r w:rsidRPr="00722885">
        <w:rPr>
          <w:rFonts w:ascii="Times New Roman" w:hAnsi="Times New Roman"/>
          <w:color w:val="000000" w:themeColor="text1"/>
          <w:sz w:val="16"/>
          <w:szCs w:val="16"/>
        </w:rPr>
        <w:softHyphen/>
        <w:t>стве мотор М-106П с односкоростным нагнетателем, имеющий данные: взлетная мощность 1350 л.сю, номинальная мощность на высоте 2000 метров - 1350 л.с. Мотор М-106П полностью взаимозаменяем с мотором М-105ПФ, но в связи с большей мощностью потребует при постановке на самолет увеличенный водяной радиатор.</w:t>
      </w:r>
    </w:p>
    <w:p w14:paraId="3F52CD3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созданием в серийном производстве мотора М-106П, Государственный Комитет Обороны считает необходимым поставить перед НКАП задачу дальнейшего улучшения серийных самолетов Як-1, для чего:</w:t>
      </w:r>
    </w:p>
    <w:p w14:paraId="6696C27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обязать Наркомавиапром т.т. Шахурина, Яковлева и дирек</w:t>
      </w:r>
      <w:r w:rsidRPr="00722885">
        <w:rPr>
          <w:rFonts w:ascii="Times New Roman" w:hAnsi="Times New Roman"/>
          <w:color w:val="000000" w:themeColor="text1"/>
          <w:sz w:val="16"/>
          <w:szCs w:val="16"/>
        </w:rPr>
        <w:softHyphen/>
        <w:t>тора завода № 292 т. Левина выпустить к 10 января 1943 г. 32 самолет Як-1 с мотором М-106П с одаоскоростным нагнетателем, с прежним водяным радиатором для испытания в зимней боевой эксплоатации. Самолет должен иметь скорость у земли - 535 кило</w:t>
      </w:r>
      <w:r w:rsidRPr="00722885">
        <w:rPr>
          <w:rFonts w:ascii="Times New Roman" w:hAnsi="Times New Roman"/>
          <w:color w:val="000000" w:themeColor="text1"/>
          <w:sz w:val="16"/>
          <w:szCs w:val="16"/>
        </w:rPr>
        <w:softHyphen/>
        <w:t>метров в час и на высоте 3750 метров - 610 километров и час;</w:t>
      </w:r>
    </w:p>
    <w:p w14:paraId="40AF3E2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директору завода № 26, заместителю наркома авиапро</w:t>
      </w:r>
      <w:r w:rsidRPr="00722885">
        <w:rPr>
          <w:rFonts w:ascii="Times New Roman" w:hAnsi="Times New Roman"/>
          <w:color w:val="000000" w:themeColor="text1"/>
          <w:sz w:val="16"/>
          <w:szCs w:val="16"/>
        </w:rPr>
        <w:softHyphen/>
        <w:t>мышленности т. Баландину к 20 декабря 1942 года поставить заводу № 292 моторы М-106П с о дноскорстным нагнетателем в количест</w:t>
      </w:r>
      <w:r w:rsidRPr="00722885">
        <w:rPr>
          <w:rFonts w:ascii="Times New Roman" w:hAnsi="Times New Roman"/>
          <w:color w:val="000000" w:themeColor="text1"/>
          <w:sz w:val="16"/>
          <w:szCs w:val="16"/>
        </w:rPr>
        <w:softHyphen/>
        <w:t>ве 35 штук;</w:t>
      </w:r>
    </w:p>
    <w:p w14:paraId="1DEF24D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главному конструктору т. Яковлеву с целью улучшения вертикального и горизонтального маневра и взлетно-посадочных свойств самолета Як-1 с мотором М-106П с односкорсетным наг</w:t>
      </w:r>
      <w:r w:rsidRPr="00722885">
        <w:rPr>
          <w:rFonts w:ascii="Times New Roman" w:hAnsi="Times New Roman"/>
          <w:color w:val="000000" w:themeColor="text1"/>
          <w:sz w:val="16"/>
          <w:szCs w:val="16"/>
        </w:rPr>
        <w:softHyphen/>
        <w:t>нетателем, модифицировать его, доводя вес самолета до 2730 ки</w:t>
      </w:r>
      <w:r w:rsidRPr="00722885">
        <w:rPr>
          <w:rFonts w:ascii="Times New Roman" w:hAnsi="Times New Roman"/>
          <w:color w:val="000000" w:themeColor="text1"/>
          <w:sz w:val="16"/>
          <w:szCs w:val="16"/>
        </w:rPr>
        <w:softHyphen/>
        <w:t>лограмм, вместо веса серийного самолета Як-1 - 2950 килограмм.</w:t>
      </w:r>
    </w:p>
    <w:p w14:paraId="7A66514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сдать на летные испытания в ЛИИ НКАП 25 декабря 1942 года и на госиспытания в НИИ ВВС к 25 января 1943 года.</w:t>
      </w:r>
    </w:p>
    <w:p w14:paraId="424921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 </w:t>
      </w:r>
      <w:r w:rsidRPr="00722885">
        <w:rPr>
          <w:rFonts w:ascii="Times New Roman" w:hAnsi="Times New Roman"/>
          <w:color w:val="000000" w:themeColor="text1"/>
          <w:sz w:val="16"/>
          <w:szCs w:val="16"/>
          <w:u w:val="single"/>
        </w:rPr>
        <w:t>О самолете Як-7</w:t>
      </w:r>
    </w:p>
    <w:p w14:paraId="0AA77B2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Принять к сведению, что завод № 153 НКАП выпускает серийный самолет Як-7 с мотором М-105ПФ с улучшенными летными и боевыми данными:</w:t>
      </w:r>
    </w:p>
    <w:p w14:paraId="562C834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самолета у земли - 525 км в час</w:t>
      </w:r>
    </w:p>
    <w:p w14:paraId="04B4004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самолета на высоте 3750м - 585</w:t>
      </w:r>
    </w:p>
    <w:p w14:paraId="087C397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самолета - 3026 кг</w:t>
      </w:r>
    </w:p>
    <w:p w14:paraId="20B5DD4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Улучшения летных и боевик качеств самолета, проведенные главным конструктором т. Яковлевым совместно с ЦАГИ и заводом № 153, состоят в следующем:</w:t>
      </w:r>
    </w:p>
    <w:p w14:paraId="7BF7C6F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улучшены туннели системы водяного охлаждения,</w:t>
      </w:r>
    </w:p>
    <w:p w14:paraId="6B98AC1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улучшены туннели системы масляного охлаждения,</w:t>
      </w:r>
    </w:p>
    <w:p w14:paraId="5B0F281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 полностью убирающийся костыль,</w:t>
      </w:r>
    </w:p>
    <w:p w14:paraId="6F8252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 обтекатель на выхлопные патрубки мотора,</w:t>
      </w:r>
    </w:p>
    <w:p w14:paraId="759EFA0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улучшены зализы хвостового оперения,</w:t>
      </w:r>
    </w:p>
    <w:p w14:paraId="6EEBA22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проведена герметизация перегородок фюзеляжа,</w:t>
      </w:r>
    </w:p>
    <w:p w14:paraId="60B8C5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проведено общее улучшение внешней отделки самолета;</w:t>
      </w:r>
    </w:p>
    <w:p w14:paraId="2B8B16A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w:t>
      </w:r>
      <w:r w:rsidRPr="00722885">
        <w:rPr>
          <w:rFonts w:ascii="Times New Roman" w:hAnsi="Times New Roman"/>
          <w:color w:val="000000" w:themeColor="text1"/>
          <w:sz w:val="16"/>
          <w:szCs w:val="16"/>
          <w:u w:val="single"/>
        </w:rPr>
        <w:t>по оружию и обзору</w:t>
      </w:r>
    </w:p>
    <w:p w14:paraId="11F027E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стрелковое оружие самолета Як-7 - 1 пушка Шшак 20 мм с запасом патрон 120 шт. и 2 пулемета ВС 12,7 мм с запасом патрон 400 шт. усовершенствовано за счет улучшения звеньеотвода пушки и звеньесборника, обеспечивающих безотказную работу всей системы и полное израсходовшше боекомплекта в эксплоатации,</w:t>
      </w:r>
    </w:p>
    <w:p w14:paraId="4537CE1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улучшения обзора передний козырек сделан граненым и на нем установлена прозрачная броня:</w:t>
      </w:r>
    </w:p>
    <w:p w14:paraId="08E9336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w:t>
      </w:r>
      <w:r w:rsidRPr="00722885">
        <w:rPr>
          <w:rFonts w:ascii="Times New Roman" w:hAnsi="Times New Roman"/>
          <w:color w:val="000000" w:themeColor="text1"/>
          <w:sz w:val="16"/>
          <w:szCs w:val="16"/>
          <w:u w:val="single"/>
        </w:rPr>
        <w:t>эксплоатационные улучшения</w:t>
      </w:r>
    </w:p>
    <w:p w14:paraId="7565A5F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ликвидации забрызгивания переднего козырька пилота маслом установлены сальники на вал мотора;</w:t>
      </w:r>
    </w:p>
    <w:p w14:paraId="579E0E9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проведены мероприятия по обеспечению безотказной работы самолета в зимних условиях.</w:t>
      </w:r>
    </w:p>
    <w:p w14:paraId="65A2808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Государственный Комитет Обороны считает важнейшей задачей Наркомата авиационной промышленности и завода № 153 безусловно закрепить в серийном производстве подученные лет</w:t>
      </w:r>
      <w:r w:rsidRPr="00722885">
        <w:rPr>
          <w:rFonts w:ascii="Times New Roman" w:hAnsi="Times New Roman"/>
          <w:color w:val="000000" w:themeColor="text1"/>
          <w:sz w:val="16"/>
          <w:szCs w:val="16"/>
        </w:rPr>
        <w:softHyphen/>
        <w:t>ные данные истребителей Як-7, обеспечив дальнейший выпуск их с данными, не ниже указанных в пункте 4.</w:t>
      </w:r>
    </w:p>
    <w:p w14:paraId="2628EA4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Государственный Комитет Обороны считает необходимым поставить перед Наркомавиадромом следующую задачу по даль</w:t>
      </w:r>
      <w:r w:rsidRPr="00722885">
        <w:rPr>
          <w:rFonts w:ascii="Times New Roman" w:hAnsi="Times New Roman"/>
          <w:color w:val="000000" w:themeColor="text1"/>
          <w:sz w:val="16"/>
          <w:szCs w:val="16"/>
        </w:rPr>
        <w:softHyphen/>
        <w:t>нейшему улучшению серийных истребителей Як-7:</w:t>
      </w:r>
    </w:p>
    <w:p w14:paraId="0AB03A4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главному конструктору т.Яковлеву провести дальнейшее улучшение самолета Як-7 путем отработки на нем мотора М-106П с односкоростным нагнетателем и введения фонаря с задним обзором и прозрачной броней;</w:t>
      </w:r>
    </w:p>
    <w:p w14:paraId="25B7734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должен иметь скорость у земли 535 километров в час и на высоте 3750 метров - 610 километров в час;</w:t>
      </w:r>
    </w:p>
    <w:p w14:paraId="09CE56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предъявить на летные испытания в ЛИИ ИКАП к 15 января 1943 года и в НИИ ВВС к 5 февраля 1943 г.</w:t>
      </w:r>
    </w:p>
    <w:p w14:paraId="4BD22E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u w:val="single"/>
        </w:rPr>
        <w:t>О самолете Ла-5</w:t>
      </w:r>
    </w:p>
    <w:p w14:paraId="593BA8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Принять к сведению, что завод № 21 НКАП выпускает серийные самолеты Ла-5 с мотором М-82 с улучшенными летными и боевыми данными:</w:t>
      </w:r>
    </w:p>
    <w:p w14:paraId="60B3129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Скорость самолета у земли при номинальной мощности мотора наддув 950 </w:t>
      </w:r>
      <w:r w:rsidRPr="00722885">
        <w:rPr>
          <w:rFonts w:ascii="Times New Roman" w:hAnsi="Times New Roman"/>
          <w:bCs/>
          <w:color w:val="000000" w:themeColor="text1"/>
          <w:sz w:val="16"/>
          <w:szCs w:val="16"/>
        </w:rPr>
        <w:t xml:space="preserve">мм - </w:t>
      </w:r>
      <w:r w:rsidRPr="00722885">
        <w:rPr>
          <w:rFonts w:ascii="Times New Roman" w:hAnsi="Times New Roman"/>
          <w:color w:val="000000" w:themeColor="text1"/>
          <w:sz w:val="16"/>
          <w:szCs w:val="16"/>
        </w:rPr>
        <w:t>518 км/чао</w:t>
      </w:r>
    </w:p>
    <w:p w14:paraId="50DE10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самолета при максималь</w:t>
      </w:r>
      <w:r w:rsidRPr="00722885">
        <w:rPr>
          <w:rFonts w:ascii="Times New Roman" w:hAnsi="Times New Roman"/>
          <w:color w:val="000000" w:themeColor="text1"/>
          <w:sz w:val="16"/>
          <w:szCs w:val="16"/>
        </w:rPr>
        <w:softHyphen/>
        <w:t>ной мощности мотора - наддув 1140 мм - 550 км/час</w:t>
      </w:r>
    </w:p>
    <w:p w14:paraId="721A24E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самолета при максимальной мощности на высоте 1750 м - 575 км/час</w:t>
      </w:r>
    </w:p>
    <w:p w14:paraId="7006808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самолета на высоте 3250 м - 574 км/час</w:t>
      </w:r>
    </w:p>
    <w:p w14:paraId="447D369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Серийный самолет Ла-5 выпускается с уменьшенным весом в сравнении с опытным самолетом. Полетный вес серийного само</w:t>
      </w:r>
      <w:r w:rsidRPr="00722885">
        <w:rPr>
          <w:rFonts w:ascii="Times New Roman" w:hAnsi="Times New Roman"/>
          <w:color w:val="000000" w:themeColor="text1"/>
          <w:sz w:val="16"/>
          <w:szCs w:val="16"/>
        </w:rPr>
        <w:softHyphen/>
        <w:t>лета доведен до 3220 кг. вместо 3380 кг. у опытного самолета. Облегчение веса произведено за счет уменьшения веса конструк</w:t>
      </w:r>
      <w:r w:rsidRPr="00722885">
        <w:rPr>
          <w:rFonts w:ascii="Times New Roman" w:hAnsi="Times New Roman"/>
          <w:color w:val="000000" w:themeColor="text1"/>
          <w:sz w:val="16"/>
          <w:szCs w:val="16"/>
        </w:rPr>
        <w:softHyphen/>
        <w:t>ции крыла, фюзеляжа и центроплана.</w:t>
      </w:r>
    </w:p>
    <w:p w14:paraId="12A5568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самолете установлены 3 бензобака общей емкостью 345 кг и двумя синхронными пушками Швак с боекомплектом по 170 снаря</w:t>
      </w:r>
      <w:r w:rsidRPr="00722885">
        <w:rPr>
          <w:rFonts w:ascii="Times New Roman" w:hAnsi="Times New Roman"/>
          <w:color w:val="000000" w:themeColor="text1"/>
          <w:sz w:val="16"/>
          <w:szCs w:val="16"/>
        </w:rPr>
        <w:softHyphen/>
        <w:t>дов на пушку.</w:t>
      </w:r>
    </w:p>
    <w:p w14:paraId="6BF5D1B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Улучшения летных и боевых качеств самолета, произве</w:t>
      </w:r>
      <w:r w:rsidRPr="00722885">
        <w:rPr>
          <w:rFonts w:ascii="Times New Roman" w:hAnsi="Times New Roman"/>
          <w:color w:val="000000" w:themeColor="text1"/>
          <w:sz w:val="16"/>
          <w:szCs w:val="16"/>
        </w:rPr>
        <w:softHyphen/>
        <w:t>денные главным конструктором самолета т.Лавочкиным совместно с ЦАГИ и заводом № 21, состоят в следующем:</w:t>
      </w:r>
    </w:p>
    <w:p w14:paraId="507BFE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улучшено капотирование мотора,</w:t>
      </w:r>
    </w:p>
    <w:p w14:paraId="3FEBC34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произведена герметизация капотов,</w:t>
      </w:r>
    </w:p>
    <w:p w14:paraId="52AFB12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улучшена подгонка предкрылков и щитков крала,</w:t>
      </w:r>
    </w:p>
    <w:p w14:paraId="392C9CC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улучшена подгонка элеронов и рулей,</w:t>
      </w:r>
    </w:p>
    <w:p w14:paraId="7F88710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установлен полностью убирающийся костыль,</w:t>
      </w:r>
    </w:p>
    <w:p w14:paraId="30655D2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обеспечено полное прилегание в убранном положении</w:t>
      </w:r>
    </w:p>
    <w:p w14:paraId="3BB491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щитков шасси к крылу,</w:t>
      </w:r>
    </w:p>
    <w:p w14:paraId="1947EC4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улучшена общая отделка самолета;</w:t>
      </w:r>
    </w:p>
    <w:p w14:paraId="774154B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w:t>
      </w:r>
      <w:r w:rsidRPr="00722885">
        <w:rPr>
          <w:rFonts w:ascii="Times New Roman" w:hAnsi="Times New Roman"/>
          <w:color w:val="000000" w:themeColor="text1"/>
          <w:sz w:val="16"/>
          <w:szCs w:val="16"/>
          <w:u w:val="single"/>
        </w:rPr>
        <w:t>по улучшению управления</w:t>
      </w:r>
    </w:p>
    <w:p w14:paraId="205BA4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облегчено управление элеронами за счет увеличения аэро</w:t>
      </w:r>
      <w:r w:rsidRPr="00722885">
        <w:rPr>
          <w:rFonts w:ascii="Times New Roman" w:hAnsi="Times New Roman"/>
          <w:color w:val="000000" w:themeColor="text1"/>
          <w:sz w:val="16"/>
          <w:szCs w:val="16"/>
        </w:rPr>
        <w:softHyphen/>
        <w:t>динамической компенсации,</w:t>
      </w:r>
    </w:p>
    <w:p w14:paraId="76D31DF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изменено передаточное число механизма управления элеро</w:t>
      </w:r>
      <w:r w:rsidRPr="00722885">
        <w:rPr>
          <w:rFonts w:ascii="Times New Roman" w:hAnsi="Times New Roman"/>
          <w:color w:val="000000" w:themeColor="text1"/>
          <w:sz w:val="16"/>
          <w:szCs w:val="16"/>
        </w:rPr>
        <w:softHyphen/>
        <w:t>нами,</w:t>
      </w:r>
    </w:p>
    <w:p w14:paraId="1C3289D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улучшено соотношение площадей руля высоты и стабилиза</w:t>
      </w:r>
      <w:r w:rsidRPr="00722885">
        <w:rPr>
          <w:rFonts w:ascii="Times New Roman" w:hAnsi="Times New Roman"/>
          <w:color w:val="000000" w:themeColor="text1"/>
          <w:sz w:val="16"/>
          <w:szCs w:val="16"/>
        </w:rPr>
        <w:softHyphen/>
        <w:t>тора,</w:t>
      </w:r>
    </w:p>
    <w:p w14:paraId="59DDEA2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изменено передаточное число к рулю высоты от ручки управления в сторону облегчения;</w:t>
      </w:r>
    </w:p>
    <w:p w14:paraId="316D6C4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w:t>
      </w:r>
      <w:r w:rsidRPr="00722885">
        <w:rPr>
          <w:rFonts w:ascii="Times New Roman" w:hAnsi="Times New Roman"/>
          <w:color w:val="000000" w:themeColor="text1"/>
          <w:sz w:val="16"/>
          <w:szCs w:val="16"/>
          <w:u w:val="single"/>
        </w:rPr>
        <w:t>аксплоатационные улучшения</w:t>
      </w:r>
    </w:p>
    <w:p w14:paraId="4DDEE4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проведены мероприятия по удлучшению эксплоатации самолета в зимних условиях,</w:t>
      </w:r>
    </w:p>
    <w:p w14:paraId="7AEC7D9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улучшения обзора передний козырек сделан граненым, улучшен монтаж предкрылков, обеспечивающий их надежную и плавную работу.</w:t>
      </w:r>
    </w:p>
    <w:p w14:paraId="5D9AB2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Государственный Комитет Обороны считает важнейшей задачей Наркомата авиационной промышленности и завода №21 безусловно закрепить в серийном производстве полученные летные данные серийного истребителя, обязав в дальнейшем обеспечить выпуск их с данными, не ниже указанных в пункте 7.</w:t>
      </w:r>
    </w:p>
    <w:p w14:paraId="12B4CAC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Принять к сведению сообщение Наркомавиапрома, глав</w:t>
      </w:r>
      <w:r w:rsidRPr="00722885">
        <w:rPr>
          <w:rFonts w:ascii="Times New Roman" w:hAnsi="Times New Roman"/>
          <w:color w:val="000000" w:themeColor="text1"/>
          <w:sz w:val="16"/>
          <w:szCs w:val="16"/>
        </w:rPr>
        <w:softHyphen/>
        <w:t>ного конструктора завода № 19 т. Швецова и главного конструк</w:t>
      </w:r>
      <w:r w:rsidRPr="00722885">
        <w:rPr>
          <w:rFonts w:ascii="Times New Roman" w:hAnsi="Times New Roman"/>
          <w:color w:val="000000" w:themeColor="text1"/>
          <w:sz w:val="16"/>
          <w:szCs w:val="16"/>
        </w:rPr>
        <w:softHyphen/>
        <w:t>тора завода № 21 т. Лавочкина, что на самолетах Ла-5 в усло</w:t>
      </w:r>
      <w:r w:rsidRPr="00722885">
        <w:rPr>
          <w:rFonts w:ascii="Times New Roman" w:hAnsi="Times New Roman"/>
          <w:color w:val="000000" w:themeColor="text1"/>
          <w:sz w:val="16"/>
          <w:szCs w:val="16"/>
        </w:rPr>
        <w:softHyphen/>
        <w:t>виях боевой эксплоатации допускается применение повышенной мощности мотора М-82 на первой скорости нагнетателя с дове</w:t>
      </w:r>
      <w:r w:rsidRPr="00722885">
        <w:rPr>
          <w:rFonts w:ascii="Times New Roman" w:hAnsi="Times New Roman"/>
          <w:color w:val="000000" w:themeColor="text1"/>
          <w:sz w:val="16"/>
          <w:szCs w:val="16"/>
        </w:rPr>
        <w:softHyphen/>
        <w:t>дением наддува до 1140 мм, в результате чего мощность мотора у земли увеличивается с 1400 до 1700 лошадиных сил, а макси</w:t>
      </w:r>
      <w:r w:rsidRPr="00722885">
        <w:rPr>
          <w:rFonts w:ascii="Times New Roman" w:hAnsi="Times New Roman"/>
          <w:color w:val="000000" w:themeColor="text1"/>
          <w:sz w:val="16"/>
          <w:szCs w:val="16"/>
        </w:rPr>
        <w:softHyphen/>
        <w:t>мальная скорость самолета у земли повышается с 518 до 550 клн/час.</w:t>
      </w:r>
    </w:p>
    <w:p w14:paraId="3CD39DA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Обязать Наркомавиапром т.Шахурина, завод № 21 дирек</w:t>
      </w:r>
      <w:r w:rsidRPr="00722885">
        <w:rPr>
          <w:rFonts w:ascii="Times New Roman" w:hAnsi="Times New Roman"/>
          <w:color w:val="000000" w:themeColor="text1"/>
          <w:sz w:val="16"/>
          <w:szCs w:val="16"/>
        </w:rPr>
        <w:softHyphen/>
        <w:t>тора завода т.Агаджанова, главного конструктора т.Лавочикна:</w:t>
      </w:r>
    </w:p>
    <w:p w14:paraId="1D54622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выпускать самолеты Ла-5 о применением на моторе М-82 наддува на первой скорости нагнетателя - 1140 мм. 6 целях облегчения управления мотором на этих самолетах установить механизм блокировки регулятора наддува с механизмом перек</w:t>
      </w:r>
      <w:r w:rsidRPr="00722885">
        <w:rPr>
          <w:rFonts w:ascii="Times New Roman" w:hAnsi="Times New Roman"/>
          <w:color w:val="000000" w:themeColor="text1"/>
          <w:sz w:val="16"/>
          <w:szCs w:val="16"/>
        </w:rPr>
        <w:softHyphen/>
        <w:t>лючения скоростей, устраняющий возможность перегрузки мотора на режимах второй скорости нагнетателя;</w:t>
      </w:r>
    </w:p>
    <w:p w14:paraId="4945E1A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обеспечить выпуск указанных в пункте На настоящего постановления самолетов на заводе № 21 в следующих количест</w:t>
      </w:r>
      <w:r w:rsidRPr="00722885">
        <w:rPr>
          <w:rFonts w:ascii="Times New Roman" w:hAnsi="Times New Roman"/>
          <w:color w:val="000000" w:themeColor="text1"/>
          <w:sz w:val="16"/>
          <w:szCs w:val="16"/>
        </w:rPr>
        <w:softHyphen/>
        <w:t>вах</w:t>
      </w:r>
    </w:p>
    <w:p w14:paraId="18EFD1E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- 50 самолетов</w:t>
      </w:r>
    </w:p>
    <w:p w14:paraId="4354C19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январе 1943 г. - 300</w:t>
      </w:r>
    </w:p>
    <w:p w14:paraId="2593B7E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февраля 1943 года все самолеты Ла-5 выпускать с моторами повышенной мощности и указанной блокировкой.</w:t>
      </w:r>
    </w:p>
    <w:p w14:paraId="2F0361B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Для определения срока службы мотора М-82 на повышен</w:t>
      </w:r>
      <w:r w:rsidRPr="00722885">
        <w:rPr>
          <w:rFonts w:ascii="Times New Roman" w:hAnsi="Times New Roman"/>
          <w:color w:val="000000" w:themeColor="text1"/>
          <w:sz w:val="16"/>
          <w:szCs w:val="16"/>
        </w:rPr>
        <w:softHyphen/>
        <w:t>ном наддуве, на первой скорости нагнетателя - 1140 мм, ди</w:t>
      </w:r>
      <w:r w:rsidRPr="00722885">
        <w:rPr>
          <w:rFonts w:ascii="Times New Roman" w:hAnsi="Times New Roman"/>
          <w:color w:val="000000" w:themeColor="text1"/>
          <w:sz w:val="16"/>
          <w:szCs w:val="16"/>
        </w:rPr>
        <w:softHyphen/>
        <w:t>ректору завода № 19 т. Солдатову и главному конструктору т. Швецову провести до 25 декабря 1942 г. длительные испытания мотора М-82.</w:t>
      </w:r>
    </w:p>
    <w:p w14:paraId="2FC8EE9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Ввиду недобора скорости на второй границе высотно</w:t>
      </w:r>
      <w:r w:rsidRPr="00722885">
        <w:rPr>
          <w:rFonts w:ascii="Times New Roman" w:hAnsi="Times New Roman"/>
          <w:color w:val="000000" w:themeColor="text1"/>
          <w:sz w:val="16"/>
          <w:szCs w:val="16"/>
        </w:rPr>
        <w:softHyphen/>
        <w:t>сти, главным конструкторам т.т. Лавочкину и Швецову, начальнику ЦИАМ т. Поликовскому и начальнику ЛИИ т. Молокову к 1 января 1943 г. довести винтомоторную группу самолета Ла-5 при работе мотора М-82 на второй скорости нагнетателя,обеспечив скорость самолета Ла-5 на высоте 6000-6200 метров - 610 км/час.</w:t>
      </w:r>
    </w:p>
    <w:p w14:paraId="4A76F9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Принять к сведению заявление Наркомавиапрома т. Шахурина, главного конструктора т. Швецова и директора за</w:t>
      </w:r>
      <w:r w:rsidRPr="00722885">
        <w:rPr>
          <w:rFonts w:ascii="Times New Roman" w:hAnsi="Times New Roman"/>
          <w:color w:val="000000" w:themeColor="text1"/>
          <w:sz w:val="16"/>
          <w:szCs w:val="16"/>
        </w:rPr>
        <w:softHyphen/>
        <w:t>вода № 19 т. Солдатова, что на заводе № 19 создан мотор М-82 форсированный, прошедший государственные испытания с взлетной мощностью - 1850 л.с.,номинальной мощностью на первой скорости нагнетателя на высоте 1650 метров - 1630 л.с., номинальной мощ</w:t>
      </w:r>
      <w:r w:rsidRPr="00722885">
        <w:rPr>
          <w:rFonts w:ascii="Times New Roman" w:hAnsi="Times New Roman"/>
          <w:color w:val="000000" w:themeColor="text1"/>
          <w:sz w:val="16"/>
          <w:szCs w:val="16"/>
        </w:rPr>
        <w:softHyphen/>
        <w:t>ностью на второй скорости нагнетателя на высоте 4650 метров -1430 л.с. и,что установка этого мотора на самолете Ла-5 поз</w:t>
      </w:r>
      <w:r w:rsidRPr="00722885">
        <w:rPr>
          <w:rFonts w:ascii="Times New Roman" w:hAnsi="Times New Roman"/>
          <w:color w:val="000000" w:themeColor="text1"/>
          <w:sz w:val="16"/>
          <w:szCs w:val="16"/>
        </w:rPr>
        <w:softHyphen/>
        <w:t>воляет при применении форсажа повысить скорость самолета у земли до 565 клм/час и на высоте 6000 мтр. до 620 клм/час.</w:t>
      </w:r>
    </w:p>
    <w:p w14:paraId="514585A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дальнейшего улучшения самолета Ла-5 Государствен</w:t>
      </w:r>
      <w:r w:rsidRPr="00722885">
        <w:rPr>
          <w:rFonts w:ascii="Times New Roman" w:hAnsi="Times New Roman"/>
          <w:color w:val="000000" w:themeColor="text1"/>
          <w:sz w:val="16"/>
          <w:szCs w:val="16"/>
        </w:rPr>
        <w:softHyphen/>
        <w:t>ный Комитет Обороны обязывает ИКАЛ, директора завода № 21 т. Агаджанова и главного конструктора т. Лавочкина:</w:t>
      </w:r>
    </w:p>
    <w:p w14:paraId="73267E8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представить на летные испытания ЛИИ НКАП к 15 января и НИИ ВВС к 10 февраля 1943 г. самолет Ла-5 с мотором М-82Ф и с уменьшенным весом самолета до 3100 клгр.;</w:t>
      </w:r>
    </w:p>
    <w:p w14:paraId="26D23B0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к 15 февраля 1943 г. выпустить 35 самолетов Ла~5 с мотором М-82Ф, улучшив одновременно на этих самолетах фонарь, обеспечивающий обзор назад, с передней и задней прозрачной броней и зеркалом в кабине пилота для обзора задней полусферы.</w:t>
      </w:r>
    </w:p>
    <w:p w14:paraId="6A30020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Наркому авиационной промышленности т. Шахурину:</w:t>
      </w:r>
    </w:p>
    <w:p w14:paraId="4ECA384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Организовать ежемесячную проверку летных данных серий</w:t>
      </w:r>
      <w:r w:rsidRPr="00722885">
        <w:rPr>
          <w:rFonts w:ascii="Times New Roman" w:hAnsi="Times New Roman"/>
          <w:color w:val="000000" w:themeColor="text1"/>
          <w:sz w:val="16"/>
          <w:szCs w:val="16"/>
        </w:rPr>
        <w:softHyphen/>
        <w:t>ных истребителей.</w:t>
      </w:r>
    </w:p>
    <w:p w14:paraId="3EDEF4E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Для выявления эксплоатационных дефектов серийных само</w:t>
      </w:r>
      <w:r w:rsidRPr="00722885">
        <w:rPr>
          <w:rFonts w:ascii="Times New Roman" w:hAnsi="Times New Roman"/>
          <w:color w:val="000000" w:themeColor="text1"/>
          <w:sz w:val="16"/>
          <w:szCs w:val="16"/>
        </w:rPr>
        <w:softHyphen/>
        <w:t>летов и своевременного их устранения организовать на заводах истребительных самолетов испытания на выносливость выпускаемой продукции; испытания на выносливость производить на одном из самолетов текущей серии ежеквартально (2179,63).</w:t>
      </w:r>
    </w:p>
    <w:p w14:paraId="0A6649B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125C3E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 декабря 1942 ГКО новым постановлением потребовал установить на Ла-5 мотор М-82Ф. С.А.Лавочкин начал работу по облегчению всех агрегатов самолета, включая фюзеляж, крыло, оперение, шасси, оборудование и вооружение. Выяснилось, что это вело к изменению всех существующих в серийном производстве приспособлений, что было равноценно постановке на конвейер новой машины. Поэтому Семен Алексеевич решил облегчить только крыло, центроплан и шасси, что снижало вес на 150 кг и доводило массу Ла-5 до 3100 кг. Новый центроплан со стальными лонжеронами пришлось переделывать пять раз, пока не достигли необходимой прочности. С.А-Лавочкин решил отказаться от карбюраторного М-82Ф и поставить мотор М-82Ф НВ. Ведущий Ла-5 ФН получил заводское обозначение тип "39" или изделие "39" (4573).</w:t>
      </w:r>
    </w:p>
    <w:p w14:paraId="70D8212B" w14:textId="77777777" w:rsidR="00BB6316" w:rsidRPr="00722885" w:rsidRDefault="00BB6316" w:rsidP="00722885">
      <w:pPr>
        <w:pStyle w:val="Iauiue"/>
        <w:jc w:val="both"/>
        <w:rPr>
          <w:color w:val="000000" w:themeColor="text1"/>
          <w:sz w:val="16"/>
          <w:szCs w:val="16"/>
        </w:rPr>
      </w:pPr>
    </w:p>
    <w:p w14:paraId="2E7D62B0" w14:textId="77777777" w:rsidR="006340FE" w:rsidRPr="00722885" w:rsidRDefault="006340FE"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9 декабря 1942 г. Постановлением ГКО завод № 21 обязывался выпускать самолё</w:t>
      </w:r>
      <w:r w:rsidRPr="00722885">
        <w:rPr>
          <w:rFonts w:ascii="Times New Roman" w:cs="Times New Roman"/>
          <w:color w:val="000000" w:themeColor="text1"/>
          <w:spacing w:val="0"/>
        </w:rPr>
        <w:softHyphen/>
        <w:t>ты Ла-5 с применением на моторе М-82 наддува на 1-й скорости нагнетателя 1140 мм. Наддув 1050 мм на 2-й скорости нагнетателя решили не использовать, поскольку увели</w:t>
      </w:r>
      <w:r w:rsidRPr="00722885">
        <w:rPr>
          <w:rFonts w:ascii="Times New Roman" w:cs="Times New Roman"/>
          <w:color w:val="000000" w:themeColor="text1"/>
          <w:spacing w:val="0"/>
        </w:rPr>
        <w:softHyphen/>
        <w:t>чение скорости с ним было невелико, а эксплуатация ВМГ в полёте сильно усложнялась. Поэтому в целях облегчения управления мотором на Ла-5 установили механизм блоки</w:t>
      </w:r>
      <w:r w:rsidRPr="00722885">
        <w:rPr>
          <w:rFonts w:ascii="Times New Roman" w:cs="Times New Roman"/>
          <w:color w:val="000000" w:themeColor="text1"/>
          <w:spacing w:val="0"/>
        </w:rPr>
        <w:softHyphen/>
        <w:t>ровки регулятора наддува с механизмом переключения скоростей, устраняющий возмо</w:t>
      </w:r>
      <w:r w:rsidRPr="00722885">
        <w:rPr>
          <w:rFonts w:ascii="Times New Roman" w:cs="Times New Roman"/>
          <w:color w:val="000000" w:themeColor="text1"/>
          <w:spacing w:val="0"/>
        </w:rPr>
        <w:softHyphen/>
        <w:t>жность включения форсажа (и перегрузки мотора) на режимах 2-й скорости нагнетателя. Впоследствии такая блокировка использовалась на всех модификациях Ла-5 и на Ла-7.</w:t>
      </w:r>
    </w:p>
    <w:p w14:paraId="1B3FBB5A" w14:textId="77777777" w:rsidR="006340FE" w:rsidRPr="00722885" w:rsidRDefault="006340FE"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это же время ЛИИ провел лётные испытания еще одного облегчённого Ла-5 № 39210102, на котором установили мотор М-82НВ № 6502975. Его мощность на взлёт</w:t>
      </w:r>
      <w:r w:rsidRPr="00722885">
        <w:rPr>
          <w:rFonts w:ascii="Times New Roman" w:cs="Times New Roman"/>
          <w:color w:val="000000" w:themeColor="text1"/>
          <w:spacing w:val="0"/>
        </w:rPr>
        <w:softHyphen/>
        <w:t>ном режиме (наддув 1113 мм) у земли составляла 1735 л.с. вместо 1700 л.с. у серий</w:t>
      </w:r>
      <w:r w:rsidRPr="00722885">
        <w:rPr>
          <w:rFonts w:ascii="Times New Roman" w:cs="Times New Roman"/>
          <w:color w:val="000000" w:themeColor="text1"/>
          <w:spacing w:val="0"/>
        </w:rPr>
        <w:softHyphen/>
        <w:t>ного мотора. Повышенный наддув также можно было поддерживать не только на 1-й, но и на 2-й скорости нагнетателя. Благодаря хорошей и устойчивой работе агрегата НВ на всех режимах и высотах, получили максимальные скорости более высокие, чем во всех предшествующих испытаниях Ла-5 с карбюраторными М-82: у земли на номинале — 532, на форсаже — 563 км/ч, на 2-й границе высотности на номинале — 610 и на фор</w:t>
      </w:r>
      <w:r w:rsidRPr="00722885">
        <w:rPr>
          <w:rFonts w:ascii="Times New Roman" w:cs="Times New Roman"/>
          <w:color w:val="000000" w:themeColor="text1"/>
          <w:spacing w:val="0"/>
        </w:rPr>
        <w:softHyphen/>
        <w:t>саже — 618 км/ч. Высоту 5000 м самолёт набирал с форсажем за 5,2 мин.</w:t>
      </w:r>
    </w:p>
    <w:p w14:paraId="7703351F" w14:textId="77777777" w:rsidR="006340FE" w:rsidRPr="00722885" w:rsidRDefault="006340FE"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Это было неплохо, но всё же слишком мало, чтобы обезопасить себя от конкурента — И-185. Ведь в это же самое время — с 20 ноября 1942 г. по 27 января 1943 г. — «образ</w:t>
      </w:r>
      <w:r w:rsidRPr="00722885">
        <w:rPr>
          <w:rFonts w:ascii="Times New Roman" w:cs="Times New Roman"/>
          <w:color w:val="000000" w:themeColor="text1"/>
          <w:spacing w:val="0"/>
        </w:rPr>
        <w:softHyphen/>
        <w:t>цовый» И-185 с М-71 прошел в НИИ ВВС госиспытания. Именно здесь на нём получи</w:t>
      </w:r>
      <w:r w:rsidRPr="00722885">
        <w:rPr>
          <w:rFonts w:ascii="Times New Roman" w:cs="Times New Roman"/>
          <w:color w:val="000000" w:themeColor="text1"/>
          <w:spacing w:val="0"/>
        </w:rPr>
        <w:softHyphen/>
        <w:t>ли те известные скорости, фигурировавшие затем во всех публикациях, посвящённых этому самолёту: максимальная скорость у земли на номинале — 560, на форсаже — 600 км/ч, на 2-й границе высотности 6100 м — 680 км/ч.</w:t>
      </w:r>
    </w:p>
    <w:p w14:paraId="5119E6C3" w14:textId="77777777" w:rsidR="006340FE" w:rsidRPr="00722885" w:rsidRDefault="006340FE"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Испытания остались незавершёнными из-за аварии, происшедшей 27 января по при</w:t>
      </w:r>
      <w:r w:rsidRPr="00722885">
        <w:rPr>
          <w:rFonts w:ascii="Times New Roman" w:cs="Times New Roman"/>
          <w:color w:val="000000" w:themeColor="text1"/>
          <w:spacing w:val="0"/>
        </w:rPr>
        <w:softHyphen/>
        <w:t>чине разрушения в воздухе только что установленного нового мотора, но и этих цифр оказалось достаточно, чтобы вновь ставить вопрос о запуске И-185 в серийное произ</w:t>
      </w:r>
      <w:r w:rsidRPr="00722885">
        <w:rPr>
          <w:rFonts w:ascii="Times New Roman" w:cs="Times New Roman"/>
          <w:color w:val="000000" w:themeColor="text1"/>
          <w:spacing w:val="0"/>
        </w:rPr>
        <w:softHyphen/>
        <w:t>водство. Игнорировать эти результаты дальше было невозможно, и в НКАП начались разговоры о запуске И-185 в «малую серию» на восстановленном московском заводе № 81. Очевидно, Шахурин решил «не дразнить гусей» и в принципе выразил согласие на выпуск моторов М-71 малой серией (порядка 30 шт. в месяц) в опытном цехе заво</w:t>
      </w:r>
      <w:r w:rsidRPr="00722885">
        <w:rPr>
          <w:rFonts w:ascii="Times New Roman" w:cs="Times New Roman"/>
          <w:color w:val="000000" w:themeColor="text1"/>
          <w:spacing w:val="0"/>
        </w:rPr>
        <w:softHyphen/>
        <w:t>да № 19, сохраняя на потоке выпуск М-82. Завод № 81 был маломощным и все равно не смог бы поддерживать более высокий темп выпуска самолётов. К тому же И-185 имел цельнометаллическую конструкцию крыла, а алюминий в то время был в большом дефиците, что также не позволяло рассчитывать на большую серию (15813).</w:t>
      </w:r>
    </w:p>
    <w:p w14:paraId="69B6B475" w14:textId="77777777" w:rsidR="006340FE" w:rsidRPr="00722885" w:rsidRDefault="006340FE" w:rsidP="00722885">
      <w:pPr>
        <w:pStyle w:val="27"/>
        <w:shd w:val="clear" w:color="auto" w:fill="auto"/>
        <w:spacing w:after="0" w:line="240" w:lineRule="auto"/>
        <w:ind w:firstLine="0"/>
        <w:rPr>
          <w:rFonts w:ascii="Times New Roman" w:cs="Times New Roman"/>
          <w:color w:val="000000" w:themeColor="text1"/>
          <w:spacing w:val="0"/>
        </w:rPr>
      </w:pPr>
    </w:p>
    <w:p w14:paraId="2135E2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w:t>
      </w:r>
      <w:r w:rsidRPr="00722885">
        <w:rPr>
          <w:rFonts w:ascii="Times New Roman" w:hAnsi="Times New Roman"/>
          <w:color w:val="000000" w:themeColor="text1"/>
          <w:sz w:val="16"/>
          <w:szCs w:val="16"/>
        </w:rPr>
        <w:softHyphen/>
        <w:t>ря 1942 года Постановлением ГКО завод №21 обязывался выпускать самолеты Ла-5 с применени</w:t>
      </w:r>
      <w:r w:rsidRPr="00722885">
        <w:rPr>
          <w:rFonts w:ascii="Times New Roman" w:hAnsi="Times New Roman"/>
          <w:color w:val="000000" w:themeColor="text1"/>
          <w:sz w:val="16"/>
          <w:szCs w:val="16"/>
        </w:rPr>
        <w:softHyphen/>
        <w:t>ем на моторе М-82 наддува на 1-й скорости нагнетателя 1140 мм. Над</w:t>
      </w:r>
      <w:r w:rsidRPr="00722885">
        <w:rPr>
          <w:rFonts w:ascii="Times New Roman" w:hAnsi="Times New Roman"/>
          <w:color w:val="000000" w:themeColor="text1"/>
          <w:sz w:val="16"/>
          <w:szCs w:val="16"/>
        </w:rPr>
        <w:softHyphen/>
        <w:t>дув 1050 мм на 2-й скорости нагне</w:t>
      </w:r>
      <w:r w:rsidRPr="00722885">
        <w:rPr>
          <w:rFonts w:ascii="Times New Roman" w:hAnsi="Times New Roman"/>
          <w:color w:val="000000" w:themeColor="text1"/>
          <w:sz w:val="16"/>
          <w:szCs w:val="16"/>
        </w:rPr>
        <w:softHyphen/>
        <w:t>тателя решили не использовать, по</w:t>
      </w:r>
      <w:r w:rsidRPr="00722885">
        <w:rPr>
          <w:rFonts w:ascii="Times New Roman" w:hAnsi="Times New Roman"/>
          <w:color w:val="000000" w:themeColor="text1"/>
          <w:sz w:val="16"/>
          <w:szCs w:val="16"/>
        </w:rPr>
        <w:softHyphen/>
        <w:t>скольку увеличение скорости с ним было невелико, а эксплуатация ВМГ в полете сильно усложнялась. Поэтому в целях облегчения управления мо</w:t>
      </w:r>
      <w:r w:rsidRPr="00722885">
        <w:rPr>
          <w:rFonts w:ascii="Times New Roman" w:hAnsi="Times New Roman"/>
          <w:color w:val="000000" w:themeColor="text1"/>
          <w:sz w:val="16"/>
          <w:szCs w:val="16"/>
        </w:rPr>
        <w:softHyphen/>
        <w:t>тором на Ла-5 установили механизм блокировки регулятора наддува с механизмом переключения скоростей, устраняющий возможность включения форсажа (и перегрузки мотора) на режимах 2-й скорости нагнетателя. Впоследствии такая блокировка ис</w:t>
      </w:r>
      <w:r w:rsidRPr="00722885">
        <w:rPr>
          <w:rFonts w:ascii="Times New Roman" w:hAnsi="Times New Roman"/>
          <w:color w:val="000000" w:themeColor="text1"/>
          <w:sz w:val="16"/>
          <w:szCs w:val="16"/>
        </w:rPr>
        <w:softHyphen/>
        <w:t>пользовалась на всех модификациях самолета Ла-5 и на Ла-7. В это же время ЛИИ провел лет</w:t>
      </w:r>
      <w:r w:rsidRPr="00722885">
        <w:rPr>
          <w:rFonts w:ascii="Times New Roman" w:hAnsi="Times New Roman"/>
          <w:color w:val="000000" w:themeColor="text1"/>
          <w:sz w:val="16"/>
          <w:szCs w:val="16"/>
        </w:rPr>
        <w:softHyphen/>
        <w:t>ные испытания еще одного облегчен</w:t>
      </w:r>
      <w:r w:rsidRPr="00722885">
        <w:rPr>
          <w:rFonts w:ascii="Times New Roman" w:hAnsi="Times New Roman"/>
          <w:color w:val="000000" w:themeColor="text1"/>
          <w:sz w:val="16"/>
          <w:szCs w:val="16"/>
        </w:rPr>
        <w:softHyphen/>
        <w:t xml:space="preserve">ного Ла-5 №39210102, на котором был установлен мотор </w:t>
      </w:r>
      <w:r w:rsidRPr="00722885">
        <w:rPr>
          <w:rFonts w:ascii="Times New Roman" w:hAnsi="Times New Roman"/>
          <w:color w:val="000000" w:themeColor="text1"/>
          <w:sz w:val="16"/>
          <w:szCs w:val="16"/>
        </w:rPr>
        <w:lastRenderedPageBreak/>
        <w:t>М-82НВ №6502975. Его мощность на взлет</w:t>
      </w:r>
      <w:r w:rsidRPr="00722885">
        <w:rPr>
          <w:rFonts w:ascii="Times New Roman" w:hAnsi="Times New Roman"/>
          <w:color w:val="000000" w:themeColor="text1"/>
          <w:sz w:val="16"/>
          <w:szCs w:val="16"/>
        </w:rPr>
        <w:softHyphen/>
        <w:t>ном режиме (наддув 1113 мм) у зем</w:t>
      </w:r>
      <w:r w:rsidRPr="00722885">
        <w:rPr>
          <w:rFonts w:ascii="Times New Roman" w:hAnsi="Times New Roman"/>
          <w:color w:val="000000" w:themeColor="text1"/>
          <w:sz w:val="16"/>
          <w:szCs w:val="16"/>
        </w:rPr>
        <w:softHyphen/>
        <w:t>ли составляла 1735 л.с. вместо 1700 л.с. у серийного мотора. Повышенный наддув также можно было под</w:t>
      </w:r>
      <w:r w:rsidRPr="00722885">
        <w:rPr>
          <w:rFonts w:ascii="Times New Roman" w:hAnsi="Times New Roman"/>
          <w:color w:val="000000" w:themeColor="text1"/>
          <w:sz w:val="16"/>
          <w:szCs w:val="16"/>
        </w:rPr>
        <w:softHyphen/>
        <w:t>держивать не только на 1-й, но и на 2-й скорости нагнетателя. Благодаря хорошей и устойчивой работе агре</w:t>
      </w:r>
      <w:r w:rsidRPr="00722885">
        <w:rPr>
          <w:rFonts w:ascii="Times New Roman" w:hAnsi="Times New Roman"/>
          <w:color w:val="000000" w:themeColor="text1"/>
          <w:sz w:val="16"/>
          <w:szCs w:val="16"/>
        </w:rPr>
        <w:softHyphen/>
        <w:t>гата НВ на всех режимах и высотах, были получены максимальные скоро</w:t>
      </w:r>
      <w:r w:rsidRPr="00722885">
        <w:rPr>
          <w:rFonts w:ascii="Times New Roman" w:hAnsi="Times New Roman"/>
          <w:color w:val="000000" w:themeColor="text1"/>
          <w:sz w:val="16"/>
          <w:szCs w:val="16"/>
        </w:rPr>
        <w:softHyphen/>
        <w:t>сти более высокие, чем во всех пред</w:t>
      </w:r>
      <w:r w:rsidRPr="00722885">
        <w:rPr>
          <w:rFonts w:ascii="Times New Roman" w:hAnsi="Times New Roman"/>
          <w:color w:val="000000" w:themeColor="text1"/>
          <w:sz w:val="16"/>
          <w:szCs w:val="16"/>
        </w:rPr>
        <w:softHyphen/>
        <w:t>шествующих испытаниях Ла-5 с кар</w:t>
      </w:r>
      <w:r w:rsidRPr="00722885">
        <w:rPr>
          <w:rFonts w:ascii="Times New Roman" w:hAnsi="Times New Roman"/>
          <w:color w:val="000000" w:themeColor="text1"/>
          <w:sz w:val="16"/>
          <w:szCs w:val="16"/>
        </w:rPr>
        <w:softHyphen/>
        <w:t>бюраторными М-82: у земли на но</w:t>
      </w:r>
      <w:r w:rsidRPr="00722885">
        <w:rPr>
          <w:rFonts w:ascii="Times New Roman" w:hAnsi="Times New Roman"/>
          <w:color w:val="000000" w:themeColor="text1"/>
          <w:sz w:val="16"/>
          <w:szCs w:val="16"/>
        </w:rPr>
        <w:softHyphen/>
        <w:t>минале - 532, на форсаже - 563 км/ч, на 2-й границе высотности на номинале - 610 и на форсаже - 618 км/ч. Высоту 5000 м самолет наби</w:t>
      </w:r>
      <w:r w:rsidRPr="00722885">
        <w:rPr>
          <w:rFonts w:ascii="Times New Roman" w:hAnsi="Times New Roman"/>
          <w:color w:val="000000" w:themeColor="text1"/>
          <w:sz w:val="16"/>
          <w:szCs w:val="16"/>
        </w:rPr>
        <w:softHyphen/>
        <w:t>рал с форсажем за 5,2 мин. Это было неплохо, но все же слиш</w:t>
      </w:r>
      <w:r w:rsidRPr="00722885">
        <w:rPr>
          <w:rFonts w:ascii="Times New Roman" w:hAnsi="Times New Roman"/>
          <w:color w:val="000000" w:themeColor="text1"/>
          <w:sz w:val="16"/>
          <w:szCs w:val="16"/>
        </w:rPr>
        <w:softHyphen/>
        <w:t>ком мало, чтобы обезопасить себя от конкурента - И-185. Ведь в это же самое время - с 20 ноября 1942 по 27 января 1943 года — «образцовый» И-185 с М-71" прошел в НИИ ВВС госиспытания. Именно здесь на нем были получены те известные скорос</w:t>
      </w:r>
      <w:r w:rsidRPr="00722885">
        <w:rPr>
          <w:rFonts w:ascii="Times New Roman" w:hAnsi="Times New Roman"/>
          <w:color w:val="000000" w:themeColor="text1"/>
          <w:sz w:val="16"/>
          <w:szCs w:val="16"/>
        </w:rPr>
        <w:softHyphen/>
        <w:t>ти, которые фигурировали затем во всех публикациях, посвященных этому самолету: максимальная скорость у земли на номинале - 560, на форса</w:t>
      </w:r>
      <w:r w:rsidRPr="00722885">
        <w:rPr>
          <w:rFonts w:ascii="Times New Roman" w:hAnsi="Times New Roman"/>
          <w:color w:val="000000" w:themeColor="text1"/>
          <w:sz w:val="16"/>
          <w:szCs w:val="16"/>
        </w:rPr>
        <w:softHyphen/>
        <w:t>же - 600 км/ч, на 2-й границе высот</w:t>
      </w:r>
      <w:r w:rsidRPr="00722885">
        <w:rPr>
          <w:rFonts w:ascii="Times New Roman" w:hAnsi="Times New Roman"/>
          <w:color w:val="000000" w:themeColor="text1"/>
          <w:sz w:val="16"/>
          <w:szCs w:val="16"/>
        </w:rPr>
        <w:softHyphen/>
        <w:t>ности 6100 м — 680 км/ч. Испытания остались незавершен</w:t>
      </w:r>
      <w:r w:rsidRPr="00722885">
        <w:rPr>
          <w:rFonts w:ascii="Times New Roman" w:hAnsi="Times New Roman"/>
          <w:color w:val="000000" w:themeColor="text1"/>
          <w:sz w:val="16"/>
          <w:szCs w:val="16"/>
        </w:rPr>
        <w:softHyphen/>
        <w:t>ными из-за аварии, происшедшей 27 января по причине разрушения в воз</w:t>
      </w:r>
      <w:r w:rsidRPr="00722885">
        <w:rPr>
          <w:rFonts w:ascii="Times New Roman" w:hAnsi="Times New Roman"/>
          <w:color w:val="000000" w:themeColor="text1"/>
          <w:sz w:val="16"/>
          <w:szCs w:val="16"/>
        </w:rPr>
        <w:softHyphen/>
        <w:t>духе только что установленного ново</w:t>
      </w:r>
      <w:r w:rsidRPr="00722885">
        <w:rPr>
          <w:rFonts w:ascii="Times New Roman" w:hAnsi="Times New Roman"/>
          <w:color w:val="000000" w:themeColor="text1"/>
          <w:sz w:val="16"/>
          <w:szCs w:val="16"/>
        </w:rPr>
        <w:softHyphen/>
        <w:t>го мотора, но и этих цифр было доста</w:t>
      </w:r>
      <w:r w:rsidRPr="00722885">
        <w:rPr>
          <w:rFonts w:ascii="Times New Roman" w:hAnsi="Times New Roman"/>
          <w:color w:val="000000" w:themeColor="text1"/>
          <w:sz w:val="16"/>
          <w:szCs w:val="16"/>
        </w:rPr>
        <w:softHyphen/>
        <w:t>точно, чтобы вновь ставить вопрос о запуске И-185 в серийное производ</w:t>
      </w:r>
      <w:r w:rsidRPr="00722885">
        <w:rPr>
          <w:rFonts w:ascii="Times New Roman" w:hAnsi="Times New Roman"/>
          <w:color w:val="000000" w:themeColor="text1"/>
          <w:sz w:val="16"/>
          <w:szCs w:val="16"/>
        </w:rPr>
        <w:softHyphen/>
        <w:t>ство. Игнорировать эти результаты дальше было невозможно, и в НКАПе начались разговоры о запуске И-185 в «малую серию» на восстановлен</w:t>
      </w:r>
      <w:r w:rsidRPr="00722885">
        <w:rPr>
          <w:rFonts w:ascii="Times New Roman" w:hAnsi="Times New Roman"/>
          <w:color w:val="000000" w:themeColor="text1"/>
          <w:sz w:val="16"/>
          <w:szCs w:val="16"/>
        </w:rPr>
        <w:softHyphen/>
        <w:t>ном московском заводе №81. Оче</w:t>
      </w:r>
      <w:r w:rsidRPr="00722885">
        <w:rPr>
          <w:rFonts w:ascii="Times New Roman" w:hAnsi="Times New Roman"/>
          <w:color w:val="000000" w:themeColor="text1"/>
          <w:sz w:val="16"/>
          <w:szCs w:val="16"/>
        </w:rPr>
        <w:softHyphen/>
        <w:t>видно Шахурин решил «не дразнить гусей» и в принципе выразил согла</w:t>
      </w:r>
      <w:r w:rsidRPr="00722885">
        <w:rPr>
          <w:rFonts w:ascii="Times New Roman" w:hAnsi="Times New Roman"/>
          <w:color w:val="000000" w:themeColor="text1"/>
          <w:sz w:val="16"/>
          <w:szCs w:val="16"/>
        </w:rPr>
        <w:softHyphen/>
        <w:t>сие на выпуск моторов М-71 малой серией (порядка 30 шт. в месяц) в опытном цехе завода №19, сохраняя на потоке выпуск М-82. Завод №81 был маломощным и все равно не смог бы поддерживать более высокий темп выпуска самолетов. К тому же И-185 имел цельнометаллическую конструк</w:t>
      </w:r>
      <w:r w:rsidRPr="00722885">
        <w:rPr>
          <w:rFonts w:ascii="Times New Roman" w:hAnsi="Times New Roman"/>
          <w:color w:val="000000" w:themeColor="text1"/>
          <w:sz w:val="16"/>
          <w:szCs w:val="16"/>
        </w:rPr>
        <w:softHyphen/>
        <w:t>цию крыла, а алюминий в то время был в большом дефиците, что также не позволяло рассчитывать на боль</w:t>
      </w:r>
      <w:r w:rsidRPr="00722885">
        <w:rPr>
          <w:rFonts w:ascii="Times New Roman" w:hAnsi="Times New Roman"/>
          <w:color w:val="000000" w:themeColor="text1"/>
          <w:sz w:val="16"/>
          <w:szCs w:val="16"/>
        </w:rPr>
        <w:softHyphen/>
        <w:t>шую серию. Конечно, теперь уже ясно, что это была своего рода «кость», брошенная сторонникам И-185, а также попытка обезопасить себя от возможных бу</w:t>
      </w:r>
      <w:r w:rsidRPr="00722885">
        <w:rPr>
          <w:rFonts w:ascii="Times New Roman" w:hAnsi="Times New Roman"/>
          <w:color w:val="000000" w:themeColor="text1"/>
          <w:sz w:val="16"/>
          <w:szCs w:val="16"/>
        </w:rPr>
        <w:softHyphen/>
        <w:t>дущих упреков в бездействии. Шаху</w:t>
      </w:r>
      <w:r w:rsidRPr="00722885">
        <w:rPr>
          <w:rFonts w:ascii="Times New Roman" w:hAnsi="Times New Roman"/>
          <w:color w:val="000000" w:themeColor="text1"/>
          <w:sz w:val="16"/>
          <w:szCs w:val="16"/>
        </w:rPr>
        <w:softHyphen/>
        <w:t>рин по-прежнему рассчитывал на работу ОКБ Лавочкина, которое в это время устанавливало на следующий опытный экземпляр Ла-5 теперь уже мотор М-82ФНВ - так он тогда на</w:t>
      </w:r>
      <w:r w:rsidRPr="00722885">
        <w:rPr>
          <w:rFonts w:ascii="Times New Roman" w:hAnsi="Times New Roman"/>
          <w:color w:val="000000" w:themeColor="text1"/>
          <w:sz w:val="16"/>
          <w:szCs w:val="16"/>
        </w:rPr>
        <w:softHyphen/>
        <w:t>зывался. И ждал не только потому, что не любил Н.Н. Поликарпова, а пото</w:t>
      </w:r>
      <w:r w:rsidRPr="00722885">
        <w:rPr>
          <w:rFonts w:ascii="Times New Roman" w:hAnsi="Times New Roman"/>
          <w:color w:val="000000" w:themeColor="text1"/>
          <w:sz w:val="16"/>
          <w:szCs w:val="16"/>
        </w:rPr>
        <w:softHyphen/>
        <w:t>му, что к этому времени по опыту 1942 года и ему, и командующему ВВС А.А. Новикову уже было ясно, что малые серии сколь угодно выдающихся об</w:t>
      </w:r>
      <w:r w:rsidRPr="00722885">
        <w:rPr>
          <w:rFonts w:ascii="Times New Roman" w:hAnsi="Times New Roman"/>
          <w:color w:val="000000" w:themeColor="text1"/>
          <w:sz w:val="16"/>
          <w:szCs w:val="16"/>
        </w:rPr>
        <w:softHyphen/>
        <w:t>разцов вооружения в условиях тоталь</w:t>
      </w:r>
      <w:r w:rsidRPr="00722885">
        <w:rPr>
          <w:rFonts w:ascii="Times New Roman" w:hAnsi="Times New Roman"/>
          <w:color w:val="000000" w:themeColor="text1"/>
          <w:sz w:val="16"/>
          <w:szCs w:val="16"/>
        </w:rPr>
        <w:softHyphen/>
        <w:t>ной войны ничего изменить не смо</w:t>
      </w:r>
      <w:r w:rsidRPr="00722885">
        <w:rPr>
          <w:rFonts w:ascii="Times New Roman" w:hAnsi="Times New Roman"/>
          <w:color w:val="000000" w:themeColor="text1"/>
          <w:sz w:val="16"/>
          <w:szCs w:val="16"/>
        </w:rPr>
        <w:softHyphen/>
        <w:t>гут (10705).</w:t>
      </w:r>
    </w:p>
    <w:p w14:paraId="2B485EA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263048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 декабря 1942 П.М.Стефановский выполнил на И-185 второй километраж на 1-й границе высотности, а первый - 2 декабря. Потом до 16 декабря была плохая погода (2921,145).</w:t>
      </w:r>
    </w:p>
    <w:p w14:paraId="7BB1982A" w14:textId="77777777" w:rsidR="00BB6316" w:rsidRPr="00722885" w:rsidRDefault="00BB6316" w:rsidP="00722885">
      <w:pPr>
        <w:pStyle w:val="Iauiue"/>
        <w:jc w:val="both"/>
        <w:rPr>
          <w:color w:val="000000" w:themeColor="text1"/>
          <w:sz w:val="16"/>
          <w:szCs w:val="16"/>
        </w:rPr>
      </w:pPr>
    </w:p>
    <w:p w14:paraId="67277D6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г. состоялся первый боевой вылет И-185, последний - 12 января 1943 г. Летали в двух парах, причем ведущим обычно являлся офицер (Игнатьев, Купим), а ведомым - сержант (Боровых, Томильченко). Истребите</w:t>
      </w:r>
      <w:r w:rsidRPr="00722885">
        <w:rPr>
          <w:rFonts w:ascii="Times New Roman" w:hAnsi="Times New Roman"/>
          <w:color w:val="000000" w:themeColor="text1"/>
          <w:sz w:val="16"/>
          <w:szCs w:val="16"/>
        </w:rPr>
        <w:softHyphen/>
        <w:t>ли часто выпускали в полет, когда над нашей территорией шел воздушный бой. На полной скорости проносились И-185 сквозь строй фа</w:t>
      </w:r>
      <w:r w:rsidRPr="00722885">
        <w:rPr>
          <w:rFonts w:ascii="Times New Roman" w:hAnsi="Times New Roman"/>
          <w:color w:val="000000" w:themeColor="text1"/>
          <w:sz w:val="16"/>
          <w:szCs w:val="16"/>
        </w:rPr>
        <w:softHyphen/>
        <w:t>шистских самолетов, стреляя из пушек, а потом с разворотом уходили на свой аэродром. Два полета выполнено на прикрытие действовавше</w:t>
      </w:r>
      <w:r w:rsidRPr="00722885">
        <w:rPr>
          <w:rFonts w:ascii="Times New Roman" w:hAnsi="Times New Roman"/>
          <w:color w:val="000000" w:themeColor="text1"/>
          <w:sz w:val="16"/>
          <w:szCs w:val="16"/>
        </w:rPr>
        <w:softHyphen/>
        <w:t>го в районе Ржева разведчика Кертисс Р-40 «Киттихаук». Один полет был осуществлен на «свободную охоту» над нашей территорией. По воспоминаниям Н.П.Игнатьева А.Е.Боровых при этом сбил или повредил один немецкий самолет. Купин летал преимущественно на опытном И-185 с М-71 №6204, Игнатьев - на «образцо</w:t>
      </w:r>
      <w:r w:rsidRPr="00722885">
        <w:rPr>
          <w:rFonts w:ascii="Times New Roman" w:hAnsi="Times New Roman"/>
          <w:color w:val="000000" w:themeColor="text1"/>
          <w:sz w:val="16"/>
          <w:szCs w:val="16"/>
        </w:rPr>
        <w:softHyphen/>
        <w:t>вом», Боровых и Томильченко - на И-185 с М-82А. В воздушных боях с FW-190 им встретиться не довелось. Группа И-185 часто меняла дислокацию, то перебазируясь в Старую Торопу, то опять возвра</w:t>
      </w:r>
      <w:r w:rsidRPr="00722885">
        <w:rPr>
          <w:rFonts w:ascii="Times New Roman" w:hAnsi="Times New Roman"/>
          <w:color w:val="000000" w:themeColor="text1"/>
          <w:sz w:val="16"/>
          <w:szCs w:val="16"/>
        </w:rPr>
        <w:softHyphen/>
        <w:t>щаясь в Старицу. Преследовалась цель создать у германского авиационного командования ил</w:t>
      </w:r>
      <w:r w:rsidRPr="00722885">
        <w:rPr>
          <w:rFonts w:ascii="Times New Roman" w:hAnsi="Times New Roman"/>
          <w:color w:val="000000" w:themeColor="text1"/>
          <w:sz w:val="16"/>
          <w:szCs w:val="16"/>
        </w:rPr>
        <w:softHyphen/>
        <w:t>люзию наличия на Калининском фронте по край</w:t>
      </w:r>
      <w:r w:rsidRPr="00722885">
        <w:rPr>
          <w:rFonts w:ascii="Times New Roman" w:hAnsi="Times New Roman"/>
          <w:color w:val="000000" w:themeColor="text1"/>
          <w:sz w:val="16"/>
          <w:szCs w:val="16"/>
        </w:rPr>
        <w:softHyphen/>
        <w:t>ней мере полка, вооруженного И-185, снизить вероятность поражения истребителей при воз</w:t>
      </w:r>
      <w:r w:rsidRPr="00722885">
        <w:rPr>
          <w:rFonts w:ascii="Times New Roman" w:hAnsi="Times New Roman"/>
          <w:color w:val="000000" w:themeColor="text1"/>
          <w:sz w:val="16"/>
          <w:szCs w:val="16"/>
        </w:rPr>
        <w:softHyphen/>
        <w:t>можных налетах противника на аэродром. Всего каждым летчиком было выполнено по 10-11 боевых вылетов. В летную книжку по со</w:t>
      </w:r>
      <w:r w:rsidRPr="00722885">
        <w:rPr>
          <w:rFonts w:ascii="Times New Roman" w:hAnsi="Times New Roman"/>
          <w:color w:val="000000" w:themeColor="text1"/>
          <w:sz w:val="16"/>
          <w:szCs w:val="16"/>
        </w:rPr>
        <w:softHyphen/>
        <w:t>ображениям секретности они записывались преимущественно как тренировочные в зоне аэродрома. Кроме Купина, Игнатьева, Боровых, То</w:t>
      </w:r>
      <w:r w:rsidRPr="00722885">
        <w:rPr>
          <w:rFonts w:ascii="Times New Roman" w:hAnsi="Times New Roman"/>
          <w:color w:val="000000" w:themeColor="text1"/>
          <w:sz w:val="16"/>
          <w:szCs w:val="16"/>
        </w:rPr>
        <w:softHyphen/>
        <w:t>мильченко И-185 облетали в действительнс тренировочных полетах командир полка Васи-ляка и Кустов. По указанию командования отчеты о фронто вых испытаниях должны были писать только летчики-офицеры, причем в них старательно подчеркивалось выполнение на И-185 только учебно тренировочных полетов. Командир 728-го полке капитан В.С.Василяка в своем отчете указал следущее: «В полку на самолетах И-185 летает 5 человек, все 5 чел. вылетели и летают без затруд нения как после Яка, так и после И-16. Лично я летал на самолетах: И-16, Як-1, Як 7Б, ЛаГГ-3, Ла-5, Харрикейн и на самолете И-185 с мотором М-71 и М-82 и пришел к следующе му вы воду:</w:t>
      </w:r>
    </w:p>
    <w:p w14:paraId="7102422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Переход с других самолетов истребительно го типа на самолет И-185 прост и не вызывав никаких трудностей для летчиков.</w:t>
      </w:r>
    </w:p>
    <w:p w14:paraId="7EB1211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Самолет в полете управляется легко, очеы устойчив и без особых капризов.</w:t>
      </w:r>
    </w:p>
    <w:p w14:paraId="6C5070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Выполнение взлета и посадки исключитель но простое.</w:t>
      </w:r>
    </w:p>
    <w:p w14:paraId="64F557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Достоинством самолета является исключи тельно высокая маневренность на вертикаля благодаря его хорошей скороподъемности, чт дает возможность вести воздушный бой с ис требителями противника, что не всегда возмож но на самолетах Як-1, Я/с-75 и на Ла-5.</w:t>
      </w:r>
    </w:p>
    <w:p w14:paraId="3325884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 горизонтальной скорости самолет И-18 имеет большое преимущество по сравнению самолетами отечественного производства, также с самолетами противника. Диапазон ско</w:t>
      </w:r>
      <w:r w:rsidRPr="00722885">
        <w:rPr>
          <w:rFonts w:ascii="Times New Roman" w:hAnsi="Times New Roman"/>
          <w:color w:val="000000" w:themeColor="text1"/>
          <w:sz w:val="16"/>
          <w:szCs w:val="16"/>
        </w:rPr>
        <w:softHyphen/>
        <w:t>ростей по горизонтали у земли исключительно велик: 220-540 км/ч, что является немаловаж</w:t>
      </w:r>
      <w:r w:rsidRPr="00722885">
        <w:rPr>
          <w:rFonts w:ascii="Times New Roman" w:hAnsi="Times New Roman"/>
          <w:color w:val="000000" w:themeColor="text1"/>
          <w:sz w:val="16"/>
          <w:szCs w:val="16"/>
        </w:rPr>
        <w:softHyphen/>
        <w:t>ным фактором для современного истребителя.</w:t>
      </w:r>
    </w:p>
    <w:p w14:paraId="41EA623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по горизонту от эволютивной до максимальной самолет развивает очень быст</w:t>
      </w:r>
      <w:r w:rsidRPr="00722885">
        <w:rPr>
          <w:rFonts w:ascii="Times New Roman" w:hAnsi="Times New Roman"/>
          <w:color w:val="000000" w:themeColor="text1"/>
          <w:sz w:val="16"/>
          <w:szCs w:val="16"/>
        </w:rPr>
        <w:softHyphen/>
        <w:t>ро по сравнению с ЛаГГ-3, Ла-5 и Як'ами, т.е. имеет хорошую приемистость.</w:t>
      </w:r>
    </w:p>
    <w:p w14:paraId="57C7927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Фигуры высшего пилотажа выполняет лег</w:t>
      </w:r>
      <w:r w:rsidRPr="00722885">
        <w:rPr>
          <w:rFonts w:ascii="Times New Roman" w:hAnsi="Times New Roman"/>
          <w:color w:val="000000" w:themeColor="text1"/>
          <w:sz w:val="16"/>
          <w:szCs w:val="16"/>
        </w:rPr>
        <w:softHyphen/>
        <w:t>ко, быстро и энергично, аналогично И-16.</w:t>
      </w:r>
    </w:p>
    <w:p w14:paraId="1E4A533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Недостатки, обнаруженные в процессе эк</w:t>
      </w:r>
      <w:r w:rsidRPr="00722885">
        <w:rPr>
          <w:rFonts w:ascii="Times New Roman" w:hAnsi="Times New Roman"/>
          <w:color w:val="000000" w:themeColor="text1"/>
          <w:sz w:val="16"/>
          <w:szCs w:val="16"/>
        </w:rPr>
        <w:softHyphen/>
        <w:t>сплуатации, которые рекомендую заводу устра</w:t>
      </w:r>
      <w:r w:rsidRPr="00722885">
        <w:rPr>
          <w:rFonts w:ascii="Times New Roman" w:hAnsi="Times New Roman"/>
          <w:color w:val="000000" w:themeColor="text1"/>
          <w:sz w:val="16"/>
          <w:szCs w:val="16"/>
        </w:rPr>
        <w:softHyphen/>
        <w:t>нить при выпуске новых машин:</w:t>
      </w:r>
    </w:p>
    <w:p w14:paraId="246848F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Переднюю часть фонаря сделать граненую.</w:t>
      </w:r>
    </w:p>
    <w:p w14:paraId="4FC4049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Упростить или облегчить управление жалю</w:t>
      </w:r>
      <w:r w:rsidRPr="00722885">
        <w:rPr>
          <w:rFonts w:ascii="Times New Roman" w:hAnsi="Times New Roman"/>
          <w:color w:val="000000" w:themeColor="text1"/>
          <w:sz w:val="16"/>
          <w:szCs w:val="16"/>
        </w:rPr>
        <w:softHyphen/>
        <w:t>зи мотора.</w:t>
      </w:r>
    </w:p>
    <w:p w14:paraId="2DF1256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Изоляция тросов руля поворота (коуши) не</w:t>
      </w:r>
      <w:r w:rsidRPr="00722885">
        <w:rPr>
          <w:rFonts w:ascii="Times New Roman" w:hAnsi="Times New Roman"/>
          <w:color w:val="000000" w:themeColor="text1"/>
          <w:sz w:val="16"/>
          <w:szCs w:val="16"/>
        </w:rPr>
        <w:softHyphen/>
        <w:t>удовлетворительна при выполнении фигур выс</w:t>
      </w:r>
      <w:r w:rsidRPr="00722885">
        <w:rPr>
          <w:rFonts w:ascii="Times New Roman" w:hAnsi="Times New Roman"/>
          <w:color w:val="000000" w:themeColor="text1"/>
          <w:sz w:val="16"/>
          <w:szCs w:val="16"/>
        </w:rPr>
        <w:softHyphen/>
        <w:t>шего пилотажа, как-то: бочки, перевороты че</w:t>
      </w:r>
      <w:r w:rsidRPr="00722885">
        <w:rPr>
          <w:rFonts w:ascii="Times New Roman" w:hAnsi="Times New Roman"/>
          <w:color w:val="000000" w:themeColor="text1"/>
          <w:sz w:val="16"/>
          <w:szCs w:val="16"/>
        </w:rPr>
        <w:softHyphen/>
        <w:t>рез крыло; каблук обуви цепляет за коуши.</w:t>
      </w:r>
    </w:p>
    <w:p w14:paraId="173455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Улучшить управление самолета прирулежке в смысле облегчения разворотов.</w:t>
      </w:r>
    </w:p>
    <w:p w14:paraId="4DD154D1" w14:textId="77777777" w:rsidR="00BB6316" w:rsidRPr="00722885" w:rsidRDefault="00BB6316" w:rsidP="00722885">
      <w:pPr>
        <w:numPr>
          <w:ilvl w:val="0"/>
          <w:numId w:val="21"/>
        </w:numPr>
        <w:shd w:val="clear" w:color="auto" w:fill="FFFFFF"/>
        <w:spacing w:after="0" w:line="240" w:lineRule="auto"/>
        <w:ind w:left="0" w:firstLine="0"/>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Вынести сектор газа вперед минимум на 100 мм; при старом положении сектора газ убрать полностью, без особых комбинаций, не возможно.</w:t>
      </w:r>
    </w:p>
    <w:p w14:paraId="72AFA91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Необходимо для пополнения расхода возду</w:t>
      </w:r>
      <w:r w:rsidRPr="00722885">
        <w:rPr>
          <w:rFonts w:ascii="Times New Roman" w:hAnsi="Times New Roman"/>
          <w:color w:val="000000" w:themeColor="text1"/>
          <w:sz w:val="16"/>
          <w:szCs w:val="16"/>
        </w:rPr>
        <w:softHyphen/>
        <w:t>ха на подъем шасси и щитков поставить комп</w:t>
      </w:r>
      <w:r w:rsidRPr="00722885">
        <w:rPr>
          <w:rFonts w:ascii="Times New Roman" w:hAnsi="Times New Roman"/>
          <w:color w:val="000000" w:themeColor="text1"/>
          <w:sz w:val="16"/>
          <w:szCs w:val="16"/>
        </w:rPr>
        <w:softHyphen/>
        <w:t>рессор.</w:t>
      </w:r>
    </w:p>
    <w:p w14:paraId="57F6EF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Обязать оборудовать запуск мотора сжатым воздухом.</w:t>
      </w:r>
    </w:p>
    <w:p w14:paraId="374A719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Разработать на вновь выпускаемых машинах аварийное открытие фонаря.</w:t>
      </w:r>
    </w:p>
    <w:p w14:paraId="3DF3C84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Улучшить вентиляцию кабины (очень жарко).</w:t>
      </w:r>
    </w:p>
    <w:p w14:paraId="4C5633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Считаю, что самолет И-185 с мотором М-71 или М-82 и вооруженный 3 пушками «ШВАК» отвечает всем требованиям для ведения бое</w:t>
      </w:r>
      <w:r w:rsidRPr="00722885">
        <w:rPr>
          <w:rFonts w:ascii="Times New Roman" w:hAnsi="Times New Roman"/>
          <w:color w:val="000000" w:themeColor="text1"/>
          <w:sz w:val="16"/>
          <w:szCs w:val="16"/>
        </w:rPr>
        <w:softHyphen/>
        <w:t>вой работы.</w:t>
      </w:r>
    </w:p>
    <w:p w14:paraId="220CAAF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Надо считать, в настоящее время самолет И-185 является лучшим самолетом истреби</w:t>
      </w:r>
      <w:r w:rsidRPr="00722885">
        <w:rPr>
          <w:rFonts w:ascii="Times New Roman" w:hAnsi="Times New Roman"/>
          <w:color w:val="000000" w:themeColor="text1"/>
          <w:sz w:val="16"/>
          <w:szCs w:val="16"/>
        </w:rPr>
        <w:softHyphen/>
        <w:t>тельного типа по своей простоте в управлении, по скорости, маневру (особо на вертикали), по вооружению и живучести.</w:t>
      </w:r>
    </w:p>
    <w:p w14:paraId="5B087C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Летчики-фронтовики этого самолета ждут с нетерпением на фронте».</w:t>
      </w:r>
    </w:p>
    <w:p w14:paraId="6F8A393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своем отзыве командир эскадрильи стар</w:t>
      </w:r>
      <w:r w:rsidRPr="00722885">
        <w:rPr>
          <w:rFonts w:ascii="Times New Roman" w:hAnsi="Times New Roman"/>
          <w:color w:val="000000" w:themeColor="text1"/>
          <w:sz w:val="16"/>
          <w:szCs w:val="16"/>
        </w:rPr>
        <w:softHyphen/>
        <w:t>ший лейтенант Н. П.Игнатьев писал:</w:t>
      </w:r>
    </w:p>
    <w:p w14:paraId="24C28AD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«Начинал боевую работу на фронте отече-ственной войны на самолете И-16 и Як- 7. Имея более 320 боевых вылетов, уничтожил до 25 немецких самолетов как в одиночном, так и в групповом бою.</w:t>
      </w:r>
    </w:p>
    <w:p w14:paraId="56551E1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Перейти на самолет И-185 никакой трудно</w:t>
      </w:r>
      <w:r w:rsidRPr="00722885">
        <w:rPr>
          <w:rFonts w:ascii="Times New Roman" w:hAnsi="Times New Roman"/>
          <w:color w:val="000000" w:themeColor="text1"/>
          <w:sz w:val="16"/>
          <w:szCs w:val="16"/>
        </w:rPr>
        <w:softHyphen/>
        <w:t>сти не представляет для средне подготовлен</w:t>
      </w:r>
      <w:r w:rsidRPr="00722885">
        <w:rPr>
          <w:rFonts w:ascii="Times New Roman" w:hAnsi="Times New Roman"/>
          <w:color w:val="000000" w:themeColor="text1"/>
          <w:sz w:val="16"/>
          <w:szCs w:val="16"/>
        </w:rPr>
        <w:softHyphen/>
        <w:t>ного летчика. Самолет И-185 во всех случаях прост, устойчив. Взлет гораздо проще, чем на Як-1, быстро отрывается, ввиду большой мощ</w:t>
      </w:r>
      <w:r w:rsidRPr="00722885">
        <w:rPr>
          <w:rFonts w:ascii="Times New Roman" w:hAnsi="Times New Roman"/>
          <w:color w:val="000000" w:themeColor="text1"/>
          <w:sz w:val="16"/>
          <w:szCs w:val="16"/>
        </w:rPr>
        <w:softHyphen/>
        <w:t>ности мотора; планирование, посадка, пробег простые. Пилотаж в зоне прост, бочки, штопор, перевороты энергичные, не требуют никакого усилия. И-185 обладает хорошей горизонталь</w:t>
      </w:r>
      <w:r w:rsidRPr="00722885">
        <w:rPr>
          <w:rFonts w:ascii="Times New Roman" w:hAnsi="Times New Roman"/>
          <w:color w:val="000000" w:themeColor="text1"/>
          <w:sz w:val="16"/>
          <w:szCs w:val="16"/>
        </w:rPr>
        <w:softHyphen/>
        <w:t>ной и вертикальной скоростью, превышающейвсе иностранные и отечественные самолеты в скорости, поэтому лучше вести воздушный бой на вертикалях, горизонтальный маневр равен самолету Як-1, на самолете И-185 боевая ра</w:t>
      </w:r>
      <w:r w:rsidRPr="00722885">
        <w:rPr>
          <w:rFonts w:ascii="Times New Roman" w:hAnsi="Times New Roman"/>
          <w:color w:val="000000" w:themeColor="text1"/>
          <w:sz w:val="16"/>
          <w:szCs w:val="16"/>
        </w:rPr>
        <w:softHyphen/>
        <w:t>бота не производилась из-за отсутствия зада</w:t>
      </w:r>
      <w:r w:rsidRPr="00722885">
        <w:rPr>
          <w:rFonts w:ascii="Times New Roman" w:hAnsi="Times New Roman"/>
          <w:color w:val="000000" w:themeColor="text1"/>
          <w:sz w:val="16"/>
          <w:szCs w:val="16"/>
        </w:rPr>
        <w:softHyphen/>
        <w:t>чи. Учебно-тренировочные полеты показали, что самолет И-185 обладает хорошими свой</w:t>
      </w:r>
      <w:r w:rsidRPr="00722885">
        <w:rPr>
          <w:rFonts w:ascii="Times New Roman" w:hAnsi="Times New Roman"/>
          <w:color w:val="000000" w:themeColor="text1"/>
          <w:sz w:val="16"/>
          <w:szCs w:val="16"/>
        </w:rPr>
        <w:softHyphen/>
        <w:t>ствами для ведения воздушного боя с истреби</w:t>
      </w:r>
      <w:r w:rsidRPr="00722885">
        <w:rPr>
          <w:rFonts w:ascii="Times New Roman" w:hAnsi="Times New Roman"/>
          <w:color w:val="000000" w:themeColor="text1"/>
          <w:sz w:val="16"/>
          <w:szCs w:val="16"/>
        </w:rPr>
        <w:softHyphen/>
        <w:t>телями противника на вертикалях.</w:t>
      </w:r>
    </w:p>
    <w:p w14:paraId="1A6F425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самолета 3 ШВАК достаточно вполне, лично рекомендую заводу такое воору</w:t>
      </w:r>
      <w:r w:rsidRPr="00722885">
        <w:rPr>
          <w:rFonts w:ascii="Times New Roman" w:hAnsi="Times New Roman"/>
          <w:color w:val="000000" w:themeColor="text1"/>
          <w:sz w:val="16"/>
          <w:szCs w:val="16"/>
        </w:rPr>
        <w:softHyphen/>
        <w:t>жение для дальнейшего применения на само</w:t>
      </w:r>
      <w:r w:rsidRPr="00722885">
        <w:rPr>
          <w:rFonts w:ascii="Times New Roman" w:hAnsi="Times New Roman"/>
          <w:color w:val="000000" w:themeColor="text1"/>
          <w:sz w:val="16"/>
          <w:szCs w:val="16"/>
        </w:rPr>
        <w:softHyphen/>
        <w:t>леты И-185.</w:t>
      </w:r>
    </w:p>
    <w:p w14:paraId="395137C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Моторы М-71, М-82 вполне подходящие, мощные, выносливые, но требуют некоторых вопросов для лучшего усовершенствования в эксплуатации.</w:t>
      </w:r>
    </w:p>
    <w:p w14:paraId="7BD6D41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Запуск мотора в зимних условиях труден. Общий недостаток моторов воздушного охлаж</w:t>
      </w:r>
      <w:r w:rsidRPr="00722885">
        <w:rPr>
          <w:rFonts w:ascii="Times New Roman" w:hAnsi="Times New Roman"/>
          <w:color w:val="000000" w:themeColor="text1"/>
          <w:sz w:val="16"/>
          <w:szCs w:val="16"/>
        </w:rPr>
        <w:softHyphen/>
        <w:t>дения, поэтому требуется продумать вопросы подогрева мотора более быстрого, чем сейчас. Заливка мотора (шприц) расположен неудоб</w:t>
      </w:r>
      <w:r w:rsidRPr="00722885">
        <w:rPr>
          <w:rFonts w:ascii="Times New Roman" w:hAnsi="Times New Roman"/>
          <w:color w:val="000000" w:themeColor="text1"/>
          <w:sz w:val="16"/>
          <w:szCs w:val="16"/>
        </w:rPr>
        <w:softHyphen/>
        <w:t>но, рекомендую заливную систему располо</w:t>
      </w:r>
      <w:r w:rsidRPr="00722885">
        <w:rPr>
          <w:rFonts w:ascii="Times New Roman" w:hAnsi="Times New Roman"/>
          <w:color w:val="000000" w:themeColor="text1"/>
          <w:sz w:val="16"/>
          <w:szCs w:val="16"/>
        </w:rPr>
        <w:softHyphen/>
        <w:t>жить у приборной доски или за ней.</w:t>
      </w:r>
    </w:p>
    <w:p w14:paraId="7B946D8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Управление жалюзи неудобное, тугое (так</w:t>
      </w:r>
      <w:r w:rsidRPr="00722885">
        <w:rPr>
          <w:rFonts w:ascii="Times New Roman" w:hAnsi="Times New Roman"/>
          <w:color w:val="000000" w:themeColor="text1"/>
          <w:sz w:val="16"/>
          <w:szCs w:val="16"/>
        </w:rPr>
        <w:softHyphen/>
        <w:t>же требуется изменить, поставить так, как на И-16), такое расположение требует значительно</w:t>
      </w:r>
      <w:r w:rsidRPr="00722885">
        <w:rPr>
          <w:rFonts w:ascii="Times New Roman" w:hAnsi="Times New Roman"/>
          <w:color w:val="000000" w:themeColor="text1"/>
          <w:sz w:val="16"/>
          <w:szCs w:val="16"/>
        </w:rPr>
        <w:softHyphen/>
        <w:t>го усилия и внимания как на самолете с 71, так и 82 мотором.</w:t>
      </w:r>
    </w:p>
    <w:p w14:paraId="083A737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Заливной бак на самолете с мотором М-71 неудобен в смысле заправки, рекомендую залив</w:t>
      </w:r>
      <w:r w:rsidRPr="00722885">
        <w:rPr>
          <w:rFonts w:ascii="Times New Roman" w:hAnsi="Times New Roman"/>
          <w:color w:val="000000" w:themeColor="text1"/>
          <w:sz w:val="16"/>
          <w:szCs w:val="16"/>
        </w:rPr>
        <w:softHyphen/>
        <w:t>ную систему сделать, как на Як-1 от общего бака, этим самым упростится запуск мотора. Запуск мотора рекомендую не от стартера, а воздухом».</w:t>
      </w:r>
    </w:p>
    <w:p w14:paraId="456B6DB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Отзыв о самолете И-185 летчика 728 ИАП младшего лейтенанта Кустова И.Е.:</w:t>
      </w:r>
    </w:p>
    <w:p w14:paraId="455D2A7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«Боевую работу на фронте отечественной войны все время вел на самолете И-16, на кото</w:t>
      </w:r>
      <w:r w:rsidRPr="00722885">
        <w:rPr>
          <w:rFonts w:ascii="Times New Roman" w:hAnsi="Times New Roman"/>
          <w:color w:val="000000" w:themeColor="text1"/>
          <w:sz w:val="16"/>
          <w:szCs w:val="16"/>
        </w:rPr>
        <w:softHyphen/>
        <w:t>ром сделал более 100 боевых вылетов, лично сбил 7, в групповом - 7 самолетов противника.</w:t>
      </w:r>
    </w:p>
    <w:p w14:paraId="22333C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Переход с самолета И-16 на самолет И-185 был для меня не труден, поэтому считаю, что летчики, владеющие техникой пилотирования на самолете 1/1-16 с оценкой на хорошо, свобод</w:t>
      </w:r>
      <w:r w:rsidRPr="00722885">
        <w:rPr>
          <w:rFonts w:ascii="Times New Roman" w:hAnsi="Times New Roman"/>
          <w:color w:val="000000" w:themeColor="text1"/>
          <w:sz w:val="16"/>
          <w:szCs w:val="16"/>
        </w:rPr>
        <w:softHyphen/>
        <w:t>но могут переходить на И-185.</w:t>
      </w:r>
    </w:p>
    <w:p w14:paraId="22AE4E9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взлете и посадке самолет прост. Из сде</w:t>
      </w:r>
      <w:r w:rsidRPr="00722885">
        <w:rPr>
          <w:rFonts w:ascii="Times New Roman" w:hAnsi="Times New Roman"/>
          <w:color w:val="000000" w:themeColor="text1"/>
          <w:sz w:val="16"/>
          <w:szCs w:val="16"/>
        </w:rPr>
        <w:softHyphen/>
        <w:t>ланных мной полетов, я могу заключить, что са</w:t>
      </w:r>
      <w:r w:rsidRPr="00722885">
        <w:rPr>
          <w:rFonts w:ascii="Times New Roman" w:hAnsi="Times New Roman"/>
          <w:color w:val="000000" w:themeColor="text1"/>
          <w:sz w:val="16"/>
          <w:szCs w:val="16"/>
        </w:rPr>
        <w:softHyphen/>
        <w:t>молет обладает скоростью, превосходящей все типы самолетов, стоящих на вооружении ВВС КА. Обладает хорошим вертикальным и гори</w:t>
      </w:r>
      <w:r w:rsidRPr="00722885">
        <w:rPr>
          <w:rFonts w:ascii="Times New Roman" w:hAnsi="Times New Roman"/>
          <w:color w:val="000000" w:themeColor="text1"/>
          <w:sz w:val="16"/>
          <w:szCs w:val="16"/>
        </w:rPr>
        <w:softHyphen/>
        <w:t>зонтальным маневром.</w:t>
      </w:r>
    </w:p>
    <w:p w14:paraId="1409E39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этими летными качествами и мощным во</w:t>
      </w:r>
      <w:r w:rsidRPr="00722885">
        <w:rPr>
          <w:rFonts w:ascii="Times New Roman" w:hAnsi="Times New Roman"/>
          <w:color w:val="000000" w:themeColor="text1"/>
          <w:sz w:val="16"/>
          <w:szCs w:val="16"/>
        </w:rPr>
        <w:softHyphen/>
        <w:t>оружением, которым обладает самолет, он мо</w:t>
      </w:r>
      <w:r w:rsidRPr="00722885">
        <w:rPr>
          <w:rFonts w:ascii="Times New Roman" w:hAnsi="Times New Roman"/>
          <w:color w:val="000000" w:themeColor="text1"/>
          <w:sz w:val="16"/>
          <w:szCs w:val="16"/>
        </w:rPr>
        <w:softHyphen/>
        <w:t>жет считаться одним из лучших советских ис</w:t>
      </w:r>
      <w:r w:rsidRPr="00722885">
        <w:rPr>
          <w:rFonts w:ascii="Times New Roman" w:hAnsi="Times New Roman"/>
          <w:color w:val="000000" w:themeColor="text1"/>
          <w:sz w:val="16"/>
          <w:szCs w:val="16"/>
        </w:rPr>
        <w:softHyphen/>
        <w:t>требителей. Недостатками самолета являются:</w:t>
      </w:r>
    </w:p>
    <w:p w14:paraId="5A6C6D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 Сильно искажающий сферический передний козырек следует заменить на козырек с плос</w:t>
      </w:r>
      <w:r w:rsidRPr="00722885">
        <w:rPr>
          <w:rFonts w:ascii="Times New Roman" w:hAnsi="Times New Roman"/>
          <w:color w:val="000000" w:themeColor="text1"/>
          <w:sz w:val="16"/>
          <w:szCs w:val="16"/>
        </w:rPr>
        <w:softHyphen/>
        <w:t>кими гранями.</w:t>
      </w:r>
    </w:p>
    <w:p w14:paraId="0CBB0F1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Сектор газа расположен неудобно, необхо- \ димо вынести его несколько вперед.</w:t>
      </w:r>
    </w:p>
    <w:p w14:paraId="7F3E522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Неудобно расположены и туго управляются жалюзи мотора.</w:t>
      </w:r>
    </w:p>
    <w:p w14:paraId="14E34F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Отсутствие компрессора мотора.</w:t>
      </w:r>
    </w:p>
    <w:p w14:paraId="6F5ABE4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Мое пожелание заводу, как можно быстрее и больше выпускать таких самолетов фронту» (9979).</w:t>
      </w:r>
    </w:p>
    <w:p w14:paraId="0743106D" w14:textId="77777777" w:rsidR="00BB6316" w:rsidRPr="00722885" w:rsidRDefault="00BB6316" w:rsidP="00722885">
      <w:pPr>
        <w:shd w:val="clear" w:color="auto" w:fill="FFFFFF"/>
        <w:spacing w:after="0" w:line="240" w:lineRule="auto"/>
        <w:jc w:val="both"/>
        <w:rPr>
          <w:rFonts w:ascii="Times New Roman" w:hAnsi="Times New Roman"/>
          <w:iCs/>
          <w:color w:val="000000" w:themeColor="text1"/>
          <w:sz w:val="16"/>
          <w:szCs w:val="16"/>
        </w:rPr>
      </w:pPr>
    </w:p>
    <w:p w14:paraId="32D9DCA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г. состоялся первый боевой вылет И-185, а последний - 12 января 1943 г. Летали в двух па</w:t>
      </w:r>
      <w:r w:rsidRPr="00722885">
        <w:rPr>
          <w:rFonts w:ascii="Times New Roman" w:hAnsi="Times New Roman"/>
          <w:color w:val="000000" w:themeColor="text1"/>
          <w:sz w:val="16"/>
          <w:szCs w:val="16"/>
        </w:rPr>
        <w:softHyphen/>
        <w:t>рах, причем ведущим обычно являлся офицер (Игнать</w:t>
      </w:r>
      <w:r w:rsidRPr="00722885">
        <w:rPr>
          <w:rFonts w:ascii="Times New Roman" w:hAnsi="Times New Roman"/>
          <w:color w:val="000000" w:themeColor="text1"/>
          <w:sz w:val="16"/>
          <w:szCs w:val="16"/>
        </w:rPr>
        <w:softHyphen/>
        <w:t>ев, Купин), а ведомым - сержант (Боровых, Томиль-ченко). Истребители часто выпускали в полет, когда над нашей территорией шел воздушный бой. На полной скорости проносились И-185 сквозь строй фашистских самолетов, стреляя из пушек, а потом с разворотом ухо</w:t>
      </w:r>
      <w:r w:rsidRPr="00722885">
        <w:rPr>
          <w:rFonts w:ascii="Times New Roman" w:hAnsi="Times New Roman"/>
          <w:color w:val="000000" w:themeColor="text1"/>
          <w:sz w:val="16"/>
          <w:szCs w:val="16"/>
        </w:rPr>
        <w:softHyphen/>
        <w:t>дили на свой аэродром. Один полет был осуществлен на «свободную охоту» над нашей территорией. По воспо</w:t>
      </w:r>
      <w:r w:rsidRPr="00722885">
        <w:rPr>
          <w:rFonts w:ascii="Times New Roman" w:hAnsi="Times New Roman"/>
          <w:color w:val="000000" w:themeColor="text1"/>
          <w:sz w:val="16"/>
          <w:szCs w:val="16"/>
        </w:rPr>
        <w:softHyphen/>
        <w:t>минаниям Игнатьева, Боровых при этом сбил или по</w:t>
      </w:r>
      <w:r w:rsidRPr="00722885">
        <w:rPr>
          <w:rFonts w:ascii="Times New Roman" w:hAnsi="Times New Roman"/>
          <w:color w:val="000000" w:themeColor="text1"/>
          <w:sz w:val="16"/>
          <w:szCs w:val="16"/>
        </w:rPr>
        <w:softHyphen/>
        <w:t>вредил один немецкий самолет. Два полета выполнили для прикрытия действовавшего в районе Ржева развед</w:t>
      </w:r>
      <w:r w:rsidRPr="00722885">
        <w:rPr>
          <w:rFonts w:ascii="Times New Roman" w:hAnsi="Times New Roman"/>
          <w:color w:val="000000" w:themeColor="text1"/>
          <w:sz w:val="16"/>
          <w:szCs w:val="16"/>
        </w:rPr>
        <w:softHyphen/>
        <w:t>чика Кертисс Р-40 «Китти-Хаук». Купин летал преиму</w:t>
      </w:r>
      <w:r w:rsidRPr="00722885">
        <w:rPr>
          <w:rFonts w:ascii="Times New Roman" w:hAnsi="Times New Roman"/>
          <w:color w:val="000000" w:themeColor="text1"/>
          <w:sz w:val="16"/>
          <w:szCs w:val="16"/>
        </w:rPr>
        <w:softHyphen/>
        <w:t>щественно на опытном И-185 с М-71 («04»), Игнатьев -на «эталоне для серии», Боровых и Томильченко - на И-185 с М-82А. В воздушных боях с FW-190 им встре</w:t>
      </w:r>
      <w:r w:rsidRPr="00722885">
        <w:rPr>
          <w:rFonts w:ascii="Times New Roman" w:hAnsi="Times New Roman"/>
          <w:color w:val="000000" w:themeColor="text1"/>
          <w:sz w:val="16"/>
          <w:szCs w:val="16"/>
        </w:rPr>
        <w:softHyphen/>
        <w:t>титься не довелось. Группа И-185 часто меняла дислокацию, то переба</w:t>
      </w:r>
      <w:r w:rsidRPr="00722885">
        <w:rPr>
          <w:rFonts w:ascii="Times New Roman" w:hAnsi="Times New Roman"/>
          <w:color w:val="000000" w:themeColor="text1"/>
          <w:sz w:val="16"/>
          <w:szCs w:val="16"/>
        </w:rPr>
        <w:softHyphen/>
        <w:t>зируясь в Старую Торопу, то опять возвращаясь в Ста</w:t>
      </w:r>
      <w:r w:rsidRPr="00722885">
        <w:rPr>
          <w:rFonts w:ascii="Times New Roman" w:hAnsi="Times New Roman"/>
          <w:color w:val="000000" w:themeColor="text1"/>
          <w:sz w:val="16"/>
          <w:szCs w:val="16"/>
        </w:rPr>
        <w:softHyphen/>
        <w:t>рицу. Преследовали цель создать у немцев иллюзию наличия на Калининском фронте по крайней мере пол</w:t>
      </w:r>
      <w:r w:rsidRPr="00722885">
        <w:rPr>
          <w:rFonts w:ascii="Times New Roman" w:hAnsi="Times New Roman"/>
          <w:color w:val="000000" w:themeColor="text1"/>
          <w:sz w:val="16"/>
          <w:szCs w:val="16"/>
        </w:rPr>
        <w:softHyphen/>
        <w:t>ка, вооруженного И-185, а также снизить вероятность поражения истребителей при возможных налетах про</w:t>
      </w:r>
      <w:r w:rsidRPr="00722885">
        <w:rPr>
          <w:rFonts w:ascii="Times New Roman" w:hAnsi="Times New Roman"/>
          <w:color w:val="000000" w:themeColor="text1"/>
          <w:sz w:val="16"/>
          <w:szCs w:val="16"/>
        </w:rPr>
        <w:softHyphen/>
        <w:t>тивника на аэродром. Всего каждый летчик выполнил по 10-11 боевых вы</w:t>
      </w:r>
      <w:r w:rsidRPr="00722885">
        <w:rPr>
          <w:rFonts w:ascii="Times New Roman" w:hAnsi="Times New Roman"/>
          <w:color w:val="000000" w:themeColor="text1"/>
          <w:sz w:val="16"/>
          <w:szCs w:val="16"/>
        </w:rPr>
        <w:softHyphen/>
        <w:t>летов. В летную книжку по соображениям секретности они записывались преимущественно как «тренировоч</w:t>
      </w:r>
      <w:r w:rsidRPr="00722885">
        <w:rPr>
          <w:rFonts w:ascii="Times New Roman" w:hAnsi="Times New Roman"/>
          <w:color w:val="000000" w:themeColor="text1"/>
          <w:sz w:val="16"/>
          <w:szCs w:val="16"/>
        </w:rPr>
        <w:softHyphen/>
        <w:t>ные полеты» в зоне аэродрома. К новому самолету проявила интерес немецкая раз</w:t>
      </w:r>
      <w:r w:rsidRPr="00722885">
        <w:rPr>
          <w:rFonts w:ascii="Times New Roman" w:hAnsi="Times New Roman"/>
          <w:color w:val="000000" w:themeColor="text1"/>
          <w:sz w:val="16"/>
          <w:szCs w:val="16"/>
        </w:rPr>
        <w:softHyphen/>
        <w:t>ведка. Н.П.Игнатьев рассказывал, что на подходах к аэ</w:t>
      </w:r>
      <w:r w:rsidRPr="00722885">
        <w:rPr>
          <w:rFonts w:ascii="Times New Roman" w:hAnsi="Times New Roman"/>
          <w:color w:val="000000" w:themeColor="text1"/>
          <w:sz w:val="16"/>
          <w:szCs w:val="16"/>
        </w:rPr>
        <w:softHyphen/>
        <w:t>родрому однажды поймали диверсанта. Кроме Купина, Игнатьева, Боровых, Томильченко И-185 облетали в действительно тренировочных поле</w:t>
      </w:r>
      <w:r w:rsidRPr="00722885">
        <w:rPr>
          <w:rFonts w:ascii="Times New Roman" w:hAnsi="Times New Roman"/>
          <w:color w:val="000000" w:themeColor="text1"/>
          <w:sz w:val="16"/>
          <w:szCs w:val="16"/>
        </w:rPr>
        <w:softHyphen/>
        <w:t>тах командир полка Василяка и Кустов. По указанию командования отчеты о фронтовых ис</w:t>
      </w:r>
      <w:r w:rsidRPr="00722885">
        <w:rPr>
          <w:rFonts w:ascii="Times New Roman" w:hAnsi="Times New Roman"/>
          <w:color w:val="000000" w:themeColor="text1"/>
          <w:sz w:val="16"/>
          <w:szCs w:val="16"/>
        </w:rPr>
        <w:softHyphen/>
        <w:t>пытаниях должны были писать только летчики-офице</w:t>
      </w:r>
      <w:r w:rsidRPr="00722885">
        <w:rPr>
          <w:rFonts w:ascii="Times New Roman" w:hAnsi="Times New Roman"/>
          <w:color w:val="000000" w:themeColor="text1"/>
          <w:sz w:val="16"/>
          <w:szCs w:val="16"/>
        </w:rPr>
        <w:softHyphen/>
        <w:t>ры. По неизвестной причине от этой работы отстранили Д.И.Купина - по-видимому, в это время он болел. Поэтому в штаб ВВС направили отчеты Василя-ки, Игнатьева, Кустова. Интересно отметить, что в них старательно подчеркивалось выполнение на И-185 на фронте только учебно-тренировочных полетов.</w:t>
      </w:r>
    </w:p>
    <w:p w14:paraId="6AF379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Фронтовые летчики высоко оценили боевые качест</w:t>
      </w:r>
      <w:r w:rsidRPr="00722885">
        <w:rPr>
          <w:rFonts w:ascii="Times New Roman" w:hAnsi="Times New Roman"/>
          <w:color w:val="000000" w:themeColor="text1"/>
          <w:sz w:val="16"/>
          <w:szCs w:val="16"/>
        </w:rPr>
        <w:softHyphen/>
        <w:t>ва И-185. Из отзыва командира 728-го ИАП капитана В.С.Василяки:</w:t>
      </w:r>
    </w:p>
    <w:p w14:paraId="1983DE8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полку на самолетах И-185 летает 5 человек, все 5 чел. вылетели и летают без затруднения как после Яка, так и после И-16.</w:t>
      </w:r>
    </w:p>
    <w:p w14:paraId="72FD5AC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Лично я летал на самолетах: И-16, Як-1, Як-7Б, ЛаГГ-3, Ла-5, Харрикейн и на самолете И-185 с мотором М-71 и М-82 и пришел к следующему выводу:</w:t>
      </w:r>
    </w:p>
    <w:p w14:paraId="7C906DC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Переход с других самолетов истребительного типа на самолет И-185 прост и не вызывает никаких трудно</w:t>
      </w:r>
      <w:r w:rsidRPr="00722885">
        <w:rPr>
          <w:rFonts w:ascii="Times New Roman" w:hAnsi="Times New Roman"/>
          <w:color w:val="000000" w:themeColor="text1"/>
          <w:sz w:val="16"/>
          <w:szCs w:val="16"/>
        </w:rPr>
        <w:softHyphen/>
        <w:t>стей для летчиков.</w:t>
      </w:r>
    </w:p>
    <w:p w14:paraId="4BD0D4F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Самолет в полете управляется легко, очень устой</w:t>
      </w:r>
      <w:r w:rsidRPr="00722885">
        <w:rPr>
          <w:rFonts w:ascii="Times New Roman" w:hAnsi="Times New Roman"/>
          <w:color w:val="000000" w:themeColor="text1"/>
          <w:sz w:val="16"/>
          <w:szCs w:val="16"/>
        </w:rPr>
        <w:softHyphen/>
        <w:t>чив и без особых капризов.</w:t>
      </w:r>
    </w:p>
    <w:p w14:paraId="258802C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Выполнение взлета и посадки исключительно про</w:t>
      </w:r>
      <w:r w:rsidRPr="00722885">
        <w:rPr>
          <w:rFonts w:ascii="Times New Roman" w:hAnsi="Times New Roman"/>
          <w:color w:val="000000" w:themeColor="text1"/>
          <w:sz w:val="16"/>
          <w:szCs w:val="16"/>
        </w:rPr>
        <w:softHyphen/>
        <w:t>стое.</w:t>
      </w:r>
    </w:p>
    <w:p w14:paraId="6DDFFC8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Достоинством самолета является исключительно высокая маневренность на вертикалях благодаря его хо</w:t>
      </w:r>
      <w:r w:rsidRPr="00722885">
        <w:rPr>
          <w:rFonts w:ascii="Times New Roman" w:hAnsi="Times New Roman"/>
          <w:color w:val="000000" w:themeColor="text1"/>
          <w:sz w:val="16"/>
          <w:szCs w:val="16"/>
        </w:rPr>
        <w:softHyphen/>
        <w:t>рошей скороподъемности, что дает возможность вести воздушный бой с истребителями противника, что не всегда возможно на самолетах Як-1, Як-7Б и на Ла-5.</w:t>
      </w:r>
    </w:p>
    <w:p w14:paraId="44E7147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 горизонтальной скорости самолет И-185 имеет большое преимущество по сравнению с самолетами оте</w:t>
      </w:r>
      <w:r w:rsidRPr="00722885">
        <w:rPr>
          <w:rFonts w:ascii="Times New Roman" w:hAnsi="Times New Roman"/>
          <w:color w:val="000000" w:themeColor="text1"/>
          <w:sz w:val="16"/>
          <w:szCs w:val="16"/>
        </w:rPr>
        <w:softHyphen/>
        <w:t>чественного производства, а также с самолетами против</w:t>
      </w:r>
      <w:r w:rsidRPr="00722885">
        <w:rPr>
          <w:rFonts w:ascii="Times New Roman" w:hAnsi="Times New Roman"/>
          <w:color w:val="000000" w:themeColor="text1"/>
          <w:sz w:val="16"/>
          <w:szCs w:val="16"/>
        </w:rPr>
        <w:softHyphen/>
        <w:t>ника. Диапазон скоростей по горизонтали у земли исключительно велик: 220-540 км/ч, что является нема</w:t>
      </w:r>
      <w:r w:rsidRPr="00722885">
        <w:rPr>
          <w:rFonts w:ascii="Times New Roman" w:hAnsi="Times New Roman"/>
          <w:color w:val="000000" w:themeColor="text1"/>
          <w:sz w:val="16"/>
          <w:szCs w:val="16"/>
        </w:rPr>
        <w:softHyphen/>
        <w:t>ловажным фактором для современного истребителя. Скорость по горизонту от эволютивной до максималь</w:t>
      </w:r>
      <w:r w:rsidRPr="00722885">
        <w:rPr>
          <w:rFonts w:ascii="Times New Roman" w:hAnsi="Times New Roman"/>
          <w:color w:val="000000" w:themeColor="text1"/>
          <w:sz w:val="16"/>
          <w:szCs w:val="16"/>
        </w:rPr>
        <w:softHyphen/>
        <w:t>ной самолет развивает очень быстро по сравнению с ЛаГГ-3, Ла-5 и Як'ами, т.е. имеет хорошую приемистость.</w:t>
      </w:r>
    </w:p>
    <w:p w14:paraId="700902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Фигуры высшего пилотажа выполняет легко, быстро и энергично, аналогично И-16.</w:t>
      </w:r>
    </w:p>
    <w:p w14:paraId="24A6711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Недостатки, обнаруженные в процессе эксплуата</w:t>
      </w:r>
      <w:r w:rsidRPr="00722885">
        <w:rPr>
          <w:rFonts w:ascii="Times New Roman" w:hAnsi="Times New Roman"/>
          <w:color w:val="000000" w:themeColor="text1"/>
          <w:sz w:val="16"/>
          <w:szCs w:val="16"/>
        </w:rPr>
        <w:softHyphen/>
        <w:t>ции, которые рекомендую заводу устранить при выпус</w:t>
      </w:r>
      <w:r w:rsidRPr="00722885">
        <w:rPr>
          <w:rFonts w:ascii="Times New Roman" w:hAnsi="Times New Roman"/>
          <w:color w:val="000000" w:themeColor="text1"/>
          <w:sz w:val="16"/>
          <w:szCs w:val="16"/>
        </w:rPr>
        <w:softHyphen/>
        <w:t>ке новых машин:</w:t>
      </w:r>
    </w:p>
    <w:p w14:paraId="204D3DE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Переднюю часть фонаря сделать граненую.</w:t>
      </w:r>
    </w:p>
    <w:p w14:paraId="4E4D53E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Упростить или облегчить управление жалюзи мо</w:t>
      </w:r>
      <w:r w:rsidRPr="00722885">
        <w:rPr>
          <w:rFonts w:ascii="Times New Roman" w:hAnsi="Times New Roman"/>
          <w:color w:val="000000" w:themeColor="text1"/>
          <w:sz w:val="16"/>
          <w:szCs w:val="16"/>
        </w:rPr>
        <w:softHyphen/>
        <w:t>тора.</w:t>
      </w:r>
    </w:p>
    <w:p w14:paraId="0798EE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Изоляция тросов руля поворота (коуши) неудов</w:t>
      </w:r>
      <w:r w:rsidRPr="00722885">
        <w:rPr>
          <w:rFonts w:ascii="Times New Roman" w:hAnsi="Times New Roman"/>
          <w:color w:val="000000" w:themeColor="text1"/>
          <w:sz w:val="16"/>
          <w:szCs w:val="16"/>
        </w:rPr>
        <w:softHyphen/>
        <w:t>летворительна при выполнении фигур высшего пилотажа, как-то: бочки, перевороты через крыло; каблук обуви цепляет за коуши.</w:t>
      </w:r>
    </w:p>
    <w:p w14:paraId="1112FFC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Улучшить управление самолета при рулежке в смысле облегчения разворотов.</w:t>
      </w:r>
    </w:p>
    <w:p w14:paraId="20EB043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Вынести сектор газа вперед минимум на 100 мм; при старом положении сектора газ убрать полностью, без особых комбинаций, невозможно.</w:t>
      </w:r>
    </w:p>
    <w:p w14:paraId="730D1E5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Необходимо для пополнения расхода воздуха на подъем шасси и щитков поставить компрессор.</w:t>
      </w:r>
    </w:p>
    <w:p w14:paraId="595225E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Обязать оборудовать запуск мотора сжатым возду</w:t>
      </w:r>
      <w:r w:rsidRPr="00722885">
        <w:rPr>
          <w:rFonts w:ascii="Times New Roman" w:hAnsi="Times New Roman"/>
          <w:color w:val="000000" w:themeColor="text1"/>
          <w:sz w:val="16"/>
          <w:szCs w:val="16"/>
        </w:rPr>
        <w:softHyphen/>
        <w:t>хом.</w:t>
      </w:r>
    </w:p>
    <w:p w14:paraId="3F850C9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Разработать на вновь выпускаемых машинах ава</w:t>
      </w:r>
      <w:r w:rsidRPr="00722885">
        <w:rPr>
          <w:rFonts w:ascii="Times New Roman" w:hAnsi="Times New Roman"/>
          <w:color w:val="000000" w:themeColor="text1"/>
          <w:sz w:val="16"/>
          <w:szCs w:val="16"/>
        </w:rPr>
        <w:softHyphen/>
        <w:t>рийное открытие фонаря.</w:t>
      </w:r>
    </w:p>
    <w:p w14:paraId="6E402E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Улучшить вентиляцию кабины (очень жарко).</w:t>
      </w:r>
    </w:p>
    <w:p w14:paraId="2F3E3E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Считаю, что самолет И-185 с мотором М-71 или М-82 и вооруженный 3 пушками «ШВАК» отвечает всем тре</w:t>
      </w:r>
      <w:r w:rsidRPr="00722885">
        <w:rPr>
          <w:rFonts w:ascii="Times New Roman" w:hAnsi="Times New Roman"/>
          <w:color w:val="000000" w:themeColor="text1"/>
          <w:sz w:val="16"/>
          <w:szCs w:val="16"/>
        </w:rPr>
        <w:softHyphen/>
        <w:t>бованиям для ведения боевой работы.</w:t>
      </w:r>
    </w:p>
    <w:p w14:paraId="0201186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Надо считать, в настоящее время самолет И-185 яв</w:t>
      </w:r>
      <w:r w:rsidRPr="00722885">
        <w:rPr>
          <w:rFonts w:ascii="Times New Roman" w:hAnsi="Times New Roman"/>
          <w:color w:val="000000" w:themeColor="text1"/>
          <w:sz w:val="16"/>
          <w:szCs w:val="16"/>
        </w:rPr>
        <w:softHyphen/>
        <w:t>ляется лучшим самолетом истребительного типа по своей простоте в управлении, по скорости, маневру (особо на вертикали), по вооружению и живучести.</w:t>
      </w:r>
    </w:p>
    <w:p w14:paraId="7F1165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Летчики-фронтовики этого самолета ждут с нетер</w:t>
      </w:r>
      <w:r w:rsidRPr="00722885">
        <w:rPr>
          <w:rFonts w:ascii="Times New Roman" w:hAnsi="Times New Roman"/>
          <w:color w:val="000000" w:themeColor="text1"/>
          <w:sz w:val="16"/>
          <w:szCs w:val="16"/>
        </w:rPr>
        <w:softHyphen/>
        <w:t>пением на фронте».</w:t>
      </w:r>
    </w:p>
    <w:p w14:paraId="59693FC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Командир эскадрильи Н.П.Игнатьев в отзыве писал:</w:t>
      </w:r>
    </w:p>
    <w:p w14:paraId="35C094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«Начинал боевую работу на фронте отечественной войны на самолете И-16 и Як-7. Имея более 320 боевых вылетов, уничтожил до 25 немецких самолетов как в одиночном, так и в групповом бою.</w:t>
      </w:r>
    </w:p>
    <w:p w14:paraId="3803543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Перейти на самолет И-185 никакой трудности не представляет для среднеподготовленного летчика. Са-</w:t>
      </w:r>
    </w:p>
    <w:p w14:paraId="72C3292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молет И-185 во всех случаях прост, устойчив. Взлет го</w:t>
      </w:r>
      <w:r w:rsidRPr="00722885">
        <w:rPr>
          <w:rFonts w:ascii="Times New Roman" w:hAnsi="Times New Roman"/>
          <w:color w:val="000000" w:themeColor="text1"/>
          <w:sz w:val="16"/>
          <w:szCs w:val="16"/>
        </w:rPr>
        <w:softHyphen/>
        <w:t>раздо проще, чем на Як-1, быстро отрывается ввиду большой мощности мотора; планирование, посадка, пробег простые. Пилотаж в зоне прост, бочки, штопор, перевороты энергичные, не требуют никакого усилия. И-185 обладает хорошей горизонтальной и вертикаль</w:t>
      </w:r>
      <w:r w:rsidRPr="00722885">
        <w:rPr>
          <w:rFonts w:ascii="Times New Roman" w:hAnsi="Times New Roman"/>
          <w:color w:val="000000" w:themeColor="text1"/>
          <w:sz w:val="16"/>
          <w:szCs w:val="16"/>
        </w:rPr>
        <w:softHyphen/>
        <w:t>ной скоростью, превышающей все иностранные и оте</w:t>
      </w:r>
      <w:r w:rsidRPr="00722885">
        <w:rPr>
          <w:rFonts w:ascii="Times New Roman" w:hAnsi="Times New Roman"/>
          <w:color w:val="000000" w:themeColor="text1"/>
          <w:sz w:val="16"/>
          <w:szCs w:val="16"/>
        </w:rPr>
        <w:softHyphen/>
        <w:t>чественные самолеты в скорости, поэтому лучше вести воздушный бой на вертикалях, горизонтальный маневр равен самолету Як-1, на самолете И-185 боевая работа не производилась из-за отсутствия задачи (что противоре</w:t>
      </w:r>
      <w:r w:rsidRPr="00722885">
        <w:rPr>
          <w:rFonts w:ascii="Times New Roman" w:hAnsi="Times New Roman"/>
          <w:color w:val="000000" w:themeColor="text1"/>
          <w:sz w:val="16"/>
          <w:szCs w:val="16"/>
        </w:rPr>
        <w:softHyphen/>
        <w:t>чит записям в летной книжке Н.П.Игнатьева. - В.И.). Учебно-тренировочные полеты показали, что самолет И-185 обладает хорошими свойствами для ведения воздушного боя с истребителями противника на верти</w:t>
      </w:r>
      <w:r w:rsidRPr="00722885">
        <w:rPr>
          <w:rFonts w:ascii="Times New Roman" w:hAnsi="Times New Roman"/>
          <w:color w:val="000000" w:themeColor="text1"/>
          <w:sz w:val="16"/>
          <w:szCs w:val="16"/>
        </w:rPr>
        <w:softHyphen/>
        <w:t>калях.</w:t>
      </w:r>
    </w:p>
    <w:p w14:paraId="440DE50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самолета 3 ШВАК достаточно вполне, лично рекомендую заводу такое вооружение для даль</w:t>
      </w:r>
      <w:r w:rsidRPr="00722885">
        <w:rPr>
          <w:rFonts w:ascii="Times New Roman" w:hAnsi="Times New Roman"/>
          <w:color w:val="000000" w:themeColor="text1"/>
          <w:sz w:val="16"/>
          <w:szCs w:val="16"/>
        </w:rPr>
        <w:softHyphen/>
        <w:t>нейшего применения на самолеты И-185.</w:t>
      </w:r>
    </w:p>
    <w:p w14:paraId="64190C8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Моторы М-71, М-82 вполне подходящие, мощные, выносливые, но требуют некоторых вопросов для луч</w:t>
      </w:r>
      <w:r w:rsidRPr="00722885">
        <w:rPr>
          <w:rFonts w:ascii="Times New Roman" w:hAnsi="Times New Roman"/>
          <w:color w:val="000000" w:themeColor="text1"/>
          <w:sz w:val="16"/>
          <w:szCs w:val="16"/>
        </w:rPr>
        <w:softHyphen/>
        <w:t>шего усовершенствования в эксплуатации.</w:t>
      </w:r>
    </w:p>
    <w:p w14:paraId="300335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Запуск мотора в зимних условиях труден. Общий не</w:t>
      </w:r>
      <w:r w:rsidRPr="00722885">
        <w:rPr>
          <w:rFonts w:ascii="Times New Roman" w:hAnsi="Times New Roman"/>
          <w:color w:val="000000" w:themeColor="text1"/>
          <w:sz w:val="16"/>
          <w:szCs w:val="16"/>
        </w:rPr>
        <w:softHyphen/>
        <w:t>достаток моторов воздушного охлаждения, поэтому требуется продумать вопросы подогрева мотора более быстрого, чем сейчас. Заливка мотора (шприц) располо</w:t>
      </w:r>
      <w:r w:rsidRPr="00722885">
        <w:rPr>
          <w:rFonts w:ascii="Times New Roman" w:hAnsi="Times New Roman"/>
          <w:color w:val="000000" w:themeColor="text1"/>
          <w:sz w:val="16"/>
          <w:szCs w:val="16"/>
        </w:rPr>
        <w:softHyphen/>
        <w:t>жен неудобно, рекомендую заливную систему располо</w:t>
      </w:r>
      <w:r w:rsidRPr="00722885">
        <w:rPr>
          <w:rFonts w:ascii="Times New Roman" w:hAnsi="Times New Roman"/>
          <w:color w:val="000000" w:themeColor="text1"/>
          <w:sz w:val="16"/>
          <w:szCs w:val="16"/>
        </w:rPr>
        <w:softHyphen/>
        <w:t>жить у приборной доски или за ней.</w:t>
      </w:r>
    </w:p>
    <w:p w14:paraId="0619AD1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Управление жалюзи неудобное, тугое (также требу</w:t>
      </w:r>
      <w:r w:rsidRPr="00722885">
        <w:rPr>
          <w:rFonts w:ascii="Times New Roman" w:hAnsi="Times New Roman"/>
          <w:color w:val="000000" w:themeColor="text1"/>
          <w:sz w:val="16"/>
          <w:szCs w:val="16"/>
        </w:rPr>
        <w:softHyphen/>
        <w:t>ется изменить, поставить так, как на И-16), такое расположение требует значительного усилия и внимания как на самолете с 71, так и 82 мотором.</w:t>
      </w:r>
    </w:p>
    <w:p w14:paraId="221157F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Заливной бак на самолете с мотором М-71 неудобен в смысле заправки, рекомендую заливную систему сде</w:t>
      </w:r>
      <w:r w:rsidRPr="00722885">
        <w:rPr>
          <w:rFonts w:ascii="Times New Roman" w:hAnsi="Times New Roman"/>
          <w:color w:val="000000" w:themeColor="text1"/>
          <w:sz w:val="16"/>
          <w:szCs w:val="16"/>
        </w:rPr>
        <w:softHyphen/>
        <w:t>лать, как на Як-1 от общего бака, этим самым упростит</w:t>
      </w:r>
      <w:r w:rsidRPr="00722885">
        <w:rPr>
          <w:rFonts w:ascii="Times New Roman" w:hAnsi="Times New Roman"/>
          <w:color w:val="000000" w:themeColor="text1"/>
          <w:sz w:val="16"/>
          <w:szCs w:val="16"/>
        </w:rPr>
        <w:softHyphen/>
        <w:t>ся запуск мотора.</w:t>
      </w:r>
    </w:p>
    <w:p w14:paraId="0E68831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Запуск мотора рекомендую не от стартера, а возду</w:t>
      </w:r>
      <w:r w:rsidRPr="00722885">
        <w:rPr>
          <w:rFonts w:ascii="Times New Roman" w:hAnsi="Times New Roman"/>
          <w:color w:val="000000" w:themeColor="text1"/>
          <w:sz w:val="16"/>
          <w:szCs w:val="16"/>
        </w:rPr>
        <w:softHyphen/>
        <w:t>хом».</w:t>
      </w:r>
    </w:p>
    <w:p w14:paraId="5A78B89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Отзыв о самолете И-185 летчика 728-го ИАП млад</w:t>
      </w:r>
      <w:r w:rsidRPr="00722885">
        <w:rPr>
          <w:rFonts w:ascii="Times New Roman" w:hAnsi="Times New Roman"/>
          <w:color w:val="000000" w:themeColor="text1"/>
          <w:sz w:val="16"/>
          <w:szCs w:val="16"/>
        </w:rPr>
        <w:softHyphen/>
        <w:t>шего лейтенанта И.Е.Кустова:</w:t>
      </w:r>
    </w:p>
    <w:p w14:paraId="644EEA3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«Боевую работу на фронте отечественной войны все время вел на самолете И-16, на котором сделал более 100 боевых вылетов, лично сбил 7, в групповом - 7 самоле</w:t>
      </w:r>
      <w:r w:rsidRPr="00722885">
        <w:rPr>
          <w:rFonts w:ascii="Times New Roman" w:hAnsi="Times New Roman"/>
          <w:color w:val="000000" w:themeColor="text1"/>
          <w:sz w:val="16"/>
          <w:szCs w:val="16"/>
        </w:rPr>
        <w:softHyphen/>
        <w:t>тов противника.</w:t>
      </w:r>
    </w:p>
    <w:p w14:paraId="427B82D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Переход с самолета И-16 на самолет И-185 был для меня не труден, поэтому считаю, что летчики, владею</w:t>
      </w:r>
      <w:r w:rsidRPr="00722885">
        <w:rPr>
          <w:rFonts w:ascii="Times New Roman" w:hAnsi="Times New Roman"/>
          <w:color w:val="000000" w:themeColor="text1"/>
          <w:sz w:val="16"/>
          <w:szCs w:val="16"/>
        </w:rPr>
        <w:softHyphen/>
        <w:t>щие техникой пилотирования на самолете И-16 с оцен</w:t>
      </w:r>
      <w:r w:rsidRPr="00722885">
        <w:rPr>
          <w:rFonts w:ascii="Times New Roman" w:hAnsi="Times New Roman"/>
          <w:color w:val="000000" w:themeColor="text1"/>
          <w:sz w:val="16"/>
          <w:szCs w:val="16"/>
        </w:rPr>
        <w:softHyphen/>
        <w:t>кой на хорошо, свободно могут переходить на И-185.</w:t>
      </w:r>
    </w:p>
    <w:p w14:paraId="1757438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взлете и посадке самолет прост. Из сделанных мной полетов, я могу заключить, что самолет обладает скоростью, превосходящей все типы самолетов, стоя</w:t>
      </w:r>
      <w:r w:rsidRPr="00722885">
        <w:rPr>
          <w:rFonts w:ascii="Times New Roman" w:hAnsi="Times New Roman"/>
          <w:color w:val="000000" w:themeColor="text1"/>
          <w:sz w:val="16"/>
          <w:szCs w:val="16"/>
        </w:rPr>
        <w:softHyphen/>
        <w:t>щих на вооружении ВВС КА.</w:t>
      </w:r>
    </w:p>
    <w:p w14:paraId="09C7631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Обладает хорошим вертикальным и горизонталь</w:t>
      </w:r>
      <w:r w:rsidRPr="00722885">
        <w:rPr>
          <w:rFonts w:ascii="Times New Roman" w:hAnsi="Times New Roman"/>
          <w:color w:val="000000" w:themeColor="text1"/>
          <w:sz w:val="16"/>
          <w:szCs w:val="16"/>
        </w:rPr>
        <w:softHyphen/>
        <w:t>ным маневром.</w:t>
      </w:r>
    </w:p>
    <w:p w14:paraId="4130842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этими летными качествами и мощным вооруже</w:t>
      </w:r>
      <w:r w:rsidRPr="00722885">
        <w:rPr>
          <w:rFonts w:ascii="Times New Roman" w:hAnsi="Times New Roman"/>
          <w:color w:val="000000" w:themeColor="text1"/>
          <w:sz w:val="16"/>
          <w:szCs w:val="16"/>
        </w:rPr>
        <w:softHyphen/>
        <w:t>нием, которым обладает самолет, он может считаться одним из лучших советских истребителей.</w:t>
      </w:r>
    </w:p>
    <w:p w14:paraId="7D49B09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Недостатками самолета являются:</w:t>
      </w:r>
    </w:p>
    <w:p w14:paraId="0F0973F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Сильно искажающий сферический передний ко</w:t>
      </w:r>
      <w:r w:rsidRPr="00722885">
        <w:rPr>
          <w:rFonts w:ascii="Times New Roman" w:hAnsi="Times New Roman"/>
          <w:color w:val="000000" w:themeColor="text1"/>
          <w:sz w:val="16"/>
          <w:szCs w:val="16"/>
        </w:rPr>
        <w:softHyphen/>
        <w:t>зырек следует заменить на козырек с плоскими гранями.</w:t>
      </w:r>
    </w:p>
    <w:p w14:paraId="78B1B69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Сектор газа расположен неудобно, необходимо вынести его несколько вперед.</w:t>
      </w:r>
    </w:p>
    <w:p w14:paraId="54B6E17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Неудобно расположены и туго управляются жа</w:t>
      </w:r>
      <w:r w:rsidRPr="00722885">
        <w:rPr>
          <w:rFonts w:ascii="Times New Roman" w:hAnsi="Times New Roman"/>
          <w:color w:val="000000" w:themeColor="text1"/>
          <w:sz w:val="16"/>
          <w:szCs w:val="16"/>
        </w:rPr>
        <w:softHyphen/>
        <w:t>люзи мотора.</w:t>
      </w:r>
    </w:p>
    <w:p w14:paraId="06F3D8E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Отсутствие компрессора мотора.</w:t>
      </w:r>
    </w:p>
    <w:p w14:paraId="53D53E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Мое пожелание заводу, как можно быстрее и больше выпускать таких самолетов фронту» (10667).</w:t>
      </w:r>
    </w:p>
    <w:p w14:paraId="36C04FB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AC019B9" w14:textId="77777777" w:rsidR="009D738B" w:rsidRPr="00722885" w:rsidRDefault="009D738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9 декабря 1942 г. состоялся первый боевой вылет на И-185. Летали обычно парой с основного аэродрома полка Старица или с запасного Старая Торопа. Было несколько столкновений с самолетами противника - сближались с ними на большой скорости, открывали огонь и уходили в сторону аэродрома, не вступая в маневренный бой. По воспоминаниям Игнатьева летчик Боровых в одной из таких атак сбил или повредил вражеский самолет, но победа ему засчитана не была. Кроме того, два полета было выполнено на сопровождение разведчика Р-40 и один - на свободную охоту над своей территорией.</w:t>
      </w:r>
    </w:p>
    <w:p w14:paraId="06A77EB1" w14:textId="77777777" w:rsidR="009D738B" w:rsidRPr="00722885" w:rsidRDefault="009D738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Войсковые испытания завершились 12 января 1943 г. Формально все И-185 были исправны, но по каким-то причинам они не были возвращены заводу как минимум до марта 1943 г., хотя в полку больше не летали. Возможно, был исчерпан ресурс моторов (17737).</w:t>
      </w:r>
    </w:p>
    <w:p w14:paraId="62B3ED6B" w14:textId="77777777" w:rsidR="009D738B" w:rsidRPr="00722885" w:rsidRDefault="009D738B" w:rsidP="00722885">
      <w:pPr>
        <w:pStyle w:val="12a"/>
        <w:shd w:val="clear" w:color="auto" w:fill="auto"/>
        <w:spacing w:after="0" w:line="240" w:lineRule="auto"/>
        <w:jc w:val="both"/>
        <w:rPr>
          <w:color w:val="000000" w:themeColor="text1"/>
          <w:sz w:val="16"/>
          <w:szCs w:val="16"/>
        </w:rPr>
      </w:pPr>
    </w:p>
    <w:p w14:paraId="2BA806A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9 по 18 декабря 1942 в НИИ ВВС прошли контрольные испытания У-2 ВС постройки 387 завода (1076,715).</w:t>
      </w:r>
    </w:p>
    <w:p w14:paraId="6813F3E8" w14:textId="77777777" w:rsidR="00BB6316" w:rsidRPr="00722885" w:rsidRDefault="00BB6316" w:rsidP="00722885">
      <w:pPr>
        <w:pStyle w:val="Iauiue"/>
        <w:jc w:val="both"/>
        <w:rPr>
          <w:color w:val="000000" w:themeColor="text1"/>
          <w:sz w:val="16"/>
          <w:szCs w:val="16"/>
        </w:rPr>
      </w:pPr>
    </w:p>
    <w:p w14:paraId="6080F0C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ГСКБ-47 вновь попы</w:t>
      </w:r>
      <w:r w:rsidRPr="00722885">
        <w:rPr>
          <w:rFonts w:ascii="Times New Roman" w:hAnsi="Times New Roman"/>
          <w:color w:val="000000" w:themeColor="text1"/>
          <w:sz w:val="16"/>
          <w:szCs w:val="16"/>
        </w:rPr>
        <w:softHyphen/>
        <w:t>тало счастье, представив на испытан 30 экземпляров улучшенных ПТАБ-2,5 для проведения контрольных испытаний «с целью определения устойчивости бомб в полете». Лучше бомбы «летать» не стали. На траектории падения они «вели себя» все также неустойчиво. Стало ясно, что требу</w:t>
      </w:r>
      <w:r w:rsidRPr="00722885">
        <w:rPr>
          <w:rFonts w:ascii="Times New Roman" w:hAnsi="Times New Roman"/>
          <w:color w:val="000000" w:themeColor="text1"/>
          <w:sz w:val="16"/>
          <w:szCs w:val="16"/>
        </w:rPr>
        <w:softHyphen/>
        <w:t>ется кардинальная доработка конструкции бомбы (12739).</w:t>
      </w:r>
    </w:p>
    <w:p w14:paraId="4DA313C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439DC29" w14:textId="77777777" w:rsidR="00796D25" w:rsidRPr="00722885" w:rsidRDefault="00796D25"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9 декабря 1942 ГСКБ-47 вновь попытало счастье, предъявив на НИП АВ 30 экземпляров улучшенных ПТАБ-2,5 для проведения контрольных испытаний «с целью определения устойчивости бомб в поле</w:t>
      </w:r>
      <w:r w:rsidRPr="00722885">
        <w:rPr>
          <w:color w:val="000000" w:themeColor="text1"/>
          <w:sz w:val="16"/>
          <w:szCs w:val="16"/>
        </w:rPr>
        <w:softHyphen/>
        <w:t>те». Лучше бомбы «летать» не стали. На траектории падения они «вели себя» все так же неустойчиво. Стало ясно, что требуется кардинальная доработка конструкции бомбы (17500).</w:t>
      </w:r>
    </w:p>
    <w:p w14:paraId="3ABFCCD6" w14:textId="77777777" w:rsidR="00796D25" w:rsidRPr="00722885" w:rsidRDefault="00796D25" w:rsidP="00722885">
      <w:pPr>
        <w:spacing w:after="0" w:line="240" w:lineRule="auto"/>
        <w:jc w:val="both"/>
        <w:rPr>
          <w:rFonts w:ascii="Times New Roman" w:hAnsi="Times New Roman"/>
          <w:color w:val="000000" w:themeColor="text1"/>
          <w:sz w:val="16"/>
          <w:szCs w:val="16"/>
        </w:rPr>
      </w:pPr>
    </w:p>
    <w:p w14:paraId="6B221391"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5559C1D" w14:textId="77777777" w:rsidR="00BB6316" w:rsidRPr="00722885" w:rsidRDefault="00BB6316" w:rsidP="00722885">
      <w:pPr>
        <w:pStyle w:val="Iauiue"/>
        <w:jc w:val="both"/>
        <w:rPr>
          <w:iCs/>
          <w:color w:val="000000" w:themeColor="text1"/>
          <w:sz w:val="16"/>
          <w:szCs w:val="16"/>
        </w:rPr>
      </w:pPr>
    </w:p>
    <w:p w14:paraId="1052B08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 декабря 1942 г. приемочная комиссия составила акт, согласно которому образец 76-мм САУ ГАЗ-71 был назван не отвечающим требованиям технического задания и не обладающим надлежащей надежностью. Машина же СУ-12 Коломенского завода N 38 была рекомендована для принятия на вооружение под названием "штурмовая самоходная пушка поддержки пехотных и танковых подразделений СУ-76" (3862).</w:t>
      </w:r>
    </w:p>
    <w:p w14:paraId="4F4AA9B2" w14:textId="77777777" w:rsidR="00BB6316" w:rsidRPr="00722885" w:rsidRDefault="00BB6316" w:rsidP="00722885">
      <w:pPr>
        <w:pStyle w:val="Iauiue"/>
        <w:jc w:val="both"/>
        <w:rPr>
          <w:color w:val="000000" w:themeColor="text1"/>
          <w:sz w:val="16"/>
          <w:szCs w:val="16"/>
        </w:rPr>
      </w:pPr>
    </w:p>
    <w:p w14:paraId="7E5CE129"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9 декабря начались ходовые испытания. СУ-71 в них не участвовала, так как сломалась. Что же касается СУ-12, то в первые дни механические проблемы её не беспокоили. Правда, на машину пришлось поставить увеличенные передние брызговики, поскольку залетавший наверх снег лишал механика-водителя обзора. То же самое сделали и на СУ-11, проходившей испытания параллельно.</w:t>
      </w:r>
    </w:p>
    <w:p w14:paraId="4C36D762"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11 числа, вскоре после начала пробега, обнаружилась утечка масла в систему охлаждения. Неисправность была устранена, после чего пробег продолжился. Всего за это время машина прошла 300 километров, но дальше машину ждали большие неприятности. На 400-м километре произошла серьезная поломка коробки передач правого двигателя, из-за чего часть ходовых испытаний пришлось провести на одном двигателе. Похожая поломка случилась и у ЗСУ СУ-11 после 350 километров пробега. В результате САУ СУ-12 признали не выдержавшей ходовые испытания.</w:t>
      </w:r>
    </w:p>
    <w:p w14:paraId="6EF19D3F"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заключении, сделанном 18 декабря, было сказано следующее:</w:t>
      </w:r>
    </w:p>
    <w:p w14:paraId="462A6123"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«1. 76 мм самоходная пушка, разработанная заводом №38 Наркомата Танковой Промышленности, является новым видом артиллерийского вооружения, способным сопровождать пехоту и мото-механизированные части в артиллерийском наступлении и решать огневые задачи, присущие 76 мм пушкам.</w:t>
      </w:r>
    </w:p>
    <w:p w14:paraId="62DD613E"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2. Представленный на испытания опытный образец самоходной пушки в артиллерийской части испытания выдержал, в отношении же самоходной части испытания не выдержал и по этой причине без устранения дефектов, отмеченных отчетом комиссии, на вооружение рекомендован быть не может.</w:t>
      </w:r>
    </w:p>
    <w:p w14:paraId="61E86615"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По устранении недостатков самоход подвергнуть ходовым испытаниям на заводе на протяжении не менее 500 километров и по получении удовлетворительных результатов Комиссия считает возможным принять на вооружение артиллерии Красной Армии» (17699).</w:t>
      </w:r>
    </w:p>
    <w:p w14:paraId="2BA11650" w14:textId="77777777" w:rsidR="004B1D99" w:rsidRPr="00722885" w:rsidRDefault="004B1D99" w:rsidP="00722885">
      <w:pPr>
        <w:spacing w:after="0" w:line="240" w:lineRule="auto"/>
        <w:jc w:val="both"/>
        <w:rPr>
          <w:rFonts w:ascii="Times New Roman" w:hAnsi="Times New Roman"/>
          <w:color w:val="000000" w:themeColor="text1"/>
          <w:sz w:val="16"/>
          <w:szCs w:val="16"/>
        </w:rPr>
      </w:pPr>
    </w:p>
    <w:p w14:paraId="5DE1B7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вышло Постановление ГКО № 2601 О т.т. Мжаванадзе В.П. и Тюркине П.А. РГАНИР, Фонд ГКО, д. 72, лл. 126 (11012).</w:t>
      </w:r>
    </w:p>
    <w:p w14:paraId="3736873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1ED36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вышло Распоряжение ГКО № 2602. Об оставлении на Мелеховском известковом заводе локомобиля с генератором, подлежавшим передаче Свердловской фабрике термоизоляционных плит. РГАНИР, Фонд ГКО, д. 72, лл. 127 (11012).</w:t>
      </w:r>
    </w:p>
    <w:p w14:paraId="445EDB3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60C6410"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4676B31" w14:textId="77777777" w:rsidR="00BB6316" w:rsidRPr="00722885" w:rsidRDefault="00BB6316" w:rsidP="00722885">
      <w:pPr>
        <w:pStyle w:val="Iauiue"/>
        <w:jc w:val="both"/>
        <w:rPr>
          <w:iCs/>
          <w:color w:val="000000" w:themeColor="text1"/>
          <w:sz w:val="16"/>
          <w:szCs w:val="16"/>
        </w:rPr>
      </w:pPr>
    </w:p>
    <w:p w14:paraId="2E88052D"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9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333B690A"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9 декабря в районе Сталинграда и на Центральном фронте наши войска продолжали вести наступательные бои на прежних направлениях.</w:t>
      </w:r>
    </w:p>
    <w:p w14:paraId="0939685F"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части вели огневой бой с противником. B заводской части города огнём артиллерии и миномётов разрушено 10 немецких дзотов, уничтожены 3 миномётные батареи и 5 пулемётных точек. Бойцы Н-ской части в ночном бою истребили более 100 вражеских солдат и офицеров.</w:t>
      </w:r>
    </w:p>
    <w:p w14:paraId="7A65BFC7"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левом берегу реки Дон, наши войска вели активные боевые действия. Бойцы Н-ской части, атаковав противника, уничтожили до 300 гитлеровцев. На другом участке отбита контратака немецкой пехоты, в ходе которой подбито 6 танков и уничтожено свыше 100 солдат и офицеров противника.</w:t>
      </w:r>
    </w:p>
    <w:p w14:paraId="2C7B2922"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Н-ская часть выбила противника из укреплённых позиций и уничтожила более 200 немецких солдат и офицеров, 3 танка, 5 орудий и 12 пулемётов. Захвачено 17 автомашин с боеприпасами. Противник силами мотопехотыи танков ночью пытался на одном из участков ударить во фланги наших подразделений. Эта попытка врага была сорвана огнём нашей артиллерии. Потеряв 4 танка, 15 автомашин и до роты пехоты, гитлеровцы отступили на исходные позиции.</w:t>
      </w:r>
    </w:p>
    <w:p w14:paraId="0BE5D04D"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вести наступательные бои. В районе западнее Ржева немцы предприняли несколько контратак. Все контратаки противника были отбиты. В результате боя уничтожено до 400 немецких солдат и офицеров, 6 орудий, 8 пулемётов и 6 миномётов.</w:t>
      </w:r>
    </w:p>
    <w:p w14:paraId="0A74D060"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Зенитчики части, где командиром тов. Симонов, за три дня сбили 16 немецких самолётов.</w:t>
      </w:r>
    </w:p>
    <w:p w14:paraId="3E6AA168"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Новороссийска артиллеристы-черноморцы подавили огонь 2 артиллерийских батарей, рассеяли и частью уничтожили до роты вражеской пехоты. 16 снайперов-моряков за две недели истребили 171 гитлеровца. Лётчики морской авиации совершили налёт на порт, занятый немцами. Потоплен один мотобот, повреждены две баржи и шаланда.</w:t>
      </w:r>
    </w:p>
    <w:p w14:paraId="1BBEE4E8"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витебских партизан в конце ноября совершил нападение на немецкий гарнизон в одном населённом пункте. Партизаны истребили более 100 немецко-фашистских оккупантов и захватили документы штаба батальона, 4 пулемёта,38 винтовок и 8 тысяч патронов. Другой партизанский отряд организовал крушение двух железнодорожных воинских эшелонов, следовавших к фронту. Разбиты 43 платформы и 24 крытых вагона. Движение поездов на этом участке железной дороги было прервано на сутки.</w:t>
      </w:r>
    </w:p>
    <w:p w14:paraId="05604EC2"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акт о зверствах немецко-фашистских мерзавцев над советскими военнопленными. «В районе села Рынок нами обнаружены трупы двух замученных немцами красноармейцев — Михаила Писаренко, бывшего рабочего Сталинградского тракторного завода, и узбека Бердиева. У Писаренко руки и ноги были связаны верёвками. На теле имеются следы многочисленных ран. Бойцу Бердиеву гитлеровские мерзавцы отрубили руку, нанесли много штыковых ран, а затем бросили его в костёр». Акт подписали: председатель сельсовета Смольяков, военврач 3 ранга Измайлов, капитан Ершов, капитан Циова, младший сержант Никифоров, сержант Раев, красноармейцы Тарасов, Моловик, Фролов и Шубин.» (14855).</w:t>
      </w:r>
    </w:p>
    <w:p w14:paraId="5ABA1DF9" w14:textId="77777777" w:rsidR="006340FE" w:rsidRPr="00722885" w:rsidRDefault="006340FE" w:rsidP="00722885">
      <w:pPr>
        <w:spacing w:after="0" w:line="240" w:lineRule="auto"/>
        <w:jc w:val="both"/>
        <w:rPr>
          <w:rFonts w:ascii="Times New Roman" w:hAnsi="Times New Roman"/>
          <w:color w:val="000000" w:themeColor="text1"/>
          <w:sz w:val="16"/>
          <w:szCs w:val="16"/>
        </w:rPr>
      </w:pPr>
    </w:p>
    <w:p w14:paraId="311CCDD2"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9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3910CE80"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9 декабря наши войска в районе Сталинграда и на Центральном фронте продолжали вести наступательные бои на прежних направлениях.</w:t>
      </w:r>
    </w:p>
    <w:p w14:paraId="54CEDCD7"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8 декабря в районе Сталинграда уничтожено 24 транспортных самолёта противника.</w:t>
      </w:r>
    </w:p>
    <w:p w14:paraId="1EFB03DE"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декабря частями нашей авиации на различных участках фронта уничтожено или повреждено 25 немецких танков, до 200 автомашин с войсками и грузами, подавлен огонь 6 артиллерийских батарей, разбито 2 железнодорожных состава, рассеяно и частью уничтожено до батальона пехоты противника.</w:t>
      </w:r>
    </w:p>
    <w:p w14:paraId="1ED0145F"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действуя мелкими группами, разрушили и захватили 13 немецких дзотов и уничтожили до роты гитлеровцев. В центральной части города наши бойцы выбили противника из нескольких крупных зданий.</w:t>
      </w:r>
    </w:p>
    <w:p w14:paraId="2FAA473F"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активные боевые действия и, отбивая контратаки противника, несколько продвинулись вперёд. Бойцы Н-ской части ворвались в первую линию немецких окопов, и ведут бои по уничтожению гитлеровцев, обороняющих опорный пункт. На другом участке отбита контратака пехоты и танков противника. Нашими бойцами сожжено 6 вражеских танков и уничтожено до 400 немецких солдат и офицеров. Захвачены пленные.</w:t>
      </w:r>
    </w:p>
    <w:p w14:paraId="327C0159"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части вели наступательные бои и на отдельных участках отражали контратаки противника. B течение дня уничтожено более 500 немецких солдат и офицеров, 6 орудий, 16 пулемётов, 60 автомашин и несколько складов противника.</w:t>
      </w:r>
    </w:p>
    <w:p w14:paraId="5A4C756B"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наступательные бои. B районе ВеликихЛук бойцы Н-ской части выбили немцев из одного населённого пункта и захватили 105-мм артиллерийскую батарею и 3 немецких танка. По показаниям захваченных в плен солдат 246 немецкой пехотной дивизии, эта дивизия потеряла в последних боях свыше 6.000 солдат и офицеров.</w:t>
      </w:r>
    </w:p>
    <w:p w14:paraId="42416BA7"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вели бои местного значения и истребили свыше 300 солдат и офицеров противника. В боях за последние пять дней подбито и сожжено 12 немецких танков, уничтожено 8 пулемётных точек и 3 миномётные батареи. Захвачены 19 пулемётов, свыше 100 винтовок, 2 противотанковых ружья и боеприпасы.</w:t>
      </w:r>
    </w:p>
    <w:p w14:paraId="62CBC114"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Отряд украинских партизан за неделю боевых действий истребил 150 гитлеровцев и уничтожил 2 бронемашины. Кроме того, советские патриоты разрушили телефонную линию на протяжении 100 метров и взорвали железнодорожный мост.</w:t>
      </w:r>
    </w:p>
    <w:p w14:paraId="3DBB0D2F"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полковник, командир 27 полка 6 румынской пехотной дивизии Иосиф Чобану заявил: «Наша дивизия за несколько дней потеряла 25 процентов личного состава. В моем полку за два дня из строя выбыло не менее 400 человек. Должен заметить, что немцы, которые всегда кичатся своей непобедимостью, понесли более тяжёлые потери, чем мы. Например, немецкая дивизия, действовавшая справа от нас, целиком разгромлена. Жалкие её остатки вместе с офицерами сдались в плен.</w:t>
      </w:r>
    </w:p>
    <w:p w14:paraId="4BF593A6"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настоянию германского командования в каждой румынской дивизии имеется немецкий офицер, который контролирует и направляет действия румынского генерала — командующего дивизией. Это оскорбляет национальное достоинство румынских офицеров и вызывает среди них большое недовольство».</w:t>
      </w:r>
    </w:p>
    <w:p w14:paraId="272E1D66"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опустошили и разграбили деревни Булагино и Прокшино, Калининской области. Бандиты дочиста ограбили крестьян, забрали у них всё продовольствие, весь скот, а также наиболее ценные вещи. Фашистские изверги расстреляли всех мужчин, а женщин угнали в тыл на принудительные работы.» (14855).</w:t>
      </w:r>
    </w:p>
    <w:p w14:paraId="2F2AA095" w14:textId="77777777" w:rsidR="006340FE" w:rsidRPr="00722885" w:rsidRDefault="006340FE" w:rsidP="00722885">
      <w:pPr>
        <w:spacing w:after="0" w:line="240" w:lineRule="auto"/>
        <w:jc w:val="both"/>
        <w:rPr>
          <w:rFonts w:ascii="Times New Roman" w:hAnsi="Times New Roman"/>
          <w:color w:val="000000" w:themeColor="text1"/>
          <w:sz w:val="16"/>
          <w:szCs w:val="16"/>
        </w:rPr>
      </w:pPr>
    </w:p>
    <w:p w14:paraId="115F3565" w14:textId="77777777" w:rsidR="006340FE" w:rsidRPr="00722885" w:rsidRDefault="006340FE"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9 декабря</w:t>
      </w:r>
      <w:r w:rsidRPr="00722885">
        <w:rPr>
          <w:rFonts w:ascii="Times New Roman" w:hAnsi="Times New Roman"/>
          <w:color w:val="000000" w:themeColor="text1"/>
          <w:sz w:val="16"/>
          <w:szCs w:val="16"/>
        </w:rPr>
        <w:t xml:space="preserve"> в 1942 году войска Калининского фронта вышли к Новосокольникам и перерезали на двух участках железной дороги, связывавшую группы армий противника "Север" и "Центр" (14855).</w:t>
      </w:r>
    </w:p>
    <w:p w14:paraId="0C901F30" w14:textId="77777777" w:rsidR="006340FE" w:rsidRPr="00722885" w:rsidRDefault="006340FE" w:rsidP="00722885">
      <w:pPr>
        <w:spacing w:after="0" w:line="240" w:lineRule="auto"/>
        <w:jc w:val="both"/>
        <w:rPr>
          <w:rFonts w:ascii="Times New Roman" w:hAnsi="Times New Roman"/>
          <w:color w:val="000000" w:themeColor="text1"/>
          <w:sz w:val="16"/>
          <w:szCs w:val="16"/>
        </w:rPr>
      </w:pPr>
    </w:p>
    <w:p w14:paraId="1009307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г. В подписанном заместителем нар</w:t>
      </w:r>
      <w:r w:rsidRPr="00722885">
        <w:rPr>
          <w:rFonts w:ascii="Times New Roman" w:hAnsi="Times New Roman"/>
          <w:color w:val="000000" w:themeColor="text1"/>
          <w:sz w:val="16"/>
          <w:szCs w:val="16"/>
        </w:rPr>
        <w:softHyphen/>
        <w:t>кома обороны приказе говорилось: «С 12 по 16 ноября 1942 года подразделения авиапланёр</w:t>
      </w:r>
      <w:r w:rsidRPr="00722885">
        <w:rPr>
          <w:rFonts w:ascii="Times New Roman" w:hAnsi="Times New Roman"/>
          <w:color w:val="000000" w:themeColor="text1"/>
          <w:sz w:val="16"/>
          <w:szCs w:val="16"/>
        </w:rPr>
        <w:softHyphen/>
        <w:t>ных полков ВДВ КА выполняли специ</w:t>
      </w:r>
      <w:r w:rsidRPr="00722885">
        <w:rPr>
          <w:rFonts w:ascii="Times New Roman" w:hAnsi="Times New Roman"/>
          <w:color w:val="000000" w:themeColor="text1"/>
          <w:sz w:val="16"/>
          <w:szCs w:val="16"/>
        </w:rPr>
        <w:softHyphen/>
        <w:t>альное оперативное задание Главного управления тыла Красной Армии по до</w:t>
      </w:r>
      <w:r w:rsidRPr="00722885">
        <w:rPr>
          <w:rFonts w:ascii="Times New Roman" w:hAnsi="Times New Roman"/>
          <w:color w:val="000000" w:themeColor="text1"/>
          <w:sz w:val="16"/>
          <w:szCs w:val="16"/>
        </w:rPr>
        <w:softHyphen/>
        <w:t>ставке груза Сталинградскому фронту. Переброска на планёрах в таких масш</w:t>
      </w:r>
      <w:r w:rsidRPr="00722885">
        <w:rPr>
          <w:rFonts w:ascii="Times New Roman" w:hAnsi="Times New Roman"/>
          <w:color w:val="000000" w:themeColor="text1"/>
          <w:sz w:val="16"/>
          <w:szCs w:val="16"/>
        </w:rPr>
        <w:softHyphen/>
        <w:t>табах проведена впервые и, несмотря на отсутствие подготовленной трассы, техпомощи и опыта в продолжительных полётах, экипажи справились с задачей хорошо.</w:t>
      </w:r>
    </w:p>
    <w:p w14:paraId="4B94BEF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стремлении доставить груз во что бы то ни стало, пилоты летели по 5 ча</w:t>
      </w:r>
      <w:r w:rsidRPr="00722885">
        <w:rPr>
          <w:rFonts w:ascii="Times New Roman" w:hAnsi="Times New Roman"/>
          <w:color w:val="000000" w:themeColor="text1"/>
          <w:sz w:val="16"/>
          <w:szCs w:val="16"/>
        </w:rPr>
        <w:softHyphen/>
        <w:t>сов без посадок в условиях ночи, снего</w:t>
      </w:r>
      <w:r w:rsidRPr="00722885">
        <w:rPr>
          <w:rFonts w:ascii="Times New Roman" w:hAnsi="Times New Roman"/>
          <w:color w:val="000000" w:themeColor="text1"/>
          <w:sz w:val="16"/>
          <w:szCs w:val="16"/>
        </w:rPr>
        <w:softHyphen/>
        <w:t>пада и тумана. Отдельные планеристы совершали перелёты в исключительно тяжёлых условиях погоды на высоте 10-15 метров.</w:t>
      </w:r>
    </w:p>
    <w:p w14:paraId="246DCD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отличное выполнение оперативно</w:t>
      </w:r>
      <w:r w:rsidRPr="00722885">
        <w:rPr>
          <w:rFonts w:ascii="Times New Roman" w:hAnsi="Times New Roman"/>
          <w:color w:val="000000" w:themeColor="text1"/>
          <w:sz w:val="16"/>
          <w:szCs w:val="16"/>
        </w:rPr>
        <w:softHyphen/>
        <w:t>го задания объявляю благодарность и награждаю месячным окладом... стар</w:t>
      </w:r>
      <w:r w:rsidRPr="00722885">
        <w:rPr>
          <w:rFonts w:ascii="Times New Roman" w:hAnsi="Times New Roman"/>
          <w:color w:val="000000" w:themeColor="text1"/>
          <w:sz w:val="16"/>
          <w:szCs w:val="16"/>
        </w:rPr>
        <w:softHyphen/>
        <w:t>шего сержанта Ворошилова, лейтенан</w:t>
      </w:r>
      <w:r w:rsidRPr="00722885">
        <w:rPr>
          <w:rFonts w:ascii="Times New Roman" w:hAnsi="Times New Roman"/>
          <w:color w:val="000000" w:themeColor="text1"/>
          <w:sz w:val="16"/>
          <w:szCs w:val="16"/>
        </w:rPr>
        <w:softHyphen/>
        <w:t>та Круглова, старшину Родина...» (12266).</w:t>
      </w:r>
    </w:p>
    <w:p w14:paraId="23638A4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CBCF2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1942 г. в подписанном заместителем наркома обороны приказе говорилось: «С 12 по 16 ноября 1942 г. подразделения авиапланерных пол</w:t>
      </w:r>
      <w:r w:rsidRPr="00722885">
        <w:rPr>
          <w:rFonts w:ascii="Times New Roman" w:hAnsi="Times New Roman"/>
          <w:color w:val="000000" w:themeColor="text1"/>
          <w:sz w:val="16"/>
          <w:szCs w:val="16"/>
        </w:rPr>
        <w:softHyphen/>
        <w:t>ков ВДВ КА выполняли специальное оперативное за</w:t>
      </w:r>
      <w:r w:rsidRPr="00722885">
        <w:rPr>
          <w:rFonts w:ascii="Times New Roman" w:hAnsi="Times New Roman"/>
          <w:color w:val="000000" w:themeColor="text1"/>
          <w:sz w:val="16"/>
          <w:szCs w:val="16"/>
        </w:rPr>
        <w:softHyphen/>
        <w:t>дание Главного управления Тыла Красной Армии по доставке груза Сталинградскому фронту. Перебро</w:t>
      </w:r>
      <w:r w:rsidRPr="00722885">
        <w:rPr>
          <w:rFonts w:ascii="Times New Roman" w:hAnsi="Times New Roman"/>
          <w:color w:val="000000" w:themeColor="text1"/>
          <w:sz w:val="16"/>
          <w:szCs w:val="16"/>
        </w:rPr>
        <w:softHyphen/>
        <w:t>ска на планерах в таких масштабах проведена впер</w:t>
      </w:r>
      <w:r w:rsidRPr="00722885">
        <w:rPr>
          <w:rFonts w:ascii="Times New Roman" w:hAnsi="Times New Roman"/>
          <w:color w:val="000000" w:themeColor="text1"/>
          <w:sz w:val="16"/>
          <w:szCs w:val="16"/>
        </w:rPr>
        <w:softHyphen/>
        <w:t>вые, и, несмотря на отсутствие подготовленной трас</w:t>
      </w:r>
      <w:r w:rsidRPr="00722885">
        <w:rPr>
          <w:rFonts w:ascii="Times New Roman" w:hAnsi="Times New Roman"/>
          <w:color w:val="000000" w:themeColor="text1"/>
          <w:sz w:val="16"/>
          <w:szCs w:val="16"/>
        </w:rPr>
        <w:softHyphen/>
        <w:t>сы, техпомощи и опыта в продолжительных полетах, экипажи справились с задачей хорошо.</w:t>
      </w:r>
    </w:p>
    <w:p w14:paraId="37BB8B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стремлении доставить груз во что бы то ни ста</w:t>
      </w:r>
      <w:r w:rsidRPr="00722885">
        <w:rPr>
          <w:rFonts w:ascii="Times New Roman" w:hAnsi="Times New Roman"/>
          <w:color w:val="000000" w:themeColor="text1"/>
          <w:sz w:val="16"/>
          <w:szCs w:val="16"/>
        </w:rPr>
        <w:softHyphen/>
        <w:t>ло пилоты летели по 5 часов без посадок в условиях ночи, снегопада и тумана. Отдельные планеристы со</w:t>
      </w:r>
      <w:r w:rsidRPr="00722885">
        <w:rPr>
          <w:rFonts w:ascii="Times New Roman" w:hAnsi="Times New Roman"/>
          <w:color w:val="000000" w:themeColor="text1"/>
          <w:sz w:val="16"/>
          <w:szCs w:val="16"/>
        </w:rPr>
        <w:softHyphen/>
        <w:t>вершали перелеты в исключительно тяжелых услови</w:t>
      </w:r>
      <w:r w:rsidRPr="00722885">
        <w:rPr>
          <w:rFonts w:ascii="Times New Roman" w:hAnsi="Times New Roman"/>
          <w:color w:val="000000" w:themeColor="text1"/>
          <w:sz w:val="16"/>
          <w:szCs w:val="16"/>
        </w:rPr>
        <w:softHyphen/>
        <w:t>ях погоды на высоте 10—15 метров.</w:t>
      </w:r>
    </w:p>
    <w:p w14:paraId="30F59F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Планер Г-11 взлетает за буксировщиком Ли-2. Во время взлета планер не должен уходить далеко вверх и опускаться слишком вниз, чтобы не нарушить балансировку самолета-буксировщика на малых скоростях.</w:t>
      </w:r>
    </w:p>
    <w:p w14:paraId="59FCAAD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отличное выполнение оперативного задания объявляю благодарность и награждаю месячным окладом... старшего сержанта Ворошилова, лейте</w:t>
      </w:r>
      <w:r w:rsidRPr="00722885">
        <w:rPr>
          <w:rFonts w:ascii="Times New Roman" w:hAnsi="Times New Roman"/>
          <w:color w:val="000000" w:themeColor="text1"/>
          <w:sz w:val="16"/>
          <w:szCs w:val="16"/>
        </w:rPr>
        <w:softHyphen/>
        <w:t>нанта Круглова, старшину Родина...» (12300).</w:t>
      </w:r>
    </w:p>
    <w:p w14:paraId="4D32A38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AB8D022"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0F156A84" w14:textId="77777777" w:rsidR="00BB6316" w:rsidRPr="00722885" w:rsidRDefault="00BB6316" w:rsidP="00722885">
      <w:pPr>
        <w:pStyle w:val="Iauiue"/>
        <w:jc w:val="both"/>
        <w:rPr>
          <w:iCs/>
          <w:color w:val="000000" w:themeColor="text1"/>
          <w:sz w:val="16"/>
          <w:szCs w:val="16"/>
        </w:rPr>
      </w:pPr>
    </w:p>
    <w:p w14:paraId="43A40C57"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9 декабря</w:t>
      </w:r>
      <w:r w:rsidRPr="00722885">
        <w:rPr>
          <w:rFonts w:ascii="Times New Roman" w:hAnsi="Times New Roman"/>
          <w:color w:val="000000" w:themeColor="text1"/>
          <w:sz w:val="16"/>
          <w:szCs w:val="16"/>
        </w:rPr>
        <w:t xml:space="preserve"> в 1942 году письмо тамбовских колхозников и колхозниц в ЦК ВКП(б) о сборе средств на строительство танковой колонны «Тамбовский колхозник». Начало массового патриотического движения советского народа по сбору средств на вооружение Советской Армии и Военно-Морского Флота (14855).</w:t>
      </w:r>
    </w:p>
    <w:p w14:paraId="077A3CE7" w14:textId="77777777" w:rsidR="00013C97" w:rsidRPr="00722885" w:rsidRDefault="00013C97" w:rsidP="00722885">
      <w:pPr>
        <w:spacing w:after="0" w:line="240" w:lineRule="auto"/>
        <w:jc w:val="both"/>
        <w:rPr>
          <w:rFonts w:ascii="Times New Roman" w:hAnsi="Times New Roman"/>
          <w:color w:val="000000" w:themeColor="text1"/>
          <w:sz w:val="16"/>
          <w:szCs w:val="16"/>
        </w:rPr>
      </w:pPr>
    </w:p>
    <w:p w14:paraId="777F0E7B"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9 декабря 1942 состоялась премьера “Танца с саблями” А. Хачатуряна (4962).</w:t>
      </w:r>
    </w:p>
    <w:p w14:paraId="605B7719" w14:textId="77777777" w:rsidR="00BB6316" w:rsidRPr="00722885" w:rsidRDefault="00BB6316" w:rsidP="00722885">
      <w:pPr>
        <w:pStyle w:val="Iauiue"/>
        <w:tabs>
          <w:tab w:val="left" w:pos="11199"/>
        </w:tabs>
        <w:jc w:val="both"/>
        <w:rPr>
          <w:color w:val="000000" w:themeColor="text1"/>
          <w:sz w:val="16"/>
          <w:szCs w:val="16"/>
        </w:rPr>
      </w:pPr>
    </w:p>
    <w:p w14:paraId="7EA3CD0B" w14:textId="6E41C812" w:rsidR="001E756A" w:rsidRPr="00722885" w:rsidRDefault="001E756A" w:rsidP="00722885">
      <w:pPr>
        <w:pStyle w:val="Iauiue"/>
        <w:jc w:val="both"/>
        <w:rPr>
          <w:i/>
          <w:iCs/>
          <w:color w:val="000000" w:themeColor="text1"/>
          <w:sz w:val="16"/>
          <w:szCs w:val="16"/>
        </w:rPr>
      </w:pPr>
      <w:r w:rsidRPr="00722885">
        <w:rPr>
          <w:i/>
          <w:iCs/>
          <w:color w:val="000000" w:themeColor="text1"/>
          <w:sz w:val="16"/>
          <w:szCs w:val="16"/>
        </w:rPr>
        <w:t>За рубежом:</w:t>
      </w:r>
    </w:p>
    <w:p w14:paraId="68F1DC73" w14:textId="77777777" w:rsidR="001E756A" w:rsidRPr="00722885" w:rsidRDefault="001E756A" w:rsidP="00722885">
      <w:pPr>
        <w:pStyle w:val="Iauiue"/>
        <w:jc w:val="both"/>
        <w:rPr>
          <w:i/>
          <w:iCs/>
          <w:color w:val="000000" w:themeColor="text1"/>
          <w:sz w:val="16"/>
          <w:szCs w:val="16"/>
        </w:rPr>
      </w:pPr>
    </w:p>
    <w:p w14:paraId="6CA54802" w14:textId="77777777" w:rsidR="001E756A" w:rsidRPr="00722885" w:rsidRDefault="001E756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9 декабря 1942 18 Boeing B-17 Летающих Крепостей US Army Air Forces проводят первый крупный воздушный удар против японского аэродрома в Манда - Пойнт на Соломоновых островах. После этого авиаудары по аэродрому стали обычным делом (20793).</w:t>
      </w:r>
    </w:p>
    <w:p w14:paraId="1BC85D1B" w14:textId="77777777" w:rsidR="001E756A" w:rsidRPr="00722885" w:rsidRDefault="001E756A" w:rsidP="00722885">
      <w:pPr>
        <w:spacing w:after="0" w:line="240" w:lineRule="auto"/>
        <w:jc w:val="both"/>
        <w:rPr>
          <w:rFonts w:ascii="Times New Roman" w:hAnsi="Times New Roman"/>
          <w:color w:val="0070C0"/>
          <w:sz w:val="16"/>
          <w:szCs w:val="16"/>
        </w:rPr>
      </w:pPr>
    </w:p>
    <w:p w14:paraId="2FF4E202" w14:textId="6CFE0AD1" w:rsidR="004B1D99" w:rsidRPr="00722885" w:rsidRDefault="004B1D99"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08F3E17" w14:textId="77777777" w:rsidR="004B1D99" w:rsidRPr="00722885" w:rsidRDefault="004B1D99" w:rsidP="00722885">
      <w:pPr>
        <w:pStyle w:val="Iauiue"/>
        <w:jc w:val="both"/>
        <w:rPr>
          <w:iCs/>
          <w:color w:val="000000" w:themeColor="text1"/>
          <w:sz w:val="16"/>
          <w:szCs w:val="16"/>
        </w:rPr>
      </w:pPr>
    </w:p>
    <w:p w14:paraId="724DF09D"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К десятым числам декабря 1942 года была готова документация по </w:t>
      </w:r>
      <w:hyperlink r:id="rId181" w:history="1">
        <w:r w:rsidRPr="00722885">
          <w:rPr>
            <w:rFonts w:ascii="Times New Roman" w:eastAsia="Times New Roman" w:hAnsi="Times New Roman"/>
            <w:color w:val="000000" w:themeColor="text1"/>
            <w:sz w:val="16"/>
            <w:szCs w:val="16"/>
            <w:lang w:eastAsia="ru-RU"/>
          </w:rPr>
          <w:t>улучшенному КВ-13</w:t>
        </w:r>
      </w:hyperlink>
      <w:r w:rsidRPr="00722885">
        <w:rPr>
          <w:rFonts w:ascii="Times New Roman" w:eastAsia="Times New Roman" w:hAnsi="Times New Roman"/>
          <w:color w:val="000000" w:themeColor="text1"/>
          <w:sz w:val="16"/>
          <w:szCs w:val="16"/>
          <w:lang w:eastAsia="ru-RU"/>
        </w:rPr>
        <w:t>, нередко называемому Объект 233 (что неверно, поскольку этот индекс появился уже после окончания испытаний), или ИС-1.</w:t>
      </w:r>
    </w:p>
    <w:p w14:paraId="3314A555"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A176FBE"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02698E7" w14:textId="77777777" w:rsidR="00BB6316" w:rsidRPr="00722885" w:rsidRDefault="00BB6316" w:rsidP="00722885">
      <w:pPr>
        <w:pStyle w:val="Iauiue"/>
        <w:jc w:val="both"/>
        <w:rPr>
          <w:iCs/>
          <w:color w:val="000000" w:themeColor="text1"/>
          <w:sz w:val="16"/>
          <w:szCs w:val="16"/>
        </w:rPr>
      </w:pPr>
    </w:p>
    <w:p w14:paraId="53C4975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10 декабря 1942 по 28 января 1943 проводились войсковые испытания Як-1б в 32 гв. иап 210 иад 3ВА (Калининский фронт) и в 176 иап 283иад 16ВА (Сталинградский фронт). На 58 машинах сделали 669 вылетов и налетали 617 ч, проведя 38 боев и сбив 25 немцев потеряв 6 (65,66).</w:t>
      </w:r>
    </w:p>
    <w:p w14:paraId="37EE614F" w14:textId="77777777" w:rsidR="00BB6316" w:rsidRPr="00722885" w:rsidRDefault="00BB6316" w:rsidP="00722885">
      <w:pPr>
        <w:pStyle w:val="Iauiue"/>
        <w:jc w:val="both"/>
        <w:rPr>
          <w:color w:val="000000" w:themeColor="text1"/>
          <w:sz w:val="16"/>
          <w:szCs w:val="16"/>
        </w:rPr>
      </w:pPr>
    </w:p>
    <w:p w14:paraId="4F17ED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10 декабря 1942 г. по 28 января 1943 г. в 32-м гиап 210-й иад 3 ВА Калининского фронта и в 176-м иап 283-й иад 16-й ВА Сталинградского фронта проводились войсковые испытания самолетов Як-1б.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 Эта модификация Як-1 выпускалась вплоть до перехода завода № 292 на изготовление еще более глубокой модификации самолета - Як-3 (12048).</w:t>
      </w:r>
    </w:p>
    <w:p w14:paraId="640C184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F0C97CA"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10 декабря </w:t>
      </w:r>
      <w:r w:rsidRPr="00722885">
        <w:rPr>
          <w:rFonts w:ascii="Times New Roman" w:hAnsi="Times New Roman"/>
          <w:color w:val="000000" w:themeColor="text1"/>
          <w:sz w:val="16"/>
          <w:szCs w:val="16"/>
        </w:rPr>
        <w:t>в 1942 году начались войсковые испытания «Як-1Б» (по 28 января 1943). Самолеты «Як-1Б» проходили войсковые испытания на боевое применение в 32-м гвардейском истребительном авиационном полку 210-й истребительной авиационной дивизии 3-й Воздушной Армии (Калининский фронт) и в 176-м истребительном авиационном полку 283-й истребительной авиационной дивизии 16-й Воздушной Армии (Сталинградский фронт) (14856).</w:t>
      </w:r>
    </w:p>
    <w:p w14:paraId="6127F01B" w14:textId="77777777" w:rsidR="00013C97" w:rsidRPr="00722885" w:rsidRDefault="00013C97" w:rsidP="00722885">
      <w:pPr>
        <w:spacing w:after="0" w:line="240" w:lineRule="auto"/>
        <w:jc w:val="both"/>
        <w:rPr>
          <w:rFonts w:ascii="Times New Roman" w:hAnsi="Times New Roman"/>
          <w:color w:val="000000" w:themeColor="text1"/>
          <w:sz w:val="16"/>
          <w:szCs w:val="16"/>
        </w:rPr>
      </w:pPr>
    </w:p>
    <w:p w14:paraId="54331F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декабря 1942 вышло Распоряжение ГКО № 2604 О дальнейшем уменьшении веса истребителей Як-1 до 2690 кг и увеличении его скорости у земли до 560 км в час и на высоте 5500 м до 670 км в час (11012).</w:t>
      </w:r>
    </w:p>
    <w:p w14:paraId="485941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ПОСТАНОВЛЕНИНЕ ГОСУДАРСТВЕННОГО КОМИТЕТА ОБОРОНЫ</w:t>
      </w:r>
    </w:p>
    <w:p w14:paraId="232E5B5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 дальнейшем уменьшении веса истребителей Як-1 до 2690 кг и увеличении его скорости у земли до 560 км в час и на высоте 5500 м до 670 км в часю </w:t>
      </w:r>
    </w:p>
    <w:p w14:paraId="4472F36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обеспечения ВВС истребителями с повышенными ЛЬД, ГОКО постановляет:</w:t>
      </w:r>
    </w:p>
    <w:p w14:paraId="08F12F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Обязать Народного комиссара авиационной промышленности т. ШахуринаЮ директора и главного конструктора завода № 115 - т. Яковлева спроектировать и построить модификацию исребителя Як-1 с мотором М-106П с двухскоростным нагнетателем, с полетным восом 4690 кг и с уменьшенным крылом.</w:t>
      </w:r>
    </w:p>
    <w:p w14:paraId="27B472F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должен иметьследующие летно-тактические данные:</w:t>
      </w:r>
    </w:p>
    <w:p w14:paraId="50AB1A7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у земли</w:t>
      </w:r>
      <w:r w:rsidRPr="00722885">
        <w:rPr>
          <w:rFonts w:ascii="Times New Roman" w:hAnsi="Times New Roman"/>
          <w:color w:val="000000" w:themeColor="text1"/>
          <w:sz w:val="16"/>
          <w:szCs w:val="16"/>
        </w:rPr>
        <w:tab/>
        <w:t>560</w:t>
      </w:r>
    </w:p>
    <w:p w14:paraId="4F230B9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на высоте 5500 мт</w:t>
      </w:r>
      <w:r w:rsidRPr="00722885">
        <w:rPr>
          <w:rFonts w:ascii="Times New Roman" w:hAnsi="Times New Roman"/>
          <w:color w:val="000000" w:themeColor="text1"/>
          <w:sz w:val="16"/>
          <w:szCs w:val="16"/>
        </w:rPr>
        <w:tab/>
        <w:t>670</w:t>
      </w:r>
    </w:p>
    <w:p w14:paraId="0E7F865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Спороподъемность на 5000 мт</w:t>
      </w:r>
      <w:r w:rsidRPr="00722885">
        <w:rPr>
          <w:rFonts w:ascii="Times New Roman" w:hAnsi="Times New Roman"/>
          <w:color w:val="000000" w:themeColor="text1"/>
          <w:sz w:val="16"/>
          <w:szCs w:val="16"/>
        </w:rPr>
        <w:tab/>
        <w:t>4</w:t>
      </w:r>
    </w:p>
    <w:p w14:paraId="4D5117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виража на высоте 1000 м</w:t>
      </w:r>
      <w:r w:rsidRPr="00722885">
        <w:rPr>
          <w:rFonts w:ascii="Times New Roman" w:hAnsi="Times New Roman"/>
          <w:color w:val="000000" w:themeColor="text1"/>
          <w:sz w:val="16"/>
          <w:szCs w:val="16"/>
        </w:rPr>
        <w:tab/>
        <w:t>17-18</w:t>
      </w:r>
    </w:p>
    <w:p w14:paraId="3AFB06C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 горючего</w:t>
      </w:r>
      <w:r w:rsidRPr="00722885">
        <w:rPr>
          <w:rFonts w:ascii="Times New Roman" w:hAnsi="Times New Roman"/>
          <w:color w:val="000000" w:themeColor="text1"/>
          <w:sz w:val="16"/>
          <w:szCs w:val="16"/>
        </w:rPr>
        <w:tab/>
        <w:t>325</w:t>
      </w:r>
    </w:p>
    <w:p w14:paraId="4B3F197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w:t>
      </w:r>
    </w:p>
    <w:p w14:paraId="4EC1C88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пушка Швак с боеэапасом 120 штук снарядов</w:t>
      </w:r>
    </w:p>
    <w:p w14:paraId="7B3676A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пулемет ВС с боезапасом 200 шттук патронов</w:t>
      </w:r>
    </w:p>
    <w:p w14:paraId="737394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построить в двух экземплярах.</w:t>
      </w:r>
    </w:p>
    <w:p w14:paraId="342620D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Самлет предъяви на летные испытания в ЛИИ НКАП 15-го февраля и в НИИ ВВС - 15 марта 1943 года.</w:t>
      </w:r>
    </w:p>
    <w:p w14:paraId="35C6CDF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 Наркомфину СССР - т. Звереву выделить в распоряжение НКАП, в счет финансирования плана опытного строительства, на постройку двух экземпляров самолета - 3 миллиона рублей, а также 500 000 рублей для премирования работников завода № 115 за выполнение в срок задания, установленного настоящий постановлением (2179,70).</w:t>
      </w:r>
    </w:p>
    <w:p w14:paraId="26D8723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8A2A0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декабря 1942 г. из СПРАВКИ «О СОСТОЯНИИ ОБЩЕЖИТИЙ И ОБЩЕСТВЕННОГО ПИТАНИЯ НА ЗАВОДЕ № 153 ИМЕНИ В.П. ЧКАЛОВА», НАПРАВЛЕННОЙ В НОВОСИБИРСКИЙ ОБКОМ ВКП(б)</w:t>
      </w:r>
    </w:p>
    <w:p w14:paraId="7206F1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153 имени В.П. Чкалова имеет 28 общежитий, в которых размещено 5 400 человек. Из 28 общежитий 11 уплотнены до предела (2,5 квадратных метра на жильца), в остальных общежитиях норма площади вполне достаточная. Отдел авиапромышленности обкома ВКП(б) 10 декабря текущего года проверил состояние шести общежитий завода и выявил следующее:</w:t>
      </w:r>
    </w:p>
    <w:p w14:paraId="0F5E97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Общежитие № 32 (комендант т. Каневская) размещено в двухэтажном здании коридорного типа. В каждой комнате живет 3-4 человека. В помещении чисто и уютно, имеется хорошо оборудованный красный уголок. В комнатах поставлены по числу жильцов кровати, стулья, тумбочки, столы и гардеробные шкафы. Постельное белье меняется три раза в месяц. Есть кипятильник, умывальник и общая кухня. Общежитие в течение нескольких дней не отапливается, в ящиках гардеробов рабочие хранят картофель. Места общего пользования не очищаются, ямы полностью заполнены нечистотами. Рабочие жалуются на холод в общежитии, на отсутствие кипятка и невозможность приготовить пищу из-за отсутствия топлива.</w:t>
      </w:r>
    </w:p>
    <w:p w14:paraId="3ADE29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Общежитие № 20 (комендант т. Черепанов) занимает такое же положение, как и общежитие № 32. Оно также хорошо оборудовано, содержится в чистоте и порядке. На протяжении последних 10-12 дней общежитие совершенно не отапливается, нет дров для приготовления пищи и кипятка. В этом общежитии имеется две комнаты, в которых вместе с девушками живут молодые матери с малыми детьми, что в сильной степени стесняет и тех и других. В двух комнатах вместе со здоровыми живут две девушки, больные туберкулезом.</w:t>
      </w:r>
    </w:p>
    <w:p w14:paraId="77DCA2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Общежития № 12 и № 18 казарменного типа с двухъярусными нарами. Общежитие совершенно не отапливается и плохо освещается. В помещении темно и грязно. У многих жильцов отсутствует постельное белье, имеющееся белье редко меняется и в данное время находится в исключительно плохом состоянии. Постельные принадлежности не закреплены за владельцами, и после дезинфекции жильцы, как правило, получают чужие постели.</w:t>
      </w:r>
    </w:p>
    <w:p w14:paraId="66537F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Общежития № 13 н № 16, в которых размещены ученики ФЗО № 47, такого же казарменного типа с двухъярусными нарами. В одном из этих общежитий размещены мальчики, в другом - девушки. Учащиеся ФЗО обеспечены матрацами и подушками, постельного белья и одеял нет. Общежития не отапливаются, количество электрических лампочек недостаточное, в помещении грязно. У многих учеников украдены простыни и многие личные вещи. В общежитии холодно, грязно и неуютно, имеет место игра в карты. Состояние проверенных общежитий показывает, что дирекция, а также партийная и профсоюзная организации завода недостаточно занимаются вопросами упорядочения общежитий, а в части подготовки общежитий для учеников ФЗО № 47 проявили преступную халатность. Необходимо срочно разрешить вопрос по обеспечению топливом всех общежитий завода, по 11 общежитиям 10-го объекта необходимо, кроме того, принять меры по улучшению санитарно-гигиенического состояния помещений. Общежития учеников ФЗО № 47 необходимо в ближайшие дни обеспечить инвентарем и постельными принадлежностями. Заводской комитет обязан развернуть культурно-массовую работу в этих общежитиях.</w:t>
      </w:r>
    </w:p>
    <w:p w14:paraId="2C4AE6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153 имени В.П. Чкалова имеет 10 столовых, которые отпускают 33 242 обеда в сутки, в том числе - две тысячи обедов для школьников. Рабочие получают в течение смены один обед. Двухразовое питание получают работающие сверхурочно и рабочие, выполняющие нормы на 200 и больше процентов. Трехразовое питание получает комсостав завода в количестве 80 человек. В диетической столовой два раза в смену выдается питание на 300 человек. Имеется столовая для туберкулезных больных на 200 человек.</w:t>
      </w:r>
    </w:p>
    <w:p w14:paraId="507158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Состояние столовых и качество обедов характеризуются следующими данными:</w:t>
      </w:r>
    </w:p>
    <w:p w14:paraId="276BB2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Столовая № 10 (директор т. Лигачев) отпускает свыше 9 000 обедов в сутки для рабочих, ИТР и комсостава завода. Кухня и залы прекрасно оборудованы всеми необходимыми механизмами и инвентарем. В помещении чисто и уютно. В ночное время на столах в подсобных помещениях кухни спят работники столовой, окончившие смену. Рабочие часто жалуются на однообразие и малое количество пищи, а также на долгое ожидание обеда из-за недостатка тарелок и ложек. В последнее время обеды несколько улучшились, но величина порций остается недостаточной для людей физического труда. Улучшилось обслуживание обедающих. Столовая № 1. В ночную смену столовая № 1 отпускает около 4 000 обедов, из них работающим сверхурочно — 1 148, стахановцам -340 и общих обедов — 2 440. Отличие состоит только в названиях, так как они отпускаются из одного котла и меню было одно и то же (суп картофельный, рыба с картофельным пюре). Качество обеда удовлетворительное. Обед для стахановцев начали отпускать только в 11 часов вечера, т.е. с опозданием на 4 часа. Обедающие в столовой теряют много время из-за плохой организации работы столовой. Вот примерный расчет времени, которое затрачивают рабочие во время обеда: ожидают</w:t>
      </w:r>
    </w:p>
    <w:p w14:paraId="699FBE5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ложек - 30 минут, ожидают подачи первого блюда - 20 минут, ожидают подачи второго блюда — 40 минут. Всего — 90 минут. Основной причиной задержек при отпуске обедов является недостаток тарелок и ложек. В столовой имеется всего 148 штук тарелок на 160 человек обедающих. Имеет место хищение посуды из столовой.</w:t>
      </w:r>
    </w:p>
    <w:p w14:paraId="305606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153 имени В.П. Чкалова имеет все возможности значительно улучшить питание рабочих, ИТР и служащих. Из-за неповоротливости руководства ОРСа завод не использует всех своих возможностей. Со стороны коллектива завода имеется много нареканий на работу отдела рабочего снабжения, но партийный комитет завода до сих пор не вник в суть дела и не принял необходимых мер по улучшению работы этого отдела.</w:t>
      </w:r>
    </w:p>
    <w:p w14:paraId="6F5059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Заведующий отделом авиапромышленности Новосибирского обкома ВКП(б) Павлов</w:t>
      </w:r>
    </w:p>
    <w:p w14:paraId="788226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Оп. 34. Д. 159. Л. 66-70. Подлинник (12193).</w:t>
      </w:r>
    </w:p>
    <w:p w14:paraId="340CAA6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4F16B5C"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декабря 1942 г. в приказе войскам ЧГВ ЗАКФ №00130 командующий генерал-лейтенант И. Е. Петров подвел итоги деятельности по формированию горных батарей. Итоги были таковы: Постановление Военного Совета выполнено, к 23 ноября все 12 батарей вошли в число действующих частей. Из произведенных установок М-8 в составе Черноморской группы войск Закавказского фронта были сформированы следующие подразделения и части ГМЧ:  в октябре 1942 г. – 1-я и 2-я отдельные гвардейские горно-вьючные минометные батареи (по 4 установки М-8 в каждой) и отдельный гвардейский минометный дивизион на дрезинах (командир – старший лейтенант А. Н. Виноградов, 4 железнодорожные дрезины по две 12-зарядные установки М-8 на каждой и 4 платформы для перевозки снарядов; с декабря 1942 г. дивизион получил №1, расформирован в марте 1943-го);  в ноябре 1942 г. – 3, 4, 5, 6-я отдельные гвардейские горно-вьючные минометные батареи, 1-й и 2-й отдельные гвардейские горно-вьючные минометные дивизионы (штат №08/167, по 3 батареи М-8, всего 12 установок в дивизионе);  в феврале 1943 г. – 3-й и 4-й отдельные гвардейские горно-вьючные минометные дивизионы (из 1, 2, 3, 4, 5, 6-й отдельных гвардейских горно-вьючных минометных батарей, дивизионы формировались в Геленджике). В октябре 1942 г. 1-я (командир – лейтенант Д. Ф. Андреев) и 2-я (командир – старший лейтенант Б. Гуревич) отдельные гвардейские горно-вьючные минометные батареи были направлены в 18 армию под Туапсе. 1-й отдельный гвардейский горно-вьючный минометный дивизион в ноябре 1942 г. отправлен в район Большого Лазаревского перевала в подчинение командира 19-го стрелкового корпуса. 19 января 1943 г. дивизион впервые открыл огонь по врагу. 2-й отдельный гвардейский горно-вьючный минометный дивизион по сформировании был направлен под Туапсе в подчинение командира 383-й стрелковой дивизии (15796).</w:t>
      </w:r>
    </w:p>
    <w:p w14:paraId="1CB088A2" w14:textId="77777777" w:rsidR="00013C97" w:rsidRPr="00722885" w:rsidRDefault="00013C97" w:rsidP="00722885">
      <w:pPr>
        <w:spacing w:after="0" w:line="240" w:lineRule="auto"/>
        <w:jc w:val="both"/>
        <w:rPr>
          <w:rFonts w:ascii="Times New Roman" w:hAnsi="Times New Roman"/>
          <w:color w:val="000000" w:themeColor="text1"/>
          <w:sz w:val="16"/>
          <w:szCs w:val="16"/>
        </w:rPr>
      </w:pPr>
    </w:p>
    <w:p w14:paraId="3B766B0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8F4732F" w14:textId="77777777" w:rsidR="00BB6316" w:rsidRPr="00722885" w:rsidRDefault="00BB6316" w:rsidP="00722885">
      <w:pPr>
        <w:pStyle w:val="Iauiue"/>
        <w:jc w:val="both"/>
        <w:rPr>
          <w:iCs/>
          <w:color w:val="000000" w:themeColor="text1"/>
          <w:sz w:val="16"/>
          <w:szCs w:val="16"/>
        </w:rPr>
      </w:pPr>
    </w:p>
    <w:p w14:paraId="64F3C0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декабря 1942 г. из СПРАВКИ О СОСТОЯНИИ ОБЩЕЖИТИЙ И СТОЛОВЫХ ЗАВОДОВ № 644, 208 И СТРОЙТРЕСТА № 48 СЕКРЕТАРЮ ОБКОМА ВКП(б) А.В. СЕМИНУ</w:t>
      </w:r>
    </w:p>
    <w:p w14:paraId="761F1E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Общежитие завода № 644 (ул. Щетинкина, 58).</w:t>
      </w:r>
    </w:p>
    <w:p w14:paraId="22EBF8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Общая площадь помещения 442 квадратных метра, комнат - 12. Проживает 156 человек, из них одиночек — 137 человек. Отопление паровое, температура в помещениях нормальная. Имеется водопровод, электрическое освещение. Есть прачечная, но живущих не обслуживает, так как занята стиркой для ЖКО; кипятильник отсутствует, плита на кухне мала, норма потребления угля установлена исключительно малая - два ведра в сутки. Кипятка не хватает, так как кипятится на плите одни двухведерный бачок. Гардероба и сушилки нет. Отсутствуют табуретки, тумбочки. Условия, в которых живут рабочие завода, по комнатам следующие:</w:t>
      </w:r>
    </w:p>
    <w:p w14:paraId="5198FD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Комната № 2: площадь комнаты около 25 квадратных метров, проживает 10 человек подростков — бывших ремесленников. Табуретки отсутствуют. В комнате из мебели имеется: стол детский один и три тумбочки. Козлы и топчаны сделаны небрежно. Стены оштукатурены, но не побелены. У косяка двери штукатурка обвалилась и зияют сквозные щели. Живущие жалуются на наличие клопов, в дезокамеру не водят. Из живущих не имеют нательного белья 5 человек и один без обуви. Матрацы грязные. Так как одеяла из тонкой фланели, то спящие поверх набрасывают свою рабочую одежду.</w:t>
      </w:r>
    </w:p>
    <w:p w14:paraId="7554D4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Комната № 3: площадь около 25 квадратных метров, проживает 9 человек подростков — бывших ремесленников, все они эвакуированы из Ленинградской области. Нательное белье не стирают, так как второй смены белья ни у кого нет, а трое ремесленников совершенно не имеют белья. Сапоги чинят у частников, так как завод в этом помочь отказался. Все работают в 25-м цехе, у начальника] цеха т. Аншилови-ча, последний их бытом не интересуется. Рабочий т. Тарасов не работает со 2 декабря — нет обуви.</w:t>
      </w:r>
    </w:p>
    <w:p w14:paraId="525EEF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Комната № 11: площадь около 100 квадратных метров, помещается 50 человек женщин, мобилизованные из Воронежской области. В комнате два стола и три табуретки. Койки поставлены вплотную в ряд по десять и больше. Спят трое на двух топчанах. По заявлению живущих - у них есть вши. Нательное белье меняли перед 7 ноября. Матрацы грязные. Стирать и сушить белье негде. Воды нагреть не в чем. Для стирки - два таза на 100 человек. Одеял не хватает. Одежду, продукты, обувь приходится класть либо на топчан, либо под него.</w:t>
      </w:r>
    </w:p>
    <w:p w14:paraId="1F0DEC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Комната № 12: площадь около 100 квадратных метров, проживает 54 человека, большинство эвакуированные. Многие без зимней одежды и обуви. Не имеет вовсе обуви шесть человек. Бытовые условия те же, что и в комнате № 11. Необходимо общежитие дооборудовать, ликвидировать скученность, привести живущих в санитарное состояние, помочь эвакуированным в приобретении белья, обуви, одежды.</w:t>
      </w:r>
    </w:p>
    <w:p w14:paraId="742696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Столовая завода № 644.</w:t>
      </w:r>
    </w:p>
    <w:p w14:paraId="07585C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кухне дымно из-за плохой тяги печей под котлами для варки пищи. По заявлению работников кухни, они постоянно угорают. Вытяжной вентилятор малоэффективен. Рабочие кухни все в грязных спецовках: стирать обязаны сами, но мыла нет. На весь персонал — около 90 человек — выдано 10 халатов. Полотенец нет. Взамен выдают тряпки. У раздатчицы пищи вместо полотенца - грязная тряпка из мешковины.</w:t>
      </w:r>
    </w:p>
    <w:p w14:paraId="63ECEE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Котлы на раздаче железные, подтекают, ржавеют. На кухне только одна ложка для раздачи пищи, и та течет.</w:t>
      </w:r>
    </w:p>
    <w:p w14:paraId="138F2F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кухне отсутствует водопровод для слива грязной воды, и работники кухни вынуждены выносить воду наружу, подвергаясь простуде. Побелка стен была месяца полтора-два назад, стены грязные, слой побелки шелушится. Помещение хлеборезки не оборудовано стеллажами, хлеб лежит на одной из полок навалом в несколько слоев и прикасается к отсыревшей стене. Тарелочные весы неисправны. Тарелки собственного производства - железные, луженые. Всего тарелок 300 штук, но в ближайшее время, по заявлению дежурной по столовой, поступят еще 200 штук, ложек, ножей, вилок и кружек нет. Столовая работает непрерывно с 7 часов утра и до 3 часов ночи. Периодические уборки помещения производятся при приеме пищи рабочими завода. При беседе с рабочими в общежитии последние указали на мизерность порций отпускаемых столовой обедов, особенно в последнее время.</w:t>
      </w:r>
    </w:p>
    <w:p w14:paraId="772340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Столовая № 1 завода № 208.</w:t>
      </w:r>
    </w:p>
    <w:p w14:paraId="1E6B88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Санитарное состояние кухни, раздаточной, буфета и столовой удовлетворительное. Столовая мала и не обеспечена посудой. Раздевалка утром закрыта, ремесленники завтракают в верхней одежде. Умывальник в столовой бездействует. Большая часть столовой не освещена - не заменяют перегоревшие лампы. Завтрак для ремесленников вместо 7 часов утра выдается в 7-40, в результате ремесленники часто опаздывают на работу на 5-10 минут. Качество обедов удовлетворительное.</w:t>
      </w:r>
    </w:p>
    <w:p w14:paraId="1E7321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Общежития завода № 208.</w:t>
      </w:r>
    </w:p>
    <w:p w14:paraId="41CFC8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Санитарное состояние двух общежитий, находящихся во «Дворце труда», неудовлетворительное, главным образом из-за большой скученности и необеспеченности инвентарем. Многие ремесленники не имеют одеял и постельного белья. В женских общежитиях, где проживают ленинградцы и мобилизованные девушки из Яшкинского района, особенно большая скученность. Большинство спят по два человека на одном топчане. В общежитии беспорядок. Всю ночь продолжаются разговоры и крики, мешающие нормальному отдыху. Дежурный не следит за тишиной. Горячей водой обеспечены нерегулярно. Лучшим общежитием, хорошо благоустроенным и чистым, является общежитие по Трудовой улице.</w:t>
      </w:r>
    </w:p>
    <w:p w14:paraId="5B4CBD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Общежитие стройтреста № 48 НКЭП (по ул. Щетинкина, д. 43).</w:t>
      </w:r>
    </w:p>
    <w:p w14:paraId="2A1F39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 общежитие приспособлено каменное складское помещение, состоящее из трех комнат, проживают эвакуированные рабочие и их семьи. В одной из комнат находится четыре семьи: двое взрослых рабочих-одиночек и три девушки. В комнате у коек хранятся дрова, овощи и прочее. Помещение холодное, сырое. Проживающие находятся в пальто. Электропроводка есть, но ламп не выдают, воды нет.</w:t>
      </w:r>
    </w:p>
    <w:p w14:paraId="0AFF7E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Заведующий отделом электропромышленности обкома ВКП(б) Лившиц</w:t>
      </w:r>
    </w:p>
    <w:p w14:paraId="06AFDE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Оп. 6. Д. 422. Л. 267-268. Подлинник (12193).</w:t>
      </w:r>
    </w:p>
    <w:p w14:paraId="2405386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75072EB"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К 10 декабря 1942 года проект КВ-13 второго варианта был готов. Кстати, так его называло СКБ-2 ЧКЗ, а на заводе № 100 продолжал использоваться индекс ИС-1. Вместе с комплектом технической документации была готова деревянная модель. Хорошо заметно, что башня танка сильно изменилась даже по сравнению с первым вариантом трёхместной башни. По форме она во многом повторяла ту, что ставилась на КВ-1с. От неё брался погон диаметром 1590 мм, стопор, смотровые приборы. Главным отличием стала новая командирская башенка. Она была крупнее, а главное, в ней появился люк. Без рудиментов, впрочем, дело не обошлось. Подобно командирской башенке танка </w:t>
      </w:r>
      <w:hyperlink r:id="rId182" w:history="1">
        <w:r w:rsidRPr="00722885">
          <w:rPr>
            <w:rFonts w:ascii="Times New Roman" w:eastAsia="Times New Roman" w:hAnsi="Times New Roman"/>
            <w:color w:val="000000" w:themeColor="text1"/>
            <w:sz w:val="16"/>
            <w:szCs w:val="16"/>
            <w:lang w:eastAsia="ru-RU"/>
          </w:rPr>
          <w:t>Т-150</w:t>
        </w:r>
      </w:hyperlink>
      <w:r w:rsidRPr="00722885">
        <w:rPr>
          <w:rFonts w:ascii="Times New Roman" w:eastAsia="Times New Roman" w:hAnsi="Times New Roman"/>
          <w:color w:val="000000" w:themeColor="text1"/>
          <w:sz w:val="16"/>
          <w:szCs w:val="16"/>
          <w:lang w:eastAsia="ru-RU"/>
        </w:rPr>
        <w:t>, в передней части появилось расширение, куда установили перископический прибор ПТК-5.</w:t>
      </w:r>
    </w:p>
    <w:p w14:paraId="64559C7A"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Ещё одним существенным отличием была установка орудия. Вместо ЗИС-5 на втором варианте КВ-13 поставили Ф-34. Благодаря тому что систему вынесли на 180 мм вперед, в башне стало заметно просторнее. Также переделке подверглись сидения, это позволило дополнительно улучшить условия работы. Укладки брались как от КВ-1с, так и от Т-34.</w:t>
      </w:r>
    </w:p>
    <w:p w14:paraId="4360DEF2"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Заметное влияние КВ-1с наблюдалось и по отношению к ходовой части. Стоит отметить, что она разрабатывалась в расчёте на два варианта гусеничной ленты — от Т-34 и от КВ-1с. В ходе совещания 12 декабря 1942 горда Ж. Я. Котин, который осуществлял общее руководство проектом, от идеи использования элементов Т-34 отказался. Неудачный опыт первого образца КВ-13 показал, что лучше использовать гусеничные ленты и ведущие колёса от КВ-1с. На втором образце предусматривалось применение траков шириной 650 мм, которые использовали на КВ-1с с 1 ноября 1942 года.</w:t>
      </w:r>
    </w:p>
    <w:p w14:paraId="7655AF98"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Опорные катки (чертеж 33–69), введённые на КВ-1с со 2 декабря, тоже оказали заметное влияние на аналогичные детали КВ-13. Диаметр его опорных катков был меньше (550 мм), но в целом сходство было заметным. Кстати, технологи ЧКЗ предлагали использовать катки КВ-1с и на КВ-13, но до этого не дошло. В целях упрощения производства опорные катки для КВ-13 получили шариковые подшипники, в то время как на КВ-1с использовались конические.</w:t>
      </w:r>
    </w:p>
    <w:p w14:paraId="503E5793"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Несколько преобразилась и форма корпуса КВ-13. Характерный «горб» стал значительно ниже, сильно изменилось моторное отделение. По итогам переделок масса корпуса выросла до 14 600 килограмм, что уже было близко к массе корпуса КВ-1с (15 700 килограмм). Общие габариты корпуса по сравнению с первым вариантом КВ-13 почти не изменились, но толщина брони выросла. Заметно увеличилась и боевая масса: даже по предварительным расчётам она составляла 37,5 тонн. Ни о каком «среднем танке тяжёлого бронирования» теперь даже теоретически говорить не приходилось — это уже был тяжёлый танк безо всяких оговорок.</w:t>
      </w:r>
    </w:p>
    <w:p w14:paraId="02B277E6"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При этом высокая подвижность машины оставалась одним из важных параметров. Расчётная максимальная скорость составляла 53,5 км/ч. Для сравнения: Т-34 в тот момент разгонялся не более чем до 49,6 км/ч. Одной из важных особенностей нового танка стало то, что трудоёмкость при его производстве была более чем в два раза ниже. Также с самого начала продумывалась перспектива усиления его защиты, и здесь КВ-13 заметно превосходил КВ-1с, который резервов для усиления не имел.</w:t>
      </w:r>
    </w:p>
    <w:p w14:paraId="13AE6FB3"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Ещё одним существенным отличием от предшественника стала трансмиссия. Помимо уже упомянутых планетарных механизмов поворота она получила новую коробку передач. Впрочем, новой её можно назвать с натяжкой: в целях унификации Шашмурин использовал 8-скоростную КПП от КВ-1с, немного её доработав. Также в первом варианте предусматривалась возможность установки 5-скоростной КПП от Т-34 (и наоборот, доработанной 8-скоростной КПП от КВ-13 на Т-34). Рассматривалась и возможность установки в КВ-13 перспективной планетарной коробки передач.</w:t>
      </w:r>
    </w:p>
    <w:p w14:paraId="25FFE1E6"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целом проект второго варианта КВ-13 утвердили ещё в декабре 1942 года, но вплоть до конца января 1943 года работы практически не велись. Это было связано с тем, что и ЧКЗ, и завод № 100 с конца декабря плотно работали по более важному заданию — самоходной установке КВ-14 (СУ-152). Примерно в это же время появился проект установки на шасси КВ-13 башни от КВ-9 со 122-мм гаубицей У-11. Машина получила чертёжный индекс 234. В документах завода № 100 она получила обозначение ИС-2. Более подробно о ней будет рассказываться в отдельной статье, посвящённой «гаубичным» танкам 1943 года. Стоит лишь отметить, что информация об установке на ИС-2 башни от опытного образца КВ-9 не соответствует действительности. Это была новая башня, имеющая массу внешних отличий  (17688).</w:t>
      </w:r>
    </w:p>
    <w:p w14:paraId="648A040D" w14:textId="77777777" w:rsidR="004B1D99" w:rsidRPr="00722885" w:rsidRDefault="004B1D9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DCA5C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декабря 1942 вышло Распоряжение ГКО № 2605 О заготовке и вывозке Главлесоохранной при СНК СССР 35 тыс. куб. м дров для железных дорог из Марийской АССР в I кв. 1943 г. РГАНИР, Фонд ГКО, д. 72, лл. 135 (11012).</w:t>
      </w:r>
    </w:p>
    <w:p w14:paraId="7740564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A3A2F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декабря 1942 вышло Постановление ГКО № 2606 Об отгрузке заводами НКЧМ, НКЦМ, НКЭП, НКТП, НКВ, НКПСМ автомобильным заводами заводу "Красная Этна". металла, труб и ферросплавов. РГАНИР, Фонд ГКО, д. 72, лл. 136-137, 138-142 (11012).</w:t>
      </w:r>
    </w:p>
    <w:p w14:paraId="2540996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A49233D"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10 декабря 1942 вышло Распоряжение ГКО № 2607 [Об ужесточении контроля за движением грузов для автомобильных заводов и завода "Красная Этна" (г. Горький).] (7066, 142,143-145).</w:t>
      </w:r>
    </w:p>
    <w:p w14:paraId="22D99E73" w14:textId="77777777" w:rsidR="00BB6316" w:rsidRPr="00722885" w:rsidRDefault="00BB6316" w:rsidP="00722885">
      <w:pPr>
        <w:pStyle w:val="Iauiue"/>
        <w:tabs>
          <w:tab w:val="left" w:pos="11199"/>
        </w:tabs>
        <w:jc w:val="both"/>
        <w:rPr>
          <w:color w:val="000000" w:themeColor="text1"/>
          <w:sz w:val="16"/>
          <w:szCs w:val="16"/>
        </w:rPr>
      </w:pPr>
    </w:p>
    <w:p w14:paraId="11A0599A"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F9A28C9" w14:textId="77777777" w:rsidR="00BB6316" w:rsidRPr="00722885" w:rsidRDefault="00BB6316" w:rsidP="00722885">
      <w:pPr>
        <w:pStyle w:val="Iauiue"/>
        <w:jc w:val="both"/>
        <w:rPr>
          <w:iCs/>
          <w:color w:val="000000" w:themeColor="text1"/>
          <w:sz w:val="16"/>
          <w:szCs w:val="16"/>
        </w:rPr>
      </w:pPr>
    </w:p>
    <w:p w14:paraId="681B7791"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10 декабря </w:t>
      </w:r>
      <w:r w:rsidRPr="00722885">
        <w:rPr>
          <w:rFonts w:ascii="Times New Roman" w:hAnsi="Times New Roman"/>
          <w:color w:val="000000" w:themeColor="text1"/>
          <w:sz w:val="16"/>
          <w:szCs w:val="16"/>
        </w:rPr>
        <w:t>в 1942 году утреннее сообщение Совинформбюро</w:t>
      </w:r>
    </w:p>
    <w:p w14:paraId="00C6D9A2"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10 декабря в районе Сталинграда и на Центральном фронте наши войска продолжали вести наступательные бои на прежних направлениях.</w:t>
      </w:r>
    </w:p>
    <w:p w14:paraId="6797DB2A"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северной части Сталинграда наши подразделения, преодолев упорное сопротивление противника, улучшили свои позиции. На южной окраине города бойцы Н-ской части вклинились в оборону немцев и заняли их окопы. Противник потерял убитыми до 200 солдат и офицеров.</w:t>
      </w:r>
    </w:p>
    <w:p w14:paraId="47BFC6C1"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свои позиции и на отдельных участках вели активные боевые действия. Н-ская часть выбила немцев из населённого пункта и уничтожила до 400 солдат и офицеров противника. Захвачено 24 пулемёта, 80 подвод с грузами, 15 автомашин, 4 радиостанции, 5 орудий и 100 ящиков со снарядами. На другом участке отбита контратака пехоты и танков противника, пытавшихся вернуть позиции, захваченные вчера нашими бойцами. Немцы оставили на поле боя несколько сот трупов и 8 подбитых танков.</w:t>
      </w:r>
    </w:p>
    <w:p w14:paraId="2338C005"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Юго-западнее Сталинграда артиллерийским огнём рассеяно и частью уничтожено скопление войск противника. Разбито 15 автомашин, взорвано 2 склада с боеприпасами и уничтожено 3 немецких танка. Получено сообщение о подвиге танкистов под командованием старшего лейтенанта Буславского. В боях с врагом экипаж этого танка поджёг 8 и подбил 6 немецких танков.</w:t>
      </w:r>
    </w:p>
    <w:p w14:paraId="532B347D"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вести наступательные бои. В районе западнее Ржева бойцы Н-ской части за два дня уничтожили до 600 немецких солдат и офицеров. Захвачены трофеи и пленные. На другом участке наши подразделения, продвигаясь вперёд, уничтожили 19 дзотов и блиндажей и до трёх рот немецкой пехоты. Гвардии красноармеец тов. Михайлов при отражении контратаки противника из противотанкового ружья подбил 2 немецких танка.</w:t>
      </w:r>
    </w:p>
    <w:p w14:paraId="3B8993D9"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бронебойщики, отражая атаку противника, подбили 11немецких танков. Бронебойщик лейтенант Гасошвили и красноармеец Мершаев уничтожили по 3 немецких танка. Бойцы Юзбоев и Зейпалов подбили 2 танка противника.</w:t>
      </w:r>
    </w:p>
    <w:p w14:paraId="27F9D003"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калининских партизан совершил нападение на немецкий гарнизон в одной деревне. Партизаны убили 24 гитлеровца, уничтожили 5 автомашин, взорвали мост и разрушили телефонно-телеграфную связь. Группа партизан того же отряда организовала крушение железнодорожного эшелона противника. Уничтожены паровоз и 12 платформ с автомашинами.</w:t>
      </w:r>
    </w:p>
    <w:p w14:paraId="35ADD74F"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Захваченный в плен в районе Ржева лейтенант 215 полка 78 немецкой пехотной дивизии Ганс Риес рассказал: «Под натиском русских 195 полк нашей дивизии оставил свои позиции. Командование дивизии приказало 2 батальону 215 полка любой ценой восстановить положение. Рано утром мы перешли в контратаку. Русские открыли убийственный пулемётный и миномётный огонь. Буквально за час батальон потерял половину своего состава. Мы вынуждены были залечь. Несколько часов солдаты пролежали в снегу, не подымая головы. Вдруг из леса показались русские танки. Солдаты, а также офицеры бросились бежать, но огонь танков и пехоты настигал их. Батальон был полностью разгромлен».</w:t>
      </w:r>
    </w:p>
    <w:p w14:paraId="6929D1D4"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командиров и бойцов Красной Армии составила акт о зверствах немецко-фашистских мерзавцев над советскими военнопленными. В акте говорится: «Преследуя отступающего противника северо-западнее Сталинграда, мы обнаружили пять трупов красноармейцев, зверски замученных гитлеровскими бандитами. У двух попавших к ним в плен бойцов немецкие изверги вырезали половые органы. Остальным красноармейцам бандиты перерезали горло». Акт подписали: майор Петров, санинструктор Борсов, младший сержант Заворзен, красноармейцы Королёв и Вечерков.» (14856).</w:t>
      </w:r>
    </w:p>
    <w:p w14:paraId="0463B3F2" w14:textId="77777777" w:rsidR="00013C97" w:rsidRPr="00722885" w:rsidRDefault="00013C97" w:rsidP="00722885">
      <w:pPr>
        <w:spacing w:after="0" w:line="240" w:lineRule="auto"/>
        <w:jc w:val="both"/>
        <w:rPr>
          <w:rFonts w:ascii="Times New Roman" w:hAnsi="Times New Roman"/>
          <w:color w:val="000000" w:themeColor="text1"/>
          <w:sz w:val="16"/>
          <w:szCs w:val="16"/>
        </w:rPr>
      </w:pPr>
    </w:p>
    <w:p w14:paraId="7FFAFD0A"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10 декабря </w:t>
      </w:r>
      <w:r w:rsidRPr="00722885">
        <w:rPr>
          <w:rFonts w:ascii="Times New Roman" w:hAnsi="Times New Roman"/>
          <w:color w:val="000000" w:themeColor="text1"/>
          <w:sz w:val="16"/>
          <w:szCs w:val="16"/>
        </w:rPr>
        <w:t>в 1942 году вечернее сообщение Совинформбюро:</w:t>
      </w:r>
    </w:p>
    <w:p w14:paraId="5ACA5654"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10 декабря наши войска в районе Сталинграда и на Центральном фронте продолжали вести наступательные бои на прежних направлениях. За 8 декабря под Сталинградом уничтожено не 24 транспортных самолёта противника, как об этом сообщалось ранее, а 29 транспортных самолётов противника.</w:t>
      </w:r>
    </w:p>
    <w:p w14:paraId="1F5EAB5C"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декабря частями нашей авиации на различных участках фронта уничтожено или повреждено до 30 немецких танков, до 200 автомашин с войсками и грузами, подавлен огонь 10 артиллерийских батарей, взорван склад боеприпасов, рассеяно и частью уничтожено до двух батальонов пехоты противника.</w:t>
      </w:r>
    </w:p>
    <w:p w14:paraId="0DE0AFE8"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действуя мелкими группами, блокировали и разрушали дзоты и блиндажи противника. На южной окраине города наши подразделения ворвались в расположение вражеских окопов и продвинулись вперёд. Немцы, пытаясь восстановить положение, предприняли несколько контратак. Наши бойцы отбили контратаки гитлеровцев, уничтожили более 2 рот немецкой пехоты и подбили 6 танков противника.</w:t>
      </w:r>
    </w:p>
    <w:p w14:paraId="7FC915B1"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отбивали ожесточённые контратаки противника и на отдельных участках вели наступательные бои. Бойцы Н-ской части захватили укреплённые позиции немцев и истребили 300 вражеских солдат и офицеров. Взяты трофеи: 5 орудий, 19 пулемётов, 13 миномётов, 8 автомашин с боеприпасами, радиостанция, 3.000 снарядов и 35.000 патронов. На другом участке противник силою до полка пехоты и 40 танков контратаковал позиции Н-ской части. К исходу дня наши бойцы отбили контратаки гитлеровцев. В результате боя подбито 10 немецких танков и уничтожено более двух рот пехоты противника.</w:t>
      </w:r>
    </w:p>
    <w:p w14:paraId="60523344"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на отдельных участках вели активные боевые действия. По неполным данным, в течение дня уничтожено до 400 немецких солдат и офицеров, 2 танка, 42 пулемёта, 7 орудий, 16 автомашин, разрушено 95 дзотов и блиндажей. Огнём нашей зенитной артиллерии сбито 2 немецких самолёта.</w:t>
      </w:r>
    </w:p>
    <w:p w14:paraId="4C859D3B"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участке фронта наши войска закреплялись на достигнутых позициях и частью сил вели наступательные бои. В районе западнее Ржева наши подразделения разгромили батальон вражеской пехоты» Немцы потеряли убитыми до 350 солдат и офицеров. Захвачены большие трофеи. 90 немецких солдат сдались вплен. На другом участке противник, стремясь задержать продвижение советских войск, бросил в контратаку крупные силы пехоты и 70 танков. Ценой больших потерь ему удалось незначительно продвинуться вперёд. Все попытки немцев развить успех были ликвидированы активными действиями наших частей. В этих боях немцы понесли большие потери в живой силе и оставили на поле боя 42 подбитых и сожжённых танка.</w:t>
      </w:r>
    </w:p>
    <w:p w14:paraId="3CEDBEFE"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лётчиками в воздушных боях сбито 9 немецких самолётов. Кроме того, огнём зенитной артиллерии уничтожено 2 самолёта противника.</w:t>
      </w:r>
    </w:p>
    <w:p w14:paraId="07C4F8F5"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отряда, действующего в Смоленской области, за две недели истребила 162 немецких солдата, 9 офицеров, уничтожила 17 автомашин и 3 повозки с военным имуществом. Партизаны за это же время пустили под откос 4 железнодорожных эшелона противника. Другой партизанский отряд за пять дней, действуя из засад, истребил 29 немецко-фашистских оккупантов.</w:t>
      </w:r>
    </w:p>
    <w:p w14:paraId="2A8F8AF3"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захвачен в плен командир 343 немецкого охранного батальона майор Герберт Краусник. Пленный заявил: «Говорят, что немецкие солдаты боятся русской зимы. Это верно лишь отчасти. Больше всего солдаты да и офицеры боятся русской пехоты. В представлении немецкого солдата зима неразрывно связана с тяжёлыми боями и неизбежным отступлением. Не только среди солдат, но даже среди части немецкого офицерства заметны признаки разочарования и усталости. Более того, определённая часть офицеров считает, что Германия уже давно проиграла войну. Она проиграна с того момента, когда обозначился провал «блицкрига», провал «молниеносной победы», на которую мы рассчитывали. СейчасГитлер делает колоссальные усилия, чтобы как можно дольше оттянуть окончательный проигрыш. Он надеется на всевозможные случайности и превратности судьбы. Суровая действительность опрокинет эти призрачные надежды».</w:t>
      </w:r>
    </w:p>
    <w:p w14:paraId="5FD24BBD" w14:textId="77777777" w:rsidR="00013C97" w:rsidRPr="00722885" w:rsidRDefault="00013C9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Многие офицеры и солдаты французской армии, подлежащие демобилизации, уклоняются от регистрации и не сдают оружия. В районе Авиньона патриоты подожгли воинские казармы и, воспользовавшись суматохой, похитили много вооружения и боеприпасов.» (14856).</w:t>
      </w:r>
    </w:p>
    <w:p w14:paraId="21B08C18" w14:textId="77777777" w:rsidR="00013C97" w:rsidRPr="00722885" w:rsidRDefault="00013C97" w:rsidP="00722885">
      <w:pPr>
        <w:spacing w:after="0" w:line="240" w:lineRule="auto"/>
        <w:jc w:val="both"/>
        <w:rPr>
          <w:rFonts w:ascii="Times New Roman" w:hAnsi="Times New Roman"/>
          <w:color w:val="000000" w:themeColor="text1"/>
          <w:sz w:val="16"/>
          <w:szCs w:val="16"/>
        </w:rPr>
      </w:pPr>
    </w:p>
    <w:p w14:paraId="0CFB46EB"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Утром 10 декабря 1942 г. семь Илов из 622-го шап капитана И. А. Емельянова под прикрытием четырех Ла-5 из 13-го иап вылетели на штурмовку Питомника. Этот полевой аэродром фактически стал крупной авиабазой, игравшей ключевую роль в снабжении 6-й армии Паулюса. Прямо посреди степи находились стоянки транспортных самолетов, бомбардировщиков и истребителей, ремонтные мастерские, склады с продовольствием и горючим, бараки и землянки для раненых, автомобильная развязка и т. д. Объект был сильно защищен зенитной артиллерией, в воздухе барражировали Bf-109G. На аэродроме постоянно базировалась сводная эскадрилья из I. и II./JG3, получившая название Platzschutzstaffel Pitomnik. Понятно, что посылать в это осиное гнездо какую-то семерку штурмовиков с эскортом всего из четырех истребителей было самоубийством.</w:t>
      </w:r>
    </w:p>
    <w:p w14:paraId="1EDC62D1"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Уже на подходе «Лавочкины» были рассеяны зенитным огнем и атаками патрульных «Мессершмиттов». В итоге «горбатые» подошли к Питомнику в одиночестве. Первое звено во главе с младшим лейтенантом Опалевым было полностью перебито немецкими истребителями. Сержант Дольберидзе успел сбросить бомбы и повернуть обратно, но вскоре его бортстрелок сообщил, что сзади появились две пары Bf-109. Дав полный газ, пилот стал бросать машину из стороны в сторону. Ил-2 был подбит уже над линией фронта и совершил вынужденную посадку на своей территории. Еще два горящих штурмовика сели «на живот» на нейтральной полосе вблизи немецких окопов. На аэродром же Абганерово вернулось только три изрешеченных пулями и осколками Ила. Сама же боевая задача снова оказалась невыполненной (19522).</w:t>
      </w:r>
    </w:p>
    <w:p w14:paraId="07C79D4F" w14:textId="77777777" w:rsidR="0011363C" w:rsidRPr="00722885" w:rsidRDefault="0011363C" w:rsidP="00722885">
      <w:pPr>
        <w:pStyle w:val="ae"/>
        <w:spacing w:before="0" w:after="0"/>
        <w:jc w:val="both"/>
        <w:textAlignment w:val="baseline"/>
        <w:rPr>
          <w:color w:val="000000" w:themeColor="text1"/>
          <w:sz w:val="16"/>
          <w:szCs w:val="16"/>
        </w:rPr>
      </w:pPr>
    </w:p>
    <w:p w14:paraId="0FEA87B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10 декабря 1942 на штурмовку аэродрома противника Питомник вылети летчики 622-го </w:t>
      </w:r>
      <w:r w:rsidRPr="00722885">
        <w:rPr>
          <w:iCs/>
          <w:color w:val="000000" w:themeColor="text1"/>
          <w:sz w:val="16"/>
          <w:szCs w:val="16"/>
        </w:rPr>
        <w:t>шап</w:t>
      </w:r>
      <w:r w:rsidRPr="00722885">
        <w:rPr>
          <w:color w:val="000000" w:themeColor="text1"/>
          <w:sz w:val="16"/>
          <w:szCs w:val="16"/>
        </w:rPr>
        <w:t xml:space="preserve"> к-на И.А.Емельяно</w:t>
      </w:r>
      <w:r w:rsidRPr="00722885">
        <w:rPr>
          <w:color w:val="000000" w:themeColor="text1"/>
          <w:sz w:val="16"/>
          <w:szCs w:val="16"/>
        </w:rPr>
        <w:softHyphen/>
        <w:t>ва. В течение дня на штурмовку вылетало 7 Ил-2 в двух группах по 3 (ведущий - мл.л-т Опалев) и 4 (ведущий - л-т Карпов) самолета в каж</w:t>
      </w:r>
      <w:r w:rsidRPr="00722885">
        <w:rPr>
          <w:color w:val="000000" w:themeColor="text1"/>
          <w:sz w:val="16"/>
          <w:szCs w:val="16"/>
        </w:rPr>
        <w:softHyphen/>
        <w:t>дой. Согласно данным "Журнала боевых действий полка" на свой аэродром вер</w:t>
      </w:r>
      <w:r w:rsidRPr="00722885">
        <w:rPr>
          <w:color w:val="000000" w:themeColor="text1"/>
          <w:sz w:val="16"/>
          <w:szCs w:val="16"/>
        </w:rPr>
        <w:softHyphen/>
        <w:t xml:space="preserve">нулось только 3 самолета: </w:t>
      </w:r>
      <w:r w:rsidRPr="00722885">
        <w:rPr>
          <w:iCs/>
          <w:color w:val="000000" w:themeColor="text1"/>
          <w:sz w:val="16"/>
          <w:szCs w:val="16"/>
        </w:rPr>
        <w:t>"...Группа мл.л-та Опалева не вернулась с боево</w:t>
      </w:r>
      <w:r w:rsidRPr="00722885">
        <w:rPr>
          <w:iCs/>
          <w:color w:val="000000" w:themeColor="text1"/>
          <w:sz w:val="16"/>
          <w:szCs w:val="16"/>
        </w:rPr>
        <w:softHyphen/>
        <w:t>го задания, причины не известны. Из группы Карпова не вернулся мл.л-т Го</w:t>
      </w:r>
      <w:r w:rsidRPr="00722885">
        <w:rPr>
          <w:iCs/>
          <w:color w:val="000000" w:themeColor="text1"/>
          <w:sz w:val="16"/>
          <w:szCs w:val="16"/>
        </w:rPr>
        <w:softHyphen/>
        <w:t>рячев с воздушным стрелком Разум но</w:t>
      </w:r>
      <w:r w:rsidRPr="00722885">
        <w:rPr>
          <w:iCs/>
          <w:color w:val="000000" w:themeColor="text1"/>
          <w:sz w:val="16"/>
          <w:szCs w:val="16"/>
        </w:rPr>
        <w:softHyphen/>
        <w:t>вым, причины не известны. Подбиты са</w:t>
      </w:r>
      <w:r w:rsidRPr="00722885">
        <w:rPr>
          <w:iCs/>
          <w:color w:val="000000" w:themeColor="text1"/>
          <w:sz w:val="16"/>
          <w:szCs w:val="16"/>
        </w:rPr>
        <w:softHyphen/>
        <w:t>молеты у летчиков Мордавцева и Догалева..."</w:t>
      </w:r>
    </w:p>
    <w:p w14:paraId="33652AC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Позже выяснилось, что 4 Ла-5 13-го иап (ведущий к-н Иконников) из 201-й </w:t>
      </w:r>
      <w:r w:rsidRPr="00722885">
        <w:rPr>
          <w:iCs/>
          <w:color w:val="000000" w:themeColor="text1"/>
          <w:sz w:val="16"/>
          <w:szCs w:val="16"/>
        </w:rPr>
        <w:t>над</w:t>
      </w:r>
      <w:r w:rsidRPr="00722885">
        <w:rPr>
          <w:color w:val="000000" w:themeColor="text1"/>
          <w:sz w:val="16"/>
          <w:szCs w:val="16"/>
        </w:rPr>
        <w:t xml:space="preserve"> не смогли надежно прикрыть своих подопечных. В результате все машины группы Опалева были сбиты истреби</w:t>
      </w:r>
      <w:r w:rsidRPr="00722885">
        <w:rPr>
          <w:color w:val="000000" w:themeColor="text1"/>
          <w:sz w:val="16"/>
          <w:szCs w:val="16"/>
        </w:rPr>
        <w:softHyphen/>
        <w:t>телями противника. Ил-2 сержанта Дольберидзе был подбит уже над лини</w:t>
      </w:r>
      <w:r w:rsidRPr="00722885">
        <w:rPr>
          <w:color w:val="000000" w:themeColor="text1"/>
          <w:sz w:val="16"/>
          <w:szCs w:val="16"/>
        </w:rPr>
        <w:softHyphen/>
        <w:t>ей боевого соприкосновения в резуль</w:t>
      </w:r>
      <w:r w:rsidRPr="00722885">
        <w:rPr>
          <w:color w:val="000000" w:themeColor="text1"/>
          <w:sz w:val="16"/>
          <w:szCs w:val="16"/>
        </w:rPr>
        <w:softHyphen/>
        <w:t>тате атаки 4 Bf 109 и сел на вынужден</w:t>
      </w:r>
      <w:r w:rsidRPr="00722885">
        <w:rPr>
          <w:color w:val="000000" w:themeColor="text1"/>
          <w:sz w:val="16"/>
          <w:szCs w:val="16"/>
        </w:rPr>
        <w:softHyphen/>
        <w:t>ную на своей территории. Самолеты Кузнецова и Опалева были подбиты в районе аэродрома противника, сели на вынужденную на нейтральной полосе вблизи немецких окопов и только стре</w:t>
      </w:r>
      <w:r w:rsidRPr="00722885">
        <w:rPr>
          <w:color w:val="000000" w:themeColor="text1"/>
          <w:sz w:val="16"/>
          <w:szCs w:val="16"/>
        </w:rPr>
        <w:softHyphen/>
        <w:t>мительная атака роты красноармейцев при поддержке двух танков спасла лет</w:t>
      </w:r>
      <w:r w:rsidRPr="00722885">
        <w:rPr>
          <w:color w:val="000000" w:themeColor="text1"/>
          <w:sz w:val="16"/>
          <w:szCs w:val="16"/>
        </w:rPr>
        <w:softHyphen/>
        <w:t>чиков от неминуемой гибели.</w:t>
      </w:r>
    </w:p>
    <w:p w14:paraId="4B280AE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воздушном бою с "мессершмиттами" заместитель командира 2-й авиаэс</w:t>
      </w:r>
      <w:r w:rsidRPr="00722885">
        <w:rPr>
          <w:color w:val="000000" w:themeColor="text1"/>
          <w:sz w:val="16"/>
          <w:szCs w:val="16"/>
        </w:rPr>
        <w:softHyphen/>
        <w:t>кадрильи по политчасти капитан Арте</w:t>
      </w:r>
      <w:r w:rsidRPr="00722885">
        <w:rPr>
          <w:color w:val="000000" w:themeColor="text1"/>
          <w:sz w:val="16"/>
          <w:szCs w:val="16"/>
        </w:rPr>
        <w:softHyphen/>
        <w:t>мьев, летевший за воздушного стрелка у сержанта Кузнецова, огнем из УБТ сбил один Bf109. Один "мессер" коронным приемом штурмовиков удалось сбить младшему лейтенанту Опалеву. Когда пара Bf 109-х взяла его самолет в "кле</w:t>
      </w:r>
      <w:r w:rsidRPr="00722885">
        <w:rPr>
          <w:color w:val="000000" w:themeColor="text1"/>
          <w:sz w:val="16"/>
          <w:szCs w:val="16"/>
        </w:rPr>
        <w:softHyphen/>
        <w:t>щи", Опалев резко сбросил газ и пулеметно-пушечной очередью точно пора</w:t>
      </w:r>
      <w:r w:rsidRPr="00722885">
        <w:rPr>
          <w:color w:val="000000" w:themeColor="text1"/>
          <w:sz w:val="16"/>
          <w:szCs w:val="16"/>
        </w:rPr>
        <w:softHyphen/>
        <w:t>зил проскочивший вперед ведущий "Мессершмитт".</w:t>
      </w:r>
    </w:p>
    <w:p w14:paraId="5A38547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Последний задымил и упал на землю в районе аэродрома Пи</w:t>
      </w:r>
      <w:r w:rsidRPr="00722885">
        <w:rPr>
          <w:color w:val="000000" w:themeColor="text1"/>
          <w:sz w:val="16"/>
          <w:szCs w:val="16"/>
        </w:rPr>
        <w:softHyphen/>
        <w:t>томник.</w:t>
      </w:r>
    </w:p>
    <w:p w14:paraId="3E0CD9F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Несмотря на активное противодей</w:t>
      </w:r>
      <w:r w:rsidRPr="00722885">
        <w:rPr>
          <w:color w:val="000000" w:themeColor="text1"/>
          <w:sz w:val="16"/>
          <w:szCs w:val="16"/>
        </w:rPr>
        <w:softHyphen/>
        <w:t>ствие истребителей Люфтваффе, паре Опалева все же удалось выполнить два захода на штурмовку аэродрома Питом</w:t>
      </w:r>
      <w:r w:rsidRPr="00722885">
        <w:rPr>
          <w:color w:val="000000" w:themeColor="text1"/>
          <w:sz w:val="16"/>
          <w:szCs w:val="16"/>
        </w:rPr>
        <w:softHyphen/>
        <w:t>ник, после которых на стоянках наблю</w:t>
      </w:r>
      <w:r w:rsidRPr="00722885">
        <w:rPr>
          <w:color w:val="000000" w:themeColor="text1"/>
          <w:sz w:val="16"/>
          <w:szCs w:val="16"/>
        </w:rPr>
        <w:softHyphen/>
        <w:t>дались три пожара (6467).</w:t>
      </w:r>
    </w:p>
    <w:p w14:paraId="0E1344FC" w14:textId="77777777" w:rsidR="00BB6316" w:rsidRPr="00722885" w:rsidRDefault="00BB6316" w:rsidP="00722885">
      <w:pPr>
        <w:pStyle w:val="Iauiue"/>
        <w:jc w:val="both"/>
        <w:rPr>
          <w:color w:val="000000" w:themeColor="text1"/>
          <w:sz w:val="16"/>
          <w:szCs w:val="16"/>
        </w:rPr>
      </w:pPr>
    </w:p>
    <w:p w14:paraId="144A20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декабря 1942 трагически сложился боевой вылет летчиков 622-го шап капитана Емельянова на штурмовку аэродрома противника Питомник. Согласно журналу боевых действий полка из 7 Ил-2, вылетавших на боевое задание, на свой аэродром вернулось только три самолета: "...Группа мл. л-та Опалева не вернулась с боевого задания, причины не известны. Из группы Карпова не вернулся мл. л-т Горячев с воздушным стрелком Разумновым, причины не известны. Подбиты самолеты у летчиков Мордавцева и Догалева..."</w:t>
      </w:r>
    </w:p>
    <w:p w14:paraId="7ABAC9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Позже выяснилось, что 4 Ла-5 от 13-го иап не смогли надежно прикрыть Ил-2. В результате вся группа Опалева была сбита истребителями противника. Штурмовик сержанта Дольберидзе был подбит над линией фронта в результате атаки 4 Bf 109 и сел на вынужденную на своей территории. Ил-2 Кузнецова и Опалева были подбиты в районе аэродрома противника. Летчики сели на вынужденную на нейтральной полосе вблизи немецких окопов и только стремительная атака роты красноармейцев при поддержке двух танков спасла их от неминуемой гибели. </w:t>
      </w:r>
    </w:p>
    <w:p w14:paraId="6ADEF4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"Смешались в кучу - В воздушном бою с "мессершмиттами" кони, люди" замполит эскадрильи капитан Артемьев, летевший за воздушного стрелка у сержанта Кузнецова, огнем из УБТ сбил один Bf 109. Еще один "мессер" коронным приемом штурмовиков удалось сбить Опалеву. Когда 2 Bf 109 взяли его самолет в "клещи", Опалев резко сбросил газ и пулеметно-пушечной очередью точно поразил проскочивший вперед ведущий "мессершмитт". Истребитель задымил и упал на землю в районе аэродрома Питомник.</w:t>
      </w:r>
    </w:p>
    <w:p w14:paraId="065CB5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Паре Опалева все же удалось выполнить два захода на штурмовку аэродрома Питомник, после которых на стоянках наблюдались три пожара (12020).</w:t>
      </w:r>
    </w:p>
    <w:p w14:paraId="2D9AED2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B8979F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 декабря 1942 на аэродромах 4 зоны с Сталинграде вывели из строя 31 Ю-52 (518,178).</w:t>
      </w:r>
    </w:p>
    <w:p w14:paraId="5418CF6C" w14:textId="77777777" w:rsidR="00BB6316" w:rsidRPr="00722885" w:rsidRDefault="00BB6316" w:rsidP="00722885">
      <w:pPr>
        <w:pStyle w:val="Iauiue"/>
        <w:jc w:val="both"/>
        <w:rPr>
          <w:color w:val="000000" w:themeColor="text1"/>
          <w:sz w:val="16"/>
          <w:szCs w:val="16"/>
        </w:rPr>
      </w:pPr>
    </w:p>
    <w:p w14:paraId="56DA4224"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10, 1942: Hitler replaces General Halder with General Zeitzler as chief of staff of the OKH (3819).</w:t>
      </w:r>
    </w:p>
    <w:p w14:paraId="0E284C1A" w14:textId="77777777" w:rsidR="00BB6316" w:rsidRPr="00722885" w:rsidRDefault="00BB6316" w:rsidP="00722885">
      <w:pPr>
        <w:pStyle w:val="Iauiue"/>
        <w:jc w:val="both"/>
        <w:rPr>
          <w:color w:val="000000" w:themeColor="text1"/>
          <w:sz w:val="16"/>
          <w:szCs w:val="16"/>
          <w:lang w:val="en-US"/>
        </w:rPr>
      </w:pPr>
    </w:p>
    <w:p w14:paraId="3AFC3FF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 декабря 1942 А.Г. заменил ГК (3819).</w:t>
      </w:r>
    </w:p>
    <w:p w14:paraId="7A2DA064" w14:textId="77777777" w:rsidR="00BB6316" w:rsidRPr="00722885" w:rsidRDefault="00BB6316" w:rsidP="00722885">
      <w:pPr>
        <w:pStyle w:val="Iauiue"/>
        <w:jc w:val="both"/>
        <w:rPr>
          <w:color w:val="000000" w:themeColor="text1"/>
          <w:sz w:val="16"/>
          <w:szCs w:val="16"/>
        </w:rPr>
      </w:pPr>
    </w:p>
    <w:p w14:paraId="436F2419" w14:textId="77777777" w:rsidR="00013C97"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19C8B205" w14:textId="77777777" w:rsidR="00013C97" w:rsidRPr="00722885" w:rsidRDefault="00013C97" w:rsidP="00722885">
      <w:pPr>
        <w:pStyle w:val="Iauiue"/>
        <w:jc w:val="both"/>
        <w:rPr>
          <w:iCs/>
          <w:color w:val="000000" w:themeColor="text1"/>
          <w:sz w:val="16"/>
          <w:szCs w:val="16"/>
        </w:rPr>
      </w:pPr>
    </w:p>
    <w:p w14:paraId="4362229D" w14:textId="77777777" w:rsidR="00013C97" w:rsidRPr="00722885" w:rsidRDefault="00013C97" w:rsidP="00722885">
      <w:pPr>
        <w:pStyle w:val="Iauiue"/>
        <w:jc w:val="both"/>
        <w:rPr>
          <w:color w:val="000000" w:themeColor="text1"/>
          <w:sz w:val="16"/>
          <w:szCs w:val="16"/>
        </w:rPr>
      </w:pPr>
      <w:r w:rsidRPr="00722885">
        <w:rPr>
          <w:color w:val="000000" w:themeColor="text1"/>
          <w:sz w:val="16"/>
          <w:szCs w:val="16"/>
        </w:rPr>
        <w:t>10 декабря 1942 тамбовские колхозники передали 43 млн. руб. на танковую колонну и построили 25 эскадрилий самолетов (271,211).</w:t>
      </w:r>
    </w:p>
    <w:p w14:paraId="26D6AEBD" w14:textId="77777777" w:rsidR="00013C97" w:rsidRPr="00722885" w:rsidRDefault="00013C97" w:rsidP="00722885">
      <w:pPr>
        <w:pStyle w:val="Iauiue"/>
        <w:jc w:val="both"/>
        <w:rPr>
          <w:color w:val="000000" w:themeColor="text1"/>
          <w:sz w:val="16"/>
          <w:szCs w:val="16"/>
        </w:rPr>
      </w:pPr>
    </w:p>
    <w:p w14:paraId="14FA4A00"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60F5A476" w14:textId="77777777" w:rsidR="00BB6316" w:rsidRPr="00722885" w:rsidRDefault="00BB6316" w:rsidP="00722885">
      <w:pPr>
        <w:pStyle w:val="Iauiue"/>
        <w:jc w:val="both"/>
        <w:rPr>
          <w:iCs/>
          <w:color w:val="000000" w:themeColor="text1"/>
          <w:sz w:val="16"/>
          <w:szCs w:val="16"/>
        </w:rPr>
      </w:pPr>
    </w:p>
    <w:p w14:paraId="4AB3212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 декабря 1942 был сделан специальный запрос американцам о возможности поставки партии из 30 машин Норт Америкен AT-6 "Текcан" (3457,141).</w:t>
      </w:r>
    </w:p>
    <w:p w14:paraId="550AB5CB" w14:textId="77777777" w:rsidR="00BB6316" w:rsidRPr="00722885" w:rsidRDefault="00BB6316" w:rsidP="00722885">
      <w:pPr>
        <w:pStyle w:val="Iauiue"/>
        <w:jc w:val="both"/>
        <w:rPr>
          <w:color w:val="000000" w:themeColor="text1"/>
          <w:sz w:val="16"/>
          <w:szCs w:val="16"/>
        </w:rPr>
      </w:pPr>
    </w:p>
    <w:p w14:paraId="16ED1F8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декабря 1942 вышло Постановление ГКО № 2608 О назначении Дородникова А.М. секретарем постоянной комиссии при ГКО для руководства работой по обмену военно-технической информацией с США и Англией. РГАНИР, Фонд ГКО, д. 72, лл. 146 (11012).</w:t>
      </w:r>
    </w:p>
    <w:p w14:paraId="21DFAF1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D4D343E"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5D9E00D" w14:textId="77777777" w:rsidR="00BB6316" w:rsidRPr="00722885" w:rsidRDefault="00BB6316" w:rsidP="00722885">
      <w:pPr>
        <w:pStyle w:val="Iauiue"/>
        <w:jc w:val="both"/>
        <w:rPr>
          <w:iCs/>
          <w:color w:val="000000" w:themeColor="text1"/>
          <w:sz w:val="16"/>
          <w:szCs w:val="16"/>
        </w:rPr>
      </w:pPr>
    </w:p>
    <w:p w14:paraId="02752F0A" w14:textId="77777777" w:rsidR="0011363C" w:rsidRPr="00722885" w:rsidRDefault="001136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10 декабря 1942 года состоялся первый полет Fi 103 V7, когда он был сброшен с самолёта </w:t>
      </w:r>
      <w:hyperlink r:id="rId183" w:tooltip="Fw 200" w:history="1">
        <w:r w:rsidRPr="00722885">
          <w:rPr>
            <w:rStyle w:val="a5"/>
            <w:color w:val="000000" w:themeColor="text1"/>
            <w:sz w:val="16"/>
            <w:szCs w:val="16"/>
          </w:rPr>
          <w:t>Fw 200</w:t>
        </w:r>
      </w:hyperlink>
      <w:hyperlink r:id="rId184" w:anchor="cite_note-_2b8e394fb77d0738-1" w:history="1">
        <w:r w:rsidRPr="00722885">
          <w:rPr>
            <w:rStyle w:val="a5"/>
            <w:color w:val="000000" w:themeColor="text1"/>
            <w:sz w:val="16"/>
            <w:szCs w:val="16"/>
            <w:vertAlign w:val="superscript"/>
          </w:rPr>
          <w:t>[1]</w:t>
        </w:r>
      </w:hyperlink>
      <w:r w:rsidRPr="00722885">
        <w:rPr>
          <w:color w:val="000000" w:themeColor="text1"/>
          <w:sz w:val="16"/>
          <w:szCs w:val="16"/>
        </w:rPr>
        <w:t xml:space="preserve"> (19631).</w:t>
      </w:r>
    </w:p>
    <w:p w14:paraId="649A3DB7" w14:textId="77777777" w:rsidR="0011363C" w:rsidRPr="00722885" w:rsidRDefault="0011363C" w:rsidP="00722885">
      <w:pPr>
        <w:spacing w:after="0" w:line="240" w:lineRule="auto"/>
        <w:jc w:val="both"/>
        <w:rPr>
          <w:rFonts w:ascii="Times New Roman" w:hAnsi="Times New Roman"/>
          <w:color w:val="000000" w:themeColor="text1"/>
          <w:sz w:val="16"/>
          <w:szCs w:val="16"/>
        </w:rPr>
      </w:pPr>
    </w:p>
    <w:p w14:paraId="5A163DA9" w14:textId="77777777" w:rsidR="001E756A" w:rsidRPr="00722885" w:rsidRDefault="001E756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10 декабря 1942 состоялся первый полет с включением двигателя Fi-103. На этот раз полет завершился полной неудачей. Пролетев около километра, Fi-103 потеряла управление и упала в Балтийское море (22878).</w:t>
      </w:r>
    </w:p>
    <w:p w14:paraId="22484FDE" w14:textId="77777777" w:rsidR="001E756A" w:rsidRPr="00722885" w:rsidRDefault="001E756A" w:rsidP="00722885">
      <w:pPr>
        <w:spacing w:after="0" w:line="240" w:lineRule="auto"/>
        <w:jc w:val="both"/>
        <w:rPr>
          <w:rFonts w:ascii="Times New Roman" w:hAnsi="Times New Roman"/>
          <w:color w:val="0070C0"/>
          <w:sz w:val="16"/>
          <w:szCs w:val="16"/>
        </w:rPr>
      </w:pPr>
    </w:p>
    <w:p w14:paraId="0C3E805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 декабря 1942 была удачная атака итальянских подводных пловцов на трех торпедах гражданских судов на рейде Алжира. Подорвали 4 судна водоизмещением в сумме 22300 т (3961, 52).</w:t>
      </w:r>
    </w:p>
    <w:p w14:paraId="54CE081B" w14:textId="77777777" w:rsidR="00BB6316" w:rsidRPr="00722885" w:rsidRDefault="00BB6316" w:rsidP="00722885">
      <w:pPr>
        <w:pStyle w:val="Iauiue"/>
        <w:jc w:val="both"/>
        <w:rPr>
          <w:color w:val="000000" w:themeColor="text1"/>
          <w:sz w:val="16"/>
          <w:szCs w:val="16"/>
        </w:rPr>
      </w:pPr>
    </w:p>
    <w:p w14:paraId="7F19DBB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E0F92AA" w14:textId="77777777" w:rsidR="00BB6316" w:rsidRPr="00722885" w:rsidRDefault="00BB6316" w:rsidP="00722885">
      <w:pPr>
        <w:pStyle w:val="Iauiue"/>
        <w:jc w:val="both"/>
        <w:rPr>
          <w:iCs/>
          <w:color w:val="000000" w:themeColor="text1"/>
          <w:sz w:val="16"/>
          <w:szCs w:val="16"/>
        </w:rPr>
      </w:pPr>
    </w:p>
    <w:p w14:paraId="567A55C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декабря 1942 вышел приказ НКАП N 876с:</w:t>
      </w:r>
    </w:p>
    <w:p w14:paraId="2E3A95B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проверки в условиях эксплуатации самолетов Ил-4 с деревянными консолями крыла:</w:t>
      </w:r>
    </w:p>
    <w:p w14:paraId="188DFA6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Директору завода 23 Иосилович выпустить из производства в декабре 1942 и сдать АДД 10 самолетов Ил-10 с деревянными консолями крыла на усиленных колесах шасси по образцу саморлета Ил-4 2М-88 N 2314, прошедшего испытания в НИИ ВВС</w:t>
      </w:r>
    </w:p>
    <w:p w14:paraId="19CB028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Нач. 10 ГУ Тарасевичу к 1 февраля 1943 представить заключение командования АДД о поведении указанных 10 самолетов Ил-4 в эксплуатацию в боевых условиях (1622,58).</w:t>
      </w:r>
    </w:p>
    <w:p w14:paraId="1C2BC93C" w14:textId="77777777" w:rsidR="00BB6316" w:rsidRPr="00722885" w:rsidRDefault="00BB6316" w:rsidP="00722885">
      <w:pPr>
        <w:pStyle w:val="Iauiue"/>
        <w:jc w:val="both"/>
        <w:rPr>
          <w:color w:val="000000" w:themeColor="text1"/>
          <w:sz w:val="16"/>
          <w:szCs w:val="16"/>
        </w:rPr>
      </w:pPr>
    </w:p>
    <w:p w14:paraId="56D3C96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декабря 1942 вышел приказ НКАП N 877с:</w:t>
      </w:r>
    </w:p>
    <w:p w14:paraId="15E16C2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связи с возросшим весом самолета Ил-4 и большой перегрузкой устанавливаемого на самолет хвостового колеса:</w:t>
      </w:r>
    </w:p>
    <w:p w14:paraId="03FDD1F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Директорам заводов 23, 39 и 126 запустить в производство усиленную ферму костыля с установкой хвостового колеса 470х210 мм взамен 400х150 на по извещению ГК С.В.И. N 362 и 368</w:t>
      </w:r>
    </w:p>
    <w:p w14:paraId="3B6C5EA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Установить сроки выпуска самолетов Ил-4 с новым хвостовым колесом с усиленной фермой костыля: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B487A" w:rsidRPr="00722885" w14:paraId="3EA21C78" w14:textId="77777777" w:rsidTr="00CC5360">
        <w:tc>
          <w:tcPr>
            <w:tcW w:w="5636" w:type="dxa"/>
            <w:tcBorders>
              <w:top w:val="single" w:sz="12" w:space="0" w:color="auto"/>
            </w:tcBorders>
          </w:tcPr>
          <w:p w14:paraId="4778CEF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23 завод -</w:t>
            </w:r>
          </w:p>
        </w:tc>
        <w:tc>
          <w:tcPr>
            <w:tcW w:w="5636" w:type="dxa"/>
            <w:tcBorders>
              <w:top w:val="single" w:sz="12" w:space="0" w:color="auto"/>
            </w:tcBorders>
          </w:tcPr>
          <w:p w14:paraId="00A7C0F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января 1943</w:t>
            </w:r>
          </w:p>
        </w:tc>
      </w:tr>
      <w:tr w:rsidR="009B487A" w:rsidRPr="00722885" w14:paraId="20E25E60" w14:textId="77777777" w:rsidTr="00CC5360">
        <w:tc>
          <w:tcPr>
            <w:tcW w:w="5636" w:type="dxa"/>
          </w:tcPr>
          <w:p w14:paraId="6C2AFA8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39</w:t>
            </w:r>
          </w:p>
        </w:tc>
        <w:tc>
          <w:tcPr>
            <w:tcW w:w="5636" w:type="dxa"/>
          </w:tcPr>
          <w:p w14:paraId="47DA685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января</w:t>
            </w:r>
          </w:p>
        </w:tc>
      </w:tr>
      <w:tr w:rsidR="009B487A" w:rsidRPr="00722885" w14:paraId="3358C909" w14:textId="77777777" w:rsidTr="00CC5360">
        <w:tc>
          <w:tcPr>
            <w:tcW w:w="5636" w:type="dxa"/>
            <w:tcBorders>
              <w:bottom w:val="single" w:sz="12" w:space="0" w:color="auto"/>
            </w:tcBorders>
          </w:tcPr>
          <w:p w14:paraId="274B514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126</w:t>
            </w:r>
          </w:p>
        </w:tc>
        <w:tc>
          <w:tcPr>
            <w:tcW w:w="5636" w:type="dxa"/>
            <w:tcBorders>
              <w:bottom w:val="single" w:sz="12" w:space="0" w:color="auto"/>
            </w:tcBorders>
          </w:tcPr>
          <w:p w14:paraId="0F79164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февраля</w:t>
            </w:r>
          </w:p>
        </w:tc>
      </w:tr>
    </w:tbl>
    <w:p w14:paraId="702521E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Директору завода 23 Иосилович до 20 декабря 1942 смонтировать и проверить контрольными испытаниями на одном самолете новую костыльную установку самолета Ил-4 (1622,64).</w:t>
      </w:r>
    </w:p>
    <w:p w14:paraId="5B93821F" w14:textId="77777777" w:rsidR="00BB6316" w:rsidRPr="00722885" w:rsidRDefault="00BB6316" w:rsidP="00722885">
      <w:pPr>
        <w:pStyle w:val="Iauiue"/>
        <w:jc w:val="both"/>
        <w:rPr>
          <w:color w:val="000000" w:themeColor="text1"/>
          <w:sz w:val="16"/>
          <w:szCs w:val="16"/>
        </w:rPr>
      </w:pPr>
    </w:p>
    <w:p w14:paraId="44F3D75F"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11 декабря 1942 г. заме</w:t>
      </w:r>
      <w:r w:rsidRPr="00722885">
        <w:rPr>
          <w:rFonts w:ascii="Times New Roman" w:cs="Times New Roman"/>
          <w:color w:val="000000" w:themeColor="text1"/>
          <w:spacing w:val="0"/>
          <w:sz w:val="16"/>
          <w:szCs w:val="16"/>
        </w:rPr>
        <w:softHyphen/>
        <w:t>ститель главного инженера ВВС КА генерал А.А. Лапин обратился к заместителю наркома авиапромышленности А.И. Кузнецову с пред</w:t>
      </w:r>
      <w:r w:rsidRPr="00722885">
        <w:rPr>
          <w:rFonts w:ascii="Times New Roman" w:cs="Times New Roman"/>
          <w:color w:val="000000" w:themeColor="text1"/>
          <w:spacing w:val="0"/>
          <w:sz w:val="16"/>
          <w:szCs w:val="16"/>
        </w:rPr>
        <w:softHyphen/>
        <w:t>ложением дать указание заводу №125 срочно изготовить десять комплектов бронеспинок летчика самолета Пе-2 из составной брони (две гомогенные бронеплиты толщиной 7 и 10 мм). Бронеспинки требовалось передать в НИИ ВВС для производства испытаний на пу- лестойкость.</w:t>
      </w:r>
    </w:p>
    <w:p w14:paraId="599A37DE"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Отмечалось, что такая комбинация бро</w:t>
      </w:r>
      <w:r w:rsidRPr="00722885">
        <w:rPr>
          <w:rFonts w:ascii="Times New Roman" w:cs="Times New Roman"/>
          <w:color w:val="000000" w:themeColor="text1"/>
          <w:spacing w:val="0"/>
          <w:sz w:val="16"/>
          <w:szCs w:val="16"/>
        </w:rPr>
        <w:softHyphen/>
        <w:t>ни не пробивалась боеприпасами немецкой пушки МОЛ 51 при стрельбе по нормали с ди</w:t>
      </w:r>
      <w:r w:rsidRPr="00722885">
        <w:rPr>
          <w:rFonts w:ascii="Times New Roman" w:cs="Times New Roman"/>
          <w:color w:val="000000" w:themeColor="text1"/>
          <w:spacing w:val="0"/>
          <w:sz w:val="16"/>
          <w:szCs w:val="16"/>
        </w:rPr>
        <w:softHyphen/>
        <w:t>станции 50 м, в то время как принятая на во</w:t>
      </w:r>
      <w:r w:rsidRPr="00722885">
        <w:rPr>
          <w:rFonts w:ascii="Times New Roman" w:cs="Times New Roman"/>
          <w:color w:val="000000" w:themeColor="text1"/>
          <w:spacing w:val="0"/>
          <w:sz w:val="16"/>
          <w:szCs w:val="16"/>
        </w:rPr>
        <w:softHyphen/>
        <w:t>оружение цементованная броня толщиной 15 мм держала такие пули по нормали только с дистанции 400 м. При этом вес броневой си</w:t>
      </w:r>
      <w:r w:rsidRPr="00722885">
        <w:rPr>
          <w:rFonts w:ascii="Times New Roman" w:cs="Times New Roman"/>
          <w:color w:val="000000" w:themeColor="text1"/>
          <w:spacing w:val="0"/>
          <w:sz w:val="16"/>
          <w:szCs w:val="16"/>
        </w:rPr>
        <w:softHyphen/>
        <w:t>стемы возрастал всего на 6 кг. Кроме того, по</w:t>
      </w:r>
      <w:r w:rsidRPr="00722885">
        <w:rPr>
          <w:rFonts w:ascii="Times New Roman" w:cs="Times New Roman"/>
          <w:color w:val="000000" w:themeColor="text1"/>
          <w:spacing w:val="0"/>
          <w:sz w:val="16"/>
          <w:szCs w:val="16"/>
        </w:rPr>
        <w:softHyphen/>
        <w:t>являлась возможность отказаться от использо</w:t>
      </w:r>
      <w:r w:rsidRPr="00722885">
        <w:rPr>
          <w:rFonts w:ascii="Times New Roman" w:cs="Times New Roman"/>
          <w:color w:val="000000" w:themeColor="text1"/>
          <w:spacing w:val="0"/>
          <w:sz w:val="16"/>
          <w:szCs w:val="16"/>
        </w:rPr>
        <w:softHyphen/>
        <w:t>вания цементованной брони, технологический процесс производства которой являлся весь</w:t>
      </w:r>
      <w:r w:rsidRPr="00722885">
        <w:rPr>
          <w:rFonts w:ascii="Times New Roman" w:cs="Times New Roman"/>
          <w:color w:val="000000" w:themeColor="text1"/>
          <w:spacing w:val="0"/>
          <w:sz w:val="16"/>
          <w:szCs w:val="16"/>
        </w:rPr>
        <w:softHyphen/>
        <w:t>ма сложным, дорогим и с большим процентом брака.</w:t>
      </w:r>
    </w:p>
    <w:p w14:paraId="0C5E301F"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Срочность испытаний увязывалась «с</w:t>
      </w:r>
      <w:r w:rsidRPr="00722885">
        <w:rPr>
          <w:rStyle w:val="aff6"/>
          <w:rFonts w:ascii="Times New Roman" w:eastAsia="Arial Narrow" w:hAnsi="Times New Roman" w:cs="Times New Roman"/>
          <w:i w:val="0"/>
          <w:color w:val="000000" w:themeColor="text1"/>
          <w:spacing w:val="0"/>
        </w:rPr>
        <w:t xml:space="preserve"> не</w:t>
      </w:r>
      <w:r w:rsidRPr="00722885">
        <w:rPr>
          <w:rStyle w:val="aff6"/>
          <w:rFonts w:ascii="Times New Roman" w:eastAsia="Arial Narrow" w:hAnsi="Times New Roman" w:cs="Times New Roman"/>
          <w:i w:val="0"/>
          <w:color w:val="000000" w:themeColor="text1"/>
          <w:spacing w:val="0"/>
        </w:rPr>
        <w:softHyphen/>
        <w:t xml:space="preserve">обходимостью своевременного запланирова- ния броневого листа для ВВС КА за 1943 г.» </w:t>
      </w:r>
      <w:r w:rsidRPr="00722885">
        <w:rPr>
          <w:rFonts w:ascii="Times New Roman" w:cs="Times New Roman"/>
          <w:color w:val="000000" w:themeColor="text1"/>
          <w:spacing w:val="0"/>
          <w:sz w:val="16"/>
          <w:szCs w:val="16"/>
        </w:rPr>
        <w:t>Однако решения по внедрению экранной бро</w:t>
      </w:r>
      <w:r w:rsidRPr="00722885">
        <w:rPr>
          <w:rFonts w:ascii="Times New Roman" w:cs="Times New Roman"/>
          <w:color w:val="000000" w:themeColor="text1"/>
          <w:spacing w:val="0"/>
          <w:sz w:val="16"/>
          <w:szCs w:val="16"/>
        </w:rPr>
        <w:softHyphen/>
        <w:t>ни в серийное производство не последовало. В Наркомате авиационной промышленности обратили внимание, что данные по бронестой- кости экранной и обычной брони, полученные в разное время в НИИ ВВС, ВИАМ, ЦНИИ-48 и на заводах №125 и 207, сильно отличались друг от друга.</w:t>
      </w:r>
    </w:p>
    <w:p w14:paraId="1468BB07"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Как выяснилось при разборе ситуации, все эти организации работали с разными марками сталей, проходившими различную термообработку, а испытания проводились патронами различных партий и из оружия, имеющего разный настрел (изношенность стволов). В итоге решили продолжить иссле</w:t>
      </w:r>
      <w:r w:rsidRPr="00722885">
        <w:rPr>
          <w:rFonts w:ascii="Times New Roman" w:cs="Times New Roman"/>
          <w:color w:val="000000" w:themeColor="text1"/>
          <w:spacing w:val="0"/>
          <w:sz w:val="16"/>
          <w:szCs w:val="16"/>
        </w:rPr>
        <w:softHyphen/>
        <w:t>дования с целью определения оптимальной системы экранной брони (толщины и марки брони) и особенностей работы такой брони в самолете для типовых условий обстрела в воздушных боях.</w:t>
      </w:r>
    </w:p>
    <w:p w14:paraId="10DBC400"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Предполагалось, что все работы будут выполнены в Куйбышеве на заводе №207 совместно НИИ ВВС, ВИАМ и заводской ла</w:t>
      </w:r>
      <w:r w:rsidRPr="00722885">
        <w:rPr>
          <w:rFonts w:ascii="Times New Roman" w:cs="Times New Roman"/>
          <w:color w:val="000000" w:themeColor="text1"/>
          <w:spacing w:val="0"/>
          <w:sz w:val="16"/>
          <w:szCs w:val="16"/>
        </w:rPr>
        <w:softHyphen/>
        <w:t>бораторией. Общее руководство возлагалось на НИИ ВВС. Ответственным исполнителем по испытаниям назначили ведущего инжене</w:t>
      </w:r>
      <w:r w:rsidRPr="00722885">
        <w:rPr>
          <w:rFonts w:ascii="Times New Roman" w:cs="Times New Roman"/>
          <w:color w:val="000000" w:themeColor="text1"/>
          <w:spacing w:val="0"/>
          <w:sz w:val="16"/>
          <w:szCs w:val="16"/>
        </w:rPr>
        <w:softHyphen/>
        <w:t>ра 8-го отдела НИИ ВВС инженера-майора К.И. Шлямина.</w:t>
      </w:r>
    </w:p>
    <w:p w14:paraId="59FB0047"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Исследовались экранированные системы, состоящие из хромомолибденовой цемен</w:t>
      </w:r>
      <w:r w:rsidRPr="00722885">
        <w:rPr>
          <w:rFonts w:ascii="Times New Roman" w:cs="Times New Roman"/>
          <w:color w:val="000000" w:themeColor="text1"/>
          <w:spacing w:val="0"/>
          <w:sz w:val="16"/>
          <w:szCs w:val="16"/>
        </w:rPr>
        <w:softHyphen/>
        <w:t>тованной брони ХД(ц) - экран, и гомогенной брони марки АБ-2 и ХД валового производст</w:t>
      </w:r>
      <w:r w:rsidRPr="00722885">
        <w:rPr>
          <w:rFonts w:ascii="Times New Roman" w:cs="Times New Roman"/>
          <w:color w:val="000000" w:themeColor="text1"/>
          <w:spacing w:val="0"/>
          <w:sz w:val="16"/>
          <w:szCs w:val="16"/>
        </w:rPr>
        <w:softHyphen/>
        <w:t>ва разных толщин. Обстрел велся из немецкой пушки МС151 калибра 15 и 20 мм с дистанции 200 м по нормали и со 100 м под углом к нор</w:t>
      </w:r>
      <w:r w:rsidRPr="00722885">
        <w:rPr>
          <w:rFonts w:ascii="Times New Roman" w:cs="Times New Roman"/>
          <w:color w:val="000000" w:themeColor="text1"/>
          <w:spacing w:val="0"/>
          <w:sz w:val="16"/>
          <w:szCs w:val="16"/>
        </w:rPr>
        <w:softHyphen/>
        <w:t>мали до 40°.</w:t>
      </w:r>
    </w:p>
    <w:p w14:paraId="0D467A30"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Испытания обстрелом проводились в</w:t>
      </w:r>
      <w:r w:rsidRPr="00722885">
        <w:rPr>
          <w:rStyle w:val="0pt1"/>
          <w:rFonts w:eastAsia="Arial Narrow"/>
          <w:b w:val="0"/>
          <w:color w:val="000000" w:themeColor="text1"/>
          <w:spacing w:val="0"/>
          <w:sz w:val="16"/>
          <w:szCs w:val="16"/>
        </w:rPr>
        <w:t xml:space="preserve"> пол</w:t>
      </w:r>
      <w:r w:rsidRPr="00722885">
        <w:rPr>
          <w:rStyle w:val="0pt1"/>
          <w:rFonts w:eastAsia="Arial Narrow"/>
          <w:b w:val="0"/>
          <w:color w:val="000000" w:themeColor="text1"/>
          <w:spacing w:val="0"/>
          <w:sz w:val="16"/>
          <w:szCs w:val="16"/>
        </w:rPr>
        <w:softHyphen/>
      </w:r>
      <w:r w:rsidRPr="00722885">
        <w:rPr>
          <w:rFonts w:ascii="Times New Roman" w:cs="Times New Roman"/>
          <w:color w:val="000000" w:themeColor="text1"/>
          <w:spacing w:val="0"/>
          <w:sz w:val="16"/>
          <w:szCs w:val="16"/>
        </w:rPr>
        <w:t>ном соответствии с утвержденной</w:t>
      </w:r>
      <w:r w:rsidRPr="00722885">
        <w:rPr>
          <w:rStyle w:val="0pt1"/>
          <w:rFonts w:eastAsia="Arial Narrow"/>
          <w:b w:val="0"/>
          <w:color w:val="000000" w:themeColor="text1"/>
          <w:spacing w:val="0"/>
          <w:sz w:val="16"/>
          <w:szCs w:val="16"/>
        </w:rPr>
        <w:t xml:space="preserve"> методикой </w:t>
      </w:r>
      <w:r w:rsidRPr="00722885">
        <w:rPr>
          <w:rFonts w:ascii="Times New Roman" w:cs="Times New Roman"/>
          <w:color w:val="000000" w:themeColor="text1"/>
          <w:spacing w:val="0"/>
          <w:sz w:val="16"/>
          <w:szCs w:val="16"/>
        </w:rPr>
        <w:t>полигонных испытаний авиационной</w:t>
      </w:r>
      <w:r w:rsidRPr="00722885">
        <w:rPr>
          <w:rStyle w:val="0pt1"/>
          <w:rFonts w:eastAsia="Arial Narrow"/>
          <w:b w:val="0"/>
          <w:color w:val="000000" w:themeColor="text1"/>
          <w:spacing w:val="0"/>
          <w:sz w:val="16"/>
          <w:szCs w:val="16"/>
        </w:rPr>
        <w:t xml:space="preserve"> брони. </w:t>
      </w:r>
      <w:r w:rsidRPr="00722885">
        <w:rPr>
          <w:rFonts w:ascii="Times New Roman" w:cs="Times New Roman"/>
          <w:color w:val="000000" w:themeColor="text1"/>
          <w:spacing w:val="0"/>
          <w:sz w:val="16"/>
          <w:szCs w:val="16"/>
        </w:rPr>
        <w:t>При стрельбе по нормали учитывались</w:t>
      </w:r>
      <w:r w:rsidRPr="00722885">
        <w:rPr>
          <w:rStyle w:val="0pt1"/>
          <w:rFonts w:eastAsia="Arial Narrow"/>
          <w:b w:val="0"/>
          <w:color w:val="000000" w:themeColor="text1"/>
          <w:spacing w:val="0"/>
          <w:sz w:val="16"/>
          <w:szCs w:val="16"/>
        </w:rPr>
        <w:t xml:space="preserve"> лишь </w:t>
      </w:r>
      <w:r w:rsidRPr="00722885">
        <w:rPr>
          <w:rFonts w:ascii="Times New Roman" w:cs="Times New Roman"/>
          <w:color w:val="000000" w:themeColor="text1"/>
          <w:spacing w:val="0"/>
          <w:sz w:val="16"/>
          <w:szCs w:val="16"/>
        </w:rPr>
        <w:t>те попадания, которые укладывались в</w:t>
      </w:r>
      <w:r w:rsidRPr="00722885">
        <w:rPr>
          <w:rStyle w:val="0pt1"/>
          <w:rFonts w:eastAsia="Arial Narrow"/>
          <w:b w:val="0"/>
          <w:color w:val="000000" w:themeColor="text1"/>
          <w:spacing w:val="0"/>
          <w:sz w:val="16"/>
          <w:szCs w:val="16"/>
        </w:rPr>
        <w:t xml:space="preserve"> полосу </w:t>
      </w:r>
      <w:r w:rsidRPr="00722885">
        <w:rPr>
          <w:rFonts w:ascii="Times New Roman" w:cs="Times New Roman"/>
          <w:color w:val="000000" w:themeColor="text1"/>
          <w:spacing w:val="0"/>
          <w:sz w:val="16"/>
          <w:szCs w:val="16"/>
        </w:rPr>
        <w:t>шириной 100 мм, что обеспечивало</w:t>
      </w:r>
      <w:r w:rsidRPr="00722885">
        <w:rPr>
          <w:rStyle w:val="0pt1"/>
          <w:rFonts w:eastAsia="Arial Narrow"/>
          <w:b w:val="0"/>
          <w:color w:val="000000" w:themeColor="text1"/>
          <w:spacing w:val="0"/>
          <w:sz w:val="16"/>
          <w:szCs w:val="16"/>
        </w:rPr>
        <w:t xml:space="preserve"> точность </w:t>
      </w:r>
      <w:r w:rsidRPr="00722885">
        <w:rPr>
          <w:rFonts w:ascii="Times New Roman" w:cs="Times New Roman"/>
          <w:color w:val="000000" w:themeColor="text1"/>
          <w:spacing w:val="0"/>
          <w:sz w:val="16"/>
          <w:szCs w:val="16"/>
        </w:rPr>
        <w:t>измерения угла встречи боеприпаса</w:t>
      </w:r>
      <w:r w:rsidRPr="00722885">
        <w:rPr>
          <w:rStyle w:val="0pt1"/>
          <w:rFonts w:eastAsia="Arial Narrow"/>
          <w:b w:val="0"/>
          <w:color w:val="000000" w:themeColor="text1"/>
          <w:spacing w:val="0"/>
          <w:sz w:val="16"/>
          <w:szCs w:val="16"/>
        </w:rPr>
        <w:t xml:space="preserve"> с броней </w:t>
      </w:r>
      <w:r w:rsidRPr="00722885">
        <w:rPr>
          <w:rFonts w:ascii="Times New Roman" w:cs="Times New Roman"/>
          <w:color w:val="000000" w:themeColor="text1"/>
          <w:spacing w:val="0"/>
          <w:sz w:val="16"/>
          <w:szCs w:val="16"/>
        </w:rPr>
        <w:t>в пределах 5° при обстреле под углами, отлич</w:t>
      </w:r>
      <w:r w:rsidRPr="00722885">
        <w:rPr>
          <w:rFonts w:ascii="Times New Roman" w:cs="Times New Roman"/>
          <w:color w:val="000000" w:themeColor="text1"/>
          <w:spacing w:val="0"/>
          <w:sz w:val="16"/>
          <w:szCs w:val="16"/>
        </w:rPr>
        <w:softHyphen/>
        <w:t xml:space="preserve">ными от нормали. Угол встречи отсчитывался </w:t>
      </w:r>
      <w:r w:rsidRPr="00722885">
        <w:rPr>
          <w:rStyle w:val="aff6"/>
          <w:rFonts w:ascii="Times New Roman" w:eastAsia="Arial Narrow" w:hAnsi="Times New Roman" w:cs="Times New Roman"/>
          <w:i w:val="0"/>
          <w:color w:val="000000" w:themeColor="text1"/>
          <w:spacing w:val="0"/>
        </w:rPr>
        <w:t>«между линией прицеливания и нормалью к поверхности детали, наклон которой осу</w:t>
      </w:r>
      <w:r w:rsidRPr="00722885">
        <w:rPr>
          <w:rStyle w:val="aff6"/>
          <w:rFonts w:ascii="Times New Roman" w:eastAsia="Arial Narrow" w:hAnsi="Times New Roman" w:cs="Times New Roman"/>
          <w:i w:val="0"/>
          <w:color w:val="000000" w:themeColor="text1"/>
          <w:spacing w:val="0"/>
        </w:rPr>
        <w:softHyphen/>
        <w:t>ществлялся в вертикальной плоскости».</w:t>
      </w:r>
    </w:p>
    <w:p w14:paraId="63CA4778"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ходе испытаний было установлено, что гомогенная броня марки ХД, применяемая в качестве основной (твердость 2,8-2,9 по Бринеллю), давала трещины и обладала понижен</w:t>
      </w:r>
      <w:r w:rsidRPr="00722885">
        <w:rPr>
          <w:rFonts w:ascii="Times New Roman" w:cs="Times New Roman"/>
          <w:color w:val="000000" w:themeColor="text1"/>
          <w:spacing w:val="0"/>
          <w:sz w:val="16"/>
          <w:szCs w:val="16"/>
        </w:rPr>
        <w:softHyphen/>
        <w:t>ной стойкостью по сравнению с гомогенной броней АБ-2 с более низкой твердостью (2,9- 3,1 по Бринеллю). То же самое наблюдалось и при использовании АБ-2 в качестве основной брони.</w:t>
      </w:r>
    </w:p>
    <w:p w14:paraId="6224C419"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Делался вывод, что</w:t>
      </w:r>
      <w:r w:rsidRPr="00722885">
        <w:rPr>
          <w:rStyle w:val="aff6"/>
          <w:rFonts w:ascii="Times New Roman" w:eastAsia="Arial Narrow" w:hAnsi="Times New Roman" w:cs="Times New Roman"/>
          <w:i w:val="0"/>
          <w:color w:val="000000" w:themeColor="text1"/>
          <w:spacing w:val="0"/>
        </w:rPr>
        <w:t xml:space="preserve"> «решающим фактором в экранированной системе является прочность основной брони и во вторую очередь - марка брони».</w:t>
      </w:r>
      <w:r w:rsidRPr="00722885">
        <w:rPr>
          <w:rFonts w:ascii="Times New Roman" w:cs="Times New Roman"/>
          <w:color w:val="000000" w:themeColor="text1"/>
          <w:spacing w:val="0"/>
          <w:sz w:val="16"/>
          <w:szCs w:val="16"/>
        </w:rPr>
        <w:t xml:space="preserve"> При этом хромомолибденовая сталь в силу сравнительно высокого содержания в ней хрома (до 2,8%) не могла обеспечить необхо</w:t>
      </w:r>
      <w:r w:rsidRPr="00722885">
        <w:rPr>
          <w:rFonts w:ascii="Times New Roman" w:cs="Times New Roman"/>
          <w:color w:val="000000" w:themeColor="text1"/>
          <w:spacing w:val="0"/>
          <w:sz w:val="16"/>
          <w:szCs w:val="16"/>
        </w:rPr>
        <w:softHyphen/>
        <w:t>димую вязкость при одновременной достаточ</w:t>
      </w:r>
      <w:r w:rsidRPr="00722885">
        <w:rPr>
          <w:rFonts w:ascii="Times New Roman" w:cs="Times New Roman"/>
          <w:color w:val="000000" w:themeColor="text1"/>
          <w:spacing w:val="0"/>
          <w:sz w:val="16"/>
          <w:szCs w:val="16"/>
        </w:rPr>
        <w:softHyphen/>
        <w:t>ной прочности. Как следствие, имели место хрупкие разрушения брони. С этой точки зре</w:t>
      </w:r>
      <w:r w:rsidRPr="00722885">
        <w:rPr>
          <w:rFonts w:ascii="Times New Roman" w:cs="Times New Roman"/>
          <w:color w:val="000000" w:themeColor="text1"/>
          <w:spacing w:val="0"/>
          <w:sz w:val="16"/>
          <w:szCs w:val="16"/>
        </w:rPr>
        <w:softHyphen/>
        <w:t xml:space="preserve">ния для основной брони весьма желательна была бы АБ-1 с содержанием </w:t>
      </w:r>
      <w:r w:rsidRPr="00722885">
        <w:rPr>
          <w:rFonts w:ascii="Times New Roman" w:cs="Times New Roman"/>
          <w:color w:val="000000" w:themeColor="text1"/>
          <w:spacing w:val="0"/>
          <w:sz w:val="16"/>
          <w:szCs w:val="16"/>
        </w:rPr>
        <w:lastRenderedPageBreak/>
        <w:t>никеля до 4,5%, но ее уже два года как сняли с производства. Броневая система валового производства в качестве экранированной обладала весьма высокой живучестью при обстреле пулями ка</w:t>
      </w:r>
      <w:r w:rsidRPr="00722885">
        <w:rPr>
          <w:rFonts w:ascii="Times New Roman" w:cs="Times New Roman"/>
          <w:color w:val="000000" w:themeColor="text1"/>
          <w:spacing w:val="0"/>
          <w:sz w:val="16"/>
          <w:szCs w:val="16"/>
        </w:rPr>
        <w:softHyphen/>
        <w:t>либра 15 мм. Несмотря на большое количество (до 20) поражений 15-мм пулями бронеспинок, на них не обнаружили ни одного случая хруп</w:t>
      </w:r>
      <w:r w:rsidRPr="00722885">
        <w:rPr>
          <w:rFonts w:ascii="Times New Roman" w:cs="Times New Roman"/>
          <w:color w:val="000000" w:themeColor="text1"/>
          <w:spacing w:val="0"/>
          <w:sz w:val="16"/>
          <w:szCs w:val="16"/>
        </w:rPr>
        <w:softHyphen/>
        <w:t>ких разрушений, т.е. трещин.</w:t>
      </w:r>
    </w:p>
    <w:p w14:paraId="3783D670"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Как отмечалось в отчете, при увеличении расстояния между экраном и основной броней до 800-850 мм и выше бронестойкость экран</w:t>
      </w:r>
      <w:r w:rsidRPr="00722885">
        <w:rPr>
          <w:rFonts w:ascii="Times New Roman" w:cs="Times New Roman"/>
          <w:color w:val="000000" w:themeColor="text1"/>
          <w:spacing w:val="0"/>
          <w:sz w:val="16"/>
          <w:szCs w:val="16"/>
        </w:rPr>
        <w:softHyphen/>
        <w:t>ной системы резко возрастала,</w:t>
      </w:r>
      <w:r w:rsidRPr="00722885">
        <w:rPr>
          <w:rStyle w:val="aff6"/>
          <w:rFonts w:ascii="Times New Roman" w:eastAsia="Arial Narrow" w:hAnsi="Times New Roman" w:cs="Times New Roman"/>
          <w:i w:val="0"/>
          <w:color w:val="000000" w:themeColor="text1"/>
          <w:spacing w:val="0"/>
        </w:rPr>
        <w:t xml:space="preserve"> «причем коле</w:t>
      </w:r>
      <w:r w:rsidRPr="00722885">
        <w:rPr>
          <w:rStyle w:val="aff6"/>
          <w:rFonts w:ascii="Times New Roman" w:eastAsia="Arial Narrow" w:hAnsi="Times New Roman" w:cs="Times New Roman"/>
          <w:i w:val="0"/>
          <w:color w:val="000000" w:themeColor="text1"/>
          <w:spacing w:val="0"/>
        </w:rPr>
        <w:softHyphen/>
        <w:t>бания расстояния до этих пределов практиче</w:t>
      </w:r>
      <w:r w:rsidRPr="00722885">
        <w:rPr>
          <w:rStyle w:val="aff6"/>
          <w:rFonts w:ascii="Times New Roman" w:eastAsia="Arial Narrow" w:hAnsi="Times New Roman" w:cs="Times New Roman"/>
          <w:i w:val="0"/>
          <w:color w:val="000000" w:themeColor="text1"/>
          <w:spacing w:val="0"/>
        </w:rPr>
        <w:softHyphen/>
        <w:t>ски не влияют на изменение бронестойкости экранированной брони».</w:t>
      </w:r>
      <w:r w:rsidRPr="00722885">
        <w:rPr>
          <w:rFonts w:ascii="Times New Roman" w:cs="Times New Roman"/>
          <w:color w:val="000000" w:themeColor="text1"/>
          <w:spacing w:val="0"/>
          <w:sz w:val="16"/>
          <w:szCs w:val="16"/>
        </w:rPr>
        <w:t xml:space="preserve"> Однако применять на боевых самолетах такой вариант экраниро</w:t>
      </w:r>
      <w:r w:rsidRPr="00722885">
        <w:rPr>
          <w:rFonts w:ascii="Times New Roman" w:cs="Times New Roman"/>
          <w:color w:val="000000" w:themeColor="text1"/>
          <w:spacing w:val="0"/>
          <w:sz w:val="16"/>
          <w:szCs w:val="16"/>
        </w:rPr>
        <w:softHyphen/>
        <w:t>ванной брони практически было невозможно. Целесообразным считалось устанавливать экран на расстоянии от основной брони</w:t>
      </w:r>
      <w:r w:rsidRPr="00722885">
        <w:rPr>
          <w:rStyle w:val="aff6"/>
          <w:rFonts w:ascii="Times New Roman" w:eastAsia="Arial Narrow" w:hAnsi="Times New Roman" w:cs="Times New Roman"/>
          <w:i w:val="0"/>
          <w:color w:val="000000" w:themeColor="text1"/>
          <w:spacing w:val="0"/>
        </w:rPr>
        <w:t xml:space="preserve"> «около 1,5 калибра пули для свободного прохождения осколков между ними».</w:t>
      </w:r>
    </w:p>
    <w:p w14:paraId="57C65AFB"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Наилучшие результаты с точки зрения бро</w:t>
      </w:r>
      <w:r w:rsidRPr="00722885">
        <w:rPr>
          <w:rFonts w:ascii="Times New Roman" w:cs="Times New Roman"/>
          <w:color w:val="000000" w:themeColor="text1"/>
          <w:spacing w:val="0"/>
          <w:sz w:val="16"/>
          <w:szCs w:val="16"/>
        </w:rPr>
        <w:softHyphen/>
        <w:t>нестойкости и веса показала экранированная система в составе 8-мм экрана из цементован</w:t>
      </w:r>
      <w:r w:rsidRPr="00722885">
        <w:rPr>
          <w:rFonts w:ascii="Times New Roman" w:cs="Times New Roman"/>
          <w:color w:val="000000" w:themeColor="text1"/>
          <w:spacing w:val="0"/>
          <w:sz w:val="16"/>
          <w:szCs w:val="16"/>
        </w:rPr>
        <w:softHyphen/>
        <w:t>ной брони валового производства марки ХД(ц) и 8-мм основной гомогенной брони марки АБ-2 (твердость 2,9-3,1 по Бринеллю). Такая система не пробивалась 15-мм бронебойной пулей с 200 м по нормали и со 100 м - под углом</w:t>
      </w:r>
      <w:r w:rsidRPr="00722885">
        <w:rPr>
          <w:rStyle w:val="aff6"/>
          <w:rFonts w:ascii="Times New Roman" w:eastAsia="Arial Narrow" w:hAnsi="Times New Roman" w:cs="Times New Roman"/>
          <w:i w:val="0"/>
          <w:color w:val="000000" w:themeColor="text1"/>
          <w:spacing w:val="0"/>
        </w:rPr>
        <w:t xml:space="preserve"> 20-25° от</w:t>
      </w:r>
      <w:r w:rsidRPr="00722885">
        <w:rPr>
          <w:rFonts w:ascii="Times New Roman" w:cs="Times New Roman"/>
          <w:color w:val="000000" w:themeColor="text1"/>
          <w:spacing w:val="0"/>
          <w:sz w:val="16"/>
          <w:szCs w:val="16"/>
        </w:rPr>
        <w:t xml:space="preserve"> нормали, а бронебойно-осга</w:t>
      </w:r>
      <w:r w:rsidRPr="00722885">
        <w:rPr>
          <w:rFonts w:ascii="Times New Roman" w:cs="Times New Roman"/>
          <w:color w:val="000000" w:themeColor="text1"/>
          <w:spacing w:val="0"/>
          <w:sz w:val="16"/>
          <w:szCs w:val="16"/>
        </w:rPr>
        <w:softHyphen/>
        <w:t>лочный снаряд калибра 20 мм удерживался при стрельбе с 50 м по нормали.</w:t>
      </w:r>
    </w:p>
    <w:p w14:paraId="6F9D3648"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При условии равной бронестойкости с це</w:t>
      </w:r>
      <w:r w:rsidRPr="00722885">
        <w:rPr>
          <w:rFonts w:ascii="Times New Roman" w:cs="Times New Roman"/>
          <w:color w:val="000000" w:themeColor="text1"/>
          <w:spacing w:val="0"/>
          <w:sz w:val="16"/>
          <w:szCs w:val="16"/>
        </w:rPr>
        <w:softHyphen/>
        <w:t>ментованной и гомогенной броней экраниро</w:t>
      </w:r>
      <w:r w:rsidRPr="00722885">
        <w:rPr>
          <w:rFonts w:ascii="Times New Roman" w:cs="Times New Roman"/>
          <w:color w:val="000000" w:themeColor="text1"/>
          <w:spacing w:val="0"/>
          <w:sz w:val="16"/>
          <w:szCs w:val="16"/>
        </w:rPr>
        <w:softHyphen/>
        <w:t>ванная броня позволяла получить некоторую экономию веса. Например, цементованная броня с дистанции 200 м «держала» 15-мм бронебойную пулю только при толщине 20 мм (поданным завода №125 и ВИАМ е при 25 мм), а гомогенная броня - при толщине 23-24 мм (по данным НИИ-48 в 1942 г. - при 30 мм). По</w:t>
      </w:r>
      <w:r w:rsidRPr="00722885">
        <w:rPr>
          <w:rFonts w:ascii="Times New Roman" w:cs="Times New Roman"/>
          <w:color w:val="000000" w:themeColor="text1"/>
          <w:spacing w:val="0"/>
          <w:sz w:val="16"/>
          <w:szCs w:val="16"/>
        </w:rPr>
        <w:softHyphen/>
        <w:t xml:space="preserve">вышение защищенности экипажа серийных самолетов рекомендовалось обеспечивать </w:t>
      </w:r>
      <w:r w:rsidRPr="00722885">
        <w:rPr>
          <w:rStyle w:val="aff6"/>
          <w:rFonts w:ascii="Times New Roman" w:eastAsia="Arial Narrow" w:hAnsi="Times New Roman" w:cs="Times New Roman"/>
          <w:i w:val="0"/>
          <w:color w:val="000000" w:themeColor="text1"/>
          <w:spacing w:val="0"/>
        </w:rPr>
        <w:t>«путем установки позади летчика второй ана</w:t>
      </w:r>
      <w:r w:rsidRPr="00722885">
        <w:rPr>
          <w:rStyle w:val="aff6"/>
          <w:rFonts w:ascii="Times New Roman" w:eastAsia="Arial Narrow" w:hAnsi="Times New Roman" w:cs="Times New Roman"/>
          <w:i w:val="0"/>
          <w:color w:val="000000" w:themeColor="text1"/>
          <w:spacing w:val="0"/>
        </w:rPr>
        <w:softHyphen/>
        <w:t>логичной спинки, изготовленной из гомоген</w:t>
      </w:r>
      <w:r w:rsidRPr="00722885">
        <w:rPr>
          <w:rStyle w:val="aff6"/>
          <w:rFonts w:ascii="Times New Roman" w:eastAsia="Arial Narrow" w:hAnsi="Times New Roman" w:cs="Times New Roman"/>
          <w:i w:val="0"/>
          <w:color w:val="000000" w:themeColor="text1"/>
          <w:spacing w:val="0"/>
        </w:rPr>
        <w:softHyphen/>
        <w:t>ной брони марки АБ-2».</w:t>
      </w:r>
    </w:p>
    <w:p w14:paraId="7D3865F5"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заключение отчета по испытаниям от 26 августа 1943 г. указывалось:</w:t>
      </w:r>
    </w:p>
    <w:p w14:paraId="77AC674E" w14:textId="77777777" w:rsidR="00013C97" w:rsidRPr="00722885" w:rsidRDefault="00013C97"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«1) Считать целесообразным применение экранной брони на самолетах ВВС КА для за</w:t>
      </w:r>
      <w:r w:rsidRPr="00722885">
        <w:rPr>
          <w:rFonts w:ascii="Times New Roman" w:cs="Times New Roman"/>
          <w:color w:val="000000" w:themeColor="text1"/>
          <w:sz w:val="16"/>
          <w:szCs w:val="16"/>
        </w:rPr>
        <w:softHyphen/>
        <w:t>щиты от бронебойных пуль калибра 15 мм и рекомендовать конструкторам для широкого использования.</w:t>
      </w:r>
    </w:p>
    <w:p w14:paraId="2C040C8E" w14:textId="77777777" w:rsidR="00013C97" w:rsidRPr="00722885" w:rsidRDefault="00013C97"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2) Просить НКАП обязать з-д 207 и ВИАМ:</w:t>
      </w:r>
    </w:p>
    <w:p w14:paraId="326268BF" w14:textId="77777777" w:rsidR="00013C97" w:rsidRPr="00722885" w:rsidRDefault="00013C97" w:rsidP="00722885">
      <w:pPr>
        <w:pStyle w:val="45"/>
        <w:shd w:val="clear" w:color="auto" w:fill="auto"/>
        <w:tabs>
          <w:tab w:val="left" w:pos="519"/>
        </w:tabs>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а) отработать экранированную систему для защиты от снарядов калибра 20 мм;</w:t>
      </w:r>
    </w:p>
    <w:p w14:paraId="045933F8" w14:textId="77777777" w:rsidR="00013C97" w:rsidRPr="00722885" w:rsidRDefault="00013C97" w:rsidP="00722885">
      <w:pPr>
        <w:pStyle w:val="45"/>
        <w:shd w:val="clear" w:color="auto" w:fill="auto"/>
        <w:tabs>
          <w:tab w:val="left" w:pos="486"/>
        </w:tabs>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б) отработать экранную броню с гомоген</w:t>
      </w:r>
      <w:r w:rsidRPr="00722885">
        <w:rPr>
          <w:rFonts w:ascii="Times New Roman" w:cs="Times New Roman"/>
          <w:color w:val="000000" w:themeColor="text1"/>
          <w:sz w:val="16"/>
          <w:szCs w:val="16"/>
        </w:rPr>
        <w:softHyphen/>
        <w:t>ным экраном до 1 декабря 1943 г.».</w:t>
      </w:r>
    </w:p>
    <w:p w14:paraId="6D2B56A1" w14:textId="77777777" w:rsidR="00013C97" w:rsidRPr="00722885" w:rsidRDefault="00013C97" w:rsidP="00722885">
      <w:pPr>
        <w:pStyle w:val="45"/>
        <w:shd w:val="clear" w:color="auto" w:fill="auto"/>
        <w:spacing w:before="0" w:line="240" w:lineRule="auto"/>
        <w:jc w:val="both"/>
        <w:rPr>
          <w:rFonts w:ascii="Times New Roman" w:cs="Times New Roman"/>
          <w:color w:val="000000" w:themeColor="text1"/>
          <w:sz w:val="16"/>
          <w:szCs w:val="16"/>
        </w:rPr>
      </w:pPr>
      <w:r w:rsidRPr="00722885">
        <w:rPr>
          <w:rStyle w:val="4f0"/>
          <w:rFonts w:ascii="Times New Roman" w:hAnsi="Times New Roman" w:cs="Times New Roman"/>
          <w:i w:val="0"/>
          <w:color w:val="000000" w:themeColor="text1"/>
          <w:sz w:val="16"/>
          <w:szCs w:val="16"/>
        </w:rPr>
        <w:t>Включение в программу отработку экрани</w:t>
      </w:r>
      <w:r w:rsidRPr="00722885">
        <w:rPr>
          <w:rStyle w:val="4f0"/>
          <w:rFonts w:ascii="Times New Roman" w:hAnsi="Times New Roman" w:cs="Times New Roman"/>
          <w:i w:val="0"/>
          <w:color w:val="000000" w:themeColor="text1"/>
          <w:sz w:val="16"/>
          <w:szCs w:val="16"/>
        </w:rPr>
        <w:softHyphen/>
        <w:t>рованной системы с гомогенным экраном объ</w:t>
      </w:r>
      <w:r w:rsidRPr="00722885">
        <w:rPr>
          <w:rStyle w:val="4f0"/>
          <w:rFonts w:ascii="Times New Roman" w:hAnsi="Times New Roman" w:cs="Times New Roman"/>
          <w:i w:val="0"/>
          <w:color w:val="000000" w:themeColor="text1"/>
          <w:sz w:val="16"/>
          <w:szCs w:val="16"/>
        </w:rPr>
        <w:softHyphen/>
        <w:t>яснялось возможной</w:t>
      </w:r>
      <w:r w:rsidRPr="00722885">
        <w:rPr>
          <w:rFonts w:ascii="Times New Roman" w:cs="Times New Roman"/>
          <w:color w:val="000000" w:themeColor="text1"/>
          <w:sz w:val="16"/>
          <w:szCs w:val="16"/>
        </w:rPr>
        <w:t xml:space="preserve"> «перспективой отказа от цементации деталей как наиболее энергоем</w:t>
      </w:r>
      <w:r w:rsidRPr="00722885">
        <w:rPr>
          <w:rFonts w:ascii="Times New Roman" w:cs="Times New Roman"/>
          <w:color w:val="000000" w:themeColor="text1"/>
          <w:sz w:val="16"/>
          <w:szCs w:val="16"/>
        </w:rPr>
        <w:softHyphen/>
        <w:t>кой технологической операции в случае незна</w:t>
      </w:r>
      <w:r w:rsidRPr="00722885">
        <w:rPr>
          <w:rFonts w:ascii="Times New Roman" w:cs="Times New Roman"/>
          <w:color w:val="000000" w:themeColor="text1"/>
          <w:sz w:val="16"/>
          <w:szCs w:val="16"/>
        </w:rPr>
        <w:softHyphen/>
        <w:t>чительного снижения бронестойкости, против цементованного экрана».</w:t>
      </w:r>
      <w:r w:rsidRPr="00722885">
        <w:rPr>
          <w:rStyle w:val="4f0"/>
          <w:rFonts w:ascii="Times New Roman" w:hAnsi="Times New Roman" w:cs="Times New Roman"/>
          <w:i w:val="0"/>
          <w:color w:val="000000" w:themeColor="text1"/>
          <w:sz w:val="16"/>
          <w:szCs w:val="16"/>
        </w:rPr>
        <w:t xml:space="preserve"> Кроме того, пред</w:t>
      </w:r>
      <w:r w:rsidRPr="00722885">
        <w:rPr>
          <w:rStyle w:val="4f0"/>
          <w:rFonts w:ascii="Times New Roman" w:hAnsi="Times New Roman" w:cs="Times New Roman"/>
          <w:i w:val="0"/>
          <w:color w:val="000000" w:themeColor="text1"/>
          <w:sz w:val="16"/>
          <w:szCs w:val="16"/>
        </w:rPr>
        <w:softHyphen/>
        <w:t>лагалось</w:t>
      </w:r>
      <w:r w:rsidRPr="00722885">
        <w:rPr>
          <w:rFonts w:ascii="Times New Roman" w:cs="Times New Roman"/>
          <w:color w:val="000000" w:themeColor="text1"/>
          <w:sz w:val="16"/>
          <w:szCs w:val="16"/>
        </w:rPr>
        <w:t xml:space="preserve"> «изучить весь комплекс проблем, связанных с разработкой экранной брони, что отнюдь не предполагает необходимостинемедленного его принятия для использова</w:t>
      </w:r>
      <w:r w:rsidRPr="00722885">
        <w:rPr>
          <w:rFonts w:ascii="Times New Roman" w:cs="Times New Roman"/>
          <w:color w:val="000000" w:themeColor="text1"/>
          <w:sz w:val="16"/>
          <w:szCs w:val="16"/>
        </w:rPr>
        <w:softHyphen/>
        <w:t>ния на самолетах».</w:t>
      </w:r>
    </w:p>
    <w:p w14:paraId="32A75EC4" w14:textId="77777777" w:rsidR="00013C97" w:rsidRPr="00722885" w:rsidRDefault="00013C9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Генерал-полковник А.К. Репин весьма тща</w:t>
      </w:r>
      <w:r w:rsidRPr="00722885">
        <w:rPr>
          <w:rFonts w:ascii="Times New Roman" w:cs="Times New Roman"/>
          <w:color w:val="000000" w:themeColor="text1"/>
          <w:spacing w:val="0"/>
          <w:sz w:val="16"/>
          <w:szCs w:val="16"/>
        </w:rPr>
        <w:softHyphen/>
        <w:t>тельно подошел к вопросу утверждения ма</w:t>
      </w:r>
      <w:r w:rsidRPr="00722885">
        <w:rPr>
          <w:rFonts w:ascii="Times New Roman" w:cs="Times New Roman"/>
          <w:color w:val="000000" w:themeColor="text1"/>
          <w:spacing w:val="0"/>
          <w:sz w:val="16"/>
          <w:szCs w:val="16"/>
        </w:rPr>
        <w:softHyphen/>
        <w:t>териалов отчета. Свою подпись он поставил лишь спустя месяц - 24 сентября 1943 г., после нескольких итераций согласования как самих результатов испытаний, так и</w:t>
      </w:r>
      <w:r w:rsidRPr="00722885">
        <w:rPr>
          <w:rStyle w:val="aff6"/>
          <w:rFonts w:ascii="Times New Roman" w:eastAsia="Arial Narrow" w:hAnsi="Times New Roman" w:cs="Times New Roman"/>
          <w:i w:val="0"/>
          <w:color w:val="000000" w:themeColor="text1"/>
          <w:spacing w:val="0"/>
        </w:rPr>
        <w:t xml:space="preserve"> их</w:t>
      </w:r>
      <w:r w:rsidRPr="00722885">
        <w:rPr>
          <w:rFonts w:ascii="Times New Roman" w:cs="Times New Roman"/>
          <w:color w:val="000000" w:themeColor="text1"/>
          <w:spacing w:val="0"/>
          <w:sz w:val="16"/>
          <w:szCs w:val="16"/>
        </w:rPr>
        <w:t xml:space="preserve"> трактовки. Несмотря на положительное заключение НИИ ВВС, Наркомат авиационной промышленности «взял паузу» (15778).</w:t>
      </w:r>
    </w:p>
    <w:p w14:paraId="59EB5DD8" w14:textId="77777777" w:rsidR="00013C97" w:rsidRPr="00722885" w:rsidRDefault="00013C97" w:rsidP="00722885">
      <w:pPr>
        <w:spacing w:after="0" w:line="240" w:lineRule="auto"/>
        <w:jc w:val="both"/>
        <w:rPr>
          <w:rFonts w:ascii="Times New Roman" w:hAnsi="Times New Roman"/>
          <w:color w:val="000000" w:themeColor="text1"/>
          <w:sz w:val="16"/>
          <w:szCs w:val="16"/>
        </w:rPr>
      </w:pPr>
    </w:p>
    <w:p w14:paraId="357BFCB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декабря 1942 г. гл. конструктором завода N 500 Чаромским А.Д. с письмом за N 723с направил в ОКБ С.В.И. чертежи и основные данные дизель-мотора М-30В, выбранного ОКБ для проектируемых транспортных самолетов с герметической кабиной (2562,31).</w:t>
      </w:r>
    </w:p>
    <w:p w14:paraId="709BAD42" w14:textId="77777777" w:rsidR="00BB6316" w:rsidRPr="00722885" w:rsidRDefault="00BB6316" w:rsidP="00722885">
      <w:pPr>
        <w:pStyle w:val="Iauiue"/>
        <w:jc w:val="both"/>
        <w:rPr>
          <w:color w:val="000000" w:themeColor="text1"/>
          <w:sz w:val="16"/>
          <w:szCs w:val="16"/>
        </w:rPr>
      </w:pPr>
    </w:p>
    <w:p w14:paraId="1F52AB9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декабря 1942 вышел приказ по ВВС и НКАП N 0246/875с:</w:t>
      </w:r>
    </w:p>
    <w:p w14:paraId="418CDDC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Нач. НИИ ВВС Лосюкову организовать и провести эксплуатационные испытания авиасвечей:</w:t>
      </w:r>
    </w:p>
    <w:p w14:paraId="5424D7A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СВ-20, ВГ-4, СК-06 на Ил-2 с АМ-38</w:t>
      </w:r>
    </w:p>
    <w:p w14:paraId="24733DD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ВГ-12, ВГ-27 и СК-07 на Ла-5 с М-82 (1622,51).</w:t>
      </w:r>
    </w:p>
    <w:p w14:paraId="74188F89" w14:textId="77777777" w:rsidR="00BB6316" w:rsidRPr="00722885" w:rsidRDefault="00BB6316" w:rsidP="00722885">
      <w:pPr>
        <w:pStyle w:val="Iauiue"/>
        <w:jc w:val="both"/>
        <w:rPr>
          <w:color w:val="000000" w:themeColor="text1"/>
          <w:sz w:val="16"/>
          <w:szCs w:val="16"/>
        </w:rPr>
      </w:pPr>
    </w:p>
    <w:p w14:paraId="6D47759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декабря 1942 на Ил-2 со стрелковой установкой под УБ 1277 мм конструкции и изготовления завода 481, установленной ГК С.В.И., который с 8 декабря 1942 находился на ЛИС завода 30, проводили стрельбу на проверку автоматики пулемета и установки. Это было начало заводских испытаний (2179,174).</w:t>
      </w:r>
    </w:p>
    <w:p w14:paraId="69767D83" w14:textId="77777777" w:rsidR="00BB6316" w:rsidRPr="00722885" w:rsidRDefault="00BB6316" w:rsidP="00722885">
      <w:pPr>
        <w:pStyle w:val="Iauiue"/>
        <w:jc w:val="both"/>
        <w:rPr>
          <w:color w:val="000000" w:themeColor="text1"/>
          <w:sz w:val="16"/>
          <w:szCs w:val="16"/>
        </w:rPr>
      </w:pPr>
    </w:p>
    <w:p w14:paraId="01BA073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8B2E5A0" w14:textId="77777777" w:rsidR="00BB6316" w:rsidRPr="00722885" w:rsidRDefault="00BB6316" w:rsidP="00722885">
      <w:pPr>
        <w:pStyle w:val="Iauiue"/>
        <w:jc w:val="both"/>
        <w:rPr>
          <w:iCs/>
          <w:color w:val="000000" w:themeColor="text1"/>
          <w:sz w:val="16"/>
          <w:szCs w:val="16"/>
        </w:rPr>
      </w:pPr>
    </w:p>
    <w:p w14:paraId="62200A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декабря 1942 вышло Распоряжение ГКО № 2609 Об отгрузке НКПСМ цемента СМУ № 1 НКБ. РГАНИР, Фонд ГКО, д. 72, лл. 147 (11012).</w:t>
      </w:r>
    </w:p>
    <w:p w14:paraId="024016D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FB8E203"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11 декабря 1942 вышло Постановление ГКО № 2610 О Горьковском заводе фрезерных станков. (7066, 148-149).</w:t>
      </w:r>
    </w:p>
    <w:p w14:paraId="22C377DE" w14:textId="77777777" w:rsidR="00BB6316" w:rsidRPr="00722885" w:rsidRDefault="00BB6316" w:rsidP="00722885">
      <w:pPr>
        <w:pStyle w:val="Iauiue"/>
        <w:tabs>
          <w:tab w:val="left" w:pos="11199"/>
        </w:tabs>
        <w:jc w:val="both"/>
        <w:rPr>
          <w:color w:val="000000" w:themeColor="text1"/>
          <w:sz w:val="16"/>
          <w:szCs w:val="16"/>
        </w:rPr>
      </w:pPr>
    </w:p>
    <w:p w14:paraId="3FDA43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декабря 1942 вышло Распоряжение ГКО № 2611 Об обработке задела проката 500 больших грузолент на заводе № 177 НКТП для НКВ. РГАНИР, Фонд ГКО, д. 72, лл. 150 (11012).</w:t>
      </w:r>
    </w:p>
    <w:p w14:paraId="336C075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261F882"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38768A6" w14:textId="77777777" w:rsidR="00BB6316" w:rsidRPr="00722885" w:rsidRDefault="00BB6316" w:rsidP="00722885">
      <w:pPr>
        <w:pStyle w:val="Iauiue"/>
        <w:jc w:val="both"/>
        <w:rPr>
          <w:iCs/>
          <w:color w:val="000000" w:themeColor="text1"/>
          <w:sz w:val="16"/>
          <w:szCs w:val="16"/>
        </w:rPr>
      </w:pPr>
    </w:p>
    <w:p w14:paraId="4CC65E7A"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11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712354AB"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11 декабря в районе Сталинграда и на Центральном фронте наши войска продолжали вести наступательные бои на прежних направлениях.</w:t>
      </w:r>
    </w:p>
    <w:p w14:paraId="737428F7"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подразделения, действуя мелкими группами, уничтожали дзоты и подавляли огневые точки противника. Разрушено до десятка вражеских укреплений вместе с их гарнизонами. На южной окраине города наши части, преодолевая упорное сопротивление противника, продвинулись вперёд. Истреблено до роты немецких солдат и офицеров, уничтожено 4 орудия, 9 пулемётови 3 миномёта.</w:t>
      </w:r>
    </w:p>
    <w:p w14:paraId="4A548DE1"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наступательные бои и отбивали контратаки противника. Подразделения под командованием тов. Сафонова ворвались в немецкие окопы. В рукопашном бою наши бойцы выбили немцев из занимаемых ими позиций. В окопах и траншеях осталось много убитых гитлеровцев. На другомучастке советские части отразили несколько контратак противника и уничтожили 7 танков и свыше батальона немецкой пехоты.</w:t>
      </w:r>
    </w:p>
    <w:p w14:paraId="28D3DE36"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Н-ская часть отразила контратаку немцев. Противник отступил, оставив на поле боя 166 трупов своих солдат и офицеров. На другом участке шесть наших бойцов и гвардии лейтенант Беззубик обороняли одну высоту. Рота пехоты противника несколько раз бросалась в атаку, но каждый разо ткатывалась обратно. Семь гвардейцев истребили до 80 гитлеровцев и отстояли занятый рубеж.</w:t>
      </w:r>
    </w:p>
    <w:p w14:paraId="63007F8D"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укрепляли занятые позиции и частью сил вели наступательные бои. В районе западнее Ржева советские части разгромили узел сопротивления гитлеровцев и уничтожили до двух рот немецкой пехоты. Захвачены 6 орудий, 27 пулемётов, радиостанция, 4 автомашины и другие трофеи. В районе Великих Лук немцы трижды атаковали позиции Н-ской части. Все атаки противника отбиты с большими для него потерями.</w:t>
      </w:r>
    </w:p>
    <w:p w14:paraId="252A3E6F"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за двадцать дней боевых действий истребил 970 вражеских солдат и офицеров. Партизаны уничтожили 5 немецких бронемашин, 17 грузовых автомашин, 22 пулемёта, взорвали 20 мостов и разгромили 2 железнодорожные станции. Партизаны захватили орудие, миномёт, 3 автомашины, 2 радиостанции, 20.000 патронов, много зерна и продуктов, награбленных немцами у населения. Большая часть отбитого у немцев продовольствия роздана населению.</w:t>
      </w:r>
    </w:p>
    <w:p w14:paraId="60A9E59D"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Известно, что экономика фашистской Германии напряжена до предела. Немецкое командование рассчитывало поправить свои дела за счёт промышленности в захваченных немцами советских районах. Однако эти планы гитлеровцев лопнули, как мыльный пузырь. Советские власти заблаговременно эвакуировали оборудование фабрик и заводов, шахт и рудников, а всё, что не могло быть вывезено, приведенов полную негодность. Таковы факты. Теперь вдруг гитлеровская пропаганда стала хвалиться экономическими успехами, якобы достигнутыми немцами в оккупированных советских районах. Так, через литовские радиостанции гитлеровцы передали, что «в восточных областях восстановлены ремонтные мастерские и другие предприятия. Один тракторный завод за непродолжительное время выпустил более 40.000 тракторов».Авторы этого сообщения уподобились лжецу из крыловской басни, который хвастал, что он в Риме видел огурец величиною с гору. Общеизвестно, что на территории, временно захваченной немецкими войсками, находился лишь один тракторный завод. Речь идёт о Харьковском заводе. Еще задолго до захвата города немцами всё оборудование завода было вывезено на восток. Много месяцев назад Харьковский тракторный завод на новом месте начал выпускать продукцию для Красной Армии. Отсюда совершенно ясно, что гитлеровцы не могли восстановить и не восстановили тракторного завода. Поэтому 40.000 якобы выпущенных тракторов существуют лишь в больном воображении гитлеровцев. Само собою разумеется, что на этих мифических тракторах ни возить, ни пахать нельзя.» (14857).</w:t>
      </w:r>
    </w:p>
    <w:p w14:paraId="70DAA833" w14:textId="77777777" w:rsidR="008E63F2" w:rsidRPr="00722885" w:rsidRDefault="008E63F2" w:rsidP="00722885">
      <w:pPr>
        <w:spacing w:after="0" w:line="240" w:lineRule="auto"/>
        <w:jc w:val="both"/>
        <w:rPr>
          <w:rFonts w:ascii="Times New Roman" w:hAnsi="Times New Roman"/>
          <w:color w:val="000000" w:themeColor="text1"/>
          <w:sz w:val="16"/>
          <w:szCs w:val="16"/>
        </w:rPr>
      </w:pPr>
    </w:p>
    <w:p w14:paraId="0F73A983"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11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633AB92A"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11 декабря наши войска в районе Сталинграда и на Центральном фронте продолжали вести наступательные бои на прежних направлениях.</w:t>
      </w:r>
    </w:p>
    <w:p w14:paraId="5EDE7166"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10 декабря в районе Сталинграда уничтожено 60 транспортных самолётов противника.</w:t>
      </w:r>
    </w:p>
    <w:p w14:paraId="16B13A89"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декабря частями нашей авиации на различных участках фронта уничтожено или повреждено 10 немецких танков, до 200 автомашин с войсками и грузами, подавлен огонь 7 артиллерийских батарей, разбито два железнодорожных состава, взорвано 2 склада боеприпасов и склад горючего, рассеяно и частью уничтожено до двух батальонов пехоты противника.</w:t>
      </w:r>
    </w:p>
    <w:p w14:paraId="281F6380"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заводском районе Сталинграда наши части вели огневой бой и разрушали дзотыи блиндажи противника. На южной окраине города бойцы подразделения, гдекомандиром тов. Черненко, окружили 6 вражеских дзотов и перебили находившихся вних гитлеровцев, оказавших сопротивление. В течение дня на разных участкахподбито 2 немецких танка, уничтожено 34 дзота и блиндажа и до 400 солдат иофицеров противника.</w:t>
      </w:r>
    </w:p>
    <w:p w14:paraId="5738F526"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левом берегу реки Дон, наши части отражали контратаки противника и вели разведку его позиций. Бойцы под командованием тов.Чистякова отбили пять вражеских контратак и отбросили немцев на исходные рубежи. Противник потерял в этом бою до двух рот пехоты и оставил на поле боя 3 подбитыхи 2 сожжённых танка. Па другом участке гитлеровцы атаковали наши позиции при поддержке 7 танков и 10 бронемашин. Огнём нашей артиллерии уничтожены бронемашина и все 7 наступавших немецких танков.</w:t>
      </w:r>
    </w:p>
    <w:p w14:paraId="3F218FDE"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частью сил вели активные боевые действия, а на других участках отражали вылазки разведывательных отрядов противника. Артиллеристы Н-ской части подавили огонь нескольких артиллерийских батарей, рассеяли и частью уничтожили скопление пехоты противника. Бойцы одной нашей стрелковой части ворвались в расположение немцев и в ожесточённой схватке истребили 180 вражеских солдат и офицеров. Захвачены 2 орудия, 9 пулемётов, 7 миномётов, 13 автомашин и склад боеприпасов.</w:t>
      </w:r>
    </w:p>
    <w:p w14:paraId="0599020E"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закреплялись на достигнутых рубежах и частью сил вели бои с пехотой и танками противника. В районе Ржева часть под командованием тов. Саломатина отбила несколько контратак немецкой пехоты. Измотав противника, наши бойцы атаковали врага и заняли ряд его опорных пунктов. В этом бою немцы потеряли убитыми несколько сот солдат и офицеров. Уничтожен 21 танк противника.</w:t>
      </w:r>
    </w:p>
    <w:p w14:paraId="59F094B9"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подразделения части, где командиром тов. Маслов, в результате ожесточённого боя заняли высоту, имеющую важное тактическое значение. Многократные контратаки немцев успеха не имели и кончились тем, что противник понёс большие потери в людях и технике.</w:t>
      </w:r>
    </w:p>
    <w:p w14:paraId="7D865B8A"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 подразделения за три дня уничтожили до 500 вражеских солдат и офицеров. Огнём артиллерии разрушено 24 дзота и блиндажа, уничтожены 2 орудия, 8 пулемётов и склад боеприпасов противника.</w:t>
      </w:r>
    </w:p>
    <w:p w14:paraId="2672B146"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отряда, действующего на Северном Кавказе, в бою с противником истребили 70 немецких солдат и 6 офицеров. Уничтожены легковая и 2 грузовые автомашины, 3 мотоцикла, разрушена телефонно-телеграфная линия связи на протяжении 8 километров. Партизаны другого отряда взорвали железнодорожный эшелон противника в составе 50 вагонов и 2 платформ.</w:t>
      </w:r>
    </w:p>
    <w:p w14:paraId="190792E3"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освобождённого от немецких оккупантов села Латошанка, Сталинградской области, составили акт о преступлениях гитлеровских мерзавцев. В акте говорится: «Немцы ограбили жителей села до нитки, отобрали у нас всё продовольствие, одежду, в том числе валенки, полушубки и другие вещи. Немецкие солдаты и офицеры врывались в дома, брали всё, что им попадалось на глаза. Гитлеровцы насильно угнали в тыл 95 жителей Латошанки, в том числе Татьяну Компаненкову и её семерых детей. Двух девушек фашистские изверги увезли в офицерский публичный дом». Акт подписали: Екатерина Мамонтова, Таисия Трегубова, Евдокия Хохтенко, Тамара Уланова и Анастасия Макарова.</w:t>
      </w:r>
    </w:p>
    <w:p w14:paraId="529ADABE"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Греческие партизаны взорвали мост на участке железной дороги Салоники—Афины. По этому пути ежедневно проходило несколько итало-немецких воинских эшелонов. Сейчас всякое движение поездов на этом участке прекращено.»</w:t>
      </w:r>
    </w:p>
    <w:p w14:paraId="19C6816B"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6F5FA9E7"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Трофеи наших войск и потери противника.</w:t>
      </w:r>
    </w:p>
    <w:p w14:paraId="4406006C"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Под Сталинградом.</w:t>
      </w:r>
    </w:p>
    <w:p w14:paraId="354B12AA"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наступления наших войск под Сталинградом с 19 ноября по 11 декабря захвачено у противника: самолётов —105, танков—1.510, орудий разных калибров —2.134, миномётов —1.714, счетверённых зенитных установок — 28, пулемётов —4.175, противотанковых ружей — 311, автоматов—свыше 2.000, снарядов—4.196.000, патронов — свыше 20.000.000, автомашин — 7.306, мотоциклов — 1.385, радиостанций— 62, кабеля телефонного — 522 километра и другое военное имущество.</w:t>
      </w:r>
    </w:p>
    <w:p w14:paraId="1C17DF06"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11 декабря количество пленных увеличилось на 6.400 человек. Всего за время боёв с 19 ноября по 11 декабря взято в плен 72.400 солдат и офицеров противника.</w:t>
      </w:r>
    </w:p>
    <w:p w14:paraId="5AD3A5CC"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боёв с 19 ноября по 11 декабря нашими войсками уничтожено 632 самолёта противника, из них 353 транспортных самолёта, 548 танков, 934 орудия разных калибров, 1.946 пулемётов, 1.386 автомашин.</w:t>
      </w:r>
    </w:p>
    <w:p w14:paraId="048C5AEE"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это же время под Сталинградом противник потерял только убитыми более 94.000 солдат и офицеров, из них четыре пятых — немцы, остальные румыны.»</w:t>
      </w:r>
    </w:p>
    <w:p w14:paraId="17890B72"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На центральном фронте.</w:t>
      </w:r>
    </w:p>
    <w:p w14:paraId="7F88C39E"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боёв с 25 ноября по 11 декабря на Центральном фронте нашими войсками захвачено: танков — 194, орудий разных калибров — 550, пулемётов — 1.053, винтовок — около 7.000, снарядов — до 300.000, патронов — 7.126.000, автомашин —920, радиостанций — 58, складов разных — 43.</w:t>
      </w:r>
    </w:p>
    <w:p w14:paraId="3CC56EDF"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это же время захвачено в плен 2.100 немецких солдат и офицеров.</w:t>
      </w:r>
    </w:p>
    <w:p w14:paraId="7D3B3F31"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войсками уничтожено более 200 самолётов противника, 416 танков, 541 орудие, более 1.000 миномётов, 1.230 пулемётов, 850 автомашин.</w:t>
      </w:r>
    </w:p>
    <w:p w14:paraId="64F4475D"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неполным данным, за время боёв на Центральном фронте немцы потеряли только убитыми свыше 75.000 солдат и офицеров.» (14857).</w:t>
      </w:r>
    </w:p>
    <w:p w14:paraId="0A62B1B3" w14:textId="77777777" w:rsidR="008E63F2" w:rsidRPr="00722885" w:rsidRDefault="008E63F2" w:rsidP="00722885">
      <w:pPr>
        <w:spacing w:after="0" w:line="240" w:lineRule="auto"/>
        <w:jc w:val="both"/>
        <w:rPr>
          <w:rFonts w:ascii="Times New Roman" w:hAnsi="Times New Roman"/>
          <w:color w:val="000000" w:themeColor="text1"/>
          <w:sz w:val="16"/>
          <w:szCs w:val="16"/>
        </w:rPr>
      </w:pPr>
    </w:p>
    <w:p w14:paraId="0747DD9F" w14:textId="77777777" w:rsidR="008E63F2" w:rsidRPr="00722885" w:rsidRDefault="008E63F2"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11 декабря</w:t>
      </w:r>
      <w:r w:rsidRPr="00722885">
        <w:rPr>
          <w:rFonts w:ascii="Times New Roman" w:hAnsi="Times New Roman"/>
          <w:color w:val="000000" w:themeColor="text1"/>
          <w:sz w:val="16"/>
          <w:szCs w:val="16"/>
        </w:rPr>
        <w:t xml:space="preserve"> в 1942 году Ставка ВГК утвердила план операции "Кольцо" по разгрому окруженных под Сталинградом немецко-фашистских войск (14857).</w:t>
      </w:r>
    </w:p>
    <w:p w14:paraId="6B0DDC13" w14:textId="77777777" w:rsidR="008E63F2" w:rsidRPr="00722885" w:rsidRDefault="008E63F2" w:rsidP="00722885">
      <w:pPr>
        <w:spacing w:after="0" w:line="240" w:lineRule="auto"/>
        <w:jc w:val="both"/>
        <w:rPr>
          <w:rFonts w:ascii="Times New Roman" w:hAnsi="Times New Roman"/>
          <w:color w:val="000000" w:themeColor="text1"/>
          <w:sz w:val="16"/>
          <w:szCs w:val="16"/>
        </w:rPr>
      </w:pPr>
    </w:p>
    <w:p w14:paraId="0DC0B16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декабря 1942 18 и во главе с командиром 235 иад И.П.Подгорным атаковали 16 транспортных машин немцев под Сталинградом и 15 сбили, взяв л в плен (518,178).</w:t>
      </w:r>
    </w:p>
    <w:p w14:paraId="3462707F" w14:textId="77777777" w:rsidR="00BB6316" w:rsidRPr="00722885" w:rsidRDefault="00BB6316" w:rsidP="00722885">
      <w:pPr>
        <w:pStyle w:val="Iauiue"/>
        <w:jc w:val="both"/>
        <w:rPr>
          <w:color w:val="000000" w:themeColor="text1"/>
          <w:sz w:val="16"/>
          <w:szCs w:val="16"/>
        </w:rPr>
      </w:pPr>
    </w:p>
    <w:p w14:paraId="3F8274D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декабря 1942 на аэродромах 4 зоны с Сталинграде вывели из строя 58 Ю-52 (518,178).</w:t>
      </w:r>
    </w:p>
    <w:p w14:paraId="0AC8C7CE" w14:textId="77777777" w:rsidR="00BB6316" w:rsidRPr="00722885" w:rsidRDefault="00BB6316" w:rsidP="00722885">
      <w:pPr>
        <w:pStyle w:val="Iauiue"/>
        <w:jc w:val="both"/>
        <w:rPr>
          <w:color w:val="000000" w:themeColor="text1"/>
          <w:sz w:val="16"/>
          <w:szCs w:val="16"/>
        </w:rPr>
      </w:pPr>
    </w:p>
    <w:p w14:paraId="53A5D4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11 декабря 1942 г. в фонд обороны для на постройки эскадрильи "Саратовский колхозник" в подарок фронтовым летчикам колхозники внесли 33 миллиона 500 тысяч рублей. На заводе для этих самолетов даже изготовили трафарет, по которому наносили дарственные надписи: Защитникам Сталинградского фронта от колхозников ... района Саратовской области". На средства собранные жителями Дурасов- ского района на фронт отправили три истребителя Як-1, Воскресенского района - два. Красноярского района - 13, Хвалынского района - 14, Новоузенского района - 17, а г. Балашова - 19. Именные самолеты вручались в частях лучшим пилотам. На подарке колхозников Жерновского района защищал ленинградское небо В. Мочалов, Дурасов- ского района - ведомый А.Н. Катрича - Крюков, колхозников Балашова - А.И. Се- врюков. Один из самолетов Красноярского района попал в эскадрилью "Нормандия" к Иву Бизьену (Yves Bizien).</w:t>
      </w:r>
    </w:p>
    <w:p w14:paraId="1BDD86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Наибольшую известность получил Як-1, подаренный Ф.П. Головатым командиру 273-го иап (31-го гиап) майору Б.Н. Еремину. Впервые деньги для оплаты постройки самолета были собраны одним человеком. Командование 8-й ВА поручило подобрать для этого самолета летчика командиру 268-й иад (6-й гиад) Б.А. Сидневу, дивизия которого в течение многих месяцев принимала самое активное участие в воздушных боях за Сталинград. На принятие решения в большой степени повлиял бой семерки Як-1 из 296-го иап под командованием Еремина против группы из 25 самолетов противника состоявшийся 9 марта 1942 г. в районе Харькова. Немецкая группа состояла из семи Ju-88 и Ju-87, двенадцати Bf. 109Е, приспособленных для бомбометания и несших бомбы, и шести Bf. I09F прикрытия. В первой же внезапной атаке сзади с использованием РС-82 было уничтожено четыре самолета (из них два Ju-88). Боевой порядок немцев распался, и при преследовании наши летчики сбили еше три Bf. 109. Для весны 1942 г., когда численное и техническое превосходство было на стороне противника, этот выдающийся бой стал мощным средством пропаганды. Б.Н. Еремин так описывал свои ощущения после боя:</w:t>
      </w:r>
    </w:p>
    <w:p w14:paraId="1C81CF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"Поскольку бой проходил на предельных режимах двигателей, горючего уже почти не было. Я понял, что надо собирать группу - подаю сигнал сбора. Подходит слева Саломатин, смотрю, конфигурация самолета у него какая-то необычная - снарядом фонарь сбило. Сам он, спасаясь от встречной струи воздуха, пригнулся так, что его и не видно. Справа - вижу, подходит Скотной - за ним белый шлейф, видимо, радиатор подбили осколками. Потом мимо меня - один, второй, третий... все наши! После такой схватки - и все пристраиваются! Все - в полном порядке! Я чувствовал радость победы, удовлетворение необычное, какого никогда и не испытывал! Первые-то дни мы чаще в побежденных были" (12048).</w:t>
      </w:r>
    </w:p>
    <w:p w14:paraId="3AF906D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E886D9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52E089D3" w14:textId="77777777" w:rsidR="00BB6316" w:rsidRPr="00722885" w:rsidRDefault="00BB6316" w:rsidP="00722885">
      <w:pPr>
        <w:pStyle w:val="Iauiue"/>
        <w:jc w:val="both"/>
        <w:rPr>
          <w:iCs/>
          <w:color w:val="000000" w:themeColor="text1"/>
          <w:sz w:val="16"/>
          <w:szCs w:val="16"/>
        </w:rPr>
      </w:pPr>
    </w:p>
    <w:p w14:paraId="0B1453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декабря 1942 года в горьковской печати прозвучал призыв-обращение колхозников Чкаловского района к трудящимся Горьковской области о постройке эскадрильи самолетов "Валерий Чкалов". Эта акция получила сильный отклик и в адрес завода № 21 стали поступать средства, на которые построили свыше 60 истребителей. В итоге задуманная эскадрилья превратилась в полнокровную дивизию. Первые 17 Ла-5, видимо с моторами М-82Ф, с надписями "Валерий Чкалов" поступили в 4-й гвардейский иап Краснознаменного Балтийского флота, базировавшийся на аэродроме "Бычье поле". Затем 14 таких же самолетов (а с середины 1943-го и Ла-5ФН) поступили в 193-й иап, по 15 и 10 машин - в 88-й гвардейский иап и 254-й иап соответственно. По одному истребителю числилось в 137-м и 21-м истребительных авиаполках. Имелись самолеты с надписями "Валерий Чкалов" в 240-м иап, 13-м ив 111-м гвардейских полках, но точное их число автору не известно (12032).</w:t>
      </w:r>
    </w:p>
    <w:p w14:paraId="25CF36A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971A2E1"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37825A45" w14:textId="77777777" w:rsidR="00BB6316" w:rsidRPr="00722885" w:rsidRDefault="00BB6316" w:rsidP="00722885">
      <w:pPr>
        <w:pStyle w:val="Iauiue"/>
        <w:jc w:val="both"/>
        <w:rPr>
          <w:iCs/>
          <w:color w:val="000000" w:themeColor="text1"/>
          <w:sz w:val="16"/>
          <w:szCs w:val="16"/>
        </w:rPr>
      </w:pPr>
    </w:p>
    <w:p w14:paraId="0A3C66FB" w14:textId="77777777" w:rsidR="001E756A" w:rsidRPr="00722885" w:rsidRDefault="001E756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11 декабря 1942 года — первый полёт летающей лодки Sud-Est SE.200 Amphitrite (она же SNCASE SE.200). /Франция/</w:t>
      </w:r>
    </w:p>
    <w:p w14:paraId="4A4759DD" w14:textId="77777777" w:rsidR="001E756A" w:rsidRPr="00722885" w:rsidRDefault="001E756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Разработка трансатлантической летающей лодки для авиакомпании Air France началась в 1936 году. На конкурс Министерства авиации Франции подала свой проект LeO H-49 и компания Lioré et Olivier. После создания национальной авиастроительной корпорации Société nationale de constructions aéronautiques du sud-est (SNCASE) лодка получила новое обозначение — SE.200 Amphitrite.</w:t>
      </w:r>
    </w:p>
    <w:p w14:paraId="2E4F5358" w14:textId="77777777" w:rsidR="001E756A" w:rsidRPr="00722885" w:rsidRDefault="001E756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SE.200 представляла собой цельнометаллический двухпалубный моноплан с двухкилевым хвостовым оперением. На борту могло разместиться до 80 пассажиров + 8-10 членов экипажа. Лодка оснащалась 6 × двигателями Gnome-Rhône 14R-26/14R-27. Крейсерская скорость — 305 км/ч, дальность полёта — 6060 км.</w:t>
      </w:r>
    </w:p>
    <w:p w14:paraId="343D2B90" w14:textId="77777777" w:rsidR="001E756A" w:rsidRPr="00722885" w:rsidRDefault="001E756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Планировалась постройка 4 прототипов SE.200 Amphitrite. Но помешала Вторая мировая война и оккупация Франции. Две летающие лодки были потеряны в результате налёта бомбардировщиков союзников в 1944 году. Третий прототип закончили после войны, а четвёртый достраивать не стали (22300).</w:t>
      </w:r>
    </w:p>
    <w:p w14:paraId="29BD0FED" w14:textId="77777777" w:rsidR="001E756A" w:rsidRPr="00722885" w:rsidRDefault="001E756A" w:rsidP="00722885">
      <w:pPr>
        <w:shd w:val="clear" w:color="auto" w:fill="FFFFFF"/>
        <w:spacing w:after="0" w:line="240" w:lineRule="auto"/>
        <w:jc w:val="both"/>
        <w:rPr>
          <w:rFonts w:ascii="Times New Roman" w:hAnsi="Times New Roman"/>
          <w:color w:val="0070C0"/>
          <w:sz w:val="16"/>
          <w:szCs w:val="16"/>
        </w:rPr>
      </w:pPr>
    </w:p>
    <w:p w14:paraId="1ECDDC50"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11, 1942: In Libya, Panzerarmee Afrika abandons the Gazala line and continues its retreat west toward the Mareth line in Tunisia (3819).</w:t>
      </w:r>
    </w:p>
    <w:p w14:paraId="5A89BB55" w14:textId="77777777" w:rsidR="00BB6316" w:rsidRPr="00722885" w:rsidRDefault="00BB6316" w:rsidP="00722885">
      <w:pPr>
        <w:pStyle w:val="Iauiue"/>
        <w:jc w:val="both"/>
        <w:rPr>
          <w:color w:val="000000" w:themeColor="text1"/>
          <w:sz w:val="16"/>
          <w:szCs w:val="16"/>
          <w:lang w:val="en-US"/>
        </w:rPr>
      </w:pPr>
    </w:p>
    <w:p w14:paraId="70E496A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декабря 1942 в Ливии Африканский корпус оставил линию Газала и продолжил отход (3819).</w:t>
      </w:r>
    </w:p>
    <w:p w14:paraId="0C74584B" w14:textId="77777777" w:rsidR="00BB6316" w:rsidRPr="00722885" w:rsidRDefault="00BB6316" w:rsidP="00722885">
      <w:pPr>
        <w:pStyle w:val="Iauiue"/>
        <w:jc w:val="both"/>
        <w:rPr>
          <w:color w:val="000000" w:themeColor="text1"/>
          <w:sz w:val="16"/>
          <w:szCs w:val="16"/>
        </w:rPr>
      </w:pPr>
    </w:p>
    <w:p w14:paraId="666BDDA1"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3226605" w14:textId="77777777" w:rsidR="00BB6316" w:rsidRPr="00722885" w:rsidRDefault="00BB6316" w:rsidP="00722885">
      <w:pPr>
        <w:pStyle w:val="Iauiue"/>
        <w:jc w:val="both"/>
        <w:rPr>
          <w:iCs/>
          <w:color w:val="000000" w:themeColor="text1"/>
          <w:sz w:val="16"/>
          <w:szCs w:val="16"/>
        </w:rPr>
      </w:pPr>
    </w:p>
    <w:p w14:paraId="69B0A34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декабря 1942 (182,245) закончились гос. испытания Ил-2 с двигателем АМ-38Ф. С января 1943 начались массовые летно-войсковые испытания этой машины на Сталинградском фронте. Есть мнение, что это была машина со стрелкой (241,29).</w:t>
      </w:r>
    </w:p>
    <w:p w14:paraId="3875F134" w14:textId="77777777" w:rsidR="00BB6316" w:rsidRPr="00722885" w:rsidRDefault="00BB6316" w:rsidP="00722885">
      <w:pPr>
        <w:pStyle w:val="Iauiue"/>
        <w:jc w:val="both"/>
        <w:rPr>
          <w:color w:val="000000" w:themeColor="text1"/>
          <w:sz w:val="16"/>
          <w:szCs w:val="16"/>
        </w:rPr>
      </w:pPr>
    </w:p>
    <w:p w14:paraId="1FB33A2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декабря 1942 закончились гос. испытания модифицированного Ил-2 с АМ-38Ф и углом стреловидности крыльев 15 гр (3846,18).</w:t>
      </w:r>
    </w:p>
    <w:p w14:paraId="39C9961F" w14:textId="77777777" w:rsidR="00BB6316" w:rsidRPr="00722885" w:rsidRDefault="00BB6316" w:rsidP="00722885">
      <w:pPr>
        <w:pStyle w:val="Iauiue"/>
        <w:jc w:val="both"/>
        <w:rPr>
          <w:color w:val="000000" w:themeColor="text1"/>
          <w:sz w:val="16"/>
          <w:szCs w:val="16"/>
        </w:rPr>
      </w:pPr>
    </w:p>
    <w:p w14:paraId="0590FB7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декабря 1942 года ст. инженер по вооружению 7 Гл. управления Журков писал письмо N 3605 Шахурину в сопровождении Докладной записки по вопросу письма главного инженера зав. N 481 Хвостюк о новой стрелковой установке на сам. Ил-2</w:t>
      </w:r>
    </w:p>
    <w:p w14:paraId="260B62F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выделенном УВВС самолете Ил-2, производства завода N 30, гл. конструктором С.В.И. была установлена стрелковая установка под пулемет Березина 12,7 конструкции и изготовления завода N 481. Данный самолет с 8.XII.42 г. находится в ЛИС"е завода N 30.</w:t>
      </w:r>
    </w:p>
    <w:p w14:paraId="1DE05EB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декабря с/г проведена стрельба на проверку автоматики пулемета и установки, дальнейшие испытания могут задержаться из-за неисправности на самолете мотора.</w:t>
      </w:r>
    </w:p>
    <w:p w14:paraId="439D98A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самолете Ил-2 мотор заморожен, так как вода из охлаждающей системы не была своевременно слита.</w:t>
      </w:r>
    </w:p>
    <w:p w14:paraId="0FF5E4C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целях ускорения передачи самолета на полигонные испытания, прошу дать распоряжение и.о. директора завода N 30 Шапиро о немедленном исправлении или смены замершего мотора (письмо прилагаю) (2179,174).</w:t>
      </w:r>
    </w:p>
    <w:p w14:paraId="67579E22" w14:textId="77777777" w:rsidR="00BB6316" w:rsidRPr="00722885" w:rsidRDefault="00BB6316" w:rsidP="00722885">
      <w:pPr>
        <w:pStyle w:val="Iauiue"/>
        <w:jc w:val="both"/>
        <w:rPr>
          <w:color w:val="000000" w:themeColor="text1"/>
          <w:sz w:val="16"/>
          <w:szCs w:val="16"/>
        </w:rPr>
      </w:pPr>
    </w:p>
    <w:p w14:paraId="275A5C6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декабря 1942 года Шахурин писал письмо и.о. директора завода N 30 Шапиро.</w:t>
      </w:r>
    </w:p>
    <w:p w14:paraId="50971A3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самолете Ил-2 со стрелковой установкой зав. N 481, проведите немедленно смену, или исправление замершего мотора, после чего отправьте его в НИПАВ для проведения полигонных испытаний стрелковой установки.</w:t>
      </w:r>
    </w:p>
    <w:p w14:paraId="4FD6223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Совместно с С.В.И. разберитесь и наложите взыскание на лиц повинных в замораживании мотора (2179,177).</w:t>
      </w:r>
    </w:p>
    <w:p w14:paraId="64EBC7E9" w14:textId="77777777" w:rsidR="00BB6316" w:rsidRPr="00722885" w:rsidRDefault="00BB6316" w:rsidP="00722885">
      <w:pPr>
        <w:pStyle w:val="Iauiue"/>
        <w:jc w:val="both"/>
        <w:rPr>
          <w:color w:val="000000" w:themeColor="text1"/>
          <w:sz w:val="16"/>
          <w:szCs w:val="16"/>
        </w:rPr>
      </w:pPr>
    </w:p>
    <w:p w14:paraId="4461225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декабря 1942 вышло постановление ГКО N 2603 (823) о строительстве Як-1 М-106 и было поручено сдать его в НИИ ВВС до 25 декабря и на гос. испытания 25 января (65,69).</w:t>
      </w:r>
    </w:p>
    <w:p w14:paraId="5D703921" w14:textId="77777777" w:rsidR="00BB6316" w:rsidRPr="00722885" w:rsidRDefault="00BB6316" w:rsidP="00722885">
      <w:pPr>
        <w:pStyle w:val="Iauiue"/>
        <w:jc w:val="both"/>
        <w:rPr>
          <w:color w:val="000000" w:themeColor="text1"/>
          <w:sz w:val="16"/>
          <w:szCs w:val="16"/>
        </w:rPr>
      </w:pPr>
    </w:p>
    <w:p w14:paraId="354C7DA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12 по 16 декабря 1942 проводились контрольные комплексные полеты с пилотажем для проверки надежности в работе мотора и неравномерности выработки горючего из баков на Як-7Б NN 2915321 и 2915315 в 307 ИАП. Мотор останавливался через 0:57-1:23. Все самолеты приземлились благополучно (2519).</w:t>
      </w:r>
    </w:p>
    <w:p w14:paraId="527E5C1E" w14:textId="77777777" w:rsidR="00BB6316" w:rsidRPr="00722885" w:rsidRDefault="00BB6316" w:rsidP="00722885">
      <w:pPr>
        <w:pStyle w:val="Iauiue"/>
        <w:jc w:val="both"/>
        <w:rPr>
          <w:color w:val="000000" w:themeColor="text1"/>
          <w:sz w:val="16"/>
          <w:szCs w:val="16"/>
        </w:rPr>
      </w:pPr>
    </w:p>
    <w:p w14:paraId="54A0D7E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декабря 1942 ПС-124 разбился (80,376) в Средней Азии по вине пилота (71,196).</w:t>
      </w:r>
    </w:p>
    <w:p w14:paraId="3988373A" w14:textId="77777777" w:rsidR="00BB6316" w:rsidRPr="00722885" w:rsidRDefault="00BB6316" w:rsidP="00722885">
      <w:pPr>
        <w:pStyle w:val="Iauiue"/>
        <w:jc w:val="both"/>
        <w:rPr>
          <w:color w:val="000000" w:themeColor="text1"/>
          <w:sz w:val="16"/>
          <w:szCs w:val="16"/>
        </w:rPr>
      </w:pPr>
    </w:p>
    <w:p w14:paraId="39BB72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1942 г. ПС-124 прилетел из Ургенча в Чарджоу, доставив 85 пассажиров и 1925 кг груза. Командиром самолета был летчик Говяз. Через два дня машина продолжила путь в Ташкент. На борту находились 26 пассажиров и груз. Не долетев 90 км до Ташкента, гигант вдруг начал снижаться. Снижение сначала было плавным, но угол постепенно нарастал. Кончилось тем, что ПС-124 вошел в пикирование и врезался в землю. Все пассажиры и десять человек экипажа погибли.</w:t>
      </w:r>
    </w:p>
    <w:p w14:paraId="671BEF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Расследование выявило, что в момент катастрофы командир корабля Говяз в пилотской кабине отсутствовал. В его кресле сидел летчик Козлов, не входивший в состав экипажа и летевший пассажиром. Говяз разрешил ему "пору- лить". За ним должен был присматривать второй пилот Тропков. Самолет пошел вниз потому, что Козлов намеренно или случайно включил электропривод подъема стабилизатора; выключатель его находился на подлокотнике. Передняя кромка стабилизатора поднялась до упора, направив ПС-124 в пикирование со все увеличивавшимся углом. Второй пилот то ли не заметил, что сделал Козлов, то ли не успел среагировать.</w:t>
      </w:r>
    </w:p>
    <w:p w14:paraId="35B456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Вот так погиб дублер АНТ-20, наследник "Максима Горького". На нем линия тихоходных многомоторных гофрированных гигантов в нашей стране пресеклась (11926).</w:t>
      </w:r>
    </w:p>
    <w:p w14:paraId="6265CC06"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650F6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1942 г. ПС-124 прилетел из Ургенча в Чарджоу, доставив 85 пассажиров и 1925 кг груза. Командиром самолета был летчик Говяз. Через два дня машина продолжила путь в Ташкент. На борту находились 26 пассажиров и груз. Не долетев 90 км до Ташкента, гигант начал вдруг снижаться. Снижение сначала было плавным, но угол постепенно нарастал. Кончилось тем, что ПС-124 вошел в пикирование и так и врезался в землю. Все пассажиры и десять человек экипажа погибли.</w:t>
      </w:r>
    </w:p>
    <w:p w14:paraId="1B0390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Расследование выявило, что в момент катастрофы командир корабля Говяз в пилотской кабине отсутствовал. В его кресле сидел летчик Козлов, не входивший в состав экипажа и летевший пассажиром. Говяз разрешил ему "порулить". За ним должен был присматривать второй пилот Тропков. Самолет пошел вниз потому, что Козлов намеренно или случайно включил электропривод подъема стабилизатора; выключатель его находился на подлокотнике. Передняя кромка стабилизатора поднялась до упора, направив ПС-124 в пикирование со все увеличивавшимся углом. Второй пилот то ли не заметил, что сделал Козлов, толи не успел среагировать.</w:t>
      </w:r>
    </w:p>
    <w:p w14:paraId="72C0C3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Вот так погиб второй экземпляр АНТ-20, наследник "Максима Горького". На нем линия тихоходных многомоторных гофрированных гигантов пресеклась. А ведь предполагались куда более грандиозные машины с десятком и более двигателей, оставшиеся только в чертежах и моделях (12024).</w:t>
      </w:r>
    </w:p>
    <w:p w14:paraId="681A16A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995DD31" w14:textId="77777777" w:rsidR="001E756A" w:rsidRPr="00722885" w:rsidRDefault="001E756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12 декабря 1942 г. Л-760 прибыл из очередного рейса из Ургенча в Чарджоу, где выгрузил 1925 кг груза и 85 пасса</w:t>
      </w:r>
      <w:r w:rsidRPr="00722885">
        <w:rPr>
          <w:rFonts w:ascii="Times New Roman" w:hAnsi="Times New Roman"/>
          <w:color w:val="0070C0"/>
          <w:sz w:val="16"/>
          <w:szCs w:val="16"/>
        </w:rPr>
        <w:softHyphen/>
        <w:t>жиров.</w:t>
      </w:r>
    </w:p>
    <w:p w14:paraId="255371A6" w14:textId="77777777" w:rsidR="001E756A" w:rsidRPr="00722885" w:rsidRDefault="001E756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Через два дня, 14 декабря. Л-760 под командованием пилота второго класса Говяза вылетел из Чарджоу в рейсовый полет по трассе Чарджоу — Ташкент. На борту самолета находились 26 пассажи</w:t>
      </w:r>
      <w:r w:rsidRPr="00722885">
        <w:rPr>
          <w:rFonts w:ascii="Times New Roman" w:hAnsi="Times New Roman"/>
          <w:color w:val="0070C0"/>
          <w:sz w:val="16"/>
          <w:szCs w:val="16"/>
        </w:rPr>
        <w:softHyphen/>
        <w:t>ров и 10 членов экипажа. Обшая коммер</w:t>
      </w:r>
      <w:r w:rsidRPr="00722885">
        <w:rPr>
          <w:rFonts w:ascii="Times New Roman" w:hAnsi="Times New Roman"/>
          <w:color w:val="0070C0"/>
          <w:sz w:val="16"/>
          <w:szCs w:val="16"/>
        </w:rPr>
        <w:softHyphen/>
        <w:t>ческая нагрузка составляла 5523 кг (21240).</w:t>
      </w:r>
    </w:p>
    <w:p w14:paraId="0D3BC6C6" w14:textId="77777777" w:rsidR="001E756A" w:rsidRPr="00722885" w:rsidRDefault="001E756A" w:rsidP="00722885">
      <w:pPr>
        <w:shd w:val="clear" w:color="auto" w:fill="FFFFFF"/>
        <w:spacing w:after="0" w:line="240" w:lineRule="auto"/>
        <w:jc w:val="both"/>
        <w:rPr>
          <w:rFonts w:ascii="Times New Roman" w:hAnsi="Times New Roman"/>
          <w:color w:val="0070C0"/>
          <w:sz w:val="16"/>
          <w:szCs w:val="16"/>
        </w:rPr>
      </w:pPr>
    </w:p>
    <w:p w14:paraId="4BE46514"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 декабря 1942 г. в описании альтернативного варианта реактивного ружья (РР), указывается, что в содружестве с Н.И. Камовым этой разработкой занимались Г.И. Коротких и М.В. Курышев. В документах имеются чертежи РР только третьего варианта, фотографии и описание хода работ по предыдущим двум вариантам отсутствуют. Что любопытно, Камов более взвешенно подошел к оценке реальных боевых возможностей своего детища, и у него о стрельбе по </w:t>
      </w:r>
      <w:hyperlink r:id="rId185"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ам - ни слова:</w:t>
      </w:r>
    </w:p>
    <w:p w14:paraId="14068AA2"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«РР - легкое и мощное оружие, применяется для поражения открытых технических и огневых средств и групповых живых целей противника, для создания опорных пунктов в стесненных условиях (борьба в горах и городах, засады на грунтовых, шоссейных и железнодорожных путях), а также для вооружения партизанских отрядов; применяется для стрельбы на расстояниях от 100 до 500 м».</w:t>
      </w:r>
    </w:p>
    <w:p w14:paraId="5A011E93"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РР также состояло из двух основных разъемных агрегатов: ружья (направляющей массой 8 кг) и с</w:t>
      </w:r>
      <w:hyperlink r:id="rId186"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(масса - 5 кг). Помещенное в качалке ракетное орудие обеспечивало сектора обстрела по горизонтали ±20° и по углу места от +20° до -10°. Орудие крепилось к качалке на уровне плоскостей трения снаряда по полозкам,</w:t>
      </w:r>
    </w:p>
    <w:p w14:paraId="77FED04E"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потому, в отличие от других вариантов РР, здесь почти полностью устраняется влияние сил, опрокидывающих установку».</w:t>
      </w:r>
    </w:p>
    <w:p w14:paraId="058A378D"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Тренога РР была выполнена складной и из стальных труб. Ее размеры в разложенном состоянии - 2×1,2 м, высота линии огня - 0,65 м.</w:t>
      </w:r>
    </w:p>
    <w:p w14:paraId="2281CF67"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РР, как и на авиационных ракетных орудиях того времени, был выполнен замок для удержания снаряда на направляющих при заряжании в наклонном положении. Но это было явно лишним: конструктивно орудие не допускало люфтов боеприпаса на направляющих. На самолете необходимость в замке была вызвана большими перегрузками при взлете, посадке и эволюциях самолета в полете.</w:t>
      </w:r>
    </w:p>
    <w:p w14:paraId="68FE5837"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Прицел РР состоял из сетки с делениями, нанесенной на прозрачное стекло защитного щитка, и откидной мушки, расположенной в 1 м от него на нижней стороне силовой балки направляющих. При транспортировке РР мушка прилегала к балке, в боевом положении ее откидывали вниз, отжав фиксаторы. На современных реактивных гранатометах этот элемент конструкции оформлен аналогично и получил превосходные отзывы из строевых частей. Вместо мушки Камов допускал установку оптического прицела вдоль нижней стороны силовой балки ракетного орудия.</w:t>
      </w:r>
    </w:p>
    <w:p w14:paraId="008B1FDC"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Любопытным элементом конструкции РР был фиксатор положения орудия после наведения в цель. Его пружины прижимали втулки из материала феррадо с силой до 70 кг. При наведении РР одна из колодок отжималась «боуденовским тросом», выведенным на рычаг левой ручки PP. Аналогичными элементами сегодня оснащены все конструкции современных с</w:t>
      </w:r>
      <w:hyperlink r:id="rId187"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ПТРК.</w:t>
      </w:r>
    </w:p>
    <w:p w14:paraId="7451E148"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Щиток оригинальной конструкции защищал голову стреляющего от потока продуктов горения ракетного заряда боеприпаса и перемещался вместе с направляющей и прицелом. Его прозрачные стекла обеспечивали обзор на 180°. Как утверждали разработчики,</w:t>
      </w:r>
    </w:p>
    <w:p w14:paraId="043C875D"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уменьшения запыливания стреляющего, а также устранения возможности обжигания его выхлопными газами, щиток имеет в передней части брезентовый фартук, а в задней — такой же наспинник.»</w:t>
      </w:r>
    </w:p>
    <w:p w14:paraId="2121B1B6"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Наиболее удобной позицией для стрельбы из РР Камов с соавторами признавал одиночный окоп для стрельбы с колена. Переднюю стойку с</w:t>
      </w:r>
      <w:hyperlink r:id="rId188"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устанавливали впереди окопа, задние - по бокам. Кстати это создавало стрелку очень неприятный «пустячок» - «мертвую зону» шириной 3—5° в секторе прицеливания. РР допускал установку и на открытой позиции для стрельбы лежа. Главное, чтобы фартук не мешал движению щитка. Для заряжания РР защитный щиток опускали вниз до отказа, пиропистолет (запальное приспособление) отводили назад и опускали вниз, что позволяло ввести в направляющие ведущие штифты боеприпаса. После этого в боевое положение переводили ствол пиропистолета (запальную трубку), заряжали пиропатрон и снимали предохранитель.</w:t>
      </w:r>
    </w:p>
    <w:p w14:paraId="24AB4C11"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Наводил оружие в цель по направлению и углу возвышения «оператор» вручную, действуя двумя рукоятками, аналогичными используемым на с</w:t>
      </w:r>
      <w:hyperlink r:id="rId189"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овых пулеметах. Затем положение направляющей РР фиксировалось. Боевая кнопка (в варианте РР с электропроводкой) находилась у правой рукоятки. Камов уточнял, что серийные образцы РР необходимо оснащать механическим запалом (винтовочным затвором и спусковым крючком). При обслуживании РР двумя номерами второй номер перезаряжал установку, а первый оставался под щитком. При обслуживании РР одним стрелком он после выстрела освобождал голову из-под щитка и перезаряжал установку.</w:t>
      </w:r>
    </w:p>
    <w:p w14:paraId="5A91DD73"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описании также говорится, что у РР 1 -го и 2-го вариантов направляющая была расположена полозками вниз. Но этого недостаточно, чтобы воссоздать хотя бы эскиз установки, поскольку совершенно непонятно, где в этом случае располагалось прицельное приспособление. О третьем варианте РР Камов говорит:</w:t>
      </w:r>
    </w:p>
    <w:p w14:paraId="28E9643D"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«Такое направление балки позволяет направить воздушный поток от сгорания пороховой смеси РСа, минуя все плоскости вредного сопротивления, и над туловищем стреляющего».</w:t>
      </w:r>
    </w:p>
    <w:p w14:paraId="1CB73B60"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РР 3-го варианта запальное приспособление было откидным, что, в отличие от других вариантов РР, позволяло перезаряжать установку с казенной части, и необходимость в заряжающем отпадала (15595).</w:t>
      </w:r>
    </w:p>
    <w:p w14:paraId="3C6D82BB" w14:textId="77777777" w:rsidR="00EF02AD" w:rsidRPr="00722885" w:rsidRDefault="00EF02AD" w:rsidP="00722885">
      <w:pPr>
        <w:spacing w:after="0" w:line="240" w:lineRule="auto"/>
        <w:jc w:val="both"/>
        <w:rPr>
          <w:rFonts w:ascii="Times New Roman" w:hAnsi="Times New Roman"/>
          <w:color w:val="000000" w:themeColor="text1"/>
          <w:sz w:val="16"/>
          <w:szCs w:val="16"/>
        </w:rPr>
      </w:pPr>
    </w:p>
    <w:p w14:paraId="503D03E5"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12 декабря 1942 г., в описании альтернативного варианта реактивного ружья (РР) указывается, что в содружестве с Н.И. Камовым, бывшим в то время главным конструктором завода №290 НКАП в Билимбае. этой разработкой занимались Г.И. Коротких и М.В. Курышев. В документах имеются чертежи РР только третьего варианта, фотографии и описание хода работ по предыдущим двум вариантам отсутствуют. Что любопытно, Камов более взвешенно подошел к оценке реальных боевых возможностей своего детища, и у него о стрельбе по </w:t>
      </w:r>
      <w:hyperlink r:id="rId190"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ам — ни слова: </w:t>
      </w:r>
    </w:p>
    <w:p w14:paraId="4FCB385D"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«РР — легкое и мощное оружие, применяется для поражения открытых технических и огневых средств и групповых живых целей противника, для создания опорных пунктов в стесненных условиях (борьба в горах и городах, засады на грунтовых, шоссейных и железнодорожных путях), а также для вооружения партизанских отрядов; применяется для стрельбы на расстояниях от 100 до 500 м».</w:t>
      </w:r>
    </w:p>
    <w:p w14:paraId="423E2F43"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РР также состояло из двух основных разъемных агрегатов: ружья (направляющей массой 8 кг) и с</w:t>
      </w:r>
      <w:hyperlink r:id="rId191"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 (масса — 5 кг). Помещенное в качалке ракетное орудие обеспечивало сектора обстрела по горизонтали ±20° и по углу места от +20° до -10°. Орудие крепилось к качалке на уровне плоскостей трения снаряда по полозкам, </w:t>
      </w:r>
    </w:p>
    <w:p w14:paraId="66A7F142"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«а потому, в отличие от других вариантов РР, здесь почти полностью устраняется влияние сил, опрокидывающих установку».</w:t>
      </w:r>
    </w:p>
    <w:p w14:paraId="53DF5B99"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Тренога РР была выполнена складной и из стальных труб. Ее размеры в разложенном состоянии — 2×1,2 м, высота линии огня — 0,65 м.</w:t>
      </w:r>
    </w:p>
    <w:p w14:paraId="3AC9E8A1"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На РР, как и на авиационных ракетных орудиях того времени, был выполнен замок для удержания снаряда на направляющих при заряжании в наклонном положении. Но это было явно лишним: конструктивно орудие не допускало люфтов боеприпаса на направляющих. На самолете необходимость в замке была вызвана большими перегрузками при взлете, посадке и эволюциях самолета в полете.</w:t>
      </w:r>
    </w:p>
    <w:p w14:paraId="6EEE3F7A"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Прицел РР состоял из сетки с делениями, нанесенной на прозрачное стекло защитного щитка, и откидной мушки, расположенной в 1 м от него на нижней стороне силовой балки направляющих. При транспортировке РР мушка прилегала к балке, в боевом положении ее откидывали вниз, отжав фиксаторы. На современных реактивных гранатометах этот элемент конструкции оформлен аналогично и получил превосходные отзывы из строевых частей. Вместо мушки Камов допускал установку оптического прицела вдоль нижней стороны силовой балки ракетного орудия.</w:t>
      </w:r>
    </w:p>
    <w:p w14:paraId="4506271A"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Любопытным элементом конструкции РР был фиксатор положения орудия после наведения в цель. Его пружины прижимали втулки из материала феррадо с силой до 70 кг. При наведении РР одна из колодок отжималась «боуденовским тросом», выведенным на рычаг левой ручки PP. Аналогичными элементами сегодня оснащены все конструкции современных с</w:t>
      </w:r>
      <w:hyperlink r:id="rId192"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овых ПТРК.</w:t>
      </w:r>
    </w:p>
    <w:p w14:paraId="1816ECFC"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Щиток оригинальной конструкции защищал голову стреляющего от потока продуктов горения ракетного заряда боеприпаса и перемещался вместе с направляющей и прицелом. Его прозрачные стекла обеспечивали обзор на 180°. Как утверждали разработчики,</w:t>
      </w:r>
    </w:p>
    <w:p w14:paraId="428E3F89"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«для уменьшения запыливания стреляющего, а также устранения возможности обжигания его выхлопными газами, щиток имеет в передней части брезентовый фартук, а в задней — такой же наспинник» (18989).</w:t>
      </w:r>
    </w:p>
    <w:p w14:paraId="66284941" w14:textId="77777777" w:rsidR="0011363C" w:rsidRPr="00722885" w:rsidRDefault="0011363C" w:rsidP="00722885">
      <w:pPr>
        <w:pStyle w:val="ae"/>
        <w:spacing w:before="0" w:after="0"/>
        <w:jc w:val="both"/>
        <w:textAlignment w:val="baseline"/>
        <w:rPr>
          <w:color w:val="000000" w:themeColor="text1"/>
          <w:sz w:val="16"/>
          <w:szCs w:val="16"/>
        </w:rPr>
      </w:pPr>
    </w:p>
    <w:p w14:paraId="328F1E5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78B3C95" w14:textId="77777777" w:rsidR="00BB6316" w:rsidRPr="00722885" w:rsidRDefault="00BB6316" w:rsidP="00722885">
      <w:pPr>
        <w:pStyle w:val="Iauiue"/>
        <w:jc w:val="both"/>
        <w:rPr>
          <w:iCs/>
          <w:color w:val="000000" w:themeColor="text1"/>
          <w:sz w:val="16"/>
          <w:szCs w:val="16"/>
        </w:rPr>
      </w:pPr>
    </w:p>
    <w:p w14:paraId="739FDF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1942 вышло Постановление ГКО № 2614 О мероприятиях по обеспечению производства толуола для взрывчатых веществ. РГАНИР, Фонд ГКО, д. 72, лл. 161-164 (11012).</w:t>
      </w:r>
    </w:p>
    <w:p w14:paraId="57433EE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9D23DB3" w14:textId="77777777" w:rsidR="0011363C" w:rsidRPr="00722885" w:rsidRDefault="001136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1942 г. постановлением ГКО № 2614сс месячная потребность в толуоле для промышленности взрывчатых веществ определялась в 6820 т, из которых 3820 должны были производиться в СССР, а остальные 3000 - импортироваться. «Обязать Наркомвнешторг (т. Микояна) - говорилось в постановлении - в целях покрытия дефицита толуола для производства тротила завезти в декабре 1942 г. 1000 т импортного толуола и, начиная с 1 января 1943 г., обеспечить завоз не менее 3 000 тонн толуола ежемесячно» (19151).</w:t>
      </w:r>
    </w:p>
    <w:p w14:paraId="2195E4EE" w14:textId="77777777" w:rsidR="0011363C" w:rsidRPr="00722885" w:rsidRDefault="0011363C" w:rsidP="00722885">
      <w:pPr>
        <w:spacing w:after="0" w:line="240" w:lineRule="auto"/>
        <w:jc w:val="both"/>
        <w:rPr>
          <w:rFonts w:ascii="Times New Roman" w:hAnsi="Times New Roman"/>
          <w:color w:val="000000" w:themeColor="text1"/>
          <w:sz w:val="16"/>
          <w:szCs w:val="16"/>
        </w:rPr>
      </w:pPr>
    </w:p>
    <w:p w14:paraId="0E7C3D54" w14:textId="77777777" w:rsidR="0011363C" w:rsidRPr="00722885" w:rsidRDefault="001136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1942 г. постановлением ГКО № 2614сс месячная потребность в толуоле для промышленности взрывчатых веществ определялась в 6820 т, из которых 3820 т должны были производиться в СССР, а остальные 3000 т – импортироваться. В постановлении говорилось: «Обязать Наркомвнешторг (т. Микояна) в целях покрытия потребности обеспечить импорт...(19153).</w:t>
      </w:r>
    </w:p>
    <w:p w14:paraId="4F498234" w14:textId="77777777" w:rsidR="0011363C" w:rsidRPr="00722885" w:rsidRDefault="0011363C" w:rsidP="00722885">
      <w:pPr>
        <w:spacing w:after="0" w:line="240" w:lineRule="auto"/>
        <w:jc w:val="both"/>
        <w:rPr>
          <w:rFonts w:ascii="Times New Roman" w:hAnsi="Times New Roman"/>
          <w:color w:val="000000" w:themeColor="text1"/>
          <w:sz w:val="16"/>
          <w:szCs w:val="16"/>
        </w:rPr>
      </w:pPr>
    </w:p>
    <w:p w14:paraId="5214D1B1"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12 декабря 1942 вышло Постановление ГКО № 2616 О назначении т. Панова А.Д. Зам. чл. ГКО [по контролю за выполнением решений по угольной промышленности.] (7066, 167).</w:t>
      </w:r>
    </w:p>
    <w:p w14:paraId="03BD541D" w14:textId="77777777" w:rsidR="00BB6316" w:rsidRPr="00722885" w:rsidRDefault="00BB6316" w:rsidP="00722885">
      <w:pPr>
        <w:pStyle w:val="Iauiue"/>
        <w:tabs>
          <w:tab w:val="left" w:pos="11199"/>
        </w:tabs>
        <w:jc w:val="both"/>
        <w:rPr>
          <w:color w:val="000000" w:themeColor="text1"/>
          <w:sz w:val="16"/>
          <w:szCs w:val="16"/>
        </w:rPr>
      </w:pPr>
    </w:p>
    <w:p w14:paraId="115083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1942 вышло Постановление ГКО № 2617 О плане добычи угля на декабрь 1942 г. по Наркомуглю. РГАНИР, Фонд ГКО, д. 72, лл. 168 (11012).</w:t>
      </w:r>
    </w:p>
    <w:p w14:paraId="58DA29F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48900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1942 вышло Постановление ГКО № 2618 Об обеспечении в декабре сего года и в первом квартале 1943 г. электроэнергией заводов, производящих важнейшие виды боеприпасов и материалы для них. РГАНИР, Фонд ГКО, д. 72, лл. 169-171, 172-179 (11012).</w:t>
      </w:r>
    </w:p>
    <w:p w14:paraId="56D8026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7E11DA2"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12 декабря 1942 вышло Постановление СНК № 1964 и появились уполномоченные Госплана и их замы в 25 территориальных центрах (7543, 15).</w:t>
      </w:r>
    </w:p>
    <w:p w14:paraId="523A9F20" w14:textId="77777777" w:rsidR="00BB6316" w:rsidRPr="00722885" w:rsidRDefault="00BB6316" w:rsidP="00722885">
      <w:pPr>
        <w:pStyle w:val="Iauiue"/>
        <w:tabs>
          <w:tab w:val="left" w:pos="11199"/>
        </w:tabs>
        <w:jc w:val="both"/>
        <w:rPr>
          <w:color w:val="000000" w:themeColor="text1"/>
          <w:sz w:val="16"/>
          <w:szCs w:val="16"/>
        </w:rPr>
      </w:pPr>
    </w:p>
    <w:p w14:paraId="2DF76F3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декабря 1942 г. вышло Постановление СНК СССР № 1964, которым назначили уполномоченных Госплана на местах и их заместителей. Уполномоченные Госплана находились тогда в 25 территориальных центрах: Алма-Ате, Баку, Горьком, Ереване, Казани, Караганде, Кирове, Красноярске, Куйбышеве, Молотове, Новосибирске, Омске,.Пензе, Саратове, Свердловске, Тамбове, Ташкенте, Уфе, Хабаровске, Челябинске, Чкалове, Ярославле, Барнауле, Иванове, Фрунзе. Указанное постановление послужило основой перестройки работы органов Госплана на местах. Если ранее они имели, не считая управления статистики, отделы проверки выполнения планов, отделы определения урожайности и управления делами, то в 1944 г. аппарат Уполномоченного Госплана уже включал сектора (промышленности, труда и связи; сельского хозяйства; капитального строительства; труда и населения; здравоохранения и культуры; товарооборота и финансов) и группы (городского хозяйства; снабжения и норм потребления). К началу 1947 г. уполномоченные Госплана имелись уже в 102 городах-столицах и центрах всех крупных территориальных единиц; только в отделах проверки выполнения планов насчитывалось 802 чел., имевших высокую профессиональную подготовку. Работа уполномоченных находилась под постоянным контролем центрального аппарата и помогала ему в осуществлении контроля за ходом решения стоявших задач не только в масштабах административных центров, но и на предприятиях, располагавшихся по всей территории страны (7543).</w:t>
      </w:r>
    </w:p>
    <w:p w14:paraId="08722344" w14:textId="77777777" w:rsidR="00BB6316" w:rsidRPr="00722885" w:rsidRDefault="00BB6316" w:rsidP="00722885">
      <w:pPr>
        <w:pStyle w:val="Iauiue"/>
        <w:jc w:val="both"/>
        <w:rPr>
          <w:color w:val="000000" w:themeColor="text1"/>
          <w:sz w:val="16"/>
          <w:szCs w:val="16"/>
        </w:rPr>
      </w:pPr>
    </w:p>
    <w:p w14:paraId="1DBFA778"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C88702C" w14:textId="77777777" w:rsidR="00BB6316" w:rsidRPr="00722885" w:rsidRDefault="00BB6316" w:rsidP="00722885">
      <w:pPr>
        <w:pStyle w:val="Iauiue"/>
        <w:jc w:val="both"/>
        <w:rPr>
          <w:iCs/>
          <w:color w:val="000000" w:themeColor="text1"/>
          <w:sz w:val="16"/>
          <w:szCs w:val="16"/>
        </w:rPr>
      </w:pPr>
    </w:p>
    <w:p w14:paraId="7944300E"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12 декабря </w:t>
      </w:r>
      <w:r w:rsidRPr="00722885">
        <w:rPr>
          <w:rFonts w:ascii="Times New Roman" w:hAnsi="Times New Roman"/>
          <w:color w:val="000000" w:themeColor="text1"/>
          <w:sz w:val="16"/>
          <w:szCs w:val="16"/>
        </w:rPr>
        <w:t>в 1942 году утреннее сообщение Совинформбюро:</w:t>
      </w:r>
    </w:p>
    <w:p w14:paraId="47F494C1"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течение ночи на 12 декабря в районе Сталинграда и на Центральном фронте наши войска продолжали вести наступательные бои на прежних направлениях.</w:t>
      </w:r>
    </w:p>
    <w:p w14:paraId="0CFB79C5"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северной части города Сталинграда подразделения под командованием тов.Горохова выбили немцев из ряда укреплённых позиций. В заводском районе наши бойцы захватили 7 вражеских блиндажей и истребили свыше роты гитлеровцев.</w:t>
      </w:r>
    </w:p>
    <w:p w14:paraId="267B4340"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свои позиции, а на отдельных участках вели наступательные бои. Подразделения Н-ской части, преодолев минные поля и проволочные заграждения, ворвались в укреплённый узел вражеской обороны и истребили более 300 гитлеровцев. Захвачены 8 орудий, 16 пулемётов, 11 миномётов, 10 противотанковых ружей, 37 автоматов, радиостанция, склад боеприпасов и другие трофеи. На другом участке батальон немецкой пехотыпри поддержке танков контратаковал наши позиции. Бойцы Н-ской части подпустили врага на близкое расстояние, а затем обрушили на немцев несколько залпов огня. Потеряв свыше 200 человек убитыми и 3 танка, противник отступил. На поле боя подобрано много личного оружия немецких солдат и офицеров.</w:t>
      </w:r>
    </w:p>
    <w:p w14:paraId="61CFA911"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бойцы истребили вражеский кавалерийский эскадрон. На другом участке батальон пехоты и 13 танков противника атаковали наш опорный пункт. Бойцы Н-ской части отбили атаку гитлеровцев. В результате боя уничтожено до 300 немецких солдат и офицеров и подбито 3 танка противника.</w:t>
      </w:r>
    </w:p>
    <w:p w14:paraId="7695E191"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укрепляли занятые рубежи и на отдельных участках продолжали наступление. В районе западнее Ржева бойцы Н-скогосоединения под прикрытием артиллерийского и миномётного огня форсировали водный рубеж и после ожесточённого боя овладели первой линией траншей противника. Уничтожено 15 немецких блиндажей и 18 дзотов. Враг потерял убитыми до 800 солдат и офицеров.</w:t>
      </w:r>
    </w:p>
    <w:p w14:paraId="6EFB6332"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наши части отбивали контратаки врага и вели бои по уничтожению блокированных немецких гарнизонов.</w:t>
      </w:r>
    </w:p>
    <w:p w14:paraId="3D19682E"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лётчиками в воздушных боях сбито 7 немецких самолётов.</w:t>
      </w:r>
    </w:p>
    <w:p w14:paraId="12BE7FA9"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войска вели бои местного значения. На одном участке противник пытался вклиниться в нашу оборону, но успеха не добился. Советские бойцы контрударом отбросили противника и уничтожили 150 немецких солдат и офицеров.</w:t>
      </w:r>
    </w:p>
    <w:p w14:paraId="31342CCB"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Ленинградской области, организовал крушение пяти железнодорожных эшелонов противника. Разбито 5 паровозов и 97 вагонов и платформ с живой силой, танками и орудиями. При крушении только одного эшелона погибло до 600 немецких солдат и офицеров.</w:t>
      </w:r>
    </w:p>
    <w:p w14:paraId="39A73CA4"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ноября Советское Информбюро опубликовало заявление пленного обер-штурмфюрера 4 роты батальона особого назначения германского министерства иностранных дел Нормана Ферстера. В этом документе неопровержимо было доказано,что «повсеместные грабежи в оккупированных районах СССР производятся по прямому приказу германского правительства и носят организованный государственный характер». Заявление Ферстера опубликовано не только в советской печати, но и во многих газетах США, Англии и нейтральных стран. Пойманные с поличным и припёртые к стене фактами гитлеровцы набрали в рот воды и обошли молчанием уличающий их документ. Только сейчас, почти через месяц после опубликования заявления Ферстера, они пытаются выкрутиться и замести следы. Германское информационное бюро 8 декабря пыталось опровергнуть утверждение о том, что ограбление культурных богатств Советского Союза носит организованный государственныйхарактер. Борзописцы из берлинского разбойничьего притона, расположенного по соседству со складами, где хранятся ценности, награбленные во временно захваченных советских районах, лепечут: «В качестве убедительнейшего опровержения можно указать на то, что штаб Розенберга спас от гибели различные библии, разные рукописи и книги из церквей в окрестностях Новгорода».</w:t>
      </w:r>
    </w:p>
    <w:p w14:paraId="5FCE31B3"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 «опровержение» примечательно тем, что оно ценнее иного признания. Сами того не желая, гитлеровцы проболтались. В потоке лжи, которую они ежедневно извергают, просочилось и несколько слов правды. С некоторым опозданием германское информационное бюро подтверждает заявление Ферстера о том, что штаб Розенберга грабит разного рода ценные рукописи и памятники старины. Правда, громилы говорят, что они «спасают ценности». Но если подобные воровские действияназываются «спасением ценностей», то что же тогда называется грабежом?</w:t>
      </w:r>
    </w:p>
    <w:p w14:paraId="04557CDE"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Фашистские грабители вконец запутались. Одно теперь ясно. Заявление Ферстера о разбойничьей, воровской деятельности специальных команд при немецком правительстве нашло официальное подтверждение в сообщении германского информационного бюро.» (14858).</w:t>
      </w:r>
    </w:p>
    <w:p w14:paraId="5EA40625" w14:textId="77777777" w:rsidR="00EF02AD" w:rsidRPr="00722885" w:rsidRDefault="00EF02AD" w:rsidP="00722885">
      <w:pPr>
        <w:spacing w:after="0" w:line="240" w:lineRule="auto"/>
        <w:jc w:val="both"/>
        <w:rPr>
          <w:rFonts w:ascii="Times New Roman" w:hAnsi="Times New Roman"/>
          <w:color w:val="000000" w:themeColor="text1"/>
          <w:sz w:val="16"/>
          <w:szCs w:val="16"/>
        </w:rPr>
      </w:pPr>
    </w:p>
    <w:p w14:paraId="558CADCE"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12 декабря </w:t>
      </w:r>
      <w:r w:rsidRPr="00722885">
        <w:rPr>
          <w:rFonts w:ascii="Times New Roman" w:hAnsi="Times New Roman"/>
          <w:color w:val="000000" w:themeColor="text1"/>
          <w:sz w:val="16"/>
          <w:szCs w:val="16"/>
        </w:rPr>
        <w:t>в 1942 году вечернее сообщение Совинформбюро:</w:t>
      </w:r>
    </w:p>
    <w:p w14:paraId="10F4950D"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12 декабря наши войска в районе Сталинграда и на Центральном фронте продолжали вести наступательные бои на прежних направлениях.</w:t>
      </w:r>
    </w:p>
    <w:p w14:paraId="1206C5B4"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11 декабря уничтожено 88 самолётов противника, в том числе в районе Сталинграда уничтожено 38 транспортных самолётов.</w:t>
      </w:r>
    </w:p>
    <w:p w14:paraId="28DB43CA"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декабря частями нашей авиации на различных участках фронта уничтожено или повреждено 20 немецких танков и бронемашин, 80 автомашин с войсками и грузами, подавлен огонь 10 артиллерийских батарей, взорвано 3 склада боеприпасов, рассеяно и частью уничтожено до батальона пехоты противника.</w:t>
      </w:r>
    </w:p>
    <w:p w14:paraId="7EC4551A"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на южной и северо-западной окраинах города Сталинграда наши части мелкими штурмовыми группами атаковали позиции противника и нанесли гитлеровцам серьёзные потери. Только одна Н-ская часть истребила 200 немецкихсолдат и офицеров, уничтожила артиллерийскую батарею, 7 пулемётов, 3 миномёта и 6 автомашин с боеприпасами.</w:t>
      </w:r>
    </w:p>
    <w:p w14:paraId="4D01B38A"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занимаемые рубежи и вели разведку. На отдельных участках отбито несколько контратак противника. Н-ская часть атаковала немцев и значительно улучшила свои позиции. На другом участке противник предпринял несколько попыток вернуть опорный пункт, занятый нашими частями. В течение дня немецкая пехота, поддержанная большим количеством танков, шесть раз переходила в контратаки. Ваши бойцы отбили все контратаки гитлеровцев и нанесли им большой урон. Подбито и сожжено 23 немецких танка, 8 орудий и 70 автомашин. Противник потерял убитыми до 700 солдат и офицеров. Бойцы Н-ской части огнём из пехотного оружия сбили 6 немецких пикирующих бомбардировщиков.</w:t>
      </w:r>
    </w:p>
    <w:p w14:paraId="5551A0F4"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противник предпринял несколько контратак, которые были отбиты нашими бойцами. На другом участке немцы силою до двух полков пехоты и при поддержке 80 танков атаковали наши позиции. Завязались ожесточённые бои, входе которых наши бойцы наносят противнику тяжёлые потери.</w:t>
      </w:r>
    </w:p>
    <w:p w14:paraId="37989917"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отбивали контратаки и вели бои с пехотой и танками противника. В районе Великих Лук немцы, стремясь задержать продвижение советских частей, предприняли несколько контратак. Все контратака гитлеровцев отбиты с большими для них потерями. На поле боя подсчитано 1.200 трупов немецких солдат иофицеров.</w:t>
      </w:r>
    </w:p>
    <w:p w14:paraId="7435E922"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наши части вели упорные бои в глубине оборонительной полосы противника.</w:t>
      </w:r>
    </w:p>
    <w:p w14:paraId="533DBF20"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снайперами наших частей за два дня истреблено свыше100 немецких солдат и офицеров. На одном участке рота вражеской пехоты пыталась вклиниться в нашу оборону. Встреченные ружейно-пулемётным огнём, гитлеровцы в беспорядке отступили, оставив на поле боя десятки трупов.</w:t>
      </w:r>
    </w:p>
    <w:p w14:paraId="02DA1F8C"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Минской области, за десять дней организовал крушение 5 железнодорожных эшелонов противника. Разбито и сожжено 47 платформ с автомашинами и 29 вагонов с различным военным имуществом. Убито около 150 немецких солдат и офицеров. Партизаны другого отряда из засад истребили 126 гитлеровцев.</w:t>
      </w:r>
    </w:p>
    <w:p w14:paraId="04F8E713"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новых злодеяниях немецко-фашистских мерзавцев в Харькове. В октябре немцы погнали свыше двух тысяч жителей города на строительство укреплений. В течение месяца советские граждане, среди которых было много женщин и подростков, работали по 16—18 часов в сутки. Им выдавали на целый день по котелку похлёбки, сваренной из гнилой муки. Полураздетые люди ночевали под открытым небом за колючей проволокой. Несколько сот человек не выдержали каторжного режима и умерли от голода, непосильного труда и побоев. Когда строительство было закончено, отряд эсэсовцев отвёл заключённых на территорию разрушенного кирпичного завода и расстрелял их. Случайно удалось спастись только двум женщинам, получившим ранения, которые и рассказали об этом преступлении гитлеровских бандитов.</w:t>
      </w:r>
    </w:p>
    <w:p w14:paraId="5BC573A2"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наносят итало-немецким оккупантам тяжёлые потери. В последних боях патриоты уничтожили около 4.000 гитлеровцев. Только за несколько дней в районе Яйце—Травник убито свыше 300 солдат и офицеров 718 немецкойдивизии. На линии Грачац— Стикада партизаны пустили под откос два поезда. Уничтожено 2 паровоза, 17 классных и 2 бронированных вагона.» (14858).</w:t>
      </w:r>
    </w:p>
    <w:p w14:paraId="40F1F35F" w14:textId="77777777" w:rsidR="00EF02AD" w:rsidRPr="00722885" w:rsidRDefault="00EF02AD" w:rsidP="00722885">
      <w:pPr>
        <w:spacing w:after="0" w:line="240" w:lineRule="auto"/>
        <w:jc w:val="both"/>
        <w:rPr>
          <w:rFonts w:ascii="Times New Roman" w:hAnsi="Times New Roman"/>
          <w:color w:val="000000" w:themeColor="text1"/>
          <w:sz w:val="16"/>
          <w:szCs w:val="16"/>
        </w:rPr>
      </w:pPr>
    </w:p>
    <w:p w14:paraId="1D1252CA"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12 декабря </w:t>
      </w:r>
      <w:r w:rsidRPr="00722885">
        <w:rPr>
          <w:rFonts w:ascii="Times New Roman" w:hAnsi="Times New Roman"/>
          <w:color w:val="000000" w:themeColor="text1"/>
          <w:sz w:val="16"/>
          <w:szCs w:val="16"/>
        </w:rPr>
        <w:t>в 1942 году 4-я танковая армия под командованием генерала Гота начала операцию "Wintergewitter" (Зимняя гроза). Цель операции - деблокировать немецко-фашистскую групировку окруженную в Сталинграде (14858).</w:t>
      </w:r>
    </w:p>
    <w:p w14:paraId="62FEC99A" w14:textId="77777777" w:rsidR="00EF02AD" w:rsidRPr="00722885" w:rsidRDefault="00EF02AD" w:rsidP="00722885">
      <w:pPr>
        <w:spacing w:after="0" w:line="240" w:lineRule="auto"/>
        <w:jc w:val="both"/>
        <w:rPr>
          <w:rFonts w:ascii="Times New Roman" w:hAnsi="Times New Roman"/>
          <w:color w:val="000000" w:themeColor="text1"/>
          <w:sz w:val="16"/>
          <w:szCs w:val="16"/>
        </w:rPr>
      </w:pPr>
    </w:p>
    <w:p w14:paraId="6388F7F4"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12 декабря </w:t>
      </w:r>
      <w:r w:rsidRPr="00722885">
        <w:rPr>
          <w:rFonts w:ascii="Times New Roman" w:hAnsi="Times New Roman"/>
          <w:color w:val="000000" w:themeColor="text1"/>
          <w:sz w:val="16"/>
          <w:szCs w:val="16"/>
        </w:rPr>
        <w:t>в 1942 году началась оборонительная Котельниковская операция войск левого крыла Сталинградского фронта (генерал-полковник А.И.Еременко), продолжавшаяся до 30 декабря (14858).</w:t>
      </w:r>
    </w:p>
    <w:p w14:paraId="189D31C5" w14:textId="77777777" w:rsidR="00EF02AD" w:rsidRPr="00722885" w:rsidRDefault="00EF02AD" w:rsidP="00722885">
      <w:pPr>
        <w:spacing w:after="0" w:line="240" w:lineRule="auto"/>
        <w:jc w:val="both"/>
        <w:rPr>
          <w:rFonts w:ascii="Times New Roman" w:hAnsi="Times New Roman"/>
          <w:color w:val="000000" w:themeColor="text1"/>
          <w:sz w:val="16"/>
          <w:szCs w:val="16"/>
        </w:rPr>
      </w:pPr>
    </w:p>
    <w:p w14:paraId="618B1C2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декабря 1942 г. немецкая группи</w:t>
      </w:r>
      <w:r w:rsidRPr="00722885">
        <w:rPr>
          <w:color w:val="000000" w:themeColor="text1"/>
          <w:sz w:val="16"/>
          <w:szCs w:val="16"/>
        </w:rPr>
        <w:softHyphen/>
        <w:t>ровка "Дон" генерал-фельдмаршала Манштейна превосходящими силами (вновь созданная немецкая 4-я танко</w:t>
      </w:r>
      <w:r w:rsidRPr="00722885">
        <w:rPr>
          <w:color w:val="000000" w:themeColor="text1"/>
          <w:sz w:val="16"/>
          <w:szCs w:val="16"/>
        </w:rPr>
        <w:softHyphen/>
        <w:t>вая армия - 6-я, 23-я и 17-я танковые дивизии, отдельный батальон тяжелых танков Pz.VI Ausf H "Tiger I" и 4-я ру</w:t>
      </w:r>
      <w:r w:rsidRPr="00722885">
        <w:rPr>
          <w:color w:val="000000" w:themeColor="text1"/>
          <w:sz w:val="16"/>
          <w:szCs w:val="16"/>
        </w:rPr>
        <w:softHyphen/>
        <w:t>мынская армия - четыре пехотные ди</w:t>
      </w:r>
      <w:r w:rsidRPr="00722885">
        <w:rPr>
          <w:color w:val="000000" w:themeColor="text1"/>
          <w:sz w:val="16"/>
          <w:szCs w:val="16"/>
        </w:rPr>
        <w:softHyphen/>
        <w:t>визии) начала прорыв внешнего фрон</w:t>
      </w:r>
      <w:r w:rsidRPr="00722885">
        <w:rPr>
          <w:color w:val="000000" w:themeColor="text1"/>
          <w:sz w:val="16"/>
          <w:szCs w:val="16"/>
        </w:rPr>
        <w:softHyphen/>
        <w:t>та окружения из района Котельниково в полосе войск 51-й армии генерала Ф.И.</w:t>
      </w:r>
      <w:r w:rsidRPr="00722885">
        <w:rPr>
          <w:color w:val="000000" w:themeColor="text1"/>
          <w:sz w:val="16"/>
          <w:szCs w:val="16"/>
        </w:rPr>
        <w:softHyphen/>
        <w:t>Толбухина. Контрнаступление группировки Ман</w:t>
      </w:r>
      <w:r w:rsidRPr="00722885">
        <w:rPr>
          <w:color w:val="000000" w:themeColor="text1"/>
          <w:sz w:val="16"/>
          <w:szCs w:val="16"/>
        </w:rPr>
        <w:softHyphen/>
        <w:t>штейна началось с массированных уда</w:t>
      </w:r>
      <w:r w:rsidRPr="00722885">
        <w:rPr>
          <w:color w:val="000000" w:themeColor="text1"/>
          <w:sz w:val="16"/>
          <w:szCs w:val="16"/>
        </w:rPr>
        <w:softHyphen/>
        <w:t>ров немецкой авиации по аэродромам и войскам Красной Армии.</w:t>
      </w:r>
    </w:p>
    <w:p w14:paraId="30C39F8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Утром 12 декабря 13 Bf110 под при</w:t>
      </w:r>
      <w:r w:rsidRPr="00722885">
        <w:rPr>
          <w:color w:val="000000" w:themeColor="text1"/>
          <w:sz w:val="16"/>
          <w:szCs w:val="16"/>
        </w:rPr>
        <w:softHyphen/>
        <w:t>крытием 9 Bf109 нанесли довольно эф</w:t>
      </w:r>
      <w:r w:rsidRPr="00722885">
        <w:rPr>
          <w:color w:val="000000" w:themeColor="text1"/>
          <w:sz w:val="16"/>
          <w:szCs w:val="16"/>
        </w:rPr>
        <w:softHyphen/>
        <w:t xml:space="preserve">фективный бомбоштурмовой удар по аэродрому Абганерово. В результате налета в сводной авиагруппе 8-й ВА были повреждены 4 Ил-2 811 -го </w:t>
      </w:r>
      <w:r w:rsidRPr="00722885">
        <w:rPr>
          <w:iCs/>
          <w:color w:val="000000" w:themeColor="text1"/>
          <w:sz w:val="16"/>
          <w:szCs w:val="16"/>
        </w:rPr>
        <w:t>шап,</w:t>
      </w:r>
      <w:r w:rsidRPr="00722885">
        <w:rPr>
          <w:color w:val="000000" w:themeColor="text1"/>
          <w:sz w:val="16"/>
          <w:szCs w:val="16"/>
        </w:rPr>
        <w:t xml:space="preserve"> 3 истребителя И-16 (один из них восстановлению не подлежал) и один У-2 (вос</w:t>
      </w:r>
      <w:r w:rsidRPr="00722885">
        <w:rPr>
          <w:color w:val="000000" w:themeColor="text1"/>
          <w:sz w:val="16"/>
          <w:szCs w:val="16"/>
        </w:rPr>
        <w:softHyphen/>
        <w:t>становлению не подлежал). В авиагруп</w:t>
      </w:r>
      <w:r w:rsidRPr="00722885">
        <w:rPr>
          <w:color w:val="000000" w:themeColor="text1"/>
          <w:sz w:val="16"/>
          <w:szCs w:val="16"/>
        </w:rPr>
        <w:softHyphen/>
        <w:t>пе осталось только 3 боеготовых Ил-2, которые ранним утром 13 декабря бук</w:t>
      </w:r>
      <w:r w:rsidRPr="00722885">
        <w:rPr>
          <w:color w:val="000000" w:themeColor="text1"/>
          <w:sz w:val="16"/>
          <w:szCs w:val="16"/>
        </w:rPr>
        <w:softHyphen/>
        <w:t>вально перед носом немецких "мессершмиттов" перелетели на аэродром Солодовка - очередной удар 8 истребите</w:t>
      </w:r>
      <w:r w:rsidRPr="00722885">
        <w:rPr>
          <w:color w:val="000000" w:themeColor="text1"/>
          <w:sz w:val="16"/>
          <w:szCs w:val="16"/>
        </w:rPr>
        <w:softHyphen/>
        <w:t>лей-бомбардировщиков Люфтваффе пришелся по пустому аэродрому... Ослабленные в ходе ноябрьского кон</w:t>
      </w:r>
      <w:r w:rsidRPr="00722885">
        <w:rPr>
          <w:color w:val="000000" w:themeColor="text1"/>
          <w:sz w:val="16"/>
          <w:szCs w:val="16"/>
        </w:rPr>
        <w:softHyphen/>
        <w:t>трнаступления советские войска не смогли сдержать натиск противника. Фронт был прорван, и уже через три дня основные силы немцев сходу форси</w:t>
      </w:r>
      <w:r w:rsidRPr="00722885">
        <w:rPr>
          <w:color w:val="000000" w:themeColor="text1"/>
          <w:sz w:val="16"/>
          <w:szCs w:val="16"/>
        </w:rPr>
        <w:softHyphen/>
        <w:t>ровали реку Аксай-Есауловский. 19 де</w:t>
      </w:r>
      <w:r w:rsidRPr="00722885">
        <w:rPr>
          <w:color w:val="000000" w:themeColor="text1"/>
          <w:sz w:val="16"/>
          <w:szCs w:val="16"/>
        </w:rPr>
        <w:softHyphen/>
        <w:t>кабря в районе хут. Верхне-Кумский ча</w:t>
      </w:r>
      <w:r w:rsidRPr="00722885">
        <w:rPr>
          <w:color w:val="000000" w:themeColor="text1"/>
          <w:sz w:val="16"/>
          <w:szCs w:val="16"/>
        </w:rPr>
        <w:softHyphen/>
        <w:t xml:space="preserve">сти 51 -и армии отошли за реку Мышкова. До Сталинграда оставалось 40 км. Возникла реальная угроза соединения </w:t>
      </w:r>
      <w:r w:rsidRPr="00722885">
        <w:rPr>
          <w:color w:val="000000" w:themeColor="text1"/>
          <w:sz w:val="16"/>
          <w:szCs w:val="16"/>
        </w:rPr>
        <w:lastRenderedPageBreak/>
        <w:t>тан</w:t>
      </w:r>
      <w:r w:rsidRPr="00722885">
        <w:rPr>
          <w:color w:val="000000" w:themeColor="text1"/>
          <w:sz w:val="16"/>
          <w:szCs w:val="16"/>
        </w:rPr>
        <w:softHyphen/>
        <w:t>ковых и моторизованных частей Манштейна с окруженной группировкой Паулюса.</w:t>
      </w:r>
    </w:p>
    <w:p w14:paraId="5BCB704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Поскольку решением Ставки ВГК от 15.12.42 г. 226-я </w:t>
      </w:r>
      <w:r w:rsidRPr="00722885">
        <w:rPr>
          <w:iCs/>
          <w:color w:val="000000" w:themeColor="text1"/>
          <w:sz w:val="16"/>
          <w:szCs w:val="16"/>
        </w:rPr>
        <w:t>шад</w:t>
      </w:r>
      <w:r w:rsidRPr="00722885">
        <w:rPr>
          <w:color w:val="000000" w:themeColor="text1"/>
          <w:sz w:val="16"/>
          <w:szCs w:val="16"/>
        </w:rPr>
        <w:t xml:space="preserve"> была выведена в резерв на переформирование, то выпол</w:t>
      </w:r>
      <w:r w:rsidRPr="00722885">
        <w:rPr>
          <w:color w:val="000000" w:themeColor="text1"/>
          <w:sz w:val="16"/>
          <w:szCs w:val="16"/>
        </w:rPr>
        <w:softHyphen/>
        <w:t xml:space="preserve">нение боевых задач на котельниковском направлении легло на плечи сводной авиагруппы 8-й ВА, в которую вошли все боеготовые экипажи 206-й </w:t>
      </w:r>
      <w:r w:rsidRPr="00722885">
        <w:rPr>
          <w:iCs/>
          <w:color w:val="000000" w:themeColor="text1"/>
          <w:sz w:val="16"/>
          <w:szCs w:val="16"/>
        </w:rPr>
        <w:t>шад,</w:t>
      </w:r>
      <w:r w:rsidRPr="00722885">
        <w:rPr>
          <w:color w:val="000000" w:themeColor="text1"/>
          <w:sz w:val="16"/>
          <w:szCs w:val="16"/>
        </w:rPr>
        <w:t xml:space="preserve"> 268-й </w:t>
      </w:r>
      <w:r w:rsidRPr="00722885">
        <w:rPr>
          <w:iCs/>
          <w:color w:val="000000" w:themeColor="text1"/>
          <w:sz w:val="16"/>
          <w:szCs w:val="16"/>
        </w:rPr>
        <w:t>иад,</w:t>
      </w:r>
      <w:r w:rsidRPr="00722885">
        <w:rPr>
          <w:color w:val="000000" w:themeColor="text1"/>
          <w:sz w:val="16"/>
          <w:szCs w:val="16"/>
        </w:rPr>
        <w:t xml:space="preserve"> 218-й </w:t>
      </w:r>
      <w:r w:rsidRPr="00722885">
        <w:rPr>
          <w:iCs/>
          <w:color w:val="000000" w:themeColor="text1"/>
          <w:sz w:val="16"/>
          <w:szCs w:val="16"/>
        </w:rPr>
        <w:t>иад</w:t>
      </w:r>
      <w:r w:rsidRPr="00722885">
        <w:rPr>
          <w:color w:val="000000" w:themeColor="text1"/>
          <w:sz w:val="16"/>
          <w:szCs w:val="16"/>
        </w:rPr>
        <w:t xml:space="preserve"> и 272-й </w:t>
      </w:r>
      <w:r w:rsidRPr="00722885">
        <w:rPr>
          <w:iCs/>
          <w:color w:val="000000" w:themeColor="text1"/>
          <w:sz w:val="16"/>
          <w:szCs w:val="16"/>
        </w:rPr>
        <w:t>нбад.</w:t>
      </w:r>
      <w:r w:rsidRPr="00722885">
        <w:rPr>
          <w:color w:val="000000" w:themeColor="text1"/>
          <w:sz w:val="16"/>
          <w:szCs w:val="16"/>
        </w:rPr>
        <w:t>(6467).</w:t>
      </w:r>
    </w:p>
    <w:p w14:paraId="269E5DA2" w14:textId="77777777" w:rsidR="00BB6316" w:rsidRPr="00722885" w:rsidRDefault="00BB6316" w:rsidP="00722885">
      <w:pPr>
        <w:pStyle w:val="Iauiue"/>
        <w:jc w:val="both"/>
        <w:rPr>
          <w:color w:val="000000" w:themeColor="text1"/>
          <w:sz w:val="16"/>
          <w:szCs w:val="16"/>
        </w:rPr>
      </w:pPr>
    </w:p>
    <w:p w14:paraId="247AD8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1942 года специально созданная ударная группировка немцев перешла в наступление южнее Сталинграда, пытаясь деблокировать окруженные войска. 14 декабря в районе Верхне-Кумский развернулись части 4-го механизированного корпуса (107 танков, до половины из них Т-34) с задачей задержать немцев и обеспечить развертывание прибывающей 2-й гвардейской армии. На следующий день корпус, поддержанный 235-й огнеметной танковой бригадой, нанес удар по наступавшей на Вер- хне-Кумский 6-й танковой дивизии немцев. В результате. 4-му мехкорпу- су удалось остановить продвижение противника и отбросить 6-ю танковую дивизию за Аксай. В ходе боя был потерян 21 танк, из них 12 Т-34.</w:t>
      </w:r>
    </w:p>
    <w:p w14:paraId="17D1BA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Прорвать оборону 4-го мехкорпу- са немцам удалось только 19 декабря, после чего он отошел на рубеж реки Мышкова. К этому времени в корпусе осталось 50 танков (из них 31 Т-34), потери за пять дней боев под Верхне-Кумским составили 52 машины.</w:t>
      </w:r>
    </w:p>
    <w:p w14:paraId="63EFFC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упорных боев 4-го мехкор- пуса советскому командованию удалось выиграть время и развернуть на направлении немецкого наступления резервы и организовать оборону. Это позволило остановить, а затем и отбросить немецкую группировку, шедшую на помощь окруженной под Сталинградом 6-й армии Паулю- са, которая капитулировала 2 февраля 1943 года (12217).</w:t>
      </w:r>
    </w:p>
    <w:p w14:paraId="08C555A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572A7B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12 по 30 декабря 1942 состоялась Котельниковская оборонительная операция - часть Сталинградской битвы и потом Котельниковскую группировку немцев разгромили (2438,326).</w:t>
      </w:r>
    </w:p>
    <w:p w14:paraId="6A98704A" w14:textId="77777777" w:rsidR="00BB6316" w:rsidRPr="00722885" w:rsidRDefault="00BB6316" w:rsidP="00722885">
      <w:pPr>
        <w:pStyle w:val="Iauiue"/>
        <w:jc w:val="both"/>
        <w:rPr>
          <w:color w:val="000000" w:themeColor="text1"/>
          <w:sz w:val="16"/>
          <w:szCs w:val="16"/>
        </w:rPr>
      </w:pPr>
    </w:p>
    <w:p w14:paraId="7518C728"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12, 1942: A hastily assembled force of 13 divisions, including three Panzer divisions, under the control of 4.Panzerarmee (Hoth), begins Operation Winter Tempest, the relief of 6.Armee (von Paulus) encircled at Stalingrad (3819).</w:t>
      </w:r>
    </w:p>
    <w:p w14:paraId="529D4889" w14:textId="77777777" w:rsidR="00BB6316" w:rsidRPr="00722885" w:rsidRDefault="00BB6316" w:rsidP="00722885">
      <w:pPr>
        <w:pStyle w:val="Iauiue"/>
        <w:jc w:val="both"/>
        <w:rPr>
          <w:color w:val="000000" w:themeColor="text1"/>
          <w:sz w:val="16"/>
          <w:szCs w:val="16"/>
          <w:lang w:val="en-US"/>
        </w:rPr>
      </w:pPr>
    </w:p>
    <w:p w14:paraId="76F4851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декабря 1942 группа "Дон" немцев пыталась прорвать окружение. 8 ВА выполнила 750 вылетов для ударов по колоннам противника (340,104). На земле Манштейну противостояла 2ГА Малиновского (2070,82).</w:t>
      </w:r>
    </w:p>
    <w:p w14:paraId="1DA37F1B" w14:textId="77777777" w:rsidR="00BB6316" w:rsidRPr="00722885" w:rsidRDefault="00BB6316" w:rsidP="00722885">
      <w:pPr>
        <w:pStyle w:val="Iauiue"/>
        <w:jc w:val="both"/>
        <w:rPr>
          <w:color w:val="000000" w:themeColor="text1"/>
          <w:sz w:val="16"/>
          <w:szCs w:val="16"/>
        </w:rPr>
      </w:pPr>
    </w:p>
    <w:p w14:paraId="244FF312"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12 декабря 1942 немецкие войска фельдмаршала Манштейна начали операцию “Зимняя буря” (попытку прорвать советское кольцо вокруг окруженной под Сталинградом 6-й немецкой армии) (4962).</w:t>
      </w:r>
    </w:p>
    <w:p w14:paraId="2A2CBF39" w14:textId="77777777" w:rsidR="00BB6316" w:rsidRPr="00722885" w:rsidRDefault="00BB6316" w:rsidP="00722885">
      <w:pPr>
        <w:pStyle w:val="Iauiue"/>
        <w:tabs>
          <w:tab w:val="left" w:pos="11199"/>
        </w:tabs>
        <w:jc w:val="both"/>
        <w:rPr>
          <w:color w:val="000000" w:themeColor="text1"/>
          <w:sz w:val="16"/>
          <w:szCs w:val="16"/>
        </w:rPr>
      </w:pPr>
    </w:p>
    <w:p w14:paraId="11B0C4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1942 танковая группировка генерала Германа Гота начала операцию по прорыву кольца окружения, нанося удар из района Котельникова на северо-восток к Сталинграду. С воздуха ее поддерживали «Штуки» из эскадры StG2 «Иммельман», а также румынские истребители, действовавшие в роли штурмовиков. Через три дня немецкие танки вышли к реке Аксай-Есауловский, т.е. преодолели треть расстояния до 6-й армии. В этот момент – 15 декабря – общее стратегическое положение Вермахта в Южном Поволжье и на Дону еще не выглядело катастрофическим. Фронт на реке Чир удалось удержать, дивизии Паулюса контролировали большую территорию, протянувшуюся с запада на восток на 50 км, в то же время почти весь Сталинград находился в руках немцев. Окружение большинству генералов и простых пехотинцев казалось лишь временной проблемой, тем более что начавшееся наступление Гота развивалось обнадеживающе успешно. Транспортные самолеты и бомбардировщики ежедневно доставляли в Гумрак по 145 т грузов. Этого, конечно, было недостаточно, но все равно трудности представлялись преодолимыми. Аэродромы, несмотря на ужасную погоду, бесперебойно работали, и Люфтваффе чем могли помогали сухопутным войскам. Однако утром 16 декабря зародились признаки настоящего апокалипсиса. На Среднем Дону советские войска намного превосходящими силами атаковали позиции 8-й итальянской армии. Через два дня оборона здесь начала быстро разваливаться, и сотни русских танков Т-34 устремились в глубь территории противника. Рихтхофен мог бросить против них лишь полтора десятка Ju-88 из I./KG51 и несколько румынских бомбардировщиков. Тем не менее в 250 км к юго-востоку немецкие танки продолжали рваться к Сталинграду и к 20-му числу достигли реки Мышкова. До окруженной группировки им оставалось 40 км. В этой ситуации Адольфу Гитлеру нужно было принять судьбоносное решение: либо разрешить Паулюсу прорыв на юго-восток, либо оставить 6-ю армию в Сталинграде в надежде на общее улучшение оперативной обстановки. Фюрер в отличие от своих генералов отлично осознавал неизбежные политические и психологические последствия отхода с Волги. Это означало, что все достижения летне-осенней кампании будут потеряны. Наступит весна, и по реке снова двинутся караваны барже кавказской нефтью. Атаки железной дороги Астрахань – Саратов придется прекратить из-за удаления аэродромов бомбардировщиков от Волги. Таким образом битва за нефть будет неизбежно проиграна для Германии. Взвесив все «за» и «против», Гитлер пришел к единственно верному решению: он запретил прорыв. Немецкие дивизии должны были оставаться в Сталинграде и сражаться до последнего. Тем временем транспортники и бомбардировщики Люфтваффе с 19 по 21 декабря совершили 450 самолето-вылетов в «котел», доставив туда 450 т грузов. Однако в следующие дни установилась совершенно нелетная погода – донские степи окутал густой туман. Вскоре ухудшение обстановки заставило командующего группой армий «Дон» Эриха Манштейна начать отход с реки Мышкова и перебросить свои танки на северо-запад, откуда стремительно накатывалась волна советского наступления. Пользуясь нелетной погодой, танки Т-34, переваливаясь через сугробы, приближались к Миллерову. Уже 20 декабря эскадра KG27 должна была перебазироваться на северо-запад, в Старобельск. Через три дня нависла угроза и над Тацинской. В 07.20 по московскому времени 24 декабря снаряды начали уже взрываться у северного края аэродрома, и в течение 45 минут в воздух поднялись 124 Ju-52. В 08.15 взлетел последний «Юнкере», на борту которого находился командир 8-го авиакорпуса Мартин Фибигсо своим штабом. В 09.30 самолет приземлился в Ростове-на-Дону. Фибиг вздохнул с облегчением, но особых причин для оптимизма у него не было. Пришлось оставить аэродром, с которого в течение почти четырех месяцев его бомбардировщики осуществляли успешные налеты на Сталинград, Саратов, Астрахань и др. объекты. Были потеряны в общей сложности 60 транспортных самолетов.  На следующий день – 25 декабря – командир rufttransportfuhrer 1 Эрнст Кюхл отдал приказ перебазировать «Хейнкели», а также пикирующие бомбардировщики из Морозовской, к которой тоже приближались советские танки, в Новочеркасск. Утром 26 декабря погода наконец улучшилась и «Штуки» нанесли удары по прорвавшимся танкам. Вскоре в результате контратаки немцы отбили и Тацинскую. Обстановка на некоторое время стабилизировалась, но 6-я армия теперь находилась на расстоянии 110—120 км от позиций группы армий «Дон». В рождественские дни Гитлер вынужден был принять еще одно историческое решение. Под давлением стремительно ухудшающейся обстановки он отдал приказ об общем отходе с Кавказа (11774).</w:t>
      </w:r>
    </w:p>
    <w:p w14:paraId="4576DC7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BF3DD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1942 вышло Постановление ГКО № 2612 Об утверждении плана отпуска вещевого имущества для Красной Армии на декабрь 1942 года. РГАНИР, Фонд ГКО, д. 72, лл. 151, 152-157 (11012).</w:t>
      </w:r>
    </w:p>
    <w:p w14:paraId="559699A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D9094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1942 вышло Постановление ГКО № 2613 Об отпуске продовольственных, госпитальных и фуражных пайков для Красной Армии, Военно-Морского Флота и войск НКВД СССР в декабре 1942 г. РГАНИР, Фонд ГКО, д. 72, лл. 158-159, 160 (11012).</w:t>
      </w:r>
    </w:p>
    <w:p w14:paraId="7E8F52E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B6C92D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F49B54A" w14:textId="77777777" w:rsidR="00BB6316" w:rsidRPr="00722885" w:rsidRDefault="00BB6316" w:rsidP="00722885">
      <w:pPr>
        <w:pStyle w:val="Iauiue"/>
        <w:jc w:val="both"/>
        <w:rPr>
          <w:iCs/>
          <w:color w:val="000000" w:themeColor="text1"/>
          <w:sz w:val="16"/>
          <w:szCs w:val="16"/>
        </w:rPr>
      </w:pPr>
    </w:p>
    <w:p w14:paraId="79BCD5C2"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12 декабря </w:t>
      </w:r>
      <w:r w:rsidRPr="00722885">
        <w:rPr>
          <w:rFonts w:ascii="Times New Roman" w:hAnsi="Times New Roman"/>
          <w:color w:val="000000" w:themeColor="text1"/>
          <w:sz w:val="16"/>
          <w:szCs w:val="16"/>
        </w:rPr>
        <w:t>в 1942 году немцы захватили первый исправный «B-17». Этобыл</w:t>
      </w:r>
      <w:r w:rsidRPr="00722885">
        <w:rPr>
          <w:rFonts w:ascii="Times New Roman" w:hAnsi="Times New Roman"/>
          <w:color w:val="000000" w:themeColor="text1"/>
          <w:sz w:val="16"/>
          <w:szCs w:val="16"/>
          <w:lang w:val="en-US"/>
        </w:rPr>
        <w:t xml:space="preserve"> «B-17F-27-BO» "Wulf Hound" (41-24585) </w:t>
      </w:r>
      <w:r w:rsidRPr="00722885">
        <w:rPr>
          <w:rFonts w:ascii="Times New Roman" w:hAnsi="Times New Roman"/>
          <w:color w:val="000000" w:themeColor="text1"/>
          <w:sz w:val="16"/>
          <w:szCs w:val="16"/>
        </w:rPr>
        <w:t>из</w:t>
      </w:r>
      <w:r w:rsidRPr="00722885">
        <w:rPr>
          <w:rFonts w:ascii="Times New Roman" w:hAnsi="Times New Roman"/>
          <w:color w:val="000000" w:themeColor="text1"/>
          <w:sz w:val="16"/>
          <w:szCs w:val="16"/>
          <w:lang w:val="en-US"/>
        </w:rPr>
        <w:t xml:space="preserve"> 360BS 303BG "Hell's Angels". </w:t>
      </w:r>
      <w:r w:rsidRPr="00722885">
        <w:rPr>
          <w:rFonts w:ascii="Times New Roman" w:hAnsi="Times New Roman"/>
          <w:color w:val="000000" w:themeColor="text1"/>
          <w:sz w:val="16"/>
          <w:szCs w:val="16"/>
        </w:rPr>
        <w:t>Повреждённый немецкими истребителями во время бомбардировочного налёта на сортировочную железнодорожную станцию Руэн 12 декабря 1942 года и добитый на обратном пути «Bf.110» из NJG 1. Пилот «B-17» лейтенант Фликенджер (Lieutenant Flickinger) совершил вынужденную посадку на аэродроме Леварде (Leeuwarden) в Голландии. Самолёт был отремонтирован и двумя днями позднее (после нанесения опознавательных знаков ВВС Германии) в сопровождении двух «Bf.110» перелетел в Рэхлин (Rechlin). Там самолёт был испытан, после чего совершил турне по Германии и Франции, побывав в местах базирования различных подразделений истребителей. Пилоты смогли познакомиться с сильными и слабыми сторонами этого бомбардировщика, что облегчило борьбу с ним в воздухе. Самолёт экспонировался на выставке трофеев в аэропорту (Лерц) Larz 12 июня 1943г. Вместе с «B-17F» были показаны такие самолёты, как «B-24», «P-47D», «P-51», «P-38», «Avro Lancaster», «DH Mosquito», «Typhoon» и «Spitfire». "Wulf Hound" вернулся в Рэхлин в июле 1943 года, где испытывался в связке с планером «DFS 230». Германские инженеры продолжали изучать ЛТХ самолёта и его конструкцию. В KG200 самолёт передали в сентябре 1943 года, там он получил обозначение «A3+AE» (взамен «DL+XC», под которым его испытывали в Рэхлине) (14858).</w:t>
      </w:r>
    </w:p>
    <w:p w14:paraId="5C6179AC" w14:textId="77777777" w:rsidR="00EF02AD" w:rsidRPr="00722885" w:rsidRDefault="00EF02AD" w:rsidP="00722885">
      <w:pPr>
        <w:spacing w:after="0" w:line="240" w:lineRule="auto"/>
        <w:jc w:val="both"/>
        <w:rPr>
          <w:rFonts w:ascii="Times New Roman" w:hAnsi="Times New Roman"/>
          <w:color w:val="000000" w:themeColor="text1"/>
          <w:sz w:val="16"/>
          <w:szCs w:val="16"/>
        </w:rPr>
      </w:pPr>
    </w:p>
    <w:p w14:paraId="2285A19D"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12 декабря 1942 в Берлине открыта восстановленная опера, закрытая после английской бомбежки в 1941 г. (4962).</w:t>
      </w:r>
    </w:p>
    <w:p w14:paraId="7B95CD9D" w14:textId="77777777" w:rsidR="00BB6316" w:rsidRPr="00722885" w:rsidRDefault="00BB6316" w:rsidP="00722885">
      <w:pPr>
        <w:pStyle w:val="Iauiue"/>
        <w:tabs>
          <w:tab w:val="left" w:pos="11199"/>
        </w:tabs>
        <w:jc w:val="both"/>
        <w:rPr>
          <w:color w:val="000000" w:themeColor="text1"/>
          <w:sz w:val="16"/>
          <w:szCs w:val="16"/>
        </w:rPr>
      </w:pPr>
    </w:p>
    <w:p w14:paraId="3CFDE81C"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12 декабря 1942 из-за поджога сгорел социальный клуб в Сент-Джонсе (Ньюфаундленд, Канада), 99 человек погибли (4962).</w:t>
      </w:r>
    </w:p>
    <w:p w14:paraId="73BE5F8C" w14:textId="77777777" w:rsidR="00BB6316" w:rsidRPr="00722885" w:rsidRDefault="00BB6316" w:rsidP="00722885">
      <w:pPr>
        <w:pStyle w:val="Iauiue"/>
        <w:tabs>
          <w:tab w:val="left" w:pos="11199"/>
        </w:tabs>
        <w:jc w:val="both"/>
        <w:rPr>
          <w:color w:val="000000" w:themeColor="text1"/>
          <w:sz w:val="16"/>
          <w:szCs w:val="16"/>
        </w:rPr>
      </w:pPr>
    </w:p>
    <w:p w14:paraId="696474D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декабря 1942 Болгария объявила войну США и Англии, но была нейтрально по отношению к СССР (241,40).</w:t>
      </w:r>
    </w:p>
    <w:p w14:paraId="4DE36D64" w14:textId="77777777" w:rsidR="00BB6316" w:rsidRPr="00722885" w:rsidRDefault="00BB6316" w:rsidP="00722885">
      <w:pPr>
        <w:pStyle w:val="Iauiue"/>
        <w:jc w:val="both"/>
        <w:rPr>
          <w:color w:val="000000" w:themeColor="text1"/>
          <w:sz w:val="16"/>
          <w:szCs w:val="16"/>
        </w:rPr>
      </w:pPr>
    </w:p>
    <w:p w14:paraId="28E876E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925A8F8" w14:textId="77777777" w:rsidR="00BB6316" w:rsidRPr="00722885" w:rsidRDefault="00BB6316" w:rsidP="00722885">
      <w:pPr>
        <w:pStyle w:val="Iauiue"/>
        <w:jc w:val="both"/>
        <w:rPr>
          <w:iCs/>
          <w:color w:val="000000" w:themeColor="text1"/>
          <w:sz w:val="16"/>
          <w:szCs w:val="16"/>
        </w:rPr>
      </w:pPr>
    </w:p>
    <w:p w14:paraId="34D02F6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13 декабря 1942 на Северно-западном фронте в 42 иап 240 иад 6ВА (командир Ф.И.Шинкаренко) завершились испытания на боевое применение Як-7Б М-105ПФ с улучшенным обзором, которые начались 17 ноября 1942. Сделали 242 вылета и приняли участие в 6 боях сбив 4 машины и потеряв 1 (65,91).</w:t>
      </w:r>
    </w:p>
    <w:p w14:paraId="31B64453" w14:textId="77777777" w:rsidR="00BB6316" w:rsidRPr="00722885" w:rsidRDefault="00BB6316" w:rsidP="00722885">
      <w:pPr>
        <w:pStyle w:val="Iauiue"/>
        <w:jc w:val="both"/>
        <w:rPr>
          <w:color w:val="000000" w:themeColor="text1"/>
          <w:sz w:val="16"/>
          <w:szCs w:val="16"/>
        </w:rPr>
      </w:pPr>
    </w:p>
    <w:p w14:paraId="386804D0"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13 декабря 1942 г. в 42-м иап закончилось испытание самолетов Як-7б и Як-7-37 с улучшенным обзором назад (со срезанным гаргротом фюзеляжа и каплевидным фонарем кабины летчика), которые шли с 17 ноября. Отчет по их испытаниям утвердил глав</w:t>
      </w:r>
      <w:r w:rsidRPr="00722885">
        <w:rPr>
          <w:color w:val="000000" w:themeColor="text1"/>
          <w:sz w:val="16"/>
          <w:szCs w:val="16"/>
        </w:rPr>
        <w:softHyphen/>
        <w:t>ный инженер ВВС генерал А. К. Репин 28 декабря 1942 г.</w:t>
      </w:r>
    </w:p>
    <w:p w14:paraId="098D5F2E"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Опыт 42-го иап по боевому применению «истре</w:t>
      </w:r>
      <w:r w:rsidRPr="00722885">
        <w:rPr>
          <w:color w:val="000000" w:themeColor="text1"/>
          <w:sz w:val="16"/>
          <w:szCs w:val="16"/>
        </w:rPr>
        <w:softHyphen/>
        <w:t>бителей Як-7б М-105Пф с пушкой 37 мм ОКБ-15 и пулеметом УБС» в январе 1943 г. изучался в НИИ ВВС КА. Ответственными исполнителями были ка</w:t>
      </w:r>
      <w:r w:rsidRPr="00722885">
        <w:rPr>
          <w:color w:val="000000" w:themeColor="text1"/>
          <w:sz w:val="16"/>
          <w:szCs w:val="16"/>
        </w:rPr>
        <w:softHyphen/>
        <w:t>питан А. С. Никитин и командир полка подполков</w:t>
      </w:r>
      <w:r w:rsidRPr="00722885">
        <w:rPr>
          <w:color w:val="000000" w:themeColor="text1"/>
          <w:sz w:val="16"/>
          <w:szCs w:val="16"/>
        </w:rPr>
        <w:softHyphen/>
        <w:t>ник Ф. И. Шинкаренко. Отчет был утвержден на</w:t>
      </w:r>
      <w:r w:rsidRPr="00722885">
        <w:rPr>
          <w:color w:val="000000" w:themeColor="text1"/>
          <w:sz w:val="16"/>
          <w:szCs w:val="16"/>
        </w:rPr>
        <w:softHyphen/>
        <w:t>чальником института генерал-майором П. А. Лосюковым 21 января.</w:t>
      </w:r>
    </w:p>
    <w:p w14:paraId="0F89235B"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все полеты на Як-7-37 выполнялись только над своей террито</w:t>
      </w:r>
      <w:r w:rsidRPr="00722885">
        <w:rPr>
          <w:color w:val="000000" w:themeColor="text1"/>
          <w:sz w:val="16"/>
          <w:szCs w:val="16"/>
        </w:rPr>
        <w:softHyphen/>
        <w:t>рией. Перелет линии фронта категорически запре</w:t>
      </w:r>
      <w:r w:rsidRPr="00722885">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1B1E2404"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Як-7-37 было проведено 12 групповых воз</w:t>
      </w:r>
      <w:r w:rsidRPr="00722885">
        <w:rPr>
          <w:color w:val="000000" w:themeColor="text1"/>
          <w:sz w:val="16"/>
          <w:szCs w:val="16"/>
        </w:rPr>
        <w:softHyphen/>
        <w:t>душных боев при примерно равном соотношении сил, в которых было сбито десять самолетов про</w:t>
      </w:r>
      <w:r w:rsidRPr="00722885">
        <w:rPr>
          <w:color w:val="000000" w:themeColor="text1"/>
          <w:sz w:val="16"/>
          <w:szCs w:val="16"/>
        </w:rPr>
        <w:softHyphen/>
        <w:t xml:space="preserve">тивника (восемь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xml:space="preserve">, </w:t>
      </w:r>
      <w:r w:rsidRPr="00722885">
        <w:rPr>
          <w:color w:val="000000" w:themeColor="text1"/>
          <w:sz w:val="16"/>
          <w:szCs w:val="16"/>
          <w:lang w:val="en-US"/>
        </w:rPr>
        <w:t>Fw</w:t>
      </w:r>
      <w:r w:rsidRPr="00722885">
        <w:rPr>
          <w:color w:val="000000" w:themeColor="text1"/>
          <w:sz w:val="16"/>
          <w:szCs w:val="16"/>
        </w:rPr>
        <w:t xml:space="preserve">189, </w:t>
      </w:r>
      <w:r w:rsidRPr="00722885">
        <w:rPr>
          <w:color w:val="000000" w:themeColor="text1"/>
          <w:sz w:val="16"/>
          <w:szCs w:val="16"/>
          <w:lang w:val="en-US"/>
        </w:rPr>
        <w:t>Hs</w:t>
      </w:r>
      <w:r w:rsidRPr="00722885">
        <w:rPr>
          <w:color w:val="000000" w:themeColor="text1"/>
          <w:sz w:val="16"/>
          <w:szCs w:val="16"/>
        </w:rPr>
        <w:t>126). Свои потери составили пять летчиков.</w:t>
      </w:r>
    </w:p>
    <w:p w14:paraId="6E586BA4"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общему мнению летчиков полка, Як-7-37 «по сравнению с другими типами истребителей, кроме Як-1, является лучшим самолетом, который позво</w:t>
      </w:r>
      <w:r w:rsidRPr="00722885">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722885">
        <w:rPr>
          <w:color w:val="000000" w:themeColor="text1"/>
          <w:sz w:val="16"/>
          <w:szCs w:val="16"/>
        </w:rPr>
        <w:softHyphen/>
        <w:t>ми «желательно повысить скорость полета самоле</w:t>
      </w:r>
      <w:r w:rsidRPr="00722885">
        <w:rPr>
          <w:color w:val="000000" w:themeColor="text1"/>
          <w:sz w:val="16"/>
          <w:szCs w:val="16"/>
        </w:rPr>
        <w:softHyphen/>
        <w:t>та на 40—50 км/ч».</w:t>
      </w:r>
    </w:p>
    <w:p w14:paraId="512669A3"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пушка Ш-37 показала себя с наи</w:t>
      </w:r>
      <w:r w:rsidRPr="00722885">
        <w:rPr>
          <w:color w:val="000000" w:themeColor="text1"/>
          <w:sz w:val="16"/>
          <w:szCs w:val="16"/>
        </w:rPr>
        <w:softHyphen/>
        <w:t>лучшей стороны, работала почти без отказов и ока</w:t>
      </w:r>
      <w:r w:rsidRPr="00722885">
        <w:rPr>
          <w:color w:val="000000" w:themeColor="text1"/>
          <w:sz w:val="16"/>
          <w:szCs w:val="16"/>
        </w:rPr>
        <w:softHyphen/>
        <w:t>залась простой в эксплуатации. Вследствие силь</w:t>
      </w:r>
      <w:r w:rsidRPr="00722885">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49AF842E"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722885">
        <w:rPr>
          <w:color w:val="000000" w:themeColor="text1"/>
          <w:sz w:val="16"/>
          <w:szCs w:val="16"/>
        </w:rPr>
        <w:softHyphen/>
        <w:t>совую серию уже пошел истребитель Як-9 М-105ПФ с лучшими летно-боевыми данными. По этим причи</w:t>
      </w:r>
      <w:r w:rsidRPr="00722885">
        <w:rPr>
          <w:color w:val="000000" w:themeColor="text1"/>
          <w:sz w:val="16"/>
          <w:szCs w:val="16"/>
        </w:rPr>
        <w:softHyphen/>
        <w:t>нам все дальнейшие работы по увеличению мощно</w:t>
      </w:r>
      <w:r w:rsidRPr="00722885">
        <w:rPr>
          <w:color w:val="000000" w:themeColor="text1"/>
          <w:sz w:val="16"/>
          <w:szCs w:val="16"/>
        </w:rPr>
        <w:softHyphen/>
        <w:t>сти огня проводились именно на «девятке» (17500).</w:t>
      </w:r>
    </w:p>
    <w:p w14:paraId="6D6EBD1D" w14:textId="77777777" w:rsidR="00DC64AA" w:rsidRPr="00722885" w:rsidRDefault="00DC64AA" w:rsidP="00722885">
      <w:pPr>
        <w:pStyle w:val="12a"/>
        <w:shd w:val="clear" w:color="auto" w:fill="auto"/>
        <w:spacing w:after="0" w:line="240" w:lineRule="auto"/>
        <w:jc w:val="both"/>
        <w:rPr>
          <w:color w:val="000000" w:themeColor="text1"/>
          <w:sz w:val="16"/>
          <w:szCs w:val="16"/>
        </w:rPr>
      </w:pPr>
    </w:p>
    <w:p w14:paraId="4C59EAA9"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08C293E" w14:textId="77777777" w:rsidR="00BB6316" w:rsidRPr="00722885" w:rsidRDefault="00BB6316" w:rsidP="00722885">
      <w:pPr>
        <w:pStyle w:val="Iauiue"/>
        <w:jc w:val="both"/>
        <w:rPr>
          <w:iCs/>
          <w:color w:val="000000" w:themeColor="text1"/>
          <w:sz w:val="16"/>
          <w:szCs w:val="16"/>
        </w:rPr>
      </w:pPr>
    </w:p>
    <w:p w14:paraId="0C16ECD1"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13 декабря 1942 вышло Распоряжение ГКО № 2619 [О приостановлении в текущем году достройки железнодорожной линии ст. Фосфоритная - берег р. Камы и подвозе 150 тыс. куб. м древесины к линии Пермской железной дороги.] (7066, 180).</w:t>
      </w:r>
    </w:p>
    <w:p w14:paraId="6687D7BA" w14:textId="77777777" w:rsidR="00BB6316" w:rsidRPr="00722885" w:rsidRDefault="00BB6316" w:rsidP="00722885">
      <w:pPr>
        <w:pStyle w:val="Iauiue"/>
        <w:tabs>
          <w:tab w:val="left" w:pos="11199"/>
        </w:tabs>
        <w:jc w:val="both"/>
        <w:rPr>
          <w:color w:val="000000" w:themeColor="text1"/>
          <w:sz w:val="16"/>
          <w:szCs w:val="16"/>
        </w:rPr>
      </w:pPr>
    </w:p>
    <w:p w14:paraId="046BF7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декабря 1942 вышло Распоряжение ГКО№ 2620 Об изменении заданий по заготовке и вывозке дров по постановлению ГКО № 2570 от 5 декабря 1942 г. РГАНИР, Фонд ГКО, д. 72, лл. 181-182 (11012).</w:t>
      </w:r>
    </w:p>
    <w:p w14:paraId="3D04B52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8A6D7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декабря 1942 вышло Постановление ГКО № 2621 О строительстве электростанции № 1 в гор. Кирове. РГАНИР, Фонд ГКО, д. 72, лл. 183-184 (11012).</w:t>
      </w:r>
    </w:p>
    <w:p w14:paraId="339458C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D1D87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декабря 1942 вышло Постановление ГКО № 2622 Об отмене постановления ГОКО за № 2491сс от 9 ноября. 1942 г. о восстановлении производства колес Гриффина на заводе № 183. Наркомтанкопрома. . РГАНИР, Фонд ГКО, д. 72, лл. 185 (11012).</w:t>
      </w:r>
    </w:p>
    <w:p w14:paraId="50E6293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8C788D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9D91E29" w14:textId="77777777" w:rsidR="00BB6316" w:rsidRPr="00722885" w:rsidRDefault="00BB6316" w:rsidP="00722885">
      <w:pPr>
        <w:pStyle w:val="Iauiue"/>
        <w:jc w:val="both"/>
        <w:rPr>
          <w:iCs/>
          <w:color w:val="000000" w:themeColor="text1"/>
          <w:sz w:val="16"/>
          <w:szCs w:val="16"/>
        </w:rPr>
      </w:pPr>
    </w:p>
    <w:p w14:paraId="6966C902"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13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273A41D2"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13 декабря в районе Сталинграда и на Центральном фронте наши войска продолжали вести наступательные бои на прежних направлениях.</w:t>
      </w:r>
    </w:p>
    <w:p w14:paraId="00FBE4F1"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вели огневой бой с противником.Уничтожено 13 вражеских дзотов и 5 блиндажей вместе с их гарнизонами. На северо-западной окраине города наши подразделения предприняли ночную вылазку в расположение противника, истребили 80 немцев и заняли несколько окопов и блиндажей.</w:t>
      </w:r>
    </w:p>
    <w:p w14:paraId="5A8AA83F"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Н-ской части ночью выбили противника из 16 дзотов и блиндажей. В результате боя уничтожено 160 гитлеровцев и захвачены 4орудия, миномётная батарея, 8 противотанковых ружей и склад боеприпасов. Взяты пленные. На другом участке отражена контратака пехоты и танков противника. Подбито и сожжено 9 немецких танков. На поле боя осталось до 300 вражеских трупов.</w:t>
      </w:r>
    </w:p>
    <w:p w14:paraId="146569A8"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противник пытался контратаковать наши позиции. Встреченные мощным артиллерийским и миномётным огнём, немцы откатились на исходные рубежи, оставив на поле боя свыше 400 трупов. Н-ское подразделение выбило врага из укреплённых позиций и захватило 8 пулемётов, 2 миномёта и 126 винтовок.</w:t>
      </w:r>
    </w:p>
    <w:p w14:paraId="11931F23"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закреплялись на достигнутых рубежах, а на отдельных участках вели бои с пехотой и танками противника. Западнее Ржева Н-ская часть отбила несколько контратак пехоты противника, опрокинула немцев и ворвалась в населённый пункт. Захвачены пленные и трофеи. На другом участке противник большой группой танков контратаковал позиции Н-ской части. Наши артиллеристы быстро выдвинули орудия на открытые позиции и открыли огонь. Сожжено и подбито 6 вражеских танков. Артиллеристов поддержали бронебойщики. Красноармеец т. Созинов из противотанкового ружья подбил 2 немецких танка. Истребители танков под командованием тов. Мережко сожгли и подбили ещё 9 танков противника.</w:t>
      </w:r>
    </w:p>
    <w:p w14:paraId="541E31AB"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заняли один населённый пункт. Противник контратаками пытался восстановить прежнее положение, но был отброшен на исходные позиции. На подступах к населённому пункту и на его улицах осталось 140 вражеских трупов.</w:t>
      </w:r>
    </w:p>
    <w:p w14:paraId="2564508E"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отряда, действующего в одном из районов Орловской области, в течение двух недель пустили под откос 6 железнодорожных эшелонов противника. В результате крушений разбито 3 паровоза и около 100 вагонов и платформ с разным военным имуществом. Убито 93 гитлеровца. Группа партизан этого отряда совершила налёт на немецкий гарнизон и уничтожила 55 немецких солдат и офицеров. Советские патриоты освободили из гитлеровского застенка 32 семьи партизан, приговорённых немецкими палачами к расстрелу.</w:t>
      </w:r>
    </w:p>
    <w:p w14:paraId="14730C7D"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акт о зверствах гитлеровцев в селе Русакове, Чернышевского района, Ростовской области: «Немецко-фашистские бандиты дочиста ограбили всех жителей села, перерезали скот, птицу, забрали весь хлеб, отняли у крестьян одежду, обувь и другие вещи. Фашистские палачи замучили десятки женщин, детей и стариков. Незадолго до своего отступления немцы загнали 30 раненых пленных красноармейцев в сарай и живьём сожгли их». Акт подписали: гвардии капитан Чекмарёв, гвардии капитан Милославов, гвардии санинструктор Васильченко и гвардии старший военфельдшер Смага.» (14859).</w:t>
      </w:r>
    </w:p>
    <w:p w14:paraId="1CB2D408" w14:textId="77777777" w:rsidR="00EF02AD" w:rsidRPr="00722885" w:rsidRDefault="00EF02AD" w:rsidP="00722885">
      <w:pPr>
        <w:spacing w:after="0" w:line="240" w:lineRule="auto"/>
        <w:jc w:val="both"/>
        <w:rPr>
          <w:rFonts w:ascii="Times New Roman" w:hAnsi="Times New Roman"/>
          <w:color w:val="000000" w:themeColor="text1"/>
          <w:sz w:val="16"/>
          <w:szCs w:val="16"/>
        </w:rPr>
      </w:pPr>
    </w:p>
    <w:p w14:paraId="137CE85D"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13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39EAE6C4"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13 декабря наши войска в районе Сталинграда и на Центральном фронте продолжали вести наступательные бои на прежних направлениях.</w:t>
      </w:r>
    </w:p>
    <w:p w14:paraId="03A3C2C6"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6 по 12 декабря включительно, в воздушных боях, на аэродромах и огнём зенитной артиллерии уничтожено 407 немецких самолётов, в том числе 325 трёхмоторных транспортных самолётов. Наши потери за это же время — 156самолётов.</w:t>
      </w:r>
    </w:p>
    <w:p w14:paraId="3C73EA0A"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декабря частями нашей авиации на различных участках фронта уничтожено или повреждено 15 немецких танков, более 100 автомашин с войсками и грузами, подавлен огонь 10 батарей полевой и зенитной артиллерии, взорвано 3 склада боеприпасов, рассеяно и частью уничтожено до батальона пехоты противника.</w:t>
      </w:r>
    </w:p>
    <w:p w14:paraId="45E65FBE"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вели огневой бой и разведку противника. Штурмовыми группами немцы выбиты из 11 дзотов и нескольких зданий. Противник потерял убитыми 180 солдат и офицеров. Захвачено орудие, 5 пулемётов,17 автоматов и боеприпасы.</w:t>
      </w:r>
    </w:p>
    <w:p w14:paraId="31F3DB42"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южной окраине города наши части продвинулись вперёд и ведут бой в окопах первой и второй линии обороны противника.</w:t>
      </w:r>
    </w:p>
    <w:p w14:paraId="732F47A5"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наша часть захватила ряд важных высот. Разрушено и захвачено 50 вражеских дзотов, уничтожено до 400 немецких солдат и офицеров. Захвачено 9 автомашин, 14 станковых пулемётов, много автоматов и винтовок. На другом участке усиленная группа наших разведчиков произвела вылазку в расположение противника, захватила 12 пулемётов и 49 пленных.</w:t>
      </w:r>
    </w:p>
    <w:p w14:paraId="77DC6885"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гитлеровцы силами пехоты и танков перешли в наступление на позиции, которые обороняет Н-ская часть. Встреченные артиллерийским огнём, они отступили, оставив на поде боя много трупов. Вскоре противник предпринял одну за другой ещё три атаки. Одной группе немецких танков удалось вклиниться в нашу оборону. Советские артиллеристы и бронебойщики подбили15 и сожгли 7 вражеских танков уничтожено до 800 немецких солдат и офицеров.</w:t>
      </w:r>
    </w:p>
    <w:p w14:paraId="5DA29F97"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закреплялись на достигнутых рубежах ичастью сил вели наступательные бои. Западнее Ржева немцы силою до полка пехоты при поддержке большой группы танков трижды контратаковали позиции части, где командиром тов. Зубатов. Все контратаки противника были отбиты нашими бойцами. Потеряв до 400 солдат и офицеров, 4 танка, 7 автомашин и 2 орудия, гитлеровцыотступили на исходные позиции. На другом участке подразделение под командованием тов. Шевченко уничтожено 6 немецких танков и до 200 солдат и офицеров противника.</w:t>
      </w:r>
    </w:p>
    <w:p w14:paraId="42D145A3"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батальон вражеской пехоты, пытаясь проникнуть в тыл советского подразделения, несколько потеснил наше боевое охранение. Умелым маневром наши бойцы окружили немецкий батальон и ведут бои по его уничтожению.</w:t>
      </w:r>
    </w:p>
    <w:p w14:paraId="716959A0"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Партизанский отряд, действующий на Северном Кавказе, за последние дни истребил 44 немецко-фашистских оккупанта и разрушил телеграфно-телефонную линию на протяжении 4 км. Кроме того, партизаны отбили у немцев 2.027 голов рогатого скота. Партизаны другого отряда в бою с противником истребили 25 солдат и 3 немецких офицеров.</w:t>
      </w:r>
    </w:p>
    <w:p w14:paraId="71A0400A"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советские войска очистили от противника населенный пункт. Представитель Совнаркома Северо-Осетинской АССР т. Тебиев, председатель сельского совета т. Алагов, колхозница Т.Пухова, интендант 3 ранга Т.Барский,политрук т. Богатырев, гвардии старший лейтенант т. Смольняков и гвардии красноармеец т. Моршаков cоставили акт, в котором описываются зверства немецко-фашистских мерзавцев. Гитлеровцы хозяйничали в селе всего лишь 9 дней.За это время они убили 12 мирных граждан, ограбили всех жителей, отобрали у них все, что представляло какую-либо ценность. Немцы выселили 110-летнего крестьянина Мисикова, а дом его разрушили. Грабители забрали у Мисикова корову, 2 телят, свинью, 30 голов домашней птицы, тонну хлеба и 1,5 тонны картофеля. У колхозника Дзогоева гитлеровцы забрали 2 коров, телят, козу, 30 голов домашней птицы, 30 пудов мухи и 40 пудов кукурузы, всю одежду, обувь и постельные принадлежности. Немцы сожгли дом колхозницы Кудиевой и забрали у нее два меховых пальто, одеяло, простыни и другие вещи. Всего в акте перечисляются 82 человека, пострадавших от гитлеровских разбойников. При отступлении бандиты разрушили почти все жилые дома, сожгли и уничтожили все, что не успели увезти ссобой. В немецких блиндажах и окопах найдены загаженные солдатами одеяла, подушки и другие вещи, награбленные у местного населения.» (14859).</w:t>
      </w:r>
    </w:p>
    <w:p w14:paraId="2BC5B5A5" w14:textId="77777777" w:rsidR="00EF02AD" w:rsidRPr="00722885" w:rsidRDefault="00EF02AD" w:rsidP="00722885">
      <w:pPr>
        <w:spacing w:after="0" w:line="240" w:lineRule="auto"/>
        <w:jc w:val="both"/>
        <w:rPr>
          <w:rFonts w:ascii="Times New Roman" w:hAnsi="Times New Roman"/>
          <w:color w:val="000000" w:themeColor="text1"/>
          <w:sz w:val="16"/>
          <w:szCs w:val="16"/>
        </w:rPr>
      </w:pPr>
    </w:p>
    <w:p w14:paraId="5AD65813"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13 декабря</w:t>
      </w:r>
      <w:r w:rsidRPr="00722885">
        <w:rPr>
          <w:rFonts w:ascii="Times New Roman" w:hAnsi="Times New Roman"/>
          <w:color w:val="000000" w:themeColor="text1"/>
          <w:sz w:val="16"/>
          <w:szCs w:val="16"/>
        </w:rPr>
        <w:t xml:space="preserve"> в 1942 году танковые и моторизованные соединения армейской группы «Гот», продвинувшись на 45 км, вышли на подступы к реке Мышкова (14859).</w:t>
      </w:r>
    </w:p>
    <w:p w14:paraId="6BFDC8A3" w14:textId="77777777" w:rsidR="00EF02AD" w:rsidRPr="00722885" w:rsidRDefault="00EF02AD" w:rsidP="00722885">
      <w:pPr>
        <w:spacing w:after="0" w:line="240" w:lineRule="auto"/>
        <w:jc w:val="both"/>
        <w:rPr>
          <w:rFonts w:ascii="Times New Roman" w:hAnsi="Times New Roman"/>
          <w:color w:val="000000" w:themeColor="text1"/>
          <w:sz w:val="16"/>
          <w:szCs w:val="16"/>
        </w:rPr>
      </w:pPr>
    </w:p>
    <w:p w14:paraId="0206F9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13 декабря 1942 г. по 2 февраля 1943 г. 2-й бак выполнил 1853 самолето-вылета (включая 50 ночных), сбросил 1877 т бомб, уничтожил или повредил (по докладам экипажей) 186 танков, 1669 автомашин, 41 полевое и 6 зенитных орудий, 17 минометных батарей, взорвал около 50 различных складов; собственные потери составили 21 Пе-2, из которых 7 машин погибли в авариях или катастрофах.</w:t>
      </w:r>
    </w:p>
    <w:p w14:paraId="608EEC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Наиболее неудачным днем стало 18 декабря, когда пострадали 35-й гв. и 99-й бап. Сначала шедшую без прикрытия девятку Пе- 2 атаковали две пары "охотников" из 1/JG3. Каждый из "мессеров" выбрал себе жертву, открыв огонь с дистанции 400 м и закончив стрелять в 150 м от цели. В результате одна из "пешек" погибла, а три другие совершили вынужденные посадки, после чего немцы исчезли так же стремительно, как и появились. Через несколько минут в ходе еще одной атаки двух "охотников" два бомбардировщика оказались сбиты и два подбиты.</w:t>
      </w:r>
    </w:p>
    <w:p w14:paraId="6613E2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целом, нанесенный неприятелю урон оказался существенным, а потери - небольшими. Последнее можно объяснить тремя обстоятельствами: значительным ослаблением немецкой ПВО, особенно в кольце окружения в январе 1943 г., непрерывной учебой молодого личного состава (с начала октября 1942 г. до капитуляции 6-й армии было выполнено 3063 учебно-тренировочных полета), удачным взаимодействием бомбардировщиков с истребителями прикрытия.</w:t>
      </w:r>
    </w:p>
    <w:p w14:paraId="23D552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Одним из важных документов, подписанным в декабре начальником штаба 2-го бак полковником М.А. Барановым и утвержденным генералом И.Л. Туркелем, были указания по вопросам взаимодействия двух родов авиации. Документ оговаривал, что "командир бомбардировочной авиадивизии до принятия решения обязан связаться с командиром истребительной авиации и путем личного общения через начальника штаба уточнить важнейшие вопросы". В число последних входили состав вылетающих групп, условия встречи истребителей и бомбардировщиков, боевой порядок на маршруте и над целью, метод бомбометания, условные сигналы, соотношение ударных самолетов и самолетов прикрытия, в зависимости от противодействия неприятеля, и др.</w:t>
      </w:r>
    </w:p>
    <w:p w14:paraId="49DB9F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марту 1943 2-й бак вывели из подчинения 16-й ВА, а 3-й бак, который сформировал около Ярославля генерал-майор А.З. Каравацкий в составе 241-й бад (24-й, 128-й, 779-й бап) и 301-й бад (34-й, 54-й, 96-й гв. бап), наоборот, на долгое время вошел в объединение генерала С.И. Руденко. Единственный в корпусе 96-й гвардейский полк, ранее называвшийся 99-м бап, заслужил почетное звание за успехи под Сталинградом в составе 223-й бад; во 2-м бак его заменили женским 587-м бап им. Марины Расковой. Отметим также наиболее важные кадровые назначения: Герой Советского Союза полковник И.С. Полбин сменил генерала В.А. Судца в командовании 1-м бак, а генерал-майор В.А. Ушаков - генерала И.Л. Туркеля в руководстве 2-м бак (12042).</w:t>
      </w:r>
    </w:p>
    <w:p w14:paraId="0972663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4C8C678" w14:textId="77777777" w:rsidR="00BB6316" w:rsidRPr="00722885" w:rsidRDefault="00267F26" w:rsidP="00722885">
      <w:pPr>
        <w:pStyle w:val="Iauiue"/>
        <w:jc w:val="both"/>
        <w:rPr>
          <w:iCs/>
          <w:color w:val="000000" w:themeColor="text1"/>
          <w:sz w:val="16"/>
          <w:szCs w:val="16"/>
          <w:lang w:val="en-US"/>
        </w:rPr>
      </w:pPr>
      <w:r w:rsidRPr="00722885">
        <w:rPr>
          <w:i/>
          <w:iCs/>
          <w:color w:val="000000" w:themeColor="text1"/>
          <w:sz w:val="16"/>
          <w:szCs w:val="16"/>
        </w:rPr>
        <w:t>За</w:t>
      </w:r>
      <w:r w:rsidRPr="00722885">
        <w:rPr>
          <w:i/>
          <w:iCs/>
          <w:color w:val="000000" w:themeColor="text1"/>
          <w:sz w:val="16"/>
          <w:szCs w:val="16"/>
          <w:lang w:val="en-US"/>
        </w:rPr>
        <w:t xml:space="preserve"> </w:t>
      </w:r>
      <w:r w:rsidRPr="00722885">
        <w:rPr>
          <w:i/>
          <w:iCs/>
          <w:color w:val="000000" w:themeColor="text1"/>
          <w:sz w:val="16"/>
          <w:szCs w:val="16"/>
        </w:rPr>
        <w:t>рубежом</w:t>
      </w:r>
      <w:r w:rsidRPr="00722885">
        <w:rPr>
          <w:i/>
          <w:iCs/>
          <w:color w:val="000000" w:themeColor="text1"/>
          <w:sz w:val="16"/>
          <w:szCs w:val="16"/>
          <w:lang w:val="en-US"/>
        </w:rPr>
        <w:t>:</w:t>
      </w:r>
    </w:p>
    <w:p w14:paraId="2572A5B0" w14:textId="77777777" w:rsidR="00BB6316" w:rsidRPr="00722885" w:rsidRDefault="00BB6316" w:rsidP="00722885">
      <w:pPr>
        <w:pStyle w:val="Iauiue"/>
        <w:jc w:val="both"/>
        <w:rPr>
          <w:iCs/>
          <w:color w:val="000000" w:themeColor="text1"/>
          <w:sz w:val="16"/>
          <w:szCs w:val="16"/>
          <w:lang w:val="en-US"/>
        </w:rPr>
      </w:pPr>
    </w:p>
    <w:p w14:paraId="3A4B1E57"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13 1942 Rommel withdraws from El Agheila (1050).</w:t>
      </w:r>
    </w:p>
    <w:p w14:paraId="6ED7BB6E" w14:textId="77777777" w:rsidR="00BB6316" w:rsidRPr="00722885" w:rsidRDefault="00BB6316" w:rsidP="00722885">
      <w:pPr>
        <w:pStyle w:val="Iauiue"/>
        <w:jc w:val="both"/>
        <w:rPr>
          <w:color w:val="000000" w:themeColor="text1"/>
          <w:sz w:val="16"/>
          <w:szCs w:val="16"/>
          <w:lang w:val="en-US"/>
        </w:rPr>
      </w:pPr>
    </w:p>
    <w:p w14:paraId="653E644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13 декабря 1942 г Роммель был выбит из Эль Аламейна (1050).</w:t>
      </w:r>
    </w:p>
    <w:p w14:paraId="259987E8" w14:textId="77777777" w:rsidR="00BB6316" w:rsidRPr="00722885" w:rsidRDefault="00BB6316" w:rsidP="00722885">
      <w:pPr>
        <w:pStyle w:val="Iauiue"/>
        <w:jc w:val="both"/>
        <w:rPr>
          <w:color w:val="000000" w:themeColor="text1"/>
          <w:sz w:val="16"/>
          <w:szCs w:val="16"/>
        </w:rPr>
      </w:pPr>
    </w:p>
    <w:p w14:paraId="0DFF84C9"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13 декабря 1942 Гитлер провозгласил Антона Муссерта главой Голландии (4962).</w:t>
      </w:r>
    </w:p>
    <w:p w14:paraId="1E95BAA9" w14:textId="77777777" w:rsidR="00BB6316" w:rsidRPr="00722885" w:rsidRDefault="00BB6316" w:rsidP="00722885">
      <w:pPr>
        <w:pStyle w:val="Iauiue"/>
        <w:tabs>
          <w:tab w:val="left" w:pos="11199"/>
        </w:tabs>
        <w:jc w:val="both"/>
        <w:rPr>
          <w:color w:val="000000" w:themeColor="text1"/>
          <w:sz w:val="16"/>
          <w:szCs w:val="16"/>
        </w:rPr>
      </w:pPr>
    </w:p>
    <w:p w14:paraId="1BBCA388" w14:textId="77777777" w:rsidR="001E756A" w:rsidRPr="00722885" w:rsidRDefault="001E756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13 декабря 1942 летающие лодки ВМС США PBY Catalina начинают ночные атаки на аэродром Мунда (20793).</w:t>
      </w:r>
    </w:p>
    <w:p w14:paraId="2EDA691B" w14:textId="77777777" w:rsidR="001E756A" w:rsidRPr="00722885" w:rsidRDefault="001E756A" w:rsidP="00722885">
      <w:pPr>
        <w:spacing w:after="0" w:line="240" w:lineRule="auto"/>
        <w:jc w:val="both"/>
        <w:rPr>
          <w:rFonts w:ascii="Times New Roman" w:hAnsi="Times New Roman"/>
          <w:color w:val="0070C0"/>
          <w:sz w:val="16"/>
          <w:szCs w:val="16"/>
        </w:rPr>
      </w:pPr>
    </w:p>
    <w:p w14:paraId="71269C3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144CEDC" w14:textId="77777777" w:rsidR="00BB6316" w:rsidRPr="00722885" w:rsidRDefault="00BB6316" w:rsidP="00722885">
      <w:pPr>
        <w:pStyle w:val="Iauiue"/>
        <w:jc w:val="both"/>
        <w:rPr>
          <w:iCs/>
          <w:color w:val="000000" w:themeColor="text1"/>
          <w:sz w:val="16"/>
          <w:szCs w:val="16"/>
        </w:rPr>
      </w:pPr>
    </w:p>
    <w:p w14:paraId="77C0D4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декабря 1942 в ходе войсковых испытаний на Калининском фронте в 800-м и 667-м шап 1-го шак Резерва Ставки ВГК 16 двухместных Ил-2 с задней стрелковой установкой ВУБ-3 с пулеметом УБТ завода №30 участвовал экипаж в составе лейтенанта Шубина и воздушного стрелка Баранова из 800-го шап. При выполнении боевого задания в районе Белый их самолет получил повреждения от огня зенитной артиллерии и отстал от группы. На обратном пути они были атакованы парой Bf 109. Отражая атаки "мессершмит- тов", Баранов расстрелял весь боекомплект, но пилоты Люфтваффе, получив отпор, ушли. В ходе боя Баранов вначале был ранен в ноги, а затем в результате разрыва снаряда на задней бронеспинке кабины летчика получил несколько тяжелых осколочных ранений. Лейтенант Шубин благополучно довел поврежденный штурмовик до своего аэродрома, где и совершил посадку (12020).</w:t>
      </w:r>
    </w:p>
    <w:p w14:paraId="3B96690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447FB3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14 декабря 1942 Зам. Нач. ГУЗ ВВС Бибиков писал НКАП А.И.Ш. письмо N 377925 по вопросу дополнительной поставки ВВС КА моторов в декабре с.г. и просил еще 253 мотора АМ-38 (1632,292).</w:t>
      </w:r>
    </w:p>
    <w:p w14:paraId="287C9C36" w14:textId="77777777" w:rsidR="00BB6316" w:rsidRPr="00722885" w:rsidRDefault="00BB6316" w:rsidP="00722885">
      <w:pPr>
        <w:pStyle w:val="Iauiue"/>
        <w:jc w:val="both"/>
        <w:rPr>
          <w:color w:val="000000" w:themeColor="text1"/>
          <w:sz w:val="16"/>
          <w:szCs w:val="16"/>
        </w:rPr>
      </w:pPr>
    </w:p>
    <w:p w14:paraId="4F817E6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14 декабря 1942 г. закончились госиспытания в НИИ ВВС Пе-2 (№ 3/0) с АКАБ Можаровского и Виневидова, которые проходили с 6 октября 1941. На этой машине до этого в ОКБ В.М.Петлякова испытывались различные варианты вооружения.</w:t>
      </w:r>
    </w:p>
    <w:p w14:paraId="35DC58B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АКАБ была разработана в 1942 г., когда Можаровский и Веневидов, будучи в эвакуации в Казани, вернулись к идее установки на самолет подвижной пушечной установки. К работам дополнительно был привлечен главный конструктор завода № 262 А.А.Енгибарян, который внес ряд усовершенствований в конструкцию КАББ. Новая система получила наименование АКАБ (автоматическая комбинированная артиллерийская батарея) и включала две пушки ШВАК и два пулемета УБК калибра 12,7 мм.</w:t>
      </w:r>
    </w:p>
    <w:p w14:paraId="6144500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Основное отличие АКАБ от предыдущего варианта, кроме состава вооружения, состояло в том, что теперь стволы пушек и пулеметов вращались не равномерно, а с учетом изменения расстояния до цели: в начале очереди стволы поворачивались медленнее, а при подлете к цели - быстрее (9649).</w:t>
      </w:r>
    </w:p>
    <w:p w14:paraId="14BE02F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Было выполнено 24 полета, из них 21 со стрельбой и бомбометанием.</w:t>
      </w:r>
    </w:p>
    <w:p w14:paraId="5883A37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Максимальный угол отклонения стволов пушек и пулемета АКАБ составлял 40°. Перемещение лафета оружия осуществлялось по закону котангенса. АКАБ состояла из двух батарей, каждая из которых включала одну пушку ШВАК и один пулеметУБК. При прекращении огня оружие автоматически возвращалось в исходное положение. Батареи синхронизированы.</w:t>
      </w:r>
    </w:p>
    <w:p w14:paraId="4D22730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отчете отмечалось, что: “Установка АКАБ на самолетах штурмового типа имеет целью изменить тактику штурмовой атаки по наземным целям в область упрощения работы экипажа, т. к. все атаки при стрельбе и при бомбометании производятся с простого горизонтального полета и позволяет вести прицельную стрельбу и бомбометание при управлении от одной и той же боевой кнопки.</w:t>
      </w:r>
    </w:p>
    <w:p w14:paraId="3DA4B8B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то же время в нулевом положении оружия можно вести воздушный бой и атаку с пикирования. Можно фиксировать любое угловое положение оружия от 3 до 40 градусов.</w:t>
      </w:r>
    </w:p>
    <w:p w14:paraId="734F8CD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Расчетные высоты от 100 до 300 м. Ниже 100 м применять нецелесообразно, т. к. будет мала плотность огня. Скорость полета 400 км/час. Сокращается время нахождения самолета над целью.</w:t>
      </w:r>
    </w:p>
    <w:p w14:paraId="4DDAE2B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Плотность огня 0,81 снаряд на кв. м (при пикировании 0,24-0,56 сн/м2). Боезапас на 2 атаки.</w:t>
      </w:r>
    </w:p>
    <w:p w14:paraId="6138020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Недостаток - нельзя стрелять раздельно из пушек и пулеметов. На Пе-2 нецелесообразно из-за отсутствия бронирования. Кроме того, для размещения А КА Б убран алю ко вая установка.</w:t>
      </w:r>
    </w:p>
    <w:p w14:paraId="3CB3DE2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...Выводы:</w:t>
      </w:r>
    </w:p>
    <w:p w14:paraId="5B5E5CC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Пе-2 № 3/0 полигонные испытания выдержал;</w:t>
      </w:r>
    </w:p>
    <w:p w14:paraId="4E1B0E1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Боевое применение на Пе-2 нецелесообразно;</w:t>
      </w:r>
    </w:p>
    <w:p w14:paraId="7EF9997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Может быть использована на самолете Ил-2” (9649).</w:t>
      </w:r>
    </w:p>
    <w:p w14:paraId="4880909E" w14:textId="77777777" w:rsidR="00BB6316" w:rsidRPr="00722885" w:rsidRDefault="00BB6316" w:rsidP="00722885">
      <w:pPr>
        <w:pStyle w:val="Iauiue"/>
        <w:jc w:val="both"/>
        <w:rPr>
          <w:color w:val="000000" w:themeColor="text1"/>
          <w:sz w:val="16"/>
          <w:szCs w:val="16"/>
        </w:rPr>
      </w:pPr>
    </w:p>
    <w:p w14:paraId="0738CD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14 декабря 1942 был изготовлен самолет Як-1 № 08110. На следующий день самолет был облетан, принят военным представителем и выбран Ф.П. Головатым, который внес в оплату за истребитель 100 тысяч рублей в госбанк. Такой суммы денег в то время хватало для покупки пяти коров. С 18 декабря 1942 г. самолет числился за 31-м гиап. На своем самолете с 24 декабря этого года по 28 сентября 1943 г. Еремин выполнил 75 полетов. За этот период дважды в мае 1943 г. на подаренном истребителе слетал его заместитель майор С.Х. Куделя. Дальше на самолете практиковались молодые летчики полка (Иванов, Баровой, Кривошеев, Каптелов). Дело в том, что 1 сентября при очередном осмотре "Яка" обнаружилось коробление обшивки крыла и гаргрота фюзеляжа. После нескольких боевых вылетов Еремина инженерно- технический состав полка счел небезопасным для летчика вести на этой машине маневренные воздушные бои. Интенсивные тренировочные полеты молодого пополнения продолжались до конца ноября 1943 г., после чего из-за поломок выполнялись лишь единичные вылеты. 11 декабря I943 г. по окончании ремонта носка крыла, (поврежденного летчиком Каптеловым в полете 30 ноября) самолет в воздух поднял летчик Вирютин. А 17 декабря новая авария - у летчика Варсанахова на посадке убралась хвостовая опора. Получили повреждения руль поворота и нижняя хвостовая часть фюзеляжа. После ремонта систему уборки хвостовой опоры заглушили. "Як" совершил еше два полета. Во втором, 8 января 1944 г. летчик Смирнов произвел такую грубую посадку, что сложился "костыль" и появились трещины на левой стойке шасси и 11-й раме фермы фюзеляжа. Последний вылет, продолжительностью 25 минут, совершил 26 февраля 1944 г. летчик Базлов. Дальнейшие полеты прекратили в связи с необходимостью замены лакокрасочного покрытия и частичной замены фанерной обшивки. Так как самолет не был списан, регламентные работы на нем продолжались до 20 апреля 1944 г. (согласно последней записи в формуляре).</w:t>
      </w:r>
    </w:p>
    <w:p w14:paraId="2941A0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мая 1944 г. самолет передали 32-й раб для отправки в Саратов по просьбе руководителей Саратовской области. Там его установили в центре города на площади имени Кирова. При перевозке и сборке Як-1 потерял зализы крыла и некоторые другие детали. Поэтому при первой реставрации в 1944 г. он получил недостающие части от Як-3, так как выпуск Як-1 к этому времени уже был прекращен. Тогда же был заделан нижний фотолюк, изменено оборудование кабины. От реставрации к реставрации изменялась окраска машины и дарственная надпись (первый раз ее изменили в части в мае 1943 г., устранив орфографическую ошибку в написании фамилии дарителя). На капоте было изображено то 8 (число сбитых Ереминым самолетов лично), то 14 (обшее число сбитых на этом Як-1) звездочек. Таким образом, мало что осталось от первоначального варианта. Всего при ресурсе в 300 ч самолет налетал 102 ч 25 мин.</w:t>
      </w:r>
    </w:p>
    <w:p w14:paraId="55C54A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Почин Ф.П. Головатого тоже был подхвачен, и вскоре летчик А.Н. Катрич получил Як-1 от колхозника Саратовской области И.Д. Фролова. Приобрели свой самолет и колхозники Ершовского колхоза "Первомайский" М.А. Михаленко и Ф.А. Скудина, собравшие 170 тысяч рублей. Самолет Еремина стал крылатым агитатором на освобожденных территориях, где еще не знали о развернувшемся движении в помощь фронту. Там, где он побывал, начинался сбор средств на постройку военной техники. В боевой состав ВВС вошла эскадрилья "Освобожденный Донбасс" на Як-1 (третья эскадрилья 264-го иап). А колхозники села Шотово, где в октябре 1943 г. базировался 31-й гиап, подарили Як-1 командиру первой эскадрильи этого полка A.M. Решетову. Самолет с бортовым номером 16 на левом борту нес надпись: "Колхозники Шотовского сельсовета Ивановского района Запорожской области - Герою Советского Союза гвардии майору Решетову". При освобождении Польши летчик в одном из журналов увидел фотоснимок девочки трех-четырех лет и изобразил детское лицо на обшивке фюзеляжа. За войну прославленный летчик сбил лично 33 вражеские машины.</w:t>
      </w:r>
    </w:p>
    <w:p w14:paraId="0CC13EA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Подарок от земляков, жителей г. Алма- Ата, получил в виде самолета Як-1 командир 152-го гиап С.Д. Луганский. После ожесточенных боев на Днепре полк вывели на переформирование, а его командир получил отпуск. На одной из встреч с земляками, по предложению профессора Штесса, был начат сбор средств на самолет. За' два дня собрали 180 тысяч рублей. Самолет на заводе выбирал сам летчик. Первый из предложенных Як-1 Луганскому не понравился, и он выбрал другой. За войну дважды Герой Советского Союза Луганский выполнил 390 боевых вылетов, сбил лично 37 и в группе сше 5 машин противника (12048).</w:t>
      </w:r>
    </w:p>
    <w:p w14:paraId="6C8D40B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1F99C1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14 декабря 1942 на трассе Чарджоу-Ташкент в 13 час. 50 мин. разбили Л-760 так как л Козлов, севший за штурвал пока л Говяз отлучился, включил механизм подъема стабилизатора и загнал машину в пике (1017,265).</w:t>
      </w:r>
    </w:p>
    <w:p w14:paraId="5FE58A33" w14:textId="77777777" w:rsidR="00BB6316" w:rsidRPr="00722885" w:rsidRDefault="00BB6316" w:rsidP="00722885">
      <w:pPr>
        <w:pStyle w:val="Iauiue"/>
        <w:jc w:val="both"/>
        <w:rPr>
          <w:color w:val="000000" w:themeColor="text1"/>
          <w:sz w:val="16"/>
          <w:szCs w:val="16"/>
        </w:rPr>
      </w:pPr>
    </w:p>
    <w:p w14:paraId="03F3A5B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14 декабря 1942-го Л-760 погиб в авиакатастрофе, которая унесла жизни всех 26 пассажиров и 10 членов экипажа. Погиб так же нелепо, как "МГ. Во время полета из Ташкента в Чарджоу командир экипажа Говяз разрешил одному из пассажиров, Козлову, летчику по профессии, подменить его за штурвалом, выйдя на время из пилотской кабины. Козлов зачем-то включил (или случайно задел?) находившийся на подлокотнике пилотского кресла тумблер электромеханизма управления углом установки стабилизатора и самолет перешел в пикирование. Машина находилась на высоте 500 м, растерявшийся Козлов не сумел справиться с ситуацией и она врезалась в землю (4574).</w:t>
      </w:r>
    </w:p>
    <w:p w14:paraId="352835A4" w14:textId="77777777" w:rsidR="00BB6316" w:rsidRPr="00722885" w:rsidRDefault="00BB6316" w:rsidP="00722885">
      <w:pPr>
        <w:pStyle w:val="Iauiue"/>
        <w:jc w:val="both"/>
        <w:rPr>
          <w:color w:val="000000" w:themeColor="text1"/>
          <w:sz w:val="16"/>
          <w:szCs w:val="16"/>
        </w:rPr>
      </w:pPr>
    </w:p>
    <w:p w14:paraId="629EB33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14 декабря 1942 года самолёт ПС-124 был разбит при посадке в Средней Азии (5764,37).</w:t>
      </w:r>
    </w:p>
    <w:p w14:paraId="7D4E0843" w14:textId="77777777" w:rsidR="00BB6316" w:rsidRPr="00722885" w:rsidRDefault="00BB6316" w:rsidP="00722885">
      <w:pPr>
        <w:pStyle w:val="Iauiue"/>
        <w:jc w:val="both"/>
        <w:rPr>
          <w:color w:val="000000" w:themeColor="text1"/>
          <w:sz w:val="16"/>
          <w:szCs w:val="16"/>
        </w:rPr>
      </w:pPr>
    </w:p>
    <w:p w14:paraId="359FF6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декабря 1942 ПС-124 продолжил путь из Чарджоу в Ташкент. На борту находились 26 пассажиров и груз. Не долетев 90 км до Ташкента, гигант вдруг начал снижаться. Снижение сначала было плавным, но угол постепенно нарастал. Кончилось тем, что ПС-124 вошел в пикирование и врезался в землю. Все пассажиры и десять человек экипажа погибли.</w:t>
      </w:r>
    </w:p>
    <w:p w14:paraId="54CF48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Расследование выявило, что в момент катастрофы командир корабля Говяз в пилотской кабине отсутствовал. В его кресле сидел летчик Козлов, не входивший в состав экипажа и летевший пассажиром. Говяз разрешил ему "порулить". За ним должен был присматривать второй пилот Тропков. Самолет пошел вниз потому, что Козлов намеренно или случайно включил электропривод подъема стабилизатора; выключатель его находился на подлокотнике. Передняя кромка стабилизатора поднялась до упора, направив ПС-124 в пикирование со все увеличивавшимся углом. Второй пилот то ли не заметил, что сделал Козлов, то ли не успел среагировать.</w:t>
      </w:r>
    </w:p>
    <w:p w14:paraId="2F2678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Вот так погиб дублер АНТ-20, наследник "Максима Горького". На нем линия тихоходных многомоторных гофрированных гигантов в нашей стране пресеклась (11926).</w:t>
      </w:r>
    </w:p>
    <w:p w14:paraId="71EB25F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51C5AC8"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14-18 декабря 1942 г. проходили испытания трех вариантов СРГ в Билимбае и начались они без одобрения военных. Для этого на заводе № 290 была создана комиссия в составе председателя стрелка-испытателя А.В. Новикова (начальника производства завода №290 НКАП) и членов: представителя НИИ ВВС КА старшего техника лейтенанта Ф. П. Наумова и ведущего инженера по заказу №1 13 Г.И. Коротких. На испытаниях также присутствовали: директор завода №290 Н.И. Камов, старший инженер 7-го ГУ НКАП М.М. Итина, заместитель главного конструктора завода МЛ. Миль, техник-вооруженецС.В. Пасхин, 2-й стрелок (запасной) В.И. Хорев.</w:t>
      </w:r>
    </w:p>
    <w:p w14:paraId="0BD393C9"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сравнительные огневые испытания было представлено два СРГ конструкции Миля-Пасхи и одна альтернативная разработка Н.И. Камова и Г.И. Коротких. Из них в общей сложности по деревянному щиту отстреляли 25 боевых реактивных снарядов РОС-82 модели 3-00863 выпуска 1942 г. без взрывателей.</w:t>
      </w:r>
    </w:p>
    <w:p w14:paraId="4ED9336D"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сравнительных испытаниях СРГ Миля-Пасхина демонстрировали четвертый вариант СРГ под названием МП82-4-1, который был выполнен с оптическим прицелом, на лыжном с</w:t>
      </w:r>
      <w:hyperlink r:id="rId193"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е и с винтовочным затвором для применения холостых винтовочных патронов (или авиационных капсюльных ПП-1) для запуска реактивных снарядов. Высота линии огня от земли — 250 мм, высота всей установки - 540 мм, длина гранатомета - 2,0 м, масса ружья со щитком - 11 кг, общая масса установки - 21 кг. В этом варианте установки для транспортировки ружье со щитком легко снимались со с</w:t>
      </w:r>
      <w:hyperlink r:id="rId194"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 Правда, в отличие от проекта, на испытаниях она была оснащена аккумулятором и электрической частью с боевой кнопкой. При стрельбе из этой, а также других установок были отмечены случаи разрывов пиропатронов внутри пиропистолета, случай обрыва электропроводки при выстреле, а также один случай разрыва пиропистолета. Поэтому размещение пиропистолета в непосредственной близости от лица стреляющего, конструкторы в дальнейшем посчитали недопустимым.</w:t>
      </w:r>
    </w:p>
    <w:p w14:paraId="7D96B948"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трехзарядной установки на сравнительных испытаниях 14-18 декабря 1942 г. было выполнено четыре выстрела реактивными снарядами РОС-82 (один выстрел — с дистанционным управлением и три - стрелком). Данная установка продемонстрировала удовлетворительную устойчивость и безопасность. «Прицельность установки» не отрабатывали из-за ограниченного количества боеприпасов.</w:t>
      </w:r>
    </w:p>
    <w:p w14:paraId="1A4EF373"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заключении по испытаниям всех образцов говорилось:</w:t>
      </w:r>
    </w:p>
    <w:p w14:paraId="61DE32A8"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«Комиссия считает доказанным возможность и целесообразность применения такого рода оружия. Комиссия считает возможным предъявить указанные образцы на государственные испытания после устранения отмеченных дефектов».</w:t>
      </w:r>
    </w:p>
    <w:p w14:paraId="244A337F"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декабря испытания завершились, и тут изобретатели получили отзыв потенциальных заказчиков на свои изобретения (от 12 ноября или декабря). Отрицательный отзыв артиллеристов (а именно они в 1942 г. в Наркомате обороны были генеральными заказчиками реактивного вооружения) поставил крест на дальнейших разработках СРГ Миля-Пасхина и Камова-Коротких (15595).</w:t>
      </w:r>
    </w:p>
    <w:p w14:paraId="4DA64828" w14:textId="77777777" w:rsidR="00EF02AD" w:rsidRPr="00722885" w:rsidRDefault="00EF02AD" w:rsidP="00722885">
      <w:pPr>
        <w:spacing w:after="0" w:line="240" w:lineRule="auto"/>
        <w:jc w:val="both"/>
        <w:rPr>
          <w:rFonts w:ascii="Times New Roman" w:hAnsi="Times New Roman"/>
          <w:color w:val="000000" w:themeColor="text1"/>
          <w:sz w:val="16"/>
          <w:szCs w:val="16"/>
        </w:rPr>
      </w:pPr>
    </w:p>
    <w:p w14:paraId="7F2B0922" w14:textId="77777777" w:rsidR="00EF02AD" w:rsidRPr="00722885" w:rsidRDefault="00EF02A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декабря 1942 г. на испытаниях из РР третьего варианта Камова выполнили 11 выстрелов (из них 10 - три разных стрелка), что подтвердило полную безопасность стрельбы как из одиночного окопа, так и лежа с открытой позиции. «Прицельность оружия» не отрабатывали, поскольку на испытаниях не удалось выявить причины резкого понижения снаряда при сходе его с направляющих (5 из 11), что дало большое рассеивание по вертикали. По горизонтали рассеивание 11 снарядов составило +2,0 и -1,5 м при вероятном боковом отклонении ±0,66 м. Резкое понижение снаряда бывало вызвано недостаточной скоростью схода боеприпаса с направляющих: скорее всего, в данном случае отсырел донный или сопловой воспламенитель ракетного заряда (15595).</w:t>
      </w:r>
    </w:p>
    <w:p w14:paraId="310A5F0E" w14:textId="77777777" w:rsidR="00EF02AD" w:rsidRPr="00722885" w:rsidRDefault="00EF02AD" w:rsidP="00722885">
      <w:pPr>
        <w:spacing w:after="0" w:line="240" w:lineRule="auto"/>
        <w:jc w:val="both"/>
        <w:rPr>
          <w:rFonts w:ascii="Times New Roman" w:hAnsi="Times New Roman"/>
          <w:color w:val="000000" w:themeColor="text1"/>
          <w:sz w:val="16"/>
          <w:szCs w:val="16"/>
        </w:rPr>
      </w:pPr>
    </w:p>
    <w:p w14:paraId="75ED5FBE"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 xml:space="preserve">14 декабря 1942 г. на испытаниях из РР Камова третьего варианта выполнили 11 выстрелов (из них 10 — три разных стрелка), что подтвердило полную безопасность стрельбы как из одиночного окопа, так и лежа с открытой позиции. «Прицельность оружия» не отрабатывали, поскольку на испытаниях не удалось выявить причины резкого понижения снаряда при сходе его с направляющих (5 из 11), что дало большое рассеивание по вертикали. По горизонтали рассеивание 11 снарядов составило </w:t>
      </w:r>
      <w:r w:rsidRPr="00722885">
        <w:rPr>
          <w:color w:val="000000" w:themeColor="text1"/>
          <w:sz w:val="16"/>
          <w:szCs w:val="16"/>
        </w:rPr>
        <w:lastRenderedPageBreak/>
        <w:t>+2,0 и -1,5 м при вероятном боковом отклонении ±0,66 м. Резкое понижение снаряда бывало вызвано недостаточной скоростью схода боеприпаса с направляющих: скорее всего, в данном случае отсырел донный или сопловой воспламенитель ракетного заряда.</w:t>
      </w:r>
    </w:p>
    <w:p w14:paraId="2E7EFD0D"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В описании также говорится, что у РР 1 -го и 2-го вариантов направляющая была расположена полозками вниз. Но этого недостаточно, чтобы воссоздать хотя бы эскиз установки, поскольку совершенно непонятно, где в этом случае располагалось прицельное приспособление. О третьем варианте РР Камов говорит: </w:t>
      </w:r>
    </w:p>
    <w:p w14:paraId="58BEAD78"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«Такое направление балки позволяет направить воздушный поток от сгорания пороховой смеси РСа, минуя все плоскости вредного сопротивления, и над туловищем стреляющего».</w:t>
      </w:r>
    </w:p>
    <w:p w14:paraId="2611B4F4" w14:textId="77777777" w:rsidR="0011363C" w:rsidRPr="00722885" w:rsidRDefault="0011363C" w:rsidP="00722885">
      <w:pPr>
        <w:pStyle w:val="ae"/>
        <w:spacing w:before="0" w:after="0"/>
        <w:jc w:val="both"/>
        <w:textAlignment w:val="baseline"/>
        <w:rPr>
          <w:color w:val="000000" w:themeColor="text1"/>
          <w:sz w:val="16"/>
          <w:szCs w:val="16"/>
        </w:rPr>
      </w:pPr>
      <w:r w:rsidRPr="00722885">
        <w:rPr>
          <w:color w:val="000000" w:themeColor="text1"/>
          <w:sz w:val="16"/>
          <w:szCs w:val="16"/>
        </w:rPr>
        <w:t>На РР 3-го варианта запальное приспособление было откидным, что, в отличие от других вариантов РР, позволяло перезаряжать установку с казенной части, и необходимость в заряжающем отпадала (18989).</w:t>
      </w:r>
    </w:p>
    <w:p w14:paraId="1057BEBF" w14:textId="77777777" w:rsidR="0011363C" w:rsidRPr="00722885" w:rsidRDefault="0011363C" w:rsidP="00722885">
      <w:pPr>
        <w:pStyle w:val="ae"/>
        <w:spacing w:before="0" w:after="0"/>
        <w:jc w:val="both"/>
        <w:textAlignment w:val="baseline"/>
        <w:rPr>
          <w:color w:val="000000" w:themeColor="text1"/>
          <w:sz w:val="16"/>
          <w:szCs w:val="16"/>
        </w:rPr>
      </w:pPr>
    </w:p>
    <w:p w14:paraId="113D718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D389D68" w14:textId="77777777" w:rsidR="00BB6316" w:rsidRPr="00722885" w:rsidRDefault="00BB6316" w:rsidP="00722885">
      <w:pPr>
        <w:pStyle w:val="Iauiue"/>
        <w:jc w:val="both"/>
        <w:rPr>
          <w:iCs/>
          <w:color w:val="000000" w:themeColor="text1"/>
          <w:sz w:val="16"/>
          <w:szCs w:val="16"/>
        </w:rPr>
      </w:pPr>
    </w:p>
    <w:p w14:paraId="7FFB916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14 декабря 1942 года была подготовлена справка:</w:t>
      </w:r>
    </w:p>
    <w:p w14:paraId="7106B2C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Заводы НКВ Московской области - №№ 592, 393, 304, 710 и 711 (9267).</w:t>
      </w:r>
    </w:p>
    <w:p w14:paraId="29054E57" w14:textId="77777777" w:rsidR="00BB6316" w:rsidRPr="00722885" w:rsidRDefault="00BB6316" w:rsidP="00722885">
      <w:pPr>
        <w:pStyle w:val="Iauiue"/>
        <w:jc w:val="both"/>
        <w:rPr>
          <w:color w:val="000000" w:themeColor="text1"/>
          <w:sz w:val="16"/>
          <w:szCs w:val="16"/>
        </w:rPr>
      </w:pPr>
    </w:p>
    <w:p w14:paraId="4B9B358C" w14:textId="77777777" w:rsidR="00517A3A" w:rsidRPr="00722885" w:rsidRDefault="00517A3A" w:rsidP="00722885">
      <w:pPr>
        <w:pStyle w:val="a3"/>
        <w:rPr>
          <w:color w:val="000000" w:themeColor="text1"/>
          <w:lang w:val="ru-RU"/>
        </w:rPr>
      </w:pPr>
      <w:r w:rsidRPr="00722885">
        <w:rPr>
          <w:color w:val="000000" w:themeColor="text1"/>
          <w:lang w:val="ru-RU"/>
        </w:rPr>
        <w:t>14 декабря 1942 пришел ответ на письмо Еляна от 26 ноября:</w:t>
      </w:r>
    </w:p>
    <w:p w14:paraId="1C6222D0" w14:textId="77777777" w:rsidR="00517A3A" w:rsidRPr="00722885" w:rsidRDefault="00517A3A"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 xml:space="preserve">«Опыт эксплуатации танков </w:t>
      </w:r>
      <w:r w:rsidRPr="00722885">
        <w:rPr>
          <w:i w:val="0"/>
          <w:color w:val="000000" w:themeColor="text1"/>
          <w:sz w:val="16"/>
          <w:szCs w:val="16"/>
          <w:lang w:val="en-US"/>
        </w:rPr>
        <w:t>KB</w:t>
      </w:r>
      <w:r w:rsidRPr="00722885">
        <w:rPr>
          <w:i w:val="0"/>
          <w:color w:val="000000" w:themeColor="text1"/>
          <w:sz w:val="16"/>
          <w:szCs w:val="16"/>
        </w:rPr>
        <w:t xml:space="preserve"> показал, что при весе танка в 50 тонн ходовая часть и мотор работают с большой перегрузкой и часто выхо</w:t>
      </w:r>
      <w:r w:rsidRPr="00722885">
        <w:rPr>
          <w:i w:val="0"/>
          <w:color w:val="000000" w:themeColor="text1"/>
          <w:sz w:val="16"/>
          <w:szCs w:val="16"/>
        </w:rPr>
        <w:softHyphen/>
        <w:t xml:space="preserve">дят из строя. Это обстоятельство заставило создать более легкий танк </w:t>
      </w:r>
      <w:r w:rsidRPr="00722885">
        <w:rPr>
          <w:i w:val="0"/>
          <w:color w:val="000000" w:themeColor="text1"/>
          <w:sz w:val="16"/>
          <w:szCs w:val="16"/>
          <w:lang w:val="en-US"/>
        </w:rPr>
        <w:t>KB</w:t>
      </w:r>
      <w:r w:rsidRPr="00722885">
        <w:rPr>
          <w:i w:val="0"/>
          <w:color w:val="000000" w:themeColor="text1"/>
          <w:sz w:val="16"/>
          <w:szCs w:val="16"/>
        </w:rPr>
        <w:t>-1с весом 42,5 тонн.</w:t>
      </w:r>
    </w:p>
    <w:p w14:paraId="7BDE4F10" w14:textId="77777777" w:rsidR="00517A3A" w:rsidRPr="00722885" w:rsidRDefault="00517A3A"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 xml:space="preserve">Мощность мотора, его расположение и прочность элементов подвески и корпуса танка </w:t>
      </w:r>
      <w:r w:rsidRPr="00722885">
        <w:rPr>
          <w:i w:val="0"/>
          <w:color w:val="000000" w:themeColor="text1"/>
          <w:sz w:val="16"/>
          <w:szCs w:val="16"/>
          <w:lang w:val="en-US"/>
        </w:rPr>
        <w:t>KB</w:t>
      </w:r>
      <w:r w:rsidRPr="00722885">
        <w:rPr>
          <w:i w:val="0"/>
          <w:color w:val="000000" w:themeColor="text1"/>
          <w:sz w:val="16"/>
          <w:szCs w:val="16"/>
        </w:rPr>
        <w:t>-1с, по сравнению с танком КВ-1, изменилась незна</w:t>
      </w:r>
      <w:r w:rsidRPr="00722885">
        <w:rPr>
          <w:i w:val="0"/>
          <w:color w:val="000000" w:themeColor="text1"/>
          <w:sz w:val="16"/>
          <w:szCs w:val="16"/>
        </w:rPr>
        <w:softHyphen/>
        <w:t>чительно.</w:t>
      </w:r>
    </w:p>
    <w:p w14:paraId="1A8C2049" w14:textId="77777777" w:rsidR="00517A3A" w:rsidRPr="00722885" w:rsidRDefault="00517A3A"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Выдержит ли подвеска танка нагрузку от выстрела, равную 100 тонн, сообщить мы не можем ввиду отсутствия опыта по использованию уста</w:t>
      </w:r>
      <w:r w:rsidRPr="00722885">
        <w:rPr>
          <w:i w:val="0"/>
          <w:color w:val="000000" w:themeColor="text1"/>
          <w:sz w:val="16"/>
          <w:szCs w:val="16"/>
        </w:rPr>
        <w:softHyphen/>
        <w:t>новок с подобными нагрузками.</w:t>
      </w:r>
    </w:p>
    <w:p w14:paraId="0CBF5395" w14:textId="77777777" w:rsidR="00517A3A" w:rsidRPr="00722885" w:rsidRDefault="00517A3A" w:rsidP="00722885">
      <w:pPr>
        <w:pStyle w:val="Bodytext141"/>
        <w:shd w:val="clear" w:color="auto" w:fill="auto"/>
        <w:spacing w:line="240" w:lineRule="auto"/>
        <w:ind w:firstLine="0"/>
        <w:jc w:val="both"/>
        <w:rPr>
          <w:i w:val="0"/>
          <w:color w:val="000000" w:themeColor="text1"/>
          <w:sz w:val="16"/>
          <w:szCs w:val="16"/>
        </w:rPr>
      </w:pPr>
      <w:r w:rsidRPr="00722885">
        <w:rPr>
          <w:i w:val="0"/>
          <w:color w:val="000000" w:themeColor="text1"/>
          <w:sz w:val="16"/>
          <w:szCs w:val="16"/>
        </w:rPr>
        <w:t>Отсутствие характеристики конструкции устанавливаемой морти</w:t>
      </w:r>
      <w:r w:rsidRPr="00722885">
        <w:rPr>
          <w:i w:val="0"/>
          <w:color w:val="000000" w:themeColor="text1"/>
          <w:sz w:val="16"/>
          <w:szCs w:val="16"/>
        </w:rPr>
        <w:softHyphen/>
        <w:t>ры не даст возможности сделать вывод о целесообразности установки ее в танк» (17484).</w:t>
      </w:r>
    </w:p>
    <w:p w14:paraId="22F64469" w14:textId="77777777" w:rsidR="00517A3A" w:rsidRPr="00722885" w:rsidRDefault="00517A3A" w:rsidP="00722885">
      <w:pPr>
        <w:spacing w:after="0" w:line="240" w:lineRule="auto"/>
        <w:jc w:val="both"/>
        <w:rPr>
          <w:rFonts w:ascii="Times New Roman" w:hAnsi="Times New Roman"/>
          <w:color w:val="000000" w:themeColor="text1"/>
          <w:sz w:val="16"/>
          <w:szCs w:val="16"/>
        </w:rPr>
      </w:pPr>
    </w:p>
    <w:p w14:paraId="5CAB3C58" w14:textId="77777777" w:rsidR="00DC64AA" w:rsidRPr="00722885" w:rsidRDefault="00DC64AA"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декабря 1942 года из Главного автобронетанкового управления Красной армии (ГАБТУ КА) на запрос директора завода №92 А.С. Еляна пришёл такой ответ:</w:t>
      </w:r>
    </w:p>
    <w:p w14:paraId="3036F1C2" w14:textId="77777777" w:rsidR="00DC64AA" w:rsidRPr="00722885" w:rsidRDefault="00DC64AA"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«Опыт эксплуатации танков КВ показал, что при весе танка в 50 тонн ходовая часть и мотор работают с большой перегрузкой и часто выходят из строя. Это обстоятельство заставило создать более лёгкий танк КВ-1с весом 42,5 тонн.</w:t>
      </w:r>
    </w:p>
    <w:p w14:paraId="46E567A2" w14:textId="77777777" w:rsidR="00DC64AA" w:rsidRPr="00722885" w:rsidRDefault="00DC64AA"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Мощность мотора, его расположение и прочность элементов подвески и корпуса танка КВ-1с, по сравнению с танком КВ-1, изменилась незначительно.</w:t>
      </w:r>
    </w:p>
    <w:p w14:paraId="69C5889E" w14:textId="77777777" w:rsidR="00DC64AA" w:rsidRPr="00722885" w:rsidRDefault="00DC64AA"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Выдержит ли подвеска танка нагрузку от выстрела, равную 100 тонн, сообщить мы не можем в виду отсутствия опыта по использованию установок с подобными нагрузками.</w:t>
      </w:r>
    </w:p>
    <w:p w14:paraId="5A16FC46" w14:textId="77777777" w:rsidR="00DC64AA" w:rsidRPr="00722885" w:rsidRDefault="00DC64AA" w:rsidP="00722885">
      <w:pPr>
        <w:pStyle w:val="ae"/>
        <w:shd w:val="clear" w:color="auto" w:fill="FFFFFF"/>
        <w:spacing w:before="0" w:after="0"/>
        <w:jc w:val="both"/>
        <w:rPr>
          <w:iCs/>
          <w:color w:val="000000" w:themeColor="text1"/>
          <w:sz w:val="16"/>
          <w:szCs w:val="16"/>
        </w:rPr>
      </w:pPr>
      <w:r w:rsidRPr="00722885">
        <w:rPr>
          <w:iCs/>
          <w:color w:val="000000" w:themeColor="text1"/>
          <w:sz w:val="16"/>
          <w:szCs w:val="16"/>
        </w:rPr>
        <w:t>Отсутствие характеристики конструкции устанавливаемой мортиры не даёт возможности сделать вывод о целесообразности установки её в танк» (18075).</w:t>
      </w:r>
    </w:p>
    <w:p w14:paraId="3ED8F254" w14:textId="77777777" w:rsidR="00DC64AA" w:rsidRPr="00722885" w:rsidRDefault="00DC64AA" w:rsidP="00722885">
      <w:pPr>
        <w:pStyle w:val="ae"/>
        <w:shd w:val="clear" w:color="auto" w:fill="FFFFFF"/>
        <w:spacing w:before="0" w:after="0"/>
        <w:jc w:val="both"/>
        <w:rPr>
          <w:color w:val="000000" w:themeColor="text1"/>
          <w:sz w:val="16"/>
          <w:szCs w:val="16"/>
        </w:rPr>
      </w:pPr>
    </w:p>
    <w:p w14:paraId="4E941AD1" w14:textId="77777777" w:rsidR="001E756A" w:rsidRPr="00722885" w:rsidRDefault="001E756A"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14 декабря 1942 года появился проект постановления ГКО о принятии на вооружение зенитной самоходной артиллерийской установки Т-60-З. Тонкий момент в том, что на самом деле речь идет совсем не о савинской машине. На самом деле разговор шел о Т-60, на который ставился "модуль" от Т-90. В качестве места для производства данной машины предполагался завод №37, но не тот, что находился в Свердловске, а возрожденная московская площадка. Да и Т-60-3 данный танк не назывался. Он получил обозначение СЗУ.</w:t>
      </w:r>
    </w:p>
    <w:p w14:paraId="22D5AD80" w14:textId="77777777" w:rsidR="001E756A" w:rsidRPr="00722885" w:rsidRDefault="001E756A"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Логика военных в таком странном повороте событий выглядела не такой и странной. Во-первых, выяснилось, что объемы выпуска зенитных танков предполагались не столь большими, поэтому Т-90 выглядел машиной, не столь интересной для крупномасштабного производства. Во-вторых, за счет Т-90 "съедалась" часть выпуска Т-70, а в середине декабря 1942 года уже было известно, что на заводе №38 (г. Киров) его выпуск свернут. Это делалось в угоду самоходной артиллерийской установке СУ-12 (СУ-76). Т-70 (Т-80) собирались выпускать в Мытищах, на заводе №40, но для этого требовалось время. В-третьих, имелся довольно большой объем танков Т-60, о боевых возможностях которого не строили иллюзий. Выпуск Т-60 уже прекратили, но появилась идея о переделке данных танков в ЗСУ. Как раз для этого идеально подходил завод №37. Туда завозили ремонтные шасси Т-60, а далее они переделывали их в ЗСУ.</w:t>
      </w:r>
    </w:p>
    <w:p w14:paraId="7A6DDEB7" w14:textId="77777777" w:rsidR="001E756A" w:rsidRPr="00722885" w:rsidRDefault="001E756A"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Всё это выглядело отлично, оставалась самая малость - переделать башню Т-90 под установку в Т-60. Автором работ по данной теме вновь выступило СКБ КЭО ГАЗ (Специальное Конструкторское Бюро Конструкторского Экспериментального Отдела, оно же ОКБ КЭО ГАЗ). Впрочем, очень быстро выяснилось, что оптимистичные мысли ГАБТУ КА насчет "всего-то голову поменять" натыкается на жесткую действительность. Просто взять и переставить башню Т-90 на шасси Т-60 не получилась. Помимо того, что танк банально меньше, требовалось перекомпоновать саму башню. Без этого, например, радиостанцию ставить оказывалось некуда. Одним словом, В.С. Соловьёв, ведущий инженер машины, был вынужден создавать башню с нуля. Естественно, это обошлось в лишнее время, которое было совсем не лишним (21261).</w:t>
      </w:r>
    </w:p>
    <w:p w14:paraId="6405FCCD" w14:textId="77777777" w:rsidR="001E756A" w:rsidRPr="00722885" w:rsidRDefault="001E756A"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23D565BF"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14 декабря 1942 вышло Постановление ГКО № 2623 [О назначении Кузнецова В.В. Зам. чл. ГКО Маленкова Г.М. по контролю за выполнением решений по черной металлургии.] (7066, 186).</w:t>
      </w:r>
    </w:p>
    <w:p w14:paraId="4CAD1313" w14:textId="77777777" w:rsidR="00BB6316" w:rsidRPr="00722885" w:rsidRDefault="00BB6316" w:rsidP="00722885">
      <w:pPr>
        <w:pStyle w:val="Iauiue"/>
        <w:tabs>
          <w:tab w:val="left" w:pos="11199"/>
        </w:tabs>
        <w:jc w:val="both"/>
        <w:rPr>
          <w:color w:val="000000" w:themeColor="text1"/>
          <w:sz w:val="16"/>
          <w:szCs w:val="16"/>
        </w:rPr>
      </w:pPr>
    </w:p>
    <w:p w14:paraId="26C18CB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A3FB632" w14:textId="77777777" w:rsidR="00BB6316" w:rsidRPr="00722885" w:rsidRDefault="00BB6316" w:rsidP="00722885">
      <w:pPr>
        <w:pStyle w:val="Iauiue"/>
        <w:jc w:val="both"/>
        <w:rPr>
          <w:iCs/>
          <w:color w:val="000000" w:themeColor="text1"/>
          <w:sz w:val="16"/>
          <w:szCs w:val="16"/>
        </w:rPr>
      </w:pPr>
    </w:p>
    <w:p w14:paraId="293D9014"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14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39CD2908"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14 декабря в районе Сталинграда на Центральном фронте наши войска продолжали вести наступательные бои на прежних направлениях.</w:t>
      </w:r>
    </w:p>
    <w:p w14:paraId="0EABE29D"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подразделения разрушали дзоты и блиндажи противника. На южной окраине города действиями штурмовых групп и огнем артиллерии уничтожено до 150 немецких солдат и офицеров, три орудия, 4 миномета и 7 пулеметных точек противника.</w:t>
      </w:r>
    </w:p>
    <w:p w14:paraId="7321582E"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занимаемые рубежи и вели огневой бой с противником. Бойцы Н-ской части отбили 2 контратаки противника и уничтожили до 250 гитлеровцев. На другом участке советские артиллеристы в течение ночи подавили огонь двух артиллерийских и трех минометных батарей, разрушили 16 дзотов и блиндажей, рассеяли и частью уничтожили до батальона вражеских солдат и офицеров.</w:t>
      </w:r>
    </w:p>
    <w:p w14:paraId="6140D0EC"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бои с пехотой и танками противника. Артиллеристы Н-ской части подбили 10 немецких танков и расстреляли большую группу пехоты противника. На другом участке нашими бойцами отбиты две контратаки немецкой пехоты. В результате боя уничтожено свыше 200 гитлеровцев.</w:t>
      </w:r>
    </w:p>
    <w:p w14:paraId="0E9BE373"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на отдельных участках вели наступательные бои и частью сил отбивали контратаки противника. В районе западнее Ржева бойцы части, где командиром Бусаров, в результате четырёхдневных боёв заняли несколько опорных пунктов противника. В этих боях уничтожено до 700 вражеских солдат и офицеров. 75 немецких солдат взяты в плен. Захвачены трофеи: 5 танков, 16 орудий, 72 пулемёта, 25 миномётов, склад с боеприпасами, много автоматов и винтовок. На другом участке немцы бросили в контратаку свыше батальона пехоты, действовавшей при поддержке танков. Вначале противнику удалось несколько потеснить наши подразделения. Перегруппировав силы, бойцы Н-ской части отбросили гитлеровцев на исходные позиции.</w:t>
      </w:r>
    </w:p>
    <w:p w14:paraId="0D7173F8"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действиями артиллеристов, гвардейцев-миномётчиков и снайперов за сутки уничтожены 168 немецких солдат и офицеров, 15 автомашин, артиллерийская и 2 миномётные батареи противника.</w:t>
      </w:r>
    </w:p>
    <w:p w14:paraId="547AA59E"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минских партизан совершил нападение на немецкий гарнизон в одном населённом пункте. Партизаны истребили 80 гитлеровцев, сожгли волостную и полицейскую управы, уничтожили 5 грузовых и 3 легковые автомашины. Захвачены трофеи и пленные. Партизаны Смоленской области на одной из железнодорожных станций разоружили немецкую охрану, разрушили станционное хозяйство и захватили 4 пулемёта, 22 винтовки и боеприпасы.</w:t>
      </w:r>
    </w:p>
    <w:p w14:paraId="003084E8"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чудовищных зверствах немецко-венгерских мерзавцев во временно оккупированных ими районах Курской и Орловской областей. По неполным данным, оккупанты за последнее время сожгли более 40 сёл и деревень. Палачи сожгли деревню Рясник, Курской области и расстреляли 57 женщин, детей и стариков. В селе Карловка, Орловской области, озверевшие гитлеровцы истребили почти всё население. В селе Невдольск фашистские изверги расстреляли 18 мирных жителей, разрушили и сожгли 137 домов колхозников.» (14860).</w:t>
      </w:r>
    </w:p>
    <w:p w14:paraId="606757F9"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77A6E54A"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14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58B73D72"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14 декабря наши войска в районе Сталинграда и на Центральном фронте продолжали вести наступательные бои на прежних направлениях.</w:t>
      </w:r>
    </w:p>
    <w:p w14:paraId="08BD181B"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13 декабря в районе Сталинграда уничтожено 42 немецких самолёта, из них 33 транспортных самолёта.</w:t>
      </w:r>
    </w:p>
    <w:p w14:paraId="5952878B"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декабря частями нашей авиации на различных участках фронта уничтожено или повреждено 15 немецких танков, 45 автомашин с войсками и грузами, подавлен огонь 4 артиллерийских батарей, рассеяно и частью уничтожено до роты пехоты противника.</w:t>
      </w:r>
    </w:p>
    <w:p w14:paraId="4E26C121"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действуя штурмовыми группами, очистили от немцев несколько дзотов и сильно укреплённый опорный пункт противника. Уничтожено более 150 немецких солдат и офицеров. На северной окраине города наши артиллеристы разрушили 6 вражеских дзотов и 7 блиндажей, подавили огонь артиллерийской и 3 миномётных батарей.</w:t>
      </w:r>
    </w:p>
    <w:p w14:paraId="3FCBDC77"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Северо-западнее Сталинграда наши войска вели огневой бой с противником. В течение дня разбито до 40 вражеских дзотов. Рассеяно и частью уничтожено до батальона немецкой пехоты.</w:t>
      </w:r>
    </w:p>
    <w:p w14:paraId="0AD59408"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участке наши артиллеристы отбили атаку танков противника. Уничтожено3 немецких танка. На другом участке бойцы Н-ской части предприняли разведку боем. Ворвавшись в окопы противника, они истребили до роты гитлеровцев и захватили их оружие.</w:t>
      </w:r>
    </w:p>
    <w:p w14:paraId="3E9C9F5E"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пехота и тапки противника возобновили контратаки наших позиций. Ценою больших потерь им удалось несколько потеснить наши подразделения. В этом бою советские бойцы истребили до 1.000 вражеских солдат и офицеров, уничтожили 11 танков и 7 самоходных орудий.</w:t>
      </w:r>
    </w:p>
    <w:p w14:paraId="199AB649"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наступательные бои и на отдельныхучастках отбивали контратаки противника. В районе западнее Ржева немецкая пехота под прикрытием танков атаковала подразделение, где командиром тов. Струголин. Наши танкисты стремительно ворвались в боевые порядки немцев и отсекли пехоту оттанков. В коротком бою гитлеровцы потеряли 200 человек убитыми, 11 танков, 3орудия, 9 миномётов и 4 пулемёта. Через некоторое время противник бросил в бой 30 танков. Артиллеристы под командованием тов. Морозова подпустили вражеские танки на близкое расстояние и стали в упор расстреливать их. Немцы попыталисьобойти зону обстрела. Артиллеристы быстро переменили позиции и снова нанесли огневой удар вражеским машинам. Потеряв дополнительно 15 танков и несколько сот солдат и офицеров, гитлеровцы отступили.</w:t>
      </w:r>
    </w:p>
    <w:p w14:paraId="5F4FDFE4"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наши части вели бои по уничтожению блокированных немецких гарнизонов.</w:t>
      </w:r>
    </w:p>
    <w:p w14:paraId="164D11B6"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наши подразделения предприняли разведку боем и овладели несколькими высотами, имеющими важное тактическое значение. Пытаясь восстановить положение, противник неоднократно переходил в контратаки. Все контратаки гитлеровцев были отбиты с большими для них потерями. В этом бою советские бойцы истребили до 600 вражеских солдат и офицеров и до 200 гитлеровцев взяли в плен. Захвачено 11 пулемётов, много винтовок и патронов.</w:t>
      </w:r>
    </w:p>
    <w:p w14:paraId="25AD2B77"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в районе одной высоты наши части, преодолевая упорное сопротивление противника, продвинулись вперёд. На поле боя осталось до 200 вражеских трупов. Огнём нашей артиллерии уничтожены 2 артиллерийские и 2 пулемётные батареи противника.</w:t>
      </w:r>
    </w:p>
    <w:p w14:paraId="7F693E7B"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Украинские партизаны наносят удары по железнодорожным коммуникациям немецко-фашистских захватчиков. На днях в результате активных действий партизан полностью парализована работа крупного железнодорожного узла. Во время этойоперации взорвано два стальных моста, один длиной 290 метров и второй длиной 235 метров. Разгромлен ряд железнодорожных станций, разрушены пути и много мелких мостов. Кроме того, партизаны пустили под откос 5 паровозов, несколько десятков вагонов, сожгли склад горючего и ряд других складов. Советские патриоты захватили у противника трофеи.</w:t>
      </w:r>
    </w:p>
    <w:p w14:paraId="038EF51D"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захвачен в плен командир 1 дивизиона 241 немецкого полка противовоздушной обороны майор Курт Кюллер. Пленный заявил: «На многочисленных фактах я убедился, что германское министерство пропаганды никогда не придерживается истины в сообщениях о военных действиях. Наши сводки всегда стремятся произвести шумный эффект, огорошить доверчивых людей сенсациями и ввести их в заблуждение. Поэтому я не верю официальным сводкам немецкого командования. Я знаю, что эти сводки составляются не для информации о действительном положении дел на фронте, а для того, чтобы скрыть правду. Но как ни скрывай, а все знают, что потери германской армии чрезвычайно велики. Это заметно в каждом городе, в каждой небольшой деревушке и даже в каждой семье».</w:t>
      </w:r>
    </w:p>
    <w:p w14:paraId="1E5E19E7"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Греции сообщают об участившихся нападениях на итальянские гарнизоны. В первых числах декабря греческие партизаны совершили налёт на порт Керкира и истребили 47 итальянцев. В районе города Фивы патриоты обстреляли из пулемётов итальянскую колонну. Убито и ранено свыше 50 оккупантов.» (14860).</w:t>
      </w:r>
    </w:p>
    <w:p w14:paraId="1B146785"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78D4206C"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14 декабря</w:t>
      </w:r>
      <w:r w:rsidRPr="00722885">
        <w:rPr>
          <w:rFonts w:ascii="Times New Roman" w:hAnsi="Times New Roman"/>
          <w:color w:val="000000" w:themeColor="text1"/>
          <w:sz w:val="16"/>
          <w:szCs w:val="16"/>
        </w:rPr>
        <w:t xml:space="preserve"> в 1942 году начались бои на подступах к реке Мышкова частей 51-й армии, усиленных средствами Сталинградского фронта, с армейской группой "Гот". 5-я Ударная армия перешла в наступление против армейской группы «Гот» (14860).</w:t>
      </w:r>
    </w:p>
    <w:p w14:paraId="7CECB788"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2049D69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декабря 1942 состоялся воздушный бой, про</w:t>
      </w:r>
      <w:r w:rsidRPr="00722885">
        <w:rPr>
          <w:rFonts w:ascii="Times New Roman" w:hAnsi="Times New Roman"/>
          <w:color w:val="000000" w:themeColor="text1"/>
          <w:sz w:val="16"/>
          <w:szCs w:val="16"/>
        </w:rPr>
        <w:softHyphen/>
        <w:t>веденный экипажем в составе лейтенанта Шубина и воздушного стрелка Баранова из 800-го шап. При выполне</w:t>
      </w:r>
      <w:r w:rsidRPr="00722885">
        <w:rPr>
          <w:rFonts w:ascii="Times New Roman" w:hAnsi="Times New Roman"/>
          <w:color w:val="000000" w:themeColor="text1"/>
          <w:sz w:val="16"/>
          <w:szCs w:val="16"/>
        </w:rPr>
        <w:softHyphen/>
        <w:t>нии боевого задания в районе Белый их самолет получил по</w:t>
      </w:r>
      <w:r w:rsidRPr="00722885">
        <w:rPr>
          <w:rFonts w:ascii="Times New Roman" w:hAnsi="Times New Roman"/>
          <w:color w:val="000000" w:themeColor="text1"/>
          <w:sz w:val="16"/>
          <w:szCs w:val="16"/>
        </w:rPr>
        <w:softHyphen/>
        <w:t>вреждения от огня зенитной артиллерии и отстал от группы. На обратном пути они были атакованы парой ВП 09. Отражая атаки «мессершмиттов», Баранов расстрелял весь боеком</w:t>
      </w:r>
      <w:r w:rsidRPr="00722885">
        <w:rPr>
          <w:rFonts w:ascii="Times New Roman" w:hAnsi="Times New Roman"/>
          <w:color w:val="000000" w:themeColor="text1"/>
          <w:sz w:val="16"/>
          <w:szCs w:val="16"/>
        </w:rPr>
        <w:softHyphen/>
        <w:t>плект, но пилоты люфтваффе, получив отпор, ушли. В ходе боя Баранов вначале был ранен в ноги, а затем в результате разрыва снаряда на задней бронеспинке кабины летчика полу</w:t>
      </w:r>
      <w:r w:rsidRPr="00722885">
        <w:rPr>
          <w:rFonts w:ascii="Times New Roman" w:hAnsi="Times New Roman"/>
          <w:color w:val="000000" w:themeColor="text1"/>
          <w:sz w:val="16"/>
          <w:szCs w:val="16"/>
        </w:rPr>
        <w:softHyphen/>
        <w:t>чил несколько тяжелых осколочных ранений. Лейтенант Шу</w:t>
      </w:r>
      <w:r w:rsidRPr="00722885">
        <w:rPr>
          <w:rFonts w:ascii="Times New Roman" w:hAnsi="Times New Roman"/>
          <w:color w:val="000000" w:themeColor="text1"/>
          <w:sz w:val="16"/>
          <w:szCs w:val="16"/>
        </w:rPr>
        <w:softHyphen/>
        <w:t>бин благополучно довел поврежденный штурмовик до своего аэродрома, где и совершил посадку (11474,295).</w:t>
      </w:r>
    </w:p>
    <w:p w14:paraId="4BBB28C4" w14:textId="77777777" w:rsidR="00BB6316" w:rsidRPr="00722885" w:rsidRDefault="00BB6316" w:rsidP="00722885">
      <w:pPr>
        <w:pStyle w:val="Iauiue"/>
        <w:jc w:val="both"/>
        <w:rPr>
          <w:iCs/>
          <w:color w:val="000000" w:themeColor="text1"/>
          <w:sz w:val="16"/>
          <w:szCs w:val="16"/>
        </w:rPr>
      </w:pPr>
    </w:p>
    <w:p w14:paraId="6617B7F9" w14:textId="77777777" w:rsidR="00C665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36F9C451" w14:textId="77777777" w:rsidR="00C66516" w:rsidRPr="00722885" w:rsidRDefault="00C66516" w:rsidP="00722885">
      <w:pPr>
        <w:pStyle w:val="Iauiue"/>
        <w:jc w:val="both"/>
        <w:rPr>
          <w:iCs/>
          <w:color w:val="000000" w:themeColor="text1"/>
          <w:sz w:val="16"/>
          <w:szCs w:val="16"/>
        </w:rPr>
      </w:pPr>
    </w:p>
    <w:p w14:paraId="26ED30BE"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декабря 1942 г. циркуляр Прокурора СССР и НКЮ СССР № 18/79с отмечал, что хотя военная обстановка требует максимального усиления борьбы со всякого рода преступлениями и применения суровых мер репрессий, многие суды и прокуроры не поняли, что усиление борьбы с преступниками вовсе не означает огульного применения максимальной санкции, предусмотренной Уголовным кодексом, без дифференциации степени вины, без учета характера и последствий преступления и личности обвиняемого. Циркуляр предлагал при определении меры наказания учитывать обстоятельства конкретного дела, личность обвиняемого, характер и мотивы совершенного преступления и не допускать в качестве меры наказания расстрел в отношении лиц, социальная опасность которых не требовала обязательного применения высшей меры наказания. Такой же смысл имела и директива НКЮ СССР от 23 июля 1943 года.</w:t>
      </w:r>
    </w:p>
    <w:p w14:paraId="7473B047"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 второго года войны в судебной практике наметилась тенденция к смягчению мер наказания, резко сократилось применение расстрела и реального лишения свободы, уменьшилось количество осужденных к лишению свободы на длительные сроки, увеличилось количество осужденных к исправительно-трудовым работам и к условному наказанию. Однако в 1944 году в результате дополнительных указаний НКЮ СССР о недопустимости расширительного толкования директивы НКЮ СССР от 23 июля 1943 г. применение в качестве наказания лишения свободы снова несколько увеличилось (17460).</w:t>
      </w:r>
    </w:p>
    <w:p w14:paraId="153E8A08"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1B4220A9"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2EBBF5F" w14:textId="77777777" w:rsidR="00BB6316" w:rsidRPr="00722885" w:rsidRDefault="00BB6316" w:rsidP="00722885">
      <w:pPr>
        <w:pStyle w:val="Iauiue"/>
        <w:jc w:val="both"/>
        <w:rPr>
          <w:iCs/>
          <w:color w:val="000000" w:themeColor="text1"/>
          <w:sz w:val="16"/>
          <w:szCs w:val="16"/>
        </w:rPr>
      </w:pPr>
    </w:p>
    <w:p w14:paraId="5B858B08" w14:textId="77777777" w:rsidR="001E756A" w:rsidRPr="00722885" w:rsidRDefault="001E756A"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hAnsi="Times New Roman"/>
          <w:color w:val="0070C0"/>
          <w:sz w:val="16"/>
          <w:szCs w:val="16"/>
        </w:rPr>
        <w:t>14 декабря 1942 года был облетан головной самолет «Галифакс» B Mk. II Srs. IA. Всего их было построено 299 в числе общего выпуска модификации B Mk. II. Выпуск вел базовый завод «Хендли-Пейдж», и эти машины отличались еще и высоким качеством сборки.</w:t>
      </w:r>
    </w:p>
    <w:p w14:paraId="2D338993" w14:textId="77777777" w:rsidR="001E756A" w:rsidRPr="00722885" w:rsidRDefault="001E756A"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 «Галифакс» B Mk. II Srs. IA с надежными моторами «Мерлин» 22 взлетной мощностью 1480 л.с. за счет смещения осей створок бомболюка удалось реализовать одновременную подвеску двух бомб калибра 4000 фунтов (1814 кг) при частично открытом люке.</w:t>
      </w:r>
    </w:p>
    <w:p w14:paraId="2D319F46" w14:textId="77777777" w:rsidR="001E756A" w:rsidRPr="00722885" w:rsidRDefault="001E756A"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 самолете серии IA появилась и новая носовая пулеметная точка: вместо механизированной башни с двумя «виккерсами» сделали удлиненную носовую секцию, в которой поставили простой ручной шкворень с узкими секторами обстрела, зато обводы фюзеляжа стали плавными. Да и обзор для штурмана значительно улучшился: теперь не мешала громоздкая механика башни, прозрачных панелей из «перспекса» стало больше, а поддерживающих их рам меньше. Это, а также использование низкой верхней башни типа А и новых радиаторов моторов обеспечило рост скорости и дальности на 10%.</w:t>
      </w:r>
    </w:p>
    <w:p w14:paraId="63B81639" w14:textId="77777777" w:rsidR="001E756A" w:rsidRPr="00722885" w:rsidRDefault="001E756A"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Значительная часть серийных самолетов B Mk. II Srs. IA стала комплектоваться локатором H2S и навигационной системой «Джи», а по ходу выпуска появилась и РЛС защиты задней полусферы «Моника», обнаруживавшая вражеский истребитель в конусе с углом при вершине 45 градусов на дальности 6-8 км. Но главным достоинством нового самолета стало не вооружение и электроника, а новые кили. Неподвижная часть вертикального оперения «галифакса» первоначально была «треугольной» формы. Вдоволь намучившись с плохой устойчивостью самолета (а в серии находился уже третий вариант вертикального оперения и опять неудачный), аэродинамики фирмы «Хендли-Пейдж» наконец-то нащупали решение проблемы и разработали четвертый вариант оперения, киль типа D «квадратной» формы, с которым пилотирование «галифакса» стало более-менее безопасным на всех режимах. Это была 814-я доработка, внесенная в конструкцию самолета (22824).</w:t>
      </w:r>
    </w:p>
    <w:p w14:paraId="283961B9" w14:textId="77777777" w:rsidR="001E756A" w:rsidRPr="00722885" w:rsidRDefault="001E756A"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3919806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14 декабря 1942 министр иностранных дел Англии в лице А.Идена в палате общих высказался за продолжение сотрудничества объединенных наций после победы (3526).</w:t>
      </w:r>
    </w:p>
    <w:p w14:paraId="225F7736" w14:textId="77777777" w:rsidR="00BB6316" w:rsidRPr="00722885" w:rsidRDefault="00BB6316" w:rsidP="00722885">
      <w:pPr>
        <w:pStyle w:val="Iauiue"/>
        <w:jc w:val="both"/>
        <w:rPr>
          <w:color w:val="000000" w:themeColor="text1"/>
          <w:sz w:val="16"/>
          <w:szCs w:val="16"/>
        </w:rPr>
      </w:pPr>
    </w:p>
    <w:p w14:paraId="436D2843"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14 декабря</w:t>
      </w:r>
      <w:r w:rsidRPr="00722885">
        <w:rPr>
          <w:rFonts w:ascii="Times New Roman" w:hAnsi="Times New Roman"/>
          <w:color w:val="000000" w:themeColor="text1"/>
          <w:sz w:val="16"/>
          <w:szCs w:val="16"/>
        </w:rPr>
        <w:t xml:space="preserve"> в 1942 году подписание соглашения между правительством Великобритании и "Сражающейся Францией" о восстановлении французского суверенитета над островом Мадагаскар, захваченным британцами в ноябре 1942-го (14860).</w:t>
      </w:r>
    </w:p>
    <w:p w14:paraId="4DAE5D6B"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3542ABDC"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9C7F687" w14:textId="77777777" w:rsidR="00BB6316" w:rsidRPr="00722885" w:rsidRDefault="00BB6316" w:rsidP="00722885">
      <w:pPr>
        <w:pStyle w:val="Iauiue"/>
        <w:jc w:val="both"/>
        <w:rPr>
          <w:iCs/>
          <w:color w:val="000000" w:themeColor="text1"/>
          <w:sz w:val="16"/>
          <w:szCs w:val="16"/>
        </w:rPr>
      </w:pPr>
    </w:p>
    <w:p w14:paraId="6749908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декабря 1942 года Шахурин писал письмо N 3646 чл. Гос. комитета обороны Маленкову Г.М.</w:t>
      </w:r>
    </w:p>
    <w:p w14:paraId="0C3B669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 вопросу письма гл. инженера завода N 481 Хвостюка о стрелковой установке под пулемет Березина 12,7 на самолет Ил-2 докладываю:</w:t>
      </w:r>
    </w:p>
    <w:p w14:paraId="5DDA670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Опытный образец стрелковой установки завода N 481 гл. конструктором С.В.И. смонтирован на самолет Ил-2 и с 11 декабря проводятся заводские испытания по проверке автоматики установки и механического подтяга пулемета.</w:t>
      </w:r>
    </w:p>
    <w:p w14:paraId="1EAF1A5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В целях быстрейшей передачи установки на полигонные испытания мною дано указание и.о. директора завода N 30 Шапиро сменить на самолете замерзший мотор и самолет отправить в НИПАВ.</w:t>
      </w:r>
    </w:p>
    <w:p w14:paraId="3E912D5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3. Проводить работы по монтажу и испытаниям этой же стрелковой установки на самолете Пе-2 считаю нецелесообразным, так как установка для самолета Пе-2 </w:t>
      </w:r>
      <w:r w:rsidRPr="00722885">
        <w:rPr>
          <w:color w:val="000000" w:themeColor="text1"/>
          <w:sz w:val="16"/>
          <w:szCs w:val="16"/>
        </w:rPr>
        <w:lastRenderedPageBreak/>
        <w:t>ничем не отличается от установки для самолета Ил-2 (2179,179).</w:t>
      </w:r>
    </w:p>
    <w:p w14:paraId="6284C72E" w14:textId="77777777" w:rsidR="00BB6316" w:rsidRPr="00722885" w:rsidRDefault="00BB6316" w:rsidP="00722885">
      <w:pPr>
        <w:pStyle w:val="Iauiue"/>
        <w:jc w:val="both"/>
        <w:rPr>
          <w:color w:val="000000" w:themeColor="text1"/>
          <w:sz w:val="16"/>
          <w:szCs w:val="16"/>
        </w:rPr>
      </w:pPr>
    </w:p>
    <w:p w14:paraId="1ADA1D7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декабря 1942 П.О.С. подписал объяснительную записку в проекту двухместного штурмовика Су-6 с 2хОКБ-16 с 100 патронами + 2хШКАС по 1500 патронов и максимальной скоростью 520 км/час (820,2).</w:t>
      </w:r>
    </w:p>
    <w:p w14:paraId="3CA9D57F" w14:textId="77777777" w:rsidR="00BB6316" w:rsidRPr="00722885" w:rsidRDefault="00BB6316" w:rsidP="00722885">
      <w:pPr>
        <w:pStyle w:val="Iauiue"/>
        <w:jc w:val="both"/>
        <w:rPr>
          <w:color w:val="000000" w:themeColor="text1"/>
          <w:sz w:val="16"/>
          <w:szCs w:val="16"/>
        </w:rPr>
      </w:pPr>
    </w:p>
    <w:p w14:paraId="7C6AD5EF" w14:textId="77777777" w:rsidR="001E756A" w:rsidRPr="00722885" w:rsidRDefault="001E756A"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lang w:eastAsia="ru-RU" w:bidi="ru-RU"/>
        </w:rPr>
        <w:t>15 дека</w:t>
      </w:r>
      <w:r w:rsidRPr="00722885">
        <w:rPr>
          <w:rFonts w:ascii="Times New Roman" w:hAnsi="Times New Roman"/>
          <w:color w:val="0070C0"/>
          <w:sz w:val="16"/>
          <w:szCs w:val="16"/>
          <w:lang w:eastAsia="ru-RU" w:bidi="ru-RU"/>
        </w:rPr>
        <w:softHyphen/>
        <w:t>бря 1942 в ходе войсковых испытания 12 Ту-2 бомбили скопление войск и техники у станции Сычевка, сбросив по 2000 кг бомб каждый. В конце дека</w:t>
      </w:r>
      <w:r w:rsidRPr="00722885">
        <w:rPr>
          <w:rFonts w:ascii="Times New Roman" w:hAnsi="Times New Roman"/>
          <w:color w:val="0070C0"/>
          <w:sz w:val="16"/>
          <w:szCs w:val="16"/>
          <w:lang w:eastAsia="ru-RU" w:bidi="ru-RU"/>
        </w:rPr>
        <w:softHyphen/>
        <w:t>бря организовали налет на окруженный в Великих Луках немецкий гарнизон. Са</w:t>
      </w:r>
      <w:r w:rsidRPr="00722885">
        <w:rPr>
          <w:rFonts w:ascii="Times New Roman" w:hAnsi="Times New Roman"/>
          <w:color w:val="0070C0"/>
          <w:sz w:val="16"/>
          <w:szCs w:val="16"/>
          <w:lang w:eastAsia="ru-RU" w:bidi="ru-RU"/>
        </w:rPr>
        <w:softHyphen/>
        <w:t>молеты несли бомбы ФАБ-1000, которые сбросили с высоты 1000 м. Внизу остались двадцатиметровые воронки. В радиусе 50-70 м от места падения бомб все было разрушено. Результаты налета признали «достаточно эффективными».</w:t>
      </w:r>
    </w:p>
    <w:p w14:paraId="299E20A5" w14:textId="77777777" w:rsidR="001E756A" w:rsidRPr="00722885" w:rsidRDefault="001E756A"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lang w:eastAsia="ru-RU" w:bidi="ru-RU"/>
        </w:rPr>
        <w:t>Летали с полевых аэродромов, устро</w:t>
      </w:r>
      <w:r w:rsidRPr="00722885">
        <w:rPr>
          <w:rFonts w:ascii="Times New Roman" w:hAnsi="Times New Roman"/>
          <w:color w:val="0070C0"/>
          <w:sz w:val="16"/>
          <w:szCs w:val="16"/>
          <w:lang w:eastAsia="ru-RU" w:bidi="ru-RU"/>
        </w:rPr>
        <w:softHyphen/>
        <w:t>енных на заснеженных полях, окружен</w:t>
      </w:r>
      <w:r w:rsidRPr="00722885">
        <w:rPr>
          <w:rFonts w:ascii="Times New Roman" w:hAnsi="Times New Roman"/>
          <w:color w:val="0070C0"/>
          <w:sz w:val="16"/>
          <w:szCs w:val="16"/>
          <w:lang w:eastAsia="ru-RU" w:bidi="ru-RU"/>
        </w:rPr>
        <w:softHyphen/>
        <w:t>ных лесом. Взлетную полосу и рулежные дорожки утрамбовывали и плотно ука</w:t>
      </w:r>
      <w:r w:rsidRPr="00722885">
        <w:rPr>
          <w:rFonts w:ascii="Times New Roman" w:hAnsi="Times New Roman"/>
          <w:color w:val="0070C0"/>
          <w:sz w:val="16"/>
          <w:szCs w:val="16"/>
          <w:lang w:eastAsia="ru-RU" w:bidi="ru-RU"/>
        </w:rPr>
        <w:softHyphen/>
        <w:t>тывали. Подготовка самолета к старту (в условиях зимы) занимала полтора - два часа. На земле машины рассредото</w:t>
      </w:r>
      <w:r w:rsidRPr="00722885">
        <w:rPr>
          <w:rFonts w:ascii="Times New Roman" w:hAnsi="Times New Roman"/>
          <w:color w:val="0070C0"/>
          <w:sz w:val="16"/>
          <w:szCs w:val="16"/>
          <w:lang w:eastAsia="ru-RU" w:bidi="ru-RU"/>
        </w:rPr>
        <w:softHyphen/>
        <w:t>чивали среди деревьев, укрывая сверху маскировочными сетями (21060).</w:t>
      </w:r>
    </w:p>
    <w:p w14:paraId="3257264B" w14:textId="77777777" w:rsidR="001E756A" w:rsidRPr="00722885" w:rsidRDefault="001E756A" w:rsidP="00722885">
      <w:pPr>
        <w:spacing w:after="0" w:line="240" w:lineRule="auto"/>
        <w:jc w:val="both"/>
        <w:rPr>
          <w:rFonts w:ascii="Times New Roman" w:hAnsi="Times New Roman"/>
          <w:color w:val="0070C0"/>
          <w:sz w:val="16"/>
          <w:szCs w:val="16"/>
          <w:lang w:eastAsia="ru-RU" w:bidi="ru-RU"/>
        </w:rPr>
      </w:pPr>
    </w:p>
    <w:p w14:paraId="5A702C7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декабря 1942 П.М.Стефановский на И-195 М-71 показал скорость 680 км/час, а на некоторых проходах скорость составила 708 км/час (2495,26).</w:t>
      </w:r>
    </w:p>
    <w:p w14:paraId="1C67E94B" w14:textId="77777777" w:rsidR="00BB6316" w:rsidRPr="00722885" w:rsidRDefault="00BB6316" w:rsidP="00722885">
      <w:pPr>
        <w:pStyle w:val="Iauiue"/>
        <w:jc w:val="both"/>
        <w:rPr>
          <w:color w:val="000000" w:themeColor="text1"/>
          <w:sz w:val="16"/>
          <w:szCs w:val="16"/>
        </w:rPr>
      </w:pPr>
    </w:p>
    <w:p w14:paraId="596D9DF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декабря 1942 создали Институт самолетного оборудования (173,219).</w:t>
      </w:r>
    </w:p>
    <w:p w14:paraId="5D51DDA7" w14:textId="77777777" w:rsidR="00BB6316" w:rsidRPr="00722885" w:rsidRDefault="00BB6316" w:rsidP="00722885">
      <w:pPr>
        <w:pStyle w:val="Iauiue"/>
        <w:jc w:val="both"/>
        <w:rPr>
          <w:color w:val="000000" w:themeColor="text1"/>
          <w:sz w:val="16"/>
          <w:szCs w:val="16"/>
        </w:rPr>
      </w:pPr>
    </w:p>
    <w:p w14:paraId="28B1301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декабря 1942 вышел приказ НКАП N 888с:</w:t>
      </w:r>
    </w:p>
    <w:p w14:paraId="308F268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целях обеспечения развития и своевременного комплексного разрешения всех вопросов самолетного оборудования:</w:t>
      </w:r>
    </w:p>
    <w:p w14:paraId="7EC5845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Организовать в системе 7 ГУ на базе НИИ-12 Институт самолетного оборудования</w:t>
      </w:r>
    </w:p>
    <w:p w14:paraId="7A722CF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Нач. 5 ГУ Балакиреву передать в 7 ГУ НИИ-12</w:t>
      </w:r>
    </w:p>
    <w:p w14:paraId="0934884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Назначить директором НИИ-12 Н.И.Петрова с сохранение должности зам. нач. 7 ГУ (1621,86).</w:t>
      </w:r>
    </w:p>
    <w:p w14:paraId="3F5DDA33" w14:textId="77777777" w:rsidR="00BB6316" w:rsidRPr="00722885" w:rsidRDefault="00BB6316" w:rsidP="00722885">
      <w:pPr>
        <w:pStyle w:val="Iauiue"/>
        <w:jc w:val="both"/>
        <w:rPr>
          <w:color w:val="000000" w:themeColor="text1"/>
          <w:sz w:val="16"/>
          <w:szCs w:val="16"/>
        </w:rPr>
      </w:pPr>
    </w:p>
    <w:p w14:paraId="0E88A368"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15 декабря 1942 г. в СССР был создан Институт самолетного оборудования (6395).</w:t>
      </w:r>
    </w:p>
    <w:p w14:paraId="2AF18E32" w14:textId="77777777" w:rsidR="00BB6316" w:rsidRPr="00722885" w:rsidRDefault="00BB6316" w:rsidP="00722885">
      <w:pPr>
        <w:pStyle w:val="Iauiue"/>
        <w:tabs>
          <w:tab w:val="left" w:pos="11199"/>
        </w:tabs>
        <w:jc w:val="both"/>
        <w:rPr>
          <w:color w:val="000000" w:themeColor="text1"/>
          <w:sz w:val="16"/>
          <w:szCs w:val="16"/>
        </w:rPr>
      </w:pPr>
    </w:p>
    <w:p w14:paraId="0FE8DD9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декабря 1942 года приказом НКАП за № 888с и 12 января 1943 года приказом НКАП за № 13 НИИ-12 был реорганизован в НИИ самолетного оборудования (НИСО) для решения комплексных вопросов и проведения теоретических и экспериментальных исследований по самолетному оборудованию (9423).</w:t>
      </w:r>
    </w:p>
    <w:p w14:paraId="7389EA5B" w14:textId="77777777" w:rsidR="00BB6316" w:rsidRPr="00722885" w:rsidRDefault="00BB6316" w:rsidP="00722885">
      <w:pPr>
        <w:pStyle w:val="Iauiue"/>
        <w:jc w:val="both"/>
        <w:rPr>
          <w:color w:val="000000" w:themeColor="text1"/>
          <w:sz w:val="16"/>
          <w:szCs w:val="16"/>
        </w:rPr>
      </w:pPr>
    </w:p>
    <w:p w14:paraId="0CF092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г. приказом НКАП № 888с предыдущий приказ № 608сс от 8 августа 1942г.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04350D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024E86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19889F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295054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09D6DA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1278B3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1944г. создан универсальный регулятор температуры авиамоторов УРТ-НИСО.</w:t>
      </w:r>
    </w:p>
    <w:p w14:paraId="3B88B3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722885">
        <w:rPr>
          <w:rFonts w:ascii="Times New Roman" w:hAnsi="Times New Roman"/>
          <w:color w:val="000000" w:themeColor="text1"/>
          <w:sz w:val="16"/>
          <w:szCs w:val="16"/>
          <w:lang w:val="en-US"/>
        </w:rPr>
        <w:t>PJI</w:t>
      </w:r>
      <w:r w:rsidRPr="00722885">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066640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1BB1FD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1955г. НИСО передан из 7ГУ в 11ГУ МАП.</w:t>
      </w:r>
    </w:p>
    <w:p w14:paraId="1665EF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Воссоздан в 1982г. как НИИАО (авиационного оборудования) из филиала ЛИИ.</w:t>
      </w:r>
    </w:p>
    <w:p w14:paraId="5F8F48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электрооборудованию для РКТ.</w:t>
      </w:r>
    </w:p>
    <w:p w14:paraId="16DBD9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0B271B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(1955г.)- Н.Д. Рязанцев.</w:t>
      </w:r>
    </w:p>
    <w:p w14:paraId="765A48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(1930-е)- Г.А. Левин, (1947г.-)- Н.Д. Рязанцев.</w:t>
      </w:r>
    </w:p>
    <w:p w14:paraId="00AD44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ОКБ - А.С. Абрамов.</w:t>
      </w:r>
    </w:p>
    <w:p w14:paraId="122EB0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сектора (-1937г.)- Л.М. Кофман (11982).</w:t>
      </w:r>
    </w:p>
    <w:p w14:paraId="243E9A0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0A8B8D5"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15 декабря</w:t>
      </w:r>
      <w:r w:rsidRPr="00722885">
        <w:rPr>
          <w:rFonts w:ascii="Times New Roman" w:hAnsi="Times New Roman"/>
          <w:color w:val="000000" w:themeColor="text1"/>
          <w:sz w:val="16"/>
          <w:szCs w:val="16"/>
        </w:rPr>
        <w:t xml:space="preserve"> в 1942 году создан Институт самолетного оборудования (14861).</w:t>
      </w:r>
    </w:p>
    <w:p w14:paraId="33C785E1"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0867D74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вышло Постановление ГКО № 2628 О производстве снарядов М-31. РГАНИР, Фонд ГКО, д. 72, лл. 210-215, 216-222 (11012).</w:t>
      </w:r>
    </w:p>
    <w:p w14:paraId="12BB7CE7" w14:textId="77777777" w:rsidR="00517A3A" w:rsidRPr="00722885" w:rsidRDefault="00517A3A" w:rsidP="00722885">
      <w:pPr>
        <w:spacing w:after="0" w:line="240" w:lineRule="auto"/>
        <w:jc w:val="both"/>
        <w:rPr>
          <w:rFonts w:ascii="Times New Roman" w:hAnsi="Times New Roman"/>
          <w:color w:val="000000" w:themeColor="text1"/>
          <w:sz w:val="16"/>
          <w:szCs w:val="16"/>
        </w:rPr>
      </w:pPr>
    </w:p>
    <w:p w14:paraId="3DB3768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г. ПОСТАНОВЛЕНИЕ № ГОКО-2628сс</w:t>
      </w:r>
    </w:p>
    <w:p w14:paraId="28D721F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15 декабря 1942 г. Москва, Кремль</w:t>
      </w:r>
    </w:p>
    <w:p w14:paraId="603F387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производстве снарядов М-31</w:t>
      </w:r>
    </w:p>
    <w:p w14:paraId="7465A2A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Принять на вооружение Красной Армии реактивный снаряд М-31 с камерой М-14, удовлетворяющий следующим требованиям: </w:t>
      </w:r>
    </w:p>
    <w:p w14:paraId="7A1E3C8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дальность стрельбы - 4000 метров </w:t>
      </w:r>
    </w:p>
    <w:p w14:paraId="75041EA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вес взрывчатого вещества - 28 кгр. </w:t>
      </w:r>
    </w:p>
    <w:p w14:paraId="3A195F1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Обязать Наркомбоеприпасов - т. Ванникова снарядить и сдать НКО снарядов М-31 в декабре месяце 1942 года 3 тысячи штук (в счет плана по снарядам М-30) и в 1 квартале 1943 года 75 тысяч, в том числе в январе 15 тысяч, феврале - 30 тысяч и марте 30 тысяч штук по заводам, согласно приложению № 1. </w:t>
      </w:r>
    </w:p>
    <w:p w14:paraId="7A60B3A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Обязать Наркомбоеприпасов - т. Ванникова и Наркомминвооружения - т. Паршина организовать сборку корпусов снарядов М-31: в декабре месяце 1942 г. - 6 тысяч штук (в счет плана по снаряды М-30) и 1 квартале 1943 года - 100 тыс. штук, в том числе в январе - 19 тыс. штук, феврале - 35 тысяч штук и марте - 46 тыс. штук на заводах, согласно приложению № 1. </w:t>
      </w:r>
    </w:p>
    <w:p w14:paraId="6AD96C3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Обязать Наркомбоеприпасов - т. Ванникова и Наркомчермет - т. Тевосяна изготовить камеры М-14 на заводах № 73 НКБ, Первоуральском Новотрубном (№ 703), Ревдинском и Новотагильском НКЧМ в декабре 1942 года и 1 квартале 1943 года в количествах, согласно приложению № 1. </w:t>
      </w:r>
    </w:p>
    <w:p w14:paraId="3218F30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связи с этим освободить с 20 декабря 1943 года Ревдинский завод от производства детали № 13 и Новотагильский завод от производства детали № 1 к снарядам М-13. </w:t>
      </w:r>
    </w:p>
    <w:p w14:paraId="022F982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Обязать Наркомчермет - т. Тевосяна изготовить на Первоуральском Новотрубном заводе блоки камер М-14 в декабре 1942 г. и 1 квартале 1943 г. и поставить их заводам в количествах и сроки, согласно приложению № 1. </w:t>
      </w:r>
    </w:p>
    <w:p w14:paraId="76EBDBE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Снять с производства с декабря месяца 1942 г. сварную камеру-сопло снаряда М-13 на Горьковском автозаводе им. Молотова НКСМ и сборку корпусов снарядов М-13 со сварной камерой с завода № 718 НКМВ. </w:t>
      </w:r>
    </w:p>
    <w:p w14:paraId="515F929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Обязать Наркомсредмаш - т. Акопова и директора ГАЗ имени Молотова - т. Лившица организовать на Горьковском автозаводе им. Молотова на оборудовании, освобождающемся от производства сварных камер-сопло М-13, производство камеры М-14 из заготовок и по чертежам Первоуральского Новотрубного завода с выпуском: в январе 1943 г. - 3 тыс. штук, в феврале - 10 тыс. штук и марте - 15 тыс. штук с поставкой их заводу № 718 НКМВ. </w:t>
      </w:r>
    </w:p>
    <w:p w14:paraId="5A88B19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Обязать Наркомбоеприпасов - т. Ванникова организовать на заводе № 568 механическую обработку камер М-14 с выпуском в феврале месяце - 3.0 тыс. штук и в марте 1943 г. - 10 тыс. штук. </w:t>
      </w:r>
    </w:p>
    <w:p w14:paraId="49126AF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Обязать Наркомстанкостроения - т. Ефремова поставить впереди всех других потребителей в 1 квартале 1943 года 60 токарных станков типа ДИП-200 и ДИП-300 или приспособленных для обработки камер М-14 и 5 молотов Беше, в том числе: </w:t>
      </w:r>
    </w:p>
    <w:p w14:paraId="629E4F8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xml:space="preserve">а) заводу № 568 40 станков, из них - в январе типа ДИП-200 (с удлиненной станиной) - 15 штук и типа ДИП-300 - 10 штук и в феврале типа ДИП-200 - 10 штук и типа ДИП-300 - 5 шт.; </w:t>
      </w:r>
    </w:p>
    <w:p w14:paraId="6E5E116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Горьковскому автозаводу им. Молотова НКСМ - 15 станков: из них в январе типа ДИП-300 - 5 штук и типа ДИП-200 (с удлиненной станиной) - 10 штук; </w:t>
      </w:r>
    </w:p>
    <w:p w14:paraId="29CDDBE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Первоуральскому Новотрубному заводу НКЧМ в январе 1943 г. молотов Беше - 5 штук и заводу "Красная Труба" НКЧМ в январе 5 станков типа ДИП-200 (с удлиненной станиной). </w:t>
      </w:r>
    </w:p>
    <w:p w14:paraId="597A1E2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Госплану СССР предусмотреть выделение указанного оборудования в 1 квартале 1943 г. целевым назначением для производства камер М-14, а наркоматам использовать оборудование только на производстве указанных деталей. </w:t>
      </w:r>
    </w:p>
    <w:p w14:paraId="3CE2E9C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Обязать Наркомчермет - т. Тевосяна, Наркомтяжмаш - т. Казакова, Наркомсудпром - т. Носенко, Наркомсредмаш - т. Акопова, НКПС - т. Хрулева с 1 января 1943 года поставлять головки М-30 применительно к снаряду М-31 в количествах, согласно приложению № 2. </w:t>
      </w:r>
    </w:p>
    <w:p w14:paraId="6830231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 Обязать Наркомчермет т. Тевосяна организовать производство камер М-14 на заводе "Красная Труба" с выпуском в январе 1943 года - 1.5 тыс. штук, феврале и марте по 3 тыс. штук, за счет снятия с производства цилиндров М-20. </w:t>
      </w:r>
    </w:p>
    <w:p w14:paraId="19BEACA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 Обязать Наркомавиапром - т. Шахурина отштамповать на филиале завода № 95 (Москва) головку для снаряда М-31 и поставить заводу № 568 НКБ в январе 1943 г. - 1 тысячу комплектов, феврале - 1.5 тыс. и марте - 2.5 тыс. </w:t>
      </w:r>
    </w:p>
    <w:p w14:paraId="42F25C3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13. Обязать Наркомчермет - т. Тевосяна: </w:t>
      </w:r>
    </w:p>
    <w:p w14:paraId="66C8396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Прокатать в декабре месяце 1942 г. на Первоуральском Новотрубном заводу 1200 тонн труб для блоков М-14 (в счет недопоставленных труб 140х109 для М-13 в октябре - ноябре 1942 г.), а также обеспечить поставку в декабре месяце труб 140х109 для снарядов М-13 не менее 11 тыс. тонн. </w:t>
      </w:r>
    </w:p>
    <w:p w14:paraId="2A4F816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Разрешить Новотрубному заводу использовать для проката труб М-14 установленные выходные дни. </w:t>
      </w:r>
    </w:p>
    <w:p w14:paraId="4723595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 Закончить в январе освоение производства труб 140х109 мм для снарядов М-13 на Малом Штифеле № 1Первоуральского Новотрубного завода. </w:t>
      </w:r>
    </w:p>
    <w:p w14:paraId="3226C55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Поставить в декабре 1942 года заводам, привлеченным к изготовлению головок корпусов сеарядов М-31, за счет фондов соответствущих наркоматов: листового железа в количестве 550 тонн, в том числе: заводу № 700 НКЧМ - 250 тонн, заводу "Красный Профинтерн" НКТМ - 60 тонн, заводу № 239 НКПС - 60 тонн, ГАЗ им. Молотова НКСМ - 100 тонн, Калининскому НКСМ - 30 тонн, Ковровскоиу НКПС - 20 тонн и филиалу завода № 95 НКАП - 30 тонн. </w:t>
      </w:r>
    </w:p>
    <w:p w14:paraId="146E05B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ГУГВМЧ (т. Кузнецову) в 2-суточный срок дать НКЧМ спецификацию на указанный металл. </w:t>
      </w:r>
    </w:p>
    <w:p w14:paraId="5BDEB05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 Восстановить на Ыагнитогорском комбинате в специально организованном цехе № 7 производство деталей № 1 (крышна сопло) и № 13 (камера) снаряда М-13 с выпуском с января 1942 г. по 2.5 тыс. штук каждой детали, разрешив НКЧМ изъять из цеха № 7 4 станка типа ДИП-300 и ДИП-400 с целью использования их для ремонтных нужд Комбината. </w:t>
      </w:r>
    </w:p>
    <w:p w14:paraId="091F2E6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Поставку указанных деталей производить заводу № 701 НКМВ (г. Челябинск). </w:t>
      </w:r>
    </w:p>
    <w:p w14:paraId="0C430AF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 Поставлять листовое хелезо для снаряда М-31 в январе месяце 1943 г. заводам, указанным в пункте № 13-в, в счет фондов 1 квартала в соответствии с программой производства головок снаряда М-31. </w:t>
      </w:r>
    </w:p>
    <w:p w14:paraId="03097E4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 Обязать Наркомэлектростанций (т. Жимерина) обеспечить отпуск электроэнергии Первоуральскому Новотрубному заводу в его выходные дни для выполнения задания по прокату труб для камеры М-14. </w:t>
      </w:r>
    </w:p>
    <w:p w14:paraId="1E3D3E2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15. Обязать НКПС - т. Хрулева обеспечить доставку специальными маршрутами с проведниками на Первоуральский Новотрубный завод заготовку с Кузнецкого завода целевым назначением для прокатки труб М-14 и М-13 в сроки и количествах, согласно утвержденному плану Новотрубному заводу, а также доставку заготовок камер М-14 и листового металла, указанных в настоящем постановлении. </w:t>
      </w:r>
    </w:p>
    <w:p w14:paraId="2E8572E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16. Обязать Наркомстанкостроения - т. Ефремова обеспечить до 10 января 1943 года предприятия, привлеченные настоящии постановлением к производству снарядов М-31, специальным режущим и мерительным инструментом по их заявкам. </w:t>
      </w:r>
    </w:p>
    <w:p w14:paraId="5094C1A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Наркомбоеприпасов, совместно с Наркомстанкостроения, в 5-дневный срок установить номенклатуру инструмента, подлежащего изготовлению на заводах НКСС, и нормы расхода его и сроки поставки. </w:t>
      </w:r>
    </w:p>
    <w:p w14:paraId="75D6326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17. Обязать НКБ - т. Ванникова изготовить порсховне заряды для снарядов М-31 в соответствии с планом производства, утвержденным настоящим постановлением. </w:t>
      </w:r>
    </w:p>
    <w:p w14:paraId="35589A9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Утвердить мероприятия по обеспечению производства пороховых зарядов для М-31 (приложение № 4). </w:t>
      </w:r>
    </w:p>
    <w:p w14:paraId="232F98C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18. Обязать Госплан Союза ССР предусмотреть в планах материального обеспечения на 1 квартал 1943 г. полное удовлетворение потребности в металле и трубах производства снарядов М-31. </w:t>
      </w:r>
    </w:p>
    <w:p w14:paraId="7403EE4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19. Обязать Наркомторг СССР - т. Любимова организовать на заводах, привлеченных настоящим постановлением к производству снарядов М-31 и деталей к ним, с 15 декабря 1942 г. дополнительное питание (вторые горячие блюда с хлебом) без погашения талонов из продкарточек для рабочих, ИТР и служащих в количестве 5.5 тыс. на заводах, согласно приложению № 3. </w:t>
      </w:r>
    </w:p>
    <w:p w14:paraId="55D9865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20. Распространить на декабрь 1942 г. и 1 квартал 1943 г. для предприятий, привлеченных настоящим постановлением к производству снарядов М-31, деталей и заготовок к ним, систему премирования, установленную для производства снарядов М-30 постановлением ГОКО № 1900сс от 8.VI.42 г. </w:t>
      </w:r>
    </w:p>
    <w:p w14:paraId="1503A26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21. Приравнять перевозки корпусов снарядов М-31, М-30, М-20 и М-13, деталей и материалов для них к оперативным воинским грузам. </w:t>
      </w:r>
    </w:p>
    <w:p w14:paraId="477936D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22. Обязать Госплан СССР (т. Борисова) предусмотреть в плане производства боеприпасов на 1 квартал 1943 года укомплектование снарядов М-31 нормальными деталями от снаряда М-30 (стабилизаторами, укупоркой и другими). </w:t>
      </w:r>
    </w:p>
    <w:p w14:paraId="103A64A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23. Установить, что задание по производству снарядов М-31 является особо важным оперативным заданием. </w:t>
      </w:r>
    </w:p>
    <w:p w14:paraId="2B34F0A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Обязать народных комиссаров: т.т. Ванникова, Тевосяна, Паршина‚ Акопова, Ефремова, Хрулева, Носенко и секретарей обкомов ВКП(б) - Свердловского - т.Андрианова‚ Горьковского - т.Родионова и Московского - т. Черноусова - взять под личная контроль выполнение настоящего постановления и оказать заводам необходимую помощь в его выполнении. </w:t>
      </w:r>
    </w:p>
    <w:p w14:paraId="29010C2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24. В связи с тем, что в последнее время многие наркоматы входят в ГОКО с предложением о снятии или сокращении по различным мотивам с предприятий производства деталей к снарядам М-30, М-20 и М-13, Государственный Комитет Обороны разъясняет, что в настоящее время не представляется возможным сокращать производство реактивных снарядов и деталей к ним. ГОКО обязывает все наркоматы и ведомства обеспечить в ближайшее время увеличение выпуска снарядов М-31, М-30, М-20 и М-13 и деталей к ним. </w:t>
      </w:r>
    </w:p>
    <w:p w14:paraId="283C646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 В связи с переходом на производство снарядов М-31 прекратить производство снарядов М-30 с 1 февраля 1943 г. </w:t>
      </w:r>
    </w:p>
    <w:p w14:paraId="2FE47F4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ПРЕДСЕДАТЕЛЬ ГОСУДАРСТВЕННОГО </w:t>
      </w:r>
    </w:p>
    <w:p w14:paraId="6BF3F26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КОМИТЕТА ОБОРОНЫ И. СТАЛИН</w:t>
      </w:r>
    </w:p>
    <w:p w14:paraId="08A64B6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Выписки посланы:</w:t>
      </w:r>
    </w:p>
    <w:p w14:paraId="6EA88CD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.т. Молотову, Маленкову, Берия, Ванникову, Аборенкову, Гайдукову, Жукову, Вознесенскому, Борисову, Чадаеву – все; </w:t>
      </w:r>
    </w:p>
    <w:p w14:paraId="53309BD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Наркомам и обкомам ВКП(б) – соответственно.</w:t>
      </w:r>
    </w:p>
    <w:p w14:paraId="0AD7E26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Сов. секретно </w:t>
      </w:r>
    </w:p>
    <w:p w14:paraId="1716161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 № 1 к постановлению ГОКО № 2628сс от 15 декабря 1942 года</w:t>
      </w:r>
    </w:p>
    <w:p w14:paraId="455B17F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ПЛАН </w:t>
      </w:r>
    </w:p>
    <w:p w14:paraId="52B28EB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снаряжения, сборки корпусов, механической обработки и заготовки блока камеры-сопло снаряда М-31 в декабре 1942 года и первом квартале 1943 года (в тыс. штук)</w:t>
      </w:r>
    </w:p>
    <w:tbl>
      <w:tblPr>
        <w:tblW w:w="0" w:type="auto"/>
        <w:jc w:val="center"/>
        <w:tblLayout w:type="fixed"/>
        <w:tblCellMar>
          <w:left w:w="30" w:type="dxa"/>
          <w:right w:w="30" w:type="dxa"/>
        </w:tblCellMar>
        <w:tblLook w:val="0000" w:firstRow="0" w:lastRow="0" w:firstColumn="0" w:lastColumn="0" w:noHBand="0" w:noVBand="0"/>
      </w:tblPr>
      <w:tblGrid>
        <w:gridCol w:w="3963"/>
        <w:gridCol w:w="1476"/>
        <w:gridCol w:w="1033"/>
        <w:gridCol w:w="1033"/>
        <w:gridCol w:w="1033"/>
        <w:gridCol w:w="2515"/>
      </w:tblGrid>
      <w:tr w:rsidR="009B487A" w:rsidRPr="00722885" w14:paraId="19550A62"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27198FE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Наркоматы и заводы изготовители</w:t>
            </w:r>
          </w:p>
        </w:tc>
        <w:tc>
          <w:tcPr>
            <w:tcW w:w="4575" w:type="dxa"/>
            <w:gridSpan w:val="4"/>
            <w:tcBorders>
              <w:top w:val="single" w:sz="4" w:space="0" w:color="auto"/>
              <w:left w:val="single" w:sz="4" w:space="0" w:color="auto"/>
              <w:bottom w:val="single" w:sz="4" w:space="0" w:color="auto"/>
              <w:right w:val="single" w:sz="4" w:space="0" w:color="auto"/>
            </w:tcBorders>
          </w:tcPr>
          <w:p w14:paraId="1AB20B6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Подлежит изготовлению и сдаче</w:t>
            </w:r>
          </w:p>
        </w:tc>
        <w:tc>
          <w:tcPr>
            <w:tcW w:w="2515" w:type="dxa"/>
            <w:tcBorders>
              <w:top w:val="single" w:sz="4" w:space="0" w:color="auto"/>
              <w:left w:val="single" w:sz="4" w:space="0" w:color="auto"/>
              <w:bottom w:val="single" w:sz="4" w:space="0" w:color="auto"/>
              <w:right w:val="single" w:sz="4" w:space="0" w:color="auto"/>
            </w:tcBorders>
          </w:tcPr>
          <w:p w14:paraId="3B6B2AC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Кому поставляется изделие</w:t>
            </w:r>
          </w:p>
        </w:tc>
      </w:tr>
      <w:tr w:rsidR="009B487A" w:rsidRPr="00722885" w14:paraId="281EBDFE"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6E7C0F44" w14:textId="77777777" w:rsidR="00517A3A" w:rsidRPr="00722885" w:rsidRDefault="00517A3A" w:rsidP="00722885">
            <w:pPr>
              <w:spacing w:after="0" w:line="240" w:lineRule="auto"/>
              <w:jc w:val="both"/>
              <w:rPr>
                <w:rFonts w:ascii="Times New Roman" w:hAnsi="Times New Roman"/>
                <w:color w:val="000000" w:themeColor="text1"/>
                <w:sz w:val="16"/>
                <w:szCs w:val="16"/>
              </w:rPr>
            </w:pPr>
          </w:p>
        </w:tc>
        <w:tc>
          <w:tcPr>
            <w:tcW w:w="1476" w:type="dxa"/>
            <w:tcBorders>
              <w:top w:val="single" w:sz="4" w:space="0" w:color="auto"/>
              <w:left w:val="single" w:sz="4" w:space="0" w:color="auto"/>
              <w:bottom w:val="single" w:sz="4" w:space="0" w:color="auto"/>
              <w:right w:val="single" w:sz="4" w:space="0" w:color="auto"/>
            </w:tcBorders>
          </w:tcPr>
          <w:p w14:paraId="2862905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декабрь 1942 г.</w:t>
            </w:r>
          </w:p>
        </w:tc>
        <w:tc>
          <w:tcPr>
            <w:tcW w:w="3099" w:type="dxa"/>
            <w:gridSpan w:val="3"/>
            <w:tcBorders>
              <w:top w:val="single" w:sz="4" w:space="0" w:color="auto"/>
              <w:left w:val="single" w:sz="4" w:space="0" w:color="auto"/>
              <w:bottom w:val="single" w:sz="4" w:space="0" w:color="auto"/>
              <w:right w:val="single" w:sz="4" w:space="0" w:color="auto"/>
            </w:tcBorders>
          </w:tcPr>
          <w:p w14:paraId="68488ED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кв. 1943 г.</w:t>
            </w:r>
          </w:p>
        </w:tc>
        <w:tc>
          <w:tcPr>
            <w:tcW w:w="2515" w:type="dxa"/>
            <w:tcBorders>
              <w:top w:val="single" w:sz="4" w:space="0" w:color="auto"/>
              <w:left w:val="single" w:sz="4" w:space="0" w:color="auto"/>
              <w:bottom w:val="single" w:sz="4" w:space="0" w:color="auto"/>
              <w:right w:val="single" w:sz="4" w:space="0" w:color="auto"/>
            </w:tcBorders>
          </w:tcPr>
          <w:p w14:paraId="429D504F" w14:textId="77777777" w:rsidR="00517A3A" w:rsidRPr="00722885" w:rsidRDefault="00517A3A" w:rsidP="00722885">
            <w:pPr>
              <w:spacing w:after="0" w:line="240" w:lineRule="auto"/>
              <w:jc w:val="both"/>
              <w:rPr>
                <w:rFonts w:ascii="Times New Roman" w:hAnsi="Times New Roman"/>
                <w:color w:val="000000" w:themeColor="text1"/>
                <w:sz w:val="16"/>
                <w:szCs w:val="16"/>
              </w:rPr>
            </w:pPr>
          </w:p>
        </w:tc>
      </w:tr>
      <w:tr w:rsidR="009B487A" w:rsidRPr="00722885" w14:paraId="08CB9758"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3E6B8434" w14:textId="77777777" w:rsidR="00517A3A" w:rsidRPr="00722885" w:rsidRDefault="00517A3A" w:rsidP="00722885">
            <w:pPr>
              <w:spacing w:after="0" w:line="240" w:lineRule="auto"/>
              <w:jc w:val="both"/>
              <w:rPr>
                <w:rFonts w:ascii="Times New Roman" w:hAnsi="Times New Roman"/>
                <w:color w:val="000000" w:themeColor="text1"/>
                <w:sz w:val="16"/>
                <w:szCs w:val="16"/>
              </w:rPr>
            </w:pPr>
          </w:p>
        </w:tc>
        <w:tc>
          <w:tcPr>
            <w:tcW w:w="1476" w:type="dxa"/>
            <w:tcBorders>
              <w:top w:val="single" w:sz="4" w:space="0" w:color="auto"/>
              <w:left w:val="single" w:sz="4" w:space="0" w:color="auto"/>
              <w:bottom w:val="single" w:sz="4" w:space="0" w:color="auto"/>
              <w:right w:val="single" w:sz="4" w:space="0" w:color="auto"/>
            </w:tcBorders>
          </w:tcPr>
          <w:p w14:paraId="3DBB8AF1" w14:textId="77777777" w:rsidR="00517A3A" w:rsidRPr="00722885" w:rsidRDefault="00517A3A" w:rsidP="00722885">
            <w:pPr>
              <w:spacing w:after="0" w:line="240" w:lineRule="auto"/>
              <w:jc w:val="both"/>
              <w:rPr>
                <w:rFonts w:ascii="Times New Roman" w:hAnsi="Times New Roman"/>
                <w:color w:val="000000" w:themeColor="text1"/>
                <w:sz w:val="16"/>
                <w:szCs w:val="16"/>
              </w:rPr>
            </w:pPr>
          </w:p>
        </w:tc>
        <w:tc>
          <w:tcPr>
            <w:tcW w:w="1033" w:type="dxa"/>
            <w:tcBorders>
              <w:top w:val="single" w:sz="4" w:space="0" w:color="auto"/>
              <w:left w:val="single" w:sz="4" w:space="0" w:color="auto"/>
              <w:bottom w:val="single" w:sz="4" w:space="0" w:color="auto"/>
              <w:right w:val="single" w:sz="4" w:space="0" w:color="auto"/>
            </w:tcBorders>
          </w:tcPr>
          <w:p w14:paraId="5ECE276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Январь</w:t>
            </w:r>
          </w:p>
        </w:tc>
        <w:tc>
          <w:tcPr>
            <w:tcW w:w="1033" w:type="dxa"/>
            <w:tcBorders>
              <w:top w:val="single" w:sz="4" w:space="0" w:color="auto"/>
              <w:left w:val="single" w:sz="4" w:space="0" w:color="auto"/>
              <w:bottom w:val="single" w:sz="4" w:space="0" w:color="auto"/>
              <w:right w:val="single" w:sz="4" w:space="0" w:color="auto"/>
            </w:tcBorders>
          </w:tcPr>
          <w:p w14:paraId="25CA6AD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Февраль</w:t>
            </w:r>
          </w:p>
        </w:tc>
        <w:tc>
          <w:tcPr>
            <w:tcW w:w="1033" w:type="dxa"/>
            <w:tcBorders>
              <w:top w:val="single" w:sz="4" w:space="0" w:color="auto"/>
              <w:left w:val="single" w:sz="4" w:space="0" w:color="auto"/>
              <w:bottom w:val="single" w:sz="4" w:space="0" w:color="auto"/>
              <w:right w:val="single" w:sz="4" w:space="0" w:color="auto"/>
            </w:tcBorders>
          </w:tcPr>
          <w:p w14:paraId="6170A9F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Март</w:t>
            </w:r>
          </w:p>
        </w:tc>
        <w:tc>
          <w:tcPr>
            <w:tcW w:w="2515" w:type="dxa"/>
            <w:tcBorders>
              <w:top w:val="single" w:sz="4" w:space="0" w:color="auto"/>
              <w:left w:val="single" w:sz="4" w:space="0" w:color="auto"/>
              <w:bottom w:val="single" w:sz="4" w:space="0" w:color="auto"/>
              <w:right w:val="single" w:sz="4" w:space="0" w:color="auto"/>
            </w:tcBorders>
          </w:tcPr>
          <w:p w14:paraId="3A347079" w14:textId="77777777" w:rsidR="00517A3A" w:rsidRPr="00722885" w:rsidRDefault="00517A3A" w:rsidP="00722885">
            <w:pPr>
              <w:spacing w:after="0" w:line="240" w:lineRule="auto"/>
              <w:jc w:val="both"/>
              <w:rPr>
                <w:rFonts w:ascii="Times New Roman" w:hAnsi="Times New Roman"/>
                <w:color w:val="000000" w:themeColor="text1"/>
                <w:sz w:val="16"/>
                <w:szCs w:val="16"/>
              </w:rPr>
            </w:pPr>
          </w:p>
        </w:tc>
      </w:tr>
      <w:tr w:rsidR="009B487A" w:rsidRPr="00722885" w14:paraId="2BB11FE5" w14:textId="77777777" w:rsidTr="00267F26">
        <w:trPr>
          <w:jc w:val="center"/>
        </w:trPr>
        <w:tc>
          <w:tcPr>
            <w:tcW w:w="11053" w:type="dxa"/>
            <w:gridSpan w:val="6"/>
            <w:tcBorders>
              <w:top w:val="single" w:sz="4" w:space="0" w:color="auto"/>
              <w:left w:val="single" w:sz="4" w:space="0" w:color="auto"/>
              <w:bottom w:val="single" w:sz="4" w:space="0" w:color="auto"/>
              <w:right w:val="single" w:sz="4" w:space="0" w:color="auto"/>
            </w:tcBorders>
          </w:tcPr>
          <w:p w14:paraId="0579C61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Снаряжение</w:t>
            </w:r>
          </w:p>
        </w:tc>
      </w:tr>
      <w:tr w:rsidR="009B487A" w:rsidRPr="00722885" w14:paraId="50F149A6"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45216F3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завод № 12</w:t>
            </w:r>
          </w:p>
        </w:tc>
        <w:tc>
          <w:tcPr>
            <w:tcW w:w="1476" w:type="dxa"/>
            <w:tcBorders>
              <w:top w:val="single" w:sz="4" w:space="0" w:color="auto"/>
              <w:left w:val="single" w:sz="4" w:space="0" w:color="auto"/>
              <w:bottom w:val="single" w:sz="4" w:space="0" w:color="auto"/>
              <w:right w:val="single" w:sz="4" w:space="0" w:color="auto"/>
            </w:tcBorders>
          </w:tcPr>
          <w:p w14:paraId="2EB4F88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6FAE776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1327A50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033" w:type="dxa"/>
            <w:tcBorders>
              <w:top w:val="single" w:sz="4" w:space="0" w:color="auto"/>
              <w:left w:val="single" w:sz="4" w:space="0" w:color="auto"/>
              <w:bottom w:val="single" w:sz="4" w:space="0" w:color="auto"/>
              <w:right w:val="single" w:sz="4" w:space="0" w:color="auto"/>
            </w:tcBorders>
          </w:tcPr>
          <w:p w14:paraId="72F1D12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w:t>
            </w:r>
          </w:p>
        </w:tc>
        <w:tc>
          <w:tcPr>
            <w:tcW w:w="2515" w:type="dxa"/>
            <w:tcBorders>
              <w:top w:val="single" w:sz="4" w:space="0" w:color="auto"/>
              <w:left w:val="single" w:sz="4" w:space="0" w:color="auto"/>
              <w:bottom w:val="single" w:sz="4" w:space="0" w:color="auto"/>
              <w:right w:val="single" w:sz="4" w:space="0" w:color="auto"/>
            </w:tcBorders>
          </w:tcPr>
          <w:p w14:paraId="41F0E0E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НКО</w:t>
            </w:r>
          </w:p>
        </w:tc>
      </w:tr>
      <w:tr w:rsidR="009B487A" w:rsidRPr="00722885" w14:paraId="7059874C"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53A33A9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завод № 80</w:t>
            </w:r>
          </w:p>
        </w:tc>
        <w:tc>
          <w:tcPr>
            <w:tcW w:w="1476" w:type="dxa"/>
            <w:tcBorders>
              <w:top w:val="single" w:sz="4" w:space="0" w:color="auto"/>
              <w:left w:val="single" w:sz="4" w:space="0" w:color="auto"/>
              <w:bottom w:val="single" w:sz="4" w:space="0" w:color="auto"/>
              <w:right w:val="single" w:sz="4" w:space="0" w:color="auto"/>
            </w:tcBorders>
          </w:tcPr>
          <w:p w14:paraId="380AE80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1573369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000242F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71CF6D6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2515" w:type="dxa"/>
            <w:tcBorders>
              <w:top w:val="single" w:sz="4" w:space="0" w:color="auto"/>
              <w:left w:val="single" w:sz="4" w:space="0" w:color="auto"/>
              <w:bottom w:val="single" w:sz="4" w:space="0" w:color="auto"/>
              <w:right w:val="single" w:sz="4" w:space="0" w:color="auto"/>
            </w:tcBorders>
          </w:tcPr>
          <w:p w14:paraId="3DA4A4F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E147015"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35A85A3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завод № 56</w:t>
            </w:r>
          </w:p>
        </w:tc>
        <w:tc>
          <w:tcPr>
            <w:tcW w:w="1476" w:type="dxa"/>
            <w:tcBorders>
              <w:top w:val="single" w:sz="4" w:space="0" w:color="auto"/>
              <w:left w:val="single" w:sz="4" w:space="0" w:color="auto"/>
              <w:bottom w:val="single" w:sz="4" w:space="0" w:color="auto"/>
              <w:right w:val="single" w:sz="4" w:space="0" w:color="auto"/>
            </w:tcBorders>
          </w:tcPr>
          <w:p w14:paraId="169976C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186F5E4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w:t>
            </w:r>
          </w:p>
        </w:tc>
        <w:tc>
          <w:tcPr>
            <w:tcW w:w="1033" w:type="dxa"/>
            <w:tcBorders>
              <w:top w:val="single" w:sz="4" w:space="0" w:color="auto"/>
              <w:left w:val="single" w:sz="4" w:space="0" w:color="auto"/>
              <w:bottom w:val="single" w:sz="4" w:space="0" w:color="auto"/>
              <w:right w:val="single" w:sz="4" w:space="0" w:color="auto"/>
            </w:tcBorders>
          </w:tcPr>
          <w:p w14:paraId="037FBDE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tc>
        <w:tc>
          <w:tcPr>
            <w:tcW w:w="1033" w:type="dxa"/>
            <w:tcBorders>
              <w:top w:val="single" w:sz="4" w:space="0" w:color="auto"/>
              <w:left w:val="single" w:sz="4" w:space="0" w:color="auto"/>
              <w:bottom w:val="single" w:sz="4" w:space="0" w:color="auto"/>
              <w:right w:val="single" w:sz="4" w:space="0" w:color="auto"/>
            </w:tcBorders>
          </w:tcPr>
          <w:p w14:paraId="56A51C0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tc>
        <w:tc>
          <w:tcPr>
            <w:tcW w:w="2515" w:type="dxa"/>
            <w:tcBorders>
              <w:top w:val="single" w:sz="4" w:space="0" w:color="auto"/>
              <w:left w:val="single" w:sz="4" w:space="0" w:color="auto"/>
              <w:bottom w:val="single" w:sz="4" w:space="0" w:color="auto"/>
              <w:right w:val="single" w:sz="4" w:space="0" w:color="auto"/>
            </w:tcBorders>
          </w:tcPr>
          <w:p w14:paraId="17316C4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54FD1AD5" w14:textId="77777777" w:rsidTr="00267F26">
        <w:trPr>
          <w:jc w:val="center"/>
        </w:trPr>
        <w:tc>
          <w:tcPr>
            <w:tcW w:w="11053" w:type="dxa"/>
            <w:gridSpan w:val="6"/>
            <w:tcBorders>
              <w:top w:val="single" w:sz="4" w:space="0" w:color="auto"/>
              <w:left w:val="single" w:sz="4" w:space="0" w:color="auto"/>
              <w:bottom w:val="single" w:sz="4" w:space="0" w:color="auto"/>
              <w:right w:val="single" w:sz="4" w:space="0" w:color="auto"/>
            </w:tcBorders>
          </w:tcPr>
          <w:p w14:paraId="511CB29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Сборка корпусов</w:t>
            </w:r>
          </w:p>
        </w:tc>
      </w:tr>
      <w:tr w:rsidR="009B487A" w:rsidRPr="00722885" w14:paraId="2D181267"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0CFB498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завод № 568</w:t>
            </w:r>
          </w:p>
        </w:tc>
        <w:tc>
          <w:tcPr>
            <w:tcW w:w="1476" w:type="dxa"/>
            <w:tcBorders>
              <w:top w:val="single" w:sz="4" w:space="0" w:color="auto"/>
              <w:left w:val="single" w:sz="4" w:space="0" w:color="auto"/>
              <w:bottom w:val="single" w:sz="4" w:space="0" w:color="auto"/>
              <w:right w:val="single" w:sz="4" w:space="0" w:color="auto"/>
            </w:tcBorders>
          </w:tcPr>
          <w:p w14:paraId="1F3F917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64BC2D2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033" w:type="dxa"/>
            <w:tcBorders>
              <w:top w:val="single" w:sz="4" w:space="0" w:color="auto"/>
              <w:left w:val="single" w:sz="4" w:space="0" w:color="auto"/>
              <w:bottom w:val="single" w:sz="4" w:space="0" w:color="auto"/>
              <w:right w:val="single" w:sz="4" w:space="0" w:color="auto"/>
            </w:tcBorders>
          </w:tcPr>
          <w:p w14:paraId="221D812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60F1317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2515" w:type="dxa"/>
            <w:tcBorders>
              <w:top w:val="single" w:sz="4" w:space="0" w:color="auto"/>
              <w:left w:val="single" w:sz="4" w:space="0" w:color="auto"/>
              <w:bottom w:val="single" w:sz="4" w:space="0" w:color="auto"/>
              <w:right w:val="single" w:sz="4" w:space="0" w:color="auto"/>
            </w:tcBorders>
          </w:tcPr>
          <w:p w14:paraId="2002F90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з-ду № 12</w:t>
            </w:r>
          </w:p>
        </w:tc>
      </w:tr>
      <w:tr w:rsidR="009B487A" w:rsidRPr="00722885" w14:paraId="5E7EFF57"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0F86CE3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завод № 73</w:t>
            </w:r>
          </w:p>
        </w:tc>
        <w:tc>
          <w:tcPr>
            <w:tcW w:w="1476" w:type="dxa"/>
            <w:tcBorders>
              <w:top w:val="single" w:sz="4" w:space="0" w:color="auto"/>
              <w:left w:val="single" w:sz="4" w:space="0" w:color="auto"/>
              <w:bottom w:val="single" w:sz="4" w:space="0" w:color="auto"/>
              <w:right w:val="single" w:sz="4" w:space="0" w:color="auto"/>
            </w:tcBorders>
          </w:tcPr>
          <w:p w14:paraId="41A2C55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w:t>
            </w:r>
          </w:p>
        </w:tc>
        <w:tc>
          <w:tcPr>
            <w:tcW w:w="1033" w:type="dxa"/>
            <w:tcBorders>
              <w:top w:val="single" w:sz="4" w:space="0" w:color="auto"/>
              <w:left w:val="single" w:sz="4" w:space="0" w:color="auto"/>
              <w:bottom w:val="single" w:sz="4" w:space="0" w:color="auto"/>
              <w:right w:val="single" w:sz="4" w:space="0" w:color="auto"/>
            </w:tcBorders>
          </w:tcPr>
          <w:p w14:paraId="1C786F0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1033" w:type="dxa"/>
            <w:tcBorders>
              <w:top w:val="single" w:sz="4" w:space="0" w:color="auto"/>
              <w:left w:val="single" w:sz="4" w:space="0" w:color="auto"/>
              <w:bottom w:val="single" w:sz="4" w:space="0" w:color="auto"/>
              <w:right w:val="single" w:sz="4" w:space="0" w:color="auto"/>
            </w:tcBorders>
          </w:tcPr>
          <w:p w14:paraId="5347EE4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1033" w:type="dxa"/>
            <w:tcBorders>
              <w:top w:val="single" w:sz="4" w:space="0" w:color="auto"/>
              <w:left w:val="single" w:sz="4" w:space="0" w:color="auto"/>
              <w:bottom w:val="single" w:sz="4" w:space="0" w:color="auto"/>
              <w:right w:val="single" w:sz="4" w:space="0" w:color="auto"/>
            </w:tcBorders>
          </w:tcPr>
          <w:p w14:paraId="098DF7D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2515" w:type="dxa"/>
            <w:tcBorders>
              <w:top w:val="single" w:sz="4" w:space="0" w:color="auto"/>
              <w:left w:val="single" w:sz="4" w:space="0" w:color="auto"/>
              <w:bottom w:val="single" w:sz="4" w:space="0" w:color="auto"/>
              <w:right w:val="single" w:sz="4" w:space="0" w:color="auto"/>
            </w:tcBorders>
          </w:tcPr>
          <w:p w14:paraId="266A7E6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з-дам №№ 80 и 56</w:t>
            </w:r>
          </w:p>
        </w:tc>
      </w:tr>
      <w:tr w:rsidR="009B487A" w:rsidRPr="00722885" w14:paraId="44F079E1"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49169DF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НКМВ завод № 718</w:t>
            </w:r>
          </w:p>
        </w:tc>
        <w:tc>
          <w:tcPr>
            <w:tcW w:w="1476" w:type="dxa"/>
            <w:tcBorders>
              <w:top w:val="single" w:sz="4" w:space="0" w:color="auto"/>
              <w:left w:val="single" w:sz="4" w:space="0" w:color="auto"/>
              <w:bottom w:val="single" w:sz="4" w:space="0" w:color="auto"/>
              <w:right w:val="single" w:sz="4" w:space="0" w:color="auto"/>
            </w:tcBorders>
          </w:tcPr>
          <w:p w14:paraId="03B72C7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2532280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10374B8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345819A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w:t>
            </w:r>
          </w:p>
        </w:tc>
        <w:tc>
          <w:tcPr>
            <w:tcW w:w="2515" w:type="dxa"/>
            <w:tcBorders>
              <w:top w:val="single" w:sz="4" w:space="0" w:color="auto"/>
              <w:left w:val="single" w:sz="4" w:space="0" w:color="auto"/>
              <w:bottom w:val="single" w:sz="4" w:space="0" w:color="auto"/>
              <w:right w:val="single" w:sz="4" w:space="0" w:color="auto"/>
            </w:tcBorders>
          </w:tcPr>
          <w:p w14:paraId="32DC352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з-ду № 80</w:t>
            </w:r>
          </w:p>
        </w:tc>
      </w:tr>
      <w:tr w:rsidR="009B487A" w:rsidRPr="00722885" w14:paraId="54395EA3" w14:textId="77777777" w:rsidTr="00267F26">
        <w:trPr>
          <w:jc w:val="center"/>
        </w:trPr>
        <w:tc>
          <w:tcPr>
            <w:tcW w:w="11053" w:type="dxa"/>
            <w:gridSpan w:val="6"/>
            <w:tcBorders>
              <w:top w:val="single" w:sz="4" w:space="0" w:color="auto"/>
              <w:left w:val="single" w:sz="4" w:space="0" w:color="auto"/>
              <w:bottom w:val="single" w:sz="4" w:space="0" w:color="auto"/>
              <w:right w:val="single" w:sz="4" w:space="0" w:color="auto"/>
            </w:tcBorders>
          </w:tcPr>
          <w:p w14:paraId="58807C9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Обработка блоков М-14</w:t>
            </w:r>
          </w:p>
        </w:tc>
      </w:tr>
      <w:tr w:rsidR="009B487A" w:rsidRPr="00722885" w14:paraId="159CE465"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37F0779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завод № 73</w:t>
            </w:r>
          </w:p>
        </w:tc>
        <w:tc>
          <w:tcPr>
            <w:tcW w:w="1476" w:type="dxa"/>
            <w:tcBorders>
              <w:top w:val="single" w:sz="4" w:space="0" w:color="auto"/>
              <w:left w:val="single" w:sz="4" w:space="0" w:color="auto"/>
              <w:bottom w:val="single" w:sz="4" w:space="0" w:color="auto"/>
              <w:right w:val="single" w:sz="4" w:space="0" w:color="auto"/>
            </w:tcBorders>
          </w:tcPr>
          <w:p w14:paraId="1F29D18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2257D57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1EA4797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26D4982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2515" w:type="dxa"/>
            <w:tcBorders>
              <w:top w:val="single" w:sz="4" w:space="0" w:color="auto"/>
              <w:left w:val="single" w:sz="4" w:space="0" w:color="auto"/>
              <w:bottom w:val="single" w:sz="4" w:space="0" w:color="auto"/>
              <w:right w:val="single" w:sz="4" w:space="0" w:color="auto"/>
            </w:tcBorders>
          </w:tcPr>
          <w:p w14:paraId="44DE0CC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з-ду № 73</w:t>
            </w:r>
          </w:p>
        </w:tc>
      </w:tr>
      <w:tr w:rsidR="009B487A" w:rsidRPr="00722885" w14:paraId="3F6B7227"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3EF2AFB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завод № 568</w:t>
            </w:r>
          </w:p>
        </w:tc>
        <w:tc>
          <w:tcPr>
            <w:tcW w:w="1476" w:type="dxa"/>
            <w:tcBorders>
              <w:top w:val="single" w:sz="4" w:space="0" w:color="auto"/>
              <w:left w:val="single" w:sz="4" w:space="0" w:color="auto"/>
              <w:bottom w:val="single" w:sz="4" w:space="0" w:color="auto"/>
              <w:right w:val="single" w:sz="4" w:space="0" w:color="auto"/>
            </w:tcBorders>
          </w:tcPr>
          <w:p w14:paraId="7F4BBBB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176D838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5F5C558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7449A9F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2515" w:type="dxa"/>
            <w:tcBorders>
              <w:top w:val="single" w:sz="4" w:space="0" w:color="auto"/>
              <w:left w:val="single" w:sz="4" w:space="0" w:color="auto"/>
              <w:bottom w:val="single" w:sz="4" w:space="0" w:color="auto"/>
              <w:right w:val="single" w:sz="4" w:space="0" w:color="auto"/>
            </w:tcBorders>
          </w:tcPr>
          <w:p w14:paraId="490AD3C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з-ду № 568</w:t>
            </w:r>
          </w:p>
        </w:tc>
      </w:tr>
      <w:tr w:rsidR="009B487A" w:rsidRPr="00722885" w14:paraId="12BF235D"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18071B7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НКЧМ завод № 703</w:t>
            </w:r>
          </w:p>
        </w:tc>
        <w:tc>
          <w:tcPr>
            <w:tcW w:w="1476" w:type="dxa"/>
            <w:tcBorders>
              <w:top w:val="single" w:sz="4" w:space="0" w:color="auto"/>
              <w:left w:val="single" w:sz="4" w:space="0" w:color="auto"/>
              <w:bottom w:val="single" w:sz="4" w:space="0" w:color="auto"/>
              <w:right w:val="single" w:sz="4" w:space="0" w:color="auto"/>
            </w:tcBorders>
          </w:tcPr>
          <w:p w14:paraId="63B62B4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5EA81F3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72C2263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1D4116C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2515" w:type="dxa"/>
            <w:tcBorders>
              <w:top w:val="single" w:sz="4" w:space="0" w:color="auto"/>
              <w:left w:val="single" w:sz="4" w:space="0" w:color="auto"/>
              <w:bottom w:val="single" w:sz="4" w:space="0" w:color="auto"/>
              <w:right w:val="single" w:sz="4" w:space="0" w:color="auto"/>
            </w:tcBorders>
          </w:tcPr>
          <w:p w14:paraId="6512868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з-ду № 73</w:t>
            </w:r>
          </w:p>
        </w:tc>
      </w:tr>
      <w:tr w:rsidR="009B487A" w:rsidRPr="00722885" w14:paraId="7674AE87"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49BC5D1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Ревдинский</w:t>
            </w:r>
          </w:p>
        </w:tc>
        <w:tc>
          <w:tcPr>
            <w:tcW w:w="1476" w:type="dxa"/>
            <w:tcBorders>
              <w:top w:val="single" w:sz="4" w:space="0" w:color="auto"/>
              <w:left w:val="single" w:sz="4" w:space="0" w:color="auto"/>
              <w:bottom w:val="single" w:sz="4" w:space="0" w:color="auto"/>
              <w:right w:val="single" w:sz="4" w:space="0" w:color="auto"/>
            </w:tcBorders>
          </w:tcPr>
          <w:p w14:paraId="5A4CC91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4ECB9A5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73EC3E9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492AEC6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2515" w:type="dxa"/>
            <w:tcBorders>
              <w:top w:val="single" w:sz="4" w:space="0" w:color="auto"/>
              <w:left w:val="single" w:sz="4" w:space="0" w:color="auto"/>
              <w:bottom w:val="single" w:sz="4" w:space="0" w:color="auto"/>
              <w:right w:val="single" w:sz="4" w:space="0" w:color="auto"/>
            </w:tcBorders>
          </w:tcPr>
          <w:p w14:paraId="0EBCA78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r>
      <w:tr w:rsidR="009B487A" w:rsidRPr="00722885" w14:paraId="19B32B4F"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755856D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Ново-Тагильский</w:t>
            </w:r>
          </w:p>
        </w:tc>
        <w:tc>
          <w:tcPr>
            <w:tcW w:w="1476" w:type="dxa"/>
            <w:tcBorders>
              <w:top w:val="single" w:sz="4" w:space="0" w:color="auto"/>
              <w:left w:val="single" w:sz="4" w:space="0" w:color="auto"/>
              <w:bottom w:val="single" w:sz="4" w:space="0" w:color="auto"/>
              <w:right w:val="single" w:sz="4" w:space="0" w:color="auto"/>
            </w:tcBorders>
          </w:tcPr>
          <w:p w14:paraId="59097D2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5C1340C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69A8AC3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06E3B45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2515" w:type="dxa"/>
            <w:tcBorders>
              <w:top w:val="single" w:sz="4" w:space="0" w:color="auto"/>
              <w:left w:val="single" w:sz="4" w:space="0" w:color="auto"/>
              <w:bottom w:val="single" w:sz="4" w:space="0" w:color="auto"/>
              <w:right w:val="single" w:sz="4" w:space="0" w:color="auto"/>
            </w:tcBorders>
          </w:tcPr>
          <w:p w14:paraId="688A38D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r>
      <w:tr w:rsidR="009B487A" w:rsidRPr="00722885" w14:paraId="6F28D89E"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099126B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Красная Труба</w:t>
            </w:r>
          </w:p>
        </w:tc>
        <w:tc>
          <w:tcPr>
            <w:tcW w:w="1476" w:type="dxa"/>
            <w:tcBorders>
              <w:top w:val="single" w:sz="4" w:space="0" w:color="auto"/>
              <w:left w:val="single" w:sz="4" w:space="0" w:color="auto"/>
              <w:bottom w:val="single" w:sz="4" w:space="0" w:color="auto"/>
              <w:right w:val="single" w:sz="4" w:space="0" w:color="auto"/>
            </w:tcBorders>
          </w:tcPr>
          <w:p w14:paraId="2086994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66B373D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1033" w:type="dxa"/>
            <w:tcBorders>
              <w:top w:val="single" w:sz="4" w:space="0" w:color="auto"/>
              <w:left w:val="single" w:sz="4" w:space="0" w:color="auto"/>
              <w:bottom w:val="single" w:sz="4" w:space="0" w:color="auto"/>
              <w:right w:val="single" w:sz="4" w:space="0" w:color="auto"/>
            </w:tcBorders>
          </w:tcPr>
          <w:p w14:paraId="0D6EDAC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70CC444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2515" w:type="dxa"/>
            <w:tcBorders>
              <w:top w:val="single" w:sz="4" w:space="0" w:color="auto"/>
              <w:left w:val="single" w:sz="4" w:space="0" w:color="auto"/>
              <w:bottom w:val="single" w:sz="4" w:space="0" w:color="auto"/>
              <w:right w:val="single" w:sz="4" w:space="0" w:color="auto"/>
            </w:tcBorders>
          </w:tcPr>
          <w:p w14:paraId="67637FC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з-ду № 568</w:t>
            </w:r>
          </w:p>
        </w:tc>
      </w:tr>
      <w:tr w:rsidR="009B487A" w:rsidRPr="00722885" w14:paraId="416DF4AA"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0D0B068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НКСМ ГАЗ им. Молотова</w:t>
            </w:r>
          </w:p>
        </w:tc>
        <w:tc>
          <w:tcPr>
            <w:tcW w:w="1476" w:type="dxa"/>
            <w:tcBorders>
              <w:top w:val="single" w:sz="4" w:space="0" w:color="auto"/>
              <w:left w:val="single" w:sz="4" w:space="0" w:color="auto"/>
              <w:bottom w:val="single" w:sz="4" w:space="0" w:color="auto"/>
              <w:right w:val="single" w:sz="4" w:space="0" w:color="auto"/>
            </w:tcBorders>
          </w:tcPr>
          <w:p w14:paraId="7B056C4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033" w:type="dxa"/>
            <w:tcBorders>
              <w:top w:val="single" w:sz="4" w:space="0" w:color="auto"/>
              <w:left w:val="single" w:sz="4" w:space="0" w:color="auto"/>
              <w:bottom w:val="single" w:sz="4" w:space="0" w:color="auto"/>
              <w:right w:val="single" w:sz="4" w:space="0" w:color="auto"/>
            </w:tcBorders>
          </w:tcPr>
          <w:p w14:paraId="1A181C2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29FD439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1033" w:type="dxa"/>
            <w:tcBorders>
              <w:top w:val="single" w:sz="4" w:space="0" w:color="auto"/>
              <w:left w:val="single" w:sz="4" w:space="0" w:color="auto"/>
              <w:bottom w:val="single" w:sz="4" w:space="0" w:color="auto"/>
              <w:right w:val="single" w:sz="4" w:space="0" w:color="auto"/>
            </w:tcBorders>
          </w:tcPr>
          <w:p w14:paraId="7417950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2515" w:type="dxa"/>
            <w:tcBorders>
              <w:top w:val="single" w:sz="4" w:space="0" w:color="auto"/>
              <w:left w:val="single" w:sz="4" w:space="0" w:color="auto"/>
              <w:bottom w:val="single" w:sz="4" w:space="0" w:color="auto"/>
              <w:right w:val="single" w:sz="4" w:space="0" w:color="auto"/>
            </w:tcBorders>
          </w:tcPr>
          <w:p w14:paraId="47BD3A2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НКМВ з-ду № 716</w:t>
            </w:r>
          </w:p>
        </w:tc>
      </w:tr>
      <w:tr w:rsidR="009B487A" w:rsidRPr="00722885" w14:paraId="42CBC3E1" w14:textId="77777777" w:rsidTr="00267F26">
        <w:trPr>
          <w:jc w:val="center"/>
        </w:trPr>
        <w:tc>
          <w:tcPr>
            <w:tcW w:w="11053" w:type="dxa"/>
            <w:gridSpan w:val="6"/>
            <w:tcBorders>
              <w:top w:val="single" w:sz="4" w:space="0" w:color="auto"/>
              <w:left w:val="single" w:sz="4" w:space="0" w:color="auto"/>
              <w:bottom w:val="single" w:sz="4" w:space="0" w:color="auto"/>
              <w:right w:val="single" w:sz="4" w:space="0" w:color="auto"/>
            </w:tcBorders>
          </w:tcPr>
          <w:p w14:paraId="3250049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Заготовка блоков М-14</w:t>
            </w:r>
          </w:p>
        </w:tc>
      </w:tr>
      <w:tr w:rsidR="009B487A" w:rsidRPr="00722885" w14:paraId="0B7D4891"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1E26781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НКЧМ завод № 703</w:t>
            </w:r>
          </w:p>
        </w:tc>
        <w:tc>
          <w:tcPr>
            <w:tcW w:w="1476" w:type="dxa"/>
            <w:tcBorders>
              <w:top w:val="single" w:sz="4" w:space="0" w:color="auto"/>
              <w:left w:val="single" w:sz="4" w:space="0" w:color="auto"/>
              <w:bottom w:val="single" w:sz="4" w:space="0" w:color="auto"/>
              <w:right w:val="single" w:sz="4" w:space="0" w:color="auto"/>
            </w:tcBorders>
          </w:tcPr>
          <w:p w14:paraId="44D9CCA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1033" w:type="dxa"/>
            <w:tcBorders>
              <w:top w:val="single" w:sz="4" w:space="0" w:color="auto"/>
              <w:left w:val="single" w:sz="4" w:space="0" w:color="auto"/>
              <w:bottom w:val="single" w:sz="4" w:space="0" w:color="auto"/>
              <w:right w:val="single" w:sz="4" w:space="0" w:color="auto"/>
            </w:tcBorders>
          </w:tcPr>
          <w:p w14:paraId="728D8C7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1033" w:type="dxa"/>
            <w:tcBorders>
              <w:top w:val="single" w:sz="4" w:space="0" w:color="auto"/>
              <w:left w:val="single" w:sz="4" w:space="0" w:color="auto"/>
              <w:bottom w:val="single" w:sz="4" w:space="0" w:color="auto"/>
              <w:right w:val="single" w:sz="4" w:space="0" w:color="auto"/>
            </w:tcBorders>
          </w:tcPr>
          <w:p w14:paraId="3B51C07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1033" w:type="dxa"/>
            <w:tcBorders>
              <w:top w:val="single" w:sz="4" w:space="0" w:color="auto"/>
              <w:left w:val="single" w:sz="4" w:space="0" w:color="auto"/>
              <w:bottom w:val="single" w:sz="4" w:space="0" w:color="auto"/>
              <w:right w:val="single" w:sz="4" w:space="0" w:color="auto"/>
            </w:tcBorders>
          </w:tcPr>
          <w:p w14:paraId="4A5160F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2515" w:type="dxa"/>
            <w:tcBorders>
              <w:top w:val="single" w:sz="4" w:space="0" w:color="auto"/>
              <w:left w:val="single" w:sz="4" w:space="0" w:color="auto"/>
              <w:bottom w:val="single" w:sz="4" w:space="0" w:color="auto"/>
              <w:right w:val="single" w:sz="4" w:space="0" w:color="auto"/>
            </w:tcBorders>
          </w:tcPr>
          <w:p w14:paraId="2F026F8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з-ду № 73</w:t>
            </w:r>
          </w:p>
        </w:tc>
      </w:tr>
      <w:tr w:rsidR="009B487A" w:rsidRPr="00722885" w14:paraId="11B01717"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605590D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завод № 703</w:t>
            </w:r>
          </w:p>
        </w:tc>
        <w:tc>
          <w:tcPr>
            <w:tcW w:w="1476" w:type="dxa"/>
            <w:tcBorders>
              <w:top w:val="single" w:sz="4" w:space="0" w:color="auto"/>
              <w:left w:val="single" w:sz="4" w:space="0" w:color="auto"/>
              <w:bottom w:val="single" w:sz="4" w:space="0" w:color="auto"/>
              <w:right w:val="single" w:sz="4" w:space="0" w:color="auto"/>
            </w:tcBorders>
          </w:tcPr>
          <w:p w14:paraId="4DA2110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5D73DE4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412263F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033" w:type="dxa"/>
            <w:tcBorders>
              <w:top w:val="single" w:sz="4" w:space="0" w:color="auto"/>
              <w:left w:val="single" w:sz="4" w:space="0" w:color="auto"/>
              <w:bottom w:val="single" w:sz="4" w:space="0" w:color="auto"/>
              <w:right w:val="single" w:sz="4" w:space="0" w:color="auto"/>
            </w:tcBorders>
          </w:tcPr>
          <w:p w14:paraId="5F61DA5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2515" w:type="dxa"/>
            <w:tcBorders>
              <w:top w:val="single" w:sz="4" w:space="0" w:color="auto"/>
              <w:left w:val="single" w:sz="4" w:space="0" w:color="auto"/>
              <w:bottom w:val="single" w:sz="4" w:space="0" w:color="auto"/>
              <w:right w:val="single" w:sz="4" w:space="0" w:color="auto"/>
            </w:tcBorders>
          </w:tcPr>
          <w:p w14:paraId="48020CC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НКЧМ з-ду № 703</w:t>
            </w:r>
          </w:p>
        </w:tc>
      </w:tr>
      <w:tr w:rsidR="009B487A" w:rsidRPr="00722885" w14:paraId="31FC5093"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2B72921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c>
          <w:tcPr>
            <w:tcW w:w="1476" w:type="dxa"/>
            <w:tcBorders>
              <w:top w:val="single" w:sz="4" w:space="0" w:color="auto"/>
              <w:left w:val="single" w:sz="4" w:space="0" w:color="auto"/>
              <w:bottom w:val="single" w:sz="4" w:space="0" w:color="auto"/>
              <w:right w:val="single" w:sz="4" w:space="0" w:color="auto"/>
            </w:tcBorders>
          </w:tcPr>
          <w:p w14:paraId="655A5F4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033" w:type="dxa"/>
            <w:tcBorders>
              <w:top w:val="single" w:sz="4" w:space="0" w:color="auto"/>
              <w:left w:val="single" w:sz="4" w:space="0" w:color="auto"/>
              <w:bottom w:val="single" w:sz="4" w:space="0" w:color="auto"/>
              <w:right w:val="single" w:sz="4" w:space="0" w:color="auto"/>
            </w:tcBorders>
          </w:tcPr>
          <w:p w14:paraId="570717F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462F366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1C46AE7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2515" w:type="dxa"/>
            <w:tcBorders>
              <w:top w:val="single" w:sz="4" w:space="0" w:color="auto"/>
              <w:left w:val="single" w:sz="4" w:space="0" w:color="auto"/>
              <w:bottom w:val="single" w:sz="4" w:space="0" w:color="auto"/>
              <w:right w:val="single" w:sz="4" w:space="0" w:color="auto"/>
            </w:tcBorders>
          </w:tcPr>
          <w:p w14:paraId="5E9FC2A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Ревдинскому</w:t>
            </w:r>
          </w:p>
        </w:tc>
      </w:tr>
      <w:tr w:rsidR="009B487A" w:rsidRPr="00722885" w14:paraId="7C92FF9D"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37ABD63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c>
          <w:tcPr>
            <w:tcW w:w="1476" w:type="dxa"/>
            <w:tcBorders>
              <w:top w:val="single" w:sz="4" w:space="0" w:color="auto"/>
              <w:left w:val="single" w:sz="4" w:space="0" w:color="auto"/>
              <w:bottom w:val="single" w:sz="4" w:space="0" w:color="auto"/>
              <w:right w:val="single" w:sz="4" w:space="0" w:color="auto"/>
            </w:tcBorders>
          </w:tcPr>
          <w:p w14:paraId="5644F7E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033" w:type="dxa"/>
            <w:tcBorders>
              <w:top w:val="single" w:sz="4" w:space="0" w:color="auto"/>
              <w:left w:val="single" w:sz="4" w:space="0" w:color="auto"/>
              <w:bottom w:val="single" w:sz="4" w:space="0" w:color="auto"/>
              <w:right w:val="single" w:sz="4" w:space="0" w:color="auto"/>
            </w:tcBorders>
          </w:tcPr>
          <w:p w14:paraId="2EE66A0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587E489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033" w:type="dxa"/>
            <w:tcBorders>
              <w:top w:val="single" w:sz="4" w:space="0" w:color="auto"/>
              <w:left w:val="single" w:sz="4" w:space="0" w:color="auto"/>
              <w:bottom w:val="single" w:sz="4" w:space="0" w:color="auto"/>
              <w:right w:val="single" w:sz="4" w:space="0" w:color="auto"/>
            </w:tcBorders>
          </w:tcPr>
          <w:p w14:paraId="7FB4801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2515" w:type="dxa"/>
            <w:tcBorders>
              <w:top w:val="single" w:sz="4" w:space="0" w:color="auto"/>
              <w:left w:val="single" w:sz="4" w:space="0" w:color="auto"/>
              <w:bottom w:val="single" w:sz="4" w:space="0" w:color="auto"/>
              <w:right w:val="single" w:sz="4" w:space="0" w:color="auto"/>
            </w:tcBorders>
          </w:tcPr>
          <w:p w14:paraId="4AA37A2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Ново-Тагильскому</w:t>
            </w:r>
          </w:p>
        </w:tc>
      </w:tr>
      <w:tr w:rsidR="009B487A" w:rsidRPr="00722885" w14:paraId="1415CFF9"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2E65202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c>
          <w:tcPr>
            <w:tcW w:w="1476" w:type="dxa"/>
            <w:tcBorders>
              <w:top w:val="single" w:sz="4" w:space="0" w:color="auto"/>
              <w:left w:val="single" w:sz="4" w:space="0" w:color="auto"/>
              <w:bottom w:val="single" w:sz="4" w:space="0" w:color="auto"/>
              <w:right w:val="single" w:sz="4" w:space="0" w:color="auto"/>
            </w:tcBorders>
          </w:tcPr>
          <w:p w14:paraId="788E294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033" w:type="dxa"/>
            <w:tcBorders>
              <w:top w:val="single" w:sz="4" w:space="0" w:color="auto"/>
              <w:left w:val="single" w:sz="4" w:space="0" w:color="auto"/>
              <w:bottom w:val="single" w:sz="4" w:space="0" w:color="auto"/>
              <w:right w:val="single" w:sz="4" w:space="0" w:color="auto"/>
            </w:tcBorders>
          </w:tcPr>
          <w:p w14:paraId="00D2E88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w:t>
            </w:r>
          </w:p>
        </w:tc>
        <w:tc>
          <w:tcPr>
            <w:tcW w:w="1033" w:type="dxa"/>
            <w:tcBorders>
              <w:top w:val="single" w:sz="4" w:space="0" w:color="auto"/>
              <w:left w:val="single" w:sz="4" w:space="0" w:color="auto"/>
              <w:bottom w:val="single" w:sz="4" w:space="0" w:color="auto"/>
              <w:right w:val="single" w:sz="4" w:space="0" w:color="auto"/>
            </w:tcBorders>
          </w:tcPr>
          <w:p w14:paraId="362F6B9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033" w:type="dxa"/>
            <w:tcBorders>
              <w:top w:val="single" w:sz="4" w:space="0" w:color="auto"/>
              <w:left w:val="single" w:sz="4" w:space="0" w:color="auto"/>
              <w:bottom w:val="single" w:sz="4" w:space="0" w:color="auto"/>
              <w:right w:val="single" w:sz="4" w:space="0" w:color="auto"/>
            </w:tcBorders>
          </w:tcPr>
          <w:p w14:paraId="543E826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2515" w:type="dxa"/>
            <w:tcBorders>
              <w:top w:val="single" w:sz="4" w:space="0" w:color="auto"/>
              <w:left w:val="single" w:sz="4" w:space="0" w:color="auto"/>
              <w:bottom w:val="single" w:sz="4" w:space="0" w:color="auto"/>
              <w:right w:val="single" w:sz="4" w:space="0" w:color="auto"/>
            </w:tcBorders>
          </w:tcPr>
          <w:p w14:paraId="7D1E725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НКСМ ГАЗ имени Молотова</w:t>
            </w:r>
          </w:p>
        </w:tc>
      </w:tr>
      <w:tr w:rsidR="009B487A" w:rsidRPr="00722885" w14:paraId="29E1F9BE"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23D83EE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c>
          <w:tcPr>
            <w:tcW w:w="1476" w:type="dxa"/>
            <w:tcBorders>
              <w:top w:val="single" w:sz="4" w:space="0" w:color="auto"/>
              <w:left w:val="single" w:sz="4" w:space="0" w:color="auto"/>
              <w:bottom w:val="single" w:sz="4" w:space="0" w:color="auto"/>
              <w:right w:val="single" w:sz="4" w:space="0" w:color="auto"/>
            </w:tcBorders>
          </w:tcPr>
          <w:p w14:paraId="39F0F2C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6B9EF9E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4CE73BC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033" w:type="dxa"/>
            <w:tcBorders>
              <w:top w:val="single" w:sz="4" w:space="0" w:color="auto"/>
              <w:left w:val="single" w:sz="4" w:space="0" w:color="auto"/>
              <w:bottom w:val="single" w:sz="4" w:space="0" w:color="auto"/>
              <w:right w:val="single" w:sz="4" w:space="0" w:color="auto"/>
            </w:tcBorders>
          </w:tcPr>
          <w:p w14:paraId="5DEC7E1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2515" w:type="dxa"/>
            <w:tcBorders>
              <w:top w:val="single" w:sz="4" w:space="0" w:color="auto"/>
              <w:left w:val="single" w:sz="4" w:space="0" w:color="auto"/>
              <w:bottom w:val="single" w:sz="4" w:space="0" w:color="auto"/>
              <w:right w:val="single" w:sz="4" w:space="0" w:color="auto"/>
            </w:tcBorders>
          </w:tcPr>
          <w:p w14:paraId="54ADC81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НКЧМ "Красная Труба"</w:t>
            </w:r>
          </w:p>
        </w:tc>
      </w:tr>
      <w:tr w:rsidR="009B487A" w:rsidRPr="00722885" w14:paraId="515C9FD1" w14:textId="77777777" w:rsidTr="00267F26">
        <w:trPr>
          <w:jc w:val="center"/>
        </w:trPr>
        <w:tc>
          <w:tcPr>
            <w:tcW w:w="3963" w:type="dxa"/>
            <w:tcBorders>
              <w:top w:val="single" w:sz="4" w:space="0" w:color="auto"/>
              <w:left w:val="single" w:sz="4" w:space="0" w:color="auto"/>
              <w:bottom w:val="single" w:sz="4" w:space="0" w:color="auto"/>
              <w:right w:val="single" w:sz="4" w:space="0" w:color="auto"/>
            </w:tcBorders>
          </w:tcPr>
          <w:p w14:paraId="5D36AA4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c>
          <w:tcPr>
            <w:tcW w:w="1476" w:type="dxa"/>
            <w:tcBorders>
              <w:top w:val="single" w:sz="4" w:space="0" w:color="auto"/>
              <w:left w:val="single" w:sz="4" w:space="0" w:color="auto"/>
              <w:bottom w:val="single" w:sz="4" w:space="0" w:color="auto"/>
              <w:right w:val="single" w:sz="4" w:space="0" w:color="auto"/>
            </w:tcBorders>
          </w:tcPr>
          <w:p w14:paraId="152ECE0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033" w:type="dxa"/>
            <w:tcBorders>
              <w:top w:val="single" w:sz="4" w:space="0" w:color="auto"/>
              <w:left w:val="single" w:sz="4" w:space="0" w:color="auto"/>
              <w:bottom w:val="single" w:sz="4" w:space="0" w:color="auto"/>
              <w:right w:val="single" w:sz="4" w:space="0" w:color="auto"/>
            </w:tcBorders>
          </w:tcPr>
          <w:p w14:paraId="3FA33F9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033" w:type="dxa"/>
            <w:tcBorders>
              <w:top w:val="single" w:sz="4" w:space="0" w:color="auto"/>
              <w:left w:val="single" w:sz="4" w:space="0" w:color="auto"/>
              <w:bottom w:val="single" w:sz="4" w:space="0" w:color="auto"/>
              <w:right w:val="single" w:sz="4" w:space="0" w:color="auto"/>
            </w:tcBorders>
          </w:tcPr>
          <w:p w14:paraId="74CB0AD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1033" w:type="dxa"/>
            <w:tcBorders>
              <w:top w:val="single" w:sz="4" w:space="0" w:color="auto"/>
              <w:left w:val="single" w:sz="4" w:space="0" w:color="auto"/>
              <w:bottom w:val="single" w:sz="4" w:space="0" w:color="auto"/>
              <w:right w:val="single" w:sz="4" w:space="0" w:color="auto"/>
            </w:tcBorders>
          </w:tcPr>
          <w:p w14:paraId="2C6B165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2515" w:type="dxa"/>
            <w:tcBorders>
              <w:top w:val="single" w:sz="4" w:space="0" w:color="auto"/>
              <w:left w:val="single" w:sz="4" w:space="0" w:color="auto"/>
              <w:bottom w:val="single" w:sz="4" w:space="0" w:color="auto"/>
              <w:right w:val="single" w:sz="4" w:space="0" w:color="auto"/>
            </w:tcBorders>
          </w:tcPr>
          <w:p w14:paraId="23460C8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з-ду № 568</w:t>
            </w:r>
          </w:p>
        </w:tc>
      </w:tr>
      <w:tr w:rsidR="009B487A" w:rsidRPr="00722885" w14:paraId="15A3A3CD" w14:textId="77777777" w:rsidTr="00267F26">
        <w:trPr>
          <w:jc w:val="center"/>
        </w:trPr>
        <w:tc>
          <w:tcPr>
            <w:tcW w:w="11053" w:type="dxa"/>
            <w:gridSpan w:val="6"/>
            <w:tcBorders>
              <w:top w:val="single" w:sz="4" w:space="0" w:color="auto"/>
              <w:left w:val="single" w:sz="4" w:space="0" w:color="auto"/>
              <w:bottom w:val="single" w:sz="4" w:space="0" w:color="auto"/>
              <w:right w:val="single" w:sz="4" w:space="0" w:color="auto"/>
            </w:tcBorders>
          </w:tcPr>
          <w:p w14:paraId="696BF4E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 декабре месяце корпуса поставлять: заводу № 12 - 5 т. штук</w:t>
            </w:r>
          </w:p>
          <w:p w14:paraId="6D9F5C4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заводу № 56 - 3 т. штук</w:t>
            </w:r>
          </w:p>
        </w:tc>
      </w:tr>
    </w:tbl>
    <w:p w14:paraId="41CFB62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Верно: Ксенофонтова (12156).</w:t>
      </w:r>
    </w:p>
    <w:tbl>
      <w:tblPr>
        <w:tblW w:w="10208" w:type="dxa"/>
        <w:jc w:val="center"/>
        <w:tblCellSpacing w:w="0" w:type="dxa"/>
        <w:tblCellMar>
          <w:left w:w="0" w:type="dxa"/>
          <w:right w:w="0" w:type="dxa"/>
        </w:tblCellMar>
        <w:tblLook w:val="04A0" w:firstRow="1" w:lastRow="0" w:firstColumn="1" w:lastColumn="0" w:noHBand="0" w:noVBand="1"/>
      </w:tblPr>
      <w:tblGrid>
        <w:gridCol w:w="1427"/>
        <w:gridCol w:w="1216"/>
        <w:gridCol w:w="2367"/>
        <w:gridCol w:w="1189"/>
        <w:gridCol w:w="1361"/>
        <w:gridCol w:w="243"/>
        <w:gridCol w:w="243"/>
        <w:gridCol w:w="311"/>
        <w:gridCol w:w="311"/>
        <w:gridCol w:w="308"/>
        <w:gridCol w:w="308"/>
        <w:gridCol w:w="308"/>
        <w:gridCol w:w="308"/>
        <w:gridCol w:w="308"/>
      </w:tblGrid>
      <w:tr w:rsidR="009B487A" w:rsidRPr="00722885" w14:paraId="55227641" w14:textId="77777777" w:rsidTr="00267F26">
        <w:trPr>
          <w:gridAfter w:val="1"/>
          <w:tblCellSpacing w:w="0" w:type="dxa"/>
          <w:jc w:val="center"/>
        </w:trPr>
        <w:tc>
          <w:tcPr>
            <w:tcW w:w="0" w:type="auto"/>
            <w:gridSpan w:val="13"/>
            <w:hideMark/>
          </w:tcPr>
          <w:p w14:paraId="588AF4D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Сов. секретно </w:t>
            </w:r>
          </w:p>
          <w:p w14:paraId="65DFC8A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Приложение № 2 к постановлению ГОКО № 2628сс от 15 декабря 1942 года </w:t>
            </w:r>
          </w:p>
        </w:tc>
      </w:tr>
      <w:tr w:rsidR="009B487A" w:rsidRPr="00722885" w14:paraId="2E7E8985" w14:textId="77777777" w:rsidTr="00267F26">
        <w:trPr>
          <w:gridAfter w:val="1"/>
          <w:tblCellSpacing w:w="0" w:type="dxa"/>
          <w:jc w:val="center"/>
        </w:trPr>
        <w:tc>
          <w:tcPr>
            <w:tcW w:w="0" w:type="auto"/>
            <w:gridSpan w:val="13"/>
            <w:hideMark/>
          </w:tcPr>
          <w:p w14:paraId="261F7A8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ПЛАН </w:t>
            </w:r>
          </w:p>
          <w:p w14:paraId="20AD2C0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производства и поставки головок для снарядов М-31 в декабре 1942 года и 1 квартале 1943 года </w:t>
            </w:r>
          </w:p>
        </w:tc>
      </w:tr>
      <w:tr w:rsidR="009B487A" w:rsidRPr="00722885" w14:paraId="1B1ACB3B"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476E74A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Наркоматы и заводы-поставщики</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37E137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Подлежит изготовлению и сдаче</w:t>
            </w:r>
          </w:p>
        </w:tc>
        <w:tc>
          <w:tcPr>
            <w:tcW w:w="0" w:type="auto"/>
            <w:gridSpan w:val="7"/>
            <w:vMerge w:val="restart"/>
            <w:tcBorders>
              <w:top w:val="outset" w:sz="6" w:space="0" w:color="auto"/>
              <w:left w:val="outset" w:sz="6" w:space="0" w:color="auto"/>
              <w:bottom w:val="outset" w:sz="6" w:space="0" w:color="auto"/>
              <w:right w:val="outset" w:sz="6" w:space="0" w:color="auto"/>
            </w:tcBorders>
            <w:vAlign w:val="center"/>
            <w:hideMark/>
          </w:tcPr>
          <w:p w14:paraId="46BEA70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Кому поставляются изделия</w:t>
            </w:r>
          </w:p>
        </w:tc>
      </w:tr>
      <w:tr w:rsidR="009B487A" w:rsidRPr="00722885" w14:paraId="6CFCB264"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DF34A6E" w14:textId="77777777" w:rsidR="00517A3A" w:rsidRPr="00722885" w:rsidRDefault="00517A3A" w:rsidP="00722885">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7B606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Декабрь 1942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D2E7F1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квартал 1943 г.</w:t>
            </w:r>
          </w:p>
        </w:tc>
        <w:tc>
          <w:tcPr>
            <w:tcW w:w="0" w:type="auto"/>
            <w:gridSpan w:val="7"/>
            <w:vMerge/>
            <w:tcBorders>
              <w:top w:val="outset" w:sz="6" w:space="0" w:color="auto"/>
              <w:left w:val="outset" w:sz="6" w:space="0" w:color="auto"/>
              <w:bottom w:val="outset" w:sz="6" w:space="0" w:color="auto"/>
              <w:right w:val="outset" w:sz="6" w:space="0" w:color="auto"/>
            </w:tcBorders>
            <w:vAlign w:val="center"/>
            <w:hideMark/>
          </w:tcPr>
          <w:p w14:paraId="7BCFC670" w14:textId="77777777" w:rsidR="00517A3A" w:rsidRPr="00722885" w:rsidRDefault="00517A3A" w:rsidP="00722885">
            <w:pPr>
              <w:spacing w:after="0" w:line="240" w:lineRule="auto"/>
              <w:jc w:val="both"/>
              <w:rPr>
                <w:rFonts w:ascii="Times New Roman" w:hAnsi="Times New Roman"/>
                <w:color w:val="000000" w:themeColor="text1"/>
                <w:sz w:val="16"/>
                <w:szCs w:val="16"/>
              </w:rPr>
            </w:pPr>
          </w:p>
        </w:tc>
      </w:tr>
      <w:tr w:rsidR="009B487A" w:rsidRPr="00722885" w14:paraId="57306FAC"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3554A256" w14:textId="77777777" w:rsidR="00517A3A" w:rsidRPr="00722885" w:rsidRDefault="00517A3A" w:rsidP="00722885">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E48866" w14:textId="77777777" w:rsidR="00517A3A" w:rsidRPr="00722885" w:rsidRDefault="00517A3A" w:rsidP="00722885">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16BA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B9AC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Февраль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8E2F5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Март</w:t>
            </w:r>
          </w:p>
        </w:tc>
        <w:tc>
          <w:tcPr>
            <w:tcW w:w="0" w:type="auto"/>
            <w:gridSpan w:val="7"/>
            <w:vMerge/>
            <w:tcBorders>
              <w:top w:val="outset" w:sz="6" w:space="0" w:color="auto"/>
              <w:left w:val="outset" w:sz="6" w:space="0" w:color="auto"/>
              <w:bottom w:val="outset" w:sz="6" w:space="0" w:color="auto"/>
              <w:right w:val="outset" w:sz="6" w:space="0" w:color="auto"/>
            </w:tcBorders>
            <w:vAlign w:val="center"/>
            <w:hideMark/>
          </w:tcPr>
          <w:p w14:paraId="4FBB1564" w14:textId="77777777" w:rsidR="00517A3A" w:rsidRPr="00722885" w:rsidRDefault="00517A3A" w:rsidP="00722885">
            <w:pPr>
              <w:spacing w:after="0" w:line="240" w:lineRule="auto"/>
              <w:jc w:val="both"/>
              <w:rPr>
                <w:rFonts w:ascii="Times New Roman" w:hAnsi="Times New Roman"/>
                <w:color w:val="000000" w:themeColor="text1"/>
                <w:sz w:val="16"/>
                <w:szCs w:val="16"/>
              </w:rPr>
            </w:pPr>
          </w:p>
        </w:tc>
      </w:tr>
      <w:tr w:rsidR="009B487A" w:rsidRPr="00722885" w14:paraId="22B183F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78390B3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НКЧМ завод № 700</w:t>
            </w:r>
          </w:p>
        </w:tc>
        <w:tc>
          <w:tcPr>
            <w:tcW w:w="0" w:type="auto"/>
            <w:tcBorders>
              <w:top w:val="outset" w:sz="6" w:space="0" w:color="auto"/>
              <w:left w:val="outset" w:sz="6" w:space="0" w:color="auto"/>
              <w:bottom w:val="outset" w:sz="6" w:space="0" w:color="auto"/>
              <w:right w:val="outset" w:sz="6" w:space="0" w:color="auto"/>
            </w:tcBorders>
            <w:hideMark/>
          </w:tcPr>
          <w:p w14:paraId="3F707F9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hideMark/>
          </w:tcPr>
          <w:p w14:paraId="59DAD33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hideMark/>
          </w:tcPr>
          <w:p w14:paraId="3AE6A4C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0" w:type="auto"/>
            <w:gridSpan w:val="2"/>
            <w:tcBorders>
              <w:top w:val="outset" w:sz="6" w:space="0" w:color="auto"/>
              <w:left w:val="outset" w:sz="6" w:space="0" w:color="auto"/>
              <w:bottom w:val="outset" w:sz="6" w:space="0" w:color="auto"/>
              <w:right w:val="outset" w:sz="6" w:space="0" w:color="auto"/>
            </w:tcBorders>
            <w:hideMark/>
          </w:tcPr>
          <w:p w14:paraId="3D4C230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0" w:type="auto"/>
            <w:gridSpan w:val="7"/>
            <w:tcBorders>
              <w:top w:val="outset" w:sz="6" w:space="0" w:color="auto"/>
              <w:left w:val="outset" w:sz="6" w:space="0" w:color="auto"/>
              <w:bottom w:val="outset" w:sz="6" w:space="0" w:color="auto"/>
              <w:right w:val="outset" w:sz="6" w:space="0" w:color="auto"/>
            </w:tcBorders>
            <w:hideMark/>
          </w:tcPr>
          <w:p w14:paraId="2CE9DC3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з-ду № 73</w:t>
            </w:r>
          </w:p>
        </w:tc>
      </w:tr>
      <w:tr w:rsidR="009B487A" w:rsidRPr="00722885" w14:paraId="7641ECD1"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0F217D9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НКТМ з-д "Красный Профинтерн"</w:t>
            </w:r>
          </w:p>
        </w:tc>
        <w:tc>
          <w:tcPr>
            <w:tcW w:w="0" w:type="auto"/>
            <w:tcBorders>
              <w:top w:val="outset" w:sz="6" w:space="0" w:color="auto"/>
              <w:left w:val="outset" w:sz="6" w:space="0" w:color="auto"/>
              <w:bottom w:val="outset" w:sz="6" w:space="0" w:color="auto"/>
              <w:right w:val="outset" w:sz="6" w:space="0" w:color="auto"/>
            </w:tcBorders>
            <w:hideMark/>
          </w:tcPr>
          <w:p w14:paraId="12DBED4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hideMark/>
          </w:tcPr>
          <w:p w14:paraId="1A2AE4C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hideMark/>
          </w:tcPr>
          <w:p w14:paraId="7A97AFA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tcBorders>
              <w:top w:val="outset" w:sz="6" w:space="0" w:color="auto"/>
              <w:left w:val="outset" w:sz="6" w:space="0" w:color="auto"/>
              <w:bottom w:val="outset" w:sz="6" w:space="0" w:color="auto"/>
              <w:right w:val="outset" w:sz="6" w:space="0" w:color="auto"/>
            </w:tcBorders>
            <w:hideMark/>
          </w:tcPr>
          <w:p w14:paraId="2839D80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7"/>
            <w:tcBorders>
              <w:top w:val="outset" w:sz="6" w:space="0" w:color="auto"/>
              <w:left w:val="outset" w:sz="6" w:space="0" w:color="auto"/>
              <w:bottom w:val="outset" w:sz="6" w:space="0" w:color="auto"/>
              <w:right w:val="outset" w:sz="6" w:space="0" w:color="auto"/>
            </w:tcBorders>
            <w:hideMark/>
          </w:tcPr>
          <w:p w14:paraId="4E21804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32D8F53"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5A26F86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НКСП з-д № 239</w:t>
            </w:r>
          </w:p>
        </w:tc>
        <w:tc>
          <w:tcPr>
            <w:tcW w:w="0" w:type="auto"/>
            <w:tcBorders>
              <w:top w:val="outset" w:sz="6" w:space="0" w:color="auto"/>
              <w:left w:val="outset" w:sz="6" w:space="0" w:color="auto"/>
              <w:bottom w:val="outset" w:sz="6" w:space="0" w:color="auto"/>
              <w:right w:val="outset" w:sz="6" w:space="0" w:color="auto"/>
            </w:tcBorders>
            <w:hideMark/>
          </w:tcPr>
          <w:p w14:paraId="24143F3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hideMark/>
          </w:tcPr>
          <w:p w14:paraId="37CAED5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hideMark/>
          </w:tcPr>
          <w:p w14:paraId="7F00D95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tcBorders>
              <w:top w:val="outset" w:sz="6" w:space="0" w:color="auto"/>
              <w:left w:val="outset" w:sz="6" w:space="0" w:color="auto"/>
              <w:bottom w:val="outset" w:sz="6" w:space="0" w:color="auto"/>
              <w:right w:val="outset" w:sz="6" w:space="0" w:color="auto"/>
            </w:tcBorders>
            <w:hideMark/>
          </w:tcPr>
          <w:p w14:paraId="5E9E75D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7"/>
            <w:tcBorders>
              <w:top w:val="outset" w:sz="6" w:space="0" w:color="auto"/>
              <w:left w:val="outset" w:sz="6" w:space="0" w:color="auto"/>
              <w:bottom w:val="outset" w:sz="6" w:space="0" w:color="auto"/>
              <w:right w:val="outset" w:sz="6" w:space="0" w:color="auto"/>
            </w:tcBorders>
            <w:hideMark/>
          </w:tcPr>
          <w:p w14:paraId="001B523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737CF1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75E0355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НКСМ ГАЗ им. Молотова</w:t>
            </w:r>
          </w:p>
        </w:tc>
        <w:tc>
          <w:tcPr>
            <w:tcW w:w="0" w:type="auto"/>
            <w:tcBorders>
              <w:top w:val="outset" w:sz="6" w:space="0" w:color="auto"/>
              <w:left w:val="outset" w:sz="6" w:space="0" w:color="auto"/>
              <w:bottom w:val="outset" w:sz="6" w:space="0" w:color="auto"/>
              <w:right w:val="outset" w:sz="6" w:space="0" w:color="auto"/>
            </w:tcBorders>
            <w:hideMark/>
          </w:tcPr>
          <w:p w14:paraId="356B898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hideMark/>
          </w:tcPr>
          <w:p w14:paraId="7987AC9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hideMark/>
          </w:tcPr>
          <w:p w14:paraId="64F652E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0" w:type="auto"/>
            <w:gridSpan w:val="2"/>
            <w:tcBorders>
              <w:top w:val="outset" w:sz="6" w:space="0" w:color="auto"/>
              <w:left w:val="outset" w:sz="6" w:space="0" w:color="auto"/>
              <w:bottom w:val="outset" w:sz="6" w:space="0" w:color="auto"/>
              <w:right w:val="outset" w:sz="6" w:space="0" w:color="auto"/>
            </w:tcBorders>
            <w:hideMark/>
          </w:tcPr>
          <w:p w14:paraId="58D6A38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0" w:type="auto"/>
            <w:gridSpan w:val="7"/>
            <w:tcBorders>
              <w:top w:val="outset" w:sz="6" w:space="0" w:color="auto"/>
              <w:left w:val="outset" w:sz="6" w:space="0" w:color="auto"/>
              <w:bottom w:val="outset" w:sz="6" w:space="0" w:color="auto"/>
              <w:right w:val="outset" w:sz="6" w:space="0" w:color="auto"/>
            </w:tcBorders>
            <w:hideMark/>
          </w:tcPr>
          <w:p w14:paraId="3D4B924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НКМВ з-ду № 718</w:t>
            </w:r>
          </w:p>
        </w:tc>
      </w:tr>
      <w:tr w:rsidR="009B487A" w:rsidRPr="00722885" w14:paraId="5FC3B455"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5311682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Калининский завод</w:t>
            </w:r>
          </w:p>
        </w:tc>
        <w:tc>
          <w:tcPr>
            <w:tcW w:w="0" w:type="auto"/>
            <w:tcBorders>
              <w:top w:val="outset" w:sz="6" w:space="0" w:color="auto"/>
              <w:left w:val="outset" w:sz="6" w:space="0" w:color="auto"/>
              <w:bottom w:val="outset" w:sz="6" w:space="0" w:color="auto"/>
              <w:right w:val="outset" w:sz="6" w:space="0" w:color="auto"/>
            </w:tcBorders>
            <w:hideMark/>
          </w:tcPr>
          <w:p w14:paraId="5DD540C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hideMark/>
          </w:tcPr>
          <w:p w14:paraId="5922533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hideMark/>
          </w:tcPr>
          <w:p w14:paraId="14DECDF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0" w:type="auto"/>
            <w:gridSpan w:val="2"/>
            <w:tcBorders>
              <w:top w:val="outset" w:sz="6" w:space="0" w:color="auto"/>
              <w:left w:val="outset" w:sz="6" w:space="0" w:color="auto"/>
              <w:bottom w:val="outset" w:sz="6" w:space="0" w:color="auto"/>
              <w:right w:val="outset" w:sz="6" w:space="0" w:color="auto"/>
            </w:tcBorders>
            <w:hideMark/>
          </w:tcPr>
          <w:p w14:paraId="4290D2B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0" w:type="auto"/>
            <w:gridSpan w:val="7"/>
            <w:tcBorders>
              <w:top w:val="outset" w:sz="6" w:space="0" w:color="auto"/>
              <w:left w:val="outset" w:sz="6" w:space="0" w:color="auto"/>
              <w:bottom w:val="outset" w:sz="6" w:space="0" w:color="auto"/>
              <w:right w:val="outset" w:sz="6" w:space="0" w:color="auto"/>
            </w:tcBorders>
            <w:hideMark/>
          </w:tcPr>
          <w:p w14:paraId="48F0FA6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 з-ду № 568</w:t>
            </w:r>
          </w:p>
        </w:tc>
      </w:tr>
      <w:tr w:rsidR="009B487A" w:rsidRPr="00722885" w14:paraId="2376A998"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71EA1C6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НКПС Ковровский з-д</w:t>
            </w:r>
          </w:p>
        </w:tc>
        <w:tc>
          <w:tcPr>
            <w:tcW w:w="0" w:type="auto"/>
            <w:tcBorders>
              <w:top w:val="outset" w:sz="6" w:space="0" w:color="auto"/>
              <w:left w:val="outset" w:sz="6" w:space="0" w:color="auto"/>
              <w:bottom w:val="outset" w:sz="6" w:space="0" w:color="auto"/>
              <w:right w:val="outset" w:sz="6" w:space="0" w:color="auto"/>
            </w:tcBorders>
            <w:hideMark/>
          </w:tcPr>
          <w:p w14:paraId="3D51BC5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hideMark/>
          </w:tcPr>
          <w:p w14:paraId="03B2622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hideMark/>
          </w:tcPr>
          <w:p w14:paraId="6D6BDC7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0" w:type="auto"/>
            <w:gridSpan w:val="2"/>
            <w:tcBorders>
              <w:top w:val="outset" w:sz="6" w:space="0" w:color="auto"/>
              <w:left w:val="outset" w:sz="6" w:space="0" w:color="auto"/>
              <w:bottom w:val="outset" w:sz="6" w:space="0" w:color="auto"/>
              <w:right w:val="outset" w:sz="6" w:space="0" w:color="auto"/>
            </w:tcBorders>
            <w:hideMark/>
          </w:tcPr>
          <w:p w14:paraId="5DF49AF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0" w:type="auto"/>
            <w:gridSpan w:val="7"/>
            <w:tcBorders>
              <w:top w:val="outset" w:sz="6" w:space="0" w:color="auto"/>
              <w:left w:val="outset" w:sz="6" w:space="0" w:color="auto"/>
              <w:bottom w:val="outset" w:sz="6" w:space="0" w:color="auto"/>
              <w:right w:val="outset" w:sz="6" w:space="0" w:color="auto"/>
            </w:tcBorders>
            <w:hideMark/>
          </w:tcPr>
          <w:p w14:paraId="0BE9CD5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30189150"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14"/>
            <w:tcBorders>
              <w:top w:val="outset" w:sz="6" w:space="0" w:color="auto"/>
              <w:left w:val="outset" w:sz="6" w:space="0" w:color="auto"/>
              <w:bottom w:val="outset" w:sz="6" w:space="0" w:color="auto"/>
              <w:right w:val="outset" w:sz="6" w:space="0" w:color="auto"/>
            </w:tcBorders>
            <w:hideMark/>
          </w:tcPr>
          <w:p w14:paraId="1A54E7C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В счет плана по нормальным головкам М-30 </w:t>
            </w:r>
          </w:p>
          <w:p w14:paraId="464CF35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Общий выпуск головок на заводе ГАЗ им. Молотова, Калининском и Ковровском заводах </w:t>
            </w:r>
          </w:p>
          <w:p w14:paraId="112145D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январе 1943 года сохраняется на уровне декабря 1942 года; </w:t>
            </w:r>
          </w:p>
          <w:p w14:paraId="44807FF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остальные количества головок этими заводами изготовляются для снаряда М-30. </w:t>
            </w:r>
          </w:p>
          <w:p w14:paraId="10BA68D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Примечание: Недостающее для сборки корпусов М-31 количество головок на заводах №№ 73 и 568 НКБ</w:t>
            </w:r>
          </w:p>
          <w:p w14:paraId="5A55FEB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марте месяце поставляется по указанию Госплана СССР.</w:t>
            </w:r>
          </w:p>
        </w:tc>
      </w:tr>
      <w:tr w:rsidR="009B487A" w:rsidRPr="00722885" w14:paraId="343C9589" w14:textId="77777777" w:rsidTr="00267F26">
        <w:trPr>
          <w:gridAfter w:val="5"/>
          <w:tblCellSpacing w:w="0" w:type="dxa"/>
          <w:jc w:val="center"/>
        </w:trPr>
        <w:tc>
          <w:tcPr>
            <w:tcW w:w="0" w:type="auto"/>
            <w:gridSpan w:val="9"/>
            <w:hideMark/>
          </w:tcPr>
          <w:p w14:paraId="398B68B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Верно: Ксенофонтова </w:t>
            </w:r>
          </w:p>
        </w:tc>
      </w:tr>
      <w:tr w:rsidR="009B487A" w:rsidRPr="00722885" w14:paraId="6F9B8C57" w14:textId="77777777" w:rsidTr="00267F26">
        <w:trPr>
          <w:gridAfter w:val="4"/>
          <w:tblCellSpacing w:w="0" w:type="dxa"/>
          <w:jc w:val="center"/>
        </w:trPr>
        <w:tc>
          <w:tcPr>
            <w:tcW w:w="0" w:type="auto"/>
            <w:gridSpan w:val="10"/>
            <w:hideMark/>
          </w:tcPr>
          <w:p w14:paraId="134181F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Сов. секретно </w:t>
            </w:r>
          </w:p>
          <w:p w14:paraId="53228D8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Приложение № 3 к постановлению ГОКО № 2628сс от 15 декабря 1942 года </w:t>
            </w:r>
          </w:p>
        </w:tc>
      </w:tr>
      <w:tr w:rsidR="009B487A" w:rsidRPr="00722885" w14:paraId="0CEF31FC" w14:textId="77777777" w:rsidTr="00267F26">
        <w:trPr>
          <w:gridAfter w:val="2"/>
          <w:tblCellSpacing w:w="0" w:type="dxa"/>
          <w:jc w:val="center"/>
        </w:trPr>
        <w:tc>
          <w:tcPr>
            <w:tcW w:w="0" w:type="auto"/>
            <w:gridSpan w:val="12"/>
            <w:hideMark/>
          </w:tcPr>
          <w:p w14:paraId="3D63D6D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СПИСОК </w:t>
            </w:r>
          </w:p>
          <w:p w14:paraId="3A3521D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предприятий, привлеченных к изготовлению снарядов М-31, на которых организуется дополнительное питание. </w:t>
            </w:r>
          </w:p>
          <w:p w14:paraId="235EF52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(Сверх установленного контингента для заводов) </w:t>
            </w:r>
          </w:p>
        </w:tc>
      </w:tr>
      <w:tr w:rsidR="009B487A" w:rsidRPr="00722885" w14:paraId="0C3818F8"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F5D441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 наркоматов и предприятий</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80A4BB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Контингент</w:t>
            </w:r>
          </w:p>
          <w:p w14:paraId="4E07CD7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дополнительного</w:t>
            </w:r>
          </w:p>
          <w:p w14:paraId="1C628FE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питания</w:t>
            </w:r>
          </w:p>
        </w:tc>
      </w:tr>
      <w:tr w:rsidR="009B487A" w:rsidRPr="00722885" w14:paraId="39A9E815"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5F22997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w:t>
            </w:r>
          </w:p>
        </w:tc>
        <w:tc>
          <w:tcPr>
            <w:tcW w:w="0" w:type="auto"/>
            <w:tcBorders>
              <w:top w:val="outset" w:sz="6" w:space="0" w:color="auto"/>
              <w:left w:val="outset" w:sz="6" w:space="0" w:color="auto"/>
              <w:bottom w:val="outset" w:sz="6" w:space="0" w:color="auto"/>
              <w:right w:val="outset" w:sz="6" w:space="0" w:color="auto"/>
            </w:tcBorders>
            <w:hideMark/>
          </w:tcPr>
          <w:p w14:paraId="4D664CF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w:t>
            </w:r>
          </w:p>
        </w:tc>
        <w:tc>
          <w:tcPr>
            <w:tcW w:w="0" w:type="auto"/>
            <w:gridSpan w:val="4"/>
            <w:tcBorders>
              <w:top w:val="outset" w:sz="6" w:space="0" w:color="auto"/>
              <w:left w:val="outset" w:sz="6" w:space="0" w:color="auto"/>
              <w:bottom w:val="outset" w:sz="6" w:space="0" w:color="auto"/>
              <w:right w:val="outset" w:sz="6" w:space="0" w:color="auto"/>
            </w:tcBorders>
            <w:hideMark/>
          </w:tcPr>
          <w:p w14:paraId="68A448D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12</w:t>
            </w:r>
          </w:p>
        </w:tc>
        <w:tc>
          <w:tcPr>
            <w:tcW w:w="0" w:type="auto"/>
            <w:gridSpan w:val="8"/>
            <w:tcBorders>
              <w:top w:val="outset" w:sz="6" w:space="0" w:color="auto"/>
              <w:left w:val="outset" w:sz="6" w:space="0" w:color="auto"/>
              <w:bottom w:val="outset" w:sz="6" w:space="0" w:color="auto"/>
              <w:right w:val="outset" w:sz="6" w:space="0" w:color="auto"/>
            </w:tcBorders>
            <w:hideMark/>
          </w:tcPr>
          <w:p w14:paraId="018A820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w:t>
            </w:r>
          </w:p>
        </w:tc>
      </w:tr>
      <w:tr w:rsidR="009B487A" w:rsidRPr="00722885" w14:paraId="08D784B7"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46393C4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1CCB570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3FD56C9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80</w:t>
            </w:r>
          </w:p>
        </w:tc>
        <w:tc>
          <w:tcPr>
            <w:tcW w:w="0" w:type="auto"/>
            <w:gridSpan w:val="8"/>
            <w:tcBorders>
              <w:top w:val="outset" w:sz="6" w:space="0" w:color="auto"/>
              <w:left w:val="outset" w:sz="6" w:space="0" w:color="auto"/>
              <w:bottom w:val="outset" w:sz="6" w:space="0" w:color="auto"/>
              <w:right w:val="outset" w:sz="6" w:space="0" w:color="auto"/>
            </w:tcBorders>
            <w:hideMark/>
          </w:tcPr>
          <w:p w14:paraId="79B3FC0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r>
      <w:tr w:rsidR="009B487A" w:rsidRPr="00722885" w14:paraId="15E885B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4F0B059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74E1888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0B3EAE3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56</w:t>
            </w:r>
          </w:p>
        </w:tc>
        <w:tc>
          <w:tcPr>
            <w:tcW w:w="0" w:type="auto"/>
            <w:gridSpan w:val="8"/>
            <w:tcBorders>
              <w:top w:val="outset" w:sz="6" w:space="0" w:color="auto"/>
              <w:left w:val="outset" w:sz="6" w:space="0" w:color="auto"/>
              <w:bottom w:val="outset" w:sz="6" w:space="0" w:color="auto"/>
              <w:right w:val="outset" w:sz="6" w:space="0" w:color="auto"/>
            </w:tcBorders>
            <w:hideMark/>
          </w:tcPr>
          <w:p w14:paraId="7EAEE08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r>
      <w:tr w:rsidR="009B487A" w:rsidRPr="00722885" w14:paraId="50E2F02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145F96A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32243DB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336091A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568</w:t>
            </w:r>
          </w:p>
        </w:tc>
        <w:tc>
          <w:tcPr>
            <w:tcW w:w="0" w:type="auto"/>
            <w:gridSpan w:val="8"/>
            <w:tcBorders>
              <w:top w:val="outset" w:sz="6" w:space="0" w:color="auto"/>
              <w:left w:val="outset" w:sz="6" w:space="0" w:color="auto"/>
              <w:bottom w:val="outset" w:sz="6" w:space="0" w:color="auto"/>
              <w:right w:val="outset" w:sz="6" w:space="0" w:color="auto"/>
            </w:tcBorders>
            <w:hideMark/>
          </w:tcPr>
          <w:p w14:paraId="1ABFF33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r>
      <w:tr w:rsidR="009B487A" w:rsidRPr="00722885" w14:paraId="683EFBE9"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2D24F51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7DDA7DA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4212EF1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73</w:t>
            </w:r>
          </w:p>
        </w:tc>
        <w:tc>
          <w:tcPr>
            <w:tcW w:w="0" w:type="auto"/>
            <w:gridSpan w:val="8"/>
            <w:tcBorders>
              <w:top w:val="outset" w:sz="6" w:space="0" w:color="auto"/>
              <w:left w:val="outset" w:sz="6" w:space="0" w:color="auto"/>
              <w:bottom w:val="outset" w:sz="6" w:space="0" w:color="auto"/>
              <w:right w:val="outset" w:sz="6" w:space="0" w:color="auto"/>
            </w:tcBorders>
            <w:hideMark/>
          </w:tcPr>
          <w:p w14:paraId="6B6A4DF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w:t>
            </w:r>
          </w:p>
        </w:tc>
      </w:tr>
      <w:tr w:rsidR="009B487A" w:rsidRPr="00722885" w14:paraId="728DB39F"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5353168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НКМВ</w:t>
            </w:r>
          </w:p>
        </w:tc>
        <w:tc>
          <w:tcPr>
            <w:tcW w:w="0" w:type="auto"/>
            <w:tcBorders>
              <w:top w:val="outset" w:sz="6" w:space="0" w:color="auto"/>
              <w:left w:val="outset" w:sz="6" w:space="0" w:color="auto"/>
              <w:bottom w:val="outset" w:sz="6" w:space="0" w:color="auto"/>
              <w:right w:val="outset" w:sz="6" w:space="0" w:color="auto"/>
            </w:tcBorders>
            <w:hideMark/>
          </w:tcPr>
          <w:p w14:paraId="3594F13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2DF5DA1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718</w:t>
            </w:r>
          </w:p>
        </w:tc>
        <w:tc>
          <w:tcPr>
            <w:tcW w:w="0" w:type="auto"/>
            <w:gridSpan w:val="8"/>
            <w:tcBorders>
              <w:top w:val="outset" w:sz="6" w:space="0" w:color="auto"/>
              <w:left w:val="outset" w:sz="6" w:space="0" w:color="auto"/>
              <w:bottom w:val="outset" w:sz="6" w:space="0" w:color="auto"/>
              <w:right w:val="outset" w:sz="6" w:space="0" w:color="auto"/>
            </w:tcBorders>
            <w:hideMark/>
          </w:tcPr>
          <w:p w14:paraId="4BBB7BE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w:t>
            </w:r>
          </w:p>
        </w:tc>
      </w:tr>
      <w:tr w:rsidR="009B487A" w:rsidRPr="00722885" w14:paraId="61EF471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4130BF0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НКЧМ</w:t>
            </w:r>
          </w:p>
        </w:tc>
        <w:tc>
          <w:tcPr>
            <w:tcW w:w="0" w:type="auto"/>
            <w:tcBorders>
              <w:top w:val="outset" w:sz="6" w:space="0" w:color="auto"/>
              <w:left w:val="outset" w:sz="6" w:space="0" w:color="auto"/>
              <w:bottom w:val="outset" w:sz="6" w:space="0" w:color="auto"/>
              <w:right w:val="outset" w:sz="6" w:space="0" w:color="auto"/>
            </w:tcBorders>
            <w:hideMark/>
          </w:tcPr>
          <w:p w14:paraId="061CD7C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1B8F4A5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703</w:t>
            </w:r>
          </w:p>
        </w:tc>
        <w:tc>
          <w:tcPr>
            <w:tcW w:w="0" w:type="auto"/>
            <w:gridSpan w:val="8"/>
            <w:tcBorders>
              <w:top w:val="outset" w:sz="6" w:space="0" w:color="auto"/>
              <w:left w:val="outset" w:sz="6" w:space="0" w:color="auto"/>
              <w:bottom w:val="outset" w:sz="6" w:space="0" w:color="auto"/>
              <w:right w:val="outset" w:sz="6" w:space="0" w:color="auto"/>
            </w:tcBorders>
            <w:hideMark/>
          </w:tcPr>
          <w:p w14:paraId="6323729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r>
      <w:tr w:rsidR="009B487A" w:rsidRPr="00722885" w14:paraId="1751C58D"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3388424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0D64A692"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6956E8A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Ревдинский</w:t>
            </w:r>
          </w:p>
        </w:tc>
        <w:tc>
          <w:tcPr>
            <w:tcW w:w="0" w:type="auto"/>
            <w:gridSpan w:val="8"/>
            <w:tcBorders>
              <w:top w:val="outset" w:sz="6" w:space="0" w:color="auto"/>
              <w:left w:val="outset" w:sz="6" w:space="0" w:color="auto"/>
              <w:bottom w:val="outset" w:sz="6" w:space="0" w:color="auto"/>
              <w:right w:val="outset" w:sz="6" w:space="0" w:color="auto"/>
            </w:tcBorders>
            <w:hideMark/>
          </w:tcPr>
          <w:p w14:paraId="4628690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tc>
      </w:tr>
      <w:tr w:rsidR="009B487A" w:rsidRPr="00722885" w14:paraId="3EFCE1E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371478C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276B54B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5B9E078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Ново-Тагильский</w:t>
            </w:r>
          </w:p>
        </w:tc>
        <w:tc>
          <w:tcPr>
            <w:tcW w:w="0" w:type="auto"/>
            <w:gridSpan w:val="8"/>
            <w:tcBorders>
              <w:top w:val="outset" w:sz="6" w:space="0" w:color="auto"/>
              <w:left w:val="outset" w:sz="6" w:space="0" w:color="auto"/>
              <w:bottom w:val="outset" w:sz="6" w:space="0" w:color="auto"/>
              <w:right w:val="outset" w:sz="6" w:space="0" w:color="auto"/>
            </w:tcBorders>
            <w:hideMark/>
          </w:tcPr>
          <w:p w14:paraId="5893F3C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tc>
      </w:tr>
      <w:tr w:rsidR="009B487A" w:rsidRPr="00722885" w14:paraId="6757F275"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067434D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331CCE1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731C017A"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"Красная Труба"</w:t>
            </w:r>
          </w:p>
        </w:tc>
        <w:tc>
          <w:tcPr>
            <w:tcW w:w="0" w:type="auto"/>
            <w:gridSpan w:val="8"/>
            <w:tcBorders>
              <w:top w:val="outset" w:sz="6" w:space="0" w:color="auto"/>
              <w:left w:val="outset" w:sz="6" w:space="0" w:color="auto"/>
              <w:bottom w:val="outset" w:sz="6" w:space="0" w:color="auto"/>
              <w:right w:val="outset" w:sz="6" w:space="0" w:color="auto"/>
            </w:tcBorders>
            <w:hideMark/>
          </w:tcPr>
          <w:p w14:paraId="1471A87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tc>
      </w:tr>
      <w:tr w:rsidR="009B487A" w:rsidRPr="00722885" w14:paraId="5C0A7A26"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33FD529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НКСМ</w:t>
            </w:r>
          </w:p>
        </w:tc>
        <w:tc>
          <w:tcPr>
            <w:tcW w:w="0" w:type="auto"/>
            <w:gridSpan w:val="5"/>
            <w:tcBorders>
              <w:top w:val="outset" w:sz="6" w:space="0" w:color="auto"/>
              <w:left w:val="outset" w:sz="6" w:space="0" w:color="auto"/>
              <w:bottom w:val="outset" w:sz="6" w:space="0" w:color="auto"/>
              <w:right w:val="outset" w:sz="6" w:space="0" w:color="auto"/>
            </w:tcBorders>
            <w:hideMark/>
          </w:tcPr>
          <w:p w14:paraId="185532E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ГАЗ им. Молотова</w:t>
            </w:r>
          </w:p>
        </w:tc>
        <w:tc>
          <w:tcPr>
            <w:tcW w:w="0" w:type="auto"/>
            <w:gridSpan w:val="8"/>
            <w:tcBorders>
              <w:top w:val="outset" w:sz="6" w:space="0" w:color="auto"/>
              <w:left w:val="outset" w:sz="6" w:space="0" w:color="auto"/>
              <w:bottom w:val="outset" w:sz="6" w:space="0" w:color="auto"/>
              <w:right w:val="outset" w:sz="6" w:space="0" w:color="auto"/>
            </w:tcBorders>
            <w:hideMark/>
          </w:tcPr>
          <w:p w14:paraId="178ECAE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w:t>
            </w:r>
          </w:p>
        </w:tc>
      </w:tr>
      <w:tr w:rsidR="009B487A" w:rsidRPr="00722885" w14:paraId="625BA93E"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18FCDE2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5"/>
            <w:tcBorders>
              <w:top w:val="outset" w:sz="6" w:space="0" w:color="auto"/>
              <w:left w:val="outset" w:sz="6" w:space="0" w:color="auto"/>
              <w:bottom w:val="outset" w:sz="6" w:space="0" w:color="auto"/>
              <w:right w:val="outset" w:sz="6" w:space="0" w:color="auto"/>
            </w:tcBorders>
            <w:hideMark/>
          </w:tcPr>
          <w:p w14:paraId="37E3F3B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Калининский завод</w:t>
            </w:r>
          </w:p>
        </w:tc>
        <w:tc>
          <w:tcPr>
            <w:tcW w:w="0" w:type="auto"/>
            <w:gridSpan w:val="8"/>
            <w:tcBorders>
              <w:top w:val="outset" w:sz="6" w:space="0" w:color="auto"/>
              <w:left w:val="outset" w:sz="6" w:space="0" w:color="auto"/>
              <w:bottom w:val="outset" w:sz="6" w:space="0" w:color="auto"/>
              <w:right w:val="outset" w:sz="6" w:space="0" w:color="auto"/>
            </w:tcBorders>
            <w:hideMark/>
          </w:tcPr>
          <w:p w14:paraId="3F0949A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tc>
      </w:tr>
      <w:tr w:rsidR="009B487A" w:rsidRPr="00722885" w14:paraId="224313AC"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717888F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НКЧМ</w:t>
            </w:r>
          </w:p>
        </w:tc>
        <w:tc>
          <w:tcPr>
            <w:tcW w:w="0" w:type="auto"/>
            <w:tcBorders>
              <w:top w:val="outset" w:sz="6" w:space="0" w:color="auto"/>
              <w:left w:val="outset" w:sz="6" w:space="0" w:color="auto"/>
              <w:bottom w:val="outset" w:sz="6" w:space="0" w:color="auto"/>
              <w:right w:val="outset" w:sz="6" w:space="0" w:color="auto"/>
            </w:tcBorders>
            <w:hideMark/>
          </w:tcPr>
          <w:p w14:paraId="382C271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w:t>
            </w:r>
          </w:p>
        </w:tc>
        <w:tc>
          <w:tcPr>
            <w:tcW w:w="0" w:type="auto"/>
            <w:gridSpan w:val="4"/>
            <w:tcBorders>
              <w:top w:val="outset" w:sz="6" w:space="0" w:color="auto"/>
              <w:left w:val="outset" w:sz="6" w:space="0" w:color="auto"/>
              <w:bottom w:val="outset" w:sz="6" w:space="0" w:color="auto"/>
              <w:right w:val="outset" w:sz="6" w:space="0" w:color="auto"/>
            </w:tcBorders>
            <w:hideMark/>
          </w:tcPr>
          <w:p w14:paraId="10E4FE8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700</w:t>
            </w:r>
          </w:p>
        </w:tc>
        <w:tc>
          <w:tcPr>
            <w:tcW w:w="0" w:type="auto"/>
            <w:gridSpan w:val="8"/>
            <w:tcBorders>
              <w:top w:val="outset" w:sz="6" w:space="0" w:color="auto"/>
              <w:left w:val="outset" w:sz="6" w:space="0" w:color="auto"/>
              <w:bottom w:val="outset" w:sz="6" w:space="0" w:color="auto"/>
              <w:right w:val="outset" w:sz="6" w:space="0" w:color="auto"/>
            </w:tcBorders>
            <w:hideMark/>
          </w:tcPr>
          <w:p w14:paraId="3C04E14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w:t>
            </w:r>
          </w:p>
        </w:tc>
      </w:tr>
      <w:tr w:rsidR="009B487A" w:rsidRPr="00722885" w14:paraId="647EC5ED"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02566DC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НКТМ</w:t>
            </w:r>
          </w:p>
        </w:tc>
        <w:tc>
          <w:tcPr>
            <w:tcW w:w="0" w:type="auto"/>
            <w:tcBorders>
              <w:top w:val="outset" w:sz="6" w:space="0" w:color="auto"/>
              <w:left w:val="outset" w:sz="6" w:space="0" w:color="auto"/>
              <w:bottom w:val="outset" w:sz="6" w:space="0" w:color="auto"/>
              <w:right w:val="outset" w:sz="6" w:space="0" w:color="auto"/>
            </w:tcBorders>
            <w:hideMark/>
          </w:tcPr>
          <w:p w14:paraId="48BE18E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3FCF0754"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"Красный Профинтерн"</w:t>
            </w:r>
          </w:p>
        </w:tc>
        <w:tc>
          <w:tcPr>
            <w:tcW w:w="0" w:type="auto"/>
            <w:gridSpan w:val="8"/>
            <w:tcBorders>
              <w:top w:val="outset" w:sz="6" w:space="0" w:color="auto"/>
              <w:left w:val="outset" w:sz="6" w:space="0" w:color="auto"/>
              <w:bottom w:val="outset" w:sz="6" w:space="0" w:color="auto"/>
              <w:right w:val="outset" w:sz="6" w:space="0" w:color="auto"/>
            </w:tcBorders>
            <w:hideMark/>
          </w:tcPr>
          <w:p w14:paraId="0458FA1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tc>
      </w:tr>
      <w:tr w:rsidR="009B487A" w:rsidRPr="00722885" w14:paraId="40EA2B66"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6E7C0E2E"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НКСП</w:t>
            </w:r>
          </w:p>
        </w:tc>
        <w:tc>
          <w:tcPr>
            <w:tcW w:w="0" w:type="auto"/>
            <w:tcBorders>
              <w:top w:val="outset" w:sz="6" w:space="0" w:color="auto"/>
              <w:left w:val="outset" w:sz="6" w:space="0" w:color="auto"/>
              <w:bottom w:val="outset" w:sz="6" w:space="0" w:color="auto"/>
              <w:right w:val="outset" w:sz="6" w:space="0" w:color="auto"/>
            </w:tcBorders>
            <w:hideMark/>
          </w:tcPr>
          <w:p w14:paraId="2838E8E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0" w:type="auto"/>
            <w:gridSpan w:val="4"/>
            <w:tcBorders>
              <w:top w:val="outset" w:sz="6" w:space="0" w:color="auto"/>
              <w:left w:val="outset" w:sz="6" w:space="0" w:color="auto"/>
              <w:bottom w:val="outset" w:sz="6" w:space="0" w:color="auto"/>
              <w:right w:val="outset" w:sz="6" w:space="0" w:color="auto"/>
            </w:tcBorders>
            <w:hideMark/>
          </w:tcPr>
          <w:p w14:paraId="2A4CD3CB"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239</w:t>
            </w:r>
          </w:p>
        </w:tc>
        <w:tc>
          <w:tcPr>
            <w:tcW w:w="0" w:type="auto"/>
            <w:gridSpan w:val="8"/>
            <w:tcBorders>
              <w:top w:val="outset" w:sz="6" w:space="0" w:color="auto"/>
              <w:left w:val="outset" w:sz="6" w:space="0" w:color="auto"/>
              <w:bottom w:val="outset" w:sz="6" w:space="0" w:color="auto"/>
              <w:right w:val="outset" w:sz="6" w:space="0" w:color="auto"/>
            </w:tcBorders>
            <w:hideMark/>
          </w:tcPr>
          <w:p w14:paraId="6065EAB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tc>
      </w:tr>
      <w:tr w:rsidR="009B487A" w:rsidRPr="00722885" w14:paraId="47707B15"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728FB561"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НКПС</w:t>
            </w:r>
          </w:p>
        </w:tc>
        <w:tc>
          <w:tcPr>
            <w:tcW w:w="0" w:type="auto"/>
            <w:gridSpan w:val="5"/>
            <w:tcBorders>
              <w:top w:val="outset" w:sz="6" w:space="0" w:color="auto"/>
              <w:left w:val="outset" w:sz="6" w:space="0" w:color="auto"/>
              <w:bottom w:val="outset" w:sz="6" w:space="0" w:color="auto"/>
              <w:right w:val="outset" w:sz="6" w:space="0" w:color="auto"/>
            </w:tcBorders>
            <w:hideMark/>
          </w:tcPr>
          <w:p w14:paraId="0E2E3577"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Ковровский завод</w:t>
            </w:r>
          </w:p>
        </w:tc>
        <w:tc>
          <w:tcPr>
            <w:tcW w:w="0" w:type="auto"/>
            <w:gridSpan w:val="8"/>
            <w:tcBorders>
              <w:top w:val="outset" w:sz="6" w:space="0" w:color="auto"/>
              <w:left w:val="outset" w:sz="6" w:space="0" w:color="auto"/>
              <w:bottom w:val="outset" w:sz="6" w:space="0" w:color="auto"/>
              <w:right w:val="outset" w:sz="6" w:space="0" w:color="auto"/>
            </w:tcBorders>
            <w:hideMark/>
          </w:tcPr>
          <w:p w14:paraId="1DC5C703"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tc>
      </w:tr>
      <w:tr w:rsidR="009B487A" w:rsidRPr="00722885" w14:paraId="0D3D34F1" w14:textId="77777777" w:rsidTr="00267F26">
        <w:tblPrEx>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PrEx>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412EA8E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НКАП</w:t>
            </w:r>
          </w:p>
        </w:tc>
        <w:tc>
          <w:tcPr>
            <w:tcW w:w="0" w:type="auto"/>
            <w:gridSpan w:val="5"/>
            <w:tcBorders>
              <w:top w:val="outset" w:sz="6" w:space="0" w:color="auto"/>
              <w:left w:val="outset" w:sz="6" w:space="0" w:color="auto"/>
              <w:bottom w:val="outset" w:sz="6" w:space="0" w:color="auto"/>
              <w:right w:val="outset" w:sz="6" w:space="0" w:color="auto"/>
            </w:tcBorders>
            <w:hideMark/>
          </w:tcPr>
          <w:p w14:paraId="36134CD6"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завода № 95</w:t>
            </w:r>
          </w:p>
        </w:tc>
        <w:tc>
          <w:tcPr>
            <w:tcW w:w="0" w:type="auto"/>
            <w:gridSpan w:val="8"/>
            <w:tcBorders>
              <w:top w:val="outset" w:sz="6" w:space="0" w:color="auto"/>
              <w:left w:val="outset" w:sz="6" w:space="0" w:color="auto"/>
              <w:bottom w:val="outset" w:sz="6" w:space="0" w:color="auto"/>
              <w:right w:val="outset" w:sz="6" w:space="0" w:color="auto"/>
            </w:tcBorders>
            <w:hideMark/>
          </w:tcPr>
          <w:p w14:paraId="1D77853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r>
      <w:tr w:rsidR="009B487A" w:rsidRPr="00722885" w14:paraId="1DB44306" w14:textId="77777777" w:rsidTr="00267F26">
        <w:trPr>
          <w:gridAfter w:val="6"/>
          <w:tblCellSpacing w:w="0" w:type="dxa"/>
          <w:jc w:val="center"/>
        </w:trPr>
        <w:tc>
          <w:tcPr>
            <w:tcW w:w="0" w:type="auto"/>
            <w:gridSpan w:val="8"/>
            <w:hideMark/>
          </w:tcPr>
          <w:p w14:paraId="0024C55D"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Верно: Ксенофонтова </w:t>
            </w:r>
          </w:p>
        </w:tc>
      </w:tr>
      <w:tr w:rsidR="009B487A" w:rsidRPr="00722885" w14:paraId="5C139753" w14:textId="77777777" w:rsidTr="00267F26">
        <w:trPr>
          <w:gridAfter w:val="3"/>
          <w:tblCellSpacing w:w="0" w:type="dxa"/>
          <w:jc w:val="center"/>
        </w:trPr>
        <w:tc>
          <w:tcPr>
            <w:tcW w:w="0" w:type="auto"/>
            <w:gridSpan w:val="11"/>
            <w:vAlign w:val="center"/>
            <w:hideMark/>
          </w:tcPr>
          <w:p w14:paraId="277C068A" w14:textId="77777777" w:rsidR="00517A3A" w:rsidRPr="00722885" w:rsidRDefault="00517A3A" w:rsidP="00722885">
            <w:pPr>
              <w:spacing w:after="0" w:line="240" w:lineRule="auto"/>
              <w:jc w:val="both"/>
              <w:rPr>
                <w:rFonts w:ascii="Times New Roman" w:hAnsi="Times New Roman"/>
                <w:color w:val="000000" w:themeColor="text1"/>
                <w:sz w:val="16"/>
                <w:szCs w:val="16"/>
              </w:rPr>
            </w:pPr>
          </w:p>
        </w:tc>
      </w:tr>
    </w:tbl>
    <w:p w14:paraId="76A13805"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(12670).</w:t>
      </w:r>
    </w:p>
    <w:p w14:paraId="21EF1519" w14:textId="77777777" w:rsidR="00517A3A" w:rsidRPr="00722885" w:rsidRDefault="00517A3A" w:rsidP="00722885">
      <w:pPr>
        <w:spacing w:after="0" w:line="240" w:lineRule="auto"/>
        <w:jc w:val="both"/>
        <w:rPr>
          <w:rFonts w:ascii="Times New Roman" w:hAnsi="Times New Roman"/>
          <w:color w:val="000000" w:themeColor="text1"/>
          <w:sz w:val="16"/>
          <w:szCs w:val="16"/>
        </w:rPr>
      </w:pPr>
    </w:p>
    <w:p w14:paraId="6C092E88"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74AF811" w14:textId="77777777" w:rsidR="00BB6316" w:rsidRPr="00722885" w:rsidRDefault="00BB6316" w:rsidP="00722885">
      <w:pPr>
        <w:pStyle w:val="Iauiue"/>
        <w:jc w:val="both"/>
        <w:rPr>
          <w:iCs/>
          <w:color w:val="000000" w:themeColor="text1"/>
          <w:sz w:val="16"/>
          <w:szCs w:val="16"/>
        </w:rPr>
      </w:pPr>
    </w:p>
    <w:p w14:paraId="521B63F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вышло Постановление ГКО № 2624 О строительстве ТЭЦ Березниковского магниевого завода Наркомцветмета. РГАНИР, Фонд ГКО, д. 72, лл. 187-192, 193-196 (11012).</w:t>
      </w:r>
    </w:p>
    <w:p w14:paraId="7FD5DE2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AB780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вышло Постановление ГКО № 2625 О вводе в действие цехов централита. РГАНИР, Фонд ГКО, д. 72, лл. 197, 198-199 (11012).</w:t>
      </w:r>
    </w:p>
    <w:p w14:paraId="7CB8CB3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857E7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вышло Постановление ГКО № 2626 Об утверждении уполномоченного ГКО по демонтажу котлов в Ленинграде. РГАНИР, Фонд ГКО, д. 72, лл. 200 (11012).</w:t>
      </w:r>
    </w:p>
    <w:p w14:paraId="3F56052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210B1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вышло Постановление ГКО № 2627 О неотложных мерах помощи топливом Горьковской ГРЭС Наркомэлектростанций. РГАНИР, Фонд ГКО, д. 72, лл. 201-204, 205-209 (11012).</w:t>
      </w:r>
    </w:p>
    <w:p w14:paraId="356685D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F8E0B7F" w14:textId="77777777" w:rsidR="00445F8C" w:rsidRPr="00722885" w:rsidRDefault="00445F8C"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15 декабря 1942 года проект зенитного танка с орудием11-П рассмотрели на заседании Технического Совета НКВ, где дали вердикт - установка вызывает большой интерес. ГАБТУ КА рекомендовали данную разработку пустить в работу. Но в ГБТУ КА (обозначение ГАБТУ КА на ГБТУ КА сменилось 7 декабря 1942 года, когда произошла реорганизация) были настроены к 72-П скептически. Для начала, установка питалась при помощи ленточного магазина на 60 патронов, а что это означало, можно примерно понять на примере первой версии ЗУТ-37. Во-вторых, башня получилась чересчур габаритной. В-третьих, были высказаны сомнения в работе ряда узлов, в том числе перезарядки орудия. По итогам от изготовления 72-П в ГБТУ КА отказались. При этом Технический Совет НКВ минимум два раза повторил своё предложение, основываясь на том, что НС-37 приняли на вооружение. У ГБТУ КА была своя правда (20346).</w:t>
      </w:r>
    </w:p>
    <w:p w14:paraId="175BF642" w14:textId="77777777" w:rsidR="00445F8C" w:rsidRPr="00722885" w:rsidRDefault="00445F8C" w:rsidP="00722885">
      <w:pPr>
        <w:pStyle w:val="article-renderblock"/>
        <w:shd w:val="clear" w:color="auto" w:fill="FFFFFF"/>
        <w:spacing w:before="0" w:beforeAutospacing="0" w:after="0" w:afterAutospacing="0"/>
        <w:jc w:val="both"/>
        <w:rPr>
          <w:color w:val="0070C0"/>
          <w:sz w:val="16"/>
          <w:szCs w:val="16"/>
        </w:rPr>
      </w:pPr>
    </w:p>
    <w:p w14:paraId="392A4634" w14:textId="77777777" w:rsidR="00517A3A" w:rsidRPr="00722885" w:rsidRDefault="00517A3A" w:rsidP="00722885">
      <w:pPr>
        <w:pStyle w:val="162"/>
        <w:shd w:val="clear" w:color="auto" w:fill="auto"/>
        <w:spacing w:line="240" w:lineRule="auto"/>
        <w:jc w:val="both"/>
        <w:rPr>
          <w:color w:val="000000" w:themeColor="text1"/>
          <w:sz w:val="16"/>
          <w:szCs w:val="16"/>
        </w:rPr>
      </w:pPr>
      <w:r w:rsidRPr="00722885">
        <w:rPr>
          <w:rFonts w:eastAsia="Calibri"/>
          <w:color w:val="000000" w:themeColor="text1"/>
          <w:sz w:val="16"/>
          <w:szCs w:val="16"/>
        </w:rPr>
        <w:t>15 декабря 1942 года наркому среднего машиностроения Акопову был направлен проект постановления ГКО, в котором пред</w:t>
      </w:r>
      <w:r w:rsidRPr="00722885">
        <w:rPr>
          <w:rFonts w:eastAsia="Calibri"/>
          <w:color w:val="000000" w:themeColor="text1"/>
          <w:sz w:val="16"/>
          <w:szCs w:val="16"/>
        </w:rPr>
        <w:softHyphen/>
        <w:t>лагалось запустить в серию не только Т-90, но и Т-60-3 (данный индекс использовался по отношению к зенитному Т-60 в переписке ГАБТУ):</w:t>
      </w:r>
    </w:p>
    <w:p w14:paraId="25D4075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Принять на вооружение Бронетанковых и Механизированных войск Красной Армии — спаренную зенитную установку 12,7-мм пулеметов ДШКТ, смонтированных в башне танка Т- 70, сконструированную и из</w:t>
      </w:r>
      <w:r w:rsidRPr="00722885">
        <w:rPr>
          <w:rFonts w:ascii="Times New Roman" w:hAnsi="Times New Roman"/>
          <w:color w:val="000000" w:themeColor="text1"/>
          <w:sz w:val="16"/>
          <w:szCs w:val="16"/>
        </w:rPr>
        <w:softHyphen/>
        <w:t>готовленную Горьковским автомобильным заводом им. Молотова.</w:t>
      </w:r>
    </w:p>
    <w:p w14:paraId="522A7543" w14:textId="77777777" w:rsidR="00517A3A" w:rsidRPr="00722885" w:rsidRDefault="00517A3A" w:rsidP="00722885">
      <w:pPr>
        <w:tabs>
          <w:tab w:val="left" w:pos="380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Наркомтанкопром (тов. Зальцман) и директора завода № 37 (тов. Зеликсон) к 1 февраля 1943 года подготовить производство к перевооружению спаренными зенитными установками и начать выпуск проходящих капитальный ремонт танков Т-60 с зенитными установками по чертежам, утвержденным ГАБТУ КА согласно тактико-технической характеристики.</w:t>
      </w:r>
    </w:p>
    <w:p w14:paraId="41E17151" w14:textId="77777777" w:rsidR="00517A3A" w:rsidRPr="00722885" w:rsidRDefault="00517A3A" w:rsidP="00722885">
      <w:pPr>
        <w:tabs>
          <w:tab w:val="left" w:pos="376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Обязать Наркомвооружения (тов. Устинова) и НКО (ГАУ КА) из</w:t>
      </w:r>
      <w:r w:rsidRPr="00722885">
        <w:rPr>
          <w:rFonts w:ascii="Times New Roman" w:hAnsi="Times New Roman"/>
          <w:color w:val="000000" w:themeColor="text1"/>
          <w:sz w:val="16"/>
          <w:szCs w:val="16"/>
        </w:rPr>
        <w:softHyphen/>
        <w:t>готовить и поставить заводу № 37:</w:t>
      </w:r>
    </w:p>
    <w:p w14:paraId="00C51270" w14:textId="77777777" w:rsidR="00517A3A" w:rsidRPr="00722885" w:rsidRDefault="00517A3A" w:rsidP="00722885">
      <w:pPr>
        <w:tabs>
          <w:tab w:val="left" w:pos="3789"/>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12,7-мм пулеметы ДШКТ;</w:t>
      </w:r>
    </w:p>
    <w:p w14:paraId="2360F648" w14:textId="77777777" w:rsidR="00517A3A" w:rsidRPr="00722885" w:rsidRDefault="00517A3A" w:rsidP="00722885">
      <w:pPr>
        <w:tabs>
          <w:tab w:val="left" w:pos="374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магазины к 12,7-мм пулеметам ДШКТ емкостью на 42 патрона;</w:t>
      </w:r>
    </w:p>
    <w:p w14:paraId="59D4E659" w14:textId="77777777" w:rsidR="00517A3A" w:rsidRPr="00722885" w:rsidRDefault="00517A3A" w:rsidP="00722885">
      <w:pPr>
        <w:tabs>
          <w:tab w:val="left" w:pos="3750"/>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коллиматорные прицелы К-8Т;</w:t>
      </w:r>
    </w:p>
    <w:p w14:paraId="5795C08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оптические прицелы ТМФП в соответствии с требованиями Горьковского автозавода в количестве, обеспечивающем график выпуска по заявке НКТП.</w:t>
      </w:r>
    </w:p>
    <w:p w14:paraId="2707FB9F"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Обязать Наркомсредмаш (тов. Акопова) и директора Горьковского автомобильного завода имени Молотова (тов. Лившиц) к 1.1.43 года раз</w:t>
      </w:r>
      <w:r w:rsidRPr="00722885">
        <w:rPr>
          <w:rFonts w:ascii="Times New Roman" w:hAnsi="Times New Roman"/>
          <w:color w:val="000000" w:themeColor="text1"/>
          <w:sz w:val="16"/>
          <w:szCs w:val="16"/>
        </w:rPr>
        <w:softHyphen/>
        <w:t>работать установочные чертежи монтажа башни с зенитной установ</w:t>
      </w:r>
      <w:r w:rsidRPr="00722885">
        <w:rPr>
          <w:rFonts w:ascii="Times New Roman" w:hAnsi="Times New Roman"/>
          <w:color w:val="000000" w:themeColor="text1"/>
          <w:sz w:val="16"/>
          <w:szCs w:val="16"/>
        </w:rPr>
        <w:softHyphen/>
        <w:t>кой (конструкции Горьковского автомобильного завода) на танк Т-60, боеукладки, и к 5.1.43 года представить их ГАБТУ КА и НКТП на ут</w:t>
      </w:r>
      <w:r w:rsidRPr="00722885">
        <w:rPr>
          <w:rFonts w:ascii="Times New Roman" w:hAnsi="Times New Roman"/>
          <w:color w:val="000000" w:themeColor="text1"/>
          <w:sz w:val="16"/>
          <w:szCs w:val="16"/>
        </w:rPr>
        <w:softHyphen/>
        <w:t>верждение» (17485).</w:t>
      </w:r>
    </w:p>
    <w:p w14:paraId="784CD0E9" w14:textId="77777777" w:rsidR="00517A3A" w:rsidRPr="00722885" w:rsidRDefault="00517A3A" w:rsidP="00722885">
      <w:pPr>
        <w:spacing w:after="0" w:line="240" w:lineRule="auto"/>
        <w:jc w:val="both"/>
        <w:rPr>
          <w:rFonts w:ascii="Times New Roman" w:hAnsi="Times New Roman"/>
          <w:color w:val="000000" w:themeColor="text1"/>
          <w:sz w:val="16"/>
          <w:szCs w:val="16"/>
        </w:rPr>
      </w:pPr>
    </w:p>
    <w:p w14:paraId="35F765CB"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15 декабря 1942 на заводе №38 состоялось техническое совещание. На нём решались вопросы переделки ЗИС-3, которые, в том числе, должны были немного облегчить систему. Дело в том, что для компенсации веса бронировки под казённую часть пушки крепился груз массой 100 кг. Также решался вопрос переделки стопора орудия в положении по-походному. От боковых смотровых приборов было решено отказаться, перископ остался только у командира. Смотровой прибор механика-водителя делался неподвижным.</w:t>
      </w:r>
    </w:p>
    <w:p w14:paraId="6F08ECFE"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Интересная ситуация сложилась с коробками передач. 18 декабря Гинзбург подготовил докладную записку на имя наркома танковой промышленности Зальцмана. В ней главный конструктор СУ-12 указывал причиной дефектов плохую сработанность синхронного привода переключения КПП. При этом источником проблемы он назвал очень низкое качество изготовления опытных образцов СУ-11 и СУ-12.</w:t>
      </w:r>
    </w:p>
    <w:p w14:paraId="4478BAB8"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Следует признать, что отчасти Гинзбург был прав. Опытные образцы бронетехники, созданные в военный период, часто имели огромные проблемы с качеством сборки. Например, низкое качество сборки похоронило программу разработки тяжелого танка </w:t>
      </w:r>
      <w:hyperlink r:id="rId195" w:history="1">
        <w:r w:rsidRPr="00722885">
          <w:rPr>
            <w:rFonts w:ascii="Times New Roman" w:eastAsia="Times New Roman" w:hAnsi="Times New Roman"/>
            <w:color w:val="000000" w:themeColor="text1"/>
            <w:sz w:val="16"/>
            <w:szCs w:val="16"/>
            <w:lang w:eastAsia="ru-RU"/>
          </w:rPr>
          <w:t>КВ-13 в его первоначальном виде</w:t>
        </w:r>
      </w:hyperlink>
      <w:r w:rsidRPr="00722885">
        <w:rPr>
          <w:rFonts w:ascii="Times New Roman" w:eastAsia="Times New Roman" w:hAnsi="Times New Roman"/>
          <w:color w:val="000000" w:themeColor="text1"/>
          <w:sz w:val="16"/>
          <w:szCs w:val="16"/>
          <w:lang w:eastAsia="ru-RU"/>
        </w:rPr>
        <w:t>. Впрочем, и у самого КВ-13 имелось достаточное количество недостатков конструктивного характера.</w:t>
      </w:r>
    </w:p>
    <w:p w14:paraId="669FF4CA"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То же самое касалось СУ-11 и СУ-12. Очень похожие поломки у обеих машин должны были насторожить главного конструктора. Но постановление ГКО уже запустило механизм подготовки САУ к серийному производству. В тот момент Гинзбургу казалось, что проще будет исправить проблемы потом, а теперь хватит и устранения заводского брака. Сославшись на то, что аналогичные проблемы наблюдались и на Т-60, и на Т-70, главный конструктор СУ-12 отправился в Киров лично контролировать процесс сборки серийных машин. Такой подход дал эффект: хотя в отчётах за январь 1943 года из учебных частей докладывали о некоторых дефектах, в них не было ни слова о проблемах с выходом из строя коробок передач. На тот момент казалось, что дефект побежден. В реальности же в этот момент Гинзбург сам себе подписал смертный приговор, поскольку его действия лишь отсрочили массовый выход КПП на созданных под его руководством САУ из строя (17699).</w:t>
      </w:r>
    </w:p>
    <w:p w14:paraId="217EE252" w14:textId="77777777" w:rsidR="00C22DAE" w:rsidRPr="00722885" w:rsidRDefault="00C22DAE" w:rsidP="00722885">
      <w:pPr>
        <w:pStyle w:val="12a"/>
        <w:shd w:val="clear" w:color="auto" w:fill="auto"/>
        <w:spacing w:after="0" w:line="240" w:lineRule="auto"/>
        <w:jc w:val="both"/>
        <w:rPr>
          <w:color w:val="000000" w:themeColor="text1"/>
          <w:sz w:val="16"/>
          <w:szCs w:val="16"/>
        </w:rPr>
      </w:pPr>
    </w:p>
    <w:p w14:paraId="1BBD1DB6"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15 декабря 1942 года ЗИС-43 вышла на испытания. В этот раз в качестве базы использовались новое шасси ЗИС-42. На опытный образец броневую сталь тратить не стали, ограничившись котельным железом. Внешне бронировка моторного отсека и кабина были похожи на бронировку и кабину ЗИС-41, но с рядом нюансов. Конструкцию жалюзи переделали, так что ситуация с охлаждением улучшилась. С другой стороны, боевая масса САУ выросла еще больше – до 8750 килограмм, так что нагрузка на мотор выросла.</w:t>
      </w:r>
    </w:p>
    <w:p w14:paraId="41299241"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Для удобства обслуживания силовой установки были предусмотрены люки в боковинах капота, а сверху – большой двустворчатый люк. Переделали и саму кабину – по крайней мере, замечаний к удобству работы водителя больше не было. Курсовой пулемет, впрочем, и на этот раз не поставили. Кузов, боеукладки и установку орудия конструкторы позаимствовали у ЗИС-5, переоборудованного в ЗСУ. Существенным изменением стало только щитовое прикрытие 37-мм зенитного автомата 61-К.</w:t>
      </w:r>
    </w:p>
    <w:p w14:paraId="72DC97DC"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 испытания ЗИС-43 пришла своим ходом, пройдя от завода до Гороховецкого полигона 380 километров. Еще 500 километров самоходная установка преодолела в ходе испытаний, проходивших с 19 по 23 декабря. Двигатель машин дважды перегревался, но теперь выявилась и еще одна проблема. Во время движения температура в кабине достигала 40–50 градусов, пол перед сиденьем командира становился просто горячим. Если такое происходило в декабре при температуре −10оC, можно представить, что творилось бы летом.</w:t>
      </w:r>
    </w:p>
    <w:p w14:paraId="13BAC15F"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Рост массы сказался на скоростных данных машины и расходе топлива. Быстрее 35 км/ч САУ не разгонялась, а средняя скорость движения по шоссе составила 29,3 км/ч. При этом расход топлива вырос до 90 литров на 100 километров. По проселку была зафиксирована средняя скорость 19,5 км/ч, а расход топлива – 110 литров на 100 километров.</w:t>
      </w:r>
    </w:p>
    <w:p w14:paraId="7E990318"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Результаты огневых испытаний в целом оказались схожими с теми, которые ранее продемонстрировала ЗИС-41. Точно так же пороховыми газами разбило фару. Высокий центр тяжести влиял на точность стрельбы, особенно при ведении огня вбок. Тем не менее, устойчивость системы признали достаточной. Кроме того, испытатели забраковали крепление орудия по-походному.</w:t>
      </w:r>
    </w:p>
    <w:p w14:paraId="4F18A8A7"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итогам испытаний было дано следующее заключение:</w:t>
      </w:r>
    </w:p>
    <w:p w14:paraId="000AEF1B"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«37 мм автоматическая зенитная пушка, установленная на модернизированное шасси автомашины ЗИС-42, может быть предназначена для противовоздушной обороны мотомехсоединений в движении, вне сферы действия противотанковых средств противника. В силу своей подвижности и проходимости имеет основную задачу – прикрыть походное движение всех родов войск.</w:t>
      </w:r>
    </w:p>
    <w:p w14:paraId="3E838985"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2. Большие габариты, слабая бронировка и меньшая проходимость, в сравнении с гусеничной машиной, не позволяют заменить ею 37 мм зенитную самоходную пушку, установленную на гусеничное шасси (по типу, разработанному заводом №38 НКТП).</w:t>
      </w:r>
    </w:p>
    <w:p w14:paraId="573F7B53"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3. Опытный образец 37 мм автоматической зенитной самоходной пушки, изготовленной автозаводом ЗИС, испытания в основном выдержал.</w:t>
      </w:r>
    </w:p>
    <w:p w14:paraId="396AF59F"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4. После исправления всех недочетов, указанных в отчете, как в артиллерийской, так и в самоходной части, комиссия рекомендует представленный образец для принятия на вооружение Красной Армии».</w:t>
      </w:r>
    </w:p>
    <w:p w14:paraId="575D9FC4"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Судьба ЗИС-43 решилась очень быстро. Внимательно изучив итоги испытаний, в бронетанковом управлении (БТУ) ГАБТУ КА высказались в пользу отказа от дальнейших работ. Поскольку самоходная установка предназначалась для прикрытия частей на марше, броня ей была ни к чему. Это сразу же решало проблему перегрузки шасси. Таким образом, необходимости в ЗИС-43 просто не было.</w:t>
      </w:r>
    </w:p>
    <w:p w14:paraId="3DC6F539"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Впрочем, начальник БТУ инженер-полковник Афонин снова поднял вопрос о машине, по концепции аналогичной ЗИС-41. Но дальше предложений дело на это раз не сдвинулось. Что же касается опытного образца ЗИС-43, то весной 1943 года на ЗИС бронировку с него сняли и превратили в обычный ЗИС-42. Сделали это, к слову, без ведома ГАУ КА (17671).</w:t>
      </w:r>
    </w:p>
    <w:p w14:paraId="14BA6F71" w14:textId="77777777" w:rsidR="00C22DAE" w:rsidRPr="00722885" w:rsidRDefault="00C22DAE" w:rsidP="00722885">
      <w:pPr>
        <w:spacing w:after="0" w:line="240" w:lineRule="auto"/>
        <w:jc w:val="both"/>
        <w:rPr>
          <w:rFonts w:ascii="Times New Roman" w:hAnsi="Times New Roman"/>
          <w:color w:val="000000" w:themeColor="text1"/>
          <w:sz w:val="16"/>
          <w:szCs w:val="16"/>
        </w:rPr>
      </w:pPr>
    </w:p>
    <w:p w14:paraId="4F51EC76"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15 декабря 1942 снова СУ-71 поступила на полигонные испытания. Вместе с ней прибыли начальник ОКБ ГАЗ В. А. Дедков и военпред Куликов. К тому моменту СУ-71 успела произвести 64 выстрела и пройти в общей сложности 350 км. В ходе последовавших полигонных испытаний полноценных тестов ходовой части так и </w:t>
      </w:r>
      <w:r w:rsidRPr="00722885">
        <w:rPr>
          <w:rFonts w:ascii="Times New Roman" w:eastAsia="Times New Roman" w:hAnsi="Times New Roman"/>
          <w:color w:val="000000" w:themeColor="text1"/>
          <w:sz w:val="16"/>
          <w:szCs w:val="16"/>
          <w:lang w:eastAsia="ru-RU"/>
        </w:rPr>
        <w:lastRenderedPageBreak/>
        <w:t>не провели, поскольку машину постоянно преследовали технические проблемы. В итоге СУ-71 прошла лишь полноценные испытания стрельбой, дополнительные 235 выстрелов были сделаны для проверки системы установки орудия на штыре.</w:t>
      </w:r>
    </w:p>
    <w:p w14:paraId="14E93D5E" w14:textId="77777777" w:rsidR="00C22DAE" w:rsidRPr="00722885" w:rsidRDefault="00C22D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Даже если абстрагироваться от постоянно преследовавших машину технических неполадок, у СУ-71 было далеко не всё гладко и с точки зрения тактико-технических характеристик. Вместо 10 тонн, как требовалось в ТТТ, боевая масса машины составила 11,75 тонн. В значительной степени именно существенный перегруз стал причиной перегрева двигателя и ряда других неполадок. Машина оказалась на 15 см выше положенного, недостаточными были углы вертикальной и горизонтальной наводки её орудия. Из-за технических проблем оценить максимальную скорость не получилось, но есть серьёзные подозрения, что разогнаться до 45 км/ч машина не смогла бы. Одной из немногих её положительных особенностей комиссия посчитала конструкцию крепления орудия в боевом отделении. В целом же вердикт оказался вполне ожидаемым: самоходная установка испытаний не выдержала, на вооружение рекомендована быть не может, доработка нецелесообразна (17690).</w:t>
      </w:r>
    </w:p>
    <w:p w14:paraId="52E3F219" w14:textId="77777777" w:rsidR="00C22DAE" w:rsidRPr="00722885" w:rsidRDefault="00C22DAE" w:rsidP="00722885">
      <w:pPr>
        <w:spacing w:after="0" w:line="240" w:lineRule="auto"/>
        <w:jc w:val="both"/>
        <w:rPr>
          <w:rFonts w:ascii="Times New Roman" w:hAnsi="Times New Roman"/>
          <w:color w:val="000000" w:themeColor="text1"/>
          <w:sz w:val="16"/>
          <w:szCs w:val="16"/>
        </w:rPr>
      </w:pPr>
    </w:p>
    <w:p w14:paraId="0DCB96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вышло Распоряжение ГКО № 2630. О передаче на ТЭЦ завода № 700 НКЧМ турбогенератора и о плане капитальных работ по НКЦМ. РГАНИР, Фонд ГКО, д. 72, лл. 224 (11012).</w:t>
      </w:r>
    </w:p>
    <w:p w14:paraId="5661474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CF7C7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Балтийский завод приступил к ремонту трех ПЛ (С-9, С-13 и Д-2); продолжался ремонт крейсера "Петропавловск" (10671).</w:t>
      </w:r>
    </w:p>
    <w:p w14:paraId="78A5DFB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E853ECA"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8C678DE" w14:textId="77777777" w:rsidR="00BB6316" w:rsidRPr="00722885" w:rsidRDefault="00BB6316" w:rsidP="00722885">
      <w:pPr>
        <w:pStyle w:val="Iauiue"/>
        <w:jc w:val="both"/>
        <w:rPr>
          <w:iCs/>
          <w:color w:val="000000" w:themeColor="text1"/>
          <w:sz w:val="16"/>
          <w:szCs w:val="16"/>
        </w:rPr>
      </w:pPr>
    </w:p>
    <w:p w14:paraId="611799F0"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15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61797C5A"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15 декабря в районе Сталинграда и на Центральном фронте наши войска продолжали вести наступательные бои на прежних направлениях.</w:t>
      </w:r>
    </w:p>
    <w:p w14:paraId="0CA485AE"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ночью атаковали противника и захватили несколько зданий. Уничтожено 80 гитлеровцев, захвачены 2 станковых и 3 ручных пулемёта, 18 автоматов, винтовки и боеприпасы.</w:t>
      </w:r>
    </w:p>
    <w:p w14:paraId="1EA916CA"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артиллеристы Н-ской части огневыми налётами рассеяли и частью уничтожили до батальона немецкой пехоты и взорвали склад боеприпасов. На другом участке наши бойцы отбили контратаку немецкой пехоты и, преследуя отступающих гитлеровцев, ворвались в их окопы. В результате боя уничтожено свыше 200 солдат и офицеров противника.</w:t>
      </w:r>
    </w:p>
    <w:p w14:paraId="57DC0E29"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части отбили четыре следовавшие одна за другой контратаки противника. Встреченные мощным огнём, немцы каждый раз были вынуждены откатываться назад, не достигнув советских позиций. На поле боя осталось до 300 вражеских трупов и 5 сожжённых танков. На другом участке наши части вели наступательные бои и заняли один населённый пункт. В бою за этот населённыйпункт уничтожено около 500 немецких солдат и офицеров. Нашими бойцами захвачено 3 танка, 30 орудий, 40 пулемётов, 200 винтовок, 50 автомашин, 10 тягачей и 8складов с боеприпасами, продовольствием и вещевым имуществом. Взято в плен 50 солдат противника.</w:t>
      </w:r>
    </w:p>
    <w:p w14:paraId="30181F60"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отражая контратаки противника, продолжали вести наступательные бои. B районе западнее Ржева противник, подтянув свежие силы пехоты и танков, контратаками пытается задержать продвижение наших частей. В течение дня отбито шесть контратак гитлеровцев. В этом бою подбито 3 тяжёлых танка и уничтожено до 400 немецких солдат и офицеров.</w:t>
      </w:r>
    </w:p>
    <w:p w14:paraId="28786F9B"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продолжаются бои по уничтожению блокированных гарнизонов противника.</w:t>
      </w:r>
    </w:p>
    <w:p w14:paraId="2F5E5CF5"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Новороссийска артиллеристы и миномётчики Н-ской части разрушили 9 немецких дзотов и уничтожили 3 миномёта и 12 автомашин. Снайперы Н-ского соединения за три дня истребили 185 гитлеровцев.</w:t>
      </w:r>
    </w:p>
    <w:p w14:paraId="52210010"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Фашистская газетка, издаваемая в городе Минске, опубликовала недавно сообщение немецкого командования о том, что якобы уничтожен партизанский отряд, действующий в одном из районов Минской области. Это сообщение было целиком вымышлено. В действительности месяц тому назад партизаны изрядно потрепали немцев. Гитлеровцы снарядили против партизан крупный карательный отряд с танками и бронемашинами. Много дней гитлеровцы блуждали по лесам, подвергаясь непрерывным ударам партизан. Советские патриоты действовали внезапно и били немцев по частям. В этих боях немцы потеряли до 400 солдат и офицеров, 3 танка, 2 бронемашины и, основательно побитые партизанами, ни с чем вернулись в Минск.</w:t>
      </w:r>
    </w:p>
    <w:p w14:paraId="570C5694"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одном из участков Северо-Западного фронта наши бойцы разгромили 3 роту 38 полка 8 немецкой дивизии. Остатки роты в количестве 29 солдат взяты в плен.Пленные Харих, Зуха. Горцольниг и Кизлих рассказали: «Наша рота с первых дней войны участвовала в боях на советско-германском фронте. 22 июня 1941 года рота насчитывала 170 человек. За 4 месяца она трижды получала пополнение. Однако воктябре, когда потрёпанная дивизия была отведена во Францию на переформирование, в роте осталось всего лишь 11 человек. Летом этого года дивизия снова была переброшена на советско-германский фронт. К этому времени в нашей роте было 210 человек. Последний бой оказался для нас роковым. Русские совершенно неожиданно и без артиллерийской подготовки атаковали нас и в первые минуты убили командира роты обер-лейтенанта Фаупелта. Остатки роты, прижатые к реке, сдались в плен».</w:t>
      </w:r>
    </w:p>
    <w:p w14:paraId="0F6253C5"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Италии сообщают о происшедших стычках между итальянскими и немецкими солдатами. В Милане толпа женщин забросала камнями группу немецких офицеров. Гитлеровцы открыли стрельбу. Подоспевшие итальянские солдаты разоружили и избили немцев.» (14861).</w:t>
      </w:r>
    </w:p>
    <w:p w14:paraId="4A34648A"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5701CFE8"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15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7B91E5F2"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15 декабря наши войска в районе Сталинграда и на Центральном фронте продолжали вести наступательные бои на прежних направлениях.</w:t>
      </w:r>
    </w:p>
    <w:p w14:paraId="272F7FFC"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декабря частями нашей авиации на различных участках фронта уничтожено или повреждено 10 немецких танков, свыше 40 автомашин с войсками и грузами, подавлен огонь 10 артиллерийских батарей, разбит железнодорожный эшелон, рассеяно и частью уничтожено до роты пехоты противника.</w:t>
      </w:r>
    </w:p>
    <w:p w14:paraId="644D9ED1"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действуя мелкими группами, продолжали уничтожать укрепления противника и его живую силу. На южной окраине города советская артиллерия вела обстрел вражеских позиций. Разрушено 16 дзотов и 11 блиндажей, уничтожено 6 орудий, 20 пулемётных точек и до 200 гитлеровцев.</w:t>
      </w:r>
    </w:p>
    <w:p w14:paraId="10D2A194"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 левом берегу реки Дон, наши войска вели огневой бой с противником. На одном участке противник силою до батальона пехоты и 8 танков предпринял несколько контратак. В результате боя наши бойцы подбили 3 и сожгли 2 танка противника и уничтожили 200 гитлеровцев.</w:t>
      </w:r>
    </w:p>
    <w:p w14:paraId="7B8D6295"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бои с крупными силами пехоты и танков противника. Н-ская моторизованная часть в течение дня отбила несколько контратак немецкой пехоты. На поле боя остались сотни вражеских трупов и 9 сожжённых танков. На другом участке наши подразделения ударами с флангов отрезали группу немецкой пехоты и танков от основных сил противника и ведут бои по её уничтожению.</w:t>
      </w:r>
    </w:p>
    <w:p w14:paraId="7A0BFAB1"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в воздушных боях сбили 10 немецких самолётов, в том числе 3 транспортных самолёта противника.</w:t>
      </w:r>
    </w:p>
    <w:p w14:paraId="389D4F36"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наступательные бои и отбивали контратаки противника. В районе западнее Ржева советские части в результате упорных боёв заняли два населённых пункта. Уничтожено до 400 немецких солдат и офицеров. Разрушено 14 дзотов и 11 блиндажей. На другом участке бойцами Н-ского соединения при отражении контратак гитлеровцев подбито 26 немецких танков и нанесены тяжёлые потери живой силе противника.</w:t>
      </w:r>
    </w:p>
    <w:p w14:paraId="05F4AEA6"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железной дороги Ржев—Вязьма наши части разрушали оборонительные сооружения противника. Артиллерийско-миномётным огнём уничтожено несколько десятков вражеских дзотов, подавлен огонь 6 артиллерийских и 3 миномётных батарей, рассеяно и частью уничтожено до батальона немецкой пехоты.</w:t>
      </w:r>
    </w:p>
    <w:p w14:paraId="16DCDC97"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Воронежа наши подразделения вели разведку. Батальон вражеской пехоты пытался отбросить разведывательные группы и вернуть потерянные накануне позиции. Наши подразделения умелым манёвром окружили батальон противника, атаковали его и уничтожили до 300 немецких солдат и офицеров.</w:t>
      </w:r>
    </w:p>
    <w:p w14:paraId="32074EDE"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Сумской области, совершил нападение на колонну немецко-фашистских захватчиков. В завязавшемся бою партизаны истребили 20 гитлеровцев, а остальных рассеяли. Захвачены документы и обоз с продовольствием и обмундированием.</w:t>
      </w:r>
    </w:p>
    <w:p w14:paraId="5D697576"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орловских партизан пустила под откос железнодорожный эшелон противника. Разбиты паровоз, 12 вагонов с войсками и 6 платформ с техникой.</w:t>
      </w:r>
    </w:p>
    <w:p w14:paraId="31CC0F67"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взят в плен экипаж сбитого немецкого транспортногосамолёта «Юнкерс-52». Пленный бортмеханик Альфред Сарнецкий заявил: «За последнее время немецкая транспортная авиация несёт под Сталинградом огромные потери. Воздушный путь самолётов пролегает через зоны непрерывного огня. В создавшихся условиях каждый лётчик, получивший боевое задание, считает, что он отправляется в последний рейс. Даже очень опытные пилоты с большой неохотой, я бы сказал, даже со страхом садятся в самолёт. Некоторые перед вылетом заготавливают прощальные письма. Бывают дни, когда свыше половины всех самолётов, отправляющихся в полёт, не возвращаются на свои базы».</w:t>
      </w:r>
    </w:p>
    <w:p w14:paraId="7C77AC98"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Париже французские патриоты бросили бомбу в ресторан, где пьянствовали немецкие офицеры. Взрывом убито 5 и ранено 9 гитлеровцев. Недалеко от Парижа произошло крушение товарного поезда, груженного боеприпасами. При взрыве уничтожено 23 вагона.» (14861).</w:t>
      </w:r>
    </w:p>
    <w:p w14:paraId="16253CAE"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2D95A39F"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15 декабря 10 Ил-2 Ш-37 удалось вылететь на аэро</w:t>
      </w:r>
      <w:r w:rsidRPr="00722885">
        <w:rPr>
          <w:color w:val="000000" w:themeColor="text1"/>
          <w:sz w:val="16"/>
          <w:szCs w:val="16"/>
        </w:rPr>
        <w:softHyphen/>
        <w:t>дром Вихлянцево на Донской фронт в состав 16-й воз</w:t>
      </w:r>
      <w:r w:rsidRPr="00722885">
        <w:rPr>
          <w:color w:val="000000" w:themeColor="text1"/>
          <w:sz w:val="16"/>
          <w:szCs w:val="16"/>
        </w:rPr>
        <w:softHyphen/>
        <w:t>душной армии. До этого времени не было летной погоды и не все само</w:t>
      </w:r>
      <w:r w:rsidRPr="00722885">
        <w:rPr>
          <w:color w:val="000000" w:themeColor="text1"/>
          <w:sz w:val="16"/>
          <w:szCs w:val="16"/>
        </w:rPr>
        <w:softHyphen/>
        <w:t>леты были готовы. Надо отметить, что много было неисправностей моторов при подготовке к вылету. Например, только на Ил-2 зав. № 1875029 сменили 3 водопомпы («лопался корпус водопомпы»).</w:t>
      </w:r>
    </w:p>
    <w:p w14:paraId="60B2DE61"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взлета всей группы один Ил-2 (зав. № 1876123) почти сразу же сел на аэродром Муханово в 12 км от аэродрома Толкай. Оказалось, в маслобак залили масла больше нормы. На взле</w:t>
      </w:r>
      <w:r w:rsidRPr="00722885">
        <w:rPr>
          <w:color w:val="000000" w:themeColor="text1"/>
          <w:sz w:val="16"/>
          <w:szCs w:val="16"/>
        </w:rPr>
        <w:softHyphen/>
        <w:t>те масло стало выбивать из маслобака, сильно за</w:t>
      </w:r>
      <w:r w:rsidRPr="00722885">
        <w:rPr>
          <w:color w:val="000000" w:themeColor="text1"/>
          <w:sz w:val="16"/>
          <w:szCs w:val="16"/>
        </w:rPr>
        <w:softHyphen/>
        <w:t>брызгало стекло фонаря кабины. Летчик сел на первую же попавшуюся площадку прямо по кур</w:t>
      </w:r>
      <w:r w:rsidRPr="00722885">
        <w:rPr>
          <w:color w:val="000000" w:themeColor="text1"/>
          <w:sz w:val="16"/>
          <w:szCs w:val="16"/>
        </w:rPr>
        <w:softHyphen/>
        <w:t>су. Избыток масла техники слили, фонарь отмыли. В этот же день самолет вылетел, но до аэродрома Разбойщина так и не долетел. Из-за полного израс</w:t>
      </w:r>
      <w:r w:rsidRPr="00722885">
        <w:rPr>
          <w:color w:val="000000" w:themeColor="text1"/>
          <w:sz w:val="16"/>
          <w:szCs w:val="16"/>
        </w:rPr>
        <w:softHyphen/>
        <w:t xml:space="preserve">ходования </w:t>
      </w:r>
      <w:r w:rsidRPr="00722885">
        <w:rPr>
          <w:color w:val="000000" w:themeColor="text1"/>
          <w:sz w:val="16"/>
          <w:szCs w:val="16"/>
        </w:rPr>
        <w:lastRenderedPageBreak/>
        <w:t>горючего самолет вынужденно сел в глу</w:t>
      </w:r>
      <w:r w:rsidRPr="00722885">
        <w:rPr>
          <w:color w:val="000000" w:themeColor="text1"/>
          <w:sz w:val="16"/>
          <w:szCs w:val="16"/>
        </w:rPr>
        <w:softHyphen/>
        <w:t>бокий снег вдали от посадочной полосы аэродро</w:t>
      </w:r>
      <w:r w:rsidRPr="00722885">
        <w:rPr>
          <w:color w:val="000000" w:themeColor="text1"/>
          <w:sz w:val="16"/>
          <w:szCs w:val="16"/>
        </w:rPr>
        <w:softHyphen/>
        <w:t>ма Маркштад. Несмотря на несколько телеграмм Тишевского, этот самолет находился на аэродроме Маркштад по крайней мере до 15 февраля 1943 г. Что стало с ним в дальнейшем, установить не удалось.</w:t>
      </w:r>
    </w:p>
    <w:p w14:paraId="490A245A"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Остальные 9 противотанковых самолетов Ил-2 до аэродрома Разбойщина все же долетели. При этом один из них (зав. № 1871129) сел в глубокий снег вдали от посадочной площадки и погнул винт. Маслом забрызгало лобовое стекло. Летчик плохо видел полосу и промазал. Осмотр самолета пока</w:t>
      </w:r>
      <w:r w:rsidRPr="00722885">
        <w:rPr>
          <w:color w:val="000000" w:themeColor="text1"/>
          <w:sz w:val="16"/>
          <w:szCs w:val="16"/>
        </w:rPr>
        <w:softHyphen/>
        <w:t>зал, что маслобак дал течь. Этот самолет долго ре</w:t>
      </w:r>
      <w:r w:rsidRPr="00722885">
        <w:rPr>
          <w:color w:val="000000" w:themeColor="text1"/>
          <w:sz w:val="16"/>
          <w:szCs w:val="16"/>
        </w:rPr>
        <w:softHyphen/>
        <w:t>монтировался и попал на фронт только 18 января 1943 г.</w:t>
      </w:r>
    </w:p>
    <w:p w14:paraId="252166DD"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Оставшаяся группа в составе 8 самолетов Ил-2 вылетела на фронт 17 декабря и благополучно села в Большой Ивановке — аэродром свх. Пролетарий, куда их перенаправили в Разбойщине вместо аэро</w:t>
      </w:r>
      <w:r w:rsidRPr="00722885">
        <w:rPr>
          <w:color w:val="000000" w:themeColor="text1"/>
          <w:sz w:val="16"/>
          <w:szCs w:val="16"/>
        </w:rPr>
        <w:softHyphen/>
        <w:t>дрома Вихлянцево.</w:t>
      </w:r>
    </w:p>
    <w:p w14:paraId="0D7401C8"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прибытии на фронт самолеты вошли в состав 688-го шап 228-й шад 16 ВА, «действующей по раз</w:t>
      </w:r>
      <w:r w:rsidRPr="00722885">
        <w:rPr>
          <w:color w:val="000000" w:themeColor="text1"/>
          <w:sz w:val="16"/>
          <w:szCs w:val="16"/>
        </w:rPr>
        <w:softHyphen/>
        <w:t>грому окруженной немецкой группировки под Ста</w:t>
      </w:r>
      <w:r w:rsidRPr="00722885">
        <w:rPr>
          <w:color w:val="000000" w:themeColor="text1"/>
          <w:sz w:val="16"/>
          <w:szCs w:val="16"/>
        </w:rPr>
        <w:softHyphen/>
        <w:t>линградом». Боевым приказом командира дивизии полковника Г. О. Комарова от 18 декабря коман</w:t>
      </w:r>
      <w:r w:rsidRPr="00722885">
        <w:rPr>
          <w:color w:val="000000" w:themeColor="text1"/>
          <w:sz w:val="16"/>
          <w:szCs w:val="16"/>
        </w:rPr>
        <w:softHyphen/>
        <w:t>дир 688-го шап капитан М. Г. Скляров обязывался до 22—23 декабря «закончить изучение вооруже</w:t>
      </w:r>
      <w:r w:rsidRPr="00722885">
        <w:rPr>
          <w:color w:val="000000" w:themeColor="text1"/>
          <w:sz w:val="16"/>
          <w:szCs w:val="16"/>
        </w:rPr>
        <w:softHyphen/>
        <w:t>ния самолета Ил-2 с 37-мм пушками». Требовалось «провести опробование самолетов Ил-2 в воздухе путем стрельбы по мишеням и поведение самолета на всех режимах при технике пилотирования». Для изучения материальной части и подготовки само</w:t>
      </w:r>
      <w:r w:rsidRPr="00722885">
        <w:rPr>
          <w:color w:val="000000" w:themeColor="text1"/>
          <w:sz w:val="16"/>
          <w:szCs w:val="16"/>
        </w:rPr>
        <w:softHyphen/>
        <w:t>летов и пушек к зимней эксплуатации предлагалось привлечь группу работников от ОКБ-15.</w:t>
      </w:r>
    </w:p>
    <w:p w14:paraId="367512CC"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Здесь следует сказать, что изменение места на</w:t>
      </w:r>
      <w:r w:rsidRPr="00722885">
        <w:rPr>
          <w:color w:val="000000" w:themeColor="text1"/>
          <w:sz w:val="16"/>
          <w:szCs w:val="16"/>
        </w:rPr>
        <w:softHyphen/>
        <w:t>значения сыграло злую шутку, так как «группком- плект запчастей к самолетам и запчасти по воору</w:t>
      </w:r>
      <w:r w:rsidRPr="00722885">
        <w:rPr>
          <w:color w:val="000000" w:themeColor="text1"/>
          <w:sz w:val="16"/>
          <w:szCs w:val="16"/>
        </w:rPr>
        <w:softHyphen/>
        <w:t>жению с завода № 18 были отправлены Дугласом в Вихлянцево». Эти запчасти до самого окончания войсковых испытаний самолетов Ил-2 с пушками Ш-37 оставались в Вихлянцеве и в полк так и не по</w:t>
      </w:r>
      <w:r w:rsidRPr="00722885">
        <w:rPr>
          <w:color w:val="000000" w:themeColor="text1"/>
          <w:sz w:val="16"/>
          <w:szCs w:val="16"/>
        </w:rPr>
        <w:softHyphen/>
        <w:t>ступили.</w:t>
      </w:r>
    </w:p>
    <w:p w14:paraId="445EFE57"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этому времени 688-й шап находился на фрон</w:t>
      </w:r>
      <w:r w:rsidRPr="00722885">
        <w:rPr>
          <w:color w:val="000000" w:themeColor="text1"/>
          <w:sz w:val="16"/>
          <w:szCs w:val="16"/>
        </w:rPr>
        <w:softHyphen/>
        <w:t>те бессменно около 7 месяцев, пополняясь летным составом и матчастью по мере убыли непосред</w:t>
      </w:r>
      <w:r w:rsidRPr="00722885">
        <w:rPr>
          <w:color w:val="000000" w:themeColor="text1"/>
          <w:sz w:val="16"/>
          <w:szCs w:val="16"/>
        </w:rPr>
        <w:softHyphen/>
        <w:t>ственно в ходе боевых действий. Основной ка</w:t>
      </w:r>
      <w:r w:rsidRPr="00722885">
        <w:rPr>
          <w:color w:val="000000" w:themeColor="text1"/>
          <w:sz w:val="16"/>
          <w:szCs w:val="16"/>
        </w:rPr>
        <w:softHyphen/>
        <w:t>дровый состав имел специальную подготовку для ночных полетов, соответственно, полк вылетал на боевые задания главным образом ночью.</w:t>
      </w:r>
    </w:p>
    <w:p w14:paraId="0B502E78"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первого же дня нахождения противотанко</w:t>
      </w:r>
      <w:r w:rsidRPr="00722885">
        <w:rPr>
          <w:color w:val="000000" w:themeColor="text1"/>
          <w:sz w:val="16"/>
          <w:szCs w:val="16"/>
        </w:rPr>
        <w:softHyphen/>
        <w:t>вых Ил-2 в полку развернулась подготовка летного и технического состава к особенностям эксплуата</w:t>
      </w:r>
      <w:r w:rsidRPr="00722885">
        <w:rPr>
          <w:color w:val="000000" w:themeColor="text1"/>
          <w:sz w:val="16"/>
          <w:szCs w:val="16"/>
        </w:rPr>
        <w:softHyphen/>
        <w:t>ции и применения пушек Ш-37.</w:t>
      </w:r>
    </w:p>
    <w:p w14:paraId="1E13636C"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Комиссия НИИ ВВС при встрече с командиром дивизии полковником Комаровым и командиром полка капитанов Скляровым поставила вопрос о применении Ил-2 с пушками Ш-37 «днем, а не ночью, когда цели хорошо видимы, чтобы можно было судить об эффективности этих самолетов», и преимущественно по бронированным целям — танкам, штурмовым орудиям, бронетранспортерам. Кроме этого, группы штурмовиков в обязательном порядке требовалось прикрыть достаточным коли</w:t>
      </w:r>
      <w:r w:rsidRPr="00722885">
        <w:rPr>
          <w:color w:val="000000" w:themeColor="text1"/>
          <w:sz w:val="16"/>
          <w:szCs w:val="16"/>
        </w:rPr>
        <w:softHyphen/>
        <w:t>чеством истребителей.</w:t>
      </w:r>
    </w:p>
    <w:p w14:paraId="68D9F80E"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22 декабря состоялся облет этих самолетов лет</w:t>
      </w:r>
      <w:r w:rsidRPr="00722885">
        <w:rPr>
          <w:color w:val="000000" w:themeColor="text1"/>
          <w:sz w:val="16"/>
          <w:szCs w:val="16"/>
        </w:rPr>
        <w:softHyphen/>
        <w:t>ным составом полка с учебными стрельбами по на</w:t>
      </w:r>
      <w:r w:rsidRPr="00722885">
        <w:rPr>
          <w:color w:val="000000" w:themeColor="text1"/>
          <w:sz w:val="16"/>
          <w:szCs w:val="16"/>
        </w:rPr>
        <w:softHyphen/>
        <w:t>земной мишени.</w:t>
      </w:r>
    </w:p>
    <w:p w14:paraId="0D0E186A"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день 228-я шад боевой работы не вела по причине сложных метеоусловий (облачность 10 баллов, временами снегопад, утром выпал ту</w:t>
      </w:r>
      <w:r w:rsidRPr="00722885">
        <w:rPr>
          <w:color w:val="000000" w:themeColor="text1"/>
          <w:sz w:val="16"/>
          <w:szCs w:val="16"/>
        </w:rPr>
        <w:softHyphen/>
        <w:t>ман), но готовность к вылету с ночных экипажей не снималась.</w:t>
      </w:r>
    </w:p>
    <w:p w14:paraId="70CB607D"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Учитывая эти обстоятельства, решили выпол</w:t>
      </w:r>
      <w:r w:rsidRPr="00722885">
        <w:rPr>
          <w:color w:val="000000" w:themeColor="text1"/>
          <w:sz w:val="16"/>
          <w:szCs w:val="16"/>
        </w:rPr>
        <w:softHyphen/>
        <w:t>нить тренировочные полеты по кругу на облет но</w:t>
      </w:r>
      <w:r w:rsidRPr="00722885">
        <w:rPr>
          <w:color w:val="000000" w:themeColor="text1"/>
          <w:sz w:val="16"/>
          <w:szCs w:val="16"/>
        </w:rPr>
        <w:softHyphen/>
        <w:t>вых самолетов Ил-2 с пушками Ш-37 и отстреляться из них по мишени.</w:t>
      </w:r>
    </w:p>
    <w:p w14:paraId="45418E46"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Летали 5 летчиков разной квалификации на 6 самолетах: капитан Скляров, капитан Копаев, лей</w:t>
      </w:r>
      <w:r w:rsidRPr="00722885">
        <w:rPr>
          <w:color w:val="000000" w:themeColor="text1"/>
          <w:sz w:val="16"/>
          <w:szCs w:val="16"/>
        </w:rPr>
        <w:softHyphen/>
        <w:t>тенант Бибишев, старшина Гололобов, лейтенант Михайленко. Всего было выполнено 10 самолето</w:t>
      </w:r>
      <w:r w:rsidRPr="00722885">
        <w:rPr>
          <w:color w:val="000000" w:themeColor="text1"/>
          <w:sz w:val="16"/>
          <w:szCs w:val="16"/>
        </w:rPr>
        <w:softHyphen/>
        <w:t>вылетов с суммарным налетом 3 ч 17 мин.</w:t>
      </w:r>
    </w:p>
    <w:p w14:paraId="7EFBFECC"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Оказалось, что кучность стрельбы из пушек бы</w:t>
      </w:r>
      <w:r w:rsidRPr="00722885">
        <w:rPr>
          <w:color w:val="000000" w:themeColor="text1"/>
          <w:sz w:val="16"/>
          <w:szCs w:val="16"/>
        </w:rPr>
        <w:softHyphen/>
        <w:t>ла довольно приличной, хотя сама стрельба — не</w:t>
      </w:r>
      <w:r w:rsidRPr="00722885">
        <w:rPr>
          <w:color w:val="000000" w:themeColor="text1"/>
          <w:sz w:val="16"/>
          <w:szCs w:val="16"/>
        </w:rPr>
        <w:softHyphen/>
        <w:t>точной. Большая часть снарядов (из 153 штук) легла в 4—5 метрах в стороне от цели (щит в виде ква</w:t>
      </w:r>
      <w:r w:rsidRPr="00722885">
        <w:rPr>
          <w:color w:val="000000" w:themeColor="text1"/>
          <w:sz w:val="16"/>
          <w:szCs w:val="16"/>
        </w:rPr>
        <w:softHyphen/>
        <w:t>драта со стороной 6 м), остальные — в 12—15 м. Только командиру полка капитану Склярову уда</w:t>
      </w:r>
      <w:r w:rsidRPr="00722885">
        <w:rPr>
          <w:color w:val="000000" w:themeColor="text1"/>
          <w:sz w:val="16"/>
          <w:szCs w:val="16"/>
        </w:rPr>
        <w:softHyphen/>
        <w:t>лось поразить щит 2 снарядами. Вторым по резуль</w:t>
      </w:r>
      <w:r w:rsidRPr="00722885">
        <w:rPr>
          <w:color w:val="000000" w:themeColor="text1"/>
          <w:sz w:val="16"/>
          <w:szCs w:val="16"/>
        </w:rPr>
        <w:softHyphen/>
        <w:t>тативности оказался капитан Копаев. Низкий про</w:t>
      </w:r>
      <w:r w:rsidRPr="00722885">
        <w:rPr>
          <w:color w:val="000000" w:themeColor="text1"/>
          <w:sz w:val="16"/>
          <w:szCs w:val="16"/>
        </w:rPr>
        <w:softHyphen/>
        <w:t>цент попадания в щит объяснялся большими дис</w:t>
      </w:r>
      <w:r w:rsidRPr="00722885">
        <w:rPr>
          <w:color w:val="000000" w:themeColor="text1"/>
          <w:sz w:val="16"/>
          <w:szCs w:val="16"/>
        </w:rPr>
        <w:softHyphen/>
        <w:t>танциями стрельбы — начало стрельбы 800—900 м и окончание 500—400 м, а также «недостатками освоения техники пилотирования этим самолетом и ведения огня из пушек калибра 37 мм». Кроме этого, по сложившейся в полку практике стрельбы из пушек ВЯ и ШВАК и пулеметов ШКАС летчики вели прицеливание «с недолетом с последующим уменьшением угла пикирования с целью пересече</w:t>
      </w:r>
      <w:r w:rsidRPr="00722885">
        <w:rPr>
          <w:color w:val="000000" w:themeColor="text1"/>
          <w:sz w:val="16"/>
          <w:szCs w:val="16"/>
        </w:rPr>
        <w:softHyphen/>
        <w:t>ния трассой цели», что «для пушки 37 мм неприме</w:t>
      </w:r>
      <w:r w:rsidRPr="00722885">
        <w:rPr>
          <w:color w:val="000000" w:themeColor="text1"/>
          <w:sz w:val="16"/>
          <w:szCs w:val="16"/>
        </w:rPr>
        <w:softHyphen/>
        <w:t>нимо вследствие небольшого темпа стрельбы». Во всех случаях стрельба велась очередями по 2—3 снаряда, так как летный состав привык «к ведению огня из оружия высокого темпа стрельбы».</w:t>
      </w:r>
    </w:p>
    <w:p w14:paraId="246AE37A"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условия стрельбы, соответствен</w:t>
      </w:r>
      <w:r w:rsidRPr="00722885">
        <w:rPr>
          <w:color w:val="000000" w:themeColor="text1"/>
          <w:sz w:val="16"/>
          <w:szCs w:val="16"/>
        </w:rPr>
        <w:softHyphen/>
        <w:t>но, и результаты стрельбы в реальном бою были бы такими же или хуже.</w:t>
      </w:r>
    </w:p>
    <w:p w14:paraId="33A59377"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выводах отчета «О произведенном отстреле 37-мм пушек, установленных на Ил-2 в 688-м шап 228-й шад» отмечалось, что для поражения назем</w:t>
      </w:r>
      <w:r w:rsidRPr="00722885">
        <w:rPr>
          <w:color w:val="000000" w:themeColor="text1"/>
          <w:sz w:val="16"/>
          <w:szCs w:val="16"/>
        </w:rPr>
        <w:softHyphen/>
        <w:t>ных целей из пушек Ш-37 прицельный огонь дол</w:t>
      </w:r>
      <w:r w:rsidRPr="00722885">
        <w:rPr>
          <w:color w:val="000000" w:themeColor="text1"/>
          <w:sz w:val="16"/>
          <w:szCs w:val="16"/>
        </w:rPr>
        <w:softHyphen/>
        <w:t>жен открываться на дистанции не более 500 м и ве</w:t>
      </w:r>
      <w:r w:rsidRPr="00722885">
        <w:rPr>
          <w:color w:val="000000" w:themeColor="text1"/>
          <w:sz w:val="16"/>
          <w:szCs w:val="16"/>
        </w:rPr>
        <w:softHyphen/>
        <w:t>стись до 200—250 м очередями в 5—7 выстрелов.</w:t>
      </w:r>
    </w:p>
    <w:p w14:paraId="72171564"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Наиболее выгодными целями с точки зрения наибольшего эффекта от применения пушек кали</w:t>
      </w:r>
      <w:r w:rsidRPr="00722885">
        <w:rPr>
          <w:color w:val="000000" w:themeColor="text1"/>
          <w:sz w:val="16"/>
          <w:szCs w:val="16"/>
        </w:rPr>
        <w:softHyphen/>
        <w:t>бра 37 мм считались танки, бронемашины, броне</w:t>
      </w:r>
      <w:r w:rsidRPr="00722885">
        <w:rPr>
          <w:color w:val="000000" w:themeColor="text1"/>
          <w:sz w:val="16"/>
          <w:szCs w:val="16"/>
        </w:rPr>
        <w:softHyphen/>
        <w:t>поезда, суда малого тоннажа, самолеты, артилле</w:t>
      </w:r>
      <w:r w:rsidRPr="00722885">
        <w:rPr>
          <w:color w:val="000000" w:themeColor="text1"/>
          <w:sz w:val="16"/>
          <w:szCs w:val="16"/>
        </w:rPr>
        <w:softHyphen/>
        <w:t>рийские позиции, склады боеприпасов и горючего. При этом «стрельба с самолетов Ил-2, вооруженных 37-мм пушками,</w:t>
      </w:r>
    </w:p>
    <w:p w14:paraId="7A9CA35F"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производит большое моральное действие и может эффективно применяться в днев</w:t>
      </w:r>
      <w:r w:rsidRPr="00722885">
        <w:rPr>
          <w:color w:val="000000" w:themeColor="text1"/>
          <w:sz w:val="16"/>
          <w:szCs w:val="16"/>
        </w:rPr>
        <w:softHyphen/>
        <w:t>ных условиях», а «применение огня из этих пушек против танков даст лучший эффект, нежели авиа</w:t>
      </w:r>
      <w:r w:rsidRPr="00722885">
        <w:rPr>
          <w:color w:val="000000" w:themeColor="text1"/>
          <w:sz w:val="16"/>
          <w:szCs w:val="16"/>
        </w:rPr>
        <w:softHyphen/>
        <w:t>бомбы».</w:t>
      </w:r>
    </w:p>
    <w:p w14:paraId="66347210"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технике пилотирования Ил-2 с Ш-37 оцени</w:t>
      </w:r>
      <w:r w:rsidRPr="00722885">
        <w:rPr>
          <w:color w:val="000000" w:themeColor="text1"/>
          <w:sz w:val="16"/>
          <w:szCs w:val="16"/>
        </w:rPr>
        <w:softHyphen/>
        <w:t>вался в целом не хуже «прежних образцов, несущих нормальный вариант бомб, но скорость меньше на 15—20 км/ч, а также несколько сложный маневр».</w:t>
      </w:r>
    </w:p>
    <w:p w14:paraId="0508C814"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 обошлось без недостатков. Так, на Ил-2 зав. № 1878029 при стрельбе по мишени произошел отказ одной пушки (зав. № Г-146). Самолет развер</w:t>
      </w:r>
      <w:r w:rsidRPr="00722885">
        <w:rPr>
          <w:color w:val="000000" w:themeColor="text1"/>
          <w:sz w:val="16"/>
          <w:szCs w:val="16"/>
        </w:rPr>
        <w:softHyphen/>
        <w:t>нуло, очередь ушла далеко мимо цели. При по</w:t>
      </w:r>
      <w:r w:rsidRPr="00722885">
        <w:rPr>
          <w:color w:val="000000" w:themeColor="text1"/>
          <w:sz w:val="16"/>
          <w:szCs w:val="16"/>
        </w:rPr>
        <w:softHyphen/>
        <w:t>вторном заходе лейтенант Бибишев при стрельбе не смог удержать линию визирования на цели, так как самолет разворачивало в сторону стреляющей пушки. При осмотре оказалось, что отказ в работе пушки произошел «по причине неотдачи частей в крайнее заднее положение вследствие недоста</w:t>
      </w:r>
      <w:r w:rsidRPr="00722885">
        <w:rPr>
          <w:color w:val="000000" w:themeColor="text1"/>
          <w:sz w:val="16"/>
          <w:szCs w:val="16"/>
        </w:rPr>
        <w:softHyphen/>
        <w:t>точного отверстия (5 мм) газового диффузора для условий зимней эксплуатации».</w:t>
      </w:r>
    </w:p>
    <w:p w14:paraId="3CF048D6"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самолете Ил-2 зав. 1879928 из-за неисправ</w:t>
      </w:r>
      <w:r w:rsidRPr="00722885">
        <w:rPr>
          <w:color w:val="000000" w:themeColor="text1"/>
          <w:sz w:val="16"/>
          <w:szCs w:val="16"/>
        </w:rPr>
        <w:softHyphen/>
        <w:t>ности проводки электромагнитного спуска отказа</w:t>
      </w:r>
      <w:r w:rsidRPr="00722885">
        <w:rPr>
          <w:color w:val="000000" w:themeColor="text1"/>
          <w:sz w:val="16"/>
          <w:szCs w:val="16"/>
        </w:rPr>
        <w:softHyphen/>
        <w:t>ли в работе пушки зав. № С-107 и № С-108. При по</w:t>
      </w:r>
      <w:r w:rsidRPr="00722885">
        <w:rPr>
          <w:color w:val="000000" w:themeColor="text1"/>
          <w:sz w:val="16"/>
          <w:szCs w:val="16"/>
        </w:rPr>
        <w:softHyphen/>
        <w:t>вторном вылете самолет пришлось заменить.</w:t>
      </w:r>
    </w:p>
    <w:p w14:paraId="6926FB9A"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Тем не менее, несмотря на выявленные не</w:t>
      </w:r>
      <w:r w:rsidRPr="00722885">
        <w:rPr>
          <w:color w:val="000000" w:themeColor="text1"/>
          <w:sz w:val="16"/>
          <w:szCs w:val="16"/>
        </w:rPr>
        <w:softHyphen/>
        <w:t>достатки пушек и их пушечных установок, в за</w:t>
      </w:r>
      <w:r w:rsidRPr="00722885">
        <w:rPr>
          <w:color w:val="000000" w:themeColor="text1"/>
          <w:sz w:val="16"/>
          <w:szCs w:val="16"/>
        </w:rPr>
        <w:softHyphen/>
        <w:t>ключение отчета был сделан вывод, что «в экс</w:t>
      </w:r>
      <w:r w:rsidRPr="00722885">
        <w:rPr>
          <w:color w:val="000000" w:themeColor="text1"/>
          <w:sz w:val="16"/>
          <w:szCs w:val="16"/>
        </w:rPr>
        <w:softHyphen/>
        <w:t>плуатации пушки просты и при грамотном уходе безотказны в работе», а «самолет Ил-2 с 2 пушка</w:t>
      </w:r>
      <w:r w:rsidRPr="00722885">
        <w:rPr>
          <w:color w:val="000000" w:themeColor="text1"/>
          <w:sz w:val="16"/>
          <w:szCs w:val="16"/>
        </w:rPr>
        <w:softHyphen/>
        <w:t>ми калибра 37 мм конструкции тов. Шпитального обладает мощным огнем и хорошей кучностью стрельбы». При этом «в целях сохранения само</w:t>
      </w:r>
      <w:r w:rsidRPr="00722885">
        <w:rPr>
          <w:color w:val="000000" w:themeColor="text1"/>
          <w:sz w:val="16"/>
          <w:szCs w:val="16"/>
        </w:rPr>
        <w:softHyphen/>
        <w:t>летов Ил-2 с пушками 37 мм и глубокого и всесто</w:t>
      </w:r>
      <w:r w:rsidRPr="00722885">
        <w:rPr>
          <w:color w:val="000000" w:themeColor="text1"/>
          <w:sz w:val="16"/>
          <w:szCs w:val="16"/>
        </w:rPr>
        <w:softHyphen/>
        <w:t>роннего изучения боевых свойств» считалось не</w:t>
      </w:r>
      <w:r w:rsidRPr="00722885">
        <w:rPr>
          <w:color w:val="000000" w:themeColor="text1"/>
          <w:sz w:val="16"/>
          <w:szCs w:val="16"/>
        </w:rPr>
        <w:softHyphen/>
        <w:t>обходимым «прикрыть их истребителями в соотно</w:t>
      </w:r>
      <w:r w:rsidRPr="00722885">
        <w:rPr>
          <w:color w:val="000000" w:themeColor="text1"/>
          <w:sz w:val="16"/>
          <w:szCs w:val="16"/>
        </w:rPr>
        <w:softHyphen/>
        <w:t>шении 1:2».</w:t>
      </w:r>
    </w:p>
    <w:p w14:paraId="178F3630"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Отчет подписали командир полка капитан Скля</w:t>
      </w:r>
      <w:r w:rsidRPr="00722885">
        <w:rPr>
          <w:color w:val="000000" w:themeColor="text1"/>
          <w:sz w:val="16"/>
          <w:szCs w:val="16"/>
        </w:rPr>
        <w:softHyphen/>
        <w:t>ров, начальник воздушно-стрелковой службы 228-й шад инженер-капитан Поветкин, инженер дивизии по вооружению старший техник-лейтенант Алек- сеенко и помощник начальника воздушно-стрел</w:t>
      </w:r>
      <w:r w:rsidRPr="00722885">
        <w:rPr>
          <w:color w:val="000000" w:themeColor="text1"/>
          <w:sz w:val="16"/>
          <w:szCs w:val="16"/>
        </w:rPr>
        <w:softHyphen/>
        <w:t>ковой службы 16-й воздушной армии старший тех</w:t>
      </w:r>
      <w:r w:rsidRPr="00722885">
        <w:rPr>
          <w:color w:val="000000" w:themeColor="text1"/>
          <w:sz w:val="16"/>
          <w:szCs w:val="16"/>
        </w:rPr>
        <w:softHyphen/>
        <w:t>ник-лейтенант Осьмачко.</w:t>
      </w:r>
    </w:p>
    <w:p w14:paraId="6C1E90D9"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отчетом и докладом команди</w:t>
      </w:r>
      <w:r w:rsidRPr="00722885">
        <w:rPr>
          <w:color w:val="000000" w:themeColor="text1"/>
          <w:sz w:val="16"/>
          <w:szCs w:val="16"/>
        </w:rPr>
        <w:softHyphen/>
        <w:t>ра 228-й шад полковника Г. О. Комарова, командую</w:t>
      </w:r>
      <w:r w:rsidRPr="00722885">
        <w:rPr>
          <w:color w:val="000000" w:themeColor="text1"/>
          <w:sz w:val="16"/>
          <w:szCs w:val="16"/>
        </w:rPr>
        <w:softHyphen/>
        <w:t>щий 16 ВА генерал-майор С. И. Руденко 30 декабря наложил резолюцию: «Предлагаю тренировать лет</w:t>
      </w:r>
      <w:r w:rsidRPr="00722885">
        <w:rPr>
          <w:color w:val="000000" w:themeColor="text1"/>
          <w:sz w:val="16"/>
          <w:szCs w:val="16"/>
        </w:rPr>
        <w:softHyphen/>
        <w:t>ный состав в строевой части. Начальник штаба — подготовить доклад командующему ВВС КА».</w:t>
      </w:r>
    </w:p>
    <w:p w14:paraId="6BA7C49F"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Тем временем группа противотанковых Ил-2 уже вылетала на боевые действия. Боевая работа велась с полевых аэродромов Б. Ивановка и стани</w:t>
      </w:r>
      <w:r w:rsidRPr="00722885">
        <w:rPr>
          <w:color w:val="000000" w:themeColor="text1"/>
          <w:sz w:val="16"/>
          <w:szCs w:val="16"/>
        </w:rPr>
        <w:softHyphen/>
        <w:t>ца Качалинская.</w:t>
      </w:r>
    </w:p>
    <w:p w14:paraId="1E2F0844"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Первый боевой вылет Ил-2 с пушками Ш-37 состоялся 25 декабря.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 сошка вылетел младший лейтенант Малявин на са</w:t>
      </w:r>
      <w:r w:rsidRPr="00722885">
        <w:rPr>
          <w:color w:val="000000" w:themeColor="text1"/>
          <w:sz w:val="16"/>
          <w:szCs w:val="16"/>
        </w:rPr>
        <w:softHyphen/>
        <w:t>молете зав. № 1879029. Штурмовиков прикрывали 4 Як-1 от 220-й иад.</w:t>
      </w:r>
    </w:p>
    <w:p w14:paraId="0D5CDFF7"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722885">
        <w:rPr>
          <w:color w:val="000000" w:themeColor="text1"/>
          <w:sz w:val="16"/>
          <w:szCs w:val="16"/>
          <w:lang w:val="en-US"/>
        </w:rPr>
        <w:t>Ju</w:t>
      </w:r>
      <w:r w:rsidRPr="00722885">
        <w:rPr>
          <w:color w:val="000000" w:themeColor="text1"/>
          <w:sz w:val="16"/>
          <w:szCs w:val="16"/>
        </w:rPr>
        <w:t>52. Экипажи отработали по ним с пикирования снача</w:t>
      </w:r>
      <w:r w:rsidRPr="00722885">
        <w:rPr>
          <w:color w:val="000000" w:themeColor="text1"/>
          <w:sz w:val="16"/>
          <w:szCs w:val="16"/>
        </w:rPr>
        <w:softHyphen/>
        <w:t>ла ракетными снарядами, затем пулеметно-пушеч- ным огнем и на выходе из пикирования бомбами ФАБ-100 и АО-25. Потери противника оценивались в 5 уничтоженных и поврежденных самолетов.</w:t>
      </w:r>
    </w:p>
    <w:p w14:paraId="3F08B03E"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районе цели был сильный зенитный огонь. Ис</w:t>
      </w:r>
      <w:r w:rsidRPr="00722885">
        <w:rPr>
          <w:color w:val="000000" w:themeColor="text1"/>
          <w:sz w:val="16"/>
          <w:szCs w:val="16"/>
        </w:rPr>
        <w:softHyphen/>
        <w:t>требительной авиации противника экипажи не на</w:t>
      </w:r>
      <w:r w:rsidRPr="00722885">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4B5E0620"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711DDE07"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отходе от цели был потерян из виду проти</w:t>
      </w:r>
      <w:r w:rsidRPr="00722885">
        <w:rPr>
          <w:color w:val="000000" w:themeColor="text1"/>
          <w:sz w:val="16"/>
          <w:szCs w:val="16"/>
        </w:rPr>
        <w:softHyphen/>
        <w:t>вотанковый Ил-2. На свой аэродром младший лей</w:t>
      </w:r>
      <w:r w:rsidRPr="00722885">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722885">
        <w:rPr>
          <w:color w:val="000000" w:themeColor="text1"/>
          <w:sz w:val="16"/>
          <w:szCs w:val="16"/>
        </w:rPr>
        <w:softHyphen/>
        <w:t>ного пункта Кузьмичи. Поиски самолета и летчика в этом районе ничего не дали.</w:t>
      </w:r>
    </w:p>
    <w:p w14:paraId="21DB9BAB"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00EFC2F8"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722885">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09176164"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Первой под прикрытием 2 Як-1 от 220-й иад ра</w:t>
      </w:r>
      <w:r w:rsidRPr="00722885">
        <w:rPr>
          <w:color w:val="000000" w:themeColor="text1"/>
          <w:sz w:val="16"/>
          <w:szCs w:val="16"/>
        </w:rPr>
        <w:softHyphen/>
        <w:t>ботала пятерка капитана Гребенькова. Удар нано</w:t>
      </w:r>
      <w:r w:rsidRPr="00722885">
        <w:rPr>
          <w:color w:val="000000" w:themeColor="text1"/>
          <w:sz w:val="16"/>
          <w:szCs w:val="16"/>
        </w:rPr>
        <w:softHyphen/>
        <w:t>сился в период 12.13—12.18 по аэродрому Питом</w:t>
      </w:r>
      <w:r w:rsidRPr="00722885">
        <w:rPr>
          <w:color w:val="000000" w:themeColor="text1"/>
          <w:sz w:val="16"/>
          <w:szCs w:val="16"/>
        </w:rPr>
        <w:softHyphen/>
        <w:t xml:space="preserve">ник, на котором к этому времени находилось до 15 самолетов </w:t>
      </w:r>
      <w:r w:rsidRPr="00722885">
        <w:rPr>
          <w:color w:val="000000" w:themeColor="text1"/>
          <w:sz w:val="16"/>
          <w:szCs w:val="16"/>
          <w:lang w:val="en-US"/>
        </w:rPr>
        <w:t>Ju</w:t>
      </w:r>
      <w:r w:rsidRPr="00722885">
        <w:rPr>
          <w:color w:val="000000" w:themeColor="text1"/>
          <w:sz w:val="16"/>
          <w:szCs w:val="16"/>
        </w:rPr>
        <w:t>52. По докладам экипажей и ведуще</w:t>
      </w:r>
      <w:r w:rsidRPr="00722885">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722885">
        <w:rPr>
          <w:color w:val="000000" w:themeColor="text1"/>
          <w:sz w:val="16"/>
          <w:szCs w:val="16"/>
        </w:rPr>
        <w:softHyphen/>
        <w:t>нем из пушек Ш-37 с дистанции 500—600 м зажег один «Юнкерс».</w:t>
      </w:r>
    </w:p>
    <w:p w14:paraId="60FFDCC5"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722885">
        <w:rPr>
          <w:color w:val="000000" w:themeColor="text1"/>
          <w:sz w:val="16"/>
          <w:szCs w:val="16"/>
        </w:rPr>
        <w:softHyphen/>
        <w:t>ты кок винта и правая плоскость крыла.</w:t>
      </w:r>
    </w:p>
    <w:p w14:paraId="52C553AF"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Вторая группа (ведущий лейтенант Михайлен- ков) — под прикрытием 6 Як-1 от 220-й иад в пе</w:t>
      </w:r>
      <w:r w:rsidRPr="00722885">
        <w:rPr>
          <w:color w:val="000000" w:themeColor="text1"/>
          <w:sz w:val="16"/>
          <w:szCs w:val="16"/>
        </w:rPr>
        <w:softHyphen/>
        <w:t xml:space="preserve">риод 13.22—13.27 атаковала до 10—15 самолетов </w:t>
      </w:r>
      <w:r w:rsidRPr="00722885">
        <w:rPr>
          <w:color w:val="000000" w:themeColor="text1"/>
          <w:sz w:val="16"/>
          <w:szCs w:val="16"/>
          <w:lang w:val="en-US"/>
        </w:rPr>
        <w:t>Ju</w:t>
      </w:r>
      <w:r w:rsidRPr="00722885">
        <w:rPr>
          <w:color w:val="000000" w:themeColor="text1"/>
          <w:sz w:val="16"/>
          <w:szCs w:val="16"/>
        </w:rPr>
        <w:t>52 на аэродроме Большая Россошка. Потери про</w:t>
      </w:r>
      <w:r w:rsidRPr="00722885">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722885">
        <w:rPr>
          <w:color w:val="000000" w:themeColor="text1"/>
          <w:sz w:val="16"/>
          <w:szCs w:val="16"/>
        </w:rPr>
        <w:softHyphen/>
        <w:t>телей противника летчики не наблюдали. Свои по</w:t>
      </w:r>
      <w:r w:rsidRPr="00722885">
        <w:rPr>
          <w:color w:val="000000" w:themeColor="text1"/>
          <w:sz w:val="16"/>
          <w:szCs w:val="16"/>
        </w:rPr>
        <w:softHyphen/>
        <w:t>тери составили 1 Ил-2 (зав. № 0915), который был подбит над целью огнем «эрликонов» и предполо</w:t>
      </w:r>
      <w:r w:rsidRPr="00722885">
        <w:rPr>
          <w:color w:val="000000" w:themeColor="text1"/>
          <w:sz w:val="16"/>
          <w:szCs w:val="16"/>
        </w:rPr>
        <w:softHyphen/>
        <w:t>жительно сел на территории противника при отхо</w:t>
      </w:r>
      <w:r w:rsidRPr="00722885">
        <w:rPr>
          <w:color w:val="000000" w:themeColor="text1"/>
          <w:sz w:val="16"/>
          <w:szCs w:val="16"/>
        </w:rPr>
        <w:softHyphen/>
        <w:t>де от цели. Сержант Меркушев с боевого задания не вернулся, пропал без вести.</w:t>
      </w:r>
    </w:p>
    <w:p w14:paraId="7728481F"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Стандартная боевая нагрузка самолетов Ил-2 с пушками Ш-37 включала 100 кг бомб (4 АО-25), 8 РС-82, полный боекомплект патронов и снаря</w:t>
      </w:r>
      <w:r w:rsidRPr="00722885">
        <w:rPr>
          <w:color w:val="000000" w:themeColor="text1"/>
          <w:sz w:val="16"/>
          <w:szCs w:val="16"/>
        </w:rPr>
        <w:softHyphen/>
        <w:t>дов. Маневренность самолетов при такой нагруз</w:t>
      </w:r>
      <w:r w:rsidRPr="00722885">
        <w:rPr>
          <w:color w:val="000000" w:themeColor="text1"/>
          <w:sz w:val="16"/>
          <w:szCs w:val="16"/>
        </w:rPr>
        <w:softHyphen/>
        <w:t>ке практически ничем не отличалась от серийных Ил-2 с пушками ВЯ и ШВАК.</w:t>
      </w:r>
    </w:p>
    <w:p w14:paraId="5F63CE83"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«большими» пушками шли на задание в одном боевом строю с серийными штур</w:t>
      </w:r>
      <w:r w:rsidRPr="00722885">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12F65E2B"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докладам вылетавших на Ил-2 с Ш-37 лет</w:t>
      </w:r>
      <w:r w:rsidRPr="00722885">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108764A7"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722885">
        <w:rPr>
          <w:color w:val="000000" w:themeColor="text1"/>
          <w:sz w:val="16"/>
          <w:szCs w:val="16"/>
        </w:rPr>
        <w:softHyphen/>
        <w:t>ры наносились в период 12.42—13.00 двумя груп</w:t>
      </w:r>
      <w:r w:rsidRPr="00722885">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722885">
        <w:rPr>
          <w:color w:val="000000" w:themeColor="text1"/>
          <w:sz w:val="16"/>
          <w:szCs w:val="16"/>
        </w:rPr>
        <w:softHyphen/>
        <w:t>нили 3 захода на цели из боевого порядка круг. Ис</w:t>
      </w:r>
      <w:r w:rsidRPr="00722885">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352D03A8"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1AF20539"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посадки сержант Зыков доложил, что «ма</w:t>
      </w:r>
      <w:r w:rsidRPr="00722885">
        <w:rPr>
          <w:color w:val="000000" w:themeColor="text1"/>
          <w:sz w:val="16"/>
          <w:szCs w:val="16"/>
        </w:rPr>
        <w:softHyphen/>
        <w:t>неврирует самолет хорошо, при ведении огня пе</w:t>
      </w:r>
      <w:r w:rsidRPr="00722885">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722885">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722885">
        <w:rPr>
          <w:color w:val="000000" w:themeColor="text1"/>
          <w:sz w:val="16"/>
          <w:szCs w:val="16"/>
        </w:rPr>
        <w:softHyphen/>
        <w:t>денция самолета к развороту легко парируется ру</w:t>
      </w:r>
      <w:r w:rsidRPr="00722885">
        <w:rPr>
          <w:color w:val="000000" w:themeColor="text1"/>
          <w:sz w:val="16"/>
          <w:szCs w:val="16"/>
        </w:rPr>
        <w:softHyphen/>
        <w:t>лями». Эффективность стрельбы пушек по танкам и живой силе хорошая.</w:t>
      </w:r>
    </w:p>
    <w:p w14:paraId="51BF103B"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самолетах Игнатьева и Дунова пушки рабо</w:t>
      </w:r>
      <w:r w:rsidRPr="00722885">
        <w:rPr>
          <w:color w:val="000000" w:themeColor="text1"/>
          <w:sz w:val="16"/>
          <w:szCs w:val="16"/>
        </w:rPr>
        <w:softHyphen/>
        <w:t>тали отлично. Летчикам удалось расстрелять весь боекомплект к ним.</w:t>
      </w:r>
    </w:p>
    <w:p w14:paraId="29DE8DF0"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Отметим, что на Ил-2 Игнатьева, помимо ракет</w:t>
      </w:r>
      <w:r w:rsidRPr="00722885">
        <w:rPr>
          <w:color w:val="000000" w:themeColor="text1"/>
          <w:sz w:val="16"/>
          <w:szCs w:val="16"/>
        </w:rPr>
        <w:softHyphen/>
        <w:t>ных снарядов и полного боекомплекта к пушкам и пулеметам, были подвешены 2 фугасные авиабом</w:t>
      </w:r>
      <w:r w:rsidRPr="00722885">
        <w:rPr>
          <w:color w:val="000000" w:themeColor="text1"/>
          <w:sz w:val="16"/>
          <w:szCs w:val="16"/>
        </w:rPr>
        <w:softHyphen/>
        <w:t>бы ФАБ-100. При этом самолет хорошо маневриро</w:t>
      </w:r>
      <w:r w:rsidRPr="00722885">
        <w:rPr>
          <w:color w:val="000000" w:themeColor="text1"/>
          <w:sz w:val="16"/>
          <w:szCs w:val="16"/>
        </w:rPr>
        <w:softHyphen/>
        <w:t>вал и управлялся при всех условиях боя.</w:t>
      </w:r>
    </w:p>
    <w:p w14:paraId="59F7F63F"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 целям противника (ско</w:t>
      </w:r>
      <w:r w:rsidRPr="00722885">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722885">
        <w:rPr>
          <w:color w:val="000000" w:themeColor="text1"/>
          <w:sz w:val="16"/>
          <w:szCs w:val="16"/>
        </w:rPr>
        <w:softHyphen/>
        <w:t>та Кадомцева работала в районе балки Взрубная в период 14.10—14.20 под прикрытием 6 Як-1, а пя</w:t>
      </w:r>
      <w:r w:rsidRPr="00722885">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18AEA25C"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отходе от цели в районе Дмитриевка имел место воздушный бой с немецкими истребителя</w:t>
      </w:r>
      <w:r w:rsidRPr="00722885">
        <w:rPr>
          <w:color w:val="000000" w:themeColor="text1"/>
          <w:sz w:val="16"/>
          <w:szCs w:val="16"/>
        </w:rPr>
        <w:softHyphen/>
        <w:t xml:space="preserve">ми. Пара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G</w:t>
      </w:r>
      <w:r w:rsidRPr="00722885">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722885">
        <w:rPr>
          <w:color w:val="000000" w:themeColor="text1"/>
          <w:sz w:val="16"/>
          <w:szCs w:val="16"/>
        </w:rPr>
        <w:softHyphen/>
        <w:t>временно заметил противника. После этого в воз</w:t>
      </w:r>
      <w:r w:rsidRPr="00722885">
        <w:rPr>
          <w:color w:val="000000" w:themeColor="text1"/>
          <w:sz w:val="16"/>
          <w:szCs w:val="16"/>
        </w:rPr>
        <w:softHyphen/>
        <w:t>душный бой вступили истребители прикрытия, а штурмовики встали в оборонительный круг. По</w:t>
      </w:r>
      <w:r w:rsidRPr="00722885">
        <w:rPr>
          <w:color w:val="000000" w:themeColor="text1"/>
          <w:sz w:val="16"/>
          <w:szCs w:val="16"/>
        </w:rPr>
        <w:softHyphen/>
        <w:t>сле ухода немецких истребителей Ил-2 перестрои</w:t>
      </w:r>
      <w:r w:rsidRPr="00722885">
        <w:rPr>
          <w:color w:val="000000" w:themeColor="text1"/>
          <w:sz w:val="16"/>
          <w:szCs w:val="16"/>
        </w:rPr>
        <w:softHyphen/>
        <w:t>лись в пеленг и встали на обратный маршрут.</w:t>
      </w:r>
    </w:p>
    <w:p w14:paraId="7E97643B"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До генерального наступления под Сталингра</w:t>
      </w:r>
      <w:r w:rsidRPr="00722885">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722885">
        <w:rPr>
          <w:color w:val="000000" w:themeColor="text1"/>
          <w:sz w:val="16"/>
          <w:szCs w:val="16"/>
        </w:rPr>
        <w:softHyphen/>
        <w:t>товым по данным разведки 228-й шад к вылету на боевое задание 2—4 экипажами.</w:t>
      </w:r>
    </w:p>
    <w:p w14:paraId="10ED3036"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722885">
        <w:rPr>
          <w:color w:val="000000" w:themeColor="text1"/>
          <w:sz w:val="16"/>
          <w:szCs w:val="16"/>
        </w:rPr>
        <w:softHyphen/>
        <w:t>ронительной полосы, а также по аэродромам и по</w:t>
      </w:r>
      <w:r w:rsidRPr="00722885">
        <w:rPr>
          <w:color w:val="000000" w:themeColor="text1"/>
          <w:sz w:val="16"/>
          <w:szCs w:val="16"/>
        </w:rPr>
        <w:softHyphen/>
        <w:t>садочным площадкам.</w:t>
      </w:r>
    </w:p>
    <w:p w14:paraId="765F35FF"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37-мм пушками принимали участие в боевой работе полка до полной ликви</w:t>
      </w:r>
      <w:r w:rsidRPr="00722885">
        <w:rPr>
          <w:color w:val="000000" w:themeColor="text1"/>
          <w:sz w:val="16"/>
          <w:szCs w:val="16"/>
        </w:rPr>
        <w:softHyphen/>
        <w:t>дации группировки немецких войск под Сталингра</w:t>
      </w:r>
      <w:r w:rsidRPr="00722885">
        <w:rPr>
          <w:color w:val="000000" w:themeColor="text1"/>
          <w:sz w:val="16"/>
          <w:szCs w:val="16"/>
        </w:rPr>
        <w:softHyphen/>
        <w:t>дом. Как и прежде, противотанковые Ил-2 ходили на задания в группах вместе с серийными самоле</w:t>
      </w:r>
      <w:r w:rsidRPr="00722885">
        <w:rPr>
          <w:color w:val="000000" w:themeColor="text1"/>
          <w:sz w:val="16"/>
          <w:szCs w:val="16"/>
        </w:rPr>
        <w:softHyphen/>
        <w:t>тами. Группы состояли из 2—6 самолетов, в кото</w:t>
      </w:r>
      <w:r w:rsidRPr="00722885">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3DA7622F"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596E8A4D"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722885">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00BC9507"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10 января в ходе боевого вылета 6 Ил-2 (веду</w:t>
      </w:r>
      <w:r w:rsidRPr="00722885">
        <w:rPr>
          <w:color w:val="000000" w:themeColor="text1"/>
          <w:sz w:val="16"/>
          <w:szCs w:val="16"/>
        </w:rPr>
        <w:softHyphen/>
        <w:t>щий капитан Гребеньков) под прикрытием 4 Як-1 от 283-й иад в период 11.21—11.29 в район насе</w:t>
      </w:r>
      <w:r w:rsidRPr="00722885">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722885">
        <w:rPr>
          <w:color w:val="000000" w:themeColor="text1"/>
          <w:sz w:val="16"/>
          <w:szCs w:val="16"/>
        </w:rPr>
        <w:softHyphen/>
        <w:t>жен прямым попаданием бомбы, сброшенной с са</w:t>
      </w:r>
      <w:r w:rsidRPr="00722885">
        <w:rPr>
          <w:color w:val="000000" w:themeColor="text1"/>
          <w:sz w:val="16"/>
          <w:szCs w:val="16"/>
        </w:rPr>
        <w:softHyphen/>
        <w:t xml:space="preserve">молета </w:t>
      </w:r>
      <w:r w:rsidRPr="00722885">
        <w:rPr>
          <w:color w:val="000000" w:themeColor="text1"/>
          <w:sz w:val="16"/>
          <w:szCs w:val="16"/>
          <w:lang w:val="en-US"/>
        </w:rPr>
        <w:t>Ju</w:t>
      </w:r>
      <w:r w:rsidRPr="00722885">
        <w:rPr>
          <w:color w:val="000000" w:themeColor="text1"/>
          <w:sz w:val="16"/>
          <w:szCs w:val="16"/>
        </w:rPr>
        <w:t>88».</w:t>
      </w:r>
    </w:p>
    <w:p w14:paraId="5DADD3FB"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На отходе от цели группа была атакована парой </w:t>
      </w:r>
      <w:r w:rsidRPr="00722885">
        <w:rPr>
          <w:color w:val="000000" w:themeColor="text1"/>
          <w:sz w:val="16"/>
          <w:szCs w:val="16"/>
          <w:lang w:val="en-US"/>
        </w:rPr>
        <w:t>Bf</w:t>
      </w:r>
      <w:r w:rsidRPr="00722885">
        <w:rPr>
          <w:color w:val="000000" w:themeColor="text1"/>
          <w:sz w:val="16"/>
          <w:szCs w:val="16"/>
        </w:rPr>
        <w:t xml:space="preserve"> 109</w:t>
      </w:r>
      <w:r w:rsidRPr="00722885">
        <w:rPr>
          <w:color w:val="000000" w:themeColor="text1"/>
          <w:sz w:val="16"/>
          <w:szCs w:val="16"/>
          <w:lang w:val="en-US"/>
        </w:rPr>
        <w:t>F</w:t>
      </w:r>
      <w:r w:rsidRPr="00722885">
        <w:rPr>
          <w:color w:val="000000" w:themeColor="text1"/>
          <w:sz w:val="16"/>
          <w:szCs w:val="16"/>
        </w:rPr>
        <w:t>. В результате Ил-2 зав. № 8029 с пушками</w:t>
      </w:r>
    </w:p>
    <w:p w14:paraId="70AA24FD"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4A59FD4A"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722885">
        <w:rPr>
          <w:color w:val="000000" w:themeColor="text1"/>
          <w:sz w:val="16"/>
          <w:szCs w:val="16"/>
        </w:rPr>
        <w:softHyphen/>
        <w:t>ной группировки в районе Сталинграда вплоть до 2 февраля. Однако войсковые испытания офи</w:t>
      </w:r>
      <w:r w:rsidRPr="00722885">
        <w:rPr>
          <w:color w:val="000000" w:themeColor="text1"/>
          <w:sz w:val="16"/>
          <w:szCs w:val="16"/>
        </w:rPr>
        <w:softHyphen/>
        <w:t>циально были завершены 22 января. К этому вре</w:t>
      </w:r>
      <w:r w:rsidRPr="00722885">
        <w:rPr>
          <w:color w:val="000000" w:themeColor="text1"/>
          <w:sz w:val="16"/>
          <w:szCs w:val="16"/>
        </w:rPr>
        <w:softHyphen/>
        <w:t>мени Ил-2 с Ш-37 совершили 75 боевых само</w:t>
      </w:r>
      <w:r w:rsidRPr="00722885">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722885">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722885">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722885">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722885">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722885">
        <w:rPr>
          <w:color w:val="000000" w:themeColor="text1"/>
          <w:sz w:val="16"/>
          <w:szCs w:val="16"/>
        </w:rPr>
        <w:softHyphen/>
        <w:t>нил только один боевой вылет, и его результаты при составлении отчета по испытаниям не учиты</w:t>
      </w:r>
      <w:r w:rsidRPr="00722885">
        <w:rPr>
          <w:color w:val="000000" w:themeColor="text1"/>
          <w:sz w:val="16"/>
          <w:szCs w:val="16"/>
        </w:rPr>
        <w:softHyphen/>
        <w:t>вались.</w:t>
      </w:r>
    </w:p>
    <w:p w14:paraId="7956D1A0"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пушками Ш-37 «ходили на бое</w:t>
      </w:r>
      <w:r w:rsidRPr="00722885">
        <w:rPr>
          <w:color w:val="000000" w:themeColor="text1"/>
          <w:sz w:val="16"/>
          <w:szCs w:val="16"/>
        </w:rPr>
        <w:softHyphen/>
        <w:t>вые задания, имея запас боеприпасов 80 для 37-мм пушек, 1500 для пулеметов ШКАС, 8 РС-82 и 2 бом</w:t>
      </w:r>
      <w:r w:rsidRPr="00722885">
        <w:rPr>
          <w:color w:val="000000" w:themeColor="text1"/>
          <w:sz w:val="16"/>
          <w:szCs w:val="16"/>
        </w:rPr>
        <w:softHyphen/>
        <w:t>бы ФАБ-100 или 6 бомб АО-25».</w:t>
      </w:r>
    </w:p>
    <w:p w14:paraId="12B4EDD9"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Экипажи действовали главным образом по са</w:t>
      </w:r>
      <w:r w:rsidRPr="00722885">
        <w:rPr>
          <w:color w:val="000000" w:themeColor="text1"/>
          <w:sz w:val="16"/>
          <w:szCs w:val="16"/>
        </w:rPr>
        <w:softHyphen/>
        <w:t>молетам на аэродромах и автотранспорту против</w:t>
      </w:r>
      <w:r w:rsidRPr="00722885">
        <w:rPr>
          <w:color w:val="000000" w:themeColor="text1"/>
          <w:sz w:val="16"/>
          <w:szCs w:val="16"/>
        </w:rPr>
        <w:softHyphen/>
        <w:t>ника. В отдельных случаях — по огневым точкам на поле боя, дерево-земляным оборонительным со</w:t>
      </w:r>
      <w:r w:rsidRPr="00722885">
        <w:rPr>
          <w:color w:val="000000" w:themeColor="text1"/>
          <w:sz w:val="16"/>
          <w:szCs w:val="16"/>
        </w:rPr>
        <w:softHyphen/>
        <w:t>оружениям и бронетехнике. Общий расход боепри</w:t>
      </w:r>
      <w:r w:rsidRPr="00722885">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722885">
        <w:rPr>
          <w:color w:val="000000" w:themeColor="text1"/>
          <w:sz w:val="16"/>
          <w:szCs w:val="16"/>
        </w:rPr>
        <w:softHyphen/>
        <w:t>бомб типа ФАБ-100 — 107, осколочных авиабомб типа АО-25 — 87.</w:t>
      </w:r>
    </w:p>
    <w:p w14:paraId="42156816"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Атаки наземных целей производились с плани</w:t>
      </w:r>
      <w:r w:rsidRPr="00722885">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722885">
        <w:rPr>
          <w:color w:val="000000" w:themeColor="text1"/>
          <w:sz w:val="16"/>
          <w:szCs w:val="16"/>
        </w:rPr>
        <w:softHyphen/>
        <w:t>гим данным — бронемашину), но достоверность поражения целей подтвердить не могли.</w:t>
      </w:r>
    </w:p>
    <w:p w14:paraId="4A46EE0E"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эти данные не входят потери противника от бомб, РС и пулеметов на этих же самолетах. Необ</w:t>
      </w:r>
      <w:r w:rsidRPr="00722885">
        <w:rPr>
          <w:color w:val="000000" w:themeColor="text1"/>
          <w:sz w:val="16"/>
          <w:szCs w:val="16"/>
        </w:rPr>
        <w:softHyphen/>
        <w:t>ходимо отметить, что «танков, как основных целей для этих пушек, встречалось мало».</w:t>
      </w:r>
    </w:p>
    <w:p w14:paraId="1E2775AA"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 время войсковых испытаний отмечалось не</w:t>
      </w:r>
      <w:r w:rsidRPr="00722885">
        <w:rPr>
          <w:color w:val="000000" w:themeColor="text1"/>
          <w:sz w:val="16"/>
          <w:szCs w:val="16"/>
        </w:rPr>
        <w:softHyphen/>
        <w:t>сколько случаев применения Ш-37 по воздушным целям, но все они, вследствие недостаточной ско</w:t>
      </w:r>
      <w:r w:rsidRPr="00722885">
        <w:rPr>
          <w:color w:val="000000" w:themeColor="text1"/>
          <w:sz w:val="16"/>
          <w:szCs w:val="16"/>
        </w:rPr>
        <w:softHyphen/>
        <w:t>рострельности пушки, были неудачными.</w:t>
      </w:r>
    </w:p>
    <w:p w14:paraId="6AD9C7C8"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одном случае Ил-2 на высоте 800 м был атако</w:t>
      </w:r>
      <w:r w:rsidRPr="00722885">
        <w:rPr>
          <w:color w:val="000000" w:themeColor="text1"/>
          <w:sz w:val="16"/>
          <w:szCs w:val="16"/>
        </w:rPr>
        <w:softHyphen/>
        <w:t xml:space="preserve">ван в лоб истребителем Люфтваффе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С дис</w:t>
      </w:r>
      <w:r w:rsidRPr="00722885">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722885">
        <w:rPr>
          <w:color w:val="000000" w:themeColor="text1"/>
          <w:sz w:val="16"/>
          <w:szCs w:val="16"/>
          <w:lang w:val="en-US"/>
        </w:rPr>
        <w:t>Ju</w:t>
      </w:r>
      <w:r w:rsidRPr="00722885">
        <w:rPr>
          <w:color w:val="000000" w:themeColor="text1"/>
          <w:sz w:val="16"/>
          <w:szCs w:val="16"/>
        </w:rPr>
        <w:t>52/3</w:t>
      </w:r>
      <w:r w:rsidRPr="00722885">
        <w:rPr>
          <w:color w:val="000000" w:themeColor="text1"/>
          <w:sz w:val="16"/>
          <w:szCs w:val="16"/>
          <w:lang w:val="en-US"/>
        </w:rPr>
        <w:t>m</w:t>
      </w:r>
      <w:r w:rsidRPr="00722885">
        <w:rPr>
          <w:color w:val="000000" w:themeColor="text1"/>
          <w:sz w:val="16"/>
          <w:szCs w:val="16"/>
        </w:rPr>
        <w:t>. Огонь из Ш-37 велся короткими очере</w:t>
      </w:r>
      <w:r w:rsidRPr="00722885">
        <w:rPr>
          <w:color w:val="000000" w:themeColor="text1"/>
          <w:sz w:val="16"/>
          <w:szCs w:val="16"/>
        </w:rPr>
        <w:softHyphen/>
        <w:t>дями по 3—4 снаряда с дистанции 600—300 м. Всего было выпущено до 20—30 снарядов. Попа</w:t>
      </w:r>
      <w:r w:rsidRPr="00722885">
        <w:rPr>
          <w:color w:val="000000" w:themeColor="text1"/>
          <w:sz w:val="16"/>
          <w:szCs w:val="16"/>
        </w:rPr>
        <w:softHyphen/>
        <w:t>даний в немецкий самолет не было. Летчики на</w:t>
      </w:r>
      <w:r w:rsidRPr="00722885">
        <w:rPr>
          <w:color w:val="000000" w:themeColor="text1"/>
          <w:sz w:val="16"/>
          <w:szCs w:val="16"/>
        </w:rPr>
        <w:softHyphen/>
        <w:t>блюдали, что «снаряды ложатся правее и левее плоскостей самолета». В итоге «Юнкерс» ушел в облака.</w:t>
      </w:r>
    </w:p>
    <w:p w14:paraId="3FD2395E"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Средний расход боекомплекта к пушкам Ш-37 за один самолето-вылет составил 37,6%, что соот</w:t>
      </w:r>
      <w:r w:rsidRPr="00722885">
        <w:rPr>
          <w:color w:val="000000" w:themeColor="text1"/>
          <w:sz w:val="16"/>
          <w:szCs w:val="16"/>
        </w:rPr>
        <w:softHyphen/>
        <w:t>ветствует средней продолжительности непрерыв</w:t>
      </w:r>
      <w:r w:rsidRPr="00722885">
        <w:rPr>
          <w:color w:val="000000" w:themeColor="text1"/>
          <w:sz w:val="16"/>
          <w:szCs w:val="16"/>
        </w:rPr>
        <w:softHyphen/>
        <w:t>ной стрельбы всего 5 секунд. Это, с одной сторо</w:t>
      </w:r>
      <w:r w:rsidRPr="00722885">
        <w:rPr>
          <w:color w:val="000000" w:themeColor="text1"/>
          <w:sz w:val="16"/>
          <w:szCs w:val="16"/>
        </w:rPr>
        <w:softHyphen/>
        <w:t>ны, говорит о том, что целей, достойных для пушек Ш-37, в боевых вылетах было мало, а с другой сто</w:t>
      </w:r>
      <w:r w:rsidRPr="00722885">
        <w:rPr>
          <w:color w:val="000000" w:themeColor="text1"/>
          <w:sz w:val="16"/>
          <w:szCs w:val="16"/>
        </w:rPr>
        <w:softHyphen/>
        <w:t>роны, указывает на недостаточную эффективность стрельбы с самолета Ил-2 из такой пушки по точеч</w:t>
      </w:r>
      <w:r w:rsidRPr="00722885">
        <w:rPr>
          <w:color w:val="000000" w:themeColor="text1"/>
          <w:sz w:val="16"/>
          <w:szCs w:val="16"/>
        </w:rPr>
        <w:softHyphen/>
        <w:t>ным малоразмерным целям.</w:t>
      </w:r>
    </w:p>
    <w:p w14:paraId="7EEFB2C5"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722885">
        <w:rPr>
          <w:color w:val="000000" w:themeColor="text1"/>
          <w:sz w:val="16"/>
          <w:szCs w:val="16"/>
        </w:rPr>
        <w:softHyphen/>
        <w:t>ставил 54%. Из общего числа боевых вылетов, вы</w:t>
      </w:r>
      <w:r w:rsidRPr="00722885">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722885">
        <w:rPr>
          <w:color w:val="000000" w:themeColor="text1"/>
          <w:sz w:val="16"/>
          <w:szCs w:val="16"/>
        </w:rPr>
        <w:softHyphen/>
        <w:t>евое задание Ил-2 с пушками Ш-37 сопровождался отказом хотя бы одной из пушек.</w:t>
      </w:r>
    </w:p>
    <w:p w14:paraId="4CAA37C9"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состоянию на 25 января произошло 123 от</w:t>
      </w:r>
      <w:r w:rsidRPr="00722885">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722885">
        <w:rPr>
          <w:color w:val="000000" w:themeColor="text1"/>
          <w:sz w:val="16"/>
          <w:szCs w:val="16"/>
        </w:rPr>
        <w:softHyphen/>
        <w:t>од, в то время как «по техническим условиям для оружия допускается 0,2% задержек на полную жи</w:t>
      </w:r>
      <w:r w:rsidRPr="00722885">
        <w:rPr>
          <w:color w:val="000000" w:themeColor="text1"/>
          <w:sz w:val="16"/>
          <w:szCs w:val="16"/>
        </w:rPr>
        <w:softHyphen/>
        <w:t>вучесть пушек».</w:t>
      </w:r>
    </w:p>
    <w:p w14:paraId="392AFC8D"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из всех задержек исключить задержки по вине установок и по вине обслуживающего пер</w:t>
      </w:r>
      <w:r w:rsidRPr="00722885">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722885">
        <w:rPr>
          <w:color w:val="000000" w:themeColor="text1"/>
          <w:sz w:val="16"/>
          <w:szCs w:val="16"/>
        </w:rPr>
        <w:softHyphen/>
        <w:t>новные поломки следующие: ударника — 6, план</w:t>
      </w:r>
      <w:r w:rsidRPr="00722885">
        <w:rPr>
          <w:color w:val="000000" w:themeColor="text1"/>
          <w:sz w:val="16"/>
          <w:szCs w:val="16"/>
        </w:rPr>
        <w:softHyphen/>
        <w:t>ки затвора — 4, бойка — 8, направляющей втулки ударника — 5, трещина в затыльнике — 5, непо</w:t>
      </w:r>
      <w:r w:rsidRPr="00722885">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722885">
        <w:rPr>
          <w:color w:val="000000" w:themeColor="text1"/>
          <w:sz w:val="16"/>
          <w:szCs w:val="16"/>
        </w:rPr>
        <w:softHyphen/>
        <w:t>лов потребовало бы 59 ударников».</w:t>
      </w:r>
    </w:p>
    <w:p w14:paraId="41278198"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722885">
        <w:rPr>
          <w:color w:val="000000" w:themeColor="text1"/>
          <w:sz w:val="16"/>
          <w:szCs w:val="16"/>
        </w:rPr>
        <w:softHyphen/>
        <w:t>дром в Вихлянцево. Соответственно, бригада спе</w:t>
      </w:r>
      <w:r w:rsidRPr="00722885">
        <w:rPr>
          <w:color w:val="000000" w:themeColor="text1"/>
          <w:sz w:val="16"/>
          <w:szCs w:val="16"/>
        </w:rPr>
        <w:softHyphen/>
        <w:t>циалистов от ОКБ-15 не могла оперативно устра</w:t>
      </w:r>
      <w:r w:rsidRPr="00722885">
        <w:rPr>
          <w:color w:val="000000" w:themeColor="text1"/>
          <w:sz w:val="16"/>
          <w:szCs w:val="16"/>
        </w:rPr>
        <w:softHyphen/>
        <w:t>нять отказы в работе и поломки пушек.</w:t>
      </w:r>
    </w:p>
    <w:p w14:paraId="23A36BED"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Очевидно, все «это нарушало нормальную бое</w:t>
      </w:r>
      <w:r w:rsidRPr="00722885">
        <w:rPr>
          <w:color w:val="000000" w:themeColor="text1"/>
          <w:sz w:val="16"/>
          <w:szCs w:val="16"/>
        </w:rPr>
        <w:softHyphen/>
        <w:t>вую работу полка, самолеты приходилось из-за не</w:t>
      </w:r>
      <w:r w:rsidRPr="00722885">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722885">
        <w:rPr>
          <w:color w:val="000000" w:themeColor="text1"/>
          <w:sz w:val="16"/>
          <w:szCs w:val="16"/>
        </w:rPr>
        <w:softHyphen/>
        <w:t>ко с остальным вооружением».</w:t>
      </w:r>
    </w:p>
    <w:p w14:paraId="4F70366B"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«Большое количество поломок, задержек и от</w:t>
      </w:r>
      <w:r w:rsidRPr="00722885">
        <w:rPr>
          <w:color w:val="000000" w:themeColor="text1"/>
          <w:sz w:val="16"/>
          <w:szCs w:val="16"/>
        </w:rPr>
        <w:softHyphen/>
        <w:t>казов в работе пушек вызвало у летчиков неприят</w:t>
      </w:r>
      <w:r w:rsidRPr="00722885">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1EE4801D"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722885">
        <w:rPr>
          <w:color w:val="000000" w:themeColor="text1"/>
          <w:sz w:val="16"/>
          <w:szCs w:val="16"/>
        </w:rPr>
        <w:softHyphen/>
        <w:t>жием».</w:t>
      </w:r>
    </w:p>
    <w:p w14:paraId="3F1398D3"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своих донесениях летчики отмечали, что «са</w:t>
      </w:r>
      <w:r w:rsidRPr="00722885">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722885">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722885">
        <w:rPr>
          <w:color w:val="000000" w:themeColor="text1"/>
          <w:sz w:val="16"/>
          <w:szCs w:val="16"/>
        </w:rPr>
        <w:softHyphen/>
        <w:t>нее управляем. Плохо держится в строю при ско</w:t>
      </w:r>
      <w:r w:rsidRPr="00722885">
        <w:rPr>
          <w:color w:val="000000" w:themeColor="text1"/>
          <w:sz w:val="16"/>
          <w:szCs w:val="16"/>
        </w:rPr>
        <w:softHyphen/>
        <w:t>ростях около 250—260 км/ч и ниже. Хорошо дер</w:t>
      </w:r>
      <w:r w:rsidRPr="00722885">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6DDAAAA5"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скоростях полета 250 км/ч «прицельную стрельбу из пушек вести трудно из-за сильной ви</w:t>
      </w:r>
      <w:r w:rsidRPr="00722885">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722885">
        <w:rPr>
          <w:color w:val="000000" w:themeColor="text1"/>
          <w:sz w:val="16"/>
          <w:szCs w:val="16"/>
        </w:rPr>
        <w:softHyphen/>
        <w:t>ется незначительно». При стрельбе с набором вы</w:t>
      </w:r>
      <w:r w:rsidRPr="00722885">
        <w:rPr>
          <w:color w:val="000000" w:themeColor="text1"/>
          <w:sz w:val="16"/>
          <w:szCs w:val="16"/>
        </w:rPr>
        <w:softHyphen/>
        <w:t>соты самолет резко теряет скорость. На пикирова</w:t>
      </w:r>
      <w:r w:rsidRPr="00722885">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722885">
        <w:rPr>
          <w:color w:val="000000" w:themeColor="text1"/>
          <w:sz w:val="16"/>
          <w:szCs w:val="16"/>
        </w:rPr>
        <w:softHyphen/>
        <w:t>рачивается в сторону стреляющей пушки, прицель</w:t>
      </w:r>
      <w:r w:rsidRPr="00722885">
        <w:rPr>
          <w:color w:val="000000" w:themeColor="text1"/>
          <w:sz w:val="16"/>
          <w:szCs w:val="16"/>
        </w:rPr>
        <w:softHyphen/>
        <w:t>ный огонь вести невозможно. Боковой перенос ог</w:t>
      </w:r>
      <w:r w:rsidRPr="00722885">
        <w:rPr>
          <w:color w:val="000000" w:themeColor="text1"/>
          <w:sz w:val="16"/>
          <w:szCs w:val="16"/>
        </w:rPr>
        <w:softHyphen/>
        <w:t>ня при пикировании затруднен, а «с высоты 400 м и ниже невозможен, ввиду инертности самолета».</w:t>
      </w:r>
    </w:p>
    <w:p w14:paraId="78D16D88"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заявлениям летчиков, «стволы пушек в по</w:t>
      </w:r>
      <w:r w:rsidRPr="00722885">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722885">
        <w:rPr>
          <w:color w:val="000000" w:themeColor="text1"/>
          <w:sz w:val="16"/>
          <w:szCs w:val="16"/>
        </w:rPr>
        <w:softHyphen/>
        <w:t>трудняет возможность вести прицельный огонь». Утверждалось, что «при боевом развороте на ско</w:t>
      </w:r>
      <w:r w:rsidRPr="00722885">
        <w:rPr>
          <w:color w:val="000000" w:themeColor="text1"/>
          <w:sz w:val="16"/>
          <w:szCs w:val="16"/>
        </w:rPr>
        <w:softHyphen/>
        <w:t>рости 270 км/ч самолет сильно трясет».</w:t>
      </w:r>
    </w:p>
    <w:p w14:paraId="1563E256"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722885">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722885">
        <w:rPr>
          <w:color w:val="000000" w:themeColor="text1"/>
          <w:sz w:val="16"/>
          <w:szCs w:val="16"/>
        </w:rPr>
        <w:softHyphen/>
        <w:t>ровано только 22 случая полного расстрела бое</w:t>
      </w:r>
      <w:r w:rsidRPr="00722885">
        <w:rPr>
          <w:color w:val="000000" w:themeColor="text1"/>
          <w:sz w:val="16"/>
          <w:szCs w:val="16"/>
        </w:rPr>
        <w:softHyphen/>
        <w:t>комплекта.</w:t>
      </w:r>
    </w:p>
    <w:p w14:paraId="33EEAE52"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эксплуатационной точки зрения пушка Ш-37 и пушечная установка оказались простыми и удоб</w:t>
      </w:r>
      <w:r w:rsidRPr="00722885">
        <w:rPr>
          <w:color w:val="000000" w:themeColor="text1"/>
          <w:sz w:val="16"/>
          <w:szCs w:val="16"/>
        </w:rPr>
        <w:softHyphen/>
        <w:t>ными в обслуживании даже в условиях зимы, ког</w:t>
      </w:r>
      <w:r w:rsidRPr="00722885">
        <w:rPr>
          <w:color w:val="000000" w:themeColor="text1"/>
          <w:sz w:val="16"/>
          <w:szCs w:val="16"/>
        </w:rPr>
        <w:softHyphen/>
        <w:t>да технический состав вынужден работать в ру</w:t>
      </w:r>
      <w:r w:rsidRPr="00722885">
        <w:rPr>
          <w:color w:val="000000" w:themeColor="text1"/>
          <w:sz w:val="16"/>
          <w:szCs w:val="16"/>
        </w:rPr>
        <w:softHyphen/>
        <w:t>кавицах и тяжелой одежде. При работе 2 человек чистка пушки требует не более 30 мин, заряд</w:t>
      </w:r>
      <w:r w:rsidRPr="00722885">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722885">
        <w:rPr>
          <w:color w:val="000000" w:themeColor="text1"/>
          <w:sz w:val="16"/>
          <w:szCs w:val="16"/>
        </w:rPr>
        <w:softHyphen/>
        <w:t>ра — 4—5 ч, шептала — 4 ч, собачки шептала — 3 ч. Технический состав полка особо отметил «не</w:t>
      </w:r>
      <w:r w:rsidRPr="00722885">
        <w:rPr>
          <w:color w:val="000000" w:themeColor="text1"/>
          <w:sz w:val="16"/>
          <w:szCs w:val="16"/>
        </w:rPr>
        <w:softHyphen/>
        <w:t>удобную конструкцию и плохое изготовление об</w:t>
      </w:r>
      <w:r w:rsidRPr="00722885">
        <w:rPr>
          <w:color w:val="000000" w:themeColor="text1"/>
          <w:sz w:val="16"/>
          <w:szCs w:val="16"/>
        </w:rPr>
        <w:softHyphen/>
        <w:t>текателей пушек — на шомпола их невозможно закрыть».</w:t>
      </w:r>
    </w:p>
    <w:p w14:paraId="66A258A7"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722885">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7D2FE8D7"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722885">
        <w:rPr>
          <w:color w:val="000000" w:themeColor="text1"/>
          <w:sz w:val="16"/>
          <w:szCs w:val="16"/>
        </w:rPr>
        <w:softHyphen/>
        <w:t>лись.</w:t>
      </w:r>
    </w:p>
    <w:p w14:paraId="320468B5"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лейтенант Воловиков в своем донесе</w:t>
      </w:r>
      <w:r w:rsidRPr="00722885">
        <w:rPr>
          <w:color w:val="000000" w:themeColor="text1"/>
          <w:sz w:val="16"/>
          <w:szCs w:val="16"/>
        </w:rPr>
        <w:softHyphen/>
        <w:t>нии указал, что «в серийном производстве Ил-2 с ШФК-37 выпускать нельзя». К его мнению присо</w:t>
      </w:r>
      <w:r w:rsidRPr="00722885">
        <w:rPr>
          <w:color w:val="000000" w:themeColor="text1"/>
          <w:sz w:val="16"/>
          <w:szCs w:val="16"/>
        </w:rPr>
        <w:softHyphen/>
        <w:t>единились старший сержант А. В. Дунов, сержант М. А. Сахариленко и старшина В. Ф. Игнатьев.</w:t>
      </w:r>
    </w:p>
    <w:p w14:paraId="6E31B11B"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722885">
        <w:rPr>
          <w:color w:val="000000" w:themeColor="text1"/>
          <w:sz w:val="16"/>
          <w:szCs w:val="16"/>
        </w:rPr>
        <w:softHyphen/>
        <w:t>го; 4) нужен более мощный мотор для противозе</w:t>
      </w:r>
      <w:r w:rsidRPr="00722885">
        <w:rPr>
          <w:color w:val="000000" w:themeColor="text1"/>
          <w:sz w:val="16"/>
          <w:szCs w:val="16"/>
        </w:rPr>
        <w:softHyphen/>
        <w:t>нитного маневра; 5) формировать отдельные диви</w:t>
      </w:r>
      <w:r w:rsidRPr="00722885">
        <w:rPr>
          <w:color w:val="000000" w:themeColor="text1"/>
          <w:sz w:val="16"/>
          <w:szCs w:val="16"/>
        </w:rPr>
        <w:softHyphen/>
        <w:t>зионные группы Ил-2 с пушками 37 мм или на полк давать 6 таких самолетов».</w:t>
      </w:r>
    </w:p>
    <w:p w14:paraId="03645259"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722885">
        <w:rPr>
          <w:color w:val="000000" w:themeColor="text1"/>
          <w:sz w:val="16"/>
          <w:szCs w:val="16"/>
        </w:rPr>
        <w:softHyphen/>
        <w:t>жанта Юсова».</w:t>
      </w:r>
    </w:p>
    <w:p w14:paraId="3AB7C56C"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с учетом этого в заключении «Доклада о войсковых испытаниях на боевое при</w:t>
      </w:r>
      <w:r w:rsidRPr="00722885">
        <w:rPr>
          <w:color w:val="000000" w:themeColor="text1"/>
          <w:sz w:val="16"/>
          <w:szCs w:val="16"/>
        </w:rPr>
        <w:softHyphen/>
        <w:t>менение самолетов Ил-2 АМ-38, вооруженных 37-мм пушками конструкции ОКБ-15» было записа</w:t>
      </w:r>
      <w:r w:rsidRPr="00722885">
        <w:rPr>
          <w:color w:val="000000" w:themeColor="text1"/>
          <w:sz w:val="16"/>
          <w:szCs w:val="16"/>
        </w:rPr>
        <w:softHyphen/>
        <w:t>но: «1. Самолеты с пушками ШФК-37, испытанные на боевое применение, не дали должной эффективно</w:t>
      </w:r>
      <w:r w:rsidRPr="00722885">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722885">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371D96B4"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боевых летчиков от 688-го шап и чле</w:t>
      </w:r>
      <w:r w:rsidRPr="00722885">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052B4266"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Уже 8 марта 1943 г. начальник 1-го отдела УЗ- СиМ ГУЗ ВВС инженер-полковник Ковалев в до</w:t>
      </w:r>
      <w:r w:rsidRPr="00722885">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722885">
        <w:rPr>
          <w:color w:val="000000" w:themeColor="text1"/>
          <w:sz w:val="16"/>
          <w:szCs w:val="16"/>
        </w:rPr>
        <w:softHyphen/>
        <w:t>вых испытаний самолетов Ил-2 с ШФК-37 37-мм пушки подлежат конструктивной доводке».</w:t>
      </w:r>
    </w:p>
    <w:p w14:paraId="679EEFB6"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722885">
        <w:rPr>
          <w:color w:val="000000" w:themeColor="text1"/>
          <w:sz w:val="16"/>
          <w:szCs w:val="16"/>
        </w:rPr>
        <w:softHyphen/>
        <w:t>шек ШФК-37 на самолетах Ил-2».</w:t>
      </w:r>
    </w:p>
    <w:p w14:paraId="575EFCD8" w14:textId="77777777" w:rsidR="00DC64AA" w:rsidRPr="00722885" w:rsidRDefault="00DC64A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722885">
        <w:rPr>
          <w:color w:val="000000" w:themeColor="text1"/>
          <w:sz w:val="16"/>
          <w:szCs w:val="16"/>
        </w:rPr>
        <w:softHyphen/>
        <w:t>готовить справку о ходе испытаний пушек калибра 37 мм ОКБ-16 на самолетах Ил-2 (17500).</w:t>
      </w:r>
    </w:p>
    <w:p w14:paraId="7216E19A" w14:textId="77777777" w:rsidR="00DC64AA" w:rsidRPr="00722885" w:rsidRDefault="00DC64AA" w:rsidP="00722885">
      <w:pPr>
        <w:pStyle w:val="12a"/>
        <w:shd w:val="clear" w:color="auto" w:fill="auto"/>
        <w:spacing w:after="0" w:line="240" w:lineRule="auto"/>
        <w:jc w:val="both"/>
        <w:rPr>
          <w:color w:val="000000" w:themeColor="text1"/>
          <w:sz w:val="16"/>
          <w:szCs w:val="16"/>
        </w:rPr>
      </w:pPr>
    </w:p>
    <w:p w14:paraId="72D9C9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12 Ту-2 бомбили скопление войск и техники у станции Сычевка, сбросив по 2000 кг бомб каждый. В конце декабря 132-го отдельный бомбардировочный полк на Ту-2 организовал налет на окруженный в Великих Луках немецкий гарнизон. Самолеты несли бомбы ФАБ-1000. Их сбросили с высоты 1000 м. Внизу остались двадцатиметровые воронки. В радиусе 50 - 70 м от места падения бомбы все было разрушено. Результаты налета признали "достаточно эффективными".</w:t>
      </w:r>
    </w:p>
    <w:p w14:paraId="281FBD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Летали с полевых аэродромов, устроенных на заснеженных полях, окруженных лесом. Взлетную полосу и рулежные дорожки утрамбовывали и плотно укатывали. Подготовка самолета к старту (в условиях зимы) занимала полтора-два часа. На земле машины рассредоточивали среди деревьев, укрывая сверху маскировочными сетями.</w:t>
      </w:r>
    </w:p>
    <w:p w14:paraId="64AB28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февраля 1943 г. полк перебросили на Юго-Западный фронт. 18 машин перебазировались на временный аэродром Кошары в 50 км южнее Миллерова. С 12 февраля полк совершил оттуда 39 вылетов на бомбометание. Здесь уже Ту-2 не поручали атаку войск у линии фронта. Используя большие дальность полета и бомбовую нагрузку, чем Пе-2, новые самолеты специализировались на налетах на железнодорожные узлы и аэродромы. Целями стали Запорожье, Днепропетровск, Дебальцево, Красноармейск, Сине- льниково, Ясиноватская.</w:t>
      </w:r>
    </w:p>
    <w:p w14:paraId="153897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распутица препятствовала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сбрасывали на Днепропетровск и Донецк (11988).</w:t>
      </w:r>
    </w:p>
    <w:p w14:paraId="370EA0A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73607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г. командир эскадрильи 667-го шап 292-й шад старший лейтенант Кузнецов благополучно возвратился с боевого задания со следующими повреждениями от зенитного огня: снарядами пробиты центроплан, фюзеляж и правая плоскость крыла, перебиты тяга управления правым элероном и тросы управления рулем поворота, в левой половине руля высоты имелась пробоина размерами 50x60 см, поврежден лонжерон стабилизатора, пробиты покрышка и камера правого колеса шасси. После ремонта в ПАРМ-1 самолет ввели в строй (11921).</w:t>
      </w:r>
    </w:p>
    <w:p w14:paraId="7EDAE01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DD3E0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декабря 1942-го, когда до нового года оставалось менее двух недель, в небе под Сталинградом появился новый истребитель Як-9. По началу немецкие пилоты, встретившись с ним в бою. приняли самолет за Як-1. Смущаю лишь отсутствие гаргрота за кабиной летчика и исключительная маневренность как на вертикалях, так в горизонтальной плоскости. Як-9 заходил в хвост основного истребителя противника Me-109F после трех-четырех виражей, а на вертикалях - после первого же боевого разворота (12046).</w:t>
      </w:r>
    </w:p>
    <w:p w14:paraId="3449D23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F12505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15 по 19 декабря 1942 были бои у хутора Верхне-Кумский, где отражалось немецкое выступление из Котельниково. Уничтожили 100 танков (2438,140).</w:t>
      </w:r>
    </w:p>
    <w:p w14:paraId="4CA1C518" w14:textId="77777777" w:rsidR="00BB6316" w:rsidRPr="00722885" w:rsidRDefault="00BB6316" w:rsidP="00722885">
      <w:pPr>
        <w:pStyle w:val="Iauiue"/>
        <w:jc w:val="both"/>
        <w:rPr>
          <w:color w:val="000000" w:themeColor="text1"/>
          <w:sz w:val="16"/>
          <w:szCs w:val="16"/>
        </w:rPr>
      </w:pPr>
    </w:p>
    <w:p w14:paraId="7513043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декабря 1942 катерники доложили о самой успешной с начала войны атаке (впрочем, не подтверждаемой противной стороной), в ходе которой №54 и 84 обнаружили в Анапе три немецкие баржи, 54-й выпустил торпеду, взрывом которой все они были уничтожены. В ответ, огнем с берега накрыли 84-й, который получил 47 пробоин и понес потери в людях, в частности, смертельно ранен был командир звена (6002).</w:t>
      </w:r>
    </w:p>
    <w:p w14:paraId="75963574" w14:textId="77777777" w:rsidR="00BB6316" w:rsidRPr="00722885" w:rsidRDefault="00BB6316" w:rsidP="00722885">
      <w:pPr>
        <w:pStyle w:val="Iauiue"/>
        <w:jc w:val="both"/>
        <w:rPr>
          <w:color w:val="000000" w:themeColor="text1"/>
          <w:sz w:val="16"/>
          <w:szCs w:val="16"/>
        </w:rPr>
      </w:pPr>
    </w:p>
    <w:p w14:paraId="1E8DA4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1942 вышло Постановление ГКО № 2629 Предложение т. Кузнецова о назначении т. Октябрьского Ф.С.членом Военного совета Закавказского фронта и заместителем командующего Зак.фронтом. РГАНИР, Фонд ГКО, д. 72, лл. 223 (11012).</w:t>
      </w:r>
    </w:p>
    <w:p w14:paraId="3AE2B72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6999B8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6DF058A4" w14:textId="77777777" w:rsidR="00BB6316" w:rsidRPr="00722885" w:rsidRDefault="00BB6316" w:rsidP="00722885">
      <w:pPr>
        <w:pStyle w:val="Iauiue"/>
        <w:jc w:val="both"/>
        <w:rPr>
          <w:iCs/>
          <w:color w:val="000000" w:themeColor="text1"/>
          <w:sz w:val="16"/>
          <w:szCs w:val="16"/>
        </w:rPr>
      </w:pPr>
    </w:p>
    <w:p w14:paraId="38857A2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декабря 1942 Ф.П.Головатов внес 100 тыс. первым на покупку самолета. 19 декабря 1942 И.В.С. прислал ему благодарственную телеграмму (271,211).</w:t>
      </w:r>
    </w:p>
    <w:p w14:paraId="73ACC7B8" w14:textId="77777777" w:rsidR="00BB6316" w:rsidRPr="00722885" w:rsidRDefault="00BB6316" w:rsidP="00722885">
      <w:pPr>
        <w:pStyle w:val="Iauiue"/>
        <w:jc w:val="both"/>
        <w:rPr>
          <w:color w:val="000000" w:themeColor="text1"/>
          <w:sz w:val="16"/>
          <w:szCs w:val="16"/>
        </w:rPr>
      </w:pPr>
    </w:p>
    <w:p w14:paraId="4676C09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декабря 1942 Ф.П.Головатый внес 100 тыс. руб. на самолет (271,211).</w:t>
      </w:r>
    </w:p>
    <w:p w14:paraId="54C79701" w14:textId="77777777" w:rsidR="00BB6316" w:rsidRPr="00722885" w:rsidRDefault="00BB6316" w:rsidP="00722885">
      <w:pPr>
        <w:pStyle w:val="Iauiue"/>
        <w:jc w:val="both"/>
        <w:rPr>
          <w:color w:val="000000" w:themeColor="text1"/>
          <w:sz w:val="16"/>
          <w:szCs w:val="16"/>
        </w:rPr>
      </w:pPr>
    </w:p>
    <w:p w14:paraId="07F8F103" w14:textId="77777777" w:rsidR="00C665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442A5ED" w14:textId="77777777" w:rsidR="00C66516" w:rsidRPr="00722885" w:rsidRDefault="00C66516" w:rsidP="00722885">
      <w:pPr>
        <w:pStyle w:val="Iauiue"/>
        <w:jc w:val="both"/>
        <w:rPr>
          <w:iCs/>
          <w:color w:val="000000" w:themeColor="text1"/>
          <w:sz w:val="16"/>
          <w:szCs w:val="16"/>
        </w:rPr>
      </w:pPr>
    </w:p>
    <w:p w14:paraId="3BE46AE3"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15 декабря</w:t>
      </w:r>
      <w:r w:rsidRPr="00722885">
        <w:rPr>
          <w:rFonts w:ascii="Times New Roman" w:hAnsi="Times New Roman"/>
          <w:color w:val="000000" w:themeColor="text1"/>
          <w:sz w:val="16"/>
          <w:szCs w:val="16"/>
        </w:rPr>
        <w:t xml:space="preserve"> в 1942 году первая посадка «Supermarine Seafire» «Mk.47» на палубу эскортного авианосца «Эктивити» (Activity), так начались испытания нового самолета (14861).</w:t>
      </w:r>
    </w:p>
    <w:p w14:paraId="44E54E9F"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13883B90"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15 декабря 1942 Douglas DC-3 A-191 (регистрация NC16060) Western Airlines терпит крушение недалеко от Фэрфилда, штат Юта, после выполнения резкого маневра во время полета из муниципального аэропорта Солт-Лейк-Сити в Солт-Лейк-Сити, штат Юта, в Лос-Анджелес, штат Калифорния . Семнадцать из 19 человек на борту погибают (20793).</w:t>
      </w:r>
    </w:p>
    <w:p w14:paraId="6C61C060" w14:textId="77777777" w:rsidR="00445F8C" w:rsidRPr="00722885" w:rsidRDefault="00445F8C" w:rsidP="00722885">
      <w:pPr>
        <w:spacing w:after="0" w:line="240" w:lineRule="auto"/>
        <w:jc w:val="both"/>
        <w:rPr>
          <w:rFonts w:ascii="Times New Roman" w:hAnsi="Times New Roman"/>
          <w:color w:val="0070C0"/>
          <w:sz w:val="16"/>
          <w:szCs w:val="16"/>
        </w:rPr>
      </w:pPr>
    </w:p>
    <w:p w14:paraId="3212A3C7" w14:textId="77777777" w:rsidR="00445F8C" w:rsidRPr="00722885" w:rsidRDefault="00445F8C"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021D2A7" w14:textId="77777777" w:rsidR="00445F8C" w:rsidRPr="00722885" w:rsidRDefault="00445F8C" w:rsidP="00722885">
      <w:pPr>
        <w:pStyle w:val="Iauiue"/>
        <w:jc w:val="both"/>
        <w:rPr>
          <w:iCs/>
          <w:color w:val="000000" w:themeColor="text1"/>
          <w:sz w:val="16"/>
          <w:szCs w:val="16"/>
        </w:rPr>
      </w:pPr>
    </w:p>
    <w:p w14:paraId="43A05551" w14:textId="77777777" w:rsidR="00445F8C" w:rsidRPr="00722885" w:rsidRDefault="00445F8C"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первой половине декабря 1942 года испытания Т-60-З и Т-70-З с использованием конструкции штатной башни танка, созданных на заводе №37 под руководством И.В. Савина, показали, что идея оказалась неправильной. Обе ЗСУ получились слишком тесными. Более удачной получилась конструкция Т-90, зенитной самоходной установки, созданной на ГАЗ им. Молотова. В.С. Соловьёв, ведущий инженер машины, выбрал путь создания новой башни и рационального использования ее внутреннего пространства. В результате именно Т-90 явно выбилась в фавориты. Казалось бы, самое время запускать Т-90 в серию, но в ГАБТУ КА посчитали иначе (21261).</w:t>
      </w:r>
    </w:p>
    <w:p w14:paraId="78F5D2CC" w14:textId="77777777" w:rsidR="00445F8C" w:rsidRPr="00722885" w:rsidRDefault="00445F8C"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2C060088"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D4F21EB" w14:textId="77777777" w:rsidR="00BB6316" w:rsidRPr="00722885" w:rsidRDefault="00BB6316" w:rsidP="00722885">
      <w:pPr>
        <w:pStyle w:val="Iauiue"/>
        <w:jc w:val="both"/>
        <w:rPr>
          <w:iCs/>
          <w:color w:val="000000" w:themeColor="text1"/>
          <w:sz w:val="16"/>
          <w:szCs w:val="16"/>
        </w:rPr>
      </w:pPr>
    </w:p>
    <w:p w14:paraId="5FD51D4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первой половине декабря 1942 года само</w:t>
      </w:r>
      <w:r w:rsidRPr="00722885">
        <w:rPr>
          <w:rFonts w:ascii="Times New Roman" w:hAnsi="Times New Roman"/>
          <w:color w:val="000000" w:themeColor="text1"/>
          <w:sz w:val="16"/>
          <w:szCs w:val="16"/>
        </w:rPr>
        <w:softHyphen/>
        <w:t>ходная установка СУ-122 прошла государственные испытания на Гороховецком АНИОПе. На вооружение была принята 5 декабря 1942 г. Серийное, производство машины началось в декабре 1942 г. и продолжалось по август 1943 г. Всего было выпущено 638 самоходных установок (10703).</w:t>
      </w:r>
    </w:p>
    <w:p w14:paraId="0DD0C54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D2DB74C"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DDDAB68" w14:textId="77777777" w:rsidR="00BB6316" w:rsidRPr="00722885" w:rsidRDefault="00BB6316" w:rsidP="00722885">
      <w:pPr>
        <w:pStyle w:val="Iauiue"/>
        <w:jc w:val="both"/>
        <w:rPr>
          <w:iCs/>
          <w:color w:val="000000" w:themeColor="text1"/>
          <w:sz w:val="16"/>
          <w:szCs w:val="16"/>
        </w:rPr>
      </w:pPr>
    </w:p>
    <w:p w14:paraId="3C05BBF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середине декабря 1942 г. из числа заказанных ВВС Ил-2 с 37-мм пушками 8 самоле</w:t>
      </w:r>
      <w:r w:rsidRPr="00722885">
        <w:rPr>
          <w:rFonts w:ascii="Times New Roman" w:hAnsi="Times New Roman"/>
          <w:color w:val="000000" w:themeColor="text1"/>
          <w:sz w:val="16"/>
          <w:szCs w:val="16"/>
        </w:rPr>
        <w:softHyphen/>
        <w:t>тов с ШФК-37 поступили в 688-й шап 16-й ВА Донского фронта, а опытное звено Ил-2 с 11П прибыло в 289-й шап 1-й ВА Западного фронта в январе 1943 г.</w:t>
      </w:r>
    </w:p>
    <w:p w14:paraId="43084D3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следует из документов, летный состав 289-го шап оце</w:t>
      </w:r>
      <w:r w:rsidRPr="00722885">
        <w:rPr>
          <w:rFonts w:ascii="Times New Roman" w:hAnsi="Times New Roman"/>
          <w:color w:val="000000" w:themeColor="text1"/>
          <w:sz w:val="16"/>
          <w:szCs w:val="16"/>
        </w:rPr>
        <w:softHyphen/>
        <w:t>нил новый вариант Ил-2 положительно, отметив, что для ус</w:t>
      </w:r>
      <w:r w:rsidRPr="00722885">
        <w:rPr>
          <w:rFonts w:ascii="Times New Roman" w:hAnsi="Times New Roman"/>
          <w:color w:val="000000" w:themeColor="text1"/>
          <w:sz w:val="16"/>
          <w:szCs w:val="16"/>
        </w:rPr>
        <w:softHyphen/>
        <w:t>пешного боевого применения требуется повышенная подго</w:t>
      </w:r>
      <w:r w:rsidRPr="00722885">
        <w:rPr>
          <w:rFonts w:ascii="Times New Roman" w:hAnsi="Times New Roman"/>
          <w:color w:val="000000" w:themeColor="text1"/>
          <w:sz w:val="16"/>
          <w:szCs w:val="16"/>
        </w:rPr>
        <w:softHyphen/>
        <w:t>товка в пилотировании самолета и прицельной стрельбе из пу</w:t>
      </w:r>
      <w:r w:rsidRPr="00722885">
        <w:rPr>
          <w:rFonts w:ascii="Times New Roman" w:hAnsi="Times New Roman"/>
          <w:color w:val="000000" w:themeColor="text1"/>
          <w:sz w:val="16"/>
          <w:szCs w:val="16"/>
        </w:rPr>
        <w:softHyphen/>
        <w:t>шек короткими очередями. При этом сами пушки показали достаточную надежность в работе.</w:t>
      </w:r>
    </w:p>
    <w:p w14:paraId="30862A9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Мнение летчиков 688-го шап: «...Самолеты Ил-2 с пушкой ШФК-37 при испыта</w:t>
      </w:r>
      <w:r w:rsidRPr="00722885">
        <w:rPr>
          <w:rFonts w:ascii="Times New Roman" w:hAnsi="Times New Roman"/>
          <w:color w:val="000000" w:themeColor="text1"/>
          <w:sz w:val="16"/>
          <w:szCs w:val="16"/>
        </w:rPr>
        <w:softHyphen/>
        <w:t>нии на боевое применение не дали должной эффективности в связи с недоработкой пушек, невозможностью ведения при</w:t>
      </w:r>
      <w:r w:rsidRPr="00722885">
        <w:rPr>
          <w:rFonts w:ascii="Times New Roman" w:hAnsi="Times New Roman"/>
          <w:color w:val="000000" w:themeColor="text1"/>
          <w:sz w:val="16"/>
          <w:szCs w:val="16"/>
        </w:rPr>
        <w:softHyphen/>
        <w:t>цельного огня по точечным целям, большим рассеиванием снарядов и ухудшением маневренности самолета».</w:t>
      </w:r>
    </w:p>
    <w:p w14:paraId="261BC7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Здесь стоит отметить, что условия боевого применения Ил-2 с «большой пушкой» на Западном и Донском фронтах имели существенные отличия. Это обстоятельство, несомнен</w:t>
      </w:r>
      <w:r w:rsidRPr="00722885">
        <w:rPr>
          <w:rFonts w:ascii="Times New Roman" w:hAnsi="Times New Roman"/>
          <w:color w:val="000000" w:themeColor="text1"/>
          <w:sz w:val="16"/>
          <w:szCs w:val="16"/>
        </w:rPr>
        <w:softHyphen/>
        <w:t>но, повлияло на оценку боевых свойств нового штурмовика.</w:t>
      </w:r>
    </w:p>
    <w:p w14:paraId="12BCB1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Действительно, если под Сталинградом экипажи 688-го шап 16-й ВА действовали главным образом по скоплению войск в балках, автотранспорту и танкам противника, то по огневым точ</w:t>
      </w:r>
      <w:r w:rsidRPr="00722885">
        <w:rPr>
          <w:rFonts w:ascii="Times New Roman" w:hAnsi="Times New Roman"/>
          <w:color w:val="000000" w:themeColor="text1"/>
          <w:sz w:val="16"/>
          <w:szCs w:val="16"/>
        </w:rPr>
        <w:softHyphen/>
        <w:t>кам на поле боя и в отдельных случаях — по самолетам на аэро</w:t>
      </w:r>
      <w:r w:rsidRPr="00722885">
        <w:rPr>
          <w:rFonts w:ascii="Times New Roman" w:hAnsi="Times New Roman"/>
          <w:color w:val="000000" w:themeColor="text1"/>
          <w:sz w:val="16"/>
          <w:szCs w:val="16"/>
        </w:rPr>
        <w:softHyphen/>
        <w:t>дромах, то летчики 289-го шап 1-й ВА на западе — работали в ос</w:t>
      </w:r>
      <w:r w:rsidRPr="00722885">
        <w:rPr>
          <w:rFonts w:ascii="Times New Roman" w:hAnsi="Times New Roman"/>
          <w:color w:val="000000" w:themeColor="text1"/>
          <w:sz w:val="16"/>
          <w:szCs w:val="16"/>
        </w:rPr>
        <w:softHyphen/>
        <w:t>новном по ж.д. составам на перегонах и станциях. Очевидно, что эффект от атак по таким различным по степени уязвимости сна</w:t>
      </w:r>
      <w:r w:rsidRPr="00722885">
        <w:rPr>
          <w:rFonts w:ascii="Times New Roman" w:hAnsi="Times New Roman"/>
          <w:color w:val="000000" w:themeColor="text1"/>
          <w:sz w:val="16"/>
          <w:szCs w:val="16"/>
        </w:rPr>
        <w:softHyphen/>
        <w:t>рядами калибра 37 мм целям отличался весьма сильно.</w:t>
      </w:r>
    </w:p>
    <w:p w14:paraId="6BFBE09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Действие Ил-2 с пушками калибра 37 мм по ж.д. составам сводилось к поражению паровозов и грузов на платформах и в вагонах. Прекрасные результаты получались, если в составе эшелона находились цистерны с горючим. Как правило, после атаки звена штурмовиков эшелон останавливался — паровоз выходил из строя, иногда со взрывом котла, 2—3 вагона заго</w:t>
      </w:r>
      <w:r w:rsidRPr="00722885">
        <w:rPr>
          <w:rFonts w:ascii="Times New Roman" w:hAnsi="Times New Roman"/>
          <w:color w:val="000000" w:themeColor="text1"/>
          <w:sz w:val="16"/>
          <w:szCs w:val="16"/>
        </w:rPr>
        <w:softHyphen/>
        <w:t>рались, и появлялась возможность его быстрого уничтожения ударами других групп Ил-2.</w:t>
      </w:r>
    </w:p>
    <w:p w14:paraId="38E443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другой стороны, при стрельбе по рассредоточенным ма</w:t>
      </w:r>
      <w:r w:rsidRPr="00722885">
        <w:rPr>
          <w:rFonts w:ascii="Times New Roman" w:hAnsi="Times New Roman"/>
          <w:color w:val="000000" w:themeColor="text1"/>
          <w:sz w:val="16"/>
          <w:szCs w:val="16"/>
        </w:rPr>
        <w:softHyphen/>
        <w:t>лоразмерным целям на поле боя видимый эффект был не на</w:t>
      </w:r>
      <w:r w:rsidRPr="00722885">
        <w:rPr>
          <w:rFonts w:ascii="Times New Roman" w:hAnsi="Times New Roman"/>
          <w:color w:val="000000" w:themeColor="text1"/>
          <w:sz w:val="16"/>
          <w:szCs w:val="16"/>
        </w:rPr>
        <w:softHyphen/>
        <w:t>столько заметным, поскольку точное попадание практически обеспечить было сложно. Еще сложнее было визуально про</w:t>
      </w:r>
      <w:r w:rsidRPr="00722885">
        <w:rPr>
          <w:rFonts w:ascii="Times New Roman" w:hAnsi="Times New Roman"/>
          <w:color w:val="000000" w:themeColor="text1"/>
          <w:sz w:val="16"/>
          <w:szCs w:val="16"/>
        </w:rPr>
        <w:softHyphen/>
        <w:t>контролировать результаты стрельбы из пушек.</w:t>
      </w:r>
    </w:p>
    <w:p w14:paraId="27F39C1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этого, летчики 289-го шап прошли специальную под</w:t>
      </w:r>
      <w:r w:rsidRPr="00722885">
        <w:rPr>
          <w:rFonts w:ascii="Times New Roman" w:hAnsi="Times New Roman"/>
          <w:color w:val="000000" w:themeColor="text1"/>
          <w:sz w:val="16"/>
          <w:szCs w:val="16"/>
        </w:rPr>
        <w:softHyphen/>
        <w:t>готовку для действий на предельном радиусе и в сложных метео</w:t>
      </w:r>
      <w:r w:rsidRPr="00722885">
        <w:rPr>
          <w:rFonts w:ascii="Times New Roman" w:hAnsi="Times New Roman"/>
          <w:color w:val="000000" w:themeColor="text1"/>
          <w:sz w:val="16"/>
          <w:szCs w:val="16"/>
        </w:rPr>
        <w:softHyphen/>
        <w:t>условиях и имели значительный налет на Ил-2 и боевой опыт, тогда как основную массу летного состава 688-го шап составля</w:t>
      </w:r>
      <w:r w:rsidRPr="00722885">
        <w:rPr>
          <w:rFonts w:ascii="Times New Roman" w:hAnsi="Times New Roman"/>
          <w:color w:val="000000" w:themeColor="text1"/>
          <w:sz w:val="16"/>
          <w:szCs w:val="16"/>
        </w:rPr>
        <w:softHyphen/>
        <w:t>ли летчики-сержанты военного выпуска. Несомненно, это ска</w:t>
      </w:r>
      <w:r w:rsidRPr="00722885">
        <w:rPr>
          <w:rFonts w:ascii="Times New Roman" w:hAnsi="Times New Roman"/>
          <w:color w:val="000000" w:themeColor="text1"/>
          <w:sz w:val="16"/>
          <w:szCs w:val="16"/>
        </w:rPr>
        <w:softHyphen/>
        <w:t>залось и на оценке боевых возможностей Ил-2 с «большими пушками» (11474,334).</w:t>
      </w:r>
    </w:p>
    <w:p w14:paraId="47B771D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18F7752"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середине декабря 1942 г. из числа заказанных ВВС Ил-2 с 37-мм пушками 8 Ил-2 с ШФК-37 поступили в 688-й шап 16ВА, а опытное звено Ил-2 с 11П прибыло в 289-й шап 1 ВА в январе 1943 г. Как следует из документов, летный состав 289-го шап оценил новый вариант Ил-2 положительно, отметив, что для успешного боевого применения требуется повышенная подготовка в пилотировании самолетом и прицельной стрельбе из пушек короткими очередями (21180).</w:t>
      </w:r>
    </w:p>
    <w:p w14:paraId="47E1327F" w14:textId="77777777" w:rsidR="00445F8C" w:rsidRPr="00722885" w:rsidRDefault="00445F8C" w:rsidP="00722885">
      <w:pPr>
        <w:spacing w:after="0" w:line="240" w:lineRule="auto"/>
        <w:jc w:val="both"/>
        <w:rPr>
          <w:rFonts w:ascii="Times New Roman" w:hAnsi="Times New Roman"/>
          <w:color w:val="0070C0"/>
          <w:sz w:val="16"/>
          <w:szCs w:val="16"/>
        </w:rPr>
      </w:pPr>
    </w:p>
    <w:p w14:paraId="63976F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середине декабря 1942 г. 8 самолетов с ШФК-37 поступили в 688-й шап 16-й ВА Донского фронта, а опытное звено Ил-2 с 11П прибыло в 289-й шап 1 -й ВА Западного фронта в январе 1943 г.</w:t>
      </w:r>
    </w:p>
    <w:p w14:paraId="43A5B0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следует из документов, летный состав 289-го шап оценил новый вариант Ил-2 положительно, отметив, что для успешного боевого применения требуется повышенная подготовка в пилотировании самолетом и прицельной стрельбе из пушек короткими очередями. При этом сами пушки показали достаточную надежность в работе.</w:t>
      </w:r>
    </w:p>
    <w:p w14:paraId="466469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Материалы отчета по испытаниям вооружения опытного Ил-2 с 11П, проведенные в НИП АВ в январе-феврале 1943 г., в целом соответствовали оценке строевых летчиков.</w:t>
      </w:r>
    </w:p>
    <w:p w14:paraId="151DA0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Мнение летчиков 688-го шап оказалось прямо противоположным: "...Самолеты Ил-2 с пушкой ШФК-37, при испытании на боевое применение не дали должной эффективности в связи с недоработкой пушек, невозможностью ведения прицельного огня по точечным целям, большим рассеиванием снарядов и ухудшением маневренности самолета".</w:t>
      </w:r>
    </w:p>
    <w:p w14:paraId="2CB2D8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Здесь стоит отметить, что условия боевого применения Ил-2 с "большой пушкой" на Западном и Донском фронтах имели существенные отличия. Это обстоятельство, несомненно, повлияло на оценку боевых свойств нового штурмовика. </w:t>
      </w:r>
    </w:p>
    <w:p w14:paraId="641710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Действительно, если под Сталинградом экипажи 688-го шап 16-й ВА действовали главным образом по скоплению войск в балках, автотранспорту и танкам противника, по огневым точкам на поле боя и в отдельных случаях по самолетам на аэродромах, то летчики 289-го шап 1-й ВА на западе - работали в основном по ж.д. составам на перегонах и станциях. Очевидно, что эффект от атак по таким различным по степени уязвимости снарядами калибра 37 мм целям отличался весьма сильно.</w:t>
      </w:r>
    </w:p>
    <w:p w14:paraId="63D4D4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Действие Ил-2 с пушками калибра 37 мм по ж.д. составам сводилось к поражению паровозов и грузов на платформах и в вагонах. Прекрасные результаты получались, если в составе эшелона находились цистерны с горючим. Как правило, после атаки звена штурмовиков эшелон останавливался - паровоз выходил из строя, иногда со взрывом котла, 2-3 вагона загорались, и появлялась возможность его быстрого уничтожения ударами других групп Ил-2.</w:t>
      </w:r>
    </w:p>
    <w:p w14:paraId="76E4905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другой стороны, при стрельбе по рассредоточенным малоразмерным целям на поле боя видимый эффект был не настолько заметным, поскольку точное попадание практически обеспечить было сложно. Еше сложнее было визуально проконтролировать результаты стрельбы из пушек.</w:t>
      </w:r>
    </w:p>
    <w:p w14:paraId="398314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этого, летчики 289-го шап прошли специальную подготовку для действий на предельном радиусе и в сложных метеоусловиях и имели значительный налет на Ил-2 и боевой опыт, тогда как основную массу летного состава 688-го шап составляли летчики-сержанты военного выпуска. Несомненно, это сказалось и на оценке боевых возможностей Ил-2 с "большими пушками".</w:t>
      </w:r>
    </w:p>
    <w:p w14:paraId="74BD29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Этот вывод подтверждают и материалы полигонных стрельб из ШФК-37 с Ил-2 в воздухе, которые состоялись 22 декабря 1942 г. в ходе облета летным составом 688-го шап новых самолетов. Летали пять летчиков разной квалификации. Оказалось, что кучность стрельбы из пушек была довольно приличной, хотя сама стрельба - неточной. Большая часть снарядов (из 153 штук) легла в 4-5 метрах в стороне от цели (щит в виде квадрата со стороной 6 м), остальные - в 12-15 м. Только командиру полка капитану Склярову удалось поразить щит двумя снарядами. Вторым по результативности оказался капитан Копаев. Низкий процент попадания в щит объясняется большими дистанциями стрельбы - начало стрельбы 800-900 м и окончание 500-400 м, а также "недостатками освоения техники пилотирования этим </w:t>
      </w:r>
      <w:r w:rsidRPr="00722885">
        <w:rPr>
          <w:rFonts w:ascii="Times New Roman" w:hAnsi="Times New Roman"/>
          <w:color w:val="000000" w:themeColor="text1"/>
          <w:sz w:val="16"/>
          <w:szCs w:val="16"/>
        </w:rPr>
        <w:lastRenderedPageBreak/>
        <w:t>самолетом и ведения огня из пушек калибра 37 мм". Надо полагать, условия стрельбы в реальном бою были такими же или хуже. В выводах отчета летчики отмечали, что для поражения наземных целей из ШФК-37 прицельный огонь должен открываться на дистанции не более 500 м и вестись до 200-250 м очередями в 5-7 выстрелов. При этом "стрельба с самолетов Ил-2, вооруженных 37-мм пушками, производит большое моральное действие", а "применение огня из этих пушек против танков даст лучший эффект нежели авиабомбы".</w:t>
      </w:r>
    </w:p>
    <w:p w14:paraId="17EA5E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Заводской летчик-испытатель Ломакин в ходе приемо-сдаточных испытаний самолетов Ил-2 с ШФК-37 никаких особенностей в пилотировании и применении штурмовика не отмечал: "...1. Машина с пушками ШФК-37 устойчива в воздухе и ничем не отличается от машин серийного типа. 2. Для израсходования полного боекомплекта патронов необходимо делать не менее 4-5 заходов по 8-10 патронов в очереди. 3. Кучность попаданий при стрельбе в воздухе хорошая".</w:t>
      </w:r>
    </w:p>
    <w:p w14:paraId="153B78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Анализ документов показывает, что основной причиной негативного отношения летчиков 688-го шап к противотанковому Ил-2 стала все же ненадежная работа автоматики пушки. Почти каждый второй вылет на боевое задание Ил-2 с ШФК-37 сопровождался отказом хотя бы одной из пушек. Это обстоятельство нарушало нормальную боевую работу полка.</w:t>
      </w:r>
    </w:p>
    <w:p w14:paraId="258064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"Большое количество поломок, задержек и отказов в работе пушек вызвало у летчиков неприятное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Тишевский.</w:t>
      </w:r>
    </w:p>
    <w:p w14:paraId="498FC5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Соответственно бригада специалистов от ОКБ-15 не могла оперативно устранять отказы в работе и поломки пушек.</w:t>
      </w:r>
    </w:p>
    <w:p w14:paraId="2B9F41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этой причине после выхода из строя ряда деталей с трех самолетов пушки были сняты и они вылетали на боевые задания с бомбовой нагрузкой в 600 кг, 8 РС-32 и боекомплектом к пулеметам. Часть самолетов вылетала на боевые задания с одной исправной пушкой, а часть и с обеими неисправными пушками, используя в бою только реактивные снаряды, бомбы и пулеметы. К 22 января 1943 г. с пушками ШФК-37 летало только два штурмовика.</w:t>
      </w:r>
    </w:p>
    <w:p w14:paraId="17A3D2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Здесь необходимо отметить, что ненадежная работа пушек в 688-м шап объясняется не столько недостатками самой пушки, сколько отсутствием ухода за пушками до их прибытия в полк. Дело в том, что после сборки на авиазаводе №18 самолеты сначала попали на аэродром 1-й запасной авиабригады Кряж, а затем были перегнаны на аэродром Толкай, где базировался 5-й запасной авиаполк бригады. Этими самолетами планировали вооружить 617-й штурмовой авиаполк, который проходил там переформирование и пополнение матчастью. Насколько удалось установить, находясь на аэродроме Кряж, за самолеты никто не отвечал, и они стояли бесхозными. Будучи уже на балансе 617-го шап, самолетами в течение месяца также никто не занимался и за оружием не следил. В результате, к началу подготовки летного состава полка пушки оказались в крайне запущенном состоянии: "...подвижные части и каналы стволов и снаружи пушки были ржавые". После "разбора полетов" за пушки, наконец, основательно взялись и в течение 10 дней привели в надлежащий вид. Однако "от сильного ржавения на многих деталях пушек остались неустранимые следы ржавчины и раковины". Когда же выяснилось, что 617-й шап укомплектован исключительно молодыми летчиками прямо из школ, то решили отправить самолеты в действующий полк под Сталинград. При этом один Ил-2 с ШФК-37 (зав. №1871129) из-за течи маслобака не смог вылететь вместе с основной группой с аэродрома Разбойщина и попал на фронт только 18 января 1943 г. Десятый противотанковый Ил-2 (зав. №1876123) из-за полного израсходования горючего вынужденно сел в глубокий снег вдали от посадочной полосы аэродрома Маркштад. На аэродроме Маркштад этот самолет находился, по крайней мере, до 15 февраля 1943 г. Что стало с ним в дальнейшем, установить не удалось.</w:t>
      </w:r>
    </w:p>
    <w:p w14:paraId="02D950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 времени окончания войсковых испытаний противотанковых вариантов Ил-2 стало известно о применении противником на фронте тяжелых танков Pz.VI "Тигр". От Главного разведывательного управления ГШ КА получены сведения о поступлении на вооружение немецкой армии новых образцов бронетехники - танков Pz.V "Пантера" и Pz.IV/H, а также штурмового орудия Jgd Pz Tiger(P) "Фердинанд". Все они имели усиленную броневую защиту и мощное вооружение. Массовое появление на фронте этих танков ожидалось летом 1943 г. Вопрос о резком повышении противотанковых возможностей ВВС КА встал со всей остротой.</w:t>
      </w:r>
    </w:p>
    <w:p w14:paraId="65EB06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обмена мнениями по результатам боевого применения Ил-2 с 37-мм пушками было решено остановиться на варианте с 11П (в серии НС-37). Боекомплект к НС-37 устанавливался по 50 снарядов на ствол, нормальная бомбовая нагрузка 100 кг (в перегрузку 200 кг). Ракетные орудия с самолета снимались. Постановлением ГКО от 8 апреля 1943 г. серийный выпуск самолетов этого типа разворачивался на заводе №30 (12020).</w:t>
      </w:r>
    </w:p>
    <w:p w14:paraId="045A878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00E608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середине декабря 1942 в ОКБ П.О.С. был разработан проект разведовательной версии двухместного двухмоторного бронированного штурмовика (ДДБШ) с М-71Ф и 3 членами экипажа (1454,71).</w:t>
      </w:r>
    </w:p>
    <w:p w14:paraId="629AA32A" w14:textId="77777777" w:rsidR="00BB6316" w:rsidRPr="00722885" w:rsidRDefault="00BB6316" w:rsidP="00722885">
      <w:pPr>
        <w:pStyle w:val="Iauiue"/>
        <w:jc w:val="both"/>
        <w:rPr>
          <w:color w:val="000000" w:themeColor="text1"/>
          <w:sz w:val="16"/>
          <w:szCs w:val="16"/>
        </w:rPr>
      </w:pPr>
    </w:p>
    <w:p w14:paraId="617266F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середине декабря 1942 года была завершена работа над эскиз</w:t>
      </w:r>
      <w:r w:rsidRPr="00722885">
        <w:rPr>
          <w:rFonts w:ascii="Times New Roman" w:hAnsi="Times New Roman"/>
          <w:color w:val="000000" w:themeColor="text1"/>
          <w:sz w:val="16"/>
          <w:szCs w:val="16"/>
        </w:rPr>
        <w:softHyphen/>
        <w:t>ными проектами: одномоторного четырехместного дальнего ночно</w:t>
      </w:r>
      <w:r w:rsidRPr="00722885">
        <w:rPr>
          <w:rFonts w:ascii="Times New Roman" w:hAnsi="Times New Roman"/>
          <w:color w:val="000000" w:themeColor="text1"/>
          <w:sz w:val="16"/>
          <w:szCs w:val="16"/>
        </w:rPr>
        <w:softHyphen/>
        <w:t>го бомбардировщика ДБ-М82Ф с 2ТК-3 и двухмоторного четырехме</w:t>
      </w:r>
      <w:r w:rsidRPr="00722885">
        <w:rPr>
          <w:rFonts w:ascii="Times New Roman" w:hAnsi="Times New Roman"/>
          <w:color w:val="000000" w:themeColor="text1"/>
          <w:sz w:val="16"/>
          <w:szCs w:val="16"/>
        </w:rPr>
        <w:softHyphen/>
        <w:t>стного дальнего бомбардировщи</w:t>
      </w:r>
      <w:r w:rsidRPr="00722885">
        <w:rPr>
          <w:rFonts w:ascii="Times New Roman" w:hAnsi="Times New Roman"/>
          <w:color w:val="000000" w:themeColor="text1"/>
          <w:sz w:val="16"/>
          <w:szCs w:val="16"/>
        </w:rPr>
        <w:softHyphen/>
        <w:t>ка ДБ-2М82Ф с ТК. В заводском отчете за 1942 год отмечено, что эти проекты на рассмотрение в НИИ ВВС КА не передавались. Материалы по данным проектам не обнаружены. С большой долей ве</w:t>
      </w:r>
      <w:r w:rsidRPr="00722885">
        <w:rPr>
          <w:rFonts w:ascii="Times New Roman" w:hAnsi="Times New Roman"/>
          <w:color w:val="000000" w:themeColor="text1"/>
          <w:sz w:val="16"/>
          <w:szCs w:val="16"/>
        </w:rPr>
        <w:softHyphen/>
        <w:t>роятности можно предположить, что они либо утеряны, либо уничтоже</w:t>
      </w:r>
      <w:r w:rsidRPr="00722885">
        <w:rPr>
          <w:rFonts w:ascii="Times New Roman" w:hAnsi="Times New Roman"/>
          <w:color w:val="000000" w:themeColor="text1"/>
          <w:sz w:val="16"/>
          <w:szCs w:val="16"/>
        </w:rPr>
        <w:softHyphen/>
        <w:t>ны. Случайно сохранились лишь некоторые характеристики этих самолетов, их общие виды и ком</w:t>
      </w:r>
      <w:r w:rsidRPr="00722885">
        <w:rPr>
          <w:rFonts w:ascii="Times New Roman" w:hAnsi="Times New Roman"/>
          <w:color w:val="000000" w:themeColor="text1"/>
          <w:sz w:val="16"/>
          <w:szCs w:val="16"/>
        </w:rPr>
        <w:softHyphen/>
        <w:t>поновки.</w:t>
      </w:r>
    </w:p>
    <w:p w14:paraId="7CE4CA0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расчетные характеристики вариантов самолетов ДБ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329"/>
        <w:gridCol w:w="996"/>
        <w:gridCol w:w="1218"/>
        <w:gridCol w:w="1086"/>
        <w:gridCol w:w="1127"/>
      </w:tblGrid>
      <w:tr w:rsidR="009B487A" w:rsidRPr="00722885" w14:paraId="44AC633F" w14:textId="77777777" w:rsidTr="00CC5360">
        <w:trPr>
          <w:trHeight w:val="667"/>
        </w:trPr>
        <w:tc>
          <w:tcPr>
            <w:tcW w:w="2329" w:type="dxa"/>
            <w:tcBorders>
              <w:top w:val="single" w:sz="12" w:space="0" w:color="auto"/>
            </w:tcBorders>
          </w:tcPr>
          <w:p w14:paraId="70264BA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96" w:type="dxa"/>
            <w:tcBorders>
              <w:top w:val="single" w:sz="12" w:space="0" w:color="auto"/>
            </w:tcBorders>
          </w:tcPr>
          <w:p w14:paraId="0830FDA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ДБ АМ-37 </w:t>
            </w:r>
          </w:p>
        </w:tc>
        <w:tc>
          <w:tcPr>
            <w:tcW w:w="1218" w:type="dxa"/>
            <w:tcBorders>
              <w:top w:val="single" w:sz="12" w:space="0" w:color="auto"/>
            </w:tcBorders>
          </w:tcPr>
          <w:p w14:paraId="5A7F4A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ДБМ-82ФНВ С 2ТК-3 (дополнение) </w:t>
            </w:r>
          </w:p>
        </w:tc>
        <w:tc>
          <w:tcPr>
            <w:tcW w:w="1086" w:type="dxa"/>
            <w:tcBorders>
              <w:top w:val="single" w:sz="12" w:space="0" w:color="auto"/>
            </w:tcBorders>
          </w:tcPr>
          <w:p w14:paraId="60572D3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ДБ М-82Ф с2ТК-3 </w:t>
            </w:r>
          </w:p>
        </w:tc>
        <w:tc>
          <w:tcPr>
            <w:tcW w:w="1127" w:type="dxa"/>
            <w:tcBorders>
              <w:top w:val="single" w:sz="12" w:space="0" w:color="auto"/>
            </w:tcBorders>
          </w:tcPr>
          <w:p w14:paraId="0B6F37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2М-82Ф сТК </w:t>
            </w:r>
          </w:p>
        </w:tc>
      </w:tr>
      <w:tr w:rsidR="009B487A" w:rsidRPr="00722885" w14:paraId="6A1442DB" w14:textId="77777777" w:rsidTr="00CC5360">
        <w:trPr>
          <w:trHeight w:val="230"/>
        </w:trPr>
        <w:tc>
          <w:tcPr>
            <w:tcW w:w="2329" w:type="dxa"/>
          </w:tcPr>
          <w:p w14:paraId="24684E0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Длина самолета, мм </w:t>
            </w:r>
          </w:p>
        </w:tc>
        <w:tc>
          <w:tcPr>
            <w:tcW w:w="996" w:type="dxa"/>
          </w:tcPr>
          <w:p w14:paraId="5085B90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14500 </w:t>
            </w:r>
          </w:p>
        </w:tc>
        <w:tc>
          <w:tcPr>
            <w:tcW w:w="1218" w:type="dxa"/>
          </w:tcPr>
          <w:p w14:paraId="35184FF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14500 </w:t>
            </w:r>
          </w:p>
        </w:tc>
        <w:tc>
          <w:tcPr>
            <w:tcW w:w="1086" w:type="dxa"/>
          </w:tcPr>
          <w:p w14:paraId="00C1357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14500 </w:t>
            </w:r>
          </w:p>
        </w:tc>
        <w:tc>
          <w:tcPr>
            <w:tcW w:w="1127" w:type="dxa"/>
          </w:tcPr>
          <w:p w14:paraId="0F2DC61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16750 </w:t>
            </w:r>
          </w:p>
        </w:tc>
      </w:tr>
      <w:tr w:rsidR="009B487A" w:rsidRPr="00722885" w14:paraId="35382317" w14:textId="77777777" w:rsidTr="00CC5360">
        <w:trPr>
          <w:trHeight w:val="230"/>
        </w:trPr>
        <w:tc>
          <w:tcPr>
            <w:tcW w:w="2329" w:type="dxa"/>
          </w:tcPr>
          <w:p w14:paraId="2655B8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мм</w:t>
            </w:r>
          </w:p>
        </w:tc>
        <w:tc>
          <w:tcPr>
            <w:tcW w:w="996" w:type="dxa"/>
          </w:tcPr>
          <w:p w14:paraId="4189FB3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20000 </w:t>
            </w:r>
          </w:p>
        </w:tc>
        <w:tc>
          <w:tcPr>
            <w:tcW w:w="1218" w:type="dxa"/>
          </w:tcPr>
          <w:p w14:paraId="65782F6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20001 г </w:t>
            </w:r>
          </w:p>
        </w:tc>
        <w:tc>
          <w:tcPr>
            <w:tcW w:w="1086" w:type="dxa"/>
          </w:tcPr>
          <w:p w14:paraId="4EBF268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20000 </w:t>
            </w:r>
          </w:p>
        </w:tc>
        <w:tc>
          <w:tcPr>
            <w:tcW w:w="1127" w:type="dxa"/>
          </w:tcPr>
          <w:p w14:paraId="16361E6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20000 </w:t>
            </w:r>
          </w:p>
        </w:tc>
      </w:tr>
      <w:tr w:rsidR="009B487A" w:rsidRPr="00722885" w14:paraId="3EFDDCE4" w14:textId="77777777" w:rsidTr="00CC5360">
        <w:trPr>
          <w:trHeight w:val="247"/>
        </w:trPr>
        <w:tc>
          <w:tcPr>
            <w:tcW w:w="2329" w:type="dxa"/>
          </w:tcPr>
          <w:p w14:paraId="45A6F78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w:t>
            </w:r>
            <w:r w:rsidRPr="00722885">
              <w:rPr>
                <w:rFonts w:ascii="Times New Roman" w:hAnsi="Times New Roman"/>
                <w:color w:val="000000" w:themeColor="text1"/>
                <w:sz w:val="16"/>
                <w:szCs w:val="16"/>
                <w:vertAlign w:val="superscript"/>
              </w:rPr>
              <w:t>2</w:t>
            </w:r>
          </w:p>
        </w:tc>
        <w:tc>
          <w:tcPr>
            <w:tcW w:w="996" w:type="dxa"/>
          </w:tcPr>
          <w:p w14:paraId="3171FB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50,0 </w:t>
            </w:r>
          </w:p>
        </w:tc>
        <w:tc>
          <w:tcPr>
            <w:tcW w:w="1218" w:type="dxa"/>
          </w:tcPr>
          <w:p w14:paraId="7CB7722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50,0 </w:t>
            </w:r>
          </w:p>
        </w:tc>
        <w:tc>
          <w:tcPr>
            <w:tcW w:w="1086" w:type="dxa"/>
          </w:tcPr>
          <w:p w14:paraId="24A47BF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50,0 </w:t>
            </w:r>
          </w:p>
        </w:tc>
        <w:tc>
          <w:tcPr>
            <w:tcW w:w="1127" w:type="dxa"/>
          </w:tcPr>
          <w:p w14:paraId="5533CAF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80,0 </w:t>
            </w:r>
          </w:p>
        </w:tc>
      </w:tr>
      <w:tr w:rsidR="009B487A" w:rsidRPr="00722885" w14:paraId="01B09BD9" w14:textId="77777777" w:rsidTr="00CC5360">
        <w:trPr>
          <w:trHeight w:val="206"/>
        </w:trPr>
        <w:tc>
          <w:tcPr>
            <w:tcW w:w="2329" w:type="dxa"/>
          </w:tcPr>
          <w:p w14:paraId="2C0FE00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Масса самолета, кг: </w:t>
            </w:r>
          </w:p>
        </w:tc>
        <w:tc>
          <w:tcPr>
            <w:tcW w:w="996" w:type="dxa"/>
          </w:tcPr>
          <w:p w14:paraId="78127E8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18" w:type="dxa"/>
          </w:tcPr>
          <w:p w14:paraId="788BEE6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086" w:type="dxa"/>
          </w:tcPr>
          <w:p w14:paraId="2B45FA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27" w:type="dxa"/>
          </w:tcPr>
          <w:p w14:paraId="3694B35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999A9CE" w14:textId="77777777" w:rsidTr="00CC5360">
        <w:trPr>
          <w:trHeight w:val="239"/>
        </w:trPr>
        <w:tc>
          <w:tcPr>
            <w:tcW w:w="2329" w:type="dxa"/>
          </w:tcPr>
          <w:p w14:paraId="6F5790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Пустого</w:t>
            </w:r>
          </w:p>
        </w:tc>
        <w:tc>
          <w:tcPr>
            <w:tcW w:w="996" w:type="dxa"/>
          </w:tcPr>
          <w:p w14:paraId="0D58E31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5372</w:t>
            </w:r>
          </w:p>
        </w:tc>
        <w:tc>
          <w:tcPr>
            <w:tcW w:w="1218" w:type="dxa"/>
          </w:tcPr>
          <w:p w14:paraId="260C52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086" w:type="dxa"/>
          </w:tcPr>
          <w:p w14:paraId="41BA69D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5424 </w:t>
            </w:r>
          </w:p>
        </w:tc>
        <w:tc>
          <w:tcPr>
            <w:tcW w:w="1127" w:type="dxa"/>
          </w:tcPr>
          <w:p w14:paraId="277BF6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w:t>
            </w:r>
          </w:p>
        </w:tc>
      </w:tr>
      <w:tr w:rsidR="009B487A" w:rsidRPr="00722885" w14:paraId="0CC33752" w14:textId="77777777" w:rsidTr="00CC5360">
        <w:trPr>
          <w:trHeight w:val="230"/>
        </w:trPr>
        <w:tc>
          <w:tcPr>
            <w:tcW w:w="2329" w:type="dxa"/>
          </w:tcPr>
          <w:p w14:paraId="7714201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полетная </w:t>
            </w:r>
          </w:p>
        </w:tc>
        <w:tc>
          <w:tcPr>
            <w:tcW w:w="996" w:type="dxa"/>
          </w:tcPr>
          <w:p w14:paraId="5A1F436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9558 </w:t>
            </w:r>
          </w:p>
        </w:tc>
        <w:tc>
          <w:tcPr>
            <w:tcW w:w="1218" w:type="dxa"/>
          </w:tcPr>
          <w:p w14:paraId="7C68CF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9380 </w:t>
            </w:r>
          </w:p>
        </w:tc>
        <w:tc>
          <w:tcPr>
            <w:tcW w:w="1086" w:type="dxa"/>
          </w:tcPr>
          <w:p w14:paraId="5BE7BE3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9700 </w:t>
            </w:r>
          </w:p>
        </w:tc>
        <w:tc>
          <w:tcPr>
            <w:tcW w:w="1127" w:type="dxa"/>
          </w:tcPr>
          <w:p w14:paraId="6478E3A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8920 </w:t>
            </w:r>
          </w:p>
        </w:tc>
      </w:tr>
      <w:tr w:rsidR="009B487A" w:rsidRPr="00722885" w14:paraId="7B8F4160" w14:textId="77777777" w:rsidTr="00CC5360">
        <w:trPr>
          <w:trHeight w:val="230"/>
        </w:trPr>
        <w:tc>
          <w:tcPr>
            <w:tcW w:w="2329" w:type="dxa"/>
          </w:tcPr>
          <w:p w14:paraId="382E059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Максимальная </w:t>
            </w:r>
          </w:p>
        </w:tc>
        <w:tc>
          <w:tcPr>
            <w:tcW w:w="996" w:type="dxa"/>
          </w:tcPr>
          <w:p w14:paraId="5899C3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18" w:type="dxa"/>
          </w:tcPr>
          <w:p w14:paraId="1DE84EC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086" w:type="dxa"/>
          </w:tcPr>
          <w:p w14:paraId="7423F90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27" w:type="dxa"/>
          </w:tcPr>
          <w:p w14:paraId="231519E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6C744BCE" w14:textId="77777777" w:rsidTr="00CC5360">
        <w:trPr>
          <w:trHeight w:val="247"/>
        </w:trPr>
        <w:tc>
          <w:tcPr>
            <w:tcW w:w="2329" w:type="dxa"/>
          </w:tcPr>
          <w:p w14:paraId="41CC024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скорость, км/ч </w:t>
            </w:r>
          </w:p>
        </w:tc>
        <w:tc>
          <w:tcPr>
            <w:tcW w:w="996" w:type="dxa"/>
          </w:tcPr>
          <w:p w14:paraId="4A7F2D3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18" w:type="dxa"/>
          </w:tcPr>
          <w:p w14:paraId="0BF55F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086" w:type="dxa"/>
          </w:tcPr>
          <w:p w14:paraId="5F59F1D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27" w:type="dxa"/>
          </w:tcPr>
          <w:p w14:paraId="18A0D0B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AC70AF6" w14:textId="77777777" w:rsidTr="00CC5360">
        <w:trPr>
          <w:trHeight w:val="214"/>
        </w:trPr>
        <w:tc>
          <w:tcPr>
            <w:tcW w:w="2329" w:type="dxa"/>
          </w:tcPr>
          <w:p w14:paraId="448D0E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у земли </w:t>
            </w:r>
          </w:p>
        </w:tc>
        <w:tc>
          <w:tcPr>
            <w:tcW w:w="996" w:type="dxa"/>
          </w:tcPr>
          <w:p w14:paraId="7278F1F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372 </w:t>
            </w:r>
          </w:p>
        </w:tc>
        <w:tc>
          <w:tcPr>
            <w:tcW w:w="1218" w:type="dxa"/>
          </w:tcPr>
          <w:p w14:paraId="24E778E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086" w:type="dxa"/>
          </w:tcPr>
          <w:p w14:paraId="5F153C2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27" w:type="dxa"/>
          </w:tcPr>
          <w:p w14:paraId="4CB1C4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416 </w:t>
            </w:r>
          </w:p>
        </w:tc>
      </w:tr>
      <w:tr w:rsidR="009B487A" w:rsidRPr="00722885" w14:paraId="0FE1685E" w14:textId="77777777" w:rsidTr="00CC5360">
        <w:trPr>
          <w:trHeight w:val="247"/>
        </w:trPr>
        <w:tc>
          <w:tcPr>
            <w:tcW w:w="2329" w:type="dxa"/>
          </w:tcPr>
          <w:p w14:paraId="20FC5DC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на высоте, м </w:t>
            </w:r>
          </w:p>
        </w:tc>
        <w:tc>
          <w:tcPr>
            <w:tcW w:w="996" w:type="dxa"/>
          </w:tcPr>
          <w:p w14:paraId="0CA670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434/6000 </w:t>
            </w:r>
          </w:p>
        </w:tc>
        <w:tc>
          <w:tcPr>
            <w:tcW w:w="1218" w:type="dxa"/>
          </w:tcPr>
          <w:p w14:paraId="6824F3D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453/8250 </w:t>
            </w:r>
          </w:p>
        </w:tc>
        <w:tc>
          <w:tcPr>
            <w:tcW w:w="1086" w:type="dxa"/>
          </w:tcPr>
          <w:p w14:paraId="6CAA7E0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484/8250 </w:t>
            </w:r>
          </w:p>
        </w:tc>
        <w:tc>
          <w:tcPr>
            <w:tcW w:w="1127" w:type="dxa"/>
          </w:tcPr>
          <w:p w14:paraId="63B0C77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495/8250 </w:t>
            </w:r>
          </w:p>
        </w:tc>
      </w:tr>
      <w:tr w:rsidR="009B487A" w:rsidRPr="00722885" w14:paraId="7EA4F75C" w14:textId="77777777" w:rsidTr="00CC5360">
        <w:trPr>
          <w:trHeight w:val="230"/>
        </w:trPr>
        <w:tc>
          <w:tcPr>
            <w:tcW w:w="2329" w:type="dxa"/>
          </w:tcPr>
          <w:p w14:paraId="556D97D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Время набора </w:t>
            </w:r>
          </w:p>
        </w:tc>
        <w:tc>
          <w:tcPr>
            <w:tcW w:w="996" w:type="dxa"/>
          </w:tcPr>
          <w:p w14:paraId="68670E1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18" w:type="dxa"/>
          </w:tcPr>
          <w:p w14:paraId="5493586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086" w:type="dxa"/>
          </w:tcPr>
          <w:p w14:paraId="33B4148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27" w:type="dxa"/>
          </w:tcPr>
          <w:p w14:paraId="1E8565F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AA8BC18" w14:textId="77777777" w:rsidTr="00CC5360">
        <w:trPr>
          <w:trHeight w:val="230"/>
        </w:trPr>
        <w:tc>
          <w:tcPr>
            <w:tcW w:w="2329" w:type="dxa"/>
          </w:tcPr>
          <w:p w14:paraId="19B28DB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высоты, мин/м </w:t>
            </w:r>
          </w:p>
        </w:tc>
        <w:tc>
          <w:tcPr>
            <w:tcW w:w="996" w:type="dxa"/>
          </w:tcPr>
          <w:p w14:paraId="71F2902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32,0/6000 </w:t>
            </w:r>
          </w:p>
        </w:tc>
        <w:tc>
          <w:tcPr>
            <w:tcW w:w="1218" w:type="dxa"/>
          </w:tcPr>
          <w:p w14:paraId="0190DB4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18,0/50® </w:t>
            </w:r>
          </w:p>
        </w:tc>
        <w:tc>
          <w:tcPr>
            <w:tcW w:w="1086" w:type="dxa"/>
          </w:tcPr>
          <w:p w14:paraId="2D38BB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40,0/8250 </w:t>
            </w:r>
          </w:p>
        </w:tc>
        <w:tc>
          <w:tcPr>
            <w:tcW w:w="1127" w:type="dxa"/>
          </w:tcPr>
          <w:p w14:paraId="747A80B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28,0/8250 </w:t>
            </w:r>
          </w:p>
        </w:tc>
      </w:tr>
      <w:tr w:rsidR="009B487A" w:rsidRPr="00722885" w14:paraId="1413F588" w14:textId="77777777" w:rsidTr="00CC5360">
        <w:trPr>
          <w:trHeight w:val="239"/>
        </w:trPr>
        <w:tc>
          <w:tcPr>
            <w:tcW w:w="2329" w:type="dxa"/>
          </w:tcPr>
          <w:p w14:paraId="5644AB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Практический потолок, м </w:t>
            </w:r>
          </w:p>
        </w:tc>
        <w:tc>
          <w:tcPr>
            <w:tcW w:w="996" w:type="dxa"/>
          </w:tcPr>
          <w:p w14:paraId="2369A6F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8000 </w:t>
            </w:r>
          </w:p>
        </w:tc>
        <w:tc>
          <w:tcPr>
            <w:tcW w:w="1218" w:type="dxa"/>
          </w:tcPr>
          <w:p w14:paraId="273806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8750 </w:t>
            </w:r>
          </w:p>
        </w:tc>
        <w:tc>
          <w:tcPr>
            <w:tcW w:w="1086" w:type="dxa"/>
          </w:tcPr>
          <w:p w14:paraId="2B58D81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8700 </w:t>
            </w:r>
          </w:p>
        </w:tc>
        <w:tc>
          <w:tcPr>
            <w:tcW w:w="1127" w:type="dxa"/>
          </w:tcPr>
          <w:p w14:paraId="0A665D3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9350 </w:t>
            </w:r>
          </w:p>
        </w:tc>
      </w:tr>
      <w:tr w:rsidR="009B487A" w:rsidRPr="00722885" w14:paraId="27C7973D" w14:textId="77777777" w:rsidTr="00CC5360">
        <w:trPr>
          <w:trHeight w:val="230"/>
        </w:trPr>
        <w:tc>
          <w:tcPr>
            <w:tcW w:w="2329" w:type="dxa"/>
          </w:tcPr>
          <w:p w14:paraId="5CBF2C5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Нормальная дальность </w:t>
            </w:r>
          </w:p>
        </w:tc>
        <w:tc>
          <w:tcPr>
            <w:tcW w:w="996" w:type="dxa"/>
          </w:tcPr>
          <w:p w14:paraId="2D15A9F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18" w:type="dxa"/>
          </w:tcPr>
          <w:p w14:paraId="3326AC8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086" w:type="dxa"/>
          </w:tcPr>
          <w:p w14:paraId="6DB535D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27" w:type="dxa"/>
          </w:tcPr>
          <w:p w14:paraId="5BDF7CE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639AE5A" w14:textId="77777777" w:rsidTr="00CC5360">
        <w:trPr>
          <w:trHeight w:val="214"/>
        </w:trPr>
        <w:tc>
          <w:tcPr>
            <w:tcW w:w="2329" w:type="dxa"/>
          </w:tcPr>
          <w:p w14:paraId="2F01D98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96" w:type="dxa"/>
          </w:tcPr>
          <w:p w14:paraId="7502C5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4000 </w:t>
            </w:r>
          </w:p>
        </w:tc>
        <w:tc>
          <w:tcPr>
            <w:tcW w:w="1218" w:type="dxa"/>
          </w:tcPr>
          <w:p w14:paraId="0669D31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086" w:type="dxa"/>
          </w:tcPr>
          <w:p w14:paraId="24D4AA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4180 </w:t>
            </w:r>
          </w:p>
        </w:tc>
        <w:tc>
          <w:tcPr>
            <w:tcW w:w="1127" w:type="dxa"/>
          </w:tcPr>
          <w:p w14:paraId="0D8B5B4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4400 </w:t>
            </w:r>
          </w:p>
        </w:tc>
      </w:tr>
      <w:tr w:rsidR="009B487A" w:rsidRPr="00722885" w14:paraId="3C592992" w14:textId="77777777" w:rsidTr="00CC5360">
        <w:trPr>
          <w:trHeight w:val="247"/>
        </w:trPr>
        <w:tc>
          <w:tcPr>
            <w:tcW w:w="2329" w:type="dxa"/>
            <w:tcBorders>
              <w:bottom w:val="single" w:sz="12" w:space="0" w:color="auto"/>
            </w:tcBorders>
          </w:tcPr>
          <w:p w14:paraId="5DE27A5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Длина разбега, м </w:t>
            </w:r>
          </w:p>
        </w:tc>
        <w:tc>
          <w:tcPr>
            <w:tcW w:w="996" w:type="dxa"/>
            <w:tcBorders>
              <w:bottom w:val="single" w:sz="12" w:space="0" w:color="auto"/>
            </w:tcBorders>
          </w:tcPr>
          <w:p w14:paraId="547BB4D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1030 </w:t>
            </w:r>
          </w:p>
        </w:tc>
        <w:tc>
          <w:tcPr>
            <w:tcW w:w="1218" w:type="dxa"/>
            <w:tcBorders>
              <w:bottom w:val="single" w:sz="12" w:space="0" w:color="auto"/>
            </w:tcBorders>
          </w:tcPr>
          <w:p w14:paraId="28D686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638 </w:t>
            </w:r>
          </w:p>
        </w:tc>
        <w:tc>
          <w:tcPr>
            <w:tcW w:w="1086" w:type="dxa"/>
            <w:tcBorders>
              <w:bottom w:val="single" w:sz="12" w:space="0" w:color="auto"/>
            </w:tcBorders>
          </w:tcPr>
          <w:p w14:paraId="48DFE1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700 </w:t>
            </w:r>
          </w:p>
        </w:tc>
        <w:tc>
          <w:tcPr>
            <w:tcW w:w="1127" w:type="dxa"/>
            <w:tcBorders>
              <w:bottom w:val="single" w:sz="12" w:space="0" w:color="auto"/>
            </w:tcBorders>
          </w:tcPr>
          <w:p w14:paraId="4FC7BAE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605 </w:t>
            </w:r>
          </w:p>
        </w:tc>
      </w:tr>
    </w:tbl>
    <w:p w14:paraId="439CAC17" w14:textId="77777777" w:rsidR="00BB6316" w:rsidRPr="00722885" w:rsidRDefault="00BB6316" w:rsidP="00722885">
      <w:pPr>
        <w:pStyle w:val="afffa"/>
        <w:spacing w:before="0" w:after="0"/>
        <w:jc w:val="both"/>
        <w:rPr>
          <w:color w:val="000000" w:themeColor="text1"/>
          <w:sz w:val="16"/>
          <w:szCs w:val="16"/>
        </w:rPr>
      </w:pPr>
      <w:r w:rsidRPr="00722885">
        <w:rPr>
          <w:color w:val="000000" w:themeColor="text1"/>
          <w:sz w:val="16"/>
          <w:szCs w:val="16"/>
        </w:rPr>
        <w:t>(11758).</w:t>
      </w:r>
    </w:p>
    <w:p w14:paraId="6C82D7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декабря 1942 «суховцы» завершили эскизный проект одно</w:t>
      </w:r>
      <w:r w:rsidRPr="00722885">
        <w:rPr>
          <w:rFonts w:ascii="Times New Roman" w:hAnsi="Times New Roman"/>
          <w:color w:val="000000" w:themeColor="text1"/>
          <w:sz w:val="16"/>
          <w:szCs w:val="16"/>
        </w:rPr>
        <w:softHyphen/>
        <w:t>местного пушечного истребителя с двигателями М-71Ф ТК-3. В отли</w:t>
      </w:r>
      <w:r w:rsidRPr="00722885">
        <w:rPr>
          <w:rFonts w:ascii="Times New Roman" w:hAnsi="Times New Roman"/>
          <w:color w:val="000000" w:themeColor="text1"/>
          <w:sz w:val="16"/>
          <w:szCs w:val="16"/>
        </w:rPr>
        <w:softHyphen/>
        <w:t>чие от «истребителя обороны пун</w:t>
      </w:r>
      <w:r w:rsidRPr="00722885">
        <w:rPr>
          <w:rFonts w:ascii="Times New Roman" w:hAnsi="Times New Roman"/>
          <w:color w:val="000000" w:themeColor="text1"/>
          <w:sz w:val="16"/>
          <w:szCs w:val="16"/>
        </w:rPr>
        <w:softHyphen/>
        <w:t>кта» самолет имел двигатели воз</w:t>
      </w:r>
      <w:r w:rsidRPr="00722885">
        <w:rPr>
          <w:rFonts w:ascii="Times New Roman" w:hAnsi="Times New Roman"/>
          <w:color w:val="000000" w:themeColor="text1"/>
          <w:sz w:val="16"/>
          <w:szCs w:val="16"/>
        </w:rPr>
        <w:softHyphen/>
        <w:t>душного охлаждения и более мощ</w:t>
      </w:r>
      <w:r w:rsidRPr="00722885">
        <w:rPr>
          <w:rFonts w:ascii="Times New Roman" w:hAnsi="Times New Roman"/>
          <w:color w:val="000000" w:themeColor="text1"/>
          <w:sz w:val="16"/>
          <w:szCs w:val="16"/>
        </w:rPr>
        <w:softHyphen/>
        <w:t>ное пушечное вооружение, состо</w:t>
      </w:r>
      <w:r w:rsidRPr="00722885">
        <w:rPr>
          <w:rFonts w:ascii="Times New Roman" w:hAnsi="Times New Roman"/>
          <w:color w:val="000000" w:themeColor="text1"/>
          <w:sz w:val="16"/>
          <w:szCs w:val="16"/>
        </w:rPr>
        <w:softHyphen/>
        <w:t>ящее из двух пушек калибра 20 мм с суммарным боезапасом 400 сна</w:t>
      </w:r>
      <w:r w:rsidRPr="00722885">
        <w:rPr>
          <w:rFonts w:ascii="Times New Roman" w:hAnsi="Times New Roman"/>
          <w:color w:val="000000" w:themeColor="text1"/>
          <w:sz w:val="16"/>
          <w:szCs w:val="16"/>
        </w:rPr>
        <w:softHyphen/>
        <w:t>рядов и двух пушек калибра 37мм с суммарным боезапасом 100 снаря-ов. Однако по неизвестным причи</w:t>
      </w:r>
      <w:r w:rsidRPr="00722885">
        <w:rPr>
          <w:rFonts w:ascii="Times New Roman" w:hAnsi="Times New Roman"/>
          <w:color w:val="000000" w:themeColor="text1"/>
          <w:sz w:val="16"/>
          <w:szCs w:val="16"/>
        </w:rPr>
        <w:softHyphen/>
        <w:t>нам данный проект на рассмотрение в вышестоящие организации не представлялся (11574).</w:t>
      </w:r>
    </w:p>
    <w:p w14:paraId="728B9DB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12E340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середине декабря 1942 КБ А.Н.Т. на 166 заводе в Омске подготовило техпредложения по 103 с новым составом вооружения для вариантов:</w:t>
      </w:r>
    </w:p>
    <w:p w14:paraId="148F7D9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высотного скоростного разведчика</w:t>
      </w:r>
    </w:p>
    <w:p w14:paraId="5FD2AE0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высотного скоростного бомбардировщика (с нагрузкой до 3000 кг).</w:t>
      </w:r>
    </w:p>
    <w:p w14:paraId="306A182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высотного истребителя с 1хУБ, 2хШ-37 в бомболюке и 2хШВАК в крыле (2629,24).</w:t>
      </w:r>
    </w:p>
    <w:p w14:paraId="712D8E6B" w14:textId="77777777" w:rsidR="00BB6316" w:rsidRPr="00722885" w:rsidRDefault="00BB6316" w:rsidP="00722885">
      <w:pPr>
        <w:pStyle w:val="Iauiue"/>
        <w:jc w:val="both"/>
        <w:rPr>
          <w:color w:val="000000" w:themeColor="text1"/>
          <w:sz w:val="16"/>
          <w:szCs w:val="16"/>
        </w:rPr>
      </w:pPr>
    </w:p>
    <w:p w14:paraId="7BBDA18B" w14:textId="77777777" w:rsidR="00186195" w:rsidRPr="00722885" w:rsidRDefault="00186195"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4EB494F" w14:textId="77777777" w:rsidR="00186195" w:rsidRPr="00722885" w:rsidRDefault="00186195" w:rsidP="00722885">
      <w:pPr>
        <w:pStyle w:val="Iauiue"/>
        <w:jc w:val="both"/>
        <w:rPr>
          <w:iCs/>
          <w:color w:val="000000" w:themeColor="text1"/>
          <w:sz w:val="16"/>
          <w:szCs w:val="16"/>
        </w:rPr>
      </w:pPr>
    </w:p>
    <w:p w14:paraId="41682042" w14:textId="77777777" w:rsidR="00186195" w:rsidRPr="00722885" w:rsidRDefault="00186195" w:rsidP="00722885">
      <w:pPr>
        <w:pStyle w:val="ae"/>
        <w:shd w:val="clear" w:color="auto" w:fill="FFFFFF"/>
        <w:spacing w:before="0" w:after="0"/>
        <w:jc w:val="both"/>
        <w:rPr>
          <w:color w:val="000000" w:themeColor="text1"/>
          <w:sz w:val="16"/>
          <w:szCs w:val="16"/>
        </w:rPr>
      </w:pPr>
      <w:r w:rsidRPr="00722885">
        <w:rPr>
          <w:color w:val="000000" w:themeColor="text1"/>
          <w:sz w:val="16"/>
          <w:szCs w:val="16"/>
        </w:rPr>
        <w:lastRenderedPageBreak/>
        <w:t>С середины декабря 1942 года КБ начало доработку технической документации по Т-80. Танк стал обретать законченный вид. Башня в очередной раз претерпела изменения, на сей раз уже не столь значительные. Прежде всего, изменилось расположение люка командира/наводчика, а крыша башни получила характерный скос. Переделка оказалась связана с неуравновешенностью опытной башни.</w:t>
      </w:r>
    </w:p>
    <w:p w14:paraId="52AA6588" w14:textId="77777777" w:rsidR="00186195" w:rsidRPr="00722885" w:rsidRDefault="00186195" w:rsidP="00722885">
      <w:pPr>
        <w:pStyle w:val="ae"/>
        <w:shd w:val="clear" w:color="auto" w:fill="FFFFFF"/>
        <w:spacing w:before="0" w:after="0"/>
        <w:jc w:val="both"/>
        <w:rPr>
          <w:color w:val="000000" w:themeColor="text1"/>
          <w:sz w:val="16"/>
          <w:szCs w:val="16"/>
        </w:rPr>
      </w:pPr>
      <w:r w:rsidRPr="00722885">
        <w:rPr>
          <w:color w:val="000000" w:themeColor="text1"/>
          <w:sz w:val="16"/>
          <w:szCs w:val="16"/>
        </w:rPr>
        <w:t>Несмотря на то, что официально ГАЗ Т-80 не производил, в сводном отчёте за годы войны указаны 4 танка данного типа, изготовленных в Горьком. В других источниках говорится и о 5 Т-80, выпущенных на ГАЗ.</w:t>
      </w:r>
    </w:p>
    <w:p w14:paraId="6E05FF46" w14:textId="77777777" w:rsidR="00186195" w:rsidRPr="00722885" w:rsidRDefault="00186195" w:rsidP="00722885">
      <w:pPr>
        <w:pStyle w:val="ae"/>
        <w:shd w:val="clear" w:color="auto" w:fill="FFFFFF"/>
        <w:spacing w:before="0" w:after="0"/>
        <w:jc w:val="both"/>
        <w:rPr>
          <w:color w:val="000000" w:themeColor="text1"/>
          <w:sz w:val="16"/>
          <w:szCs w:val="16"/>
        </w:rPr>
      </w:pPr>
      <w:r w:rsidRPr="00722885">
        <w:rPr>
          <w:color w:val="000000" w:themeColor="text1"/>
          <w:sz w:val="16"/>
          <w:szCs w:val="16"/>
        </w:rPr>
        <w:t>Несмотря на то, что производство Т-80 на ГАЗ им. Молотова не планировалось, на практике уже в январе 1943 года по инициативе руководства завода и Народного комиссариата среднего машиностроения (НКСМ) вовсю шли работы по подготовке его выпуска. Уже в начале марта был построен первый эталонный экземпляр Т-80. Для его сборки использовались корпус и башня, которые изготовили на заводе №176. Этот завод также являлся поставщиком корпусов и башен для завода №40, так что никаких существенных отличий машины двух заводов не имели. Это касается и люка механика-водителя, который у опытного Т-80 был литой, а у эталонного штампованный (17712).</w:t>
      </w:r>
    </w:p>
    <w:p w14:paraId="771F1DB5" w14:textId="77777777" w:rsidR="00186195" w:rsidRPr="00722885" w:rsidRDefault="00186195" w:rsidP="00722885">
      <w:pPr>
        <w:pStyle w:val="12a"/>
        <w:shd w:val="clear" w:color="auto" w:fill="auto"/>
        <w:spacing w:after="0" w:line="240" w:lineRule="auto"/>
        <w:jc w:val="both"/>
        <w:rPr>
          <w:color w:val="000000" w:themeColor="text1"/>
          <w:sz w:val="16"/>
          <w:szCs w:val="16"/>
        </w:rPr>
      </w:pPr>
    </w:p>
    <w:p w14:paraId="7FC39D90" w14:textId="77777777" w:rsidR="00186195" w:rsidRPr="00722885" w:rsidRDefault="0018619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середине декабря 1942 был готов переработанный проект У-35. Он был рассмотрен на техническом совещании, которое прошло 15 декабря на УЗТМ. Помимо Курина, в нем принимали участие Ж.Я. Котин, главный конструктор завода №9 Ф.Ф. Петров и его заместитель А.Н. Булашев, главный конструктор УЗТМ Н.Д. Вернер и военпреды, включая Г.З. Зухера.</w:t>
      </w:r>
    </w:p>
    <w:p w14:paraId="0E80A469" w14:textId="77777777" w:rsidR="00186195" w:rsidRPr="00722885" w:rsidRDefault="0018619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Всего в конструкцию самоходной установки были внесены изменения по 14 пунктам, и многие из них пересекались с конструкцией СГ-2. Наиболее заметным сходством с самоходной установкой завода №592 стал колпак с тремя смотровыми лючками, предназначенный для перископического прицела. Похожим оказался и люк в крыше рубки, правда, конструкторы УЗТМ сделали его одностворчатым. Как и на СГ-2, вместо командирской башенки командир получил перископический прибор ПТК. Похожим оказалось и размещение боекомплекта.</w:t>
      </w:r>
    </w:p>
    <w:p w14:paraId="783016CC" w14:textId="77777777" w:rsidR="00186195" w:rsidRPr="00722885" w:rsidRDefault="0018619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Несмотря на ряд заимствований, переработанная У-35 сильно отличалась как от первоначальной конструкции, так и от СГ-2. От идеи максимально возможного использования шасси Т-34 без изменений конструкторы отказались. Верхний лобовой лист стал более простым по конструкции, без «ступеньки». Переделке подверглись и другие листы рубки. Изменилась установка орудия: был убран лоток, а бронировки переделаны таким образом, чтобы не возникало щелей.</w:t>
      </w:r>
    </w:p>
    <w:p w14:paraId="67E79B53" w14:textId="77777777" w:rsidR="00186195" w:rsidRPr="00722885" w:rsidRDefault="0018619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Место командира переместилось вперед, при этом он совмещал свои обязанности с функциями радиста и наводчика по вертикали. Для заряжающих были предусмотрены откидные сидения. Несколько изменилось место наводчика. Для увеличения объема боевого отделения из него убрали левый верхний топливный бак. Вместо смотровых щелей были установлены перископические смотровые приборы. Еще одним отличием У-35 стали дополнительные топливные баки цилиндрической формы, сделанные по типу топливных баков Кировского завода.</w:t>
      </w:r>
    </w:p>
    <w:p w14:paraId="3B3EABE0" w14:textId="77777777" w:rsidR="00186195" w:rsidRPr="00722885" w:rsidRDefault="0018619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 итогам рассмотрения чертежей переработанной установки У-35 их утвердили. Одновременно были утверждены и временные технические условия на изготовление и приемку машин установочной партии. Для освещения перекрестья прицела в ночное время было утверждено использование штатной установки «Луч». Также участники совещания согласились с предложениями завода №9 на некоторые изменения установки орудия. В частности, убирались смазочные отверстия и масленки в верхней коробке подъемного механизма. В качающейся части М-30 изменялись люлька, верхний станок, установка прицела, подъемный, поворотный и уравновешивающий механизмы.</w:t>
      </w:r>
    </w:p>
    <w:p w14:paraId="6E54795A" w14:textId="77777777" w:rsidR="00186195" w:rsidRPr="00722885" w:rsidRDefault="0018619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Небольшие правки уже не особо влияли на общую картину. Спустя 2,5 года после начала работ над самоходной установкой на базе Т-34 машина, наконец, шла в серийное производство. За это время ее концепция полностью поменялась.</w:t>
      </w:r>
    </w:p>
    <w:p w14:paraId="39C06EC0" w14:textId="77777777" w:rsidR="00186195" w:rsidRPr="00722885" w:rsidRDefault="0018619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 том, что финальная версия У-35 была фактически результатом совместной работы двух КБ (УЗТМ и завода №592), в Свердловске старались не распространяться. Но реальное положение дел хорошо видно из письма, которое 13 марта 1943 года написал заместитель начальника Главного артиллерийского управления Красной Армии (ГАУ КА) генерал-лейтенант артиллерии И.И. Волкотрубенко. Письмо касалось присуждения Сталинской премии Горлицкому и Курину за создание СУ-35. В нем Волкотрубенко справедливо замечал, что самоходная установка является также результатом работы конструкторов Синильщикова и Перервушина, создавших СГ-122 и СГ-2. Заместитель начальника ГАУ не забыл о том, что ряд элементов этих машин был использован в СУ-35. В результате Сталинскую премию второй степени за СУ-35 присудили четверым конструкторам.</w:t>
      </w:r>
    </w:p>
    <w:p w14:paraId="26659BBC" w14:textId="77777777" w:rsidR="00186195" w:rsidRPr="00722885" w:rsidRDefault="0018619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Утверждение чертежей и временных технических условий стало сигналом с запуску работ по подготовке к серийному производству СУ-35. На УЗТМ начались лихорадочные подготовительные работы. Для выполнения срочного правительственного задания у завода оставалось всего две недели, при этом никто не снимал с завода обязательств по выпуску Т-34. Согласно плану, в декабре 1942 года в Свердловске предполагалось выпустить 100 Т-34. Именно столько машин в этом месяце и произвели, из них 50 танков были радийными.</w:t>
      </w:r>
    </w:p>
    <w:p w14:paraId="231448ED" w14:textId="77777777" w:rsidR="00186195" w:rsidRPr="00722885" w:rsidRDefault="0018619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Ввиду крайне сжатых сроков времени на изготовление опытного образца переработанной У-35 просто не оказалось. В НКТП пошли на большой риск, запустив серийное производство без прохождения этапа испытаний. Было решено проверить характеристики серийной самоходной установки, использовав одну машину из установочной партии.</w:t>
      </w:r>
    </w:p>
    <w:p w14:paraId="5C3E6677" w14:textId="77777777" w:rsidR="00186195" w:rsidRPr="00722885" w:rsidRDefault="0018619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Уже в процессе изготовления первых СУ-35 в рабочие чертежи стали вносить изменения. Во многом это стало результатом того, что самоходные установки строили без изготовления опытного образца, на котором обычно отрабатывается изначальная техническая документация. Поэтому первые самоходные установки несколько отличались от первоначальных чертежей. Дело доходило до того, что детали огнерезами подгонялись по месту уже в процессе сборки (17685).</w:t>
      </w:r>
    </w:p>
    <w:p w14:paraId="60EDD02D" w14:textId="77777777" w:rsidR="00186195" w:rsidRPr="00722885" w:rsidRDefault="00186195" w:rsidP="00722885">
      <w:pPr>
        <w:pStyle w:val="12a"/>
        <w:shd w:val="clear" w:color="auto" w:fill="auto"/>
        <w:spacing w:after="0" w:line="240" w:lineRule="auto"/>
        <w:jc w:val="both"/>
        <w:rPr>
          <w:color w:val="000000" w:themeColor="text1"/>
          <w:sz w:val="16"/>
          <w:szCs w:val="16"/>
        </w:rPr>
      </w:pPr>
    </w:p>
    <w:p w14:paraId="1E582C3C" w14:textId="77777777" w:rsidR="00C665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7A5C420" w14:textId="77777777" w:rsidR="00C66516" w:rsidRPr="00722885" w:rsidRDefault="00C66516" w:rsidP="00722885">
      <w:pPr>
        <w:pStyle w:val="Iauiue"/>
        <w:jc w:val="both"/>
        <w:rPr>
          <w:iCs/>
          <w:color w:val="000000" w:themeColor="text1"/>
          <w:sz w:val="16"/>
          <w:szCs w:val="16"/>
        </w:rPr>
      </w:pPr>
    </w:p>
    <w:p w14:paraId="6D61E0A8"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середины декабря 1942 года все станции и мосты на дороги протяженностью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164 километра</w:t>
        </w:r>
      </w:smartTag>
      <w:r w:rsidRPr="00722885">
        <w:rPr>
          <w:rFonts w:ascii="Times New Roman" w:hAnsi="Times New Roman"/>
          <w:color w:val="000000" w:themeColor="text1"/>
          <w:sz w:val="16"/>
          <w:szCs w:val="16"/>
        </w:rPr>
        <w:t xml:space="preserve"> от станции Лоухи до станции Кандалакша е стали объектами регулярных налетов авиации. В отдельные дни фиксировалось до восьми налетов с тяжелыми последствиями. Создалась серьезная угроза срыва движения поездов. Спохватившись, советское командование взялось за укрепление противовоздушной обороны железной дороги. Помимо других сил и средств сюда срочно были переброшены зенитные бронепоезда. Часть из них использовалась как кочующие огневые средства, без чего нельзя было обойтись на войне. Понеся потери в районе станций, теперь прикрытых зенитной артиллерией, немцы перенесли основные усилия на неприкрытые участки и на поезда в пути их следования. Командование Люфтваффе стало практиковать рейды истребителей, которые с самого рассвета и до наступления темноты штурмовали поезда на всем участке пути, стремясь в первую очередь вывести из строя паровоз и остановить состав. Вслед за ними к месту вынужденной остановки поезда прилетали пикирующие бомбардировщики, которые уничтожали состав. При этом возникали пробки, устранить которые в течение дня не было возможности, так как немецкая авиация сразу же выводила из строя ремонтные поезда, направляющиеся к месту аварии. Чтобы не дать возможности восстанавливать поврежденные участки ночью, немцы начали минирование дороги на перегонах, высылая незадолго до наступления темноты группы по два-три бомбардировщика, которые с высоты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50 метров</w:t>
        </w:r>
      </w:smartTag>
      <w:r w:rsidRPr="00722885">
        <w:rPr>
          <w:rFonts w:ascii="Times New Roman" w:hAnsi="Times New Roman"/>
          <w:color w:val="000000" w:themeColor="text1"/>
          <w:sz w:val="16"/>
          <w:szCs w:val="16"/>
        </w:rPr>
        <w:t xml:space="preserve"> сбрасывали на полотно дороги мины замедленного действия. Стремясь исправить положение, командование Мурманского района ПВО ввело сопровождение эшелонов с грузами зенитными бронепоездами в пути. Иногда зенитные площадки бронепоездов включались в состав грузовых поездов: в голове, хвосте и середине состава. Несмотря на принимаемые меры, налеты на железную дорогу продолжались. Только в мае – июне 1943 года были атакованы и получили повреждения около 170 эшелонов (15218).</w:t>
      </w:r>
    </w:p>
    <w:p w14:paraId="5EF46F7C"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6265DBF6"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8B44621" w14:textId="77777777" w:rsidR="00BB6316" w:rsidRPr="00722885" w:rsidRDefault="00BB6316" w:rsidP="00722885">
      <w:pPr>
        <w:pStyle w:val="Iauiue"/>
        <w:jc w:val="both"/>
        <w:rPr>
          <w:iCs/>
          <w:color w:val="000000" w:themeColor="text1"/>
          <w:sz w:val="16"/>
          <w:szCs w:val="16"/>
        </w:rPr>
      </w:pPr>
    </w:p>
    <w:p w14:paraId="36F3510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16 декабря 1942 по 26 января 1943 на И-185 М-71 меняли мотор (818).</w:t>
      </w:r>
    </w:p>
    <w:p w14:paraId="2F7963AC" w14:textId="77777777" w:rsidR="00BB6316" w:rsidRPr="00722885" w:rsidRDefault="00BB6316" w:rsidP="00722885">
      <w:pPr>
        <w:pStyle w:val="Iauiue"/>
        <w:jc w:val="both"/>
        <w:rPr>
          <w:color w:val="000000" w:themeColor="text1"/>
          <w:sz w:val="16"/>
          <w:szCs w:val="16"/>
        </w:rPr>
      </w:pPr>
    </w:p>
    <w:p w14:paraId="5EF1924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16 декабря 1942 П.М.Стефановский выполнил на И-185 площадки на скорость по высотам начиная с 9500 м и потом 7500, 5500 и 4000 м. Сломался мотор и его заклинило. Благополучно сел. Пробный полет с новым мотором состоялся 26 декабря (2921,145).</w:t>
      </w:r>
    </w:p>
    <w:p w14:paraId="7486857C" w14:textId="77777777" w:rsidR="00BB6316" w:rsidRPr="00722885" w:rsidRDefault="00BB6316" w:rsidP="00722885">
      <w:pPr>
        <w:pStyle w:val="Iauiue"/>
        <w:jc w:val="both"/>
        <w:rPr>
          <w:color w:val="000000" w:themeColor="text1"/>
          <w:sz w:val="16"/>
          <w:szCs w:val="16"/>
        </w:rPr>
      </w:pPr>
    </w:p>
    <w:p w14:paraId="67BBED5E"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16 декабря 1942 г. П.М.Стефановский на истребителе И-185 Н.Н.Поликарпова с мотором М-71 в 1700 л.с. достиг скорости 680 км/час (6395).</w:t>
      </w:r>
    </w:p>
    <w:p w14:paraId="2F8E0AC9" w14:textId="77777777" w:rsidR="00BB6316" w:rsidRPr="00722885" w:rsidRDefault="00BB6316" w:rsidP="00722885">
      <w:pPr>
        <w:pStyle w:val="Iauiue"/>
        <w:tabs>
          <w:tab w:val="left" w:pos="11199"/>
        </w:tabs>
        <w:jc w:val="both"/>
        <w:rPr>
          <w:color w:val="000000" w:themeColor="text1"/>
          <w:sz w:val="16"/>
          <w:szCs w:val="16"/>
        </w:rPr>
      </w:pPr>
    </w:p>
    <w:p w14:paraId="7740A07A"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16 декабря </w:t>
      </w:r>
      <w:r w:rsidRPr="00722885">
        <w:rPr>
          <w:rFonts w:ascii="Times New Roman" w:hAnsi="Times New Roman"/>
          <w:color w:val="000000" w:themeColor="text1"/>
          <w:sz w:val="16"/>
          <w:szCs w:val="16"/>
        </w:rPr>
        <w:t>в 1942 году достижение скорости 680 км/ч - в то время наибольшей для советских самолетов, П.М.Стефановский на истребителе «И-185» с мотором «М-71» в 1700 л.с. Н.Н.Поликарпова (14862).</w:t>
      </w:r>
    </w:p>
    <w:p w14:paraId="055951E6"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4EA7957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декабря 1942 г. Н.Н.Поликарпов писал в Новоси</w:t>
      </w:r>
      <w:r w:rsidRPr="00722885">
        <w:rPr>
          <w:rFonts w:ascii="Times New Roman" w:hAnsi="Times New Roman"/>
          <w:color w:val="000000" w:themeColor="text1"/>
          <w:sz w:val="16"/>
          <w:szCs w:val="16"/>
        </w:rPr>
        <w:softHyphen/>
        <w:t>бирск Н.А.Жемчужину:</w:t>
      </w:r>
    </w:p>
    <w:p w14:paraId="0E1E80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«Многоуважаемый Николай Алексеевич!</w:t>
      </w:r>
    </w:p>
    <w:p w14:paraId="4346C2D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нас сваливается очень крупная работа по И под М90 (истребителю И-185 с М-90. - В.И.). Мотор прошел совместные 50-ти часовые испытания и запущен в не</w:t>
      </w:r>
      <w:r w:rsidRPr="00722885">
        <w:rPr>
          <w:rFonts w:ascii="Times New Roman" w:hAnsi="Times New Roman"/>
          <w:color w:val="000000" w:themeColor="text1"/>
          <w:sz w:val="16"/>
          <w:szCs w:val="16"/>
        </w:rPr>
        <w:softHyphen/>
        <w:t>большую серию. Шишкин (начальник главка опытного самолетостроения. - В.И.) предложил немедленно во</w:t>
      </w:r>
      <w:r w:rsidRPr="00722885">
        <w:rPr>
          <w:rFonts w:ascii="Times New Roman" w:hAnsi="Times New Roman"/>
          <w:color w:val="000000" w:themeColor="text1"/>
          <w:sz w:val="16"/>
          <w:szCs w:val="16"/>
        </w:rPr>
        <w:softHyphen/>
        <w:t>зобновить работы...</w:t>
      </w:r>
    </w:p>
    <w:p w14:paraId="0CAECCD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Было бы очень хорошо, если бы Вы выслали матери</w:t>
      </w:r>
      <w:r w:rsidRPr="00722885">
        <w:rPr>
          <w:rFonts w:ascii="Times New Roman" w:hAnsi="Times New Roman"/>
          <w:color w:val="000000" w:themeColor="text1"/>
          <w:sz w:val="16"/>
          <w:szCs w:val="16"/>
        </w:rPr>
        <w:softHyphen/>
        <w:t>алы по М90 и по И под М90...</w:t>
      </w:r>
    </w:p>
    <w:p w14:paraId="28F60AA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Сейчас гоним окончание 02 для посылки на фронт-Вопрос с И дебатируется везде, но пока реального ни</w:t>
      </w:r>
      <w:r w:rsidRPr="00722885">
        <w:rPr>
          <w:rFonts w:ascii="Times New Roman" w:hAnsi="Times New Roman"/>
          <w:color w:val="000000" w:themeColor="text1"/>
          <w:sz w:val="16"/>
          <w:szCs w:val="16"/>
        </w:rPr>
        <w:softHyphen/>
        <w:t>кто ничего не сказал. Решающее слово будет за А.И. (Шахуриным - В.И.), но он говорит, что наша машина для него загадка. Нас как будто бы поддерживает Ин</w:t>
      </w:r>
      <w:r w:rsidRPr="00722885">
        <w:rPr>
          <w:rFonts w:ascii="Times New Roman" w:hAnsi="Times New Roman"/>
          <w:color w:val="000000" w:themeColor="text1"/>
          <w:sz w:val="16"/>
          <w:szCs w:val="16"/>
        </w:rPr>
        <w:softHyphen/>
        <w:t>спекция ВВС, но сдвига еще нет...</w:t>
      </w:r>
    </w:p>
    <w:p w14:paraId="0204B19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Вчера неожиданно приехал Дементьев и Шапиро (за</w:t>
      </w:r>
      <w:r w:rsidRPr="00722885">
        <w:rPr>
          <w:rFonts w:ascii="Times New Roman" w:hAnsi="Times New Roman"/>
          <w:color w:val="000000" w:themeColor="text1"/>
          <w:sz w:val="16"/>
          <w:szCs w:val="16"/>
        </w:rPr>
        <w:softHyphen/>
        <w:t>вод № 30) смотреть машину 02, а также поговорить о данных, о техпомощи и т.д.</w:t>
      </w:r>
    </w:p>
    <w:p w14:paraId="091DDBC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Посещение непонятное - говорят, что завод № 30 пе</w:t>
      </w:r>
      <w:r w:rsidRPr="00722885">
        <w:rPr>
          <w:rFonts w:ascii="Times New Roman" w:hAnsi="Times New Roman"/>
          <w:color w:val="000000" w:themeColor="text1"/>
          <w:sz w:val="16"/>
          <w:szCs w:val="16"/>
        </w:rPr>
        <w:softHyphen/>
        <w:t>реведут на другую машину, а другие говорят, что Дементьев на заводе № 21 спасает машину Лавочкина (Ла-5. -В.И.), каковая на форсированном моторе дает данные ниже полученных на госиспытаниях, хотя Лавочкин клялся дать на нем такие же данные, как Поликарпов на 71 (т.е. с мотором М-71. - В.И.). Поживем - увидим, но все же можно отметить мышью беготню около самолета.</w:t>
      </w:r>
    </w:p>
    <w:p w14:paraId="598526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Ну, пока до свиданья, желаю Вам всего хорошего» (10667).</w:t>
      </w:r>
    </w:p>
    <w:p w14:paraId="6429B35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ED144B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декабря 1942 в ходе государственных испытаний И-185 эталона в полете остановился двигатель. П.М.Сте</w:t>
      </w:r>
      <w:r w:rsidRPr="00722885">
        <w:rPr>
          <w:rFonts w:ascii="Times New Roman" w:hAnsi="Times New Roman"/>
          <w:color w:val="000000" w:themeColor="text1"/>
          <w:sz w:val="16"/>
          <w:szCs w:val="16"/>
        </w:rPr>
        <w:softHyphen/>
        <w:t>фановский так писал об этом в своих воспоминаниях:</w:t>
      </w:r>
    </w:p>
    <w:p w14:paraId="2D45872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вдруг раздался глухой удар. Что-то заскрежетало внутри мотора. Затрясся и остановился винт. Скорее на аэродром! Он находится немного в стороне.</w:t>
      </w:r>
    </w:p>
    <w:p w14:paraId="5F5ED43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Разворот, планирование, выпуск шасси и закрылков. Посадка на центр аэродрома.</w:t>
      </w:r>
    </w:p>
    <w:p w14:paraId="5400DF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Навстречу мчится механик с испытательной брига</w:t>
      </w:r>
      <w:r w:rsidRPr="00722885">
        <w:rPr>
          <w:rFonts w:ascii="Times New Roman" w:hAnsi="Times New Roman"/>
          <w:color w:val="000000" w:themeColor="text1"/>
          <w:sz w:val="16"/>
          <w:szCs w:val="16"/>
        </w:rPr>
        <w:softHyphen/>
        <w:t>дой. Осмотр и вывод: мотор заклинило, нужно ждать присылки нового» (10667).</w:t>
      </w:r>
    </w:p>
    <w:p w14:paraId="4083A7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итоге испытания были прерваны с 17 декабря по 26 января 1943 г. Несмотря на то, что они еще не завер</w:t>
      </w:r>
      <w:r w:rsidRPr="00722885">
        <w:rPr>
          <w:rFonts w:ascii="Times New Roman" w:hAnsi="Times New Roman"/>
          <w:color w:val="000000" w:themeColor="text1"/>
          <w:sz w:val="16"/>
          <w:szCs w:val="16"/>
        </w:rPr>
        <w:softHyphen/>
        <w:t>шились, стало ясно, что получился действительно хоро</w:t>
      </w:r>
      <w:r w:rsidRPr="00722885">
        <w:rPr>
          <w:rFonts w:ascii="Times New Roman" w:hAnsi="Times New Roman"/>
          <w:color w:val="000000" w:themeColor="text1"/>
          <w:sz w:val="16"/>
          <w:szCs w:val="16"/>
        </w:rPr>
        <w:softHyphen/>
        <w:t>ший самолет, превосходивший как отечественные, так и заграничные образцы. На повестку дня стал вопрос о се</w:t>
      </w:r>
      <w:r w:rsidRPr="00722885">
        <w:rPr>
          <w:rFonts w:ascii="Times New Roman" w:hAnsi="Times New Roman"/>
          <w:color w:val="000000" w:themeColor="text1"/>
          <w:sz w:val="16"/>
          <w:szCs w:val="16"/>
        </w:rPr>
        <w:softHyphen/>
        <w:t>рийном производстве машины (10667).</w:t>
      </w:r>
    </w:p>
    <w:p w14:paraId="15BF9B8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2BD37B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декабря 1942 Архангельским было подготовлено Объяснение к Плану работ ОКБ Туполева на конец 1942 года и на 1943 год:</w:t>
      </w:r>
    </w:p>
    <w:p w14:paraId="600F6C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решением ГКО от "__” 194..г.</w:t>
      </w:r>
    </w:p>
    <w:p w14:paraId="4ACFCD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Конструкторским Бюро намечены следующие работы по самолету ТУ-2 на конец 1942 года и на 1943 г.</w:t>
      </w:r>
    </w:p>
    <w:p w14:paraId="2104B2B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Доводки (включая обслуживание самолетов в частях), упрощение и приведение самолета к стандартному типу.</w:t>
      </w:r>
    </w:p>
    <w:p w14:paraId="4C4998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Доводки</w:t>
      </w:r>
    </w:p>
    <w:p w14:paraId="3E596A0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основе эксплоатации самолета Ту-2 на заводском аэродроме при формировании полков и перелетах их на фронт, а также на основе опыта боевой работы этих машин на фронте, Конструкторским Бюро составлен перечень дефектов самолета (см. прилагаемую ведомость), под</w:t>
      </w:r>
      <w:r w:rsidRPr="00722885">
        <w:rPr>
          <w:rFonts w:ascii="Times New Roman" w:hAnsi="Times New Roman"/>
          <w:color w:val="000000" w:themeColor="text1"/>
          <w:sz w:val="16"/>
          <w:szCs w:val="16"/>
        </w:rPr>
        <w:softHyphen/>
        <w:t>лежащих исправлению на уже выпущенных самолетах. При раазработке новой конструкции, исправляющей тот или иной дефект, Конструкторским Бю</w:t>
      </w:r>
      <w:r w:rsidRPr="00722885">
        <w:rPr>
          <w:rFonts w:ascii="Times New Roman" w:hAnsi="Times New Roman"/>
          <w:color w:val="000000" w:themeColor="text1"/>
          <w:sz w:val="16"/>
          <w:szCs w:val="16"/>
        </w:rPr>
        <w:softHyphen/>
        <w:t>ро предусматривалось введение этой конструкции в самолет по возможности без нарушения его летной работы.</w:t>
      </w:r>
    </w:p>
    <w:p w14:paraId="07457E9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числу работ по доводкам самолета относятся также и работы по увеличению максимальной скорости машины, которые сводятся:</w:t>
      </w:r>
    </w:p>
    <w:p w14:paraId="101522F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К испытанию и изучению работы электросистемы моторов М-82 (магнето, проводка и свечи) на больших высотах.</w:t>
      </w:r>
    </w:p>
    <w:p w14:paraId="15EC4B7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участию в этой работе нами привлечены: ЛИИ НКАП'а, Ака</w:t>
      </w:r>
      <w:r w:rsidRPr="00722885">
        <w:rPr>
          <w:rFonts w:ascii="Times New Roman" w:hAnsi="Times New Roman"/>
          <w:color w:val="000000" w:themeColor="text1"/>
          <w:sz w:val="16"/>
          <w:szCs w:val="16"/>
        </w:rPr>
        <w:softHyphen/>
        <w:t>демия им. Жуковского , заводы п/я 211 и друг. организации.</w:t>
      </w:r>
    </w:p>
    <w:p w14:paraId="2517918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К испытанию самолета ТУ-2 с повышенной высотностью нагнетателя на монюрах, а также к испытанию самолетов на моторах с повы</w:t>
      </w:r>
      <w:r w:rsidRPr="00722885">
        <w:rPr>
          <w:rFonts w:ascii="Times New Roman" w:hAnsi="Times New Roman"/>
          <w:color w:val="000000" w:themeColor="text1"/>
          <w:sz w:val="16"/>
          <w:szCs w:val="16"/>
        </w:rPr>
        <w:softHyphen/>
        <w:t>шенной мощностью.</w:t>
      </w:r>
    </w:p>
    <w:p w14:paraId="1436F9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Испытание самолетов намечено- проводить экипажем ЛИИ НКАПа на опытных самолетах КБ , на которых предположена смена моторов (на моторы с повышенной высотностью, а также на моторы с повышен</w:t>
      </w:r>
      <w:r w:rsidRPr="00722885">
        <w:rPr>
          <w:rFonts w:ascii="Times New Roman" w:hAnsi="Times New Roman"/>
          <w:color w:val="000000" w:themeColor="text1"/>
          <w:sz w:val="16"/>
          <w:szCs w:val="16"/>
        </w:rPr>
        <w:softHyphen/>
        <w:t>ной мощностью).</w:t>
      </w:r>
    </w:p>
    <w:p w14:paraId="1C1EEC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Упрощение и приведение самолета к стандартному типу</w:t>
      </w:r>
    </w:p>
    <w:p w14:paraId="6952078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основе опыта производства самолетов ТУ-2 на заводе № 166а также на основе уже значительного опыта эксплоатации этих самоле</w:t>
      </w:r>
      <w:r w:rsidRPr="00722885">
        <w:rPr>
          <w:rFonts w:ascii="Times New Roman" w:hAnsi="Times New Roman"/>
          <w:color w:val="000000" w:themeColor="text1"/>
          <w:sz w:val="16"/>
          <w:szCs w:val="16"/>
        </w:rPr>
        <w:softHyphen/>
        <w:t>тов, как в частях, так и на фронте, Конструкторским Бюро проводится сейчас большая работа по упрощению и удешевлению серийного производства этих машин, по упрощению их эксплоатации и одновременно по повышению их живучести.</w:t>
      </w:r>
    </w:p>
    <w:p w14:paraId="0AF7ECB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 всех проводимые работ по этому разделу дается в прилагаемом описании "Краткие данные по стандартному типу самолета Ту-2" и в прилагаемой "Ведомости" сокращения агрегатов и материалов.</w:t>
      </w:r>
    </w:p>
    <w:p w14:paraId="643FCE3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проверки и испытания проводимых мероприятий К.Б. предполагает выполнить все указанные работы на трех серийных самолетах с последующим испытанием их в летных условиях.</w:t>
      </w:r>
    </w:p>
    <w:p w14:paraId="7ED6E93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этих же трех самолетах КБ предполагает выполнить усиление стрелкового вооружения путем установки (сзади, вверх) пушки "Швак" кал. 20 мм. и увеличения боезапаса на других стрелковых точках, а также усиление бронезащиты экипажа.</w:t>
      </w:r>
    </w:p>
    <w:p w14:paraId="15BF0A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Внедрение дерева в конструкцию самолета.</w:t>
      </w:r>
    </w:p>
    <w:p w14:paraId="5D10158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Конструкторским Бюро и заводом № 166 уже проделана значительная работа по внедрению дерева в самолет ТУ-2 (передняя часть фюзеляжа, посадочные щитки, хвостовая часть фюзеляжа и пр.). Эту ра</w:t>
      </w:r>
      <w:r w:rsidRPr="00722885">
        <w:rPr>
          <w:rFonts w:ascii="Times New Roman" w:hAnsi="Times New Roman"/>
          <w:color w:val="000000" w:themeColor="text1"/>
          <w:sz w:val="16"/>
          <w:szCs w:val="16"/>
        </w:rPr>
        <w:softHyphen/>
        <w:t>боту КБ предполагает продолжать и дальше (см. прилагаемое описа</w:t>
      </w:r>
      <w:r w:rsidRPr="00722885">
        <w:rPr>
          <w:rFonts w:ascii="Times New Roman" w:hAnsi="Times New Roman"/>
          <w:color w:val="000000" w:themeColor="text1"/>
          <w:sz w:val="16"/>
          <w:szCs w:val="16"/>
        </w:rPr>
        <w:softHyphen/>
        <w:t>ние).</w:t>
      </w:r>
    </w:p>
    <w:p w14:paraId="4D15B4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 Серийный самолет в варианте разведчика Ту-2р</w:t>
      </w:r>
    </w:p>
    <w:p w14:paraId="54AF0D8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свое вяемя К.Б. был спроектирован на базе серийного самолета ТУ-2 - разведчик со специальным фото-оборудованием, но в несколько сокращенном по сравнению с техническими требованиями варианте.</w:t>
      </w:r>
    </w:p>
    <w:p w14:paraId="5AA6B7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КБ проектирует такой, разведчик, который полностью удовлетворяет тактико-техническим требованиям на этот тип самолета.</w:t>
      </w:r>
    </w:p>
    <w:p w14:paraId="48D3EFB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КБ предполагает заполучить один серийный самолет от ВВС"а и переоборудовать его под такой разведчик с последующей передачей его обратно и ВВС для проверки на испытаниях.</w:t>
      </w:r>
    </w:p>
    <w:p w14:paraId="059F8C3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1V. Дальний разведчик ТУ-2ДР.</w:t>
      </w:r>
    </w:p>
    <w:p w14:paraId="54D383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Некоторые изменения в конструкции серийного самолета ТУ-2 позволяют сделать из него дальний разведывательный самолет с дальностью действия порядка 4000 км. Конструкторское Бюро предполагает, путем замены от"емных частей крыльев и оперения, увеличения числа бензиновых баков к монтажа аэрофотоустанозки на 2-х серийных экземплярах самолета ТУ-2, переоборудовать их под дальние разведчики.</w:t>
      </w:r>
    </w:p>
    <w:p w14:paraId="517B18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для проведении в жизнь намеченных на на 1942-43 г. работ, Конструкторскому Бюро необходимо наличие 5-ти серийных самолетов Ту-2.</w:t>
      </w:r>
    </w:p>
    <w:p w14:paraId="7A59DC6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До оборудование опытного само дета 103 с двумя М-37 для передачи его фронту.</w:t>
      </w:r>
    </w:p>
    <w:p w14:paraId="6468D4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Учитывая высокие летные данные, полученные на самолете 103 с двумя М-37 при испытании его в НИИ ВВС (635 кл/ч.), КБ предполагает произвести, по договосонности с ВВС , соответству</w:t>
      </w:r>
      <w:r w:rsidRPr="00722885">
        <w:rPr>
          <w:rFonts w:ascii="Times New Roman" w:hAnsi="Times New Roman"/>
          <w:color w:val="000000" w:themeColor="text1"/>
          <w:sz w:val="16"/>
          <w:szCs w:val="16"/>
        </w:rPr>
        <w:softHyphen/>
        <w:t>ющее дооборудование этого опытного самолета для использования его на фронте в боевых условиях.</w:t>
      </w:r>
    </w:p>
    <w:p w14:paraId="24B97D1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можно использовать или в виде высотного разведчи</w:t>
      </w:r>
      <w:r w:rsidRPr="00722885">
        <w:rPr>
          <w:rFonts w:ascii="Times New Roman" w:hAnsi="Times New Roman"/>
          <w:color w:val="000000" w:themeColor="text1"/>
          <w:sz w:val="16"/>
          <w:szCs w:val="16"/>
        </w:rPr>
        <w:softHyphen/>
        <w:t>ка или высотного бомбардировщика, либо в качестве двухмоторного высотного дальнего исвробителя.</w:t>
      </w:r>
    </w:p>
    <w:p w14:paraId="7B00BE6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 работы в боевых условиях машины с такими высокими летными данными дает ценный материал по использованию такого типа самолета, как спецмальной тактической единицы Воздушного Флота.</w:t>
      </w:r>
    </w:p>
    <w:p w14:paraId="6695A0E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К.Б. имеет в своем ласпопяженим несколько опытных самоле</w:t>
      </w:r>
      <w:r w:rsidRPr="00722885">
        <w:rPr>
          <w:rFonts w:ascii="Times New Roman" w:hAnsi="Times New Roman"/>
          <w:color w:val="000000" w:themeColor="text1"/>
          <w:sz w:val="16"/>
          <w:szCs w:val="16"/>
        </w:rPr>
        <w:softHyphen/>
        <w:t>тов (103В, 103-2М37 и др.), на обслуживание и содержание которых Опрашиваются соответствущие средства.</w:t>
      </w:r>
    </w:p>
    <w:p w14:paraId="154B9B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Помимо перечисленного выше, в планировку заботы К.Б. включены проектирование нового одномоторного или двухмоторного самолета в соответствии с тактико-техническими треблваниями НКАП (10746,2).</w:t>
      </w:r>
    </w:p>
    <w:p w14:paraId="10A33E6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19D3EC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декабря 1942 г. датирована поясни</w:t>
      </w:r>
      <w:r w:rsidRPr="00722885">
        <w:rPr>
          <w:rFonts w:ascii="Times New Roman" w:hAnsi="Times New Roman"/>
          <w:color w:val="000000" w:themeColor="text1"/>
          <w:sz w:val="16"/>
          <w:szCs w:val="16"/>
        </w:rPr>
        <w:softHyphen/>
        <w:t>тельная записка Королева, в которой говорилось «Предполагаемый самолет-перехватчик с реактивным двигателем РД-1 является представителем нового класса сверхскоростных высотных ис</w:t>
      </w:r>
      <w:r w:rsidRPr="00722885">
        <w:rPr>
          <w:rFonts w:ascii="Times New Roman" w:hAnsi="Times New Roman"/>
          <w:color w:val="000000" w:themeColor="text1"/>
          <w:sz w:val="16"/>
          <w:szCs w:val="16"/>
        </w:rPr>
        <w:softHyphen/>
        <w:t>требителей. РП обладает исключительно высокими летными и тактическими качествами и мощным вооружением, что при сравнительно большой для реактивных машин продолжитель</w:t>
      </w:r>
      <w:r w:rsidRPr="00722885">
        <w:rPr>
          <w:rFonts w:ascii="Times New Roman" w:hAnsi="Times New Roman"/>
          <w:color w:val="000000" w:themeColor="text1"/>
          <w:sz w:val="16"/>
          <w:szCs w:val="16"/>
        </w:rPr>
        <w:softHyphen/>
        <w:t>ности полета позволяет ему решать многие недоступные для винтомоторных самолетов тактические задачи. РП может дог</w:t>
      </w:r>
      <w:r w:rsidRPr="00722885">
        <w:rPr>
          <w:rFonts w:ascii="Times New Roman" w:hAnsi="Times New Roman"/>
          <w:color w:val="000000" w:themeColor="text1"/>
          <w:sz w:val="16"/>
          <w:szCs w:val="16"/>
        </w:rPr>
        <w:softHyphen/>
        <w:t>нать и уничтожить любой современный скоростной самолет, летящий на сколь угодно больщой высоте и попавшийв зону его действия. Малая трудоемкость и доступность в изготовле</w:t>
      </w:r>
      <w:r w:rsidRPr="00722885">
        <w:rPr>
          <w:rFonts w:ascii="Times New Roman" w:hAnsi="Times New Roman"/>
          <w:color w:val="000000" w:themeColor="text1"/>
          <w:sz w:val="16"/>
          <w:szCs w:val="16"/>
        </w:rPr>
        <w:softHyphen/>
        <w:t>ния самолета РП и двигателя РД-1 позволяют в короткие сроки наладить выпуск машин для использования в идущей вой</w:t>
      </w:r>
      <w:r w:rsidRPr="00722885">
        <w:rPr>
          <w:rFonts w:ascii="Times New Roman" w:hAnsi="Times New Roman"/>
          <w:color w:val="000000" w:themeColor="text1"/>
          <w:sz w:val="16"/>
          <w:szCs w:val="16"/>
        </w:rPr>
        <w:softHyphen/>
        <w:t>не» (10675).</w:t>
      </w:r>
    </w:p>
    <w:p w14:paraId="687EE1F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6B0847E" w14:textId="77777777" w:rsidR="004532E0" w:rsidRPr="00722885" w:rsidRDefault="004532E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 16 декабря 1942. Королев закончил проект своего РП и 26 декабря 1942 Королев направил докладную записку в НКАП и Л.П.Берия. По РД и РУ для Пе-2 Королев считал, что Глушко располагает перспективным, но еще сырым двигателем. Он пишет, что после испытаний в 1-м квартале </w:t>
      </w:r>
      <w:smartTag w:uri="urn:schemas-microsoft-com:office:smarttags" w:element="metricconverter">
        <w:smartTagPr>
          <w:attr w:name="ProductID" w:val="43 г"/>
        </w:smartTagPr>
        <w:r w:rsidRPr="00722885">
          <w:rPr>
            <w:rFonts w:ascii="Times New Roman" w:hAnsi="Times New Roman"/>
            <w:color w:val="000000" w:themeColor="text1"/>
            <w:sz w:val="16"/>
            <w:szCs w:val="16"/>
          </w:rPr>
          <w:t>43 г</w:t>
        </w:r>
      </w:smartTag>
      <w:r w:rsidRPr="00722885">
        <w:rPr>
          <w:rFonts w:ascii="Times New Roman" w:hAnsi="Times New Roman"/>
          <w:color w:val="000000" w:themeColor="text1"/>
          <w:sz w:val="16"/>
          <w:szCs w:val="16"/>
        </w:rPr>
        <w:t xml:space="preserve">. он может быть установлен на самолет от 01.05. до 01.06.43. Т.е., когда Глушко предлагал свой двигатель Исаеву в </w:t>
      </w:r>
      <w:smartTag w:uri="urn:schemas-microsoft-com:office:smarttags" w:element="metricconverter">
        <w:smartTagPr>
          <w:attr w:name="ProductID" w:val="05.42 г"/>
        </w:smartTagPr>
        <w:r w:rsidRPr="00722885">
          <w:rPr>
            <w:rFonts w:ascii="Times New Roman" w:hAnsi="Times New Roman"/>
            <w:color w:val="000000" w:themeColor="text1"/>
            <w:sz w:val="16"/>
            <w:szCs w:val="16"/>
          </w:rPr>
          <w:t>05.42 г</w:t>
        </w:r>
      </w:smartTag>
      <w:r w:rsidRPr="00722885">
        <w:rPr>
          <w:rFonts w:ascii="Times New Roman" w:hAnsi="Times New Roman"/>
          <w:color w:val="000000" w:themeColor="text1"/>
          <w:sz w:val="16"/>
          <w:szCs w:val="16"/>
        </w:rPr>
        <w:t>. его еще не было и одиночного с тягой 300 кг (19590).</w:t>
      </w:r>
    </w:p>
    <w:p w14:paraId="1CD7D0F5" w14:textId="77777777" w:rsidR="004532E0" w:rsidRPr="00722885" w:rsidRDefault="004532E0" w:rsidP="00722885">
      <w:pPr>
        <w:spacing w:after="0" w:line="240" w:lineRule="auto"/>
        <w:jc w:val="both"/>
        <w:rPr>
          <w:rFonts w:ascii="Times New Roman" w:hAnsi="Times New Roman"/>
          <w:color w:val="000000" w:themeColor="text1"/>
          <w:sz w:val="16"/>
          <w:szCs w:val="16"/>
        </w:rPr>
      </w:pPr>
    </w:p>
    <w:p w14:paraId="1E781229" w14:textId="77777777" w:rsidR="0011363C" w:rsidRPr="00722885" w:rsidRDefault="001136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16 декабря 1942 г. датирован эскизный проект (ЭП) в объеме 58 листов расчетов компоновки и общий вид ракетного перехватчика с ракетным двигателем РД-1 СП. Королева.</w:t>
      </w:r>
    </w:p>
    <w:p w14:paraId="7F5D697C" w14:textId="77777777" w:rsidR="0011363C" w:rsidRPr="00722885" w:rsidRDefault="001136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Перед разработкой С П. Королев ознакомился с возможно стями отечественных ракетных двигателей. У него возникло «стественное желание применить последние достижения в оте чественном двигателестроении на практике в самолетах, кото рые можно было с большой эффективностью использовать про тив Германии.</w:t>
      </w:r>
    </w:p>
    <w:p w14:paraId="3DA4BBE6" w14:textId="77777777" w:rsidR="0011363C" w:rsidRPr="00722885" w:rsidRDefault="001136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Королев к этому времени был проинформирован, на каком уровне находятся работы по ЖРД РД-1 у В.П. Глушко.</w:t>
      </w:r>
    </w:p>
    <w:p w14:paraId="73C93826" w14:textId="77777777" w:rsidR="0011363C" w:rsidRPr="00722885" w:rsidRDefault="001136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У СП. Королева возникли свои планы по использованию этого двигателя. Так как в декабре 1942 г. РД-1 должен был по ступить на испытания и в течение первого квартала 1943 года двигатель предполагалось доработать по результатам испытаний, Королев предполагал уже в течение мая-июня 1943 г. ус тановить этот двигатель на разрабатываемый им самолет. В то время РД-1 представлялся Королеву как четырехкамерный •ЖРД с турбонасосной системой подачи компонентов топлива (с ТНА). Тяга такого ЖРД ожидалась — 1200 кгс, а масса была бы около 180 кг.</w:t>
      </w:r>
    </w:p>
    <w:p w14:paraId="097C0298" w14:textId="77777777" w:rsidR="0011363C" w:rsidRPr="00722885" w:rsidRDefault="001136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 xml:space="preserve">В пояснительной записке к ЭП СП. Королев очень хоро шо описал предполагаемый ракетный перехватчик. Во-первых, он определил предназначение этого перехватчика, по его пред ставлению перехватчик предназначался для борьбы с авиаци ей противника в воздухе при обороне определенных пунктов — городов, укрепленных объектов и линий и т.д. С П. Королев ожидал от ракетного перехватчика резкого превосходства летных качеств, которые должны были позволить этому </w:t>
      </w:r>
      <w:r w:rsidRPr="00722885">
        <w:rPr>
          <w:color w:val="000000" w:themeColor="text1"/>
          <w:sz w:val="16"/>
          <w:szCs w:val="16"/>
        </w:rPr>
        <w:lastRenderedPageBreak/>
        <w:t>перехват чику догнать и уничтожить любой тогда существовавший са молет, летящий с любой скоростью, на сколько угодно боль шой высоте и попавший в зону его действия. Предполагалось, что ракетный перехватчик можно будет использовать и для внезапной быстрой атаки наземных целей — танков, артилле рийских батарей, зенитных точек противника, переправ и так далее. По расчетам скороподъемность перехватчика составля ла 2 мин на 10000 м при максимальной наклонной скорости 1000 км/ч. Расчетная продолжительность полета — 10... 18 мин при скорости 800...500 км/ч, а максимальная продолжитель ность полета 30 мин.</w:t>
      </w:r>
    </w:p>
    <w:p w14:paraId="757C2D33" w14:textId="77777777" w:rsidR="0011363C" w:rsidRPr="00722885" w:rsidRDefault="001136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Ракетный перехватчик представлялся одноместным само летом, монопланом с низким расположением крыла, фюзеля жем, несущим пилота, вооружение, часть баков, ДУ и хвосто вое оперение. Шасси трехколесное. Конструкция самолета в основном из дерева (хвостовая часть фюзеляжа, несущая дви гатель, изготовлена из дюраля), не требующая применения ни каких специальных или дефицитных материалов. Топливные баки обычного типа, сварные из алюминия. ЖРД предполага лось устанавливать в хвостовой части фюзеляжа. Камера ЖРД с газогенераторной форкамерой, постоянно работающая.</w:t>
      </w:r>
    </w:p>
    <w:p w14:paraId="37DEEF45" w14:textId="77777777" w:rsidR="0011363C" w:rsidRPr="00722885" w:rsidRDefault="001136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Крыло, фюзеляж и оперение — деревянной конструкции, Чт о делает их легкими в изготовлении и в обеспечении мате риалом.</w:t>
      </w:r>
    </w:p>
    <w:p w14:paraId="7E8DF9B6" w14:textId="77777777" w:rsidR="0011363C" w:rsidRPr="00722885" w:rsidRDefault="001136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Ориентировочное вооружение ракетного перехватчика предположительно должно было состоять: две пушки «ВЯ» калиб ра 23 мм с боезапасом 150 снарядов; пулемет «ВС» с запасом патронов; в перегруженном варианте дополнительно подвешивать шесть реактивных снарядов РС-82.</w:t>
      </w:r>
    </w:p>
    <w:p w14:paraId="27B1BE8B" w14:textId="77777777" w:rsidR="0011363C" w:rsidRPr="00722885" w:rsidRDefault="0011363C" w:rsidP="00722885">
      <w:pPr>
        <w:pStyle w:val="ae"/>
        <w:shd w:val="clear" w:color="auto" w:fill="FFFFFF"/>
        <w:spacing w:before="0" w:after="0"/>
        <w:jc w:val="both"/>
        <w:rPr>
          <w:color w:val="000000" w:themeColor="text1"/>
          <w:sz w:val="16"/>
          <w:szCs w:val="16"/>
        </w:rPr>
      </w:pPr>
      <w:r w:rsidRPr="00722885">
        <w:rPr>
          <w:color w:val="000000" w:themeColor="text1"/>
          <w:sz w:val="16"/>
          <w:szCs w:val="16"/>
        </w:rPr>
        <w:t>Проект ракетного перехватчика С П. Королева не был реализован, так как предполагалось, что похожие пробле мы при создании ракетного перехватчика будут успешно решены в НИИ-3 НКОП, где создавали самолет 302 и в ОКБ-293 В.Ф. Болховитинова, где создавался самолет БИ (уже летал) (19586).</w:t>
      </w:r>
    </w:p>
    <w:p w14:paraId="68E7A50C" w14:textId="77777777" w:rsidR="0011363C" w:rsidRPr="00722885" w:rsidRDefault="0011363C" w:rsidP="00722885">
      <w:pPr>
        <w:pStyle w:val="ae"/>
        <w:shd w:val="clear" w:color="auto" w:fill="FFFFFF"/>
        <w:spacing w:before="0" w:after="0"/>
        <w:jc w:val="both"/>
        <w:rPr>
          <w:color w:val="000000" w:themeColor="text1"/>
          <w:sz w:val="16"/>
          <w:szCs w:val="16"/>
        </w:rPr>
      </w:pPr>
    </w:p>
    <w:p w14:paraId="19B3B34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DF240B4" w14:textId="77777777" w:rsidR="00BB6316" w:rsidRPr="00722885" w:rsidRDefault="00BB6316" w:rsidP="00722885">
      <w:pPr>
        <w:pStyle w:val="Iauiue"/>
        <w:jc w:val="both"/>
        <w:rPr>
          <w:iCs/>
          <w:color w:val="000000" w:themeColor="text1"/>
          <w:sz w:val="16"/>
          <w:szCs w:val="16"/>
        </w:rPr>
      </w:pPr>
    </w:p>
    <w:p w14:paraId="71A907EA"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16 декабря 1942 года вышел приказ НКБ № 985с</w:t>
      </w:r>
    </w:p>
    <w:p w14:paraId="7CA183A1"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распоряжением СНК № 23852рс от 12 декабря 1942 года</w:t>
      </w:r>
    </w:p>
    <w:p w14:paraId="5B43BFC8"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Выделить из состава завода № 4 им. Калинина производство минных приборов в самостоятельное (уставное) предприятие.</w:t>
      </w:r>
    </w:p>
    <w:p w14:paraId="51214514"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Присвоить номер 308 НКБ (5943, 65).</w:t>
      </w:r>
    </w:p>
    <w:p w14:paraId="0463FFEA" w14:textId="77777777" w:rsidR="00BB6316" w:rsidRPr="00722885" w:rsidRDefault="00BB6316" w:rsidP="00722885">
      <w:pPr>
        <w:pStyle w:val="Iauiue"/>
        <w:tabs>
          <w:tab w:val="left" w:pos="11199"/>
        </w:tabs>
        <w:jc w:val="both"/>
        <w:rPr>
          <w:color w:val="000000" w:themeColor="text1"/>
          <w:sz w:val="16"/>
          <w:szCs w:val="16"/>
        </w:rPr>
      </w:pPr>
    </w:p>
    <w:p w14:paraId="0B5D59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декабря 1942 г. из СПРАВКИ ЗАВЕДУЮЩЕГО ОТДЕЛОМ ОБКОМА ВКП(б) ПО ПРОМЫШЛЕННОСТИ БОЕПРИПАСОВ С.А. ПАНОВА О ЗАВОДЕ № 556 НАРКОМАТА БОЕПРИПАСОВ</w:t>
      </w:r>
    </w:p>
    <w:p w14:paraId="174CA9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556 Наркомата боеприпасов эвакуирован из города Тулы (бывший завод № 187) в ноябре 1942 года и восстановлен для производства 76 мм и 152 мм орудийных гильз, для снаряжения и патронирования 20 мм и 23 мм осколочно-зажигательных и бронебойно-зажигательных снарядов авиавыстрела. На заводе работает 5 800 человек рабочих, ИТР и служащих, производственные мощности завода составляют 400 единиц тяжелого оборудования: гидравлические прессы с усилением от 65 до 500 тонн, нагреваемые печи, гидравлические насосы, металлорежущие станки и специальные станки для снаряжения и патронирования. В целях обеспечения гильзового производства латунью завод имеет собственную литейно-прокатную базу, оборудованную электроплавильными печами «АЯКС» и станами для проката, которая способна выпускать до 8 000 тонн латуни в месяц, тем самым удовлетворять потребности в гильзовой латуни также других заводов области, изготавливающих 20 мм и 23 мм гильзы. В ноябре завод выполнил план на 93,6%, при этом сдал военпреду: 20 мм и 23 мм патронов — 3 314,2 тысячи штук, орудийных гильз — 562,0 тысяч штук, латунного проката - 2 364 тонны. Товарная продукция завода составляет 14 000 тысяч рублей. Для материально-бытового обслуживания рабочих завод имеет крупное овощно-молочное подсобное хозяйство с общей земельной площадью 6 500 га. Жилфонд завода из 20 700 квадратных метров жилой площади, фабрику-кухню, столовые, амбулаторию и клуб.</w:t>
      </w:r>
    </w:p>
    <w:p w14:paraId="730611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 отделом обкома ВКП(б) по промышленности боеприпасов Панов</w:t>
      </w:r>
    </w:p>
    <w:p w14:paraId="4ACC1C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Р-4. Оп. 7. Д. 518. Л. 50. Копия.</w:t>
      </w:r>
    </w:p>
    <w:p w14:paraId="135F91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Ориентировочная производственная программа завода № 556 на 1943 год</w:t>
      </w:r>
    </w:p>
    <w:p w14:paraId="546E01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 7в мм гильза дивизионная латунная тыс шт. 4 900 </w:t>
      </w:r>
    </w:p>
    <w:p w14:paraId="1B3F1B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76 мм гильза дивизионная железпая тыс шт. 3 000 </w:t>
      </w:r>
    </w:p>
    <w:p w14:paraId="5EFC9E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3 152 мм гильза «Шнейдер» т(ыс] шт. 1 800 </w:t>
      </w:r>
    </w:p>
    <w:p w14:paraId="1C6BC8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20 мм патрон осколочно-зажигательный тыс шт. 12 000 </w:t>
      </w:r>
    </w:p>
    <w:p w14:paraId="6E08A3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20 мм патрон бронебойно-зажига-тельиый тыс шт. 16 400 </w:t>
      </w:r>
    </w:p>
    <w:p w14:paraId="5C75A9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 23 мм патрон оскол очно-зажигательный тыс Шт. 8000 </w:t>
      </w:r>
    </w:p>
    <w:p w14:paraId="290346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7 23 мм патрон бронебойно-зажнга-тельный тыс шт. 4 200 </w:t>
      </w:r>
    </w:p>
    <w:p w14:paraId="7DB293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 Холодный прокат тонн 57 439 </w:t>
      </w:r>
    </w:p>
    <w:p w14:paraId="46D45A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Кружки 23 мм заводу № 153 тонн 927 </w:t>
      </w:r>
    </w:p>
    <w:p w14:paraId="5BA1A4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 Кружки 23 мм заводу № 606 тонн 2 195 </w:t>
      </w:r>
    </w:p>
    <w:p w14:paraId="6338D8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 Станки специальные операционные для обработки очка М.Г, шт. 50 </w:t>
      </w:r>
    </w:p>
    <w:p w14:paraId="16DFF0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ПЭО завода № 556 НКБ Тренин</w:t>
      </w:r>
    </w:p>
    <w:p w14:paraId="280DD1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On. 7. Д. 518. Л. 52. Подлинник.</w:t>
      </w:r>
    </w:p>
    <w:p w14:paraId="352CFA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Подпись-автограф. Документ подготовлен в 2 экз. 16/ХИ 1942 г.. 1-й экз. отправлен в Новосибирский обком ВКП(б) (12193).</w:t>
      </w:r>
    </w:p>
    <w:p w14:paraId="19A3DEE6"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EAACDE2" w14:textId="77777777" w:rsidR="00B5375C" w:rsidRPr="00722885" w:rsidRDefault="00B5375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декабря 1942 в опытно-экспериментальном отделе 540 завода № 183 закончилась сборка Т-43. В ходе неё пришлось вносить некоторые изменения в конструкцию. Вместо проектной системы охлаждения изготовили изменённую, более удачную конструкцию. Также пришлось вносить изменения в чертежи и детали по 30 пунктам. С точки зрения шасси это был всё тот же Т-34М, спроектированный ещё весной 1942 года. Разумеется, за время, прошедшее с весны 1942 года, некоторые элементы немного изменились, но в целом изменения носили незначительный характер. Наиболее заметным новшеством стало появление дополнительных топливных баков в кормовой части корпуса. Это были такие же коробчатые баки, как на Т-34, но их сместили к центру кормового листа. Также появились поручни на надмоторной плите и бортах корпуса. Как и ранее, во главу угла ставилась унификация с серийным Т-34 (всего Т-43 заимствовал от него 24 позиции узлов и агрегатов). Это повлияло в том числе и на массу машины. К началу 1943 года боевая масса Т-34 достигла 30,5 т, а масса Т-43 превысила проектную на 2,2 т. В результате удельное давление на грунт достигло 0,87 кг/см2, это уже было явно много. Меньшую массу имел Т-44 (Т-23), но его строить не стали.</w:t>
      </w:r>
    </w:p>
    <w:p w14:paraId="39A93703" w14:textId="77777777" w:rsidR="00B5375C" w:rsidRPr="00722885" w:rsidRDefault="00B5375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Наибольшие изменения претерпела башня. Общая её концепция сохранилась ещё со времён Т-34М/Т-44, но требования добавить третьего члена экипажа привели к некоторым метаморфозам. Для начала, башня стала более вытянутой за счёт увеличения длины кормовой части. Это было сделано по итогам испытаний Т-34 с трёхместной башней. Также снизу появился выступ, благодаря которому удалось выкроить немного места по высоте. Первоначальный вариант башни Т-43 предполагал командирскую башенку по типу Т-34, но, как уже говорилось, в ноябре 1942 года её заменили на новую конструкцию. Также слева от командирской башенки появился антенный ввод. В отличие от башни Т-34М, в стенках появились порты для стрельбы из личного оружия экипажа. После сборки машина прошла заводские испытания (18420).</w:t>
      </w:r>
    </w:p>
    <w:p w14:paraId="2BB034C0" w14:textId="77777777" w:rsidR="00B5375C" w:rsidRPr="00722885" w:rsidRDefault="00B5375C" w:rsidP="00722885">
      <w:pPr>
        <w:spacing w:after="0" w:line="240" w:lineRule="auto"/>
        <w:jc w:val="both"/>
        <w:rPr>
          <w:rFonts w:ascii="Times New Roman" w:hAnsi="Times New Roman"/>
          <w:color w:val="000000" w:themeColor="text1"/>
          <w:sz w:val="16"/>
          <w:szCs w:val="16"/>
        </w:rPr>
      </w:pPr>
    </w:p>
    <w:p w14:paraId="21E468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декабря 1942 г. была подготовлена СВОДКА ПО ОПЫТНЫМ РАБОТАМ ЗАВОДА № 100 ЗА ВРЕМЯ С 1.12 ПО 15.12.1942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518"/>
        <w:gridCol w:w="2518"/>
      </w:tblGrid>
      <w:tr w:rsidR="009B487A" w:rsidRPr="00722885" w14:paraId="2FE26C4B" w14:textId="77777777" w:rsidTr="00CC5360">
        <w:tc>
          <w:tcPr>
            <w:tcW w:w="2518" w:type="dxa"/>
            <w:tcBorders>
              <w:top w:val="single" w:sz="12" w:space="0" w:color="auto"/>
            </w:tcBorders>
          </w:tcPr>
          <w:p w14:paraId="527FD8B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 темы. Кто дал задание и когда.</w:t>
            </w:r>
          </w:p>
        </w:tc>
        <w:tc>
          <w:tcPr>
            <w:tcW w:w="2518" w:type="dxa"/>
            <w:tcBorders>
              <w:top w:val="single" w:sz="12" w:space="0" w:color="auto"/>
            </w:tcBorders>
          </w:tcPr>
          <w:p w14:paraId="0DAA5F5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Начало работы и объем выполнения.</w:t>
            </w:r>
          </w:p>
        </w:tc>
        <w:tc>
          <w:tcPr>
            <w:tcW w:w="2518" w:type="dxa"/>
            <w:tcBorders>
              <w:top w:val="single" w:sz="12" w:space="0" w:color="auto"/>
            </w:tcBorders>
          </w:tcPr>
          <w:p w14:paraId="5C186B8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 военпреда.</w:t>
            </w:r>
          </w:p>
        </w:tc>
      </w:tr>
      <w:tr w:rsidR="009B487A" w:rsidRPr="00722885" w14:paraId="47A45AAB" w14:textId="77777777" w:rsidTr="00CC5360">
        <w:tc>
          <w:tcPr>
            <w:tcW w:w="2518" w:type="dxa"/>
          </w:tcPr>
          <w:p w14:paraId="1C6146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Облегчение зимнего запуска дизеля В-2. Задание ГАБТУ КА по темнику 2-го полугодия 1942 г.</w:t>
            </w:r>
          </w:p>
        </w:tc>
        <w:tc>
          <w:tcPr>
            <w:tcW w:w="2518" w:type="dxa"/>
          </w:tcPr>
          <w:p w14:paraId="5AEB999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начал работу в октябре месяце. Объем работ:</w:t>
            </w:r>
          </w:p>
          <w:p w14:paraId="1B7104D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Проектирование приспособлений.</w:t>
            </w:r>
          </w:p>
          <w:p w14:paraId="59D44A2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Изготовление их.</w:t>
            </w:r>
          </w:p>
          <w:p w14:paraId="402EB3E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Испытание на стендах в эксплуатации на танках.</w:t>
            </w:r>
          </w:p>
          <w:p w14:paraId="5AB7B18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Заводу представлено на испытание 26 проектов. Из них 9 проектов завод принял для изготовления и испытания. Результаты испытаний см. в прилагаемой сводной таблице</w:t>
            </w:r>
          </w:p>
        </w:tc>
        <w:tc>
          <w:tcPr>
            <w:tcW w:w="2518" w:type="dxa"/>
          </w:tcPr>
          <w:p w14:paraId="54226C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 один отдельно взятый проект из всех представленных для испытаний не решает проблемы зимнего запуска дизеля В-2. Сочетание отдельных проектов между собой может частично разрешить задачу зимнего запуска.</w:t>
            </w:r>
          </w:p>
        </w:tc>
      </w:tr>
      <w:tr w:rsidR="009B487A" w:rsidRPr="00722885" w14:paraId="0C89842F" w14:textId="77777777" w:rsidTr="00CC5360">
        <w:tc>
          <w:tcPr>
            <w:tcW w:w="2518" w:type="dxa"/>
          </w:tcPr>
          <w:p w14:paraId="07372A0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 Коробка перемены передач танка КВ-1с с улучшенным включением каретки мультипликатора и новым замком.</w:t>
            </w:r>
          </w:p>
          <w:p w14:paraId="6A53916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Задание комиссии ГАБТУ КА по испытанию танка КВ-1с, сентябрь месяц</w:t>
            </w:r>
          </w:p>
        </w:tc>
        <w:tc>
          <w:tcPr>
            <w:tcW w:w="2518" w:type="dxa"/>
          </w:tcPr>
          <w:p w14:paraId="22FDEDD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Проектирование начато в октябре. Образец изготовлен в конце ноября. Испытание начато с декабря.</w:t>
            </w:r>
          </w:p>
        </w:tc>
        <w:tc>
          <w:tcPr>
            <w:tcW w:w="2518" w:type="dxa"/>
          </w:tcPr>
          <w:p w14:paraId="029B22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Включение шестерни демультипликатора значительно улучшено.</w:t>
            </w:r>
          </w:p>
          <w:p w14:paraId="14794CF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нового замка коробки требует доработки и дополнительной проверки в эксплуатации.</w:t>
            </w:r>
          </w:p>
        </w:tc>
      </w:tr>
      <w:tr w:rsidR="009B487A" w:rsidRPr="00722885" w14:paraId="1CBA10DC" w14:textId="77777777" w:rsidTr="00CC5360">
        <w:tc>
          <w:tcPr>
            <w:tcW w:w="2518" w:type="dxa"/>
          </w:tcPr>
          <w:p w14:paraId="12A0C64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Короткая артиллерийская ракетная система на танке КВ-1с (КАРСТ-1). Инициативная тема Академии им. Сталина и ТКБ-2 завода №100.</w:t>
            </w:r>
          </w:p>
        </w:tc>
        <w:tc>
          <w:tcPr>
            <w:tcW w:w="2518" w:type="dxa"/>
          </w:tcPr>
          <w:p w14:paraId="3CE29AE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начата в августе. Испытание на танке КВ-1 проведено в сентябре. Отчет об испытаниях составлен, но по неизвестным мне причинам не подписывается генерал-майором т. Котиным, а потому не выслан в ГАБТУ КА. В ноябре КАРСТ-1 установлен на танках КВ-1 с. В настоящее время проходят полигонные испытания в Чебаркуле.</w:t>
            </w:r>
          </w:p>
        </w:tc>
        <w:tc>
          <w:tcPr>
            <w:tcW w:w="2518" w:type="dxa"/>
          </w:tcPr>
          <w:p w14:paraId="5C5C9F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Применение установки КАРСТ-1 как дополнительного сооружения целесообразно на всех типах танка.</w:t>
            </w:r>
          </w:p>
          <w:p w14:paraId="686C45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Подробности см. в моем отчете за сентябрь месяц.</w:t>
            </w:r>
          </w:p>
        </w:tc>
      </w:tr>
      <w:tr w:rsidR="009B487A" w:rsidRPr="00722885" w14:paraId="69371BED" w14:textId="77777777" w:rsidTr="00CC5360">
        <w:tc>
          <w:tcPr>
            <w:tcW w:w="2518" w:type="dxa"/>
          </w:tcPr>
          <w:p w14:paraId="292589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Планетарный поворотный механизм танка. Инициативная тема Академии им. Сталина и ТКБ-2 завода №100.</w:t>
            </w:r>
          </w:p>
        </w:tc>
        <w:tc>
          <w:tcPr>
            <w:tcW w:w="2518" w:type="dxa"/>
          </w:tcPr>
          <w:p w14:paraId="202970A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 по проектированию начата в октябре. В ноябре изготовлен первый образец и подвергнут испытанию на танке КВ-1 С № 15002. В настоящий момент проходят заводские испытания. На 10.12.1942 г. проработал 730 км. Испытания продолжаются.</w:t>
            </w:r>
          </w:p>
        </w:tc>
        <w:tc>
          <w:tcPr>
            <w:tcW w:w="2518" w:type="dxa"/>
          </w:tcPr>
          <w:p w14:paraId="70D2FC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Преимущества планетарного механизма по сравнению с фрикционом несоизмеримо велики. Рекомендовать для немедленной поставки на серийные танки КВ-1 С и Т-34.</w:t>
            </w:r>
          </w:p>
        </w:tc>
      </w:tr>
      <w:tr w:rsidR="009B487A" w:rsidRPr="00722885" w14:paraId="3C918944" w14:textId="77777777" w:rsidTr="00CC5360">
        <w:tc>
          <w:tcPr>
            <w:tcW w:w="2518" w:type="dxa"/>
            <w:tcBorders>
              <w:bottom w:val="single" w:sz="12" w:space="0" w:color="auto"/>
            </w:tcBorders>
          </w:tcPr>
          <w:p w14:paraId="02374CB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Всережимный регулятор мотора В-2 конструкции т. Никифорова. Инициативная тема СКБМ завода № 100</w:t>
            </w:r>
          </w:p>
        </w:tc>
        <w:tc>
          <w:tcPr>
            <w:tcW w:w="2518" w:type="dxa"/>
            <w:tcBorders>
              <w:bottom w:val="single" w:sz="12" w:space="0" w:color="auto"/>
            </w:tcBorders>
          </w:tcPr>
          <w:p w14:paraId="1E868E0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августе изготовлен первый образец. В последующие месяцы изготовлено еще 6 образцов, из них 5 стоят на танках КВ и Т-34 в воинских частях. Один образец проходит 100-часовое стендовое испытание</w:t>
            </w:r>
          </w:p>
        </w:tc>
        <w:tc>
          <w:tcPr>
            <w:tcW w:w="2518" w:type="dxa"/>
            <w:tcBorders>
              <w:bottom w:val="single" w:sz="12" w:space="0" w:color="auto"/>
            </w:tcBorders>
          </w:tcPr>
          <w:p w14:paraId="2B0366F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процессе испытаний выявлены большие преимущества по сравнению с серийным. После испытаний необходимо запустить в серийное производство</w:t>
            </w:r>
          </w:p>
        </w:tc>
      </w:tr>
    </w:tbl>
    <w:p w14:paraId="364BBB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Военпред ГАБТУ КА инженер-майор Федосеев</w:t>
      </w:r>
    </w:p>
    <w:p w14:paraId="12609BF6"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11355. Д. 938. Л. 400. Подлинник (11211).</w:t>
      </w:r>
    </w:p>
    <w:p w14:paraId="1F4BDB6D" w14:textId="77777777" w:rsidR="00BB6316" w:rsidRPr="00722885" w:rsidRDefault="00BB6316" w:rsidP="00722885">
      <w:pPr>
        <w:pStyle w:val="afff2"/>
        <w:jc w:val="both"/>
        <w:rPr>
          <w:i w:val="0"/>
          <w:iCs w:val="0"/>
          <w:color w:val="000000" w:themeColor="text1"/>
          <w:spacing w:val="0"/>
          <w:kern w:val="0"/>
          <w:position w:val="0"/>
          <w:sz w:val="16"/>
          <w:szCs w:val="16"/>
        </w:rPr>
      </w:pPr>
    </w:p>
    <w:p w14:paraId="3C2D9AC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16 декабря 1942 года вышел приказ № 493 НКВ:</w:t>
      </w:r>
    </w:p>
    <w:p w14:paraId="3C975DE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связи с размещением СКБ НКВ на территории филиала завода № 4 ……….(9275).</w:t>
      </w:r>
    </w:p>
    <w:p w14:paraId="15FADEDC" w14:textId="77777777" w:rsidR="00BB6316" w:rsidRPr="00722885" w:rsidRDefault="00BB6316" w:rsidP="00722885">
      <w:pPr>
        <w:pStyle w:val="Iauiue"/>
        <w:jc w:val="both"/>
        <w:rPr>
          <w:color w:val="000000" w:themeColor="text1"/>
          <w:sz w:val="16"/>
          <w:szCs w:val="16"/>
        </w:rPr>
      </w:pPr>
    </w:p>
    <w:p w14:paraId="544453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декабря 1942 вышло Постановление ГКО № 2631 О плане постройки и ремонта кораблей Краснознаменного Балтийского флота в 1943 году. РГАНИР, Фонд ГКО, д. 73, лл. 1-2, 3-6 (11012).</w:t>
      </w:r>
    </w:p>
    <w:p w14:paraId="5C3B647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D8B1B39" w14:textId="77777777" w:rsidR="00C665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декабря 1942 вышло:</w:t>
      </w:r>
    </w:p>
    <w:p w14:paraId="0CA057AA" w14:textId="77777777" w:rsidR="00C66516" w:rsidRPr="00722885" w:rsidRDefault="00BB6316"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ГОСУДАРСТВЕННЫЙ КОМИТЕТ ОБОРОНЫ ПОСТАНОВЛЕНИЕ № 2631сс от «16» декабря 1942 г. г.Москва, Кремль.</w:t>
      </w:r>
    </w:p>
    <w:p w14:paraId="7E4FD545" w14:textId="77777777" w:rsidR="00BB6316" w:rsidRPr="00722885" w:rsidRDefault="00BB6316"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О плане постройки и ремонта кораблей Краснознаменного Балтийского флота в 1943 году.</w:t>
      </w:r>
    </w:p>
    <w:p w14:paraId="57B5A0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Комитет Обороны ПОСТАНОВЛЯЕТ:</w:t>
      </w:r>
    </w:p>
    <w:p w14:paraId="6DED08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Утвердить предложения Военного Совета Ленинградского фронта, Наркомвоенморфлота и Наркомсудпрома о плане постройки и ремонта кораблей Краснознамённого Балтийского Флота в 1943 году на ленинградских заводах Наркомсудпрома, согласно приложениям №№ 1 и 2, в том числе:</w:t>
      </w:r>
    </w:p>
    <w:p w14:paraId="397D88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построить и сдать в 1943 г. Краснознамённому Балтийскому Флоту следующие корабли:</w:t>
      </w:r>
    </w:p>
    <w:p w14:paraId="1FD94E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сторожевых корабля, </w:t>
      </w:r>
    </w:p>
    <w:p w14:paraId="6E939E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быстроходных тральщика,</w:t>
      </w:r>
    </w:p>
    <w:p w14:paraId="3021C4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 подводных лодок, </w:t>
      </w:r>
    </w:p>
    <w:p w14:paraId="1A8647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шхерных мониторов,</w:t>
      </w:r>
    </w:p>
    <w:p w14:paraId="2C6F11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 торпедных катеров,</w:t>
      </w:r>
    </w:p>
    <w:p w14:paraId="3C02A4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31 охотник за подводными лодками, </w:t>
      </w:r>
    </w:p>
    <w:p w14:paraId="4C69AF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52 катерных тральщика, </w:t>
      </w:r>
    </w:p>
    <w:p w14:paraId="0D6C6E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баржи и </w:t>
      </w:r>
    </w:p>
    <w:p w14:paraId="13D5C9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понтона;</w:t>
      </w:r>
    </w:p>
    <w:p w14:paraId="0B92D0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отремонтировать и сдать Краснознамённому Балтийскому</w:t>
      </w:r>
    </w:p>
    <w:p w14:paraId="1A606C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Флоту до 1 июля 1943 г. следующие корабли:</w:t>
      </w:r>
    </w:p>
    <w:p w14:paraId="003F01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 крейсера </w:t>
      </w:r>
    </w:p>
    <w:p w14:paraId="0C3624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лидер эсминцев,</w:t>
      </w:r>
    </w:p>
    <w:p w14:paraId="141EEC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эсминцев, </w:t>
      </w:r>
    </w:p>
    <w:p w14:paraId="015AD0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сторожевой корабль,</w:t>
      </w:r>
    </w:p>
    <w:p w14:paraId="13EC47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тральщиков,</w:t>
      </w:r>
    </w:p>
    <w:p w14:paraId="6A8A25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16 подводных лодок, </w:t>
      </w:r>
    </w:p>
    <w:p w14:paraId="50DBCCC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16 торпедных и броне-катеров, </w:t>
      </w:r>
    </w:p>
    <w:p w14:paraId="1B4BD6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вспомогательных судов,</w:t>
      </w:r>
    </w:p>
    <w:p w14:paraId="4768D9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 разных катеров.</w:t>
      </w:r>
    </w:p>
    <w:p w14:paraId="1C6FF6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Обязать Наркомсудпром (т.Носенко) поставить ленинградским заводам Наркомсудпрома оборудование и материалы, а Наркомвоенморфлот (т.Кузнецова) артиллерийское и химическое вооружение и средства связи в сроки, обеспечивающие сдачу кораблей, предусмотренных в п.1 настоящего Постановления.</w:t>
      </w:r>
    </w:p>
    <w:p w14:paraId="0E5FEA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Поставку недостающего оборудования и материалов предусмотреть в плане обеспечения военного судостроения на 1943 год. </w:t>
      </w:r>
    </w:p>
    <w:p w14:paraId="10B761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ПРЕДСЕДАТЕЛЬ ГОСУДАРСТВЕННОГО КОМИТЕТА ОБОРОНЫ И. СТАЛИН (11813).</w:t>
      </w:r>
    </w:p>
    <w:p w14:paraId="661899CC" w14:textId="77777777" w:rsidR="007116CB"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Приложение №1 к Постановлению ГОКО № 2631сс от 16.12.1942г. </w:t>
      </w:r>
    </w:p>
    <w:p w14:paraId="58D110C2" w14:textId="77777777" w:rsidR="007116CB" w:rsidRPr="00722885" w:rsidRDefault="00BB6316"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ПЛАН</w:t>
      </w:r>
    </w:p>
    <w:p w14:paraId="677CC0A9" w14:textId="77777777" w:rsidR="00BB6316" w:rsidRPr="00722885" w:rsidRDefault="00BB6316"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постройки кораблей для Краснознаменного Балтийского флота на Ленинградских заводах Наркомсудпрома в 1943 году.</w:t>
      </w:r>
    </w:p>
    <w:tbl>
      <w:tblPr>
        <w:tblW w:w="9062"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1465"/>
        <w:gridCol w:w="1275"/>
        <w:gridCol w:w="709"/>
        <w:gridCol w:w="851"/>
        <w:gridCol w:w="850"/>
        <w:gridCol w:w="709"/>
        <w:gridCol w:w="709"/>
        <w:gridCol w:w="708"/>
        <w:gridCol w:w="1786"/>
      </w:tblGrid>
      <w:tr w:rsidR="009B487A" w:rsidRPr="00722885" w14:paraId="4E4A7549" w14:textId="77777777" w:rsidTr="007116CB">
        <w:trPr>
          <w:jc w:val="center"/>
        </w:trPr>
        <w:tc>
          <w:tcPr>
            <w:tcW w:w="1465" w:type="dxa"/>
            <w:tcBorders>
              <w:top w:val="single" w:sz="12" w:space="0" w:color="auto"/>
            </w:tcBorders>
          </w:tcPr>
          <w:p w14:paraId="37F7F9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w:t>
            </w:r>
          </w:p>
          <w:p w14:paraId="3F2F33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кораблей</w:t>
            </w:r>
          </w:p>
        </w:tc>
        <w:tc>
          <w:tcPr>
            <w:tcW w:w="1275" w:type="dxa"/>
            <w:tcBorders>
              <w:top w:val="single" w:sz="12" w:space="0" w:color="auto"/>
            </w:tcBorders>
          </w:tcPr>
          <w:p w14:paraId="10C95C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w:t>
            </w:r>
          </w:p>
          <w:p w14:paraId="17FF6F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строитель</w:t>
            </w:r>
          </w:p>
        </w:tc>
        <w:tc>
          <w:tcPr>
            <w:tcW w:w="709" w:type="dxa"/>
            <w:tcBorders>
              <w:top w:val="single" w:sz="12" w:space="0" w:color="auto"/>
            </w:tcBorders>
          </w:tcPr>
          <w:p w14:paraId="3D5AF0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Переходит по стройк. с I и II </w:t>
            </w:r>
            <w:r w:rsidRPr="00722885">
              <w:rPr>
                <w:rFonts w:ascii="Times New Roman" w:hAnsi="Times New Roman"/>
                <w:color w:val="000000" w:themeColor="text1"/>
                <w:sz w:val="16"/>
                <w:szCs w:val="16"/>
              </w:rPr>
              <w:lastRenderedPageBreak/>
              <w:t>очер. (един.)</w:t>
            </w:r>
          </w:p>
        </w:tc>
        <w:tc>
          <w:tcPr>
            <w:tcW w:w="1701" w:type="dxa"/>
            <w:gridSpan w:val="2"/>
            <w:tcBorders>
              <w:top w:val="single" w:sz="12" w:space="0" w:color="auto"/>
            </w:tcBorders>
          </w:tcPr>
          <w:p w14:paraId="64CBC5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Новые закладки</w:t>
            </w:r>
          </w:p>
        </w:tc>
        <w:tc>
          <w:tcPr>
            <w:tcW w:w="709" w:type="dxa"/>
            <w:tcBorders>
              <w:top w:val="single" w:sz="12" w:space="0" w:color="auto"/>
            </w:tcBorders>
          </w:tcPr>
          <w:p w14:paraId="7855CC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в постройке в 1943 г.</w:t>
            </w:r>
          </w:p>
        </w:tc>
        <w:tc>
          <w:tcPr>
            <w:tcW w:w="1417" w:type="dxa"/>
            <w:gridSpan w:val="2"/>
            <w:tcBorders>
              <w:top w:val="single" w:sz="12" w:space="0" w:color="auto"/>
            </w:tcBorders>
          </w:tcPr>
          <w:p w14:paraId="0E969B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Подлежит сдаче</w:t>
            </w:r>
          </w:p>
        </w:tc>
        <w:tc>
          <w:tcPr>
            <w:tcW w:w="1786" w:type="dxa"/>
            <w:tcBorders>
              <w:top w:val="single" w:sz="12" w:space="0" w:color="auto"/>
            </w:tcBorders>
          </w:tcPr>
          <w:p w14:paraId="42DDB3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Примечание</w:t>
            </w:r>
          </w:p>
        </w:tc>
      </w:tr>
      <w:tr w:rsidR="009B487A" w:rsidRPr="00722885" w14:paraId="0C7799A7" w14:textId="77777777" w:rsidTr="007116CB">
        <w:trPr>
          <w:jc w:val="center"/>
        </w:trPr>
        <w:tc>
          <w:tcPr>
            <w:tcW w:w="1465" w:type="dxa"/>
          </w:tcPr>
          <w:p w14:paraId="1982545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275" w:type="dxa"/>
          </w:tcPr>
          <w:p w14:paraId="37EACA9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09" w:type="dxa"/>
          </w:tcPr>
          <w:p w14:paraId="456A46F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51" w:type="dxa"/>
          </w:tcPr>
          <w:p w14:paraId="19322C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IV кв.1942 г.</w:t>
            </w:r>
          </w:p>
        </w:tc>
        <w:tc>
          <w:tcPr>
            <w:tcW w:w="850" w:type="dxa"/>
          </w:tcPr>
          <w:p w14:paraId="34EACD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w:t>
            </w:r>
          </w:p>
        </w:tc>
        <w:tc>
          <w:tcPr>
            <w:tcW w:w="709" w:type="dxa"/>
          </w:tcPr>
          <w:p w14:paraId="2ECAA5F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09" w:type="dxa"/>
          </w:tcPr>
          <w:p w14:paraId="2F4D36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I полугод. 1943 г.</w:t>
            </w:r>
          </w:p>
        </w:tc>
        <w:tc>
          <w:tcPr>
            <w:tcW w:w="708" w:type="dxa"/>
          </w:tcPr>
          <w:p w14:paraId="403ACE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II полугод. 1943 г.</w:t>
            </w:r>
          </w:p>
        </w:tc>
        <w:tc>
          <w:tcPr>
            <w:tcW w:w="1786" w:type="dxa"/>
          </w:tcPr>
          <w:p w14:paraId="2B19810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6FBAF412" w14:textId="77777777" w:rsidTr="007116CB">
        <w:trPr>
          <w:jc w:val="center"/>
        </w:trPr>
        <w:tc>
          <w:tcPr>
            <w:tcW w:w="1465" w:type="dxa"/>
          </w:tcPr>
          <w:p w14:paraId="634E40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Сторожевой корабль «Ястреб» (Проект №29)</w:t>
            </w:r>
          </w:p>
        </w:tc>
        <w:tc>
          <w:tcPr>
            <w:tcW w:w="1275" w:type="dxa"/>
          </w:tcPr>
          <w:p w14:paraId="4C05E9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709" w:type="dxa"/>
          </w:tcPr>
          <w:p w14:paraId="19E41B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51" w:type="dxa"/>
          </w:tcPr>
          <w:p w14:paraId="5F02A7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03D43B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0008A6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Pr>
          <w:p w14:paraId="66F334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8" w:type="dxa"/>
          </w:tcPr>
          <w:p w14:paraId="1B2957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786" w:type="dxa"/>
          </w:tcPr>
          <w:p w14:paraId="1C15145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6151D0B3" w14:textId="77777777" w:rsidTr="007116CB">
        <w:trPr>
          <w:jc w:val="center"/>
        </w:trPr>
        <w:tc>
          <w:tcPr>
            <w:tcW w:w="1465" w:type="dxa"/>
          </w:tcPr>
          <w:p w14:paraId="723250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«Зоркий»</w:t>
            </w:r>
          </w:p>
        </w:tc>
        <w:tc>
          <w:tcPr>
            <w:tcW w:w="1275" w:type="dxa"/>
          </w:tcPr>
          <w:p w14:paraId="0F5652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w:t>
            </w:r>
          </w:p>
        </w:tc>
        <w:tc>
          <w:tcPr>
            <w:tcW w:w="709" w:type="dxa"/>
          </w:tcPr>
          <w:p w14:paraId="7DB58A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51" w:type="dxa"/>
          </w:tcPr>
          <w:p w14:paraId="389037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0FA4AD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3B928F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Pr>
          <w:p w14:paraId="00A26F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8" w:type="dxa"/>
          </w:tcPr>
          <w:p w14:paraId="728A40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786" w:type="dxa"/>
          </w:tcPr>
          <w:p w14:paraId="3CC80A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Окончание в 1943 г. платежных стадий:7,8, 9, 12 и 15.</w:t>
            </w:r>
          </w:p>
        </w:tc>
      </w:tr>
      <w:tr w:rsidR="009B487A" w:rsidRPr="00722885" w14:paraId="0C61DB69" w14:textId="77777777" w:rsidTr="007116CB">
        <w:trPr>
          <w:jc w:val="center"/>
        </w:trPr>
        <w:tc>
          <w:tcPr>
            <w:tcW w:w="1465" w:type="dxa"/>
          </w:tcPr>
          <w:p w14:paraId="1AC0588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«Тайфун»</w:t>
            </w:r>
          </w:p>
        </w:tc>
        <w:tc>
          <w:tcPr>
            <w:tcW w:w="1275" w:type="dxa"/>
          </w:tcPr>
          <w:p w14:paraId="601092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709" w:type="dxa"/>
          </w:tcPr>
          <w:p w14:paraId="76D4DED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51" w:type="dxa"/>
          </w:tcPr>
          <w:p w14:paraId="5F7576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3859C1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6654A6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Pr>
          <w:p w14:paraId="5892BCC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8" w:type="dxa"/>
          </w:tcPr>
          <w:p w14:paraId="10623E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786" w:type="dxa"/>
          </w:tcPr>
          <w:p w14:paraId="24026ED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75F8B775" w14:textId="77777777" w:rsidTr="007116CB">
        <w:trPr>
          <w:jc w:val="center"/>
        </w:trPr>
        <w:tc>
          <w:tcPr>
            <w:tcW w:w="1465" w:type="dxa"/>
          </w:tcPr>
          <w:p w14:paraId="212B07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Быстроходный тральщик «Громов» (проект 59)</w:t>
            </w:r>
          </w:p>
        </w:tc>
        <w:tc>
          <w:tcPr>
            <w:tcW w:w="1275" w:type="dxa"/>
          </w:tcPr>
          <w:p w14:paraId="0AC45C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№370</w:t>
            </w:r>
          </w:p>
        </w:tc>
        <w:tc>
          <w:tcPr>
            <w:tcW w:w="709" w:type="dxa"/>
          </w:tcPr>
          <w:p w14:paraId="2A1AD6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51" w:type="dxa"/>
          </w:tcPr>
          <w:p w14:paraId="6291C4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0D21BE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628EC3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Pr>
          <w:p w14:paraId="19E927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8" w:type="dxa"/>
          </w:tcPr>
          <w:p w14:paraId="20A47C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786" w:type="dxa"/>
          </w:tcPr>
          <w:p w14:paraId="614A2EF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5F1124CF" w14:textId="77777777" w:rsidTr="007116CB">
        <w:trPr>
          <w:jc w:val="center"/>
        </w:trPr>
        <w:tc>
          <w:tcPr>
            <w:tcW w:w="1465" w:type="dxa"/>
          </w:tcPr>
          <w:p w14:paraId="61A2FB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Быстроходный тральщик «С-34»</w:t>
            </w:r>
          </w:p>
        </w:tc>
        <w:tc>
          <w:tcPr>
            <w:tcW w:w="1275" w:type="dxa"/>
          </w:tcPr>
          <w:p w14:paraId="44A156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№363</w:t>
            </w:r>
          </w:p>
        </w:tc>
        <w:tc>
          <w:tcPr>
            <w:tcW w:w="709" w:type="dxa"/>
          </w:tcPr>
          <w:p w14:paraId="7C751E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51" w:type="dxa"/>
          </w:tcPr>
          <w:p w14:paraId="341DEA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7ABB4B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7E5152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Pr>
          <w:p w14:paraId="10DF91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8" w:type="dxa"/>
          </w:tcPr>
          <w:p w14:paraId="6BDD8C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786" w:type="dxa"/>
          </w:tcPr>
          <w:p w14:paraId="2D66E2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Достройка корпуса до спуска на воду</w:t>
            </w:r>
          </w:p>
        </w:tc>
      </w:tr>
      <w:tr w:rsidR="009B487A" w:rsidRPr="00722885" w14:paraId="5EF0DAA4" w14:textId="77777777" w:rsidTr="007116CB">
        <w:trPr>
          <w:jc w:val="center"/>
        </w:trPr>
        <w:tc>
          <w:tcPr>
            <w:tcW w:w="1465" w:type="dxa"/>
          </w:tcPr>
          <w:p w14:paraId="2FBE0F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275" w:type="dxa"/>
          </w:tcPr>
          <w:p w14:paraId="296E86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№370</w:t>
            </w:r>
          </w:p>
        </w:tc>
        <w:tc>
          <w:tcPr>
            <w:tcW w:w="709" w:type="dxa"/>
          </w:tcPr>
          <w:p w14:paraId="10352D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1" w:type="dxa"/>
          </w:tcPr>
          <w:p w14:paraId="632CC8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4812F6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1A7B66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0B155F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8" w:type="dxa"/>
          </w:tcPr>
          <w:p w14:paraId="4DF8E8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786" w:type="dxa"/>
          </w:tcPr>
          <w:p w14:paraId="6106DA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Монтаж и сдача КБФ</w:t>
            </w:r>
          </w:p>
        </w:tc>
      </w:tr>
      <w:tr w:rsidR="009B487A" w:rsidRPr="00722885" w14:paraId="07C9EEB8" w14:textId="77777777" w:rsidTr="007116CB">
        <w:trPr>
          <w:jc w:val="center"/>
        </w:trPr>
        <w:tc>
          <w:tcPr>
            <w:tcW w:w="1465" w:type="dxa"/>
          </w:tcPr>
          <w:p w14:paraId="5900A1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Подводная лодка «К-51»</w:t>
            </w:r>
          </w:p>
        </w:tc>
        <w:tc>
          <w:tcPr>
            <w:tcW w:w="1275" w:type="dxa"/>
          </w:tcPr>
          <w:p w14:paraId="08387A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w:t>
            </w:r>
          </w:p>
        </w:tc>
        <w:tc>
          <w:tcPr>
            <w:tcW w:w="709" w:type="dxa"/>
          </w:tcPr>
          <w:p w14:paraId="79B90E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51" w:type="dxa"/>
          </w:tcPr>
          <w:p w14:paraId="4B60C5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5A8F8A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4FBB87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Pr>
          <w:p w14:paraId="684DB7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8" w:type="dxa"/>
          </w:tcPr>
          <w:p w14:paraId="088379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786" w:type="dxa"/>
          </w:tcPr>
          <w:p w14:paraId="36D797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 полугод. окончание доковых работ.</w:t>
            </w:r>
          </w:p>
        </w:tc>
      </w:tr>
      <w:tr w:rsidR="009B487A" w:rsidRPr="00722885" w14:paraId="157CFAC0" w14:textId="77777777" w:rsidTr="007116CB">
        <w:trPr>
          <w:jc w:val="center"/>
        </w:trPr>
        <w:tc>
          <w:tcPr>
            <w:tcW w:w="1465" w:type="dxa"/>
          </w:tcPr>
          <w:p w14:paraId="68D7B0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«К-53»</w:t>
            </w:r>
          </w:p>
        </w:tc>
        <w:tc>
          <w:tcPr>
            <w:tcW w:w="1275" w:type="dxa"/>
          </w:tcPr>
          <w:p w14:paraId="3588FC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w:t>
            </w:r>
          </w:p>
        </w:tc>
        <w:tc>
          <w:tcPr>
            <w:tcW w:w="709" w:type="dxa"/>
          </w:tcPr>
          <w:p w14:paraId="63521D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51" w:type="dxa"/>
          </w:tcPr>
          <w:p w14:paraId="603697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297013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4B9AA8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Pr>
          <w:p w14:paraId="0735F2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8" w:type="dxa"/>
          </w:tcPr>
          <w:p w14:paraId="3BB526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786" w:type="dxa"/>
          </w:tcPr>
          <w:p w14:paraId="2F9C2D2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21AA19B2" w14:textId="77777777" w:rsidTr="007116CB">
        <w:trPr>
          <w:jc w:val="center"/>
        </w:trPr>
        <w:tc>
          <w:tcPr>
            <w:tcW w:w="1465" w:type="dxa"/>
          </w:tcPr>
          <w:p w14:paraId="76AC59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«К-55»</w:t>
            </w:r>
          </w:p>
        </w:tc>
        <w:tc>
          <w:tcPr>
            <w:tcW w:w="1275" w:type="dxa"/>
          </w:tcPr>
          <w:p w14:paraId="4CF0E9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w:t>
            </w:r>
          </w:p>
        </w:tc>
        <w:tc>
          <w:tcPr>
            <w:tcW w:w="709" w:type="dxa"/>
          </w:tcPr>
          <w:p w14:paraId="512E06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51" w:type="dxa"/>
          </w:tcPr>
          <w:p w14:paraId="6DC18A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34E1E7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596DD9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Pr>
          <w:p w14:paraId="6650FE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8" w:type="dxa"/>
          </w:tcPr>
          <w:p w14:paraId="4C3200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786" w:type="dxa"/>
          </w:tcPr>
          <w:p w14:paraId="3547E1B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12E7EA3A" w14:textId="77777777" w:rsidTr="007116CB">
        <w:trPr>
          <w:jc w:val="center"/>
        </w:trPr>
        <w:tc>
          <w:tcPr>
            <w:tcW w:w="1465" w:type="dxa"/>
          </w:tcPr>
          <w:p w14:paraId="15A885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«К-54»</w:t>
            </w:r>
          </w:p>
        </w:tc>
        <w:tc>
          <w:tcPr>
            <w:tcW w:w="1275" w:type="dxa"/>
          </w:tcPr>
          <w:p w14:paraId="7D1DFB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w:t>
            </w:r>
          </w:p>
        </w:tc>
        <w:tc>
          <w:tcPr>
            <w:tcW w:w="709" w:type="dxa"/>
          </w:tcPr>
          <w:p w14:paraId="023983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51" w:type="dxa"/>
          </w:tcPr>
          <w:p w14:paraId="7388E2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655D19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3FA3848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Pr>
          <w:p w14:paraId="7F1F93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8" w:type="dxa"/>
          </w:tcPr>
          <w:p w14:paraId="796942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786" w:type="dxa"/>
          </w:tcPr>
          <w:p w14:paraId="562635B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173B867A" w14:textId="77777777" w:rsidTr="007116CB">
        <w:trPr>
          <w:jc w:val="center"/>
        </w:trPr>
        <w:tc>
          <w:tcPr>
            <w:tcW w:w="1465" w:type="dxa"/>
          </w:tcPr>
          <w:p w14:paraId="66117B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«Л-21»</w:t>
            </w:r>
          </w:p>
        </w:tc>
        <w:tc>
          <w:tcPr>
            <w:tcW w:w="1275" w:type="dxa"/>
          </w:tcPr>
          <w:p w14:paraId="47C555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w:t>
            </w:r>
          </w:p>
        </w:tc>
        <w:tc>
          <w:tcPr>
            <w:tcW w:w="709" w:type="dxa"/>
          </w:tcPr>
          <w:p w14:paraId="787E7B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51" w:type="dxa"/>
          </w:tcPr>
          <w:p w14:paraId="276245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001970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6AFD8B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Pr>
          <w:p w14:paraId="1BCAA1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8" w:type="dxa"/>
          </w:tcPr>
          <w:p w14:paraId="47A352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786" w:type="dxa"/>
          </w:tcPr>
          <w:p w14:paraId="5F8F4AF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656538B0" w14:textId="77777777" w:rsidTr="007116CB">
        <w:trPr>
          <w:jc w:val="center"/>
        </w:trPr>
        <w:tc>
          <w:tcPr>
            <w:tcW w:w="1465" w:type="dxa"/>
          </w:tcPr>
          <w:p w14:paraId="61A2B8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Шхерные мониторы (проект 161)</w:t>
            </w:r>
          </w:p>
        </w:tc>
        <w:tc>
          <w:tcPr>
            <w:tcW w:w="1275" w:type="dxa"/>
          </w:tcPr>
          <w:p w14:paraId="3A838F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w:t>
            </w:r>
          </w:p>
        </w:tc>
        <w:tc>
          <w:tcPr>
            <w:tcW w:w="709" w:type="dxa"/>
          </w:tcPr>
          <w:p w14:paraId="64314E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4х)</w:t>
            </w:r>
          </w:p>
        </w:tc>
        <w:tc>
          <w:tcPr>
            <w:tcW w:w="851" w:type="dxa"/>
          </w:tcPr>
          <w:p w14:paraId="52AE63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073460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709" w:type="dxa"/>
          </w:tcPr>
          <w:p w14:paraId="7F6567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709" w:type="dxa"/>
          </w:tcPr>
          <w:p w14:paraId="704C3A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708" w:type="dxa"/>
          </w:tcPr>
          <w:p w14:paraId="377F6D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786" w:type="dxa"/>
          </w:tcPr>
          <w:p w14:paraId="2E96AC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 В т.ч. 2 ед. передаются с завода №196</w:t>
            </w:r>
          </w:p>
        </w:tc>
      </w:tr>
      <w:tr w:rsidR="009B487A" w:rsidRPr="00722885" w14:paraId="5446CB0A" w14:textId="77777777" w:rsidTr="007116CB">
        <w:trPr>
          <w:jc w:val="center"/>
        </w:trPr>
        <w:tc>
          <w:tcPr>
            <w:tcW w:w="1465" w:type="dxa"/>
          </w:tcPr>
          <w:p w14:paraId="773CB7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Торпедные катеры ТКД-3 (деревян.)</w:t>
            </w:r>
          </w:p>
        </w:tc>
        <w:tc>
          <w:tcPr>
            <w:tcW w:w="1275" w:type="dxa"/>
          </w:tcPr>
          <w:p w14:paraId="6F6B4F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709" w:type="dxa"/>
          </w:tcPr>
          <w:p w14:paraId="02C2E1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w:t>
            </w:r>
          </w:p>
        </w:tc>
        <w:tc>
          <w:tcPr>
            <w:tcW w:w="851" w:type="dxa"/>
          </w:tcPr>
          <w:p w14:paraId="094C53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850" w:type="dxa"/>
          </w:tcPr>
          <w:p w14:paraId="503E51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709" w:type="dxa"/>
          </w:tcPr>
          <w:p w14:paraId="01BED9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w:t>
            </w:r>
          </w:p>
        </w:tc>
        <w:tc>
          <w:tcPr>
            <w:tcW w:w="709" w:type="dxa"/>
          </w:tcPr>
          <w:p w14:paraId="11A72F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w:t>
            </w:r>
          </w:p>
        </w:tc>
        <w:tc>
          <w:tcPr>
            <w:tcW w:w="708" w:type="dxa"/>
          </w:tcPr>
          <w:p w14:paraId="55E6FD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w:t>
            </w:r>
          </w:p>
        </w:tc>
        <w:tc>
          <w:tcPr>
            <w:tcW w:w="1786" w:type="dxa"/>
          </w:tcPr>
          <w:p w14:paraId="1989BDE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65A22187" w14:textId="77777777" w:rsidTr="007116CB">
        <w:trPr>
          <w:jc w:val="center"/>
        </w:trPr>
        <w:tc>
          <w:tcPr>
            <w:tcW w:w="1465" w:type="dxa"/>
          </w:tcPr>
          <w:p w14:paraId="3AE818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Малые охотники за подводными лодками в корпусе ТКД-3 (деревян.)</w:t>
            </w:r>
          </w:p>
        </w:tc>
        <w:tc>
          <w:tcPr>
            <w:tcW w:w="1275" w:type="dxa"/>
          </w:tcPr>
          <w:p w14:paraId="74F14C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709" w:type="dxa"/>
          </w:tcPr>
          <w:p w14:paraId="680807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851" w:type="dxa"/>
          </w:tcPr>
          <w:p w14:paraId="1711AC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1C24C3A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49722A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709" w:type="dxa"/>
          </w:tcPr>
          <w:p w14:paraId="3BD4FB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708" w:type="dxa"/>
          </w:tcPr>
          <w:p w14:paraId="74B925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w:t>
            </w:r>
          </w:p>
        </w:tc>
        <w:tc>
          <w:tcPr>
            <w:tcW w:w="1786" w:type="dxa"/>
          </w:tcPr>
          <w:p w14:paraId="7DE8C38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3DA5CC97" w14:textId="77777777" w:rsidTr="007116CB">
        <w:trPr>
          <w:jc w:val="center"/>
        </w:trPr>
        <w:tc>
          <w:tcPr>
            <w:tcW w:w="1465" w:type="dxa"/>
          </w:tcPr>
          <w:p w14:paraId="17ED32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Малые охотники за подводными лодками «МО» (стальные)</w:t>
            </w:r>
          </w:p>
        </w:tc>
        <w:tc>
          <w:tcPr>
            <w:tcW w:w="1275" w:type="dxa"/>
          </w:tcPr>
          <w:p w14:paraId="01ADA4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№196</w:t>
            </w:r>
          </w:p>
        </w:tc>
        <w:tc>
          <w:tcPr>
            <w:tcW w:w="709" w:type="dxa"/>
          </w:tcPr>
          <w:p w14:paraId="7D9C22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51" w:type="dxa"/>
          </w:tcPr>
          <w:p w14:paraId="69D47C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17BD5C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w:t>
            </w:r>
          </w:p>
        </w:tc>
        <w:tc>
          <w:tcPr>
            <w:tcW w:w="709" w:type="dxa"/>
          </w:tcPr>
          <w:p w14:paraId="5699BA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w:t>
            </w:r>
          </w:p>
        </w:tc>
        <w:tc>
          <w:tcPr>
            <w:tcW w:w="709" w:type="dxa"/>
          </w:tcPr>
          <w:p w14:paraId="62A710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708" w:type="dxa"/>
          </w:tcPr>
          <w:p w14:paraId="3E2BB0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1786" w:type="dxa"/>
          </w:tcPr>
          <w:p w14:paraId="2D1299D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2863093D" w14:textId="77777777" w:rsidTr="007116CB">
        <w:trPr>
          <w:jc w:val="center"/>
        </w:trPr>
        <w:tc>
          <w:tcPr>
            <w:tcW w:w="1465" w:type="dxa"/>
          </w:tcPr>
          <w:p w14:paraId="1CA688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Катерн. Тральщики КМ-1У</w:t>
            </w:r>
          </w:p>
        </w:tc>
        <w:tc>
          <w:tcPr>
            <w:tcW w:w="1275" w:type="dxa"/>
          </w:tcPr>
          <w:p w14:paraId="3BD954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709" w:type="dxa"/>
          </w:tcPr>
          <w:p w14:paraId="1B8758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1" w:type="dxa"/>
          </w:tcPr>
          <w:p w14:paraId="326CF7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850" w:type="dxa"/>
          </w:tcPr>
          <w:p w14:paraId="195A79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w:t>
            </w:r>
          </w:p>
        </w:tc>
        <w:tc>
          <w:tcPr>
            <w:tcW w:w="709" w:type="dxa"/>
          </w:tcPr>
          <w:p w14:paraId="3EEF93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w:t>
            </w:r>
          </w:p>
        </w:tc>
        <w:tc>
          <w:tcPr>
            <w:tcW w:w="709" w:type="dxa"/>
          </w:tcPr>
          <w:p w14:paraId="07EEC2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708" w:type="dxa"/>
          </w:tcPr>
          <w:p w14:paraId="6DB7D4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w:t>
            </w:r>
          </w:p>
        </w:tc>
        <w:tc>
          <w:tcPr>
            <w:tcW w:w="1786" w:type="dxa"/>
          </w:tcPr>
          <w:p w14:paraId="4058C3F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17B90FDD" w14:textId="77777777" w:rsidTr="007116CB">
        <w:trPr>
          <w:jc w:val="center"/>
        </w:trPr>
        <w:tc>
          <w:tcPr>
            <w:tcW w:w="1465" w:type="dxa"/>
          </w:tcPr>
          <w:p w14:paraId="7A6644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самоходные баржи</w:t>
            </w:r>
          </w:p>
        </w:tc>
        <w:tc>
          <w:tcPr>
            <w:tcW w:w="1275" w:type="dxa"/>
          </w:tcPr>
          <w:p w14:paraId="406185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№370</w:t>
            </w:r>
          </w:p>
        </w:tc>
        <w:tc>
          <w:tcPr>
            <w:tcW w:w="709" w:type="dxa"/>
          </w:tcPr>
          <w:p w14:paraId="785CD7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1" w:type="dxa"/>
          </w:tcPr>
          <w:p w14:paraId="1CC9FE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0C3E16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09" w:type="dxa"/>
          </w:tcPr>
          <w:p w14:paraId="44F188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709" w:type="dxa"/>
          </w:tcPr>
          <w:p w14:paraId="012101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708" w:type="dxa"/>
          </w:tcPr>
          <w:p w14:paraId="6A48BF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786" w:type="dxa"/>
          </w:tcPr>
          <w:p w14:paraId="03D830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Переделка из заложенных плавмастерских</w:t>
            </w:r>
          </w:p>
        </w:tc>
      </w:tr>
      <w:tr w:rsidR="009B487A" w:rsidRPr="00722885" w14:paraId="3D12F5F5" w14:textId="77777777" w:rsidTr="007116CB">
        <w:trPr>
          <w:jc w:val="center"/>
        </w:trPr>
        <w:tc>
          <w:tcPr>
            <w:tcW w:w="1465" w:type="dxa"/>
          </w:tcPr>
          <w:p w14:paraId="31A245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Понтоны 200 тонн. (для ЭПРОПа)</w:t>
            </w:r>
          </w:p>
        </w:tc>
        <w:tc>
          <w:tcPr>
            <w:tcW w:w="1275" w:type="dxa"/>
          </w:tcPr>
          <w:p w14:paraId="3948DD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w:t>
            </w:r>
          </w:p>
        </w:tc>
        <w:tc>
          <w:tcPr>
            <w:tcW w:w="709" w:type="dxa"/>
          </w:tcPr>
          <w:p w14:paraId="3B6A66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1" w:type="dxa"/>
          </w:tcPr>
          <w:p w14:paraId="7BE01C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Pr>
          <w:p w14:paraId="5FBECA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709" w:type="dxa"/>
          </w:tcPr>
          <w:p w14:paraId="356AA6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709" w:type="dxa"/>
          </w:tcPr>
          <w:p w14:paraId="577030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708" w:type="dxa"/>
          </w:tcPr>
          <w:p w14:paraId="05F28C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786" w:type="dxa"/>
          </w:tcPr>
          <w:p w14:paraId="450A740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2FB1AE58" w14:textId="77777777" w:rsidTr="007116CB">
        <w:trPr>
          <w:jc w:val="center"/>
        </w:trPr>
        <w:tc>
          <w:tcPr>
            <w:tcW w:w="1465" w:type="dxa"/>
            <w:tcBorders>
              <w:bottom w:val="single" w:sz="12" w:space="0" w:color="auto"/>
            </w:tcBorders>
          </w:tcPr>
          <w:p w14:paraId="1B728C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275" w:type="dxa"/>
            <w:tcBorders>
              <w:bottom w:val="single" w:sz="12" w:space="0" w:color="auto"/>
            </w:tcBorders>
          </w:tcPr>
          <w:p w14:paraId="148B86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w:t>
            </w:r>
          </w:p>
        </w:tc>
        <w:tc>
          <w:tcPr>
            <w:tcW w:w="709" w:type="dxa"/>
            <w:tcBorders>
              <w:bottom w:val="single" w:sz="12" w:space="0" w:color="auto"/>
            </w:tcBorders>
          </w:tcPr>
          <w:p w14:paraId="47A2FD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1" w:type="dxa"/>
            <w:tcBorders>
              <w:bottom w:val="single" w:sz="12" w:space="0" w:color="auto"/>
            </w:tcBorders>
          </w:tcPr>
          <w:p w14:paraId="52D136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50" w:type="dxa"/>
            <w:tcBorders>
              <w:bottom w:val="single" w:sz="12" w:space="0" w:color="auto"/>
            </w:tcBorders>
          </w:tcPr>
          <w:p w14:paraId="3F313B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Borders>
              <w:bottom w:val="single" w:sz="12" w:space="0" w:color="auto"/>
            </w:tcBorders>
          </w:tcPr>
          <w:p w14:paraId="5EC791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9" w:type="dxa"/>
            <w:tcBorders>
              <w:bottom w:val="single" w:sz="12" w:space="0" w:color="auto"/>
            </w:tcBorders>
          </w:tcPr>
          <w:p w14:paraId="2922FB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08" w:type="dxa"/>
            <w:tcBorders>
              <w:bottom w:val="single" w:sz="12" w:space="0" w:color="auto"/>
            </w:tcBorders>
          </w:tcPr>
          <w:p w14:paraId="3E1E30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786" w:type="dxa"/>
            <w:tcBorders>
              <w:bottom w:val="single" w:sz="12" w:space="0" w:color="auto"/>
            </w:tcBorders>
          </w:tcPr>
          <w:p w14:paraId="2734CD3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bl>
    <w:p w14:paraId="4E7A2702" w14:textId="77777777" w:rsidR="00C665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Приложение №2 к Постановлению ГОКО №2631сс от 16.12.1942г. </w:t>
      </w:r>
    </w:p>
    <w:p w14:paraId="3F3744AE" w14:textId="77777777" w:rsidR="00C66516" w:rsidRPr="00722885" w:rsidRDefault="00BB6316"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ПЛАН</w:t>
      </w:r>
    </w:p>
    <w:p w14:paraId="46528F97" w14:textId="77777777" w:rsidR="00BB6316" w:rsidRPr="00722885" w:rsidRDefault="00BB6316" w:rsidP="00722885">
      <w:pPr>
        <w:spacing w:after="0" w:line="240" w:lineRule="auto"/>
        <w:jc w:val="both"/>
        <w:rPr>
          <w:rFonts w:ascii="Times New Roman" w:hAnsi="Times New Roman"/>
          <w:bCs/>
          <w:color w:val="000000" w:themeColor="text1"/>
          <w:sz w:val="16"/>
          <w:szCs w:val="16"/>
        </w:rPr>
      </w:pPr>
      <w:r w:rsidRPr="00722885">
        <w:rPr>
          <w:rFonts w:ascii="Times New Roman" w:hAnsi="Times New Roman"/>
          <w:bCs/>
          <w:color w:val="000000" w:themeColor="text1"/>
          <w:sz w:val="16"/>
          <w:szCs w:val="16"/>
        </w:rPr>
        <w:t>ремонта кораблей Краснознаменного Балтийского флота на ленинградских заводах Наркомсудпрома в 1943 году.</w:t>
      </w:r>
    </w:p>
    <w:tbl>
      <w:tblPr>
        <w:tblW w:w="1153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591"/>
        <w:gridCol w:w="877"/>
        <w:gridCol w:w="1146"/>
        <w:gridCol w:w="4669"/>
        <w:gridCol w:w="2250"/>
      </w:tblGrid>
      <w:tr w:rsidR="009B487A" w:rsidRPr="00722885" w14:paraId="2E9D6E87" w14:textId="77777777" w:rsidTr="00C66516">
        <w:trPr>
          <w:jc w:val="center"/>
        </w:trPr>
        <w:tc>
          <w:tcPr>
            <w:tcW w:w="2591" w:type="dxa"/>
            <w:tcBorders>
              <w:top w:val="single" w:sz="12" w:space="0" w:color="auto"/>
            </w:tcBorders>
          </w:tcPr>
          <w:p w14:paraId="685B7F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Наименование кораблей</w:t>
            </w:r>
          </w:p>
        </w:tc>
        <w:tc>
          <w:tcPr>
            <w:tcW w:w="877" w:type="dxa"/>
            <w:tcBorders>
              <w:top w:val="single" w:sz="12" w:space="0" w:color="auto"/>
            </w:tcBorders>
          </w:tcPr>
          <w:p w14:paraId="193838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w:t>
            </w:r>
          </w:p>
        </w:tc>
        <w:tc>
          <w:tcPr>
            <w:tcW w:w="1146" w:type="dxa"/>
            <w:tcBorders>
              <w:top w:val="single" w:sz="12" w:space="0" w:color="auto"/>
            </w:tcBorders>
          </w:tcPr>
          <w:p w14:paraId="1CDE89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 кораблей</w:t>
            </w:r>
          </w:p>
        </w:tc>
        <w:tc>
          <w:tcPr>
            <w:tcW w:w="4669" w:type="dxa"/>
            <w:tcBorders>
              <w:top w:val="single" w:sz="12" w:space="0" w:color="auto"/>
            </w:tcBorders>
          </w:tcPr>
          <w:p w14:paraId="205200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 ремонта</w:t>
            </w:r>
          </w:p>
        </w:tc>
        <w:tc>
          <w:tcPr>
            <w:tcW w:w="2250" w:type="dxa"/>
            <w:tcBorders>
              <w:top w:val="single" w:sz="12" w:space="0" w:color="auto"/>
            </w:tcBorders>
          </w:tcPr>
          <w:p w14:paraId="04E3B4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Срок окончания ремонта</w:t>
            </w:r>
          </w:p>
        </w:tc>
      </w:tr>
      <w:tr w:rsidR="009B487A" w:rsidRPr="00722885" w14:paraId="2EBBDD97" w14:textId="77777777" w:rsidTr="00C66516">
        <w:trPr>
          <w:jc w:val="center"/>
        </w:trPr>
        <w:tc>
          <w:tcPr>
            <w:tcW w:w="2591" w:type="dxa"/>
          </w:tcPr>
          <w:p w14:paraId="68A603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Крейсер «Петропавловск»</w:t>
            </w:r>
          </w:p>
        </w:tc>
        <w:tc>
          <w:tcPr>
            <w:tcW w:w="877" w:type="dxa"/>
          </w:tcPr>
          <w:p w14:paraId="43DCDE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w:t>
            </w:r>
          </w:p>
        </w:tc>
        <w:tc>
          <w:tcPr>
            <w:tcW w:w="1146" w:type="dxa"/>
          </w:tcPr>
          <w:p w14:paraId="0B5895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6062AD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Восстановление вспомогательного котла, обеспечение непотопляемости и консервация</w:t>
            </w:r>
          </w:p>
        </w:tc>
        <w:tc>
          <w:tcPr>
            <w:tcW w:w="2250" w:type="dxa"/>
          </w:tcPr>
          <w:p w14:paraId="44AFFE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полугодие 1943 г.</w:t>
            </w:r>
          </w:p>
        </w:tc>
      </w:tr>
      <w:tr w:rsidR="009B487A" w:rsidRPr="00722885" w14:paraId="567B920C" w14:textId="77777777" w:rsidTr="00C66516">
        <w:trPr>
          <w:jc w:val="center"/>
        </w:trPr>
        <w:tc>
          <w:tcPr>
            <w:tcW w:w="2591" w:type="dxa"/>
          </w:tcPr>
          <w:p w14:paraId="7830A8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 Горький»</w:t>
            </w:r>
          </w:p>
        </w:tc>
        <w:tc>
          <w:tcPr>
            <w:tcW w:w="877" w:type="dxa"/>
          </w:tcPr>
          <w:p w14:paraId="7DCB43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w:t>
            </w:r>
          </w:p>
        </w:tc>
        <w:tc>
          <w:tcPr>
            <w:tcW w:w="1146" w:type="dxa"/>
          </w:tcPr>
          <w:p w14:paraId="79EE88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4F01F5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Установка двух систем Б-34</w:t>
            </w:r>
          </w:p>
        </w:tc>
        <w:tc>
          <w:tcPr>
            <w:tcW w:w="2250" w:type="dxa"/>
          </w:tcPr>
          <w:p w14:paraId="193662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15.IV.1943 г.</w:t>
            </w:r>
          </w:p>
        </w:tc>
      </w:tr>
      <w:tr w:rsidR="009B487A" w:rsidRPr="00722885" w14:paraId="742F4CF4" w14:textId="77777777" w:rsidTr="00C66516">
        <w:trPr>
          <w:jc w:val="center"/>
        </w:trPr>
        <w:tc>
          <w:tcPr>
            <w:tcW w:w="2591" w:type="dxa"/>
          </w:tcPr>
          <w:p w14:paraId="5D9EC7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Лидер эсминцев «Минск»</w:t>
            </w:r>
          </w:p>
        </w:tc>
        <w:tc>
          <w:tcPr>
            <w:tcW w:w="877" w:type="dxa"/>
          </w:tcPr>
          <w:p w14:paraId="2F557E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146" w:type="dxa"/>
          </w:tcPr>
          <w:p w14:paraId="7DD3C6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4060A3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Окончание текущего ремонта </w:t>
            </w:r>
          </w:p>
        </w:tc>
        <w:tc>
          <w:tcPr>
            <w:tcW w:w="2250" w:type="dxa"/>
          </w:tcPr>
          <w:p w14:paraId="566B79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 г.</w:t>
            </w:r>
          </w:p>
        </w:tc>
      </w:tr>
      <w:tr w:rsidR="009B487A" w:rsidRPr="00722885" w14:paraId="49FF0D4A" w14:textId="77777777" w:rsidTr="00C66516">
        <w:trPr>
          <w:jc w:val="center"/>
        </w:trPr>
        <w:tc>
          <w:tcPr>
            <w:tcW w:w="2591" w:type="dxa"/>
          </w:tcPr>
          <w:p w14:paraId="55A830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Эсминец «Сторожевой»</w:t>
            </w:r>
          </w:p>
        </w:tc>
        <w:tc>
          <w:tcPr>
            <w:tcW w:w="877" w:type="dxa"/>
          </w:tcPr>
          <w:p w14:paraId="306865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w:t>
            </w:r>
          </w:p>
        </w:tc>
        <w:tc>
          <w:tcPr>
            <w:tcW w:w="1146" w:type="dxa"/>
          </w:tcPr>
          <w:p w14:paraId="300070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1BE630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Восстановительный ремонт</w:t>
            </w:r>
          </w:p>
        </w:tc>
        <w:tc>
          <w:tcPr>
            <w:tcW w:w="2250" w:type="dxa"/>
          </w:tcPr>
          <w:p w14:paraId="68E591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 г.</w:t>
            </w:r>
          </w:p>
        </w:tc>
      </w:tr>
      <w:tr w:rsidR="009B487A" w:rsidRPr="00722885" w14:paraId="556FD6B5" w14:textId="77777777" w:rsidTr="00C66516">
        <w:trPr>
          <w:jc w:val="center"/>
        </w:trPr>
        <w:tc>
          <w:tcPr>
            <w:tcW w:w="2591" w:type="dxa"/>
          </w:tcPr>
          <w:p w14:paraId="58ADB4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«Славный»</w:t>
            </w:r>
          </w:p>
        </w:tc>
        <w:tc>
          <w:tcPr>
            <w:tcW w:w="877" w:type="dxa"/>
          </w:tcPr>
          <w:p w14:paraId="1AF5BD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w:t>
            </w:r>
          </w:p>
        </w:tc>
        <w:tc>
          <w:tcPr>
            <w:tcW w:w="1146" w:type="dxa"/>
          </w:tcPr>
          <w:p w14:paraId="60655E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2BDE81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Аварийно-боевой ремонт</w:t>
            </w:r>
          </w:p>
        </w:tc>
        <w:tc>
          <w:tcPr>
            <w:tcW w:w="2250" w:type="dxa"/>
          </w:tcPr>
          <w:p w14:paraId="121F4A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30.12.1943г.</w:t>
            </w:r>
          </w:p>
        </w:tc>
      </w:tr>
      <w:tr w:rsidR="009B487A" w:rsidRPr="00722885" w14:paraId="2BB5B4F7" w14:textId="77777777" w:rsidTr="00C66516">
        <w:trPr>
          <w:jc w:val="center"/>
        </w:trPr>
        <w:tc>
          <w:tcPr>
            <w:tcW w:w="2591" w:type="dxa"/>
          </w:tcPr>
          <w:p w14:paraId="3E8CC1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«Строгий»</w:t>
            </w:r>
          </w:p>
        </w:tc>
        <w:tc>
          <w:tcPr>
            <w:tcW w:w="877" w:type="dxa"/>
          </w:tcPr>
          <w:p w14:paraId="38F022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146" w:type="dxa"/>
          </w:tcPr>
          <w:p w14:paraId="6F65C2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2DE1DC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50" w:type="dxa"/>
          </w:tcPr>
          <w:p w14:paraId="4CE5EC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2B8F7313" w14:textId="77777777" w:rsidTr="00C66516">
        <w:trPr>
          <w:jc w:val="center"/>
        </w:trPr>
        <w:tc>
          <w:tcPr>
            <w:tcW w:w="2591" w:type="dxa"/>
          </w:tcPr>
          <w:p w14:paraId="74EC34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«Опытный»</w:t>
            </w:r>
          </w:p>
        </w:tc>
        <w:tc>
          <w:tcPr>
            <w:tcW w:w="877" w:type="dxa"/>
          </w:tcPr>
          <w:p w14:paraId="24B3A5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146" w:type="dxa"/>
          </w:tcPr>
          <w:p w14:paraId="1AE881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64AD50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50" w:type="dxa"/>
          </w:tcPr>
          <w:p w14:paraId="680890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42C68384" w14:textId="77777777" w:rsidTr="00C66516">
        <w:trPr>
          <w:jc w:val="center"/>
        </w:trPr>
        <w:tc>
          <w:tcPr>
            <w:tcW w:w="2591" w:type="dxa"/>
          </w:tcPr>
          <w:p w14:paraId="393E75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Эсминцы</w:t>
            </w:r>
          </w:p>
        </w:tc>
        <w:tc>
          <w:tcPr>
            <w:tcW w:w="877" w:type="dxa"/>
          </w:tcPr>
          <w:p w14:paraId="2C24C77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w:t>
            </w:r>
          </w:p>
        </w:tc>
        <w:tc>
          <w:tcPr>
            <w:tcW w:w="1146" w:type="dxa"/>
          </w:tcPr>
          <w:p w14:paraId="1A0497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4669" w:type="dxa"/>
          </w:tcPr>
          <w:p w14:paraId="3D3940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Текущий ремонт</w:t>
            </w:r>
          </w:p>
        </w:tc>
        <w:tc>
          <w:tcPr>
            <w:tcW w:w="2250" w:type="dxa"/>
          </w:tcPr>
          <w:p w14:paraId="585EAA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171D96C7" w14:textId="77777777" w:rsidTr="00C66516">
        <w:trPr>
          <w:jc w:val="center"/>
        </w:trPr>
        <w:tc>
          <w:tcPr>
            <w:tcW w:w="2591" w:type="dxa"/>
          </w:tcPr>
          <w:p w14:paraId="54B042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Сторожевой корабль «Туча»</w:t>
            </w:r>
          </w:p>
        </w:tc>
        <w:tc>
          <w:tcPr>
            <w:tcW w:w="877" w:type="dxa"/>
          </w:tcPr>
          <w:p w14:paraId="08F544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№370</w:t>
            </w:r>
          </w:p>
        </w:tc>
        <w:tc>
          <w:tcPr>
            <w:tcW w:w="1146" w:type="dxa"/>
          </w:tcPr>
          <w:p w14:paraId="4455C9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2A0EA9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Окончание текущего ремонта</w:t>
            </w:r>
          </w:p>
        </w:tc>
        <w:tc>
          <w:tcPr>
            <w:tcW w:w="2250" w:type="dxa"/>
          </w:tcPr>
          <w:p w14:paraId="0F99B7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IV кв.1942г.</w:t>
            </w:r>
          </w:p>
        </w:tc>
      </w:tr>
      <w:tr w:rsidR="009B487A" w:rsidRPr="00722885" w14:paraId="554734EF" w14:textId="77777777" w:rsidTr="00C66516">
        <w:trPr>
          <w:jc w:val="center"/>
        </w:trPr>
        <w:tc>
          <w:tcPr>
            <w:tcW w:w="2591" w:type="dxa"/>
          </w:tcPr>
          <w:p w14:paraId="652E18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Быстроходные тральщики </w:t>
            </w:r>
          </w:p>
        </w:tc>
        <w:tc>
          <w:tcPr>
            <w:tcW w:w="877" w:type="dxa"/>
          </w:tcPr>
          <w:p w14:paraId="34614B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№370</w:t>
            </w:r>
          </w:p>
        </w:tc>
        <w:tc>
          <w:tcPr>
            <w:tcW w:w="1146" w:type="dxa"/>
          </w:tcPr>
          <w:p w14:paraId="138975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4669" w:type="dxa"/>
          </w:tcPr>
          <w:p w14:paraId="1B796D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Текущий ремонт</w:t>
            </w:r>
          </w:p>
        </w:tc>
        <w:tc>
          <w:tcPr>
            <w:tcW w:w="2250" w:type="dxa"/>
          </w:tcPr>
          <w:p w14:paraId="1C6E79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 г.</w:t>
            </w:r>
          </w:p>
        </w:tc>
      </w:tr>
      <w:tr w:rsidR="009B487A" w:rsidRPr="00722885" w14:paraId="7196D3DC" w14:textId="77777777" w:rsidTr="00C66516">
        <w:trPr>
          <w:jc w:val="center"/>
        </w:trPr>
        <w:tc>
          <w:tcPr>
            <w:tcW w:w="2591" w:type="dxa"/>
          </w:tcPr>
          <w:p w14:paraId="27C6A0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Подводная лодка «Щ-323»</w:t>
            </w:r>
          </w:p>
        </w:tc>
        <w:tc>
          <w:tcPr>
            <w:tcW w:w="877" w:type="dxa"/>
          </w:tcPr>
          <w:p w14:paraId="0A0802A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w:t>
            </w:r>
          </w:p>
        </w:tc>
        <w:tc>
          <w:tcPr>
            <w:tcW w:w="1146" w:type="dxa"/>
          </w:tcPr>
          <w:p w14:paraId="705A84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5B9365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Аварийно-восстановит. ремонт</w:t>
            </w:r>
          </w:p>
        </w:tc>
        <w:tc>
          <w:tcPr>
            <w:tcW w:w="2250" w:type="dxa"/>
          </w:tcPr>
          <w:p w14:paraId="409D677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73CABAA5" w14:textId="77777777" w:rsidTr="00C66516">
        <w:trPr>
          <w:jc w:val="center"/>
        </w:trPr>
        <w:tc>
          <w:tcPr>
            <w:tcW w:w="2591" w:type="dxa"/>
          </w:tcPr>
          <w:p w14:paraId="424A8F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«Щ-407»</w:t>
            </w:r>
          </w:p>
        </w:tc>
        <w:tc>
          <w:tcPr>
            <w:tcW w:w="877" w:type="dxa"/>
          </w:tcPr>
          <w:p w14:paraId="416BBB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146" w:type="dxa"/>
          </w:tcPr>
          <w:p w14:paraId="5D061F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4EFFF6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50" w:type="dxa"/>
          </w:tcPr>
          <w:p w14:paraId="4CA1BC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51D3575B" w14:textId="77777777" w:rsidTr="00C66516">
        <w:trPr>
          <w:jc w:val="center"/>
        </w:trPr>
        <w:tc>
          <w:tcPr>
            <w:tcW w:w="2591" w:type="dxa"/>
          </w:tcPr>
          <w:p w14:paraId="436734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типа «Щ»</w:t>
            </w:r>
          </w:p>
        </w:tc>
        <w:tc>
          <w:tcPr>
            <w:tcW w:w="877" w:type="dxa"/>
          </w:tcPr>
          <w:p w14:paraId="696301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146" w:type="dxa"/>
          </w:tcPr>
          <w:p w14:paraId="163702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4669" w:type="dxa"/>
          </w:tcPr>
          <w:p w14:paraId="577831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Текущий ремонт</w:t>
            </w:r>
          </w:p>
        </w:tc>
        <w:tc>
          <w:tcPr>
            <w:tcW w:w="2250" w:type="dxa"/>
          </w:tcPr>
          <w:p w14:paraId="3906B8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 г.</w:t>
            </w:r>
          </w:p>
        </w:tc>
      </w:tr>
      <w:tr w:rsidR="009B487A" w:rsidRPr="00722885" w14:paraId="51DBBA2D" w14:textId="77777777" w:rsidTr="00C66516">
        <w:trPr>
          <w:jc w:val="center"/>
        </w:trPr>
        <w:tc>
          <w:tcPr>
            <w:tcW w:w="2591" w:type="dxa"/>
          </w:tcPr>
          <w:p w14:paraId="33CB17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«Лембин»</w:t>
            </w:r>
          </w:p>
        </w:tc>
        <w:tc>
          <w:tcPr>
            <w:tcW w:w="877" w:type="dxa"/>
          </w:tcPr>
          <w:p w14:paraId="115DC45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№196</w:t>
            </w:r>
          </w:p>
        </w:tc>
        <w:tc>
          <w:tcPr>
            <w:tcW w:w="1146" w:type="dxa"/>
          </w:tcPr>
          <w:p w14:paraId="5542B4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7B1612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Переоборудование минного устройства под отечественные мины и аварийный ремонт по корпусу.</w:t>
            </w:r>
          </w:p>
        </w:tc>
        <w:tc>
          <w:tcPr>
            <w:tcW w:w="2250" w:type="dxa"/>
          </w:tcPr>
          <w:p w14:paraId="18DF84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полугодие 1943г.</w:t>
            </w:r>
          </w:p>
        </w:tc>
      </w:tr>
      <w:tr w:rsidR="009B487A" w:rsidRPr="00722885" w14:paraId="3BA138CA" w14:textId="77777777" w:rsidTr="00C66516">
        <w:trPr>
          <w:jc w:val="center"/>
        </w:trPr>
        <w:tc>
          <w:tcPr>
            <w:tcW w:w="2591" w:type="dxa"/>
          </w:tcPr>
          <w:p w14:paraId="75823D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типа «М»</w:t>
            </w:r>
          </w:p>
        </w:tc>
        <w:tc>
          <w:tcPr>
            <w:tcW w:w="877" w:type="dxa"/>
          </w:tcPr>
          <w:p w14:paraId="2076442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146" w:type="dxa"/>
          </w:tcPr>
          <w:p w14:paraId="742096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4669" w:type="dxa"/>
          </w:tcPr>
          <w:p w14:paraId="214452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Текущий ремонт</w:t>
            </w:r>
          </w:p>
        </w:tc>
        <w:tc>
          <w:tcPr>
            <w:tcW w:w="2250" w:type="dxa"/>
          </w:tcPr>
          <w:p w14:paraId="550F00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09FF72B6" w14:textId="77777777" w:rsidTr="00C66516">
        <w:trPr>
          <w:jc w:val="center"/>
        </w:trPr>
        <w:tc>
          <w:tcPr>
            <w:tcW w:w="2591" w:type="dxa"/>
          </w:tcPr>
          <w:p w14:paraId="330C65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«Л-3»</w:t>
            </w:r>
          </w:p>
        </w:tc>
        <w:tc>
          <w:tcPr>
            <w:tcW w:w="877" w:type="dxa"/>
          </w:tcPr>
          <w:p w14:paraId="7DA5F5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146" w:type="dxa"/>
          </w:tcPr>
          <w:p w14:paraId="62CD73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7EC9C8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Текущий ремонт</w:t>
            </w:r>
          </w:p>
        </w:tc>
        <w:tc>
          <w:tcPr>
            <w:tcW w:w="2250" w:type="dxa"/>
          </w:tcPr>
          <w:p w14:paraId="1E1796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4D522B66" w14:textId="77777777" w:rsidTr="00C66516">
        <w:trPr>
          <w:jc w:val="center"/>
        </w:trPr>
        <w:tc>
          <w:tcPr>
            <w:tcW w:w="2591" w:type="dxa"/>
          </w:tcPr>
          <w:p w14:paraId="27E068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типа «С»</w:t>
            </w:r>
          </w:p>
        </w:tc>
        <w:tc>
          <w:tcPr>
            <w:tcW w:w="877" w:type="dxa"/>
          </w:tcPr>
          <w:p w14:paraId="671A27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№189</w:t>
            </w:r>
          </w:p>
        </w:tc>
        <w:tc>
          <w:tcPr>
            <w:tcW w:w="1146" w:type="dxa"/>
          </w:tcPr>
          <w:p w14:paraId="715FAD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4669" w:type="dxa"/>
          </w:tcPr>
          <w:p w14:paraId="7E9EEB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50" w:type="dxa"/>
          </w:tcPr>
          <w:p w14:paraId="31B023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47E575A7" w14:textId="77777777" w:rsidTr="00C66516">
        <w:trPr>
          <w:jc w:val="center"/>
        </w:trPr>
        <w:tc>
          <w:tcPr>
            <w:tcW w:w="2591" w:type="dxa"/>
          </w:tcPr>
          <w:p w14:paraId="6457D6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Торпедные катеры ТДК-3</w:t>
            </w:r>
          </w:p>
        </w:tc>
        <w:tc>
          <w:tcPr>
            <w:tcW w:w="877" w:type="dxa"/>
          </w:tcPr>
          <w:p w14:paraId="18C13C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146" w:type="dxa"/>
          </w:tcPr>
          <w:p w14:paraId="4846F3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4669" w:type="dxa"/>
          </w:tcPr>
          <w:p w14:paraId="64E6D4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Текущий ремонт</w:t>
            </w:r>
          </w:p>
        </w:tc>
        <w:tc>
          <w:tcPr>
            <w:tcW w:w="2250" w:type="dxa"/>
          </w:tcPr>
          <w:p w14:paraId="0660BA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65367481" w14:textId="77777777" w:rsidTr="00C66516">
        <w:trPr>
          <w:jc w:val="center"/>
        </w:trPr>
        <w:tc>
          <w:tcPr>
            <w:tcW w:w="2591" w:type="dxa"/>
          </w:tcPr>
          <w:p w14:paraId="48DF71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Бронекатеры и дюралевые торпедные катеры</w:t>
            </w:r>
          </w:p>
        </w:tc>
        <w:tc>
          <w:tcPr>
            <w:tcW w:w="877" w:type="dxa"/>
          </w:tcPr>
          <w:p w14:paraId="3F10CE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w:t>
            </w:r>
          </w:p>
        </w:tc>
        <w:tc>
          <w:tcPr>
            <w:tcW w:w="1146" w:type="dxa"/>
          </w:tcPr>
          <w:p w14:paraId="02C930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4669" w:type="dxa"/>
          </w:tcPr>
          <w:p w14:paraId="7B5C6E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50" w:type="dxa"/>
          </w:tcPr>
          <w:p w14:paraId="240169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09304363" w14:textId="77777777" w:rsidTr="00C66516">
        <w:trPr>
          <w:jc w:val="center"/>
        </w:trPr>
        <w:tc>
          <w:tcPr>
            <w:tcW w:w="2591" w:type="dxa"/>
          </w:tcPr>
          <w:p w14:paraId="752067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Охотники за подлодками МО-IV</w:t>
            </w:r>
          </w:p>
        </w:tc>
        <w:tc>
          <w:tcPr>
            <w:tcW w:w="877" w:type="dxa"/>
          </w:tcPr>
          <w:p w14:paraId="771C92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146" w:type="dxa"/>
          </w:tcPr>
          <w:p w14:paraId="1E1A78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4669" w:type="dxa"/>
          </w:tcPr>
          <w:p w14:paraId="789340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50" w:type="dxa"/>
          </w:tcPr>
          <w:p w14:paraId="440B86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120F4A91" w14:textId="77777777" w:rsidTr="00C66516">
        <w:trPr>
          <w:jc w:val="center"/>
        </w:trPr>
        <w:tc>
          <w:tcPr>
            <w:tcW w:w="2591" w:type="dxa"/>
          </w:tcPr>
          <w:p w14:paraId="1B95ED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Минный заградитель «Марти»</w:t>
            </w:r>
          </w:p>
        </w:tc>
        <w:tc>
          <w:tcPr>
            <w:tcW w:w="877" w:type="dxa"/>
          </w:tcPr>
          <w:p w14:paraId="61BBAA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w:t>
            </w:r>
          </w:p>
        </w:tc>
        <w:tc>
          <w:tcPr>
            <w:tcW w:w="1146" w:type="dxa"/>
          </w:tcPr>
          <w:p w14:paraId="778CED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748F78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50" w:type="dxa"/>
          </w:tcPr>
          <w:p w14:paraId="3F0DDE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59DFD375" w14:textId="77777777" w:rsidTr="00C66516">
        <w:trPr>
          <w:jc w:val="center"/>
        </w:trPr>
        <w:tc>
          <w:tcPr>
            <w:tcW w:w="2591" w:type="dxa"/>
          </w:tcPr>
          <w:p w14:paraId="6FAC67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Транспорт №533 (танкер)</w:t>
            </w:r>
          </w:p>
        </w:tc>
        <w:tc>
          <w:tcPr>
            <w:tcW w:w="877" w:type="dxa"/>
          </w:tcPr>
          <w:p w14:paraId="4409B1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№196</w:t>
            </w:r>
          </w:p>
        </w:tc>
        <w:tc>
          <w:tcPr>
            <w:tcW w:w="1146" w:type="dxa"/>
          </w:tcPr>
          <w:p w14:paraId="42EFEA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090693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Рабочие чертежи и обработка корпусных конструкций для канонерного завода</w:t>
            </w:r>
          </w:p>
        </w:tc>
        <w:tc>
          <w:tcPr>
            <w:tcW w:w="2250" w:type="dxa"/>
          </w:tcPr>
          <w:p w14:paraId="5C4D7D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p w14:paraId="23C865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w:t>
            </w:r>
          </w:p>
        </w:tc>
      </w:tr>
      <w:tr w:rsidR="009B487A" w:rsidRPr="00722885" w14:paraId="7C973714" w14:textId="77777777" w:rsidTr="00C66516">
        <w:trPr>
          <w:jc w:val="center"/>
        </w:trPr>
        <w:tc>
          <w:tcPr>
            <w:tcW w:w="2591" w:type="dxa"/>
          </w:tcPr>
          <w:p w14:paraId="7AC01F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Плавдок № 508</w:t>
            </w:r>
          </w:p>
        </w:tc>
        <w:tc>
          <w:tcPr>
            <w:tcW w:w="877" w:type="dxa"/>
          </w:tcPr>
          <w:p w14:paraId="378900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w:t>
            </w:r>
          </w:p>
        </w:tc>
        <w:tc>
          <w:tcPr>
            <w:tcW w:w="1146" w:type="dxa"/>
          </w:tcPr>
          <w:p w14:paraId="1DDAB4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6A4E16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Текущий ремонт</w:t>
            </w:r>
          </w:p>
        </w:tc>
        <w:tc>
          <w:tcPr>
            <w:tcW w:w="2250" w:type="dxa"/>
          </w:tcPr>
          <w:p w14:paraId="50BE9E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p w14:paraId="3BC12A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w:t>
            </w:r>
          </w:p>
        </w:tc>
      </w:tr>
      <w:tr w:rsidR="009B487A" w:rsidRPr="00722885" w14:paraId="47406D8E" w14:textId="77777777" w:rsidTr="00C66516">
        <w:trPr>
          <w:jc w:val="center"/>
        </w:trPr>
        <w:tc>
          <w:tcPr>
            <w:tcW w:w="2591" w:type="dxa"/>
          </w:tcPr>
          <w:p w14:paraId="5028FA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С/с «Сирена»</w:t>
            </w:r>
          </w:p>
        </w:tc>
        <w:tc>
          <w:tcPr>
            <w:tcW w:w="877" w:type="dxa"/>
          </w:tcPr>
          <w:p w14:paraId="4F263F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№370</w:t>
            </w:r>
          </w:p>
        </w:tc>
        <w:tc>
          <w:tcPr>
            <w:tcW w:w="1146" w:type="dxa"/>
          </w:tcPr>
          <w:p w14:paraId="094CCA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4669" w:type="dxa"/>
          </w:tcPr>
          <w:p w14:paraId="6201A4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Средний ремонт</w:t>
            </w:r>
          </w:p>
        </w:tc>
        <w:tc>
          <w:tcPr>
            <w:tcW w:w="2250" w:type="dxa"/>
          </w:tcPr>
          <w:p w14:paraId="740A39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полугодие 1943г.</w:t>
            </w:r>
          </w:p>
        </w:tc>
      </w:tr>
      <w:tr w:rsidR="009B487A" w:rsidRPr="00722885" w14:paraId="352C1791" w14:textId="77777777" w:rsidTr="00C66516">
        <w:trPr>
          <w:jc w:val="center"/>
        </w:trPr>
        <w:tc>
          <w:tcPr>
            <w:tcW w:w="2591" w:type="dxa"/>
          </w:tcPr>
          <w:p w14:paraId="0DB7C4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Десантные баржи</w:t>
            </w:r>
          </w:p>
        </w:tc>
        <w:tc>
          <w:tcPr>
            <w:tcW w:w="877" w:type="dxa"/>
          </w:tcPr>
          <w:p w14:paraId="5DF328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w:t>
            </w:r>
          </w:p>
        </w:tc>
        <w:tc>
          <w:tcPr>
            <w:tcW w:w="1146" w:type="dxa"/>
          </w:tcPr>
          <w:p w14:paraId="5459FF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4669" w:type="dxa"/>
          </w:tcPr>
          <w:p w14:paraId="1B9962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Текущий ремонт</w:t>
            </w:r>
          </w:p>
        </w:tc>
        <w:tc>
          <w:tcPr>
            <w:tcW w:w="2250" w:type="dxa"/>
          </w:tcPr>
          <w:p w14:paraId="666469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r w:rsidR="009B487A" w:rsidRPr="00722885" w14:paraId="1240F9FD" w14:textId="77777777" w:rsidTr="00C66516">
        <w:trPr>
          <w:jc w:val="center"/>
        </w:trPr>
        <w:tc>
          <w:tcPr>
            <w:tcW w:w="2591" w:type="dxa"/>
            <w:tcBorders>
              <w:bottom w:val="single" w:sz="12" w:space="0" w:color="auto"/>
            </w:tcBorders>
          </w:tcPr>
          <w:p w14:paraId="7790E1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Катеры КМ-IV и КМ-5</w:t>
            </w:r>
          </w:p>
        </w:tc>
        <w:tc>
          <w:tcPr>
            <w:tcW w:w="877" w:type="dxa"/>
            <w:tcBorders>
              <w:bottom w:val="single" w:sz="12" w:space="0" w:color="auto"/>
            </w:tcBorders>
          </w:tcPr>
          <w:p w14:paraId="0C1F45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146" w:type="dxa"/>
            <w:tcBorders>
              <w:bottom w:val="single" w:sz="12" w:space="0" w:color="auto"/>
            </w:tcBorders>
          </w:tcPr>
          <w:p w14:paraId="26AE78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w:t>
            </w:r>
          </w:p>
        </w:tc>
        <w:tc>
          <w:tcPr>
            <w:tcW w:w="4669" w:type="dxa"/>
            <w:tcBorders>
              <w:bottom w:val="single" w:sz="12" w:space="0" w:color="auto"/>
            </w:tcBorders>
          </w:tcPr>
          <w:p w14:paraId="0E4982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2250" w:type="dxa"/>
            <w:tcBorders>
              <w:bottom w:val="single" w:sz="12" w:space="0" w:color="auto"/>
            </w:tcBorders>
          </w:tcPr>
          <w:p w14:paraId="35261D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15.04.1943г.</w:t>
            </w:r>
          </w:p>
        </w:tc>
      </w:tr>
    </w:tbl>
    <w:p w14:paraId="61C30E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х) Текущий ремонт производит личный состав.</w:t>
      </w:r>
    </w:p>
    <w:p w14:paraId="131B37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Техническое руководство и материальное обеспечение производит завод (11813).</w:t>
      </w:r>
    </w:p>
    <w:p w14:paraId="163A38DB"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52A3E5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декабря 1942 вышло Постановление ГКО № 2632 О плане снабжения горюче-смазочными материалами Красной Армии и Военно-Морского флота на декабрь 1942 года. РГАНИР, Фонд ГКО, д. 73, лл. 7, 8-52 (11012).</w:t>
      </w:r>
    </w:p>
    <w:p w14:paraId="74B3C4C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F922326"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16 декабря 1942 вышло Постановление ГКО № 2634 Об обеспечении радиоаппаратурой и имуществом связи 5-го управления НКВД СССР. (7067, 54,55).</w:t>
      </w:r>
    </w:p>
    <w:p w14:paraId="145B3CA7" w14:textId="77777777" w:rsidR="00BB6316" w:rsidRPr="00722885" w:rsidRDefault="00BB6316" w:rsidP="00722885">
      <w:pPr>
        <w:pStyle w:val="Iauiue"/>
        <w:tabs>
          <w:tab w:val="left" w:pos="11199"/>
        </w:tabs>
        <w:jc w:val="both"/>
        <w:rPr>
          <w:color w:val="000000" w:themeColor="text1"/>
          <w:sz w:val="16"/>
          <w:szCs w:val="16"/>
        </w:rPr>
      </w:pPr>
    </w:p>
    <w:p w14:paraId="0B328FF6"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DC99A2C" w14:textId="77777777" w:rsidR="00BB6316" w:rsidRPr="00722885" w:rsidRDefault="00BB6316" w:rsidP="00722885">
      <w:pPr>
        <w:pStyle w:val="Iauiue"/>
        <w:jc w:val="both"/>
        <w:rPr>
          <w:iCs/>
          <w:color w:val="000000" w:themeColor="text1"/>
          <w:sz w:val="16"/>
          <w:szCs w:val="16"/>
        </w:rPr>
      </w:pPr>
    </w:p>
    <w:p w14:paraId="2A2C609A"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16 декабря </w:t>
      </w:r>
      <w:r w:rsidRPr="00722885">
        <w:rPr>
          <w:rFonts w:ascii="Times New Roman" w:hAnsi="Times New Roman"/>
          <w:color w:val="000000" w:themeColor="text1"/>
          <w:sz w:val="16"/>
          <w:szCs w:val="16"/>
        </w:rPr>
        <w:t>в 1942 году утреннее сообщение Совинформбюро:</w:t>
      </w:r>
    </w:p>
    <w:p w14:paraId="0382CCE4"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16 декабря в районе Сталинграда и на Центральном фронте наши войска продолжали вести наступательные бои на прежних направлениях.</w:t>
      </w:r>
    </w:p>
    <w:p w14:paraId="4BFAEB3E"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северо-западной окраине Сталинграда бойцы Н-ской части ночью совершили вылазку в расположение противника. В рукопашной схватке гранатами и штыками уничтожено до роты немецких солдат и офицеров. Во время этой операции взорван склад боеприпасов и уничтожено 3 орудия противника. В заводском районе огневыми налётами гвардейцев-миномётчиков рассеяно и частью уничтожено скопление немецкой пехоты.</w:t>
      </w:r>
    </w:p>
    <w:p w14:paraId="741F8E00"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боевые действия и улучшили свои позиции, Н-ская часть выбила немцев из укреплённого оборонительного рубежа, уничтожила 5 немецких танков и истребила свыше 600 гитлеровцев. Захвачены пленные и трофеи.</w:t>
      </w:r>
    </w:p>
    <w:p w14:paraId="79978617"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бои с пехотой и танками противника. Бойцы Н-ской части отразили три контратаки немцев, подбили 4 танка и уничтожили более 250 вражеских солдат и офицеров. На другом участке наши части вели наступательные бои, продвинулись вперёд и захватили 10 автомашин, 6 зенитных пулемётов, 600 винтовок, 20.000 снарядов, 15.000 патронов и продовольственный склад. Уничтожено 2 немецких танка, 2 противотанковых орудия и 5 миномётов. Противник понёс тяжёлые потери в живой силе.</w:t>
      </w:r>
    </w:p>
    <w:p w14:paraId="4500165E"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наступательные бои и заняли несколько опорных пунктов противника. Западнее Ржева Н-ское соединение отбило две ожесточённые контратаки гитлеровцев и истребило в течение суток до 700 немецких солдат и офицеров. На другом участке наши бойцы выбили гитлеровцев из населённого пункта. Захвачены 6 орудий, исправный танк, 17 пулемётов, вещевой склад, много винтовок, гранат, снарядов и патронов.</w:t>
      </w:r>
    </w:p>
    <w:p w14:paraId="2F66F149"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наши части вели бои по уничтожению блокированных немецких гарнизонов.</w:t>
      </w:r>
    </w:p>
    <w:p w14:paraId="1B434EE5"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партизан, действующая в одном из районов Барановичской области, организовала крушение железнодорожного эшелона противника. Разбито 2 паровоза и 7 вагонов. Другая группа партизан пустила под откос 2 эшелона немецко-фашистских оккупантов. Уничтожено 2 паровоза и 48 платформ с военной техникой. Движение поездов на этом участке железной дороги было прекращено на несколько дней.</w:t>
      </w:r>
    </w:p>
    <w:p w14:paraId="003664B6"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Захваченный в плен начальник штаба 5 румынской пехотной дивизии подполковник Николае Камбря заявил: «В январе 1942 года Гитлер вызвал Антонеску в Берлин и приказал ему послать на советско-германский фронт ещё 26 румынских дивизий. Возвратившись в Бухарест, Антонеску имел длительную беседу с Якобичем, бывшим в то время начальником румынского генерального штаба. Якобич категорически возражал против посылки на фронт новых дивизий. По требованию германского послав Румынии Киллингера Якобич был снят. Вслед за этим последовало увольнение большой группы офицеров, настроенных против Германии. Немецкое командование бросает румын на самые опасные участки, а в критический момент предаёт их, оставляя на произвол судьбы».</w:t>
      </w:r>
    </w:p>
    <w:p w14:paraId="41C25277"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акт о зверствах немецко-фашистских мерзавцев в селе Жутов,Сталинградской области: «Захватив село, немецкие офицеры и солдаты безудержно грабили крестьян, насиловали женщин и девушек, истязали и убивали взрослых и детей. 4 октября немецкие бандиты учинили чудовищную расправу над жителями села. Они согнали в дезинфекционные камеры несколько десятков женщин с детьми, отравили их, а трупы выбросили в Каменную балку. Немецкие грабители забрали 217 голов крупного рогатого скота, 290 телят, 320 лошадей, 600 овец, 140 свиней, 6 верблюдов, 100 центнеров зерна, 300 центнеров горчицы. Кроме того, гитлеровцы отняли у колхозников одежду и разные личные вещи. Оккупанты разрушили 2 школы, клуб, здания правления колхоза, сельсовета, кооператива, 12 общественных домов, уничтожили сельскохозяйственные машины и инвентарь. По неполным данным, убытки, причинённые немецкими захватчиками сельскохозяйственной артели «Верный путь» и колхозникам, составляют более 3 миллионов рублей». Акт подписали: председатель сельсовета Р.Калашников, колхозники П.Гринько, И.Кобригин и А.Жукова.» (14862).</w:t>
      </w:r>
    </w:p>
    <w:p w14:paraId="56E2697C"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46F5A27F"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16 декабря </w:t>
      </w:r>
      <w:r w:rsidRPr="00722885">
        <w:rPr>
          <w:rFonts w:ascii="Times New Roman" w:hAnsi="Times New Roman"/>
          <w:color w:val="000000" w:themeColor="text1"/>
          <w:sz w:val="16"/>
          <w:szCs w:val="16"/>
        </w:rPr>
        <w:t>в 1942 году вечернее сообщение Совинформбюро:</w:t>
      </w:r>
    </w:p>
    <w:p w14:paraId="5867C3EB"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16 декабря наши войска в районе Сталинграда и на Центральном фронте продолжали вести наступательные бои на прежних направлениях.</w:t>
      </w:r>
    </w:p>
    <w:p w14:paraId="1FD3E9C9"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занятии населённого пункта западнее Суровикина наши войска захватили 305 орудий разных калибров, около 1.500 автомашин, два железнодорожных состава с военным имуществом, склады с боеприпасами, а также много другого военного снаряжения.</w:t>
      </w:r>
    </w:p>
    <w:p w14:paraId="1FBC8E93"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в районе Верхне-Кумского в двухдневных боях наши войска разгромили прорвавшуюся в этот район группу войск противника и уничтожили 50 танков и полк мотопехоты 6 танковой дивизии немцев.</w:t>
      </w:r>
    </w:p>
    <w:p w14:paraId="1FB66CFA"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наша авиация уничтожила 35 немецких самолётов, из них 4 транспортных самолёта.</w:t>
      </w:r>
    </w:p>
    <w:p w14:paraId="347F88EA"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декабря частями нашей авиации на различных участках фронта уничтожено или повреждено 12 немецких танков, до 70 автомашин с войсками и грузами, подавлен огонь 4 артиллерийских батарей, взорван склад боеприпасов, рассеяно и частью уничтожено до двух рот пехоты противника.</w:t>
      </w:r>
    </w:p>
    <w:p w14:paraId="1BB44789"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северо-западной окраине Сталинграда наши части вели активные боевые действия.</w:t>
      </w:r>
    </w:p>
    <w:p w14:paraId="6E291408"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Небольшие группы советских бойцов просочились в расположение противника и взорвали несколько дзотов вместе с их гарнизонами. В заводском районе происходила артиллерийско-миномётная перестрелка. Прямыми попаданиями снарядов и мин разрушен ряд укреплений противника.</w:t>
      </w:r>
    </w:p>
    <w:p w14:paraId="38F258C3"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огневой бой с противником. Наодном участке немцы, стремясь вернуть оставленные накануне позиции, несколько раз контратаковали наши подразделения. Все контратаки гитлеровцев отбиты. Огнём из всех видов оружия уничтожено до 200 вражеских солдат и офицеров и 5 танков. На другом участке советские разведчики взорвали два склада с боеприпасами противника.</w:t>
      </w:r>
    </w:p>
    <w:p w14:paraId="4444135F"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в районе западнее Ржева бойцы Н-ской части выбили противника из крупного опорного пункта.</w:t>
      </w:r>
    </w:p>
    <w:p w14:paraId="02A7F7E3"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поле боя осталось свыше 200 вражеских трупов и много техники. На соседнем участке бойцы Н-ского соединения отбили ряд контратак противника и уничтожили до 600 немецких солдат и офицеров, подбили и сожгли 16 танков, артиллерийскую и 2 миномётные батареи.</w:t>
      </w:r>
    </w:p>
    <w:p w14:paraId="00DD60D0"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дороги Ржев—Вязьма отдельные отряды нашей пехоты вели бои за улучшение своих позиций, уничтожили 5 немецких танков и 3 самоходные пушки.</w:t>
      </w:r>
    </w:p>
    <w:p w14:paraId="47D7B886"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наши части, преодолевая упорное сопротивление противника, заняли три населённых пункта. Пытаясь задержать продвижение наших войск, немцы силами пехоты и танков предприняли несколько безуспешных контратак. В этих боях казаки-гвардейцы подбили 13 вражеских танков и захватили 9 автомашин. На поле боя осталось более 300 вражеских трупов.</w:t>
      </w:r>
    </w:p>
    <w:p w14:paraId="39CEB68E"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группа пехоты и танков противника пыталась потеснить наши подразделения. В результате боя немцы, потеряв 50 человек убитыми и 5 танков, отошли на исходные рубежи.</w:t>
      </w:r>
    </w:p>
    <w:p w14:paraId="4A3E3010"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в воздушных боях сбили 5 и подбили 6 самолётов противника.</w:t>
      </w:r>
    </w:p>
    <w:p w14:paraId="4EC6C4C8"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Полесской области, совершил налёт на железнодорожную станцию, находящуюся на важной коммуникации противника. Уничтожено 20 немецких солдат и выведены из строя средства управления и телефонно-телеграфная связь. Другой отряд партизан разрушил узкоколейную железную дорогу и сжёг лесоматериалы, заготовленные для отправки в Германию.</w:t>
      </w:r>
    </w:p>
    <w:p w14:paraId="3A7806DF"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городе Сталино немецко-фашистские мерзавцы устроили большой лагерь для мирных советских граждан, отказавшихся ехать на каторжные работы в Германию.З аключённых в лагере гитлеровцы морят голодом и в течение нескольких дней подряд не дают никакой пищи. Ежедневно в лагере умирает 10—45 человек.</w:t>
      </w:r>
    </w:p>
    <w:p w14:paraId="29AC672A"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ряде районов Франции развивается партизанское движение. Многие солдаты и офицеры французской армии, подлежащие демобилизации, захватили оружие и ушли в отряды свободных стрелков. Небольшие отряды французских патриотов устраивают засады и нападают на немецкие транспорты, совершают диверсионные акты на железных дорогах. На дорогах Париж—Биарриц и Париж—Марсель за одну неделю пущено под откос 11 немецких эшелонов с войсками и военными грузами. В результате активных действий партизан убито и ранено много немецко-фашистских оккупантов.» (14862).</w:t>
      </w:r>
    </w:p>
    <w:p w14:paraId="55FE7B0A"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1EC32519" w14:textId="77777777" w:rsidR="0011363C" w:rsidRPr="00722885" w:rsidRDefault="0011363C"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16 декабря 1942 23-й шап в составе пяти Р-10,12 летчиков и 11 штурманов был переброшен на аэродром Бабушеры. Обстановка на фронте изменялась в пользу советских войск и с 10 января 1943 года радиуса действия Р-10 стало не хватать для ударов по противнику. Поэтому до 24 марта полк боевых дей</w:t>
      </w:r>
      <w:r w:rsidRPr="00722885">
        <w:rPr>
          <w:rFonts w:ascii="Times New Roman" w:hAnsi="Times New Roman" w:cs="Times New Roman"/>
          <w:color w:val="000000" w:themeColor="text1"/>
          <w:sz w:val="16"/>
          <w:szCs w:val="16"/>
        </w:rPr>
        <w:softHyphen/>
        <w:t>ствий не вел. За это время на попол</w:t>
      </w:r>
      <w:r w:rsidRPr="00722885">
        <w:rPr>
          <w:rFonts w:ascii="Times New Roman" w:hAnsi="Times New Roman" w:cs="Times New Roman"/>
          <w:color w:val="000000" w:themeColor="text1"/>
          <w:sz w:val="16"/>
          <w:szCs w:val="16"/>
        </w:rPr>
        <w:softHyphen/>
        <w:t>нение части было отправлено десять «новых» Р-10, из которых при перегоне были разбиты и брошены шесть (19085).</w:t>
      </w:r>
    </w:p>
    <w:p w14:paraId="3F72EA3A" w14:textId="77777777" w:rsidR="0011363C" w:rsidRPr="00722885" w:rsidRDefault="0011363C"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36908B1D"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16 декабря </w:t>
      </w:r>
      <w:r w:rsidRPr="00722885">
        <w:rPr>
          <w:rFonts w:ascii="Times New Roman" w:hAnsi="Times New Roman"/>
          <w:color w:val="000000" w:themeColor="text1"/>
          <w:sz w:val="16"/>
          <w:szCs w:val="16"/>
        </w:rPr>
        <w:t>в 1942 году на Дону советские войска под командованием Жукова разбивают итальянскую армию, прикрывающую фланг наступавшей под Сталинградом армии Манштейна (операция "Сатурн") (14862).</w:t>
      </w:r>
    </w:p>
    <w:p w14:paraId="62359B6B"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3D984771"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16 декабря </w:t>
      </w:r>
      <w:r w:rsidRPr="00722885">
        <w:rPr>
          <w:rFonts w:ascii="Times New Roman" w:hAnsi="Times New Roman"/>
          <w:color w:val="000000" w:themeColor="text1"/>
          <w:sz w:val="16"/>
          <w:szCs w:val="16"/>
        </w:rPr>
        <w:t>в 1942 году началось наступление войск Юго-Западного и Воронежского фронтов на Среднем Дону (операция "Малый Сатурн") (14862).</w:t>
      </w:r>
    </w:p>
    <w:p w14:paraId="15F97F4A"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1F94E711"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16 декабря </w:t>
      </w:r>
      <w:r w:rsidRPr="00722885">
        <w:rPr>
          <w:rFonts w:ascii="Times New Roman" w:hAnsi="Times New Roman"/>
          <w:color w:val="000000" w:themeColor="text1"/>
          <w:sz w:val="16"/>
          <w:szCs w:val="16"/>
        </w:rPr>
        <w:t>в 1942 году ГКО принял постановление о формировании в составе внутренних войск радиодивизионов мешающего действия для постановки радиопомех, заглушающих деятельность радиостанций противника на поле боя (14862).</w:t>
      </w:r>
    </w:p>
    <w:p w14:paraId="2E713EF5"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4989174B" w14:textId="77777777" w:rsidR="00C66516" w:rsidRPr="00722885" w:rsidRDefault="00C66516"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16 декабря </w:t>
      </w:r>
      <w:r w:rsidRPr="00722885">
        <w:rPr>
          <w:rFonts w:ascii="Times New Roman" w:hAnsi="Times New Roman"/>
          <w:color w:val="000000" w:themeColor="text1"/>
          <w:sz w:val="16"/>
          <w:szCs w:val="16"/>
        </w:rPr>
        <w:t>в 1942 году cоединения 18-й армии разгромили группировку противника «Туапсе» и отбросили её за реку Пшиш (14862).</w:t>
      </w:r>
    </w:p>
    <w:p w14:paraId="2B4F6D5E" w14:textId="77777777" w:rsidR="00C66516" w:rsidRPr="00722885" w:rsidRDefault="00C66516" w:rsidP="00722885">
      <w:pPr>
        <w:spacing w:after="0" w:line="240" w:lineRule="auto"/>
        <w:jc w:val="both"/>
        <w:rPr>
          <w:rFonts w:ascii="Times New Roman" w:hAnsi="Times New Roman"/>
          <w:color w:val="000000" w:themeColor="text1"/>
          <w:sz w:val="16"/>
          <w:szCs w:val="16"/>
        </w:rPr>
      </w:pPr>
    </w:p>
    <w:p w14:paraId="21236FD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16 декабря 1942 после того, как была отбита попытка немцев деблокировать свою окруженную группировку наши войска вновь перешли в наступление. Фронт немцев был прорван и в прорыв вошли 4 наших танковых корпуса. Заслуживает упоминания знаменитый Тацинский рейд 24-го танкового корпуса (имевшего по 32 Т-34 и 21 Т-70 в каждой танковой бригаде): за 5 дней он прошел 240 км и обрушился на немецкий гарнизон станицы Тацинской и авиабазу вблизи ее (3905).</w:t>
      </w:r>
    </w:p>
    <w:p w14:paraId="67854F09" w14:textId="77777777" w:rsidR="00BB6316" w:rsidRPr="00722885" w:rsidRDefault="00BB6316" w:rsidP="00722885">
      <w:pPr>
        <w:pStyle w:val="Iauiue"/>
        <w:jc w:val="both"/>
        <w:rPr>
          <w:color w:val="000000" w:themeColor="text1"/>
          <w:sz w:val="16"/>
          <w:szCs w:val="16"/>
        </w:rPr>
      </w:pPr>
    </w:p>
    <w:p w14:paraId="0035E942"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16 1942 Soviet offensive against Italian Eighth Army on middle Don River forces abandonment of effort to relieve Stalingrad (1037).</w:t>
      </w:r>
    </w:p>
    <w:p w14:paraId="2F424C6A" w14:textId="77777777" w:rsidR="00BB6316" w:rsidRPr="00722885" w:rsidRDefault="00BB6316" w:rsidP="00722885">
      <w:pPr>
        <w:pStyle w:val="Iauiue"/>
        <w:jc w:val="both"/>
        <w:rPr>
          <w:color w:val="000000" w:themeColor="text1"/>
          <w:sz w:val="16"/>
          <w:szCs w:val="16"/>
          <w:lang w:val="en-US"/>
        </w:rPr>
      </w:pPr>
    </w:p>
    <w:p w14:paraId="1D7A444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16 декабря 1942 началось советское наступление против итальянской 8 армии в среднем течении Дона, которое заставило оставить мысли об освобождении армии, окруженной в Сталинграде (1037).</w:t>
      </w:r>
    </w:p>
    <w:p w14:paraId="7699D10C" w14:textId="77777777" w:rsidR="00BB6316" w:rsidRPr="00722885" w:rsidRDefault="00BB6316" w:rsidP="00722885">
      <w:pPr>
        <w:pStyle w:val="Iauiue"/>
        <w:jc w:val="both"/>
        <w:rPr>
          <w:color w:val="000000" w:themeColor="text1"/>
          <w:sz w:val="16"/>
          <w:szCs w:val="16"/>
        </w:rPr>
      </w:pPr>
    </w:p>
    <w:p w14:paraId="05F5AC3A"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16 декабря 1942 на Дону советскими войсками Жукова разгромлена итальянская армия, прикрывающая фланг наступавшей под Сталинградом армии Манштейна (операция “Сатурн”) (4962).</w:t>
      </w:r>
    </w:p>
    <w:p w14:paraId="3CDCF214" w14:textId="77777777" w:rsidR="00BB6316" w:rsidRPr="00722885" w:rsidRDefault="00BB6316" w:rsidP="00722885">
      <w:pPr>
        <w:pStyle w:val="Iauiue"/>
        <w:tabs>
          <w:tab w:val="left" w:pos="11199"/>
        </w:tabs>
        <w:jc w:val="both"/>
        <w:rPr>
          <w:color w:val="000000" w:themeColor="text1"/>
          <w:sz w:val="16"/>
          <w:szCs w:val="16"/>
        </w:rPr>
      </w:pPr>
    </w:p>
    <w:p w14:paraId="033FCE46"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16 декабря 1942 советские Хэмпдены Н.Р.52 24 мтап летали бомбить Киркенес (5493, 47).</w:t>
      </w:r>
    </w:p>
    <w:p w14:paraId="41D90136" w14:textId="77777777" w:rsidR="00BB6316" w:rsidRPr="00722885" w:rsidRDefault="00BB6316" w:rsidP="00722885">
      <w:pPr>
        <w:pStyle w:val="Iauiue"/>
        <w:tabs>
          <w:tab w:val="left" w:pos="11199"/>
        </w:tabs>
        <w:jc w:val="both"/>
        <w:rPr>
          <w:color w:val="000000" w:themeColor="text1"/>
          <w:sz w:val="16"/>
          <w:szCs w:val="16"/>
        </w:rPr>
      </w:pPr>
    </w:p>
    <w:p w14:paraId="3D104DC9"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16 декабря 1942 вышло Постановление ГКО № 2633 Об организации в Красной Армии специальной службы по забивке немецких радиостанций, действующих на поле боя. (7067, 53).</w:t>
      </w:r>
    </w:p>
    <w:p w14:paraId="3584E858" w14:textId="77777777" w:rsidR="00BB6316" w:rsidRPr="00722885" w:rsidRDefault="00BB6316" w:rsidP="00722885">
      <w:pPr>
        <w:pStyle w:val="Iauiue"/>
        <w:tabs>
          <w:tab w:val="left" w:pos="11199"/>
        </w:tabs>
        <w:jc w:val="both"/>
        <w:rPr>
          <w:color w:val="000000" w:themeColor="text1"/>
          <w:sz w:val="16"/>
          <w:szCs w:val="16"/>
        </w:rPr>
      </w:pPr>
    </w:p>
    <w:p w14:paraId="46D2470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16 декабря 1942 циркуляром НКВД N 52/21490 объявили о введении 6 дифференцированных норм питания военнопленных, которые потом закрепили во Временном положении о порядке обеспечения лагерей НКВД военнопленных и спецконтингентов, который утвердили 16 марта 1943 приказом НКВД N 00488 - в рацион возвратили мясо (30 для солдат, 50 для офицеров), ввели сало или комбижир, но уменьшили количество рыбы, сахара, соли и растительного масла. Хлеб увеличили до 600 г (3428).</w:t>
      </w:r>
    </w:p>
    <w:p w14:paraId="0BFB567F" w14:textId="77777777" w:rsidR="00BB6316" w:rsidRPr="00722885" w:rsidRDefault="00BB6316" w:rsidP="00722885">
      <w:pPr>
        <w:pStyle w:val="Iauiue"/>
        <w:jc w:val="both"/>
        <w:rPr>
          <w:color w:val="000000" w:themeColor="text1"/>
          <w:sz w:val="16"/>
          <w:szCs w:val="16"/>
        </w:rPr>
      </w:pPr>
    </w:p>
    <w:p w14:paraId="44320B2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4EE26F72" w14:textId="77777777" w:rsidR="00BB6316" w:rsidRPr="00722885" w:rsidRDefault="00BB6316" w:rsidP="00722885">
      <w:pPr>
        <w:pStyle w:val="Iauiue"/>
        <w:jc w:val="both"/>
        <w:rPr>
          <w:iCs/>
          <w:color w:val="000000" w:themeColor="text1"/>
          <w:sz w:val="16"/>
          <w:szCs w:val="16"/>
        </w:rPr>
      </w:pPr>
    </w:p>
    <w:p w14:paraId="5FDA3C8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16 декабря 1942 Ф.Рузвельт писал "Мне не ясно, что именно произошло в отношении нашего предложения об американской авиационной помощи на Кавказе. Я вполне готов направить соединения с американскими пилотами и экипажами. Я думаю, что они должны действовать в составе американских соединений под командованием своих американских начальников, но каждая группа в отношении тактических целей находилась бы, конечно, под общим русским командованием..." (1261,33).</w:t>
      </w:r>
    </w:p>
    <w:p w14:paraId="5252131D" w14:textId="77777777" w:rsidR="00BB6316" w:rsidRPr="00722885" w:rsidRDefault="00BB6316" w:rsidP="00722885">
      <w:pPr>
        <w:pStyle w:val="Iauiue"/>
        <w:jc w:val="both"/>
        <w:rPr>
          <w:color w:val="000000" w:themeColor="text1"/>
          <w:sz w:val="16"/>
          <w:szCs w:val="16"/>
        </w:rPr>
      </w:pPr>
    </w:p>
    <w:p w14:paraId="31B41F38"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61E7F75" w14:textId="77777777" w:rsidR="00BB6316" w:rsidRPr="00722885" w:rsidRDefault="00BB6316" w:rsidP="00722885">
      <w:pPr>
        <w:pStyle w:val="Iauiue"/>
        <w:jc w:val="both"/>
        <w:rPr>
          <w:iCs/>
          <w:color w:val="000000" w:themeColor="text1"/>
          <w:sz w:val="16"/>
          <w:szCs w:val="16"/>
        </w:rPr>
      </w:pPr>
    </w:p>
    <w:p w14:paraId="3B0C9CB9"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16 декабря 1942 Гиммлер приказал отправить всех цыган в Освенцим (4962).</w:t>
      </w:r>
    </w:p>
    <w:p w14:paraId="6DE52A4A" w14:textId="77777777" w:rsidR="00BB6316" w:rsidRPr="00722885" w:rsidRDefault="00BB6316" w:rsidP="00722885">
      <w:pPr>
        <w:pStyle w:val="Iauiue"/>
        <w:tabs>
          <w:tab w:val="left" w:pos="11199"/>
        </w:tabs>
        <w:jc w:val="both"/>
        <w:rPr>
          <w:color w:val="000000" w:themeColor="text1"/>
          <w:sz w:val="16"/>
          <w:szCs w:val="16"/>
        </w:rPr>
      </w:pPr>
    </w:p>
    <w:p w14:paraId="0B9444DC"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16 декабря 1942 Гитлер приказал уничтожить партизан в СССР и на Балканах (4962).</w:t>
      </w:r>
    </w:p>
    <w:p w14:paraId="522255A8" w14:textId="77777777" w:rsidR="00BB6316" w:rsidRPr="00722885" w:rsidRDefault="00BB6316" w:rsidP="00722885">
      <w:pPr>
        <w:pStyle w:val="Iauiue"/>
        <w:tabs>
          <w:tab w:val="left" w:pos="11199"/>
        </w:tabs>
        <w:jc w:val="both"/>
        <w:rPr>
          <w:color w:val="000000" w:themeColor="text1"/>
          <w:sz w:val="16"/>
          <w:szCs w:val="16"/>
        </w:rPr>
      </w:pPr>
    </w:p>
    <w:p w14:paraId="0A3CEE8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E97FC2C" w14:textId="77777777" w:rsidR="00BB6316" w:rsidRPr="00722885" w:rsidRDefault="00BB6316" w:rsidP="00722885">
      <w:pPr>
        <w:pStyle w:val="Iauiue"/>
        <w:jc w:val="both"/>
        <w:rPr>
          <w:iCs/>
          <w:color w:val="000000" w:themeColor="text1"/>
          <w:sz w:val="16"/>
          <w:szCs w:val="16"/>
        </w:rPr>
      </w:pPr>
    </w:p>
    <w:p w14:paraId="07B20E3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17 декабря 1942 по 3 февраля 1943 в НИИ ВВС были проведены гос. испытания двухместного Ил-2 N 1112 с двигателем АМ-38Ф мощностью 1700 л. с. В результате испытаний было установлено, что форсирование мотора Рк = 1320 мм рт. ст. и n = 2350_об/мин увеличивает максимальную скорость на 17_км/час у земли (с 386 до 404 км/час),...улучшились взлетные свойства самолета при загрузке его бомбами общим весом 400_кг.</w:t>
      </w:r>
    </w:p>
    <w:p w14:paraId="54D8DD0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 своим свойствам Ил-2 с АМ-38Ф стал аналогичен одноместному Ил-2 с АМ-38.</w:t>
      </w:r>
    </w:p>
    <w:p w14:paraId="1EA3349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Основным недостатком самолета с форсированным мотором являются высокие температуры на режиме максимальной скороподъемности (t = 110 град) и даже в зимних условиях она близка к верхнему пределу. Гос. испытания самолет прошел неудовлетворительно.</w:t>
      </w:r>
    </w:p>
    <w:p w14:paraId="7625A52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акте отмечается совершенно неудовлетворительные средства связи на самолете. Самолет с двигателем АМ-38Ф мог брать на наружную подвеску 400_кг бомб (раньше 300 кг, а в перегруз - 600 кг + 4 РС-82) в связи с увеличившейся мощностью мотора (462,24).</w:t>
      </w:r>
    </w:p>
    <w:p w14:paraId="1D3CAAC6" w14:textId="77777777" w:rsidR="00BB6316" w:rsidRPr="00722885" w:rsidRDefault="00BB6316" w:rsidP="00722885">
      <w:pPr>
        <w:pStyle w:val="Iauiue"/>
        <w:jc w:val="both"/>
        <w:rPr>
          <w:color w:val="000000" w:themeColor="text1"/>
          <w:sz w:val="16"/>
          <w:szCs w:val="16"/>
        </w:rPr>
      </w:pPr>
    </w:p>
    <w:p w14:paraId="3B702201"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17 декабря 1942 оставшаяся группа в составе 8 самолетов Ил-2 Ш-37 вылетела на фронт и благополучно села в Большой Ивановке — аэродром свх. Пролетарий, куда их перенаправили в Разбойщине вместо аэро</w:t>
      </w:r>
      <w:r w:rsidRPr="00722885">
        <w:rPr>
          <w:color w:val="000000" w:themeColor="text1"/>
          <w:sz w:val="16"/>
          <w:szCs w:val="16"/>
        </w:rPr>
        <w:softHyphen/>
        <w:t>дрома Вихлянцево.</w:t>
      </w:r>
    </w:p>
    <w:p w14:paraId="57D5636B"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прибытии на фронт самолеты вошли в состав 688-го шап 228-й шад 16 ВА, «действующей по раз</w:t>
      </w:r>
      <w:r w:rsidRPr="00722885">
        <w:rPr>
          <w:color w:val="000000" w:themeColor="text1"/>
          <w:sz w:val="16"/>
          <w:szCs w:val="16"/>
        </w:rPr>
        <w:softHyphen/>
        <w:t>грому окруженной немецкой группировки под Ста</w:t>
      </w:r>
      <w:r w:rsidRPr="00722885">
        <w:rPr>
          <w:color w:val="000000" w:themeColor="text1"/>
          <w:sz w:val="16"/>
          <w:szCs w:val="16"/>
        </w:rPr>
        <w:softHyphen/>
        <w:t>линградом». Боевым приказом командира дивизии полковника Г. О. Комарова от 18 декабря коман</w:t>
      </w:r>
      <w:r w:rsidRPr="00722885">
        <w:rPr>
          <w:color w:val="000000" w:themeColor="text1"/>
          <w:sz w:val="16"/>
          <w:szCs w:val="16"/>
        </w:rPr>
        <w:softHyphen/>
        <w:t>дир 688-го шап капитан М. Г. Скляров обязывался до 22—23 декабря «закончить изучение вооруже</w:t>
      </w:r>
      <w:r w:rsidRPr="00722885">
        <w:rPr>
          <w:color w:val="000000" w:themeColor="text1"/>
          <w:sz w:val="16"/>
          <w:szCs w:val="16"/>
        </w:rPr>
        <w:softHyphen/>
        <w:t>ния самолета Ил-2 с 37-мм пушками». Требовалось «провести опробование самолетов Ил-2 в воздухе путем стрельбы по мишеням и поведение самолета на всех режимах при технике пилотирования». Для изучения материальной части и подготовки само</w:t>
      </w:r>
      <w:r w:rsidRPr="00722885">
        <w:rPr>
          <w:color w:val="000000" w:themeColor="text1"/>
          <w:sz w:val="16"/>
          <w:szCs w:val="16"/>
        </w:rPr>
        <w:softHyphen/>
        <w:t>летов и пушек к зимней эксплуатации предлагалось привлечь группу работников от ОКБ-15.</w:t>
      </w:r>
    </w:p>
    <w:p w14:paraId="3053DEA8"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Здесь следует сказать, что изменение места на</w:t>
      </w:r>
      <w:r w:rsidRPr="00722885">
        <w:rPr>
          <w:color w:val="000000" w:themeColor="text1"/>
          <w:sz w:val="16"/>
          <w:szCs w:val="16"/>
        </w:rPr>
        <w:softHyphen/>
        <w:t>значения сыграло злую шутку, так как «группком- плект запчастей к самолетам и запчасти по воору</w:t>
      </w:r>
      <w:r w:rsidRPr="00722885">
        <w:rPr>
          <w:color w:val="000000" w:themeColor="text1"/>
          <w:sz w:val="16"/>
          <w:szCs w:val="16"/>
        </w:rPr>
        <w:softHyphen/>
        <w:t>жению с завода № 18 были отправлены Дугласом в Вихлянцево». Эти запчасти до самого окончания войсковых испытаний самолетов Ил-2 с пушками Ш-37 оставались в Вихлянцеве и в полк так и не по</w:t>
      </w:r>
      <w:r w:rsidRPr="00722885">
        <w:rPr>
          <w:color w:val="000000" w:themeColor="text1"/>
          <w:sz w:val="16"/>
          <w:szCs w:val="16"/>
        </w:rPr>
        <w:softHyphen/>
        <w:t>ступили.</w:t>
      </w:r>
    </w:p>
    <w:p w14:paraId="1C91A442"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этому времени 688-й шап находился на фрон</w:t>
      </w:r>
      <w:r w:rsidRPr="00722885">
        <w:rPr>
          <w:color w:val="000000" w:themeColor="text1"/>
          <w:sz w:val="16"/>
          <w:szCs w:val="16"/>
        </w:rPr>
        <w:softHyphen/>
        <w:t>те бессменно около 7 месяцев, пополняясь летным составом и матчастью по мере убыли непосред</w:t>
      </w:r>
      <w:r w:rsidRPr="00722885">
        <w:rPr>
          <w:color w:val="000000" w:themeColor="text1"/>
          <w:sz w:val="16"/>
          <w:szCs w:val="16"/>
        </w:rPr>
        <w:softHyphen/>
        <w:t>ственно в ходе боевых действий. Основной ка</w:t>
      </w:r>
      <w:r w:rsidRPr="00722885">
        <w:rPr>
          <w:color w:val="000000" w:themeColor="text1"/>
          <w:sz w:val="16"/>
          <w:szCs w:val="16"/>
        </w:rPr>
        <w:softHyphen/>
        <w:t>дровый состав имел специальную подготовку для ночных полетов, соответственно, полк вылетал на боевые задания главным образом ночью.</w:t>
      </w:r>
    </w:p>
    <w:p w14:paraId="1A57278F"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первого же дня нахождения противотанко</w:t>
      </w:r>
      <w:r w:rsidRPr="00722885">
        <w:rPr>
          <w:color w:val="000000" w:themeColor="text1"/>
          <w:sz w:val="16"/>
          <w:szCs w:val="16"/>
        </w:rPr>
        <w:softHyphen/>
        <w:t>вых Ил-2 в полку развернулась подготовка летного и технического состава к особенностям эксплуата</w:t>
      </w:r>
      <w:r w:rsidRPr="00722885">
        <w:rPr>
          <w:color w:val="000000" w:themeColor="text1"/>
          <w:sz w:val="16"/>
          <w:szCs w:val="16"/>
        </w:rPr>
        <w:softHyphen/>
        <w:t>ции и применения пушек Ш-37.</w:t>
      </w:r>
    </w:p>
    <w:p w14:paraId="1C95598A"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Комиссия НИИ ВВС при встрече с командиром дивизии полковником Комаровым и командиром полка капитанов Скляровым поставила вопрос о применении Ил-2 с пушками Ш-37 «днем, а не ночью, когда цели хорошо видимы, чтобы можно было судить об эффективности этих самолетов», и преимущественно по бронированным целям — танкам, штурмовым орудиям, бронетранспортерам. Кроме этого, группы штурмовиков в обязательном порядке требовалось прикрыть достаточным коли</w:t>
      </w:r>
      <w:r w:rsidRPr="00722885">
        <w:rPr>
          <w:color w:val="000000" w:themeColor="text1"/>
          <w:sz w:val="16"/>
          <w:szCs w:val="16"/>
        </w:rPr>
        <w:softHyphen/>
        <w:t>чеством истребителей.</w:t>
      </w:r>
    </w:p>
    <w:p w14:paraId="2898CCA4"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22 декабря состоялся облет этих самолетов лет</w:t>
      </w:r>
      <w:r w:rsidRPr="00722885">
        <w:rPr>
          <w:color w:val="000000" w:themeColor="text1"/>
          <w:sz w:val="16"/>
          <w:szCs w:val="16"/>
        </w:rPr>
        <w:softHyphen/>
        <w:t>ным составом полка с учебными стрельбами по на</w:t>
      </w:r>
      <w:r w:rsidRPr="00722885">
        <w:rPr>
          <w:color w:val="000000" w:themeColor="text1"/>
          <w:sz w:val="16"/>
          <w:szCs w:val="16"/>
        </w:rPr>
        <w:softHyphen/>
        <w:t>земной мишени.</w:t>
      </w:r>
    </w:p>
    <w:p w14:paraId="08EF6A53"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день 228-я шад боевой работы не вела по причине сложных метеоусловий (облачность 10 баллов, временами снегопад, утром выпал ту</w:t>
      </w:r>
      <w:r w:rsidRPr="00722885">
        <w:rPr>
          <w:color w:val="000000" w:themeColor="text1"/>
          <w:sz w:val="16"/>
          <w:szCs w:val="16"/>
        </w:rPr>
        <w:softHyphen/>
        <w:t>ман), но готовность к вылету с ночных экипажей не снималась.</w:t>
      </w:r>
    </w:p>
    <w:p w14:paraId="63CEB536"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Учитывая эти обстоятельства, решили выпол</w:t>
      </w:r>
      <w:r w:rsidRPr="00722885">
        <w:rPr>
          <w:color w:val="000000" w:themeColor="text1"/>
          <w:sz w:val="16"/>
          <w:szCs w:val="16"/>
        </w:rPr>
        <w:softHyphen/>
        <w:t>нить тренировочные полеты по кругу на облет но</w:t>
      </w:r>
      <w:r w:rsidRPr="00722885">
        <w:rPr>
          <w:color w:val="000000" w:themeColor="text1"/>
          <w:sz w:val="16"/>
          <w:szCs w:val="16"/>
        </w:rPr>
        <w:softHyphen/>
        <w:t>вых самолетов Ил-2 с пушками Ш-37 и отстреляться из них по мишени.</w:t>
      </w:r>
    </w:p>
    <w:p w14:paraId="0C0AC844"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Летали 5 летчиков разной квалификации на 6 самолетах: капитан Скляров, капитан Копаев, лей</w:t>
      </w:r>
      <w:r w:rsidRPr="00722885">
        <w:rPr>
          <w:color w:val="000000" w:themeColor="text1"/>
          <w:sz w:val="16"/>
          <w:szCs w:val="16"/>
        </w:rPr>
        <w:softHyphen/>
        <w:t>тенант Бибишев, старшина Гололобов, лейтенант Михайленко. Всего было выполнено 10 самолето</w:t>
      </w:r>
      <w:r w:rsidRPr="00722885">
        <w:rPr>
          <w:color w:val="000000" w:themeColor="text1"/>
          <w:sz w:val="16"/>
          <w:szCs w:val="16"/>
        </w:rPr>
        <w:softHyphen/>
        <w:t>вылетов с суммарным налетом 3 ч 17 мин.</w:t>
      </w:r>
    </w:p>
    <w:p w14:paraId="14B17E8B"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Оказалось, что кучность стрельбы из пушек бы</w:t>
      </w:r>
      <w:r w:rsidRPr="00722885">
        <w:rPr>
          <w:color w:val="000000" w:themeColor="text1"/>
          <w:sz w:val="16"/>
          <w:szCs w:val="16"/>
        </w:rPr>
        <w:softHyphen/>
        <w:t>ла довольно приличной, хотя сама стрельба — не</w:t>
      </w:r>
      <w:r w:rsidRPr="00722885">
        <w:rPr>
          <w:color w:val="000000" w:themeColor="text1"/>
          <w:sz w:val="16"/>
          <w:szCs w:val="16"/>
        </w:rPr>
        <w:softHyphen/>
        <w:t>точной. Большая часть снарядов (из 153 штук) легла в 4—5 метрах в стороне от цели (щит в виде ква</w:t>
      </w:r>
      <w:r w:rsidRPr="00722885">
        <w:rPr>
          <w:color w:val="000000" w:themeColor="text1"/>
          <w:sz w:val="16"/>
          <w:szCs w:val="16"/>
        </w:rPr>
        <w:softHyphen/>
        <w:t>драта со стороной 6 м), остальные — в 12—15 м. Только командиру полка капитану Склярову уда</w:t>
      </w:r>
      <w:r w:rsidRPr="00722885">
        <w:rPr>
          <w:color w:val="000000" w:themeColor="text1"/>
          <w:sz w:val="16"/>
          <w:szCs w:val="16"/>
        </w:rPr>
        <w:softHyphen/>
        <w:t>лось поразить щит 2 снарядами. Вторым по резуль</w:t>
      </w:r>
      <w:r w:rsidRPr="00722885">
        <w:rPr>
          <w:color w:val="000000" w:themeColor="text1"/>
          <w:sz w:val="16"/>
          <w:szCs w:val="16"/>
        </w:rPr>
        <w:softHyphen/>
        <w:t>тативности оказался капитан Копаев. Низкий про</w:t>
      </w:r>
      <w:r w:rsidRPr="00722885">
        <w:rPr>
          <w:color w:val="000000" w:themeColor="text1"/>
          <w:sz w:val="16"/>
          <w:szCs w:val="16"/>
        </w:rPr>
        <w:softHyphen/>
        <w:t>цент попадания в щит объяснялся большими дис</w:t>
      </w:r>
      <w:r w:rsidRPr="00722885">
        <w:rPr>
          <w:color w:val="000000" w:themeColor="text1"/>
          <w:sz w:val="16"/>
          <w:szCs w:val="16"/>
        </w:rPr>
        <w:softHyphen/>
        <w:t>танциями стрельбы — начало стрельбы 800—900 м и окончание 500—400 м, а также «недостатками освоения техники пилотирования этим самолетом и ведения огня из пушек калибра 37 мм». Кроме этого, по сложившейся в полку практике стрельбы из пушек ВЯ и ШВАК и пулеметов ШКАС летчики вели прицеливание «с недолетом с последующим уменьшением угла пикирования с целью пересече</w:t>
      </w:r>
      <w:r w:rsidRPr="00722885">
        <w:rPr>
          <w:color w:val="000000" w:themeColor="text1"/>
          <w:sz w:val="16"/>
          <w:szCs w:val="16"/>
        </w:rPr>
        <w:softHyphen/>
        <w:t>ния трассой цели», что «для пушки 37 мм неприме</w:t>
      </w:r>
      <w:r w:rsidRPr="00722885">
        <w:rPr>
          <w:color w:val="000000" w:themeColor="text1"/>
          <w:sz w:val="16"/>
          <w:szCs w:val="16"/>
        </w:rPr>
        <w:softHyphen/>
        <w:t>нимо вследствие небольшого темпа стрельбы». Во всех случаях стрельба велась очередями по 2—3 снаряда, так как летный состав привык «к ведению огня из оружия высокого темпа стрельбы».</w:t>
      </w:r>
    </w:p>
    <w:p w14:paraId="785069EB"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условия стрельбы, соответствен</w:t>
      </w:r>
      <w:r w:rsidRPr="00722885">
        <w:rPr>
          <w:color w:val="000000" w:themeColor="text1"/>
          <w:sz w:val="16"/>
          <w:szCs w:val="16"/>
        </w:rPr>
        <w:softHyphen/>
        <w:t>но, и результаты стрельбы в реальном бою были бы такими же или хуже.</w:t>
      </w:r>
    </w:p>
    <w:p w14:paraId="3FFC4AE4"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В выводах отчета «О произведенном отстреле 37-мм пушек, установленных на Ил-2 в 688-м шап 228-й шад» отмечалось, что для поражения назем</w:t>
      </w:r>
      <w:r w:rsidRPr="00722885">
        <w:rPr>
          <w:color w:val="000000" w:themeColor="text1"/>
          <w:sz w:val="16"/>
          <w:szCs w:val="16"/>
        </w:rPr>
        <w:softHyphen/>
        <w:t>ных целей из пушек Ш-37 прицельный огонь дол</w:t>
      </w:r>
      <w:r w:rsidRPr="00722885">
        <w:rPr>
          <w:color w:val="000000" w:themeColor="text1"/>
          <w:sz w:val="16"/>
          <w:szCs w:val="16"/>
        </w:rPr>
        <w:softHyphen/>
        <w:t>жен открываться на дистанции не более 500 м и ве</w:t>
      </w:r>
      <w:r w:rsidRPr="00722885">
        <w:rPr>
          <w:color w:val="000000" w:themeColor="text1"/>
          <w:sz w:val="16"/>
          <w:szCs w:val="16"/>
        </w:rPr>
        <w:softHyphen/>
        <w:t>стись до 200—250 м очередями в 5—7 выстрелов.</w:t>
      </w:r>
    </w:p>
    <w:p w14:paraId="4CD1E3AB"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Наиболее выгодными целями с точки зрения наибольшего эффекта от применения пушек кали</w:t>
      </w:r>
      <w:r w:rsidRPr="00722885">
        <w:rPr>
          <w:color w:val="000000" w:themeColor="text1"/>
          <w:sz w:val="16"/>
          <w:szCs w:val="16"/>
        </w:rPr>
        <w:softHyphen/>
        <w:t>бра 37 мм считались танки, бронемашины, броне</w:t>
      </w:r>
      <w:r w:rsidRPr="00722885">
        <w:rPr>
          <w:color w:val="000000" w:themeColor="text1"/>
          <w:sz w:val="16"/>
          <w:szCs w:val="16"/>
        </w:rPr>
        <w:softHyphen/>
        <w:t>поезда, суда малого тоннажа, самолеты, артилле</w:t>
      </w:r>
      <w:r w:rsidRPr="00722885">
        <w:rPr>
          <w:color w:val="000000" w:themeColor="text1"/>
          <w:sz w:val="16"/>
          <w:szCs w:val="16"/>
        </w:rPr>
        <w:softHyphen/>
        <w:t>рийские позиции, склады боеприпасов и горючего. При этом «стрельба с самолетов Ил-2, вооруженных 37-мм пушками,</w:t>
      </w:r>
    </w:p>
    <w:p w14:paraId="2B1804F8"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производит большое моральное действие и может эффективно применяться в днев</w:t>
      </w:r>
      <w:r w:rsidRPr="00722885">
        <w:rPr>
          <w:color w:val="000000" w:themeColor="text1"/>
          <w:sz w:val="16"/>
          <w:szCs w:val="16"/>
        </w:rPr>
        <w:softHyphen/>
        <w:t>ных условиях», а «применение огня из этих пушек против танков даст лучший эффект, нежели авиа</w:t>
      </w:r>
      <w:r w:rsidRPr="00722885">
        <w:rPr>
          <w:color w:val="000000" w:themeColor="text1"/>
          <w:sz w:val="16"/>
          <w:szCs w:val="16"/>
        </w:rPr>
        <w:softHyphen/>
        <w:t>бомбы».</w:t>
      </w:r>
    </w:p>
    <w:p w14:paraId="53835C82"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технике пилотирования Ил-2 с Ш-37 оцени</w:t>
      </w:r>
      <w:r w:rsidRPr="00722885">
        <w:rPr>
          <w:color w:val="000000" w:themeColor="text1"/>
          <w:sz w:val="16"/>
          <w:szCs w:val="16"/>
        </w:rPr>
        <w:softHyphen/>
        <w:t>вался в целом не хуже «прежних образцов, несущих нормальный вариант бомб, но скорость меньше на 15—20 км/ч, а также несколько сложный маневр».</w:t>
      </w:r>
    </w:p>
    <w:p w14:paraId="7180CCD4"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 обошлось без недостатков. Так, на Ил-2 зав. № 1878029 при стрельбе по мишени произошел отказ одной пушки (зав. № Г-146). Самолет развер</w:t>
      </w:r>
      <w:r w:rsidRPr="00722885">
        <w:rPr>
          <w:color w:val="000000" w:themeColor="text1"/>
          <w:sz w:val="16"/>
          <w:szCs w:val="16"/>
        </w:rPr>
        <w:softHyphen/>
        <w:t>нуло, очередь ушла далеко мимо цели. При по</w:t>
      </w:r>
      <w:r w:rsidRPr="00722885">
        <w:rPr>
          <w:color w:val="000000" w:themeColor="text1"/>
          <w:sz w:val="16"/>
          <w:szCs w:val="16"/>
        </w:rPr>
        <w:softHyphen/>
        <w:t>вторном заходе лейтенант Бибишев при стрельбе не смог удержать линию визирования на цели, так как самолет разворачивало в сторону стреляющей пушки. При осмотре оказалось, что отказ в работе пушки произошел «по причине неотдачи частей в крайнее заднее положение вследствие недоста</w:t>
      </w:r>
      <w:r w:rsidRPr="00722885">
        <w:rPr>
          <w:color w:val="000000" w:themeColor="text1"/>
          <w:sz w:val="16"/>
          <w:szCs w:val="16"/>
        </w:rPr>
        <w:softHyphen/>
        <w:t>точного отверстия (5 мм) газового диффузора для условий зимней эксплуатации».</w:t>
      </w:r>
    </w:p>
    <w:p w14:paraId="753EC68A"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самолете Ил-2 зав. 1879928 из-за неисправ</w:t>
      </w:r>
      <w:r w:rsidRPr="00722885">
        <w:rPr>
          <w:color w:val="000000" w:themeColor="text1"/>
          <w:sz w:val="16"/>
          <w:szCs w:val="16"/>
        </w:rPr>
        <w:softHyphen/>
        <w:t>ности проводки электромагнитного спуска отказа</w:t>
      </w:r>
      <w:r w:rsidRPr="00722885">
        <w:rPr>
          <w:color w:val="000000" w:themeColor="text1"/>
          <w:sz w:val="16"/>
          <w:szCs w:val="16"/>
        </w:rPr>
        <w:softHyphen/>
        <w:t>ли в работе пушки зав. № С-107 и № С-108. При по</w:t>
      </w:r>
      <w:r w:rsidRPr="00722885">
        <w:rPr>
          <w:color w:val="000000" w:themeColor="text1"/>
          <w:sz w:val="16"/>
          <w:szCs w:val="16"/>
        </w:rPr>
        <w:softHyphen/>
        <w:t>вторном вылете самолет пришлось заменить.</w:t>
      </w:r>
    </w:p>
    <w:p w14:paraId="0453A122"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Тем не менее, несмотря на выявленные не</w:t>
      </w:r>
      <w:r w:rsidRPr="00722885">
        <w:rPr>
          <w:color w:val="000000" w:themeColor="text1"/>
          <w:sz w:val="16"/>
          <w:szCs w:val="16"/>
        </w:rPr>
        <w:softHyphen/>
        <w:t>достатки пушек и их пушечных установок, в за</w:t>
      </w:r>
      <w:r w:rsidRPr="00722885">
        <w:rPr>
          <w:color w:val="000000" w:themeColor="text1"/>
          <w:sz w:val="16"/>
          <w:szCs w:val="16"/>
        </w:rPr>
        <w:softHyphen/>
        <w:t>ключение отчета был сделан вывод, что «в экс</w:t>
      </w:r>
      <w:r w:rsidRPr="00722885">
        <w:rPr>
          <w:color w:val="000000" w:themeColor="text1"/>
          <w:sz w:val="16"/>
          <w:szCs w:val="16"/>
        </w:rPr>
        <w:softHyphen/>
        <w:t>плуатации пушки просты и при грамотном уходе безотказны в работе», а «самолет Ил-2 с 2 пушка</w:t>
      </w:r>
      <w:r w:rsidRPr="00722885">
        <w:rPr>
          <w:color w:val="000000" w:themeColor="text1"/>
          <w:sz w:val="16"/>
          <w:szCs w:val="16"/>
        </w:rPr>
        <w:softHyphen/>
        <w:t>ми калибра 37 мм конструкции тов. Шпитального обладает мощным огнем и хорошей кучностью стрельбы». При этом «в целях сохранения само</w:t>
      </w:r>
      <w:r w:rsidRPr="00722885">
        <w:rPr>
          <w:color w:val="000000" w:themeColor="text1"/>
          <w:sz w:val="16"/>
          <w:szCs w:val="16"/>
        </w:rPr>
        <w:softHyphen/>
        <w:t>летов Ил-2 с пушками 37 мм и глубокого и всесто</w:t>
      </w:r>
      <w:r w:rsidRPr="00722885">
        <w:rPr>
          <w:color w:val="000000" w:themeColor="text1"/>
          <w:sz w:val="16"/>
          <w:szCs w:val="16"/>
        </w:rPr>
        <w:softHyphen/>
        <w:t>роннего изучения боевых свойств» считалось не</w:t>
      </w:r>
      <w:r w:rsidRPr="00722885">
        <w:rPr>
          <w:color w:val="000000" w:themeColor="text1"/>
          <w:sz w:val="16"/>
          <w:szCs w:val="16"/>
        </w:rPr>
        <w:softHyphen/>
        <w:t>обходимым «прикрыть их истребителями в соотно</w:t>
      </w:r>
      <w:r w:rsidRPr="00722885">
        <w:rPr>
          <w:color w:val="000000" w:themeColor="text1"/>
          <w:sz w:val="16"/>
          <w:szCs w:val="16"/>
        </w:rPr>
        <w:softHyphen/>
        <w:t>шении 1:2».</w:t>
      </w:r>
    </w:p>
    <w:p w14:paraId="175958B7"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Отчет подписали командир полка капитан Скля</w:t>
      </w:r>
      <w:r w:rsidRPr="00722885">
        <w:rPr>
          <w:color w:val="000000" w:themeColor="text1"/>
          <w:sz w:val="16"/>
          <w:szCs w:val="16"/>
        </w:rPr>
        <w:softHyphen/>
        <w:t>ров, начальник воздушно-стрелковой службы 228-й шад инженер-капитан Поветкин, инженер дивизии по вооружению старший техник-лейтенант Алек- сеенко и помощник начальника воздушно-стрел</w:t>
      </w:r>
      <w:r w:rsidRPr="00722885">
        <w:rPr>
          <w:color w:val="000000" w:themeColor="text1"/>
          <w:sz w:val="16"/>
          <w:szCs w:val="16"/>
        </w:rPr>
        <w:softHyphen/>
        <w:t>ковой службы 16-й воздушной армии старший тех</w:t>
      </w:r>
      <w:r w:rsidRPr="00722885">
        <w:rPr>
          <w:color w:val="000000" w:themeColor="text1"/>
          <w:sz w:val="16"/>
          <w:szCs w:val="16"/>
        </w:rPr>
        <w:softHyphen/>
        <w:t>ник-лейтенант Осьмачко.</w:t>
      </w:r>
    </w:p>
    <w:p w14:paraId="59AD2345"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отчетом и докладом команди</w:t>
      </w:r>
      <w:r w:rsidRPr="00722885">
        <w:rPr>
          <w:color w:val="000000" w:themeColor="text1"/>
          <w:sz w:val="16"/>
          <w:szCs w:val="16"/>
        </w:rPr>
        <w:softHyphen/>
        <w:t>ра 228-й шад полковника Г. О. Комарова, командую</w:t>
      </w:r>
      <w:r w:rsidRPr="00722885">
        <w:rPr>
          <w:color w:val="000000" w:themeColor="text1"/>
          <w:sz w:val="16"/>
          <w:szCs w:val="16"/>
        </w:rPr>
        <w:softHyphen/>
        <w:t>щий 16 ВА генерал-майор С. И. Руденко 30 декабря наложил резолюцию: «Предлагаю тренировать лет</w:t>
      </w:r>
      <w:r w:rsidRPr="00722885">
        <w:rPr>
          <w:color w:val="000000" w:themeColor="text1"/>
          <w:sz w:val="16"/>
          <w:szCs w:val="16"/>
        </w:rPr>
        <w:softHyphen/>
        <w:t>ный состав в строевой части. Начальник штаба — подготовить доклад командующему ВВС КА».</w:t>
      </w:r>
    </w:p>
    <w:p w14:paraId="622EF025"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Тем временем группа противотанковых Ил-2 уже вылетала на боевые действия. Боевая работа велась с полевых аэродромов Б. Ивановка и стани</w:t>
      </w:r>
      <w:r w:rsidRPr="00722885">
        <w:rPr>
          <w:color w:val="000000" w:themeColor="text1"/>
          <w:sz w:val="16"/>
          <w:szCs w:val="16"/>
        </w:rPr>
        <w:softHyphen/>
        <w:t>ца Качалинская.</w:t>
      </w:r>
    </w:p>
    <w:p w14:paraId="3DBFB2BA"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Первый боевой вылет Ил-2 с пушками Ш-37 состоялся 25 декабря.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 сошка вылетел младший лейтенант Малявин на са</w:t>
      </w:r>
      <w:r w:rsidRPr="00722885">
        <w:rPr>
          <w:color w:val="000000" w:themeColor="text1"/>
          <w:sz w:val="16"/>
          <w:szCs w:val="16"/>
        </w:rPr>
        <w:softHyphen/>
        <w:t>молете зав. № 1879029. Штурмовиков прикрывали 4 Як-1 от 220-й иад.</w:t>
      </w:r>
    </w:p>
    <w:p w14:paraId="7E386A00"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722885">
        <w:rPr>
          <w:color w:val="000000" w:themeColor="text1"/>
          <w:sz w:val="16"/>
          <w:szCs w:val="16"/>
          <w:lang w:val="en-US"/>
        </w:rPr>
        <w:t>Ju</w:t>
      </w:r>
      <w:r w:rsidRPr="00722885">
        <w:rPr>
          <w:color w:val="000000" w:themeColor="text1"/>
          <w:sz w:val="16"/>
          <w:szCs w:val="16"/>
        </w:rPr>
        <w:t>52. Экипажи отработали по ним с пикирования снача</w:t>
      </w:r>
      <w:r w:rsidRPr="00722885">
        <w:rPr>
          <w:color w:val="000000" w:themeColor="text1"/>
          <w:sz w:val="16"/>
          <w:szCs w:val="16"/>
        </w:rPr>
        <w:softHyphen/>
        <w:t>ла ракетными снарядами, затем пулеметно-пушеч- ным огнем и на выходе из пикирования бомбами ФАБ-100 и АО-25. Потери противника оценивались в 5 уничтоженных и поврежденных самолетов.</w:t>
      </w:r>
    </w:p>
    <w:p w14:paraId="5547796F"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районе цели был сильный зенитный огонь. Ис</w:t>
      </w:r>
      <w:r w:rsidRPr="00722885">
        <w:rPr>
          <w:color w:val="000000" w:themeColor="text1"/>
          <w:sz w:val="16"/>
          <w:szCs w:val="16"/>
        </w:rPr>
        <w:softHyphen/>
        <w:t>требительной авиации противника экипажи не на</w:t>
      </w:r>
      <w:r w:rsidRPr="00722885">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320A85D8"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58BD863C"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отходе от цели был потерян из виду проти</w:t>
      </w:r>
      <w:r w:rsidRPr="00722885">
        <w:rPr>
          <w:color w:val="000000" w:themeColor="text1"/>
          <w:sz w:val="16"/>
          <w:szCs w:val="16"/>
        </w:rPr>
        <w:softHyphen/>
        <w:t>вотанковый Ил-2. На свой аэродром младший лей</w:t>
      </w:r>
      <w:r w:rsidRPr="00722885">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722885">
        <w:rPr>
          <w:color w:val="000000" w:themeColor="text1"/>
          <w:sz w:val="16"/>
          <w:szCs w:val="16"/>
        </w:rPr>
        <w:softHyphen/>
        <w:t>ного пункта Кузьмичи. Поиски самолета и летчика в этом районе ничего не дали.</w:t>
      </w:r>
    </w:p>
    <w:p w14:paraId="79D392AC"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44AEB962"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722885">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7E0AC9D4"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Первой под прикрытием 2 Як-1 от 220-й иад ра</w:t>
      </w:r>
      <w:r w:rsidRPr="00722885">
        <w:rPr>
          <w:color w:val="000000" w:themeColor="text1"/>
          <w:sz w:val="16"/>
          <w:szCs w:val="16"/>
        </w:rPr>
        <w:softHyphen/>
        <w:t>ботала пятерка капитана Гребенькова. Удар нано</w:t>
      </w:r>
      <w:r w:rsidRPr="00722885">
        <w:rPr>
          <w:color w:val="000000" w:themeColor="text1"/>
          <w:sz w:val="16"/>
          <w:szCs w:val="16"/>
        </w:rPr>
        <w:softHyphen/>
        <w:t>сился в период 12.13—12.18 по аэродрому Питом</w:t>
      </w:r>
      <w:r w:rsidRPr="00722885">
        <w:rPr>
          <w:color w:val="000000" w:themeColor="text1"/>
          <w:sz w:val="16"/>
          <w:szCs w:val="16"/>
        </w:rPr>
        <w:softHyphen/>
        <w:t xml:space="preserve">ник, на котором к этому времени находилось до 15 самолетов </w:t>
      </w:r>
      <w:r w:rsidRPr="00722885">
        <w:rPr>
          <w:color w:val="000000" w:themeColor="text1"/>
          <w:sz w:val="16"/>
          <w:szCs w:val="16"/>
          <w:lang w:val="en-US"/>
        </w:rPr>
        <w:t>Ju</w:t>
      </w:r>
      <w:r w:rsidRPr="00722885">
        <w:rPr>
          <w:color w:val="000000" w:themeColor="text1"/>
          <w:sz w:val="16"/>
          <w:szCs w:val="16"/>
        </w:rPr>
        <w:t>52. По докладам экипажей и ведуще</w:t>
      </w:r>
      <w:r w:rsidRPr="00722885">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722885">
        <w:rPr>
          <w:color w:val="000000" w:themeColor="text1"/>
          <w:sz w:val="16"/>
          <w:szCs w:val="16"/>
        </w:rPr>
        <w:softHyphen/>
        <w:t>нем из пушек Ш-37 с дистанции 500—600 м зажег один «Юнкерс».</w:t>
      </w:r>
    </w:p>
    <w:p w14:paraId="7EEDB310"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722885">
        <w:rPr>
          <w:color w:val="000000" w:themeColor="text1"/>
          <w:sz w:val="16"/>
          <w:szCs w:val="16"/>
        </w:rPr>
        <w:softHyphen/>
        <w:t>ты кок винта и правая плоскость крыла.</w:t>
      </w:r>
    </w:p>
    <w:p w14:paraId="7FFB6020"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Вторая группа (ведущий лейтенант Михайлен- ков) — под прикрытием 6 Як-1 от 220-й иад в пе</w:t>
      </w:r>
      <w:r w:rsidRPr="00722885">
        <w:rPr>
          <w:color w:val="000000" w:themeColor="text1"/>
          <w:sz w:val="16"/>
          <w:szCs w:val="16"/>
        </w:rPr>
        <w:softHyphen/>
        <w:t xml:space="preserve">риод 13.22—13.27 атаковала до 10—15 самолетов </w:t>
      </w:r>
      <w:r w:rsidRPr="00722885">
        <w:rPr>
          <w:color w:val="000000" w:themeColor="text1"/>
          <w:sz w:val="16"/>
          <w:szCs w:val="16"/>
          <w:lang w:val="en-US"/>
        </w:rPr>
        <w:t>Ju</w:t>
      </w:r>
      <w:r w:rsidRPr="00722885">
        <w:rPr>
          <w:color w:val="000000" w:themeColor="text1"/>
          <w:sz w:val="16"/>
          <w:szCs w:val="16"/>
        </w:rPr>
        <w:t>52 на аэродроме Большая Россошка. Потери про</w:t>
      </w:r>
      <w:r w:rsidRPr="00722885">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722885">
        <w:rPr>
          <w:color w:val="000000" w:themeColor="text1"/>
          <w:sz w:val="16"/>
          <w:szCs w:val="16"/>
        </w:rPr>
        <w:softHyphen/>
        <w:t>телей противника летчики не наблюдали. Свои по</w:t>
      </w:r>
      <w:r w:rsidRPr="00722885">
        <w:rPr>
          <w:color w:val="000000" w:themeColor="text1"/>
          <w:sz w:val="16"/>
          <w:szCs w:val="16"/>
        </w:rPr>
        <w:softHyphen/>
        <w:t>тери составили 1 Ил-2 (зав. № 0915), который был подбит над целью огнем «эрликонов» и предполо</w:t>
      </w:r>
      <w:r w:rsidRPr="00722885">
        <w:rPr>
          <w:color w:val="000000" w:themeColor="text1"/>
          <w:sz w:val="16"/>
          <w:szCs w:val="16"/>
        </w:rPr>
        <w:softHyphen/>
        <w:t>жительно сел на территории противника при отхо</w:t>
      </w:r>
      <w:r w:rsidRPr="00722885">
        <w:rPr>
          <w:color w:val="000000" w:themeColor="text1"/>
          <w:sz w:val="16"/>
          <w:szCs w:val="16"/>
        </w:rPr>
        <w:softHyphen/>
        <w:t>де от цели. Сержант Меркушев с боевого задания не вернулся, пропал без вести.</w:t>
      </w:r>
    </w:p>
    <w:p w14:paraId="69A39A71"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722885">
        <w:rPr>
          <w:color w:val="000000" w:themeColor="text1"/>
          <w:sz w:val="16"/>
          <w:szCs w:val="16"/>
        </w:rPr>
        <w:softHyphen/>
        <w:t>дов. Маневренность самолетов при такой нагруз</w:t>
      </w:r>
      <w:r w:rsidRPr="00722885">
        <w:rPr>
          <w:color w:val="000000" w:themeColor="text1"/>
          <w:sz w:val="16"/>
          <w:szCs w:val="16"/>
        </w:rPr>
        <w:softHyphen/>
        <w:t>ке практически ничем не отличалась от серийных Ил-2 с пушками ВЯ и ШВАК.</w:t>
      </w:r>
    </w:p>
    <w:p w14:paraId="4468D3C4"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«большими» пушками шли на задание в одном боевом строю с серийными штур</w:t>
      </w:r>
      <w:r w:rsidRPr="00722885">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0490E391"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докладам вылетавших на Ил-2 с Ш-37 лет</w:t>
      </w:r>
      <w:r w:rsidRPr="00722885">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4576F197"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722885">
        <w:rPr>
          <w:color w:val="000000" w:themeColor="text1"/>
          <w:sz w:val="16"/>
          <w:szCs w:val="16"/>
        </w:rPr>
        <w:softHyphen/>
        <w:t>ры наносились в период 12.42—13.00 двумя груп</w:t>
      </w:r>
      <w:r w:rsidRPr="00722885">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722885">
        <w:rPr>
          <w:color w:val="000000" w:themeColor="text1"/>
          <w:sz w:val="16"/>
          <w:szCs w:val="16"/>
        </w:rPr>
        <w:softHyphen/>
        <w:t>нили 3 захода на цели из боевого порядка круг. Ис</w:t>
      </w:r>
      <w:r w:rsidRPr="00722885">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7F1F055E"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641DED58"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посадки сержант Зыков доложил, что «ма</w:t>
      </w:r>
      <w:r w:rsidRPr="00722885">
        <w:rPr>
          <w:color w:val="000000" w:themeColor="text1"/>
          <w:sz w:val="16"/>
          <w:szCs w:val="16"/>
        </w:rPr>
        <w:softHyphen/>
        <w:t>неврирует самолет хорошо, при ведении огня пе</w:t>
      </w:r>
      <w:r w:rsidRPr="00722885">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722885">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722885">
        <w:rPr>
          <w:color w:val="000000" w:themeColor="text1"/>
          <w:sz w:val="16"/>
          <w:szCs w:val="16"/>
        </w:rPr>
        <w:softHyphen/>
        <w:t>денция самолета к развороту легко парируется ру</w:t>
      </w:r>
      <w:r w:rsidRPr="00722885">
        <w:rPr>
          <w:color w:val="000000" w:themeColor="text1"/>
          <w:sz w:val="16"/>
          <w:szCs w:val="16"/>
        </w:rPr>
        <w:softHyphen/>
        <w:t>лями». Эффективность стрельбы пушек по танкам и живой силе хорошая.</w:t>
      </w:r>
    </w:p>
    <w:p w14:paraId="6B272F18"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самолетах Игнатьева и Дунова пушки рабо</w:t>
      </w:r>
      <w:r w:rsidRPr="00722885">
        <w:rPr>
          <w:color w:val="000000" w:themeColor="text1"/>
          <w:sz w:val="16"/>
          <w:szCs w:val="16"/>
        </w:rPr>
        <w:softHyphen/>
        <w:t>тали отлично. Летчикам удалось расстрелять весь боекомплект к ним.</w:t>
      </w:r>
    </w:p>
    <w:p w14:paraId="59469BA9"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Отметим, что на Ил-2 Игнатьева, помимо ракет</w:t>
      </w:r>
      <w:r w:rsidRPr="00722885">
        <w:rPr>
          <w:color w:val="000000" w:themeColor="text1"/>
          <w:sz w:val="16"/>
          <w:szCs w:val="16"/>
        </w:rPr>
        <w:softHyphen/>
        <w:t>ных снарядов и полного боекомплекта к пушкам и пулеметам, были подвешены 2 фугасные авиабом</w:t>
      </w:r>
      <w:r w:rsidRPr="00722885">
        <w:rPr>
          <w:color w:val="000000" w:themeColor="text1"/>
          <w:sz w:val="16"/>
          <w:szCs w:val="16"/>
        </w:rPr>
        <w:softHyphen/>
        <w:t>бы ФАБ-100. При этом самолет хорошо маневриро</w:t>
      </w:r>
      <w:r w:rsidRPr="00722885">
        <w:rPr>
          <w:color w:val="000000" w:themeColor="text1"/>
          <w:sz w:val="16"/>
          <w:szCs w:val="16"/>
        </w:rPr>
        <w:softHyphen/>
        <w:t>вал и управлялся при всех условиях боя.</w:t>
      </w:r>
    </w:p>
    <w:p w14:paraId="04CE8AA0"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 целям противника (ско</w:t>
      </w:r>
      <w:r w:rsidRPr="00722885">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722885">
        <w:rPr>
          <w:color w:val="000000" w:themeColor="text1"/>
          <w:sz w:val="16"/>
          <w:szCs w:val="16"/>
        </w:rPr>
        <w:softHyphen/>
        <w:t>та Кадомцева работала в районе балки Взрубная в период 14.10—14.20 под прикрытием 6 Як-1, а пя</w:t>
      </w:r>
      <w:r w:rsidRPr="00722885">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02A8C2A4"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отходе от цели в районе Дмитриевка имел место воздушный бой с немецкими истребителя</w:t>
      </w:r>
      <w:r w:rsidRPr="00722885">
        <w:rPr>
          <w:color w:val="000000" w:themeColor="text1"/>
          <w:sz w:val="16"/>
          <w:szCs w:val="16"/>
        </w:rPr>
        <w:softHyphen/>
        <w:t xml:space="preserve">ми. Пара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G</w:t>
      </w:r>
      <w:r w:rsidRPr="00722885">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722885">
        <w:rPr>
          <w:color w:val="000000" w:themeColor="text1"/>
          <w:sz w:val="16"/>
          <w:szCs w:val="16"/>
        </w:rPr>
        <w:softHyphen/>
        <w:t>временно заметил противника. После этого в воз</w:t>
      </w:r>
      <w:r w:rsidRPr="00722885">
        <w:rPr>
          <w:color w:val="000000" w:themeColor="text1"/>
          <w:sz w:val="16"/>
          <w:szCs w:val="16"/>
        </w:rPr>
        <w:softHyphen/>
        <w:t>душный бой вступили истребители прикрытия, а штурмовики встали в оборонительный круг. По</w:t>
      </w:r>
      <w:r w:rsidRPr="00722885">
        <w:rPr>
          <w:color w:val="000000" w:themeColor="text1"/>
          <w:sz w:val="16"/>
          <w:szCs w:val="16"/>
        </w:rPr>
        <w:softHyphen/>
        <w:t>сле ухода немецких истребителей Ил-2 перестрои</w:t>
      </w:r>
      <w:r w:rsidRPr="00722885">
        <w:rPr>
          <w:color w:val="000000" w:themeColor="text1"/>
          <w:sz w:val="16"/>
          <w:szCs w:val="16"/>
        </w:rPr>
        <w:softHyphen/>
        <w:t>лись в пеленг и встали на обратный маршрут.</w:t>
      </w:r>
    </w:p>
    <w:p w14:paraId="1F3FCEFE"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До генерального наступления под Сталингра</w:t>
      </w:r>
      <w:r w:rsidRPr="00722885">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722885">
        <w:rPr>
          <w:color w:val="000000" w:themeColor="text1"/>
          <w:sz w:val="16"/>
          <w:szCs w:val="16"/>
        </w:rPr>
        <w:softHyphen/>
        <w:t>товым по данным разведки 228-й шад к вылету на боевое задание 2—4 экипажами.</w:t>
      </w:r>
    </w:p>
    <w:p w14:paraId="6DF4AFB4"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722885">
        <w:rPr>
          <w:color w:val="000000" w:themeColor="text1"/>
          <w:sz w:val="16"/>
          <w:szCs w:val="16"/>
        </w:rPr>
        <w:softHyphen/>
        <w:t>ронительной полосы, а также по аэродромам и по</w:t>
      </w:r>
      <w:r w:rsidRPr="00722885">
        <w:rPr>
          <w:color w:val="000000" w:themeColor="text1"/>
          <w:sz w:val="16"/>
          <w:szCs w:val="16"/>
        </w:rPr>
        <w:softHyphen/>
        <w:t>садочным площадкам.</w:t>
      </w:r>
    </w:p>
    <w:p w14:paraId="5F057D88"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37-мм пушками принимали участие в боевой работе полка до полной ликви</w:t>
      </w:r>
      <w:r w:rsidRPr="00722885">
        <w:rPr>
          <w:color w:val="000000" w:themeColor="text1"/>
          <w:sz w:val="16"/>
          <w:szCs w:val="16"/>
        </w:rPr>
        <w:softHyphen/>
        <w:t>дации группировки немецких войск под Сталингра</w:t>
      </w:r>
      <w:r w:rsidRPr="00722885">
        <w:rPr>
          <w:color w:val="000000" w:themeColor="text1"/>
          <w:sz w:val="16"/>
          <w:szCs w:val="16"/>
        </w:rPr>
        <w:softHyphen/>
        <w:t>дом. Как и прежде, противотанковые Ил-2 ходили на задания в группах вместе с серийными самоле</w:t>
      </w:r>
      <w:r w:rsidRPr="00722885">
        <w:rPr>
          <w:color w:val="000000" w:themeColor="text1"/>
          <w:sz w:val="16"/>
          <w:szCs w:val="16"/>
        </w:rPr>
        <w:softHyphen/>
        <w:t>тами. Группы состояли из 2—6 самолетов, в кото</w:t>
      </w:r>
      <w:r w:rsidRPr="00722885">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70ADAF08"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5220C3EF"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Противодействие авиации противника было слабое, истребители противника атаковали наши самолеты всего раза 3—4. Противодействие зенит</w:t>
      </w:r>
      <w:r w:rsidRPr="00722885">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4E0995BE"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10 января в ходе боевого вылета 6 Ил-2 (веду</w:t>
      </w:r>
      <w:r w:rsidRPr="00722885">
        <w:rPr>
          <w:color w:val="000000" w:themeColor="text1"/>
          <w:sz w:val="16"/>
          <w:szCs w:val="16"/>
        </w:rPr>
        <w:softHyphen/>
        <w:t>щий капитан Гребеньков) под прикрытием 4 Як-1 от 283-й иад в период 11.21—11.29 в район насе</w:t>
      </w:r>
      <w:r w:rsidRPr="00722885">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722885">
        <w:rPr>
          <w:color w:val="000000" w:themeColor="text1"/>
          <w:sz w:val="16"/>
          <w:szCs w:val="16"/>
        </w:rPr>
        <w:softHyphen/>
        <w:t>жен прямым попаданием бомбы, сброшенной с са</w:t>
      </w:r>
      <w:r w:rsidRPr="00722885">
        <w:rPr>
          <w:color w:val="000000" w:themeColor="text1"/>
          <w:sz w:val="16"/>
          <w:szCs w:val="16"/>
        </w:rPr>
        <w:softHyphen/>
        <w:t xml:space="preserve">молета </w:t>
      </w:r>
      <w:r w:rsidRPr="00722885">
        <w:rPr>
          <w:color w:val="000000" w:themeColor="text1"/>
          <w:sz w:val="16"/>
          <w:szCs w:val="16"/>
          <w:lang w:val="en-US"/>
        </w:rPr>
        <w:t>Ju</w:t>
      </w:r>
      <w:r w:rsidRPr="00722885">
        <w:rPr>
          <w:color w:val="000000" w:themeColor="text1"/>
          <w:sz w:val="16"/>
          <w:szCs w:val="16"/>
        </w:rPr>
        <w:t>88».</w:t>
      </w:r>
    </w:p>
    <w:p w14:paraId="60C285C5"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На отходе от цели группа была атакована парой </w:t>
      </w:r>
      <w:r w:rsidRPr="00722885">
        <w:rPr>
          <w:color w:val="000000" w:themeColor="text1"/>
          <w:sz w:val="16"/>
          <w:szCs w:val="16"/>
          <w:lang w:val="en-US"/>
        </w:rPr>
        <w:t>Bf</w:t>
      </w:r>
      <w:r w:rsidRPr="00722885">
        <w:rPr>
          <w:color w:val="000000" w:themeColor="text1"/>
          <w:sz w:val="16"/>
          <w:szCs w:val="16"/>
        </w:rPr>
        <w:t xml:space="preserve"> 109</w:t>
      </w:r>
      <w:r w:rsidRPr="00722885">
        <w:rPr>
          <w:color w:val="000000" w:themeColor="text1"/>
          <w:sz w:val="16"/>
          <w:szCs w:val="16"/>
          <w:lang w:val="en-US"/>
        </w:rPr>
        <w:t>F</w:t>
      </w:r>
      <w:r w:rsidRPr="00722885">
        <w:rPr>
          <w:color w:val="000000" w:themeColor="text1"/>
          <w:sz w:val="16"/>
          <w:szCs w:val="16"/>
        </w:rPr>
        <w:t>. В результате Ил-2 зав. № 8029 с пушками</w:t>
      </w:r>
    </w:p>
    <w:p w14:paraId="2192B80D"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14AB8A44"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722885">
        <w:rPr>
          <w:color w:val="000000" w:themeColor="text1"/>
          <w:sz w:val="16"/>
          <w:szCs w:val="16"/>
        </w:rPr>
        <w:softHyphen/>
        <w:t>ной группировки в районе Сталинграда вплоть до 2 февраля. Однако войсковые испытания офи</w:t>
      </w:r>
      <w:r w:rsidRPr="00722885">
        <w:rPr>
          <w:color w:val="000000" w:themeColor="text1"/>
          <w:sz w:val="16"/>
          <w:szCs w:val="16"/>
        </w:rPr>
        <w:softHyphen/>
        <w:t>циально были завершены 22 января. К этому вре</w:t>
      </w:r>
      <w:r w:rsidRPr="00722885">
        <w:rPr>
          <w:color w:val="000000" w:themeColor="text1"/>
          <w:sz w:val="16"/>
          <w:szCs w:val="16"/>
        </w:rPr>
        <w:softHyphen/>
        <w:t>мени Ил-2 с Ш-37 совершили 75 боевых само</w:t>
      </w:r>
      <w:r w:rsidRPr="00722885">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722885">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722885">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722885">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722885">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722885">
        <w:rPr>
          <w:color w:val="000000" w:themeColor="text1"/>
          <w:sz w:val="16"/>
          <w:szCs w:val="16"/>
        </w:rPr>
        <w:softHyphen/>
        <w:t>нил только один боевой вылет, и его результаты при составлении отчета по испытаниям не учиты</w:t>
      </w:r>
      <w:r w:rsidRPr="00722885">
        <w:rPr>
          <w:color w:val="000000" w:themeColor="text1"/>
          <w:sz w:val="16"/>
          <w:szCs w:val="16"/>
        </w:rPr>
        <w:softHyphen/>
        <w:t>вались.</w:t>
      </w:r>
    </w:p>
    <w:p w14:paraId="13E40761"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пушками Ш-37 «ходили на бое</w:t>
      </w:r>
      <w:r w:rsidRPr="00722885">
        <w:rPr>
          <w:color w:val="000000" w:themeColor="text1"/>
          <w:sz w:val="16"/>
          <w:szCs w:val="16"/>
        </w:rPr>
        <w:softHyphen/>
        <w:t>вые задания, имея запас боеприпасов 80 для 37-мм пушек, 1500 для пулеметов ШКАС, 8 РС-82 и 2 бом</w:t>
      </w:r>
      <w:r w:rsidRPr="00722885">
        <w:rPr>
          <w:color w:val="000000" w:themeColor="text1"/>
          <w:sz w:val="16"/>
          <w:szCs w:val="16"/>
        </w:rPr>
        <w:softHyphen/>
        <w:t>бы ФАБ-100 или 6 бомб АО-25».</w:t>
      </w:r>
    </w:p>
    <w:p w14:paraId="2DFBE251"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Экипажи действовали главным образом по са</w:t>
      </w:r>
      <w:r w:rsidRPr="00722885">
        <w:rPr>
          <w:color w:val="000000" w:themeColor="text1"/>
          <w:sz w:val="16"/>
          <w:szCs w:val="16"/>
        </w:rPr>
        <w:softHyphen/>
        <w:t>молетам на аэродромах и автотранспорту против</w:t>
      </w:r>
      <w:r w:rsidRPr="00722885">
        <w:rPr>
          <w:color w:val="000000" w:themeColor="text1"/>
          <w:sz w:val="16"/>
          <w:szCs w:val="16"/>
        </w:rPr>
        <w:softHyphen/>
        <w:t>ника. В отдельных случаях — по огневым точкам на поле боя, дерево-земляным оборонительным со</w:t>
      </w:r>
      <w:r w:rsidRPr="00722885">
        <w:rPr>
          <w:color w:val="000000" w:themeColor="text1"/>
          <w:sz w:val="16"/>
          <w:szCs w:val="16"/>
        </w:rPr>
        <w:softHyphen/>
        <w:t>оружениям и бронетехнике. Общий расход боепри</w:t>
      </w:r>
      <w:r w:rsidRPr="00722885">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722885">
        <w:rPr>
          <w:color w:val="000000" w:themeColor="text1"/>
          <w:sz w:val="16"/>
          <w:szCs w:val="16"/>
        </w:rPr>
        <w:softHyphen/>
        <w:t>бомб типа ФАБ-100 — 107, осколочных авиабомб типа АО-25 — 87.</w:t>
      </w:r>
    </w:p>
    <w:p w14:paraId="3325FB3E"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Атаки наземных целей производились с плани</w:t>
      </w:r>
      <w:r w:rsidRPr="00722885">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722885">
        <w:rPr>
          <w:color w:val="000000" w:themeColor="text1"/>
          <w:sz w:val="16"/>
          <w:szCs w:val="16"/>
        </w:rPr>
        <w:softHyphen/>
        <w:t>гим данным — бронемашину), но достоверность поражения целей подтвердить не могли.</w:t>
      </w:r>
    </w:p>
    <w:p w14:paraId="53244DBE"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эти данные не входят потери противника от бомб, РС и пулеметов на этих же самолетах. Необ</w:t>
      </w:r>
      <w:r w:rsidRPr="00722885">
        <w:rPr>
          <w:color w:val="000000" w:themeColor="text1"/>
          <w:sz w:val="16"/>
          <w:szCs w:val="16"/>
        </w:rPr>
        <w:softHyphen/>
        <w:t>ходимо отметить, что «танков, как основных целей для этих пушек, встречалось мало».</w:t>
      </w:r>
    </w:p>
    <w:p w14:paraId="32C75228"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 время войсковых испытаний отмечалось не</w:t>
      </w:r>
      <w:r w:rsidRPr="00722885">
        <w:rPr>
          <w:color w:val="000000" w:themeColor="text1"/>
          <w:sz w:val="16"/>
          <w:szCs w:val="16"/>
        </w:rPr>
        <w:softHyphen/>
        <w:t>сколько случаев применения Ш-37 по воздушным целям, но все они, вследствие недостаточной ско</w:t>
      </w:r>
      <w:r w:rsidRPr="00722885">
        <w:rPr>
          <w:color w:val="000000" w:themeColor="text1"/>
          <w:sz w:val="16"/>
          <w:szCs w:val="16"/>
        </w:rPr>
        <w:softHyphen/>
        <w:t>рострельности пушки, были неудачными.</w:t>
      </w:r>
    </w:p>
    <w:p w14:paraId="23A7A418"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одном случае Ил-2 на высоте 800 м был атако</w:t>
      </w:r>
      <w:r w:rsidRPr="00722885">
        <w:rPr>
          <w:color w:val="000000" w:themeColor="text1"/>
          <w:sz w:val="16"/>
          <w:szCs w:val="16"/>
        </w:rPr>
        <w:softHyphen/>
        <w:t xml:space="preserve">ван в лоб истребителем Люфтваффе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С дис</w:t>
      </w:r>
      <w:r w:rsidRPr="00722885">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722885">
        <w:rPr>
          <w:color w:val="000000" w:themeColor="text1"/>
          <w:sz w:val="16"/>
          <w:szCs w:val="16"/>
          <w:lang w:val="en-US"/>
        </w:rPr>
        <w:t>Ju</w:t>
      </w:r>
      <w:r w:rsidRPr="00722885">
        <w:rPr>
          <w:color w:val="000000" w:themeColor="text1"/>
          <w:sz w:val="16"/>
          <w:szCs w:val="16"/>
        </w:rPr>
        <w:t>52/3</w:t>
      </w:r>
      <w:r w:rsidRPr="00722885">
        <w:rPr>
          <w:color w:val="000000" w:themeColor="text1"/>
          <w:sz w:val="16"/>
          <w:szCs w:val="16"/>
          <w:lang w:val="en-US"/>
        </w:rPr>
        <w:t>m</w:t>
      </w:r>
      <w:r w:rsidRPr="00722885">
        <w:rPr>
          <w:color w:val="000000" w:themeColor="text1"/>
          <w:sz w:val="16"/>
          <w:szCs w:val="16"/>
        </w:rPr>
        <w:t>. Огонь из Ш-37 велся короткими очере</w:t>
      </w:r>
      <w:r w:rsidRPr="00722885">
        <w:rPr>
          <w:color w:val="000000" w:themeColor="text1"/>
          <w:sz w:val="16"/>
          <w:szCs w:val="16"/>
        </w:rPr>
        <w:softHyphen/>
        <w:t>дями по 3—4 снаряда с дистанции 600—300 м. Всего было выпущено до 20—30 снарядов. Попа</w:t>
      </w:r>
      <w:r w:rsidRPr="00722885">
        <w:rPr>
          <w:color w:val="000000" w:themeColor="text1"/>
          <w:sz w:val="16"/>
          <w:szCs w:val="16"/>
        </w:rPr>
        <w:softHyphen/>
        <w:t>даний в немецкий самолет не было. Летчики на</w:t>
      </w:r>
      <w:r w:rsidRPr="00722885">
        <w:rPr>
          <w:color w:val="000000" w:themeColor="text1"/>
          <w:sz w:val="16"/>
          <w:szCs w:val="16"/>
        </w:rPr>
        <w:softHyphen/>
        <w:t>блюдали, что «снаряды ложатся правее и левее плоскостей самолета». В итоге «Юнкерс» ушел в облака.</w:t>
      </w:r>
    </w:p>
    <w:p w14:paraId="714F0535"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Средний расход боекомплекта к пушкам Ш-37 за один самолето-вылет составил 37,6%, что соот</w:t>
      </w:r>
      <w:r w:rsidRPr="00722885">
        <w:rPr>
          <w:color w:val="000000" w:themeColor="text1"/>
          <w:sz w:val="16"/>
          <w:szCs w:val="16"/>
        </w:rPr>
        <w:softHyphen/>
        <w:t>ветствует средней продолжительности непрерыв</w:t>
      </w:r>
      <w:r w:rsidRPr="00722885">
        <w:rPr>
          <w:color w:val="000000" w:themeColor="text1"/>
          <w:sz w:val="16"/>
          <w:szCs w:val="16"/>
        </w:rPr>
        <w:softHyphen/>
        <w:t>ной стрельбы всего 5 секунд. Это, с одной сторо</w:t>
      </w:r>
      <w:r w:rsidRPr="00722885">
        <w:rPr>
          <w:color w:val="000000" w:themeColor="text1"/>
          <w:sz w:val="16"/>
          <w:szCs w:val="16"/>
        </w:rPr>
        <w:softHyphen/>
        <w:t>ны, говорит о том, что целей, достойных для пушек Ш-37, в боевых вылетах было мало, а с другой сто</w:t>
      </w:r>
      <w:r w:rsidRPr="00722885">
        <w:rPr>
          <w:color w:val="000000" w:themeColor="text1"/>
          <w:sz w:val="16"/>
          <w:szCs w:val="16"/>
        </w:rPr>
        <w:softHyphen/>
        <w:t>роны, указывает на недостаточную эффективность стрельбы с самолета Ил-2 из такой пушки по точеч</w:t>
      </w:r>
      <w:r w:rsidRPr="00722885">
        <w:rPr>
          <w:color w:val="000000" w:themeColor="text1"/>
          <w:sz w:val="16"/>
          <w:szCs w:val="16"/>
        </w:rPr>
        <w:softHyphen/>
        <w:t>ным малоразмерным целям.</w:t>
      </w:r>
    </w:p>
    <w:p w14:paraId="7F87AFF2"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722885">
        <w:rPr>
          <w:color w:val="000000" w:themeColor="text1"/>
          <w:sz w:val="16"/>
          <w:szCs w:val="16"/>
        </w:rPr>
        <w:softHyphen/>
        <w:t>ставил 54%. Из общего числа боевых вылетов, вы</w:t>
      </w:r>
      <w:r w:rsidRPr="00722885">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722885">
        <w:rPr>
          <w:color w:val="000000" w:themeColor="text1"/>
          <w:sz w:val="16"/>
          <w:szCs w:val="16"/>
        </w:rPr>
        <w:softHyphen/>
        <w:t>евое задание Ил-2 с пушками Ш-37 сопровождался отказом хотя бы одной из пушек.</w:t>
      </w:r>
    </w:p>
    <w:p w14:paraId="1375D41F"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состоянию на 25 января произошло 123 от</w:t>
      </w:r>
      <w:r w:rsidRPr="00722885">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722885">
        <w:rPr>
          <w:color w:val="000000" w:themeColor="text1"/>
          <w:sz w:val="16"/>
          <w:szCs w:val="16"/>
        </w:rPr>
        <w:softHyphen/>
        <w:t>од, в то время как «по техническим условиям для оружия допускается 0,2% задержек на полную жи</w:t>
      </w:r>
      <w:r w:rsidRPr="00722885">
        <w:rPr>
          <w:color w:val="000000" w:themeColor="text1"/>
          <w:sz w:val="16"/>
          <w:szCs w:val="16"/>
        </w:rPr>
        <w:softHyphen/>
        <w:t>вучесть пушек».</w:t>
      </w:r>
    </w:p>
    <w:p w14:paraId="2A5770D2"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из всех задержек исключить задержки по вине установок и по вине обслуживающего пер</w:t>
      </w:r>
      <w:r w:rsidRPr="00722885">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722885">
        <w:rPr>
          <w:color w:val="000000" w:themeColor="text1"/>
          <w:sz w:val="16"/>
          <w:szCs w:val="16"/>
        </w:rPr>
        <w:softHyphen/>
        <w:t>новные поломки следующие: ударника — 6, план</w:t>
      </w:r>
      <w:r w:rsidRPr="00722885">
        <w:rPr>
          <w:color w:val="000000" w:themeColor="text1"/>
          <w:sz w:val="16"/>
          <w:szCs w:val="16"/>
        </w:rPr>
        <w:softHyphen/>
        <w:t>ки затвора — 4, бойка — 8, направляющей втулки ударника — 5, трещина в затыльнике — 5, непо</w:t>
      </w:r>
      <w:r w:rsidRPr="00722885">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722885">
        <w:rPr>
          <w:color w:val="000000" w:themeColor="text1"/>
          <w:sz w:val="16"/>
          <w:szCs w:val="16"/>
        </w:rPr>
        <w:softHyphen/>
        <w:t>лов потребовало бы 59 ударников».</w:t>
      </w:r>
    </w:p>
    <w:p w14:paraId="778FEDAB"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722885">
        <w:rPr>
          <w:color w:val="000000" w:themeColor="text1"/>
          <w:sz w:val="16"/>
          <w:szCs w:val="16"/>
        </w:rPr>
        <w:softHyphen/>
        <w:t>дром в Вихлянцево. Соответственно, бригада спе</w:t>
      </w:r>
      <w:r w:rsidRPr="00722885">
        <w:rPr>
          <w:color w:val="000000" w:themeColor="text1"/>
          <w:sz w:val="16"/>
          <w:szCs w:val="16"/>
        </w:rPr>
        <w:softHyphen/>
        <w:t>циалистов от ОКБ-15 не могла оперативно устра</w:t>
      </w:r>
      <w:r w:rsidRPr="00722885">
        <w:rPr>
          <w:color w:val="000000" w:themeColor="text1"/>
          <w:sz w:val="16"/>
          <w:szCs w:val="16"/>
        </w:rPr>
        <w:softHyphen/>
        <w:t>нять отказы в работе и поломки пушек.</w:t>
      </w:r>
    </w:p>
    <w:p w14:paraId="679DC0F7"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Очевидно, все «это нарушало нормальную бое</w:t>
      </w:r>
      <w:r w:rsidRPr="00722885">
        <w:rPr>
          <w:color w:val="000000" w:themeColor="text1"/>
          <w:sz w:val="16"/>
          <w:szCs w:val="16"/>
        </w:rPr>
        <w:softHyphen/>
        <w:t>вую работу полка, самолеты приходилось из-за не</w:t>
      </w:r>
      <w:r w:rsidRPr="00722885">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722885">
        <w:rPr>
          <w:color w:val="000000" w:themeColor="text1"/>
          <w:sz w:val="16"/>
          <w:szCs w:val="16"/>
        </w:rPr>
        <w:softHyphen/>
        <w:t>ко с остальным вооружением».</w:t>
      </w:r>
    </w:p>
    <w:p w14:paraId="2A00A9B6"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«Большое количество поломок, задержек и от</w:t>
      </w:r>
      <w:r w:rsidRPr="00722885">
        <w:rPr>
          <w:color w:val="000000" w:themeColor="text1"/>
          <w:sz w:val="16"/>
          <w:szCs w:val="16"/>
        </w:rPr>
        <w:softHyphen/>
        <w:t>казов в работе пушек вызвало у летчиков неприят</w:t>
      </w:r>
      <w:r w:rsidRPr="00722885">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767B66C2"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722885">
        <w:rPr>
          <w:color w:val="000000" w:themeColor="text1"/>
          <w:sz w:val="16"/>
          <w:szCs w:val="16"/>
        </w:rPr>
        <w:softHyphen/>
        <w:t>жием».</w:t>
      </w:r>
    </w:p>
    <w:p w14:paraId="772210CB"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своих донесениях летчики отмечали, что «са</w:t>
      </w:r>
      <w:r w:rsidRPr="00722885">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722885">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722885">
        <w:rPr>
          <w:color w:val="000000" w:themeColor="text1"/>
          <w:sz w:val="16"/>
          <w:szCs w:val="16"/>
        </w:rPr>
        <w:softHyphen/>
        <w:t>нее управляем. Плохо держится в строю при ско</w:t>
      </w:r>
      <w:r w:rsidRPr="00722885">
        <w:rPr>
          <w:color w:val="000000" w:themeColor="text1"/>
          <w:sz w:val="16"/>
          <w:szCs w:val="16"/>
        </w:rPr>
        <w:softHyphen/>
        <w:t>ростях около 250—260 км/ч и ниже. Хорошо дер</w:t>
      </w:r>
      <w:r w:rsidRPr="00722885">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70EB205F"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скоростях полета 250 км/ч «прицельную стрельбу из пушек вести трудно из-за сильной ви</w:t>
      </w:r>
      <w:r w:rsidRPr="00722885">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722885">
        <w:rPr>
          <w:color w:val="000000" w:themeColor="text1"/>
          <w:sz w:val="16"/>
          <w:szCs w:val="16"/>
        </w:rPr>
        <w:softHyphen/>
        <w:t>ется незначительно». При стрельбе с набором вы</w:t>
      </w:r>
      <w:r w:rsidRPr="00722885">
        <w:rPr>
          <w:color w:val="000000" w:themeColor="text1"/>
          <w:sz w:val="16"/>
          <w:szCs w:val="16"/>
        </w:rPr>
        <w:softHyphen/>
        <w:t>соты самолет резко теряет скорость. На пикирова</w:t>
      </w:r>
      <w:r w:rsidRPr="00722885">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722885">
        <w:rPr>
          <w:color w:val="000000" w:themeColor="text1"/>
          <w:sz w:val="16"/>
          <w:szCs w:val="16"/>
        </w:rPr>
        <w:softHyphen/>
        <w:t>рачивается в сторону стреляющей пушки, прицель</w:t>
      </w:r>
      <w:r w:rsidRPr="00722885">
        <w:rPr>
          <w:color w:val="000000" w:themeColor="text1"/>
          <w:sz w:val="16"/>
          <w:szCs w:val="16"/>
        </w:rPr>
        <w:softHyphen/>
        <w:t>ный огонь вести невозможно. Боковой перенос ог</w:t>
      </w:r>
      <w:r w:rsidRPr="00722885">
        <w:rPr>
          <w:color w:val="000000" w:themeColor="text1"/>
          <w:sz w:val="16"/>
          <w:szCs w:val="16"/>
        </w:rPr>
        <w:softHyphen/>
        <w:t>ня при пикировании затруднен, а «с высоты 400 м и ниже невозможен, ввиду инертности самолета».</w:t>
      </w:r>
    </w:p>
    <w:p w14:paraId="0745DA9F"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заявлениям летчиков, «стволы пушек в по</w:t>
      </w:r>
      <w:r w:rsidRPr="00722885">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722885">
        <w:rPr>
          <w:color w:val="000000" w:themeColor="text1"/>
          <w:sz w:val="16"/>
          <w:szCs w:val="16"/>
        </w:rPr>
        <w:softHyphen/>
        <w:t>трудняет возможность вести прицельный огонь». Утверждалось, что «при боевом развороте на ско</w:t>
      </w:r>
      <w:r w:rsidRPr="00722885">
        <w:rPr>
          <w:color w:val="000000" w:themeColor="text1"/>
          <w:sz w:val="16"/>
          <w:szCs w:val="16"/>
        </w:rPr>
        <w:softHyphen/>
        <w:t>рости 270 км/ч самолет сильно трясет».</w:t>
      </w:r>
    </w:p>
    <w:p w14:paraId="1DE0ADDA"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722885">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722885">
        <w:rPr>
          <w:color w:val="000000" w:themeColor="text1"/>
          <w:sz w:val="16"/>
          <w:szCs w:val="16"/>
        </w:rPr>
        <w:softHyphen/>
        <w:t>ровано только 22 случая полного расстрела бое</w:t>
      </w:r>
      <w:r w:rsidRPr="00722885">
        <w:rPr>
          <w:color w:val="000000" w:themeColor="text1"/>
          <w:sz w:val="16"/>
          <w:szCs w:val="16"/>
        </w:rPr>
        <w:softHyphen/>
        <w:t>комплекта.</w:t>
      </w:r>
    </w:p>
    <w:p w14:paraId="4F7A3E7D"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эксплуатационной точки зрения пушка Ш-37 и пушечная установка оказались простыми и удоб</w:t>
      </w:r>
      <w:r w:rsidRPr="00722885">
        <w:rPr>
          <w:color w:val="000000" w:themeColor="text1"/>
          <w:sz w:val="16"/>
          <w:szCs w:val="16"/>
        </w:rPr>
        <w:softHyphen/>
        <w:t>ными в обслуживании даже в условиях зимы, ког</w:t>
      </w:r>
      <w:r w:rsidRPr="00722885">
        <w:rPr>
          <w:color w:val="000000" w:themeColor="text1"/>
          <w:sz w:val="16"/>
          <w:szCs w:val="16"/>
        </w:rPr>
        <w:softHyphen/>
        <w:t>да технический состав вынужден работать в ру</w:t>
      </w:r>
      <w:r w:rsidRPr="00722885">
        <w:rPr>
          <w:color w:val="000000" w:themeColor="text1"/>
          <w:sz w:val="16"/>
          <w:szCs w:val="16"/>
        </w:rPr>
        <w:softHyphen/>
        <w:t>кавицах и тяжелой одежде. При работе 2 человек чистка пушки требует не более 30 мин, заряд</w:t>
      </w:r>
      <w:r w:rsidRPr="00722885">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722885">
        <w:rPr>
          <w:color w:val="000000" w:themeColor="text1"/>
          <w:sz w:val="16"/>
          <w:szCs w:val="16"/>
        </w:rPr>
        <w:softHyphen/>
        <w:t>ра — 4—5 ч, шептала — 4 ч, собачки шептала — 3 ч. Технический состав полка особо отметил «не</w:t>
      </w:r>
      <w:r w:rsidRPr="00722885">
        <w:rPr>
          <w:color w:val="000000" w:themeColor="text1"/>
          <w:sz w:val="16"/>
          <w:szCs w:val="16"/>
        </w:rPr>
        <w:softHyphen/>
        <w:t>удобную конструкцию и плохое изготовление об</w:t>
      </w:r>
      <w:r w:rsidRPr="00722885">
        <w:rPr>
          <w:color w:val="000000" w:themeColor="text1"/>
          <w:sz w:val="16"/>
          <w:szCs w:val="16"/>
        </w:rPr>
        <w:softHyphen/>
        <w:t>текателей пушек — на шомпола их невозможно закрыть».</w:t>
      </w:r>
    </w:p>
    <w:p w14:paraId="1FBC2764"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722885">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103FE2F9"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722885">
        <w:rPr>
          <w:color w:val="000000" w:themeColor="text1"/>
          <w:sz w:val="16"/>
          <w:szCs w:val="16"/>
        </w:rPr>
        <w:softHyphen/>
        <w:t>лись.</w:t>
      </w:r>
    </w:p>
    <w:p w14:paraId="7DF33468"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лейтенант Воловиков в своем донесе</w:t>
      </w:r>
      <w:r w:rsidRPr="00722885">
        <w:rPr>
          <w:color w:val="000000" w:themeColor="text1"/>
          <w:sz w:val="16"/>
          <w:szCs w:val="16"/>
        </w:rPr>
        <w:softHyphen/>
        <w:t>нии указал, что «в серийном производстве Ил-2 с ШФК-37 выпускать нельзя». К его мнению присо</w:t>
      </w:r>
      <w:r w:rsidRPr="00722885">
        <w:rPr>
          <w:color w:val="000000" w:themeColor="text1"/>
          <w:sz w:val="16"/>
          <w:szCs w:val="16"/>
        </w:rPr>
        <w:softHyphen/>
        <w:t>единились старший сержант А. В. Дунов, сержант М. А. Сахариленко и старшина В. Ф. Игнатьев.</w:t>
      </w:r>
    </w:p>
    <w:p w14:paraId="762E84B2"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722885">
        <w:rPr>
          <w:color w:val="000000" w:themeColor="text1"/>
          <w:sz w:val="16"/>
          <w:szCs w:val="16"/>
        </w:rPr>
        <w:softHyphen/>
        <w:t>го; 4) нужен более мощный мотор для противозе</w:t>
      </w:r>
      <w:r w:rsidRPr="00722885">
        <w:rPr>
          <w:color w:val="000000" w:themeColor="text1"/>
          <w:sz w:val="16"/>
          <w:szCs w:val="16"/>
        </w:rPr>
        <w:softHyphen/>
        <w:t>нитного маневра; 5) формировать отдельные диви</w:t>
      </w:r>
      <w:r w:rsidRPr="00722885">
        <w:rPr>
          <w:color w:val="000000" w:themeColor="text1"/>
          <w:sz w:val="16"/>
          <w:szCs w:val="16"/>
        </w:rPr>
        <w:softHyphen/>
        <w:t>зионные группы Ил-2 с пушками 37 мм или на полк давать 6 таких самолетов».</w:t>
      </w:r>
    </w:p>
    <w:p w14:paraId="71A597DF"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722885">
        <w:rPr>
          <w:color w:val="000000" w:themeColor="text1"/>
          <w:sz w:val="16"/>
          <w:szCs w:val="16"/>
        </w:rPr>
        <w:softHyphen/>
        <w:t>жанта Юсова».</w:t>
      </w:r>
    </w:p>
    <w:p w14:paraId="78C045E9"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с учетом этого в заключении «Доклада о войсковых испытаниях на боевое при</w:t>
      </w:r>
      <w:r w:rsidRPr="00722885">
        <w:rPr>
          <w:color w:val="000000" w:themeColor="text1"/>
          <w:sz w:val="16"/>
          <w:szCs w:val="16"/>
        </w:rPr>
        <w:softHyphen/>
        <w:t>менение самолетов Ил-2 АМ-38, вооруженных 37-мм пушками конструкции ОКБ-15» было записа</w:t>
      </w:r>
      <w:r w:rsidRPr="00722885">
        <w:rPr>
          <w:color w:val="000000" w:themeColor="text1"/>
          <w:sz w:val="16"/>
          <w:szCs w:val="16"/>
        </w:rPr>
        <w:softHyphen/>
        <w:t>но: «1. Самолеты с пушками ШФК-37, испытанные на боевое применение, не дали должной эффективно</w:t>
      </w:r>
      <w:r w:rsidRPr="00722885">
        <w:rPr>
          <w:color w:val="000000" w:themeColor="text1"/>
          <w:sz w:val="16"/>
          <w:szCs w:val="16"/>
        </w:rPr>
        <w:softHyphen/>
        <w:t xml:space="preserve">сти в связи с недоработкой </w:t>
      </w:r>
      <w:r w:rsidRPr="00722885">
        <w:rPr>
          <w:color w:val="000000" w:themeColor="text1"/>
          <w:sz w:val="16"/>
          <w:szCs w:val="16"/>
        </w:rPr>
        <w:lastRenderedPageBreak/>
        <w:t>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722885">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0346FE40"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боевых летчиков от 688-го шап и чле</w:t>
      </w:r>
      <w:r w:rsidRPr="00722885">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55948170"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Уже 8 марта 1943 г. начальник 1-го отдела УЗ- СиМ ГУЗ ВВС инженер-полковник Ковалев в до</w:t>
      </w:r>
      <w:r w:rsidRPr="00722885">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722885">
        <w:rPr>
          <w:color w:val="000000" w:themeColor="text1"/>
          <w:sz w:val="16"/>
          <w:szCs w:val="16"/>
        </w:rPr>
        <w:softHyphen/>
        <w:t>вых испытаний самолетов Ил-2 с ШФК-37 37-мм пушки подлежат конструктивной доводке».</w:t>
      </w:r>
    </w:p>
    <w:p w14:paraId="3D369BA1"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722885">
        <w:rPr>
          <w:color w:val="000000" w:themeColor="text1"/>
          <w:sz w:val="16"/>
          <w:szCs w:val="16"/>
        </w:rPr>
        <w:softHyphen/>
        <w:t>шек ШФК-37 на самолетах Ил-2».</w:t>
      </w:r>
    </w:p>
    <w:p w14:paraId="72FD3638" w14:textId="77777777" w:rsidR="00EF490F" w:rsidRPr="00722885" w:rsidRDefault="00EF490F"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материалами отчета Тишевского,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722885">
        <w:rPr>
          <w:color w:val="000000" w:themeColor="text1"/>
          <w:sz w:val="16"/>
          <w:szCs w:val="16"/>
        </w:rPr>
        <w:softHyphen/>
        <w:t>готовить справку о ходе испытаний пушек калибра 37 мм ОКБ-16 на самолетах Ил-2 (17500).</w:t>
      </w:r>
    </w:p>
    <w:p w14:paraId="7715EE2A" w14:textId="77777777" w:rsidR="00EF490F" w:rsidRPr="00722885" w:rsidRDefault="00EF490F" w:rsidP="00722885">
      <w:pPr>
        <w:pStyle w:val="12a"/>
        <w:shd w:val="clear" w:color="auto" w:fill="auto"/>
        <w:spacing w:after="0" w:line="240" w:lineRule="auto"/>
        <w:jc w:val="both"/>
        <w:rPr>
          <w:color w:val="000000" w:themeColor="text1"/>
          <w:sz w:val="16"/>
          <w:szCs w:val="16"/>
        </w:rPr>
      </w:pPr>
    </w:p>
    <w:p w14:paraId="1F5EA9C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декабря 1942 г. вы</w:t>
      </w:r>
      <w:r w:rsidRPr="00722885">
        <w:rPr>
          <w:rFonts w:ascii="Times New Roman" w:hAnsi="Times New Roman"/>
          <w:color w:val="000000" w:themeColor="text1"/>
          <w:sz w:val="16"/>
          <w:szCs w:val="16"/>
        </w:rPr>
        <w:softHyphen/>
        <w:t>вели на аэродром первый самолет, фактически обыч</w:t>
      </w:r>
      <w:r w:rsidRPr="00722885">
        <w:rPr>
          <w:rFonts w:ascii="Times New Roman" w:hAnsi="Times New Roman"/>
          <w:color w:val="000000" w:themeColor="text1"/>
          <w:sz w:val="16"/>
          <w:szCs w:val="16"/>
        </w:rPr>
        <w:softHyphen/>
        <w:t>ный Ил-4, но с турбонагнетателями. На нем вели доводку мотоустановки. Он совершил всего 11 полетов, но зато на нем сменили три двигателя. ТК-3 стра</w:t>
      </w:r>
      <w:r w:rsidRPr="00722885">
        <w:rPr>
          <w:rFonts w:ascii="Times New Roman" w:hAnsi="Times New Roman"/>
          <w:color w:val="000000" w:themeColor="text1"/>
          <w:sz w:val="16"/>
          <w:szCs w:val="16"/>
        </w:rPr>
        <w:softHyphen/>
        <w:t>дали прогаром коллекторов и утечкой выхлопных газов. Никак не удавалось подняться выше 7100 м, хотя по расче</w:t>
      </w:r>
      <w:r w:rsidRPr="00722885">
        <w:rPr>
          <w:rFonts w:ascii="Times New Roman" w:hAnsi="Times New Roman"/>
          <w:color w:val="000000" w:themeColor="text1"/>
          <w:sz w:val="16"/>
          <w:szCs w:val="16"/>
        </w:rPr>
        <w:softHyphen/>
        <w:t>там потолок составлял 9500 м. Установ</w:t>
      </w:r>
      <w:r w:rsidRPr="00722885">
        <w:rPr>
          <w:rFonts w:ascii="Times New Roman" w:hAnsi="Times New Roman"/>
          <w:color w:val="000000" w:themeColor="text1"/>
          <w:sz w:val="16"/>
          <w:szCs w:val="16"/>
        </w:rPr>
        <w:softHyphen/>
        <w:t>ка ТК-3 ухудшила аэродинамику, и мак</w:t>
      </w:r>
      <w:r w:rsidRPr="00722885">
        <w:rPr>
          <w:rFonts w:ascii="Times New Roman" w:hAnsi="Times New Roman"/>
          <w:color w:val="000000" w:themeColor="text1"/>
          <w:sz w:val="16"/>
          <w:szCs w:val="16"/>
        </w:rPr>
        <w:softHyphen/>
        <w:t>симальная скорость упала на 22 км/ч. Скороподъемность тоже ухудшилась. Вдобавок выявились вибрации хвосто</w:t>
      </w:r>
      <w:r w:rsidRPr="00722885">
        <w:rPr>
          <w:rFonts w:ascii="Times New Roman" w:hAnsi="Times New Roman"/>
          <w:color w:val="000000" w:themeColor="text1"/>
          <w:sz w:val="16"/>
          <w:szCs w:val="16"/>
        </w:rPr>
        <w:softHyphen/>
        <w:t>вого оперения. 10 июля 1943 г. этот са</w:t>
      </w:r>
      <w:r w:rsidRPr="00722885">
        <w:rPr>
          <w:rFonts w:ascii="Times New Roman" w:hAnsi="Times New Roman"/>
          <w:color w:val="000000" w:themeColor="text1"/>
          <w:sz w:val="16"/>
          <w:szCs w:val="16"/>
        </w:rPr>
        <w:softHyphen/>
        <w:t>молет передали ЦИАМ для доводки мо</w:t>
      </w:r>
      <w:r w:rsidRPr="00722885">
        <w:rPr>
          <w:rFonts w:ascii="Times New Roman" w:hAnsi="Times New Roman"/>
          <w:color w:val="000000" w:themeColor="text1"/>
          <w:sz w:val="16"/>
          <w:szCs w:val="16"/>
        </w:rPr>
        <w:softHyphen/>
        <w:t>тоустановки. Самолет обследовали спе</w:t>
      </w:r>
      <w:r w:rsidRPr="00722885">
        <w:rPr>
          <w:rFonts w:ascii="Times New Roman" w:hAnsi="Times New Roman"/>
          <w:color w:val="000000" w:themeColor="text1"/>
          <w:sz w:val="16"/>
          <w:szCs w:val="16"/>
        </w:rPr>
        <w:softHyphen/>
        <w:t>циалисты ЛИИ. Расположение турбо</w:t>
      </w:r>
      <w:r w:rsidRPr="00722885">
        <w:rPr>
          <w:rFonts w:ascii="Times New Roman" w:hAnsi="Times New Roman"/>
          <w:color w:val="000000" w:themeColor="text1"/>
          <w:sz w:val="16"/>
          <w:szCs w:val="16"/>
        </w:rPr>
        <w:softHyphen/>
        <w:t>нагнетателей признали неудачным, а мо</w:t>
      </w:r>
      <w:r w:rsidRPr="00722885">
        <w:rPr>
          <w:rFonts w:ascii="Times New Roman" w:hAnsi="Times New Roman"/>
          <w:color w:val="000000" w:themeColor="text1"/>
          <w:sz w:val="16"/>
          <w:szCs w:val="16"/>
        </w:rPr>
        <w:softHyphen/>
        <w:t>тоустановку в целом — перетяжелен</w:t>
      </w:r>
      <w:r w:rsidRPr="00722885">
        <w:rPr>
          <w:rFonts w:ascii="Times New Roman" w:hAnsi="Times New Roman"/>
          <w:color w:val="000000" w:themeColor="text1"/>
          <w:sz w:val="16"/>
          <w:szCs w:val="16"/>
        </w:rPr>
        <w:softHyphen/>
        <w:t>ной. В отчете ЛИИ сделано заключение: «Самолет Ил-4... с моторами М-886 и ТК-3 для эксплуатации не пригоден» (10734,87).</w:t>
      </w:r>
    </w:p>
    <w:p w14:paraId="0DA446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5AD73D8"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декабря 1942 г. первый самолет Ил-4 ТК, фактически обычный Ил-4, но с турбонагнетателями, вывели на аэродром На нем вели доводку мотоустановки. Он совершил всего 11 полетов, но зато на нем сменили три двигателя. ТК-3 страдали прогаром коллекторов и утечкой выхлопных газов. Никак не удавалось подняться выше 7100 м. хотя по расчетам потолок составлял 9500 м. Установка ТК-3 ухудшила аэродинамику, и максимальная скорость упала на 22 км/ч. Скороподъемность тоже ухудшилась. Вдобавок выявились вибрации хвостового оперения (21548).</w:t>
      </w:r>
    </w:p>
    <w:p w14:paraId="6A41E95A" w14:textId="77777777" w:rsidR="00445F8C" w:rsidRPr="00722885" w:rsidRDefault="00445F8C" w:rsidP="00722885">
      <w:pPr>
        <w:spacing w:after="0" w:line="240" w:lineRule="auto"/>
        <w:jc w:val="both"/>
        <w:rPr>
          <w:rFonts w:ascii="Times New Roman" w:hAnsi="Times New Roman"/>
          <w:color w:val="0070C0"/>
          <w:sz w:val="16"/>
          <w:szCs w:val="16"/>
        </w:rPr>
      </w:pPr>
    </w:p>
    <w:p w14:paraId="7230BA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декабря 1942 г. первый самолет ИЛ-4ТК, фактически обычный Ил-4, но с турбонагнетателями, вывели на аэродром. На нем вели доводку мотоустановки. Он совершил всего 11 полетов, но зато на нем сменили три двигателя. ТК-3 страдали прогаром коллекторов и утечкой выхлопных газов. Никак не удавалось подняться выше 7100 м, хотя по расчетам потолок составлял 9500 м. Установка ТК-3 ухудшила аэродинамику, и максимальная скорость упала на 22 км/ч. Скороподъемность тоже ухудшилась. Вдобавок выявились вибрации хвостового оперения. 10 июля 1943 г. этот самолет передали ЦИАМ для доводки мотоустановки. Самолет обследовали специалисты ЛИИ. Расположение турбонагнетателей признали неудачным, а мотоустановку в целом - перетяжеленной. В отчете Л ИИ сделано заключение: "Самолет Ил-4... с моторами М-886 и ТК-3 для эксплуатации не пригоден".</w:t>
      </w:r>
    </w:p>
    <w:p w14:paraId="52809C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Вторую машину постановление требовало сдать на испытания к 15 марта. За три дня до срока самолет был готов. Первый полет на Ил-4ТК совершил В. К. Коккинаки 16 марта 1943 г. Взлетный вес составлял 10593 кг, несколько больше расчетного за счет контрольно-измерительной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 П. Последние заменили на четырехлопастные АВ-9. Но это не дало существенного сдвига.</w:t>
      </w:r>
    </w:p>
    <w:p w14:paraId="2B0931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(12021).</w:t>
      </w:r>
    </w:p>
    <w:p w14:paraId="1AC4D80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CA148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декабря 1942 г. в докладной записке в Кремль А.Н.Т. писал: "Опыт Отечественной войны показывает, что до 90% задач, ставящихся перед бомбардировочной авиацией, не требуют универсального самолета и могут быть решены более упрощенным бомбардировщиком - "стандартного типа". Под ним Туполев понимал наиболее простой и дешевый в производстве и эксплуатации вариант машины с минимальным набором оборудования. В то же время его конструкция должна была предусматривать возможность доработки в специализированные модификации. К примеру, добавили тормозные решетки и автомат пикирования - получили пикирующий бомбардировщик. Убрали место штурмана с пулеметной установкой, заменив креслом для второго пилота с органами управления, - вот вам учебно-тре- нировочный самолет. У разведчика в бомбоотсек устанавливались дополнительный бензобак и фотоаппаратура. Наибольшие изменения требовались для доработки "стандартного типа" в дальний бомбардировщик. При этом предусматривалось смонтировать новые, более длинные, консоли крыла, увеличить площадь оперения и дополнить набор приборов и оборудования. В частности, на дальние бомбардировщики планировали ставить автомат курса АК-1 - что-то вроде примитивного автопилота.</w:t>
      </w:r>
    </w:p>
    <w:p w14:paraId="227112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Многое, чем оснащался омский Ту-2, для "стандартного типа" сочли лишним. Убрали тормозные решетки и механизм их выпуска, но автомат пикирования оставили. Стабилизатор зафиксировали неподвижно, механизм его поворота сняли. Триммер теперь имелся только на правом руле направления. Моторы стали запускать не электроинерционными стартерами, а сжатым воздухом. Отказались от обогрева втулок пропеллеров теплым воздухом.</w:t>
      </w:r>
    </w:p>
    <w:p w14:paraId="66E8DB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Уменьшили до 14 количество бензобаков, частично компенсировав потери увеличением объема оставшихся. Общий запас горючего теперь равнялся 2600 л вместо прежних 3000 л. Заливка топлива осуществлялась через пять, а не через семь горловин. Все это позволило укоротить трубопроводы и убрать часть арматуры.</w:t>
      </w:r>
    </w:p>
    <w:p w14:paraId="0E459D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Значительно упростили гидравлическую систему: ранее существовали две отдельные системы - высокого и низкого давления, теперь осталась одна - высокого. Гидравлический механизм переключения скоростей нагнетателей моторов заменили более простым механическим. Агрегаты гидросистемы перекомпоновали. В результате суммарная длина магистралей уменьшилась вчетверо, а боевая живучесть возросла. Отказались от дублирования некоторых приборов, приборные доски, стоявшие ранее на внутренних сторонах мотогондол, ликвидировали. Приборы, контролирующие работу двигателей, теперь располагались на доске пилота. Уменьшили количество осветительных ламп, сняли выдвижную фару ФСВ-200 и один из двух электрогенераторов (левый). Часть электросистемы перевели на однопровод- ную схему, причем использовали как экранировку гофр под обшивкой крыла. Одних проводов при этом стало на километр меньше.</w:t>
      </w:r>
    </w:p>
    <w:p w14:paraId="1FC254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Носовые пулеметы ШКАС сочли лишними - 20-мм пушки и так обеспечивали достаточную огневую мощь. Упростили механизм питания пушек, убрав электроподтяг ленты. Сняли трубу прицела ПС-1 (окно для нее зашили дюралюминиевым листом), упростили механизм аварийного сброса бомб. Нормальная бомбовая нагрузка по-прежнему составляла 1000 кг, но максимальную ограничили до 2000 кг. При этом набор бомбодержателей, как и ранее, позволял при необходимости подвесить до 3000 кг.</w:t>
      </w:r>
    </w:p>
    <w:p w14:paraId="7D40D1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Провели большую работу по стандартизации крепежа и других нормализованных деталей. В результате конструкторам удалось выгадать около 400 кг "лишней" массы и снизить плановую трудоемкость самолета на 3000 человеко-часов.</w:t>
      </w:r>
    </w:p>
    <w:p w14:paraId="3AA1C2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Эскизный проект новой модификации разрабатывался бригадой С.М. Егера и был завершен к лету 1943 г. (11988).</w:t>
      </w:r>
    </w:p>
    <w:p w14:paraId="6AC110F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BB5878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17 декабря 1942 по 26 января 1943 г. был перерыв в гос. испытаниях И-185 эталона. Несмотря на то, что они еще не завер</w:t>
      </w:r>
      <w:r w:rsidRPr="00722885">
        <w:rPr>
          <w:rFonts w:ascii="Times New Roman" w:hAnsi="Times New Roman"/>
          <w:color w:val="000000" w:themeColor="text1"/>
          <w:sz w:val="16"/>
          <w:szCs w:val="16"/>
        </w:rPr>
        <w:softHyphen/>
        <w:t>шились, стало ясно, что получился действительно хоро</w:t>
      </w:r>
      <w:r w:rsidRPr="00722885">
        <w:rPr>
          <w:rFonts w:ascii="Times New Roman" w:hAnsi="Times New Roman"/>
          <w:color w:val="000000" w:themeColor="text1"/>
          <w:sz w:val="16"/>
          <w:szCs w:val="16"/>
        </w:rPr>
        <w:softHyphen/>
        <w:t>ший самолет, превосходивший как отечественные, так и заграничные образцы. На повестку дня стал вопрос о се</w:t>
      </w:r>
      <w:r w:rsidRPr="00722885">
        <w:rPr>
          <w:rFonts w:ascii="Times New Roman" w:hAnsi="Times New Roman"/>
          <w:color w:val="000000" w:themeColor="text1"/>
          <w:sz w:val="16"/>
          <w:szCs w:val="16"/>
        </w:rPr>
        <w:softHyphen/>
        <w:t>рийном производстве машины (10667).</w:t>
      </w:r>
    </w:p>
    <w:p w14:paraId="4E1D738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AE4E27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декабря 1942 был подготоылкн Перечень действующих заказов по ОКБ тов. Туполева с 1 января 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312"/>
      </w:tblGrid>
      <w:tr w:rsidR="009B487A" w:rsidRPr="00722885" w14:paraId="205A2402" w14:textId="77777777" w:rsidTr="00CC5360">
        <w:tc>
          <w:tcPr>
            <w:tcW w:w="5636" w:type="dxa"/>
            <w:tcBorders>
              <w:top w:val="single" w:sz="12" w:space="0" w:color="auto"/>
            </w:tcBorders>
            <w:shd w:val="clear" w:color="auto" w:fill="FFFFFF"/>
          </w:tcPr>
          <w:p w14:paraId="19D00D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Доводка, упрошение, усиление воору</w:t>
            </w:r>
            <w:r w:rsidRPr="00722885">
              <w:rPr>
                <w:rFonts w:ascii="Times New Roman" w:hAnsi="Times New Roman"/>
                <w:color w:val="000000" w:themeColor="text1"/>
                <w:sz w:val="16"/>
                <w:szCs w:val="16"/>
              </w:rPr>
              <w:softHyphen/>
              <w:t>жения и создание стандартного типа</w:t>
            </w:r>
          </w:p>
        </w:tc>
        <w:tc>
          <w:tcPr>
            <w:tcW w:w="1312" w:type="dxa"/>
            <w:tcBorders>
              <w:top w:val="single" w:sz="12" w:space="0" w:color="auto"/>
            </w:tcBorders>
            <w:shd w:val="clear" w:color="auto" w:fill="FFFFFF"/>
          </w:tcPr>
          <w:p w14:paraId="5D9B0D4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1A805F21" w14:textId="77777777" w:rsidTr="00CC5360">
        <w:tc>
          <w:tcPr>
            <w:tcW w:w="5636" w:type="dxa"/>
            <w:shd w:val="clear" w:color="auto" w:fill="FFFFFF"/>
          </w:tcPr>
          <w:p w14:paraId="3D241C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проектирование</w:t>
            </w:r>
          </w:p>
        </w:tc>
        <w:tc>
          <w:tcPr>
            <w:tcW w:w="1312" w:type="dxa"/>
            <w:shd w:val="clear" w:color="auto" w:fill="FFFFFF"/>
          </w:tcPr>
          <w:p w14:paraId="2D7271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380</w:t>
            </w:r>
          </w:p>
        </w:tc>
      </w:tr>
      <w:tr w:rsidR="009B487A" w:rsidRPr="00722885" w14:paraId="6BE0E762" w14:textId="77777777" w:rsidTr="00CC5360">
        <w:tc>
          <w:tcPr>
            <w:tcW w:w="5636" w:type="dxa"/>
            <w:shd w:val="clear" w:color="auto" w:fill="FFFFFF"/>
          </w:tcPr>
          <w:p w14:paraId="49CE47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изготовление</w:t>
            </w:r>
          </w:p>
        </w:tc>
        <w:tc>
          <w:tcPr>
            <w:tcW w:w="1312" w:type="dxa"/>
            <w:shd w:val="clear" w:color="auto" w:fill="FFFFFF"/>
          </w:tcPr>
          <w:p w14:paraId="09AA78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381</w:t>
            </w:r>
          </w:p>
        </w:tc>
      </w:tr>
      <w:tr w:rsidR="009B487A" w:rsidRPr="00722885" w14:paraId="169693E1" w14:textId="77777777" w:rsidTr="00CC5360">
        <w:tc>
          <w:tcPr>
            <w:tcW w:w="5636" w:type="dxa"/>
            <w:shd w:val="clear" w:color="auto" w:fill="FFFFFF"/>
          </w:tcPr>
          <w:p w14:paraId="2E1993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испытание</w:t>
            </w:r>
          </w:p>
        </w:tc>
        <w:tc>
          <w:tcPr>
            <w:tcW w:w="1312" w:type="dxa"/>
            <w:shd w:val="clear" w:color="auto" w:fill="FFFFFF"/>
          </w:tcPr>
          <w:p w14:paraId="262C8FD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382</w:t>
            </w:r>
          </w:p>
        </w:tc>
      </w:tr>
      <w:tr w:rsidR="009B487A" w:rsidRPr="00722885" w14:paraId="3D9EA25A" w14:textId="77777777" w:rsidTr="00CC5360">
        <w:tc>
          <w:tcPr>
            <w:tcW w:w="5636" w:type="dxa"/>
            <w:shd w:val="clear" w:color="auto" w:fill="FFFFFF"/>
          </w:tcPr>
          <w:p w14:paraId="29B3EC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Внедрение дерева в конструкцию с-та</w:t>
            </w:r>
          </w:p>
        </w:tc>
        <w:tc>
          <w:tcPr>
            <w:tcW w:w="1312" w:type="dxa"/>
            <w:shd w:val="clear" w:color="auto" w:fill="FFFFFF"/>
          </w:tcPr>
          <w:p w14:paraId="768DEBD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6B46E4B1" w14:textId="77777777" w:rsidTr="00CC5360">
        <w:tc>
          <w:tcPr>
            <w:tcW w:w="5636" w:type="dxa"/>
            <w:shd w:val="clear" w:color="auto" w:fill="FFFFFF"/>
          </w:tcPr>
          <w:p w14:paraId="09C736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проектирование</w:t>
            </w:r>
          </w:p>
        </w:tc>
        <w:tc>
          <w:tcPr>
            <w:tcW w:w="1312" w:type="dxa"/>
            <w:shd w:val="clear" w:color="auto" w:fill="FFFFFF"/>
          </w:tcPr>
          <w:p w14:paraId="3A83BF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350</w:t>
            </w:r>
          </w:p>
        </w:tc>
      </w:tr>
      <w:tr w:rsidR="009B487A" w:rsidRPr="00722885" w14:paraId="187B685B" w14:textId="77777777" w:rsidTr="00CC5360">
        <w:tc>
          <w:tcPr>
            <w:tcW w:w="5636" w:type="dxa"/>
            <w:shd w:val="clear" w:color="auto" w:fill="FFFFFF"/>
          </w:tcPr>
          <w:p w14:paraId="19C046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изготовление</w:t>
            </w:r>
          </w:p>
        </w:tc>
        <w:tc>
          <w:tcPr>
            <w:tcW w:w="1312" w:type="dxa"/>
            <w:shd w:val="clear" w:color="auto" w:fill="FFFFFF"/>
          </w:tcPr>
          <w:p w14:paraId="005D5B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351</w:t>
            </w:r>
          </w:p>
        </w:tc>
      </w:tr>
      <w:tr w:rsidR="009B487A" w:rsidRPr="00722885" w14:paraId="3B13E1A2" w14:textId="77777777" w:rsidTr="00CC5360">
        <w:tc>
          <w:tcPr>
            <w:tcW w:w="5636" w:type="dxa"/>
            <w:shd w:val="clear" w:color="auto" w:fill="FFFFFF"/>
          </w:tcPr>
          <w:p w14:paraId="515F21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Разведчик ТУ-2Р</w:t>
            </w:r>
          </w:p>
        </w:tc>
        <w:tc>
          <w:tcPr>
            <w:tcW w:w="1312" w:type="dxa"/>
            <w:shd w:val="clear" w:color="auto" w:fill="FFFFFF"/>
          </w:tcPr>
          <w:p w14:paraId="49A787D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71224096" w14:textId="77777777" w:rsidTr="00CC5360">
        <w:tc>
          <w:tcPr>
            <w:tcW w:w="5636" w:type="dxa"/>
            <w:shd w:val="clear" w:color="auto" w:fill="FFFFFF"/>
          </w:tcPr>
          <w:p w14:paraId="04C3CE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проектирование</w:t>
            </w:r>
          </w:p>
        </w:tc>
        <w:tc>
          <w:tcPr>
            <w:tcW w:w="1312" w:type="dxa"/>
            <w:shd w:val="clear" w:color="auto" w:fill="FFFFFF"/>
          </w:tcPr>
          <w:p w14:paraId="66C6BB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340</w:t>
            </w:r>
          </w:p>
        </w:tc>
      </w:tr>
      <w:tr w:rsidR="009B487A" w:rsidRPr="00722885" w14:paraId="69B5D153" w14:textId="77777777" w:rsidTr="00CC5360">
        <w:tc>
          <w:tcPr>
            <w:tcW w:w="5636" w:type="dxa"/>
            <w:shd w:val="clear" w:color="auto" w:fill="FFFFFF"/>
          </w:tcPr>
          <w:p w14:paraId="4A14AD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б) изготовление</w:t>
            </w:r>
          </w:p>
        </w:tc>
        <w:tc>
          <w:tcPr>
            <w:tcW w:w="1312" w:type="dxa"/>
            <w:shd w:val="clear" w:color="auto" w:fill="FFFFFF"/>
          </w:tcPr>
          <w:p w14:paraId="165F86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341</w:t>
            </w:r>
          </w:p>
        </w:tc>
      </w:tr>
      <w:tr w:rsidR="009B487A" w:rsidRPr="00722885" w14:paraId="6654D2CA" w14:textId="77777777" w:rsidTr="00CC5360">
        <w:tc>
          <w:tcPr>
            <w:tcW w:w="5636" w:type="dxa"/>
            <w:shd w:val="clear" w:color="auto" w:fill="FFFFFF"/>
          </w:tcPr>
          <w:p w14:paraId="7F2C5E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испытание</w:t>
            </w:r>
          </w:p>
        </w:tc>
        <w:tc>
          <w:tcPr>
            <w:tcW w:w="1312" w:type="dxa"/>
            <w:shd w:val="clear" w:color="auto" w:fill="FFFFFF"/>
          </w:tcPr>
          <w:p w14:paraId="642E7B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342</w:t>
            </w:r>
          </w:p>
        </w:tc>
      </w:tr>
      <w:tr w:rsidR="009B487A" w:rsidRPr="00722885" w14:paraId="326EDEF1" w14:textId="77777777" w:rsidTr="00CC5360">
        <w:tc>
          <w:tcPr>
            <w:tcW w:w="5636" w:type="dxa"/>
            <w:shd w:val="clear" w:color="auto" w:fill="FFFFFF"/>
          </w:tcPr>
          <w:p w14:paraId="5F2789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Дальний разведчик ТУ-2ДР</w:t>
            </w:r>
          </w:p>
        </w:tc>
        <w:tc>
          <w:tcPr>
            <w:tcW w:w="1312" w:type="dxa"/>
            <w:shd w:val="clear" w:color="auto" w:fill="FFFFFF"/>
          </w:tcPr>
          <w:p w14:paraId="0AC7EA2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266DD3D4" w14:textId="77777777" w:rsidTr="00CC5360">
        <w:tc>
          <w:tcPr>
            <w:tcW w:w="5636" w:type="dxa"/>
            <w:shd w:val="clear" w:color="auto" w:fill="FFFFFF"/>
          </w:tcPr>
          <w:p w14:paraId="626B98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проектирование</w:t>
            </w:r>
          </w:p>
        </w:tc>
        <w:tc>
          <w:tcPr>
            <w:tcW w:w="1312" w:type="dxa"/>
            <w:shd w:val="clear" w:color="auto" w:fill="FFFFFF"/>
          </w:tcPr>
          <w:p w14:paraId="54BE5F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320</w:t>
            </w:r>
          </w:p>
        </w:tc>
      </w:tr>
      <w:tr w:rsidR="009B487A" w:rsidRPr="00722885" w14:paraId="256054F2" w14:textId="77777777" w:rsidTr="00CC5360">
        <w:tc>
          <w:tcPr>
            <w:tcW w:w="5636" w:type="dxa"/>
            <w:shd w:val="clear" w:color="auto" w:fill="FFFFFF"/>
          </w:tcPr>
          <w:p w14:paraId="5E6420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изготовление</w:t>
            </w:r>
          </w:p>
        </w:tc>
        <w:tc>
          <w:tcPr>
            <w:tcW w:w="1312" w:type="dxa"/>
            <w:shd w:val="clear" w:color="auto" w:fill="FFFFFF"/>
          </w:tcPr>
          <w:p w14:paraId="4249D4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321</w:t>
            </w:r>
          </w:p>
        </w:tc>
      </w:tr>
      <w:tr w:rsidR="009B487A" w:rsidRPr="00722885" w14:paraId="7B9C160F" w14:textId="77777777" w:rsidTr="00CC5360">
        <w:tc>
          <w:tcPr>
            <w:tcW w:w="5636" w:type="dxa"/>
            <w:shd w:val="clear" w:color="auto" w:fill="FFFFFF"/>
          </w:tcPr>
          <w:p w14:paraId="7BA79C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испытание</w:t>
            </w:r>
          </w:p>
        </w:tc>
        <w:tc>
          <w:tcPr>
            <w:tcW w:w="1312" w:type="dxa"/>
            <w:shd w:val="clear" w:color="auto" w:fill="FFFFFF"/>
          </w:tcPr>
          <w:p w14:paraId="682C03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322</w:t>
            </w:r>
          </w:p>
        </w:tc>
      </w:tr>
      <w:tr w:rsidR="009B487A" w:rsidRPr="00722885" w14:paraId="1893E4F9" w14:textId="77777777" w:rsidTr="00CC5360">
        <w:tc>
          <w:tcPr>
            <w:tcW w:w="5636" w:type="dxa"/>
            <w:shd w:val="clear" w:color="auto" w:fill="FFFFFF"/>
          </w:tcPr>
          <w:p w14:paraId="2E073E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Дооборудование опытного самолета 103 с двумя М-37</w:t>
            </w:r>
          </w:p>
        </w:tc>
        <w:tc>
          <w:tcPr>
            <w:tcW w:w="1312" w:type="dxa"/>
            <w:shd w:val="clear" w:color="auto" w:fill="FFFFFF"/>
          </w:tcPr>
          <w:p w14:paraId="66E9209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21E62FB2" w14:textId="77777777" w:rsidTr="00CC5360">
        <w:tc>
          <w:tcPr>
            <w:tcW w:w="5636" w:type="dxa"/>
            <w:shd w:val="clear" w:color="auto" w:fill="FFFFFF"/>
          </w:tcPr>
          <w:p w14:paraId="7CC3ED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проектирование</w:t>
            </w:r>
          </w:p>
        </w:tc>
        <w:tc>
          <w:tcPr>
            <w:tcW w:w="1312" w:type="dxa"/>
            <w:shd w:val="clear" w:color="auto" w:fill="FFFFFF"/>
          </w:tcPr>
          <w:p w14:paraId="036A59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330</w:t>
            </w:r>
          </w:p>
        </w:tc>
      </w:tr>
      <w:tr w:rsidR="009B487A" w:rsidRPr="00722885" w14:paraId="655614E1" w14:textId="77777777" w:rsidTr="00CC5360">
        <w:tc>
          <w:tcPr>
            <w:tcW w:w="5636" w:type="dxa"/>
            <w:shd w:val="clear" w:color="auto" w:fill="FFFFFF"/>
          </w:tcPr>
          <w:p w14:paraId="16C084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изготовление</w:t>
            </w:r>
          </w:p>
        </w:tc>
        <w:tc>
          <w:tcPr>
            <w:tcW w:w="1312" w:type="dxa"/>
            <w:shd w:val="clear" w:color="auto" w:fill="FFFFFF"/>
          </w:tcPr>
          <w:p w14:paraId="72A5FF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331</w:t>
            </w:r>
          </w:p>
        </w:tc>
      </w:tr>
      <w:tr w:rsidR="009B487A" w:rsidRPr="00722885" w14:paraId="7CD35CB8" w14:textId="77777777" w:rsidTr="00CC5360">
        <w:tc>
          <w:tcPr>
            <w:tcW w:w="5636" w:type="dxa"/>
            <w:shd w:val="clear" w:color="auto" w:fill="FFFFFF"/>
          </w:tcPr>
          <w:p w14:paraId="326BFA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испытание</w:t>
            </w:r>
          </w:p>
        </w:tc>
        <w:tc>
          <w:tcPr>
            <w:tcW w:w="1312" w:type="dxa"/>
            <w:shd w:val="clear" w:color="auto" w:fill="FFFFFF"/>
          </w:tcPr>
          <w:p w14:paraId="736821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332</w:t>
            </w:r>
          </w:p>
        </w:tc>
      </w:tr>
      <w:tr w:rsidR="009B487A" w:rsidRPr="00722885" w14:paraId="6BDA331F" w14:textId="77777777" w:rsidTr="00CC5360">
        <w:tc>
          <w:tcPr>
            <w:tcW w:w="5636" w:type="dxa"/>
            <w:shd w:val="clear" w:color="auto" w:fill="FFFFFF"/>
          </w:tcPr>
          <w:p w14:paraId="5398EA8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Обслуживание опытных самолетов ОКБ</w:t>
            </w:r>
          </w:p>
        </w:tc>
        <w:tc>
          <w:tcPr>
            <w:tcW w:w="1312" w:type="dxa"/>
            <w:shd w:val="clear" w:color="auto" w:fill="FFFFFF"/>
          </w:tcPr>
          <w:p w14:paraId="2C69A4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370</w:t>
            </w:r>
          </w:p>
        </w:tc>
      </w:tr>
      <w:tr w:rsidR="009B487A" w:rsidRPr="00722885" w14:paraId="0CA4FDFE" w14:textId="77777777" w:rsidTr="00CC5360">
        <w:tc>
          <w:tcPr>
            <w:tcW w:w="5636" w:type="dxa"/>
            <w:shd w:val="clear" w:color="auto" w:fill="FFFFFF"/>
          </w:tcPr>
          <w:p w14:paraId="2CE829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Новое задание</w:t>
            </w:r>
          </w:p>
        </w:tc>
        <w:tc>
          <w:tcPr>
            <w:tcW w:w="1312" w:type="dxa"/>
            <w:shd w:val="clear" w:color="auto" w:fill="FFFFFF"/>
          </w:tcPr>
          <w:p w14:paraId="618028A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75E3DAA8" w14:textId="77777777" w:rsidTr="00CC5360">
        <w:tc>
          <w:tcPr>
            <w:tcW w:w="5636" w:type="dxa"/>
            <w:shd w:val="clear" w:color="auto" w:fill="FFFFFF"/>
          </w:tcPr>
          <w:p w14:paraId="30B0B2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проектирование</w:t>
            </w:r>
          </w:p>
        </w:tc>
        <w:tc>
          <w:tcPr>
            <w:tcW w:w="1312" w:type="dxa"/>
            <w:shd w:val="clear" w:color="auto" w:fill="FFFFFF"/>
          </w:tcPr>
          <w:p w14:paraId="05CBC8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360</w:t>
            </w:r>
          </w:p>
        </w:tc>
      </w:tr>
      <w:tr w:rsidR="009B487A" w:rsidRPr="00722885" w14:paraId="0B1010D4" w14:textId="77777777" w:rsidTr="00CC5360">
        <w:tc>
          <w:tcPr>
            <w:tcW w:w="5636" w:type="dxa"/>
            <w:shd w:val="clear" w:color="auto" w:fill="FFFFFF"/>
          </w:tcPr>
          <w:p w14:paraId="41484B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изготовление</w:t>
            </w:r>
          </w:p>
        </w:tc>
        <w:tc>
          <w:tcPr>
            <w:tcW w:w="1312" w:type="dxa"/>
            <w:shd w:val="clear" w:color="auto" w:fill="FFFFFF"/>
          </w:tcPr>
          <w:p w14:paraId="0D9793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361</w:t>
            </w:r>
          </w:p>
        </w:tc>
      </w:tr>
      <w:tr w:rsidR="009B487A" w:rsidRPr="00722885" w14:paraId="48ACB356" w14:textId="77777777" w:rsidTr="00CC5360">
        <w:tc>
          <w:tcPr>
            <w:tcW w:w="5636" w:type="dxa"/>
            <w:shd w:val="clear" w:color="auto" w:fill="FFFFFF"/>
          </w:tcPr>
          <w:p w14:paraId="026247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испытание</w:t>
            </w:r>
          </w:p>
        </w:tc>
        <w:tc>
          <w:tcPr>
            <w:tcW w:w="1312" w:type="dxa"/>
            <w:shd w:val="clear" w:color="auto" w:fill="FFFFFF"/>
          </w:tcPr>
          <w:p w14:paraId="0F5B9D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362</w:t>
            </w:r>
          </w:p>
        </w:tc>
      </w:tr>
      <w:tr w:rsidR="009B487A" w:rsidRPr="00722885" w14:paraId="4C12ED65" w14:textId="77777777" w:rsidTr="00CC5360">
        <w:tc>
          <w:tcPr>
            <w:tcW w:w="5636" w:type="dxa"/>
            <w:shd w:val="clear" w:color="auto" w:fill="FFFFFF"/>
          </w:tcPr>
          <w:p w14:paraId="2468CA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Изготовление инструмента и приспособлений стоисостью до 200 руб.</w:t>
            </w:r>
          </w:p>
        </w:tc>
        <w:tc>
          <w:tcPr>
            <w:tcW w:w="1312" w:type="dxa"/>
            <w:shd w:val="clear" w:color="auto" w:fill="FFFFFF"/>
          </w:tcPr>
          <w:p w14:paraId="6322E0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701</w:t>
            </w:r>
          </w:p>
        </w:tc>
      </w:tr>
      <w:tr w:rsidR="009B487A" w:rsidRPr="00722885" w14:paraId="4E6056C6" w14:textId="77777777" w:rsidTr="00CC5360">
        <w:tc>
          <w:tcPr>
            <w:tcW w:w="5636" w:type="dxa"/>
            <w:shd w:val="clear" w:color="auto" w:fill="FFFFFF"/>
          </w:tcPr>
          <w:p w14:paraId="0D2A28A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Изготовление хозинвентаря стоимостью до 200 руб.</w:t>
            </w:r>
          </w:p>
        </w:tc>
        <w:tc>
          <w:tcPr>
            <w:tcW w:w="1312" w:type="dxa"/>
            <w:shd w:val="clear" w:color="auto" w:fill="FFFFFF"/>
          </w:tcPr>
          <w:p w14:paraId="2565D3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702</w:t>
            </w:r>
          </w:p>
        </w:tc>
      </w:tr>
      <w:tr w:rsidR="009B487A" w:rsidRPr="00722885" w14:paraId="3D6E690E" w14:textId="77777777" w:rsidTr="00CC5360">
        <w:tc>
          <w:tcPr>
            <w:tcW w:w="5636" w:type="dxa"/>
            <w:shd w:val="clear" w:color="auto" w:fill="FFFFFF"/>
          </w:tcPr>
          <w:p w14:paraId="60EDCA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Аэродромное обслуживание ЛЭСв заводом № 288</w:t>
            </w:r>
          </w:p>
        </w:tc>
        <w:tc>
          <w:tcPr>
            <w:tcW w:w="1312" w:type="dxa"/>
            <w:shd w:val="clear" w:color="auto" w:fill="FFFFFF"/>
          </w:tcPr>
          <w:p w14:paraId="1D9021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710</w:t>
            </w:r>
          </w:p>
        </w:tc>
      </w:tr>
      <w:tr w:rsidR="009B487A" w:rsidRPr="00722885" w14:paraId="707DF566" w14:textId="77777777" w:rsidTr="00CC5360">
        <w:tc>
          <w:tcPr>
            <w:tcW w:w="5636" w:type="dxa"/>
            <w:shd w:val="clear" w:color="auto" w:fill="FFFFFF"/>
          </w:tcPr>
          <w:p w14:paraId="4FC109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Услуги и расходы по загоковке продуктов</w:t>
            </w:r>
          </w:p>
        </w:tc>
        <w:tc>
          <w:tcPr>
            <w:tcW w:w="1312" w:type="dxa"/>
            <w:shd w:val="clear" w:color="auto" w:fill="FFFFFF"/>
          </w:tcPr>
          <w:p w14:paraId="3BA628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21504</w:t>
            </w:r>
          </w:p>
        </w:tc>
      </w:tr>
      <w:tr w:rsidR="009B487A" w:rsidRPr="00722885" w14:paraId="0E1727C9" w14:textId="77777777" w:rsidTr="00CC5360">
        <w:tc>
          <w:tcPr>
            <w:tcW w:w="5636" w:type="dxa"/>
            <w:tcBorders>
              <w:bottom w:val="single" w:sz="12" w:space="0" w:color="auto"/>
            </w:tcBorders>
            <w:shd w:val="clear" w:color="auto" w:fill="FFFFFF"/>
          </w:tcPr>
          <w:p w14:paraId="2B3C45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Заготовка дров</w:t>
            </w:r>
          </w:p>
        </w:tc>
        <w:tc>
          <w:tcPr>
            <w:tcW w:w="1312" w:type="dxa"/>
            <w:tcBorders>
              <w:bottom w:val="single" w:sz="12" w:space="0" w:color="auto"/>
            </w:tcBorders>
            <w:shd w:val="clear" w:color="auto" w:fill="FFFFFF"/>
          </w:tcPr>
          <w:p w14:paraId="423BE0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21508 (10742,19).</w:t>
            </w:r>
          </w:p>
        </w:tc>
      </w:tr>
    </w:tbl>
    <w:p w14:paraId="295DFB6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582466F"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1D4C3A6" w14:textId="77777777" w:rsidR="00BB6316" w:rsidRPr="00722885" w:rsidRDefault="00BB6316" w:rsidP="00722885">
      <w:pPr>
        <w:pStyle w:val="Iauiue"/>
        <w:jc w:val="both"/>
        <w:rPr>
          <w:iCs/>
          <w:color w:val="000000" w:themeColor="text1"/>
          <w:sz w:val="16"/>
          <w:szCs w:val="16"/>
        </w:rPr>
      </w:pPr>
    </w:p>
    <w:p w14:paraId="1A62A16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декабря 1942 г. было подготовлено ЗАКЛЮЧЕНИЕ 3-го ОТДЕЛА БТУ НАЧАЛЬНИКУ БРОНЕТАНКОВОГО УПРАВЛЕНИЯ ГАБТУ О ЦЕЛЕСООБРАЗНОСТИ ПРИМЕНЕНИЯ ПРИБОРОВ НОЧНОГО ВОЖДЕНИЯ И МИННЫХ ТРАЛОВ</w:t>
      </w:r>
    </w:p>
    <w:p w14:paraId="54D6CE0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Докладываю, согласно Вашего приказания, я выезжал в 1-й гвардейский танковый корпус (быв</w:t>
      </w:r>
      <w:r w:rsidRPr="00722885">
        <w:rPr>
          <w:rFonts w:ascii="Times New Roman" w:hAnsi="Times New Roman"/>
          <w:color w:val="000000" w:themeColor="text1"/>
          <w:sz w:val="16"/>
          <w:szCs w:val="16"/>
        </w:rPr>
        <w:softHyphen/>
        <w:t>ший 26-й танковый корпус) за получением материалов по использованию приборов ночного вожде</w:t>
      </w:r>
      <w:r w:rsidRPr="00722885">
        <w:rPr>
          <w:rFonts w:ascii="Times New Roman" w:hAnsi="Times New Roman"/>
          <w:color w:val="000000" w:themeColor="text1"/>
          <w:sz w:val="16"/>
          <w:szCs w:val="16"/>
        </w:rPr>
        <w:softHyphen/>
        <w:t>ния и минных тралов в боевых условиях.</w:t>
      </w:r>
    </w:p>
    <w:p w14:paraId="4FAB963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поездки мне удалось получить заключение по вышеуказанным приборам от пом. командира 1-го гвардейского танкового корпуса по технической части гвардии инженер-подполков</w:t>
      </w:r>
      <w:r w:rsidRPr="00722885">
        <w:rPr>
          <w:rFonts w:ascii="Times New Roman" w:hAnsi="Times New Roman"/>
          <w:color w:val="000000" w:themeColor="text1"/>
          <w:sz w:val="16"/>
          <w:szCs w:val="16"/>
        </w:rPr>
        <w:softHyphen/>
        <w:t>ника т. Крупенина и от командира 16-й гвардейской танковой бригады гвардии подполковника т. Филипенко. Мною взяты также копии донесений пом. командиров по технической части 16 и 17-й гвардейских танковых бригад по приборам ночного вождения и минным тралам.</w:t>
      </w:r>
    </w:p>
    <w:p w14:paraId="04ADF5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я лично беседовал с командирами танков, на танках которых были установлены приборы и тралы.</w:t>
      </w:r>
    </w:p>
    <w:p w14:paraId="20A93F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всего я пришел к следующим выводам:</w:t>
      </w:r>
    </w:p>
    <w:p w14:paraId="180836F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 приборам ночного вождения.</w:t>
      </w:r>
    </w:p>
    <w:p w14:paraId="0E31266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Приборы ночного вождения танков, изготовленные ОКБ ВЭИ в 1942 году в количестве 25 комп</w:t>
      </w:r>
      <w:r w:rsidRPr="00722885">
        <w:rPr>
          <w:rFonts w:ascii="Times New Roman" w:hAnsi="Times New Roman"/>
          <w:color w:val="000000" w:themeColor="text1"/>
          <w:sz w:val="16"/>
          <w:szCs w:val="16"/>
        </w:rPr>
        <w:softHyphen/>
        <w:t>лектов, в войсковых частях фронта себя не оправдали. Танкисты приборами не могли пользоваться как в боевых условиях, так и вдали от поля боя по следующим основным причинам:</w:t>
      </w:r>
    </w:p>
    <w:p w14:paraId="0E9A14C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Слабая видимость через прибор рельефа местности и в особенности плохо различается полот</w:t>
      </w:r>
      <w:r w:rsidRPr="00722885">
        <w:rPr>
          <w:rFonts w:ascii="Times New Roman" w:hAnsi="Times New Roman"/>
          <w:color w:val="000000" w:themeColor="text1"/>
          <w:sz w:val="16"/>
          <w:szCs w:val="16"/>
        </w:rPr>
        <w:softHyphen/>
        <w:t>но дорог.</w:t>
      </w:r>
    </w:p>
    <w:p w14:paraId="481B0E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Мала ширина поля видимости (5-6 метров).</w:t>
      </w:r>
    </w:p>
    <w:p w14:paraId="51147EE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Мала дальность видения через прибор (20-25 метров).</w:t>
      </w:r>
    </w:p>
    <w:p w14:paraId="1A55645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Фары не защищены от пуль.</w:t>
      </w:r>
    </w:p>
    <w:p w14:paraId="58F76A8B"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Наблюдая работу войсковых частей на фронте, я пришел к заключению, что в дальнейшем тре</w:t>
      </w:r>
      <w:r w:rsidRPr="00722885">
        <w:rPr>
          <w:i w:val="0"/>
          <w:iCs w:val="0"/>
          <w:color w:val="000000" w:themeColor="text1"/>
          <w:spacing w:val="0"/>
          <w:kern w:val="0"/>
          <w:position w:val="0"/>
          <w:sz w:val="16"/>
          <w:szCs w:val="16"/>
        </w:rPr>
        <w:softHyphen/>
        <w:t>буется изготовлять прибор ночного вождения главным образом для ночных боев, но не для вожде</w:t>
      </w:r>
      <w:r w:rsidRPr="00722885">
        <w:rPr>
          <w:i w:val="0"/>
          <w:iCs w:val="0"/>
          <w:color w:val="000000" w:themeColor="text1"/>
          <w:spacing w:val="0"/>
          <w:kern w:val="0"/>
          <w:position w:val="0"/>
          <w:sz w:val="16"/>
          <w:szCs w:val="16"/>
        </w:rPr>
        <w:softHyphen/>
        <w:t>ния танков вдали от поля боя. Так, во время моего пребывания на Донском фронте, мне пришлось на</w:t>
      </w:r>
      <w:r w:rsidRPr="00722885">
        <w:rPr>
          <w:i w:val="0"/>
          <w:iCs w:val="0"/>
          <w:color w:val="000000" w:themeColor="text1"/>
          <w:spacing w:val="0"/>
          <w:kern w:val="0"/>
          <w:position w:val="0"/>
          <w:sz w:val="16"/>
          <w:szCs w:val="16"/>
        </w:rPr>
        <w:softHyphen/>
        <w:t>блюдать, когда 1 -и гвардейский танковый корпус совершал ночной марш по фронту от г. Калач до се</w:t>
      </w:r>
      <w:r w:rsidRPr="00722885">
        <w:rPr>
          <w:i w:val="0"/>
          <w:iCs w:val="0"/>
          <w:color w:val="000000" w:themeColor="text1"/>
          <w:spacing w:val="0"/>
          <w:kern w:val="0"/>
          <w:position w:val="0"/>
          <w:sz w:val="16"/>
          <w:szCs w:val="16"/>
        </w:rPr>
        <w:softHyphen/>
        <w:t>ла Трохина на расстояние 50-60 км при полном свете фар.</w:t>
      </w:r>
    </w:p>
    <w:p w14:paraId="26BF49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16-я гвардейская танковая бригада (по докладу командиров бригады) совершала глубокий рейд по тылам противника, в районе Перелазовский — г. Калач, также при полном свете фар.</w:t>
      </w:r>
    </w:p>
    <w:p w14:paraId="138258D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Ночные передвижения автомашин и танков на Донском фронте в настоящее время производят</w:t>
      </w:r>
      <w:r w:rsidRPr="00722885">
        <w:rPr>
          <w:rFonts w:ascii="Times New Roman" w:hAnsi="Times New Roman"/>
          <w:color w:val="000000" w:themeColor="text1"/>
          <w:sz w:val="16"/>
          <w:szCs w:val="16"/>
        </w:rPr>
        <w:softHyphen/>
        <w:t>ся при полном свете фар. Следовательно, практика вождения машин на фронте показывает, что нет надобности в специальных ночных приборах для вождения машин вдали от противника.</w:t>
      </w:r>
    </w:p>
    <w:p w14:paraId="0A960B1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Вывод:</w:t>
      </w:r>
    </w:p>
    <w:p w14:paraId="393532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Приборы ночного вождения, изготовленные ОКБ ВЭИ в 1942 году, в серийное производство до</w:t>
      </w:r>
      <w:r w:rsidRPr="00722885">
        <w:rPr>
          <w:rFonts w:ascii="Times New Roman" w:hAnsi="Times New Roman"/>
          <w:color w:val="000000" w:themeColor="text1"/>
          <w:sz w:val="16"/>
          <w:szCs w:val="16"/>
        </w:rPr>
        <w:softHyphen/>
        <w:t>пускать нельзя. Следует разработать новые приборы, которые обеспечивали бы видимость с шири</w:t>
      </w:r>
      <w:r w:rsidRPr="00722885">
        <w:rPr>
          <w:rFonts w:ascii="Times New Roman" w:hAnsi="Times New Roman"/>
          <w:color w:val="000000" w:themeColor="text1"/>
          <w:sz w:val="16"/>
          <w:szCs w:val="16"/>
        </w:rPr>
        <w:softHyphen/>
        <w:t>ной сектора не менее 10-12 метров. Дальность видения должна быть не менее 50 метров. Четкость видения прибора должна обеспечить хорошую видимость как рельефа местности, так и полотна до</w:t>
      </w:r>
      <w:r w:rsidRPr="00722885">
        <w:rPr>
          <w:rFonts w:ascii="Times New Roman" w:hAnsi="Times New Roman"/>
          <w:color w:val="000000" w:themeColor="text1"/>
          <w:sz w:val="16"/>
          <w:szCs w:val="16"/>
        </w:rPr>
        <w:softHyphen/>
        <w:t>рог. Одновременно к прибору ночного вождения необходимо разработать и командирский прибор для наблюдения и стрельбы из танка на дистанцию 200-250 метров. В совместном сочетании прибо</w:t>
      </w:r>
      <w:r w:rsidRPr="00722885">
        <w:rPr>
          <w:rFonts w:ascii="Times New Roman" w:hAnsi="Times New Roman"/>
          <w:color w:val="000000" w:themeColor="text1"/>
          <w:sz w:val="16"/>
          <w:szCs w:val="16"/>
        </w:rPr>
        <w:softHyphen/>
        <w:t>ра ночного вождения и командирского прибора можно будет использовать приборы ночного вож</w:t>
      </w:r>
      <w:r w:rsidRPr="00722885">
        <w:rPr>
          <w:rFonts w:ascii="Times New Roman" w:hAnsi="Times New Roman"/>
          <w:color w:val="000000" w:themeColor="text1"/>
          <w:sz w:val="16"/>
          <w:szCs w:val="16"/>
        </w:rPr>
        <w:softHyphen/>
        <w:t>дения для выполнения танками боевых задач в ночное время. Однако при сочетании двух видов приборов ночного видения они могут иметь крайне ограниченное применение, как-то при проры</w:t>
      </w:r>
      <w:r w:rsidRPr="00722885">
        <w:rPr>
          <w:rFonts w:ascii="Times New Roman" w:hAnsi="Times New Roman"/>
          <w:color w:val="000000" w:themeColor="text1"/>
          <w:sz w:val="16"/>
          <w:szCs w:val="16"/>
        </w:rPr>
        <w:softHyphen/>
        <w:t>ве танками укрепленных районов. В рейдах в тылу противника и других наступательных операци</w:t>
      </w:r>
      <w:r w:rsidRPr="00722885">
        <w:rPr>
          <w:rFonts w:ascii="Times New Roman" w:hAnsi="Times New Roman"/>
          <w:color w:val="000000" w:themeColor="text1"/>
          <w:sz w:val="16"/>
          <w:szCs w:val="16"/>
        </w:rPr>
        <w:softHyphen/>
        <w:t>ях, приборы ночного вождения, установленные на танках, будут использоваться реже. Исходя из того, что приборы все же в некоторых ночных операциях могут найти свое применение, целесооб</w:t>
      </w:r>
      <w:r w:rsidRPr="00722885">
        <w:rPr>
          <w:rFonts w:ascii="Times New Roman" w:hAnsi="Times New Roman"/>
          <w:color w:val="000000" w:themeColor="text1"/>
          <w:sz w:val="16"/>
          <w:szCs w:val="16"/>
        </w:rPr>
        <w:softHyphen/>
        <w:t>разно в дальнейшем изготовить несколько комплектов приборов ночного видения, установить их на танках и испытать в боевых условиях, и только после этого можно будет решить вопрос о серий</w:t>
      </w:r>
      <w:r w:rsidRPr="00722885">
        <w:rPr>
          <w:rFonts w:ascii="Times New Roman" w:hAnsi="Times New Roman"/>
          <w:color w:val="000000" w:themeColor="text1"/>
          <w:sz w:val="16"/>
          <w:szCs w:val="16"/>
        </w:rPr>
        <w:softHyphen/>
        <w:t>ном производстве приборов ночного вождения и командирских приборах для наблюдения и стрель</w:t>
      </w:r>
      <w:r w:rsidRPr="00722885">
        <w:rPr>
          <w:rFonts w:ascii="Times New Roman" w:hAnsi="Times New Roman"/>
          <w:color w:val="000000" w:themeColor="text1"/>
          <w:sz w:val="16"/>
          <w:szCs w:val="16"/>
        </w:rPr>
        <w:softHyphen/>
        <w:t>бы из танка.</w:t>
      </w:r>
    </w:p>
    <w:p w14:paraId="48DC3FB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По минным тралам.</w:t>
      </w:r>
    </w:p>
    <w:p w14:paraId="4485FBB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Практика работы в войсковых частях фронта с минными тралами показала, что тралы себя оп</w:t>
      </w:r>
      <w:r w:rsidRPr="00722885">
        <w:rPr>
          <w:rFonts w:ascii="Times New Roman" w:hAnsi="Times New Roman"/>
          <w:color w:val="000000" w:themeColor="text1"/>
          <w:sz w:val="16"/>
          <w:szCs w:val="16"/>
        </w:rPr>
        <w:softHyphen/>
        <w:t>равдывают и они необходимы для танковых частей. Но войсковые части пока не научились в боевых условиях эффективно использовать их (используют разрозненно). Необходимо в этом отношении подсказать и научить войска в пользовании тралами.</w:t>
      </w:r>
    </w:p>
    <w:p w14:paraId="6316955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Необходимо также разработать перевозочное средство для тралов, ибо войска не имеют в насто</w:t>
      </w:r>
      <w:r w:rsidRPr="00722885">
        <w:rPr>
          <w:rFonts w:ascii="Times New Roman" w:hAnsi="Times New Roman"/>
          <w:color w:val="000000" w:themeColor="text1"/>
          <w:sz w:val="16"/>
          <w:szCs w:val="16"/>
        </w:rPr>
        <w:softHyphen/>
        <w:t>ящее [время] своих перевозочных средств, в силу чего они зачастую бросают тралы как на поле боя, так и до подхода к полю боя.</w:t>
      </w:r>
    </w:p>
    <w:p w14:paraId="746B053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 материал от 1 -го гвардейского танкового корпуса на 5-ти листах по использованию и применению приборов ночного вождения и минных тралов.</w:t>
      </w:r>
    </w:p>
    <w:p w14:paraId="48B4D39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 начальника 3 отдела БТУ ГАБТУ КА подполковник Дорофеев</w:t>
      </w:r>
    </w:p>
    <w:p w14:paraId="5C255C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11355. Д. 1423. Л. 13-14. Подлинник (11211).</w:t>
      </w:r>
    </w:p>
    <w:p w14:paraId="20654F3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99C62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декабря 1942 вышло Постановление ГКО № 2636 О мерах обеспечения топливом электростанций Саратовского энергокомбината. РГАНИР, Фонд ГКО, д. 73, лл. 57-61, 62-63 (11012).</w:t>
      </w:r>
    </w:p>
    <w:p w14:paraId="2F8D9F3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721894C"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C9D08AC" w14:textId="77777777" w:rsidR="00BB6316" w:rsidRPr="00722885" w:rsidRDefault="00BB6316" w:rsidP="00722885">
      <w:pPr>
        <w:pStyle w:val="Iauiue"/>
        <w:jc w:val="both"/>
        <w:rPr>
          <w:iCs/>
          <w:color w:val="000000" w:themeColor="text1"/>
          <w:sz w:val="16"/>
          <w:szCs w:val="16"/>
        </w:rPr>
      </w:pPr>
    </w:p>
    <w:p w14:paraId="7F625CB6"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17 декабря </w:t>
      </w:r>
      <w:r w:rsidRPr="00722885">
        <w:rPr>
          <w:rFonts w:ascii="Times New Roman" w:hAnsi="Times New Roman"/>
          <w:color w:val="000000" w:themeColor="text1"/>
          <w:sz w:val="16"/>
          <w:szCs w:val="16"/>
        </w:rPr>
        <w:t>в 1942 году утреннее сообщение Совинформбюро</w:t>
      </w:r>
    </w:p>
    <w:p w14:paraId="7B8BB51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17 декабря в районе Сталинграда и на Центральном фронте наши войска продолжали вести наступательные бои на прежних направлениях.</w:t>
      </w:r>
    </w:p>
    <w:p w14:paraId="39AF20A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Чёрном море сожжён транспорт противника водоизмещением в 5.000 тонн и потоплен большой сторожевой катер. Отмечено также прямое попадание снарядов в миноносец противника.</w:t>
      </w:r>
    </w:p>
    <w:p w14:paraId="0E85674A"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подразделения окружили и взяли штурмом несколько укреплённых зданий. Уничтожено 160 вражеских солдат и офицеров. На южной окраине города огнём нашей артиллерии рассеяно и частью уничтожено до роты немецкой пехоты, разрушено 6 дзотов и 2 блиндажа, подавлен огонь миномётной и 3 артиллерийских батарей противника.</w:t>
      </w:r>
    </w:p>
    <w:p w14:paraId="2ED83E9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Северо-западнее Сталинграда наши войска укрепляли занимаемые позиции и вели огневой бой с противником. На одном участке бойцы Н-ской части истребили до 300 гитлеровцев. Огнём артиллерии разрушено 12 вражеских дзотов и подавлено 6огневых точек. Захвачено 15 пулемётов, 8 миномётов и 800 противотанковых мин. </w:t>
      </w:r>
      <w:r w:rsidRPr="00722885">
        <w:rPr>
          <w:rFonts w:ascii="Times New Roman" w:hAnsi="Times New Roman"/>
          <w:color w:val="000000" w:themeColor="text1"/>
          <w:sz w:val="16"/>
          <w:szCs w:val="16"/>
        </w:rPr>
        <w:lastRenderedPageBreak/>
        <w:t>На другом участке наши части отбили несколько контратак немецкой пехоты, действовавшей при поддержке танков. В результате боёв подбито и сожжено 8 немецких танков и уничтожено две роты немецкой пехоты.</w:t>
      </w:r>
    </w:p>
    <w:p w14:paraId="38E56C30"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части с боями продвинулись вперёд и заняли укреплённые позиции противника. Немцы потеряли убитыми и ранеными до 400 солдат и офицеров. На поле боя подобрано много оружия, брошенного немцами. На другом участке советские танкисты преследовали противника и уничтожили 9 танков, 11 противотанковых орудий, 14 автомашин и свыше роты гитлеровцев. Захвачены трофеи и пленные.</w:t>
      </w:r>
    </w:p>
    <w:p w14:paraId="54743EA9"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в районе западнее Ржева Н-ская часть выбила немцев из опорного пункта. Развивая успех, советские бойцы очистили от гитлеровцев один за другим пять населённых пунктов. Уничтожено до 2 батальонов немецкой пехоты, 24 танка, 20 орудий, 80 пулемётных точек, 95 дзотов и 2 склада с боеприпасами. Захвачено 3 склада с продовольствием и обмундированием, 32 автомашины и другое военное имущество.</w:t>
      </w:r>
    </w:p>
    <w:p w14:paraId="0A94AF5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противник пытался пробиться к немецкому гарнизону, блокированному нашими войсками в одном населённом пункте. Наши части отбили все атаки гитлеровцев и нанесли им тяжёлые потери. Уничтожено 8 немецких танков и 4 бронемашины.</w:t>
      </w:r>
    </w:p>
    <w:p w14:paraId="05175D3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лётчики части, где командиром т. Галунов, совершили налёт на вражеский аэродром, где находилось до 40 самолётов. Немцы, застигнутые врасплох, не оказали серьёзного сопротивления. Бомбами, а также огнём пушек и пулемётов уничтожено 18 и повреждено 3 вражеских самолёта. B этот же день советские лётчики бомбили другой аэродром противника, на котором уничтожили 13 самолётов.</w:t>
      </w:r>
    </w:p>
    <w:p w14:paraId="6C5F10A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«В бой за Родину», действующий в Орловской области, в бою с немецким карательным отрядом истребил 25 вражеских солдат. За месяц партизаны этого отряда подорвали 4 воинских эшелона противника. При крушениях разбито 40 вагонов, паровоз и убито много гитлеровцев.</w:t>
      </w:r>
    </w:p>
    <w:p w14:paraId="160F513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Затратив огромные усилия и средства, немцы восстановили в городе Клинцах, Орловской области, несколько небольших предприятий. Силой оружия гитлеровцы загнали в цехи советских граждан и предложили им начать работу по выполнению заказов для немецкой армии. Советские патриоты поломали оборудование предприятий и скрылись. Немцы обрушили на головы советских людей жестокие репрессии. Гестаповцы произвели многочисленные аресты и расстреляли десятки людей. Несмотря на все принятые немцами чрезвычайные меры, предприятия бездействуют по сей день.» (14863).</w:t>
      </w:r>
    </w:p>
    <w:p w14:paraId="64AC077E"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36A85C6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17 декабря </w:t>
      </w:r>
      <w:r w:rsidRPr="00722885">
        <w:rPr>
          <w:rFonts w:ascii="Times New Roman" w:hAnsi="Times New Roman"/>
          <w:color w:val="000000" w:themeColor="text1"/>
          <w:sz w:val="16"/>
          <w:szCs w:val="16"/>
        </w:rPr>
        <w:t>в 1942 году вечернее сообщение Совинформбюро:</w:t>
      </w:r>
    </w:p>
    <w:p w14:paraId="73EE4112"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17 декабря наши войска в районе Сталинграда и на Центральном фронте продолжали вести наступательные бои на прежних направлениях.</w:t>
      </w:r>
    </w:p>
    <w:p w14:paraId="1643455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уточнённым данным, при занятии населённого пункта западнее Суровикина наши войска захватили не 305 орудий, как об этом сообщалось ранее, а 580 орудий разных калибров. Кроме трофеев, уже перечисленных во вчерашнем вечернем сообщении,западнее Суровикина захвачены 15 танков, 26 танкеток и бронемашин, 65 миномётов, 205 станковых пулемётов, 650 противотанковых ружей, 3.510 винтовок, 940 мотоциклов, 140 автомоторов, 2.500 снарядов, 570 ящиков винтовочных патронов, 25 ящиков патронов к крупнокалиберным пулемётам, 160 ящиков патронов к противотанковым ружьям, 200 ящиков мин, 143 ящика ручных гранат, 10.000 бензобаков, 7 вагонов медицинского имущества, 3 продовольственных склада, и другие трофеи.</w:t>
      </w:r>
    </w:p>
    <w:p w14:paraId="2DC76FA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16 декабря в районе Сталинграда уничтожено 7 транспортных самолётов противника.</w:t>
      </w:r>
    </w:p>
    <w:p w14:paraId="5713F040"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декабря частями нашей авиации на различных участках фронта уничтожено или повреждено 15 немецких танков, до 200 автомашин с войсками и грузами, сожжено 20 автоцистерн с горючим, подавлен огонь 10 артиллерийских батарей, разбито 2 железнодорожных состава, рассеяно и частью уничтожено до двух рот пехоты противника.</w:t>
      </w:r>
    </w:p>
    <w:p w14:paraId="32F4AE2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наши войска вели перестрелку с противником. На северо-западной окраине города группа наших бойцов проникла в тыл противника и обстреляла вражескую колонну. Убито до 50 гитлеровцев. На южной окраине города огнём артиллерии уничтожены артиллерийская батарея немцев и до роты вражеской пехоты.</w:t>
      </w:r>
    </w:p>
    <w:p w14:paraId="6FC8EA86"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занимаемые рубежи и вели огневой бой с противником. Н-ская часть истребила до 350 гитлеровцев, уничтожила 3 немецких танка, 10 пулемётов, орудие и разрушила 7 блиндажей. На другому частке до роты немцев пыталось просочиться в тыл нашего подразделения. Гитлеровцы были обстреляны залповым огнём и отошли, оставив на поле боя несколько десятков трупов. Юго-западнее Сталинграда наши войска частью силпродолжали наступательные бои. Советские танкисты юго-восточнее Суровикина истребили 1.235 вражеских солдат и офицеров, подбили 5 танков, уничтожили 30 орудий, 12 повозок с грузами, разрушили 52 блиндажа и взяли в плен 70 гитлеровцев. На другом участке наши бойцы отразили атаку немецкой мотопехоты, поддержанной 30 танками. В результате боя подбито 7 танков и сожжено 14 автомашин противника.</w:t>
      </w:r>
    </w:p>
    <w:p w14:paraId="09D9FBE9"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наступательные бои и на отдельных участках отбивали контратаки противника. В районе западнее Ржева бойцы части, где командиром тов. Верехин, разгромили сильно укреплённый противником узел обороны.</w:t>
      </w:r>
    </w:p>
    <w:p w14:paraId="0AA1DC69"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подразделения под командованием тов. Панченко, отражая контратаки противника, за два дня истребили до батальона немецкой пехоты.</w:t>
      </w:r>
    </w:p>
    <w:p w14:paraId="7E91558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подразделения заняли несколько вражеских блиндажей и уничтожили до роты гитлеровцев. Огнём зенитной артиллерии сбито два немецких самолёта.</w:t>
      </w:r>
    </w:p>
    <w:p w14:paraId="288BDEE9"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совершил налёт на немецкий гарнизон, расположенныйв одном районном центре. Советские патриоты истребили до 500 вражеских солдат и офицеров, уничтожили 2 бронемашины, разрушили узел связи, электростанцию, взорвали 2 моста и 7 зданий, в которых размещались немецкие учреждения. Партизаны захватили орудие, 4 пулемёта, 13 автоматов, 150 винтовок, 18 револьверов, 2 мотоцикла, 50 велосипедов, 2 радиостанции, склад с продовольствием и обмундированием.</w:t>
      </w:r>
    </w:p>
    <w:p w14:paraId="18F35EA6"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грабят жителей городов и сёл Советской Латвии. В первые дни оккупации гитлеровцы врывались в дома и забирали всё, что им попадалось на глаза: продовольствие, одежду, ценные вещи. Теперь немецкие захватчики установили непомерно высокие и совершенно непосильные натуральные и денежные налоги. Немцы забирают целиком весь урожай зерновых, оставляя крестьянам лишь по 11 килограммов хлеба. Урожай льна и других технических культур должен быть сдан немцам полностью. Этот неприкрытый грабёж рассчитан на разорение и истребление латвийского крестьянства. Уже сейчас во многих деревнях царит страшная нужда. Десятки людей умирают от голода и от различных эпидемий, возникших на почве недоедания.»</w:t>
      </w:r>
    </w:p>
    <w:p w14:paraId="4B82BD2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Очередная ложь немцев об окружении советских войск.</w:t>
      </w:r>
    </w:p>
    <w:p w14:paraId="719F598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«Гитлеровская ставка опубликовала сообщение о том, что немецкие войска якобы окружили и уничтожили у города Торопца группу советских войск. В этом сообщении говорится: «Потери советских войск в районе Торопца составили 15 тысяч убитыми и 4217 пленными, 542 танка и разведывательных бронемашины и большое количество лёгкого и тяжёлого оружия, более 1.000 грузовиков и другого военного материала». В этом сообщении от начала до конца нет ни слова правды. По количеству нагромождённой здесь беспардонной лжи гитлеровцы превзошли самих себя. О каком окружении у Торопца говорят запутавшиеся и изолгавшиеся вконец гитлеровцы? Красная Армия отбросила немецко-фашистские войска от Торопца более чем на 70 километров на запад и более чем на 100 километров на юг и юго-восток ещё зимой 1941—1942 годов, и этот город с полным основанием можно считать тыловым советским городом, где не слышно даже залпов тяжёлых орудий. Если у Торопца в настоящее время и находятся немцы, то только лишь в качестве военнопленных.</w:t>
      </w:r>
    </w:p>
    <w:p w14:paraId="0939AFF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самом деле в последнее время происходили бои не в районе Торопца, а в районе города Белого, причём наступали здесь не немцы, а советские войска. В ходе этих боёв наши части наголову разгромили 33 немецкий танковый полк вместе со штабом, 216 пехотный полк и 13 егерский батальон. Немцы потеряли в этих боях убитыми свыше 7.000 солдат и офицеров, 110 танков, до 57 орудий, до 100 пулемётов, 860 автомашин, 10 конных обозов. Наши части взорвали 5 складов с боеприпасами, 3 склада с горючим и уничтожили на одном из аэродромов 17 самолётов противника.</w:t>
      </w:r>
    </w:p>
    <w:p w14:paraId="052135C9"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этих боях наши войска потеряли 2.000 человек убитыми и 115 человек пропавшими без вести, 70 танков, 48 орудий, 360 автомашин.</w:t>
      </w:r>
    </w:p>
    <w:p w14:paraId="66190E5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Таковы действительные итоги боёв в районе города Белого. Факт опубликования немцами ещё одного лживого сообщения весьма показателен. Он говорит о том, что дела у гитлеровцев день ото дня идут всё хуже. Именно поэтому они, как говорит русская пословица, и наводят тень на плетень. Гитлеровское командование боится сказать немцам правду о положении на советско-германском фронте. Ну что ж, эту правду скажет Советское Информбюро опубликованием настоящего сообщения.» (14863).</w:t>
      </w:r>
    </w:p>
    <w:p w14:paraId="6A4769BB"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50B01422"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17 декабря </w:t>
      </w:r>
      <w:r w:rsidRPr="00722885">
        <w:rPr>
          <w:rFonts w:ascii="Times New Roman" w:hAnsi="Times New Roman"/>
          <w:color w:val="000000" w:themeColor="text1"/>
          <w:sz w:val="16"/>
          <w:szCs w:val="16"/>
        </w:rPr>
        <w:t>в 1942 году во время Великой Отечественной войны начался семидневный рейд по вражеским тылам 24-го танкового корпуса генерал-майора В.М.Баданова. В ходе рейда фашисты потеряли 431 самолет, 84 танка, 106 орудий, более 16 тыс. солдат и офицеров. За этот рейд корпус преобразован во 2-й гвардейский, а его командир произведен в генерал-лейтенанты и награжден орденом Суворова 2-й степени за № 1 (14863).</w:t>
      </w:r>
    </w:p>
    <w:p w14:paraId="0E013718"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5FAB45E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17 декабря 1942 начался семидневный рейд по тылам 24ТК г-м В.М.Багданова. В ходе рейда фашисты потеряли 431 самолет, 84 танка, 106 орудий и более 16 тыс. солдат и офицеров. Преобразовали во 2ГТК (3398,441).</w:t>
      </w:r>
    </w:p>
    <w:p w14:paraId="48A63D09" w14:textId="77777777" w:rsidR="00BB6316" w:rsidRPr="00722885" w:rsidRDefault="00BB6316" w:rsidP="00722885">
      <w:pPr>
        <w:pStyle w:val="Iauiue"/>
        <w:jc w:val="both"/>
        <w:rPr>
          <w:color w:val="000000" w:themeColor="text1"/>
          <w:sz w:val="16"/>
          <w:szCs w:val="16"/>
        </w:rPr>
      </w:pPr>
    </w:p>
    <w:p w14:paraId="2C8054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декабря 1942 вышло Постановление ГКО № 2635 О назначении т. Булатова В.С. уполномоченным Центрального штаба партизанского движения по Крымской АССР. РГАНИР, Фонд ГКО, д. 73, лл. 56 (11012).</w:t>
      </w:r>
    </w:p>
    <w:p w14:paraId="52495C2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3603F3E"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17 декабря 1942 вышло Постановление ГКО № 2637 О порядке присвоения начальствующему составу Красной Армии воинского звания полковник. (7067, 64).</w:t>
      </w:r>
    </w:p>
    <w:p w14:paraId="7E6724E1" w14:textId="77777777" w:rsidR="00BB6316" w:rsidRPr="00722885" w:rsidRDefault="00BB6316" w:rsidP="00722885">
      <w:pPr>
        <w:pStyle w:val="Iauiue"/>
        <w:tabs>
          <w:tab w:val="left" w:pos="11199"/>
        </w:tabs>
        <w:jc w:val="both"/>
        <w:rPr>
          <w:color w:val="000000" w:themeColor="text1"/>
          <w:sz w:val="16"/>
          <w:szCs w:val="16"/>
        </w:rPr>
      </w:pPr>
    </w:p>
    <w:p w14:paraId="55FED980"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CEAF6D1" w14:textId="77777777" w:rsidR="00BB6316" w:rsidRPr="00722885" w:rsidRDefault="00BB6316" w:rsidP="00722885">
      <w:pPr>
        <w:pStyle w:val="Iauiue"/>
        <w:jc w:val="both"/>
        <w:rPr>
          <w:iCs/>
          <w:color w:val="000000" w:themeColor="text1"/>
          <w:sz w:val="16"/>
          <w:szCs w:val="16"/>
        </w:rPr>
      </w:pPr>
    </w:p>
    <w:p w14:paraId="4002DEF5"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декабря 1942 г. в Мариене Хейнкель рискнул провести показательный поединок между Не 280V-3 и FW 190. Используя превосходство в скорости и скороподъемности, виртуоз воздушного боя Шефер одержал победу и в тот же день перегнал самолет из Мариене в Рехлин, где показал его Мильху. Полет продолжался всего 12 минут. Сразу после этого Хейнкель представил проект глубокой модернизации Не 280. Истребитель должен был иметь увеличенную дальность полета с двумя двигателями Jumo 004B, однокилевое ВО, шесть пушек MG 151. Принятыми мерами удалось добиться разрешения на завершение строительства самолетов опытной партии и обещания RLM заказать 300 серийных Не 280.</w:t>
      </w:r>
    </w:p>
    <w:p w14:paraId="49302070"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Однако в письме от 27 марта 1943 г. Мильх известил Хейнкеля о решении аннулировать программу Не 280 в пользу реактивного истребителя Мессершмитта, обосновывая его тем, что в сложившихся условиях нет возможности реализовывать обе программы (22774).</w:t>
      </w:r>
    </w:p>
    <w:p w14:paraId="565954CF" w14:textId="77777777" w:rsidR="00445F8C" w:rsidRPr="00722885" w:rsidRDefault="00445F8C" w:rsidP="00722885">
      <w:pPr>
        <w:spacing w:after="0" w:line="240" w:lineRule="auto"/>
        <w:jc w:val="both"/>
        <w:rPr>
          <w:rFonts w:ascii="Times New Roman" w:hAnsi="Times New Roman"/>
          <w:color w:val="0070C0"/>
          <w:sz w:val="16"/>
          <w:szCs w:val="16"/>
        </w:rPr>
      </w:pPr>
    </w:p>
    <w:p w14:paraId="0FE671B7"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декабря 1942 года был облетан опытный G4M2, который делали почти год. Машина получила новое крыло с ламинарным профилем малого сопротивления и увеличенное горизонтальное оперение. Моторы МK4Р «Казей 21» по 1800 л.с. позволили увеличить взлетный вес до 12500 кг, а запас топлива до 6490 л. Бортовые пулеметы сняли — считалось, что их заменит новая механизированная турель с пулеметом Тип 92 калибра 7,92 мм на фюзеляже.</w:t>
      </w:r>
    </w:p>
    <w:p w14:paraId="16A535F3"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начале 1943-го было построено еще три таких машины, причем третий прототип имел новые выступающие створки бомбоотсека, решившие главную проблему — раньше при подвеске бомб тяжелее 50 кг их приходилось снимать, что резко увеличивало сопротивление и снижало скорость. Чтобы ускорить поставки, военные согласились принять машину с дефектом — тряской моторов MK4P. Серия пошла в июле 1943 года на заводах «Мицубиси» в Нагое и Окаяме, но новые створки внедрили только с 65-го самолета. Со 105-й машины старый телескопический бомбардировочный прицел заменили новым автоматическим синхронно-векторным, для которого сделали плоскую панель в остеклении. В базовом варианте было построено 274 самолета G4M2 Модель 22, еще 155 вышли с цехов модифицированными. На модели 22-Ко была установлена радиолокационная станция Тип 3-Ku Модель 6 для обнаружения морских целей (ее антенны расположены на хвостовой части), а в боковых установках смонтированы 20-мм пушки Тип 99 Модель 1. Модель 22-Otsu отличалась пушкой Тип 99 Модель 2 с удлиненным стволом в верхней турели (22842).</w:t>
      </w:r>
    </w:p>
    <w:p w14:paraId="5B137528" w14:textId="77777777" w:rsidR="00445F8C" w:rsidRPr="00722885" w:rsidRDefault="00445F8C" w:rsidP="00722885">
      <w:pPr>
        <w:spacing w:after="0" w:line="240" w:lineRule="auto"/>
        <w:jc w:val="both"/>
        <w:rPr>
          <w:rFonts w:ascii="Times New Roman" w:hAnsi="Times New Roman"/>
          <w:color w:val="0070C0"/>
          <w:sz w:val="16"/>
          <w:szCs w:val="16"/>
        </w:rPr>
      </w:pPr>
    </w:p>
    <w:p w14:paraId="3EC989FF"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17 декабря 1942 проводится разведывательный и бомбардировочный налет ВВС США на Амчитку на Алеутских островах, разрушая все здания в заброшенной алеутской деревне, хотя на острове нет японцев (20793).</w:t>
      </w:r>
    </w:p>
    <w:p w14:paraId="54BFDC98" w14:textId="77777777" w:rsidR="00445F8C" w:rsidRPr="00722885" w:rsidRDefault="00445F8C" w:rsidP="00722885">
      <w:pPr>
        <w:spacing w:after="0" w:line="240" w:lineRule="auto"/>
        <w:jc w:val="both"/>
        <w:rPr>
          <w:rFonts w:ascii="Times New Roman" w:hAnsi="Times New Roman"/>
          <w:color w:val="0070C0"/>
          <w:sz w:val="16"/>
          <w:szCs w:val="16"/>
        </w:rPr>
      </w:pPr>
    </w:p>
    <w:p w14:paraId="4D0B784E"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17 декабря 1942 министр иностранных дел Англии Иден доложил парламенту о массовых казнях евреев в нацистской Германии (4962).</w:t>
      </w:r>
    </w:p>
    <w:p w14:paraId="4C133402" w14:textId="77777777" w:rsidR="00BB6316" w:rsidRPr="00722885" w:rsidRDefault="00BB6316" w:rsidP="00722885">
      <w:pPr>
        <w:pStyle w:val="Iauiue"/>
        <w:tabs>
          <w:tab w:val="left" w:pos="11199"/>
        </w:tabs>
        <w:jc w:val="both"/>
        <w:rPr>
          <w:color w:val="000000" w:themeColor="text1"/>
          <w:sz w:val="16"/>
          <w:szCs w:val="16"/>
        </w:rPr>
      </w:pPr>
    </w:p>
    <w:p w14:paraId="17BF0B3E"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17 1942 British Foreign Secretary Eden tells British House of Commons of mass executions of Jews by Nazis; U.S. declares those crimes will be avenged (1050).</w:t>
      </w:r>
    </w:p>
    <w:p w14:paraId="171F0D30" w14:textId="77777777" w:rsidR="00BB6316" w:rsidRPr="00722885" w:rsidRDefault="00BB6316" w:rsidP="00722885">
      <w:pPr>
        <w:pStyle w:val="Iauiue"/>
        <w:jc w:val="both"/>
        <w:rPr>
          <w:color w:val="000000" w:themeColor="text1"/>
          <w:sz w:val="16"/>
          <w:szCs w:val="16"/>
          <w:lang w:val="en-US"/>
        </w:rPr>
      </w:pPr>
    </w:p>
    <w:p w14:paraId="1D499EB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17 декабря 1942 Иден сообщил Палате представителей о массовых казнях евреем и США сообщил, что это преступление будет отомщено (1050).</w:t>
      </w:r>
    </w:p>
    <w:p w14:paraId="2C5B8A42" w14:textId="77777777" w:rsidR="00BB6316" w:rsidRPr="00722885" w:rsidRDefault="00BB6316" w:rsidP="00722885">
      <w:pPr>
        <w:pStyle w:val="Iauiue"/>
        <w:jc w:val="both"/>
        <w:rPr>
          <w:color w:val="000000" w:themeColor="text1"/>
          <w:sz w:val="16"/>
          <w:szCs w:val="16"/>
        </w:rPr>
      </w:pPr>
    </w:p>
    <w:p w14:paraId="4ED3D866"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0219367" w14:textId="77777777" w:rsidR="00BB6316" w:rsidRPr="00722885" w:rsidRDefault="00BB6316" w:rsidP="00722885">
      <w:pPr>
        <w:pStyle w:val="Iauiue"/>
        <w:jc w:val="both"/>
        <w:rPr>
          <w:iCs/>
          <w:color w:val="000000" w:themeColor="text1"/>
          <w:sz w:val="16"/>
          <w:szCs w:val="16"/>
        </w:rPr>
      </w:pPr>
    </w:p>
    <w:p w14:paraId="1320A1C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1-й экз. самолета Ил-4 с 2М-88Б, оборудованный ТК-3, без герметической кабины, был выпущен на испытания, за два дня до установленного приказом срока.</w:t>
      </w:r>
    </w:p>
    <w:p w14:paraId="65EBDE9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 время заводских испытаний было выполнено 11 полетов, в которых была достигнута высота 7100 м вместо 9500 м по расчету.</w:t>
      </w:r>
    </w:p>
    <w:p w14:paraId="24C7D5C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Ввиду неудовлетворительной работы ВМГ с ТК самолет был передан 10 августа 1943 в ЛИИ согласно приказа НКАП N 444с от 24 июля 1943, без отработки ВМГ и ТК при участии ЦИАМа (1825,208).</w:t>
      </w:r>
    </w:p>
    <w:p w14:paraId="2161C5C2" w14:textId="77777777" w:rsidR="00BB6316" w:rsidRPr="00722885" w:rsidRDefault="00BB6316" w:rsidP="00722885">
      <w:pPr>
        <w:pStyle w:val="Iauiue"/>
        <w:jc w:val="both"/>
        <w:rPr>
          <w:color w:val="000000" w:themeColor="text1"/>
          <w:sz w:val="16"/>
          <w:szCs w:val="16"/>
        </w:rPr>
      </w:pPr>
    </w:p>
    <w:p w14:paraId="3EEC645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постановлением ГКО была вновь положительно оценена работа ЦАГИ по повышению скорости серийных истребителей (237,200).</w:t>
      </w:r>
    </w:p>
    <w:p w14:paraId="0DD3292B" w14:textId="77777777" w:rsidR="00BB6316" w:rsidRPr="00722885" w:rsidRDefault="00BB6316" w:rsidP="00722885">
      <w:pPr>
        <w:pStyle w:val="Iauiue"/>
        <w:jc w:val="both"/>
        <w:rPr>
          <w:color w:val="000000" w:themeColor="text1"/>
          <w:sz w:val="16"/>
          <w:szCs w:val="16"/>
        </w:rPr>
      </w:pPr>
    </w:p>
    <w:p w14:paraId="78DF00E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вышел приказ НКАП N 892сс "Об улучшении самолетов истребителей Як-1, Як-7, Ла-5" в исполнение постановления ГКО от 9 декабря 1942 (923,43).</w:t>
      </w:r>
    </w:p>
    <w:p w14:paraId="1E31A2A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Постановлением ГКО от 9 декабря 1942 г. “Об улучшении с-тов истребителей Як-1, Як-7, Ла-5, ГКО постановил:</w:t>
      </w:r>
    </w:p>
    <w:p w14:paraId="713A0F0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О с-те Як-1</w:t>
      </w:r>
    </w:p>
    <w:p w14:paraId="5B5F4D0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Принять к сведению, что завод № 292 выпускает серийные с-ты Як-1 с мотором М-105ПФ с улучшенными летными и боевыми данными:</w:t>
      </w:r>
    </w:p>
    <w:p w14:paraId="721A8BC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Скорость макс. у земли - 520 км/час</w:t>
      </w:r>
    </w:p>
    <w:p w14:paraId="7F70949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Скорость макс. на 3750 м - 580 км/час</w:t>
      </w:r>
    </w:p>
    <w:p w14:paraId="1D01ACF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Полетный вес - 2950 кг</w:t>
      </w:r>
    </w:p>
    <w:p w14:paraId="6456460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Улучшение летных и боевых качеств с-та, проведенные ГК А.С.Я. совместно с ЦАГИ и заводом № 292, состоят в следующем:</w:t>
      </w:r>
    </w:p>
    <w:p w14:paraId="5CC9EF8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по аэродинамике:</w:t>
      </w:r>
    </w:p>
    <w:p w14:paraId="49F8197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улучшена туннельная система водяного охлаждения</w:t>
      </w:r>
    </w:p>
    <w:p w14:paraId="4DF4CB6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улечшена туннельная система масляного ихлаждения</w:t>
      </w:r>
    </w:p>
    <w:p w14:paraId="432B457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установлен полностью убирающийся костылшь</w:t>
      </w:r>
    </w:p>
    <w:p w14:paraId="6E13EDE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улучшены выхлопные патрубки</w:t>
      </w:r>
    </w:p>
    <w:p w14:paraId="0D9A4EF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установлен обтекатель на выхлопные патрубки мотора</w:t>
      </w:r>
    </w:p>
    <w:p w14:paraId="73D465C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установлены щитки шасси, плотно прилегающе к крылу</w:t>
      </w:r>
    </w:p>
    <w:p w14:paraId="3651231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улучшены зализы хвостового оперения</w:t>
      </w:r>
    </w:p>
    <w:p w14:paraId="61BAF74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проведена герметизация перегородок фюзеляжа</w:t>
      </w:r>
    </w:p>
    <w:p w14:paraId="5CAC354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проведено общее улучшение внешней отделки</w:t>
      </w:r>
    </w:p>
    <w:p w14:paraId="5585D01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по вооружению и обзору</w:t>
      </w:r>
    </w:p>
    <w:p w14:paraId="098E067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установлен один пулемет БС 12,7 мм с запасом патронов 200 шт. вместо 2хШКАС и увеличен запас снарядов к ШВАК со 120 до 140 патронов.</w:t>
      </w:r>
    </w:p>
    <w:p w14:paraId="289B98F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улучшен фонарь кабины, обеспечивающий летчику обзор назад</w:t>
      </w:r>
    </w:p>
    <w:p w14:paraId="744908D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для улучшения обзора передний козырек сделан граненым и на нем установлена прозрачная броня</w:t>
      </w:r>
    </w:p>
    <w:p w14:paraId="30E5CFC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установлена прозрачная броня сзади летчика</w:t>
      </w:r>
    </w:p>
    <w:p w14:paraId="7B61599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установлено зеркало для обзора задней полусферы</w:t>
      </w:r>
    </w:p>
    <w:p w14:paraId="60B5D9B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эксплуатационные улучшения</w:t>
      </w:r>
    </w:p>
    <w:p w14:paraId="3B6DB9E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ликвидации забрызгивания переднего козырька пилота маслом установлены сальники на вал мотора.</w:t>
      </w:r>
    </w:p>
    <w:p w14:paraId="7B82129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улучшения доступа к оружию изменены и усилены верхняя крышка каптота мотора</w:t>
      </w:r>
    </w:p>
    <w:p w14:paraId="480FD06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Проведены работы по обеспечению безотказной работы с-та в зимних условиях</w:t>
      </w:r>
    </w:p>
    <w:p w14:paraId="21BA8CA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Считать важнейшей задачей НКАП и завода № 292 безусловное закреплдение в серийном производстве полученных летных данных истребителя Як-1, обеспечив дальнейший выпуск с данными, не ниже указанных в п. 1.</w:t>
      </w:r>
    </w:p>
    <w:p w14:paraId="0CB3CE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Принять к сведению сообщение НКАП (т.т. Шахурина, Кли</w:t>
      </w:r>
      <w:r w:rsidRPr="00722885">
        <w:rPr>
          <w:rFonts w:ascii="Times New Roman" w:hAnsi="Times New Roman"/>
          <w:color w:val="000000" w:themeColor="text1"/>
          <w:sz w:val="16"/>
          <w:szCs w:val="16"/>
        </w:rPr>
        <w:softHyphen/>
        <w:t>мова и Баландина), что заводом № 26 создан в серийном производ</w:t>
      </w:r>
      <w:r w:rsidRPr="00722885">
        <w:rPr>
          <w:rFonts w:ascii="Times New Roman" w:hAnsi="Times New Roman"/>
          <w:color w:val="000000" w:themeColor="text1"/>
          <w:sz w:val="16"/>
          <w:szCs w:val="16"/>
        </w:rPr>
        <w:softHyphen/>
        <w:t>стве мотор М-106П с односкоростным нагнетателем, имеющий данные: взлетная мощность 1350 л.сю, номинальная мощность на высоте 2000 метров - 1350 л.с. Мотор М-106П полностью взаимозаменяем с мотором М-105ПФ, но в связи с большей мощностью потребует при постановке на самолет увеличенный водяной радиатор.</w:t>
      </w:r>
    </w:p>
    <w:p w14:paraId="69121F6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созданием в серийном производстве мотора М-106П, Государственный Комитет Обороны считает необходимым поставить перед НКАП задачу дальнейшего улучшения серийных самолетов Як-1, для чего:</w:t>
      </w:r>
    </w:p>
    <w:p w14:paraId="774CDAA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обязать Наркомавиапром т.т. Шахурина, Яковлева и дирек</w:t>
      </w:r>
      <w:r w:rsidRPr="00722885">
        <w:rPr>
          <w:rFonts w:ascii="Times New Roman" w:hAnsi="Times New Roman"/>
          <w:color w:val="000000" w:themeColor="text1"/>
          <w:sz w:val="16"/>
          <w:szCs w:val="16"/>
        </w:rPr>
        <w:softHyphen/>
        <w:t>тора завода № 292 т. Левина выпустить к 10 января 1943 г. 32 самолет Як-1 с мотором М-106П с одаоскоростным нагнетателем, с прежним водяным радиатором для испытания в зимней боевой эксплоатации. Самолет должен иметь скорость у земли - 535 кило</w:t>
      </w:r>
      <w:r w:rsidRPr="00722885">
        <w:rPr>
          <w:rFonts w:ascii="Times New Roman" w:hAnsi="Times New Roman"/>
          <w:color w:val="000000" w:themeColor="text1"/>
          <w:sz w:val="16"/>
          <w:szCs w:val="16"/>
        </w:rPr>
        <w:softHyphen/>
        <w:t>метров в час и на высоте 3750 метров - 610 километров и час;</w:t>
      </w:r>
    </w:p>
    <w:p w14:paraId="5A6D707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директору завода № 26, заместителю наркома авиапро</w:t>
      </w:r>
      <w:r w:rsidRPr="00722885">
        <w:rPr>
          <w:rFonts w:ascii="Times New Roman" w:hAnsi="Times New Roman"/>
          <w:color w:val="000000" w:themeColor="text1"/>
          <w:sz w:val="16"/>
          <w:szCs w:val="16"/>
        </w:rPr>
        <w:softHyphen/>
        <w:t>мышленности т. Баландину к 20 декабря 1942 года поставить заводу № 292 моторы М-106П с о дноскорстным нагнетателем в количест</w:t>
      </w:r>
      <w:r w:rsidRPr="00722885">
        <w:rPr>
          <w:rFonts w:ascii="Times New Roman" w:hAnsi="Times New Roman"/>
          <w:color w:val="000000" w:themeColor="text1"/>
          <w:sz w:val="16"/>
          <w:szCs w:val="16"/>
        </w:rPr>
        <w:softHyphen/>
        <w:t>ве 35 штук;</w:t>
      </w:r>
    </w:p>
    <w:p w14:paraId="338074C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главному конструктору т. Яковлеву с целью улучшения вертикального и горизонтального маневра и взлетно-посадочных свойств самолета Як-1 с мотором М-106П с односкорсетным наг</w:t>
      </w:r>
      <w:r w:rsidRPr="00722885">
        <w:rPr>
          <w:rFonts w:ascii="Times New Roman" w:hAnsi="Times New Roman"/>
          <w:color w:val="000000" w:themeColor="text1"/>
          <w:sz w:val="16"/>
          <w:szCs w:val="16"/>
        </w:rPr>
        <w:softHyphen/>
        <w:t>нетателем, модифицировать его, доводя вес самолета до 2730 ки</w:t>
      </w:r>
      <w:r w:rsidRPr="00722885">
        <w:rPr>
          <w:rFonts w:ascii="Times New Roman" w:hAnsi="Times New Roman"/>
          <w:color w:val="000000" w:themeColor="text1"/>
          <w:sz w:val="16"/>
          <w:szCs w:val="16"/>
        </w:rPr>
        <w:softHyphen/>
        <w:t>лограмм, вместо веса серийного самолета Як-1 - 2950 килограмм.</w:t>
      </w:r>
    </w:p>
    <w:p w14:paraId="620DA1B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сдать на летные испытания в ЛИИ НКАП 25 декабря 1942 года и на госиспытания в НИИ ВВС к 25 января 1943 года.</w:t>
      </w:r>
    </w:p>
    <w:p w14:paraId="4001704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О самолете Як-7</w:t>
      </w:r>
    </w:p>
    <w:p w14:paraId="123E01C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Принять к сведению, что завод № 153 выпускает серийные с-ты Як-7 с мотором М-105ПФ с улучшенными летными и боевыми данными:</w:t>
      </w:r>
    </w:p>
    <w:p w14:paraId="6FD6236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lastRenderedPageBreak/>
        <w:t>Скорость макс. у земли - 525 км/час</w:t>
      </w:r>
    </w:p>
    <w:p w14:paraId="0518FB8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Скорость макс. на 3750 м - 585 км/час</w:t>
      </w:r>
    </w:p>
    <w:p w14:paraId="2A769DC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Полетный вес - 3020 кг</w:t>
      </w:r>
    </w:p>
    <w:p w14:paraId="23906B9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Улучшение летных и боевых качеств с-та полученые ГК совместнос ЦАГИ и заводом № 153, состоят в следующем:</w:t>
      </w:r>
    </w:p>
    <w:p w14:paraId="767C101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улучшены туннели системы водяного охлаждения,</w:t>
      </w:r>
    </w:p>
    <w:p w14:paraId="1083125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улучшены туннели системы масляного охлаждения,</w:t>
      </w:r>
    </w:p>
    <w:p w14:paraId="0F6333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установлен полностью убирающийся костыль,</w:t>
      </w:r>
    </w:p>
    <w:p w14:paraId="6BA864F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установлен обтекатель на выхлопные патрубки мотора,</w:t>
      </w:r>
    </w:p>
    <w:p w14:paraId="363602A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улучшены зализы хвостового оперения,</w:t>
      </w:r>
    </w:p>
    <w:p w14:paraId="511110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проведена герметизация перегородок фюзеляжа,</w:t>
      </w:r>
    </w:p>
    <w:p w14:paraId="16BC32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проведено общее улучшение внешней отделки самолета;</w:t>
      </w:r>
    </w:p>
    <w:p w14:paraId="4CF68E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 оружию и обзору</w:t>
      </w:r>
    </w:p>
    <w:p w14:paraId="29C230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стрелковое оружие самолета Як-7 - 1 пушка Шшак 20 мм с запасом патрон 120 шт. и 2 пулемета ВС 12,7 мм с запасом патрон 400 шт. усовершенствовано за счет улучшения звеньеотвода пушки и звеньесборника, обеспечивающих безотказную работу всей системы и полное израсходовшше боекомплекта в эксплоатации,</w:t>
      </w:r>
    </w:p>
    <w:p w14:paraId="19BC4D1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для улучшения обзора передний козырек сделан граненым и на нем установлена прозрачная броня:</w:t>
      </w:r>
    </w:p>
    <w:p w14:paraId="67E6E1B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эксплоатационные улучшения</w:t>
      </w:r>
    </w:p>
    <w:p w14:paraId="1F6E32A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для ликвидации забрызгивания переднего козырька пилота маслом установлены сальники на вал мотора;</w:t>
      </w:r>
    </w:p>
    <w:p w14:paraId="619AE0B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проведены мероприятия по обеспечению безотказной работы самолета в зимних условиях.</w:t>
      </w:r>
    </w:p>
    <w:p w14:paraId="0DAC1D2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Считать важнейшей задачей Наркомата авиационной промышленности и завода № 153 безусловно закрепить в серийном производстве подученные лет</w:t>
      </w:r>
      <w:r w:rsidRPr="00722885">
        <w:rPr>
          <w:rFonts w:ascii="Times New Roman" w:hAnsi="Times New Roman"/>
          <w:color w:val="000000" w:themeColor="text1"/>
          <w:sz w:val="16"/>
          <w:szCs w:val="16"/>
        </w:rPr>
        <w:softHyphen/>
        <w:t>ные данные истребителей Як-7, обеспечив дальнейший выпуск их с данными, не ниже указанных в пункте 4.</w:t>
      </w:r>
    </w:p>
    <w:p w14:paraId="1EE75C5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О самолете Ла-5</w:t>
      </w:r>
    </w:p>
    <w:p w14:paraId="2CCEB3D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Принять к сведению, что завод № 21 выпускает серийные с-ты Ла-5 с мотором М-82 с улучшенными летными и боевыми данными:</w:t>
      </w:r>
    </w:p>
    <w:p w14:paraId="10D66CC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Скорость макс. у земли - 518 км/час</w:t>
      </w:r>
    </w:p>
    <w:p w14:paraId="0D185CE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Скорость макс. при наддуве 1140 мм - 550 км/час</w:t>
      </w:r>
    </w:p>
    <w:p w14:paraId="7AAFA88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Скорость макс. на высоте 1750 м - 575 км/час</w:t>
      </w:r>
    </w:p>
    <w:p w14:paraId="3FE15B3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Скорость макс. на высоте 3250 м - 574 км/час</w:t>
      </w:r>
    </w:p>
    <w:p w14:paraId="4375704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Серийный Ла-5 выпущен с уменьшенным весом в сравнении с опытным самолетом. Полетный вес с-та доведен до 3220 кг, вместо 3380 кг у опытного.</w:t>
      </w:r>
    </w:p>
    <w:p w14:paraId="0B60193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Облегчение веса произведено за счет уменьшения веса конструкции крыла, фюзеляжа и центроплана.</w:t>
      </w:r>
    </w:p>
    <w:p w14:paraId="00B46E9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самолете установлено 3 бензобака общей емкостью 345 кг и две синхронных пушки ШВАК с б/з 170 снарядов на пушку.</w:t>
      </w:r>
    </w:p>
    <w:p w14:paraId="2504146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 Улучшение летных и боевых качеств, произведенное ГК тов. С.А.Л. совместно с ЦАГИ и заводом № 21 состоят в следующем:</w:t>
      </w:r>
    </w:p>
    <w:p w14:paraId="288FF3C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по аэродинамике:</w:t>
      </w:r>
    </w:p>
    <w:p w14:paraId="3587493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улучшено капотирование мотора</w:t>
      </w:r>
    </w:p>
    <w:p w14:paraId="2211464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произведена герметизация капотов</w:t>
      </w:r>
    </w:p>
    <w:p w14:paraId="0BC1A18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улучшена подгонка предкрылков и шитков крыла</w:t>
      </w:r>
    </w:p>
    <w:p w14:paraId="1E5E976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улучшена подгонка элеронов и рулей</w:t>
      </w:r>
    </w:p>
    <w:p w14:paraId="2DE4133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установлен полностью убираемый костыль</w:t>
      </w:r>
    </w:p>
    <w:p w14:paraId="21C18D3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обеспечено полное прилегание в убранном положении щитков шасси к крылу</w:t>
      </w:r>
    </w:p>
    <w:p w14:paraId="1953D40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улучшена общая отделка с-та</w:t>
      </w:r>
    </w:p>
    <w:p w14:paraId="3FF9978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улучшению управления</w:t>
      </w:r>
    </w:p>
    <w:p w14:paraId="6536524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облегчено управление элеронами за счет увеличения аэродинамической компенсации</w:t>
      </w:r>
    </w:p>
    <w:p w14:paraId="700072B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изменено передаточное число механизма управления элеронами</w:t>
      </w:r>
    </w:p>
    <w:p w14:paraId="5C3EDF4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улучшено соотнеошение площадей руля высоты и стабилизатора</w:t>
      </w:r>
    </w:p>
    <w:p w14:paraId="7307A0B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изменено передаточное число к рулю высоты от ручки управления в сторону уменьшения</w:t>
      </w:r>
    </w:p>
    <w:p w14:paraId="06AE9AF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эксплуатационные улучшения</w:t>
      </w:r>
    </w:p>
    <w:p w14:paraId="737B34E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Проведены мероприятия по улучшению эксплуатации самолета в зимних условиях</w:t>
      </w:r>
    </w:p>
    <w:p w14:paraId="58A9F0A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улучшения обзорпа передний козырек сделан граненым</w:t>
      </w:r>
    </w:p>
    <w:p w14:paraId="0A81925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Улучшен монтаж предкрылков, обеспечивающий их надежность и плавную работу</w:t>
      </w:r>
    </w:p>
    <w:p w14:paraId="27D776A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Считать важнейшей задачей НКАП и завода № 292 безусловное закреплдение в серийном производстве полученных летных данных истребителя Як-1, обеспечив дальнейший выпуск с данными, не ниже указанных в п. 1.</w:t>
      </w:r>
    </w:p>
    <w:p w14:paraId="0FF0ED1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 Принять к сведению, что ГК завода № 19 тов. Швецовым и ГК завода № 21 тов. С.А.Л. на с-тах Ла-5 в условиях боевой эксплуатации допускается применение повышенной мощности мотора М-82 на первой скорости нагнетателя с доведением наддува до 1140 мм, в результате чего мощность мотора у земли увеличивается с 1400 до 1700 лс, а макс. скорость с-та у земли - повышается с 518 км/час до 550 км/час.</w:t>
      </w:r>
    </w:p>
    <w:p w14:paraId="28C388A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 Принять к сведению, что ГК завода № 19 тов. Швецовым и дир. Завода тов. Солдатовым на заводе создан мотор М-82 форсированный, прошедший госиспытания с взлетной мощностью 18500 лс, номинальной мощностью на первой скорости нагнетателя на высоте 4650 м - 1430 лс, и что установка этого мотора не с-т Ла-5 позволяет при применении форсажа повысить скоростиь с-та у земли до 565 км/час и на высоте 6000 м - до 620 км/час.</w:t>
      </w:r>
    </w:p>
    <w:p w14:paraId="705F5D7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исполнение постановления ГКО приказываю:</w:t>
      </w:r>
    </w:p>
    <w:p w14:paraId="159096E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w:t>
      </w:r>
    </w:p>
    <w:p w14:paraId="66FA40F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Для использования полной мощности мотора М-82 с доведением наддува до 1140 мм Зам. НКАП и нач. ПГУ тов. Воронину, директору завода № 21 тов. Агаджанову и главного конструктора т. Лавочикину:</w:t>
      </w:r>
    </w:p>
    <w:p w14:paraId="299BE34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выпускать самолеты Ла-5 о применением на моторе М-82 наддува на первой скорости нагнетателя - 1140 мм.</w:t>
      </w:r>
    </w:p>
    <w:p w14:paraId="5C6C066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целях облегчения управления мотором на этих самолетах установить механизм блокировки регулятора наддува с механизмом перек</w:t>
      </w:r>
      <w:r w:rsidRPr="00722885">
        <w:rPr>
          <w:rFonts w:ascii="Times New Roman" w:hAnsi="Times New Roman"/>
          <w:color w:val="000000" w:themeColor="text1"/>
          <w:sz w:val="16"/>
          <w:szCs w:val="16"/>
        </w:rPr>
        <w:softHyphen/>
        <w:t>лючения скоростей, устраняющий возможность перегрузки мотора на режимах второй скорости нагнетателя;</w:t>
      </w:r>
    </w:p>
    <w:p w14:paraId="373F23F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обеспечить выпуск указанных в пункте 5 настоящего постановления самолетов на заводе № 21 в следующих количест</w:t>
      </w:r>
      <w:r w:rsidRPr="00722885">
        <w:rPr>
          <w:rFonts w:ascii="Times New Roman" w:hAnsi="Times New Roman"/>
          <w:color w:val="000000" w:themeColor="text1"/>
          <w:sz w:val="16"/>
          <w:szCs w:val="16"/>
        </w:rPr>
        <w:softHyphen/>
        <w:t>вах</w:t>
      </w:r>
    </w:p>
    <w:p w14:paraId="0C53A68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- 50 самолетов</w:t>
      </w:r>
    </w:p>
    <w:p w14:paraId="002957A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январе 1943 г. - 200 и с 1 февраля 1943 года все самолеты Ла-5 выпускать с моторами повышенной мощности и указанной блокировкой.</w:t>
      </w:r>
    </w:p>
    <w:p w14:paraId="4D1543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Для определения срока службы мотора М-82 на повышен</w:t>
      </w:r>
      <w:r w:rsidRPr="00722885">
        <w:rPr>
          <w:rFonts w:ascii="Times New Roman" w:hAnsi="Times New Roman"/>
          <w:color w:val="000000" w:themeColor="text1"/>
          <w:sz w:val="16"/>
          <w:szCs w:val="16"/>
        </w:rPr>
        <w:softHyphen/>
        <w:t>ном наддуве, на первой скорости нагнетателя - 1140 мм, ди</w:t>
      </w:r>
      <w:r w:rsidRPr="00722885">
        <w:rPr>
          <w:rFonts w:ascii="Times New Roman" w:hAnsi="Times New Roman"/>
          <w:color w:val="000000" w:themeColor="text1"/>
          <w:sz w:val="16"/>
          <w:szCs w:val="16"/>
        </w:rPr>
        <w:softHyphen/>
        <w:t>ректору завода № 19 т. Солдатову и главному конструктору т. Швецову провести до 25 декабря 1942 г. длительные испытания мотора М-82.</w:t>
      </w:r>
    </w:p>
    <w:p w14:paraId="43C2631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Ввиду недобора скорости на второй границе высотно</w:t>
      </w:r>
      <w:r w:rsidRPr="00722885">
        <w:rPr>
          <w:rFonts w:ascii="Times New Roman" w:hAnsi="Times New Roman"/>
          <w:color w:val="000000" w:themeColor="text1"/>
          <w:sz w:val="16"/>
          <w:szCs w:val="16"/>
        </w:rPr>
        <w:softHyphen/>
        <w:t>сти, главным конструкторам т.т. Лавочкину и Швецову, начальнику ЦИАМ т. Поликовскому и начальнику ЛИИ т. Молокову к 1 января 1943 г. довести винтомоторную группу самолета Ла-5 при работе мотора М-82 на второй скорости нагнетателя,обеспечив скорость самолета Ла-5 на высоте 6000-6200 метров - 610 км/час.</w:t>
      </w:r>
    </w:p>
    <w:p w14:paraId="13614ED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В связи с задачей дальнейшего улучшения самолета Ла-5 и выпуска заводом № 19 форсированного мотора М-82 Зам. НКАП и Нач. ПГУ тов. Воронину, директору завода № 21 т. Агаджанову и главному конструктору т. Лавочкину:</w:t>
      </w:r>
    </w:p>
    <w:p w14:paraId="171A58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представить на летные испытания ЛИИ НКАП к 15 января и НИИ ВВС к 10 февраля 1943 г. самолет Ла-5 с мотором М-82Ф и с уменьшенным весом самолета до 3100 кг;</w:t>
      </w:r>
    </w:p>
    <w:p w14:paraId="68D0BA9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к 15 февраля 1943 г. выпустить 35 самолетов Ла~5 с мотором М-82Ф, улучшив одновременно на этих самолетах фонарь, обеспечивающий обзор назад, с передней и задней прозрачной броней и зеркалом в кабине пилота для обзора задней полусферы.</w:t>
      </w:r>
    </w:p>
    <w:p w14:paraId="2A92AFD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Для обеспечения контроля качества выпускаемых с-тов истребителей заводам... организовать ежемесячную проверку летно-тактических данных серийных самолетов, выпускаемых заводами №№ 21, 31, 153, 292...</w:t>
      </w:r>
    </w:p>
    <w:p w14:paraId="58715A9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выявления эксплоатационных дефектов серийных само</w:t>
      </w:r>
      <w:r w:rsidRPr="00722885">
        <w:rPr>
          <w:rFonts w:ascii="Times New Roman" w:hAnsi="Times New Roman"/>
          <w:color w:val="000000" w:themeColor="text1"/>
          <w:sz w:val="16"/>
          <w:szCs w:val="16"/>
        </w:rPr>
        <w:softHyphen/>
        <w:t>летов и своевременного их устранения организовать на заводах №№ 21, 31, 153, и 292 испытания самолетов на выносливость.</w:t>
      </w:r>
    </w:p>
    <w:p w14:paraId="0FAC701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Испытания производить на одном из самолетов текущей серии ежеквартально (923,43).</w:t>
      </w:r>
    </w:p>
    <w:p w14:paraId="65555FD9" w14:textId="77777777" w:rsidR="00BB6316" w:rsidRPr="00722885" w:rsidRDefault="00BB6316" w:rsidP="00722885">
      <w:pPr>
        <w:pStyle w:val="Iauiue"/>
        <w:jc w:val="both"/>
        <w:rPr>
          <w:color w:val="000000" w:themeColor="text1"/>
          <w:sz w:val="16"/>
          <w:szCs w:val="16"/>
        </w:rPr>
      </w:pPr>
    </w:p>
    <w:p w14:paraId="174AEFD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вышел приказ НКАП N 893сс в исполнение постановления ГКО N 2603 от 9 декабря 1942 в целях обеспечения ВВС истребителями с повышенными ЛТД:</w:t>
      </w:r>
    </w:p>
    <w:p w14:paraId="30DF9CB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"1. Директору и ГК завода 115 А.С.Я. спроектировать и построить модификацию самолета истребителя Як-1 с М-106П с 2-х скоростным нагнетателем и полетным </w:t>
      </w:r>
      <w:r w:rsidRPr="00722885">
        <w:rPr>
          <w:color w:val="000000" w:themeColor="text1"/>
          <w:sz w:val="16"/>
          <w:szCs w:val="16"/>
        </w:rPr>
        <w:lastRenderedPageBreak/>
        <w:t>весом 2690 кг и с уменьшенным крылом. Самолет д. иметь следующие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B487A" w:rsidRPr="00722885" w14:paraId="5581C0DC" w14:textId="77777777" w:rsidTr="00CC5360">
        <w:tc>
          <w:tcPr>
            <w:tcW w:w="3757" w:type="dxa"/>
            <w:tcBorders>
              <w:top w:val="single" w:sz="12" w:space="0" w:color="auto"/>
            </w:tcBorders>
          </w:tcPr>
          <w:p w14:paraId="0D8BE64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скорость у земли</w:t>
            </w:r>
          </w:p>
        </w:tc>
        <w:tc>
          <w:tcPr>
            <w:tcW w:w="3757" w:type="dxa"/>
            <w:tcBorders>
              <w:top w:val="single" w:sz="12" w:space="0" w:color="auto"/>
            </w:tcBorders>
          </w:tcPr>
          <w:p w14:paraId="4B0D3A4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560 км/час</w:t>
            </w:r>
          </w:p>
        </w:tc>
      </w:tr>
      <w:tr w:rsidR="009B487A" w:rsidRPr="00722885" w14:paraId="2B4B6F22" w14:textId="77777777" w:rsidTr="00CC5360">
        <w:tc>
          <w:tcPr>
            <w:tcW w:w="3757" w:type="dxa"/>
          </w:tcPr>
          <w:p w14:paraId="6DD0968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скорость на высоте</w:t>
            </w:r>
          </w:p>
        </w:tc>
        <w:tc>
          <w:tcPr>
            <w:tcW w:w="3757" w:type="dxa"/>
          </w:tcPr>
          <w:p w14:paraId="762CAF3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670 км/час</w:t>
            </w:r>
          </w:p>
        </w:tc>
      </w:tr>
      <w:tr w:rsidR="009B487A" w:rsidRPr="00722885" w14:paraId="5677DED7" w14:textId="77777777" w:rsidTr="00CC5360">
        <w:tc>
          <w:tcPr>
            <w:tcW w:w="3757" w:type="dxa"/>
          </w:tcPr>
          <w:p w14:paraId="07F3393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скороподъемность на 5000 м</w:t>
            </w:r>
          </w:p>
        </w:tc>
        <w:tc>
          <w:tcPr>
            <w:tcW w:w="3757" w:type="dxa"/>
          </w:tcPr>
          <w:p w14:paraId="18E64F2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мин.</w:t>
            </w:r>
          </w:p>
        </w:tc>
      </w:tr>
      <w:tr w:rsidR="009B487A" w:rsidRPr="00722885" w14:paraId="18C72E57" w14:textId="77777777" w:rsidTr="00CC5360">
        <w:tc>
          <w:tcPr>
            <w:tcW w:w="3757" w:type="dxa"/>
          </w:tcPr>
          <w:p w14:paraId="4FACBD1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время виража на 1000 м</w:t>
            </w:r>
          </w:p>
        </w:tc>
        <w:tc>
          <w:tcPr>
            <w:tcW w:w="3757" w:type="dxa"/>
          </w:tcPr>
          <w:p w14:paraId="30DFE7A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17-18 сек.</w:t>
            </w:r>
          </w:p>
        </w:tc>
      </w:tr>
      <w:tr w:rsidR="009B487A" w:rsidRPr="00722885" w14:paraId="73640096" w14:textId="77777777" w:rsidTr="00CC5360">
        <w:tc>
          <w:tcPr>
            <w:tcW w:w="3757" w:type="dxa"/>
          </w:tcPr>
          <w:p w14:paraId="2C49815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запас горючего</w:t>
            </w:r>
          </w:p>
        </w:tc>
        <w:tc>
          <w:tcPr>
            <w:tcW w:w="3757" w:type="dxa"/>
          </w:tcPr>
          <w:p w14:paraId="1AF2E5B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325 кг</w:t>
            </w:r>
          </w:p>
        </w:tc>
      </w:tr>
      <w:tr w:rsidR="009B487A" w:rsidRPr="00722885" w14:paraId="1710536A" w14:textId="77777777" w:rsidTr="00CC5360">
        <w:tc>
          <w:tcPr>
            <w:tcW w:w="3757" w:type="dxa"/>
            <w:tcBorders>
              <w:bottom w:val="single" w:sz="12" w:space="0" w:color="auto"/>
            </w:tcBorders>
          </w:tcPr>
          <w:p w14:paraId="5E77698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вооружение</w:t>
            </w:r>
          </w:p>
        </w:tc>
        <w:tc>
          <w:tcPr>
            <w:tcW w:w="3757" w:type="dxa"/>
            <w:tcBorders>
              <w:bottom w:val="single" w:sz="12" w:space="0" w:color="auto"/>
            </w:tcBorders>
          </w:tcPr>
          <w:p w14:paraId="26188E1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1хШВАК с 120, 2 БС с 200</w:t>
            </w:r>
          </w:p>
        </w:tc>
      </w:tr>
    </w:tbl>
    <w:p w14:paraId="685CC66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Построить в 2-х и предъявить в ЛИИ 15 февраля и в НИИ ВВС 15 марта 1943 (1620,69).</w:t>
      </w:r>
    </w:p>
    <w:p w14:paraId="4A3510EC" w14:textId="77777777" w:rsidR="00BB6316" w:rsidRPr="00722885" w:rsidRDefault="00BB6316" w:rsidP="00722885">
      <w:pPr>
        <w:pStyle w:val="Iauiue"/>
        <w:jc w:val="both"/>
        <w:rPr>
          <w:color w:val="000000" w:themeColor="text1"/>
          <w:sz w:val="16"/>
          <w:szCs w:val="16"/>
        </w:rPr>
      </w:pPr>
    </w:p>
    <w:p w14:paraId="70D718F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в НИИ ВВС закончились контрольные испытания У-2 ВС постройки 387 завода, проходившие с 9 декабря 1942 (1076,715).</w:t>
      </w:r>
    </w:p>
    <w:p w14:paraId="06E54613" w14:textId="77777777" w:rsidR="00BB6316" w:rsidRPr="00722885" w:rsidRDefault="00BB6316" w:rsidP="00722885">
      <w:pPr>
        <w:pStyle w:val="Iauiue"/>
        <w:jc w:val="both"/>
        <w:rPr>
          <w:color w:val="000000" w:themeColor="text1"/>
          <w:sz w:val="16"/>
          <w:szCs w:val="16"/>
        </w:rPr>
      </w:pPr>
    </w:p>
    <w:p w14:paraId="24BDFD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декабря 1942 мины АМД-500 и АМД- 1000 были приняты на вооружение. Первоначально в качестве основного недостатка отмечалась малая скорость самолета при минометании (не более 200 км/ч), но впоследствии парашютная система была доработана. Также повысили чувствительность взрывателя. Освоение промышленностью мин и ликвидация "детских болезней" несколько затянулись, в результате чего первые АМД-500 были выставлены на Черном море в октябре 1943 г., на Балтике - в январе 1944 г. (на Севере из-за больших глубин донные мины не применялись вовсе). АМД-1000 применялись только на Балтийском море начиная с июля 1944 г.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27A2A84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61DA41A"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A2D2ECB" w14:textId="77777777" w:rsidR="00BB6316" w:rsidRPr="00722885" w:rsidRDefault="00BB6316" w:rsidP="00722885">
      <w:pPr>
        <w:pStyle w:val="Iauiue"/>
        <w:jc w:val="both"/>
        <w:rPr>
          <w:iCs/>
          <w:color w:val="000000" w:themeColor="text1"/>
          <w:sz w:val="16"/>
          <w:szCs w:val="16"/>
        </w:rPr>
      </w:pPr>
    </w:p>
    <w:p w14:paraId="1269082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декабря 1942 г. подготовлен КРАТКИЙ ДОКЛАД О ПРЕДЛОЖЕНИЯХ В ГАБТУ КОМАНДИРОВ-ТАНКИСТОВ ПО УЛУЧШЕНИЮ ТАКТИКО-ТЕХНИЧЕСКИХ СВОЙСТВ ТАНКОВ Т-34 и Т-60</w:t>
      </w:r>
    </w:p>
    <w:p w14:paraId="626B656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Представляя при этом предложения группы командиров и техников 171 отдельного танкового батальона 4-й ударной армии по улучшению тактико-технических качеств танка Т-34 и автоматиче</w:t>
      </w:r>
      <w:r w:rsidRPr="00722885">
        <w:rPr>
          <w:rFonts w:ascii="Times New Roman" w:hAnsi="Times New Roman"/>
          <w:color w:val="000000" w:themeColor="text1"/>
          <w:sz w:val="16"/>
          <w:szCs w:val="16"/>
        </w:rPr>
        <w:softHyphen/>
        <w:t>ской пушки «ШВАК» танка Т-60, считаю необходимым доложить Вам свои выводы по существу дан</w:t>
      </w:r>
      <w:r w:rsidRPr="00722885">
        <w:rPr>
          <w:rFonts w:ascii="Times New Roman" w:hAnsi="Times New Roman"/>
          <w:color w:val="000000" w:themeColor="text1"/>
          <w:sz w:val="16"/>
          <w:szCs w:val="16"/>
        </w:rPr>
        <w:softHyphen/>
        <w:t>ных вопросов.</w:t>
      </w:r>
    </w:p>
    <w:p w14:paraId="4D1F514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Изучая боевые действия танков (78 ТБр) 3-6 августа в районе Кривка я встретился с фактом, что 5 наших танков (4 машины Т-34 и одна КВ), действовавшие в этом районе, понесли потери в ма</w:t>
      </w:r>
      <w:r w:rsidRPr="00722885">
        <w:rPr>
          <w:rFonts w:ascii="Times New Roman" w:hAnsi="Times New Roman"/>
          <w:color w:val="000000" w:themeColor="text1"/>
          <w:sz w:val="16"/>
          <w:szCs w:val="16"/>
        </w:rPr>
        <w:softHyphen/>
        <w:t>териальной части и в личном составе из-за плохого управления своим огнем, плохого маневрирова</w:t>
      </w:r>
      <w:r w:rsidRPr="00722885">
        <w:rPr>
          <w:rFonts w:ascii="Times New Roman" w:hAnsi="Times New Roman"/>
          <w:color w:val="000000" w:themeColor="text1"/>
          <w:sz w:val="16"/>
          <w:szCs w:val="16"/>
        </w:rPr>
        <w:softHyphen/>
        <w:t>ния и недостаточной прочности бортовой брони (был ряд причин также другого порядка, не завися</w:t>
      </w:r>
      <w:r w:rsidRPr="00722885">
        <w:rPr>
          <w:rFonts w:ascii="Times New Roman" w:hAnsi="Times New Roman"/>
          <w:color w:val="000000" w:themeColor="text1"/>
          <w:sz w:val="16"/>
          <w:szCs w:val="16"/>
        </w:rPr>
        <w:softHyphen/>
        <w:t>щих от танкистов).</w:t>
      </w:r>
    </w:p>
    <w:p w14:paraId="457DF79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Беседуя с некоторыми командирами и воентехниками 78 ТБр и 171 отб, я пришел к выводу, что танк Т-34 при многих своих положительных качествах (маневренность, мощность мотора и воору</w:t>
      </w:r>
      <w:r w:rsidRPr="00722885">
        <w:rPr>
          <w:rFonts w:ascii="Times New Roman" w:hAnsi="Times New Roman"/>
          <w:color w:val="000000" w:themeColor="text1"/>
          <w:sz w:val="16"/>
          <w:szCs w:val="16"/>
        </w:rPr>
        <w:softHyphen/>
        <w:t>жения) имеет ряд крупных недостатков, известных уже и противнику. Эти недостатки не дают воз</w:t>
      </w:r>
      <w:r w:rsidRPr="00722885">
        <w:rPr>
          <w:rFonts w:ascii="Times New Roman" w:hAnsi="Times New Roman"/>
          <w:color w:val="000000" w:themeColor="text1"/>
          <w:sz w:val="16"/>
          <w:szCs w:val="16"/>
        </w:rPr>
        <w:softHyphen/>
        <w:t>можности полностью использовать приведенные выше положительные качества.</w:t>
      </w:r>
    </w:p>
    <w:p w14:paraId="0C90642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недостатки танка Т-34 следующие:</w:t>
      </w:r>
    </w:p>
    <w:p w14:paraId="1A5EEF2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Командир танка является в то же время и башенным стрелком, он ведет огонь по одной какой-либо цели и этим отрывается от наблюдения за действиями противника, действиями своих танков, пехоты, артиллерии, не отыскивает наиболее важных целей, не дает своевременно указаний водите</w:t>
      </w:r>
      <w:r w:rsidRPr="00722885">
        <w:rPr>
          <w:rFonts w:ascii="Times New Roman" w:hAnsi="Times New Roman"/>
          <w:color w:val="000000" w:themeColor="text1"/>
          <w:sz w:val="16"/>
          <w:szCs w:val="16"/>
        </w:rPr>
        <w:softHyphen/>
        <w:t>лю о направлении движения. Особенно отрицательно это отражается на действиях командира тан</w:t>
      </w:r>
      <w:r w:rsidRPr="00722885">
        <w:rPr>
          <w:rFonts w:ascii="Times New Roman" w:hAnsi="Times New Roman"/>
          <w:color w:val="000000" w:themeColor="text1"/>
          <w:sz w:val="16"/>
          <w:szCs w:val="16"/>
        </w:rPr>
        <w:softHyphen/>
        <w:t>кового взвода, роты, батальона.</w:t>
      </w:r>
    </w:p>
    <w:p w14:paraId="470993D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Увеличение танкового экипажа танка Т-34 на одного человека — башенного стрелка (наводчи</w:t>
      </w:r>
      <w:r w:rsidRPr="00722885">
        <w:rPr>
          <w:rFonts w:ascii="Times New Roman" w:hAnsi="Times New Roman"/>
          <w:color w:val="000000" w:themeColor="text1"/>
          <w:sz w:val="16"/>
          <w:szCs w:val="16"/>
        </w:rPr>
        <w:softHyphen/>
        <w:t>ка) и небольшая реконструкция башни танка целиком себя оправдает, так как резко улучшит усло</w:t>
      </w:r>
      <w:r w:rsidRPr="00722885">
        <w:rPr>
          <w:rFonts w:ascii="Times New Roman" w:hAnsi="Times New Roman"/>
          <w:color w:val="000000" w:themeColor="text1"/>
          <w:sz w:val="16"/>
          <w:szCs w:val="16"/>
        </w:rPr>
        <w:softHyphen/>
        <w:t>вия управления огнем, управление боем танкового взвода, роты, батальона, увеличит живучесть и эффективность использования танков.</w:t>
      </w:r>
    </w:p>
    <w:p w14:paraId="557995C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Башенная броня, лобовая и особенно бортовая броня танка Т-34 легко пробивается даже 50-мм термитными снарядами.</w:t>
      </w:r>
    </w:p>
    <w:p w14:paraId="34745BC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 Т-34, имея в два с половиной раза сильнее мотор (500 л/с против 190 л/с) и в три раза мень</w:t>
      </w:r>
      <w:r w:rsidRPr="00722885">
        <w:rPr>
          <w:rFonts w:ascii="Times New Roman" w:hAnsi="Times New Roman"/>
          <w:color w:val="000000" w:themeColor="text1"/>
          <w:sz w:val="16"/>
          <w:szCs w:val="16"/>
        </w:rPr>
        <w:softHyphen/>
        <w:t>ше давления гусениц на грунт - 0,6 кг/см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против 1,7 кг/см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чем английский танк МК-2, почти в 2 раза уступает ему в толщине брони, а это резко сокращает живучесть и боевые возможности танка Т-34 (особенно у молодых, малоопытных экипажей).</w:t>
      </w:r>
    </w:p>
    <w:p w14:paraId="6EF26CC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Увеличение брони (экранирование) с целью увеличить ее сопротивляемость и способность вы</w:t>
      </w:r>
      <w:r w:rsidRPr="00722885">
        <w:rPr>
          <w:rFonts w:ascii="Times New Roman" w:hAnsi="Times New Roman"/>
          <w:color w:val="000000" w:themeColor="text1"/>
          <w:sz w:val="16"/>
          <w:szCs w:val="16"/>
        </w:rPr>
        <w:softHyphen/>
        <w:t>держивать удары хотя бы снарядов калибра 50 мм, хотя и вызовет утяжеление танка, увеличение расхода металла на один танк (и некоторое снижение скорости), но даст заметный эффект в живу</w:t>
      </w:r>
      <w:r w:rsidRPr="00722885">
        <w:rPr>
          <w:rFonts w:ascii="Times New Roman" w:hAnsi="Times New Roman"/>
          <w:color w:val="000000" w:themeColor="text1"/>
          <w:sz w:val="16"/>
          <w:szCs w:val="16"/>
        </w:rPr>
        <w:softHyphen/>
        <w:t>чести танка, даст экономию в расходовании танков — уменьшит выход из строя танков Т-34.</w:t>
      </w:r>
    </w:p>
    <w:p w14:paraId="6544466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Эти конструктивные недостатки известны нашим командирам, которые при возможности стара</w:t>
      </w:r>
      <w:r w:rsidRPr="00722885">
        <w:rPr>
          <w:rFonts w:ascii="Times New Roman" w:hAnsi="Times New Roman"/>
          <w:color w:val="000000" w:themeColor="text1"/>
          <w:sz w:val="16"/>
          <w:szCs w:val="16"/>
        </w:rPr>
        <w:softHyphen/>
        <w:t>ются использовать танк Т-34 как орудийный танк, ведущий огонь с места (по возможности из-за укры</w:t>
      </w:r>
      <w:r w:rsidRPr="00722885">
        <w:rPr>
          <w:rFonts w:ascii="Times New Roman" w:hAnsi="Times New Roman"/>
          <w:color w:val="000000" w:themeColor="text1"/>
          <w:sz w:val="16"/>
          <w:szCs w:val="16"/>
        </w:rPr>
        <w:softHyphen/>
        <w:t>тий) по огневым точкам противника, тем более, что при выстреле с хода строго - прямо вперед, из-за силь</w:t>
      </w:r>
      <w:r w:rsidRPr="00722885">
        <w:rPr>
          <w:rFonts w:ascii="Times New Roman" w:hAnsi="Times New Roman"/>
          <w:color w:val="000000" w:themeColor="text1"/>
          <w:sz w:val="16"/>
          <w:szCs w:val="16"/>
        </w:rPr>
        <w:softHyphen/>
        <w:t>ной отдачи происходит часто заклинение башни и танк выходит из строя, а поэтому приходится повора</w:t>
      </w:r>
      <w:r w:rsidRPr="00722885">
        <w:rPr>
          <w:rFonts w:ascii="Times New Roman" w:hAnsi="Times New Roman"/>
          <w:color w:val="000000" w:themeColor="text1"/>
          <w:sz w:val="16"/>
          <w:szCs w:val="16"/>
        </w:rPr>
        <w:softHyphen/>
        <w:t>чивать танк на ходу под некоторым углом к цели (информация командира 171 отб майора Тарахович).</w:t>
      </w:r>
    </w:p>
    <w:p w14:paraId="074D4F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Автоматическая пушка «ШВАК», установленная на танке Т-60, имеет конструктивные недос</w:t>
      </w:r>
      <w:r w:rsidRPr="00722885">
        <w:rPr>
          <w:rFonts w:ascii="Times New Roman" w:hAnsi="Times New Roman"/>
          <w:color w:val="000000" w:themeColor="text1"/>
          <w:sz w:val="16"/>
          <w:szCs w:val="16"/>
        </w:rPr>
        <w:softHyphen/>
        <w:t>татки затвора: происходит остановка и задержка стрельбы из-за несвоевременного выбрасывания стреляной гильзы.</w:t>
      </w:r>
    </w:p>
    <w:p w14:paraId="3BEC23E5"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Лейтенант т. Калеев предложил небольшое усовершенствование (2 планки), которые, будучи ус</w:t>
      </w:r>
      <w:r w:rsidRPr="00722885">
        <w:rPr>
          <w:i w:val="0"/>
          <w:iCs w:val="0"/>
          <w:color w:val="000000" w:themeColor="text1"/>
          <w:spacing w:val="0"/>
          <w:kern w:val="0"/>
          <w:position w:val="0"/>
          <w:sz w:val="16"/>
          <w:szCs w:val="16"/>
        </w:rPr>
        <w:softHyphen/>
        <w:t>тановлены в затворе орудия его танка, дали положительные результаты и устранили задержки в стрельбе.</w:t>
      </w:r>
    </w:p>
    <w:p w14:paraId="6D29DD3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Прилагаемые чертежи и пояснения к затронутым вопросам, выполненные командирами-тан</w:t>
      </w:r>
      <w:r w:rsidRPr="00722885">
        <w:rPr>
          <w:rFonts w:ascii="Times New Roman" w:hAnsi="Times New Roman"/>
          <w:color w:val="000000" w:themeColor="text1"/>
          <w:sz w:val="16"/>
          <w:szCs w:val="16"/>
        </w:rPr>
        <w:softHyphen/>
        <w:t>кистами в полевых условиях, недостаточно аккуратные, возможно недостаточно технически грамот</w:t>
      </w:r>
      <w:r w:rsidRPr="00722885">
        <w:rPr>
          <w:rFonts w:ascii="Times New Roman" w:hAnsi="Times New Roman"/>
          <w:color w:val="000000" w:themeColor="text1"/>
          <w:sz w:val="16"/>
          <w:szCs w:val="16"/>
        </w:rPr>
        <w:softHyphen/>
        <w:t>ные, но это не умаляет важности их содержания.</w:t>
      </w:r>
    </w:p>
    <w:p w14:paraId="7A1926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Выводы:</w:t>
      </w:r>
    </w:p>
    <w:p w14:paraId="31F4744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Боевой опыт применения танков Т-34 говорит о том, что танк Т-34, имея мощный огонь, мощ</w:t>
      </w:r>
      <w:r w:rsidRPr="00722885">
        <w:rPr>
          <w:rFonts w:ascii="Times New Roman" w:hAnsi="Times New Roman"/>
          <w:color w:val="000000" w:themeColor="text1"/>
          <w:sz w:val="16"/>
          <w:szCs w:val="16"/>
        </w:rPr>
        <w:softHyphen/>
        <w:t>ный мотор, но имеет и конструктивные недостатки: слабую броню и отсутствие командирской ба</w:t>
      </w:r>
      <w:r w:rsidRPr="00722885">
        <w:rPr>
          <w:rFonts w:ascii="Times New Roman" w:hAnsi="Times New Roman"/>
          <w:color w:val="000000" w:themeColor="text1"/>
          <w:sz w:val="16"/>
          <w:szCs w:val="16"/>
        </w:rPr>
        <w:softHyphen/>
        <w:t>шенки, что мешает командиру хорошо наблюдать за полем боя, за действиями противника и своих войск. Особенно это относится к танкам командира взвода, роты, батальона.</w:t>
      </w:r>
    </w:p>
    <w:p w14:paraId="0A1E989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Автоматическая пушка «ШВАК», установленная на танке Т-60, имеет конструктивные недос</w:t>
      </w:r>
      <w:r w:rsidRPr="00722885">
        <w:rPr>
          <w:rFonts w:ascii="Times New Roman" w:hAnsi="Times New Roman"/>
          <w:color w:val="000000" w:themeColor="text1"/>
          <w:sz w:val="16"/>
          <w:szCs w:val="16"/>
        </w:rPr>
        <w:softHyphen/>
        <w:t>татки затвора, вследствие чего происходит задержка и остановка стрельбы в бою.</w:t>
      </w:r>
    </w:p>
    <w:p w14:paraId="52D0EB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Предложения:</w:t>
      </w:r>
    </w:p>
    <w:p w14:paraId="33DE66B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Крайне желательно, чтобы специалисты АБТУ КА рассмотрели предложения, составленные группой командиров 171 отдельного танкового батальона 4 ударной армии по улучшению (модерни</w:t>
      </w:r>
      <w:r w:rsidRPr="00722885">
        <w:rPr>
          <w:rFonts w:ascii="Times New Roman" w:hAnsi="Times New Roman"/>
          <w:color w:val="000000" w:themeColor="text1"/>
          <w:sz w:val="16"/>
          <w:szCs w:val="16"/>
        </w:rPr>
        <w:softHyphen/>
        <w:t>зации) танка Т-34 и проверили опытным путем приспособление, устраняющее задержку при стрель</w:t>
      </w:r>
      <w:r w:rsidRPr="00722885">
        <w:rPr>
          <w:rFonts w:ascii="Times New Roman" w:hAnsi="Times New Roman"/>
          <w:color w:val="000000" w:themeColor="text1"/>
          <w:sz w:val="16"/>
          <w:szCs w:val="16"/>
        </w:rPr>
        <w:softHyphen/>
        <w:t>бе из автоматической пушки «ШВАК» (на танке Т-60), примененное и давшее положительные ре</w:t>
      </w:r>
      <w:r w:rsidRPr="00722885">
        <w:rPr>
          <w:rFonts w:ascii="Times New Roman" w:hAnsi="Times New Roman"/>
          <w:color w:val="000000" w:themeColor="text1"/>
          <w:sz w:val="16"/>
          <w:szCs w:val="16"/>
        </w:rPr>
        <w:softHyphen/>
        <w:t>зультаты в 171 отб.</w:t>
      </w:r>
    </w:p>
    <w:p w14:paraId="7616901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w:t>
      </w:r>
      <w:r w:rsidRPr="00722885">
        <w:rPr>
          <w:rFonts w:ascii="Times New Roman" w:hAnsi="Times New Roman"/>
          <w:color w:val="000000" w:themeColor="text1"/>
          <w:sz w:val="16"/>
          <w:szCs w:val="16"/>
          <w:vertAlign w:val="superscript"/>
        </w:rPr>
        <w:t>46</w:t>
      </w:r>
      <w:r w:rsidRPr="00722885">
        <w:rPr>
          <w:rFonts w:ascii="Times New Roman" w:hAnsi="Times New Roman"/>
          <w:color w:val="000000" w:themeColor="text1"/>
          <w:sz w:val="16"/>
          <w:szCs w:val="16"/>
        </w:rPr>
        <w:t>: объяснение и чертежи, составленные командирами 171 отб на 6 листах.</w:t>
      </w:r>
    </w:p>
    <w:p w14:paraId="5AA2522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Офицер Генштаба КА майор Домнич</w:t>
      </w:r>
    </w:p>
    <w:p w14:paraId="2036FBB0"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ЦАМО. Ф. 38. Оп. 11355. Д. 938. Л. 363 с об. Подлинник (11221).</w:t>
      </w:r>
    </w:p>
    <w:p w14:paraId="78624E06" w14:textId="77777777" w:rsidR="00BB6316" w:rsidRPr="00722885" w:rsidRDefault="00BB6316" w:rsidP="00722885">
      <w:pPr>
        <w:pStyle w:val="afff2"/>
        <w:jc w:val="both"/>
        <w:rPr>
          <w:i w:val="0"/>
          <w:iCs w:val="0"/>
          <w:color w:val="000000" w:themeColor="text1"/>
          <w:spacing w:val="0"/>
          <w:kern w:val="0"/>
          <w:position w:val="0"/>
          <w:sz w:val="16"/>
          <w:szCs w:val="16"/>
        </w:rPr>
      </w:pPr>
    </w:p>
    <w:p w14:paraId="6E583A22" w14:textId="77777777" w:rsidR="00EF490F" w:rsidRPr="00722885" w:rsidRDefault="00EF490F" w:rsidP="00722885">
      <w:pPr>
        <w:pStyle w:val="ae"/>
        <w:shd w:val="clear" w:color="auto" w:fill="FFFFFF"/>
        <w:spacing w:before="0" w:after="0"/>
        <w:jc w:val="both"/>
        <w:rPr>
          <w:color w:val="000000" w:themeColor="text1"/>
          <w:sz w:val="16"/>
          <w:szCs w:val="16"/>
        </w:rPr>
      </w:pPr>
      <w:r w:rsidRPr="00722885">
        <w:rPr>
          <w:color w:val="000000" w:themeColor="text1"/>
          <w:sz w:val="16"/>
          <w:szCs w:val="16"/>
        </w:rPr>
        <w:t>18 декабря 1942 об итогах испытаний Т-80 было доложено Сталину. 27 декабря 1942 года тот подписал постановление ГКО №2661сс «Об организации производства танка Т-80 на бывшем Мытищенском вагоностроительном заводе». Согласно документу, в апреле 1943 года в Мытищах должны были изготовить 25 танков данного типа, в мае 50, а в июне 100. О том, что новые танки будет собирать и ГАЗ им. Молотова, в постановлении ГКО ничего не говорилось. Заводское КБ обеспечивало завод №40, в который переформировали бывший завод №592, технической документацией, а также двигателями и рядом других узлов и агрегатов (17712).</w:t>
      </w:r>
    </w:p>
    <w:p w14:paraId="49BB113A" w14:textId="77777777" w:rsidR="00EF490F" w:rsidRPr="00722885" w:rsidRDefault="00EF490F" w:rsidP="00722885">
      <w:pPr>
        <w:pStyle w:val="12a"/>
        <w:shd w:val="clear" w:color="auto" w:fill="auto"/>
        <w:spacing w:after="0" w:line="240" w:lineRule="auto"/>
        <w:jc w:val="both"/>
        <w:rPr>
          <w:color w:val="000000" w:themeColor="text1"/>
          <w:sz w:val="16"/>
          <w:szCs w:val="16"/>
        </w:rPr>
      </w:pPr>
    </w:p>
    <w:p w14:paraId="2890C70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года была подготовлена справка:</w:t>
      </w:r>
    </w:p>
    <w:p w14:paraId="5530DD3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Устав завода № 544 НКВ (9275).</w:t>
      </w:r>
    </w:p>
    <w:p w14:paraId="4EA285BB" w14:textId="77777777" w:rsidR="00BB6316" w:rsidRPr="00722885" w:rsidRDefault="00BB6316" w:rsidP="00722885">
      <w:pPr>
        <w:pStyle w:val="Iauiue"/>
        <w:jc w:val="both"/>
        <w:rPr>
          <w:color w:val="000000" w:themeColor="text1"/>
          <w:sz w:val="16"/>
          <w:szCs w:val="16"/>
        </w:rPr>
      </w:pPr>
    </w:p>
    <w:p w14:paraId="4BF1241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года была подготовлена справка:</w:t>
      </w:r>
    </w:p>
    <w:p w14:paraId="7D03237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Директор завода № 235 – Золотарев (9267).</w:t>
      </w:r>
    </w:p>
    <w:p w14:paraId="7C741ECF" w14:textId="77777777" w:rsidR="00BB6316" w:rsidRPr="00722885" w:rsidRDefault="00BB6316" w:rsidP="00722885">
      <w:pPr>
        <w:pStyle w:val="Iauiue"/>
        <w:jc w:val="both"/>
        <w:rPr>
          <w:color w:val="000000" w:themeColor="text1"/>
          <w:sz w:val="16"/>
          <w:szCs w:val="16"/>
        </w:rPr>
      </w:pPr>
    </w:p>
    <w:p w14:paraId="0DCEED3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Заводы №№ 54 и 544 – Ижевск</w:t>
      </w:r>
    </w:p>
    <w:p w14:paraId="566E9D0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710 НКВ – Подольск</w:t>
      </w:r>
    </w:p>
    <w:p w14:paraId="6C8C38F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Начальник и гл. конструктор СКБ при заводе № 710 Симонов С.Г. (9267).</w:t>
      </w:r>
    </w:p>
    <w:p w14:paraId="5A733B5E" w14:textId="77777777" w:rsidR="00BB6316" w:rsidRPr="00722885" w:rsidRDefault="00BB6316" w:rsidP="00722885">
      <w:pPr>
        <w:pStyle w:val="Iauiue"/>
        <w:jc w:val="both"/>
        <w:rPr>
          <w:color w:val="000000" w:themeColor="text1"/>
          <w:sz w:val="16"/>
          <w:szCs w:val="16"/>
        </w:rPr>
      </w:pPr>
    </w:p>
    <w:p w14:paraId="11B96F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декабря 1942 решение Военного совета фронта о дополнительной постройке в 1943 г. еще восьми МБК (10671).</w:t>
      </w:r>
    </w:p>
    <w:p w14:paraId="1207845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56D65C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декабря 1942 вышло Постановление ГКО № 2638 О добыче торфа торфопредприятиями наркоматов и ведомств в 1943 году. РГАНИР, Фонд ГКО, д. 73, лл. 65-72, 73-117 (11012).</w:t>
      </w:r>
    </w:p>
    <w:p w14:paraId="10E78C5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E00C7A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EF7C216" w14:textId="77777777" w:rsidR="00BB6316" w:rsidRPr="00722885" w:rsidRDefault="00BB6316" w:rsidP="00722885">
      <w:pPr>
        <w:pStyle w:val="Iauiue"/>
        <w:jc w:val="both"/>
        <w:rPr>
          <w:iCs/>
          <w:color w:val="000000" w:themeColor="text1"/>
          <w:sz w:val="16"/>
          <w:szCs w:val="16"/>
        </w:rPr>
      </w:pPr>
    </w:p>
    <w:p w14:paraId="21DD81D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18 декабря </w:t>
      </w:r>
      <w:r w:rsidRPr="00722885">
        <w:rPr>
          <w:rFonts w:ascii="Times New Roman" w:hAnsi="Times New Roman"/>
          <w:color w:val="000000" w:themeColor="text1"/>
          <w:sz w:val="16"/>
          <w:szCs w:val="16"/>
        </w:rPr>
        <w:t>в 1942 году утреннее сообщение Совинформбюро:</w:t>
      </w:r>
    </w:p>
    <w:p w14:paraId="49CBB3C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18 декабря в районе Сталинграда и на Центральном фронте наши войска продолжали вести наступательные бои на прежних направлениях.</w:t>
      </w:r>
    </w:p>
    <w:p w14:paraId="26BCD7D9"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штурмовые отряды окружили и взорвали 7 немецких дзотов вместе с их гарнизонами. На южной окраине города огнём наземных войск сбито 5 транспортных самолётов противника.</w:t>
      </w:r>
    </w:p>
    <w:p w14:paraId="35B171A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огневой бой и отбили несколько контратак противника. Немцы силами пехоты и танков атаковали позиции, которые обороняет Н-ская часть. Огнём из противотанковых орудий было подбито 5 немецких танков. Затем наши бойцы нанесли противнику контрудар и уничтожили свыше 200 немецких солдат и офицеров. На другом участке нашими подразделениями уничтожено до роты гитлеровцев, 8 автомашин и взорван склад с боеприпасами.</w:t>
      </w:r>
    </w:p>
    <w:p w14:paraId="7361FAF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частью сил вели наступательные бои. Н-ская часть овладела укреплённым опорным пунктом немцев. На другом участке советские бойцы отбили две контратаки гитлеровцев. Уничтожено 250 вражеских солдат и офицеров, сожжено и подбито 8 ненецких танков. Захвачено 12 пулемётов, много винтовок и боеприпасы.</w:t>
      </w:r>
    </w:p>
    <w:p w14:paraId="10E6CE9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активные боевые действия. В районе западнее Ржева противник пытался контратаками сдержать продвижение советских частей. Бойцы Н-ской части отбросили немцев и истребили более роты вражеских солдат и офицеров.</w:t>
      </w:r>
    </w:p>
    <w:p w14:paraId="0191766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дороги Ржев—Вязьма наш штурмовой отряд занял населённый пункт, превращенный немцами в опорный пункт обороны. В боях за этот населённый пункт уничтожено до батальона пехоты противника. Уничтожено также 3 танка, 2 орудия и 10 пулемётов. Взяты пленные. Наши зенитчики сбили над полем боя 3 немецких самолёта.</w:t>
      </w:r>
    </w:p>
    <w:p w14:paraId="4478936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Ленинградской области, совершил нападение на немецкий гарнизон в населённом пункте. Партизаны истребили гитлеровцев, находившихся в этой деревне. Группа советских патриотов из этого же отряда пустила под откос воинский эшелон противника. Паровоз и 13 вагонов разбиты. Во время крушения сгорело шесть цистерн с горючим.</w:t>
      </w:r>
    </w:p>
    <w:p w14:paraId="60BAC60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Совинформбюро уже разоблачило берлинские басни о том, что немцы якобы организовали добычу нефти в Майкопе и восстановили на Украине тракторный завод. Со всей очевидностью было доказано, что и майкопская нефть, и украинские тракторы существуют лишь в больном воображении гитлеровцев. Однако фашистские лжецы не унимаются. Недаром народная поговорка гласит: «Голодной куме хлеб на уме». 16 декабря берлинское радио передало ещё одну сногсшибательную новость. Гитлеровские жулики хвастают на весь мир: «В Новороссийске имеются большие цементные заводы. Они давали России 30 процентов всего цемента, добываемого встране. В настоящее время эти заводы успешно работают и дают достаточное количество продукции». B этом сообщении, равно как и во всех предыдущих, всёв ымышлено. Во-первых, вся группа новороссийских цементных заводов производила не 30 процентов, а менее 10 процентов всего цемента, добываемого в Советском Союзе. Во-вторых, немцы захватили не всю группу новороссийских цементных заводов, а лишь два из них, и оба завода находятся в сфере огня нашей артиллерии. Эти два предприятия вырабатывали не более 3—4 процентов цемента. В-третьих, основное оборудование этих заводов было своевременно вывезено. Таким образом, немцы никакого цемента в Новороссийске не производят и не могут произвести. Возникает вопрос, почему гитлеровцы так залихватски продолжают врать, почему они так настойчиво и упорно распространяют вздорные и глупые измышления о своих экономических достижениях в оккупированных советских районах? Объясняется это весьма просто. Германия испытывает огромные экономические затруднения. Гитлеровцы, распространяя выдумки о якобы восстановленных советских заводах и промыслах, пытаются внушить легковерным простакам, что Германия преодолела хозяйственный кризис и поправила свои дела. Но таких простаков становится все меньше. Слишком уж хорошо знает ныне мировая общественность лживые повадки гитлеровцев.» (14864).</w:t>
      </w:r>
    </w:p>
    <w:p w14:paraId="784C0562"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177770B2"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18 декабря </w:t>
      </w:r>
      <w:r w:rsidRPr="00722885">
        <w:rPr>
          <w:rFonts w:ascii="Times New Roman" w:hAnsi="Times New Roman"/>
          <w:color w:val="000000" w:themeColor="text1"/>
          <w:sz w:val="16"/>
          <w:szCs w:val="16"/>
        </w:rPr>
        <w:t>в 1942 году вечернее сообщение Совинформбюро:</w:t>
      </w:r>
    </w:p>
    <w:p w14:paraId="5C2B2C50"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18 декабря наши войска в районе Сталинграда и на Центральном фронте продолжали вести наступательные бои на прежних направлениях.</w:t>
      </w:r>
    </w:p>
    <w:p w14:paraId="7F4FD61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17 декабря в воздушных боях и на аэродромах уничтожено 93 немецких самолётов, в том числе в районе Сталинграда 8 транспортных самолётов противника.</w:t>
      </w:r>
    </w:p>
    <w:p w14:paraId="34D6540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декабря частями нашей авиации на различных участках фронта уничтожено или повреждено 30 немецких танков, до 300 автомашин с войсками и грузами, подавлен огонь 4 артиллерийских дивизионов, разбито 4 железнодорожных эшелона, взорваны 2 склада боеприпасов и склад горючего, рассеяно и частью уничтожено до двух батальонов пехоты противника.</w:t>
      </w:r>
    </w:p>
    <w:p w14:paraId="1D62789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действуя мелкими штурмовыми группами, продолжали уничтожать огневые точки, дзоты и блиндажи противника. На южной окраине города истреблено до роты немецкой пехоты. Захвачен вражеский транспортный самолёт, подбитый нашим истребителем.</w:t>
      </w:r>
    </w:p>
    <w:p w14:paraId="65BA2AB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занятые позиции и на отдельных участках вели активные боевые действия. Бойцы Н-ской части атаковали немцев, укрепившихся на одной высоте. В ожесточённой схватке уничтожены две роты гитлеровцев и заняты вражеские позиции. Захвачены трофеи и пленные. На другом участке артиллерийским огнём разрушено 10 дзотов и блиндажей. Подавлен огонь 6 миномётных батарей противника.</w:t>
      </w:r>
    </w:p>
    <w:p w14:paraId="3205050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ожесточённые бои с танками и пехотой противника. Вражеской пехоте при поддержке танков удалось занять один населённый пункт. Перегруппировав свои силы, наши части нанесли немцам контрудар и выбили их из населённого пункта. На поле боя остались сотни вражеских трупов и7 сожжённых танков. На другом участке артиллеристы под командованием лейтенанта Тепелко подбили 7 немецких танков. В этом же бою старший лейтенант Кошевенко из противотанкового ружья вывел из строя 6 танков противника.</w:t>
      </w:r>
    </w:p>
    <w:p w14:paraId="059F660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отбивая контратаки противника, продолжали вести наступательные бои. B районе западнее Ржева гвардейцы части, где командиром тов. Холодилов, в двухдневном бою уничтожили до 500 немцев, 6 танков, 19 автомашин, артиллерийскую и миномётную батареи. На другом участке крупные силы пехоты противника при поддержке танков пытались занять рощу, имеющую большое тактическое значение. После ожесточённого сражения немцы были отброшены, оставив на поле боя 150 трупов и 6 подбитых танков.</w:t>
      </w:r>
    </w:p>
    <w:p w14:paraId="4F1A6ED0"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наши части продвигались вперёд, уничтожили свыше 300 немецких солдат и офицеров и захватили 2 танка, 9 орудий, 4 радиостанции, 22 автомашины, 10 пулемётов и 2 вещевых склада.</w:t>
      </w:r>
    </w:p>
    <w:p w14:paraId="441A11F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в воздушных боях сбили 26 самолётов противника.</w:t>
      </w:r>
    </w:p>
    <w:p w14:paraId="372FA92A"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Моздока противник силою пехоты при поддержке танков атаковал наши позиции. Бойцы Н-ской части отбили атаку гитлеровцев. В результате боя уничтожено свыше роты немецкой пехоты, подбито 5 и сожжено 3 немецких танка.</w:t>
      </w:r>
    </w:p>
    <w:p w14:paraId="3A797CD6"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Калининской области, пустил под откос четыре воинских эшелона противника. Уничтожен паровоз, разбито в щепы 8 вагоновс войсками и 4 платформы с автомашинами, повреждено 104 вагона и платформы. Другой отряд калининских партизан организовал крушение двух поездов немецко-фашистских оккупантов. Убито и ранено большое количество гитлеровцев.</w:t>
      </w:r>
    </w:p>
    <w:p w14:paraId="61B6E9A5"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Захваченный в плен радист сбитого бомбардировщика «Юнкерс-88» 3 отряда 1 немецкой бомбардировочной эскадры Бернгард Шмидеке рассказал: «Экипаж нашего самолёта вместе с группой других лётчиков получил задание бомбить скопление русских автомашин. За линией фронта мы попали под сильный огонь зенитной артиллерии. Русские зенитчики стреляли очень метко и в несколько минут сбили 3 самолёта. За последнюю неделю русские сбили 5 бомбардировщиков нашего отряда. С каждым днём всё острее ощущается недостаток опытных пилотов. В тот день, когда я вылетел в роковой для меня полёт, в отряде оставалось всего лишь три экипажа».</w:t>
      </w:r>
    </w:p>
    <w:p w14:paraId="412E38D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истребляют население захваченных ими советских районов. В деревнях Сверкуны, Черепы, Карелово, Симоновка, Будино, Выползово и Огибалово, Вельского района, Смоленской области, немцы учинили зверскую расправу над мирным населением.</w:t>
      </w:r>
    </w:p>
    <w:p w14:paraId="2548023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Палачи расстреляли и замучили многих, стариков, женщин и детей. Всем жителям были розданы бирки и было приказано носить их на шее. За утерю бирки гитлеровцы подвергали виновных самым суровым наказаниям вплоть до расстрела. Фашистские изверги теперь почти целиком сожгли эти деревни. Оставшихся в живых крестьян немцы угнали на каторжные работы в Германию.»</w:t>
      </w:r>
    </w:p>
    <w:p w14:paraId="568933C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6894E7B5"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в районе среднего течения Дона</w:t>
      </w:r>
    </w:p>
    <w:p w14:paraId="3389F959"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днях наши войска, расположенные в районе среднего течения Дона, перешли внаступление против немецко-фашистских войск. Наступление началось в двух направлениях: с северо-запада на участке Новая Калитва—Монастырщина и с востока— в районе Боковская. Прорвав оборону противника на участке Новая Калитва —Монастырщина протяжением 95 километров и в районе Боковская—протяжением 20 километров, наши войска за четыре дня напряжённых боёв, преодолевая сопротивление противника, продвинулись вперёд от 50 до 90 километров. Нашими войсками занято более 200 населённых пунктов, в том числе города Новая Калитва, Кантемировка, Богучар и районные центры Талы, Радчен-Ское, Боковская.</w:t>
      </w:r>
    </w:p>
    <w:p w14:paraId="4F2FA91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наступления наших войск разгромлены девять пехотных дивизий и одна пехотная бригада противника. Нанесены большие потери четырём пехотным дивизиям и одной танковой дивизии противника. Захвачено за четыре дня боёв более 10.000 пленных.</w:t>
      </w:r>
    </w:p>
    <w:p w14:paraId="7275D3E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По далеко не полным данным, нашими войсками захвачены следующие трофеи: танков — 84, орудий разных калибров — 1.102, миномётов — 608, пулемётов — 1.729, винтовок — 28.000, противотанковых ружей — 420, автомашин — 2.720, мотоциклов —300, лошадей — более 1.000, складов с боеприпасами, вооружением и продовольствием — 45. Трофеи подсчитываются.</w:t>
      </w:r>
    </w:p>
    <w:p w14:paraId="2D503AB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Уничтожено: самолётов — 64, танков — 88, орудий — 120, автомашин — свыше 500, повозок с различным военным грузом — 203.</w:t>
      </w:r>
    </w:p>
    <w:p w14:paraId="79EA201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Противник оставил на поле боя свыше 20.000 трупов солдат и офицеров.</w:t>
      </w:r>
    </w:p>
    <w:p w14:paraId="25DD7AA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Прорыв осуществлён силами Юго-Западного фронта, которым командует генерал-полковник тов. Ватутин Н. Ф., и Воронежского фронта, которым командуетгенерал-лейтенант тов. Голиков Ф. И.</w:t>
      </w:r>
    </w:p>
    <w:p w14:paraId="3CB82FC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боях отличились войска генерал-лейтенанта Кузнецова В. И.,генерал-лейтенанта Лелюшенко Д. Д., генерал-майора Харитонова Ф. М.</w:t>
      </w:r>
    </w:p>
    <w:p w14:paraId="010D41C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продолжается.» (14864).</w:t>
      </w:r>
    </w:p>
    <w:p w14:paraId="74A14562"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69EFB57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18 декабря </w:t>
      </w:r>
      <w:r w:rsidRPr="00722885">
        <w:rPr>
          <w:rFonts w:ascii="Times New Roman" w:hAnsi="Times New Roman"/>
          <w:color w:val="000000" w:themeColor="text1"/>
          <w:sz w:val="16"/>
          <w:szCs w:val="16"/>
        </w:rPr>
        <w:t>в 1942 году войска Юго-Западного фронта расчленили фронт противника от Новой Калитвы до Чернышевской на 4 изолированных участка (14864).</w:t>
      </w:r>
    </w:p>
    <w:p w14:paraId="2C126F94"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5A4F3B35"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18 декабря </w:t>
      </w:r>
      <w:r w:rsidRPr="00722885">
        <w:rPr>
          <w:rFonts w:ascii="Times New Roman" w:hAnsi="Times New Roman"/>
          <w:color w:val="000000" w:themeColor="text1"/>
          <w:sz w:val="16"/>
          <w:szCs w:val="16"/>
        </w:rPr>
        <w:t>в 1942 году колхозник сельхозартели «Стахановец» Ново-Покровского района Саратовской области Ф.П.Головатый передал свои сбережения в сумме 100 тысяч рублей государству на постройку боевого самолета. Изготовленный на Саратовском авиазаводе истребитель был передан летчику Сталинградского фронта гвардии майору Б.Н.Еремину.</w:t>
      </w:r>
    </w:p>
    <w:p w14:paraId="2C9F542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после выработки моторесурса в 1944 г. передан Саратовскому областному краеведческому музею, Ф.П.Головатый, узнав об этом, вновь отдал 100 тысяч рублей накоплений и передал Б.Н.Еремину истребитель «Як-3», на котором летчик сбил 14 вражеских самолетов. Этот «Як-3» хранится в музее ОКБ А.С.Яковлева (14864).</w:t>
      </w:r>
    </w:p>
    <w:p w14:paraId="776CCF62"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245CD3A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18 декабря </w:t>
      </w:r>
      <w:r w:rsidRPr="00722885">
        <w:rPr>
          <w:rFonts w:ascii="Times New Roman" w:hAnsi="Times New Roman"/>
          <w:color w:val="000000" w:themeColor="text1"/>
          <w:sz w:val="16"/>
          <w:szCs w:val="16"/>
        </w:rPr>
        <w:t>в 1942 году советские войска вышли на границу Украинской ССР (14864).</w:t>
      </w:r>
    </w:p>
    <w:p w14:paraId="183124B6"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305A089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18 декабря 1942 из состава 206-й </w:t>
      </w:r>
      <w:r w:rsidRPr="00722885">
        <w:rPr>
          <w:iCs/>
          <w:color w:val="000000" w:themeColor="text1"/>
          <w:sz w:val="16"/>
          <w:szCs w:val="16"/>
        </w:rPr>
        <w:t>шад,</w:t>
      </w:r>
      <w:r w:rsidRPr="00722885">
        <w:rPr>
          <w:color w:val="000000" w:themeColor="text1"/>
          <w:sz w:val="16"/>
          <w:szCs w:val="16"/>
        </w:rPr>
        <w:t xml:space="preserve"> по</w:t>
      </w:r>
      <w:r w:rsidRPr="00722885">
        <w:rPr>
          <w:color w:val="000000" w:themeColor="text1"/>
          <w:sz w:val="16"/>
          <w:szCs w:val="16"/>
        </w:rPr>
        <w:softHyphen/>
        <w:t>несшей перед этим большие потери, была сформирована специальная опе</w:t>
      </w:r>
      <w:r w:rsidRPr="00722885">
        <w:rPr>
          <w:color w:val="000000" w:themeColor="text1"/>
          <w:sz w:val="16"/>
          <w:szCs w:val="16"/>
        </w:rPr>
        <w:softHyphen/>
        <w:t>ративная штурмовая авиагруппа во гла</w:t>
      </w:r>
      <w:r w:rsidRPr="00722885">
        <w:rPr>
          <w:color w:val="000000" w:themeColor="text1"/>
          <w:sz w:val="16"/>
          <w:szCs w:val="16"/>
        </w:rPr>
        <w:softHyphen/>
        <w:t>ве с заместителем командира авиади</w:t>
      </w:r>
      <w:r w:rsidRPr="00722885">
        <w:rPr>
          <w:color w:val="000000" w:themeColor="text1"/>
          <w:sz w:val="16"/>
          <w:szCs w:val="16"/>
        </w:rPr>
        <w:softHyphen/>
        <w:t>визии подполковником Л.К.Чумаченко, в которую вошли 10 наиболее подготов</w:t>
      </w:r>
      <w:r w:rsidRPr="00722885">
        <w:rPr>
          <w:color w:val="000000" w:themeColor="text1"/>
          <w:sz w:val="16"/>
          <w:szCs w:val="16"/>
        </w:rPr>
        <w:softHyphen/>
        <w:t xml:space="preserve">ленных экипажей из 503-го, 686-го, 811-го и 945-го </w:t>
      </w:r>
      <w:r w:rsidRPr="00722885">
        <w:rPr>
          <w:iCs/>
          <w:color w:val="000000" w:themeColor="text1"/>
          <w:sz w:val="16"/>
          <w:szCs w:val="16"/>
        </w:rPr>
        <w:t>шап.</w:t>
      </w:r>
      <w:r w:rsidRPr="00722885">
        <w:rPr>
          <w:color w:val="000000" w:themeColor="text1"/>
          <w:sz w:val="16"/>
          <w:szCs w:val="16"/>
        </w:rPr>
        <w:t xml:space="preserve"> В состав этой группы решением Т.Т.Хрюкина были также включены 6 Ил-2 226-й </w:t>
      </w:r>
      <w:r w:rsidRPr="00722885">
        <w:rPr>
          <w:iCs/>
          <w:color w:val="000000" w:themeColor="text1"/>
          <w:sz w:val="16"/>
          <w:szCs w:val="16"/>
        </w:rPr>
        <w:t>шад</w:t>
      </w:r>
      <w:r w:rsidRPr="00722885">
        <w:rPr>
          <w:color w:val="000000" w:themeColor="text1"/>
          <w:sz w:val="16"/>
          <w:szCs w:val="16"/>
        </w:rPr>
        <w:t xml:space="preserve"> (по два са</w:t>
      </w:r>
      <w:r w:rsidRPr="00722885">
        <w:rPr>
          <w:color w:val="000000" w:themeColor="text1"/>
          <w:sz w:val="16"/>
          <w:szCs w:val="16"/>
        </w:rPr>
        <w:softHyphen/>
        <w:t>молета экипажа от каждого авиаполка дивизии).</w:t>
      </w:r>
    </w:p>
    <w:p w14:paraId="0907BA8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Экипажам пришлось действовать в условиях плохой видимости и низкой облачности как на маршрутах, так и в районах целей. Действовали на малых высотах, в основном мелкими группами, зачастую без прикрытия истребителя</w:t>
      </w:r>
      <w:r w:rsidRPr="00722885">
        <w:rPr>
          <w:color w:val="000000" w:themeColor="text1"/>
          <w:sz w:val="16"/>
          <w:szCs w:val="16"/>
        </w:rPr>
        <w:softHyphen/>
        <w:t>ми, выискивая скопления танков и мо</w:t>
      </w:r>
      <w:r w:rsidRPr="00722885">
        <w:rPr>
          <w:color w:val="000000" w:themeColor="text1"/>
          <w:sz w:val="16"/>
          <w:szCs w:val="16"/>
        </w:rPr>
        <w:softHyphen/>
        <w:t>топехоты противника и пробиваясь к ним сквозь плотный зенитный огонь. "Илью</w:t>
      </w:r>
      <w:r w:rsidRPr="00722885">
        <w:rPr>
          <w:color w:val="000000" w:themeColor="text1"/>
          <w:sz w:val="16"/>
          <w:szCs w:val="16"/>
        </w:rPr>
        <w:softHyphen/>
        <w:t>шины" несли чувствительные потери.</w:t>
      </w:r>
    </w:p>
    <w:p w14:paraId="088CBA8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6 Ил-2 (ведущий - коман</w:t>
      </w:r>
      <w:r w:rsidRPr="00722885">
        <w:rPr>
          <w:color w:val="000000" w:themeColor="text1"/>
          <w:sz w:val="16"/>
          <w:szCs w:val="16"/>
        </w:rPr>
        <w:softHyphen/>
        <w:t xml:space="preserve">дир эскадрильи М.Н.Слободниченко) 686-го </w:t>
      </w:r>
      <w:r w:rsidRPr="00722885">
        <w:rPr>
          <w:iCs/>
          <w:color w:val="000000" w:themeColor="text1"/>
          <w:sz w:val="16"/>
          <w:szCs w:val="16"/>
        </w:rPr>
        <w:t>шап</w:t>
      </w:r>
      <w:r w:rsidRPr="00722885">
        <w:rPr>
          <w:color w:val="000000" w:themeColor="text1"/>
          <w:sz w:val="16"/>
          <w:szCs w:val="16"/>
        </w:rPr>
        <w:t xml:space="preserve"> в сложной наземной, воздуш</w:t>
      </w:r>
      <w:r w:rsidRPr="00722885">
        <w:rPr>
          <w:color w:val="000000" w:themeColor="text1"/>
          <w:sz w:val="16"/>
          <w:szCs w:val="16"/>
        </w:rPr>
        <w:softHyphen/>
        <w:t>ной и метеорологической обстановке нанесли точный бомбоштурмовой удар по танкам и автомашинам противника, укрывшихся в балках 2 км южнее высо</w:t>
      </w:r>
      <w:r w:rsidRPr="00722885">
        <w:rPr>
          <w:color w:val="000000" w:themeColor="text1"/>
          <w:sz w:val="16"/>
          <w:szCs w:val="16"/>
        </w:rPr>
        <w:softHyphen/>
        <w:t>ты 147,0 и в балках Лескина и Неклинская. К несчастью при подлете к цели два истребителя Як-1 из группы прикрытия вследствие неисправности машины ве</w:t>
      </w:r>
      <w:r w:rsidRPr="00722885">
        <w:rPr>
          <w:color w:val="000000" w:themeColor="text1"/>
          <w:sz w:val="16"/>
          <w:szCs w:val="16"/>
        </w:rPr>
        <w:softHyphen/>
        <w:t>дущего возвратились на свой аэродром. Оставшаяся пара "Яков" во время штур</w:t>
      </w:r>
      <w:r w:rsidRPr="00722885">
        <w:rPr>
          <w:color w:val="000000" w:themeColor="text1"/>
          <w:sz w:val="16"/>
          <w:szCs w:val="16"/>
        </w:rPr>
        <w:softHyphen/>
        <w:t>мовки "Илами" цели потеряла из виду прикрываемую группу. В результате штурмовики над целью остались без прикрытия и на выходе из атаки были атакованы четверкой истребителей Люфтваффе (2 Bf109 и 2 Bf110). Первая атака "мессершмиттов" была неточной. Это позволило советским летчикам со</w:t>
      </w:r>
      <w:r w:rsidRPr="00722885">
        <w:rPr>
          <w:color w:val="000000" w:themeColor="text1"/>
          <w:sz w:val="16"/>
          <w:szCs w:val="16"/>
        </w:rPr>
        <w:softHyphen/>
        <w:t>вершить второй заход на танки против</w:t>
      </w:r>
      <w:r w:rsidRPr="00722885">
        <w:rPr>
          <w:color w:val="000000" w:themeColor="text1"/>
          <w:sz w:val="16"/>
          <w:szCs w:val="16"/>
        </w:rPr>
        <w:softHyphen/>
        <w:t>ника. В этом заходе Ил-2 ведущего был подбит, и ему пришлось выйти из боя. Загорелся "Ил" и второго ведущего. Группа Ил-2 распалась. В дальнейшем вместо организации обороны оставши</w:t>
      </w:r>
      <w:r w:rsidRPr="00722885">
        <w:rPr>
          <w:color w:val="000000" w:themeColor="text1"/>
          <w:sz w:val="16"/>
          <w:szCs w:val="16"/>
        </w:rPr>
        <w:softHyphen/>
        <w:t>еся штурмовики стали предпринимать попытки по одиночке уйти на бреющем полете от немецких истребителей. В итоге все Ил-2 были сбиты. Два из них совершили вынужденную посадку в рай</w:t>
      </w:r>
      <w:r w:rsidRPr="00722885">
        <w:rPr>
          <w:color w:val="000000" w:themeColor="text1"/>
          <w:sz w:val="16"/>
          <w:szCs w:val="16"/>
        </w:rPr>
        <w:softHyphen/>
        <w:t>оне хут. Верхне-Кумский в расположение танкистов 59-й мехбригады. О судь</w:t>
      </w:r>
      <w:r w:rsidRPr="00722885">
        <w:rPr>
          <w:color w:val="000000" w:themeColor="text1"/>
          <w:sz w:val="16"/>
          <w:szCs w:val="16"/>
        </w:rPr>
        <w:softHyphen/>
        <w:t>бе остальных ничего не известно...(6467).</w:t>
      </w:r>
    </w:p>
    <w:p w14:paraId="19DD41FC" w14:textId="77777777" w:rsidR="00BB6316" w:rsidRPr="00722885" w:rsidRDefault="00BB6316" w:rsidP="00722885">
      <w:pPr>
        <w:pStyle w:val="Iauiue"/>
        <w:jc w:val="both"/>
        <w:rPr>
          <w:color w:val="000000" w:themeColor="text1"/>
          <w:sz w:val="16"/>
          <w:szCs w:val="16"/>
        </w:rPr>
      </w:pPr>
    </w:p>
    <w:p w14:paraId="583932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декабря 1942 6 Ил-2 от 686-го шап (ведущий командир эскадрильи Слободниченко) нанесли бомбоштурмовой удар по танкам и автомашинам противника, укрывшихся в балках 2 км южнее выс. 147.0 и в балках Лески- на и Неклинская. К несчастью, истребители сопровождения от 268-й иад потеряли из виду прикрываемую группу и штурмовики на выходе из атаки были атакованы четверкой истребителей Люфтваффе. В ходе воздушного боя все Ил-2 были сбиты. Два летчика совершили вынужденные посадки в районе хут. Верхне-Кумский в расположение танкистов 59-й мехбригады. О судьбе остальных ничего не известно (12020).</w:t>
      </w:r>
    </w:p>
    <w:p w14:paraId="2542A7F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93391BF"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18 декабря 1942 советские Хэмпдены Н.Р.52 24 мтап летали атаковать немецкие корабли и суда и экипаж к С.И.Трунова торпедировал немецкий транспорт у Тана-фиорда (5493, 47).</w:t>
      </w:r>
    </w:p>
    <w:p w14:paraId="1A6AF107" w14:textId="77777777" w:rsidR="00BB6316" w:rsidRPr="00722885" w:rsidRDefault="00BB6316" w:rsidP="00722885">
      <w:pPr>
        <w:pStyle w:val="Iauiue"/>
        <w:tabs>
          <w:tab w:val="left" w:pos="11199"/>
        </w:tabs>
        <w:jc w:val="both"/>
        <w:rPr>
          <w:color w:val="000000" w:themeColor="text1"/>
          <w:sz w:val="16"/>
          <w:szCs w:val="16"/>
        </w:rPr>
      </w:pPr>
    </w:p>
    <w:p w14:paraId="13AD6C91"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18 декабря 1942 взятием села Петуховка началось освобождение Украины от фашистов (4962).</w:t>
      </w:r>
    </w:p>
    <w:p w14:paraId="7F2AB40A" w14:textId="77777777" w:rsidR="00BB6316" w:rsidRPr="00722885" w:rsidRDefault="00BB6316" w:rsidP="00722885">
      <w:pPr>
        <w:pStyle w:val="Iauiue"/>
        <w:tabs>
          <w:tab w:val="left" w:pos="11199"/>
        </w:tabs>
        <w:jc w:val="both"/>
        <w:rPr>
          <w:color w:val="000000" w:themeColor="text1"/>
          <w:sz w:val="16"/>
          <w:szCs w:val="16"/>
        </w:rPr>
      </w:pPr>
    </w:p>
    <w:p w14:paraId="2449DAC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405A8A36" w14:textId="77777777" w:rsidR="00BB6316" w:rsidRPr="00722885" w:rsidRDefault="00BB6316" w:rsidP="00722885">
      <w:pPr>
        <w:pStyle w:val="Iauiue"/>
        <w:jc w:val="both"/>
        <w:rPr>
          <w:iCs/>
          <w:color w:val="000000" w:themeColor="text1"/>
          <w:sz w:val="16"/>
          <w:szCs w:val="16"/>
        </w:rPr>
      </w:pPr>
    </w:p>
    <w:p w14:paraId="6C7520D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колхозник сельхозартели Стахановец Ново-Покровского района Саратовской области Ф.П.Головатый передал свои сбережения в сумме 100 тыс. руб. государству на постройку боевого самолета, который вручили л Еремину (3398,442).</w:t>
      </w:r>
    </w:p>
    <w:p w14:paraId="647ACA06" w14:textId="77777777" w:rsidR="00BB6316" w:rsidRPr="00722885" w:rsidRDefault="00BB6316" w:rsidP="00722885">
      <w:pPr>
        <w:pStyle w:val="Iauiue"/>
        <w:jc w:val="both"/>
        <w:rPr>
          <w:color w:val="000000" w:themeColor="text1"/>
          <w:sz w:val="16"/>
          <w:szCs w:val="16"/>
        </w:rPr>
      </w:pPr>
    </w:p>
    <w:p w14:paraId="55A53F3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3F77F90D" w14:textId="77777777" w:rsidR="00BB6316" w:rsidRPr="00722885" w:rsidRDefault="00BB6316" w:rsidP="00722885">
      <w:pPr>
        <w:pStyle w:val="Iauiue"/>
        <w:jc w:val="both"/>
        <w:rPr>
          <w:iCs/>
          <w:color w:val="000000" w:themeColor="text1"/>
          <w:sz w:val="16"/>
          <w:szCs w:val="16"/>
        </w:rPr>
      </w:pPr>
    </w:p>
    <w:p w14:paraId="789A452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Сталин в письме Рузвельту сообщил, что Советский Союз готов взять самолеты В-24, предлагаемые в связи со сложной обстановкой на Кавказе, но без экипажей. Этот вариант, в свою очередь, не понравился союзникам (3457,115).</w:t>
      </w:r>
    </w:p>
    <w:p w14:paraId="515BFCC7" w14:textId="77777777" w:rsidR="00BB6316" w:rsidRPr="00722885" w:rsidRDefault="00BB6316" w:rsidP="00722885">
      <w:pPr>
        <w:pStyle w:val="Iauiue"/>
        <w:jc w:val="both"/>
        <w:rPr>
          <w:color w:val="000000" w:themeColor="text1"/>
          <w:sz w:val="16"/>
          <w:szCs w:val="16"/>
        </w:rPr>
      </w:pPr>
    </w:p>
    <w:p w14:paraId="50FD31D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И.В.С. отказался от предложения У.Черчиля от 9 сентября 1942, который для защиты Кавказа предложил И.В.С. 17 английских истребительных эскадрилий, и 5 эскадрилий средних бомбардировщиков для поддержки наших войск в Закавказье. Американцы были готовы дать полк В-24. Мы хотели только самолеты без экипажей (1119,18).</w:t>
      </w:r>
    </w:p>
    <w:p w14:paraId="1C6DCCE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"Я очень благодарен Вам за Вашу готовность помогать нам. Что касается англо-американских эскадрилий с летным составом, то в настоящий момент отпала необходимость их присылки в Закавказье. Я буду очень Вам признателен, если Вы ускорите присылку самолетов, особенно истребителей, но без летного состава...Особенность положения советской авиации заключается в том, что у нее летчиков более, чем достаточно, но не хватает самолетов" (1261,33).</w:t>
      </w:r>
    </w:p>
    <w:p w14:paraId="3B59FAC1" w14:textId="77777777" w:rsidR="00BB6316" w:rsidRPr="00722885" w:rsidRDefault="00BB6316" w:rsidP="00722885">
      <w:pPr>
        <w:pStyle w:val="Iauiue"/>
        <w:jc w:val="both"/>
        <w:rPr>
          <w:color w:val="000000" w:themeColor="text1"/>
          <w:sz w:val="16"/>
          <w:szCs w:val="16"/>
        </w:rPr>
      </w:pPr>
    </w:p>
    <w:p w14:paraId="05F5933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 xml:space="preserve">18 декабря </w:t>
      </w:r>
      <w:r w:rsidRPr="00722885">
        <w:rPr>
          <w:rFonts w:ascii="Times New Roman" w:hAnsi="Times New Roman"/>
          <w:color w:val="000000" w:themeColor="text1"/>
          <w:sz w:val="16"/>
          <w:szCs w:val="16"/>
        </w:rPr>
        <w:t>в 1942 году декларация правительств США, СССР, Великобритании, эмигрантских правительств Бельгии, Нидерландов, Греции, Люксембурга, Норвегии, Польши, Югославии и Французского национального комитета о проводимом германскими властями истреблении еврейского населения Европы.</w:t>
      </w:r>
    </w:p>
    <w:p w14:paraId="391E2576"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(18-20 декабря) встреча Адольфа Гитлера с министром иностранных дел Италии Г.Чиано. Адольф Гитлер отверг предложение дуче о мире с СССР, а также выразил недовольство низкими боевыми качествами итальянских войск (14864).</w:t>
      </w:r>
    </w:p>
    <w:p w14:paraId="548FF057"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3104169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Москва. Заявление НКИД "О независимости Албании" (7594).</w:t>
      </w:r>
    </w:p>
    <w:p w14:paraId="04E388A8" w14:textId="77777777" w:rsidR="00BB6316" w:rsidRPr="00722885" w:rsidRDefault="00BB6316" w:rsidP="00722885">
      <w:pPr>
        <w:pStyle w:val="Iauiue"/>
        <w:jc w:val="both"/>
        <w:rPr>
          <w:color w:val="000000" w:themeColor="text1"/>
          <w:sz w:val="16"/>
          <w:szCs w:val="16"/>
        </w:rPr>
      </w:pPr>
    </w:p>
    <w:p w14:paraId="27FE5AC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3EDD557" w14:textId="77777777" w:rsidR="00BB6316" w:rsidRPr="00722885" w:rsidRDefault="00BB6316" w:rsidP="00722885">
      <w:pPr>
        <w:pStyle w:val="Iauiue"/>
        <w:jc w:val="both"/>
        <w:rPr>
          <w:iCs/>
          <w:color w:val="000000" w:themeColor="text1"/>
          <w:sz w:val="16"/>
          <w:szCs w:val="16"/>
        </w:rPr>
      </w:pPr>
    </w:p>
    <w:p w14:paraId="361E624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А.Гитлер встретился с Муссолини и Пьером Лавалем (2100).</w:t>
      </w:r>
    </w:p>
    <w:p w14:paraId="46ACA79D" w14:textId="77777777" w:rsidR="00BB6316" w:rsidRPr="00722885" w:rsidRDefault="00BB6316" w:rsidP="00722885">
      <w:pPr>
        <w:pStyle w:val="Iauiue"/>
        <w:jc w:val="both"/>
        <w:rPr>
          <w:color w:val="000000" w:themeColor="text1"/>
          <w:sz w:val="16"/>
          <w:szCs w:val="16"/>
        </w:rPr>
      </w:pPr>
    </w:p>
    <w:p w14:paraId="68A714D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австралийские и американские войска вели тяжелые бои в Папуа и японцы ожесточенно оборонялись на фронте Sanamanda (2261).</w:t>
      </w:r>
    </w:p>
    <w:p w14:paraId="6CD85286" w14:textId="77777777" w:rsidR="00BB6316" w:rsidRPr="00722885" w:rsidRDefault="00BB6316" w:rsidP="00722885">
      <w:pPr>
        <w:pStyle w:val="Iauiue"/>
        <w:jc w:val="both"/>
        <w:rPr>
          <w:color w:val="000000" w:themeColor="text1"/>
          <w:sz w:val="16"/>
          <w:szCs w:val="16"/>
        </w:rPr>
      </w:pPr>
    </w:p>
    <w:p w14:paraId="41E2E2A1"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18 1942 Rationing of oil and coal stoves begins in the US (1242).</w:t>
      </w:r>
    </w:p>
    <w:p w14:paraId="381D0F62" w14:textId="77777777" w:rsidR="00BB6316" w:rsidRPr="00722885" w:rsidRDefault="00BB6316" w:rsidP="00722885">
      <w:pPr>
        <w:pStyle w:val="Iauiue"/>
        <w:jc w:val="both"/>
        <w:rPr>
          <w:color w:val="000000" w:themeColor="text1"/>
          <w:sz w:val="16"/>
          <w:szCs w:val="16"/>
          <w:lang w:val="en-US"/>
        </w:rPr>
      </w:pPr>
    </w:p>
    <w:p w14:paraId="4DE3F4B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18 декабря 1942 в США были введены ограничения на продажу нефти и угля для печей (1242).</w:t>
      </w:r>
    </w:p>
    <w:p w14:paraId="3D303A0B" w14:textId="77777777" w:rsidR="00BB6316" w:rsidRPr="00722885" w:rsidRDefault="00BB6316" w:rsidP="00722885">
      <w:pPr>
        <w:pStyle w:val="Iauiue"/>
        <w:jc w:val="both"/>
        <w:rPr>
          <w:color w:val="000000" w:themeColor="text1"/>
          <w:sz w:val="16"/>
          <w:szCs w:val="16"/>
        </w:rPr>
      </w:pPr>
    </w:p>
    <w:p w14:paraId="7E2F93D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2482CED" w14:textId="77777777" w:rsidR="00BB6316" w:rsidRPr="00722885" w:rsidRDefault="00BB6316" w:rsidP="00722885">
      <w:pPr>
        <w:pStyle w:val="Iauiue"/>
        <w:jc w:val="both"/>
        <w:rPr>
          <w:iCs/>
          <w:color w:val="000000" w:themeColor="text1"/>
          <w:sz w:val="16"/>
          <w:szCs w:val="16"/>
        </w:rPr>
      </w:pPr>
    </w:p>
    <w:p w14:paraId="25F0370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19 декабря 1942 вышел приказ НКАП N 895 о проведении летных испытаний опытного самолета конструкции МиГ с АМ-38 назначить А.Н.Гринчика и испытывать на поле завода 155 (923,83).</w:t>
      </w:r>
    </w:p>
    <w:p w14:paraId="0B7B9A2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lastRenderedPageBreak/>
        <w:t>1. Для проведения летных испытаний с-та с мотором АМ-38 конструкции тт. Микояна и Гуревича ведущим летчиком назначить тов. А.Н.Гринчика</w:t>
      </w:r>
    </w:p>
    <w:p w14:paraId="1FD4B04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Летные испытания проводить на ЛИС завода № 155 на центральном аэродроме</w:t>
      </w:r>
    </w:p>
    <w:p w14:paraId="3D7AF71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подписал: А.С.Я. (923,83).</w:t>
      </w:r>
    </w:p>
    <w:p w14:paraId="31663E1E" w14:textId="77777777" w:rsidR="00BB6316" w:rsidRPr="00722885" w:rsidRDefault="00BB6316" w:rsidP="00722885">
      <w:pPr>
        <w:pStyle w:val="Iauiue"/>
        <w:jc w:val="both"/>
        <w:rPr>
          <w:color w:val="000000" w:themeColor="text1"/>
          <w:sz w:val="16"/>
          <w:szCs w:val="16"/>
        </w:rPr>
      </w:pPr>
    </w:p>
    <w:p w14:paraId="3A69DC0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19 декабря 1942 года на основании приказа НКАП за № 896 на заводе № 315 было организовано опытное производство, гл. конструктором был назначен Коротков Ф.А.</w:t>
      </w:r>
    </w:p>
    <w:p w14:paraId="0A2B4EF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период с 1943 года по 1945 год директором завода был Сильнов А.М. Завод выпускал авиационные карбюраторы и дизельные насосы ТН-12Б.</w:t>
      </w:r>
    </w:p>
    <w:p w14:paraId="3A82143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целях увеличения мощности завода № 315, согласно приказа НКАП № 171 от 8 марта 1944 года завод № 487 НКАП полностью влился в завод № 315. После слияния завод имел две территории. Территория № 2 (бывш. завод № 487) отделилась от завода № 315 в самостоятельный завод № 476 на основании приказа НКАП № 356 от 30 августа 1945 года.</w:t>
      </w:r>
    </w:p>
    <w:p w14:paraId="2B4DF5F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Адрес: Москва, угол Нижней Масловки и ул. Расковой, д. 33/34</w:t>
      </w:r>
    </w:p>
    <w:p w14:paraId="68E2E8B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1946 году директором завода был Брусникин Г.Д.</w:t>
      </w:r>
    </w:p>
    <w:p w14:paraId="64068D5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1947 года по октябрь 1950 года – директор Соломонович И.Д.</w:t>
      </w:r>
    </w:p>
    <w:p w14:paraId="6A69532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ноября 1950 года по май 1954 года – директор завода Брусникин Г.Д.</w:t>
      </w:r>
    </w:p>
    <w:p w14:paraId="65A774A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1954 по 1956 год – директор – Кононенко М.Л. (9605).</w:t>
      </w:r>
    </w:p>
    <w:p w14:paraId="64340090" w14:textId="77777777" w:rsidR="00BB6316" w:rsidRPr="00722885" w:rsidRDefault="00BB6316" w:rsidP="00722885">
      <w:pPr>
        <w:pStyle w:val="Iauiue"/>
        <w:jc w:val="both"/>
        <w:rPr>
          <w:color w:val="000000" w:themeColor="text1"/>
          <w:sz w:val="16"/>
          <w:szCs w:val="16"/>
        </w:rPr>
      </w:pPr>
    </w:p>
    <w:p w14:paraId="3A068D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19 декабря 1942 г. по приказу № 896с на заводе № 315 было образовано ОКБ из местных кадров для создания новых карбюраторов. Гл. конструктором назначен Н.Г.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Коротков. </w:t>
      </w:r>
    </w:p>
    <w:p w14:paraId="287C89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ОКБ-33 МАП).</w:t>
      </w:r>
    </w:p>
    <w:p w14:paraId="4CA5CC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0F9960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0A09CA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ТВД. </w:t>
      </w:r>
    </w:p>
    <w:p w14:paraId="34AF20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1957 г. ОКБ-315-33 переименовано в ОКБ-315. В 1963 г. на базе ОКБ-315 вновь создается объединенное ОКБ-315-33 с Пермским филиалом на заводе № 33. С 1967 г. ОКБ-315-33 переименовано в МАКБ «Темп». С 1992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3D7FFB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1965 г.- разработка многофункциональной системы автоматического регулирования (САР) для Ту-144, в которую, помимо регулирования основного и форсажного контуров, волши агрегаты регулирования компрессора и соплового аппарата. Принимало участие в программе создания ОК «Буран».</w:t>
      </w:r>
    </w:p>
    <w:p w14:paraId="71DBFA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1F15A7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(2002 г.)- 900 чел.</w:t>
      </w:r>
    </w:p>
    <w:p w14:paraId="1CC522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 (12.1942 г.-)- Н.Г. Гладченко, А.А. Артемьев, (06.1943-84 г.)- Ф.А. Коротков (до этого- гл. конструктор завода № 33), (1984-2004 г.-)- В.И. Зазулов. </w:t>
      </w:r>
    </w:p>
    <w:p w14:paraId="51DB4F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Ответственный руководитель (1963-84 г.)- Ф.А. Коротков. Гендиректор (1993-2004 г.-)- В.И. Зазулов.</w:t>
      </w:r>
    </w:p>
    <w:p w14:paraId="657924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гл. конструктора (2002 г.)- А.Л. Аршавский. Зам. гл. конструктора (06.1943 г.-)- Н.Г. Гладченко, (06.1943 г.-)- А.А. Артемьев; по дизельной аппаратуре (07.1945 г.-)- Н.И. Макаров; по аппаратуре ТРД (07.1946 г.-)- Н.И. Макаров; (1974-84 г.)- В.И. Зазулов.</w:t>
      </w:r>
    </w:p>
    <w:p w14:paraId="738C44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(2002 г.)- С.Н. Ломовицкий.</w:t>
      </w:r>
    </w:p>
    <w:p w14:paraId="671C11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РД-036; КТА для НК-12; часовое устройство для РСЗО "Вихрь" (1958), насос-регулятор НР-22 (1966); САР для Ту-144; САР 59А для РД-33, САР для АЛ-31Ф; регулятор подачи водорода в ГПВРД (программа "Орел") (1990-е).</w:t>
      </w:r>
    </w:p>
    <w:p w14:paraId="3AD16C3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F30D292"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F0AF00C" w14:textId="77777777" w:rsidR="00BB6316" w:rsidRPr="00722885" w:rsidRDefault="00BB6316" w:rsidP="00722885">
      <w:pPr>
        <w:pStyle w:val="Iauiue"/>
        <w:jc w:val="both"/>
        <w:rPr>
          <w:iCs/>
          <w:color w:val="000000" w:themeColor="text1"/>
          <w:sz w:val="16"/>
          <w:szCs w:val="16"/>
        </w:rPr>
      </w:pPr>
    </w:p>
    <w:p w14:paraId="41A7E1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декабря 1942 г. на Гороховецком полигоне закончились Государственные испытания У-35, которые проходили с 5 декабря. У-35 ис</w:t>
      </w:r>
      <w:r w:rsidRPr="00722885">
        <w:rPr>
          <w:rFonts w:ascii="Times New Roman" w:hAnsi="Times New Roman"/>
          <w:color w:val="000000" w:themeColor="text1"/>
          <w:sz w:val="16"/>
          <w:szCs w:val="16"/>
        </w:rPr>
        <w:softHyphen/>
        <w:t xml:space="preserve">пытывался совместно с машиной завода № 592 на шасси </w:t>
      </w:r>
      <w:r w:rsidRPr="00722885">
        <w:rPr>
          <w:rFonts w:ascii="Times New Roman" w:hAnsi="Times New Roman"/>
          <w:color w:val="000000" w:themeColor="text1"/>
          <w:sz w:val="16"/>
          <w:szCs w:val="16"/>
          <w:lang w:val="en-US"/>
        </w:rPr>
        <w:t>PzKpfwIII</w:t>
      </w:r>
      <w:r w:rsidRPr="00722885">
        <w:rPr>
          <w:rFonts w:ascii="Times New Roman" w:hAnsi="Times New Roman"/>
          <w:color w:val="000000" w:themeColor="text1"/>
          <w:sz w:val="16"/>
          <w:szCs w:val="16"/>
        </w:rPr>
        <w:t>, носившей индекс СУ-122/Т-3. По скорострель</w:t>
      </w:r>
      <w:r w:rsidRPr="00722885">
        <w:rPr>
          <w:rFonts w:ascii="Times New Roman" w:hAnsi="Times New Roman"/>
          <w:color w:val="000000" w:themeColor="text1"/>
          <w:sz w:val="16"/>
          <w:szCs w:val="16"/>
        </w:rPr>
        <w:softHyphen/>
        <w:t>ности и углу возвышения орудия уральский самоход проиг</w:t>
      </w:r>
      <w:r w:rsidRPr="00722885">
        <w:rPr>
          <w:rFonts w:ascii="Times New Roman" w:hAnsi="Times New Roman"/>
          <w:color w:val="000000" w:themeColor="text1"/>
          <w:sz w:val="16"/>
          <w:szCs w:val="16"/>
        </w:rPr>
        <w:softHyphen/>
        <w:t>рал конкуренту, но по толщине брони, высоте корпуса и проходимости оставил его позади. Госкомиссия рекомен</w:t>
      </w:r>
      <w:r w:rsidRPr="00722885">
        <w:rPr>
          <w:rFonts w:ascii="Times New Roman" w:hAnsi="Times New Roman"/>
          <w:color w:val="000000" w:themeColor="text1"/>
          <w:sz w:val="16"/>
          <w:szCs w:val="16"/>
        </w:rPr>
        <w:softHyphen/>
        <w:t>довала принять У-35 на вооружение под индексом СУ-122, но при этом был составлен список необходимых доработок в количестве 48 пунктов. Для скорейшей отправки артса-моходов на фронт заводу разрешили отгрузить первую пар</w:t>
      </w:r>
      <w:r w:rsidRPr="00722885">
        <w:rPr>
          <w:rFonts w:ascii="Times New Roman" w:hAnsi="Times New Roman"/>
          <w:color w:val="000000" w:themeColor="text1"/>
          <w:sz w:val="16"/>
          <w:szCs w:val="16"/>
        </w:rPr>
        <w:softHyphen/>
        <w:t>тию (125 штук) СУ-122 без устранения отмеченных недос</w:t>
      </w:r>
      <w:r w:rsidRPr="00722885">
        <w:rPr>
          <w:rFonts w:ascii="Times New Roman" w:hAnsi="Times New Roman"/>
          <w:color w:val="000000" w:themeColor="text1"/>
          <w:sz w:val="16"/>
          <w:szCs w:val="16"/>
        </w:rPr>
        <w:softHyphen/>
        <w:t>татков, однако КБ Уралмашзавода удалось устранить боль</w:t>
      </w:r>
      <w:r w:rsidRPr="00722885">
        <w:rPr>
          <w:rFonts w:ascii="Times New Roman" w:hAnsi="Times New Roman"/>
          <w:color w:val="000000" w:themeColor="text1"/>
          <w:sz w:val="16"/>
          <w:szCs w:val="16"/>
        </w:rPr>
        <w:softHyphen/>
        <w:t>шинство из них еще в текущем году. Первые 10 машин не имели вентилятора боевой рубки. Они не имели бронировки орудийной панорамы. Лобовой лист этих САУ имел характерный излом в месте сопряже</w:t>
      </w:r>
      <w:r w:rsidRPr="00722885">
        <w:rPr>
          <w:rFonts w:ascii="Times New Roman" w:hAnsi="Times New Roman"/>
          <w:color w:val="000000" w:themeColor="text1"/>
          <w:sz w:val="16"/>
          <w:szCs w:val="16"/>
        </w:rPr>
        <w:softHyphen/>
        <w:t>ния корпуса с рубкой. Бронировка орудийной маски имела большой недостаток — при повороте орудия в крайние по</w:t>
      </w:r>
      <w:r w:rsidRPr="00722885">
        <w:rPr>
          <w:rFonts w:ascii="Times New Roman" w:hAnsi="Times New Roman"/>
          <w:color w:val="000000" w:themeColor="text1"/>
          <w:sz w:val="16"/>
          <w:szCs w:val="16"/>
        </w:rPr>
        <w:softHyphen/>
        <w:t>ложения вправо/влево между подвижной и неподвижной броней маски образовывалась щель шириной около 11 мм. Серийные СУ-122, пошедшие в войска в январе, отли</w:t>
      </w:r>
      <w:r w:rsidRPr="00722885">
        <w:rPr>
          <w:rFonts w:ascii="Times New Roman" w:hAnsi="Times New Roman"/>
          <w:color w:val="000000" w:themeColor="text1"/>
          <w:sz w:val="16"/>
          <w:szCs w:val="16"/>
        </w:rPr>
        <w:softHyphen/>
        <w:t>чались от эталона и первых машин, выпущенных в декаб</w:t>
      </w:r>
      <w:r w:rsidRPr="00722885">
        <w:rPr>
          <w:rFonts w:ascii="Times New Roman" w:hAnsi="Times New Roman"/>
          <w:color w:val="000000" w:themeColor="text1"/>
          <w:sz w:val="16"/>
          <w:szCs w:val="16"/>
        </w:rPr>
        <w:softHyphen/>
        <w:t>ре 1942 г., тем, что их лобовой лист стал сплошным, а не ломаным, что немного увеличило объем боевого отделе</w:t>
      </w:r>
      <w:r w:rsidRPr="00722885">
        <w:rPr>
          <w:rFonts w:ascii="Times New Roman" w:hAnsi="Times New Roman"/>
          <w:color w:val="000000" w:themeColor="text1"/>
          <w:sz w:val="16"/>
          <w:szCs w:val="16"/>
        </w:rPr>
        <w:softHyphen/>
        <w:t>ния; была изменена конструкция бронировки орудия, ис</w:t>
      </w:r>
      <w:r w:rsidRPr="00722885">
        <w:rPr>
          <w:rFonts w:ascii="Times New Roman" w:hAnsi="Times New Roman"/>
          <w:color w:val="000000" w:themeColor="text1"/>
          <w:sz w:val="16"/>
          <w:szCs w:val="16"/>
        </w:rPr>
        <w:softHyphen/>
        <w:t>ключавшая попадание пуль и осколков в щели при пово</w:t>
      </w:r>
      <w:r w:rsidRPr="00722885">
        <w:rPr>
          <w:rFonts w:ascii="Times New Roman" w:hAnsi="Times New Roman"/>
          <w:color w:val="000000" w:themeColor="text1"/>
          <w:sz w:val="16"/>
          <w:szCs w:val="16"/>
        </w:rPr>
        <w:softHyphen/>
        <w:t>роте орудия в крайние положения; увеличена емкость то</w:t>
      </w:r>
      <w:r w:rsidRPr="00722885">
        <w:rPr>
          <w:rFonts w:ascii="Times New Roman" w:hAnsi="Times New Roman"/>
          <w:color w:val="000000" w:themeColor="text1"/>
          <w:sz w:val="16"/>
          <w:szCs w:val="16"/>
        </w:rPr>
        <w:softHyphen/>
        <w:t>пливных баков и т.д. (11417).</w:t>
      </w:r>
    </w:p>
    <w:p w14:paraId="607D80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9C803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19 декабря 1942 года ситуация с поставкой трофейных шасси на завод № 592 выглядела следующим образом (см. таблицу).</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241"/>
        <w:gridCol w:w="2144"/>
        <w:gridCol w:w="1163"/>
        <w:gridCol w:w="611"/>
      </w:tblGrid>
      <w:tr w:rsidR="009B487A" w:rsidRPr="00722885" w14:paraId="7C6E2221" w14:textId="77777777" w:rsidTr="00CC5360">
        <w:tc>
          <w:tcPr>
            <w:tcW w:w="0" w:type="auto"/>
            <w:shd w:val="clear" w:color="auto" w:fill="auto"/>
            <w:hideMark/>
          </w:tcPr>
          <w:p w14:paraId="193FF0D0"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p>
        </w:tc>
        <w:tc>
          <w:tcPr>
            <w:tcW w:w="0" w:type="auto"/>
            <w:shd w:val="clear" w:color="auto" w:fill="auto"/>
            <w:hideMark/>
          </w:tcPr>
          <w:p w14:paraId="45060D51"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Танки Pz. III и САУ StuG III</w:t>
            </w:r>
          </w:p>
        </w:tc>
        <w:tc>
          <w:tcPr>
            <w:tcW w:w="0" w:type="auto"/>
            <w:shd w:val="clear" w:color="auto" w:fill="auto"/>
            <w:hideMark/>
          </w:tcPr>
          <w:p w14:paraId="1439A748"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Танки Pz. IV*</w:t>
            </w:r>
          </w:p>
        </w:tc>
        <w:tc>
          <w:tcPr>
            <w:tcW w:w="0" w:type="auto"/>
            <w:shd w:val="clear" w:color="auto" w:fill="auto"/>
            <w:hideMark/>
          </w:tcPr>
          <w:p w14:paraId="02D33A3F"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Всего</w:t>
            </w:r>
          </w:p>
        </w:tc>
      </w:tr>
      <w:tr w:rsidR="009B487A" w:rsidRPr="00722885" w14:paraId="2B82428F" w14:textId="77777777" w:rsidTr="00CC5360">
        <w:tc>
          <w:tcPr>
            <w:tcW w:w="0" w:type="auto"/>
            <w:shd w:val="clear" w:color="auto" w:fill="auto"/>
            <w:hideMark/>
          </w:tcPr>
          <w:p w14:paraId="2820426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Отремонтировано и сдано заводу № 592</w:t>
            </w:r>
          </w:p>
        </w:tc>
        <w:tc>
          <w:tcPr>
            <w:tcW w:w="0" w:type="auto"/>
            <w:shd w:val="clear" w:color="auto" w:fill="auto"/>
            <w:hideMark/>
          </w:tcPr>
          <w:p w14:paraId="789F4D7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31</w:t>
            </w:r>
          </w:p>
        </w:tc>
        <w:tc>
          <w:tcPr>
            <w:tcW w:w="0" w:type="auto"/>
            <w:shd w:val="clear" w:color="auto" w:fill="auto"/>
            <w:hideMark/>
          </w:tcPr>
          <w:p w14:paraId="126CB4D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F625C7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31</w:t>
            </w:r>
          </w:p>
        </w:tc>
      </w:tr>
      <w:tr w:rsidR="009B487A" w:rsidRPr="00722885" w14:paraId="40B1A71A" w14:textId="77777777" w:rsidTr="00CC5360">
        <w:tc>
          <w:tcPr>
            <w:tcW w:w="0" w:type="auto"/>
            <w:shd w:val="clear" w:color="auto" w:fill="auto"/>
            <w:hideMark/>
          </w:tcPr>
          <w:p w14:paraId="3F402F3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Прибыли с ремзавода № 8 из Казани 13 декабря и не сданы заводу № 592</w:t>
            </w:r>
          </w:p>
        </w:tc>
        <w:tc>
          <w:tcPr>
            <w:tcW w:w="0" w:type="auto"/>
            <w:shd w:val="clear" w:color="auto" w:fill="auto"/>
            <w:hideMark/>
          </w:tcPr>
          <w:p w14:paraId="1C5FD42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8</w:t>
            </w:r>
          </w:p>
        </w:tc>
        <w:tc>
          <w:tcPr>
            <w:tcW w:w="0" w:type="auto"/>
            <w:shd w:val="clear" w:color="auto" w:fill="auto"/>
            <w:hideMark/>
          </w:tcPr>
          <w:p w14:paraId="2359C19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4564A24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11</w:t>
            </w:r>
          </w:p>
        </w:tc>
      </w:tr>
      <w:tr w:rsidR="009B487A" w:rsidRPr="00722885" w14:paraId="0E17982C" w14:textId="77777777" w:rsidTr="00CC5360">
        <w:tc>
          <w:tcPr>
            <w:tcW w:w="0" w:type="auto"/>
            <w:shd w:val="clear" w:color="auto" w:fill="auto"/>
            <w:hideMark/>
          </w:tcPr>
          <w:p w14:paraId="7A64643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Имеется у филиала № 1 ремзавода № 82 готовых к сдаче</w:t>
            </w:r>
          </w:p>
        </w:tc>
        <w:tc>
          <w:tcPr>
            <w:tcW w:w="0" w:type="auto"/>
            <w:shd w:val="clear" w:color="auto" w:fill="auto"/>
            <w:hideMark/>
          </w:tcPr>
          <w:p w14:paraId="78656EA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6653641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2834D68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r>
      <w:tr w:rsidR="009B487A" w:rsidRPr="00722885" w14:paraId="06BD4CE5" w14:textId="77777777" w:rsidTr="00CC5360">
        <w:tc>
          <w:tcPr>
            <w:tcW w:w="0" w:type="auto"/>
            <w:shd w:val="clear" w:color="auto" w:fill="auto"/>
            <w:hideMark/>
          </w:tcPr>
          <w:p w14:paraId="3A35854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Закончены ремонтом и отгружены из Казани</w:t>
            </w:r>
          </w:p>
        </w:tc>
        <w:tc>
          <w:tcPr>
            <w:tcW w:w="0" w:type="auto"/>
            <w:shd w:val="clear" w:color="auto" w:fill="auto"/>
            <w:hideMark/>
          </w:tcPr>
          <w:p w14:paraId="3246147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w:t>
            </w:r>
          </w:p>
        </w:tc>
        <w:tc>
          <w:tcPr>
            <w:tcW w:w="0" w:type="auto"/>
            <w:shd w:val="clear" w:color="auto" w:fill="auto"/>
            <w:hideMark/>
          </w:tcPr>
          <w:p w14:paraId="458ACFE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95681C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w:t>
            </w:r>
          </w:p>
        </w:tc>
      </w:tr>
      <w:tr w:rsidR="009B487A" w:rsidRPr="00722885" w14:paraId="481B9812" w14:textId="77777777" w:rsidTr="00CC5360">
        <w:tc>
          <w:tcPr>
            <w:tcW w:w="0" w:type="auto"/>
            <w:shd w:val="clear" w:color="auto" w:fill="auto"/>
            <w:hideMark/>
          </w:tcPr>
          <w:p w14:paraId="273B971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Итого</w:t>
            </w:r>
          </w:p>
        </w:tc>
        <w:tc>
          <w:tcPr>
            <w:tcW w:w="0" w:type="auto"/>
            <w:shd w:val="clear" w:color="auto" w:fill="auto"/>
            <w:hideMark/>
          </w:tcPr>
          <w:p w14:paraId="341FA25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46</w:t>
            </w:r>
          </w:p>
        </w:tc>
        <w:tc>
          <w:tcPr>
            <w:tcW w:w="0" w:type="auto"/>
            <w:shd w:val="clear" w:color="auto" w:fill="auto"/>
            <w:hideMark/>
          </w:tcPr>
          <w:p w14:paraId="3CA4002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w:t>
            </w:r>
          </w:p>
        </w:tc>
        <w:tc>
          <w:tcPr>
            <w:tcW w:w="0" w:type="auto"/>
            <w:shd w:val="clear" w:color="auto" w:fill="auto"/>
            <w:hideMark/>
          </w:tcPr>
          <w:p w14:paraId="7AA5DCF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51</w:t>
            </w:r>
          </w:p>
        </w:tc>
      </w:tr>
      <w:tr w:rsidR="009B487A" w:rsidRPr="00722885" w14:paraId="50F4EAB0" w14:textId="77777777" w:rsidTr="00CC5360">
        <w:tc>
          <w:tcPr>
            <w:tcW w:w="0" w:type="auto"/>
            <w:shd w:val="clear" w:color="auto" w:fill="auto"/>
            <w:hideMark/>
          </w:tcPr>
          <w:p w14:paraId="65A5D35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Имеется в ремонте и будет готово к 1 января 1943 года</w:t>
            </w:r>
          </w:p>
        </w:tc>
        <w:tc>
          <w:tcPr>
            <w:tcW w:w="0" w:type="auto"/>
            <w:shd w:val="clear" w:color="auto" w:fill="auto"/>
            <w:hideMark/>
          </w:tcPr>
          <w:p w14:paraId="25AA750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w:t>
            </w:r>
          </w:p>
        </w:tc>
        <w:tc>
          <w:tcPr>
            <w:tcW w:w="0" w:type="auto"/>
            <w:shd w:val="clear" w:color="auto" w:fill="auto"/>
            <w:hideMark/>
          </w:tcPr>
          <w:p w14:paraId="1759142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4F67820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22</w:t>
            </w:r>
          </w:p>
        </w:tc>
      </w:tr>
      <w:tr w:rsidR="009B487A" w:rsidRPr="00722885" w14:paraId="124B8F20" w14:textId="77777777" w:rsidTr="00CC5360">
        <w:tc>
          <w:tcPr>
            <w:tcW w:w="0" w:type="auto"/>
            <w:shd w:val="clear" w:color="auto" w:fill="auto"/>
            <w:hideMark/>
          </w:tcPr>
          <w:p w14:paraId="5EDC441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Имеется в ожидании ремонта</w:t>
            </w:r>
          </w:p>
        </w:tc>
        <w:tc>
          <w:tcPr>
            <w:tcW w:w="0" w:type="auto"/>
            <w:shd w:val="clear" w:color="auto" w:fill="auto"/>
            <w:hideMark/>
          </w:tcPr>
          <w:p w14:paraId="432D249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w:t>
            </w:r>
          </w:p>
        </w:tc>
        <w:tc>
          <w:tcPr>
            <w:tcW w:w="0" w:type="auto"/>
            <w:shd w:val="clear" w:color="auto" w:fill="auto"/>
            <w:hideMark/>
          </w:tcPr>
          <w:p w14:paraId="35E250F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7</w:t>
            </w:r>
          </w:p>
        </w:tc>
        <w:tc>
          <w:tcPr>
            <w:tcW w:w="0" w:type="auto"/>
            <w:shd w:val="clear" w:color="auto" w:fill="auto"/>
            <w:hideMark/>
          </w:tcPr>
          <w:p w14:paraId="4649A4F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12</w:t>
            </w:r>
          </w:p>
        </w:tc>
      </w:tr>
      <w:tr w:rsidR="009B487A" w:rsidRPr="00722885" w14:paraId="0540559E" w14:textId="77777777" w:rsidTr="00CC5360">
        <w:tc>
          <w:tcPr>
            <w:tcW w:w="0" w:type="auto"/>
            <w:shd w:val="clear" w:color="auto" w:fill="auto"/>
            <w:hideMark/>
          </w:tcPr>
          <w:p w14:paraId="77BE72D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Отправлено с фронтов представителями РЭУ ГАБТУ КА**</w:t>
            </w:r>
          </w:p>
        </w:tc>
        <w:tc>
          <w:tcPr>
            <w:tcW w:w="0" w:type="auto"/>
            <w:shd w:val="clear" w:color="auto" w:fill="auto"/>
            <w:hideMark/>
          </w:tcPr>
          <w:p w14:paraId="6048DFD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14</w:t>
            </w:r>
          </w:p>
        </w:tc>
        <w:tc>
          <w:tcPr>
            <w:tcW w:w="0" w:type="auto"/>
            <w:shd w:val="clear" w:color="auto" w:fill="auto"/>
            <w:hideMark/>
          </w:tcPr>
          <w:p w14:paraId="66BF783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c>
          <w:tcPr>
            <w:tcW w:w="0" w:type="auto"/>
            <w:shd w:val="clear" w:color="auto" w:fill="auto"/>
            <w:hideMark/>
          </w:tcPr>
          <w:p w14:paraId="5A72E82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18</w:t>
            </w:r>
          </w:p>
        </w:tc>
      </w:tr>
      <w:tr w:rsidR="009B487A" w:rsidRPr="00722885" w14:paraId="650F7820" w14:textId="77777777" w:rsidTr="00CC5360">
        <w:tc>
          <w:tcPr>
            <w:tcW w:w="0" w:type="auto"/>
            <w:shd w:val="clear" w:color="auto" w:fill="auto"/>
            <w:hideMark/>
          </w:tcPr>
          <w:p w14:paraId="10214C2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Итого</w:t>
            </w:r>
          </w:p>
        </w:tc>
        <w:tc>
          <w:tcPr>
            <w:tcW w:w="0" w:type="auto"/>
            <w:shd w:val="clear" w:color="auto" w:fill="auto"/>
            <w:hideMark/>
          </w:tcPr>
          <w:p w14:paraId="6872CE5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38</w:t>
            </w:r>
          </w:p>
        </w:tc>
        <w:tc>
          <w:tcPr>
            <w:tcW w:w="0" w:type="auto"/>
            <w:shd w:val="clear" w:color="auto" w:fill="auto"/>
            <w:hideMark/>
          </w:tcPr>
          <w:p w14:paraId="176250C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14</w:t>
            </w:r>
          </w:p>
        </w:tc>
        <w:tc>
          <w:tcPr>
            <w:tcW w:w="0" w:type="auto"/>
            <w:shd w:val="clear" w:color="auto" w:fill="auto"/>
            <w:hideMark/>
          </w:tcPr>
          <w:p w14:paraId="31C170C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52</w:t>
            </w:r>
          </w:p>
        </w:tc>
      </w:tr>
      <w:tr w:rsidR="009B487A" w:rsidRPr="00722885" w14:paraId="1AB8EC2F" w14:textId="77777777" w:rsidTr="00CC5360">
        <w:tc>
          <w:tcPr>
            <w:tcW w:w="0" w:type="auto"/>
            <w:shd w:val="clear" w:color="auto" w:fill="auto"/>
            <w:hideMark/>
          </w:tcPr>
          <w:p w14:paraId="1D803F9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ВСЕГО***</w:t>
            </w:r>
          </w:p>
        </w:tc>
        <w:tc>
          <w:tcPr>
            <w:tcW w:w="0" w:type="auto"/>
            <w:shd w:val="clear" w:color="auto" w:fill="auto"/>
            <w:hideMark/>
          </w:tcPr>
          <w:p w14:paraId="5C134C4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84</w:t>
            </w:r>
          </w:p>
        </w:tc>
        <w:tc>
          <w:tcPr>
            <w:tcW w:w="0" w:type="auto"/>
            <w:shd w:val="clear" w:color="auto" w:fill="auto"/>
            <w:hideMark/>
          </w:tcPr>
          <w:p w14:paraId="6B623F3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w:t>
            </w:r>
          </w:p>
        </w:tc>
        <w:tc>
          <w:tcPr>
            <w:tcW w:w="0" w:type="auto"/>
            <w:shd w:val="clear" w:color="auto" w:fill="auto"/>
            <w:hideMark/>
          </w:tcPr>
          <w:p w14:paraId="33212C9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103</w:t>
            </w:r>
          </w:p>
        </w:tc>
      </w:tr>
    </w:tbl>
    <w:p w14:paraId="434991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Примечания.</w:t>
      </w:r>
    </w:p>
    <w:p w14:paraId="7861BD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 Танки Pz. IV заводом № 592 для перевооружения не принимались.</w:t>
      </w:r>
    </w:p>
    <w:p w14:paraId="58A3DB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 Из числа поступающих с фронтов танков 30–35 % для ремонта не пригодны.</w:t>
      </w:r>
    </w:p>
    <w:p w14:paraId="2115F6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 Отгружено в Алма-Ата для участия в киносъемке отремонтированных танков Pz. III — 1 шт. и Pz. IV— 1 шт. не учтенных в общем количестве (12688).</w:t>
      </w:r>
    </w:p>
    <w:p w14:paraId="62A25D1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9DA31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декабря 1942 вышло Распоряжение ГКО № 2639. Об обеспечении электроэнергией завода № 38. НКВ. РГАНИР, Фонд ГКО, д. 73, лл. 118 (11012).</w:t>
      </w:r>
    </w:p>
    <w:p w14:paraId="12B5FF7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B151D5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4146309" w14:textId="77777777" w:rsidR="00BB6316" w:rsidRPr="00722885" w:rsidRDefault="00BB6316" w:rsidP="00722885">
      <w:pPr>
        <w:pStyle w:val="Iauiue"/>
        <w:jc w:val="both"/>
        <w:rPr>
          <w:iCs/>
          <w:color w:val="000000" w:themeColor="text1"/>
          <w:sz w:val="16"/>
          <w:szCs w:val="16"/>
        </w:rPr>
      </w:pPr>
    </w:p>
    <w:p w14:paraId="3D2819A0"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19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466BE24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19 декабря в районе Сталинграда и на Центральном фронте наши войска продолжали вести наступательные бои на прежних направлениях.</w:t>
      </w:r>
    </w:p>
    <w:p w14:paraId="33D548EA"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отбили несколько контратак небольших отрядов противника и истребили более 100 гитлеровцев. На южной окраине города разрушено 9 блиндажей и ружейно-пулемётным огнём сбито 2 самолёта противника.</w:t>
      </w:r>
    </w:p>
    <w:p w14:paraId="185B018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занимаемые рубежи и вели разведку. Противник силами пехоты неоднократно пытался вернуть потерянные накануне позиции. Огнём артиллерии, миномётов и пехоты контратаки гитлеровцев были отбиты с большими для них потерями. На другом участке батальон пехоты противника атаковал позиции, обороняемые Н-ской частью. В результате боя гитлеровцы были отброшены, потеряв убитыми до роты пехоты.</w:t>
      </w:r>
    </w:p>
    <w:p w14:paraId="7656DE60"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Юго-западнее Сталинграда наши войска отбивали атаки пехоты и танков противника. На одном участке в результате ожесточённых боёв наши части нанесли врагу большие потери и вынудили его отойти. Противник оставил на поле боя много трупов. Уничтожено 17 орудий, 63 автомашины и 14 пулемётов противника.</w:t>
      </w:r>
    </w:p>
    <w:p w14:paraId="7D9E0182"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вести активные боевые действия. В районе западнее Ржева пехота противника предприняла ряд безуспешных контратак. Уничтожено 200 немецких солдат и офицеров, захвачено 8 пулемётов и 7 миномётов. На другом участке наши части преодолели проволочные заграждения противника иворвались в первую линию вражеских окопов. Один из наступающих наших отрядов овладел окраиной опорного пункта противника.</w:t>
      </w:r>
    </w:p>
    <w:p w14:paraId="31ACC32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железной дороги Ржев—Вязьма немцы стремятся задержать наступление наших частей и непрерывно бросают в контратаки пехоту и танки. В течение дня наши бойцы на этом участке отбили несколько контратак и нанесли противнику большой урон. Огнём зенитной артиллерии над полем боя сбито 2 вражеских самолёта. Советские лётчики в воздушных боях уничтожили 7 немецких самолётов.</w:t>
      </w:r>
    </w:p>
    <w:p w14:paraId="4BC76A70"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бойцы Н-ской части, действуя отдельными отрядами, захватили 93 блиндажа противника. Уничтожено до 150 немецких солдат и офицеров. Советские артиллеристы подавили огонь 4 артиллерийских и 2 миномётных батарей и рассеяли до двух рот гитлеровцев.</w:t>
      </w:r>
    </w:p>
    <w:p w14:paraId="3C4B182A"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имени Чапаева, действующий в Смоленской области, в ожесточённых боях с противником истребил до 400 немецких солдат и офицеров. Советские патриоты разгромили несколько складов с боеприпасами и продовольствием, уничтожили 57 автомашин и захватили полковое знамя немецкой части. Группа партизан другого отряда истребила на шоссейной дороге 23 гитлеровца.</w:t>
      </w:r>
    </w:p>
    <w:p w14:paraId="27EAD60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женщин-матерей передала советскому командованию письменное заявление о чудовищных зверствах немецко-фашистских мерзавцев. В заявлении говорится: «6 ноября на хуторе Аверинском, Калачевского района, Сталинградской области, 11-летний Ваня Махин взял со стола оставленную немецким офицером коробку с сигаретами и роздал их сверстникам. Не найдя на столе сигарет, офицер обыскал Махина и обнаружил у него пустую коробку. Гитлеровец жестоко избил мальчика и стал допытываться, куда девались сигареты. Мальчик назвал товарищей, которым он роздал сигареты. Всех названных им ребят в возрасте от 9 до 14 лет — Василия Егорова, Николая Егорова, Василия Горина, Тимофея Тимонина, Аксёна Тимонина,Семёна Манжина, Никифора Назаркина, Константина Голоблева, Емельяна Сафонова и самого Ивана Махина забрали в комендатуру. Утром 7 ноября немцы посадили детей в машины, возили по хутору и на глазах у родителей зверски их избивали. Вечером после долгих издевательств и пыток гитлеровцы отвели всех десятерых ребят к силосной яме и расстреляли».</w:t>
      </w:r>
    </w:p>
    <w:p w14:paraId="7722A5E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Бельгийские патриоты совершили за последнее время ряд диверсионных актов. Недалеко от Брюсселя они пустили под откос немецкий поезд. Вооружённая группа бельгийцев проникла на сортировочную станцию Валькур, разрушила станционное хозяйство и вывела из строя 9 паровозов. В городе Вервье неизвестный бросил бомбув помещение, занятое гитлеровцами.» (14865).</w:t>
      </w:r>
    </w:p>
    <w:p w14:paraId="0743B8C9"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4C14A21A"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19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4E9BAA4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19 декабря наши войска в районе Сталинграда и на Центральном фронте продолжали вести наступательные бои на прежних направлениях.</w:t>
      </w:r>
    </w:p>
    <w:p w14:paraId="44E0D9D6"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течения Дона наши войска вели наступление и заняли города Новая Калитва, Кантемировка, Богучар и районные центры Талы, Радченское, Боковская.</w:t>
      </w:r>
    </w:p>
    <w:p w14:paraId="0111B160"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 кораблём в Чёрном море потоплен транспорт противника водоизмещением в 8.000 тонн.</w:t>
      </w:r>
    </w:p>
    <w:p w14:paraId="1ECE600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18 декабря в районе Сталинграда уничтожено 40 самолётов противника, в том числе 30 транспортных самолетов.</w:t>
      </w:r>
    </w:p>
    <w:p w14:paraId="6E47CB0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декабря частями нашей авиации на различных участках фронта уничтожено или повреждено 20 немецких танков, до 300 автомашин с войсками и грузами, подавлен огонь 10 артиллерийских батарей, разбито 2 железнодорожных эшелона, взорвано 10 складов с боеприпасами, рассеяно и частью уничтожено до 2 батальонов пехоты противника.</w:t>
      </w:r>
    </w:p>
    <w:p w14:paraId="5345D8D9"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вели огневой бой и на отдельных участках штурмовыми группами уничтожали укрепления и живую силу противника. Разрушено 11 дзотов и блиндажей, уничтожено до роты немецкой пехоты. На южной окраине города происходила артиллерийская перестрелка. Артиллеристы Н-ской части подавили огонь двух миномётных и трёх артиллерийских батарей противника.</w:t>
      </w:r>
    </w:p>
    <w:p w14:paraId="399CEFB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занимаемые позиции и вели разведку. На одном участке продолжался бой за высоту, захваченную накануне нашими подразделениями. Выгодные позиции несколько раз переходили из рук в руки. К вечеру наши бойцы отбросили немцев и прочно закрепились на высоте. Уничтожено до 300 солдат и офицеров противника. Артиллерийским огнём рассеяно до роты вражеской пехоты и подбито 2 немецких танка.</w:t>
      </w:r>
    </w:p>
    <w:p w14:paraId="54A46AF6"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бои с танками и пехотой противника. На одном участке немцам удалось потеснить наши подразделения. Ударом с флангов советские бойцы окружили группу противника и в ожесточённом бою уничтожили 40 танков и несколько сот немецких автоматчиков. На другом участке Н-ская часть уничтожила 3 вражеских танка, 9 пулемётов, 14 автомашин и 2 миномёта. На поле боя осталось до 200 убитых солдат и офицеров противника.</w:t>
      </w:r>
    </w:p>
    <w:p w14:paraId="42A83D6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закреплялись на достигнутых рубежах и на отдельных участках продолжали вести наступательные бои. В районе Великих Лукбойцы части, где командиром, тов. Кроник, выбили противника из двух населённых пунктов. Неоднократные контратаки врага, пытавшегося восстановить положение, отбиты нашими бойцами с большими для противника потерями. Захвачено 3 шестиствольных миномёта, 3 противотанковых орудия и 14 пулемётов. На другом участке полк немецкой пехоты при поддержке танков атаковал позиции Н-ской части. К исходу дня гитлеровцы, оставив на поле боя свыше 500 трупов и 6 подбитых танков, отошли на исходные позиции. Захвачены исправный танк, 4 орудия, радиостанция, 24 пулемёта, автоматы и другое вооружение.</w:t>
      </w:r>
    </w:p>
    <w:p w14:paraId="4B4870A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за время с 1 по 6 декабря разгромил 2 железнодорожные станции. Партизаны взорвали мосты, уничтожили 5 паровозов, 30 вагонов, 3 автодрезины, 2 железнодорожных депо и склад горючего. Истреблено 69 гитлеровцев.</w:t>
      </w:r>
    </w:p>
    <w:p w14:paraId="3517C25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что солдаты тыловых и запасных немецких частей, узнав из советских листовок об огромных потерях немецких войск в районе Сталинграда и на Центральном фронте, опасаются, что их скоро отправят на передовые позиции. В связи с этим в воинских частях царит недовольство и возбуждение. Начальник витебского гарнизона почти ежедневно публикует длинные списки разыскиваемых дезертиров. В начале декабря большая группа солдат отказалась выехать на фронт. По распоряжению немецких. военных властей 11 солдат расстреляно. Арестовано 27 солдат и 2 унтер-офицера. Арестованным связали руки и препроводили их в местную тюрьму. Свыше 150 солдат отправлено в концлагеря в Германию.</w:t>
      </w:r>
    </w:p>
    <w:p w14:paraId="6B884CF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Югославские партизаны начали наступление в направлении городов Сански Мост и Босански Нови. Город Сански Мост окружён партизанами. В ожесточённых боях немцы понесли большие потери. 50 гитлеровцев взято в плен. Партизаны захватили 4 противотанковых орудия, 4 миномёта, большое количество пулемётов и винтовок. Патриоты полностью уничтожили итальянский гарнизон в Сухоре.»</w:t>
      </w:r>
    </w:p>
    <w:p w14:paraId="66FE72A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4A8079E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в районе Среднего Дона продолжается.</w:t>
      </w:r>
    </w:p>
    <w:p w14:paraId="3DD196F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20 декабря наши войска в районе Среднего Дона продолжали успешноразвивать наступление на прежних направлениях и, преследуя поспешно отходящие на юго-запад разбитые немецко-фашистские войска, продвинулись на 25—30 километров. Всего за пять дней наступления наши войска продвинулись вперёд на 75—120 километров.</w:t>
      </w:r>
    </w:p>
    <w:p w14:paraId="2C98775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день боя нашими войсками занято более 100 населённых пунктов и в числе их крупные населённые пункты — Маньково-Калитвенская, Шептуховка, Дегтево, Кутейников, Алексеево-Лозовская, Сетраковский, Мешков, Басковская, Кружилин, Каргинская.</w:t>
      </w:r>
    </w:p>
    <w:p w14:paraId="70270BA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20 декабря количество пленных увеличилось на 3.500 человек. Всего за время боёв с 16 по 20 декабря наши войска захватили в плен свыше 13.500 солдат и офицеров противника.</w:t>
      </w:r>
    </w:p>
    <w:p w14:paraId="24F64D8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боёв с 16 по 20 декабря нашими войсками захвачено: танков — 89 и, кроме того, эшелон с танками, орудий разных калибров — 1.320, миномётов — 800, пулемётов — 1.969, винтовочных патронов свыше 10 миллионов, снарядов и мин —более 1 миллиона, радиостанций — 70, автомашин — 6.320, тягачей — 90, лошадей —3.600, складов с боеприпасами, вооружением и продовольствием — 77.</w:t>
      </w:r>
    </w:p>
    <w:p w14:paraId="1809CBE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20 декабря противник оставил на поле боя свыше 8.000 трупов солдат и офицеров.» (14865).</w:t>
      </w:r>
    </w:p>
    <w:p w14:paraId="4AE020CD"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1357480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19 декабря</w:t>
      </w:r>
      <w:r w:rsidRPr="00722885">
        <w:rPr>
          <w:rFonts w:ascii="Times New Roman" w:hAnsi="Times New Roman"/>
          <w:color w:val="000000" w:themeColor="text1"/>
          <w:sz w:val="16"/>
          <w:szCs w:val="16"/>
        </w:rPr>
        <w:t xml:space="preserve"> в 1942 году войска Сталинградского фронта, усиленные переданными из резерва Ставки ВГК 2-й гвардейской армией и 6-м механизированным корпусом, остановили соединения армейской группы «Гот» на рубеже реки Мышкова в 35-40 км от окружённой группировки противника (14865).</w:t>
      </w:r>
    </w:p>
    <w:p w14:paraId="1673933C"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6AE411F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19 декабря 1942 группа Чумаченко с аэро</w:t>
      </w:r>
      <w:r w:rsidRPr="00722885">
        <w:rPr>
          <w:color w:val="000000" w:themeColor="text1"/>
          <w:sz w:val="16"/>
          <w:szCs w:val="16"/>
        </w:rPr>
        <w:softHyphen/>
        <w:t>дрома Плодовитое совершила два бое</w:t>
      </w:r>
      <w:r w:rsidRPr="00722885">
        <w:rPr>
          <w:color w:val="000000" w:themeColor="text1"/>
          <w:sz w:val="16"/>
          <w:szCs w:val="16"/>
        </w:rPr>
        <w:softHyphen/>
        <w:t>вых вылета под прикрытием истребите</w:t>
      </w:r>
      <w:r w:rsidRPr="00722885">
        <w:rPr>
          <w:color w:val="000000" w:themeColor="text1"/>
          <w:sz w:val="16"/>
          <w:szCs w:val="16"/>
        </w:rPr>
        <w:softHyphen/>
        <w:t xml:space="preserve">лей 268-й </w:t>
      </w:r>
      <w:r w:rsidRPr="00722885">
        <w:rPr>
          <w:iCs/>
          <w:color w:val="000000" w:themeColor="text1"/>
          <w:sz w:val="16"/>
          <w:szCs w:val="16"/>
        </w:rPr>
        <w:t>иад.</w:t>
      </w:r>
      <w:r w:rsidRPr="00722885">
        <w:rPr>
          <w:color w:val="000000" w:themeColor="text1"/>
          <w:sz w:val="16"/>
          <w:szCs w:val="16"/>
        </w:rPr>
        <w:t xml:space="preserve"> Оба полета проходили в крайне напряженной обстановке.</w:t>
      </w:r>
    </w:p>
    <w:p w14:paraId="4A9291F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В первом из них 4 Ил-2 503-го и 945-го </w:t>
      </w:r>
      <w:r w:rsidRPr="00722885">
        <w:rPr>
          <w:iCs/>
          <w:color w:val="000000" w:themeColor="text1"/>
          <w:sz w:val="16"/>
          <w:szCs w:val="16"/>
        </w:rPr>
        <w:t>шап</w:t>
      </w:r>
      <w:r w:rsidRPr="00722885">
        <w:rPr>
          <w:color w:val="000000" w:themeColor="text1"/>
          <w:sz w:val="16"/>
          <w:szCs w:val="16"/>
        </w:rPr>
        <w:t xml:space="preserve"> под прикрытием 6 Як-1 на подхо</w:t>
      </w:r>
      <w:r w:rsidRPr="00722885">
        <w:rPr>
          <w:color w:val="000000" w:themeColor="text1"/>
          <w:sz w:val="16"/>
          <w:szCs w:val="16"/>
        </w:rPr>
        <w:softHyphen/>
        <w:t>де к цели курсом 230° в районе Кош нос к носу встретились с шестеркой пики</w:t>
      </w:r>
      <w:r w:rsidRPr="00722885">
        <w:rPr>
          <w:color w:val="000000" w:themeColor="text1"/>
          <w:sz w:val="16"/>
          <w:szCs w:val="16"/>
        </w:rPr>
        <w:softHyphen/>
        <w:t>рующих бомбардировщиков Люфтваффе Ju87, направлявшихся в сторону фронта. Штурмовики атаковали "юнкерсов", расстроили их боевой порядок и один их них сбили. После этого группа Ил-2 нанесла бомбоштурмовой удар по скоплению немецкой техники (до 20 тан</w:t>
      </w:r>
      <w:r w:rsidRPr="00722885">
        <w:rPr>
          <w:color w:val="000000" w:themeColor="text1"/>
          <w:sz w:val="16"/>
          <w:szCs w:val="16"/>
        </w:rPr>
        <w:softHyphen/>
        <w:t>ков и 50 автомашин) в балке Неклинская и оврагах севернее Клыков, в резуль</w:t>
      </w:r>
      <w:r w:rsidRPr="00722885">
        <w:rPr>
          <w:color w:val="000000" w:themeColor="text1"/>
          <w:sz w:val="16"/>
          <w:szCs w:val="16"/>
        </w:rPr>
        <w:softHyphen/>
        <w:t>тате которого было уничтожено и по</w:t>
      </w:r>
      <w:r w:rsidRPr="00722885">
        <w:rPr>
          <w:color w:val="000000" w:themeColor="text1"/>
          <w:sz w:val="16"/>
          <w:szCs w:val="16"/>
        </w:rPr>
        <w:softHyphen/>
        <w:t>вреждено 2 танка и 3 автомашины про</w:t>
      </w:r>
      <w:r w:rsidRPr="00722885">
        <w:rPr>
          <w:color w:val="000000" w:themeColor="text1"/>
          <w:sz w:val="16"/>
          <w:szCs w:val="16"/>
        </w:rPr>
        <w:softHyphen/>
        <w:t>тивника.</w:t>
      </w:r>
    </w:p>
    <w:p w14:paraId="73F68B2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Во втором вылете 5 Ил-2 из соста</w:t>
      </w:r>
      <w:r w:rsidRPr="00722885">
        <w:rPr>
          <w:color w:val="000000" w:themeColor="text1"/>
          <w:sz w:val="16"/>
          <w:szCs w:val="16"/>
        </w:rPr>
        <w:softHyphen/>
        <w:t xml:space="preserve">вов 686-го и 811 -го </w:t>
      </w:r>
      <w:r w:rsidRPr="00722885">
        <w:rPr>
          <w:iCs/>
          <w:color w:val="000000" w:themeColor="text1"/>
          <w:sz w:val="16"/>
          <w:szCs w:val="16"/>
        </w:rPr>
        <w:t>шап</w:t>
      </w:r>
      <w:r w:rsidRPr="00722885">
        <w:rPr>
          <w:color w:val="000000" w:themeColor="text1"/>
          <w:sz w:val="16"/>
          <w:szCs w:val="16"/>
        </w:rPr>
        <w:t xml:space="preserve"> во время штур</w:t>
      </w:r>
      <w:r w:rsidRPr="00722885">
        <w:rPr>
          <w:color w:val="000000" w:themeColor="text1"/>
          <w:sz w:val="16"/>
          <w:szCs w:val="16"/>
        </w:rPr>
        <w:softHyphen/>
        <w:t>мовки наступавших войск противника при выходе из атаки на встречном кур</w:t>
      </w:r>
      <w:r w:rsidRPr="00722885">
        <w:rPr>
          <w:color w:val="000000" w:themeColor="text1"/>
          <w:sz w:val="16"/>
          <w:szCs w:val="16"/>
        </w:rPr>
        <w:softHyphen/>
        <w:t>се врезались в строй шестерки Ju87 и восьми прикрывавших их Bf109F. В ходе завязавшегося скоротечного воздушно</w:t>
      </w:r>
      <w:r w:rsidRPr="00722885">
        <w:rPr>
          <w:color w:val="000000" w:themeColor="text1"/>
          <w:sz w:val="16"/>
          <w:szCs w:val="16"/>
        </w:rPr>
        <w:softHyphen/>
        <w:t>го боя 3 "Юнкерса" были сбиты. Своих потерь "ильюшины" не имели.</w:t>
      </w:r>
    </w:p>
    <w:p w14:paraId="5445D3AD" w14:textId="77777777" w:rsidR="00BB6316" w:rsidRPr="00722885" w:rsidRDefault="00BB6316" w:rsidP="00722885">
      <w:pPr>
        <w:pStyle w:val="Iauiue"/>
        <w:jc w:val="both"/>
        <w:rPr>
          <w:iCs/>
          <w:color w:val="000000" w:themeColor="text1"/>
          <w:sz w:val="16"/>
          <w:szCs w:val="16"/>
        </w:rPr>
      </w:pPr>
      <w:r w:rsidRPr="00722885">
        <w:rPr>
          <w:color w:val="000000" w:themeColor="text1"/>
          <w:sz w:val="16"/>
          <w:szCs w:val="16"/>
        </w:rPr>
        <w:t xml:space="preserve">В этот же день пара Ил-2 686-го </w:t>
      </w:r>
      <w:r w:rsidRPr="00722885">
        <w:rPr>
          <w:iCs/>
          <w:color w:val="000000" w:themeColor="text1"/>
          <w:sz w:val="16"/>
          <w:szCs w:val="16"/>
        </w:rPr>
        <w:t xml:space="preserve">шап </w:t>
      </w:r>
      <w:r w:rsidRPr="00722885">
        <w:rPr>
          <w:color w:val="000000" w:themeColor="text1"/>
          <w:sz w:val="16"/>
          <w:szCs w:val="16"/>
        </w:rPr>
        <w:t xml:space="preserve">(комэск к-н Петренко и командир звена л-т Драгуна) в сопровождении двух Як-1 из 11 -го </w:t>
      </w:r>
      <w:r w:rsidRPr="00722885">
        <w:rPr>
          <w:iCs/>
          <w:color w:val="000000" w:themeColor="text1"/>
          <w:sz w:val="16"/>
          <w:szCs w:val="16"/>
        </w:rPr>
        <w:t>иап,</w:t>
      </w:r>
      <w:r w:rsidRPr="00722885">
        <w:rPr>
          <w:color w:val="000000" w:themeColor="text1"/>
          <w:sz w:val="16"/>
          <w:szCs w:val="16"/>
        </w:rPr>
        <w:t xml:space="preserve"> проводя разведку в рай</w:t>
      </w:r>
      <w:r w:rsidRPr="00722885">
        <w:rPr>
          <w:color w:val="000000" w:themeColor="text1"/>
          <w:sz w:val="16"/>
          <w:szCs w:val="16"/>
        </w:rPr>
        <w:softHyphen/>
        <w:t>оне южнее с. Громославка, обнаружила до 130 танков противника и 80 автома</w:t>
      </w:r>
      <w:r w:rsidRPr="00722885">
        <w:rPr>
          <w:color w:val="000000" w:themeColor="text1"/>
          <w:sz w:val="16"/>
          <w:szCs w:val="16"/>
        </w:rPr>
        <w:softHyphen/>
        <w:t xml:space="preserve">шин с пехотой, которые были сильно защищены средствами ПВО. Над целью штурмовики были </w:t>
      </w:r>
      <w:r w:rsidRPr="00722885">
        <w:rPr>
          <w:color w:val="000000" w:themeColor="text1"/>
          <w:sz w:val="16"/>
          <w:szCs w:val="16"/>
        </w:rPr>
        <w:lastRenderedPageBreak/>
        <w:t>атакованы четверкой Bf109F. "Якам" сопровождения удалось на некоторое время связать немецкие истребители воздушным боем, что дало возможность штурмовикам продолжить разведку. Однако "мессерам" все же удалось прорваться к "Илам" и подбить машину ведущего - к-на Петренко, ко</w:t>
      </w:r>
      <w:r w:rsidRPr="00722885">
        <w:rPr>
          <w:color w:val="000000" w:themeColor="text1"/>
          <w:sz w:val="16"/>
          <w:szCs w:val="16"/>
        </w:rPr>
        <w:softHyphen/>
        <w:t>торый был вынужден выйти из боя. В этой ситуации л-ту Драгуна ничего не оставалось, как покинуть поле боя, уйдя в облака. Разведданные были благопо</w:t>
      </w:r>
      <w:r w:rsidRPr="00722885">
        <w:rPr>
          <w:color w:val="000000" w:themeColor="text1"/>
          <w:sz w:val="16"/>
          <w:szCs w:val="16"/>
        </w:rPr>
        <w:softHyphen/>
        <w:t>лучно доставлены командованию. Капи</w:t>
      </w:r>
      <w:r w:rsidRPr="00722885">
        <w:rPr>
          <w:color w:val="000000" w:themeColor="text1"/>
          <w:sz w:val="16"/>
          <w:szCs w:val="16"/>
        </w:rPr>
        <w:softHyphen/>
        <w:t>тану Петренко удалось дотянуть до пе</w:t>
      </w:r>
      <w:r w:rsidRPr="00722885">
        <w:rPr>
          <w:color w:val="000000" w:themeColor="text1"/>
          <w:sz w:val="16"/>
          <w:szCs w:val="16"/>
        </w:rPr>
        <w:softHyphen/>
        <w:t>реднего края и посадить машину на фюзеляж в расположении 3-й гвардей</w:t>
      </w:r>
      <w:r w:rsidRPr="00722885">
        <w:rPr>
          <w:color w:val="000000" w:themeColor="text1"/>
          <w:sz w:val="16"/>
          <w:szCs w:val="16"/>
        </w:rPr>
        <w:softHyphen/>
        <w:t xml:space="preserve">ской </w:t>
      </w:r>
      <w:r w:rsidRPr="00722885">
        <w:rPr>
          <w:iCs/>
          <w:color w:val="000000" w:themeColor="text1"/>
          <w:sz w:val="16"/>
          <w:szCs w:val="16"/>
        </w:rPr>
        <w:t>сд</w:t>
      </w:r>
      <w:r w:rsidRPr="00722885">
        <w:rPr>
          <w:color w:val="000000" w:themeColor="text1"/>
          <w:sz w:val="16"/>
          <w:szCs w:val="16"/>
        </w:rPr>
        <w:t xml:space="preserve"> (6467</w:t>
      </w:r>
      <w:r w:rsidRPr="00722885">
        <w:rPr>
          <w:iCs/>
          <w:color w:val="000000" w:themeColor="text1"/>
          <w:sz w:val="16"/>
          <w:szCs w:val="16"/>
        </w:rPr>
        <w:t>).</w:t>
      </w:r>
    </w:p>
    <w:p w14:paraId="15D672C9" w14:textId="77777777" w:rsidR="00BB6316" w:rsidRPr="00722885" w:rsidRDefault="00BB6316" w:rsidP="00722885">
      <w:pPr>
        <w:pStyle w:val="Iauiue"/>
        <w:jc w:val="both"/>
        <w:rPr>
          <w:iCs/>
          <w:color w:val="000000" w:themeColor="text1"/>
          <w:sz w:val="16"/>
          <w:szCs w:val="16"/>
        </w:rPr>
      </w:pPr>
    </w:p>
    <w:p w14:paraId="5EFE41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декабря 1942 летчики сводной группы провели два весьма примечательных воздушных боя с немецкими бомбардировщиками.</w:t>
      </w:r>
    </w:p>
    <w:p w14:paraId="5B2FBC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первом боевом вылете 4 Ил-2 от 503-го и 945-го шап под прикрытием 6 Як-1 на подходе к цели курсом 230° в районе Кош нос к носу встретились с 6 Ju 87. Штурмовики атаковали "юнкерсы" и один их них сбили. После этого Ил-2 нанесли удар по скоплению немецкой техники в балке Неклинская и оврагах севернее Клыков. Были уничтожены и повреждены два танка и три автомашины.</w:t>
      </w:r>
    </w:p>
    <w:p w14:paraId="51642D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втором вылете 5 Ил-2 от 686-го и 811-го шап во время штурмовки войск противника при выходе из атаки на встречном курсе врезались в строй 6 Ju 87 и 8 Bf 109F. В ходе завязавшегося скоротечного воздушного боя три "юнкерса" были сбиты. Своих потерь штурмовики не имели.</w:t>
      </w:r>
    </w:p>
    <w:p w14:paraId="0B3EE0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напряженности боевой обстановки свидетельствует боевое распоряжение штаба 206-й шад: "...Противник в районе колхоз им. 8 Марта, Верхне-Кумский, южная часть балки Кумекая, Заготскот, сконцентрировал 240 танков с мотопехотой. Командир 206 шад приказал 807 и 503 шап с приданными экипажами 945 шап под прикрытием 296 иап уничтожать танки, мотопехоту и артиллерию противника в районе колхоз им. 8 Марта, Верхне-Кумский, южная часть балки Кумекая. ...Военный Совет фронта и Командующий 8 ВА требуют, чтобы день 20.12.42 г. был днем решающего поражения прорвавшейся группировки противника. ...На цель делать максимум заходов, добиться наибольшей эффективности от действий штурмовой авиации".</w:t>
      </w:r>
    </w:p>
    <w:p w14:paraId="063686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низкую облачность (до 250-300 м) и плохую видимость, 8 ВА произвела 20 декабря наибольшее число самолето-вылетов (393) за все время операции Сталинградского фронта на этом направлении (12020).</w:t>
      </w:r>
    </w:p>
    <w:p w14:paraId="74D5C8E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88A6B9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lang w:val="en-US"/>
        </w:rPr>
        <w:t xml:space="preserve">December 19 1942 Manstein advances to within 30 miles of Stalingrad, asks Paulus to attempt to breakout in his direction. </w:t>
      </w:r>
      <w:r w:rsidRPr="00722885">
        <w:rPr>
          <w:color w:val="000000" w:themeColor="text1"/>
          <w:sz w:val="16"/>
          <w:szCs w:val="16"/>
        </w:rPr>
        <w:t>Paulus, fearful of the Fuhrer's wrath, refuses to budge. (1052).</w:t>
      </w:r>
    </w:p>
    <w:p w14:paraId="014F4A5E" w14:textId="77777777" w:rsidR="00BB6316" w:rsidRPr="00722885" w:rsidRDefault="00BB6316" w:rsidP="00722885">
      <w:pPr>
        <w:pStyle w:val="Iauiue"/>
        <w:jc w:val="both"/>
        <w:rPr>
          <w:color w:val="000000" w:themeColor="text1"/>
          <w:sz w:val="16"/>
          <w:szCs w:val="16"/>
        </w:rPr>
      </w:pPr>
    </w:p>
    <w:p w14:paraId="59E4B3F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19 декабря 1942 Манштейн, которому оставалось 30 км до Сталинграда, попросил Паулюса о встречном ударе, но Паулюс отказался, боясь обвинения в отступлении (1052).</w:t>
      </w:r>
    </w:p>
    <w:p w14:paraId="35D7FC72" w14:textId="77777777" w:rsidR="00BB6316" w:rsidRPr="00722885" w:rsidRDefault="00BB6316" w:rsidP="00722885">
      <w:pPr>
        <w:pStyle w:val="Iauiue"/>
        <w:jc w:val="both"/>
        <w:rPr>
          <w:color w:val="000000" w:themeColor="text1"/>
          <w:sz w:val="16"/>
          <w:szCs w:val="16"/>
        </w:rPr>
      </w:pPr>
    </w:p>
    <w:p w14:paraId="39FC62D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22682873" w14:textId="77777777" w:rsidR="00BB6316" w:rsidRPr="00722885" w:rsidRDefault="00BB6316" w:rsidP="00722885">
      <w:pPr>
        <w:pStyle w:val="Iauiue"/>
        <w:jc w:val="both"/>
        <w:rPr>
          <w:iCs/>
          <w:color w:val="000000" w:themeColor="text1"/>
          <w:sz w:val="16"/>
          <w:szCs w:val="16"/>
        </w:rPr>
      </w:pPr>
    </w:p>
    <w:p w14:paraId="10E4778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19 декабря 1942 И.В.С. телеграммой поблагодарил Ф.П.Головатого за самолет (271,211).</w:t>
      </w:r>
    </w:p>
    <w:p w14:paraId="27CB49C5" w14:textId="77777777" w:rsidR="00BB6316" w:rsidRPr="00722885" w:rsidRDefault="00BB6316" w:rsidP="00722885">
      <w:pPr>
        <w:pStyle w:val="Iauiue"/>
        <w:jc w:val="both"/>
        <w:rPr>
          <w:color w:val="000000" w:themeColor="text1"/>
          <w:sz w:val="16"/>
          <w:szCs w:val="16"/>
        </w:rPr>
      </w:pPr>
    </w:p>
    <w:p w14:paraId="3CD9D379" w14:textId="77777777" w:rsidR="0011363C" w:rsidRPr="00722885" w:rsidRDefault="001136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декабря 1942 г. Приказ № СС-1264ц Наркома путей сообщения СССР А. Хрулева об организации с 25 декабря 1942 г. сдачи в эксплуатацию законченного Метростроем строительства убежища в г. Куйбышеве комиссии, утвержденной постановлением № 1980-901сс Совнаркома СССР от 16 декабря 1942 г. (дата фактического завершения Строительства № 1 Метростроя в г. Куйбышеве; в приложении – проект приказа).</w:t>
      </w:r>
    </w:p>
    <w:p w14:paraId="0B9298AF" w14:textId="77777777" w:rsidR="0011363C" w:rsidRPr="00722885" w:rsidRDefault="001136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Подлинник (рассекречено).</w:t>
      </w:r>
    </w:p>
    <w:p w14:paraId="11F82F3E" w14:textId="77777777" w:rsidR="0011363C" w:rsidRPr="00722885" w:rsidRDefault="001136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РГАЭ ф. 1884, оп. 49, д. 1527, лл. 113 – 114 (18959).</w:t>
      </w:r>
    </w:p>
    <w:p w14:paraId="793923CE" w14:textId="77777777" w:rsidR="0011363C" w:rsidRPr="00722885" w:rsidRDefault="0011363C" w:rsidP="00722885">
      <w:pPr>
        <w:spacing w:after="0" w:line="240" w:lineRule="auto"/>
        <w:jc w:val="both"/>
        <w:rPr>
          <w:rFonts w:ascii="Times New Roman" w:hAnsi="Times New Roman"/>
          <w:color w:val="000000" w:themeColor="text1"/>
          <w:sz w:val="16"/>
          <w:szCs w:val="16"/>
        </w:rPr>
      </w:pPr>
    </w:p>
    <w:p w14:paraId="201F7E3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7339B881" w14:textId="77777777" w:rsidR="00BB6316" w:rsidRPr="00722885" w:rsidRDefault="00BB6316" w:rsidP="00722885">
      <w:pPr>
        <w:pStyle w:val="Iauiue"/>
        <w:jc w:val="both"/>
        <w:rPr>
          <w:iCs/>
          <w:color w:val="000000" w:themeColor="text1"/>
          <w:sz w:val="16"/>
          <w:szCs w:val="16"/>
        </w:rPr>
      </w:pPr>
    </w:p>
    <w:p w14:paraId="0868135E" w14:textId="77777777" w:rsidR="007116CB" w:rsidRPr="00722885" w:rsidRDefault="007116CB" w:rsidP="00722885">
      <w:pPr>
        <w:spacing w:after="0" w:line="240" w:lineRule="auto"/>
        <w:jc w:val="both"/>
        <w:rPr>
          <w:rStyle w:val="ucoz-forum-post"/>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19 декабря 1942 года</w:t>
      </w:r>
      <w:r w:rsidRPr="00722885">
        <w:rPr>
          <w:rStyle w:val="ucoz-forum-post"/>
          <w:rFonts w:ascii="Times New Roman" w:hAnsi="Times New Roman"/>
          <w:color w:val="000000" w:themeColor="text1"/>
          <w:sz w:val="16"/>
          <w:szCs w:val="16"/>
        </w:rPr>
        <w:t xml:space="preserve"> Первый полёт истребителя Piaggio P.119 (14865).</w:t>
      </w:r>
    </w:p>
    <w:p w14:paraId="1BBBC335" w14:textId="77777777" w:rsidR="007116CB" w:rsidRPr="00722885" w:rsidRDefault="007116CB" w:rsidP="00722885">
      <w:pPr>
        <w:spacing w:after="0" w:line="240" w:lineRule="auto"/>
        <w:jc w:val="both"/>
        <w:rPr>
          <w:rStyle w:val="ucoz-forum-post"/>
          <w:rFonts w:ascii="Times New Roman" w:hAnsi="Times New Roman"/>
          <w:color w:val="000000" w:themeColor="text1"/>
          <w:sz w:val="16"/>
          <w:szCs w:val="16"/>
        </w:rPr>
      </w:pPr>
    </w:p>
    <w:p w14:paraId="3972AF76"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19 декабря 1942 года — первый полёт экспериментального истребителя Piaggio P.119. /Италия/</w:t>
      </w:r>
    </w:p>
    <w:p w14:paraId="7FC2091F"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Ещё с 1938 года конструкторы компании Piaggio изучали возможность размещения звездообразного двигателя в середине фюзеляжа. После изучения в США конструкции Bell P-39 Airacobra Джованни Пенья (Giovanni Penia) и Джованни Казираги (Giovanni Casiraghi) в 1939 году начали работу над аналогичным истребителем P.119.</w:t>
      </w:r>
    </w:p>
    <w:p w14:paraId="51E4E07F"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Самолёт спроектировали по схеме низкоплана. Шасси убирающееся, в отличие от Bell P-39 — с хвостовым колесом. Двигатель Piaggio P.XV RC.45 вращал винт через длинный вал. Максимальная скорость — 644 км/ч, дальность полёта — 1513 км. Вооружение — 1 × 20-мм пушка Breda-SAFAT и 4 × 12,7-мм пулемёта Breda-SAFAT.</w:t>
      </w:r>
    </w:p>
    <w:p w14:paraId="54855A40"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Испытания показали, что истребитель обладает хорошими лётными характеристиками, но испытывает сильную вибрацию при стрельбе. В августе 1943 года P.119 был повреждён при аварийной посадке. А через месяц Италия капитулировала во Второй мировой войне и проект закрыли (22300).</w:t>
      </w:r>
    </w:p>
    <w:p w14:paraId="1AE43B98" w14:textId="77777777" w:rsidR="00445F8C" w:rsidRPr="00722885" w:rsidRDefault="00445F8C"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40CEF0BD"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19 декабря 1942 года состоялся первый полет Piaggio P.119 (20793).</w:t>
      </w:r>
    </w:p>
    <w:p w14:paraId="5DF6572E" w14:textId="77777777" w:rsidR="00445F8C" w:rsidRPr="00722885" w:rsidRDefault="00445F8C" w:rsidP="00722885">
      <w:pPr>
        <w:spacing w:after="0" w:line="240" w:lineRule="auto"/>
        <w:jc w:val="both"/>
        <w:rPr>
          <w:rFonts w:ascii="Times New Roman" w:hAnsi="Times New Roman"/>
          <w:color w:val="0070C0"/>
          <w:sz w:val="16"/>
          <w:szCs w:val="16"/>
        </w:rPr>
      </w:pPr>
    </w:p>
    <w:p w14:paraId="4E7B555A"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19 декабря 1942 - Первый полёт истребителя Piaggio P.119, Николо Лана.  У этого самолет радиальный двигатель Piaggio P.XXII мощностью 1700 л.с. был установлен в середине фюзеляжа, требовавший хорошего охлаждения. Истребитель, вопреки ожиданиям, не смог показать расчетных данных. В полете сильно перегревался мотор, а аэродинамический момент выходящего из жалюзи потока горячего воздуха отрицательно сказывался на управляемости. Самолёт норовил скабрировать (перевернуться через спину), что было в корне недопустимо. Из положительных характеристик отметили высокую скорость, доходившую до 640 км/ч. Однако держать такой темп Р.119 не мог долго и к тому же прототип был вооружен всего двумя пулеметами (22698).</w:t>
      </w:r>
    </w:p>
    <w:p w14:paraId="6C864F22" w14:textId="77777777" w:rsidR="00445F8C" w:rsidRPr="00722885" w:rsidRDefault="00445F8C" w:rsidP="00722885">
      <w:pPr>
        <w:spacing w:after="0" w:line="240" w:lineRule="auto"/>
        <w:jc w:val="both"/>
        <w:rPr>
          <w:rFonts w:ascii="Times New Roman" w:hAnsi="Times New Roman"/>
          <w:color w:val="0070C0"/>
          <w:sz w:val="16"/>
          <w:szCs w:val="16"/>
        </w:rPr>
      </w:pPr>
    </w:p>
    <w:p w14:paraId="0D3C9BB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19 декабря 1942 британцы продвинулись на 40 миль в Бирме (2100).</w:t>
      </w:r>
    </w:p>
    <w:p w14:paraId="692EEF62" w14:textId="77777777" w:rsidR="00BB6316" w:rsidRPr="00722885" w:rsidRDefault="00BB6316" w:rsidP="00722885">
      <w:pPr>
        <w:pStyle w:val="Iauiue"/>
        <w:jc w:val="both"/>
        <w:rPr>
          <w:color w:val="000000" w:themeColor="text1"/>
          <w:sz w:val="16"/>
          <w:szCs w:val="16"/>
        </w:rPr>
      </w:pPr>
    </w:p>
    <w:p w14:paraId="48A2610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87084D6" w14:textId="77777777" w:rsidR="00BB6316" w:rsidRPr="00722885" w:rsidRDefault="00BB6316" w:rsidP="00722885">
      <w:pPr>
        <w:pStyle w:val="Iauiue"/>
        <w:jc w:val="both"/>
        <w:rPr>
          <w:iCs/>
          <w:color w:val="000000" w:themeColor="text1"/>
          <w:sz w:val="16"/>
          <w:szCs w:val="16"/>
        </w:rPr>
      </w:pPr>
    </w:p>
    <w:p w14:paraId="2FA4C9E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20 декабря 1942 1-й экз. самолета Ил-4 в высотном варианте был закончен в срок на 240 заводе и сдан на летные испытания (2212,640).</w:t>
      </w:r>
    </w:p>
    <w:p w14:paraId="5FE36E2D" w14:textId="77777777" w:rsidR="00BB6316" w:rsidRPr="00722885" w:rsidRDefault="00BB6316" w:rsidP="00722885">
      <w:pPr>
        <w:pStyle w:val="Iauiue"/>
        <w:jc w:val="both"/>
        <w:rPr>
          <w:color w:val="000000" w:themeColor="text1"/>
          <w:sz w:val="16"/>
          <w:szCs w:val="16"/>
        </w:rPr>
      </w:pPr>
    </w:p>
    <w:p w14:paraId="33068F7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20 декабря 1942 по 20 января 1943 года заводом №19 были проверены мощности и высот</w:t>
      </w:r>
      <w:r w:rsidRPr="00722885">
        <w:rPr>
          <w:rFonts w:ascii="Times New Roman" w:hAnsi="Times New Roman"/>
          <w:color w:val="000000" w:themeColor="text1"/>
          <w:sz w:val="16"/>
          <w:szCs w:val="16"/>
        </w:rPr>
        <w:softHyphen/>
        <w:t>ность 10 моторов М-82 на высотной установке «Хинан-Фруд». Из этих мо</w:t>
      </w:r>
      <w:r w:rsidRPr="00722885">
        <w:rPr>
          <w:rFonts w:ascii="Times New Roman" w:hAnsi="Times New Roman"/>
          <w:color w:val="000000" w:themeColor="text1"/>
          <w:sz w:val="16"/>
          <w:szCs w:val="16"/>
        </w:rPr>
        <w:softHyphen/>
        <w:t>торов было 3 мотора 1-й серии выпус</w:t>
      </w:r>
      <w:r w:rsidRPr="00722885">
        <w:rPr>
          <w:rFonts w:ascii="Times New Roman" w:hAnsi="Times New Roman"/>
          <w:color w:val="000000" w:themeColor="text1"/>
          <w:sz w:val="16"/>
          <w:szCs w:val="16"/>
        </w:rPr>
        <w:softHyphen/>
        <w:t>ка конца 1941 и начала 1942 года, 5 моторов 2-й серии и 2 мотора 3-й серии выпуска 1942 года. Данные этой проверки показали, что все моторы недодают мощности: на взлете — от 30 до 90 л.с., на земном номинале 1-й скорости — от 30 до 93 л.с., на зем</w:t>
      </w:r>
      <w:r w:rsidRPr="00722885">
        <w:rPr>
          <w:rFonts w:ascii="Times New Roman" w:hAnsi="Times New Roman"/>
          <w:color w:val="000000" w:themeColor="text1"/>
          <w:sz w:val="16"/>
          <w:szCs w:val="16"/>
        </w:rPr>
        <w:softHyphen/>
        <w:t>ном номинале 2-й скорости - от 2 до 63 л.с. Также недополучены на этих моторах высота и высотная мощность: на номинале 1-й скорости - от 57 до 140 л.с., на номинале 2-й скорости -от 4 до 67 л.с., высота на 2-й скорости - от 50 до 300 м. Такая же проверка была проведена в период с 15 февра</w:t>
      </w:r>
      <w:r w:rsidRPr="00722885">
        <w:rPr>
          <w:rFonts w:ascii="Times New Roman" w:hAnsi="Times New Roman"/>
          <w:color w:val="000000" w:themeColor="text1"/>
          <w:sz w:val="16"/>
          <w:szCs w:val="16"/>
        </w:rPr>
        <w:softHyphen/>
        <w:t>ля по 15 марта 1943 года на «Хинан-Фруде» еще 6-ти моторов последней серии. Результаты были аналогичные. В связи с началом выпуска мотора М-82Ф с НВ, интерес к доводке АК-82БП постепенно угас. Возможно, история карбюраторного М-82 так бы и за</w:t>
      </w:r>
      <w:r w:rsidRPr="00722885">
        <w:rPr>
          <w:rFonts w:ascii="Times New Roman" w:hAnsi="Times New Roman"/>
          <w:color w:val="000000" w:themeColor="text1"/>
          <w:sz w:val="16"/>
          <w:szCs w:val="16"/>
        </w:rPr>
        <w:softHyphen/>
        <w:t>кончилась, если бы о нем снова не вспомнили осенью 1943 года (10705).</w:t>
      </w:r>
    </w:p>
    <w:p w14:paraId="1DBA76E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570A8B5" w14:textId="77777777" w:rsidR="007116CB" w:rsidRPr="00722885" w:rsidRDefault="007116C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С 20 декабря 1942 г. по 20 января 1943 г. за</w:t>
      </w:r>
      <w:r w:rsidRPr="00722885">
        <w:rPr>
          <w:rFonts w:ascii="Times New Roman" w:cs="Times New Roman"/>
          <w:color w:val="000000" w:themeColor="text1"/>
          <w:spacing w:val="0"/>
        </w:rPr>
        <w:softHyphen/>
        <w:t>вод № 19 проверил мощности и высотность 10 моторов М-82 на высотной установке «Хинан-Фруд». Из них 3 мотора 1-й серии выпуска конца 1941 г. и начала 1942 г., 5 — 2-й серии и 2 — 3-й серии выпуска 1942 г. Данные проверки показали, что все они не</w:t>
      </w:r>
      <w:r w:rsidRPr="00722885">
        <w:rPr>
          <w:rFonts w:ascii="Times New Roman" w:cs="Times New Roman"/>
          <w:color w:val="000000" w:themeColor="text1"/>
          <w:spacing w:val="0"/>
        </w:rPr>
        <w:softHyphen/>
        <w:t>додают мощности: на взлёте — от 30 до 90 л.е., на земном номинале 1-й скорости — от 30 до 93 л.е., на земном номинале 2-й скорости — от 2 до 63 л.с. Также недополучили на этих моторах высоту и высотную мощность: на номинале 1-й скорости — от 57 до 140 л.е., на номинале 2-й скорости — от 4 до 67 л.е., высота на 2-й скорости — от 50 до 300 м. Такую же проверку провели в период с 15 февраля по 15 марта 1943 г. на «Хинан-фруде» ещё 6 моторов последней серии. Результаты получились аналогичные (15813).</w:t>
      </w:r>
    </w:p>
    <w:p w14:paraId="1E04D5FD" w14:textId="77777777" w:rsidR="007116CB" w:rsidRPr="00722885" w:rsidRDefault="007116CB" w:rsidP="00722885">
      <w:pPr>
        <w:pStyle w:val="27"/>
        <w:shd w:val="clear" w:color="auto" w:fill="auto"/>
        <w:spacing w:after="0" w:line="240" w:lineRule="auto"/>
        <w:ind w:firstLine="0"/>
        <w:rPr>
          <w:rFonts w:ascii="Times New Roman" w:cs="Times New Roman"/>
          <w:color w:val="000000" w:themeColor="text1"/>
          <w:spacing w:val="0"/>
        </w:rPr>
      </w:pPr>
    </w:p>
    <w:p w14:paraId="3A920129" w14:textId="77777777" w:rsidR="007116CB" w:rsidRPr="00722885" w:rsidRDefault="007116CB" w:rsidP="00722885">
      <w:pPr>
        <w:pStyle w:val="3a"/>
        <w:shd w:val="clear" w:color="auto" w:fill="auto"/>
        <w:spacing w:before="0" w:after="0" w:line="240" w:lineRule="auto"/>
        <w:jc w:val="both"/>
        <w:rPr>
          <w:color w:val="000000" w:themeColor="text1"/>
          <w:spacing w:val="0"/>
          <w:sz w:val="16"/>
          <w:szCs w:val="16"/>
        </w:rPr>
      </w:pPr>
      <w:r w:rsidRPr="00722885">
        <w:rPr>
          <w:color w:val="000000" w:themeColor="text1"/>
          <w:spacing w:val="0"/>
          <w:sz w:val="16"/>
          <w:szCs w:val="16"/>
        </w:rPr>
        <w:t>20 декабря 1942 г. Из отчета НИИ ГВФ по теме «Внедрение методов дальнего вождения самолетов с помощью коротковолновой радиопеленгации», представленного на соискание Сталинской премии за 1942 г.</w:t>
      </w:r>
    </w:p>
    <w:p w14:paraId="0E4348DB" w14:textId="77777777" w:rsidR="007116CB" w:rsidRPr="00722885" w:rsidRDefault="007116CB" w:rsidP="00722885">
      <w:pPr>
        <w:pStyle w:val="3a"/>
        <w:shd w:val="clear" w:color="auto" w:fill="auto"/>
        <w:spacing w:before="0" w:after="0" w:line="240" w:lineRule="auto"/>
        <w:jc w:val="both"/>
        <w:rPr>
          <w:color w:val="000000" w:themeColor="text1"/>
          <w:spacing w:val="0"/>
          <w:sz w:val="16"/>
          <w:szCs w:val="16"/>
        </w:rPr>
      </w:pPr>
      <w:r w:rsidRPr="00722885">
        <w:rPr>
          <w:color w:val="000000" w:themeColor="text1"/>
          <w:spacing w:val="0"/>
          <w:sz w:val="16"/>
          <w:szCs w:val="16"/>
        </w:rPr>
        <w:t>...Внедрение методов дальнего вождения самолетов с помощью коротковолновой радиопеленгации</w:t>
      </w:r>
    </w:p>
    <w:p w14:paraId="464EAD8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Анализ условий летной работы в военной обстановке и существу</w:t>
      </w:r>
      <w:r w:rsidRPr="00722885">
        <w:rPr>
          <w:rFonts w:ascii="Times New Roman" w:hAnsi="Times New Roman"/>
          <w:color w:val="000000" w:themeColor="text1"/>
          <w:sz w:val="16"/>
          <w:szCs w:val="16"/>
        </w:rPr>
        <w:softHyphen/>
        <w:t>ющих систем радиовождения, проведенный инженерами объекта № 5 НИИ ГВФ М.И. Кокониным, Е.И. Вересотским, В.В. Ширковым и В.Е. Па нагриевым, привел к следующим выводам:</w:t>
      </w:r>
    </w:p>
    <w:p w14:paraId="53652309" w14:textId="77777777" w:rsidR="007116CB" w:rsidRPr="00722885" w:rsidRDefault="007116CB" w:rsidP="00722885">
      <w:pPr>
        <w:tabs>
          <w:tab w:val="left" w:pos="807"/>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 условиях военного времени авиация совершает перелеты на расстояния порядка 1000-2000 км и, главным образом, или ночью, или днем при пониженной видимости (в тумане, облаках и т.п.). Это делает</w:t>
      </w:r>
      <w:r w:rsidRPr="00722885">
        <w:rPr>
          <w:rFonts w:ascii="Times New Roman" w:hAnsi="Times New Roman"/>
          <w:color w:val="000000" w:themeColor="text1"/>
          <w:sz w:val="16"/>
          <w:szCs w:val="16"/>
        </w:rPr>
        <w:softHyphen/>
        <w:t>ся с целью уменьшения потерь от истребительной авиации и зенитной артиллерии врага.</w:t>
      </w:r>
    </w:p>
    <w:p w14:paraId="69FDF32C" w14:textId="77777777" w:rsidR="007116CB" w:rsidRPr="00722885" w:rsidRDefault="007116CB" w:rsidP="00722885">
      <w:pPr>
        <w:tabs>
          <w:tab w:val="left" w:pos="79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 Известны три основные системы радиовождения: вождение по радиомаякам различных систем, вождение по приводным станциям с помощью самолетных радиокомпасов и, наконец, вождение с помощью наземных радиопеленгаторов.</w:t>
      </w:r>
    </w:p>
    <w:p w14:paraId="4E66D632"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Применение первых двух методов ограничивается малыми ради</w:t>
      </w:r>
      <w:r w:rsidRPr="00722885">
        <w:rPr>
          <w:rFonts w:ascii="Times New Roman" w:hAnsi="Times New Roman"/>
          <w:color w:val="000000" w:themeColor="text1"/>
          <w:sz w:val="16"/>
          <w:szCs w:val="16"/>
        </w:rPr>
        <w:softHyphen/>
        <w:t>усами действия (100-250 км) и затруднительностью предотвращения ис</w:t>
      </w:r>
      <w:r w:rsidRPr="00722885">
        <w:rPr>
          <w:rFonts w:ascii="Times New Roman" w:hAnsi="Times New Roman"/>
          <w:color w:val="000000" w:themeColor="text1"/>
          <w:sz w:val="16"/>
          <w:szCs w:val="16"/>
        </w:rPr>
        <w:softHyphen/>
        <w:t>пользования их вражеской авиацией.</w:t>
      </w:r>
    </w:p>
    <w:p w14:paraId="5A3415A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Эти обстоятельства, не препятствующие использованию этих ме</w:t>
      </w:r>
      <w:r w:rsidRPr="00722885">
        <w:rPr>
          <w:rFonts w:ascii="Times New Roman" w:hAnsi="Times New Roman"/>
          <w:color w:val="000000" w:themeColor="text1"/>
          <w:sz w:val="16"/>
          <w:szCs w:val="16"/>
        </w:rPr>
        <w:softHyphen/>
        <w:t>тодов в мирное время для полетов на небольшие расстояния, в услови</w:t>
      </w:r>
      <w:r w:rsidRPr="00722885">
        <w:rPr>
          <w:rFonts w:ascii="Times New Roman" w:hAnsi="Times New Roman"/>
          <w:color w:val="000000" w:themeColor="text1"/>
          <w:sz w:val="16"/>
          <w:szCs w:val="16"/>
        </w:rPr>
        <w:softHyphen/>
        <w:t>ях дальних боевых перелетов заставили остановиться для этих целей на третьем методе - на наземной радиопеленгации.</w:t>
      </w:r>
    </w:p>
    <w:p w14:paraId="1B2E96A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началу войны основными средствами радиовождения в Совет</w:t>
      </w:r>
      <w:r w:rsidRPr="00722885">
        <w:rPr>
          <w:rFonts w:ascii="Times New Roman" w:hAnsi="Times New Roman"/>
          <w:color w:val="000000" w:themeColor="text1"/>
          <w:sz w:val="16"/>
          <w:szCs w:val="16"/>
        </w:rPr>
        <w:softHyphen/>
        <w:t>ской авиации служили радиомаяки.</w:t>
      </w:r>
    </w:p>
    <w:p w14:paraId="65577F3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области наземной радиопеленгации было сделано очень мало.</w:t>
      </w:r>
    </w:p>
    <w:p w14:paraId="68B7E09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радиопеленгации за время, предшествующее 15 октя</w:t>
      </w:r>
      <w:r w:rsidRPr="00722885">
        <w:rPr>
          <w:rFonts w:ascii="Times New Roman" w:hAnsi="Times New Roman"/>
          <w:color w:val="000000" w:themeColor="text1"/>
          <w:sz w:val="16"/>
          <w:szCs w:val="16"/>
        </w:rPr>
        <w:softHyphen/>
        <w:t>бря 1941г., находилось в следующем состоянии:</w:t>
      </w:r>
    </w:p>
    <w:p w14:paraId="713077A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Был разработан стационарный пеленгатор... промежуточно-вол</w:t>
      </w:r>
      <w:r w:rsidRPr="00722885">
        <w:rPr>
          <w:rFonts w:ascii="Times New Roman" w:hAnsi="Times New Roman"/>
          <w:color w:val="000000" w:themeColor="text1"/>
          <w:sz w:val="16"/>
          <w:szCs w:val="16"/>
        </w:rPr>
        <w:softHyphen/>
        <w:t>нового диапазона стационарного типа, СПП, прошедший государст</w:t>
      </w:r>
      <w:r w:rsidRPr="00722885">
        <w:rPr>
          <w:rFonts w:ascii="Times New Roman" w:hAnsi="Times New Roman"/>
          <w:color w:val="000000" w:themeColor="text1"/>
          <w:sz w:val="16"/>
          <w:szCs w:val="16"/>
        </w:rPr>
        <w:softHyphen/>
        <w:t>венные испытания в 1937 г.</w:t>
      </w:r>
    </w:p>
    <w:p w14:paraId="6B6BC165"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Он был предназначен в основном для гражданской авиации.</w:t>
      </w:r>
    </w:p>
    <w:p w14:paraId="1FE73DA6"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Пеленгатор типа СПП был изготовлен в небольшом количестве (14 шт.) силами института и установлен на двух воздушных линиях Мо</w:t>
      </w:r>
      <w:r w:rsidRPr="00722885">
        <w:rPr>
          <w:rFonts w:ascii="Times New Roman" w:hAnsi="Times New Roman"/>
          <w:color w:val="000000" w:themeColor="text1"/>
          <w:sz w:val="16"/>
          <w:szCs w:val="16"/>
        </w:rPr>
        <w:softHyphen/>
        <w:t>сква—Ашхабад и Алма-Ата—Хами.</w:t>
      </w:r>
    </w:p>
    <w:p w14:paraId="0534C9D2"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с этим была разработана методика расчета пелен</w:t>
      </w:r>
      <w:r w:rsidRPr="00722885">
        <w:rPr>
          <w:rFonts w:ascii="Times New Roman" w:hAnsi="Times New Roman"/>
          <w:color w:val="000000" w:themeColor="text1"/>
          <w:sz w:val="16"/>
          <w:szCs w:val="16"/>
        </w:rPr>
        <w:softHyphen/>
        <w:t>гаторов типа Эдкок и некоторые другие вопросы, касающиеся проек</w:t>
      </w:r>
      <w:r w:rsidRPr="00722885">
        <w:rPr>
          <w:rFonts w:ascii="Times New Roman" w:hAnsi="Times New Roman"/>
          <w:color w:val="000000" w:themeColor="text1"/>
          <w:sz w:val="16"/>
          <w:szCs w:val="16"/>
        </w:rPr>
        <w:softHyphen/>
        <w:t>тирования пеленгаторов, а также методика изыскания, налаживания и контрольных испытаний.</w:t>
      </w:r>
    </w:p>
    <w:p w14:paraId="552F3FD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Вопрос о внедрении этого типа пеленгаторов в промышленность разрешен не был.</w:t>
      </w:r>
    </w:p>
    <w:p w14:paraId="10B066E2"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Равным образом, не ставился ни в какой форме вопрос исполь</w:t>
      </w:r>
      <w:r w:rsidRPr="00722885">
        <w:rPr>
          <w:rFonts w:ascii="Times New Roman" w:hAnsi="Times New Roman"/>
          <w:color w:val="000000" w:themeColor="text1"/>
          <w:sz w:val="16"/>
          <w:szCs w:val="16"/>
        </w:rPr>
        <w:softHyphen/>
        <w:t>зования радиопеленгаторов в дальних рейсах и организованной рабо</w:t>
      </w:r>
      <w:r w:rsidRPr="00722885">
        <w:rPr>
          <w:rFonts w:ascii="Times New Roman" w:hAnsi="Times New Roman"/>
          <w:color w:val="000000" w:themeColor="text1"/>
          <w:sz w:val="16"/>
          <w:szCs w:val="16"/>
        </w:rPr>
        <w:softHyphen/>
        <w:t>ты пеленгаторных сетей, т.е. систем из нескольких пеленгаторов, рабо</w:t>
      </w:r>
      <w:r w:rsidRPr="00722885">
        <w:rPr>
          <w:rFonts w:ascii="Times New Roman" w:hAnsi="Times New Roman"/>
          <w:color w:val="000000" w:themeColor="text1"/>
          <w:sz w:val="16"/>
          <w:szCs w:val="16"/>
        </w:rPr>
        <w:softHyphen/>
        <w:t>тающих совместно по определенной схеме и покрывающих определен</w:t>
      </w:r>
      <w:r w:rsidRPr="00722885">
        <w:rPr>
          <w:rFonts w:ascii="Times New Roman" w:hAnsi="Times New Roman"/>
          <w:color w:val="000000" w:themeColor="text1"/>
          <w:sz w:val="16"/>
          <w:szCs w:val="16"/>
        </w:rPr>
        <w:softHyphen/>
        <w:t>ную территорию.</w:t>
      </w:r>
    </w:p>
    <w:p w14:paraId="5A67AEC9"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Вождение по упомянутым двум линиям хотя и заслужило извест</w:t>
      </w:r>
      <w:r w:rsidRPr="00722885">
        <w:rPr>
          <w:rFonts w:ascii="Times New Roman" w:hAnsi="Times New Roman"/>
          <w:color w:val="000000" w:themeColor="text1"/>
          <w:sz w:val="16"/>
          <w:szCs w:val="16"/>
        </w:rPr>
        <w:softHyphen/>
        <w:t>ное признание летного состава, однако происходило исключительно на привод курсовым методом. Вопрос о более точном методе вождения — по засечкам — кроме одной пробы экспериментального характера в НИИ реализован на в/л не был из-за недостатка аппаратуры для установки пеленгаторов.</w:t>
      </w:r>
    </w:p>
    <w:p w14:paraId="56A9482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Взгляд на наземную радиопеленгацию, как на средство вождения с весьма ограниченными возможностями, оказал неблагоприятное вли</w:t>
      </w:r>
      <w:r w:rsidRPr="00722885">
        <w:rPr>
          <w:rFonts w:ascii="Times New Roman" w:hAnsi="Times New Roman"/>
          <w:color w:val="000000" w:themeColor="text1"/>
          <w:sz w:val="16"/>
          <w:szCs w:val="16"/>
        </w:rPr>
        <w:softHyphen/>
        <w:t>яние и на подготовку кадров как эксплуатационного, так и монтажно</w:t>
      </w:r>
      <w:r w:rsidRPr="00722885">
        <w:rPr>
          <w:rFonts w:ascii="Times New Roman" w:hAnsi="Times New Roman"/>
          <w:color w:val="000000" w:themeColor="text1"/>
          <w:sz w:val="16"/>
          <w:szCs w:val="16"/>
        </w:rPr>
        <w:softHyphen/>
        <w:t>го персонала.</w:t>
      </w:r>
    </w:p>
    <w:p w14:paraId="374313E2"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Подготовка персонала для пеленгаторов производилась лишь по мере потребности сегодняшнего дня и ограничивалась единичными на</w:t>
      </w:r>
      <w:r w:rsidRPr="00722885">
        <w:rPr>
          <w:rFonts w:ascii="Times New Roman" w:hAnsi="Times New Roman"/>
          <w:color w:val="000000" w:themeColor="text1"/>
          <w:sz w:val="16"/>
          <w:szCs w:val="16"/>
        </w:rPr>
        <w:softHyphen/>
        <w:t>чальниками радиопеленгаторных пунктов.</w:t>
      </w:r>
    </w:p>
    <w:p w14:paraId="235E92A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этого встречались грубые промахи при монтаже, допускавшиеся работниками монтажных организаций, и неудовлет</w:t>
      </w:r>
      <w:r w:rsidRPr="00722885">
        <w:rPr>
          <w:rFonts w:ascii="Times New Roman" w:hAnsi="Times New Roman"/>
          <w:color w:val="000000" w:themeColor="text1"/>
          <w:sz w:val="16"/>
          <w:szCs w:val="16"/>
        </w:rPr>
        <w:softHyphen/>
        <w:t>ворительное содержание материальной части эксплуатационным персоналом. Были случаи промахов с их стороны при вождении са</w:t>
      </w:r>
      <w:r w:rsidRPr="00722885">
        <w:rPr>
          <w:rFonts w:ascii="Times New Roman" w:hAnsi="Times New Roman"/>
          <w:color w:val="000000" w:themeColor="text1"/>
          <w:sz w:val="16"/>
          <w:szCs w:val="16"/>
        </w:rPr>
        <w:softHyphen/>
        <w:t>молетов.</w:t>
      </w:r>
    </w:p>
    <w:p w14:paraId="7E2CEA6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Посылка отдельных специалистов, которыми располагал НИИ ГВФ, не могла покрыть всех потребностей в повседневном руководстве даже того небольшого числа пеленгаторных установок, которые в то время существовали.</w:t>
      </w:r>
    </w:p>
    <w:p w14:paraId="1C2A6F0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ВВС располагали небольшим количеством радиопеленгаторов, выпускавшихся заводом № 193, предназначенных для радиоразведки и выполненных без учета требований авиации.</w:t>
      </w:r>
    </w:p>
    <w:p w14:paraId="22F23D2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Вместе с этим отсутствовали и военные кадры начальников и ра</w:t>
      </w:r>
      <w:r w:rsidRPr="00722885">
        <w:rPr>
          <w:rFonts w:ascii="Times New Roman" w:hAnsi="Times New Roman"/>
          <w:color w:val="000000" w:themeColor="text1"/>
          <w:sz w:val="16"/>
          <w:szCs w:val="16"/>
        </w:rPr>
        <w:softHyphen/>
        <w:t>диооператоров, умеющих обслуживать радиопеленгаторные установки в авиационных подразделениях.</w:t>
      </w:r>
    </w:p>
    <w:p w14:paraId="421FEFC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Промышленность, в лице заводов №№ 193 и 327, располагала только образцами .двух пеленгаторов, которые могли бы удовлетворить авиацию.</w:t>
      </w:r>
    </w:p>
    <w:p w14:paraId="5E3FA35A"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выпуске их вопрос был отложен ввиду эвакуации обоих заводов.</w:t>
      </w:r>
    </w:p>
    <w:p w14:paraId="4A6A94A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ни аппаратуры в нужном количестве, ни кадров для надежного радиовождения в военное время, ни необходимого опы</w:t>
      </w:r>
      <w:r w:rsidRPr="00722885">
        <w:rPr>
          <w:rFonts w:ascii="Times New Roman" w:hAnsi="Times New Roman"/>
          <w:color w:val="000000" w:themeColor="text1"/>
          <w:sz w:val="16"/>
          <w:szCs w:val="16"/>
        </w:rPr>
        <w:softHyphen/>
        <w:t>та и организации оперативной части, ни методики вождения в условиях военного времени практически не существовало.</w:t>
      </w:r>
    </w:p>
    <w:p w14:paraId="75D5A62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Поставив себе целью обеспечение авиации наземной радиопе</w:t>
      </w:r>
      <w:r w:rsidRPr="00722885">
        <w:rPr>
          <w:rFonts w:ascii="Times New Roman" w:hAnsi="Times New Roman"/>
          <w:color w:val="000000" w:themeColor="text1"/>
          <w:sz w:val="16"/>
          <w:szCs w:val="16"/>
        </w:rPr>
        <w:softHyphen/>
        <w:t>ленгацией в кратчайший срок, объект № 5 НИИ ГВФ повел работу по следующим основным направлениям:</w:t>
      </w:r>
    </w:p>
    <w:p w14:paraId="20541E0E" w14:textId="77777777" w:rsidR="007116CB" w:rsidRPr="00722885" w:rsidRDefault="007116CB" w:rsidP="00722885">
      <w:pPr>
        <w:tabs>
          <w:tab w:val="left" w:pos="78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Разрешение научно-технических проблем широкого использо</w:t>
      </w:r>
      <w:r w:rsidRPr="00722885">
        <w:rPr>
          <w:rFonts w:ascii="Times New Roman" w:hAnsi="Times New Roman"/>
          <w:color w:val="000000" w:themeColor="text1"/>
          <w:sz w:val="16"/>
          <w:szCs w:val="16"/>
        </w:rPr>
        <w:softHyphen/>
        <w:t>вания наземной радиопеленгации.</w:t>
      </w:r>
    </w:p>
    <w:p w14:paraId="5611CA8A" w14:textId="77777777" w:rsidR="007116CB" w:rsidRPr="00722885" w:rsidRDefault="007116CB" w:rsidP="00722885">
      <w:pPr>
        <w:tabs>
          <w:tab w:val="left" w:pos="83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Обеспечение аэропортов и фронтовых подразделений доста</w:t>
      </w:r>
      <w:r w:rsidRPr="00722885">
        <w:rPr>
          <w:rFonts w:ascii="Times New Roman" w:hAnsi="Times New Roman"/>
          <w:color w:val="000000" w:themeColor="text1"/>
          <w:sz w:val="16"/>
          <w:szCs w:val="16"/>
        </w:rPr>
        <w:softHyphen/>
        <w:t>точным количеством пеленгаторов.</w:t>
      </w:r>
    </w:p>
    <w:p w14:paraId="0393E69B" w14:textId="77777777" w:rsidR="007116CB" w:rsidRPr="00722885" w:rsidRDefault="007116CB" w:rsidP="00722885">
      <w:pPr>
        <w:tabs>
          <w:tab w:val="left" w:pos="77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Организация ремонта и технической эксплуатации пеленгатор</w:t>
      </w:r>
      <w:r w:rsidRPr="00722885">
        <w:rPr>
          <w:rFonts w:ascii="Times New Roman" w:hAnsi="Times New Roman"/>
          <w:color w:val="000000" w:themeColor="text1"/>
          <w:sz w:val="16"/>
          <w:szCs w:val="16"/>
        </w:rPr>
        <w:softHyphen/>
        <w:t>ных установок.</w:t>
      </w:r>
    </w:p>
    <w:p w14:paraId="5C026CF2" w14:textId="77777777" w:rsidR="007116CB" w:rsidRPr="00722885" w:rsidRDefault="007116CB" w:rsidP="00722885">
      <w:pPr>
        <w:tabs>
          <w:tab w:val="left" w:pos="80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Подготовка кадров.</w:t>
      </w:r>
    </w:p>
    <w:p w14:paraId="641A794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Исходя из условий развития пеленгации в военное время, объек</w:t>
      </w:r>
      <w:r w:rsidRPr="00722885">
        <w:rPr>
          <w:rFonts w:ascii="Times New Roman" w:hAnsi="Times New Roman"/>
          <w:color w:val="000000" w:themeColor="text1"/>
          <w:sz w:val="16"/>
          <w:szCs w:val="16"/>
        </w:rPr>
        <w:softHyphen/>
        <w:t>том № 5 были установлены следующие технические требования к аппа</w:t>
      </w:r>
      <w:r w:rsidRPr="00722885">
        <w:rPr>
          <w:rFonts w:ascii="Times New Roman" w:hAnsi="Times New Roman"/>
          <w:color w:val="000000" w:themeColor="text1"/>
          <w:sz w:val="16"/>
          <w:szCs w:val="16"/>
        </w:rPr>
        <w:softHyphen/>
        <w:t>ратуре:</w:t>
      </w:r>
    </w:p>
    <w:p w14:paraId="66AC3C56" w14:textId="77777777" w:rsidR="007116CB" w:rsidRPr="00722885" w:rsidRDefault="007116CB" w:rsidP="00722885">
      <w:pPr>
        <w:tabs>
          <w:tab w:val="left" w:pos="78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Повышение чувствительности и точности работы в ночное время.</w:t>
      </w:r>
    </w:p>
    <w:p w14:paraId="7893A660" w14:textId="77777777" w:rsidR="007116CB" w:rsidRPr="00722885" w:rsidRDefault="007116CB" w:rsidP="00722885">
      <w:pPr>
        <w:tabs>
          <w:tab w:val="left" w:pos="80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Простота в изготовлении, монтаже и использовании.</w:t>
      </w:r>
    </w:p>
    <w:p w14:paraId="5362A9BC" w14:textId="77777777" w:rsidR="007116CB" w:rsidRPr="00722885" w:rsidRDefault="007116CB" w:rsidP="00722885">
      <w:pPr>
        <w:tabs>
          <w:tab w:val="left" w:pos="782"/>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Невысокая стоимость и применение недефицитных материалов.</w:t>
      </w:r>
    </w:p>
    <w:p w14:paraId="0B166AB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Зимой 1942 г. Е.И. Вересотским и В.Е. Панагриевым задача была</w:t>
      </w:r>
    </w:p>
    <w:p w14:paraId="7607B029"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разрешена в очень короткий срок, и был создан пеленгатор полустаци</w:t>
      </w:r>
      <w:r w:rsidRPr="00722885">
        <w:rPr>
          <w:rFonts w:ascii="Times New Roman" w:hAnsi="Times New Roman"/>
          <w:color w:val="000000" w:themeColor="text1"/>
          <w:sz w:val="16"/>
          <w:szCs w:val="16"/>
        </w:rPr>
        <w:softHyphen/>
        <w:t>онарного типа ВАЛ ... В нем был продуман и удачно использован наш и зарубежный опыт, и он удовлетворил всем поставленным требованиям.</w:t>
      </w:r>
    </w:p>
    <w:p w14:paraId="1FFE070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Повышение чувствительности и селективности пеленгатора бы</w:t>
      </w:r>
      <w:r w:rsidRPr="00722885">
        <w:rPr>
          <w:rFonts w:ascii="Times New Roman" w:hAnsi="Times New Roman"/>
          <w:color w:val="000000" w:themeColor="text1"/>
          <w:sz w:val="16"/>
          <w:szCs w:val="16"/>
        </w:rPr>
        <w:softHyphen/>
        <w:t>ло достигнуто применением обратной связи первого каскада с ротором гониометра.</w:t>
      </w:r>
    </w:p>
    <w:p w14:paraId="6F5FCA2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Повышение точности было получено выбором наивыгоднейших параметров и приближением антенно-фидерной системы к ее идеаль</w:t>
      </w:r>
      <w:r w:rsidRPr="00722885">
        <w:rPr>
          <w:rFonts w:ascii="Times New Roman" w:hAnsi="Times New Roman"/>
          <w:color w:val="000000" w:themeColor="text1"/>
          <w:sz w:val="16"/>
          <w:szCs w:val="16"/>
        </w:rPr>
        <w:softHyphen/>
        <w:t>ному виду.</w:t>
      </w:r>
    </w:p>
    <w:p w14:paraId="48DAAEE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Конструкция пеленгатора при малых его габаритах позволяла пе</w:t>
      </w:r>
      <w:r w:rsidRPr="00722885">
        <w:rPr>
          <w:rFonts w:ascii="Times New Roman" w:hAnsi="Times New Roman"/>
          <w:color w:val="000000" w:themeColor="text1"/>
          <w:sz w:val="16"/>
          <w:szCs w:val="16"/>
        </w:rPr>
        <w:softHyphen/>
        <w:t>реброску его любым видом транспорта, включая автомобиль и самолет, быстрый монтаж и демонтаж, изготовление без специального оборудо</w:t>
      </w:r>
      <w:r w:rsidRPr="00722885">
        <w:rPr>
          <w:rFonts w:ascii="Times New Roman" w:hAnsi="Times New Roman"/>
          <w:color w:val="000000" w:themeColor="text1"/>
          <w:sz w:val="16"/>
          <w:szCs w:val="16"/>
        </w:rPr>
        <w:softHyphen/>
        <w:t>вания и дефицитных материалов...</w:t>
      </w:r>
    </w:p>
    <w:p w14:paraId="0875B10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...Эти особенности разработанного типа позволили в текущем го</w:t>
      </w:r>
      <w:r w:rsidRPr="00722885">
        <w:rPr>
          <w:rFonts w:ascii="Times New Roman" w:hAnsi="Times New Roman"/>
          <w:color w:val="000000" w:themeColor="text1"/>
          <w:sz w:val="16"/>
          <w:szCs w:val="16"/>
        </w:rPr>
        <w:softHyphen/>
        <w:t>ду изготовить силами объекта две серии пеленгаторов, всего около 40 экземпляров, что может обеспечить потребности радионавигации в пределах европейской части Союза и основных магистралей азиатской части.</w:t>
      </w:r>
    </w:p>
    <w:p w14:paraId="26147DA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Разрешение вопроса с материальной частью выдвинуло на оче</w:t>
      </w:r>
      <w:r w:rsidRPr="00722885">
        <w:rPr>
          <w:rFonts w:ascii="Times New Roman" w:hAnsi="Times New Roman"/>
          <w:color w:val="000000" w:themeColor="text1"/>
          <w:sz w:val="16"/>
          <w:szCs w:val="16"/>
        </w:rPr>
        <w:softHyphen/>
        <w:t>редь проблему рационального размещения пеленгаторов по территории Союза и наиболее эффективного их использования.</w:t>
      </w:r>
    </w:p>
    <w:p w14:paraId="7B2661E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методики проектирования пеленгаторных сетей не имела прецедентов.</w:t>
      </w:r>
    </w:p>
    <w:p w14:paraId="0A862DF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Вопросы точности радиовождения не имели научной базы и раз</w:t>
      </w:r>
      <w:r w:rsidRPr="00722885">
        <w:rPr>
          <w:rFonts w:ascii="Times New Roman" w:hAnsi="Times New Roman"/>
          <w:color w:val="000000" w:themeColor="text1"/>
          <w:sz w:val="16"/>
          <w:szCs w:val="16"/>
        </w:rPr>
        <w:softHyphen/>
        <w:t>решались с помощью элементарных приемов.</w:t>
      </w:r>
    </w:p>
    <w:p w14:paraId="589E10C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Территориальные пределы пространства, на котором пеленгато</w:t>
      </w:r>
      <w:r w:rsidRPr="00722885">
        <w:rPr>
          <w:rFonts w:ascii="Times New Roman" w:hAnsi="Times New Roman"/>
          <w:color w:val="000000" w:themeColor="text1"/>
          <w:sz w:val="16"/>
          <w:szCs w:val="16"/>
        </w:rPr>
        <w:softHyphen/>
        <w:t>ры могли удовлетворить тем или иным заданным условиям точности, не могли быть заранее определены. А отсюда рациональное размещение и количество потребной аппаратуры не могло быть обосновано.</w:t>
      </w:r>
    </w:p>
    <w:p w14:paraId="42F791E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Теоретическое изучение этих вопросов на основе теории вероят</w:t>
      </w:r>
      <w:r w:rsidRPr="00722885">
        <w:rPr>
          <w:rFonts w:ascii="Times New Roman" w:hAnsi="Times New Roman"/>
          <w:color w:val="000000" w:themeColor="text1"/>
          <w:sz w:val="16"/>
          <w:szCs w:val="16"/>
        </w:rPr>
        <w:softHyphen/>
        <w:t>ностей позволило разработать строгую методику расчета «рабочих зон» пеленгаторов.</w:t>
      </w:r>
    </w:p>
    <w:p w14:paraId="2EA4B69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Исходные расчетные цифры были получены в результате обра</w:t>
      </w:r>
      <w:r w:rsidRPr="00722885">
        <w:rPr>
          <w:rFonts w:ascii="Times New Roman" w:hAnsi="Times New Roman"/>
          <w:color w:val="000000" w:themeColor="text1"/>
          <w:sz w:val="16"/>
          <w:szCs w:val="16"/>
        </w:rPr>
        <w:softHyphen/>
        <w:t>ботки практического материала, как полученного ранее, так накоплен</w:t>
      </w:r>
      <w:r w:rsidRPr="00722885">
        <w:rPr>
          <w:rFonts w:ascii="Times New Roman" w:hAnsi="Times New Roman"/>
          <w:color w:val="000000" w:themeColor="text1"/>
          <w:sz w:val="16"/>
          <w:szCs w:val="16"/>
        </w:rPr>
        <w:softHyphen/>
        <w:t>ного на объекте.</w:t>
      </w:r>
    </w:p>
    <w:p w14:paraId="7FFE764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Эта работа выполнена профессором В.В. Ширковым и выпуска</w:t>
      </w:r>
      <w:r w:rsidRPr="00722885">
        <w:rPr>
          <w:rFonts w:ascii="Times New Roman" w:hAnsi="Times New Roman"/>
          <w:color w:val="000000" w:themeColor="text1"/>
          <w:sz w:val="16"/>
          <w:szCs w:val="16"/>
        </w:rPr>
        <w:softHyphen/>
        <w:t>ется в виде отдельной монографии расчетно-аналитического материала под названием «Основные вопросы точности радиопеленгации» ...</w:t>
      </w:r>
    </w:p>
    <w:p w14:paraId="600B97E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...Разработанные в этой монографии методы применялись при установке пеленгаторов и легли в основу «Типового задания на проек</w:t>
      </w:r>
      <w:r w:rsidRPr="00722885">
        <w:rPr>
          <w:rFonts w:ascii="Times New Roman" w:hAnsi="Times New Roman"/>
          <w:color w:val="000000" w:themeColor="text1"/>
          <w:sz w:val="16"/>
          <w:szCs w:val="16"/>
        </w:rPr>
        <w:softHyphen/>
        <w:t>тирование радиопеленгаторных сетей и трасс» ...</w:t>
      </w:r>
    </w:p>
    <w:p w14:paraId="37CFF966"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...Раскрытие факторов, влияющих на точность наземной ради</w:t>
      </w:r>
      <w:r w:rsidRPr="00722885">
        <w:rPr>
          <w:rFonts w:ascii="Times New Roman" w:hAnsi="Times New Roman"/>
          <w:color w:val="000000" w:themeColor="text1"/>
          <w:sz w:val="16"/>
          <w:szCs w:val="16"/>
        </w:rPr>
        <w:softHyphen/>
        <w:t>опеленгации, позволило дать практические указания летному соста</w:t>
      </w:r>
      <w:r w:rsidRPr="00722885">
        <w:rPr>
          <w:rFonts w:ascii="Times New Roman" w:hAnsi="Times New Roman"/>
          <w:color w:val="000000" w:themeColor="text1"/>
          <w:sz w:val="16"/>
          <w:szCs w:val="16"/>
        </w:rPr>
        <w:softHyphen/>
        <w:t>ву о мерах повышения точности пеленгации со стороны экипажа са</w:t>
      </w:r>
      <w:r w:rsidRPr="00722885">
        <w:rPr>
          <w:rFonts w:ascii="Times New Roman" w:hAnsi="Times New Roman"/>
          <w:color w:val="000000" w:themeColor="text1"/>
          <w:sz w:val="16"/>
          <w:szCs w:val="16"/>
        </w:rPr>
        <w:softHyphen/>
        <w:t>молета ......Следующими очередными проблемами явились вопросы ор</w:t>
      </w:r>
      <w:r w:rsidRPr="00722885">
        <w:rPr>
          <w:rFonts w:ascii="Times New Roman" w:hAnsi="Times New Roman"/>
          <w:color w:val="000000" w:themeColor="text1"/>
          <w:sz w:val="16"/>
          <w:szCs w:val="16"/>
        </w:rPr>
        <w:softHyphen/>
        <w:t>ганизации эксплуатации пеленгаторов, отработки методики вождения самолетов и выбора наивыгоднейших волн для пеленгации в заданных условиях.</w:t>
      </w:r>
    </w:p>
    <w:p w14:paraId="409F8E8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Систематически занимаясь вождением боевых самолетов, объ</w:t>
      </w:r>
      <w:r w:rsidRPr="00722885">
        <w:rPr>
          <w:rFonts w:ascii="Times New Roman" w:hAnsi="Times New Roman"/>
          <w:color w:val="000000" w:themeColor="text1"/>
          <w:sz w:val="16"/>
          <w:szCs w:val="16"/>
        </w:rPr>
        <w:softHyphen/>
        <w:t>ект получил возможность практически разрешить эти вопросы в следу</w:t>
      </w:r>
      <w:r w:rsidRPr="00722885">
        <w:rPr>
          <w:rFonts w:ascii="Times New Roman" w:hAnsi="Times New Roman"/>
          <w:color w:val="000000" w:themeColor="text1"/>
          <w:sz w:val="16"/>
          <w:szCs w:val="16"/>
        </w:rPr>
        <w:softHyphen/>
        <w:t>ющем виде:</w:t>
      </w:r>
    </w:p>
    <w:p w14:paraId="442BAE0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Разработана общая схема пеленгаторной службы на террито</w:t>
      </w:r>
      <w:r w:rsidRPr="00722885">
        <w:rPr>
          <w:rFonts w:ascii="Times New Roman" w:hAnsi="Times New Roman"/>
          <w:color w:val="000000" w:themeColor="text1"/>
          <w:sz w:val="16"/>
          <w:szCs w:val="16"/>
        </w:rPr>
        <w:softHyphen/>
        <w:t>рии Союза...</w:t>
      </w:r>
    </w:p>
    <w:p w14:paraId="5AC02C5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2. Разработан новый метод вождения самолета с помощью за</w:t>
      </w:r>
      <w:r w:rsidRPr="00722885">
        <w:rPr>
          <w:rFonts w:ascii="Times New Roman" w:hAnsi="Times New Roman"/>
          <w:color w:val="000000" w:themeColor="text1"/>
          <w:sz w:val="16"/>
          <w:szCs w:val="16"/>
        </w:rPr>
        <w:softHyphen/>
        <w:t>сечек ...</w:t>
      </w:r>
    </w:p>
    <w:p w14:paraId="1971F1B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Усовершенствование курсового метода вождения в части пе</w:t>
      </w:r>
      <w:r w:rsidRPr="00722885">
        <w:rPr>
          <w:rFonts w:ascii="Times New Roman" w:hAnsi="Times New Roman"/>
          <w:color w:val="000000" w:themeColor="text1"/>
          <w:sz w:val="16"/>
          <w:szCs w:val="16"/>
        </w:rPr>
        <w:softHyphen/>
        <w:t>рекрытия нерабочих зон.</w:t>
      </w:r>
    </w:p>
    <w:p w14:paraId="43534A88" w14:textId="77777777" w:rsidR="007116CB" w:rsidRPr="00722885" w:rsidRDefault="007116CB" w:rsidP="00722885">
      <w:pPr>
        <w:tabs>
          <w:tab w:val="left" w:pos="817"/>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Разработаны руководства для летного состава по использова</w:t>
      </w:r>
      <w:r w:rsidRPr="00722885">
        <w:rPr>
          <w:rFonts w:ascii="Times New Roman" w:hAnsi="Times New Roman"/>
          <w:color w:val="000000" w:themeColor="text1"/>
          <w:sz w:val="16"/>
          <w:szCs w:val="16"/>
        </w:rPr>
        <w:softHyphen/>
        <w:t>нию пеленгаторов в военное время.</w:t>
      </w:r>
    </w:p>
    <w:p w14:paraId="6D5F14B3" w14:textId="77777777" w:rsidR="007116CB" w:rsidRPr="00722885" w:rsidRDefault="007116CB" w:rsidP="00722885">
      <w:pPr>
        <w:tabs>
          <w:tab w:val="left" w:pos="793"/>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Выбран участок диапазона самолетного передатчика, наиболее выгодный для ночной пеленгации.</w:t>
      </w:r>
    </w:p>
    <w:p w14:paraId="73AA1A4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Указанные решения были проведены в текущем году при обслу</w:t>
      </w:r>
      <w:r w:rsidRPr="00722885">
        <w:rPr>
          <w:rFonts w:ascii="Times New Roman" w:hAnsi="Times New Roman"/>
          <w:color w:val="000000" w:themeColor="text1"/>
          <w:sz w:val="16"/>
          <w:szCs w:val="16"/>
        </w:rPr>
        <w:softHyphen/>
        <w:t>живании объектом 1350 самолетовылетов, причем было передано на борт 9610 пеленгов.</w:t>
      </w:r>
    </w:p>
    <w:p w14:paraId="5FBFDEC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числе упомянутых вылетов входят ряд весьма ответственных дальних перелетов, включая и международные.</w:t>
      </w:r>
    </w:p>
    <w:p w14:paraId="5ED34ECA"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этом впервые в СССР были достигнуты дальности вождения по пеленгатору на расстоянии 1000-2000 км.</w:t>
      </w:r>
    </w:p>
    <w:p w14:paraId="6B827FE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Особый интерес представляет случай вождения самолетов, вы</w:t>
      </w:r>
      <w:r w:rsidRPr="00722885">
        <w:rPr>
          <w:rFonts w:ascii="Times New Roman" w:hAnsi="Times New Roman"/>
          <w:color w:val="000000" w:themeColor="text1"/>
          <w:sz w:val="16"/>
          <w:szCs w:val="16"/>
        </w:rPr>
        <w:softHyphen/>
        <w:t xml:space="preserve">летавших из аэропортов, удаленных от пеленгатора на расстояния до 1500 </w:t>
      </w:r>
      <w:r w:rsidRPr="00722885">
        <w:rPr>
          <w:rStyle w:val="16"/>
          <w:rFonts w:ascii="Times New Roman" w:eastAsia="Calibri" w:hAnsi="Times New Roman" w:cs="Times New Roman"/>
          <w:color w:val="000000" w:themeColor="text1"/>
          <w:spacing w:val="0"/>
        </w:rPr>
        <w:t>км...</w:t>
      </w:r>
    </w:p>
    <w:p w14:paraId="0872EAE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...Опытный материал, полученный при этих полетах, позволил установить зоны различной точности работы пеленгаторов.</w:t>
      </w:r>
    </w:p>
    <w:p w14:paraId="3BA9D21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Результаты вождения самолетов пеленгаторами были, как прави</w:t>
      </w:r>
      <w:r w:rsidRPr="00722885">
        <w:rPr>
          <w:rFonts w:ascii="Times New Roman" w:hAnsi="Times New Roman"/>
          <w:color w:val="000000" w:themeColor="text1"/>
          <w:sz w:val="16"/>
          <w:szCs w:val="16"/>
        </w:rPr>
        <w:softHyphen/>
        <w:t>ло, хорошими, не раз способствуя спасению самолета и экипажа, и за</w:t>
      </w:r>
      <w:r w:rsidRPr="00722885">
        <w:rPr>
          <w:rFonts w:ascii="Times New Roman" w:hAnsi="Times New Roman"/>
          <w:color w:val="000000" w:themeColor="text1"/>
          <w:sz w:val="16"/>
          <w:szCs w:val="16"/>
        </w:rPr>
        <w:softHyphen/>
        <w:t>служили положительные отзывы летного состава...</w:t>
      </w:r>
    </w:p>
    <w:p w14:paraId="7CECBA9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...Изготовленные объектом пеленгаторы в 20 фронтовых под</w:t>
      </w:r>
      <w:r w:rsidRPr="00722885">
        <w:rPr>
          <w:rFonts w:ascii="Times New Roman" w:hAnsi="Times New Roman"/>
          <w:color w:val="000000" w:themeColor="text1"/>
          <w:sz w:val="16"/>
          <w:szCs w:val="16"/>
        </w:rPr>
        <w:softHyphen/>
        <w:t>разделениях и тыловых аэропортах были установлены работника</w:t>
      </w:r>
      <w:r w:rsidRPr="00722885">
        <w:rPr>
          <w:rFonts w:ascii="Times New Roman" w:hAnsi="Times New Roman"/>
          <w:color w:val="000000" w:themeColor="text1"/>
          <w:sz w:val="16"/>
          <w:szCs w:val="16"/>
        </w:rPr>
        <w:softHyphen/>
        <w:t>ми объекта, причем основная масса их была переброшена на само</w:t>
      </w:r>
      <w:r w:rsidRPr="00722885">
        <w:rPr>
          <w:rFonts w:ascii="Times New Roman" w:hAnsi="Times New Roman"/>
          <w:color w:val="000000" w:themeColor="text1"/>
          <w:sz w:val="16"/>
          <w:szCs w:val="16"/>
        </w:rPr>
        <w:softHyphen/>
        <w:t>летах.</w:t>
      </w:r>
    </w:p>
    <w:p w14:paraId="20BEA8E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Срок доставки и развертывания пеленгатора был сокращен до 2 дней с момента получения приказа.</w:t>
      </w:r>
    </w:p>
    <w:p w14:paraId="4D6206A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Большой опыт работников НИИ ГВФ в области авиационной пе</w:t>
      </w:r>
      <w:r w:rsidRPr="00722885">
        <w:rPr>
          <w:rFonts w:ascii="Times New Roman" w:hAnsi="Times New Roman"/>
          <w:color w:val="000000" w:themeColor="text1"/>
          <w:sz w:val="16"/>
          <w:szCs w:val="16"/>
        </w:rPr>
        <w:softHyphen/>
        <w:t>ленгации, явившихся пионерами этого дела в СССР, обусловил их участие и помощь по всем вопросам внедрения авиационной пеленгации в ГВФ ВВС и АДД.</w:t>
      </w:r>
    </w:p>
    <w:p w14:paraId="44A6D82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общей сложности за 1942 г. состоялось 50 человековыездов спе</w:t>
      </w:r>
      <w:r w:rsidRPr="00722885">
        <w:rPr>
          <w:rFonts w:ascii="Times New Roman" w:hAnsi="Times New Roman"/>
          <w:color w:val="000000" w:themeColor="text1"/>
          <w:sz w:val="16"/>
          <w:szCs w:val="16"/>
        </w:rPr>
        <w:softHyphen/>
        <w:t>циалистов объекта на места, что позволило значительно продвинуть ис</w:t>
      </w:r>
      <w:r w:rsidRPr="00722885">
        <w:rPr>
          <w:rFonts w:ascii="Times New Roman" w:hAnsi="Times New Roman"/>
          <w:color w:val="000000" w:themeColor="text1"/>
          <w:sz w:val="16"/>
          <w:szCs w:val="16"/>
        </w:rPr>
        <w:softHyphen/>
        <w:t>пользование наземной пеленгации. Примером может быть работа, про</w:t>
      </w:r>
      <w:r w:rsidRPr="00722885">
        <w:rPr>
          <w:rFonts w:ascii="Times New Roman" w:hAnsi="Times New Roman"/>
          <w:color w:val="000000" w:themeColor="text1"/>
          <w:sz w:val="16"/>
          <w:szCs w:val="16"/>
        </w:rPr>
        <w:softHyphen/>
        <w:t>веденная инженером Плисовым Б.В. в 1942 г. в 42-й Авиадивизии.</w:t>
      </w:r>
    </w:p>
    <w:p w14:paraId="4FBEA6E2"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Правильность выбора наземной радиопеленгации в качестве средства вождения самолетов в военное время нашла свое подтвержде</w:t>
      </w:r>
      <w:r w:rsidRPr="00722885">
        <w:rPr>
          <w:rFonts w:ascii="Times New Roman" w:hAnsi="Times New Roman"/>
          <w:color w:val="000000" w:themeColor="text1"/>
          <w:sz w:val="16"/>
          <w:szCs w:val="16"/>
        </w:rPr>
        <w:softHyphen/>
        <w:t>ние в быстром росте числа пеленгаторных установок в авиации.</w:t>
      </w:r>
    </w:p>
    <w:p w14:paraId="601502B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Последнее поставило вопрос об организации технического на</w:t>
      </w:r>
      <w:r w:rsidRPr="00722885">
        <w:rPr>
          <w:rFonts w:ascii="Times New Roman" w:hAnsi="Times New Roman"/>
          <w:color w:val="000000" w:themeColor="text1"/>
          <w:sz w:val="16"/>
          <w:szCs w:val="16"/>
        </w:rPr>
        <w:softHyphen/>
        <w:t>блюдения за их состоянием и ремонта пеленгаторов.</w:t>
      </w:r>
    </w:p>
    <w:p w14:paraId="211625C9"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просьбе Главного штурмана ВВС КА генерал-майора авиа</w:t>
      </w:r>
      <w:r w:rsidRPr="00722885">
        <w:rPr>
          <w:rFonts w:ascii="Times New Roman" w:hAnsi="Times New Roman"/>
          <w:color w:val="000000" w:themeColor="text1"/>
          <w:sz w:val="16"/>
          <w:szCs w:val="16"/>
        </w:rPr>
        <w:softHyphen/>
        <w:t>ции тов. Стерлигова и Командующего АДД генерал-лейтенанта авиа</w:t>
      </w:r>
      <w:r w:rsidRPr="00722885">
        <w:rPr>
          <w:rFonts w:ascii="Times New Roman" w:hAnsi="Times New Roman"/>
          <w:color w:val="000000" w:themeColor="text1"/>
          <w:sz w:val="16"/>
          <w:szCs w:val="16"/>
        </w:rPr>
        <w:softHyphen/>
        <w:t>ции тов. Голованова в течение 1942 г. был проведен ремонт 15-ти пелен</w:t>
      </w:r>
      <w:r w:rsidRPr="00722885">
        <w:rPr>
          <w:rFonts w:ascii="Times New Roman" w:hAnsi="Times New Roman"/>
          <w:color w:val="000000" w:themeColor="text1"/>
          <w:sz w:val="16"/>
          <w:szCs w:val="16"/>
        </w:rPr>
        <w:softHyphen/>
        <w:t>гаторов фронтовых подразделений.</w:t>
      </w:r>
    </w:p>
    <w:p w14:paraId="69B45AC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с разработкой и выпуском пеленгаторов встал во</w:t>
      </w:r>
      <w:r w:rsidRPr="00722885">
        <w:rPr>
          <w:rFonts w:ascii="Times New Roman" w:hAnsi="Times New Roman"/>
          <w:color w:val="000000" w:themeColor="text1"/>
          <w:sz w:val="16"/>
          <w:szCs w:val="16"/>
        </w:rPr>
        <w:softHyphen/>
        <w:t>прос о подготовке кадров для их обслуживания. НИИ ГВФ имел случаи много раз убеждаться, что радиооператоры связных радиостанций, пе</w:t>
      </w:r>
      <w:r w:rsidRPr="00722885">
        <w:rPr>
          <w:rFonts w:ascii="Times New Roman" w:hAnsi="Times New Roman"/>
          <w:color w:val="000000" w:themeColor="text1"/>
          <w:sz w:val="16"/>
          <w:szCs w:val="16"/>
        </w:rPr>
        <w:softHyphen/>
        <w:t>ресаженные без надлежащей подготовки на пеленгаторный пульт, со</w:t>
      </w:r>
      <w:r w:rsidRPr="00722885">
        <w:rPr>
          <w:rFonts w:ascii="Times New Roman" w:hAnsi="Times New Roman"/>
          <w:color w:val="000000" w:themeColor="text1"/>
          <w:sz w:val="16"/>
          <w:szCs w:val="16"/>
        </w:rPr>
        <w:softHyphen/>
        <w:t>вершенно не справлялись со своей работой.</w:t>
      </w:r>
    </w:p>
    <w:p w14:paraId="470C289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Исключительная нужда в подготовленных людях, не только уме</w:t>
      </w:r>
      <w:r w:rsidRPr="00722885">
        <w:rPr>
          <w:rFonts w:ascii="Times New Roman" w:hAnsi="Times New Roman"/>
          <w:color w:val="000000" w:themeColor="text1"/>
          <w:sz w:val="16"/>
          <w:szCs w:val="16"/>
        </w:rPr>
        <w:softHyphen/>
        <w:t>ющих работать на пеленгаторной установке, но и знакомых с радио</w:t>
      </w:r>
      <w:r w:rsidRPr="00722885">
        <w:rPr>
          <w:rFonts w:ascii="Times New Roman" w:hAnsi="Times New Roman"/>
          <w:color w:val="000000" w:themeColor="text1"/>
          <w:sz w:val="16"/>
          <w:szCs w:val="16"/>
        </w:rPr>
        <w:softHyphen/>
        <w:t>вождением самолетов чувствовалась и в авиагруппах и в подразделени</w:t>
      </w:r>
      <w:r w:rsidRPr="00722885">
        <w:rPr>
          <w:rFonts w:ascii="Times New Roman" w:hAnsi="Times New Roman"/>
          <w:color w:val="000000" w:themeColor="text1"/>
          <w:sz w:val="16"/>
          <w:szCs w:val="16"/>
        </w:rPr>
        <w:softHyphen/>
        <w:t>ях ВВС.</w:t>
      </w:r>
    </w:p>
    <w:p w14:paraId="387DF296"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Работники объекта ясно сознавали, что ни выпуск аппаратуры, ни разработка методов радиовождения и организация пеленгаторных сетей для обслуживания авиации СССР не дадут ожидаемого результа</w:t>
      </w:r>
      <w:r w:rsidRPr="00722885">
        <w:rPr>
          <w:rFonts w:ascii="Times New Roman" w:hAnsi="Times New Roman"/>
          <w:color w:val="000000" w:themeColor="text1"/>
          <w:sz w:val="16"/>
          <w:szCs w:val="16"/>
        </w:rPr>
        <w:softHyphen/>
        <w:t>та, если попадут в неумелые и неопытные руки.</w:t>
      </w:r>
    </w:p>
    <w:p w14:paraId="52D0342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 привело к созданию на объекте краткосрочных курсов по пе</w:t>
      </w:r>
      <w:r w:rsidRPr="00722885">
        <w:rPr>
          <w:rFonts w:ascii="Times New Roman" w:hAnsi="Times New Roman"/>
          <w:color w:val="000000" w:themeColor="text1"/>
          <w:sz w:val="16"/>
          <w:szCs w:val="16"/>
        </w:rPr>
        <w:softHyphen/>
        <w:t>реподготовке радиооператоров ГВФ и военных радиоспециалистов, преимущественно младшего комсостава ВВС и АДД.</w:t>
      </w:r>
    </w:p>
    <w:p w14:paraId="186D262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Занятия велись по лекционной схеме специалистами объекта.</w:t>
      </w:r>
    </w:p>
    <w:p w14:paraId="2E5CFD7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Курсанты знакомились с теорией пеленгации, с материальной частью и основами радионавигации, тренировались в работе на клю</w:t>
      </w:r>
      <w:r w:rsidRPr="00722885">
        <w:rPr>
          <w:rFonts w:ascii="Times New Roman" w:hAnsi="Times New Roman"/>
          <w:color w:val="000000" w:themeColor="text1"/>
          <w:sz w:val="16"/>
          <w:szCs w:val="16"/>
        </w:rPr>
        <w:softHyphen/>
        <w:t>че и приеме на слух под руководством наиболее опытных операторов объекта.</w:t>
      </w:r>
    </w:p>
    <w:p w14:paraId="40753FA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Параллельно с занятиями они проходили практическую подго</w:t>
      </w:r>
      <w:r w:rsidRPr="00722885">
        <w:rPr>
          <w:rFonts w:ascii="Times New Roman" w:hAnsi="Times New Roman"/>
          <w:color w:val="000000" w:themeColor="text1"/>
          <w:sz w:val="16"/>
          <w:szCs w:val="16"/>
        </w:rPr>
        <w:softHyphen/>
        <w:t>товку на пеленгаторных установках объекта, осваивая управление аппа</w:t>
      </w:r>
      <w:r w:rsidRPr="00722885">
        <w:rPr>
          <w:rFonts w:ascii="Times New Roman" w:hAnsi="Times New Roman"/>
          <w:color w:val="000000" w:themeColor="text1"/>
          <w:sz w:val="16"/>
          <w:szCs w:val="16"/>
        </w:rPr>
        <w:softHyphen/>
        <w:t>ратурой и неся учебные дежурства.</w:t>
      </w:r>
    </w:p>
    <w:p w14:paraId="6D18FAE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качестве пособия на занятиях служили описания пеленгаторов, инструкции по их обслуживанию, часть которых была составлена на объекте, а также книга профессора В.В. Ширкова «Наземная радиопе</w:t>
      </w:r>
      <w:r w:rsidRPr="00722885">
        <w:rPr>
          <w:rFonts w:ascii="Times New Roman" w:hAnsi="Times New Roman"/>
          <w:color w:val="000000" w:themeColor="text1"/>
          <w:sz w:val="16"/>
          <w:szCs w:val="16"/>
        </w:rPr>
        <w:softHyphen/>
        <w:t>ленгация воздушного транспорта», выпущенная редиздатотделом ГВФ в 1941 г.</w:t>
      </w:r>
    </w:p>
    <w:p w14:paraId="725E8A6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выпуск в количестве 15 человек, командированных из подразделений ГВФ, успешно прошел выпускные испытания в июле этого года.</w:t>
      </w:r>
    </w:p>
    <w:p w14:paraId="2FF119B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ним последовало еще 6 выпусков.</w:t>
      </w:r>
    </w:p>
    <w:p w14:paraId="4F7367A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общей сложности курсы окончило 6 групп, с общим числом 135 радиооператоров ГВФ и младших командиров ВВС и АДД. Акты выпускных испытаний г., о гут быть представлены по требованию.</w:t>
      </w:r>
    </w:p>
    <w:p w14:paraId="195C4F0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итоге работы курсов, за небольшим исключением, получа</w:t>
      </w:r>
      <w:r w:rsidRPr="00722885">
        <w:rPr>
          <w:rFonts w:ascii="Times New Roman" w:hAnsi="Times New Roman"/>
          <w:color w:val="000000" w:themeColor="text1"/>
          <w:sz w:val="16"/>
          <w:szCs w:val="16"/>
        </w:rPr>
        <w:softHyphen/>
        <w:t>лись вполне доброкачественные кадры, которым можно было доверить сложное и ответственное дело радиовождения самолетов в военной об</w:t>
      </w:r>
      <w:r w:rsidRPr="00722885">
        <w:rPr>
          <w:rFonts w:ascii="Times New Roman" w:hAnsi="Times New Roman"/>
          <w:color w:val="000000" w:themeColor="text1"/>
          <w:sz w:val="16"/>
          <w:szCs w:val="16"/>
        </w:rPr>
        <w:softHyphen/>
        <w:t>становке.</w:t>
      </w:r>
    </w:p>
    <w:p w14:paraId="0550A5D3"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Ряд товарищей, окончивших курсы, по праву заняли первые ме</w:t>
      </w:r>
      <w:r w:rsidRPr="00722885">
        <w:rPr>
          <w:rFonts w:ascii="Times New Roman" w:hAnsi="Times New Roman"/>
          <w:color w:val="000000" w:themeColor="text1"/>
          <w:sz w:val="16"/>
          <w:szCs w:val="16"/>
        </w:rPr>
        <w:softHyphen/>
        <w:t>ста среди старых радиооператоров-пеленгаторщиков.</w:t>
      </w:r>
    </w:p>
    <w:p w14:paraId="01F640C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примера можно упомянуть молодых радиооператоров объ</w:t>
      </w:r>
      <w:r w:rsidRPr="00722885">
        <w:rPr>
          <w:rFonts w:ascii="Times New Roman" w:hAnsi="Times New Roman"/>
          <w:color w:val="000000" w:themeColor="text1"/>
          <w:sz w:val="16"/>
          <w:szCs w:val="16"/>
        </w:rPr>
        <w:softHyphen/>
        <w:t>екта тов. Тюменева Ю.П. и Федосеева, которые не раз выводили из опасных положений наши самолеты, совершавшие дальние рейсы ...</w:t>
      </w:r>
    </w:p>
    <w:p w14:paraId="5F20FEA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...Результатами всех изложенных работ явилось:</w:t>
      </w:r>
    </w:p>
    <w:p w14:paraId="0FD6CC2E" w14:textId="77777777" w:rsidR="007116CB" w:rsidRPr="00722885" w:rsidRDefault="007116CB" w:rsidP="00722885">
      <w:pPr>
        <w:tabs>
          <w:tab w:val="left" w:pos="78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Признание широкими авиационными кругами наземной ради</w:t>
      </w:r>
      <w:r w:rsidRPr="00722885">
        <w:rPr>
          <w:rFonts w:ascii="Times New Roman" w:hAnsi="Times New Roman"/>
          <w:color w:val="000000" w:themeColor="text1"/>
          <w:sz w:val="16"/>
          <w:szCs w:val="16"/>
        </w:rPr>
        <w:softHyphen/>
        <w:t>опеленгации как наиболее эффективного метода вождения самолетов в условиях военного времени.</w:t>
      </w:r>
    </w:p>
    <w:p w14:paraId="3E63B3F6" w14:textId="77777777" w:rsidR="007116CB" w:rsidRPr="00722885" w:rsidRDefault="007116CB" w:rsidP="00722885">
      <w:pPr>
        <w:tabs>
          <w:tab w:val="left" w:pos="77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Транспортная авиация получила материальную часть в достаточ</w:t>
      </w:r>
      <w:r w:rsidRPr="00722885">
        <w:rPr>
          <w:rFonts w:ascii="Times New Roman" w:hAnsi="Times New Roman"/>
          <w:color w:val="000000" w:themeColor="text1"/>
          <w:sz w:val="16"/>
          <w:szCs w:val="16"/>
        </w:rPr>
        <w:softHyphen/>
        <w:t>ном числе экземпляров для выполнения дальних и ночных перелетов.</w:t>
      </w:r>
    </w:p>
    <w:p w14:paraId="11FBC780" w14:textId="77777777" w:rsidR="007116CB" w:rsidRPr="00722885" w:rsidRDefault="007116CB" w:rsidP="00722885">
      <w:pPr>
        <w:tabs>
          <w:tab w:val="left" w:pos="83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Проектирующие организации получили четкие указания по проектированию пеленгаторных установок и сетей.</w:t>
      </w:r>
    </w:p>
    <w:p w14:paraId="032138E5" w14:textId="77777777" w:rsidR="007116CB" w:rsidRPr="00722885" w:rsidRDefault="007116CB" w:rsidP="00722885">
      <w:pPr>
        <w:tabs>
          <w:tab w:val="left" w:pos="798"/>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Обслуживание пеленгаторов обеспечено достаточным количе</w:t>
      </w:r>
      <w:r w:rsidRPr="00722885">
        <w:rPr>
          <w:rFonts w:ascii="Times New Roman" w:hAnsi="Times New Roman"/>
          <w:color w:val="000000" w:themeColor="text1"/>
          <w:sz w:val="16"/>
          <w:szCs w:val="16"/>
        </w:rPr>
        <w:softHyphen/>
        <w:t>ством квалифицированных кадров.</w:t>
      </w:r>
    </w:p>
    <w:p w14:paraId="2C904FEE" w14:textId="77777777" w:rsidR="007116CB" w:rsidRPr="00722885" w:rsidRDefault="007116CB" w:rsidP="00722885">
      <w:pPr>
        <w:tabs>
          <w:tab w:val="left" w:pos="807"/>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Созданы все предпосылки для пеленгаторной службы Союза, соответствующей развитию отечественной авиации.</w:t>
      </w:r>
    </w:p>
    <w:p w14:paraId="375733C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НИИ ГВФ, генерал-лейтенант авиации И.Ф. Петров (15633).</w:t>
      </w:r>
    </w:p>
    <w:p w14:paraId="276A53BA"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351AD8C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1FABB02" w14:textId="77777777" w:rsidR="00BB6316" w:rsidRPr="00722885" w:rsidRDefault="00BB6316" w:rsidP="00722885">
      <w:pPr>
        <w:pStyle w:val="Iauiue"/>
        <w:jc w:val="both"/>
        <w:rPr>
          <w:iCs/>
          <w:color w:val="000000" w:themeColor="text1"/>
          <w:sz w:val="16"/>
          <w:szCs w:val="16"/>
        </w:rPr>
      </w:pPr>
    </w:p>
    <w:p w14:paraId="6AE513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декабря 1942 вышло Постановление ГКО № 2641 О мероприятиях по серийному производству станций орудийной наводки (CОН-2). РГАНИР, Фонд ГКО, д. 73, лл. 125-126, 127-144 (11012).</w:t>
      </w:r>
    </w:p>
    <w:p w14:paraId="7128B0F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119F3E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декабря 1942 года Постановлением ГКО станция СОН-2от была принята на вооружение и поставлена на серийное производство. СОН-2от работала на волне 4 м и позволяла обнаруживать самолет на дальности от 20 до 40 км (при высотах полета от 1000 до 4000 м) и определять его координаты с точностью: по азимуту – 12 д. у. (делений угломера), по углу места – 7 д. у., по дальности – 25–70 м (15736).</w:t>
      </w:r>
    </w:p>
    <w:p w14:paraId="1BAFE993"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46A06666"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20 декабря 1942 вышло Постановление ГКО № 2642 О строительстве железнодорожного моста через Волгу у Астрахани на линии Кизляр - Астрахань. (7067, 145-147,148-151).</w:t>
      </w:r>
    </w:p>
    <w:p w14:paraId="12852129" w14:textId="77777777" w:rsidR="00BB6316" w:rsidRPr="00722885" w:rsidRDefault="00BB6316" w:rsidP="00722885">
      <w:pPr>
        <w:pStyle w:val="Iauiue"/>
        <w:tabs>
          <w:tab w:val="left" w:pos="11199"/>
        </w:tabs>
        <w:jc w:val="both"/>
        <w:rPr>
          <w:color w:val="000000" w:themeColor="text1"/>
          <w:sz w:val="16"/>
          <w:szCs w:val="16"/>
        </w:rPr>
      </w:pPr>
    </w:p>
    <w:p w14:paraId="1855EE06"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20 декабря 1942 вышло Постановление ГКО № 2643 О мерах помощи Подмосковному угольному бассейну. (7067, 152-165,166-176).</w:t>
      </w:r>
    </w:p>
    <w:p w14:paraId="339924A3" w14:textId="77777777" w:rsidR="00BB6316" w:rsidRPr="00722885" w:rsidRDefault="00BB6316" w:rsidP="00722885">
      <w:pPr>
        <w:pStyle w:val="Iauiue"/>
        <w:tabs>
          <w:tab w:val="left" w:pos="11199"/>
        </w:tabs>
        <w:jc w:val="both"/>
        <w:rPr>
          <w:color w:val="000000" w:themeColor="text1"/>
          <w:sz w:val="16"/>
          <w:szCs w:val="16"/>
        </w:rPr>
      </w:pPr>
    </w:p>
    <w:p w14:paraId="151F4D7F"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20 декабря 1942 вышло Постановление ГКО № 2644 О проведении на железнодорожном транспорте 27 и 31 декабря дней выгрузки. (7067, 175-176).</w:t>
      </w:r>
    </w:p>
    <w:p w14:paraId="6CECB12A" w14:textId="77777777" w:rsidR="00BB6316" w:rsidRPr="00722885" w:rsidRDefault="00BB6316" w:rsidP="00722885">
      <w:pPr>
        <w:pStyle w:val="Iauiue"/>
        <w:tabs>
          <w:tab w:val="left" w:pos="11199"/>
        </w:tabs>
        <w:jc w:val="both"/>
        <w:rPr>
          <w:color w:val="000000" w:themeColor="text1"/>
          <w:sz w:val="16"/>
          <w:szCs w:val="16"/>
        </w:rPr>
      </w:pPr>
    </w:p>
    <w:p w14:paraId="4F5582A8"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20 декабря 1942 вышло Постановление ГКО № 2645 О выпуске комбинатом "Североникель" [Мурманская обл.] никеля. (7067, 177).</w:t>
      </w:r>
    </w:p>
    <w:p w14:paraId="1E823E2D" w14:textId="77777777" w:rsidR="00BB6316" w:rsidRPr="00722885" w:rsidRDefault="00BB6316" w:rsidP="00722885">
      <w:pPr>
        <w:pStyle w:val="Iauiue"/>
        <w:tabs>
          <w:tab w:val="left" w:pos="11199"/>
        </w:tabs>
        <w:jc w:val="both"/>
        <w:rPr>
          <w:color w:val="000000" w:themeColor="text1"/>
          <w:sz w:val="16"/>
          <w:szCs w:val="16"/>
        </w:rPr>
      </w:pPr>
    </w:p>
    <w:p w14:paraId="05980158"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20 декабря 1942 вышло Постановление ГКО № 2646 [Об утверждении Антропова П.Я. Зам. чл. ГКО Микояна А.И. по контролю за работой НКЦМ и распределением металлов.] (7067, 178).</w:t>
      </w:r>
    </w:p>
    <w:p w14:paraId="33783AE7" w14:textId="77777777" w:rsidR="00BB6316" w:rsidRPr="00722885" w:rsidRDefault="00BB6316" w:rsidP="00722885">
      <w:pPr>
        <w:pStyle w:val="Iauiue"/>
        <w:tabs>
          <w:tab w:val="left" w:pos="11199"/>
        </w:tabs>
        <w:jc w:val="both"/>
        <w:rPr>
          <w:color w:val="000000" w:themeColor="text1"/>
          <w:sz w:val="16"/>
          <w:szCs w:val="16"/>
        </w:rPr>
      </w:pPr>
    </w:p>
    <w:p w14:paraId="267870A8"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20 декабря 1942 вышло Постановление ГКО № 2647 [Об утверждении Соколова Д.И. помощником чл. ГКО Микояна А.И. по контролю за распределением топлива.] (7067, 179).</w:t>
      </w:r>
    </w:p>
    <w:p w14:paraId="7586B478" w14:textId="77777777" w:rsidR="00BB6316" w:rsidRPr="00722885" w:rsidRDefault="00BB6316" w:rsidP="00722885">
      <w:pPr>
        <w:pStyle w:val="Iauiue"/>
        <w:tabs>
          <w:tab w:val="left" w:pos="11199"/>
        </w:tabs>
        <w:jc w:val="both"/>
        <w:rPr>
          <w:color w:val="000000" w:themeColor="text1"/>
          <w:sz w:val="16"/>
          <w:szCs w:val="16"/>
        </w:rPr>
      </w:pPr>
    </w:p>
    <w:p w14:paraId="4BC65E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декабря 1942 вышло Постановление ГКО № 2648 О разгрузке заготовительных цехов заводов Наркомтанкопрома. РГАНИР, Фонд ГКО, д. 73, лл. 180-185, 186-190 (11012).</w:t>
      </w:r>
    </w:p>
    <w:p w14:paraId="1430889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4F5BF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декабря 1942 г. Постановлением Государственного Комитета Обороны станция СОН-2 была принята на вооружение и поставлена на серийное производство. После этой разработки завод приступил к созданию усовершенствованного варианта станции, в котором предусматривалось увеличение рабочей зоны по углу места в пределах точного измерения расстояний, а также упрощение технологии производства, что позволило выпускать станции на тех же производственных площадях, но в большом количестве. В 1943 г. были созданы два научно-исследовательских института радиолокационного и электронного профилей. Радиозавод-институт направил в них своих ученых и инженеров, которые помогли быстро развернуть плодотворную деятельность новых коллективов (11026).</w:t>
      </w:r>
    </w:p>
    <w:p w14:paraId="02B53BB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DC148DA"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20 декабря 1942 года Постановлением ГКО станция РЛС СОН-2от, разработанная на основе английской, была принята на вооружение и поставлена на серийное производство (9921).</w:t>
      </w:r>
    </w:p>
    <w:p w14:paraId="7B14BDD1" w14:textId="77777777" w:rsidR="00BB6316" w:rsidRPr="00722885" w:rsidRDefault="00BB6316" w:rsidP="00722885">
      <w:pPr>
        <w:pStyle w:val="a8"/>
        <w:widowControl/>
        <w:jc w:val="both"/>
        <w:rPr>
          <w:rFonts w:ascii="Times New Roman" w:hAnsi="Times New Roman" w:cs="Times New Roman"/>
          <w:color w:val="000000" w:themeColor="text1"/>
        </w:rPr>
      </w:pPr>
    </w:p>
    <w:p w14:paraId="65C2FDF9"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4962DD3" w14:textId="77777777" w:rsidR="00BB6316" w:rsidRPr="00722885" w:rsidRDefault="00BB6316" w:rsidP="00722885">
      <w:pPr>
        <w:pStyle w:val="Iauiue"/>
        <w:jc w:val="both"/>
        <w:rPr>
          <w:iCs/>
          <w:color w:val="000000" w:themeColor="text1"/>
          <w:sz w:val="16"/>
          <w:szCs w:val="16"/>
        </w:rPr>
      </w:pPr>
    </w:p>
    <w:p w14:paraId="1068AE8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20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1AFB3CD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20 декабря в районе Сталинграда, на Центральном фронте и в районе среднего течения Дона наши войска продолжала вести наступательные бои на прежних направлениях.</w:t>
      </w:r>
    </w:p>
    <w:p w14:paraId="3359E3D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заводском районе Сталинграда наши части вели артиллерийско-миномётную перестрелку и уничтожали отдельные укрепления противника. В течение ночи штурмовые группы Н-ской части разрушили 6 вражеских дзотов и блиндажей и истребили до 100 немецких солдат и офицеров.</w:t>
      </w:r>
    </w:p>
    <w:p w14:paraId="1A87745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огневой бой с противником. Артиллеристы и миномётчики Н-ской части разрушили 9 вражеских дзотов, миномётную батарею, подавили огонь 3 артиллерийских батарей и взорвали склад боеприпасов. При отражении контратаки противника уничтожено до 200 немецких солдат и офицеров. На одном участке немецкий транспортный самолёт сбросил на парашютах несколько ящиков с консервами, упавших в расположение наших войск.</w:t>
      </w:r>
    </w:p>
    <w:p w14:paraId="5988273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советские войска отбивали контратаки танков и пехоты противника. Части Н-ского соединения в ожесточённом бою сожгли и подбили 8 немецких танков, уничтожили 11 орудий и 26 автомашин. На другом участке один населённый пункт в течение дня несколько раз переходил из рук в руки. К исходу дня наши бойцы выбили немцев из этого населённого пункта, истребив до 300 солдат и офицеров противника.</w:t>
      </w:r>
    </w:p>
    <w:p w14:paraId="5756615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течения Дона наши войска, прорвав оборону противника, вели наступление и заняли ряд населённых пунктов. В течение ряда месяцев немцы создали в этом районе многочисленные сооружения: блиндажи и дзоты, проволочные заграждения, минные поля, различные противотанковые и противопехотные препятствия, превратили населённые пункты в узлы сопротивления с огневыми точками и подземными ходами сообщения. Советская пехота в тесном взаимодействиис артиллерией, танками и авиацией преодолела сильно укреплённую оборонительнуюполосу противника и наносит удары немецко-фашистским войскам. На одном участке бойцы Н-ской части заняли укреплённый населённый пункт и истребили свыше 800 гитлеровцев. Захвачены две артиллерийские батареи, 26 пулемётов, 18 противотанковых ружей, склад с боеприпасами, 2 вещевых склада, склад горючего и другие трофеи. На другом участке Н-ское соединение за два дня уничтожило 1.500 вражеских солдат и офицеров. Взято в плен около тысячи гитлеровцев, в том числе три полковника. Захвачены трофеи: 23 танка, 4 самолёта, 60 станковых пулемётов, 20 миномётов, свыше миллиона патронов, 50 километров телефонного кабеля и другое военное имущество.</w:t>
      </w:r>
    </w:p>
    <w:p w14:paraId="27E1556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укрепляли занятые рубежи и на ряде участков вели наступательные бои. Западнее Ржева наши части заняли два опорных пункта противника и уничтожили более роты немецких солдат. На другом участке немцы предприняли несколько ожесточённых контратак, но успеха не добились. В этих бесплодных контратаках противник потерял только убитыми около 800 солдат и офицеров. Наши части уничтожили 6 орудий, 5 танков, 37 пулемётов, разбили 52 дзота, 37 блиндажей и взорвали склад с боеприпасами.</w:t>
      </w:r>
    </w:p>
    <w:p w14:paraId="0A96CBA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наши штурмовые группы вели бои по уничтожению немецких гарнизонов, блокированных в населённых пунктах.</w:t>
      </w:r>
    </w:p>
    <w:p w14:paraId="560FA11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выбили противника с ряда высот и захватили следующие трофеи: 422 винтовки, 38 автоматов, 13 пулемётов, 6 орудий, 5 миномётов, 3 противотанковых ружья, 1.000 гранат, 75 ящиков снарядов, 115 тысяч патронов, 1.000 мин и три склада с боеприпасами.</w:t>
      </w:r>
    </w:p>
    <w:p w14:paraId="30A36D2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витебских партизан совершил внезапный налёт на немецкий гарнизон в одном населённом пункте. В завязавшейся схватке советские патриоты истребили 80 немецких солдат и офицеров. Партизаны этого же отряда уничтожили 20 километров телеграфно-телефонной связи. Другой отряд витебских партизан истребил 58 и захватил в плен 7 гитлеровцев. Партизаны уничтожили автобус, 2 легковые и 3 грузовые машины противника.</w:t>
      </w:r>
    </w:p>
    <w:p w14:paraId="08A073A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разорили и ограбили многих жителей станицы Галюгаевской, Орджоникидзевского края. У всех колхозников немцы забрали зерно, скот и все наиболее ценные вещи. Ватага немецких солдат ворвалась в дом к колхознице Березиной и учинила погром. Бандиты переломали мебель, сорвали со стен портреты Пушкина, Лермонтова и Толстого и втоптали их в грязь. Больному станичнику Николаю Песковатскому фашистские изверги устроили публичную порку зато, что он не вышел на работу по ремонту дороги.» (14866).</w:t>
      </w:r>
    </w:p>
    <w:p w14:paraId="0E817D67"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18B48095"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20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5FB5956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20 декабря наши войска в районе Сталинграда, на Центральном фронте и в районе Среднего Дона продолжали вести наступательные бои на прежних направлениях.</w:t>
      </w:r>
    </w:p>
    <w:p w14:paraId="5430FF2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войсками заняты населённые пункты — Маньково-Калитвенская, Шептуховка, Дегтево, Кутейников, Алексеево-Лозовская, Сетраковский, Мешков, Басковская, Кружилин, Каргикская.</w:t>
      </w:r>
    </w:p>
    <w:p w14:paraId="76BA907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13 по 19 декабря включительно, в воздушных боях и на аэродромах уничтожено 322 немецких самолёта, в том числе 94 трёхмоторных транспортных самолёта. Наши потери за это же время — 156 самолётов.</w:t>
      </w:r>
    </w:p>
    <w:p w14:paraId="6E449EEF"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декабря частями нашей авиации на различных участках фронта уничтожено или повреждено до 20 немецких танков, до 200 автомашин с войсками и грузами, подавлен огонь 5 артиллерийских батарей, рассеяно и частью уничтожено до двух батальонов пехоты и эскадрон конницы противника.</w:t>
      </w:r>
    </w:p>
    <w:p w14:paraId="59922D22"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подразделения, действуя мелкими группами, блокировали и уничтожали укрепления противника. На южной окраине города огнём артиллерии разрушены наблюдательный пункт, 7 вражеских дзотов, разбито 9 автомашин и уничтожено до роты гитлеровцев.</w:t>
      </w:r>
    </w:p>
    <w:p w14:paraId="57DA6A5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артиллерийскую и миномётную перестрелку с противником. Артиллеристы Н-ской части разрушили 6 вражеских дзотов и подавили огонь двух шестиствольных миномётов. На одном участке наши части вели активные боевые действия и ворвались в занятый гитлеровцами населённый пункт. В результате боя уничтожено более батальона немецкой пехоты, 5 танков, 8 орудий и 17 автомашин противника.</w:t>
      </w:r>
    </w:p>
    <w:p w14:paraId="712F32A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ожесточённые бои с танками и мотопехотой противника. Немцы прилагают отчаянные усилия, чтобы прорвать линию советской обороны, но встречают стойкое сопротивление наших частей. В районе одного колхоза гитлеровцы предприняли восемь контратак и вынуждены были отступить с большими для них потерями. В этих боях уничтожено 1.500 немецких солдат и офицеров, 24 танка, 60 автомашин, 14 орудий. На другом участке противник атаковал наши позиции силами мотопехоты при поддержке 60 танков. В результате боя подбито и сожжено 16 немецких танков.</w:t>
      </w:r>
    </w:p>
    <w:p w14:paraId="3AB7D5D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в воздушных боях сбили 21 самолёт противника.</w:t>
      </w:r>
    </w:p>
    <w:p w14:paraId="39944FF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успешно развивать наступление. Преследуя разбитые немецко-фашистские войска, наши части заняли десятки населённых пунктов и освободили от немцев несколько районов. В боях с гитлеровцами захвачены большие трофеи, в том числе много орудий, миномётов, пулемётов, автомашин, патронов и снарядов. В течение дня уничтожено свыше 8.000 солдат и офицеров противника и захвачено в плен 3.500 гитлеровцев. В течение дня только бойцы Н-ской части захватили у немцев 45 орудий, 400 автомашин, 85 пулемётов и 3 склада с военным имуществом. Другая наша часть выбила противникаиз крупного населённого пункта и захватила склады с вооружением и боеприпасами.</w:t>
      </w:r>
    </w:p>
    <w:p w14:paraId="09CD421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закреплялись на достигнутых рубежах и отражали контратаки противника. В районе Великих Лук бойцы Н-ской части уничтожили до роты гитлеровцев и 3 немецких танка.</w:t>
      </w:r>
    </w:p>
    <w:p w14:paraId="226CB057"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часть под командованием тов. Зубатова в ходе боёв уничтожила свыше 700 немецких солдат и офицеров, 18 танков, 34 орудия, 5 миномётов, 3 самоходные пушки, 46 пулемётов, 3 зенитные пушки, 45 автомашин, 6 складов с боеприпасами и различным военным имуществом.</w:t>
      </w:r>
    </w:p>
    <w:p w14:paraId="3EB5C07D"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отряда имени Щорса, действующего в Орловской области, пустили под откос воинский эшелон противника. В результате крушения разбиты паровоз и 12 вагонов. Убито 180 немецких солдат и офицеров. Другой отряд орловских партизансовершил налёт на немецкий гарнизон. Советские патриоты истребили 120 гитлеровцев и захватили 100 винтовок, 4 пулемёта и много боеприпасов.</w:t>
      </w:r>
    </w:p>
    <w:p w14:paraId="5DA64EC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акт о зверствах немецко-фашистских мерзавцев над пленными красноармейцами: «Во время разведки передовой линии обороны противника юго-западнее Сталинграда обнаружено свыше 20 трупов советских бойцов. Расследованием установлено, что эти бойцы были ранены в бою и попали в немецкий плен. Гитлеровцы зверски замучили пленных и вырезали на лбу пятиконечные звёзды. Двум пленным фашистские палачи отрезали губы, а некоторым распороли живот». Акт подписали: военинженер 3 ранга И.Ратманский, старший лейтенант интендантскойслужбы И.Белянский и техник лейтенант В.Осипов.</w:t>
      </w:r>
    </w:p>
    <w:p w14:paraId="502A150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Недалеко от Марселя французские свободные стрелки взорвали минами немецкий воинский поезд. К месту крушения проследовали десятки санитарных машин. В Тулоне патриоты бросили бомбу в гостиницу, где поселились немецкие офицеры. Несколько гитлеровцев убито.»</w:t>
      </w:r>
    </w:p>
    <w:p w14:paraId="79762986"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Чудовищное преступление гитлеровцев в хуторе Вертячем.</w:t>
      </w:r>
    </w:p>
    <w:p w14:paraId="4523F46A"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«Советское Информбюро ниже публикует акт, составленный представителями Красной Армии и мирными советскими жителями, а также фотодокументы о зверствах немецких властей над советскими военнопленными в хуторе Вертячем, Сталинградскойобласти.</w:t>
      </w:r>
    </w:p>
    <w:p w14:paraId="0F644E5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«АКТ</w:t>
      </w:r>
    </w:p>
    <w:p w14:paraId="161F270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Мы, нижеподписавшиеся, составили настоящий акт о следующем: После освобождения частями Красной Армии хутора Вертячего, Сталинградской области, мы осмотрели немецкий лагерь советских военнопленных. Под соломой в бараке, а также в других местах лагеря нами обнаружено 87 трупов красноармейцев и командиров. Более десяти трупов настолько изуродованы, что потеряли человеческий вид. У многих замученных немцами бойцов распороты животы, выколоты глаза, отрезаны уши и носы.</w:t>
      </w:r>
    </w:p>
    <w:p w14:paraId="4429A1F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Нами установлено, что немцы принуждали пленных работать по 14 часов в сутки на строительстве оборонительных сооружений. В течение дня им выдавали пол-литра кипятку, вечером 3—4 ложки запаренной ржи и кусочек дохлой конины. Раненым и больным пища не выдавалась вовсе.</w:t>
      </w:r>
    </w:p>
    <w:p w14:paraId="0C3874AE"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Почти все пленные страдали дизентерией. Обессилевших и больных немцы избивали палками. За несколько дней до начала наступления советских войск немцы совершенно перестали кормить всех пленных и обрекли их на голодную смерть. Из 89 советских военнопленных, находившихся в лагере на хуторе Вертячем, умерло отголода, замучено и расстреляно 87 человек.</w:t>
      </w:r>
    </w:p>
    <w:p w14:paraId="6CE0DDC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чём и подписываемся: старший военфельдшер Рябов, капитан Рощин, капитан Калашников, старший лейтенант Штанопруд, лейтенант Нелин, старшина Баранов, техник-интендант 2 ранга Каплун, красноармеец Андреев, жители хутора Вертячего —Плотникова, Канжиголева, Старикова Ф.</w:t>
      </w:r>
    </w:p>
    <w:p w14:paraId="09A9C9D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ноября 1942 г. Хутор Вертячий».</w:t>
      </w:r>
    </w:p>
    <w:p w14:paraId="51B19C0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настоящий акт устанавливает следующее:</w:t>
      </w:r>
    </w:p>
    <w:p w14:paraId="25BB2DE8"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 Немецкие военные власти вопреки всем международным законам и общепринятымвоинским традициям принуждают советских военнопленных строить оборонительные сооружения и выполнять другие военные работы.</w:t>
      </w:r>
    </w:p>
    <w:p w14:paraId="18DCD8B4"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Гитлеровцы нагло попирают международные договоры о содержаниивоеннопленных, в частности Гаагскую конвенцию 1907 года, подписанную Германией.Они морят пленных голодом. Немецкие военные власти не оказывают раненым даже самой элементарной медицинской помощи. Напротив, немцы бесчеловечно, жестоко обращаются с больными и ранеными пленными, всячески издеваются над ними, избивают палками, мучают их.</w:t>
      </w:r>
    </w:p>
    <w:p w14:paraId="6B722670"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Немецкие оккупанты физически уничтожают пленных. Более того, гитлеровские садисты и палачи выкалывают пленным глаза, отрезают уши и носы, вспарывают животы.</w:t>
      </w:r>
    </w:p>
    <w:p w14:paraId="1539879B"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Зверства, совершённые в хуторе Вертячем, являются лишь звеном в огромной цепи неслыханных преступлений немецкого командования. Гитлеровцы планомерно, с хладнокровием профессиональных убийц, повсеместно истребляют советских пленных.</w:t>
      </w:r>
    </w:p>
    <w:p w14:paraId="5B1414F5"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Уже давно! установлено, что немецкий плен равносилен смерти. Одних военнопленных гитлеровцы пытают и расстреливают немедленно при захвате в плен.Других — изводят непосильным каторжным трудом, морят голодом и обрекают на медленную мучительную смерть.</w:t>
      </w:r>
    </w:p>
    <w:p w14:paraId="2C74D811"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Созданная советским правительством Чрезвычайная Государственная Комиссия по установлению и расследованию злодеяний немецко-фашистских захватчиков ведёт точный учёт всех преступлений, совершённых гитлеровцами на советской земле.</w:t>
      </w:r>
    </w:p>
    <w:p w14:paraId="1991CE95"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Придёт время, а оно не за горами, и немецкие мерзавцы понесут заслуженную кару за все свои злодеяния. Убийцы и душегубы получат сполна за все муки невинных людей, за слёзы и кровь советских женщин и детей, за многие тысячи истерзанных и загубленных военнопленных и мирных советских граждан.» (14866).</w:t>
      </w:r>
    </w:p>
    <w:p w14:paraId="09AEEBC5"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16979C8A"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20 декабря</w:t>
      </w:r>
      <w:r w:rsidRPr="00722885">
        <w:rPr>
          <w:rFonts w:ascii="Times New Roman" w:hAnsi="Times New Roman"/>
          <w:color w:val="000000" w:themeColor="text1"/>
          <w:sz w:val="16"/>
          <w:szCs w:val="16"/>
        </w:rPr>
        <w:t xml:space="preserve"> в 1942 году войска Юго-Западного фронта вступили в северо-восточные районы Ворошиловградской области, положив начало освобождению Украины. Завершилась Туапсинская операция войск Черноморской группы: сорваны попытки противника прорваться к Туапсе (14866).</w:t>
      </w:r>
    </w:p>
    <w:p w14:paraId="515D27E8"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7DD0DD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декабря 1942 был омрачен тяжелым происшествием. Звено Ил-2 от 503-го шап (ведущий Демехин) из-за потери ориентировки нанесла удар по своим войскам в районе хут. Верхне-Царицынский. Под удар Ил-2 попали подразделения 20-й истребительно-проти вотан ковой артбри гады из резерва 2 гв. А. Проведенное расследование показало, что наряду с виной ведущего группы, потерявшего ориентировку при следовании к цели, большая доля вины лежит на командире 503-го шап, который при постановке боевой задачи не добился четкого уяснения ее ведущим и группой. В итоге разбирательства Демехин был отдан под суд Военного трибунала, а командир 503-го шап снят с должности. Отметим, что впоследствии Указом Президиума Верховного Совета СССР от 13 апреля 1944 г. А. В. Демехину за ратные подвиги и воинскую доблесть было присвоено звание Героя Советского Союза (12020).</w:t>
      </w:r>
    </w:p>
    <w:p w14:paraId="50DF97F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CD656D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20 декабря 1942 командую</w:t>
      </w:r>
      <w:r w:rsidRPr="00722885">
        <w:rPr>
          <w:color w:val="000000" w:themeColor="text1"/>
          <w:sz w:val="16"/>
          <w:szCs w:val="16"/>
        </w:rPr>
        <w:softHyphen/>
        <w:t xml:space="preserve">щий 8-й ВА генерал Т.Т.Хрюкин в своем приказе от потребовал </w:t>
      </w:r>
      <w:r w:rsidRPr="00722885">
        <w:rPr>
          <w:iCs/>
          <w:color w:val="000000" w:themeColor="text1"/>
          <w:sz w:val="16"/>
          <w:szCs w:val="16"/>
        </w:rPr>
        <w:t>"...от всего личного состава 8-й воздушной армии особо напряженной работы по уничтожению врага с воздуха в тесном взаимодействии с войсками фронта ".</w:t>
      </w:r>
    </w:p>
    <w:p w14:paraId="35CD799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Поскольку 20 декабря облачность понизилась до 250-300 м и видимость значительно ухудшилась, то на штурмов</w:t>
      </w:r>
      <w:r w:rsidRPr="00722885">
        <w:rPr>
          <w:color w:val="000000" w:themeColor="text1"/>
          <w:sz w:val="16"/>
          <w:szCs w:val="16"/>
        </w:rPr>
        <w:softHyphen/>
        <w:t>ку войск противника в районе боев вы</w:t>
      </w:r>
      <w:r w:rsidRPr="00722885">
        <w:rPr>
          <w:color w:val="000000" w:themeColor="text1"/>
          <w:sz w:val="16"/>
          <w:szCs w:val="16"/>
        </w:rPr>
        <w:softHyphen/>
        <w:t>летали только пары Ил-2. Тем не менее, 8-я ВА произвела в этот день наиболь</w:t>
      </w:r>
      <w:r w:rsidRPr="00722885">
        <w:rPr>
          <w:color w:val="000000" w:themeColor="text1"/>
          <w:sz w:val="16"/>
          <w:szCs w:val="16"/>
        </w:rPr>
        <w:softHyphen/>
        <w:t>шее число самолето-вылетов (393) за все время операции Сталинградского фронта на этом направлении.</w:t>
      </w:r>
    </w:p>
    <w:p w14:paraId="26BDDA9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сожалению, 20 декабря был омра</w:t>
      </w:r>
      <w:r w:rsidRPr="00722885">
        <w:rPr>
          <w:color w:val="000000" w:themeColor="text1"/>
          <w:sz w:val="16"/>
          <w:szCs w:val="16"/>
        </w:rPr>
        <w:softHyphen/>
        <w:t xml:space="preserve">чен тяжелым происшествием. Звено Ил-2 503-го </w:t>
      </w:r>
      <w:r w:rsidRPr="00722885">
        <w:rPr>
          <w:iCs/>
          <w:color w:val="000000" w:themeColor="text1"/>
          <w:sz w:val="16"/>
          <w:szCs w:val="16"/>
        </w:rPr>
        <w:t>шап</w:t>
      </w:r>
      <w:r w:rsidRPr="00722885">
        <w:rPr>
          <w:color w:val="000000" w:themeColor="text1"/>
          <w:sz w:val="16"/>
          <w:szCs w:val="16"/>
        </w:rPr>
        <w:t xml:space="preserve"> (ведущий А.В.Демехин) из-за потери ориентировки нанесла удар по своим войскам в районе хут. Верхне-Царицынский вместо хут. Верхне-Кумс</w:t>
      </w:r>
      <w:r w:rsidRPr="00722885">
        <w:rPr>
          <w:color w:val="000000" w:themeColor="text1"/>
          <w:sz w:val="16"/>
          <w:szCs w:val="16"/>
        </w:rPr>
        <w:softHyphen/>
        <w:t xml:space="preserve">кий. Налету подверглись подразделения 20-й </w:t>
      </w:r>
      <w:r w:rsidRPr="00722885">
        <w:rPr>
          <w:iCs/>
          <w:color w:val="000000" w:themeColor="text1"/>
          <w:sz w:val="16"/>
          <w:szCs w:val="16"/>
        </w:rPr>
        <w:t>иптабр</w:t>
      </w:r>
      <w:r w:rsidRPr="00722885">
        <w:rPr>
          <w:color w:val="000000" w:themeColor="text1"/>
          <w:sz w:val="16"/>
          <w:szCs w:val="16"/>
        </w:rPr>
        <w:t xml:space="preserve"> из резерва 2-й гвардейс</w:t>
      </w:r>
      <w:r w:rsidRPr="00722885">
        <w:rPr>
          <w:color w:val="000000" w:themeColor="text1"/>
          <w:sz w:val="16"/>
          <w:szCs w:val="16"/>
        </w:rPr>
        <w:softHyphen/>
        <w:t>кой армии. Проведенное по горячим следам комдивом В.А.Срывкиным рас</w:t>
      </w:r>
      <w:r w:rsidRPr="00722885">
        <w:rPr>
          <w:color w:val="000000" w:themeColor="text1"/>
          <w:sz w:val="16"/>
          <w:szCs w:val="16"/>
        </w:rPr>
        <w:softHyphen/>
        <w:t>следование случившегося показало, что наряду с виной ведущего группы А. В. Демехина, потерявшего ориентировку при следовании на боевое задание, большая доля вины ложится на коман</w:t>
      </w:r>
      <w:r w:rsidRPr="00722885">
        <w:rPr>
          <w:color w:val="000000" w:themeColor="text1"/>
          <w:sz w:val="16"/>
          <w:szCs w:val="16"/>
        </w:rPr>
        <w:softHyphen/>
        <w:t xml:space="preserve">дира 503-го </w:t>
      </w:r>
      <w:r w:rsidRPr="00722885">
        <w:rPr>
          <w:iCs/>
          <w:color w:val="000000" w:themeColor="text1"/>
          <w:sz w:val="16"/>
          <w:szCs w:val="16"/>
        </w:rPr>
        <w:t>шап,</w:t>
      </w:r>
      <w:r w:rsidRPr="00722885">
        <w:rPr>
          <w:color w:val="000000" w:themeColor="text1"/>
          <w:sz w:val="16"/>
          <w:szCs w:val="16"/>
        </w:rPr>
        <w:t xml:space="preserve"> который при постанов</w:t>
      </w:r>
      <w:r w:rsidRPr="00722885">
        <w:rPr>
          <w:color w:val="000000" w:themeColor="text1"/>
          <w:sz w:val="16"/>
          <w:szCs w:val="16"/>
        </w:rPr>
        <w:softHyphen/>
        <w:t>ке боевой задачи не добился четкого уяснения ее ведущим и группой. В ито</w:t>
      </w:r>
      <w:r w:rsidRPr="00722885">
        <w:rPr>
          <w:color w:val="000000" w:themeColor="text1"/>
          <w:sz w:val="16"/>
          <w:szCs w:val="16"/>
        </w:rPr>
        <w:softHyphen/>
        <w:t>ге разбирательства А.Демехин был от</w:t>
      </w:r>
      <w:r w:rsidRPr="00722885">
        <w:rPr>
          <w:color w:val="000000" w:themeColor="text1"/>
          <w:sz w:val="16"/>
          <w:szCs w:val="16"/>
        </w:rPr>
        <w:softHyphen/>
        <w:t>дан под суд Военного трибунала, а ко</w:t>
      </w:r>
      <w:r w:rsidRPr="00722885">
        <w:rPr>
          <w:color w:val="000000" w:themeColor="text1"/>
          <w:sz w:val="16"/>
          <w:szCs w:val="16"/>
        </w:rPr>
        <w:softHyphen/>
        <w:t xml:space="preserve">мандир 503-го </w:t>
      </w:r>
      <w:r w:rsidRPr="00722885">
        <w:rPr>
          <w:iCs/>
          <w:color w:val="000000" w:themeColor="text1"/>
          <w:sz w:val="16"/>
          <w:szCs w:val="16"/>
        </w:rPr>
        <w:t>шап</w:t>
      </w:r>
      <w:r w:rsidRPr="00722885">
        <w:rPr>
          <w:color w:val="000000" w:themeColor="text1"/>
          <w:sz w:val="16"/>
          <w:szCs w:val="16"/>
        </w:rPr>
        <w:t xml:space="preserve"> снят с должности (6467).</w:t>
      </w:r>
    </w:p>
    <w:p w14:paraId="5C7792B1" w14:textId="77777777" w:rsidR="00BB6316" w:rsidRPr="00722885" w:rsidRDefault="00BB6316" w:rsidP="00722885">
      <w:pPr>
        <w:pStyle w:val="Iauiue"/>
        <w:jc w:val="both"/>
        <w:rPr>
          <w:color w:val="000000" w:themeColor="text1"/>
          <w:sz w:val="16"/>
          <w:szCs w:val="16"/>
        </w:rPr>
      </w:pPr>
    </w:p>
    <w:p w14:paraId="7243873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20 по 27 декабря 1942 л 8ВА непрерывными ударами с воздуха помогли сухопутным войскам Сталинградского фронта остановить противника на рубеже р. Мышкова, отразить удар на внешнем контуре окружения. Выполнили 758 вылетов (518,173).</w:t>
      </w:r>
    </w:p>
    <w:p w14:paraId="23A70693" w14:textId="77777777" w:rsidR="00BB6316" w:rsidRPr="00722885" w:rsidRDefault="00BB6316" w:rsidP="00722885">
      <w:pPr>
        <w:pStyle w:val="Iauiue"/>
        <w:jc w:val="both"/>
        <w:rPr>
          <w:color w:val="000000" w:themeColor="text1"/>
          <w:sz w:val="16"/>
          <w:szCs w:val="16"/>
        </w:rPr>
      </w:pPr>
    </w:p>
    <w:p w14:paraId="59B3F4D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20 декабря 1942 14 французских л после восстановления летных навыков на УТ-2 начали осваивать двухместный Як-7 (3417,31).</w:t>
      </w:r>
    </w:p>
    <w:p w14:paraId="67C5BCB7" w14:textId="77777777" w:rsidR="00BB6316" w:rsidRPr="00722885" w:rsidRDefault="00BB6316" w:rsidP="00722885">
      <w:pPr>
        <w:pStyle w:val="Iauiue"/>
        <w:jc w:val="both"/>
        <w:rPr>
          <w:color w:val="000000" w:themeColor="text1"/>
          <w:sz w:val="16"/>
          <w:szCs w:val="16"/>
        </w:rPr>
      </w:pPr>
    </w:p>
    <w:p w14:paraId="27E5B10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20 декабря 1942 танки и мотопехота немец</w:t>
      </w:r>
      <w:r w:rsidRPr="00722885">
        <w:rPr>
          <w:color w:val="000000" w:themeColor="text1"/>
          <w:sz w:val="16"/>
          <w:szCs w:val="16"/>
        </w:rPr>
        <w:softHyphen/>
        <w:t>кой 17-й танковой дивизии вели атаки в районе хут. Нижне-Кумский, с. Громославка, пытаясь переправиться на левый берег р. Мышкова, части 6-й танковой дивизии вели бои в районе д. Васильевки, а 23-й танковой дивизии - на уча</w:t>
      </w:r>
      <w:r w:rsidRPr="00722885">
        <w:rPr>
          <w:color w:val="000000" w:themeColor="text1"/>
          <w:sz w:val="16"/>
          <w:szCs w:val="16"/>
        </w:rPr>
        <w:softHyphen/>
        <w:t>стке хут. Капкинский, хут. Кругляков. Несмотря на все усилия, немецким танки</w:t>
      </w:r>
      <w:r w:rsidRPr="00722885">
        <w:rPr>
          <w:color w:val="000000" w:themeColor="text1"/>
          <w:sz w:val="16"/>
          <w:szCs w:val="16"/>
        </w:rPr>
        <w:softHyphen/>
        <w:t>стам и мотопехоте так и не удалось сбить с занимаемых позиций части 2-й гвар</w:t>
      </w:r>
      <w:r w:rsidRPr="00722885">
        <w:rPr>
          <w:color w:val="000000" w:themeColor="text1"/>
          <w:sz w:val="16"/>
          <w:szCs w:val="16"/>
        </w:rPr>
        <w:softHyphen/>
        <w:t>дейской армии, успевшей к этому вре</w:t>
      </w:r>
      <w:r w:rsidRPr="00722885">
        <w:rPr>
          <w:color w:val="000000" w:themeColor="text1"/>
          <w:sz w:val="16"/>
          <w:szCs w:val="16"/>
        </w:rPr>
        <w:softHyphen/>
        <w:t>мени врыться в землю на левом берегу р. Мышкова на рубеже хут. Нижне-Кумс</w:t>
      </w:r>
      <w:r w:rsidRPr="00722885">
        <w:rPr>
          <w:color w:val="000000" w:themeColor="text1"/>
          <w:sz w:val="16"/>
          <w:szCs w:val="16"/>
        </w:rPr>
        <w:softHyphen/>
        <w:t>кий, д. Ивановка, хут. Капкинский, высота 104,0. Однако и командарму Р.Я.Мали</w:t>
      </w:r>
      <w:r w:rsidRPr="00722885">
        <w:rPr>
          <w:color w:val="000000" w:themeColor="text1"/>
          <w:sz w:val="16"/>
          <w:szCs w:val="16"/>
        </w:rPr>
        <w:softHyphen/>
        <w:t>новскому не удавалось ликвидировать плацдармы противника (6467).</w:t>
      </w:r>
    </w:p>
    <w:p w14:paraId="31C5B070" w14:textId="77777777" w:rsidR="00BB6316" w:rsidRPr="00722885" w:rsidRDefault="00BB6316" w:rsidP="00722885">
      <w:pPr>
        <w:pStyle w:val="Iauiue"/>
        <w:jc w:val="both"/>
        <w:rPr>
          <w:color w:val="000000" w:themeColor="text1"/>
          <w:sz w:val="16"/>
          <w:szCs w:val="16"/>
        </w:rPr>
      </w:pPr>
    </w:p>
    <w:p w14:paraId="080E906F"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20 декабря 1942 вышло Постановление ГКО № 2640 Об обеспечении людскими ресурсами нужд Красной Армии. (7067, 119-122,123-124).</w:t>
      </w:r>
    </w:p>
    <w:p w14:paraId="31C79A56" w14:textId="77777777" w:rsidR="00BB6316" w:rsidRPr="00722885" w:rsidRDefault="00BB6316" w:rsidP="00722885">
      <w:pPr>
        <w:pStyle w:val="Iauiue"/>
        <w:tabs>
          <w:tab w:val="left" w:pos="11199"/>
        </w:tabs>
        <w:jc w:val="both"/>
        <w:rPr>
          <w:color w:val="000000" w:themeColor="text1"/>
          <w:sz w:val="16"/>
          <w:szCs w:val="16"/>
        </w:rPr>
      </w:pPr>
    </w:p>
    <w:p w14:paraId="5178AEEE" w14:textId="77777777" w:rsidR="007116C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DDBCA90" w14:textId="77777777" w:rsidR="007116CB" w:rsidRPr="00722885" w:rsidRDefault="007116CB" w:rsidP="00722885">
      <w:pPr>
        <w:pStyle w:val="Iauiue"/>
        <w:jc w:val="both"/>
        <w:rPr>
          <w:iCs/>
          <w:color w:val="000000" w:themeColor="text1"/>
          <w:sz w:val="16"/>
          <w:szCs w:val="16"/>
        </w:rPr>
      </w:pPr>
    </w:p>
    <w:p w14:paraId="13F6B195"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20 декабря</w:t>
      </w:r>
      <w:r w:rsidRPr="00722885">
        <w:rPr>
          <w:rFonts w:ascii="Times New Roman" w:hAnsi="Times New Roman"/>
          <w:color w:val="000000" w:themeColor="text1"/>
          <w:sz w:val="16"/>
          <w:szCs w:val="16"/>
        </w:rPr>
        <w:t xml:space="preserve"> в 1942 году первый полет межконтинентального бомбардировщика «Me.264» «Amerika». Разрабатывающегося в инициативном порядке с 1940 года. В марте 1941 года «RLM» выдало фирме Мессершмитта официальный заказ на разработку четырехмоторного сверхдальнего самолета, который мог бы с грузом около 2 т и дальностью полета около 15000 км совершать налеты на территорию США, чтобы разбрасывать над американскими городами, например, пропагандистские листовки. «RLM», тогда еще под руководством Эрнста Удета, заказало три опытных образца и 30 серийных самолетов. «Me 264 V1» был во всех отношениях, да и по проекту, лишь летающим испытательным стендом (14866).</w:t>
      </w:r>
    </w:p>
    <w:p w14:paraId="7A076E9A"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1103E919" w14:textId="77777777" w:rsidR="00445F8C" w:rsidRPr="00722885" w:rsidRDefault="00445F8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20–21 декабря (ночь) 1942 Москито де Хэвилленда из командования бомбардировщиков Королевских ВВС впервые оперативно использует систему слепого наведения на бомбардировку «Гобой» во время налета на электростанцию в Луттераде в Нидерландах (20793).</w:t>
      </w:r>
    </w:p>
    <w:p w14:paraId="5E120F9D" w14:textId="77777777" w:rsidR="00445F8C" w:rsidRPr="00722885" w:rsidRDefault="00445F8C" w:rsidP="00722885">
      <w:pPr>
        <w:spacing w:after="0" w:line="240" w:lineRule="auto"/>
        <w:jc w:val="both"/>
        <w:rPr>
          <w:rFonts w:ascii="Times New Roman" w:hAnsi="Times New Roman"/>
          <w:color w:val="0070C0"/>
          <w:sz w:val="16"/>
          <w:szCs w:val="16"/>
        </w:rPr>
      </w:pPr>
    </w:p>
    <w:p w14:paraId="0A2B031C" w14:textId="77777777" w:rsidR="007116CB" w:rsidRPr="00722885" w:rsidRDefault="007116C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20 декабря</w:t>
      </w:r>
      <w:r w:rsidRPr="00722885">
        <w:rPr>
          <w:rFonts w:ascii="Times New Roman" w:hAnsi="Times New Roman"/>
          <w:color w:val="000000" w:themeColor="text1"/>
          <w:sz w:val="16"/>
          <w:szCs w:val="16"/>
        </w:rPr>
        <w:t xml:space="preserve"> в 1942 году японская авиация начала бомбардировку Калькутты. Английские войска не приняли мер по противовоздушной обороне города, поэтому Калькутту покинуло 1,5 млн. жителей, что вызвало нехватку рабочей силы (14866).</w:t>
      </w:r>
    </w:p>
    <w:p w14:paraId="2F22F1B6" w14:textId="77777777" w:rsidR="007116CB" w:rsidRPr="00722885" w:rsidRDefault="007116CB" w:rsidP="00722885">
      <w:pPr>
        <w:spacing w:after="0" w:line="240" w:lineRule="auto"/>
        <w:jc w:val="both"/>
        <w:rPr>
          <w:rFonts w:ascii="Times New Roman" w:hAnsi="Times New Roman"/>
          <w:color w:val="000000" w:themeColor="text1"/>
          <w:sz w:val="16"/>
          <w:szCs w:val="16"/>
        </w:rPr>
      </w:pPr>
    </w:p>
    <w:p w14:paraId="6A9F90D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685152D" w14:textId="77777777" w:rsidR="00BB6316" w:rsidRPr="00722885" w:rsidRDefault="00BB6316" w:rsidP="00722885">
      <w:pPr>
        <w:pStyle w:val="Iauiue"/>
        <w:jc w:val="both"/>
        <w:rPr>
          <w:iCs/>
          <w:color w:val="000000" w:themeColor="text1"/>
          <w:sz w:val="16"/>
          <w:szCs w:val="16"/>
        </w:rPr>
      </w:pPr>
    </w:p>
    <w:p w14:paraId="3A8A1D3D" w14:textId="77777777" w:rsidR="00996CD7" w:rsidRPr="00722885" w:rsidRDefault="00996CD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21 декабря 1942 г. с целью повышения эффективности и эксплуатационных качеств системы нейтрального газа на штурмовиках Ил-2 заместитель главного инженера ВВС КА генерал-майор А.А. Лапин обратился к главному конструктору самолета С.В. Ильюшину по вопросу «о необходимости введения на самолете Ил-2 системы заполнения бензобаков от выхлопных патрубков».</w:t>
      </w:r>
    </w:p>
    <w:p w14:paraId="5F908859" w14:textId="77777777" w:rsidR="00996CD7" w:rsidRPr="00722885" w:rsidRDefault="00996CD7"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Напомним, что бензобаки на серийных Ил-2 заполнялись углекислотой (С0</w:t>
      </w:r>
      <w:r w:rsidRPr="00722885">
        <w:rPr>
          <w:rFonts w:ascii="Times New Roman" w:eastAsia="Times New Roman" w:hAnsi="Times New Roman"/>
          <w:color w:val="000000" w:themeColor="text1"/>
          <w:sz w:val="16"/>
          <w:szCs w:val="16"/>
          <w:shd w:val="clear" w:color="auto" w:fill="FFFFFF"/>
          <w:vertAlign w:val="subscript"/>
          <w:lang w:eastAsia="ru-RU"/>
        </w:rPr>
        <w:t>2</w:t>
      </w:r>
      <w:r w:rsidRPr="00722885">
        <w:rPr>
          <w:rFonts w:ascii="Times New Roman" w:eastAsia="Times New Roman" w:hAnsi="Times New Roman"/>
          <w:color w:val="000000" w:themeColor="text1"/>
          <w:sz w:val="16"/>
          <w:szCs w:val="16"/>
          <w:lang w:eastAsia="ru-RU"/>
        </w:rPr>
        <w:t>) от специального баллона. Это создавало определенные затруднения при эксплуатации самолета на фронте: в БАО не всегда имелось специальное оборудование для заполнения баллонов углекислотой и, кроме того, на аэродроме предъявлялись довольно жесткие условия по хранению заправленных баллонов (17733).</w:t>
      </w:r>
    </w:p>
    <w:p w14:paraId="46CB9A58" w14:textId="77777777" w:rsidR="00996CD7" w:rsidRPr="00722885" w:rsidRDefault="00996CD7" w:rsidP="00722885">
      <w:pPr>
        <w:pStyle w:val="12a"/>
        <w:shd w:val="clear" w:color="auto" w:fill="auto"/>
        <w:spacing w:after="0" w:line="240" w:lineRule="auto"/>
        <w:jc w:val="both"/>
        <w:rPr>
          <w:color w:val="000000" w:themeColor="text1"/>
          <w:sz w:val="16"/>
          <w:szCs w:val="16"/>
        </w:rPr>
      </w:pPr>
    </w:p>
    <w:p w14:paraId="0BECFDE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21 декабря 1942 П.Воронин писал Нач. ГУЗ Селезневу письмо N Н-36/5108:</w:t>
      </w:r>
    </w:p>
    <w:p w14:paraId="1DD5824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соответствии с постановлением ГОКО от 9 сентября 1942 N 2284сс завод 600 приступил к производству УТ-2МВ (1315,235).</w:t>
      </w:r>
    </w:p>
    <w:p w14:paraId="22F2AA58" w14:textId="77777777" w:rsidR="00BB6316" w:rsidRPr="00722885" w:rsidRDefault="00BB6316" w:rsidP="00722885">
      <w:pPr>
        <w:pStyle w:val="Iauiue"/>
        <w:jc w:val="both"/>
        <w:rPr>
          <w:color w:val="000000" w:themeColor="text1"/>
          <w:sz w:val="16"/>
          <w:szCs w:val="16"/>
        </w:rPr>
      </w:pPr>
    </w:p>
    <w:p w14:paraId="527DA452"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915BA07" w14:textId="77777777" w:rsidR="00BB6316" w:rsidRPr="00722885" w:rsidRDefault="00BB6316" w:rsidP="00722885">
      <w:pPr>
        <w:pStyle w:val="Iauiue"/>
        <w:jc w:val="both"/>
        <w:rPr>
          <w:iCs/>
          <w:color w:val="000000" w:themeColor="text1"/>
          <w:sz w:val="16"/>
          <w:szCs w:val="16"/>
        </w:rPr>
      </w:pPr>
    </w:p>
    <w:p w14:paraId="118E690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21 декабря 1942 года АК ГАУ потребовал уменьшить начальную скорость для наименьшего заряда с 270 до 215 м/с 203-мм мортиры М-4. Поэтому для обеспечения "перекрытия дальностей" число зарядов было увеличено с 4-х до 6. По первоначальному расчету предполагалось для снаряда весом 100 кг получить начальную скорость 352 м/с и дальность 10-300 м. Число зарядов должно быть 4, и начальная скорость на четвертом заряде должна быть 270 м/с (3861).</w:t>
      </w:r>
    </w:p>
    <w:p w14:paraId="1F5FD3CA" w14:textId="77777777" w:rsidR="00BB6316" w:rsidRPr="00722885" w:rsidRDefault="00BB6316" w:rsidP="00722885">
      <w:pPr>
        <w:pStyle w:val="Iauiue"/>
        <w:jc w:val="both"/>
        <w:rPr>
          <w:color w:val="000000" w:themeColor="text1"/>
          <w:sz w:val="16"/>
          <w:szCs w:val="16"/>
        </w:rPr>
      </w:pPr>
    </w:p>
    <w:p w14:paraId="3A4CA0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декабря 1942 вышло Постановление ГКО № 2650 О подготовке рабочих кадров для предприятий и строительств черной металлургии. РГАНИР, Фонд ГКО, д. 74, лл. 31-36, 37-44 (11012).</w:t>
      </w:r>
    </w:p>
    <w:p w14:paraId="28ABEBF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6878E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21 декабря 1942 вышло Распоряжение ГКО № 2651. Об отгрузке металлической стружки Кузнецкому и Магнитогорскому металлургическим комбинатам. РГАНИР, Фонд ГКО, д. 74, лл. 45, 46 (11012).</w:t>
      </w:r>
    </w:p>
    <w:p w14:paraId="7961CBE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7D88A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декабря 1942 г. вышел ПРИКАЗ О СФОРМИРОВАНИИ УПРАВЛЕНИЯ МЕХАНИЧЕСКОЙ ТЯГИ И САМОХОДНОЙ АРТИЛЛЕРИИ В СОСТАВЕ ГЛАВНОГО АРТИЛЛЕРИЙСКОГО УПРАВЛЕНИЯ КРАСНОЙ АРМИИ № 0972</w:t>
      </w:r>
    </w:p>
    <w:p w14:paraId="0938D2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 основании Постановления Государственного Комитета Обороны № 2589 от 7 декабря 1942 года сформировать управление механической тяги и самоходной артиллерии в Главном артиллерийском управлении.</w:t>
      </w:r>
    </w:p>
    <w:p w14:paraId="63E525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Формирование произвести на базе тракторного отдела автотракторного и ремонтно-эксплуатационного управления Главного автобронетанкового управления.</w:t>
      </w:r>
    </w:p>
    <w:p w14:paraId="68DC8F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 соответствии с пунктом 1 приказа утвердить прилагаемые к приказу штаты* управления механической тяги и самоходной артиллерии Главного артиллерийского управления и изменения в штатах по другим управлениям Главного артиллерийского управления.</w:t>
      </w:r>
    </w:p>
    <w:p w14:paraId="70696A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Возложить на управление механической тяги и самоходной артиллерии Главного артиллерийского управления:</w:t>
      </w:r>
    </w:p>
    <w:p w14:paraId="173201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разработку планов заказов промышленности самоходной артиллерии, гусеничных тягачей и прицепов к ним и приемку на заводах;</w:t>
      </w:r>
    </w:p>
    <w:p w14:paraId="746F6D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получение импортных гусеничных тягачей и сборку их на заводах промышленности;</w:t>
      </w:r>
    </w:p>
    <w:p w14:paraId="71BC38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обобщение опыта производства и проведение мероприятий по совершенствованию средств механической тяги и самоходной артиллерии;</w:t>
      </w:r>
    </w:p>
    <w:p w14:paraId="5CD463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снабжение войск самоходной артиллерией, гусеничными тягачами и прицепами к ним;</w:t>
      </w:r>
    </w:p>
    <w:p w14:paraId="5AF84E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ремонт гусеничных тягачей и прицепов к ним;</w:t>
      </w:r>
    </w:p>
    <w:p w14:paraId="02EA69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 руководство эксплуатацией гусеничных тягачей и самоходной артиллерии;</w:t>
      </w:r>
    </w:p>
    <w:p w14:paraId="75D51A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 разработку планов заказов:</w:t>
      </w:r>
    </w:p>
    <w:p w14:paraId="0B6E9D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 снабжение запасными частями, инструментом и принадлежностями для самоходной артиллерии, гусеничных тягачей и прицепов;</w:t>
      </w:r>
    </w:p>
    <w:p w14:paraId="2D8E99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на запасные части, инструмент и принадлежности к импортным тягачам;</w:t>
      </w:r>
    </w:p>
    <w:p w14:paraId="52A301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 снабжение запасными частями, инструментов и принадлежностями Красной Армии к самоходной артиллерии, гусеничным тягачам и прицепам к ним;</w:t>
      </w:r>
    </w:p>
    <w:p w14:paraId="526E91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заказы промышленности и снабжение электрооборудованием, материалами и инструментом общего назначения для ремонта самоходной артиллерии и гусеничных тягачей в ремонтных органах Главного артиллерийского управления.</w:t>
      </w:r>
    </w:p>
    <w:p w14:paraId="76E0E3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Передать Главному артиллерийскому управлению из Главного ав'то-бронетанкового управления Красной Армии:</w:t>
      </w:r>
    </w:p>
    <w:p w14:paraId="2C770F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ремонтные заводы:</w:t>
      </w:r>
    </w:p>
    <w:p w14:paraId="6E9BAF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9 — гор. Тамбов,</w:t>
      </w:r>
    </w:p>
    <w:p w14:paraId="65A676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81 —Люберцы,</w:t>
      </w:r>
    </w:p>
    <w:p w14:paraId="3E1C7D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29 — Рязань,</w:t>
      </w:r>
    </w:p>
    <w:p w14:paraId="66109D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83 — гор. Энгельс,</w:t>
      </w:r>
    </w:p>
    <w:p w14:paraId="268332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42-й отдельный ремонтно-восстановительный батальон — гор. Рязань,</w:t>
      </w:r>
    </w:p>
    <w:p w14:paraId="124158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19 — Куйбышевка Восточная”</w:t>
      </w:r>
    </w:p>
    <w:p w14:paraId="6FE2ED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заводах №№ 1, 6 и 8 Главного автобронетанкового управления Красной Армии производить ремонт тракторов Главного артиллерийского управления по существующим программам.</w:t>
      </w:r>
    </w:p>
    <w:p w14:paraId="6FC23E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 19 — гор. Куйбышевка Восточная производить ремонт автомашин Главного автомобильного управления Красной Армии по существующим программам;</w:t>
      </w:r>
    </w:p>
    <w:p w14:paraId="09D75F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склады:</w:t>
      </w:r>
    </w:p>
    <w:p w14:paraId="266EB2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938 — гор. Ярославль.</w:t>
      </w:r>
    </w:p>
    <w:p w14:paraId="7FCA9F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Передать в Главное управление командующего артиллерией Красной Армии из Главного автобронетанкового управления Красной Армии:</w:t>
      </w:r>
    </w:p>
    <w:p w14:paraId="1B4377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кадры роты трактористов Полтавского танкового училища и кадры тракторной специальности, подготовляемые на автотракторном факультете Военной академии механизации и моторизации им. Сталина;</w:t>
      </w:r>
    </w:p>
    <w:p w14:paraId="0656FB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11-й и 15-й учебные тракторные полки.</w:t>
      </w:r>
    </w:p>
    <w:p w14:paraId="520CF1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Главному артиллерийскому управлению Красной Армии сформировать тракторную роту в составе 120 человек и два взвода по 30 человек для перегонки гусеничных тягачей с московских и горьковского заводов.</w:t>
      </w:r>
    </w:p>
    <w:p w14:paraId="55891E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Сформировать в артиллерийском снабжении фронтов и округов отделы и в армиях — отделения механической тяги и самоходной артиллерии.</w:t>
      </w:r>
    </w:p>
    <w:p w14:paraId="085767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Формирование управления механической тяги и самоходной артиллерии Главного артиллерийского управления закончить к 25 декабря 1942 года.</w:t>
      </w:r>
    </w:p>
    <w:p w14:paraId="1C2F90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Формирование отделов и отделений механической тяги и самоходной артиллерии в артиллерийском снабжении фронтов, округов и армий закончить к 30 декабря 1942 года.</w:t>
      </w:r>
    </w:p>
    <w:p w14:paraId="67B58F78" w14:textId="77777777" w:rsidR="00BB6316" w:rsidRPr="00722885" w:rsidRDefault="00BB6316" w:rsidP="00722885">
      <w:pPr>
        <w:spacing w:after="0" w:line="240" w:lineRule="auto"/>
        <w:jc w:val="both"/>
        <w:rPr>
          <w:rStyle w:val="af0"/>
          <w:rFonts w:ascii="Times New Roman" w:hAnsi="Times New Roman"/>
          <w:i w:val="0"/>
          <w:iCs w:val="0"/>
          <w:color w:val="000000" w:themeColor="text1"/>
          <w:sz w:val="16"/>
          <w:szCs w:val="16"/>
        </w:rPr>
      </w:pPr>
      <w:r w:rsidRPr="00722885">
        <w:rPr>
          <w:rStyle w:val="af0"/>
          <w:rFonts w:ascii="Times New Roman" w:hAnsi="Times New Roman"/>
          <w:i w:val="0"/>
          <w:iCs w:val="0"/>
          <w:color w:val="000000" w:themeColor="text1"/>
          <w:sz w:val="16"/>
          <w:szCs w:val="16"/>
        </w:rPr>
        <w:t>Заместитель Народного комиссара обороны генерал-полковник Е. ЩАДЕНКО</w:t>
      </w:r>
    </w:p>
    <w:p w14:paraId="3B4DE5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Style w:val="af0"/>
          <w:rFonts w:ascii="Times New Roman" w:hAnsi="Times New Roman"/>
          <w:i w:val="0"/>
          <w:iCs w:val="0"/>
          <w:color w:val="000000" w:themeColor="text1"/>
          <w:sz w:val="16"/>
          <w:szCs w:val="16"/>
        </w:rPr>
        <w:t>ф. 4, оп. 11, д. 73, л. 377—379. Подлинник (11615).</w:t>
      </w:r>
    </w:p>
    <w:p w14:paraId="366A69D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B6A5C9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A6F6C71" w14:textId="77777777" w:rsidR="00BB6316" w:rsidRPr="00722885" w:rsidRDefault="00BB6316" w:rsidP="00722885">
      <w:pPr>
        <w:pStyle w:val="Iauiue"/>
        <w:jc w:val="both"/>
        <w:rPr>
          <w:iCs/>
          <w:color w:val="000000" w:themeColor="text1"/>
          <w:sz w:val="16"/>
          <w:szCs w:val="16"/>
        </w:rPr>
      </w:pPr>
    </w:p>
    <w:p w14:paraId="0FA0057E"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21 декабря </w:t>
      </w:r>
      <w:r w:rsidRPr="00722885">
        <w:rPr>
          <w:rFonts w:ascii="Times New Roman" w:hAnsi="Times New Roman"/>
          <w:color w:val="000000" w:themeColor="text1"/>
          <w:sz w:val="16"/>
          <w:szCs w:val="16"/>
        </w:rPr>
        <w:t>в 1942 году утреннее сообщение Совинформбюро:</w:t>
      </w:r>
    </w:p>
    <w:p w14:paraId="08FF6F78"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21 декабря наши войска в районе Сталинграда, на Центральном фронте и в районе Среднего Дона продолжали вести наступательные бои на прежних направлениях.</w:t>
      </w:r>
    </w:p>
    <w:p w14:paraId="4A640704"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штурмовые группы блокировали и уничтожали вражеские дзоты и блиндажи. Лейтенант Рождественский огнём из ручного пулемёта сбил немецкий самолёт.</w:t>
      </w:r>
    </w:p>
    <w:p w14:paraId="7A6DF5AC"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активные боевые действия. На одном участке немцы предприняли шесть контратак. Наши бойцы отбили все контратаки противника и уничтожили до 400 немецких солдат и офицеров. Советские лётчики бомбили вражеские аэродромы и уничтожили на земле 20 немецких самолётов. Кроме того, в воздушных боях сбито 7 самолётов противника.</w:t>
      </w:r>
    </w:p>
    <w:p w14:paraId="6776C3CA"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артиллеристы H-ской части уничтожили до батальона вражеской пехоты и 15 автомашин. На другом участке наши части отбили контратаку противника. В результате боя подбито и сожжено 8 немецких танков, уничтожено 2 самоходных орудия, 20 автомашин и до 300 гитлеровцев.</w:t>
      </w:r>
    </w:p>
    <w:p w14:paraId="52420369"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успешное наступление. Противник контратаками пытается задержать продвижение советских частей, но под ударами наших бойцов откатывается на юго-запад, неся огромные потери. Наши войска освободили от немцев ещё ряд населённых пунктов. Н-ская часть истребила 1.300 немецких солдат и офицеров и захватила 19 орудий, 10 пулемётов, 56 миномётов, 21 автомашину, несколько вещевых и продовольственных складов. Взято много пленных. Нa другом участке наши подразделения окружили гарнизон противника. В результате ожесточённого боя наши бойцы штурмом овладели этим населённым пунктом и истребили 380 гитлеровцев. Несколько сот вражеских солдат и офицеров взято вплен. Захвачены 15 орудий, 38 пулемётов, 23 миномёта, 49 автомашин и большой склад боеприпасов.</w:t>
      </w:r>
    </w:p>
    <w:p w14:paraId="4989A39E"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закрепляли занятые позиции и частью сил продолжали наступательные бои. На одном участке советские штурмовые отряды вели бой за сильно укреплённый опорный пункт противника. Немцы неоднократно переходили в контратаки, но каждый раз откатывались назад. Враг потерял на этом участке убитыми не менее 500 солдат и офицеров. Огнём артиллерии и гвардейских миномётов разрушено 45 дзотов, 39 блиндажей, 11 наблюдательных пунктов иуничтожено 16 орудий противника.</w:t>
      </w:r>
    </w:p>
    <w:p w14:paraId="4056C162"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за три дня огнём нашей артиллерия разрушено 19 вражеских дзотов и блиндажей, уничтожено 3 орудия и несколько повозок с военным грузом. Снайперы подразделений истребили 677 солдат и офицеров противника.</w:t>
      </w:r>
    </w:p>
    <w:p w14:paraId="5B45B666"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Сумской области, совершил налёт на немецкий гарнизон, расположенный в одном городе. Советские патриоты истребили 170 гитлеровцев, в том числе немецкого коменданта, бургомистра и начальника полиции.</w:t>
      </w:r>
    </w:p>
    <w:p w14:paraId="1C73532E"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акт о зверствах немецко-фашистских мерзавцев на хуторе Русаковском, Ростовской области. «Отступая под ударами Красной Армии, гитлеровцы учинили на хуторе кровавую резню. Палачи расстреляли колхозника Фёдора Старикова, его мать и двухлетнюю дочь Светлану. Озверелые бандиты расстреляли колхозника Тимофея Клюева 45 лет, его жену Матрёну 40 лет и 11-летнюю дочь Веру. Оставшихся детей колхозника Клюева — сына Алексея 5 лет и дочь Раису 3 лет —немецкие солдаты выволокли из хаты, но не успели убить и поспешно бежали, спасая свою шкуру». Акт подписали: гвардии старший лейтенант Дынник, гвардии старшина Кравцов, гвардии красноармеец Крас, колхозница Антонина Ефремова.</w:t>
      </w:r>
    </w:p>
    <w:p w14:paraId="0F4AC350"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норвежских партизан с участием группы инженеров-патриотов взорвал в гавани Боде (Норвегия) немецкие казармы, служебные здания, а также укрепления. При взрывах убито 150 гитлеровцев.» (14867).</w:t>
      </w:r>
    </w:p>
    <w:p w14:paraId="42337EFF" w14:textId="77777777" w:rsidR="003F0D95" w:rsidRPr="00722885" w:rsidRDefault="003F0D95" w:rsidP="00722885">
      <w:pPr>
        <w:spacing w:after="0" w:line="240" w:lineRule="auto"/>
        <w:jc w:val="both"/>
        <w:rPr>
          <w:rFonts w:ascii="Times New Roman" w:hAnsi="Times New Roman"/>
          <w:color w:val="000000" w:themeColor="text1"/>
          <w:sz w:val="16"/>
          <w:szCs w:val="16"/>
        </w:rPr>
      </w:pPr>
    </w:p>
    <w:p w14:paraId="4C9BD98C"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21 декабря </w:t>
      </w:r>
      <w:r w:rsidRPr="00722885">
        <w:rPr>
          <w:rFonts w:ascii="Times New Roman" w:hAnsi="Times New Roman"/>
          <w:color w:val="000000" w:themeColor="text1"/>
          <w:sz w:val="16"/>
          <w:szCs w:val="16"/>
        </w:rPr>
        <w:t>в 1942 году вечернее сообщение Совинформбюро:</w:t>
      </w:r>
    </w:p>
    <w:p w14:paraId="11F5B2B1"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21 декабря наши войска в районе Сталинграда и на Центральном фронте продолжали вести наступательные бои на прежних направлениях.</w:t>
      </w:r>
    </w:p>
    <w:p w14:paraId="19D4FA2F"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Среднего Дона наши войска успешно развивали наступление и, преследуя отходящие в беспорядке войска противника, продвинулись на 20—25 километров, захватили несколько крупных населённых пунктов, а также трофеи и пленных.</w:t>
      </w:r>
    </w:p>
    <w:p w14:paraId="1A8E944D"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20 декабря в районе Сталинграда уничтожено 39 транспортных самолётов противника.</w:t>
      </w:r>
    </w:p>
    <w:p w14:paraId="6ADBFC6D"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декабря частями нашей авиации на различных участках фронта уничтожено или повреждено 18 немецких танков и бронемашин, до 200 автомашин с войсками и грузами, подавлен огонь 10 артиллерийских батарей, взорвано 4 склада боеприпасов, рассеяно и частью уничтожено до четырёх рот пехоты противника.</w:t>
      </w:r>
    </w:p>
    <w:p w14:paraId="146FD31E"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подразделения, действуя мелкими штурмовыми отрядами, продолжали наступление на позиции упорно обороняющегося противника. Уничтожено и захвачено свыше 15 вражеских дзотов и блиндажей. В районе одного из заводов немцы предприняли контратаку, но, встреченные сильным огнём, были отброшены с большими для них потерями.</w:t>
      </w:r>
    </w:p>
    <w:p w14:paraId="2102E092"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огневой бой и разведку. В районе одного населённого пункта отбита контратака гитлеровцев, в результате которой противник потерял убитыми до 300 солдат и офицеров. Уничтожено 5 немецких танков, 4 орудия, 26 пулемётов и 17 автомашин. Советские лётчики в воздушных боях сбили 4 и подбили 4 немецких самолёта.</w:t>
      </w:r>
    </w:p>
    <w:p w14:paraId="066DFD23"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ожесточённые бои с крупными силами танков и мотопехоты противника. В течение всего дня шло упорное сражение врайоне одного колхоза. Ценою огромных потерь немцам удалось несколько потеснитьнаши части и овладеть колхозом. B этом бою уничтожено 17 вражеских танков и свыше 700 гитлеровцев. На другом участке наши гвардейцы в результате напряжённых боёв выбили противника из одного населённого пункта. В этих боях уничтожено свыше 500 немецких солдат и офицеров, подбито и сожжено 7 танков, уничтожено 44 автомашины, 19 орудий, разрушено 30 дзотов и блиндажей.</w:t>
      </w:r>
    </w:p>
    <w:p w14:paraId="4494CEC1"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успешное наступление. Под ударами советских частей противник отходит в юго-западном и западном направлениях, оставляя на поле боя технику и вооружение. На некоторых участках немцы пытались предпринять контратаки, но были опрокинуты и смяты нашими войсками. Бойцы Н-ской части в течение дня уничтожили 1.300 вражеских солдат и офицеров, взяли в плен 540 гитлеровцев и захватили у противника 11 танков, 43 орудия, 170 автомашин, 5 тракторов, до 2.000 лошадей, склад с продовольствием, артиллерийский склад и много другого военного имущества.</w:t>
      </w:r>
    </w:p>
    <w:p w14:paraId="1BCC8DF1"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закреплялись на достигнутых рубежах и продолжали наступательные бои против окружённых гарнизонов противника. В районе Великих Лук наша часть, отбив контратаку немцев, уничтожила до 200 гитлеровцев, 6 танков, 2 артиллерийские и 3 миномётные батареи. На другом участке немцы бросили в контратаку крупные силы пехоты и 50 танков. После ожесточённого боя, потеряв сотни солдат и 20 танков, противник отступил на исходные позиции. Наша разведывательная группа, действующая в тылу противника, разгромила немецкийотряд в 200 человек.</w:t>
      </w:r>
    </w:p>
    <w:p w14:paraId="116E2980"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Партизаны отряда, действующего в одном из районов Северного Кавказа, в ожесточённой схватке с противником истребили до 300 немецких солдат и офицеров, подбили 6 танков и самолет. Другой партизанский отряд уничтожил 60 гитлеровцев и взорвал 2 автомашины.</w:t>
      </w:r>
    </w:p>
    <w:p w14:paraId="4A3AC9E6"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 командиров и мирных жителей составила акт о зверствах немецко-фашистских мерзавцев над советскими военнопленными. В акте говорится: «Когда части Красной Армии освободили хутор Липовский, Сталинградской области, мы обнаружили запертыми в свинарнике пленных красноармейцев. Гитлеровцы разделии разули пленных, а взамен отобранного обмундирования выдали им жалкие лохмотья. Фашистские изверги принуждали голодных и раздетых пленных бойцов выполнять тяжёлые работы на строительстве оборонительных сооружений. Больных немцы расстреливали. Из свинарника мы извлекли 22 красноармейца, раздетых донага. У всех у них были отморожены конечности». Акт подписали: гвардии старший лейтенант Власенко, гвардии старший лейтенант Урядников, гвардии воентехник 1 ранга Харченко, гвардии старший лейтенант интендантской службы Рицнер, гвардии красноармейцы Кручинин, Афанасьев, Ямалдинов, колхозницы Аграфена Авдошкина и Ксения Пономарёва.</w:t>
      </w:r>
    </w:p>
    <w:p w14:paraId="4C605173"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Албанские партизаны напали на итальянскую колонну в районе Корицы и истребили 68 итальянских захватчиков. Близ Берата албанские патриоты сожгли 2 склада оккупантов с военным имуществом. В Эльбасане группа вооружённых студентов уничтожила трёх итальянских офицеров, завладела их автомашиной и оружием.»</w:t>
      </w:r>
    </w:p>
    <w:p w14:paraId="26217AE7"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6D74A663"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в районе Среднего Дона продолжается.</w:t>
      </w:r>
    </w:p>
    <w:p w14:paraId="2F202631"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22 декабря наши войска в районе Среднего Дона продолжали успешноразвивать наступление на прежних направлениях и, преследуя отходящие вб еспорядке разбитые немецко-фашистские войска, заняли несколько десятков населённых пунктов, в том числе крупные населённые пункты — Колещатое, Никольское, Морозовка, Верхне-Грачевский, Поповка, Каменский, Греков, Федоровка.</w:t>
      </w:r>
    </w:p>
    <w:p w14:paraId="7F65F3F3"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22 декабря количество пленных увеличилось на 6.700 человек. Всего за время боёв с 16 по 22 декабря наши войска захватили в плен 20.200 солдат и офицеров противника.</w:t>
      </w:r>
    </w:p>
    <w:p w14:paraId="054C9C6E"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боёв с 16 по 22 декабря нашими войсками захвачено: танков — 108, орудий разных калибров—1.637, пулемётов — 2.369, автомашин — 6.735, лошадей —5.500, складов с боеприпасами, вооружением и продовольствием — 82.</w:t>
      </w:r>
    </w:p>
    <w:p w14:paraId="6719D1D8"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21 декабря противник оставил на поле боя около 7.000 трупов солдат и офицеров.» (14867).</w:t>
      </w:r>
    </w:p>
    <w:p w14:paraId="649439E9" w14:textId="77777777" w:rsidR="003F0D95" w:rsidRPr="00722885" w:rsidRDefault="003F0D95" w:rsidP="00722885">
      <w:pPr>
        <w:spacing w:after="0" w:line="240" w:lineRule="auto"/>
        <w:jc w:val="both"/>
        <w:rPr>
          <w:rFonts w:ascii="Times New Roman" w:hAnsi="Times New Roman"/>
          <w:color w:val="000000" w:themeColor="text1"/>
          <w:sz w:val="16"/>
          <w:szCs w:val="16"/>
        </w:rPr>
      </w:pPr>
    </w:p>
    <w:p w14:paraId="257E95CF"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21 декабря </w:t>
      </w:r>
      <w:r w:rsidRPr="00722885">
        <w:rPr>
          <w:rFonts w:ascii="Times New Roman" w:hAnsi="Times New Roman"/>
          <w:color w:val="000000" w:themeColor="text1"/>
          <w:sz w:val="16"/>
          <w:szCs w:val="16"/>
        </w:rPr>
        <w:t>в 1942 году на реке Мышкова советские войска окончательно останавливают наступление немецкой танковой группировки генерала Гота, пытавшейся извне прорвать кольцо окружения вокруг Сталинграда. Тем самым решается участь армии Паулюса, которую от передовых частей Гота отделяют 54 км (14867).</w:t>
      </w:r>
    </w:p>
    <w:p w14:paraId="0445EAD6" w14:textId="77777777" w:rsidR="003F0D95" w:rsidRPr="00722885" w:rsidRDefault="003F0D95" w:rsidP="00722885">
      <w:pPr>
        <w:spacing w:after="0" w:line="240" w:lineRule="auto"/>
        <w:jc w:val="both"/>
        <w:rPr>
          <w:rFonts w:ascii="Times New Roman" w:hAnsi="Times New Roman"/>
          <w:color w:val="000000" w:themeColor="text1"/>
          <w:sz w:val="16"/>
          <w:szCs w:val="16"/>
        </w:rPr>
      </w:pPr>
    </w:p>
    <w:p w14:paraId="094ED5E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21 декабря 1942 в бою у хутора Нижнекумский при отражении танковой атаки наводчик ПТР И.Каплунов (98-я дивизия) из ПТР и гранатами подбил 9 танков (355,14).</w:t>
      </w:r>
    </w:p>
    <w:p w14:paraId="3070E7AB" w14:textId="77777777" w:rsidR="00BB6316" w:rsidRPr="00722885" w:rsidRDefault="00BB6316" w:rsidP="00722885">
      <w:pPr>
        <w:pStyle w:val="Iauiue"/>
        <w:jc w:val="both"/>
        <w:rPr>
          <w:color w:val="000000" w:themeColor="text1"/>
          <w:sz w:val="16"/>
          <w:szCs w:val="16"/>
        </w:rPr>
      </w:pPr>
    </w:p>
    <w:p w14:paraId="7674626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21 декабря 1942 г. вышел УКАЗ ПРЕЗИДИУМА ВЕРХОВНОГО СОВЕТА СССР ОБ УТВЕРЖДЕНИИ НОВОГО ОБРАЗЦА КРАСНОГО ЗНАМЕНИ ВОНСКИХ ЧАСТЕЙ КРАСНОЙ АРМИИ</w:t>
      </w:r>
    </w:p>
    <w:p w14:paraId="69F0476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Президиум Верховного Совета СССР постановляет:</w:t>
      </w:r>
    </w:p>
    <w:p w14:paraId="41F15FB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Утвердить новый образец Красного Знамени для вручения частям Красной Армии при их формировании и его описание.</w:t>
      </w:r>
    </w:p>
    <w:p w14:paraId="63F2BD8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Утвердить Положение о Красном Знамени воинских частей Красной Армии.</w:t>
      </w:r>
    </w:p>
    <w:p w14:paraId="725D1AFC" w14:textId="77777777" w:rsidR="00BB6316" w:rsidRPr="00722885" w:rsidRDefault="00BB6316" w:rsidP="00722885">
      <w:pPr>
        <w:pStyle w:val="Iauiue"/>
        <w:jc w:val="both"/>
        <w:rPr>
          <w:iCs/>
          <w:color w:val="000000" w:themeColor="text1"/>
          <w:sz w:val="16"/>
          <w:szCs w:val="16"/>
        </w:rPr>
      </w:pPr>
      <w:r w:rsidRPr="00722885">
        <w:rPr>
          <w:iCs/>
          <w:color w:val="000000" w:themeColor="text1"/>
          <w:sz w:val="16"/>
          <w:szCs w:val="16"/>
        </w:rPr>
        <w:t>Председатель Президиума Верховного Совета СССР М. КАЛИНИН</w:t>
      </w:r>
    </w:p>
    <w:p w14:paraId="78E131ED" w14:textId="77777777" w:rsidR="00BB6316" w:rsidRPr="00722885" w:rsidRDefault="00BB6316" w:rsidP="00722885">
      <w:pPr>
        <w:pStyle w:val="Iauiue"/>
        <w:jc w:val="both"/>
        <w:rPr>
          <w:iCs/>
          <w:color w:val="000000" w:themeColor="text1"/>
          <w:sz w:val="16"/>
          <w:szCs w:val="16"/>
        </w:rPr>
      </w:pPr>
      <w:r w:rsidRPr="00722885">
        <w:rPr>
          <w:iCs/>
          <w:color w:val="000000" w:themeColor="text1"/>
          <w:sz w:val="16"/>
          <w:szCs w:val="16"/>
        </w:rPr>
        <w:t>Секретарь Президиума Верховного Совета СССР А. ГОРКИН</w:t>
      </w:r>
    </w:p>
    <w:p w14:paraId="72453F0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Москва, Кремль. 21 декабря 1942 г. (9844).</w:t>
      </w:r>
    </w:p>
    <w:p w14:paraId="658F684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ПОЛОЖЕНИЕ О КРАСНОМ ЗНАМЕНИ ВОИНСКИХ ЧАСТЕЙ КРАСНОЙ АРМИИ</w:t>
      </w:r>
    </w:p>
    <w:p w14:paraId="49A02DF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Красное Знамя есть символ воинской чести, доблести и славы, оно является напоминанием каждому из бойцов и командиров воинской части об их священном долге преданно служить Советской Родине, защищать ее мужественно и умело, отстаивать от врага каждую пядь родной земли, не щадя своей крови и самой жизни.</w:t>
      </w:r>
    </w:p>
    <w:p w14:paraId="210FD26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Красное Знамя вручается воинской части по ее сформировании от имени Президиума Верховного Совета СССР представителем Народного комиссариата обороны СССР.</w:t>
      </w:r>
    </w:p>
    <w:p w14:paraId="77071D9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Красное Знамя сохраняется за воинской частью на все время, независимо от изменения наименования и нумерации части. Изменения наименования и нумерации воинской части заносятся в грамоту, выдаваемую при вручении Красного Знамени.</w:t>
      </w:r>
    </w:p>
    <w:p w14:paraId="670827B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Красное Знамя всегда находится со своей частью, а на поле боя — в районе боевых действий части.</w:t>
      </w:r>
    </w:p>
    <w:p w14:paraId="3EE77D5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При утрате Красного Знамени вследствие малодушия войсковой части ее командир и весь командный состав, виновные в таком позоре, — подлежат суду военного трибунала, а войсковая часть — расформированию.</w:t>
      </w:r>
    </w:p>
    <w:p w14:paraId="51C0CD8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ОПИСАНИЕ КРАСНОГО ЗНАМЕНИ ВОИНСКИХ ЧАСТЕЙ КРАСНОЙ АРМИИ</w:t>
      </w:r>
    </w:p>
    <w:p w14:paraId="6C9A444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Красное Знамя состоит из двухстороннего полотнища, древка и шнура с кистями.</w:t>
      </w:r>
    </w:p>
    <w:p w14:paraId="75396DF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Полотнище знамени прямоугольное, размерами: по длине — 145 см, по ширине—115 см, изготовляется из сложенного вдвое красного шелкового фая и по краю обшивается с трех сторон золотистой шелковой бахромой.</w:t>
      </w:r>
    </w:p>
    <w:p w14:paraId="373D973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одной стороне полотнища в центре нашиты серп и молот из цветного шелка размером по высоте 36 см. По верхнему и нижнему краям полотнища вышит золотистым шелком лозунг “За нашу Советскую Родину”. Высота букв надписи — 7,5 см.</w:t>
      </w:r>
    </w:p>
    <w:p w14:paraId="50DE1E9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другой стороне полотнища в центре — аппликация: пятиконечная звезда из шелка цвета бордо с вышивкой золотистым шелком по краям и цветным шелком в виде лучей по поверхности звезды, имеющей размер между противолежащими вершинами 56 см. Под звездой золотистым шелком вышиты номер и наименование войсковой части. Размер цифр по высоте 10 см, размер букв надписи — 7,5 см.</w:t>
      </w:r>
    </w:p>
    <w:p w14:paraId="7449A23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Древко знамени деревянное, круглого сечения, диаметром 4 см, длиной 2,5 метра. Древко окрашено в темно-коричневый цвет, лакировано и имеет на нижнем конце металлический обруч, а на верхнем — никелированный наконечник.</w:t>
      </w:r>
    </w:p>
    <w:p w14:paraId="47E0D36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Шнур знамени крученый, изготовляется из золотистого шелка с двумя кистями по концам. Длина шнура — 270—285 см (9844).</w:t>
      </w:r>
    </w:p>
    <w:p w14:paraId="171ACB8C" w14:textId="77777777" w:rsidR="00BB6316" w:rsidRPr="00722885" w:rsidRDefault="00BB6316" w:rsidP="00722885">
      <w:pPr>
        <w:pStyle w:val="Iauiue"/>
        <w:jc w:val="both"/>
        <w:rPr>
          <w:color w:val="000000" w:themeColor="text1"/>
          <w:sz w:val="16"/>
          <w:szCs w:val="16"/>
        </w:rPr>
      </w:pPr>
    </w:p>
    <w:p w14:paraId="79FF650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55D33C45" w14:textId="77777777" w:rsidR="00BB6316" w:rsidRPr="00722885" w:rsidRDefault="00BB6316" w:rsidP="00722885">
      <w:pPr>
        <w:pStyle w:val="Iauiue"/>
        <w:jc w:val="both"/>
        <w:rPr>
          <w:iCs/>
          <w:color w:val="000000" w:themeColor="text1"/>
          <w:sz w:val="16"/>
          <w:szCs w:val="16"/>
        </w:rPr>
      </w:pPr>
    </w:p>
    <w:p w14:paraId="23BBF9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декабря 1942 вышло Постановление ГКО № 2649 О жилищном строительстве в Московской, Свердловской и Челябинской областях. РГАНИР, Фонд ГКО, д. 74, лл. 1-9, 10-30 (11012).</w:t>
      </w:r>
    </w:p>
    <w:p w14:paraId="7D63A7A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32333D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888A349" w14:textId="77777777" w:rsidR="00BB6316" w:rsidRPr="00722885" w:rsidRDefault="00BB6316" w:rsidP="00722885">
      <w:pPr>
        <w:pStyle w:val="Iauiue"/>
        <w:jc w:val="both"/>
        <w:rPr>
          <w:iCs/>
          <w:color w:val="000000" w:themeColor="text1"/>
          <w:sz w:val="16"/>
          <w:szCs w:val="16"/>
        </w:rPr>
      </w:pPr>
    </w:p>
    <w:p w14:paraId="1CECFBD1" w14:textId="77777777" w:rsidR="003F0D95" w:rsidRPr="00722885" w:rsidRDefault="003F0D9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 xml:space="preserve">21 декабря </w:t>
      </w:r>
      <w:r w:rsidRPr="00722885">
        <w:rPr>
          <w:rFonts w:ascii="Times New Roman" w:hAnsi="Times New Roman"/>
          <w:color w:val="000000" w:themeColor="text1"/>
          <w:sz w:val="16"/>
          <w:szCs w:val="16"/>
        </w:rPr>
        <w:t>в 1942 году первые успешные испытания планирующей торпеды «L10» «Friedensengel» фирмы «Blohm und Voss» (Германия). «L10» представлял собой планер с укрепленной на нем торпедой «LT 950 C». Высота сброса L10 составляла 2500 метров. Максимальная дальности применения - до 9000 метров. При приближении «L10» на расстояние 10 метров к поверхности воды срабатывал датчик, дававший команду к отделению планера при помощи небольших взрывпакетов. После погружения торпеда следовала под водой к выбранной цели (14867).</w:t>
      </w:r>
    </w:p>
    <w:p w14:paraId="4A8541AA" w14:textId="77777777" w:rsidR="003F0D95" w:rsidRPr="00722885" w:rsidRDefault="003F0D95" w:rsidP="00722885">
      <w:pPr>
        <w:spacing w:after="0" w:line="240" w:lineRule="auto"/>
        <w:jc w:val="both"/>
        <w:rPr>
          <w:rFonts w:ascii="Times New Roman" w:hAnsi="Times New Roman"/>
          <w:color w:val="000000" w:themeColor="text1"/>
          <w:sz w:val="16"/>
          <w:szCs w:val="16"/>
        </w:rPr>
      </w:pPr>
    </w:p>
    <w:p w14:paraId="7534EE3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21 декабря 1942 англичане освободили Бенгази в Ливии (3907,237).</w:t>
      </w:r>
    </w:p>
    <w:p w14:paraId="0AA2F365" w14:textId="77777777" w:rsidR="00BB6316" w:rsidRPr="00722885" w:rsidRDefault="00BB6316" w:rsidP="00722885">
      <w:pPr>
        <w:pStyle w:val="Iauiue"/>
        <w:jc w:val="both"/>
        <w:rPr>
          <w:color w:val="000000" w:themeColor="text1"/>
          <w:sz w:val="16"/>
          <w:szCs w:val="16"/>
        </w:rPr>
      </w:pPr>
    </w:p>
    <w:p w14:paraId="28602DA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21 декабря 1942 английские и индийские войска пересекли границу Бирмы (2261).</w:t>
      </w:r>
    </w:p>
    <w:p w14:paraId="0CC42FD8" w14:textId="77777777" w:rsidR="00BB6316" w:rsidRPr="00722885" w:rsidRDefault="00BB6316" w:rsidP="00722885">
      <w:pPr>
        <w:pStyle w:val="Iauiue"/>
        <w:jc w:val="both"/>
        <w:rPr>
          <w:color w:val="000000" w:themeColor="text1"/>
          <w:sz w:val="16"/>
          <w:szCs w:val="16"/>
        </w:rPr>
      </w:pPr>
    </w:p>
    <w:p w14:paraId="5D6C329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ADD520D" w14:textId="77777777" w:rsidR="00BB6316" w:rsidRPr="00722885" w:rsidRDefault="00BB6316" w:rsidP="00722885">
      <w:pPr>
        <w:pStyle w:val="Iauiue"/>
        <w:jc w:val="both"/>
        <w:rPr>
          <w:iCs/>
          <w:color w:val="000000" w:themeColor="text1"/>
          <w:sz w:val="16"/>
          <w:szCs w:val="16"/>
        </w:rPr>
      </w:pPr>
    </w:p>
    <w:p w14:paraId="37A180F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декабря 1942 г. состоялись полигонные стрельбы из ШФК-37 с Ил-2 в воздухе в ходе облета летным составом 688-го шап новых самоле</w:t>
      </w:r>
      <w:r w:rsidRPr="00722885">
        <w:rPr>
          <w:rFonts w:ascii="Times New Roman" w:hAnsi="Times New Roman"/>
          <w:color w:val="000000" w:themeColor="text1"/>
          <w:sz w:val="16"/>
          <w:szCs w:val="16"/>
        </w:rPr>
        <w:softHyphen/>
        <w:t>тов. Летали пять летчиков разной квалификации. Оказалось, что кучность стрельбы из пушек была довольно приличной, хо</w:t>
      </w:r>
      <w:r w:rsidRPr="00722885">
        <w:rPr>
          <w:rFonts w:ascii="Times New Roman" w:hAnsi="Times New Roman"/>
          <w:color w:val="000000" w:themeColor="text1"/>
          <w:sz w:val="16"/>
          <w:szCs w:val="16"/>
        </w:rPr>
        <w:softHyphen/>
        <w:t>тя сама стрельба — неточной. Большая часть снарядов (из 153 штук) легла в 4—5 метрах в стороне от цели (щит в виде квадра</w:t>
      </w:r>
      <w:r w:rsidRPr="00722885">
        <w:rPr>
          <w:rFonts w:ascii="Times New Roman" w:hAnsi="Times New Roman"/>
          <w:color w:val="000000" w:themeColor="text1"/>
          <w:sz w:val="16"/>
          <w:szCs w:val="16"/>
        </w:rPr>
        <w:softHyphen/>
        <w:t>та со стороной 6 м), остальные — в 12—15 м. Только командиру полка капитану Склярову удалось поразить щит двумя снаряда</w:t>
      </w:r>
      <w:r w:rsidRPr="00722885">
        <w:rPr>
          <w:rFonts w:ascii="Times New Roman" w:hAnsi="Times New Roman"/>
          <w:color w:val="000000" w:themeColor="text1"/>
          <w:sz w:val="16"/>
          <w:szCs w:val="16"/>
        </w:rPr>
        <w:softHyphen/>
        <w:t>ми. Вторым по результативности оказался капитан Копаев. Низкий процент попадания в щит объясняется большими дис</w:t>
      </w:r>
      <w:r w:rsidRPr="00722885">
        <w:rPr>
          <w:rFonts w:ascii="Times New Roman" w:hAnsi="Times New Roman"/>
          <w:color w:val="000000" w:themeColor="text1"/>
          <w:sz w:val="16"/>
          <w:szCs w:val="16"/>
        </w:rPr>
        <w:softHyphen/>
        <w:t>танциями стрельбы — начало стрельбы 800—900 м и окончание 500—400 м, а также «недостатками освоения техники пилотиро</w:t>
      </w:r>
      <w:r w:rsidRPr="00722885">
        <w:rPr>
          <w:rFonts w:ascii="Times New Roman" w:hAnsi="Times New Roman"/>
          <w:color w:val="000000" w:themeColor="text1"/>
          <w:sz w:val="16"/>
          <w:szCs w:val="16"/>
        </w:rPr>
        <w:softHyphen/>
        <w:t>вания этим самолетом и ведения огня из пушек калибра 37 мм». Надо полагать, условия стрельбы в реальном бою были такими же или хуже. В выводах отчета летчики отмечали, что для пора</w:t>
      </w:r>
      <w:r w:rsidRPr="00722885">
        <w:rPr>
          <w:rFonts w:ascii="Times New Roman" w:hAnsi="Times New Roman"/>
          <w:color w:val="000000" w:themeColor="text1"/>
          <w:sz w:val="16"/>
          <w:szCs w:val="16"/>
        </w:rPr>
        <w:softHyphen/>
        <w:t>жения наземных целей из ШФК-37 прицельный огонь должен открываться на дистанции не более 500 м и вестись до 200—250 м очередями в 5—7 выстрелов. При этом «стрельба с самолетов Ил-2, вооруженных 37-мм пушками, производит большое моральное действие», а «применение огня из этих пу</w:t>
      </w:r>
      <w:r w:rsidRPr="00722885">
        <w:rPr>
          <w:rFonts w:ascii="Times New Roman" w:hAnsi="Times New Roman"/>
          <w:color w:val="000000" w:themeColor="text1"/>
          <w:sz w:val="16"/>
          <w:szCs w:val="16"/>
        </w:rPr>
        <w:softHyphen/>
        <w:t>шек против танков даст лучший эффект, нежели авиабомбы».</w:t>
      </w:r>
    </w:p>
    <w:p w14:paraId="49DE093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Летчик--испытатель заместитель начальника ЛИС завода № 18 подполковник Е. Н. Ломакин в ходе приемо-сдаточных испытаний самолетов Ил-2 с ШФК-37 никаких особенностей в пилотировании и применении штурмовика не отмечал: «...1. Машина с пушками ШФК-37 устойчива в воздухе и ничем не отличается от машин серийного типа. 2. Для израсходования полного боекомплекта патронов необходимо делать не менее 4—5 заходов по 8—10 патронов в очереди. 3. Кучность попада</w:t>
      </w:r>
      <w:r w:rsidRPr="00722885">
        <w:rPr>
          <w:rFonts w:ascii="Times New Roman" w:hAnsi="Times New Roman"/>
          <w:color w:val="000000" w:themeColor="text1"/>
          <w:sz w:val="16"/>
          <w:szCs w:val="16"/>
        </w:rPr>
        <w:softHyphen/>
        <w:t>ний при стрельбе в воздухе хорошая».</w:t>
      </w:r>
    </w:p>
    <w:p w14:paraId="6614F36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Анализ документов показывает, что основной причиной негативного отношения летчиков 688-го шап к противотанко</w:t>
      </w:r>
      <w:r w:rsidRPr="00722885">
        <w:rPr>
          <w:rFonts w:ascii="Times New Roman" w:hAnsi="Times New Roman"/>
          <w:color w:val="000000" w:themeColor="text1"/>
          <w:sz w:val="16"/>
          <w:szCs w:val="16"/>
        </w:rPr>
        <w:softHyphen/>
        <w:t>вому Ил-2 стала все же ненадежная работа автоматики пушки. Почти каждый второй вылет на боевое задание Ил-2 с ШФК-37 сопровождался отказом хотя бы одной из пушек. Это обстоятельство нарушало нормальную боевую работу полка.</w:t>
      </w:r>
    </w:p>
    <w:p w14:paraId="4CCB720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«Большое количество поломок, задержек и отказов в работе пушек вызвало у летчиков неприятное чувство неуверенности в безотказной работе, и летчики поэтому часто с неохотой са</w:t>
      </w:r>
      <w:r w:rsidRPr="00722885">
        <w:rPr>
          <w:rFonts w:ascii="Times New Roman" w:hAnsi="Times New Roman"/>
          <w:color w:val="000000" w:themeColor="text1"/>
          <w:sz w:val="16"/>
          <w:szCs w:val="16"/>
        </w:rPr>
        <w:softHyphen/>
        <w:t>дились на эти самолеты», — докладывал своему руководству старший техник военного представительства 18-го завода стар</w:t>
      </w:r>
      <w:r w:rsidRPr="00722885">
        <w:rPr>
          <w:rFonts w:ascii="Times New Roman" w:hAnsi="Times New Roman"/>
          <w:color w:val="000000" w:themeColor="text1"/>
          <w:sz w:val="16"/>
          <w:szCs w:val="16"/>
        </w:rPr>
        <w:softHyphen/>
        <w:t>ший техник-лейтенант А. Г. Тишевский.</w:t>
      </w:r>
    </w:p>
    <w:p w14:paraId="33E1DFF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Положение осложнялось тем обстоятельством, что в полку отсутствовали запасные части к пушкам и ремонтный группо</w:t>
      </w:r>
      <w:r w:rsidRPr="00722885">
        <w:rPr>
          <w:rFonts w:ascii="Times New Roman" w:hAnsi="Times New Roman"/>
          <w:color w:val="000000" w:themeColor="text1"/>
          <w:sz w:val="16"/>
          <w:szCs w:val="16"/>
        </w:rPr>
        <w:softHyphen/>
        <w:t>вой комплект, так как завод № 18 отправил их по другому ад</w:t>
      </w:r>
      <w:r w:rsidRPr="00722885">
        <w:rPr>
          <w:rFonts w:ascii="Times New Roman" w:hAnsi="Times New Roman"/>
          <w:color w:val="000000" w:themeColor="text1"/>
          <w:sz w:val="16"/>
          <w:szCs w:val="16"/>
        </w:rPr>
        <w:softHyphen/>
        <w:t>ресу. Соответственно бригада специалистов от ОКБ-15 не мог</w:t>
      </w:r>
      <w:r w:rsidRPr="00722885">
        <w:rPr>
          <w:rFonts w:ascii="Times New Roman" w:hAnsi="Times New Roman"/>
          <w:color w:val="000000" w:themeColor="text1"/>
          <w:sz w:val="16"/>
          <w:szCs w:val="16"/>
        </w:rPr>
        <w:softHyphen/>
        <w:t>ла оперативно устранять отказы в работе и поломки пушек.</w:t>
      </w:r>
    </w:p>
    <w:p w14:paraId="7B5AD34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этой причине после выхода из строя ряда деталей с трех самолетов пушки были сняты и они вылетали на боевые зада</w:t>
      </w:r>
      <w:r w:rsidRPr="00722885">
        <w:rPr>
          <w:rFonts w:ascii="Times New Roman" w:hAnsi="Times New Roman"/>
          <w:color w:val="000000" w:themeColor="text1"/>
          <w:sz w:val="16"/>
          <w:szCs w:val="16"/>
        </w:rPr>
        <w:softHyphen/>
        <w:t>ния с бомбовой нагрузкой в 600 кг, 8 РС-32 и боекомплектом к пулеметам. Часть самолетов вылетала на боевые задания с од</w:t>
      </w:r>
      <w:r w:rsidRPr="00722885">
        <w:rPr>
          <w:rFonts w:ascii="Times New Roman" w:hAnsi="Times New Roman"/>
          <w:color w:val="000000" w:themeColor="text1"/>
          <w:sz w:val="16"/>
          <w:szCs w:val="16"/>
        </w:rPr>
        <w:softHyphen/>
        <w:t>ной исправной пушкой, а часть и с обеими неисправными пушками, используя в бою только реактивные снаряды, бомбы и пулеметы (11474,335).</w:t>
      </w:r>
    </w:p>
    <w:p w14:paraId="66678F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E056D71"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22 декабря 1942 состоялся облет Ил-2 Ш-37 лет</w:t>
      </w:r>
      <w:r w:rsidRPr="00722885">
        <w:rPr>
          <w:color w:val="000000" w:themeColor="text1"/>
          <w:sz w:val="16"/>
          <w:szCs w:val="16"/>
        </w:rPr>
        <w:softHyphen/>
        <w:t>ным составом полка с учебными стрельбами по на</w:t>
      </w:r>
      <w:r w:rsidRPr="00722885">
        <w:rPr>
          <w:color w:val="000000" w:themeColor="text1"/>
          <w:sz w:val="16"/>
          <w:szCs w:val="16"/>
        </w:rPr>
        <w:softHyphen/>
        <w:t>земной мишени.</w:t>
      </w:r>
    </w:p>
    <w:p w14:paraId="21444F16"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день 228-я шад боевой работы не вела по причине сложных метеоусловий (облачность 10 баллов, временами снегопад, утром выпал ту</w:t>
      </w:r>
      <w:r w:rsidRPr="00722885">
        <w:rPr>
          <w:color w:val="000000" w:themeColor="text1"/>
          <w:sz w:val="16"/>
          <w:szCs w:val="16"/>
        </w:rPr>
        <w:softHyphen/>
        <w:t>ман), но готовность к вылету с ночных экипажей не снималась.</w:t>
      </w:r>
    </w:p>
    <w:p w14:paraId="549AB9F6"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Учитывая эти обстоятельства, решили выпол</w:t>
      </w:r>
      <w:r w:rsidRPr="00722885">
        <w:rPr>
          <w:color w:val="000000" w:themeColor="text1"/>
          <w:sz w:val="16"/>
          <w:szCs w:val="16"/>
        </w:rPr>
        <w:softHyphen/>
        <w:t>нить тренировочные полеты по кругу на облет но</w:t>
      </w:r>
      <w:r w:rsidRPr="00722885">
        <w:rPr>
          <w:color w:val="000000" w:themeColor="text1"/>
          <w:sz w:val="16"/>
          <w:szCs w:val="16"/>
        </w:rPr>
        <w:softHyphen/>
        <w:t>вых самолетов Ил-2 с пушками Ш-37 и отстреляться из них по мишени.</w:t>
      </w:r>
    </w:p>
    <w:p w14:paraId="4EDCEA55"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Летали 5 летчиков разной квалификации на 6 самолетах: капитан Скляров, капитан Копаев, лей</w:t>
      </w:r>
      <w:r w:rsidRPr="00722885">
        <w:rPr>
          <w:color w:val="000000" w:themeColor="text1"/>
          <w:sz w:val="16"/>
          <w:szCs w:val="16"/>
        </w:rPr>
        <w:softHyphen/>
        <w:t>тенант Бибишев, старшина Гололобов, лейтенант Михайленко. Всего было выполнено 10 самолето</w:t>
      </w:r>
      <w:r w:rsidRPr="00722885">
        <w:rPr>
          <w:color w:val="000000" w:themeColor="text1"/>
          <w:sz w:val="16"/>
          <w:szCs w:val="16"/>
        </w:rPr>
        <w:softHyphen/>
        <w:t>вылетов с суммарным налетом 3 ч 17 мин.</w:t>
      </w:r>
    </w:p>
    <w:p w14:paraId="0C16A22A"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Оказалось, что кучность стрельбы из пушек бы</w:t>
      </w:r>
      <w:r w:rsidRPr="00722885">
        <w:rPr>
          <w:color w:val="000000" w:themeColor="text1"/>
          <w:sz w:val="16"/>
          <w:szCs w:val="16"/>
        </w:rPr>
        <w:softHyphen/>
        <w:t>ла довольно приличной, хотя сама стрельба — не</w:t>
      </w:r>
      <w:r w:rsidRPr="00722885">
        <w:rPr>
          <w:color w:val="000000" w:themeColor="text1"/>
          <w:sz w:val="16"/>
          <w:szCs w:val="16"/>
        </w:rPr>
        <w:softHyphen/>
        <w:t>точной. Большая часть снарядов (из 153 штук) легла в 4—5 метрах в стороне от цели (щит в виде ква</w:t>
      </w:r>
      <w:r w:rsidRPr="00722885">
        <w:rPr>
          <w:color w:val="000000" w:themeColor="text1"/>
          <w:sz w:val="16"/>
          <w:szCs w:val="16"/>
        </w:rPr>
        <w:softHyphen/>
        <w:t>драта со стороной 6 м), остальные — в 12—15 м. Только командиру полка капитану Склярову уда</w:t>
      </w:r>
      <w:r w:rsidRPr="00722885">
        <w:rPr>
          <w:color w:val="000000" w:themeColor="text1"/>
          <w:sz w:val="16"/>
          <w:szCs w:val="16"/>
        </w:rPr>
        <w:softHyphen/>
        <w:t>лось поразить щит 2 снарядами. Вторым по резуль</w:t>
      </w:r>
      <w:r w:rsidRPr="00722885">
        <w:rPr>
          <w:color w:val="000000" w:themeColor="text1"/>
          <w:sz w:val="16"/>
          <w:szCs w:val="16"/>
        </w:rPr>
        <w:softHyphen/>
        <w:t>тативности оказался капитан Копаев. Низкий про</w:t>
      </w:r>
      <w:r w:rsidRPr="00722885">
        <w:rPr>
          <w:color w:val="000000" w:themeColor="text1"/>
          <w:sz w:val="16"/>
          <w:szCs w:val="16"/>
        </w:rPr>
        <w:softHyphen/>
        <w:t>цент попадания в щит объяснялся большими дис</w:t>
      </w:r>
      <w:r w:rsidRPr="00722885">
        <w:rPr>
          <w:color w:val="000000" w:themeColor="text1"/>
          <w:sz w:val="16"/>
          <w:szCs w:val="16"/>
        </w:rPr>
        <w:softHyphen/>
        <w:t>танциями стрельбы — начало стрельбы 800—900 м и окончание 500—400 м, а также «недостатками освоения техники пилотирования этим самолетом и ведения огня из пушек калибра 37 мм». Кроме этого, по сложившейся в полку практике стрельбы из пушек ВЯ и ШВАК и пулеметов ШКАС летчики вели прицеливание «с недолетом с последующим уменьшением угла пикирования с целью пересече</w:t>
      </w:r>
      <w:r w:rsidRPr="00722885">
        <w:rPr>
          <w:color w:val="000000" w:themeColor="text1"/>
          <w:sz w:val="16"/>
          <w:szCs w:val="16"/>
        </w:rPr>
        <w:softHyphen/>
        <w:t>ния трассой цели», что «для пушки 37 мм неприме</w:t>
      </w:r>
      <w:r w:rsidRPr="00722885">
        <w:rPr>
          <w:color w:val="000000" w:themeColor="text1"/>
          <w:sz w:val="16"/>
          <w:szCs w:val="16"/>
        </w:rPr>
        <w:softHyphen/>
        <w:t>нимо вследствие небольшого темпа стрельбы». Во всех случаях стрельба велась очередями по 2—3 снаряда, так как летный состав привык «к ведению огня из оружия высокого темпа стрельбы».</w:t>
      </w:r>
    </w:p>
    <w:p w14:paraId="5B57CC38"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условия стрельбы, соответствен</w:t>
      </w:r>
      <w:r w:rsidRPr="00722885">
        <w:rPr>
          <w:color w:val="000000" w:themeColor="text1"/>
          <w:sz w:val="16"/>
          <w:szCs w:val="16"/>
        </w:rPr>
        <w:softHyphen/>
        <w:t>но, и результаты стрельбы в реальном бою были бы такими же или хуже.</w:t>
      </w:r>
    </w:p>
    <w:p w14:paraId="52426B91"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выводах отчета «О произведенном отстреле 37-мм пушек, установленных на Ил-2 в 688-м шап 228-й шад» отмечалось, что для поражения назем</w:t>
      </w:r>
      <w:r w:rsidRPr="00722885">
        <w:rPr>
          <w:color w:val="000000" w:themeColor="text1"/>
          <w:sz w:val="16"/>
          <w:szCs w:val="16"/>
        </w:rPr>
        <w:softHyphen/>
        <w:t>ных целей из пушек Ш-37 прицельный огонь дол</w:t>
      </w:r>
      <w:r w:rsidRPr="00722885">
        <w:rPr>
          <w:color w:val="000000" w:themeColor="text1"/>
          <w:sz w:val="16"/>
          <w:szCs w:val="16"/>
        </w:rPr>
        <w:softHyphen/>
        <w:t>жен открываться на дистанции не более 500 м и ве</w:t>
      </w:r>
      <w:r w:rsidRPr="00722885">
        <w:rPr>
          <w:color w:val="000000" w:themeColor="text1"/>
          <w:sz w:val="16"/>
          <w:szCs w:val="16"/>
        </w:rPr>
        <w:softHyphen/>
        <w:t>стись до 200—250 м очередями в 5—7 выстрелов.</w:t>
      </w:r>
    </w:p>
    <w:p w14:paraId="592570BE"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Наиболее выгодными целями с точки зрения наибольшего эффекта от применения пушек кали</w:t>
      </w:r>
      <w:r w:rsidRPr="00722885">
        <w:rPr>
          <w:color w:val="000000" w:themeColor="text1"/>
          <w:sz w:val="16"/>
          <w:szCs w:val="16"/>
        </w:rPr>
        <w:softHyphen/>
        <w:t>бра 37 мм считались танки, бронемашины, броне</w:t>
      </w:r>
      <w:r w:rsidRPr="00722885">
        <w:rPr>
          <w:color w:val="000000" w:themeColor="text1"/>
          <w:sz w:val="16"/>
          <w:szCs w:val="16"/>
        </w:rPr>
        <w:softHyphen/>
        <w:t>поезда, суда малого тоннажа, самолеты, артилле</w:t>
      </w:r>
      <w:r w:rsidRPr="00722885">
        <w:rPr>
          <w:color w:val="000000" w:themeColor="text1"/>
          <w:sz w:val="16"/>
          <w:szCs w:val="16"/>
        </w:rPr>
        <w:softHyphen/>
        <w:t>рийские позиции, склады боеприпасов и горючего. При этом «стрельба с самолетов Ил-2, вооруженных 37-мм пушками,</w:t>
      </w:r>
    </w:p>
    <w:p w14:paraId="0C63056A"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производит большое моральное действие и может эффективно применяться в днев</w:t>
      </w:r>
      <w:r w:rsidRPr="00722885">
        <w:rPr>
          <w:color w:val="000000" w:themeColor="text1"/>
          <w:sz w:val="16"/>
          <w:szCs w:val="16"/>
        </w:rPr>
        <w:softHyphen/>
        <w:t>ных условиях», а «применение огня из этих пушек против танков даст лучший эффект, нежели авиа</w:t>
      </w:r>
      <w:r w:rsidRPr="00722885">
        <w:rPr>
          <w:color w:val="000000" w:themeColor="text1"/>
          <w:sz w:val="16"/>
          <w:szCs w:val="16"/>
        </w:rPr>
        <w:softHyphen/>
        <w:t>бомбы».</w:t>
      </w:r>
    </w:p>
    <w:p w14:paraId="4DD3658F"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технике пилотирования Ил-2 с Ш-37 оцени</w:t>
      </w:r>
      <w:r w:rsidRPr="00722885">
        <w:rPr>
          <w:color w:val="000000" w:themeColor="text1"/>
          <w:sz w:val="16"/>
          <w:szCs w:val="16"/>
        </w:rPr>
        <w:softHyphen/>
        <w:t>вался в целом не хуже «прежних образцов, несущих нормальный вариант бомб, но скорость меньше на 15—20 км/ч, а также несколько сложный маневр».</w:t>
      </w:r>
    </w:p>
    <w:p w14:paraId="41EC05AD"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 обошлось без недостатков. Так, на Ил-2 зав. № 1878029 при стрельбе по мишени произошел отказ одной пушки (зав. № Г-146). Самолет развер</w:t>
      </w:r>
      <w:r w:rsidRPr="00722885">
        <w:rPr>
          <w:color w:val="000000" w:themeColor="text1"/>
          <w:sz w:val="16"/>
          <w:szCs w:val="16"/>
        </w:rPr>
        <w:softHyphen/>
        <w:t>нуло, очередь ушла далеко мимо цели. При по</w:t>
      </w:r>
      <w:r w:rsidRPr="00722885">
        <w:rPr>
          <w:color w:val="000000" w:themeColor="text1"/>
          <w:sz w:val="16"/>
          <w:szCs w:val="16"/>
        </w:rPr>
        <w:softHyphen/>
        <w:t>вторном заходе лейтенант Бибишев при стрельбе не смог удержать линию визирования на цели, так как самолет разворачивало в сторону стреляющей пушки. При осмотре оказалось, что отказ в работе пушки произошел «по причине неотдачи частей в крайнее заднее положение вследствие недоста</w:t>
      </w:r>
      <w:r w:rsidRPr="00722885">
        <w:rPr>
          <w:color w:val="000000" w:themeColor="text1"/>
          <w:sz w:val="16"/>
          <w:szCs w:val="16"/>
        </w:rPr>
        <w:softHyphen/>
        <w:t>точного отверстия (5 мм) газового диффузора для условий зимней эксплуатации».</w:t>
      </w:r>
    </w:p>
    <w:p w14:paraId="16A298D0"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самолете Ил-2 зав. 1879928 из-за неисправ</w:t>
      </w:r>
      <w:r w:rsidRPr="00722885">
        <w:rPr>
          <w:color w:val="000000" w:themeColor="text1"/>
          <w:sz w:val="16"/>
          <w:szCs w:val="16"/>
        </w:rPr>
        <w:softHyphen/>
        <w:t>ности проводки электромагнитного спуска отказа</w:t>
      </w:r>
      <w:r w:rsidRPr="00722885">
        <w:rPr>
          <w:color w:val="000000" w:themeColor="text1"/>
          <w:sz w:val="16"/>
          <w:szCs w:val="16"/>
        </w:rPr>
        <w:softHyphen/>
        <w:t>ли в работе пушки зав. № С-107 и № С-108. При по</w:t>
      </w:r>
      <w:r w:rsidRPr="00722885">
        <w:rPr>
          <w:color w:val="000000" w:themeColor="text1"/>
          <w:sz w:val="16"/>
          <w:szCs w:val="16"/>
        </w:rPr>
        <w:softHyphen/>
        <w:t>вторном вылете самолет пришлось заменить.</w:t>
      </w:r>
    </w:p>
    <w:p w14:paraId="76CD2AAB"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Тем не менее, несмотря на выявленные не</w:t>
      </w:r>
      <w:r w:rsidRPr="00722885">
        <w:rPr>
          <w:color w:val="000000" w:themeColor="text1"/>
          <w:sz w:val="16"/>
          <w:szCs w:val="16"/>
        </w:rPr>
        <w:softHyphen/>
        <w:t>достатки пушек и их пушечных установок, в за</w:t>
      </w:r>
      <w:r w:rsidRPr="00722885">
        <w:rPr>
          <w:color w:val="000000" w:themeColor="text1"/>
          <w:sz w:val="16"/>
          <w:szCs w:val="16"/>
        </w:rPr>
        <w:softHyphen/>
        <w:t>ключение отчета был сделан вывод, что «в экс</w:t>
      </w:r>
      <w:r w:rsidRPr="00722885">
        <w:rPr>
          <w:color w:val="000000" w:themeColor="text1"/>
          <w:sz w:val="16"/>
          <w:szCs w:val="16"/>
        </w:rPr>
        <w:softHyphen/>
        <w:t>плуатации пушки просты и при грамотном уходе безотказны в работе», а «самолет Ил-2 с 2 пушка</w:t>
      </w:r>
      <w:r w:rsidRPr="00722885">
        <w:rPr>
          <w:color w:val="000000" w:themeColor="text1"/>
          <w:sz w:val="16"/>
          <w:szCs w:val="16"/>
        </w:rPr>
        <w:softHyphen/>
        <w:t>ми калибра 37 мм конструкции тов. Шпитального обладает мощным огнем и хорошей кучностью стрельбы». При этом «в целях сохранения само</w:t>
      </w:r>
      <w:r w:rsidRPr="00722885">
        <w:rPr>
          <w:color w:val="000000" w:themeColor="text1"/>
          <w:sz w:val="16"/>
          <w:szCs w:val="16"/>
        </w:rPr>
        <w:softHyphen/>
        <w:t>летов Ил-2 с пушками 37 мм и глубокого и всесто</w:t>
      </w:r>
      <w:r w:rsidRPr="00722885">
        <w:rPr>
          <w:color w:val="000000" w:themeColor="text1"/>
          <w:sz w:val="16"/>
          <w:szCs w:val="16"/>
        </w:rPr>
        <w:softHyphen/>
        <w:t>роннего изучения боевых свойств» считалось не</w:t>
      </w:r>
      <w:r w:rsidRPr="00722885">
        <w:rPr>
          <w:color w:val="000000" w:themeColor="text1"/>
          <w:sz w:val="16"/>
          <w:szCs w:val="16"/>
        </w:rPr>
        <w:softHyphen/>
        <w:t>обходимым «прикрыть их истребителями в соотно</w:t>
      </w:r>
      <w:r w:rsidRPr="00722885">
        <w:rPr>
          <w:color w:val="000000" w:themeColor="text1"/>
          <w:sz w:val="16"/>
          <w:szCs w:val="16"/>
        </w:rPr>
        <w:softHyphen/>
        <w:t>шении 1:2».</w:t>
      </w:r>
    </w:p>
    <w:p w14:paraId="37EACA6C"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Отчет подписали командир полка капитан Скля</w:t>
      </w:r>
      <w:r w:rsidRPr="00722885">
        <w:rPr>
          <w:color w:val="000000" w:themeColor="text1"/>
          <w:sz w:val="16"/>
          <w:szCs w:val="16"/>
        </w:rPr>
        <w:softHyphen/>
        <w:t>ров, начальник воздушно-стрелковой службы 228-й шад инженер-капитан Поветкин, инженер дивизии по вооружению старший техник-лейтенант Алек- сеенко и помощник начальника воздушно-стрел</w:t>
      </w:r>
      <w:r w:rsidRPr="00722885">
        <w:rPr>
          <w:color w:val="000000" w:themeColor="text1"/>
          <w:sz w:val="16"/>
          <w:szCs w:val="16"/>
        </w:rPr>
        <w:softHyphen/>
        <w:t>ковой службы 16-й воздушной армии старший тех</w:t>
      </w:r>
      <w:r w:rsidRPr="00722885">
        <w:rPr>
          <w:color w:val="000000" w:themeColor="text1"/>
          <w:sz w:val="16"/>
          <w:szCs w:val="16"/>
        </w:rPr>
        <w:softHyphen/>
        <w:t>ник-лейтенант Осьмачко.</w:t>
      </w:r>
    </w:p>
    <w:p w14:paraId="45646514"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отчетом и докладом команди</w:t>
      </w:r>
      <w:r w:rsidRPr="00722885">
        <w:rPr>
          <w:color w:val="000000" w:themeColor="text1"/>
          <w:sz w:val="16"/>
          <w:szCs w:val="16"/>
        </w:rPr>
        <w:softHyphen/>
        <w:t>ра 228-й шад полковника Г. О. Комарова, командую</w:t>
      </w:r>
      <w:r w:rsidRPr="00722885">
        <w:rPr>
          <w:color w:val="000000" w:themeColor="text1"/>
          <w:sz w:val="16"/>
          <w:szCs w:val="16"/>
        </w:rPr>
        <w:softHyphen/>
        <w:t>щий 16 ВА генерал-майор С. И. Руденко 30 декабря наложил резолюцию: «Предлагаю тренировать лет</w:t>
      </w:r>
      <w:r w:rsidRPr="00722885">
        <w:rPr>
          <w:color w:val="000000" w:themeColor="text1"/>
          <w:sz w:val="16"/>
          <w:szCs w:val="16"/>
        </w:rPr>
        <w:softHyphen/>
        <w:t>ный состав в строевой части. Начальник штаба — подготовить доклад командующему ВВС КА».</w:t>
      </w:r>
    </w:p>
    <w:p w14:paraId="378693EC"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Тем временем группа противотанковых Ил-2 уже вылетала на боевые действия. Боевая работа велась с полевых аэродромов Б. Ивановка и стани</w:t>
      </w:r>
      <w:r w:rsidRPr="00722885">
        <w:rPr>
          <w:color w:val="000000" w:themeColor="text1"/>
          <w:sz w:val="16"/>
          <w:szCs w:val="16"/>
        </w:rPr>
        <w:softHyphen/>
        <w:t>ца Качалинская.</w:t>
      </w:r>
    </w:p>
    <w:p w14:paraId="40E58E8A"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Первый боевой вылет Ил-2 с пушками Ш-37 состоялся 25 декабря.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 сошка вылетел младший лейтенант Малявин на са</w:t>
      </w:r>
      <w:r w:rsidRPr="00722885">
        <w:rPr>
          <w:color w:val="000000" w:themeColor="text1"/>
          <w:sz w:val="16"/>
          <w:szCs w:val="16"/>
        </w:rPr>
        <w:softHyphen/>
        <w:t>молете зав. № 1879029. Штурмовиков прикрывали 4 Як-1 от 220-й иад.</w:t>
      </w:r>
    </w:p>
    <w:p w14:paraId="419A1AC0"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722885">
        <w:rPr>
          <w:color w:val="000000" w:themeColor="text1"/>
          <w:sz w:val="16"/>
          <w:szCs w:val="16"/>
          <w:lang w:val="en-US"/>
        </w:rPr>
        <w:t>Ju</w:t>
      </w:r>
      <w:r w:rsidRPr="00722885">
        <w:rPr>
          <w:color w:val="000000" w:themeColor="text1"/>
          <w:sz w:val="16"/>
          <w:szCs w:val="16"/>
        </w:rPr>
        <w:t>52. Экипажи отработали по ним с пикирования снача</w:t>
      </w:r>
      <w:r w:rsidRPr="00722885">
        <w:rPr>
          <w:color w:val="000000" w:themeColor="text1"/>
          <w:sz w:val="16"/>
          <w:szCs w:val="16"/>
        </w:rPr>
        <w:softHyphen/>
        <w:t>ла ракетными снарядами, затем пулеметно-пушеч- ным огнем и на выходе из пикирования бомбами ФАБ-100 и АО-25. Потери противника оценивались в 5 уничтоженных и поврежденных самолетов.</w:t>
      </w:r>
    </w:p>
    <w:p w14:paraId="500110B0"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районе цели был сильный зенитный огонь. Ис</w:t>
      </w:r>
      <w:r w:rsidRPr="00722885">
        <w:rPr>
          <w:color w:val="000000" w:themeColor="text1"/>
          <w:sz w:val="16"/>
          <w:szCs w:val="16"/>
        </w:rPr>
        <w:softHyphen/>
        <w:t>требительной авиации противника экипажи не на</w:t>
      </w:r>
      <w:r w:rsidRPr="00722885">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53EA2114"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5803E0BE"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При отходе от цели был потерян из виду проти</w:t>
      </w:r>
      <w:r w:rsidRPr="00722885">
        <w:rPr>
          <w:color w:val="000000" w:themeColor="text1"/>
          <w:sz w:val="16"/>
          <w:szCs w:val="16"/>
        </w:rPr>
        <w:softHyphen/>
        <w:t>вотанковый Ил-2. На свой аэродром младший лей</w:t>
      </w:r>
      <w:r w:rsidRPr="00722885">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722885">
        <w:rPr>
          <w:color w:val="000000" w:themeColor="text1"/>
          <w:sz w:val="16"/>
          <w:szCs w:val="16"/>
        </w:rPr>
        <w:softHyphen/>
        <w:t>ного пункта Кузьмичи. Поиски самолета и летчика в этом районе ничего не дали.</w:t>
      </w:r>
    </w:p>
    <w:p w14:paraId="27D1C91E"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361D538C"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722885">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1E1AFEEC"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Первой под прикрытием 2 Як-1 от 220-й иад ра</w:t>
      </w:r>
      <w:r w:rsidRPr="00722885">
        <w:rPr>
          <w:color w:val="000000" w:themeColor="text1"/>
          <w:sz w:val="16"/>
          <w:szCs w:val="16"/>
        </w:rPr>
        <w:softHyphen/>
        <w:t>ботала пятерка капитана Гребенькова. Удар нано</w:t>
      </w:r>
      <w:r w:rsidRPr="00722885">
        <w:rPr>
          <w:color w:val="000000" w:themeColor="text1"/>
          <w:sz w:val="16"/>
          <w:szCs w:val="16"/>
        </w:rPr>
        <w:softHyphen/>
        <w:t>сился в период 12.13—12.18 по аэродрому Питом</w:t>
      </w:r>
      <w:r w:rsidRPr="00722885">
        <w:rPr>
          <w:color w:val="000000" w:themeColor="text1"/>
          <w:sz w:val="16"/>
          <w:szCs w:val="16"/>
        </w:rPr>
        <w:softHyphen/>
        <w:t xml:space="preserve">ник, на котором к этому времени находилось до 15 самолетов </w:t>
      </w:r>
      <w:r w:rsidRPr="00722885">
        <w:rPr>
          <w:color w:val="000000" w:themeColor="text1"/>
          <w:sz w:val="16"/>
          <w:szCs w:val="16"/>
          <w:lang w:val="en-US"/>
        </w:rPr>
        <w:t>Ju</w:t>
      </w:r>
      <w:r w:rsidRPr="00722885">
        <w:rPr>
          <w:color w:val="000000" w:themeColor="text1"/>
          <w:sz w:val="16"/>
          <w:szCs w:val="16"/>
        </w:rPr>
        <w:t>52. По докладам экипажей и ведуще</w:t>
      </w:r>
      <w:r w:rsidRPr="00722885">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722885">
        <w:rPr>
          <w:color w:val="000000" w:themeColor="text1"/>
          <w:sz w:val="16"/>
          <w:szCs w:val="16"/>
        </w:rPr>
        <w:softHyphen/>
        <w:t>нем из пушек Ш-37 с дистанции 500—600 м зажег один «Юнкерс».</w:t>
      </w:r>
    </w:p>
    <w:p w14:paraId="0CB26E24"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722885">
        <w:rPr>
          <w:color w:val="000000" w:themeColor="text1"/>
          <w:sz w:val="16"/>
          <w:szCs w:val="16"/>
        </w:rPr>
        <w:softHyphen/>
        <w:t>ты кок винта и правая плоскость крыла.</w:t>
      </w:r>
    </w:p>
    <w:p w14:paraId="34381CB7"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Вторая группа (ведущий лейтенант Михайлен- ков) — под прикрытием 6 Як-1 от 220-й иад в пе</w:t>
      </w:r>
      <w:r w:rsidRPr="00722885">
        <w:rPr>
          <w:color w:val="000000" w:themeColor="text1"/>
          <w:sz w:val="16"/>
          <w:szCs w:val="16"/>
        </w:rPr>
        <w:softHyphen/>
        <w:t xml:space="preserve">риод 13.22—13.27 атаковала до 10—15 самолетов </w:t>
      </w:r>
      <w:r w:rsidRPr="00722885">
        <w:rPr>
          <w:color w:val="000000" w:themeColor="text1"/>
          <w:sz w:val="16"/>
          <w:szCs w:val="16"/>
          <w:lang w:val="en-US"/>
        </w:rPr>
        <w:t>Ju</w:t>
      </w:r>
      <w:r w:rsidRPr="00722885">
        <w:rPr>
          <w:color w:val="000000" w:themeColor="text1"/>
          <w:sz w:val="16"/>
          <w:szCs w:val="16"/>
        </w:rPr>
        <w:t>52 на аэродроме Большая Россошка. Потери про</w:t>
      </w:r>
      <w:r w:rsidRPr="00722885">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722885">
        <w:rPr>
          <w:color w:val="000000" w:themeColor="text1"/>
          <w:sz w:val="16"/>
          <w:szCs w:val="16"/>
        </w:rPr>
        <w:softHyphen/>
        <w:t>телей противника летчики не наблюдали. Свои по</w:t>
      </w:r>
      <w:r w:rsidRPr="00722885">
        <w:rPr>
          <w:color w:val="000000" w:themeColor="text1"/>
          <w:sz w:val="16"/>
          <w:szCs w:val="16"/>
        </w:rPr>
        <w:softHyphen/>
        <w:t>тери составили 1 Ил-2 (зав. № 0915), который был подбит над целью огнем «эрликонов» и предполо</w:t>
      </w:r>
      <w:r w:rsidRPr="00722885">
        <w:rPr>
          <w:color w:val="000000" w:themeColor="text1"/>
          <w:sz w:val="16"/>
          <w:szCs w:val="16"/>
        </w:rPr>
        <w:softHyphen/>
        <w:t>жительно сел на территории противника при отхо</w:t>
      </w:r>
      <w:r w:rsidRPr="00722885">
        <w:rPr>
          <w:color w:val="000000" w:themeColor="text1"/>
          <w:sz w:val="16"/>
          <w:szCs w:val="16"/>
        </w:rPr>
        <w:softHyphen/>
        <w:t>де от цели. Сержант Меркушев с боевого задания не вернулся, пропал без вести.</w:t>
      </w:r>
    </w:p>
    <w:p w14:paraId="67B276D0"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722885">
        <w:rPr>
          <w:color w:val="000000" w:themeColor="text1"/>
          <w:sz w:val="16"/>
          <w:szCs w:val="16"/>
        </w:rPr>
        <w:softHyphen/>
        <w:t>дов. Маневренность самолетов при такой нагруз</w:t>
      </w:r>
      <w:r w:rsidRPr="00722885">
        <w:rPr>
          <w:color w:val="000000" w:themeColor="text1"/>
          <w:sz w:val="16"/>
          <w:szCs w:val="16"/>
        </w:rPr>
        <w:softHyphen/>
        <w:t>ке практически ничем не отличалась от серийных Ил-2 с пушками ВЯ и ШВАК.</w:t>
      </w:r>
    </w:p>
    <w:p w14:paraId="4484FDB4"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«большими» пушками шли на задание в одном боевом строю с серийными штур</w:t>
      </w:r>
      <w:r w:rsidRPr="00722885">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3D05AAB2"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докладам вылетавших на Ил-2 с Ш-37 лет</w:t>
      </w:r>
      <w:r w:rsidRPr="00722885">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1D72535F"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722885">
        <w:rPr>
          <w:color w:val="000000" w:themeColor="text1"/>
          <w:sz w:val="16"/>
          <w:szCs w:val="16"/>
        </w:rPr>
        <w:softHyphen/>
        <w:t>ры наносились в период 12.42—13.00 двумя груп</w:t>
      </w:r>
      <w:r w:rsidRPr="00722885">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722885">
        <w:rPr>
          <w:color w:val="000000" w:themeColor="text1"/>
          <w:sz w:val="16"/>
          <w:szCs w:val="16"/>
        </w:rPr>
        <w:softHyphen/>
        <w:t>нили 3 захода на цели из боевого порядка круг. Ис</w:t>
      </w:r>
      <w:r w:rsidRPr="00722885">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45F51BC8"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6737B14E"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посадки сержант Зыков доложил, что «ма</w:t>
      </w:r>
      <w:r w:rsidRPr="00722885">
        <w:rPr>
          <w:color w:val="000000" w:themeColor="text1"/>
          <w:sz w:val="16"/>
          <w:szCs w:val="16"/>
        </w:rPr>
        <w:softHyphen/>
        <w:t>неврирует самолет хорошо, при ведении огня пе</w:t>
      </w:r>
      <w:r w:rsidRPr="00722885">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722885">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722885">
        <w:rPr>
          <w:color w:val="000000" w:themeColor="text1"/>
          <w:sz w:val="16"/>
          <w:szCs w:val="16"/>
        </w:rPr>
        <w:softHyphen/>
        <w:t>денция самолета к развороту легко парируется ру</w:t>
      </w:r>
      <w:r w:rsidRPr="00722885">
        <w:rPr>
          <w:color w:val="000000" w:themeColor="text1"/>
          <w:sz w:val="16"/>
          <w:szCs w:val="16"/>
        </w:rPr>
        <w:softHyphen/>
        <w:t>лями». Эффективность стрельбы пушек по танкам и живой силе хорошая.</w:t>
      </w:r>
    </w:p>
    <w:p w14:paraId="5E99DB85"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самолетах Игнатьева и Дунова пушки рабо</w:t>
      </w:r>
      <w:r w:rsidRPr="00722885">
        <w:rPr>
          <w:color w:val="000000" w:themeColor="text1"/>
          <w:sz w:val="16"/>
          <w:szCs w:val="16"/>
        </w:rPr>
        <w:softHyphen/>
        <w:t>тали отлично. Летчикам удалось расстрелять весь боекомплект к ним.</w:t>
      </w:r>
    </w:p>
    <w:p w14:paraId="4F876385"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Отметим, что на Ил-2 Игнатьева, помимо ракет</w:t>
      </w:r>
      <w:r w:rsidRPr="00722885">
        <w:rPr>
          <w:color w:val="000000" w:themeColor="text1"/>
          <w:sz w:val="16"/>
          <w:szCs w:val="16"/>
        </w:rPr>
        <w:softHyphen/>
        <w:t>ных снарядов и полного боекомплекта к пушкам и пулеметам, были подвешены 2 фугасные авиабом</w:t>
      </w:r>
      <w:r w:rsidRPr="00722885">
        <w:rPr>
          <w:color w:val="000000" w:themeColor="text1"/>
          <w:sz w:val="16"/>
          <w:szCs w:val="16"/>
        </w:rPr>
        <w:softHyphen/>
        <w:t>бы ФАБ-100. При этом самолет хорошо маневриро</w:t>
      </w:r>
      <w:r w:rsidRPr="00722885">
        <w:rPr>
          <w:color w:val="000000" w:themeColor="text1"/>
          <w:sz w:val="16"/>
          <w:szCs w:val="16"/>
        </w:rPr>
        <w:softHyphen/>
        <w:t>вал и управлялся при всех условиях боя.</w:t>
      </w:r>
    </w:p>
    <w:p w14:paraId="1801B5DE"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 целям противника (ско</w:t>
      </w:r>
      <w:r w:rsidRPr="00722885">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722885">
        <w:rPr>
          <w:color w:val="000000" w:themeColor="text1"/>
          <w:sz w:val="16"/>
          <w:szCs w:val="16"/>
        </w:rPr>
        <w:softHyphen/>
        <w:t>та Кадомцева работала в районе балки Взрубная в период 14.10—14.20 под прикрытием 6 Як-1, а пя</w:t>
      </w:r>
      <w:r w:rsidRPr="00722885">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14AAC33E"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отходе от цели в районе Дмитриевка имел место воздушный бой с немецкими истребителя</w:t>
      </w:r>
      <w:r w:rsidRPr="00722885">
        <w:rPr>
          <w:color w:val="000000" w:themeColor="text1"/>
          <w:sz w:val="16"/>
          <w:szCs w:val="16"/>
        </w:rPr>
        <w:softHyphen/>
        <w:t xml:space="preserve">ми. Пара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G</w:t>
      </w:r>
      <w:r w:rsidRPr="00722885">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722885">
        <w:rPr>
          <w:color w:val="000000" w:themeColor="text1"/>
          <w:sz w:val="16"/>
          <w:szCs w:val="16"/>
        </w:rPr>
        <w:softHyphen/>
        <w:t>временно заметил противника. После этого в воз</w:t>
      </w:r>
      <w:r w:rsidRPr="00722885">
        <w:rPr>
          <w:color w:val="000000" w:themeColor="text1"/>
          <w:sz w:val="16"/>
          <w:szCs w:val="16"/>
        </w:rPr>
        <w:softHyphen/>
        <w:t>душный бой вступили истребители прикрытия, а штурмовики встали в оборонительный круг. По</w:t>
      </w:r>
      <w:r w:rsidRPr="00722885">
        <w:rPr>
          <w:color w:val="000000" w:themeColor="text1"/>
          <w:sz w:val="16"/>
          <w:szCs w:val="16"/>
        </w:rPr>
        <w:softHyphen/>
        <w:t>сле ухода немецких истребителей Ил-2 перестрои</w:t>
      </w:r>
      <w:r w:rsidRPr="00722885">
        <w:rPr>
          <w:color w:val="000000" w:themeColor="text1"/>
          <w:sz w:val="16"/>
          <w:szCs w:val="16"/>
        </w:rPr>
        <w:softHyphen/>
        <w:t>лись в пеленг и встали на обратный маршрут.</w:t>
      </w:r>
    </w:p>
    <w:p w14:paraId="7610E0D6"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До генерального наступления под Сталингра</w:t>
      </w:r>
      <w:r w:rsidRPr="00722885">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722885">
        <w:rPr>
          <w:color w:val="000000" w:themeColor="text1"/>
          <w:sz w:val="16"/>
          <w:szCs w:val="16"/>
        </w:rPr>
        <w:softHyphen/>
        <w:t>товым по данным разведки 228-й шад к вылету на боевое задание 2—4 экипажами.</w:t>
      </w:r>
    </w:p>
    <w:p w14:paraId="008E5E3E"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722885">
        <w:rPr>
          <w:color w:val="000000" w:themeColor="text1"/>
          <w:sz w:val="16"/>
          <w:szCs w:val="16"/>
        </w:rPr>
        <w:softHyphen/>
        <w:t>ронительной полосы, а также по аэродромам и по</w:t>
      </w:r>
      <w:r w:rsidRPr="00722885">
        <w:rPr>
          <w:color w:val="000000" w:themeColor="text1"/>
          <w:sz w:val="16"/>
          <w:szCs w:val="16"/>
        </w:rPr>
        <w:softHyphen/>
        <w:t>садочным площадкам.</w:t>
      </w:r>
    </w:p>
    <w:p w14:paraId="70C22499"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37-мм пушками принимали участие в боевой работе полка до полной ликви</w:t>
      </w:r>
      <w:r w:rsidRPr="00722885">
        <w:rPr>
          <w:color w:val="000000" w:themeColor="text1"/>
          <w:sz w:val="16"/>
          <w:szCs w:val="16"/>
        </w:rPr>
        <w:softHyphen/>
        <w:t>дации группировки немецких войск под Сталингра</w:t>
      </w:r>
      <w:r w:rsidRPr="00722885">
        <w:rPr>
          <w:color w:val="000000" w:themeColor="text1"/>
          <w:sz w:val="16"/>
          <w:szCs w:val="16"/>
        </w:rPr>
        <w:softHyphen/>
        <w:t>дом. Как и прежде, противотанковые Ил-2 ходили на задания в группах вместе с серийными самоле</w:t>
      </w:r>
      <w:r w:rsidRPr="00722885">
        <w:rPr>
          <w:color w:val="000000" w:themeColor="text1"/>
          <w:sz w:val="16"/>
          <w:szCs w:val="16"/>
        </w:rPr>
        <w:softHyphen/>
        <w:t>тами. Группы состояли из 2—6 самолетов, в кото</w:t>
      </w:r>
      <w:r w:rsidRPr="00722885">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6302E4A3"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010A2B8B"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722885">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7E351D4D"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10 января в ходе боевого вылета 6 Ил-2 (веду</w:t>
      </w:r>
      <w:r w:rsidRPr="00722885">
        <w:rPr>
          <w:color w:val="000000" w:themeColor="text1"/>
          <w:sz w:val="16"/>
          <w:szCs w:val="16"/>
        </w:rPr>
        <w:softHyphen/>
        <w:t>щий капитан Гребеньков) под прикрытием 4 Як-1 от 283-й иад в период 11.21—11.29 в район насе</w:t>
      </w:r>
      <w:r w:rsidRPr="00722885">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722885">
        <w:rPr>
          <w:color w:val="000000" w:themeColor="text1"/>
          <w:sz w:val="16"/>
          <w:szCs w:val="16"/>
        </w:rPr>
        <w:softHyphen/>
        <w:t>жен прямым попаданием бомбы, сброшенной с са</w:t>
      </w:r>
      <w:r w:rsidRPr="00722885">
        <w:rPr>
          <w:color w:val="000000" w:themeColor="text1"/>
          <w:sz w:val="16"/>
          <w:szCs w:val="16"/>
        </w:rPr>
        <w:softHyphen/>
        <w:t xml:space="preserve">молета </w:t>
      </w:r>
      <w:r w:rsidRPr="00722885">
        <w:rPr>
          <w:color w:val="000000" w:themeColor="text1"/>
          <w:sz w:val="16"/>
          <w:szCs w:val="16"/>
          <w:lang w:val="en-US"/>
        </w:rPr>
        <w:t>Ju</w:t>
      </w:r>
      <w:r w:rsidRPr="00722885">
        <w:rPr>
          <w:color w:val="000000" w:themeColor="text1"/>
          <w:sz w:val="16"/>
          <w:szCs w:val="16"/>
        </w:rPr>
        <w:t>88».</w:t>
      </w:r>
    </w:p>
    <w:p w14:paraId="56B220D0"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На отходе от цели группа была атакована парой </w:t>
      </w:r>
      <w:r w:rsidRPr="00722885">
        <w:rPr>
          <w:color w:val="000000" w:themeColor="text1"/>
          <w:sz w:val="16"/>
          <w:szCs w:val="16"/>
          <w:lang w:val="en-US"/>
        </w:rPr>
        <w:t>Bf</w:t>
      </w:r>
      <w:r w:rsidRPr="00722885">
        <w:rPr>
          <w:color w:val="000000" w:themeColor="text1"/>
          <w:sz w:val="16"/>
          <w:szCs w:val="16"/>
        </w:rPr>
        <w:t xml:space="preserve"> 109</w:t>
      </w:r>
      <w:r w:rsidRPr="00722885">
        <w:rPr>
          <w:color w:val="000000" w:themeColor="text1"/>
          <w:sz w:val="16"/>
          <w:szCs w:val="16"/>
          <w:lang w:val="en-US"/>
        </w:rPr>
        <w:t>F</w:t>
      </w:r>
      <w:r w:rsidRPr="00722885">
        <w:rPr>
          <w:color w:val="000000" w:themeColor="text1"/>
          <w:sz w:val="16"/>
          <w:szCs w:val="16"/>
        </w:rPr>
        <w:t>. В результате Ил-2 зав. № 8029 с пушками</w:t>
      </w:r>
    </w:p>
    <w:p w14:paraId="0AA1AB1A"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772DA842"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722885">
        <w:rPr>
          <w:color w:val="000000" w:themeColor="text1"/>
          <w:sz w:val="16"/>
          <w:szCs w:val="16"/>
        </w:rPr>
        <w:softHyphen/>
        <w:t>ной группировки в районе Сталинграда вплоть до 2 февраля. Однако войсковые испытания офи</w:t>
      </w:r>
      <w:r w:rsidRPr="00722885">
        <w:rPr>
          <w:color w:val="000000" w:themeColor="text1"/>
          <w:sz w:val="16"/>
          <w:szCs w:val="16"/>
        </w:rPr>
        <w:softHyphen/>
        <w:t>циально были завершены 22 января. К этому вре</w:t>
      </w:r>
      <w:r w:rsidRPr="00722885">
        <w:rPr>
          <w:color w:val="000000" w:themeColor="text1"/>
          <w:sz w:val="16"/>
          <w:szCs w:val="16"/>
        </w:rPr>
        <w:softHyphen/>
        <w:t>мени Ил-2 с Ш-37 совершили 75 боевых само</w:t>
      </w:r>
      <w:r w:rsidRPr="00722885">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722885">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722885">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722885">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722885">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722885">
        <w:rPr>
          <w:color w:val="000000" w:themeColor="text1"/>
          <w:sz w:val="16"/>
          <w:szCs w:val="16"/>
        </w:rPr>
        <w:softHyphen/>
        <w:t>нил только один боевой вылет, и его результаты при составлении отчета по испытаниям не учиты</w:t>
      </w:r>
      <w:r w:rsidRPr="00722885">
        <w:rPr>
          <w:color w:val="000000" w:themeColor="text1"/>
          <w:sz w:val="16"/>
          <w:szCs w:val="16"/>
        </w:rPr>
        <w:softHyphen/>
        <w:t>вались.</w:t>
      </w:r>
    </w:p>
    <w:p w14:paraId="2D9CE570"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пушками Ш-37 «ходили на бое</w:t>
      </w:r>
      <w:r w:rsidRPr="00722885">
        <w:rPr>
          <w:color w:val="000000" w:themeColor="text1"/>
          <w:sz w:val="16"/>
          <w:szCs w:val="16"/>
        </w:rPr>
        <w:softHyphen/>
        <w:t>вые задания, имея запас боеприпасов 80 для 37-мм пушек, 1500 для пулеметов ШКАС, 8 РС-82 и 2 бом</w:t>
      </w:r>
      <w:r w:rsidRPr="00722885">
        <w:rPr>
          <w:color w:val="000000" w:themeColor="text1"/>
          <w:sz w:val="16"/>
          <w:szCs w:val="16"/>
        </w:rPr>
        <w:softHyphen/>
        <w:t>бы ФАБ-100 или 6 бомб АО-25».</w:t>
      </w:r>
    </w:p>
    <w:p w14:paraId="771ABE18"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Экипажи действовали главным образом по са</w:t>
      </w:r>
      <w:r w:rsidRPr="00722885">
        <w:rPr>
          <w:color w:val="000000" w:themeColor="text1"/>
          <w:sz w:val="16"/>
          <w:szCs w:val="16"/>
        </w:rPr>
        <w:softHyphen/>
        <w:t>молетам на аэродромах и автотранспорту против</w:t>
      </w:r>
      <w:r w:rsidRPr="00722885">
        <w:rPr>
          <w:color w:val="000000" w:themeColor="text1"/>
          <w:sz w:val="16"/>
          <w:szCs w:val="16"/>
        </w:rPr>
        <w:softHyphen/>
        <w:t>ника. В отдельных случаях — по огневым точкам на поле боя, дерево-земляным оборонительным со</w:t>
      </w:r>
      <w:r w:rsidRPr="00722885">
        <w:rPr>
          <w:color w:val="000000" w:themeColor="text1"/>
          <w:sz w:val="16"/>
          <w:szCs w:val="16"/>
        </w:rPr>
        <w:softHyphen/>
        <w:t>оружениям и бронетехнике. Общий расход боепри</w:t>
      </w:r>
      <w:r w:rsidRPr="00722885">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722885">
        <w:rPr>
          <w:color w:val="000000" w:themeColor="text1"/>
          <w:sz w:val="16"/>
          <w:szCs w:val="16"/>
        </w:rPr>
        <w:softHyphen/>
        <w:t>бомб типа ФАБ-100 — 107, осколочных авиабомб типа АО-25 — 87.</w:t>
      </w:r>
    </w:p>
    <w:p w14:paraId="57FB98B3"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Атаки наземных целей производились с плани</w:t>
      </w:r>
      <w:r w:rsidRPr="00722885">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722885">
        <w:rPr>
          <w:color w:val="000000" w:themeColor="text1"/>
          <w:sz w:val="16"/>
          <w:szCs w:val="16"/>
        </w:rPr>
        <w:softHyphen/>
        <w:t>гим данным — бронемашину), но достоверность поражения целей подтвердить не могли.</w:t>
      </w:r>
    </w:p>
    <w:p w14:paraId="6A1E0023"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эти данные не входят потери противника от бомб, РС и пулеметов на этих же самолетах. Необ</w:t>
      </w:r>
      <w:r w:rsidRPr="00722885">
        <w:rPr>
          <w:color w:val="000000" w:themeColor="text1"/>
          <w:sz w:val="16"/>
          <w:szCs w:val="16"/>
        </w:rPr>
        <w:softHyphen/>
        <w:t>ходимо отметить, что «танков, как основных целей для этих пушек, встречалось мало».</w:t>
      </w:r>
    </w:p>
    <w:p w14:paraId="1BF83B40"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 время войсковых испытаний отмечалось не</w:t>
      </w:r>
      <w:r w:rsidRPr="00722885">
        <w:rPr>
          <w:color w:val="000000" w:themeColor="text1"/>
          <w:sz w:val="16"/>
          <w:szCs w:val="16"/>
        </w:rPr>
        <w:softHyphen/>
        <w:t>сколько случаев применения Ш-37 по воздушным целям, но все они, вследствие недостаточной ско</w:t>
      </w:r>
      <w:r w:rsidRPr="00722885">
        <w:rPr>
          <w:color w:val="000000" w:themeColor="text1"/>
          <w:sz w:val="16"/>
          <w:szCs w:val="16"/>
        </w:rPr>
        <w:softHyphen/>
        <w:t>рострельности пушки, были неудачными.</w:t>
      </w:r>
    </w:p>
    <w:p w14:paraId="1D05B562"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одном случае Ил-2 на высоте 800 м был атако</w:t>
      </w:r>
      <w:r w:rsidRPr="00722885">
        <w:rPr>
          <w:color w:val="000000" w:themeColor="text1"/>
          <w:sz w:val="16"/>
          <w:szCs w:val="16"/>
        </w:rPr>
        <w:softHyphen/>
        <w:t xml:space="preserve">ван в лоб истребителем Люфтваффе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С дис</w:t>
      </w:r>
      <w:r w:rsidRPr="00722885">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722885">
        <w:rPr>
          <w:color w:val="000000" w:themeColor="text1"/>
          <w:sz w:val="16"/>
          <w:szCs w:val="16"/>
          <w:lang w:val="en-US"/>
        </w:rPr>
        <w:t>Ju</w:t>
      </w:r>
      <w:r w:rsidRPr="00722885">
        <w:rPr>
          <w:color w:val="000000" w:themeColor="text1"/>
          <w:sz w:val="16"/>
          <w:szCs w:val="16"/>
        </w:rPr>
        <w:t>52/3</w:t>
      </w:r>
      <w:r w:rsidRPr="00722885">
        <w:rPr>
          <w:color w:val="000000" w:themeColor="text1"/>
          <w:sz w:val="16"/>
          <w:szCs w:val="16"/>
          <w:lang w:val="en-US"/>
        </w:rPr>
        <w:t>m</w:t>
      </w:r>
      <w:r w:rsidRPr="00722885">
        <w:rPr>
          <w:color w:val="000000" w:themeColor="text1"/>
          <w:sz w:val="16"/>
          <w:szCs w:val="16"/>
        </w:rPr>
        <w:t>. Огонь из Ш-37 велся короткими очере</w:t>
      </w:r>
      <w:r w:rsidRPr="00722885">
        <w:rPr>
          <w:color w:val="000000" w:themeColor="text1"/>
          <w:sz w:val="16"/>
          <w:szCs w:val="16"/>
        </w:rPr>
        <w:softHyphen/>
        <w:t xml:space="preserve">дями по 3—4 снаряда с дистанции </w:t>
      </w:r>
      <w:r w:rsidRPr="00722885">
        <w:rPr>
          <w:color w:val="000000" w:themeColor="text1"/>
          <w:sz w:val="16"/>
          <w:szCs w:val="16"/>
        </w:rPr>
        <w:lastRenderedPageBreak/>
        <w:t>600—300 м. Всего было выпущено до 20—30 снарядов. Попа</w:t>
      </w:r>
      <w:r w:rsidRPr="00722885">
        <w:rPr>
          <w:color w:val="000000" w:themeColor="text1"/>
          <w:sz w:val="16"/>
          <w:szCs w:val="16"/>
        </w:rPr>
        <w:softHyphen/>
        <w:t>даний в немецкий самолет не было. Летчики на</w:t>
      </w:r>
      <w:r w:rsidRPr="00722885">
        <w:rPr>
          <w:color w:val="000000" w:themeColor="text1"/>
          <w:sz w:val="16"/>
          <w:szCs w:val="16"/>
        </w:rPr>
        <w:softHyphen/>
        <w:t>блюдали, что «снаряды ложатся правее и левее плоскостей самолета». В итоге «Юнкерс» ушел в облака.</w:t>
      </w:r>
    </w:p>
    <w:p w14:paraId="7F0C2DBD"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Средний расход боекомплекта к пушкам Ш-37 за один самолето-вылет составил 37,6%, что соот</w:t>
      </w:r>
      <w:r w:rsidRPr="00722885">
        <w:rPr>
          <w:color w:val="000000" w:themeColor="text1"/>
          <w:sz w:val="16"/>
          <w:szCs w:val="16"/>
        </w:rPr>
        <w:softHyphen/>
        <w:t>ветствует средней продолжительности непрерыв</w:t>
      </w:r>
      <w:r w:rsidRPr="00722885">
        <w:rPr>
          <w:color w:val="000000" w:themeColor="text1"/>
          <w:sz w:val="16"/>
          <w:szCs w:val="16"/>
        </w:rPr>
        <w:softHyphen/>
        <w:t>ной стрельбы всего 5 секунд. Это, с одной сторо</w:t>
      </w:r>
      <w:r w:rsidRPr="00722885">
        <w:rPr>
          <w:color w:val="000000" w:themeColor="text1"/>
          <w:sz w:val="16"/>
          <w:szCs w:val="16"/>
        </w:rPr>
        <w:softHyphen/>
        <w:t>ны, говорит о том, что целей, достойных для пушек Ш-37, в боевых вылетах было мало, а с другой сто</w:t>
      </w:r>
      <w:r w:rsidRPr="00722885">
        <w:rPr>
          <w:color w:val="000000" w:themeColor="text1"/>
          <w:sz w:val="16"/>
          <w:szCs w:val="16"/>
        </w:rPr>
        <w:softHyphen/>
        <w:t>роны, указывает на недостаточную эффективность стрельбы с самолета Ил-2 из такой пушки по точеч</w:t>
      </w:r>
      <w:r w:rsidRPr="00722885">
        <w:rPr>
          <w:color w:val="000000" w:themeColor="text1"/>
          <w:sz w:val="16"/>
          <w:szCs w:val="16"/>
        </w:rPr>
        <w:softHyphen/>
        <w:t>ным малоразмерным целям.</w:t>
      </w:r>
    </w:p>
    <w:p w14:paraId="1143B442"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722885">
        <w:rPr>
          <w:color w:val="000000" w:themeColor="text1"/>
          <w:sz w:val="16"/>
          <w:szCs w:val="16"/>
        </w:rPr>
        <w:softHyphen/>
        <w:t>ставил 54%. Из общего числа боевых вылетов, вы</w:t>
      </w:r>
      <w:r w:rsidRPr="00722885">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722885">
        <w:rPr>
          <w:color w:val="000000" w:themeColor="text1"/>
          <w:sz w:val="16"/>
          <w:szCs w:val="16"/>
        </w:rPr>
        <w:softHyphen/>
        <w:t>евое задание Ил-2 с пушками Ш-37 сопровождался отказом хотя бы одной из пушек.</w:t>
      </w:r>
    </w:p>
    <w:p w14:paraId="6D67008C"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состоянию на 25 января произошло 123 от</w:t>
      </w:r>
      <w:r w:rsidRPr="00722885">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722885">
        <w:rPr>
          <w:color w:val="000000" w:themeColor="text1"/>
          <w:sz w:val="16"/>
          <w:szCs w:val="16"/>
        </w:rPr>
        <w:softHyphen/>
        <w:t>од, в то время как «по техническим условиям для оружия допускается 0,2% задержек на полную жи</w:t>
      </w:r>
      <w:r w:rsidRPr="00722885">
        <w:rPr>
          <w:color w:val="000000" w:themeColor="text1"/>
          <w:sz w:val="16"/>
          <w:szCs w:val="16"/>
        </w:rPr>
        <w:softHyphen/>
        <w:t>вучесть пушек».</w:t>
      </w:r>
    </w:p>
    <w:p w14:paraId="238CDA05"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из всех задержек исключить задержки по вине установок и по вине обслуживающего пер</w:t>
      </w:r>
      <w:r w:rsidRPr="00722885">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722885">
        <w:rPr>
          <w:color w:val="000000" w:themeColor="text1"/>
          <w:sz w:val="16"/>
          <w:szCs w:val="16"/>
        </w:rPr>
        <w:softHyphen/>
        <w:t>новные поломки следующие: ударника — 6, план</w:t>
      </w:r>
      <w:r w:rsidRPr="00722885">
        <w:rPr>
          <w:color w:val="000000" w:themeColor="text1"/>
          <w:sz w:val="16"/>
          <w:szCs w:val="16"/>
        </w:rPr>
        <w:softHyphen/>
        <w:t>ки затвора — 4, бойка — 8, направляющей втулки ударника — 5, трещина в затыльнике — 5, непо</w:t>
      </w:r>
      <w:r w:rsidRPr="00722885">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722885">
        <w:rPr>
          <w:color w:val="000000" w:themeColor="text1"/>
          <w:sz w:val="16"/>
          <w:szCs w:val="16"/>
        </w:rPr>
        <w:softHyphen/>
        <w:t>лов потребовало бы 59 ударников».</w:t>
      </w:r>
    </w:p>
    <w:p w14:paraId="6D94BFAA"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722885">
        <w:rPr>
          <w:color w:val="000000" w:themeColor="text1"/>
          <w:sz w:val="16"/>
          <w:szCs w:val="16"/>
        </w:rPr>
        <w:softHyphen/>
        <w:t>дром в Вихлянцево. Соответственно, бригада спе</w:t>
      </w:r>
      <w:r w:rsidRPr="00722885">
        <w:rPr>
          <w:color w:val="000000" w:themeColor="text1"/>
          <w:sz w:val="16"/>
          <w:szCs w:val="16"/>
        </w:rPr>
        <w:softHyphen/>
        <w:t>циалистов от ОКБ-15 не могла оперативно устра</w:t>
      </w:r>
      <w:r w:rsidRPr="00722885">
        <w:rPr>
          <w:color w:val="000000" w:themeColor="text1"/>
          <w:sz w:val="16"/>
          <w:szCs w:val="16"/>
        </w:rPr>
        <w:softHyphen/>
        <w:t>нять отказы в работе и поломки пушек.</w:t>
      </w:r>
    </w:p>
    <w:p w14:paraId="7E89D264"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Очевидно, все «это нарушало нормальную бое</w:t>
      </w:r>
      <w:r w:rsidRPr="00722885">
        <w:rPr>
          <w:color w:val="000000" w:themeColor="text1"/>
          <w:sz w:val="16"/>
          <w:szCs w:val="16"/>
        </w:rPr>
        <w:softHyphen/>
        <w:t>вую работу полка, самолеты приходилось из-за не</w:t>
      </w:r>
      <w:r w:rsidRPr="00722885">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722885">
        <w:rPr>
          <w:color w:val="000000" w:themeColor="text1"/>
          <w:sz w:val="16"/>
          <w:szCs w:val="16"/>
        </w:rPr>
        <w:softHyphen/>
        <w:t>ко с остальным вооружением».</w:t>
      </w:r>
    </w:p>
    <w:p w14:paraId="08594D6D"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«Большое количество поломок, задержек и от</w:t>
      </w:r>
      <w:r w:rsidRPr="00722885">
        <w:rPr>
          <w:color w:val="000000" w:themeColor="text1"/>
          <w:sz w:val="16"/>
          <w:szCs w:val="16"/>
        </w:rPr>
        <w:softHyphen/>
        <w:t>казов в работе пушек вызвало у летчиков неприят</w:t>
      </w:r>
      <w:r w:rsidRPr="00722885">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64FC1541"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722885">
        <w:rPr>
          <w:color w:val="000000" w:themeColor="text1"/>
          <w:sz w:val="16"/>
          <w:szCs w:val="16"/>
        </w:rPr>
        <w:softHyphen/>
        <w:t>жием».</w:t>
      </w:r>
    </w:p>
    <w:p w14:paraId="35C84378"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своих донесениях летчики отмечали, что «са</w:t>
      </w:r>
      <w:r w:rsidRPr="00722885">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722885">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722885">
        <w:rPr>
          <w:color w:val="000000" w:themeColor="text1"/>
          <w:sz w:val="16"/>
          <w:szCs w:val="16"/>
        </w:rPr>
        <w:softHyphen/>
        <w:t>нее управляем. Плохо держится в строю при ско</w:t>
      </w:r>
      <w:r w:rsidRPr="00722885">
        <w:rPr>
          <w:color w:val="000000" w:themeColor="text1"/>
          <w:sz w:val="16"/>
          <w:szCs w:val="16"/>
        </w:rPr>
        <w:softHyphen/>
        <w:t>ростях около 250—260 км/ч и ниже. Хорошо дер</w:t>
      </w:r>
      <w:r w:rsidRPr="00722885">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5ED118CD"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скоростях полета 250 км/ч «прицельную стрельбу из пушек вести трудно из-за сильной ви</w:t>
      </w:r>
      <w:r w:rsidRPr="00722885">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722885">
        <w:rPr>
          <w:color w:val="000000" w:themeColor="text1"/>
          <w:sz w:val="16"/>
          <w:szCs w:val="16"/>
        </w:rPr>
        <w:softHyphen/>
        <w:t>ется незначительно». При стрельбе с набором вы</w:t>
      </w:r>
      <w:r w:rsidRPr="00722885">
        <w:rPr>
          <w:color w:val="000000" w:themeColor="text1"/>
          <w:sz w:val="16"/>
          <w:szCs w:val="16"/>
        </w:rPr>
        <w:softHyphen/>
        <w:t>соты самолет резко теряет скорость. На пикирова</w:t>
      </w:r>
      <w:r w:rsidRPr="00722885">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722885">
        <w:rPr>
          <w:color w:val="000000" w:themeColor="text1"/>
          <w:sz w:val="16"/>
          <w:szCs w:val="16"/>
        </w:rPr>
        <w:softHyphen/>
        <w:t>рачивается в сторону стреляющей пушки, прицель</w:t>
      </w:r>
      <w:r w:rsidRPr="00722885">
        <w:rPr>
          <w:color w:val="000000" w:themeColor="text1"/>
          <w:sz w:val="16"/>
          <w:szCs w:val="16"/>
        </w:rPr>
        <w:softHyphen/>
        <w:t>ный огонь вести невозможно. Боковой перенос ог</w:t>
      </w:r>
      <w:r w:rsidRPr="00722885">
        <w:rPr>
          <w:color w:val="000000" w:themeColor="text1"/>
          <w:sz w:val="16"/>
          <w:szCs w:val="16"/>
        </w:rPr>
        <w:softHyphen/>
        <w:t>ня при пикировании затруднен, а «с высоты 400 м и ниже невозможен, ввиду инертности самолета».</w:t>
      </w:r>
    </w:p>
    <w:p w14:paraId="16B151E2"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заявлениям летчиков, «стволы пушек в по</w:t>
      </w:r>
      <w:r w:rsidRPr="00722885">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722885">
        <w:rPr>
          <w:color w:val="000000" w:themeColor="text1"/>
          <w:sz w:val="16"/>
          <w:szCs w:val="16"/>
        </w:rPr>
        <w:softHyphen/>
        <w:t>трудняет возможность вести прицельный огонь». Утверждалось, что «при боевом развороте на ско</w:t>
      </w:r>
      <w:r w:rsidRPr="00722885">
        <w:rPr>
          <w:color w:val="000000" w:themeColor="text1"/>
          <w:sz w:val="16"/>
          <w:szCs w:val="16"/>
        </w:rPr>
        <w:softHyphen/>
        <w:t>рости 270 км/ч самолет сильно трясет».</w:t>
      </w:r>
    </w:p>
    <w:p w14:paraId="2B9F03AD"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722885">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722885">
        <w:rPr>
          <w:color w:val="000000" w:themeColor="text1"/>
          <w:sz w:val="16"/>
          <w:szCs w:val="16"/>
        </w:rPr>
        <w:softHyphen/>
        <w:t>ровано только 22 случая полного расстрела бое</w:t>
      </w:r>
      <w:r w:rsidRPr="00722885">
        <w:rPr>
          <w:color w:val="000000" w:themeColor="text1"/>
          <w:sz w:val="16"/>
          <w:szCs w:val="16"/>
        </w:rPr>
        <w:softHyphen/>
        <w:t>комплекта.</w:t>
      </w:r>
    </w:p>
    <w:p w14:paraId="0E5CBCA6"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эксплуатационной точки зрения пушка Ш-37 и пушечная установка оказались простыми и удоб</w:t>
      </w:r>
      <w:r w:rsidRPr="00722885">
        <w:rPr>
          <w:color w:val="000000" w:themeColor="text1"/>
          <w:sz w:val="16"/>
          <w:szCs w:val="16"/>
        </w:rPr>
        <w:softHyphen/>
        <w:t>ными в обслуживании даже в условиях зимы, ког</w:t>
      </w:r>
      <w:r w:rsidRPr="00722885">
        <w:rPr>
          <w:color w:val="000000" w:themeColor="text1"/>
          <w:sz w:val="16"/>
          <w:szCs w:val="16"/>
        </w:rPr>
        <w:softHyphen/>
        <w:t>да технический состав вынужден работать в ру</w:t>
      </w:r>
      <w:r w:rsidRPr="00722885">
        <w:rPr>
          <w:color w:val="000000" w:themeColor="text1"/>
          <w:sz w:val="16"/>
          <w:szCs w:val="16"/>
        </w:rPr>
        <w:softHyphen/>
        <w:t>кавицах и тяжелой одежде. При работе 2 человек чистка пушки требует не более 30 мин, заряд</w:t>
      </w:r>
      <w:r w:rsidRPr="00722885">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722885">
        <w:rPr>
          <w:color w:val="000000" w:themeColor="text1"/>
          <w:sz w:val="16"/>
          <w:szCs w:val="16"/>
        </w:rPr>
        <w:softHyphen/>
        <w:t>ра — 4—5 ч, шептала — 4 ч, собачки шептала — 3 ч. Технический состав полка особо отметил «не</w:t>
      </w:r>
      <w:r w:rsidRPr="00722885">
        <w:rPr>
          <w:color w:val="000000" w:themeColor="text1"/>
          <w:sz w:val="16"/>
          <w:szCs w:val="16"/>
        </w:rPr>
        <w:softHyphen/>
        <w:t>удобную конструкцию и плохое изготовление об</w:t>
      </w:r>
      <w:r w:rsidRPr="00722885">
        <w:rPr>
          <w:color w:val="000000" w:themeColor="text1"/>
          <w:sz w:val="16"/>
          <w:szCs w:val="16"/>
        </w:rPr>
        <w:softHyphen/>
        <w:t>текателей пушек — на шомпола их невозможно закрыть».</w:t>
      </w:r>
    </w:p>
    <w:p w14:paraId="16BDD3A5"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722885">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0B6D2248"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722885">
        <w:rPr>
          <w:color w:val="000000" w:themeColor="text1"/>
          <w:sz w:val="16"/>
          <w:szCs w:val="16"/>
        </w:rPr>
        <w:softHyphen/>
        <w:t>лись.</w:t>
      </w:r>
    </w:p>
    <w:p w14:paraId="74C8E69D"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лейтенант Воловиков в своем донесе</w:t>
      </w:r>
      <w:r w:rsidRPr="00722885">
        <w:rPr>
          <w:color w:val="000000" w:themeColor="text1"/>
          <w:sz w:val="16"/>
          <w:szCs w:val="16"/>
        </w:rPr>
        <w:softHyphen/>
        <w:t>нии указал, что «в серийном производстве Ил-2 с ШФК-37 выпускать нельзя». К его мнению присо</w:t>
      </w:r>
      <w:r w:rsidRPr="00722885">
        <w:rPr>
          <w:color w:val="000000" w:themeColor="text1"/>
          <w:sz w:val="16"/>
          <w:szCs w:val="16"/>
        </w:rPr>
        <w:softHyphen/>
        <w:t>единились старший сержант А. В. Дунов, сержант М. А. Сахариленко и старшина В. Ф. Игнатьев.</w:t>
      </w:r>
    </w:p>
    <w:p w14:paraId="5A4419A8"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722885">
        <w:rPr>
          <w:color w:val="000000" w:themeColor="text1"/>
          <w:sz w:val="16"/>
          <w:szCs w:val="16"/>
        </w:rPr>
        <w:softHyphen/>
        <w:t>го; 4) нужен более мощный мотор для противозе</w:t>
      </w:r>
      <w:r w:rsidRPr="00722885">
        <w:rPr>
          <w:color w:val="000000" w:themeColor="text1"/>
          <w:sz w:val="16"/>
          <w:szCs w:val="16"/>
        </w:rPr>
        <w:softHyphen/>
        <w:t>нитного маневра; 5) формировать отдельные диви</w:t>
      </w:r>
      <w:r w:rsidRPr="00722885">
        <w:rPr>
          <w:color w:val="000000" w:themeColor="text1"/>
          <w:sz w:val="16"/>
          <w:szCs w:val="16"/>
        </w:rPr>
        <w:softHyphen/>
        <w:t>зионные группы Ил-2 с пушками 37 мм или на полк давать 6 таких самолетов».</w:t>
      </w:r>
    </w:p>
    <w:p w14:paraId="01992F5B"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722885">
        <w:rPr>
          <w:color w:val="000000" w:themeColor="text1"/>
          <w:sz w:val="16"/>
          <w:szCs w:val="16"/>
        </w:rPr>
        <w:softHyphen/>
        <w:t>жанта Юсова».</w:t>
      </w:r>
    </w:p>
    <w:p w14:paraId="6CBA6A0E"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с учетом этого в заключении «Доклада о войсковых испытаниях на боевое при</w:t>
      </w:r>
      <w:r w:rsidRPr="00722885">
        <w:rPr>
          <w:color w:val="000000" w:themeColor="text1"/>
          <w:sz w:val="16"/>
          <w:szCs w:val="16"/>
        </w:rPr>
        <w:softHyphen/>
        <w:t>менение самолетов Ил-2 АМ-38, вооруженных 37-мм пушками конструкции ОКБ-15» было записа</w:t>
      </w:r>
      <w:r w:rsidRPr="00722885">
        <w:rPr>
          <w:color w:val="000000" w:themeColor="text1"/>
          <w:sz w:val="16"/>
          <w:szCs w:val="16"/>
        </w:rPr>
        <w:softHyphen/>
        <w:t>но: «1. Самолеты с пушками ШФК-37, испытанные на боевое применение, не дали должной эффективно</w:t>
      </w:r>
      <w:r w:rsidRPr="00722885">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722885">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46839D8A"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боевых летчиков от 688-го шап и чле</w:t>
      </w:r>
      <w:r w:rsidRPr="00722885">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423F7F4A"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Уже 8 марта 1943 г. начальник 1-го отдела УЗ- СиМ ГУЗ ВВС инженер-полковник Ковалев в до</w:t>
      </w:r>
      <w:r w:rsidRPr="00722885">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722885">
        <w:rPr>
          <w:color w:val="000000" w:themeColor="text1"/>
          <w:sz w:val="16"/>
          <w:szCs w:val="16"/>
        </w:rPr>
        <w:softHyphen/>
        <w:t>вых испытаний самолетов Ил-2 с ШФК-37 37-мм пушки подлежат конструктивной доводке».</w:t>
      </w:r>
    </w:p>
    <w:p w14:paraId="190310A7"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722885">
        <w:rPr>
          <w:color w:val="000000" w:themeColor="text1"/>
          <w:sz w:val="16"/>
          <w:szCs w:val="16"/>
        </w:rPr>
        <w:softHyphen/>
        <w:t>шек ШФК-37 на самолетах Ил-2».</w:t>
      </w:r>
    </w:p>
    <w:p w14:paraId="25A2972F" w14:textId="77777777" w:rsidR="00682C24" w:rsidRPr="00722885" w:rsidRDefault="00682C24"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722885">
        <w:rPr>
          <w:color w:val="000000" w:themeColor="text1"/>
          <w:sz w:val="16"/>
          <w:szCs w:val="16"/>
        </w:rPr>
        <w:softHyphen/>
        <w:t>готовить справку о ходе испытаний пушек калибра 37 мм ОКБ-16 на самолетах Ил-2 (17500).</w:t>
      </w:r>
    </w:p>
    <w:p w14:paraId="698EA89C" w14:textId="77777777" w:rsidR="00682C24" w:rsidRPr="00722885" w:rsidRDefault="00682C24" w:rsidP="00722885">
      <w:pPr>
        <w:pStyle w:val="12a"/>
        <w:shd w:val="clear" w:color="auto" w:fill="auto"/>
        <w:spacing w:after="0" w:line="240" w:lineRule="auto"/>
        <w:jc w:val="both"/>
        <w:rPr>
          <w:color w:val="000000" w:themeColor="text1"/>
          <w:sz w:val="16"/>
          <w:szCs w:val="16"/>
        </w:rPr>
      </w:pPr>
    </w:p>
    <w:p w14:paraId="20E74DE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22 декабря 1942 Нач. ГУЗ ВВС КА г-м ИАС Селезнев писал письмо N 378007 А.С.Я. как Зам. НКАП об основных дефектах, выявленных опытом эксплуатации Як-1 в 1942 (1778,295).</w:t>
      </w:r>
    </w:p>
    <w:p w14:paraId="64A4599A" w14:textId="77777777" w:rsidR="00BB6316" w:rsidRPr="00722885" w:rsidRDefault="00BB6316" w:rsidP="00722885">
      <w:pPr>
        <w:pStyle w:val="Iauiue"/>
        <w:jc w:val="both"/>
        <w:rPr>
          <w:color w:val="000000" w:themeColor="text1"/>
          <w:sz w:val="16"/>
          <w:szCs w:val="16"/>
        </w:rPr>
      </w:pPr>
    </w:p>
    <w:p w14:paraId="100E5C1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22 декабря 1942 вышел приказ Командующего ВВС N 114 о войсковых испытания ЛаГГ-3 с пушкой ОПБ-16 37 мм (757,4).</w:t>
      </w:r>
    </w:p>
    <w:p w14:paraId="11F07EFB" w14:textId="77777777" w:rsidR="00BB6316" w:rsidRPr="00722885" w:rsidRDefault="00BB6316" w:rsidP="00722885">
      <w:pPr>
        <w:pStyle w:val="Iauiue"/>
        <w:jc w:val="both"/>
        <w:rPr>
          <w:color w:val="000000" w:themeColor="text1"/>
          <w:sz w:val="16"/>
          <w:szCs w:val="16"/>
        </w:rPr>
      </w:pPr>
    </w:p>
    <w:p w14:paraId="524430B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22 декабря 1942 года начальник 1 управления гл. разведуправления полковник Большаков писал письмо N 55669с Шахурину.</w:t>
      </w:r>
    </w:p>
    <w:p w14:paraId="1D0E761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Под руководством и при непосредственном участии летчика-испытателя НКАП - Бережной К.М. переоборудован самолет типа "Дорнье-215", как опытный для боевых операций.</w:t>
      </w:r>
    </w:p>
    <w:p w14:paraId="4ED40E8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 переоборудованию и дооборудованию произведены следующие работы:</w:t>
      </w:r>
    </w:p>
    <w:p w14:paraId="383DBB7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Сконструированы, изготовлены и установлены на самолете специальные седла и фермы крепления бензо- и маслобаков.</w:t>
      </w:r>
    </w:p>
    <w:p w14:paraId="334D921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Установлены дополнительные бензо- и маслобаки.</w:t>
      </w:r>
    </w:p>
    <w:p w14:paraId="41E9FEE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Бензо-проводка и масло-проводка добавочных баков изготовлены заново и вмонтированы в общую систему питания моторов, не нарушая принципиальной схемы, что обеспечило надежность работы всей системы питания.</w:t>
      </w:r>
    </w:p>
    <w:p w14:paraId="48E4C48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Сконструирована и установлена противопожарная азотная установка, не предусмотренная на самолете.</w:t>
      </w:r>
    </w:p>
    <w:p w14:paraId="0B53418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Перемещены кислородные баллоны.</w:t>
      </w:r>
    </w:p>
    <w:p w14:paraId="1404FE5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Входной люк, которым можно было пользоваться только на земле, заменен новым, позволяющим пользоваться им и в воздухе, как аварийным, для спасения экипажа, так и с целью сбрасывания десанта или других предметов.</w:t>
      </w:r>
    </w:p>
    <w:p w14:paraId="1E9EB2A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 Заново изготовлены и установлены тормозные колодки колес.</w:t>
      </w:r>
    </w:p>
    <w:p w14:paraId="4937FF4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lastRenderedPageBreak/>
        <w:t>8. Сделано сиденье стрелка-радиста новой конструкции, позволяющее ему свободно работать в воздухе и общаться с экипажем в случае необходимости оказания помощи друг другу.</w:t>
      </w:r>
    </w:p>
    <w:p w14:paraId="04499F3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9. Изготовлена и установлена мощная броня, надежно защищающая летчика, штурмана и частично бортмеханика (штурман и бортмеханик на немецких бомбардировщиках совершенно не защищены).</w:t>
      </w:r>
    </w:p>
    <w:p w14:paraId="176CBE1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 Изготовлена специальная комбинированная установка под отечественные аппараты АФИ и АФАБ, что дает возможность производить фотографирование с больших и малых высот на разных скоростях.</w:t>
      </w:r>
    </w:p>
    <w:p w14:paraId="41C5676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11. Установлен отечественный оптический прицел ОБП-1.</w:t>
      </w:r>
    </w:p>
    <w:p w14:paraId="4D1C953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12. Восстановлены немецкие пулеметы и часть патронных кассет перенесена для более удобного пользования ими.</w:t>
      </w:r>
    </w:p>
    <w:p w14:paraId="5C960F3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13. Перемещен антенный контур.</w:t>
      </w:r>
    </w:p>
    <w:p w14:paraId="03D18FF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14. Предметы оказания первой помощи расположены так, что ими может пользоваться каждый член экипажа.</w:t>
      </w:r>
    </w:p>
    <w:p w14:paraId="198C9CF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 Заменен один мотор.</w:t>
      </w:r>
    </w:p>
    <w:p w14:paraId="426DBBD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16. Все приборы, контролирующие работу моторов и оборудования, расположены так, чтобы каждый член экипажа мог их видеть и пользоваться ими оп мере необходимости.</w:t>
      </w:r>
    </w:p>
    <w:p w14:paraId="06CB1AD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После окончания работ на самолете были произведены летные испытания самолета на устойчивость, управляемость и проверку работы всего дополнительного оборудования.</w:t>
      </w:r>
    </w:p>
    <w:p w14:paraId="38D182B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Результаты испытаний показали: несмотря на полуторакратное увеличение полного полетного веса самолета, вследствие чего центр тяжести смещен с 22% до 30% по САХ - самолет ведет себя в воздухе на всех режимах, при разных вариантах загрузки устойчиво. Управляемость достаточная. Оборудование, аппаратура и моторы работают исправно.</w:t>
      </w:r>
    </w:p>
    <w:p w14:paraId="5891AEA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Во время испытаний самолет налетал над аэродромом и по маршруту 25 часов.</w:t>
      </w:r>
    </w:p>
    <w:p w14:paraId="67E631A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Дальность полета увеличена с 1200 км до 2600 км при условии наличия на борту 400 кг полезного груза или 3-х парашютистов-десантников.</w:t>
      </w:r>
    </w:p>
    <w:p w14:paraId="050ADC1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Самолет принят к эксплуатации (1778).</w:t>
      </w:r>
    </w:p>
    <w:p w14:paraId="0CA9EF5E" w14:textId="77777777" w:rsidR="00BB6316" w:rsidRPr="00722885" w:rsidRDefault="00BB6316" w:rsidP="00722885">
      <w:pPr>
        <w:pStyle w:val="Iauiue"/>
        <w:jc w:val="both"/>
        <w:rPr>
          <w:color w:val="000000" w:themeColor="text1"/>
          <w:sz w:val="16"/>
          <w:szCs w:val="16"/>
        </w:rPr>
      </w:pPr>
    </w:p>
    <w:p w14:paraId="6E50A58A"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6EB8869" w14:textId="77777777" w:rsidR="00BB6316" w:rsidRPr="00722885" w:rsidRDefault="00BB6316" w:rsidP="00722885">
      <w:pPr>
        <w:pStyle w:val="Iauiue"/>
        <w:jc w:val="both"/>
        <w:rPr>
          <w:iCs/>
          <w:color w:val="000000" w:themeColor="text1"/>
          <w:sz w:val="16"/>
          <w:szCs w:val="16"/>
        </w:rPr>
      </w:pPr>
    </w:p>
    <w:p w14:paraId="34DCDF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декабря 1942 Балтийцы сдали флоту два 200-тонных понтона, начали ремонт эсминцев "Свирепый" и "Грозящий", продолжали ремонт эсминца "Сторожевой". Адмиралтейцы закончили монтаж механизмов на головном МБК, продолжали монтажные работы на втором, вели обработку металла для двух последующих. На завод прибыли. для аварийно-боевого ремонта ПЛ Щ-407, Щ-323, Щ-309, Щ-307 (10671).</w:t>
      </w:r>
    </w:p>
    <w:p w14:paraId="187972B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6331421"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097DF32" w14:textId="77777777" w:rsidR="00BB6316" w:rsidRPr="00722885" w:rsidRDefault="00BB6316" w:rsidP="00722885">
      <w:pPr>
        <w:pStyle w:val="Iauiue"/>
        <w:jc w:val="both"/>
        <w:rPr>
          <w:iCs/>
          <w:color w:val="000000" w:themeColor="text1"/>
          <w:sz w:val="16"/>
          <w:szCs w:val="16"/>
        </w:rPr>
      </w:pPr>
    </w:p>
    <w:p w14:paraId="0D5A7DA0"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22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63920B5C"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22 декабря наши войска в районе Сталинграда, на Центральном фронте и в районе Среднего Дона продолжали вести наступательные бои на прежних направлениях.</w:t>
      </w:r>
    </w:p>
    <w:p w14:paraId="74CAB703"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огнём нашей артиллерии уничтожен ряд вражеских дзотов и рассеяно скопление пехоты противника. На южной окраине города подразделение Н-ской части ночью совершило вылазку в расположение противника и истребило свыше 100 гитлеровцев.</w:t>
      </w:r>
    </w:p>
    <w:p w14:paraId="1FDBF231"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Н-ской части, атаковав противника, уничтожили 150 немецких солдат и офицеров и захватили 2 орудия, 7 пулемётов и 3 миномёта. Артиллерийским огнём уничтожено 15 вражеских дзотов и блиндажей. На другом участке подразделение нашей части отразило контратаку противника. На поле боя осталось 2 сгоревших танка и 90 вражеских трупов.</w:t>
      </w:r>
    </w:p>
    <w:p w14:paraId="53E6FE44"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бои с танками и мотопехотой противника. В районе одного железнодорожного разъезда немецкая пехота при поддержке 35 танков пыталась атаковать наши позиции. Бойцы Н-ской части контрударом отбросили гитлеровцев. На поле боя осталось 6 подбитых танков и до 200 трупов солдат и офицеров противника. На соседнем участке лейтенант Алексеев в броневике выехал на разведку и в лощине встретил колонну пехоты противника. Немцы открыли по бронемашине огонь. Тов. Алексеев ворвался в расположение врага и расстрелял из пулемёта несколько десятков гитлеровцев.</w:t>
      </w:r>
    </w:p>
    <w:p w14:paraId="5FB566F2"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течения Дона наши войска продолжали успешное наступление. Гвардейцы части, где командиром тов. Русиянов, выбили противника из крупного населённого пункта. В боях за этот населённый пункт уничтожено до 400 и взято вплен 98 гитлеровцев. Захвачены трофеи: более 100 автомашин, 2 танка, 30 орудий, 48 пулемётов, 100 лошадей, склад боеприпасов и склад продовольствия. Сапёры-гвардейцы сняли более 2.000 немецких мин. На другом участке артиллеристы H-ской части рассеяли и частью уничтожили в беспорядке отходившую пехотную часть противника.</w:t>
      </w:r>
    </w:p>
    <w:p w14:paraId="4D3B2F80"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закреплялись на достигнутых рубежах и отбивали контратаки противника. В районе западнее Ржева немцы трижды переходили в контратаки, но каждый раз под ударами наших подразделений откатывались назад. В течение дня истреблено до 300 солдат и офицеров противника. Захвачены 9 пулемётов, 12 миномётов и другие трофеи. На другом участке бронебойщики под командованием гвардии старшего лейтенанта Пугачёва отбили две контратаки противника, подбили и сожгли 10 вражеских танков.</w:t>
      </w:r>
    </w:p>
    <w:p w14:paraId="729A1651"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Орловской области, совершил налёт на железнодорожную станцию. Советские патриоты перебили немецких солдат, охранявших станцию, взорвали водокачку, уничтожили входные стрелки, взорвали 2 моста и захватили пулемёт и 19 винтовок.</w:t>
      </w:r>
    </w:p>
    <w:p w14:paraId="1C5712F2"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Совинформбюро 18 декабря разоблачило ложь немцев об окружении советских войск у города Торопца. В этом сообщении Совинформбюро было указано, что город Торопец находится в глубоком советском тылу и никаких боевых действий в этом районе с зимы 1941—1942 годов не происходило. Совинформбюро сообщило также, что бои происходили не в районе города Торопца, а в районе города Белого, где наступающие советские части нанесли немецко-фашистским войскам тяжёлый урон. Пойманные с поличным, немецкие мелкотравчатые лжецы стали выкручиваться и окончательно сели в лужу. 19 декабря в 4 часа берлинское радио заявило: «В германских сообщениях говорилось, что русские части были окружены не у Торопца, а западнее Торопца». В 8 часов того же дня гитлеровцы уже утверждали: «В коммюнике германское командование сообщало, что бои происходили не под самым Торопцом, а к юго-востоку от него, т. е. как раз около города Белого». Таким образом, растерявшиеся гитлеровцы запутались в собственной лжи и уподобились унтер-офицерской вдове, которая сама себя высекла.</w:t>
      </w:r>
    </w:p>
    <w:p w14:paraId="537E8895"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это часто случается с битыми шулерами, гитлеровцы пытаются сделатьвесёлую мину при плохой игре. Берлинское радио невнятно лепечет далее о том,будто бы «Совинформбюро не опровергает тех больших потерь, о которых сообщаетсяв коммюнике германского верховного командования». Нет нужды опровергать этоновое враньё немцев. Совинформбюро еще 18 декабря в ответ на измышлениягитлеровской ставки привело достоверные сведения не только о потерях немецкихвойск (о чём немцы в своём сообщении предусмотрительно умолчали), но и о потеряхсоветских войск в боях у гор. Белого.</w:t>
      </w:r>
    </w:p>
    <w:p w14:paraId="384A9E96"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Судя по всему, гитлеровцы на сей раз извлекли кое-какие уроки из своих позорно провалившихся попыток обманывать мировое общественное мнение. Хорошо информированный корреспондент шведской газеты «Свенска дагбладет» передаёт из Берлина: «3десь заявляют, что отныне в немецких сообщениях с Восточного фронтане будут упоминаться точные географические данные, в частности названия городов, как, например, Сталинград и т. п.». Таким образом, выходит, что гитлеровцы и впредь будут изливать потоки зловонной лжи, но отныне они будут врать без указания «точных географических данных», чтобы легче было прятать концы в воду. Жулики так и остаются жуликами.» (14868).</w:t>
      </w:r>
    </w:p>
    <w:p w14:paraId="21B2ADE5" w14:textId="77777777" w:rsidR="005052B4" w:rsidRPr="00722885" w:rsidRDefault="005052B4" w:rsidP="00722885">
      <w:pPr>
        <w:spacing w:after="0" w:line="240" w:lineRule="auto"/>
        <w:jc w:val="both"/>
        <w:rPr>
          <w:rFonts w:ascii="Times New Roman" w:hAnsi="Times New Roman"/>
          <w:color w:val="000000" w:themeColor="text1"/>
          <w:sz w:val="16"/>
          <w:szCs w:val="16"/>
        </w:rPr>
      </w:pPr>
    </w:p>
    <w:p w14:paraId="5EC5F604"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22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6B7BF0C2"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22 декабря наши войска в районе Сталинграда и на Центральном фронте вели наступательные бои на прежних направлениях.</w:t>
      </w:r>
    </w:p>
    <w:p w14:paraId="0CD0459B"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успешно развивать наступление и заняли несколько десятков населённых пунктов, в том числе крупные населённые пункты — Колещатое, Никольское, Морозовка, Верхне-Грачевский, Поповка, Каменский, Греков, Фёдоровка.</w:t>
      </w:r>
    </w:p>
    <w:p w14:paraId="2D0AF9FE"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декабря частями нашей авиации на различных участках фронта уничтожено или повреждено 40 автомашин с войсками и грузами, подавлен огонь 3 артиллерийских батарей, взорван склад боеприпасов, рассеяно и частью уничтожено до роты пехоты противника.</w:t>
      </w:r>
    </w:p>
    <w:p w14:paraId="19253EF9"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штурмовые отряды вели активные боевые действия и захватили 10 немецких дзотов и 25 блиндажей. В течение дня уничтожено до двух рот пехоты противника. В центральной части города гитлеровцы предприняли несколько безуспешных контратак. Наши бойцы отбили все контратаки противника и несколько продвинулись вперёд. На других участках наши части вели огневой бой с противником. В воздушных боях уничтожено 5 немецких самолётов, в том числе 4транспортных самолёта.</w:t>
      </w:r>
    </w:p>
    <w:p w14:paraId="44ED84B0"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разведку и артиллерийскую перестрелку с противником. В районе одной высоты бойцы Н-ской части отбили две контратаки противника и улучшили свои позиции. Уничтожено 4 немецких танка, 11 пулемётов и 9 автомашин. Гитлеровцы потеряли только убитыми свыше 200 солдат и офицеров. Огнём артиллерии и миномётов разрушено 14 немецких дзотов и блиндажей, подавлен огонь 3 артиллерийских, 2 миномётных батарей противника.</w:t>
      </w:r>
    </w:p>
    <w:p w14:paraId="6708308C"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продолжались ожесточённые бои. Советские войска сдерживают натиск крупных сил противника и наносят им огромный урон. Немецкие танки и мотопехота с хода пытались захватить один населённый пункт, но встретила решительный отпор. В ходе этих боёв истреблено до 1.000 вражеских солдат и офицеров, подбито и сожжено 60 немецких танков, уничтожено 21 орудие, 13 пулемётов и 64 автомашины.</w:t>
      </w:r>
    </w:p>
    <w:p w14:paraId="403B582E"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районе Среднего Дона наши войска продолжали успешно развивать наступление.Н-ская часть, преследуя отступающего врага, овладела рядом населённых пунктов. Под ударами советских бойцов противник бросает на поле боя технику, вооружение ибоеприпасы. Неорганизованные попытки отдельных вражеских групп задержать наступление Красной Армии успеха не имели и увеличили и без того огромные потери немцев. Н-ское соединение за два дня истребило около 6.000 вражеских солдат и офицеров. Захвачено 100 автомашин, 200 повозок и 30 орудий. На другом участке нашим частям сдался в плен в полном составе батальон пехоты противника во главе с командиром батальона.</w:t>
      </w:r>
    </w:p>
    <w:p w14:paraId="3FB2B713"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совершенствовали занятые позиции и вели наступательные бои против блокированных гарнизонов противника. В районе западнее Ржева штурмовые отряды уничтожили до роты немецкой пехоты, разрушили 5 дзотов и 2 блиндажа. На другом участке бойцы Н-ской части, отбивая контратаки противника, истребили до 600 гитлеровцев. Разбито 20 дзотов и 22 блиндажа, уничтожено 7 пулемётов, 2 орудия и 5 миномётов. Захвачены пленные.</w:t>
      </w:r>
    </w:p>
    <w:p w14:paraId="46262FFD"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Смоленской области, пустил под откос немецкий воинский эшелон. Несколько дней спустя партизаны произвели внезапный налёт на волостное управление и истребили 50 немецких солдат и полицейских. Группа партизан другого отряда уничтожила 10 вражеских автомашин, тягач и мотоцикл.</w:t>
      </w:r>
    </w:p>
    <w:p w14:paraId="420BDFD1"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акт о зверствах немецко-фашистских мерзавцев в деревнях Ширипино и Максимиха, Калининской области. «Немецкие бандиты забрали у крестьян продовольствие и весь скот. Несмотря на морозы, гитлеровцы выгнали всех жителей вместе с детьми на улицу.</w:t>
      </w:r>
    </w:p>
    <w:p w14:paraId="5C9625C6"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Немецкие солдаты задержали 13 колхозников деревни Ширипино по дороге из леса. Они несли вязанки дров. Фашистские палачи расстреляли всех их, в том числе65-летнего Ивана Кудрявцева, 20-летнюю Дарью Марцеву и 16-летнего Василия Филягина. В деревне Максимихе гитлеровцы расстреляли 18 мирных жителей». Акт подписали: колхозники деревни Ширипино Андрей Кувшинов, Василий Колосов, Ефросиния Кувшинова, Александра Гранева, старший лейтенант Дряхлов и красноармеец Гусельников.</w:t>
      </w:r>
    </w:p>
    <w:p w14:paraId="0733F666"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югославских партизан в районе Сански Мост и Босански Нови развивается успешно. В боях с оккупантами партизаны истребили большое количество вражеских солдат, уничтожили 2 танка и повредили на аэродроме один бомбардировщик. B результате кровопролитных боёв патриоты заняли Ласинью, Скакавец, Сеничак и ряд других населённых пунктов. Партизаны взяли в плен большую группу итальянских солдат, захватили много трофеев, в том числе 3 исправных танка.»</w:t>
      </w:r>
    </w:p>
    <w:p w14:paraId="6F8055E2"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296BAD19"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в районе среднего Дона продолжается.</w:t>
      </w:r>
    </w:p>
    <w:p w14:paraId="22DC6470"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23 декабря наши войска в районе среднего Дона, продолжая успешно развивать наступление на прежних направлениях, продвинулись на 20—30 километров. Всего за семь дней наступления наши войска продвинулись вперёд на 115—165 километров.</w:t>
      </w:r>
    </w:p>
    <w:p w14:paraId="7C05D3AE"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войсками занято несколько десятков населённых пунктов, в том числе крупные населённые пункты — Кабычино, Баранниковка, Новоселовка, Ольховый Рог, Большинская, Сулинскии и районные центры — Волошино, Первомайское.</w:t>
      </w:r>
    </w:p>
    <w:p w14:paraId="0696C6DB"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23 декабря количество пленных увеличилось на 16.400 человек. Всего за время боёв с 16 по 23 декабря наши войска захватили в плен 36.600 солдат и офицеров противника.</w:t>
      </w:r>
    </w:p>
    <w:p w14:paraId="615770C9"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боёв с 16 по 23 декабря нашими войсками захвачено: танков — 143, орудий разного калибра — 1.805, пулемётов — 2.849, автоматов — 2.000, винтовок — 48.399, автомашин — 7.414, мотоциклов — 1.151, лошадей — 5.800.</w:t>
      </w:r>
    </w:p>
    <w:p w14:paraId="728EB5D2"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Уничтожено: самолётов — 85, танков — 120, орудий — 235, автомашин — свыше 1.000, повозок с различным военным грузом — более 900.</w:t>
      </w:r>
    </w:p>
    <w:p w14:paraId="67E21B38"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22 декабря противник оставил на поле боя около 8.000 трупов солдат и офицеров.» (14868).</w:t>
      </w:r>
    </w:p>
    <w:p w14:paraId="683B1CC4" w14:textId="77777777" w:rsidR="005052B4" w:rsidRPr="00722885" w:rsidRDefault="005052B4" w:rsidP="00722885">
      <w:pPr>
        <w:spacing w:after="0" w:line="240" w:lineRule="auto"/>
        <w:jc w:val="both"/>
        <w:rPr>
          <w:rFonts w:ascii="Times New Roman" w:hAnsi="Times New Roman"/>
          <w:color w:val="000000" w:themeColor="text1"/>
          <w:sz w:val="16"/>
          <w:szCs w:val="16"/>
        </w:rPr>
      </w:pPr>
    </w:p>
    <w:p w14:paraId="536557B9" w14:textId="77777777" w:rsidR="00445F8C" w:rsidRPr="00722885" w:rsidRDefault="00445F8C" w:rsidP="00722885">
      <w:pPr>
        <w:pStyle w:val="7f"/>
        <w:shd w:val="clear" w:color="auto" w:fill="auto"/>
        <w:spacing w:after="0" w:line="240" w:lineRule="auto"/>
        <w:rPr>
          <w:rFonts w:ascii="Times New Roman" w:hAnsi="Times New Roman" w:cs="Times New Roman"/>
          <w:color w:val="0070C0"/>
          <w:spacing w:val="0"/>
          <w:sz w:val="16"/>
          <w:szCs w:val="16"/>
        </w:rPr>
      </w:pPr>
      <w:r w:rsidRPr="00722885">
        <w:rPr>
          <w:rFonts w:ascii="Times New Roman" w:hAnsi="Times New Roman" w:cs="Times New Roman"/>
          <w:color w:val="0070C0"/>
          <w:spacing w:val="0"/>
          <w:sz w:val="16"/>
          <w:szCs w:val="16"/>
        </w:rPr>
        <w:t>До 22 декабря 1942 г. потери гидросамолетов ГСТ из 80-й эскадрильи составили десять ма</w:t>
      </w:r>
      <w:r w:rsidRPr="00722885">
        <w:rPr>
          <w:rFonts w:ascii="Times New Roman" w:hAnsi="Times New Roman" w:cs="Times New Roman"/>
          <w:color w:val="0070C0"/>
          <w:spacing w:val="0"/>
          <w:sz w:val="16"/>
          <w:szCs w:val="16"/>
        </w:rPr>
        <w:softHyphen/>
        <w:t>шин. Две летающие лодки не вернулись с боевого задания. 19 сентября 1941 г. про</w:t>
      </w:r>
      <w:r w:rsidRPr="00722885">
        <w:rPr>
          <w:rFonts w:ascii="Times New Roman" w:hAnsi="Times New Roman" w:cs="Times New Roman"/>
          <w:color w:val="0070C0"/>
          <w:spacing w:val="0"/>
          <w:sz w:val="16"/>
          <w:szCs w:val="16"/>
        </w:rPr>
        <w:softHyphen/>
        <w:t>пал без вести ГСТ, осуществлявший раз</w:t>
      </w:r>
      <w:r w:rsidRPr="00722885">
        <w:rPr>
          <w:rFonts w:ascii="Times New Roman" w:hAnsi="Times New Roman" w:cs="Times New Roman"/>
          <w:color w:val="0070C0"/>
          <w:spacing w:val="0"/>
          <w:sz w:val="16"/>
          <w:szCs w:val="16"/>
        </w:rPr>
        <w:softHyphen/>
        <w:t>ведку района Констанца - Сулина. Погиб экипаж в составе: летчика лейтенанта Ге</w:t>
      </w:r>
      <w:r w:rsidRPr="00722885">
        <w:rPr>
          <w:rFonts w:ascii="Times New Roman" w:hAnsi="Times New Roman" w:cs="Times New Roman"/>
          <w:color w:val="0070C0"/>
          <w:spacing w:val="0"/>
          <w:sz w:val="16"/>
          <w:szCs w:val="16"/>
        </w:rPr>
        <w:softHyphen/>
        <w:t>оргия Петровича Божкова, второго пилота лейтенанта Владимира Васильевича Го- лубева, воздушного стрелка-бомбардира сержанта Владимира Дмитриевича Пруд- ского, воздушного стрелка-радиста стар</w:t>
      </w:r>
      <w:r w:rsidRPr="00722885">
        <w:rPr>
          <w:rFonts w:ascii="Times New Roman" w:hAnsi="Times New Roman" w:cs="Times New Roman"/>
          <w:color w:val="0070C0"/>
          <w:spacing w:val="0"/>
          <w:sz w:val="16"/>
          <w:szCs w:val="16"/>
        </w:rPr>
        <w:softHyphen/>
        <w:t>шего сержанта Константина Сидоровича Брускова, бортмеханика старшего сер</w:t>
      </w:r>
      <w:r w:rsidRPr="00722885">
        <w:rPr>
          <w:rFonts w:ascii="Times New Roman" w:hAnsi="Times New Roman" w:cs="Times New Roman"/>
          <w:color w:val="0070C0"/>
          <w:spacing w:val="0"/>
          <w:sz w:val="16"/>
          <w:szCs w:val="16"/>
        </w:rPr>
        <w:softHyphen/>
        <w:t>жанта Георгия Георгиевича Телалова и воздушного стрелка младшего сержанта Павла Еремовича Пивеня. По немецким данным в 15:55 (время берлинское) не</w:t>
      </w:r>
      <w:r w:rsidRPr="00722885">
        <w:rPr>
          <w:rFonts w:ascii="Times New Roman" w:hAnsi="Times New Roman" w:cs="Times New Roman"/>
          <w:color w:val="0070C0"/>
          <w:spacing w:val="0"/>
          <w:sz w:val="16"/>
          <w:szCs w:val="16"/>
        </w:rPr>
        <w:softHyphen/>
        <w:t>мецкие истребители, вылетевшие на пе</w:t>
      </w:r>
      <w:r w:rsidRPr="00722885">
        <w:rPr>
          <w:rFonts w:ascii="Times New Roman" w:hAnsi="Times New Roman" w:cs="Times New Roman"/>
          <w:color w:val="0070C0"/>
          <w:spacing w:val="0"/>
          <w:sz w:val="16"/>
          <w:szCs w:val="16"/>
        </w:rPr>
        <w:softHyphen/>
        <w:t>рехват по данным РЛС «Фрея», сбили</w:t>
      </w:r>
      <w:r w:rsidRPr="00722885">
        <w:rPr>
          <w:rStyle w:val="9pt80"/>
          <w:rFonts w:ascii="Times New Roman" w:hAnsi="Times New Roman" w:cs="Times New Roman"/>
          <w:i w:val="0"/>
          <w:iCs w:val="0"/>
          <w:color w:val="0070C0"/>
          <w:w w:val="100"/>
          <w:sz w:val="16"/>
          <w:szCs w:val="16"/>
        </w:rPr>
        <w:t xml:space="preserve"> «че</w:t>
      </w:r>
      <w:r w:rsidRPr="00722885">
        <w:rPr>
          <w:rStyle w:val="9pt80"/>
          <w:rFonts w:ascii="Times New Roman" w:hAnsi="Times New Roman" w:cs="Times New Roman"/>
          <w:i w:val="0"/>
          <w:iCs w:val="0"/>
          <w:color w:val="0070C0"/>
          <w:w w:val="100"/>
          <w:sz w:val="16"/>
          <w:szCs w:val="16"/>
        </w:rPr>
        <w:softHyphen/>
        <w:t>тырехмоторный»</w:t>
      </w:r>
      <w:r w:rsidRPr="00722885">
        <w:rPr>
          <w:rFonts w:ascii="Times New Roman" w:hAnsi="Times New Roman" w:cs="Times New Roman"/>
          <w:color w:val="0070C0"/>
          <w:spacing w:val="0"/>
          <w:sz w:val="16"/>
          <w:szCs w:val="16"/>
        </w:rPr>
        <w:t xml:space="preserve"> гидросамолет в 80 км восточнее аэродрома Мамайя. С большой долей вероятности можно утверждать, что речь идет именно о самолете Божкова, хотя немцы и несколько преувеличили число двигателей на ГСТ.</w:t>
      </w:r>
    </w:p>
    <w:p w14:paraId="71E32427" w14:textId="77777777" w:rsidR="00445F8C" w:rsidRPr="00722885" w:rsidRDefault="00445F8C" w:rsidP="00722885">
      <w:pPr>
        <w:pStyle w:val="7f"/>
        <w:shd w:val="clear" w:color="auto" w:fill="auto"/>
        <w:spacing w:after="0" w:line="240" w:lineRule="auto"/>
        <w:rPr>
          <w:rFonts w:ascii="Times New Roman" w:hAnsi="Times New Roman" w:cs="Times New Roman"/>
          <w:color w:val="0070C0"/>
          <w:spacing w:val="0"/>
          <w:sz w:val="16"/>
          <w:szCs w:val="16"/>
        </w:rPr>
      </w:pPr>
      <w:r w:rsidRPr="00722885">
        <w:rPr>
          <w:rFonts w:ascii="Times New Roman" w:hAnsi="Times New Roman" w:cs="Times New Roman"/>
          <w:color w:val="0070C0"/>
          <w:spacing w:val="0"/>
          <w:sz w:val="16"/>
          <w:szCs w:val="16"/>
        </w:rPr>
        <w:t>Второй самолет пропал при выпол</w:t>
      </w:r>
      <w:r w:rsidRPr="00722885">
        <w:rPr>
          <w:rFonts w:ascii="Times New Roman" w:hAnsi="Times New Roman" w:cs="Times New Roman"/>
          <w:color w:val="0070C0"/>
          <w:spacing w:val="0"/>
          <w:sz w:val="16"/>
          <w:szCs w:val="16"/>
        </w:rPr>
        <w:softHyphen/>
        <w:t>нении специального задания - доставки разведгруппы к югославским партизанам. 4 января 1942 г. самолет стартовал с ги</w:t>
      </w:r>
      <w:r w:rsidRPr="00722885">
        <w:rPr>
          <w:rFonts w:ascii="Times New Roman" w:hAnsi="Times New Roman" w:cs="Times New Roman"/>
          <w:color w:val="0070C0"/>
          <w:spacing w:val="0"/>
          <w:sz w:val="16"/>
          <w:szCs w:val="16"/>
        </w:rPr>
        <w:softHyphen/>
        <w:t>дроаэродрома в Геленджике и через де</w:t>
      </w:r>
      <w:r w:rsidRPr="00722885">
        <w:rPr>
          <w:rFonts w:ascii="Times New Roman" w:hAnsi="Times New Roman" w:cs="Times New Roman"/>
          <w:color w:val="0070C0"/>
          <w:spacing w:val="0"/>
          <w:sz w:val="16"/>
          <w:szCs w:val="16"/>
        </w:rPr>
        <w:softHyphen/>
        <w:t>сять часов полета дал радиограмму о вы</w:t>
      </w:r>
      <w:r w:rsidRPr="00722885">
        <w:rPr>
          <w:rFonts w:ascii="Times New Roman" w:hAnsi="Times New Roman" w:cs="Times New Roman"/>
          <w:color w:val="0070C0"/>
          <w:spacing w:val="0"/>
          <w:sz w:val="16"/>
          <w:szCs w:val="16"/>
        </w:rPr>
        <w:softHyphen/>
        <w:t>полнении задания. Но обратно на базу летающая лодка не вернулась. Ее судьба так и осталась неизвестной. Пропал без вести, вероятно в районе Загреба, эки</w:t>
      </w:r>
      <w:r w:rsidRPr="00722885">
        <w:rPr>
          <w:rFonts w:ascii="Times New Roman" w:hAnsi="Times New Roman" w:cs="Times New Roman"/>
          <w:color w:val="0070C0"/>
          <w:spacing w:val="0"/>
          <w:sz w:val="16"/>
          <w:szCs w:val="16"/>
        </w:rPr>
        <w:softHyphen/>
        <w:t>паж в составе командира корабля, коман</w:t>
      </w:r>
      <w:r w:rsidRPr="00722885">
        <w:rPr>
          <w:rFonts w:ascii="Times New Roman" w:hAnsi="Times New Roman" w:cs="Times New Roman"/>
          <w:color w:val="0070C0"/>
          <w:spacing w:val="0"/>
          <w:sz w:val="16"/>
          <w:szCs w:val="16"/>
        </w:rPr>
        <w:softHyphen/>
        <w:t>дира звена 80-й оаэ капитана Николая Андреевича Ивановского, штурмана звена старшего лейтенанта Леонида Василье</w:t>
      </w:r>
      <w:r w:rsidRPr="00722885">
        <w:rPr>
          <w:rFonts w:ascii="Times New Roman" w:hAnsi="Times New Roman" w:cs="Times New Roman"/>
          <w:color w:val="0070C0"/>
          <w:spacing w:val="0"/>
          <w:sz w:val="16"/>
          <w:szCs w:val="16"/>
        </w:rPr>
        <w:softHyphen/>
        <w:t>вича Колесова, второго пилота младшего лейтенанта Бориса Ивановича Смирнова, борттехника воентехника 2-го ранга Гри</w:t>
      </w:r>
      <w:r w:rsidRPr="00722885">
        <w:rPr>
          <w:rFonts w:ascii="Times New Roman" w:hAnsi="Times New Roman" w:cs="Times New Roman"/>
          <w:color w:val="0070C0"/>
          <w:spacing w:val="0"/>
          <w:sz w:val="16"/>
          <w:szCs w:val="16"/>
        </w:rPr>
        <w:softHyphen/>
        <w:t>гория Григорьевича Сущенко и воздуш</w:t>
      </w:r>
      <w:r w:rsidRPr="00722885">
        <w:rPr>
          <w:rFonts w:ascii="Times New Roman" w:hAnsi="Times New Roman" w:cs="Times New Roman"/>
          <w:color w:val="0070C0"/>
          <w:spacing w:val="0"/>
          <w:sz w:val="16"/>
          <w:szCs w:val="16"/>
        </w:rPr>
        <w:softHyphen/>
        <w:t>ных стрелков-радистов старшины Дмитрия Ивановича Ливанисова и сержанта Алексея Павловича Ермакова.</w:t>
      </w:r>
    </w:p>
    <w:p w14:paraId="31EEE51A" w14:textId="77777777" w:rsidR="00445F8C" w:rsidRPr="00722885" w:rsidRDefault="00445F8C" w:rsidP="00722885">
      <w:pPr>
        <w:pStyle w:val="7f"/>
        <w:shd w:val="clear" w:color="auto" w:fill="auto"/>
        <w:spacing w:after="0" w:line="240" w:lineRule="auto"/>
        <w:rPr>
          <w:rFonts w:ascii="Times New Roman" w:hAnsi="Times New Roman" w:cs="Times New Roman"/>
          <w:color w:val="0070C0"/>
          <w:spacing w:val="0"/>
          <w:sz w:val="16"/>
          <w:szCs w:val="16"/>
        </w:rPr>
      </w:pPr>
      <w:r w:rsidRPr="00722885">
        <w:rPr>
          <w:rFonts w:ascii="Times New Roman" w:hAnsi="Times New Roman" w:cs="Times New Roman"/>
          <w:color w:val="0070C0"/>
          <w:spacing w:val="0"/>
          <w:sz w:val="16"/>
          <w:szCs w:val="16"/>
        </w:rPr>
        <w:t>Возможно, что в документах против</w:t>
      </w:r>
      <w:r w:rsidRPr="00722885">
        <w:rPr>
          <w:rFonts w:ascii="Times New Roman" w:hAnsi="Times New Roman" w:cs="Times New Roman"/>
          <w:color w:val="0070C0"/>
          <w:spacing w:val="0"/>
          <w:sz w:val="16"/>
          <w:szCs w:val="16"/>
        </w:rPr>
        <w:softHyphen/>
        <w:t>ника этот эпизод и нашел свое отраже</w:t>
      </w:r>
      <w:r w:rsidRPr="00722885">
        <w:rPr>
          <w:rFonts w:ascii="Times New Roman" w:hAnsi="Times New Roman" w:cs="Times New Roman"/>
          <w:color w:val="0070C0"/>
          <w:spacing w:val="0"/>
          <w:sz w:val="16"/>
          <w:szCs w:val="16"/>
        </w:rPr>
        <w:softHyphen/>
        <w:t>ние, но, как правило, немецкие источники по Балканскому ТВД не очень известны среди российских историков (19852).</w:t>
      </w:r>
    </w:p>
    <w:p w14:paraId="34D7F6E1" w14:textId="77777777" w:rsidR="00445F8C" w:rsidRPr="00722885" w:rsidRDefault="00445F8C" w:rsidP="00722885">
      <w:pPr>
        <w:pStyle w:val="7f"/>
        <w:shd w:val="clear" w:color="auto" w:fill="auto"/>
        <w:spacing w:after="0" w:line="240" w:lineRule="auto"/>
        <w:rPr>
          <w:rFonts w:ascii="Times New Roman" w:hAnsi="Times New Roman" w:cs="Times New Roman"/>
          <w:color w:val="0070C0"/>
          <w:spacing w:val="0"/>
          <w:sz w:val="16"/>
          <w:szCs w:val="16"/>
        </w:rPr>
      </w:pPr>
    </w:p>
    <w:p w14:paraId="3ECB7AD9"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22 декабря</w:t>
      </w:r>
      <w:r w:rsidRPr="00722885">
        <w:rPr>
          <w:rFonts w:ascii="Times New Roman" w:hAnsi="Times New Roman"/>
          <w:color w:val="000000" w:themeColor="text1"/>
          <w:sz w:val="16"/>
          <w:szCs w:val="16"/>
        </w:rPr>
        <w:t xml:space="preserve"> в 1942 году немецкие войска начинают отступление с Кавказа (14868).</w:t>
      </w:r>
    </w:p>
    <w:p w14:paraId="1F34A309" w14:textId="77777777" w:rsidR="005052B4" w:rsidRPr="00722885" w:rsidRDefault="005052B4" w:rsidP="00722885">
      <w:pPr>
        <w:spacing w:after="0" w:line="240" w:lineRule="auto"/>
        <w:jc w:val="both"/>
        <w:rPr>
          <w:rFonts w:ascii="Times New Roman" w:hAnsi="Times New Roman"/>
          <w:color w:val="000000" w:themeColor="text1"/>
          <w:sz w:val="16"/>
          <w:szCs w:val="16"/>
        </w:rPr>
      </w:pPr>
    </w:p>
    <w:p w14:paraId="415F5FB2"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22 декабря</w:t>
      </w:r>
      <w:r w:rsidRPr="00722885">
        <w:rPr>
          <w:rFonts w:ascii="Times New Roman" w:hAnsi="Times New Roman"/>
          <w:color w:val="000000" w:themeColor="text1"/>
          <w:sz w:val="16"/>
          <w:szCs w:val="16"/>
        </w:rPr>
        <w:t xml:space="preserve"> в 1942 году начались наступление 5-й танковой армии Юго-Западного фронта, сковавшей севернее Тормосина соединении противника, предназначенные для деблокирования 6-й немецкой армии (14868).</w:t>
      </w:r>
    </w:p>
    <w:p w14:paraId="02E6F7D3" w14:textId="77777777" w:rsidR="005052B4" w:rsidRPr="00722885" w:rsidRDefault="005052B4" w:rsidP="00722885">
      <w:pPr>
        <w:spacing w:after="0" w:line="240" w:lineRule="auto"/>
        <w:jc w:val="both"/>
        <w:rPr>
          <w:rFonts w:ascii="Times New Roman" w:hAnsi="Times New Roman"/>
          <w:color w:val="000000" w:themeColor="text1"/>
          <w:sz w:val="16"/>
          <w:szCs w:val="16"/>
        </w:rPr>
      </w:pPr>
    </w:p>
    <w:p w14:paraId="71BE0A0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22 декабря 1942 л ст. Н.Шмелев и ш л-т А.Зайцев 710 нлбап под Демянском в интересах 1235-го артполка первыми в истории советских ВВС провели ночную корректировку артогня. Наводили артдивизион на штаб в д. Савкино (8689,30).</w:t>
      </w:r>
    </w:p>
    <w:p w14:paraId="2294A1F8" w14:textId="77777777" w:rsidR="00BB6316" w:rsidRPr="00722885" w:rsidRDefault="00BB6316" w:rsidP="00722885">
      <w:pPr>
        <w:pStyle w:val="Iauiue"/>
        <w:jc w:val="both"/>
        <w:rPr>
          <w:color w:val="000000" w:themeColor="text1"/>
          <w:sz w:val="16"/>
          <w:szCs w:val="16"/>
        </w:rPr>
      </w:pPr>
    </w:p>
    <w:p w14:paraId="3B165A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22 декабря 1942 г. в ВВС Черноморского флота здесь насчитывалось 3 СБ (из них 1 неисправный) и 1 УСБ. В 1943 г. несколько СБ использовались в авиации Черноморского флота для вспомогательных целей (12027).</w:t>
      </w:r>
    </w:p>
    <w:p w14:paraId="6391E53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F13CBF1"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22 декабря 1942 немецкие войска начали отступление с Кавказа (4962).</w:t>
      </w:r>
    </w:p>
    <w:p w14:paraId="6583CFA3" w14:textId="77777777" w:rsidR="00BB6316" w:rsidRPr="00722885" w:rsidRDefault="00BB6316" w:rsidP="00722885">
      <w:pPr>
        <w:pStyle w:val="Iauiue"/>
        <w:tabs>
          <w:tab w:val="left" w:pos="11199"/>
        </w:tabs>
        <w:jc w:val="both"/>
        <w:rPr>
          <w:color w:val="000000" w:themeColor="text1"/>
          <w:sz w:val="16"/>
          <w:szCs w:val="16"/>
        </w:rPr>
      </w:pPr>
    </w:p>
    <w:p w14:paraId="0CC1A06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22 декабря 1942 советские войска продвинулись на 15 миль в районе Дона (2100).</w:t>
      </w:r>
    </w:p>
    <w:p w14:paraId="7B33FA8A" w14:textId="77777777" w:rsidR="00BB6316" w:rsidRPr="00722885" w:rsidRDefault="00BB6316" w:rsidP="00722885">
      <w:pPr>
        <w:pStyle w:val="Iauiue"/>
        <w:jc w:val="both"/>
        <w:rPr>
          <w:color w:val="000000" w:themeColor="text1"/>
          <w:sz w:val="16"/>
          <w:szCs w:val="16"/>
        </w:rPr>
      </w:pPr>
    </w:p>
    <w:p w14:paraId="141F7FE3"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22 декабря 1942 учреждены медали “За оборону Ленинграда”, “За оборону Одессы”, “За оборону Севастополя” и “За оборону Сталинграда” (4962).</w:t>
      </w:r>
    </w:p>
    <w:p w14:paraId="1779F5C5" w14:textId="77777777" w:rsidR="00BB6316" w:rsidRPr="00722885" w:rsidRDefault="00BB6316" w:rsidP="00722885">
      <w:pPr>
        <w:pStyle w:val="Iauiue"/>
        <w:tabs>
          <w:tab w:val="left" w:pos="11199"/>
        </w:tabs>
        <w:jc w:val="both"/>
        <w:rPr>
          <w:color w:val="000000" w:themeColor="text1"/>
          <w:sz w:val="16"/>
          <w:szCs w:val="16"/>
        </w:rPr>
      </w:pPr>
    </w:p>
    <w:p w14:paraId="3CD632E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006C75F5" w14:textId="77777777" w:rsidR="00BB6316" w:rsidRPr="00722885" w:rsidRDefault="00BB6316" w:rsidP="00722885">
      <w:pPr>
        <w:pStyle w:val="Iauiue"/>
        <w:jc w:val="both"/>
        <w:rPr>
          <w:iCs/>
          <w:color w:val="000000" w:themeColor="text1"/>
          <w:sz w:val="16"/>
          <w:szCs w:val="16"/>
        </w:rPr>
      </w:pPr>
    </w:p>
    <w:p w14:paraId="5BF5F2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декабря 1942 года из Лондона в Москву поступил полученный резидентурой подробный отчет о работах по атомной тематике, которые велись как в самой Великобритании, так и в США. Из полученных документов следовало, что американцы значительно опережали британцев в деле разработки атомной бомбы (11765).</w:t>
      </w:r>
    </w:p>
    <w:p w14:paraId="0574328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5C43E16"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48EBD4A" w14:textId="77777777" w:rsidR="00BB6316" w:rsidRPr="00722885" w:rsidRDefault="00BB6316" w:rsidP="00722885">
      <w:pPr>
        <w:pStyle w:val="Iauiue"/>
        <w:jc w:val="both"/>
        <w:rPr>
          <w:iCs/>
          <w:color w:val="000000" w:themeColor="text1"/>
          <w:sz w:val="16"/>
          <w:szCs w:val="16"/>
        </w:rPr>
      </w:pPr>
    </w:p>
    <w:p w14:paraId="5305F22B" w14:textId="77777777" w:rsidR="000A2335" w:rsidRPr="00722885" w:rsidRDefault="000A2335" w:rsidP="00722885">
      <w:pPr>
        <w:pStyle w:val="7f"/>
        <w:shd w:val="clear" w:color="auto" w:fill="auto"/>
        <w:spacing w:after="0" w:line="240" w:lineRule="auto"/>
        <w:rPr>
          <w:rFonts w:ascii="Times New Roman" w:hAnsi="Times New Roman" w:cs="Times New Roman"/>
          <w:color w:val="0070C0"/>
          <w:spacing w:val="0"/>
          <w:sz w:val="16"/>
          <w:szCs w:val="16"/>
        </w:rPr>
      </w:pPr>
      <w:r w:rsidRPr="00722885">
        <w:rPr>
          <w:rFonts w:ascii="Times New Roman" w:hAnsi="Times New Roman" w:cs="Times New Roman"/>
          <w:color w:val="0070C0"/>
          <w:spacing w:val="0"/>
          <w:sz w:val="16"/>
          <w:szCs w:val="16"/>
        </w:rPr>
        <w:t>22 декабря 1942 г. Гитлер подписал приказ об окончании разработки проекта ракеты А-4 и запуске в серийное производство к июлю 1943 года наиболее трудоемких агрегатов ракеты. Одним из аргументов склонивших руководство вермахта в пользу вооружения армии автоматически управляемыми летательными снарядами послужил тот факт, что с начала войны с Советским Союзом и по июнь 1943 года потери Германии в бомбардировочной авиации составили 133544 человека (22685).</w:t>
      </w:r>
    </w:p>
    <w:p w14:paraId="26283649" w14:textId="77777777" w:rsidR="000A2335" w:rsidRPr="00722885" w:rsidRDefault="000A2335" w:rsidP="00722885">
      <w:pPr>
        <w:spacing w:after="0" w:line="240" w:lineRule="auto"/>
        <w:jc w:val="both"/>
        <w:rPr>
          <w:rFonts w:ascii="Times New Roman" w:hAnsi="Times New Roman"/>
          <w:color w:val="0070C0"/>
          <w:sz w:val="16"/>
          <w:szCs w:val="16"/>
        </w:rPr>
      </w:pPr>
    </w:p>
    <w:p w14:paraId="53009DEB"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22 декабря 1942 бойцами еврейского Сопротивления в Краковских кафе взорваны две бомбы, убившие до 20 немецких солдат (4962).</w:t>
      </w:r>
    </w:p>
    <w:p w14:paraId="59B718A3" w14:textId="77777777" w:rsidR="00BB6316" w:rsidRPr="00722885" w:rsidRDefault="00BB6316" w:rsidP="00722885">
      <w:pPr>
        <w:pStyle w:val="Iauiue"/>
        <w:tabs>
          <w:tab w:val="left" w:pos="11199"/>
        </w:tabs>
        <w:jc w:val="both"/>
        <w:rPr>
          <w:color w:val="000000" w:themeColor="text1"/>
          <w:sz w:val="16"/>
          <w:szCs w:val="16"/>
        </w:rPr>
      </w:pPr>
    </w:p>
    <w:p w14:paraId="6038FE0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22 декабря 1942 по приговору имперского суда в Германии были казнены члены разведовательной организации Красная Капелла (3398,449).</w:t>
      </w:r>
    </w:p>
    <w:p w14:paraId="05754F92" w14:textId="77777777" w:rsidR="00BB6316" w:rsidRPr="00722885" w:rsidRDefault="00BB6316" w:rsidP="00722885">
      <w:pPr>
        <w:pStyle w:val="Iauiue"/>
        <w:jc w:val="both"/>
        <w:rPr>
          <w:color w:val="000000" w:themeColor="text1"/>
          <w:sz w:val="16"/>
          <w:szCs w:val="16"/>
        </w:rPr>
      </w:pPr>
    </w:p>
    <w:p w14:paraId="007A5A6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0EAC408" w14:textId="77777777" w:rsidR="00BB6316" w:rsidRPr="00722885" w:rsidRDefault="00BB6316" w:rsidP="00722885">
      <w:pPr>
        <w:pStyle w:val="Iauiue"/>
        <w:jc w:val="both"/>
        <w:rPr>
          <w:iCs/>
          <w:color w:val="000000" w:themeColor="text1"/>
          <w:sz w:val="16"/>
          <w:szCs w:val="16"/>
        </w:rPr>
      </w:pPr>
    </w:p>
    <w:p w14:paraId="796F63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декабря 1942 г. приказом № 904с/479с в соответствии с пост. ГКО № 2643с от 20.12.1942 г. завод № 477 в Лаптево передан в ведение Главуглемаша НКугля (может быть, имеется в виду площадка завода). В начале 1942 г. в Красноярске был завод № 477бис.) (11982).</w:t>
      </w:r>
    </w:p>
    <w:p w14:paraId="415ABFE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1805A7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23 декабря 1942 года приказом НКАП за № 134-ок директором филиала завода № 95 был назначен Румянцев Б.Ф.</w:t>
      </w:r>
    </w:p>
    <w:p w14:paraId="441BF38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 реорганизации филиала в самостоятельный завод № 65 директором завода № 95 был назначен Румянцев Б.Ф.</w:t>
      </w:r>
    </w:p>
    <w:p w14:paraId="7F5B646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Приказом НКАП № 254/к от 22 марта 1944 года на должность директора завода назначен Коваль Б.А.</w:t>
      </w:r>
    </w:p>
    <w:p w14:paraId="7026B64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182AAD5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384982D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772DDCA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Адрес: Москва, Кунцево, ул. Горбунова, д. 20 (9894).</w:t>
      </w:r>
    </w:p>
    <w:p w14:paraId="3575FADC" w14:textId="77777777" w:rsidR="00BB6316" w:rsidRPr="00722885" w:rsidRDefault="00BB6316" w:rsidP="00722885">
      <w:pPr>
        <w:pStyle w:val="Iauiue"/>
        <w:jc w:val="both"/>
        <w:rPr>
          <w:color w:val="000000" w:themeColor="text1"/>
          <w:sz w:val="16"/>
          <w:szCs w:val="16"/>
        </w:rPr>
      </w:pPr>
    </w:p>
    <w:p w14:paraId="0A2592D5" w14:textId="77777777" w:rsidR="005052B4" w:rsidRPr="00722885" w:rsidRDefault="005052B4" w:rsidP="00722885">
      <w:pPr>
        <w:pStyle w:val="3a"/>
        <w:shd w:val="clear" w:color="auto" w:fill="auto"/>
        <w:spacing w:before="0" w:after="0" w:line="240" w:lineRule="auto"/>
        <w:jc w:val="both"/>
        <w:rPr>
          <w:color w:val="000000" w:themeColor="text1"/>
          <w:spacing w:val="0"/>
          <w:sz w:val="16"/>
          <w:szCs w:val="16"/>
        </w:rPr>
      </w:pPr>
      <w:bookmarkStart w:id="10" w:name="bookmark65"/>
      <w:r w:rsidRPr="00722885">
        <w:rPr>
          <w:color w:val="000000" w:themeColor="text1"/>
          <w:spacing w:val="0"/>
          <w:sz w:val="16"/>
          <w:szCs w:val="16"/>
        </w:rPr>
        <w:t>23 декабря 1942 г. Отзыв заместителя начальника штаба</w:t>
      </w:r>
      <w:r w:rsidRPr="00722885">
        <w:rPr>
          <w:rStyle w:val="3f9"/>
          <w:b w:val="0"/>
          <w:color w:val="000000" w:themeColor="text1"/>
          <w:spacing w:val="0"/>
          <w:sz w:val="16"/>
          <w:szCs w:val="16"/>
        </w:rPr>
        <w:t xml:space="preserve"> АДД </w:t>
      </w:r>
      <w:r w:rsidRPr="00722885">
        <w:rPr>
          <w:color w:val="000000" w:themeColor="text1"/>
          <w:spacing w:val="0"/>
          <w:sz w:val="16"/>
          <w:szCs w:val="16"/>
        </w:rPr>
        <w:t>Н</w:t>
      </w:r>
      <w:r w:rsidRPr="00722885">
        <w:rPr>
          <w:rStyle w:val="3f9"/>
          <w:b w:val="0"/>
          <w:color w:val="000000" w:themeColor="text1"/>
          <w:spacing w:val="0"/>
          <w:sz w:val="16"/>
          <w:szCs w:val="16"/>
        </w:rPr>
        <w:t>.А.</w:t>
      </w:r>
      <w:r w:rsidRPr="00722885">
        <w:rPr>
          <w:color w:val="000000" w:themeColor="text1"/>
          <w:spacing w:val="0"/>
          <w:sz w:val="16"/>
          <w:szCs w:val="16"/>
        </w:rPr>
        <w:t xml:space="preserve"> Байкузова о работах объекта № 5 НИИ ГВФ</w:t>
      </w:r>
      <w:bookmarkEnd w:id="10"/>
    </w:p>
    <w:p w14:paraId="5E7E9EBD"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осени 1941 г. и по конец 1942 г. объект № 5 НИИ ГВФ провел ряд весьма серьезных работ в области наземной радиопеленгации само</w:t>
      </w:r>
      <w:r w:rsidRPr="00722885">
        <w:rPr>
          <w:rFonts w:ascii="Times New Roman" w:hAnsi="Times New Roman"/>
          <w:color w:val="000000" w:themeColor="text1"/>
          <w:sz w:val="16"/>
          <w:szCs w:val="16"/>
        </w:rPr>
        <w:softHyphen/>
        <w:t>летов. Работы имели общей целью организацию пеленгаторной службы на территории Союза, как методы вождения самолетов наиболее подхо</w:t>
      </w:r>
      <w:r w:rsidRPr="00722885">
        <w:rPr>
          <w:rFonts w:ascii="Times New Roman" w:hAnsi="Times New Roman"/>
          <w:color w:val="000000" w:themeColor="text1"/>
          <w:sz w:val="16"/>
          <w:szCs w:val="16"/>
        </w:rPr>
        <w:softHyphen/>
        <w:t>дящую для условий военного времени.</w:t>
      </w:r>
    </w:p>
    <w:p w14:paraId="3A9C9CB1"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числе этих работ следует отметить удачную разработку полуста</w:t>
      </w:r>
      <w:r w:rsidRPr="00722885">
        <w:rPr>
          <w:rFonts w:ascii="Times New Roman" w:hAnsi="Times New Roman"/>
          <w:color w:val="000000" w:themeColor="text1"/>
          <w:sz w:val="16"/>
          <w:szCs w:val="16"/>
        </w:rPr>
        <w:softHyphen/>
        <w:t>ционарного пеленгатора типа ВАЛ, серийный выпуск его силами объ</w:t>
      </w:r>
      <w:r w:rsidRPr="00722885">
        <w:rPr>
          <w:rFonts w:ascii="Times New Roman" w:hAnsi="Times New Roman"/>
          <w:color w:val="000000" w:themeColor="text1"/>
          <w:sz w:val="16"/>
          <w:szCs w:val="16"/>
        </w:rPr>
        <w:softHyphen/>
        <w:t>екта, установку и ввод его в эксплуатацию на местах, организацию кур</w:t>
      </w:r>
      <w:r w:rsidRPr="00722885">
        <w:rPr>
          <w:rFonts w:ascii="Times New Roman" w:hAnsi="Times New Roman"/>
          <w:color w:val="000000" w:themeColor="text1"/>
          <w:sz w:val="16"/>
          <w:szCs w:val="16"/>
        </w:rPr>
        <w:softHyphen/>
        <w:t>сов по подготовке кадров для пеленгаторной службы, разработку на основе большого собственного опыта системы вождения самолетов в дальних рейсах и методов определения точности вождения и проекти</w:t>
      </w:r>
      <w:r w:rsidRPr="00722885">
        <w:rPr>
          <w:rFonts w:ascii="Times New Roman" w:hAnsi="Times New Roman"/>
          <w:color w:val="000000" w:themeColor="text1"/>
          <w:sz w:val="16"/>
          <w:szCs w:val="16"/>
        </w:rPr>
        <w:softHyphen/>
        <w:t>рования пеленгаторных сетей.</w:t>
      </w:r>
    </w:p>
    <w:p w14:paraId="2533F896"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Объектом составлен ряд технических описаний, инструкций и отдельных работ по перечисленным вопросам.</w:t>
      </w:r>
    </w:p>
    <w:p w14:paraId="55D45481"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объекта, в которых был удачно использован весь опыт предшествующих работ НИИ в этой области и проявлено много иници</w:t>
      </w:r>
      <w:r w:rsidRPr="00722885">
        <w:rPr>
          <w:rFonts w:ascii="Times New Roman" w:hAnsi="Times New Roman"/>
          <w:color w:val="000000" w:themeColor="text1"/>
          <w:sz w:val="16"/>
          <w:szCs w:val="16"/>
        </w:rPr>
        <w:softHyphen/>
        <w:t>ативы, весьма расширили область организованного применения ради</w:t>
      </w:r>
      <w:r w:rsidRPr="00722885">
        <w:rPr>
          <w:rFonts w:ascii="Times New Roman" w:hAnsi="Times New Roman"/>
          <w:color w:val="000000" w:themeColor="text1"/>
          <w:sz w:val="16"/>
          <w:szCs w:val="16"/>
        </w:rPr>
        <w:softHyphen/>
        <w:t>опеленгации в Союзе, как наиболее эффективного средства вождения самолетов в военное время.</w:t>
      </w:r>
    </w:p>
    <w:p w14:paraId="4DBAB3AD"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АДД использовала опыт работ объекта в ряде вопросов и, кроме того, пользовалась его помощью, как в отношении материальной части и ремонта пеленгаторов, так и в отношении подготовки кадров.</w:t>
      </w:r>
    </w:p>
    <w:p w14:paraId="0E8BD362"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коллектива 5-го объекта НИИ ГВФ в период Отечествен</w:t>
      </w:r>
      <w:r w:rsidRPr="00722885">
        <w:rPr>
          <w:rFonts w:ascii="Times New Roman" w:hAnsi="Times New Roman"/>
          <w:color w:val="000000" w:themeColor="text1"/>
          <w:sz w:val="16"/>
          <w:szCs w:val="16"/>
        </w:rPr>
        <w:softHyphen/>
        <w:t>ной войны, проведенные на основе богатого опыта исследований ко</w:t>
      </w:r>
      <w:r w:rsidRPr="00722885">
        <w:rPr>
          <w:rFonts w:ascii="Times New Roman" w:hAnsi="Times New Roman"/>
          <w:color w:val="000000" w:themeColor="text1"/>
          <w:sz w:val="16"/>
          <w:szCs w:val="16"/>
        </w:rPr>
        <w:softHyphen/>
        <w:t>ротковолновой радиопеленгации, создавших определенную школу в этой области под руководством профессора В.В. Ширкова, заслужива</w:t>
      </w:r>
      <w:r w:rsidRPr="00722885">
        <w:rPr>
          <w:rFonts w:ascii="Times New Roman" w:hAnsi="Times New Roman"/>
          <w:color w:val="000000" w:themeColor="text1"/>
          <w:sz w:val="16"/>
          <w:szCs w:val="16"/>
        </w:rPr>
        <w:softHyphen/>
        <w:t>ют высокой оценки.</w:t>
      </w:r>
    </w:p>
    <w:p w14:paraId="253920C8"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Коллектив, разрабатывавший весь комплекс применения ко</w:t>
      </w:r>
      <w:r w:rsidRPr="00722885">
        <w:rPr>
          <w:rFonts w:ascii="Times New Roman" w:hAnsi="Times New Roman"/>
          <w:color w:val="000000" w:themeColor="text1"/>
          <w:sz w:val="16"/>
          <w:szCs w:val="16"/>
        </w:rPr>
        <w:softHyphen/>
        <w:t>ротковолновой радиопеленгации в эксплуатации и боевой работе ави</w:t>
      </w:r>
      <w:r w:rsidRPr="00722885">
        <w:rPr>
          <w:rFonts w:ascii="Times New Roman" w:hAnsi="Times New Roman"/>
          <w:color w:val="000000" w:themeColor="text1"/>
          <w:sz w:val="16"/>
          <w:szCs w:val="16"/>
        </w:rPr>
        <w:softHyphen/>
        <w:t>ации Советского Союза, впервые в Советском Союзе смело и удачно внедривший коротковолновые пеленгаторы своей разработки на транспортных внутренних и междугородних линиях, заслуживает присвое</w:t>
      </w:r>
      <w:r w:rsidRPr="00722885">
        <w:rPr>
          <w:rFonts w:ascii="Times New Roman" w:hAnsi="Times New Roman"/>
          <w:color w:val="000000" w:themeColor="text1"/>
          <w:sz w:val="16"/>
          <w:szCs w:val="16"/>
        </w:rPr>
        <w:softHyphen/>
        <w:t>ния ему Сталинской премии.</w:t>
      </w:r>
    </w:p>
    <w:p w14:paraId="1BAB6BC1"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Заместитель начальника штаба авиации дальнего действия, инженер-подполковник Н.А. Байкузов</w:t>
      </w:r>
    </w:p>
    <w:p w14:paraId="1A518F73"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РГАНТД. Ф. Р-4. Оп. 2-1. Д. 343. Л. 6. Подлинник (15633).</w:t>
      </w:r>
    </w:p>
    <w:p w14:paraId="45F8FB6E" w14:textId="77777777" w:rsidR="005052B4" w:rsidRPr="00722885" w:rsidRDefault="005052B4" w:rsidP="00722885">
      <w:pPr>
        <w:spacing w:after="0" w:line="240" w:lineRule="auto"/>
        <w:jc w:val="both"/>
        <w:rPr>
          <w:rFonts w:ascii="Times New Roman" w:hAnsi="Times New Roman"/>
          <w:color w:val="000000" w:themeColor="text1"/>
          <w:sz w:val="16"/>
          <w:szCs w:val="16"/>
        </w:rPr>
      </w:pPr>
    </w:p>
    <w:p w14:paraId="7BD27DD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5322A2C" w14:textId="77777777" w:rsidR="00BB6316" w:rsidRPr="00722885" w:rsidRDefault="00BB6316" w:rsidP="00722885">
      <w:pPr>
        <w:pStyle w:val="Iauiue"/>
        <w:jc w:val="both"/>
        <w:rPr>
          <w:iCs/>
          <w:color w:val="000000" w:themeColor="text1"/>
          <w:sz w:val="16"/>
          <w:szCs w:val="16"/>
        </w:rPr>
      </w:pPr>
    </w:p>
    <w:p w14:paraId="0088B3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декабря 1942 вышло Постановление ГКО № 2652 О строительстве трубопровода Гурьев-Уральск-Куйбышев. РГАНИР, Фонд ГКО, д. 74, лл. 47-58, 59-85 (11012).</w:t>
      </w:r>
    </w:p>
    <w:p w14:paraId="174AB89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89961A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F438033" w14:textId="77777777" w:rsidR="00BB6316" w:rsidRPr="00722885" w:rsidRDefault="00BB6316" w:rsidP="00722885">
      <w:pPr>
        <w:pStyle w:val="Iauiue"/>
        <w:jc w:val="both"/>
        <w:rPr>
          <w:iCs/>
          <w:color w:val="000000" w:themeColor="text1"/>
          <w:sz w:val="16"/>
          <w:szCs w:val="16"/>
        </w:rPr>
      </w:pPr>
    </w:p>
    <w:p w14:paraId="7B99D56A"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23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579D447F"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23 декабря наши войска в районе Сталинграда, на Центральном фронте и в районе Среднего Дона продолжали вести наступательные бои на прежних направлениях.</w:t>
      </w:r>
    </w:p>
    <w:p w14:paraId="47599D78"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вели активные боевые действия и выбили противника из нескольких десятков дзотов и блиндажей. Немцы предприняли ряд контратак, но, потеряв только убитыми до 200 солдат и офицеров, откатились на исходные позиции. Нашими бойцами захвачено 2 орудия, 2 миномёта и 29 ручных пулемётов.</w:t>
      </w:r>
    </w:p>
    <w:p w14:paraId="53FADC8F"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подразделения ночью атаковали позиции немцев и после ожесточённой схватки заняли несколько окопов и блиндажей. На поле боя осталось 140 вражеских трупов. Захвачены 9 пулемётов, 2 миномёта, 78 винтовок и радиостанция. На другом участке группа гитлеровцев пыталась вести разведку. Встреченные пулемётным и залповым ружейным огнём, немцы отошли, оставив на поле боя личное оружие и несколько десятков трупов.</w:t>
      </w:r>
    </w:p>
    <w:p w14:paraId="59EC3D3A"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продолжались ожесточённые бои. Противник силами автоматчиков и 70 танков атаковал один населённый пункт, обороняемый бойцами Н-ской части. На подступах к населённому пункту наши артиллеристы подбили и сожгли 10 немецких танков. На другом участке пехота и танки противника атаковали наши позиции в районе железной дороги, но были отброшены с большими для них потерями. В этих боях немцы потеряли убитыми свыше батальона пехоты, l6 танков,12 орудий и 24 пулемёта.</w:t>
      </w:r>
    </w:p>
    <w:p w14:paraId="56F5CDC2"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вели наступательные бои и освободили ряд населённых пунктов. При занятии одного населённого пункта Н-ская часть взяла в плен 2.200 вражеских солдат и офицеров. Захвачены большие трофеи, в числе которых много тяжёлых орудий, автомашин и тягачей. На другом участке группа танков под руководством лейтенанта Торопова ворвалась в населённый пункт, уничтожила 4 орудия и захватила 170 пленных. Другая группа танкистов под руководством лейтенанта Алкина атаковала гитлеровцев, укрепившихся в роще. Танкисты подавили немецкую оборону и истребили до 800 вражеских солдат и офицеров.</w:t>
      </w:r>
    </w:p>
    <w:p w14:paraId="2EE376B3"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западнее Ржева, бойцы Н-ской части отразили атаку противника и уничтожили до 150 гитлеровцев, 3 танка и 2 самоходных орудия.</w:t>
      </w:r>
    </w:p>
    <w:p w14:paraId="674D8818"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наши штурмовые отряды вели бои по уничтожению немецких гарнизонов, блокированных в населённых пунктах.</w:t>
      </w:r>
    </w:p>
    <w:p w14:paraId="246ADD1B"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Один из отрядов литовских партизан в бою с подразделениями противника истребил 37 немецких солдат. Партизаны захватили пулемёт, 14 винтовок, 5 револьверов и без потерь вернулись на свою базу.</w:t>
      </w:r>
    </w:p>
    <w:p w14:paraId="32B12D3A"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Последнее время гитлеровцы распространяют многочисленные сообщения о том, что немецко-фашистские войска будто бы окружили на ряде участков фронта значительные группы советских войск. Только за один день, 21 декабря, берлинское радио передало несколько таких сообщений. В одном из них говорится: «На линии между Калинином и озером Ильмень противник тщетно пытался освободить окружённые части. На этом участке русские потеряли 7 дивизий: 19, 35, 37, 47 и 74 стрелковые дивизии и 65 и 216 танковые дивизии... Цель операций последнего времени заключалась в освобождении всех окружённых нами большевистских частей. Однако цель эта большевиками не достигнута». Это сообщение гитлеровцев, равно как идругие ему подобные, высосано из пальца. Во-первых, никакой линии фронта между Калинином и озером Ильмень нет. Фронт идёт от озера Ильмень к городу Великие Луки.Последний находится в 340 километрах западнее Калинина. Немцам очень хотелось бы, чтобы фронт был у Калинина, но сие от них не зависит. Во-вторых, гитлеровцы не могли уничтожить и не уничтожили перечисленные дивизии, так как некоторых из них, как, например, 65 и 216 танковых дивизий, в составе Красной Армии никогда не было и нет, а другие дивизии и поныне действуют, но на других участках фронта и успешно громят немецко-фашистские войска. В-третьих, ни у озера Ильмень, ни вкаком-либо другом месте советско-германского фронта советские войска не находятся в окружении. Неспроста немцы последние дни часто употребляют слово «окружение». Для этого у них есть все основания. Гитлеровское командование, например, могло бы рассказать германскому народу об окружении только не советских войск, а немецких войск. Однако известно, что гитлеровцы с истиной не в ладах и всячески замалчивают факты действительного окружения немецких войск. Более того, они сочиняют вздорные сказки о мнимом окружении советских войск и оказываются в дураках. Перефразируя русскую поговорку, можно сказать: «Чья бы корова мычала, да немецкая бы молчала» (14869).</w:t>
      </w:r>
    </w:p>
    <w:p w14:paraId="5220CA6F" w14:textId="77777777" w:rsidR="005052B4" w:rsidRPr="00722885" w:rsidRDefault="005052B4" w:rsidP="00722885">
      <w:pPr>
        <w:spacing w:after="0" w:line="240" w:lineRule="auto"/>
        <w:jc w:val="both"/>
        <w:rPr>
          <w:rFonts w:ascii="Times New Roman" w:hAnsi="Times New Roman"/>
          <w:color w:val="000000" w:themeColor="text1"/>
          <w:sz w:val="16"/>
          <w:szCs w:val="16"/>
        </w:rPr>
      </w:pPr>
    </w:p>
    <w:p w14:paraId="4F02DF49"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23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3C3CE0FE"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23 декабря наши войска в районе Сталинграда и на Центральном фронте вели наступательные бои на прежних направлениях.</w:t>
      </w:r>
    </w:p>
    <w:p w14:paraId="06903237"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успешно развивать наступление и заняли несколько десятков населённых пунктов, в том числе крупные населённые пункты — Кабычино, Баранниковка, Новосёловка, Ольховый Рог, Большинская, Сулинский и районные центры — Волошино, Первомайское.</w:t>
      </w:r>
    </w:p>
    <w:p w14:paraId="64E31576"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подразделения, преодолевая упорное сопротивление немцев, продвинулись вперёд и выбили противника из 24 дзотов и ряда домов. Нашими бойцами уничтожено более роты гитлеровцев и захвачены одно орудие, 3 миномёта, 21 пулемёт и 50 винтовок. На южной окраине города миномётным огнём рассеяно скопление вражеской пехоты.</w:t>
      </w:r>
    </w:p>
    <w:p w14:paraId="76BB3385"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свои позиции и вели разведку. На одном участке группа наших разведчиков заняла пять немецких окопов и истребила несколько десятков гитлеровцев.</w:t>
      </w:r>
    </w:p>
    <w:p w14:paraId="06B4657D"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Нашей авиацией уничтожено на аэродроме 7 транспортных самолётов противника.</w:t>
      </w:r>
    </w:p>
    <w:p w14:paraId="51A61CBD"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Юго-западнее Сталинграда продолжались ожесточённые бои. Немцы продолжают подтягивать и вводить в бой новые силы танков и пехоты, но им не удалось сломить сопротивление советских бойцов. Наоборот, в течение дня противник был выбит из двух населённых пунктов. Наши части продолжают уничтожать живую силу и </w:t>
      </w:r>
      <w:r w:rsidRPr="00722885">
        <w:rPr>
          <w:rFonts w:ascii="Times New Roman" w:hAnsi="Times New Roman"/>
          <w:color w:val="000000" w:themeColor="text1"/>
          <w:sz w:val="16"/>
          <w:szCs w:val="16"/>
        </w:rPr>
        <w:lastRenderedPageBreak/>
        <w:t>технику гитлеровцев. Н-ская часть подбила и сожгла 5 немецких танков, 48 автомашин с различными грузами и уничтожила 23 орудия различных калибров. На другом участке совместными действиями наших пехотинцев бронебойщиков и гвардейцев-миномётчиков подбито 18 немецких танков и уничтожено до батальона немецкой пехоты.</w:t>
      </w:r>
    </w:p>
    <w:p w14:paraId="6CA95E91"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преследовать разбитые немецко-фашистские войска и заняли ряд населённых пунктов. В одном районе наши части полностью разгромили ранее окружённую группировку противника и захватили большое количество пленных и трофеи. Бойцы Н-ской части заняли крупный населённый пункт, в боях за который истребили более 800 гитлеровцев. На одном участке немцы спешно подтянули резервы и пытались задержать наши наступающие части. Советские бойцы опрокинули пехоту противника, разгромили штаб вражеской дивизии и захватили несколько складов с боеприпасами, вооружением и разным военным имуществом.</w:t>
      </w:r>
    </w:p>
    <w:p w14:paraId="389DCDB2"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боевую разведку и наступательные бои против блокированных гарнизонов противника. В течение дня разрушены 21 немецкий дзот, 26 блиндажей и 2 наблюдательных пункта. Истреблено свыше 400 немецких солдат и офицеров. На другом участке наши части отбили контратаки противника, в результате которых гитлеровцы понесли большие потери и отошли на исходные позиции.</w:t>
      </w:r>
    </w:p>
    <w:p w14:paraId="18E90A98"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советские войска последние дни вели бои с одной группировкой противника. Наши части зажали немцев в горах и уничтожили их. По неполным данным, при ликвидации вражеской группировки уничтожено до 3.000 немецких солдат и офицеров. Захвачено 76 пулемётов, 18 миномётов, 6 орудий, 92 автомата, более 1.000 винтовок, 3 гранатомёта, 3 противотанковых ружья, 8 радиостанций, 250.000 винтовочных патронов, много гранат, мин и снарядов.</w:t>
      </w:r>
    </w:p>
    <w:p w14:paraId="3F483665"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Смоленской области, в двухдневном бою счисленно превосходящими силами противника истребил 144 гитлеровца. Через несколько дней немцы попытались окружить и уничтожить партизан. В пятичасовом упорном бою советские патриоты перебили 167 вражеских солдат и офицеров и захватили большие трофеи. Другой отряд смоленских партизан истребил 65 гитлеровцев. Кроме того, партизаны взорвали и разрушили 816 метров железнодорожного полотна и вырезали 150 метров телеграфно-телефонного кабеля.</w:t>
      </w:r>
    </w:p>
    <w:p w14:paraId="505B9DFA"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учинили кровавую расправу над мирным населением деревни Снорки и Головины, Смоленской области. В деревне Снорки гитлеровцы сожгли 16 домов вместе с находившимися в них людьми. Заживо сгорели 70 жителей. Фашистские изверги изнасиловали 17-летнюю колхозницу Александру Гвардейцеву. После гнусных издевательств они отрезали ей груди и расстреляли. В деревне Головицы немецкие бандиты расстреляли колхозницу Марию Заболотскую с тремя детьми в возрасте от одного года до шести лет. Годовалый ребёнок был убит выстрелом на руках у матери. Расстреляна вся семья Денисенковой, состоявшая из пяти взрослых и двухлетнего ребёнка. Всего в этих деревнях гитлеровцы расстреляли, зверски замучили и сожгли 166 ни в чём не повинных женщин, детей и стариков.</w:t>
      </w:r>
    </w:p>
    <w:p w14:paraId="65C85F21"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патриоты, объединившиеся в отряды «свободных стрелков», ведут самоотверженную борьбу против немецких оккупантов. В районе Трапа и на участке железной дороги Ла-Бассе—Бетюн свободные стрелки организовали крушения немецких эшелонов. На вокзале в Гавре патриоты убили одного и ранили двух немецких офицеров. На днях в Париже неизвестные бросили бомбу в гостиницу для офицеров немецких воздушных сил. Убито несколько десятков гитлеровцев.»</w:t>
      </w:r>
    </w:p>
    <w:p w14:paraId="52F650A0"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4E7FE995"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Наступление наших войск в районе Среднего Дона продолжается.</w:t>
      </w:r>
    </w:p>
    <w:p w14:paraId="1C30E2B5"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24 декабря наши войска в районе Среднего Дона, продолжая успешно развивать наступление на прежних направлениях, продвинулись на 20—25 километров. Всего за восемь дней наступления наши войска продвинулись вперёд на 135—190 километров.</w:t>
      </w:r>
    </w:p>
    <w:p w14:paraId="1A75EA9C"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войсками занято несколько десятков населённых пунктов, в том числе крупные населённые пункты — Михайлово-Александровскии, Колодези,Маньково-Березово, Селивановка, районные центры Скосырская и Милютинская и крупные железнодорожные станции — Чайкин, Щептуховка.</w:t>
      </w:r>
    </w:p>
    <w:p w14:paraId="38B626A2"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24 декабря количество пленных увеличилось на 5.600 человек. Всего за время боёв с 16 по 24 декабря наши войска захватили в плен 42.200 солдат и офицеров противника.</w:t>
      </w:r>
    </w:p>
    <w:p w14:paraId="3EF4E506"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23 декабря противник оставил на поле боя более 6.000 трупов солдат и офицеров.»</w:t>
      </w:r>
    </w:p>
    <w:p w14:paraId="5402FEA8"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Наступление наших войск на Северном Кавказе.</w:t>
      </w:r>
    </w:p>
    <w:p w14:paraId="11F046F4"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днях наши войска в районе юго-восточнее Нальчика перешли в наступление и, сломив сопротивление противника, продвинулись на 18—20 километров. Нашими войсками заняты крупные населённые пункты Дзурикау, Кадгорон, Ардон, Алагир, Ногкау.» (14869).</w:t>
      </w:r>
    </w:p>
    <w:p w14:paraId="49DEC2E6" w14:textId="77777777" w:rsidR="005052B4" w:rsidRPr="00722885" w:rsidRDefault="005052B4" w:rsidP="00722885">
      <w:pPr>
        <w:spacing w:after="0" w:line="240" w:lineRule="auto"/>
        <w:jc w:val="both"/>
        <w:rPr>
          <w:rFonts w:ascii="Times New Roman" w:hAnsi="Times New Roman"/>
          <w:color w:val="000000" w:themeColor="text1"/>
          <w:sz w:val="16"/>
          <w:szCs w:val="16"/>
        </w:rPr>
      </w:pPr>
    </w:p>
    <w:p w14:paraId="01E7DD9B"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23 декабря</w:t>
      </w:r>
      <w:r w:rsidRPr="00722885">
        <w:rPr>
          <w:rFonts w:ascii="Times New Roman" w:hAnsi="Times New Roman"/>
          <w:color w:val="000000" w:themeColor="text1"/>
          <w:sz w:val="16"/>
          <w:szCs w:val="16"/>
        </w:rPr>
        <w:t xml:space="preserve"> в 1942 году началась наступательная операция войск Северо-Западного фронта (осуществлялась до февраля 1943 г.) с целью уничтожить демянскую группировку противника.</w:t>
      </w:r>
    </w:p>
    <w:p w14:paraId="372D33F0"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8 дней наступления войска Юго-Западного фронта продвинулись на 100-200 км, а 24-й танковый корпус — на 240 км (14869).</w:t>
      </w:r>
    </w:p>
    <w:p w14:paraId="5C2E539B" w14:textId="77777777" w:rsidR="005052B4" w:rsidRPr="00722885" w:rsidRDefault="005052B4" w:rsidP="00722885">
      <w:pPr>
        <w:spacing w:after="0" w:line="240" w:lineRule="auto"/>
        <w:jc w:val="both"/>
        <w:rPr>
          <w:rFonts w:ascii="Times New Roman" w:hAnsi="Times New Roman"/>
          <w:color w:val="000000" w:themeColor="text1"/>
          <w:sz w:val="16"/>
          <w:szCs w:val="16"/>
        </w:rPr>
      </w:pPr>
    </w:p>
    <w:p w14:paraId="784A54D8"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23, 1942: Having advanced as far as the Myshkova river 30 m SW of Stalingrad, the three Panzer divisions of the force to relieve the German troops of 6.Armee encircled at Stalingrad have exhausted their power and begin withdrawing to their starting line at Kotelnikovo (3819).</w:t>
      </w:r>
    </w:p>
    <w:p w14:paraId="56A5E61E" w14:textId="77777777" w:rsidR="00BB6316" w:rsidRPr="00722885" w:rsidRDefault="00BB6316" w:rsidP="00722885">
      <w:pPr>
        <w:pStyle w:val="Iauiue"/>
        <w:jc w:val="both"/>
        <w:rPr>
          <w:color w:val="000000" w:themeColor="text1"/>
          <w:sz w:val="16"/>
          <w:szCs w:val="16"/>
          <w:lang w:val="en-US"/>
        </w:rPr>
      </w:pPr>
    </w:p>
    <w:p w14:paraId="3579EC4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23 декабря 1942 продвинув на расстояние всего 30 км от Сталинграда три ТД были остановлены и начали отступление на Котельниково (3819).</w:t>
      </w:r>
    </w:p>
    <w:p w14:paraId="216A68C4" w14:textId="77777777" w:rsidR="00BB6316" w:rsidRPr="00722885" w:rsidRDefault="00BB6316" w:rsidP="00722885">
      <w:pPr>
        <w:pStyle w:val="Iauiue"/>
        <w:jc w:val="both"/>
        <w:rPr>
          <w:color w:val="000000" w:themeColor="text1"/>
          <w:sz w:val="16"/>
          <w:szCs w:val="16"/>
        </w:rPr>
      </w:pPr>
    </w:p>
    <w:p w14:paraId="0A41DC2E" w14:textId="77777777" w:rsidR="005052B4"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1BA8944C" w14:textId="77777777" w:rsidR="005052B4" w:rsidRPr="00722885" w:rsidRDefault="005052B4" w:rsidP="00722885">
      <w:pPr>
        <w:pStyle w:val="Iauiue"/>
        <w:jc w:val="both"/>
        <w:rPr>
          <w:iCs/>
          <w:color w:val="000000" w:themeColor="text1"/>
          <w:sz w:val="16"/>
          <w:szCs w:val="16"/>
        </w:rPr>
      </w:pPr>
    </w:p>
    <w:p w14:paraId="407001E2" w14:textId="77777777" w:rsidR="000A2335" w:rsidRPr="00722885" w:rsidRDefault="000A233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23 декабря 1942 - Первый полет межконтинентального бомбардировщика Me.264 Amerika. Разрабатывающегося в инициативном порядке с 1940 года. В марте 1941 года RLM выдало фирме Мессершмитта официальный заказ на разработку четырехмоторного сверхдальнего самолета, который мог бы с грузом около 2 т и дальностью полета около 15000 км совершать налеты на территорию США, чтобы разбрасывать над американскими городами, например, пропагандистские листовки. RLM, тогда еще под руководством Эрнста Удета, заказало три опытных образца и 30 серийных самолетов (22694).</w:t>
      </w:r>
    </w:p>
    <w:p w14:paraId="240515EB" w14:textId="77777777" w:rsidR="000A2335" w:rsidRPr="00722885" w:rsidRDefault="000A2335" w:rsidP="00722885">
      <w:pPr>
        <w:spacing w:after="0" w:line="240" w:lineRule="auto"/>
        <w:jc w:val="both"/>
        <w:rPr>
          <w:rFonts w:ascii="Times New Roman" w:hAnsi="Times New Roman"/>
          <w:color w:val="0070C0"/>
          <w:sz w:val="16"/>
          <w:szCs w:val="16"/>
        </w:rPr>
      </w:pPr>
    </w:p>
    <w:p w14:paraId="7226918A" w14:textId="77777777" w:rsidR="000A2335" w:rsidRPr="00722885" w:rsidRDefault="000A233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23 декабря 1943 года экипаж Карла Баура впервые поднял Me264V1 в воздух. — опоздание по сравнению с назначенным сроком – 10 октября - не такое уж большое, учитывая сложность и размеры самолета. Полет закончился не совсем удачно — отказали тормоза, самолет выкатился за пределы летного поля и был поврежден. Впрочем, поломка оказалась небольшой и особых тревог не вызывала. С заводского аэродрома в Аугсбурге взлететь с полным весом было невозможно, и 22 января 1943 года Ме264 перелетел в испытательный центр Эрпробунгсштелле в Лехфельде. Испытания шли сложно, особенно ненадежными оказались шасси и гидравлика, где отказы случались в каждом полете и почти всегда вели к поломке самолета. В пятом полете упало давление в гидросистеме и не вышло шасси, не сработал и аварийный механический выпуск — пришлось садиться на фюзеляж. В феврале 1943 года Баур превысил скорость 600 км/ч, но отказали приводы триммеров, и полет едва не закончился аварией: усилия во всех каналах управления оказались слишком велики, причем не только для «среднего летчика», но и для рулевых машин автопилота. В полете на замер аэродинамических характеристик неожиданно задымил и отказал один из моторов, а ведь Jumo211 считался эталоном надежности…(22883).</w:t>
      </w:r>
    </w:p>
    <w:p w14:paraId="4CAA4BAD" w14:textId="77777777" w:rsidR="000A2335" w:rsidRPr="00722885" w:rsidRDefault="000A2335" w:rsidP="00722885">
      <w:pPr>
        <w:spacing w:after="0" w:line="240" w:lineRule="auto"/>
        <w:jc w:val="both"/>
        <w:rPr>
          <w:rFonts w:ascii="Times New Roman" w:hAnsi="Times New Roman"/>
          <w:color w:val="0070C0"/>
          <w:sz w:val="16"/>
          <w:szCs w:val="16"/>
        </w:rPr>
      </w:pPr>
    </w:p>
    <w:p w14:paraId="2D4DFB4E" w14:textId="77777777" w:rsidR="005052B4" w:rsidRPr="00722885" w:rsidRDefault="005052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23 декабря</w:t>
      </w:r>
      <w:r w:rsidRPr="00722885">
        <w:rPr>
          <w:rFonts w:ascii="Times New Roman" w:hAnsi="Times New Roman"/>
          <w:color w:val="000000" w:themeColor="text1"/>
          <w:sz w:val="16"/>
          <w:szCs w:val="16"/>
        </w:rPr>
        <w:t xml:space="preserve"> в 1942 году первый полёт сверхдальнего бомбардировщика «Me.264» (14869).</w:t>
      </w:r>
    </w:p>
    <w:p w14:paraId="23AEB50E" w14:textId="77777777" w:rsidR="005052B4" w:rsidRPr="00722885" w:rsidRDefault="005052B4" w:rsidP="00722885">
      <w:pPr>
        <w:spacing w:after="0" w:line="240" w:lineRule="auto"/>
        <w:jc w:val="both"/>
        <w:rPr>
          <w:rFonts w:ascii="Times New Roman" w:hAnsi="Times New Roman"/>
          <w:color w:val="000000" w:themeColor="text1"/>
          <w:sz w:val="16"/>
          <w:szCs w:val="16"/>
        </w:rPr>
      </w:pPr>
    </w:p>
    <w:p w14:paraId="0064AC2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12C6A38" w14:textId="77777777" w:rsidR="00BB6316" w:rsidRPr="00722885" w:rsidRDefault="00BB6316" w:rsidP="00722885">
      <w:pPr>
        <w:pStyle w:val="Iauiue"/>
        <w:jc w:val="both"/>
        <w:rPr>
          <w:iCs/>
          <w:color w:val="000000" w:themeColor="text1"/>
          <w:sz w:val="16"/>
          <w:szCs w:val="16"/>
        </w:rPr>
      </w:pPr>
    </w:p>
    <w:p w14:paraId="0FF3C65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24 декабря 1942 С.В.И. писал А.И.Ш. письмо N 834с:</w:t>
      </w:r>
    </w:p>
    <w:p w14:paraId="160C608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"Согласно Вашего приказа, заводы строящие самолеты Ил-2, должны были перейти на загрузку бомбами непосредственно в бомбовые люки без специальных кассет КМБ-2.</w:t>
      </w:r>
    </w:p>
    <w:p w14:paraId="73DFF6F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Заводы 30 и 18 уже давно выпускают самолеты с непосредственной загрузкой бомбами бомбовых люков и только завод 1 до настоящего времени продолжает выпускать самолеты Ил-2 с кассетами КМБ-2, затрачивая большое количество металла и трудочасов и кроме того, создавая этим затруднения в боевых частях.</w:t>
      </w:r>
    </w:p>
    <w:p w14:paraId="7212D02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Прошу Вашего распоряжения директору завода 1 Третьякову о немедленном переходе на загрузку бомб непосредственно в бомболюки (1543,211).</w:t>
      </w:r>
    </w:p>
    <w:p w14:paraId="56C84168" w14:textId="77777777" w:rsidR="00BB6316" w:rsidRPr="00722885" w:rsidRDefault="00BB6316" w:rsidP="00722885">
      <w:pPr>
        <w:pStyle w:val="Iauiue"/>
        <w:jc w:val="both"/>
        <w:rPr>
          <w:color w:val="000000" w:themeColor="text1"/>
          <w:sz w:val="16"/>
          <w:szCs w:val="16"/>
        </w:rPr>
      </w:pPr>
    </w:p>
    <w:p w14:paraId="5B82198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24 декабря 1942 Зам. Нач. 7 ГУ Алексеев писал справку А.И.Ш. по самолету Ер-2 с дизель-мотором М-30 на данное число. Согласно справке Ер-2 2М-30 до сих пор не передан на гос. испытания в НИИ ВВС и находится на аэродроме ЛИИ в Раменском из-за доводочных работ на моторах. С 20 декабря 1942 был готов к контрольному полету и перелету в НИИ, но не было погоды, а 23 декабря завод 500 продолжил доводки (2504,41).</w:t>
      </w:r>
    </w:p>
    <w:p w14:paraId="29196B31" w14:textId="77777777" w:rsidR="00BB6316" w:rsidRPr="00722885" w:rsidRDefault="00BB6316" w:rsidP="00722885">
      <w:pPr>
        <w:pStyle w:val="Iauiue"/>
        <w:jc w:val="both"/>
        <w:rPr>
          <w:color w:val="000000" w:themeColor="text1"/>
          <w:sz w:val="16"/>
          <w:szCs w:val="16"/>
        </w:rPr>
      </w:pPr>
    </w:p>
    <w:p w14:paraId="4F31FDE8"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24 декабря 1942 г.</w:t>
      </w:r>
    </w:p>
    <w:p w14:paraId="4BE69595"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Докладная записка2 секретаря Красноярского крайкома ВКП (б) И.Г. Голубева секретарю ЦК ВКП (б) Г.М. Маленкову</w:t>
      </w:r>
    </w:p>
    <w:p w14:paraId="680548F9"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г. Красноярск 24 декабря 1942 г.</w:t>
      </w:r>
    </w:p>
    <w:p w14:paraId="2DCD5C1D"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сов[ершенно] секретно</w:t>
      </w:r>
    </w:p>
    <w:p w14:paraId="3A538E57"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lastRenderedPageBreak/>
        <w:t>Завод № 477 НКАП создан в 1941 году на базе завода сельхозмашиностроения «Красный Плуг» (ст. Лаптево Тульской обл[асти]).</w:t>
      </w:r>
    </w:p>
    <w:p w14:paraId="32887639"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В программу завода были включены запчасти самолета СБ. В ноябре 1941 года завод эвакуирован в Красноярск на самолеторемонт-</w:t>
      </w:r>
    </w:p>
    <w:p w14:paraId="382C41A6"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ный завод им. Побежимова Главсевморпути. В январе 1942 года завод им. Побежимова был передан НКАП и объединен с заводом № 477. В программу завода на 1942 год, кроме запчастей самолета СБ, были включены ремонт самолетов и деталь № 7 снаряда М-13.</w:t>
      </w:r>
    </w:p>
    <w:p w14:paraId="14DF4816"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С программой 1942 года завод успешно справился, закончив ее выполнение 12 декабря 1942 г. Но, несмотря на это, производственные возможности завода полностью не использованы. Завод крайне не достаточно снабжался металлом, наличие которого, по сути дела, определяло количество выпускаемой продукции. Причем, основная часть металла поступала на завод не в плановом порядке, а доставалась работниками завода в порядке позаимствования и использования неликвидов других авиационных заводов (особенно завода № 39). Производство запчастей самолета СБ (снятого с производства), не имея перспективы своего развития, лишает этой перспективы весь завод и уменьшает его значение в системе Наркомата. Ряд фактов говорит о том, что НКАП недостаточно заинтересован в укреплении и развитии завода.</w:t>
      </w:r>
    </w:p>
    <w:p w14:paraId="54DD321B"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Так, 15 сентября 1942 г. директор завода выехал в Наркомат для разрешения ряда вопросов, касающихся завода, но вместо этого получил там назначение на завод № 82. До сего времени Наркомат другого директора не назначил. Вслед за директором на завод № 82 были переведены нач[альник] производства завода, главный механик, начальник цеха и вызван еще ряд руководящих работников. По указанию Наркомата в декабре разбронировано и передано в армию 40 чел[овек] квалифицированных рабочих.</w:t>
      </w:r>
    </w:p>
    <w:p w14:paraId="44D825E7"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Учитывая предстоящее снятие с производства запчастей самолета СБ и наличие производственных возможностей, в сентябре 1942 года был поставлен вопрос перед НКАП о переводе завода № 477 на серийное строительство самолетов. В качестве объекта предлагался гидросамолет Бе-4 (КОР-2) в варианте морского разведчика. Включая время освоения, завод имеет возможность в 1943 году выпустить этих самолетов около 200 единиц.</w:t>
      </w:r>
    </w:p>
    <w:p w14:paraId="3332DE91"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По имеющимся сведениям, данное предложение одобрено НКВМФ и НКАП. На завод № 477 приезжал главный конструктор ОКБ завода № 288 тов. Бериев (автор проекта Бе-4), который признал совершенно реальным развитие завода в базу гидросамолетостроения. Предложенный вариант развития завода № 477 крайком ВКП (б) считает совершенно правильным и необходимым. Завод имеет возможность провести основные подготовительные работы по организации производства самолетов Бе-4 без ущерба для выпуска запчастей самолета СБ, поэтому прошу Вас дать необходимое указание для ускорения окончательного решения.</w:t>
      </w:r>
    </w:p>
    <w:p w14:paraId="41913DBD"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Секретарь крайкома ВКП (б) И. Голубев</w:t>
      </w:r>
    </w:p>
    <w:p w14:paraId="7BFA4610"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22885">
        <w:rPr>
          <w:rFonts w:ascii="Times New Roman" w:eastAsia="TimesNewRomanPSMT" w:hAnsi="Times New Roman"/>
          <w:iCs/>
          <w:color w:val="000000" w:themeColor="text1"/>
          <w:sz w:val="16"/>
          <w:szCs w:val="16"/>
        </w:rPr>
        <w:t>КГКУ «ГАКК». Ф.П-26. Оп. 4. Д. 1. Л. 3, 4. Подлинник. Машинопись (19799).</w:t>
      </w:r>
    </w:p>
    <w:p w14:paraId="4B5EBBD0" w14:textId="77777777" w:rsidR="0011363C" w:rsidRPr="00722885" w:rsidRDefault="0011363C" w:rsidP="00722885">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0C57F8E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5F45D55" w14:textId="77777777" w:rsidR="00BB6316" w:rsidRPr="00722885" w:rsidRDefault="00BB6316" w:rsidP="00722885">
      <w:pPr>
        <w:pStyle w:val="Iauiue"/>
        <w:jc w:val="both"/>
        <w:rPr>
          <w:iCs/>
          <w:color w:val="000000" w:themeColor="text1"/>
          <w:sz w:val="16"/>
          <w:szCs w:val="16"/>
        </w:rPr>
      </w:pPr>
    </w:p>
    <w:p w14:paraId="2AAD4E3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24 декабря 1942 был подготовлен отчет ЦНИИ-48 “Изучение броневой защиты танков немецкой армии” (тема 2ВВ-2, Свердловск, 1942). Отчет составлен но.материалам профессора, доктора технических наук Л.С.Завьялова. инженеров института В.В.Дарченко, В.В.Арлентова. К.Е.Тимошенко. Н.М.Фокиной. П.Т.Алексеева, П.С. Пашкова.</w:t>
      </w:r>
    </w:p>
    <w:p w14:paraId="559D45C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качестве общего заключения о немецких танках можно сказать следующее: “Броневая защита даже средних и тяжелых танков недостаточно надежна, сравнительно легко поражается из 76.2-мм танковых пушек наших Т-34 и КВ. Танки довольно УЯЗВИМЫ как средствами дальнего боя (артиллерией, ПТР и, до известной степени, даже и стрелково-нулеметным вооружением), так и средствами ближнего боя (противотанковыми минами, гранатами, бутылками с.зажигательной смесью). За время воины можно ожидать появления у врага новых образцов танков, хотя немцы, судя ио всему, всячески избегают производственных осложнений, связанных с переходом промышленности на новые образцы и отражающихся на массовости выпуска вооружений. Если такие новые образцы появятся,то едва ли мы встретимся в них с фактом значительного утолщения брони. Скорее всего, в соответствии со всем ходом развития типов немецких танков следует ожидать усиления танковой артиллерии, с одной стороны. и увеличения проходимости танков в УСЛОВИЯХ бездорожья и мощных снежных покровов, с другой стороны”.</w:t>
      </w:r>
    </w:p>
    <w:p w14:paraId="0D8AC1E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Отчет составлялся, естественно, не только но данным, полученным в ходе обследования эивых машин, но и по разведывательным данным о разработке немцами новых танков и САУ, в том : числе и тяжелых. Почему эту информацию не восприняли всерьез непонятно, но, с другой стороны, когда в течение нескольких лег информация не подтверждается, возникает сомнение в ее достоверности.</w:t>
      </w:r>
    </w:p>
    <w:p w14:paraId="1F3E8AC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Данный отчет был отправлен в НКТП и ГАБТУ, а до захвата первого “Тигра” у рабочего поселка.№5 оставалось чуть менее 3-х недель (6001,20).</w:t>
      </w:r>
    </w:p>
    <w:p w14:paraId="3D5D9F92" w14:textId="77777777" w:rsidR="00BB6316" w:rsidRPr="00722885" w:rsidRDefault="00BB6316" w:rsidP="00722885">
      <w:pPr>
        <w:pStyle w:val="Iauiue"/>
        <w:jc w:val="both"/>
        <w:rPr>
          <w:color w:val="000000" w:themeColor="text1"/>
          <w:sz w:val="16"/>
          <w:szCs w:val="16"/>
        </w:rPr>
      </w:pPr>
    </w:p>
    <w:p w14:paraId="4BBF8A3E"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24 декабря 1942 вышло Постановление ГКО № 2653 Об освобождении т. Сорокина И.Ф. от обязанностей уполномоченного по лесозаготовкам по Пензенской и Тамбовской областям и о назначении уполномоченным по лесозаготовкам по Пензенской и Тамбовской областям тов. Остапчук С.А. (7068, 86).</w:t>
      </w:r>
    </w:p>
    <w:p w14:paraId="0E273D13" w14:textId="77777777" w:rsidR="00BB6316" w:rsidRPr="00722885" w:rsidRDefault="00BB6316" w:rsidP="00722885">
      <w:pPr>
        <w:pStyle w:val="Iauiue"/>
        <w:tabs>
          <w:tab w:val="left" w:pos="11199"/>
        </w:tabs>
        <w:jc w:val="both"/>
        <w:rPr>
          <w:color w:val="000000" w:themeColor="text1"/>
          <w:sz w:val="16"/>
          <w:szCs w:val="16"/>
        </w:rPr>
      </w:pPr>
    </w:p>
    <w:p w14:paraId="125EBF7F"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7E52A73" w14:textId="77777777" w:rsidR="00BB6316" w:rsidRPr="00722885" w:rsidRDefault="00BB6316" w:rsidP="00722885">
      <w:pPr>
        <w:pStyle w:val="Iauiue"/>
        <w:jc w:val="both"/>
        <w:rPr>
          <w:iCs/>
          <w:color w:val="000000" w:themeColor="text1"/>
          <w:sz w:val="16"/>
          <w:szCs w:val="16"/>
        </w:rPr>
      </w:pPr>
    </w:p>
    <w:p w14:paraId="0D9A6A47"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24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77EBD9DD"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24 декабря наши войска в районе Сталинграда, на Центральном фронте и в районе Среднего Дона продолжали вести наступательные бои на прежних направлениях.</w:t>
      </w:r>
    </w:p>
    <w:p w14:paraId="2E11FCB4"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подразделения отбили две контратаки гитлеровцев, пытавшихся вернуть потерянные накануне позиции. Оставив на поле боя до 300 трупов своих солдат и офицеров, противник отступил на исходные позиции. Нашими бойцами захвачено 20 пулемётов, 170 винтовок и свыше 10 тысяч патронов. На других участках наши части укрепляли занимаемые позиции и вели разведку.</w:t>
      </w:r>
    </w:p>
    <w:p w14:paraId="03186454"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огневой бой и разведку противника. Артиллеристы Н-ской части разрушили 5 дзотов, подавили огонь 4 артиллерийских батарей и рассеяли роту немецкой пехоты.</w:t>
      </w:r>
    </w:p>
    <w:p w14:paraId="59CDA34F"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в воздушных боях сбили 8 немецких самолётов.</w:t>
      </w:r>
    </w:p>
    <w:p w14:paraId="40FF01C4"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отбивали атаки мотопехоты и танков противника. В результате упорных боёв гитлеровцы были выбиты ещё из одного населённого пункта. Уничтожено свыше 1.000 немецких солдат и офицеров, 15 танков, 63 автомашины, 12 орудий, 18 пулемётов и 4 самолёта. Артиллерийская батарея под командованием старшего лейтенанта Комарова подбила 8 немецких танков.</w:t>
      </w:r>
    </w:p>
    <w:p w14:paraId="11F3948C"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Среднего Дона наши войска продолжали наступление и заняли ещё ряд населённых пунктов. Н-ское соединение Красной Армии, преследуя отступающего противника, разгромило части одной немецкой дивизии. Захвачены в плен командирэтой дивизии и до 1.000 солдат и офицеров. На другом участке немцы пытались предпринять контратаку. Советские бойцы опрокинули противника и на плечах отступающих гитлеровцев заняли один населённый пункт. На поле боя осталось свыше 600 вражеских трупов. Захвачено много трофеев и пленных.</w:t>
      </w:r>
    </w:p>
    <w:p w14:paraId="48967841"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укрепляли занятые позиции и вели наступательные бои против блокированных гарнизонов противника. Бойцы Н-ской части заняли 14 вражеских дзотов и блиндажей и истребили свыше 200 немецких солдат и офицеров. Захвачено 4 орудия, 9 пулемётов и 2 миномёта. На другом участке батальон вражеской пехоты при поддержке танков атаковал наши позиции. Встреченные артиллерийским огнём, гитлеровцы отошли на исходные рубежи, оставив на поле боя 3 сожжённых танка и 160 убитых солдат и офицеров.</w:t>
      </w:r>
    </w:p>
    <w:p w14:paraId="4F9034B2"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Витебской области, за последние два месяца пустил под откос 17 эшелонов немецко-фашистских захватчиков. Во время крушений разбито 18 паровозов, 220 вагонов с войсками и боеприпасами и 7 цистерн с горючим. Убито и ранено до 3.000 немецких солдат и офицеров.</w:t>
      </w:r>
    </w:p>
    <w:p w14:paraId="6A427DC2"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акт о зверствах немецко-фашистских мерзавцев на хуторе Жирки, Сталинградской области: «В день освобождения нашими войсками хутора Жирки, Сталинградской области, мы обнаружили полузарытого и обложенного камнями красноармейца - миномётчика Дмитрия Лежанина. Свидетельскими показаниями установлено, что гитлеровские палачи после зверских пыток бросили Лежанина в яму и засыпали песком. В таком положении он находился два дня. Когда мы его извлекли, он был еле жив. В настоящее время товарищ Лежанин находится в госпитале на излечении. Немецко-румынские изверги расстреляли колхозников сельскохозяйственной артели «Основа» А.Урасова, П.Короткова и Г.Смирнова зато, что они пытались оказать помощь раненым красноармейцам». Акт подписали: старший батальонный комиссар Шмельков, старший лейтенант Бондарев, лейтенант Попков, красноармеец Мавричев, медсестра Белявская, колхозница Бунеева.».</w:t>
      </w:r>
    </w:p>
    <w:p w14:paraId="13DF674D"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24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7C8AB70E"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24 декабря наши войска в районе Сталинграда и на Центральном фронтевели наступательные бои на прежних направлениях.</w:t>
      </w:r>
    </w:p>
    <w:p w14:paraId="709D9C3A"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Среднего Дона наши войска продолжали успешно развивать наступление и заняли несколько десятков населённых пунктов, в том числе крупные населённые пункты — Михайлово-Александровский, Колодези, Маньково-Березово, Селивановна, районные центры Скосырская и Милютинская и крупные железнодорожные станции —Чайнин, Шептуховка.</w:t>
      </w:r>
    </w:p>
    <w:p w14:paraId="697F5EEB"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днях наши войска в районе юго-восточнее Нальчика перешли в наступление и, сломив сопротивление противника, заняли крупные населённые пункты Дзурикау, Кадгорон, Ардон, Алагир, Ногкау.</w:t>
      </w:r>
    </w:p>
    <w:p w14:paraId="56695555"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уничтожено 6 транспортных самолётов противника.</w:t>
      </w:r>
    </w:p>
    <w:p w14:paraId="21FB704D"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 кораблём в Чёрном море потоплена подводная лодка противника.</w:t>
      </w:r>
    </w:p>
    <w:p w14:paraId="46100C52"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23 декабря частями нашей авиации на различных участках фронта уничтожено или повреждено 5 немецких танков, 30 автомашин с войсками и грузами, подавлен огонь 4 артиллерийских батарей, рассеяно и частью уничтожено до роты пехоты противника.</w:t>
      </w:r>
    </w:p>
    <w:p w14:paraId="70B5712A"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штурмовые отряды ворвались в сильно укреплённый узел сопротивления противника и после ожесточённой схватки овладели им. Захвачены трофеи и пленные.</w:t>
      </w:r>
    </w:p>
    <w:p w14:paraId="7BC34E1E"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свои оборонительные рубежи и вели разведку. Артиллеристы Н-ской части разрушили 6 дзотов и 2 блиндажа противника. Миномётным огнём рассеяно скопление немецкой пехоты, готовившейся к атаке.</w:t>
      </w:r>
    </w:p>
    <w:p w14:paraId="0E98CA77"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бои за улучшение своих позиций. В результате контрудара наши подразделения в районе железной дороги разгромили два батальона гитлеровцев, уничтожили 7 танков и заняли железнодорожный разъезд. На другом участке противник силою до батальона пехоты и 25 танков неоднократно атаковал один населённый пункт. Все атаки немцев отбиты с большими для них потерями. Танк старшего лейтенанта Шолохова, старших сержантов Блохи, Галагаева и старшины Квашнина находится в засаде на одной из высот. На рассвете появились немецкие танки. Наши танкисты открыли огонь, подбили 8 вражеских танков и атаку противника отбили.</w:t>
      </w:r>
    </w:p>
    <w:p w14:paraId="169BEA8F"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наступление и, преследуя отступающего противника, нанесли ему тяжёлые потери. На отдельных участках немцы пытались задержать продвижение советских частей и предприняли несколько контратак. Все контратаки противника отбиты. Бойцы Н-ской части разгромили два немецких полка и взяли в плен свыше 1.000 солдат и офицеров. На другом участке окружён и взят в плен в полном составе немецкий сапёрный батальон вместе с офицерами и командиром батальона. При занятии районного центра Волошино противник потерял убитыми до 3.500 солдат и офицеров. Наши части захватили большое количество автомашин, склады с боеприпасами, продовольствием и много различного вооружения.</w:t>
      </w:r>
    </w:p>
    <w:p w14:paraId="768233AE"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наступательные бои против блокированных гарнизонов противника и обороняли свои позиции. В районе Великих Лук немцы, подтянув свежие пехотные и танковые силы, неоднократно переходили в контратаки, но успеха не добились. Бойцы части, где командиром товарищ Кроник, сломив сопротивление гитлеровцев, выбили их из опорного пункта, уничтожив при этом до 150 солдат и офицеров противника.</w:t>
      </w:r>
    </w:p>
    <w:p w14:paraId="7C05A234"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немцы силою до двух пехотных полков при поддержке 50 танков атаковали позиции, обороняемые Н-ской частью. Наши бойцы отбросили противника. В результате боя уничтожено 900 немецких солдат и офицеров, подбито и сожжено 11 танков. Взяты пленные.</w:t>
      </w:r>
    </w:p>
    <w:p w14:paraId="7F2C98CD"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Три украинских партизанских отряда за два месяца активных боевых действий против немецко-фашистских захватчиков истребили несколько тысяч вражеских солдат и офицеров. Партизаны пустили под откос 39 воинских эшелонов противника, уничтожили 39 паровозов, 736 вагонов, 47 танков, 14 бронемашин, бронепоезд, 32 орудия, 120 автомашин, 20 тягачей, 27 складов. Разгромлено 8 железнодорожных станций, взорвано 29 железнодорожных мостов и 35 мостов на шоссейных и грунтовых дорогах. Огнём из пехотного оружия советские патриоты сбили 3 немецких самолёта. Партизаны захватили 2 орудия, 59 автомашин, 9 радиостанций и много продовольствия, отнятого немцами у крестьян и подготовленного к отправке в Германию.</w:t>
      </w:r>
    </w:p>
    <w:p w14:paraId="6CEEF0AC"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Немецко-фашистские мерзавцы истребляют мирных жителей временно оккупированных ими советских районов. В Бежаницах, Калининской области, гитлеровцы согнали в один дом 120 стариков, женщин и детей и держали их взаперти. Несколько суток спустя немцы вывели заключённых из дома, заставили вырыть себе могилы и расстреляли ни в чём не повинных мирных жителей. В селе Чихачёво гитлеровцы расстреляли 300 жителей. В селе Радча фашистские бандиты растерзали двух старых учительниц Дружевскую и Дозину. В Ново-Сокольниках немецкие солдаты облили керосином одиннадцать женщин и сожгли их.»</w:t>
      </w:r>
    </w:p>
    <w:p w14:paraId="2593EE99"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37351DA7"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Наступление наших войск в районе среднего Дона продолжается.</w:t>
      </w:r>
    </w:p>
    <w:p w14:paraId="0BBF60BE"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25 декабря наши войска в районе среднего Дона, продолжая успешно развивать наступление на прежних направлениях, заняли несколько десятков населенных пунктов, в том числе крупные населённые пункты — Фисенково, Марковка (западнее Кантемировки), Бугаевка, Россоховатый, Бондаревка, Греково, Фоминка, Кутейников, районный центр и крупную железнодорожную станцию Мальчевская.</w:t>
      </w:r>
    </w:p>
    <w:p w14:paraId="47EF2108"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25 декабря количество пленных увеличилось на 7.500 человек. Всего за время боёв с 16 по 25 декабря наши войска захватили в плен 49.700 солдат и офицеров противника.</w:t>
      </w:r>
    </w:p>
    <w:p w14:paraId="3BD2F8BD"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боёв с 16 по 25 декабря нашими войсками захвачено: танков — 172, орудий — 1.877, винтовок — 54.000, радиостанций—82, мотоциклов — 1.177, повозок— 1.115, лошадей — 6.783, складов с боеприпасами, вооружением и продовольствием — 97.</w:t>
      </w:r>
    </w:p>
    <w:p w14:paraId="279D336B"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Уничтожено: самолётов — 107, танков — 133, орудий разных калибров — 251.</w:t>
      </w:r>
    </w:p>
    <w:p w14:paraId="54CA51A8"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24 декабря противник оставил на поле боя более 7.000 трупов солдат и офицеров.»</w:t>
      </w:r>
    </w:p>
    <w:p w14:paraId="70AB864D"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Новый удар наших войск юго-западнее Сталинграда.</w:t>
      </w:r>
    </w:p>
    <w:p w14:paraId="7F4C23DE"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целью выручить свою группировку, окружённую нашими войсками под Сталинградом, противник сосредоточил в районе севернее Котельниково шесть дивизий, из них три танковых, и этими силами 12 декабря предпринял наступление против наших войск. В первые дни боёв, пользуясь некоторым превосходством в силах, противнику удалось потеснить наши части и занять несколько населённых пунктов.</w:t>
      </w:r>
    </w:p>
    <w:p w14:paraId="2708EB12"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активных оборонительных боях наши войска измотали силы противника, а затем сами перешли в контрнаступление и, сломив сопротивление противника, отбросилиего на юго-запад на 20—25 километров. Нашими войсками вновь заняты населённые пункты Нижне-Кумский, Васильевка, Капкинка, Парижская Коммуна, Бирзовой, Верхне-Кумский, Жутов 2-й, Клыков.</w:t>
      </w:r>
    </w:p>
    <w:p w14:paraId="1C2EC8EA"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12 по 24 декабря наши войска уничтожили: самолётов немецких — 268, танков —до 300, орудий разных калибров — 160.</w:t>
      </w:r>
    </w:p>
    <w:p w14:paraId="49DE7566"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это же время противник потерял только убитыми до 9.000 солдат и офицеров.»</w:t>
      </w:r>
    </w:p>
    <w:p w14:paraId="764AB353"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 Наступление наших войск на Северном Кавказе.</w:t>
      </w:r>
    </w:p>
    <w:p w14:paraId="2ACE7F39"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25 декабря наши войска продолжали развивать наступление в районе юго-восточнее Нальчика. За дни боёв с 22 по 25 декабря наши войска продвинулись на 25—30 километров и заняли крупные населённые пункты — Красногор, Белореченская, Дигора, Карман-Синдзикау, Мостидзах, Дур-Дур.</w:t>
      </w:r>
    </w:p>
    <w:p w14:paraId="4EF38227"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22 по 25 декабря нашими войсками захвачено: танков — 32, орудий — 30, пулемётов —88, винтовок — более 1.000, винтовочных патронов — 300.000, а также много снарядов и мин.</w:t>
      </w:r>
    </w:p>
    <w:p w14:paraId="6ED4E0D7"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Уничтожено: танков — 36, орудий — 19, пулемётов — 180, автомашин — 365.</w:t>
      </w:r>
    </w:p>
    <w:p w14:paraId="77C28DAA"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это же время противник потерял убитыми более 2.000 солдат и офицеров.» (14870).</w:t>
      </w:r>
    </w:p>
    <w:p w14:paraId="7DC1B2CF" w14:textId="77777777" w:rsidR="00416517" w:rsidRPr="00722885" w:rsidRDefault="00416517" w:rsidP="00722885">
      <w:pPr>
        <w:spacing w:after="0" w:line="240" w:lineRule="auto"/>
        <w:jc w:val="both"/>
        <w:rPr>
          <w:rFonts w:ascii="Times New Roman" w:hAnsi="Times New Roman"/>
          <w:color w:val="000000" w:themeColor="text1"/>
          <w:sz w:val="16"/>
          <w:szCs w:val="16"/>
        </w:rPr>
      </w:pPr>
    </w:p>
    <w:p w14:paraId="0AF59960"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24 декабря</w:t>
      </w:r>
      <w:r w:rsidRPr="00722885">
        <w:rPr>
          <w:rFonts w:ascii="Times New Roman" w:hAnsi="Times New Roman"/>
          <w:color w:val="000000" w:themeColor="text1"/>
          <w:sz w:val="16"/>
          <w:szCs w:val="16"/>
        </w:rPr>
        <w:t xml:space="preserve"> в 1942 году в ночь 24-й танковый корпус (генерал В.М.Баданов) уничтожил в Тацинской (в тылу армейской группы «Гот») аэродром 8-го ударного авиакорпуса 4-го воздушного флота (лишив тем самым германское командование возможности обеспечения с воздуха окружённых под Сталинградом войск). 6-я немецкая танковая дивизия была переброшена с реки Мышкова в Тацинскую; 17-я и 23-я танковые дивизии начали отходить с рубежа реки Мышкова. Советские войска завершили разгром основных сил 8-й итальянской армии. Войска левого крыла Сталинградского фронта перешли в наступление в направлении Котельниковский; 13-й танковый и 3-й гвардейский механизированный корпуса осуществляли глубокий охват противника с юга. Танковые и механизированные корпуса Юго-Западного фронта вышли на рубеж Миллерово, Тацинская, Морозовск (14870).</w:t>
      </w:r>
    </w:p>
    <w:p w14:paraId="0B09BA31" w14:textId="77777777" w:rsidR="00416517" w:rsidRPr="00722885" w:rsidRDefault="00416517" w:rsidP="00722885">
      <w:pPr>
        <w:spacing w:after="0" w:line="240" w:lineRule="auto"/>
        <w:jc w:val="both"/>
        <w:rPr>
          <w:rFonts w:ascii="Times New Roman" w:hAnsi="Times New Roman"/>
          <w:color w:val="000000" w:themeColor="text1"/>
          <w:sz w:val="16"/>
          <w:szCs w:val="16"/>
        </w:rPr>
      </w:pPr>
    </w:p>
    <w:p w14:paraId="0F3893C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24/25 декабря 1942 немцы потеряли почти треть своей транспортной авиации на аэродроме Тацинская, с которого снабжали 6А. 125 машин вырвались взлетев с аэродрома, который обстреливала артиллерия (1493,121).</w:t>
      </w:r>
    </w:p>
    <w:p w14:paraId="08896EE5" w14:textId="77777777" w:rsidR="00BB6316" w:rsidRPr="00722885" w:rsidRDefault="00BB6316" w:rsidP="00722885">
      <w:pPr>
        <w:pStyle w:val="Iauiue"/>
        <w:jc w:val="both"/>
        <w:rPr>
          <w:color w:val="000000" w:themeColor="text1"/>
          <w:sz w:val="16"/>
          <w:szCs w:val="16"/>
        </w:rPr>
      </w:pPr>
    </w:p>
    <w:p w14:paraId="1B6FEC8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24 декабря 1942 24ТКорпус после 240 километрового марша ЮЗФ прорвался на аэродром и вывел из строя более 300 самолетов (518,176).</w:t>
      </w:r>
    </w:p>
    <w:p w14:paraId="2FD0FC3D" w14:textId="77777777" w:rsidR="00BB6316" w:rsidRPr="00722885" w:rsidRDefault="00BB6316" w:rsidP="00722885">
      <w:pPr>
        <w:pStyle w:val="Iauiue"/>
        <w:jc w:val="both"/>
        <w:rPr>
          <w:color w:val="000000" w:themeColor="text1"/>
          <w:sz w:val="16"/>
          <w:szCs w:val="16"/>
        </w:rPr>
      </w:pPr>
    </w:p>
    <w:p w14:paraId="7F696EC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24 декабря КА начала наступление против Группы Дон (Манштейн) на Котельниково и прорвалась через линию румынской 4А (3819).</w:t>
      </w:r>
    </w:p>
    <w:p w14:paraId="0ACC829F" w14:textId="77777777" w:rsidR="00BB6316" w:rsidRPr="00722885" w:rsidRDefault="00BB6316" w:rsidP="00722885">
      <w:pPr>
        <w:pStyle w:val="Iauiue"/>
        <w:jc w:val="both"/>
        <w:rPr>
          <w:color w:val="000000" w:themeColor="text1"/>
          <w:sz w:val="16"/>
          <w:szCs w:val="16"/>
        </w:rPr>
      </w:pPr>
    </w:p>
    <w:p w14:paraId="62BBC0A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57DA13DE" w14:textId="77777777" w:rsidR="00BB6316" w:rsidRPr="00722885" w:rsidRDefault="00BB6316" w:rsidP="00722885">
      <w:pPr>
        <w:pStyle w:val="Iauiue"/>
        <w:jc w:val="both"/>
        <w:rPr>
          <w:iCs/>
          <w:color w:val="000000" w:themeColor="text1"/>
          <w:sz w:val="16"/>
          <w:szCs w:val="16"/>
        </w:rPr>
      </w:pPr>
    </w:p>
    <w:p w14:paraId="6438FFA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декабря 1942 г. Пленум Верховного суда в постановлении от расширил состав такого преступления, как спекуляция. Как спекуляция квалифицировались продажа самогона, а также в значительных размерах махорки до выполнения данной местностью плана заготовок. Должностные лица за разбазаривание хлеба и других продуктов для самогоноварения привлекались к ответственности по закону от 7 августа 1932 г. “Об охране имущества государственных предприятий, колхозов и кооперации и укреплении общественной (социалистической) собственности”, которым за хищения данной собственности устанавливались наказания: высшая мера наказания с конфискацией имущества, а при смягчающих обстоятельствах – лишение свободы на 10 лет с конфискацией имущества. 25 июня 1943 г. был издан Указ об ответственности за хищение горючего (лишение свободы на срок от 2 до 5 лет). В годы войны было расширено применение Закона от 7 августа 1932 г. и к хищениям менее крупным. Приказом Прокуратуры СССР с июля 1944 г. предлагалось привлекать к ответственности по этому закону за хищения хлеба и другой продукции. Этот же Закон применялся за растраты зерна, за незаконное получение продукции (11121).</w:t>
      </w:r>
    </w:p>
    <w:p w14:paraId="79B428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условиях войны, когда распределявшиеся по карточкам продукты были недостаточны для поддержания жизни, появились неисчерпаемые возможности для легального и нелегального перераспределения доходов. Значительный разрыв между оптовыми и розничными ценами вел к тому, что “спекулянты” скупали у крестьян продукты по ценам, превышавшим государственные заготовительные цены, перепродавали эти продукты в городах ниже государственных коммерческих и оставались </w:t>
      </w:r>
      <w:r w:rsidRPr="00722885">
        <w:rPr>
          <w:rFonts w:ascii="Times New Roman" w:hAnsi="Times New Roman"/>
          <w:color w:val="000000" w:themeColor="text1"/>
          <w:sz w:val="16"/>
          <w:szCs w:val="16"/>
        </w:rPr>
        <w:lastRenderedPageBreak/>
        <w:t xml:space="preserve">с большой прибылью. Самые нужные товары повседневного спроса – соль, мука, спички, керосин, имевшиеся на складах предприятий нередко в достаточном количестве, прятались торговыми работниками под прилавок, а оттуда переходили к нелегальным и полулегальным торговым посредникам. Проверка торговых точек выявляла большие недостачи. На областном совещании по вопросам пропаганды и агитации в феврале 1942 г. (г. Куйбышев) отмечалось, что в торговых организациях развелось огромное количество жуликов и разного рода проходимцев, которые немало фондируемых товаров сбывают по спекулятивным ценам, залезают в государственный карман – тащат деньги и товары. У группы жуликов, работавших за прилавком в магазине №4, при обыске на квартире обнаружено: мыла хозяйственного – 105 кг, водки – 49,5 л, муки 72% - 104 кг, чая грузинского – 281 пачка, риса – 35 кг . В столовой №33 была раскрыта группа воров, у которых при обыске на квартире были обнаружены и изъяты: денег совзнаками -–92944 руб., золото царской чеканки – 70 руб., бытового золота на сумму свыше 100000 руб. (11121). </w:t>
      </w:r>
    </w:p>
    <w:p w14:paraId="0F75E18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85A8F4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53855D7" w14:textId="77777777" w:rsidR="00BB6316" w:rsidRPr="00722885" w:rsidRDefault="00BB6316" w:rsidP="00722885">
      <w:pPr>
        <w:pStyle w:val="Iauiue"/>
        <w:jc w:val="both"/>
        <w:rPr>
          <w:iCs/>
          <w:color w:val="000000" w:themeColor="text1"/>
          <w:sz w:val="16"/>
          <w:szCs w:val="16"/>
        </w:rPr>
      </w:pPr>
    </w:p>
    <w:p w14:paraId="5D41DCEA"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24 декабря</w:t>
      </w:r>
      <w:r w:rsidRPr="00722885">
        <w:rPr>
          <w:rFonts w:ascii="Times New Roman" w:hAnsi="Times New Roman"/>
          <w:color w:val="000000" w:themeColor="text1"/>
          <w:sz w:val="16"/>
          <w:szCs w:val="16"/>
        </w:rPr>
        <w:t xml:space="preserve"> в 1942 году первый полёт высотного истребителя «Vickers 432», разработанного английской фирмой «Vickers-Armstrongs Limited». На самолет установили два двигателя «Rolls-Royce» «Merlin 61» мощностью 1520 л.с. Новинкой на самолете стала герметизированная кабина с каплевидным фонарем. Вооружение самолета должны были составить шесть 20-мм пушек (на прототипе они не были установлены) которые из-за герметизированной кабины планировалось установить в задней (хвостовой) части фюзеляжа. Всего удалось сделать 30 полётов (14870).</w:t>
      </w:r>
    </w:p>
    <w:p w14:paraId="42C4E59C" w14:textId="77777777" w:rsidR="00416517" w:rsidRPr="00722885" w:rsidRDefault="00416517" w:rsidP="00722885">
      <w:pPr>
        <w:spacing w:after="0" w:line="240" w:lineRule="auto"/>
        <w:jc w:val="both"/>
        <w:rPr>
          <w:rFonts w:ascii="Times New Roman" w:hAnsi="Times New Roman"/>
          <w:color w:val="000000" w:themeColor="text1"/>
          <w:sz w:val="16"/>
          <w:szCs w:val="16"/>
        </w:rPr>
      </w:pPr>
    </w:p>
    <w:p w14:paraId="4101D9E7" w14:textId="77777777" w:rsidR="000A2335" w:rsidRPr="00722885" w:rsidRDefault="000A233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декабря 1942 - Первый полёт высотного истребителя Vickers 432, разработанного английской фирмой Vickers-Armstrongs Limited. На самолет установили два двигателя Rolls-Royce Merlin 61 мощностью 1520 л.с. Новинкой на самолете стала герметизированная кабина с каплевидным фонарем. Вооружение самолета должны были составить шесть 20-мм пушек (на прототипе они не были установлены) которые из-за герметизированной кабины планировалось установить в задней (хвостовой) части фюзеляжа. Всего удалось сделать 30 полётов (22693).</w:t>
      </w:r>
    </w:p>
    <w:p w14:paraId="7F1151C6" w14:textId="77777777" w:rsidR="000A2335" w:rsidRPr="00722885" w:rsidRDefault="000A2335" w:rsidP="00722885">
      <w:pPr>
        <w:spacing w:after="0" w:line="240" w:lineRule="auto"/>
        <w:jc w:val="both"/>
        <w:rPr>
          <w:rFonts w:ascii="Times New Roman" w:hAnsi="Times New Roman"/>
          <w:color w:val="0070C0"/>
          <w:sz w:val="16"/>
          <w:szCs w:val="16"/>
        </w:rPr>
      </w:pPr>
    </w:p>
    <w:p w14:paraId="567B177C" w14:textId="77777777" w:rsidR="000A2335" w:rsidRPr="00722885" w:rsidRDefault="000A233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декабря 1942 - В Пенемюнде проводится первое испытание ракеты FZG76 (позже известной как «Фау-1»), созданной под руководством Вернера фон Брауна (22693).</w:t>
      </w:r>
    </w:p>
    <w:p w14:paraId="4B40C1F1" w14:textId="77777777" w:rsidR="000A2335" w:rsidRPr="00722885" w:rsidRDefault="000A2335" w:rsidP="00722885">
      <w:pPr>
        <w:spacing w:after="0" w:line="240" w:lineRule="auto"/>
        <w:jc w:val="both"/>
        <w:rPr>
          <w:rFonts w:ascii="Times New Roman" w:hAnsi="Times New Roman"/>
          <w:color w:val="0070C0"/>
          <w:sz w:val="16"/>
          <w:szCs w:val="16"/>
        </w:rPr>
      </w:pPr>
    </w:p>
    <w:p w14:paraId="0E5D28D9" w14:textId="77777777" w:rsidR="000A2335" w:rsidRPr="00722885" w:rsidRDefault="000A233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декабря 1942 состоялся первый пуск ракеты Fi-103 с наземной установки, с включением двигателя. Катапультированная Fi-103 пролетела около минуты и на скорости 500 км/ч упала в море. Дальнейшие испытания захлестнула целая череда аварий. За год напряженной работы крылатую ракету удалось отладить. К лету 1943 года совершили 84 пуска. 16 пусков проделали с борта самолета и 68 — с наземной катапульты. Все воздушные старты были успешными, чего не скажешь о пусках с земли, в которых только 28 ракет нормально отделились от тележки, а остальные теряли управление по вине стартовой установки. Разработчики решили изменить ее конструкцию и заказали фирме Hellmuth Walter Werke ее более совершенный вариант. Наилучший результат всех пусков: дальность полета 225 км, скорость — 625 км/ч (22878)</w:t>
      </w:r>
    </w:p>
    <w:p w14:paraId="26F4CEB2" w14:textId="77777777" w:rsidR="000A2335" w:rsidRPr="00722885" w:rsidRDefault="000A2335" w:rsidP="00722885">
      <w:pPr>
        <w:spacing w:after="0" w:line="240" w:lineRule="auto"/>
        <w:jc w:val="both"/>
        <w:rPr>
          <w:rFonts w:ascii="Times New Roman" w:hAnsi="Times New Roman"/>
          <w:color w:val="0070C0"/>
          <w:sz w:val="16"/>
          <w:szCs w:val="16"/>
        </w:rPr>
      </w:pPr>
    </w:p>
    <w:p w14:paraId="16A95B08" w14:textId="77777777" w:rsidR="00416517" w:rsidRPr="00722885" w:rsidRDefault="00416517" w:rsidP="00722885">
      <w:pPr>
        <w:pStyle w:val="Iauiue"/>
        <w:jc w:val="both"/>
        <w:rPr>
          <w:color w:val="000000" w:themeColor="text1"/>
          <w:sz w:val="16"/>
          <w:szCs w:val="16"/>
        </w:rPr>
      </w:pPr>
      <w:r w:rsidRPr="00722885">
        <w:rPr>
          <w:color w:val="000000" w:themeColor="text1"/>
          <w:sz w:val="16"/>
          <w:szCs w:val="16"/>
        </w:rPr>
        <w:t>24 декабря 1942 состоялся первый старт ФАУ-1 с катапульты в Пенемюнде, но на 2.7 км (1071,25).</w:t>
      </w:r>
    </w:p>
    <w:p w14:paraId="7A15EEB6" w14:textId="77777777" w:rsidR="00416517" w:rsidRPr="00722885" w:rsidRDefault="00416517" w:rsidP="00722885">
      <w:pPr>
        <w:pStyle w:val="Iauiue"/>
        <w:jc w:val="both"/>
        <w:rPr>
          <w:color w:val="000000" w:themeColor="text1"/>
          <w:sz w:val="16"/>
          <w:szCs w:val="16"/>
        </w:rPr>
      </w:pPr>
    </w:p>
    <w:p w14:paraId="3673ADC9"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24 декабря</w:t>
      </w:r>
      <w:r w:rsidRPr="00722885">
        <w:rPr>
          <w:rFonts w:ascii="Times New Roman" w:hAnsi="Times New Roman"/>
          <w:color w:val="000000" w:themeColor="text1"/>
          <w:sz w:val="16"/>
          <w:szCs w:val="16"/>
        </w:rPr>
        <w:t xml:space="preserve"> в 1942 году на полигоне Пенемюнде проводится первое испытание ракеты «FZG76» («Fi-103», позже известной как «Фау-1»), созданной под руководством Вернера фон Брауна (14870).</w:t>
      </w:r>
    </w:p>
    <w:p w14:paraId="0EDEC0A1" w14:textId="77777777" w:rsidR="00416517" w:rsidRPr="00722885" w:rsidRDefault="00416517" w:rsidP="00722885">
      <w:pPr>
        <w:spacing w:after="0" w:line="240" w:lineRule="auto"/>
        <w:jc w:val="both"/>
        <w:rPr>
          <w:rFonts w:ascii="Times New Roman" w:hAnsi="Times New Roman"/>
          <w:color w:val="000000" w:themeColor="text1"/>
          <w:sz w:val="16"/>
          <w:szCs w:val="16"/>
        </w:rPr>
      </w:pPr>
    </w:p>
    <w:p w14:paraId="12909457"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24 декабря 1942 Fi.103 была впервые успешно запущена с катапульты в Пенемюнде на дальность около 2,7 км. Для запуска немецкого самолета-снаряда использовался пусковой лафет длиной 48–65 м, который представлял собой наклонную платформу (Запольскис А.А. Реактивные самолеты люфтваффе. Минск: ХАРВЕСТ, 1999.).</w:t>
      </w:r>
    </w:p>
    <w:p w14:paraId="4F979BC1"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 поверхности платформы располагался желоб, по которому скользил размещенный под фюзеляжем ракеты полоз. Лафет устанавливался на массивном бетонном основании с железными стенками. Fi.103 разгоняли с помощью ускорителей, установленных на стартовой тележке, свободно катящейся по поверхности лафета. Однако тяга ускорителей возрастала слишком резко, что приводило к динамической нагрузке на конструкцию, сравнимой с мощным ударом. От этого сильно страдали электронный компас и механика гироскопа.</w:t>
      </w:r>
    </w:p>
    <w:p w14:paraId="063F2644"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Несмотря на то, что применение ускорителей было залогом малой стоимости, мобильности системы и скрытности подготовки ракет к пуску, для обеспечения точности попадания в цель была разработана парогазовая катапульта длиной 50–55 м, установленная под углом 6о.</w:t>
      </w:r>
    </w:p>
    <w:p w14:paraId="3FABA870"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Катапульта позволяла регулировать график разгона. На ней ракета развивала скорость 320 км/ч, которую пульсирующий двигатель постепенно увеличивал до 540–565 км/ч. Как будет показано ниже, громоздкая парогазовая катапульта сыграла печальную роль в судьбе всего проекта. Ее в первую очередь и обнаружили английские самолеты-разведчики, раскрыв, таким образом, систему стартовых позиций V1 (11686).</w:t>
      </w:r>
    </w:p>
    <w:p w14:paraId="3769B132"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p>
    <w:p w14:paraId="6CBFA334"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24 декабря 1942 г. в Пенемюнде-Вест двигатель для крылатой ракеты Fi.103 был испытан. ПуВРД Argus 109-014 имел вес 138 кг, длину 3,6 м, среднюю тягу 2,35–3,29 кН. Он представлял собой трехсекционную трубу переменного сечения. Первая секция являлась расширяющимся диффузором, вторая – цилиндрической камерой сгорания и третья – соплом.</w:t>
      </w:r>
    </w:p>
    <w:p w14:paraId="0EE4EC24"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Простота конструкции ПуВРД заключалась в том, что в качестве окислителя в нем использовался атмосферный воздух, забираемый от набегающего потока во время полета. Следовательно, не требовались баки, насосы, трубопроводы и другие агрегаты для окислителя. Принцип работы пульсирующего двигателя достаточно прост: в камеру сгорания впрыскивается топливный аэрозоль, который после смешивания с воздухом поджигается.</w:t>
      </w:r>
    </w:p>
    <w:p w14:paraId="7F43EA6E"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Происходит взрыв. Продукты горения выбрасываются через сопло назад. Далее цикл повторяется. Таким образом, двигатель как бы пульсировал с частотой 42–49 вспышек в секунду. На испытаниях пульсирующий двигатель разогнал опытный образец Fi.103 до скорости 600 км/ч.</w:t>
      </w:r>
    </w:p>
    <w:p w14:paraId="6B85777E"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Конструкция ракеты Fi.103 была построена по аэродинамической схеме свободнонесущего среднеплана с симметричным веретенообразным фюзеляжем. В конструкции широко применялась сталь, что обеспечивало необходимую для одноразового летательного аппарата дешевизну. Крылатая ракета была рассчитана на выполнение прямолинейного полета на высотах 300–2500 м.</w:t>
      </w:r>
    </w:p>
    <w:p w14:paraId="7A460E96"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Относительно большая маневренность обеспечивалась только в вертикальной плоскости, набор высоты осуществлялся со скоростью 150 м/мин. Из-за отсутствия элеронов крылатая ракета могла выполнять только плоский разворот.</w:t>
      </w:r>
    </w:p>
    <w:p w14:paraId="6CAA8D65"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Фюзеляж состоял из шести секций (отсеков). В носовой части фюзеляжа размещался аэролаг для отсчета дальности полета, снабженный небольшим пропеллером, и магнитный компас для коррекции автопилота по курсу. По этой причине носовой отсек был изготовлен из фанеры на дюралевом каркасе. Во втором отсеке размещалась усовершенствованная боеголовка с взрывателем. Ее длина составляла 1,275 м, а наибольший диаметр – 0,85 м. Взрыва</w:t>
      </w:r>
    </w:p>
    <w:p w14:paraId="65FF5419"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Конструкция и применение самолетовснарядов V1 127 тель был тройного действия – электрический контактный, два механических и часовой, снабженный замедлителем. Этим достигалась полная гарантия разрыва ракеты в любом случае.</w:t>
      </w:r>
    </w:p>
    <w:p w14:paraId="0F4A3F64"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третьей секции находился топливный бак на 550–640 л. За топливным баком были установлены два шара-баллона со сжатым воздухом (по 150 л под давлением 180 кг/см2). Сжатый воздух использовался для подачи топлива, работы приводов рулей высоты и курса, а также гироскопов. В этом же отсеке находился привод сервомеханизмов системы управления. В четвертом отсеке (аппаратурном) были помещены автопилот, 30-вольтовая батарея и элементы силовой установки. В хвостовой части размещались приводы рулей.</w:t>
      </w:r>
    </w:p>
    <w:p w14:paraId="2E6E9FEB"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качестве топлива использовался низкооктановый бензин.</w:t>
      </w:r>
    </w:p>
    <w:p w14:paraId="64F9C3E0"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некоторых исследованиях указывается, что в качестве топлива могли использоваться также авиационный керосин и спирт. Подача топлива осуществлялась по трубопроводу в пилоне, поддерживающем переднюю часть двигателя. ПуВРД обеспечивал в начале полета скорость около 650 км/ч (0,53М); по мере выгорания топлива и облегчения аппарата скорость увеличивалась (по некоторым сведениям – до 800 км/ч или 0,65М).</w:t>
      </w:r>
    </w:p>
    <w:p w14:paraId="5CDC497B"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Прямые крылья имели один трубчатый лонжерон и нервюры.</w:t>
      </w:r>
    </w:p>
    <w:p w14:paraId="09FBDD1C"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Механизация крыла отсутствовала. В первых версиях Fi.103 крыло обшивалось листовой сталью. Поздние КР снабжались крыльями из древесины. Хвостовое оперение прямоугольной формы выглядело традиционно. Киль с вынесенным назад рулем направления служил опорой для кожуха ПуВРД. Размещение ПуВРД выше фюзеляжа было вызвано неудачным опытом эксплуатации первого немецкого реактивного самолета Не 178, в котором двигатель устанавливался внутри фюзеляжа.</w:t>
      </w:r>
    </w:p>
    <w:p w14:paraId="1E5E4474"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Несмотря на первые успехи в испытаниях самолета-снаряда, Fi.103 имел много недостатков, связанных с управлением полетом. Например, из 68 боевых пусков, произведенных в июне-июле 1943 г., только 28 достигли цели; 59% ракет практически сразу после старта взрывалось по неизвестным причинам. Чтобы решить эти проблемы, был создан пилотируемый вариант самолета-снаряда, в котором вместо боеголовки была смонтирована кабина пилота. Летчик находился в лежачем положении. Чтобы следить за состоянием крыльев и зафиксировать причину их поломки, в фюзеляж был встроен перископ.</w:t>
      </w:r>
    </w:p>
    <w:p w14:paraId="2174E258"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После четырех дней пилотируемых испытательных полетов дефекты в самолете-снаряде удалось выявить и устранить (Запольскис А.А. Реактивные самолеты люфтваффе. Минск: ХАРВЕСТ, 1999.). Правда, в последнем полете случилась авария, и пилот получил увечья.</w:t>
      </w:r>
    </w:p>
    <w:p w14:paraId="1C1C1965"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lastRenderedPageBreak/>
        <w:t>Данные, полученные в ходе 50 экспериментальных пусков Fi.103, проведенных за несколько месяцев, позволили увеличить дальность ракеты до 250 км, а впоследствии предложить несколько модификаций КР. В Германии существовали следующие модификации боевого самолета-снаряда Fi.103:</w:t>
      </w:r>
    </w:p>
    <w:p w14:paraId="7D06FFD8"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Fi.103A1 – первый серийный вариант, боевая часть – аматол (смесь тротила и азотата аммония);</w:t>
      </w:r>
    </w:p>
    <w:p w14:paraId="1091FE9A"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Fi.103B1 – упрощенный вариант. Часть элементов конструкции выполнена из дерева, увеличен размах крыла. Серийно не выпускался;</w:t>
      </w:r>
    </w:p>
    <w:p w14:paraId="4BE11A9C"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Fi.103B2 – опытный вариант с боевой частью из взрывчатого вещества Trialen (смесь тротила, гексогена и алюминиевой пудры). Сила взрыва почти вдвое превышала силу взрыва аматола. Взрыв одной такой ракеты нередко уничтожал целый городской квартал;</w:t>
      </w:r>
    </w:p>
    <w:p w14:paraId="15C6A326"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Fi.103C1 – опытный вариант с авиабомбой SC-1800 в качестве боевой нагрузки; • Fi.103F1 – с увеличенной дальностью полета до 370 км.</w:t>
      </w:r>
    </w:p>
    <w:p w14:paraId="006D9F6E"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Разработан в начале 1945 г. Испытания не проходил.</w:t>
      </w:r>
    </w:p>
    <w:p w14:paraId="088A0266"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Рейхенберг IV – боевой вариант пилотируемой крылатой ракеты. Переоборудовано 175 ракет Fi.103 (11686).</w:t>
      </w:r>
    </w:p>
    <w:p w14:paraId="318AC8D1" w14:textId="77777777" w:rsidR="00416517" w:rsidRPr="00722885" w:rsidRDefault="00416517" w:rsidP="00722885">
      <w:pPr>
        <w:pStyle w:val="afffd"/>
        <w:widowControl/>
        <w:jc w:val="both"/>
        <w:rPr>
          <w:rFonts w:ascii="Times New Roman" w:hAnsi="Times New Roman" w:cs="Times New Roman"/>
          <w:color w:val="000000" w:themeColor="text1"/>
          <w:sz w:val="16"/>
          <w:szCs w:val="16"/>
        </w:rPr>
      </w:pPr>
    </w:p>
    <w:p w14:paraId="3446BD06" w14:textId="77777777" w:rsidR="00416517" w:rsidRPr="00722885" w:rsidRDefault="00416517"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24 декабря 1942 в Пенемюнде состоялся первый пуск аппарата с ПуВРД Дальнейший ход испытаний позволил в июле 1943 г. приступить к формированию первой боевой части, вооруженной самолётами-снарядами — так называемого «103-го зенитного артиллерийского</w:t>
      </w:r>
      <w:r w:rsidRPr="00722885">
        <w:rPr>
          <w:rStyle w:val="aff6"/>
          <w:rFonts w:ascii="Times New Roman" w:eastAsia="Arial Narrow" w:hAnsi="Times New Roman" w:cs="Times New Roman"/>
          <w:i w:val="0"/>
          <w:color w:val="000000" w:themeColor="text1"/>
          <w:spacing w:val="0"/>
        </w:rPr>
        <w:t xml:space="preserve"> полка» и</w:t>
      </w:r>
      <w:r w:rsidRPr="00722885">
        <w:rPr>
          <w:rFonts w:ascii="Times New Roman" w:cs="Times New Roman"/>
          <w:color w:val="000000" w:themeColor="text1"/>
          <w:spacing w:val="0"/>
          <w:sz w:val="16"/>
          <w:szCs w:val="16"/>
        </w:rPr>
        <w:t xml:space="preserve"> обучению его личного состава, а затем и к стро</w:t>
      </w:r>
      <w:r w:rsidRPr="00722885">
        <w:rPr>
          <w:rFonts w:ascii="Times New Roman" w:cs="Times New Roman"/>
          <w:color w:val="000000" w:themeColor="text1"/>
          <w:spacing w:val="0"/>
          <w:sz w:val="16"/>
          <w:szCs w:val="16"/>
        </w:rPr>
        <w:softHyphen/>
        <w:t>ительству катапультных устройств, направленных на Лондон. Первый самолёт-снаряд, получивший от министра пропаганды Геббельса третье, наиболее известное наимено</w:t>
      </w:r>
      <w:r w:rsidRPr="00722885">
        <w:rPr>
          <w:rFonts w:ascii="Times New Roman" w:cs="Times New Roman"/>
          <w:color w:val="000000" w:themeColor="text1"/>
          <w:spacing w:val="0"/>
          <w:sz w:val="16"/>
          <w:szCs w:val="16"/>
        </w:rPr>
        <w:softHyphen/>
        <w:t xml:space="preserve">вание — </w:t>
      </w:r>
      <w:r w:rsidRPr="00722885">
        <w:rPr>
          <w:rFonts w:ascii="Times New Roman" w:cs="Times New Roman"/>
          <w:color w:val="000000" w:themeColor="text1"/>
          <w:spacing w:val="0"/>
          <w:sz w:val="16"/>
          <w:szCs w:val="16"/>
          <w:lang w:val="en-US"/>
        </w:rPr>
        <w:t>V</w:t>
      </w:r>
      <w:r w:rsidRPr="00722885">
        <w:rPr>
          <w:rFonts w:ascii="Times New Roman" w:cs="Times New Roman"/>
          <w:color w:val="000000" w:themeColor="text1"/>
          <w:spacing w:val="0"/>
          <w:sz w:val="16"/>
          <w:szCs w:val="16"/>
        </w:rPr>
        <w:t>-1 (от «</w:t>
      </w:r>
      <w:r w:rsidRPr="00722885">
        <w:rPr>
          <w:rFonts w:ascii="Times New Roman" w:cs="Times New Roman"/>
          <w:color w:val="000000" w:themeColor="text1"/>
          <w:spacing w:val="0"/>
          <w:sz w:val="16"/>
          <w:szCs w:val="16"/>
          <w:lang w:val="en-US"/>
        </w:rPr>
        <w:t>Vergeltungwaffe</w:t>
      </w:r>
      <w:r w:rsidRPr="00722885">
        <w:rPr>
          <w:rFonts w:ascii="Times New Roman" w:cs="Times New Roman"/>
          <w:color w:val="000000" w:themeColor="text1"/>
          <w:spacing w:val="0"/>
          <w:sz w:val="16"/>
          <w:szCs w:val="16"/>
        </w:rPr>
        <w:t>» — оружие возмездия, в русской транскрипции — Фау-1), спикировал на английскую столицу 14 июня 1944 г. Интенсивность воздушных ударов достигла максимума 2 августа 1944 г., когда с 38 катапультных установок запу</w:t>
      </w:r>
      <w:r w:rsidRPr="00722885">
        <w:rPr>
          <w:rFonts w:ascii="Times New Roman" w:cs="Times New Roman"/>
          <w:color w:val="000000" w:themeColor="text1"/>
          <w:spacing w:val="0"/>
          <w:sz w:val="16"/>
          <w:szCs w:val="16"/>
        </w:rPr>
        <w:softHyphen/>
        <w:t>стили 316 самолётов-снарядов (15790).</w:t>
      </w:r>
    </w:p>
    <w:p w14:paraId="18CE6F21" w14:textId="77777777" w:rsidR="00416517" w:rsidRPr="00722885" w:rsidRDefault="00416517" w:rsidP="00722885">
      <w:pPr>
        <w:pStyle w:val="36"/>
        <w:shd w:val="clear" w:color="auto" w:fill="auto"/>
        <w:spacing w:after="0" w:line="240" w:lineRule="auto"/>
        <w:jc w:val="both"/>
        <w:rPr>
          <w:rFonts w:ascii="Times New Roman" w:cs="Times New Roman"/>
          <w:color w:val="000000" w:themeColor="text1"/>
          <w:spacing w:val="0"/>
          <w:sz w:val="16"/>
          <w:szCs w:val="16"/>
        </w:rPr>
      </w:pPr>
    </w:p>
    <w:p w14:paraId="4289FBF3"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24 декабря</w:t>
      </w:r>
      <w:r w:rsidRPr="00722885">
        <w:rPr>
          <w:rFonts w:ascii="Times New Roman" w:hAnsi="Times New Roman"/>
          <w:color w:val="000000" w:themeColor="text1"/>
          <w:sz w:val="16"/>
          <w:szCs w:val="16"/>
        </w:rPr>
        <w:t xml:space="preserve"> в 1942 году начало наступления японских войск на Гуадалканале (14870).</w:t>
      </w:r>
    </w:p>
    <w:p w14:paraId="429368E4" w14:textId="77777777" w:rsidR="00416517" w:rsidRPr="00722885" w:rsidRDefault="00416517" w:rsidP="00722885">
      <w:pPr>
        <w:spacing w:after="0" w:line="240" w:lineRule="auto"/>
        <w:jc w:val="both"/>
        <w:rPr>
          <w:rFonts w:ascii="Times New Roman" w:hAnsi="Times New Roman"/>
          <w:color w:val="000000" w:themeColor="text1"/>
          <w:sz w:val="16"/>
          <w:szCs w:val="16"/>
        </w:rPr>
      </w:pPr>
    </w:p>
    <w:p w14:paraId="3C903041" w14:textId="77777777" w:rsidR="000A2335" w:rsidRPr="00722885" w:rsidRDefault="000A233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24 декабря 1942 в результате крупного авиаудара США по аэродрому Мунда в воздухе были уничтожены четыре самолета Mitsubishi A6M Zero, еще 10 при взлете и 12 ожидающих взлета. Позже в тот же день, дополнительные удары уничтожить японские десантные баржи и бомбардируют взлетно - посадочную полосу аэродром (20793).</w:t>
      </w:r>
    </w:p>
    <w:p w14:paraId="0297FD91" w14:textId="77777777" w:rsidR="000A2335" w:rsidRPr="00722885" w:rsidRDefault="000A2335" w:rsidP="00722885">
      <w:pPr>
        <w:spacing w:after="0" w:line="240" w:lineRule="auto"/>
        <w:jc w:val="both"/>
        <w:rPr>
          <w:rFonts w:ascii="Times New Roman" w:hAnsi="Times New Roman"/>
          <w:color w:val="0070C0"/>
          <w:sz w:val="16"/>
          <w:szCs w:val="16"/>
        </w:rPr>
      </w:pPr>
    </w:p>
    <w:p w14:paraId="2C2BB943"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24 декабря</w:t>
      </w:r>
      <w:r w:rsidRPr="00722885">
        <w:rPr>
          <w:rFonts w:ascii="Times New Roman" w:hAnsi="Times New Roman"/>
          <w:color w:val="000000" w:themeColor="text1"/>
          <w:sz w:val="16"/>
          <w:szCs w:val="16"/>
        </w:rPr>
        <w:t xml:space="preserve"> в 1942 году в Алжире агент генерала де Голля по имени Бонни де ла Шап (Bonnier de la Chapelle) застрелил главнокомандующего вооружёнными силами правительства Виши адмирала Жан-Луи Дарлана (14870).</w:t>
      </w:r>
    </w:p>
    <w:p w14:paraId="246F0F4A" w14:textId="77777777" w:rsidR="00416517" w:rsidRPr="00722885" w:rsidRDefault="00416517" w:rsidP="00722885">
      <w:pPr>
        <w:spacing w:after="0" w:line="240" w:lineRule="auto"/>
        <w:jc w:val="both"/>
        <w:rPr>
          <w:rFonts w:ascii="Times New Roman" w:hAnsi="Times New Roman"/>
          <w:color w:val="000000" w:themeColor="text1"/>
          <w:sz w:val="16"/>
          <w:szCs w:val="16"/>
        </w:rPr>
      </w:pPr>
    </w:p>
    <w:p w14:paraId="53AA5C7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24 декабря 1942 г. Дарлан был убит в Алжире группой французских роялистов (3871) - глава администрации Французской Северной Африки (3907,237).</w:t>
      </w:r>
    </w:p>
    <w:p w14:paraId="49A9AE6C" w14:textId="77777777" w:rsidR="00BB6316" w:rsidRPr="00722885" w:rsidRDefault="00BB6316" w:rsidP="00722885">
      <w:pPr>
        <w:pStyle w:val="Iauiue"/>
        <w:jc w:val="both"/>
        <w:rPr>
          <w:color w:val="000000" w:themeColor="text1"/>
          <w:sz w:val="16"/>
          <w:szCs w:val="16"/>
        </w:rPr>
      </w:pPr>
    </w:p>
    <w:p w14:paraId="0D954EBD"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24, 1942: Following the suspension of Operation Winter Tempest, the relief of Stalingrad, the Red Army begins an offensive against Heeresgruppe Don (von Manstein) toward Kotelnikovo, breaking through the lines of 4.Rumanische Armee (3819).</w:t>
      </w:r>
    </w:p>
    <w:p w14:paraId="33FA528C" w14:textId="77777777" w:rsidR="00BB6316" w:rsidRPr="00722885" w:rsidRDefault="00BB6316" w:rsidP="00722885">
      <w:pPr>
        <w:pStyle w:val="Iauiue"/>
        <w:jc w:val="both"/>
        <w:rPr>
          <w:color w:val="000000" w:themeColor="text1"/>
          <w:sz w:val="16"/>
          <w:szCs w:val="16"/>
          <w:lang w:val="en-US"/>
        </w:rPr>
      </w:pPr>
    </w:p>
    <w:p w14:paraId="253D8CF1"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24 декабря 1942 в Алжире монархистом убит адмирал Ф. Дарлан, командовавший французскими войсками в Африке (4962).</w:t>
      </w:r>
    </w:p>
    <w:p w14:paraId="4554C959" w14:textId="77777777" w:rsidR="00BB6316" w:rsidRPr="00722885" w:rsidRDefault="00BB6316" w:rsidP="00722885">
      <w:pPr>
        <w:pStyle w:val="Iauiue"/>
        <w:tabs>
          <w:tab w:val="left" w:pos="11199"/>
        </w:tabs>
        <w:jc w:val="both"/>
        <w:rPr>
          <w:color w:val="000000" w:themeColor="text1"/>
          <w:sz w:val="16"/>
          <w:szCs w:val="16"/>
        </w:rPr>
      </w:pPr>
    </w:p>
    <w:p w14:paraId="60BD465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583FED0A" w14:textId="77777777" w:rsidR="00BB6316" w:rsidRPr="00722885" w:rsidRDefault="00BB6316" w:rsidP="00722885">
      <w:pPr>
        <w:pStyle w:val="Iauiue"/>
        <w:jc w:val="both"/>
        <w:rPr>
          <w:iCs/>
          <w:color w:val="000000" w:themeColor="text1"/>
          <w:sz w:val="16"/>
          <w:szCs w:val="16"/>
        </w:rPr>
      </w:pPr>
    </w:p>
    <w:p w14:paraId="27758162"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25 декабря 1942  С. В. Ильюшин и завод № 30 по</w:t>
      </w:r>
      <w:r w:rsidRPr="00722885">
        <w:rPr>
          <w:color w:val="000000" w:themeColor="text1"/>
          <w:sz w:val="16"/>
          <w:szCs w:val="16"/>
        </w:rPr>
        <w:softHyphen/>
        <w:t>лучили задание не позже января 1943 г. построить опытную серию противотанковых штурмовиков Ил-2 с пушками 11П в количестве 10 единиц. Пред</w:t>
      </w:r>
      <w:r w:rsidRPr="00722885">
        <w:rPr>
          <w:color w:val="000000" w:themeColor="text1"/>
          <w:sz w:val="16"/>
          <w:szCs w:val="16"/>
        </w:rPr>
        <w:softHyphen/>
        <w:t>полагалось испытать их в бою, после чего принять решение о запуске в крупную серию (17500).</w:t>
      </w:r>
    </w:p>
    <w:p w14:paraId="61F163E4" w14:textId="77777777" w:rsidR="0057042A" w:rsidRPr="00722885" w:rsidRDefault="0057042A" w:rsidP="00722885">
      <w:pPr>
        <w:pStyle w:val="12a"/>
        <w:shd w:val="clear" w:color="auto" w:fill="auto"/>
        <w:spacing w:after="0" w:line="240" w:lineRule="auto"/>
        <w:jc w:val="both"/>
        <w:rPr>
          <w:color w:val="000000" w:themeColor="text1"/>
          <w:sz w:val="16"/>
          <w:szCs w:val="16"/>
        </w:rPr>
      </w:pPr>
    </w:p>
    <w:p w14:paraId="04921320"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25 декабря 1942 состоялся аервый боевой вылет Ил-2 с пушками Ш-37 в ходе войсковых испытаний.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Россошка вылетел младший лейтенант Малявин на са</w:t>
      </w:r>
      <w:r w:rsidRPr="00722885">
        <w:rPr>
          <w:color w:val="000000" w:themeColor="text1"/>
          <w:sz w:val="16"/>
          <w:szCs w:val="16"/>
        </w:rPr>
        <w:softHyphen/>
        <w:t>молете зав. № 1879029. Штурмовиков прикрывали 4 Як-1 от 220-й иад.</w:t>
      </w:r>
    </w:p>
    <w:p w14:paraId="72F45850"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722885">
        <w:rPr>
          <w:color w:val="000000" w:themeColor="text1"/>
          <w:sz w:val="16"/>
          <w:szCs w:val="16"/>
          <w:lang w:val="en-US"/>
        </w:rPr>
        <w:t>Ju</w:t>
      </w:r>
      <w:r w:rsidRPr="00722885">
        <w:rPr>
          <w:color w:val="000000" w:themeColor="text1"/>
          <w:sz w:val="16"/>
          <w:szCs w:val="16"/>
        </w:rPr>
        <w:t>52. Экипажи отработали по ним с пикирования снача</w:t>
      </w:r>
      <w:r w:rsidRPr="00722885">
        <w:rPr>
          <w:color w:val="000000" w:themeColor="text1"/>
          <w:sz w:val="16"/>
          <w:szCs w:val="16"/>
        </w:rPr>
        <w:softHyphen/>
        <w:t>ла ракетными снарядами, затем пулеметно-пушеч-ным огнем и на выходе из пикирования бомбами ФАБ-100 и АО-25. Потери противника оценивались в 5 уничтоженных и поврежденных самолетов.</w:t>
      </w:r>
    </w:p>
    <w:p w14:paraId="22ECDCEA"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районе цели был сильный зенитный огонь. Ис</w:t>
      </w:r>
      <w:r w:rsidRPr="00722885">
        <w:rPr>
          <w:color w:val="000000" w:themeColor="text1"/>
          <w:sz w:val="16"/>
          <w:szCs w:val="16"/>
        </w:rPr>
        <w:softHyphen/>
        <w:t>требительной авиации противника экипажи не на</w:t>
      </w:r>
      <w:r w:rsidRPr="00722885">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73E3CD8E"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0551A48B"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отходе от цели был потерян из виду проти</w:t>
      </w:r>
      <w:r w:rsidRPr="00722885">
        <w:rPr>
          <w:color w:val="000000" w:themeColor="text1"/>
          <w:sz w:val="16"/>
          <w:szCs w:val="16"/>
        </w:rPr>
        <w:softHyphen/>
        <w:t>вотанковый Ил-2. На свой аэродром младший лей</w:t>
      </w:r>
      <w:r w:rsidRPr="00722885">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722885">
        <w:rPr>
          <w:color w:val="000000" w:themeColor="text1"/>
          <w:sz w:val="16"/>
          <w:szCs w:val="16"/>
        </w:rPr>
        <w:softHyphen/>
        <w:t>ного пункта Кузьмичи. Поиски самолета и летчика в этом районе ничего не дали.</w:t>
      </w:r>
    </w:p>
    <w:p w14:paraId="282227F6"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4163DC70"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722885">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2F0C86E3"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Первой под прикрытием 2 Як-1 от 220-й иад ра</w:t>
      </w:r>
      <w:r w:rsidRPr="00722885">
        <w:rPr>
          <w:color w:val="000000" w:themeColor="text1"/>
          <w:sz w:val="16"/>
          <w:szCs w:val="16"/>
        </w:rPr>
        <w:softHyphen/>
        <w:t>ботала пятерка капитана Гребенькова. Удар нано</w:t>
      </w:r>
      <w:r w:rsidRPr="00722885">
        <w:rPr>
          <w:color w:val="000000" w:themeColor="text1"/>
          <w:sz w:val="16"/>
          <w:szCs w:val="16"/>
        </w:rPr>
        <w:softHyphen/>
        <w:t>сился в период 12.13—12.18 по аэродрому Питом</w:t>
      </w:r>
      <w:r w:rsidRPr="00722885">
        <w:rPr>
          <w:color w:val="000000" w:themeColor="text1"/>
          <w:sz w:val="16"/>
          <w:szCs w:val="16"/>
        </w:rPr>
        <w:softHyphen/>
        <w:t xml:space="preserve">ник, на котором к этому времени находилось до 15 самолетов </w:t>
      </w:r>
      <w:r w:rsidRPr="00722885">
        <w:rPr>
          <w:color w:val="000000" w:themeColor="text1"/>
          <w:sz w:val="16"/>
          <w:szCs w:val="16"/>
          <w:lang w:val="en-US"/>
        </w:rPr>
        <w:t>Ju</w:t>
      </w:r>
      <w:r w:rsidRPr="00722885">
        <w:rPr>
          <w:color w:val="000000" w:themeColor="text1"/>
          <w:sz w:val="16"/>
          <w:szCs w:val="16"/>
        </w:rPr>
        <w:t>52. По докладам экипажей и ведуще</w:t>
      </w:r>
      <w:r w:rsidRPr="00722885">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722885">
        <w:rPr>
          <w:color w:val="000000" w:themeColor="text1"/>
          <w:sz w:val="16"/>
          <w:szCs w:val="16"/>
        </w:rPr>
        <w:softHyphen/>
        <w:t>нем из пушек Ш-37 с дистанции 500—600 м зажег один «Юнкерс».</w:t>
      </w:r>
    </w:p>
    <w:p w14:paraId="0E9F6FE9"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722885">
        <w:rPr>
          <w:color w:val="000000" w:themeColor="text1"/>
          <w:sz w:val="16"/>
          <w:szCs w:val="16"/>
        </w:rPr>
        <w:softHyphen/>
        <w:t>ты кок винта и правая плоскость крыла.</w:t>
      </w:r>
    </w:p>
    <w:p w14:paraId="1594EF06"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Вторая группа (ведущий лейтенант Михайлен- ков) — под прикрытием 6 Як-1 от 220-й иад в пе</w:t>
      </w:r>
      <w:r w:rsidRPr="00722885">
        <w:rPr>
          <w:color w:val="000000" w:themeColor="text1"/>
          <w:sz w:val="16"/>
          <w:szCs w:val="16"/>
        </w:rPr>
        <w:softHyphen/>
        <w:t xml:space="preserve">риод 13.22—13.27 атаковала до 10—15 самолетов </w:t>
      </w:r>
      <w:r w:rsidRPr="00722885">
        <w:rPr>
          <w:color w:val="000000" w:themeColor="text1"/>
          <w:sz w:val="16"/>
          <w:szCs w:val="16"/>
          <w:lang w:val="en-US"/>
        </w:rPr>
        <w:t>Ju</w:t>
      </w:r>
      <w:r w:rsidRPr="00722885">
        <w:rPr>
          <w:color w:val="000000" w:themeColor="text1"/>
          <w:sz w:val="16"/>
          <w:szCs w:val="16"/>
        </w:rPr>
        <w:t>52 на аэродроме Большая Россошка. Потери про</w:t>
      </w:r>
      <w:r w:rsidRPr="00722885">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722885">
        <w:rPr>
          <w:color w:val="000000" w:themeColor="text1"/>
          <w:sz w:val="16"/>
          <w:szCs w:val="16"/>
        </w:rPr>
        <w:softHyphen/>
        <w:t>телей противника летчики не наблюдали. Свои по</w:t>
      </w:r>
      <w:r w:rsidRPr="00722885">
        <w:rPr>
          <w:color w:val="000000" w:themeColor="text1"/>
          <w:sz w:val="16"/>
          <w:szCs w:val="16"/>
        </w:rPr>
        <w:softHyphen/>
        <w:t>тери составили 1 Ил-2 (зав. № 0915), который был подбит над целью огнем «эрликонов» и предполо</w:t>
      </w:r>
      <w:r w:rsidRPr="00722885">
        <w:rPr>
          <w:color w:val="000000" w:themeColor="text1"/>
          <w:sz w:val="16"/>
          <w:szCs w:val="16"/>
        </w:rPr>
        <w:softHyphen/>
        <w:t>жительно сел на территории противника при отхо</w:t>
      </w:r>
      <w:r w:rsidRPr="00722885">
        <w:rPr>
          <w:color w:val="000000" w:themeColor="text1"/>
          <w:sz w:val="16"/>
          <w:szCs w:val="16"/>
        </w:rPr>
        <w:softHyphen/>
        <w:t>де от цели. Сержант Меркушев с боевого задания не вернулся, пропал без вести.</w:t>
      </w:r>
    </w:p>
    <w:p w14:paraId="0DA2878F"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722885">
        <w:rPr>
          <w:color w:val="000000" w:themeColor="text1"/>
          <w:sz w:val="16"/>
          <w:szCs w:val="16"/>
        </w:rPr>
        <w:softHyphen/>
        <w:t>дов. Маневренность самолетов при такой нагруз</w:t>
      </w:r>
      <w:r w:rsidRPr="00722885">
        <w:rPr>
          <w:color w:val="000000" w:themeColor="text1"/>
          <w:sz w:val="16"/>
          <w:szCs w:val="16"/>
        </w:rPr>
        <w:softHyphen/>
        <w:t>ке практически ничем не отличалась от серийных Ил-2 с пушками ВЯ и ШВАК.</w:t>
      </w:r>
    </w:p>
    <w:p w14:paraId="2F372C47"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«большими» пушками шли на задание в одном боевом строю с серийными штур</w:t>
      </w:r>
      <w:r w:rsidRPr="00722885">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72AA6386"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докладам вылетавших на Ил-2 с Ш-37 лет</w:t>
      </w:r>
      <w:r w:rsidRPr="00722885">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0DB913AE"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722885">
        <w:rPr>
          <w:color w:val="000000" w:themeColor="text1"/>
          <w:sz w:val="16"/>
          <w:szCs w:val="16"/>
        </w:rPr>
        <w:softHyphen/>
        <w:t>ры наносились в период 12.42—13.00 двумя груп</w:t>
      </w:r>
      <w:r w:rsidRPr="00722885">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722885">
        <w:rPr>
          <w:color w:val="000000" w:themeColor="text1"/>
          <w:sz w:val="16"/>
          <w:szCs w:val="16"/>
        </w:rPr>
        <w:softHyphen/>
        <w:t>нили 3 захода на цели из боевого порядка круг. Ис</w:t>
      </w:r>
      <w:r w:rsidRPr="00722885">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1034A167"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4E209FD1"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посадки сержант Зыков доложил, что «ма</w:t>
      </w:r>
      <w:r w:rsidRPr="00722885">
        <w:rPr>
          <w:color w:val="000000" w:themeColor="text1"/>
          <w:sz w:val="16"/>
          <w:szCs w:val="16"/>
        </w:rPr>
        <w:softHyphen/>
        <w:t>неврирует самолет хорошо, при ведении огня пе</w:t>
      </w:r>
      <w:r w:rsidRPr="00722885">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722885">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722885">
        <w:rPr>
          <w:color w:val="000000" w:themeColor="text1"/>
          <w:sz w:val="16"/>
          <w:szCs w:val="16"/>
        </w:rPr>
        <w:softHyphen/>
        <w:t>денция самолета к развороту легко парируется ру</w:t>
      </w:r>
      <w:r w:rsidRPr="00722885">
        <w:rPr>
          <w:color w:val="000000" w:themeColor="text1"/>
          <w:sz w:val="16"/>
          <w:szCs w:val="16"/>
        </w:rPr>
        <w:softHyphen/>
        <w:t>лями». Эффективность стрельбы пушек по танкам и живой силе хорошая.</w:t>
      </w:r>
    </w:p>
    <w:p w14:paraId="54A005FE"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самолетах Игнатьева и Дунова пушки рабо</w:t>
      </w:r>
      <w:r w:rsidRPr="00722885">
        <w:rPr>
          <w:color w:val="000000" w:themeColor="text1"/>
          <w:sz w:val="16"/>
          <w:szCs w:val="16"/>
        </w:rPr>
        <w:softHyphen/>
        <w:t>тали отлично. Летчикам удалось расстрелять весь боекомплект к ним.</w:t>
      </w:r>
    </w:p>
    <w:p w14:paraId="1A12BEC9"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Отметим, что на Ил-2 Игнатьева, помимо ракет</w:t>
      </w:r>
      <w:r w:rsidRPr="00722885">
        <w:rPr>
          <w:color w:val="000000" w:themeColor="text1"/>
          <w:sz w:val="16"/>
          <w:szCs w:val="16"/>
        </w:rPr>
        <w:softHyphen/>
        <w:t>ных снарядов и полного боекомплекта к пушкам и пулеметам, были подвешены 2 фугасные авиабом</w:t>
      </w:r>
      <w:r w:rsidRPr="00722885">
        <w:rPr>
          <w:color w:val="000000" w:themeColor="text1"/>
          <w:sz w:val="16"/>
          <w:szCs w:val="16"/>
        </w:rPr>
        <w:softHyphen/>
        <w:t>бы ФАБ-100. При этом самолет хорошо маневриро</w:t>
      </w:r>
      <w:r w:rsidRPr="00722885">
        <w:rPr>
          <w:color w:val="000000" w:themeColor="text1"/>
          <w:sz w:val="16"/>
          <w:szCs w:val="16"/>
        </w:rPr>
        <w:softHyphen/>
        <w:t>вал и управлялся при всех условиях боя.</w:t>
      </w:r>
    </w:p>
    <w:p w14:paraId="5C2DF2DE"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 целям противника (ско</w:t>
      </w:r>
      <w:r w:rsidRPr="00722885">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722885">
        <w:rPr>
          <w:color w:val="000000" w:themeColor="text1"/>
          <w:sz w:val="16"/>
          <w:szCs w:val="16"/>
        </w:rPr>
        <w:softHyphen/>
        <w:t>та Кадомцева работала в районе балки Взрубная в период 14.10—14.20 под прикрытием 6 Як-1, а пя</w:t>
      </w:r>
      <w:r w:rsidRPr="00722885">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69CB2449"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На отходе от цели в районе Дмитриевка имел место воздушный бой с немецкими истребителя</w:t>
      </w:r>
      <w:r w:rsidRPr="00722885">
        <w:rPr>
          <w:color w:val="000000" w:themeColor="text1"/>
          <w:sz w:val="16"/>
          <w:szCs w:val="16"/>
        </w:rPr>
        <w:softHyphen/>
        <w:t xml:space="preserve">ми. Пара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G</w:t>
      </w:r>
      <w:r w:rsidRPr="00722885">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722885">
        <w:rPr>
          <w:color w:val="000000" w:themeColor="text1"/>
          <w:sz w:val="16"/>
          <w:szCs w:val="16"/>
        </w:rPr>
        <w:softHyphen/>
        <w:t>временно заметил противника. После этого в воз</w:t>
      </w:r>
      <w:r w:rsidRPr="00722885">
        <w:rPr>
          <w:color w:val="000000" w:themeColor="text1"/>
          <w:sz w:val="16"/>
          <w:szCs w:val="16"/>
        </w:rPr>
        <w:softHyphen/>
        <w:t>душный бой вступили истребители прикрытия, а штурмовики встали в оборонительный круг. По</w:t>
      </w:r>
      <w:r w:rsidRPr="00722885">
        <w:rPr>
          <w:color w:val="000000" w:themeColor="text1"/>
          <w:sz w:val="16"/>
          <w:szCs w:val="16"/>
        </w:rPr>
        <w:softHyphen/>
        <w:t>сле ухода немецких истребителей Ил-2 перестрои</w:t>
      </w:r>
      <w:r w:rsidRPr="00722885">
        <w:rPr>
          <w:color w:val="000000" w:themeColor="text1"/>
          <w:sz w:val="16"/>
          <w:szCs w:val="16"/>
        </w:rPr>
        <w:softHyphen/>
        <w:t>лись в пеленг и встали на обратный маршрут.</w:t>
      </w:r>
    </w:p>
    <w:p w14:paraId="313BE51A"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До генерального наступления под Сталингра</w:t>
      </w:r>
      <w:r w:rsidRPr="00722885">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722885">
        <w:rPr>
          <w:color w:val="000000" w:themeColor="text1"/>
          <w:sz w:val="16"/>
          <w:szCs w:val="16"/>
        </w:rPr>
        <w:softHyphen/>
        <w:t>товым по данным разведки 228-й шад к вылету на боевое задание 2—4 экипажами.</w:t>
      </w:r>
    </w:p>
    <w:p w14:paraId="61D0F574"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722885">
        <w:rPr>
          <w:color w:val="000000" w:themeColor="text1"/>
          <w:sz w:val="16"/>
          <w:szCs w:val="16"/>
        </w:rPr>
        <w:softHyphen/>
        <w:t>ронительной полосы, а также по аэродромам и по</w:t>
      </w:r>
      <w:r w:rsidRPr="00722885">
        <w:rPr>
          <w:color w:val="000000" w:themeColor="text1"/>
          <w:sz w:val="16"/>
          <w:szCs w:val="16"/>
        </w:rPr>
        <w:softHyphen/>
        <w:t>садочным площадкам.</w:t>
      </w:r>
    </w:p>
    <w:p w14:paraId="28654945"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37-мм пушками принимали участие в боевой работе полка до полной ликви</w:t>
      </w:r>
      <w:r w:rsidRPr="00722885">
        <w:rPr>
          <w:color w:val="000000" w:themeColor="text1"/>
          <w:sz w:val="16"/>
          <w:szCs w:val="16"/>
        </w:rPr>
        <w:softHyphen/>
        <w:t>дации группировки немецких войск под Сталингра</w:t>
      </w:r>
      <w:r w:rsidRPr="00722885">
        <w:rPr>
          <w:color w:val="000000" w:themeColor="text1"/>
          <w:sz w:val="16"/>
          <w:szCs w:val="16"/>
        </w:rPr>
        <w:softHyphen/>
        <w:t>дом. Как и прежде, противотанковые Ил-2 ходили на задания в группах вместе с серийными самоле</w:t>
      </w:r>
      <w:r w:rsidRPr="00722885">
        <w:rPr>
          <w:color w:val="000000" w:themeColor="text1"/>
          <w:sz w:val="16"/>
          <w:szCs w:val="16"/>
        </w:rPr>
        <w:softHyphen/>
        <w:t>тами. Группы состояли из 2—6 самолетов, в кото</w:t>
      </w:r>
      <w:r w:rsidRPr="00722885">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50B8A5A5"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56B79304"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722885">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5B8FE5C1"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10 января в ходе боевого вылета 6 Ил-2 (веду</w:t>
      </w:r>
      <w:r w:rsidRPr="00722885">
        <w:rPr>
          <w:color w:val="000000" w:themeColor="text1"/>
          <w:sz w:val="16"/>
          <w:szCs w:val="16"/>
        </w:rPr>
        <w:softHyphen/>
        <w:t>щий капитан Гребеньков) под прикрытием 4 Як-1 от 283-й иад в период 11.21—11.29 в район насе</w:t>
      </w:r>
      <w:r w:rsidRPr="00722885">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722885">
        <w:rPr>
          <w:color w:val="000000" w:themeColor="text1"/>
          <w:sz w:val="16"/>
          <w:szCs w:val="16"/>
        </w:rPr>
        <w:softHyphen/>
        <w:t>жен прямым попаданием бомбы, сброшенной с са</w:t>
      </w:r>
      <w:r w:rsidRPr="00722885">
        <w:rPr>
          <w:color w:val="000000" w:themeColor="text1"/>
          <w:sz w:val="16"/>
          <w:szCs w:val="16"/>
        </w:rPr>
        <w:softHyphen/>
        <w:t xml:space="preserve">молета </w:t>
      </w:r>
      <w:r w:rsidRPr="00722885">
        <w:rPr>
          <w:color w:val="000000" w:themeColor="text1"/>
          <w:sz w:val="16"/>
          <w:szCs w:val="16"/>
          <w:lang w:val="en-US"/>
        </w:rPr>
        <w:t>Ju</w:t>
      </w:r>
      <w:r w:rsidRPr="00722885">
        <w:rPr>
          <w:color w:val="000000" w:themeColor="text1"/>
          <w:sz w:val="16"/>
          <w:szCs w:val="16"/>
        </w:rPr>
        <w:t>88».</w:t>
      </w:r>
    </w:p>
    <w:p w14:paraId="3A6E0D22"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На отходе от цели группа была атакована парой </w:t>
      </w:r>
      <w:r w:rsidRPr="00722885">
        <w:rPr>
          <w:color w:val="000000" w:themeColor="text1"/>
          <w:sz w:val="16"/>
          <w:szCs w:val="16"/>
          <w:lang w:val="en-US"/>
        </w:rPr>
        <w:t>Bf</w:t>
      </w:r>
      <w:r w:rsidRPr="00722885">
        <w:rPr>
          <w:color w:val="000000" w:themeColor="text1"/>
          <w:sz w:val="16"/>
          <w:szCs w:val="16"/>
        </w:rPr>
        <w:t xml:space="preserve"> 109</w:t>
      </w:r>
      <w:r w:rsidRPr="00722885">
        <w:rPr>
          <w:color w:val="000000" w:themeColor="text1"/>
          <w:sz w:val="16"/>
          <w:szCs w:val="16"/>
          <w:lang w:val="en-US"/>
        </w:rPr>
        <w:t>F</w:t>
      </w:r>
      <w:r w:rsidRPr="00722885">
        <w:rPr>
          <w:color w:val="000000" w:themeColor="text1"/>
          <w:sz w:val="16"/>
          <w:szCs w:val="16"/>
        </w:rPr>
        <w:t>. В результате Ил-2 зав. № 8029 с пушками</w:t>
      </w:r>
    </w:p>
    <w:p w14:paraId="2AFA9A09"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6AF40616"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722885">
        <w:rPr>
          <w:color w:val="000000" w:themeColor="text1"/>
          <w:sz w:val="16"/>
          <w:szCs w:val="16"/>
        </w:rPr>
        <w:softHyphen/>
        <w:t>ной группировки в районе Сталинграда вплоть до 2 февраля. Однако войсковые испытания офи</w:t>
      </w:r>
      <w:r w:rsidRPr="00722885">
        <w:rPr>
          <w:color w:val="000000" w:themeColor="text1"/>
          <w:sz w:val="16"/>
          <w:szCs w:val="16"/>
        </w:rPr>
        <w:softHyphen/>
        <w:t>циально были завершены 22 января. К этому вре</w:t>
      </w:r>
      <w:r w:rsidRPr="00722885">
        <w:rPr>
          <w:color w:val="000000" w:themeColor="text1"/>
          <w:sz w:val="16"/>
          <w:szCs w:val="16"/>
        </w:rPr>
        <w:softHyphen/>
        <w:t>мени Ил-2 с Ш-37 совершили 75 боевых само</w:t>
      </w:r>
      <w:r w:rsidRPr="00722885">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722885">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722885">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722885">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722885">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722885">
        <w:rPr>
          <w:color w:val="000000" w:themeColor="text1"/>
          <w:sz w:val="16"/>
          <w:szCs w:val="16"/>
        </w:rPr>
        <w:softHyphen/>
        <w:t>нил только один боевой вылет, и его результаты при составлении отчета по испытаниям не учиты</w:t>
      </w:r>
      <w:r w:rsidRPr="00722885">
        <w:rPr>
          <w:color w:val="000000" w:themeColor="text1"/>
          <w:sz w:val="16"/>
          <w:szCs w:val="16"/>
        </w:rPr>
        <w:softHyphen/>
        <w:t>вались.</w:t>
      </w:r>
    </w:p>
    <w:p w14:paraId="2E9A6A63"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пушками Ш-37 «ходили на бое</w:t>
      </w:r>
      <w:r w:rsidRPr="00722885">
        <w:rPr>
          <w:color w:val="000000" w:themeColor="text1"/>
          <w:sz w:val="16"/>
          <w:szCs w:val="16"/>
        </w:rPr>
        <w:softHyphen/>
        <w:t>вые задания, имея запас боеприпасов 80 для 37-мм пушек, 1500 для пулеметов ШКАС, 8 РС-82 и 2 бом</w:t>
      </w:r>
      <w:r w:rsidRPr="00722885">
        <w:rPr>
          <w:color w:val="000000" w:themeColor="text1"/>
          <w:sz w:val="16"/>
          <w:szCs w:val="16"/>
        </w:rPr>
        <w:softHyphen/>
        <w:t>бы ФАБ-100 или 6 бомб АО-25».</w:t>
      </w:r>
    </w:p>
    <w:p w14:paraId="74F01D1F"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Экипажи действовали главным образом по са</w:t>
      </w:r>
      <w:r w:rsidRPr="00722885">
        <w:rPr>
          <w:color w:val="000000" w:themeColor="text1"/>
          <w:sz w:val="16"/>
          <w:szCs w:val="16"/>
        </w:rPr>
        <w:softHyphen/>
        <w:t>молетам на аэродромах и автотранспорту против</w:t>
      </w:r>
      <w:r w:rsidRPr="00722885">
        <w:rPr>
          <w:color w:val="000000" w:themeColor="text1"/>
          <w:sz w:val="16"/>
          <w:szCs w:val="16"/>
        </w:rPr>
        <w:softHyphen/>
        <w:t>ника. В отдельных случаях — по огневым точкам на поле боя, дерево-земляным оборонительным со</w:t>
      </w:r>
      <w:r w:rsidRPr="00722885">
        <w:rPr>
          <w:color w:val="000000" w:themeColor="text1"/>
          <w:sz w:val="16"/>
          <w:szCs w:val="16"/>
        </w:rPr>
        <w:softHyphen/>
        <w:t>оружениям и бронетехнике. Общий расход боепри</w:t>
      </w:r>
      <w:r w:rsidRPr="00722885">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722885">
        <w:rPr>
          <w:color w:val="000000" w:themeColor="text1"/>
          <w:sz w:val="16"/>
          <w:szCs w:val="16"/>
        </w:rPr>
        <w:softHyphen/>
        <w:t>бомб типа ФАБ-100 — 107, осколочных авиабомб типа АО-25 — 87.</w:t>
      </w:r>
    </w:p>
    <w:p w14:paraId="3A9A2134"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Атаки наземных целей производились с плани</w:t>
      </w:r>
      <w:r w:rsidRPr="00722885">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722885">
        <w:rPr>
          <w:color w:val="000000" w:themeColor="text1"/>
          <w:sz w:val="16"/>
          <w:szCs w:val="16"/>
        </w:rPr>
        <w:softHyphen/>
        <w:t>гим данным — бронемашину), но достоверность поражения целей подтвердить не могли.</w:t>
      </w:r>
    </w:p>
    <w:p w14:paraId="45F893F1"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эти данные не входят потери противника от бомб, РС и пулеметов на этих же самолетах. Необ</w:t>
      </w:r>
      <w:r w:rsidRPr="00722885">
        <w:rPr>
          <w:color w:val="000000" w:themeColor="text1"/>
          <w:sz w:val="16"/>
          <w:szCs w:val="16"/>
        </w:rPr>
        <w:softHyphen/>
        <w:t>ходимо отметить, что «танков, как основных целей для этих пушек, встречалось мало».</w:t>
      </w:r>
    </w:p>
    <w:p w14:paraId="6C506C66"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 время войсковых испытаний отмечалось не</w:t>
      </w:r>
      <w:r w:rsidRPr="00722885">
        <w:rPr>
          <w:color w:val="000000" w:themeColor="text1"/>
          <w:sz w:val="16"/>
          <w:szCs w:val="16"/>
        </w:rPr>
        <w:softHyphen/>
        <w:t>сколько случаев применения Ш-37 по воздушным целям, но все они, вследствие недостаточной ско</w:t>
      </w:r>
      <w:r w:rsidRPr="00722885">
        <w:rPr>
          <w:color w:val="000000" w:themeColor="text1"/>
          <w:sz w:val="16"/>
          <w:szCs w:val="16"/>
        </w:rPr>
        <w:softHyphen/>
        <w:t>рострельности пушки, были неудачными.</w:t>
      </w:r>
    </w:p>
    <w:p w14:paraId="645B7BD0"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одном случае Ил-2 на высоте 800 м был атако</w:t>
      </w:r>
      <w:r w:rsidRPr="00722885">
        <w:rPr>
          <w:color w:val="000000" w:themeColor="text1"/>
          <w:sz w:val="16"/>
          <w:szCs w:val="16"/>
        </w:rPr>
        <w:softHyphen/>
        <w:t xml:space="preserve">ван в лоб истребителем Люфтваффе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С дис</w:t>
      </w:r>
      <w:r w:rsidRPr="00722885">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722885">
        <w:rPr>
          <w:color w:val="000000" w:themeColor="text1"/>
          <w:sz w:val="16"/>
          <w:szCs w:val="16"/>
          <w:lang w:val="en-US"/>
        </w:rPr>
        <w:t>Ju</w:t>
      </w:r>
      <w:r w:rsidRPr="00722885">
        <w:rPr>
          <w:color w:val="000000" w:themeColor="text1"/>
          <w:sz w:val="16"/>
          <w:szCs w:val="16"/>
        </w:rPr>
        <w:t>52/3</w:t>
      </w:r>
      <w:r w:rsidRPr="00722885">
        <w:rPr>
          <w:color w:val="000000" w:themeColor="text1"/>
          <w:sz w:val="16"/>
          <w:szCs w:val="16"/>
          <w:lang w:val="en-US"/>
        </w:rPr>
        <w:t>m</w:t>
      </w:r>
      <w:r w:rsidRPr="00722885">
        <w:rPr>
          <w:color w:val="000000" w:themeColor="text1"/>
          <w:sz w:val="16"/>
          <w:szCs w:val="16"/>
        </w:rPr>
        <w:t>. Огонь из Ш-37 велся короткими очере</w:t>
      </w:r>
      <w:r w:rsidRPr="00722885">
        <w:rPr>
          <w:color w:val="000000" w:themeColor="text1"/>
          <w:sz w:val="16"/>
          <w:szCs w:val="16"/>
        </w:rPr>
        <w:softHyphen/>
        <w:t>дями по 3—4 снаряда с дистанции 600—300 м. Всего было выпущено до 20—30 снарядов. Попа</w:t>
      </w:r>
      <w:r w:rsidRPr="00722885">
        <w:rPr>
          <w:color w:val="000000" w:themeColor="text1"/>
          <w:sz w:val="16"/>
          <w:szCs w:val="16"/>
        </w:rPr>
        <w:softHyphen/>
        <w:t>даний в немецкий самолет не было. Летчики на</w:t>
      </w:r>
      <w:r w:rsidRPr="00722885">
        <w:rPr>
          <w:color w:val="000000" w:themeColor="text1"/>
          <w:sz w:val="16"/>
          <w:szCs w:val="16"/>
        </w:rPr>
        <w:softHyphen/>
        <w:t>блюдали, что «снаряды ложатся правее и левее плоскостей самолета». В итоге «Юнкерс» ушел в облака.</w:t>
      </w:r>
    </w:p>
    <w:p w14:paraId="24A9D705"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Средний расход боекомплекта к пушкам Ш-37 за один самолето-вылет составил 37,6%, что соот</w:t>
      </w:r>
      <w:r w:rsidRPr="00722885">
        <w:rPr>
          <w:color w:val="000000" w:themeColor="text1"/>
          <w:sz w:val="16"/>
          <w:szCs w:val="16"/>
        </w:rPr>
        <w:softHyphen/>
        <w:t>ветствует средней продолжительности непрерыв</w:t>
      </w:r>
      <w:r w:rsidRPr="00722885">
        <w:rPr>
          <w:color w:val="000000" w:themeColor="text1"/>
          <w:sz w:val="16"/>
          <w:szCs w:val="16"/>
        </w:rPr>
        <w:softHyphen/>
        <w:t>ной стрельбы всего 5 секунд. Это, с одной сторо</w:t>
      </w:r>
      <w:r w:rsidRPr="00722885">
        <w:rPr>
          <w:color w:val="000000" w:themeColor="text1"/>
          <w:sz w:val="16"/>
          <w:szCs w:val="16"/>
        </w:rPr>
        <w:softHyphen/>
        <w:t>ны, говорит о том, что целей, достойных для пушек Ш-37, в боевых вылетах было мало, а с другой сто</w:t>
      </w:r>
      <w:r w:rsidRPr="00722885">
        <w:rPr>
          <w:color w:val="000000" w:themeColor="text1"/>
          <w:sz w:val="16"/>
          <w:szCs w:val="16"/>
        </w:rPr>
        <w:softHyphen/>
        <w:t>роны, указывает на недостаточную эффективность стрельбы с самолета Ил-2 из такой пушки по точеч</w:t>
      </w:r>
      <w:r w:rsidRPr="00722885">
        <w:rPr>
          <w:color w:val="000000" w:themeColor="text1"/>
          <w:sz w:val="16"/>
          <w:szCs w:val="16"/>
        </w:rPr>
        <w:softHyphen/>
        <w:t>ным малоразмерным целям.</w:t>
      </w:r>
    </w:p>
    <w:p w14:paraId="22AAA958"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722885">
        <w:rPr>
          <w:color w:val="000000" w:themeColor="text1"/>
          <w:sz w:val="16"/>
          <w:szCs w:val="16"/>
        </w:rPr>
        <w:softHyphen/>
        <w:t>ставил 54%. Из общего числа боевых вылетов, вы</w:t>
      </w:r>
      <w:r w:rsidRPr="00722885">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722885">
        <w:rPr>
          <w:color w:val="000000" w:themeColor="text1"/>
          <w:sz w:val="16"/>
          <w:szCs w:val="16"/>
        </w:rPr>
        <w:softHyphen/>
        <w:t>евое задание Ил-2 с пушками Ш-37 сопровождался отказом хотя бы одной из пушек.</w:t>
      </w:r>
    </w:p>
    <w:p w14:paraId="082F563C"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состоянию на 25 января произошло 123 от</w:t>
      </w:r>
      <w:r w:rsidRPr="00722885">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722885">
        <w:rPr>
          <w:color w:val="000000" w:themeColor="text1"/>
          <w:sz w:val="16"/>
          <w:szCs w:val="16"/>
        </w:rPr>
        <w:softHyphen/>
        <w:t>од, в то время как «по техническим условиям для оружия допускается 0,2% задержек на полную жи</w:t>
      </w:r>
      <w:r w:rsidRPr="00722885">
        <w:rPr>
          <w:color w:val="000000" w:themeColor="text1"/>
          <w:sz w:val="16"/>
          <w:szCs w:val="16"/>
        </w:rPr>
        <w:softHyphen/>
        <w:t>вучесть пушек».</w:t>
      </w:r>
    </w:p>
    <w:p w14:paraId="1B0BF74B"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из всех задержек исключить задержки по вине установок и по вине обслуживающего пер</w:t>
      </w:r>
      <w:r w:rsidRPr="00722885">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722885">
        <w:rPr>
          <w:color w:val="000000" w:themeColor="text1"/>
          <w:sz w:val="16"/>
          <w:szCs w:val="16"/>
        </w:rPr>
        <w:softHyphen/>
        <w:t>новные поломки следующие: ударника — 6, план</w:t>
      </w:r>
      <w:r w:rsidRPr="00722885">
        <w:rPr>
          <w:color w:val="000000" w:themeColor="text1"/>
          <w:sz w:val="16"/>
          <w:szCs w:val="16"/>
        </w:rPr>
        <w:softHyphen/>
        <w:t>ки затвора — 4, бойка — 8, направляющей втулки ударника — 5, трещина в затыльнике — 5, непо</w:t>
      </w:r>
      <w:r w:rsidRPr="00722885">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722885">
        <w:rPr>
          <w:color w:val="000000" w:themeColor="text1"/>
          <w:sz w:val="16"/>
          <w:szCs w:val="16"/>
        </w:rPr>
        <w:softHyphen/>
        <w:t>лов потребовало бы 59 ударников».</w:t>
      </w:r>
    </w:p>
    <w:p w14:paraId="351AB444"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722885">
        <w:rPr>
          <w:color w:val="000000" w:themeColor="text1"/>
          <w:sz w:val="16"/>
          <w:szCs w:val="16"/>
        </w:rPr>
        <w:softHyphen/>
        <w:t>дром в Вихлянцево. Соответственно, бригада спе</w:t>
      </w:r>
      <w:r w:rsidRPr="00722885">
        <w:rPr>
          <w:color w:val="000000" w:themeColor="text1"/>
          <w:sz w:val="16"/>
          <w:szCs w:val="16"/>
        </w:rPr>
        <w:softHyphen/>
        <w:t>циалистов от ОКБ-15 не могла оперативно устра</w:t>
      </w:r>
      <w:r w:rsidRPr="00722885">
        <w:rPr>
          <w:color w:val="000000" w:themeColor="text1"/>
          <w:sz w:val="16"/>
          <w:szCs w:val="16"/>
        </w:rPr>
        <w:softHyphen/>
        <w:t>нять отказы в работе и поломки пушек.</w:t>
      </w:r>
    </w:p>
    <w:p w14:paraId="5C825B22"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Очевидно, все «это нарушало нормальную бое</w:t>
      </w:r>
      <w:r w:rsidRPr="00722885">
        <w:rPr>
          <w:color w:val="000000" w:themeColor="text1"/>
          <w:sz w:val="16"/>
          <w:szCs w:val="16"/>
        </w:rPr>
        <w:softHyphen/>
        <w:t>вую работу полка, самолеты приходилось из-за не</w:t>
      </w:r>
      <w:r w:rsidRPr="00722885">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722885">
        <w:rPr>
          <w:color w:val="000000" w:themeColor="text1"/>
          <w:sz w:val="16"/>
          <w:szCs w:val="16"/>
        </w:rPr>
        <w:softHyphen/>
        <w:t>ко с остальным вооружением».</w:t>
      </w:r>
    </w:p>
    <w:p w14:paraId="0FEF1DAB"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«Большое количество поломок, задержек и от</w:t>
      </w:r>
      <w:r w:rsidRPr="00722885">
        <w:rPr>
          <w:color w:val="000000" w:themeColor="text1"/>
          <w:sz w:val="16"/>
          <w:szCs w:val="16"/>
        </w:rPr>
        <w:softHyphen/>
        <w:t>казов в работе пушек вызвало у летчиков неприят</w:t>
      </w:r>
      <w:r w:rsidRPr="00722885">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6351D554"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722885">
        <w:rPr>
          <w:color w:val="000000" w:themeColor="text1"/>
          <w:sz w:val="16"/>
          <w:szCs w:val="16"/>
        </w:rPr>
        <w:softHyphen/>
        <w:t>жием».</w:t>
      </w:r>
    </w:p>
    <w:p w14:paraId="5571D7CC"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своих донесениях летчики отмечали, что «са</w:t>
      </w:r>
      <w:r w:rsidRPr="00722885">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722885">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722885">
        <w:rPr>
          <w:color w:val="000000" w:themeColor="text1"/>
          <w:sz w:val="16"/>
          <w:szCs w:val="16"/>
        </w:rPr>
        <w:softHyphen/>
        <w:t>нее управляем. Плохо держится в строю при ско</w:t>
      </w:r>
      <w:r w:rsidRPr="00722885">
        <w:rPr>
          <w:color w:val="000000" w:themeColor="text1"/>
          <w:sz w:val="16"/>
          <w:szCs w:val="16"/>
        </w:rPr>
        <w:softHyphen/>
        <w:t>ростях около 250—260 км/ч и ниже. Хорошо дер</w:t>
      </w:r>
      <w:r w:rsidRPr="00722885">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0B70969D"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скоростях полета 250 км/ч «прицельную стрельбу из пушек вести трудно из-за сильной ви</w:t>
      </w:r>
      <w:r w:rsidRPr="00722885">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722885">
        <w:rPr>
          <w:color w:val="000000" w:themeColor="text1"/>
          <w:sz w:val="16"/>
          <w:szCs w:val="16"/>
        </w:rPr>
        <w:softHyphen/>
        <w:t>ется незначительно». При стрельбе с набором вы</w:t>
      </w:r>
      <w:r w:rsidRPr="00722885">
        <w:rPr>
          <w:color w:val="000000" w:themeColor="text1"/>
          <w:sz w:val="16"/>
          <w:szCs w:val="16"/>
        </w:rPr>
        <w:softHyphen/>
        <w:t>соты самолет резко теряет скорость. На пикирова</w:t>
      </w:r>
      <w:r w:rsidRPr="00722885">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722885">
        <w:rPr>
          <w:color w:val="000000" w:themeColor="text1"/>
          <w:sz w:val="16"/>
          <w:szCs w:val="16"/>
        </w:rPr>
        <w:softHyphen/>
        <w:t>рачивается в сторону стреляющей пушки, прицель</w:t>
      </w:r>
      <w:r w:rsidRPr="00722885">
        <w:rPr>
          <w:color w:val="000000" w:themeColor="text1"/>
          <w:sz w:val="16"/>
          <w:szCs w:val="16"/>
        </w:rPr>
        <w:softHyphen/>
        <w:t>ный огонь вести невозможно. Боковой перенос ог</w:t>
      </w:r>
      <w:r w:rsidRPr="00722885">
        <w:rPr>
          <w:color w:val="000000" w:themeColor="text1"/>
          <w:sz w:val="16"/>
          <w:szCs w:val="16"/>
        </w:rPr>
        <w:softHyphen/>
        <w:t>ня при пикировании затруднен, а «с высоты 400 м и ниже невозможен, ввиду инертности самолета».</w:t>
      </w:r>
    </w:p>
    <w:p w14:paraId="794EAEEB"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заявлениям летчиков, «стволы пушек в по</w:t>
      </w:r>
      <w:r w:rsidRPr="00722885">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722885">
        <w:rPr>
          <w:color w:val="000000" w:themeColor="text1"/>
          <w:sz w:val="16"/>
          <w:szCs w:val="16"/>
        </w:rPr>
        <w:softHyphen/>
        <w:t>трудняет возможность вести прицельный огонь». Утверждалось, что «при боевом развороте на ско</w:t>
      </w:r>
      <w:r w:rsidRPr="00722885">
        <w:rPr>
          <w:color w:val="000000" w:themeColor="text1"/>
          <w:sz w:val="16"/>
          <w:szCs w:val="16"/>
        </w:rPr>
        <w:softHyphen/>
        <w:t>рости 270 км/ч самолет сильно трясет».</w:t>
      </w:r>
    </w:p>
    <w:p w14:paraId="5A995BD0"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722885">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722885">
        <w:rPr>
          <w:color w:val="000000" w:themeColor="text1"/>
          <w:sz w:val="16"/>
          <w:szCs w:val="16"/>
        </w:rPr>
        <w:softHyphen/>
        <w:t>ровано только 22 случая полного расстрела бое</w:t>
      </w:r>
      <w:r w:rsidRPr="00722885">
        <w:rPr>
          <w:color w:val="000000" w:themeColor="text1"/>
          <w:sz w:val="16"/>
          <w:szCs w:val="16"/>
        </w:rPr>
        <w:softHyphen/>
        <w:t>комплекта.</w:t>
      </w:r>
    </w:p>
    <w:p w14:paraId="486430E0"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эксплуатационной точки зрения пушка Ш-37 и пушечная установка оказались простыми и удоб</w:t>
      </w:r>
      <w:r w:rsidRPr="00722885">
        <w:rPr>
          <w:color w:val="000000" w:themeColor="text1"/>
          <w:sz w:val="16"/>
          <w:szCs w:val="16"/>
        </w:rPr>
        <w:softHyphen/>
        <w:t>ными в обслуживании даже в условиях зимы, ког</w:t>
      </w:r>
      <w:r w:rsidRPr="00722885">
        <w:rPr>
          <w:color w:val="000000" w:themeColor="text1"/>
          <w:sz w:val="16"/>
          <w:szCs w:val="16"/>
        </w:rPr>
        <w:softHyphen/>
        <w:t>да технический состав вынужден работать в ру</w:t>
      </w:r>
      <w:r w:rsidRPr="00722885">
        <w:rPr>
          <w:color w:val="000000" w:themeColor="text1"/>
          <w:sz w:val="16"/>
          <w:szCs w:val="16"/>
        </w:rPr>
        <w:softHyphen/>
        <w:t>кавицах и тяжелой одежде. При работе 2 человек чистка пушки требует не более 30 мин, заряд</w:t>
      </w:r>
      <w:r w:rsidRPr="00722885">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722885">
        <w:rPr>
          <w:color w:val="000000" w:themeColor="text1"/>
          <w:sz w:val="16"/>
          <w:szCs w:val="16"/>
        </w:rPr>
        <w:softHyphen/>
        <w:t xml:space="preserve">ра — </w:t>
      </w:r>
      <w:r w:rsidRPr="00722885">
        <w:rPr>
          <w:color w:val="000000" w:themeColor="text1"/>
          <w:sz w:val="16"/>
          <w:szCs w:val="16"/>
        </w:rPr>
        <w:lastRenderedPageBreak/>
        <w:t>4—5 ч, шептала — 4 ч, собачки шептала — 3 ч. Технический состав полка особо отметил «не</w:t>
      </w:r>
      <w:r w:rsidRPr="00722885">
        <w:rPr>
          <w:color w:val="000000" w:themeColor="text1"/>
          <w:sz w:val="16"/>
          <w:szCs w:val="16"/>
        </w:rPr>
        <w:softHyphen/>
        <w:t>удобную конструкцию и плохое изготовление об</w:t>
      </w:r>
      <w:r w:rsidRPr="00722885">
        <w:rPr>
          <w:color w:val="000000" w:themeColor="text1"/>
          <w:sz w:val="16"/>
          <w:szCs w:val="16"/>
        </w:rPr>
        <w:softHyphen/>
        <w:t>текателей пушек — на шомпола их невозможно закрыть».</w:t>
      </w:r>
    </w:p>
    <w:p w14:paraId="46B3D3F2"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722885">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7BD6CB32"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722885">
        <w:rPr>
          <w:color w:val="000000" w:themeColor="text1"/>
          <w:sz w:val="16"/>
          <w:szCs w:val="16"/>
        </w:rPr>
        <w:softHyphen/>
        <w:t>лись.</w:t>
      </w:r>
    </w:p>
    <w:p w14:paraId="7A3E26A9"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лейтенант Воловиков в своем донесе</w:t>
      </w:r>
      <w:r w:rsidRPr="00722885">
        <w:rPr>
          <w:color w:val="000000" w:themeColor="text1"/>
          <w:sz w:val="16"/>
          <w:szCs w:val="16"/>
        </w:rPr>
        <w:softHyphen/>
        <w:t>нии указал, что «в серийном производстве Ил-2 с ШФК-37 выпускать нельзя». К его мнению присо</w:t>
      </w:r>
      <w:r w:rsidRPr="00722885">
        <w:rPr>
          <w:color w:val="000000" w:themeColor="text1"/>
          <w:sz w:val="16"/>
          <w:szCs w:val="16"/>
        </w:rPr>
        <w:softHyphen/>
        <w:t>единились старший сержант А. В. Дунов, сержант М. А. Сахариленко и старшина В. Ф. Игнатьев.</w:t>
      </w:r>
    </w:p>
    <w:p w14:paraId="3D5E1802"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722885">
        <w:rPr>
          <w:color w:val="000000" w:themeColor="text1"/>
          <w:sz w:val="16"/>
          <w:szCs w:val="16"/>
        </w:rPr>
        <w:softHyphen/>
        <w:t>го; 4) нужен более мощный мотор для противозе</w:t>
      </w:r>
      <w:r w:rsidRPr="00722885">
        <w:rPr>
          <w:color w:val="000000" w:themeColor="text1"/>
          <w:sz w:val="16"/>
          <w:szCs w:val="16"/>
        </w:rPr>
        <w:softHyphen/>
        <w:t>нитного маневра; 5) формировать отдельные диви</w:t>
      </w:r>
      <w:r w:rsidRPr="00722885">
        <w:rPr>
          <w:color w:val="000000" w:themeColor="text1"/>
          <w:sz w:val="16"/>
          <w:szCs w:val="16"/>
        </w:rPr>
        <w:softHyphen/>
        <w:t>зионные группы Ил-2 с пушками 37 мм или на полк давать 6 таких самолетов».</w:t>
      </w:r>
    </w:p>
    <w:p w14:paraId="5DCBCCE2"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722885">
        <w:rPr>
          <w:color w:val="000000" w:themeColor="text1"/>
          <w:sz w:val="16"/>
          <w:szCs w:val="16"/>
        </w:rPr>
        <w:softHyphen/>
        <w:t>жанта Юсова».</w:t>
      </w:r>
    </w:p>
    <w:p w14:paraId="6E7FD0DE"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с учетом этого в заключении «Доклада о войсковых испытаниях на боевое при</w:t>
      </w:r>
      <w:r w:rsidRPr="00722885">
        <w:rPr>
          <w:color w:val="000000" w:themeColor="text1"/>
          <w:sz w:val="16"/>
          <w:szCs w:val="16"/>
        </w:rPr>
        <w:softHyphen/>
        <w:t>менение самолетов Ил-2 АМ-38, вооруженных 37-мм пушками конструкции ОКБ-15» было записа</w:t>
      </w:r>
      <w:r w:rsidRPr="00722885">
        <w:rPr>
          <w:color w:val="000000" w:themeColor="text1"/>
          <w:sz w:val="16"/>
          <w:szCs w:val="16"/>
        </w:rPr>
        <w:softHyphen/>
        <w:t>но: «1. Самолеты с пушками ШФК-37, испытанные на боевое применение, не дали должной эффективно</w:t>
      </w:r>
      <w:r w:rsidRPr="00722885">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722885">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387CBB87"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боевых летчиков от 688-го шап и чле</w:t>
      </w:r>
      <w:r w:rsidRPr="00722885">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2432ECA8"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Уже 8 марта 1943 г. начальник 1-го отдела УЗ- СиМ ГУЗ ВВС инженер-полковник Ковалев в до</w:t>
      </w:r>
      <w:r w:rsidRPr="00722885">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722885">
        <w:rPr>
          <w:color w:val="000000" w:themeColor="text1"/>
          <w:sz w:val="16"/>
          <w:szCs w:val="16"/>
        </w:rPr>
        <w:softHyphen/>
        <w:t>вых испытаний самолетов Ил-2 с ШФК-37 37-мм пушки подлежат конструктивной доводке».</w:t>
      </w:r>
    </w:p>
    <w:p w14:paraId="50ADAEDD"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722885">
        <w:rPr>
          <w:color w:val="000000" w:themeColor="text1"/>
          <w:sz w:val="16"/>
          <w:szCs w:val="16"/>
        </w:rPr>
        <w:softHyphen/>
        <w:t>шек ШФК-37 на самолетах Ил-2».</w:t>
      </w:r>
    </w:p>
    <w:p w14:paraId="321A3937" w14:textId="77777777" w:rsidR="0057042A" w:rsidRPr="00722885" w:rsidRDefault="0057042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722885">
        <w:rPr>
          <w:color w:val="000000" w:themeColor="text1"/>
          <w:sz w:val="16"/>
          <w:szCs w:val="16"/>
        </w:rPr>
        <w:softHyphen/>
        <w:t>готовить справку о ходе испытаний пушек калибра 37 мм ОКБ-16 на самолетах Ил-2 (17500).</w:t>
      </w:r>
    </w:p>
    <w:p w14:paraId="3311C028" w14:textId="77777777" w:rsidR="0057042A" w:rsidRPr="00722885" w:rsidRDefault="0057042A" w:rsidP="00722885">
      <w:pPr>
        <w:pStyle w:val="12a"/>
        <w:shd w:val="clear" w:color="auto" w:fill="auto"/>
        <w:spacing w:after="0" w:line="240" w:lineRule="auto"/>
        <w:jc w:val="both"/>
        <w:rPr>
          <w:color w:val="000000" w:themeColor="text1"/>
          <w:sz w:val="16"/>
          <w:szCs w:val="16"/>
        </w:rPr>
      </w:pPr>
    </w:p>
    <w:p w14:paraId="4B059BD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25 декабря 1942 вышел приказ НКАП N 906с:</w:t>
      </w:r>
    </w:p>
    <w:p w14:paraId="3137803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демонстрации новой матчасти приказываю передать в БНТ НКАП к 10 января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9B487A" w:rsidRPr="00722885" w14:paraId="1F61CEA7" w14:textId="77777777" w:rsidTr="00CC5360">
        <w:tc>
          <w:tcPr>
            <w:tcW w:w="1878" w:type="dxa"/>
            <w:tcBorders>
              <w:top w:val="single" w:sz="12" w:space="0" w:color="auto"/>
            </w:tcBorders>
          </w:tcPr>
          <w:p w14:paraId="393F596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Директору завода</w:t>
            </w:r>
          </w:p>
        </w:tc>
        <w:tc>
          <w:tcPr>
            <w:tcW w:w="1878" w:type="dxa"/>
            <w:tcBorders>
              <w:top w:val="single" w:sz="12" w:space="0" w:color="auto"/>
            </w:tcBorders>
          </w:tcPr>
          <w:p w14:paraId="4E56D6C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153 Романову - самолет</w:t>
            </w:r>
          </w:p>
        </w:tc>
        <w:tc>
          <w:tcPr>
            <w:tcW w:w="1878" w:type="dxa"/>
            <w:tcBorders>
              <w:top w:val="single" w:sz="12" w:space="0" w:color="auto"/>
            </w:tcBorders>
          </w:tcPr>
          <w:p w14:paraId="747AA03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Як-9</w:t>
            </w:r>
          </w:p>
        </w:tc>
      </w:tr>
      <w:tr w:rsidR="009B487A" w:rsidRPr="00722885" w14:paraId="0E25E0EF" w14:textId="77777777" w:rsidTr="00CC5360">
        <w:tc>
          <w:tcPr>
            <w:tcW w:w="1878" w:type="dxa"/>
          </w:tcPr>
          <w:p w14:paraId="0641A0A2" w14:textId="77777777" w:rsidR="00BB6316" w:rsidRPr="00722885" w:rsidRDefault="00BB6316" w:rsidP="00722885">
            <w:pPr>
              <w:pStyle w:val="Iauiue"/>
              <w:jc w:val="both"/>
              <w:rPr>
                <w:color w:val="000000" w:themeColor="text1"/>
                <w:sz w:val="16"/>
                <w:szCs w:val="16"/>
              </w:rPr>
            </w:pPr>
          </w:p>
        </w:tc>
        <w:tc>
          <w:tcPr>
            <w:tcW w:w="1878" w:type="dxa"/>
          </w:tcPr>
          <w:p w14:paraId="1EBC10A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21 Агаджанову</w:t>
            </w:r>
          </w:p>
        </w:tc>
        <w:tc>
          <w:tcPr>
            <w:tcW w:w="1878" w:type="dxa"/>
          </w:tcPr>
          <w:p w14:paraId="2FD80AD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Ла-5</w:t>
            </w:r>
          </w:p>
        </w:tc>
      </w:tr>
      <w:tr w:rsidR="009B487A" w:rsidRPr="00722885" w14:paraId="19C50687" w14:textId="77777777" w:rsidTr="00CC5360">
        <w:tc>
          <w:tcPr>
            <w:tcW w:w="1878" w:type="dxa"/>
          </w:tcPr>
          <w:p w14:paraId="5E32F515" w14:textId="77777777" w:rsidR="00BB6316" w:rsidRPr="00722885" w:rsidRDefault="00BB6316" w:rsidP="00722885">
            <w:pPr>
              <w:pStyle w:val="Iauiue"/>
              <w:jc w:val="both"/>
              <w:rPr>
                <w:color w:val="000000" w:themeColor="text1"/>
                <w:sz w:val="16"/>
                <w:szCs w:val="16"/>
              </w:rPr>
            </w:pPr>
          </w:p>
        </w:tc>
        <w:tc>
          <w:tcPr>
            <w:tcW w:w="1878" w:type="dxa"/>
          </w:tcPr>
          <w:p w14:paraId="63F112A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30 Шапиро</w:t>
            </w:r>
          </w:p>
        </w:tc>
        <w:tc>
          <w:tcPr>
            <w:tcW w:w="1878" w:type="dxa"/>
          </w:tcPr>
          <w:p w14:paraId="32664DD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Ил-2</w:t>
            </w:r>
          </w:p>
        </w:tc>
      </w:tr>
      <w:tr w:rsidR="009B487A" w:rsidRPr="00722885" w14:paraId="71C7F97F" w14:textId="77777777" w:rsidTr="00CC5360">
        <w:tc>
          <w:tcPr>
            <w:tcW w:w="1878" w:type="dxa"/>
            <w:tcBorders>
              <w:bottom w:val="single" w:sz="12" w:space="0" w:color="auto"/>
            </w:tcBorders>
          </w:tcPr>
          <w:p w14:paraId="36981F38" w14:textId="77777777" w:rsidR="00BB6316" w:rsidRPr="00722885" w:rsidRDefault="00BB6316" w:rsidP="00722885">
            <w:pPr>
              <w:pStyle w:val="Iauiue"/>
              <w:jc w:val="both"/>
              <w:rPr>
                <w:color w:val="000000" w:themeColor="text1"/>
                <w:sz w:val="16"/>
                <w:szCs w:val="16"/>
              </w:rPr>
            </w:pPr>
          </w:p>
        </w:tc>
        <w:tc>
          <w:tcPr>
            <w:tcW w:w="1878" w:type="dxa"/>
            <w:tcBorders>
              <w:bottom w:val="single" w:sz="12" w:space="0" w:color="auto"/>
            </w:tcBorders>
          </w:tcPr>
          <w:p w14:paraId="04F2675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22 Окулову</w:t>
            </w:r>
          </w:p>
        </w:tc>
        <w:tc>
          <w:tcPr>
            <w:tcW w:w="1878" w:type="dxa"/>
            <w:tcBorders>
              <w:bottom w:val="single" w:sz="12" w:space="0" w:color="auto"/>
            </w:tcBorders>
          </w:tcPr>
          <w:p w14:paraId="6273065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Пе-2 (1619,55)</w:t>
            </w:r>
          </w:p>
        </w:tc>
      </w:tr>
    </w:tbl>
    <w:p w14:paraId="1FBB639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Так, что ясно, что в зале БНТ стояло</w:t>
      </w:r>
    </w:p>
    <w:p w14:paraId="72E770D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25 декабря 1942 года Шахурин писал письмо Сталину.</w:t>
      </w:r>
    </w:p>
    <w:p w14:paraId="33E0C6A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связи с телеграммой Тюленева и Вершинина, в которой они просят разрешения выпускать на заводе N 31 (Тбилиси) самолеты Ла-5, без ущерба для программы выпуска самолетов Лагг-3, прошу:</w:t>
      </w:r>
    </w:p>
    <w:p w14:paraId="51324A9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Разрешить заводу N 31 выпускать самолеты Ла-5 сверх утвержденной программы по самолетам Лагг-3.</w:t>
      </w:r>
    </w:p>
    <w:p w14:paraId="11644CB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Разрешить Наркомавиапрому произвести необходимую докомплектацию самолетов Ла-5 агрегатами.</w:t>
      </w:r>
    </w:p>
    <w:p w14:paraId="4FE0A5E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Подписать ответную телеграмму Тюленеву и Вершинину (1652,259).</w:t>
      </w:r>
    </w:p>
    <w:p w14:paraId="7848A3EB" w14:textId="77777777" w:rsidR="00BB6316" w:rsidRPr="00722885" w:rsidRDefault="00BB6316" w:rsidP="00722885">
      <w:pPr>
        <w:pStyle w:val="Iauiue"/>
        <w:jc w:val="both"/>
        <w:rPr>
          <w:color w:val="000000" w:themeColor="text1"/>
          <w:sz w:val="16"/>
          <w:szCs w:val="16"/>
        </w:rPr>
      </w:pPr>
    </w:p>
    <w:p w14:paraId="15C55FE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25 декабря 1942 ГКО постановлением N 2654сс принял к сведению сообщение НКАП о том, что на заводе 22 (Казань) освоено производство самолетов Пе-2 с М-105ПФ (1618,56).</w:t>
      </w:r>
    </w:p>
    <w:p w14:paraId="4FFC687F" w14:textId="77777777" w:rsidR="00BB6316" w:rsidRPr="00722885" w:rsidRDefault="00BB6316" w:rsidP="00722885">
      <w:pPr>
        <w:pStyle w:val="Iauiue"/>
        <w:jc w:val="both"/>
        <w:rPr>
          <w:color w:val="000000" w:themeColor="text1"/>
          <w:sz w:val="16"/>
          <w:szCs w:val="16"/>
        </w:rPr>
      </w:pPr>
    </w:p>
    <w:p w14:paraId="0A3ABD1B" w14:textId="77777777" w:rsidR="000A2335" w:rsidRPr="00722885" w:rsidRDefault="000A2335"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rPr>
        <w:t>25 декабря 1942 г. Постановлением ГКО № 2654сс узаконить установку М-105ПФ на Пе-2, однако, по факту на заводе № 22 к 24 декабря сдали уже 36 «Пешек» с М-105ПФ. Вышедшим 29 декабря 1942 г. приказом по НКАП № 919сс «Об увеличении выпуска самолетов Пе-2 на заводе 22 и об ускорении перевода завода 16 на выпуск только пушечных моторов М-105ПФ» требовалось обеспечить устойчивый выпуск самолетов с ними с 1 января 1943 г. темпом по восемь в сутки, с 5 февраля — девять и с 25 марта — по 10 в сутки. До 10 февраля 1943 г. было приказано сдать 1 209 таких Пе-2 и с этого дня полностью перейти на М-105ПФ (22828).</w:t>
      </w:r>
    </w:p>
    <w:p w14:paraId="0A757BFE" w14:textId="77777777" w:rsidR="000A2335" w:rsidRPr="00722885" w:rsidRDefault="000A2335" w:rsidP="00722885">
      <w:pPr>
        <w:spacing w:after="0" w:line="240" w:lineRule="auto"/>
        <w:jc w:val="both"/>
        <w:rPr>
          <w:rFonts w:ascii="Times New Roman" w:hAnsi="Times New Roman"/>
          <w:color w:val="0070C0"/>
          <w:sz w:val="16"/>
          <w:szCs w:val="16"/>
        </w:rPr>
      </w:pPr>
    </w:p>
    <w:p w14:paraId="2141B2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декабря 1942 вышло Постановление ГКО № 2654 Об увеличении выпуска самолетов Пе-2 на заводе № 22 и об ускорении перевода Казанского завода № 16 на выпуск только пушечных моторов М-105ПФ. РГАНИР, Фонд ГКО, д. 74, лл. 87-88, 89-92 (11012).</w:t>
      </w:r>
    </w:p>
    <w:p w14:paraId="706D3E9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A082597" w14:textId="77777777" w:rsidR="00725DED" w:rsidRPr="00722885" w:rsidRDefault="00725DE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декабря 1942 вышло Постановление ГКО № 2654 Об увеличении выпуска самолетов Пе-2 на заводе № 22 и об ускорении перевода Казанского завода № 16 на выпуск только пушечных моторов М-105ПФ</w:t>
      </w:r>
    </w:p>
    <w:p w14:paraId="1596E4CE" w14:textId="77777777" w:rsidR="00725DED" w:rsidRPr="00722885" w:rsidRDefault="00725DED" w:rsidP="00722885">
      <w:pPr>
        <w:pStyle w:val="89"/>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Государственной Комитет Обороны постановляет*</w:t>
      </w:r>
    </w:p>
    <w:p w14:paraId="58D4693C" w14:textId="77777777" w:rsidR="00725DED" w:rsidRPr="00722885" w:rsidRDefault="00725DED" w:rsidP="00722885">
      <w:pPr>
        <w:pStyle w:val="89"/>
        <w:shd w:val="clear" w:color="auto" w:fill="auto"/>
        <w:tabs>
          <w:tab w:val="left" w:pos="1008"/>
        </w:tabs>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 Принять к сведению сообщение Наркомавиапргма о том, что на заводе № 22 (г.Казань) освоено производство самолетов Пе-2 с мотором М-105ПФ и что на 24 декабря с. г. самолетов Пе-2 с пушечными форсированными моторами М-105ПФ выпущено 36 штук.</w:t>
      </w:r>
    </w:p>
    <w:p w14:paraId="67D5F7B0" w14:textId="77777777" w:rsidR="00725DED" w:rsidRPr="00722885" w:rsidRDefault="00725DED" w:rsidP="00722885">
      <w:pPr>
        <w:pStyle w:val="89"/>
        <w:shd w:val="clear" w:color="auto" w:fill="auto"/>
        <w:tabs>
          <w:tab w:val="left" w:pos="1000"/>
        </w:tabs>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2. Обязать Наркокавиапром (т. Шахурина) и директора завода № 22 т.Окулова:</w:t>
      </w:r>
    </w:p>
    <w:p w14:paraId="168C136D" w14:textId="77777777" w:rsidR="00725DED" w:rsidRPr="00722885" w:rsidRDefault="00725DED" w:rsidP="00722885">
      <w:pPr>
        <w:pStyle w:val="89"/>
        <w:shd w:val="clear" w:color="auto" w:fill="auto"/>
        <w:tabs>
          <w:tab w:val="left" w:pos="1023"/>
        </w:tabs>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а) обеспечить переход на устойчивый выпуск заводом № 22 самолетов Пе-2 с 1 января 1943 года по 8 самолетов в сутки, с 5 февраля 1943г. по 9 самолетов в сутки и с 25 марта 1943г. по 10 самолетов в сутки;</w:t>
      </w:r>
    </w:p>
    <w:p w14:paraId="16D1F313" w14:textId="77777777" w:rsidR="00725DED" w:rsidRPr="00722885" w:rsidRDefault="00725DED" w:rsidP="00722885">
      <w:pPr>
        <w:pStyle w:val="89"/>
        <w:shd w:val="clear" w:color="auto" w:fill="auto"/>
        <w:tabs>
          <w:tab w:val="left" w:pos="1023"/>
        </w:tabs>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 обеспечить до 10 февраля 1943 года выпуск 120 са</w:t>
      </w:r>
      <w:r w:rsidRPr="00722885">
        <w:rPr>
          <w:rFonts w:ascii="Times New Roman" w:hAnsi="Times New Roman" w:cs="Times New Roman"/>
          <w:color w:val="000000" w:themeColor="text1"/>
          <w:sz w:val="16"/>
          <w:szCs w:val="16"/>
        </w:rPr>
        <w:softHyphen/>
        <w:t>молетов Пе-2 с пушечным мотором М-105ПФ и с 10-го февра</w:t>
      </w:r>
      <w:r w:rsidRPr="00722885">
        <w:rPr>
          <w:rFonts w:ascii="Times New Roman" w:hAnsi="Times New Roman" w:cs="Times New Roman"/>
          <w:color w:val="000000" w:themeColor="text1"/>
          <w:sz w:val="16"/>
          <w:szCs w:val="16"/>
        </w:rPr>
        <w:softHyphen/>
        <w:t>ля полностью перейти только на выпуск самолетов Пе-2 с</w:t>
      </w:r>
    </w:p>
    <w:p w14:paraId="0F66D568" w14:textId="77777777" w:rsidR="00725DED" w:rsidRPr="00722885" w:rsidRDefault="00725DED" w:rsidP="00722885">
      <w:pPr>
        <w:pStyle w:val="89"/>
        <w:shd w:val="clear" w:color="auto" w:fill="auto"/>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мотором М-105ПФ.</w:t>
      </w:r>
    </w:p>
    <w:p w14:paraId="77159E6A" w14:textId="77777777" w:rsidR="00725DED" w:rsidRPr="00722885" w:rsidRDefault="00725DED" w:rsidP="00722885">
      <w:pPr>
        <w:pStyle w:val="89"/>
        <w:shd w:val="clear" w:color="auto" w:fill="auto"/>
        <w:tabs>
          <w:tab w:val="left" w:pos="993"/>
        </w:tabs>
        <w:spacing w:line="240" w:lineRule="auto"/>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3. Обязать Наркомавиапром (т.Шахурина) и директора завода № 16 (г.Казань) т.Лукина:</w:t>
      </w:r>
    </w:p>
    <w:p w14:paraId="136B4C16" w14:textId="77777777" w:rsidR="00725DED" w:rsidRPr="00722885" w:rsidRDefault="00725DED" w:rsidP="00722885">
      <w:pPr>
        <w:pStyle w:val="afffffc"/>
        <w:tabs>
          <w:tab w:val="left" w:pos="1060"/>
        </w:tabs>
        <w:spacing w:line="240" w:lineRule="auto"/>
        <w:ind w:left="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а) обеспечить выпуск</w:t>
      </w:r>
      <w:r w:rsidRPr="00722885">
        <w:rPr>
          <w:rStyle w:val="10pt1"/>
          <w:rFonts w:ascii="Times New Roman" w:hAnsi="Times New Roman" w:cs="Times New Roman"/>
          <w:color w:val="000000" w:themeColor="text1"/>
          <w:sz w:val="16"/>
          <w:szCs w:val="16"/>
        </w:rPr>
        <w:t xml:space="preserve"> в</w:t>
      </w:r>
      <w:r w:rsidRPr="00722885">
        <w:rPr>
          <w:rFonts w:ascii="Times New Roman" w:hAnsi="Times New Roman" w:cs="Times New Roman"/>
          <w:color w:val="000000" w:themeColor="text1"/>
          <w:sz w:val="16"/>
          <w:szCs w:val="16"/>
        </w:rPr>
        <w:t xml:space="preserve"> январе 1913г. 100 моторов М-105ПФ и 250 моторов М-105Р; в феврале - 260 моторов М-105ПФ и 60 моторов </w:t>
      </w:r>
      <w:r w:rsidRPr="00722885">
        <w:rPr>
          <w:rFonts w:ascii="Times New Roman" w:hAnsi="Times New Roman" w:cs="Times New Roman"/>
          <w:color w:val="000000" w:themeColor="text1"/>
          <w:sz w:val="16"/>
          <w:szCs w:val="16"/>
          <w:lang w:val="en-US"/>
        </w:rPr>
        <w:t>M</w:t>
      </w:r>
      <w:r w:rsidRPr="00722885">
        <w:rPr>
          <w:rFonts w:ascii="Times New Roman" w:hAnsi="Times New Roman" w:cs="Times New Roman"/>
          <w:color w:val="000000" w:themeColor="text1"/>
          <w:sz w:val="16"/>
          <w:szCs w:val="16"/>
        </w:rPr>
        <w:t>-105</w:t>
      </w:r>
      <w:r w:rsidRPr="00722885">
        <w:rPr>
          <w:rFonts w:ascii="Times New Roman" w:hAnsi="Times New Roman" w:cs="Times New Roman"/>
          <w:color w:val="000000" w:themeColor="text1"/>
          <w:sz w:val="16"/>
          <w:szCs w:val="16"/>
          <w:lang w:val="en-US"/>
        </w:rPr>
        <w:t>P</w:t>
      </w:r>
      <w:r w:rsidRPr="00722885">
        <w:rPr>
          <w:rFonts w:ascii="Times New Roman" w:hAnsi="Times New Roman" w:cs="Times New Roman"/>
          <w:color w:val="000000" w:themeColor="text1"/>
          <w:sz w:val="16"/>
          <w:szCs w:val="16"/>
        </w:rPr>
        <w:t>;</w:t>
      </w:r>
    </w:p>
    <w:p w14:paraId="165299F9" w14:textId="77777777" w:rsidR="00725DED" w:rsidRPr="00722885" w:rsidRDefault="00725DED" w:rsidP="00722885">
      <w:pPr>
        <w:pStyle w:val="afffffc"/>
        <w:tabs>
          <w:tab w:val="left" w:pos="1053"/>
        </w:tabs>
        <w:spacing w:line="240" w:lineRule="auto"/>
        <w:ind w:left="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б) с 20 февраля 1943 года полностью перевести за</w:t>
      </w:r>
      <w:r w:rsidRPr="00722885">
        <w:rPr>
          <w:rFonts w:ascii="Times New Roman" w:hAnsi="Times New Roman" w:cs="Times New Roman"/>
          <w:color w:val="000000" w:themeColor="text1"/>
          <w:sz w:val="16"/>
          <w:szCs w:val="16"/>
        </w:rPr>
        <w:softHyphen/>
        <w:t>вод № 16 на выпуск моторов М-105ПФ, прекратив выпуск ре дукторных моторов, м обеспечить выпуск в марте месяце 1943 года 348 моторов М-105ПФ.</w:t>
      </w:r>
    </w:p>
    <w:p w14:paraId="79E99ED9" w14:textId="77777777" w:rsidR="00725DED" w:rsidRPr="00722885" w:rsidRDefault="00725DE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4.  Утвердить мероприятия по оказанию помощи заводам № </w:t>
      </w:r>
      <w:r w:rsidRPr="00722885">
        <w:rPr>
          <w:rStyle w:val="16"/>
          <w:rFonts w:ascii="Times New Roman" w:hAnsi="Times New Roman" w:cs="Times New Roman"/>
          <w:color w:val="000000" w:themeColor="text1"/>
          <w:spacing w:val="0"/>
        </w:rPr>
        <w:t>16</w:t>
      </w:r>
      <w:r w:rsidRPr="00722885">
        <w:rPr>
          <w:rFonts w:ascii="Times New Roman" w:hAnsi="Times New Roman"/>
          <w:color w:val="000000" w:themeColor="text1"/>
          <w:sz w:val="16"/>
          <w:szCs w:val="16"/>
        </w:rPr>
        <w:t xml:space="preserve"> и 22 (см.приложение) (19377).</w:t>
      </w:r>
    </w:p>
    <w:p w14:paraId="127FF048" w14:textId="77777777" w:rsidR="00725DED" w:rsidRPr="00722885" w:rsidRDefault="00725DED" w:rsidP="00722885">
      <w:pPr>
        <w:spacing w:after="0" w:line="240" w:lineRule="auto"/>
        <w:jc w:val="both"/>
        <w:rPr>
          <w:rFonts w:ascii="Times New Roman" w:hAnsi="Times New Roman"/>
          <w:color w:val="000000" w:themeColor="text1"/>
          <w:sz w:val="16"/>
          <w:szCs w:val="16"/>
        </w:rPr>
      </w:pPr>
    </w:p>
    <w:p w14:paraId="5131C0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декабря 1942 вышло Постановление ГКО № 2657 О выпуске самолетов-истребителей Як. на Новосибирском заводе № 153 с пушками 37 мм ОКБ-16. РГАНИР, Фонд ГКО, д. 74, лл. 96-97 (11012).</w:t>
      </w:r>
    </w:p>
    <w:p w14:paraId="7CC4902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BDB32D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25 декабря 1942 вышло постановление ГКО о выпуске Як-9 с 37 мм пушкой НС-37 (65,116).</w:t>
      </w:r>
    </w:p>
    <w:p w14:paraId="433B0427" w14:textId="77777777" w:rsidR="00BB6316" w:rsidRPr="00722885" w:rsidRDefault="00BB6316" w:rsidP="00722885">
      <w:pPr>
        <w:pStyle w:val="Iauiue"/>
        <w:jc w:val="both"/>
        <w:rPr>
          <w:color w:val="000000" w:themeColor="text1"/>
          <w:sz w:val="16"/>
          <w:szCs w:val="16"/>
        </w:rPr>
      </w:pPr>
    </w:p>
    <w:p w14:paraId="4A1B2B07" w14:textId="77777777" w:rsidR="00F94D1F" w:rsidRPr="00722885" w:rsidRDefault="00F94D1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25 декабря 1942 года согласно постановлению ГКО была начата разработка «противотанкового» Як-9 с моторпушкой НС-37 , а уже в январе был готов первый истребитель Як-9Т (танковый), который проходил испытания вооружения в НИПАВ (научно-испытательный полигон авиационного вооружения) с 10 января по 12 февраля 1943 г. и летные испытания в НИИ ВВС с 15 февраля по 4 марта (летчик В.И.Хомяков, ведущий инженер по самолету А.Т.Степанец, по вооружению — Л.И.Лось).</w:t>
      </w:r>
    </w:p>
    <w:p w14:paraId="0F4E83BD" w14:textId="77777777" w:rsidR="00F94D1F" w:rsidRPr="00722885" w:rsidRDefault="00F94D1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Установка большой и тяжелой 37-мм пушки (длина — 3400 мм, масса — 150 кг) потребовала внесения в конструкцию Як-9 ряда существенных изменений. Был усилен силовой каркас фюзеляжа в передней части. Для размещения на самолете казенной части пушки и сохранения центровки в допустимых пределах кабина летчика была сдвинута назад на 400 мм, что несколько ухудшило обзор передней полусферы, но улучшило обзор задней. Благодаря заднему расположению кабины, приведшему к смещению центровки назад, Як-9Т обладал меньшей инертностью, чем другие самолеты, что позволяло летчику выполнять боевой маневр, упреждая противника.</w:t>
      </w:r>
    </w:p>
    <w:p w14:paraId="5220951E" w14:textId="77777777" w:rsidR="00F94D1F" w:rsidRPr="00722885" w:rsidRDefault="00F94D1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lastRenderedPageBreak/>
        <w:t>Установка 37-мм пушки требовала повышения качества сборки самолета, в первую очередь — качества монтажных работ, так как большая отдача при стрельбе приводила к нарушению соединений трубопроводов, а также появлению трещин и разрушению отдельных деталей.</w:t>
      </w:r>
    </w:p>
    <w:p w14:paraId="47058739" w14:textId="77777777" w:rsidR="00F94D1F" w:rsidRPr="00722885" w:rsidRDefault="00F94D1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целом, надо отметить, что Як-9Т оказался наиболее удачным носителем тяжелых пушек. Удачная компоновка столь тяжелого и габаритного орудия почти не сказалась на маневренных характеристиках истребителя. Учитывая большой для такого калибра боекомплект пушки в 30 выстрелов, Як обладал хорошей автономностью. К недостаткам относилось невозможность вести огонь длинными очередями, более 2-3 выстрелов, поскольку из-за большой отдачи сбивался прицел, а самолет изрядно терял в скорости. С другой стороны, прекрасная баллистика орудия предопределяла настильную траекторию, позволяла вести эффективный огонь на ранее недоступных дистанциях до 600 и даже до 1000 метров. Ну а могущество боеприпаса позволяло гарантированно уничтожать любого воздушного противника с 1-2 попаданий. Строго говоря, дистанция стрельбы и вероятность попадания ограничивалась лишь несовершенством достаточно допотопных прицелов (19170).</w:t>
      </w:r>
    </w:p>
    <w:p w14:paraId="3A21820E" w14:textId="77777777" w:rsidR="00F94D1F" w:rsidRPr="00722885" w:rsidRDefault="00F94D1F" w:rsidP="00722885">
      <w:pPr>
        <w:pStyle w:val="rtejustify"/>
        <w:shd w:val="clear" w:color="auto" w:fill="FFFFFF"/>
        <w:spacing w:before="0" w:beforeAutospacing="0" w:after="0" w:afterAutospacing="0"/>
        <w:jc w:val="both"/>
        <w:textAlignment w:val="baseline"/>
        <w:rPr>
          <w:color w:val="000000" w:themeColor="text1"/>
          <w:sz w:val="16"/>
          <w:szCs w:val="16"/>
        </w:rPr>
      </w:pPr>
    </w:p>
    <w:p w14:paraId="32871F97"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25 декабря 1942 состо</w:t>
      </w:r>
      <w:r w:rsidRPr="00722885">
        <w:rPr>
          <w:color w:val="000000" w:themeColor="text1"/>
          <w:sz w:val="16"/>
          <w:szCs w:val="16"/>
        </w:rPr>
        <w:softHyphen/>
        <w:t>ялось постановление ГКО об организации на заво</w:t>
      </w:r>
      <w:r w:rsidRPr="00722885">
        <w:rPr>
          <w:color w:val="000000" w:themeColor="text1"/>
          <w:sz w:val="16"/>
          <w:szCs w:val="16"/>
        </w:rPr>
        <w:softHyphen/>
        <w:t>де № 153 в Новосибирске выпуска истребителей Як-9, вооруженных пушкой 11П.</w:t>
      </w:r>
    </w:p>
    <w:p w14:paraId="04D3A8CB"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Известно, что к концу 1942 г. завод № 21 по</w:t>
      </w:r>
      <w:r w:rsidRPr="00722885">
        <w:rPr>
          <w:color w:val="000000" w:themeColor="text1"/>
          <w:sz w:val="16"/>
          <w:szCs w:val="16"/>
        </w:rPr>
        <w:softHyphen/>
        <w:t>строил 15 противотанковых истребителей ЛаГГ-3 с пушкой 11П. Затем их производство было пере</w:t>
      </w:r>
      <w:r w:rsidRPr="00722885">
        <w:rPr>
          <w:color w:val="000000" w:themeColor="text1"/>
          <w:sz w:val="16"/>
          <w:szCs w:val="16"/>
        </w:rPr>
        <w:softHyphen/>
        <w:t>дано в Тбилиси на завод № 31 (17500).</w:t>
      </w:r>
    </w:p>
    <w:p w14:paraId="46FF2B6B" w14:textId="77777777" w:rsidR="00AB6B38" w:rsidRPr="00722885" w:rsidRDefault="00AB6B38" w:rsidP="00722885">
      <w:pPr>
        <w:pStyle w:val="12a"/>
        <w:shd w:val="clear" w:color="auto" w:fill="auto"/>
        <w:spacing w:after="0" w:line="240" w:lineRule="auto"/>
        <w:jc w:val="both"/>
        <w:rPr>
          <w:color w:val="000000" w:themeColor="text1"/>
          <w:sz w:val="16"/>
          <w:szCs w:val="16"/>
        </w:rPr>
      </w:pPr>
    </w:p>
    <w:p w14:paraId="0782B25B" w14:textId="490FA95A" w:rsidR="000A2335" w:rsidRPr="00722885" w:rsidRDefault="000A233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25 декабря 1942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-2/</w:t>
      </w:r>
      <w:r w:rsidRPr="00722885">
        <w:rPr>
          <w:rFonts w:ascii="Times New Roman" w:hAnsi="Times New Roman"/>
          <w:color w:val="0070C0"/>
          <w:sz w:val="16"/>
          <w:szCs w:val="16"/>
          <w:lang w:val="en-US"/>
        </w:rPr>
        <w:t>R</w:t>
      </w:r>
      <w:r w:rsidRPr="00722885">
        <w:rPr>
          <w:rFonts w:ascii="Times New Roman" w:hAnsi="Times New Roman"/>
          <w:color w:val="0070C0"/>
          <w:sz w:val="16"/>
          <w:szCs w:val="16"/>
        </w:rPr>
        <w:t xml:space="preserve">6 №13903 унтер-офицера Г. Блаута из группы </w:t>
      </w:r>
      <w:r w:rsidRPr="00722885">
        <w:rPr>
          <w:rFonts w:ascii="Times New Roman" w:hAnsi="Times New Roman"/>
          <w:color w:val="0070C0"/>
          <w:sz w:val="16"/>
          <w:szCs w:val="16"/>
          <w:lang w:val="en-US"/>
        </w:rPr>
        <w:t>I</w:t>
      </w:r>
      <w:r w:rsidRPr="00722885">
        <w:rPr>
          <w:rFonts w:ascii="Times New Roman" w:hAnsi="Times New Roman"/>
          <w:color w:val="0070C0"/>
          <w:sz w:val="16"/>
          <w:szCs w:val="16"/>
        </w:rPr>
        <w:t>/</w:t>
      </w:r>
      <w:r w:rsidRPr="00722885">
        <w:rPr>
          <w:rFonts w:ascii="Times New Roman" w:hAnsi="Times New Roman"/>
          <w:color w:val="0070C0"/>
          <w:sz w:val="16"/>
          <w:szCs w:val="16"/>
          <w:lang w:val="en-US"/>
        </w:rPr>
        <w:t>JG</w:t>
      </w:r>
      <w:r w:rsidRPr="00722885">
        <w:rPr>
          <w:rFonts w:ascii="Times New Roman" w:hAnsi="Times New Roman"/>
          <w:color w:val="0070C0"/>
          <w:sz w:val="16"/>
          <w:szCs w:val="16"/>
        </w:rPr>
        <w:t xml:space="preserve"> 3, захваченный под Сталинградом после ремонта по воздуху отправили в НИИ ВВС. В Чкаловскую самолет прибыл 2 января. Из-за установки под крылом дополнительной пары пушек </w:t>
      </w:r>
      <w:r w:rsidRPr="00722885">
        <w:rPr>
          <w:rFonts w:ascii="Times New Roman" w:hAnsi="Times New Roman"/>
          <w:color w:val="0070C0"/>
          <w:sz w:val="16"/>
          <w:szCs w:val="16"/>
          <w:lang w:val="en-US"/>
        </w:rPr>
        <w:t>MG</w:t>
      </w:r>
      <w:r w:rsidRPr="00722885">
        <w:rPr>
          <w:rFonts w:ascii="Times New Roman" w:hAnsi="Times New Roman"/>
          <w:color w:val="0070C0"/>
          <w:sz w:val="16"/>
          <w:szCs w:val="16"/>
        </w:rPr>
        <w:t xml:space="preserve"> 151 этот самолет часто называли «пятиточечным». К летным испытаниям привлекли П.М. Стефановского, А.Г. Прошакова и А.Г. Кубышкина. Получили максимальную скорость 650 км/ч - значительно больше, чем у всех советских истребителей. Но достигалась она на высоте 7000 м, на которой для советско-германского фронта боевые действия были не типичны. Испытатели отметили, что у немецкого истребителя проще управление винтомоторной группой, тщательнее выполнена герметизация. По сравнению с предыдущими модификациями бронезащиту усилили. Честно признали, что советским истребителям вести бой с новым «мессершмиттом» трудно. Лишь Ла-5 оказался способен одержать победу на горизонталях на малых и средних высотах, причем только на форсированном режиме мотора. Немецкий истребитель быстрее набирал скорость на пикировании и мог таким способом выйти из боя. Но мотор </w:t>
      </w:r>
      <w:r w:rsidRPr="00722885">
        <w:rPr>
          <w:rFonts w:ascii="Times New Roman" w:hAnsi="Times New Roman"/>
          <w:color w:val="0070C0"/>
          <w:sz w:val="16"/>
          <w:szCs w:val="16"/>
          <w:lang w:val="en-US"/>
        </w:rPr>
        <w:t>DB</w:t>
      </w:r>
      <w:r w:rsidRPr="00722885">
        <w:rPr>
          <w:rFonts w:ascii="Times New Roman" w:hAnsi="Times New Roman"/>
          <w:color w:val="0070C0"/>
          <w:sz w:val="16"/>
          <w:szCs w:val="16"/>
        </w:rPr>
        <w:t xml:space="preserve"> 605</w:t>
      </w:r>
      <w:r w:rsidRPr="00722885">
        <w:rPr>
          <w:rFonts w:ascii="Times New Roman" w:hAnsi="Times New Roman"/>
          <w:color w:val="0070C0"/>
          <w:sz w:val="16"/>
          <w:szCs w:val="16"/>
          <w:lang w:val="en-US"/>
        </w:rPr>
        <w:t>A</w:t>
      </w:r>
      <w:r w:rsidRPr="00722885">
        <w:rPr>
          <w:rFonts w:ascii="Times New Roman" w:hAnsi="Times New Roman"/>
          <w:color w:val="0070C0"/>
          <w:sz w:val="16"/>
          <w:szCs w:val="16"/>
        </w:rPr>
        <w:t xml:space="preserve"> работал ненадежно. В ходе испытаний из-за этого имели место несколько вынужденных посадок. В то же время отметили, что пилотирование типа </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 xml:space="preserve">-2 усложнилось по сравнению с вариантом </w:t>
      </w:r>
      <w:r w:rsidRPr="00722885">
        <w:rPr>
          <w:rFonts w:ascii="Times New Roman" w:hAnsi="Times New Roman"/>
          <w:color w:val="0070C0"/>
          <w:sz w:val="16"/>
          <w:szCs w:val="16"/>
          <w:lang w:val="en-US"/>
        </w:rPr>
        <w:t>F</w:t>
      </w:r>
      <w:r w:rsidRPr="00722885">
        <w:rPr>
          <w:rFonts w:ascii="Times New Roman" w:hAnsi="Times New Roman"/>
          <w:color w:val="0070C0"/>
          <w:sz w:val="16"/>
          <w:szCs w:val="16"/>
        </w:rPr>
        <w:t>, особенно по продольному управлению. Время виража увеличилось до почти 23 с. При перетягивании ручки на вираже самолет мог сорваться в штопор. В связи с этим советским летчикам рекомендовали уходить от атаки резким маневрированием. Обзор назад у нового немецкого истребителя остался неудовлетворительным</w:t>
      </w:r>
      <w:r w:rsidR="005A31AF" w:rsidRPr="00722885">
        <w:rPr>
          <w:rFonts w:ascii="Times New Roman" w:hAnsi="Times New Roman"/>
          <w:color w:val="0070C0"/>
          <w:sz w:val="16"/>
          <w:szCs w:val="16"/>
        </w:rPr>
        <w:t>.</w:t>
      </w:r>
      <w:r w:rsidRPr="00722885">
        <w:rPr>
          <w:rFonts w:ascii="Times New Roman" w:hAnsi="Times New Roman"/>
          <w:color w:val="0070C0"/>
          <w:sz w:val="16"/>
          <w:szCs w:val="16"/>
        </w:rPr>
        <w:t xml:space="preserve"> В ходе наступления советских войск под Сталинградом на разных аэродромах захватили много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 В одной только Большой Россошке насчитали более 300 самолетов разных типов. Но практически все они имели боевые повреждения, а также были дополнительно выведены из строя немцами при отступлении. Вся техника, восстановление которой признали нецелесообразным, разбиралась на запасные части и металлолом. В Советском Союзе остро не хватало алюминия, и трофейные самолеты стали одним из источников его поступления. Тем не менее, из Большой Россошки вывезли </w:t>
      </w:r>
      <w:r w:rsidRPr="00722885">
        <w:rPr>
          <w:rFonts w:ascii="Times New Roman" w:hAnsi="Times New Roman"/>
          <w:color w:val="0070C0"/>
          <w:sz w:val="16"/>
          <w:szCs w:val="16"/>
          <w:lang w:val="en-US"/>
        </w:rPr>
        <w:t>Bf</w:t>
      </w:r>
      <w:r w:rsidRPr="00722885">
        <w:rPr>
          <w:rFonts w:ascii="Times New Roman" w:hAnsi="Times New Roman"/>
          <w:color w:val="0070C0"/>
          <w:sz w:val="16"/>
          <w:szCs w:val="16"/>
        </w:rPr>
        <w:t xml:space="preserve"> 109</w:t>
      </w:r>
      <w:r w:rsidRPr="00722885">
        <w:rPr>
          <w:rFonts w:ascii="Times New Roman" w:hAnsi="Times New Roman"/>
          <w:color w:val="0070C0"/>
          <w:sz w:val="16"/>
          <w:szCs w:val="16"/>
          <w:lang w:val="en-US"/>
        </w:rPr>
        <w:t>G</w:t>
      </w:r>
      <w:r w:rsidRPr="00722885">
        <w:rPr>
          <w:rFonts w:ascii="Times New Roman" w:hAnsi="Times New Roman"/>
          <w:color w:val="0070C0"/>
          <w:sz w:val="16"/>
          <w:szCs w:val="16"/>
        </w:rPr>
        <w:t>-2/</w:t>
      </w:r>
      <w:r w:rsidRPr="00722885">
        <w:rPr>
          <w:rFonts w:ascii="Times New Roman" w:hAnsi="Times New Roman"/>
          <w:color w:val="0070C0"/>
          <w:sz w:val="16"/>
          <w:szCs w:val="16"/>
          <w:lang w:val="en-US"/>
        </w:rPr>
        <w:t>R</w:t>
      </w:r>
      <w:r w:rsidRPr="00722885">
        <w:rPr>
          <w:rFonts w:ascii="Times New Roman" w:hAnsi="Times New Roman"/>
          <w:color w:val="0070C0"/>
          <w:sz w:val="16"/>
          <w:szCs w:val="16"/>
        </w:rPr>
        <w:t>1 №14513. Он поступил в НИИ ВВС 19 марта 1943 г. (23186).</w:t>
      </w:r>
    </w:p>
    <w:p w14:paraId="3C011358" w14:textId="77777777" w:rsidR="000A2335" w:rsidRPr="00722885" w:rsidRDefault="000A2335" w:rsidP="00722885">
      <w:pPr>
        <w:spacing w:after="0" w:line="240" w:lineRule="auto"/>
        <w:jc w:val="both"/>
        <w:rPr>
          <w:rFonts w:ascii="Times New Roman" w:hAnsi="Times New Roman"/>
          <w:color w:val="0070C0"/>
          <w:sz w:val="16"/>
          <w:szCs w:val="16"/>
        </w:rPr>
      </w:pPr>
    </w:p>
    <w:p w14:paraId="4631802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25 декабря 1942 была выпущена сопроводительная справка к И-16 М-63 N 28213-95 N 632707(1) Б.Сафонова, подписанная нач. 6 иаб ВВС СФ полковым комиссаром Сабадыревым. Однако, в Морской музей (ЦВММ) в Ленинграде машина попала намного позже - 11 марта 1943, когда была открыта выставка. На этой машине было сбито 13 самолетов (1840,19).</w:t>
      </w:r>
    </w:p>
    <w:p w14:paraId="740D9781" w14:textId="77777777" w:rsidR="00BB6316" w:rsidRPr="00722885" w:rsidRDefault="00BB6316" w:rsidP="00722885">
      <w:pPr>
        <w:pStyle w:val="Iauiue"/>
        <w:jc w:val="both"/>
        <w:rPr>
          <w:color w:val="000000" w:themeColor="text1"/>
          <w:sz w:val="16"/>
          <w:szCs w:val="16"/>
        </w:rPr>
      </w:pPr>
    </w:p>
    <w:p w14:paraId="487A1311"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E3A5FE6" w14:textId="77777777" w:rsidR="00BB6316" w:rsidRPr="00722885" w:rsidRDefault="00BB6316" w:rsidP="00722885">
      <w:pPr>
        <w:pStyle w:val="Iauiue"/>
        <w:jc w:val="both"/>
        <w:rPr>
          <w:iCs/>
          <w:color w:val="000000" w:themeColor="text1"/>
          <w:sz w:val="16"/>
          <w:szCs w:val="16"/>
        </w:rPr>
      </w:pPr>
    </w:p>
    <w:p w14:paraId="707DC388"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25 декабря 1942 вышло Постановление ГКО № 2655 О восстановлении моста через реку Дон на перегоне Ложки - Рычков линии Сталинград - Лихая Юго-Восточной жел. дороги. (7068, 93).</w:t>
      </w:r>
    </w:p>
    <w:p w14:paraId="23C33577" w14:textId="77777777" w:rsidR="00BB6316" w:rsidRPr="00722885" w:rsidRDefault="00BB6316" w:rsidP="00722885">
      <w:pPr>
        <w:pStyle w:val="Iauiue"/>
        <w:tabs>
          <w:tab w:val="left" w:pos="11199"/>
        </w:tabs>
        <w:jc w:val="both"/>
        <w:rPr>
          <w:color w:val="000000" w:themeColor="text1"/>
          <w:sz w:val="16"/>
          <w:szCs w:val="16"/>
        </w:rPr>
      </w:pPr>
    </w:p>
    <w:p w14:paraId="12E6CF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декабря 1942 вышло Распоряжение ГКО № 2656. О поставке заводу № 201 (Батуми) НКСП материалов, оборудования, автобензина, одежды, белья и обуви для рабочих и ИТР. РГАНИР, Фонд ГКО, д. 74, лл. 94, 95 (11012).</w:t>
      </w:r>
    </w:p>
    <w:p w14:paraId="3BC0ABD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98C7805"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25 декабря 1942 вышло Распоряжение ГКО № 2658 [О реэвакуации Всесоюзного научно-исследовательского теплотехнического института им. Ф.Э. Дзержинского.] (7068, 98).</w:t>
      </w:r>
    </w:p>
    <w:p w14:paraId="4CE544C3" w14:textId="77777777" w:rsidR="00BB6316" w:rsidRPr="00722885" w:rsidRDefault="00BB6316" w:rsidP="00722885">
      <w:pPr>
        <w:pStyle w:val="Iauiue"/>
        <w:tabs>
          <w:tab w:val="left" w:pos="11199"/>
        </w:tabs>
        <w:jc w:val="both"/>
        <w:rPr>
          <w:color w:val="000000" w:themeColor="text1"/>
          <w:sz w:val="16"/>
          <w:szCs w:val="16"/>
        </w:rPr>
      </w:pPr>
    </w:p>
    <w:p w14:paraId="128BCABA"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7ED0BE7" w14:textId="77777777" w:rsidR="00BB6316" w:rsidRPr="00722885" w:rsidRDefault="00BB6316" w:rsidP="00722885">
      <w:pPr>
        <w:pStyle w:val="Iauiue"/>
        <w:jc w:val="both"/>
        <w:rPr>
          <w:iCs/>
          <w:color w:val="000000" w:themeColor="text1"/>
          <w:sz w:val="16"/>
          <w:szCs w:val="16"/>
        </w:rPr>
      </w:pPr>
    </w:p>
    <w:p w14:paraId="7BEE5795"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25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01A2F7F4"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25 декабря наши войска в районе Сталинграда, на Центральном фронте, в районе Среднего Дона и юго-восточнее Нальчика продолжали вести наступательные бои на прежних направлениях.</w:t>
      </w:r>
    </w:p>
    <w:p w14:paraId="640EF2D4"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отбили несколько контратак противника, в результате которых гитлеровцы понесли большие потери. В течение ночи уничтожено более 200 немецких солдат и офицеров.</w:t>
      </w:r>
    </w:p>
    <w:p w14:paraId="2C8688C8"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обороняли прежние рубежи и вели ружейно-пулемётную перестрелку с противником. Огнём снайперов уничтожено до 200 гитлеровцев. Ночью советские лётчики бомбили немецкий аэродром и сожгли 5 самолётов противника.</w:t>
      </w:r>
    </w:p>
    <w:p w14:paraId="403A36D3"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отбили атаки противника и частью сил вели наступательные бои. На одном участке немцам удалось ценою больших потерь несколько продвинуться вперёд. Перегруппировав свои силы, наши части контрударом отбросили врага и восстановили положение. На другом участке Н-ская часть заняла высоту, имеющую большое тактическое значение. В этом бою уничтожено до 1.000 немецких солдат и офицеров, 27 танков, 52 автомашины, 5 орудий и 23 пулемёта. Бойцы-гвардейцы атаковали противника, сломили его оборону и заняли крупный населённый пункт, который упорно отстаивался гитлеровцами.</w:t>
      </w:r>
    </w:p>
    <w:p w14:paraId="14561226"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преследовали разбитые части противника. На одном участке бойцы Н-ской части ударами с флангов заняли сильно укреплённый населённый пункт и уничтожили 650 немецких солдат и офицеров. Захвачены 19 орудий, 37 пулемётов, 51 автомат, 48 автомашин, склады с продовольствием и боеприпасами. Взято 215 пленных. На другом участке наши подразделения захватили обоз с различным военным имуществом, 3 тяжёлых орудия, 7 тягачей и 15 автомашин противника.</w:t>
      </w:r>
    </w:p>
    <w:p w14:paraId="4502F8F2"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бойцы части, где командиром товарищ Простяков, отразили несколько контратак противника, сожгли 6 и подбили 13 немецких танков. На поле боя остались сотни вражеских трупов. В этом сражении бронебойщик товарищ Кудряшёв несколькими выстрелами из противотанкового ружья поджёг два танка противника. На другом участке рота немецкой пехоты под прикрытием двух тяжёлых танков приблизилась к нашим позициям. Лейтенант Трусов огнём из противотанкового ружья подбил один, а затем и второй немецкие танки. Вражеская пехота, оставшаяся без танкового прикрытия, была уничтожена.</w:t>
      </w:r>
    </w:p>
    <w:p w14:paraId="1E153E26"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продолжали продвигаться вперёд и заняли несколько населённых пунктов. Захвачено 23 немецких танка. На другом участке советские бойцы захватили 24 повреждённых танка, 10 грузовиков, 12 пулемётов, свыше 1.000 мин и склад со снарядами противника.</w:t>
      </w:r>
    </w:p>
    <w:p w14:paraId="2FFDF04D"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Северо-восточнее Туапсе наши части, действуя отдельными отрядами, уничтожили до роты немецкой пехоты. Огнём артиллерии разрушено 8 блиндажей и подавлен огонь 4 миномётных батарей противника. Группа разведчиков под командованием старшего лейтенанта Бунайко вклинилась в расположение противника и уничтожила 4 дзота, 7 землянок и до 80 вражеских солдат и офицеров.</w:t>
      </w:r>
    </w:p>
    <w:p w14:paraId="3BF8922A"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внезапно напал на немецкий гарнизон в крупном населённом пункте. Ожесточённый бой длился почти двое суток. Гитлеровцы бросили на помощь гарнизону авиацию и спешно направили из соседнего города большой отряд пехоты. Немецкие солдаты, подходившие к населённому пункту, были задержаны партизанскими засадами. Советские патриоты разгромили немецкий гарнизон, истребили 350 вражеских солдат и офицеров. Захвачены трофеи: 2 пулемёта, 180 винтовок, 26 пистолетов и автоматов, 50.000 патронов и склад продовольствия.</w:t>
      </w:r>
    </w:p>
    <w:p w14:paraId="4A0C2714"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свободные стрелки остановили близ города Лиона две немецких автомашины с вооружением, уничтожили сопровождавших их немецких солдат и захватили груз. В Париже с крыши дома брошена бомба в проходившую по улице колонну немецких солдат. Взрывом убито 15 гитлеровцев (14871).</w:t>
      </w:r>
    </w:p>
    <w:p w14:paraId="4F441197" w14:textId="77777777" w:rsidR="00416517" w:rsidRPr="00722885" w:rsidRDefault="00416517" w:rsidP="00722885">
      <w:pPr>
        <w:spacing w:after="0" w:line="240" w:lineRule="auto"/>
        <w:jc w:val="both"/>
        <w:rPr>
          <w:rFonts w:ascii="Times New Roman" w:hAnsi="Times New Roman"/>
          <w:color w:val="000000" w:themeColor="text1"/>
          <w:sz w:val="16"/>
          <w:szCs w:val="16"/>
        </w:rPr>
      </w:pPr>
    </w:p>
    <w:p w14:paraId="0163BA35"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25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69EB2964"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25 декабря наши войска в районе Среднего Дона продолжали успешно развивать наступление и заняли несколько десятков населённых пунктов, в том числе крупные населённые пункты — Фисенково, Марковна (западнее Кантемировки), Бугаевка, Россоховатый, Бондаревка, Греково, Фоминка, Кутейников, районный центр и крупную железнодорожную станцию Мальчевская.</w:t>
      </w:r>
    </w:p>
    <w:p w14:paraId="7D9FCCA0"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днях наши войска юго-западнее Сталинграда перешли в контрнаступление и, сломив сопротивление противника, вновь заняли населённые пункты — Нижне-Кумский, Васильевка, Капкинка, Парижская Коммуна, Бирзовой, Верхне-Кумский, Жутов 2-й, Клыков.</w:t>
      </w:r>
    </w:p>
    <w:p w14:paraId="7679FF9F"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развивая наступление, заняли крупные населённые пункты — Красногор, Белореченская, Дигора, Карман-Синдзикау, Мостидзах, Дур-Дур.</w:t>
      </w:r>
    </w:p>
    <w:p w14:paraId="41506D60"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На Центральном фронте наши войска продолжали вести наступательные бои.</w:t>
      </w:r>
    </w:p>
    <w:p w14:paraId="4580C408"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кораблями в Баренцевом море потоплен транспорт противника водоизмещением в 7.000 тонн.</w:t>
      </w:r>
    </w:p>
    <w:p w14:paraId="77ED3DAC"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действуя отдельными штурмовыми отрядами, блокировали и уничтожали укрепления противника. Особенно упорные бои идут в районе одного из заводов, где борьба за отдельные дома часто переходит в рукопашные схватки. Огнём миномётов взорван немецкий склад боеприпасов. В захваченных у противника домах и блиндажах советские бойцы обнаружили несколько заминированных трупов немецких солдат.</w:t>
      </w:r>
    </w:p>
    <w:p w14:paraId="6363D65C"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происходила редкая перестрелка. Огнём нашейартиллерии разрушено 26 немецких дзотов и блиндажей, уничтожены 2 миномётныебатареи и 5 пулемётных точек противника. Наш разведывательный отряд проник врасположение немцев, рассеял и частью истребил до роты гитлеровцев.</w:t>
      </w:r>
    </w:p>
    <w:p w14:paraId="08237066"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вели наступательные бои. Преодолев упорное сопротивление противника и нанеся ему тяжёлый урон, советские части заняли несколько населённых пунктов. Бойцы Н-ской части в течение дня подбили и сожгли 26 вражеских танков и уничтожили более 400 гитлеровцев.</w:t>
      </w:r>
    </w:p>
    <w:p w14:paraId="529BBEE3"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преследовать отступающего противника. В одном из районов наши части разгромили окружённую группировку противника. Захвачено в плен до 4.000 немецких солдат и офицеров, а также большие трофеи. В некоторых населённых пунктах противник пытался оказать сопротивление и переходил в контратаки. Наши бойцы сломили сопротивление гитлеровцев и, продвигаясь вперёд, заняли десятки населённых пунктов. На одном участке Н-ская гвардейская часть выбила противника из двух крупных населённых пунктов. В результате боя разгромлен вражеский пехотный полк, захвачены 78 орудий и другие трофеи. На другом участке гитлеровцы под натиском наших частей отступили, бросив исправные тяжёлые орудия, много снарядов, автомашин и мотоциклов, вещевые и продовольственные склады.</w:t>
      </w:r>
    </w:p>
    <w:p w14:paraId="3BF6EF65"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частью сил вели бои по уничтожению блокированных немецких гарнизонов и отбивали контратаки противника. В районе Великих Лук бойцы H-ской части после напряжённой борьбы заняли сильно укреплённый узел обороны врага, который прикрывал подступы к крупному населённому пункту. В этих боях немцы понесли большие потери в живой силе и технике. В районе западнее Ржева противник, сосредоточив пехоту и танки, контратаковал позиции одного нашего соединения. Два дня шли упорные и ожесточённые бои. Вначале немцам удалось потеснить наши части и занять населённый пункт. На следующий день наши бойцы контрударом отбросили гитлеровцев на исходные позиции. На поле боя осталось до 1.000 вражеских трупов. Уничтожено 47 немецких танков и броневиков и 18 орудий. Взяты пленные.</w:t>
      </w:r>
    </w:p>
    <w:p w14:paraId="0B4AC2DF"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продолжали наступление и выбили немцев из нескольких населённых пунктов. Продвигаясь вперёд, наши части захватили 32 немецких танка, 30 орудий, 300 тысяч винтовочных патронов, а также много снарядов и мин. Противник несёт тяжёлые потери. Отступая, гитлеровцы минируют дороги и подступы к населённым пунктам. Сапёры под командованием товарища Шустера,расчищая путь пехоте и танкам, за день обезвредили более 1.000 противотанковых мин.</w:t>
      </w:r>
    </w:p>
    <w:p w14:paraId="4E229BEF"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Ленинградском фронте наши снайперы за два дня истребили 242 гитлеровца. Огнём артиллерия уничтожено 18 дзотов и 4 наблюдательных пункта вместе с находившимися в них немецкими солдатами.</w:t>
      </w:r>
    </w:p>
    <w:p w14:paraId="20C4FF23"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одном из районов Украины, совершил налёт на немецкий гарнизон, расположенный в большом городе. Партизаны уничтожили много гитлеровцев и захватили трофеи. Большая часть захваченного продовольствия роздана населению. Другой отряд украинских партизан взорвал 4 больших железнодорожных моста. Движение поездов на этом участке железной дороги прекращено.</w:t>
      </w:r>
    </w:p>
    <w:p w14:paraId="407C96FD"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три дня, с 11 по 14 декабря, немецко-фашистские мерзавцы разорили и сожгли в Калининской и Витебской областях деревни Ерохи, Ключ, Малиновка, Труд, Шарино, Задорожье, Плетни, Вязовка, Моисеевна и другие. Всего немцы сожгли до 50 населённых пунктов. Гитлеровские бандиты сопровождали поджог населённых пунктов грабежами и массовыми расстрелами крестьян.»</w:t>
      </w:r>
    </w:p>
    <w:p w14:paraId="06B9475F"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0CF3CABA"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Наступление наших войск в районе среднего Дона продолжается.</w:t>
      </w:r>
    </w:p>
    <w:p w14:paraId="7FB4F26C"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26 декабря наши войска в районе среднего Дона, продолжая успешно развивать наступление на прежних направлениях, продвинулись на 15—20 километров. Всего за 11 дней наступления наши войска продвинулись вперёд на 145—200 километров.</w:t>
      </w:r>
    </w:p>
    <w:p w14:paraId="5BC5038E"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войсками занято несколько десятков населённых пунктов, в том числе город и крупная железнодорожная станция Тацинская, районный центр и крупная железнодорожная станция Верхне-Тарасовка, районные центры Криворожье, Кашары,Ефремово-Степановка и крупные населённые пункты —Каськовка, Никольская, Шарпаевка, Ильинка, Костино-Быстрянский, Грузинов. Всего за время боёв с 16 по26 декабря нашими войсками освобождено 812 населённых пунктов, в том числе 8 районных центров и 7 крупных железнодорожных станций.</w:t>
      </w:r>
    </w:p>
    <w:p w14:paraId="30265533"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26 декабря количество пленных увеличилось на 6.300 человек. Всего за время боёв с 16 по 26 декабря наши войска захватили в плен 56.000 солдат и офицеров противника.</w:t>
      </w:r>
    </w:p>
    <w:p w14:paraId="499F4D9C"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частями в районе Тацинская захвачено на аэродромах 300 немецких самолётов и на железнодорожной станции Тацинская — эшелон с 50 самолётами.</w:t>
      </w:r>
    </w:p>
    <w:p w14:paraId="7F712978"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за время боёв с 16 по 26 декабря нашими войсками захвачено: самолётов —351, танков — 178, орудий—1.927, миномётов —850, огнемётов — 370, противотанковыхружей — 690, винтовок — 56.000, винтовочных патронов — свыше 30 миллионов, мотоциклов — 1.500, повозок — 1.150, складов с боеприпасами, вооружением и продовольствием — 310, железнодорожных вагонов — 920, паровозов — 21.</w:t>
      </w:r>
    </w:p>
    <w:p w14:paraId="3350CB98"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это же время уничтожено: самолётов — 117, танков — 172, орудий разных калибров — 268.</w:t>
      </w:r>
    </w:p>
    <w:p w14:paraId="3D9F4862"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25 декабря противник оставил на поле боя около 3.000 трупов солдат и офицеров.»</w:t>
      </w:r>
    </w:p>
    <w:p w14:paraId="22A899FD"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Наступление наших войск юго-западнее Сталинграда.</w:t>
      </w:r>
    </w:p>
    <w:p w14:paraId="39285634"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26 декабря наши войска юго-западнее Сталинграда продолжали теснить противника, продвинулись на 10—20 километров и заняли населённые пункты—Новоаксайский, Генераловский, Кандауров, Шестаков, Антонов, Кругляков, Ромашкин, Чилеков.» (14871).</w:t>
      </w:r>
    </w:p>
    <w:p w14:paraId="5B7FD3D1" w14:textId="77777777" w:rsidR="00416517" w:rsidRPr="00722885" w:rsidRDefault="00416517" w:rsidP="00722885">
      <w:pPr>
        <w:spacing w:after="0" w:line="240" w:lineRule="auto"/>
        <w:jc w:val="both"/>
        <w:rPr>
          <w:rFonts w:ascii="Times New Roman" w:hAnsi="Times New Roman"/>
          <w:color w:val="000000" w:themeColor="text1"/>
          <w:sz w:val="16"/>
          <w:szCs w:val="16"/>
        </w:rPr>
      </w:pPr>
    </w:p>
    <w:p w14:paraId="51EDEB57" w14:textId="77777777" w:rsidR="00416517" w:rsidRPr="00722885" w:rsidRDefault="00416517"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25 декабря</w:t>
      </w:r>
      <w:r w:rsidRPr="00722885">
        <w:rPr>
          <w:rFonts w:ascii="Times New Roman" w:hAnsi="Times New Roman"/>
          <w:color w:val="000000" w:themeColor="text1"/>
          <w:sz w:val="16"/>
          <w:szCs w:val="16"/>
        </w:rPr>
        <w:t xml:space="preserve"> в 1942 году по данным штаба ВВС Красной Армии, ВВС фронтов и авиацией воздушных армий был произведен 1621 самолёто-вылет, из них по войскам и объектам противника - 1267, на разведку войск противника - 100 и на прикрытие своих войск - 254. В том числе по окружённой группировке противника под Сталинградом произведено 155 самолёто-вылетов. В воздушных боях сбито 4 и уничтожено на аэродромах 13 самолётов противника. Наши потери: сбито 4 самолёта не вернулись на свои аэродромы 13 самолётов (14871).</w:t>
      </w:r>
    </w:p>
    <w:p w14:paraId="2F6A5075" w14:textId="77777777" w:rsidR="00416517" w:rsidRPr="00722885" w:rsidRDefault="00416517" w:rsidP="00722885">
      <w:pPr>
        <w:spacing w:after="0" w:line="240" w:lineRule="auto"/>
        <w:jc w:val="both"/>
        <w:rPr>
          <w:rFonts w:ascii="Times New Roman" w:hAnsi="Times New Roman"/>
          <w:color w:val="000000" w:themeColor="text1"/>
          <w:sz w:val="16"/>
          <w:szCs w:val="16"/>
        </w:rPr>
      </w:pPr>
    </w:p>
    <w:p w14:paraId="6C9A074D" w14:textId="77777777" w:rsidR="0043377D" w:rsidRPr="00722885" w:rsidRDefault="004337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25 декабря 1942 г. в 6-й ОДАЗ поступил приказ главного штаба войск ПВО: «6-му ОДАЗ свер</w:t>
      </w:r>
      <w:r w:rsidRPr="00722885">
        <w:rPr>
          <w:rFonts w:ascii="Times New Roman" w:hAnsi="Times New Roman"/>
          <w:color w:val="0070C0"/>
          <w:sz w:val="16"/>
          <w:szCs w:val="16"/>
        </w:rPr>
        <w:softHyphen/>
        <w:t>нуться и убыть на оборону г. Мурманска для уси</w:t>
      </w:r>
      <w:r w:rsidRPr="00722885">
        <w:rPr>
          <w:rFonts w:ascii="Times New Roman" w:hAnsi="Times New Roman"/>
          <w:color w:val="0070C0"/>
          <w:sz w:val="16"/>
          <w:szCs w:val="16"/>
        </w:rPr>
        <w:softHyphen/>
        <w:t>ления ПВО».</w:t>
      </w:r>
    </w:p>
    <w:p w14:paraId="6C171925" w14:textId="77777777" w:rsidR="0043377D" w:rsidRPr="00722885" w:rsidRDefault="004337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Зимой 1942/1943 гг. положение Мурманска было исключительно тяжёлым. Город, находив</w:t>
      </w:r>
      <w:r w:rsidRPr="00722885">
        <w:rPr>
          <w:rFonts w:ascii="Times New Roman" w:hAnsi="Times New Roman"/>
          <w:color w:val="0070C0"/>
          <w:sz w:val="16"/>
          <w:szCs w:val="16"/>
        </w:rPr>
        <w:softHyphen/>
        <w:t>шийся в 60 км от линии фронта, оставался глав</w:t>
      </w:r>
      <w:r w:rsidRPr="00722885">
        <w:rPr>
          <w:rFonts w:ascii="Times New Roman" w:hAnsi="Times New Roman"/>
          <w:color w:val="0070C0"/>
          <w:sz w:val="16"/>
          <w:szCs w:val="16"/>
        </w:rPr>
        <w:softHyphen/>
        <w:t>ным портом, через который в СССР велись по</w:t>
      </w:r>
      <w:r w:rsidRPr="00722885">
        <w:rPr>
          <w:rFonts w:ascii="Times New Roman" w:hAnsi="Times New Roman"/>
          <w:color w:val="0070C0"/>
          <w:sz w:val="16"/>
          <w:szCs w:val="16"/>
        </w:rPr>
        <w:softHyphen/>
        <w:t>ставки союзников. Начиная с марта 1942 г. Мур</w:t>
      </w:r>
      <w:r w:rsidRPr="00722885">
        <w:rPr>
          <w:rFonts w:ascii="Times New Roman" w:hAnsi="Times New Roman"/>
          <w:color w:val="0070C0"/>
          <w:sz w:val="16"/>
          <w:szCs w:val="16"/>
        </w:rPr>
        <w:softHyphen/>
        <w:t>манск подвергался систематическим ударам авиации, стремившейся вывести из строя порт и железнодорожные станции. В результате этих налётов в городе были разрушены или сгорели почти 3/4 жилых домов и 2/3 промышленных пред</w:t>
      </w:r>
      <w:r w:rsidRPr="00722885">
        <w:rPr>
          <w:rFonts w:ascii="Times New Roman" w:hAnsi="Times New Roman"/>
          <w:color w:val="0070C0"/>
          <w:sz w:val="16"/>
          <w:szCs w:val="16"/>
        </w:rPr>
        <w:softHyphen/>
        <w:t>приятий. Всего за время войны авиация против</w:t>
      </w:r>
      <w:r w:rsidRPr="00722885">
        <w:rPr>
          <w:rFonts w:ascii="Times New Roman" w:hAnsi="Times New Roman"/>
          <w:color w:val="0070C0"/>
          <w:sz w:val="16"/>
          <w:szCs w:val="16"/>
        </w:rPr>
        <w:softHyphen/>
        <w:t>ника совершила 8244 самолёто-вылетов и сбро</w:t>
      </w:r>
      <w:r w:rsidRPr="00722885">
        <w:rPr>
          <w:rFonts w:ascii="Times New Roman" w:hAnsi="Times New Roman"/>
          <w:color w:val="0070C0"/>
          <w:sz w:val="16"/>
          <w:szCs w:val="16"/>
        </w:rPr>
        <w:softHyphen/>
        <w:t>сила на Мурманск около 200 тыс. бомб.</w:t>
      </w:r>
    </w:p>
    <w:p w14:paraId="4D2C8A2A" w14:textId="77777777" w:rsidR="0043377D" w:rsidRPr="00722885" w:rsidRDefault="004337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 отсутствии в системе ПВО аэростатов заграждения немецкая авиация вела бомбёжки с малых высот. В то же время конвои союзников, следовавшие в СССР, прикрывались поднятыми над кораблями английскими АЗ, а также другими средствами ПВО.</w:t>
      </w:r>
    </w:p>
    <w:p w14:paraId="40BD527C" w14:textId="77777777" w:rsidR="0043377D" w:rsidRPr="00722885" w:rsidRDefault="004337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Вскоре в состав 6-го ОДАЗ вошёл прибывший в Мурманск 19-й отдельный отряд аэростатов за</w:t>
      </w:r>
      <w:r w:rsidRPr="00722885">
        <w:rPr>
          <w:rFonts w:ascii="Times New Roman" w:hAnsi="Times New Roman"/>
          <w:color w:val="0070C0"/>
          <w:sz w:val="16"/>
          <w:szCs w:val="16"/>
        </w:rPr>
        <w:softHyphen/>
        <w:t>граждения, находившийся ранее на охране в рай</w:t>
      </w:r>
      <w:r w:rsidRPr="00722885">
        <w:rPr>
          <w:rFonts w:ascii="Times New Roman" w:hAnsi="Times New Roman"/>
          <w:color w:val="0070C0"/>
          <w:sz w:val="16"/>
          <w:szCs w:val="16"/>
        </w:rPr>
        <w:softHyphen/>
        <w:t>оне Ладожского озера. 20 января 1943 г. начались ночные подъёмы аэростатов, прикрывавшие порт, корабли, гавань, промышленные объекты, железнодорожный узел и сам город. 1-й отряд на</w:t>
      </w:r>
      <w:r w:rsidRPr="00722885">
        <w:rPr>
          <w:rFonts w:ascii="Times New Roman" w:hAnsi="Times New Roman"/>
          <w:color w:val="0070C0"/>
          <w:sz w:val="16"/>
          <w:szCs w:val="16"/>
        </w:rPr>
        <w:softHyphen/>
        <w:t>ходился на скалах западного берега, 2-й и 3-й — с северной и южной части Кольского полуостро</w:t>
      </w:r>
      <w:r w:rsidRPr="00722885">
        <w:rPr>
          <w:rFonts w:ascii="Times New Roman" w:hAnsi="Times New Roman"/>
          <w:color w:val="0070C0"/>
          <w:sz w:val="16"/>
          <w:szCs w:val="16"/>
        </w:rPr>
        <w:softHyphen/>
        <w:t>ва. Действовало 50 (по другим сведениям — 58) аэростатных постов.</w:t>
      </w:r>
    </w:p>
    <w:p w14:paraId="3A124819" w14:textId="77777777" w:rsidR="0043377D" w:rsidRPr="00722885" w:rsidRDefault="004337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Это были первые в Заполярье подъёмы АЗ. По температурному и ветровому режиму эксплуата</w:t>
      </w:r>
      <w:r w:rsidRPr="00722885">
        <w:rPr>
          <w:rFonts w:ascii="Times New Roman" w:hAnsi="Times New Roman"/>
          <w:color w:val="0070C0"/>
          <w:sz w:val="16"/>
          <w:szCs w:val="16"/>
        </w:rPr>
        <w:softHyphen/>
        <w:t>ция аэростатов и их боевое использование на случай войны на Севере не планировались. Работа аэро</w:t>
      </w:r>
      <w:r w:rsidRPr="00722885">
        <w:rPr>
          <w:rFonts w:ascii="Times New Roman" w:hAnsi="Times New Roman"/>
          <w:color w:val="0070C0"/>
          <w:sz w:val="16"/>
          <w:szCs w:val="16"/>
        </w:rPr>
        <w:softHyphen/>
        <w:t>статов проводилась без предварительных испы</w:t>
      </w:r>
      <w:r w:rsidRPr="00722885">
        <w:rPr>
          <w:rFonts w:ascii="Times New Roman" w:hAnsi="Times New Roman"/>
          <w:color w:val="0070C0"/>
          <w:sz w:val="16"/>
          <w:szCs w:val="16"/>
        </w:rPr>
        <w:softHyphen/>
        <w:t>таний, тем не менее применялись, как одиночные, так и тандемные системы, поднимаемые на разные высоты. Биваки и площадки зачастую устраивали в скалистом грунте. Здесь же оборудовали укрытия для личного состава постов и командные пункты.</w:t>
      </w:r>
    </w:p>
    <w:p w14:paraId="6A64B3E2" w14:textId="77777777" w:rsidR="0043377D" w:rsidRPr="00722885" w:rsidRDefault="004337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Несмотря на предвоенные планы «Дирижа</w:t>
      </w:r>
      <w:r w:rsidRPr="00722885">
        <w:rPr>
          <w:rFonts w:ascii="Times New Roman" w:hAnsi="Times New Roman"/>
          <w:color w:val="0070C0"/>
          <w:sz w:val="16"/>
          <w:szCs w:val="16"/>
        </w:rPr>
        <w:softHyphen/>
        <w:t>блестроя», в Мурманске так и не заложили водо</w:t>
      </w:r>
      <w:r w:rsidRPr="00722885">
        <w:rPr>
          <w:rFonts w:ascii="Times New Roman" w:hAnsi="Times New Roman"/>
          <w:color w:val="0070C0"/>
          <w:sz w:val="16"/>
          <w:szCs w:val="16"/>
        </w:rPr>
        <w:softHyphen/>
        <w:t>родные базы. Поэтому первые месяцы дивизион сам добывал газ полевыми установками. Вскоре направленный в конце 1942 г. в Мурманск инже</w:t>
      </w:r>
      <w:r w:rsidRPr="00722885">
        <w:rPr>
          <w:rFonts w:ascii="Times New Roman" w:hAnsi="Times New Roman"/>
          <w:color w:val="0070C0"/>
          <w:sz w:val="16"/>
          <w:szCs w:val="16"/>
        </w:rPr>
        <w:softHyphen/>
        <w:t>нер управления воздухоплавания майор М.Е. До- брусин при поддержке городского комитета ВКП (б) и городского комитета обороны организовал за шесть месяцев монтаж и пуск электролизёра, дававшего 1000 м3 газа в сутки.</w:t>
      </w:r>
    </w:p>
    <w:p w14:paraId="3455C5E9" w14:textId="77777777" w:rsidR="0043377D" w:rsidRPr="00722885" w:rsidRDefault="004337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Работы велись в тяжёлых условиях. Личный состав постов, как правило, состоял из 12 чело</w:t>
      </w:r>
      <w:r w:rsidRPr="00722885">
        <w:rPr>
          <w:rFonts w:ascii="Times New Roman" w:hAnsi="Times New Roman"/>
          <w:color w:val="0070C0"/>
          <w:sz w:val="16"/>
          <w:szCs w:val="16"/>
        </w:rPr>
        <w:softHyphen/>
        <w:t>век: старший сержант-командир и сержант-мо</w:t>
      </w:r>
      <w:r w:rsidRPr="00722885">
        <w:rPr>
          <w:rFonts w:ascii="Times New Roman" w:hAnsi="Times New Roman"/>
          <w:color w:val="0070C0"/>
          <w:sz w:val="16"/>
          <w:szCs w:val="16"/>
        </w:rPr>
        <w:softHyphen/>
        <w:t>торист — оба мужчины, остальные десять рядо</w:t>
      </w:r>
      <w:r w:rsidRPr="00722885">
        <w:rPr>
          <w:rFonts w:ascii="Times New Roman" w:hAnsi="Times New Roman"/>
          <w:color w:val="0070C0"/>
          <w:sz w:val="16"/>
          <w:szCs w:val="16"/>
        </w:rPr>
        <w:softHyphen/>
        <w:t>вых красноармейцев — девушки. А ведь нужно было разбить скалистый грунт, ввернуть што</w:t>
      </w:r>
      <w:r w:rsidRPr="00722885">
        <w:rPr>
          <w:rFonts w:ascii="Times New Roman" w:hAnsi="Times New Roman"/>
          <w:color w:val="0070C0"/>
          <w:sz w:val="16"/>
          <w:szCs w:val="16"/>
        </w:rPr>
        <w:softHyphen/>
        <w:t>пор и обеспечить стоянку для аэростата (бивак) и лебёдки, оборудовать подъёмную площадку, отрыть землянку для жилья. И это на морозе до -30°С, на ветру, длинными ночами, когда аэро</w:t>
      </w:r>
      <w:r w:rsidRPr="00722885">
        <w:rPr>
          <w:rFonts w:ascii="Times New Roman" w:hAnsi="Times New Roman"/>
          <w:color w:val="0070C0"/>
          <w:sz w:val="16"/>
          <w:szCs w:val="16"/>
        </w:rPr>
        <w:softHyphen/>
        <w:t>стат находился в воздухе 18-20 часов. Невероят</w:t>
      </w:r>
      <w:r w:rsidRPr="00722885">
        <w:rPr>
          <w:rFonts w:ascii="Times New Roman" w:hAnsi="Times New Roman"/>
          <w:color w:val="0070C0"/>
          <w:sz w:val="16"/>
          <w:szCs w:val="16"/>
        </w:rPr>
        <w:softHyphen/>
        <w:t>но трудно было вручную транспортировать по 10 км газгольдеры с водородом.</w:t>
      </w:r>
    </w:p>
    <w:p w14:paraId="59964932" w14:textId="77777777" w:rsidR="0043377D" w:rsidRPr="00722885" w:rsidRDefault="004337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 второй половине 1942 г. был введён в строй завод «Электролиз». Получаемый там водород подавался в газголь</w:t>
      </w:r>
      <w:r w:rsidRPr="00722885">
        <w:rPr>
          <w:rFonts w:ascii="Times New Roman" w:hAnsi="Times New Roman"/>
          <w:color w:val="0070C0"/>
          <w:sz w:val="16"/>
          <w:szCs w:val="16"/>
        </w:rPr>
        <w:softHyphen/>
        <w:t>деры, доставлявшиеся на посты, удалённые на 10-35 км от завода, в сопровождении, как прави</w:t>
      </w:r>
      <w:r w:rsidRPr="00722885">
        <w:rPr>
          <w:rFonts w:ascii="Times New Roman" w:hAnsi="Times New Roman"/>
          <w:color w:val="0070C0"/>
          <w:sz w:val="16"/>
          <w:szCs w:val="16"/>
        </w:rPr>
        <w:softHyphen/>
        <w:t>ло, четырёх бойцов-аэростатчиков. Транспорти</w:t>
      </w:r>
      <w:r w:rsidRPr="00722885">
        <w:rPr>
          <w:rFonts w:ascii="Times New Roman" w:hAnsi="Times New Roman"/>
          <w:color w:val="0070C0"/>
          <w:sz w:val="16"/>
          <w:szCs w:val="16"/>
        </w:rPr>
        <w:softHyphen/>
        <w:t>ровка газгольдеров проводилась зимой и летом. Особенно тяжело было девушкам в ветреную по</w:t>
      </w:r>
      <w:r w:rsidRPr="00722885">
        <w:rPr>
          <w:rFonts w:ascii="Times New Roman" w:hAnsi="Times New Roman"/>
          <w:color w:val="0070C0"/>
          <w:sz w:val="16"/>
          <w:szCs w:val="16"/>
        </w:rPr>
        <w:softHyphen/>
        <w:t>году. Проблему доставки водорода решили уже после битвы под Москвой, когда по инициативе инженера 1-го полка АЗ капитана В.М. Немцева и сержанта Л.И. Мещерякова для газгольдеров изготовили специальные сварные трубчатые те</w:t>
      </w:r>
      <w:r w:rsidRPr="00722885">
        <w:rPr>
          <w:rFonts w:ascii="Times New Roman" w:hAnsi="Times New Roman"/>
          <w:color w:val="0070C0"/>
          <w:sz w:val="16"/>
          <w:szCs w:val="16"/>
        </w:rPr>
        <w:softHyphen/>
        <w:t>лежки, буксируемые грузовыми автомобилями (20120).</w:t>
      </w:r>
    </w:p>
    <w:p w14:paraId="7582DCED" w14:textId="77777777" w:rsidR="0043377D" w:rsidRPr="00722885" w:rsidRDefault="0043377D" w:rsidP="00722885">
      <w:pPr>
        <w:spacing w:after="0" w:line="240" w:lineRule="auto"/>
        <w:jc w:val="both"/>
        <w:rPr>
          <w:rFonts w:ascii="Times New Roman" w:hAnsi="Times New Roman"/>
          <w:color w:val="0070C0"/>
          <w:sz w:val="16"/>
          <w:szCs w:val="16"/>
        </w:rPr>
      </w:pPr>
    </w:p>
    <w:p w14:paraId="1C9D68E8"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lastRenderedPageBreak/>
        <w:t>December 25, 1942: Heavy fighting continues all around the perimeter of the Stalingrad Kessel, while the decimated and starving troops of 6.Armee receive their last rations of horse meat, the 12,000 horses in the pocket having now all been slaughtered (3819).</w:t>
      </w:r>
    </w:p>
    <w:p w14:paraId="5DCE3BEF" w14:textId="77777777" w:rsidR="00BB6316" w:rsidRPr="00722885" w:rsidRDefault="00BB6316" w:rsidP="00722885">
      <w:pPr>
        <w:pStyle w:val="Iauiue"/>
        <w:jc w:val="both"/>
        <w:rPr>
          <w:color w:val="000000" w:themeColor="text1"/>
          <w:sz w:val="16"/>
          <w:szCs w:val="16"/>
          <w:lang w:val="en-US"/>
        </w:rPr>
      </w:pPr>
    </w:p>
    <w:p w14:paraId="4BDE2DB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25 декабря 1942 продолжалось уничтожение частей окруженной 6А. Съели 12000 лошадей (3819).</w:t>
      </w:r>
    </w:p>
    <w:p w14:paraId="258DBDC6" w14:textId="77777777" w:rsidR="00BB6316" w:rsidRPr="00722885" w:rsidRDefault="00BB6316" w:rsidP="00722885">
      <w:pPr>
        <w:pStyle w:val="Iauiue"/>
        <w:jc w:val="both"/>
        <w:rPr>
          <w:color w:val="000000" w:themeColor="text1"/>
          <w:sz w:val="16"/>
          <w:szCs w:val="16"/>
        </w:rPr>
      </w:pPr>
    </w:p>
    <w:p w14:paraId="49B6100C" w14:textId="77777777" w:rsidR="008043BB"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68928242" w14:textId="77777777" w:rsidR="008043BB" w:rsidRPr="00722885" w:rsidRDefault="008043BB" w:rsidP="00722885">
      <w:pPr>
        <w:pStyle w:val="Iauiue"/>
        <w:jc w:val="both"/>
        <w:rPr>
          <w:iCs/>
          <w:color w:val="000000" w:themeColor="text1"/>
          <w:sz w:val="16"/>
          <w:szCs w:val="16"/>
        </w:rPr>
      </w:pPr>
    </w:p>
    <w:p w14:paraId="579C1F60"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25 декабря</w:t>
      </w:r>
      <w:r w:rsidRPr="00722885">
        <w:rPr>
          <w:rFonts w:ascii="Times New Roman" w:hAnsi="Times New Roman"/>
          <w:color w:val="000000" w:themeColor="text1"/>
          <w:sz w:val="16"/>
          <w:szCs w:val="16"/>
        </w:rPr>
        <w:t xml:space="preserve"> в 1942 году в Алжире член движения Сопротивления Fernand Bonnier de La Chapelle застрелил главнокомандующего вооружёнными силами правительства Виши адмирала Франсуа Дарлана. Схваченный на месте, он был расстрелян на следующий день (14871).</w:t>
      </w:r>
    </w:p>
    <w:p w14:paraId="1B6C9A51"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3068D33E"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07CC5BE" w14:textId="77777777" w:rsidR="00BB6316" w:rsidRPr="00722885" w:rsidRDefault="00BB6316" w:rsidP="00722885">
      <w:pPr>
        <w:pStyle w:val="Iauiue"/>
        <w:jc w:val="both"/>
        <w:rPr>
          <w:iCs/>
          <w:color w:val="000000" w:themeColor="text1"/>
          <w:sz w:val="16"/>
          <w:szCs w:val="16"/>
        </w:rPr>
      </w:pPr>
    </w:p>
    <w:p w14:paraId="0DBAEA2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26 декабря 1942 завершились гос. испытания И-185 эталона, начавшиеся 20 ноября 1942 (228,170).</w:t>
      </w:r>
    </w:p>
    <w:p w14:paraId="56B5DC1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 другим данным, 26 декабря П.М.Стефановский выполнил только пробный полет на машине с новым мотором, после того, как старый заклинило в полете 16 декабря 1942. 27 декабря вновь летая на скоростные площадки мотор снова заклинило и машина при посадке была разбита (2921,146).</w:t>
      </w:r>
    </w:p>
    <w:p w14:paraId="19C95D36" w14:textId="77777777" w:rsidR="00BB6316" w:rsidRPr="00722885" w:rsidRDefault="00BB6316" w:rsidP="00722885">
      <w:pPr>
        <w:pStyle w:val="Iauiue"/>
        <w:jc w:val="both"/>
        <w:rPr>
          <w:color w:val="000000" w:themeColor="text1"/>
          <w:sz w:val="16"/>
          <w:szCs w:val="16"/>
        </w:rPr>
      </w:pPr>
    </w:p>
    <w:p w14:paraId="5D09A7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декабря 1942 в НИИ ВВС закончились полеты в ходе гос. испытаний И-185 М-71, являющийся эталоном для серийного производства, которые проходили с ноября 1942. Летал испытатель П.М.Стефановский. Хотя двигатель работал не вполне надежно (в про-испытаний заменили два М-71), были олучены весьма высокие результаты по части полетной скорости самолета, являющейся о-прежнему главным мерилом достоинства машин. У земли максимальная скорость расставила 560 км/ч (600 км/ч - на форсаже), на высоте 6 км - 680 км/ч. Отмечалось, что в от-льных полетах Стефановский превысил по-ретную скорость 700 км/ч (9979).</w:t>
      </w:r>
    </w:p>
    <w:p w14:paraId="567CEC1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17B28B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26 декабря 1942 ГИ завода 31 Н.В.Малинин письмом N 3321с Зам. НКАП и Нач. ПГУ П.А.Воронину о мерах, применяемых на заводе 31 по улучшению качества приклейки обшивки крыла ЛаГГ-3 (2519,1).</w:t>
      </w:r>
    </w:p>
    <w:p w14:paraId="3CD6E5CD" w14:textId="77777777" w:rsidR="00BB6316" w:rsidRPr="00722885" w:rsidRDefault="00BB6316" w:rsidP="00722885">
      <w:pPr>
        <w:pStyle w:val="Iauiue"/>
        <w:jc w:val="both"/>
        <w:rPr>
          <w:color w:val="000000" w:themeColor="text1"/>
          <w:sz w:val="16"/>
          <w:szCs w:val="16"/>
        </w:rPr>
      </w:pPr>
    </w:p>
    <w:p w14:paraId="1B3ACF1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26 декабря 1942 г. И-220 №01 с мотором АМ-38 (так как поставку АМ-38Ф задержали) совершил первый вылет. Однако после полета самолет пришлось отправить в цех для замены силовой установки, так как вышел из строя нагнетатель мотора, а в масле была обнаружена стружка (5669).</w:t>
      </w:r>
    </w:p>
    <w:p w14:paraId="3A26F16E" w14:textId="77777777" w:rsidR="00BB6316" w:rsidRPr="00722885" w:rsidRDefault="00BB6316" w:rsidP="00722885">
      <w:pPr>
        <w:pStyle w:val="Iauiue"/>
        <w:jc w:val="both"/>
        <w:rPr>
          <w:color w:val="000000" w:themeColor="text1"/>
          <w:sz w:val="16"/>
          <w:szCs w:val="16"/>
        </w:rPr>
      </w:pPr>
    </w:p>
    <w:p w14:paraId="0308E78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26 декабря</w:t>
      </w:r>
      <w:r w:rsidRPr="00722885">
        <w:rPr>
          <w:rFonts w:ascii="Times New Roman" w:hAnsi="Times New Roman"/>
          <w:color w:val="000000" w:themeColor="text1"/>
          <w:sz w:val="16"/>
          <w:szCs w:val="16"/>
        </w:rPr>
        <w:t xml:space="preserve"> в 1942 году состоялся первый полет истребитель «И-220» конструкции ОКБ А.И.Микояна с двигателем «АМ-38», лётчик А.И.Жуков (14872).</w:t>
      </w:r>
    </w:p>
    <w:p w14:paraId="07A6BC00"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228707F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26 декабря 1942 Ер-2 с 2М-30 после часового полета над аэродромом в Раменском перелетел в Чкаловскую в НИИ ВВС. Летал А.Д.Алексеев. 27-28 машину взвешивали, тарировали бензобаки (2504,73).</w:t>
      </w:r>
    </w:p>
    <w:p w14:paraId="3148A560" w14:textId="77777777" w:rsidR="00BB6316" w:rsidRPr="00722885" w:rsidRDefault="00BB6316" w:rsidP="00722885">
      <w:pPr>
        <w:pStyle w:val="Iauiue"/>
        <w:jc w:val="both"/>
        <w:rPr>
          <w:color w:val="000000" w:themeColor="text1"/>
          <w:sz w:val="16"/>
          <w:szCs w:val="16"/>
        </w:rPr>
      </w:pPr>
    </w:p>
    <w:p w14:paraId="4AFD0FA1" w14:textId="77777777" w:rsidR="008043BB" w:rsidRPr="00722885" w:rsidRDefault="008043BB" w:rsidP="00722885">
      <w:pPr>
        <w:pStyle w:val="a3"/>
        <w:rPr>
          <w:color w:val="000000" w:themeColor="text1"/>
          <w:lang w:val="ru-RU"/>
        </w:rPr>
      </w:pPr>
      <w:r w:rsidRPr="00722885">
        <w:rPr>
          <w:color w:val="000000" w:themeColor="text1"/>
          <w:lang w:val="ru-RU"/>
        </w:rPr>
        <w:t>С 26 декабря 1942 г. по 8 мая 1943 г. в НИИ ВВС КА проводились лётные испытания Ер-2 с дизельными моторами М-30Б. По результатам испытаний мотора составили акт с рекомендацией принятия М-30Б в серийное производство. Поскольку испытания М-30Б проводились на режимах близких к боевым режимам самолёта Ер-2 как бомбардировщика, то имелась полная возмож</w:t>
      </w:r>
      <w:r w:rsidRPr="00722885">
        <w:rPr>
          <w:color w:val="000000" w:themeColor="text1"/>
          <w:lang w:val="ru-RU"/>
        </w:rPr>
        <w:softHyphen/>
        <w:t>ность оценить не только моторы М-30Б, но и самолёт с этими моторами. Эта оценка отражена в «Материалах результатов испытания модифицированного самолета Ер-2 с М-30Б», проведенного одновременно с испытаниями моторов М-30Б.</w:t>
      </w:r>
    </w:p>
    <w:p w14:paraId="694D7B13" w14:textId="77777777" w:rsidR="008043BB" w:rsidRPr="00722885" w:rsidRDefault="008043BB" w:rsidP="00722885">
      <w:pPr>
        <w:pStyle w:val="a3"/>
        <w:rPr>
          <w:color w:val="000000" w:themeColor="text1"/>
          <w:lang w:val="ru-RU"/>
        </w:rPr>
      </w:pPr>
      <w:r w:rsidRPr="00722885">
        <w:rPr>
          <w:color w:val="000000" w:themeColor="text1"/>
          <w:lang w:val="ru-RU"/>
        </w:rPr>
        <w:t>Командование Авиации Дальнего Действия (АДД), получив положительную оценку Ер-2, решило его модифицировать, т.к. АДЦ больше устраивал самолёт с двумя пи</w:t>
      </w:r>
      <w:r w:rsidRPr="00722885">
        <w:rPr>
          <w:color w:val="000000" w:themeColor="text1"/>
          <w:lang w:val="ru-RU"/>
        </w:rPr>
        <w:softHyphen/>
        <w:t>лотами и более сильным вооружением.</w:t>
      </w:r>
    </w:p>
    <w:p w14:paraId="5C77797E" w14:textId="77777777" w:rsidR="008043BB" w:rsidRPr="00722885" w:rsidRDefault="008043BB" w:rsidP="00722885">
      <w:pPr>
        <w:pStyle w:val="a3"/>
        <w:rPr>
          <w:color w:val="000000" w:themeColor="text1"/>
          <w:lang w:val="ru-RU"/>
        </w:rPr>
      </w:pPr>
      <w:r w:rsidRPr="00722885">
        <w:rPr>
          <w:color w:val="000000" w:themeColor="text1"/>
          <w:lang w:val="ru-RU"/>
        </w:rPr>
        <w:t>В модификации Ер-2 с двумя лётчиками, по сравнению с опытным образцом 1942 г., полётная масса увеличилась на 660 кг, что способствовало снижению максимальной ско</w:t>
      </w:r>
      <w:r w:rsidRPr="00722885">
        <w:rPr>
          <w:color w:val="000000" w:themeColor="text1"/>
          <w:lang w:val="ru-RU"/>
        </w:rPr>
        <w:softHyphen/>
        <w:t>рости на 9-13 км/ч, практического потолка на 900 м, длина разбега возросла на 175 м (15810).</w:t>
      </w:r>
    </w:p>
    <w:p w14:paraId="6E7CBEB2" w14:textId="77777777" w:rsidR="008043BB" w:rsidRPr="00722885" w:rsidRDefault="008043BB" w:rsidP="00722885">
      <w:pPr>
        <w:pStyle w:val="a3"/>
        <w:rPr>
          <w:color w:val="000000" w:themeColor="text1"/>
          <w:lang w:val="ru-RU"/>
        </w:rPr>
      </w:pPr>
    </w:p>
    <w:p w14:paraId="42ACB06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декабря 1942 г. Королев направил в Наркомат авиаци</w:t>
      </w:r>
      <w:r w:rsidRPr="00722885">
        <w:rPr>
          <w:rFonts w:ascii="Times New Roman" w:hAnsi="Times New Roman"/>
          <w:color w:val="000000" w:themeColor="text1"/>
          <w:sz w:val="16"/>
          <w:szCs w:val="16"/>
        </w:rPr>
        <w:softHyphen/>
        <w:t>онной промышленности докладную записку в план работ по авиационной реактивной установке РУ-1 для самолета Пе-2. Эти предложения были поддержаны директорами казанских заводов № 16 и № 22 (10675).</w:t>
      </w:r>
    </w:p>
    <w:p w14:paraId="75F7E4B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20EFC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декабря 1942 С.П.К. направил докладную записку на имя Кравченко относительно установки РУ на самолет Пе-2 (реактивный перехватчик) и план работ по РУ (ААН, ф. 1546, оп. 1, № 25) (10676).</w:t>
      </w:r>
    </w:p>
    <w:p w14:paraId="53FAA72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1EC44E9"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26 декабря 1942 четыре сторожевых катера, три из которых были вооружены реактивными установками, это СКА-084, 044 и 064, которыми командовали лейтенант А.Кривоносов, старший лейтенант С.Попов и старший лейтенант Н.Харченко вышли из Геленджикской бухты, взяв курс на север.</w:t>
      </w:r>
    </w:p>
    <w:p w14:paraId="701C7722"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носовой части палубы на катерах попарно устанавливались четыре восьмиснарядные легкие портативные пусковые установки армейского образца, предназначенные для действий с горах. Такие установки были позаимствованы в горном гвардейском минометном полку, который защищал Новороссийск.</w:t>
      </w:r>
    </w:p>
    <w:p w14:paraId="0F13410D"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Малогабаритные пусковые установки оказались весьма удобными для размещения на катерах. Благодаря изобретательности дивизионного инженер-механика Я.Нестерова и начальника технического отдела Новороссийской военно-морской базы военного инженера А.Шахназарова монтаж этих пусковых устройств на палубах был осуществлен за несколько часов. Их опробовали учебным залповым пуском снарядов в море. Получилось хорошо. Оставалось проверить действия установки в бою.</w:t>
      </w:r>
    </w:p>
    <w:p w14:paraId="70B34033"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Шли вдоль берега в сторону Цемесской бухты. На траверзе мыса Дооб сделав поворот катера шли все вместе четверкой в кильватерной колонне. Затем разделились - каждая из огневых групп легла на свой боевой курс.</w:t>
      </w:r>
    </w:p>
    <w:p w14:paraId="27B2D260"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первой группе шли два катера; головным - СКА-084 и другой не вооруженный реактивными установками.</w:t>
      </w:r>
    </w:p>
    <w:p w14:paraId="123D6B71"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На головном находились командир бригады капитан 2 ранга П.Давыдов, флагманский штурман бригады капитан-лейтенант А.Кудинов и дивизионный артиллерист старший лейтенант А.Черкасов. Все офицеры знали, как использовать реактивное оружие в корабельном варианте, но столь массированный удар по наземной цели никому осуществлять еще не приходилось.</w:t>
      </w:r>
    </w:p>
    <w:p w14:paraId="594F9B3A"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Катер 044 следовал головным во второй огневой группе. На нем шли командир дивизиона капитан-лейтенант Н.Сипягин и дивизионный штурман старший лейтенант Крылов. Подходим к точке первого залпа, секундомер в руках штурмана отсчитывает последние секунды.</w:t>
      </w:r>
    </w:p>
    <w:p w14:paraId="5E02DD5B"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Залп - командует комдив Сипягин.</w:t>
      </w:r>
    </w:p>
    <w:p w14:paraId="2EF2CB5E"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Старший лейтенант Г.Терновский - флагманский артиллерист бригады вместе со старшиной 1 статьи А.Кузнецовым дергают клеванты пусковых устройств. Снаряды оставляя огненные шлейфы, с шумом врезаются в темноту ночи, а через несколько секунд впереди по курсу на месте цели вспыхивают яркие взрывы, которые четко были видны с мостика катера. Цель накрыта, пламя пожара разрастается.</w:t>
      </w:r>
    </w:p>
    <w:p w14:paraId="3370B0C9"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Следовавший во второй огневой группе СКА-064 тоже производит залп точно в расчетное время.</w:t>
      </w:r>
    </w:p>
    <w:p w14:paraId="053AEE7B"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Огневой налет оказался неожиданным для противника. Лучи прожекторов сначала взметнулись в небо, а уже потом заскользили по воде в районе Цемесской бухты. пользуясь замешательством противника, который не мог понять откуда пришелся удар, все катера благополучно вернулись в базу.</w:t>
      </w:r>
    </w:p>
    <w:p w14:paraId="40DBA7E5" w14:textId="77777777" w:rsidR="008043BB" w:rsidRPr="00722885" w:rsidRDefault="008043BB"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Агентурная разведка потом донесла, что противник понес немалые потери в живой силе, сгорели все запасы фуража и на воздух взлетел склад боеприпасов (15985).</w:t>
      </w:r>
    </w:p>
    <w:p w14:paraId="45C4D368"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2AEF271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3BC06FC" w14:textId="77777777" w:rsidR="00BB6316" w:rsidRPr="00722885" w:rsidRDefault="00BB6316" w:rsidP="00722885">
      <w:pPr>
        <w:pStyle w:val="Iauiue"/>
        <w:jc w:val="both"/>
        <w:rPr>
          <w:iCs/>
          <w:color w:val="000000" w:themeColor="text1"/>
          <w:sz w:val="16"/>
          <w:szCs w:val="16"/>
        </w:rPr>
      </w:pPr>
    </w:p>
    <w:p w14:paraId="4F64B2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декабря 1942 г. из СООБЩЕНИЯ НАЧАЛЬНИКА И ПОМПОЛИТА 26[-й] РАБОЧЕЙ КОЛОННЫ СЕКРЕТАРЮ ОБКОМА ВКП(б) М.В. КУЛАГИНУ</w:t>
      </w:r>
    </w:p>
    <w:p w14:paraId="6526D1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комбинате № 179 в заводе № 1 работает 26[-я] рабочая колонна. Состав колонны - 1 025 человек, половина из них сибиряки, остальные из-под Москвы, Воронежа, Иванова и прочие. Помещается колонна, начиная с октября 1941 года, в земляных бараках около Бугров. Это создавало особые трудности, так как на работу нужно было ходить до завода семь километров и обратно столько же, а всего 14 километров в день, плюс 12 часов физической работы на ногах, при наличии возраста рабочих 40—50 лет. Учитывая эти обстоятельства, командование 26-й рабочей колонны поставило себе целью: в условиях проживания рабочих в землянках создать им такие бытовые условия, которые бы способствовали выполнению норм и повышению производительности труда. Для этого силами и материалами колонны было проделано следующее.</w:t>
      </w:r>
    </w:p>
    <w:p w14:paraId="1D38D4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Бытовое обслуживание</w:t>
      </w:r>
    </w:p>
    <w:p w14:paraId="284429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Во все бараки было проведено электричество, вечерами рабочие имеют возможность читать, сварить пищу, починить одежду. В колонне была поставлена водопроводная будка, и ежедневно водовоз колонны стал развозить воду по баракам, удовлетворяя потребности в воде полностью. В бараках было проведено радио. Рабочие в часы отдыха слушают передачи информбюро и музыку. Все нары в землянках были переделаны на койки-вагонки, это упорядочило общежития и </w:t>
      </w:r>
      <w:r w:rsidRPr="00722885">
        <w:rPr>
          <w:rFonts w:ascii="Times New Roman" w:hAnsi="Times New Roman"/>
          <w:color w:val="000000" w:themeColor="text1"/>
          <w:sz w:val="16"/>
          <w:szCs w:val="16"/>
        </w:rPr>
        <w:lastRenderedPageBreak/>
        <w:t>упразднило тесноту. В каждом бараке были устроены камеры хранения вещей, это избавило рабочих от пропажи вещей и продуктов. Везде поставлены большие умывальники, и всегда имеется мыло и полотенца, а также тазики для мытья ног перед сном. В бараках поставлены цинковые баки с кранами для сырой и кипяченой воды. В бараках поставлены столы, скамейки, вешалки, плевательницы, ящики для мусора, решетки для ног у порога. В каждом бараке имеется две смены дневальных, которые дежурят днем и ночью, охраняя вещи, постельные принадлежности, не допуская шума, посторонних лиц в барак и обеспечивая отдых и покой рабочих, а также они отапливают бараки. Имеющиеся в каждом бараке уборщицы ежедневно моют пол в бараках и ежедекадно производят общую уборку и побелку. Всем рабочим выданы были матрацы, подушки, наволочки и простыни. Отдельно были оборудованы 4 стахановских барака, где помимо вышеуказанного инвентаря столы накрыты клеенками, на окна повешены занавески, поставлены цветы, постланы дорожки, коврики. В этих бараках организованы библиотечки, имеются шашки, музыкальные инструменты. Рабочие удовлетворены полным комплектом постельных принадлежностей. Все отряды обслуживаются специальным почтовиком-связным, доставляющим ежедневно письма и газеты. Для обслуживания рабочих имеется парикмахерская, работающая днем и вечером. Несмотря на то, что колонна не получает планового и централизованного обмундирования, все же рабочих приходится одевать и обувать, различными путями доставать одежду и обувь. Всего за полгода было выдано рабочим в колонне: белья — 1 270 пар, костюмов — 630, ватных брюк — 212, тоже реставрированных телогреек — 245, шапок — 160, фуражек — 29, полотенец — 347, ботинок новых — 788 пар, отремонтировано обуви — 3 192 пары. Выданная рабочим обувь и одежда дала возможность командованию требовать от рабочих регулярного выхода на работу, и случаи невыхода на работу по причине отсутствия обуви или одежды были редки. При колонне имеется медицинский пункт, который два раза в сутки производит прием рабочих. Кроме того, каждую пятидневку по баракам производится санитарная проверка. Для лучшего обслуживания рабочих при колонне были организованы мастерские: сапожная, которая изготовляла для рабочих брезентовую обувь, производила починку старой обуви; портновская-фуражечная — шила для рабочих белье, костюмы, простыни, фуражки и прочее; жестяная — изготовляла баки для воды, кружки, чайники, тазы, ведра, корыта для бараков и прачечной, умывальники и прочее; парикмахерская работает днем и вечером, обслуживая рабочих дневной и ночной смены, производя стрижку и бритье; столярно-бондарная — изготовляла для рабочих койки, ящики, скамьи, вешалки, шкафчики и прочее, а для засолки капусты и для воды кадки и бочонки. Благодаря работе мастерских был обеспечен ремонт обуви, пошивка новой обуви для рабочих, что делало выход на работу более полным, а также позволило обеспечить бараки-общежития инвентарем. Силами и материалами колонны при бараках была построена баня, пропускной способностью до трехсот человек в сутки, дезокамера такой же мощности и прачечная, где была организована стирка простынь для постелей рабочим и их белья. Все это дает возможность колонне пропускать рабочих минимум два раза в месяц через баню и дезокамеру, а нательное белье и простыни с наволочками - через прачечную. При колонне имеется клуб, под который отведен целый барак. В клубе проводятся музыкальные вечера и концерты. Играет принадлежащий колонне духовой оркестр, читаются лекции по международным вопросам, проводятся собрания стахановцев и торжественные вечера. С начала лета клуб обогатился киноаппаратом, в клубе стали ставиться кинокартины и в течение полгода регулярно рабочие колонны просмотрели более пятидесяти кинокартин. Колонна имеет четыре библиотечки, которые созданы при стахановских бараках, из художественной, политической и научной литературы. Рабочие, придя с работы, умывшись и поужинав, садятся за библиотечный столик, читают книги. В колонне регулярно выпускается стенная газета, которая иногда дублируется по всем четырем отрядам. В газете помещаются очерки о лучших стахановцах и показывается опыт их работы. В отрядах имеются чтецы-агитаторы, которые регулярно получают и читают газеты, брошюры, листовки.</w:t>
      </w:r>
    </w:p>
    <w:p w14:paraId="59FD8F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Общественное питание</w:t>
      </w:r>
    </w:p>
    <w:p w14:paraId="6F80B4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колонне имеется столовая, которая питает рабочих дополнительно к заводскому питанию без карточек из продуктов колонны, заготовляемых путем самозаготовок. Дневная смена получает ужин, ночная смена - обед. При получении продуктов из района стахановцы получали усиленное молочное или мясное питание. Герои трудового фронта получают комсоставское питание. Для улучшения дополнительного питания колонной было организовано пригородное хозяйство, от которого получено 3 тонны картофеля, 2 тонны проса, 3 тонны овса, 2 тонны квашеной капусты, полтонны гороха, моркови и свеклы. При столовой колонны имеется хлебный ларек, снабжающий рабочих бесперебойно хлебом и маслом, и сахаром по карточкам.</w:t>
      </w:r>
    </w:p>
    <w:p w14:paraId="379AA1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26-й рабочей колонны Ракуш</w:t>
      </w:r>
    </w:p>
    <w:p w14:paraId="424380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Помполит Н. Буров</w:t>
      </w:r>
    </w:p>
    <w:p w14:paraId="32B7DC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Oп. 7. Д. 506. Л. 114-115. Подлинник (12193).</w:t>
      </w:r>
    </w:p>
    <w:p w14:paraId="528A410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CED439F"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26 декабря 1942 вышло Постановление ГКО № 2659 О прекращении демонтажа крекинг-установок № 9 и 10 2-го Грозненского крекинг-завода Наркомнефти. (7068, 99).</w:t>
      </w:r>
    </w:p>
    <w:p w14:paraId="5547E654" w14:textId="77777777" w:rsidR="00BB6316" w:rsidRPr="00722885" w:rsidRDefault="00BB6316" w:rsidP="00722885">
      <w:pPr>
        <w:pStyle w:val="Iauiue"/>
        <w:tabs>
          <w:tab w:val="left" w:pos="11199"/>
        </w:tabs>
        <w:jc w:val="both"/>
        <w:rPr>
          <w:color w:val="000000" w:themeColor="text1"/>
          <w:sz w:val="16"/>
          <w:szCs w:val="16"/>
        </w:rPr>
      </w:pPr>
    </w:p>
    <w:p w14:paraId="425C0D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декабря 1942 вышло Постановление ГКО № 2660 О расширении производства 25 мм автоматических зенитных пушек на заводе № 88 Наркомвооружения. РГАНИР, Фонд ГКО, д. 74, лл. 100-104, 105-108 (11012).</w:t>
      </w:r>
    </w:p>
    <w:p w14:paraId="608CBFF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2AD10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26 декабря 1942 г. вышло постановление ГКО № 2660 о расширении производства 25-мм автоматических зенитных пушек на заводе № 88 (Завод № 88 НКВ, </w:t>
      </w:r>
      <w:r w:rsidRPr="00722885">
        <w:rPr>
          <w:rFonts w:ascii="Times New Roman" w:hAnsi="Times New Roman"/>
          <w:color w:val="000000" w:themeColor="text1"/>
          <w:sz w:val="16"/>
          <w:szCs w:val="16"/>
          <w:lang w:val="en-US"/>
        </w:rPr>
        <w:t>MB</w:t>
      </w:r>
      <w:r w:rsidRPr="00722885">
        <w:rPr>
          <w:rFonts w:ascii="Times New Roman" w:hAnsi="Times New Roman"/>
          <w:color w:val="000000" w:themeColor="text1"/>
          <w:sz w:val="16"/>
          <w:szCs w:val="16"/>
        </w:rPr>
        <w:t xml:space="preserve">, Опытный завод ОКБ-1 ГКОТ, Завод экспериментального машиностроения (ЗЭМ) </w:t>
      </w:r>
      <w:r w:rsidRPr="00722885">
        <w:rPr>
          <w:rFonts w:ascii="Times New Roman" w:hAnsi="Times New Roman"/>
          <w:color w:val="000000" w:themeColor="text1"/>
          <w:sz w:val="16"/>
          <w:szCs w:val="16"/>
          <w:lang w:val="en-US"/>
        </w:rPr>
        <w:t>MOM</w:t>
      </w:r>
      <w:r w:rsidRPr="00722885">
        <w:rPr>
          <w:rFonts w:ascii="Times New Roman" w:hAnsi="Times New Roman"/>
          <w:color w:val="000000" w:themeColor="text1"/>
          <w:sz w:val="16"/>
          <w:szCs w:val="16"/>
        </w:rPr>
        <w:t>, В-8711, ЗАО «ЗЭМ» /г. Подлипки,  г. Калининград Московской обл./ /141070  г. Королев Московской обл. ул. Ленина, 4А/). В 1943 г. доработка зенитного орудия 84-К в серийный вариант 84-КМ, создано опытное зенитное артиллерийское орудие 3-1 (1944 г.).</w:t>
      </w:r>
    </w:p>
    <w:p w14:paraId="146625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территорию завода переведено из Германии КБ-1 «Берлин», созданное после войны для изучения трофейной ракетной техники. В 1946 г. на его основе организован НИИ-88 </w:t>
      </w:r>
      <w:r w:rsidRPr="00722885">
        <w:rPr>
          <w:rFonts w:ascii="Times New Roman" w:hAnsi="Times New Roman"/>
          <w:color w:val="000000" w:themeColor="text1"/>
          <w:sz w:val="16"/>
          <w:szCs w:val="16"/>
          <w:lang w:val="en-US"/>
        </w:rPr>
        <w:t>MB</w:t>
      </w:r>
      <w:r w:rsidRPr="00722885">
        <w:rPr>
          <w:rFonts w:ascii="Times New Roman" w:hAnsi="Times New Roman"/>
          <w:color w:val="000000" w:themeColor="text1"/>
          <w:sz w:val="16"/>
          <w:szCs w:val="16"/>
        </w:rPr>
        <w:t>, завод № 88 стал его опытной производственной базой. По приказу от 30.11.1946 г. на заводе создано СКВ для работ по изучению немецкой ракетной техники, обработки технической документации.</w:t>
      </w:r>
    </w:p>
    <w:p w14:paraId="2DB3B9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СМ СССР от 13.08.1956 г. (после выделения ОКБ-1 в самостоятельную организацию) завод выведен из состава НИИ-88 и стал производственной базой ОКБ-1 МОП. По приказу от 6.03.1966 г. Опытный завод ОКБ-1 переименован в Завод экспериментального машиностроения (ЗЭМ) в составе ЦКБ ЭМ. Имел наименование «п/я В-8711». С 1994 г.- ЗАО «ЗЭМ». Входит в состав РКК «Энергия» (2004 г.).</w:t>
      </w:r>
    </w:p>
    <w:p w14:paraId="62DB5C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1970-е  г. был основным исполнителем по сборке и испытанию ОК «Буран» в целом, по созданию его объединенной двигательной установки и системы энергопитания, по сборке и испытаниям боковых блоков РН «Энергия».</w:t>
      </w:r>
    </w:p>
    <w:p w14:paraId="14872F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 г.)- 6705 чел., (1947 г.)- 6830 чел., (1949 г.)- 6960 чел., (1.10.1956 г.)- 10.190 чел.</w:t>
      </w:r>
      <w:r w:rsidRPr="00722885">
        <w:rPr>
          <w:rFonts w:ascii="Times New Roman" w:hAnsi="Times New Roman"/>
          <w:color w:val="000000" w:themeColor="text1"/>
          <w:sz w:val="16"/>
          <w:szCs w:val="16"/>
          <w:vertAlign w:val="superscript"/>
        </w:rPr>
        <w:t>77</w:t>
      </w:r>
    </w:p>
    <w:p w14:paraId="2126F2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(1946-52 г.)- П.И. Малолетов, (1953-56 г.)- Ф.П. Герасимов, (1956-66 г.)- Р.А. Турков (1-й зам. Королева), (1966-78 г.)- В.М. Ключарев, (1978-99</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 А.А. Борисенко, (1999-2005 г.-)- А.Ф. Стрекалов.</w:t>
      </w:r>
    </w:p>
    <w:p w14:paraId="6E4353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 В.Д. Вачнадзе.</w:t>
      </w:r>
    </w:p>
    <w:p w14:paraId="27F2E5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пушки: зентные 25-мм (1942); опытная партия ЗУР Р-102 (1949), опытная партия МБР Р-7 (1955-), КК «Восток» (ЗКА, 1960-61)- 6, КА «Молния-1» (1964-68)- 8; ЖРД С1.5400 (1965)- 230; буровые установки КАМ-300, КАМ-500 (после ВОВ) (11982).</w:t>
      </w:r>
    </w:p>
    <w:p w14:paraId="2C5BF782" w14:textId="77777777" w:rsidR="008043BB" w:rsidRPr="00722885" w:rsidRDefault="008043BB" w:rsidP="00722885">
      <w:pPr>
        <w:pStyle w:val="Iauiue"/>
        <w:jc w:val="both"/>
        <w:rPr>
          <w:iCs/>
          <w:color w:val="000000" w:themeColor="text1"/>
          <w:sz w:val="16"/>
          <w:szCs w:val="16"/>
        </w:rPr>
      </w:pPr>
    </w:p>
    <w:p w14:paraId="5F33080C"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3C89BB0" w14:textId="77777777" w:rsidR="00BB6316" w:rsidRPr="00722885" w:rsidRDefault="00BB6316" w:rsidP="00722885">
      <w:pPr>
        <w:pStyle w:val="Iauiue"/>
        <w:jc w:val="both"/>
        <w:rPr>
          <w:iCs/>
          <w:color w:val="000000" w:themeColor="text1"/>
          <w:sz w:val="16"/>
          <w:szCs w:val="16"/>
        </w:rPr>
      </w:pPr>
    </w:p>
    <w:p w14:paraId="020974ED"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26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3FD74E3D"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26 декабря наши войска в районе Сталинграда, на Центральном фронте, в районе Среднего Дона и юго-восточнее Нальчика продолжали вести наступательные бои на прежних направлениях.</w:t>
      </w:r>
    </w:p>
    <w:p w14:paraId="41E13F19"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войска блокировали и уничтожали дзоты и блиндажи противника. Разрушено и захвачено 19 дзотов и 57 блиндажей. Бойцы Н-ской части окружили и уничтожили немецкую группировку, занимавшую один из крупных заводов. В бою уничтожено до 500 солдат и офицеров противника. Захвачены трофеи: 22 пулемёта, 180 винтовок, 400 гранат и свыше 20.000 патронов.</w:t>
      </w:r>
    </w:p>
    <w:p w14:paraId="793E70C1"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свои позиции и вели огневой бой с противником. На различных участках огнём снайперов и пулемётчиков уничтожено до роты гитлеровцев. Подавлен огонь 2 артиллерийских, 4 миномётных батарей и 7 пулемётных точек. Взорван склад боеприпасов противника.</w:t>
      </w:r>
    </w:p>
    <w:p w14:paraId="6B7891AC"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развивали наступление и, сломив сопротивление противника, продвинулись вперёд. Н-ская гвардейская часть, разгромив заслон гитлеровцев силою до батальона пехоты с 10 танками, заняла один населенный пункт. На другом участке наши части в боях с противником истребили до 600 немецких солдат и офицеров, сожгли и подбили 30 вражеских танков.</w:t>
      </w:r>
    </w:p>
    <w:p w14:paraId="0B79738A"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успешное наступление. Бойцы Н-ской части заняли населённый пункт и истребили до батальона немецкой пехоты. На другом участке наши подразделения вышли в тыл отступающим колоннам противника и взяли в плен 560 вражеских солдат и офицеров. Захвачены 14 орудий, 35 пулемётов и обоз с различным военным имуществом.</w:t>
      </w:r>
    </w:p>
    <w:p w14:paraId="4D5238F1"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в районе Великих Лук Н-ская часть отразила контратаку немецкой пехоты, действовавшей при поддержке танков. На поле боя осталось 200 вражеских трупов. Уничтожены 3 орудия и 2 миномётные батареи. Наши бойцы захватили исправный немецкий танк, миномётную батарею и 2 орудия.</w:t>
      </w:r>
    </w:p>
    <w:p w14:paraId="665F5E2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огнём артиллерии разбито 16 блиндажей и дзотов, рассеяно и частью уничтожено до роты пехоты противника.</w:t>
      </w:r>
    </w:p>
    <w:p w14:paraId="73ABC785"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Юго-восточнее Нальчика наши войска продолжали наступление и заняли несколько населённых пунктов. Всю ночь подразделения Н-ской гвардейской части вели ожесточённый бой за одно село, превращенное немцами в мощный узел сопротивления. Гитлеровцы упорно защищали подступы к селу, каждую улицу и каждый </w:t>
      </w:r>
      <w:r w:rsidRPr="00722885">
        <w:rPr>
          <w:rFonts w:ascii="Times New Roman" w:hAnsi="Times New Roman"/>
          <w:color w:val="000000" w:themeColor="text1"/>
          <w:sz w:val="16"/>
          <w:szCs w:val="16"/>
        </w:rPr>
        <w:lastRenderedPageBreak/>
        <w:t>дом. К утру гвардейцы, обойдя противника с флангов, сломили его сопротивление. На подступахи на улицах села осталось свыше 300 трупов вражеских солдат и офицеров. Наши бойцы захватили 6 немецких танков, 21 орудие, 14 тракторов, 28 пулемётов, 600 винтовок, много патронов, снарядов и мин.</w:t>
      </w:r>
    </w:p>
    <w:p w14:paraId="201232DA"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действующий в Харьковской области, совершил внезапный налёт на штаб немецкого пехотного батальона. Советские патриоты уничтожили 11 штабных офицеров и 70 вражеских солдат. Захвачены важные документыи трофеи.</w:t>
      </w:r>
    </w:p>
    <w:p w14:paraId="7535A0A5"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Гитлеровцы в течение нескольких дней пытались скрыть от населения Германии сведения о наступлении советских войск в районе Среднего Дона. Однако, как говорится, «шила в мешке не утаишь». Тем более невозможно было замолчать факт крупного поражения немецко-фашистских войск на советско-германском фронте. И фашистские лгуны в конце концов заговорили. Берлинское радио на днях сообщило: «Наши войска, оперирующие на участке по среднему течению Дона, издавна подготовили весь ход операций, протекающих в настоящий момент. Осведомлённые военные круги вполне довольны создавшимся положением». Немцам вторят и хитальянские подручные. Римское радио передало: «Русские войска одержали некоторые успехи, однако можно сказать, что и они ведут свои операции в плане, предусмотренном германским командованием».</w:t>
      </w:r>
    </w:p>
    <w:p w14:paraId="2560D6C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немцы и их итальянские прихвостни утверждают:</w:t>
      </w:r>
    </w:p>
    <w:p w14:paraId="0F1C351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советские войска на Дону, громя и уничтожая гитлеровцев, действуют по плану, предусмотренному германским командованием;</w:t>
      </w:r>
    </w:p>
    <w:p w14:paraId="482D479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немецкие военные круги довольны тем, что Красная Армия с 16 по 25 декабряв районе Среднего Дона захватила в плен 50.000 солдат и офицеров немецко-фашистской армии и, кроме того, истребила десятки тысяч гитлеровских солдат и офицеров и огромное количество боевой техники.</w:t>
      </w:r>
    </w:p>
    <w:p w14:paraId="0C2020FC"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Всем известно, какими мастерами лжи и клеветы являются гитлеровские заправилы. Но мировому общественному мнению еще не приходилось слушать подобной чепухи, исходящей из немецких и итальянских правительственных источников. Такого рода бред, уместный лишь в доме сумасшедших, выдаёт крайнюю растерянность гитлеровских заправил в связи с тяжёлым поражением, нанесённым немецким войскам на советско-германском фронте.» (14872).</w:t>
      </w:r>
    </w:p>
    <w:p w14:paraId="479E0EB5"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15A7013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26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42E624B9"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26 декабря наши войска в районе Среднего Дона, продолжая успешно развивать наступление, заняли несколько десятков населённых пунктов, в том числе заняты город и крупная железнодорожная станция Тацинская, районный центр и крупная железнодорожная станция Верхне-Тарасовка, районные центры — Криворожье, Катары, Ефремово-Степановка и крупные населённые пункты — Каськовка, Никольская, Шарпаевка, Ильинка, Костино-Быстрянский, Грузинов.</w:t>
      </w:r>
    </w:p>
    <w:p w14:paraId="121B9837"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юго-западнее Сталинграда продолжали теснить противника и заняли населённые пункты — Новоаксайский, Генераловский, Кандауров, Шестаков, Антонов, Кругляков, Ромашкин, Чилеков.</w:t>
      </w:r>
    </w:p>
    <w:p w14:paraId="47AB22A3"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и юго-восточнее Нальчика наши войска продолжали вести наступательные бои на прежних направлениях.</w:t>
      </w:r>
    </w:p>
    <w:p w14:paraId="0B5CAAF3"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уничтожено 7 немецких транспортных самолётов.</w:t>
      </w:r>
    </w:p>
    <w:p w14:paraId="7D16D6AF"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декабря частями нашей авиации на различных участках фронта уничтожено или повреждено 115 немецких танков, более 100 автомашин с войсками и грузами, подавлен огонь 10 артиллерийских батарей, взорвано 3 склада с боеприпасами, рассеяно и частью уничтожено до двух батальонов пехоты противника.</w:t>
      </w:r>
    </w:p>
    <w:p w14:paraId="7036F06E"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заводском районе Сталинграда наши части, действуя штурмовыми группами, уничтожали укрепления противника. Нашими бойцами взорвано 30 дзотов и блиндажей и уничтожено до 200 немецких солдат и офицеров.</w:t>
      </w:r>
    </w:p>
    <w:p w14:paraId="06B2ABB8"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укрепляли занимаемые позиции и вели разведку противника. Огнём нашей артиллерии разрушено 17 немецких дзотов, 29 блиндажей и взорван склад боеприпасов. В районе одной высоты бойцы Н-ской части вели бой с пехотой и танками противника. В результате боя сожжено 2 и подбито 6немецких танков, уничтожено до роты гитлеровцев. Захвачены у немцев 3 орудия, 10 пулемётов и вещевой склад.</w:t>
      </w:r>
    </w:p>
    <w:p w14:paraId="0F7259C9"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преодолевая сопротивление противника, снова заняли несколько населённых пунктов. Пытаясь задержать продвижение наших частей в районе одного населённого пункта, гитлеровцы бросили в контратаку значительные силы танков. В результате ожесточённого боя наши бойцы выбили противника из этого населённого пункта. Подбито и сожжено 10 немецких танков, уничтожено 2 шестиствольных миномёта и 15 автомашин. На другом участке советские бойцы разгромили батальон немецкой пехоты и заняли сильно укреплённый узел вражеской обороны.</w:t>
      </w:r>
    </w:p>
    <w:p w14:paraId="30EB2061"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преследуя отступающего противника, громили его живую силу и технику. Нашими частями в районе Тацинской захвачено на аэродромах 300 немецких самолётов и, кроме того, на железнодорожной станции Тацинская захвачен эшелон с 50 самолетами. В боях за город и станцию уничтожено 2.000 солдат и офицеров противника. Н-ская танковая часть, овладев другим важным узлом сопротивления противника, уничтожила 800 и взяла в плен 600 гитлеровцев. Развивая успех, танкисты разгромили крупный отряд немецкой пехоты, прикрывавший отступление вражеских частей.</w:t>
      </w:r>
    </w:p>
    <w:p w14:paraId="4745F118"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части вели активные боевые действия. В районе западнее Ржева, на участке части, где командиром тов. Игошин, немецкая пехота и танки потеснили наше подразделение. Бойцы под командованием тов. Копрова с флангов нанесли контрудар противнику и вынудили его к поспешному отступлению. В течение дня гитлеровцы в бесплодных контратаках потеряли на этом участке убитыми до 400 солдат и офицеров и 10 танков.</w:t>
      </w:r>
    </w:p>
    <w:p w14:paraId="613F06F9"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юго-западнее Великих Лук наши войска с боями заняли 15 населённых пунктов.</w:t>
      </w:r>
    </w:p>
    <w:p w14:paraId="49FB75D1"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преодолевая сопротивление противника, продвигались вперёд. В боях на подступах к крупному населённому пункту и на его улицах немцы потеряли только убитыми до 400 солдат и офицеров. Захвачены трофеи: 9 автомашин, 31 пулемёт, большое количество автоматов, винтовок и боеприпасов. Наши сапёры обезвредили свыше 10.000 вражеских противотанковых и противопехотных мин.</w:t>
      </w:r>
    </w:p>
    <w:p w14:paraId="4EE3BA54"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имени Дзержинского, действующий в Орловской области, в боях с противником истребил 159 немецких - солдат и захватил автоматическую пушку, 3 пулемёта, 133 винтовки в 9.000 патронов. Другой отряд орловских партизан пустил под откос воинский эшелон противника. В результате крушения разбиты паровоз и 32 вагона с боеприпасами. Партизаны этого отряда окружили и уничтожили немецкий гарнизон в одном населённом пункте. Советские патриоты истребили свыше 50 немецко-фашистских захватчиков, уничтожили 4 орудия, 2 легковые и одну грузовую автомашины, разрушили радиоузел, взорвали артиллерийский склад и склад с продовольствием.</w:t>
      </w:r>
    </w:p>
    <w:p w14:paraId="116FF578"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командиров Н-ской части и жители хутора Глухмановский, Ростовской области, составили акт, в котором говорится: «После освобождения от немецких оккупантов хутора Глухмановский мы обнаружили 24 советских военнопленных.</w:t>
      </w:r>
    </w:p>
    <w:p w14:paraId="0F28C4FA"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Они жили в холодном сарае, огороженном колючей проволокой. Все пленные были в грязных лохмотьях, у многих не оказалось никакой обуви, и почти все были обморожены. Большинство были больны и не могли встать. В сарае вместе с больными лежало два трупа красноармейцев, умерших от голода. Немцы заставляли попавших к ним в плен бойцов работать на строительстве узкоколейной дороги по 16—18 часов в сутки. Пленных зверски избивали, а обессилевших расстреливали». Акт подписали: капитан Владимирский, капитан Жильников, военврач 3 ранга Куринов, старший сержант Шейкин, колхозник Гроховатский и другие.</w:t>
      </w:r>
    </w:p>
    <w:p w14:paraId="2A197021"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Получено сообщение о волнениях среди немецких войск в Харькове. Батальон, наспех сформированный гитлеровцами из писарей, шофёров, солдат хозяйственных и прочих нестроевых команд, отказался ехать на фронт. Часть солдат разбежалась. Над остальными гестаповцы учинили расправу и расстреляли перед строем 10 солдат.» (14872).</w:t>
      </w:r>
    </w:p>
    <w:p w14:paraId="2CEF7C81"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7A88248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26 декабря 1942 А.Губанов во главе группы 5 и сопровождал 6 ш, летевших для удара в районе Котельниково под Сталинградом. Ш шли строем правый пеленг, а и построились так, что группа из двух летела справа, а другая из тоже справа, но сверху. Одна машина шла слева. Шли вдоль ж/д. были атакованы последовательно двумя парами Ме-109. Отбились и кроме охраны сбили 2-х (340,148).</w:t>
      </w:r>
    </w:p>
    <w:p w14:paraId="53EE0358" w14:textId="77777777" w:rsidR="00BB6316" w:rsidRPr="00722885" w:rsidRDefault="00BB6316" w:rsidP="00722885">
      <w:pPr>
        <w:pStyle w:val="Iauiue"/>
        <w:jc w:val="both"/>
        <w:rPr>
          <w:color w:val="000000" w:themeColor="text1"/>
          <w:sz w:val="16"/>
          <w:szCs w:val="16"/>
        </w:rPr>
      </w:pPr>
    </w:p>
    <w:p w14:paraId="6D0318B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26 декабря 1942 была подготовлена Радиограмма</w:t>
      </w:r>
    </w:p>
    <w:p w14:paraId="2AD804D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26.12.1942 г. Совершенно секретно. Только для командования (3573).</w:t>
      </w:r>
    </w:p>
    <w:p w14:paraId="3C3E765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Из оперативного отдела (1а) за № 414/42 группы армий "Дон" (3573).</w:t>
      </w:r>
    </w:p>
    <w:p w14:paraId="434F817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Верховному командованию сухопутных войск. Оперативному управлению (3573).</w:t>
      </w:r>
    </w:p>
    <w:p w14:paraId="5C27589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Командующий 6-й армией докладывает:</w:t>
      </w:r>
    </w:p>
    <w:p w14:paraId="6C7FBF2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23.12 14.00 до утра 25 туман, нет снабжения. 25.12. здесь улучшение летной погоды, но в течение дня не было ни одного самолета, ибо соединения "хейнкелей" принимали участие в боевых действиях (3573).</w:t>
      </w:r>
    </w:p>
    <w:p w14:paraId="7BD50A8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Ночью с 25/16.12 до 7.00 прибыло всего 32 машины только с 30 тоннами грузов снабжения. Сопротивление армии должно будет прекратиться, если скоро не будут приняты все меры по снабжению (3573).</w:t>
      </w:r>
    </w:p>
    <w:p w14:paraId="3701519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Кроме продовольствия, горючего, боеприпасов нужно немедленно ежедневно подавать боеспособное пополнение в количестве 250 человек - это предварительное условие длительной и стойкой обороны (3573).</w:t>
      </w:r>
    </w:p>
    <w:p w14:paraId="48A37CB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Подпись (3573).</w:t>
      </w:r>
    </w:p>
    <w:p w14:paraId="42F3A203" w14:textId="77777777" w:rsidR="00BB6316" w:rsidRPr="00722885" w:rsidRDefault="00BB6316" w:rsidP="00722885">
      <w:pPr>
        <w:pStyle w:val="Iauiue"/>
        <w:jc w:val="both"/>
        <w:rPr>
          <w:color w:val="000000" w:themeColor="text1"/>
          <w:sz w:val="16"/>
          <w:szCs w:val="16"/>
        </w:rPr>
      </w:pPr>
    </w:p>
    <w:p w14:paraId="179B35C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26 декабря 1942 вышел Указ Президиума ВС об упорядочении системы награждения. Рядовой и сержантский состав награждались медалями За отвагу и За боевые заслуги приказами командиров авиаполков. Личный состав до командира авиазвена орденами КЗ и ОВ и медалями ЗО и ЗБЗ приказами комдивизий и корпусов и т.д. (556,226).</w:t>
      </w:r>
    </w:p>
    <w:p w14:paraId="386A7087" w14:textId="77777777" w:rsidR="00BB6316" w:rsidRPr="00722885" w:rsidRDefault="00BB6316" w:rsidP="00722885">
      <w:pPr>
        <w:pStyle w:val="Iauiue"/>
        <w:jc w:val="both"/>
        <w:rPr>
          <w:color w:val="000000" w:themeColor="text1"/>
          <w:sz w:val="16"/>
          <w:szCs w:val="16"/>
        </w:rPr>
      </w:pPr>
    </w:p>
    <w:p w14:paraId="666BBA17"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lastRenderedPageBreak/>
        <w:t>26 декабря</w:t>
      </w:r>
      <w:r w:rsidRPr="00722885">
        <w:rPr>
          <w:rFonts w:ascii="Times New Roman" w:hAnsi="Times New Roman"/>
          <w:color w:val="000000" w:themeColor="text1"/>
          <w:sz w:val="16"/>
          <w:szCs w:val="16"/>
        </w:rPr>
        <w:t xml:space="preserve"> в 1942 году ефрейтор 6-й немецкой армии Вальтер Кобус писал из окруженного Сталинграда: "Рождественский подарок составили 500 граммов хлеба и 100 граммов шоколада. Мы так радовались этому, ибо от голода больно" (14872).</w:t>
      </w:r>
    </w:p>
    <w:p w14:paraId="4DCEF665"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17CF6C11"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B7186D2" w14:textId="77777777" w:rsidR="00BB6316" w:rsidRPr="00722885" w:rsidRDefault="00BB6316" w:rsidP="00722885">
      <w:pPr>
        <w:pStyle w:val="Iauiue"/>
        <w:jc w:val="both"/>
        <w:rPr>
          <w:iCs/>
          <w:color w:val="000000" w:themeColor="text1"/>
          <w:sz w:val="16"/>
          <w:szCs w:val="16"/>
        </w:rPr>
      </w:pPr>
    </w:p>
    <w:p w14:paraId="3954E74E" w14:textId="77777777" w:rsidR="0025624C" w:rsidRPr="00722885" w:rsidRDefault="002562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26 декабря 1942 года состоялся первый полет Kawasaki Ki-78 (20793).</w:t>
      </w:r>
    </w:p>
    <w:p w14:paraId="093A6DFC" w14:textId="77777777" w:rsidR="0025624C" w:rsidRPr="00722885" w:rsidRDefault="0025624C" w:rsidP="00722885">
      <w:pPr>
        <w:spacing w:after="0" w:line="240" w:lineRule="auto"/>
        <w:jc w:val="both"/>
        <w:rPr>
          <w:rFonts w:ascii="Times New Roman" w:hAnsi="Times New Roman"/>
          <w:color w:val="0070C0"/>
          <w:sz w:val="16"/>
          <w:szCs w:val="16"/>
        </w:rPr>
      </w:pPr>
    </w:p>
    <w:p w14:paraId="219A1D70" w14:textId="77777777" w:rsidR="0025624C" w:rsidRPr="00722885" w:rsidRDefault="002562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26 декабря 1942 года — первый полёт экспериментального скоростного самолёта Kawasaki Ki-78. /Япония/</w:t>
      </w:r>
    </w:p>
    <w:p w14:paraId="306810B4" w14:textId="77777777" w:rsidR="0025624C" w:rsidRPr="00722885" w:rsidRDefault="002562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1938 году авиационный исследовательский институт Университета Токио начал проект KEN III. Команда инженеров под руководством Шороку Вада (Shoroku Wada) разрабатывала самолёт, который смог бы побить мировой рекорд скорости. Строился самолёт компанией Kawasaki Kokuki Kogyo K.K., которая присвоила ему обозначение Ki-78.</w:t>
      </w:r>
    </w:p>
    <w:p w14:paraId="23559A04" w14:textId="77777777" w:rsidR="0025624C" w:rsidRPr="00722885" w:rsidRDefault="002562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У японских инженеров получился аэродинамически чистый низкоплан с убирающимся шасси. На Ki-78 был установлен немецкий двигатель Daimler-Benz DB 601A. Максимальная скорость, которой удалось достичь — 700 км/ч. Дальность полёта — 600 км.</w:t>
      </w:r>
    </w:p>
    <w:p w14:paraId="26025004" w14:textId="77777777" w:rsidR="0025624C" w:rsidRPr="00722885" w:rsidRDefault="0025624C"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 Ki-78 было выполнено 32 исследовательских полёта. Планируемой скорости 850 км/ч достичь не удалось. Также были выявлены недостатки конструкции и проблемы с управляемостью. В 1944 году проект закрыли. Единственный построенный Ki-78 был уничтожен американскими войсками после капитуляции Японии во Второй мировой войне (22300).</w:t>
      </w:r>
    </w:p>
    <w:p w14:paraId="41C464A6" w14:textId="77777777" w:rsidR="0025624C" w:rsidRPr="00722885" w:rsidRDefault="0025624C" w:rsidP="00722885">
      <w:pPr>
        <w:spacing w:after="0" w:line="240" w:lineRule="auto"/>
        <w:jc w:val="both"/>
        <w:rPr>
          <w:rFonts w:ascii="Times New Roman" w:hAnsi="Times New Roman"/>
          <w:color w:val="0070C0"/>
          <w:sz w:val="16"/>
          <w:szCs w:val="16"/>
        </w:rPr>
      </w:pPr>
    </w:p>
    <w:p w14:paraId="1D4DD413"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26 декабря 1942 в Алжире расстрелян Ф. Де ла Шапель, убийца французского адмирала Дарлана (4962).</w:t>
      </w:r>
    </w:p>
    <w:p w14:paraId="4DCD8FB4" w14:textId="77777777" w:rsidR="00BB6316" w:rsidRPr="00722885" w:rsidRDefault="00BB6316" w:rsidP="00722885">
      <w:pPr>
        <w:pStyle w:val="Iauiue"/>
        <w:tabs>
          <w:tab w:val="left" w:pos="11199"/>
        </w:tabs>
        <w:jc w:val="both"/>
        <w:rPr>
          <w:color w:val="000000" w:themeColor="text1"/>
          <w:sz w:val="16"/>
          <w:szCs w:val="16"/>
        </w:rPr>
      </w:pPr>
    </w:p>
    <w:p w14:paraId="620ECC13"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26 декабря</w:t>
      </w:r>
      <w:r w:rsidRPr="00722885">
        <w:rPr>
          <w:rFonts w:ascii="Times New Roman" w:hAnsi="Times New Roman"/>
          <w:color w:val="000000" w:themeColor="text1"/>
          <w:sz w:val="16"/>
          <w:szCs w:val="16"/>
        </w:rPr>
        <w:t xml:space="preserve"> в 1942 году Канарис и Лахузен проводят в Мадриде совещание с представителем испанского Генштаба, генералом Грандесом, по поводу вступления Испании в войну (14872).</w:t>
      </w:r>
    </w:p>
    <w:p w14:paraId="6CB7CD04"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624103AB"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26 декабря</w:t>
      </w:r>
      <w:r w:rsidRPr="00722885">
        <w:rPr>
          <w:rFonts w:ascii="Times New Roman" w:hAnsi="Times New Roman"/>
          <w:color w:val="000000" w:themeColor="text1"/>
          <w:sz w:val="16"/>
          <w:szCs w:val="16"/>
        </w:rPr>
        <w:t xml:space="preserve"> в 1942 году японские войска приостановили наступление на Гуадалканале (14872).</w:t>
      </w:r>
    </w:p>
    <w:p w14:paraId="7336A2A4"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120A608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3259A5F" w14:textId="77777777" w:rsidR="00BB6316" w:rsidRPr="00722885" w:rsidRDefault="00BB6316" w:rsidP="00722885">
      <w:pPr>
        <w:pStyle w:val="Iauiue"/>
        <w:jc w:val="both"/>
        <w:rPr>
          <w:iCs/>
          <w:color w:val="000000" w:themeColor="text1"/>
          <w:sz w:val="16"/>
          <w:szCs w:val="16"/>
        </w:rPr>
      </w:pPr>
    </w:p>
    <w:p w14:paraId="449FF00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27 декабря 1942 вышел приказ НКАП N 914c для обеспечения улучшения режима работы ВМГ самолетов Ил-2 АМ-38Ф:</w:t>
      </w:r>
    </w:p>
    <w:p w14:paraId="46C7006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С 1 февраля 1943 самолеты Ил-2 с АМ-38Ф выпускать с увеличенной площадью маслорадиатора по чертежам ГК завода 124 Воронина, согласованным с ГК Ил-2 С.В.И.</w:t>
      </w:r>
    </w:p>
    <w:p w14:paraId="5B671F1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Нач. 10 ГУ Тарасевичу:</w:t>
      </w:r>
    </w:p>
    <w:p w14:paraId="1E1FE37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обеспечить выпуск бронекорпусов на заводах 207 и 125 с измененным туннелем маслорадиатора по чертежам ГК С.В.И.</w:t>
      </w:r>
    </w:p>
    <w:p w14:paraId="4865EB4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установить график доработки бронекорпусов, находящихся на заводах 18, 1, 30, обеспечивающий бесперебойный выпуск самолетов Ил-2 АМ-38Ф с установкой нового маслорадиатора (1618,20).</w:t>
      </w:r>
    </w:p>
    <w:p w14:paraId="08FED7BC" w14:textId="77777777" w:rsidR="00BB6316" w:rsidRPr="00722885" w:rsidRDefault="00BB6316" w:rsidP="00722885">
      <w:pPr>
        <w:pStyle w:val="Iauiue"/>
        <w:jc w:val="both"/>
        <w:rPr>
          <w:color w:val="000000" w:themeColor="text1"/>
          <w:sz w:val="16"/>
          <w:szCs w:val="16"/>
        </w:rPr>
      </w:pPr>
    </w:p>
    <w:p w14:paraId="33A706D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декабря 1942 г. Начальник управления Военно-учебных заведений Глав</w:t>
      </w:r>
      <w:r w:rsidRPr="00722885">
        <w:rPr>
          <w:rFonts w:ascii="Times New Roman" w:hAnsi="Times New Roman"/>
          <w:color w:val="000000" w:themeColor="text1"/>
          <w:sz w:val="16"/>
          <w:szCs w:val="16"/>
        </w:rPr>
        <w:softHyphen/>
        <w:t>ного управления обучения, формирования и боевой подго</w:t>
      </w:r>
      <w:r w:rsidRPr="00722885">
        <w:rPr>
          <w:rFonts w:ascii="Times New Roman" w:hAnsi="Times New Roman"/>
          <w:color w:val="000000" w:themeColor="text1"/>
          <w:sz w:val="16"/>
          <w:szCs w:val="16"/>
        </w:rPr>
        <w:softHyphen/>
        <w:t>товки ВВС КА генерал-майор Иванов в докладе заместителю Главного инженера ВВС генералу Лапину отмечал, что учебный и боевой Ил-2 имеют существенные от</w:t>
      </w:r>
      <w:r w:rsidRPr="00722885">
        <w:rPr>
          <w:rFonts w:ascii="Times New Roman" w:hAnsi="Times New Roman"/>
          <w:color w:val="000000" w:themeColor="text1"/>
          <w:sz w:val="16"/>
          <w:szCs w:val="16"/>
        </w:rPr>
        <w:softHyphen/>
        <w:t>личия, «которые желательно устранить и сделать все одно</w:t>
      </w:r>
      <w:r w:rsidRPr="00722885">
        <w:rPr>
          <w:rFonts w:ascii="Times New Roman" w:hAnsi="Times New Roman"/>
          <w:color w:val="000000" w:themeColor="text1"/>
          <w:sz w:val="16"/>
          <w:szCs w:val="16"/>
        </w:rPr>
        <w:softHyphen/>
        <w:t>типным».</w:t>
      </w:r>
    </w:p>
    <w:p w14:paraId="29BE1A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частности, требовалось поставить бронестекло или заме</w:t>
      </w:r>
      <w:r w:rsidRPr="00722885">
        <w:rPr>
          <w:rFonts w:ascii="Times New Roman" w:hAnsi="Times New Roman"/>
          <w:color w:val="000000" w:themeColor="text1"/>
          <w:sz w:val="16"/>
          <w:szCs w:val="16"/>
        </w:rPr>
        <w:softHyphen/>
        <w:t>нить его стеклом, по своей прозрачности близким к броне</w:t>
      </w:r>
      <w:r w:rsidRPr="00722885">
        <w:rPr>
          <w:rFonts w:ascii="Times New Roman" w:hAnsi="Times New Roman"/>
          <w:color w:val="000000" w:themeColor="text1"/>
          <w:sz w:val="16"/>
          <w:szCs w:val="16"/>
        </w:rPr>
        <w:softHyphen/>
        <w:t>стеклу. Вооружение довести до уровня боевого варианта Ил-2. В кабине инструктора установить управление тормозами, пе</w:t>
      </w:r>
      <w:r w:rsidRPr="00722885">
        <w:rPr>
          <w:rFonts w:ascii="Times New Roman" w:hAnsi="Times New Roman"/>
          <w:color w:val="000000" w:themeColor="text1"/>
          <w:sz w:val="16"/>
          <w:szCs w:val="16"/>
        </w:rPr>
        <w:softHyphen/>
        <w:t>реключатель магнето и все пилотажные приборы.</w:t>
      </w:r>
    </w:p>
    <w:p w14:paraId="7D1638B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самое главное — предлагалось «поставить прибор, кон</w:t>
      </w:r>
      <w:r w:rsidRPr="00722885">
        <w:rPr>
          <w:rFonts w:ascii="Times New Roman" w:hAnsi="Times New Roman"/>
          <w:color w:val="000000" w:themeColor="text1"/>
          <w:sz w:val="16"/>
          <w:szCs w:val="16"/>
        </w:rPr>
        <w:softHyphen/>
        <w:t>тролирующий выпуск щитков, или же увеличить давление в воздушной магистрали». Дело в том, что молодые летчики, еще не имеющие достаточного опыта, зачастую выполняли плани</w:t>
      </w:r>
      <w:r w:rsidRPr="00722885">
        <w:rPr>
          <w:rFonts w:ascii="Times New Roman" w:hAnsi="Times New Roman"/>
          <w:color w:val="000000" w:themeColor="text1"/>
          <w:sz w:val="16"/>
          <w:szCs w:val="16"/>
        </w:rPr>
        <w:softHyphen/>
        <w:t>рование на посадке на повышенной скорости (более 220 км/ч), при которой щитки не выпускаются, хотя рукоятка крана щит</w:t>
      </w:r>
      <w:r w:rsidRPr="00722885">
        <w:rPr>
          <w:rFonts w:ascii="Times New Roman" w:hAnsi="Times New Roman"/>
          <w:color w:val="000000" w:themeColor="text1"/>
          <w:sz w:val="16"/>
          <w:szCs w:val="16"/>
        </w:rPr>
        <w:softHyphen/>
        <w:t>ков установлена в положение «опускание». В результате, когда летчик на выдерживании «выбирал угол» и скорость самолета уменьшалась, щитки выпускались. Поведение самолета резко менялось, что являлось для летчика полной неожиданностью и приводило к грубым ошибкам, сопровождавшимся поломками и авариями матчасти.</w:t>
      </w:r>
    </w:p>
    <w:p w14:paraId="588B421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сожалению, это требование не было реализовано до са</w:t>
      </w:r>
      <w:r w:rsidRPr="00722885">
        <w:rPr>
          <w:rFonts w:ascii="Times New Roman" w:hAnsi="Times New Roman"/>
          <w:color w:val="000000" w:themeColor="text1"/>
          <w:sz w:val="16"/>
          <w:szCs w:val="16"/>
        </w:rPr>
        <w:softHyphen/>
        <w:t>мого окончания войны. Более того, в боевых условиях, когда крыло Ил-2 получало значительные повреждения, щитки час</w:t>
      </w:r>
      <w:r w:rsidRPr="00722885">
        <w:rPr>
          <w:rFonts w:ascii="Times New Roman" w:hAnsi="Times New Roman"/>
          <w:color w:val="000000" w:themeColor="text1"/>
          <w:sz w:val="16"/>
          <w:szCs w:val="16"/>
        </w:rPr>
        <w:softHyphen/>
        <w:t>то выпускались неравномерно. Самолет буквально закручива</w:t>
      </w:r>
      <w:r w:rsidRPr="00722885">
        <w:rPr>
          <w:rFonts w:ascii="Times New Roman" w:hAnsi="Times New Roman"/>
          <w:color w:val="000000" w:themeColor="text1"/>
          <w:sz w:val="16"/>
          <w:szCs w:val="16"/>
        </w:rPr>
        <w:softHyphen/>
        <w:t>ло вокруг продольной оси. Он переворачивался через крыло и врезался в землю. По этой причине, выполняя посадку на по</w:t>
      </w:r>
      <w:r w:rsidRPr="00722885">
        <w:rPr>
          <w:rFonts w:ascii="Times New Roman" w:hAnsi="Times New Roman"/>
          <w:color w:val="000000" w:themeColor="text1"/>
          <w:sz w:val="16"/>
          <w:szCs w:val="16"/>
        </w:rPr>
        <w:softHyphen/>
        <w:t>врежденных штурмовиках, летчики старались не выпускать щитки (11474,288).</w:t>
      </w:r>
    </w:p>
    <w:p w14:paraId="717426D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0027A1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С 27 декабря 1942 по 23 января 1943 г. в 688-й </w:t>
      </w:r>
      <w:r w:rsidRPr="00722885">
        <w:rPr>
          <w:iCs/>
          <w:color w:val="000000" w:themeColor="text1"/>
          <w:sz w:val="16"/>
          <w:szCs w:val="16"/>
        </w:rPr>
        <w:t xml:space="preserve">шап </w:t>
      </w:r>
      <w:r w:rsidRPr="00722885">
        <w:rPr>
          <w:color w:val="000000" w:themeColor="text1"/>
          <w:sz w:val="16"/>
          <w:szCs w:val="16"/>
        </w:rPr>
        <w:t xml:space="preserve">228-й </w:t>
      </w:r>
      <w:r w:rsidRPr="00722885">
        <w:rPr>
          <w:iCs/>
          <w:color w:val="000000" w:themeColor="text1"/>
          <w:sz w:val="16"/>
          <w:szCs w:val="16"/>
        </w:rPr>
        <w:t>шад</w:t>
      </w:r>
      <w:r w:rsidRPr="00722885">
        <w:rPr>
          <w:color w:val="000000" w:themeColor="text1"/>
          <w:sz w:val="16"/>
          <w:szCs w:val="16"/>
        </w:rPr>
        <w:t xml:space="preserve"> 16-й ВА под Сталинградом штурмовики Ил-2 с пушками ШФК-37 в рамках войсковых испытаний принимали участие в боевых действи</w:t>
      </w:r>
      <w:r w:rsidRPr="00722885">
        <w:rPr>
          <w:color w:val="000000" w:themeColor="text1"/>
          <w:sz w:val="16"/>
          <w:szCs w:val="16"/>
        </w:rPr>
        <w:softHyphen/>
        <w:t>ях авиаполка при ликвидации немецкой окруженной группировки в полосе 65-й армии генерал-лейтенанта П.И.Батова. Боевые действия велись с полевых аэродромов сх. "Пролетарий", затем станицы Качалинская (6467).</w:t>
      </w:r>
    </w:p>
    <w:p w14:paraId="4A13A85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 все время войсковых испытаний на фронте под Сталинградом Ил-2 с ШФК-37 совершили 75 боевых самоле</w:t>
      </w:r>
      <w:r w:rsidRPr="00722885">
        <w:rPr>
          <w:color w:val="000000" w:themeColor="text1"/>
          <w:sz w:val="16"/>
          <w:szCs w:val="16"/>
        </w:rPr>
        <w:softHyphen/>
        <w:t>то-вылетов с общим налетом 68 часов 42 минуты, выполняя задания совмест</w:t>
      </w:r>
      <w:r w:rsidRPr="00722885">
        <w:rPr>
          <w:color w:val="000000" w:themeColor="text1"/>
          <w:sz w:val="16"/>
          <w:szCs w:val="16"/>
        </w:rPr>
        <w:softHyphen/>
        <w:t>но с "Илами", вооруженными пушками ВЯ и ШВАК. Боевые вылеты выполня</w:t>
      </w:r>
      <w:r w:rsidRPr="00722885">
        <w:rPr>
          <w:color w:val="000000" w:themeColor="text1"/>
          <w:sz w:val="16"/>
          <w:szCs w:val="16"/>
        </w:rPr>
        <w:softHyphen/>
        <w:t>лись как без сопровождения, так и в со</w:t>
      </w:r>
      <w:r w:rsidRPr="00722885">
        <w:rPr>
          <w:color w:val="000000" w:themeColor="text1"/>
          <w:sz w:val="16"/>
          <w:szCs w:val="16"/>
        </w:rPr>
        <w:softHyphen/>
        <w:t>провождении истребителей. Один Ил-2 с ШФК-37 был сбит над целью, второй</w:t>
      </w:r>
    </w:p>
    <w:p w14:paraId="6F2DEA7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подбит (сел на вынужденную на ли</w:t>
      </w:r>
      <w:r w:rsidRPr="00722885">
        <w:rPr>
          <w:color w:val="000000" w:themeColor="text1"/>
          <w:sz w:val="16"/>
          <w:szCs w:val="16"/>
        </w:rPr>
        <w:softHyphen/>
        <w:t>нии фронта на нейтральной полосе и ввиду невозможности эвакуации был уничтожен бомбами). Остальные маши</w:t>
      </w:r>
      <w:r w:rsidRPr="00722885">
        <w:rPr>
          <w:color w:val="000000" w:themeColor="text1"/>
          <w:sz w:val="16"/>
          <w:szCs w:val="16"/>
        </w:rPr>
        <w:softHyphen/>
        <w:t>ны получили повреждения. От начала и до конца войсковых испытаний прошли только два "Ила", которые выполнили 44 боевых вылета.</w:t>
      </w:r>
    </w:p>
    <w:p w14:paraId="4F88E7C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Штурмовики действовали главным образом по самолетам на аэродромах и автотранспорту противника. В отдель</w:t>
      </w:r>
      <w:r w:rsidRPr="00722885">
        <w:rPr>
          <w:color w:val="000000" w:themeColor="text1"/>
          <w:sz w:val="16"/>
          <w:szCs w:val="16"/>
        </w:rPr>
        <w:softHyphen/>
        <w:t>ных случаях - по огневым точкам на поле боя, ДЗОТам, бронемашинам и танкам. Общий расход боеприпасов составил: к пушкам ШФК-37 - 2255 снарядов, к пу</w:t>
      </w:r>
      <w:r w:rsidRPr="00722885">
        <w:rPr>
          <w:color w:val="000000" w:themeColor="text1"/>
          <w:sz w:val="16"/>
          <w:szCs w:val="16"/>
        </w:rPr>
        <w:softHyphen/>
        <w:t>леметам ШКАС - 26840 патронов, PC-82</w:t>
      </w:r>
    </w:p>
    <w:p w14:paraId="523032E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- 523, фугасных авиабомб типа ФАБ-100</w:t>
      </w:r>
    </w:p>
    <w:p w14:paraId="1E1CB21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-107, осколочных авиабомб типа АО-25 - 87.</w:t>
      </w:r>
    </w:p>
    <w:p w14:paraId="4DE7DED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Атаки наземных целей производились с планирования под углами 25-30° с высот 1300-1000м. По донесениям лет</w:t>
      </w:r>
      <w:r w:rsidRPr="00722885">
        <w:rPr>
          <w:color w:val="000000" w:themeColor="text1"/>
          <w:sz w:val="16"/>
          <w:szCs w:val="16"/>
        </w:rPr>
        <w:softHyphen/>
        <w:t>чиков огнем пушек ШФК-37 было унич</w:t>
      </w:r>
      <w:r w:rsidRPr="00722885">
        <w:rPr>
          <w:color w:val="000000" w:themeColor="text1"/>
          <w:sz w:val="16"/>
          <w:szCs w:val="16"/>
        </w:rPr>
        <w:softHyphen/>
        <w:t>тожено 2 танка, 4 самолета на аэродро</w:t>
      </w:r>
      <w:r w:rsidRPr="00722885">
        <w:rPr>
          <w:color w:val="000000" w:themeColor="text1"/>
          <w:sz w:val="16"/>
          <w:szCs w:val="16"/>
        </w:rPr>
        <w:softHyphen/>
        <w:t>мах, около 50 автомашин, один склад с боеприпасами и 2 зенитные батареи. Кроме того, летчиками наблюдались по</w:t>
      </w:r>
      <w:r w:rsidRPr="00722885">
        <w:rPr>
          <w:color w:val="000000" w:themeColor="text1"/>
          <w:sz w:val="16"/>
          <w:szCs w:val="16"/>
        </w:rPr>
        <w:softHyphen/>
        <w:t>падания в 3 танка, 4 самолета, 14 авто</w:t>
      </w:r>
      <w:r w:rsidRPr="00722885">
        <w:rPr>
          <w:color w:val="000000" w:themeColor="text1"/>
          <w:sz w:val="16"/>
          <w:szCs w:val="16"/>
        </w:rPr>
        <w:softHyphen/>
        <w:t>машин и 1 бронемашину, но достовер</w:t>
      </w:r>
      <w:r w:rsidRPr="00722885">
        <w:rPr>
          <w:color w:val="000000" w:themeColor="text1"/>
          <w:sz w:val="16"/>
          <w:szCs w:val="16"/>
        </w:rPr>
        <w:softHyphen/>
        <w:t>ность поражения целей подтвердить не могли.</w:t>
      </w:r>
    </w:p>
    <w:p w14:paraId="535D8FF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Средний расход боекомплекта к пуш</w:t>
      </w:r>
      <w:r w:rsidRPr="00722885">
        <w:rPr>
          <w:color w:val="000000" w:themeColor="text1"/>
          <w:sz w:val="16"/>
          <w:szCs w:val="16"/>
        </w:rPr>
        <w:softHyphen/>
        <w:t>кам ШФК-37 за один самолето-вылет составил 37,6%. Это, с одной стороны, говорит о том, что целей, достойных для пушек ШФК-37, в боевых вылетах было мало, а с другой стороны, указывает на недостаточную эффективность стрель</w:t>
      </w:r>
      <w:r w:rsidRPr="00722885">
        <w:rPr>
          <w:color w:val="000000" w:themeColor="text1"/>
          <w:sz w:val="16"/>
          <w:szCs w:val="16"/>
        </w:rPr>
        <w:softHyphen/>
        <w:t>бы с самолета Ил-2 из такой пушки по малоразмерным целям.</w:t>
      </w:r>
    </w:p>
    <w:p w14:paraId="4768BBB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 время войсковых испытаний отме</w:t>
      </w:r>
      <w:r w:rsidRPr="00722885">
        <w:rPr>
          <w:color w:val="000000" w:themeColor="text1"/>
          <w:sz w:val="16"/>
          <w:szCs w:val="16"/>
        </w:rPr>
        <w:softHyphen/>
        <w:t>чалось несколько случаев применения ШФК-37 по воздушным целям, но все они были неудачными.</w:t>
      </w:r>
    </w:p>
    <w:p w14:paraId="17F726A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течение всего времени испытаний пушки ШФК-37 работали ненадежно -средний процент настрела боекомплекта, приходящийся на один отказ, составил всего 54%. То есть почти каждый вто</w:t>
      </w:r>
      <w:r w:rsidRPr="00722885">
        <w:rPr>
          <w:color w:val="000000" w:themeColor="text1"/>
          <w:sz w:val="16"/>
          <w:szCs w:val="16"/>
        </w:rPr>
        <w:softHyphen/>
        <w:t>рой вылет на боевое задание Ил-2 с пушками ШФК-37 сопровождался отказом хотя бы одной из пушек. Ведение же прицельной стрельбы из одной пуш</w:t>
      </w:r>
      <w:r w:rsidRPr="00722885">
        <w:rPr>
          <w:color w:val="000000" w:themeColor="text1"/>
          <w:sz w:val="16"/>
          <w:szCs w:val="16"/>
        </w:rPr>
        <w:softHyphen/>
        <w:t>ки было практически невозможным. Кро</w:t>
      </w:r>
      <w:r w:rsidRPr="00722885">
        <w:rPr>
          <w:color w:val="000000" w:themeColor="text1"/>
          <w:sz w:val="16"/>
          <w:szCs w:val="16"/>
        </w:rPr>
        <w:softHyphen/>
        <w:t>ме того, малый запас продольной устой</w:t>
      </w:r>
      <w:r w:rsidRPr="00722885">
        <w:rPr>
          <w:color w:val="000000" w:themeColor="text1"/>
          <w:sz w:val="16"/>
          <w:szCs w:val="16"/>
        </w:rPr>
        <w:softHyphen/>
        <w:t>чивости и усложнение техники пилоти</w:t>
      </w:r>
      <w:r w:rsidRPr="00722885">
        <w:rPr>
          <w:color w:val="000000" w:themeColor="text1"/>
          <w:sz w:val="16"/>
          <w:szCs w:val="16"/>
        </w:rPr>
        <w:softHyphen/>
        <w:t>рования самолета Ил-2 с пушками ШФК-37 в сочетании с недостаточной жесткостью крыльевых пушечных уста</w:t>
      </w:r>
      <w:r w:rsidRPr="00722885">
        <w:rPr>
          <w:color w:val="000000" w:themeColor="text1"/>
          <w:sz w:val="16"/>
          <w:szCs w:val="16"/>
        </w:rPr>
        <w:softHyphen/>
        <w:t>новок и сильной отдачей самих пушек при стрельбе приводили к тому, что стро</w:t>
      </w:r>
      <w:r w:rsidRPr="00722885">
        <w:rPr>
          <w:color w:val="000000" w:themeColor="text1"/>
          <w:sz w:val="16"/>
          <w:szCs w:val="16"/>
        </w:rPr>
        <w:softHyphen/>
        <w:t>евые летчики в одной прицельной оче</w:t>
      </w:r>
      <w:r w:rsidRPr="00722885">
        <w:rPr>
          <w:color w:val="000000" w:themeColor="text1"/>
          <w:sz w:val="16"/>
          <w:szCs w:val="16"/>
        </w:rPr>
        <w:softHyphen/>
        <w:t>реди могли использовать не более 2-3-х снарядов. Максимальная же бомбовая нагрузка штурмовика составляла всего 200 кг. Все это существенно снижало боевую ценность нового штурмовика.</w:t>
      </w:r>
    </w:p>
    <w:p w14:paraId="7F931BE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Оценки показывают, что в реальных условиях боев летчик с хорошей лет</w:t>
      </w:r>
      <w:r w:rsidRPr="00722885">
        <w:rPr>
          <w:color w:val="000000" w:themeColor="text1"/>
          <w:sz w:val="16"/>
          <w:szCs w:val="16"/>
        </w:rPr>
        <w:softHyphen/>
        <w:t>ной и стрелковой подготовкой на Ил-2 с ШФК-37 мог обеспечить вероятность поражения немецкого среднего танка типа Pz.111 G в одном заходе (атака сбо</w:t>
      </w:r>
      <w:r w:rsidRPr="00722885">
        <w:rPr>
          <w:color w:val="000000" w:themeColor="text1"/>
          <w:sz w:val="16"/>
          <w:szCs w:val="16"/>
        </w:rPr>
        <w:softHyphen/>
        <w:t>ку, угол планирования 25-30°, дистанция открытия огня 300-400 м) порядка 0,04-0,02, а бронетранспортера типа Sd Kfz 250 - около 0,09-0,06. То есть для га</w:t>
      </w:r>
      <w:r w:rsidRPr="00722885">
        <w:rPr>
          <w:color w:val="000000" w:themeColor="text1"/>
          <w:sz w:val="16"/>
          <w:szCs w:val="16"/>
        </w:rPr>
        <w:softHyphen/>
        <w:t>рантированного уничтожения на поле боя одной единицы бронетехники вер</w:t>
      </w:r>
      <w:r w:rsidRPr="00722885">
        <w:rPr>
          <w:color w:val="000000" w:themeColor="text1"/>
          <w:sz w:val="16"/>
          <w:szCs w:val="16"/>
        </w:rPr>
        <w:softHyphen/>
        <w:t>махта необходимо было выделять, как минимум, два десятка бронированных "Илов".</w:t>
      </w:r>
    </w:p>
    <w:p w14:paraId="49A2461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результате установка пушек ШФК-37 на самолет Ил-2 у большинства стро</w:t>
      </w:r>
      <w:r w:rsidRPr="00722885">
        <w:rPr>
          <w:color w:val="000000" w:themeColor="text1"/>
          <w:sz w:val="16"/>
          <w:szCs w:val="16"/>
        </w:rPr>
        <w:softHyphen/>
        <w:t>евых летчиков поддержки не нашла.</w:t>
      </w:r>
    </w:p>
    <w:p w14:paraId="7167737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заключение "Доклада о войсковых испытаниях на боевое применение самоле</w:t>
      </w:r>
      <w:r w:rsidRPr="00722885">
        <w:rPr>
          <w:color w:val="000000" w:themeColor="text1"/>
          <w:sz w:val="16"/>
          <w:szCs w:val="16"/>
        </w:rPr>
        <w:softHyphen/>
        <w:t>тов Ил-2 АМ-38, вооруженных 37-мм пуш</w:t>
      </w:r>
      <w:r w:rsidRPr="00722885">
        <w:rPr>
          <w:color w:val="000000" w:themeColor="text1"/>
          <w:sz w:val="16"/>
          <w:szCs w:val="16"/>
        </w:rPr>
        <w:softHyphen/>
        <w:t>ками конструкции ОКБ-15" (отв. испол</w:t>
      </w:r>
      <w:r w:rsidRPr="00722885">
        <w:rPr>
          <w:color w:val="000000" w:themeColor="text1"/>
          <w:sz w:val="16"/>
          <w:szCs w:val="16"/>
        </w:rPr>
        <w:softHyphen/>
        <w:t xml:space="preserve">нители - Белякин, Никитин, Лорченко), указывалось, что: </w:t>
      </w:r>
      <w:r w:rsidRPr="00722885">
        <w:rPr>
          <w:iCs/>
          <w:color w:val="000000" w:themeColor="text1"/>
          <w:sz w:val="16"/>
          <w:szCs w:val="16"/>
        </w:rPr>
        <w:t>"1. Самолеты Ил-2 с пушкой ШФК-37, испытание на боевое применение не дали должной эффек</w:t>
      </w:r>
      <w:r w:rsidRPr="00722885">
        <w:rPr>
          <w:iCs/>
          <w:color w:val="000000" w:themeColor="text1"/>
          <w:sz w:val="16"/>
          <w:szCs w:val="16"/>
        </w:rPr>
        <w:softHyphen/>
        <w:t>тивности в связи с недоработкой пушек, невозможностью ведения прицельного огня по точечным целям, большим рас</w:t>
      </w:r>
      <w:r w:rsidRPr="00722885">
        <w:rPr>
          <w:iCs/>
          <w:color w:val="000000" w:themeColor="text1"/>
          <w:sz w:val="16"/>
          <w:szCs w:val="16"/>
        </w:rPr>
        <w:softHyphen/>
        <w:t>сеиванием снарядов и ухудшением ма</w:t>
      </w:r>
      <w:r w:rsidRPr="00722885">
        <w:rPr>
          <w:iCs/>
          <w:color w:val="000000" w:themeColor="text1"/>
          <w:sz w:val="16"/>
          <w:szCs w:val="16"/>
        </w:rPr>
        <w:softHyphen/>
        <w:t>невренности самолета. 2. Считать не</w:t>
      </w:r>
      <w:r w:rsidRPr="00722885">
        <w:rPr>
          <w:iCs/>
          <w:color w:val="000000" w:themeColor="text1"/>
          <w:sz w:val="16"/>
          <w:szCs w:val="16"/>
        </w:rPr>
        <w:softHyphen/>
        <w:t>обходимым иметь на вооружении ВВС КА самолеты Ил-2 с пушками 37 мм, обеспечивающими безотказную работу пушечных установок и ведение прицель</w:t>
      </w:r>
      <w:r w:rsidRPr="00722885">
        <w:rPr>
          <w:iCs/>
          <w:color w:val="000000" w:themeColor="text1"/>
          <w:sz w:val="16"/>
          <w:szCs w:val="16"/>
        </w:rPr>
        <w:softHyphen/>
        <w:t>ного огня, не допуская ухудшения лет</w:t>
      </w:r>
      <w:r w:rsidRPr="00722885">
        <w:rPr>
          <w:iCs/>
          <w:color w:val="000000" w:themeColor="text1"/>
          <w:sz w:val="16"/>
          <w:szCs w:val="16"/>
        </w:rPr>
        <w:softHyphen/>
        <w:t>ных качеств серийного самолета Ил-2... "</w:t>
      </w:r>
    </w:p>
    <w:p w14:paraId="28C55BE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От 688-го </w:t>
      </w:r>
      <w:r w:rsidRPr="00722885">
        <w:rPr>
          <w:iCs/>
          <w:color w:val="000000" w:themeColor="text1"/>
          <w:sz w:val="16"/>
          <w:szCs w:val="16"/>
        </w:rPr>
        <w:t>шап</w:t>
      </w:r>
      <w:r w:rsidRPr="00722885">
        <w:rPr>
          <w:color w:val="000000" w:themeColor="text1"/>
          <w:sz w:val="16"/>
          <w:szCs w:val="16"/>
        </w:rPr>
        <w:t xml:space="preserve"> доклад подписали: л-т Воловиков, ст.сержант Юсов, ст.сержант Дунов, сержант Сахариленко, ст.сержант Зыков, старшина Игнатьев. Утвердил доклад Главный инженер ВВС КА гене</w:t>
      </w:r>
      <w:r w:rsidRPr="00722885">
        <w:rPr>
          <w:color w:val="000000" w:themeColor="text1"/>
          <w:sz w:val="16"/>
          <w:szCs w:val="16"/>
        </w:rPr>
        <w:softHyphen/>
        <w:t>рал А.И.Репин 3 марта 1943 г.</w:t>
      </w:r>
    </w:p>
    <w:p w14:paraId="36642F7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lastRenderedPageBreak/>
        <w:t>В итоге Ил-2 с ШФК-37 в крупномас</w:t>
      </w:r>
      <w:r w:rsidRPr="00722885">
        <w:rPr>
          <w:color w:val="000000" w:themeColor="text1"/>
          <w:sz w:val="16"/>
          <w:szCs w:val="16"/>
        </w:rPr>
        <w:softHyphen/>
        <w:t>штабное серийное производство запу</w:t>
      </w:r>
      <w:r w:rsidRPr="00722885">
        <w:rPr>
          <w:color w:val="000000" w:themeColor="text1"/>
          <w:sz w:val="16"/>
          <w:szCs w:val="16"/>
        </w:rPr>
        <w:softHyphen/>
        <w:t>щен не был (6467).</w:t>
      </w:r>
    </w:p>
    <w:p w14:paraId="3C7EEEE8" w14:textId="77777777" w:rsidR="00BB6316" w:rsidRPr="00722885" w:rsidRDefault="00BB6316" w:rsidP="00722885">
      <w:pPr>
        <w:pStyle w:val="Iauiue"/>
        <w:jc w:val="both"/>
        <w:rPr>
          <w:color w:val="000000" w:themeColor="text1"/>
          <w:sz w:val="16"/>
          <w:szCs w:val="16"/>
        </w:rPr>
      </w:pPr>
    </w:p>
    <w:p w14:paraId="6CA016F7"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27 декабря 1942 стало вторым боевым днем противотанковых самолетов Ил-2 с пушками Ш-37 в ходе войсковых испытаний.</w:t>
      </w:r>
    </w:p>
    <w:p w14:paraId="549DF605"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722885">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4AF3F40F"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Первой под прикрытием 2 Як-1 от 220-й иад ра</w:t>
      </w:r>
      <w:r w:rsidRPr="00722885">
        <w:rPr>
          <w:color w:val="000000" w:themeColor="text1"/>
          <w:sz w:val="16"/>
          <w:szCs w:val="16"/>
        </w:rPr>
        <w:softHyphen/>
        <w:t>ботала пятерка капитана Гребенькова. Удар нано</w:t>
      </w:r>
      <w:r w:rsidRPr="00722885">
        <w:rPr>
          <w:color w:val="000000" w:themeColor="text1"/>
          <w:sz w:val="16"/>
          <w:szCs w:val="16"/>
        </w:rPr>
        <w:softHyphen/>
        <w:t>сился в период 12.13—12.18 по аэродрому Питом</w:t>
      </w:r>
      <w:r w:rsidRPr="00722885">
        <w:rPr>
          <w:color w:val="000000" w:themeColor="text1"/>
          <w:sz w:val="16"/>
          <w:szCs w:val="16"/>
        </w:rPr>
        <w:softHyphen/>
        <w:t xml:space="preserve">ник, на котором к этому времени находилось до 15 самолетов </w:t>
      </w:r>
      <w:r w:rsidRPr="00722885">
        <w:rPr>
          <w:color w:val="000000" w:themeColor="text1"/>
          <w:sz w:val="16"/>
          <w:szCs w:val="16"/>
          <w:lang w:val="en-US"/>
        </w:rPr>
        <w:t>Ju</w:t>
      </w:r>
      <w:r w:rsidRPr="00722885">
        <w:rPr>
          <w:color w:val="000000" w:themeColor="text1"/>
          <w:sz w:val="16"/>
          <w:szCs w:val="16"/>
        </w:rPr>
        <w:t>52. По докладам экипажей и ведуще</w:t>
      </w:r>
      <w:r w:rsidRPr="00722885">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722885">
        <w:rPr>
          <w:color w:val="000000" w:themeColor="text1"/>
          <w:sz w:val="16"/>
          <w:szCs w:val="16"/>
        </w:rPr>
        <w:softHyphen/>
        <w:t>нем из пушек Ш-37 с дистанции 500—600 м зажег один «Юнкерс».</w:t>
      </w:r>
    </w:p>
    <w:p w14:paraId="0BE6BFEA"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722885">
        <w:rPr>
          <w:color w:val="000000" w:themeColor="text1"/>
          <w:sz w:val="16"/>
          <w:szCs w:val="16"/>
        </w:rPr>
        <w:softHyphen/>
        <w:t>ты кок винта и правая плоскость крыла.</w:t>
      </w:r>
    </w:p>
    <w:p w14:paraId="2E5D2D08"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Вторая группа (ведущий лейтенант Михайлен- ков) — под прикрытием 6 Як-1 от 220-й иад в пе</w:t>
      </w:r>
      <w:r w:rsidRPr="00722885">
        <w:rPr>
          <w:color w:val="000000" w:themeColor="text1"/>
          <w:sz w:val="16"/>
          <w:szCs w:val="16"/>
        </w:rPr>
        <w:softHyphen/>
        <w:t xml:space="preserve">риод 13.22—13.27 атаковала до 10—15 самолетов </w:t>
      </w:r>
      <w:r w:rsidRPr="00722885">
        <w:rPr>
          <w:color w:val="000000" w:themeColor="text1"/>
          <w:sz w:val="16"/>
          <w:szCs w:val="16"/>
          <w:lang w:val="en-US"/>
        </w:rPr>
        <w:t>Ju</w:t>
      </w:r>
      <w:r w:rsidRPr="00722885">
        <w:rPr>
          <w:color w:val="000000" w:themeColor="text1"/>
          <w:sz w:val="16"/>
          <w:szCs w:val="16"/>
        </w:rPr>
        <w:t>52 на аэродроме Большая Россошка. Потери про</w:t>
      </w:r>
      <w:r w:rsidRPr="00722885">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722885">
        <w:rPr>
          <w:color w:val="000000" w:themeColor="text1"/>
          <w:sz w:val="16"/>
          <w:szCs w:val="16"/>
        </w:rPr>
        <w:softHyphen/>
        <w:t>телей противника летчики не наблюдали. Свои по</w:t>
      </w:r>
      <w:r w:rsidRPr="00722885">
        <w:rPr>
          <w:color w:val="000000" w:themeColor="text1"/>
          <w:sz w:val="16"/>
          <w:szCs w:val="16"/>
        </w:rPr>
        <w:softHyphen/>
        <w:t>тери составили 1 Ил-2 (зав. № 0915), который был подбит над целью огнем «эрликонов» и предполо</w:t>
      </w:r>
      <w:r w:rsidRPr="00722885">
        <w:rPr>
          <w:color w:val="000000" w:themeColor="text1"/>
          <w:sz w:val="16"/>
          <w:szCs w:val="16"/>
        </w:rPr>
        <w:softHyphen/>
        <w:t>жительно сел на территории противника при отхо</w:t>
      </w:r>
      <w:r w:rsidRPr="00722885">
        <w:rPr>
          <w:color w:val="000000" w:themeColor="text1"/>
          <w:sz w:val="16"/>
          <w:szCs w:val="16"/>
        </w:rPr>
        <w:softHyphen/>
        <w:t>де от цели. Сержант Меркушев с боевого задания не вернулся, пропал без вести.</w:t>
      </w:r>
    </w:p>
    <w:p w14:paraId="47954826"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722885">
        <w:rPr>
          <w:color w:val="000000" w:themeColor="text1"/>
          <w:sz w:val="16"/>
          <w:szCs w:val="16"/>
        </w:rPr>
        <w:softHyphen/>
        <w:t>дов. Маневренность самолетов при такой нагруз</w:t>
      </w:r>
      <w:r w:rsidRPr="00722885">
        <w:rPr>
          <w:color w:val="000000" w:themeColor="text1"/>
          <w:sz w:val="16"/>
          <w:szCs w:val="16"/>
        </w:rPr>
        <w:softHyphen/>
        <w:t>ке практически ничем не отличалась от серийных Ил-2 с пушками ВЯ и ШВАК.</w:t>
      </w:r>
    </w:p>
    <w:p w14:paraId="44FDB524"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«большими» пушками шли на задание в одном боевом строю с серийными штур</w:t>
      </w:r>
      <w:r w:rsidRPr="00722885">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541B1007"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докладам вылетавших на Ил-2 с Ш-37 лет</w:t>
      </w:r>
      <w:r w:rsidRPr="00722885">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2D42B03D"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722885">
        <w:rPr>
          <w:color w:val="000000" w:themeColor="text1"/>
          <w:sz w:val="16"/>
          <w:szCs w:val="16"/>
        </w:rPr>
        <w:softHyphen/>
        <w:t>ры наносились в период 12.42—13.00 двумя груп</w:t>
      </w:r>
      <w:r w:rsidRPr="00722885">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722885">
        <w:rPr>
          <w:color w:val="000000" w:themeColor="text1"/>
          <w:sz w:val="16"/>
          <w:szCs w:val="16"/>
        </w:rPr>
        <w:softHyphen/>
        <w:t>нили 3 захода на цели из боевого порядка круг. Ис</w:t>
      </w:r>
      <w:r w:rsidRPr="00722885">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726FE9E0"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4A6C2EC9"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посадки сержант Зыков доложил, что «ма</w:t>
      </w:r>
      <w:r w:rsidRPr="00722885">
        <w:rPr>
          <w:color w:val="000000" w:themeColor="text1"/>
          <w:sz w:val="16"/>
          <w:szCs w:val="16"/>
        </w:rPr>
        <w:softHyphen/>
        <w:t>неврирует самолет хорошо, при ведении огня пе</w:t>
      </w:r>
      <w:r w:rsidRPr="00722885">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722885">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722885">
        <w:rPr>
          <w:color w:val="000000" w:themeColor="text1"/>
          <w:sz w:val="16"/>
          <w:szCs w:val="16"/>
        </w:rPr>
        <w:softHyphen/>
        <w:t>денция самолета к развороту легко парируется ру</w:t>
      </w:r>
      <w:r w:rsidRPr="00722885">
        <w:rPr>
          <w:color w:val="000000" w:themeColor="text1"/>
          <w:sz w:val="16"/>
          <w:szCs w:val="16"/>
        </w:rPr>
        <w:softHyphen/>
        <w:t>лями». Эффективность стрельбы пушек по танкам и живой силе хорошая.</w:t>
      </w:r>
    </w:p>
    <w:p w14:paraId="334BAAF7"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самолетах Игнатьева и Дунова пушки рабо</w:t>
      </w:r>
      <w:r w:rsidRPr="00722885">
        <w:rPr>
          <w:color w:val="000000" w:themeColor="text1"/>
          <w:sz w:val="16"/>
          <w:szCs w:val="16"/>
        </w:rPr>
        <w:softHyphen/>
        <w:t>тали отлично. Летчикам удалось расстрелять весь боекомплект к ним.</w:t>
      </w:r>
    </w:p>
    <w:p w14:paraId="78EA8651"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Отметим, что на Ил-2 Игнатьева, помимо ракет</w:t>
      </w:r>
      <w:r w:rsidRPr="00722885">
        <w:rPr>
          <w:color w:val="000000" w:themeColor="text1"/>
          <w:sz w:val="16"/>
          <w:szCs w:val="16"/>
        </w:rPr>
        <w:softHyphen/>
        <w:t>ных снарядов и полного боекомплекта к пушкам и пулеметам, были подвешены 2 фугасные авиабом</w:t>
      </w:r>
      <w:r w:rsidRPr="00722885">
        <w:rPr>
          <w:color w:val="000000" w:themeColor="text1"/>
          <w:sz w:val="16"/>
          <w:szCs w:val="16"/>
        </w:rPr>
        <w:softHyphen/>
        <w:t>бы ФАБ-100. При этом самолет хорошо маневриро</w:t>
      </w:r>
      <w:r w:rsidRPr="00722885">
        <w:rPr>
          <w:color w:val="000000" w:themeColor="text1"/>
          <w:sz w:val="16"/>
          <w:szCs w:val="16"/>
        </w:rPr>
        <w:softHyphen/>
        <w:t>вал и управлялся при всех условиях боя.</w:t>
      </w:r>
    </w:p>
    <w:p w14:paraId="582FC14B"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 целям противника (ско</w:t>
      </w:r>
      <w:r w:rsidRPr="00722885">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722885">
        <w:rPr>
          <w:color w:val="000000" w:themeColor="text1"/>
          <w:sz w:val="16"/>
          <w:szCs w:val="16"/>
        </w:rPr>
        <w:softHyphen/>
        <w:t>та Кадомцева работала в районе балки Взрубная в период 14.10—14.20 под прикрытием 6 Як-1, а пя</w:t>
      </w:r>
      <w:r w:rsidRPr="00722885">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3B173B6E"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отходе от цели в районе Дмитриевка имел место воздушный бой с немецкими истребителя</w:t>
      </w:r>
      <w:r w:rsidRPr="00722885">
        <w:rPr>
          <w:color w:val="000000" w:themeColor="text1"/>
          <w:sz w:val="16"/>
          <w:szCs w:val="16"/>
        </w:rPr>
        <w:softHyphen/>
        <w:t xml:space="preserve">ми. Пара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G</w:t>
      </w:r>
      <w:r w:rsidRPr="00722885">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722885">
        <w:rPr>
          <w:color w:val="000000" w:themeColor="text1"/>
          <w:sz w:val="16"/>
          <w:szCs w:val="16"/>
        </w:rPr>
        <w:softHyphen/>
        <w:t>временно заметил противника. После этого в воз</w:t>
      </w:r>
      <w:r w:rsidRPr="00722885">
        <w:rPr>
          <w:color w:val="000000" w:themeColor="text1"/>
          <w:sz w:val="16"/>
          <w:szCs w:val="16"/>
        </w:rPr>
        <w:softHyphen/>
        <w:t>душный бой вступили истребители прикрытия, а штурмовики встали в оборонительный круг. По</w:t>
      </w:r>
      <w:r w:rsidRPr="00722885">
        <w:rPr>
          <w:color w:val="000000" w:themeColor="text1"/>
          <w:sz w:val="16"/>
          <w:szCs w:val="16"/>
        </w:rPr>
        <w:softHyphen/>
        <w:t>сле ухода немецких истребителей Ил-2 перестрои</w:t>
      </w:r>
      <w:r w:rsidRPr="00722885">
        <w:rPr>
          <w:color w:val="000000" w:themeColor="text1"/>
          <w:sz w:val="16"/>
          <w:szCs w:val="16"/>
        </w:rPr>
        <w:softHyphen/>
        <w:t>лись в пеленг и встали на обратный маршрут.</w:t>
      </w:r>
    </w:p>
    <w:p w14:paraId="054FB4FE"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До генерального наступления под Сталингра</w:t>
      </w:r>
      <w:r w:rsidRPr="00722885">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722885">
        <w:rPr>
          <w:color w:val="000000" w:themeColor="text1"/>
          <w:sz w:val="16"/>
          <w:szCs w:val="16"/>
        </w:rPr>
        <w:softHyphen/>
        <w:t>товым по данным разведки 228-й шад к вылету на боевое задание 2—4 экипажами.</w:t>
      </w:r>
    </w:p>
    <w:p w14:paraId="5DDF396E"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722885">
        <w:rPr>
          <w:color w:val="000000" w:themeColor="text1"/>
          <w:sz w:val="16"/>
          <w:szCs w:val="16"/>
        </w:rPr>
        <w:softHyphen/>
        <w:t>ронительной полосы, а также по аэродромам и по</w:t>
      </w:r>
      <w:r w:rsidRPr="00722885">
        <w:rPr>
          <w:color w:val="000000" w:themeColor="text1"/>
          <w:sz w:val="16"/>
          <w:szCs w:val="16"/>
        </w:rPr>
        <w:softHyphen/>
        <w:t>садочным площадкам.</w:t>
      </w:r>
    </w:p>
    <w:p w14:paraId="57AB23E6"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37-мм пушками принимали участие в боевой работе полка до полной ликви</w:t>
      </w:r>
      <w:r w:rsidRPr="00722885">
        <w:rPr>
          <w:color w:val="000000" w:themeColor="text1"/>
          <w:sz w:val="16"/>
          <w:szCs w:val="16"/>
        </w:rPr>
        <w:softHyphen/>
        <w:t>дации группировки немецких войск под Сталингра</w:t>
      </w:r>
      <w:r w:rsidRPr="00722885">
        <w:rPr>
          <w:color w:val="000000" w:themeColor="text1"/>
          <w:sz w:val="16"/>
          <w:szCs w:val="16"/>
        </w:rPr>
        <w:softHyphen/>
        <w:t>дом. Как и прежде, противотанковые Ил-2 ходили на задания в группах вместе с серийными самоле</w:t>
      </w:r>
      <w:r w:rsidRPr="00722885">
        <w:rPr>
          <w:color w:val="000000" w:themeColor="text1"/>
          <w:sz w:val="16"/>
          <w:szCs w:val="16"/>
        </w:rPr>
        <w:softHyphen/>
        <w:t>тами. Группы состояли из 2—6 самолетов, в кото</w:t>
      </w:r>
      <w:r w:rsidRPr="00722885">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5B8D20D2"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5030F234"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722885">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00C88D89"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10 января в ходе боевого вылета 6 Ил-2 (веду</w:t>
      </w:r>
      <w:r w:rsidRPr="00722885">
        <w:rPr>
          <w:color w:val="000000" w:themeColor="text1"/>
          <w:sz w:val="16"/>
          <w:szCs w:val="16"/>
        </w:rPr>
        <w:softHyphen/>
        <w:t>щий капитан Гребеньков) под прикрытием 4 Як-1 от 283-й иад в период 11.21—11.29 в район насе</w:t>
      </w:r>
      <w:r w:rsidRPr="00722885">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722885">
        <w:rPr>
          <w:color w:val="000000" w:themeColor="text1"/>
          <w:sz w:val="16"/>
          <w:szCs w:val="16"/>
        </w:rPr>
        <w:softHyphen/>
        <w:t>жен прямым попаданием бомбы, сброшенной с са</w:t>
      </w:r>
      <w:r w:rsidRPr="00722885">
        <w:rPr>
          <w:color w:val="000000" w:themeColor="text1"/>
          <w:sz w:val="16"/>
          <w:szCs w:val="16"/>
        </w:rPr>
        <w:softHyphen/>
        <w:t xml:space="preserve">молета </w:t>
      </w:r>
      <w:r w:rsidRPr="00722885">
        <w:rPr>
          <w:color w:val="000000" w:themeColor="text1"/>
          <w:sz w:val="16"/>
          <w:szCs w:val="16"/>
          <w:lang w:val="en-US"/>
        </w:rPr>
        <w:t>Ju</w:t>
      </w:r>
      <w:r w:rsidRPr="00722885">
        <w:rPr>
          <w:color w:val="000000" w:themeColor="text1"/>
          <w:sz w:val="16"/>
          <w:szCs w:val="16"/>
        </w:rPr>
        <w:t>88».</w:t>
      </w:r>
    </w:p>
    <w:p w14:paraId="28EA6FAD"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На отходе от цели группа была атакована парой </w:t>
      </w:r>
      <w:r w:rsidRPr="00722885">
        <w:rPr>
          <w:color w:val="000000" w:themeColor="text1"/>
          <w:sz w:val="16"/>
          <w:szCs w:val="16"/>
          <w:lang w:val="en-US"/>
        </w:rPr>
        <w:t>Bf</w:t>
      </w:r>
      <w:r w:rsidRPr="00722885">
        <w:rPr>
          <w:color w:val="000000" w:themeColor="text1"/>
          <w:sz w:val="16"/>
          <w:szCs w:val="16"/>
        </w:rPr>
        <w:t xml:space="preserve"> 109</w:t>
      </w:r>
      <w:r w:rsidRPr="00722885">
        <w:rPr>
          <w:color w:val="000000" w:themeColor="text1"/>
          <w:sz w:val="16"/>
          <w:szCs w:val="16"/>
          <w:lang w:val="en-US"/>
        </w:rPr>
        <w:t>F</w:t>
      </w:r>
      <w:r w:rsidRPr="00722885">
        <w:rPr>
          <w:color w:val="000000" w:themeColor="text1"/>
          <w:sz w:val="16"/>
          <w:szCs w:val="16"/>
        </w:rPr>
        <w:t>. В результате Ил-2 зав. № 8029 с пушками</w:t>
      </w:r>
    </w:p>
    <w:p w14:paraId="44CB0E73"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3CF62583"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722885">
        <w:rPr>
          <w:color w:val="000000" w:themeColor="text1"/>
          <w:sz w:val="16"/>
          <w:szCs w:val="16"/>
        </w:rPr>
        <w:softHyphen/>
        <w:t>ной группировки в районе Сталинграда вплоть до 2 февраля. Однако войсковые испытания офи</w:t>
      </w:r>
      <w:r w:rsidRPr="00722885">
        <w:rPr>
          <w:color w:val="000000" w:themeColor="text1"/>
          <w:sz w:val="16"/>
          <w:szCs w:val="16"/>
        </w:rPr>
        <w:softHyphen/>
        <w:t>циально были завершены 22 января. К этому вре</w:t>
      </w:r>
      <w:r w:rsidRPr="00722885">
        <w:rPr>
          <w:color w:val="000000" w:themeColor="text1"/>
          <w:sz w:val="16"/>
          <w:szCs w:val="16"/>
        </w:rPr>
        <w:softHyphen/>
        <w:t>мени Ил-2 с Ш-37 совершили 75 боевых само</w:t>
      </w:r>
      <w:r w:rsidRPr="00722885">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722885">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722885">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722885">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722885">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722885">
        <w:rPr>
          <w:color w:val="000000" w:themeColor="text1"/>
          <w:sz w:val="16"/>
          <w:szCs w:val="16"/>
        </w:rPr>
        <w:softHyphen/>
        <w:t>нил только один боевой вылет, и его результаты при составлении отчета по испытаниям не учиты</w:t>
      </w:r>
      <w:r w:rsidRPr="00722885">
        <w:rPr>
          <w:color w:val="000000" w:themeColor="text1"/>
          <w:sz w:val="16"/>
          <w:szCs w:val="16"/>
        </w:rPr>
        <w:softHyphen/>
        <w:t>вались.</w:t>
      </w:r>
    </w:p>
    <w:p w14:paraId="4A09D893"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пушками Ш-37 «ходили на бое</w:t>
      </w:r>
      <w:r w:rsidRPr="00722885">
        <w:rPr>
          <w:color w:val="000000" w:themeColor="text1"/>
          <w:sz w:val="16"/>
          <w:szCs w:val="16"/>
        </w:rPr>
        <w:softHyphen/>
        <w:t>вые задания, имея запас боеприпасов 80 для 37-мм пушек, 1500 для пулеметов ШКАС, 8 РС-82 и 2 бом</w:t>
      </w:r>
      <w:r w:rsidRPr="00722885">
        <w:rPr>
          <w:color w:val="000000" w:themeColor="text1"/>
          <w:sz w:val="16"/>
          <w:szCs w:val="16"/>
        </w:rPr>
        <w:softHyphen/>
        <w:t>бы ФАБ-100 или 6 бомб АО-25».</w:t>
      </w:r>
    </w:p>
    <w:p w14:paraId="76C64BE7"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Экипажи действовали главным образом по са</w:t>
      </w:r>
      <w:r w:rsidRPr="00722885">
        <w:rPr>
          <w:color w:val="000000" w:themeColor="text1"/>
          <w:sz w:val="16"/>
          <w:szCs w:val="16"/>
        </w:rPr>
        <w:softHyphen/>
        <w:t>молетам на аэродромах и автотранспорту против</w:t>
      </w:r>
      <w:r w:rsidRPr="00722885">
        <w:rPr>
          <w:color w:val="000000" w:themeColor="text1"/>
          <w:sz w:val="16"/>
          <w:szCs w:val="16"/>
        </w:rPr>
        <w:softHyphen/>
        <w:t>ника. В отдельных случаях — по огневым точкам на поле боя, дерево-земляным оборонительным со</w:t>
      </w:r>
      <w:r w:rsidRPr="00722885">
        <w:rPr>
          <w:color w:val="000000" w:themeColor="text1"/>
          <w:sz w:val="16"/>
          <w:szCs w:val="16"/>
        </w:rPr>
        <w:softHyphen/>
        <w:t>оружениям и бронетехнике. Общий расход боепри</w:t>
      </w:r>
      <w:r w:rsidRPr="00722885">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722885">
        <w:rPr>
          <w:color w:val="000000" w:themeColor="text1"/>
          <w:sz w:val="16"/>
          <w:szCs w:val="16"/>
        </w:rPr>
        <w:softHyphen/>
        <w:t>бомб типа ФАБ-100 — 107, осколочных авиабомб типа АО-25 — 87.</w:t>
      </w:r>
    </w:p>
    <w:p w14:paraId="305AC837"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Атаки наземных целей производились с плани</w:t>
      </w:r>
      <w:r w:rsidRPr="00722885">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722885">
        <w:rPr>
          <w:color w:val="000000" w:themeColor="text1"/>
          <w:sz w:val="16"/>
          <w:szCs w:val="16"/>
        </w:rPr>
        <w:softHyphen/>
        <w:t>гим данным — бронемашину), но достоверность поражения целей подтвердить не могли.</w:t>
      </w:r>
    </w:p>
    <w:p w14:paraId="25BFC404"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эти данные не входят потери противника от бомб, РС и пулеметов на этих же самолетах. Необ</w:t>
      </w:r>
      <w:r w:rsidRPr="00722885">
        <w:rPr>
          <w:color w:val="000000" w:themeColor="text1"/>
          <w:sz w:val="16"/>
          <w:szCs w:val="16"/>
        </w:rPr>
        <w:softHyphen/>
        <w:t>ходимо отметить, что «танков, как основных целей для этих пушек, встречалось мало».</w:t>
      </w:r>
    </w:p>
    <w:p w14:paraId="48CFA5B8"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 время войсковых испытаний отмечалось не</w:t>
      </w:r>
      <w:r w:rsidRPr="00722885">
        <w:rPr>
          <w:color w:val="000000" w:themeColor="text1"/>
          <w:sz w:val="16"/>
          <w:szCs w:val="16"/>
        </w:rPr>
        <w:softHyphen/>
        <w:t>сколько случаев применения Ш-37 по воздушным целям, но все они, вследствие недостаточной ско</w:t>
      </w:r>
      <w:r w:rsidRPr="00722885">
        <w:rPr>
          <w:color w:val="000000" w:themeColor="text1"/>
          <w:sz w:val="16"/>
          <w:szCs w:val="16"/>
        </w:rPr>
        <w:softHyphen/>
        <w:t>рострельности пушки, были неудачными.</w:t>
      </w:r>
    </w:p>
    <w:p w14:paraId="61155CA2"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одном случае Ил-2 на высоте 800 м был атако</w:t>
      </w:r>
      <w:r w:rsidRPr="00722885">
        <w:rPr>
          <w:color w:val="000000" w:themeColor="text1"/>
          <w:sz w:val="16"/>
          <w:szCs w:val="16"/>
        </w:rPr>
        <w:softHyphen/>
        <w:t xml:space="preserve">ван в лоб истребителем Люфтваффе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С дис</w:t>
      </w:r>
      <w:r w:rsidRPr="00722885">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722885">
        <w:rPr>
          <w:color w:val="000000" w:themeColor="text1"/>
          <w:sz w:val="16"/>
          <w:szCs w:val="16"/>
          <w:lang w:val="en-US"/>
        </w:rPr>
        <w:t>Ju</w:t>
      </w:r>
      <w:r w:rsidRPr="00722885">
        <w:rPr>
          <w:color w:val="000000" w:themeColor="text1"/>
          <w:sz w:val="16"/>
          <w:szCs w:val="16"/>
        </w:rPr>
        <w:t>52/3</w:t>
      </w:r>
      <w:r w:rsidRPr="00722885">
        <w:rPr>
          <w:color w:val="000000" w:themeColor="text1"/>
          <w:sz w:val="16"/>
          <w:szCs w:val="16"/>
          <w:lang w:val="en-US"/>
        </w:rPr>
        <w:t>m</w:t>
      </w:r>
      <w:r w:rsidRPr="00722885">
        <w:rPr>
          <w:color w:val="000000" w:themeColor="text1"/>
          <w:sz w:val="16"/>
          <w:szCs w:val="16"/>
        </w:rPr>
        <w:t>. Огонь из Ш-37 велся короткими очере</w:t>
      </w:r>
      <w:r w:rsidRPr="00722885">
        <w:rPr>
          <w:color w:val="000000" w:themeColor="text1"/>
          <w:sz w:val="16"/>
          <w:szCs w:val="16"/>
        </w:rPr>
        <w:softHyphen/>
        <w:t>дями по 3—4 снаряда с дистанции 600—300 м. Всего было выпущено до 20—30 снарядов. Попа</w:t>
      </w:r>
      <w:r w:rsidRPr="00722885">
        <w:rPr>
          <w:color w:val="000000" w:themeColor="text1"/>
          <w:sz w:val="16"/>
          <w:szCs w:val="16"/>
        </w:rPr>
        <w:softHyphen/>
        <w:t>даний в немецкий самолет не было. Летчики на</w:t>
      </w:r>
      <w:r w:rsidRPr="00722885">
        <w:rPr>
          <w:color w:val="000000" w:themeColor="text1"/>
          <w:sz w:val="16"/>
          <w:szCs w:val="16"/>
        </w:rPr>
        <w:softHyphen/>
        <w:t>блюдали, что «снаряды ложатся правее и левее плоскостей самолета». В итоге «Юнкерс» ушел в облака.</w:t>
      </w:r>
    </w:p>
    <w:p w14:paraId="0B8F960F"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Средний расход боекомплекта к пушкам Ш-37 за один самолето-вылет составил 37,6%, что соот</w:t>
      </w:r>
      <w:r w:rsidRPr="00722885">
        <w:rPr>
          <w:color w:val="000000" w:themeColor="text1"/>
          <w:sz w:val="16"/>
          <w:szCs w:val="16"/>
        </w:rPr>
        <w:softHyphen/>
        <w:t>ветствует средней продолжительности непрерыв</w:t>
      </w:r>
      <w:r w:rsidRPr="00722885">
        <w:rPr>
          <w:color w:val="000000" w:themeColor="text1"/>
          <w:sz w:val="16"/>
          <w:szCs w:val="16"/>
        </w:rPr>
        <w:softHyphen/>
        <w:t>ной стрельбы всего 5 секунд. Это, с одной сторо</w:t>
      </w:r>
      <w:r w:rsidRPr="00722885">
        <w:rPr>
          <w:color w:val="000000" w:themeColor="text1"/>
          <w:sz w:val="16"/>
          <w:szCs w:val="16"/>
        </w:rPr>
        <w:softHyphen/>
        <w:t>ны, говорит о том, что целей, достойных для пушек Ш-37, в боевых вылетах было мало, а с другой сто</w:t>
      </w:r>
      <w:r w:rsidRPr="00722885">
        <w:rPr>
          <w:color w:val="000000" w:themeColor="text1"/>
          <w:sz w:val="16"/>
          <w:szCs w:val="16"/>
        </w:rPr>
        <w:softHyphen/>
        <w:t>роны, указывает на недостаточную эффективность стрельбы с самолета Ил-2 из такой пушки по точеч</w:t>
      </w:r>
      <w:r w:rsidRPr="00722885">
        <w:rPr>
          <w:color w:val="000000" w:themeColor="text1"/>
          <w:sz w:val="16"/>
          <w:szCs w:val="16"/>
        </w:rPr>
        <w:softHyphen/>
        <w:t>ным малоразмерным целям.</w:t>
      </w:r>
    </w:p>
    <w:p w14:paraId="1E7C83CF"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722885">
        <w:rPr>
          <w:color w:val="000000" w:themeColor="text1"/>
          <w:sz w:val="16"/>
          <w:szCs w:val="16"/>
        </w:rPr>
        <w:softHyphen/>
        <w:t>ставил 54%. Из общего числа боевых вылетов, вы</w:t>
      </w:r>
      <w:r w:rsidRPr="00722885">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722885">
        <w:rPr>
          <w:color w:val="000000" w:themeColor="text1"/>
          <w:sz w:val="16"/>
          <w:szCs w:val="16"/>
        </w:rPr>
        <w:softHyphen/>
        <w:t>евое задание Ил-2 с пушками Ш-37 сопровождался отказом хотя бы одной из пушек.</w:t>
      </w:r>
    </w:p>
    <w:p w14:paraId="29D9652E"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состоянию на 25 января произошло 123 от</w:t>
      </w:r>
      <w:r w:rsidRPr="00722885">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722885">
        <w:rPr>
          <w:color w:val="000000" w:themeColor="text1"/>
          <w:sz w:val="16"/>
          <w:szCs w:val="16"/>
        </w:rPr>
        <w:softHyphen/>
        <w:t>од, в то время как «по техническим условиям для оружия допускается 0,2% задержек на полную жи</w:t>
      </w:r>
      <w:r w:rsidRPr="00722885">
        <w:rPr>
          <w:color w:val="000000" w:themeColor="text1"/>
          <w:sz w:val="16"/>
          <w:szCs w:val="16"/>
        </w:rPr>
        <w:softHyphen/>
        <w:t>вучесть пушек».</w:t>
      </w:r>
    </w:p>
    <w:p w14:paraId="140B6C68"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из всех задержек исключить задержки по вине установок и по вине обслуживающего пер</w:t>
      </w:r>
      <w:r w:rsidRPr="00722885">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722885">
        <w:rPr>
          <w:color w:val="000000" w:themeColor="text1"/>
          <w:sz w:val="16"/>
          <w:szCs w:val="16"/>
        </w:rPr>
        <w:softHyphen/>
        <w:t>новные поломки следующие: ударника — 6, план</w:t>
      </w:r>
      <w:r w:rsidRPr="00722885">
        <w:rPr>
          <w:color w:val="000000" w:themeColor="text1"/>
          <w:sz w:val="16"/>
          <w:szCs w:val="16"/>
        </w:rPr>
        <w:softHyphen/>
        <w:t>ки затвора — 4, бойка — 8, направляющей втулки ударника — 5, трещина в затыльнике — 5, непо</w:t>
      </w:r>
      <w:r w:rsidRPr="00722885">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722885">
        <w:rPr>
          <w:color w:val="000000" w:themeColor="text1"/>
          <w:sz w:val="16"/>
          <w:szCs w:val="16"/>
        </w:rPr>
        <w:softHyphen/>
        <w:t>лов потребовало бы 59 ударников».</w:t>
      </w:r>
    </w:p>
    <w:p w14:paraId="154A8B54"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722885">
        <w:rPr>
          <w:color w:val="000000" w:themeColor="text1"/>
          <w:sz w:val="16"/>
          <w:szCs w:val="16"/>
        </w:rPr>
        <w:softHyphen/>
        <w:t>дром в Вихлянцево. Соответственно, бригада спе</w:t>
      </w:r>
      <w:r w:rsidRPr="00722885">
        <w:rPr>
          <w:color w:val="000000" w:themeColor="text1"/>
          <w:sz w:val="16"/>
          <w:szCs w:val="16"/>
        </w:rPr>
        <w:softHyphen/>
        <w:t>циалистов от ОКБ-15 не могла оперативно устра</w:t>
      </w:r>
      <w:r w:rsidRPr="00722885">
        <w:rPr>
          <w:color w:val="000000" w:themeColor="text1"/>
          <w:sz w:val="16"/>
          <w:szCs w:val="16"/>
        </w:rPr>
        <w:softHyphen/>
        <w:t>нять отказы в работе и поломки пушек.</w:t>
      </w:r>
    </w:p>
    <w:p w14:paraId="67CFDC2C"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Очевидно, все «это нарушало нормальную бое</w:t>
      </w:r>
      <w:r w:rsidRPr="00722885">
        <w:rPr>
          <w:color w:val="000000" w:themeColor="text1"/>
          <w:sz w:val="16"/>
          <w:szCs w:val="16"/>
        </w:rPr>
        <w:softHyphen/>
        <w:t>вую работу полка, самолеты приходилось из-за не</w:t>
      </w:r>
      <w:r w:rsidRPr="00722885">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722885">
        <w:rPr>
          <w:color w:val="000000" w:themeColor="text1"/>
          <w:sz w:val="16"/>
          <w:szCs w:val="16"/>
        </w:rPr>
        <w:softHyphen/>
        <w:t>ко с остальным вооружением».</w:t>
      </w:r>
    </w:p>
    <w:p w14:paraId="2C3E68D7"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«Большое количество поломок, задержек и от</w:t>
      </w:r>
      <w:r w:rsidRPr="00722885">
        <w:rPr>
          <w:color w:val="000000" w:themeColor="text1"/>
          <w:sz w:val="16"/>
          <w:szCs w:val="16"/>
        </w:rPr>
        <w:softHyphen/>
        <w:t>казов в работе пушек вызвало у летчиков неприят</w:t>
      </w:r>
      <w:r w:rsidRPr="00722885">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7148C650"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722885">
        <w:rPr>
          <w:color w:val="000000" w:themeColor="text1"/>
          <w:sz w:val="16"/>
          <w:szCs w:val="16"/>
        </w:rPr>
        <w:softHyphen/>
        <w:t>жием».</w:t>
      </w:r>
    </w:p>
    <w:p w14:paraId="0FECCC79"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своих донесениях летчики отмечали, что «са</w:t>
      </w:r>
      <w:r w:rsidRPr="00722885">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722885">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722885">
        <w:rPr>
          <w:color w:val="000000" w:themeColor="text1"/>
          <w:sz w:val="16"/>
          <w:szCs w:val="16"/>
        </w:rPr>
        <w:softHyphen/>
        <w:t>нее управляем. Плохо держится в строю при ско</w:t>
      </w:r>
      <w:r w:rsidRPr="00722885">
        <w:rPr>
          <w:color w:val="000000" w:themeColor="text1"/>
          <w:sz w:val="16"/>
          <w:szCs w:val="16"/>
        </w:rPr>
        <w:softHyphen/>
        <w:t>ростях около 250—260 км/ч и ниже. Хорошо дер</w:t>
      </w:r>
      <w:r w:rsidRPr="00722885">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0A6CF688"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скоростях полета 250 км/ч «прицельную стрельбу из пушек вести трудно из-за сильной ви</w:t>
      </w:r>
      <w:r w:rsidRPr="00722885">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722885">
        <w:rPr>
          <w:color w:val="000000" w:themeColor="text1"/>
          <w:sz w:val="16"/>
          <w:szCs w:val="16"/>
        </w:rPr>
        <w:softHyphen/>
        <w:t>ется незначительно». При стрельбе с набором вы</w:t>
      </w:r>
      <w:r w:rsidRPr="00722885">
        <w:rPr>
          <w:color w:val="000000" w:themeColor="text1"/>
          <w:sz w:val="16"/>
          <w:szCs w:val="16"/>
        </w:rPr>
        <w:softHyphen/>
        <w:t>соты самолет резко теряет скорость. На пикирова</w:t>
      </w:r>
      <w:r w:rsidRPr="00722885">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722885">
        <w:rPr>
          <w:color w:val="000000" w:themeColor="text1"/>
          <w:sz w:val="16"/>
          <w:szCs w:val="16"/>
        </w:rPr>
        <w:softHyphen/>
        <w:t>рачивается в сторону стреляющей пушки, прицель</w:t>
      </w:r>
      <w:r w:rsidRPr="00722885">
        <w:rPr>
          <w:color w:val="000000" w:themeColor="text1"/>
          <w:sz w:val="16"/>
          <w:szCs w:val="16"/>
        </w:rPr>
        <w:softHyphen/>
        <w:t>ный огонь вести невозможно. Боковой перенос ог</w:t>
      </w:r>
      <w:r w:rsidRPr="00722885">
        <w:rPr>
          <w:color w:val="000000" w:themeColor="text1"/>
          <w:sz w:val="16"/>
          <w:szCs w:val="16"/>
        </w:rPr>
        <w:softHyphen/>
        <w:t>ня при пикировании затруднен, а «с высоты 400 м и ниже невозможен, ввиду инертности самолета».</w:t>
      </w:r>
    </w:p>
    <w:p w14:paraId="113A7835"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заявлениям летчиков, «стволы пушек в по</w:t>
      </w:r>
      <w:r w:rsidRPr="00722885">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722885">
        <w:rPr>
          <w:color w:val="000000" w:themeColor="text1"/>
          <w:sz w:val="16"/>
          <w:szCs w:val="16"/>
        </w:rPr>
        <w:softHyphen/>
        <w:t>трудняет возможность вести прицельный огонь». Утверждалось, что «при боевом развороте на ско</w:t>
      </w:r>
      <w:r w:rsidRPr="00722885">
        <w:rPr>
          <w:color w:val="000000" w:themeColor="text1"/>
          <w:sz w:val="16"/>
          <w:szCs w:val="16"/>
        </w:rPr>
        <w:softHyphen/>
        <w:t>рости 270 км/ч самолет сильно трясет».</w:t>
      </w:r>
    </w:p>
    <w:p w14:paraId="0B223098"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722885">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722885">
        <w:rPr>
          <w:color w:val="000000" w:themeColor="text1"/>
          <w:sz w:val="16"/>
          <w:szCs w:val="16"/>
        </w:rPr>
        <w:softHyphen/>
        <w:t>ровано только 22 случая полного расстрела бое</w:t>
      </w:r>
      <w:r w:rsidRPr="00722885">
        <w:rPr>
          <w:color w:val="000000" w:themeColor="text1"/>
          <w:sz w:val="16"/>
          <w:szCs w:val="16"/>
        </w:rPr>
        <w:softHyphen/>
        <w:t>комплекта.</w:t>
      </w:r>
    </w:p>
    <w:p w14:paraId="39AEF88F"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эксплуатационной точки зрения пушка Ш-37 и пушечная установка оказались простыми и удоб</w:t>
      </w:r>
      <w:r w:rsidRPr="00722885">
        <w:rPr>
          <w:color w:val="000000" w:themeColor="text1"/>
          <w:sz w:val="16"/>
          <w:szCs w:val="16"/>
        </w:rPr>
        <w:softHyphen/>
        <w:t>ными в обслуживании даже в условиях зимы, ког</w:t>
      </w:r>
      <w:r w:rsidRPr="00722885">
        <w:rPr>
          <w:color w:val="000000" w:themeColor="text1"/>
          <w:sz w:val="16"/>
          <w:szCs w:val="16"/>
        </w:rPr>
        <w:softHyphen/>
        <w:t>да технический состав вынужден работать в ру</w:t>
      </w:r>
      <w:r w:rsidRPr="00722885">
        <w:rPr>
          <w:color w:val="000000" w:themeColor="text1"/>
          <w:sz w:val="16"/>
          <w:szCs w:val="16"/>
        </w:rPr>
        <w:softHyphen/>
        <w:t>кавицах и тяжелой одежде. При работе 2 человек чистка пушки требует не более 30 мин, заряд</w:t>
      </w:r>
      <w:r w:rsidRPr="00722885">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722885">
        <w:rPr>
          <w:color w:val="000000" w:themeColor="text1"/>
          <w:sz w:val="16"/>
          <w:szCs w:val="16"/>
        </w:rPr>
        <w:softHyphen/>
        <w:t>ра — 4—5 ч, шептала — 4 ч, собачки шептала — 3 ч. Технический состав полка особо отметил «не</w:t>
      </w:r>
      <w:r w:rsidRPr="00722885">
        <w:rPr>
          <w:color w:val="000000" w:themeColor="text1"/>
          <w:sz w:val="16"/>
          <w:szCs w:val="16"/>
        </w:rPr>
        <w:softHyphen/>
        <w:t>удобную конструкцию и плохое изготовление об</w:t>
      </w:r>
      <w:r w:rsidRPr="00722885">
        <w:rPr>
          <w:color w:val="000000" w:themeColor="text1"/>
          <w:sz w:val="16"/>
          <w:szCs w:val="16"/>
        </w:rPr>
        <w:softHyphen/>
        <w:t>текателей пушек — на шомпола их невозможно закрыть».</w:t>
      </w:r>
    </w:p>
    <w:p w14:paraId="0882486A"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722885">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0920C268"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722885">
        <w:rPr>
          <w:color w:val="000000" w:themeColor="text1"/>
          <w:sz w:val="16"/>
          <w:szCs w:val="16"/>
        </w:rPr>
        <w:softHyphen/>
        <w:t>лись.</w:t>
      </w:r>
    </w:p>
    <w:p w14:paraId="48CED697"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лейтенант Воловиков в своем донесе</w:t>
      </w:r>
      <w:r w:rsidRPr="00722885">
        <w:rPr>
          <w:color w:val="000000" w:themeColor="text1"/>
          <w:sz w:val="16"/>
          <w:szCs w:val="16"/>
        </w:rPr>
        <w:softHyphen/>
        <w:t>нии указал, что «в серийном производстве Ил-2 с ШФК-37 выпускать нельзя». К его мнению присо</w:t>
      </w:r>
      <w:r w:rsidRPr="00722885">
        <w:rPr>
          <w:color w:val="000000" w:themeColor="text1"/>
          <w:sz w:val="16"/>
          <w:szCs w:val="16"/>
        </w:rPr>
        <w:softHyphen/>
        <w:t>единились старший сержант А. В. Дунов, сержант М. А. Сахариленко и старшина В. Ф. Игнатьев.</w:t>
      </w:r>
    </w:p>
    <w:p w14:paraId="420B2B48"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722885">
        <w:rPr>
          <w:color w:val="000000" w:themeColor="text1"/>
          <w:sz w:val="16"/>
          <w:szCs w:val="16"/>
        </w:rPr>
        <w:softHyphen/>
        <w:t>го; 4) нужен более мощный мотор для противозе</w:t>
      </w:r>
      <w:r w:rsidRPr="00722885">
        <w:rPr>
          <w:color w:val="000000" w:themeColor="text1"/>
          <w:sz w:val="16"/>
          <w:szCs w:val="16"/>
        </w:rPr>
        <w:softHyphen/>
        <w:t>нитного маневра; 5) формировать отдельные диви</w:t>
      </w:r>
      <w:r w:rsidRPr="00722885">
        <w:rPr>
          <w:color w:val="000000" w:themeColor="text1"/>
          <w:sz w:val="16"/>
          <w:szCs w:val="16"/>
        </w:rPr>
        <w:softHyphen/>
        <w:t>зионные группы Ил-2 с пушками 37 мм или на полк давать 6 таких самолетов».</w:t>
      </w:r>
    </w:p>
    <w:p w14:paraId="41884D7C"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722885">
        <w:rPr>
          <w:color w:val="000000" w:themeColor="text1"/>
          <w:sz w:val="16"/>
          <w:szCs w:val="16"/>
        </w:rPr>
        <w:softHyphen/>
        <w:t>жанта Юсова».</w:t>
      </w:r>
    </w:p>
    <w:p w14:paraId="25117034"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с учетом этого в заключении «Доклада о войсковых испытаниях на боевое при</w:t>
      </w:r>
      <w:r w:rsidRPr="00722885">
        <w:rPr>
          <w:color w:val="000000" w:themeColor="text1"/>
          <w:sz w:val="16"/>
          <w:szCs w:val="16"/>
        </w:rPr>
        <w:softHyphen/>
        <w:t>менение самолетов Ил-2 АМ-38, вооруженных 37-мм пушками конструкции ОКБ-15» было записа</w:t>
      </w:r>
      <w:r w:rsidRPr="00722885">
        <w:rPr>
          <w:color w:val="000000" w:themeColor="text1"/>
          <w:sz w:val="16"/>
          <w:szCs w:val="16"/>
        </w:rPr>
        <w:softHyphen/>
        <w:t>но: «1. Самолеты с пушками ШФК-37, испытанные на боевое применение, не дали должной эффективно</w:t>
      </w:r>
      <w:r w:rsidRPr="00722885">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722885">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290A52C9"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боевых летчиков от 688-го шап и чле</w:t>
      </w:r>
      <w:r w:rsidRPr="00722885">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0C169EF9"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Уже 8 марта 1943 г. начальник 1-го отдела УЗ- СиМ ГУЗ ВВС инженер-полковник Ковалев в до</w:t>
      </w:r>
      <w:r w:rsidRPr="00722885">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722885">
        <w:rPr>
          <w:color w:val="000000" w:themeColor="text1"/>
          <w:sz w:val="16"/>
          <w:szCs w:val="16"/>
        </w:rPr>
        <w:softHyphen/>
        <w:t>вых испытаний самолетов Ил-2 с ШФК-37 37-мм пушки подлежат конструктивной доводке».</w:t>
      </w:r>
    </w:p>
    <w:p w14:paraId="5ADD618A"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722885">
        <w:rPr>
          <w:color w:val="000000" w:themeColor="text1"/>
          <w:sz w:val="16"/>
          <w:szCs w:val="16"/>
        </w:rPr>
        <w:softHyphen/>
        <w:t>шек ШФК-37 на самолетах Ил-2».</w:t>
      </w:r>
    </w:p>
    <w:p w14:paraId="79F3D5FA" w14:textId="77777777" w:rsidR="00AB6B38" w:rsidRPr="00722885" w:rsidRDefault="00AB6B3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722885">
        <w:rPr>
          <w:color w:val="000000" w:themeColor="text1"/>
          <w:sz w:val="16"/>
          <w:szCs w:val="16"/>
        </w:rPr>
        <w:softHyphen/>
        <w:t>готовить справку о ходе испытаний пушек калибра 37 мм ОКБ-16 на самолетах Ил-2 (17500).</w:t>
      </w:r>
    </w:p>
    <w:p w14:paraId="1A64D8C6" w14:textId="77777777" w:rsidR="00AB6B38" w:rsidRPr="00722885" w:rsidRDefault="00AB6B38" w:rsidP="00722885">
      <w:pPr>
        <w:pStyle w:val="12a"/>
        <w:shd w:val="clear" w:color="auto" w:fill="auto"/>
        <w:spacing w:after="0" w:line="240" w:lineRule="auto"/>
        <w:jc w:val="both"/>
        <w:rPr>
          <w:color w:val="000000" w:themeColor="text1"/>
          <w:sz w:val="16"/>
          <w:szCs w:val="16"/>
        </w:rPr>
      </w:pPr>
    </w:p>
    <w:p w14:paraId="29DCEEA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27 декабря 1942 г. начались летные испытания Ил-4 с системой заправки самолетов топливом в полете с 6уксируемых ими военно-транспортных планеров А-7. Самолет Ил-4 пилотировал К.Богомазов, на планере А-7 летал С.Спиваковский. Испытания показали, что Ил-4 с взлетным весом 10780 кг и с бомбовым Грузом в 1500 кг (в том числе с двумя бомбами ФАБ-250 на наружной подвеске) может взлетать с буксируемым планером А-7, имеющим полетный вес 1750 кг. Разбег аэропоезда при взлете с бетонированной взлетно-посадочной полосы составил 950 м, а взлетная дистанция до высоты 20 м - 2330 м. Дозаправка производилась над аэродромом взлета. На перекачку 500 кг топлива из баков планера на самолет потребовалось 5-6 минут. После дозаправки вес топлива на самолете возрос до 2800 кг. С ним самолет Ил-4 мог совершать полеты на максимальную дальность уже не с 1000 кг, а с 1500 кг бомб. По оценке летчиков, наличие бензинового шланга, привязанного к буксировочному тросу, незначительно сказывалось на пилотировании самолета и планера. Проведенные испытания показали практическую возможность и целесообразность дозаправки в воздухе бомбардировщиков. Однако сравнительно небольшое количество транспортных планеров, имевшихся тогда в ВВС (как правило, они совершали только один боевой вылет в тыл противника и уничтожались сразу же после приземления), не позволяло использовать дозаправку бомбардировщиков в воздухе в широких масштабах (9528).</w:t>
      </w:r>
    </w:p>
    <w:p w14:paraId="1BBB9A5D" w14:textId="77777777" w:rsidR="00BB6316" w:rsidRPr="00722885" w:rsidRDefault="00BB6316" w:rsidP="00722885">
      <w:pPr>
        <w:pStyle w:val="Iauiue"/>
        <w:jc w:val="both"/>
        <w:rPr>
          <w:color w:val="000000" w:themeColor="text1"/>
          <w:sz w:val="16"/>
          <w:szCs w:val="16"/>
        </w:rPr>
      </w:pPr>
    </w:p>
    <w:p w14:paraId="2007D203"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27 декабря 1942 г. по 6 января 1943 г. под руководством инженеров НИИ ГВФ М.П. Могилевского и В.В. Манцевича, а также инженера НИИ ВВС В.Я. Кравца прошли испытания дозаправки в воздухе ДБ-3ф от грузового планера А-7. Пилотировал ДБ-3ф летчик НИИ ВВС К.Г. Богомазов, а планер вел С.Д. Спиваковский. Требовалось получить дальность не менее 3000 км с подвеской 10 бомб ФАБ-100 в отсеке и двух ФАБ-250 под крылом. Сцепка взлетала, набирала высоту, после чего за 12,6 минуты в баки ДБ-3ф перекачивалось 650 л бензина и его вес доходил до 10050 кг, а планер отцеплялся. Пилотажные свойства сцепки были удовлетворительными и мало отличались от таковых при буксировке обычного планера А-7, что широко практиковалось. Но прирост дальности Заказчик счел недостаточным, и система внедрена не была, не реализовали и проект дозаправки четырехмоторного Пе-8 от большого планера КЦ-20. Среди недостатков отмечалась большая длительность перекачки, но главное — военные хотели иметь систему дозаправки не сразу после взлета, а дальше (23013).</w:t>
      </w:r>
    </w:p>
    <w:p w14:paraId="67107B47" w14:textId="77777777" w:rsidR="007B627D" w:rsidRPr="00722885" w:rsidRDefault="007B627D" w:rsidP="00722885">
      <w:pPr>
        <w:spacing w:after="0" w:line="240" w:lineRule="auto"/>
        <w:jc w:val="both"/>
        <w:rPr>
          <w:rFonts w:ascii="Times New Roman" w:hAnsi="Times New Roman"/>
          <w:color w:val="0070C0"/>
          <w:sz w:val="16"/>
          <w:szCs w:val="16"/>
        </w:rPr>
      </w:pPr>
    </w:p>
    <w:p w14:paraId="071DAFA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В конце 1942 в НИИ ГВФ совместно с НИИ ВВС провели летные исследования по оценке эффективности дозаправки горючим в воздухе бомбардировщиков с </w:t>
      </w:r>
      <w:r w:rsidRPr="00722885">
        <w:rPr>
          <w:color w:val="000000" w:themeColor="text1"/>
          <w:sz w:val="16"/>
          <w:szCs w:val="16"/>
        </w:rPr>
        <w:lastRenderedPageBreak/>
        <w:t>буксируемых планеров. Делали для Ил-4. Доработали Ил-4 с М-88Б и модифицированный А-7. На Ил-4 установили приемное устройство для присоединения шланга перекачки, от которого проложили трубопроводы к двум центропланным бакам. Сделали и тросовое ограждение для защиты хвостового оперения, а на фюзеляже смонтировали стандартный замок. На А-7 в грузовой кабине и носовой части фюзеляжа разместили два бака в 300 и 700 л, бензонасос, лав аккумулятора, систему трубопроводов. Использовали дюритовый шланг диаметром 30/25 мм, который крепили к тросу длинной 70 м через каждые 0.5 м (94,125).</w:t>
      </w:r>
    </w:p>
    <w:p w14:paraId="18E7CF7E" w14:textId="77777777" w:rsidR="00BB6316" w:rsidRPr="00722885" w:rsidRDefault="00BB6316" w:rsidP="00722885">
      <w:pPr>
        <w:pStyle w:val="Iauiue"/>
        <w:jc w:val="both"/>
        <w:rPr>
          <w:color w:val="000000" w:themeColor="text1"/>
          <w:sz w:val="16"/>
          <w:szCs w:val="16"/>
        </w:rPr>
      </w:pPr>
    </w:p>
    <w:p w14:paraId="100FCEF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27 декабря 1942 по 6 января 1943 были проведены летные испытания с целью (94,127):</w:t>
      </w:r>
    </w:p>
    <w:p w14:paraId="4984C54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Проверить возможность дозаправки самолета Ил-4 в воздухе с буксируемого А-7;</w:t>
      </w:r>
    </w:p>
    <w:p w14:paraId="0591414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Выявить возможность увеличения грузоподъемности Ил-4 за счет дозаправки горючим в воздухе с буксируемого А-7;</w:t>
      </w:r>
    </w:p>
    <w:p w14:paraId="3082571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Определить необходимые режимы полета и особенности пилотирования аэропоезда Ил-4 и А-7 при осуществлении дозаправки горючим самолета-буксировщика;</w:t>
      </w:r>
    </w:p>
    <w:p w14:paraId="1354422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Выявить удобство и продолжительность переливания горючего для принятой схемы бензопитания (94,127).</w:t>
      </w:r>
    </w:p>
    <w:p w14:paraId="227ADDD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Ил-4 взлетал с полетной массой 9050, 9250, 9500 и 10050 кг. Планер А-7 имел постоянную массу 1750 кг. В ходе испытаний проверяли и влияние подвески на Ил-4 двух ФАБ-250 (94,127).</w:t>
      </w:r>
    </w:p>
    <w:p w14:paraId="5E9D246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результате испытаний было получено, что шланг перекачки горючего особых изменений в технику пилотирования планера и самолета не внес (94,127). При взлете со шлангом превышение планера должно было быть 3-4 м больше, чем обычно, чтобы уменьшить трение шланга о полосу. В воздухе шланг делал буксировочную связь более упругой. Разъединение шланга и троса проходи обычно (94,127).</w:t>
      </w:r>
    </w:p>
    <w:p w14:paraId="4D8A25B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Перекачка в воздухе осуществлялась просто и надежно и не вносила трудностей в пилотирование поезда. Изменение центровки планера парировалось триммером. Превышение планера в процессе перекачки было 5-6 м. Перекачка 650 л бензина занимала 12.6 мин. Крейсерская скорость полета - 220-230 км/час (94,127).</w:t>
      </w:r>
    </w:p>
    <w:p w14:paraId="47D67E7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Вед. и от НИИ ГВФ были М.П.Могилевский и В.В.Манцевич, а от НИИ ВВС - В.Я.Кравец. Летали пилоты НИИ ВВС: на Ил-4 К.Г.Богомазов, а на планере А-7 С.Д.Спиваковский (94,128).</w:t>
      </w:r>
    </w:p>
    <w:p w14:paraId="0ABEFEB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выводах отмечалось, что способ осуществим и может быть использован для увеличения бомбовой нагрузки (94,128).</w:t>
      </w:r>
    </w:p>
    <w:p w14:paraId="5C3E77A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Ил-4 было получено, что при взлетной массе 10780 с наружной подвеской двух ФАБ-250 он мог взлетать с А-7 с полетной массой 1750 кг (94,128).</w:t>
      </w:r>
    </w:p>
    <w:p w14:paraId="63809B2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После дозаправки самолета горючим его полетная масса составляла 11280 кг, а бомбовая нагрузка 1500 кг (1000 на внутренней), а запас топлива - 2800 кг. Сочли, что еще более эффективным способ будет на 4 моторных самолетах, взлетная масса которых ограничена прочностью шасси. Предложили испытать КЦ-20 за Пе-8, чтобы снабдить Пе-8 1000-2000 кг горючего (94,128).</w:t>
      </w:r>
    </w:p>
    <w:p w14:paraId="57CD196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Внедрено не было (94,128).</w:t>
      </w:r>
    </w:p>
    <w:p w14:paraId="7255913C" w14:textId="77777777" w:rsidR="00BB6316" w:rsidRPr="00722885" w:rsidRDefault="00BB6316" w:rsidP="00722885">
      <w:pPr>
        <w:pStyle w:val="Iauiue"/>
        <w:jc w:val="both"/>
        <w:rPr>
          <w:color w:val="000000" w:themeColor="text1"/>
          <w:sz w:val="16"/>
          <w:szCs w:val="16"/>
        </w:rPr>
      </w:pPr>
    </w:p>
    <w:p w14:paraId="57B1A9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27 декаб</w:t>
      </w:r>
      <w:r w:rsidRPr="00722885">
        <w:rPr>
          <w:rFonts w:ascii="Times New Roman" w:hAnsi="Times New Roman"/>
          <w:color w:val="000000" w:themeColor="text1"/>
          <w:sz w:val="16"/>
          <w:szCs w:val="16"/>
        </w:rPr>
        <w:softHyphen/>
        <w:t>ря 1942 г. по 6 января 1943 г. проходили испытания А-7Б. В одном экземпляре изготовили «ле</w:t>
      </w:r>
      <w:r w:rsidRPr="00722885">
        <w:rPr>
          <w:rFonts w:ascii="Times New Roman" w:hAnsi="Times New Roman"/>
          <w:color w:val="000000" w:themeColor="text1"/>
          <w:sz w:val="16"/>
          <w:szCs w:val="16"/>
        </w:rPr>
        <w:softHyphen/>
        <w:t>тающую цистерну» А-7Б - фактически буксируемый дополнительный топлив</w:t>
      </w:r>
      <w:r w:rsidRPr="00722885">
        <w:rPr>
          <w:rFonts w:ascii="Times New Roman" w:hAnsi="Times New Roman"/>
          <w:color w:val="000000" w:themeColor="text1"/>
          <w:sz w:val="16"/>
          <w:szCs w:val="16"/>
        </w:rPr>
        <w:softHyphen/>
        <w:t>ный бак, который должен был тянуть за собой бомбардировщик Ил-4.</w:t>
      </w:r>
    </w:p>
    <w:p w14:paraId="55CBF2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Ил-4 специально доработали. Он получил буксирный замок, тросовое ограждение хвостового оперения и при</w:t>
      </w:r>
      <w:r w:rsidRPr="00722885">
        <w:rPr>
          <w:rFonts w:ascii="Times New Roman" w:hAnsi="Times New Roman"/>
          <w:color w:val="000000" w:themeColor="text1"/>
          <w:sz w:val="16"/>
          <w:szCs w:val="16"/>
        </w:rPr>
        <w:softHyphen/>
        <w:t>ёмное устройство для шланга перекач</w:t>
      </w:r>
      <w:r w:rsidRPr="00722885">
        <w:rPr>
          <w:rFonts w:ascii="Times New Roman" w:hAnsi="Times New Roman"/>
          <w:color w:val="000000" w:themeColor="text1"/>
          <w:sz w:val="16"/>
          <w:szCs w:val="16"/>
        </w:rPr>
        <w:softHyphen/>
        <w:t>ки. На А-7 смонтировали два бензобака (на 300 л спереди и на 700 л сзади), а также перекачивающий электрический насос и два аккумулятора 24А-30 для его питания. Выводное устройство, к которому крепился шланг, находилось в носовой части фюзеляжа с правой стороны. Дополнительное оборудова</w:t>
      </w:r>
      <w:r w:rsidRPr="00722885">
        <w:rPr>
          <w:rFonts w:ascii="Times New Roman" w:hAnsi="Times New Roman"/>
          <w:color w:val="000000" w:themeColor="text1"/>
          <w:sz w:val="16"/>
          <w:szCs w:val="16"/>
        </w:rPr>
        <w:softHyphen/>
        <w:t>ние увеличило вес пустого планёра до 1087 кг. Шланг диаметром 30 мм шёл параллельно буксирному тросу и со</w:t>
      </w:r>
      <w:r w:rsidRPr="00722885">
        <w:rPr>
          <w:rFonts w:ascii="Times New Roman" w:hAnsi="Times New Roman"/>
          <w:color w:val="000000" w:themeColor="text1"/>
          <w:sz w:val="16"/>
          <w:szCs w:val="16"/>
        </w:rPr>
        <w:softHyphen/>
        <w:t>единялся с ним лентами и проволо</w:t>
      </w:r>
      <w:r w:rsidRPr="00722885">
        <w:rPr>
          <w:rFonts w:ascii="Times New Roman" w:hAnsi="Times New Roman"/>
          <w:color w:val="000000" w:themeColor="text1"/>
          <w:sz w:val="16"/>
          <w:szCs w:val="16"/>
        </w:rPr>
        <w:softHyphen/>
        <w:t>кой. После перекачки бензина из ба</w:t>
      </w:r>
      <w:r w:rsidRPr="00722885">
        <w:rPr>
          <w:rFonts w:ascii="Times New Roman" w:hAnsi="Times New Roman"/>
          <w:color w:val="000000" w:themeColor="text1"/>
          <w:sz w:val="16"/>
          <w:szCs w:val="16"/>
        </w:rPr>
        <w:softHyphen/>
        <w:t>ков планёра он отцеплялся, а самолёт сбрасывал шланг вместе с тросом.</w:t>
      </w:r>
    </w:p>
    <w:p w14:paraId="0C2F11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Летал на «цистерне» С.Д. Спиваковский. Техника пилотирования планёра существенно не изменилась, только на взлёте надо было держаться повыше, чтобы шланг не тёрся о полосу. Перекачка велась на скорости 220 - 230 км/ч. Отцепка планёра и сброс шланга происходили вполне надёжно. Тем не менее, А-7Б использовать в операциях Авиации дальнего действия не стали (12266).</w:t>
      </w:r>
    </w:p>
    <w:p w14:paraId="04BEF94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D6CC4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27 дека</w:t>
      </w:r>
      <w:r w:rsidRPr="00722885">
        <w:rPr>
          <w:rFonts w:ascii="Times New Roman" w:hAnsi="Times New Roman"/>
          <w:color w:val="000000" w:themeColor="text1"/>
          <w:sz w:val="16"/>
          <w:szCs w:val="16"/>
        </w:rPr>
        <w:softHyphen/>
        <w:t>бря 1942 г. по 6 января 1943 г. проходили испытания А-7Б. В 1942 г. в одном экземпляре изготовили «летающую цистерну» А-7Б — фактически буксируемый дополнительный топливный бак, который должен был тянуть за собой бомбардировщик Ил-4. Эту модификацию в основном проводил Моска</w:t>
      </w:r>
      <w:r w:rsidRPr="00722885">
        <w:rPr>
          <w:rFonts w:ascii="Times New Roman" w:hAnsi="Times New Roman"/>
          <w:color w:val="000000" w:themeColor="text1"/>
          <w:sz w:val="16"/>
          <w:szCs w:val="16"/>
        </w:rPr>
        <w:softHyphen/>
        <w:t>лёв. Идея состояла в том, чтобы разместить на пла</w:t>
      </w:r>
      <w:r w:rsidRPr="00722885">
        <w:rPr>
          <w:rFonts w:ascii="Times New Roman" w:hAnsi="Times New Roman"/>
          <w:color w:val="000000" w:themeColor="text1"/>
          <w:sz w:val="16"/>
          <w:szCs w:val="16"/>
        </w:rPr>
        <w:softHyphen/>
        <w:t>нере запас бензина, который в полете передавался на буксировщик. В перспективе предполагалось подцепить беспи</w:t>
      </w:r>
      <w:r w:rsidRPr="00722885">
        <w:rPr>
          <w:rFonts w:ascii="Times New Roman" w:hAnsi="Times New Roman"/>
          <w:color w:val="000000" w:themeColor="text1"/>
          <w:sz w:val="16"/>
          <w:szCs w:val="16"/>
        </w:rPr>
        <w:softHyphen/>
        <w:t>лотный планер — бензовоз к бом</w:t>
      </w:r>
      <w:r w:rsidRPr="00722885">
        <w:rPr>
          <w:rFonts w:ascii="Times New Roman" w:hAnsi="Times New Roman"/>
          <w:color w:val="000000" w:themeColor="text1"/>
          <w:sz w:val="16"/>
          <w:szCs w:val="16"/>
        </w:rPr>
        <w:softHyphen/>
        <w:t>бардировщику, а после выработки топлива — сбросить. Тем самым дальность полета бомбардировщи</w:t>
      </w:r>
      <w:r w:rsidRPr="00722885">
        <w:rPr>
          <w:rFonts w:ascii="Times New Roman" w:hAnsi="Times New Roman"/>
          <w:color w:val="000000" w:themeColor="text1"/>
          <w:sz w:val="16"/>
          <w:szCs w:val="16"/>
        </w:rPr>
        <w:softHyphen/>
        <w:t>ка значительно возрастала. Ил-4 специально доработали. Он полу</w:t>
      </w:r>
      <w:r w:rsidRPr="00722885">
        <w:rPr>
          <w:rFonts w:ascii="Times New Roman" w:hAnsi="Times New Roman"/>
          <w:color w:val="000000" w:themeColor="text1"/>
          <w:sz w:val="16"/>
          <w:szCs w:val="16"/>
        </w:rPr>
        <w:softHyphen/>
        <w:t>чил буксирный замок, тросовое ограждение хвостового оперения и приемное устройство для шланга перекачки топлива. В планер установили два бака общей емкостью 1000 л, перекачи</w:t>
      </w:r>
      <w:r w:rsidRPr="00722885">
        <w:rPr>
          <w:rFonts w:ascii="Times New Roman" w:hAnsi="Times New Roman"/>
          <w:color w:val="000000" w:themeColor="text1"/>
          <w:sz w:val="16"/>
          <w:szCs w:val="16"/>
        </w:rPr>
        <w:softHyphen/>
        <w:t>вающий бензонасос с питанием от аккумулятора и дюритовый шланг, проложенный вдоль буксировоч</w:t>
      </w:r>
      <w:r w:rsidRPr="00722885">
        <w:rPr>
          <w:rFonts w:ascii="Times New Roman" w:hAnsi="Times New Roman"/>
          <w:color w:val="000000" w:themeColor="text1"/>
          <w:sz w:val="16"/>
          <w:szCs w:val="16"/>
        </w:rPr>
        <w:softHyphen/>
        <w:t>ного троса.</w:t>
      </w:r>
    </w:p>
    <w:p w14:paraId="40A7EC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Летал на «цистерне» С.Д. Спиваковский. Техника пилотирования планера существенно не изменилась, только на взлете надо было держаться повыше, чтобы шланг не терся о по</w:t>
      </w:r>
      <w:r w:rsidRPr="00722885">
        <w:rPr>
          <w:rFonts w:ascii="Times New Roman" w:hAnsi="Times New Roman"/>
          <w:color w:val="000000" w:themeColor="text1"/>
          <w:sz w:val="16"/>
          <w:szCs w:val="16"/>
        </w:rPr>
        <w:softHyphen/>
        <w:t>лосу. Перекачка велась на скорости 220—230 км/ч. Отцепка планера и сброс шланга происходили вполне надежно. Тем не менее А-7Б использовать в операци</w:t>
      </w:r>
      <w:r w:rsidRPr="00722885">
        <w:rPr>
          <w:rFonts w:ascii="Times New Roman" w:hAnsi="Times New Roman"/>
          <w:color w:val="000000" w:themeColor="text1"/>
          <w:sz w:val="16"/>
          <w:szCs w:val="16"/>
        </w:rPr>
        <w:softHyphen/>
        <w:t>ях авиации дальнего действия не стали.</w:t>
      </w:r>
    </w:p>
    <w:p w14:paraId="0536FB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Вместе со стандартными А-7 выпускались учеб</w:t>
      </w:r>
      <w:r w:rsidRPr="00722885">
        <w:rPr>
          <w:rFonts w:ascii="Times New Roman" w:hAnsi="Times New Roman"/>
          <w:color w:val="000000" w:themeColor="text1"/>
          <w:sz w:val="16"/>
          <w:szCs w:val="16"/>
        </w:rPr>
        <w:softHyphen/>
        <w:t>ные А-7У с двойным управлением и А-7Ш, на котором предусматривалось место для штурмана (12300).</w:t>
      </w:r>
    </w:p>
    <w:p w14:paraId="296225C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5509F9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27 декабря 1942 вышел приказ НКАП N 912 "О выпуске самолета истребителя Як-9 на заводе 153 с пушками 37 мм ОКБ-16 (в январе - 5, в феврале - 30, в марте - 100).</w:t>
      </w:r>
    </w:p>
    <w:p w14:paraId="7106F1DD" w14:textId="77777777" w:rsidR="00BB6316" w:rsidRPr="00722885" w:rsidRDefault="00BB6316" w:rsidP="00722885">
      <w:pPr>
        <w:pStyle w:val="Iauiue"/>
        <w:jc w:val="both"/>
        <w:rPr>
          <w:color w:val="000000" w:themeColor="text1"/>
          <w:sz w:val="16"/>
          <w:szCs w:val="16"/>
        </w:rPr>
      </w:pPr>
    </w:p>
    <w:p w14:paraId="3279AA3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27 декабря 1942 П.М.Стефановский после пробного полета на И-185 с новым мотором полетел делать скоростные площадки по высотам. Мотор вновь заклинило и совершая аварийную посадку машина была разбита, т.к. аэродром был забит бомбардировщиками В-25. По П.М.Стефановскому так были закончены совместные испытания и была рекомендация о запуске машины в серию. Не было дальности. П.М.Стефановский был в больнице и порекомендовал В.А.Степанчонка. Тот разбил машину на ЦА (2921,146).</w:t>
      </w:r>
    </w:p>
    <w:p w14:paraId="0083CE6F" w14:textId="77777777" w:rsidR="00BB6316" w:rsidRPr="00722885" w:rsidRDefault="00BB6316" w:rsidP="00722885">
      <w:pPr>
        <w:pStyle w:val="Iauiue"/>
        <w:jc w:val="both"/>
        <w:rPr>
          <w:color w:val="000000" w:themeColor="text1"/>
          <w:sz w:val="16"/>
          <w:szCs w:val="16"/>
        </w:rPr>
      </w:pPr>
    </w:p>
    <w:p w14:paraId="5B9332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27 декаб</w:t>
      </w:r>
      <w:r w:rsidRPr="00722885">
        <w:rPr>
          <w:rFonts w:ascii="Times New Roman" w:hAnsi="Times New Roman"/>
          <w:color w:val="000000" w:themeColor="text1"/>
          <w:sz w:val="16"/>
          <w:szCs w:val="16"/>
        </w:rPr>
        <w:softHyphen/>
        <w:t>ря 1942 г. по 6 января 1943 г. проходили испытания А-7Б. В одном экземпляре изготовили «ле</w:t>
      </w:r>
      <w:r w:rsidRPr="00722885">
        <w:rPr>
          <w:rFonts w:ascii="Times New Roman" w:hAnsi="Times New Roman"/>
          <w:color w:val="000000" w:themeColor="text1"/>
          <w:sz w:val="16"/>
          <w:szCs w:val="16"/>
        </w:rPr>
        <w:softHyphen/>
        <w:t>тающую цистерну» А-7Б - фактически буксируемый дополнительный топлив</w:t>
      </w:r>
      <w:r w:rsidRPr="00722885">
        <w:rPr>
          <w:rFonts w:ascii="Times New Roman" w:hAnsi="Times New Roman"/>
          <w:color w:val="000000" w:themeColor="text1"/>
          <w:sz w:val="16"/>
          <w:szCs w:val="16"/>
        </w:rPr>
        <w:softHyphen/>
        <w:t>ный бак, который должен был тянуть за собой бомбардировщик Ил-4.</w:t>
      </w:r>
    </w:p>
    <w:p w14:paraId="3909BD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Ил-4 специально доработали. Он получил буксирный замок, тросовое ограждение хвостового оперения и при</w:t>
      </w:r>
      <w:r w:rsidRPr="00722885">
        <w:rPr>
          <w:rFonts w:ascii="Times New Roman" w:hAnsi="Times New Roman"/>
          <w:color w:val="000000" w:themeColor="text1"/>
          <w:sz w:val="16"/>
          <w:szCs w:val="16"/>
        </w:rPr>
        <w:softHyphen/>
        <w:t>ёмное устройство для шланга перекач</w:t>
      </w:r>
      <w:r w:rsidRPr="00722885">
        <w:rPr>
          <w:rFonts w:ascii="Times New Roman" w:hAnsi="Times New Roman"/>
          <w:color w:val="000000" w:themeColor="text1"/>
          <w:sz w:val="16"/>
          <w:szCs w:val="16"/>
        </w:rPr>
        <w:softHyphen/>
        <w:t>ки. На А-7 смонтировали два бензобака (на 300 л спереди и на 700 л сзади), а также перекачивающий электрический насос и два аккумулятора 24А-30 для его питания. Выводное устройство, к которому крепился шланг, находилось в носовой части фюзеляжа с правой стороны. Дополнительное оборудова</w:t>
      </w:r>
      <w:r w:rsidRPr="00722885">
        <w:rPr>
          <w:rFonts w:ascii="Times New Roman" w:hAnsi="Times New Roman"/>
          <w:color w:val="000000" w:themeColor="text1"/>
          <w:sz w:val="16"/>
          <w:szCs w:val="16"/>
        </w:rPr>
        <w:softHyphen/>
        <w:t>ние увеличило вес пустого планёра до 1087 кг. Шланг диаметром 30 мм шёл параллельно буксирному тросу и со</w:t>
      </w:r>
      <w:r w:rsidRPr="00722885">
        <w:rPr>
          <w:rFonts w:ascii="Times New Roman" w:hAnsi="Times New Roman"/>
          <w:color w:val="000000" w:themeColor="text1"/>
          <w:sz w:val="16"/>
          <w:szCs w:val="16"/>
        </w:rPr>
        <w:softHyphen/>
        <w:t>единялся с ним лентами и проволо</w:t>
      </w:r>
      <w:r w:rsidRPr="00722885">
        <w:rPr>
          <w:rFonts w:ascii="Times New Roman" w:hAnsi="Times New Roman"/>
          <w:color w:val="000000" w:themeColor="text1"/>
          <w:sz w:val="16"/>
          <w:szCs w:val="16"/>
        </w:rPr>
        <w:softHyphen/>
        <w:t>кой. После перекачки бензина из ба</w:t>
      </w:r>
      <w:r w:rsidRPr="00722885">
        <w:rPr>
          <w:rFonts w:ascii="Times New Roman" w:hAnsi="Times New Roman"/>
          <w:color w:val="000000" w:themeColor="text1"/>
          <w:sz w:val="16"/>
          <w:szCs w:val="16"/>
        </w:rPr>
        <w:softHyphen/>
        <w:t>ков планёра он отцеплялся, а самолёт сбрасывал шланг вместе с тросом.</w:t>
      </w:r>
    </w:p>
    <w:p w14:paraId="45B2F95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Летал на «цистерне» С.Д. Спиваковский. Техника пилотирования планёра существенно не изменилась, только на взлёте надо было держаться повыше, чтобы шланг не тёрся о полосу. Перекачка велась на скорости 220 - 230 км/ч. Отцепка планёра и сброс шланга происходили вполне надёжно. Тем не менее, А-7Б использовать в операциях Авиации дальнего действия не стали (12266).</w:t>
      </w:r>
    </w:p>
    <w:p w14:paraId="7E148D4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57C63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27 дека</w:t>
      </w:r>
      <w:r w:rsidRPr="00722885">
        <w:rPr>
          <w:rFonts w:ascii="Times New Roman" w:hAnsi="Times New Roman"/>
          <w:color w:val="000000" w:themeColor="text1"/>
          <w:sz w:val="16"/>
          <w:szCs w:val="16"/>
        </w:rPr>
        <w:softHyphen/>
        <w:t>бря 1942 г. по 6 января 1943 г. проходили испытания А-7Б.</w:t>
      </w:r>
    </w:p>
    <w:p w14:paraId="4011C5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в одном экземпляре изготовили «летающую цистерну» А-7Б — фактически буксируемый дополнительный топливный бак, который должен был тянуть за собой бомбардировщик Ил-4. Эту модификацию в основном проводил Моска</w:t>
      </w:r>
      <w:r w:rsidRPr="00722885">
        <w:rPr>
          <w:rFonts w:ascii="Times New Roman" w:hAnsi="Times New Roman"/>
          <w:color w:val="000000" w:themeColor="text1"/>
          <w:sz w:val="16"/>
          <w:szCs w:val="16"/>
        </w:rPr>
        <w:softHyphen/>
        <w:t>лёв. Идея состояла в том, чтобы разместить на пла</w:t>
      </w:r>
      <w:r w:rsidRPr="00722885">
        <w:rPr>
          <w:rFonts w:ascii="Times New Roman" w:hAnsi="Times New Roman"/>
          <w:color w:val="000000" w:themeColor="text1"/>
          <w:sz w:val="16"/>
          <w:szCs w:val="16"/>
        </w:rPr>
        <w:softHyphen/>
        <w:t>нере запас бензина, который в полете передавался на буксировщик. В перспективе предполагалось подцепить беспи</w:t>
      </w:r>
      <w:r w:rsidRPr="00722885">
        <w:rPr>
          <w:rFonts w:ascii="Times New Roman" w:hAnsi="Times New Roman"/>
          <w:color w:val="000000" w:themeColor="text1"/>
          <w:sz w:val="16"/>
          <w:szCs w:val="16"/>
        </w:rPr>
        <w:softHyphen/>
        <w:t>лотный планер — бензовоз к бом</w:t>
      </w:r>
      <w:r w:rsidRPr="00722885">
        <w:rPr>
          <w:rFonts w:ascii="Times New Roman" w:hAnsi="Times New Roman"/>
          <w:color w:val="000000" w:themeColor="text1"/>
          <w:sz w:val="16"/>
          <w:szCs w:val="16"/>
        </w:rPr>
        <w:softHyphen/>
        <w:t>бардировщику, а после выработки топлива — сбросить. Тем самым дальность полета бомбардировщи</w:t>
      </w:r>
      <w:r w:rsidRPr="00722885">
        <w:rPr>
          <w:rFonts w:ascii="Times New Roman" w:hAnsi="Times New Roman"/>
          <w:color w:val="000000" w:themeColor="text1"/>
          <w:sz w:val="16"/>
          <w:szCs w:val="16"/>
        </w:rPr>
        <w:softHyphen/>
        <w:t>ка значительно возрастала. Ил-4 специально доработали. Он полу</w:t>
      </w:r>
      <w:r w:rsidRPr="00722885">
        <w:rPr>
          <w:rFonts w:ascii="Times New Roman" w:hAnsi="Times New Roman"/>
          <w:color w:val="000000" w:themeColor="text1"/>
          <w:sz w:val="16"/>
          <w:szCs w:val="16"/>
        </w:rPr>
        <w:softHyphen/>
        <w:t>чил буксирный замок, тросовое ограждение хвостового оперения и приемное устройство для шланга перекачки топлива. В планер установили два бака общей емкостью 1000 л, перекачи</w:t>
      </w:r>
      <w:r w:rsidRPr="00722885">
        <w:rPr>
          <w:rFonts w:ascii="Times New Roman" w:hAnsi="Times New Roman"/>
          <w:color w:val="000000" w:themeColor="text1"/>
          <w:sz w:val="16"/>
          <w:szCs w:val="16"/>
        </w:rPr>
        <w:softHyphen/>
        <w:t>вающий бензонасос с питанием от аккумулятора и дюритовый шланг, проложенный вдоль буксировоч</w:t>
      </w:r>
      <w:r w:rsidRPr="00722885">
        <w:rPr>
          <w:rFonts w:ascii="Times New Roman" w:hAnsi="Times New Roman"/>
          <w:color w:val="000000" w:themeColor="text1"/>
          <w:sz w:val="16"/>
          <w:szCs w:val="16"/>
        </w:rPr>
        <w:softHyphen/>
        <w:t>ного троса.</w:t>
      </w:r>
    </w:p>
    <w:p w14:paraId="04CDC4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Летал на «цистерне» С.Д. Спиваковский. Техника пилотирования планера существенно не изменилась, только на взлете надо было держаться повыше, чтобы шланг не терся о по</w:t>
      </w:r>
      <w:r w:rsidRPr="00722885">
        <w:rPr>
          <w:rFonts w:ascii="Times New Roman" w:hAnsi="Times New Roman"/>
          <w:color w:val="000000" w:themeColor="text1"/>
          <w:sz w:val="16"/>
          <w:szCs w:val="16"/>
        </w:rPr>
        <w:softHyphen/>
        <w:t>лосу. Перекачка велась на скорости 220—230 км/ч. Отцепка планера и сброс шланга происходили вполне надежно. Тем не менее А-7Б использовать в операци</w:t>
      </w:r>
      <w:r w:rsidRPr="00722885">
        <w:rPr>
          <w:rFonts w:ascii="Times New Roman" w:hAnsi="Times New Roman"/>
          <w:color w:val="000000" w:themeColor="text1"/>
          <w:sz w:val="16"/>
          <w:szCs w:val="16"/>
        </w:rPr>
        <w:softHyphen/>
        <w:t>ях авиации дальнего действия не стали.</w:t>
      </w:r>
    </w:p>
    <w:p w14:paraId="6500C6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Вместе со стандартными А-7 выпускались учеб</w:t>
      </w:r>
      <w:r w:rsidRPr="00722885">
        <w:rPr>
          <w:rFonts w:ascii="Times New Roman" w:hAnsi="Times New Roman"/>
          <w:color w:val="000000" w:themeColor="text1"/>
          <w:sz w:val="16"/>
          <w:szCs w:val="16"/>
        </w:rPr>
        <w:softHyphen/>
        <w:t>ные А-7У с двойным управлением и А-7Ш, на котором предусматривалось место для штурмана (12300).</w:t>
      </w:r>
    </w:p>
    <w:p w14:paraId="69D289A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CF89FD8"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918EDD1" w14:textId="77777777" w:rsidR="00BB6316" w:rsidRPr="00722885" w:rsidRDefault="00BB6316" w:rsidP="00722885">
      <w:pPr>
        <w:pStyle w:val="Iauiue"/>
        <w:jc w:val="both"/>
        <w:rPr>
          <w:iCs/>
          <w:color w:val="000000" w:themeColor="text1"/>
          <w:sz w:val="16"/>
          <w:szCs w:val="16"/>
        </w:rPr>
      </w:pPr>
    </w:p>
    <w:p w14:paraId="4C686E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декабря 1942 вышло Постановление ГКО № 2661 Об организации производства танков Т-80 на б. Мытищинском вагоностроительном заводе. РГАНИР, Фонд ГКО, д. 74, лл. 109-112, 113-118 (11012).</w:t>
      </w:r>
    </w:p>
    <w:p w14:paraId="5D69BCB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C7A37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27 декабря 1942 года ситуация коренным образом изменилась. Дело в том, что в этот день И. Сталин подписал постановление ГКО № 2661сс, согласно которому на вооружение Красной Армии принимался легкий танк Т-80, разработанный на ГАЗе. Для серийного выпуска этой машины выделялся завод № 592. который передавался из наркомата вооружения в наркомат танковой промышленности и получал при этом новый номер — № 40. Первые Т-80 предписывалось сдать уже в апреле 1943 года в количестве 25 штук. В связи с этим выпуск СГ-122 прекращался с 1 февраля 1943 года, при этом в январе завод № 40 должен был собрать и сдать 10 таких машин из имевшегося задела.</w:t>
      </w:r>
    </w:p>
    <w:p w14:paraId="37ABA8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же за 1942–1943 года завод № 592 (№ 40) собрал 26 самоходных установок, включая первый опытный образец. Причём эти машины, несмотря на их небольшое количество, даже успели повоевать (12688).</w:t>
      </w:r>
    </w:p>
    <w:p w14:paraId="4F6E366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22955E5" w14:textId="77777777" w:rsidR="00475D5C" w:rsidRPr="00722885" w:rsidRDefault="00475D5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27 декабря 1942 года постановлением ГКО №2661 завод завод №592 преобразовывался в завод №40 НКТП и его обязали осваивать производство лёгкого танка Т-80. Тем не менее, завод №592 всё равно обязали построить ещё 10 СГ-122. На практике за январь 1943 года предприятию удалось выпустить 12 самоходных установок. Таким образом, общий объём выпуска составил 21 машину, из которых в войска отправились 20. Эти машины получили серийные номера 1001–1021 (17663).</w:t>
      </w:r>
    </w:p>
    <w:p w14:paraId="16D11B8B" w14:textId="77777777" w:rsidR="00475D5C" w:rsidRPr="00722885" w:rsidRDefault="00475D5C" w:rsidP="00722885">
      <w:pPr>
        <w:pStyle w:val="12a"/>
        <w:shd w:val="clear" w:color="auto" w:fill="auto"/>
        <w:spacing w:after="0" w:line="240" w:lineRule="auto"/>
        <w:jc w:val="both"/>
        <w:rPr>
          <w:color w:val="000000" w:themeColor="text1"/>
          <w:sz w:val="16"/>
          <w:szCs w:val="16"/>
        </w:rPr>
      </w:pPr>
    </w:p>
    <w:p w14:paraId="6F1A65CE" w14:textId="77777777" w:rsidR="00475D5C" w:rsidRPr="00722885" w:rsidRDefault="00475D5C" w:rsidP="00722885">
      <w:pPr>
        <w:pStyle w:val="ae"/>
        <w:shd w:val="clear" w:color="auto" w:fill="FFFFFF"/>
        <w:spacing w:before="0" w:after="0"/>
        <w:jc w:val="both"/>
        <w:rPr>
          <w:color w:val="000000" w:themeColor="text1"/>
          <w:sz w:val="16"/>
          <w:szCs w:val="16"/>
        </w:rPr>
      </w:pPr>
      <w:r w:rsidRPr="00722885">
        <w:rPr>
          <w:color w:val="000000" w:themeColor="text1"/>
          <w:sz w:val="16"/>
          <w:szCs w:val="16"/>
        </w:rPr>
        <w:t>27 декабря 1942 года тот подписал постановление ГКО №2661сс «Об организации производства танка Т-80 на бывшем Мытищенском вагоностроительном заводе». Согласно документу, в апреле 1943 года в Мытищах должны были изготовить 25 танков данного типа, в мае 50, а в июне 100. О том, что новые танки будет собирать и ГАЗ им. Молотова, в постановлении ГКО ничего не говорилось. Заводское КБ обеспечивало завод №40, в который переформировали бывший завод №592, технической документацией, а также двигателями и рядом других узлов и агрегатов (17712).</w:t>
      </w:r>
    </w:p>
    <w:p w14:paraId="62C08685" w14:textId="77777777" w:rsidR="00475D5C" w:rsidRPr="00722885" w:rsidRDefault="00475D5C" w:rsidP="00722885">
      <w:pPr>
        <w:pStyle w:val="12a"/>
        <w:shd w:val="clear" w:color="auto" w:fill="auto"/>
        <w:spacing w:after="0" w:line="240" w:lineRule="auto"/>
        <w:jc w:val="both"/>
        <w:rPr>
          <w:color w:val="000000" w:themeColor="text1"/>
          <w:sz w:val="16"/>
          <w:szCs w:val="16"/>
        </w:rPr>
      </w:pPr>
    </w:p>
    <w:p w14:paraId="5047C04E" w14:textId="77777777" w:rsidR="007B627D" w:rsidRPr="00722885" w:rsidRDefault="007B627D"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27 декабря 1942 года было подписано постановление ГКО №2661сс "Об организации производства танков Т-80 на бывшем Мытищинском вагоностроительном заводе" (20344).</w:t>
      </w:r>
    </w:p>
    <w:p w14:paraId="6BA944B4" w14:textId="77777777" w:rsidR="007B627D" w:rsidRPr="00722885" w:rsidRDefault="007B627D" w:rsidP="00722885">
      <w:pPr>
        <w:pStyle w:val="article-renderblock"/>
        <w:shd w:val="clear" w:color="auto" w:fill="FFFFFF"/>
        <w:spacing w:before="0" w:beforeAutospacing="0" w:after="0" w:afterAutospacing="0"/>
        <w:jc w:val="both"/>
        <w:rPr>
          <w:color w:val="0070C0"/>
          <w:sz w:val="16"/>
          <w:szCs w:val="16"/>
        </w:rPr>
      </w:pPr>
    </w:p>
    <w:p w14:paraId="57BD9B76" w14:textId="77777777" w:rsidR="007B627D" w:rsidRPr="00722885" w:rsidRDefault="007B627D"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С 27 декабря 1942 по 13 января 1943 года прошел первый этап испытаний модернизированной ЗУТ-37 – заводские испытания, а вторым - полигонные испытания, проходившие в период с 13 по 29 января 1943 года. Идея с переходом на питание пушки обоймой оказалась правильной: практическую скорострельность удалось довести до 35 выстрелов в минуту, что, впрочем, было далеко до 60 выстрелов в минуту, как этого требовало задание. Остались на месте и некоторые проблемы, имевшиеся до того. Это касалось и явно недостаточной для ЗСУ скорости горизонтальной наводки орудия. В связи с этим предлагалось увеличить скорость горизонтального поворота башни с 3 до 10 градусов за один оборот маховика при одинаковом усилии. Отмечалось неудобное расположение прицелов, недостаточное уравновешивание системы, недостаточно надежную работу противооткатной системы. Противооткатную систему предлагалось сделать более компактной, а ее кожух забронировать. Отмечалась и неуравновешенность системы. Штатное башенное сиденье следовало заменить на такое же с Т-80, а в дополнение к ножному спуску требовался и ручной.</w:t>
      </w:r>
    </w:p>
    <w:p w14:paraId="2001D144" w14:textId="77777777" w:rsidR="007B627D" w:rsidRPr="00722885" w:rsidRDefault="007B627D"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Боевое отделение. Проработано оно оказалось лучше, чем ранее, но прицелами оказалось пользоваться неудобно.</w:t>
      </w:r>
    </w:p>
    <w:p w14:paraId="00C5D78D" w14:textId="77777777" w:rsidR="007B627D" w:rsidRPr="00722885" w:rsidRDefault="007B627D"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Несмотря на целую массу замечаний, комиссия отмечала и положительные стороны. Машина явно была лучше предшествующего варианта. Кроме того, отмечались неплохие данные по бронепробитию. Ш-37 по этому показателю чуть превосходила 45-мм танковую пушку обр.1938 года. Впрочем, на дворе стоял январь 1943 года, вовсю шли работы по танковым пушкам ВТ-42 и ВТ-43, имевших баллистику 45-мм противотанковой пушки М-42, которая авиационную пушку явно превосходила. Так или иначе, но на НИБТ Полигоне признали ЗУТ-37 выдержавшей испытания. При исправлении выявленных недостатков предлагалось изготовить опытную серию ЗУТ-37 с использованием шасси танков Т-70 и Т-80 (20346).</w:t>
      </w:r>
    </w:p>
    <w:p w14:paraId="40EAF864" w14:textId="77777777" w:rsidR="007B627D" w:rsidRPr="00722885" w:rsidRDefault="007B627D" w:rsidP="00722885">
      <w:pPr>
        <w:shd w:val="clear" w:color="auto" w:fill="FFFFFF"/>
        <w:spacing w:after="0" w:line="240" w:lineRule="auto"/>
        <w:jc w:val="both"/>
        <w:rPr>
          <w:rFonts w:ascii="Times New Roman" w:hAnsi="Times New Roman"/>
          <w:color w:val="0070C0"/>
          <w:sz w:val="16"/>
          <w:szCs w:val="16"/>
        </w:rPr>
      </w:pPr>
    </w:p>
    <w:p w14:paraId="0EF591BB" w14:textId="77777777" w:rsidR="00F94D1F" w:rsidRPr="00722885" w:rsidRDefault="00F94D1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С 27 декабря 1942 года по 29 января 1943 года прошли испытания ЗУТ-37, показали невысокую кучность орудия, неуравновешенность артсистемы и ряд других недостатков. Дальнейшие работы по установке в Т-70 37-мм пушки ОКБ-15 были прекращены.  На этом закончилась и история последней серийной разработки главы ОКБ-15 Б.Г.Шпитального.</w:t>
      </w:r>
    </w:p>
    <w:p w14:paraId="7DE47E9C" w14:textId="77777777" w:rsidR="00F94D1F" w:rsidRPr="00722885" w:rsidRDefault="00F94D1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ОКБ-15 разработало улучшенный образец зенитного танка на базе Т-70, получившего обозначение ЗУТ-37 (зенитная установка танковая калибра 37 мм).</w:t>
      </w:r>
    </w:p>
    <w:p w14:paraId="41DA120B" w14:textId="77777777" w:rsidR="00F94D1F" w:rsidRPr="00722885" w:rsidRDefault="00F94D1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Масса машины снизилась до 7,9 тонны, магазины пушки сделали более компактными под 5 выстрелов, боекомплект увеличили до 200 снарядов, переделали башню, смонтировали прицел для стрельбы по наземным целям и т.д. (19169).</w:t>
      </w:r>
    </w:p>
    <w:p w14:paraId="65F31513" w14:textId="77777777" w:rsidR="00F94D1F" w:rsidRPr="00722885" w:rsidRDefault="00F94D1F" w:rsidP="00722885">
      <w:pPr>
        <w:spacing w:after="0" w:line="240" w:lineRule="auto"/>
        <w:jc w:val="both"/>
        <w:rPr>
          <w:rFonts w:ascii="Times New Roman" w:hAnsi="Times New Roman"/>
          <w:color w:val="000000" w:themeColor="text1"/>
          <w:sz w:val="16"/>
          <w:szCs w:val="16"/>
        </w:rPr>
      </w:pPr>
    </w:p>
    <w:p w14:paraId="397C5504" w14:textId="77777777" w:rsidR="00475D5C" w:rsidRPr="00722885" w:rsidRDefault="00475D5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27 декабря 1942 в совещании на УЗТМ принимали участие Котин, Горлицкий, руководство УЗТМ, а также представители ГАБТУ и ГАУ. К тому времени машины установочной партии в значительной степени были готовы, но сроки все же поджимали. В результате на совещании было решено принимать первые СУ-35 без укладок боекомплекта, поскольку их чертежи все еще не были готовы. При этом одну машину комплектовали полностью, чтобы проверить соответствие СУ-35 тактико-техническим требованиям. Также на этом совещании был принят ряд решений, связанных с условиями приемки самоходных установок установочной партии.</w:t>
      </w:r>
    </w:p>
    <w:p w14:paraId="71D64F7E" w14:textId="77777777" w:rsidR="00475D5C" w:rsidRPr="00722885" w:rsidRDefault="00475D5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Аналогичным образом решались вопросы и на совещании 31 декабря. Выяснилось, что из-за некоторых отклонений от чертежей первые СУ-35 отличались от спроектированной машины по некоторым характеристикам. Например, согласно тактико-техническим требованиям углы наводки по вертикали составляли от −3 до +25 градусов, а по факту получилось от −1,3 до +23,3 градусов. Вместо 8 кг усилия на маховиках механизмов наводки составляли 14 кг. На совещании было решено САУ с такими отклонениями все же принять. Еще одной проблемой стало то, что щели между подвижной и неподвижной бронировками системы оказались больше положенных. Этот недостаток устранили путем прикрытия щелей дополнительными щитками толщиной 10 мм (17685).</w:t>
      </w:r>
    </w:p>
    <w:p w14:paraId="45B49B32" w14:textId="77777777" w:rsidR="00475D5C" w:rsidRPr="00722885" w:rsidRDefault="00475D5C" w:rsidP="00722885">
      <w:pPr>
        <w:pStyle w:val="12a"/>
        <w:shd w:val="clear" w:color="auto" w:fill="auto"/>
        <w:spacing w:after="0" w:line="240" w:lineRule="auto"/>
        <w:jc w:val="both"/>
        <w:rPr>
          <w:color w:val="000000" w:themeColor="text1"/>
          <w:sz w:val="16"/>
          <w:szCs w:val="16"/>
        </w:rPr>
      </w:pPr>
    </w:p>
    <w:p w14:paraId="3CB2A1E9" w14:textId="77777777" w:rsidR="00475D5C" w:rsidRPr="00722885" w:rsidRDefault="00475D5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27 декабря 1942 года вышло постановление ГКО №2662сс «О сформировании самоходных артиллерийских полков РГК». В соответствии с ним по штату № 08/158 предполагалось создать 30 самоходных артиллерийских полков (САП), в которые должны были входить по 16 СУ-12 (СУ-76) и 8 СУ-122.</w:t>
      </w:r>
    </w:p>
    <w:p w14:paraId="2BFA2BD5" w14:textId="77777777" w:rsidR="00475D5C" w:rsidRPr="00722885" w:rsidRDefault="00475D5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Первыми СУ-122 получили 1433-й и 1434-й САП. Оба самоходных полка были сформированы по штату № 08/191, который предусматривал смешанное комплектование машинами. Командирская машина, а также 3 батареи по 4 САУ в каждой, комплектовались СУ-122, еще две батареи вооружались СУ-12 (СУ-76). Изначально по той же структуре формировался и 1435-й САП, но позже вместо СУ-122 он получил </w:t>
      </w:r>
      <w:hyperlink r:id="rId196" w:history="1">
        <w:r w:rsidRPr="00722885">
          <w:rPr>
            <w:rFonts w:ascii="Times New Roman" w:eastAsia="Times New Roman" w:hAnsi="Times New Roman"/>
            <w:color w:val="000000" w:themeColor="text1"/>
            <w:sz w:val="16"/>
            <w:szCs w:val="16"/>
            <w:lang w:eastAsia="ru-RU"/>
          </w:rPr>
          <w:t>СГ-122</w:t>
        </w:r>
      </w:hyperlink>
      <w:r w:rsidRPr="00722885">
        <w:rPr>
          <w:rFonts w:ascii="Times New Roman" w:eastAsia="Times New Roman" w:hAnsi="Times New Roman"/>
          <w:color w:val="000000" w:themeColor="text1"/>
          <w:sz w:val="16"/>
          <w:szCs w:val="16"/>
          <w:lang w:eastAsia="ru-RU"/>
        </w:rPr>
        <w:t>. Точно такую же структуру (по 15 СУ-122 и 8 СУ-12) имели САП, получившие номера в интервалах 1436–1444 и 1446–1451.</w:t>
      </w:r>
    </w:p>
    <w:p w14:paraId="37704918" w14:textId="77777777" w:rsidR="00475D5C" w:rsidRPr="00722885" w:rsidRDefault="00475D5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Прибывшие на Волховский фронт 1433-й и 1434-й САП, согласно отчетам, применялись в качестве средств сопровождения танков и пехоты. Экипажи самоходных орудий ждали окончания огневой подготовки, после чего открывали огонь по уцелевшим огневым точкам противника. Выяснилось, что на подавление пулеметной точки этим машинам в среднем требуется 5–8 снарядов, а на ДОТ – 10–12. В среднем на один день боя для САУ требовалось примерно 3 боекомплекта. Наиболее эффективной дистанцией ведения огня являлись 300–400 метров.</w:t>
      </w:r>
    </w:p>
    <w:p w14:paraId="69B0F8D4" w14:textId="77777777" w:rsidR="00475D5C" w:rsidRPr="00722885" w:rsidRDefault="00475D5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Отмечалось, что при доворотах орудий расчет подвергался риску. На больших углах наведения существовала высокая вероятность получить увечия во время стрельбы. В целом боевое отделение было признано тесным, а условия работы расчета – неудобными. Еще одной проблемой наведения по горизонтали стало то, что на наибольших углах панорама «смотрела» на стенку колпака.</w:t>
      </w:r>
    </w:p>
    <w:p w14:paraId="4546D86C" w14:textId="77777777" w:rsidR="00475D5C" w:rsidRPr="00722885" w:rsidRDefault="00475D5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Люк механика-водителя, который сделали «половинчатым», предназначался только для улучшения обзора в походном положении. Из частей шли требования сделать его шире, но технически это оказалось невозможным, мешали слишком большие размеры артиллерийской системы. Малые размеры люка неоднократно приводили к тому, что при пожаре гибли механики-водители, не успевавшие покинуть горящую машину.</w:t>
      </w:r>
    </w:p>
    <w:p w14:paraId="49E9874B" w14:textId="77777777" w:rsidR="00475D5C" w:rsidRPr="00722885" w:rsidRDefault="00475D5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Опыты первых боев выявили и недостатки смешанной структуры САП. В результате появился штат № 010/453. Согласно ему, в состав самоходного артиллерийского полка входило 16 СУ-122 (4 батареи по 4 машины) и командирский Т-34. Именно такой штат имели полки, которые участвовали в боях на Курской дуге. Здесь противником впервые по-настоящему массировано были применены немецкие тяжелые танки Pz.Kpfw. Tiger Ausf.E, средние танки Pz.Kpfw. Panther Ausf.D и самоходные орудия Ferdinand. С этим «зверинцем» СУ-122 пришлось столкнуться довольно тесно. В частности, машины из состава 1454-го САП оборонялись на северном фасе, прикрывая Поныри. Несмотря на некоторые успехи в борьбе с немецкими танками, стало очевидно, что как противотанковое средство СУ-122 показала себя не лучшим образом. Ничего удивительного тут нет, ведь машина создавалась как штурмовая САУ.</w:t>
      </w:r>
    </w:p>
    <w:p w14:paraId="1EF81CD8" w14:textId="77777777" w:rsidR="00475D5C" w:rsidRPr="00722885" w:rsidRDefault="00475D5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Решать проблему стали двумя путями. Первый заключался в организации производства самоходных установок СУ-85, вооруженных 85-мм орудиями Д-5С. Вторым путем стала разработка кумулятивного боеприпаса БП-460А. Согласно утвержденным нормам, в боекомплекте СУ-122 предусматривалось наличие 10 таких выстрелов. Стоит отметить, что появление новых немецких танков совсем не означало исчезновение СУ-122 из самоходных артиллерийских полков. Эти машины показали себя как эффективное средство поддержки. Иные машины переживали по нескольку своих экипажей. Применялись СУ-122 и в боях 1945 года.</w:t>
      </w:r>
    </w:p>
    <w:p w14:paraId="2F7740B8" w14:textId="77777777" w:rsidR="00475D5C" w:rsidRPr="00722885" w:rsidRDefault="00475D5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целом СУ-122 оказалась вполне удачной боевой машиной. При наличии ряда недостатков она оказалась эффективным средством поддержки пехоты и танков. В огне войны этих самоходных установок почти не уцелело. На текущий момент известно о четырех машинах этого типа, сохранившихся до наших дней, из них комплектная всего одна. Это самоходная установка №305320, воевавшая в составе 1418-го САП, входившего, в свою очередь, в состав 15-го танкового корпуса 3-й гвардейской танковой армии. Машина из 4-й батареи под командованием лейтенанта В.С. Принорова участвовала в наступательных боях второй половины июля 1943 года. 24 июля в ходе боя за село Никольское Свердловского района Орловской области машина была подбита. Замковой и наводчик погибли, командир и механик-водитель были ранены. Далее машина отправилась на ремонт, ее последующий боевой путь пока неизвестен. В ходе эксплуатации старые опорные катки САУ были заменены на новые, без перфорации. Ныне эта машина находится в парке «Патриот» (17685).</w:t>
      </w:r>
    </w:p>
    <w:p w14:paraId="0CFA99CE" w14:textId="77777777" w:rsidR="00475D5C" w:rsidRPr="00722885" w:rsidRDefault="00475D5C" w:rsidP="00722885">
      <w:pPr>
        <w:pStyle w:val="12a"/>
        <w:shd w:val="clear" w:color="auto" w:fill="auto"/>
        <w:spacing w:after="0" w:line="240" w:lineRule="auto"/>
        <w:jc w:val="both"/>
        <w:rPr>
          <w:color w:val="000000" w:themeColor="text1"/>
          <w:sz w:val="16"/>
          <w:szCs w:val="16"/>
        </w:rPr>
      </w:pPr>
    </w:p>
    <w:p w14:paraId="04EB27D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C6418D4" w14:textId="77777777" w:rsidR="00BB6316" w:rsidRPr="00722885" w:rsidRDefault="00BB6316" w:rsidP="00722885">
      <w:pPr>
        <w:pStyle w:val="Iauiue"/>
        <w:jc w:val="both"/>
        <w:rPr>
          <w:iCs/>
          <w:color w:val="000000" w:themeColor="text1"/>
          <w:sz w:val="16"/>
          <w:szCs w:val="16"/>
        </w:rPr>
      </w:pPr>
    </w:p>
    <w:p w14:paraId="37195FEC"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27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6381B195"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27 декабря наши войска в районе Сталинграда, на Центральном фронте, в районе Среднего Дона и юго-восточнее Нальчика продолжали вести наступательные бои на прежних направлениях.</w:t>
      </w:r>
    </w:p>
    <w:p w14:paraId="01867A99"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заняли свыше 20 вражеских дзотов и блиндажей. В течение ночи нашими штурмовыми группами уничтожено до роты гитлеровцев.</w:t>
      </w:r>
    </w:p>
    <w:p w14:paraId="1F19EE6A"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совершенствовали занятые позиции и вели разведку. Группа советских бойцов проникла в расположение немцев, взорвала3 дзота вместе с их гарнизонами и захватила пленных. Огнём нашей артиллерии разбито несколько автомашин и рассеяна колонна пехоты противника.</w:t>
      </w:r>
    </w:p>
    <w:p w14:paraId="40DC2024"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преодолевая сопротивление противника, продолжали продвигаться вперёд. На одном выгодном рубеже немцы сосредоточили до батальона пехоты и несколько артиллерийских и миномётных батарей.</w:t>
      </w:r>
    </w:p>
    <w:p w14:paraId="57C9DCEE"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Ударом с флангов наши подразделения обошли противника. Окружённый вражеский батальон был уничтожен. Захвачено 8 орудий, 14 миномётов, 60 автомашин и другое военное имущество.</w:t>
      </w:r>
    </w:p>
    <w:p w14:paraId="762D8281"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лётчиками в воздушных боях сбито 4 немецких самолёта.</w:t>
      </w:r>
    </w:p>
    <w:p w14:paraId="4AF48C38"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успешно развивать наступление. Отряд советской моторизованной пехоты внезапным налётом занял крупный населённый пункт и захватил 19 орудий, 52 пулемёта, 18 автомашин, склад боеприпасов и склад с имуществом связи. Взято в плен 460 вражеских солдат и офицеров. На другом участке наши наступающие части были контратакованы пехотой и танками противника. После двухчасового боя враг был разгромлен. Подбито 7 танков и уничтожено до 600 немецких солдат и офицеров.</w:t>
      </w:r>
    </w:p>
    <w:p w14:paraId="22B415D7"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части вели активные боевые действия и на отдельных участках несколько продвинулись вперёд. В районе Великих Лук наши бойцы выбили противника из укреплённых позиций и истребили до батальона гитлеровцев. Захвачено 2 танка, 3 орудия и 10 пулемётов.</w:t>
      </w:r>
    </w:p>
    <w:p w14:paraId="71B6963F"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отбито несколько контратак противника, в ходе которых уничтожено до 200 вражеских солдат и офицеров.</w:t>
      </w:r>
    </w:p>
    <w:p w14:paraId="04AED11F"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захватили несколько населённых пунктов.Танкисты Н-ской части, преследуя отступающие войска противника, уничтожили 21 автомашину, 3 танка и свыше 200 гитлеровцев. На другом участке, сломив сопротивление немцев, наши подразделения ворвались в первую линию вражеских окопов и в ожесточённом рукопашном бою истребили до 300 гитлеровцев. Захвачено упротивника 10 орудий, 12 миномётов, 22 пулемёта, много винтовок, автоматов, 2 автомашины и 13 радиостанций.</w:t>
      </w:r>
    </w:p>
    <w:p w14:paraId="41994AD5"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белорусских партизан, действующий в Минской области, разгромил два немецких гарнизона. В боях истреблено 68 и ранено 30 гитлеровцев. Партизаны захватили 50 кавалерийских лошадей с сёдлами, 4 станковых пулемёта и другие трофеи. Другой отряд минских партизан за месяц пустил под откос 5 воинских эшелонов и подорвал на грунтовых дорогах 60 автомашин противника.</w:t>
      </w:r>
    </w:p>
    <w:p w14:paraId="30D8AC8A"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Пленный обер-ефрейтор 16 артиллерийского полка 16 немецкой танковой дивизии Вильгельм Ширбах рассказал: «Я недавно побывал в Берлине. В сентябре в Германии господствовала полная уверенность в неизбежном и скором падении Сталинграда.Теперь никто уже даже не говорит о захвате Сталинграда. В Берлине распространяются упорные слухи о разногласии между Гитлером и видными генералами. Говорят, что генералы решительно высказывались против наступления на Сталинград. Эти слухи проникли и на фронт. Когда русские под Сталинградом окружили нашу дивизию, многим стало ясно, что во всех несчастьях германских войск виноват прежде всего Гитлер. Во всех ротах и батареях офицеры огласили приказ Гитлера — не отступать ни на шаг. Однако дивизия оставила уже не один населённый пункт. Части отступали в беспорядке, бросая своё вооружение. Солдаты расценивают отступление германских войск и окружение их как начало поражения германской армии» (14873).</w:t>
      </w:r>
    </w:p>
    <w:p w14:paraId="035FF7D6"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13B38E15"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27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6A5E7E17"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27 декабря наши войска в районе Среднего Дона продолжали развивать наступление и заняли ряд населённых пунктов, в том числе крупные населённые пункты— Голая, Новая Спасовка, Трофименков, Урюпин, Ясиновка, Солонецкий.</w:t>
      </w:r>
    </w:p>
    <w:p w14:paraId="4618169D"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юго-западнее Сталинграда продвинулись вперёд на 10 — 16 километров и заняли населённые пункты — Городской, Потемкинская, Сазонов, Бирюков, Дорофеевский, Водянский, Заливский, Верхне-Яблочный, Небыков, Самохин, Шарнутовский, Пимен-Черни, железнодорожные станции Жутово и Чилеков. Всего за четыре дня наступления наши войска продвинулись вперёд на 40—60 километров.</w:t>
      </w:r>
    </w:p>
    <w:p w14:paraId="25287235"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и юго-восточнее Нальчика наши войска продолжали вести наступательные бои.</w:t>
      </w:r>
    </w:p>
    <w:p w14:paraId="1BB227AF"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истекшую неделю, с 20 по 26 декабря включительно, в воздушных боях и на аэродромах уничтожено 176 немецких самолётов, в том числе в районе Сталинграда 70 транспортных самолётов.</w:t>
      </w:r>
    </w:p>
    <w:p w14:paraId="1CA9228B"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потери за это же время — 65 самолётов.</w:t>
      </w:r>
    </w:p>
    <w:p w14:paraId="1F9EEA4B"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декабря частями нашей авиации на различных участках фронта уничтожено или повреждено до 20 немецких танков и бронемашин, до 150 автомашин с войсками игрузами, подавлен огонь 4 артиллерийских батарей, разбито два железнодорожных состава, рассеяно и частью уничтожено до батальона пехоты противника.</w:t>
      </w:r>
    </w:p>
    <w:p w14:paraId="2E8EF0C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войска вели успешные наступательные бои и заняли несколько зданий, десятки дзотов и блиндажей противника. Уничтожено более 200 немецких солдат и офицеров, 3 орудия и 8 пулемётов. На южной окраине города наша артиллерия уничтожила 3 миномётные батареи и 8 огневых точек противника.</w:t>
      </w:r>
    </w:p>
    <w:p w14:paraId="3CB7B83E"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укрепляли занятые рубежи и вели обстрел вражеских позиций. Разрушено 24 немецких дзота и 4 наблюдательныхпункта. На одном участке советские бойцы отразили атаку гитлеровцев, уничтожили 3 танка и 160 немецких солдат и офицеров. Захвачены пленные и трофеи.</w:t>
      </w:r>
    </w:p>
    <w:p w14:paraId="6F23F3F8"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советские войска, сломив сопротивление противника, продолжали развивать наступление и заняли несколько населённых пунктов. Враг несёт огромные потери. Пленные немецкие солдаты и офицеры рассказали, что 23 немецкая танковая дивизия потеряла в последних боях почти всё вооружение и свыше двух третей своего личного состава. В течение дня, по неполным данным, нашими войсками уничтожено 23 немецких танка, 18 орудий, 9 самолётов, 60 автомашин и до 2500 солдат и офицеров противника. Захвачено у немцев за день боёв: 56 орудий, 25 миномётов, 390 винтовок, 65 автомашин, два склада боеприпасов и несколько сот пленных.</w:t>
      </w:r>
    </w:p>
    <w:p w14:paraId="51535BF1"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успешное наступление. Бойцы под командованием тов. Русиянова за два дня боёв освободили свыше 30 населённых пунктов, истребили до 3.000 вражеских солдат и офицеров и взяли в плен 1.700 гитлеровцев. Захвачено 3 танка, 58 орудий, 67 пулемётов, 14 миномётов, 30 автомашин, 120 ящиков снарядов и другое имущество и вооружение. В боях за один населённый пункт отличился экипаж танка лейтенанта Ерицкого. На подступах к населённому пункту немцы установили много противотанковых орудий. Советские танкисты ворвались в расположение противника и огнём из орудия и пулемётов истребили более 100 немецких солдат и офицеров.</w:t>
      </w:r>
    </w:p>
    <w:p w14:paraId="05FB074B"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наступательные бои и отбивали контратаки противника. В районе Великих Лук бойцы части, где командиром тов.Дьяконов, сломили сопротивление врага и заняли сильно укреплённый узел сопротивления противника. Немцы, пытаясь восстановить положение, контратаковали наши подразделения. Советские бойцы отбили шесть контратак, измотали силы противника, а затем перешли в наступление и заняли несколько населённых пунктов. В этих боях гитлеровцы понесли большие потери. На другом участке немцы сбрасывали на парашютах боеприпасы своему гарнизону, блокированному в крупном населённом пункте. Значительная часть груза упала на территорию, занятую нашими частями. В этом же районе огнём зенитной артиллерии сбито 6 немецких самолётов.</w:t>
      </w:r>
    </w:p>
    <w:p w14:paraId="0A537A74"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пехотный полк противника, поддержанный танками, атаковал пункт, недавно занятый нашими войсками. В ожесточённом бою вражеский полк потерял убитыми 40 процентов своего состава и был вынужден отступить. Убит также и командир немецкого полка.</w:t>
      </w:r>
    </w:p>
    <w:p w14:paraId="3F8D5C14"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продолжали наступление. Сильный туман и трудно проходимые, в связи с дождями, дороги тормозили продвижение советских частей. Несмотря на это, бойцы Н-ской части, преодолев сопротивление врага, ворвались в крупный населённый пункт. На другом участке наши подразделения заняли железнодорожную станцию, превращенную немцами в укреплённый опорный пункт. Захвачены 4 паровоза, 17 железнодорожных вагонов, 8 танков, 150 бензобаков, более 100 километров телефонного кабеля и склады с боеприпасами. Уничтожено до 600 гитлеровцев. Подразделения под командованием лейтенантов Шелестова и Галкина в рукопашной схватке истребили 70 гитлеровцев, захватили 3 противотанковых орудия, 5 пулемётов и 15 тысяч патронов. Ваши бойцы обнаружили в немецких окопах и блиндажах большое количество одеял, дамских туфель и других вещей, награбленных гитлеровскими мародёрами у местных жителей — осетин.</w:t>
      </w:r>
    </w:p>
    <w:p w14:paraId="2D123DFD"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Вилейской области (Белоруссия), пустил под откос 5 воинских эшелонов противника, взорвал 6 шоссейных мостов, истребил около тысячи немецких солдат и офицеров, в том числе начальника вилейской жандармерии Криля. Кроме того, партизаны сожгли 18 имений новоявленных немецких помещиков, наехавших из Германии и захвативших крестьянские земли. Другой отряд вилейских партизан взорвал три немецкие казармы вместе с находившимися в них гитлеровцами и сжёг продовольственный склад немецко-фашистских оккупантов.»</w:t>
      </w:r>
    </w:p>
    <w:p w14:paraId="2FE0DAC5"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60357275"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Наступление наших войск южнее Сталинграда.</w:t>
      </w:r>
    </w:p>
    <w:p w14:paraId="7D74E9DC"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течение 28 декабря наши войска южнее Сталинграда, продолжая успешно развивать наступление на Котельниковском направлении, продвинулись на 20—25 километров и заняли ряд населённых пунктов и в том числе районный центр Заветное, Верхне-Курмо-Ярская, Нижне-Яблочный, Майорский, Нагольный, Караичев, Крайняя Балка, Поперечный, Бударка, Крылов, Шабалин, Ново-Иловлинский, Никольский, Киселевка, Кетченеры, Кичкино и железнодорожные станции Небыковский, Гремячая, Курмоярский. Всего за 4 дня боёв наши войска продвинулись вперед на 60—85 километров.</w:t>
      </w:r>
    </w:p>
    <w:p w14:paraId="093CAAB1"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исходу 28 декабря количество пленных достигло на этом участке 3.500 человек.</w:t>
      </w:r>
    </w:p>
    <w:p w14:paraId="776CEEE3"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Нашими войсками с 12 по 27 декабря на этом участке захвачено: танков — 60, орудий разных калибров — 155, автомашин — 105, складов с боеприпасами — 2.Уничтожено: самолётов — 278, танков— 427, орудий разных калибров — 221, миномётов — 85, пулемётов—537, автомашин — 877, складов разных — 15.</w:t>
      </w:r>
    </w:p>
    <w:p w14:paraId="2915693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это же время противник потерял только убитыми 17.000 человек.» (14873).</w:t>
      </w:r>
    </w:p>
    <w:p w14:paraId="35720214"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71C67B5A"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27 декабря</w:t>
      </w:r>
      <w:r w:rsidRPr="00722885">
        <w:rPr>
          <w:rFonts w:ascii="Times New Roman" w:hAnsi="Times New Roman"/>
          <w:color w:val="000000" w:themeColor="text1"/>
          <w:sz w:val="16"/>
          <w:szCs w:val="16"/>
        </w:rPr>
        <w:t xml:space="preserve"> в 1942 году А.А.Власовым и генерал-майором В.Ф.Малышкиным было подписано "Обращение Русского Комитета к бойцам и командирам Красной Армии, ко всему русскому народу и другим народам", известное, как "Смоленская декларация". Это была первая политическая программа на будущее, в которой указывалось – не только против чего ведется борьба, но и за что. Тринадцать пунктов документа охватывали все важные вопросы будущего России: ликвидация принудительного труда и колхозов, планомерная передача земли в частную собственность крестьянам; предоставление интеллигенции возможности свободного творчества; уничтожение режима террора и насилия; введение действительной свободы религии, совести, слова, собраний, печати; гарантия неприкосновенности личности; освобождение узников большевизма из тюрем и лагерей (14873).</w:t>
      </w:r>
    </w:p>
    <w:p w14:paraId="66770D7A"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004CDCD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27 декабря 1942 по 23 января 1943 под Сталинградом в составе 688-го шап 228-й шад 16-й ВА проходили войсковые испытания восьми одноместных Ил-2 с 37-мм пушками ШФК-37, которые дали отрицательный результат.</w:t>
      </w:r>
    </w:p>
    <w:p w14:paraId="1FBFC2B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Малый запас продольной устойчивости и усложнение техники пилотирования самолета Ил-2 с пушками ШФК-37 в сочетании с недостаточной жесткостью крыльевых пушечных установок и сильной отдачей самих пушек при стрельбе приводили к тому, что строевые летчики в одной прицельной очереди могли использовать не более 2-3-х снарядов. Стрельба же из одной пушки была совершенно невозможной. Штурмовик сразу же разворачивался в сторону стреляющей пушки так, что ввести поправку в прицеливание не представлялось возможным. Попадание в цель, в этом случае, могло быть только первым снарядом.</w:t>
      </w:r>
    </w:p>
    <w:p w14:paraId="1A9DFEA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результате, установка пушек ШФК-37 на самолет Ил-2 у большинства строевых летчиков поддержки не нашла (8687).</w:t>
      </w:r>
    </w:p>
    <w:p w14:paraId="3A3F7E40" w14:textId="77777777" w:rsidR="00BB6316" w:rsidRPr="00722885" w:rsidRDefault="00BB6316" w:rsidP="00722885">
      <w:pPr>
        <w:pStyle w:val="Iauiue"/>
        <w:jc w:val="both"/>
        <w:rPr>
          <w:color w:val="000000" w:themeColor="text1"/>
          <w:sz w:val="16"/>
          <w:szCs w:val="16"/>
        </w:rPr>
      </w:pPr>
    </w:p>
    <w:p w14:paraId="30DB237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27 декабря 1942 командир ТКА №35 доложил об обнаружении вражеской субмарины, на которую с невыясненными результатами сбросили девять глубинных бомб (6002).</w:t>
      </w:r>
    </w:p>
    <w:p w14:paraId="61EC20E9" w14:textId="77777777" w:rsidR="00BB6316" w:rsidRPr="00722885" w:rsidRDefault="00BB6316" w:rsidP="00722885">
      <w:pPr>
        <w:pStyle w:val="Iauiue"/>
        <w:jc w:val="both"/>
        <w:rPr>
          <w:color w:val="000000" w:themeColor="text1"/>
          <w:sz w:val="16"/>
          <w:szCs w:val="16"/>
        </w:rPr>
      </w:pPr>
    </w:p>
    <w:p w14:paraId="3AB769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декабря 1942 вышло Постановление ГКО № 2662 О сформировании самоходных артиллерийских полков РГК. РГАНИР, Фонд ГКО, д. 74, лл. 119-124, 125-126 (11012).</w:t>
      </w:r>
    </w:p>
    <w:p w14:paraId="295A31E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43A1EC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4BC5FCF" w14:textId="77777777" w:rsidR="00BB6316" w:rsidRPr="00722885" w:rsidRDefault="00BB6316" w:rsidP="00722885">
      <w:pPr>
        <w:pStyle w:val="Iauiue"/>
        <w:jc w:val="both"/>
        <w:rPr>
          <w:iCs/>
          <w:color w:val="000000" w:themeColor="text1"/>
          <w:sz w:val="16"/>
          <w:szCs w:val="16"/>
        </w:rPr>
      </w:pPr>
    </w:p>
    <w:p w14:paraId="09B47107" w14:textId="77777777" w:rsidR="008043BB" w:rsidRPr="00722885" w:rsidRDefault="008043BB" w:rsidP="00722885">
      <w:pPr>
        <w:pStyle w:val="Iauiue"/>
        <w:jc w:val="both"/>
        <w:rPr>
          <w:color w:val="000000" w:themeColor="text1"/>
          <w:sz w:val="16"/>
          <w:szCs w:val="16"/>
        </w:rPr>
      </w:pPr>
      <w:r w:rsidRPr="00722885">
        <w:rPr>
          <w:color w:val="000000" w:themeColor="text1"/>
          <w:sz w:val="16"/>
          <w:szCs w:val="16"/>
        </w:rPr>
        <w:t>27 декабря 1942 поднялся в воздух первый из выпущенных четырех самолетов типа летающее крыло Нортропа N 9М - одноместный двухмоторный и разбили первый после 50 полетов, а три - испытывали 3 года (1803,44).</w:t>
      </w:r>
    </w:p>
    <w:p w14:paraId="6A60D170" w14:textId="77777777" w:rsidR="008043BB" w:rsidRPr="00722885" w:rsidRDefault="008043BB" w:rsidP="00722885">
      <w:pPr>
        <w:pStyle w:val="Iauiue"/>
        <w:jc w:val="both"/>
        <w:rPr>
          <w:color w:val="000000" w:themeColor="text1"/>
          <w:sz w:val="16"/>
          <w:szCs w:val="16"/>
        </w:rPr>
      </w:pPr>
    </w:p>
    <w:p w14:paraId="2B6C1992"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27 декабря 1942 - Первый полет экспериментального самолёта N-9M-1 фирмы Northгор Aircraft Inc. Машину пилотировал летчик-испытатель Джон Меерс (22690).</w:t>
      </w:r>
    </w:p>
    <w:p w14:paraId="6D1DB20E" w14:textId="77777777" w:rsidR="007B627D" w:rsidRPr="00722885" w:rsidRDefault="007B627D" w:rsidP="00722885">
      <w:pPr>
        <w:spacing w:after="0" w:line="240" w:lineRule="auto"/>
        <w:jc w:val="both"/>
        <w:rPr>
          <w:rFonts w:ascii="Times New Roman" w:hAnsi="Times New Roman"/>
          <w:color w:val="0070C0"/>
          <w:sz w:val="16"/>
          <w:szCs w:val="16"/>
        </w:rPr>
      </w:pPr>
    </w:p>
    <w:p w14:paraId="1F4FA2DC"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27 декабря</w:t>
      </w:r>
      <w:r w:rsidRPr="00722885">
        <w:rPr>
          <w:rFonts w:ascii="Times New Roman" w:hAnsi="Times New Roman"/>
          <w:color w:val="000000" w:themeColor="text1"/>
          <w:sz w:val="16"/>
          <w:szCs w:val="16"/>
        </w:rPr>
        <w:t xml:space="preserve"> в 1942 году первый полет экспериментального самолёта «N-9M-1» фирмы «Northгор Aircraft Inc». Машину пилотировал летчик-испытатель Джон Меерс. Самолет оторвался от земли на скорости 113 - 120 км/ч. В горизонтальном полете курсовая устойчивость оказалась недостаточной. При попадании в зоны турбулентности или при резких порывах ветра «N-9М» совершал четыре-пять колебаний прежде чем пилоту удавалось вернуться на прежний курс. Этим, пожалуй, и ограничивался список недостатков летных качеств самолета. Остальные замечания касались перегрева двигателей и их частых отказов. Кроме всего прочего, «летающее крыло» поражало летчиков своей маневренностью. «N-9M», имели смешанную конструкцию из древесины и металла. Каркас центральной секции самолета-крыла был сварен из металлических труб, кроме этого на моделях «N-9MA» и «N-9MB» из листового металла выполнялись профилированные щели на концах крыла, выполнявшие функции предкрылков и предотвращавшие срыв потока на концах крыла, типичный для стреловидных крыльев большого удлинения. Три модели из заказанных четырех оснащались парой 6-цилиндровых моторов воздушного охлаждения мощностью 260 л.с. Двигатели, расположенные внутри крыла, соединялись с двухлопастными воздушными винтами с помощью длинных валов и гидравлических муфт сцепления. Воздух для охлаждения двигателей поступал через прямоугольные воздухозаборники, расположенные в передней части крыла. На четвертой модели вместо 260-сильных моторов были установлены шестицилиндровые двигатели мощностью по 300 л.с.; это было сделано для использования модели в качестве учебного самолета с экипажем из двух человек - на нем планировалось знакомить будущих летчиков «ХВ-35» с особенностями пилотирования «летающего крыла». N-9M имел трехстоечное убирающиеся шасси с носовым колесом. В хвостовой части имелась дополнительная опора с небольшим колесом-пневматиком, которая ограничивала угол атаки аппарата на взлете, предотвращая тем самым касание толкающих воздушных винтов поверхности ВПП (14873).</w:t>
      </w:r>
    </w:p>
    <w:p w14:paraId="4D279E59"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03F2A0AA" w14:textId="77777777" w:rsidR="008043BB" w:rsidRPr="00722885" w:rsidRDefault="008043BB" w:rsidP="00722885">
      <w:pPr>
        <w:spacing w:after="0" w:line="240" w:lineRule="auto"/>
        <w:jc w:val="both"/>
        <w:rPr>
          <w:rStyle w:val="ucoz-forum-post"/>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27 декабря 1942 года</w:t>
      </w:r>
      <w:r w:rsidRPr="00722885">
        <w:rPr>
          <w:rStyle w:val="ucoz-forum-post"/>
          <w:rFonts w:ascii="Times New Roman" w:hAnsi="Times New Roman"/>
          <w:color w:val="000000" w:themeColor="text1"/>
          <w:sz w:val="16"/>
          <w:szCs w:val="16"/>
        </w:rPr>
        <w:t xml:space="preserve"> Первый полёт опытного образца японского тяжёлого бомбардировщика Ki-67 Hiryu. Хотя максимальная скорость на высоте 6090 м достигала 537 км/ч - несколько ниже задания, другие требования были легко выполняемыми. Самолеты для войсковых испытаний были доработаны в плане управляемости. Теперь Ки-67 демонстрировал отличную маневренность - без бомб он крутил петли и восходящие бочки. При этом самолет легко управлялся даже на 600 км/ч при пикировании. Самолеты для войсковых испытаний (с четвертого по девятнадцатый) имели увеличенный с 2566 до 2886 л запас топлива. Вооружение было усилено: 7,92-мм пулемет в носу был заменен на крупнокалиберный, а пулемет в верхней башне - на 20-мм пушку Хо-5. Боковые 7,92- мм пулеметы теперь стояли в блистерах (14873).</w:t>
      </w:r>
    </w:p>
    <w:p w14:paraId="0E0A558E" w14:textId="77777777" w:rsidR="008043BB" w:rsidRPr="00722885" w:rsidRDefault="008043BB" w:rsidP="00722885">
      <w:pPr>
        <w:spacing w:after="0" w:line="240" w:lineRule="auto"/>
        <w:jc w:val="both"/>
        <w:rPr>
          <w:rStyle w:val="ucoz-forum-post"/>
          <w:rFonts w:ascii="Times New Roman" w:hAnsi="Times New Roman"/>
          <w:color w:val="000000" w:themeColor="text1"/>
          <w:sz w:val="16"/>
          <w:szCs w:val="16"/>
        </w:rPr>
      </w:pPr>
    </w:p>
    <w:p w14:paraId="79B8E61A"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27 декабря 1942 года состоялся первый полет Mitsubishi Ki-67 Hiryu («Летающий дракон»), союзное название - «Пегги» (20793).</w:t>
      </w:r>
    </w:p>
    <w:p w14:paraId="45606A48" w14:textId="77777777" w:rsidR="007B627D" w:rsidRPr="00722885" w:rsidRDefault="007B627D" w:rsidP="00722885">
      <w:pPr>
        <w:spacing w:after="0" w:line="240" w:lineRule="auto"/>
        <w:jc w:val="both"/>
        <w:rPr>
          <w:rFonts w:ascii="Times New Roman" w:hAnsi="Times New Roman"/>
          <w:color w:val="0070C0"/>
          <w:sz w:val="16"/>
          <w:szCs w:val="16"/>
        </w:rPr>
      </w:pPr>
    </w:p>
    <w:p w14:paraId="1EDA294B"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27 декабря 1942 года Было был облетан первый из 19 построенных опытных образцов Ki67.</w:t>
      </w:r>
    </w:p>
    <w:p w14:paraId="326EF39F"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Проектирование такого самолета шло с 1940 года, а в 1941 году под руководством главного инженера авиационного отделения Озавы Кеносуке начался выпуск рабочих чертежей. Армейский тяжелый бомбардировщик Тип 4 Ki67 «Хирю» был вполне современной машиной. Два 1900-сильных мотора На104 позволили совместить высокие летные данные и живучесть: все баки были протектированы, а экипаж был защищен броней. Запас топлива был необычно большим, а вот увеличить бомбовую нагрузку военные не просили, хотя величина в 1000 кг уже давно не соответствовала задачам, которые выдвигала боевая обстановка.</w:t>
      </w:r>
    </w:p>
    <w:p w14:paraId="6584D847"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 испытаниях были выявлены незначительные проблемы с устойчивостью и реакцией на дачу рулей, но в целом самолет нормально летал, и в серии лишь сократили экипаж с 8 до 6 человек. Конструкторы позаботились о максимальной технологичности конструкции. Стыки отсеков были выполнены так, что выпущенные разными заводами агрегаты стыковались без ручной подгонки. Но это потребовало длительной подготовки производства, и первые Ki67-I поступили в войска только в 1944 году. Заводы «Мицубиси» к концу года сдали 587 машин, еще 91 построила фирма «Кавасаки». Осваивал Ki67 и Армейский арсенал № 1 в городе Тачикава, но смог построить лишь один экземпляр. Для повышения скорости и высотности на трех Ki67 установили моторы На104-Ru, но их систему наддува не смогли довести. В декабре 1944 года заводы «Мицубиси» впервые подверглись массированной бомбардировке, но еще большие разрушения причинило им мощнейшее землетрясение, после которого выпуск Ki67 пришлось прекратить (22844).</w:t>
      </w:r>
    </w:p>
    <w:p w14:paraId="3469FA81" w14:textId="77777777" w:rsidR="007B627D" w:rsidRPr="00722885" w:rsidRDefault="007B627D" w:rsidP="00722885">
      <w:pPr>
        <w:spacing w:after="0" w:line="240" w:lineRule="auto"/>
        <w:jc w:val="both"/>
        <w:rPr>
          <w:rFonts w:ascii="Times New Roman" w:hAnsi="Times New Roman"/>
          <w:color w:val="0070C0"/>
          <w:sz w:val="16"/>
          <w:szCs w:val="16"/>
        </w:rPr>
      </w:pPr>
    </w:p>
    <w:p w14:paraId="60BBF11E"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27 декабря 1942 года состоялся первый полет Kawanishi N1K1-J Shiden ("Фиолетовая молния"), союзное имя "Джордж" (20793).</w:t>
      </w:r>
    </w:p>
    <w:p w14:paraId="251DE5F7" w14:textId="77777777" w:rsidR="007B627D" w:rsidRPr="00722885" w:rsidRDefault="007B627D" w:rsidP="00722885">
      <w:pPr>
        <w:spacing w:after="0" w:line="240" w:lineRule="auto"/>
        <w:jc w:val="both"/>
        <w:rPr>
          <w:rFonts w:ascii="Times New Roman" w:hAnsi="Times New Roman"/>
          <w:color w:val="0070C0"/>
          <w:sz w:val="16"/>
          <w:szCs w:val="16"/>
        </w:rPr>
      </w:pPr>
    </w:p>
    <w:p w14:paraId="070BF4F3"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27 декабря 1942 - Первый полет опытного японского истребителя-перехватчика берегового базирования N1K-J Shiden, разработанного фирмой Kawanishi (22690).</w:t>
      </w:r>
    </w:p>
    <w:p w14:paraId="70C0B4F0" w14:textId="77777777" w:rsidR="007B627D" w:rsidRPr="00722885" w:rsidRDefault="007B627D" w:rsidP="00722885">
      <w:pPr>
        <w:spacing w:after="0" w:line="240" w:lineRule="auto"/>
        <w:jc w:val="both"/>
        <w:rPr>
          <w:rFonts w:ascii="Times New Roman" w:hAnsi="Times New Roman"/>
          <w:color w:val="0070C0"/>
          <w:sz w:val="16"/>
          <w:szCs w:val="16"/>
        </w:rPr>
      </w:pPr>
    </w:p>
    <w:p w14:paraId="3D80DA1D" w14:textId="77777777" w:rsidR="008043BB" w:rsidRPr="00722885" w:rsidRDefault="008043BB" w:rsidP="00722885">
      <w:pPr>
        <w:spacing w:after="0" w:line="240" w:lineRule="auto"/>
        <w:jc w:val="both"/>
        <w:rPr>
          <w:rStyle w:val="ucoz-forum-post"/>
          <w:rFonts w:ascii="Times New Roman" w:hAnsi="Times New Roman"/>
          <w:color w:val="000000" w:themeColor="text1"/>
          <w:sz w:val="16"/>
          <w:szCs w:val="16"/>
        </w:rPr>
      </w:pPr>
      <w:r w:rsidRPr="00722885">
        <w:rPr>
          <w:rStyle w:val="ucoz-forum-post"/>
          <w:rFonts w:ascii="Times New Roman" w:hAnsi="Times New Roman"/>
          <w:bCs/>
          <w:color w:val="000000" w:themeColor="text1"/>
          <w:sz w:val="16"/>
          <w:szCs w:val="16"/>
        </w:rPr>
        <w:t>27 декабря 1942 года</w:t>
      </w:r>
      <w:r w:rsidRPr="00722885">
        <w:rPr>
          <w:rStyle w:val="ucoz-forum-post"/>
          <w:rFonts w:ascii="Times New Roman" w:hAnsi="Times New Roman"/>
          <w:color w:val="000000" w:themeColor="text1"/>
          <w:sz w:val="16"/>
          <w:szCs w:val="16"/>
        </w:rPr>
        <w:t xml:space="preserve"> Первый полет опытного японского истребителя N1K-J Shiden, разработанного фирмой Kawanishi (14873).</w:t>
      </w:r>
    </w:p>
    <w:p w14:paraId="133C66DA" w14:textId="77777777" w:rsidR="008043BB" w:rsidRPr="00722885" w:rsidRDefault="008043BB" w:rsidP="00722885">
      <w:pPr>
        <w:spacing w:after="0" w:line="240" w:lineRule="auto"/>
        <w:jc w:val="both"/>
        <w:rPr>
          <w:rStyle w:val="ucoz-forum-post"/>
          <w:rFonts w:ascii="Times New Roman" w:hAnsi="Times New Roman"/>
          <w:color w:val="000000" w:themeColor="text1"/>
          <w:sz w:val="16"/>
          <w:szCs w:val="16"/>
        </w:rPr>
      </w:pPr>
    </w:p>
    <w:p w14:paraId="0F426448"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10DE2A5" w14:textId="77777777" w:rsidR="00BB6316" w:rsidRPr="00722885" w:rsidRDefault="00BB6316" w:rsidP="00722885">
      <w:pPr>
        <w:pStyle w:val="Iauiue"/>
        <w:jc w:val="both"/>
        <w:rPr>
          <w:iCs/>
          <w:color w:val="000000" w:themeColor="text1"/>
          <w:sz w:val="16"/>
          <w:szCs w:val="16"/>
        </w:rPr>
      </w:pPr>
    </w:p>
    <w:p w14:paraId="0CBC882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28 декабря 1942 г. глав</w:t>
      </w:r>
      <w:r w:rsidRPr="00722885">
        <w:rPr>
          <w:color w:val="000000" w:themeColor="text1"/>
          <w:sz w:val="16"/>
          <w:szCs w:val="16"/>
        </w:rPr>
        <w:softHyphen/>
        <w:t>ный инженер ВВС генерал А. К. Репин утвердил Отчет по испытаниям в 42-м иап испытывались самолеты Як-7б и Як-7-37 с улучшенным обзором назад (со срезанным гаргротом фюзеляжа и каплевидным фонарем кабины летчика), которые проходили с 17 ноября по 13 декабря 1942 г.</w:t>
      </w:r>
    </w:p>
    <w:p w14:paraId="37C0A440"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Опыт 42-го иап по боевому применению «истре</w:t>
      </w:r>
      <w:r w:rsidRPr="00722885">
        <w:rPr>
          <w:color w:val="000000" w:themeColor="text1"/>
          <w:sz w:val="16"/>
          <w:szCs w:val="16"/>
        </w:rPr>
        <w:softHyphen/>
        <w:t>бителей Як-7б М-105Пф с пушкой 37 мм ОКБ-15 и пулеметом УБС» в январе 1943 г. изучался в НИИ ВВС КА. Ответственными исполнителями были ка</w:t>
      </w:r>
      <w:r w:rsidRPr="00722885">
        <w:rPr>
          <w:color w:val="000000" w:themeColor="text1"/>
          <w:sz w:val="16"/>
          <w:szCs w:val="16"/>
        </w:rPr>
        <w:softHyphen/>
        <w:t>питан А. С. Никитин и командир полка подполков</w:t>
      </w:r>
      <w:r w:rsidRPr="00722885">
        <w:rPr>
          <w:color w:val="000000" w:themeColor="text1"/>
          <w:sz w:val="16"/>
          <w:szCs w:val="16"/>
        </w:rPr>
        <w:softHyphen/>
        <w:t>ник Ф. И. Шинкаренко. Отчет был утвержден на</w:t>
      </w:r>
      <w:r w:rsidRPr="00722885">
        <w:rPr>
          <w:color w:val="000000" w:themeColor="text1"/>
          <w:sz w:val="16"/>
          <w:szCs w:val="16"/>
        </w:rPr>
        <w:softHyphen/>
        <w:t>чальником института генерал-майором П. А. Лосюковым 21 января.</w:t>
      </w:r>
    </w:p>
    <w:p w14:paraId="746A0D4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все полеты на Як-7-37 выполнялись только над своей террито</w:t>
      </w:r>
      <w:r w:rsidRPr="00722885">
        <w:rPr>
          <w:color w:val="000000" w:themeColor="text1"/>
          <w:sz w:val="16"/>
          <w:szCs w:val="16"/>
        </w:rPr>
        <w:softHyphen/>
        <w:t>рией. Перелет линии фронта категорически запре</w:t>
      </w:r>
      <w:r w:rsidRPr="00722885">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238CD6E8"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Як-7-37 было проведено 12 групповых воз</w:t>
      </w:r>
      <w:r w:rsidRPr="00722885">
        <w:rPr>
          <w:color w:val="000000" w:themeColor="text1"/>
          <w:sz w:val="16"/>
          <w:szCs w:val="16"/>
        </w:rPr>
        <w:softHyphen/>
        <w:t>душных боев при примерно равном соотношении сил, в которых было сбито десять самолетов про</w:t>
      </w:r>
      <w:r w:rsidRPr="00722885">
        <w:rPr>
          <w:color w:val="000000" w:themeColor="text1"/>
          <w:sz w:val="16"/>
          <w:szCs w:val="16"/>
        </w:rPr>
        <w:softHyphen/>
        <w:t xml:space="preserve">тивника (восемь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xml:space="preserve">, </w:t>
      </w:r>
      <w:r w:rsidRPr="00722885">
        <w:rPr>
          <w:color w:val="000000" w:themeColor="text1"/>
          <w:sz w:val="16"/>
          <w:szCs w:val="16"/>
          <w:lang w:val="en-US"/>
        </w:rPr>
        <w:t>Fw</w:t>
      </w:r>
      <w:r w:rsidRPr="00722885">
        <w:rPr>
          <w:color w:val="000000" w:themeColor="text1"/>
          <w:sz w:val="16"/>
          <w:szCs w:val="16"/>
        </w:rPr>
        <w:t xml:space="preserve">189, </w:t>
      </w:r>
      <w:r w:rsidRPr="00722885">
        <w:rPr>
          <w:color w:val="000000" w:themeColor="text1"/>
          <w:sz w:val="16"/>
          <w:szCs w:val="16"/>
          <w:lang w:val="en-US"/>
        </w:rPr>
        <w:t>Hs</w:t>
      </w:r>
      <w:r w:rsidRPr="00722885">
        <w:rPr>
          <w:color w:val="000000" w:themeColor="text1"/>
          <w:sz w:val="16"/>
          <w:szCs w:val="16"/>
        </w:rPr>
        <w:t>126). Свои потери составили пять летчиков.</w:t>
      </w:r>
    </w:p>
    <w:p w14:paraId="6D1D420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общему мнению летчиков полка, Як-7-37 «по сравнению с другими типами истребителей, кроме Як-1, является лучшим самолетом, который позво</w:t>
      </w:r>
      <w:r w:rsidRPr="00722885">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722885">
        <w:rPr>
          <w:color w:val="000000" w:themeColor="text1"/>
          <w:sz w:val="16"/>
          <w:szCs w:val="16"/>
        </w:rPr>
        <w:softHyphen/>
        <w:t>ми «желательно повысить скорость полета самоле</w:t>
      </w:r>
      <w:r w:rsidRPr="00722885">
        <w:rPr>
          <w:color w:val="000000" w:themeColor="text1"/>
          <w:sz w:val="16"/>
          <w:szCs w:val="16"/>
        </w:rPr>
        <w:softHyphen/>
        <w:t>та на 40—50 км/ч».</w:t>
      </w:r>
    </w:p>
    <w:p w14:paraId="167B8FF1"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пушка Ш-37 показала себя с наи</w:t>
      </w:r>
      <w:r w:rsidRPr="00722885">
        <w:rPr>
          <w:color w:val="000000" w:themeColor="text1"/>
          <w:sz w:val="16"/>
          <w:szCs w:val="16"/>
        </w:rPr>
        <w:softHyphen/>
        <w:t>лучшей стороны, работала почти без отказов и ока</w:t>
      </w:r>
      <w:r w:rsidRPr="00722885">
        <w:rPr>
          <w:color w:val="000000" w:themeColor="text1"/>
          <w:sz w:val="16"/>
          <w:szCs w:val="16"/>
        </w:rPr>
        <w:softHyphen/>
        <w:t>залась простой в эксплуатации. Вследствие силь</w:t>
      </w:r>
      <w:r w:rsidRPr="00722885">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1D4DD26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722885">
        <w:rPr>
          <w:color w:val="000000" w:themeColor="text1"/>
          <w:sz w:val="16"/>
          <w:szCs w:val="16"/>
        </w:rPr>
        <w:softHyphen/>
        <w:t>совую серию уже пошел истребитель Як-9 М-105ПФ с лучшими летно-боевыми данными. По этим причи</w:t>
      </w:r>
      <w:r w:rsidRPr="00722885">
        <w:rPr>
          <w:color w:val="000000" w:themeColor="text1"/>
          <w:sz w:val="16"/>
          <w:szCs w:val="16"/>
        </w:rPr>
        <w:softHyphen/>
        <w:t>нам все дальнейшие работы по увеличению мощно</w:t>
      </w:r>
      <w:r w:rsidRPr="00722885">
        <w:rPr>
          <w:color w:val="000000" w:themeColor="text1"/>
          <w:sz w:val="16"/>
          <w:szCs w:val="16"/>
        </w:rPr>
        <w:softHyphen/>
        <w:t>сти огня проводились именно на «девятке» (17500).</w:t>
      </w:r>
    </w:p>
    <w:p w14:paraId="4D8DF962" w14:textId="77777777" w:rsidR="00D11CF9" w:rsidRPr="00722885" w:rsidRDefault="00D11CF9" w:rsidP="00722885">
      <w:pPr>
        <w:pStyle w:val="12a"/>
        <w:shd w:val="clear" w:color="auto" w:fill="auto"/>
        <w:spacing w:after="0" w:line="240" w:lineRule="auto"/>
        <w:jc w:val="both"/>
        <w:rPr>
          <w:color w:val="000000" w:themeColor="text1"/>
          <w:sz w:val="16"/>
          <w:szCs w:val="16"/>
        </w:rPr>
      </w:pPr>
    </w:p>
    <w:p w14:paraId="5AA50C6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28 декабря 1942 вышел приказ НКАП N 915с в дополнение к приказу НКАП N 892сс от 18 декабря 1942:</w:t>
      </w:r>
    </w:p>
    <w:p w14:paraId="08D8AEA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Нач. ЛИИ Молокову организовать ежемесячно проведение контрольных летных испытаний серийных самолетов на заводах 31, 292, 21, 153 по сокращенной программе - скорость у земли, ск. на 2-й гр. высотности с фиксированием темп. режимов и полетного веса (1618,26).</w:t>
      </w:r>
    </w:p>
    <w:p w14:paraId="7BB1B04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Согласно письму N 40 от 4 января 1943 директора завода 1 Третьяков писал А.И.Ш. письмо завод 1 перешел на полный серийный выпуск самолетов в бескассетном варианте с 28 декабря 1942. Трудности перехода были связаны с добавлением большого объема сборочно-клепальных работ по центропланному цеху (1767,15).</w:t>
      </w:r>
    </w:p>
    <w:p w14:paraId="6AC3C185" w14:textId="77777777" w:rsidR="00BB6316" w:rsidRPr="00722885" w:rsidRDefault="00BB6316" w:rsidP="00722885">
      <w:pPr>
        <w:pStyle w:val="Iauiue"/>
        <w:jc w:val="both"/>
        <w:rPr>
          <w:color w:val="000000" w:themeColor="text1"/>
          <w:sz w:val="16"/>
          <w:szCs w:val="16"/>
        </w:rPr>
      </w:pPr>
    </w:p>
    <w:p w14:paraId="72E3FA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декабря 1942 г. из ПРОТОКОЛА ЗАСЕДАНИЯ БЮРО НОВОСИБИРСКОГО ОБКОМА ВКП(б) О НЕСВОЕВРЕМЕННОЙ ОТПРАВКЕ САМОЛЕТОВ НА ФРОНТ ЗАВОДОМ ИМЕНИ В.П. ЧКАЛОВА</w:t>
      </w:r>
    </w:p>
    <w:p w14:paraId="2F16DB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Особая папка</w:t>
      </w:r>
    </w:p>
    <w:p w14:paraId="1B0121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Признать тягчайшим преступлением, что вследствие неповоротливости и неиспользования имеющихся возможностей на заводе [имени] Чкалова скопилось огромное количество самолетов, отправка которых на фронт преступно задерживается.</w:t>
      </w:r>
    </w:p>
    <w:p w14:paraId="157FEF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Бюро обкома ВКП(б) ПОСТАНОВЛЯЕТ:</w:t>
      </w:r>
    </w:p>
    <w:p w14:paraId="68149A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Поручить секретарю обкома ВКП(б) т. Семину и секретарю Новосибирского горкома ВКП(б) т. Яковлеву немедленно выехать на завод, разобраться на месте, принять необходимые меры по обеспечению завода лесом, мотористами, другой рабочей силой, предоставлять заводу своевременно потребное количество вагонов и оказать другую необходимую помощь.</w:t>
      </w:r>
    </w:p>
    <w:p w14:paraId="797460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Предупредить тт. Семина и Яковлева, что они несут персональную ответственность за своевременную отправку самолетов на фронт и впредь.</w:t>
      </w:r>
    </w:p>
    <w:p w14:paraId="00A6C4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Обратиться с просьбой к Военному совету Сибирского военного округа об оказании всемерной помощи заводу в отправке самолетов на фронт (мотористами, летчиками, аэродромами).</w:t>
      </w:r>
    </w:p>
    <w:p w14:paraId="18C861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Оп. 33. Д. 665. Л. 142. Подлинник.</w:t>
      </w:r>
    </w:p>
    <w:p w14:paraId="5A4E88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Документ составлен в 10 экз., направлен по списку, в ЦК ВКП(б) был принят 31.XII 1942 г. (Там же. Л. 143). Согласно проведенному опросу в строке «За» стоят четыре фамилии — подписи-росчерки Семина, Кулагина, Яковлева, ... (не читается) (12193).</w:t>
      </w:r>
    </w:p>
    <w:p w14:paraId="11D8D15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5E4B9F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28 ноября вышел приказ НКАП N 917с о присвоении Незвалю звания (квалификации) ГК 2-й степени с окладом 3000 (2504,54).</w:t>
      </w:r>
    </w:p>
    <w:p w14:paraId="72C043F9" w14:textId="77777777" w:rsidR="00BB6316" w:rsidRPr="00722885" w:rsidRDefault="00BB6316" w:rsidP="00722885">
      <w:pPr>
        <w:pStyle w:val="Iauiue"/>
        <w:jc w:val="both"/>
        <w:rPr>
          <w:color w:val="000000" w:themeColor="text1"/>
          <w:sz w:val="16"/>
          <w:szCs w:val="16"/>
        </w:rPr>
      </w:pPr>
    </w:p>
    <w:p w14:paraId="54FCAD9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7C9BE5FF" w14:textId="77777777" w:rsidR="00BB6316" w:rsidRPr="00722885" w:rsidRDefault="00BB6316" w:rsidP="00722885">
      <w:pPr>
        <w:pStyle w:val="Iauiue"/>
        <w:jc w:val="both"/>
        <w:rPr>
          <w:iCs/>
          <w:color w:val="000000" w:themeColor="text1"/>
          <w:sz w:val="16"/>
          <w:szCs w:val="16"/>
        </w:rPr>
      </w:pPr>
    </w:p>
    <w:p w14:paraId="03D362A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28 декабря 1942 г. на заводском полигоне состоялись испытания контрольной машины установочной декабрьской программы, в объеме 50 км пробегом и в 40 выстрелов (из них половина усиленным зарядом). Испытания закончились успешно и вся установочная партия СУ-122 в количестве 25 штук была признана годной для приема в Красную Армию и отправлена в учебный центр самоходной артиллерии (4017).</w:t>
      </w:r>
    </w:p>
    <w:p w14:paraId="5F7D1DD9" w14:textId="77777777" w:rsidR="00BB6316" w:rsidRPr="00722885" w:rsidRDefault="00BB6316" w:rsidP="00722885">
      <w:pPr>
        <w:pStyle w:val="Iauiue"/>
        <w:jc w:val="both"/>
        <w:rPr>
          <w:color w:val="000000" w:themeColor="text1"/>
          <w:sz w:val="16"/>
          <w:szCs w:val="16"/>
        </w:rPr>
      </w:pPr>
    </w:p>
    <w:p w14:paraId="5DEF04F7"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28 декабря 1942 года на заводском полигоне Уралмаша были произведены испытания одной из машин Су-122 установочной декабрьской программы, которые заключались в пробеге на 50 км и стрельбе в 40 выстрелов. Никаких поломок и других недостатков во время испытаний отмечено не было. В результате вся установочная партия самоходок в количестве 25 штук была признана годной для приема в Красную Армию и отправлена в учебный центр самоходной артиллерии. Туда же выехала и группа работников завода - конструкторов, водителей, слесарей. В эту группу входили заместитель главного конструктора Л.И.Горлицкий, водитель Болдырев, старший мастер сборочного цеха Рыжнин и другие (9636).</w:t>
      </w:r>
    </w:p>
    <w:p w14:paraId="359E7097" w14:textId="77777777" w:rsidR="00BB6316" w:rsidRPr="00722885" w:rsidRDefault="00BB6316" w:rsidP="00722885">
      <w:pPr>
        <w:pStyle w:val="a8"/>
        <w:widowControl/>
        <w:jc w:val="both"/>
        <w:rPr>
          <w:rFonts w:ascii="Times New Roman" w:hAnsi="Times New Roman" w:cs="Times New Roman"/>
          <w:color w:val="000000" w:themeColor="text1"/>
        </w:rPr>
      </w:pPr>
    </w:p>
    <w:p w14:paraId="1A522A2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декабря 1942 г. один образец машины из установочной партии (25 шт.) с внесенными конструктивными изменениями успешно прошел испытания на заводском полигоне. Основным оружием являлась 122-мм дивизионная гаубица М-30 обр. 1938 г. с поршневым затвором. Орудие устанавливалось на тумбе, за</w:t>
      </w:r>
      <w:r w:rsidRPr="00722885">
        <w:rPr>
          <w:rFonts w:ascii="Times New Roman" w:hAnsi="Times New Roman"/>
          <w:color w:val="000000" w:themeColor="text1"/>
          <w:sz w:val="16"/>
          <w:szCs w:val="16"/>
        </w:rPr>
        <w:softHyphen/>
        <w:t>крепленной на днище машины. Углы вертикальной наводки составляли от -3 до +25°, горизонтальной - в секторе 20°. При стрельбе использова</w:t>
      </w:r>
      <w:r w:rsidRPr="00722885">
        <w:rPr>
          <w:rFonts w:ascii="Times New Roman" w:hAnsi="Times New Roman"/>
          <w:color w:val="000000" w:themeColor="text1"/>
          <w:sz w:val="16"/>
          <w:szCs w:val="16"/>
        </w:rPr>
        <w:softHyphen/>
        <w:t>лась панорама Герца. Скорострельность составляла 2-5 выстр./мин. В боекомплект гаубицы входили 36 бронебойных и осколочно-фугасных выстрелов раздельного заряжания. Дополнительно в боевом отделении укладывались два 7,62-мм пистолета-пулемета ППШ с боекомплектом 1420 патронов (20 дисков). Броневая защита - противоснарядная. Корпус и броневая рубка -сварные, выполненные из броневых катаных листов толщиной 15,20,40 и 45 мм, расположенных с рациональными углами наклона. Лобовой броневой лист корпуса и рубки был составным и имел углы наклона со</w:t>
      </w:r>
      <w:r w:rsidRPr="00722885">
        <w:rPr>
          <w:rFonts w:ascii="Times New Roman" w:hAnsi="Times New Roman"/>
          <w:color w:val="000000" w:themeColor="text1"/>
          <w:sz w:val="16"/>
          <w:szCs w:val="16"/>
        </w:rPr>
        <w:softHyphen/>
        <w:t>ответственно 57° и 50° от вертикали. Для стрельбы из личного оружия экипажа в лобовом, кормовом и бортовых листах рубки были сделаны специальные отверстия, закрывавшиеся броневыми пробками. Силовая установка, трансмиссия и электрооборудование оставались такими же, как у среднего танка Т-34-76 (10703).</w:t>
      </w:r>
    </w:p>
    <w:p w14:paraId="5D28A13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ABE9765" w14:textId="77777777" w:rsidR="00D11CF9" w:rsidRPr="00722885" w:rsidRDefault="00D11CF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28 декабря 1942 состоялись испытания пятого серийного образца СУ-35. Было произведено 40 выстрелов усиленным зарядом на разных углах наводки, после чего самоходная установка прошла 50 километров. По итогам испытаний никаких деформаций и поломок не обнаружилось. Не имелось замечаний и к работе машины в ходе ходовых испытаний. Также был изучен вопрос удобства работы расчета. Указывалось, что по сравнению с опытным образцом У-35 машина стала просторнее (17685).</w:t>
      </w:r>
    </w:p>
    <w:p w14:paraId="7CC2EFA7" w14:textId="77777777" w:rsidR="00D11CF9" w:rsidRPr="00722885" w:rsidRDefault="00D11CF9" w:rsidP="00722885">
      <w:pPr>
        <w:pStyle w:val="12a"/>
        <w:shd w:val="clear" w:color="auto" w:fill="auto"/>
        <w:spacing w:after="0" w:line="240" w:lineRule="auto"/>
        <w:jc w:val="both"/>
        <w:rPr>
          <w:color w:val="000000" w:themeColor="text1"/>
          <w:sz w:val="16"/>
          <w:szCs w:val="16"/>
        </w:rPr>
      </w:pPr>
    </w:p>
    <w:p w14:paraId="5D70E482"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28 декабря 1942 года вышел приказ НКВ № 648с</w:t>
      </w:r>
    </w:p>
    <w:p w14:paraId="4EFB3F65"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Во исполнение постановления ГОКО от 27 декабря 1942 года № 2661сс:</w:t>
      </w:r>
    </w:p>
    <w:p w14:paraId="17BBDC50"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Передать Наркомтанкопрому завод № 592 в г. Мытищи по состоянию на 20 декабря 1942 года (6430, 27).</w:t>
      </w:r>
    </w:p>
    <w:p w14:paraId="1CFF9BA4" w14:textId="77777777" w:rsidR="00BB6316" w:rsidRPr="00722885" w:rsidRDefault="00BB6316" w:rsidP="00722885">
      <w:pPr>
        <w:pStyle w:val="Iauiue"/>
        <w:tabs>
          <w:tab w:val="left" w:pos="11199"/>
        </w:tabs>
        <w:jc w:val="both"/>
        <w:rPr>
          <w:color w:val="000000" w:themeColor="text1"/>
          <w:sz w:val="16"/>
          <w:szCs w:val="16"/>
        </w:rPr>
      </w:pPr>
    </w:p>
    <w:p w14:paraId="1502AD5C"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28 декабря 1942 вышло Распоряжение ГКО № 2663 [О вывозе 375 тыс. куб. м дров для железных дорог из Московской обл.] (7068, 127-128).</w:t>
      </w:r>
    </w:p>
    <w:p w14:paraId="22C1608A" w14:textId="77777777" w:rsidR="00BB6316" w:rsidRPr="00722885" w:rsidRDefault="00BB6316" w:rsidP="00722885">
      <w:pPr>
        <w:pStyle w:val="Iauiue"/>
        <w:tabs>
          <w:tab w:val="left" w:pos="11199"/>
        </w:tabs>
        <w:jc w:val="both"/>
        <w:rPr>
          <w:color w:val="000000" w:themeColor="text1"/>
          <w:sz w:val="16"/>
          <w:szCs w:val="16"/>
        </w:rPr>
      </w:pPr>
    </w:p>
    <w:p w14:paraId="6FA157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декабря 1942 вышло Постановление ГКО № 2664 О мобилизации 300 человек из сельского населения Горьковской области для временной работы на стекольном заводе имени Горького. РГАНИР, Фонд ГКО, д. 74, лл. 129 (11012).</w:t>
      </w:r>
    </w:p>
    <w:p w14:paraId="1BB488F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7F615F5"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28 декабря 1942 вышло Распоряжение ГКО № 2665 [О запрещении НКВМФ мобилизовывать суда без специального разрешения ГКО.] (7068, 130).</w:t>
      </w:r>
    </w:p>
    <w:p w14:paraId="36B54FBD" w14:textId="77777777" w:rsidR="00BB6316" w:rsidRPr="00722885" w:rsidRDefault="00BB6316" w:rsidP="00722885">
      <w:pPr>
        <w:pStyle w:val="Iauiue"/>
        <w:tabs>
          <w:tab w:val="left" w:pos="11199"/>
        </w:tabs>
        <w:jc w:val="both"/>
        <w:rPr>
          <w:color w:val="000000" w:themeColor="text1"/>
          <w:sz w:val="16"/>
          <w:szCs w:val="16"/>
        </w:rPr>
      </w:pPr>
    </w:p>
    <w:p w14:paraId="64C0E9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декабря 1942 вышло Постановление ГКО № 2666 Об окончании строительства и монтажа ТЭЦ Алтайского тракторного завода. РГАНИР, Фонд ГКО, д. 74, лл. 131-135, 136-138 (11012).</w:t>
      </w:r>
    </w:p>
    <w:p w14:paraId="57D1F19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C2DC981"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28 декабря 1942 вышло Постановление ГКО № 2667 Об обеспечении строительства Черноморской железной дороги. (7068, 139-142).</w:t>
      </w:r>
    </w:p>
    <w:p w14:paraId="739834AC" w14:textId="77777777" w:rsidR="00BB6316" w:rsidRPr="00722885" w:rsidRDefault="00BB6316" w:rsidP="00722885">
      <w:pPr>
        <w:pStyle w:val="Iauiue"/>
        <w:tabs>
          <w:tab w:val="left" w:pos="11199"/>
        </w:tabs>
        <w:jc w:val="both"/>
        <w:rPr>
          <w:color w:val="000000" w:themeColor="text1"/>
          <w:sz w:val="16"/>
          <w:szCs w:val="16"/>
        </w:rPr>
      </w:pPr>
    </w:p>
    <w:p w14:paraId="3129B062"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28 декабря 1942 вышло Постановление ГКО № 2668 О плане по Дальстрою НКВД СССР на 1943 г. (7068, 143-148,149-173).</w:t>
      </w:r>
    </w:p>
    <w:p w14:paraId="276069DB" w14:textId="77777777" w:rsidR="00BB6316" w:rsidRPr="00722885" w:rsidRDefault="00BB6316" w:rsidP="00722885">
      <w:pPr>
        <w:pStyle w:val="Iauiue"/>
        <w:tabs>
          <w:tab w:val="left" w:pos="11199"/>
        </w:tabs>
        <w:jc w:val="both"/>
        <w:rPr>
          <w:color w:val="000000" w:themeColor="text1"/>
          <w:sz w:val="16"/>
          <w:szCs w:val="16"/>
        </w:rPr>
      </w:pPr>
    </w:p>
    <w:p w14:paraId="38C9D0A0"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lastRenderedPageBreak/>
        <w:t>28 декабря 1942 вышло Постановление ГКО № 2669 О приеме в эксплуатацию Замоскворецкого радиуса метрополитена. (7068, 174).</w:t>
      </w:r>
    </w:p>
    <w:p w14:paraId="31554A57" w14:textId="77777777" w:rsidR="00BB6316" w:rsidRPr="00722885" w:rsidRDefault="00BB6316" w:rsidP="00722885">
      <w:pPr>
        <w:pStyle w:val="Iauiue"/>
        <w:tabs>
          <w:tab w:val="left" w:pos="11199"/>
        </w:tabs>
        <w:jc w:val="both"/>
        <w:rPr>
          <w:color w:val="000000" w:themeColor="text1"/>
          <w:sz w:val="16"/>
          <w:szCs w:val="16"/>
        </w:rPr>
      </w:pPr>
    </w:p>
    <w:p w14:paraId="3011B8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декабря 1942 вышло Постановление ГКО № 2670 О плане заказов Наркомата обороны, Наркомвоенморфлота и НКВД по вещевому имуществу и снаряжению на I квартал 1943 г. и плане отпуска вещевого имущества для Красной Армии в январе месяце 1943 года.РГАНИР, Фонд ГКО, д. 74, лл. 175, 176-200 (11012).</w:t>
      </w:r>
    </w:p>
    <w:p w14:paraId="32E4EE3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393021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9C39428" w14:textId="77777777" w:rsidR="00BB6316" w:rsidRPr="00722885" w:rsidRDefault="00BB6316" w:rsidP="00722885">
      <w:pPr>
        <w:pStyle w:val="Iauiue"/>
        <w:jc w:val="both"/>
        <w:rPr>
          <w:iCs/>
          <w:color w:val="000000" w:themeColor="text1"/>
          <w:sz w:val="16"/>
          <w:szCs w:val="16"/>
        </w:rPr>
      </w:pPr>
    </w:p>
    <w:p w14:paraId="2F1782AC"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28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33FCC68B"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28 декабря наши войска в районе Сталинграда, на Центральном фронте, в районе Среднего Дона и юго-восточнее Нальчика продолжали вести наступательные бои на прежних направлениях.</w:t>
      </w:r>
    </w:p>
    <w:p w14:paraId="035995F8"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штурмовые группы заняли опорный пункт, ряд дзотов и блиндажей противника. Уничтожено до роты немецкой пехоты.</w:t>
      </w:r>
    </w:p>
    <w:p w14:paraId="1EDB0BE9"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Н-ская часть заняла высоту, имеющую большое тактическое значение. Противник, пытаясь вернуть потерянные позиции, предпринял две контратаки. Наши бойцы отбросили гитлеровцев, истребили до 200 вражеских солдат, подбили и сожгли 9 немецких танков. Советские лётчики сбили в воздушных боях 7 самолётов противника.</w:t>
      </w:r>
    </w:p>
    <w:p w14:paraId="5464A1B1"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успешно развивали наступление. Не давая врагу передышки, советские подразделения ночью продолжали продвигаться вперёд. На одном участке пехота противника, поддержанная танками, перешла в контратаку. В ожесточённом бою наши бойцы разгромили противника, уничтожили 600 немецких солдат и офицеров, сожгли 8 танков и захватили 3 орудия, 11 пулемётов и 14 автомашин с боеприпасами.</w:t>
      </w:r>
    </w:p>
    <w:p w14:paraId="339BD80C"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Среднего Дона наши войска, преодолевая сопротивление противника, продолжали наступление. Танкисты Н-ской части разгромили опорный пункт вражеской обороны и уничтожили 400 немецких солдат и офицеров. Захвачены 26 орудий, 22 пулемёта, 19 автомашин, 2 склада с продовольствием и склад боеприпасов. На участке Н-ской стрелковой части наши бойцы отбили контратаку гитлеровцев и нанесли им большой урон. На поле боя осталось более 200 вражеских трупов и 7 сожжённых танков.</w:t>
      </w:r>
    </w:p>
    <w:p w14:paraId="7CBC088A"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частью сил вели активные боевые действия. В районе Великих Лук бойцы Н-ской части продвинулись вперёд и заняли четыре населённых пункта. Немецкое командование бросает своих солдат в бесплодные контратаки. В течение вчерашнего дня гитлеровцы семь раз контратаковали подразделение под командованием тов. Ларцева. Потеряв до 300 солдат и офицеров и 3 танка, противник отошёл на исходные позиции.</w:t>
      </w:r>
    </w:p>
    <w:p w14:paraId="54A0A193"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Западнее Ржева наши части разрушили 13 дзотов и 19 блиндажей противника, истребили более 200 немецких солдат и офицеров.</w:t>
      </w:r>
    </w:p>
    <w:p w14:paraId="31635F97"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в результате ожесточённых боёв заняли крупный населённый пункт и выбили противника с ряда высот. Немцы несут большие потери. Только в боях за одну высоту бойцы Н-ской части уничтожили 400 вражеских солдат и офицеров. Захвачены трофеи и пленные. На другом участке группа разведчиков под командованием гвардии старшего сержанта Иваненко ворвалась в село, занятое противником, и уничтожила 60 гитлеровцев.</w:t>
      </w:r>
    </w:p>
    <w:p w14:paraId="4C56FFDE"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ленинградских партизан в боях против немецких захватчиков истребил 111 вражеских солдат и офицеров. Бойцы этого отряда организовали крушение двух железнодорожных эшелонов противника. Разбито 2 паровоза, 20 вагонов и платформ с военными грузами. Кроме того, советские патриоты на дорогах уничтожили 7 грузовых и 4 легковые автомашины.»</w:t>
      </w:r>
    </w:p>
    <w:p w14:paraId="40A2C39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Берлинское радио 27 декабря сообщило:</w:t>
      </w:r>
    </w:p>
    <w:p w14:paraId="3F36267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Воронежа и западнее Калуги немецкими войсками предпринят ряд удачных атак. Советские войска понесли тяжёлые потери в людях и военных материалах». В связи с этим сообщением гитлеровцев следует заявить следующее: ни северо-западнее Воронежа, ни западнее Калуги немецкие войска не предпринимали никаких атак: ни удачных, ни неудачных. На участке фронта северо-западнее Воронежа продолжительное время царит полное затишье. Говорить об атаках западнее Калуги— смешно, ибо Калуга уже давно находится в тылу советских войск. Сочиняя басни об «успешных» атаках немцев в районе Воронежа и Калуги, гитлеровцы пытаются отвлечь внимание населения Германии от многочисленных участков советско-германского фронта, где на самом деле идут крупные сражения и где немецко-фашистские войска в беспорядке отступают, неся огромные потери в людях и технике. Только в районе Среднего Дона Красная Армия за 10 дней выбила немецко-фашистских захватчиков из 812 населённых пунктов и захватила 56 тысяч пленных. Об этом немецкое информационное бюро помалкивает. Зато фашистские пустобрёхи усердно расписывают несостоявшиеся атаки немецких войск. У гитлеровцев так уж заведено: чем сильнее их бьют, тем больше и глупее они врут, тем громче вопят о своих несуществующих успехах.» (14874).</w:t>
      </w:r>
    </w:p>
    <w:p w14:paraId="1B6E55F6"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72E470B7"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28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40C51F15"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28 декабря наши войска в районе Среднего Дона продолжали развивать наступление и заняли ряд населённых пунктов, в том числе город и железнодорожную станцию Чертково, населённые пункты—Пасюков, Калинов, Высочанов, Рудово, Просяный, Кризсное, Терновый.</w:t>
      </w:r>
    </w:p>
    <w:p w14:paraId="6546332E"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продвинулись на 20—25 километров и заняли ряд населённых пунктов, в том числе районный центр Заветное, населённые пункты — Верхне-Курмоярская, Нижне-Яблочный, Майорский, Нагольный, Караичев, Крайняя Балка, Поперечный, Бударка, Крылов, Шабалин, Ново-Иловлинский, Никольский, Киселёвка, Кетченеры, Кичкино и железнодорожные станции Небыковский, Гремячая, Курмоярский.</w:t>
      </w:r>
    </w:p>
    <w:p w14:paraId="512661A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и юго-восточнее Нальчика наши войска продолжали вести наступательные бои.</w:t>
      </w:r>
    </w:p>
    <w:p w14:paraId="487CF36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Сталинграда уничтожено 24 транспортных самолёта противника.</w:t>
      </w:r>
    </w:p>
    <w:p w14:paraId="7C925E93"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декабря частями нашей авиации на различных участках фронта уничтожено или повреждено 10 немецких танков, до 140 автомашин с войсками и грузами, 6 автоцистерн с горючим, подавлен огонь 4 артиллерийских батарей, разбит железнодорожный эшелон, взорван склад боеприпасов, рассеяно и частью уничтожен одо двух рот пехоты противника.</w:t>
      </w:r>
    </w:p>
    <w:p w14:paraId="16433B65"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действуя штурмовыми отрядами, уничтожали укрепления противника. Разрушено 36 дзотов и блиндажей, захвачено несколько домов. Противник потерял убитыми 150 солдат и офицеров.</w:t>
      </w:r>
    </w:p>
    <w:p w14:paraId="2C4A4D43"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части вели интенсивный артиллерийский обстрел вражеских позиций. В течение дня уничтожено и подбито 9 немецких танков, 3 орудия и истреблено до роты гитлеровцев.</w:t>
      </w:r>
    </w:p>
    <w:p w14:paraId="3982C654"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лётчики за два дня уничтожили и повредили на аэродромах противника 25 немецких самолётов. В воздушных боях сбито 5 вражеских самолётов.</w:t>
      </w:r>
    </w:p>
    <w:p w14:paraId="68FF46D3"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войска продолжали успешно развивать наступлениеи заняли ряд населённых пунктов. Противник выделяет специальные отряды дляприкрытия своих отходящих войск. Советские части навязывают немцам бои и истребляют их живую силу и технику. В течение дня уничтожено до 2.000 вражеских солдат и офицеров, захвачены большие трофеи и много пленных. Только в боях занаселённый пункт Самохин захвачено 30 орудий разного калибра и взято в плен 300 немецких солдат и офицеров. На другом участке наши части разгромили полк пехоты противника, захватили 4 склада боеприпасов и взяли в плен 1.500 солдат и офицеров.</w:t>
      </w:r>
    </w:p>
    <w:p w14:paraId="244D0357"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наступление и заняли ряд населённых пунктов. Гитлеровцы подтягивают силы с целью задержать продвижение наших войск, но под ударами советских бойцов только что прибывшие немецкие части несут огромные потери. Бойцы Н-ской части рано утром прорвались в один населённый пункт, истребили 900 и взяли в плен около 600 немецких солдат и офицеров, захватили 11 орудий, 3 шестиствольных миномёта, 17 пулемётов и склад с обмундированием. В бою за другой населённый пункт гитлеровцы пытались отрезать и окружить наши передовые подразделения. На помощь нашим пехотинцам пришли артиллеристы и гвардейцы-миномётчики. Огнём из орудий и огневыми налётами миномётчиков было рассеяно и в большей своей части уничтожено до двух батальонов немецкой пехоты. Остатки гитлеровцев, находившихся в населённом. пункте, в числе до 200 человек сдались в плен.</w:t>
      </w:r>
    </w:p>
    <w:p w14:paraId="3985EFA8"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частью сил продолжали вести наступательные бои. B районе Великих Лук наши подразделения после ожесточённого боя заняли два укреплённых узла сопротивления противника. Контратаки немцев успеха не имели. Гитлеровцы оставили на поле боя 300 трупов своих солдат и офицеров.</w:t>
      </w:r>
    </w:p>
    <w:p w14:paraId="6247CBB5"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пехоте противника при поддержке танков удалось несколько потеснить одно наше подразделение. Бойцы под командованием старшего лейтенанта Третьякова нанесли немцам контрудар и восстановили положение. В бою уничтожено до роты гитлеровцев, подбито и сожжено 7 немецких танков.</w:t>
      </w:r>
    </w:p>
    <w:p w14:paraId="775ECA20"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отбили несколько контратак противника и заняли два населённых пункта. Бойцы Н-ской части ведут уличные бои в крупном населённом пункте. B трёх кварталах, очищенных от противника, гитлеровцы оставили 400 трупов, 4 подбитых танка, 11 автомашин и 4 орудия. Захвачены пленные.</w:t>
      </w:r>
    </w:p>
    <w:p w14:paraId="0A7D12A2"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«За Родину», действующий в Орловской области, напал на немецкий гарнизон, расположенный на одной крупной железнодорожной станции. Партизаны перебили 58 солдат охраны, а остальные разбежались. Советские патриоты взорвали оборудование станции, захватили боеприпасы, обмундирование и другие трофеи. В районе другой станции партизаны разрушили 500 метров железнодорожного полотна и вырезали 5 километров телефонно-телеграфных проводов. Группа партизан этого отряда совершила ночной налёт на немецкий гарнизон в населённом пункте и истребила 27 гитлеровцев.</w:t>
      </w:r>
    </w:p>
    <w:p w14:paraId="7B407EA1"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бойцов и командиров, сражающихся в районе Моздока, составила акт о зверствах немецко-фашистских бандитов. В акте говорится: «23 декабря при разминировании минных полей у станицы Ищерской, Орджоникидзевского края, освобождённой от немцев, обнаружено 20 трупов советских бойцов и командиров, замученных гитлеровцами. Фашистские изверги подвергли захваченных в плен бойцов зверским пыткам. У пяти трупов вырезаны половые органы, у многих на теле видны следы пыток. Остальные трупы в нескольких местах обуглены. На черепах имеются проломы от ударов тупыми предметами. По найденным документам установлено, что в числе замученных были тт. Мальков О.Н. и Котенков Н.А.». Акт подписали: капитан Кретов, военфельдшер Кулагина, техник-интендант 1 ранга Киселёв, старший лейтенант Гриценко, сержант Левченко и красноармеец Зайцев.</w:t>
      </w:r>
    </w:p>
    <w:p w14:paraId="7446E603"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Французские свободные стрелки на парижском вокзале Сен-Лазар сожгли вагон, в котором находился багаж немецкого дипломатического курьера. В Нейи патриоты бросили бомбу в дом, занятый немецким военным учреждением. В Сен-Дени группа молодых французов бросила несколько гранат в столовую для немецких солдат.»</w:t>
      </w:r>
    </w:p>
    <w:p w14:paraId="5EF30749"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2C6B61A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декабря наши войска овладели городом и железнодорожной станцией Котельниково. Захвачены большие трофеи, среди которых много авиационного итанкового имущества, а также 17 исправных самолётов и эшелон с танками. Трофеи подсчитываются.</w:t>
      </w:r>
    </w:p>
    <w:p w14:paraId="2E8DE6E3"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и на Центральном фронте наши войска продолжают вестинаступательные бои.» (14874).</w:t>
      </w:r>
    </w:p>
    <w:p w14:paraId="14DF542E"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56AD27A6"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28 декабря</w:t>
      </w:r>
      <w:r w:rsidRPr="00722885">
        <w:rPr>
          <w:rFonts w:ascii="Times New Roman" w:hAnsi="Times New Roman"/>
          <w:color w:val="000000" w:themeColor="text1"/>
          <w:sz w:val="16"/>
          <w:szCs w:val="16"/>
        </w:rPr>
        <w:t xml:space="preserve"> в 1942 году был издан приказ ставки вермахта об отступлении войск группы армий "А" с Северного Кавказа </w:t>
      </w:r>
    </w:p>
    <w:p w14:paraId="4BD6FB52" w14:textId="77777777" w:rsidR="008043BB" w:rsidRPr="00722885" w:rsidRDefault="008043BB" w:rsidP="00722885">
      <w:pPr>
        <w:spacing w:after="0" w:line="240" w:lineRule="auto"/>
        <w:jc w:val="both"/>
        <w:rPr>
          <w:rFonts w:ascii="Times New Roman" w:hAnsi="Times New Roman"/>
          <w:color w:val="000000" w:themeColor="text1"/>
          <w:sz w:val="16"/>
          <w:szCs w:val="16"/>
        </w:rPr>
      </w:pPr>
    </w:p>
    <w:p w14:paraId="117467D6"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28, 1942: In the face of the continuing Soviet offensive toward Rostov-on-Don that threatens to cut it off, Heeresgruppe A (Ruoff) is ordered to withdraw its forces from the Caucasus (3819).</w:t>
      </w:r>
    </w:p>
    <w:p w14:paraId="39C03790" w14:textId="77777777" w:rsidR="00BB6316" w:rsidRPr="00722885" w:rsidRDefault="00BB6316" w:rsidP="00722885">
      <w:pPr>
        <w:pStyle w:val="Iauiue"/>
        <w:jc w:val="both"/>
        <w:rPr>
          <w:color w:val="000000" w:themeColor="text1"/>
          <w:sz w:val="16"/>
          <w:szCs w:val="16"/>
          <w:lang w:val="en-US"/>
        </w:rPr>
      </w:pPr>
    </w:p>
    <w:p w14:paraId="1E20595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28 декабря 1942 из-за наступления на Ростов Группа А получила приказ отвести части с Кавказа (3819).</w:t>
      </w:r>
    </w:p>
    <w:p w14:paraId="5A104A20" w14:textId="77777777" w:rsidR="00BB6316" w:rsidRPr="00722885" w:rsidRDefault="00BB6316" w:rsidP="00722885">
      <w:pPr>
        <w:pStyle w:val="Iauiue"/>
        <w:jc w:val="both"/>
        <w:rPr>
          <w:color w:val="000000" w:themeColor="text1"/>
          <w:sz w:val="16"/>
          <w:szCs w:val="16"/>
        </w:rPr>
      </w:pPr>
    </w:p>
    <w:p w14:paraId="3DF8A0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28 декабря 1942 г. по 17 января 1943 г. Люфтваффе совершили 1533 самолето-вылета на снабжение окруженной группировки, доставив почти 3000 т грузов и вывезя 9660 раненых. Тем временем 11 января советские войска перешли в наступление против остатков 6-й армии, неумолимо сжимая кольцо окружения. Вскоре под угрозой оказались и аэродромы, на которых совершали посадку транспортные самолеты. Вечером 18 января на аэродроме Гумрак приземлился Не-111 командира 2-й эскадрильи KG55 «Грайф» обер-лейтенанта Хорста Рудата. Взяв на борт 27 раненых, «Хейнкель» взмыл в небо и удалился в западном направлении. Как потом оказалось, это был последний бомбардировщик эскадры, сумевший совершить посадку в «котле» и успешно вернуться обратно. Через четыре дня русские заняли Гумрак и продвигались дальше к городу. Поэтому в следующие дни немецкие самолеты в основном сбрасывали на парашютах грузовые контейнеры. Однако удивительно, что даже в этой совершенно безнадежной ситуации командование Люфтваффе полностью не отказывалось от операций стратегического значения. Так, эскадра KG51 «Эдельвейс», помимо выполнения тактических задач по прикрытию отхода немецких и румынских дивизий с Кавказа и из Калмыкии, периодически продолжала наносить удары по железной дороге Астрахань – Урбах. 8 января группа Ju-88 из I./KG51 совершила очередной налет на станцию Баскунчак. При этом командир эскадры оберет Хайнрих Конрад, лично участвовавший в нем, решил зафиксировать результаты атаки. Для этого его «Юнкере», невзирая на сильный зенитный огонь с земли, развернулся и зашел на второй круг. Другие экипажи отчетливо видели, как самолет получил прямое попадание зенитного снаряда и, перейдя в беспорядочное пикирование, упал в степи. Эта трагедия положила начало черной полосе в истории 1-й группы эскадры. Далее в течение трех дней, с 9 по 11 января, она потеряла по разным причинам сразу 13 экипажей, т.е. половину личного состава! Таких потерь в прежние времена германская бомбардировочная авиация еще не знала. Тем не менее налеты на железнодорожные станции за Волгой продолжались до начала февраля, пока штаб и 1-я группа эскадры KG51 оставались в Ростове-на-Дону. Затем «Юнкерсы» из всех трех групп перелетели на запад, в Запорожье. 31 января 6-я армия капитулировала, положив конец длившейся в течение полугода битве на Волге. При этом немецкой авиации, несмотря на все усилия, лишь частично удалось выполнить задачу по снабжению окруженной группировки и эвакуации раненых. Всего с 24 ноября 1942 г. по 3 февраля 1943 г. самолеты 1-го авиационного транспортного командования выполнили 4872 вылета, доставив окруженным частям 8250 т различных грузов. По воздуху были эвакуированы почти 30 тыс. человек, т.е. 11% состава окруженных частей. При этом боевые и небоевые потери Люфтваффе, включая машины, брошенные на аэродромах, составили в общей сложности 488 самолетов, в т.ч. 266 Ju-52,165 Не-111,42 Ju-86, девять FW-200, пять Не-177 и один Ju-290. Погибли, пропали без вести и попали в плен свыше 1100 человек из их экипажей. По меркам немцев это была настоящая катастрофа.Однако для самого Сталинграда итоги сражения оказались неутешительны. Были разрушены все 126 предприятий, из них 48 полностью стерты с лица земли. Выбыли из строя свыше 40 тыс. домов, т.е. 90% жилого фонда. Уничтожению подверглись ПО школ, 120 детских садов, 89 медицинских учреждений, 75 клубов и Дворцов культуры, семь кинотеатров и столько же театров. Лишь на южной окраине, в Кировском районе, сохранились в более-менее пригодном виде несколько тысяч частных домов. Полностью вышли из строя все городские коммуникации и коммунальное хозяйство, сгорели все парки и сады. Сильно пострадала и Сталинградская область. Здесь были разрушены около 20 тыс. зданий, в т.ч. 655 школ, 209 сельских клубов, театров и кинотеатров, 172 магазина, 150 больниц и т.д. После проведенного в феврале учета населения оказалось, что в Ерманском районе осталось 33 жителя, во всей центральной части Сталинграда – 751 житель, а в северной, промышленной, части города – 764! Большую опасность представляли также многочисленные минные поля, хаотично наставленные как Красной Армией, так и немецкими саперами, а также огромное количество неразорвавшихся бомб, мин и снарядов. Значительные пространства города были превращены в сплошные завалы из разлагающихся трупов, обломков зданий и арматуры, разбитой техники. Только на территории СТЗ после окончания боев насчитали почти 50 тыс. воронок от бомб, снарядов и мин. Восстановительные работы начались уже в феврале, после капитуляции 6-й армии, однако до конца войны удалось частично восстановить и построить лишь 11 тыс. жилых домов. Не лучше обстояло дело и с предприятиями. Хотя формально тракторный завод возобновил работу 19 июля 1943 г., первый дизельный двигатель был выпущен лишь 2 ноября, «к годовщине революции». В это же время на артиллерийском заводе «Баррикады» вступила в строй первая мартеновская печь. Однако эти героические усилия рабочих имели скорее пропагандистское, чем военное значение, идо конца войны Сталинград уже не являлся сколько-нибудь важным промышленным центром. С трудом проходило и восстановление коммуникаций и транспортной инфраструктуры. Железнодорожную линию Сталинград – Саратов удалось сдать в эксплуатацию лишь 22 октября, а трамвайное движение в городе было частично восстановлено лишь 26 декабря 1943 г. (11774).</w:t>
      </w:r>
    </w:p>
    <w:p w14:paraId="0634A69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CE755AE"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1CECCDA" w14:textId="77777777" w:rsidR="00BB6316" w:rsidRPr="00722885" w:rsidRDefault="00BB6316" w:rsidP="00722885">
      <w:pPr>
        <w:pStyle w:val="Iauiue"/>
        <w:jc w:val="both"/>
        <w:rPr>
          <w:iCs/>
          <w:color w:val="000000" w:themeColor="text1"/>
          <w:sz w:val="16"/>
          <w:szCs w:val="16"/>
        </w:rPr>
      </w:pPr>
    </w:p>
    <w:p w14:paraId="03F8624C"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28 декабря 1942 г. RLM увеличило свой заказ на Ар-234 до 20 прототипов. Одновременно были определены их предназначение и комплектация. Первые семь прототипов (от V-1 до V-7) должны были оснащаться двумя двигателями Jumo 004. На Ar 234V-8, а также прототипы, начиная с V-15, должны были устанавливаться четыре доработанных ТРД BMW 003. Все самолеты планировалось закончить постройкой в период между ноябрем 1943 г. и октябрем 1944 г. (22776).</w:t>
      </w:r>
    </w:p>
    <w:p w14:paraId="6ADFB787" w14:textId="77777777" w:rsidR="007B627D" w:rsidRPr="00722885" w:rsidRDefault="007B627D" w:rsidP="00722885">
      <w:pPr>
        <w:spacing w:after="0" w:line="240" w:lineRule="auto"/>
        <w:jc w:val="both"/>
        <w:rPr>
          <w:rFonts w:ascii="Times New Roman" w:hAnsi="Times New Roman"/>
          <w:color w:val="0070C0"/>
          <w:sz w:val="16"/>
          <w:szCs w:val="16"/>
        </w:rPr>
      </w:pPr>
    </w:p>
    <w:p w14:paraId="35959C77"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28 декабря 1942 нацистами в Освенциме начаты опыты по насильственной стерилизации женщин (4962).</w:t>
      </w:r>
    </w:p>
    <w:p w14:paraId="47A04FD5" w14:textId="77777777" w:rsidR="00BB6316" w:rsidRPr="00722885" w:rsidRDefault="00BB6316" w:rsidP="00722885">
      <w:pPr>
        <w:pStyle w:val="Iauiue"/>
        <w:tabs>
          <w:tab w:val="left" w:pos="11199"/>
        </w:tabs>
        <w:jc w:val="both"/>
        <w:rPr>
          <w:color w:val="000000" w:themeColor="text1"/>
          <w:sz w:val="16"/>
          <w:szCs w:val="16"/>
        </w:rPr>
      </w:pPr>
    </w:p>
    <w:p w14:paraId="6C23669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5244C69" w14:textId="77777777" w:rsidR="00BB6316" w:rsidRPr="00722885" w:rsidRDefault="00BB6316" w:rsidP="00722885">
      <w:pPr>
        <w:pStyle w:val="Iauiue"/>
        <w:jc w:val="both"/>
        <w:rPr>
          <w:iCs/>
          <w:color w:val="000000" w:themeColor="text1"/>
          <w:sz w:val="16"/>
          <w:szCs w:val="16"/>
        </w:rPr>
      </w:pPr>
    </w:p>
    <w:p w14:paraId="7C94149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29 декабря 1942 состоялся следующий боевой вылет с участием Ил-2 с «большими» пушками (Ш-37).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722885">
        <w:rPr>
          <w:color w:val="000000" w:themeColor="text1"/>
          <w:sz w:val="16"/>
          <w:szCs w:val="16"/>
        </w:rPr>
        <w:softHyphen/>
        <w:t>ры наносились в период 12.42—13.00 двумя груп</w:t>
      </w:r>
      <w:r w:rsidRPr="00722885">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722885">
        <w:rPr>
          <w:color w:val="000000" w:themeColor="text1"/>
          <w:sz w:val="16"/>
          <w:szCs w:val="16"/>
        </w:rPr>
        <w:softHyphen/>
        <w:t>нили 3 захода на цели из боевого порядка круг. Ис</w:t>
      </w:r>
      <w:r w:rsidRPr="00722885">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57E794E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6A48B2B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посадки сержант Зыков доложил, что «ма</w:t>
      </w:r>
      <w:r w:rsidRPr="00722885">
        <w:rPr>
          <w:color w:val="000000" w:themeColor="text1"/>
          <w:sz w:val="16"/>
          <w:szCs w:val="16"/>
        </w:rPr>
        <w:softHyphen/>
        <w:t>неврирует самолет хорошо, при ведении огня пе</w:t>
      </w:r>
      <w:r w:rsidRPr="00722885">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722885">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722885">
        <w:rPr>
          <w:color w:val="000000" w:themeColor="text1"/>
          <w:sz w:val="16"/>
          <w:szCs w:val="16"/>
        </w:rPr>
        <w:softHyphen/>
        <w:t>денция самолета к развороту легко парируется ру</w:t>
      </w:r>
      <w:r w:rsidRPr="00722885">
        <w:rPr>
          <w:color w:val="000000" w:themeColor="text1"/>
          <w:sz w:val="16"/>
          <w:szCs w:val="16"/>
        </w:rPr>
        <w:softHyphen/>
        <w:t>лями». Эффективность стрельбы пушек по танкам и живой силе хорошая.</w:t>
      </w:r>
    </w:p>
    <w:p w14:paraId="01FE05C8"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самолетах Игнатьева и Дунова пушки рабо</w:t>
      </w:r>
      <w:r w:rsidRPr="00722885">
        <w:rPr>
          <w:color w:val="000000" w:themeColor="text1"/>
          <w:sz w:val="16"/>
          <w:szCs w:val="16"/>
        </w:rPr>
        <w:softHyphen/>
        <w:t>тали отлично. Летчикам удалось расстрелять весь боекомплект к ним.</w:t>
      </w:r>
    </w:p>
    <w:p w14:paraId="09308C92"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Отметим, что на Ил-2 Игнатьева, помимо ракет</w:t>
      </w:r>
      <w:r w:rsidRPr="00722885">
        <w:rPr>
          <w:color w:val="000000" w:themeColor="text1"/>
          <w:sz w:val="16"/>
          <w:szCs w:val="16"/>
        </w:rPr>
        <w:softHyphen/>
        <w:t>ных снарядов и полного боекомплекта к пушкам и пулеметам, были подвешены 2 фугасные авиабом</w:t>
      </w:r>
      <w:r w:rsidRPr="00722885">
        <w:rPr>
          <w:color w:val="000000" w:themeColor="text1"/>
          <w:sz w:val="16"/>
          <w:szCs w:val="16"/>
        </w:rPr>
        <w:softHyphen/>
        <w:t>бы ФАБ-100. При этом самолет хорошо маневриро</w:t>
      </w:r>
      <w:r w:rsidRPr="00722885">
        <w:rPr>
          <w:color w:val="000000" w:themeColor="text1"/>
          <w:sz w:val="16"/>
          <w:szCs w:val="16"/>
        </w:rPr>
        <w:softHyphen/>
        <w:t>вал и управлялся при всех условиях боя.</w:t>
      </w:r>
    </w:p>
    <w:p w14:paraId="268D7863"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 целям противника (ско</w:t>
      </w:r>
      <w:r w:rsidRPr="00722885">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722885">
        <w:rPr>
          <w:color w:val="000000" w:themeColor="text1"/>
          <w:sz w:val="16"/>
          <w:szCs w:val="16"/>
        </w:rPr>
        <w:softHyphen/>
        <w:t>та Кадомцева работала в районе балки Взрубная в период 14.10—14.20 под прикрытием 6 Як-1, а пя</w:t>
      </w:r>
      <w:r w:rsidRPr="00722885">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1C50330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отходе от цели в районе Дмитриевка имел место воздушный бой с немецкими истребителя</w:t>
      </w:r>
      <w:r w:rsidRPr="00722885">
        <w:rPr>
          <w:color w:val="000000" w:themeColor="text1"/>
          <w:sz w:val="16"/>
          <w:szCs w:val="16"/>
        </w:rPr>
        <w:softHyphen/>
        <w:t xml:space="preserve">ми. Пара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G</w:t>
      </w:r>
      <w:r w:rsidRPr="00722885">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722885">
        <w:rPr>
          <w:color w:val="000000" w:themeColor="text1"/>
          <w:sz w:val="16"/>
          <w:szCs w:val="16"/>
        </w:rPr>
        <w:softHyphen/>
        <w:t>временно заметил противника. После этого в воз</w:t>
      </w:r>
      <w:r w:rsidRPr="00722885">
        <w:rPr>
          <w:color w:val="000000" w:themeColor="text1"/>
          <w:sz w:val="16"/>
          <w:szCs w:val="16"/>
        </w:rPr>
        <w:softHyphen/>
        <w:t>душный бой вступили истребители прикрытия, а штурмовики встали в оборонительный круг. По</w:t>
      </w:r>
      <w:r w:rsidRPr="00722885">
        <w:rPr>
          <w:color w:val="000000" w:themeColor="text1"/>
          <w:sz w:val="16"/>
          <w:szCs w:val="16"/>
        </w:rPr>
        <w:softHyphen/>
        <w:t>сле ухода немецких истребителей Ил-2 перестрои</w:t>
      </w:r>
      <w:r w:rsidRPr="00722885">
        <w:rPr>
          <w:color w:val="000000" w:themeColor="text1"/>
          <w:sz w:val="16"/>
          <w:szCs w:val="16"/>
        </w:rPr>
        <w:softHyphen/>
        <w:t>лись в пеленг и встали на обратный маршрут.</w:t>
      </w:r>
    </w:p>
    <w:p w14:paraId="4BC2E35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До генерального наступления под Сталингра</w:t>
      </w:r>
      <w:r w:rsidRPr="00722885">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722885">
        <w:rPr>
          <w:color w:val="000000" w:themeColor="text1"/>
          <w:sz w:val="16"/>
          <w:szCs w:val="16"/>
        </w:rPr>
        <w:softHyphen/>
        <w:t>товым по данным разведки 228-й шад к вылету на боевое задание 2—4 экипажами.</w:t>
      </w:r>
    </w:p>
    <w:p w14:paraId="0E98FEA7"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722885">
        <w:rPr>
          <w:color w:val="000000" w:themeColor="text1"/>
          <w:sz w:val="16"/>
          <w:szCs w:val="16"/>
        </w:rPr>
        <w:softHyphen/>
        <w:t>ронительной полосы, а также по аэродромам и по</w:t>
      </w:r>
      <w:r w:rsidRPr="00722885">
        <w:rPr>
          <w:color w:val="000000" w:themeColor="text1"/>
          <w:sz w:val="16"/>
          <w:szCs w:val="16"/>
        </w:rPr>
        <w:softHyphen/>
        <w:t>садочным площадкам.</w:t>
      </w:r>
    </w:p>
    <w:p w14:paraId="1E6E0DB5"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Самолеты Ил-2 с 37-мм пушками принимали участие в боевой работе полка до полной ликви</w:t>
      </w:r>
      <w:r w:rsidRPr="00722885">
        <w:rPr>
          <w:color w:val="000000" w:themeColor="text1"/>
          <w:sz w:val="16"/>
          <w:szCs w:val="16"/>
        </w:rPr>
        <w:softHyphen/>
        <w:t>дации группировки немецких войск под Сталингра</w:t>
      </w:r>
      <w:r w:rsidRPr="00722885">
        <w:rPr>
          <w:color w:val="000000" w:themeColor="text1"/>
          <w:sz w:val="16"/>
          <w:szCs w:val="16"/>
        </w:rPr>
        <w:softHyphen/>
        <w:t>дом. Как и прежде, противотанковые Ил-2 ходили на задания в группах вместе с серийными самоле</w:t>
      </w:r>
      <w:r w:rsidRPr="00722885">
        <w:rPr>
          <w:color w:val="000000" w:themeColor="text1"/>
          <w:sz w:val="16"/>
          <w:szCs w:val="16"/>
        </w:rPr>
        <w:softHyphen/>
        <w:t>тами. Группы состояли из 2—6 самолетов, в кото</w:t>
      </w:r>
      <w:r w:rsidRPr="00722885">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7F10A5B4"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3CB1D923"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722885">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0DE3D92D"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10 января в ходе боевого вылета 6 Ил-2 (веду</w:t>
      </w:r>
      <w:r w:rsidRPr="00722885">
        <w:rPr>
          <w:color w:val="000000" w:themeColor="text1"/>
          <w:sz w:val="16"/>
          <w:szCs w:val="16"/>
        </w:rPr>
        <w:softHyphen/>
        <w:t>щий капитан Гребеньков) под прикрытием 4 Як-1 от 283-й иад в период 11.21—11.29 в район насе</w:t>
      </w:r>
      <w:r w:rsidRPr="00722885">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722885">
        <w:rPr>
          <w:color w:val="000000" w:themeColor="text1"/>
          <w:sz w:val="16"/>
          <w:szCs w:val="16"/>
        </w:rPr>
        <w:softHyphen/>
        <w:t>жен прямым попаданием бомбы, сброшенной с са</w:t>
      </w:r>
      <w:r w:rsidRPr="00722885">
        <w:rPr>
          <w:color w:val="000000" w:themeColor="text1"/>
          <w:sz w:val="16"/>
          <w:szCs w:val="16"/>
        </w:rPr>
        <w:softHyphen/>
        <w:t xml:space="preserve">молета </w:t>
      </w:r>
      <w:r w:rsidRPr="00722885">
        <w:rPr>
          <w:color w:val="000000" w:themeColor="text1"/>
          <w:sz w:val="16"/>
          <w:szCs w:val="16"/>
          <w:lang w:val="en-US"/>
        </w:rPr>
        <w:t>Ju</w:t>
      </w:r>
      <w:r w:rsidRPr="00722885">
        <w:rPr>
          <w:color w:val="000000" w:themeColor="text1"/>
          <w:sz w:val="16"/>
          <w:szCs w:val="16"/>
        </w:rPr>
        <w:t>88».</w:t>
      </w:r>
    </w:p>
    <w:p w14:paraId="790F556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На отходе от цели группа была атакована парой </w:t>
      </w:r>
      <w:r w:rsidRPr="00722885">
        <w:rPr>
          <w:color w:val="000000" w:themeColor="text1"/>
          <w:sz w:val="16"/>
          <w:szCs w:val="16"/>
          <w:lang w:val="en-US"/>
        </w:rPr>
        <w:t>Bf</w:t>
      </w:r>
      <w:r w:rsidRPr="00722885">
        <w:rPr>
          <w:color w:val="000000" w:themeColor="text1"/>
          <w:sz w:val="16"/>
          <w:szCs w:val="16"/>
        </w:rPr>
        <w:t xml:space="preserve"> 109</w:t>
      </w:r>
      <w:r w:rsidRPr="00722885">
        <w:rPr>
          <w:color w:val="000000" w:themeColor="text1"/>
          <w:sz w:val="16"/>
          <w:szCs w:val="16"/>
          <w:lang w:val="en-US"/>
        </w:rPr>
        <w:t>F</w:t>
      </w:r>
      <w:r w:rsidRPr="00722885">
        <w:rPr>
          <w:color w:val="000000" w:themeColor="text1"/>
          <w:sz w:val="16"/>
          <w:szCs w:val="16"/>
        </w:rPr>
        <w:t>. В результате Ил-2 зав. № 8029 с пушками</w:t>
      </w:r>
    </w:p>
    <w:p w14:paraId="5C4D651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202C984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722885">
        <w:rPr>
          <w:color w:val="000000" w:themeColor="text1"/>
          <w:sz w:val="16"/>
          <w:szCs w:val="16"/>
        </w:rPr>
        <w:softHyphen/>
        <w:t>ной группировки в районе Сталинграда вплоть до 2 февраля. Однако войсковые испытания офи</w:t>
      </w:r>
      <w:r w:rsidRPr="00722885">
        <w:rPr>
          <w:color w:val="000000" w:themeColor="text1"/>
          <w:sz w:val="16"/>
          <w:szCs w:val="16"/>
        </w:rPr>
        <w:softHyphen/>
        <w:t>циально были завершены 22 января. К этому вре</w:t>
      </w:r>
      <w:r w:rsidRPr="00722885">
        <w:rPr>
          <w:color w:val="000000" w:themeColor="text1"/>
          <w:sz w:val="16"/>
          <w:szCs w:val="16"/>
        </w:rPr>
        <w:softHyphen/>
        <w:t>мени Ил-2 с Ш-37 совершили 75 боевых само</w:t>
      </w:r>
      <w:r w:rsidRPr="00722885">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722885">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722885">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722885">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722885">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722885">
        <w:rPr>
          <w:color w:val="000000" w:themeColor="text1"/>
          <w:sz w:val="16"/>
          <w:szCs w:val="16"/>
        </w:rPr>
        <w:softHyphen/>
        <w:t>нил только один боевой вылет, и его результаты при составлении отчета по испытаниям не учиты</w:t>
      </w:r>
      <w:r w:rsidRPr="00722885">
        <w:rPr>
          <w:color w:val="000000" w:themeColor="text1"/>
          <w:sz w:val="16"/>
          <w:szCs w:val="16"/>
        </w:rPr>
        <w:softHyphen/>
        <w:t>вались.</w:t>
      </w:r>
    </w:p>
    <w:p w14:paraId="69DB6D21"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пушками Ш-37 «ходили на бое</w:t>
      </w:r>
      <w:r w:rsidRPr="00722885">
        <w:rPr>
          <w:color w:val="000000" w:themeColor="text1"/>
          <w:sz w:val="16"/>
          <w:szCs w:val="16"/>
        </w:rPr>
        <w:softHyphen/>
        <w:t>вые задания, имея запас боеприпасов 80 для 37-мм пушек, 1500 для пулеметов ШКАС, 8 РС-82 и 2 бом</w:t>
      </w:r>
      <w:r w:rsidRPr="00722885">
        <w:rPr>
          <w:color w:val="000000" w:themeColor="text1"/>
          <w:sz w:val="16"/>
          <w:szCs w:val="16"/>
        </w:rPr>
        <w:softHyphen/>
        <w:t>бы ФАБ-100 или 6 бомб АО-25».</w:t>
      </w:r>
    </w:p>
    <w:p w14:paraId="21F67CC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Экипажи действовали главным образом по са</w:t>
      </w:r>
      <w:r w:rsidRPr="00722885">
        <w:rPr>
          <w:color w:val="000000" w:themeColor="text1"/>
          <w:sz w:val="16"/>
          <w:szCs w:val="16"/>
        </w:rPr>
        <w:softHyphen/>
        <w:t>молетам на аэродромах и автотранспорту против</w:t>
      </w:r>
      <w:r w:rsidRPr="00722885">
        <w:rPr>
          <w:color w:val="000000" w:themeColor="text1"/>
          <w:sz w:val="16"/>
          <w:szCs w:val="16"/>
        </w:rPr>
        <w:softHyphen/>
        <w:t>ника. В отдельных случаях — по огневым точкам на поле боя, дерево-земляным оборонительным со</w:t>
      </w:r>
      <w:r w:rsidRPr="00722885">
        <w:rPr>
          <w:color w:val="000000" w:themeColor="text1"/>
          <w:sz w:val="16"/>
          <w:szCs w:val="16"/>
        </w:rPr>
        <w:softHyphen/>
        <w:t>оружениям и бронетехнике. Общий расход боепри</w:t>
      </w:r>
      <w:r w:rsidRPr="00722885">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722885">
        <w:rPr>
          <w:color w:val="000000" w:themeColor="text1"/>
          <w:sz w:val="16"/>
          <w:szCs w:val="16"/>
        </w:rPr>
        <w:softHyphen/>
        <w:t>бомб типа ФАБ-100 — 107, осколочных авиабомб типа АО-25 — 87.</w:t>
      </w:r>
    </w:p>
    <w:p w14:paraId="081EC14F"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Атаки наземных целей производились с плани</w:t>
      </w:r>
      <w:r w:rsidRPr="00722885">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722885">
        <w:rPr>
          <w:color w:val="000000" w:themeColor="text1"/>
          <w:sz w:val="16"/>
          <w:szCs w:val="16"/>
        </w:rPr>
        <w:softHyphen/>
        <w:t>гим данным — бронемашину), но достоверность поражения целей подтвердить не могли.</w:t>
      </w:r>
    </w:p>
    <w:p w14:paraId="1EEA9857"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эти данные не входят потери противника от бомб, РС и пулеметов на этих же самолетах. Необ</w:t>
      </w:r>
      <w:r w:rsidRPr="00722885">
        <w:rPr>
          <w:color w:val="000000" w:themeColor="text1"/>
          <w:sz w:val="16"/>
          <w:szCs w:val="16"/>
        </w:rPr>
        <w:softHyphen/>
        <w:t>ходимо отметить, что «танков, как основных целей для этих пушек, встречалось мало».</w:t>
      </w:r>
    </w:p>
    <w:p w14:paraId="28E314A1"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 время войсковых испытаний отмечалось не</w:t>
      </w:r>
      <w:r w:rsidRPr="00722885">
        <w:rPr>
          <w:color w:val="000000" w:themeColor="text1"/>
          <w:sz w:val="16"/>
          <w:szCs w:val="16"/>
        </w:rPr>
        <w:softHyphen/>
        <w:t>сколько случаев применения Ш-37 по воздушным целям, но все они, вследствие недостаточной ско</w:t>
      </w:r>
      <w:r w:rsidRPr="00722885">
        <w:rPr>
          <w:color w:val="000000" w:themeColor="text1"/>
          <w:sz w:val="16"/>
          <w:szCs w:val="16"/>
        </w:rPr>
        <w:softHyphen/>
        <w:t>рострельности пушки, были неудачными.</w:t>
      </w:r>
    </w:p>
    <w:p w14:paraId="2A9B21D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одном случае Ил-2 на высоте 800 м был атако</w:t>
      </w:r>
      <w:r w:rsidRPr="00722885">
        <w:rPr>
          <w:color w:val="000000" w:themeColor="text1"/>
          <w:sz w:val="16"/>
          <w:szCs w:val="16"/>
        </w:rPr>
        <w:softHyphen/>
        <w:t xml:space="preserve">ван в лоб истребителем Люфтваффе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С дис</w:t>
      </w:r>
      <w:r w:rsidRPr="00722885">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722885">
        <w:rPr>
          <w:color w:val="000000" w:themeColor="text1"/>
          <w:sz w:val="16"/>
          <w:szCs w:val="16"/>
          <w:lang w:val="en-US"/>
        </w:rPr>
        <w:t>Ju</w:t>
      </w:r>
      <w:r w:rsidRPr="00722885">
        <w:rPr>
          <w:color w:val="000000" w:themeColor="text1"/>
          <w:sz w:val="16"/>
          <w:szCs w:val="16"/>
        </w:rPr>
        <w:t>52/3</w:t>
      </w:r>
      <w:r w:rsidRPr="00722885">
        <w:rPr>
          <w:color w:val="000000" w:themeColor="text1"/>
          <w:sz w:val="16"/>
          <w:szCs w:val="16"/>
          <w:lang w:val="en-US"/>
        </w:rPr>
        <w:t>m</w:t>
      </w:r>
      <w:r w:rsidRPr="00722885">
        <w:rPr>
          <w:color w:val="000000" w:themeColor="text1"/>
          <w:sz w:val="16"/>
          <w:szCs w:val="16"/>
        </w:rPr>
        <w:t>. Огонь из Ш-37 велся короткими очере</w:t>
      </w:r>
      <w:r w:rsidRPr="00722885">
        <w:rPr>
          <w:color w:val="000000" w:themeColor="text1"/>
          <w:sz w:val="16"/>
          <w:szCs w:val="16"/>
        </w:rPr>
        <w:softHyphen/>
        <w:t>дями по 3—4 снаряда с дистанции 600—300 м. Всего было выпущено до 20—30 снарядов. Попа</w:t>
      </w:r>
      <w:r w:rsidRPr="00722885">
        <w:rPr>
          <w:color w:val="000000" w:themeColor="text1"/>
          <w:sz w:val="16"/>
          <w:szCs w:val="16"/>
        </w:rPr>
        <w:softHyphen/>
        <w:t>даний в немецкий самолет не было. Летчики на</w:t>
      </w:r>
      <w:r w:rsidRPr="00722885">
        <w:rPr>
          <w:color w:val="000000" w:themeColor="text1"/>
          <w:sz w:val="16"/>
          <w:szCs w:val="16"/>
        </w:rPr>
        <w:softHyphen/>
        <w:t>блюдали, что «снаряды ложатся правее и левее плоскостей самолета». В итоге «Юнкерс» ушел в облака.</w:t>
      </w:r>
    </w:p>
    <w:p w14:paraId="1C6E9F55"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Средний расход боекомплекта к пушкам Ш-37 за один самолето-вылет составил 37,6%, что соот</w:t>
      </w:r>
      <w:r w:rsidRPr="00722885">
        <w:rPr>
          <w:color w:val="000000" w:themeColor="text1"/>
          <w:sz w:val="16"/>
          <w:szCs w:val="16"/>
        </w:rPr>
        <w:softHyphen/>
        <w:t>ветствует средней продолжительности непрерыв</w:t>
      </w:r>
      <w:r w:rsidRPr="00722885">
        <w:rPr>
          <w:color w:val="000000" w:themeColor="text1"/>
          <w:sz w:val="16"/>
          <w:szCs w:val="16"/>
        </w:rPr>
        <w:softHyphen/>
        <w:t>ной стрельбы всего 5 секунд. Это, с одной сторо</w:t>
      </w:r>
      <w:r w:rsidRPr="00722885">
        <w:rPr>
          <w:color w:val="000000" w:themeColor="text1"/>
          <w:sz w:val="16"/>
          <w:szCs w:val="16"/>
        </w:rPr>
        <w:softHyphen/>
        <w:t>ны, говорит о том, что целей, достойных для пушек Ш-37, в боевых вылетах было мало, а с другой сто</w:t>
      </w:r>
      <w:r w:rsidRPr="00722885">
        <w:rPr>
          <w:color w:val="000000" w:themeColor="text1"/>
          <w:sz w:val="16"/>
          <w:szCs w:val="16"/>
        </w:rPr>
        <w:softHyphen/>
        <w:t>роны, указывает на недостаточную эффективность стрельбы с самолета Ил-2 из такой пушки по точеч</w:t>
      </w:r>
      <w:r w:rsidRPr="00722885">
        <w:rPr>
          <w:color w:val="000000" w:themeColor="text1"/>
          <w:sz w:val="16"/>
          <w:szCs w:val="16"/>
        </w:rPr>
        <w:softHyphen/>
        <w:t>ным малоразмерным целям.</w:t>
      </w:r>
    </w:p>
    <w:p w14:paraId="5AE35260"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722885">
        <w:rPr>
          <w:color w:val="000000" w:themeColor="text1"/>
          <w:sz w:val="16"/>
          <w:szCs w:val="16"/>
        </w:rPr>
        <w:softHyphen/>
        <w:t>ставил 54%. Из общего числа боевых вылетов, вы</w:t>
      </w:r>
      <w:r w:rsidRPr="00722885">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722885">
        <w:rPr>
          <w:color w:val="000000" w:themeColor="text1"/>
          <w:sz w:val="16"/>
          <w:szCs w:val="16"/>
        </w:rPr>
        <w:softHyphen/>
        <w:t>евое задание Ил-2 с пушками Ш-37 сопровождался отказом хотя бы одной из пушек.</w:t>
      </w:r>
    </w:p>
    <w:p w14:paraId="5DDC0630"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состоянию на 25 января произошло 123 от</w:t>
      </w:r>
      <w:r w:rsidRPr="00722885">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722885">
        <w:rPr>
          <w:color w:val="000000" w:themeColor="text1"/>
          <w:sz w:val="16"/>
          <w:szCs w:val="16"/>
        </w:rPr>
        <w:softHyphen/>
        <w:t>од, в то время как «по техническим условиям для оружия допускается 0,2% задержек на полную жи</w:t>
      </w:r>
      <w:r w:rsidRPr="00722885">
        <w:rPr>
          <w:color w:val="000000" w:themeColor="text1"/>
          <w:sz w:val="16"/>
          <w:szCs w:val="16"/>
        </w:rPr>
        <w:softHyphen/>
        <w:t>вучесть пушек».</w:t>
      </w:r>
    </w:p>
    <w:p w14:paraId="5CE64D0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из всех задержек исключить задержки по вине установок и по вине обслуживающего пер</w:t>
      </w:r>
      <w:r w:rsidRPr="00722885">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722885">
        <w:rPr>
          <w:color w:val="000000" w:themeColor="text1"/>
          <w:sz w:val="16"/>
          <w:szCs w:val="16"/>
        </w:rPr>
        <w:softHyphen/>
        <w:t>новные поломки следующие: ударника — 6, план</w:t>
      </w:r>
      <w:r w:rsidRPr="00722885">
        <w:rPr>
          <w:color w:val="000000" w:themeColor="text1"/>
          <w:sz w:val="16"/>
          <w:szCs w:val="16"/>
        </w:rPr>
        <w:softHyphen/>
        <w:t>ки затвора — 4, бойка — 8, направляющей втулки ударника — 5, трещина в затыльнике — 5, непо</w:t>
      </w:r>
      <w:r w:rsidRPr="00722885">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722885">
        <w:rPr>
          <w:color w:val="000000" w:themeColor="text1"/>
          <w:sz w:val="16"/>
          <w:szCs w:val="16"/>
        </w:rPr>
        <w:softHyphen/>
        <w:t>лов потребовало бы 59 ударников».</w:t>
      </w:r>
    </w:p>
    <w:p w14:paraId="0A270854"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722885">
        <w:rPr>
          <w:color w:val="000000" w:themeColor="text1"/>
          <w:sz w:val="16"/>
          <w:szCs w:val="16"/>
        </w:rPr>
        <w:softHyphen/>
        <w:t>дром в Вихлянцево. Соответственно, бригада спе</w:t>
      </w:r>
      <w:r w:rsidRPr="00722885">
        <w:rPr>
          <w:color w:val="000000" w:themeColor="text1"/>
          <w:sz w:val="16"/>
          <w:szCs w:val="16"/>
        </w:rPr>
        <w:softHyphen/>
        <w:t>циалистов от ОКБ-15 не могла оперативно устра</w:t>
      </w:r>
      <w:r w:rsidRPr="00722885">
        <w:rPr>
          <w:color w:val="000000" w:themeColor="text1"/>
          <w:sz w:val="16"/>
          <w:szCs w:val="16"/>
        </w:rPr>
        <w:softHyphen/>
        <w:t>нять отказы в работе и поломки пушек.</w:t>
      </w:r>
    </w:p>
    <w:p w14:paraId="167723C2"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Очевидно, все «это нарушало нормальную бое</w:t>
      </w:r>
      <w:r w:rsidRPr="00722885">
        <w:rPr>
          <w:color w:val="000000" w:themeColor="text1"/>
          <w:sz w:val="16"/>
          <w:szCs w:val="16"/>
        </w:rPr>
        <w:softHyphen/>
        <w:t>вую работу полка, самолеты приходилось из-за не</w:t>
      </w:r>
      <w:r w:rsidRPr="00722885">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722885">
        <w:rPr>
          <w:color w:val="000000" w:themeColor="text1"/>
          <w:sz w:val="16"/>
          <w:szCs w:val="16"/>
        </w:rPr>
        <w:softHyphen/>
        <w:t>ко с остальным вооружением».</w:t>
      </w:r>
    </w:p>
    <w:p w14:paraId="73A38784"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«Большое количество поломок, задержек и от</w:t>
      </w:r>
      <w:r w:rsidRPr="00722885">
        <w:rPr>
          <w:color w:val="000000" w:themeColor="text1"/>
          <w:sz w:val="16"/>
          <w:szCs w:val="16"/>
        </w:rPr>
        <w:softHyphen/>
        <w:t>казов в работе пушек вызвало у летчиков неприят</w:t>
      </w:r>
      <w:r w:rsidRPr="00722885">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6392BC13"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722885">
        <w:rPr>
          <w:color w:val="000000" w:themeColor="text1"/>
          <w:sz w:val="16"/>
          <w:szCs w:val="16"/>
        </w:rPr>
        <w:softHyphen/>
        <w:t>жием».</w:t>
      </w:r>
    </w:p>
    <w:p w14:paraId="0F461F1D"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своих донесениях летчики отмечали, что «са</w:t>
      </w:r>
      <w:r w:rsidRPr="00722885">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722885">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722885">
        <w:rPr>
          <w:color w:val="000000" w:themeColor="text1"/>
          <w:sz w:val="16"/>
          <w:szCs w:val="16"/>
        </w:rPr>
        <w:softHyphen/>
        <w:t>нее управляем. Плохо держится в строю при ско</w:t>
      </w:r>
      <w:r w:rsidRPr="00722885">
        <w:rPr>
          <w:color w:val="000000" w:themeColor="text1"/>
          <w:sz w:val="16"/>
          <w:szCs w:val="16"/>
        </w:rPr>
        <w:softHyphen/>
        <w:t>ростях около 250—260 км/ч и ниже. Хорошо дер</w:t>
      </w:r>
      <w:r w:rsidRPr="00722885">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102458D4"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скоростях полета 250 км/ч «прицельную стрельбу из пушек вести трудно из-за сильной ви</w:t>
      </w:r>
      <w:r w:rsidRPr="00722885">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722885">
        <w:rPr>
          <w:color w:val="000000" w:themeColor="text1"/>
          <w:sz w:val="16"/>
          <w:szCs w:val="16"/>
        </w:rPr>
        <w:softHyphen/>
        <w:t>ется незначительно». При стрельбе с набором вы</w:t>
      </w:r>
      <w:r w:rsidRPr="00722885">
        <w:rPr>
          <w:color w:val="000000" w:themeColor="text1"/>
          <w:sz w:val="16"/>
          <w:szCs w:val="16"/>
        </w:rPr>
        <w:softHyphen/>
        <w:t>соты самолет резко теряет скорость. На пикирова</w:t>
      </w:r>
      <w:r w:rsidRPr="00722885">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722885">
        <w:rPr>
          <w:color w:val="000000" w:themeColor="text1"/>
          <w:sz w:val="16"/>
          <w:szCs w:val="16"/>
        </w:rPr>
        <w:softHyphen/>
        <w:t>рачивается в сторону стреляющей пушки, прицель</w:t>
      </w:r>
      <w:r w:rsidRPr="00722885">
        <w:rPr>
          <w:color w:val="000000" w:themeColor="text1"/>
          <w:sz w:val="16"/>
          <w:szCs w:val="16"/>
        </w:rPr>
        <w:softHyphen/>
        <w:t>ный огонь вести невозможно. Боковой перенос ог</w:t>
      </w:r>
      <w:r w:rsidRPr="00722885">
        <w:rPr>
          <w:color w:val="000000" w:themeColor="text1"/>
          <w:sz w:val="16"/>
          <w:szCs w:val="16"/>
        </w:rPr>
        <w:softHyphen/>
        <w:t>ня при пикировании затруднен, а «с высоты 400 м и ниже невозможен, ввиду инертности самолета».</w:t>
      </w:r>
    </w:p>
    <w:p w14:paraId="5D7086D2"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заявлениям летчиков, «стволы пушек в по</w:t>
      </w:r>
      <w:r w:rsidRPr="00722885">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722885">
        <w:rPr>
          <w:color w:val="000000" w:themeColor="text1"/>
          <w:sz w:val="16"/>
          <w:szCs w:val="16"/>
        </w:rPr>
        <w:softHyphen/>
        <w:t>трудняет возможность вести прицельный огонь». Утверждалось, что «при боевом развороте на ско</w:t>
      </w:r>
      <w:r w:rsidRPr="00722885">
        <w:rPr>
          <w:color w:val="000000" w:themeColor="text1"/>
          <w:sz w:val="16"/>
          <w:szCs w:val="16"/>
        </w:rPr>
        <w:softHyphen/>
        <w:t>рости 270 км/ч самолет сильно трясет».</w:t>
      </w:r>
    </w:p>
    <w:p w14:paraId="40F0FCE8"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722885">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722885">
        <w:rPr>
          <w:color w:val="000000" w:themeColor="text1"/>
          <w:sz w:val="16"/>
          <w:szCs w:val="16"/>
        </w:rPr>
        <w:softHyphen/>
        <w:t>ровано только 22 случая полного расстрела бое</w:t>
      </w:r>
      <w:r w:rsidRPr="00722885">
        <w:rPr>
          <w:color w:val="000000" w:themeColor="text1"/>
          <w:sz w:val="16"/>
          <w:szCs w:val="16"/>
        </w:rPr>
        <w:softHyphen/>
        <w:t>комплекта.</w:t>
      </w:r>
    </w:p>
    <w:p w14:paraId="78232938"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эксплуатационной точки зрения пушка Ш-37 и пушечная установка оказались простыми и удоб</w:t>
      </w:r>
      <w:r w:rsidRPr="00722885">
        <w:rPr>
          <w:color w:val="000000" w:themeColor="text1"/>
          <w:sz w:val="16"/>
          <w:szCs w:val="16"/>
        </w:rPr>
        <w:softHyphen/>
        <w:t>ными в обслуживании даже в условиях зимы, ког</w:t>
      </w:r>
      <w:r w:rsidRPr="00722885">
        <w:rPr>
          <w:color w:val="000000" w:themeColor="text1"/>
          <w:sz w:val="16"/>
          <w:szCs w:val="16"/>
        </w:rPr>
        <w:softHyphen/>
        <w:t>да технический состав вынужден работать в ру</w:t>
      </w:r>
      <w:r w:rsidRPr="00722885">
        <w:rPr>
          <w:color w:val="000000" w:themeColor="text1"/>
          <w:sz w:val="16"/>
          <w:szCs w:val="16"/>
        </w:rPr>
        <w:softHyphen/>
        <w:t>кавицах и тяжелой одежде. При работе 2 человек чистка пушки требует не более 30 мин, заряд</w:t>
      </w:r>
      <w:r w:rsidRPr="00722885">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722885">
        <w:rPr>
          <w:color w:val="000000" w:themeColor="text1"/>
          <w:sz w:val="16"/>
          <w:szCs w:val="16"/>
        </w:rPr>
        <w:softHyphen/>
        <w:t>ра — 4—5 ч, шептала — 4 ч, собачки шептала — 3 ч. Технический состав полка особо отметил «не</w:t>
      </w:r>
      <w:r w:rsidRPr="00722885">
        <w:rPr>
          <w:color w:val="000000" w:themeColor="text1"/>
          <w:sz w:val="16"/>
          <w:szCs w:val="16"/>
        </w:rPr>
        <w:softHyphen/>
        <w:t>удобную конструкцию и плохое изготовление об</w:t>
      </w:r>
      <w:r w:rsidRPr="00722885">
        <w:rPr>
          <w:color w:val="000000" w:themeColor="text1"/>
          <w:sz w:val="16"/>
          <w:szCs w:val="16"/>
        </w:rPr>
        <w:softHyphen/>
        <w:t>текателей пушек — на шомпола их невозможно закрыть».</w:t>
      </w:r>
    </w:p>
    <w:p w14:paraId="77F13A7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722885">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7C5D8BA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722885">
        <w:rPr>
          <w:color w:val="000000" w:themeColor="text1"/>
          <w:sz w:val="16"/>
          <w:szCs w:val="16"/>
        </w:rPr>
        <w:softHyphen/>
        <w:t>лись.</w:t>
      </w:r>
    </w:p>
    <w:p w14:paraId="2BC44397"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лейтенант Воловиков в своем донесе</w:t>
      </w:r>
      <w:r w:rsidRPr="00722885">
        <w:rPr>
          <w:color w:val="000000" w:themeColor="text1"/>
          <w:sz w:val="16"/>
          <w:szCs w:val="16"/>
        </w:rPr>
        <w:softHyphen/>
        <w:t>нии указал, что «в серийном производстве Ил-2 с ШФК-37 выпускать нельзя». К его мнению присо</w:t>
      </w:r>
      <w:r w:rsidRPr="00722885">
        <w:rPr>
          <w:color w:val="000000" w:themeColor="text1"/>
          <w:sz w:val="16"/>
          <w:szCs w:val="16"/>
        </w:rPr>
        <w:softHyphen/>
        <w:t>единились старший сержант А. В. Дунов, сержант М. А. Сахариленко и старшина В. Ф. Игнатьев.</w:t>
      </w:r>
    </w:p>
    <w:p w14:paraId="2361C64F"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722885">
        <w:rPr>
          <w:color w:val="000000" w:themeColor="text1"/>
          <w:sz w:val="16"/>
          <w:szCs w:val="16"/>
        </w:rPr>
        <w:softHyphen/>
        <w:t>го; 4) нужен более мощный мотор для противозе</w:t>
      </w:r>
      <w:r w:rsidRPr="00722885">
        <w:rPr>
          <w:color w:val="000000" w:themeColor="text1"/>
          <w:sz w:val="16"/>
          <w:szCs w:val="16"/>
        </w:rPr>
        <w:softHyphen/>
        <w:t>нитного маневра; 5) формировать отдельные диви</w:t>
      </w:r>
      <w:r w:rsidRPr="00722885">
        <w:rPr>
          <w:color w:val="000000" w:themeColor="text1"/>
          <w:sz w:val="16"/>
          <w:szCs w:val="16"/>
        </w:rPr>
        <w:softHyphen/>
        <w:t>зионные группы Ил-2 с пушками 37 мм или на полк давать 6 таких самолетов».</w:t>
      </w:r>
    </w:p>
    <w:p w14:paraId="79017EF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722885">
        <w:rPr>
          <w:color w:val="000000" w:themeColor="text1"/>
          <w:sz w:val="16"/>
          <w:szCs w:val="16"/>
        </w:rPr>
        <w:softHyphen/>
        <w:t>жанта Юсова».</w:t>
      </w:r>
    </w:p>
    <w:p w14:paraId="4971BC40"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с учетом этого в заключении «Доклада о войсковых испытаниях на боевое при</w:t>
      </w:r>
      <w:r w:rsidRPr="00722885">
        <w:rPr>
          <w:color w:val="000000" w:themeColor="text1"/>
          <w:sz w:val="16"/>
          <w:szCs w:val="16"/>
        </w:rPr>
        <w:softHyphen/>
        <w:t>менение самолетов Ил-2 АМ-38, вооруженных 37-мм пушками конструкции ОКБ-15» было записа</w:t>
      </w:r>
      <w:r w:rsidRPr="00722885">
        <w:rPr>
          <w:color w:val="000000" w:themeColor="text1"/>
          <w:sz w:val="16"/>
          <w:szCs w:val="16"/>
        </w:rPr>
        <w:softHyphen/>
        <w:t>но: «1. Самолеты с пушками ШФК-37, испытанные на боевое применение, не дали должной эффективно</w:t>
      </w:r>
      <w:r w:rsidRPr="00722885">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722885">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2B4FC555"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боевых летчиков от 688-го шап и чле</w:t>
      </w:r>
      <w:r w:rsidRPr="00722885">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2E521EC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Уже 8 марта 1943 г. начальник 1-го отдела УЗ- СиМ ГУЗ ВВС инженер-полковник Ковалев в до</w:t>
      </w:r>
      <w:r w:rsidRPr="00722885">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722885">
        <w:rPr>
          <w:color w:val="000000" w:themeColor="text1"/>
          <w:sz w:val="16"/>
          <w:szCs w:val="16"/>
        </w:rPr>
        <w:softHyphen/>
        <w:t>вых испытаний самолетов Ил-2 с ШФК-37 37-мм пушки подлежат конструктивной доводке».</w:t>
      </w:r>
    </w:p>
    <w:p w14:paraId="1F747EE8"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722885">
        <w:rPr>
          <w:color w:val="000000" w:themeColor="text1"/>
          <w:sz w:val="16"/>
          <w:szCs w:val="16"/>
        </w:rPr>
        <w:softHyphen/>
        <w:t>шек ШФК-37 на самолетах Ил-2».</w:t>
      </w:r>
    </w:p>
    <w:p w14:paraId="53355B5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722885">
        <w:rPr>
          <w:color w:val="000000" w:themeColor="text1"/>
          <w:sz w:val="16"/>
          <w:szCs w:val="16"/>
        </w:rPr>
        <w:softHyphen/>
        <w:t>готовить справку о ходе испытаний пушек калибра 37 мм ОКБ-16 на самолетах Ил-2 (17500).</w:t>
      </w:r>
    </w:p>
    <w:p w14:paraId="40FE7A11" w14:textId="77777777" w:rsidR="00D11CF9" w:rsidRPr="00722885" w:rsidRDefault="00D11CF9" w:rsidP="00722885">
      <w:pPr>
        <w:pStyle w:val="12a"/>
        <w:shd w:val="clear" w:color="auto" w:fill="auto"/>
        <w:spacing w:after="0" w:line="240" w:lineRule="auto"/>
        <w:jc w:val="both"/>
        <w:rPr>
          <w:color w:val="000000" w:themeColor="text1"/>
          <w:sz w:val="16"/>
          <w:szCs w:val="16"/>
        </w:rPr>
      </w:pPr>
    </w:p>
    <w:p w14:paraId="7D9DA70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29 декабря 1942 вышел приказ НКАП N 919сс "Об увеличении выпуска самолетов Пе-2 на заводе 22 и об ускорении перевода завода 16 на выпуск только пушечных моторов М-105ПФ":</w:t>
      </w:r>
    </w:p>
    <w:p w14:paraId="241CC07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"ГКО постановлением N 2654сс от 25 декабря 1942 принял к сведению сообщение НКАП о том, что на заводе 22 (Казань) освоено производство самолетов Пе-2 с М-105ПФ и что на 24 декабря 1942 самолетов Пе-2 с пушечным формированным мотором выпущено 36 шт.</w:t>
      </w:r>
    </w:p>
    <w:p w14:paraId="7E1116E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исполнение этого постановления ГКО:</w:t>
      </w:r>
    </w:p>
    <w:p w14:paraId="70A8B58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Нач. 10 ГУ Тарасевичу и директору 22 завода Окулову:</w:t>
      </w:r>
    </w:p>
    <w:p w14:paraId="1348973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 обеспечить переход на устойчивый выпуск заводом 22 самолетов Пе-2 с 1 января 1943 по 8 самолетов в сутки, с 5 февраля - 9 и с 25 марта - 10</w:t>
      </w:r>
    </w:p>
    <w:p w14:paraId="62DEFCF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 обеспечить до 10 февраля 1943 выпуск 1209 Пе-2 с М-105ПФ и с 10 февраля полностью перейти на выпуск Пе-2 М-105ПФ (1618,56).</w:t>
      </w:r>
    </w:p>
    <w:p w14:paraId="1F9B6899" w14:textId="77777777" w:rsidR="00BB6316" w:rsidRPr="00722885" w:rsidRDefault="00BB6316" w:rsidP="00722885">
      <w:pPr>
        <w:pStyle w:val="Iauiue"/>
        <w:jc w:val="both"/>
        <w:rPr>
          <w:color w:val="000000" w:themeColor="text1"/>
          <w:sz w:val="16"/>
          <w:szCs w:val="16"/>
        </w:rPr>
      </w:pPr>
    </w:p>
    <w:p w14:paraId="47A9D278" w14:textId="77777777" w:rsidR="007B627D" w:rsidRPr="00722885" w:rsidRDefault="007B627D" w:rsidP="00722885">
      <w:pPr>
        <w:spacing w:after="0" w:line="240" w:lineRule="auto"/>
        <w:jc w:val="both"/>
        <w:rPr>
          <w:rFonts w:ascii="Times New Roman" w:hAnsi="Times New Roman"/>
          <w:color w:val="0070C0"/>
          <w:sz w:val="16"/>
          <w:szCs w:val="16"/>
          <w:lang w:eastAsia="ru-RU" w:bidi="ru-RU"/>
        </w:rPr>
      </w:pPr>
      <w:r w:rsidRPr="00722885">
        <w:rPr>
          <w:rFonts w:ascii="Times New Roman" w:hAnsi="Times New Roman"/>
          <w:color w:val="0070C0"/>
          <w:sz w:val="16"/>
          <w:szCs w:val="16"/>
        </w:rPr>
        <w:t>29 декабря 1942 г. приказом по НКАП № 919сс «Об увеличении выпуска самолетов Пе-2 на заводе 22 и об ускорении перевода завода 16 на выпуск только пушечных моторов М-105ПФ» требовалось обеспечить устойчивый выпуск самолетов с ними с 1 января 1943 г. темпом по восемь в сутки, с 5 февраля — девять и с 25 марта — по 10 в сутки. До 10 февраля 1943 г. было приказано сдать 1 209 таких Пе-2 и с этого дня полностью перейти на М-105ПФ (22828).</w:t>
      </w:r>
    </w:p>
    <w:p w14:paraId="58FC158B" w14:textId="77777777" w:rsidR="007B627D" w:rsidRPr="00722885" w:rsidRDefault="007B627D" w:rsidP="00722885">
      <w:pPr>
        <w:spacing w:after="0" w:line="240" w:lineRule="auto"/>
        <w:jc w:val="both"/>
        <w:rPr>
          <w:rFonts w:ascii="Times New Roman" w:hAnsi="Times New Roman"/>
          <w:color w:val="0070C0"/>
          <w:sz w:val="16"/>
          <w:szCs w:val="16"/>
        </w:rPr>
      </w:pPr>
    </w:p>
    <w:p w14:paraId="2808796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825D9ED" w14:textId="77777777" w:rsidR="00BB6316" w:rsidRPr="00722885" w:rsidRDefault="00BB6316" w:rsidP="00722885">
      <w:pPr>
        <w:pStyle w:val="Iauiue"/>
        <w:jc w:val="both"/>
        <w:rPr>
          <w:iCs/>
          <w:color w:val="000000" w:themeColor="text1"/>
          <w:sz w:val="16"/>
          <w:szCs w:val="16"/>
        </w:rPr>
      </w:pPr>
    </w:p>
    <w:p w14:paraId="0F2648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декабря 1942 г. СПРАВКА ИНСТРУКТОРА ОТДЕЛА ПРОМЫШЛЕННОСТИ БОЕПРИПАСОВ П.Н. ГОРЛОВА О РАБОТЕ С МОЛОДЫМИ РАБОЧИМИ НА КОМБИНАТЕ № 179</w:t>
      </w:r>
    </w:p>
    <w:p w14:paraId="4AC44D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период войны десятки тысяч человек молодежи получили различные квалификации: слесарей, токарей, фрезеровщиков, строгальщиков, автоматчиков, бытовые квалификации - поваров, сапожников и так далее. Только за 1942 год обучено токарей 5 660 человек, электромонтеров 103 человека, формовщиков - 106 человек, слесарей-инструментальщиков - 144 человека и другим профессиям - 10 941 человек. Многие из них полностью овладели своими профессиями и показывают образцы социалистического труда на производстве. Вот, например, тов. Симонов М.П. - ему 17 лет. Он работает фрезеровщиком. С июля 1942 года он становится инициатором движения тысячников. В январе месяце выполнил свое задание на 429%, в феврале - на 279%. Тов. Азаров Анатолий Тимофеевич, работая токарем-инструментальщиком, систематически выполняет суточное задание на 250%. В январе и феврале месяцах месячные задания выполнил на 300%. В предмайском соцсоревновании взял обязательство выполнять задание на 350%. Тов. Борисов Александр Иванович работает токарем, задание за февраль месяц выполнил на 304%, за десять дней марта задание выполнил на 290%. Взял обязательство дать дополнительную продукцию в фонд победы, выполнив эти обязательства на 200%. Скромный, дисциплинированный, за что пользуется уважением со стороны рабочего коллектива. Коллектив цеха заслуженно доверил ему быть членом цехового комитета профсоюза. Тов. Рябых Федор Егорович, ему только 15 лет, при эвакуации потерял родителей. Сейчас на его иждивении находится малолетняя сестра, которую он любовно воспитывает. В 1941 году был направлен в столовую № 1 учеником повара. Добросовестное отношение к своей работе помогло ему быстро освоить свою профессию. В настоящее время он работает поваром 2-й руки. Не имеет ни одного случая порчи продуктов, ни одной жалобы на изготовляемую им пищу. Активно участвует в работе редколлегии стенной газеты столовой, член легкой кавалерии и чтец-беседчик в столовой № 1. Он пользуется уважением среди коллектива. Такие примеры не единичны. Молодежь является активным вкладчиком в сокровищницу рационализаторов и изобретателей, из года в год увеличивая ее . Если в 1941 году участвовало в рационализации и изобретательстве 118 человек, то в 1942 году число рационализаторов возросло до 349 человек. Если в 1941 году поступило предложений от молодых рационализаторов 240, то в 1942 году - 614 предложений. В результате внедрения рацпредложений и изобретений комбинат № 179 дал экономии государству в 1941 году 7 124 508 рублей, в 1942 году — 34 226 130 рублей, а за два месяца 1943 года экономия составила 3 253 400 рублей. В числе передовиков производства молодежь занимает первое место. Если всего по комбинату имеется 2 493 человека стахановцев, из них молодых рабочих — 1 935 человек, ударников на комбинате — 181 человек, из них молодых рабочих — 915 человек, многостаночников — 514 человек, из молодых рабочих - 322 человека. Овладевая передовыми методами труда, молодежь становится в число руководителей и командиров производства. В настоящее время на комбинате работает 27 человек мастерами, 145 человек бригадирами, 101 человек наладчиками, показывая образец организаторской работы командира производства. Тов. Воронов Г.Ф. поступил на комбинат в 1941 году учеником слесаря, быстро освоив свою профессию, в октябре 1941 года был переведен на самостоятельную работу. Годовой план 1942 года выполнил на 415 %. За хорошую работу комсомола Воронов выдвинут на должность мастера. Участок, возглавляемый комсомольцем Вороновым, ежемесячно перевыполняет производственное задание. За хорошую работу мастер-комсомолец премирован денежной премией. Комсомольская организация часто помогает молодежи в проведении ее досуга. По инициативе ЗК ВЛКСМ молодежь коллективно просмотрела 15 кинокартин. Силами молодежи организовывается ансамбль песни и пляски при клубе имени К. Цеткин, там же работает драмкружок, который в последнее время пользуется большим успехом. В декабре, январе и феврале молодежь на вечерах встречи прослушала ряд докладов участников Отечественной войны. Проведено несколько бесед старыми рабочими. Однако среди молодежи имеются и отрицательные факты нарушения трудовой дисциплины, прогулы, опоздания, дезертирства. В декабре месяце из комбината дезертировало 106 человек, в январе — 55 человек, в феврале - 21 человек. В нарушении трудовой дисциплины немалую роль играют чрезмерно плохие бытовые условия. На комбинате № 179 из 19 молодежных общежитий хорошо обслуживает рабочих только одно. Ребята спят часто в цехах, грязные, под лестничными клетками, и это часто проходит мимо руководителей партпрофсоюзных организаций.</w:t>
      </w:r>
    </w:p>
    <w:p w14:paraId="67CE83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Инструктор отдела промышленности боеприпасов Горлов</w:t>
      </w:r>
    </w:p>
    <w:p w14:paraId="789335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Оп. 7. Д. 506. Л. 110-111. Копия (12193).</w:t>
      </w:r>
    </w:p>
    <w:p w14:paraId="42781C6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4E5ADF3" w14:textId="77777777" w:rsidR="008043BB" w:rsidRPr="00722885" w:rsidRDefault="008043BB"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декабря 1942 года начальник бронетанкового управления ГБТУ КА инженер-полковник С. Афонин направил на имя командующего бронетанковыми и механи</w:t>
      </w:r>
      <w:r w:rsidRPr="00722885">
        <w:rPr>
          <w:rFonts w:ascii="Times New Roman" w:hAnsi="Times New Roman"/>
          <w:color w:val="000000" w:themeColor="text1"/>
          <w:sz w:val="16"/>
          <w:szCs w:val="16"/>
        </w:rPr>
        <w:softHyphen/>
        <w:t>зированными войсками Красной Армии ге</w:t>
      </w:r>
      <w:r w:rsidRPr="00722885">
        <w:rPr>
          <w:rFonts w:ascii="Times New Roman" w:hAnsi="Times New Roman"/>
          <w:color w:val="000000" w:themeColor="text1"/>
          <w:sz w:val="16"/>
          <w:szCs w:val="16"/>
        </w:rPr>
        <w:softHyphen/>
        <w:t>нерал-полковника Я. Федоренко следующее письмо:</w:t>
      </w:r>
    </w:p>
    <w:p w14:paraId="4A4F0EA8" w14:textId="77777777" w:rsidR="008043BB" w:rsidRPr="00722885" w:rsidRDefault="008043B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«В целях усиления вооружения танка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для борьбы с укреплениями противника, счи</w:t>
      </w:r>
      <w:r w:rsidRPr="00722885">
        <w:rPr>
          <w:rFonts w:ascii="Times New Roman" w:cs="Times New Roman"/>
          <w:color w:val="000000" w:themeColor="text1"/>
          <w:spacing w:val="0"/>
        </w:rPr>
        <w:softHyphen/>
        <w:t>таю необходимым вооружить часть выпуска</w:t>
      </w:r>
      <w:r w:rsidRPr="00722885">
        <w:rPr>
          <w:rFonts w:ascii="Times New Roman" w:cs="Times New Roman"/>
          <w:color w:val="000000" w:themeColor="text1"/>
          <w:spacing w:val="0"/>
        </w:rPr>
        <w:softHyphen/>
        <w:t>емых танков 122-мм гаубицей У-11. Считаю целесообразным использовать для этой цели в первую очередь имеющийся на Кировском заводе задел бронекорпусов (около 120 штук) и башен танка КВ-1 (около 200 штук) для вы</w:t>
      </w:r>
      <w:r w:rsidRPr="00722885">
        <w:rPr>
          <w:rFonts w:ascii="Times New Roman" w:cs="Times New Roman"/>
          <w:color w:val="000000" w:themeColor="text1"/>
          <w:spacing w:val="0"/>
        </w:rPr>
        <w:softHyphen/>
        <w:t>пуска танка К.В-9 с установкой в них восьми- скоростной коробки перемены передач».</w:t>
      </w:r>
    </w:p>
    <w:p w14:paraId="55F21287" w14:textId="77777777" w:rsidR="008043BB" w:rsidRPr="00722885" w:rsidRDefault="008043BB"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Однако к этому времени на вооружение была принята 122-мм самоходная установ</w:t>
      </w:r>
      <w:r w:rsidRPr="00722885">
        <w:rPr>
          <w:rFonts w:ascii="Times New Roman" w:cs="Times New Roman"/>
          <w:color w:val="000000" w:themeColor="text1"/>
          <w:spacing w:val="0"/>
        </w:rPr>
        <w:softHyphen/>
        <w:t>ка СУ-122, и производство КВ-1С со 122-мм гаубицей было признано нецелесообразным (15226).</w:t>
      </w:r>
    </w:p>
    <w:p w14:paraId="42BDBA88" w14:textId="77777777" w:rsidR="008043BB" w:rsidRPr="00722885" w:rsidRDefault="008043BB" w:rsidP="00722885">
      <w:pPr>
        <w:pStyle w:val="27"/>
        <w:shd w:val="clear" w:color="auto" w:fill="auto"/>
        <w:spacing w:after="0" w:line="240" w:lineRule="auto"/>
        <w:ind w:firstLine="0"/>
        <w:rPr>
          <w:rFonts w:ascii="Times New Roman" w:cs="Times New Roman"/>
          <w:color w:val="000000" w:themeColor="text1"/>
          <w:spacing w:val="0"/>
        </w:rPr>
      </w:pPr>
    </w:p>
    <w:p w14:paraId="03A9C60E" w14:textId="77777777" w:rsidR="00D11CF9" w:rsidRPr="00722885" w:rsidRDefault="00D11CF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29–31 декабря 1942 были проведены ресурсные испытания СУ-12 №Л212602. Машина прошла 500 километров без поломки коробок передач. Казалось, что проблема действительно заключалась в некачественном изготовлении коробок, и благодаря проведенной работе по доработке узла переключения КПП её удалось решить.</w:t>
      </w:r>
    </w:p>
    <w:p w14:paraId="231FC7FA" w14:textId="77777777" w:rsidR="00D11CF9" w:rsidRPr="00722885" w:rsidRDefault="00D11CF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Самым заметным изменением самоходной установки, внедрённым уже в ходе её серийного производства, стала крыша боевого отделения. Первоначально машина, как её предшественники и соперники, проектировалась открытой сверху. Переписка, найденная в архиве экономики (РГАЭ), свидетельствует: снабдить САУ крышей распорядился лично Сталин. В крыше, имевшей толщину 6 мм, имелись три лючка для перископических приборов наблюдения, а также вырез с крышкой для панорамного прицела. Появление крыши было продиктовано вполне прозаичными соображениями: экипажи в открытом боевом отделении нередко поражались </w:t>
      </w:r>
      <w:r w:rsidRPr="00722885">
        <w:rPr>
          <w:rFonts w:ascii="Times New Roman" w:eastAsia="Times New Roman" w:hAnsi="Times New Roman"/>
          <w:color w:val="000000" w:themeColor="text1"/>
          <w:sz w:val="16"/>
          <w:szCs w:val="16"/>
          <w:lang w:eastAsia="ru-RU"/>
        </w:rPr>
        <w:lastRenderedPageBreak/>
        <w:t>осколками снарядов и пулями. Правильность идеи с крышей подтвердили первые же боевые столкновения, в которых участвовали СУ-12. С Волховского фронта, где впервые применили САУ данного типа, даже пришло требование об установке крыш.</w:t>
      </w:r>
    </w:p>
    <w:p w14:paraId="154780D7" w14:textId="77777777" w:rsidR="00D11CF9" w:rsidRPr="00722885" w:rsidRDefault="00D11CF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Крыши должны были быть введены в конструкцию серийных машин в серии ещё с января 1943 года, однако из-за отсутствия листа толщиной 6 мм ни в январе, ни в феврале СУ-12 с закрытым боевым отделением не выпускались. Согласно распоряжению Главного бронетанкового управления Красной армии (ГБТУ КА), с 1 марта завод №38 был обязан выпускать СУ-12 только с крышей, и, судя по фотографиям машин мартовского выпуска, данное распоряжение было выполнено. Тем не менее, минимум 215 СУ-12, то есть чуть больше трети всех произведенных САУ данного типа, были изготовлены без крыш.</w:t>
      </w:r>
    </w:p>
    <w:p w14:paraId="7326625D" w14:textId="77777777" w:rsidR="00D11CF9" w:rsidRPr="00722885" w:rsidRDefault="00D11CF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Некоторые авторы придерживаются мнения, что крыши с СУ-12 снимали в войсках из-за плохой вентиляции боевого отделения, но это не соответствует действительности. Помимо установки крыши, СУ-12 выпуска марта-июня 1943 года отличались от более ранних машин перенесенной на лобовой лист рубки фарой. На всех фотографиях СУ-12 без крыши боевого отделения фара находится над левым крылом – черта, присущая машинам раннего выпуска (17699).</w:t>
      </w:r>
    </w:p>
    <w:p w14:paraId="229874B6" w14:textId="77777777" w:rsidR="00D11CF9" w:rsidRPr="00722885" w:rsidRDefault="00D11CF9" w:rsidP="00722885">
      <w:pPr>
        <w:pStyle w:val="12a"/>
        <w:shd w:val="clear" w:color="auto" w:fill="auto"/>
        <w:spacing w:after="0" w:line="240" w:lineRule="auto"/>
        <w:jc w:val="both"/>
        <w:rPr>
          <w:color w:val="000000" w:themeColor="text1"/>
          <w:sz w:val="16"/>
          <w:szCs w:val="16"/>
        </w:rPr>
      </w:pPr>
    </w:p>
    <w:p w14:paraId="4DC22563"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29 декабря 1942 вышло Постановление ГКО № 2671 О порядке подведения итогов Всесоюзного социалистического соревнования ремесленных, железнодорожных училищ и школ ФЗО. (7069, 1).</w:t>
      </w:r>
    </w:p>
    <w:p w14:paraId="2C211471" w14:textId="77777777" w:rsidR="00BB6316" w:rsidRPr="00722885" w:rsidRDefault="00BB6316" w:rsidP="00722885">
      <w:pPr>
        <w:pStyle w:val="Iauiue"/>
        <w:tabs>
          <w:tab w:val="left" w:pos="11199"/>
        </w:tabs>
        <w:jc w:val="both"/>
        <w:rPr>
          <w:color w:val="000000" w:themeColor="text1"/>
          <w:sz w:val="16"/>
          <w:szCs w:val="16"/>
        </w:rPr>
      </w:pPr>
    </w:p>
    <w:p w14:paraId="0C1A05DA" w14:textId="77777777" w:rsidR="000C3A55"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5D5F24A8" w14:textId="77777777" w:rsidR="000C3A55" w:rsidRPr="00722885" w:rsidRDefault="000C3A55" w:rsidP="00722885">
      <w:pPr>
        <w:pStyle w:val="Iauiue"/>
        <w:jc w:val="both"/>
        <w:rPr>
          <w:iCs/>
          <w:color w:val="000000" w:themeColor="text1"/>
          <w:sz w:val="16"/>
          <w:szCs w:val="16"/>
        </w:rPr>
      </w:pPr>
    </w:p>
    <w:p w14:paraId="260E1E2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декабря в 1942 году утреннее сообщение Совинформбюро:</w:t>
      </w:r>
    </w:p>
    <w:p w14:paraId="06A828F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29 декабря наши войска в районе Сталинграда, на Центральном фронте, в районе Среднего Дона и юго-восточнее Нальчика продолжали вести наступательные бои на прежних направлениях.</w:t>
      </w:r>
    </w:p>
    <w:p w14:paraId="7C397C2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войска вели наступательные боевые действия. В центре города штурмовые отряды продолжали блокировать и уничтожать немецкие дзоты и блиндажи. В течение ночи разрушено 12 дзотов и блиндажей и уничтожено до 200 гитлеровцев.</w:t>
      </w:r>
    </w:p>
    <w:p w14:paraId="445CC2E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наша часть отразила контратаку противника. Потеряв убитыми свыше 100 солдат и офицеров, немцы отошли на исходные позиции. Огнём артиллерии и миномётов разрушено 7 дзотов и блиндажей. Подавлен огонь 2 артиллерийских и 4 миномётных батарей противника.</w:t>
      </w:r>
    </w:p>
    <w:p w14:paraId="35ACFBFE"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Юго-западнее Сталинграда наши части с боями продвигались вперёд и заняли ряднаселённых пунктов. По неполным данным, уничтожено более 2.000 вражеских солдат и офицеров, 20 танков и 40 автомашин, сбито 4 немецких самолёта. Только одно наше соединение взяло в плен 600 солдат и офицеров противника.</w:t>
      </w:r>
    </w:p>
    <w:p w14:paraId="484C195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наступление. Бойцы Н-скойчасти, преследуя отступающего противника, уничтожили до 300 немецких солдат и офицеров, сожгли 9 танков и захватили 14 орудий, 26 пулемётов, 18 автомашин и 39 подвод с различными грузами. На другом участке противник, пытаясь задержать продвижение советских частей, оставил на выгодных рубежах сильный заслон. Наши части стремительным ударом опрокинули гитлеровцев. В ожесточённом бою уничтожено 400 немецких солдат и офицеров, захвачено 260 пленных, 3 орудия, 17 пулемётов и 2 склада боеприпасов.</w:t>
      </w:r>
    </w:p>
    <w:p w14:paraId="2A74DED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наступательные бои. В районе Великих Лук подразделения части, где командиром тов. Дьяконов, после упорного боя овладели двумя опорными пунктами врага. Немцы понесли большие потери в людях и технике.</w:t>
      </w:r>
    </w:p>
    <w:p w14:paraId="6094EB5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наши части захватили сильно укреплённый вражеский узел обороны. Одна наша гвардейская танковая часть за три дня наступательных боёв уничтожила до 900 немецких солдат и офицеров, 17 танков, 32 орудия, броневик, 5 тягачей, 28 миномётов и 56 пулемётов. Разрушено 46 вражеских дзотови блиндажей, взорван склад с боеприпасами.</w:t>
      </w:r>
    </w:p>
    <w:p w14:paraId="4C1451C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советские войска закреплялись на достигнутых рубежах, а на некоторых участках продвигались вперёд. Противник силою до двух батальонов пехоты, поддержанных танками, пытался вновь завладеть населённым пунктом, занятым накануне нашими войсками. Советские бойцы отбили контратаки противника и отбросили его на исходные позиции. Уничтожены 300 немецких солдат и офицеров, 21 пулемёт, 12 автомашин, 12 миномётов. Сожжено и подбито 7 вражеских танков и 2 бронемашины. Третий день продолжаются уличные бои в крупном населённом пункте, входе которых немцы несут большие потери.</w:t>
      </w:r>
    </w:p>
    <w:p w14:paraId="4292007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«Боевой», действующий на Северном Кавказе, истребил 112 немецких солдат и офицеров. Уничтожено 2 миномёта и несколько пулемётов. Другой отряд северокавказских партизан истребил 70 немецких солдат и 22 полицейских. Группа партизан этого же отряда, действующая на дорогах, истребила 63 гитлеровца.</w:t>
      </w:r>
    </w:p>
    <w:p w14:paraId="7629499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акт о зверствах немецко-фашистских мерзавцев: «В деревне Зайцево, Калининской области, обнаружено 12 изуродованных трупов красноармейцев. Установлено, что гитлеровские палачи зверски пытали пленных. Тщательный осмотр остатков верхней одежды и обуви, найденных поблизости, показал, что жертвами фашистских извергов стали раненые красноармейцы, попавшие в плен во время одной из наших атак на деревню Зайцево». Акт подписали: майор Ройзен, майор Петренко, старший лейтенант Рулев, лейтенант Попов, красноармейцы Якушевский и Стариков.</w:t>
      </w:r>
    </w:p>
    <w:p w14:paraId="28F84C8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Греческие партизаны, действующие в районе Агриниона, истребили свыше 120 итальянских солдат. На острове Крит патриоты совершили нападение на немецкий склад с горючим, перебили охрану и подожгли склад.» (14875).</w:t>
      </w:r>
    </w:p>
    <w:p w14:paraId="589D368E"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2242B90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декабря в 1942 году вечернее сообщение Совинформбюро:</w:t>
      </w:r>
    </w:p>
    <w:p w14:paraId="74C2354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29 декабря наши войска южнее Сталинграда продолжали успешно развивать наступление и заняли ряд населённых пунктов, в том числе город и железнодорожную станцию Котельниково, районный центр Яшкуль, крупный населённый пункт Торговое. В районе Котельникова захвачены большие трофеи и пленные.</w:t>
      </w:r>
    </w:p>
    <w:p w14:paraId="598229C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и на Центральном фронте наши войска продолжают вести наступательные бои.</w:t>
      </w:r>
    </w:p>
    <w:p w14:paraId="71887F7E"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28 декабря в районе Сталинграда уничтожен 31 транспортный самолёт противника.</w:t>
      </w:r>
    </w:p>
    <w:p w14:paraId="1C8FEF5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декабря частями нашей авиации на различных участках фронта уничтожено или повреждено 5 немецких танков, до 150 автомашин с войсками и грузами, подавлен огонь 3 артиллерийских батарей, разбито два железнодорожных состава, взорван склад боеприпасов, рассеяно и частью уничтожено до двух рот пехоты противника.</w:t>
      </w:r>
    </w:p>
    <w:p w14:paraId="58DD020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заводском районе Сталинграда наши подразделения вели активные боевы едействия и продвинулись вперёд на 300—400 метров. Противник выбит из ряда цехов одного завода. В занятых нашими бойцами цехах и прилегающих постройках подсчитано 300 трупов немецких солдат и офицеров. Захвачено 2 орудия, 13 пулемётов и 4 миномёта. Взяты пленные.</w:t>
      </w:r>
    </w:p>
    <w:p w14:paraId="31A33C8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огневой бой с противником. На ряде участков наши подразделения атаковали немцев и заняли первые линии окопов противника. Попытки гитлеровцев восстановить положение не увенчались успехом. Бойцами одного нашего соединения подбито и сожжено 7 немецких танков, 2 бронемашины и уничтожено до 400 гитлеровцев.</w:t>
      </w:r>
    </w:p>
    <w:p w14:paraId="5E54EDA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продолжали наступление и заняли несколько населённых пунктов. Ожесточённые бои завязались на улицах крупного населённого пункта, в который ворвались наши подразделения. Бойцы Н-ской стрелковой части вместе с танкистами разгромили два батальона немецкой пехоты. Уничтожено 760 гитлеровцев. Взято 390 пленных. Захвачено 3 танка, 14 орудий, 19 пулемётов, 15 автомашин, много винтовок и боеприпасов. На другом участке наши части разгромили два крупных отряда противника и захватили в плен 1.500 солдат и 80 офицеров. Захвачено также 12 самолётов, 30 орудий, 170 пулемётов, 40 миномётов, 50 автомашин, 400 повозок, 300 лошадей и более 1.500 голов рогатого скота.</w:t>
      </w:r>
    </w:p>
    <w:p w14:paraId="7B2E739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наступление. Стремясь остановить продвижение советских частей, противник спешно подтягивает свежие силы из глубокого тыла и бросает их в контратаки. В районе одного населённого пункта немцы предприняли одну за другой три контратаки. Наши подразделения отбросили противника, продвинулись вперёд и заняли этот населённый пункт. На поле боя осталось до 600 вражеских трупов и 5 подбитых танков. Захвачены 2 артиллерийские батареи, 11 пулемётов, 6 миномётов и другие трофеи. На другом участке наши подразделения рассеяли и частью уничтожили полк пехоты противника.</w:t>
      </w:r>
    </w:p>
    <w:p w14:paraId="40144F3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на отдельных участках вели наступательные бои. В районе Великих Лук советские части заняли несколько узлов сопротивления противника и истребили более 200 немецких солдат и офицеров.</w:t>
      </w:r>
    </w:p>
    <w:p w14:paraId="66303DE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Н-ская часть вела активные боевые действия, разрушила 16 немецких дзотов и блиндажей, уничтожила 2 артиллерийские батареи и истребила до двух рот немецкой пехоты.</w:t>
      </w:r>
    </w:p>
    <w:p w14:paraId="63C3E55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закрепляли занятые позиции и частью сил вели наступательные бои. В бою за один населённый пункт гитлеровцы потеряли до 100 солдат и офицеров. Захвачены 20 пулемётов, 11 надувных лодок, 150 лошадей, склады с боеприпасами и продовольствием. На другом участке противник силою до двух батальонов пехоты и 40 танков пытался вернуть потерянные ранее позиции. Контратаки гитлеровцев отбиты. Уничтожено 15 танков и более 300 солдат и офицеров противника.</w:t>
      </w:r>
    </w:p>
    <w:p w14:paraId="6D412DD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Группа бомбардировщиков противника под прикрытием истребителей пыталась совершить налёт на город Мурманск. Лётчики части, где командиром тов. Новожилов, встретили и атаковали самолёты противника на дальних подступах к городу. В воздушных боях и огнём зенитной артиллерии сбиты один истребитель и 2 немецких бомбардировщика.</w:t>
      </w:r>
    </w:p>
    <w:p w14:paraId="7887792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действующий в Минской области, в течение двух дней вёл упорные бои с регулярными частями противника. Немцы бросили против партизан семь батальонов пехоты с танками и артиллерией. В этих боях советские патриоты истребили 240 вражеских солдат и офицеров. Партизанский отряд «За Родину», действующий в Могилёвской области, пустил под откос немецкий эшелон с продовольствием. При крушении убито 38 гитлеровцев.» (14875).</w:t>
      </w:r>
    </w:p>
    <w:p w14:paraId="003F98ED"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19809476" w14:textId="5AF4B0E8" w:rsidR="007B627D" w:rsidRPr="00722885" w:rsidRDefault="007B627D" w:rsidP="00722885">
      <w:pPr>
        <w:pStyle w:val="Iauiue"/>
        <w:jc w:val="both"/>
        <w:rPr>
          <w:i/>
          <w:iCs/>
          <w:color w:val="000000" w:themeColor="text1"/>
          <w:sz w:val="16"/>
          <w:szCs w:val="16"/>
        </w:rPr>
      </w:pPr>
      <w:r w:rsidRPr="00722885">
        <w:rPr>
          <w:i/>
          <w:iCs/>
          <w:color w:val="000000" w:themeColor="text1"/>
          <w:sz w:val="16"/>
          <w:szCs w:val="16"/>
        </w:rPr>
        <w:lastRenderedPageBreak/>
        <w:t>Жизнь и внутренняя политика:</w:t>
      </w:r>
    </w:p>
    <w:p w14:paraId="5940949C" w14:textId="77777777" w:rsidR="007B627D" w:rsidRPr="00722885" w:rsidRDefault="007B627D" w:rsidP="00722885">
      <w:pPr>
        <w:pStyle w:val="Iauiue"/>
        <w:jc w:val="both"/>
        <w:rPr>
          <w:i/>
          <w:iCs/>
          <w:color w:val="000000" w:themeColor="text1"/>
          <w:sz w:val="16"/>
          <w:szCs w:val="16"/>
        </w:rPr>
      </w:pPr>
    </w:p>
    <w:p w14:paraId="6FF300BC"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 декабря 1942 г.</w:t>
      </w:r>
    </w:p>
    <w:p w14:paraId="58700D54"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Письмо священника Успенской церкви г. Ижевска В. А. Стефанова1 И. В. Сталину о сдаче им всех своих личных сбережений на постройку 2 боевых самолетов</w:t>
      </w:r>
    </w:p>
    <w:p w14:paraId="5DBC320B"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29 декабря 1942 г.</w:t>
      </w:r>
    </w:p>
    <w:p w14:paraId="17D8CABB"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Москва, Кремль, Иосифу Виссарионовичу Сталину.</w:t>
      </w:r>
    </w:p>
    <w:p w14:paraId="72E62FA3"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Я, как пастырь духовный, скорблю душою за наших братьев и сестер, подпавших во временно оккупированных областях под иго фашистов и подвергающихся неслыханным злодеяниям, мучениям, творимым над ними немецкими фашистами.</w:t>
      </w:r>
    </w:p>
    <w:p w14:paraId="03BE79E7"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Прошу Вас, Иосиф Виссарионович, на эти деньги построить 2 боевых самолета, присвоив им имена наших героев-предков "Александр Невский" и "Дмитрий Донской", и да пусть эти грозные машины покарают виновников человеческих несчастий гитлеровских иезуитов.</w:t>
      </w:r>
    </w:p>
    <w:p w14:paraId="3D5745CB"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Священник Успенской церкви Владимир Александрович Стефанов</w:t>
      </w:r>
    </w:p>
    <w:p w14:paraId="581D6366"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г. Ижевск Удмуртской АССР</w:t>
      </w:r>
    </w:p>
    <w:p w14:paraId="7A7B140C" w14:textId="77777777" w:rsidR="007B627D" w:rsidRPr="00722885" w:rsidRDefault="007B627D"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ЦГА УР, ф. 546, </w:t>
      </w:r>
      <w:r w:rsidRPr="00722885">
        <w:rPr>
          <w:rFonts w:ascii="Times New Roman" w:hAnsi="Times New Roman"/>
          <w:color w:val="0070C0"/>
          <w:sz w:val="16"/>
          <w:szCs w:val="16"/>
          <w:lang w:val="en-US"/>
        </w:rPr>
        <w:t>on</w:t>
      </w:r>
      <w:r w:rsidRPr="00722885">
        <w:rPr>
          <w:rFonts w:ascii="Times New Roman" w:hAnsi="Times New Roman"/>
          <w:color w:val="0070C0"/>
          <w:sz w:val="16"/>
          <w:szCs w:val="16"/>
        </w:rPr>
        <w:t>. 2, д. 159, л. 306, 308 (20749).</w:t>
      </w:r>
    </w:p>
    <w:p w14:paraId="5EBD01F3" w14:textId="77777777" w:rsidR="007B627D" w:rsidRPr="00722885" w:rsidRDefault="007B627D" w:rsidP="00722885">
      <w:pPr>
        <w:spacing w:after="0" w:line="240" w:lineRule="auto"/>
        <w:jc w:val="both"/>
        <w:rPr>
          <w:rFonts w:ascii="Times New Roman" w:hAnsi="Times New Roman"/>
          <w:color w:val="0070C0"/>
          <w:sz w:val="16"/>
          <w:szCs w:val="16"/>
        </w:rPr>
      </w:pPr>
    </w:p>
    <w:p w14:paraId="22DA61CA" w14:textId="74CC3600" w:rsidR="000C3A55"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2EE643DF" w14:textId="77777777" w:rsidR="000C3A55" w:rsidRPr="00722885" w:rsidRDefault="000C3A55" w:rsidP="00722885">
      <w:pPr>
        <w:pStyle w:val="Iauiue"/>
        <w:jc w:val="both"/>
        <w:rPr>
          <w:iCs/>
          <w:color w:val="000000" w:themeColor="text1"/>
          <w:sz w:val="16"/>
          <w:szCs w:val="16"/>
        </w:rPr>
      </w:pPr>
    </w:p>
    <w:p w14:paraId="52C6A0CC"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декабря в 1942 году в послании Сталину Ф.Д.Рузвельт предложил создать на советском Дальнем Востоке военно-воздушные базы США, на что Сталин ответил категорическим отказом (14875).</w:t>
      </w:r>
    </w:p>
    <w:p w14:paraId="29138355"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6CA229D2"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42B443E" w14:textId="77777777" w:rsidR="00BB6316" w:rsidRPr="00722885" w:rsidRDefault="00BB6316" w:rsidP="00722885">
      <w:pPr>
        <w:pStyle w:val="Iauiue"/>
        <w:jc w:val="both"/>
        <w:rPr>
          <w:iCs/>
          <w:color w:val="000000" w:themeColor="text1"/>
          <w:sz w:val="16"/>
          <w:szCs w:val="16"/>
        </w:rPr>
      </w:pPr>
    </w:p>
    <w:p w14:paraId="2AE5C82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30 декабря 1942 по целям противника (ско</w:t>
      </w:r>
      <w:r w:rsidRPr="00722885">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722885">
        <w:rPr>
          <w:color w:val="000000" w:themeColor="text1"/>
          <w:sz w:val="16"/>
          <w:szCs w:val="16"/>
        </w:rPr>
        <w:softHyphen/>
        <w:t>та Кадомцева работала в районе балки Взрубная в период 14.10—14.20 под прикрытием 6 Як-1, а пя</w:t>
      </w:r>
      <w:r w:rsidRPr="00722885">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4C3D5564"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отходе от цели в районе Дмитриевка имел место воздушный бой с немецкими истребителя</w:t>
      </w:r>
      <w:r w:rsidRPr="00722885">
        <w:rPr>
          <w:color w:val="000000" w:themeColor="text1"/>
          <w:sz w:val="16"/>
          <w:szCs w:val="16"/>
        </w:rPr>
        <w:softHyphen/>
        <w:t xml:space="preserve">ми. Пара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G</w:t>
      </w:r>
      <w:r w:rsidRPr="00722885">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722885">
        <w:rPr>
          <w:color w:val="000000" w:themeColor="text1"/>
          <w:sz w:val="16"/>
          <w:szCs w:val="16"/>
        </w:rPr>
        <w:softHyphen/>
        <w:t>временно заметил противника. После этого в воз</w:t>
      </w:r>
      <w:r w:rsidRPr="00722885">
        <w:rPr>
          <w:color w:val="000000" w:themeColor="text1"/>
          <w:sz w:val="16"/>
          <w:szCs w:val="16"/>
        </w:rPr>
        <w:softHyphen/>
        <w:t>душный бой вступили истребители прикрытия, а штурмовики встали в оборонительный круг. По</w:t>
      </w:r>
      <w:r w:rsidRPr="00722885">
        <w:rPr>
          <w:color w:val="000000" w:themeColor="text1"/>
          <w:sz w:val="16"/>
          <w:szCs w:val="16"/>
        </w:rPr>
        <w:softHyphen/>
        <w:t>сле ухода немецких истребителей Ил-2 перестрои</w:t>
      </w:r>
      <w:r w:rsidRPr="00722885">
        <w:rPr>
          <w:color w:val="000000" w:themeColor="text1"/>
          <w:sz w:val="16"/>
          <w:szCs w:val="16"/>
        </w:rPr>
        <w:softHyphen/>
        <w:t>лись в пеленг и встали на обратный маршрут.</w:t>
      </w:r>
    </w:p>
    <w:p w14:paraId="6801BE82"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До генерального наступления под Сталингра</w:t>
      </w:r>
      <w:r w:rsidRPr="00722885">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722885">
        <w:rPr>
          <w:color w:val="000000" w:themeColor="text1"/>
          <w:sz w:val="16"/>
          <w:szCs w:val="16"/>
        </w:rPr>
        <w:softHyphen/>
        <w:t>товым по данным разведки 228-й шад к вылету на боевое задание 2—4 экипажами.</w:t>
      </w:r>
    </w:p>
    <w:p w14:paraId="25F6719F"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722885">
        <w:rPr>
          <w:color w:val="000000" w:themeColor="text1"/>
          <w:sz w:val="16"/>
          <w:szCs w:val="16"/>
        </w:rPr>
        <w:softHyphen/>
        <w:t>ронительной полосы, а также по аэродромам и по</w:t>
      </w:r>
      <w:r w:rsidRPr="00722885">
        <w:rPr>
          <w:color w:val="000000" w:themeColor="text1"/>
          <w:sz w:val="16"/>
          <w:szCs w:val="16"/>
        </w:rPr>
        <w:softHyphen/>
        <w:t>садочным площадкам.</w:t>
      </w:r>
    </w:p>
    <w:p w14:paraId="7A71A5E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37-мм пушками принимали участие в боевой работе полка до полной ликви</w:t>
      </w:r>
      <w:r w:rsidRPr="00722885">
        <w:rPr>
          <w:color w:val="000000" w:themeColor="text1"/>
          <w:sz w:val="16"/>
          <w:szCs w:val="16"/>
        </w:rPr>
        <w:softHyphen/>
        <w:t>дации группировки немецких войск под Сталингра</w:t>
      </w:r>
      <w:r w:rsidRPr="00722885">
        <w:rPr>
          <w:color w:val="000000" w:themeColor="text1"/>
          <w:sz w:val="16"/>
          <w:szCs w:val="16"/>
        </w:rPr>
        <w:softHyphen/>
        <w:t>дом. Как и прежде, противотанковые Ил-2 ходили на задания в группах вместе с серийными самоле</w:t>
      </w:r>
      <w:r w:rsidRPr="00722885">
        <w:rPr>
          <w:color w:val="000000" w:themeColor="text1"/>
          <w:sz w:val="16"/>
          <w:szCs w:val="16"/>
        </w:rPr>
        <w:softHyphen/>
        <w:t>тами. Группы состояли из 2—6 самолетов, в кото</w:t>
      </w:r>
      <w:r w:rsidRPr="00722885">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74F71B4F"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46DF981D"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722885">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0ADB7877"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10 января в ходе боевого вылета 6 Ил-2 (веду</w:t>
      </w:r>
      <w:r w:rsidRPr="00722885">
        <w:rPr>
          <w:color w:val="000000" w:themeColor="text1"/>
          <w:sz w:val="16"/>
          <w:szCs w:val="16"/>
        </w:rPr>
        <w:softHyphen/>
        <w:t>щий капитан Гребеньков) под прикрытием 4 Як-1 от 283-й иад в период 11.21—11.29 в район насе</w:t>
      </w:r>
      <w:r w:rsidRPr="00722885">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722885">
        <w:rPr>
          <w:color w:val="000000" w:themeColor="text1"/>
          <w:sz w:val="16"/>
          <w:szCs w:val="16"/>
        </w:rPr>
        <w:softHyphen/>
        <w:t>жен прямым попаданием бомбы, сброшенной с са</w:t>
      </w:r>
      <w:r w:rsidRPr="00722885">
        <w:rPr>
          <w:color w:val="000000" w:themeColor="text1"/>
          <w:sz w:val="16"/>
          <w:szCs w:val="16"/>
        </w:rPr>
        <w:softHyphen/>
        <w:t xml:space="preserve">молета </w:t>
      </w:r>
      <w:r w:rsidRPr="00722885">
        <w:rPr>
          <w:color w:val="000000" w:themeColor="text1"/>
          <w:sz w:val="16"/>
          <w:szCs w:val="16"/>
          <w:lang w:val="en-US"/>
        </w:rPr>
        <w:t>Ju</w:t>
      </w:r>
      <w:r w:rsidRPr="00722885">
        <w:rPr>
          <w:color w:val="000000" w:themeColor="text1"/>
          <w:sz w:val="16"/>
          <w:szCs w:val="16"/>
        </w:rPr>
        <w:t>88».</w:t>
      </w:r>
    </w:p>
    <w:p w14:paraId="20A91E3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На отходе от цели группа была атакована парой </w:t>
      </w:r>
      <w:r w:rsidRPr="00722885">
        <w:rPr>
          <w:color w:val="000000" w:themeColor="text1"/>
          <w:sz w:val="16"/>
          <w:szCs w:val="16"/>
          <w:lang w:val="en-US"/>
        </w:rPr>
        <w:t>Bf</w:t>
      </w:r>
      <w:r w:rsidRPr="00722885">
        <w:rPr>
          <w:color w:val="000000" w:themeColor="text1"/>
          <w:sz w:val="16"/>
          <w:szCs w:val="16"/>
        </w:rPr>
        <w:t xml:space="preserve"> 109</w:t>
      </w:r>
      <w:r w:rsidRPr="00722885">
        <w:rPr>
          <w:color w:val="000000" w:themeColor="text1"/>
          <w:sz w:val="16"/>
          <w:szCs w:val="16"/>
          <w:lang w:val="en-US"/>
        </w:rPr>
        <w:t>F</w:t>
      </w:r>
      <w:r w:rsidRPr="00722885">
        <w:rPr>
          <w:color w:val="000000" w:themeColor="text1"/>
          <w:sz w:val="16"/>
          <w:szCs w:val="16"/>
        </w:rPr>
        <w:t>. В результате Ил-2 зав. № 8029 с пушками</w:t>
      </w:r>
    </w:p>
    <w:p w14:paraId="12F9B5B2"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10BC3599"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722885">
        <w:rPr>
          <w:color w:val="000000" w:themeColor="text1"/>
          <w:sz w:val="16"/>
          <w:szCs w:val="16"/>
        </w:rPr>
        <w:softHyphen/>
        <w:t>ной группировки в районе Сталинграда вплоть до 2 февраля. Однако войсковые испытания офи</w:t>
      </w:r>
      <w:r w:rsidRPr="00722885">
        <w:rPr>
          <w:color w:val="000000" w:themeColor="text1"/>
          <w:sz w:val="16"/>
          <w:szCs w:val="16"/>
        </w:rPr>
        <w:softHyphen/>
        <w:t>циально были завершены 22 января. К этому вре</w:t>
      </w:r>
      <w:r w:rsidRPr="00722885">
        <w:rPr>
          <w:color w:val="000000" w:themeColor="text1"/>
          <w:sz w:val="16"/>
          <w:szCs w:val="16"/>
        </w:rPr>
        <w:softHyphen/>
        <w:t>мени Ил-2 с Ш-37 совершили 75 боевых само</w:t>
      </w:r>
      <w:r w:rsidRPr="00722885">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722885">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722885">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722885">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722885">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722885">
        <w:rPr>
          <w:color w:val="000000" w:themeColor="text1"/>
          <w:sz w:val="16"/>
          <w:szCs w:val="16"/>
        </w:rPr>
        <w:softHyphen/>
        <w:t>нил только один боевой вылет, и его результаты при составлении отчета по испытаниям не учиты</w:t>
      </w:r>
      <w:r w:rsidRPr="00722885">
        <w:rPr>
          <w:color w:val="000000" w:themeColor="text1"/>
          <w:sz w:val="16"/>
          <w:szCs w:val="16"/>
        </w:rPr>
        <w:softHyphen/>
        <w:t>вались.</w:t>
      </w:r>
    </w:p>
    <w:p w14:paraId="1F60F072"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пушками Ш-37 «ходили на бое</w:t>
      </w:r>
      <w:r w:rsidRPr="00722885">
        <w:rPr>
          <w:color w:val="000000" w:themeColor="text1"/>
          <w:sz w:val="16"/>
          <w:szCs w:val="16"/>
        </w:rPr>
        <w:softHyphen/>
        <w:t>вые задания, имея запас боеприпасов 80 для 37-мм пушек, 1500 для пулеметов ШКАС, 8 РС-82 и 2 бом</w:t>
      </w:r>
      <w:r w:rsidRPr="00722885">
        <w:rPr>
          <w:color w:val="000000" w:themeColor="text1"/>
          <w:sz w:val="16"/>
          <w:szCs w:val="16"/>
        </w:rPr>
        <w:softHyphen/>
        <w:t>бы ФАБ-100 или 6 бомб АО-25».</w:t>
      </w:r>
    </w:p>
    <w:p w14:paraId="64F5124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Экипажи действовали главным образом по са</w:t>
      </w:r>
      <w:r w:rsidRPr="00722885">
        <w:rPr>
          <w:color w:val="000000" w:themeColor="text1"/>
          <w:sz w:val="16"/>
          <w:szCs w:val="16"/>
        </w:rPr>
        <w:softHyphen/>
        <w:t>молетам на аэродромах и автотранспорту против</w:t>
      </w:r>
      <w:r w:rsidRPr="00722885">
        <w:rPr>
          <w:color w:val="000000" w:themeColor="text1"/>
          <w:sz w:val="16"/>
          <w:szCs w:val="16"/>
        </w:rPr>
        <w:softHyphen/>
        <w:t>ника. В отдельных случаях — по огневым точкам на поле боя, дерево-земляным оборонительным со</w:t>
      </w:r>
      <w:r w:rsidRPr="00722885">
        <w:rPr>
          <w:color w:val="000000" w:themeColor="text1"/>
          <w:sz w:val="16"/>
          <w:szCs w:val="16"/>
        </w:rPr>
        <w:softHyphen/>
        <w:t>оружениям и бронетехнике. Общий расход боепри</w:t>
      </w:r>
      <w:r w:rsidRPr="00722885">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722885">
        <w:rPr>
          <w:color w:val="000000" w:themeColor="text1"/>
          <w:sz w:val="16"/>
          <w:szCs w:val="16"/>
        </w:rPr>
        <w:softHyphen/>
        <w:t>бомб типа ФАБ-100 — 107, осколочных авиабомб типа АО-25 — 87.</w:t>
      </w:r>
    </w:p>
    <w:p w14:paraId="28CB88A9"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Атаки наземных целей производились с плани</w:t>
      </w:r>
      <w:r w:rsidRPr="00722885">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722885">
        <w:rPr>
          <w:color w:val="000000" w:themeColor="text1"/>
          <w:sz w:val="16"/>
          <w:szCs w:val="16"/>
        </w:rPr>
        <w:softHyphen/>
        <w:t>гим данным — бронемашину), но достоверность поражения целей подтвердить не могли.</w:t>
      </w:r>
    </w:p>
    <w:p w14:paraId="234684D4"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эти данные не входят потери противника от бомб, РС и пулеметов на этих же самолетах. Необ</w:t>
      </w:r>
      <w:r w:rsidRPr="00722885">
        <w:rPr>
          <w:color w:val="000000" w:themeColor="text1"/>
          <w:sz w:val="16"/>
          <w:szCs w:val="16"/>
        </w:rPr>
        <w:softHyphen/>
        <w:t>ходимо отметить, что «танков, как основных целей для этих пушек, встречалось мало».</w:t>
      </w:r>
    </w:p>
    <w:p w14:paraId="63626CC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 время войсковых испытаний отмечалось не</w:t>
      </w:r>
      <w:r w:rsidRPr="00722885">
        <w:rPr>
          <w:color w:val="000000" w:themeColor="text1"/>
          <w:sz w:val="16"/>
          <w:szCs w:val="16"/>
        </w:rPr>
        <w:softHyphen/>
        <w:t>сколько случаев применения Ш-37 по воздушным целям, но все они, вследствие недостаточной ско</w:t>
      </w:r>
      <w:r w:rsidRPr="00722885">
        <w:rPr>
          <w:color w:val="000000" w:themeColor="text1"/>
          <w:sz w:val="16"/>
          <w:szCs w:val="16"/>
        </w:rPr>
        <w:softHyphen/>
        <w:t>рострельности пушки, были неудачными.</w:t>
      </w:r>
    </w:p>
    <w:p w14:paraId="51F46EED"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одном случае Ил-2 на высоте 800 м был атако</w:t>
      </w:r>
      <w:r w:rsidRPr="00722885">
        <w:rPr>
          <w:color w:val="000000" w:themeColor="text1"/>
          <w:sz w:val="16"/>
          <w:szCs w:val="16"/>
        </w:rPr>
        <w:softHyphen/>
        <w:t xml:space="preserve">ван в лоб истребителем Люфтваффе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С дис</w:t>
      </w:r>
      <w:r w:rsidRPr="00722885">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722885">
        <w:rPr>
          <w:color w:val="000000" w:themeColor="text1"/>
          <w:sz w:val="16"/>
          <w:szCs w:val="16"/>
          <w:lang w:val="en-US"/>
        </w:rPr>
        <w:t>Ju</w:t>
      </w:r>
      <w:r w:rsidRPr="00722885">
        <w:rPr>
          <w:color w:val="000000" w:themeColor="text1"/>
          <w:sz w:val="16"/>
          <w:szCs w:val="16"/>
        </w:rPr>
        <w:t>52/3</w:t>
      </w:r>
      <w:r w:rsidRPr="00722885">
        <w:rPr>
          <w:color w:val="000000" w:themeColor="text1"/>
          <w:sz w:val="16"/>
          <w:szCs w:val="16"/>
          <w:lang w:val="en-US"/>
        </w:rPr>
        <w:t>m</w:t>
      </w:r>
      <w:r w:rsidRPr="00722885">
        <w:rPr>
          <w:color w:val="000000" w:themeColor="text1"/>
          <w:sz w:val="16"/>
          <w:szCs w:val="16"/>
        </w:rPr>
        <w:t>. Огонь из Ш-37 велся короткими очере</w:t>
      </w:r>
      <w:r w:rsidRPr="00722885">
        <w:rPr>
          <w:color w:val="000000" w:themeColor="text1"/>
          <w:sz w:val="16"/>
          <w:szCs w:val="16"/>
        </w:rPr>
        <w:softHyphen/>
        <w:t>дями по 3—4 снаряда с дистанции 600—300 м. Всего было выпущено до 20—30 снарядов. Попа</w:t>
      </w:r>
      <w:r w:rsidRPr="00722885">
        <w:rPr>
          <w:color w:val="000000" w:themeColor="text1"/>
          <w:sz w:val="16"/>
          <w:szCs w:val="16"/>
        </w:rPr>
        <w:softHyphen/>
        <w:t>даний в немецкий самолет не было. Летчики на</w:t>
      </w:r>
      <w:r w:rsidRPr="00722885">
        <w:rPr>
          <w:color w:val="000000" w:themeColor="text1"/>
          <w:sz w:val="16"/>
          <w:szCs w:val="16"/>
        </w:rPr>
        <w:softHyphen/>
        <w:t>блюдали, что «снаряды ложатся правее и левее плоскостей самолета». В итоге «Юнкерс» ушел в облака.</w:t>
      </w:r>
    </w:p>
    <w:p w14:paraId="2950695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Средний расход боекомплекта к пушкам Ш-37 за один самолето-вылет составил 37,6%, что соот</w:t>
      </w:r>
      <w:r w:rsidRPr="00722885">
        <w:rPr>
          <w:color w:val="000000" w:themeColor="text1"/>
          <w:sz w:val="16"/>
          <w:szCs w:val="16"/>
        </w:rPr>
        <w:softHyphen/>
        <w:t>ветствует средней продолжительности непрерыв</w:t>
      </w:r>
      <w:r w:rsidRPr="00722885">
        <w:rPr>
          <w:color w:val="000000" w:themeColor="text1"/>
          <w:sz w:val="16"/>
          <w:szCs w:val="16"/>
        </w:rPr>
        <w:softHyphen/>
        <w:t>ной стрельбы всего 5 секунд. Это, с одной сторо</w:t>
      </w:r>
      <w:r w:rsidRPr="00722885">
        <w:rPr>
          <w:color w:val="000000" w:themeColor="text1"/>
          <w:sz w:val="16"/>
          <w:szCs w:val="16"/>
        </w:rPr>
        <w:softHyphen/>
        <w:t>ны, говорит о том, что целей, достойных для пушек Ш-37, в боевых вылетах было мало, а с другой сто</w:t>
      </w:r>
      <w:r w:rsidRPr="00722885">
        <w:rPr>
          <w:color w:val="000000" w:themeColor="text1"/>
          <w:sz w:val="16"/>
          <w:szCs w:val="16"/>
        </w:rPr>
        <w:softHyphen/>
        <w:t>роны, указывает на недостаточную эффективность стрельбы с самолета Ил-2 из такой пушки по точеч</w:t>
      </w:r>
      <w:r w:rsidRPr="00722885">
        <w:rPr>
          <w:color w:val="000000" w:themeColor="text1"/>
          <w:sz w:val="16"/>
          <w:szCs w:val="16"/>
        </w:rPr>
        <w:softHyphen/>
        <w:t>ным малоразмерным целям.</w:t>
      </w:r>
    </w:p>
    <w:p w14:paraId="0CE70AE0"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722885">
        <w:rPr>
          <w:color w:val="000000" w:themeColor="text1"/>
          <w:sz w:val="16"/>
          <w:szCs w:val="16"/>
        </w:rPr>
        <w:softHyphen/>
        <w:t>ставил 54%. Из общего числа боевых вылетов, вы</w:t>
      </w:r>
      <w:r w:rsidRPr="00722885">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722885">
        <w:rPr>
          <w:color w:val="000000" w:themeColor="text1"/>
          <w:sz w:val="16"/>
          <w:szCs w:val="16"/>
        </w:rPr>
        <w:softHyphen/>
        <w:t>евое задание Ил-2 с пушками Ш-37 сопровождался отказом хотя бы одной из пушек.</w:t>
      </w:r>
    </w:p>
    <w:p w14:paraId="1698F10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состоянию на 25 января произошло 123 от</w:t>
      </w:r>
      <w:r w:rsidRPr="00722885">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722885">
        <w:rPr>
          <w:color w:val="000000" w:themeColor="text1"/>
          <w:sz w:val="16"/>
          <w:szCs w:val="16"/>
        </w:rPr>
        <w:softHyphen/>
        <w:t>од, в то время как «по техническим условиям для оружия допускается 0,2% задержек на полную жи</w:t>
      </w:r>
      <w:r w:rsidRPr="00722885">
        <w:rPr>
          <w:color w:val="000000" w:themeColor="text1"/>
          <w:sz w:val="16"/>
          <w:szCs w:val="16"/>
        </w:rPr>
        <w:softHyphen/>
        <w:t>вучесть пушек».</w:t>
      </w:r>
    </w:p>
    <w:p w14:paraId="0463F948"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из всех задержек исключить задержки по вине установок и по вине обслуживающего пер</w:t>
      </w:r>
      <w:r w:rsidRPr="00722885">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722885">
        <w:rPr>
          <w:color w:val="000000" w:themeColor="text1"/>
          <w:sz w:val="16"/>
          <w:szCs w:val="16"/>
        </w:rPr>
        <w:softHyphen/>
        <w:t>новные поломки следующие: ударника — 6, план</w:t>
      </w:r>
      <w:r w:rsidRPr="00722885">
        <w:rPr>
          <w:color w:val="000000" w:themeColor="text1"/>
          <w:sz w:val="16"/>
          <w:szCs w:val="16"/>
        </w:rPr>
        <w:softHyphen/>
        <w:t>ки затвора — 4, бойка — 8, направляющей втулки ударника — 5, трещина в затыльнике — 5, непо</w:t>
      </w:r>
      <w:r w:rsidRPr="00722885">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722885">
        <w:rPr>
          <w:color w:val="000000" w:themeColor="text1"/>
          <w:sz w:val="16"/>
          <w:szCs w:val="16"/>
        </w:rPr>
        <w:softHyphen/>
        <w:t>лов потребовало бы 59 ударников».</w:t>
      </w:r>
    </w:p>
    <w:p w14:paraId="0A5F012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722885">
        <w:rPr>
          <w:color w:val="000000" w:themeColor="text1"/>
          <w:sz w:val="16"/>
          <w:szCs w:val="16"/>
        </w:rPr>
        <w:softHyphen/>
        <w:t>дром в Вихлянцево. Соответственно, бригада спе</w:t>
      </w:r>
      <w:r w:rsidRPr="00722885">
        <w:rPr>
          <w:color w:val="000000" w:themeColor="text1"/>
          <w:sz w:val="16"/>
          <w:szCs w:val="16"/>
        </w:rPr>
        <w:softHyphen/>
        <w:t>циалистов от ОКБ-15 не могла оперативно устра</w:t>
      </w:r>
      <w:r w:rsidRPr="00722885">
        <w:rPr>
          <w:color w:val="000000" w:themeColor="text1"/>
          <w:sz w:val="16"/>
          <w:szCs w:val="16"/>
        </w:rPr>
        <w:softHyphen/>
        <w:t>нять отказы в работе и поломки пушек.</w:t>
      </w:r>
    </w:p>
    <w:p w14:paraId="79BCA96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Очевидно, все «это нарушало нормальную бое</w:t>
      </w:r>
      <w:r w:rsidRPr="00722885">
        <w:rPr>
          <w:color w:val="000000" w:themeColor="text1"/>
          <w:sz w:val="16"/>
          <w:szCs w:val="16"/>
        </w:rPr>
        <w:softHyphen/>
        <w:t>вую работу полка, самолеты приходилось из-за не</w:t>
      </w:r>
      <w:r w:rsidRPr="00722885">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722885">
        <w:rPr>
          <w:color w:val="000000" w:themeColor="text1"/>
          <w:sz w:val="16"/>
          <w:szCs w:val="16"/>
        </w:rPr>
        <w:softHyphen/>
        <w:t>ко с остальным вооружением».</w:t>
      </w:r>
    </w:p>
    <w:p w14:paraId="55BCE6D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«Большое количество поломок, задержек и от</w:t>
      </w:r>
      <w:r w:rsidRPr="00722885">
        <w:rPr>
          <w:color w:val="000000" w:themeColor="text1"/>
          <w:sz w:val="16"/>
          <w:szCs w:val="16"/>
        </w:rPr>
        <w:softHyphen/>
        <w:t>казов в работе пушек вызвало у летчиков неприят</w:t>
      </w:r>
      <w:r w:rsidRPr="00722885">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4AF1502D"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722885">
        <w:rPr>
          <w:color w:val="000000" w:themeColor="text1"/>
          <w:sz w:val="16"/>
          <w:szCs w:val="16"/>
        </w:rPr>
        <w:softHyphen/>
        <w:t>жием».</w:t>
      </w:r>
    </w:p>
    <w:p w14:paraId="269DA86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своих донесениях летчики отмечали, что «са</w:t>
      </w:r>
      <w:r w:rsidRPr="00722885">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722885">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722885">
        <w:rPr>
          <w:color w:val="000000" w:themeColor="text1"/>
          <w:sz w:val="16"/>
          <w:szCs w:val="16"/>
        </w:rPr>
        <w:softHyphen/>
        <w:t>нее управляем. Плохо держится в строю при ско</w:t>
      </w:r>
      <w:r w:rsidRPr="00722885">
        <w:rPr>
          <w:color w:val="000000" w:themeColor="text1"/>
          <w:sz w:val="16"/>
          <w:szCs w:val="16"/>
        </w:rPr>
        <w:softHyphen/>
        <w:t>ростях около 250—260 км/ч и ниже. Хорошо дер</w:t>
      </w:r>
      <w:r w:rsidRPr="00722885">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0952AAB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скоростях полета 250 км/ч «прицельную стрельбу из пушек вести трудно из-за сильной ви</w:t>
      </w:r>
      <w:r w:rsidRPr="00722885">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722885">
        <w:rPr>
          <w:color w:val="000000" w:themeColor="text1"/>
          <w:sz w:val="16"/>
          <w:szCs w:val="16"/>
        </w:rPr>
        <w:softHyphen/>
        <w:t>ется незначительно». При стрельбе с набором вы</w:t>
      </w:r>
      <w:r w:rsidRPr="00722885">
        <w:rPr>
          <w:color w:val="000000" w:themeColor="text1"/>
          <w:sz w:val="16"/>
          <w:szCs w:val="16"/>
        </w:rPr>
        <w:softHyphen/>
        <w:t>соты самолет резко теряет скорость. На пикирова</w:t>
      </w:r>
      <w:r w:rsidRPr="00722885">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722885">
        <w:rPr>
          <w:color w:val="000000" w:themeColor="text1"/>
          <w:sz w:val="16"/>
          <w:szCs w:val="16"/>
        </w:rPr>
        <w:softHyphen/>
        <w:t>рачивается в сторону стреляющей пушки, прицель</w:t>
      </w:r>
      <w:r w:rsidRPr="00722885">
        <w:rPr>
          <w:color w:val="000000" w:themeColor="text1"/>
          <w:sz w:val="16"/>
          <w:szCs w:val="16"/>
        </w:rPr>
        <w:softHyphen/>
        <w:t>ный огонь вести невозможно. Боковой перенос ог</w:t>
      </w:r>
      <w:r w:rsidRPr="00722885">
        <w:rPr>
          <w:color w:val="000000" w:themeColor="text1"/>
          <w:sz w:val="16"/>
          <w:szCs w:val="16"/>
        </w:rPr>
        <w:softHyphen/>
        <w:t>ня при пикировании затруднен, а «с высоты 400 м и ниже невозможен, ввиду инертности самолета».</w:t>
      </w:r>
    </w:p>
    <w:p w14:paraId="436C483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заявлениям летчиков, «стволы пушек в по</w:t>
      </w:r>
      <w:r w:rsidRPr="00722885">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722885">
        <w:rPr>
          <w:color w:val="000000" w:themeColor="text1"/>
          <w:sz w:val="16"/>
          <w:szCs w:val="16"/>
        </w:rPr>
        <w:softHyphen/>
        <w:t>трудняет возможность вести прицельный огонь». Утверждалось, что «при боевом развороте на ско</w:t>
      </w:r>
      <w:r w:rsidRPr="00722885">
        <w:rPr>
          <w:color w:val="000000" w:themeColor="text1"/>
          <w:sz w:val="16"/>
          <w:szCs w:val="16"/>
        </w:rPr>
        <w:softHyphen/>
        <w:t>рости 270 км/ч самолет сильно трясет».</w:t>
      </w:r>
    </w:p>
    <w:p w14:paraId="2C1BF526"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722885">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722885">
        <w:rPr>
          <w:color w:val="000000" w:themeColor="text1"/>
          <w:sz w:val="16"/>
          <w:szCs w:val="16"/>
        </w:rPr>
        <w:softHyphen/>
        <w:t>ровано только 22 случая полного расстрела бое</w:t>
      </w:r>
      <w:r w:rsidRPr="00722885">
        <w:rPr>
          <w:color w:val="000000" w:themeColor="text1"/>
          <w:sz w:val="16"/>
          <w:szCs w:val="16"/>
        </w:rPr>
        <w:softHyphen/>
        <w:t>комплекта.</w:t>
      </w:r>
    </w:p>
    <w:p w14:paraId="479873F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эксплуатационной точки зрения пушка Ш-37 и пушечная установка оказались простыми и удоб</w:t>
      </w:r>
      <w:r w:rsidRPr="00722885">
        <w:rPr>
          <w:color w:val="000000" w:themeColor="text1"/>
          <w:sz w:val="16"/>
          <w:szCs w:val="16"/>
        </w:rPr>
        <w:softHyphen/>
        <w:t>ными в обслуживании даже в условиях зимы, ког</w:t>
      </w:r>
      <w:r w:rsidRPr="00722885">
        <w:rPr>
          <w:color w:val="000000" w:themeColor="text1"/>
          <w:sz w:val="16"/>
          <w:szCs w:val="16"/>
        </w:rPr>
        <w:softHyphen/>
        <w:t>да технический состав вынужден работать в ру</w:t>
      </w:r>
      <w:r w:rsidRPr="00722885">
        <w:rPr>
          <w:color w:val="000000" w:themeColor="text1"/>
          <w:sz w:val="16"/>
          <w:szCs w:val="16"/>
        </w:rPr>
        <w:softHyphen/>
        <w:t>кавицах и тяжелой одежде. При работе 2 человек чистка пушки требует не более 30 мин, заряд</w:t>
      </w:r>
      <w:r w:rsidRPr="00722885">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722885">
        <w:rPr>
          <w:color w:val="000000" w:themeColor="text1"/>
          <w:sz w:val="16"/>
          <w:szCs w:val="16"/>
        </w:rPr>
        <w:softHyphen/>
        <w:t>ра — 4—5 ч, шептала — 4 ч, собачки шептала — 3 ч. Технический состав полка особо отметил «не</w:t>
      </w:r>
      <w:r w:rsidRPr="00722885">
        <w:rPr>
          <w:color w:val="000000" w:themeColor="text1"/>
          <w:sz w:val="16"/>
          <w:szCs w:val="16"/>
        </w:rPr>
        <w:softHyphen/>
        <w:t>удобную конструкцию и плохое изготовление об</w:t>
      </w:r>
      <w:r w:rsidRPr="00722885">
        <w:rPr>
          <w:color w:val="000000" w:themeColor="text1"/>
          <w:sz w:val="16"/>
          <w:szCs w:val="16"/>
        </w:rPr>
        <w:softHyphen/>
        <w:t>текателей пушек — на шомпола их невозможно закрыть».</w:t>
      </w:r>
    </w:p>
    <w:p w14:paraId="3EA6B229"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722885">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1C0DB566"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722885">
        <w:rPr>
          <w:color w:val="000000" w:themeColor="text1"/>
          <w:sz w:val="16"/>
          <w:szCs w:val="16"/>
        </w:rPr>
        <w:softHyphen/>
        <w:t>лись.</w:t>
      </w:r>
    </w:p>
    <w:p w14:paraId="54F4D01D"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лейтенант Воловиков в своем донесе</w:t>
      </w:r>
      <w:r w:rsidRPr="00722885">
        <w:rPr>
          <w:color w:val="000000" w:themeColor="text1"/>
          <w:sz w:val="16"/>
          <w:szCs w:val="16"/>
        </w:rPr>
        <w:softHyphen/>
        <w:t>нии указал, что «в серийном производстве Ил-2 с ШФК-37 выпускать нельзя». К его мнению присо</w:t>
      </w:r>
      <w:r w:rsidRPr="00722885">
        <w:rPr>
          <w:color w:val="000000" w:themeColor="text1"/>
          <w:sz w:val="16"/>
          <w:szCs w:val="16"/>
        </w:rPr>
        <w:softHyphen/>
        <w:t>единились старший сержант А. В. Дунов, сержант М. А. Сахариленко и старшина В. Ф. Игнатьев.</w:t>
      </w:r>
    </w:p>
    <w:p w14:paraId="4EE0BC01"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722885">
        <w:rPr>
          <w:color w:val="000000" w:themeColor="text1"/>
          <w:sz w:val="16"/>
          <w:szCs w:val="16"/>
        </w:rPr>
        <w:softHyphen/>
        <w:t>го; 4) нужен более мощный мотор для противозе</w:t>
      </w:r>
      <w:r w:rsidRPr="00722885">
        <w:rPr>
          <w:color w:val="000000" w:themeColor="text1"/>
          <w:sz w:val="16"/>
          <w:szCs w:val="16"/>
        </w:rPr>
        <w:softHyphen/>
        <w:t>нитного маневра; 5) формировать отдельные диви</w:t>
      </w:r>
      <w:r w:rsidRPr="00722885">
        <w:rPr>
          <w:color w:val="000000" w:themeColor="text1"/>
          <w:sz w:val="16"/>
          <w:szCs w:val="16"/>
        </w:rPr>
        <w:softHyphen/>
        <w:t>зионные группы Ил-2 с пушками 37 мм или на полк давать 6 таких самолетов».</w:t>
      </w:r>
    </w:p>
    <w:p w14:paraId="1E99598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722885">
        <w:rPr>
          <w:color w:val="000000" w:themeColor="text1"/>
          <w:sz w:val="16"/>
          <w:szCs w:val="16"/>
        </w:rPr>
        <w:softHyphen/>
        <w:t>жанта Юсова».</w:t>
      </w:r>
    </w:p>
    <w:p w14:paraId="7C0CE18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с учетом этого в заключении «Доклада о войсковых испытаниях на боевое при</w:t>
      </w:r>
      <w:r w:rsidRPr="00722885">
        <w:rPr>
          <w:color w:val="000000" w:themeColor="text1"/>
          <w:sz w:val="16"/>
          <w:szCs w:val="16"/>
        </w:rPr>
        <w:softHyphen/>
        <w:t>менение самолетов Ил-2 АМ-38, вооруженных 37-мм пушками конструкции ОКБ-15» было записа</w:t>
      </w:r>
      <w:r w:rsidRPr="00722885">
        <w:rPr>
          <w:color w:val="000000" w:themeColor="text1"/>
          <w:sz w:val="16"/>
          <w:szCs w:val="16"/>
        </w:rPr>
        <w:softHyphen/>
        <w:t>но: «1. Самолеты с пушками ШФК-37, испытанные на боевое применение, не дали должной эффективно</w:t>
      </w:r>
      <w:r w:rsidRPr="00722885">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722885">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1535663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боевых летчиков от 688-го шап и чле</w:t>
      </w:r>
      <w:r w:rsidRPr="00722885">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3CA01CC9"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Уже 8 марта 1943 г. начальник 1-го отдела УЗ- СиМ ГУЗ ВВС инженер-полковник Ковалев в до</w:t>
      </w:r>
      <w:r w:rsidRPr="00722885">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722885">
        <w:rPr>
          <w:color w:val="000000" w:themeColor="text1"/>
          <w:sz w:val="16"/>
          <w:szCs w:val="16"/>
        </w:rPr>
        <w:softHyphen/>
        <w:t>вых испытаний самолетов Ил-2 с ШФК-37 37-мм пушки подлежат конструктивной доводке».</w:t>
      </w:r>
    </w:p>
    <w:p w14:paraId="657D10B3"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722885">
        <w:rPr>
          <w:color w:val="000000" w:themeColor="text1"/>
          <w:sz w:val="16"/>
          <w:szCs w:val="16"/>
        </w:rPr>
        <w:softHyphen/>
        <w:t>шек ШФК-37 на самолетах Ил-2».</w:t>
      </w:r>
    </w:p>
    <w:p w14:paraId="09F6A063"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722885">
        <w:rPr>
          <w:color w:val="000000" w:themeColor="text1"/>
          <w:sz w:val="16"/>
          <w:szCs w:val="16"/>
        </w:rPr>
        <w:softHyphen/>
        <w:t>готовить справку о ходе испытаний пушек калибра 37 мм ОКБ-16 на самолетах Ил-2 (17500).</w:t>
      </w:r>
    </w:p>
    <w:p w14:paraId="5573A505" w14:textId="77777777" w:rsidR="00D11CF9" w:rsidRPr="00722885" w:rsidRDefault="00D11CF9" w:rsidP="00722885">
      <w:pPr>
        <w:pStyle w:val="12a"/>
        <w:shd w:val="clear" w:color="auto" w:fill="auto"/>
        <w:spacing w:after="0" w:line="240" w:lineRule="auto"/>
        <w:jc w:val="both"/>
        <w:rPr>
          <w:color w:val="000000" w:themeColor="text1"/>
          <w:sz w:val="16"/>
          <w:szCs w:val="16"/>
        </w:rPr>
      </w:pPr>
    </w:p>
    <w:p w14:paraId="508E8D5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30 декабря 1942, ознакомившись с отчетом и докладом команди</w:t>
      </w:r>
      <w:r w:rsidRPr="00722885">
        <w:rPr>
          <w:color w:val="000000" w:themeColor="text1"/>
          <w:sz w:val="16"/>
          <w:szCs w:val="16"/>
        </w:rPr>
        <w:softHyphen/>
        <w:t>ра 228-й шад полковника Г. О. Комарова, командую</w:t>
      </w:r>
      <w:r w:rsidRPr="00722885">
        <w:rPr>
          <w:color w:val="000000" w:themeColor="text1"/>
          <w:sz w:val="16"/>
          <w:szCs w:val="16"/>
        </w:rPr>
        <w:softHyphen/>
        <w:t>щий 16 ВА генерал-майор С. И. Руденко наложил резолюцию: «Предлагаю тренировать лет</w:t>
      </w:r>
      <w:r w:rsidRPr="00722885">
        <w:rPr>
          <w:color w:val="000000" w:themeColor="text1"/>
          <w:sz w:val="16"/>
          <w:szCs w:val="16"/>
        </w:rPr>
        <w:softHyphen/>
        <w:t>ный состав в строевой части. Начальник штаба — подготовить доклад командующему ВВС КА».</w:t>
      </w:r>
    </w:p>
    <w:p w14:paraId="07D19C0D"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Тем временем группа противотанковых Ил-2 уже вылетала на боевые действия. Боевая работа велась с полевых аэродромов Б. Ивановка и стани</w:t>
      </w:r>
      <w:r w:rsidRPr="00722885">
        <w:rPr>
          <w:color w:val="000000" w:themeColor="text1"/>
          <w:sz w:val="16"/>
          <w:szCs w:val="16"/>
        </w:rPr>
        <w:softHyphen/>
        <w:t>ца Качалинская.</w:t>
      </w:r>
    </w:p>
    <w:p w14:paraId="0F5C56D9"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Первый боевой вылет Ил-2 с пушками Ш-37 состоялся 25 декабря. В составе группы из 4 Ил-2 (ведущий капитан Гребеньков) для нанесения бомбоштурмового удара по аэродрому в 2—3 км к юго-западу от населенного пункта Большая Рос- сошка вылетел младший лейтенант Малявин на са</w:t>
      </w:r>
      <w:r w:rsidRPr="00722885">
        <w:rPr>
          <w:color w:val="000000" w:themeColor="text1"/>
          <w:sz w:val="16"/>
          <w:szCs w:val="16"/>
        </w:rPr>
        <w:softHyphen/>
        <w:t>молете зав. № 1879029. Штурмовиков прикрывали 4 Як-1 от 220-й иад.</w:t>
      </w:r>
    </w:p>
    <w:p w14:paraId="647C782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По докладу капитана Гребенькова к моменту удара — в период 14.15—14.20 — на площадке находилось до 15 транспортных самолетов </w:t>
      </w:r>
      <w:r w:rsidRPr="00722885">
        <w:rPr>
          <w:color w:val="000000" w:themeColor="text1"/>
          <w:sz w:val="16"/>
          <w:szCs w:val="16"/>
          <w:lang w:val="en-US"/>
        </w:rPr>
        <w:t>Ju</w:t>
      </w:r>
      <w:r w:rsidRPr="00722885">
        <w:rPr>
          <w:color w:val="000000" w:themeColor="text1"/>
          <w:sz w:val="16"/>
          <w:szCs w:val="16"/>
        </w:rPr>
        <w:t>52. Экипажи отработали по ним с пикирования снача</w:t>
      </w:r>
      <w:r w:rsidRPr="00722885">
        <w:rPr>
          <w:color w:val="000000" w:themeColor="text1"/>
          <w:sz w:val="16"/>
          <w:szCs w:val="16"/>
        </w:rPr>
        <w:softHyphen/>
        <w:t>ла ракетными снарядами, затем пулеметно-пушеч- ным огнем и на выходе из пикирования бомбами ФАБ-100 и АО-25. Потери противника оценивались в 5 уничтоженных и поврежденных самолетов.</w:t>
      </w:r>
    </w:p>
    <w:p w14:paraId="161B6324"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районе цели был сильный зенитный огонь. Ис</w:t>
      </w:r>
      <w:r w:rsidRPr="00722885">
        <w:rPr>
          <w:color w:val="000000" w:themeColor="text1"/>
          <w:sz w:val="16"/>
          <w:szCs w:val="16"/>
        </w:rPr>
        <w:softHyphen/>
        <w:t>требительной авиации противника экипажи не на</w:t>
      </w:r>
      <w:r w:rsidRPr="00722885">
        <w:rPr>
          <w:color w:val="000000" w:themeColor="text1"/>
          <w:sz w:val="16"/>
          <w:szCs w:val="16"/>
        </w:rPr>
        <w:softHyphen/>
        <w:t>блюдали. Свои истребители сопровождения шли до цели выше штурмовиков на 200—250 м и сзади на удалении 2 км.</w:t>
      </w:r>
    </w:p>
    <w:p w14:paraId="33B71B2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ходе атаки получил повреждения Ил-2 (зав. № 0613) сержанта Дрозда. Самолет задымил. Но летчику удалось удержать самолет в строю.</w:t>
      </w:r>
    </w:p>
    <w:p w14:paraId="129A1837"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отходе от цели был потерян из виду проти</w:t>
      </w:r>
      <w:r w:rsidRPr="00722885">
        <w:rPr>
          <w:color w:val="000000" w:themeColor="text1"/>
          <w:sz w:val="16"/>
          <w:szCs w:val="16"/>
        </w:rPr>
        <w:softHyphen/>
        <w:t>вотанковый Ил-2. На свой аэродром младший лей</w:t>
      </w:r>
      <w:r w:rsidRPr="00722885">
        <w:rPr>
          <w:color w:val="000000" w:themeColor="text1"/>
          <w:sz w:val="16"/>
          <w:szCs w:val="16"/>
        </w:rPr>
        <w:softHyphen/>
        <w:t>тенант Малявин не возвратился, пропал без вести. Экипажи доложили, что «в районе цели самолет был, но после его уже не видели». По наблюдениям сопровождающих истребителей, самолет был сбит зенитной артиллерией и упал недалеко от населен</w:t>
      </w:r>
      <w:r w:rsidRPr="00722885">
        <w:rPr>
          <w:color w:val="000000" w:themeColor="text1"/>
          <w:sz w:val="16"/>
          <w:szCs w:val="16"/>
        </w:rPr>
        <w:softHyphen/>
        <w:t>ного пункта Кузьмичи. Поиски самолета и летчика в этом районе ничего не дали.</w:t>
      </w:r>
    </w:p>
    <w:p w14:paraId="3C9FB66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погода резко испортилась. Летать было нельзя. Поэтому вторым боевым днем противотанковых самолетов Ил-2 с пушками Ш-37 стал 27 декабря.</w:t>
      </w:r>
    </w:p>
    <w:p w14:paraId="562608CD"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этот день экипажи 688-го шап двумя группами по 5 самолетов под прикрытием Як-1 от 220-й иад нанесли бомбоштурмовые удары по аэродромам противника Питомник и Большая Россошка. В со</w:t>
      </w:r>
      <w:r w:rsidRPr="00722885">
        <w:rPr>
          <w:color w:val="000000" w:themeColor="text1"/>
          <w:sz w:val="16"/>
          <w:szCs w:val="16"/>
        </w:rPr>
        <w:softHyphen/>
        <w:t>став каждой группы входило по 3 противотанковых Ил-2. Расход боеприпасов составил: 25 ФАБ-100, 77 РС-82, 300 патронов к пушкам ВЯ, 50 — к пушкам ШВАК, 138 — к пушкам Ш-37 и 3200 — к пулеметам ШКАС.</w:t>
      </w:r>
    </w:p>
    <w:p w14:paraId="0C2C89D3"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Первой под прикрытием 2 Як-1 от 220-й иад ра</w:t>
      </w:r>
      <w:r w:rsidRPr="00722885">
        <w:rPr>
          <w:color w:val="000000" w:themeColor="text1"/>
          <w:sz w:val="16"/>
          <w:szCs w:val="16"/>
        </w:rPr>
        <w:softHyphen/>
        <w:t>ботала пятерка капитана Гребенькова. Удар нано</w:t>
      </w:r>
      <w:r w:rsidRPr="00722885">
        <w:rPr>
          <w:color w:val="000000" w:themeColor="text1"/>
          <w:sz w:val="16"/>
          <w:szCs w:val="16"/>
        </w:rPr>
        <w:softHyphen/>
        <w:t>сился в период 12.13—12.18 по аэродрому Питом</w:t>
      </w:r>
      <w:r w:rsidRPr="00722885">
        <w:rPr>
          <w:color w:val="000000" w:themeColor="text1"/>
          <w:sz w:val="16"/>
          <w:szCs w:val="16"/>
        </w:rPr>
        <w:softHyphen/>
        <w:t xml:space="preserve">ник, на котором к этому времени находилось до 15 самолетов </w:t>
      </w:r>
      <w:r w:rsidRPr="00722885">
        <w:rPr>
          <w:color w:val="000000" w:themeColor="text1"/>
          <w:sz w:val="16"/>
          <w:szCs w:val="16"/>
          <w:lang w:val="en-US"/>
        </w:rPr>
        <w:t>Ju</w:t>
      </w:r>
      <w:r w:rsidRPr="00722885">
        <w:rPr>
          <w:color w:val="000000" w:themeColor="text1"/>
          <w:sz w:val="16"/>
          <w:szCs w:val="16"/>
        </w:rPr>
        <w:t>52. По докладам экипажей и ведуще</w:t>
      </w:r>
      <w:r w:rsidRPr="00722885">
        <w:rPr>
          <w:color w:val="000000" w:themeColor="text1"/>
          <w:sz w:val="16"/>
          <w:szCs w:val="16"/>
        </w:rPr>
        <w:softHyphen/>
        <w:t>го, на аэродроме было уничтожено и повреждено до 5 самолетов, подавлен огонь зенитной батареи, создано 4 очага пожара. Сержант Сахариленко ог</w:t>
      </w:r>
      <w:r w:rsidRPr="00722885">
        <w:rPr>
          <w:color w:val="000000" w:themeColor="text1"/>
          <w:sz w:val="16"/>
          <w:szCs w:val="16"/>
        </w:rPr>
        <w:softHyphen/>
        <w:t>нем из пушек Ш-37 с дистанции 500—600 м зажег один «Юнкерс».</w:t>
      </w:r>
    </w:p>
    <w:p w14:paraId="23B025F7"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 зенитного огня получили повреждения 2 Ил-2 с пушками Ш-37. На самолете сержанта Ду- нова (зав. № 1 873822) был разбит руль высоты и поврежден посадочный щиток, а на самолете сержанта Зыкоменского (зав. № 1873722) — проби</w:t>
      </w:r>
      <w:r w:rsidRPr="00722885">
        <w:rPr>
          <w:color w:val="000000" w:themeColor="text1"/>
          <w:sz w:val="16"/>
          <w:szCs w:val="16"/>
        </w:rPr>
        <w:softHyphen/>
        <w:t>ты кок винта и правая плоскость крыла.</w:t>
      </w:r>
    </w:p>
    <w:p w14:paraId="37AD450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Вторая группа (ведущий лейтенант Михайлен- ков) — под прикрытием 6 Як-1 от 220-й иад в пе</w:t>
      </w:r>
      <w:r w:rsidRPr="00722885">
        <w:rPr>
          <w:color w:val="000000" w:themeColor="text1"/>
          <w:sz w:val="16"/>
          <w:szCs w:val="16"/>
        </w:rPr>
        <w:softHyphen/>
        <w:t xml:space="preserve">риод 13.22—13.27 атаковала до 10—15 самолетов </w:t>
      </w:r>
      <w:r w:rsidRPr="00722885">
        <w:rPr>
          <w:color w:val="000000" w:themeColor="text1"/>
          <w:sz w:val="16"/>
          <w:szCs w:val="16"/>
          <w:lang w:val="en-US"/>
        </w:rPr>
        <w:t>Ju</w:t>
      </w:r>
      <w:r w:rsidRPr="00722885">
        <w:rPr>
          <w:color w:val="000000" w:themeColor="text1"/>
          <w:sz w:val="16"/>
          <w:szCs w:val="16"/>
        </w:rPr>
        <w:t>52 на аэродроме Большая Россошка. Потери про</w:t>
      </w:r>
      <w:r w:rsidRPr="00722885">
        <w:rPr>
          <w:color w:val="000000" w:themeColor="text1"/>
          <w:sz w:val="16"/>
          <w:szCs w:val="16"/>
        </w:rPr>
        <w:softHyphen/>
        <w:t>тивника оценивались экипажами в 4 самолета — уничтоженными и поврежденными. Отмечался сильный зенитный огонь в районе цели. Истреби</w:t>
      </w:r>
      <w:r w:rsidRPr="00722885">
        <w:rPr>
          <w:color w:val="000000" w:themeColor="text1"/>
          <w:sz w:val="16"/>
          <w:szCs w:val="16"/>
        </w:rPr>
        <w:softHyphen/>
        <w:t>телей противника летчики не наблюдали. Свои по</w:t>
      </w:r>
      <w:r w:rsidRPr="00722885">
        <w:rPr>
          <w:color w:val="000000" w:themeColor="text1"/>
          <w:sz w:val="16"/>
          <w:szCs w:val="16"/>
        </w:rPr>
        <w:softHyphen/>
        <w:t>тери составили 1 Ил-2 (зав. № 0915), который был подбит над целью огнем «эрликонов» и предполо</w:t>
      </w:r>
      <w:r w:rsidRPr="00722885">
        <w:rPr>
          <w:color w:val="000000" w:themeColor="text1"/>
          <w:sz w:val="16"/>
          <w:szCs w:val="16"/>
        </w:rPr>
        <w:softHyphen/>
        <w:t>жительно сел на территории противника при отхо</w:t>
      </w:r>
      <w:r w:rsidRPr="00722885">
        <w:rPr>
          <w:color w:val="000000" w:themeColor="text1"/>
          <w:sz w:val="16"/>
          <w:szCs w:val="16"/>
        </w:rPr>
        <w:softHyphen/>
        <w:t>де от цели. Сержант Меркушев с боевого задания не вернулся, пропал без вести.</w:t>
      </w:r>
    </w:p>
    <w:p w14:paraId="0D3EF924"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Стандартная боевая нагрузка самолетов Ил-2 с пушками Ш-37 включала 100 кг бомб (4 АО-25), 8 РС-82, полный боекомплект патронов и снаря</w:t>
      </w:r>
      <w:r w:rsidRPr="00722885">
        <w:rPr>
          <w:color w:val="000000" w:themeColor="text1"/>
          <w:sz w:val="16"/>
          <w:szCs w:val="16"/>
        </w:rPr>
        <w:softHyphen/>
        <w:t>дов. Маневренность самолетов при такой нагруз</w:t>
      </w:r>
      <w:r w:rsidRPr="00722885">
        <w:rPr>
          <w:color w:val="000000" w:themeColor="text1"/>
          <w:sz w:val="16"/>
          <w:szCs w:val="16"/>
        </w:rPr>
        <w:softHyphen/>
        <w:t>ке практически ничем не отличалась от серийных Ил-2 с пушками ВЯ и ШВАК.</w:t>
      </w:r>
    </w:p>
    <w:p w14:paraId="43E87F64"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«большими» пушками шли на задание в одном боевом строю с серийными штур</w:t>
      </w:r>
      <w:r w:rsidRPr="00722885">
        <w:rPr>
          <w:color w:val="000000" w:themeColor="text1"/>
          <w:sz w:val="16"/>
          <w:szCs w:val="16"/>
        </w:rPr>
        <w:softHyphen/>
        <w:t>мовиками. Боевой порядок обычно правый пеленг. На цель заходили с левого разворота, пикировали под углом 30—40° с высоты 1000—900 м. Выход из атаки выполнялся на 300 м.</w:t>
      </w:r>
    </w:p>
    <w:p w14:paraId="496C0AB3"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По докладам вылетавших на Ил-2 с Ш-37 лет</w:t>
      </w:r>
      <w:r w:rsidRPr="00722885">
        <w:rPr>
          <w:color w:val="000000" w:themeColor="text1"/>
          <w:sz w:val="16"/>
          <w:szCs w:val="16"/>
        </w:rPr>
        <w:softHyphen/>
        <w:t>чиков, «во время стрельбы по мере продолжения планирования непроизвольно увеличивался угол пикирования, самолет шел на нос». У одного из летчиков «левая пушка после 4 выстрелов отказала (плохо отрегулированные электроспуски)», но он «при стрельбе из одной пушки резкого разворота не заметил».</w:t>
      </w:r>
    </w:p>
    <w:p w14:paraId="50E35A08"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Следующий боевой вылет с участием Ил-2 с «большими» пушками состоялся 29 декабря. В этот раз целями для штурмовиков послужили скопление автомашин и до 12 танков противника в районе балки Дековская и высоты 103,1, а также автомашины и живая сила в пункте Бабушкин. Уда</w:t>
      </w:r>
      <w:r w:rsidRPr="00722885">
        <w:rPr>
          <w:color w:val="000000" w:themeColor="text1"/>
          <w:sz w:val="16"/>
          <w:szCs w:val="16"/>
        </w:rPr>
        <w:softHyphen/>
        <w:t>ры наносились в период 12.42—13.00 двумя груп</w:t>
      </w:r>
      <w:r w:rsidRPr="00722885">
        <w:rPr>
          <w:color w:val="000000" w:themeColor="text1"/>
          <w:sz w:val="16"/>
          <w:szCs w:val="16"/>
        </w:rPr>
        <w:softHyphen/>
        <w:t>пами по 5 Ил-2 в каждой (ведущие — лейтенант Би- бишев и лейтенант Михайленков) с высоты 1000 м с пикирования до 200—300 м. Обе группы выпол</w:t>
      </w:r>
      <w:r w:rsidRPr="00722885">
        <w:rPr>
          <w:color w:val="000000" w:themeColor="text1"/>
          <w:sz w:val="16"/>
          <w:szCs w:val="16"/>
        </w:rPr>
        <w:softHyphen/>
        <w:t>нили 3 захода на цели из боевого порядка круг. Ис</w:t>
      </w:r>
      <w:r w:rsidRPr="00722885">
        <w:rPr>
          <w:color w:val="000000" w:themeColor="text1"/>
          <w:sz w:val="16"/>
          <w:szCs w:val="16"/>
        </w:rPr>
        <w:softHyphen/>
        <w:t>требители сопровождения 7 и 6 Як-1 от 220-й иад шли парами выше и ниже Ил-2 на 50—100 м и на удалении 100—20 м. Над целью становились в круг выше Ил-2 и прикрывали их действия.</w:t>
      </w:r>
    </w:p>
    <w:p w14:paraId="3D01B90D"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числе 10 штурмовиков 3 Ил-2 были с пушками Ш-37. Летали — старшина В. Ф. Игнатьев, сержанты А. В. Дунов и Ю. Н. Зыков.</w:t>
      </w:r>
    </w:p>
    <w:p w14:paraId="062500E4"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После посадки сержант Зыков доложил, что «ма</w:t>
      </w:r>
      <w:r w:rsidRPr="00722885">
        <w:rPr>
          <w:color w:val="000000" w:themeColor="text1"/>
          <w:sz w:val="16"/>
          <w:szCs w:val="16"/>
        </w:rPr>
        <w:softHyphen/>
        <w:t>неврирует самолет хорошо, при ведении огня пе</w:t>
      </w:r>
      <w:r w:rsidRPr="00722885">
        <w:rPr>
          <w:color w:val="000000" w:themeColor="text1"/>
          <w:sz w:val="16"/>
          <w:szCs w:val="16"/>
        </w:rPr>
        <w:softHyphen/>
        <w:t>риодически отказывает в работе то одна, то другая пушка». Если открывать огонь из пушек сразу же после ввода самолета в пикирование, когда ско</w:t>
      </w:r>
      <w:r w:rsidRPr="00722885">
        <w:rPr>
          <w:color w:val="000000" w:themeColor="text1"/>
          <w:sz w:val="16"/>
          <w:szCs w:val="16"/>
        </w:rPr>
        <w:softHyphen/>
        <w:t>рость равна 240—250 км/ч, то «самолет чувствует сильную отдачу», но при дальнейшем нарастании скорости «отдача самолетом не чувствуется». При достижении скорости 350 км/ч и более стрельба из одной пушки почти не влияет на самолет — «тен</w:t>
      </w:r>
      <w:r w:rsidRPr="00722885">
        <w:rPr>
          <w:color w:val="000000" w:themeColor="text1"/>
          <w:sz w:val="16"/>
          <w:szCs w:val="16"/>
        </w:rPr>
        <w:softHyphen/>
        <w:t>денция самолета к развороту легко парируется ру</w:t>
      </w:r>
      <w:r w:rsidRPr="00722885">
        <w:rPr>
          <w:color w:val="000000" w:themeColor="text1"/>
          <w:sz w:val="16"/>
          <w:szCs w:val="16"/>
        </w:rPr>
        <w:softHyphen/>
        <w:t>лями». Эффективность стрельбы пушек по танкам и живой силе хорошая.</w:t>
      </w:r>
    </w:p>
    <w:p w14:paraId="549FE426"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самолетах Игнатьева и Дунова пушки рабо</w:t>
      </w:r>
      <w:r w:rsidRPr="00722885">
        <w:rPr>
          <w:color w:val="000000" w:themeColor="text1"/>
          <w:sz w:val="16"/>
          <w:szCs w:val="16"/>
        </w:rPr>
        <w:softHyphen/>
        <w:t>тали отлично. Летчикам удалось расстрелять весь боекомплект к ним.</w:t>
      </w:r>
    </w:p>
    <w:p w14:paraId="15005DE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Отметим, что на Ил-2 Игнатьева, помимо ракет</w:t>
      </w:r>
      <w:r w:rsidRPr="00722885">
        <w:rPr>
          <w:color w:val="000000" w:themeColor="text1"/>
          <w:sz w:val="16"/>
          <w:szCs w:val="16"/>
        </w:rPr>
        <w:softHyphen/>
        <w:t>ных снарядов и полного боекомплекта к пушкам и пулеметам, были подвешены 2 фугасные авиабом</w:t>
      </w:r>
      <w:r w:rsidRPr="00722885">
        <w:rPr>
          <w:color w:val="000000" w:themeColor="text1"/>
          <w:sz w:val="16"/>
          <w:szCs w:val="16"/>
        </w:rPr>
        <w:softHyphen/>
        <w:t>бы ФАБ-100. При этом самолет хорошо маневриро</w:t>
      </w:r>
      <w:r w:rsidRPr="00722885">
        <w:rPr>
          <w:color w:val="000000" w:themeColor="text1"/>
          <w:sz w:val="16"/>
          <w:szCs w:val="16"/>
        </w:rPr>
        <w:softHyphen/>
        <w:t>вал и управлялся при всех условиях боя.</w:t>
      </w:r>
    </w:p>
    <w:p w14:paraId="4A1FF196"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следующий день по целям противника (ско</w:t>
      </w:r>
      <w:r w:rsidRPr="00722885">
        <w:rPr>
          <w:color w:val="000000" w:themeColor="text1"/>
          <w:sz w:val="16"/>
          <w:szCs w:val="16"/>
        </w:rPr>
        <w:softHyphen/>
        <w:t>пление автомашин и живой силы) действовали также 2 группы по 5 самолетов, из которых 3 Ил-2 были с пушками Ш-37. Пятерка старшего лейтенан</w:t>
      </w:r>
      <w:r w:rsidRPr="00722885">
        <w:rPr>
          <w:color w:val="000000" w:themeColor="text1"/>
          <w:sz w:val="16"/>
          <w:szCs w:val="16"/>
        </w:rPr>
        <w:softHyphen/>
        <w:t>та Кадомцева работала в районе балки Взрубная в период 14.10—14.20 под прикрытием 6 Як-1, а пя</w:t>
      </w:r>
      <w:r w:rsidRPr="00722885">
        <w:rPr>
          <w:color w:val="000000" w:themeColor="text1"/>
          <w:sz w:val="16"/>
          <w:szCs w:val="16"/>
        </w:rPr>
        <w:softHyphen/>
        <w:t>терка лейтенанта Михайленко — в районе балки Перелазная в период 14.15—14.25 под прикрытием 5 Як-1. Удары выполнялись в трех заходах с левого круга с высоты 700 м до бреющего полета.</w:t>
      </w:r>
    </w:p>
    <w:p w14:paraId="4683F2F0"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 отходе от цели в районе Дмитриевка имел место воздушный бой с немецкими истребителя</w:t>
      </w:r>
      <w:r w:rsidRPr="00722885">
        <w:rPr>
          <w:color w:val="000000" w:themeColor="text1"/>
          <w:sz w:val="16"/>
          <w:szCs w:val="16"/>
        </w:rPr>
        <w:softHyphen/>
        <w:t xml:space="preserve">ми. Пара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G</w:t>
      </w:r>
      <w:r w:rsidRPr="00722885">
        <w:rPr>
          <w:color w:val="000000" w:themeColor="text1"/>
          <w:sz w:val="16"/>
          <w:szCs w:val="16"/>
        </w:rPr>
        <w:t xml:space="preserve"> на высоте 800 м атаковала группу лейтенанта Михайленко. Первую атаку огнем пушек и пулеметов отбил ведущий группы, который свое</w:t>
      </w:r>
      <w:r w:rsidRPr="00722885">
        <w:rPr>
          <w:color w:val="000000" w:themeColor="text1"/>
          <w:sz w:val="16"/>
          <w:szCs w:val="16"/>
        </w:rPr>
        <w:softHyphen/>
        <w:t>временно заметил противника. После этого в воз</w:t>
      </w:r>
      <w:r w:rsidRPr="00722885">
        <w:rPr>
          <w:color w:val="000000" w:themeColor="text1"/>
          <w:sz w:val="16"/>
          <w:szCs w:val="16"/>
        </w:rPr>
        <w:softHyphen/>
        <w:t>душный бой вступили истребители прикрытия, а штурмовики встали в оборонительный круг. По</w:t>
      </w:r>
      <w:r w:rsidRPr="00722885">
        <w:rPr>
          <w:color w:val="000000" w:themeColor="text1"/>
          <w:sz w:val="16"/>
          <w:szCs w:val="16"/>
        </w:rPr>
        <w:softHyphen/>
        <w:t>сле ухода немецких истребителей Ил-2 перестрои</w:t>
      </w:r>
      <w:r w:rsidRPr="00722885">
        <w:rPr>
          <w:color w:val="000000" w:themeColor="text1"/>
          <w:sz w:val="16"/>
          <w:szCs w:val="16"/>
        </w:rPr>
        <w:softHyphen/>
        <w:t>лись в пеленг и встали на обратный маршрут.</w:t>
      </w:r>
    </w:p>
    <w:p w14:paraId="4F0BCD29"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До генерального наступления под Сталингра</w:t>
      </w:r>
      <w:r w:rsidRPr="00722885">
        <w:rPr>
          <w:color w:val="000000" w:themeColor="text1"/>
          <w:sz w:val="16"/>
          <w:szCs w:val="16"/>
        </w:rPr>
        <w:softHyphen/>
        <w:t>дом 10 января 1943 г. 688-го шап боевой работы не вел, находясь в резерве командира дивизии. В его задачу входило ремонтировать матчасть и быть го</w:t>
      </w:r>
      <w:r w:rsidRPr="00722885">
        <w:rPr>
          <w:color w:val="000000" w:themeColor="text1"/>
          <w:sz w:val="16"/>
          <w:szCs w:val="16"/>
        </w:rPr>
        <w:softHyphen/>
        <w:t>товым по данным разведки 228-й шад к вылету на боевое задание 2—4 экипажами.</w:t>
      </w:r>
    </w:p>
    <w:p w14:paraId="12CA6DE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722885">
        <w:rPr>
          <w:color w:val="000000" w:themeColor="text1"/>
          <w:sz w:val="16"/>
          <w:szCs w:val="16"/>
        </w:rPr>
        <w:softHyphen/>
        <w:t>ронительной полосы, а также по аэродромам и по</w:t>
      </w:r>
      <w:r w:rsidRPr="00722885">
        <w:rPr>
          <w:color w:val="000000" w:themeColor="text1"/>
          <w:sz w:val="16"/>
          <w:szCs w:val="16"/>
        </w:rPr>
        <w:softHyphen/>
        <w:t>садочным площадкам.</w:t>
      </w:r>
    </w:p>
    <w:p w14:paraId="7AE7A9E8"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37-мм пушками принимали участие в боевой работе полка до полной ликви</w:t>
      </w:r>
      <w:r w:rsidRPr="00722885">
        <w:rPr>
          <w:color w:val="000000" w:themeColor="text1"/>
          <w:sz w:val="16"/>
          <w:szCs w:val="16"/>
        </w:rPr>
        <w:softHyphen/>
        <w:t>дации группировки немецких войск под Сталингра</w:t>
      </w:r>
      <w:r w:rsidRPr="00722885">
        <w:rPr>
          <w:color w:val="000000" w:themeColor="text1"/>
          <w:sz w:val="16"/>
          <w:szCs w:val="16"/>
        </w:rPr>
        <w:softHyphen/>
        <w:t>дом. Как и прежде, противотанковые Ил-2 ходили на задания в группах вместе с серийными самоле</w:t>
      </w:r>
      <w:r w:rsidRPr="00722885">
        <w:rPr>
          <w:color w:val="000000" w:themeColor="text1"/>
          <w:sz w:val="16"/>
          <w:szCs w:val="16"/>
        </w:rPr>
        <w:softHyphen/>
        <w:t>тами. Группы состояли из 2—6 самолетов, в кото</w:t>
      </w:r>
      <w:r w:rsidRPr="00722885">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246E2BCF"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319367D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722885">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7F043D95"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10 января в ходе боевого вылета 6 Ил-2 (веду</w:t>
      </w:r>
      <w:r w:rsidRPr="00722885">
        <w:rPr>
          <w:color w:val="000000" w:themeColor="text1"/>
          <w:sz w:val="16"/>
          <w:szCs w:val="16"/>
        </w:rPr>
        <w:softHyphen/>
        <w:t>щий капитан Гребеньков) под прикрытием 4 Як-1 от 283-й иад в период 11.21—11.29 в район насе</w:t>
      </w:r>
      <w:r w:rsidRPr="00722885">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722885">
        <w:rPr>
          <w:color w:val="000000" w:themeColor="text1"/>
          <w:sz w:val="16"/>
          <w:szCs w:val="16"/>
        </w:rPr>
        <w:softHyphen/>
        <w:t>жен прямым попаданием бомбы, сброшенной с са</w:t>
      </w:r>
      <w:r w:rsidRPr="00722885">
        <w:rPr>
          <w:color w:val="000000" w:themeColor="text1"/>
          <w:sz w:val="16"/>
          <w:szCs w:val="16"/>
        </w:rPr>
        <w:softHyphen/>
        <w:t xml:space="preserve">молета </w:t>
      </w:r>
      <w:r w:rsidRPr="00722885">
        <w:rPr>
          <w:color w:val="000000" w:themeColor="text1"/>
          <w:sz w:val="16"/>
          <w:szCs w:val="16"/>
          <w:lang w:val="en-US"/>
        </w:rPr>
        <w:t>Ju</w:t>
      </w:r>
      <w:r w:rsidRPr="00722885">
        <w:rPr>
          <w:color w:val="000000" w:themeColor="text1"/>
          <w:sz w:val="16"/>
          <w:szCs w:val="16"/>
        </w:rPr>
        <w:t>88».</w:t>
      </w:r>
    </w:p>
    <w:p w14:paraId="60BB7516"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 xml:space="preserve">На отходе от цели группа была атакована парой </w:t>
      </w:r>
      <w:r w:rsidRPr="00722885">
        <w:rPr>
          <w:color w:val="000000" w:themeColor="text1"/>
          <w:sz w:val="16"/>
          <w:szCs w:val="16"/>
          <w:lang w:val="en-US"/>
        </w:rPr>
        <w:t>Bf</w:t>
      </w:r>
      <w:r w:rsidRPr="00722885">
        <w:rPr>
          <w:color w:val="000000" w:themeColor="text1"/>
          <w:sz w:val="16"/>
          <w:szCs w:val="16"/>
        </w:rPr>
        <w:t xml:space="preserve"> 109</w:t>
      </w:r>
      <w:r w:rsidRPr="00722885">
        <w:rPr>
          <w:color w:val="000000" w:themeColor="text1"/>
          <w:sz w:val="16"/>
          <w:szCs w:val="16"/>
          <w:lang w:val="en-US"/>
        </w:rPr>
        <w:t>F</w:t>
      </w:r>
      <w:r w:rsidRPr="00722885">
        <w:rPr>
          <w:color w:val="000000" w:themeColor="text1"/>
          <w:sz w:val="16"/>
          <w:szCs w:val="16"/>
        </w:rPr>
        <w:t>. В результате Ил-2 зав. № 8029 с пушками</w:t>
      </w:r>
    </w:p>
    <w:p w14:paraId="1287C5D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7DBE1582"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722885">
        <w:rPr>
          <w:color w:val="000000" w:themeColor="text1"/>
          <w:sz w:val="16"/>
          <w:szCs w:val="16"/>
        </w:rPr>
        <w:softHyphen/>
        <w:t>ной группировки в районе Сталинграда вплоть до 2 февраля. Однако войсковые испытания офи</w:t>
      </w:r>
      <w:r w:rsidRPr="00722885">
        <w:rPr>
          <w:color w:val="000000" w:themeColor="text1"/>
          <w:sz w:val="16"/>
          <w:szCs w:val="16"/>
        </w:rPr>
        <w:softHyphen/>
        <w:t>циально были завершены 22 января. К этому вре</w:t>
      </w:r>
      <w:r w:rsidRPr="00722885">
        <w:rPr>
          <w:color w:val="000000" w:themeColor="text1"/>
          <w:sz w:val="16"/>
          <w:szCs w:val="16"/>
        </w:rPr>
        <w:softHyphen/>
        <w:t>мени Ил-2 с Ш-37 совершили 75 боевых само</w:t>
      </w:r>
      <w:r w:rsidRPr="00722885">
        <w:rPr>
          <w:color w:val="000000" w:themeColor="text1"/>
          <w:sz w:val="16"/>
          <w:szCs w:val="16"/>
        </w:rPr>
        <w:softHyphen/>
        <w:t>лето-вылетов с общим налетом 68 ч 42 мин, а на 25 января — 89 самолето-вылетов. 2 самолета Ил-2 с пушками Ш-37 (зав. № 3822, 9029) были потеря</w:t>
      </w:r>
      <w:r w:rsidRPr="00722885">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722885">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722885">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722885">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722885">
        <w:rPr>
          <w:color w:val="000000" w:themeColor="text1"/>
          <w:sz w:val="16"/>
          <w:szCs w:val="16"/>
        </w:rPr>
        <w:softHyphen/>
        <w:t>нил только один боевой вылет, и его результаты при составлении отчета по испытаниям не учиты</w:t>
      </w:r>
      <w:r w:rsidRPr="00722885">
        <w:rPr>
          <w:color w:val="000000" w:themeColor="text1"/>
          <w:sz w:val="16"/>
          <w:szCs w:val="16"/>
        </w:rPr>
        <w:softHyphen/>
        <w:t>вались.</w:t>
      </w:r>
    </w:p>
    <w:p w14:paraId="004C09D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Самолеты Ил-2 с пушками Ш-37 «ходили на бое</w:t>
      </w:r>
      <w:r w:rsidRPr="00722885">
        <w:rPr>
          <w:color w:val="000000" w:themeColor="text1"/>
          <w:sz w:val="16"/>
          <w:szCs w:val="16"/>
        </w:rPr>
        <w:softHyphen/>
        <w:t>вые задания, имея запас боеприпасов 80 для 37-мм пушек, 1500 для пулеметов ШКАС, 8 РС-82 и 2 бом</w:t>
      </w:r>
      <w:r w:rsidRPr="00722885">
        <w:rPr>
          <w:color w:val="000000" w:themeColor="text1"/>
          <w:sz w:val="16"/>
          <w:szCs w:val="16"/>
        </w:rPr>
        <w:softHyphen/>
        <w:t>бы ФАБ-100 или 6 бомб АО-25».</w:t>
      </w:r>
    </w:p>
    <w:p w14:paraId="002299C9"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Экипажи действовали главным образом по са</w:t>
      </w:r>
      <w:r w:rsidRPr="00722885">
        <w:rPr>
          <w:color w:val="000000" w:themeColor="text1"/>
          <w:sz w:val="16"/>
          <w:szCs w:val="16"/>
        </w:rPr>
        <w:softHyphen/>
        <w:t>молетам на аэродромах и автотранспорту против</w:t>
      </w:r>
      <w:r w:rsidRPr="00722885">
        <w:rPr>
          <w:color w:val="000000" w:themeColor="text1"/>
          <w:sz w:val="16"/>
          <w:szCs w:val="16"/>
        </w:rPr>
        <w:softHyphen/>
        <w:t>ника. В отдельных случаях — по огневым точкам на поле боя, дерево-земляным оборонительным со</w:t>
      </w:r>
      <w:r w:rsidRPr="00722885">
        <w:rPr>
          <w:color w:val="000000" w:themeColor="text1"/>
          <w:sz w:val="16"/>
          <w:szCs w:val="16"/>
        </w:rPr>
        <w:softHyphen/>
        <w:t>оружениям и бронетехнике. Общий расход боепри</w:t>
      </w:r>
      <w:r w:rsidRPr="00722885">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722885">
        <w:rPr>
          <w:color w:val="000000" w:themeColor="text1"/>
          <w:sz w:val="16"/>
          <w:szCs w:val="16"/>
        </w:rPr>
        <w:softHyphen/>
        <w:t>бомб типа ФАБ-100 — 107, осколочных авиабомб типа АО-25 — 87.</w:t>
      </w:r>
    </w:p>
    <w:p w14:paraId="4A72603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Атаки наземных целей производились с плани</w:t>
      </w:r>
      <w:r w:rsidRPr="00722885">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722885">
        <w:rPr>
          <w:color w:val="000000" w:themeColor="text1"/>
          <w:sz w:val="16"/>
          <w:szCs w:val="16"/>
        </w:rPr>
        <w:softHyphen/>
        <w:t>гим данным — бронемашину), но достоверность поражения целей подтвердить не могли.</w:t>
      </w:r>
    </w:p>
    <w:p w14:paraId="20E27FBB"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эти данные не входят потери противника от бомб, РС и пулеметов на этих же самолетах. Необ</w:t>
      </w:r>
      <w:r w:rsidRPr="00722885">
        <w:rPr>
          <w:color w:val="000000" w:themeColor="text1"/>
          <w:sz w:val="16"/>
          <w:szCs w:val="16"/>
        </w:rPr>
        <w:softHyphen/>
        <w:t>ходимо отметить, что «танков, как основных целей для этих пушек, встречалось мало».</w:t>
      </w:r>
    </w:p>
    <w:p w14:paraId="2C4AE1A8"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За время войсковых испытаний отмечалось не</w:t>
      </w:r>
      <w:r w:rsidRPr="00722885">
        <w:rPr>
          <w:color w:val="000000" w:themeColor="text1"/>
          <w:sz w:val="16"/>
          <w:szCs w:val="16"/>
        </w:rPr>
        <w:softHyphen/>
        <w:t>сколько случаев применения Ш-37 по воздушным целям, но все они, вследствие недостаточной ско</w:t>
      </w:r>
      <w:r w:rsidRPr="00722885">
        <w:rPr>
          <w:color w:val="000000" w:themeColor="text1"/>
          <w:sz w:val="16"/>
          <w:szCs w:val="16"/>
        </w:rPr>
        <w:softHyphen/>
        <w:t>рострельности пушки, были неудачными.</w:t>
      </w:r>
    </w:p>
    <w:p w14:paraId="4FBFB0C3"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одном случае Ил-2 на высоте 800 м был атако</w:t>
      </w:r>
      <w:r w:rsidRPr="00722885">
        <w:rPr>
          <w:color w:val="000000" w:themeColor="text1"/>
          <w:sz w:val="16"/>
          <w:szCs w:val="16"/>
        </w:rPr>
        <w:softHyphen/>
        <w:t xml:space="preserve">ван в лоб истребителем Люфтваффе </w:t>
      </w:r>
      <w:r w:rsidRPr="00722885">
        <w:rPr>
          <w:color w:val="000000" w:themeColor="text1"/>
          <w:sz w:val="16"/>
          <w:szCs w:val="16"/>
          <w:lang w:val="en-US"/>
        </w:rPr>
        <w:t>Bf</w:t>
      </w:r>
      <w:r w:rsidRPr="00722885">
        <w:rPr>
          <w:color w:val="000000" w:themeColor="text1"/>
          <w:sz w:val="16"/>
          <w:szCs w:val="16"/>
        </w:rPr>
        <w:t>109</w:t>
      </w:r>
      <w:r w:rsidRPr="00722885">
        <w:rPr>
          <w:color w:val="000000" w:themeColor="text1"/>
          <w:sz w:val="16"/>
          <w:szCs w:val="16"/>
          <w:lang w:val="en-US"/>
        </w:rPr>
        <w:t>F</w:t>
      </w:r>
      <w:r w:rsidRPr="00722885">
        <w:rPr>
          <w:color w:val="000000" w:themeColor="text1"/>
          <w:sz w:val="16"/>
          <w:szCs w:val="16"/>
        </w:rPr>
        <w:t>. С дис</w:t>
      </w:r>
      <w:r w:rsidRPr="00722885">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722885">
        <w:rPr>
          <w:color w:val="000000" w:themeColor="text1"/>
          <w:sz w:val="16"/>
          <w:szCs w:val="16"/>
          <w:lang w:val="en-US"/>
        </w:rPr>
        <w:t>Ju</w:t>
      </w:r>
      <w:r w:rsidRPr="00722885">
        <w:rPr>
          <w:color w:val="000000" w:themeColor="text1"/>
          <w:sz w:val="16"/>
          <w:szCs w:val="16"/>
        </w:rPr>
        <w:t>52/3</w:t>
      </w:r>
      <w:r w:rsidRPr="00722885">
        <w:rPr>
          <w:color w:val="000000" w:themeColor="text1"/>
          <w:sz w:val="16"/>
          <w:szCs w:val="16"/>
          <w:lang w:val="en-US"/>
        </w:rPr>
        <w:t>m</w:t>
      </w:r>
      <w:r w:rsidRPr="00722885">
        <w:rPr>
          <w:color w:val="000000" w:themeColor="text1"/>
          <w:sz w:val="16"/>
          <w:szCs w:val="16"/>
        </w:rPr>
        <w:t>. Огонь из Ш-37 велся короткими очере</w:t>
      </w:r>
      <w:r w:rsidRPr="00722885">
        <w:rPr>
          <w:color w:val="000000" w:themeColor="text1"/>
          <w:sz w:val="16"/>
          <w:szCs w:val="16"/>
        </w:rPr>
        <w:softHyphen/>
        <w:t>дями по 3—4 снаряда с дистанции 600—300 м. Всего было выпущено до 20—30 снарядов. Попа</w:t>
      </w:r>
      <w:r w:rsidRPr="00722885">
        <w:rPr>
          <w:color w:val="000000" w:themeColor="text1"/>
          <w:sz w:val="16"/>
          <w:szCs w:val="16"/>
        </w:rPr>
        <w:softHyphen/>
        <w:t>даний в немецкий самолет не было. Летчики на</w:t>
      </w:r>
      <w:r w:rsidRPr="00722885">
        <w:rPr>
          <w:color w:val="000000" w:themeColor="text1"/>
          <w:sz w:val="16"/>
          <w:szCs w:val="16"/>
        </w:rPr>
        <w:softHyphen/>
        <w:t>блюдали, что «снаряды ложатся правее и левее плоскостей самолета». В итоге «Юнкерс» ушел в облака.</w:t>
      </w:r>
    </w:p>
    <w:p w14:paraId="07ED14A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Средний расход боекомплекта к пушкам Ш-37 за один самолето-вылет составил 37,6%, что соот</w:t>
      </w:r>
      <w:r w:rsidRPr="00722885">
        <w:rPr>
          <w:color w:val="000000" w:themeColor="text1"/>
          <w:sz w:val="16"/>
          <w:szCs w:val="16"/>
        </w:rPr>
        <w:softHyphen/>
        <w:t>ветствует средней продолжительности непрерыв</w:t>
      </w:r>
      <w:r w:rsidRPr="00722885">
        <w:rPr>
          <w:color w:val="000000" w:themeColor="text1"/>
          <w:sz w:val="16"/>
          <w:szCs w:val="16"/>
        </w:rPr>
        <w:softHyphen/>
        <w:t>ной стрельбы всего 5 секунд. Это, с одной сторо</w:t>
      </w:r>
      <w:r w:rsidRPr="00722885">
        <w:rPr>
          <w:color w:val="000000" w:themeColor="text1"/>
          <w:sz w:val="16"/>
          <w:szCs w:val="16"/>
        </w:rPr>
        <w:softHyphen/>
        <w:t>ны, говорит о том, что целей, достойных для пушек Ш-37, в боевых вылетах было мало, а с другой сто</w:t>
      </w:r>
      <w:r w:rsidRPr="00722885">
        <w:rPr>
          <w:color w:val="000000" w:themeColor="text1"/>
          <w:sz w:val="16"/>
          <w:szCs w:val="16"/>
        </w:rPr>
        <w:softHyphen/>
        <w:t>роны, указывает на недостаточную эффективность стрельбы с самолета Ил-2 из такой пушки по точеч</w:t>
      </w:r>
      <w:r w:rsidRPr="00722885">
        <w:rPr>
          <w:color w:val="000000" w:themeColor="text1"/>
          <w:sz w:val="16"/>
          <w:szCs w:val="16"/>
        </w:rPr>
        <w:softHyphen/>
        <w:t>ным малоразмерным целям.</w:t>
      </w:r>
    </w:p>
    <w:p w14:paraId="2D3E7FD9"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722885">
        <w:rPr>
          <w:color w:val="000000" w:themeColor="text1"/>
          <w:sz w:val="16"/>
          <w:szCs w:val="16"/>
        </w:rPr>
        <w:softHyphen/>
        <w:t>ставил 54%. Из общего числа боевых вылетов, вы</w:t>
      </w:r>
      <w:r w:rsidRPr="00722885">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722885">
        <w:rPr>
          <w:color w:val="000000" w:themeColor="text1"/>
          <w:sz w:val="16"/>
          <w:szCs w:val="16"/>
        </w:rPr>
        <w:softHyphen/>
        <w:t>евое задание Ил-2 с пушками Ш-37 сопровождался отказом хотя бы одной из пушек.</w:t>
      </w:r>
    </w:p>
    <w:p w14:paraId="51BB6340"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состоянию на 25 января произошло 123 от</w:t>
      </w:r>
      <w:r w:rsidRPr="00722885">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722885">
        <w:rPr>
          <w:color w:val="000000" w:themeColor="text1"/>
          <w:sz w:val="16"/>
          <w:szCs w:val="16"/>
        </w:rPr>
        <w:softHyphen/>
        <w:t>од, в то время как «по техническим условиям для оружия допускается 0,2% задержек на полную жи</w:t>
      </w:r>
      <w:r w:rsidRPr="00722885">
        <w:rPr>
          <w:color w:val="000000" w:themeColor="text1"/>
          <w:sz w:val="16"/>
          <w:szCs w:val="16"/>
        </w:rPr>
        <w:softHyphen/>
        <w:t>вучесть пушек».</w:t>
      </w:r>
    </w:p>
    <w:p w14:paraId="1CDB69A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Если из всех задержек исключить задержки по вине установок и по вине обслуживающего пер</w:t>
      </w:r>
      <w:r w:rsidRPr="00722885">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722885">
        <w:rPr>
          <w:color w:val="000000" w:themeColor="text1"/>
          <w:sz w:val="16"/>
          <w:szCs w:val="16"/>
        </w:rPr>
        <w:softHyphen/>
        <w:t>новные поломки следующие: ударника — 6, план</w:t>
      </w:r>
      <w:r w:rsidRPr="00722885">
        <w:rPr>
          <w:color w:val="000000" w:themeColor="text1"/>
          <w:sz w:val="16"/>
          <w:szCs w:val="16"/>
        </w:rPr>
        <w:softHyphen/>
        <w:t>ки затвора — 4, бойка — 8, направляющей втулки ударника — 5, трещина в затыльнике — 5, непо</w:t>
      </w:r>
      <w:r w:rsidRPr="00722885">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722885">
        <w:rPr>
          <w:color w:val="000000" w:themeColor="text1"/>
          <w:sz w:val="16"/>
          <w:szCs w:val="16"/>
        </w:rPr>
        <w:softHyphen/>
        <w:t>лов потребовало бы 59 ударников».</w:t>
      </w:r>
    </w:p>
    <w:p w14:paraId="28716950"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722885">
        <w:rPr>
          <w:color w:val="000000" w:themeColor="text1"/>
          <w:sz w:val="16"/>
          <w:szCs w:val="16"/>
        </w:rPr>
        <w:softHyphen/>
        <w:t>дром в Вихлянцево. Соответственно, бригада спе</w:t>
      </w:r>
      <w:r w:rsidRPr="00722885">
        <w:rPr>
          <w:color w:val="000000" w:themeColor="text1"/>
          <w:sz w:val="16"/>
          <w:szCs w:val="16"/>
        </w:rPr>
        <w:softHyphen/>
        <w:t>циалистов от ОКБ-15 не могла оперативно устра</w:t>
      </w:r>
      <w:r w:rsidRPr="00722885">
        <w:rPr>
          <w:color w:val="000000" w:themeColor="text1"/>
          <w:sz w:val="16"/>
          <w:szCs w:val="16"/>
        </w:rPr>
        <w:softHyphen/>
        <w:t>нять отказы в работе и поломки пушек.</w:t>
      </w:r>
    </w:p>
    <w:p w14:paraId="21E1F1A3"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Очевидно, все «это нарушало нормальную бое</w:t>
      </w:r>
      <w:r w:rsidRPr="00722885">
        <w:rPr>
          <w:color w:val="000000" w:themeColor="text1"/>
          <w:sz w:val="16"/>
          <w:szCs w:val="16"/>
        </w:rPr>
        <w:softHyphen/>
        <w:t>вую работу полка, самолеты приходилось из-за не</w:t>
      </w:r>
      <w:r w:rsidRPr="00722885">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722885">
        <w:rPr>
          <w:color w:val="000000" w:themeColor="text1"/>
          <w:sz w:val="16"/>
          <w:szCs w:val="16"/>
        </w:rPr>
        <w:softHyphen/>
        <w:t>ко с остальным вооружением».</w:t>
      </w:r>
    </w:p>
    <w:p w14:paraId="73FFD04E"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«Большое количество поломок, задержек и от</w:t>
      </w:r>
      <w:r w:rsidRPr="00722885">
        <w:rPr>
          <w:color w:val="000000" w:themeColor="text1"/>
          <w:sz w:val="16"/>
          <w:szCs w:val="16"/>
        </w:rPr>
        <w:softHyphen/>
        <w:t>казов в работе пушек вызвало у летчиков неприят</w:t>
      </w:r>
      <w:r w:rsidRPr="00722885">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37E7353A"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722885">
        <w:rPr>
          <w:color w:val="000000" w:themeColor="text1"/>
          <w:sz w:val="16"/>
          <w:szCs w:val="16"/>
        </w:rPr>
        <w:softHyphen/>
        <w:t>жием».</w:t>
      </w:r>
    </w:p>
    <w:p w14:paraId="3BF1B355"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своих донесениях летчики отмечали, что «са</w:t>
      </w:r>
      <w:r w:rsidRPr="00722885">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722885">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722885">
        <w:rPr>
          <w:color w:val="000000" w:themeColor="text1"/>
          <w:sz w:val="16"/>
          <w:szCs w:val="16"/>
        </w:rPr>
        <w:softHyphen/>
        <w:t>нее управляем. Плохо держится в строю при ско</w:t>
      </w:r>
      <w:r w:rsidRPr="00722885">
        <w:rPr>
          <w:color w:val="000000" w:themeColor="text1"/>
          <w:sz w:val="16"/>
          <w:szCs w:val="16"/>
        </w:rPr>
        <w:softHyphen/>
        <w:t>ростях около 250—260 км/ч и ниже. Хорошо дер</w:t>
      </w:r>
      <w:r w:rsidRPr="00722885">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4279A5B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скоростях полета 250 км/ч «прицельную стрельбу из пушек вести трудно из-за сильной ви</w:t>
      </w:r>
      <w:r w:rsidRPr="00722885">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722885">
        <w:rPr>
          <w:color w:val="000000" w:themeColor="text1"/>
          <w:sz w:val="16"/>
          <w:szCs w:val="16"/>
        </w:rPr>
        <w:softHyphen/>
        <w:t>ется незначительно». При стрельбе с набором вы</w:t>
      </w:r>
      <w:r w:rsidRPr="00722885">
        <w:rPr>
          <w:color w:val="000000" w:themeColor="text1"/>
          <w:sz w:val="16"/>
          <w:szCs w:val="16"/>
        </w:rPr>
        <w:softHyphen/>
        <w:t>соты самолет резко теряет скорость. На пикирова</w:t>
      </w:r>
      <w:r w:rsidRPr="00722885">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722885">
        <w:rPr>
          <w:color w:val="000000" w:themeColor="text1"/>
          <w:sz w:val="16"/>
          <w:szCs w:val="16"/>
        </w:rPr>
        <w:softHyphen/>
        <w:t>рачивается в сторону стреляющей пушки, прицель</w:t>
      </w:r>
      <w:r w:rsidRPr="00722885">
        <w:rPr>
          <w:color w:val="000000" w:themeColor="text1"/>
          <w:sz w:val="16"/>
          <w:szCs w:val="16"/>
        </w:rPr>
        <w:softHyphen/>
        <w:t>ный огонь вести невозможно. Боковой перенос ог</w:t>
      </w:r>
      <w:r w:rsidRPr="00722885">
        <w:rPr>
          <w:color w:val="000000" w:themeColor="text1"/>
          <w:sz w:val="16"/>
          <w:szCs w:val="16"/>
        </w:rPr>
        <w:softHyphen/>
        <w:t>ня при пикировании затруднен, а «с высоты 400 м и ниже невозможен, ввиду инертности самолета».</w:t>
      </w:r>
    </w:p>
    <w:p w14:paraId="4FD7FFAD"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 заявлениям летчиков, «стволы пушек в по</w:t>
      </w:r>
      <w:r w:rsidRPr="00722885">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722885">
        <w:rPr>
          <w:color w:val="000000" w:themeColor="text1"/>
          <w:sz w:val="16"/>
          <w:szCs w:val="16"/>
        </w:rPr>
        <w:softHyphen/>
        <w:t>трудняет возможность вести прицельный огонь». Утверждалось, что «при боевом развороте на ско</w:t>
      </w:r>
      <w:r w:rsidRPr="00722885">
        <w:rPr>
          <w:color w:val="000000" w:themeColor="text1"/>
          <w:sz w:val="16"/>
          <w:szCs w:val="16"/>
        </w:rPr>
        <w:softHyphen/>
        <w:t>рости 270 км/ч самолет сильно трясет».</w:t>
      </w:r>
    </w:p>
    <w:p w14:paraId="2C787CA5"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722885">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722885">
        <w:rPr>
          <w:color w:val="000000" w:themeColor="text1"/>
          <w:sz w:val="16"/>
          <w:szCs w:val="16"/>
        </w:rPr>
        <w:softHyphen/>
        <w:t>ровано только 22 случая полного расстрела бое</w:t>
      </w:r>
      <w:r w:rsidRPr="00722885">
        <w:rPr>
          <w:color w:val="000000" w:themeColor="text1"/>
          <w:sz w:val="16"/>
          <w:szCs w:val="16"/>
        </w:rPr>
        <w:softHyphen/>
        <w:t>комплекта.</w:t>
      </w:r>
    </w:p>
    <w:p w14:paraId="255295E4"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 эксплуатационной точки зрения пушка Ш-37 и пушечная установка оказались простыми и удоб</w:t>
      </w:r>
      <w:r w:rsidRPr="00722885">
        <w:rPr>
          <w:color w:val="000000" w:themeColor="text1"/>
          <w:sz w:val="16"/>
          <w:szCs w:val="16"/>
        </w:rPr>
        <w:softHyphen/>
        <w:t>ными в обслуживании даже в условиях зимы, ког</w:t>
      </w:r>
      <w:r w:rsidRPr="00722885">
        <w:rPr>
          <w:color w:val="000000" w:themeColor="text1"/>
          <w:sz w:val="16"/>
          <w:szCs w:val="16"/>
        </w:rPr>
        <w:softHyphen/>
        <w:t>да технический состав вынужден работать в ру</w:t>
      </w:r>
      <w:r w:rsidRPr="00722885">
        <w:rPr>
          <w:color w:val="000000" w:themeColor="text1"/>
          <w:sz w:val="16"/>
          <w:szCs w:val="16"/>
        </w:rPr>
        <w:softHyphen/>
        <w:t>кавицах и тяжелой одежде. При работе 2 человек чистка пушки требует не более 30 мин, заряд</w:t>
      </w:r>
      <w:r w:rsidRPr="00722885">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722885">
        <w:rPr>
          <w:color w:val="000000" w:themeColor="text1"/>
          <w:sz w:val="16"/>
          <w:szCs w:val="16"/>
        </w:rPr>
        <w:softHyphen/>
        <w:t>ра — 4—5 ч, шептала — 4 ч, собачки шептала — 3 ч. Технический состав полка особо отметил «не</w:t>
      </w:r>
      <w:r w:rsidRPr="00722885">
        <w:rPr>
          <w:color w:val="000000" w:themeColor="text1"/>
          <w:sz w:val="16"/>
          <w:szCs w:val="16"/>
        </w:rPr>
        <w:softHyphen/>
        <w:t>удобную конструкцию и плохое изготовление об</w:t>
      </w:r>
      <w:r w:rsidRPr="00722885">
        <w:rPr>
          <w:color w:val="000000" w:themeColor="text1"/>
          <w:sz w:val="16"/>
          <w:szCs w:val="16"/>
        </w:rPr>
        <w:softHyphen/>
        <w:t>текателей пушек — на шомпола их невозможно закрыть».</w:t>
      </w:r>
    </w:p>
    <w:p w14:paraId="6C4D1E66"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722885">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65940F56"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722885">
        <w:rPr>
          <w:color w:val="000000" w:themeColor="text1"/>
          <w:sz w:val="16"/>
          <w:szCs w:val="16"/>
        </w:rPr>
        <w:softHyphen/>
        <w:t>лись.</w:t>
      </w:r>
    </w:p>
    <w:p w14:paraId="7C1D3FD0"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Так, лейтенант Воловиков в своем донесе</w:t>
      </w:r>
      <w:r w:rsidRPr="00722885">
        <w:rPr>
          <w:color w:val="000000" w:themeColor="text1"/>
          <w:sz w:val="16"/>
          <w:szCs w:val="16"/>
        </w:rPr>
        <w:softHyphen/>
        <w:t>нии указал, что «в серийном производстве Ил-2 с ШФК-37 выпускать нельзя». К его мнению присо</w:t>
      </w:r>
      <w:r w:rsidRPr="00722885">
        <w:rPr>
          <w:color w:val="000000" w:themeColor="text1"/>
          <w:sz w:val="16"/>
          <w:szCs w:val="16"/>
        </w:rPr>
        <w:softHyphen/>
        <w:t>единились старший сержант А. В. Дунов, сержант М. А. Сахариленко и старшина В. Ф. Игнатьев.</w:t>
      </w:r>
    </w:p>
    <w:p w14:paraId="09260C25"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722885">
        <w:rPr>
          <w:color w:val="000000" w:themeColor="text1"/>
          <w:sz w:val="16"/>
          <w:szCs w:val="16"/>
        </w:rPr>
        <w:softHyphen/>
        <w:t>го; 4) нужен более мощный мотор для противозе</w:t>
      </w:r>
      <w:r w:rsidRPr="00722885">
        <w:rPr>
          <w:color w:val="000000" w:themeColor="text1"/>
          <w:sz w:val="16"/>
          <w:szCs w:val="16"/>
        </w:rPr>
        <w:softHyphen/>
        <w:t>нитного маневра; 5) формировать отдельные диви</w:t>
      </w:r>
      <w:r w:rsidRPr="00722885">
        <w:rPr>
          <w:color w:val="000000" w:themeColor="text1"/>
          <w:sz w:val="16"/>
          <w:szCs w:val="16"/>
        </w:rPr>
        <w:softHyphen/>
        <w:t>зионные группы Ил-2 с пушками 37 мм или на полк давать 6 таких самолетов».</w:t>
      </w:r>
    </w:p>
    <w:p w14:paraId="13ACAB68"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722885">
        <w:rPr>
          <w:color w:val="000000" w:themeColor="text1"/>
          <w:sz w:val="16"/>
          <w:szCs w:val="16"/>
        </w:rPr>
        <w:softHyphen/>
        <w:t>жанта Юсова».</w:t>
      </w:r>
    </w:p>
    <w:p w14:paraId="62385E97"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Надо полагать, с учетом этого в заключении «Доклада о войсковых испытаниях на боевое при</w:t>
      </w:r>
      <w:r w:rsidRPr="00722885">
        <w:rPr>
          <w:color w:val="000000" w:themeColor="text1"/>
          <w:sz w:val="16"/>
          <w:szCs w:val="16"/>
        </w:rPr>
        <w:softHyphen/>
        <w:t>менение самолетов Ил-2 АМ-38, вооруженных 37-мм пушками конструкции ОКБ-15» было записа</w:t>
      </w:r>
      <w:r w:rsidRPr="00722885">
        <w:rPr>
          <w:color w:val="000000" w:themeColor="text1"/>
          <w:sz w:val="16"/>
          <w:szCs w:val="16"/>
        </w:rPr>
        <w:softHyphen/>
        <w:t>но: «1. Самолеты с пушками ШФК-37, испытанные на боевое применение, не дали должной эффективно</w:t>
      </w:r>
      <w:r w:rsidRPr="00722885">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722885">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2791AE55"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Помимо боевых летчиков от 688-го шап и чле</w:t>
      </w:r>
      <w:r w:rsidRPr="00722885">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1AD9C6CD"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Уже 8 марта 1943 г. начальник 1-го отдела УЗ- СиМ ГУЗ ВВС инженер-полковник Ковалев в до</w:t>
      </w:r>
      <w:r w:rsidRPr="00722885">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722885">
        <w:rPr>
          <w:color w:val="000000" w:themeColor="text1"/>
          <w:sz w:val="16"/>
          <w:szCs w:val="16"/>
        </w:rPr>
        <w:softHyphen/>
        <w:t>вых испытаний самолетов Ил-2 с ШФК-37 37-мм пушки подлежат конструктивной доводке».</w:t>
      </w:r>
    </w:p>
    <w:p w14:paraId="2FAC6AB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722885">
        <w:rPr>
          <w:color w:val="000000" w:themeColor="text1"/>
          <w:sz w:val="16"/>
          <w:szCs w:val="16"/>
        </w:rPr>
        <w:softHyphen/>
        <w:t>шек ШФК-37 на самолетах Ил-2».</w:t>
      </w:r>
    </w:p>
    <w:p w14:paraId="048773FC" w14:textId="77777777" w:rsidR="00D11CF9" w:rsidRPr="00722885" w:rsidRDefault="00D11CF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722885">
        <w:rPr>
          <w:color w:val="000000" w:themeColor="text1"/>
          <w:sz w:val="16"/>
          <w:szCs w:val="16"/>
        </w:rPr>
        <w:softHyphen/>
        <w:t>готовить справку о ходе испытаний пушек калибра 37 мм ОКБ-16 на самолетах Ил-2 (17500).</w:t>
      </w:r>
    </w:p>
    <w:p w14:paraId="5B793B2D" w14:textId="77777777" w:rsidR="00D11CF9" w:rsidRPr="00722885" w:rsidRDefault="00D11CF9" w:rsidP="00722885">
      <w:pPr>
        <w:pStyle w:val="12a"/>
        <w:shd w:val="clear" w:color="auto" w:fill="auto"/>
        <w:spacing w:after="0" w:line="240" w:lineRule="auto"/>
        <w:jc w:val="both"/>
        <w:rPr>
          <w:color w:val="000000" w:themeColor="text1"/>
          <w:sz w:val="16"/>
          <w:szCs w:val="16"/>
        </w:rPr>
      </w:pPr>
    </w:p>
    <w:p w14:paraId="54E002C4" w14:textId="77777777" w:rsidR="00D11CF9" w:rsidRPr="00722885" w:rsidRDefault="00D11CF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30 декабря 1942 С.В. Ильюшин предложил оставить на самолете существующую систему заполнения, поскольку НГ-1 от выхлопных газов:</w:t>
      </w:r>
    </w:p>
    <w:p w14:paraId="30D6F5BE" w14:textId="77777777" w:rsidR="00D11CF9" w:rsidRPr="00722885" w:rsidRDefault="00D11CF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«а) будет малоэффективна, ввиду забора газа только от двух отдельных патрубков;</w:t>
      </w:r>
    </w:p>
    <w:p w14:paraId="419E3A03" w14:textId="77777777" w:rsidR="00D11CF9" w:rsidRPr="00722885" w:rsidRDefault="00D11CF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 для производства значительно сложнее, т.к. требует изготовления двух фильтров крана и дополнительно на каждую машину 12 м труб МГМ сечением 22x20, остро дефицитных в настоящее время».</w:t>
      </w:r>
    </w:p>
    <w:p w14:paraId="6E246392" w14:textId="77777777" w:rsidR="00D11CF9" w:rsidRPr="00722885" w:rsidRDefault="00D11CF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Известна резолюция от 5 января 1943 г. генерала Лапина на письме Ильюшина. Начальник 1-го отдела УОС ГУ ИАС бригинженер А.И. Гребенев получил распоряжение подготовить «письмо тов. Ильюшину подтверждающее наше требование», копию письма направить заместителю наркома авиапромышленности «тов. Яковлеву» и одновременно договориться «с КБ завода №156 об оборудовании самолета Ил-2 системой отработанных газов». В этот же день соответствующее задание Гребенев дал своему помощнику инженер-капитану Бобровскому.</w:t>
      </w:r>
    </w:p>
    <w:p w14:paraId="050CDA1E" w14:textId="77777777" w:rsidR="00D11CF9" w:rsidRPr="00722885" w:rsidRDefault="00D11CF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Детально проработав этот вопрос, Бобровский в своем донесении Гребеневу от 18 января доложил: «С начальником спец. КБ завода № 156 т. Шатерниковым имеется устная договоренность об оборудовании самолета Ил-2 системой нейтральных газов от выхлопа мотора». Для этих целей предлагалось использовать один из серийных Ил-2, проходящий контрольные испытания в НИИ ВВС КА. Однако в ходе переговоров с НИИ ВВС начальник института генерал Лосюков заявил, что «оборудовать самолет Ил-2 системой нейтральных газов от выхлопа мотора в НИИ нецелесообразно, после все равно нужно будет просить разрешение НКАП и Гл. конструктора внедрить эту систему в серию». Поэтому Лосюков считал целесообразным сразу поставить задачу перед промышленностью (17744).</w:t>
      </w:r>
    </w:p>
    <w:p w14:paraId="591870F6" w14:textId="77777777" w:rsidR="00D11CF9" w:rsidRPr="00722885" w:rsidRDefault="00D11CF9" w:rsidP="00722885">
      <w:pPr>
        <w:pStyle w:val="12a"/>
        <w:shd w:val="clear" w:color="auto" w:fill="auto"/>
        <w:spacing w:after="0" w:line="240" w:lineRule="auto"/>
        <w:jc w:val="both"/>
        <w:rPr>
          <w:color w:val="000000" w:themeColor="text1"/>
          <w:sz w:val="16"/>
          <w:szCs w:val="16"/>
        </w:rPr>
      </w:pPr>
    </w:p>
    <w:p w14:paraId="19B272D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30 декабря 1942 НС-37 по решению ГКО приняли на вооружение для ЛаГГ-3, Як-9Т и Ил-2. НКАП и наркомат вооружения поддерживали и хотели скорее, но против Верховного идти боялись (177,300). Принятие на вооружение было предложено Д.Ф.Устиновым вместо Ш-37 (263,13).</w:t>
      </w:r>
    </w:p>
    <w:p w14:paraId="6DEBB9E1" w14:textId="77777777" w:rsidR="00BB6316" w:rsidRPr="00722885" w:rsidRDefault="00BB6316" w:rsidP="00722885">
      <w:pPr>
        <w:pStyle w:val="Iauiue"/>
        <w:jc w:val="both"/>
        <w:rPr>
          <w:color w:val="000000" w:themeColor="text1"/>
          <w:sz w:val="16"/>
          <w:szCs w:val="16"/>
        </w:rPr>
      </w:pPr>
    </w:p>
    <w:p w14:paraId="0746D3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декабря 1942 г. на вооружение приняли пушку НС-37, с которой ЛаГГ-3 успешно прошел государственные испытания. Тем не менее завод № 21 построил 15 ЛаГГ-3 с НС-37. По сравнению с машинами, оснащенными Ш-37, они получились значительно легче. В связи с переходом завода № 21 на выпуск Ла-5, последующее производство противотанковых ЛаГГ-3 осуществлялось в Тбилиси (11983).</w:t>
      </w:r>
    </w:p>
    <w:p w14:paraId="432E371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F034A29" w14:textId="77777777" w:rsidR="000C3A55" w:rsidRPr="00722885" w:rsidRDefault="000C3A55"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30 декабря 1942 г. вышло Постановление Государственного Комитета Обороны  о принятии пушки НС-37 в серийное производство вместо пушки Ш-37. В 1943 г. благодаря дружной совместной работе разработчиков пушки и всего коллектива завода было выпушено 4730 пушек, а всего за время войны их было изготовлено более 8000 (15979).</w:t>
      </w:r>
    </w:p>
    <w:p w14:paraId="1C40EF92" w14:textId="77777777" w:rsidR="000C3A55" w:rsidRPr="00722885" w:rsidRDefault="000C3A55" w:rsidP="00722885">
      <w:pPr>
        <w:shd w:val="clear" w:color="auto" w:fill="FFFFFF"/>
        <w:spacing w:after="0" w:line="240" w:lineRule="auto"/>
        <w:jc w:val="both"/>
        <w:rPr>
          <w:rFonts w:ascii="Times New Roman" w:eastAsia="Times New Roman" w:hAnsi="Times New Roman"/>
          <w:color w:val="000000" w:themeColor="text1"/>
          <w:sz w:val="16"/>
          <w:szCs w:val="16"/>
        </w:rPr>
      </w:pPr>
    </w:p>
    <w:p w14:paraId="0233845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30 декабря 1942 Зам. Нач. 17 отдела завода 21 Макова с письмом N 3447 направил в НКАП А.И.Ш. материалы, подтверждающие рост скоростей серийных Ла-5 с герметизацией и наддувом (2519,35).</w:t>
      </w:r>
    </w:p>
    <w:p w14:paraId="0D69B2D7" w14:textId="77777777" w:rsidR="00BB6316" w:rsidRPr="00722885" w:rsidRDefault="00BB6316" w:rsidP="00722885">
      <w:pPr>
        <w:pStyle w:val="Iauiue"/>
        <w:jc w:val="both"/>
        <w:rPr>
          <w:color w:val="000000" w:themeColor="text1"/>
          <w:sz w:val="16"/>
          <w:szCs w:val="16"/>
        </w:rPr>
      </w:pPr>
    </w:p>
    <w:p w14:paraId="2AFE876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30 декабря 1942 Ер-2 с М-30 совершил 20-минутный полет для проверки ВМГ. Потом был полет и 21 декабря 1942 (2504,72).</w:t>
      </w:r>
    </w:p>
    <w:p w14:paraId="019E1640" w14:textId="77777777" w:rsidR="00BB6316" w:rsidRPr="00722885" w:rsidRDefault="00BB6316" w:rsidP="00722885">
      <w:pPr>
        <w:pStyle w:val="Iauiue"/>
        <w:jc w:val="both"/>
        <w:rPr>
          <w:color w:val="000000" w:themeColor="text1"/>
          <w:sz w:val="16"/>
          <w:szCs w:val="16"/>
        </w:rPr>
      </w:pPr>
    </w:p>
    <w:p w14:paraId="28C84AD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30 декабря 1942 по 21 января 1943 три самолета прошли войсковые испытания во 2 ДРАП на Калининском фронте (1835,53).</w:t>
      </w:r>
    </w:p>
    <w:p w14:paraId="26EB55A0" w14:textId="77777777" w:rsidR="00BB6316" w:rsidRPr="00722885" w:rsidRDefault="00BB6316" w:rsidP="00722885">
      <w:pPr>
        <w:pStyle w:val="Iauiue"/>
        <w:jc w:val="both"/>
        <w:rPr>
          <w:color w:val="000000" w:themeColor="text1"/>
          <w:sz w:val="16"/>
          <w:szCs w:val="16"/>
        </w:rPr>
      </w:pPr>
    </w:p>
    <w:p w14:paraId="2D40995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30 декабря</w:t>
      </w:r>
      <w:r w:rsidRPr="00722885">
        <w:rPr>
          <w:rFonts w:ascii="Times New Roman" w:hAnsi="Times New Roman"/>
          <w:color w:val="000000" w:themeColor="text1"/>
          <w:sz w:val="16"/>
          <w:szCs w:val="16"/>
        </w:rPr>
        <w:t xml:space="preserve"> в 1942 году впервые в СССР успешные стендовые испытания ПуВРД. Двигатель «УС-1» Б.С.Стечкина, город Казань, ОТБ-4 (14876).</w:t>
      </w:r>
    </w:p>
    <w:p w14:paraId="2247F910"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67E1A1BA" w14:textId="77777777" w:rsidR="00D829DE" w:rsidRPr="00722885" w:rsidRDefault="00D829D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 декабря 1942 - первые в СССР успешные стендовые испытания ПуВРД. Двигатель УС-1 Б.С. Стечкина, г. Казань, ОТБ-4 (22687).</w:t>
      </w:r>
    </w:p>
    <w:p w14:paraId="56063B34" w14:textId="77777777" w:rsidR="00D829DE" w:rsidRPr="00722885" w:rsidRDefault="00D829DE" w:rsidP="00722885">
      <w:pPr>
        <w:spacing w:after="0" w:line="240" w:lineRule="auto"/>
        <w:jc w:val="both"/>
        <w:rPr>
          <w:rFonts w:ascii="Times New Roman" w:hAnsi="Times New Roman"/>
          <w:color w:val="0070C0"/>
          <w:sz w:val="16"/>
          <w:szCs w:val="16"/>
        </w:rPr>
      </w:pPr>
    </w:p>
    <w:p w14:paraId="3E2A911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декабря 1942 И.о. ГК А.А.А. писал письмо № 3073с директору завода № 288 Кутепову:</w:t>
      </w:r>
    </w:p>
    <w:p w14:paraId="020D49B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Препровождаю при сем план на 1-й квартал 1943 (10742,5).</w:t>
      </w:r>
    </w:p>
    <w:p w14:paraId="52D169D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6D622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декабря 1942 вышло Постановление ГКО № 2674 Об организации серийного производства 37 мм автоматической авиационной пушки конструкции ОКБ-16 НКВ (Нудельмана). РГАНИР, Фонд ГКО, д. 75, лл. 12-15, 16-19 (11012).</w:t>
      </w:r>
    </w:p>
    <w:p w14:paraId="1FFEAD8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85324B4" w14:textId="77777777" w:rsidR="008537C0" w:rsidRPr="00722885" w:rsidRDefault="008537C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декабря 1942 вышло Постановление ГКО № 2674 Об организации серийного производства 37 мм автоматической авиационной пушки конструкции ОКБ-16 НКВ (Нудельмана)</w:t>
      </w:r>
    </w:p>
    <w:p w14:paraId="78B3C403" w14:textId="77777777" w:rsidR="008537C0" w:rsidRPr="00722885" w:rsidRDefault="008537C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целях обеспечения авиации Красной Армии мощным вооружением для борьбы с танками и авиацией противника, Государственный Комитет Обороны постановляет:</w:t>
      </w:r>
    </w:p>
    <w:p w14:paraId="237390E4" w14:textId="77777777" w:rsidR="008537C0" w:rsidRPr="00722885" w:rsidRDefault="008537C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1. Обязать Наркомат вооружения тов.Устинова и дирек</w:t>
      </w:r>
      <w:r w:rsidRPr="00722885">
        <w:rPr>
          <w:rFonts w:ascii="Times New Roman" w:cs="Times New Roman"/>
          <w:color w:val="000000" w:themeColor="text1"/>
          <w:spacing w:val="0"/>
          <w:sz w:val="16"/>
          <w:szCs w:val="16"/>
        </w:rPr>
        <w:softHyphen/>
        <w:t>тора завода 74 тов.Иванова организовать на заводе №</w:t>
      </w:r>
      <w:r w:rsidRPr="00722885">
        <w:rPr>
          <w:rStyle w:val="0pt"/>
          <w:rFonts w:ascii="Times New Roman" w:cs="Times New Roman"/>
          <w:color w:val="000000" w:themeColor="text1"/>
          <w:spacing w:val="0"/>
          <w:sz w:val="16"/>
          <w:szCs w:val="16"/>
        </w:rPr>
        <w:t xml:space="preserve"> 74 Н</w:t>
      </w:r>
      <w:r w:rsidRPr="00722885">
        <w:rPr>
          <w:rFonts w:ascii="Times New Roman" w:cs="Times New Roman"/>
          <w:color w:val="000000" w:themeColor="text1"/>
          <w:spacing w:val="0"/>
          <w:sz w:val="16"/>
          <w:szCs w:val="16"/>
        </w:rPr>
        <w:t>КВ в гор.Ижевске производство 37-мм автоматических авиа</w:t>
      </w:r>
      <w:r w:rsidRPr="00722885">
        <w:rPr>
          <w:rFonts w:ascii="Times New Roman" w:cs="Times New Roman"/>
          <w:color w:val="000000" w:themeColor="text1"/>
          <w:spacing w:val="0"/>
          <w:sz w:val="16"/>
          <w:szCs w:val="16"/>
        </w:rPr>
        <w:softHyphen/>
        <w:t xml:space="preserve">ционных пушек </w:t>
      </w:r>
      <w:r w:rsidRPr="00722885">
        <w:rPr>
          <w:rStyle w:val="0pt"/>
          <w:rFonts w:ascii="Times New Roman" w:cs="Times New Roman"/>
          <w:color w:val="000000" w:themeColor="text1"/>
          <w:spacing w:val="0"/>
          <w:sz w:val="16"/>
          <w:szCs w:val="16"/>
        </w:rPr>
        <w:t>ОКБ-16</w:t>
      </w:r>
      <w:r w:rsidRPr="00722885">
        <w:rPr>
          <w:rFonts w:ascii="Times New Roman" w:cs="Times New Roman"/>
          <w:color w:val="000000" w:themeColor="text1"/>
          <w:spacing w:val="0"/>
          <w:sz w:val="16"/>
          <w:szCs w:val="16"/>
        </w:rPr>
        <w:t xml:space="preserve"> НКБ (Нудельмана) со сроком выпуска:</w:t>
      </w:r>
    </w:p>
    <w:p w14:paraId="238A4097" w14:textId="77777777" w:rsidR="008537C0" w:rsidRPr="00722885" w:rsidRDefault="008537C0" w:rsidP="00722885">
      <w:pPr>
        <w:pStyle w:val="36"/>
        <w:shd w:val="clear" w:color="auto" w:fill="auto"/>
        <w:tabs>
          <w:tab w:val="left" w:pos="5703"/>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до 15 января </w:t>
      </w:r>
      <w:r w:rsidRPr="00722885">
        <w:rPr>
          <w:rStyle w:val="0pt"/>
          <w:rFonts w:ascii="Times New Roman" w:cs="Times New Roman"/>
          <w:color w:val="000000" w:themeColor="text1"/>
          <w:spacing w:val="0"/>
          <w:sz w:val="16"/>
          <w:szCs w:val="16"/>
        </w:rPr>
        <w:t>1943</w:t>
      </w:r>
      <w:r w:rsidRPr="00722885">
        <w:rPr>
          <w:rFonts w:ascii="Times New Roman" w:cs="Times New Roman"/>
          <w:color w:val="000000" w:themeColor="text1"/>
          <w:spacing w:val="0"/>
          <w:sz w:val="16"/>
          <w:szCs w:val="16"/>
        </w:rPr>
        <w:t xml:space="preserve"> года</w:t>
      </w:r>
      <w:r w:rsidRPr="00722885">
        <w:rPr>
          <w:rFonts w:ascii="Times New Roman" w:cs="Times New Roman"/>
          <w:color w:val="000000" w:themeColor="text1"/>
          <w:spacing w:val="0"/>
          <w:sz w:val="16"/>
          <w:szCs w:val="16"/>
        </w:rPr>
        <w:tab/>
        <w:t>- 30 пушек</w:t>
      </w:r>
    </w:p>
    <w:p w14:paraId="09DC9875" w14:textId="77777777" w:rsidR="008537C0" w:rsidRPr="00722885" w:rsidRDefault="008537C0" w:rsidP="00722885">
      <w:pPr>
        <w:pStyle w:val="36"/>
        <w:shd w:val="clear" w:color="auto" w:fill="auto"/>
        <w:tabs>
          <w:tab w:val="left" w:pos="5695"/>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с 15 января по 15 февраля </w:t>
      </w:r>
      <w:r w:rsidRPr="00722885">
        <w:rPr>
          <w:rStyle w:val="0pt"/>
          <w:rFonts w:ascii="Times New Roman" w:cs="Times New Roman"/>
          <w:color w:val="000000" w:themeColor="text1"/>
          <w:spacing w:val="0"/>
          <w:sz w:val="16"/>
          <w:szCs w:val="16"/>
        </w:rPr>
        <w:t>1943</w:t>
      </w:r>
      <w:r w:rsidRPr="00722885">
        <w:rPr>
          <w:rFonts w:ascii="Times New Roman" w:cs="Times New Roman"/>
          <w:color w:val="000000" w:themeColor="text1"/>
          <w:spacing w:val="0"/>
          <w:sz w:val="16"/>
          <w:szCs w:val="16"/>
        </w:rPr>
        <w:t xml:space="preserve"> года</w:t>
      </w:r>
      <w:r w:rsidRPr="00722885">
        <w:rPr>
          <w:rFonts w:ascii="Times New Roman" w:cs="Times New Roman"/>
          <w:color w:val="000000" w:themeColor="text1"/>
          <w:spacing w:val="0"/>
          <w:sz w:val="16"/>
          <w:szCs w:val="16"/>
        </w:rPr>
        <w:tab/>
        <w:t>-100</w:t>
      </w:r>
    </w:p>
    <w:p w14:paraId="6ED16B6F" w14:textId="77777777" w:rsidR="008537C0" w:rsidRPr="00722885" w:rsidRDefault="008537C0" w:rsidP="00722885">
      <w:pPr>
        <w:pStyle w:val="36"/>
        <w:shd w:val="clear" w:color="auto" w:fill="auto"/>
        <w:tabs>
          <w:tab w:val="left" w:pos="5688"/>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с 15 февраля по 15 марта 1</w:t>
      </w:r>
      <w:r w:rsidRPr="00722885">
        <w:rPr>
          <w:rStyle w:val="0pt"/>
          <w:rFonts w:ascii="Times New Roman" w:cs="Times New Roman"/>
          <w:color w:val="000000" w:themeColor="text1"/>
          <w:spacing w:val="0"/>
          <w:sz w:val="16"/>
          <w:szCs w:val="16"/>
        </w:rPr>
        <w:t>940</w:t>
      </w:r>
      <w:r w:rsidRPr="00722885">
        <w:rPr>
          <w:rFonts w:ascii="Times New Roman" w:cs="Times New Roman"/>
          <w:color w:val="000000" w:themeColor="text1"/>
          <w:spacing w:val="0"/>
          <w:sz w:val="16"/>
          <w:szCs w:val="16"/>
        </w:rPr>
        <w:t xml:space="preserve"> года</w:t>
      </w:r>
      <w:r w:rsidRPr="00722885">
        <w:rPr>
          <w:rFonts w:ascii="Times New Roman" w:cs="Times New Roman"/>
          <w:color w:val="000000" w:themeColor="text1"/>
          <w:spacing w:val="0"/>
          <w:sz w:val="16"/>
          <w:szCs w:val="16"/>
        </w:rPr>
        <w:tab/>
        <w:t xml:space="preserve">- </w:t>
      </w:r>
      <w:r w:rsidRPr="00722885">
        <w:rPr>
          <w:rStyle w:val="0pt"/>
          <w:rFonts w:ascii="Times New Roman" w:cs="Times New Roman"/>
          <w:color w:val="000000" w:themeColor="text1"/>
          <w:spacing w:val="0"/>
          <w:sz w:val="16"/>
          <w:szCs w:val="16"/>
        </w:rPr>
        <w:t xml:space="preserve">125 </w:t>
      </w:r>
      <w:r w:rsidRPr="00722885">
        <w:rPr>
          <w:rFonts w:ascii="Times New Roman" w:cs="Times New Roman"/>
          <w:color w:val="000000" w:themeColor="text1"/>
          <w:spacing w:val="0"/>
          <w:sz w:val="16"/>
          <w:szCs w:val="16"/>
        </w:rPr>
        <w:t xml:space="preserve">и в дальнейшем по </w:t>
      </w:r>
      <w:r w:rsidRPr="00722885">
        <w:rPr>
          <w:rStyle w:val="0pt"/>
          <w:rFonts w:ascii="Times New Roman" w:cs="Times New Roman"/>
          <w:color w:val="000000" w:themeColor="text1"/>
          <w:spacing w:val="0"/>
          <w:sz w:val="16"/>
          <w:szCs w:val="16"/>
        </w:rPr>
        <w:t>125</w:t>
      </w:r>
      <w:r w:rsidRPr="00722885">
        <w:rPr>
          <w:rFonts w:ascii="Times New Roman" w:cs="Times New Roman"/>
          <w:color w:val="000000" w:themeColor="text1"/>
          <w:spacing w:val="0"/>
          <w:sz w:val="16"/>
          <w:szCs w:val="16"/>
        </w:rPr>
        <w:t xml:space="preserve"> пушек в месяц.</w:t>
      </w:r>
    </w:p>
    <w:p w14:paraId="73138499" w14:textId="77777777" w:rsidR="008537C0" w:rsidRPr="00722885" w:rsidRDefault="008537C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2. Для обеспечения нового производства 3</w:t>
      </w:r>
      <w:r w:rsidRPr="00722885">
        <w:rPr>
          <w:rStyle w:val="0pt"/>
          <w:rFonts w:ascii="Times New Roman" w:cs="Times New Roman"/>
          <w:color w:val="000000" w:themeColor="text1"/>
          <w:spacing w:val="0"/>
          <w:sz w:val="16"/>
          <w:szCs w:val="16"/>
        </w:rPr>
        <w:t>7-мм</w:t>
      </w:r>
      <w:r w:rsidRPr="00722885">
        <w:rPr>
          <w:rFonts w:ascii="Times New Roman" w:cs="Times New Roman"/>
          <w:color w:val="000000" w:themeColor="text1"/>
          <w:spacing w:val="0"/>
          <w:sz w:val="16"/>
          <w:szCs w:val="16"/>
        </w:rPr>
        <w:t xml:space="preserve"> пушек на заводе № 74:</w:t>
      </w:r>
    </w:p>
    <w:p w14:paraId="4ED2C469" w14:textId="77777777" w:rsidR="008537C0" w:rsidRPr="00722885" w:rsidRDefault="008537C0" w:rsidP="00722885">
      <w:pPr>
        <w:pStyle w:val="36"/>
        <w:shd w:val="clear" w:color="auto" w:fill="auto"/>
        <w:tabs>
          <w:tab w:val="left" w:pos="1428"/>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а) Обязать Наркомвнешторг - тов.Крутикова выделить во внеочередном порядке заводу № 74 оборудование, инстру</w:t>
      </w:r>
      <w:r w:rsidRPr="00722885">
        <w:rPr>
          <w:rFonts w:ascii="Times New Roman" w:cs="Times New Roman"/>
          <w:color w:val="000000" w:themeColor="text1"/>
          <w:spacing w:val="0"/>
          <w:sz w:val="16"/>
          <w:szCs w:val="16"/>
        </w:rPr>
        <w:softHyphen/>
        <w:t>мент, абразивы и материалы целевым назначением для произ</w:t>
      </w:r>
      <w:r w:rsidRPr="00722885">
        <w:rPr>
          <w:rFonts w:ascii="Times New Roman" w:cs="Times New Roman"/>
          <w:color w:val="000000" w:themeColor="text1"/>
          <w:spacing w:val="0"/>
          <w:sz w:val="16"/>
          <w:szCs w:val="16"/>
        </w:rPr>
        <w:softHyphen/>
        <w:t>водства 37-мм пушек из числа ранее заказанного и прибывающего в советские, порты оборудования, согласно приложениям 1 и 1а, а недостающее оборудование срочно заказать вновь.</w:t>
      </w:r>
    </w:p>
    <w:p w14:paraId="06C5E077" w14:textId="77777777" w:rsidR="008537C0" w:rsidRPr="00722885" w:rsidRDefault="008537C0" w:rsidP="00722885">
      <w:pPr>
        <w:pStyle w:val="34"/>
        <w:shd w:val="clear" w:color="auto" w:fill="auto"/>
        <w:tabs>
          <w:tab w:val="left" w:pos="1413"/>
        </w:tabs>
        <w:spacing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б) Обязать Наркомстанкостроения - тов.Ефремова обес</w:t>
      </w:r>
      <w:r w:rsidRPr="00722885">
        <w:rPr>
          <w:rStyle w:val="16"/>
          <w:rFonts w:ascii="Times New Roman" w:cs="Times New Roman"/>
          <w:color w:val="000000" w:themeColor="text1"/>
          <w:spacing w:val="0"/>
          <w:u w:val="none"/>
        </w:rPr>
        <w:t xml:space="preserve">печить поставку заводу № </w:t>
      </w:r>
      <w:r w:rsidRPr="00722885">
        <w:rPr>
          <w:rFonts w:ascii="Times New Roman" w:cs="Times New Roman"/>
          <w:color w:val="000000" w:themeColor="text1"/>
          <w:spacing w:val="0"/>
          <w:sz w:val="16"/>
          <w:szCs w:val="16"/>
        </w:rPr>
        <w:t xml:space="preserve">74 </w:t>
      </w:r>
      <w:r w:rsidRPr="00722885">
        <w:rPr>
          <w:rStyle w:val="16"/>
          <w:rFonts w:ascii="Times New Roman" w:cs="Times New Roman"/>
          <w:color w:val="000000" w:themeColor="text1"/>
          <w:spacing w:val="0"/>
          <w:u w:val="none"/>
        </w:rPr>
        <w:t>НКВ металлорежущих станков,</w:t>
      </w:r>
      <w:r w:rsidRPr="00722885">
        <w:rPr>
          <w:rFonts w:ascii="Times New Roman" w:cs="Times New Roman"/>
          <w:color w:val="000000" w:themeColor="text1"/>
          <w:spacing w:val="0"/>
          <w:sz w:val="16"/>
          <w:szCs w:val="16"/>
        </w:rPr>
        <w:t xml:space="preserve"> </w:t>
      </w:r>
      <w:r w:rsidRPr="00722885">
        <w:rPr>
          <w:rStyle w:val="16"/>
          <w:rFonts w:ascii="Times New Roman" w:cs="Times New Roman"/>
          <w:color w:val="000000" w:themeColor="text1"/>
          <w:spacing w:val="0"/>
          <w:u w:val="none"/>
        </w:rPr>
        <w:t>абразивов и инструмента в количествах :</w:t>
      </w:r>
      <w:r w:rsidRPr="00722885">
        <w:rPr>
          <w:rStyle w:val="16"/>
          <w:rFonts w:ascii="Times New Roman" w:eastAsia="MS Mincho" w:cs="Times New Roman"/>
          <w:color w:val="000000" w:themeColor="text1"/>
          <w:spacing w:val="0"/>
          <w:u w:val="none"/>
        </w:rPr>
        <w:t>•</w:t>
      </w:r>
      <w:r w:rsidRPr="00722885">
        <w:rPr>
          <w:rStyle w:val="16"/>
          <w:rFonts w:ascii="Times New Roman" w:eastAsia="SimHei" w:cs="Times New Roman"/>
          <w:color w:val="000000" w:themeColor="text1"/>
          <w:spacing w:val="0"/>
          <w:u w:val="none"/>
        </w:rPr>
        <w:t xml:space="preserve"> сроки, согласно</w:t>
      </w:r>
      <w:r w:rsidRPr="00722885">
        <w:rPr>
          <w:rFonts w:ascii="Times New Roman" w:cs="Times New Roman"/>
          <w:color w:val="000000" w:themeColor="text1"/>
          <w:spacing w:val="0"/>
          <w:sz w:val="16"/>
          <w:szCs w:val="16"/>
        </w:rPr>
        <w:t xml:space="preserve"> </w:t>
      </w:r>
      <w:r w:rsidRPr="00722885">
        <w:rPr>
          <w:rStyle w:val="16"/>
          <w:rFonts w:ascii="Times New Roman" w:cs="Times New Roman"/>
          <w:color w:val="000000" w:themeColor="text1"/>
          <w:spacing w:val="0"/>
          <w:u w:val="none"/>
        </w:rPr>
        <w:t>приложению № 2 и 3</w:t>
      </w:r>
    </w:p>
    <w:p w14:paraId="7040F36B" w14:textId="77777777" w:rsidR="008537C0" w:rsidRPr="00722885" w:rsidRDefault="008537C0"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Fonts w:ascii="Times New Roman" w:hAnsi="Times New Roman" w:cs="Times New Roman"/>
          <w:color w:val="000000" w:themeColor="text1"/>
          <w:spacing w:val="0"/>
          <w:sz w:val="16"/>
          <w:szCs w:val="16"/>
        </w:rPr>
        <w:t>3. Обязать Наркомчермет - тов. Тевосяна изготовить и по</w:t>
      </w:r>
      <w:r w:rsidRPr="00722885">
        <w:rPr>
          <w:rStyle w:val="16"/>
          <w:rFonts w:ascii="Times New Roman" w:hAnsi="Times New Roman" w:cs="Times New Roman"/>
          <w:color w:val="000000" w:themeColor="text1"/>
          <w:spacing w:val="0"/>
          <w:u w:val="none"/>
        </w:rPr>
        <w:t>ставить заводу № 74 НКВ в первом квартале 1943 года 1000</w:t>
      </w:r>
      <w:r w:rsidRPr="00722885">
        <w:rPr>
          <w:rFonts w:ascii="Times New Roman" w:hAnsi="Times New Roman" w:cs="Times New Roman"/>
          <w:color w:val="000000" w:themeColor="text1"/>
          <w:spacing w:val="0"/>
          <w:sz w:val="16"/>
          <w:szCs w:val="16"/>
        </w:rPr>
        <w:t xml:space="preserve"> </w:t>
      </w:r>
      <w:r w:rsidRPr="00722885">
        <w:rPr>
          <w:rStyle w:val="16"/>
          <w:rFonts w:ascii="Times New Roman" w:hAnsi="Times New Roman" w:cs="Times New Roman"/>
          <w:color w:val="000000" w:themeColor="text1"/>
          <w:spacing w:val="0"/>
          <w:u w:val="none"/>
        </w:rPr>
        <w:t>тонн качественного проката по спецификации НКВ, в том числе</w:t>
      </w:r>
    </w:p>
    <w:p w14:paraId="06C746F0" w14:textId="77777777" w:rsidR="008537C0" w:rsidRPr="00722885" w:rsidRDefault="008537C0"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Style w:val="16"/>
          <w:rFonts w:ascii="Times New Roman" w:hAnsi="Times New Roman" w:cs="Times New Roman"/>
          <w:color w:val="000000" w:themeColor="text1"/>
          <w:spacing w:val="0"/>
          <w:u w:val="none"/>
        </w:rPr>
        <w:t>-4</w:t>
      </w:r>
      <w:r w:rsidRPr="00722885">
        <w:rPr>
          <w:rStyle w:val="16"/>
          <w:rFonts w:ascii="Times New Roman" w:eastAsia="SimHei" w:hAnsi="Times New Roman" w:cs="Times New Roman"/>
          <w:color w:val="000000" w:themeColor="text1"/>
          <w:spacing w:val="0"/>
          <w:u w:val="none"/>
        </w:rPr>
        <w:t>00 тонн в январе 1943 г</w:t>
      </w:r>
    </w:p>
    <w:p w14:paraId="25F90A6E" w14:textId="77777777" w:rsidR="008537C0" w:rsidRPr="00722885" w:rsidRDefault="008537C0"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Style w:val="16"/>
          <w:rFonts w:ascii="Times New Roman" w:hAnsi="Times New Roman" w:cs="Times New Roman"/>
          <w:color w:val="000000" w:themeColor="text1"/>
          <w:spacing w:val="0"/>
          <w:u w:val="none"/>
        </w:rPr>
        <w:t>400 тонн до 20 феврале 1943 г.</w:t>
      </w:r>
    </w:p>
    <w:p w14:paraId="5E11DC00" w14:textId="77777777" w:rsidR="008537C0" w:rsidRPr="00722885" w:rsidRDefault="008537C0"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Style w:val="16"/>
          <w:rFonts w:ascii="Times New Roman" w:hAnsi="Times New Roman" w:cs="Times New Roman"/>
          <w:color w:val="000000" w:themeColor="text1"/>
          <w:spacing w:val="0"/>
          <w:u w:val="none"/>
        </w:rPr>
        <w:t>200 тонн до 20 марта 1943 г</w:t>
      </w:r>
    </w:p>
    <w:p w14:paraId="6E31D51F" w14:textId="77777777" w:rsidR="008537C0" w:rsidRPr="00722885" w:rsidRDefault="008537C0"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722885">
        <w:rPr>
          <w:rStyle w:val="16"/>
          <w:rFonts w:ascii="Times New Roman" w:hAnsi="Times New Roman" w:cs="Times New Roman"/>
          <w:color w:val="000000" w:themeColor="text1"/>
          <w:spacing w:val="0"/>
          <w:u w:val="none"/>
        </w:rPr>
        <w:t>4. Д</w:t>
      </w:r>
      <w:r w:rsidRPr="00722885">
        <w:rPr>
          <w:rStyle w:val="16"/>
          <w:rFonts w:ascii="Times New Roman" w:eastAsia="SimHei" w:hAnsi="Times New Roman" w:cs="Times New Roman"/>
          <w:color w:val="000000" w:themeColor="text1"/>
          <w:spacing w:val="0"/>
          <w:u w:val="none"/>
        </w:rPr>
        <w:t>ля постройки тира, термического цеха и достройки -</w:t>
      </w:r>
      <w:r w:rsidRPr="00722885">
        <w:rPr>
          <w:rFonts w:ascii="Times New Roman" w:hAnsi="Times New Roman" w:cs="Times New Roman"/>
          <w:color w:val="000000" w:themeColor="text1"/>
          <w:spacing w:val="0"/>
          <w:sz w:val="16"/>
          <w:szCs w:val="16"/>
        </w:rPr>
        <w:t xml:space="preserve"> </w:t>
      </w:r>
      <w:r w:rsidRPr="00722885">
        <w:rPr>
          <w:rStyle w:val="16"/>
          <w:rFonts w:ascii="Times New Roman" w:hAnsi="Times New Roman" w:cs="Times New Roman"/>
          <w:color w:val="000000" w:themeColor="text1"/>
          <w:spacing w:val="0"/>
          <w:u w:val="none"/>
        </w:rPr>
        <w:t>механосборочного цеха завода 74:</w:t>
      </w:r>
    </w:p>
    <w:p w14:paraId="08CA0066" w14:textId="77777777" w:rsidR="008537C0" w:rsidRPr="00722885" w:rsidRDefault="008537C0" w:rsidP="00722885">
      <w:pPr>
        <w:pStyle w:val="6"/>
        <w:shd w:val="clear" w:color="auto" w:fill="auto"/>
        <w:tabs>
          <w:tab w:val="left" w:pos="995"/>
        </w:tabs>
        <w:spacing w:line="240" w:lineRule="auto"/>
        <w:ind w:firstLine="0"/>
        <w:rPr>
          <w:rFonts w:ascii="Times New Roman" w:hAnsi="Times New Roman" w:cs="Times New Roman"/>
          <w:color w:val="000000" w:themeColor="text1"/>
          <w:spacing w:val="0"/>
          <w:sz w:val="16"/>
          <w:szCs w:val="16"/>
        </w:rPr>
      </w:pPr>
      <w:r w:rsidRPr="00722885">
        <w:rPr>
          <w:rStyle w:val="16"/>
          <w:rFonts w:ascii="Times New Roman" w:hAnsi="Times New Roman" w:cs="Times New Roman"/>
          <w:color w:val="000000" w:themeColor="text1"/>
          <w:spacing w:val="0"/>
          <w:u w:val="none"/>
        </w:rPr>
        <w:t>а) Обязать Госплан СССР выделить- вянваре месяце</w:t>
      </w:r>
      <w:r w:rsidRPr="00722885">
        <w:rPr>
          <w:rStyle w:val="aff8"/>
          <w:rFonts w:ascii="Times New Roman" w:hAnsi="Times New Roman" w:cs="Times New Roman"/>
          <w:b w:val="0"/>
          <w:color w:val="000000" w:themeColor="text1"/>
          <w:spacing w:val="0"/>
          <w:sz w:val="16"/>
          <w:szCs w:val="16"/>
        </w:rPr>
        <w:t xml:space="preserve"> 1943 </w:t>
      </w:r>
      <w:r w:rsidRPr="00722885">
        <w:rPr>
          <w:rStyle w:val="16"/>
          <w:rFonts w:ascii="Times New Roman" w:hAnsi="Times New Roman" w:cs="Times New Roman"/>
          <w:color w:val="000000" w:themeColor="text1"/>
          <w:spacing w:val="0"/>
          <w:u w:val="none"/>
        </w:rPr>
        <w:t>года целевым назначением заводу № 74 НКВ цемента 500 тонн,</w:t>
      </w:r>
      <w:r w:rsidRPr="00722885">
        <w:rPr>
          <w:rFonts w:ascii="Times New Roman" w:hAnsi="Times New Roman" w:cs="Times New Roman"/>
          <w:color w:val="000000" w:themeColor="text1"/>
          <w:spacing w:val="0"/>
          <w:sz w:val="16"/>
          <w:szCs w:val="16"/>
        </w:rPr>
        <w:t xml:space="preserve"> </w:t>
      </w:r>
      <w:r w:rsidRPr="00722885">
        <w:rPr>
          <w:rStyle w:val="16"/>
          <w:rFonts w:ascii="Times New Roman" w:hAnsi="Times New Roman" w:cs="Times New Roman"/>
          <w:color w:val="000000" w:themeColor="text1"/>
          <w:spacing w:val="0"/>
          <w:u w:val="none"/>
        </w:rPr>
        <w:t>металла 2</w:t>
      </w:r>
      <w:r w:rsidRPr="00722885">
        <w:rPr>
          <w:rStyle w:val="16"/>
          <w:rFonts w:ascii="Times New Roman" w:eastAsia="SimHei" w:hAnsi="Times New Roman" w:cs="Times New Roman"/>
          <w:color w:val="000000" w:themeColor="text1"/>
          <w:spacing w:val="0"/>
          <w:u w:val="none"/>
        </w:rPr>
        <w:t>0</w:t>
      </w:r>
      <w:r w:rsidRPr="00722885">
        <w:rPr>
          <w:rStyle w:val="16"/>
          <w:rFonts w:ascii="Times New Roman" w:hAnsi="Times New Roman" w:cs="Times New Roman"/>
          <w:color w:val="000000" w:themeColor="text1"/>
          <w:spacing w:val="0"/>
          <w:u w:val="none"/>
        </w:rPr>
        <w:t>0</w:t>
      </w:r>
      <w:r w:rsidRPr="00722885">
        <w:rPr>
          <w:rStyle w:val="16"/>
          <w:rFonts w:ascii="Times New Roman" w:eastAsia="SimHei" w:hAnsi="Times New Roman" w:cs="Times New Roman"/>
          <w:color w:val="000000" w:themeColor="text1"/>
          <w:spacing w:val="0"/>
          <w:u w:val="none"/>
        </w:rPr>
        <w:t xml:space="preserve"> тонн, стекла 4000 мт</w:t>
      </w:r>
      <w:r w:rsidRPr="00722885">
        <w:rPr>
          <w:rStyle w:val="16"/>
          <w:rFonts w:ascii="Times New Roman" w:hAnsi="Times New Roman" w:cs="Times New Roman"/>
          <w:color w:val="000000" w:themeColor="text1"/>
          <w:spacing w:val="0"/>
          <w:u w:val="none"/>
        </w:rPr>
        <w:t xml:space="preserve">, </w:t>
      </w:r>
      <w:r w:rsidRPr="00722885">
        <w:rPr>
          <w:rStyle w:val="16"/>
          <w:rFonts w:ascii="Times New Roman" w:eastAsia="SimHei" w:hAnsi="Times New Roman" w:cs="Times New Roman"/>
          <w:color w:val="000000" w:themeColor="text1"/>
          <w:spacing w:val="0"/>
          <w:u w:val="none"/>
        </w:rPr>
        <w:t xml:space="preserve"> ру</w:t>
      </w:r>
      <w:r w:rsidRPr="00722885">
        <w:rPr>
          <w:rStyle w:val="16"/>
          <w:rFonts w:ascii="Times New Roman" w:hAnsi="Times New Roman" w:cs="Times New Roman"/>
          <w:color w:val="000000" w:themeColor="text1"/>
          <w:spacing w:val="0"/>
          <w:u w:val="none"/>
        </w:rPr>
        <w:t>бе</w:t>
      </w:r>
      <w:r w:rsidRPr="00722885">
        <w:rPr>
          <w:rStyle w:val="16"/>
          <w:rFonts w:ascii="Times New Roman" w:eastAsia="SimHei" w:hAnsi="Times New Roman" w:cs="Times New Roman"/>
          <w:color w:val="000000" w:themeColor="text1"/>
          <w:spacing w:val="0"/>
          <w:u w:val="none"/>
        </w:rPr>
        <w:t>ронда 800 рулонов,</w:t>
      </w:r>
      <w:r w:rsidRPr="00722885">
        <w:rPr>
          <w:rFonts w:ascii="Times New Roman" w:hAnsi="Times New Roman" w:cs="Times New Roman"/>
          <w:color w:val="000000" w:themeColor="text1"/>
          <w:spacing w:val="0"/>
          <w:sz w:val="16"/>
          <w:szCs w:val="16"/>
        </w:rPr>
        <w:t xml:space="preserve"> </w:t>
      </w:r>
      <w:r w:rsidRPr="00722885">
        <w:rPr>
          <w:rStyle w:val="16"/>
          <w:rFonts w:ascii="Times New Roman" w:hAnsi="Times New Roman" w:cs="Times New Roman"/>
          <w:color w:val="000000" w:themeColor="text1"/>
          <w:spacing w:val="0"/>
          <w:u w:val="none"/>
        </w:rPr>
        <w:t>нефтебитума 50 тонн, труб разных 60 тонн, бронеплит (для</w:t>
      </w:r>
      <w:r w:rsidRPr="00722885">
        <w:rPr>
          <w:rFonts w:ascii="Times New Roman" w:hAnsi="Times New Roman" w:cs="Times New Roman"/>
          <w:color w:val="000000" w:themeColor="text1"/>
          <w:spacing w:val="0"/>
          <w:sz w:val="16"/>
          <w:szCs w:val="16"/>
        </w:rPr>
        <w:t xml:space="preserve"> </w:t>
      </w:r>
      <w:r w:rsidRPr="00722885">
        <w:rPr>
          <w:rStyle w:val="16"/>
          <w:rFonts w:ascii="Times New Roman" w:hAnsi="Times New Roman" w:cs="Times New Roman"/>
          <w:color w:val="000000" w:themeColor="text1"/>
          <w:spacing w:val="0"/>
          <w:u w:val="none"/>
        </w:rPr>
        <w:t>тира) 100 тонн.</w:t>
      </w:r>
    </w:p>
    <w:p w14:paraId="487DFF87" w14:textId="77777777" w:rsidR="008537C0" w:rsidRPr="00722885" w:rsidRDefault="008537C0" w:rsidP="00722885">
      <w:pPr>
        <w:pStyle w:val="6"/>
        <w:shd w:val="clear" w:color="auto" w:fill="auto"/>
        <w:tabs>
          <w:tab w:val="left" w:pos="988"/>
        </w:tabs>
        <w:spacing w:line="240" w:lineRule="auto"/>
        <w:ind w:firstLine="0"/>
        <w:rPr>
          <w:rFonts w:ascii="Times New Roman" w:hAnsi="Times New Roman" w:cs="Times New Roman"/>
          <w:color w:val="000000" w:themeColor="text1"/>
          <w:spacing w:val="0"/>
          <w:sz w:val="16"/>
          <w:szCs w:val="16"/>
        </w:rPr>
      </w:pPr>
      <w:r w:rsidRPr="00722885">
        <w:rPr>
          <w:rStyle w:val="16"/>
          <w:rFonts w:ascii="Times New Roman" w:hAnsi="Times New Roman" w:cs="Times New Roman"/>
          <w:color w:val="000000" w:themeColor="text1"/>
          <w:spacing w:val="0"/>
          <w:u w:val="none"/>
        </w:rPr>
        <w:t xml:space="preserve">б) Обязать Наркомлес </w:t>
      </w:r>
      <w:r w:rsidRPr="00722885">
        <w:rPr>
          <w:rStyle w:val="16"/>
          <w:rFonts w:ascii="Times New Roman" w:hAnsi="Times New Roman" w:cs="Times New Roman"/>
          <w:color w:val="000000" w:themeColor="text1"/>
          <w:spacing w:val="0"/>
          <w:u w:val="none"/>
          <w:lang w:val="en-US"/>
        </w:rPr>
        <w:t>CCC</w:t>
      </w:r>
      <w:r w:rsidRPr="00722885">
        <w:rPr>
          <w:rStyle w:val="16"/>
          <w:rFonts w:ascii="Times New Roman" w:hAnsi="Times New Roman" w:cs="Times New Roman"/>
          <w:color w:val="000000" w:themeColor="text1"/>
          <w:spacing w:val="0"/>
          <w:u w:val="none"/>
        </w:rPr>
        <w:t xml:space="preserve">Р - Салтыкова </w:t>
      </w:r>
      <w:r w:rsidRPr="00722885">
        <w:rPr>
          <w:rFonts w:ascii="Times New Roman" w:hAnsi="Times New Roman" w:cs="Times New Roman"/>
          <w:color w:val="000000" w:themeColor="text1"/>
          <w:spacing w:val="0"/>
          <w:sz w:val="16"/>
          <w:szCs w:val="16"/>
        </w:rPr>
        <w:t xml:space="preserve">и </w:t>
      </w:r>
      <w:r w:rsidRPr="00722885">
        <w:rPr>
          <w:rStyle w:val="16"/>
          <w:rFonts w:ascii="Times New Roman" w:hAnsi="Times New Roman" w:cs="Times New Roman"/>
          <w:color w:val="000000" w:themeColor="text1"/>
          <w:spacing w:val="0"/>
          <w:u w:val="none"/>
        </w:rPr>
        <w:t>управляющего Ижлестрестом тог .Атрохина обеспечить поставку-целевым</w:t>
      </w:r>
      <w:r w:rsidRPr="00722885">
        <w:rPr>
          <w:rFonts w:ascii="Times New Roman" w:hAnsi="Times New Roman" w:cs="Times New Roman"/>
          <w:color w:val="000000" w:themeColor="text1"/>
          <w:spacing w:val="0"/>
          <w:sz w:val="16"/>
          <w:szCs w:val="16"/>
        </w:rPr>
        <w:t xml:space="preserve"> </w:t>
      </w:r>
      <w:r w:rsidRPr="00722885">
        <w:rPr>
          <w:rStyle w:val="16"/>
          <w:rFonts w:ascii="Times New Roman" w:hAnsi="Times New Roman" w:cs="Times New Roman"/>
          <w:color w:val="000000" w:themeColor="text1"/>
          <w:spacing w:val="0"/>
          <w:u w:val="none"/>
        </w:rPr>
        <w:t>назначением сверх фондов НКВ и Главсенпрспстроя Стройтресту № 51 НКВ в январе и феврале месяцах 1943 г. деловой</w:t>
      </w:r>
      <w:r w:rsidRPr="00722885">
        <w:rPr>
          <w:rFonts w:ascii="Times New Roman" w:hAnsi="Times New Roman" w:cs="Times New Roman"/>
          <w:color w:val="000000" w:themeColor="text1"/>
          <w:spacing w:val="0"/>
          <w:sz w:val="16"/>
          <w:szCs w:val="16"/>
        </w:rPr>
        <w:t xml:space="preserve"> </w:t>
      </w:r>
      <w:r w:rsidRPr="00722885">
        <w:rPr>
          <w:rStyle w:val="16"/>
          <w:rFonts w:ascii="Times New Roman" w:hAnsi="Times New Roman" w:cs="Times New Roman"/>
          <w:color w:val="000000" w:themeColor="text1"/>
          <w:spacing w:val="0"/>
          <w:u w:val="none"/>
        </w:rPr>
        <w:t>древесины 12000 куб.мт., а также 12000 куб мт, деловой древесины Военстрою № 28 (г.Икевск) Главвоенпромстроя с поставкой 8000 куб.мт' в 1 квартале и 4000 куб.мт. во П квартале 1943 года.</w:t>
      </w:r>
    </w:p>
    <w:p w14:paraId="24C0B9E8" w14:textId="77777777" w:rsidR="008537C0" w:rsidRPr="00722885" w:rsidRDefault="008537C0" w:rsidP="00722885">
      <w:pPr>
        <w:pStyle w:val="6"/>
        <w:shd w:val="clear" w:color="auto" w:fill="auto"/>
        <w:tabs>
          <w:tab w:val="left" w:pos="980"/>
        </w:tabs>
        <w:spacing w:line="240" w:lineRule="auto"/>
        <w:ind w:firstLine="0"/>
        <w:rPr>
          <w:rFonts w:ascii="Times New Roman" w:hAnsi="Times New Roman" w:cs="Times New Roman"/>
          <w:color w:val="000000" w:themeColor="text1"/>
          <w:spacing w:val="0"/>
          <w:sz w:val="16"/>
          <w:szCs w:val="16"/>
        </w:rPr>
      </w:pPr>
      <w:r w:rsidRPr="00722885">
        <w:rPr>
          <w:rStyle w:val="16"/>
          <w:rFonts w:ascii="Times New Roman" w:hAnsi="Times New Roman" w:cs="Times New Roman"/>
          <w:color w:val="000000" w:themeColor="text1"/>
          <w:spacing w:val="0"/>
          <w:u w:val="none"/>
        </w:rPr>
        <w:t>в) Обязать НКПС - тов.Хлрулева сохранить за трестом № 51 НКВ 40 вагонов, находящихся в составе вертушек треста,</w:t>
      </w:r>
      <w:r w:rsidRPr="00722885">
        <w:rPr>
          <w:rFonts w:ascii="Times New Roman" w:hAnsi="Times New Roman" w:cs="Times New Roman"/>
          <w:color w:val="000000" w:themeColor="text1"/>
          <w:spacing w:val="0"/>
          <w:sz w:val="16"/>
          <w:szCs w:val="16"/>
        </w:rPr>
        <w:t xml:space="preserve"> и </w:t>
      </w:r>
      <w:r w:rsidRPr="00722885">
        <w:rPr>
          <w:rStyle w:val="16"/>
          <w:rFonts w:ascii="Times New Roman" w:hAnsi="Times New Roman" w:cs="Times New Roman"/>
          <w:color w:val="000000" w:themeColor="text1"/>
          <w:spacing w:val="0"/>
          <w:u w:val="none"/>
        </w:rPr>
        <w:t>обеспечить беспрепятственное курсирсзание их на участках</w:t>
      </w:r>
      <w:r w:rsidRPr="00722885">
        <w:rPr>
          <w:rFonts w:ascii="Times New Roman" w:hAnsi="Times New Roman" w:cs="Times New Roman"/>
          <w:color w:val="000000" w:themeColor="text1"/>
          <w:spacing w:val="0"/>
          <w:sz w:val="16"/>
          <w:szCs w:val="16"/>
        </w:rPr>
        <w:t xml:space="preserve"> </w:t>
      </w:r>
      <w:r w:rsidRPr="00722885">
        <w:rPr>
          <w:rStyle w:val="16"/>
          <w:rFonts w:ascii="Times New Roman" w:hAnsi="Times New Roman" w:cs="Times New Roman"/>
          <w:color w:val="000000" w:themeColor="text1"/>
          <w:spacing w:val="0"/>
          <w:u w:val="none"/>
        </w:rPr>
        <w:t>йкевск-Воткинск-Галево, а также Ижевск-Вятские Поляны.</w:t>
      </w:r>
    </w:p>
    <w:p w14:paraId="10A8C749" w14:textId="77777777" w:rsidR="008537C0" w:rsidRPr="00722885" w:rsidRDefault="008537C0" w:rsidP="00722885">
      <w:pPr>
        <w:pStyle w:val="6"/>
        <w:shd w:val="clear" w:color="auto" w:fill="auto"/>
        <w:tabs>
          <w:tab w:val="left" w:pos="1010"/>
        </w:tabs>
        <w:spacing w:line="240" w:lineRule="auto"/>
        <w:ind w:firstLine="0"/>
        <w:rPr>
          <w:rFonts w:ascii="Times New Roman" w:hAnsi="Times New Roman" w:cs="Times New Roman"/>
          <w:color w:val="000000" w:themeColor="text1"/>
          <w:spacing w:val="0"/>
          <w:sz w:val="16"/>
          <w:szCs w:val="16"/>
        </w:rPr>
      </w:pPr>
      <w:r w:rsidRPr="00722885">
        <w:rPr>
          <w:rStyle w:val="16"/>
          <w:rFonts w:ascii="Times New Roman" w:hAnsi="Times New Roman" w:cs="Times New Roman"/>
          <w:color w:val="000000" w:themeColor="text1"/>
          <w:spacing w:val="0"/>
          <w:u w:val="none"/>
        </w:rPr>
        <w:t>г) Обязать Главнефтеснаб при СНК СССР - тов.Широкова</w:t>
      </w:r>
      <w:r w:rsidRPr="00722885">
        <w:rPr>
          <w:rFonts w:ascii="Times New Roman" w:hAnsi="Times New Roman" w:cs="Times New Roman"/>
          <w:color w:val="000000" w:themeColor="text1"/>
          <w:spacing w:val="0"/>
          <w:sz w:val="16"/>
          <w:szCs w:val="16"/>
        </w:rPr>
        <w:t xml:space="preserve"> </w:t>
      </w:r>
      <w:r w:rsidRPr="00722885">
        <w:rPr>
          <w:rStyle w:val="16"/>
          <w:rFonts w:ascii="Times New Roman" w:hAnsi="Times New Roman" w:cs="Times New Roman"/>
          <w:color w:val="000000" w:themeColor="text1"/>
          <w:spacing w:val="0"/>
          <w:u w:val="none"/>
        </w:rPr>
        <w:t xml:space="preserve">поставить целевым назначением заводу №- 74 НКВ </w:t>
      </w:r>
      <w:r w:rsidRPr="00722885">
        <w:rPr>
          <w:rFonts w:ascii="Times New Roman" w:hAnsi="Times New Roman" w:cs="Times New Roman"/>
          <w:color w:val="000000" w:themeColor="text1"/>
          <w:spacing w:val="0"/>
          <w:sz w:val="16"/>
          <w:szCs w:val="16"/>
        </w:rPr>
        <w:t xml:space="preserve">и </w:t>
      </w:r>
      <w:r w:rsidRPr="00722885">
        <w:rPr>
          <w:rStyle w:val="16"/>
          <w:rFonts w:ascii="Times New Roman" w:hAnsi="Times New Roman" w:cs="Times New Roman"/>
          <w:color w:val="000000" w:themeColor="text1"/>
          <w:spacing w:val="0"/>
          <w:u w:val="none"/>
        </w:rPr>
        <w:t>Стройтре</w:t>
      </w:r>
      <w:r w:rsidR="00591495" w:rsidRPr="00722885">
        <w:rPr>
          <w:rStyle w:val="16"/>
          <w:rFonts w:ascii="Times New Roman" w:hAnsi="Times New Roman" w:cs="Times New Roman"/>
          <w:color w:val="000000" w:themeColor="text1"/>
          <w:spacing w:val="0"/>
          <w:u w:val="none"/>
        </w:rPr>
        <w:t>сту</w:t>
      </w:r>
      <w:r w:rsidRPr="00722885">
        <w:rPr>
          <w:rStyle w:val="aff8"/>
          <w:rFonts w:ascii="Times New Roman" w:hAnsi="Times New Roman" w:cs="Times New Roman"/>
          <w:b w:val="0"/>
          <w:color w:val="000000" w:themeColor="text1"/>
          <w:spacing w:val="0"/>
          <w:sz w:val="16"/>
          <w:szCs w:val="16"/>
        </w:rPr>
        <w:t xml:space="preserve"> № 51</w:t>
      </w:r>
      <w:r w:rsidRPr="00722885">
        <w:rPr>
          <w:rStyle w:val="16"/>
          <w:rFonts w:ascii="Times New Roman" w:hAnsi="Times New Roman" w:cs="Times New Roman"/>
          <w:color w:val="000000" w:themeColor="text1"/>
          <w:spacing w:val="0"/>
          <w:u w:val="none"/>
        </w:rPr>
        <w:t xml:space="preserve"> НКВ </w:t>
      </w:r>
      <w:r w:rsidRPr="00722885">
        <w:rPr>
          <w:rFonts w:ascii="Times New Roman" w:hAnsi="Times New Roman" w:cs="Times New Roman"/>
          <w:color w:val="000000" w:themeColor="text1"/>
          <w:spacing w:val="0"/>
          <w:sz w:val="16"/>
          <w:szCs w:val="16"/>
        </w:rPr>
        <w:t xml:space="preserve">и </w:t>
      </w:r>
      <w:r w:rsidRPr="00722885">
        <w:rPr>
          <w:rStyle w:val="16"/>
          <w:rFonts w:ascii="Times New Roman" w:hAnsi="Times New Roman" w:cs="Times New Roman"/>
          <w:color w:val="000000" w:themeColor="text1"/>
          <w:spacing w:val="0"/>
          <w:u w:val="none"/>
        </w:rPr>
        <w:t>Военсгрою №</w:t>
      </w:r>
      <w:r w:rsidRPr="00722885">
        <w:rPr>
          <w:rStyle w:val="aff8"/>
          <w:rFonts w:ascii="Times New Roman" w:hAnsi="Times New Roman" w:cs="Times New Roman"/>
          <w:b w:val="0"/>
          <w:color w:val="000000" w:themeColor="text1"/>
          <w:spacing w:val="0"/>
          <w:sz w:val="16"/>
          <w:szCs w:val="16"/>
        </w:rPr>
        <w:t xml:space="preserve"> 28</w:t>
      </w:r>
      <w:r w:rsidRPr="00722885">
        <w:rPr>
          <w:rStyle w:val="16"/>
          <w:rFonts w:ascii="Times New Roman" w:hAnsi="Times New Roman" w:cs="Times New Roman"/>
          <w:color w:val="000000" w:themeColor="text1"/>
          <w:spacing w:val="0"/>
          <w:u w:val="none"/>
        </w:rPr>
        <w:t xml:space="preserve"> Главвоенпромстроя сверх</w:t>
      </w:r>
      <w:r w:rsidRPr="00722885">
        <w:rPr>
          <w:rStyle w:val="aff8"/>
          <w:rFonts w:ascii="Times New Roman" w:hAnsi="Times New Roman" w:cs="Times New Roman"/>
          <w:b w:val="0"/>
          <w:color w:val="000000" w:themeColor="text1"/>
          <w:spacing w:val="0"/>
          <w:sz w:val="16"/>
          <w:szCs w:val="16"/>
        </w:rPr>
        <w:t xml:space="preserve"> их </w:t>
      </w:r>
      <w:r w:rsidRPr="00722885">
        <w:rPr>
          <w:rStyle w:val="16"/>
          <w:rFonts w:ascii="Times New Roman" w:hAnsi="Times New Roman" w:cs="Times New Roman"/>
          <w:color w:val="000000" w:themeColor="text1"/>
          <w:spacing w:val="0"/>
          <w:u w:val="none"/>
        </w:rPr>
        <w:t xml:space="preserve">фондов декабря месяца </w:t>
      </w:r>
      <w:r w:rsidRPr="00722885">
        <w:rPr>
          <w:rStyle w:val="-1pt"/>
          <w:rFonts w:ascii="Times New Roman" w:hAnsi="Times New Roman" w:cs="Times New Roman"/>
          <w:color w:val="000000" w:themeColor="text1"/>
          <w:spacing w:val="0"/>
          <w:sz w:val="16"/>
          <w:szCs w:val="16"/>
        </w:rPr>
        <w:t>1942</w:t>
      </w:r>
      <w:r w:rsidRPr="00722885">
        <w:rPr>
          <w:rFonts w:ascii="Times New Roman" w:hAnsi="Times New Roman" w:cs="Times New Roman"/>
          <w:color w:val="000000" w:themeColor="text1"/>
          <w:spacing w:val="0"/>
          <w:sz w:val="16"/>
          <w:szCs w:val="16"/>
        </w:rPr>
        <w:t xml:space="preserve"> года</w:t>
      </w:r>
      <w:r w:rsidRPr="00722885">
        <w:rPr>
          <w:rStyle w:val="16"/>
          <w:rFonts w:ascii="Times New Roman" w:hAnsi="Times New Roman" w:cs="Times New Roman"/>
          <w:color w:val="000000" w:themeColor="text1"/>
          <w:spacing w:val="0"/>
          <w:u w:val="none"/>
        </w:rPr>
        <w:t xml:space="preserve"> с реализацией до </w:t>
      </w:r>
      <w:r w:rsidRPr="00722885">
        <w:rPr>
          <w:rFonts w:ascii="Times New Roman" w:hAnsi="Times New Roman" w:cs="Times New Roman"/>
          <w:color w:val="000000" w:themeColor="text1"/>
          <w:spacing w:val="0"/>
          <w:sz w:val="16"/>
          <w:szCs w:val="16"/>
        </w:rPr>
        <w:t xml:space="preserve">1 </w:t>
      </w:r>
      <w:r w:rsidRPr="00722885">
        <w:rPr>
          <w:rStyle w:val="16"/>
          <w:rFonts w:ascii="Times New Roman" w:hAnsi="Times New Roman" w:cs="Times New Roman"/>
          <w:color w:val="000000" w:themeColor="text1"/>
          <w:spacing w:val="0"/>
          <w:u w:val="none"/>
        </w:rPr>
        <w:t>февраля</w:t>
      </w:r>
      <w:r w:rsidRPr="00722885">
        <w:rPr>
          <w:rFonts w:ascii="Times New Roman" w:hAnsi="Times New Roman" w:cs="Times New Roman"/>
          <w:color w:val="000000" w:themeColor="text1"/>
          <w:spacing w:val="0"/>
          <w:sz w:val="16"/>
          <w:szCs w:val="16"/>
        </w:rPr>
        <w:t xml:space="preserve"> </w:t>
      </w:r>
      <w:r w:rsidRPr="00722885">
        <w:rPr>
          <w:rStyle w:val="aff8"/>
          <w:rFonts w:ascii="Times New Roman" w:hAnsi="Times New Roman" w:cs="Times New Roman"/>
          <w:b w:val="0"/>
          <w:color w:val="000000" w:themeColor="text1"/>
          <w:spacing w:val="0"/>
          <w:sz w:val="16"/>
          <w:szCs w:val="16"/>
        </w:rPr>
        <w:t>1943</w:t>
      </w:r>
      <w:r w:rsidRPr="00722885">
        <w:rPr>
          <w:rStyle w:val="16"/>
          <w:rFonts w:ascii="Times New Roman" w:hAnsi="Times New Roman" w:cs="Times New Roman"/>
          <w:color w:val="000000" w:themeColor="text1"/>
          <w:spacing w:val="0"/>
          <w:u w:val="none"/>
        </w:rPr>
        <w:t xml:space="preserve"> года: 30 тонн бензина и 20 тонн лигроина заводу</w:t>
      </w:r>
      <w:r w:rsidRPr="00722885">
        <w:rPr>
          <w:rStyle w:val="10pt2"/>
          <w:rFonts w:ascii="Times New Roman" w:hAnsi="Times New Roman" w:cs="Times New Roman"/>
          <w:color w:val="000000" w:themeColor="text1"/>
          <w:sz w:val="16"/>
          <w:szCs w:val="16"/>
        </w:rPr>
        <w:t xml:space="preserve"> №</w:t>
      </w:r>
      <w:r w:rsidRPr="00722885">
        <w:rPr>
          <w:rStyle w:val="aff8"/>
          <w:rFonts w:ascii="Times New Roman" w:hAnsi="Times New Roman" w:cs="Times New Roman"/>
          <w:b w:val="0"/>
          <w:color w:val="000000" w:themeColor="text1"/>
          <w:spacing w:val="0"/>
          <w:sz w:val="16"/>
          <w:szCs w:val="16"/>
        </w:rPr>
        <w:t xml:space="preserve"> 74 и 51</w:t>
      </w:r>
      <w:r w:rsidRPr="00722885">
        <w:rPr>
          <w:rFonts w:ascii="Times New Roman" w:hAnsi="Times New Roman" w:cs="Times New Roman"/>
          <w:color w:val="000000" w:themeColor="text1"/>
          <w:spacing w:val="0"/>
          <w:sz w:val="16"/>
          <w:szCs w:val="16"/>
        </w:rPr>
        <w:t xml:space="preserve"> </w:t>
      </w:r>
      <w:r w:rsidRPr="00722885">
        <w:rPr>
          <w:rStyle w:val="16"/>
          <w:rFonts w:ascii="Times New Roman" w:hAnsi="Times New Roman" w:cs="Times New Roman"/>
          <w:color w:val="000000" w:themeColor="text1"/>
          <w:spacing w:val="0"/>
          <w:u w:val="none"/>
        </w:rPr>
        <w:t xml:space="preserve">Стройтресту </w:t>
      </w:r>
      <w:r w:rsidRPr="00722885">
        <w:rPr>
          <w:rFonts w:ascii="Times New Roman" w:hAnsi="Times New Roman" w:cs="Times New Roman"/>
          <w:color w:val="000000" w:themeColor="text1"/>
          <w:spacing w:val="0"/>
          <w:sz w:val="16"/>
          <w:szCs w:val="16"/>
        </w:rPr>
        <w:t xml:space="preserve">и </w:t>
      </w:r>
      <w:r w:rsidRPr="00722885">
        <w:rPr>
          <w:rStyle w:val="16"/>
          <w:rFonts w:ascii="Times New Roman" w:hAnsi="Times New Roman" w:cs="Times New Roman"/>
          <w:color w:val="000000" w:themeColor="text1"/>
          <w:spacing w:val="0"/>
          <w:u w:val="none"/>
        </w:rPr>
        <w:t>10 тонн бензина Военстрою</w:t>
      </w:r>
      <w:r w:rsidRPr="00722885">
        <w:rPr>
          <w:rStyle w:val="10pt2"/>
          <w:rFonts w:ascii="Times New Roman" w:hAnsi="Times New Roman" w:cs="Times New Roman"/>
          <w:color w:val="000000" w:themeColor="text1"/>
          <w:sz w:val="16"/>
          <w:szCs w:val="16"/>
        </w:rPr>
        <w:t xml:space="preserve"> №</w:t>
      </w:r>
      <w:r w:rsidRPr="00722885">
        <w:rPr>
          <w:rStyle w:val="aff8"/>
          <w:rFonts w:ascii="Times New Roman" w:hAnsi="Times New Roman" w:cs="Times New Roman"/>
          <w:b w:val="0"/>
          <w:color w:val="000000" w:themeColor="text1"/>
          <w:spacing w:val="0"/>
          <w:sz w:val="16"/>
          <w:szCs w:val="16"/>
        </w:rPr>
        <w:t xml:space="preserve"> 28.</w:t>
      </w:r>
    </w:p>
    <w:p w14:paraId="35F1F25E" w14:textId="77777777" w:rsidR="008537C0" w:rsidRPr="00722885" w:rsidRDefault="008537C0" w:rsidP="00722885">
      <w:pPr>
        <w:pStyle w:val="36"/>
        <w:shd w:val="clear" w:color="auto" w:fill="auto"/>
        <w:tabs>
          <w:tab w:val="left" w:pos="1010"/>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5. Обязать Наркомат электропромышленности - тов. Кабанова поставить </w:t>
      </w:r>
      <w:r w:rsidRPr="00722885">
        <w:rPr>
          <w:rStyle w:val="16"/>
          <w:rFonts w:ascii="Times New Roman" w:cs="Times New Roman"/>
          <w:color w:val="000000" w:themeColor="text1"/>
          <w:spacing w:val="0"/>
          <w:u w:val="none"/>
        </w:rPr>
        <w:t xml:space="preserve">в </w:t>
      </w:r>
      <w:r w:rsidRPr="00722885">
        <w:rPr>
          <w:rFonts w:ascii="Times New Roman" w:cs="Times New Roman"/>
          <w:color w:val="000000" w:themeColor="text1"/>
          <w:spacing w:val="0"/>
          <w:sz w:val="16"/>
          <w:szCs w:val="16"/>
        </w:rPr>
        <w:t xml:space="preserve">январе 1943 </w:t>
      </w:r>
      <w:r w:rsidRPr="00722885">
        <w:rPr>
          <w:rStyle w:val="16"/>
          <w:rFonts w:ascii="Times New Roman" w:cs="Times New Roman"/>
          <w:color w:val="000000" w:themeColor="text1"/>
          <w:spacing w:val="0"/>
          <w:u w:val="none"/>
        </w:rPr>
        <w:t xml:space="preserve">года </w:t>
      </w:r>
      <w:r w:rsidRPr="00722885">
        <w:rPr>
          <w:rFonts w:ascii="Times New Roman" w:cs="Times New Roman"/>
          <w:color w:val="000000" w:themeColor="text1"/>
          <w:spacing w:val="0"/>
          <w:sz w:val="16"/>
          <w:szCs w:val="16"/>
        </w:rPr>
        <w:t>заводу №</w:t>
      </w:r>
      <w:r w:rsidRPr="00722885">
        <w:rPr>
          <w:rStyle w:val="16"/>
          <w:rFonts w:ascii="Times New Roman" w:eastAsia="SimHei" w:cs="Times New Roman"/>
          <w:color w:val="000000" w:themeColor="text1"/>
          <w:spacing w:val="0"/>
          <w:u w:val="none"/>
        </w:rPr>
        <w:t xml:space="preserve"> 74 НКВ целевым</w:t>
      </w:r>
      <w:r w:rsidRPr="00722885">
        <w:rPr>
          <w:rFonts w:ascii="Times New Roman" w:cs="Times New Roman"/>
          <w:color w:val="000000" w:themeColor="text1"/>
          <w:spacing w:val="0"/>
          <w:sz w:val="16"/>
          <w:szCs w:val="16"/>
        </w:rPr>
        <w:t xml:space="preserve"> назначением 100 </w:t>
      </w:r>
      <w:r w:rsidRPr="00722885">
        <w:rPr>
          <w:rStyle w:val="16"/>
          <w:rFonts w:ascii="Times New Roman" w:cs="Times New Roman"/>
          <w:color w:val="000000" w:themeColor="text1"/>
          <w:spacing w:val="0"/>
          <w:u w:val="none"/>
        </w:rPr>
        <w:t>моторов мощность</w:t>
      </w:r>
      <w:r w:rsidRPr="00722885">
        <w:rPr>
          <w:rStyle w:val="16"/>
          <w:rFonts w:ascii="Times New Roman" w:eastAsia="MS Mincho" w:cs="Times New Roman"/>
          <w:color w:val="000000" w:themeColor="text1"/>
          <w:spacing w:val="0"/>
          <w:u w:val="none"/>
        </w:rPr>
        <w:t>»</w:t>
      </w:r>
      <w:r w:rsidRPr="00722885">
        <w:rPr>
          <w:rStyle w:val="16"/>
          <w:rFonts w:ascii="Times New Roman" w:eastAsia="SimHei" w:cs="Times New Roman"/>
          <w:color w:val="000000" w:themeColor="text1"/>
          <w:spacing w:val="0"/>
          <w:u w:val="none"/>
        </w:rPr>
        <w:t xml:space="preserve"> от </w:t>
      </w:r>
      <w:r w:rsidRPr="00722885">
        <w:rPr>
          <w:rStyle w:val="16"/>
          <w:rFonts w:ascii="Times New Roman" w:cs="Times New Roman"/>
          <w:color w:val="000000" w:themeColor="text1"/>
          <w:spacing w:val="0"/>
          <w:u w:val="none"/>
        </w:rPr>
        <w:t xml:space="preserve">1,5 </w:t>
      </w:r>
      <w:r w:rsidRPr="00722885">
        <w:rPr>
          <w:rFonts w:ascii="Times New Roman" w:cs="Times New Roman"/>
          <w:color w:val="000000" w:themeColor="text1"/>
          <w:spacing w:val="0"/>
          <w:sz w:val="16"/>
          <w:szCs w:val="16"/>
        </w:rPr>
        <w:t xml:space="preserve">до </w:t>
      </w:r>
      <w:r w:rsidRPr="00722885">
        <w:rPr>
          <w:rStyle w:val="16"/>
          <w:rFonts w:ascii="Times New Roman" w:cs="Times New Roman"/>
          <w:color w:val="000000" w:themeColor="text1"/>
          <w:spacing w:val="0"/>
          <w:u w:val="none"/>
        </w:rPr>
        <w:t xml:space="preserve">5,7 </w:t>
      </w:r>
      <w:r w:rsidRPr="00722885">
        <w:rPr>
          <w:rFonts w:ascii="Times New Roman" w:cs="Times New Roman"/>
          <w:color w:val="000000" w:themeColor="text1"/>
          <w:spacing w:val="0"/>
          <w:sz w:val="16"/>
          <w:szCs w:val="16"/>
        </w:rPr>
        <w:t xml:space="preserve">квт., бро- некабеля </w:t>
      </w:r>
      <w:r w:rsidRPr="00722885">
        <w:rPr>
          <w:rStyle w:val="16"/>
          <w:rFonts w:ascii="Times New Roman" w:cs="Times New Roman"/>
          <w:color w:val="000000" w:themeColor="text1"/>
          <w:spacing w:val="0"/>
          <w:u w:val="none"/>
        </w:rPr>
        <w:t>2000 метров и провода (ПР до 10 квадр.) 6000 мет</w:t>
      </w:r>
      <w:r w:rsidRPr="00722885">
        <w:rPr>
          <w:rFonts w:ascii="Times New Roman" w:cs="Times New Roman"/>
          <w:color w:val="000000" w:themeColor="text1"/>
          <w:spacing w:val="0"/>
          <w:sz w:val="16"/>
          <w:szCs w:val="16"/>
        </w:rPr>
        <w:t xml:space="preserve">ров и </w:t>
      </w:r>
      <w:r w:rsidRPr="00722885">
        <w:rPr>
          <w:rStyle w:val="16"/>
          <w:rFonts w:ascii="Times New Roman" w:cs="Times New Roman"/>
          <w:color w:val="000000" w:themeColor="text1"/>
          <w:spacing w:val="0"/>
          <w:u w:val="none"/>
        </w:rPr>
        <w:t>20000 штук электроламп.</w:t>
      </w:r>
    </w:p>
    <w:p w14:paraId="1DEBD87E" w14:textId="77777777" w:rsidR="008537C0" w:rsidRPr="00722885" w:rsidRDefault="008537C0" w:rsidP="00722885">
      <w:pPr>
        <w:pStyle w:val="36"/>
        <w:shd w:val="clear" w:color="auto" w:fill="auto"/>
        <w:tabs>
          <w:tab w:val="left" w:pos="1010"/>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6. Обязать Наркомбоеприпасов - </w:t>
      </w:r>
      <w:r w:rsidRPr="00722885">
        <w:rPr>
          <w:rStyle w:val="16"/>
          <w:rFonts w:ascii="Times New Roman" w:cs="Times New Roman"/>
          <w:color w:val="000000" w:themeColor="text1"/>
          <w:spacing w:val="0"/>
          <w:u w:val="none"/>
        </w:rPr>
        <w:t>тов</w:t>
      </w:r>
      <w:r w:rsidRPr="00722885">
        <w:rPr>
          <w:rFonts w:ascii="Times New Roman" w:cs="Times New Roman"/>
          <w:color w:val="000000" w:themeColor="text1"/>
          <w:spacing w:val="0"/>
          <w:sz w:val="16"/>
          <w:szCs w:val="16"/>
        </w:rPr>
        <w:t xml:space="preserve">.Банникова </w:t>
      </w:r>
      <w:r w:rsidRPr="00722885">
        <w:rPr>
          <w:rStyle w:val="16"/>
          <w:rFonts w:ascii="Times New Roman" w:cs="Times New Roman"/>
          <w:color w:val="000000" w:themeColor="text1"/>
          <w:spacing w:val="0"/>
          <w:u w:val="none"/>
        </w:rPr>
        <w:t>обеспе</w:t>
      </w:r>
      <w:r w:rsidRPr="00722885">
        <w:rPr>
          <w:rFonts w:ascii="Times New Roman" w:cs="Times New Roman"/>
          <w:color w:val="000000" w:themeColor="text1"/>
          <w:spacing w:val="0"/>
          <w:sz w:val="16"/>
          <w:szCs w:val="16"/>
        </w:rPr>
        <w:t xml:space="preserve">чить поставку патронов </w:t>
      </w:r>
      <w:r w:rsidRPr="00722885">
        <w:rPr>
          <w:rStyle w:val="16"/>
          <w:rFonts w:ascii="Times New Roman" w:cs="Times New Roman"/>
          <w:color w:val="000000" w:themeColor="text1"/>
          <w:spacing w:val="0"/>
          <w:u w:val="none"/>
        </w:rPr>
        <w:t xml:space="preserve">с лафетопробными </w:t>
      </w:r>
      <w:r w:rsidRPr="00722885">
        <w:rPr>
          <w:rFonts w:ascii="Times New Roman" w:cs="Times New Roman"/>
          <w:color w:val="000000" w:themeColor="text1"/>
          <w:spacing w:val="0"/>
          <w:sz w:val="16"/>
          <w:szCs w:val="16"/>
        </w:rPr>
        <w:t xml:space="preserve">снарядами </w:t>
      </w:r>
      <w:r w:rsidRPr="00722885">
        <w:rPr>
          <w:rStyle w:val="16"/>
          <w:rFonts w:ascii="Times New Roman" w:cs="Times New Roman"/>
          <w:color w:val="000000" w:themeColor="text1"/>
          <w:spacing w:val="0"/>
          <w:u w:val="none"/>
        </w:rPr>
        <w:t xml:space="preserve">со </w:t>
      </w:r>
      <w:r w:rsidRPr="00722885">
        <w:rPr>
          <w:rFonts w:ascii="Times New Roman" w:cs="Times New Roman"/>
          <w:color w:val="000000" w:themeColor="text1"/>
          <w:spacing w:val="0"/>
          <w:sz w:val="16"/>
          <w:szCs w:val="16"/>
        </w:rPr>
        <w:t>звень</w:t>
      </w:r>
      <w:r w:rsidRPr="00722885">
        <w:rPr>
          <w:rFonts w:ascii="Times New Roman" w:cs="Times New Roman"/>
          <w:color w:val="000000" w:themeColor="text1"/>
          <w:spacing w:val="0"/>
          <w:sz w:val="16"/>
          <w:szCs w:val="16"/>
        </w:rPr>
        <w:softHyphen/>
        <w:t xml:space="preserve">ями заводу № 74 </w:t>
      </w:r>
      <w:r w:rsidRPr="00722885">
        <w:rPr>
          <w:rStyle w:val="16"/>
          <w:rFonts w:ascii="Times New Roman" w:cs="Times New Roman"/>
          <w:color w:val="000000" w:themeColor="text1"/>
          <w:spacing w:val="0"/>
          <w:u w:val="none"/>
        </w:rPr>
        <w:t xml:space="preserve">НКВ </w:t>
      </w:r>
      <w:r w:rsidRPr="00722885">
        <w:rPr>
          <w:rFonts w:ascii="Times New Roman" w:cs="Times New Roman"/>
          <w:color w:val="000000" w:themeColor="text1"/>
          <w:spacing w:val="0"/>
          <w:sz w:val="16"/>
          <w:szCs w:val="16"/>
        </w:rPr>
        <w:t xml:space="preserve">для испытаний </w:t>
      </w:r>
      <w:r w:rsidRPr="00722885">
        <w:rPr>
          <w:rStyle w:val="16"/>
          <w:rFonts w:ascii="Times New Roman" w:cs="Times New Roman"/>
          <w:color w:val="000000" w:themeColor="text1"/>
          <w:spacing w:val="0"/>
          <w:u w:val="none"/>
        </w:rPr>
        <w:t>37-ым авиационных пушек</w:t>
      </w:r>
      <w:r w:rsidRPr="00722885">
        <w:rPr>
          <w:rFonts w:ascii="Times New Roman" w:cs="Times New Roman"/>
          <w:color w:val="000000" w:themeColor="text1"/>
          <w:spacing w:val="0"/>
          <w:sz w:val="16"/>
          <w:szCs w:val="16"/>
        </w:rPr>
        <w:t xml:space="preserve"> СКБ-16 в количествах и сроки, </w:t>
      </w:r>
      <w:r w:rsidRPr="00722885">
        <w:rPr>
          <w:rStyle w:val="16"/>
          <w:rFonts w:ascii="Times New Roman" w:cs="Times New Roman"/>
          <w:color w:val="000000" w:themeColor="text1"/>
          <w:spacing w:val="0"/>
          <w:u w:val="none"/>
        </w:rPr>
        <w:t xml:space="preserve">в соответствии </w:t>
      </w:r>
      <w:r w:rsidRPr="00722885">
        <w:rPr>
          <w:rFonts w:ascii="Times New Roman" w:cs="Times New Roman"/>
          <w:color w:val="000000" w:themeColor="text1"/>
          <w:spacing w:val="0"/>
          <w:sz w:val="16"/>
          <w:szCs w:val="16"/>
        </w:rPr>
        <w:t>с заявкой Наркомата вооружения.</w:t>
      </w:r>
    </w:p>
    <w:p w14:paraId="7BDD132A" w14:textId="77777777" w:rsidR="008537C0" w:rsidRPr="00722885" w:rsidRDefault="008537C0" w:rsidP="00722885">
      <w:pPr>
        <w:pStyle w:val="36"/>
        <w:shd w:val="clear" w:color="auto" w:fill="auto"/>
        <w:tabs>
          <w:tab w:val="left" w:pos="1018"/>
        </w:tabs>
        <w:spacing w:after="0" w:line="240" w:lineRule="auto"/>
        <w:jc w:val="both"/>
        <w:rPr>
          <w:rFonts w:ascii="Times New Roman" w:cs="Times New Roman"/>
          <w:color w:val="000000" w:themeColor="text1"/>
          <w:spacing w:val="0"/>
          <w:sz w:val="16"/>
          <w:szCs w:val="16"/>
        </w:rPr>
      </w:pPr>
      <w:r w:rsidRPr="00722885">
        <w:rPr>
          <w:rStyle w:val="16"/>
          <w:rFonts w:ascii="Times New Roman" w:cs="Times New Roman"/>
          <w:color w:val="000000" w:themeColor="text1"/>
          <w:spacing w:val="0"/>
          <w:u w:val="none"/>
        </w:rPr>
        <w:t xml:space="preserve">7. Обязать </w:t>
      </w:r>
      <w:r w:rsidRPr="00722885">
        <w:rPr>
          <w:rFonts w:ascii="Times New Roman" w:cs="Times New Roman"/>
          <w:color w:val="000000" w:themeColor="text1"/>
          <w:spacing w:val="0"/>
          <w:sz w:val="16"/>
          <w:szCs w:val="16"/>
        </w:rPr>
        <w:t xml:space="preserve">Главное управление </w:t>
      </w:r>
      <w:r w:rsidRPr="00722885">
        <w:rPr>
          <w:rStyle w:val="16"/>
          <w:rFonts w:ascii="Times New Roman" w:cs="Times New Roman"/>
          <w:color w:val="000000" w:themeColor="text1"/>
          <w:spacing w:val="0"/>
          <w:u w:val="none"/>
        </w:rPr>
        <w:t xml:space="preserve">трудовых резервов </w:t>
      </w:r>
      <w:r w:rsidRPr="00722885">
        <w:rPr>
          <w:rFonts w:ascii="Times New Roman" w:cs="Times New Roman"/>
          <w:color w:val="000000" w:themeColor="text1"/>
          <w:spacing w:val="0"/>
          <w:sz w:val="16"/>
          <w:szCs w:val="16"/>
        </w:rPr>
        <w:t xml:space="preserve">при СНК </w:t>
      </w:r>
      <w:r w:rsidRPr="00722885">
        <w:rPr>
          <w:rStyle w:val="16"/>
          <w:rFonts w:ascii="Times New Roman" w:cs="Times New Roman"/>
          <w:color w:val="000000" w:themeColor="text1"/>
          <w:spacing w:val="0"/>
          <w:u w:val="none"/>
        </w:rPr>
        <w:t xml:space="preserve">СССР </w:t>
      </w:r>
      <w:r w:rsidRPr="00722885">
        <w:rPr>
          <w:rFonts w:ascii="Times New Roman" w:cs="Times New Roman"/>
          <w:color w:val="000000" w:themeColor="text1"/>
          <w:spacing w:val="0"/>
          <w:sz w:val="16"/>
          <w:szCs w:val="16"/>
        </w:rPr>
        <w:t xml:space="preserve">- тов.Москатова </w:t>
      </w:r>
      <w:r w:rsidRPr="00722885">
        <w:rPr>
          <w:rStyle w:val="16"/>
          <w:rFonts w:ascii="Times New Roman" w:cs="Times New Roman"/>
          <w:color w:val="000000" w:themeColor="text1"/>
          <w:spacing w:val="0"/>
          <w:u w:val="none"/>
        </w:rPr>
        <w:t>дополнительно организовать в янва</w:t>
      </w:r>
      <w:r w:rsidRPr="00722885">
        <w:rPr>
          <w:rFonts w:ascii="Times New Roman" w:cs="Times New Roman"/>
          <w:color w:val="000000" w:themeColor="text1"/>
          <w:spacing w:val="0"/>
          <w:sz w:val="16"/>
          <w:szCs w:val="16"/>
        </w:rPr>
        <w:t xml:space="preserve">ре 1943 г. в </w:t>
      </w:r>
      <w:r w:rsidRPr="00722885">
        <w:rPr>
          <w:rStyle w:val="16"/>
          <w:rFonts w:ascii="Times New Roman" w:cs="Times New Roman"/>
          <w:color w:val="000000" w:themeColor="text1"/>
          <w:spacing w:val="0"/>
          <w:u w:val="none"/>
        </w:rPr>
        <w:t>гор</w:t>
      </w:r>
      <w:r w:rsidRPr="00722885">
        <w:rPr>
          <w:rFonts w:ascii="Times New Roman" w:cs="Times New Roman"/>
          <w:color w:val="000000" w:themeColor="text1"/>
          <w:spacing w:val="0"/>
          <w:sz w:val="16"/>
          <w:szCs w:val="16"/>
        </w:rPr>
        <w:t xml:space="preserve">.Ижевске ФЗО </w:t>
      </w:r>
      <w:r w:rsidRPr="00722885">
        <w:rPr>
          <w:rStyle w:val="16"/>
          <w:rFonts w:ascii="Times New Roman" w:cs="Times New Roman"/>
          <w:color w:val="000000" w:themeColor="text1"/>
          <w:spacing w:val="0"/>
          <w:u w:val="none"/>
        </w:rPr>
        <w:t xml:space="preserve">с контингентом </w:t>
      </w:r>
      <w:r w:rsidRPr="00722885">
        <w:rPr>
          <w:rFonts w:ascii="Times New Roman" w:cs="Times New Roman"/>
          <w:color w:val="000000" w:themeColor="text1"/>
          <w:spacing w:val="0"/>
          <w:sz w:val="16"/>
          <w:szCs w:val="16"/>
        </w:rPr>
        <w:t xml:space="preserve">учащихся </w:t>
      </w:r>
      <w:r w:rsidRPr="00722885">
        <w:rPr>
          <w:rStyle w:val="16"/>
          <w:rFonts w:ascii="Times New Roman" w:cs="Times New Roman"/>
          <w:color w:val="000000" w:themeColor="text1"/>
          <w:spacing w:val="0"/>
          <w:u w:val="none"/>
        </w:rPr>
        <w:t>1500</w:t>
      </w:r>
      <w:r w:rsidRPr="00722885">
        <w:rPr>
          <w:rFonts w:ascii="Times New Roman" w:cs="Times New Roman"/>
          <w:color w:val="000000" w:themeColor="text1"/>
          <w:spacing w:val="0"/>
          <w:sz w:val="16"/>
          <w:szCs w:val="16"/>
        </w:rPr>
        <w:t xml:space="preserve"> человек, в счет лимита </w:t>
      </w:r>
      <w:r w:rsidRPr="00722885">
        <w:rPr>
          <w:rStyle w:val="16"/>
          <w:rFonts w:ascii="Times New Roman" w:cs="Times New Roman"/>
          <w:color w:val="000000" w:themeColor="text1"/>
          <w:spacing w:val="0"/>
          <w:u w:val="none"/>
        </w:rPr>
        <w:t>дополнительного набора, а также за</w:t>
      </w:r>
      <w:r w:rsidRPr="00722885">
        <w:rPr>
          <w:rFonts w:ascii="Times New Roman" w:cs="Times New Roman"/>
          <w:color w:val="000000" w:themeColor="text1"/>
          <w:spacing w:val="0"/>
          <w:sz w:val="16"/>
          <w:szCs w:val="16"/>
        </w:rPr>
        <w:t xml:space="preserve">крепить за Ижевскими заводами </w:t>
      </w:r>
      <w:r w:rsidRPr="00722885">
        <w:rPr>
          <w:rStyle w:val="16"/>
          <w:rFonts w:ascii="Times New Roman" w:cs="Times New Roman"/>
          <w:color w:val="000000" w:themeColor="text1"/>
          <w:spacing w:val="0"/>
          <w:u w:val="none"/>
        </w:rPr>
        <w:t>Наркомвооружения всех учени</w:t>
      </w:r>
      <w:r w:rsidRPr="00722885">
        <w:rPr>
          <w:rFonts w:ascii="Times New Roman" w:cs="Times New Roman"/>
          <w:color w:val="000000" w:themeColor="text1"/>
          <w:spacing w:val="0"/>
          <w:sz w:val="16"/>
          <w:szCs w:val="16"/>
        </w:rPr>
        <w:t>ков, выпускаемых из ремесленных училищ и школ ФЗО при этих заводах.</w:t>
      </w:r>
    </w:p>
    <w:p w14:paraId="6B3537B4" w14:textId="77777777" w:rsidR="008537C0" w:rsidRPr="00722885" w:rsidRDefault="008537C0" w:rsidP="00722885">
      <w:pPr>
        <w:pStyle w:val="36"/>
        <w:shd w:val="clear" w:color="auto" w:fill="auto"/>
        <w:tabs>
          <w:tab w:val="left" w:pos="988"/>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8. Обязать </w:t>
      </w:r>
      <w:r w:rsidRPr="00722885">
        <w:rPr>
          <w:rStyle w:val="16"/>
          <w:rFonts w:ascii="Times New Roman" w:cs="Times New Roman"/>
          <w:color w:val="000000" w:themeColor="text1"/>
          <w:spacing w:val="0"/>
          <w:u w:val="none"/>
        </w:rPr>
        <w:t xml:space="preserve">Главвоенпромстрой при СНК СССР </w:t>
      </w:r>
      <w:r w:rsidRPr="00722885">
        <w:rPr>
          <w:rFonts w:ascii="Times New Roman" w:cs="Times New Roman"/>
          <w:color w:val="000000" w:themeColor="text1"/>
          <w:spacing w:val="0"/>
          <w:sz w:val="16"/>
          <w:szCs w:val="16"/>
        </w:rPr>
        <w:t xml:space="preserve">- тов.Шапиро обеспечить </w:t>
      </w:r>
      <w:r w:rsidRPr="00722885">
        <w:rPr>
          <w:rStyle w:val="16"/>
          <w:rFonts w:ascii="Times New Roman" w:cs="Times New Roman"/>
          <w:color w:val="000000" w:themeColor="text1"/>
          <w:spacing w:val="0"/>
          <w:u w:val="none"/>
        </w:rPr>
        <w:t xml:space="preserve">строительство </w:t>
      </w:r>
      <w:r w:rsidRPr="00722885">
        <w:rPr>
          <w:rFonts w:ascii="Times New Roman" w:cs="Times New Roman"/>
          <w:color w:val="000000" w:themeColor="text1"/>
          <w:spacing w:val="0"/>
          <w:sz w:val="16"/>
          <w:szCs w:val="16"/>
        </w:rPr>
        <w:t>в г.</w:t>
      </w:r>
      <w:r w:rsidRPr="00722885">
        <w:rPr>
          <w:rStyle w:val="16"/>
          <w:rFonts w:ascii="Times New Roman" w:cs="Times New Roman"/>
          <w:color w:val="000000" w:themeColor="text1"/>
          <w:spacing w:val="0"/>
          <w:u w:val="none"/>
        </w:rPr>
        <w:t xml:space="preserve">Ижевске для завода № 74 в </w:t>
      </w:r>
      <w:r w:rsidRPr="00722885">
        <w:rPr>
          <w:rFonts w:ascii="Times New Roman" w:cs="Times New Roman"/>
          <w:color w:val="000000" w:themeColor="text1"/>
          <w:spacing w:val="0"/>
          <w:sz w:val="16"/>
          <w:szCs w:val="16"/>
        </w:rPr>
        <w:t xml:space="preserve">1-м квартале 1943 гола </w:t>
      </w:r>
      <w:r w:rsidRPr="00722885">
        <w:rPr>
          <w:rStyle w:val="16"/>
          <w:rFonts w:ascii="Times New Roman" w:cs="Times New Roman"/>
          <w:color w:val="000000" w:themeColor="text1"/>
          <w:spacing w:val="0"/>
          <w:u w:val="none"/>
        </w:rPr>
        <w:t xml:space="preserve">15 бараков по 100 человек какдый </w:t>
      </w:r>
      <w:r w:rsidRPr="00722885">
        <w:rPr>
          <w:rFonts w:ascii="Times New Roman" w:cs="Times New Roman"/>
          <w:color w:val="000000" w:themeColor="text1"/>
          <w:spacing w:val="0"/>
          <w:sz w:val="16"/>
          <w:szCs w:val="16"/>
        </w:rPr>
        <w:t xml:space="preserve">и </w:t>
      </w:r>
      <w:r w:rsidRPr="00722885">
        <w:rPr>
          <w:rStyle w:val="16"/>
          <w:rFonts w:ascii="Times New Roman" w:cs="Times New Roman"/>
          <w:color w:val="000000" w:themeColor="text1"/>
          <w:spacing w:val="0"/>
          <w:u w:val="none"/>
        </w:rPr>
        <w:t>во П</w:t>
      </w:r>
      <w:r w:rsidRPr="00722885">
        <w:rPr>
          <w:rFonts w:ascii="Times New Roman" w:cs="Times New Roman"/>
          <w:color w:val="000000" w:themeColor="text1"/>
          <w:spacing w:val="0"/>
          <w:sz w:val="16"/>
          <w:szCs w:val="16"/>
        </w:rPr>
        <w:t xml:space="preserve"> квартале 1943 года </w:t>
      </w:r>
      <w:r w:rsidRPr="00722885">
        <w:rPr>
          <w:rStyle w:val="16"/>
          <w:rFonts w:ascii="Times New Roman" w:cs="Times New Roman"/>
          <w:color w:val="000000" w:themeColor="text1"/>
          <w:spacing w:val="0"/>
          <w:u w:val="none"/>
        </w:rPr>
        <w:t xml:space="preserve">еще 20 </w:t>
      </w:r>
      <w:r w:rsidRPr="00722885">
        <w:rPr>
          <w:rFonts w:ascii="Times New Roman" w:cs="Times New Roman"/>
          <w:color w:val="000000" w:themeColor="text1"/>
          <w:spacing w:val="0"/>
          <w:sz w:val="16"/>
          <w:szCs w:val="16"/>
        </w:rPr>
        <w:t>бараков.</w:t>
      </w:r>
    </w:p>
    <w:p w14:paraId="73A6E18F" w14:textId="77777777" w:rsidR="008537C0" w:rsidRPr="00722885" w:rsidRDefault="008537C0" w:rsidP="00722885">
      <w:pPr>
        <w:pStyle w:val="36"/>
        <w:shd w:val="clear" w:color="auto" w:fill="auto"/>
        <w:tabs>
          <w:tab w:val="left" w:pos="1003"/>
        </w:tabs>
        <w:spacing w:after="0" w:line="240" w:lineRule="auto"/>
        <w:jc w:val="both"/>
        <w:rPr>
          <w:rFonts w:ascii="Times New Roman" w:cs="Times New Roman"/>
          <w:color w:val="000000" w:themeColor="text1"/>
          <w:spacing w:val="0"/>
          <w:sz w:val="16"/>
          <w:szCs w:val="16"/>
        </w:rPr>
      </w:pPr>
      <w:r w:rsidRPr="00722885">
        <w:rPr>
          <w:rStyle w:val="16"/>
          <w:rFonts w:ascii="Times New Roman" w:cs="Times New Roman"/>
          <w:color w:val="000000" w:themeColor="text1"/>
          <w:spacing w:val="0"/>
          <w:u w:val="none"/>
        </w:rPr>
        <w:t xml:space="preserve">9. Обязать НКПС </w:t>
      </w:r>
      <w:r w:rsidRPr="00722885">
        <w:rPr>
          <w:rFonts w:ascii="Times New Roman" w:cs="Times New Roman"/>
          <w:color w:val="000000" w:themeColor="text1"/>
          <w:spacing w:val="0"/>
          <w:sz w:val="16"/>
          <w:szCs w:val="16"/>
        </w:rPr>
        <w:t xml:space="preserve">- </w:t>
      </w:r>
      <w:r w:rsidRPr="00722885">
        <w:rPr>
          <w:rStyle w:val="16"/>
          <w:rFonts w:ascii="Times New Roman" w:cs="Times New Roman"/>
          <w:color w:val="000000" w:themeColor="text1"/>
          <w:spacing w:val="0"/>
          <w:u w:val="none"/>
        </w:rPr>
        <w:t>тов.Хрулева обеспечить срочное выде</w:t>
      </w:r>
      <w:r w:rsidRPr="00722885">
        <w:rPr>
          <w:rFonts w:ascii="Times New Roman" w:cs="Times New Roman"/>
          <w:color w:val="000000" w:themeColor="text1"/>
          <w:spacing w:val="0"/>
          <w:sz w:val="16"/>
          <w:szCs w:val="16"/>
        </w:rPr>
        <w:t xml:space="preserve">ление вагонов под погрузку </w:t>
      </w:r>
      <w:r w:rsidRPr="00722885">
        <w:rPr>
          <w:rStyle w:val="16"/>
          <w:rFonts w:ascii="Times New Roman" w:cs="Times New Roman"/>
          <w:color w:val="000000" w:themeColor="text1"/>
          <w:spacing w:val="0"/>
          <w:u w:val="none"/>
        </w:rPr>
        <w:t>обору</w:t>
      </w:r>
      <w:r w:rsidRPr="00722885">
        <w:rPr>
          <w:rFonts w:ascii="Times New Roman" w:cs="Times New Roman"/>
          <w:color w:val="000000" w:themeColor="text1"/>
          <w:spacing w:val="0"/>
          <w:sz w:val="16"/>
          <w:szCs w:val="16"/>
        </w:rPr>
        <w:t xml:space="preserve">дования и материалов для строительства цехов, </w:t>
      </w:r>
      <w:r w:rsidRPr="00722885">
        <w:rPr>
          <w:rStyle w:val="16"/>
          <w:rFonts w:ascii="Times New Roman" w:cs="Times New Roman"/>
          <w:color w:val="000000" w:themeColor="text1"/>
          <w:spacing w:val="0"/>
          <w:u w:val="none"/>
        </w:rPr>
        <w:t xml:space="preserve">а </w:t>
      </w:r>
      <w:r w:rsidRPr="00722885">
        <w:rPr>
          <w:rFonts w:ascii="Times New Roman" w:cs="Times New Roman"/>
          <w:color w:val="000000" w:themeColor="text1"/>
          <w:spacing w:val="0"/>
          <w:sz w:val="16"/>
          <w:szCs w:val="16"/>
        </w:rPr>
        <w:t xml:space="preserve">также </w:t>
      </w:r>
      <w:r w:rsidRPr="00722885">
        <w:rPr>
          <w:rStyle w:val="16"/>
          <w:rFonts w:ascii="Times New Roman" w:cs="Times New Roman"/>
          <w:color w:val="000000" w:themeColor="text1"/>
          <w:spacing w:val="0"/>
          <w:u w:val="none"/>
        </w:rPr>
        <w:t xml:space="preserve">для производства </w:t>
      </w:r>
      <w:r w:rsidRPr="00722885">
        <w:rPr>
          <w:rFonts w:ascii="Times New Roman" w:cs="Times New Roman"/>
          <w:color w:val="000000" w:themeColor="text1"/>
          <w:spacing w:val="0"/>
          <w:sz w:val="16"/>
          <w:szCs w:val="16"/>
        </w:rPr>
        <w:t xml:space="preserve">37-ым </w:t>
      </w:r>
      <w:r w:rsidRPr="00722885">
        <w:rPr>
          <w:rStyle w:val="16"/>
          <w:rFonts w:ascii="Times New Roman" w:cs="Times New Roman"/>
          <w:color w:val="000000" w:themeColor="text1"/>
          <w:spacing w:val="0"/>
          <w:u w:val="none"/>
        </w:rPr>
        <w:t xml:space="preserve">пушек, </w:t>
      </w:r>
      <w:r w:rsidRPr="00722885">
        <w:rPr>
          <w:rFonts w:ascii="Times New Roman" w:cs="Times New Roman"/>
          <w:color w:val="000000" w:themeColor="text1"/>
          <w:spacing w:val="0"/>
          <w:sz w:val="16"/>
          <w:szCs w:val="16"/>
        </w:rPr>
        <w:t>согласно заявок НКВ.</w:t>
      </w:r>
    </w:p>
    <w:p w14:paraId="64281DD0" w14:textId="77777777" w:rsidR="008537C0" w:rsidRPr="00722885" w:rsidRDefault="008537C0" w:rsidP="00722885">
      <w:pPr>
        <w:pStyle w:val="36"/>
        <w:shd w:val="clear" w:color="auto" w:fill="auto"/>
        <w:tabs>
          <w:tab w:val="left" w:pos="1123"/>
        </w:tabs>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10. Разрешить </w:t>
      </w:r>
      <w:r w:rsidRPr="00722885">
        <w:rPr>
          <w:rStyle w:val="16"/>
          <w:rFonts w:ascii="Times New Roman" w:cs="Times New Roman"/>
          <w:color w:val="000000" w:themeColor="text1"/>
          <w:spacing w:val="0"/>
          <w:u w:val="none"/>
        </w:rPr>
        <w:t xml:space="preserve">НКВ </w:t>
      </w:r>
      <w:r w:rsidRPr="00722885">
        <w:rPr>
          <w:rFonts w:ascii="Times New Roman" w:cs="Times New Roman"/>
          <w:color w:val="000000" w:themeColor="text1"/>
          <w:spacing w:val="0"/>
          <w:sz w:val="16"/>
          <w:szCs w:val="16"/>
        </w:rPr>
        <w:t xml:space="preserve">- </w:t>
      </w:r>
      <w:r w:rsidRPr="00722885">
        <w:rPr>
          <w:rStyle w:val="16"/>
          <w:rFonts w:ascii="Times New Roman" w:cs="Times New Roman"/>
          <w:color w:val="000000" w:themeColor="text1"/>
          <w:spacing w:val="0"/>
          <w:u w:val="none"/>
        </w:rPr>
        <w:t xml:space="preserve">тов.Устинову </w:t>
      </w:r>
      <w:r w:rsidRPr="00722885">
        <w:rPr>
          <w:rFonts w:ascii="Times New Roman" w:cs="Times New Roman"/>
          <w:color w:val="000000" w:themeColor="text1"/>
          <w:spacing w:val="0"/>
          <w:sz w:val="16"/>
          <w:szCs w:val="16"/>
        </w:rPr>
        <w:t>загрузить станкострои</w:t>
      </w:r>
      <w:r w:rsidRPr="00722885">
        <w:rPr>
          <w:rFonts w:ascii="Times New Roman" w:cs="Times New Roman"/>
          <w:color w:val="000000" w:themeColor="text1"/>
          <w:spacing w:val="0"/>
          <w:sz w:val="16"/>
          <w:szCs w:val="16"/>
        </w:rPr>
        <w:softHyphen/>
        <w:t xml:space="preserve">тельный цех завода 74 до 1 </w:t>
      </w:r>
      <w:r w:rsidRPr="00722885">
        <w:rPr>
          <w:rStyle w:val="16"/>
          <w:rFonts w:ascii="Times New Roman" w:cs="Times New Roman"/>
          <w:color w:val="000000" w:themeColor="text1"/>
          <w:spacing w:val="0"/>
          <w:u w:val="none"/>
        </w:rPr>
        <w:t xml:space="preserve">февраля </w:t>
      </w:r>
      <w:r w:rsidRPr="00722885">
        <w:rPr>
          <w:rFonts w:ascii="Times New Roman" w:cs="Times New Roman"/>
          <w:color w:val="000000" w:themeColor="text1"/>
          <w:spacing w:val="0"/>
          <w:sz w:val="16"/>
          <w:szCs w:val="16"/>
        </w:rPr>
        <w:t xml:space="preserve">1943 </w:t>
      </w:r>
      <w:r w:rsidRPr="00722885">
        <w:rPr>
          <w:rStyle w:val="16"/>
          <w:rFonts w:ascii="Times New Roman" w:cs="Times New Roman"/>
          <w:color w:val="000000" w:themeColor="text1"/>
          <w:spacing w:val="0"/>
          <w:u w:val="none"/>
        </w:rPr>
        <w:t xml:space="preserve">года только </w:t>
      </w:r>
      <w:r w:rsidRPr="00722885">
        <w:rPr>
          <w:rFonts w:ascii="Times New Roman" w:cs="Times New Roman"/>
          <w:color w:val="000000" w:themeColor="text1"/>
          <w:spacing w:val="0"/>
          <w:sz w:val="16"/>
          <w:szCs w:val="16"/>
        </w:rPr>
        <w:t>изго</w:t>
      </w:r>
      <w:r w:rsidRPr="00722885">
        <w:rPr>
          <w:rFonts w:ascii="Times New Roman" w:cs="Times New Roman"/>
          <w:color w:val="000000" w:themeColor="text1"/>
          <w:spacing w:val="0"/>
          <w:sz w:val="16"/>
          <w:szCs w:val="16"/>
        </w:rPr>
        <w:softHyphen/>
        <w:t xml:space="preserve">товлением специальных станков и </w:t>
      </w:r>
      <w:r w:rsidRPr="00722885">
        <w:rPr>
          <w:rStyle w:val="16"/>
          <w:rFonts w:ascii="Times New Roman" w:cs="Times New Roman"/>
          <w:color w:val="000000" w:themeColor="text1"/>
          <w:spacing w:val="0"/>
          <w:u w:val="none"/>
        </w:rPr>
        <w:t>освободить завод № 74 НКВ от</w:t>
      </w:r>
      <w:r w:rsidRPr="00722885">
        <w:rPr>
          <w:rFonts w:ascii="Times New Roman" w:cs="Times New Roman"/>
          <w:color w:val="000000" w:themeColor="text1"/>
          <w:spacing w:val="0"/>
          <w:sz w:val="16"/>
          <w:szCs w:val="16"/>
        </w:rPr>
        <w:t xml:space="preserve"> каких-либо Поставок станков </w:t>
      </w:r>
      <w:r w:rsidRPr="00722885">
        <w:rPr>
          <w:rStyle w:val="16"/>
          <w:rFonts w:ascii="Times New Roman" w:cs="Times New Roman"/>
          <w:color w:val="000000" w:themeColor="text1"/>
          <w:spacing w:val="0"/>
          <w:u w:val="none"/>
        </w:rPr>
        <w:t>другим наркомата.</w:t>
      </w:r>
    </w:p>
    <w:p w14:paraId="720C9FEF" w14:textId="77777777" w:rsidR="008537C0" w:rsidRPr="00722885" w:rsidRDefault="008537C0"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11. Обязать </w:t>
      </w:r>
      <w:r w:rsidRPr="00722885">
        <w:rPr>
          <w:rStyle w:val="16"/>
          <w:rFonts w:ascii="Times New Roman" w:cs="Times New Roman"/>
          <w:color w:val="000000" w:themeColor="text1"/>
          <w:spacing w:val="0"/>
          <w:u w:val="none"/>
        </w:rPr>
        <w:t xml:space="preserve">Наркомлегпром </w:t>
      </w:r>
      <w:r w:rsidRPr="00722885">
        <w:rPr>
          <w:rFonts w:ascii="Times New Roman" w:cs="Times New Roman"/>
          <w:color w:val="000000" w:themeColor="text1"/>
          <w:spacing w:val="0"/>
          <w:sz w:val="16"/>
          <w:szCs w:val="16"/>
        </w:rPr>
        <w:t xml:space="preserve">- </w:t>
      </w:r>
      <w:r w:rsidRPr="00722885">
        <w:rPr>
          <w:rStyle w:val="16"/>
          <w:rFonts w:ascii="Times New Roman" w:cs="Times New Roman"/>
          <w:color w:val="000000" w:themeColor="text1"/>
          <w:spacing w:val="0"/>
          <w:u w:val="none"/>
        </w:rPr>
        <w:t>тов.Лукина, Наркомтекстпль-</w:t>
      </w:r>
      <w:r w:rsidRPr="00722885">
        <w:rPr>
          <w:rFonts w:ascii="Times New Roman" w:cs="Times New Roman"/>
          <w:color w:val="000000" w:themeColor="text1"/>
          <w:spacing w:val="0"/>
          <w:sz w:val="16"/>
          <w:szCs w:val="16"/>
        </w:rPr>
        <w:t xml:space="preserve"> пром - тов.Акимова, Наркомпищепром - тов.</w:t>
      </w:r>
      <w:r w:rsidRPr="00722885">
        <w:rPr>
          <w:rStyle w:val="16"/>
          <w:rFonts w:ascii="Times New Roman" w:cs="Times New Roman"/>
          <w:color w:val="000000" w:themeColor="text1"/>
          <w:spacing w:val="0"/>
          <w:u w:val="none"/>
        </w:rPr>
        <w:t>Пронина, Наркоммясо</w:t>
      </w:r>
      <w:r w:rsidRPr="00722885">
        <w:rPr>
          <w:rFonts w:ascii="Times New Roman" w:cs="Times New Roman"/>
          <w:color w:val="000000" w:themeColor="text1"/>
          <w:spacing w:val="0"/>
          <w:sz w:val="16"/>
          <w:szCs w:val="16"/>
        </w:rPr>
        <w:t xml:space="preserve">молпром - тов.Смирнова, </w:t>
      </w:r>
      <w:r w:rsidRPr="00722885">
        <w:rPr>
          <w:rStyle w:val="16"/>
          <w:rFonts w:ascii="Times New Roman" w:cs="Times New Roman"/>
          <w:color w:val="000000" w:themeColor="text1"/>
          <w:spacing w:val="0"/>
          <w:u w:val="none"/>
        </w:rPr>
        <w:t xml:space="preserve">Наркомрыбпром </w:t>
      </w:r>
      <w:r w:rsidRPr="00722885">
        <w:rPr>
          <w:rFonts w:ascii="Times New Roman" w:cs="Times New Roman"/>
          <w:color w:val="000000" w:themeColor="text1"/>
          <w:spacing w:val="0"/>
          <w:sz w:val="16"/>
          <w:szCs w:val="16"/>
        </w:rPr>
        <w:t>- тов. И</w:t>
      </w:r>
      <w:r w:rsidRPr="00722885">
        <w:rPr>
          <w:rStyle w:val="16"/>
          <w:rFonts w:ascii="Times New Roman" w:cs="Times New Roman"/>
          <w:color w:val="000000" w:themeColor="text1"/>
          <w:spacing w:val="0"/>
          <w:u w:val="none"/>
        </w:rPr>
        <w:t>шкова, Нарком</w:t>
      </w:r>
      <w:r w:rsidRPr="00722885">
        <w:rPr>
          <w:rFonts w:ascii="Times New Roman" w:cs="Times New Roman"/>
          <w:color w:val="000000" w:themeColor="text1"/>
          <w:spacing w:val="0"/>
          <w:sz w:val="16"/>
          <w:szCs w:val="16"/>
        </w:rPr>
        <w:t xml:space="preserve">ваг - тов.Субботина обеспечить отоваривание </w:t>
      </w:r>
      <w:r w:rsidRPr="00722885">
        <w:rPr>
          <w:rStyle w:val="16"/>
          <w:rFonts w:ascii="Times New Roman" w:cs="Times New Roman"/>
          <w:color w:val="000000" w:themeColor="text1"/>
          <w:spacing w:val="0"/>
          <w:u w:val="none"/>
        </w:rPr>
        <w:t xml:space="preserve">фондов </w:t>
      </w:r>
      <w:r w:rsidRPr="00722885">
        <w:rPr>
          <w:rFonts w:ascii="Times New Roman" w:cs="Times New Roman"/>
          <w:color w:val="000000" w:themeColor="text1"/>
          <w:spacing w:val="0"/>
          <w:sz w:val="16"/>
          <w:szCs w:val="16"/>
        </w:rPr>
        <w:t xml:space="preserve">1 </w:t>
      </w:r>
      <w:r w:rsidRPr="00722885">
        <w:rPr>
          <w:rStyle w:val="16"/>
          <w:rFonts w:ascii="Times New Roman" w:cs="Times New Roman"/>
          <w:color w:val="000000" w:themeColor="text1"/>
          <w:spacing w:val="0"/>
          <w:u w:val="none"/>
        </w:rPr>
        <w:t>квар</w:t>
      </w:r>
      <w:r w:rsidRPr="00722885">
        <w:rPr>
          <w:rFonts w:ascii="Times New Roman" w:cs="Times New Roman"/>
          <w:color w:val="000000" w:themeColor="text1"/>
          <w:spacing w:val="0"/>
          <w:sz w:val="16"/>
          <w:szCs w:val="16"/>
        </w:rPr>
        <w:t xml:space="preserve">тала на промтовары и продтовары </w:t>
      </w:r>
      <w:r w:rsidRPr="00722885">
        <w:rPr>
          <w:rStyle w:val="16"/>
          <w:rFonts w:ascii="Times New Roman" w:cs="Times New Roman"/>
          <w:color w:val="000000" w:themeColor="text1"/>
          <w:spacing w:val="0"/>
          <w:u w:val="none"/>
        </w:rPr>
        <w:t>для завода № 74 в следующие</w:t>
      </w:r>
      <w:r w:rsidRPr="00722885">
        <w:rPr>
          <w:rFonts w:ascii="Times New Roman" w:cs="Times New Roman"/>
          <w:color w:val="000000" w:themeColor="text1"/>
          <w:spacing w:val="0"/>
          <w:sz w:val="16"/>
          <w:szCs w:val="16"/>
        </w:rPr>
        <w:t xml:space="preserve"> сроки: 50</w:t>
      </w:r>
      <w:r w:rsidRPr="00722885">
        <w:rPr>
          <w:rStyle w:val="16"/>
          <w:rFonts w:ascii="Times New Roman" w:cs="Times New Roman"/>
          <w:color w:val="000000" w:themeColor="text1"/>
          <w:spacing w:val="0"/>
          <w:u w:val="none"/>
        </w:rPr>
        <w:t xml:space="preserve">% </w:t>
      </w:r>
      <w:r w:rsidRPr="00722885">
        <w:rPr>
          <w:rFonts w:ascii="Times New Roman" w:cs="Times New Roman"/>
          <w:color w:val="000000" w:themeColor="text1"/>
          <w:spacing w:val="0"/>
          <w:sz w:val="16"/>
          <w:szCs w:val="16"/>
        </w:rPr>
        <w:t xml:space="preserve">к </w:t>
      </w:r>
      <w:r w:rsidRPr="00722885">
        <w:rPr>
          <w:rStyle w:val="16"/>
          <w:rFonts w:ascii="Times New Roman" w:cs="Times New Roman"/>
          <w:color w:val="000000" w:themeColor="text1"/>
          <w:spacing w:val="0"/>
          <w:u w:val="none"/>
        </w:rPr>
        <w:t xml:space="preserve">20 января </w:t>
      </w:r>
      <w:r w:rsidRPr="00722885">
        <w:rPr>
          <w:rFonts w:ascii="Times New Roman" w:cs="Times New Roman"/>
          <w:color w:val="000000" w:themeColor="text1"/>
          <w:spacing w:val="0"/>
          <w:sz w:val="16"/>
          <w:szCs w:val="16"/>
        </w:rPr>
        <w:t xml:space="preserve">194о </w:t>
      </w:r>
      <w:r w:rsidRPr="00722885">
        <w:rPr>
          <w:rStyle w:val="16"/>
          <w:rFonts w:ascii="Times New Roman" w:cs="Times New Roman"/>
          <w:color w:val="000000" w:themeColor="text1"/>
          <w:spacing w:val="0"/>
          <w:u w:val="none"/>
        </w:rPr>
        <w:t xml:space="preserve">года </w:t>
      </w:r>
      <w:r w:rsidRPr="00722885">
        <w:rPr>
          <w:rFonts w:ascii="Times New Roman" w:cs="Times New Roman"/>
          <w:color w:val="000000" w:themeColor="text1"/>
          <w:spacing w:val="0"/>
          <w:sz w:val="16"/>
          <w:szCs w:val="16"/>
        </w:rPr>
        <w:t xml:space="preserve">и </w:t>
      </w:r>
      <w:r w:rsidRPr="00722885">
        <w:rPr>
          <w:rStyle w:val="16"/>
          <w:rFonts w:ascii="Times New Roman" w:cs="Times New Roman"/>
          <w:color w:val="000000" w:themeColor="text1"/>
          <w:spacing w:val="0"/>
          <w:u w:val="none"/>
        </w:rPr>
        <w:t xml:space="preserve">остальные 50% </w:t>
      </w:r>
      <w:r w:rsidRPr="00722885">
        <w:rPr>
          <w:rFonts w:ascii="Times New Roman" w:cs="Times New Roman"/>
          <w:color w:val="000000" w:themeColor="text1"/>
          <w:spacing w:val="0"/>
          <w:sz w:val="16"/>
          <w:szCs w:val="16"/>
        </w:rPr>
        <w:t xml:space="preserve">к </w:t>
      </w:r>
      <w:r w:rsidRPr="00722885">
        <w:rPr>
          <w:rStyle w:val="16"/>
          <w:rFonts w:ascii="Times New Roman" w:cs="Times New Roman"/>
          <w:color w:val="000000" w:themeColor="text1"/>
          <w:spacing w:val="0"/>
          <w:u w:val="none"/>
        </w:rPr>
        <w:t>20 февра</w:t>
      </w:r>
      <w:r w:rsidRPr="00722885">
        <w:rPr>
          <w:rFonts w:ascii="Times New Roman" w:cs="Times New Roman"/>
          <w:color w:val="000000" w:themeColor="text1"/>
          <w:spacing w:val="0"/>
          <w:sz w:val="16"/>
          <w:szCs w:val="16"/>
        </w:rPr>
        <w:t>ля 1943 года.</w:t>
      </w:r>
    </w:p>
    <w:p w14:paraId="696078D3" w14:textId="77777777" w:rsidR="008537C0" w:rsidRPr="00722885" w:rsidRDefault="008537C0" w:rsidP="00722885">
      <w:pPr>
        <w:pStyle w:val="5f2"/>
        <w:shd w:val="clear" w:color="auto" w:fill="auto"/>
        <w:tabs>
          <w:tab w:val="left" w:pos="1148"/>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12. Обязать НКЛП СССР - т.Лукина отпустить до 20 января 1943 г. целевым назначением заводу №' 74 НКВ и Стройтресту № 51 НКВ: ватных костюмов - 2800 компл., валенок - </w:t>
      </w:r>
      <w:r w:rsidRPr="00722885">
        <w:rPr>
          <w:rStyle w:val="16"/>
          <w:rFonts w:ascii="Times New Roman" w:hAnsi="Times New Roman" w:cs="Times New Roman"/>
          <w:color w:val="000000" w:themeColor="text1"/>
          <w:spacing w:val="0"/>
          <w:u w:val="none"/>
        </w:rPr>
        <w:t xml:space="preserve">300 </w:t>
      </w:r>
      <w:r w:rsidRPr="00722885">
        <w:rPr>
          <w:rFonts w:ascii="Times New Roman" w:hAnsi="Times New Roman" w:cs="Times New Roman"/>
          <w:color w:val="000000" w:themeColor="text1"/>
          <w:sz w:val="16"/>
          <w:szCs w:val="16"/>
        </w:rPr>
        <w:t>пар, ботинок - 1500 пар.</w:t>
      </w:r>
    </w:p>
    <w:p w14:paraId="35083129" w14:textId="77777777" w:rsidR="008537C0" w:rsidRPr="00722885" w:rsidRDefault="008537C0" w:rsidP="00722885">
      <w:pPr>
        <w:pStyle w:val="5f2"/>
        <w:shd w:val="clear" w:color="auto" w:fill="auto"/>
        <w:tabs>
          <w:tab w:val="left" w:pos="2153"/>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13. Обязать Наркомтекстильпром - т.Акимова отпустить НКВ целевым назначением для завода № 74 в январе </w:t>
      </w:r>
      <w:r w:rsidRPr="00722885">
        <w:rPr>
          <w:rStyle w:val="0pt"/>
          <w:rFonts w:ascii="Times New Roman" w:hAnsi="Times New Roman" w:cs="Times New Roman"/>
          <w:color w:val="000000" w:themeColor="text1"/>
          <w:spacing w:val="0"/>
          <w:sz w:val="16"/>
          <w:szCs w:val="16"/>
        </w:rPr>
        <w:t>1943</w:t>
      </w:r>
      <w:r w:rsidRPr="00722885">
        <w:rPr>
          <w:rFonts w:ascii="Times New Roman" w:hAnsi="Times New Roman" w:cs="Times New Roman"/>
          <w:color w:val="000000" w:themeColor="text1"/>
          <w:sz w:val="16"/>
          <w:szCs w:val="16"/>
        </w:rPr>
        <w:t xml:space="preserve"> года тканей хлопчатобуманных для постельных принадлежностей </w:t>
      </w:r>
      <w:r w:rsidRPr="00722885">
        <w:rPr>
          <w:rStyle w:val="0pt"/>
          <w:rFonts w:ascii="Times New Roman" w:hAnsi="Times New Roman" w:cs="Times New Roman"/>
          <w:color w:val="000000" w:themeColor="text1"/>
          <w:spacing w:val="0"/>
          <w:sz w:val="16"/>
          <w:szCs w:val="16"/>
        </w:rPr>
        <w:t>на 280</w:t>
      </w:r>
      <w:r w:rsidRPr="00722885">
        <w:rPr>
          <w:rStyle w:val="16"/>
          <w:rFonts w:ascii="Times New Roman" w:hAnsi="Times New Roman" w:cs="Times New Roman"/>
          <w:color w:val="000000" w:themeColor="text1"/>
          <w:spacing w:val="0"/>
          <w:u w:val="none"/>
        </w:rPr>
        <w:t xml:space="preserve"> </w:t>
      </w:r>
      <w:r w:rsidRPr="00722885">
        <w:rPr>
          <w:rFonts w:ascii="Times New Roman" w:hAnsi="Times New Roman" w:cs="Times New Roman"/>
          <w:color w:val="000000" w:themeColor="text1"/>
          <w:sz w:val="16"/>
          <w:szCs w:val="16"/>
        </w:rPr>
        <w:t xml:space="preserve">тыс.р. за счет рынка и одеял </w:t>
      </w:r>
      <w:r w:rsidRPr="00722885">
        <w:rPr>
          <w:rStyle w:val="0pt"/>
          <w:rFonts w:ascii="Times New Roman" w:hAnsi="Times New Roman" w:cs="Times New Roman"/>
          <w:color w:val="000000" w:themeColor="text1"/>
          <w:spacing w:val="0"/>
          <w:sz w:val="16"/>
          <w:szCs w:val="16"/>
        </w:rPr>
        <w:t>2800</w:t>
      </w:r>
      <w:r w:rsidRPr="00722885">
        <w:rPr>
          <w:rFonts w:ascii="Times New Roman" w:hAnsi="Times New Roman" w:cs="Times New Roman"/>
          <w:color w:val="000000" w:themeColor="text1"/>
          <w:sz w:val="16"/>
          <w:szCs w:val="16"/>
        </w:rPr>
        <w:t xml:space="preserve"> шт. за счет НКО.</w:t>
      </w:r>
    </w:p>
    <w:p w14:paraId="1652CB10" w14:textId="77777777" w:rsidR="008537C0" w:rsidRPr="00722885" w:rsidRDefault="008537C0" w:rsidP="00722885">
      <w:pPr>
        <w:pStyle w:val="5f2"/>
        <w:shd w:val="clear" w:color="auto" w:fill="auto"/>
        <w:tabs>
          <w:tab w:val="left" w:pos="1178"/>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14. Обязать </w:t>
      </w:r>
      <w:r w:rsidRPr="00722885">
        <w:rPr>
          <w:rStyle w:val="0pt"/>
          <w:rFonts w:ascii="Times New Roman" w:hAnsi="Times New Roman" w:cs="Times New Roman"/>
          <w:color w:val="000000" w:themeColor="text1"/>
          <w:spacing w:val="0"/>
          <w:sz w:val="16"/>
          <w:szCs w:val="16"/>
          <w:lang w:val="en-US"/>
        </w:rPr>
        <w:t>H</w:t>
      </w:r>
      <w:r w:rsidRPr="00722885">
        <w:rPr>
          <w:rStyle w:val="0pt"/>
          <w:rFonts w:ascii="Times New Roman" w:hAnsi="Times New Roman" w:cs="Times New Roman"/>
          <w:color w:val="000000" w:themeColor="text1"/>
          <w:spacing w:val="0"/>
          <w:sz w:val="16"/>
          <w:szCs w:val="16"/>
        </w:rPr>
        <w:t>КХП -</w:t>
      </w:r>
      <w:r w:rsidRPr="00722885">
        <w:rPr>
          <w:rFonts w:ascii="Times New Roman" w:hAnsi="Times New Roman" w:cs="Times New Roman"/>
          <w:color w:val="000000" w:themeColor="text1"/>
          <w:sz w:val="16"/>
          <w:szCs w:val="16"/>
        </w:rPr>
        <w:t xml:space="preserve"> т.Первухина обеспечить отгрузку заво</w:t>
      </w:r>
      <w:r w:rsidRPr="00722885">
        <w:rPr>
          <w:rFonts w:ascii="Times New Roman" w:hAnsi="Times New Roman" w:cs="Times New Roman"/>
          <w:color w:val="000000" w:themeColor="text1"/>
          <w:sz w:val="16"/>
          <w:szCs w:val="16"/>
        </w:rPr>
        <w:softHyphen/>
      </w:r>
      <w:r w:rsidRPr="00722885">
        <w:rPr>
          <w:rStyle w:val="0pt"/>
          <w:rFonts w:ascii="Times New Roman" w:hAnsi="Times New Roman" w:cs="Times New Roman"/>
          <w:color w:val="000000" w:themeColor="text1"/>
          <w:spacing w:val="0"/>
          <w:sz w:val="16"/>
          <w:szCs w:val="16"/>
        </w:rPr>
        <w:t>ду № 74 НКВ</w:t>
      </w:r>
      <w:r w:rsidRPr="00722885">
        <w:rPr>
          <w:rFonts w:ascii="Times New Roman" w:hAnsi="Times New Roman" w:cs="Times New Roman"/>
          <w:color w:val="000000" w:themeColor="text1"/>
          <w:sz w:val="16"/>
          <w:szCs w:val="16"/>
        </w:rPr>
        <w:t xml:space="preserve"> в январе </w:t>
      </w:r>
      <w:r w:rsidRPr="00722885">
        <w:rPr>
          <w:rStyle w:val="0pt"/>
          <w:rFonts w:ascii="Times New Roman" w:hAnsi="Times New Roman" w:cs="Times New Roman"/>
          <w:color w:val="000000" w:themeColor="text1"/>
          <w:spacing w:val="0"/>
          <w:sz w:val="16"/>
          <w:szCs w:val="16"/>
        </w:rPr>
        <w:t>1943</w:t>
      </w:r>
      <w:r w:rsidRPr="00722885">
        <w:rPr>
          <w:rFonts w:ascii="Times New Roman" w:hAnsi="Times New Roman" w:cs="Times New Roman"/>
          <w:color w:val="000000" w:themeColor="text1"/>
          <w:sz w:val="16"/>
          <w:szCs w:val="16"/>
        </w:rPr>
        <w:t xml:space="preserve"> г. соды каустической 30 тонн, соды кальцинированной 32 тонны , нитрита-натрия </w:t>
      </w:r>
      <w:r w:rsidRPr="00722885">
        <w:rPr>
          <w:rStyle w:val="16"/>
          <w:rFonts w:ascii="Times New Roman" w:hAnsi="Times New Roman" w:cs="Times New Roman"/>
          <w:color w:val="000000" w:themeColor="text1"/>
          <w:spacing w:val="0"/>
          <w:u w:val="none"/>
        </w:rPr>
        <w:t xml:space="preserve">5 </w:t>
      </w:r>
      <w:r w:rsidRPr="00722885">
        <w:rPr>
          <w:rFonts w:ascii="Times New Roman" w:hAnsi="Times New Roman" w:cs="Times New Roman"/>
          <w:color w:val="000000" w:themeColor="text1"/>
          <w:sz w:val="16"/>
          <w:szCs w:val="16"/>
        </w:rPr>
        <w:t>тонн.</w:t>
      </w:r>
    </w:p>
    <w:p w14:paraId="0144DE23" w14:textId="77777777" w:rsidR="008537C0" w:rsidRPr="00722885" w:rsidRDefault="008537C0" w:rsidP="00722885">
      <w:pPr>
        <w:pStyle w:val="5f2"/>
        <w:shd w:val="clear" w:color="auto" w:fill="auto"/>
        <w:tabs>
          <w:tab w:val="left" w:pos="1155"/>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15. Освободить работающих на заводе № 74 НКВ, в том чис</w:t>
      </w:r>
      <w:r w:rsidRPr="00722885">
        <w:rPr>
          <w:rFonts w:ascii="Times New Roman" w:hAnsi="Times New Roman" w:cs="Times New Roman"/>
          <w:color w:val="000000" w:themeColor="text1"/>
          <w:sz w:val="16"/>
          <w:szCs w:val="16"/>
        </w:rPr>
        <w:softHyphen/>
        <w:t xml:space="preserve">ле и призывников рождения </w:t>
      </w:r>
      <w:r w:rsidRPr="00722885">
        <w:rPr>
          <w:rStyle w:val="0pt"/>
          <w:rFonts w:ascii="Times New Roman" w:hAnsi="Times New Roman" w:cs="Times New Roman"/>
          <w:color w:val="000000" w:themeColor="text1"/>
          <w:spacing w:val="0"/>
          <w:sz w:val="16"/>
          <w:szCs w:val="16"/>
        </w:rPr>
        <w:t xml:space="preserve">1922-1925 </w:t>
      </w:r>
      <w:r w:rsidRPr="00722885">
        <w:rPr>
          <w:rStyle w:val="1pt"/>
          <w:rFonts w:ascii="Times New Roman" w:hAnsi="Times New Roman" w:cs="Times New Roman"/>
          <w:color w:val="000000" w:themeColor="text1"/>
          <w:spacing w:val="0"/>
          <w:sz w:val="16"/>
          <w:szCs w:val="16"/>
        </w:rPr>
        <w:t>г.г.,</w:t>
      </w:r>
      <w:r w:rsidRPr="00722885">
        <w:rPr>
          <w:rFonts w:ascii="Times New Roman" w:hAnsi="Times New Roman" w:cs="Times New Roman"/>
          <w:color w:val="000000" w:themeColor="text1"/>
          <w:sz w:val="16"/>
          <w:szCs w:val="16"/>
        </w:rPr>
        <w:t xml:space="preserve"> от призыва в Крас</w:t>
      </w:r>
      <w:r w:rsidRPr="00722885">
        <w:rPr>
          <w:rFonts w:ascii="Times New Roman" w:hAnsi="Times New Roman" w:cs="Times New Roman"/>
          <w:color w:val="000000" w:themeColor="text1"/>
          <w:sz w:val="16"/>
          <w:szCs w:val="16"/>
        </w:rPr>
        <w:softHyphen/>
        <w:t xml:space="preserve">ную Армию </w:t>
      </w:r>
      <w:r w:rsidRPr="00722885">
        <w:rPr>
          <w:rStyle w:val="16"/>
          <w:rFonts w:ascii="Times New Roman" w:hAnsi="Times New Roman" w:cs="Times New Roman"/>
          <w:color w:val="000000" w:themeColor="text1"/>
          <w:spacing w:val="0"/>
          <w:u w:val="none"/>
        </w:rPr>
        <w:t xml:space="preserve">до </w:t>
      </w:r>
      <w:r w:rsidRPr="00722885">
        <w:rPr>
          <w:rFonts w:ascii="Times New Roman" w:hAnsi="Times New Roman" w:cs="Times New Roman"/>
          <w:color w:val="000000" w:themeColor="text1"/>
          <w:sz w:val="16"/>
          <w:szCs w:val="16"/>
        </w:rPr>
        <w:t xml:space="preserve">1 июля </w:t>
      </w:r>
      <w:r w:rsidRPr="00722885">
        <w:rPr>
          <w:rStyle w:val="0pt"/>
          <w:rFonts w:ascii="Times New Roman" w:hAnsi="Times New Roman" w:cs="Times New Roman"/>
          <w:color w:val="000000" w:themeColor="text1"/>
          <w:spacing w:val="0"/>
          <w:sz w:val="16"/>
          <w:szCs w:val="16"/>
        </w:rPr>
        <w:t>1943</w:t>
      </w:r>
      <w:r w:rsidRPr="00722885">
        <w:rPr>
          <w:rFonts w:ascii="Times New Roman" w:hAnsi="Times New Roman" w:cs="Times New Roman"/>
          <w:color w:val="000000" w:themeColor="text1"/>
          <w:sz w:val="16"/>
          <w:szCs w:val="16"/>
        </w:rPr>
        <w:t xml:space="preserve"> года.</w:t>
      </w:r>
    </w:p>
    <w:p w14:paraId="4A0A9678" w14:textId="77777777" w:rsidR="008537C0" w:rsidRPr="00722885" w:rsidRDefault="008537C0" w:rsidP="00722885">
      <w:pPr>
        <w:pStyle w:val="5f2"/>
        <w:shd w:val="clear" w:color="auto" w:fill="auto"/>
        <w:tabs>
          <w:tab w:val="left" w:pos="1163"/>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16. Обязать Промбанк-т.Гроссмана производить финансиро</w:t>
      </w:r>
      <w:r w:rsidRPr="00722885">
        <w:rPr>
          <w:rFonts w:ascii="Times New Roman" w:hAnsi="Times New Roman" w:cs="Times New Roman"/>
          <w:color w:val="000000" w:themeColor="text1"/>
          <w:sz w:val="16"/>
          <w:szCs w:val="16"/>
        </w:rPr>
        <w:softHyphen/>
        <w:t>вание об"ектов, предназначенных для производства 37-мм пушек, без проектов и смет.</w:t>
      </w:r>
    </w:p>
    <w:p w14:paraId="133B4474" w14:textId="77777777" w:rsidR="008537C0" w:rsidRPr="00722885" w:rsidRDefault="008537C0" w:rsidP="00722885">
      <w:pPr>
        <w:pStyle w:val="5f2"/>
        <w:shd w:val="clear" w:color="auto" w:fill="auto"/>
        <w:tabs>
          <w:tab w:val="left" w:pos="1163"/>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17. Обязать </w:t>
      </w:r>
      <w:r w:rsidRPr="00722885">
        <w:rPr>
          <w:rStyle w:val="0pt"/>
          <w:rFonts w:ascii="Times New Roman" w:hAnsi="Times New Roman" w:cs="Times New Roman"/>
          <w:color w:val="000000" w:themeColor="text1"/>
          <w:spacing w:val="0"/>
          <w:sz w:val="16"/>
          <w:szCs w:val="16"/>
        </w:rPr>
        <w:t>НКЧМ -</w:t>
      </w:r>
      <w:r w:rsidRPr="00722885">
        <w:rPr>
          <w:rFonts w:ascii="Times New Roman" w:hAnsi="Times New Roman" w:cs="Times New Roman"/>
          <w:color w:val="000000" w:themeColor="text1"/>
          <w:sz w:val="16"/>
          <w:szCs w:val="16"/>
        </w:rPr>
        <w:t xml:space="preserve"> т.Тевосяна поставить Главвоенпромстрою целевым назначением для Военстроя № 28 (г.Ижевск) в первом квартале </w:t>
      </w:r>
      <w:r w:rsidRPr="00722885">
        <w:rPr>
          <w:rStyle w:val="0pt"/>
          <w:rFonts w:ascii="Times New Roman" w:hAnsi="Times New Roman" w:cs="Times New Roman"/>
          <w:color w:val="000000" w:themeColor="text1"/>
          <w:spacing w:val="0"/>
          <w:sz w:val="16"/>
          <w:szCs w:val="16"/>
        </w:rPr>
        <w:t>1943</w:t>
      </w:r>
      <w:r w:rsidRPr="00722885">
        <w:rPr>
          <w:rFonts w:ascii="Times New Roman" w:hAnsi="Times New Roman" w:cs="Times New Roman"/>
          <w:color w:val="000000" w:themeColor="text1"/>
          <w:sz w:val="16"/>
          <w:szCs w:val="16"/>
        </w:rPr>
        <w:t xml:space="preserve"> года 32 тонны гвоздей.</w:t>
      </w:r>
    </w:p>
    <w:p w14:paraId="63BDC053" w14:textId="77777777" w:rsidR="008537C0" w:rsidRPr="00722885" w:rsidRDefault="008537C0" w:rsidP="00722885">
      <w:pPr>
        <w:pStyle w:val="5f2"/>
        <w:shd w:val="clear" w:color="auto" w:fill="auto"/>
        <w:tabs>
          <w:tab w:val="left" w:pos="1170"/>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18. Обязать Наркомстройматериалов - т.Соснина поставить Главвоенпромстрою в 1 кв.1943 г. целевым назначением Военстрою № 28 (г.Ижевск) за счет производства 4000 кв.метров стекла.</w:t>
      </w:r>
    </w:p>
    <w:p w14:paraId="0188141C" w14:textId="77777777" w:rsidR="008537C0" w:rsidRPr="00722885" w:rsidRDefault="008537C0" w:rsidP="00722885">
      <w:pPr>
        <w:pStyle w:val="5f2"/>
        <w:shd w:val="clear" w:color="auto" w:fill="auto"/>
        <w:tabs>
          <w:tab w:val="left" w:pos="1163"/>
        </w:tabs>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 xml:space="preserve">19. Обязать т.Шверника выделить в январе-феврале месяцах </w:t>
      </w:r>
      <w:r w:rsidRPr="00722885">
        <w:rPr>
          <w:rFonts w:ascii="Times New Roman" w:hAnsi="Times New Roman" w:cs="Times New Roman"/>
          <w:color w:val="000000" w:themeColor="text1"/>
          <w:sz w:val="16"/>
          <w:szCs w:val="16"/>
          <w:vertAlign w:val="subscript"/>
        </w:rPr>
        <w:t xml:space="preserve"> </w:t>
      </w:r>
      <w:r w:rsidRPr="00722885">
        <w:rPr>
          <w:rStyle w:val="0pt"/>
          <w:rFonts w:ascii="Times New Roman" w:hAnsi="Times New Roman" w:cs="Times New Roman"/>
          <w:color w:val="000000" w:themeColor="text1"/>
          <w:spacing w:val="0"/>
          <w:sz w:val="16"/>
          <w:szCs w:val="16"/>
        </w:rPr>
        <w:t>1943</w:t>
      </w:r>
      <w:r w:rsidRPr="00722885">
        <w:rPr>
          <w:rFonts w:ascii="Times New Roman" w:hAnsi="Times New Roman" w:cs="Times New Roman"/>
          <w:color w:val="000000" w:themeColor="text1"/>
          <w:sz w:val="16"/>
          <w:szCs w:val="16"/>
        </w:rPr>
        <w:t xml:space="preserve"> г. Главвоенпромстрою для работ по строительству ижевских заводов </w:t>
      </w:r>
      <w:r w:rsidRPr="00722885">
        <w:rPr>
          <w:rStyle w:val="0pt"/>
          <w:rFonts w:ascii="Times New Roman" w:hAnsi="Times New Roman" w:cs="Times New Roman"/>
          <w:color w:val="000000" w:themeColor="text1"/>
          <w:spacing w:val="0"/>
          <w:sz w:val="16"/>
          <w:szCs w:val="16"/>
        </w:rPr>
        <w:t>НКВ 300</w:t>
      </w:r>
      <w:r w:rsidRPr="00722885">
        <w:rPr>
          <w:rFonts w:ascii="Times New Roman" w:hAnsi="Times New Roman" w:cs="Times New Roman"/>
          <w:color w:val="000000" w:themeColor="text1"/>
          <w:sz w:val="16"/>
          <w:szCs w:val="16"/>
        </w:rPr>
        <w:t xml:space="preserve"> человек рабочих за счет мобилизуемых по сред</w:t>
      </w:r>
      <w:r w:rsidRPr="00722885">
        <w:rPr>
          <w:rFonts w:ascii="Times New Roman" w:hAnsi="Times New Roman" w:cs="Times New Roman"/>
          <w:color w:val="000000" w:themeColor="text1"/>
          <w:sz w:val="16"/>
          <w:szCs w:val="16"/>
        </w:rPr>
        <w:softHyphen/>
        <w:t>неазиатским республикам (10378).</w:t>
      </w:r>
    </w:p>
    <w:p w14:paraId="5C78357C" w14:textId="77777777" w:rsidR="008537C0" w:rsidRPr="00722885" w:rsidRDefault="008537C0" w:rsidP="00722885">
      <w:pPr>
        <w:spacing w:after="0" w:line="240" w:lineRule="auto"/>
        <w:jc w:val="both"/>
        <w:rPr>
          <w:rFonts w:ascii="Times New Roman" w:hAnsi="Times New Roman"/>
          <w:color w:val="000000" w:themeColor="text1"/>
          <w:sz w:val="16"/>
          <w:szCs w:val="16"/>
        </w:rPr>
      </w:pPr>
    </w:p>
    <w:p w14:paraId="0AA8C28C"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30 декабря 1942 г. постановлением ГКО пушка 11П конструкции ОКБ-16 НКВ была принята в се</w:t>
      </w:r>
      <w:r w:rsidRPr="00722885">
        <w:rPr>
          <w:color w:val="000000" w:themeColor="text1"/>
          <w:sz w:val="16"/>
          <w:szCs w:val="16"/>
        </w:rPr>
        <w:softHyphen/>
        <w:t>рийное производство для снабжения ВВС КА. При</w:t>
      </w:r>
      <w:r w:rsidRPr="00722885">
        <w:rPr>
          <w:color w:val="000000" w:themeColor="text1"/>
          <w:sz w:val="16"/>
          <w:szCs w:val="16"/>
        </w:rPr>
        <w:softHyphen/>
        <w:t>каз по наркомату вооружения нарком Д. Ф. Устинов подписал на следующий день (17500).</w:t>
      </w:r>
    </w:p>
    <w:p w14:paraId="073C3467" w14:textId="77777777" w:rsidR="0026218A" w:rsidRPr="00722885" w:rsidRDefault="0026218A" w:rsidP="00722885">
      <w:pPr>
        <w:pStyle w:val="12a"/>
        <w:shd w:val="clear" w:color="auto" w:fill="auto"/>
        <w:spacing w:after="0" w:line="240" w:lineRule="auto"/>
        <w:jc w:val="both"/>
        <w:rPr>
          <w:color w:val="000000" w:themeColor="text1"/>
          <w:sz w:val="16"/>
          <w:szCs w:val="16"/>
        </w:rPr>
      </w:pPr>
    </w:p>
    <w:p w14:paraId="2BB30818" w14:textId="77777777" w:rsidR="00F94D1F" w:rsidRPr="00722885" w:rsidRDefault="00F94D1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30 декабря 1942 года постановлением ГКО пушку 11-П приняли на вооружение вместо орудия Ш-37.  Справедливости ради стоит отметить, что технологически пушка Ш-37 была несколько проще изделия ОКБ-16. По воспоминаниям Б.Г. Шпитального трудоемкость Ш-37 составляла 286 человеко-часов против 450 у 11-П. Правда, это на момент 1942 года, когда пушке Ш-37 уже «исполнилось» более 4 лет, а 11-П еще только была полуэкспериментальной, не прошедшей этапа «технологического вылизывания» на производстве (19170).</w:t>
      </w:r>
    </w:p>
    <w:p w14:paraId="0E4A4ECC" w14:textId="77777777" w:rsidR="00F94D1F" w:rsidRPr="00722885" w:rsidRDefault="00F94D1F" w:rsidP="00722885">
      <w:pPr>
        <w:pStyle w:val="rtejustify"/>
        <w:shd w:val="clear" w:color="auto" w:fill="FFFFFF"/>
        <w:spacing w:before="0" w:beforeAutospacing="0" w:after="0" w:afterAutospacing="0"/>
        <w:jc w:val="both"/>
        <w:textAlignment w:val="baseline"/>
        <w:rPr>
          <w:color w:val="000000" w:themeColor="text1"/>
          <w:sz w:val="16"/>
          <w:szCs w:val="16"/>
        </w:rPr>
      </w:pPr>
    </w:p>
    <w:p w14:paraId="53BDA5ED"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D934952" w14:textId="77777777" w:rsidR="00BB6316" w:rsidRPr="00722885" w:rsidRDefault="00BB6316" w:rsidP="00722885">
      <w:pPr>
        <w:pStyle w:val="Iauiue"/>
        <w:jc w:val="both"/>
        <w:rPr>
          <w:iCs/>
          <w:color w:val="000000" w:themeColor="text1"/>
          <w:sz w:val="16"/>
          <w:szCs w:val="16"/>
        </w:rPr>
      </w:pPr>
    </w:p>
    <w:p w14:paraId="067088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декабря 1942 г. из ПИСЬМА ДИРЕКТОРА ЗАВОДА № 617 Н.А. ЖУКА СЕКРЕТАРЮ НОВОСИБИРСКОГО ОБКОМА ВКЩ6) М.В. КУЛАГИНУ</w:t>
      </w:r>
    </w:p>
    <w:p w14:paraId="2633B1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Прошу Вас рассмотреть группу вопросов, имеющих решающее значение в выполнении заводом государственного плана 1943 года. Решение этих вопросов задерживается по ряду причин, преодоление которых без Вашей помощи весьма затруднено. СТРОИТЕЛЬСТВО. В силу затруднения с транспортом, недостатком людей и, главным образом, по причине формального отношения руководства треста № 1 НКБ к нашей стройке ... до сих пор ни один из производственных и энергетических объектов в эксплуатацию не сдан. В последнее время при помощи городского комитета партии удалось оживить работу на ряде энергетических объектов, таких как компрессорная, бустерная, градирня, газоочистка и инструментальный цех. Эти объекты будут закончены в феврале месяце. Но наряду с этим совершенно законсервированы: стекольный завод, столовая, технохимический цех, 2-й корпус, центральная часть и много более мелких объектов и недоделок, не позволяющих заводу наращивание новых мощностей. В настоящее время трест не только никаких мер не принимает к усилению работы, но под различными предлогами, ссылаясь на отсутствие вагонов и некоторых материалов, переводит рабочих на другие стройки. Только за 1,5 месяца этого года снято около 300 человек </w:t>
      </w:r>
      <w:r w:rsidRPr="00722885">
        <w:rPr>
          <w:rFonts w:ascii="Times New Roman" w:hAnsi="Times New Roman"/>
          <w:color w:val="000000" w:themeColor="text1"/>
          <w:sz w:val="16"/>
          <w:szCs w:val="16"/>
        </w:rPr>
        <w:lastRenderedPageBreak/>
        <w:t>рабочих, и сейчас, против сентября, когда доходило до 1 110 человек, осталось только 400 человек. Такое положение ведет к тяжелым последствиям по выпуску многих очень важных видов нашей продукции.</w:t>
      </w:r>
    </w:p>
    <w:p w14:paraId="282DC7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РАБОЧАЯ СИЛА. Расширение производства и значительный рост плана 1943 года (300%) со всей остротой поставили вопрос о недостатке рабочей силы, недокомплект которой сейчас составляет до 30%, и особенно тяжело обстоит дело в связи с недостатком мужчин на тяжелые работы, которые необходимы для обучения газовщиками, шлаковщиками — на газовый завод; давильщиками, дротовщиками и выдувальщиками - на стекольный завод и другие. Всего требуется на первое время, в самый короткий срок, для основных цехов: женщин и подростков - не менее 500 человек, мужчин для подсобных цехов - не менее 50 человек. Необходимо отметить, что решение обкома ВКП(б) от 25.VII.1942 года № 353с, вынесенное в порядке реализации решения ГКО от 8.VIII.1942 года за № 2161сс о мобилизации 1 300 человек рабочих,- не выполнено, завод получил только по мобилизации 131 человека.</w:t>
      </w:r>
    </w:p>
    <w:p w14:paraId="7F3B37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ЖИЛЬЕ ДЛЯ РАБОЧИХ. Положение с жильем создалось исключительно тяжелое, до сих пор в производственных помещениях и на территории завода проживает 315 человек; значительная часть рабочих и ИТР, живущих в частном секторе, живут в недопустимо тяжелых условиях. Полученные заводом 10 восьмиквартирных и 30 одноквартирных домиков — не строятся. Трест № 1 НКБ игнорирует решение горкома ВКП(б) от 11 декабря 1942 года № 172, ссылаясь на то, что в решении ГКО прямо не сказано о строительстве жилья, к строительству не приступает, а переданный ему материал для домов разбазаривает на другие объекты. Израсходовано на различные работы 700 кубических метров пиломатериалов от комплектов стандартных домов.</w:t>
      </w:r>
    </w:p>
    <w:p w14:paraId="1DDEAF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ПИТАНИЕ РАБОЧИХ. В ноябре месяце завод получил наряд на получение централизованного фонда картофеля в Легостаевском районе, за счет нарядов горпищеторга; ввиду невозможности вывезти этот картофель по условиям погоды счет был оплачен и картофель засыпан на месте под сохранные расписки. В настоящее время горторготдел запретил выдачу нам картофеля, в результате завод оказался в тяжелом положении, имея запас овощей на 4-5 дней.</w:t>
      </w:r>
    </w:p>
    <w:p w14:paraId="02F472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Указанные вопросы являются для завода основой для дальнейшего развития. Прошу Вашего вмешательства и помощи в срочном их решении.</w:t>
      </w:r>
    </w:p>
    <w:p w14:paraId="76CCED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завода № 617 Жук</w:t>
      </w:r>
    </w:p>
    <w:p w14:paraId="2EC900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ГАНО. Ф. П-4. Оп. 7. Д. 479. Л. 114-115. Подлинник.</w:t>
      </w:r>
    </w:p>
    <w:p w14:paraId="7021DF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Подпись-автограф. Документ подготовлен в 2 экз. (12193).</w:t>
      </w:r>
    </w:p>
    <w:p w14:paraId="5E84B77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47FB8BC"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декабря 1942 года два образца планетарной трансмиссии, которую разработал коллектив Московского машино</w:t>
      </w:r>
      <w:r w:rsidRPr="00722885">
        <w:rPr>
          <w:rFonts w:ascii="Times New Roman" w:hAnsi="Times New Roman"/>
          <w:color w:val="000000" w:themeColor="text1"/>
          <w:sz w:val="16"/>
          <w:szCs w:val="16"/>
        </w:rPr>
        <w:softHyphen/>
        <w:t>строительного института им. Баумана под руководством Г. И. Зайчи</w:t>
      </w:r>
      <w:r w:rsidRPr="00722885">
        <w:rPr>
          <w:rFonts w:ascii="Times New Roman" w:hAnsi="Times New Roman"/>
          <w:color w:val="000000" w:themeColor="text1"/>
          <w:sz w:val="16"/>
          <w:szCs w:val="16"/>
        </w:rPr>
        <w:softHyphen/>
        <w:t xml:space="preserve">ка, поступили на завод №100. 2 января в Челябинск прибыла бригада конструкторов из института им. Баумана, которая контролировала процесс установки. В качестве танка для испытаний планетарной трансмиссии был выбран КВ-7. Ввиду загруженности завода №100 другими опытными работами монтаж новой трансмиссии затянулся. Вместо 16 января, как это было указано в распоряжении наркома танковой промышленности И.М. Зальцмана, монтаж закончили лишь к 7 февраля. Не исключено, что уже на этом этапе затягивание было сознательным, поскольку с 19 ноября 1942 года на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№15002 испытывалась другая трансмиссия — конструкции инженера-полковника А.И. Благонравова.</w:t>
      </w:r>
    </w:p>
    <w:p w14:paraId="52DECFF9"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Первые же километры испытаний выявили низкое качество сбор</w:t>
      </w:r>
      <w:r w:rsidRPr="00722885">
        <w:rPr>
          <w:rFonts w:ascii="Times New Roman" w:hAnsi="Times New Roman"/>
          <w:color w:val="000000" w:themeColor="text1"/>
          <w:sz w:val="16"/>
          <w:szCs w:val="16"/>
        </w:rPr>
        <w:softHyphen/>
        <w:t>ки планетарной трансмиссии. Были заменены все бронзовые кольца на стальные, а шарикоподшипники управления на каленые ролики с иголками. Кроме того, пришлось устранять течь масла, а ферродо тормозов заменили на чугунные колодки. После устранения дефектов трансмиссию вновь установили в КВ-7, после чего он к 4 марта прошел без проблем 545 километров (17484).</w:t>
      </w:r>
    </w:p>
    <w:p w14:paraId="48DD6ED4" w14:textId="77777777" w:rsidR="00517A3A" w:rsidRPr="00722885" w:rsidRDefault="00517A3A" w:rsidP="00722885">
      <w:pPr>
        <w:spacing w:after="0" w:line="240" w:lineRule="auto"/>
        <w:jc w:val="both"/>
        <w:rPr>
          <w:rFonts w:ascii="Times New Roman" w:hAnsi="Times New Roman"/>
          <w:color w:val="000000" w:themeColor="text1"/>
          <w:sz w:val="16"/>
          <w:szCs w:val="16"/>
        </w:rPr>
      </w:pPr>
    </w:p>
    <w:p w14:paraId="71F1A004"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30 декабря 1942 вышло Постановление ГКО № 2672 Об улучшении работы Ереванского комбината СК "Совпрен" Наркомрезинпрома. (7069, 2-3).</w:t>
      </w:r>
    </w:p>
    <w:p w14:paraId="5D94B3F6" w14:textId="77777777" w:rsidR="00BB6316" w:rsidRPr="00722885" w:rsidRDefault="00BB6316" w:rsidP="00722885">
      <w:pPr>
        <w:pStyle w:val="Iauiue"/>
        <w:tabs>
          <w:tab w:val="left" w:pos="11199"/>
        </w:tabs>
        <w:jc w:val="both"/>
        <w:rPr>
          <w:color w:val="000000" w:themeColor="text1"/>
          <w:sz w:val="16"/>
          <w:szCs w:val="16"/>
        </w:rPr>
      </w:pPr>
    </w:p>
    <w:p w14:paraId="2CC8BD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декабря 1942 вышло Постановление ГКО № 2673 Об упорядочении ремонта оборудования на заводах Наркомтанкопрома. РГАНИР, Фонд ГКО, д. 75, лл. 4-9, 10-11 (11012).</w:t>
      </w:r>
    </w:p>
    <w:p w14:paraId="2C1EC9F6"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436B65D"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30 декабря 1942 года вышел приказ № 844/650с НКТП и НКВ</w:t>
      </w:r>
    </w:p>
    <w:p w14:paraId="31FED904"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В соответствии с постановлением ГОКО № 2661сс от 7 декабря 1942 года:</w:t>
      </w:r>
    </w:p>
    <w:p w14:paraId="18D83005"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Назначить комиссию по передаче Мытищенского вагоностроительного завода НКВ в НКТП (6128, 166).</w:t>
      </w:r>
    </w:p>
    <w:p w14:paraId="38B6E0D2" w14:textId="77777777" w:rsidR="00BB6316" w:rsidRPr="00722885" w:rsidRDefault="00BB6316" w:rsidP="00722885">
      <w:pPr>
        <w:pStyle w:val="Iauiue"/>
        <w:tabs>
          <w:tab w:val="left" w:pos="11199"/>
        </w:tabs>
        <w:jc w:val="both"/>
        <w:rPr>
          <w:color w:val="000000" w:themeColor="text1"/>
          <w:sz w:val="16"/>
          <w:szCs w:val="16"/>
        </w:rPr>
      </w:pPr>
    </w:p>
    <w:p w14:paraId="5ADBAA2F"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81CBB5F" w14:textId="77777777" w:rsidR="00BB6316" w:rsidRPr="00722885" w:rsidRDefault="00BB6316" w:rsidP="00722885">
      <w:pPr>
        <w:pStyle w:val="Iauiue"/>
        <w:jc w:val="both"/>
        <w:rPr>
          <w:iCs/>
          <w:color w:val="000000" w:themeColor="text1"/>
          <w:sz w:val="16"/>
          <w:szCs w:val="16"/>
        </w:rPr>
      </w:pPr>
    </w:p>
    <w:p w14:paraId="414CED6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30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3F3B48C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30 декабря наши войска южнее Сталинграда, в районе среднего Дона и на Центральном фронте продолжали вести наступательные бои на прежних направлениях.</w:t>
      </w:r>
    </w:p>
    <w:p w14:paraId="6062D58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подразделения, преодолевая упорное сопротивление противника, захватили 82 вражеских дзота и блиндажа. Немцы потеряли только убитыми до 300 солдат и офицеров.</w:t>
      </w:r>
    </w:p>
    <w:p w14:paraId="4AA6657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наши войска вели активные боевые действия. Н-ская часть овладела высотой, имеющей большое тактическое значение, уничтожила до 400 гитлеровцев и 8 орудий. Захвачены пленные и трофеи. Пытаясь вернуть высоту, немцы предприняли ряд контратак, в ходе которых понесли ещё более тяжёлые потери. На другом участке наши бойцы ворвались во вражеские окопы и ведут бой по очищению их от гитлеровцев.</w:t>
      </w:r>
    </w:p>
    <w:p w14:paraId="6C8FAD1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части продолжали наступление и заняли ряд населённых пунктов. В последних боях захвачены штабы двух пехотных дивизий противника. Наодном участке перешёл на нашу сторону и добровольно сдался в плен командир батальона противника. Ему было предложено вернуться в своё подразделение и привести его в полном составе. Офицер вернулся в подчинённый ему батальон и привёл его в плен в полном составе и с вооружением. На другом участке наша танковая часть окружила до двух пехотных полков противника и истребила 1.800 гитлеровцев. По неполным данным, уничтожено 52 автомашины, 15 орудий, 45 миномётов и 4 склада с боеприпасами.</w:t>
      </w:r>
    </w:p>
    <w:p w14:paraId="5EF05F4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продолжали наступление и на ряде участков отбивали контратаки противника. Значительным силам немецкой пехоты на одном участке удалось потеснить подразделение Н-ской части. Советские бойцы контрударом отбросили противника и восстановили положение. На поле боя осталось 400 вражеских трупов и 6 подбитых танков. Нашими частями захвачено 30 автомашин, много снарядов, патронов и мин. На другом участке Н-ская часть, сломив сопротивление противника, продвинулась вперёд и ведёт бой на подступах к крупному населённому пункту.</w:t>
      </w:r>
    </w:p>
    <w:p w14:paraId="46837CC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вели наступательные бои. В районе Великих Лук советские части заняли несколько населённых пунктов. Бойцы части, где командиром тов. Дьяконов, в результате ожесточённого боя заняли опорный пункт противника. Развивая успех, наши подразделения с хода захватили населённый пункт и разгромили штаб 2 батальона 257 немецкого пехотного полка. Взяты трофеи и пленные. Ружейно-пулемётным огнём сбито 3 самолёта противника.</w:t>
      </w:r>
    </w:p>
    <w:p w14:paraId="3D55FC2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гвардейская артиллерийская часть, где командиром тов.Гришин, поддерживая действия нашей пехоты, уничтожила 3 немецких танка, бронемашину, 4 шестиствольных миномёта, 3 артиллерийские батареи и подавила огонь 7 артиллерийских батарей противника.</w:t>
      </w:r>
    </w:p>
    <w:p w14:paraId="26B6A68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закреплялись на достигнутых рубежах и вели огневой бой с противником. Артиллеристы Н-ской части подбили 8 немецких танков, рассеяли и частью уничтожили до батальона пехоты противника.</w:t>
      </w:r>
    </w:p>
    <w:p w14:paraId="481E69E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Отряд украинских партизан, действующий в Сумской области, разгромил штаб немецкого батальона и истребил 70 гитлеровцев. Другой отряд сумских партизан в боях с немецко-фашистскими захватчиками уничтожил 150 вражеских солдат и офицеров.</w:t>
      </w:r>
    </w:p>
    <w:p w14:paraId="51D1578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Ниже публикуется акт о зверствах немецко-фашистских мерзавцев и их итальянских сообщников в селе Цапково, Воронежской области: «Немецко-итальянские оккупанты ограбили поголовно всех жителей, забрали у колхозников продовольствие, скот, одежду, обувь и домашние вещи. С наступлением зимы гитлеровцы выгнали колхозников из домов на улицу, всячески издевались и глумились над советскимилюдьми. Комендатура провела регистрацию всех жителей с 16-летнего возраста. Прир егистрации гитлеровцы снимали у граждан отпечаток с большого пальца правой руки. Фашистские мерзавцы повесили на площади села Ивана Бутко, Якова Витколоваи его 65-летнего отца. Немецкие солдаты согнали к виселице всё население. Когдана Бутко накинули петлю, он воскликнул: «Да здравствует наша советская Родина!» Яков Витколов крикнул: «Да здравствует Красная Армия!» Старик Витколов обратилсяк собравшимся со следующими словами: «Я смерти не боюсь и, как видите, умираю спокойно. Жаль только, что я еще мало уничтожил гитлеровских псов». Акт подписали: жители села Цапкова Наталья Руденко, София Гладченко, Пелагея Жигайлова и другие.» (14876).</w:t>
      </w:r>
    </w:p>
    <w:p w14:paraId="671787A5"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0CBBA83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30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1631600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30 декабря наши войска южнее Сталинграда продолжали успешно развивать наступление и заняли районные центры Ремонтное и Троицкое, населённые пункты — Погожка, Терновая, Ивановка, Сиротский, Трудников, Фомин, Чернышов,Валуевка, Улан-Эрге, Ленинский и станцию Семичная.</w:t>
      </w:r>
    </w:p>
    <w:p w14:paraId="7F3DFE2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среднего Дона и на Центральном фронте наши войска продолжают вести наступательные бои.</w:t>
      </w:r>
    </w:p>
    <w:p w14:paraId="084B0F0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29 декабря в районе Сталинграда уничтожено 32 транспортных самолёта противника.</w:t>
      </w:r>
    </w:p>
    <w:p w14:paraId="428D689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декабря частями нашей авиации на различных участках фронта уничтожено или повреждено до 200 автомашин с войсками и грузами, подавлен огонь 15 артиллерийских батарей, разбит железнодорожный эшелон, взорвано 6 складов с боеприпасами, рассеяно и частью уничтожено до двух батальонов пехоты противника.</w:t>
      </w:r>
    </w:p>
    <w:p w14:paraId="45F3821D"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заводском районе Сталинграда наши части, действуя штурмовыми отрядами, захватили 24 вражеских дзота и выбили противника из нескольких кварталов, прилегающих к одному из заводов. Захвачено 2 орудия, 115 винтовок и 27 пулемётов. В результате боя уничтожено более 200 немецких солдат и офицеров.</w:t>
      </w:r>
    </w:p>
    <w:p w14:paraId="29D3710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бойцы Н-ской части заняли высоту, имеющую важное тактическое значение. Гитлеровцы предприняли несколько контратак, пытаясь вернуть потерянные позиции. Все атаки противника отбиты с большими для него потерями. В результате боя уничтожено до батальона немецкой пехоты и подбито 4 танка. Нашими бойцами захвачено более 250 винтовок, 4 миномёта, 30 пулемётов, две радиостанции и другое военное имущество.</w:t>
      </w:r>
    </w:p>
    <w:p w14:paraId="2FA3A88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продолжали успешное наступление и заняли ряд населённых пунктов. При взятии Котельникова разгромлено два полка немецкой пехоты. В районе Яшкуль нанесено поражение частям моторизованной дивизии противника. Продолжая продвигаться вперёд, советские войска уничтожили 1.500 вражеских солдат и офицеров, 15 танков, 20 орудий, 12 миномётов, 50 автомашин. В воздушных боях и огнём зенитной артиллерии сбито 28 немецких самолётов.</w:t>
      </w:r>
    </w:p>
    <w:p w14:paraId="3485297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B районе среднего Дона наши войска вели наступательные бои и на ряде участков отбивали контратаки подошедших резервов противника. В районе занятого на днях населённого пункта Н-ская часть отбила две контратаки немецкой мотопехоты. В результате боя истреблено до 600 гитлеровцев. Взято в плен 70 вражеских солдат и офицеров и захвачено 115 автомашин. На другом участке наши части, преодолевая упорное сопротивление противника, продвигались вперёд.</w:t>
      </w:r>
    </w:p>
    <w:p w14:paraId="7394C60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вести наступательные бои. В районе западнее Ржева бойцы части, где командиром тов. Поздняк, выбили противника из укреплённых позиций. Пытаясь восстановить положение, немцы бросили в контратаку пехоту под прикрытием группы танков. Наши бойцы уничтожили до роты пехоты, 2 танка, 4 миномёта и отбросили противника на исходные позиции.</w:t>
      </w:r>
    </w:p>
    <w:p w14:paraId="2D7E91F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Великих Лук Н-ская часть вела бои по уничтожению окружённого гарнизона противника в крупном населённом пункте. В течение дня захвачены у немцев 4 орудия, шестиствольный миномёт, 50.000 патронов и другое военное имущество. Взяты пленные.</w:t>
      </w:r>
    </w:p>
    <w:p w14:paraId="6BB1FE2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Один из отрядов краснодарских партизан за два месяца боевых действий уничтожил 415 немецких солдат и офицеров. Советские патриоты, взорвали склад противника с боеприпасами и вооружением.</w:t>
      </w:r>
    </w:p>
    <w:p w14:paraId="2670071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Германское информационное бюро сообщило, что 26 декабря германские бомбардировщики якобы совершили успешный налёт на Москву. Вслед за этим корреспондент шведской газеты «Стокгольме тиднинген» передал из Берлина такое сообщение: «Налёту на Москву в ночь с 25 на 26 декабря благоприятствовала ясная лунная ночь. Немцы утверждают, что этот налёт причинил большой вред и вызвал огромные пожары. Бомбёжка была направлена в первую очередь против железных дороги фабричных районов, расположенных внутри города». Итальянская дворня Гитлератакже подхватила берлинскую «утку». Римское радио передало следующие подробности: «Немецкая авиация совершила налёт на окрестности Москвы. Большое количество германских самолётов атаковало железную дорогу и аэродромы Москвы. В северной зоне Москвы ожесточённой бомбардировке подверглись железнодорожная станция и большое количество складов. Возникшие пожары были видны издалека и освещали местность на большом расстоянии». Страшен сон — да милостив Бог! Немецкие и итальянские мошенники набрехали три короба о так называемом налёте на Москву. Между тем каждый житель Москвы знает, что никакого налёта на Москву и её пригороды ни в ночь с 25 на 26 декабря, ни в предыдущие, ни в последующие дни и ночи не было.</w:t>
      </w:r>
    </w:p>
    <w:p w14:paraId="32CBFC6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Известно, что гитлеровцы врут не от хорошей жизни, а их римские подручные стараются даже переплюнуть своих хозяев. В этом нет ничего нового и удивительного. Но почему шведский журналист, корреспондент газеты нейтральной страны, взял на себя незавидную роль рупора грязной геббельсовской кухни? Это не делает чести ни корреспонденту, ни его газете.</w:t>
      </w:r>
    </w:p>
    <w:p w14:paraId="569EE47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Мировое общественное мнение ещё лишний раз убедится, какую цену представляют собой немецкие сообщения и что нельзя верить ни одному слову берлинских заправил.»</w:t>
      </w:r>
    </w:p>
    <w:p w14:paraId="28AF9C6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Итоги 6-недельного наступления наших войск на подступах Сталинграда.</w:t>
      </w:r>
    </w:p>
    <w:p w14:paraId="740FAF7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середине сентября 1942 года немецко-фашистские войска были остановлены Красной Армией под Сталинградом.</w:t>
      </w:r>
    </w:p>
    <w:p w14:paraId="18CC8F0E"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Ход войны показал, что стратегический план немецкого командования, состоявшийв том, чтобы захватить Сталинград, отрезать центральную европейскую часть Советского Союза от волжского и уральского тыла, окружить и взять Москву, — был построен на песке, без учёта своих реальных сил и советских резервов.</w:t>
      </w:r>
    </w:p>
    <w:p w14:paraId="7A98BF8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Полной противоположностью ему был стратегический план окружения и разгрома немецко-фашистских войск под Сталинградом, созданный ВерховнымГлавнокомандованием Красной Армии.»</w:t>
      </w:r>
    </w:p>
    <w:p w14:paraId="50F9C8FC"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план был осуществлён нашими войсками в ноябре—декабре 1942 года тремя этапами.</w:t>
      </w:r>
    </w:p>
    <w:p w14:paraId="19A0451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Первый этап — наступление наших войск северо-западнее и юго-западнее Сталинграда.</w:t>
      </w:r>
    </w:p>
    <w:p w14:paraId="3487392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«Красная Армия с 19 ноября перешла в наступление силами Юго-Западного, Донского и Сталинградского фронтов и нанесла мощный удар по врагу.</w:t>
      </w:r>
    </w:p>
    <w:p w14:paraId="42A8770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 советскими войсками, действовавшими северо-западнее и юго-западнее Сталинграда, Верховным Главнокомандованием Красной Армии была поставлена цель —разгромить фланговые группировки немецко-фашистских войск на подступах Сталинграда и охватывающим движением окружить основную массу расположенных под Сталинградом соединений вражеской армии. Эта цель была успешно достигнута умелыми действиями частей Красной Армии и её командного состава.</w:t>
      </w:r>
    </w:p>
    <w:p w14:paraId="53EBADB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наступления нашими войсками разгромлены следующие соединения противника: 1, 2, 5, 6, 9, 13, 14, 15 румынские пехотные дивизии, 7 кавалерийская и 1 танковая румынские дивизии, 44, 376, 384 пехотные и 22 танковая немецкие дивизии. Кроме того, 3 немецким пехотным дивизиям нанесены тяжёлые потери. В этих боях наши войска уничтожили 95.000 и взяли в плен 72.400 солдат и офицеров противника. Наши части захватили богатые трофеи, в том числе самолётов — 134, танков — 1.792, орудий — 2.232, автомашин — 7.306, а также большое количество миномётов, пулемётов, автоматов, противотанковых ружей, боеприпасов и другого военного имущества.</w:t>
      </w:r>
    </w:p>
    <w:p w14:paraId="13746C0D"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это же время нашими войсками уничтожено: самолётов — 826, танков — 548, орудий — 934, автомашин — 3.190 и много другого военного имущества.</w:t>
      </w:r>
    </w:p>
    <w:p w14:paraId="7461DA0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наступления наших войск северо-западнее и юго-западнее Сталинграда Красная Армия продвинулась вперёд на 70—150 километров и освободила 213 населённых пунктов.</w:t>
      </w:r>
    </w:p>
    <w:p w14:paraId="68F63E4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успешного прорыва и наступления наших войск в районе Сталинграда окружены следующие соединения и части немецких войск: 14, 16 и 24 немецкие танковые дивизии, 3, 29 и 60 немецкие моторизованные дивизии, 71, 76, 79, 94,100, 113, 297, 295, 305, 371, 389 немецкие и 20 румынская «пехотные дивизии, 1-я румынская кавалерийская дивизия и остатки 44, 376, 384 немецких пехотных дивизий, разгромленных при наступлении наших войск в районе Сталинграда. Кроме того, окружены 44, 46 и 61 артиллерийские полки резерва главного командования немецкой армии, 12, 25, 37, 104 зенитные полки, 53 миномётный полк, 50, 162, 294, 336 отдельные сапёрные батальоны.</w:t>
      </w:r>
    </w:p>
    <w:p w14:paraId="49C0B7E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Таковы итоги боёв в первый этап наступления советских войск на подступах Сталинграда.»</w:t>
      </w:r>
    </w:p>
    <w:p w14:paraId="015C385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Второй этап — наступление наших войск в районе среднего Дона.</w:t>
      </w:r>
    </w:p>
    <w:p w14:paraId="49EB360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«Завершив окружение немецко-фашистских войск под Сталинградом и успешно выполнив тем самым задачу, поставленную Верховным Главнокомандованием, Красная Армия с 16 по 30 декабря нанесла новый удар по врагу в районе Среднего Дона.</w:t>
      </w:r>
    </w:p>
    <w:p w14:paraId="5F83A59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 советскими войсками, наступавшими в районе Среднего Дона, ВерховнымГлавнокомандованием Красной Армии была поставлена цель — прорвать фронт обороны противника в районе Новая Калитва — Монастырщина, выйти в тылы немецко-фашистской армии, действовавшей в большой излучине Дона, и закрыть возможность вырваться вражеским войскам, окружённым под Сталинградом, или оказания им помощи извне.</w:t>
      </w:r>
    </w:p>
    <w:p w14:paraId="5875A13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Эта цель наступления в районе Среднего Дона была полностью осуществлена умелыми действиями частей и командного состава Красной Армии.</w:t>
      </w:r>
    </w:p>
    <w:p w14:paraId="33B6E71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время боёв в районе Среднего Дона Красная Армия продвинулась вперёд на 150—200 километров. Освобождено 1.246 населённых пунктов. В ходе наступления нашими войсками разгромлены следующие соединения противника: 62, 294, 298, 306, 385 немецкие пехотные дивизии, 11 немецкая танковая дивизия; итальянские пехотные дивизии: 3 дивизия «Равенна», 3 дивизия «Челере», 5 дивизия «Кассерия», 2 дивизия «Сфорцеска», 9 дивизия «Пасубио», 52 дивизия «Торино», 1 бригада чернорубашечников, 7 и 11 румынские пехотные дивизии. Кроме того, нанесены большие потери 4 дивизиям противника. Вражеские войска потеряли в этих боях только убитыми 59.000 человек; взято в плен 60.050 солдат и офицеров противника. Советские войска захватили многочисленные трофеи, среди которых: самолётов —368, танков—178, орудий—1.927, автомашин — 7.414, а также большое количество миномётов, пулемётов, автоматов, противотанковых ружей, боеприпасов, и другого военного имущества.</w:t>
      </w:r>
    </w:p>
    <w:p w14:paraId="0ACC3FF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нашими войсками уничтожено: самолётов — 117, танков—172, орудий—268, автомашин — свыше 1.000 и много другого военного имущества.</w:t>
      </w:r>
    </w:p>
    <w:p w14:paraId="58BE9BB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Таковы итоги боёв на втором этапе наступления советских войск на подступах Сталинграда.»</w:t>
      </w:r>
    </w:p>
    <w:p w14:paraId="2368325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III. Третий этап - наступление наших войск южнее Сталинграда.</w:t>
      </w:r>
    </w:p>
    <w:p w14:paraId="6F60074C"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«Немецкое командование, заведя в тупик свои войска под Сталинградом и поставивих перед катастрофой, предприняло отчаянную попытку освободить свои войска, окружённые Красной Армией под Сталинградом. С этой целью противник сосредоточил в районе севернее Котельниково большую группировку войск и начал 12 декабря наступательные действия против наших частей.</w:t>
      </w:r>
    </w:p>
    <w:p w14:paraId="5204EAB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Советским войскам, действующим южнее Сталинграда, Верховным Главнокомандованием Красной Армии была поставлена задача: разгромить новую ударную группировку вражеских войск, отбросить немцев на юг и лишить их последней возможности пробить путь своим окружённым под Сталинградом дивизиям.</w:t>
      </w:r>
    </w:p>
    <w:p w14:paraId="21AC5A5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Эта цель была осуществлена в третий этап наступления наших войск южнее Сталинграда.</w:t>
      </w:r>
    </w:p>
    <w:p w14:paraId="6C12DE3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 время наступления в районе южнее Сталинграда наши войска продвинулись вперёд на 100—150 километров и освободили более 130 населённых пунктов. В ходе боёв с 12 по 30 декабря нашими войсками разгромлены 6, 17 и 23 танковые и 16 моторизованная дивизии немцев, 4 и 18 пехотные, 5 и 8 кавалерийские дивизии румын. Немецко-фашистские войска потеряли только убитыми 21.000 человек. Взято в плен 5.200 солдат и офицеров противника. Среди богатых трофеев, </w:t>
      </w:r>
      <w:r w:rsidRPr="00722885">
        <w:rPr>
          <w:rFonts w:ascii="Times New Roman" w:hAnsi="Times New Roman"/>
          <w:color w:val="000000" w:themeColor="text1"/>
          <w:sz w:val="16"/>
          <w:szCs w:val="16"/>
        </w:rPr>
        <w:lastRenderedPageBreak/>
        <w:t>захваченных нашими войсками, самолётов—40, танков — 94, орудий — 292, автомашин—329, а также много другого вооружения, авиационное и танковое имущество.</w:t>
      </w:r>
    </w:p>
    <w:p w14:paraId="2AE32A8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боёв нашими войсками уничтожено: самолётов — 306, танков — 467, орудий— 257, автомашин — 946 и много другого военного имущества.</w:t>
      </w:r>
    </w:p>
    <w:p w14:paraId="67E2B14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Таковы итоги боёв в третьем этапе наступления советских войск.</w:t>
      </w:r>
    </w:p>
    <w:p w14:paraId="7EB84B9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был осуществлён в три этапа план Верховного Главнокомандования Красной Армии окружения и разгрома немецко-фашистских войск на подступах Сталинграда.</w:t>
      </w:r>
    </w:p>
    <w:p w14:paraId="7F387BF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шестинедельных боёв на подступах Сталинграда наши войска освободили от немецко-фашистских захватчиков 1.589 населённых пунктов. За время наступления с 19 ноября 1942 г. Красная Армия в краткий срок успешно провела труднейшую операцию, окружив плотным кольцом 22 дивизии противника в районе Сталинграда. Красная Армия разгромила в целом 36 дивизий, из них 6 танковых, и нанесла тяжёлые потери 7 дивизиям противника. За этот период немецко-фашистские войска потеряли убитыми 175.000 солдат и офицеров; наши войска взяли в плен 137.650солдат и офицеров противника. Нашими войсками захвачены трофеи: самолётов — 542, танков— 2.064, орудий — 4.451, миномётов — 2.734, пулемётов — 8.161, автоматов—15.954, противотанковых ружей — 3.703, винтовок — 137.850, снарядов — более 5.000.000, патронов — свыше 50.000.000, вагонов — 2.120, паровозов — 46, складовс боеприпасами, вооружением и продовольствием— 434, автомашин— 15.049, лошадей—15.783, мотоциклов — 3.228 и большое количество другого военного имущества.</w:t>
      </w:r>
    </w:p>
    <w:p w14:paraId="34F81DF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это же время нашими войсками уничтожено немецких самолётов— 1.249, танков—1.187, орудий — 1.469, миномётов — 755, пулемётов — 2.708, автомашин —5.135 и много другого военного имущества.</w:t>
      </w:r>
    </w:p>
    <w:p w14:paraId="2DA2CDAC"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Осуществление плана Верховного Главнокомандования Красной Армии по разгрому и окружению Сталинградской группировки войск противника проходило под командованием командующего Юго-Западным фронтом генерал-полковника Ватутина Н.Ф., командующего Сталинградским фронтом генерал-полковника Еременко А.И., командующего Донским фронтом генерал-лейтенанта Рокоссовского К.К.,командующего Воронежским фронтом генерал-лейтенанта Голикова Ф.И. под общим руководством представителей Ставки Верховного Главнокомандования генерала армии Жукова Г.К., генерал-полковника Василевского А.М., генерал-полковникаартиллерии Воронова Н.Н.</w:t>
      </w:r>
    </w:p>
    <w:p w14:paraId="59B90EC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боях отличились войска генерал-лейтенанта Батова П.И., генерал-лейтенанта Кузнецова B.И., генерал-лейтенанта. Лелюшенко Д.Д., генерал-лейтенанта Малиновского Р.Я., генерал-лейтенанта Попова М.М., генерал-лейтенанта Романенко П.Л., генерал-майора Чистякова И.М., генерал-майора Толбухина Ф.И., генерал-майора Труфанова Н.И., генерал-лейтенанта Харитонова Ф.М.</w:t>
      </w:r>
    </w:p>
    <w:p w14:paraId="2B78091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в боях отличились танковые и механизированные корпуса, которыми командуют генерал-лейтенант танковых войск Баданов B.M., генерал-лейтенант танковых войск Ротмистров П.А., генерал-майор Руссиянов И.Н., генерал-майор танковых войск Вольский В.Т., генерал-майор танковых войск Полубояров П.П.,генерал-майор танковых войск Павлов П.П., генерал-майор танковых войск Родин А.Т., генерал-майор танковых войск Бутков B.В., генерал-майор танковых войск Танасчишин Т.И., генерал-майор Волков М.В., генерал-майор Свиридов К.В.</w:t>
      </w:r>
    </w:p>
    <w:p w14:paraId="3700637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Успеху советских войск под Сталинградом способствовали авиасоединения генерал-лейтенанта авиации Красовского С.А., генерал-майора авиации Хрюкина Т.Т., генерал-майора авиации Руденко Л.Г., действовавшие под общим руководством представителей Ставки Верховного Главнокомандования генерал-лейтенанта авиации Новикова А.А. и генерал-лейтенанта авиации Фалалеева Ф.Я.»</w:t>
      </w:r>
    </w:p>
    <w:p w14:paraId="24F465A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последний час.</w:t>
      </w:r>
    </w:p>
    <w:p w14:paraId="4EEBC16E"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декабря наши войска овладели городом и железнодорожной станцией Обливская и районными центрами Нижне-Чирская, Приютное.</w:t>
      </w:r>
    </w:p>
    <w:p w14:paraId="4568810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Захвачены большие трофеи, средикоторых эшелон с самолётами. Трофеи подсчитываются.</w:t>
      </w:r>
    </w:p>
    <w:p w14:paraId="552B1B9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продолжают вести наступательные бои.» (14876).</w:t>
      </w:r>
    </w:p>
    <w:p w14:paraId="71CDA00E"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7882282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30 декабря</w:t>
      </w:r>
      <w:r w:rsidRPr="00722885">
        <w:rPr>
          <w:rFonts w:ascii="Times New Roman" w:hAnsi="Times New Roman"/>
          <w:color w:val="000000" w:themeColor="text1"/>
          <w:sz w:val="16"/>
          <w:szCs w:val="16"/>
        </w:rPr>
        <w:t xml:space="preserve"> в 1942 году завершилась Котельниковcкая наступательная операция советских войск. Сорвана попытка немецкого командования деблокировать окружённую под Сталинградом 6-ю и 4-ю танковую армии. Соединения армейской группы «Гот» отброшены за реку Маныч. Завершилась Среднедонская операция: советские войска продвинулись на 150-200 км и вышли в тыл группе армий «Дон»; противник был вынужден отказаться от дальнейших попыток деблокировать сталинградскую группировку (14876).</w:t>
      </w:r>
    </w:p>
    <w:p w14:paraId="344A5B52"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239E30D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30 декабря</w:t>
      </w:r>
      <w:r w:rsidRPr="00722885">
        <w:rPr>
          <w:rFonts w:ascii="Times New Roman" w:hAnsi="Times New Roman"/>
          <w:color w:val="000000" w:themeColor="text1"/>
          <w:sz w:val="16"/>
          <w:szCs w:val="16"/>
        </w:rPr>
        <w:t xml:space="preserve"> в 1942 году директива Ставки ВГК об образовании Южного фронта (14876).</w:t>
      </w:r>
    </w:p>
    <w:p w14:paraId="06C41F45"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2CF03CE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30 декабря</w:t>
      </w:r>
      <w:r w:rsidRPr="00722885">
        <w:rPr>
          <w:rFonts w:ascii="Times New Roman" w:hAnsi="Times New Roman"/>
          <w:color w:val="000000" w:themeColor="text1"/>
          <w:sz w:val="16"/>
          <w:szCs w:val="16"/>
        </w:rPr>
        <w:t xml:space="preserve"> в 1942 году приказ Орджоникидзевского краевого штаба партизанского движения об усилении борьбы в немецком тылу (14876).</w:t>
      </w:r>
    </w:p>
    <w:p w14:paraId="175D7BE2"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78663A4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30 декабря</w:t>
      </w:r>
      <w:r w:rsidRPr="00722885">
        <w:rPr>
          <w:rFonts w:ascii="Times New Roman" w:hAnsi="Times New Roman"/>
          <w:color w:val="000000" w:themeColor="text1"/>
          <w:sz w:val="16"/>
          <w:szCs w:val="16"/>
        </w:rPr>
        <w:t xml:space="preserve"> в 1942 году в течение 30 декабря наши войска южнее Сталинграда продолжают успешно развивать наступление и занимают районные центры Ремонтное и Троицкое, населенные пункты - Погожка, Терновая, Ивановка, Сиротский, Трудников, Фомин, Чернышов, Валуевка, Улан-Эрге, Ленинский и станцию Семичная (14876).</w:t>
      </w:r>
    </w:p>
    <w:p w14:paraId="04D6CA4E"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3F1BC6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декабря 1942 состоялся первый вылет Ту-2 1-й эскадрильи с разведовательной миссией. Во время боев под Демянском, где попала в "котел" большая группировка немецких войск позиции немцев было предписано фотографировать ежедневно. Пе-2 и Пе-3, отправляемые на задания, несли большие потери. Самолет-разведчик сопровождали пять истребителей. На маршруте им встретились восемь "мессершмиттов". Разгорелся воздушный бой. Он был успешным для советских летчиков: без потерь они сбили четыре вражеских самолета. Но вот беда: пока дрались с немцами, Ту-2 ушел неизвестно куда. Командиру эскорта, грубо говоря, светил трибунал. С тяжелым сердцем он повел группу назад.</w:t>
      </w:r>
    </w:p>
    <w:p w14:paraId="27978D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ему повезло. Разведчик вернулся и привез фотографии. На радостях истребителей простили. Ту-2 стали летать регулярно, в том числе и без прикрытия. Работали обычно одиночными самолетами с передовых аэродромов, отстоявших на 70 - 100 км от линии фронта.</w:t>
      </w:r>
    </w:p>
    <w:p w14:paraId="7C10BC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Отзывы летчиков-разведчиков в целом повторяли то же, что говорили их коллеги в бомбардировочных полках: радиус действия в полтора- два раза больше, чем у Пе-2, выше скорость на малых и средних высотах, двигатели воздушного охлаждения обеспечивают лучшую живучесть, мощное вооружение дает хорошую обороноспособность, самолет без труда летит на одном моторе. А жаловались на недостаточную надежность двигателей и гидравлики (11988).</w:t>
      </w:r>
    </w:p>
    <w:p w14:paraId="29151A4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99E387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ночь на 30 декабря 1942 года одни из полков 222-й дивизии отбомбился по эшелонам в Витебске. Пожар продолжался более трех суток. Было уничтожено 24 паровоза и до 500 вагонов. Аналогичные налеты проводились па железнодорожные узлы Орши, Брянска, Великих Лук, Бреста и другие (3457,93).</w:t>
      </w:r>
    </w:p>
    <w:p w14:paraId="35E8EDD2" w14:textId="77777777" w:rsidR="00BB6316" w:rsidRPr="00722885" w:rsidRDefault="00BB6316" w:rsidP="00722885">
      <w:pPr>
        <w:pStyle w:val="Iauiue"/>
        <w:jc w:val="both"/>
        <w:rPr>
          <w:color w:val="000000" w:themeColor="text1"/>
          <w:sz w:val="16"/>
          <w:szCs w:val="16"/>
        </w:rPr>
      </w:pPr>
    </w:p>
    <w:p w14:paraId="43F85AC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30 декабря 1942 г. шесть Пе-2 из вернувшегося в октябре на фронт 150-го бап сожгли в г. Тормосине 12 немецких трехмоторных самолетов Юнкере Ju52/3m (3542).</w:t>
      </w:r>
    </w:p>
    <w:p w14:paraId="29BFFEDB" w14:textId="77777777" w:rsidR="00BB6316" w:rsidRPr="00722885" w:rsidRDefault="00BB6316" w:rsidP="00722885">
      <w:pPr>
        <w:pStyle w:val="Iauiue"/>
        <w:jc w:val="both"/>
        <w:rPr>
          <w:color w:val="000000" w:themeColor="text1"/>
          <w:sz w:val="16"/>
          <w:szCs w:val="16"/>
        </w:rPr>
      </w:pPr>
    </w:p>
    <w:p w14:paraId="45A0DA9F"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46EFCF0B" w14:textId="77777777" w:rsidR="00BB6316" w:rsidRPr="00722885" w:rsidRDefault="00BB6316" w:rsidP="00722885">
      <w:pPr>
        <w:pStyle w:val="Iauiue"/>
        <w:jc w:val="both"/>
        <w:rPr>
          <w:iCs/>
          <w:color w:val="000000" w:themeColor="text1"/>
          <w:sz w:val="16"/>
          <w:szCs w:val="16"/>
        </w:rPr>
      </w:pPr>
    </w:p>
    <w:p w14:paraId="78E6A53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30 декабря 1942 Митрополит Сергий обратился к верующим и церковнослужителям с призывом создать на пожертвования танковую колонну имени князя Дмитрия Донского. Собрали 6 млн. руб. и много серебряных и золотых вещей. Потом создали эскадрилью им Александра Невского (3398,460).</w:t>
      </w:r>
    </w:p>
    <w:p w14:paraId="435C64F4" w14:textId="77777777" w:rsidR="00BB6316" w:rsidRPr="00722885" w:rsidRDefault="00BB6316" w:rsidP="00722885">
      <w:pPr>
        <w:pStyle w:val="Iauiue"/>
        <w:jc w:val="both"/>
        <w:rPr>
          <w:color w:val="000000" w:themeColor="text1"/>
          <w:sz w:val="16"/>
          <w:szCs w:val="16"/>
        </w:rPr>
      </w:pPr>
    </w:p>
    <w:p w14:paraId="4A99ACC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декабря 1942 г. глава Русской Православной Церкви обратился к архипастырям, пастырям и приходским общи</w:t>
      </w:r>
      <w:r w:rsidRPr="00722885">
        <w:rPr>
          <w:rFonts w:ascii="Times New Roman" w:hAnsi="Times New Roman"/>
          <w:color w:val="000000" w:themeColor="text1"/>
          <w:sz w:val="16"/>
          <w:szCs w:val="16"/>
        </w:rPr>
        <w:softHyphen/>
        <w:t>нам с призывом о сборе средств на постройку танковой ко</w:t>
      </w:r>
      <w:r w:rsidRPr="00722885">
        <w:rPr>
          <w:rFonts w:ascii="Times New Roman" w:hAnsi="Times New Roman"/>
          <w:color w:val="000000" w:themeColor="text1"/>
          <w:sz w:val="16"/>
          <w:szCs w:val="16"/>
        </w:rPr>
        <w:softHyphen/>
        <w:t>лонны имени Димитрия Донского. 5 января 1943 г. И. Ста</w:t>
      </w:r>
      <w:r w:rsidRPr="00722885">
        <w:rPr>
          <w:rFonts w:ascii="Times New Roman" w:hAnsi="Times New Roman"/>
          <w:color w:val="000000" w:themeColor="text1"/>
          <w:sz w:val="16"/>
          <w:szCs w:val="16"/>
        </w:rPr>
        <w:softHyphen/>
        <w:t>лин направил митрополиту Сергию телеграмму с благодар</w:t>
      </w:r>
      <w:r w:rsidRPr="00722885">
        <w:rPr>
          <w:rFonts w:ascii="Times New Roman" w:hAnsi="Times New Roman"/>
          <w:color w:val="000000" w:themeColor="text1"/>
          <w:sz w:val="16"/>
          <w:szCs w:val="16"/>
        </w:rPr>
        <w:softHyphen/>
        <w:t>ностью русскому духовенству и пастве за заботу о броне</w:t>
      </w:r>
      <w:r w:rsidRPr="00722885">
        <w:rPr>
          <w:rFonts w:ascii="Times New Roman" w:hAnsi="Times New Roman"/>
          <w:color w:val="000000" w:themeColor="text1"/>
          <w:sz w:val="16"/>
          <w:szCs w:val="16"/>
        </w:rPr>
        <w:softHyphen/>
        <w:t>танковых войсках Красной Армии. А вскоре Государствен</w:t>
      </w:r>
      <w:r w:rsidRPr="00722885">
        <w:rPr>
          <w:rFonts w:ascii="Times New Roman" w:hAnsi="Times New Roman"/>
          <w:color w:val="000000" w:themeColor="text1"/>
          <w:sz w:val="16"/>
          <w:szCs w:val="16"/>
        </w:rPr>
        <w:softHyphen/>
        <w:t>ный банк СССР получил указание И. Сталина об открытии Специального счета Русской Православной церкви, для .Сбора средств, что стало фактом признания юридического статуса РПЦ впервые за годы советской власти. &gt;, В январе 1943 г. большие денежные средства поступили га указанный счет в Москве, Ленинграде и Свердловске. Всего для создания танковой колонны в 1943 году Церковью было собрано свыше 8 миллионов рублей, а также большое количество предметов из драгоценных металлов, ювелирных изделий, антикварных предметов, произведений искусств...</w:t>
      </w:r>
    </w:p>
    <w:p w14:paraId="0486E4E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Наибольший вклад внесли верующие Москвы — более 2 млн. руб., свыше 1 млн. руб. собрали верующие Ленин</w:t>
      </w:r>
      <w:r w:rsidRPr="00722885">
        <w:rPr>
          <w:rFonts w:ascii="Times New Roman" w:hAnsi="Times New Roman"/>
          <w:color w:val="000000" w:themeColor="text1"/>
          <w:sz w:val="16"/>
          <w:szCs w:val="16"/>
        </w:rPr>
        <w:softHyphen/>
        <w:t>града, 650 тыс. руб. поступило на счет РПЦ из Куйбышева, по полмиллиона дали Астрахань и Пенза, по 400 тыс. — Ка</w:t>
      </w:r>
      <w:r w:rsidRPr="00722885">
        <w:rPr>
          <w:rFonts w:ascii="Times New Roman" w:hAnsi="Times New Roman"/>
          <w:color w:val="000000" w:themeColor="text1"/>
          <w:sz w:val="16"/>
          <w:szCs w:val="16"/>
        </w:rPr>
        <w:softHyphen/>
        <w:t>зань и Саратов, немногим более 300 тыс. дала Пермь.</w:t>
      </w:r>
    </w:p>
    <w:p w14:paraId="46074C4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Большие суммы поступали и из сельской местности. Например, Ивановская обл. собрала 146 тыс. руб. На свя</w:t>
      </w:r>
      <w:r w:rsidRPr="00722885">
        <w:rPr>
          <w:rFonts w:ascii="Times New Roman" w:hAnsi="Times New Roman"/>
          <w:color w:val="000000" w:themeColor="text1"/>
          <w:sz w:val="16"/>
          <w:szCs w:val="16"/>
        </w:rPr>
        <w:softHyphen/>
        <w:t>тое дело отдавали свое не только в тылу. Уже звучали в пе-%ати воспоминания протоиерея церкви села Троицкого Днепропетровской области И. Ивлева: «В церковной кассе денег не было, а их надо было достать... Я благословил двух 75-летних старушек на это великое дело. Пусть имена их бу</w:t>
      </w:r>
      <w:r w:rsidRPr="00722885">
        <w:rPr>
          <w:rFonts w:ascii="Times New Roman" w:hAnsi="Times New Roman"/>
          <w:color w:val="000000" w:themeColor="text1"/>
          <w:sz w:val="16"/>
          <w:szCs w:val="16"/>
        </w:rPr>
        <w:softHyphen/>
        <w:t>дут известны людям: Ковригина Мария Максимовна и Гор-бенко Матрена Максимовна.” (11135).</w:t>
      </w:r>
    </w:p>
    <w:p w14:paraId="21051C2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C15C308"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49E7F2F5" w14:textId="77777777" w:rsidR="00BB6316" w:rsidRPr="00722885" w:rsidRDefault="00BB6316" w:rsidP="00722885">
      <w:pPr>
        <w:pStyle w:val="Iauiue"/>
        <w:jc w:val="both"/>
        <w:rPr>
          <w:iCs/>
          <w:color w:val="000000" w:themeColor="text1"/>
          <w:sz w:val="16"/>
          <w:szCs w:val="16"/>
        </w:rPr>
      </w:pPr>
    </w:p>
    <w:p w14:paraId="62606DC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30 декабря 1942 поднялся в воздух второй экземпляр опытного ХВ-29 N 41-003 (1051,16).</w:t>
      </w:r>
    </w:p>
    <w:p w14:paraId="286158A5" w14:textId="77777777" w:rsidR="00BB6316" w:rsidRPr="00722885" w:rsidRDefault="00BB6316" w:rsidP="00722885">
      <w:pPr>
        <w:pStyle w:val="Iauiue"/>
        <w:jc w:val="both"/>
        <w:rPr>
          <w:color w:val="000000" w:themeColor="text1"/>
          <w:sz w:val="16"/>
          <w:szCs w:val="16"/>
        </w:rPr>
      </w:pPr>
    </w:p>
    <w:p w14:paraId="39927F7E" w14:textId="77777777" w:rsidR="00BB6316" w:rsidRPr="00722885" w:rsidRDefault="00BB6316" w:rsidP="00722885">
      <w:pPr>
        <w:pStyle w:val="95"/>
        <w:shd w:val="clear" w:color="auto" w:fill="auto"/>
        <w:spacing w:after="0" w:line="240" w:lineRule="auto"/>
        <w:ind w:firstLine="0"/>
        <w:jc w:val="both"/>
        <w:rPr>
          <w:color w:val="000000" w:themeColor="text1"/>
          <w:sz w:val="16"/>
          <w:szCs w:val="16"/>
        </w:rPr>
      </w:pPr>
      <w:r w:rsidRPr="00722885">
        <w:rPr>
          <w:color w:val="000000" w:themeColor="text1"/>
          <w:sz w:val="16"/>
          <w:szCs w:val="16"/>
        </w:rPr>
        <w:lastRenderedPageBreak/>
        <w:t>30 декабря 1942 года взлетел второй прототип ХВ-29 (серийный номер 41-0003), но из- за возгорания одного из двигателей пришлось прервать намеченную программу. Мотор за</w:t>
      </w:r>
      <w:r w:rsidRPr="00722885">
        <w:rPr>
          <w:color w:val="000000" w:themeColor="text1"/>
          <w:sz w:val="16"/>
          <w:szCs w:val="16"/>
        </w:rPr>
        <w:softHyphen/>
        <w:t>менили, но во втором полете 18 февраля 1943 года, вскоре после взлета произошла трагедия. Огонь со вспыхнувшего двигателя перекинул</w:t>
      </w:r>
      <w:r w:rsidRPr="00722885">
        <w:rPr>
          <w:color w:val="000000" w:themeColor="text1"/>
          <w:sz w:val="16"/>
          <w:szCs w:val="16"/>
        </w:rPr>
        <w:softHyphen/>
        <w:t>ся на крыло, и самолет разрушился в воздухе, унеся жизни экипажа вместе с Эдди Алленом и 18 рабочих завода мясных консервов, ока</w:t>
      </w:r>
      <w:r w:rsidRPr="00722885">
        <w:rPr>
          <w:color w:val="000000" w:themeColor="text1"/>
          <w:sz w:val="16"/>
          <w:szCs w:val="16"/>
        </w:rPr>
        <w:softHyphen/>
        <w:t>завшихся на его пути.</w:t>
      </w:r>
    </w:p>
    <w:p w14:paraId="4431DE8A" w14:textId="77777777" w:rsidR="00BB6316" w:rsidRPr="00722885" w:rsidRDefault="00BB6316" w:rsidP="00722885">
      <w:pPr>
        <w:pStyle w:val="95"/>
        <w:shd w:val="clear" w:color="auto" w:fill="auto"/>
        <w:spacing w:after="0" w:line="240" w:lineRule="auto"/>
        <w:ind w:firstLine="0"/>
        <w:jc w:val="both"/>
        <w:rPr>
          <w:color w:val="000000" w:themeColor="text1"/>
          <w:sz w:val="16"/>
          <w:szCs w:val="16"/>
        </w:rPr>
      </w:pPr>
      <w:r w:rsidRPr="00722885">
        <w:rPr>
          <w:color w:val="000000" w:themeColor="text1"/>
          <w:sz w:val="16"/>
          <w:szCs w:val="16"/>
        </w:rPr>
        <w:t>Всего изготовили три прототипа, включая планер для статических испытаний (12292).</w:t>
      </w:r>
    </w:p>
    <w:p w14:paraId="48331ED6" w14:textId="77777777" w:rsidR="00BB6316" w:rsidRPr="00722885" w:rsidRDefault="00BB6316" w:rsidP="00722885">
      <w:pPr>
        <w:pStyle w:val="95"/>
        <w:shd w:val="clear" w:color="auto" w:fill="auto"/>
        <w:spacing w:after="0" w:line="240" w:lineRule="auto"/>
        <w:ind w:firstLine="0"/>
        <w:jc w:val="both"/>
        <w:rPr>
          <w:color w:val="000000" w:themeColor="text1"/>
          <w:sz w:val="16"/>
          <w:szCs w:val="16"/>
        </w:rPr>
      </w:pPr>
    </w:p>
    <w:p w14:paraId="6C32D540"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52BEC76" w14:textId="77777777" w:rsidR="00BB6316" w:rsidRPr="00722885" w:rsidRDefault="00BB6316" w:rsidP="00722885">
      <w:pPr>
        <w:pStyle w:val="Iauiue"/>
        <w:jc w:val="both"/>
        <w:rPr>
          <w:iCs/>
          <w:color w:val="000000" w:themeColor="text1"/>
          <w:sz w:val="16"/>
          <w:szCs w:val="16"/>
        </w:rPr>
      </w:pPr>
    </w:p>
    <w:p w14:paraId="311B609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31 декабря 1942 у Перелазовского был захвачен Fw 189A, но не летал и в НИИ ВВС испытывали другую машину А-2, захваченную в январе 1943 (2466,148).</w:t>
      </w:r>
    </w:p>
    <w:p w14:paraId="0254F565" w14:textId="77777777" w:rsidR="00BB6316" w:rsidRPr="00722885" w:rsidRDefault="00BB6316" w:rsidP="00722885">
      <w:pPr>
        <w:pStyle w:val="Iauiue"/>
        <w:jc w:val="both"/>
        <w:rPr>
          <w:color w:val="000000" w:themeColor="text1"/>
          <w:sz w:val="16"/>
          <w:szCs w:val="16"/>
        </w:rPr>
      </w:pPr>
    </w:p>
    <w:p w14:paraId="1056DF30"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FBCF074" w14:textId="77777777" w:rsidR="00BB6316" w:rsidRPr="00722885" w:rsidRDefault="00BB6316" w:rsidP="00722885">
      <w:pPr>
        <w:pStyle w:val="Iauiue"/>
        <w:jc w:val="both"/>
        <w:rPr>
          <w:iCs/>
          <w:color w:val="000000" w:themeColor="text1"/>
          <w:sz w:val="16"/>
          <w:szCs w:val="16"/>
        </w:rPr>
      </w:pPr>
    </w:p>
    <w:p w14:paraId="3E6195F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ранее 31 декабря 1942 г. Из отчета завода «Серп и Молот» о выполнении военных заказов за четыре квартала 1942 г.</w:t>
      </w:r>
    </w:p>
    <w:p w14:paraId="40C2058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 квартал 1942 г. […]</w:t>
      </w:r>
      <w:hyperlink r:id="rId197" w:anchor="_ftn2" w:history="1">
        <w:r w:rsidRPr="00722885">
          <w:rPr>
            <w:rFonts w:ascii="Times New Roman" w:hAnsi="Times New Roman"/>
            <w:color w:val="000000" w:themeColor="text1"/>
            <w:sz w:val="16"/>
            <w:szCs w:val="16"/>
          </w:rPr>
          <w:t>[2]</w:t>
        </w:r>
      </w:hyperlink>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0"/>
        <w:gridCol w:w="2820"/>
        <w:gridCol w:w="720"/>
        <w:gridCol w:w="900"/>
        <w:gridCol w:w="1080"/>
      </w:tblGrid>
      <w:tr w:rsidR="009B487A" w:rsidRPr="00722885" w14:paraId="6895A881" w14:textId="77777777" w:rsidTr="009D3895">
        <w:trPr>
          <w:tblCellSpacing w:w="0" w:type="dxa"/>
        </w:trPr>
        <w:tc>
          <w:tcPr>
            <w:tcW w:w="1140" w:type="dxa"/>
            <w:vMerge w:val="restart"/>
            <w:tcBorders>
              <w:top w:val="outset" w:sz="6" w:space="0" w:color="auto"/>
              <w:left w:val="outset" w:sz="6" w:space="0" w:color="auto"/>
              <w:bottom w:val="outset" w:sz="6" w:space="0" w:color="auto"/>
              <w:right w:val="outset" w:sz="6" w:space="0" w:color="auto"/>
            </w:tcBorders>
            <w:hideMark/>
          </w:tcPr>
          <w:p w14:paraId="6E5A269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p w14:paraId="13874AF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квартал</w:t>
            </w:r>
          </w:p>
        </w:tc>
        <w:tc>
          <w:tcPr>
            <w:tcW w:w="2820" w:type="dxa"/>
            <w:tcBorders>
              <w:top w:val="outset" w:sz="6" w:space="0" w:color="auto"/>
              <w:left w:val="outset" w:sz="6" w:space="0" w:color="auto"/>
              <w:bottom w:val="outset" w:sz="6" w:space="0" w:color="auto"/>
              <w:right w:val="outset" w:sz="6" w:space="0" w:color="auto"/>
            </w:tcBorders>
            <w:hideMark/>
          </w:tcPr>
          <w:p w14:paraId="4852E28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Корпуса 50 мм осколочных мин</w:t>
            </w:r>
          </w:p>
        </w:tc>
        <w:tc>
          <w:tcPr>
            <w:tcW w:w="720" w:type="dxa"/>
            <w:tcBorders>
              <w:top w:val="outset" w:sz="6" w:space="0" w:color="auto"/>
              <w:left w:val="outset" w:sz="6" w:space="0" w:color="auto"/>
              <w:bottom w:val="outset" w:sz="6" w:space="0" w:color="auto"/>
              <w:right w:val="outset" w:sz="6" w:space="0" w:color="auto"/>
            </w:tcBorders>
            <w:hideMark/>
          </w:tcPr>
          <w:p w14:paraId="2EC9533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7C8A870C"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w:t>
            </w:r>
          </w:p>
        </w:tc>
        <w:tc>
          <w:tcPr>
            <w:tcW w:w="1080" w:type="dxa"/>
            <w:tcBorders>
              <w:top w:val="outset" w:sz="6" w:space="0" w:color="auto"/>
              <w:left w:val="outset" w:sz="6" w:space="0" w:color="auto"/>
              <w:bottom w:val="outset" w:sz="6" w:space="0" w:color="auto"/>
              <w:right w:val="outset" w:sz="6" w:space="0" w:color="auto"/>
            </w:tcBorders>
            <w:hideMark/>
          </w:tcPr>
          <w:p w14:paraId="696BD34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120000</w:t>
            </w:r>
          </w:p>
        </w:tc>
      </w:tr>
      <w:tr w:rsidR="009B487A" w:rsidRPr="00722885" w14:paraId="5EFA4BE9" w14:textId="77777777" w:rsidTr="009D3895">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06E48E9" w14:textId="77777777" w:rsidR="000C3A55" w:rsidRPr="00722885" w:rsidRDefault="000C3A55" w:rsidP="00722885">
            <w:pPr>
              <w:spacing w:after="0" w:line="240" w:lineRule="auto"/>
              <w:jc w:val="both"/>
              <w:rPr>
                <w:rFonts w:ascii="Times New Roman" w:hAnsi="Times New Roman"/>
                <w:color w:val="000000" w:themeColor="text1"/>
                <w:sz w:val="16"/>
                <w:szCs w:val="16"/>
              </w:rPr>
            </w:pPr>
          </w:p>
        </w:tc>
        <w:tc>
          <w:tcPr>
            <w:tcW w:w="2820" w:type="dxa"/>
            <w:tcBorders>
              <w:top w:val="outset" w:sz="6" w:space="0" w:color="auto"/>
              <w:left w:val="outset" w:sz="6" w:space="0" w:color="auto"/>
              <w:bottom w:val="outset" w:sz="6" w:space="0" w:color="auto"/>
              <w:right w:val="outset" w:sz="6" w:space="0" w:color="auto"/>
            </w:tcBorders>
            <w:hideMark/>
          </w:tcPr>
          <w:p w14:paraId="31EFE9A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Чугунные 37 мм мины</w:t>
            </w:r>
          </w:p>
        </w:tc>
        <w:tc>
          <w:tcPr>
            <w:tcW w:w="720" w:type="dxa"/>
            <w:tcBorders>
              <w:top w:val="outset" w:sz="6" w:space="0" w:color="auto"/>
              <w:left w:val="outset" w:sz="6" w:space="0" w:color="auto"/>
              <w:bottom w:val="outset" w:sz="6" w:space="0" w:color="auto"/>
              <w:right w:val="outset" w:sz="6" w:space="0" w:color="auto"/>
            </w:tcBorders>
            <w:hideMark/>
          </w:tcPr>
          <w:p w14:paraId="5BE2E7A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2ADD0E6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w:t>
            </w:r>
          </w:p>
        </w:tc>
        <w:tc>
          <w:tcPr>
            <w:tcW w:w="1080" w:type="dxa"/>
            <w:tcBorders>
              <w:top w:val="outset" w:sz="6" w:space="0" w:color="auto"/>
              <w:left w:val="outset" w:sz="6" w:space="0" w:color="auto"/>
              <w:bottom w:val="outset" w:sz="6" w:space="0" w:color="auto"/>
              <w:right w:val="outset" w:sz="6" w:space="0" w:color="auto"/>
            </w:tcBorders>
            <w:hideMark/>
          </w:tcPr>
          <w:p w14:paraId="7D7DD25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50000</w:t>
            </w:r>
          </w:p>
        </w:tc>
      </w:tr>
      <w:tr w:rsidR="009B487A" w:rsidRPr="00722885" w14:paraId="19EC0A5F" w14:textId="77777777" w:rsidTr="009D3895">
        <w:trPr>
          <w:tblCellSpacing w:w="0" w:type="dxa"/>
        </w:trPr>
        <w:tc>
          <w:tcPr>
            <w:tcW w:w="1140" w:type="dxa"/>
            <w:tcBorders>
              <w:top w:val="outset" w:sz="6" w:space="0" w:color="auto"/>
              <w:left w:val="outset" w:sz="6" w:space="0" w:color="auto"/>
              <w:bottom w:val="outset" w:sz="6" w:space="0" w:color="auto"/>
              <w:right w:val="outset" w:sz="6" w:space="0" w:color="auto"/>
            </w:tcBorders>
            <w:hideMark/>
          </w:tcPr>
          <w:p w14:paraId="433F056F" w14:textId="77777777" w:rsidR="000C3A55" w:rsidRPr="00722885" w:rsidRDefault="000C3A55" w:rsidP="00722885">
            <w:pPr>
              <w:spacing w:after="0" w:line="240" w:lineRule="auto"/>
              <w:jc w:val="both"/>
              <w:rPr>
                <w:rFonts w:ascii="Times New Roman" w:hAnsi="Times New Roman"/>
                <w:color w:val="000000" w:themeColor="text1"/>
                <w:sz w:val="16"/>
                <w:szCs w:val="16"/>
              </w:rPr>
            </w:pPr>
          </w:p>
        </w:tc>
        <w:tc>
          <w:tcPr>
            <w:tcW w:w="2820" w:type="dxa"/>
            <w:tcBorders>
              <w:top w:val="outset" w:sz="6" w:space="0" w:color="auto"/>
              <w:left w:val="outset" w:sz="6" w:space="0" w:color="auto"/>
              <w:bottom w:val="outset" w:sz="6" w:space="0" w:color="auto"/>
              <w:right w:val="outset" w:sz="6" w:space="0" w:color="auto"/>
            </w:tcBorders>
            <w:hideMark/>
          </w:tcPr>
          <w:p w14:paraId="63C03A5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мин 50 мм, 37 мм</w:t>
            </w:r>
          </w:p>
        </w:tc>
        <w:tc>
          <w:tcPr>
            <w:tcW w:w="720" w:type="dxa"/>
            <w:tcBorders>
              <w:top w:val="outset" w:sz="6" w:space="0" w:color="auto"/>
              <w:left w:val="outset" w:sz="6" w:space="0" w:color="auto"/>
              <w:bottom w:val="outset" w:sz="6" w:space="0" w:color="auto"/>
              <w:right w:val="outset" w:sz="6" w:space="0" w:color="auto"/>
            </w:tcBorders>
            <w:hideMark/>
          </w:tcPr>
          <w:p w14:paraId="608B966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6615524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w:t>
            </w:r>
          </w:p>
        </w:tc>
        <w:tc>
          <w:tcPr>
            <w:tcW w:w="1080" w:type="dxa"/>
            <w:tcBorders>
              <w:top w:val="outset" w:sz="6" w:space="0" w:color="auto"/>
              <w:left w:val="outset" w:sz="6" w:space="0" w:color="auto"/>
              <w:bottom w:val="outset" w:sz="6" w:space="0" w:color="auto"/>
              <w:right w:val="outset" w:sz="6" w:space="0" w:color="auto"/>
            </w:tcBorders>
            <w:hideMark/>
          </w:tcPr>
          <w:p w14:paraId="5B02EA8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170000</w:t>
            </w:r>
          </w:p>
        </w:tc>
      </w:tr>
    </w:tbl>
    <w:p w14:paraId="0F56A36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 квартал 1942 г.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0"/>
        <w:gridCol w:w="2640"/>
        <w:gridCol w:w="900"/>
        <w:gridCol w:w="900"/>
        <w:gridCol w:w="1080"/>
      </w:tblGrid>
      <w:tr w:rsidR="009B487A" w:rsidRPr="00722885" w14:paraId="4B153A15" w14:textId="77777777" w:rsidTr="009D3895">
        <w:trPr>
          <w:tblCellSpacing w:w="0" w:type="dxa"/>
        </w:trPr>
        <w:tc>
          <w:tcPr>
            <w:tcW w:w="1140" w:type="dxa"/>
            <w:vMerge w:val="restart"/>
            <w:tcBorders>
              <w:top w:val="outset" w:sz="6" w:space="0" w:color="auto"/>
              <w:left w:val="outset" w:sz="6" w:space="0" w:color="auto"/>
              <w:bottom w:val="outset" w:sz="6" w:space="0" w:color="auto"/>
              <w:right w:val="outset" w:sz="6" w:space="0" w:color="auto"/>
            </w:tcBorders>
            <w:hideMark/>
          </w:tcPr>
          <w:p w14:paraId="09C64A9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p w14:paraId="1727EC2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квартал</w:t>
            </w:r>
          </w:p>
        </w:tc>
        <w:tc>
          <w:tcPr>
            <w:tcW w:w="2640" w:type="dxa"/>
            <w:tcBorders>
              <w:top w:val="outset" w:sz="6" w:space="0" w:color="auto"/>
              <w:left w:val="outset" w:sz="6" w:space="0" w:color="auto"/>
              <w:bottom w:val="outset" w:sz="6" w:space="0" w:color="auto"/>
              <w:right w:val="outset" w:sz="6" w:space="0" w:color="auto"/>
            </w:tcBorders>
            <w:hideMark/>
          </w:tcPr>
          <w:p w14:paraId="719B6C9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Корпуса 50 мм осколочных мин</w:t>
            </w:r>
          </w:p>
        </w:tc>
        <w:tc>
          <w:tcPr>
            <w:tcW w:w="900" w:type="dxa"/>
            <w:tcBorders>
              <w:top w:val="outset" w:sz="6" w:space="0" w:color="auto"/>
              <w:left w:val="outset" w:sz="6" w:space="0" w:color="auto"/>
              <w:bottom w:val="outset" w:sz="6" w:space="0" w:color="auto"/>
              <w:right w:val="outset" w:sz="6" w:space="0" w:color="auto"/>
            </w:tcBorders>
            <w:hideMark/>
          </w:tcPr>
          <w:p w14:paraId="72A176D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37598A9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w:t>
            </w:r>
          </w:p>
        </w:tc>
        <w:tc>
          <w:tcPr>
            <w:tcW w:w="1080" w:type="dxa"/>
            <w:tcBorders>
              <w:top w:val="outset" w:sz="6" w:space="0" w:color="auto"/>
              <w:left w:val="outset" w:sz="6" w:space="0" w:color="auto"/>
              <w:bottom w:val="outset" w:sz="6" w:space="0" w:color="auto"/>
              <w:right w:val="outset" w:sz="6" w:space="0" w:color="auto"/>
            </w:tcBorders>
            <w:hideMark/>
          </w:tcPr>
          <w:p w14:paraId="0126DDBD"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125000</w:t>
            </w:r>
          </w:p>
        </w:tc>
      </w:tr>
      <w:tr w:rsidR="009B487A" w:rsidRPr="00722885" w14:paraId="2EBCFEB8" w14:textId="77777777" w:rsidTr="009D3895">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86207BB" w14:textId="77777777" w:rsidR="000C3A55" w:rsidRPr="00722885" w:rsidRDefault="000C3A55" w:rsidP="00722885">
            <w:pPr>
              <w:spacing w:after="0" w:line="240" w:lineRule="auto"/>
              <w:jc w:val="both"/>
              <w:rPr>
                <w:rFonts w:ascii="Times New Roman" w:hAnsi="Times New Roman"/>
                <w:color w:val="000000" w:themeColor="text1"/>
                <w:sz w:val="16"/>
                <w:szCs w:val="16"/>
              </w:rPr>
            </w:pPr>
          </w:p>
        </w:tc>
        <w:tc>
          <w:tcPr>
            <w:tcW w:w="2640" w:type="dxa"/>
            <w:tcBorders>
              <w:top w:val="outset" w:sz="6" w:space="0" w:color="auto"/>
              <w:left w:val="outset" w:sz="6" w:space="0" w:color="auto"/>
              <w:bottom w:val="outset" w:sz="6" w:space="0" w:color="auto"/>
              <w:right w:val="outset" w:sz="6" w:space="0" w:color="auto"/>
            </w:tcBorders>
            <w:hideMark/>
          </w:tcPr>
          <w:p w14:paraId="33CF568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Чугунные 37 мм мины</w:t>
            </w:r>
          </w:p>
        </w:tc>
        <w:tc>
          <w:tcPr>
            <w:tcW w:w="900" w:type="dxa"/>
            <w:tcBorders>
              <w:top w:val="outset" w:sz="6" w:space="0" w:color="auto"/>
              <w:left w:val="outset" w:sz="6" w:space="0" w:color="auto"/>
              <w:bottom w:val="outset" w:sz="6" w:space="0" w:color="auto"/>
              <w:right w:val="outset" w:sz="6" w:space="0" w:color="auto"/>
            </w:tcBorders>
            <w:hideMark/>
          </w:tcPr>
          <w:p w14:paraId="3437E28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5EF9E1D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w:t>
            </w:r>
          </w:p>
        </w:tc>
        <w:tc>
          <w:tcPr>
            <w:tcW w:w="1080" w:type="dxa"/>
            <w:tcBorders>
              <w:top w:val="outset" w:sz="6" w:space="0" w:color="auto"/>
              <w:left w:val="outset" w:sz="6" w:space="0" w:color="auto"/>
              <w:bottom w:val="outset" w:sz="6" w:space="0" w:color="auto"/>
              <w:right w:val="outset" w:sz="6" w:space="0" w:color="auto"/>
            </w:tcBorders>
            <w:hideMark/>
          </w:tcPr>
          <w:p w14:paraId="335A6AB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hyperlink r:id="rId198" w:anchor="_ftn3" w:history="1">
              <w:r w:rsidRPr="00722885">
                <w:rPr>
                  <w:rFonts w:ascii="Times New Roman" w:hAnsi="Times New Roman"/>
                  <w:color w:val="000000" w:themeColor="text1"/>
                  <w:sz w:val="16"/>
                  <w:szCs w:val="16"/>
                </w:rPr>
                <w:t>[3]</w:t>
              </w:r>
            </w:hyperlink>
          </w:p>
        </w:tc>
      </w:tr>
    </w:tbl>
    <w:p w14:paraId="2384A59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III квартал 1942 г.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0"/>
        <w:gridCol w:w="2985"/>
        <w:gridCol w:w="750"/>
        <w:gridCol w:w="900"/>
        <w:gridCol w:w="900"/>
      </w:tblGrid>
      <w:tr w:rsidR="009B487A" w:rsidRPr="00722885" w14:paraId="45BFA138" w14:textId="77777777" w:rsidTr="009D3895">
        <w:trPr>
          <w:tblCellSpacing w:w="0" w:type="dxa"/>
        </w:trPr>
        <w:tc>
          <w:tcPr>
            <w:tcW w:w="1140" w:type="dxa"/>
            <w:vMerge w:val="restart"/>
            <w:tcBorders>
              <w:top w:val="outset" w:sz="6" w:space="0" w:color="auto"/>
              <w:left w:val="outset" w:sz="6" w:space="0" w:color="auto"/>
              <w:bottom w:val="outset" w:sz="6" w:space="0" w:color="auto"/>
              <w:right w:val="outset" w:sz="6" w:space="0" w:color="auto"/>
            </w:tcBorders>
            <w:hideMark/>
          </w:tcPr>
          <w:p w14:paraId="32D0ABE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p w14:paraId="0A5EA86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квартал</w:t>
            </w:r>
          </w:p>
        </w:tc>
        <w:tc>
          <w:tcPr>
            <w:tcW w:w="2985" w:type="dxa"/>
            <w:tcBorders>
              <w:top w:val="outset" w:sz="6" w:space="0" w:color="auto"/>
              <w:left w:val="outset" w:sz="6" w:space="0" w:color="auto"/>
              <w:bottom w:val="outset" w:sz="6" w:space="0" w:color="auto"/>
              <w:right w:val="outset" w:sz="6" w:space="0" w:color="auto"/>
            </w:tcBorders>
            <w:hideMark/>
          </w:tcPr>
          <w:p w14:paraId="6C6F9D8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Корпуса 50 мм осколочных стальных мин</w:t>
            </w:r>
          </w:p>
        </w:tc>
        <w:tc>
          <w:tcPr>
            <w:tcW w:w="750" w:type="dxa"/>
            <w:tcBorders>
              <w:top w:val="outset" w:sz="6" w:space="0" w:color="auto"/>
              <w:left w:val="outset" w:sz="6" w:space="0" w:color="auto"/>
              <w:bottom w:val="outset" w:sz="6" w:space="0" w:color="auto"/>
              <w:right w:val="outset" w:sz="6" w:space="0" w:color="auto"/>
            </w:tcBorders>
            <w:hideMark/>
          </w:tcPr>
          <w:p w14:paraId="10FB5EF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1678286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w:t>
            </w:r>
          </w:p>
        </w:tc>
        <w:tc>
          <w:tcPr>
            <w:tcW w:w="900" w:type="dxa"/>
            <w:tcBorders>
              <w:top w:val="outset" w:sz="6" w:space="0" w:color="auto"/>
              <w:left w:val="outset" w:sz="6" w:space="0" w:color="auto"/>
              <w:bottom w:val="outset" w:sz="6" w:space="0" w:color="auto"/>
              <w:right w:val="outset" w:sz="6" w:space="0" w:color="auto"/>
            </w:tcBorders>
            <w:hideMark/>
          </w:tcPr>
          <w:p w14:paraId="1AB2504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65000</w:t>
            </w:r>
          </w:p>
        </w:tc>
      </w:tr>
      <w:tr w:rsidR="009B487A" w:rsidRPr="00722885" w14:paraId="2C5A08F1" w14:textId="77777777" w:rsidTr="009D3895">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398B5DC" w14:textId="77777777" w:rsidR="000C3A55" w:rsidRPr="00722885" w:rsidRDefault="000C3A55" w:rsidP="00722885">
            <w:pPr>
              <w:spacing w:after="0" w:line="240" w:lineRule="auto"/>
              <w:jc w:val="both"/>
              <w:rPr>
                <w:rFonts w:ascii="Times New Roman" w:hAnsi="Times New Roman"/>
                <w:color w:val="000000" w:themeColor="text1"/>
                <w:sz w:val="16"/>
                <w:szCs w:val="16"/>
              </w:rPr>
            </w:pPr>
          </w:p>
        </w:tc>
        <w:tc>
          <w:tcPr>
            <w:tcW w:w="2985" w:type="dxa"/>
            <w:tcBorders>
              <w:top w:val="outset" w:sz="6" w:space="0" w:color="auto"/>
              <w:left w:val="outset" w:sz="6" w:space="0" w:color="auto"/>
              <w:bottom w:val="outset" w:sz="6" w:space="0" w:color="auto"/>
              <w:right w:val="outset" w:sz="6" w:space="0" w:color="auto"/>
            </w:tcBorders>
            <w:hideMark/>
          </w:tcPr>
          <w:p w14:paraId="7485B4ED"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Чугунные 50 мм мины</w:t>
            </w:r>
          </w:p>
        </w:tc>
        <w:tc>
          <w:tcPr>
            <w:tcW w:w="750" w:type="dxa"/>
            <w:tcBorders>
              <w:top w:val="outset" w:sz="6" w:space="0" w:color="auto"/>
              <w:left w:val="outset" w:sz="6" w:space="0" w:color="auto"/>
              <w:bottom w:val="outset" w:sz="6" w:space="0" w:color="auto"/>
              <w:right w:val="outset" w:sz="6" w:space="0" w:color="auto"/>
            </w:tcBorders>
            <w:hideMark/>
          </w:tcPr>
          <w:p w14:paraId="487AD98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tc>
        <w:tc>
          <w:tcPr>
            <w:tcW w:w="900" w:type="dxa"/>
            <w:tcBorders>
              <w:top w:val="outset" w:sz="6" w:space="0" w:color="auto"/>
              <w:left w:val="outset" w:sz="6" w:space="0" w:color="auto"/>
              <w:bottom w:val="outset" w:sz="6" w:space="0" w:color="auto"/>
              <w:right w:val="outset" w:sz="6" w:space="0" w:color="auto"/>
            </w:tcBorders>
            <w:hideMark/>
          </w:tcPr>
          <w:p w14:paraId="2BF85D4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w:t>
            </w:r>
          </w:p>
        </w:tc>
        <w:tc>
          <w:tcPr>
            <w:tcW w:w="900" w:type="dxa"/>
            <w:tcBorders>
              <w:top w:val="outset" w:sz="6" w:space="0" w:color="auto"/>
              <w:left w:val="outset" w:sz="6" w:space="0" w:color="auto"/>
              <w:bottom w:val="outset" w:sz="6" w:space="0" w:color="auto"/>
              <w:right w:val="outset" w:sz="6" w:space="0" w:color="auto"/>
            </w:tcBorders>
            <w:hideMark/>
          </w:tcPr>
          <w:p w14:paraId="721F0D9C"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25000</w:t>
            </w:r>
          </w:p>
        </w:tc>
      </w:tr>
    </w:tbl>
    <w:p w14:paraId="1515D55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IV квартал 1942 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0"/>
        <w:gridCol w:w="2985"/>
        <w:gridCol w:w="930"/>
        <w:gridCol w:w="1050"/>
        <w:gridCol w:w="1110"/>
      </w:tblGrid>
      <w:tr w:rsidR="009B487A" w:rsidRPr="00722885" w14:paraId="2AA58208" w14:textId="77777777" w:rsidTr="009D3895">
        <w:trPr>
          <w:tblCellSpacing w:w="0" w:type="dxa"/>
        </w:trPr>
        <w:tc>
          <w:tcPr>
            <w:tcW w:w="1140" w:type="dxa"/>
            <w:vMerge w:val="restart"/>
            <w:tcBorders>
              <w:top w:val="outset" w:sz="6" w:space="0" w:color="auto"/>
              <w:left w:val="outset" w:sz="6" w:space="0" w:color="auto"/>
              <w:bottom w:val="outset" w:sz="6" w:space="0" w:color="auto"/>
              <w:right w:val="outset" w:sz="6" w:space="0" w:color="auto"/>
            </w:tcBorders>
            <w:hideMark/>
          </w:tcPr>
          <w:p w14:paraId="01A6A25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p w14:paraId="70AE590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квартал</w:t>
            </w:r>
          </w:p>
        </w:tc>
        <w:tc>
          <w:tcPr>
            <w:tcW w:w="2985" w:type="dxa"/>
            <w:tcBorders>
              <w:top w:val="outset" w:sz="6" w:space="0" w:color="auto"/>
              <w:left w:val="outset" w:sz="6" w:space="0" w:color="auto"/>
              <w:bottom w:val="outset" w:sz="6" w:space="0" w:color="auto"/>
              <w:right w:val="outset" w:sz="6" w:space="0" w:color="auto"/>
            </w:tcBorders>
            <w:hideMark/>
          </w:tcPr>
          <w:p w14:paraId="6B9ABD6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Корпуса 50 мм осколочных мин</w:t>
            </w:r>
          </w:p>
        </w:tc>
        <w:tc>
          <w:tcPr>
            <w:tcW w:w="930" w:type="dxa"/>
            <w:tcBorders>
              <w:top w:val="outset" w:sz="6" w:space="0" w:color="auto"/>
              <w:left w:val="outset" w:sz="6" w:space="0" w:color="auto"/>
              <w:bottom w:val="outset" w:sz="6" w:space="0" w:color="auto"/>
              <w:right w:val="outset" w:sz="6" w:space="0" w:color="auto"/>
            </w:tcBorders>
            <w:hideMark/>
          </w:tcPr>
          <w:p w14:paraId="2A603B6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tc>
        <w:tc>
          <w:tcPr>
            <w:tcW w:w="1050" w:type="dxa"/>
            <w:tcBorders>
              <w:top w:val="outset" w:sz="6" w:space="0" w:color="auto"/>
              <w:left w:val="outset" w:sz="6" w:space="0" w:color="auto"/>
              <w:bottom w:val="outset" w:sz="6" w:space="0" w:color="auto"/>
              <w:right w:val="outset" w:sz="6" w:space="0" w:color="auto"/>
            </w:tcBorders>
            <w:hideMark/>
          </w:tcPr>
          <w:p w14:paraId="48D4DB4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w:t>
            </w:r>
          </w:p>
        </w:tc>
        <w:tc>
          <w:tcPr>
            <w:tcW w:w="1110" w:type="dxa"/>
            <w:tcBorders>
              <w:top w:val="outset" w:sz="6" w:space="0" w:color="auto"/>
              <w:left w:val="outset" w:sz="6" w:space="0" w:color="auto"/>
              <w:bottom w:val="outset" w:sz="6" w:space="0" w:color="auto"/>
              <w:right w:val="outset" w:sz="6" w:space="0" w:color="auto"/>
            </w:tcBorders>
            <w:hideMark/>
          </w:tcPr>
          <w:p w14:paraId="28ED175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30000</w:t>
            </w:r>
          </w:p>
        </w:tc>
      </w:tr>
      <w:tr w:rsidR="009B487A" w:rsidRPr="00722885" w14:paraId="0D09CCB4" w14:textId="77777777" w:rsidTr="009D3895">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A7A3870" w14:textId="77777777" w:rsidR="000C3A55" w:rsidRPr="00722885" w:rsidRDefault="000C3A55" w:rsidP="00722885">
            <w:pPr>
              <w:spacing w:after="0" w:line="240" w:lineRule="auto"/>
              <w:jc w:val="both"/>
              <w:rPr>
                <w:rFonts w:ascii="Times New Roman" w:hAnsi="Times New Roman"/>
                <w:color w:val="000000" w:themeColor="text1"/>
                <w:sz w:val="16"/>
                <w:szCs w:val="16"/>
              </w:rPr>
            </w:pPr>
          </w:p>
        </w:tc>
        <w:tc>
          <w:tcPr>
            <w:tcW w:w="2985" w:type="dxa"/>
            <w:tcBorders>
              <w:top w:val="outset" w:sz="6" w:space="0" w:color="auto"/>
              <w:left w:val="outset" w:sz="6" w:space="0" w:color="auto"/>
              <w:bottom w:val="outset" w:sz="6" w:space="0" w:color="auto"/>
              <w:right w:val="outset" w:sz="6" w:space="0" w:color="auto"/>
            </w:tcBorders>
            <w:hideMark/>
          </w:tcPr>
          <w:p w14:paraId="2DD3D7C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Чугунные 50 мм мины</w:t>
            </w:r>
          </w:p>
        </w:tc>
        <w:tc>
          <w:tcPr>
            <w:tcW w:w="930" w:type="dxa"/>
            <w:tcBorders>
              <w:top w:val="outset" w:sz="6" w:space="0" w:color="auto"/>
              <w:left w:val="outset" w:sz="6" w:space="0" w:color="auto"/>
              <w:bottom w:val="outset" w:sz="6" w:space="0" w:color="auto"/>
              <w:right w:val="outset" w:sz="6" w:space="0" w:color="auto"/>
            </w:tcBorders>
            <w:hideMark/>
          </w:tcPr>
          <w:p w14:paraId="33091AB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tc>
        <w:tc>
          <w:tcPr>
            <w:tcW w:w="1050" w:type="dxa"/>
            <w:tcBorders>
              <w:top w:val="outset" w:sz="6" w:space="0" w:color="auto"/>
              <w:left w:val="outset" w:sz="6" w:space="0" w:color="auto"/>
              <w:bottom w:val="outset" w:sz="6" w:space="0" w:color="auto"/>
              <w:right w:val="outset" w:sz="6" w:space="0" w:color="auto"/>
            </w:tcBorders>
            <w:hideMark/>
          </w:tcPr>
          <w:p w14:paraId="7F52FE9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w:t>
            </w:r>
          </w:p>
        </w:tc>
        <w:tc>
          <w:tcPr>
            <w:tcW w:w="1110" w:type="dxa"/>
            <w:tcBorders>
              <w:top w:val="outset" w:sz="6" w:space="0" w:color="auto"/>
              <w:left w:val="outset" w:sz="6" w:space="0" w:color="auto"/>
              <w:bottom w:val="outset" w:sz="6" w:space="0" w:color="auto"/>
              <w:right w:val="outset" w:sz="6" w:space="0" w:color="auto"/>
            </w:tcBorders>
            <w:hideMark/>
          </w:tcPr>
          <w:p w14:paraId="2DFE3A2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50000</w:t>
            </w:r>
          </w:p>
        </w:tc>
      </w:tr>
      <w:tr w:rsidR="009B487A" w:rsidRPr="00722885" w14:paraId="1379DE5C" w14:textId="77777777" w:rsidTr="009D3895">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BFEC365" w14:textId="77777777" w:rsidR="000C3A55" w:rsidRPr="00722885" w:rsidRDefault="000C3A55" w:rsidP="00722885">
            <w:pPr>
              <w:spacing w:after="0" w:line="240" w:lineRule="auto"/>
              <w:jc w:val="both"/>
              <w:rPr>
                <w:rFonts w:ascii="Times New Roman" w:hAnsi="Times New Roman"/>
                <w:color w:val="000000" w:themeColor="text1"/>
                <w:sz w:val="16"/>
                <w:szCs w:val="16"/>
              </w:rPr>
            </w:pPr>
          </w:p>
        </w:tc>
        <w:tc>
          <w:tcPr>
            <w:tcW w:w="2985" w:type="dxa"/>
            <w:tcBorders>
              <w:top w:val="outset" w:sz="6" w:space="0" w:color="auto"/>
              <w:left w:val="outset" w:sz="6" w:space="0" w:color="auto"/>
              <w:bottom w:val="outset" w:sz="6" w:space="0" w:color="auto"/>
              <w:right w:val="outset" w:sz="6" w:space="0" w:color="auto"/>
            </w:tcBorders>
            <w:hideMark/>
          </w:tcPr>
          <w:p w14:paraId="079AE7C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Стабилизаторы для 82 мм</w:t>
            </w:r>
          </w:p>
        </w:tc>
        <w:tc>
          <w:tcPr>
            <w:tcW w:w="930" w:type="dxa"/>
            <w:tcBorders>
              <w:top w:val="outset" w:sz="6" w:space="0" w:color="auto"/>
              <w:left w:val="outset" w:sz="6" w:space="0" w:color="auto"/>
              <w:bottom w:val="outset" w:sz="6" w:space="0" w:color="auto"/>
              <w:right w:val="outset" w:sz="6" w:space="0" w:color="auto"/>
            </w:tcBorders>
            <w:hideMark/>
          </w:tcPr>
          <w:p w14:paraId="5CB9F72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tc>
        <w:tc>
          <w:tcPr>
            <w:tcW w:w="1050" w:type="dxa"/>
            <w:tcBorders>
              <w:top w:val="outset" w:sz="6" w:space="0" w:color="auto"/>
              <w:left w:val="outset" w:sz="6" w:space="0" w:color="auto"/>
              <w:bottom w:val="outset" w:sz="6" w:space="0" w:color="auto"/>
              <w:right w:val="outset" w:sz="6" w:space="0" w:color="auto"/>
            </w:tcBorders>
            <w:hideMark/>
          </w:tcPr>
          <w:p w14:paraId="654BB92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НКБ</w:t>
            </w:r>
          </w:p>
        </w:tc>
        <w:tc>
          <w:tcPr>
            <w:tcW w:w="1110" w:type="dxa"/>
            <w:tcBorders>
              <w:top w:val="outset" w:sz="6" w:space="0" w:color="auto"/>
              <w:left w:val="outset" w:sz="6" w:space="0" w:color="auto"/>
              <w:bottom w:val="outset" w:sz="6" w:space="0" w:color="auto"/>
              <w:right w:val="outset" w:sz="6" w:space="0" w:color="auto"/>
            </w:tcBorders>
            <w:hideMark/>
          </w:tcPr>
          <w:p w14:paraId="250A340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75000</w:t>
            </w:r>
          </w:p>
        </w:tc>
      </w:tr>
    </w:tbl>
    <w:p w14:paraId="45543AA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о. директора завода «Серп и Молот» Тимошенко</w:t>
      </w:r>
    </w:p>
    <w:p w14:paraId="4B5ADA3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о. начальника планово-экономического отдела Волков</w:t>
      </w:r>
    </w:p>
    <w:p w14:paraId="7772E0CC"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РТ. Ф. Р-665. Оп. 4. Д. 23. Л. 3-6. Отпуск (15494).</w:t>
      </w:r>
    </w:p>
    <w:p w14:paraId="0D26EA5F"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28FA068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31 декабря 1942 года работы по созданию 160-мм миномета возглавил И.Г. Теверовский (3861).</w:t>
      </w:r>
    </w:p>
    <w:p w14:paraId="1AD8E526" w14:textId="77777777" w:rsidR="00BB6316" w:rsidRPr="00722885" w:rsidRDefault="00BB6316" w:rsidP="00722885">
      <w:pPr>
        <w:pStyle w:val="Iauiue"/>
        <w:jc w:val="both"/>
        <w:rPr>
          <w:color w:val="000000" w:themeColor="text1"/>
          <w:sz w:val="16"/>
          <w:szCs w:val="16"/>
        </w:rPr>
      </w:pPr>
    </w:p>
    <w:p w14:paraId="0DDBAB90"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31 декабря 1942 вышло Постановление ГКО № 2675 О производстве войсковых радиостанций с частотной модуляцией типа А-7. (7069, 20,21).</w:t>
      </w:r>
    </w:p>
    <w:p w14:paraId="3F51751A" w14:textId="77777777" w:rsidR="00BB6316" w:rsidRPr="00722885" w:rsidRDefault="00BB6316" w:rsidP="00722885">
      <w:pPr>
        <w:pStyle w:val="Iauiue"/>
        <w:tabs>
          <w:tab w:val="left" w:pos="11199"/>
        </w:tabs>
        <w:jc w:val="both"/>
        <w:rPr>
          <w:color w:val="000000" w:themeColor="text1"/>
          <w:sz w:val="16"/>
          <w:szCs w:val="16"/>
        </w:rPr>
      </w:pPr>
    </w:p>
    <w:p w14:paraId="33062C5B"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31 декабря 1942 вышло Постановление ГКО № 2676 О мерах неотложной помощи медной промышленности. (7069, 22-34,35-44).</w:t>
      </w:r>
    </w:p>
    <w:p w14:paraId="0EE06498" w14:textId="77777777" w:rsidR="00BB6316" w:rsidRPr="00722885" w:rsidRDefault="00BB6316" w:rsidP="00722885">
      <w:pPr>
        <w:pStyle w:val="Iauiue"/>
        <w:tabs>
          <w:tab w:val="left" w:pos="11199"/>
        </w:tabs>
        <w:jc w:val="both"/>
        <w:rPr>
          <w:color w:val="000000" w:themeColor="text1"/>
          <w:sz w:val="16"/>
          <w:szCs w:val="16"/>
        </w:rPr>
      </w:pPr>
    </w:p>
    <w:p w14:paraId="517FE4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декабря 1942 вышло Постановление ГКО № 2677 О плане поставки угля в январе 1943 года. РГАНИР, Фонд ГКО, д. 75, лл. 45, 46-59 (11012).</w:t>
      </w:r>
    </w:p>
    <w:p w14:paraId="32652F1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ECC61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декабря 1942 вышло Постановление ГКО № 2678 О плане распределения нефтепродуктов на январь 1943 года. РГАНИР, Фонд ГКО, д. 75, лл. 60, 61-76 (11012).</w:t>
      </w:r>
    </w:p>
    <w:p w14:paraId="31B78F7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A07F649"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31 декабря 1942 вышло Постановление ГКО № 2679 Об организации дублирующего производства танковых радиоприемников "Малютка" на заводе № 842 Наркомэлектропрома. (7069, 77).</w:t>
      </w:r>
    </w:p>
    <w:p w14:paraId="4E804CD9" w14:textId="77777777" w:rsidR="00BB6316" w:rsidRPr="00722885" w:rsidRDefault="00BB6316" w:rsidP="00722885">
      <w:pPr>
        <w:pStyle w:val="Iauiue"/>
        <w:tabs>
          <w:tab w:val="left" w:pos="11199"/>
        </w:tabs>
        <w:jc w:val="both"/>
        <w:rPr>
          <w:color w:val="000000" w:themeColor="text1"/>
          <w:sz w:val="16"/>
          <w:szCs w:val="16"/>
        </w:rPr>
      </w:pPr>
    </w:p>
    <w:p w14:paraId="2B11041D"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31 декабря 1942 г. Краснокамская контора турбинного бурения Молотовнефтекомбината впервые в мире начала турбинное бурение опытной наклонно направленной скважины. В последующее время подобным способом на Краснокамском нефтяном месторождении было пробурено 208 наклонных скважин (11523).</w:t>
      </w:r>
    </w:p>
    <w:p w14:paraId="46D799DC" w14:textId="77777777" w:rsidR="00BB6316" w:rsidRPr="00722885" w:rsidRDefault="00BB6316" w:rsidP="00722885">
      <w:pPr>
        <w:pStyle w:val="afff2"/>
        <w:jc w:val="both"/>
        <w:rPr>
          <w:i w:val="0"/>
          <w:iCs w:val="0"/>
          <w:color w:val="000000" w:themeColor="text1"/>
          <w:spacing w:val="0"/>
          <w:kern w:val="0"/>
          <w:position w:val="0"/>
          <w:sz w:val="16"/>
          <w:szCs w:val="16"/>
        </w:rPr>
      </w:pPr>
    </w:p>
    <w:p w14:paraId="5836782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31 декабря 1942 г. в Комсомольске на Амуре был сдан первый крейсер "Калинин", построенный с использованием материалов, заготовленных на за</w:t>
      </w:r>
      <w:r w:rsidRPr="00722885">
        <w:rPr>
          <w:color w:val="000000" w:themeColor="text1"/>
          <w:sz w:val="16"/>
          <w:szCs w:val="16"/>
        </w:rPr>
        <w:softHyphen/>
        <w:t>воде 189 в Ленинграде. Вывод крейсера из Амура и перевод его во Владиво</w:t>
      </w:r>
      <w:r w:rsidRPr="00722885">
        <w:rPr>
          <w:color w:val="000000" w:themeColor="text1"/>
          <w:sz w:val="16"/>
          <w:szCs w:val="16"/>
        </w:rPr>
        <w:softHyphen/>
        <w:t>сток для окончательной достройки и сдачи вылился в целую опера</w:t>
      </w:r>
      <w:r w:rsidRPr="00722885">
        <w:rPr>
          <w:color w:val="000000" w:themeColor="text1"/>
          <w:sz w:val="16"/>
          <w:szCs w:val="16"/>
        </w:rPr>
        <w:softHyphen/>
        <w:t>цию, которая ясно обозначила проблемы строительства больших кораблей в Комсомольске (3898).</w:t>
      </w:r>
    </w:p>
    <w:p w14:paraId="3CABFA82" w14:textId="77777777" w:rsidR="00BB6316" w:rsidRPr="00722885" w:rsidRDefault="00BB6316" w:rsidP="00722885">
      <w:pPr>
        <w:pStyle w:val="Iauiue"/>
        <w:jc w:val="both"/>
        <w:rPr>
          <w:color w:val="000000" w:themeColor="text1"/>
          <w:sz w:val="16"/>
          <w:szCs w:val="16"/>
        </w:rPr>
      </w:pPr>
    </w:p>
    <w:p w14:paraId="2CB6299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31 декабря 1942 г., согласно официальным отчетам , военно-морской флот с 22 июня 1941 г. получил от промышленности 1 легкий крейсер ("Калинин" на Дальнем Востоке), 16 эсмин</w:t>
      </w:r>
      <w:r w:rsidRPr="00722885">
        <w:rPr>
          <w:color w:val="000000" w:themeColor="text1"/>
          <w:sz w:val="16"/>
          <w:szCs w:val="16"/>
        </w:rPr>
        <w:softHyphen/>
        <w:t>цев, 1 тральщик, 5 больших и 59 малых охотников, 56 торпедных катеров, 53 бронекатера, 1 монитор, 34 подводные лодки, 83 ка</w:t>
      </w:r>
      <w:r w:rsidRPr="00722885">
        <w:rPr>
          <w:color w:val="000000" w:themeColor="text1"/>
          <w:sz w:val="16"/>
          <w:szCs w:val="16"/>
        </w:rPr>
        <w:softHyphen/>
        <w:t>терных тральщика, 44 различных "десантных средства", 2 транспорта, 13 буксиров, 89 барж и 570 различных катеров и вспомога-шьных плавучих средств, включая плоты и цистерны (3898).</w:t>
      </w:r>
    </w:p>
    <w:p w14:paraId="63674473" w14:textId="77777777" w:rsidR="00BB6316" w:rsidRPr="00722885" w:rsidRDefault="00BB6316" w:rsidP="00722885">
      <w:pPr>
        <w:pStyle w:val="Iauiue"/>
        <w:jc w:val="both"/>
        <w:rPr>
          <w:color w:val="000000" w:themeColor="text1"/>
          <w:sz w:val="16"/>
          <w:szCs w:val="16"/>
        </w:rPr>
      </w:pPr>
    </w:p>
    <w:p w14:paraId="0BB9D682"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366EDD3" w14:textId="77777777" w:rsidR="00BB6316" w:rsidRPr="00722885" w:rsidRDefault="00BB6316" w:rsidP="00722885">
      <w:pPr>
        <w:pStyle w:val="Iauiue"/>
        <w:jc w:val="both"/>
        <w:rPr>
          <w:iCs/>
          <w:color w:val="000000" w:themeColor="text1"/>
          <w:sz w:val="16"/>
          <w:szCs w:val="16"/>
        </w:rPr>
      </w:pPr>
    </w:p>
    <w:p w14:paraId="4EBEA51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31 декабря</w:t>
      </w:r>
      <w:r w:rsidRPr="00722885">
        <w:rPr>
          <w:rFonts w:ascii="Times New Roman" w:hAnsi="Times New Roman"/>
          <w:color w:val="000000" w:themeColor="text1"/>
          <w:sz w:val="16"/>
          <w:szCs w:val="16"/>
        </w:rPr>
        <w:t xml:space="preserve"> в 1942 году утреннее сообщение Совинформбюро:</w:t>
      </w:r>
    </w:p>
    <w:p w14:paraId="02D17EA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ночи на 31 декабря наши войска южнее Сталинграда, в районе cреднегоДона и на Центральном фронте продолжали вести наступательные бои на прежних направлениях.</w:t>
      </w:r>
    </w:p>
    <w:p w14:paraId="39F40E0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отряды советской пехоты при поддержке артиллерии и миномётов продолжали продвигаться вперёд и значительно улучшили свои позиции. Уничтожено несколько десятков вражеских дзотов и до роты гитлеровцев.</w:t>
      </w:r>
    </w:p>
    <w:p w14:paraId="62CB021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отряды нашей пехоты на отдельных участках вели боевые действия. Наши части уничтожили до 200 гитлеровцев. Подбито и сожжено 4 немецких танка, уничтожено 5 миномётных батарей, разбито 4 автомашины с пехотой. Нашими бойцами захвачены 18 пулемётов, около 150 винтовок и другие трофеи.</w:t>
      </w:r>
    </w:p>
    <w:p w14:paraId="211B9A7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уничтожили и повредили на аэродромах 10 немецких самолётов. В воздушных боях сбито 2 самолёта противника.</w:t>
      </w:r>
    </w:p>
    <w:p w14:paraId="3B00F7C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продолжали преследовать отступающего противника. Попытки отдельных отрядов гитлеровцев оказать сопротивление были сломлены ударами наступающих советских частей. В городе Котельниково, крометрофеев, о которых уже сообщалось ранее, захвачены 40 противотанковых орудий, большой склад авиабомб, 8 разобранных самолётов, 4 тяжёлых танка, цистерны с горючим, несколько паровозов и подвижной состав. Н-ская часть, продвигаясь вперёд, заняла населённый пункт и захватила 23 орудия, 16 автомашин и 100 лошадей. Взято, в плен более 700 солдат и офицеров противника.</w:t>
      </w:r>
    </w:p>
    <w:p w14:paraId="2F2F855C"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вели наступательные бои и на ряде участков укрепляли занятые позиции. Бойцы Н-ской части выбили немцев из сильно укреплённого узла обороны и истребили 260 гитлеровцев. Взято 85 пленных. Захвачены 12 орудий, 17 пулемётов, 5 радиостанций и склад с продовольствием. На другом участке пехота и танки противника предприняли несколько ожесточённых контратак. Вначале им удалось потеснить наши подразделения. Затем советские бойцы нанесли противнику удар во фланг и вынудили его в беспорядке отступить. На поле боя осталось более 200 вражеских трупов и 4 сожжённых танка.</w:t>
      </w:r>
    </w:p>
    <w:p w14:paraId="4D1BE70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вести активные боевые действия. В районе Великих Лук советские части заняли несколько опорных пунктов противника и истребили 300 немецких солдат и офицеров.</w:t>
      </w:r>
    </w:p>
    <w:p w14:paraId="4279B6E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на одном участке немцы десять раз контратаковали позиции подразделения, где командиром тов. Ларцев. Наши бойцы отбили все контратаки гитлеровцев. В этих боях противник потерял убитыми до 500 солдат и офицеров, много техники и вооружения.</w:t>
      </w:r>
    </w:p>
    <w:p w14:paraId="526A95D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части, переправившиеся через Терек, фланговыми ударами отбросили противника. В результате боя уничтожено 120 немецких солдат и офицеров. Взяты пленные. Захвачены 4 орудия, 7 пулемётов, 4 миномёта, радиостанция, 3 походные кухни и другие трофеи.</w:t>
      </w:r>
    </w:p>
    <w:p w14:paraId="5E02E50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Партизаны отряда, действующего в Орловской области, пустили под откос 4 воинских эшелона противника. В результате крушений разбито 4 паровоза, 82 вагона с живой силой и техникой. Убито много немецких солдат и офицеров. Этот же отряд партизан совершил внезапный налёт на гарнизоны противника в трёх населённых </w:t>
      </w:r>
      <w:r w:rsidRPr="00722885">
        <w:rPr>
          <w:rFonts w:ascii="Times New Roman" w:hAnsi="Times New Roman"/>
          <w:color w:val="000000" w:themeColor="text1"/>
          <w:sz w:val="16"/>
          <w:szCs w:val="16"/>
        </w:rPr>
        <w:lastRenderedPageBreak/>
        <w:t>пунктах. Истреблено 43 гитлеровца, и разгромлен штаб отдельной немецкой роты. Советские патриоты захватили штабные документы, 22 винтовки, много боеприпасов и продовольствия.</w:t>
      </w:r>
    </w:p>
    <w:p w14:paraId="3018C61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Жители ныне освобождённого хутора Атамановского, Воронежской области, составили акт о зверствах немецко-фашистских захватчиков. В акте говорится: «Гитлеровские мародёры разграбили имущество колхоза и колхозников. Они отняли у крестьян скот, продовольствие, а также одежду и обувь. В колхозе немцы забрали всё зерно, 44 лошади, 22 коровы, 8 быков, 56 свиней, 27 овец, разорили птицеферму. Гитлеровские громилы переломали и сожгли парты в школе, выломали двери и окна, сожгли учебные пособия и школьную библиотеку. Гитлеровские мерзавцы расстреляли Егора Половьянова, Наталью Резникову, раненого политрука Василия Кушнарёва и 7 взятых ими в плен красноармейцев, имена которых установитьне удалось. Население проклинает гитлеровскую орду и с великой радостью встретило свою освободительницу — Красную Армию». Акт подписали: жители хутора Дмитрий Бурлакин, Степан Дубинин, Меланья Коростова, Ирина Бурлакина.» (14877).</w:t>
      </w:r>
    </w:p>
    <w:p w14:paraId="41740898"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1B7A777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31 декабря</w:t>
      </w:r>
      <w:r w:rsidRPr="00722885">
        <w:rPr>
          <w:rFonts w:ascii="Times New Roman" w:hAnsi="Times New Roman"/>
          <w:color w:val="000000" w:themeColor="text1"/>
          <w:sz w:val="16"/>
          <w:szCs w:val="16"/>
        </w:rPr>
        <w:t xml:space="preserve"> в 1942 году вечернее сообщение Совинформбюро</w:t>
      </w:r>
    </w:p>
    <w:p w14:paraId="4445548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З1 декабря наши войска в районе Сталинграда, на Центральном фронтеи в районе среднего Дона продолжали вести наступательные бои на прежних направлениях.</w:t>
      </w:r>
    </w:p>
    <w:p w14:paraId="32C8085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овладели городом и железнодорожной станцией Обливская и районными центрами Нижне-Чирская, Приютное.</w:t>
      </w:r>
    </w:p>
    <w:p w14:paraId="3EF5013E"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30 декабря в районе Сталинграда уничтожено 11 транспортных самолётов.</w:t>
      </w:r>
    </w:p>
    <w:p w14:paraId="583D893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декабря частями нашей авиации на различных участках фронта уничтожено или повреждено 10 немецких танков, до 100 автомашин с войсками и грузами, подавлен огонь 20 артиллерийских батарей, взорваны 10 складов боеприпасов и склад горючего, рассеяно и частью уничтожено до трёх батальонов пехоты противника.</w:t>
      </w:r>
    </w:p>
    <w:p w14:paraId="4BC670E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районе Сталинграда наши части продолжали наступление, продвинулись вперёд и заняли несколько кварталов. Уничтожено до 400 вражеских солдат и офицеров. Захвачены трофеи и пленные.</w:t>
      </w:r>
    </w:p>
    <w:p w14:paraId="16E5366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Северо-западнее Сталинграда продолжались ожесточённые бои в районе высоты, занятой два дня назад нашими частями. Танки и пехота противника восемь раз переходили в контратаки, но каждый раз под ударами советских бойцов откатывались назад. Измотав врага, наши части нанесли гитлеровцам контрудар и заняли до 40 окопов. Немцы потеряли убитыми до 600 солдат и офицеров. Подбито 33 вражеских танка. Захвачены пленные и трофеи.</w:t>
      </w:r>
    </w:p>
    <w:p w14:paraId="72654FB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лётчики в воздушных боях сбили 4 самолёта противника.</w:t>
      </w:r>
    </w:p>
    <w:p w14:paraId="33AFAC5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Южнее Сталинграда наши войска, ломая сопротивление противника, продолжали успешно продвигаться вперёд и заняли ряд населённых пунктов. В районе Сиротского и Ивановки советские бойцы взяли в плен свыше 700 вражеских солдат и офицеров. Захвачены 18 полевых и 16 зенитных орудий, 20 автомашин, 1.240 винтовок, много боеприпасов и другие трофеи. Подразделения Н-ской части, выбив противника из одного населённого пункта, захватили 16 орудий, 25 пулемётов, 19 автомашин и 2 вещевых склада. Взято в плен 240 немецких солдат и офицеров.</w:t>
      </w:r>
    </w:p>
    <w:p w14:paraId="7574754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Среднего Дона наши войска вели наступательные бои и на ряде участков закрепляли ранее занятые рубежи. В боях за один опорный пункт противника наши части истребили до батальона немецкой пехоты и захватили в плен 120 гитлеровцев.</w:t>
      </w:r>
    </w:p>
    <w:p w14:paraId="0FC40A8D"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Наши войска в районе Нижнего Дона заняли город и железнодорожную станцию Обливская, захватили большие трофеи, в том числе эшелон с самолётами.</w:t>
      </w:r>
    </w:p>
    <w:p w14:paraId="6ED56A1C"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Центральном фронте наши войска продолжали наступление, а на отдельных участках совершенствовали свои позиции. В районе Великих Лук советские части вели бои по уничтожению окружённого гарнизона противника.</w:t>
      </w:r>
    </w:p>
    <w:p w14:paraId="0C54986E"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районе западнее Ржева наши части выбили противника из укреплённых позиций. На поле боя осталось свыше 300 вражеских трупов и 2 сожжённых танка. Захвачены самоходное орудие и склад с боеприпасами.</w:t>
      </w:r>
    </w:p>
    <w:p w14:paraId="246868F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Юго-восточнее Нальчика наши войска укрепляли занимаемые рубежи и частью сил вели наступательные бои. Ожесточённые бои происходили в районе одного опорного пункта противника. B этих боях уничтожено до 400 гитлеровцев. Огнём нашей артиллерии подбито 6 орудий, уничтожено 12 автомашин с грузами и взорвано 2 склада с боеприпасами.</w:t>
      </w:r>
    </w:p>
    <w:p w14:paraId="548E82C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Партизанский отряд имени Котовского, действующий в Витебской области, организовал крушение воинского эшелона противника. Разбит паровоз, и взорвано 10 вагонов с боеприпасами. Другой отряд витебских партизан за два месяца пустил подоткос 21 немецкий эшелон. Уничтожены и повреждены 21 паровоз и 250 вагонов с вражескими солдатами, вооружением и техникой. Под обломками разбитых вагонов погибло свыше 300 гитлеровцев.</w:t>
      </w:r>
    </w:p>
    <w:p w14:paraId="7A3BB99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Французские свободные стрелки предпринимают активные действия против немецких оккупантов. Подвижные отряды стрелков оперируют на шоссейных дорогах. За две недели французские патриоты, действующие на трассе Париж—Невер, сожгли 28 грузовых и легковых машин, истребили 85 немецких солдат и офицеров. Близ Марселя патриоты взорвали большой склад с боеприпасами и сожгли склад горючего.» (14877).</w:t>
      </w:r>
    </w:p>
    <w:p w14:paraId="604D04D7"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020102E6" w14:textId="77777777" w:rsidR="00D829DE" w:rsidRPr="00722885" w:rsidRDefault="00D829DE" w:rsidP="00722885">
      <w:pPr>
        <w:pStyle w:val="ae"/>
        <w:shd w:val="clear" w:color="auto" w:fill="FFFFFF"/>
        <w:spacing w:before="0" w:after="0"/>
        <w:jc w:val="both"/>
        <w:textAlignment w:val="baseline"/>
        <w:rPr>
          <w:color w:val="0070C0"/>
          <w:sz w:val="16"/>
          <w:szCs w:val="16"/>
        </w:rPr>
      </w:pPr>
      <w:r w:rsidRPr="00722885">
        <w:rPr>
          <w:color w:val="0070C0"/>
          <w:sz w:val="16"/>
          <w:szCs w:val="16"/>
        </w:rPr>
        <w:t>В ночь на 31 декабря 1942 ТКА №56 (ранее — №134) под командованием Степана Пилатова должен был дымовой завесой прикрыть десантные суда от вражеского огня со стороны мыса Любви. Но ветер внезапно изменил направление, чем попытался воспользоваться противник. Пилатов упредил его пуском снарядов М-8 из самодельных установок Ясуловича по огневой точке, да так удачно, что один из них угодил в боеприпасы, вследствие чего возникли пожар и суматоха. Морские пехотинцы, высадившиеся на пристань, с успехом выполнили задачу (19941).</w:t>
      </w:r>
    </w:p>
    <w:p w14:paraId="7BD8E3E7" w14:textId="77777777" w:rsidR="00D829DE" w:rsidRPr="00722885" w:rsidRDefault="00D829DE" w:rsidP="00722885">
      <w:pPr>
        <w:pStyle w:val="ae"/>
        <w:shd w:val="clear" w:color="auto" w:fill="FFFFFF"/>
        <w:spacing w:before="0" w:after="0"/>
        <w:jc w:val="both"/>
        <w:textAlignment w:val="baseline"/>
        <w:rPr>
          <w:color w:val="0070C0"/>
          <w:sz w:val="16"/>
          <w:szCs w:val="16"/>
        </w:rPr>
      </w:pPr>
    </w:p>
    <w:p w14:paraId="05BFA48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31 декабря</w:t>
      </w:r>
      <w:r w:rsidRPr="00722885">
        <w:rPr>
          <w:rFonts w:ascii="Times New Roman" w:hAnsi="Times New Roman"/>
          <w:color w:val="000000" w:themeColor="text1"/>
          <w:sz w:val="16"/>
          <w:szCs w:val="16"/>
        </w:rPr>
        <w:t xml:space="preserve"> в 1942 году окончание Оборонительного сражения на Северном Кавказе (14877).</w:t>
      </w:r>
    </w:p>
    <w:p w14:paraId="241731D3"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28DF2546" w14:textId="77777777" w:rsidR="0026218A" w:rsidRPr="00722885" w:rsidRDefault="0026218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31 декабря 1942 года первым боеготовый 48-й гвардейский танковый полк на Черчилях поступил в распоряжение командующего Донского фронта. 16 января матчасть полка прибыла на станцию Кочалино. 19 числа танки оказались в районе станции Питомник, где поступили в распоряжение командования 21-й армии. 21 января полк поддерживал наступление 216-го и 218-го стрелковых полков на станцию Гумрак. Итогом первого дня боев стал захват хутора Гончара, трофеями стали 5 вражеских танков, 70 орудий, 15 минометов, 20 мотоциклов и около 800 автомашин. Собственные потери составили 4 поврежденных танка, 1 человек был убит, трое получили 3 ранения (17691).</w:t>
      </w:r>
    </w:p>
    <w:p w14:paraId="13A5BC0F" w14:textId="77777777" w:rsidR="0026218A" w:rsidRPr="00722885" w:rsidRDefault="0026218A" w:rsidP="00722885">
      <w:pPr>
        <w:spacing w:after="0" w:line="240" w:lineRule="auto"/>
        <w:jc w:val="both"/>
        <w:rPr>
          <w:rFonts w:ascii="Times New Roman" w:hAnsi="Times New Roman"/>
          <w:color w:val="000000" w:themeColor="text1"/>
          <w:sz w:val="16"/>
          <w:szCs w:val="16"/>
        </w:rPr>
      </w:pPr>
    </w:p>
    <w:p w14:paraId="582C45D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31 декабря</w:t>
      </w:r>
      <w:r w:rsidRPr="00722885">
        <w:rPr>
          <w:rFonts w:ascii="Times New Roman" w:hAnsi="Times New Roman"/>
          <w:color w:val="000000" w:themeColor="text1"/>
          <w:sz w:val="16"/>
          <w:szCs w:val="16"/>
        </w:rPr>
        <w:t xml:space="preserve"> в 1942 году войска Юго-Западного фронта вышли на рубеж Новая Калитва, Марковка, Беловодск, Волошино, Миллерово, Скосарская, Чернышковский. Всего в декабре в Белоруссии действовало 56 партизанских бригад, в Карелии - 18 партизанских бригад и 6 диверсионных групп, на Украине - 5 крупных партизанских соединений, около 900 отрядов и свыше тысячи диверсионных и разведывательных групп (14877).</w:t>
      </w:r>
    </w:p>
    <w:p w14:paraId="357F4FDF"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7027FBE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31 декабря</w:t>
      </w:r>
      <w:r w:rsidRPr="00722885">
        <w:rPr>
          <w:rFonts w:ascii="Times New Roman" w:hAnsi="Times New Roman"/>
          <w:color w:val="000000" w:themeColor="text1"/>
          <w:sz w:val="16"/>
          <w:szCs w:val="16"/>
        </w:rPr>
        <w:t xml:space="preserve"> в 1942 году во льдах Баренцева моря британские военные корабли успешно отражают массированный воздушный налет немецкой авиации на конвой транспортных судов, следующий в СССР (14877).</w:t>
      </w:r>
    </w:p>
    <w:p w14:paraId="48F770E2"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57B26F2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31 декабря</w:t>
      </w:r>
      <w:r w:rsidRPr="00722885">
        <w:rPr>
          <w:rFonts w:ascii="Times New Roman" w:hAnsi="Times New Roman"/>
          <w:color w:val="000000" w:themeColor="text1"/>
          <w:sz w:val="16"/>
          <w:szCs w:val="16"/>
        </w:rPr>
        <w:t xml:space="preserve"> в 1942 году карманный линкор "Лютцов" и тяжелый крейсер "Хиппер" под командованием адмирала Кумметца заняли атакующие позиции, готовясь напасть на конвой JW-51-B, состоящий из 14 транспортных судов и направляющийся в СССР с грузом из более 200 танков, 2000 грузовиков, 120 самолетов и 80000 тонн топлива и прочего снаряжения. В тумане и снегопаде капитаны немецких кораблей промедлили с атакой, тогда как британские эсминцы из состава эскорта атаковали "Хиппер". Несмотря на то, что два британских эсминца были повреждены и один потоплен, "Хиппер" так и не сумел атаковать конвой. Подоспевшие к месту боя крейсеры "Шеффилд" и "Ямайка" вместе с пятью эсминцами отогнали германские крейсера. Унижение Кригсмарине было столь велико, что Гитлер немедленно приказал отправить на слом весь германский надводный флот (14877).</w:t>
      </w:r>
    </w:p>
    <w:p w14:paraId="735E4DCE"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03DBCB9B"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31 декабря 1942 во льдах Баренцева моря английский конвой, следовавший в СССР, выиграл битву с немецкой эскадрой (4962).</w:t>
      </w:r>
    </w:p>
    <w:p w14:paraId="221E9EDA" w14:textId="77777777" w:rsidR="00BB6316" w:rsidRPr="00722885" w:rsidRDefault="00BB6316" w:rsidP="00722885">
      <w:pPr>
        <w:pStyle w:val="Iauiue"/>
        <w:tabs>
          <w:tab w:val="left" w:pos="11199"/>
        </w:tabs>
        <w:jc w:val="both"/>
        <w:rPr>
          <w:color w:val="000000" w:themeColor="text1"/>
          <w:sz w:val="16"/>
          <w:szCs w:val="16"/>
        </w:rPr>
      </w:pPr>
    </w:p>
    <w:p w14:paraId="0BC0C4C0" w14:textId="77777777" w:rsidR="00BB6316" w:rsidRPr="00722885" w:rsidRDefault="00BB6316" w:rsidP="00722885">
      <w:pPr>
        <w:pStyle w:val="Iauiue"/>
        <w:jc w:val="both"/>
        <w:rPr>
          <w:color w:val="000000" w:themeColor="text1"/>
          <w:sz w:val="16"/>
          <w:szCs w:val="16"/>
          <w:lang w:val="en-US"/>
        </w:rPr>
      </w:pPr>
      <w:r w:rsidRPr="00722885">
        <w:rPr>
          <w:color w:val="000000" w:themeColor="text1"/>
          <w:sz w:val="16"/>
          <w:szCs w:val="16"/>
          <w:lang w:val="en-US"/>
        </w:rPr>
        <w:t>December 31 1942 Battle of the Barents Sea between German and British ships (1050).</w:t>
      </w:r>
    </w:p>
    <w:p w14:paraId="7D48AC06" w14:textId="77777777" w:rsidR="00BB6316" w:rsidRPr="00722885" w:rsidRDefault="00BB6316" w:rsidP="00722885">
      <w:pPr>
        <w:pStyle w:val="Iauiue"/>
        <w:jc w:val="both"/>
        <w:rPr>
          <w:color w:val="000000" w:themeColor="text1"/>
          <w:sz w:val="16"/>
          <w:szCs w:val="16"/>
          <w:lang w:val="en-US"/>
        </w:rPr>
      </w:pPr>
    </w:p>
    <w:p w14:paraId="67FC5DC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31 декабря 1942 была военно-морская битва между немцами и англичанами в Баренцевом море (1050) - британские корабли отбили массированный немецкий налет на конвой (3907,237).</w:t>
      </w:r>
    </w:p>
    <w:p w14:paraId="57A7C350" w14:textId="77777777" w:rsidR="00BB6316" w:rsidRPr="00722885" w:rsidRDefault="00BB6316" w:rsidP="00722885">
      <w:pPr>
        <w:pStyle w:val="Iauiue"/>
        <w:jc w:val="both"/>
        <w:rPr>
          <w:color w:val="000000" w:themeColor="text1"/>
          <w:sz w:val="16"/>
          <w:szCs w:val="16"/>
        </w:rPr>
      </w:pPr>
    </w:p>
    <w:p w14:paraId="59FCAA3B"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В ночь с 30 на 31 декабря 1942 в результате налета У-2 242 НБАД был фактически разгромлен 30-й мотополк немцев в районе Демянска (4543, 22).</w:t>
      </w:r>
    </w:p>
    <w:p w14:paraId="4D1B6EED" w14:textId="77777777" w:rsidR="00BB6316" w:rsidRPr="00722885" w:rsidRDefault="00BB6316" w:rsidP="00722885">
      <w:pPr>
        <w:pStyle w:val="Iauiue"/>
        <w:tabs>
          <w:tab w:val="left" w:pos="11199"/>
        </w:tabs>
        <w:jc w:val="both"/>
        <w:rPr>
          <w:color w:val="000000" w:themeColor="text1"/>
          <w:sz w:val="16"/>
          <w:szCs w:val="16"/>
        </w:rPr>
      </w:pPr>
    </w:p>
    <w:p w14:paraId="307B5D9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31 декабря 1942 было подготовлено Сообщение</w:t>
      </w:r>
    </w:p>
    <w:p w14:paraId="07C2BF2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Командование 6-й армии</w:t>
      </w:r>
    </w:p>
    <w:p w14:paraId="552D003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Усилия группы армий самостоятельно и возможно скорее освободить 6-ю армию приостановлены. Современная обстановка и соотношение сил требуют ограниченного отступления восточного фронта на запад для того, чтобы собрать силы для наступления. Для собирания сил требуется больше времени. 6-я армия должна длительное время держаться в окружении (3573).</w:t>
      </w:r>
    </w:p>
    <w:p w14:paraId="3A6DC97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lastRenderedPageBreak/>
        <w:t>На требование группы армий основательно усилить снабжение окруженных главнокомандующий Люфтваффе приказал снабжение по воздуху в ближайшее время увеличить в среднем до 300 тонн ежедневно. Соответствующие мероприятия через верховное командование Люфтваффе проводятся. После того, как снабжение улучшится, будет подаваться по воздуху и пополнение людьми (3573).</w:t>
      </w:r>
    </w:p>
    <w:p w14:paraId="20D5EC3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Командующий группой армий "Дон". Оперативный отдел</w:t>
      </w:r>
    </w:p>
    <w:p w14:paraId="49D4A11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№0396/42</w:t>
      </w:r>
    </w:p>
    <w:p w14:paraId="7D360E9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Подпись (3573).</w:t>
      </w:r>
    </w:p>
    <w:p w14:paraId="1DDB432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Согласно немцам они потеряли за период с 19 ноября по 31 декабря около 3000 самолетов (316,61).</w:t>
      </w:r>
    </w:p>
    <w:p w14:paraId="7FACDA5A" w14:textId="77777777" w:rsidR="00BB6316" w:rsidRPr="00722885" w:rsidRDefault="00BB6316" w:rsidP="00722885">
      <w:pPr>
        <w:pStyle w:val="Iauiue"/>
        <w:jc w:val="both"/>
        <w:rPr>
          <w:color w:val="000000" w:themeColor="text1"/>
          <w:sz w:val="16"/>
          <w:szCs w:val="16"/>
        </w:rPr>
      </w:pPr>
    </w:p>
    <w:p w14:paraId="2541BA1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31 декабря</w:t>
      </w:r>
      <w:r w:rsidRPr="00722885">
        <w:rPr>
          <w:rFonts w:ascii="Times New Roman" w:hAnsi="Times New Roman"/>
          <w:color w:val="000000" w:themeColor="text1"/>
          <w:sz w:val="16"/>
          <w:szCs w:val="16"/>
        </w:rPr>
        <w:t xml:space="preserve"> в 1942 году в районе Люблина в учебном лагере СС «Гайдов» сформирован 2-й Русский национальный отряд СС под командованием бывшего майора НКВД Э.Блажевича (14877).</w:t>
      </w:r>
    </w:p>
    <w:p w14:paraId="658BCBF4"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3F1C4F2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Жизнь и внутренняя политика:</w:t>
      </w:r>
    </w:p>
    <w:p w14:paraId="3C16044E" w14:textId="77777777" w:rsidR="00BB6316" w:rsidRPr="00722885" w:rsidRDefault="00BB6316" w:rsidP="00722885">
      <w:pPr>
        <w:pStyle w:val="Iauiue"/>
        <w:jc w:val="both"/>
        <w:rPr>
          <w:iCs/>
          <w:color w:val="000000" w:themeColor="text1"/>
          <w:sz w:val="16"/>
          <w:szCs w:val="16"/>
        </w:rPr>
      </w:pPr>
    </w:p>
    <w:p w14:paraId="33AFFC7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31 декабря 1942 по постановлению ГКО N 5073 начали депортацию ингушей и чеченцев. всего 478479. Изъяли 20072 единиц стрелкового оружия (3398,461).</w:t>
      </w:r>
    </w:p>
    <w:p w14:paraId="0174B900" w14:textId="77777777" w:rsidR="00BB6316" w:rsidRPr="00722885" w:rsidRDefault="00BB6316" w:rsidP="00722885">
      <w:pPr>
        <w:pStyle w:val="Iauiue"/>
        <w:jc w:val="both"/>
        <w:rPr>
          <w:color w:val="000000" w:themeColor="text1"/>
          <w:sz w:val="16"/>
          <w:szCs w:val="16"/>
        </w:rPr>
      </w:pPr>
    </w:p>
    <w:p w14:paraId="75E9D3B8" w14:textId="77777777" w:rsidR="000C3A55"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66C25D2" w14:textId="77777777" w:rsidR="000C3A55" w:rsidRPr="00722885" w:rsidRDefault="000C3A55" w:rsidP="00722885">
      <w:pPr>
        <w:pStyle w:val="Iauiue"/>
        <w:jc w:val="both"/>
        <w:rPr>
          <w:iCs/>
          <w:color w:val="000000" w:themeColor="text1"/>
          <w:sz w:val="16"/>
          <w:szCs w:val="16"/>
        </w:rPr>
      </w:pPr>
    </w:p>
    <w:p w14:paraId="75BDA6F8" w14:textId="77777777" w:rsidR="00D829DE" w:rsidRPr="00722885" w:rsidRDefault="00D829D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31 декабря 1942 небольшой отряд бомбардировщиков Оси атакует Касабланку, Французское Марокко (20793).</w:t>
      </w:r>
    </w:p>
    <w:p w14:paraId="07BB7142" w14:textId="77777777" w:rsidR="00D829DE" w:rsidRPr="00722885" w:rsidRDefault="00D829DE" w:rsidP="00722885">
      <w:pPr>
        <w:spacing w:after="0" w:line="240" w:lineRule="auto"/>
        <w:jc w:val="both"/>
        <w:rPr>
          <w:rFonts w:ascii="Times New Roman" w:hAnsi="Times New Roman"/>
          <w:color w:val="0070C0"/>
          <w:sz w:val="16"/>
          <w:szCs w:val="16"/>
        </w:rPr>
      </w:pPr>
    </w:p>
    <w:p w14:paraId="3CF49983" w14:textId="77777777" w:rsidR="00D829DE" w:rsidRPr="00722885" w:rsidRDefault="00D829D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31 декабря с 1 октября 1942 самолеты 11-й воздушной армии сбросили 500 000 фунтов (226 799 кг) бомб на японские базы на Алеутских островах (20793).</w:t>
      </w:r>
    </w:p>
    <w:p w14:paraId="0EB21AB3" w14:textId="77777777" w:rsidR="00D829DE" w:rsidRPr="00722885" w:rsidRDefault="00D829DE" w:rsidP="00722885">
      <w:pPr>
        <w:spacing w:after="0" w:line="240" w:lineRule="auto"/>
        <w:jc w:val="both"/>
        <w:rPr>
          <w:rFonts w:ascii="Times New Roman" w:hAnsi="Times New Roman"/>
          <w:color w:val="0070C0"/>
          <w:sz w:val="16"/>
          <w:szCs w:val="16"/>
        </w:rPr>
      </w:pPr>
    </w:p>
    <w:p w14:paraId="61B6EBEA" w14:textId="77777777" w:rsidR="00D829DE" w:rsidRPr="00722885" w:rsidRDefault="00D829D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31 декабря в 1942 году немецкие ночные истребители, защищающие Германию, сбили 687 британских бомбардировщиков (20793).</w:t>
      </w:r>
    </w:p>
    <w:p w14:paraId="41855443" w14:textId="77777777" w:rsidR="00D829DE" w:rsidRPr="00722885" w:rsidRDefault="00D829DE" w:rsidP="00722885">
      <w:pPr>
        <w:spacing w:after="0" w:line="240" w:lineRule="auto"/>
        <w:jc w:val="both"/>
        <w:rPr>
          <w:rFonts w:ascii="Times New Roman" w:hAnsi="Times New Roman"/>
          <w:color w:val="0070C0"/>
          <w:sz w:val="16"/>
          <w:szCs w:val="16"/>
        </w:rPr>
      </w:pPr>
    </w:p>
    <w:p w14:paraId="32FE6987" w14:textId="77777777" w:rsidR="00D829DE" w:rsidRPr="00722885" w:rsidRDefault="00D829D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31 декабря - 1 январь (ночь) 1942 ведомые с помощью гобоя, восемь Avro Ланкастеров Pathfinder Force бросают парашютные маркерные бомбы впервые в налете на Дюссельдорфе. Бомбардировочное командование ранее использовало только наземные маркеры, а новая возможность позволяет британским бомбардировщикам бомбить в сильной облачности (20793).</w:t>
      </w:r>
    </w:p>
    <w:p w14:paraId="65233C0E" w14:textId="77777777" w:rsidR="00D829DE" w:rsidRPr="00722885" w:rsidRDefault="00D829DE" w:rsidP="00722885">
      <w:pPr>
        <w:spacing w:after="0" w:line="240" w:lineRule="auto"/>
        <w:jc w:val="both"/>
        <w:rPr>
          <w:rFonts w:ascii="Times New Roman" w:hAnsi="Times New Roman"/>
          <w:color w:val="0070C0"/>
          <w:sz w:val="16"/>
          <w:szCs w:val="16"/>
        </w:rPr>
      </w:pPr>
    </w:p>
    <w:p w14:paraId="766D60A0" w14:textId="77777777" w:rsidR="00D829DE" w:rsidRPr="00722885" w:rsidRDefault="00D829DE"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30–31 декабря 1942 самолеты ВВС и ВМС США сбрасывают 42 000 фунтов (19 051 кг) бомб во время ночного налета на Киску, но японцы обманом заставляют их бомбить разбитый корпус вместо только что прибывшего полностью загруженного транспорта. Они повреждают некоторые сверхмалые подводные лодки и уничтожают поплавковый истребитель Nakajima A6M2-N (Allied названия отчетности «Руф») на воде в обмен на потерю четырех самолетов (20793).</w:t>
      </w:r>
    </w:p>
    <w:p w14:paraId="5D20D109" w14:textId="77777777" w:rsidR="00D829DE" w:rsidRPr="00722885" w:rsidRDefault="00D829DE" w:rsidP="00722885">
      <w:pPr>
        <w:spacing w:after="0" w:line="240" w:lineRule="auto"/>
        <w:jc w:val="both"/>
        <w:rPr>
          <w:rFonts w:ascii="Times New Roman" w:hAnsi="Times New Roman"/>
          <w:color w:val="0070C0"/>
          <w:sz w:val="16"/>
          <w:szCs w:val="16"/>
        </w:rPr>
      </w:pPr>
    </w:p>
    <w:p w14:paraId="1DF39E9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31 декабря</w:t>
      </w:r>
      <w:r w:rsidRPr="00722885">
        <w:rPr>
          <w:rFonts w:ascii="Times New Roman" w:hAnsi="Times New Roman"/>
          <w:color w:val="000000" w:themeColor="text1"/>
          <w:sz w:val="16"/>
          <w:szCs w:val="16"/>
        </w:rPr>
        <w:t xml:space="preserve"> в 1942 году совещание японской ставки в присутствии императора. Решение о прекращении наступления в юго-западной части Тихого океана и оставлении острова Гуадалканал (14877).</w:t>
      </w:r>
    </w:p>
    <w:p w14:paraId="2616D9C6"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55AD442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31 декабря</w:t>
      </w:r>
      <w:r w:rsidRPr="00722885">
        <w:rPr>
          <w:rFonts w:ascii="Times New Roman" w:hAnsi="Times New Roman"/>
          <w:color w:val="000000" w:themeColor="text1"/>
          <w:sz w:val="16"/>
          <w:szCs w:val="16"/>
        </w:rPr>
        <w:t xml:space="preserve"> в 1942 году подписано германо-турецкое соглашение о предоставлении Турции кредита на сумму 100 млн. марок для закупок немецкого вооружения. Еще до подписания соглашения турецкие представители заверили немцев, что Германия будет получать хромовой руды из Турции больше, чем США и Великобритания вместе взятые (14877).</w:t>
      </w:r>
    </w:p>
    <w:p w14:paraId="731BF04B"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11DE579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9D24C4A" w14:textId="77777777" w:rsidR="00BB6316" w:rsidRPr="00722885" w:rsidRDefault="00BB6316" w:rsidP="00722885">
      <w:pPr>
        <w:pStyle w:val="Iauiue"/>
        <w:jc w:val="both"/>
        <w:rPr>
          <w:iCs/>
          <w:color w:val="000000" w:themeColor="text1"/>
          <w:sz w:val="16"/>
          <w:szCs w:val="16"/>
        </w:rPr>
      </w:pPr>
    </w:p>
    <w:p w14:paraId="33C57AF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В конце декабря 1942 г. в 688-й </w:t>
      </w:r>
      <w:r w:rsidRPr="00722885">
        <w:rPr>
          <w:iCs/>
          <w:color w:val="000000" w:themeColor="text1"/>
          <w:sz w:val="16"/>
          <w:szCs w:val="16"/>
        </w:rPr>
        <w:t xml:space="preserve">шап </w:t>
      </w:r>
      <w:r w:rsidRPr="00722885">
        <w:rPr>
          <w:color w:val="000000" w:themeColor="text1"/>
          <w:sz w:val="16"/>
          <w:szCs w:val="16"/>
        </w:rPr>
        <w:t xml:space="preserve">228-й </w:t>
      </w:r>
      <w:r w:rsidRPr="00722885">
        <w:rPr>
          <w:iCs/>
          <w:color w:val="000000" w:themeColor="text1"/>
          <w:sz w:val="16"/>
          <w:szCs w:val="16"/>
        </w:rPr>
        <w:t>шад</w:t>
      </w:r>
      <w:r w:rsidRPr="00722885">
        <w:rPr>
          <w:color w:val="000000" w:themeColor="text1"/>
          <w:sz w:val="16"/>
          <w:szCs w:val="16"/>
        </w:rPr>
        <w:t xml:space="preserve"> 16-й ВА для прохождения войсковых испытаний поступили 8 од</w:t>
      </w:r>
      <w:r w:rsidRPr="00722885">
        <w:rPr>
          <w:color w:val="000000" w:themeColor="text1"/>
          <w:sz w:val="16"/>
          <w:szCs w:val="16"/>
        </w:rPr>
        <w:softHyphen/>
        <w:t>номестных штурмовиков Ил-2 построй</w:t>
      </w:r>
      <w:r w:rsidRPr="00722885">
        <w:rPr>
          <w:color w:val="000000" w:themeColor="text1"/>
          <w:sz w:val="16"/>
          <w:szCs w:val="16"/>
        </w:rPr>
        <w:softHyphen/>
        <w:t>ки авиазавода № 18 с мотором АМ-38, вооруженных, помимо двух крыльевых пулеметов ШКАС, двумя 37-мм авиаци</w:t>
      </w:r>
      <w:r w:rsidRPr="00722885">
        <w:rPr>
          <w:color w:val="000000" w:themeColor="text1"/>
          <w:sz w:val="16"/>
          <w:szCs w:val="16"/>
        </w:rPr>
        <w:softHyphen/>
        <w:t>онными пушками конструкции ОКБ-15 Б.Г.Шпитального ШФК-37 (Шпитальный фюзеляжно-крыльевая калибра 37 мм). Девятый Ил-2 с пушками ШФК-37 прибыл в полк лишь 18 января 1943 г. и в войсковых испытаниях участия не принимал.</w:t>
      </w:r>
    </w:p>
    <w:p w14:paraId="3A0B258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Штурмовики Ил-2 с пушками ШФК-37 принимали участие в боевых действи</w:t>
      </w:r>
      <w:r w:rsidRPr="00722885">
        <w:rPr>
          <w:color w:val="000000" w:themeColor="text1"/>
          <w:sz w:val="16"/>
          <w:szCs w:val="16"/>
        </w:rPr>
        <w:softHyphen/>
        <w:t>ях авиаполка с 27.12.42 г. по 23.01.43 г. под Сталинградом при ликвидации немецкой окруженной группировки в полосе 65-й армии генерал-лейтенанта П.И.Батова. Боевые действия велись с полевых аэродромов сх. "Пролетарий", затем станицы Качалинская (6467).</w:t>
      </w:r>
    </w:p>
    <w:p w14:paraId="58AB970A" w14:textId="77777777" w:rsidR="00BB6316" w:rsidRPr="00722885" w:rsidRDefault="00BB6316" w:rsidP="00722885">
      <w:pPr>
        <w:pStyle w:val="Iauiue"/>
        <w:jc w:val="both"/>
        <w:rPr>
          <w:color w:val="000000" w:themeColor="text1"/>
          <w:sz w:val="16"/>
          <w:szCs w:val="16"/>
        </w:rPr>
      </w:pPr>
    </w:p>
    <w:p w14:paraId="49CE432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декабря 1942 г. был завер</w:t>
      </w:r>
      <w:r w:rsidRPr="00722885">
        <w:rPr>
          <w:rFonts w:ascii="Times New Roman" w:hAnsi="Times New Roman"/>
          <w:color w:val="000000" w:themeColor="text1"/>
          <w:sz w:val="16"/>
          <w:szCs w:val="16"/>
        </w:rPr>
        <w:softHyphen/>
        <w:t>шён Первый опытный «Пегас» № 01. Во внутризаводской документации самолёт имел буквен</w:t>
      </w:r>
      <w:r w:rsidRPr="00722885">
        <w:rPr>
          <w:rFonts w:ascii="Times New Roman" w:hAnsi="Times New Roman"/>
          <w:color w:val="000000" w:themeColor="text1"/>
          <w:sz w:val="16"/>
          <w:szCs w:val="16"/>
        </w:rPr>
        <w:softHyphen/>
        <w:t>ное обозначение - «самолёт «Р» (типа «Пегас»)».</w:t>
      </w:r>
    </w:p>
    <w:p w14:paraId="08F33E4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нормам прочности «Пегас» относился к неманёвренным самолётам класса «В». Но</w:t>
      </w:r>
      <w:r w:rsidRPr="00722885">
        <w:rPr>
          <w:rFonts w:ascii="Times New Roman" w:hAnsi="Times New Roman"/>
          <w:color w:val="000000" w:themeColor="text1"/>
          <w:sz w:val="16"/>
          <w:szCs w:val="16"/>
        </w:rPr>
        <w:softHyphen/>
        <w:t>совая часть представляла собой бронекабину с обтекателем простых форм, составленным из плоских фанерных панелей. К бронекабине крепилась деревянная хвостовая часть фю</w:t>
      </w:r>
      <w:r w:rsidRPr="00722885">
        <w:rPr>
          <w:rFonts w:ascii="Times New Roman" w:hAnsi="Times New Roman"/>
          <w:color w:val="000000" w:themeColor="text1"/>
          <w:sz w:val="16"/>
          <w:szCs w:val="16"/>
        </w:rPr>
        <w:softHyphen/>
        <w:t>зеляжа также самых простейших форм. Продольный набор составлен из четырёх силовых деревянных поясов и двух стрингеров на гранях, обшитых фанерой. Сразу же за кабиной лётчика в верхней части фюзеляжа находился отсек с откидывающейся вверх крышкой, ко</w:t>
      </w:r>
      <w:r w:rsidRPr="00722885">
        <w:rPr>
          <w:rFonts w:ascii="Times New Roman" w:hAnsi="Times New Roman"/>
          <w:color w:val="000000" w:themeColor="text1"/>
          <w:sz w:val="16"/>
          <w:szCs w:val="16"/>
        </w:rPr>
        <w:softHyphen/>
        <w:t>торый использовался для размещения в нём патронных ящиков пушечного оружия и кассет мелких бомб сменных подвесок вооружения. Кроме того, объём отсека позволял перево</w:t>
      </w:r>
      <w:r w:rsidRPr="00722885">
        <w:rPr>
          <w:rFonts w:ascii="Times New Roman" w:hAnsi="Times New Roman"/>
          <w:color w:val="000000" w:themeColor="text1"/>
          <w:sz w:val="16"/>
          <w:szCs w:val="16"/>
        </w:rPr>
        <w:softHyphen/>
        <w:t>зить двух человек или 400 кг груза.</w:t>
      </w:r>
    </w:p>
    <w:p w14:paraId="76A9277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Крыло двухлонжеронное, полностью деревянное, состояло из центроплана и отъёмных консолей. В центре центроплана имелся вырез для патронных ящиков пушек и бомбовых кассет сменных подвесок. Обшивка из фанеры. При этом для уменьшения вероятности по</w:t>
      </w:r>
      <w:r w:rsidRPr="00722885">
        <w:rPr>
          <w:rFonts w:ascii="Times New Roman" w:hAnsi="Times New Roman"/>
          <w:color w:val="000000" w:themeColor="text1"/>
          <w:sz w:val="16"/>
          <w:szCs w:val="16"/>
        </w:rPr>
        <w:softHyphen/>
        <w:t xml:space="preserve">жара фанера в районе центроплана пропитывалась жидким стеклом. Профиль крыла типа </w:t>
      </w:r>
      <w:r w:rsidRPr="00722885">
        <w:rPr>
          <w:rFonts w:ascii="Times New Roman" w:hAnsi="Times New Roman"/>
          <w:color w:val="000000" w:themeColor="text1"/>
          <w:sz w:val="16"/>
          <w:szCs w:val="16"/>
          <w:lang w:val="en-US"/>
        </w:rPr>
        <w:t>NACA</w:t>
      </w:r>
      <w:r w:rsidRPr="00722885">
        <w:rPr>
          <w:rFonts w:ascii="Times New Roman" w:hAnsi="Times New Roman"/>
          <w:color w:val="000000" w:themeColor="text1"/>
          <w:sz w:val="16"/>
          <w:szCs w:val="16"/>
        </w:rPr>
        <w:t xml:space="preserve"> 44 толщиной 15,01% по центроплану и 9,02% на конце крыла. С целью улучшения взлётно-посадочных качеств на консолях крыла напротив элеронов «имеются постоянные щели типа Локхид» - специальные неподвижные предкрылки.</w:t>
      </w:r>
    </w:p>
    <w:p w14:paraId="525B31B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Хвостовое оперение - цельнодеревянное, расчаленное. Тросы управления от хвосто</w:t>
      </w:r>
      <w:r w:rsidRPr="00722885">
        <w:rPr>
          <w:rFonts w:ascii="Times New Roman" w:hAnsi="Times New Roman"/>
          <w:color w:val="000000" w:themeColor="text1"/>
          <w:sz w:val="16"/>
          <w:szCs w:val="16"/>
        </w:rPr>
        <w:softHyphen/>
        <w:t xml:space="preserve">вого оперения - сдвоенные, проходили снаружи фюзеляжа. Стойки шасси одностоечные, </w:t>
      </w:r>
      <w:r w:rsidRPr="00722885">
        <w:rPr>
          <w:rStyle w:val="9pt0pt"/>
          <w:rFonts w:ascii="Times New Roman" w:eastAsia="Arial Unicode MS" w:hAnsi="Times New Roman" w:cs="Times New Roman"/>
          <w:b w:val="0"/>
          <w:color w:val="000000" w:themeColor="text1"/>
          <w:spacing w:val="0"/>
          <w:sz w:val="16"/>
          <w:szCs w:val="16"/>
        </w:rPr>
        <w:t>со</w:t>
      </w:r>
      <w:r w:rsidRPr="00722885">
        <w:rPr>
          <w:rFonts w:ascii="Times New Roman" w:hAnsi="Times New Roman"/>
          <w:color w:val="000000" w:themeColor="text1"/>
          <w:sz w:val="16"/>
          <w:szCs w:val="16"/>
        </w:rPr>
        <w:t xml:space="preserve"> стандартными колёсами 700x150 мм (от деревянных колёс всё-таки решили отказаться).</w:t>
      </w:r>
    </w:p>
    <w:p w14:paraId="0F8EB8CF" w14:textId="77777777" w:rsidR="000C3A55" w:rsidRPr="00722885" w:rsidRDefault="000C3A55" w:rsidP="00722885">
      <w:pPr>
        <w:pStyle w:val="80"/>
        <w:shd w:val="clear" w:color="auto" w:fill="auto"/>
        <w:spacing w:line="240" w:lineRule="auto"/>
        <w:jc w:val="both"/>
        <w:rPr>
          <w:rFonts w:ascii="Times New Roman" w:hAnsi="Times New Roman" w:cs="Times New Roman"/>
          <w:color w:val="000000" w:themeColor="text1"/>
        </w:rPr>
      </w:pPr>
      <w:bookmarkStart w:id="11" w:name="bookmark98"/>
      <w:r w:rsidRPr="00722885">
        <w:rPr>
          <w:rFonts w:ascii="Times New Roman" w:hAnsi="Times New Roman" w:cs="Times New Roman"/>
          <w:color w:val="000000" w:themeColor="text1"/>
        </w:rPr>
        <w:t>Амортизация резиновая, пластинчатая. Хвостовая</w:t>
      </w:r>
      <w:r w:rsidRPr="00722885">
        <w:rPr>
          <w:rStyle w:val="812pt70"/>
          <w:rFonts w:ascii="Times New Roman" w:hAnsi="Times New Roman" w:cs="Times New Roman"/>
          <w:color w:val="000000" w:themeColor="text1"/>
          <w:w w:val="100"/>
          <w:sz w:val="16"/>
          <w:szCs w:val="16"/>
        </w:rPr>
        <w:t xml:space="preserve"> опора</w:t>
      </w:r>
      <w:r w:rsidRPr="00722885">
        <w:rPr>
          <w:rFonts w:ascii="Times New Roman" w:hAnsi="Times New Roman" w:cs="Times New Roman"/>
          <w:color w:val="000000" w:themeColor="text1"/>
        </w:rPr>
        <w:t xml:space="preserve"> (костыль) - в виде</w:t>
      </w:r>
      <w:r w:rsidRPr="00722885">
        <w:rPr>
          <w:rStyle w:val="812pt70"/>
          <w:rFonts w:ascii="Times New Roman" w:hAnsi="Times New Roman" w:cs="Times New Roman"/>
          <w:color w:val="000000" w:themeColor="text1"/>
          <w:w w:val="100"/>
          <w:sz w:val="16"/>
          <w:szCs w:val="16"/>
        </w:rPr>
        <w:t xml:space="preserve"> мощной стер</w:t>
      </w:r>
      <w:r w:rsidRPr="00722885">
        <w:rPr>
          <w:rStyle w:val="812pt70"/>
          <w:rFonts w:ascii="Times New Roman" w:hAnsi="Times New Roman" w:cs="Times New Roman"/>
          <w:color w:val="000000" w:themeColor="text1"/>
          <w:w w:val="100"/>
          <w:sz w:val="16"/>
          <w:szCs w:val="16"/>
        </w:rPr>
        <w:softHyphen/>
      </w:r>
      <w:r w:rsidRPr="00722885">
        <w:rPr>
          <w:rFonts w:ascii="Times New Roman" w:hAnsi="Times New Roman" w:cs="Times New Roman"/>
          <w:color w:val="000000" w:themeColor="text1"/>
        </w:rPr>
        <w:t>жневой пирамиды с пружинной амортизацией. Крепление костыля осуществлялось наруж</w:t>
      </w:r>
      <w:r w:rsidRPr="00722885">
        <w:rPr>
          <w:rFonts w:ascii="Times New Roman" w:hAnsi="Times New Roman" w:cs="Times New Roman"/>
          <w:color w:val="000000" w:themeColor="text1"/>
        </w:rPr>
        <w:softHyphen/>
      </w:r>
      <w:r w:rsidRPr="00722885">
        <w:rPr>
          <w:rStyle w:val="885pt"/>
          <w:rFonts w:ascii="Times New Roman" w:hAnsi="Times New Roman" w:cs="Times New Roman"/>
          <w:color w:val="000000" w:themeColor="text1"/>
          <w:sz w:val="16"/>
          <w:szCs w:val="16"/>
        </w:rPr>
        <w:t>ными накладными башмаками.</w:t>
      </w:r>
      <w:bookmarkEnd w:id="11"/>
    </w:p>
    <w:p w14:paraId="71549EA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Бронекабина лётчика сваривалась из плоских листов гомогенной брони марки ИЗ толщииной 6-13 мм: передняя</w:t>
      </w:r>
      <w:r w:rsidRPr="00722885">
        <w:rPr>
          <w:rStyle w:val="aff6"/>
          <w:rFonts w:ascii="Times New Roman" w:eastAsia="Arial Unicode MS" w:hAnsi="Times New Roman" w:cs="Times New Roman"/>
          <w:i w:val="0"/>
          <w:color w:val="000000" w:themeColor="text1"/>
        </w:rPr>
        <w:t xml:space="preserve"> стенка</w:t>
      </w:r>
      <w:r w:rsidRPr="00722885">
        <w:rPr>
          <w:rFonts w:ascii="Times New Roman" w:hAnsi="Times New Roman"/>
          <w:color w:val="000000" w:themeColor="text1"/>
          <w:sz w:val="16"/>
          <w:szCs w:val="16"/>
        </w:rPr>
        <w:t xml:space="preserve"> вверху и внизу, а также задняя стенка вверху - 13 мм, эадняя стенка внизу - 10 мм, ередняя наклонная стенка, боковые стенки и пол кабины – 6 мм.</w:t>
      </w:r>
    </w:p>
    <w:p w14:paraId="5658965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Козырёк пилота выполнялся их прозрачной брони толщиной 64 мм, над головой откидной бронезаголовник, по бокам - сдвигающиеся (и откидные) бронестворки толщиной по 6 мм. Для обзора назад наверху козырька имелось зеркало заднего вида. Общий вес брони составлял 300 кг. Из-за спешки бронекабину первового опытного «Пегаса» выполнинили из котельного железа.</w:t>
      </w:r>
    </w:p>
    <w:p w14:paraId="1F8C375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самолёте устанавливались два мотора М-11ф мощностью по 140 л.с. и винты от самолёта У-2 диаметром 2,4 м. Каждый мотор питался от своей независимой бензо- и ма- слосистемы. Масло- и бензобаки имели ёмкость по 20 и 150 л каждый соответственно. При этом бензобаки одновременно являлись и обтекателями мотогондол. При простреле или возгорании бензобаки можно было сбросить. В этом случае моторы питались от небольших бронированных бачков ёмкостью по 18 л, которые располагались в мотогондолах.</w:t>
      </w:r>
    </w:p>
    <w:p w14:paraId="6133ACC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Простота в управлении достигалась рядом мер. У лётчика имелись только ручка управ</w:t>
      </w:r>
      <w:r w:rsidRPr="00722885">
        <w:rPr>
          <w:rFonts w:ascii="Times New Roman" w:hAnsi="Times New Roman"/>
          <w:color w:val="000000" w:themeColor="text1"/>
          <w:sz w:val="16"/>
          <w:szCs w:val="16"/>
        </w:rPr>
        <w:softHyphen/>
        <w:t>ления с гашеткой и по одному рычагу газа на каждый мотор. Рычагов опережения не было, так как управление опережением зажигания кинематически соединялось с рычагом газа.</w:t>
      </w:r>
    </w:p>
    <w:p w14:paraId="1677C2D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Оборудование обеспечивало выполнение невысотных полетов днём в простых метеоу</w:t>
      </w:r>
      <w:r w:rsidRPr="00722885">
        <w:rPr>
          <w:rFonts w:ascii="Times New Roman" w:hAnsi="Times New Roman"/>
          <w:color w:val="000000" w:themeColor="text1"/>
          <w:sz w:val="16"/>
          <w:szCs w:val="16"/>
        </w:rPr>
        <w:softHyphen/>
        <w:t>словиях и состояло из пилотажно-навигационного оборудования и приборов контроля вин</w:t>
      </w:r>
      <w:r w:rsidRPr="00722885">
        <w:rPr>
          <w:rFonts w:ascii="Times New Roman" w:hAnsi="Times New Roman"/>
          <w:color w:val="000000" w:themeColor="text1"/>
          <w:sz w:val="16"/>
          <w:szCs w:val="16"/>
        </w:rPr>
        <w:softHyphen/>
        <w:t>томоторной группы обычного типа (от самолёта У-2). При этом приборы контроля работы моторов располагались вне кабины, позади каждого мотора в поле видимости лётчика.</w:t>
      </w:r>
    </w:p>
    <w:p w14:paraId="0B7A20E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электрооборудования имелись лишь проводка арматуры аэронавигационных огней и кабинное освещение. В качестве бортового источника электроэнергии использовался «дат</w:t>
      </w:r>
      <w:r w:rsidRPr="00722885">
        <w:rPr>
          <w:rFonts w:ascii="Times New Roman" w:hAnsi="Times New Roman"/>
          <w:color w:val="000000" w:themeColor="text1"/>
          <w:sz w:val="16"/>
          <w:szCs w:val="16"/>
        </w:rPr>
        <w:softHyphen/>
        <w:t>чик электрического тахометра ТЭ-22 (генератор)». Электрическая схема позволяла «вклю</w:t>
      </w:r>
      <w:r w:rsidRPr="00722885">
        <w:rPr>
          <w:rFonts w:ascii="Times New Roman" w:hAnsi="Times New Roman"/>
          <w:color w:val="000000" w:themeColor="text1"/>
          <w:sz w:val="16"/>
          <w:szCs w:val="16"/>
        </w:rPr>
        <w:softHyphen/>
        <w:t>чать в сеть также аккумуляторную батарею при отключенном от сети генераторе».</w:t>
      </w:r>
    </w:p>
    <w:p w14:paraId="674BED6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опытного самолёта «Пегас» включало один неподвижный крупнокалибер</w:t>
      </w:r>
      <w:r w:rsidRPr="00722885">
        <w:rPr>
          <w:rFonts w:ascii="Times New Roman" w:hAnsi="Times New Roman"/>
          <w:color w:val="000000" w:themeColor="text1"/>
          <w:sz w:val="16"/>
          <w:szCs w:val="16"/>
        </w:rPr>
        <w:softHyphen/>
        <w:t>ный пулемёт УБ (150 патронов) в носовом обтекателе фюзеляжа и сменные комплекты - один бомбардировочный, один ракетный и два пушечных, которые крепились снаружи под центропланом на специальных легкосъёмных мостах и лафетах. Химическое вооружение не предусматривалось.</w:t>
      </w:r>
    </w:p>
    <w:p w14:paraId="66DF021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Конструкция пулемётной установки была довольно простой, собственно, как и всё на «Пегасе». Основанием её служил лафет из стального швеллера, который крепился че</w:t>
      </w:r>
      <w:r w:rsidRPr="00722885">
        <w:rPr>
          <w:rFonts w:ascii="Times New Roman" w:hAnsi="Times New Roman"/>
          <w:color w:val="000000" w:themeColor="text1"/>
          <w:sz w:val="16"/>
          <w:szCs w:val="16"/>
        </w:rPr>
        <w:softHyphen/>
        <w:t xml:space="preserve">тырьмя болтами к передней стенке бронекабины. Пулемёт УБ закреплялся на лафете в двух точках. Регулировка положения пулемёта в горизонтальной и </w:t>
      </w:r>
      <w:r w:rsidRPr="00722885">
        <w:rPr>
          <w:rFonts w:ascii="Times New Roman" w:hAnsi="Times New Roman"/>
          <w:color w:val="000000" w:themeColor="text1"/>
          <w:sz w:val="16"/>
          <w:szCs w:val="16"/>
        </w:rPr>
        <w:lastRenderedPageBreak/>
        <w:t>вертикальной плоскости осуществлялась при помощи заднего крепления. К лафету крепились патронный ящик из 5-мм фанеры и изготовленные из стали толщиной 1 мм рукав питания, звеньеотвод и гиль- зоотвод. Гильзы выбрасывались наружу, а звенья собирались в отсек в носовом обтекателе.</w:t>
      </w:r>
    </w:p>
    <w:p w14:paraId="14615594" w14:textId="77777777" w:rsidR="000C3A55" w:rsidRPr="00722885" w:rsidRDefault="000C3A55" w:rsidP="00722885">
      <w:pPr>
        <w:spacing w:after="0" w:line="240" w:lineRule="auto"/>
        <w:jc w:val="both"/>
        <w:rPr>
          <w:rFonts w:ascii="Times New Roman" w:hAnsi="Times New Roman"/>
          <w:color w:val="000000" w:themeColor="text1"/>
          <w:sz w:val="16"/>
          <w:szCs w:val="16"/>
        </w:rPr>
      </w:pPr>
      <w:bookmarkStart w:id="12" w:name="bookmark103"/>
      <w:r w:rsidRPr="00722885">
        <w:rPr>
          <w:rStyle w:val="885pt"/>
          <w:rFonts w:ascii="Times New Roman" w:hAnsi="Times New Roman" w:cs="Times New Roman"/>
          <w:color w:val="000000" w:themeColor="text1"/>
          <w:sz w:val="16"/>
          <w:szCs w:val="16"/>
        </w:rPr>
        <w:t>Спуск производился от гашетки, установленной на ручке управления. Перезарядка пу</w:t>
      </w:r>
      <w:r w:rsidRPr="00722885">
        <w:rPr>
          <w:rStyle w:val="885pt"/>
          <w:rFonts w:ascii="Times New Roman" w:hAnsi="Times New Roman" w:cs="Times New Roman"/>
          <w:color w:val="000000" w:themeColor="text1"/>
          <w:sz w:val="16"/>
          <w:szCs w:val="16"/>
        </w:rPr>
        <w:softHyphen/>
      </w:r>
      <w:r w:rsidRPr="00722885">
        <w:rPr>
          <w:rFonts w:ascii="Times New Roman" w:hAnsi="Times New Roman"/>
          <w:color w:val="000000" w:themeColor="text1"/>
          <w:sz w:val="16"/>
          <w:szCs w:val="16"/>
        </w:rPr>
        <w:t xml:space="preserve">лемёта осуществлялась при помощи механической тяги. Ручка перезаряжания находилась </w:t>
      </w:r>
      <w:r w:rsidRPr="00722885">
        <w:rPr>
          <w:rStyle w:val="86"/>
          <w:rFonts w:ascii="Times New Roman" w:hAnsi="Times New Roman" w:cs="Times New Roman"/>
          <w:b w:val="0"/>
          <w:color w:val="000000" w:themeColor="text1"/>
          <w:sz w:val="16"/>
          <w:szCs w:val="16"/>
        </w:rPr>
        <w:t>в</w:t>
      </w:r>
      <w:r w:rsidRPr="00722885">
        <w:rPr>
          <w:rFonts w:ascii="Times New Roman" w:hAnsi="Times New Roman"/>
          <w:color w:val="000000" w:themeColor="text1"/>
          <w:sz w:val="16"/>
          <w:szCs w:val="16"/>
        </w:rPr>
        <w:t xml:space="preserve"> кабине лётчика.</w:t>
      </w:r>
      <w:bookmarkEnd w:id="12"/>
    </w:p>
    <w:p w14:paraId="751CBAF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подвески бомб под фюзеляжем использовался сварной из листовой стали мост, на</w:t>
      </w:r>
      <w:r w:rsidRPr="00722885">
        <w:rPr>
          <w:rStyle w:val="75pt"/>
          <w:rFonts w:ascii="Times New Roman" w:hAnsi="Times New Roman" w:cs="Times New Roman"/>
          <w:color w:val="000000" w:themeColor="text1"/>
          <w:sz w:val="16"/>
          <w:szCs w:val="16"/>
        </w:rPr>
        <w:t xml:space="preserve"> котором устанавливались</w:t>
      </w:r>
      <w:r w:rsidRPr="00722885">
        <w:rPr>
          <w:rFonts w:ascii="Times New Roman" w:hAnsi="Times New Roman"/>
          <w:color w:val="000000" w:themeColor="text1"/>
          <w:sz w:val="16"/>
          <w:szCs w:val="16"/>
        </w:rPr>
        <w:t xml:space="preserve"> три</w:t>
      </w:r>
      <w:r w:rsidRPr="00722885">
        <w:rPr>
          <w:rStyle w:val="75pt"/>
          <w:rFonts w:ascii="Times New Roman" w:hAnsi="Times New Roman" w:cs="Times New Roman"/>
          <w:color w:val="000000" w:themeColor="text1"/>
          <w:sz w:val="16"/>
          <w:szCs w:val="16"/>
        </w:rPr>
        <w:t xml:space="preserve"> замка типа МДЗ-40. Основными вариантами</w:t>
      </w:r>
      <w:r w:rsidRPr="00722885">
        <w:rPr>
          <w:rFonts w:ascii="Times New Roman" w:hAnsi="Times New Roman"/>
          <w:color w:val="000000" w:themeColor="text1"/>
          <w:sz w:val="16"/>
          <w:szCs w:val="16"/>
        </w:rPr>
        <w:t xml:space="preserve"> бомбо</w:t>
      </w:r>
      <w:r w:rsidRPr="00722885">
        <w:rPr>
          <w:rFonts w:ascii="Times New Roman" w:hAnsi="Times New Roman"/>
          <w:color w:val="000000" w:themeColor="text1"/>
          <w:sz w:val="16"/>
          <w:szCs w:val="16"/>
        </w:rPr>
        <w:softHyphen/>
        <w:t>вой нагрузки считались два: одна ФАБ-250 или две ФАБ-100 и одна ФАБ-50. Возможна была</w:t>
      </w:r>
      <w:r w:rsidRPr="00722885">
        <w:rPr>
          <w:rStyle w:val="75pt"/>
          <w:rFonts w:ascii="Times New Roman" w:hAnsi="Times New Roman" w:cs="Times New Roman"/>
          <w:color w:val="000000" w:themeColor="text1"/>
          <w:sz w:val="16"/>
          <w:szCs w:val="16"/>
        </w:rPr>
        <w:t xml:space="preserve"> также подвеска бомб меньшего</w:t>
      </w:r>
      <w:r w:rsidRPr="00722885">
        <w:rPr>
          <w:rFonts w:ascii="Times New Roman" w:hAnsi="Times New Roman"/>
          <w:color w:val="000000" w:themeColor="text1"/>
          <w:sz w:val="16"/>
          <w:szCs w:val="16"/>
        </w:rPr>
        <w:t xml:space="preserve"> калибра</w:t>
      </w:r>
      <w:r w:rsidRPr="00722885">
        <w:rPr>
          <w:rStyle w:val="75pt"/>
          <w:rFonts w:ascii="Times New Roman" w:hAnsi="Times New Roman" w:cs="Times New Roman"/>
          <w:color w:val="000000" w:themeColor="text1"/>
          <w:sz w:val="16"/>
          <w:szCs w:val="16"/>
        </w:rPr>
        <w:t xml:space="preserve"> из числа</w:t>
      </w:r>
      <w:r w:rsidRPr="00722885">
        <w:rPr>
          <w:rFonts w:ascii="Times New Roman" w:hAnsi="Times New Roman"/>
          <w:color w:val="000000" w:themeColor="text1"/>
          <w:sz w:val="16"/>
          <w:szCs w:val="16"/>
        </w:rPr>
        <w:t xml:space="preserve"> стоящих на вооружении ВВС КА. Подвеска бомб до 100 кг осуществлялась вручную, а бомб калибра свыше 100 кг - с ис</w:t>
      </w:r>
      <w:r w:rsidRPr="00722885">
        <w:rPr>
          <w:rFonts w:ascii="Times New Roman" w:hAnsi="Times New Roman"/>
          <w:color w:val="000000" w:themeColor="text1"/>
          <w:sz w:val="16"/>
          <w:szCs w:val="16"/>
        </w:rPr>
        <w:softHyphen/>
        <w:t>пользованием «обычного, применяющегося в таких случаях, аэродромного оборудования». Сбрасывание бомб - механическое от аварийного сбрасывателя АСП-40. Сброс бомб был возможен только с горизонтального полёта. Прицельное приспособление для бомбо</w:t>
      </w:r>
      <w:r w:rsidRPr="00722885">
        <w:rPr>
          <w:rFonts w:ascii="Times New Roman" w:hAnsi="Times New Roman"/>
          <w:color w:val="000000" w:themeColor="text1"/>
          <w:sz w:val="16"/>
          <w:szCs w:val="16"/>
        </w:rPr>
        <w:softHyphen/>
        <w:t>метания не предусматривалось.</w:t>
      </w:r>
    </w:p>
    <w:p w14:paraId="6A3DC2BD"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необходимости применения мелких осколочных, зажигательных и противотанковых бомб, а также химических ампул АЖ-2 допускалась подвеска на самолёт моста с установ</w:t>
      </w:r>
      <w:r w:rsidRPr="00722885">
        <w:rPr>
          <w:rFonts w:ascii="Times New Roman" w:hAnsi="Times New Roman"/>
          <w:color w:val="000000" w:themeColor="text1"/>
          <w:sz w:val="16"/>
          <w:szCs w:val="16"/>
        </w:rPr>
        <w:softHyphen/>
        <w:t>ленными на нем четырьмя кассетами мелких бомб. Каждая кассета представляла собой стальной клёпанный цилиндр. Крепление кассет, управление сбросом и проводка управле</w:t>
      </w:r>
      <w:r w:rsidRPr="00722885">
        <w:rPr>
          <w:rFonts w:ascii="Times New Roman" w:hAnsi="Times New Roman"/>
          <w:color w:val="000000" w:themeColor="text1"/>
          <w:sz w:val="16"/>
          <w:szCs w:val="16"/>
        </w:rPr>
        <w:softHyphen/>
        <w:t>ния монтировались непосредственно на мосту. Сбрасывание осуществлялось с помощью механического сбрасывателя АСИ-140, установленного в кабине пилота. При подвеске моста с кассетами мелких бомб они входили в закабинный отсек самолёта через вырез в центроплане.</w:t>
      </w:r>
    </w:p>
    <w:p w14:paraId="5E64B63C"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Ракетный вариант подвесного вооружения включал четыре ракетных орудия РО-132, закреплённых на двух поперечных балках в один ряд. Передняя балка крепилась к бро- некабине, а задняя - к профилям центроплана. Управление огнем - «сосредоточено на кнопке, закреплённой на ручке управления, спуск - электрический».</w:t>
      </w:r>
    </w:p>
    <w:p w14:paraId="58AFF30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Были разработаны и два варианта подвесного пушечного вооружения: две пушки кали</w:t>
      </w:r>
      <w:r w:rsidRPr="00722885">
        <w:rPr>
          <w:rFonts w:ascii="Times New Roman" w:hAnsi="Times New Roman"/>
          <w:color w:val="000000" w:themeColor="text1"/>
          <w:sz w:val="16"/>
          <w:szCs w:val="16"/>
        </w:rPr>
        <w:softHyphen/>
        <w:t xml:space="preserve">бра 23 мм «системы Волкова-Ярцева» с боекомплектом 160 снарядов или одна пушка 11П калибра 37 мм конструкции ОКБ-16 с боезапасом 50 снарядов. К этому времени пушка </w:t>
      </w:r>
      <w:r w:rsidRPr="00722885">
        <w:rPr>
          <w:rFonts w:ascii="Times New Roman" w:hAnsi="Times New Roman"/>
          <w:color w:val="000000" w:themeColor="text1"/>
          <w:sz w:val="16"/>
          <w:szCs w:val="16"/>
          <w:lang w:val="en-US"/>
        </w:rPr>
        <w:t>LU</w:t>
      </w:r>
      <w:r w:rsidRPr="00722885">
        <w:rPr>
          <w:rFonts w:ascii="Times New Roman" w:hAnsi="Times New Roman"/>
          <w:color w:val="000000" w:themeColor="text1"/>
          <w:sz w:val="16"/>
          <w:szCs w:val="16"/>
        </w:rPr>
        <w:t>-37 конструкции Б.Г. Шпитального уже была снята с вооружения ВВС КА.</w:t>
      </w:r>
    </w:p>
    <w:p w14:paraId="710AA46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Пушки, патронные ящики, рукава питания, спусковая проводка, воздушная проводка и звеньеотводы располагались на стальных лафетах. Лафеты крепились к профилям центро</w:t>
      </w:r>
      <w:r w:rsidRPr="00722885">
        <w:rPr>
          <w:rFonts w:ascii="Times New Roman" w:hAnsi="Times New Roman"/>
          <w:color w:val="000000" w:themeColor="text1"/>
          <w:sz w:val="16"/>
          <w:szCs w:val="16"/>
        </w:rPr>
        <w:softHyphen/>
        <w:t>плана в тех же точках, что и бомбардировочный мост. Пушки крепились к лафету в двух точках. Силовым являлось переднее крепление. Заднее крепление было поддерживающим и служило для регулировки положения ствола пушки в вертикальной и горизонтальной пло</w:t>
      </w:r>
      <w:r w:rsidRPr="00722885">
        <w:rPr>
          <w:rFonts w:ascii="Times New Roman" w:hAnsi="Times New Roman"/>
          <w:color w:val="000000" w:themeColor="text1"/>
          <w:sz w:val="16"/>
          <w:szCs w:val="16"/>
        </w:rPr>
        <w:softHyphen/>
        <w:t xml:space="preserve">скости. Для поглощения силы отдачи устанавливались пружинные амортизаторы. Патрон-; ные ящики изготавливались из 10-мм фанерных листов, «соединенных между собой швами и склеенных казеиновым клеем». Для придания конструкции ящиков большей жёсткости в </w:t>
      </w:r>
      <w:r w:rsidRPr="00722885">
        <w:rPr>
          <w:rFonts w:ascii="Times New Roman" w:hAnsi="Times New Roman"/>
          <w:color w:val="000000" w:themeColor="text1"/>
          <w:sz w:val="16"/>
          <w:szCs w:val="16"/>
          <w:lang w:val="en-US"/>
        </w:rPr>
        <w:t>i</w:t>
      </w:r>
      <w:r w:rsidRPr="00722885">
        <w:rPr>
          <w:rFonts w:ascii="Times New Roman" w:hAnsi="Times New Roman"/>
          <w:color w:val="000000" w:themeColor="text1"/>
          <w:sz w:val="16"/>
          <w:szCs w:val="16"/>
        </w:rPr>
        <w:t xml:space="preserve"> углах имелись стальные косынки. Звеньеотводы и рукава питания сваривались из листовой стали толщиной 1-1,5 мм. При подвеске пушечных лафетов под фюзеляжем патронные ящи-</w:t>
      </w:r>
      <w:r w:rsidRPr="00722885">
        <w:rPr>
          <w:rStyle w:val="ArialBlack11pt-1pt"/>
          <w:rFonts w:ascii="Times New Roman" w:hAnsi="Times New Roman" w:cs="Times New Roman"/>
          <w:color w:val="000000" w:themeColor="text1"/>
          <w:spacing w:val="0"/>
          <w:sz w:val="16"/>
          <w:szCs w:val="16"/>
        </w:rPr>
        <w:t>j</w:t>
      </w:r>
      <w:r w:rsidRPr="00722885">
        <w:rPr>
          <w:rFonts w:ascii="Times New Roman" w:hAnsi="Times New Roman"/>
          <w:color w:val="000000" w:themeColor="text1"/>
          <w:sz w:val="16"/>
          <w:szCs w:val="16"/>
        </w:rPr>
        <w:t>ки входили внутрь закабинного отсека самолёта через вырез в центроплане.</w:t>
      </w:r>
    </w:p>
    <w:p w14:paraId="405246AE" w14:textId="77777777" w:rsidR="000C3A55" w:rsidRPr="00722885" w:rsidRDefault="000C3A55" w:rsidP="00722885">
      <w:pPr>
        <w:tabs>
          <w:tab w:val="left" w:pos="556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Перезарядка и открытие огня пневматическое, гильзы и звенья выбрасывались наружу. Все элементы воздушной системы устанавливались на лафете. Перезарядка выполнялась I лётчиком от сбрасывателя АСИ-140, который при помощи тросов соединялся с кнопочным механизмом, связанным с цилиндрами перезарядки пушек. Спуск пушек производился от пневмоспуска, связанного со спусковыми рычагами пушки через систему тросов и рычагов. Его включение осуществлялось от гашетки на ручке управления при помощи соединительного троса.</w:t>
      </w:r>
    </w:p>
    <w:p w14:paraId="2F6E68D7" w14:textId="77777777" w:rsidR="000C3A55" w:rsidRPr="00722885" w:rsidRDefault="000C3A55" w:rsidP="00722885">
      <w:pPr>
        <w:pStyle w:val="108"/>
        <w:shd w:val="clear" w:color="auto" w:fill="auto"/>
        <w:spacing w:line="240" w:lineRule="auto"/>
        <w:jc w:val="both"/>
        <w:rPr>
          <w:rStyle w:val="1085pt"/>
          <w:rFonts w:ascii="Times New Roman" w:hAnsi="Times New Roman" w:cs="Times New Roman"/>
          <w:color w:val="000000" w:themeColor="text1"/>
          <w:sz w:val="16"/>
          <w:szCs w:val="16"/>
        </w:rPr>
      </w:pPr>
      <w:r w:rsidRPr="00722885">
        <w:rPr>
          <w:color w:val="000000" w:themeColor="text1"/>
          <w:sz w:val="16"/>
          <w:szCs w:val="16"/>
        </w:rPr>
        <w:t>Прицел для стрельбы механический обычного типа - кольцевой с мушкой, устанавливал</w:t>
      </w:r>
      <w:r w:rsidRPr="00722885">
        <w:rPr>
          <w:rStyle w:val="1085pt"/>
          <w:rFonts w:ascii="Times New Roman" w:hAnsi="Times New Roman" w:cs="Times New Roman"/>
          <w:color w:val="000000" w:themeColor="text1"/>
          <w:sz w:val="16"/>
          <w:szCs w:val="16"/>
        </w:rPr>
        <w:t>ся на стойке впереди козырька лётчика (15846).</w:t>
      </w:r>
    </w:p>
    <w:p w14:paraId="39B8BB99" w14:textId="77777777" w:rsidR="000C3A55" w:rsidRPr="00722885" w:rsidRDefault="000C3A55" w:rsidP="00722885">
      <w:pPr>
        <w:pStyle w:val="108"/>
        <w:shd w:val="clear" w:color="auto" w:fill="auto"/>
        <w:spacing w:line="240" w:lineRule="auto"/>
        <w:jc w:val="both"/>
        <w:rPr>
          <w:color w:val="000000" w:themeColor="text1"/>
          <w:sz w:val="16"/>
          <w:szCs w:val="16"/>
        </w:rPr>
      </w:pPr>
    </w:p>
    <w:p w14:paraId="1FD853E5"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концу декабря 1942 г. на заводе № 288 был построен Первый опытный «Пегас» №01Во внутри</w:t>
      </w:r>
      <w:r w:rsidRPr="00722885">
        <w:rPr>
          <w:rFonts w:ascii="Times New Roman" w:hAnsi="Times New Roman"/>
          <w:color w:val="0070C0"/>
          <w:sz w:val="16"/>
          <w:szCs w:val="16"/>
        </w:rPr>
        <w:softHyphen/>
        <w:t>заводской документации самолет имел буквенное обозначение - «самолет «Р» (типа «Пегас»)». Несмотря на простейшую и техноло</w:t>
      </w:r>
      <w:r w:rsidRPr="00722885">
        <w:rPr>
          <w:rFonts w:ascii="Times New Roman" w:hAnsi="Times New Roman"/>
          <w:color w:val="0070C0"/>
          <w:sz w:val="16"/>
          <w:szCs w:val="16"/>
        </w:rPr>
        <w:softHyphen/>
        <w:t>гичную конструкцию «Пегаса» и исполь</w:t>
      </w:r>
      <w:r w:rsidRPr="00722885">
        <w:rPr>
          <w:rFonts w:ascii="Times New Roman" w:hAnsi="Times New Roman"/>
          <w:color w:val="0070C0"/>
          <w:sz w:val="16"/>
          <w:szCs w:val="16"/>
        </w:rPr>
        <w:softHyphen/>
        <w:t>зование недефицитных материалов, по</w:t>
      </w:r>
      <w:r w:rsidRPr="00722885">
        <w:rPr>
          <w:rFonts w:ascii="Times New Roman" w:hAnsi="Times New Roman"/>
          <w:color w:val="0070C0"/>
          <w:sz w:val="16"/>
          <w:szCs w:val="16"/>
        </w:rPr>
        <w:softHyphen/>
        <w:t>строить новый самолет оказалось не так легко, как ожидалось. Уложиться в уста</w:t>
      </w:r>
      <w:r w:rsidRPr="00722885">
        <w:rPr>
          <w:rFonts w:ascii="Times New Roman" w:hAnsi="Times New Roman"/>
          <w:color w:val="0070C0"/>
          <w:sz w:val="16"/>
          <w:szCs w:val="16"/>
        </w:rPr>
        <w:softHyphen/>
        <w:t>новленные сроки не удалось.</w:t>
      </w:r>
    </w:p>
    <w:p w14:paraId="49172DB1"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По нормам прочности «Пегас» отно</w:t>
      </w:r>
      <w:r w:rsidRPr="00722885">
        <w:rPr>
          <w:rFonts w:ascii="Times New Roman" w:hAnsi="Times New Roman"/>
          <w:color w:val="0070C0"/>
          <w:sz w:val="16"/>
          <w:szCs w:val="16"/>
        </w:rPr>
        <w:softHyphen/>
        <w:t>сился к неманевренным самолетам клас</w:t>
      </w:r>
      <w:r w:rsidRPr="00722885">
        <w:rPr>
          <w:rFonts w:ascii="Times New Roman" w:hAnsi="Times New Roman"/>
          <w:color w:val="0070C0"/>
          <w:sz w:val="16"/>
          <w:szCs w:val="16"/>
        </w:rPr>
        <w:softHyphen/>
        <w:t>са «В». Носовая часть представляла со</w:t>
      </w:r>
      <w:r w:rsidRPr="00722885">
        <w:rPr>
          <w:rFonts w:ascii="Times New Roman" w:hAnsi="Times New Roman"/>
          <w:color w:val="0070C0"/>
          <w:sz w:val="16"/>
          <w:szCs w:val="16"/>
        </w:rPr>
        <w:softHyphen/>
        <w:t>бой бронекабину с обтекателем про</w:t>
      </w:r>
      <w:r w:rsidRPr="00722885">
        <w:rPr>
          <w:rFonts w:ascii="Times New Roman" w:hAnsi="Times New Roman"/>
          <w:color w:val="0070C0"/>
          <w:sz w:val="16"/>
          <w:szCs w:val="16"/>
        </w:rPr>
        <w:softHyphen/>
        <w:t>стых форм, составленным из плоских фанерных панелей. К бронекабине кре</w:t>
      </w:r>
      <w:r w:rsidRPr="00722885">
        <w:rPr>
          <w:rFonts w:ascii="Times New Roman" w:hAnsi="Times New Roman"/>
          <w:color w:val="0070C0"/>
          <w:sz w:val="16"/>
          <w:szCs w:val="16"/>
        </w:rPr>
        <w:softHyphen/>
        <w:t>пилась деревянная хвостовая часть фю</w:t>
      </w:r>
      <w:r w:rsidRPr="00722885">
        <w:rPr>
          <w:rFonts w:ascii="Times New Roman" w:hAnsi="Times New Roman"/>
          <w:color w:val="0070C0"/>
          <w:sz w:val="16"/>
          <w:szCs w:val="16"/>
        </w:rPr>
        <w:softHyphen/>
        <w:t>зеляжа также самых простейших форм. Продольный набор составлен из четы</w:t>
      </w:r>
      <w:r w:rsidRPr="00722885">
        <w:rPr>
          <w:rFonts w:ascii="Times New Roman" w:hAnsi="Times New Roman"/>
          <w:color w:val="0070C0"/>
          <w:sz w:val="16"/>
          <w:szCs w:val="16"/>
        </w:rPr>
        <w:softHyphen/>
        <w:t>рех силовых деревянных поясов и двух стрингеров на гранях, обшитых фанерой. Сразу же за кабиной летчика в верхней части фюзеляжа находился отсек с отки</w:t>
      </w:r>
      <w:r w:rsidRPr="00722885">
        <w:rPr>
          <w:rFonts w:ascii="Times New Roman" w:hAnsi="Times New Roman"/>
          <w:color w:val="0070C0"/>
          <w:sz w:val="16"/>
          <w:szCs w:val="16"/>
        </w:rPr>
        <w:softHyphen/>
        <w:t>дывающейся вверх крышкой. Отсек ис</w:t>
      </w:r>
      <w:r w:rsidRPr="00722885">
        <w:rPr>
          <w:rFonts w:ascii="Times New Roman" w:hAnsi="Times New Roman"/>
          <w:color w:val="0070C0"/>
          <w:sz w:val="16"/>
          <w:szCs w:val="16"/>
        </w:rPr>
        <w:softHyphen/>
        <w:t>пользовался для размещения в нем па</w:t>
      </w:r>
      <w:r w:rsidRPr="00722885">
        <w:rPr>
          <w:rFonts w:ascii="Times New Roman" w:hAnsi="Times New Roman"/>
          <w:color w:val="0070C0"/>
          <w:sz w:val="16"/>
          <w:szCs w:val="16"/>
        </w:rPr>
        <w:softHyphen/>
        <w:t>тронных ящиков пушечного оружия и кассет мелких бомб сменных подвесок вооружения. Кроме того, объем отсека позволял перевозить двух человек или 400 кг груза.</w:t>
      </w:r>
    </w:p>
    <w:p w14:paraId="1940AD4E"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Крыло двухлонжеронное, полно</w:t>
      </w:r>
      <w:r w:rsidRPr="00722885">
        <w:rPr>
          <w:rFonts w:ascii="Times New Roman" w:hAnsi="Times New Roman"/>
          <w:color w:val="0070C0"/>
          <w:sz w:val="16"/>
          <w:szCs w:val="16"/>
        </w:rPr>
        <w:softHyphen/>
        <w:t>стью деревянное, состояло из центропла</w:t>
      </w:r>
      <w:r w:rsidRPr="00722885">
        <w:rPr>
          <w:rFonts w:ascii="Times New Roman" w:hAnsi="Times New Roman"/>
          <w:color w:val="0070C0"/>
          <w:sz w:val="16"/>
          <w:szCs w:val="16"/>
        </w:rPr>
        <w:softHyphen/>
        <w:t>на и отъемных консолей. В центре цен</w:t>
      </w:r>
      <w:r w:rsidRPr="00722885">
        <w:rPr>
          <w:rFonts w:ascii="Times New Roman" w:hAnsi="Times New Roman"/>
          <w:color w:val="0070C0"/>
          <w:sz w:val="16"/>
          <w:szCs w:val="16"/>
        </w:rPr>
        <w:softHyphen/>
        <w:t>троплана имелся вырез для патронных ящиков пушек и бомбовых кассет смен</w:t>
      </w:r>
      <w:r w:rsidRPr="00722885">
        <w:rPr>
          <w:rFonts w:ascii="Times New Roman" w:hAnsi="Times New Roman"/>
          <w:color w:val="0070C0"/>
          <w:sz w:val="16"/>
          <w:szCs w:val="16"/>
        </w:rPr>
        <w:softHyphen/>
        <w:t>ных подвесок. Обшивка из фанеры. При этом для уменьшения вероятности пожа</w:t>
      </w:r>
      <w:r w:rsidRPr="00722885">
        <w:rPr>
          <w:rFonts w:ascii="Times New Roman" w:hAnsi="Times New Roman"/>
          <w:color w:val="0070C0"/>
          <w:sz w:val="16"/>
          <w:szCs w:val="16"/>
        </w:rPr>
        <w:softHyphen/>
        <w:t>ра фанера в районе центроплана пропи</w:t>
      </w:r>
      <w:r w:rsidRPr="00722885">
        <w:rPr>
          <w:rFonts w:ascii="Times New Roman" w:hAnsi="Times New Roman"/>
          <w:color w:val="0070C0"/>
          <w:sz w:val="16"/>
          <w:szCs w:val="16"/>
        </w:rPr>
        <w:softHyphen/>
        <w:t>тывалась жидким стеклом. Профиль кры</w:t>
      </w:r>
      <w:r w:rsidRPr="00722885">
        <w:rPr>
          <w:rFonts w:ascii="Times New Roman" w:hAnsi="Times New Roman"/>
          <w:color w:val="0070C0"/>
          <w:sz w:val="16"/>
          <w:szCs w:val="16"/>
        </w:rPr>
        <w:softHyphen/>
        <w:t>ла типа NACA44 - 15,01% по центроплану и 9,02% на конце крыла. С целью улучше</w:t>
      </w:r>
      <w:r w:rsidRPr="00722885">
        <w:rPr>
          <w:rFonts w:ascii="Times New Roman" w:hAnsi="Times New Roman"/>
          <w:color w:val="0070C0"/>
          <w:sz w:val="16"/>
          <w:szCs w:val="16"/>
        </w:rPr>
        <w:softHyphen/>
        <w:t>ния взлетно-посадочных качеств на кон</w:t>
      </w:r>
      <w:r w:rsidRPr="00722885">
        <w:rPr>
          <w:rFonts w:ascii="Times New Roman" w:hAnsi="Times New Roman"/>
          <w:color w:val="0070C0"/>
          <w:sz w:val="16"/>
          <w:szCs w:val="16"/>
        </w:rPr>
        <w:softHyphen/>
        <w:t>солях крыла напротив элеронов «имеются постоянные щели типа Локхид» - специ</w:t>
      </w:r>
      <w:r w:rsidRPr="00722885">
        <w:rPr>
          <w:rFonts w:ascii="Times New Roman" w:hAnsi="Times New Roman"/>
          <w:color w:val="0070C0"/>
          <w:sz w:val="16"/>
          <w:szCs w:val="16"/>
        </w:rPr>
        <w:softHyphen/>
        <w:t>альные неподвижные предкрылки.</w:t>
      </w:r>
    </w:p>
    <w:p w14:paraId="6145402F"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Хвостовое оперение - цельнодере</w:t>
      </w:r>
      <w:r w:rsidRPr="00722885">
        <w:rPr>
          <w:rFonts w:ascii="Times New Roman" w:hAnsi="Times New Roman"/>
          <w:color w:val="0070C0"/>
          <w:sz w:val="16"/>
          <w:szCs w:val="16"/>
        </w:rPr>
        <w:softHyphen/>
        <w:t>вянное, расчаленное. Тросы управления от хвостового оперения - сдвоенные, про</w:t>
      </w:r>
      <w:r w:rsidRPr="00722885">
        <w:rPr>
          <w:rFonts w:ascii="Times New Roman" w:hAnsi="Times New Roman"/>
          <w:color w:val="0070C0"/>
          <w:sz w:val="16"/>
          <w:szCs w:val="16"/>
        </w:rPr>
        <w:softHyphen/>
        <w:t>ходили снаружи фюзеляжа. Стойки шас</w:t>
      </w:r>
      <w:r w:rsidRPr="00722885">
        <w:rPr>
          <w:rFonts w:ascii="Times New Roman" w:hAnsi="Times New Roman"/>
          <w:color w:val="0070C0"/>
          <w:sz w:val="16"/>
          <w:szCs w:val="16"/>
        </w:rPr>
        <w:softHyphen/>
        <w:t>си одностоечные, со стандартными коле</w:t>
      </w:r>
      <w:r w:rsidRPr="00722885">
        <w:rPr>
          <w:rFonts w:ascii="Times New Roman" w:hAnsi="Times New Roman"/>
          <w:color w:val="0070C0"/>
          <w:sz w:val="16"/>
          <w:szCs w:val="16"/>
        </w:rPr>
        <w:softHyphen/>
        <w:t>сами 700*150 мм. Амортизация пластин</w:t>
      </w:r>
      <w:r w:rsidRPr="00722885">
        <w:rPr>
          <w:rFonts w:ascii="Times New Roman" w:hAnsi="Times New Roman"/>
          <w:color w:val="0070C0"/>
          <w:sz w:val="16"/>
          <w:szCs w:val="16"/>
        </w:rPr>
        <w:softHyphen/>
        <w:t>чатая. Хвостовая опора (костыль) - в виде мощной стержневой пирамиды с пружин</w:t>
      </w:r>
      <w:r w:rsidRPr="00722885">
        <w:rPr>
          <w:rFonts w:ascii="Times New Roman" w:hAnsi="Times New Roman"/>
          <w:color w:val="0070C0"/>
          <w:sz w:val="16"/>
          <w:szCs w:val="16"/>
        </w:rPr>
        <w:softHyphen/>
        <w:t>ной амортизацией. Крепление костыля осуществлялось наружными, накладными башмаками.</w:t>
      </w:r>
    </w:p>
    <w:p w14:paraId="38BC236A"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Бронекабина летчика сваривалась из плоских листов гомогенной брони мар</w:t>
      </w:r>
      <w:r w:rsidRPr="00722885">
        <w:rPr>
          <w:rFonts w:ascii="Times New Roman" w:hAnsi="Times New Roman"/>
          <w:color w:val="0070C0"/>
          <w:sz w:val="16"/>
          <w:szCs w:val="16"/>
        </w:rPr>
        <w:softHyphen/>
        <w:t>ки ИЗ толщиной 6-13 мм: передняя стен</w:t>
      </w:r>
      <w:r w:rsidRPr="00722885">
        <w:rPr>
          <w:rFonts w:ascii="Times New Roman" w:hAnsi="Times New Roman"/>
          <w:color w:val="0070C0"/>
          <w:sz w:val="16"/>
          <w:szCs w:val="16"/>
        </w:rPr>
        <w:softHyphen/>
        <w:t>ка вверху и внизу, а также задняя стен</w:t>
      </w:r>
      <w:r w:rsidRPr="00722885">
        <w:rPr>
          <w:rFonts w:ascii="Times New Roman" w:hAnsi="Times New Roman"/>
          <w:color w:val="0070C0"/>
          <w:sz w:val="16"/>
          <w:szCs w:val="16"/>
        </w:rPr>
        <w:softHyphen/>
        <w:t>ка вверху - 13 мм, задняя стенка внизу - 10 мм, передняя наклонная стенка, боко</w:t>
      </w:r>
      <w:r w:rsidRPr="00722885">
        <w:rPr>
          <w:rFonts w:ascii="Times New Roman" w:hAnsi="Times New Roman"/>
          <w:color w:val="0070C0"/>
          <w:sz w:val="16"/>
          <w:szCs w:val="16"/>
        </w:rPr>
        <w:softHyphen/>
        <w:t>вые стенки и пол кабины - 6 мм. Козырек пилота выполнялся из прозрачной бро</w:t>
      </w:r>
      <w:r w:rsidRPr="00722885">
        <w:rPr>
          <w:rFonts w:ascii="Times New Roman" w:hAnsi="Times New Roman"/>
          <w:color w:val="0070C0"/>
          <w:sz w:val="16"/>
          <w:szCs w:val="16"/>
        </w:rPr>
        <w:softHyphen/>
        <w:t>ни толщиной 64 мм, над головой откид</w:t>
      </w:r>
      <w:r w:rsidRPr="00722885">
        <w:rPr>
          <w:rFonts w:ascii="Times New Roman" w:hAnsi="Times New Roman"/>
          <w:color w:val="0070C0"/>
          <w:sz w:val="16"/>
          <w:szCs w:val="16"/>
        </w:rPr>
        <w:softHyphen/>
        <w:t>ной бронезаголовник, по бокам сдвигаю</w:t>
      </w:r>
      <w:r w:rsidRPr="00722885">
        <w:rPr>
          <w:rFonts w:ascii="Times New Roman" w:hAnsi="Times New Roman"/>
          <w:color w:val="0070C0"/>
          <w:sz w:val="16"/>
          <w:szCs w:val="16"/>
        </w:rPr>
        <w:softHyphen/>
        <w:t>щиеся (и откидные) бронестворки толщи</w:t>
      </w:r>
      <w:r w:rsidRPr="00722885">
        <w:rPr>
          <w:rFonts w:ascii="Times New Roman" w:hAnsi="Times New Roman"/>
          <w:color w:val="0070C0"/>
          <w:sz w:val="16"/>
          <w:szCs w:val="16"/>
        </w:rPr>
        <w:softHyphen/>
        <w:t>ной по 6 мм. Для обзора назад наверху козырька имелось зеркало заднего вида. Общий вес брони составлял 300 кг.</w:t>
      </w:r>
    </w:p>
    <w:p w14:paraId="24A77945"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Из-за спешки бронекабину перво</w:t>
      </w:r>
      <w:r w:rsidRPr="00722885">
        <w:rPr>
          <w:rFonts w:ascii="Times New Roman" w:hAnsi="Times New Roman"/>
          <w:color w:val="0070C0"/>
          <w:sz w:val="16"/>
          <w:szCs w:val="16"/>
        </w:rPr>
        <w:softHyphen/>
        <w:t>го опытного «Пегаса» выполнили из ко</w:t>
      </w:r>
      <w:r w:rsidRPr="00722885">
        <w:rPr>
          <w:rFonts w:ascii="Times New Roman" w:hAnsi="Times New Roman"/>
          <w:color w:val="0070C0"/>
          <w:sz w:val="16"/>
          <w:szCs w:val="16"/>
        </w:rPr>
        <w:softHyphen/>
        <w:t>тельного железа. В дальнейшем ее пла</w:t>
      </w:r>
      <w:r w:rsidRPr="00722885">
        <w:rPr>
          <w:rFonts w:ascii="Times New Roman" w:hAnsi="Times New Roman"/>
          <w:color w:val="0070C0"/>
          <w:sz w:val="16"/>
          <w:szCs w:val="16"/>
        </w:rPr>
        <w:softHyphen/>
        <w:t>нировалось заменить кабиной из броне</w:t>
      </w:r>
      <w:r w:rsidRPr="00722885">
        <w:rPr>
          <w:rFonts w:ascii="Times New Roman" w:hAnsi="Times New Roman"/>
          <w:color w:val="0070C0"/>
          <w:sz w:val="16"/>
          <w:szCs w:val="16"/>
        </w:rPr>
        <w:softHyphen/>
        <w:t>вой стали.</w:t>
      </w:r>
    </w:p>
    <w:p w14:paraId="47E404C9"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 самолете устанавливались два мо</w:t>
      </w:r>
      <w:r w:rsidRPr="00722885">
        <w:rPr>
          <w:rFonts w:ascii="Times New Roman" w:hAnsi="Times New Roman"/>
          <w:color w:val="0070C0"/>
          <w:sz w:val="16"/>
          <w:szCs w:val="16"/>
        </w:rPr>
        <w:softHyphen/>
        <w:t>тора М-11ф мощностью по 140 л.с. и вин</w:t>
      </w:r>
      <w:r w:rsidRPr="00722885">
        <w:rPr>
          <w:rFonts w:ascii="Times New Roman" w:hAnsi="Times New Roman"/>
          <w:color w:val="0070C0"/>
          <w:sz w:val="16"/>
          <w:szCs w:val="16"/>
        </w:rPr>
        <w:softHyphen/>
        <w:t>ты от самолета У-2 диаметром 2,4 м. Каж</w:t>
      </w:r>
      <w:r w:rsidRPr="00722885">
        <w:rPr>
          <w:rFonts w:ascii="Times New Roman" w:hAnsi="Times New Roman"/>
          <w:color w:val="0070C0"/>
          <w:sz w:val="16"/>
          <w:szCs w:val="16"/>
        </w:rPr>
        <w:softHyphen/>
        <w:t>дый мотор питался от своей независи</w:t>
      </w:r>
      <w:r w:rsidRPr="00722885">
        <w:rPr>
          <w:rFonts w:ascii="Times New Roman" w:hAnsi="Times New Roman"/>
          <w:color w:val="0070C0"/>
          <w:sz w:val="16"/>
          <w:szCs w:val="16"/>
        </w:rPr>
        <w:softHyphen/>
        <w:t>мой системы бензо- и маслопитания. Ма</w:t>
      </w:r>
      <w:r w:rsidRPr="00722885">
        <w:rPr>
          <w:rFonts w:ascii="Times New Roman" w:hAnsi="Times New Roman"/>
          <w:color w:val="0070C0"/>
          <w:sz w:val="16"/>
          <w:szCs w:val="16"/>
        </w:rPr>
        <w:softHyphen/>
        <w:t>сло- и бензобаки имели емкость по 20 и 150 л каждый, соответственно. При этом бензобаки одновременно являлись и об</w:t>
      </w:r>
      <w:r w:rsidRPr="00722885">
        <w:rPr>
          <w:rFonts w:ascii="Times New Roman" w:hAnsi="Times New Roman"/>
          <w:color w:val="0070C0"/>
          <w:sz w:val="16"/>
          <w:szCs w:val="16"/>
        </w:rPr>
        <w:softHyphen/>
        <w:t>текателями моторов. При простреле или возгорании бензобаки могли сбрасывать</w:t>
      </w:r>
      <w:r w:rsidRPr="00722885">
        <w:rPr>
          <w:rFonts w:ascii="Times New Roman" w:hAnsi="Times New Roman"/>
          <w:color w:val="0070C0"/>
          <w:sz w:val="16"/>
          <w:szCs w:val="16"/>
        </w:rPr>
        <w:softHyphen/>
        <w:t>ся. В этом случае моторы питались от не</w:t>
      </w:r>
      <w:r w:rsidRPr="00722885">
        <w:rPr>
          <w:rFonts w:ascii="Times New Roman" w:hAnsi="Times New Roman"/>
          <w:color w:val="0070C0"/>
          <w:sz w:val="16"/>
          <w:szCs w:val="16"/>
        </w:rPr>
        <w:softHyphen/>
        <w:t>больших бронированных бачков ем</w:t>
      </w:r>
      <w:r w:rsidRPr="00722885">
        <w:rPr>
          <w:rFonts w:ascii="Times New Roman" w:hAnsi="Times New Roman"/>
          <w:color w:val="0070C0"/>
          <w:sz w:val="16"/>
          <w:szCs w:val="16"/>
        </w:rPr>
        <w:softHyphen/>
        <w:t>костью по 18 л, которые располагались в мотогондолах.</w:t>
      </w:r>
    </w:p>
    <w:p w14:paraId="1198801E"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Простота в управлении достигалась рядом мер. Так, у летчика имелись только ручка управления с гашеткой и по одно</w:t>
      </w:r>
      <w:r w:rsidRPr="00722885">
        <w:rPr>
          <w:rFonts w:ascii="Times New Roman" w:hAnsi="Times New Roman"/>
          <w:color w:val="0070C0"/>
          <w:sz w:val="16"/>
          <w:szCs w:val="16"/>
        </w:rPr>
        <w:softHyphen/>
        <w:t>му рычагу газа на каждый мотор. Рычагов опережения не было, так как управление опережением кинематически соединялось с рычагом газа.</w:t>
      </w:r>
    </w:p>
    <w:p w14:paraId="2277C45C"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Установленное на самолете обору</w:t>
      </w:r>
      <w:r w:rsidRPr="00722885">
        <w:rPr>
          <w:rFonts w:ascii="Times New Roman" w:hAnsi="Times New Roman"/>
          <w:color w:val="0070C0"/>
          <w:sz w:val="16"/>
          <w:szCs w:val="16"/>
        </w:rPr>
        <w:softHyphen/>
        <w:t>дование обеспечивало выполнение не</w:t>
      </w:r>
      <w:r w:rsidRPr="00722885">
        <w:rPr>
          <w:rFonts w:ascii="Times New Roman" w:hAnsi="Times New Roman"/>
          <w:color w:val="0070C0"/>
          <w:sz w:val="16"/>
          <w:szCs w:val="16"/>
        </w:rPr>
        <w:softHyphen/>
        <w:t>высотных полетов днем в простых мете</w:t>
      </w:r>
      <w:r w:rsidRPr="00722885">
        <w:rPr>
          <w:rFonts w:ascii="Times New Roman" w:hAnsi="Times New Roman"/>
          <w:color w:val="0070C0"/>
          <w:sz w:val="16"/>
          <w:szCs w:val="16"/>
        </w:rPr>
        <w:softHyphen/>
        <w:t>оусловиях и состояло из пилотажно-на</w:t>
      </w:r>
      <w:r w:rsidRPr="00722885">
        <w:rPr>
          <w:rFonts w:ascii="Times New Roman" w:hAnsi="Times New Roman"/>
          <w:color w:val="0070C0"/>
          <w:sz w:val="16"/>
          <w:szCs w:val="16"/>
        </w:rPr>
        <w:softHyphen/>
        <w:t>вигационного оборудования и приборов контроля винтомоторной группы обычно</w:t>
      </w:r>
      <w:r w:rsidRPr="00722885">
        <w:rPr>
          <w:rFonts w:ascii="Times New Roman" w:hAnsi="Times New Roman"/>
          <w:color w:val="0070C0"/>
          <w:sz w:val="16"/>
          <w:szCs w:val="16"/>
        </w:rPr>
        <w:softHyphen/>
        <w:t>го типа (от самолета У-2). При этом прибо</w:t>
      </w:r>
      <w:r w:rsidRPr="00722885">
        <w:rPr>
          <w:rFonts w:ascii="Times New Roman" w:hAnsi="Times New Roman"/>
          <w:color w:val="0070C0"/>
          <w:sz w:val="16"/>
          <w:szCs w:val="16"/>
        </w:rPr>
        <w:softHyphen/>
        <w:t>ры контроля работы моторов располага</w:t>
      </w:r>
      <w:r w:rsidRPr="00722885">
        <w:rPr>
          <w:rFonts w:ascii="Times New Roman" w:hAnsi="Times New Roman"/>
          <w:color w:val="0070C0"/>
          <w:sz w:val="16"/>
          <w:szCs w:val="16"/>
        </w:rPr>
        <w:softHyphen/>
        <w:t>лись позади каждого мотора в поле види</w:t>
      </w:r>
      <w:r w:rsidRPr="00722885">
        <w:rPr>
          <w:rFonts w:ascii="Times New Roman" w:hAnsi="Times New Roman"/>
          <w:color w:val="0070C0"/>
          <w:sz w:val="16"/>
          <w:szCs w:val="16"/>
        </w:rPr>
        <w:softHyphen/>
        <w:t>мости летчика.</w:t>
      </w:r>
    </w:p>
    <w:p w14:paraId="67B4BF82"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 электрооборудования имелись лишь проводка арматуры аэронавигаци</w:t>
      </w:r>
      <w:r w:rsidRPr="00722885">
        <w:rPr>
          <w:rFonts w:ascii="Times New Roman" w:hAnsi="Times New Roman"/>
          <w:color w:val="0070C0"/>
          <w:sz w:val="16"/>
          <w:szCs w:val="16"/>
        </w:rPr>
        <w:softHyphen/>
        <w:t>онных огней и кабинное освещение. В ка</w:t>
      </w:r>
      <w:r w:rsidRPr="00722885">
        <w:rPr>
          <w:rFonts w:ascii="Times New Roman" w:hAnsi="Times New Roman"/>
          <w:color w:val="0070C0"/>
          <w:sz w:val="16"/>
          <w:szCs w:val="16"/>
        </w:rPr>
        <w:softHyphen/>
        <w:t>честве бортового источника электроэнер</w:t>
      </w:r>
      <w:r w:rsidRPr="00722885">
        <w:rPr>
          <w:rFonts w:ascii="Times New Roman" w:hAnsi="Times New Roman"/>
          <w:color w:val="0070C0"/>
          <w:sz w:val="16"/>
          <w:szCs w:val="16"/>
        </w:rPr>
        <w:softHyphen/>
        <w:t>гии использовался «датчик электрическо</w:t>
      </w:r>
      <w:r w:rsidRPr="00722885">
        <w:rPr>
          <w:rFonts w:ascii="Times New Roman" w:hAnsi="Times New Roman"/>
          <w:color w:val="0070C0"/>
          <w:sz w:val="16"/>
          <w:szCs w:val="16"/>
        </w:rPr>
        <w:softHyphen/>
        <w:t>го тахометра ТЭ-22 (генератор)». Электри</w:t>
      </w:r>
      <w:r w:rsidRPr="00722885">
        <w:rPr>
          <w:rFonts w:ascii="Times New Roman" w:hAnsi="Times New Roman"/>
          <w:color w:val="0070C0"/>
          <w:sz w:val="16"/>
          <w:szCs w:val="16"/>
        </w:rPr>
        <w:softHyphen/>
        <w:t>ческая схема позволяла «включать в сеть также аккумуляторную батарею при от</w:t>
      </w:r>
      <w:r w:rsidRPr="00722885">
        <w:rPr>
          <w:rFonts w:ascii="Times New Roman" w:hAnsi="Times New Roman"/>
          <w:color w:val="0070C0"/>
          <w:sz w:val="16"/>
          <w:szCs w:val="16"/>
        </w:rPr>
        <w:softHyphen/>
        <w:t>ключенном от сети генераторе».</w:t>
      </w:r>
    </w:p>
    <w:p w14:paraId="1C23C003"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Вооружение опытного самолета «Пе</w:t>
      </w:r>
      <w:r w:rsidRPr="00722885">
        <w:rPr>
          <w:rFonts w:ascii="Times New Roman" w:hAnsi="Times New Roman"/>
          <w:color w:val="0070C0"/>
          <w:sz w:val="16"/>
          <w:szCs w:val="16"/>
        </w:rPr>
        <w:softHyphen/>
        <w:t>гас» включало один неподвижный круп</w:t>
      </w:r>
      <w:r w:rsidRPr="00722885">
        <w:rPr>
          <w:rFonts w:ascii="Times New Roman" w:hAnsi="Times New Roman"/>
          <w:color w:val="0070C0"/>
          <w:sz w:val="16"/>
          <w:szCs w:val="16"/>
        </w:rPr>
        <w:softHyphen/>
        <w:t>нокалиберный пулемет УБ (150 патронов) в носовом обтекателе фюзеляжа и смен</w:t>
      </w:r>
      <w:r w:rsidRPr="00722885">
        <w:rPr>
          <w:rFonts w:ascii="Times New Roman" w:hAnsi="Times New Roman"/>
          <w:color w:val="0070C0"/>
          <w:sz w:val="16"/>
          <w:szCs w:val="16"/>
        </w:rPr>
        <w:softHyphen/>
        <w:t>ные комплекты - один бомбардировоч</w:t>
      </w:r>
      <w:r w:rsidRPr="00722885">
        <w:rPr>
          <w:rFonts w:ascii="Times New Roman" w:hAnsi="Times New Roman"/>
          <w:color w:val="0070C0"/>
          <w:sz w:val="16"/>
          <w:szCs w:val="16"/>
        </w:rPr>
        <w:softHyphen/>
        <w:t>ный, один ракетный и два пушечных, ко</w:t>
      </w:r>
      <w:r w:rsidRPr="00722885">
        <w:rPr>
          <w:rFonts w:ascii="Times New Roman" w:hAnsi="Times New Roman"/>
          <w:color w:val="0070C0"/>
          <w:sz w:val="16"/>
          <w:szCs w:val="16"/>
        </w:rPr>
        <w:softHyphen/>
        <w:t>торые крепились снаружи под центропла</w:t>
      </w:r>
      <w:r w:rsidRPr="00722885">
        <w:rPr>
          <w:rFonts w:ascii="Times New Roman" w:hAnsi="Times New Roman"/>
          <w:color w:val="0070C0"/>
          <w:sz w:val="16"/>
          <w:szCs w:val="16"/>
        </w:rPr>
        <w:softHyphen/>
        <w:t>ном на специальных легкосъемных мо</w:t>
      </w:r>
      <w:r w:rsidRPr="00722885">
        <w:rPr>
          <w:rFonts w:ascii="Times New Roman" w:hAnsi="Times New Roman"/>
          <w:color w:val="0070C0"/>
          <w:sz w:val="16"/>
          <w:szCs w:val="16"/>
        </w:rPr>
        <w:softHyphen/>
        <w:t>стах и лафетах. Химическое вооружение не предусматривалось.</w:t>
      </w:r>
    </w:p>
    <w:p w14:paraId="2289E824"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Конструкция пулеметной установки была довольно простой, собственно, как и все на «Пегасе». Основанием установки служил лафет из стального швеллера, ко</w:t>
      </w:r>
      <w:r w:rsidRPr="00722885">
        <w:rPr>
          <w:rFonts w:ascii="Times New Roman" w:hAnsi="Times New Roman"/>
          <w:color w:val="0070C0"/>
          <w:sz w:val="16"/>
          <w:szCs w:val="16"/>
        </w:rPr>
        <w:softHyphen/>
        <w:t>торый крепился четырьмя болтами к пе</w:t>
      </w:r>
      <w:r w:rsidRPr="00722885">
        <w:rPr>
          <w:rFonts w:ascii="Times New Roman" w:hAnsi="Times New Roman"/>
          <w:color w:val="0070C0"/>
          <w:sz w:val="16"/>
          <w:szCs w:val="16"/>
        </w:rPr>
        <w:softHyphen/>
        <w:t>редней стенке бронекабины. Пулемет УБ закреплялся на лафете в двух точках. Ре</w:t>
      </w:r>
      <w:r w:rsidRPr="00722885">
        <w:rPr>
          <w:rFonts w:ascii="Times New Roman" w:hAnsi="Times New Roman"/>
          <w:color w:val="0070C0"/>
          <w:sz w:val="16"/>
          <w:szCs w:val="16"/>
        </w:rPr>
        <w:softHyphen/>
        <w:t>гулировка положения пулемета в горизон</w:t>
      </w:r>
      <w:r w:rsidRPr="00722885">
        <w:rPr>
          <w:rFonts w:ascii="Times New Roman" w:hAnsi="Times New Roman"/>
          <w:color w:val="0070C0"/>
          <w:sz w:val="16"/>
          <w:szCs w:val="16"/>
        </w:rPr>
        <w:softHyphen/>
        <w:t>тальной и вертикальной плоскости осу</w:t>
      </w:r>
      <w:r w:rsidRPr="00722885">
        <w:rPr>
          <w:rFonts w:ascii="Times New Roman" w:hAnsi="Times New Roman"/>
          <w:color w:val="0070C0"/>
          <w:sz w:val="16"/>
          <w:szCs w:val="16"/>
        </w:rPr>
        <w:softHyphen/>
        <w:t>ществлялась при помощи заднего крепле</w:t>
      </w:r>
      <w:r w:rsidRPr="00722885">
        <w:rPr>
          <w:rFonts w:ascii="Times New Roman" w:hAnsi="Times New Roman"/>
          <w:color w:val="0070C0"/>
          <w:sz w:val="16"/>
          <w:szCs w:val="16"/>
        </w:rPr>
        <w:softHyphen/>
        <w:t>ния. К лафету крепились патронный ящик из 5-мм фанеры и изготовленные из стали толщиной 1 мм рукав питания, звеньеот- вод и гильзоотвод. Гильзы выбрасывались наружу, а звенья собирались в специаль</w:t>
      </w:r>
      <w:r w:rsidRPr="00722885">
        <w:rPr>
          <w:rFonts w:ascii="Times New Roman" w:hAnsi="Times New Roman"/>
          <w:color w:val="0070C0"/>
          <w:sz w:val="16"/>
          <w:szCs w:val="16"/>
        </w:rPr>
        <w:softHyphen/>
        <w:t>ный отсек в носовом обтекателе.</w:t>
      </w:r>
    </w:p>
    <w:p w14:paraId="1F9B77A2"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Спуск производился от гашетки, уста</w:t>
      </w:r>
      <w:r w:rsidRPr="00722885">
        <w:rPr>
          <w:rFonts w:ascii="Times New Roman" w:hAnsi="Times New Roman"/>
          <w:color w:val="0070C0"/>
          <w:sz w:val="16"/>
          <w:szCs w:val="16"/>
        </w:rPr>
        <w:softHyphen/>
        <w:t>новленной на ручке управления. Переза</w:t>
      </w:r>
      <w:r w:rsidRPr="00722885">
        <w:rPr>
          <w:rFonts w:ascii="Times New Roman" w:hAnsi="Times New Roman"/>
          <w:color w:val="0070C0"/>
          <w:sz w:val="16"/>
          <w:szCs w:val="16"/>
        </w:rPr>
        <w:softHyphen/>
        <w:t>рядка пулемета осуществлялась при по</w:t>
      </w:r>
      <w:r w:rsidRPr="00722885">
        <w:rPr>
          <w:rFonts w:ascii="Times New Roman" w:hAnsi="Times New Roman"/>
          <w:color w:val="0070C0"/>
          <w:sz w:val="16"/>
          <w:szCs w:val="16"/>
        </w:rPr>
        <w:softHyphen/>
        <w:t>мощи механической тяги. Ручка перезаря</w:t>
      </w:r>
      <w:r w:rsidRPr="00722885">
        <w:rPr>
          <w:rFonts w:ascii="Times New Roman" w:hAnsi="Times New Roman"/>
          <w:color w:val="0070C0"/>
          <w:sz w:val="16"/>
          <w:szCs w:val="16"/>
        </w:rPr>
        <w:softHyphen/>
        <w:t>жания находилась в кабине летчика.</w:t>
      </w:r>
    </w:p>
    <w:p w14:paraId="2A49516D"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Для подвески бомб под фюзеляжем использовался сварной из листовой стали мост, на котором устанавливались три за</w:t>
      </w:r>
      <w:r w:rsidRPr="00722885">
        <w:rPr>
          <w:rFonts w:ascii="Times New Roman" w:hAnsi="Times New Roman"/>
          <w:color w:val="0070C0"/>
          <w:sz w:val="16"/>
          <w:szCs w:val="16"/>
        </w:rPr>
        <w:softHyphen/>
        <w:t>мка типа МДЗ-40. Основными вариантами бомбовой нагрузки считались два: одна ФАБ-250 или 2 ФАБ-100 и ФАБ-50. Воз</w:t>
      </w:r>
      <w:r w:rsidRPr="00722885">
        <w:rPr>
          <w:rFonts w:ascii="Times New Roman" w:hAnsi="Times New Roman"/>
          <w:color w:val="0070C0"/>
          <w:sz w:val="16"/>
          <w:szCs w:val="16"/>
        </w:rPr>
        <w:softHyphen/>
        <w:t>можна была также подвеска бомб мень</w:t>
      </w:r>
      <w:r w:rsidRPr="00722885">
        <w:rPr>
          <w:rFonts w:ascii="Times New Roman" w:hAnsi="Times New Roman"/>
          <w:color w:val="0070C0"/>
          <w:sz w:val="16"/>
          <w:szCs w:val="16"/>
        </w:rPr>
        <w:softHyphen/>
        <w:t>шего калибра из числа стоящих на воору</w:t>
      </w:r>
      <w:r w:rsidRPr="00722885">
        <w:rPr>
          <w:rFonts w:ascii="Times New Roman" w:hAnsi="Times New Roman"/>
          <w:color w:val="0070C0"/>
          <w:sz w:val="16"/>
          <w:szCs w:val="16"/>
        </w:rPr>
        <w:softHyphen/>
        <w:t>жении ВВС КА. Подвеска бомб до 100 кг осуществлялась вручную, а бомб калибра свыше 100 кг - с использованием «обыч</w:t>
      </w:r>
      <w:r w:rsidRPr="00722885">
        <w:rPr>
          <w:rFonts w:ascii="Times New Roman" w:hAnsi="Times New Roman"/>
          <w:color w:val="0070C0"/>
          <w:sz w:val="16"/>
          <w:szCs w:val="16"/>
        </w:rPr>
        <w:softHyphen/>
        <w:t>ного, применяющегося в таких случаях, аэродромного оборудования». Сбрасыва</w:t>
      </w:r>
      <w:r w:rsidRPr="00722885">
        <w:rPr>
          <w:rFonts w:ascii="Times New Roman" w:hAnsi="Times New Roman"/>
          <w:color w:val="0070C0"/>
          <w:sz w:val="16"/>
          <w:szCs w:val="16"/>
        </w:rPr>
        <w:softHyphen/>
        <w:t>ние бомб - механическое от аварийно</w:t>
      </w:r>
      <w:r w:rsidRPr="00722885">
        <w:rPr>
          <w:rFonts w:ascii="Times New Roman" w:hAnsi="Times New Roman"/>
          <w:color w:val="0070C0"/>
          <w:sz w:val="16"/>
          <w:szCs w:val="16"/>
        </w:rPr>
        <w:softHyphen/>
        <w:t>го сбрасывателя АСП-40. Сброс бомб был возможен только с горизонтального поле</w:t>
      </w:r>
      <w:r w:rsidRPr="00722885">
        <w:rPr>
          <w:rFonts w:ascii="Times New Roman" w:hAnsi="Times New Roman"/>
          <w:color w:val="0070C0"/>
          <w:sz w:val="16"/>
          <w:szCs w:val="16"/>
        </w:rPr>
        <w:softHyphen/>
        <w:t>та. Прицельное приспособление для бом</w:t>
      </w:r>
      <w:r w:rsidRPr="00722885">
        <w:rPr>
          <w:rFonts w:ascii="Times New Roman" w:hAnsi="Times New Roman"/>
          <w:color w:val="0070C0"/>
          <w:sz w:val="16"/>
          <w:szCs w:val="16"/>
        </w:rPr>
        <w:softHyphen/>
        <w:t>бометания не предусматривалось.</w:t>
      </w:r>
    </w:p>
    <w:p w14:paraId="59C598B0"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 необходимости применения мел</w:t>
      </w:r>
      <w:r w:rsidRPr="00722885">
        <w:rPr>
          <w:rFonts w:ascii="Times New Roman" w:hAnsi="Times New Roman"/>
          <w:color w:val="0070C0"/>
          <w:sz w:val="16"/>
          <w:szCs w:val="16"/>
        </w:rPr>
        <w:softHyphen/>
        <w:t>ких осколочных, зажигательных и про</w:t>
      </w:r>
      <w:r w:rsidRPr="00722885">
        <w:rPr>
          <w:rFonts w:ascii="Times New Roman" w:hAnsi="Times New Roman"/>
          <w:color w:val="0070C0"/>
          <w:sz w:val="16"/>
          <w:szCs w:val="16"/>
        </w:rPr>
        <w:softHyphen/>
        <w:t>тивотанковых бомб на самолет допуска</w:t>
      </w:r>
      <w:r w:rsidRPr="00722885">
        <w:rPr>
          <w:rFonts w:ascii="Times New Roman" w:hAnsi="Times New Roman"/>
          <w:color w:val="0070C0"/>
          <w:sz w:val="16"/>
          <w:szCs w:val="16"/>
        </w:rPr>
        <w:softHyphen/>
        <w:t>лась подвеска моста с установленны</w:t>
      </w:r>
      <w:r w:rsidRPr="00722885">
        <w:rPr>
          <w:rFonts w:ascii="Times New Roman" w:hAnsi="Times New Roman"/>
          <w:color w:val="0070C0"/>
          <w:sz w:val="16"/>
          <w:szCs w:val="16"/>
        </w:rPr>
        <w:softHyphen/>
        <w:t>ми на нем четырьмя кассетами мелких бомб. Каждая кассета представляла собой стальной клепанный цилиндр. Крепление кассет, управление сбросом и проводка управления монтировались непосредст</w:t>
      </w:r>
      <w:r w:rsidRPr="00722885">
        <w:rPr>
          <w:rFonts w:ascii="Times New Roman" w:hAnsi="Times New Roman"/>
          <w:color w:val="0070C0"/>
          <w:sz w:val="16"/>
          <w:szCs w:val="16"/>
        </w:rPr>
        <w:softHyphen/>
        <w:t>венно на мосту. Сбрасывание осуществля</w:t>
      </w:r>
      <w:r w:rsidRPr="00722885">
        <w:rPr>
          <w:rFonts w:ascii="Times New Roman" w:hAnsi="Times New Roman"/>
          <w:color w:val="0070C0"/>
          <w:sz w:val="16"/>
          <w:szCs w:val="16"/>
        </w:rPr>
        <w:softHyphen/>
        <w:t>лось с помощью механического сбрасы</w:t>
      </w:r>
      <w:r w:rsidRPr="00722885">
        <w:rPr>
          <w:rFonts w:ascii="Times New Roman" w:hAnsi="Times New Roman"/>
          <w:color w:val="0070C0"/>
          <w:sz w:val="16"/>
          <w:szCs w:val="16"/>
        </w:rPr>
        <w:softHyphen/>
        <w:t>вателя АСИ-140, установленного в кабине пилота. При подвеске моста с кассетами мелких бомб они входили в закабинный отсек самолета через специальный вырез в центроплане.</w:t>
      </w:r>
    </w:p>
    <w:p w14:paraId="0C7F8CD4"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Ракетный вариант подвесного воору</w:t>
      </w:r>
      <w:r w:rsidRPr="00722885">
        <w:rPr>
          <w:rFonts w:ascii="Times New Roman" w:hAnsi="Times New Roman"/>
          <w:color w:val="0070C0"/>
          <w:sz w:val="16"/>
          <w:szCs w:val="16"/>
        </w:rPr>
        <w:softHyphen/>
        <w:t>жения включал четыре ракетных орудия РО-152, закрепленных на двух поперечных балках. Передняя балка крепилась к бро</w:t>
      </w:r>
      <w:r w:rsidRPr="00722885">
        <w:rPr>
          <w:rFonts w:ascii="Times New Roman" w:hAnsi="Times New Roman"/>
          <w:color w:val="0070C0"/>
          <w:sz w:val="16"/>
          <w:szCs w:val="16"/>
        </w:rPr>
        <w:softHyphen/>
        <w:t>некабине, а задняя - к профилям центро</w:t>
      </w:r>
      <w:r w:rsidRPr="00722885">
        <w:rPr>
          <w:rFonts w:ascii="Times New Roman" w:hAnsi="Times New Roman"/>
          <w:color w:val="0070C0"/>
          <w:sz w:val="16"/>
          <w:szCs w:val="16"/>
        </w:rPr>
        <w:softHyphen/>
        <w:t>плана. Управление огнем - «сосредоточенона кнопке, закрепленной на ручке управле</w:t>
      </w:r>
      <w:r w:rsidRPr="00722885">
        <w:rPr>
          <w:rFonts w:ascii="Times New Roman" w:hAnsi="Times New Roman"/>
          <w:color w:val="0070C0"/>
          <w:sz w:val="16"/>
          <w:szCs w:val="16"/>
        </w:rPr>
        <w:softHyphen/>
        <w:t>ния, спуск - электрический».</w:t>
      </w:r>
    </w:p>
    <w:p w14:paraId="144A6248"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Пушечное вооружение состояло их двух вариантов подвески: две пушки ка</w:t>
      </w:r>
      <w:r w:rsidRPr="00722885">
        <w:rPr>
          <w:rFonts w:ascii="Times New Roman" w:hAnsi="Times New Roman"/>
          <w:color w:val="0070C0"/>
          <w:sz w:val="16"/>
          <w:szCs w:val="16"/>
        </w:rPr>
        <w:softHyphen/>
        <w:t>либра 23 мм «системы Волкова-Ярцева» с боекомплектом 160 снарядов и одна пушка 11П калибра 37 мм конструкции ОКБ-16 с боезапасом 50 снарядов. К это</w:t>
      </w:r>
      <w:r w:rsidRPr="00722885">
        <w:rPr>
          <w:rFonts w:ascii="Times New Roman" w:hAnsi="Times New Roman"/>
          <w:color w:val="0070C0"/>
          <w:sz w:val="16"/>
          <w:szCs w:val="16"/>
        </w:rPr>
        <w:softHyphen/>
        <w:t>му времени пушка Ш-37 конструкции Б.Г. Шпитального уже была снята с воору</w:t>
      </w:r>
      <w:r w:rsidRPr="00722885">
        <w:rPr>
          <w:rFonts w:ascii="Times New Roman" w:hAnsi="Times New Roman"/>
          <w:color w:val="0070C0"/>
          <w:sz w:val="16"/>
          <w:szCs w:val="16"/>
        </w:rPr>
        <w:softHyphen/>
        <w:t>жения ВВС КА.</w:t>
      </w:r>
    </w:p>
    <w:p w14:paraId="04A91FA7"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Пушки, патронные ящики, рукава пи</w:t>
      </w:r>
      <w:r w:rsidRPr="00722885">
        <w:rPr>
          <w:rFonts w:ascii="Times New Roman" w:hAnsi="Times New Roman"/>
          <w:color w:val="0070C0"/>
          <w:sz w:val="16"/>
          <w:szCs w:val="16"/>
        </w:rPr>
        <w:softHyphen/>
        <w:t>тания, спусковая проводка, воздушная проводка и звеньеотводы располагались на стальных лафетах вооружения. Лафе</w:t>
      </w:r>
      <w:r w:rsidRPr="00722885">
        <w:rPr>
          <w:rFonts w:ascii="Times New Roman" w:hAnsi="Times New Roman"/>
          <w:color w:val="0070C0"/>
          <w:sz w:val="16"/>
          <w:szCs w:val="16"/>
        </w:rPr>
        <w:softHyphen/>
        <w:t>ты крепились к профилям центроплана в тех же точках, что и бомбардировочный мост. Пушки крепились к лафету в двух точках. Силовым являлось переднее кре</w:t>
      </w:r>
      <w:r w:rsidRPr="00722885">
        <w:rPr>
          <w:rFonts w:ascii="Times New Roman" w:hAnsi="Times New Roman"/>
          <w:color w:val="0070C0"/>
          <w:sz w:val="16"/>
          <w:szCs w:val="16"/>
        </w:rPr>
        <w:softHyphen/>
        <w:t>пление пушек. Заднее крепление было поддерживающим и служило для регу</w:t>
      </w:r>
      <w:r w:rsidRPr="00722885">
        <w:rPr>
          <w:rFonts w:ascii="Times New Roman" w:hAnsi="Times New Roman"/>
          <w:color w:val="0070C0"/>
          <w:sz w:val="16"/>
          <w:szCs w:val="16"/>
        </w:rPr>
        <w:softHyphen/>
        <w:t>лировки положения ствола пушки в вер</w:t>
      </w:r>
      <w:r w:rsidRPr="00722885">
        <w:rPr>
          <w:rFonts w:ascii="Times New Roman" w:hAnsi="Times New Roman"/>
          <w:color w:val="0070C0"/>
          <w:sz w:val="16"/>
          <w:szCs w:val="16"/>
        </w:rPr>
        <w:softHyphen/>
        <w:t>тикальной и горизонтальной плоскости. Для поглощения силы отдачи устанавли</w:t>
      </w:r>
      <w:r w:rsidRPr="00722885">
        <w:rPr>
          <w:rFonts w:ascii="Times New Roman" w:hAnsi="Times New Roman"/>
          <w:color w:val="0070C0"/>
          <w:sz w:val="16"/>
          <w:szCs w:val="16"/>
        </w:rPr>
        <w:softHyphen/>
        <w:t>вались пружинные амортизаторы. Патрон</w:t>
      </w:r>
      <w:r w:rsidRPr="00722885">
        <w:rPr>
          <w:rFonts w:ascii="Times New Roman" w:hAnsi="Times New Roman"/>
          <w:color w:val="0070C0"/>
          <w:sz w:val="16"/>
          <w:szCs w:val="16"/>
        </w:rPr>
        <w:softHyphen/>
        <w:t>ные ящики изготавливались из 10-мм фа</w:t>
      </w:r>
      <w:r w:rsidRPr="00722885">
        <w:rPr>
          <w:rFonts w:ascii="Times New Roman" w:hAnsi="Times New Roman"/>
          <w:color w:val="0070C0"/>
          <w:sz w:val="16"/>
          <w:szCs w:val="16"/>
        </w:rPr>
        <w:softHyphen/>
        <w:t>нерных листов, «соединенных между со</w:t>
      </w:r>
      <w:r w:rsidRPr="00722885">
        <w:rPr>
          <w:rFonts w:ascii="Times New Roman" w:hAnsi="Times New Roman"/>
          <w:color w:val="0070C0"/>
          <w:sz w:val="16"/>
          <w:szCs w:val="16"/>
        </w:rPr>
        <w:softHyphen/>
        <w:t>бой швами и склеенных казеиновым кле</w:t>
      </w:r>
      <w:r w:rsidRPr="00722885">
        <w:rPr>
          <w:rFonts w:ascii="Times New Roman" w:hAnsi="Times New Roman"/>
          <w:color w:val="0070C0"/>
          <w:sz w:val="16"/>
          <w:szCs w:val="16"/>
        </w:rPr>
        <w:softHyphen/>
        <w:t>ем». Для придания конструкции ящиков большей жесткости в углах имелись сталь</w:t>
      </w:r>
      <w:r w:rsidRPr="00722885">
        <w:rPr>
          <w:rFonts w:ascii="Times New Roman" w:hAnsi="Times New Roman"/>
          <w:color w:val="0070C0"/>
          <w:sz w:val="16"/>
          <w:szCs w:val="16"/>
        </w:rPr>
        <w:softHyphen/>
        <w:t>ные косынки. Звеньеотводы и рукава пи</w:t>
      </w:r>
      <w:r w:rsidRPr="00722885">
        <w:rPr>
          <w:rFonts w:ascii="Times New Roman" w:hAnsi="Times New Roman"/>
          <w:color w:val="0070C0"/>
          <w:sz w:val="16"/>
          <w:szCs w:val="16"/>
        </w:rPr>
        <w:softHyphen/>
        <w:t>тания сваривались из листовой стали тол</w:t>
      </w:r>
      <w:r w:rsidRPr="00722885">
        <w:rPr>
          <w:rFonts w:ascii="Times New Roman" w:hAnsi="Times New Roman"/>
          <w:color w:val="0070C0"/>
          <w:sz w:val="16"/>
          <w:szCs w:val="16"/>
        </w:rPr>
        <w:softHyphen/>
        <w:t>щиной 1-1,5 мм. При подвеске пушечных лафетов под фюзеляжем патронные ящи</w:t>
      </w:r>
      <w:r w:rsidRPr="00722885">
        <w:rPr>
          <w:rFonts w:ascii="Times New Roman" w:hAnsi="Times New Roman"/>
          <w:color w:val="0070C0"/>
          <w:sz w:val="16"/>
          <w:szCs w:val="16"/>
        </w:rPr>
        <w:softHyphen/>
        <w:t>ки входили внутрь закабинного отсека са</w:t>
      </w:r>
      <w:r w:rsidRPr="00722885">
        <w:rPr>
          <w:rFonts w:ascii="Times New Roman" w:hAnsi="Times New Roman"/>
          <w:color w:val="0070C0"/>
          <w:sz w:val="16"/>
          <w:szCs w:val="16"/>
        </w:rPr>
        <w:softHyphen/>
        <w:t>молета через вырез в центроплане.</w:t>
      </w:r>
    </w:p>
    <w:p w14:paraId="673005AF"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Перезарядка и открытие огня пневма</w:t>
      </w:r>
      <w:r w:rsidRPr="00722885">
        <w:rPr>
          <w:rFonts w:ascii="Times New Roman" w:hAnsi="Times New Roman"/>
          <w:color w:val="0070C0"/>
          <w:sz w:val="16"/>
          <w:szCs w:val="16"/>
        </w:rPr>
        <w:softHyphen/>
        <w:t>тическое, гильзы и звенья выбрасывались наружу. Все элементы воздушной системы устанавливались на лафете. Перезарядка выполнялась летчиком от сбрасывателя АСИ-140, который при помощи тросов со</w:t>
      </w:r>
      <w:r w:rsidRPr="00722885">
        <w:rPr>
          <w:rFonts w:ascii="Times New Roman" w:hAnsi="Times New Roman"/>
          <w:color w:val="0070C0"/>
          <w:sz w:val="16"/>
          <w:szCs w:val="16"/>
        </w:rPr>
        <w:softHyphen/>
        <w:t>единялся с кнопочным механизмом, свя</w:t>
      </w:r>
      <w:r w:rsidRPr="00722885">
        <w:rPr>
          <w:rFonts w:ascii="Times New Roman" w:hAnsi="Times New Roman"/>
          <w:color w:val="0070C0"/>
          <w:sz w:val="16"/>
          <w:szCs w:val="16"/>
        </w:rPr>
        <w:softHyphen/>
        <w:t>занным с цилиндрами перезарядки пушек.</w:t>
      </w:r>
    </w:p>
    <w:p w14:paraId="3856F75F"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Спуск пушек производился от пневмоспу</w:t>
      </w:r>
      <w:r w:rsidRPr="00722885">
        <w:rPr>
          <w:rFonts w:ascii="Times New Roman" w:hAnsi="Times New Roman"/>
          <w:color w:val="0070C0"/>
          <w:sz w:val="16"/>
          <w:szCs w:val="16"/>
        </w:rPr>
        <w:softHyphen/>
        <w:t>ска, связанного со спусковыми рычага</w:t>
      </w:r>
      <w:r w:rsidRPr="00722885">
        <w:rPr>
          <w:rFonts w:ascii="Times New Roman" w:hAnsi="Times New Roman"/>
          <w:color w:val="0070C0"/>
          <w:sz w:val="16"/>
          <w:szCs w:val="16"/>
        </w:rPr>
        <w:softHyphen/>
        <w:t>ми пушки через систему тросов и рычагов. Его включение осуществлялось от гашет</w:t>
      </w:r>
      <w:r w:rsidRPr="00722885">
        <w:rPr>
          <w:rFonts w:ascii="Times New Roman" w:hAnsi="Times New Roman"/>
          <w:color w:val="0070C0"/>
          <w:sz w:val="16"/>
          <w:szCs w:val="16"/>
        </w:rPr>
        <w:softHyphen/>
        <w:t>ки на ручке управления при помощи сое</w:t>
      </w:r>
      <w:r w:rsidRPr="00722885">
        <w:rPr>
          <w:rFonts w:ascii="Times New Roman" w:hAnsi="Times New Roman"/>
          <w:color w:val="0070C0"/>
          <w:sz w:val="16"/>
          <w:szCs w:val="16"/>
        </w:rPr>
        <w:softHyphen/>
        <w:t>динительного троса.</w:t>
      </w:r>
    </w:p>
    <w:p w14:paraId="7B5CC775" w14:textId="77777777" w:rsidR="00340643" w:rsidRPr="00722885" w:rsidRDefault="0034064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Прицел для стрельбы механический обычного типа - кольцевой с мушкой, устанавливался на стойке впереди ко</w:t>
      </w:r>
      <w:r w:rsidRPr="00722885">
        <w:rPr>
          <w:rFonts w:ascii="Times New Roman" w:hAnsi="Times New Roman"/>
          <w:color w:val="0070C0"/>
          <w:sz w:val="16"/>
          <w:szCs w:val="16"/>
        </w:rPr>
        <w:softHyphen/>
        <w:t>зырька летчика (23181).</w:t>
      </w:r>
    </w:p>
    <w:p w14:paraId="315CCC70" w14:textId="77777777" w:rsidR="00340643" w:rsidRPr="00722885" w:rsidRDefault="00340643" w:rsidP="00722885">
      <w:pPr>
        <w:pStyle w:val="ae"/>
        <w:shd w:val="clear" w:color="auto" w:fill="FFFFFF"/>
        <w:spacing w:before="0" w:after="0"/>
        <w:jc w:val="both"/>
        <w:textAlignment w:val="baseline"/>
        <w:rPr>
          <w:color w:val="0070C0"/>
          <w:sz w:val="16"/>
          <w:szCs w:val="16"/>
        </w:rPr>
      </w:pPr>
    </w:p>
    <w:p w14:paraId="7F01BEF6"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концу декабря 1942 г. Первый опытный «Пегас» № 01 был построен. Уложиться в уста</w:t>
      </w:r>
      <w:r w:rsidRPr="00722885">
        <w:rPr>
          <w:color w:val="000000" w:themeColor="text1"/>
          <w:sz w:val="16"/>
          <w:szCs w:val="16"/>
        </w:rPr>
        <w:softHyphen/>
        <w:t>новленные сроки (1 декабря) не удалось.</w:t>
      </w:r>
    </w:p>
    <w:p w14:paraId="0107D02B"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Во внутризаводской документации самолет имел буквенное обозначение — «самолет «Р» (типа «Пегас»)».</w:t>
      </w:r>
    </w:p>
    <w:p w14:paraId="23C9AB35"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Вооружение опытного самолета «Пегас» включа</w:t>
      </w:r>
      <w:r w:rsidRPr="00722885">
        <w:rPr>
          <w:color w:val="000000" w:themeColor="text1"/>
          <w:sz w:val="16"/>
          <w:szCs w:val="16"/>
        </w:rPr>
        <w:softHyphen/>
        <w:t>ло один неподвижный крупнокалиберный пулемет УБ (150 патронов) в носовом обтекателе фюзеляжа и сменные комплекты — 1 бомбардировочный, 1 ракетный и 2 пушечных, которые крепились сна</w:t>
      </w:r>
      <w:r w:rsidRPr="00722885">
        <w:rPr>
          <w:color w:val="000000" w:themeColor="text1"/>
          <w:sz w:val="16"/>
          <w:szCs w:val="16"/>
        </w:rPr>
        <w:softHyphen/>
        <w:t>ружи под центропланом на специальных легко</w:t>
      </w:r>
      <w:r w:rsidRPr="00722885">
        <w:rPr>
          <w:color w:val="000000" w:themeColor="text1"/>
          <w:sz w:val="16"/>
          <w:szCs w:val="16"/>
        </w:rPr>
        <w:softHyphen/>
        <w:t>съемных мостах и лафетах. Химическое вооруже</w:t>
      </w:r>
      <w:r w:rsidRPr="00722885">
        <w:rPr>
          <w:color w:val="000000" w:themeColor="text1"/>
          <w:sz w:val="16"/>
          <w:szCs w:val="16"/>
        </w:rPr>
        <w:softHyphen/>
        <w:t>ние не предусматривалось.</w:t>
      </w:r>
    </w:p>
    <w:p w14:paraId="0AB9E2D4"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Для подвески бомб под фюзеляжем использо</w:t>
      </w:r>
      <w:r w:rsidRPr="00722885">
        <w:rPr>
          <w:color w:val="000000" w:themeColor="text1"/>
          <w:sz w:val="16"/>
          <w:szCs w:val="16"/>
        </w:rPr>
        <w:softHyphen/>
        <w:t>вался сварной из листовой стали мост, на котором устанавливались 3 замка типа МДЗ-40. Основны</w:t>
      </w:r>
      <w:r w:rsidRPr="00722885">
        <w:rPr>
          <w:color w:val="000000" w:themeColor="text1"/>
          <w:sz w:val="16"/>
          <w:szCs w:val="16"/>
        </w:rPr>
        <w:softHyphen/>
        <w:t>ми вариантами бомбовой нагрузки считались два: 1 ФАБ-250 или 2 ФАБ-100 и ФАБ-50. Возможна была также подвеска бомб меньшего калибра из числа состоящих на вооружении ВВС КА. Подвеска бомб до 100 кг осуществлялась вручную, а бомб калибра свыше 100 кг — с использованием «обычного, при</w:t>
      </w:r>
      <w:r w:rsidRPr="00722885">
        <w:rPr>
          <w:color w:val="000000" w:themeColor="text1"/>
          <w:sz w:val="16"/>
          <w:szCs w:val="16"/>
        </w:rPr>
        <w:softHyphen/>
        <w:t>меняющегося в таких случаях, аэродромного обо</w:t>
      </w:r>
      <w:r w:rsidRPr="00722885">
        <w:rPr>
          <w:color w:val="000000" w:themeColor="text1"/>
          <w:sz w:val="16"/>
          <w:szCs w:val="16"/>
        </w:rPr>
        <w:softHyphen/>
        <w:t>рудования». Сбрасывание бомб — механическое, от аварийного сбрасывателя АСП-40. Сброс бомб был возможен только с горизонтального полета. Прицельное приспособление для бомбометания не предусматривалось.</w:t>
      </w:r>
    </w:p>
    <w:p w14:paraId="183FA470"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необходимости применения мелких оско</w:t>
      </w:r>
      <w:r w:rsidRPr="00722885">
        <w:rPr>
          <w:color w:val="000000" w:themeColor="text1"/>
          <w:sz w:val="16"/>
          <w:szCs w:val="16"/>
        </w:rPr>
        <w:softHyphen/>
        <w:t>лочных, зажигательных и противотанковых бомб на самолет допускалась подвеска моста с установ</w:t>
      </w:r>
      <w:r w:rsidRPr="00722885">
        <w:rPr>
          <w:color w:val="000000" w:themeColor="text1"/>
          <w:sz w:val="16"/>
          <w:szCs w:val="16"/>
        </w:rPr>
        <w:softHyphen/>
        <w:t>ленными на нем 4 кассетами мелких бомб. Каждая кассета представляла собой стальной клепаный цилиндр. Крепление кассет, управление сбросом и проводка управления монтировались непосред</w:t>
      </w:r>
      <w:r w:rsidRPr="00722885">
        <w:rPr>
          <w:color w:val="000000" w:themeColor="text1"/>
          <w:sz w:val="16"/>
          <w:szCs w:val="16"/>
        </w:rPr>
        <w:softHyphen/>
        <w:t>ственно на мосту. Сбрасывание осуществлялось с помощью механического сбрасывателя АСИ-140, установленного в кабине пилота. При подвеске мо</w:t>
      </w:r>
      <w:r w:rsidRPr="00722885">
        <w:rPr>
          <w:color w:val="000000" w:themeColor="text1"/>
          <w:sz w:val="16"/>
          <w:szCs w:val="16"/>
        </w:rPr>
        <w:softHyphen/>
        <w:t>ста с кассетами мелких бомб они входили в зака- бинный отсек самолета через специальный вырез в центроплане.</w:t>
      </w:r>
    </w:p>
    <w:p w14:paraId="5C942E78"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Ракетный вариант подвесного вооружения включал 4 ракетных орудия РО-132, закрепленных на 2 поперечных балках. Передняя балка крепилась к бронекабине, а задняя — к профилям центропла</w:t>
      </w:r>
      <w:r w:rsidRPr="00722885">
        <w:rPr>
          <w:color w:val="000000" w:themeColor="text1"/>
          <w:sz w:val="16"/>
          <w:szCs w:val="16"/>
        </w:rPr>
        <w:softHyphen/>
        <w:t>на. Управление огнем «сосредоточено на кнопке, закрепленной на ручке управления, спуск — элек</w:t>
      </w:r>
      <w:r w:rsidRPr="00722885">
        <w:rPr>
          <w:color w:val="000000" w:themeColor="text1"/>
          <w:sz w:val="16"/>
          <w:szCs w:val="16"/>
        </w:rPr>
        <w:softHyphen/>
        <w:t>трический».</w:t>
      </w:r>
    </w:p>
    <w:p w14:paraId="3BC7A89E"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Пушечное вооружение состояло из 2 вариан</w:t>
      </w:r>
      <w:r w:rsidRPr="00722885">
        <w:rPr>
          <w:color w:val="000000" w:themeColor="text1"/>
          <w:sz w:val="16"/>
          <w:szCs w:val="16"/>
        </w:rPr>
        <w:softHyphen/>
        <w:t>тов подвески: 2 пушки калибра 23 мм «системы Волкова—Ярцева» с боекомплектом 160 снарядов и 1 пушка 11П калибра 37 мм конструкции ОКБ-16 с боезапасом 50 снарядов. К этому времени пушка Ш-37 конструкции Б. Г. Шпитального уже была снята с вооружения ВВС КА.</w:t>
      </w:r>
    </w:p>
    <w:p w14:paraId="759C90A8"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 подвеске пушечных лафетов под фюзеля</w:t>
      </w:r>
      <w:r w:rsidRPr="00722885">
        <w:rPr>
          <w:color w:val="000000" w:themeColor="text1"/>
          <w:sz w:val="16"/>
          <w:szCs w:val="16"/>
        </w:rPr>
        <w:softHyphen/>
        <w:t>жем патронные ящики входили внутрь закабинного отсека самолета через вырез в центроплане.</w:t>
      </w:r>
    </w:p>
    <w:p w14:paraId="12668661"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Перезарядка и открытие огня пневматическое, гильзы и звенья выбрасывались наружу. Все эле</w:t>
      </w:r>
      <w:r w:rsidRPr="00722885">
        <w:rPr>
          <w:color w:val="000000" w:themeColor="text1"/>
          <w:sz w:val="16"/>
          <w:szCs w:val="16"/>
        </w:rPr>
        <w:softHyphen/>
        <w:t>менты воздушной системы устанавливались на ла</w:t>
      </w:r>
      <w:r w:rsidRPr="00722885">
        <w:rPr>
          <w:color w:val="000000" w:themeColor="text1"/>
          <w:sz w:val="16"/>
          <w:szCs w:val="16"/>
        </w:rPr>
        <w:softHyphen/>
        <w:t>фете. Перезарядка выполнялась летчиком от сбра</w:t>
      </w:r>
      <w:r w:rsidRPr="00722885">
        <w:rPr>
          <w:color w:val="000000" w:themeColor="text1"/>
          <w:sz w:val="16"/>
          <w:szCs w:val="16"/>
        </w:rPr>
        <w:softHyphen/>
        <w:t>сывателя АСИ-140, который при помощи тросов соединялся с кнопочным механизмом, связанным с цилиндрами перезарядки пушек. Спуск пушек производился от пневмоспуска, связанного со спу</w:t>
      </w:r>
      <w:r w:rsidRPr="00722885">
        <w:rPr>
          <w:color w:val="000000" w:themeColor="text1"/>
          <w:sz w:val="16"/>
          <w:szCs w:val="16"/>
        </w:rPr>
        <w:softHyphen/>
        <w:t>сковыми рычагами пушки через систему тросов и рычагов. Его включение осуществлялось от га</w:t>
      </w:r>
      <w:r w:rsidRPr="00722885">
        <w:rPr>
          <w:color w:val="000000" w:themeColor="text1"/>
          <w:sz w:val="16"/>
          <w:szCs w:val="16"/>
        </w:rPr>
        <w:softHyphen/>
        <w:t>шетки на ручке управления при помощи соедини</w:t>
      </w:r>
      <w:r w:rsidRPr="00722885">
        <w:rPr>
          <w:color w:val="000000" w:themeColor="text1"/>
          <w:sz w:val="16"/>
          <w:szCs w:val="16"/>
        </w:rPr>
        <w:softHyphen/>
        <w:t>тельного троса.</w:t>
      </w:r>
    </w:p>
    <w:p w14:paraId="023DE8C5"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Спуск при стрельбе из пулемета УБ произво</w:t>
      </w:r>
      <w:r w:rsidRPr="00722885">
        <w:rPr>
          <w:color w:val="000000" w:themeColor="text1"/>
          <w:sz w:val="16"/>
          <w:szCs w:val="16"/>
        </w:rPr>
        <w:softHyphen/>
        <w:t>дился от гашетки, установленной на ручке управ</w:t>
      </w:r>
      <w:r w:rsidRPr="00722885">
        <w:rPr>
          <w:color w:val="000000" w:themeColor="text1"/>
          <w:sz w:val="16"/>
          <w:szCs w:val="16"/>
        </w:rPr>
        <w:softHyphen/>
        <w:t>ления. Перезарядка пулемета осуществлялась при помощи механической тяги. Ручка перезаряжания находилась в кабине летчика.</w:t>
      </w:r>
    </w:p>
    <w:p w14:paraId="1C178384" w14:textId="77777777" w:rsidR="0026218A" w:rsidRPr="00722885" w:rsidRDefault="0026218A"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Прицел для стрельбы механический обычного типа — кольцевой с мушкой, устанавливался на стойке впереди козырька летчика (17500).</w:t>
      </w:r>
    </w:p>
    <w:p w14:paraId="4D1D3067" w14:textId="77777777" w:rsidR="0026218A" w:rsidRPr="00722885" w:rsidRDefault="0026218A" w:rsidP="00722885">
      <w:pPr>
        <w:spacing w:after="0" w:line="240" w:lineRule="auto"/>
        <w:jc w:val="both"/>
        <w:rPr>
          <w:rFonts w:ascii="Times New Roman" w:hAnsi="Times New Roman"/>
          <w:color w:val="000000" w:themeColor="text1"/>
          <w:sz w:val="16"/>
          <w:szCs w:val="16"/>
        </w:rPr>
      </w:pPr>
    </w:p>
    <w:p w14:paraId="73D6BAE7" w14:textId="77777777" w:rsidR="0026218A" w:rsidRPr="00722885" w:rsidRDefault="0026218A" w:rsidP="00722885">
      <w:pPr>
        <w:pStyle w:val="Iauiue"/>
        <w:jc w:val="both"/>
        <w:rPr>
          <w:color w:val="000000" w:themeColor="text1"/>
          <w:sz w:val="16"/>
          <w:szCs w:val="16"/>
        </w:rPr>
      </w:pPr>
      <w:r w:rsidRPr="00722885">
        <w:rPr>
          <w:color w:val="000000" w:themeColor="text1"/>
          <w:sz w:val="16"/>
          <w:szCs w:val="16"/>
        </w:rPr>
        <w:t>В конце декабря 1942 на завод 22 поступили М-107А для модифицированного Пе-2, но до марта 1943 ОКО машиной не занималось, т.к. А.И.Путилов все время тратил на ВИ с М-105ПД (2205,36).</w:t>
      </w:r>
    </w:p>
    <w:p w14:paraId="0FCD27CE" w14:textId="77777777" w:rsidR="0026218A" w:rsidRPr="00722885" w:rsidRDefault="0026218A" w:rsidP="00722885">
      <w:pPr>
        <w:pStyle w:val="Iauiue"/>
        <w:jc w:val="both"/>
        <w:rPr>
          <w:color w:val="000000" w:themeColor="text1"/>
          <w:sz w:val="16"/>
          <w:szCs w:val="16"/>
        </w:rPr>
      </w:pPr>
    </w:p>
    <w:p w14:paraId="4C7CD54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декабря 1942 г. моторы М-107А поступили на завод № 22. Однако ни в январе, ни в феврале, ни в марте 1943 г. ОКО-22 не занималось этой машиной. Все внимание в этот момент было отдано серии и любимому детищу А.И. Путилова - высотному истребителю ВИ с моторами М-105ПД (4476).</w:t>
      </w:r>
    </w:p>
    <w:p w14:paraId="6C0F4E59" w14:textId="77777777" w:rsidR="00BB6316" w:rsidRPr="00722885" w:rsidRDefault="00BB6316" w:rsidP="00722885">
      <w:pPr>
        <w:pStyle w:val="Iauiue"/>
        <w:jc w:val="both"/>
        <w:rPr>
          <w:color w:val="000000" w:themeColor="text1"/>
          <w:sz w:val="16"/>
          <w:szCs w:val="16"/>
        </w:rPr>
      </w:pPr>
    </w:p>
    <w:p w14:paraId="223D9D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декабря 1942 г. усовершенствованные моторы М-107А поступили на завод № 22. Однако ни в январе, ни в феврале, ни в марте 1943 г. ОКО-22 не занималось Пе-2 М-107. Все внимание в данный момент было отдано серии и любимому детищу А.И. Путилова - высотному истребителю ВИ с моторами М-105ПД. Лишь в начале лета 1943 г., после "прихода к власти" В.М. Мясищева, двигатели М-107А смонтировали на серийном Пе-2. Недостаток рабочей силы на заводе № 22 и трудности доводки силовой установки заставили пойти на несколько необычный шаг - отправить самолет на моторный завод № 26, где он находился вплоть до осени 1943 г. Летом 1943 г. в переписке ОК.О-22 с заказчиками этот вариант машины стали называть Пе-2Д (12042).</w:t>
      </w:r>
    </w:p>
    <w:p w14:paraId="30D7AF2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D6622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декабря 1942 проводились испытания Пе-2 М-82. После окончания заводских испытаний Пе-2 с М-82 № 19/31 с октября по декабрь, машину передали на государственные испытания в НИИ ВВС в Свердловске, после которых было признано, что машина имеет «значительные преимущества по сравнению с Пе-2 с моторами М-105РА, ПА, ПФ по максимальной скорости, управлению на одном двигателе и упрощенному пилотированию на взлете и посадке» (12049).</w:t>
      </w:r>
    </w:p>
    <w:p w14:paraId="3258040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59F06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декабря 1942 г. по постановлению ГКО завод № 16 переходит к выпуску пушечных форсированных моторов М-105ПФ. За счет устранения таких дефектов, как поломки главных и прицепных шатунов, улучшения работы деталей газораспределительного механизма, ресурс двигателя М-105ПФ был повышен со 100 до 150 часов. Совместно с ЛИИ ВВС на заводе проводилась работа по изучению и устранению радиопомех по «вине» мотора. В результате этого была значительно улучшена экранировка системы зажигания, что дало снижение сопротивления экранной системы до пределов, требуемых эксплуатацией самолетных радиостанций. Всего за 1942 год завод произвел 2916 моторов М-105РА (12049).</w:t>
      </w:r>
    </w:p>
    <w:p w14:paraId="70D063B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58ED60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декабря 1942 г. Микулнн приехал в Москву и лично изу</w:t>
      </w:r>
      <w:r w:rsidRPr="00722885">
        <w:rPr>
          <w:rFonts w:ascii="Times New Roman" w:hAnsi="Times New Roman"/>
          <w:color w:val="000000" w:themeColor="text1"/>
          <w:sz w:val="16"/>
          <w:szCs w:val="16"/>
        </w:rPr>
        <w:softHyphen/>
        <w:t>чил обстановку с «бесхозными» производственными мощностями. Затем, в самом начале 1943 г., он вызвал в столицу группу молодых сотрудников, перед которой поставил задачу: в кратчайший срок по</w:t>
      </w:r>
      <w:r w:rsidRPr="00722885">
        <w:rPr>
          <w:rFonts w:ascii="Times New Roman" w:hAnsi="Times New Roman"/>
          <w:color w:val="000000" w:themeColor="text1"/>
          <w:sz w:val="16"/>
          <w:szCs w:val="16"/>
        </w:rPr>
        <w:softHyphen/>
        <w:t>дыскать площадку, на которой можно создать первый в стране опытный моторостроительный завод. Конструкторы и инженеры микулинского ОКБ с раннего утра до наступления комендантского часа рыскали по городу. История предприятия уходила в дореволюционное крсмн. Здесь, в излучине реки Москвы, где земля была относительно деше</w:t>
      </w:r>
      <w:r w:rsidRPr="00722885">
        <w:rPr>
          <w:rFonts w:ascii="Times New Roman" w:hAnsi="Times New Roman"/>
          <w:color w:val="000000" w:themeColor="text1"/>
          <w:sz w:val="16"/>
          <w:szCs w:val="16"/>
        </w:rPr>
        <w:softHyphen/>
        <w:t>вой, в начале XX века возникла фабрика анилиновых красок Фр. Байер и К. Дела ее хозяев, очевидно, продвигались успешно: фабрика постепенно наращивала мощности. Кстати, это была та самая, изыестная и сейчас своими лекарствами немецкая фирма. В мае 1915 г фабрика, как принадлежащая германским подданным, была реквизирована и передана московскому предпринимателю Николаю Второву для организации производства артиллерийских снарядов. И сегодня с Андреевского моста можно увидеть на заводской площадке сохранившиеся корпуса, на которые «положили глаз» сотрудники Микулина. После революции фабрика была национализирована и преобра</w:t>
      </w:r>
      <w:r w:rsidRPr="00722885">
        <w:rPr>
          <w:rFonts w:ascii="Times New Roman" w:hAnsi="Times New Roman"/>
          <w:color w:val="000000" w:themeColor="text1"/>
          <w:sz w:val="16"/>
          <w:szCs w:val="16"/>
        </w:rPr>
        <w:softHyphen/>
        <w:t>зована в знаменитый «Гознак». Впрочем, это предприятие вскоре пе</w:t>
      </w:r>
      <w:r w:rsidRPr="00722885">
        <w:rPr>
          <w:rFonts w:ascii="Times New Roman" w:hAnsi="Times New Roman"/>
          <w:color w:val="000000" w:themeColor="text1"/>
          <w:sz w:val="16"/>
          <w:szCs w:val="16"/>
        </w:rPr>
        <w:softHyphen/>
        <w:t>ребралось в новые помещения, а в его корпусах обосновалась «оборонка». В 1939 г. был организован завод № 1 (во время войны за</w:t>
      </w:r>
      <w:r w:rsidRPr="00722885">
        <w:rPr>
          <w:rFonts w:ascii="Times New Roman" w:hAnsi="Times New Roman"/>
          <w:color w:val="000000" w:themeColor="text1"/>
          <w:sz w:val="16"/>
          <w:szCs w:val="16"/>
        </w:rPr>
        <w:softHyphen/>
        <w:t>вод № 8) «Оргавиапрома», где среди прочего изготавливали узлы ро</w:t>
      </w:r>
      <w:r w:rsidRPr="00722885">
        <w:rPr>
          <w:rFonts w:ascii="Times New Roman" w:hAnsi="Times New Roman"/>
          <w:color w:val="000000" w:themeColor="text1"/>
          <w:sz w:val="16"/>
          <w:szCs w:val="16"/>
        </w:rPr>
        <w:softHyphen/>
        <w:t>тора и крыльчатки к турбокомпрессорам. В октябре 1941 г. предприятие было эвакуировано в Куйбышев, и в сентябре 1942 г. получило обозначение завод № 165 НКАП. Завод № 165 был в августе 1943 г. реэвакуирован в Москву, но на другую территорию. Ныне это НТЦ «Люлька-Сатурн» на берегу Яузы. Площадка бывшего завода № 8 обладала целым рядом достоинств. В частности, она имела достаточные размеры, обладала необходимы</w:t>
      </w:r>
      <w:r w:rsidRPr="00722885">
        <w:rPr>
          <w:rFonts w:ascii="Times New Roman" w:hAnsi="Times New Roman"/>
          <w:color w:val="000000" w:themeColor="text1"/>
          <w:sz w:val="16"/>
          <w:szCs w:val="16"/>
        </w:rPr>
        <w:softHyphen/>
        <w:t>ми элементами инфраструктуры: собственной котельной, литейной, кузницей, энергетическим хозяйством, независимым водоснабжени</w:t>
      </w:r>
      <w:r w:rsidRPr="00722885">
        <w:rPr>
          <w:rFonts w:ascii="Times New Roman" w:hAnsi="Times New Roman"/>
          <w:color w:val="000000" w:themeColor="text1"/>
          <w:sz w:val="16"/>
          <w:szCs w:val="16"/>
        </w:rPr>
        <w:softHyphen/>
        <w:t>ем, собственной железнодорожной веткой. В перспективе имелась возможность расширения территории завода в сторону Лужников. Все эти соображения были сформулированы в докладной записке Сталину. Постановлением ГКО № 2916 от 18 февраля 1943 г. «для обеспечения опытных, конструкторских и экспериментальных работ по созданию авиационных двигателей» был развернут моторострои</w:t>
      </w:r>
      <w:r w:rsidRPr="00722885">
        <w:rPr>
          <w:rFonts w:ascii="Times New Roman" w:hAnsi="Times New Roman"/>
          <w:color w:val="000000" w:themeColor="text1"/>
          <w:sz w:val="16"/>
          <w:szCs w:val="16"/>
        </w:rPr>
        <w:softHyphen/>
        <w:t>тельный завод № 300 (10781).</w:t>
      </w:r>
    </w:p>
    <w:p w14:paraId="53B57CF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488194C" w14:textId="77777777" w:rsidR="00371351" w:rsidRPr="00722885" w:rsidRDefault="00371351"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243F6555" w14:textId="77777777" w:rsidR="00371351" w:rsidRPr="00722885" w:rsidRDefault="00371351" w:rsidP="00722885">
      <w:pPr>
        <w:pStyle w:val="Iauiue"/>
        <w:jc w:val="both"/>
        <w:rPr>
          <w:iCs/>
          <w:color w:val="000000" w:themeColor="text1"/>
          <w:sz w:val="16"/>
          <w:szCs w:val="16"/>
        </w:rPr>
      </w:pPr>
    </w:p>
    <w:p w14:paraId="2F1F36EF" w14:textId="77777777" w:rsidR="0026218A" w:rsidRPr="00722885" w:rsidRDefault="0026218A"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конце декабря 1942 года в план опытных работ ОКБ-172 и завода №235 тема «45-мм танковой пушки с баллистикой М-42», обеспечивающей ведение огня из Т-80. Кроме того, в январе 1943 года ОКБ-15 запустила программу проектирования «универсальной установки 45-мм пушки ОКБ-15 в танк Т-80». В этом случае речь шла об автоматической авиационной пушке НС-45, развитии темы ЗУТ-37. На этом направлении дальше заказа и эскизного проектирования данные работы не продвинулись (17712).</w:t>
      </w:r>
    </w:p>
    <w:p w14:paraId="5B8B4C7C" w14:textId="77777777" w:rsidR="0026218A" w:rsidRPr="00722885" w:rsidRDefault="0026218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DC91952" w14:textId="77777777" w:rsidR="00B11EF6" w:rsidRPr="00722885" w:rsidRDefault="00B11EF6"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В конце декабря 1942 года ОКБ-15 смогло предоставить результаты модернизации ЗУТ-37. Переделанную машину обычно и называют ЗУТ-37, хотя на самом деле она так называлась изначально, то есть еще на стадии того образца, который испытывали в сентябре-октябре 1942 года. Впрочем, на практике второй вариант ЗУТ-37 можно считать, по сути, новой разработкой, поскольку от старой конструкции мало что осталось. Для начала, сама по себе башня стала принципиально другой. Учтя опыт первой версии, башню второго варианта ЗУТ-37 сделали больше, существенно ее расширив. При этом боевая масса машины существенно снизилась - до 7900 кг. Боекомплект вырос в 4 раза - до 200 патронов. Пулемет ДТ убрали, вместо него, для самообороны, в башне уложили пистолет-пулемет ППШ. Следует также отметить, что конструкция башни получилась более удачной и с точки зрения защиты сверху.</w:t>
      </w:r>
    </w:p>
    <w:p w14:paraId="76DD25E5" w14:textId="77777777" w:rsidR="00B11EF6" w:rsidRPr="00722885" w:rsidRDefault="00B11EF6" w:rsidP="00722885">
      <w:pPr>
        <w:pStyle w:val="article-renderblock"/>
        <w:shd w:val="clear" w:color="auto" w:fill="FFFFFF"/>
        <w:spacing w:before="0" w:beforeAutospacing="0" w:after="0" w:afterAutospacing="0"/>
        <w:jc w:val="both"/>
        <w:rPr>
          <w:color w:val="0070C0"/>
          <w:sz w:val="16"/>
          <w:szCs w:val="16"/>
        </w:rPr>
      </w:pPr>
      <w:r w:rsidRPr="00722885">
        <w:rPr>
          <w:color w:val="0070C0"/>
          <w:sz w:val="16"/>
          <w:szCs w:val="16"/>
        </w:rPr>
        <w:t>Существенно переделали и саму Ш-37, и ее установку. Это позволило поднять угол возвышения до 77 градусов, а склонения - до -3 градусов. Бронировка система стала намного более удачной: противооткатные устройства прикрыли кожухом, что снизило вероятность их поражения. Для прицеливания теперь использовался коллиматорный прицел К8-Т, а для стрельбы прямой наводкой - телескопический танковый прицел ТОП. Скорость поворота башни не изменилась, но по той причине, что остался ручной привод. Поэтому для полного оборота башни требовалась 1 минута 14 секунд, а для поворота на 180 градусов - 25 секунд. Главным изменением по орудию стала переработанная система питания. Теперь использовались обоймы по 5 патронов, что явно являлось плюсом. Также была введена механическая перезарядка орудия (20346).</w:t>
      </w:r>
    </w:p>
    <w:p w14:paraId="1D03AA7E" w14:textId="77777777" w:rsidR="00B11EF6" w:rsidRPr="00722885" w:rsidRDefault="00B11EF6" w:rsidP="00722885">
      <w:pPr>
        <w:pStyle w:val="article-renderblock"/>
        <w:shd w:val="clear" w:color="auto" w:fill="FFFFFF"/>
        <w:spacing w:before="0" w:beforeAutospacing="0" w:after="0" w:afterAutospacing="0"/>
        <w:jc w:val="both"/>
        <w:rPr>
          <w:color w:val="0070C0"/>
          <w:sz w:val="16"/>
          <w:szCs w:val="16"/>
        </w:rPr>
      </w:pPr>
    </w:p>
    <w:p w14:paraId="0A020CD6" w14:textId="77777777" w:rsidR="00371351" w:rsidRPr="00722885" w:rsidRDefault="00371351"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самом конце декабря 1942 года: советские военные представители в Англии сообщили о том, что в СССР вскоре поступят 70 танков новой модификации, вооружённые 57-мм пушками. Первая партия новых английских танков прибыла с конвоем JW-53 27 февраля 1943 года. До этого времени советские военные представители в Англии смогли собрать достаточный объём информации о Valentine IX. 21 января 1943 года по запросу советской стороны в 20-й английской танковой бригаде состоялась демонстрация этих танков. По английскими данным, 57-мм танковая пушка пробивала броню толщиной 40 мм на дистанции 1829 метров и 65 мм на дистанции 914 метров. После переделки боевая масса танка выросла до 18-19 тонн.</w:t>
      </w:r>
    </w:p>
    <w:p w14:paraId="0BB334C7" w14:textId="77777777" w:rsidR="00371351" w:rsidRPr="00722885" w:rsidRDefault="00371351" w:rsidP="00722885">
      <w:pPr>
        <w:pStyle w:val="ae"/>
        <w:shd w:val="clear" w:color="auto" w:fill="FFFFFF"/>
        <w:spacing w:before="0" w:after="0"/>
        <w:jc w:val="both"/>
        <w:rPr>
          <w:color w:val="000000" w:themeColor="text1"/>
          <w:sz w:val="16"/>
          <w:szCs w:val="16"/>
        </w:rPr>
      </w:pPr>
      <w:r w:rsidRPr="00722885">
        <w:rPr>
          <w:color w:val="000000" w:themeColor="text1"/>
          <w:sz w:val="16"/>
          <w:szCs w:val="16"/>
        </w:rPr>
        <w:t>У советских специалистов возник ряд вопросов к надёжности нового танка, поскольку английские офицеры-танкисты обмолвились о необходимости менять тормоза каждые 400-600 километров. Кроме того, на заводе Vickers сообщили, что нагрузка на ходовую часть близка к предельной. Старший приёмщик К. Ольховский потребовал от английского Военного министерства отправлять с танками дополнительные запчасти. 8-9 марта Ольховский посетил завод Elswick Works. Выяснилось, что переход от производства Valentine V к производству Valentine IX проходил вообще без испытаний, так как увеличение массы было сочтено небольшим. Также обнаружилась странная ситуация с приёмкой машин. Отношения Военного министерства с Vickers складывались во многом на доверии к продукции этой компании. Ольховский узнал о том, что планируется модернизация Valentine IX, после которой танк снова получал спаренный пулемёт. Кроме того, конструкторы Vickers проговорились о разработке пехотного танка Vanguard I, неудачного сменщика Valentine.</w:t>
      </w:r>
    </w:p>
    <w:p w14:paraId="74FC7142" w14:textId="77777777" w:rsidR="00371351" w:rsidRPr="00722885" w:rsidRDefault="00371351" w:rsidP="00722885">
      <w:pPr>
        <w:pStyle w:val="ae"/>
        <w:shd w:val="clear" w:color="auto" w:fill="FFFFFF"/>
        <w:spacing w:before="0" w:after="0"/>
        <w:jc w:val="both"/>
        <w:rPr>
          <w:color w:val="000000" w:themeColor="text1"/>
          <w:sz w:val="16"/>
          <w:szCs w:val="16"/>
        </w:rPr>
      </w:pPr>
      <w:r w:rsidRPr="00722885">
        <w:rPr>
          <w:color w:val="000000" w:themeColor="text1"/>
          <w:sz w:val="16"/>
          <w:szCs w:val="16"/>
        </w:rPr>
        <w:t xml:space="preserve">Появление модификации Valentine с 6-фунтовой пушкой совсем не означало, что она немедленно сменит предыдущие версии. Одновременно с Valentine IX конвоем JW-52 в СССР прибыли Valentine III, подобная картина наблюдалась и в следующих партиях. Далее последовал долгий перерыв в поставках северными конвоями, машины шли южным путём. Наиболее массовыми здесь оказались </w:t>
      </w:r>
      <w:hyperlink r:id="rId199" w:history="1">
        <w:r w:rsidRPr="00722885">
          <w:rPr>
            <w:rStyle w:val="a5"/>
            <w:color w:val="000000" w:themeColor="text1"/>
            <w:sz w:val="16"/>
            <w:szCs w:val="16"/>
          </w:rPr>
          <w:t>канадские Valentine VIIA</w:t>
        </w:r>
      </w:hyperlink>
      <w:r w:rsidRPr="00722885">
        <w:rPr>
          <w:color w:val="000000" w:themeColor="text1"/>
          <w:sz w:val="16"/>
          <w:szCs w:val="16"/>
        </w:rPr>
        <w:t>. Эти машины шли через Иран стабильно, за 1943 год прибыло 711 таких танков. Что же касается Valentine IX, то их южным путём поступило 49 штук с конца июля по конец августа, еще 16 в сентябре и 46 в декабре 1943 года. Для сравнения, северными конвоями, даже со всеми перебоями, прибыло 324 Valentine IX, которые стали здесь самой массовой модификацией Valentine. Еще 6 танков прибыло в СССР через Владивосток.</w:t>
      </w:r>
    </w:p>
    <w:p w14:paraId="1391EF4F" w14:textId="77777777" w:rsidR="00371351" w:rsidRPr="00722885" w:rsidRDefault="00371351" w:rsidP="00722885">
      <w:pPr>
        <w:pStyle w:val="ae"/>
        <w:shd w:val="clear" w:color="auto" w:fill="FFFFFF"/>
        <w:spacing w:before="0" w:after="0"/>
        <w:jc w:val="both"/>
        <w:rPr>
          <w:color w:val="000000" w:themeColor="text1"/>
          <w:sz w:val="16"/>
          <w:szCs w:val="16"/>
        </w:rPr>
      </w:pPr>
      <w:r w:rsidRPr="00722885">
        <w:rPr>
          <w:color w:val="000000" w:themeColor="text1"/>
          <w:sz w:val="16"/>
          <w:szCs w:val="16"/>
        </w:rPr>
        <w:t xml:space="preserve">За 1944 год южным путём поступил 91 Valentine IX, большая часть этих машин являлась подержанной. В частности, 36 танков данного типа было получено от польских частей, дислоцированных в Ираке. Что же касается северных поставок, то здесь имеется довольно большое расхождение. Согласно сводкам, за декабрь 1944 года конвоями JW-55-JW-58 прибыл 221 танк, после чего поставки прекратились. С учётом 324 танков, прибывших в 1943 году, общее число доставленных северным путём Valentine IX составляет </w:t>
      </w:r>
      <w:r w:rsidRPr="00722885">
        <w:rPr>
          <w:bCs/>
          <w:color w:val="000000" w:themeColor="text1"/>
          <w:sz w:val="16"/>
          <w:szCs w:val="16"/>
        </w:rPr>
        <w:t>545</w:t>
      </w:r>
      <w:r w:rsidRPr="00722885">
        <w:rPr>
          <w:color w:val="000000" w:themeColor="text1"/>
          <w:sz w:val="16"/>
          <w:szCs w:val="16"/>
        </w:rPr>
        <w:t xml:space="preserve"> машин. Между тем, в документах от 1 июля 1945 года зафиксирован </w:t>
      </w:r>
      <w:r w:rsidRPr="00722885">
        <w:rPr>
          <w:bCs/>
          <w:color w:val="000000" w:themeColor="text1"/>
          <w:sz w:val="16"/>
          <w:szCs w:val="16"/>
        </w:rPr>
        <w:t>621</w:t>
      </w:r>
      <w:r w:rsidRPr="00722885">
        <w:rPr>
          <w:color w:val="000000" w:themeColor="text1"/>
          <w:sz w:val="16"/>
          <w:szCs w:val="16"/>
        </w:rPr>
        <w:t xml:space="preserve"> танк данного типа, пришедший через северные порты.</w:t>
      </w:r>
    </w:p>
    <w:p w14:paraId="609666C4" w14:textId="77777777" w:rsidR="00371351" w:rsidRPr="00722885" w:rsidRDefault="00371351" w:rsidP="00722885">
      <w:pPr>
        <w:pStyle w:val="ae"/>
        <w:shd w:val="clear" w:color="auto" w:fill="FFFFFF"/>
        <w:spacing w:before="0" w:after="0"/>
        <w:jc w:val="both"/>
        <w:rPr>
          <w:color w:val="000000" w:themeColor="text1"/>
          <w:sz w:val="16"/>
          <w:szCs w:val="16"/>
        </w:rPr>
      </w:pPr>
      <w:r w:rsidRPr="00722885">
        <w:rPr>
          <w:color w:val="000000" w:themeColor="text1"/>
          <w:sz w:val="16"/>
          <w:szCs w:val="16"/>
        </w:rPr>
        <w:t xml:space="preserve">Возможно, расхождение произошло из-за того, что довольно много танков поступило в СССР в конце декабря 1943 года, из-за чего в документах и образовался «перебор» на 76 танков. Ошибочность числа 621 подтверждают и данные из английских источников. Согласно им, в СССР было отправлено 836 танков данного типа, а добралось до адресата </w:t>
      </w:r>
      <w:r w:rsidRPr="00722885">
        <w:rPr>
          <w:bCs/>
          <w:color w:val="000000" w:themeColor="text1"/>
          <w:sz w:val="16"/>
          <w:szCs w:val="16"/>
        </w:rPr>
        <w:t>818</w:t>
      </w:r>
      <w:r w:rsidRPr="00722885">
        <w:rPr>
          <w:color w:val="000000" w:themeColor="text1"/>
          <w:sz w:val="16"/>
          <w:szCs w:val="16"/>
        </w:rPr>
        <w:t xml:space="preserve">. Но если считать, что северным путём в СССР был доставлен 621 танк, общее число полученных Советским Союзом Valentine IX составит </w:t>
      </w:r>
      <w:r w:rsidRPr="00722885">
        <w:rPr>
          <w:bCs/>
          <w:color w:val="000000" w:themeColor="text1"/>
          <w:sz w:val="16"/>
          <w:szCs w:val="16"/>
        </w:rPr>
        <w:t>863</w:t>
      </w:r>
      <w:r w:rsidRPr="00722885">
        <w:rPr>
          <w:color w:val="000000" w:themeColor="text1"/>
          <w:sz w:val="16"/>
          <w:szCs w:val="16"/>
        </w:rPr>
        <w:t xml:space="preserve"> танка (621+236 южным путём + 6 через Владивосток). Сложно поверить, что за время пути из Великобритании в СССР количество танков могло вырасти, превысив английские данные по поставкам. Гораздо более правдоподобным выглядит число в </w:t>
      </w:r>
      <w:r w:rsidRPr="00722885">
        <w:rPr>
          <w:bCs/>
          <w:color w:val="000000" w:themeColor="text1"/>
          <w:sz w:val="16"/>
          <w:szCs w:val="16"/>
        </w:rPr>
        <w:t>787</w:t>
      </w:r>
      <w:r w:rsidRPr="00722885">
        <w:rPr>
          <w:color w:val="000000" w:themeColor="text1"/>
          <w:sz w:val="16"/>
          <w:szCs w:val="16"/>
        </w:rPr>
        <w:t xml:space="preserve"> дошедших до СССР танков (545 через северные порты + 236 южным путём + 6 через Владивосток).</w:t>
      </w:r>
    </w:p>
    <w:p w14:paraId="04F14878" w14:textId="77777777" w:rsidR="00371351" w:rsidRPr="00722885" w:rsidRDefault="00371351" w:rsidP="00722885">
      <w:pPr>
        <w:pStyle w:val="ae"/>
        <w:shd w:val="clear" w:color="auto" w:fill="FFFFFF"/>
        <w:spacing w:before="0" w:after="0"/>
        <w:jc w:val="both"/>
        <w:rPr>
          <w:color w:val="000000" w:themeColor="text1"/>
          <w:sz w:val="16"/>
          <w:szCs w:val="16"/>
        </w:rPr>
      </w:pPr>
      <w:r w:rsidRPr="00722885">
        <w:rPr>
          <w:color w:val="000000" w:themeColor="text1"/>
          <w:sz w:val="16"/>
          <w:szCs w:val="16"/>
        </w:rPr>
        <w:t>Отдельно стоит упомянуть Valentine X, последнюю модификацию танка, которая поступала в Советский Союз. Самые первые машины данного типа прибыли с конвоем JW-56A в самом конце января 1944 года, зачли их уже февралём. Судя по актам, основу составили танки, построенные Elswick Works. Всего конвоями JW-56-JW-58 прибыло 64 танка данного типа. Это почти согласуется с английскими данными, согласно которым в СССР было отправлено 74 танка, прибыло 66. Число кажется небольшим, но только если не знать общего объёма выпуска. Англичане отправили в СССР больше половины всех Valentine X, которых построили всего 135 штук. В определённом смысле этому танку не повезло: он практически не попадал в объектив фотоаппарата (17709).</w:t>
      </w:r>
    </w:p>
    <w:p w14:paraId="3775E036" w14:textId="77777777" w:rsidR="00371351" w:rsidRPr="00722885" w:rsidRDefault="00371351" w:rsidP="00722885">
      <w:pPr>
        <w:spacing w:after="0" w:line="240" w:lineRule="auto"/>
        <w:jc w:val="both"/>
        <w:rPr>
          <w:rFonts w:ascii="Times New Roman" w:hAnsi="Times New Roman"/>
          <w:color w:val="000000" w:themeColor="text1"/>
          <w:sz w:val="16"/>
          <w:szCs w:val="16"/>
        </w:rPr>
      </w:pPr>
    </w:p>
    <w:p w14:paraId="40274F6F" w14:textId="77777777" w:rsidR="00F94D1F" w:rsidRPr="00722885" w:rsidRDefault="00F94D1F" w:rsidP="00722885">
      <w:pPr>
        <w:pStyle w:val="ae"/>
        <w:spacing w:before="0" w:after="0"/>
        <w:jc w:val="both"/>
        <w:textAlignment w:val="baseline"/>
        <w:rPr>
          <w:color w:val="000000" w:themeColor="text1"/>
          <w:sz w:val="16"/>
          <w:szCs w:val="16"/>
        </w:rPr>
      </w:pPr>
      <w:r w:rsidRPr="00722885">
        <w:rPr>
          <w:color w:val="000000" w:themeColor="text1"/>
          <w:sz w:val="16"/>
          <w:szCs w:val="16"/>
        </w:rPr>
        <w:t>В конце декабря 1942 года 92-я танковая бригада стала первой, в которую поступило 16 М4А2, но из-за технических проблем их оттуда сразу изъяли. По состоянию на 20 марта 1943 года в 5-й ТБр было 40 танков данного типа, из них 35 исправных, 5 в ремонте, ещё 4 танка находилось на рембазе № 97. В результате первой боевой частью, которая получила М4А2 из северных конвоев, стал 29-й танковый полк. 31 танк он получил к 10 апреля 1943 года, позже это число выросло до 39 танков. На Северном Кавказе первые танки попали в боевые части практически сразу. 4 января 1943 года 9 машин данного типа попало в 563-й отдельный танковый батальон, 12 числа 2 танка ушло в 5-ю ГвТБр, куда вскоре передали машины из 563-го ОТБ. В итоге 5-я ГвТБр стала первой частью, которая реально применила М4А2 (19038).</w:t>
      </w:r>
    </w:p>
    <w:p w14:paraId="3F1F2AAB" w14:textId="77777777" w:rsidR="00F94D1F" w:rsidRPr="00722885" w:rsidRDefault="00F94D1F" w:rsidP="00722885">
      <w:pPr>
        <w:pStyle w:val="ae"/>
        <w:spacing w:before="0" w:after="0"/>
        <w:jc w:val="both"/>
        <w:textAlignment w:val="baseline"/>
        <w:rPr>
          <w:color w:val="000000" w:themeColor="text1"/>
          <w:sz w:val="16"/>
          <w:szCs w:val="16"/>
        </w:rPr>
      </w:pPr>
    </w:p>
    <w:p w14:paraId="29B4B7B1" w14:textId="77777777" w:rsidR="00371351" w:rsidRPr="00722885" w:rsidRDefault="0037135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 концу декабря 1942 года в Кирове построили первые 25 машин Су-12. Как только закончился выпуск Т-70Б декабрьского плана, его место заняла новая самоходная установка. Внешне они практически ничем не отличались от опытного образца. Разница заключалась в отсутствии боковых перископических приборов и некоторых других доработках. Что же касается зенитной самоходки СУ-11, её судьба оказалась печальной. Более высокий приоритет СУ-12 привел к тому, что о ЗСУ, которая требовалась войскам, забыли – в производственных планах её просто не было (17699).</w:t>
      </w:r>
    </w:p>
    <w:p w14:paraId="14F7C56A" w14:textId="77777777" w:rsidR="00371351" w:rsidRPr="00722885" w:rsidRDefault="00371351" w:rsidP="00722885">
      <w:pPr>
        <w:spacing w:after="0" w:line="240" w:lineRule="auto"/>
        <w:jc w:val="both"/>
        <w:rPr>
          <w:rFonts w:ascii="Times New Roman" w:hAnsi="Times New Roman"/>
          <w:color w:val="000000" w:themeColor="text1"/>
          <w:sz w:val="16"/>
          <w:szCs w:val="16"/>
        </w:rPr>
      </w:pPr>
    </w:p>
    <w:p w14:paraId="005D2B42"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1513BDA" w14:textId="77777777" w:rsidR="00BB6316" w:rsidRPr="00722885" w:rsidRDefault="00BB6316" w:rsidP="00722885">
      <w:pPr>
        <w:pStyle w:val="Iauiue"/>
        <w:jc w:val="both"/>
        <w:rPr>
          <w:iCs/>
          <w:color w:val="000000" w:themeColor="text1"/>
          <w:sz w:val="16"/>
          <w:szCs w:val="16"/>
        </w:rPr>
      </w:pPr>
    </w:p>
    <w:p w14:paraId="7471C8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декабря 1942 г. 20 И-15бис (из них 9 в ремонте) входили в состав 62-го иап ВВС ЧФ. В начале 1943 г. "бисы" вместе с И-16 используются для прикрытия советских судов на переходах, для разведки, штурмовки вражеских войск, поддержки морских десантов. 5 февраля 7 И-15бис сбросили 14 яшиков с боеприпасами новороссийскому десанту. 6 февраля грузы десанту сбрасывали 4 И-15бис. 8 февраля 3 И-15бис летали на снабжение крымских партизан (12014).</w:t>
      </w:r>
    </w:p>
    <w:p w14:paraId="4C25C87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087A9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декабря 1942 г. 20 И-15бис (из них девять - неисправных) входили в со</w:t>
      </w:r>
      <w:r w:rsidRPr="00722885">
        <w:rPr>
          <w:rFonts w:ascii="Times New Roman" w:hAnsi="Times New Roman"/>
          <w:color w:val="000000" w:themeColor="text1"/>
          <w:sz w:val="16"/>
          <w:szCs w:val="16"/>
        </w:rPr>
        <w:softHyphen/>
        <w:t>став 62-го иап. В начале 1943 г. эти маши</w:t>
      </w:r>
      <w:r w:rsidRPr="00722885">
        <w:rPr>
          <w:rFonts w:ascii="Times New Roman" w:hAnsi="Times New Roman"/>
          <w:color w:val="000000" w:themeColor="text1"/>
          <w:sz w:val="16"/>
          <w:szCs w:val="16"/>
        </w:rPr>
        <w:softHyphen/>
        <w:t>ны вместе с И-16 служили для прикрытия судов в море, проведения разведки, штур</w:t>
      </w:r>
      <w:r w:rsidRPr="00722885">
        <w:rPr>
          <w:rFonts w:ascii="Times New Roman" w:hAnsi="Times New Roman"/>
          <w:color w:val="000000" w:themeColor="text1"/>
          <w:sz w:val="16"/>
          <w:szCs w:val="16"/>
        </w:rPr>
        <w:softHyphen/>
        <w:t>мовки вражеских войск, поддержки мор</w:t>
      </w:r>
      <w:r w:rsidRPr="00722885">
        <w:rPr>
          <w:rFonts w:ascii="Times New Roman" w:hAnsi="Times New Roman"/>
          <w:color w:val="000000" w:themeColor="text1"/>
          <w:sz w:val="16"/>
          <w:szCs w:val="16"/>
        </w:rPr>
        <w:softHyphen/>
        <w:t>ских десантов. 5 февраля семь И-15бис сбросили 14 ящиков с боеприпасами де</w:t>
      </w:r>
      <w:r w:rsidRPr="00722885">
        <w:rPr>
          <w:rFonts w:ascii="Times New Roman" w:hAnsi="Times New Roman"/>
          <w:color w:val="000000" w:themeColor="text1"/>
          <w:sz w:val="16"/>
          <w:szCs w:val="16"/>
        </w:rPr>
        <w:softHyphen/>
        <w:t>санту под Новороссийском. 6 февраля ту</w:t>
      </w:r>
      <w:r w:rsidRPr="00722885">
        <w:rPr>
          <w:rFonts w:ascii="Times New Roman" w:hAnsi="Times New Roman"/>
          <w:color w:val="000000" w:themeColor="text1"/>
          <w:sz w:val="16"/>
          <w:szCs w:val="16"/>
        </w:rPr>
        <w:softHyphen/>
        <w:t>да же с грузом летали четыре «биса». Два дня спустя три И-15бис совершили вылет на снабжение крымских партизан (12294).</w:t>
      </w:r>
    </w:p>
    <w:p w14:paraId="4F858A7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11E0D0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декабря 1942 г. начали формироваться первые два самоходно-артиллерийских полка (1433-й и 1434-й) для действия на Волховском фронте. В них имелось по две четырехорудийные батареи СУ-122, помимо которых полки имели также 17 шт. СУ-76, два легких танка (или бронемашины), грузовые, легковые автомобили и два трактора (4017).</w:t>
      </w:r>
    </w:p>
    <w:p w14:paraId="08E609C1" w14:textId="77777777" w:rsidR="00BB6316" w:rsidRPr="00722885" w:rsidRDefault="00BB6316" w:rsidP="00722885">
      <w:pPr>
        <w:pStyle w:val="Iauiue"/>
        <w:jc w:val="both"/>
        <w:rPr>
          <w:color w:val="000000" w:themeColor="text1"/>
          <w:sz w:val="16"/>
          <w:szCs w:val="16"/>
        </w:rPr>
      </w:pPr>
    </w:p>
    <w:p w14:paraId="7C10E689"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2F69032B" w14:textId="77777777" w:rsidR="00BB6316" w:rsidRPr="00722885" w:rsidRDefault="00BB6316" w:rsidP="00722885">
      <w:pPr>
        <w:pStyle w:val="Iauiue"/>
        <w:jc w:val="both"/>
        <w:rPr>
          <w:iCs/>
          <w:color w:val="000000" w:themeColor="text1"/>
          <w:sz w:val="16"/>
          <w:szCs w:val="16"/>
        </w:rPr>
      </w:pPr>
    </w:p>
    <w:p w14:paraId="3134DBBD" w14:textId="77777777" w:rsidR="00B11EF6" w:rsidRPr="00722885" w:rsidRDefault="00B11EF6"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Конец декабря 1942 Boeing B-17 Flying Fortress ВВС США проводят еженедельную серию ночных ударов по японским судам в гавани Симпсон в Рабауле на Новой Британии, в результате чего один транспорт потоплен и повреждены три транспорта и эсминец Tachikaze (20793).</w:t>
      </w:r>
    </w:p>
    <w:p w14:paraId="53DE9E80" w14:textId="77777777" w:rsidR="00B11EF6" w:rsidRPr="00722885" w:rsidRDefault="00B11EF6" w:rsidP="00722885">
      <w:pPr>
        <w:spacing w:after="0" w:line="240" w:lineRule="auto"/>
        <w:jc w:val="both"/>
        <w:rPr>
          <w:rFonts w:ascii="Times New Roman" w:hAnsi="Times New Roman"/>
          <w:color w:val="0070C0"/>
          <w:sz w:val="16"/>
          <w:szCs w:val="16"/>
        </w:rPr>
      </w:pPr>
    </w:p>
    <w:p w14:paraId="6AAB439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декабря 1942 на Мальте ограниченному кругу лиц были представлены три п/л: Тандерболт, Трупер и Р.311, оснащенных контейнерами для управляемых торпед (3961, 63).</w:t>
      </w:r>
    </w:p>
    <w:p w14:paraId="474CCFD2" w14:textId="77777777" w:rsidR="00BB6316" w:rsidRPr="00722885" w:rsidRDefault="00BB6316" w:rsidP="00722885">
      <w:pPr>
        <w:pStyle w:val="Iauiue"/>
        <w:jc w:val="both"/>
        <w:rPr>
          <w:color w:val="000000" w:themeColor="text1"/>
          <w:sz w:val="16"/>
          <w:szCs w:val="16"/>
        </w:rPr>
      </w:pPr>
    </w:p>
    <w:p w14:paraId="68CD8E91"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0E3445E" w14:textId="77777777" w:rsidR="00BB6316" w:rsidRPr="00722885" w:rsidRDefault="00BB6316" w:rsidP="00722885">
      <w:pPr>
        <w:pStyle w:val="Iauiue"/>
        <w:jc w:val="both"/>
        <w:rPr>
          <w:iCs/>
          <w:color w:val="000000" w:themeColor="text1"/>
          <w:sz w:val="16"/>
          <w:szCs w:val="16"/>
        </w:rPr>
      </w:pPr>
    </w:p>
    <w:p w14:paraId="19C28F0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Со второй половины декабря 1942 на 153 заводе начиная с 35 серии изменили технологию лакокрасочных покрытий фанерной обшивки крыльев на Як-7 и потом это перешло на Як-9 и привело к растрескиванию и отслваиванию полотна. Только с 15 мая 1943 с 45 серии стали делать как надо (2519,269).</w:t>
      </w:r>
    </w:p>
    <w:p w14:paraId="57F516CB" w14:textId="77777777" w:rsidR="00BB6316" w:rsidRPr="00722885" w:rsidRDefault="00BB6316" w:rsidP="00722885">
      <w:pPr>
        <w:pStyle w:val="Iauiue"/>
        <w:jc w:val="both"/>
        <w:rPr>
          <w:color w:val="000000" w:themeColor="text1"/>
          <w:sz w:val="16"/>
          <w:szCs w:val="16"/>
        </w:rPr>
      </w:pPr>
    </w:p>
    <w:p w14:paraId="70784621" w14:textId="77777777" w:rsidR="00F94D1F" w:rsidRPr="00722885" w:rsidRDefault="00F94D1F"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1275EC4" w14:textId="77777777" w:rsidR="00F94D1F" w:rsidRPr="00722885" w:rsidRDefault="00F94D1F" w:rsidP="00722885">
      <w:pPr>
        <w:pStyle w:val="Iauiue"/>
        <w:jc w:val="both"/>
        <w:rPr>
          <w:iCs/>
          <w:color w:val="000000" w:themeColor="text1"/>
          <w:sz w:val="16"/>
          <w:szCs w:val="16"/>
        </w:rPr>
      </w:pPr>
    </w:p>
    <w:p w14:paraId="6E6B6BED" w14:textId="77777777" w:rsidR="00F94D1F" w:rsidRPr="00722885" w:rsidRDefault="00F94D1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второй половина декабря 1942 после сборки машина Т-43 прошла заводские испытания, к 1 января 1943 года преодолев 247 км. Заводские испытания проходили до 25 февраля 1943 года, за это время танк прошёл 1359 км. Всего было проведено 18 пробегов, которые проходили по шоссе и грунтовым дорогам, покрытых снегом. Далее танк прошёл ещё 1667 км, таким образом, общий пробег составил 3026 км. Как показали испытания, средняя скорость чистого движения не превышала 30,7 км/ч (в наиболее благоприятных условиях Т-34 развил 34,5 км/ч). Объяснялось это ростом боевой массы. Что же касается максимальной скорости, то она для Т-43 составила 49,05 км/ч, а для Т-34 с такой же пятискоростной КПП — 50 км/ч. Рост массы сказался и на возможностях по преодолению различных препятствий. В целом разница оказалась небольшой — около 5% от Т-34 с пятискоростной коробкой передач. Запас хода оказался ниже, чем у Т-34, на 60 км. Зато лучше оказался температурный режим системы охлаждения — это было связано с изменениями системы охлаждения и иной конструкцией воздухозаборников.</w:t>
      </w:r>
    </w:p>
    <w:p w14:paraId="2A18646D" w14:textId="77777777" w:rsidR="00F94D1F" w:rsidRPr="00722885" w:rsidRDefault="00F94D1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Отдельным пунктом стало исследование условий работы экипажа. В случае с командиром выяснилось, что человек среднего роста, одетый в полушубок, на его месте вполне помещается. Забираться можно было как через люк в командирской башенке, так и через люк заряжающего. Также указывалось, что при езде утомляемости командира не наблюдается. Не было никаких нареканий ни к работе наводчика, ни к месту заряжающего. Хуже дела обстояли с механиком-водителем: забираться он мог только из башни, удобнее всего это было делать с правой стороны, но сначала требовалось, чтобы вышел заряжающий. Имелся ряд нареканий к рабочему месту, например, отсутствие регулировки сиденья по высоте и неудобство работы с некоторыми рычагами управления.</w:t>
      </w:r>
    </w:p>
    <w:p w14:paraId="04D170DC" w14:textId="77777777" w:rsidR="00F94D1F" w:rsidRPr="00722885" w:rsidRDefault="00F94D1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часто бывает с опытными танками, Т-43 имел ряд дефектов, выявившихся при испытаниях. Вместе с тем надёжность машины оказалась куда выше, чем у опытного образца КВ-13, а также последующих опытных образцов (</w:t>
      </w:r>
      <w:hyperlink r:id="rId200" w:history="1">
        <w:r w:rsidRPr="00722885">
          <w:rPr>
            <w:rStyle w:val="a5"/>
            <w:rFonts w:ascii="Times New Roman" w:hAnsi="Times New Roman"/>
            <w:color w:val="000000" w:themeColor="text1"/>
            <w:sz w:val="16"/>
            <w:szCs w:val="16"/>
          </w:rPr>
          <w:t>ИС-1</w:t>
        </w:r>
      </w:hyperlink>
      <w:r w:rsidRPr="00722885">
        <w:rPr>
          <w:rFonts w:ascii="Times New Roman" w:hAnsi="Times New Roman"/>
          <w:color w:val="000000" w:themeColor="text1"/>
          <w:sz w:val="16"/>
          <w:szCs w:val="16"/>
        </w:rPr>
        <w:t> и </w:t>
      </w:r>
      <w:hyperlink r:id="rId201" w:history="1">
        <w:r w:rsidRPr="00722885">
          <w:rPr>
            <w:rStyle w:val="a5"/>
            <w:rFonts w:ascii="Times New Roman" w:hAnsi="Times New Roman"/>
            <w:color w:val="000000" w:themeColor="text1"/>
            <w:sz w:val="16"/>
            <w:szCs w:val="16"/>
          </w:rPr>
          <w:t>ИС-2</w:t>
        </w:r>
      </w:hyperlink>
      <w:r w:rsidRPr="00722885">
        <w:rPr>
          <w:rFonts w:ascii="Times New Roman" w:hAnsi="Times New Roman"/>
          <w:color w:val="000000" w:themeColor="text1"/>
          <w:sz w:val="16"/>
          <w:szCs w:val="16"/>
        </w:rPr>
        <w:t>). По этой причине список дефектов, которые требовалось устранить, составил 10 пунктов, причём радикальных переделок в них не значилось. Например, отслоение бандажей опорных катков стало головной болью не только на Т-43, но и на Т-34, а также САУ на его базе (это было связано с ростом боевой массы). Вместе с тем надо уточнять, что речь идёт о выводах, сделанных представителями завода №183. Кроме того, первые два пункта в выводах по итогам испытаний выглядят крайне любопытно:</w:t>
      </w:r>
    </w:p>
    <w:p w14:paraId="71E3516E" w14:textId="77777777" w:rsidR="00F94D1F" w:rsidRPr="00722885" w:rsidRDefault="00F94D1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 тактико-технической характеристике танк Т-43 может быть отнесён к типу тяжёлых быстроходных танков.</w:t>
      </w:r>
    </w:p>
    <w:p w14:paraId="38B7DAED" w14:textId="77777777" w:rsidR="00F94D1F" w:rsidRPr="00722885" w:rsidRDefault="00F94D1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При увеличении в весе, в сравнении с Т-34, всего на 1,7 тонны, броневая защита танка Т-43, по большинству параметров, превосходит даже тяжёлый танк КВ. При этом манёвренность и динамические качества танка Т-43 сохранились практически такими же, как у танка Т-34».</w:t>
      </w:r>
    </w:p>
    <w:p w14:paraId="00569A95" w14:textId="77777777" w:rsidR="00F94D1F" w:rsidRPr="00722885" w:rsidRDefault="00F94D1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Николай Федорович Шашмурин, один из создателей танков ИС-1 (ИС-85) и ИС-2 (ИС-122), в своих мемуарах обвинял </w:t>
      </w:r>
      <w:hyperlink r:id="rId202" w:history="1">
        <w:r w:rsidRPr="00722885">
          <w:rPr>
            <w:rStyle w:val="a5"/>
            <w:rFonts w:ascii="Times New Roman" w:hAnsi="Times New Roman"/>
            <w:color w:val="000000" w:themeColor="text1"/>
            <w:sz w:val="16"/>
            <w:szCs w:val="16"/>
          </w:rPr>
          <w:t>Котина</w:t>
        </w:r>
      </w:hyperlink>
      <w:r w:rsidRPr="00722885">
        <w:rPr>
          <w:rFonts w:ascii="Times New Roman" w:hAnsi="Times New Roman"/>
          <w:color w:val="000000" w:themeColor="text1"/>
          <w:sz w:val="16"/>
          <w:szCs w:val="16"/>
        </w:rPr>
        <w:t> в том, что тот создал конкурента Т-34 в виде КВ-13. На самом деле это не так, но, опять же, если мы имеем в виду «классический» Т-34. В случае с Т-34М разработки 1942 года, а также Т-43 данное утверждение выглядит совсем иначе. То, что Морозов относит Т-43 к «тяжёлым быстроходным танкам», наглядно говорит о том, в какой сегмент он метил. Другое дело, что ещё осенью 1942 года требования к тяжёлым танкам ужесточились, поэтому тот же ИС-1 (он же КВ-13 по второму варианту) имел боевую массу, постепенно приближавшуюся к 40 т (18420).</w:t>
      </w:r>
    </w:p>
    <w:p w14:paraId="1574E97F" w14:textId="77777777" w:rsidR="00F94D1F" w:rsidRPr="00722885" w:rsidRDefault="00F94D1F" w:rsidP="00722885">
      <w:pPr>
        <w:spacing w:after="0" w:line="240" w:lineRule="auto"/>
        <w:jc w:val="both"/>
        <w:rPr>
          <w:rFonts w:ascii="Times New Roman" w:hAnsi="Times New Roman"/>
          <w:color w:val="000000" w:themeColor="text1"/>
          <w:sz w:val="16"/>
          <w:szCs w:val="16"/>
        </w:rPr>
      </w:pPr>
    </w:p>
    <w:p w14:paraId="412E7CCA"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F761673" w14:textId="77777777" w:rsidR="00BB6316" w:rsidRPr="00722885" w:rsidRDefault="00BB6316" w:rsidP="00722885">
      <w:pPr>
        <w:pStyle w:val="Iauiue"/>
        <w:jc w:val="both"/>
        <w:rPr>
          <w:iCs/>
          <w:color w:val="000000" w:themeColor="text1"/>
          <w:sz w:val="16"/>
          <w:szCs w:val="16"/>
        </w:rPr>
      </w:pPr>
    </w:p>
    <w:p w14:paraId="6048074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Во второй половине декабря 1942 в отдельной авиаэскадрильи Нормандия начались полеты на истребителях-спарках Як-7В, параллельно техниче</w:t>
      </w:r>
      <w:r w:rsidRPr="00722885">
        <w:rPr>
          <w:color w:val="000000" w:themeColor="text1"/>
          <w:sz w:val="16"/>
          <w:szCs w:val="16"/>
        </w:rPr>
        <w:softHyphen/>
        <w:t>ский состав осваивал техническую экс</w:t>
      </w:r>
      <w:r w:rsidRPr="00722885">
        <w:rPr>
          <w:color w:val="000000" w:themeColor="text1"/>
          <w:sz w:val="16"/>
          <w:szCs w:val="16"/>
        </w:rPr>
        <w:softHyphen/>
        <w:t>плуатацию “Яков” и принимал боевые самолеты (3956).</w:t>
      </w:r>
    </w:p>
    <w:p w14:paraId="464B1B69" w14:textId="77777777" w:rsidR="00BB6316" w:rsidRPr="00722885" w:rsidRDefault="00BB6316" w:rsidP="00722885">
      <w:pPr>
        <w:pStyle w:val="Iauiue"/>
        <w:jc w:val="both"/>
        <w:rPr>
          <w:color w:val="000000" w:themeColor="text1"/>
          <w:sz w:val="16"/>
          <w:szCs w:val="16"/>
        </w:rPr>
      </w:pPr>
    </w:p>
    <w:p w14:paraId="4A6759F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второй половине декаб</w:t>
      </w:r>
      <w:r w:rsidRPr="00722885">
        <w:rPr>
          <w:rFonts w:ascii="Times New Roman" w:hAnsi="Times New Roman"/>
          <w:color w:val="000000" w:themeColor="text1"/>
          <w:sz w:val="16"/>
          <w:szCs w:val="16"/>
        </w:rPr>
        <w:softHyphen/>
        <w:t>ря 1942 г. первые истребительные подразделения, вооружен</w:t>
      </w:r>
      <w:r w:rsidRPr="00722885">
        <w:rPr>
          <w:rFonts w:ascii="Times New Roman" w:hAnsi="Times New Roman"/>
          <w:color w:val="000000" w:themeColor="text1"/>
          <w:sz w:val="16"/>
          <w:szCs w:val="16"/>
        </w:rPr>
        <w:softHyphen/>
        <w:t>ные Як-9, попали на Сталин</w:t>
      </w:r>
      <w:r w:rsidRPr="00722885">
        <w:rPr>
          <w:rFonts w:ascii="Times New Roman" w:hAnsi="Times New Roman"/>
          <w:color w:val="000000" w:themeColor="text1"/>
          <w:sz w:val="16"/>
          <w:szCs w:val="16"/>
        </w:rPr>
        <w:softHyphen/>
        <w:t>градский фронт и участвовали в контрнаступле</w:t>
      </w:r>
      <w:r w:rsidRPr="00722885">
        <w:rPr>
          <w:rFonts w:ascii="Times New Roman" w:hAnsi="Times New Roman"/>
          <w:color w:val="000000" w:themeColor="text1"/>
          <w:sz w:val="16"/>
          <w:szCs w:val="16"/>
        </w:rPr>
        <w:softHyphen/>
        <w:t>нии советских войск. Строевые летчики высоко оценили этот самолет. Як-9 показал себя очень маневренным как в горизон</w:t>
      </w:r>
      <w:r w:rsidRPr="00722885">
        <w:rPr>
          <w:rFonts w:ascii="Times New Roman" w:hAnsi="Times New Roman"/>
          <w:color w:val="000000" w:themeColor="text1"/>
          <w:sz w:val="16"/>
          <w:szCs w:val="16"/>
        </w:rPr>
        <w:softHyphen/>
        <w:t>тальной, так и в вертикальной плоскости, легким и приятным в управлении. По мак</w:t>
      </w:r>
      <w:r w:rsidRPr="00722885">
        <w:rPr>
          <w:rFonts w:ascii="Times New Roman" w:hAnsi="Times New Roman"/>
          <w:color w:val="000000" w:themeColor="text1"/>
          <w:sz w:val="16"/>
          <w:szCs w:val="16"/>
        </w:rPr>
        <w:softHyphen/>
        <w:t>симальной скорости горизонтального по</w:t>
      </w:r>
      <w:r w:rsidRPr="00722885">
        <w:rPr>
          <w:rFonts w:ascii="Times New Roman" w:hAnsi="Times New Roman"/>
          <w:color w:val="000000" w:themeColor="text1"/>
          <w:sz w:val="16"/>
          <w:szCs w:val="16"/>
        </w:rPr>
        <w:softHyphen/>
        <w:t>лета на малых и средних высотах он имел превосходство перед ФВ 190А4 и Bf 109Р, совсем немного уступая самой скоростной до середины 1944 г. модификации немец</w:t>
      </w:r>
      <w:r w:rsidRPr="00722885">
        <w:rPr>
          <w:rFonts w:ascii="Times New Roman" w:hAnsi="Times New Roman"/>
          <w:color w:val="000000" w:themeColor="text1"/>
          <w:sz w:val="16"/>
          <w:szCs w:val="16"/>
        </w:rPr>
        <w:softHyphen/>
        <w:t>кого истребителя — Bf 109С-2 (в так назы</w:t>
      </w:r>
      <w:r w:rsidRPr="00722885">
        <w:rPr>
          <w:rFonts w:ascii="Times New Roman" w:hAnsi="Times New Roman"/>
          <w:color w:val="000000" w:themeColor="text1"/>
          <w:sz w:val="16"/>
          <w:szCs w:val="16"/>
        </w:rPr>
        <w:softHyphen/>
        <w:t>ваемом трехточечном варианте, т.е. без подкрыльевых пушек), превосходя его в ма</w:t>
      </w:r>
      <w:r w:rsidRPr="00722885">
        <w:rPr>
          <w:rFonts w:ascii="Times New Roman" w:hAnsi="Times New Roman"/>
          <w:color w:val="000000" w:themeColor="text1"/>
          <w:sz w:val="16"/>
          <w:szCs w:val="16"/>
        </w:rPr>
        <w:softHyphen/>
        <w:t>невренности. Воздушные бои между Як-9 и Bf 109Р (в т.ч. учебные с трофейными маши</w:t>
      </w:r>
      <w:r w:rsidRPr="00722885">
        <w:rPr>
          <w:rFonts w:ascii="Times New Roman" w:hAnsi="Times New Roman"/>
          <w:color w:val="000000" w:themeColor="text1"/>
          <w:sz w:val="16"/>
          <w:szCs w:val="16"/>
        </w:rPr>
        <w:softHyphen/>
        <w:t>нами) показали превосходство советского самолета: «Як» заходил в хвост «мессеру» после первого же боевого разворота, а на горизонталях — после 3-4 виражей (10712).</w:t>
      </w:r>
    </w:p>
    <w:p w14:paraId="79F35C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82614CF"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7F906DE" w14:textId="77777777" w:rsidR="00BB6316" w:rsidRPr="00722885" w:rsidRDefault="00BB6316" w:rsidP="00722885">
      <w:pPr>
        <w:pStyle w:val="Iauiue"/>
        <w:jc w:val="both"/>
        <w:rPr>
          <w:iCs/>
          <w:color w:val="000000" w:themeColor="text1"/>
          <w:sz w:val="16"/>
          <w:szCs w:val="16"/>
        </w:rPr>
      </w:pPr>
    </w:p>
    <w:p w14:paraId="1292EE8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проходил контрольные гос. испытания в НИИ ВВС двухместный Ил-2 N 1140 с АМ-38 30 завода. Полетный вес 6050 кг, скорость у земли 390, на границе высотности - 417 км/час (1867,8).</w:t>
      </w:r>
    </w:p>
    <w:p w14:paraId="29D69D1F" w14:textId="77777777" w:rsidR="00BB6316" w:rsidRPr="00722885" w:rsidRDefault="00BB6316" w:rsidP="00722885">
      <w:pPr>
        <w:pStyle w:val="Iauiue"/>
        <w:jc w:val="both"/>
        <w:rPr>
          <w:color w:val="000000" w:themeColor="text1"/>
          <w:sz w:val="16"/>
          <w:szCs w:val="16"/>
        </w:rPr>
      </w:pPr>
    </w:p>
    <w:p w14:paraId="34941BD4" w14:textId="77777777" w:rsidR="00256175" w:rsidRPr="00722885" w:rsidRDefault="00256175"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К концу 1942 г. заводы выпустили 642 двухместных само</w:t>
      </w:r>
      <w:r w:rsidRPr="00722885">
        <w:rPr>
          <w:rFonts w:ascii="Times New Roman" w:hAnsi="Times New Roman" w:cs="Times New Roman"/>
          <w:color w:val="0070C0"/>
          <w:w w:val="100"/>
          <w:sz w:val="16"/>
          <w:szCs w:val="16"/>
        </w:rPr>
        <w:softHyphen/>
        <w:t>летов Ил-2, а в следующем году (до момента полного перехода в серии на Ил-2 с воздуш</w:t>
      </w:r>
      <w:r w:rsidRPr="00722885">
        <w:rPr>
          <w:rFonts w:ascii="Times New Roman" w:hAnsi="Times New Roman" w:cs="Times New Roman"/>
          <w:color w:val="0070C0"/>
          <w:w w:val="100"/>
          <w:sz w:val="16"/>
          <w:szCs w:val="16"/>
        </w:rPr>
        <w:softHyphen/>
        <w:t>ным стрелком) - 346 одноместных машин</w:t>
      </w:r>
      <w:r w:rsidRPr="00722885">
        <w:rPr>
          <w:rFonts w:ascii="Times New Roman" w:hAnsi="Times New Roman" w:cs="Times New Roman"/>
          <w:color w:val="0070C0"/>
          <w:w w:val="100"/>
          <w:sz w:val="16"/>
          <w:szCs w:val="16"/>
          <w:lang w:val="ru-RU"/>
        </w:rPr>
        <w:t xml:space="preserve"> (19878)</w:t>
      </w:r>
      <w:r w:rsidRPr="00722885">
        <w:rPr>
          <w:rFonts w:ascii="Times New Roman" w:hAnsi="Times New Roman" w:cs="Times New Roman"/>
          <w:color w:val="0070C0"/>
          <w:w w:val="100"/>
          <w:sz w:val="16"/>
          <w:szCs w:val="16"/>
        </w:rPr>
        <w:t>.</w:t>
      </w:r>
    </w:p>
    <w:p w14:paraId="30FC56EE" w14:textId="77777777" w:rsidR="00256175" w:rsidRPr="00722885" w:rsidRDefault="00256175" w:rsidP="00722885">
      <w:pPr>
        <w:pStyle w:val="11b"/>
        <w:shd w:val="clear" w:color="auto" w:fill="auto"/>
        <w:spacing w:before="0" w:line="240" w:lineRule="auto"/>
        <w:rPr>
          <w:rFonts w:ascii="Times New Roman" w:hAnsi="Times New Roman" w:cs="Times New Roman"/>
          <w:color w:val="0070C0"/>
          <w:w w:val="100"/>
          <w:sz w:val="16"/>
          <w:szCs w:val="16"/>
        </w:rPr>
      </w:pPr>
    </w:p>
    <w:p w14:paraId="5B9FA3CE" w14:textId="77777777" w:rsidR="00256175" w:rsidRPr="00722885" w:rsidRDefault="00256175"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декабре 1942 года ижевским заводом №74 Наркомата вооружения Первая партия орудий НС-37 в моторном варианте была сдана, а в следующем году начался их массовый выпуск — для штурмовиков Ил-2 было поставлено 2849 крыльевых пушек, а для истребителей Як-9Т — 1880 моторных. Боевое применение показало, что для борьбы с танками все же эффективнее бомбовое вооружение, и в 1944 году для штурмовиков сделали только 197 орудий, а для истребителей — 890. В 1945 году всех НС-37 было сдано 977 по серийному заказу, более тысячи пошло в резерв и на экспериментальные цели. Новосибирский завод Наркомата авиапромышленности №153 с марта 1943 по июль 1945 года выпустил 2748 «танковых» Як-9Т (22881).</w:t>
      </w:r>
    </w:p>
    <w:p w14:paraId="165BEA48" w14:textId="77777777" w:rsidR="00256175" w:rsidRPr="00722885" w:rsidRDefault="00256175" w:rsidP="00722885">
      <w:pPr>
        <w:spacing w:after="0" w:line="240" w:lineRule="auto"/>
        <w:jc w:val="both"/>
        <w:rPr>
          <w:rFonts w:ascii="Times New Roman" w:hAnsi="Times New Roman"/>
          <w:color w:val="0070C0"/>
          <w:sz w:val="16"/>
          <w:szCs w:val="16"/>
        </w:rPr>
      </w:pPr>
    </w:p>
    <w:p w14:paraId="2956787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года был подготовлен проект Приказа наркома Авиапрома:</w:t>
      </w:r>
    </w:p>
    <w:p w14:paraId="75575A2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Аэродром завода N 30 график сдачи готовых к бою самолетов за декабрь сорван.</w:t>
      </w:r>
    </w:p>
    <w:p w14:paraId="332A282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обеспечения сдачи готовых к бою самолетов по заводу N 30 приказываю:</w:t>
      </w:r>
    </w:p>
    <w:p w14:paraId="7352B9B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Завод N 89 на январь от ремонта самолетов Ил-2 освободить.</w:t>
      </w:r>
    </w:p>
    <w:p w14:paraId="47AC0DC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Обязать директора завода N 30 Шапиро передать заводу N 89 в течение января 1943 года по утвержденному мною графику со сборочного цеха полностью укомплектованных 100 самолетов, для отработки винтомоторной группы, облету и сдачи готовых к бою.</w:t>
      </w:r>
    </w:p>
    <w:p w14:paraId="2E9A6DC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3. Директору завода N 89 Кузину, не позднее 29 декабря с.г. представить на утверждение начальника 6-го гл. управления Карпова мероприятия, обеспечивающие безусловное выполнение заданной программы на январь.</w:t>
      </w:r>
    </w:p>
    <w:p w14:paraId="7572523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4. Обязать директора завода N 89 Кузина, при всех условиях, сдать в декабре с.г. готовых к бою 20 самолетов, полученных с завода N 30.</w:t>
      </w:r>
    </w:p>
    <w:p w14:paraId="3DCA046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5. Начальнику 6-го гл. управления Карпову обеспечить необходимую помощь по представленным заводом N 89 мероприятиям, за счет заводов 6-го гл. управления в г. Москве.</w:t>
      </w:r>
    </w:p>
    <w:p w14:paraId="0A17518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6. Обязать директора завода N 81 Филимончука обеспечить завод N 89 сжатым воздухом высокого давления, в потребном для завода количестве.</w:t>
      </w:r>
    </w:p>
    <w:p w14:paraId="3B9ED89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7. Начальнику 6-го гл. управления Карпову оформить договором стоимость работ, производимых заводом N 89, за счет завода N 30.</w:t>
      </w:r>
    </w:p>
    <w:p w14:paraId="57E910E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8. Обязать директора завода N 30, при всех условиях, сдать в январе не менее 300 самолетов, готовых к бою....(1685,138).</w:t>
      </w:r>
    </w:p>
    <w:p w14:paraId="233AFA50" w14:textId="77777777" w:rsidR="00BB6316" w:rsidRPr="00722885" w:rsidRDefault="00BB6316" w:rsidP="00722885">
      <w:pPr>
        <w:pStyle w:val="Iauiue"/>
        <w:jc w:val="both"/>
        <w:rPr>
          <w:color w:val="000000" w:themeColor="text1"/>
          <w:sz w:val="16"/>
          <w:szCs w:val="16"/>
        </w:rPr>
      </w:pPr>
    </w:p>
    <w:p w14:paraId="28A19AF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во время Средне-Донской операции ЮЗФ из-за нехватки истребителей против бомбардировщиков г С.А.Красовский, командующий 17ВА для прикрытия переднего края привлек Ил-2 (причем с 37 мм пушками?) и эшелонировал их по высоте в 3 яруса. Сбили 3 и якобы после этого пошли бомбить (501,245).</w:t>
      </w:r>
    </w:p>
    <w:p w14:paraId="5AC2CFA5" w14:textId="77777777" w:rsidR="00BB6316" w:rsidRPr="00722885" w:rsidRDefault="00BB6316" w:rsidP="00722885">
      <w:pPr>
        <w:pStyle w:val="Iauiue"/>
        <w:jc w:val="both"/>
        <w:rPr>
          <w:color w:val="000000" w:themeColor="text1"/>
          <w:sz w:val="16"/>
          <w:szCs w:val="16"/>
        </w:rPr>
      </w:pPr>
    </w:p>
    <w:p w14:paraId="7EA4C594"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В декабре 1942 был построен одноме</w:t>
      </w:r>
      <w:r w:rsidRPr="00722885">
        <w:rPr>
          <w:color w:val="000000" w:themeColor="text1"/>
          <w:sz w:val="16"/>
          <w:szCs w:val="16"/>
        </w:rPr>
        <w:softHyphen/>
        <w:t>стный вариант Су-6 с мотором М-71Ф (5011).</w:t>
      </w:r>
    </w:p>
    <w:p w14:paraId="123CBA67" w14:textId="77777777" w:rsidR="00BB6316" w:rsidRPr="00722885" w:rsidRDefault="00BB6316" w:rsidP="00722885">
      <w:pPr>
        <w:pStyle w:val="Iauiue"/>
        <w:tabs>
          <w:tab w:val="left" w:pos="11199"/>
        </w:tabs>
        <w:jc w:val="both"/>
        <w:rPr>
          <w:color w:val="000000" w:themeColor="text1"/>
          <w:sz w:val="16"/>
          <w:szCs w:val="16"/>
        </w:rPr>
      </w:pPr>
    </w:p>
    <w:p w14:paraId="3EC7A9C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был готов отчет о гос. испытаниях одноместного Су-6 (СА) и по его рекомендациям на машину поставили М-71Ф и 2х37 мм пушки ОКБ-16 и сделали самолет двухместным (1454,62).</w:t>
      </w:r>
    </w:p>
    <w:p w14:paraId="0CCA1A02" w14:textId="77777777" w:rsidR="00BB6316" w:rsidRPr="00722885" w:rsidRDefault="00BB6316" w:rsidP="00722885">
      <w:pPr>
        <w:pStyle w:val="Iauiue"/>
        <w:jc w:val="both"/>
        <w:rPr>
          <w:color w:val="000000" w:themeColor="text1"/>
          <w:sz w:val="16"/>
          <w:szCs w:val="16"/>
        </w:rPr>
      </w:pPr>
    </w:p>
    <w:p w14:paraId="40546DD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 был построен первый штурмовик Су-6 с крупнокалиберными пушками, но с мотором М-71Ф. Однако на испытания не передавался, так как в начале января 1943 г. П.О.Сухой предъявил эскизный проект модифицированного штурмовика Су-б М-71Ф (С2А) уже в двухместном варианте (по опыту войны) (9649).</w:t>
      </w:r>
    </w:p>
    <w:p w14:paraId="02074E11" w14:textId="77777777" w:rsidR="00BB6316" w:rsidRPr="00722885" w:rsidRDefault="00BB6316" w:rsidP="00722885">
      <w:pPr>
        <w:pStyle w:val="Iauiue"/>
        <w:jc w:val="both"/>
        <w:rPr>
          <w:color w:val="000000" w:themeColor="text1"/>
          <w:sz w:val="16"/>
          <w:szCs w:val="16"/>
        </w:rPr>
      </w:pPr>
    </w:p>
    <w:p w14:paraId="5CF3E880" w14:textId="77777777" w:rsidR="00256175" w:rsidRPr="00722885" w:rsidRDefault="00256175"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r w:rsidRPr="00722885">
        <w:rPr>
          <w:rFonts w:ascii="Times New Roman" w:hAnsi="Times New Roman" w:cs="Times New Roman"/>
          <w:color w:val="0070C0"/>
          <w:sz w:val="16"/>
          <w:szCs w:val="16"/>
        </w:rPr>
        <w:t>В декабре 1942 г. был построен первый Су-6 из июльского задела по фю</w:t>
      </w:r>
      <w:r w:rsidRPr="00722885">
        <w:rPr>
          <w:rFonts w:ascii="Times New Roman" w:hAnsi="Times New Roman" w:cs="Times New Roman"/>
          <w:color w:val="0070C0"/>
          <w:sz w:val="16"/>
          <w:szCs w:val="16"/>
        </w:rPr>
        <w:softHyphen/>
        <w:t>зеляжам, центропланам и агрегатам с крупнокалиберными пушками и мотором М-71ф. На испытания самолет не передавался, так как в начале января 1943 г. Сухой предъявил эскизный про</w:t>
      </w:r>
      <w:r w:rsidRPr="00722885">
        <w:rPr>
          <w:rFonts w:ascii="Times New Roman" w:hAnsi="Times New Roman" w:cs="Times New Roman"/>
          <w:color w:val="0070C0"/>
          <w:sz w:val="16"/>
          <w:szCs w:val="16"/>
        </w:rPr>
        <w:softHyphen/>
        <w:t>ект двухместного (по опыту войны) Су-6 М-71ф (заводское обозначение С2А) (19846).</w:t>
      </w:r>
    </w:p>
    <w:p w14:paraId="142B4F71" w14:textId="77777777" w:rsidR="00256175" w:rsidRPr="00722885" w:rsidRDefault="00256175" w:rsidP="00722885">
      <w:pPr>
        <w:pStyle w:val="232"/>
        <w:shd w:val="clear" w:color="auto" w:fill="auto"/>
        <w:spacing w:before="0" w:after="0" w:line="240" w:lineRule="auto"/>
        <w:ind w:firstLine="0"/>
        <w:jc w:val="both"/>
        <w:rPr>
          <w:rFonts w:ascii="Times New Roman" w:hAnsi="Times New Roman" w:cs="Times New Roman"/>
          <w:color w:val="0070C0"/>
          <w:sz w:val="16"/>
          <w:szCs w:val="16"/>
        </w:rPr>
      </w:pPr>
    </w:p>
    <w:p w14:paraId="6D4A9E0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декабре 1942 г. были закочены работы по уста</w:t>
      </w:r>
      <w:r w:rsidRPr="00722885">
        <w:rPr>
          <w:rFonts w:ascii="Times New Roman" w:hAnsi="Times New Roman"/>
          <w:color w:val="000000" w:themeColor="text1"/>
          <w:sz w:val="16"/>
          <w:szCs w:val="16"/>
        </w:rPr>
        <w:softHyphen/>
        <w:t>новке на Су-6 крупнокалиберных пушек и мотора М-71ф, форсирован</w:t>
      </w:r>
      <w:r w:rsidRPr="00722885">
        <w:rPr>
          <w:rFonts w:ascii="Times New Roman" w:hAnsi="Times New Roman"/>
          <w:color w:val="000000" w:themeColor="text1"/>
          <w:sz w:val="16"/>
          <w:szCs w:val="16"/>
        </w:rPr>
        <w:softHyphen/>
        <w:t>ного до 2200 л.с. на взлетном режи</w:t>
      </w:r>
      <w:r w:rsidRPr="00722885">
        <w:rPr>
          <w:rFonts w:ascii="Times New Roman" w:hAnsi="Times New Roman"/>
          <w:color w:val="000000" w:themeColor="text1"/>
          <w:sz w:val="16"/>
          <w:szCs w:val="16"/>
        </w:rPr>
        <w:softHyphen/>
        <w:t>ме, однако самолет на испы</w:t>
      </w:r>
      <w:r w:rsidRPr="00722885">
        <w:rPr>
          <w:rFonts w:ascii="Times New Roman" w:hAnsi="Times New Roman"/>
          <w:color w:val="000000" w:themeColor="text1"/>
          <w:sz w:val="16"/>
          <w:szCs w:val="16"/>
        </w:rPr>
        <w:softHyphen/>
        <w:t>тания не передавался, так как в на</w:t>
      </w:r>
      <w:r w:rsidRPr="00722885">
        <w:rPr>
          <w:rFonts w:ascii="Times New Roman" w:hAnsi="Times New Roman"/>
          <w:color w:val="000000" w:themeColor="text1"/>
          <w:sz w:val="16"/>
          <w:szCs w:val="16"/>
        </w:rPr>
        <w:softHyphen/>
        <w:t>чале января 1943 г. Сухой предста</w:t>
      </w:r>
      <w:r w:rsidRPr="00722885">
        <w:rPr>
          <w:rFonts w:ascii="Times New Roman" w:hAnsi="Times New Roman"/>
          <w:color w:val="000000" w:themeColor="text1"/>
          <w:sz w:val="16"/>
          <w:szCs w:val="16"/>
        </w:rPr>
        <w:softHyphen/>
        <w:t>вил эскизный проект двухместного варианта Су-6 с М-71ф. Проект по</w:t>
      </w:r>
      <w:r w:rsidRPr="00722885">
        <w:rPr>
          <w:rFonts w:ascii="Times New Roman" w:hAnsi="Times New Roman"/>
          <w:color w:val="000000" w:themeColor="text1"/>
          <w:sz w:val="16"/>
          <w:szCs w:val="16"/>
        </w:rPr>
        <w:softHyphen/>
        <w:t>лучил одобрение у военных, и 20 января с небольшими замечаниями в части улучшения бронирования был утвержден (11426).</w:t>
      </w:r>
    </w:p>
    <w:p w14:paraId="629DEAD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F47C2D3" w14:textId="77777777" w:rsidR="00964D78" w:rsidRPr="00722885" w:rsidRDefault="00964D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был построен Су-6 с двумя пушками калибра 37 мм и форсированным мотором М-71ф (1850/2200 л. с.), но на испытания не передавался, так как уже требовался двухместный вариант с воздушным стрелком. Штурмовик оперативно переделали, и к концу августа 1943 года он с успехом прошел государственные испытания.</w:t>
      </w:r>
    </w:p>
    <w:p w14:paraId="5F0A0EBD" w14:textId="77777777" w:rsidR="00964D78" w:rsidRPr="00722885" w:rsidRDefault="00964D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определяющим летно-тактическим данным Су-6 М-71ф значительно превосходил серийный двухместный Ил-2 АМ-38ф: по максимальной скорости – на 107–146 км/ч, по вертикальному маневру – в 1,6–1,9 раза, по дальности – на 353 км/ч (при скорости полета 349 км/ч против 292 км/ч у Ил-2).</w:t>
      </w:r>
    </w:p>
    <w:p w14:paraId="1FE44CB1" w14:textId="77777777" w:rsidR="00964D78" w:rsidRPr="00722885" w:rsidRDefault="00964D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Самолет обладал хорошими характеристиками устойчивости и управляемости во всем диапазоне рабочих высот и скоростей, был прост и приятен в пилотировании. Крыло Су-6 оборудовалось мощной механизацией (автоматические предкрылки и щитки типа Шренк), повышающей устойчивость самолета при маневрировании на больших углах атаки. Взлетные качества были практически одинаковыми с Ил-2. Посадка по сложности считалась выше средней. По системе живучести самолет оценивался выше Ил-2. Бронекорпус надежно защищал от пуль калибра 12,7 мм и осколков зенитных снарядов. Бронестекло на блистере и броненадголовник воздушного стрелка, что «дает возможность более решительно и уверенно отражать атаки противника». Имелась отработанная система заполнения бензобаков нейтральными газами от выхлопа мотора и дублированное управление рулем высоты и направления.</w:t>
      </w:r>
    </w:p>
    <w:p w14:paraId="145EE896" w14:textId="77777777" w:rsidR="00964D78" w:rsidRPr="00722885" w:rsidRDefault="00964D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Су-6 состояло из двух 37-мм пушек 11 (90 патронов), 2 ШКАС (1400 патронов), 6 РО-132 (или РО-82) и оборонительного пулемета УБТ в блистерной установке БЛУБ.</w:t>
      </w:r>
    </w:p>
    <w:p w14:paraId="180D8482" w14:textId="77777777" w:rsidR="00964D78" w:rsidRPr="00722885" w:rsidRDefault="00964D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самолет допускалась подвеска до 600 кг бомб (в перегрузку). Осколочных и зажигательных бомб калибром от 2,5 до 25 кг и химампул в кассетах мелких бомб можно было загрузить до 400 кг. Основным вариантом считалась загрузка 200-кг бомб внутри фюзеляжа.</w:t>
      </w:r>
    </w:p>
    <w:p w14:paraId="59A123AD" w14:textId="77777777" w:rsidR="00964D78" w:rsidRPr="00722885" w:rsidRDefault="00964D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отличие от Ил-2, на Су-6 пушки 11 П (в серии НС-37) размещались ближе к оси самолета, что в совокупности с более высоким запасом устойчивости штурмовика обеспечивало меньшее рассеивание при стрельбе в воздухе. Эффективность стрельбы по малоразмерным целям существенно повысилась.</w:t>
      </w:r>
    </w:p>
    <w:p w14:paraId="15E28362" w14:textId="77777777" w:rsidR="00964D78" w:rsidRPr="00722885" w:rsidRDefault="00964D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Судя по документам, НИИ ВВС и руководство ВВС КА отчетливо понимали, что Су-6 М-71ф является именно тем ударным самолетом, которого недостает в системе вооружений ВВС. По их мнению, возможности для постановки в серию мотора М-71ф и самолета Су-6 с ним у НКАП имелись.</w:t>
      </w:r>
    </w:p>
    <w:p w14:paraId="2DD710C8" w14:textId="77777777" w:rsidR="00964D78" w:rsidRPr="00722885" w:rsidRDefault="00964D7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Военные предлагали снять с серийного производства на московском заводе № 30 противотанковый вариант штурмовика Ил-2 с пушками 11 П, как не оправдавшего надежд, запустив вместо него в серию Су-6 М-71ф. При этом некоторое снижение темпов поступления самолетов Ил-2 в строевые части командование ВВС КА нисколько не пугало, так как к этому времени в резерве и на базах хранения было накоплено столько Ил-2, что ими можно было восполнить любые возможные потери штурмовиков на фронте (17490).</w:t>
      </w:r>
    </w:p>
    <w:p w14:paraId="2EAB9BC1" w14:textId="77777777" w:rsidR="00964D78" w:rsidRPr="00722885" w:rsidRDefault="00964D78" w:rsidP="00722885">
      <w:pPr>
        <w:spacing w:after="0" w:line="240" w:lineRule="auto"/>
        <w:jc w:val="both"/>
        <w:rPr>
          <w:rFonts w:ascii="Times New Roman" w:eastAsia="Times New Roman" w:hAnsi="Times New Roman"/>
          <w:color w:val="000000" w:themeColor="text1"/>
          <w:sz w:val="16"/>
          <w:szCs w:val="16"/>
          <w:lang w:eastAsia="ru-RU"/>
        </w:rPr>
      </w:pPr>
    </w:p>
    <w:p w14:paraId="0882FF74" w14:textId="77777777" w:rsidR="00964D78" w:rsidRPr="00722885" w:rsidRDefault="00964D7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декабре 1942 г. первый штурмовик Су-6 с 37-мм пушками и с мотором М-71ф был построен. Однако на испытания не передавался, так как в на</w:t>
      </w:r>
      <w:r w:rsidRPr="00722885">
        <w:rPr>
          <w:color w:val="000000" w:themeColor="text1"/>
          <w:sz w:val="16"/>
          <w:szCs w:val="16"/>
        </w:rPr>
        <w:softHyphen/>
        <w:t>чале января 1943 г. П. О. Сухой предъявил эскиз</w:t>
      </w:r>
      <w:r w:rsidRPr="00722885">
        <w:rPr>
          <w:color w:val="000000" w:themeColor="text1"/>
          <w:sz w:val="16"/>
          <w:szCs w:val="16"/>
        </w:rPr>
        <w:softHyphen/>
        <w:t>ный проект модифицированного штурмовика Су-6 М-71ф (заводское обозначение С2А) уже в двух</w:t>
      </w:r>
      <w:r w:rsidRPr="00722885">
        <w:rPr>
          <w:color w:val="000000" w:themeColor="text1"/>
          <w:sz w:val="16"/>
          <w:szCs w:val="16"/>
        </w:rPr>
        <w:softHyphen/>
        <w:t>местном варианте (по опыту войны). Этот самолет был построен и к концу августа 1943 г. успешно прошел государственные испытания, но по ряду субъективных и объективных причин в серийное производство не запускался, хотя военные и на</w:t>
      </w:r>
      <w:r w:rsidRPr="00722885">
        <w:rPr>
          <w:color w:val="000000" w:themeColor="text1"/>
          <w:sz w:val="16"/>
          <w:szCs w:val="16"/>
        </w:rPr>
        <w:softHyphen/>
        <w:t>стаивали, даже в ущерб планам выпуска самоле</w:t>
      </w:r>
      <w:r w:rsidRPr="00722885">
        <w:rPr>
          <w:color w:val="000000" w:themeColor="text1"/>
          <w:sz w:val="16"/>
          <w:szCs w:val="16"/>
        </w:rPr>
        <w:softHyphen/>
        <w:t>тов Ил-2 (17500).</w:t>
      </w:r>
    </w:p>
    <w:p w14:paraId="248EAB6E" w14:textId="77777777" w:rsidR="00964D78" w:rsidRPr="00722885" w:rsidRDefault="00964D78" w:rsidP="00722885">
      <w:pPr>
        <w:pStyle w:val="12a"/>
        <w:shd w:val="clear" w:color="auto" w:fill="auto"/>
        <w:spacing w:after="0" w:line="240" w:lineRule="auto"/>
        <w:jc w:val="both"/>
        <w:rPr>
          <w:color w:val="000000" w:themeColor="text1"/>
          <w:sz w:val="16"/>
          <w:szCs w:val="16"/>
        </w:rPr>
      </w:pPr>
    </w:p>
    <w:p w14:paraId="10536DD6" w14:textId="77777777" w:rsidR="00712ECF" w:rsidRPr="00722885" w:rsidRDefault="00712ECF"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 декабре 1942 г. был построен первый штурмовик Су-6 с крупнокалиберными пушками, но с мотором М-71Ф, Однако на испытания не передавался, так как в начале января 1943 г. П. О. Сухой предъявил эскизный проект модифицированного штурмовика Су-6 М-71Ф (С2А) уже в двухместном варианте (по опыту войны) (19188).</w:t>
      </w:r>
    </w:p>
    <w:p w14:paraId="6BA95A2B" w14:textId="77777777" w:rsidR="00712ECF" w:rsidRPr="00722885" w:rsidRDefault="00712ECF" w:rsidP="00722885">
      <w:pPr>
        <w:pStyle w:val="ae"/>
        <w:shd w:val="clear" w:color="auto" w:fill="FFFFFF"/>
        <w:spacing w:before="0" w:after="0"/>
        <w:jc w:val="both"/>
        <w:textAlignment w:val="baseline"/>
        <w:rPr>
          <w:color w:val="000000" w:themeColor="text1"/>
          <w:sz w:val="16"/>
          <w:szCs w:val="16"/>
        </w:rPr>
      </w:pPr>
    </w:p>
    <w:p w14:paraId="5AF522FF" w14:textId="77777777" w:rsidR="00712ECF" w:rsidRPr="00722885" w:rsidRDefault="00712EC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декабре 1942 г в конструкторском бюро завершили инициативную работу - эскизный проект самолета ББ с мотором М-71Ф (2200 л.е.). Машина имела длину 10,7 м. размах крыла 15,0 м и его пло</w:t>
      </w:r>
      <w:r w:rsidRPr="00722885">
        <w:rPr>
          <w:rFonts w:ascii="Times New Roman" w:cs="Times New Roman"/>
          <w:color w:val="000000" w:themeColor="text1"/>
          <w:spacing w:val="0"/>
        </w:rPr>
        <w:softHyphen/>
        <w:t>щадь 32,0 м</w:t>
      </w:r>
      <w:r w:rsidRPr="00722885">
        <w:rPr>
          <w:rFonts w:ascii="Times New Roman" w:cs="Times New Roman"/>
          <w:color w:val="000000" w:themeColor="text1"/>
          <w:spacing w:val="0"/>
          <w:vertAlign w:val="superscript"/>
        </w:rPr>
        <w:t>3</w:t>
      </w:r>
      <w:r w:rsidRPr="00722885">
        <w:rPr>
          <w:rFonts w:ascii="Times New Roman" w:cs="Times New Roman"/>
          <w:color w:val="000000" w:themeColor="text1"/>
          <w:spacing w:val="0"/>
        </w:rPr>
        <w:t xml:space="preserve"> Вес пустого самолета оце</w:t>
      </w:r>
      <w:r w:rsidRPr="00722885">
        <w:rPr>
          <w:rFonts w:ascii="Times New Roman" w:cs="Times New Roman"/>
          <w:color w:val="000000" w:themeColor="text1"/>
          <w:spacing w:val="0"/>
        </w:rPr>
        <w:softHyphen/>
        <w:t>нивался в 3900 кг, полетный - в 5650 кг. По расчетам, максимальная скорость у земли равнялась 490 км/ч, а на высоте 4600 м - 560 км/ч. Время набора 5000 м получалось 7,90 мин, практический пото- пок - 10 000 м Нормальная дальность - 1000 км, длина разбега - 325 м. Однако данный эскизный проект на рассмотрение в вышестоящие организа</w:t>
      </w:r>
      <w:r w:rsidRPr="00722885">
        <w:rPr>
          <w:rFonts w:ascii="Times New Roman" w:cs="Times New Roman"/>
          <w:color w:val="000000" w:themeColor="text1"/>
          <w:spacing w:val="0"/>
        </w:rPr>
        <w:softHyphen/>
        <w:t>ции не передавался (19102).</w:t>
      </w:r>
    </w:p>
    <w:p w14:paraId="094C88C0" w14:textId="77777777" w:rsidR="00712ECF" w:rsidRPr="00722885" w:rsidRDefault="00712ECF" w:rsidP="00722885">
      <w:pPr>
        <w:spacing w:after="0" w:line="240" w:lineRule="auto"/>
        <w:jc w:val="both"/>
        <w:rPr>
          <w:rFonts w:ascii="Times New Roman" w:hAnsi="Times New Roman"/>
          <w:color w:val="000000" w:themeColor="text1"/>
          <w:sz w:val="16"/>
          <w:szCs w:val="16"/>
        </w:rPr>
      </w:pPr>
    </w:p>
    <w:p w14:paraId="5826E7BE" w14:textId="77777777" w:rsidR="000C3A55" w:rsidRPr="00722885" w:rsidRDefault="000C3A55" w:rsidP="00722885">
      <w:pPr>
        <w:pStyle w:val="45"/>
        <w:shd w:val="clear" w:color="auto" w:fill="auto"/>
        <w:spacing w:before="0" w:line="240" w:lineRule="auto"/>
        <w:jc w:val="both"/>
        <w:rPr>
          <w:rFonts w:ascii="Times New Roman" w:cs="Times New Roman"/>
          <w:color w:val="000000" w:themeColor="text1"/>
          <w:sz w:val="16"/>
          <w:szCs w:val="16"/>
        </w:rPr>
      </w:pPr>
      <w:r w:rsidRPr="00722885">
        <w:rPr>
          <w:rStyle w:val="4f0"/>
          <w:rFonts w:ascii="Times New Roman" w:hAnsi="Times New Roman" w:cs="Times New Roman"/>
          <w:i w:val="0"/>
          <w:color w:val="000000" w:themeColor="text1"/>
          <w:sz w:val="16"/>
          <w:szCs w:val="16"/>
        </w:rPr>
        <w:t>В декабре 1942 г. начальник отделения материалов УОС ГУ ВВС КА военинженер 2-го ранга А.К. Огилько подготовил справку</w:t>
      </w:r>
      <w:r w:rsidRPr="00722885">
        <w:rPr>
          <w:rFonts w:ascii="Times New Roman" w:cs="Times New Roman"/>
          <w:color w:val="000000" w:themeColor="text1"/>
          <w:sz w:val="16"/>
          <w:szCs w:val="16"/>
        </w:rPr>
        <w:t xml:space="preserve"> «по вопросу использования противоосколочного бронеэкрана».</w:t>
      </w:r>
      <w:r w:rsidRPr="00722885">
        <w:rPr>
          <w:rStyle w:val="4f0"/>
          <w:rFonts w:ascii="Times New Roman" w:hAnsi="Times New Roman" w:cs="Times New Roman"/>
          <w:i w:val="0"/>
          <w:color w:val="000000" w:themeColor="text1"/>
          <w:sz w:val="16"/>
          <w:szCs w:val="16"/>
        </w:rPr>
        <w:t xml:space="preserve"> Отмечалось, что</w:t>
      </w:r>
      <w:r w:rsidRPr="00722885">
        <w:rPr>
          <w:rFonts w:ascii="Times New Roman" w:cs="Times New Roman"/>
          <w:color w:val="000000" w:themeColor="text1"/>
          <w:sz w:val="16"/>
          <w:szCs w:val="16"/>
        </w:rPr>
        <w:t xml:space="preserve"> «...на самоле</w:t>
      </w:r>
      <w:r w:rsidRPr="00722885">
        <w:rPr>
          <w:rFonts w:ascii="Times New Roman" w:cs="Times New Roman"/>
          <w:color w:val="000000" w:themeColor="text1"/>
          <w:sz w:val="16"/>
          <w:szCs w:val="16"/>
        </w:rPr>
        <w:softHyphen/>
        <w:t>тах Ту-2, Пе-2, Пе-3 и Ил-2 в двухместном ва</w:t>
      </w:r>
      <w:r w:rsidRPr="00722885">
        <w:rPr>
          <w:rFonts w:ascii="Times New Roman" w:cs="Times New Roman"/>
          <w:color w:val="000000" w:themeColor="text1"/>
          <w:sz w:val="16"/>
          <w:szCs w:val="16"/>
        </w:rPr>
        <w:softHyphen/>
        <w:t>рианте позади летчика, непосредственно за его бронеспинкой, находится стрелок (радист, штурман, бомбардир). При попадании пули или снаряда в бронеспинку летчика, от пуль и снарядов, а также от цементованного слоя бронеспинки, получаются сотни осколков, ко</w:t>
      </w:r>
      <w:r w:rsidRPr="00722885">
        <w:rPr>
          <w:rFonts w:ascii="Times New Roman" w:cs="Times New Roman"/>
          <w:color w:val="000000" w:themeColor="text1"/>
          <w:sz w:val="16"/>
          <w:szCs w:val="16"/>
        </w:rPr>
        <w:softHyphen/>
        <w:t>торыми неизбежно поражается стрелок (ра</w:t>
      </w:r>
      <w:r w:rsidRPr="00722885">
        <w:rPr>
          <w:rFonts w:ascii="Times New Roman" w:cs="Times New Roman"/>
          <w:color w:val="000000" w:themeColor="text1"/>
          <w:sz w:val="16"/>
          <w:szCs w:val="16"/>
        </w:rPr>
        <w:softHyphen/>
        <w:t>дист, штурман, бомбардир).</w:t>
      </w:r>
    </w:p>
    <w:p w14:paraId="6795547D" w14:textId="77777777" w:rsidR="000C3A55" w:rsidRPr="00722885" w:rsidRDefault="000C3A55"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Для защиты стрелка от этих осколков на бронеспинках самолетов Ту-2 установлен экран из шлемовой брони, толщиной 1,5-2 мм на расстоянии 35е40 мм от бронеспинки.</w:t>
      </w:r>
    </w:p>
    <w:p w14:paraId="66D731E6" w14:textId="77777777" w:rsidR="000C3A55" w:rsidRPr="00722885" w:rsidRDefault="000C3A55"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Об утверждении таких экранов на самоле</w:t>
      </w:r>
      <w:r w:rsidRPr="00722885">
        <w:rPr>
          <w:rFonts w:ascii="Times New Roman" w:cs="Times New Roman"/>
          <w:color w:val="000000" w:themeColor="text1"/>
          <w:sz w:val="16"/>
          <w:szCs w:val="16"/>
        </w:rPr>
        <w:softHyphen/>
        <w:t>тах Пе-2 и Пе-3 есть распоряжение НКАП заво</w:t>
      </w:r>
      <w:r w:rsidRPr="00722885">
        <w:rPr>
          <w:rFonts w:ascii="Times New Roman" w:cs="Times New Roman"/>
          <w:color w:val="000000" w:themeColor="text1"/>
          <w:sz w:val="16"/>
          <w:szCs w:val="16"/>
        </w:rPr>
        <w:softHyphen/>
        <w:t>ду №22/.../и первые экземпляры самолетов с экранированной бронесцинкой изготовлены и направлены в действующую часть.</w:t>
      </w:r>
    </w:p>
    <w:p w14:paraId="68A2335F" w14:textId="77777777" w:rsidR="000C3A55" w:rsidRPr="00722885" w:rsidRDefault="000C3A55"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На самолетах, где бронеспинка входит в силовую схему самолета (Ил-2, Су-6), при по</w:t>
      </w:r>
      <w:r w:rsidRPr="00722885">
        <w:rPr>
          <w:rFonts w:ascii="Times New Roman" w:cs="Times New Roman"/>
          <w:color w:val="000000" w:themeColor="text1"/>
          <w:sz w:val="16"/>
          <w:szCs w:val="16"/>
        </w:rPr>
        <w:softHyphen/>
        <w:t>падании пули или снаряда в бронеспинку, эти осколки могут разрушать троса управления и деревянную часть фюзеляжа.</w:t>
      </w:r>
    </w:p>
    <w:p w14:paraId="3199B627" w14:textId="77777777" w:rsidR="000C3A55" w:rsidRPr="00722885" w:rsidRDefault="000C3A55"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На самолете Су-6 для улавливания этих осколков с целью предохранения деревянных стрингеров от разрушения установлен экран из брони толщиной 2 мм.</w:t>
      </w:r>
    </w:p>
    <w:p w14:paraId="70EDCC8F" w14:textId="77777777" w:rsidR="000C3A55" w:rsidRPr="00722885" w:rsidRDefault="000C3A55" w:rsidP="00722885">
      <w:pPr>
        <w:pStyle w:val="45"/>
        <w:shd w:val="clear" w:color="auto" w:fill="auto"/>
        <w:spacing w:before="0" w:line="240" w:lineRule="auto"/>
        <w:jc w:val="both"/>
        <w:rPr>
          <w:rFonts w:ascii="Times New Roman" w:cs="Times New Roman"/>
          <w:color w:val="000000" w:themeColor="text1"/>
          <w:sz w:val="16"/>
          <w:szCs w:val="16"/>
        </w:rPr>
      </w:pPr>
      <w:r w:rsidRPr="00722885">
        <w:rPr>
          <w:rFonts w:ascii="Times New Roman" w:cs="Times New Roman"/>
          <w:color w:val="000000" w:themeColor="text1"/>
          <w:sz w:val="16"/>
          <w:szCs w:val="16"/>
        </w:rPr>
        <w:t>Несмотря на большое число случаев раз</w:t>
      </w:r>
      <w:r w:rsidRPr="00722885">
        <w:rPr>
          <w:rFonts w:ascii="Times New Roman" w:cs="Times New Roman"/>
          <w:color w:val="000000" w:themeColor="text1"/>
          <w:sz w:val="16"/>
          <w:szCs w:val="16"/>
        </w:rPr>
        <w:softHyphen/>
        <w:t>рушения этими осколками на самолетах Ил-2 тросов управления и деревянной части фюзе</w:t>
      </w:r>
      <w:r w:rsidRPr="00722885">
        <w:rPr>
          <w:rFonts w:ascii="Times New Roman" w:cs="Times New Roman"/>
          <w:color w:val="000000" w:themeColor="text1"/>
          <w:sz w:val="16"/>
          <w:szCs w:val="16"/>
        </w:rPr>
        <w:softHyphen/>
        <w:t>ляжа у места крепления бронекорпуса с хво</w:t>
      </w:r>
      <w:r w:rsidRPr="00722885">
        <w:rPr>
          <w:rFonts w:ascii="Times New Roman" w:cs="Times New Roman"/>
          <w:color w:val="000000" w:themeColor="text1"/>
          <w:sz w:val="16"/>
          <w:szCs w:val="16"/>
        </w:rPr>
        <w:softHyphen/>
        <w:t>стовой частью, тов. Ильюшин от применения экрана воздержался из-за перегрузки само</w:t>
      </w:r>
      <w:r w:rsidRPr="00722885">
        <w:rPr>
          <w:rFonts w:ascii="Times New Roman" w:cs="Times New Roman"/>
          <w:color w:val="000000" w:themeColor="text1"/>
          <w:sz w:val="16"/>
          <w:szCs w:val="16"/>
        </w:rPr>
        <w:softHyphen/>
        <w:t>лета» (15778).</w:t>
      </w:r>
    </w:p>
    <w:p w14:paraId="6DCD7458" w14:textId="77777777" w:rsidR="000C3A55" w:rsidRPr="00722885" w:rsidRDefault="000C3A55" w:rsidP="00722885">
      <w:pPr>
        <w:pStyle w:val="36"/>
        <w:shd w:val="clear" w:color="auto" w:fill="auto"/>
        <w:spacing w:after="0" w:line="240" w:lineRule="auto"/>
        <w:jc w:val="both"/>
        <w:rPr>
          <w:rFonts w:ascii="Times New Roman" w:cs="Times New Roman"/>
          <w:color w:val="000000" w:themeColor="text1"/>
          <w:spacing w:val="0"/>
          <w:sz w:val="16"/>
          <w:szCs w:val="16"/>
        </w:rPr>
      </w:pPr>
    </w:p>
    <w:p w14:paraId="7DF5517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в ОКБ П.О.С. был разработан проект ББ с М-71 Ф (1454,54).</w:t>
      </w:r>
    </w:p>
    <w:p w14:paraId="47437263" w14:textId="77777777" w:rsidR="00BB6316" w:rsidRPr="00722885" w:rsidRDefault="00BB6316" w:rsidP="00722885">
      <w:pPr>
        <w:pStyle w:val="Iauiue"/>
        <w:jc w:val="both"/>
        <w:rPr>
          <w:color w:val="000000" w:themeColor="text1"/>
          <w:sz w:val="16"/>
          <w:szCs w:val="16"/>
        </w:rPr>
      </w:pPr>
    </w:p>
    <w:p w14:paraId="01881B4E" w14:textId="77777777" w:rsidR="000C3A55" w:rsidRPr="00722885" w:rsidRDefault="000C3A55" w:rsidP="00722885">
      <w:pPr>
        <w:pStyle w:val="a3"/>
        <w:rPr>
          <w:color w:val="000000" w:themeColor="text1"/>
          <w:lang w:val="ru-RU"/>
        </w:rPr>
      </w:pPr>
      <w:r w:rsidRPr="00722885">
        <w:rPr>
          <w:color w:val="000000" w:themeColor="text1"/>
          <w:lang w:val="ru-RU"/>
        </w:rPr>
        <w:t>В декабре 1942 г. специалисты КБ П.О. Сухого завершили инициативную работу - эскизный проект самолёта «ББ» с мотором М-71 Ф мощностью 2200 л.с.</w:t>
      </w:r>
    </w:p>
    <w:p w14:paraId="5D8C42EB" w14:textId="77777777" w:rsidR="000C3A55" w:rsidRPr="00722885" w:rsidRDefault="000C3A55" w:rsidP="00722885">
      <w:pPr>
        <w:pStyle w:val="a3"/>
        <w:rPr>
          <w:color w:val="000000" w:themeColor="text1"/>
          <w:lang w:val="ru-RU"/>
        </w:rPr>
      </w:pPr>
      <w:r w:rsidRPr="00722885">
        <w:rPr>
          <w:color w:val="000000" w:themeColor="text1"/>
          <w:lang w:val="ru-RU"/>
        </w:rPr>
        <w:t>Основные расчётные данные самолёта ББ М-71 Ф:</w:t>
      </w:r>
    </w:p>
    <w:p w14:paraId="68F02B6E" w14:textId="77777777" w:rsidR="000C3A55" w:rsidRPr="00722885" w:rsidRDefault="000C3A55" w:rsidP="00722885">
      <w:pPr>
        <w:pStyle w:val="a3"/>
        <w:tabs>
          <w:tab w:val="left" w:pos="4794"/>
        </w:tabs>
        <w:rPr>
          <w:color w:val="000000" w:themeColor="text1"/>
          <w:lang w:val="ru-RU"/>
        </w:rPr>
      </w:pPr>
      <w:r w:rsidRPr="00722885">
        <w:rPr>
          <w:color w:val="000000" w:themeColor="text1"/>
          <w:lang w:val="ru-RU"/>
        </w:rPr>
        <w:t>Длина самолёта, мм</w:t>
      </w:r>
      <w:r w:rsidRPr="00722885">
        <w:rPr>
          <w:color w:val="000000" w:themeColor="text1"/>
          <w:lang w:val="ru-RU"/>
        </w:rPr>
        <w:tab/>
        <w:t>- 10700</w:t>
      </w:r>
    </w:p>
    <w:p w14:paraId="60BEFC24" w14:textId="77777777" w:rsidR="000C3A55" w:rsidRPr="00722885" w:rsidRDefault="000C3A55" w:rsidP="00722885">
      <w:pPr>
        <w:pStyle w:val="a3"/>
        <w:tabs>
          <w:tab w:val="left" w:pos="4779"/>
        </w:tabs>
        <w:rPr>
          <w:color w:val="000000" w:themeColor="text1"/>
          <w:lang w:val="ru-RU"/>
        </w:rPr>
      </w:pPr>
      <w:r w:rsidRPr="00722885">
        <w:rPr>
          <w:color w:val="000000" w:themeColor="text1"/>
          <w:lang w:val="ru-RU"/>
        </w:rPr>
        <w:t>Размах крыла, мм</w:t>
      </w:r>
      <w:r w:rsidRPr="00722885">
        <w:rPr>
          <w:color w:val="000000" w:themeColor="text1"/>
          <w:lang w:val="ru-RU"/>
        </w:rPr>
        <w:tab/>
        <w:t>- 1 5000</w:t>
      </w:r>
    </w:p>
    <w:p w14:paraId="19DBE179" w14:textId="77777777" w:rsidR="000C3A55" w:rsidRPr="00722885" w:rsidRDefault="000C3A55" w:rsidP="00722885">
      <w:pPr>
        <w:pStyle w:val="a3"/>
        <w:tabs>
          <w:tab w:val="left" w:pos="4779"/>
        </w:tabs>
        <w:rPr>
          <w:color w:val="000000" w:themeColor="text1"/>
          <w:lang w:val="ru-RU"/>
        </w:rPr>
      </w:pPr>
      <w:r w:rsidRPr="00722885">
        <w:rPr>
          <w:color w:val="000000" w:themeColor="text1"/>
          <w:lang w:val="ru-RU"/>
        </w:rPr>
        <w:t>Площадь крыла, м</w:t>
      </w:r>
      <w:r w:rsidRPr="00722885">
        <w:rPr>
          <w:color w:val="000000" w:themeColor="text1"/>
          <w:vertAlign w:val="superscript"/>
          <w:lang w:val="ru-RU"/>
        </w:rPr>
        <w:t>2</w:t>
      </w:r>
      <w:r w:rsidRPr="00722885">
        <w:rPr>
          <w:color w:val="000000" w:themeColor="text1"/>
          <w:lang w:val="ru-RU"/>
        </w:rPr>
        <w:tab/>
        <w:t>- 32,0</w:t>
      </w:r>
    </w:p>
    <w:p w14:paraId="2365A41E" w14:textId="77777777" w:rsidR="000C3A55" w:rsidRPr="00722885" w:rsidRDefault="000C3A55" w:rsidP="00722885">
      <w:pPr>
        <w:pStyle w:val="a3"/>
        <w:tabs>
          <w:tab w:val="left" w:pos="4784"/>
        </w:tabs>
        <w:rPr>
          <w:color w:val="000000" w:themeColor="text1"/>
          <w:lang w:val="ru-RU"/>
        </w:rPr>
      </w:pPr>
      <w:r w:rsidRPr="00722885">
        <w:rPr>
          <w:color w:val="000000" w:themeColor="text1"/>
          <w:lang w:val="ru-RU"/>
        </w:rPr>
        <w:t>Масса пустого самолёта, кг:</w:t>
      </w:r>
      <w:r w:rsidRPr="00722885">
        <w:rPr>
          <w:color w:val="000000" w:themeColor="text1"/>
          <w:lang w:val="ru-RU"/>
        </w:rPr>
        <w:tab/>
        <w:t>- 3900</w:t>
      </w:r>
    </w:p>
    <w:p w14:paraId="0D55DF7B" w14:textId="77777777" w:rsidR="000C3A55" w:rsidRPr="00722885" w:rsidRDefault="000C3A55" w:rsidP="00722885">
      <w:pPr>
        <w:pStyle w:val="a3"/>
        <w:tabs>
          <w:tab w:val="left" w:pos="4779"/>
        </w:tabs>
        <w:rPr>
          <w:color w:val="000000" w:themeColor="text1"/>
          <w:lang w:val="ru-RU"/>
        </w:rPr>
      </w:pPr>
      <w:r w:rsidRPr="00722885">
        <w:rPr>
          <w:color w:val="000000" w:themeColor="text1"/>
          <w:lang w:val="ru-RU"/>
        </w:rPr>
        <w:t>Полётная масса, кг</w:t>
      </w:r>
      <w:r w:rsidRPr="00722885">
        <w:rPr>
          <w:color w:val="000000" w:themeColor="text1"/>
          <w:lang w:val="ru-RU"/>
        </w:rPr>
        <w:tab/>
        <w:t>- 5650 Максимальная скорость, км/ч:</w:t>
      </w:r>
    </w:p>
    <w:p w14:paraId="326B1739" w14:textId="77777777" w:rsidR="000C3A55" w:rsidRPr="00722885" w:rsidRDefault="000C3A55" w:rsidP="00722885">
      <w:pPr>
        <w:pStyle w:val="a3"/>
        <w:widowControl/>
        <w:numPr>
          <w:ilvl w:val="0"/>
          <w:numId w:val="36"/>
        </w:numPr>
        <w:tabs>
          <w:tab w:val="left" w:pos="949"/>
          <w:tab w:val="left" w:pos="4784"/>
        </w:tabs>
        <w:autoSpaceDE/>
        <w:autoSpaceDN/>
        <w:adjustRightInd/>
        <w:rPr>
          <w:color w:val="000000" w:themeColor="text1"/>
        </w:rPr>
      </w:pPr>
      <w:r w:rsidRPr="00722885">
        <w:rPr>
          <w:color w:val="000000" w:themeColor="text1"/>
        </w:rPr>
        <w:t>у земли</w:t>
      </w:r>
      <w:r w:rsidRPr="00722885">
        <w:rPr>
          <w:color w:val="000000" w:themeColor="text1"/>
        </w:rPr>
        <w:tab/>
        <w:t>- 490</w:t>
      </w:r>
    </w:p>
    <w:p w14:paraId="5166BF9F" w14:textId="77777777" w:rsidR="000C3A55" w:rsidRPr="00722885" w:rsidRDefault="000C3A55" w:rsidP="00722885">
      <w:pPr>
        <w:pStyle w:val="a3"/>
        <w:widowControl/>
        <w:numPr>
          <w:ilvl w:val="0"/>
          <w:numId w:val="36"/>
        </w:numPr>
        <w:tabs>
          <w:tab w:val="left" w:pos="978"/>
          <w:tab w:val="left" w:pos="4803"/>
        </w:tabs>
        <w:autoSpaceDE/>
        <w:autoSpaceDN/>
        <w:adjustRightInd/>
        <w:rPr>
          <w:color w:val="000000" w:themeColor="text1"/>
        </w:rPr>
      </w:pPr>
      <w:r w:rsidRPr="00722885">
        <w:rPr>
          <w:color w:val="000000" w:themeColor="text1"/>
        </w:rPr>
        <w:t>на высоте 4600 м</w:t>
      </w:r>
      <w:r w:rsidRPr="00722885">
        <w:rPr>
          <w:color w:val="000000" w:themeColor="text1"/>
        </w:rPr>
        <w:tab/>
        <w:t>- 560</w:t>
      </w:r>
    </w:p>
    <w:p w14:paraId="6DD20F66" w14:textId="77777777" w:rsidR="000C3A55" w:rsidRPr="00722885" w:rsidRDefault="000C3A55" w:rsidP="00722885">
      <w:pPr>
        <w:pStyle w:val="a3"/>
        <w:tabs>
          <w:tab w:val="left" w:pos="978"/>
          <w:tab w:val="left" w:pos="4803"/>
        </w:tabs>
        <w:rPr>
          <w:color w:val="000000" w:themeColor="text1"/>
          <w:lang w:val="ru-RU"/>
        </w:rPr>
      </w:pPr>
      <w:r w:rsidRPr="00722885">
        <w:rPr>
          <w:color w:val="000000" w:themeColor="text1"/>
          <w:lang w:val="ru-RU"/>
        </w:rPr>
        <w:t>Время набора высоты 5000 м, мин.</w:t>
      </w:r>
      <w:r w:rsidRPr="00722885">
        <w:rPr>
          <w:color w:val="000000" w:themeColor="text1"/>
          <w:lang w:val="ru-RU"/>
        </w:rPr>
        <w:tab/>
        <w:t>- 7,0</w:t>
      </w:r>
    </w:p>
    <w:p w14:paraId="2EA5B7B0" w14:textId="77777777" w:rsidR="000C3A55" w:rsidRPr="00722885" w:rsidRDefault="000C3A55" w:rsidP="00722885">
      <w:pPr>
        <w:pStyle w:val="a3"/>
        <w:tabs>
          <w:tab w:val="left" w:pos="978"/>
          <w:tab w:val="left" w:pos="4803"/>
        </w:tabs>
        <w:rPr>
          <w:color w:val="000000" w:themeColor="text1"/>
          <w:lang w:val="ru-RU"/>
        </w:rPr>
      </w:pPr>
      <w:r w:rsidRPr="00722885">
        <w:rPr>
          <w:color w:val="000000" w:themeColor="text1"/>
          <w:lang w:val="ru-RU"/>
        </w:rPr>
        <w:t>Практический потолок, м</w:t>
      </w:r>
      <w:r w:rsidRPr="00722885">
        <w:rPr>
          <w:color w:val="000000" w:themeColor="text1"/>
          <w:lang w:val="ru-RU"/>
        </w:rPr>
        <w:tab/>
        <w:t>-10000</w:t>
      </w:r>
    </w:p>
    <w:p w14:paraId="2684A9B0" w14:textId="77777777" w:rsidR="000C3A55" w:rsidRPr="00722885" w:rsidRDefault="000C3A55" w:rsidP="00722885">
      <w:pPr>
        <w:pStyle w:val="a3"/>
        <w:tabs>
          <w:tab w:val="left" w:pos="978"/>
          <w:tab w:val="left" w:pos="4803"/>
        </w:tabs>
        <w:rPr>
          <w:color w:val="000000" w:themeColor="text1"/>
          <w:lang w:val="ru-RU"/>
        </w:rPr>
      </w:pPr>
      <w:r w:rsidRPr="00722885">
        <w:rPr>
          <w:color w:val="000000" w:themeColor="text1"/>
          <w:lang w:val="ru-RU"/>
        </w:rPr>
        <w:t>Дальность полёта (нормальная), км</w:t>
      </w:r>
      <w:r w:rsidRPr="00722885">
        <w:rPr>
          <w:color w:val="000000" w:themeColor="text1"/>
          <w:lang w:val="ru-RU"/>
        </w:rPr>
        <w:tab/>
        <w:t>- 1000</w:t>
      </w:r>
    </w:p>
    <w:p w14:paraId="4A6E9B1B" w14:textId="77777777" w:rsidR="000C3A55" w:rsidRPr="00722885" w:rsidRDefault="000C3A55" w:rsidP="00722885">
      <w:pPr>
        <w:pStyle w:val="a3"/>
        <w:tabs>
          <w:tab w:val="left" w:pos="978"/>
          <w:tab w:val="left" w:pos="4803"/>
        </w:tabs>
        <w:rPr>
          <w:color w:val="000000" w:themeColor="text1"/>
          <w:lang w:val="ru-RU"/>
        </w:rPr>
      </w:pPr>
      <w:r w:rsidRPr="00722885">
        <w:rPr>
          <w:color w:val="000000" w:themeColor="text1"/>
          <w:lang w:val="ru-RU"/>
        </w:rPr>
        <w:t>Длина разбега, м</w:t>
      </w:r>
      <w:r w:rsidRPr="00722885">
        <w:rPr>
          <w:color w:val="000000" w:themeColor="text1"/>
          <w:lang w:val="ru-RU"/>
        </w:rPr>
        <w:tab/>
        <w:t>- 325 (15975).</w:t>
      </w:r>
    </w:p>
    <w:p w14:paraId="1041304E" w14:textId="77777777" w:rsidR="000C3A55" w:rsidRPr="00722885" w:rsidRDefault="000C3A55" w:rsidP="00722885">
      <w:pPr>
        <w:pStyle w:val="a3"/>
        <w:tabs>
          <w:tab w:val="left" w:pos="978"/>
          <w:tab w:val="left" w:pos="4803"/>
        </w:tabs>
        <w:rPr>
          <w:color w:val="000000" w:themeColor="text1"/>
          <w:lang w:val="ru-RU"/>
        </w:rPr>
      </w:pPr>
    </w:p>
    <w:p w14:paraId="2FE6DD7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специалис</w:t>
      </w:r>
      <w:r w:rsidRPr="00722885">
        <w:rPr>
          <w:rFonts w:ascii="Times New Roman" w:hAnsi="Times New Roman"/>
          <w:color w:val="000000" w:themeColor="text1"/>
          <w:sz w:val="16"/>
          <w:szCs w:val="16"/>
        </w:rPr>
        <w:softHyphen/>
        <w:t>ты конструкторского бюро П.О.Су</w:t>
      </w:r>
      <w:r w:rsidRPr="00722885">
        <w:rPr>
          <w:rFonts w:ascii="Times New Roman" w:hAnsi="Times New Roman"/>
          <w:color w:val="000000" w:themeColor="text1"/>
          <w:sz w:val="16"/>
          <w:szCs w:val="16"/>
        </w:rPr>
        <w:softHyphen/>
        <w:t>хого завершили инициативную рабо</w:t>
      </w:r>
      <w:r w:rsidRPr="00722885">
        <w:rPr>
          <w:rFonts w:ascii="Times New Roman" w:hAnsi="Times New Roman"/>
          <w:color w:val="000000" w:themeColor="text1"/>
          <w:sz w:val="16"/>
          <w:szCs w:val="16"/>
        </w:rPr>
        <w:softHyphen/>
        <w:t>ту - эскизный проект самолета «ББ» с мотором М-71Ф (2200л.с.)</w:t>
      </w:r>
    </w:p>
    <w:p w14:paraId="46CB738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расчетные данные са</w:t>
      </w:r>
      <w:r w:rsidRPr="00722885">
        <w:rPr>
          <w:rFonts w:ascii="Times New Roman" w:hAnsi="Times New Roman"/>
          <w:color w:val="000000" w:themeColor="text1"/>
          <w:sz w:val="16"/>
          <w:szCs w:val="16"/>
        </w:rPr>
        <w:softHyphen/>
        <w:t>молета ББ М-71Ф: Длина самолета, мм ................ 10700</w:t>
      </w:r>
    </w:p>
    <w:p w14:paraId="061CC71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мм ..................... 15000</w:t>
      </w:r>
    </w:p>
    <w:p w14:paraId="190E48D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 32,0</w:t>
      </w:r>
    </w:p>
    <w:p w14:paraId="540C721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Масса самолета, кг:</w:t>
      </w:r>
    </w:p>
    <w:p w14:paraId="7C82837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пустого....................................... 3900</w:t>
      </w:r>
    </w:p>
    <w:p w14:paraId="35FB8B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полетная.................................... 5650</w:t>
      </w:r>
    </w:p>
    <w:p w14:paraId="0E22E0B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км/ч:</w:t>
      </w:r>
    </w:p>
    <w:p w14:paraId="6B1305E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 земли ........................................ 490</w:t>
      </w:r>
    </w:p>
    <w:p w14:paraId="53D61E5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на высоте 4600 м .................... 560</w:t>
      </w:r>
    </w:p>
    <w:p w14:paraId="5857156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w:t>
      </w:r>
    </w:p>
    <w:p w14:paraId="1FDDA8F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5000м, мин .......................................7,0</w:t>
      </w:r>
    </w:p>
    <w:p w14:paraId="15A74E8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м ....... 10000</w:t>
      </w:r>
    </w:p>
    <w:p w14:paraId="4E7BE86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полета</w:t>
      </w:r>
    </w:p>
    <w:p w14:paraId="0290B2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(нормальная), км ......................... 1000</w:t>
      </w:r>
    </w:p>
    <w:p w14:paraId="042D2E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разбега, м ......................... 325</w:t>
      </w:r>
    </w:p>
    <w:p w14:paraId="546471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Данный эскизный проект на рас</w:t>
      </w:r>
      <w:r w:rsidRPr="00722885">
        <w:rPr>
          <w:rFonts w:ascii="Times New Roman" w:hAnsi="Times New Roman"/>
          <w:color w:val="000000" w:themeColor="text1"/>
          <w:sz w:val="16"/>
          <w:szCs w:val="16"/>
        </w:rPr>
        <w:softHyphen/>
        <w:t>смотрение в вышестоящие органи</w:t>
      </w:r>
      <w:r w:rsidRPr="00722885">
        <w:rPr>
          <w:rFonts w:ascii="Times New Roman" w:hAnsi="Times New Roman"/>
          <w:color w:val="000000" w:themeColor="text1"/>
          <w:sz w:val="16"/>
          <w:szCs w:val="16"/>
        </w:rPr>
        <w:softHyphen/>
        <w:t>зации не передавался (11849).</w:t>
      </w:r>
    </w:p>
    <w:p w14:paraId="2C4FE8C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0A1F8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Павел Осипович предложил подвергнуть Су-2 серьезным переделкам, установив на хорошо отработанный планер двигатель М-71Ф взлетной мощностью 2200 л.с. В проекте, получившем обозначение ББ, переработали конструкцию фюзеляжа, усилили бронирование и увеличили площадь крыла, изменив его форму в плане. Эта работа, также как и проект Су-2 в варианте штурмовика, заместителем наркома по опытному самолетостроению А.С. Яковлевым утверждены не были (12028).</w:t>
      </w:r>
    </w:p>
    <w:p w14:paraId="30C366A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345E95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был завершен эскизный проект модификации самолета ДДБШ - 2М-71 в варианте бом</w:t>
      </w:r>
      <w:r w:rsidRPr="00722885">
        <w:rPr>
          <w:rFonts w:ascii="Times New Roman" w:hAnsi="Times New Roman"/>
          <w:color w:val="000000" w:themeColor="text1"/>
          <w:sz w:val="16"/>
          <w:szCs w:val="16"/>
        </w:rPr>
        <w:softHyphen/>
        <w:t>бардировщика и высотного развед</w:t>
      </w:r>
      <w:r w:rsidRPr="00722885">
        <w:rPr>
          <w:rFonts w:ascii="Times New Roman" w:hAnsi="Times New Roman"/>
          <w:color w:val="000000" w:themeColor="text1"/>
          <w:sz w:val="16"/>
          <w:szCs w:val="16"/>
        </w:rPr>
        <w:softHyphen/>
        <w:t>чика.</w:t>
      </w:r>
    </w:p>
    <w:p w14:paraId="3C156B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пояснительной записке к про</w:t>
      </w:r>
      <w:r w:rsidRPr="00722885">
        <w:rPr>
          <w:rFonts w:ascii="Times New Roman" w:hAnsi="Times New Roman"/>
          <w:color w:val="000000" w:themeColor="text1"/>
          <w:sz w:val="16"/>
          <w:szCs w:val="16"/>
        </w:rPr>
        <w:softHyphen/>
        <w:t>екту главный конструктор сформу</w:t>
      </w:r>
      <w:r w:rsidRPr="00722885">
        <w:rPr>
          <w:rFonts w:ascii="Times New Roman" w:hAnsi="Times New Roman"/>
          <w:color w:val="000000" w:themeColor="text1"/>
          <w:sz w:val="16"/>
          <w:szCs w:val="16"/>
        </w:rPr>
        <w:softHyphen/>
        <w:t>лировал цель работы следующим образом: «Закончив проектирова</w:t>
      </w:r>
      <w:r w:rsidRPr="00722885">
        <w:rPr>
          <w:rFonts w:ascii="Times New Roman" w:hAnsi="Times New Roman"/>
          <w:color w:val="000000" w:themeColor="text1"/>
          <w:sz w:val="16"/>
          <w:szCs w:val="16"/>
        </w:rPr>
        <w:softHyphen/>
        <w:t>ние самолета ДДБШ и приступив к изготовлению первого летного эк</w:t>
      </w:r>
      <w:r w:rsidRPr="00722885">
        <w:rPr>
          <w:rFonts w:ascii="Times New Roman" w:hAnsi="Times New Roman"/>
          <w:color w:val="000000" w:themeColor="text1"/>
          <w:sz w:val="16"/>
          <w:szCs w:val="16"/>
        </w:rPr>
        <w:softHyphen/>
        <w:t>земпляра, я пришел к решению, что дублер самолета целесообразно строить как одну из модификаций самолета ДДБШ, так как многоце</w:t>
      </w:r>
      <w:r w:rsidRPr="00722885">
        <w:rPr>
          <w:rFonts w:ascii="Times New Roman" w:hAnsi="Times New Roman"/>
          <w:color w:val="000000" w:themeColor="text1"/>
          <w:sz w:val="16"/>
          <w:szCs w:val="16"/>
        </w:rPr>
        <w:softHyphen/>
        <w:t>левой самолет представляет сейчас, во время войны, большой интерес в силу производственных и такти</w:t>
      </w:r>
      <w:r w:rsidRPr="00722885">
        <w:rPr>
          <w:rFonts w:ascii="Times New Roman" w:hAnsi="Times New Roman"/>
          <w:color w:val="000000" w:themeColor="text1"/>
          <w:sz w:val="16"/>
          <w:szCs w:val="16"/>
        </w:rPr>
        <w:softHyphen/>
        <w:t>ческих преимуществ.</w:t>
      </w:r>
    </w:p>
    <w:p w14:paraId="1CD640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Добавив третьего человека к экипажу самолета путем переделки носовой части фюзеляжа, заменив центральную стрелковую батарею</w:t>
      </w:r>
    </w:p>
    <w:p w14:paraId="6274D62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бомбами и сняв бронирование моторов, мы получили возможность использовать самолет в качестве среднего бомбардировщика с бом</w:t>
      </w:r>
      <w:r w:rsidRPr="00722885">
        <w:rPr>
          <w:rFonts w:ascii="Times New Roman" w:hAnsi="Times New Roman"/>
          <w:color w:val="000000" w:themeColor="text1"/>
          <w:sz w:val="16"/>
          <w:szCs w:val="16"/>
        </w:rPr>
        <w:softHyphen/>
        <w:t>бовой нагрузкой в 1350 кг и даль</w:t>
      </w:r>
      <w:r w:rsidRPr="00722885">
        <w:rPr>
          <w:rFonts w:ascii="Times New Roman" w:hAnsi="Times New Roman"/>
          <w:color w:val="000000" w:themeColor="text1"/>
          <w:sz w:val="16"/>
          <w:szCs w:val="16"/>
        </w:rPr>
        <w:softHyphen/>
        <w:t>ностью 1500 км.</w:t>
      </w:r>
    </w:p>
    <w:p w14:paraId="374848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же вариант самолета при установке турбокомпрессоров, до</w:t>
      </w:r>
      <w:r w:rsidRPr="00722885">
        <w:rPr>
          <w:rFonts w:ascii="Times New Roman" w:hAnsi="Times New Roman"/>
          <w:color w:val="000000" w:themeColor="text1"/>
          <w:sz w:val="16"/>
          <w:szCs w:val="16"/>
        </w:rPr>
        <w:softHyphen/>
        <w:t>полнительного бака и фотообору</w:t>
      </w:r>
      <w:r w:rsidRPr="00722885">
        <w:rPr>
          <w:rFonts w:ascii="Times New Roman" w:hAnsi="Times New Roman"/>
          <w:color w:val="000000" w:themeColor="text1"/>
          <w:sz w:val="16"/>
          <w:szCs w:val="16"/>
        </w:rPr>
        <w:softHyphen/>
        <w:t>дования может выпускаться в каче</w:t>
      </w:r>
      <w:r w:rsidRPr="00722885">
        <w:rPr>
          <w:rFonts w:ascii="Times New Roman" w:hAnsi="Times New Roman"/>
          <w:color w:val="000000" w:themeColor="text1"/>
          <w:sz w:val="16"/>
          <w:szCs w:val="16"/>
        </w:rPr>
        <w:softHyphen/>
        <w:t>стве высотного разведчика с дально</w:t>
      </w:r>
      <w:r w:rsidRPr="00722885">
        <w:rPr>
          <w:rFonts w:ascii="Times New Roman" w:hAnsi="Times New Roman"/>
          <w:color w:val="000000" w:themeColor="text1"/>
          <w:sz w:val="16"/>
          <w:szCs w:val="16"/>
        </w:rPr>
        <w:softHyphen/>
        <w:t>стью 2000 км и скоростью 590 км/ч на высоте 8000 м.</w:t>
      </w:r>
    </w:p>
    <w:p w14:paraId="6B0D32C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Крыло самолета ДДБШ, его шасси, хвостовая часть фюзеляжа, оперение и размещение пилота с его приборами остаются без изме</w:t>
      </w:r>
      <w:r w:rsidRPr="00722885">
        <w:rPr>
          <w:rFonts w:ascii="Times New Roman" w:hAnsi="Times New Roman"/>
          <w:color w:val="000000" w:themeColor="text1"/>
          <w:sz w:val="16"/>
          <w:szCs w:val="16"/>
        </w:rPr>
        <w:softHyphen/>
        <w:t>нения при использовании самоле</w:t>
      </w:r>
      <w:r w:rsidRPr="00722885">
        <w:rPr>
          <w:rFonts w:ascii="Times New Roman" w:hAnsi="Times New Roman"/>
          <w:color w:val="000000" w:themeColor="text1"/>
          <w:sz w:val="16"/>
          <w:szCs w:val="16"/>
        </w:rPr>
        <w:softHyphen/>
        <w:t>та в вариантах разведчика («Р») или бомбардировщика («Б»).</w:t>
      </w:r>
    </w:p>
    <w:p w14:paraId="7463284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Носовая часть фюзеляжа само</w:t>
      </w:r>
      <w:r w:rsidRPr="00722885">
        <w:rPr>
          <w:rFonts w:ascii="Times New Roman" w:hAnsi="Times New Roman"/>
          <w:color w:val="000000" w:themeColor="text1"/>
          <w:sz w:val="16"/>
          <w:szCs w:val="16"/>
        </w:rPr>
        <w:softHyphen/>
        <w:t>лета (конструктивно-съемная) уве</w:t>
      </w:r>
      <w:r w:rsidRPr="00722885">
        <w:rPr>
          <w:rFonts w:ascii="Times New Roman" w:hAnsi="Times New Roman"/>
          <w:color w:val="000000" w:themeColor="text1"/>
          <w:sz w:val="16"/>
          <w:szCs w:val="16"/>
        </w:rPr>
        <w:softHyphen/>
        <w:t>личивается и по объему обеспечи</w:t>
      </w:r>
      <w:r w:rsidRPr="00722885">
        <w:rPr>
          <w:rFonts w:ascii="Times New Roman" w:hAnsi="Times New Roman"/>
          <w:color w:val="000000" w:themeColor="text1"/>
          <w:sz w:val="16"/>
          <w:szCs w:val="16"/>
        </w:rPr>
        <w:softHyphen/>
        <w:t>вает размещение переднего стрел</w:t>
      </w:r>
      <w:r w:rsidRPr="00722885">
        <w:rPr>
          <w:rFonts w:ascii="Times New Roman" w:hAnsi="Times New Roman"/>
          <w:color w:val="000000" w:themeColor="text1"/>
          <w:sz w:val="16"/>
          <w:szCs w:val="16"/>
        </w:rPr>
        <w:softHyphen/>
        <w:t>ка с хорошим обзором передней полусферы. Имеется два люка — нижний для входа в кабину, верх</w:t>
      </w:r>
      <w:r w:rsidRPr="00722885">
        <w:rPr>
          <w:rFonts w:ascii="Times New Roman" w:hAnsi="Times New Roman"/>
          <w:color w:val="000000" w:themeColor="text1"/>
          <w:sz w:val="16"/>
          <w:szCs w:val="16"/>
        </w:rPr>
        <w:softHyphen/>
        <w:t>ний - для выхода стрелка из каби</w:t>
      </w:r>
      <w:r w:rsidRPr="00722885">
        <w:rPr>
          <w:rFonts w:ascii="Times New Roman" w:hAnsi="Times New Roman"/>
          <w:color w:val="000000" w:themeColor="text1"/>
          <w:sz w:val="16"/>
          <w:szCs w:val="16"/>
        </w:rPr>
        <w:softHyphen/>
        <w:t>ны в случае посадки с убранным шасси, а также для работы с секстантом.</w:t>
      </w:r>
    </w:p>
    <w:p w14:paraId="1B0D406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Откидывающееся сидение стрел</w:t>
      </w:r>
      <w:r w:rsidRPr="00722885">
        <w:rPr>
          <w:rFonts w:ascii="Times New Roman" w:hAnsi="Times New Roman"/>
          <w:color w:val="000000" w:themeColor="text1"/>
          <w:sz w:val="16"/>
          <w:szCs w:val="16"/>
        </w:rPr>
        <w:softHyphen/>
        <w:t>ка и вращающаяся бронеспинка обеспечивают ему подход к фото</w:t>
      </w:r>
      <w:r w:rsidRPr="00722885">
        <w:rPr>
          <w:rFonts w:ascii="Times New Roman" w:hAnsi="Times New Roman"/>
          <w:color w:val="000000" w:themeColor="text1"/>
          <w:sz w:val="16"/>
          <w:szCs w:val="16"/>
        </w:rPr>
        <w:softHyphen/>
        <w:t>аппаратам. Под фотоаппаратами имеется шторка, открывающая люк для съемки.</w:t>
      </w:r>
    </w:p>
    <w:p w14:paraId="666B84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центральной части фюзеляжа располагаются бензобаки, пере</w:t>
      </w:r>
      <w:r w:rsidRPr="00722885">
        <w:rPr>
          <w:rFonts w:ascii="Times New Roman" w:hAnsi="Times New Roman"/>
          <w:color w:val="000000" w:themeColor="text1"/>
          <w:sz w:val="16"/>
          <w:szCs w:val="16"/>
        </w:rPr>
        <w:softHyphen/>
        <w:t>дний емкостью 400 кг и задний — 550 кг.</w:t>
      </w:r>
    </w:p>
    <w:p w14:paraId="45BBBD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Отсек под баками, занимавшийся в ДДБШ стрелковой батареей, по</w:t>
      </w:r>
      <w:r w:rsidRPr="00722885">
        <w:rPr>
          <w:rFonts w:ascii="Times New Roman" w:hAnsi="Times New Roman"/>
          <w:color w:val="000000" w:themeColor="text1"/>
          <w:sz w:val="16"/>
          <w:szCs w:val="16"/>
        </w:rPr>
        <w:softHyphen/>
        <w:t>зволяет разместить дополнительные</w:t>
      </w:r>
    </w:p>
    <w:p w14:paraId="4E56F0A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бензобаки, если потребуется в ва</w:t>
      </w:r>
      <w:r w:rsidRPr="00722885">
        <w:rPr>
          <w:rFonts w:ascii="Times New Roman" w:hAnsi="Times New Roman"/>
          <w:color w:val="000000" w:themeColor="text1"/>
          <w:sz w:val="16"/>
          <w:szCs w:val="16"/>
        </w:rPr>
        <w:softHyphen/>
        <w:t>рианте «Р» увеличить дальность полета...</w:t>
      </w:r>
    </w:p>
    <w:p w14:paraId="7859F77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варианте «Р» моторы М-71Ф снабжены ТК-3. Винт металличес</w:t>
      </w:r>
      <w:r w:rsidRPr="00722885">
        <w:rPr>
          <w:rFonts w:ascii="Times New Roman" w:hAnsi="Times New Roman"/>
          <w:color w:val="000000" w:themeColor="text1"/>
          <w:sz w:val="16"/>
          <w:szCs w:val="16"/>
        </w:rPr>
        <w:softHyphen/>
        <w:t>кий четырехлопастной Д=3,85м по</w:t>
      </w:r>
      <w:r w:rsidRPr="00722885">
        <w:rPr>
          <w:rFonts w:ascii="Times New Roman" w:hAnsi="Times New Roman"/>
          <w:color w:val="000000" w:themeColor="text1"/>
          <w:sz w:val="16"/>
          <w:szCs w:val="16"/>
        </w:rPr>
        <w:softHyphen/>
        <w:t>стоянного числа оборотов с уста</w:t>
      </w:r>
      <w:r w:rsidRPr="00722885">
        <w:rPr>
          <w:rFonts w:ascii="Times New Roman" w:hAnsi="Times New Roman"/>
          <w:color w:val="000000" w:themeColor="text1"/>
          <w:sz w:val="16"/>
          <w:szCs w:val="16"/>
        </w:rPr>
        <w:softHyphen/>
        <w:t>новкой во флюгерное положение для полета с одним остановленным мотором...</w:t>
      </w:r>
    </w:p>
    <w:p w14:paraId="2E76E2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Стрелковое вооружение, общее для вариантов разведчика и бом</w:t>
      </w:r>
      <w:r w:rsidRPr="00722885">
        <w:rPr>
          <w:rFonts w:ascii="Times New Roman" w:hAnsi="Times New Roman"/>
          <w:color w:val="000000" w:themeColor="text1"/>
          <w:sz w:val="16"/>
          <w:szCs w:val="16"/>
        </w:rPr>
        <w:softHyphen/>
        <w:t>бардировщика, состоит из 3-х пу</w:t>
      </w:r>
      <w:r w:rsidRPr="00722885">
        <w:rPr>
          <w:rFonts w:ascii="Times New Roman" w:hAnsi="Times New Roman"/>
          <w:color w:val="000000" w:themeColor="text1"/>
          <w:sz w:val="16"/>
          <w:szCs w:val="16"/>
        </w:rPr>
        <w:softHyphen/>
        <w:t>леметов калибром 12,7 системы</w:t>
      </w:r>
    </w:p>
    <w:p w14:paraId="21C8F12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Березина. Пулемет носовой уста</w:t>
      </w:r>
      <w:r w:rsidRPr="00722885">
        <w:rPr>
          <w:rFonts w:ascii="Times New Roman" w:hAnsi="Times New Roman"/>
          <w:color w:val="000000" w:themeColor="text1"/>
          <w:sz w:val="16"/>
          <w:szCs w:val="16"/>
        </w:rPr>
        <w:softHyphen/>
        <w:t>новки помещается в креплении типа ДБ-3 с амортизатором для компен</w:t>
      </w:r>
      <w:r w:rsidRPr="00722885">
        <w:rPr>
          <w:rFonts w:ascii="Times New Roman" w:hAnsi="Times New Roman"/>
          <w:color w:val="000000" w:themeColor="text1"/>
          <w:sz w:val="16"/>
          <w:szCs w:val="16"/>
        </w:rPr>
        <w:softHyphen/>
        <w:t>сации веса, приходящегося на руку стрелка. Возможна установка с вращающимся колпаком и эксцент</w:t>
      </w:r>
      <w:r w:rsidRPr="00722885">
        <w:rPr>
          <w:rFonts w:ascii="Times New Roman" w:hAnsi="Times New Roman"/>
          <w:color w:val="000000" w:themeColor="text1"/>
          <w:sz w:val="16"/>
          <w:szCs w:val="16"/>
        </w:rPr>
        <w:softHyphen/>
        <w:t>ричным расположением шарнира крепления пулемета для увеличения углов обстрела.</w:t>
      </w:r>
    </w:p>
    <w:p w14:paraId="34D7D56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Турельная установка заднего стрелка нормального типа УТК- 1. Обвод фюзеляжа перед турелью обеспечивает обстрел значитель</w:t>
      </w:r>
      <w:r w:rsidRPr="00722885">
        <w:rPr>
          <w:rFonts w:ascii="Times New Roman" w:hAnsi="Times New Roman"/>
          <w:color w:val="000000" w:themeColor="text1"/>
          <w:sz w:val="16"/>
          <w:szCs w:val="16"/>
        </w:rPr>
        <w:softHyphen/>
        <w:t>ной части передней полусферы.</w:t>
      </w:r>
    </w:p>
    <w:p w14:paraId="5723D79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Люковая установка нормально</w:t>
      </w:r>
      <w:r w:rsidRPr="00722885">
        <w:rPr>
          <w:rFonts w:ascii="Times New Roman" w:hAnsi="Times New Roman"/>
          <w:color w:val="000000" w:themeColor="text1"/>
          <w:sz w:val="16"/>
          <w:szCs w:val="16"/>
        </w:rPr>
        <w:softHyphen/>
        <w:t>го типа. Запас патронов каждой установки по 200 шт.</w:t>
      </w:r>
    </w:p>
    <w:p w14:paraId="1513AF8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варианте «Б» грузовой отсек в фюзеляже и шесть отсеков в цен</w:t>
      </w:r>
      <w:r w:rsidRPr="00722885">
        <w:rPr>
          <w:rFonts w:ascii="Times New Roman" w:hAnsi="Times New Roman"/>
          <w:color w:val="000000" w:themeColor="text1"/>
          <w:sz w:val="16"/>
          <w:szCs w:val="16"/>
        </w:rPr>
        <w:softHyphen/>
        <w:t>троплане обеспечивают нормаль</w:t>
      </w:r>
      <w:r w:rsidRPr="00722885">
        <w:rPr>
          <w:rFonts w:ascii="Times New Roman" w:hAnsi="Times New Roman"/>
          <w:color w:val="000000" w:themeColor="text1"/>
          <w:sz w:val="16"/>
          <w:szCs w:val="16"/>
        </w:rPr>
        <w:softHyphen/>
        <w:t>ную бомбовую нагрузку в Т350 кг.</w:t>
      </w:r>
    </w:p>
    <w:p w14:paraId="2F4098F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Перегрузочный вариант - до 2500 кг с учетом наружной под</w:t>
      </w:r>
      <w:r w:rsidRPr="00722885">
        <w:rPr>
          <w:rFonts w:ascii="Times New Roman" w:hAnsi="Times New Roman"/>
          <w:color w:val="000000" w:themeColor="text1"/>
          <w:sz w:val="16"/>
          <w:szCs w:val="16"/>
        </w:rPr>
        <w:softHyphen/>
        <w:t>вески...</w:t>
      </w:r>
    </w:p>
    <w:p w14:paraId="5C382E6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Летчик защищен сзади стальной бронеплитой толщиной 15 мм, сверху, с боков - толщиной 8 мм и снизу - толщиной 6 мм. Передний стрелок защищен сзади бронепли</w:t>
      </w:r>
      <w:r w:rsidRPr="00722885">
        <w:rPr>
          <w:rFonts w:ascii="Times New Roman" w:hAnsi="Times New Roman"/>
          <w:color w:val="000000" w:themeColor="text1"/>
          <w:sz w:val="16"/>
          <w:szCs w:val="16"/>
        </w:rPr>
        <w:softHyphen/>
        <w:t>той толщиной 15 мм и снизу толщиной 6 мм. Бронирование задне</w:t>
      </w:r>
      <w:r w:rsidRPr="00722885">
        <w:rPr>
          <w:rFonts w:ascii="Times New Roman" w:hAnsi="Times New Roman"/>
          <w:color w:val="000000" w:themeColor="text1"/>
          <w:sz w:val="16"/>
          <w:szCs w:val="16"/>
        </w:rPr>
        <w:softHyphen/>
        <w:t>го стрелка с боков и снизу - тол</w:t>
      </w:r>
      <w:r w:rsidRPr="00722885">
        <w:rPr>
          <w:rFonts w:ascii="Times New Roman" w:hAnsi="Times New Roman"/>
          <w:color w:val="000000" w:themeColor="text1"/>
          <w:sz w:val="16"/>
          <w:szCs w:val="16"/>
        </w:rPr>
        <w:softHyphen/>
        <w:t>щиной 4-6 мм, сзади - 15 мм.</w:t>
      </w:r>
    </w:p>
    <w:p w14:paraId="725982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Масляные и бензиновые баки протектированы против пуль калиб</w:t>
      </w:r>
      <w:r w:rsidRPr="00722885">
        <w:rPr>
          <w:rFonts w:ascii="Times New Roman" w:hAnsi="Times New Roman"/>
          <w:color w:val="000000" w:themeColor="text1"/>
          <w:sz w:val="16"/>
          <w:szCs w:val="16"/>
        </w:rPr>
        <w:softHyphen/>
        <w:t>ра 12,7. Баки помещаются в герме</w:t>
      </w:r>
      <w:r w:rsidRPr="00722885">
        <w:rPr>
          <w:rFonts w:ascii="Times New Roman" w:hAnsi="Times New Roman"/>
          <w:color w:val="000000" w:themeColor="text1"/>
          <w:sz w:val="16"/>
          <w:szCs w:val="16"/>
        </w:rPr>
        <w:softHyphen/>
        <w:t>тизированных отсеках заполняемых, как и сами баки, нейтральным га</w:t>
      </w:r>
      <w:r w:rsidRPr="00722885">
        <w:rPr>
          <w:rFonts w:ascii="Times New Roman" w:hAnsi="Times New Roman"/>
          <w:color w:val="000000" w:themeColor="text1"/>
          <w:sz w:val="16"/>
          <w:szCs w:val="16"/>
        </w:rPr>
        <w:softHyphen/>
        <w:t>зом...»</w:t>
      </w:r>
    </w:p>
    <w:p w14:paraId="6EF735C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Проект был рассмотрен в НИИ ВВС КА. В выводах Заключения по эскизному проекту отмечалось: «... Постройка самолета ДДБШ в ва</w:t>
      </w:r>
      <w:r w:rsidRPr="00722885">
        <w:rPr>
          <w:rFonts w:ascii="Times New Roman" w:hAnsi="Times New Roman"/>
          <w:color w:val="000000" w:themeColor="text1"/>
          <w:sz w:val="16"/>
          <w:szCs w:val="16"/>
        </w:rPr>
        <w:softHyphen/>
        <w:t>риантах разведчика и бомбарди</w:t>
      </w:r>
      <w:r w:rsidRPr="00722885">
        <w:rPr>
          <w:rFonts w:ascii="Times New Roman" w:hAnsi="Times New Roman"/>
          <w:color w:val="000000" w:themeColor="text1"/>
          <w:sz w:val="16"/>
          <w:szCs w:val="16"/>
        </w:rPr>
        <w:softHyphen/>
        <w:t>ровщика является целесообразной, т.к. бронированный самолет со сравнительно высокими летными данными может быть использован в боевых действиях с большим успе</w:t>
      </w:r>
      <w:r w:rsidRPr="00722885">
        <w:rPr>
          <w:rFonts w:ascii="Times New Roman" w:hAnsi="Times New Roman"/>
          <w:color w:val="000000" w:themeColor="text1"/>
          <w:sz w:val="16"/>
          <w:szCs w:val="16"/>
        </w:rPr>
        <w:softHyphen/>
        <w:t>хом по сравнению с самолетами меньшей броневой защиты...</w:t>
      </w:r>
    </w:p>
    <w:p w14:paraId="1CD835E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ЗАКЛЮЧЕНИЕ</w:t>
      </w:r>
    </w:p>
    <w:p w14:paraId="2D994B9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Эскизный проект утвердить.</w:t>
      </w:r>
    </w:p>
    <w:p w14:paraId="6CF6BEA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Просить НКАП дать задание т. Сухому 2-й экземпляр построить в вариантах Б и Р со следующими изменениями:</w:t>
      </w:r>
    </w:p>
    <w:p w14:paraId="50FD90E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переоборудовать переднюю кабину под кабину штурмана и обеспечить зрительную и непосред</w:t>
      </w:r>
      <w:r w:rsidRPr="00722885">
        <w:rPr>
          <w:rFonts w:ascii="Times New Roman" w:hAnsi="Times New Roman"/>
          <w:color w:val="000000" w:themeColor="text1"/>
          <w:sz w:val="16"/>
          <w:szCs w:val="16"/>
        </w:rPr>
        <w:softHyphen/>
        <w:t>ственную связь между летчиком и штурманом;</w:t>
      </w:r>
    </w:p>
    <w:p w14:paraId="2AAC74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обеспечить возможность раз</w:t>
      </w:r>
      <w:r w:rsidRPr="00722885">
        <w:rPr>
          <w:rFonts w:ascii="Times New Roman" w:hAnsi="Times New Roman"/>
          <w:color w:val="000000" w:themeColor="text1"/>
          <w:sz w:val="16"/>
          <w:szCs w:val="16"/>
        </w:rPr>
        <w:softHyphen/>
        <w:t>мещения в задней кабине второго стрелка для обслуживания люковой установки;</w:t>
      </w:r>
    </w:p>
    <w:p w14:paraId="350CFE2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оборудовать бомбоотсек в фюзеляже под загрузку бомбами мелких калибров;</w:t>
      </w:r>
    </w:p>
    <w:p w14:paraId="4E8023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обеспечить возможность под</w:t>
      </w:r>
      <w:r w:rsidRPr="00722885">
        <w:rPr>
          <w:rFonts w:ascii="Times New Roman" w:hAnsi="Times New Roman"/>
          <w:color w:val="000000" w:themeColor="text1"/>
          <w:sz w:val="16"/>
          <w:szCs w:val="16"/>
        </w:rPr>
        <w:softHyphen/>
        <w:t>вески на наружных бомбодержате</w:t>
      </w:r>
      <w:r w:rsidRPr="00722885">
        <w:rPr>
          <w:rFonts w:ascii="Times New Roman" w:hAnsi="Times New Roman"/>
          <w:color w:val="000000" w:themeColor="text1"/>
          <w:sz w:val="16"/>
          <w:szCs w:val="16"/>
        </w:rPr>
        <w:softHyphen/>
        <w:t>лях бомб калибра 500 и 1000 кг, а также ВАП и УХАП;</w:t>
      </w:r>
    </w:p>
    <w:p w14:paraId="24D0322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для варианта высотного раз</w:t>
      </w:r>
      <w:r w:rsidRPr="00722885">
        <w:rPr>
          <w:rFonts w:ascii="Times New Roman" w:hAnsi="Times New Roman"/>
          <w:color w:val="000000" w:themeColor="text1"/>
          <w:sz w:val="16"/>
          <w:szCs w:val="16"/>
        </w:rPr>
        <w:softHyphen/>
        <w:t>ведчика установить качающуюся установку под 2-3 АФА и фотообо</w:t>
      </w:r>
      <w:r w:rsidRPr="00722885">
        <w:rPr>
          <w:rFonts w:ascii="Times New Roman" w:hAnsi="Times New Roman"/>
          <w:color w:val="000000" w:themeColor="text1"/>
          <w:sz w:val="16"/>
          <w:szCs w:val="16"/>
        </w:rPr>
        <w:softHyphen/>
        <w:t>рудование для ночных съемок...» (11853).</w:t>
      </w:r>
    </w:p>
    <w:p w14:paraId="621FFBF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0124D1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 был закончен эскизный проект самолета с дизельными двигателями (9528).</w:t>
      </w:r>
    </w:p>
    <w:p w14:paraId="5923FF5C" w14:textId="77777777" w:rsidR="00BB6316" w:rsidRPr="00722885" w:rsidRDefault="00BB6316" w:rsidP="00722885">
      <w:pPr>
        <w:pStyle w:val="Iauiue"/>
        <w:jc w:val="both"/>
        <w:rPr>
          <w:color w:val="000000" w:themeColor="text1"/>
          <w:sz w:val="16"/>
          <w:szCs w:val="16"/>
        </w:rPr>
      </w:pPr>
    </w:p>
    <w:p w14:paraId="550859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на заводе № 39 собрали еще шесть Ил-4. В январе 1943 г. были построены 10 бомбардировщиков, в июне темп достиг 15 машин в месяц. Начиная с октября по декабрь 1943 г. ежемесячно собирали по 30 машин, а затем темп стал сокращаться. Это было связано с очередным удивительным витком в биографии завода. Только- только вытянули Ил-4, и вдруг опять надо начинать перестройку производства. В сентябре завод №39 получил задание - параллельно с изготовлением Ил-4 организовать производство нового изделия - дальнего бомбардировщика Ер-2, причем первый Ер-2 следовало построить уже в декабре, с тем, чтобы начиная с января наращивать темп его выпуска при одновременном сокращении объемов строительства Ил-4.</w:t>
      </w:r>
    </w:p>
    <w:p w14:paraId="3C5956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№126 строил ДБ-ЗФ с темпов 60 самолетов в месяц. Этого было недостаточно для компенсации боевых потерь и наращивания численности Дальней авиации. В связи с этим в подмосковных Филях в марте 1942 г., на вернувшемся из Сибири заводе, получившем №23, тоже развернули производство Ил-4. Ввиду близости к ОКБ новый завод стал базой для отработки в условиях серийного производства всех необходимых переделок конструкции. Но его темп выпуска ДБ-ЗФ не превышал 30 машин в месяц, да и вышли на такой показатель только к ноябрю 1942 г.</w:t>
      </w:r>
    </w:p>
    <w:p w14:paraId="4A5ED1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том же году для выпуска Ил-4 на площадке эвакуированного завода №39 в Москве организовали завод №81, а сам 39-й завод в Иркутске прекратил изготовление Пе-2 и Пе-3 в пользу Ил-4.</w:t>
      </w:r>
    </w:p>
    <w:p w14:paraId="32871E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Бесконечные переезды и переориентации заводов привели к тому, что даже ценой огромных усилий за 1941 г. было выпущено всего 757 ДБ-3 и ДБ-ЗФ, а за 1942 г. - 858 машин (12037).</w:t>
      </w:r>
    </w:p>
    <w:p w14:paraId="04B22C66"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25DF75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завод № 23 выпустил малую серию из 10 бомбарди</w:t>
      </w:r>
      <w:r w:rsidRPr="00722885">
        <w:rPr>
          <w:rFonts w:ascii="Times New Roman" w:hAnsi="Times New Roman"/>
          <w:color w:val="000000" w:themeColor="text1"/>
          <w:sz w:val="16"/>
          <w:szCs w:val="16"/>
        </w:rPr>
        <w:softHyphen/>
        <w:t>ровщиков с новыми консолями и уси</w:t>
      </w:r>
      <w:r w:rsidRPr="00722885">
        <w:rPr>
          <w:rFonts w:ascii="Times New Roman" w:hAnsi="Times New Roman"/>
          <w:color w:val="000000" w:themeColor="text1"/>
          <w:sz w:val="16"/>
          <w:szCs w:val="16"/>
        </w:rPr>
        <w:softHyphen/>
        <w:t>ленным шасси. Ее направили на вой</w:t>
      </w:r>
      <w:r w:rsidRPr="00722885">
        <w:rPr>
          <w:rFonts w:ascii="Times New Roman" w:hAnsi="Times New Roman"/>
          <w:color w:val="000000" w:themeColor="text1"/>
          <w:sz w:val="16"/>
          <w:szCs w:val="16"/>
        </w:rPr>
        <w:softHyphen/>
        <w:t>сковые испытания. Последние показали одновременно с улучшением пилотаж</w:t>
      </w:r>
      <w:r w:rsidRPr="00722885">
        <w:rPr>
          <w:rFonts w:ascii="Times New Roman" w:hAnsi="Times New Roman"/>
          <w:color w:val="000000" w:themeColor="text1"/>
          <w:sz w:val="16"/>
          <w:szCs w:val="16"/>
        </w:rPr>
        <w:softHyphen/>
        <w:t>ных качеств значительное снижение бо</w:t>
      </w:r>
      <w:r w:rsidRPr="00722885">
        <w:rPr>
          <w:rFonts w:ascii="Times New Roman" w:hAnsi="Times New Roman"/>
          <w:color w:val="000000" w:themeColor="text1"/>
          <w:sz w:val="16"/>
          <w:szCs w:val="16"/>
        </w:rPr>
        <w:softHyphen/>
        <w:t>евой живучести. С новыми консолями выпустили небольшое количество бом</w:t>
      </w:r>
      <w:r w:rsidRPr="00722885">
        <w:rPr>
          <w:rFonts w:ascii="Times New Roman" w:hAnsi="Times New Roman"/>
          <w:color w:val="000000" w:themeColor="text1"/>
          <w:sz w:val="16"/>
          <w:szCs w:val="16"/>
        </w:rPr>
        <w:softHyphen/>
        <w:t>бардировщиков. Зато простой разворот отъемных частей крыла внедрили позже на разных заводах (10734,77).</w:t>
      </w:r>
    </w:p>
    <w:p w14:paraId="29E64D2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32A796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на вооружение приняли авиационные парашютные донные неконтактные мины АМД-500 и АМД-1000 с 730 кг взрывчатки. На ДБ-3 и ДБ-3Ф подвешивали две АМД-500 или одну АМД-1000 и они постепенно вытеснили все остальные. Потом появились АМД-2-500 и АМД-2-1000 с двухканальным взрывателем. Их с декабря 1942 по июль 1943 в Каспийском море и приняли на вооружение в январе 1945 (1085,176).</w:t>
      </w:r>
    </w:p>
    <w:p w14:paraId="0F805304" w14:textId="77777777" w:rsidR="00BB6316" w:rsidRPr="00722885" w:rsidRDefault="00BB6316" w:rsidP="00722885">
      <w:pPr>
        <w:pStyle w:val="Iauiue"/>
        <w:jc w:val="both"/>
        <w:rPr>
          <w:color w:val="000000" w:themeColor="text1"/>
          <w:sz w:val="16"/>
          <w:szCs w:val="16"/>
        </w:rPr>
      </w:pPr>
    </w:p>
    <w:p w14:paraId="48FD77D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на вооружение приняли неконтактные донные мины АМД-500 и АМД-1000 с использованием конструктивных решений АМК-1 (561,28).</w:t>
      </w:r>
    </w:p>
    <w:p w14:paraId="3EEAD369" w14:textId="77777777" w:rsidR="00BB6316" w:rsidRPr="00722885" w:rsidRDefault="00BB6316" w:rsidP="00722885">
      <w:pPr>
        <w:pStyle w:val="Iauiue"/>
        <w:jc w:val="both"/>
        <w:rPr>
          <w:color w:val="000000" w:themeColor="text1"/>
          <w:sz w:val="16"/>
          <w:szCs w:val="16"/>
        </w:rPr>
      </w:pPr>
    </w:p>
    <w:p w14:paraId="51BD43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приняли на вооружение новые отечественные неконтактные донные мины АМД- 500 и АМД-1000 весом соответственно 500 и 1000 кг (12021).</w:t>
      </w:r>
    </w:p>
    <w:p w14:paraId="64CDB63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2D4A37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декабря 1942 по июль 1943 на Каспии испытывали АМД-2-500, но приняли на вооружение только в январе 1945 (561,28).</w:t>
      </w:r>
    </w:p>
    <w:p w14:paraId="728EEDC1" w14:textId="77777777" w:rsidR="00BB6316" w:rsidRPr="00722885" w:rsidRDefault="00BB6316" w:rsidP="00722885">
      <w:pPr>
        <w:pStyle w:val="Iauiue"/>
        <w:jc w:val="both"/>
        <w:rPr>
          <w:color w:val="000000" w:themeColor="text1"/>
          <w:sz w:val="16"/>
          <w:szCs w:val="16"/>
        </w:rPr>
      </w:pPr>
    </w:p>
    <w:p w14:paraId="7043FEC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В декабре 1942 завод 166 из пяти намеченных самолетов Ту-2Р передал ВВС во 2 ДРАП три машины NN 508, 601 и 603. В первых двух были установлены по одному АФА-3с, а в 603 - два спаренных АФА-3с/50 на подвижных установках с односторонним качением: один влево от 0 до -7, а другой - вправо от 0 до +7 град., что давало </w:t>
      </w:r>
      <w:r w:rsidRPr="00722885">
        <w:rPr>
          <w:color w:val="000000" w:themeColor="text1"/>
          <w:sz w:val="16"/>
          <w:szCs w:val="16"/>
        </w:rPr>
        <w:lastRenderedPageBreak/>
        <w:t>возможность производить перспективную маршрутную съемку (1835,53).</w:t>
      </w:r>
    </w:p>
    <w:p w14:paraId="7B92B158" w14:textId="77777777" w:rsidR="00BB6316" w:rsidRPr="00722885" w:rsidRDefault="00BB6316" w:rsidP="00722885">
      <w:pPr>
        <w:pStyle w:val="Iauiue"/>
        <w:jc w:val="both"/>
        <w:rPr>
          <w:color w:val="000000" w:themeColor="text1"/>
          <w:sz w:val="16"/>
          <w:szCs w:val="16"/>
        </w:rPr>
      </w:pPr>
    </w:p>
    <w:p w14:paraId="21DE3AED" w14:textId="77777777" w:rsidR="003B6A42" w:rsidRPr="00722885" w:rsidRDefault="003B6A4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декабре 1942 г. в Омске сдали первые три разведчика. В вариант Ту-2р доработали одну машину из 5-й серии и две из 6-й. На самолетах №№ 100508 и 100601 поставили по одному неподвижному аппарату, на № 100603 – два АФА-3с/50, один из которых наклонялся вправо, другой – влево. Дополнительные баки отсутствовали. Все три разведчика проходили войсковые испытания во 2-м апдр на Калининском фронте. Первым дополнительный бензобак получил самолет № 100406; это произошло в июле 1943 г. Увеличенный запас топлива обеспечивал практическую дальность в 2130 км. Данную машину укомплектовали двумя АФА-3с/50 на качающейся установке; один аппарат наклонялся вправо, а другой – влево (21059).</w:t>
      </w:r>
    </w:p>
    <w:p w14:paraId="65875A6E" w14:textId="77777777" w:rsidR="003B6A42" w:rsidRPr="00722885" w:rsidRDefault="003B6A42" w:rsidP="00722885">
      <w:pPr>
        <w:spacing w:after="0" w:line="240" w:lineRule="auto"/>
        <w:jc w:val="both"/>
        <w:rPr>
          <w:rFonts w:ascii="Times New Roman" w:hAnsi="Times New Roman"/>
          <w:color w:val="0070C0"/>
          <w:sz w:val="16"/>
          <w:szCs w:val="16"/>
        </w:rPr>
      </w:pPr>
    </w:p>
    <w:p w14:paraId="45AA8A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Романов докладывал в ГУЗ и ТС ВВС:</w:t>
      </w:r>
    </w:p>
    <w:p w14:paraId="3A7F3C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(главный конструктор и директор) не заинтересован в модернизации самолета Пе-2 на М-82. Работы, проводимые опытным цехом, делались наспех и лишь бы от них отделаться. ЛИС проводил испытания неорганизованно. В результате повторяются прежние дефекты...</w:t>
      </w:r>
    </w:p>
    <w:p w14:paraId="3E4055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Ведущий инженер Розенфельд медлителен, больше занимается вычислениями и отчетами, чем реальной работой. Прошу оказать воздействие..."</w:t>
      </w:r>
    </w:p>
    <w:p w14:paraId="451C5A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Главным объективным сдерживающим фактором была низкая надежность моторов М-82 ранних серий. Прошло шесть месяцев доработок и переделок, прежде чем завод № 22 рискнул выставить самолет на государственные испытания в НИИ ВВС. В период с января по март 1943 г. майор Хрипков выполнил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М-Ю5ПФ.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6BBE37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7B5BF2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11605F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392CD4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07EFF9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1C3094D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ECA26F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бомбардировщики Пе-2, оборудованные разработанными коллективом под руководством В.В.Тихомирова самолетными РЛС "Гнейс-2" использовались для перехвата самолетов, снабжавших армию Паулюса (384,222).</w:t>
      </w:r>
    </w:p>
    <w:p w14:paraId="7C46848F" w14:textId="77777777" w:rsidR="00BB6316" w:rsidRPr="00722885" w:rsidRDefault="00BB6316" w:rsidP="00722885">
      <w:pPr>
        <w:pStyle w:val="Iauiue"/>
        <w:jc w:val="both"/>
        <w:rPr>
          <w:color w:val="000000" w:themeColor="text1"/>
          <w:sz w:val="16"/>
          <w:szCs w:val="16"/>
        </w:rPr>
      </w:pPr>
    </w:p>
    <w:p w14:paraId="38585B2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ОКБ-22 (Путилов в Казани) получил от НКАП добро на постройку высотного двухмоторного истребителя на базе Пе-2 и первый полет планировался на конец февраля 1943 (235,5).</w:t>
      </w:r>
    </w:p>
    <w:p w14:paraId="30AEF005" w14:textId="77777777" w:rsidR="00BB6316" w:rsidRPr="00722885" w:rsidRDefault="00BB6316" w:rsidP="00722885">
      <w:pPr>
        <w:pStyle w:val="Iauiue"/>
        <w:jc w:val="both"/>
        <w:rPr>
          <w:color w:val="000000" w:themeColor="text1"/>
          <w:sz w:val="16"/>
          <w:szCs w:val="16"/>
        </w:rPr>
      </w:pPr>
    </w:p>
    <w:p w14:paraId="423AB06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 ОКБ-22 получило официальное “добро” от наркомата авиационной промышленности на постройку высотного двухмоторного истребителя. Сроки, как и всегда в войну, были очень жесткими: первый полет планировался на конец февраля следующего года (4476).</w:t>
      </w:r>
    </w:p>
    <w:p w14:paraId="608E4F49" w14:textId="77777777" w:rsidR="00BB6316" w:rsidRPr="00722885" w:rsidRDefault="00BB6316" w:rsidP="00722885">
      <w:pPr>
        <w:pStyle w:val="Iauiue"/>
        <w:jc w:val="both"/>
        <w:rPr>
          <w:color w:val="000000" w:themeColor="text1"/>
          <w:sz w:val="16"/>
          <w:szCs w:val="16"/>
        </w:rPr>
      </w:pPr>
    </w:p>
    <w:p w14:paraId="4E8484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ОКБ-22 получило официальное "добро" от наркомата авиационной промышленности на постройку высотного двухмоторного истребителя. Сроки, как и всегда в войну, установили очень жесткими: первый полет планировался на конец февраля следующего года. В конце января 1943 г. макет истребителя Пе-2ВИ с двумя моторами М-105ПД (с нагнетателями конструкции Доллежаля) предъявили комиссии НИИ ВВС. Демонстрировались макет гермокабины (одноместной, только для летчика), винтомоторная группа с М-105ПД на опытном самолете Пе-2 зав. № 12/138, дистанционно управляемая оборонительная установка ДЭУ-1 с пулеметом УБК, почти готовый планер самолета Пе-2ВИ без моторов, а также чертежи и схемы. Площадь крыла самолета в будущем собирались увеличить на 2,5 м- с целью уменьшения посадочной скорости. Комиссия утвердила макет, внеся ряд мелких изменений.</w:t>
      </w:r>
    </w:p>
    <w:p w14:paraId="4CE0D7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мае 1943 г. самолет Пе-2ВИ зав. №15/161 был готов к полетам. Сразу выявились дефекты гермокабины, в которой уже при рулении быстро нарастала температура и запотевали стекла. Впрочем, конструктор А.И. Путилов рассчитывал быстро управиться с недостатками, а пока доложил руководству: высотный истребитель, созданный на базе Пе-2, уже летает. Результат доклада оказался ошеломляющим.</w:t>
      </w:r>
    </w:p>
    <w:p w14:paraId="68BA05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то время авиация флота испытывала большую нужду в дальнем двухмоторном истребителе для прикрытия северных конвоев, операций легких сил на Черном море и т.п. По прошествии полугода с момента прекращения производства Пе-Збис и разведывательные полки ВВС КА нуждались в пополнении, поскольку по дальности полета серийный вариант Пе-2 "разведчик" уступал "тройке". Как всегда на войне, самолеты нужны были немедленно. Поэтому 28 мая 1943 г. ГКО своим постановлением обязал завод № 22 приступить со следующего месяца к серийному выпуску... истребителей Пе-3. Никаких гермокабин, дистанционно управляемых пулеметов, нагнетателей Доллежаля - использовать только серийно выпускающиеся моторы и оборудование. Детально ознакомившись с тактико-техничес- кими требованиями, Путилов понял: ему фактически приказали организовать постройку Пе-2И образца 1941 г., но с моторами М-105ПФ. План предусматривал выпуск в июне двух опытных машин, а в июле - уже 25 серийных.</w:t>
      </w:r>
    </w:p>
    <w:p w14:paraId="4371F2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Предписывалось снять с "нормального" серийного Пе-2 пулемет и броню стрелка радиста, разместив на освободившемся месте 500-литровый бензобак. Внутрифюзеляжная бомбардировочная установка ликвидировалась, на месте бомбоогсека требовалось смонтировать две пушки ШВАК со 160 снарядами на ствол. В носовом коке оставался пулемет УБК с боекомплектом 150 патронов, а в хвостовом следовало разместить пулемет ШКАС. Реализовывать это указание наркомата довелось уже новому главному конструктору по самолету Пе-2 В.М. Мяси- шеву. Впрочем, вскоре вместо истребителей Пе-3 завод получил задание развернуть серийное производство Пе-2 с моторами М-82. После выпуска небольшой серии машин, отличавшихся обилием дефектов винтомоторной группы, завод прекратил их постройку осенью 1943 г. И тут снова возник вопрос о Пе-3...</w:t>
      </w:r>
    </w:p>
    <w:p w14:paraId="056045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этому времени ОКБ завода № 22 разработало новую, более совершенную установку штурмана, получившую обозначение "ФЗ" - "фронтовое задание". Вместе с модифицированным фонарем кабины пилота она позволяла заметно повысить боевые качества Пс-2. В конце 1943 г. ее решили смонтировать на новый вариант двухмоторного истребителя Пе-3, производство которого возобновлялось на казанском заводе в соответствии с распоряжением наркомата авиапромышленности. Другим нововведением должно было стать крыло с модифицированным профилем носка, значительно улучшавшим поведение машины при посадке (12042).</w:t>
      </w:r>
    </w:p>
    <w:p w14:paraId="595AED1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046D53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года на испытания представили самую простую переделку модификации А-20В, на которой сверху стоял крупнокалиберный пулемет, но на прежней шкворневой установке - штатные американские бомбодержатели (их у Л-20В стояло шесть внутри и четыре снаружи) просто доработали под наши бомбы (3457,103).</w:t>
      </w:r>
    </w:p>
    <w:p w14:paraId="086E5F7F" w14:textId="77777777" w:rsidR="00BB6316" w:rsidRPr="00722885" w:rsidRDefault="00BB6316" w:rsidP="00722885">
      <w:pPr>
        <w:pStyle w:val="Iauiue"/>
        <w:jc w:val="both"/>
        <w:rPr>
          <w:color w:val="000000" w:themeColor="text1"/>
          <w:sz w:val="16"/>
          <w:szCs w:val="16"/>
        </w:rPr>
      </w:pPr>
    </w:p>
    <w:p w14:paraId="0D524DA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концу 1942 года на заводе № 81 перевооружили 96 "Бостонов", из них 80 DB-7B. Планом требовалось 225, но самолеты находились на фронте и отвлекать их в тыл в период жестоких боев казалось невозможным. Тогда стали делать специальные комплекты для переоборудования бомбардировщиков в строевых частях. Переделка увеличивала вес самолета и лобовое сопротивление, за что приходилось расплачиваться потерей 6-10 км/ч максимальной скорости, а также снижением нормальной бомбовой нагрузки до 600 кг. Зато увеличивались углы обстрела, не надо было переводить верхнюю установку из походного в боевое положение, а крупнокалиберные пулеметы резко увеличивали дистанцию открытия эффективпого огня. Переделки стрелкового вооружения "Бостонов" продолжались вплоть до поступления к нам модификации A-20G-20, которая, наконец, полностью удовлетворила всем требованиям в этом отношении (3457,102).</w:t>
      </w:r>
    </w:p>
    <w:p w14:paraId="297AA4B7" w14:textId="77777777" w:rsidR="00BB6316" w:rsidRPr="00722885" w:rsidRDefault="00BB6316" w:rsidP="00722885">
      <w:pPr>
        <w:pStyle w:val="Iauiue"/>
        <w:jc w:val="both"/>
        <w:rPr>
          <w:color w:val="000000" w:themeColor="text1"/>
          <w:sz w:val="16"/>
          <w:szCs w:val="16"/>
        </w:rPr>
      </w:pPr>
    </w:p>
    <w:p w14:paraId="610DC32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в ОКБ П.О.С. был разработан проект двухмоторного истребителя с М-71Ф и ТК-3 с 37 мм пушками. Потом был проект двухместного истребителя И-2 на его основе, законченный в январе 1943 (1454,56).</w:t>
      </w:r>
    </w:p>
    <w:p w14:paraId="6805156C" w14:textId="77777777" w:rsidR="00BB6316" w:rsidRPr="00722885" w:rsidRDefault="00BB6316" w:rsidP="00722885">
      <w:pPr>
        <w:pStyle w:val="Iauiue"/>
        <w:jc w:val="both"/>
        <w:rPr>
          <w:color w:val="000000" w:themeColor="text1"/>
          <w:sz w:val="16"/>
          <w:szCs w:val="16"/>
        </w:rPr>
      </w:pPr>
    </w:p>
    <w:p w14:paraId="2613B10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П.О.С. разработал проект одноместного истребителя обороны пункта с 2хМ-71Ф с ТК-3 (9537,18).</w:t>
      </w:r>
    </w:p>
    <w:p w14:paraId="5C7BC08C" w14:textId="77777777" w:rsidR="00BB6316" w:rsidRPr="00722885" w:rsidRDefault="00BB6316" w:rsidP="00722885">
      <w:pPr>
        <w:pStyle w:val="Iauiue"/>
        <w:jc w:val="both"/>
        <w:rPr>
          <w:color w:val="000000" w:themeColor="text1"/>
          <w:sz w:val="16"/>
          <w:szCs w:val="16"/>
        </w:rPr>
      </w:pPr>
    </w:p>
    <w:p w14:paraId="129694A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начали проектировать И-211 с М-82Ф (Б) и закончили в августе 1943 (1084,40).</w:t>
      </w:r>
    </w:p>
    <w:p w14:paraId="35D088D4" w14:textId="77777777" w:rsidR="00BB6316" w:rsidRPr="00722885" w:rsidRDefault="00BB6316" w:rsidP="00722885">
      <w:pPr>
        <w:pStyle w:val="Iauiue"/>
        <w:jc w:val="both"/>
        <w:rPr>
          <w:color w:val="000000" w:themeColor="text1"/>
          <w:sz w:val="16"/>
          <w:szCs w:val="16"/>
        </w:rPr>
      </w:pPr>
    </w:p>
    <w:p w14:paraId="1C1E0A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летчики-испытатели В.Л. Расторгуев и А.Г. Кубышкин облетали в Горьком три Ла-5 № 1050. № 1063 и № 1091 с измененным управлением элеронами и рулями высоты. В результате было установлено, что управляемость Ла-5 стала заметно лучше, чем у машин первых серий. Перекладывание из левого виража в правый и наоборот происходило быстро и легко. Управление рулем высоты стало заметно легче при выполнении петли и боевого разворота (12032).</w:t>
      </w:r>
    </w:p>
    <w:p w14:paraId="4786AAE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456E278" w14:textId="77777777" w:rsidR="00712ECF" w:rsidRPr="00722885" w:rsidRDefault="00712EC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декабре 1942 г. самолет Ла-5, оснащенный двигателем М-82Ф был запущен в серию под обозначением Ла-5Ф. Весной 1943-го с конвейера завода №21 стали сходить «Ла-5Ф с улучшенным обзором». За счет понижения гаргрота их фонарь стал каплевидным, а за головой пилота появилось прозрачное бронестекло вместо стального бронезаголовника.</w:t>
      </w:r>
    </w:p>
    <w:p w14:paraId="643ACFD0" w14:textId="77777777" w:rsidR="00712ECF" w:rsidRPr="00722885" w:rsidRDefault="00712ECF"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Еще одним «нововведением» (а точнее – шагом назад) стала установка на части машин примитивных  рамочных прицелов ВВ-1 из-за нехватки и низкого качества коллиматорных прицелов ПБП-1а. Вооружение Ла-5Ф состояло из двух синхронных пушек ШВАК с боекомплектом по 200 снарядов на ствол, то есть оно вновь стало таким же, как и на ранних Ла-5 (19178).</w:t>
      </w:r>
    </w:p>
    <w:p w14:paraId="3F433D92" w14:textId="77777777" w:rsidR="00712ECF" w:rsidRPr="00722885" w:rsidRDefault="00712ECF" w:rsidP="00722885">
      <w:pPr>
        <w:pStyle w:val="rtejustify"/>
        <w:shd w:val="clear" w:color="auto" w:fill="FFFFFF"/>
        <w:spacing w:before="0" w:beforeAutospacing="0" w:after="0" w:afterAutospacing="0"/>
        <w:jc w:val="both"/>
        <w:textAlignment w:val="baseline"/>
        <w:rPr>
          <w:color w:val="000000" w:themeColor="text1"/>
          <w:sz w:val="16"/>
          <w:szCs w:val="16"/>
        </w:rPr>
      </w:pPr>
    </w:p>
    <w:p w14:paraId="119DF02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начался выпуск Ла-5 на заводе № 31 в Тбили</w:t>
      </w:r>
      <w:r w:rsidRPr="00722885">
        <w:rPr>
          <w:rFonts w:ascii="Times New Roman" w:hAnsi="Times New Roman"/>
          <w:color w:val="000000" w:themeColor="text1"/>
          <w:sz w:val="16"/>
          <w:szCs w:val="16"/>
        </w:rPr>
        <w:softHyphen/>
        <w:t>си, где продолжалось производство и ЛаГГ-3. Уже к концу года этот завод построил 22 новых истребителя и еще 5 сдал в начале следу</w:t>
      </w:r>
      <w:r w:rsidRPr="00722885">
        <w:rPr>
          <w:rFonts w:ascii="Times New Roman" w:hAnsi="Times New Roman"/>
          <w:color w:val="000000" w:themeColor="text1"/>
          <w:sz w:val="16"/>
          <w:szCs w:val="16"/>
        </w:rPr>
        <w:softHyphen/>
        <w:t>ющего. Однако план 1943 г. для этого предприятия предусматривал увеличение выпуска «ЛаГГов» в 1,5 раза при улучшении их ЛТХ. К тому же, Яковлев добивался перехода тбилисского завода на вы</w:t>
      </w:r>
      <w:r w:rsidRPr="00722885">
        <w:rPr>
          <w:rFonts w:ascii="Times New Roman" w:hAnsi="Times New Roman"/>
          <w:color w:val="000000" w:themeColor="text1"/>
          <w:sz w:val="16"/>
          <w:szCs w:val="16"/>
        </w:rPr>
        <w:softHyphen/>
        <w:t>пуск нового истребителя Як-3. В этой обстановке директору 31-го Пивоварову удалось настоять на снятии заказа на Ла-5 и продолже</w:t>
      </w:r>
      <w:r w:rsidRPr="00722885">
        <w:rPr>
          <w:rFonts w:ascii="Times New Roman" w:hAnsi="Times New Roman"/>
          <w:color w:val="000000" w:themeColor="text1"/>
          <w:sz w:val="16"/>
          <w:szCs w:val="16"/>
        </w:rPr>
        <w:softHyphen/>
        <w:t>нии выпуска «ЛаГГов», которые хотя и стали лучше, но все равно не могли тягаться с В? 109С и ГЛЛ/ 190А (11123).</w:t>
      </w:r>
    </w:p>
    <w:p w14:paraId="73136B3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B046B9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40 ЛаГГ-3 с НС-37 начали боевые действия под Сталинградом (3241,3).</w:t>
      </w:r>
    </w:p>
    <w:p w14:paraId="03A0D854" w14:textId="77777777" w:rsidR="00BB6316" w:rsidRPr="00722885" w:rsidRDefault="00BB6316" w:rsidP="00722885">
      <w:pPr>
        <w:pStyle w:val="Iauiue"/>
        <w:jc w:val="both"/>
        <w:rPr>
          <w:color w:val="000000" w:themeColor="text1"/>
          <w:sz w:val="16"/>
          <w:szCs w:val="16"/>
        </w:rPr>
      </w:pPr>
    </w:p>
    <w:p w14:paraId="4C97B8C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40 ЛаГГ-3, вооруженные НС-37, отправили на Сталинградский фронт (4707).</w:t>
      </w:r>
    </w:p>
    <w:p w14:paraId="73986ED9" w14:textId="77777777" w:rsidR="00BB6316" w:rsidRPr="00722885" w:rsidRDefault="00BB6316" w:rsidP="00722885">
      <w:pPr>
        <w:pStyle w:val="Iauiue"/>
        <w:jc w:val="both"/>
        <w:rPr>
          <w:color w:val="000000" w:themeColor="text1"/>
          <w:sz w:val="16"/>
          <w:szCs w:val="16"/>
        </w:rPr>
      </w:pPr>
    </w:p>
    <w:p w14:paraId="39E182C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ГК С.А.Л. писал Зам. НКАП Дементьеву перечень улучшений по самолету Ла-5 для увеличения максимальных скоростей, по управляемости, по обзору, по весу, по зимнему оборудованию (2519).</w:t>
      </w:r>
    </w:p>
    <w:p w14:paraId="1B61ECC6" w14:textId="77777777" w:rsidR="00BB6316" w:rsidRPr="00722885" w:rsidRDefault="00BB6316" w:rsidP="00722885">
      <w:pPr>
        <w:pStyle w:val="Iauiue"/>
        <w:jc w:val="both"/>
        <w:rPr>
          <w:color w:val="000000" w:themeColor="text1"/>
          <w:sz w:val="16"/>
          <w:szCs w:val="16"/>
        </w:rPr>
      </w:pPr>
    </w:p>
    <w:p w14:paraId="16C5266C" w14:textId="77777777" w:rsidR="002F5A59" w:rsidRPr="00722885" w:rsidRDefault="002F5A5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декабре 1942 г. ИТП (М-1) перевезли в Мо</w:t>
      </w:r>
      <w:r w:rsidRPr="00722885">
        <w:rPr>
          <w:color w:val="000000" w:themeColor="text1"/>
          <w:sz w:val="16"/>
          <w:szCs w:val="16"/>
        </w:rPr>
        <w:softHyphen/>
        <w:t>скву. Ввиду отсутствия летного экземпляра мото</w:t>
      </w:r>
      <w:r w:rsidRPr="00722885">
        <w:rPr>
          <w:color w:val="000000" w:themeColor="text1"/>
          <w:sz w:val="16"/>
          <w:szCs w:val="16"/>
        </w:rPr>
        <w:softHyphen/>
        <w:t>ра самолет не летал. Находился на консервации. После получения сведений о результатах государ</w:t>
      </w:r>
      <w:r w:rsidRPr="00722885">
        <w:rPr>
          <w:color w:val="000000" w:themeColor="text1"/>
          <w:sz w:val="16"/>
          <w:szCs w:val="16"/>
        </w:rPr>
        <w:softHyphen/>
        <w:t>ственных испытаний форсированного варианта мотора М-107А в ожидании его поступления на самолете начались работы. К середине февраля 1943 г. вместо пушки Ш-37 на ИТП (М-1) отрабо</w:t>
      </w:r>
      <w:r w:rsidRPr="00722885">
        <w:rPr>
          <w:color w:val="000000" w:themeColor="text1"/>
          <w:sz w:val="16"/>
          <w:szCs w:val="16"/>
        </w:rPr>
        <w:softHyphen/>
        <w:t>тали установку пушки МП-37 (моторный вариант пушки 11П) с боезапасом 45 патронов. Боеком</w:t>
      </w:r>
      <w:r w:rsidRPr="00722885">
        <w:rPr>
          <w:color w:val="000000" w:themeColor="text1"/>
          <w:sz w:val="16"/>
          <w:szCs w:val="16"/>
        </w:rPr>
        <w:softHyphen/>
        <w:t>плект к пушкам ШВАК увеличили до 150 патро</w:t>
      </w:r>
      <w:r w:rsidRPr="00722885">
        <w:rPr>
          <w:color w:val="000000" w:themeColor="text1"/>
          <w:sz w:val="16"/>
          <w:szCs w:val="16"/>
        </w:rPr>
        <w:softHyphen/>
        <w:t>нов на ствол. Благодаря более высокому темпу стрельбы пушки МП-37 вес секундного залпа подрос до 5,31 кг. В перегрузку на 2 держателях предусмотрели возможность подвески до 500 кг бомб.</w:t>
      </w:r>
    </w:p>
    <w:p w14:paraId="245FC372" w14:textId="77777777" w:rsidR="002F5A59" w:rsidRPr="00722885" w:rsidRDefault="002F5A59"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Однако НКАП не давал заводу № 26 разнарядку на отгрузку в адрес завода № 51 кондиционного мотора М-107А. В этой связи ИТП (М-1) вновь по</w:t>
      </w:r>
      <w:r w:rsidRPr="00722885">
        <w:rPr>
          <w:color w:val="000000" w:themeColor="text1"/>
          <w:sz w:val="16"/>
          <w:szCs w:val="16"/>
        </w:rPr>
        <w:softHyphen/>
        <w:t>ставили на консервацию (17500).</w:t>
      </w:r>
    </w:p>
    <w:p w14:paraId="08D9A776" w14:textId="77777777" w:rsidR="002F5A59" w:rsidRPr="00722885" w:rsidRDefault="002F5A5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0FA127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 проходил ис</w:t>
      </w:r>
      <w:r w:rsidRPr="00722885">
        <w:rPr>
          <w:color w:val="000000" w:themeColor="text1"/>
          <w:sz w:val="16"/>
          <w:szCs w:val="16"/>
        </w:rPr>
        <w:softHyphen/>
        <w:t>пытания УТ-1 с новым крылом с новым ламинар</w:t>
      </w:r>
      <w:r w:rsidRPr="00722885">
        <w:rPr>
          <w:color w:val="000000" w:themeColor="text1"/>
          <w:sz w:val="16"/>
          <w:szCs w:val="16"/>
        </w:rPr>
        <w:softHyphen/>
        <w:t>ным профилем. Там же, в ЦА</w:t>
      </w:r>
      <w:r w:rsidRPr="00722885">
        <w:rPr>
          <w:color w:val="000000" w:themeColor="text1"/>
          <w:sz w:val="16"/>
          <w:szCs w:val="16"/>
        </w:rPr>
        <w:softHyphen/>
        <w:t>ГИ, УТ-1 сделали летающим стендом для опробования автоматических за</w:t>
      </w:r>
      <w:r w:rsidRPr="00722885">
        <w:rPr>
          <w:color w:val="000000" w:themeColor="text1"/>
          <w:sz w:val="16"/>
          <w:szCs w:val="16"/>
        </w:rPr>
        <w:softHyphen/>
        <w:t>крылков. Он проходил испытания в ЛИИ НКАП в 1944-м (3955).</w:t>
      </w:r>
    </w:p>
    <w:p w14:paraId="34A231D9" w14:textId="77777777" w:rsidR="00BB6316" w:rsidRPr="00722885" w:rsidRDefault="00BB6316" w:rsidP="00722885">
      <w:pPr>
        <w:pStyle w:val="Iauiue"/>
        <w:jc w:val="both"/>
        <w:rPr>
          <w:color w:val="000000" w:themeColor="text1"/>
          <w:sz w:val="16"/>
          <w:szCs w:val="16"/>
        </w:rPr>
      </w:pPr>
    </w:p>
    <w:p w14:paraId="4D5F1F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мотор М-90 прошел 100-часовые за</w:t>
      </w:r>
      <w:r w:rsidRPr="00722885">
        <w:rPr>
          <w:rFonts w:ascii="Times New Roman" w:hAnsi="Times New Roman"/>
          <w:color w:val="000000" w:themeColor="text1"/>
          <w:sz w:val="16"/>
          <w:szCs w:val="16"/>
        </w:rPr>
        <w:softHyphen/>
        <w:t>водские испытания. При этом были выявлены и новые дефекты. М-90 развивал уже взлетную мощность 1950 л.с., номинальную на 2600 м - 1800 л.с., а на 6000 м -1500л.с. (10667).</w:t>
      </w:r>
    </w:p>
    <w:p w14:paraId="55498C1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190D0A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завершились госиспытания мотора В.Я.Климова М-107А. В январе 1943 г. была заложена се</w:t>
      </w:r>
      <w:r w:rsidRPr="00722885">
        <w:rPr>
          <w:rFonts w:ascii="Times New Roman" w:hAnsi="Times New Roman"/>
          <w:color w:val="000000" w:themeColor="text1"/>
          <w:sz w:val="16"/>
          <w:szCs w:val="16"/>
        </w:rPr>
        <w:softHyphen/>
        <w:t>рия из десяти двигателей с 50-часовым ресурсом. В ОКБ А.С.Яковлева сравнительно быстро разрабо</w:t>
      </w:r>
      <w:r w:rsidRPr="00722885">
        <w:rPr>
          <w:rFonts w:ascii="Times New Roman" w:hAnsi="Times New Roman"/>
          <w:color w:val="000000" w:themeColor="text1"/>
          <w:sz w:val="16"/>
          <w:szCs w:val="16"/>
        </w:rPr>
        <w:softHyphen/>
        <w:t>тали модификацию истребителя Як-9 с М-107А. С нача</w:t>
      </w:r>
      <w:r w:rsidRPr="00722885">
        <w:rPr>
          <w:rFonts w:ascii="Times New Roman" w:hAnsi="Times New Roman"/>
          <w:color w:val="000000" w:themeColor="text1"/>
          <w:sz w:val="16"/>
          <w:szCs w:val="16"/>
        </w:rPr>
        <w:softHyphen/>
        <w:t>ла февраля машина начала проходить заводские испытания. Предполагалось, что Як-9 с этим мотором сможет развить максимальную скорость до 700 км/ч. Первые полеты вселяли надежду в реальности заявлен</w:t>
      </w:r>
      <w:r w:rsidRPr="00722885">
        <w:rPr>
          <w:rFonts w:ascii="Times New Roman" w:hAnsi="Times New Roman"/>
          <w:color w:val="000000" w:themeColor="text1"/>
          <w:sz w:val="16"/>
          <w:szCs w:val="16"/>
        </w:rPr>
        <w:softHyphen/>
        <w:t>ных летных характеристик (10667).</w:t>
      </w:r>
    </w:p>
    <w:p w14:paraId="2BA0B51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F50E05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М-107А прошел 50 часовые совместные испытания с нормальным коленчатым валом серийного производства (1458,83).</w:t>
      </w:r>
    </w:p>
    <w:p w14:paraId="6CBB67E5" w14:textId="77777777" w:rsidR="00BB6316" w:rsidRPr="00722885" w:rsidRDefault="00BB6316" w:rsidP="00722885">
      <w:pPr>
        <w:pStyle w:val="Iauiue"/>
        <w:jc w:val="both"/>
        <w:rPr>
          <w:color w:val="000000" w:themeColor="text1"/>
          <w:sz w:val="16"/>
          <w:szCs w:val="16"/>
        </w:rPr>
      </w:pPr>
    </w:p>
    <w:p w14:paraId="6C8DAF21" w14:textId="77777777" w:rsidR="00002908" w:rsidRPr="00722885" w:rsidRDefault="0000290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декабре 1942 завод № 26 фактически уже пре</w:t>
      </w:r>
      <w:r w:rsidRPr="00722885">
        <w:rPr>
          <w:color w:val="000000" w:themeColor="text1"/>
          <w:sz w:val="16"/>
          <w:szCs w:val="16"/>
        </w:rPr>
        <w:softHyphen/>
        <w:t>кратил серийное изготовление моторов М-107П. Только в январе 1943 г. мотор М-107А удовлетво</w:t>
      </w:r>
      <w:r w:rsidRPr="00722885">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722885">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12847768" w14:textId="77777777" w:rsidR="00002908" w:rsidRPr="00722885" w:rsidRDefault="00002908" w:rsidP="00722885">
      <w:pPr>
        <w:spacing w:after="0" w:line="240" w:lineRule="auto"/>
        <w:jc w:val="both"/>
        <w:rPr>
          <w:rFonts w:ascii="Times New Roman" w:eastAsia="Times New Roman" w:hAnsi="Times New Roman"/>
          <w:color w:val="000000" w:themeColor="text1"/>
          <w:sz w:val="16"/>
          <w:szCs w:val="16"/>
          <w:lang w:eastAsia="ru-RU"/>
        </w:rPr>
      </w:pPr>
    </w:p>
    <w:p w14:paraId="7EE5925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был выпущен М-82Ф (173,180).</w:t>
      </w:r>
    </w:p>
    <w:p w14:paraId="482C1156" w14:textId="77777777" w:rsidR="00BB6316" w:rsidRPr="00722885" w:rsidRDefault="00BB6316" w:rsidP="00722885">
      <w:pPr>
        <w:pStyle w:val="Iauiue"/>
        <w:jc w:val="both"/>
        <w:rPr>
          <w:color w:val="000000" w:themeColor="text1"/>
          <w:sz w:val="16"/>
          <w:szCs w:val="16"/>
        </w:rPr>
      </w:pPr>
    </w:p>
    <w:p w14:paraId="5DA1E24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появилась новая модификация мо</w:t>
      </w:r>
      <w:r w:rsidRPr="00722885">
        <w:rPr>
          <w:rFonts w:ascii="Times New Roman" w:hAnsi="Times New Roman"/>
          <w:color w:val="000000" w:themeColor="text1"/>
          <w:sz w:val="16"/>
          <w:szCs w:val="16"/>
        </w:rPr>
        <w:softHyphen/>
        <w:t>тора М-82 - М-82Ф, отличавшаяся от прототипа неогра</w:t>
      </w:r>
      <w:r w:rsidRPr="00722885">
        <w:rPr>
          <w:rFonts w:ascii="Times New Roman" w:hAnsi="Times New Roman"/>
          <w:color w:val="000000" w:themeColor="text1"/>
          <w:sz w:val="16"/>
          <w:szCs w:val="16"/>
        </w:rPr>
        <w:softHyphen/>
        <w:t>ниченным временем работы на взлетном режиме. Тем самым до высоты 1500-1700 м приращение мощности составляло от 200 до 300 л.с. Под этот мотор Лавочкин разработал Ла-5Ф с несколько улучшенной аэродинами</w:t>
      </w:r>
      <w:r w:rsidRPr="00722885">
        <w:rPr>
          <w:rFonts w:ascii="Times New Roman" w:hAnsi="Times New Roman"/>
          <w:color w:val="000000" w:themeColor="text1"/>
          <w:sz w:val="16"/>
          <w:szCs w:val="16"/>
        </w:rPr>
        <w:softHyphen/>
        <w:t>кой и уменьшенным до 3200 кг полетным весом. Во вре</w:t>
      </w:r>
      <w:r w:rsidRPr="00722885">
        <w:rPr>
          <w:rFonts w:ascii="Times New Roman" w:hAnsi="Times New Roman"/>
          <w:color w:val="000000" w:themeColor="text1"/>
          <w:sz w:val="16"/>
          <w:szCs w:val="16"/>
        </w:rPr>
        <w:softHyphen/>
        <w:t>мя испытаний в конце декабря 1942 г. самолет показал на форсированном режиме максимальную скорость у земли 556 км/ч, на первой границе высотности 597 км/ч, на второй границе высотности 612 км/ч. Высоту 5000 м он набирал за 5,1 мин. Скорость серийных машин была немного меньше и не превышала 593 км/ч, скороподъ</w:t>
      </w:r>
      <w:r w:rsidRPr="00722885">
        <w:rPr>
          <w:rFonts w:ascii="Times New Roman" w:hAnsi="Times New Roman"/>
          <w:color w:val="000000" w:themeColor="text1"/>
          <w:sz w:val="16"/>
          <w:szCs w:val="16"/>
        </w:rPr>
        <w:softHyphen/>
        <w:t>емность стала равной 5,9-6,1 мин.</w:t>
      </w:r>
    </w:p>
    <w:p w14:paraId="267306C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подходе был новый мотор М-82ФН со взлетной мощностью 1850 л.с., его испытания завершались в на</w:t>
      </w:r>
      <w:r w:rsidRPr="00722885">
        <w:rPr>
          <w:rFonts w:ascii="Times New Roman" w:hAnsi="Times New Roman"/>
          <w:color w:val="000000" w:themeColor="text1"/>
          <w:sz w:val="16"/>
          <w:szCs w:val="16"/>
        </w:rPr>
        <w:softHyphen/>
        <w:t>чале 1943 г.</w:t>
      </w:r>
    </w:p>
    <w:p w14:paraId="25D6D3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этих условиях руководству НКАП и ВВС стало ка</w:t>
      </w:r>
      <w:r w:rsidRPr="00722885">
        <w:rPr>
          <w:rFonts w:ascii="Times New Roman" w:hAnsi="Times New Roman"/>
          <w:color w:val="000000" w:themeColor="text1"/>
          <w:sz w:val="16"/>
          <w:szCs w:val="16"/>
        </w:rPr>
        <w:softHyphen/>
        <w:t>заться, что необходимо приложить немного усилий и можно без особых хлопот получить истребитель с тре</w:t>
      </w:r>
      <w:r w:rsidRPr="00722885">
        <w:rPr>
          <w:rFonts w:ascii="Times New Roman" w:hAnsi="Times New Roman"/>
          <w:color w:val="000000" w:themeColor="text1"/>
          <w:sz w:val="16"/>
          <w:szCs w:val="16"/>
        </w:rPr>
        <w:softHyphen/>
        <w:t>буемыми летными характеристиками. Такие воззрения подогревались докладными записками ОКБ Лавочкина и Яковлева о новых модификациях. Однако при этом игнорировался тот факт, что изначально заложенные проектные характеристики машин - профиль крыла, его площадь, габаритные размеры - остались без изме</w:t>
      </w:r>
      <w:r w:rsidRPr="00722885">
        <w:rPr>
          <w:rFonts w:ascii="Times New Roman" w:hAnsi="Times New Roman"/>
          <w:color w:val="000000" w:themeColor="text1"/>
          <w:sz w:val="16"/>
          <w:szCs w:val="16"/>
        </w:rPr>
        <w:softHyphen/>
        <w:t>нения, поэтому резкого, скачкообразного улучшения летных характеристик на новых модификациях полу</w:t>
      </w:r>
      <w:r w:rsidRPr="00722885">
        <w:rPr>
          <w:rFonts w:ascii="Times New Roman" w:hAnsi="Times New Roman"/>
          <w:color w:val="000000" w:themeColor="text1"/>
          <w:sz w:val="16"/>
          <w:szCs w:val="16"/>
        </w:rPr>
        <w:softHyphen/>
        <w:t>чить весьма трудно (10667).</w:t>
      </w:r>
    </w:p>
    <w:p w14:paraId="3D85A0E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A7B5E7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в аэродинамической трубе Т-104 были проведены испытания мо</w:t>
      </w:r>
      <w:r w:rsidRPr="00722885">
        <w:rPr>
          <w:rFonts w:ascii="Times New Roman" w:hAnsi="Times New Roman"/>
          <w:color w:val="000000" w:themeColor="text1"/>
          <w:sz w:val="16"/>
          <w:szCs w:val="16"/>
        </w:rPr>
        <w:softHyphen/>
        <w:t>тора М-82 №112 2-й серии, установ</w:t>
      </w:r>
      <w:r w:rsidRPr="00722885">
        <w:rPr>
          <w:rFonts w:ascii="Times New Roman" w:hAnsi="Times New Roman"/>
          <w:color w:val="000000" w:themeColor="text1"/>
          <w:sz w:val="16"/>
          <w:szCs w:val="16"/>
        </w:rPr>
        <w:softHyphen/>
        <w:t>ленного на самолете Ла-5. Испытания проводились на номинальном режиме работы мотора п=2400 об/мин и Рк=950 мм рт.ст. на обеих скоростях нагнетателя при различных составах горючей смеси, характеризующихся из</w:t>
      </w:r>
      <w:r w:rsidRPr="00722885">
        <w:rPr>
          <w:rFonts w:ascii="Times New Roman" w:hAnsi="Times New Roman"/>
          <w:color w:val="000000" w:themeColor="text1"/>
          <w:sz w:val="16"/>
          <w:szCs w:val="16"/>
        </w:rPr>
        <w:softHyphen/>
        <w:t>менением коэффициентов избытка воз</w:t>
      </w:r>
      <w:r w:rsidRPr="00722885">
        <w:rPr>
          <w:rFonts w:ascii="Times New Roman" w:hAnsi="Times New Roman"/>
          <w:color w:val="000000" w:themeColor="text1"/>
          <w:sz w:val="16"/>
          <w:szCs w:val="16"/>
        </w:rPr>
        <w:softHyphen/>
        <w:t>духа а от 0,55 до 0,865 на 1 -и скоро</w:t>
      </w:r>
      <w:r w:rsidRPr="00722885">
        <w:rPr>
          <w:rFonts w:ascii="Times New Roman" w:hAnsi="Times New Roman"/>
          <w:color w:val="000000" w:themeColor="text1"/>
          <w:sz w:val="16"/>
          <w:szCs w:val="16"/>
        </w:rPr>
        <w:softHyphen/>
        <w:t>сти и от 0,51 до 0,765 на 2-й скорос</w:t>
      </w:r>
      <w:r w:rsidRPr="00722885">
        <w:rPr>
          <w:rFonts w:ascii="Times New Roman" w:hAnsi="Times New Roman"/>
          <w:color w:val="000000" w:themeColor="text1"/>
          <w:sz w:val="16"/>
          <w:szCs w:val="16"/>
        </w:rPr>
        <w:softHyphen/>
        <w:t>ти. Определялась величина потери мощности с изменением состава сме</w:t>
      </w:r>
      <w:r w:rsidRPr="00722885">
        <w:rPr>
          <w:rFonts w:ascii="Times New Roman" w:hAnsi="Times New Roman"/>
          <w:color w:val="000000" w:themeColor="text1"/>
          <w:sz w:val="16"/>
          <w:szCs w:val="16"/>
        </w:rPr>
        <w:softHyphen/>
        <w:t>си. Вывод ЦАГИ: сильное обогащение горючей смеси до а=0,55 при рабо</w:t>
      </w:r>
      <w:r w:rsidRPr="00722885">
        <w:rPr>
          <w:rFonts w:ascii="Times New Roman" w:hAnsi="Times New Roman"/>
          <w:color w:val="000000" w:themeColor="text1"/>
          <w:sz w:val="16"/>
          <w:szCs w:val="16"/>
        </w:rPr>
        <w:softHyphen/>
        <w:t>те мотора на 2-й скорости нагнета</w:t>
      </w:r>
      <w:r w:rsidRPr="00722885">
        <w:rPr>
          <w:rFonts w:ascii="Times New Roman" w:hAnsi="Times New Roman"/>
          <w:color w:val="000000" w:themeColor="text1"/>
          <w:sz w:val="16"/>
          <w:szCs w:val="16"/>
        </w:rPr>
        <w:softHyphen/>
        <w:t>теля (которое имеет место в полете), приводит к уменьшению мощности на 25-30%, а, следовательно, и к зна</w:t>
      </w:r>
      <w:r w:rsidRPr="00722885">
        <w:rPr>
          <w:rFonts w:ascii="Times New Roman" w:hAnsi="Times New Roman"/>
          <w:color w:val="000000" w:themeColor="text1"/>
          <w:sz w:val="16"/>
          <w:szCs w:val="16"/>
        </w:rPr>
        <w:softHyphen/>
        <w:t>чительному уменьшению скорости са</w:t>
      </w:r>
      <w:r w:rsidRPr="00722885">
        <w:rPr>
          <w:rFonts w:ascii="Times New Roman" w:hAnsi="Times New Roman"/>
          <w:color w:val="000000" w:themeColor="text1"/>
          <w:sz w:val="16"/>
          <w:szCs w:val="16"/>
        </w:rPr>
        <w:softHyphen/>
        <w:t>молета. Аналогичные результаты были по</w:t>
      </w:r>
      <w:r w:rsidRPr="00722885">
        <w:rPr>
          <w:rFonts w:ascii="Times New Roman" w:hAnsi="Times New Roman"/>
          <w:color w:val="000000" w:themeColor="text1"/>
          <w:sz w:val="16"/>
          <w:szCs w:val="16"/>
        </w:rPr>
        <w:softHyphen/>
        <w:t>лучены и в ЦИАМе. Для исправления этого недостатка завод №33 предложил клапан взле</w:t>
      </w:r>
      <w:r w:rsidRPr="00722885">
        <w:rPr>
          <w:rFonts w:ascii="Times New Roman" w:hAnsi="Times New Roman"/>
          <w:color w:val="000000" w:themeColor="text1"/>
          <w:sz w:val="16"/>
          <w:szCs w:val="16"/>
        </w:rPr>
        <w:softHyphen/>
        <w:t>та МВ-1, а ЦИАМ - «обогатитель взле</w:t>
      </w:r>
      <w:r w:rsidRPr="00722885">
        <w:rPr>
          <w:rFonts w:ascii="Times New Roman" w:hAnsi="Times New Roman"/>
          <w:color w:val="000000" w:themeColor="text1"/>
          <w:sz w:val="16"/>
          <w:szCs w:val="16"/>
        </w:rPr>
        <w:softHyphen/>
        <w:t>та». Первый был очень прост по кон</w:t>
      </w:r>
      <w:r w:rsidRPr="00722885">
        <w:rPr>
          <w:rFonts w:ascii="Times New Roman" w:hAnsi="Times New Roman"/>
          <w:color w:val="000000" w:themeColor="text1"/>
          <w:sz w:val="16"/>
          <w:szCs w:val="16"/>
        </w:rPr>
        <w:softHyphen/>
        <w:t>струкции и включал экономайзер только при работе мотора на режиме взле</w:t>
      </w:r>
      <w:r w:rsidRPr="00722885">
        <w:rPr>
          <w:rFonts w:ascii="Times New Roman" w:hAnsi="Times New Roman"/>
          <w:color w:val="000000" w:themeColor="text1"/>
          <w:sz w:val="16"/>
          <w:szCs w:val="16"/>
        </w:rPr>
        <w:softHyphen/>
        <w:t>та. Второй был более сложен и трудо</w:t>
      </w:r>
      <w:r w:rsidRPr="00722885">
        <w:rPr>
          <w:rFonts w:ascii="Times New Roman" w:hAnsi="Times New Roman"/>
          <w:color w:val="000000" w:themeColor="text1"/>
          <w:sz w:val="16"/>
          <w:szCs w:val="16"/>
        </w:rPr>
        <w:softHyphen/>
        <w:t>емок в изготовлении, и полностью исключал экономайзер из системы кар</w:t>
      </w:r>
      <w:r w:rsidRPr="00722885">
        <w:rPr>
          <w:rFonts w:ascii="Times New Roman" w:hAnsi="Times New Roman"/>
          <w:color w:val="000000" w:themeColor="text1"/>
          <w:sz w:val="16"/>
          <w:szCs w:val="16"/>
        </w:rPr>
        <w:softHyphen/>
        <w:t>бюратора. Впрочем, различия их кон</w:t>
      </w:r>
      <w:r w:rsidRPr="00722885">
        <w:rPr>
          <w:rFonts w:ascii="Times New Roman" w:hAnsi="Times New Roman"/>
          <w:color w:val="000000" w:themeColor="text1"/>
          <w:sz w:val="16"/>
          <w:szCs w:val="16"/>
        </w:rPr>
        <w:softHyphen/>
        <w:t>струкции не повлияли на результат -испытания обоих на моторе и на само</w:t>
      </w:r>
      <w:r w:rsidRPr="00722885">
        <w:rPr>
          <w:rFonts w:ascii="Times New Roman" w:hAnsi="Times New Roman"/>
          <w:color w:val="000000" w:themeColor="text1"/>
          <w:sz w:val="16"/>
          <w:szCs w:val="16"/>
        </w:rPr>
        <w:softHyphen/>
        <w:t>лете в полете дали неудовлетворитель</w:t>
      </w:r>
      <w:r w:rsidRPr="00722885">
        <w:rPr>
          <w:rFonts w:ascii="Times New Roman" w:hAnsi="Times New Roman"/>
          <w:color w:val="000000" w:themeColor="text1"/>
          <w:sz w:val="16"/>
          <w:szCs w:val="16"/>
        </w:rPr>
        <w:softHyphen/>
        <w:t>ные результаты. Пожалуй, единственным положитель</w:t>
      </w:r>
      <w:r w:rsidRPr="00722885">
        <w:rPr>
          <w:rFonts w:ascii="Times New Roman" w:hAnsi="Times New Roman"/>
          <w:color w:val="000000" w:themeColor="text1"/>
          <w:sz w:val="16"/>
          <w:szCs w:val="16"/>
        </w:rPr>
        <w:softHyphen/>
        <w:t>ным результатом всех этих усилий стала выпущенная заводом №33 ин</w:t>
      </w:r>
      <w:r w:rsidRPr="00722885">
        <w:rPr>
          <w:rFonts w:ascii="Times New Roman" w:hAnsi="Times New Roman"/>
          <w:color w:val="000000" w:themeColor="text1"/>
          <w:sz w:val="16"/>
          <w:szCs w:val="16"/>
        </w:rPr>
        <w:softHyphen/>
        <w:t>струкция по регулировке карбюрато</w:t>
      </w:r>
      <w:r w:rsidRPr="00722885">
        <w:rPr>
          <w:rFonts w:ascii="Times New Roman" w:hAnsi="Times New Roman"/>
          <w:color w:val="000000" w:themeColor="text1"/>
          <w:sz w:val="16"/>
          <w:szCs w:val="16"/>
        </w:rPr>
        <w:softHyphen/>
        <w:t>ра АК-82БП в аэродромных условиях с помощью переносного газоанали</w:t>
      </w:r>
      <w:r w:rsidRPr="00722885">
        <w:rPr>
          <w:rFonts w:ascii="Times New Roman" w:hAnsi="Times New Roman"/>
          <w:color w:val="000000" w:themeColor="text1"/>
          <w:sz w:val="16"/>
          <w:szCs w:val="16"/>
        </w:rPr>
        <w:softHyphen/>
        <w:t>затора - штатные газоанализаторы на серийные самолеты Ла-5 не уста</w:t>
      </w:r>
      <w:r w:rsidRPr="00722885">
        <w:rPr>
          <w:rFonts w:ascii="Times New Roman" w:hAnsi="Times New Roman"/>
          <w:color w:val="000000" w:themeColor="text1"/>
          <w:sz w:val="16"/>
          <w:szCs w:val="16"/>
        </w:rPr>
        <w:softHyphen/>
        <w:t>навливали (10705).</w:t>
      </w:r>
    </w:p>
    <w:p w14:paraId="79E3E82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74EE43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П.Я.Федрови на Як-3-1 с М-105ПФ, переоборудованном и облегченном для п В.И.Сталина на взлете рано убрал шасси и черкнул по бетону радиатором. Восстанавливать не стали (65,38).</w:t>
      </w:r>
    </w:p>
    <w:p w14:paraId="68969C33" w14:textId="77777777" w:rsidR="00BB6316" w:rsidRPr="00722885" w:rsidRDefault="00BB6316" w:rsidP="00722885">
      <w:pPr>
        <w:pStyle w:val="Iauiue"/>
        <w:jc w:val="both"/>
        <w:rPr>
          <w:color w:val="000000" w:themeColor="text1"/>
          <w:sz w:val="16"/>
          <w:szCs w:val="16"/>
        </w:rPr>
      </w:pPr>
    </w:p>
    <w:p w14:paraId="74F3388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в ходе Сталинградского наступления впервые были использованы Як-9 М-105ПФ (65,112).</w:t>
      </w:r>
    </w:p>
    <w:p w14:paraId="31CC7161" w14:textId="77777777" w:rsidR="00BB6316" w:rsidRPr="00722885" w:rsidRDefault="00BB6316" w:rsidP="00722885">
      <w:pPr>
        <w:pStyle w:val="Iauiue"/>
        <w:jc w:val="both"/>
        <w:rPr>
          <w:color w:val="000000" w:themeColor="text1"/>
          <w:sz w:val="16"/>
          <w:szCs w:val="16"/>
        </w:rPr>
      </w:pPr>
    </w:p>
    <w:p w14:paraId="0B26641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декабря 1942 (со 111 серии) до конца выпуска в июле 1944 производили Як-1 с улучшенной аэродинамикой и сделали 4461 (65,62).</w:t>
      </w:r>
    </w:p>
    <w:p w14:paraId="5ADA95A1" w14:textId="77777777" w:rsidR="00BB6316" w:rsidRPr="00722885" w:rsidRDefault="00BB6316" w:rsidP="00722885">
      <w:pPr>
        <w:pStyle w:val="Iauiue"/>
        <w:jc w:val="both"/>
        <w:rPr>
          <w:color w:val="000000" w:themeColor="text1"/>
          <w:sz w:val="16"/>
          <w:szCs w:val="16"/>
        </w:rPr>
      </w:pPr>
    </w:p>
    <w:p w14:paraId="0EAB221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был построен Як-1 М-106 в Новосибирске на 153 заводе (65,69).</w:t>
      </w:r>
    </w:p>
    <w:p w14:paraId="5646EB8C" w14:textId="77777777" w:rsidR="00BB6316" w:rsidRPr="00722885" w:rsidRDefault="00BB6316" w:rsidP="00722885">
      <w:pPr>
        <w:pStyle w:val="Iauiue"/>
        <w:jc w:val="both"/>
        <w:rPr>
          <w:color w:val="000000" w:themeColor="text1"/>
          <w:sz w:val="16"/>
          <w:szCs w:val="16"/>
        </w:rPr>
      </w:pPr>
    </w:p>
    <w:p w14:paraId="79C73FF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 удалось реализовать в серии несколько усовершенствований самолета Як. Среди множества опытов по облегчению конструкции самолетов Яковлева наиболее важным стал переход на одном Як-7Б от деревянного крыла к крылу смешанной конструкции. Такое крыло с работающей обшивкой с успехом применил Н.Н.Поликарпов на истребителе И-185, который также строился в Новосибирске. Замена массивных деревянных лонжеронов крыла на металлические привела к снижению веса серийных Яков примерно на 80 кг и освободила отсеки для установки дополнительного горючего. Понижение гаргрота фюзеляжа и введение фонаря каплеобразной формы позволило значительно улучшить пилоту обзор задней полусферы. Работу признали настолько важной, что модифицированный истребитель немедленно запустили в серию под названием ЯК-9 (4537).</w:t>
      </w:r>
    </w:p>
    <w:p w14:paraId="6BEE967D" w14:textId="77777777" w:rsidR="00BB6316" w:rsidRPr="00722885" w:rsidRDefault="00BB6316" w:rsidP="00722885">
      <w:pPr>
        <w:pStyle w:val="Iauiue"/>
        <w:jc w:val="both"/>
        <w:rPr>
          <w:color w:val="000000" w:themeColor="text1"/>
          <w:sz w:val="16"/>
          <w:szCs w:val="16"/>
        </w:rPr>
      </w:pPr>
    </w:p>
    <w:p w14:paraId="3B1021A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самолет ИТП (М-2) с АМ-37 перевезли из Новосибирска в Москву. Несколько позже АМ-37 за</w:t>
      </w:r>
      <w:r w:rsidRPr="00722885">
        <w:rPr>
          <w:rFonts w:ascii="Times New Roman" w:hAnsi="Times New Roman"/>
          <w:color w:val="000000" w:themeColor="text1"/>
          <w:sz w:val="16"/>
          <w:szCs w:val="16"/>
        </w:rPr>
        <w:softHyphen/>
        <w:t>менили на новый мотор А.А.Микулина АМ-39. В отли</w:t>
      </w:r>
      <w:r w:rsidRPr="00722885">
        <w:rPr>
          <w:rFonts w:ascii="Times New Roman" w:hAnsi="Times New Roman"/>
          <w:color w:val="000000" w:themeColor="text1"/>
          <w:sz w:val="16"/>
          <w:szCs w:val="16"/>
        </w:rPr>
        <w:softHyphen/>
        <w:t>чие от предыдущего варианта ИТП (М-2) имел только синхронное вооружение, состоящее из установленных в фюзеляже трех пушек ШВАК. Вес пустой машины стал равным 3095 кг, а полетный - 3820 кг. Под крылом под</w:t>
      </w:r>
      <w:r w:rsidRPr="00722885">
        <w:rPr>
          <w:rFonts w:ascii="Times New Roman" w:hAnsi="Times New Roman"/>
          <w:color w:val="000000" w:themeColor="text1"/>
          <w:sz w:val="16"/>
          <w:szCs w:val="16"/>
        </w:rPr>
        <w:softHyphen/>
        <w:t>вешивалось до 400 кг бомб (10667).</w:t>
      </w:r>
    </w:p>
    <w:p w14:paraId="74E7372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53C350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опять привезли в Москву из эвакуации из Новосибирска ИТП с М-107 Н.Н.П. (148,28). Возможно, это была машина с АМ-39</w:t>
      </w:r>
    </w:p>
    <w:p w14:paraId="51CA2CD2" w14:textId="77777777" w:rsidR="00BB6316" w:rsidRPr="00722885" w:rsidRDefault="00BB6316" w:rsidP="00722885">
      <w:pPr>
        <w:pStyle w:val="Iauiue"/>
        <w:jc w:val="both"/>
        <w:rPr>
          <w:color w:val="000000" w:themeColor="text1"/>
          <w:sz w:val="16"/>
          <w:szCs w:val="16"/>
        </w:rPr>
      </w:pPr>
    </w:p>
    <w:p w14:paraId="54265CB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ИТП с АМ-37 (М-2) Н.Н.П., построенный в Новосибирске, передали в Москву и заменили АМ-37 на АМ-39 (1800 нр) (1263,51).</w:t>
      </w:r>
    </w:p>
    <w:p w14:paraId="5EC0A071" w14:textId="77777777" w:rsidR="00BB6316" w:rsidRPr="00722885" w:rsidRDefault="00BB6316" w:rsidP="00722885">
      <w:pPr>
        <w:pStyle w:val="Iauiue"/>
        <w:jc w:val="both"/>
        <w:rPr>
          <w:color w:val="000000" w:themeColor="text1"/>
          <w:sz w:val="16"/>
          <w:szCs w:val="16"/>
        </w:rPr>
      </w:pPr>
    </w:p>
    <w:p w14:paraId="1ED7EA7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ИТП (М-2) с мотором АМ-37 и с тремя синхронными пушками ШВАК передали в Москву, где мотор АМ-37 был заменен на более мощный мотор АМ-39 (1800 л. с.), а на основных стойках установили колеса меньших размеров (650х200 вместо 700х220 мм) (9649).</w:t>
      </w:r>
    </w:p>
    <w:p w14:paraId="5C4AA1C8" w14:textId="77777777" w:rsidR="00BB6316" w:rsidRPr="00722885" w:rsidRDefault="00BB6316" w:rsidP="00722885">
      <w:pPr>
        <w:pStyle w:val="Iauiue"/>
        <w:jc w:val="both"/>
        <w:rPr>
          <w:color w:val="000000" w:themeColor="text1"/>
          <w:sz w:val="16"/>
          <w:szCs w:val="16"/>
        </w:rPr>
      </w:pPr>
    </w:p>
    <w:p w14:paraId="362D6B9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Нач. ГУЗ Селезнев писал НКАП П.Воронину письмо N 377971 о том, что завод 445, выпускающий планеры А-7, прекратил их производство и перешел на подготовку оснастки под новое изделие. Это решение означало фактически прекращение производства планеров, т.к. единственный завод 499 в Заводоуковске не в состоянии обеспечить даже минимальные потребности. Просил пересмотреть решение (1632,282).</w:t>
      </w:r>
    </w:p>
    <w:p w14:paraId="07857C51" w14:textId="77777777" w:rsidR="00BB6316" w:rsidRPr="00722885" w:rsidRDefault="00BB6316" w:rsidP="00722885">
      <w:pPr>
        <w:pStyle w:val="Iauiue"/>
        <w:jc w:val="both"/>
        <w:rPr>
          <w:color w:val="000000" w:themeColor="text1"/>
          <w:sz w:val="16"/>
          <w:szCs w:val="16"/>
        </w:rPr>
      </w:pPr>
    </w:p>
    <w:p w14:paraId="26FED7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БДП-2 перевезли в Москву, где на крылья установили два двигателя М-11Ф, переделав, та</w:t>
      </w:r>
      <w:r w:rsidRPr="00722885">
        <w:rPr>
          <w:rFonts w:ascii="Times New Roman" w:hAnsi="Times New Roman"/>
          <w:color w:val="000000" w:themeColor="text1"/>
          <w:sz w:val="16"/>
          <w:szCs w:val="16"/>
        </w:rPr>
        <w:softHyphen/>
        <w:t>ким образом, его в мотопланер. Он получил обозначе</w:t>
      </w:r>
      <w:r w:rsidRPr="00722885">
        <w:rPr>
          <w:rFonts w:ascii="Times New Roman" w:hAnsi="Times New Roman"/>
          <w:color w:val="000000" w:themeColor="text1"/>
          <w:sz w:val="16"/>
          <w:szCs w:val="16"/>
        </w:rPr>
        <w:softHyphen/>
        <w:t>ние МП. Запас бензина, размещенный в обтекателях двигателей, обеспечивал 7-часовой полет с нормальной нагрузкой - 12 десантников с вооружением. При этом мотопланер мог использоваться как обычный самолет. В перегрузочном варианте взлет и полет к линии фрон</w:t>
      </w:r>
      <w:r w:rsidRPr="00722885">
        <w:rPr>
          <w:rFonts w:ascii="Times New Roman" w:hAnsi="Times New Roman"/>
          <w:color w:val="000000" w:themeColor="text1"/>
          <w:sz w:val="16"/>
          <w:szCs w:val="16"/>
        </w:rPr>
        <w:softHyphen/>
        <w:t>та осуществлялся на буксире. Перелет через линию фронта и полет в зоне посадки для скрытности прохо</w:t>
      </w:r>
      <w:r w:rsidRPr="00722885">
        <w:rPr>
          <w:rFonts w:ascii="Times New Roman" w:hAnsi="Times New Roman"/>
          <w:color w:val="000000" w:themeColor="text1"/>
          <w:sz w:val="16"/>
          <w:szCs w:val="16"/>
        </w:rPr>
        <w:softHyphen/>
        <w:t>дил с выключенными моторами. На аэродром МП воз</w:t>
      </w:r>
      <w:r w:rsidRPr="00722885">
        <w:rPr>
          <w:rFonts w:ascii="Times New Roman" w:hAnsi="Times New Roman"/>
          <w:color w:val="000000" w:themeColor="text1"/>
          <w:sz w:val="16"/>
          <w:szCs w:val="16"/>
        </w:rPr>
        <w:softHyphen/>
        <w:t>вращался уже «своим ходом» (10667).</w:t>
      </w:r>
    </w:p>
    <w:p w14:paraId="19A17D1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349C9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1942-го М-107А (ВК-107А) прошел 50-ти часовые совместные с заказчиком стендовые испытания и в январе следующего года была запущена в производство серия в количестве 10 экземпляров. Хотя эти моторы и предназначались для установки на самолеты, но при их эксплуатации встретились трудности, вызванные. главным образом, его высокой теплоотдачей.</w:t>
      </w:r>
    </w:p>
    <w:p w14:paraId="20CDD3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Выпускавшиеся в то время промышленностью масло- и водорадиаторы не могли эффективно охлаждать М-107А на самолете до нужной температуры, к тому же мотор очень сильно "обжимался" капотами. С этой проблемой столкнулись в конструкторских бюро, возглавлявшихся С.А. Лавочкиным и В.П. Горбуновым на модификациях ЛаГГ-3. Пытались их решить и в ЦКБ-29 НКВД, где под руководством Д.Л. Томашевича разрабатывали И -110. Задавался аналогичный истребитель и В.М. Мясищеву, опробовали М-107А и на Як-7. Но наибольших успехов добились в ОКБ-115 при создании Як-9У (12046).</w:t>
      </w:r>
    </w:p>
    <w:p w14:paraId="133775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данные поршневых двигателей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tblGrid>
      <w:tr w:rsidR="009B487A" w:rsidRPr="00722885" w14:paraId="75B48A8B" w14:textId="77777777" w:rsidTr="00CC5360">
        <w:tc>
          <w:tcPr>
            <w:tcW w:w="1601" w:type="dxa"/>
            <w:tcBorders>
              <w:top w:val="single" w:sz="12" w:space="0" w:color="auto"/>
            </w:tcBorders>
          </w:tcPr>
          <w:p w14:paraId="51A631F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6FD889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М-105ПФ</w:t>
            </w:r>
          </w:p>
        </w:tc>
        <w:tc>
          <w:tcPr>
            <w:tcW w:w="1601" w:type="dxa"/>
            <w:tcBorders>
              <w:top w:val="single" w:sz="12" w:space="0" w:color="auto"/>
            </w:tcBorders>
          </w:tcPr>
          <w:p w14:paraId="611F13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ВК-105ПФ-2</w:t>
            </w:r>
          </w:p>
        </w:tc>
        <w:tc>
          <w:tcPr>
            <w:tcW w:w="1601" w:type="dxa"/>
            <w:tcBorders>
              <w:top w:val="single" w:sz="12" w:space="0" w:color="auto"/>
            </w:tcBorders>
          </w:tcPr>
          <w:p w14:paraId="004DD4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ВК-107А</w:t>
            </w:r>
          </w:p>
        </w:tc>
        <w:tc>
          <w:tcPr>
            <w:tcW w:w="1601" w:type="dxa"/>
            <w:tcBorders>
              <w:top w:val="single" w:sz="12" w:space="0" w:color="auto"/>
            </w:tcBorders>
          </w:tcPr>
          <w:p w14:paraId="44D68B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ВК-107А1</w:t>
            </w:r>
          </w:p>
        </w:tc>
      </w:tr>
      <w:tr w:rsidR="009B487A" w:rsidRPr="00722885" w14:paraId="17B8F291" w14:textId="77777777" w:rsidTr="00CC5360">
        <w:tc>
          <w:tcPr>
            <w:tcW w:w="1601" w:type="dxa"/>
          </w:tcPr>
          <w:p w14:paraId="2A33FB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Степень сжатия</w:t>
            </w:r>
          </w:p>
        </w:tc>
        <w:tc>
          <w:tcPr>
            <w:tcW w:w="1601" w:type="dxa"/>
          </w:tcPr>
          <w:p w14:paraId="27411A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w:t>
            </w:r>
          </w:p>
        </w:tc>
        <w:tc>
          <w:tcPr>
            <w:tcW w:w="1601" w:type="dxa"/>
          </w:tcPr>
          <w:p w14:paraId="07AA354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601" w:type="dxa"/>
          </w:tcPr>
          <w:p w14:paraId="27CA75A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6,75</w:t>
            </w:r>
          </w:p>
        </w:tc>
        <w:tc>
          <w:tcPr>
            <w:tcW w:w="1601" w:type="dxa"/>
          </w:tcPr>
          <w:p w14:paraId="1D105C7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38450939" w14:textId="77777777" w:rsidTr="00CC5360">
        <w:tc>
          <w:tcPr>
            <w:tcW w:w="1601" w:type="dxa"/>
          </w:tcPr>
          <w:p w14:paraId="2D3E5F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Взлетная мощность, л.с.</w:t>
            </w:r>
          </w:p>
        </w:tc>
        <w:tc>
          <w:tcPr>
            <w:tcW w:w="1601" w:type="dxa"/>
          </w:tcPr>
          <w:p w14:paraId="4CD9B5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1260</w:t>
            </w:r>
          </w:p>
        </w:tc>
        <w:tc>
          <w:tcPr>
            <w:tcW w:w="1601" w:type="dxa"/>
          </w:tcPr>
          <w:p w14:paraId="5716DA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1290</w:t>
            </w:r>
          </w:p>
        </w:tc>
        <w:tc>
          <w:tcPr>
            <w:tcW w:w="1601" w:type="dxa"/>
          </w:tcPr>
          <w:p w14:paraId="22BA2F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1500</w:t>
            </w:r>
          </w:p>
        </w:tc>
        <w:tc>
          <w:tcPr>
            <w:tcW w:w="1601" w:type="dxa"/>
          </w:tcPr>
          <w:p w14:paraId="5BC1E3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1650</w:t>
            </w:r>
          </w:p>
        </w:tc>
      </w:tr>
      <w:tr w:rsidR="009B487A" w:rsidRPr="00722885" w14:paraId="6C69C6E8" w14:textId="77777777" w:rsidTr="00CC5360">
        <w:tc>
          <w:tcPr>
            <w:tcW w:w="1601" w:type="dxa"/>
          </w:tcPr>
          <w:p w14:paraId="4B7FA2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Номинальная мощность, л.с.</w:t>
            </w:r>
          </w:p>
        </w:tc>
        <w:tc>
          <w:tcPr>
            <w:tcW w:w="1601" w:type="dxa"/>
          </w:tcPr>
          <w:p w14:paraId="7A929D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1180</w:t>
            </w:r>
          </w:p>
        </w:tc>
        <w:tc>
          <w:tcPr>
            <w:tcW w:w="1601" w:type="dxa"/>
          </w:tcPr>
          <w:p w14:paraId="65A963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1240</w:t>
            </w:r>
          </w:p>
        </w:tc>
        <w:tc>
          <w:tcPr>
            <w:tcW w:w="1601" w:type="dxa"/>
          </w:tcPr>
          <w:p w14:paraId="2E64690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5D1E3F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1600</w:t>
            </w:r>
          </w:p>
        </w:tc>
      </w:tr>
      <w:tr w:rsidR="009B487A" w:rsidRPr="00722885" w14:paraId="42F7A844" w14:textId="77777777" w:rsidTr="00CC5360">
        <w:tc>
          <w:tcPr>
            <w:tcW w:w="1601" w:type="dxa"/>
          </w:tcPr>
          <w:p w14:paraId="3100A9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1-й границе высотности, м</w:t>
            </w:r>
          </w:p>
        </w:tc>
        <w:tc>
          <w:tcPr>
            <w:tcW w:w="1601" w:type="dxa"/>
          </w:tcPr>
          <w:p w14:paraId="016A80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1260/700</w:t>
            </w:r>
          </w:p>
        </w:tc>
        <w:tc>
          <w:tcPr>
            <w:tcW w:w="1601" w:type="dxa"/>
          </w:tcPr>
          <w:p w14:paraId="6DD55B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1310/200</w:t>
            </w:r>
          </w:p>
        </w:tc>
        <w:tc>
          <w:tcPr>
            <w:tcW w:w="1601" w:type="dxa"/>
          </w:tcPr>
          <w:p w14:paraId="2D2B0F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1550/1200</w:t>
            </w:r>
          </w:p>
        </w:tc>
        <w:tc>
          <w:tcPr>
            <w:tcW w:w="1601" w:type="dxa"/>
          </w:tcPr>
          <w:p w14:paraId="67EE7B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1600/1800</w:t>
            </w:r>
          </w:p>
        </w:tc>
      </w:tr>
      <w:tr w:rsidR="009B487A" w:rsidRPr="00722885" w14:paraId="6CECF454" w14:textId="77777777" w:rsidTr="00CC5360">
        <w:tc>
          <w:tcPr>
            <w:tcW w:w="1601" w:type="dxa"/>
          </w:tcPr>
          <w:p w14:paraId="31FF00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2-й границе высотности, м</w:t>
            </w:r>
          </w:p>
        </w:tc>
        <w:tc>
          <w:tcPr>
            <w:tcW w:w="1601" w:type="dxa"/>
          </w:tcPr>
          <w:p w14:paraId="1EBF8F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1180/2700</w:t>
            </w:r>
          </w:p>
        </w:tc>
        <w:tc>
          <w:tcPr>
            <w:tcW w:w="1601" w:type="dxa"/>
          </w:tcPr>
          <w:p w14:paraId="35EFA1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1240/2100</w:t>
            </w:r>
          </w:p>
        </w:tc>
        <w:tc>
          <w:tcPr>
            <w:tcW w:w="1601" w:type="dxa"/>
          </w:tcPr>
          <w:p w14:paraId="45125F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1450/3800</w:t>
            </w:r>
          </w:p>
        </w:tc>
        <w:tc>
          <w:tcPr>
            <w:tcW w:w="1601" w:type="dxa"/>
          </w:tcPr>
          <w:p w14:paraId="6CDCC7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1500/4500</w:t>
            </w:r>
          </w:p>
        </w:tc>
      </w:tr>
      <w:tr w:rsidR="009B487A" w:rsidRPr="00722885" w14:paraId="3A639B08" w14:textId="77777777" w:rsidTr="00CC5360">
        <w:tc>
          <w:tcPr>
            <w:tcW w:w="1601" w:type="dxa"/>
          </w:tcPr>
          <w:p w14:paraId="596622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 в минуту</w:t>
            </w:r>
          </w:p>
        </w:tc>
        <w:tc>
          <w:tcPr>
            <w:tcW w:w="1601" w:type="dxa"/>
          </w:tcPr>
          <w:p w14:paraId="3E4420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569F5A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3A6509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1601" w:type="dxa"/>
          </w:tcPr>
          <w:p w14:paraId="512603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3200</w:t>
            </w:r>
          </w:p>
        </w:tc>
      </w:tr>
      <w:tr w:rsidR="009B487A" w:rsidRPr="00722885" w14:paraId="60A8E627" w14:textId="77777777" w:rsidTr="00CC5360">
        <w:tc>
          <w:tcPr>
            <w:tcW w:w="1601" w:type="dxa"/>
          </w:tcPr>
          <w:p w14:paraId="1A3F55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Сухой вес, кг</w:t>
            </w:r>
          </w:p>
        </w:tc>
        <w:tc>
          <w:tcPr>
            <w:tcW w:w="1601" w:type="dxa"/>
          </w:tcPr>
          <w:p w14:paraId="0AAFAB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600-620</w:t>
            </w:r>
          </w:p>
        </w:tc>
        <w:tc>
          <w:tcPr>
            <w:tcW w:w="1601" w:type="dxa"/>
          </w:tcPr>
          <w:p w14:paraId="1055C8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45FC5C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Pr>
          <w:p w14:paraId="7D6D2E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760</w:t>
            </w:r>
          </w:p>
        </w:tc>
      </w:tr>
      <w:tr w:rsidR="009B487A" w:rsidRPr="00722885" w14:paraId="5B297AAA" w14:textId="77777777" w:rsidTr="00CC5360">
        <w:tc>
          <w:tcPr>
            <w:tcW w:w="1601" w:type="dxa"/>
            <w:tcBorders>
              <w:bottom w:val="single" w:sz="12" w:space="0" w:color="auto"/>
            </w:tcBorders>
          </w:tcPr>
          <w:p w14:paraId="4A9260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Удельный вес, кг/л.с.</w:t>
            </w:r>
          </w:p>
        </w:tc>
        <w:tc>
          <w:tcPr>
            <w:tcW w:w="1601" w:type="dxa"/>
            <w:tcBorders>
              <w:bottom w:val="single" w:sz="12" w:space="0" w:color="auto"/>
            </w:tcBorders>
          </w:tcPr>
          <w:p w14:paraId="6C8266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0,5-0,517</w:t>
            </w:r>
          </w:p>
        </w:tc>
        <w:tc>
          <w:tcPr>
            <w:tcW w:w="1601" w:type="dxa"/>
            <w:tcBorders>
              <w:bottom w:val="single" w:sz="12" w:space="0" w:color="auto"/>
            </w:tcBorders>
          </w:tcPr>
          <w:p w14:paraId="61AE25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Borders>
              <w:bottom w:val="single" w:sz="12" w:space="0" w:color="auto"/>
            </w:tcBorders>
          </w:tcPr>
          <w:p w14:paraId="70DEC2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601" w:type="dxa"/>
            <w:tcBorders>
              <w:bottom w:val="single" w:sz="12" w:space="0" w:color="auto"/>
            </w:tcBorders>
          </w:tcPr>
          <w:p w14:paraId="2CE7FE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0,461</w:t>
            </w:r>
          </w:p>
        </w:tc>
      </w:tr>
    </w:tbl>
    <w:p w14:paraId="6153BA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Данные для значений 3200 оборотов в минуту (12046).</w:t>
      </w:r>
    </w:p>
    <w:p w14:paraId="64322BA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3C1960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в аппарате ГКО создали Оперативное бюро по развитию авиастроения. Было и постановление ГКО "О материально-техническом обеспечении заводов НКАП", которым с 1943 стали утверждать квартальные планы поставок и появились квартальные планы выпуска самолетов и моторов (173,223).</w:t>
      </w:r>
    </w:p>
    <w:p w14:paraId="64A6A8F8" w14:textId="77777777" w:rsidR="00BB6316" w:rsidRPr="00722885" w:rsidRDefault="00BB6316" w:rsidP="00722885">
      <w:pPr>
        <w:pStyle w:val="Iauiue"/>
        <w:jc w:val="both"/>
        <w:rPr>
          <w:color w:val="000000" w:themeColor="text1"/>
          <w:sz w:val="16"/>
          <w:szCs w:val="16"/>
        </w:rPr>
      </w:pPr>
    </w:p>
    <w:p w14:paraId="68AD25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в структуре ГКО было создано Опе</w:t>
      </w:r>
      <w:r w:rsidRPr="00722885">
        <w:rPr>
          <w:rFonts w:ascii="Times New Roman" w:hAnsi="Times New Roman"/>
          <w:color w:val="000000" w:themeColor="text1"/>
          <w:sz w:val="16"/>
          <w:szCs w:val="16"/>
        </w:rPr>
        <w:softHyphen/>
        <w:t>ративное бюро, занимавшееся непосредственно вопросами развития авиастроения (12011).</w:t>
      </w:r>
    </w:p>
    <w:p w14:paraId="5575760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63E59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Начиная с 1943 г. ежеквартальные планы поставок авиа</w:t>
      </w:r>
      <w:r w:rsidRPr="00722885">
        <w:rPr>
          <w:rFonts w:ascii="Times New Roman" w:hAnsi="Times New Roman"/>
          <w:color w:val="000000" w:themeColor="text1"/>
          <w:sz w:val="16"/>
          <w:szCs w:val="16"/>
        </w:rPr>
        <w:softHyphen/>
        <w:t>заводам по межотраслевой кооперации стали утверждать</w:t>
      </w:r>
      <w:r w:rsidRPr="00722885">
        <w:rPr>
          <w:rFonts w:ascii="Times New Roman" w:hAnsi="Times New Roman"/>
          <w:color w:val="000000" w:themeColor="text1"/>
          <w:sz w:val="16"/>
          <w:szCs w:val="16"/>
        </w:rPr>
        <w:softHyphen/>
        <w:t>ся специальными постановлениями ГКО «О материально- техническом обеспечении заводов НКАП» (Самолётостроение в СССР. 1917—1945. Кн. 2. М., 1994. С. 222.). Также — по</w:t>
      </w:r>
      <w:r w:rsidRPr="00722885">
        <w:rPr>
          <w:rFonts w:ascii="Times New Roman" w:hAnsi="Times New Roman"/>
          <w:color w:val="000000" w:themeColor="text1"/>
          <w:sz w:val="16"/>
          <w:szCs w:val="16"/>
        </w:rPr>
        <w:softHyphen/>
        <w:t>становлениями ГКО — утверждались и квартальные планы выпуска самолётов и моторов. Впрочем, это не отменяло обязанности НКАП рапортовать в ГКО ежемесячно о сдаче облётанных и готовых к отправке самолётов и выполнении других производственных программ. Переход от ежеднев</w:t>
      </w:r>
      <w:r w:rsidRPr="00722885">
        <w:rPr>
          <w:rFonts w:ascii="Times New Roman" w:hAnsi="Times New Roman"/>
          <w:color w:val="000000" w:themeColor="text1"/>
          <w:sz w:val="16"/>
          <w:szCs w:val="16"/>
        </w:rPr>
        <w:softHyphen/>
        <w:t>ной к месячной и квартальной отчётности можно рассма</w:t>
      </w:r>
      <w:r w:rsidRPr="00722885">
        <w:rPr>
          <w:rFonts w:ascii="Times New Roman" w:hAnsi="Times New Roman"/>
          <w:color w:val="000000" w:themeColor="text1"/>
          <w:sz w:val="16"/>
          <w:szCs w:val="16"/>
        </w:rPr>
        <w:softHyphen/>
        <w:t>тривать как признак некоторой стабилизации ситуации с авиавыпуском и возрастания доверия со стороны руковод</w:t>
      </w:r>
      <w:r w:rsidRPr="00722885">
        <w:rPr>
          <w:rFonts w:ascii="Times New Roman" w:hAnsi="Times New Roman"/>
          <w:color w:val="000000" w:themeColor="text1"/>
          <w:sz w:val="16"/>
          <w:szCs w:val="16"/>
        </w:rPr>
        <w:softHyphen/>
        <w:t>ства страны к управленческой системе НКАПа. Одновре</w:t>
      </w:r>
      <w:r w:rsidRPr="00722885">
        <w:rPr>
          <w:rFonts w:ascii="Times New Roman" w:hAnsi="Times New Roman"/>
          <w:color w:val="000000" w:themeColor="text1"/>
          <w:sz w:val="16"/>
          <w:szCs w:val="16"/>
        </w:rPr>
        <w:softHyphen/>
        <w:t xml:space="preserve">менно развивался и аппарат ГКО, в том числе — и с целью усовершенствования контроля за авиапромышленностью. Так, </w:t>
      </w:r>
    </w:p>
    <w:p w14:paraId="7107736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5E2E1C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вышло постановление ГКО поручившее НКАП значительно улучшить эксплуатационные и боевые качества основных серийных самолетов (173,228).</w:t>
      </w:r>
    </w:p>
    <w:p w14:paraId="2BFD55E8" w14:textId="77777777" w:rsidR="00BB6316" w:rsidRPr="00722885" w:rsidRDefault="00BB6316" w:rsidP="00722885">
      <w:pPr>
        <w:pStyle w:val="Iauiue"/>
        <w:jc w:val="both"/>
        <w:rPr>
          <w:color w:val="000000" w:themeColor="text1"/>
          <w:sz w:val="16"/>
          <w:szCs w:val="16"/>
        </w:rPr>
      </w:pPr>
    </w:p>
    <w:p w14:paraId="30D5765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 состоянию на декабрь 1942 года были следующие директора заводов НКАП:</w:t>
      </w:r>
    </w:p>
    <w:p w14:paraId="082A491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Завода № 23 – Иосиловича И.Б.</w:t>
      </w:r>
    </w:p>
    <w:p w14:paraId="5941DA0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Завода № 33 - Маланьина М.И.</w:t>
      </w:r>
    </w:p>
    <w:p w14:paraId="4E55477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Завода № 39 – Абрамова В.И.</w:t>
      </w:r>
    </w:p>
    <w:p w14:paraId="38A421D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Завода № 133 – Комиссарова М.И.</w:t>
      </w:r>
    </w:p>
    <w:p w14:paraId="0BB2D4A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Завода № 161 – Масальского М.Г.</w:t>
      </w:r>
    </w:p>
    <w:p w14:paraId="6694D03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Завода № 306 – Филимонова М.С.</w:t>
      </w:r>
    </w:p>
    <w:p w14:paraId="760423F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Завода № 466 – Лукина И.Н.</w:t>
      </w:r>
    </w:p>
    <w:p w14:paraId="17E3D89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НИИ-12 – Чинарева А.И. (8910)</w:t>
      </w:r>
    </w:p>
    <w:p w14:paraId="1AF85B5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завод №23 выпустил малую серию из десяти бомбардировщиков с новыми консолями и усиленным шасси. Ее направили на войсковые испытания. Последние показали одновременно с улучшением пилотажных качеств значительное снижение боевой живучести. С новыми консолями выпустили небольшое количество бомбардировщиков. Зато простой разворот отъемных частей крыла внедрили в 1943 г. на разных заводах. Это так называемое “крыло со стрелкой”, спроектированное в феврале 1943 г. (7666).</w:t>
      </w:r>
    </w:p>
    <w:p w14:paraId="44D4ED93" w14:textId="77777777" w:rsidR="00BB6316" w:rsidRPr="00722885" w:rsidRDefault="00BB6316" w:rsidP="00722885">
      <w:pPr>
        <w:pStyle w:val="Iauiue"/>
        <w:jc w:val="both"/>
        <w:rPr>
          <w:color w:val="000000" w:themeColor="text1"/>
          <w:sz w:val="16"/>
          <w:szCs w:val="16"/>
        </w:rPr>
      </w:pPr>
    </w:p>
    <w:p w14:paraId="37AAF97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С.П.К. был переведен с з-да 166 в Омске на Казанский з-д № 16 зам. Нач. ОКБ В.П.Г. (5380, 24).</w:t>
      </w:r>
    </w:p>
    <w:p w14:paraId="35322F7D" w14:textId="77777777" w:rsidR="00BB6316" w:rsidRPr="00722885" w:rsidRDefault="00BB6316" w:rsidP="00722885">
      <w:pPr>
        <w:pStyle w:val="Iauiue"/>
        <w:jc w:val="both"/>
        <w:rPr>
          <w:color w:val="000000" w:themeColor="text1"/>
          <w:sz w:val="16"/>
          <w:szCs w:val="16"/>
        </w:rPr>
      </w:pPr>
    </w:p>
    <w:p w14:paraId="6154AA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декабре 1942 г. ввиду неудовлетворительного состояния работ в отрасли по аэродромному оборудованию заводу (Завод № 125 НКАП, Подольский паровозоремонтный завод, Крекинго-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  г. Подольск Московской обл. ул. Железнодорожная, 2 тел. 65-42-37, 747-10-06/) поручено организовать производство передвижных масловодоподогревателей и бензозаправщиков. В соответствии с распоряжением ГКО № 5763 от 30.04.1944 г. заводу № 125 НКАП передано 100 заключенных из Подольского лагеря.</w:t>
      </w:r>
    </w:p>
    <w:p w14:paraId="08236C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1944-45 г. строились образцы самолетов-снарядов «10Х». С 12.1944 г. на завод возложено производство наземных стартовых устройств для «10Х».</w:t>
      </w:r>
    </w:p>
    <w:p w14:paraId="521123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1944 г. завод объединен с заводом № 9 ОАП, и образован единый завод № 125 НКАП.</w:t>
      </w:r>
    </w:p>
    <w:p w14:paraId="76908B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404с/462с от 23.11.1945 г. завод № 125 ЮГУ НКАП передан в систему НК нефти. По приказу № 481с от 8.12.1945 г. весь задел по «10Х» (оснастка, техдокументация) оставлены в НКАП. В частности, по 110 чел. ИТР и рабочих, а также спецоборудование и станки переданы на заводы № 456 и № 491 НКАП.</w:t>
      </w:r>
    </w:p>
    <w:p w14:paraId="223E56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1947 г.- производство электродов. С 1950-х  г. - проектирование и изготовление энергетических котельных установок для ТЭС. С 1947 г.- изготовление оборудования для экспериментальных атомных установок, с 1953 г. - оборудования для всех АЭС страны, а также на экспорт. С 1990-х  г.- создание котлов-утилизаторов для 111 У.</w:t>
      </w:r>
    </w:p>
    <w:p w14:paraId="4C9315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1980-х  г. завод был единственным предприятием в стране, имевшим оборудование для гибки труб диаметром 377 и 500 мм из стали 40ХМ (для катапульт авианесущих кораблей).</w:t>
      </w:r>
    </w:p>
    <w:p w14:paraId="41A65B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Предприятие имеет производства: заготовительное (кузнечный цех, холодной и горячей штамповки, раскроя листового проката); механообрабатывающее; трубное; сборочно-сварочное; экспериментальную базу, в состав которой входят лаборатории: аэродинамических и сепарационных испытаний, теплогидравлических исследований, импульсной техники, коррозионных и материаловедческих исследований. «ЗиО-Подольск» входил в ФПГ «Тяжэнергомаш» (ТЭМ), затем- в «ЭМАльянс».</w:t>
      </w:r>
    </w:p>
    <w:p w14:paraId="2609C2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Дочерние предприятия «ЗиО-Подольск» (2004 г.): ОАО «Инжиниринговая компания «Зиомар», ЗАО «Зиосаб», ОАО «Эсма», ОАО «ЗиО-Дор», ОАО «Строитель-плюс».</w:t>
      </w:r>
    </w:p>
    <w:p w14:paraId="5F679E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Направления работы (2004 г.): тепловая энергетика, атомная энергетика, газонефтехимпереработка.</w:t>
      </w:r>
    </w:p>
    <w:p w14:paraId="2534E2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(-08.1942-01.1943 г.-)- Б.Д. Кисилевский, (-09.1943-11.1944 г.-)- Свет. Гендиректор (-2003-06 г.)- В. Г. Даниленко, (-12.2007 г.)- В.П. Белоусов, (12.2007-08 г.)- Ю. Никаноров.</w:t>
      </w:r>
    </w:p>
    <w:p w14:paraId="78E270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(-12.2007 г.)- Ю. Никаноров.</w:t>
      </w:r>
    </w:p>
    <w:p w14:paraId="21F6CE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КО (1944-45 г.)- М.Р. Бисноват; маркетинга и управления проектами: № 1 (2000-е)- В.В. Гордеев; № 2 (2000-е)- Ю.А. Ершов; № 3 (2000-е)- А.Н. Шуб; № 5 (2000-е)- С.В. Долматов.</w:t>
      </w:r>
    </w:p>
    <w:p w14:paraId="146C82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башни для танка Т-38 (1936-); крекинг-аппараты (1939-); бронекорпуса для Ил-2 (1940-); бронепоезд «Подольский рабочий» (1941); (1990-е) котлы-утилизаторы: П-90, П-91, П-92; (2000-е) котлы, котельное оборудование (сажеобдувочное, топливоподающее, тягодутьевые машины, калориферы, золоочистные установки, трубопроводы); оборудование для нефтегазхимии (колонны, теплообменники, емкости, трубчатые печи, змеевики, малогабаритные модульные установки для переработки газового конденсата и нефти, регенераторы); оборудование для геотермальных станций (11982).</w:t>
      </w:r>
    </w:p>
    <w:p w14:paraId="21DD41D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033DB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был рапорт начальнику управления эксплуатации и ремонта ГУ ИА ПВО ТС от главного инженера 8-го АК ПВО инже</w:t>
      </w:r>
      <w:r w:rsidRPr="00722885">
        <w:rPr>
          <w:rFonts w:ascii="Times New Roman" w:hAnsi="Times New Roman"/>
          <w:color w:val="000000" w:themeColor="text1"/>
          <w:sz w:val="16"/>
          <w:szCs w:val="16"/>
        </w:rPr>
        <w:softHyphen/>
        <w:t>нер-полковника Хохлова и инженера по вооружению 8-го АК ПВО ин</w:t>
      </w:r>
      <w:r w:rsidRPr="00722885">
        <w:rPr>
          <w:rFonts w:ascii="Times New Roman" w:hAnsi="Times New Roman"/>
          <w:color w:val="000000" w:themeColor="text1"/>
          <w:sz w:val="16"/>
          <w:szCs w:val="16"/>
        </w:rPr>
        <w:softHyphen/>
        <w:t>женер-майора Лазина: «Представляю на утверждение акт комиссии 8-го АК контрольного отстрела РС-82 со взрывателями АГДТ-А и ПП-4, эксплуатируемые с сентября 1942 г. в дежурных эскадрильях. В целях повышения боеготовности дежурных средств и сохранения взрывате</w:t>
      </w:r>
      <w:r w:rsidRPr="00722885">
        <w:rPr>
          <w:rFonts w:ascii="Times New Roman" w:hAnsi="Times New Roman"/>
          <w:color w:val="000000" w:themeColor="text1"/>
          <w:sz w:val="16"/>
          <w:szCs w:val="16"/>
        </w:rPr>
        <w:softHyphen/>
        <w:t>лей, снаряжаемых на дежурные самолеты, нами проведены следующие мероприятия:</w:t>
      </w:r>
    </w:p>
    <w:p w14:paraId="20657F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Выделены взрыватели для одной дежурной эскадрильи, которые при смене передаются в другую дежурную эскадрилью. На остальные две эскадрильи взрыватели находятся в гермоукупорке в полку, вскрытие и снаряжение которыми разрешается при объявлении боевой тревоги.</w:t>
      </w:r>
    </w:p>
    <w:p w14:paraId="70DACA9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Взрыватели, выделенные для снаряжения РС-82 дежурной эскад</w:t>
      </w:r>
      <w:r w:rsidRPr="00722885">
        <w:rPr>
          <w:rFonts w:ascii="Times New Roman" w:hAnsi="Times New Roman"/>
          <w:color w:val="000000" w:themeColor="text1"/>
          <w:sz w:val="16"/>
          <w:szCs w:val="16"/>
        </w:rPr>
        <w:softHyphen/>
        <w:t>рильи, ввернуты в снаряды, поставлено требуемое замедление, дистан</w:t>
      </w:r>
      <w:r w:rsidRPr="00722885">
        <w:rPr>
          <w:rFonts w:ascii="Times New Roman" w:hAnsi="Times New Roman"/>
          <w:color w:val="000000" w:themeColor="text1"/>
          <w:sz w:val="16"/>
          <w:szCs w:val="16"/>
        </w:rPr>
        <w:softHyphen/>
        <w:t>ционные кольца обмотаны изолентой, одеты предохранительные метал</w:t>
      </w:r>
      <w:r w:rsidRPr="00722885">
        <w:rPr>
          <w:rFonts w:ascii="Times New Roman" w:hAnsi="Times New Roman"/>
          <w:color w:val="000000" w:themeColor="text1"/>
          <w:sz w:val="16"/>
          <w:szCs w:val="16"/>
        </w:rPr>
        <w:softHyphen/>
        <w:t>лические колпаки, опломбированы и оклеены перкалевой лентой на эмалите.</w:t>
      </w:r>
    </w:p>
    <w:p w14:paraId="149AED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Подготовительные по вышеуказанному способу снаряды подвешивают на дежурные самолеты, и при вылете на боевое задание снимд ется предохранительный колпак и выдергивается предохранительная вилка, поверяется положение походной предохранительной чеки и крыльчатки.</w:t>
      </w:r>
    </w:p>
    <w:p w14:paraId="16982D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При возвращении с боевого задания со снарядами, обратно ста</w:t>
      </w:r>
      <w:r w:rsidRPr="00722885">
        <w:rPr>
          <w:rFonts w:ascii="Times New Roman" w:hAnsi="Times New Roman"/>
          <w:color w:val="000000" w:themeColor="text1"/>
          <w:sz w:val="16"/>
          <w:szCs w:val="16"/>
        </w:rPr>
        <w:softHyphen/>
        <w:t>вятся предохранительные вилки, одеваются предохранительные колпа</w:t>
      </w:r>
      <w:r w:rsidRPr="00722885">
        <w:rPr>
          <w:rFonts w:ascii="Times New Roman" w:hAnsi="Times New Roman"/>
          <w:color w:val="000000" w:themeColor="text1"/>
          <w:sz w:val="16"/>
          <w:szCs w:val="16"/>
        </w:rPr>
        <w:softHyphen/>
        <w:t>ки, пломбируются и обклеиваются перкалевой лентой на эмалите.</w:t>
      </w:r>
    </w:p>
    <w:p w14:paraId="670C500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После смены с дежурства снимают снаряды с самолетов с вверну</w:t>
      </w:r>
      <w:r w:rsidRPr="00722885">
        <w:rPr>
          <w:rFonts w:ascii="Times New Roman" w:hAnsi="Times New Roman"/>
          <w:color w:val="000000" w:themeColor="text1"/>
          <w:sz w:val="16"/>
          <w:szCs w:val="16"/>
        </w:rPr>
        <w:softHyphen/>
        <w:t>тыми взрывателями, установленным замедлением и одетыми предохра</w:t>
      </w:r>
      <w:r w:rsidRPr="00722885">
        <w:rPr>
          <w:rFonts w:ascii="Times New Roman" w:hAnsi="Times New Roman"/>
          <w:color w:val="000000" w:themeColor="text1"/>
          <w:sz w:val="16"/>
          <w:szCs w:val="16"/>
        </w:rPr>
        <w:softHyphen/>
        <w:t>нительными колпаками, укладываются в стандартные заводские ящики и хранятся в отдельном сухом помещении до заступления другой дежур</w:t>
      </w:r>
      <w:r w:rsidRPr="00722885">
        <w:rPr>
          <w:rFonts w:ascii="Times New Roman" w:hAnsi="Times New Roman"/>
          <w:color w:val="000000" w:themeColor="text1"/>
          <w:sz w:val="16"/>
          <w:szCs w:val="16"/>
        </w:rPr>
        <w:softHyphen/>
        <w:t>ной эскадрильи.</w:t>
      </w:r>
    </w:p>
    <w:p w14:paraId="5E6718B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Заместитель командующего по тылу Закфронта приказал: в целях сохра</w:t>
      </w:r>
      <w:r w:rsidRPr="00722885">
        <w:rPr>
          <w:rFonts w:ascii="Times New Roman" w:hAnsi="Times New Roman"/>
          <w:color w:val="000000" w:themeColor="text1"/>
          <w:sz w:val="16"/>
          <w:szCs w:val="16"/>
        </w:rPr>
        <w:softHyphen/>
        <w:t>нения взрывателей АГДТ-А, использовать опыт, предложенный 8-м АК.</w:t>
      </w:r>
    </w:p>
    <w:p w14:paraId="342B640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отдела снабжения ВВС Закфронта интендант 1 ранга Шабанов, зам. начальника отдела снабжения ВВС Закфронта по вооруже</w:t>
      </w:r>
      <w:r w:rsidRPr="00722885">
        <w:rPr>
          <w:rFonts w:ascii="Times New Roman" w:hAnsi="Times New Roman"/>
          <w:color w:val="000000" w:themeColor="text1"/>
          <w:sz w:val="16"/>
          <w:szCs w:val="16"/>
        </w:rPr>
        <w:softHyphen/>
        <w:t>нию и боеприпасам подполковник Коваленко (11402).</w:t>
      </w:r>
    </w:p>
    <w:p w14:paraId="7FA9CBB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FFA186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в письме Миль уточняет, что всего было разработано пять вариантов реактивного противо</w:t>
      </w:r>
      <w:hyperlink r:id="rId203"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ового ружья. Между тем оружие подобного рода корректнее классифицировать, как с</w:t>
      </w:r>
      <w:hyperlink r:id="rId204"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овые ракетные гранатометы (СРГ). Основу всех вариантов ракетной конструкции Миля-Пасхина составляло штатное авиационное орудие РО-82 «флейта» с направляющей желобкового типа, предназначенное для стрельбы также штатными 82-мм ракетно-осколочными снарядами РОС-82. Доработка орудия заключалась в том, что расположенный в задней части трубчатой силовой балки штатный авиационный пиро-пистолет, предназначенный для запуска снарядов РОС-82 выстрелом пиропатроном в сопло боеприпаса, был упразднен, а вместо него был установлен деревянный винтовочный приклад. Передний и задний узлы подвески ракетного орудия к самолету в этом случае теряли свое функциональное назначение и также упразднялись. Орудие пришлось подвесить на единственном шарнире (шаровая опора) примерно в центре тяжести (применительно к заряженной пусковой), а новый видоизмененный пирописто-лет к нему смонтировать под прикладом. Центральный шарнир у разных вариантов установки крепился либо к колесному, либо к лыжному с</w:t>
      </w:r>
      <w:hyperlink r:id="rId205"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ам, либо к треноге.</w:t>
      </w:r>
    </w:p>
    <w:p w14:paraId="288631D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Концепция СРГ Миля-Пасхина предусматривала, что оружие будет располагаться в первой линии обороны боевых порядков пехоты (через «голову» своих войск из него стрелять было возможно только с возвышенности). Для этого СРГ требовалось выполнить максимально компактным и малозаметным. Последнее обстоятельство обусловило ряд технических проблем, к решению которых М.Л. Миль подошел, поистине, как авиационный инженер-проектировщик.</w:t>
      </w:r>
    </w:p>
    <w:p w14:paraId="3F33789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Дело в том, что при старте маршевого двигателя реактивного снаряда, оснащенного жестко закрепленным на корпусе оперением, с так называемой направляющей рельсового типа возникает необходимость в защите стрелкового расчета от струи горячих продуктов горения ракетного заряда боеприпаса, скорость истечения которых достигала 800 м/с и более. Защите от этого М.Л. Миль уделил львиную | долю времени в ходе проектирования. Несколько вариантов его «защитного щитка со специальным направляющим устройством» для отвода газов, в первом приближении, были выполнены в виде аэродинамического клина и предусматривали уравновешивание моментов сил двух рассеченных им потоков газовой струи. Расчетная величина силы отдачи при выстреле не должна была превышать 96,6 кг (15595).</w:t>
      </w:r>
    </w:p>
    <w:p w14:paraId="34A75257"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120EA0A3" w14:textId="77777777" w:rsidR="00712ECF" w:rsidRPr="00722885" w:rsidRDefault="00712ECF" w:rsidP="00722885">
      <w:pPr>
        <w:pStyle w:val="ae"/>
        <w:spacing w:before="0" w:after="0"/>
        <w:jc w:val="both"/>
        <w:textAlignment w:val="baseline"/>
        <w:rPr>
          <w:color w:val="000000" w:themeColor="text1"/>
          <w:sz w:val="16"/>
          <w:szCs w:val="16"/>
        </w:rPr>
      </w:pPr>
      <w:r w:rsidRPr="00722885">
        <w:rPr>
          <w:rStyle w:val="a7"/>
          <w:rFonts w:eastAsiaTheme="majorEastAsia"/>
          <w:b w:val="0"/>
          <w:iCs/>
          <w:color w:val="000000" w:themeColor="text1"/>
          <w:sz w:val="16"/>
          <w:szCs w:val="16"/>
          <w:bdr w:val="none" w:sz="0" w:space="0" w:color="auto" w:frame="1"/>
        </w:rPr>
        <w:t>В декабре 1942 г., Миль уточняет, что всего было разработано пять вариантов реактивного противо</w:t>
      </w:r>
      <w:hyperlink r:id="rId206" w:history="1">
        <w:r w:rsidRPr="00722885">
          <w:rPr>
            <w:rStyle w:val="a5"/>
            <w:rFonts w:eastAsiaTheme="majorEastAsia"/>
            <w:bCs/>
            <w:iCs/>
            <w:color w:val="000000" w:themeColor="text1"/>
            <w:sz w:val="16"/>
            <w:szCs w:val="16"/>
            <w:bdr w:val="none" w:sz="0" w:space="0" w:color="auto" w:frame="1"/>
          </w:rPr>
          <w:t>танк</w:t>
        </w:r>
      </w:hyperlink>
      <w:r w:rsidRPr="00722885">
        <w:rPr>
          <w:rStyle w:val="a7"/>
          <w:rFonts w:eastAsiaTheme="majorEastAsia"/>
          <w:b w:val="0"/>
          <w:iCs/>
          <w:color w:val="000000" w:themeColor="text1"/>
          <w:sz w:val="16"/>
          <w:szCs w:val="16"/>
          <w:bdr w:val="none" w:sz="0" w:space="0" w:color="auto" w:frame="1"/>
        </w:rPr>
        <w:t xml:space="preserve">ового ружья. </w:t>
      </w:r>
      <w:r w:rsidRPr="00722885">
        <w:rPr>
          <w:color w:val="000000" w:themeColor="text1"/>
          <w:sz w:val="16"/>
          <w:szCs w:val="16"/>
        </w:rPr>
        <w:t>Основу всех вариантов ракетной конструкции Миля-Пасхина составляло штатное авиационное орудие РО-82 «флейта» с направляющей желобкового типа, предназначенное для стрельбы также штатными 82-мм ракетно-осколочными снарядами РОС-82. Доработка орудия заключалась в том, что расположенный в задней части трубчатой силовой балки штатный авиационный пиро-пистолет, предназначенный для запуска снарядов РОС-82 выстрелом пиропатроном в сопло боеприпаса, был упразднен, а вместо него был установлен деревянный винтовочный приклад. Передний и задний узлы подвески ракетного орудия к самолету в этом случае теряли свое функциональное назначение и также упразднялись. Орудие пришлось подвесить на единственном шарнире (шаровая опора) примерно в центре тяжести (применительно к заряженной пусковой), а новый видоизмененный пирописто-лет к нему смонтировать под прикладом. Центральный шарнир у разных вариантов установки крепился либо к колесному, либо к лыжному с</w:t>
      </w:r>
      <w:hyperlink r:id="rId207" w:history="1">
        <w:r w:rsidRPr="00722885">
          <w:rPr>
            <w:rStyle w:val="a5"/>
            <w:rFonts w:eastAsiaTheme="majorEastAsia"/>
            <w:color w:val="000000" w:themeColor="text1"/>
            <w:sz w:val="16"/>
            <w:szCs w:val="16"/>
            <w:bdr w:val="none" w:sz="0" w:space="0" w:color="auto" w:frame="1"/>
          </w:rPr>
          <w:t>танк</w:t>
        </w:r>
      </w:hyperlink>
      <w:r w:rsidRPr="00722885">
        <w:rPr>
          <w:color w:val="000000" w:themeColor="text1"/>
          <w:sz w:val="16"/>
          <w:szCs w:val="16"/>
        </w:rPr>
        <w:t>ам, либо к треноге.</w:t>
      </w:r>
    </w:p>
    <w:p w14:paraId="56353633" w14:textId="77777777" w:rsidR="00712ECF" w:rsidRPr="00722885" w:rsidRDefault="00712ECF" w:rsidP="00722885">
      <w:pPr>
        <w:pStyle w:val="ae"/>
        <w:spacing w:before="0" w:after="0"/>
        <w:jc w:val="both"/>
        <w:textAlignment w:val="baseline"/>
        <w:rPr>
          <w:color w:val="000000" w:themeColor="text1"/>
          <w:sz w:val="16"/>
          <w:szCs w:val="16"/>
        </w:rPr>
      </w:pPr>
      <w:r w:rsidRPr="00722885">
        <w:rPr>
          <w:color w:val="000000" w:themeColor="text1"/>
          <w:sz w:val="16"/>
          <w:szCs w:val="16"/>
        </w:rPr>
        <w:t>Концепция СРГ Миля-Пасхина предусматривала, что оружие будет располагаться в первой линии обороны боевых порядков пехоты (через «голову» своих войск из него стрелять было возможно только с возвышенности). Для этого СРГ требовалось выполнить максимально компактным и малозаметным.</w:t>
      </w:r>
    </w:p>
    <w:p w14:paraId="526D2A14" w14:textId="77777777" w:rsidR="00712ECF" w:rsidRPr="00722885" w:rsidRDefault="00712ECF" w:rsidP="00722885">
      <w:pPr>
        <w:pStyle w:val="ae"/>
        <w:spacing w:before="0" w:after="0"/>
        <w:jc w:val="both"/>
        <w:textAlignment w:val="baseline"/>
        <w:rPr>
          <w:color w:val="000000" w:themeColor="text1"/>
          <w:sz w:val="16"/>
          <w:szCs w:val="16"/>
        </w:rPr>
      </w:pPr>
      <w:r w:rsidRPr="00722885">
        <w:rPr>
          <w:color w:val="000000" w:themeColor="text1"/>
          <w:sz w:val="16"/>
          <w:szCs w:val="16"/>
        </w:rPr>
        <w:t>Несколько вариантов его «защитного щитка со специальным направляющим устройством» для отвода газов, в первом приближении, были выполнены в виде аэродинамического клина и предусматривали уравновешивание моментов сил двух рассеченных им потоков газовой струи. Расчетная величина силы отдачи при выстреле не должна была превышать 96,6 кг (18989).</w:t>
      </w:r>
    </w:p>
    <w:p w14:paraId="40F41C27" w14:textId="77777777" w:rsidR="00712ECF" w:rsidRPr="00722885" w:rsidRDefault="00712ECF" w:rsidP="00722885">
      <w:pPr>
        <w:pStyle w:val="ae"/>
        <w:spacing w:before="0" w:after="0"/>
        <w:jc w:val="both"/>
        <w:textAlignment w:val="baseline"/>
        <w:rPr>
          <w:color w:val="000000" w:themeColor="text1"/>
          <w:sz w:val="16"/>
          <w:szCs w:val="16"/>
        </w:rPr>
      </w:pPr>
    </w:p>
    <w:p w14:paraId="6FE8EAA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557F8E8B" w14:textId="77777777" w:rsidR="00BB6316" w:rsidRPr="00722885" w:rsidRDefault="00BB6316" w:rsidP="00722885">
      <w:pPr>
        <w:pStyle w:val="Iauiue"/>
        <w:jc w:val="both"/>
        <w:rPr>
          <w:iCs/>
          <w:color w:val="000000" w:themeColor="text1"/>
          <w:sz w:val="16"/>
          <w:szCs w:val="16"/>
        </w:rPr>
      </w:pPr>
    </w:p>
    <w:p w14:paraId="3B048F2A" w14:textId="77777777" w:rsidR="003B6A42" w:rsidRPr="00722885" w:rsidRDefault="003B6A4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lastRenderedPageBreak/>
        <w:t>В декабре 1942 г. на расширенном заседа</w:t>
      </w:r>
      <w:r w:rsidRPr="00722885">
        <w:rPr>
          <w:rFonts w:ascii="Times New Roman" w:hAnsi="Times New Roman"/>
          <w:color w:val="0070C0"/>
          <w:sz w:val="16"/>
          <w:szCs w:val="16"/>
        </w:rPr>
        <w:softHyphen/>
        <w:t>нии ГКО были обсуждены итоги, обстановка и перспективы вооружённой борьбы. По военно</w:t>
      </w:r>
      <w:r w:rsidRPr="00722885">
        <w:rPr>
          <w:rFonts w:ascii="Times New Roman" w:hAnsi="Times New Roman"/>
          <w:color w:val="0070C0"/>
          <w:sz w:val="16"/>
          <w:szCs w:val="16"/>
        </w:rPr>
        <w:softHyphen/>
        <w:t>экономическим вопросам докладывал Н.А. Воз</w:t>
      </w:r>
      <w:r w:rsidRPr="00722885">
        <w:rPr>
          <w:rFonts w:ascii="Times New Roman" w:hAnsi="Times New Roman"/>
          <w:color w:val="0070C0"/>
          <w:sz w:val="16"/>
          <w:szCs w:val="16"/>
        </w:rPr>
        <w:softHyphen/>
        <w:t>несенский. По его данным, выпуск ВВТ в СССР в то время по всем показателям превосходил производство Германии и её союзников. Высту</w:t>
      </w:r>
      <w:r w:rsidRPr="00722885">
        <w:rPr>
          <w:rFonts w:ascii="Times New Roman" w:hAnsi="Times New Roman"/>
          <w:color w:val="0070C0"/>
          <w:sz w:val="16"/>
          <w:szCs w:val="16"/>
        </w:rPr>
        <w:softHyphen/>
        <w:t>пивший после него И.В. Сталин призвал Госплан тщательно учесть все имевшиеся в стране ре</w:t>
      </w:r>
      <w:r w:rsidRPr="00722885">
        <w:rPr>
          <w:rFonts w:ascii="Times New Roman" w:hAnsi="Times New Roman"/>
          <w:color w:val="0070C0"/>
          <w:sz w:val="16"/>
          <w:szCs w:val="16"/>
        </w:rPr>
        <w:softHyphen/>
        <w:t>зервы, подчеркнув, что возможности наращи</w:t>
      </w:r>
      <w:r w:rsidRPr="00722885">
        <w:rPr>
          <w:rFonts w:ascii="Times New Roman" w:hAnsi="Times New Roman"/>
          <w:color w:val="0070C0"/>
          <w:sz w:val="16"/>
          <w:szCs w:val="16"/>
        </w:rPr>
        <w:softHyphen/>
        <w:t>вания производства путём перераспределения материальных ресурсов и рабочей силы, по су</w:t>
      </w:r>
      <w:r w:rsidRPr="00722885">
        <w:rPr>
          <w:rFonts w:ascii="Times New Roman" w:hAnsi="Times New Roman"/>
          <w:color w:val="0070C0"/>
          <w:sz w:val="16"/>
          <w:szCs w:val="16"/>
        </w:rPr>
        <w:softHyphen/>
        <w:t>ществу, были исчерпаны. Дальнейший его рост должен был обеспечиваться за счёт внутренних возможностей каждой промышленной отрасли [22, c. 197-198] (21521).</w:t>
      </w:r>
    </w:p>
    <w:p w14:paraId="38F50A63" w14:textId="77777777" w:rsidR="003B6A42" w:rsidRPr="00722885" w:rsidRDefault="003B6A42" w:rsidP="00722885">
      <w:pPr>
        <w:spacing w:after="0" w:line="240" w:lineRule="auto"/>
        <w:jc w:val="both"/>
        <w:rPr>
          <w:rFonts w:ascii="Times New Roman" w:hAnsi="Times New Roman"/>
          <w:color w:val="0070C0"/>
          <w:sz w:val="16"/>
          <w:szCs w:val="16"/>
        </w:rPr>
      </w:pPr>
    </w:p>
    <w:p w14:paraId="198C3E0B" w14:textId="77777777" w:rsidR="00057FDC" w:rsidRPr="00722885" w:rsidRDefault="00057F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мз-зв дефицита толуола для производства тротила пришлось завезти 1000 т импортного толуола и, начиная с 1 января 1943 года, обеспечить завоз не менее 3000 т толуола ежемесячно». В 1942–1944 гг. предприятия НКБ поставили советским войскам 361 718 т ТНТ, из которых 273 193 т произвела советская промышленность взрывчатых веществ, а 88 525 т (24,47%) поступили по ленд-лизу. В свою очередь, при изготовлении заводами НКБ 271 193 т ТНТ было израсходовано 159 865 т толуола, из них импортных – 64 000 т или 40%2 . В СССР имелись все возможности для расширения производства толуола. Необходимо было лишь увеличить добычу коксующегося угля в районе Кузнецкого каменноугольного бассейна и нарастить там мощности по коксованию. Этих мер вполне хватило бы для полного обеспечения потребности в толуоле в годы войны. Однако отсутствие внимания к данной проблеме со стороны руководства отрасли по производству боеприпасов и подчинение самой отрасли в 1932–1936 гг. гражданскому наркомату тяжелой промышленности привело к тому, что руководство НКТП приказало внести изменения в технологический процесс коксования угля на предприятиях коксохимической промышленности. Это позволило резко увеличить производство кокса, но вызвало и резкое падение выхода толуола. Возникший дефицит в толуоле ошибочно планировали возместить за счет пиролиза керосина, хотя нефти в стране для этой цели не хватало. Итогом стал постоянный дефицит толуола, который были вынуждены покрывать за счет поставок из США по ленд-лизу (19153).</w:t>
      </w:r>
    </w:p>
    <w:p w14:paraId="3434F3C7" w14:textId="77777777" w:rsidR="00057FDC" w:rsidRPr="00722885" w:rsidRDefault="00057FDC" w:rsidP="00722885">
      <w:pPr>
        <w:spacing w:after="0" w:line="240" w:lineRule="auto"/>
        <w:jc w:val="both"/>
        <w:rPr>
          <w:rFonts w:ascii="Times New Roman" w:hAnsi="Times New Roman"/>
          <w:color w:val="000000" w:themeColor="text1"/>
          <w:sz w:val="16"/>
          <w:szCs w:val="16"/>
        </w:rPr>
      </w:pPr>
    </w:p>
    <w:p w14:paraId="6E78F3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Завод № 556 НКБ (Завод № 556 НКБ, п/я 167, Завод «Сибтекстильмаш», АО «Сибтекмаш» Росбоеприпаса / г. Новосибирск/) выделился из состава комбината № 179 в самостоятельное предприятие. В 12.1942-09.1944 г. - в ведении 5ГУ НКБ. Имел наименование «п/я 167».</w:t>
      </w:r>
    </w:p>
    <w:p w14:paraId="312570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1960-е  г.- в ведении Управления точного машиностроения Западно-Сибирского совнархоза.</w:t>
      </w:r>
    </w:p>
    <w:p w14:paraId="045007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АО было в 2003 г.</w:t>
      </w:r>
    </w:p>
    <w:p w14:paraId="0D4C6C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(12.1942 г.)- 3871 чел.</w:t>
      </w:r>
      <w:r w:rsidRPr="00722885">
        <w:rPr>
          <w:rFonts w:ascii="Times New Roman" w:hAnsi="Times New Roman"/>
          <w:color w:val="000000" w:themeColor="text1"/>
          <w:sz w:val="16"/>
          <w:szCs w:val="16"/>
          <w:vertAlign w:val="superscript"/>
        </w:rPr>
        <w:t>132</w:t>
      </w:r>
    </w:p>
    <w:p w14:paraId="47EA87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(1941-44 г.-)- А.В. Домрачев.</w:t>
      </w:r>
    </w:p>
    <w:p w14:paraId="0B6394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ФГУП «Сибтекстильмаш. Спецтехника. Сервис» Росбоеприпаса /630071  г. Новосибирскул.Станционная, 60/1/</w:t>
      </w:r>
    </w:p>
    <w:p w14:paraId="0654E7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(11982).</w:t>
      </w:r>
    </w:p>
    <w:p w14:paraId="0241AABD" w14:textId="77777777" w:rsidR="000C3A55" w:rsidRPr="00722885" w:rsidRDefault="000C3A55" w:rsidP="00722885">
      <w:pPr>
        <w:pStyle w:val="Iauiue"/>
        <w:jc w:val="both"/>
        <w:rPr>
          <w:color w:val="000000" w:themeColor="text1"/>
          <w:sz w:val="16"/>
          <w:szCs w:val="16"/>
        </w:rPr>
      </w:pPr>
    </w:p>
    <w:p w14:paraId="2C3FBF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НАЧАЛЬНИК УПРАВЛЕНИЯ ЗАКАЗОВ ИНЖВООРУЖЕНИЯ ГВИУ КА Игнатов</w:t>
      </w:r>
    </w:p>
    <w:p w14:paraId="24A6072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ВОЕННЫЙ КОМИССАР УПРАВЛЕНИЯ полковой комиссар подпись Муха</w:t>
      </w:r>
    </w:p>
    <w:p w14:paraId="106C76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 отдела УЗИВ ГВИУ КА военинженер 2 ранга подпись Семин</w:t>
      </w:r>
    </w:p>
    <w:p w14:paraId="2C173D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писали письму СЕКРЕТАРЮ ХАБАРОВСКОГО ОБКОМА ВКП(б) г.Хабаровск</w:t>
      </w:r>
    </w:p>
    <w:p w14:paraId="129DDC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КОПИЯ: НАЧАЛЬНИКУ ИНЖЕНЕРНЫХ ВОЙСК ДАЛЬНЕВОСТОЧНОГО ФРОНТА г.Хабаровск\</w:t>
      </w:r>
    </w:p>
    <w:p w14:paraId="4D2654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ДИРЕКТОРУ КИРПИЧНОГО ЗАВОДА №2</w:t>
      </w:r>
    </w:p>
    <w:p w14:paraId="527DB8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Хабаровск , 2-ая, Дальневосточный ж.д.</w:t>
      </w:r>
    </w:p>
    <w:p w14:paraId="3C15A0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сентября 1942 года СНК СССР распоряжением №17139-рс обязал Хабаровский кирпичный завод №2 организовать снаряжение противотанковых мин ЯМ-5М и поставит НКО ГВИУ КА в сентябре месяце текущего года 5.000 штук.</w:t>
      </w:r>
    </w:p>
    <w:p w14:paraId="24B444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Постановлением ГОКО № 2368 от 3.10-42 г. утвержден план заводу на 4-й квартал в размере 15.000 шт., из них в октябре месяце 5.000 штук.</w:t>
      </w:r>
    </w:p>
    <w:p w14:paraId="32C426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Сентябрьский план заводом не выполнен, есть угроза срыва поставок П.Т.М. в октябре.</w:t>
      </w:r>
    </w:p>
    <w:p w14:paraId="2A178B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Прошу вас оказать заводу максимальную помощь в деле освоения выпуска противотанковых мин и взять их выпуск под непосредственный контроль.</w:t>
      </w:r>
    </w:p>
    <w:p w14:paraId="644CA9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Деятельность предприятий , ф. 35, оп. 1, д. 980, л. 17, 17об (10701).</w:t>
      </w:r>
    </w:p>
    <w:p w14:paraId="6C03996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1213E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удалось достичь максимума в производстве танка Т-34: 1568 штук. Рост был бы ещё большим, если бы не катастрофическая потеря одного из ключевых центров танкового производства - Сталинграда. Расположенные здесь два крупных предприятия - СТЗ и завод № 264, оказались в критической ситуации. До самого последнего момента решение об эвакуации из города так и не было принято, командование надеялось удержать немцев на подступах к Сталинграду. От завода требовали не подготовки эвакуации, а, напротив, максимального увеличения выпуска. Рабочих использовали для формирования экипажей танков, растрачивая ценные кадры. Решение о начале эвакуации было принято только в августе. Но 23 августа войска 6-й немецкой армии, внезапно прорвав советский фронт на р. Дон, вышли к городу и перерезали идущую от него на север железную дорогу. После этого внезапного прорыва и начала уличных боёв организовывать эвакуацию было уже поздно, так как единственным путём из города осталась переправа через Волгу. Производство продолжалось до сентября 1942 года, до тех пор, пока бои не начались на самом заводе. Большая часть оборудования так и осталась на территории СТЗ. Как вспоминал первый секретарь Сталинградского обкома А. С. Чуянов, из 5152 станков завода на 10 октября 1942 года 3510 было уничтожено в результате артобстрелов и авианалётов, а спасено только 113. Несколько тысяч человек всё же было вывезено из города и распределено по другим заводам НКТП. Так, 2593 человека из Сталинграда, в том числе 1800 рабочих оказалось на заводе № 183. Часть бывших работников СТЗ оказалась на УЗТМ, где они оказали помощь в освоении Т-34. Эвакуация из Сталинграда стала самым неудачным эпизодом в истории эвакуации танковой промышленности.</w:t>
      </w:r>
    </w:p>
    <w:p w14:paraId="536635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к сожалению, достигнутые во втором полугодии 1942 года успехи были во многом перечёркнуты новым кризисом, обрушившимся на танкостроение зимой 1943 года. На этот раз удар по советской промышленности нанесла нехватка энергоносителей, вызванная, видимо, проблемами с доставкой кавказской нефти и марганца из-за военных действий. Возможно, стратегическая идея Гитлера о походе на Кавказ была не такой уж авантюристичной, как её принято оценивать. Восполнить дефицит теперь было тяжелее, чем во время предыдущего кризиса. Ведь запасы государственных материальных резервов были во многом исчерпаны. Нехватка энергоносителей по цепочке вызвала ужесточение дефицита электричества (из-за которого регулярные отключения электроснабжения начались даже на оборонных заводах), затем, вместе с нехваткой марганцевой руды - дефицит металлов и, наконец, транспортный кризис (тут ещё сказалось воздействие зимних снежных заносов). От нехватки марганца особенно пострадало производство бронелиста, в результате чего НКТП в декабре 1942 года получил вместо положенных 45760 тонн всего 23 тысячи тонн (ГАРФ. Ф. Р-5446. Оп. 44а. Д. 7522. Л. 32). В январе поставки возросли до 36 тысяч тонн, но всё равно были ниже потребностей. Некоторое время предприятия поддерживали прежний темп производства, за счёт запасов, но, потом запасы истощились. В результате произошло резкое падение производства: в январе выпуск Т-34 рухнул до 1080 штук в месяц, то есть, фактически приблизился к уровню производства июня 1942 года, недостаточная высота которого стоила В. А. Малышеву поста наркома.</w:t>
      </w:r>
    </w:p>
    <w:p w14:paraId="1325C4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М. Зальцман обратился к В. М. Молотову с просьбой о помощи. Он писал: «В январе и феврале месяце имели место срывы в работе важнейших танковых заводов из-за необеспеченности электроэнергией, топливом и металлом. Минимальные заделы по литью и поковкам, имевшиеся на танковых заводах, полностью израсходованы. В результате слабой отгрузки металла. некоторых особо дефицитных профилей металла совершенно нет. Заводы почти не имеют даже минимальных запасов угля. При создавшемся положении работа танковых заводов в марте месяце будет исключительно напряженной и невозможна без помощи правительства» (РГАЭ. Ф. 8752. Оп. 4. Д. 276. С. 105) (12290).</w:t>
      </w:r>
    </w:p>
    <w:p w14:paraId="2AE3D12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0DAD69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техотдел НКТП по требованию БТУ вы</w:t>
      </w:r>
      <w:r w:rsidRPr="00722885">
        <w:rPr>
          <w:rFonts w:ascii="Times New Roman" w:hAnsi="Times New Roman"/>
          <w:color w:val="000000" w:themeColor="text1"/>
          <w:sz w:val="16"/>
          <w:szCs w:val="16"/>
        </w:rPr>
        <w:softHyphen/>
        <w:t>работал тактико-технические требования танка артиллерий</w:t>
      </w:r>
      <w:r w:rsidRPr="00722885">
        <w:rPr>
          <w:rFonts w:ascii="Times New Roman" w:hAnsi="Times New Roman"/>
          <w:color w:val="000000" w:themeColor="text1"/>
          <w:sz w:val="16"/>
          <w:szCs w:val="16"/>
        </w:rPr>
        <w:softHyphen/>
        <w:t>ского усиления танковых бригад. Согласно заданию этот танк должен был сохранить корпус и ходовую часть среднего танка Т-34, для которого требовалось изготовить новую баш</w:t>
      </w:r>
      <w:r w:rsidRPr="00722885">
        <w:rPr>
          <w:rFonts w:ascii="Times New Roman" w:hAnsi="Times New Roman"/>
          <w:color w:val="000000" w:themeColor="text1"/>
          <w:sz w:val="16"/>
          <w:szCs w:val="16"/>
        </w:rPr>
        <w:softHyphen/>
        <w:t>ню с вооружением из 122-мм штурмового орудия с баллисти</w:t>
      </w:r>
      <w:r w:rsidRPr="00722885">
        <w:rPr>
          <w:rFonts w:ascii="Times New Roman" w:hAnsi="Times New Roman"/>
          <w:color w:val="000000" w:themeColor="text1"/>
          <w:sz w:val="16"/>
          <w:szCs w:val="16"/>
        </w:rPr>
        <w:softHyphen/>
        <w:t>кой гаубицы обр. 1938 г. Реализацией проекта занялись три конструкторских коллектива. От Уралмашзавода под руко</w:t>
      </w:r>
      <w:r w:rsidRPr="00722885">
        <w:rPr>
          <w:rFonts w:ascii="Times New Roman" w:hAnsi="Times New Roman"/>
          <w:color w:val="000000" w:themeColor="text1"/>
          <w:sz w:val="16"/>
          <w:szCs w:val="16"/>
        </w:rPr>
        <w:softHyphen/>
        <w:t>водством Л.И. Горлицкого, от КБ завода № 9 под руководст</w:t>
      </w:r>
      <w:r w:rsidRPr="00722885">
        <w:rPr>
          <w:rFonts w:ascii="Times New Roman" w:hAnsi="Times New Roman"/>
          <w:color w:val="000000" w:themeColor="text1"/>
          <w:sz w:val="16"/>
          <w:szCs w:val="16"/>
        </w:rPr>
        <w:softHyphen/>
        <w:t>вом Ф.Ф. Петрова и от ЦАКБ под руководством В.Г. Грабина.</w:t>
      </w:r>
    </w:p>
    <w:p w14:paraId="66669B5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УЗТМ под шифром У-37 разработал штампованную и литую башни, по форме и размерам близкие к башне Т-34, но под погон КВ с вооружением из 122-мм гаубицы У-11 или 85-мм пушки У-10, разработанных здесь еще в 1941-1942 гг. конструкторами В.Е. Сидоренко и А.В. Усенко. Но уже на этапе заседания макетной комиссии стало ясно, что башни тесны для размещения в них помимо казенной части 122-мм или 85-мм орудия еще и 3 человек орудийного расчета.</w:t>
      </w:r>
    </w:p>
    <w:p w14:paraId="096265E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КБ завода № 9 предложило литую башню увеличенной высоты с вертикальными стенками и размещением части боекомплекта в башенной нише. Для вооружения танка предлагалось 122-мм штурмовое орудие Д-6, явившееся плодом доработки и технологического упрощения 122-мм орудия У-11 и унификации узлов и деталей с 85-мм пушкой Д-5 на заводе № 9. Указанная башня имела заводской ин</w:t>
      </w:r>
      <w:r w:rsidRPr="00722885">
        <w:rPr>
          <w:rFonts w:ascii="Times New Roman" w:hAnsi="Times New Roman"/>
          <w:color w:val="000000" w:themeColor="text1"/>
          <w:sz w:val="16"/>
          <w:szCs w:val="16"/>
        </w:rPr>
        <w:softHyphen/>
        <w:t>декс Д-11 в сквозной нумерации изделий указанного заво</w:t>
      </w:r>
      <w:r w:rsidRPr="00722885">
        <w:rPr>
          <w:rFonts w:ascii="Times New Roman" w:hAnsi="Times New Roman"/>
          <w:color w:val="000000" w:themeColor="text1"/>
          <w:sz w:val="16"/>
          <w:szCs w:val="16"/>
        </w:rPr>
        <w:softHyphen/>
        <w:t>да и легко могла быть перевооружена также 85-мм пушкой Д-5. ЦАКБ же представило проект 122-мм и 152-мм дуп</w:t>
      </w:r>
      <w:r w:rsidRPr="00722885">
        <w:rPr>
          <w:rFonts w:ascii="Times New Roman" w:hAnsi="Times New Roman"/>
          <w:color w:val="000000" w:themeColor="text1"/>
          <w:sz w:val="16"/>
          <w:szCs w:val="16"/>
        </w:rPr>
        <w:softHyphen/>
        <w:t>лекса С-41 для вооружения как Т-34, так и КВ-1С.</w:t>
      </w:r>
    </w:p>
    <w:p w14:paraId="1EECE3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Однако сравнение представленных проектов показало, что конструкция ЦАКБ не может быть установлена в башне танка Т-34 с погоном диаметром 1420 мм по причине чрез</w:t>
      </w:r>
      <w:r w:rsidRPr="00722885">
        <w:rPr>
          <w:rFonts w:ascii="Times New Roman" w:hAnsi="Times New Roman"/>
          <w:color w:val="000000" w:themeColor="text1"/>
          <w:sz w:val="16"/>
          <w:szCs w:val="16"/>
        </w:rPr>
        <w:softHyphen/>
        <w:t>мерных габаритов и большой реакции отдачи. Поэтому проект ЦАКБ для танка Т-34 бьш отвергнут, но рекомендован для установки в танке КВ. Разработки же КБ завода № 9 и КБ Уралмашзавода еще некоторое время обсуждались на пленуме Артиллерийского комитета. Так, во избежание тес</w:t>
      </w:r>
      <w:r w:rsidRPr="00722885">
        <w:rPr>
          <w:rFonts w:ascii="Times New Roman" w:hAnsi="Times New Roman"/>
          <w:color w:val="000000" w:themeColor="text1"/>
          <w:sz w:val="16"/>
          <w:szCs w:val="16"/>
        </w:rPr>
        <w:softHyphen/>
        <w:t>ноты в движении предлагалось, чтобы правый заряжающий бьш по совместительству также еще и стрелком-радистом танка и покидал свое кресло только во время остановки тан</w:t>
      </w:r>
      <w:r w:rsidRPr="00722885">
        <w:rPr>
          <w:rFonts w:ascii="Times New Roman" w:hAnsi="Times New Roman"/>
          <w:color w:val="000000" w:themeColor="text1"/>
          <w:sz w:val="16"/>
          <w:szCs w:val="16"/>
        </w:rPr>
        <w:softHyphen/>
        <w:t xml:space="preserve">ка </w:t>
      </w:r>
      <w:r w:rsidRPr="00722885">
        <w:rPr>
          <w:rFonts w:ascii="Times New Roman" w:hAnsi="Times New Roman"/>
          <w:color w:val="000000" w:themeColor="text1"/>
          <w:sz w:val="16"/>
          <w:szCs w:val="16"/>
        </w:rPr>
        <w:lastRenderedPageBreak/>
        <w:t>при проведении стрельб. Однако в этом случае танк ока</w:t>
      </w:r>
      <w:r w:rsidRPr="00722885">
        <w:rPr>
          <w:rFonts w:ascii="Times New Roman" w:hAnsi="Times New Roman"/>
          <w:color w:val="000000" w:themeColor="text1"/>
          <w:sz w:val="16"/>
          <w:szCs w:val="16"/>
        </w:rPr>
        <w:softHyphen/>
        <w:t>зывался бы беззащитным от нападения вражеской пехоты. Все попытки как-то улучшить сложившееся положение ве</w:t>
      </w:r>
      <w:r w:rsidRPr="00722885">
        <w:rPr>
          <w:rFonts w:ascii="Times New Roman" w:hAnsi="Times New Roman"/>
          <w:color w:val="000000" w:themeColor="text1"/>
          <w:sz w:val="16"/>
          <w:szCs w:val="16"/>
        </w:rPr>
        <w:softHyphen/>
        <w:t>щей были тщетны, и к осени 1943 г. продолжение работ по Т-34-122, который назывался в некоторых документах Т-34Г (гаубичный) или Т-34Ш (штурмовой), было прекращено в пользу СУ-122, уже выпускавшихся серийно на УЗТМ (11417).</w:t>
      </w:r>
    </w:p>
    <w:p w14:paraId="00E8497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A57CC6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был изго</w:t>
      </w:r>
      <w:r w:rsidRPr="00722885">
        <w:rPr>
          <w:rFonts w:ascii="Times New Roman" w:hAnsi="Times New Roman"/>
          <w:color w:val="000000" w:themeColor="text1"/>
          <w:sz w:val="16"/>
          <w:szCs w:val="16"/>
        </w:rPr>
        <w:softHyphen/>
        <w:t>товлен опытный образец танка Т-43. До апреля 1943 г. он прошел заводские ис</w:t>
      </w:r>
      <w:r w:rsidRPr="00722885">
        <w:rPr>
          <w:rFonts w:ascii="Times New Roman" w:hAnsi="Times New Roman"/>
          <w:color w:val="000000" w:themeColor="text1"/>
          <w:sz w:val="16"/>
          <w:szCs w:val="16"/>
        </w:rPr>
        <w:softHyphen/>
        <w:t>пытания, по результатам которых было принято решение об изготовле</w:t>
      </w:r>
      <w:r w:rsidRPr="00722885">
        <w:rPr>
          <w:rFonts w:ascii="Times New Roman" w:hAnsi="Times New Roman"/>
          <w:color w:val="000000" w:themeColor="text1"/>
          <w:sz w:val="16"/>
          <w:szCs w:val="16"/>
        </w:rPr>
        <w:softHyphen/>
        <w:t>нии трех опытных образцов танка Т-43 с учетом устранения недостат</w:t>
      </w:r>
      <w:r w:rsidRPr="00722885">
        <w:rPr>
          <w:rFonts w:ascii="Times New Roman" w:hAnsi="Times New Roman"/>
          <w:color w:val="000000" w:themeColor="text1"/>
          <w:sz w:val="16"/>
          <w:szCs w:val="16"/>
        </w:rPr>
        <w:softHyphen/>
        <w:t>ков, обнаруженных при испытании первого образца машины. Эти три танка, изготовленные заводом № 183 в апреле - мае 1943 г., успешно прошли заводские испытания. В результате устранения выявленных не</w:t>
      </w:r>
      <w:r w:rsidRPr="00722885">
        <w:rPr>
          <w:rFonts w:ascii="Times New Roman" w:hAnsi="Times New Roman"/>
          <w:color w:val="000000" w:themeColor="text1"/>
          <w:sz w:val="16"/>
          <w:szCs w:val="16"/>
        </w:rPr>
        <w:softHyphen/>
        <w:t>достатков боевая масса машин возросла до 34,1 т. Все машины имели увеличенный с 1420 до 1600 мм диаметр опоры башни в свету, что позволило разместить в боевом отделении третьего члена экипажа. Кроме того, были установлены новые смотровые приборы, командирская ба</w:t>
      </w:r>
      <w:r w:rsidRPr="00722885">
        <w:rPr>
          <w:rFonts w:ascii="Times New Roman" w:hAnsi="Times New Roman"/>
          <w:color w:val="000000" w:themeColor="text1"/>
          <w:sz w:val="16"/>
          <w:szCs w:val="16"/>
        </w:rPr>
        <w:softHyphen/>
        <w:t>шенка с вращающейся крышкой люка. Для повышения подвижности танка был спроектирован двухступенчатый планетарный механизм по</w:t>
      </w:r>
      <w:r w:rsidRPr="00722885">
        <w:rPr>
          <w:rFonts w:ascii="Times New Roman" w:hAnsi="Times New Roman"/>
          <w:color w:val="000000" w:themeColor="text1"/>
          <w:sz w:val="16"/>
          <w:szCs w:val="16"/>
        </w:rPr>
        <w:softHyphen/>
        <w:t>ворота (ПМП) по типу ПМП тяжелого танка ИС. Испытания опытных образцов танка Т-43, проведенные как в зим</w:t>
      </w:r>
      <w:r w:rsidRPr="00722885">
        <w:rPr>
          <w:rFonts w:ascii="Times New Roman" w:hAnsi="Times New Roman"/>
          <w:color w:val="000000" w:themeColor="text1"/>
          <w:sz w:val="16"/>
          <w:szCs w:val="16"/>
        </w:rPr>
        <w:softHyphen/>
        <w:t>них, так и в летних условиях, показали удовлетворительную работоспо</w:t>
      </w:r>
      <w:r w:rsidRPr="00722885">
        <w:rPr>
          <w:rFonts w:ascii="Times New Roman" w:hAnsi="Times New Roman"/>
          <w:color w:val="000000" w:themeColor="text1"/>
          <w:sz w:val="16"/>
          <w:szCs w:val="16"/>
        </w:rPr>
        <w:softHyphen/>
        <w:t>собность всех узлов и агрегатов танка (10703).</w:t>
      </w:r>
    </w:p>
    <w:p w14:paraId="4549414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65AB031" w14:textId="77777777" w:rsidR="00057FDC" w:rsidRPr="00722885" w:rsidRDefault="00057FD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по итогам различных изменений и согласований стали собирать опытный образец Т-43. Сборка в опытно-экспериментальном отделе 540 закончилась 16 декабря. В ходе неё пришлось вносить некоторые изменения в конструкцию. Вместо проектной системы охлаждения изготовили изменённую, более удачную конструкцию. Также пришлось вносить изменения в чертежи и детали по 30 пунктам. С точки зрения шасси это был всё тот же Т-34М, спроектированный ещё весной 1942 года. Разумеется, за время, прошедшее с весны 1942 года, некоторые элементы немного изменились, но в целом изменения носили незначительный характер. Наиболее заметным новшеством стало появление дополнительных топливных баков в кормовой части корпуса. Это были такие же коробчатые баки, как на Т-34, но их сместили к центру кормового листа. Также появились поручни на надмоторной плите и бортах корпуса. Как и ранее, во главу угла ставилась унификация с серийным Т-34 (всего Т-43 заимствовал от него 24 позиции узлов и агрегатов). Это повлияло в том числе и на массу машины. К началу 1943 года боевая масса Т-34 достигла 30,5 т, а масса Т-43 превысила проектную на 2,2 т. В результате удельное давление на грунт достигло 0,87 кг/см2, это уже было явно много. Меньшую массу имел Т-44 (Т-23), но его строить не стали (18420).</w:t>
      </w:r>
    </w:p>
    <w:p w14:paraId="00260865" w14:textId="77777777" w:rsidR="00057FDC" w:rsidRPr="00722885" w:rsidRDefault="00057FDC" w:rsidP="00722885">
      <w:pPr>
        <w:spacing w:after="0" w:line="240" w:lineRule="auto"/>
        <w:jc w:val="both"/>
        <w:rPr>
          <w:rFonts w:ascii="Times New Roman" w:hAnsi="Times New Roman"/>
          <w:color w:val="000000" w:themeColor="text1"/>
          <w:sz w:val="16"/>
          <w:szCs w:val="16"/>
        </w:rPr>
      </w:pPr>
    </w:p>
    <w:p w14:paraId="4E1CADD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опытный образец Т-43 (первый вариант) был изготовлен в опыт</w:t>
      </w:r>
      <w:r w:rsidRPr="00722885">
        <w:rPr>
          <w:rFonts w:ascii="Times New Roman" w:hAnsi="Times New Roman"/>
          <w:color w:val="000000" w:themeColor="text1"/>
          <w:sz w:val="16"/>
          <w:szCs w:val="16"/>
        </w:rPr>
        <w:softHyphen/>
        <w:t>но-эксплуатационном отделе завода № 183 и до апреля 1943 г. проходил заводские испытания, по результатам которых было решено изготовить три опытных образца с учетом устранения выявленных не</w:t>
      </w:r>
      <w:r w:rsidRPr="00722885">
        <w:rPr>
          <w:rFonts w:ascii="Times New Roman" w:hAnsi="Times New Roman"/>
          <w:color w:val="000000" w:themeColor="text1"/>
          <w:sz w:val="16"/>
          <w:szCs w:val="16"/>
        </w:rPr>
        <w:softHyphen/>
        <w:t>достатков. На вооружение танк не принимался и в серийном производ</w:t>
      </w:r>
      <w:r w:rsidRPr="00722885">
        <w:rPr>
          <w:rFonts w:ascii="Times New Roman" w:hAnsi="Times New Roman"/>
          <w:color w:val="000000" w:themeColor="text1"/>
          <w:sz w:val="16"/>
          <w:szCs w:val="16"/>
        </w:rPr>
        <w:softHyphen/>
        <w:t>стве не состоял (10703).</w:t>
      </w:r>
    </w:p>
    <w:p w14:paraId="3D45A57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3EA7DDC"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В декабре 1942 на вооружение РККА приняли новый огнемет АТО-42, разработанный на з-де № 222 НКВ после того, как 25 июля 1942 И.В.С. писал телеграмму об улучшении качества огнеметов АТО-41. С января 1943 началась серия (5219, 32).</w:t>
      </w:r>
    </w:p>
    <w:p w14:paraId="45EB2568" w14:textId="77777777" w:rsidR="00BB6316" w:rsidRPr="00722885" w:rsidRDefault="00BB6316" w:rsidP="00722885">
      <w:pPr>
        <w:pStyle w:val="Iauiue"/>
        <w:tabs>
          <w:tab w:val="left" w:pos="11199"/>
        </w:tabs>
        <w:jc w:val="both"/>
        <w:rPr>
          <w:color w:val="000000" w:themeColor="text1"/>
          <w:sz w:val="16"/>
          <w:szCs w:val="16"/>
        </w:rPr>
      </w:pPr>
    </w:p>
    <w:p w14:paraId="6906E15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C августа по декабрь 1942 ЧКЗ (директор -И. М. Зальцман, главный конструктор - Ж. Я. Котин), построил 1055 машин Т-34 (3905).</w:t>
      </w:r>
    </w:p>
    <w:p w14:paraId="4800C424" w14:textId="77777777" w:rsidR="00BB6316" w:rsidRPr="00722885" w:rsidRDefault="00BB6316" w:rsidP="00722885">
      <w:pPr>
        <w:pStyle w:val="Iauiue"/>
        <w:jc w:val="both"/>
        <w:rPr>
          <w:color w:val="000000" w:themeColor="text1"/>
          <w:sz w:val="16"/>
          <w:szCs w:val="16"/>
        </w:rPr>
      </w:pPr>
    </w:p>
    <w:p w14:paraId="60716F9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в конструкцию танка Т-34 на ЧКЗ были введены продольные управляемые жалюзи; плоские (без гребня) половинчатые траки; штампованные ведущие колеса; новый смотровой прибор в баш</w:t>
      </w:r>
      <w:r w:rsidRPr="00722885">
        <w:rPr>
          <w:rFonts w:ascii="Times New Roman" w:hAnsi="Times New Roman"/>
          <w:color w:val="000000" w:themeColor="text1"/>
          <w:sz w:val="16"/>
          <w:szCs w:val="16"/>
        </w:rPr>
        <w:softHyphen/>
        <w:t>не (стекло триплекс стали устанавливать в гнездо сверху) (10703).</w:t>
      </w:r>
    </w:p>
    <w:p w14:paraId="7AD3F8B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0FA133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на заводе № 183 в Нижнем Тагиле были проведены очередные испытания корпуса танка Т-34 «с целью проверки его бронестойкости и конструктивной прочности». По корпусу было произведено в общей сложности 68 выстрелов фугасными и бронебойными снарядами калибров 45 и 76 мм. По передней части и правому борту результаты оказались более или менее удовлетворительными, но подкачал левый борт: «После сварки корпуса борт имел большое количество трещин. При попаданиях длина трещин сильно увеличилась, в нескольких местах возникли новые трещины. При попадании в участок брони с пересечением трещин выбит кусок брони и нанесены значительные повреждения внутри танка. Кроме того, от ударов снарядов перестал закрываться люк водителя. Крепление кормы на болтах — сорвало болты». [300 — «Экспресс-информация» ЦНИИ № 48 НКТП, № 5, декабрь 1942 г. ] Помимо этого, низкую надежность показали и сварные швы. Так, соединительный шов детали днища с бортом треснул на длине 1630 мм. Кстати, надо заметить, что советские 45-мм и 76-мм пушки, из которых производился данный обстрел, являлись маломощными по сравнению с теми, из которых по Т-34 обычно стреляли в реальных боевых условиях. Причиной слабости левого борта признали повышенное содержание углерода и марганца, а также нарушение на заводе технологии закалки в воде. Таким образом, на качество конкретного броневого листа влияло очень много самых различных факторов. Низкое качество брони пытались компенсировать установкой на Т-34 дополнительных бортовых экранов. Эта деталь, получившая индекс 3429-054, должна была изготовляться из стали марки 46-П. Экраны весом по 23,2 кг каждый предполагалось устанавливать по бортам танка и на башне. Однако нехватка металла не позволила выполнить и это «партзадание». В частности, в приказе № 7 по заводу № 112 за 1943 г. говорилось: «Выполнение постановления ГКО № 2594сс, лично подписанного товарищем Сталиным, и приказа по заводу № 72с идет по-прежнему неудовлетворительно. Выпуск экранированных корпусов в январе сорван, выпуск в феврале месяце находится под угрозой срыва. Цеха № 43 и 9 в феврале не организовали работу по сборке экранированных корпусов и башен в соответствии с графиком». [301 — ГУ ЦАНО, Ф. 15, Оп. 4, Д. 223, Л. 6.] (11741).</w:t>
      </w:r>
    </w:p>
    <w:p w14:paraId="04BF495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96D893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на танках СТЗ в связи с прекращением поставок на завод вентиляторы не устанавливались (10703).</w:t>
      </w:r>
    </w:p>
    <w:p w14:paraId="3A34D69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8187A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НКТП получил вместо положенных 45760 тонн брони всего 23 тысячи тонн (ГАРФ. Ф. Р-5446. Оп. 44а. Д. 7522. Л. 32). В январе поставки возросли до 36 тысяч тонн, но всё равно были ниже потребностей. Некоторое время предприятия поддерживали прежний темп производства, за счёт запасов, но, потом запасы истощились. В результате произошло резкое падение производства: в январе выпуск Т-34 рухнул до 1080 штук в месяц, то есть, фактически приблизился к уровню производства июня 1942 года, недостаточная высота которого стоила В. А. Малышеву поста наркома.</w:t>
      </w:r>
    </w:p>
    <w:p w14:paraId="7E243E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М. Зальцман обратился к В. М. Молотову с просьбой о помощи. Он писал: «В январе и феврале месяце имели место срывы в работе важнейших танковых заводов из-за необеспеченности электроэнергией, топливом и металлом. Минимальные заделы по литью и поковкам, имевшиеся на танковых заводах, полностью израсходованы. В результате слабой отгрузки металла. некоторых особо дефицитных профилей металла совершенно нет. Заводы почти не имеют даже минимальных запасов угля. При создавшемся положении работа танковых заводов в марте месяце будет исключительно напряженной и невозможна без помощи правительства» (РГАЭ. Ф. 8752. Оп. 4. Д. 276. С. 105) (12290).</w:t>
      </w:r>
    </w:p>
    <w:p w14:paraId="4F7C160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66594A8"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(вместо августа) было изготовлено два образца планетарной трансмиссии, которую разработал коллектив Московского машино</w:t>
      </w:r>
      <w:r w:rsidRPr="00722885">
        <w:rPr>
          <w:rFonts w:ascii="Times New Roman" w:hAnsi="Times New Roman"/>
          <w:color w:val="000000" w:themeColor="text1"/>
          <w:sz w:val="16"/>
          <w:szCs w:val="16"/>
        </w:rPr>
        <w:softHyphen/>
        <w:t>строительного института им. Баумана под руководством Г. И. Зайчи</w:t>
      </w:r>
      <w:r w:rsidRPr="00722885">
        <w:rPr>
          <w:rFonts w:ascii="Times New Roman" w:hAnsi="Times New Roman"/>
          <w:color w:val="000000" w:themeColor="text1"/>
          <w:sz w:val="16"/>
          <w:szCs w:val="16"/>
        </w:rPr>
        <w:softHyphen/>
        <w:t xml:space="preserve">ка, а 30-го числа они поступили на завод №100. 2 января в Челябинск прибыла бригада конструкторов из института им. Баумана, которая контролировала процесс установки. В качестве танка для испытаний планетарной трансмиссии был выбран КВ-7. Ввиду загруженности завода №100 другими опытными работами монтаж новой трансмиссии затянулся. Вместо 16 января, как это было указано в распоряжении наркома танковой промышленности И.М. Зальцмана, монтаж закончили лишь к 7 февраля. Не исключено, что уже на этом этапе затягивание было сознательным, поскольку с 19 ноября 1942 года на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№15002 испытывалась другая трансмиссия — конструкции инженера-полковника А.И. Благонравова.</w:t>
      </w:r>
    </w:p>
    <w:p w14:paraId="6204DEE0" w14:textId="77777777" w:rsidR="00517A3A" w:rsidRPr="00722885" w:rsidRDefault="00517A3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Первые же километры испытаний выявили низкое качество сбор</w:t>
      </w:r>
      <w:r w:rsidRPr="00722885">
        <w:rPr>
          <w:rFonts w:ascii="Times New Roman" w:hAnsi="Times New Roman"/>
          <w:color w:val="000000" w:themeColor="text1"/>
          <w:sz w:val="16"/>
          <w:szCs w:val="16"/>
        </w:rPr>
        <w:softHyphen/>
        <w:t>ки планетарной трансмиссии. Были заменены все бронзовые кольца на стальные, а шарикоподшипники управления на каленые ролики с иголками. Кроме того, пришлось устранять течь масла, а ферродо тормозов заменили на чугунные колодки. После устранения дефектов трансмиссию вновь установили в КВ-7, после чего он к 4 марта прошел без проблем 545 километров (17484).</w:t>
      </w:r>
    </w:p>
    <w:p w14:paraId="6FE71C27" w14:textId="77777777" w:rsidR="00517A3A" w:rsidRPr="00722885" w:rsidRDefault="00517A3A" w:rsidP="00722885">
      <w:pPr>
        <w:spacing w:after="0" w:line="240" w:lineRule="auto"/>
        <w:jc w:val="both"/>
        <w:rPr>
          <w:rFonts w:ascii="Times New Roman" w:hAnsi="Times New Roman"/>
          <w:color w:val="000000" w:themeColor="text1"/>
          <w:sz w:val="16"/>
          <w:szCs w:val="16"/>
        </w:rPr>
      </w:pPr>
    </w:p>
    <w:p w14:paraId="102FE9C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завод № 100 приступил к изготовлению двух танков КВ-13 второго варианта. Оба опытных танка отличалисъ от первого варианта танка КВ-13 конструкцией башни и носовой части. Изготовленные корпуса и башни, опытных образцов КВ-13 послужили базой для создания в дальнейшем опытных обр новых тяжелых танков "Объект 233" и "Объект 234". На вооружение и серийное производство танк КВ-13 не принимался (10703).</w:t>
      </w:r>
    </w:p>
    <w:p w14:paraId="1928101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0FE474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завод № 100 приступил к изготовлению двух опыт</w:t>
      </w:r>
      <w:r w:rsidRPr="00722885">
        <w:rPr>
          <w:rFonts w:ascii="Times New Roman" w:hAnsi="Times New Roman"/>
          <w:color w:val="000000" w:themeColor="text1"/>
          <w:sz w:val="16"/>
          <w:szCs w:val="16"/>
        </w:rPr>
        <w:softHyphen/>
        <w:t>ных образцов среднего танка КВ-13 по типу второго варианта. Закон</w:t>
      </w:r>
      <w:r w:rsidRPr="00722885">
        <w:rPr>
          <w:rFonts w:ascii="Times New Roman" w:hAnsi="Times New Roman"/>
          <w:color w:val="000000" w:themeColor="text1"/>
          <w:sz w:val="16"/>
          <w:szCs w:val="16"/>
        </w:rPr>
        <w:softHyphen/>
        <w:t>чить изготовление этих танков не удалось, потому что 24 февраля 1943 г. на заседании ГКО было принято постановление "Об изготовлении опыт</w:t>
      </w:r>
      <w:r w:rsidRPr="00722885">
        <w:rPr>
          <w:rFonts w:ascii="Times New Roman" w:hAnsi="Times New Roman"/>
          <w:color w:val="000000" w:themeColor="text1"/>
          <w:sz w:val="16"/>
          <w:szCs w:val="16"/>
        </w:rPr>
        <w:softHyphen/>
        <w:t>ных образцов танков ИС", согласно которому директорам ЧКЗ М.А. Длугачу, завода № 200 С.К. Щербакову и главному конструктору ЧКЗ Ж.Я. Котину предписывалось изготовить два опытных образца но</w:t>
      </w:r>
      <w:r w:rsidRPr="00722885">
        <w:rPr>
          <w:rFonts w:ascii="Times New Roman" w:hAnsi="Times New Roman"/>
          <w:color w:val="000000" w:themeColor="text1"/>
          <w:sz w:val="16"/>
          <w:szCs w:val="16"/>
        </w:rPr>
        <w:softHyphen/>
        <w:t>вых тяжелых танков ИС. С целью сокращения сроков проектирования и производства новых тяжелых танков "ИС" ("Объект 233") и "ИС №2" ("Объект 234"), было решено в качестве исходных прототипов использовать две собиравшихся в то время на заводе № 100 машины второго варианта опытного танка КВ-13 (10703).</w:t>
      </w:r>
    </w:p>
    <w:p w14:paraId="2601517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AD7E6FC" w14:textId="77777777" w:rsidR="003B6A42" w:rsidRPr="00722885" w:rsidRDefault="003B6A42" w:rsidP="00722885">
      <w:pPr>
        <w:pStyle w:val="1162"/>
        <w:shd w:val="clear" w:color="auto" w:fill="auto"/>
        <w:spacing w:after="0" w:line="240" w:lineRule="auto"/>
        <w:ind w:firstLine="0"/>
        <w:jc w:val="both"/>
        <w:rPr>
          <w:rStyle w:val="930"/>
          <w:rFonts w:ascii="Times New Roman" w:hAnsi="Times New Roman" w:cs="Times New Roman"/>
          <w:color w:val="0070C0"/>
          <w:sz w:val="16"/>
          <w:szCs w:val="16"/>
        </w:rPr>
      </w:pPr>
      <w:r w:rsidRPr="00722885">
        <w:rPr>
          <w:rStyle w:val="930"/>
          <w:rFonts w:ascii="Times New Roman" w:hAnsi="Times New Roman" w:cs="Times New Roman"/>
          <w:color w:val="0070C0"/>
          <w:sz w:val="16"/>
          <w:szCs w:val="16"/>
        </w:rPr>
        <w:t xml:space="preserve">В декабре </w:t>
      </w:r>
      <w:r w:rsidRPr="00722885">
        <w:rPr>
          <w:rStyle w:val="930"/>
          <w:rFonts w:ascii="Times New Roman" w:hAnsi="Times New Roman" w:cs="Times New Roman"/>
          <w:color w:val="0070C0"/>
          <w:sz w:val="16"/>
          <w:szCs w:val="16"/>
          <w:lang w:val="ru-RU"/>
        </w:rPr>
        <w:t xml:space="preserve">1942 </w:t>
      </w:r>
      <w:r w:rsidRPr="00722885">
        <w:rPr>
          <w:rStyle w:val="930"/>
          <w:rFonts w:ascii="Times New Roman" w:hAnsi="Times New Roman" w:cs="Times New Roman"/>
          <w:color w:val="0070C0"/>
          <w:sz w:val="16"/>
          <w:szCs w:val="16"/>
        </w:rPr>
        <w:t xml:space="preserve">подготовили документацию по второму </w:t>
      </w:r>
      <w:r w:rsidRPr="00722885">
        <w:rPr>
          <w:rStyle w:val="930"/>
          <w:rFonts w:ascii="Times New Roman" w:hAnsi="Times New Roman" w:cs="Times New Roman"/>
          <w:color w:val="0070C0"/>
          <w:sz w:val="16"/>
          <w:szCs w:val="16"/>
          <w:lang w:val="ru-RU"/>
        </w:rPr>
        <w:t xml:space="preserve">КВ-13. На танк </w:t>
      </w:r>
      <w:r w:rsidRPr="00722885">
        <w:rPr>
          <w:rStyle w:val="930"/>
          <w:rFonts w:ascii="Times New Roman" w:hAnsi="Times New Roman" w:cs="Times New Roman"/>
          <w:color w:val="0070C0"/>
          <w:sz w:val="16"/>
          <w:szCs w:val="16"/>
        </w:rPr>
        <w:t>постави</w:t>
      </w:r>
      <w:r w:rsidRPr="00722885">
        <w:rPr>
          <w:rStyle w:val="930"/>
          <w:rFonts w:ascii="Times New Roman" w:hAnsi="Times New Roman" w:cs="Times New Roman"/>
          <w:color w:val="0070C0"/>
          <w:sz w:val="16"/>
          <w:szCs w:val="16"/>
        </w:rPr>
        <w:softHyphen/>
        <w:t>ли 8-скоростную КПП от КВ-1с. Вместо ЗИС-5 поставили пушку Ф-34, которая занимала меньше места в боевом отделении. Машина стала существенно тяжелее: ее боевая масса достигла 37,5 тонн. При этом высокая по</w:t>
      </w:r>
      <w:r w:rsidRPr="00722885">
        <w:rPr>
          <w:rStyle w:val="930"/>
          <w:rFonts w:ascii="Times New Roman" w:hAnsi="Times New Roman" w:cs="Times New Roman"/>
          <w:color w:val="0070C0"/>
          <w:sz w:val="16"/>
          <w:szCs w:val="16"/>
        </w:rPr>
        <w:softHyphen/>
        <w:t>движность все еще сохранялась: максималь</w:t>
      </w:r>
      <w:r w:rsidRPr="00722885">
        <w:rPr>
          <w:rStyle w:val="930"/>
          <w:rFonts w:ascii="Times New Roman" w:hAnsi="Times New Roman" w:cs="Times New Roman"/>
          <w:color w:val="0070C0"/>
          <w:sz w:val="16"/>
          <w:szCs w:val="16"/>
        </w:rPr>
        <w:softHyphen/>
        <w:t>ная скорость составляла 53,5 км/ч</w:t>
      </w:r>
      <w:r w:rsidRPr="00722885">
        <w:rPr>
          <w:rStyle w:val="930"/>
          <w:rFonts w:ascii="Times New Roman" w:hAnsi="Times New Roman" w:cs="Times New Roman"/>
          <w:color w:val="0070C0"/>
          <w:sz w:val="16"/>
          <w:szCs w:val="16"/>
          <w:lang w:val="ru-RU"/>
        </w:rPr>
        <w:t xml:space="preserve"> (19872)</w:t>
      </w:r>
      <w:r w:rsidRPr="00722885">
        <w:rPr>
          <w:rStyle w:val="930"/>
          <w:rFonts w:ascii="Times New Roman" w:hAnsi="Times New Roman" w:cs="Times New Roman"/>
          <w:color w:val="0070C0"/>
          <w:sz w:val="16"/>
          <w:szCs w:val="16"/>
        </w:rPr>
        <w:t>.</w:t>
      </w:r>
    </w:p>
    <w:p w14:paraId="67C51594" w14:textId="77777777" w:rsidR="003B6A42" w:rsidRPr="00722885" w:rsidRDefault="003B6A42" w:rsidP="00722885">
      <w:pPr>
        <w:pStyle w:val="1162"/>
        <w:shd w:val="clear" w:color="auto" w:fill="auto"/>
        <w:spacing w:after="0" w:line="240" w:lineRule="auto"/>
        <w:ind w:firstLine="0"/>
        <w:jc w:val="both"/>
        <w:rPr>
          <w:rFonts w:ascii="Times New Roman" w:hAnsi="Times New Roman" w:cs="Times New Roman"/>
          <w:color w:val="0070C0"/>
          <w:sz w:val="16"/>
          <w:szCs w:val="16"/>
        </w:rPr>
      </w:pPr>
    </w:p>
    <w:p w14:paraId="1B9F714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старший инженер-конструктор завода №92 П.Ф. Муравьёв разработал проект самоходной 400-мм мортиры. Вообще он ориентировался на шасси КВ-1С (15638).</w:t>
      </w:r>
    </w:p>
    <w:p w14:paraId="4EC8FD2B"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0FA52EB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на заводе № 100 с учетом недостатков, выявленных в ходе заводских испытаний первого опытного образца танка КВ-13, приступили к изготовлению второго и третьего опытных образ</w:t>
      </w:r>
      <w:r w:rsidRPr="00722885">
        <w:rPr>
          <w:rFonts w:ascii="Times New Roman" w:hAnsi="Times New Roman"/>
          <w:color w:val="000000" w:themeColor="text1"/>
          <w:sz w:val="16"/>
          <w:szCs w:val="16"/>
        </w:rPr>
        <w:softHyphen/>
        <w:t>цов. Экипаж танка был увеличен с трех до четырех человек, что потре</w:t>
      </w:r>
      <w:r w:rsidRPr="00722885">
        <w:rPr>
          <w:rFonts w:ascii="Times New Roman" w:hAnsi="Times New Roman"/>
          <w:color w:val="000000" w:themeColor="text1"/>
          <w:sz w:val="16"/>
          <w:szCs w:val="16"/>
        </w:rPr>
        <w:softHyphen/>
        <w:t>бовало увеличения размеров боевого отделения и как следствие - уве личения диаметра опоры башни до 1540 мм. Вместо пушки ЗИС-5 планировалось установить хорошо отлаженную в производстве 76,2-мм пушку Ф-34. Броневая за</w:t>
      </w:r>
      <w:r w:rsidRPr="00722885">
        <w:rPr>
          <w:rFonts w:ascii="Times New Roman" w:hAnsi="Times New Roman"/>
          <w:color w:val="000000" w:themeColor="text1"/>
          <w:sz w:val="16"/>
          <w:szCs w:val="16"/>
        </w:rPr>
        <w:softHyphen/>
        <w:t>щита была усилена за счет увели</w:t>
      </w:r>
      <w:r w:rsidRPr="00722885">
        <w:rPr>
          <w:rFonts w:ascii="Times New Roman" w:hAnsi="Times New Roman"/>
          <w:color w:val="000000" w:themeColor="text1"/>
          <w:sz w:val="16"/>
          <w:szCs w:val="16"/>
        </w:rPr>
        <w:softHyphen/>
        <w:t>чения толщины броневых стенок башни с 85 до 120 мм, а носовой ча</w:t>
      </w:r>
      <w:r w:rsidRPr="00722885">
        <w:rPr>
          <w:rFonts w:ascii="Times New Roman" w:hAnsi="Times New Roman"/>
          <w:color w:val="000000" w:themeColor="text1"/>
          <w:sz w:val="16"/>
          <w:szCs w:val="16"/>
        </w:rPr>
        <w:softHyphen/>
        <w:t>сти корпуса - с 60 до 100 мм. Об</w:t>
      </w:r>
      <w:r w:rsidRPr="00722885">
        <w:rPr>
          <w:rFonts w:ascii="Times New Roman" w:hAnsi="Times New Roman"/>
          <w:color w:val="000000" w:themeColor="text1"/>
          <w:sz w:val="16"/>
          <w:szCs w:val="16"/>
        </w:rPr>
        <w:softHyphen/>
        <w:t>щая масса танка в результате этих изменений возросла до 39,5 т. Постройка обоих опытных об</w:t>
      </w:r>
      <w:r w:rsidRPr="00722885">
        <w:rPr>
          <w:rFonts w:ascii="Times New Roman" w:hAnsi="Times New Roman"/>
          <w:color w:val="000000" w:themeColor="text1"/>
          <w:sz w:val="16"/>
          <w:szCs w:val="16"/>
        </w:rPr>
        <w:softHyphen/>
        <w:t>разцов второго варианта танка КВ-13 осуществлялась крайне медленно, так как сотрудники за</w:t>
      </w:r>
      <w:r w:rsidRPr="00722885">
        <w:rPr>
          <w:rFonts w:ascii="Times New Roman" w:hAnsi="Times New Roman"/>
          <w:color w:val="000000" w:themeColor="text1"/>
          <w:sz w:val="16"/>
          <w:szCs w:val="16"/>
        </w:rPr>
        <w:softHyphen/>
        <w:t>вода № 100 параллельно работали над модернизацией танка КВ-1 обр. 1941 г. и созданием самоходной установки КВ-14 (СУ-152), а за</w:t>
      </w:r>
      <w:r w:rsidRPr="00722885">
        <w:rPr>
          <w:rFonts w:ascii="Times New Roman" w:hAnsi="Times New Roman"/>
          <w:color w:val="000000" w:themeColor="text1"/>
          <w:sz w:val="16"/>
          <w:szCs w:val="16"/>
        </w:rPr>
        <w:softHyphen/>
        <w:t>тем и освоением их серийного производства. Так же медленно на УЗТМ изготавливались два корпуса, а на бронекорпусном заводе № 200 - две башни для танка КВ-13, которые планировалось подать на завод № 100 только к 10 февраля 1943 г. (10703).</w:t>
      </w:r>
    </w:p>
    <w:p w14:paraId="4EFD0E7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D2201F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декабря 1942 года на Опытном танковом заводе в Челябинске началась сборка двух новых вариантов танка КВ-13..</w:t>
      </w:r>
    </w:p>
    <w:p w14:paraId="7CB1524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От первого образца для этих машин позаимствовали только корпус, торсионную подвеску и ходовую часть. Башни и многие другие агрегаты спроектировали заново. Особенностью трансмиссии стали двухступенчатые планетарные механизмы поворота, разработанные А.И.Благонравовым..</w:t>
      </w:r>
    </w:p>
    <w:p w14:paraId="39AED59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Была усовершенствована система охлаждения, в гусеничном движителе использовались только агрегаты танка КВ-1с, при этом гусеничную цепь облегчили за счет применения нечетных безгребневых траков (так называемые "Челябинские гусеницы"). (3862).</w:t>
      </w:r>
    </w:p>
    <w:p w14:paraId="03460E9B" w14:textId="77777777" w:rsidR="00BB6316" w:rsidRPr="00722885" w:rsidRDefault="00BB6316" w:rsidP="00722885">
      <w:pPr>
        <w:pStyle w:val="Iauiue"/>
        <w:jc w:val="both"/>
        <w:rPr>
          <w:color w:val="000000" w:themeColor="text1"/>
          <w:sz w:val="16"/>
          <w:szCs w:val="16"/>
        </w:rPr>
      </w:pPr>
    </w:p>
    <w:p w14:paraId="31AAFB9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на Опытном танковом заводе начали сборку еще двух танков КВ-13 (объект 233), который стал первой самостоятельной работой Опытного танкового завода, созданного в марте 1942 в Челябинске, поступил на заводские испытания и так и не прошел их. Новая машина взяла от старой только корпус. Торсионную подвеску и пятикотковую ходовую часть. Н.В.Цейц , освобожденный в феврале 1942, в июле скоропостижно скончался и вк стал Н.Ф.Шашмурин (4303).</w:t>
      </w:r>
    </w:p>
    <w:p w14:paraId="0783B5CB" w14:textId="77777777" w:rsidR="00BB6316" w:rsidRPr="00722885" w:rsidRDefault="00BB6316" w:rsidP="00722885">
      <w:pPr>
        <w:pStyle w:val="Iauiue"/>
        <w:jc w:val="both"/>
        <w:rPr>
          <w:color w:val="000000" w:themeColor="text1"/>
          <w:sz w:val="16"/>
          <w:szCs w:val="16"/>
        </w:rPr>
      </w:pPr>
    </w:p>
    <w:p w14:paraId="62E1EB9C" w14:textId="77777777" w:rsidR="00BB6316" w:rsidRPr="00722885" w:rsidRDefault="00BB6316" w:rsidP="00722885">
      <w:pPr>
        <w:pStyle w:val="a3"/>
        <w:rPr>
          <w:color w:val="000000" w:themeColor="text1"/>
          <w:lang w:val="ru-RU"/>
        </w:rPr>
      </w:pPr>
      <w:r w:rsidRPr="00722885">
        <w:rPr>
          <w:color w:val="000000" w:themeColor="text1"/>
          <w:lang w:val="ru-RU"/>
        </w:rPr>
        <w:t>В декабре 1942 г. работа по танку КВ-13 возобновилась объединенными силами кон</w:t>
      </w:r>
      <w:r w:rsidRPr="00722885">
        <w:rPr>
          <w:color w:val="000000" w:themeColor="text1"/>
          <w:lang w:val="ru-RU"/>
        </w:rPr>
        <w:softHyphen/>
        <w:t>структоров СКБ-2 ЧКЗ и КБ опытного завода. Ведущим инженером машины в тот период был М.Ф. Балжи. Общую компоновку и компо</w:t>
      </w:r>
      <w:r w:rsidRPr="00722885">
        <w:rPr>
          <w:color w:val="000000" w:themeColor="text1"/>
          <w:lang w:val="ru-RU"/>
        </w:rPr>
        <w:softHyphen/>
        <w:t>новку боевых отделений с новыми орудиями выполнял Г.Н. Москвин. Спроектировали два варианта опытного танка.</w:t>
      </w:r>
    </w:p>
    <w:p w14:paraId="1018A8B9" w14:textId="77777777" w:rsidR="00BB6316" w:rsidRPr="00722885" w:rsidRDefault="00BB6316" w:rsidP="00722885">
      <w:pPr>
        <w:pStyle w:val="a3"/>
        <w:rPr>
          <w:color w:val="000000" w:themeColor="text1"/>
          <w:lang w:val="ru-RU"/>
        </w:rPr>
      </w:pPr>
      <w:r w:rsidRPr="00722885">
        <w:rPr>
          <w:color w:val="000000" w:themeColor="text1"/>
          <w:lang w:val="ru-RU"/>
        </w:rPr>
        <w:t>Танк, получивший наименование «Иосиф Сталин» и индекс ИС №1 («Объект 233»), был вооружен 76,2-мм пушкой Ф-34. Второй опытный образец танка ИС №2 («Объект 234») оснащался 122-мм гаубицей У-11 (модифика</w:t>
      </w:r>
      <w:r w:rsidRPr="00722885">
        <w:rPr>
          <w:color w:val="000000" w:themeColor="text1"/>
          <w:lang w:val="ru-RU"/>
        </w:rPr>
        <w:softHyphen/>
        <w:t>цией М-30).</w:t>
      </w:r>
    </w:p>
    <w:p w14:paraId="1D0D8E03" w14:textId="77777777" w:rsidR="00BB6316" w:rsidRPr="00722885" w:rsidRDefault="00BB6316" w:rsidP="00722885">
      <w:pPr>
        <w:pStyle w:val="a3"/>
        <w:rPr>
          <w:color w:val="000000" w:themeColor="text1"/>
          <w:lang w:val="ru-RU"/>
        </w:rPr>
      </w:pPr>
      <w:r w:rsidRPr="00722885">
        <w:rPr>
          <w:color w:val="000000" w:themeColor="text1"/>
          <w:lang w:val="ru-RU"/>
        </w:rPr>
        <w:t>Если в опытном ИС №1 наводчик разме</w:t>
      </w:r>
      <w:r w:rsidRPr="00722885">
        <w:rPr>
          <w:color w:val="000000" w:themeColor="text1"/>
          <w:lang w:val="ru-RU"/>
        </w:rPr>
        <w:softHyphen/>
        <w:t>щался слева от пушки, за ним — командир танка, а заряжающий — справа, то в ИС №2 слева от гаубицы располагались наводчик и первый заряжающий, а справа — командир танка и второй заряжающий. Для наблю</w:t>
      </w:r>
      <w:r w:rsidRPr="00722885">
        <w:rPr>
          <w:color w:val="000000" w:themeColor="text1"/>
          <w:lang w:val="ru-RU"/>
        </w:rPr>
        <w:softHyphen/>
        <w:t>дения за полем боя в ИС №1 над рабочим местом командира на крыше башни устано</w:t>
      </w:r>
      <w:r w:rsidRPr="00722885">
        <w:rPr>
          <w:color w:val="000000" w:themeColor="text1"/>
          <w:lang w:val="ru-RU"/>
        </w:rPr>
        <w:softHyphen/>
        <w:t>вили неподвижную командирскую башенку с шестью смотровыми щелями, закрытыми триплексами. В ИС №2 командир располагал панорамой ПТК и двумя зеркальными смотро</w:t>
      </w:r>
      <w:r w:rsidRPr="00722885">
        <w:rPr>
          <w:color w:val="000000" w:themeColor="text1"/>
          <w:lang w:val="ru-RU"/>
        </w:rPr>
        <w:softHyphen/>
        <w:t>выми приборами.</w:t>
      </w:r>
    </w:p>
    <w:p w14:paraId="2C0DC389" w14:textId="77777777" w:rsidR="00BB6316" w:rsidRPr="00722885" w:rsidRDefault="00BB6316" w:rsidP="00722885">
      <w:pPr>
        <w:pStyle w:val="a3"/>
        <w:rPr>
          <w:color w:val="000000" w:themeColor="text1"/>
          <w:lang w:val="ru-RU"/>
        </w:rPr>
      </w:pPr>
      <w:r w:rsidRPr="00722885">
        <w:rPr>
          <w:color w:val="000000" w:themeColor="text1"/>
          <w:lang w:val="ru-RU"/>
        </w:rPr>
        <w:t>В феврале—марте 1943 г. обе опытные машины были окончательно собраны. Однако их вооружение уже явно не отвечало требова</w:t>
      </w:r>
      <w:r w:rsidRPr="00722885">
        <w:rPr>
          <w:color w:val="000000" w:themeColor="text1"/>
          <w:lang w:val="ru-RU"/>
        </w:rPr>
        <w:softHyphen/>
        <w:t>ниям времени. Так, в «Объекте 234» использо</w:t>
      </w:r>
      <w:r w:rsidRPr="00722885">
        <w:rPr>
          <w:color w:val="000000" w:themeColor="text1"/>
          <w:lang w:val="ru-RU"/>
        </w:rPr>
        <w:softHyphen/>
        <w:t>валась гаубица У-11, заимствованная вместе с башней от КВ-9 («Объект 229»), разработан</w:t>
      </w:r>
      <w:r w:rsidRPr="00722885">
        <w:rPr>
          <w:color w:val="000000" w:themeColor="text1"/>
          <w:lang w:val="ru-RU"/>
        </w:rPr>
        <w:softHyphen/>
        <w:t>ного годом ранее. Новую башню для ИС №2 не изготавливали (12617).</w:t>
      </w:r>
    </w:p>
    <w:p w14:paraId="27132C52" w14:textId="77777777" w:rsidR="00BB6316" w:rsidRPr="00722885" w:rsidRDefault="00BB6316" w:rsidP="00722885">
      <w:pPr>
        <w:pStyle w:val="a3"/>
        <w:rPr>
          <w:color w:val="000000" w:themeColor="text1"/>
          <w:lang w:val="ru-RU"/>
        </w:rPr>
      </w:pPr>
    </w:p>
    <w:p w14:paraId="25981F8E" w14:textId="77777777" w:rsidR="000C3A55" w:rsidRPr="00722885" w:rsidRDefault="000C3A5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В декабре 1942 года выпуск КВ-1С еще больше снизился - 116 машин при плане 195. Всего же за 1942 года Челябинский Кировский завод изготовил 624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-1С, что составило 87% задания (720 штук) (15226).</w:t>
      </w:r>
    </w:p>
    <w:p w14:paraId="57FF554A" w14:textId="77777777" w:rsidR="000C3A55" w:rsidRPr="00722885" w:rsidRDefault="000C3A55" w:rsidP="00722885">
      <w:pPr>
        <w:pStyle w:val="27"/>
        <w:shd w:val="clear" w:color="auto" w:fill="auto"/>
        <w:spacing w:after="0" w:line="240" w:lineRule="auto"/>
        <w:ind w:firstLine="0"/>
        <w:rPr>
          <w:rFonts w:ascii="Times New Roman" w:cs="Times New Roman"/>
          <w:color w:val="000000" w:themeColor="text1"/>
          <w:spacing w:val="0"/>
        </w:rPr>
      </w:pPr>
    </w:p>
    <w:p w14:paraId="7977D56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декабре 1942 года главный конструктор Ж. Котин предлагал ГБТУ КА установить на часть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литые башни КВ-1 (к это</w:t>
      </w:r>
      <w:r w:rsidRPr="00722885">
        <w:rPr>
          <w:rFonts w:ascii="Times New Roman" w:hAnsi="Times New Roman"/>
          <w:color w:val="000000" w:themeColor="text1"/>
          <w:sz w:val="16"/>
          <w:szCs w:val="16"/>
        </w:rPr>
        <w:softHyphen/>
        <w:t>му времени на Кировском заводе имелось их примерно 220—250 штук, не использован</w:t>
      </w:r>
      <w:r w:rsidRPr="00722885">
        <w:rPr>
          <w:rFonts w:ascii="Times New Roman" w:hAnsi="Times New Roman"/>
          <w:color w:val="000000" w:themeColor="text1"/>
          <w:sz w:val="16"/>
          <w:szCs w:val="16"/>
        </w:rPr>
        <w:softHyphen/>
        <w:t>ных при производстве КВ-1) и вооружить та</w:t>
      </w:r>
      <w:r w:rsidRPr="00722885">
        <w:rPr>
          <w:rFonts w:ascii="Times New Roman" w:hAnsi="Times New Roman"/>
          <w:color w:val="000000" w:themeColor="text1"/>
          <w:sz w:val="16"/>
          <w:szCs w:val="16"/>
        </w:rPr>
        <w:softHyphen/>
        <w:t>кие машины 122-мм гаубицей У-11 (танко</w:t>
      </w:r>
      <w:r w:rsidRPr="00722885">
        <w:rPr>
          <w:rFonts w:ascii="Times New Roman" w:hAnsi="Times New Roman"/>
          <w:color w:val="000000" w:themeColor="text1"/>
          <w:sz w:val="16"/>
          <w:szCs w:val="16"/>
        </w:rPr>
        <w:softHyphen/>
        <w:t>вый вариант 122-мм гаубицы М-30). Таким образом, Котин предлагал вернуться к идее танка КВ-9, который проходил испытания еще в начале 1942 года. Сначала идея нашла поддержку, и 29 декабря 1942 года начальник бронетанкового управления ГБТУ КА инженер-полковник С. Афонин направил на имя командующего бронетанковыми и механи</w:t>
      </w:r>
      <w:r w:rsidRPr="00722885">
        <w:rPr>
          <w:rFonts w:ascii="Times New Roman" w:hAnsi="Times New Roman"/>
          <w:color w:val="000000" w:themeColor="text1"/>
          <w:sz w:val="16"/>
          <w:szCs w:val="16"/>
        </w:rPr>
        <w:softHyphen/>
        <w:t>зированными войсками Красной Армии ге</w:t>
      </w:r>
      <w:r w:rsidRPr="00722885">
        <w:rPr>
          <w:rFonts w:ascii="Times New Roman" w:hAnsi="Times New Roman"/>
          <w:color w:val="000000" w:themeColor="text1"/>
          <w:sz w:val="16"/>
          <w:szCs w:val="16"/>
        </w:rPr>
        <w:softHyphen/>
        <w:t>нерал-полковника Я. Федоренко следующее письмо:</w:t>
      </w:r>
    </w:p>
    <w:p w14:paraId="0542518C" w14:textId="77777777" w:rsidR="000C3A55" w:rsidRPr="00722885" w:rsidRDefault="000C3A5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xml:space="preserve">«В целях усиления вооружения танка </w:t>
      </w:r>
      <w:r w:rsidRPr="00722885">
        <w:rPr>
          <w:rFonts w:ascii="Times New Roman" w:cs="Times New Roman"/>
          <w:color w:val="000000" w:themeColor="text1"/>
          <w:spacing w:val="0"/>
          <w:lang w:val="en-US"/>
        </w:rPr>
        <w:t>KB</w:t>
      </w:r>
      <w:r w:rsidRPr="00722885">
        <w:rPr>
          <w:rFonts w:ascii="Times New Roman" w:cs="Times New Roman"/>
          <w:color w:val="000000" w:themeColor="text1"/>
          <w:spacing w:val="0"/>
        </w:rPr>
        <w:t xml:space="preserve"> для борьбы с укреплениями противника, счи</w:t>
      </w:r>
      <w:r w:rsidRPr="00722885">
        <w:rPr>
          <w:rFonts w:ascii="Times New Roman" w:cs="Times New Roman"/>
          <w:color w:val="000000" w:themeColor="text1"/>
          <w:spacing w:val="0"/>
        </w:rPr>
        <w:softHyphen/>
        <w:t>таю необходимым вооружить часть выпуска</w:t>
      </w:r>
      <w:r w:rsidRPr="00722885">
        <w:rPr>
          <w:rFonts w:ascii="Times New Roman" w:cs="Times New Roman"/>
          <w:color w:val="000000" w:themeColor="text1"/>
          <w:spacing w:val="0"/>
        </w:rPr>
        <w:softHyphen/>
        <w:t>емых танков 122-мм гаубицей У-11. Считаю целесообразным использовать для этой цели в первую очередь имеющийся на Кировском заводе задел бронекорпусов (около 120 штук) и башен танка КВ-1 (около 200 штук) для вы</w:t>
      </w:r>
      <w:r w:rsidRPr="00722885">
        <w:rPr>
          <w:rFonts w:ascii="Times New Roman" w:cs="Times New Roman"/>
          <w:color w:val="000000" w:themeColor="text1"/>
          <w:spacing w:val="0"/>
        </w:rPr>
        <w:softHyphen/>
        <w:t>пуска танка К.В-9 с установкой в них восьми- скоростной коробки перемены передач».</w:t>
      </w:r>
    </w:p>
    <w:p w14:paraId="5C3F10D8" w14:textId="77777777" w:rsidR="000C3A55" w:rsidRPr="00722885" w:rsidRDefault="000C3A5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Однако к этому времени на вооружение была принята 122-мм самоходная установ</w:t>
      </w:r>
      <w:r w:rsidRPr="00722885">
        <w:rPr>
          <w:rFonts w:ascii="Times New Roman" w:cs="Times New Roman"/>
          <w:color w:val="000000" w:themeColor="text1"/>
          <w:spacing w:val="0"/>
        </w:rPr>
        <w:softHyphen/>
        <w:t>ка СУ-122, и производство КВ-1С со 122-мм гаубицей было признано нецелесообразным (15226).</w:t>
      </w:r>
    </w:p>
    <w:p w14:paraId="7A761604" w14:textId="77777777" w:rsidR="000C3A55" w:rsidRPr="00722885" w:rsidRDefault="000C3A55" w:rsidP="00722885">
      <w:pPr>
        <w:pStyle w:val="27"/>
        <w:shd w:val="clear" w:color="auto" w:fill="auto"/>
        <w:spacing w:after="0" w:line="240" w:lineRule="auto"/>
        <w:ind w:firstLine="0"/>
        <w:rPr>
          <w:rFonts w:ascii="Times New Roman" w:cs="Times New Roman"/>
          <w:color w:val="000000" w:themeColor="text1"/>
          <w:spacing w:val="0"/>
        </w:rPr>
      </w:pPr>
    </w:p>
    <w:p w14:paraId="1F3798B5" w14:textId="77777777" w:rsidR="000C3A55" w:rsidRPr="00722885" w:rsidRDefault="000C3A55"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декабре 1942 удалось закон</w:t>
      </w:r>
      <w:r w:rsidRPr="00722885">
        <w:rPr>
          <w:rFonts w:ascii="Times New Roman" w:cs="Times New Roman"/>
          <w:color w:val="000000" w:themeColor="text1"/>
          <w:spacing w:val="0"/>
        </w:rPr>
        <w:softHyphen/>
        <w:t>чить разработку чертежей КВ-8С, а в произ</w:t>
      </w:r>
      <w:r w:rsidRPr="00722885">
        <w:rPr>
          <w:rFonts w:ascii="Times New Roman" w:cs="Times New Roman"/>
          <w:color w:val="000000" w:themeColor="text1"/>
          <w:spacing w:val="0"/>
        </w:rPr>
        <w:softHyphen/>
        <w:t>водство эти машины пошли уже в 1943 году (15226).</w:t>
      </w:r>
    </w:p>
    <w:p w14:paraId="32EA17F8" w14:textId="77777777" w:rsidR="000C3A55" w:rsidRPr="00722885" w:rsidRDefault="000C3A55" w:rsidP="00722885">
      <w:pPr>
        <w:pStyle w:val="27"/>
        <w:shd w:val="clear" w:color="auto" w:fill="auto"/>
        <w:spacing w:after="0" w:line="240" w:lineRule="auto"/>
        <w:ind w:firstLine="0"/>
        <w:rPr>
          <w:rFonts w:ascii="Times New Roman" w:cs="Times New Roman"/>
          <w:color w:val="000000" w:themeColor="text1"/>
          <w:spacing w:val="0"/>
        </w:rPr>
      </w:pPr>
    </w:p>
    <w:p w14:paraId="59A6521E" w14:textId="77777777" w:rsidR="0008486A" w:rsidRPr="00722885" w:rsidRDefault="0008486A"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декабре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Т-80 был принят на вооружение Красной Армии. Двухместная башня была также рекомендована к принятию на вооружение для танка Т-70. Танк был создан на базе серийного танка Т-70 (первого выпуска) и отличался от него размещением новой двухместной башни со спаренной установкой 45-мм танковой пушки и 7,62-мм пулемета ДТ. Спаренный пулемет устанавливался справа от пушки. Схема общей компоновки машины, а также вооружение, часть, корпус (за исключением подбашенного листа и рамы крыши), трансмиссия, система охлаждения, топливная система, рабочее место механика-водителя со всеми элементами управления были такими же, как и на танке Т-70. У командира машины для наблюдения за полем боя вместо командирской башенки была установлена командирская панорама. В связи с установкой новой двухместной башни боевая масса танка возросла, однако использование более мощных двигателей позволило сохранить характеристики подвижности машины на уровне характеристик подвижности танка Т-70 (15218).</w:t>
      </w:r>
    </w:p>
    <w:p w14:paraId="5CA93E9C" w14:textId="77777777" w:rsidR="0008486A" w:rsidRPr="00722885" w:rsidRDefault="0008486A" w:rsidP="00722885">
      <w:pPr>
        <w:widowControl w:val="0"/>
        <w:spacing w:after="0" w:line="240" w:lineRule="auto"/>
        <w:jc w:val="both"/>
        <w:rPr>
          <w:rFonts w:ascii="Times New Roman" w:hAnsi="Times New Roman"/>
          <w:color w:val="000000" w:themeColor="text1"/>
          <w:sz w:val="16"/>
          <w:szCs w:val="16"/>
        </w:rPr>
      </w:pPr>
    </w:p>
    <w:p w14:paraId="63D3CE39" w14:textId="77777777" w:rsidR="0008486A" w:rsidRPr="00722885" w:rsidRDefault="0008486A"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опытный образец Т-80 прошел полигонные испытания. По предложению командующего Калининским фронтом генерал-лейтенанта И.С. Конева в конструкцию танка были введены изменения, позволяющие вести стрельбу из пушки по верхним этажам зданий при ведении боя в условиях города. Углы вертикальной наводки спаренной установки составляли от -8º до +65º. В связи с возросшей боевой массой танку был необходим более мощный двигатель, освоение которого затягивалось. Поэтому из-за неналаженности производства форсированных двигателей, а также недостаточной мощности его вооружения и броневой защиты после выпуска 75 танков Т-80 в конце 1943 года производство их было прекращено, а вместо них Горьковский автозавод и завод №40 в Мытищах со второго полугодия 1943 года перешли на производство легких самоходно-артиллерийских установок СУ-76М, созданных на базе узлов и агрегатов танка Т-70. Работы по совершенствованию Т-70 велись на заводах №37 и ГАЗе. Так, в первой половине 1942 года в КБ завода №37 под руководством Н.А. Попова был разработан танк Т-70 с 37-мм пушкой Ш-37 (15218).</w:t>
      </w:r>
    </w:p>
    <w:p w14:paraId="4F9B3B98" w14:textId="77777777" w:rsidR="0008486A" w:rsidRPr="00722885" w:rsidRDefault="0008486A" w:rsidP="00722885">
      <w:pPr>
        <w:widowControl w:val="0"/>
        <w:spacing w:after="0" w:line="240" w:lineRule="auto"/>
        <w:jc w:val="both"/>
        <w:rPr>
          <w:rFonts w:ascii="Times New Roman" w:hAnsi="Times New Roman"/>
          <w:color w:val="000000" w:themeColor="text1"/>
          <w:sz w:val="16"/>
          <w:szCs w:val="16"/>
        </w:rPr>
      </w:pPr>
    </w:p>
    <w:p w14:paraId="114A1CB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Т-70-3 был предъявлена на сравнительные испытания с танком Т-90, которые не выдержал из-за невозможности ведения прицельной стрельбы по наземным и воздушным целям, вследствие недостаточной уравновешенности качающейся части основного оружия. В качестве основного оружия в башне танка, симметрично ее про</w:t>
      </w:r>
      <w:r w:rsidRPr="00722885">
        <w:rPr>
          <w:rFonts w:ascii="Times New Roman" w:hAnsi="Times New Roman"/>
          <w:color w:val="000000" w:themeColor="text1"/>
          <w:sz w:val="16"/>
          <w:szCs w:val="16"/>
        </w:rPr>
        <w:softHyphen/>
        <w:t>дольной оси, на штатных кронштейнах крепления, заимствованных у танка Т-40, были установлены два спаренных 12,7-мм пулемета ДШКТ с магазинным питанием. Высота линии огня составляла 1642 мм. Углы вертикальной наводки спаренной установки находились в диапазоне от -7 до +85°. Для ведения прицельной стрельбы использовались телеско</w:t>
      </w:r>
      <w:r w:rsidRPr="00722885">
        <w:rPr>
          <w:rFonts w:ascii="Times New Roman" w:hAnsi="Times New Roman"/>
          <w:color w:val="000000" w:themeColor="text1"/>
          <w:sz w:val="16"/>
          <w:szCs w:val="16"/>
        </w:rPr>
        <w:softHyphen/>
        <w:t>пический прицел ТМФП - при углах вертикальной наводки от -7 до +25° и коллиматорный прицел К-8Т - при углах вертикальной наводки от +20 до +85°. Прицельная дальность стрельбы составляла 3500 м, мак</w:t>
      </w:r>
      <w:r w:rsidRPr="00722885">
        <w:rPr>
          <w:rFonts w:ascii="Times New Roman" w:hAnsi="Times New Roman"/>
          <w:color w:val="000000" w:themeColor="text1"/>
          <w:sz w:val="16"/>
          <w:szCs w:val="16"/>
        </w:rPr>
        <w:softHyphen/>
        <w:t>симальная - 7000 м. Практическая скорострельность каждого пулемета - 125 выстр./мин., темп стрельбы - 550 - 600 выстр./мин. Начальная скорость 12,7-мм пули составляла 850 м/с. Для поворота башни исполь</w:t>
      </w:r>
      <w:r w:rsidRPr="00722885">
        <w:rPr>
          <w:rFonts w:ascii="Times New Roman" w:hAnsi="Times New Roman"/>
          <w:color w:val="000000" w:themeColor="text1"/>
          <w:sz w:val="16"/>
          <w:szCs w:val="16"/>
        </w:rPr>
        <w:softHyphen/>
        <w:t>зовался штатный шестеренчатый механизм поворота башни, установ</w:t>
      </w:r>
      <w:r w:rsidRPr="00722885">
        <w:rPr>
          <w:rFonts w:ascii="Times New Roman" w:hAnsi="Times New Roman"/>
          <w:color w:val="000000" w:themeColor="text1"/>
          <w:sz w:val="16"/>
          <w:szCs w:val="16"/>
        </w:rPr>
        <w:softHyphen/>
        <w:t>ленный слева от командира, наводка пулеметов по вертикали - вручную, левой рукой. Спуск пулеметов производился с помощью ножной педали. В боекомплект танка входили 360 патронов (12 магазинов). Дополни</w:t>
      </w:r>
      <w:r w:rsidRPr="00722885">
        <w:rPr>
          <w:rFonts w:ascii="Times New Roman" w:hAnsi="Times New Roman"/>
          <w:color w:val="000000" w:themeColor="text1"/>
          <w:sz w:val="16"/>
          <w:szCs w:val="16"/>
        </w:rPr>
        <w:softHyphen/>
        <w:t>тельно в танке укладывались 7,62-мм пистолет-пулемет ППШ с бое</w:t>
      </w:r>
      <w:r w:rsidRPr="00722885">
        <w:rPr>
          <w:rFonts w:ascii="Times New Roman" w:hAnsi="Times New Roman"/>
          <w:color w:val="000000" w:themeColor="text1"/>
          <w:sz w:val="16"/>
          <w:szCs w:val="16"/>
        </w:rPr>
        <w:softHyphen/>
        <w:t>комплектом 213 патронов (3 диска) и 12 ручных гранат Ф-1. Танк Т-70-3 был создан на базе танка Т-70 (первого выпуска) и от</w:t>
      </w:r>
      <w:r w:rsidRPr="00722885">
        <w:rPr>
          <w:rFonts w:ascii="Times New Roman" w:hAnsi="Times New Roman"/>
          <w:color w:val="000000" w:themeColor="text1"/>
          <w:sz w:val="16"/>
          <w:szCs w:val="16"/>
        </w:rPr>
        <w:softHyphen/>
        <w:t>личался от последнего установкой основного оружия и измененной конструкцией башни. Схема общей компоновки машины принципиаль</w:t>
      </w:r>
      <w:r w:rsidRPr="00722885">
        <w:rPr>
          <w:rFonts w:ascii="Times New Roman" w:hAnsi="Times New Roman"/>
          <w:color w:val="000000" w:themeColor="text1"/>
          <w:sz w:val="16"/>
          <w:szCs w:val="16"/>
        </w:rPr>
        <w:softHyphen/>
        <w:t>но была такой же, как у танка Т-70. В состав экипажа входили два чело</w:t>
      </w:r>
      <w:r w:rsidRPr="00722885">
        <w:rPr>
          <w:rFonts w:ascii="Times New Roman" w:hAnsi="Times New Roman"/>
          <w:color w:val="000000" w:themeColor="text1"/>
          <w:sz w:val="16"/>
          <w:szCs w:val="16"/>
        </w:rPr>
        <w:softHyphen/>
        <w:t>века. Механик-водитель размещался в центре отделения управления у левого борта. Во вращающейся башне, смещенной к левому борту от продольной оси корпуса, располагался командир танка. Посадка и вы</w:t>
      </w:r>
      <w:r w:rsidRPr="00722885">
        <w:rPr>
          <w:rFonts w:ascii="Times New Roman" w:hAnsi="Times New Roman"/>
          <w:color w:val="000000" w:themeColor="text1"/>
          <w:sz w:val="16"/>
          <w:szCs w:val="16"/>
        </w:rPr>
        <w:softHyphen/>
        <w:t>ход экипажа производились через люки: один - в отделении управле</w:t>
      </w:r>
      <w:r w:rsidRPr="00722885">
        <w:rPr>
          <w:rFonts w:ascii="Times New Roman" w:hAnsi="Times New Roman"/>
          <w:color w:val="000000" w:themeColor="text1"/>
          <w:sz w:val="16"/>
          <w:szCs w:val="16"/>
        </w:rPr>
        <w:softHyphen/>
        <w:t>ния на лобовом листе корпуса, другой - в крыше башни, закрывавшие</w:t>
      </w:r>
      <w:r w:rsidRPr="00722885">
        <w:rPr>
          <w:rFonts w:ascii="Times New Roman" w:hAnsi="Times New Roman"/>
          <w:color w:val="000000" w:themeColor="text1"/>
          <w:sz w:val="16"/>
          <w:szCs w:val="16"/>
        </w:rPr>
        <w:softHyphen/>
        <w:t>ся броневыми крышками. В днище корпуса находился аварийный (за</w:t>
      </w:r>
      <w:r w:rsidRPr="00722885">
        <w:rPr>
          <w:rFonts w:ascii="Times New Roman" w:hAnsi="Times New Roman"/>
          <w:color w:val="000000" w:themeColor="text1"/>
          <w:sz w:val="16"/>
          <w:szCs w:val="16"/>
        </w:rPr>
        <w:softHyphen/>
        <w:t>пасный) люк. Наблюдение за полем боя осуществлялось: механиком-водителем через смотровой перископический прибор, установленный в крышке люка, командиром - через телескопический прицел. Машина отличалась от серийного образца танка Т-80 установкой более мощного вооружения. В состав экипажа входили три человека (10703).</w:t>
      </w:r>
    </w:p>
    <w:p w14:paraId="633CAB4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983232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после успешно проведенных государственных испыта</w:t>
      </w:r>
      <w:r w:rsidRPr="00722885">
        <w:rPr>
          <w:rFonts w:ascii="Times New Roman" w:hAnsi="Times New Roman"/>
          <w:color w:val="000000" w:themeColor="text1"/>
          <w:sz w:val="16"/>
          <w:szCs w:val="16"/>
        </w:rPr>
        <w:softHyphen/>
        <w:t>ний второго варианта танка «080» с двигателем ГАЗ-203Ф танк под маркой Т-80 был принят на вооружение Красной Армии. Однако серийное производство ГАЗ-203Ф в первом по</w:t>
      </w:r>
      <w:r w:rsidRPr="00722885">
        <w:rPr>
          <w:rFonts w:ascii="Times New Roman" w:hAnsi="Times New Roman"/>
          <w:color w:val="000000" w:themeColor="text1"/>
          <w:sz w:val="16"/>
          <w:szCs w:val="16"/>
        </w:rPr>
        <w:softHyphen/>
        <w:t>лугодии 1943 г. наладить не удалось. Положение усугуби</w:t>
      </w:r>
      <w:r w:rsidRPr="00722885">
        <w:rPr>
          <w:rFonts w:ascii="Times New Roman" w:hAnsi="Times New Roman"/>
          <w:color w:val="000000" w:themeColor="text1"/>
          <w:sz w:val="16"/>
          <w:szCs w:val="16"/>
        </w:rPr>
        <w:softHyphen/>
        <w:t>лось тем, что .с лета 1943 г. ГАЗ был переориентирован на выпуск самоходной артиллерии, надобность которой в условиях наступления трудно было переоценить.</w:t>
      </w:r>
    </w:p>
    <w:p w14:paraId="26E9362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Поэтому специально для освоения выпуска Т-80 в Мы</w:t>
      </w:r>
      <w:r w:rsidRPr="00722885">
        <w:rPr>
          <w:rFonts w:ascii="Times New Roman" w:hAnsi="Times New Roman"/>
          <w:color w:val="000000" w:themeColor="text1"/>
          <w:sz w:val="16"/>
          <w:szCs w:val="16"/>
        </w:rPr>
        <w:softHyphen/>
        <w:t xml:space="preserve">тищах был образован завод № 40, который должен был в 1943 г. развернуть массовый выпуск танка Т-80. Однако надежды на это оказались тщетны главным образом потому, </w:t>
      </w:r>
      <w:r w:rsidRPr="00722885">
        <w:rPr>
          <w:rFonts w:ascii="Times New Roman" w:hAnsi="Times New Roman"/>
          <w:bCs/>
          <w:color w:val="000000" w:themeColor="text1"/>
          <w:sz w:val="16"/>
          <w:szCs w:val="16"/>
        </w:rPr>
        <w:t xml:space="preserve">что </w:t>
      </w:r>
      <w:r w:rsidRPr="00722885">
        <w:rPr>
          <w:rFonts w:ascii="Times New Roman" w:hAnsi="Times New Roman"/>
          <w:color w:val="000000" w:themeColor="text1"/>
          <w:sz w:val="16"/>
          <w:szCs w:val="16"/>
        </w:rPr>
        <w:t>надежность двигателя ГАЗ-203Ф продолжала оставать</w:t>
      </w:r>
      <w:r w:rsidRPr="00722885">
        <w:rPr>
          <w:rFonts w:ascii="Times New Roman" w:hAnsi="Times New Roman"/>
          <w:color w:val="000000" w:themeColor="text1"/>
          <w:sz w:val="16"/>
          <w:szCs w:val="16"/>
        </w:rPr>
        <w:softHyphen/>
        <w:t>ся никуда не годной.</w:t>
      </w:r>
    </w:p>
    <w:p w14:paraId="5BCFA14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Параллельно с отработкой силового агрегата легкого танка практически все артиллерийские КБ занимались раз</w:t>
      </w:r>
      <w:r w:rsidRPr="00722885">
        <w:rPr>
          <w:rFonts w:ascii="Times New Roman" w:hAnsi="Times New Roman"/>
          <w:color w:val="000000" w:themeColor="text1"/>
          <w:sz w:val="16"/>
          <w:szCs w:val="16"/>
        </w:rPr>
        <w:softHyphen/>
        <w:t>работкой для него более мощного вооружения. Так, начиная с апреля и до конца 1942 г. специально для вооружения танка Т-70 ОКБ-15, ОКБ-172 и ОКБ-92 прове</w:t>
      </w:r>
      <w:r w:rsidRPr="00722885">
        <w:rPr>
          <w:rFonts w:ascii="Times New Roman" w:hAnsi="Times New Roman"/>
          <w:color w:val="000000" w:themeColor="text1"/>
          <w:sz w:val="16"/>
          <w:szCs w:val="16"/>
        </w:rPr>
        <w:softHyphen/>
        <w:t>ли разработку нескольких артсистем. ОКБ-15 предложило 37-мм автоматическую танковую пушку большой мощности Ш-37 конструкции Б. Шпи-тального, первоначально предназначенную для вооруже</w:t>
      </w:r>
      <w:r w:rsidRPr="00722885">
        <w:rPr>
          <w:rFonts w:ascii="Times New Roman" w:hAnsi="Times New Roman"/>
          <w:color w:val="000000" w:themeColor="text1"/>
          <w:sz w:val="16"/>
          <w:szCs w:val="16"/>
        </w:rPr>
        <w:softHyphen/>
        <w:t>ния самолетов. Однако габаритные размеры орудия не по</w:t>
      </w:r>
      <w:r w:rsidRPr="00722885">
        <w:rPr>
          <w:rFonts w:ascii="Times New Roman" w:hAnsi="Times New Roman"/>
          <w:color w:val="000000" w:themeColor="text1"/>
          <w:sz w:val="16"/>
          <w:szCs w:val="16"/>
        </w:rPr>
        <w:softHyphen/>
        <w:t>зволяли установить его в боевом отделении Т-70 без пере</w:t>
      </w:r>
      <w:r w:rsidRPr="00722885">
        <w:rPr>
          <w:rFonts w:ascii="Times New Roman" w:hAnsi="Times New Roman"/>
          <w:color w:val="000000" w:themeColor="text1"/>
          <w:sz w:val="16"/>
          <w:szCs w:val="16"/>
        </w:rPr>
        <w:softHyphen/>
        <w:t>делки последнего... Поэтому КБ завода № 37 под руковод</w:t>
      </w:r>
      <w:r w:rsidRPr="00722885">
        <w:rPr>
          <w:rFonts w:ascii="Times New Roman" w:hAnsi="Times New Roman"/>
          <w:color w:val="000000" w:themeColor="text1"/>
          <w:sz w:val="16"/>
          <w:szCs w:val="16"/>
        </w:rPr>
        <w:softHyphen/>
        <w:t>ством Н. Попова пошло на разработку новой башни.</w:t>
      </w:r>
    </w:p>
    <w:p w14:paraId="476C021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Корпус танка коренных изменений не претерпел. Была разработана и изготовлена из катаных броневых листов толщиной 15 и 25 мм граненая башня оригинальной фор</w:t>
      </w:r>
      <w:r w:rsidRPr="00722885">
        <w:rPr>
          <w:rFonts w:ascii="Times New Roman" w:hAnsi="Times New Roman"/>
          <w:color w:val="000000" w:themeColor="text1"/>
          <w:sz w:val="16"/>
          <w:szCs w:val="16"/>
        </w:rPr>
        <w:softHyphen/>
        <w:t>мы с увеличенной кормовой частью, с листом обратного наклона и расширенным верхом (11135).</w:t>
      </w:r>
    </w:p>
    <w:p w14:paraId="1598A3D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BD147A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в результате проведенных испытаний было уста</w:t>
      </w:r>
      <w:r w:rsidRPr="00722885">
        <w:rPr>
          <w:rFonts w:ascii="Times New Roman" w:hAnsi="Times New Roman"/>
          <w:color w:val="000000" w:themeColor="text1"/>
          <w:sz w:val="16"/>
          <w:szCs w:val="16"/>
        </w:rPr>
        <w:softHyphen/>
        <w:t>новлено, что прицельная стрельба из танка Т-70-3 по воздушным и наземным целям невозможна из-за недостаточной уравновешенности качающейся части пулеметов ДШК. Кучность стрельбы была неудовлетворитель</w:t>
      </w:r>
      <w:r w:rsidRPr="00722885">
        <w:rPr>
          <w:rFonts w:ascii="Times New Roman" w:hAnsi="Times New Roman"/>
          <w:color w:val="000000" w:themeColor="text1"/>
          <w:sz w:val="16"/>
          <w:szCs w:val="16"/>
        </w:rPr>
        <w:softHyphen/>
        <w:t>ной. Стрельба при углах возвышения более 60° было затруднена, а раз</w:t>
      </w:r>
      <w:r w:rsidRPr="00722885">
        <w:rPr>
          <w:rFonts w:ascii="Times New Roman" w:hAnsi="Times New Roman"/>
          <w:color w:val="000000" w:themeColor="text1"/>
          <w:sz w:val="16"/>
          <w:szCs w:val="16"/>
        </w:rPr>
        <w:softHyphen/>
        <w:t>мещение механизма поворота башни - неудобное. Кроме того, были от</w:t>
      </w:r>
      <w:r w:rsidRPr="00722885">
        <w:rPr>
          <w:rFonts w:ascii="Times New Roman" w:hAnsi="Times New Roman"/>
          <w:color w:val="000000" w:themeColor="text1"/>
          <w:sz w:val="16"/>
          <w:szCs w:val="16"/>
        </w:rPr>
        <w:softHyphen/>
        <w:t>мечены частые задержки пулеметов при стрельбе. Дальнейшие работы по танку Т-70-3 на заводе № 37 были прекращены. Танк Т-80 с 45-мм пушкой ВТ-43 был разработан совместными уси</w:t>
      </w:r>
      <w:r w:rsidRPr="00722885">
        <w:rPr>
          <w:rFonts w:ascii="Times New Roman" w:hAnsi="Times New Roman"/>
          <w:color w:val="000000" w:themeColor="text1"/>
          <w:sz w:val="16"/>
          <w:szCs w:val="16"/>
        </w:rPr>
        <w:softHyphen/>
        <w:t>лиями КБ завода М» 40 и ОКБ № 172 в начале 1943 г. Был изготовлен опытный образец машины. На вооружение танк Т-80 с пушкой ВТ-43 не принимался и в серийном производстве не состоял (10703).</w:t>
      </w:r>
    </w:p>
    <w:p w14:paraId="46B639B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773173E" w14:textId="77777777" w:rsidR="003B6A42" w:rsidRPr="00722885" w:rsidRDefault="003B6A42"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декабре 1941 года в Свердловске начали массово выпускать Т-30, причем часть получила ДШК. Всего же, до февраля 1942 года включительно, сдали 200 таких танков, из них 101 с дополнительной броневой защитой корпуса. Итого 347 Т-30 за сентябрь-октябрь 1941 года, минус 3 танка, из которых сделали системы залпового огня М-8, где-то штук 20 танков выпуска августа 1941 года, плюс 200 танков завода №37, плюс 50 танков завода №38. В итоге где-то 600-615 танков, отличавшихся большим разнообразием внешнего вида. До Т-60, конечно, далеко, но по облику он собрата точно может заткнуть за пояс. Порой Т-30 был настолько загадочен, что не знаешь, Т-40 перед тобой на снимке, или уже 30-ка (21348).</w:t>
      </w:r>
    </w:p>
    <w:p w14:paraId="054F6A3D" w14:textId="77777777" w:rsidR="003B6A42" w:rsidRPr="00722885" w:rsidRDefault="003B6A42"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57D0105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Т-37 с 37мм пушкой был пред</w:t>
      </w:r>
      <w:r w:rsidRPr="00722885">
        <w:rPr>
          <w:rFonts w:ascii="Times New Roman" w:hAnsi="Times New Roman"/>
          <w:color w:val="000000" w:themeColor="text1"/>
          <w:sz w:val="16"/>
          <w:szCs w:val="16"/>
        </w:rPr>
        <w:softHyphen/>
        <w:t>ставлен на государственные испытания, которые не выдержал из-за неудачной компоновки боевого отделения. Танк был создан на базе серийного танка Т-70, от которого отличал</w:t>
      </w:r>
      <w:r w:rsidRPr="00722885">
        <w:rPr>
          <w:rFonts w:ascii="Times New Roman" w:hAnsi="Times New Roman"/>
          <w:color w:val="000000" w:themeColor="text1"/>
          <w:sz w:val="16"/>
          <w:szCs w:val="16"/>
        </w:rPr>
        <w:softHyphen/>
        <w:t>ся установкой 37-мм автоматической пушки в несколько измененной башне на штатной опоре. Экипаж машины состоял из двух человек. Компоновка и размещение основных узлов и агрегатов, а также распо</w:t>
      </w:r>
      <w:r w:rsidRPr="00722885">
        <w:rPr>
          <w:rFonts w:ascii="Times New Roman" w:hAnsi="Times New Roman"/>
          <w:color w:val="000000" w:themeColor="text1"/>
          <w:sz w:val="16"/>
          <w:szCs w:val="16"/>
        </w:rPr>
        <w:softHyphen/>
        <w:t>ложение экипажа танка основных изменений не претерпели, за исклю</w:t>
      </w:r>
      <w:r w:rsidRPr="00722885">
        <w:rPr>
          <w:rFonts w:ascii="Times New Roman" w:hAnsi="Times New Roman"/>
          <w:color w:val="000000" w:themeColor="text1"/>
          <w:sz w:val="16"/>
          <w:szCs w:val="16"/>
        </w:rPr>
        <w:softHyphen/>
        <w:t>чением башни и установки вооружения. В качестве основного оружия на танке была установлена 37-мм авто</w:t>
      </w:r>
      <w:r w:rsidRPr="00722885">
        <w:rPr>
          <w:rFonts w:ascii="Times New Roman" w:hAnsi="Times New Roman"/>
          <w:color w:val="000000" w:themeColor="text1"/>
          <w:sz w:val="16"/>
          <w:szCs w:val="16"/>
        </w:rPr>
        <w:softHyphen/>
        <w:t>матическая пушка Ш-37 конструкции Б.Г. Шпитального с начальной ско</w:t>
      </w:r>
      <w:r w:rsidRPr="00722885">
        <w:rPr>
          <w:rFonts w:ascii="Times New Roman" w:hAnsi="Times New Roman"/>
          <w:color w:val="000000" w:themeColor="text1"/>
          <w:sz w:val="16"/>
          <w:szCs w:val="16"/>
        </w:rPr>
        <w:softHyphen/>
        <w:t>ростью снаряда 1000 м/с с возможностью стрельбы по воздушным целям. Конструкция автоматики пушки была основана на принципе отвода газов из канала ствола. Питание пушки - магазинное. Углы наводки по вертика</w:t>
      </w:r>
      <w:r w:rsidRPr="00722885">
        <w:rPr>
          <w:rFonts w:ascii="Times New Roman" w:hAnsi="Times New Roman"/>
          <w:color w:val="000000" w:themeColor="text1"/>
          <w:sz w:val="16"/>
          <w:szCs w:val="16"/>
        </w:rPr>
        <w:softHyphen/>
        <w:t>ли составляли от -4 до +77°. При стрельбе по наземным целям использо</w:t>
      </w:r>
      <w:r w:rsidRPr="00722885">
        <w:rPr>
          <w:rFonts w:ascii="Times New Roman" w:hAnsi="Times New Roman"/>
          <w:color w:val="000000" w:themeColor="text1"/>
          <w:sz w:val="16"/>
          <w:szCs w:val="16"/>
        </w:rPr>
        <w:softHyphen/>
        <w:t>вался телескопический прицел, по воздушным - коллиматорный прицел К-8Т. Наводка оружия на цель осуществлялось с помощью штатных при</w:t>
      </w:r>
      <w:r w:rsidRPr="00722885">
        <w:rPr>
          <w:rFonts w:ascii="Times New Roman" w:hAnsi="Times New Roman"/>
          <w:color w:val="000000" w:themeColor="text1"/>
          <w:sz w:val="16"/>
          <w:szCs w:val="16"/>
        </w:rPr>
        <w:softHyphen/>
        <w:t>водов - шестеренчатого механизма поворота башни и винтового подъем</w:t>
      </w:r>
      <w:r w:rsidRPr="00722885">
        <w:rPr>
          <w:rFonts w:ascii="Times New Roman" w:hAnsi="Times New Roman"/>
          <w:color w:val="000000" w:themeColor="text1"/>
          <w:sz w:val="16"/>
          <w:szCs w:val="16"/>
        </w:rPr>
        <w:softHyphen/>
        <w:t>ного механизма. При движении по-походному пушка стопорилась с помо</w:t>
      </w:r>
      <w:r w:rsidRPr="00722885">
        <w:rPr>
          <w:rFonts w:ascii="Times New Roman" w:hAnsi="Times New Roman"/>
          <w:color w:val="000000" w:themeColor="text1"/>
          <w:sz w:val="16"/>
          <w:szCs w:val="16"/>
        </w:rPr>
        <w:softHyphen/>
        <w:t>щью двух специальных стоек, крепившихся на верхнем лобовом листе. В боекомплект пушки входили 200 выстрелов (10 магазинов). Дополнитель</w:t>
      </w:r>
      <w:r w:rsidRPr="00722885">
        <w:rPr>
          <w:rFonts w:ascii="Times New Roman" w:hAnsi="Times New Roman"/>
          <w:color w:val="000000" w:themeColor="text1"/>
          <w:sz w:val="16"/>
          <w:szCs w:val="16"/>
        </w:rPr>
        <w:softHyphen/>
        <w:t>но в боевом отделении укладывались один 7,62-мм пистолет-пулемет ППШ с боекомплектом 213 патронов (3 диска) и 10 ручных гранат Ф-1 (10703).</w:t>
      </w:r>
    </w:p>
    <w:p w14:paraId="640FE0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01241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после успешно проведенных полигонных испытаний танк Т-70 с двухместной башней под маркой Т-80 был принят на вооружение Красной Ар</w:t>
      </w:r>
      <w:r w:rsidRPr="00722885">
        <w:rPr>
          <w:rFonts w:ascii="Times New Roman" w:hAnsi="Times New Roman"/>
          <w:color w:val="000000" w:themeColor="text1"/>
          <w:sz w:val="16"/>
          <w:szCs w:val="16"/>
        </w:rPr>
        <w:softHyphen/>
        <w:t>мии. Двухместная башня была также рекомендована к принятию на во</w:t>
      </w:r>
      <w:r w:rsidRPr="00722885">
        <w:rPr>
          <w:rFonts w:ascii="Times New Roman" w:hAnsi="Times New Roman"/>
          <w:color w:val="000000" w:themeColor="text1"/>
          <w:sz w:val="16"/>
          <w:szCs w:val="16"/>
        </w:rPr>
        <w:softHyphen/>
        <w:t>оружение для танка Т-70 (10703).</w:t>
      </w:r>
    </w:p>
    <w:p w14:paraId="6759B85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801357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опытный образец машины Т-80 прошел полигонные испытания. Танк был поставлен на производство на заводе № 40 в г. Мытищи Московской области. Всего было изготовлено 75 танков и в 1943 г. их выпуск был прекращен. Танк был последним образцом отечественных легких танков периода Отечественной войны (10703).</w:t>
      </w:r>
    </w:p>
    <w:p w14:paraId="616D3D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6D64F07"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hAnsi="Times New Roman"/>
          <w:color w:val="000000" w:themeColor="text1"/>
          <w:sz w:val="16"/>
          <w:szCs w:val="16"/>
        </w:rPr>
        <w:t>В</w:t>
      </w:r>
      <w:r w:rsidRPr="00722885">
        <w:rPr>
          <w:rFonts w:ascii="Times New Roman" w:eastAsia="Times New Roman" w:hAnsi="Times New Roman"/>
          <w:color w:val="000000" w:themeColor="text1"/>
          <w:sz w:val="16"/>
          <w:szCs w:val="16"/>
        </w:rPr>
        <w:t xml:space="preserve"> декабре 1942 года </w:t>
      </w:r>
      <w:hyperlink r:id="rId208" w:history="1">
        <w:r w:rsidRPr="00722885">
          <w:rPr>
            <w:rFonts w:ascii="Times New Roman" w:eastAsia="Times New Roman" w:hAnsi="Times New Roman"/>
            <w:color w:val="000000" w:themeColor="text1"/>
            <w:sz w:val="16"/>
            <w:szCs w:val="16"/>
            <w:u w:val="single"/>
          </w:rPr>
          <w:t xml:space="preserve">танк </w:t>
        </w:r>
        <w:r w:rsidRPr="00722885">
          <w:rPr>
            <w:rFonts w:ascii="Times New Roman" w:eastAsia="Times New Roman" w:hAnsi="Times New Roman"/>
            <w:color w:val="000000" w:themeColor="text1"/>
            <w:sz w:val="16"/>
            <w:szCs w:val="16"/>
          </w:rPr>
          <w:t xml:space="preserve">Light Tank M3A1 </w:t>
        </w:r>
        <w:r w:rsidRPr="00722885">
          <w:rPr>
            <w:rFonts w:ascii="Times New Roman" w:eastAsia="Times New Roman" w:hAnsi="Times New Roman"/>
            <w:color w:val="000000" w:themeColor="text1"/>
            <w:sz w:val="16"/>
            <w:szCs w:val="16"/>
            <w:u w:val="single"/>
          </w:rPr>
          <w:t>с регистрационным номером U.S.A. W-3011743</w:t>
        </w:r>
      </w:hyperlink>
      <w:r w:rsidRPr="00722885">
        <w:rPr>
          <w:rFonts w:ascii="Times New Roman" w:eastAsia="Times New Roman" w:hAnsi="Times New Roman"/>
          <w:color w:val="000000" w:themeColor="text1"/>
          <w:sz w:val="16"/>
          <w:szCs w:val="16"/>
        </w:rPr>
        <w:t xml:space="preserve"> прибыл на полигон Научно-исследовательского испытательного института бронетанковой техники (НИИБТ Полигон), вновь переместившийся в Кубинку. Проходила эта машина под обозначением «М-3 Легкий выпуска 1942 года».</w:t>
      </w:r>
    </w:p>
    <w:p w14:paraId="56A28A05"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Интересно, что по описанию танка наши специалисты определили командиром наводчика, в то время как у американцев командир совмещал свои обязанности с ролью заряжающего. Судя по всему, и в войсках командир советских М3л также был наводчиком. Помимо новой башни и частично сварного корпуса, специалисты НИИБТ Полигона обратили внимание на дополнительный масляный фильтр, а также термостат. Удостоился их внимания и дополнительный зарядный агрегат, который американские инженеры разместили под полом башни.</w:t>
      </w:r>
    </w:p>
    <w:p w14:paraId="3495D0C9"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Прибытие модернизированного танка советские специалисты посчитали отличным поводом для проведения зимних ходовых испытаний. Всего с 18 декабря 1942 года по 21 февраля 1943 года танк прошёл 929 километров. На первом этапе было пройдено 369 километров, из них 172 км по шоссе, 75 по проселку и 122 по бездорожью. На заснеженном шоссе максимальная скорость танка достигла 59, 2 км/ч. Машина показала среднюю скорость по шоссе 45,2 км/ч, по проселку 27 км/ч и по заснеженной целине 22,3 км/ч, при этом расход топлива составил 130, 217 и 252 литра на 100 км пути соответственно. По снежной целине машина могла идти на 3-й передаче, для движения на более высокой передаче уже не хватало мощности двигателя. Резино-металлические траки сыграли с танком злую шутку: при заезде в канаву машина не смогла выехать из неё, поскольку оказалось недостаточным сцепление гусениц с дорогой. А при повторении попыток покинуть канаву произошёл сброс левой гусеничной ленты.</w:t>
      </w:r>
    </w:p>
    <w:p w14:paraId="7277893B"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Позже ходовые испытания продолжились со шпорами, установленными на каждом траке. С ними танк прошёл 391 километр, из которых 234 километра по шоссе, 97 по проселку и 60 по заснеженной целине. Максимальная скорость снизилась до 39,6 км/ч, а средняя – до 33,4, 23,4 и 19,8 км/ч соответственно. Подрос расход топлива – до 184 литров на 100 км на шоссе, 260 по проселку и 316 по целине. Выяснилось, что шпоры улучшают сцепление с дорогой, но при этом, помимо повышения расхода топлива, наблюдалась тряска. Кроме того, был пройден 169 км по шоссе со шпорами, установленными по 5 шпор на ленту. При уменьшении количества шпор тряска заметно снизилась, при этом проходимость осталась на приемлемом уровне.</w:t>
      </w:r>
    </w:p>
    <w:p w14:paraId="6ED890F2"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Впрочем, главными отличиями «М-3 Лёгкого выпуска 1942 года» была новая башня и переделанное боевое отделение. Вот на этом месте у испытателей возник целый ряд вопросов. В своё время автору статьи довелось побывать внутри башни Light Tank M3A1, и впечатление осталось не из приятных. Возникло подозрение, что башню спроектировали для карликов с очень длинной и подвижной шеей, поскольку другому человеку с другой комплекцией работать с телескопическим прицелом невозможно. Конечно, при росте 192 см жаловаться на слишком низкое боевое отделение танка не очень корректно, но, как выяснилось, выводы автора о боевом отделении американского лёгкого танка во многом совпали с вердиктом, вынесенным испытателями НИИБТ Полигона.</w:t>
      </w:r>
    </w:p>
    <w:p w14:paraId="053D7F24"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Расположение телескопического прицела советские специалисты признали крайне неудачным, потому как он находился слишком низко и далеко. Кругового обзора с места наводчика не обеспечивалось. Масса претензий возникла и к механизмам поворота башни. С одной стороны, время полного оборота башни уменьшилось с 52 до 16 секунд. Но помимо скорости, важным для наводки параметром является и точность. А вот с этим у гидравлического привода башни имелись проблемы. Что же касается ручного поворота башни, то неудобное расположение механизмов поворота, наличие люфта и неудобная поза быстро утомляла наводчика.</w:t>
      </w:r>
    </w:p>
    <w:p w14:paraId="234338DC"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Не лучше обстояли дела и у заряжающего. Доступ к боекомплекту оказался затруднён, согласно отчёту, заряжающему для выполнения его обязанностей требовалась помощь остального экипажа. Разнесённые по разным бортам блоки радиостанции тоже особого энтузиазма не вызвали.</w:t>
      </w:r>
    </w:p>
    <w:p w14:paraId="64E90CE9"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Единственное, что вызвало неподдельный интерес у специалистов НИИБТ – это стабилизатор. Испытания показали, что он обеспечивает прицельную стрельбу с хода со скорострельностью 5–7 выстрелов в минуту. Стоит отметить, что стабилизатор с американского лёгкого танка стал основой для разработки советских стабилизаторов.</w:t>
      </w:r>
    </w:p>
    <w:p w14:paraId="5BA1414D"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Общие выводы по итогам испытаний оказались следующими:</w:t>
      </w:r>
    </w:p>
    <w:p w14:paraId="54530E13"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iCs/>
          <w:color w:val="000000" w:themeColor="text1"/>
          <w:sz w:val="16"/>
          <w:szCs w:val="16"/>
        </w:rPr>
        <w:t>«1. По своим тактическим и эксплуатационным данным танк М3 – легкий выпуска 1942 г. равноценен М3 легкий выпуска 1941 г.</w:t>
      </w:r>
    </w:p>
    <w:p w14:paraId="114FC659"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iCs/>
          <w:color w:val="000000" w:themeColor="text1"/>
          <w:sz w:val="16"/>
          <w:szCs w:val="16"/>
        </w:rPr>
        <w:t>2. Теснота размещения экипажа в боевом отделении, неудобство расположения механизмов наведения и наличие люфтов вооружения снижают боевые качества танка.</w:t>
      </w:r>
    </w:p>
    <w:p w14:paraId="3C78F6D6"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iCs/>
          <w:color w:val="000000" w:themeColor="text1"/>
          <w:sz w:val="16"/>
          <w:szCs w:val="16"/>
        </w:rPr>
        <w:t>3. Гидравлический механизм поворота башни из-за недостаточной чувствительности не обеспечивает точной наводки пушки на цель.</w:t>
      </w:r>
    </w:p>
    <w:p w14:paraId="07A2338E"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iCs/>
          <w:color w:val="000000" w:themeColor="text1"/>
          <w:sz w:val="16"/>
          <w:szCs w:val="16"/>
        </w:rPr>
        <w:t>4. При стрельбе с хода гироскопический стабилизатор повышает скорострельность пушки до 5–6 выстрелов в минуту и увеличивает меткость огня.</w:t>
      </w:r>
    </w:p>
    <w:p w14:paraId="74A090D2"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iCs/>
          <w:color w:val="000000" w:themeColor="text1"/>
          <w:sz w:val="16"/>
          <w:szCs w:val="16"/>
        </w:rPr>
        <w:t>5. Незначительные по величине размеры шкалы углом прицеливания перископического прицела затрудняют корректировку и пристрелку по целям.</w:t>
      </w:r>
    </w:p>
    <w:p w14:paraId="4EE0B802"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iCs/>
          <w:color w:val="000000" w:themeColor="text1"/>
          <w:sz w:val="16"/>
          <w:szCs w:val="16"/>
        </w:rPr>
        <w:t>6. Телескопический прицел установлен низко, пользоваться им для стрельбы из спаренной установки невозможно.</w:t>
      </w:r>
    </w:p>
    <w:p w14:paraId="1DFFF7F9"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iCs/>
          <w:color w:val="000000" w:themeColor="text1"/>
          <w:sz w:val="16"/>
          <w:szCs w:val="16"/>
        </w:rPr>
        <w:t>7. Доступ к боекомплекту, расположенному в боевом отделении неудобен. Доступ заряжающего к боекомплекту, уложенному в нишах подбашенной коробки танка, затруднен и требуется помощь остального экипажа для подачи боеприпасов».</w:t>
      </w:r>
    </w:p>
    <w:p w14:paraId="7FD8DDBA"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lastRenderedPageBreak/>
        <w:t xml:space="preserve">Условия работы экипажа были признаны ухудшившимися, критике подверглись и маленькие по размеру люки башни. Хотя в отчёте этого не указано, не самыми удачными были и рукоятки открывания боковых смотровых приборов. Длинные и торчащие в районе головы, они вполне могли стать причинами травмы командира и заряжающего. В целом боевые качества новой модификации американского лёгкого танка были признаны худшими, чем у предшествующего М3л. </w:t>
      </w:r>
    </w:p>
    <w:p w14:paraId="3DBF1358" w14:textId="77777777" w:rsidR="0008486A" w:rsidRPr="00722885" w:rsidRDefault="0008486A"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Несмотря на столь нелестную оценку, танки новой версии оказались долгожителями. Дебютировав на Северном Кавказе в конце 1942 года, Light Tank M3A1 продолжали исправно служить до 1945 года. Участвовали эти легкие танки и в печально известном десанте у Южной Озерейки 4 февраля 1943 года, где была потеряна матчасть 563-го отдельного танкового батальона. Воевали они как в танковых бригадах, так и в танковых полках, прикреплённых к кавалерийским дивизиям. В отдельных частях они прослужили до самого конца войны (17464).</w:t>
      </w:r>
    </w:p>
    <w:p w14:paraId="6655EAA9" w14:textId="77777777" w:rsidR="0008486A" w:rsidRPr="00722885" w:rsidRDefault="0008486A" w:rsidP="00722885">
      <w:pPr>
        <w:spacing w:after="0" w:line="240" w:lineRule="auto"/>
        <w:jc w:val="both"/>
        <w:rPr>
          <w:rFonts w:ascii="Times New Roman" w:hAnsi="Times New Roman"/>
          <w:color w:val="000000" w:themeColor="text1"/>
          <w:sz w:val="16"/>
          <w:szCs w:val="16"/>
        </w:rPr>
      </w:pPr>
    </w:p>
    <w:p w14:paraId="0918517B"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В декабре 1942 года </w:t>
      </w:r>
      <w:hyperlink r:id="rId209" w:history="1">
        <w:r w:rsidRPr="00722885">
          <w:rPr>
            <w:rFonts w:ascii="Times New Roman" w:eastAsia="Times New Roman" w:hAnsi="Times New Roman"/>
            <w:color w:val="000000" w:themeColor="text1"/>
            <w:sz w:val="16"/>
            <w:szCs w:val="16"/>
            <w:lang w:eastAsia="ru-RU"/>
          </w:rPr>
          <w:t>танк с регистрационным номером U.S.A. W-3011743</w:t>
        </w:r>
      </w:hyperlink>
      <w:r w:rsidRPr="00722885">
        <w:rPr>
          <w:rFonts w:ascii="Times New Roman" w:eastAsia="Times New Roman" w:hAnsi="Times New Roman"/>
          <w:color w:val="000000" w:themeColor="text1"/>
          <w:sz w:val="16"/>
          <w:szCs w:val="16"/>
          <w:lang w:eastAsia="ru-RU"/>
        </w:rPr>
        <w:t xml:space="preserve"> прибыл на полигон Научно-исследовательского испытательного института бронетанковой техники (НИИБТ Полигон), вновь переместившийся в Кубинку. Проходила эта машина под обозначением «М-3 Легкий выпуска 1942 года».</w:t>
      </w:r>
    </w:p>
    <w:p w14:paraId="04FA875F"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Интересно, что по описанию танка наши специалисты определили командиром наводчика, в то время как у американцев командир совмещал свои обязанности с ролью заряжающего. Судя по всему, и в войсках командир советских М3л также был наводчиком. Помимо новой башни и частично сварного корпуса, специалисты НИИБТ Полигона обратили внимание на дополнительный масляный фильтр, а также термостат. Удостоился их внимания и дополнительный зарядный агрегат, который американские инженеры разместили под полом башни.</w:t>
      </w:r>
    </w:p>
    <w:p w14:paraId="1A27F705"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Прибытие модернизированного танка советские специалисты посчитали отличным поводом для проведения зимних ходовых испытаний. Всего с 18 декабря 1942 года по 21 февраля 1943 года танк прошёл 929 километров. На первом этапе было пройдено 369 километров, из них 172 км по шоссе, 75 по проселку и 122 по бездорожью. На заснеженном шоссе максимальная скорость танка достигла 59, 2 км/ч. Машина показала среднюю скорость по шоссе 45,2 км/ч, по проселку 27 км/ч и по заснеженной целине 22,3 км/ч, при этом расход топлива составил 130, 217 и 252 литра на 100 км пути соответственно. По снежной целине машина могла идти на 3-й передаче, для движения на более высокой передаче уже не хватало мощности двигателя. Резино-металлические траки сыграли с танком злую шутку: при заезде в канаву машина не смогла выехать из неё, поскольку оказалось недостаточным сцепление гусениц с дорогой. А при повторении попыток покинуть канаву произошёл сброс левой гусеничной ленты.</w:t>
      </w:r>
    </w:p>
    <w:p w14:paraId="0A3C3471"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Позже ходовые испытания продолжились со шпорами, установленными на каждом траке. С ними танк прошёл 391 километр, из которых 234 километра по шоссе, 97 по проселку и 60 по заснеженной целине. Максимальная скорость снизилась до 39,6 км/ч, а средняя – до 33,4, 23,4 и 19,8 км/ч соответственно. Подрос расход топлива – до 184 литров на 100 км на шоссе, 260 по проселку и 316 по целине. Выяснилось, что шпоры улучшают сцепление с дорогой, но при этом, помимо повышения расхода топлива, наблюдалась тряска. Кроме того, был пройден 169 км по шоссе со шпорами, установленными по 5 шпор на ленту. При уменьшении количества шпор тряска заметно снизилась, при этом проходимость осталась на приемлемом уровне.</w:t>
      </w:r>
    </w:p>
    <w:p w14:paraId="42B47A50"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Главными отличиями «М-3 Лёгкого выпуска 1942 года» была новая башня и переделанное боевое отделение. Вот на этом месте у испытателей возник целый ряд вопросов. В своё время автору статьи довелось побывать внутри башни Light Tank M3A1, и впечатление осталось не из приятных. Возникло подозрение, что башню спроектировали для карликов с очень длинной и подвижной шеей, поскольку другому человеку с другой комплекцией работать с телескопическим прицелом невозможно. Конечно, при росте 192 см жаловаться на слишком низкое боевое отделение танка не очень корректно, но, как выяснилось, выводы автора о боевом отделении американского лёгкого танка во многом совпали с вердиктом, вынесенным испытателями НИИБТ Полигона.</w:t>
      </w:r>
    </w:p>
    <w:p w14:paraId="20C52FCC"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Расположение телескопического прицела советские специалисты признали крайне неудачным, потому как он находился слишком низко и далеко. Кругового обзора с места наводчика не обеспечивалось. Масса претензий возникла и к механизмам поворота башни. С одной стороны, время полного оборота башни уменьшилось с 52 до 16 секунд. Но помимо скорости, важным для наводки параметром является и точность. А вот с этим у гидравлического привода башни имелись проблемы. Что же касается ручного поворота башни, то неудобное расположение механизмов поворота, наличие люфта и неудобная поза быстро утомляла наводчика.</w:t>
      </w:r>
    </w:p>
    <w:p w14:paraId="47C76BB1"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 лучше обстояли дела и у заряжающего. Доступ к боекомплекту оказался затруднён, согласно отчёту, заряжающему для выполнения его обязанностей требовалась помощь остального экипажа. Разнесённые по разным бортам блоки радиостанции тоже особого энтузиазма не вызвали.</w:t>
      </w:r>
    </w:p>
    <w:p w14:paraId="487B4330"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Единственное, что вызвало неподдельный интерес у специалистов НИИБТ – это стабилизатор. Испытания показали, что он обеспечивает прицельную стрельбу с хода со скорострельностью 5–7 выстрелов в минуту. Стоит отметить, что стабилизатор с американского лёгкого танка стал основой для разработки советских стабилизаторов.</w:t>
      </w:r>
    </w:p>
    <w:p w14:paraId="3BCD52C4"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Общие выводы по итогам испытаний оказались следующими:</w:t>
      </w:r>
    </w:p>
    <w:p w14:paraId="4EED0A3C"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«1. По своим тактическим и эксплуатационным данным танк М3 – легкий выпуска 1942 г. равноценен М3 легкий выпуска 1941 г.</w:t>
      </w:r>
    </w:p>
    <w:p w14:paraId="76AE8240"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2. Теснота размещения экипажа в боевом отделении, неудобство расположения механизмов наведения и наличие люфтов вооружения снижают боевые качества танка.</w:t>
      </w:r>
    </w:p>
    <w:p w14:paraId="1FC7C504"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3. Гидравлический механизм поворота башни из-за недостаточной чувствительности не обеспечивает точной наводки пушки на цель.</w:t>
      </w:r>
    </w:p>
    <w:p w14:paraId="4DDDF65B"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4. При стрельбе с хода гироскопический стабилизатор повышает скорострельность пушки до 5–6 выстрелов в минуту и увеличивает меткость огня.</w:t>
      </w:r>
    </w:p>
    <w:p w14:paraId="5740DAF9"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5. Незначительные по величине размеры шкалы углом прицеливания перископического прицела затрудняют корректировку и пристрелку по целям.</w:t>
      </w:r>
    </w:p>
    <w:p w14:paraId="6E1D5B18"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6. Телескопический прицел установлен низко, пользоваться им для стрельбы из спаренной установки невозможно.</w:t>
      </w:r>
    </w:p>
    <w:p w14:paraId="773CA359"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7. Доступ к боекомплекту, расположенному в боевом отделении неудобен. Доступ заряжающего к боекомплекту, уложенному в нишах подбашенной коробки танка, затруднен и требуется помощь остального экипажа для подачи боеприпасов».</w:t>
      </w:r>
    </w:p>
    <w:p w14:paraId="6C538271"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Условия работы экипажа были признаны ухудшившимися, критике подверглись и маленькие по размеру люки башни. Хотя в отчёте этого не указано, не самыми удачными были и рукоятки открывания боковых смотровых приборов. Длинные и торчащие в районе головы, они вполне могли стать причинами травмы командира и заряжающего. В целом боевые качества новой модификации американского лёгкого танка были признаны худшими, чем у предшествующего М3л.</w:t>
      </w:r>
    </w:p>
    <w:p w14:paraId="5AC025A8" w14:textId="77777777" w:rsidR="00ED7AC4" w:rsidRPr="00722885" w:rsidRDefault="00ED7AC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Несмотря на столь нелестную оценку, танки новой версии оказались долгожителями. Дебютировав на Северном Кавказе в конце 1942 года, Light Tank M3A1 продолжали исправно служить до 1945 года. Участвовали эти легкие танки и в печально известном десанте у Южной Озерейки 4 февраля 1943 года, где была потеряна матчасть 563-го отдельного танкового батальона. Воевали они как в танковых бригадах, так и в танковых полках, прикреплённых к кавалерийским дивизиям. В отдельных частях они прослужили до самого конца войны (17658).</w:t>
      </w:r>
    </w:p>
    <w:p w14:paraId="18717A92" w14:textId="77777777" w:rsidR="00ED7AC4" w:rsidRPr="00722885" w:rsidRDefault="00ED7AC4" w:rsidP="00722885">
      <w:pPr>
        <w:spacing w:after="0" w:line="240" w:lineRule="auto"/>
        <w:jc w:val="both"/>
        <w:rPr>
          <w:rFonts w:ascii="Times New Roman" w:eastAsia="Times New Roman" w:hAnsi="Times New Roman"/>
          <w:color w:val="000000" w:themeColor="text1"/>
          <w:sz w:val="16"/>
          <w:szCs w:val="16"/>
          <w:lang w:eastAsia="ru-RU"/>
        </w:rPr>
      </w:pPr>
    </w:p>
    <w:p w14:paraId="5477F30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декабре 1942 года, сразу после получения данных об успехе наступления под Сталинградом начались активные работы по СУ. Тактико-технические требования, поступившие от БТУ в адрес НКТП, заключались в создании </w:t>
      </w:r>
      <w:hyperlink r:id="rId210"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а артиллерийского усиления </w:t>
      </w:r>
      <w:hyperlink r:id="rId211"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овых бригад. Мечта получить подобный штурмовой </w:t>
      </w:r>
      <w:hyperlink r:id="rId212"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 способный вести не только настильную стрельбу, но и поддерживать пехоту, осталась ещё с довоенных времен. Опыт использования КВ-2 подсказывал, что машина данного типа может иметь более тонкое бронирование, что снижало бы массу и улучшало ходовые качества </w:t>
      </w:r>
      <w:hyperlink r:id="rId213"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а. Таким образом, из серийных </w:t>
      </w:r>
      <w:hyperlink r:id="rId214"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ов на эту роль снова определили Т-34. Вопрос с типом вооружения тоже недолго оставался открытым, поскольку выбор был небольшим. Установленная ранее на КВ-2 пушка-гаубица М-10 калибра 152,4-мм была сразу отвергнута по причине избыточной мощности и громоздкости конструкции. От варианта с более новой М-30 также пришлось отказаться, а вот </w:t>
      </w:r>
      <w:hyperlink r:id="rId215"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овая гаубица У-11, созданная на её основе, была сочтена вполне приемлемой. Согласно ТТЗ </w:t>
      </w:r>
      <w:hyperlink r:id="rId216"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 артиллерийского усиления должен был сохранить базовое шасси и корпус. Заново предстояло разработать новую башню с вооружением из 122-мм орудия с баллистикой гаубицы обр.1938 г. Работу поручили сразу трем конструкторским коллективам – КБ УЗТМ под руководством Л.И.Горлицкого, КБ завода №9 под руководством Ф.Ф.Петрова и ЦАКБ под руководством В.Г.Грабина. Ожидалось, что “главный приз” будет разыгран между старыми соперниками-”артиллеристами”, но события развернулись несколько иначе (15625).</w:t>
      </w:r>
    </w:p>
    <w:p w14:paraId="18B33208"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Коллектив УЗТМ разработал проекты штампованной и литой башни под общим индексом У-37, по форме и размерам близкие к башне серийного Т-34. В качестве основного вооружения предлагалась 122-мм гаубица У-11 или 85-мм пушка У-10, созданная здесь в 1941-1942 гг. конструкторами В.Е.Сидоренко и А.В.Усенко. На заседании макетной комиссии проект У-37 был полностью отвергнут, поскольку размеры башни оказались недостаточными даже для установки 85-мм пушки и трех человек расчета.</w:t>
      </w:r>
    </w:p>
    <w:p w14:paraId="2D93124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Та же участь постигла и проект ЦАКБ, предложившего дуплекс из 122-мм и 152-мм артсистемы С-41, предназначавшегося также для установки на тяжелый </w:t>
      </w:r>
      <w:hyperlink r:id="rId217"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 КВ-1с. Простое сравнение показало, что </w:t>
      </w:r>
      <w:hyperlink r:id="rId218"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овый погон размером 1420 мм не походит для установки С-41, после чего работы в данном направлении ЦАКБ прекратило.</w:t>
      </w:r>
    </w:p>
    <w:p w14:paraId="7E302E0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Наиболее привлекательно выглядел проект завода №9. Разработанная для Т-34 новая башня под индексом Д-11 имела вертикальные стенки и сильно напоминала башню от опытного тяжелого </w:t>
      </w:r>
      <w:hyperlink r:id="rId219"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а КВ-220. В скором времени проект получил название Т-34Г (гаубичный) или Т-34Ш (штурмовой), хотя также использовалось обозначение Т-34-122. Основное вооружение состояло из 122-мм штурмового орудия Д-6, представлявшего собой технологически упрощенную гаубицу У-11 с использованием унифицированных деталей от 85-мм пушки Д-5. Боекомплект частично размещался в боевом отделении и нише башни. Важным преимуществом была взаимозаменяемость обоих орудий, но даже в этом случае башня была тесноватой для трех человек. Чтобы избавиться от этого недостатка было предложено, чтобы правый заряжающий был по совместительству стрелком-радистом и покидал бы своё место (справа от водителя) только на время проведения стрельб, но в этом случае </w:t>
      </w:r>
      <w:hyperlink r:id="rId220"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 xml:space="preserve"> оказывался беззащитным от атакующей пехоты. Проект Т-34-122 оснащенный установкой Д-11 ещё некоторое время обсуждался на пленуме Артиллерийского комитета, но осенью 1943 года, в виду появления СУ-122 и СУ-152, работы по нему распорядились прекратить.</w:t>
      </w:r>
    </w:p>
    <w:p w14:paraId="19631B1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ПРОЕКТНЫЕ ТАКТИКО-ТЕХНИЧЕСКИЕ ДАННЫЕ СРЕДНЕГО  ШТУРМОВОГО ТАНКА Т-34-122 обр.1943 г.</w:t>
      </w:r>
    </w:p>
    <w:tbl>
      <w:tblPr>
        <w:tblW w:w="5000" w:type="pct"/>
        <w:tblCellSpacing w:w="6"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103"/>
        <w:gridCol w:w="6215"/>
      </w:tblGrid>
      <w:tr w:rsidR="009B487A" w:rsidRPr="00722885" w14:paraId="4308A615"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0A12F2BD"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БОЕВАЯ МАССА</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3F6E4AD"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01AF742D"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около 30000 кг</w:t>
            </w:r>
          </w:p>
        </w:tc>
      </w:tr>
      <w:tr w:rsidR="009B487A" w:rsidRPr="00722885" w14:paraId="17461078"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DD8554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ЭКИПАЖ, чел.</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2F4BCFD2"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0A70750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w:t>
            </w:r>
          </w:p>
        </w:tc>
      </w:tr>
      <w:tr w:rsidR="009B487A" w:rsidRPr="00722885" w14:paraId="274C6562" w14:textId="77777777" w:rsidTr="009D3895">
        <w:trPr>
          <w:tblCellSpacing w:w="6" w:type="dxa"/>
        </w:trPr>
        <w:tc>
          <w:tcPr>
            <w:tcW w:w="9311" w:type="dxa"/>
            <w:gridSpan w:val="2"/>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75F2824A"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737D41A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ГАБАРИТНЫЕ РАЗМЕРЫ</w:t>
            </w:r>
          </w:p>
        </w:tc>
      </w:tr>
      <w:tr w:rsidR="009B487A" w:rsidRPr="00722885" w14:paraId="4A837F37"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8DA1F9E"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мм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22FBC106"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2F28C7BE"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около 6000</w:t>
            </w:r>
          </w:p>
        </w:tc>
      </w:tr>
      <w:tr w:rsidR="009B487A" w:rsidRPr="00722885" w14:paraId="35740548"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1B44DD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Ширина, мм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D1B7B1C"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524ED5FC"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r>
      <w:tr w:rsidR="009B487A" w:rsidRPr="00722885" w14:paraId="170E3879"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EFB61BD"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мм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4CE16D8B"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7F345E2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около 3200</w:t>
            </w:r>
          </w:p>
        </w:tc>
      </w:tr>
      <w:tr w:rsidR="009B487A" w:rsidRPr="00722885" w14:paraId="1CBB2E5E"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799362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Клиренс, мм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BBE3DFE"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7C5D275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400</w:t>
            </w:r>
          </w:p>
        </w:tc>
      </w:tr>
      <w:tr w:rsidR="009B487A" w:rsidRPr="00722885" w14:paraId="1A0DAB2B"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3EE861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ВООРУЖЕНИЕ </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009A23AE"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3457741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одна 121,9-мм гаубица У-11 и два 7,62-мм пулемета ДТ</w:t>
            </w:r>
          </w:p>
        </w:tc>
      </w:tr>
      <w:tr w:rsidR="009B487A" w:rsidRPr="00722885" w14:paraId="37693415"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96C4590"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БОЕКОМПЛЕКТ</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9B5523B"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6C208A5E"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67F0328C"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9FFCDE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ПРИБОРЫ ПРИЦЕЛИВАНИЯ</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458A6983"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69FE9D9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14DA053"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04D0016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БРОНИРОВАНИЕ</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AD2660B"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34A1927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лоб корпуса - 45 мм</w:t>
            </w:r>
          </w:p>
          <w:p w14:paraId="357D546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борт - 45 мм</w:t>
            </w:r>
          </w:p>
          <w:p w14:paraId="241B8D1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корма - 30 мм</w:t>
            </w:r>
          </w:p>
          <w:p w14:paraId="50019D5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крыша и днище - 20 мм</w:t>
            </w:r>
          </w:p>
          <w:p w14:paraId="68FE5D4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башня - 60 мм (?) </w:t>
            </w:r>
          </w:p>
        </w:tc>
      </w:tr>
      <w:tr w:rsidR="009B487A" w:rsidRPr="00722885" w14:paraId="1CDE67D5"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A0C4BB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ДВИГАТЕЛЬ</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4C1BB31"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77373AF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В-2-34, дизельный, 12-цилиндровый, мощностью 500 л.с., ёмкость бака 620 литров</w:t>
            </w:r>
          </w:p>
        </w:tc>
      </w:tr>
      <w:tr w:rsidR="009B487A" w:rsidRPr="00722885" w14:paraId="768EE621"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B42162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ТРАНСМИССИЯ</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1585305"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4475CEE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механическая, 5-скоростная коробка передач (4 передачи вперёд и 1 назад)</w:t>
            </w:r>
          </w:p>
        </w:tc>
      </w:tr>
      <w:tr w:rsidR="009B487A" w:rsidRPr="00722885" w14:paraId="7C36C2A6"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31F700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ХОДОВАЯ ЧАСТЬ</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4818C57B"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795CE7D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один борт) 5 сдвоенных обрезиненных основных катков, переднее направляющее и заднее ведущее колесо</w:t>
            </w:r>
          </w:p>
        </w:tc>
      </w:tr>
      <w:tr w:rsidR="009B487A" w:rsidRPr="00722885" w14:paraId="3D026349"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BD6464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4652E1E4"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74B0C85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около 30 км\ч</w:t>
            </w:r>
          </w:p>
        </w:tc>
      </w:tr>
      <w:tr w:rsidR="009B487A" w:rsidRPr="00722885" w14:paraId="6F4C6743"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FA7AB7B"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 ХОДА</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7E6A5DDA"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519F8209"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74BCCD54" w14:textId="77777777" w:rsidTr="009D3895">
        <w:trPr>
          <w:tblCellSpacing w:w="6" w:type="dxa"/>
        </w:trPr>
        <w:tc>
          <w:tcPr>
            <w:tcW w:w="9311" w:type="dxa"/>
            <w:gridSpan w:val="2"/>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12266EE"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7FD3A062"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ПРЕОДОЛЕВАЕМЫЕ ПРЕПЯТСТВИЯ</w:t>
            </w:r>
          </w:p>
        </w:tc>
      </w:tr>
      <w:tr w:rsidR="009B487A" w:rsidRPr="00722885" w14:paraId="30F91F00"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0A1E07EE"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Подъём, град</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D22E50A"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7EB9979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9440FDB"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6026FDD1"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Спуск, град</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2E42B51"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165EADF3"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46323DE1"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3211076"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стенки, 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68158C8"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1B37C94D"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r>
      <w:tr w:rsidR="009B487A" w:rsidRPr="00722885" w14:paraId="63A58213"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07CAF5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Ширина рва, 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1A5F64D7"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58AC437A"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w:t>
            </w:r>
          </w:p>
        </w:tc>
      </w:tr>
      <w:tr w:rsidR="009B487A" w:rsidRPr="00722885" w14:paraId="348FD515"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5F7BFC2D"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Глубина брода, м</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32862C0E"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6054E987"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w:t>
            </w:r>
          </w:p>
        </w:tc>
      </w:tr>
      <w:tr w:rsidR="009B487A" w:rsidRPr="00722885" w14:paraId="20C66127" w14:textId="77777777" w:rsidTr="009D3895">
        <w:trPr>
          <w:tblCellSpacing w:w="6" w:type="dxa"/>
        </w:trPr>
        <w:tc>
          <w:tcPr>
            <w:tcW w:w="4191"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0CEE55D5"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СРЕДСТВА СВЯЗИ</w:t>
            </w:r>
          </w:p>
        </w:tc>
        <w:tc>
          <w:tcPr>
            <w:tcW w:w="5108" w:type="dxa"/>
            <w:tcBorders>
              <w:top w:val="single" w:sz="8" w:space="0" w:color="auto"/>
              <w:left w:val="single" w:sz="8" w:space="0" w:color="auto"/>
              <w:bottom w:val="single" w:sz="8" w:space="0" w:color="auto"/>
              <w:right w:val="single" w:sz="8" w:space="0" w:color="auto"/>
            </w:tcBorders>
            <w:shd w:val="clear" w:color="auto" w:fill="FFFFFF"/>
            <w:tcMar>
              <w:top w:w="24" w:type="dxa"/>
              <w:left w:w="24" w:type="dxa"/>
              <w:bottom w:w="24" w:type="dxa"/>
              <w:right w:w="24" w:type="dxa"/>
            </w:tcMar>
            <w:vAlign w:val="center"/>
            <w:hideMark/>
          </w:tcPr>
          <w:p w14:paraId="2E5F7FA2"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20B0269F"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радиостанция 71ТК-3</w:t>
            </w:r>
          </w:p>
        </w:tc>
      </w:tr>
    </w:tbl>
    <w:p w14:paraId="7589E244" w14:textId="77777777" w:rsidR="000C3A55" w:rsidRPr="00722885" w:rsidRDefault="000C3A5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(15625).</w:t>
      </w:r>
    </w:p>
    <w:p w14:paraId="45BA4762" w14:textId="77777777" w:rsidR="000C3A55" w:rsidRPr="00722885" w:rsidRDefault="000C3A55" w:rsidP="00722885">
      <w:pPr>
        <w:spacing w:after="0" w:line="240" w:lineRule="auto"/>
        <w:jc w:val="both"/>
        <w:rPr>
          <w:rFonts w:ascii="Times New Roman" w:hAnsi="Times New Roman"/>
          <w:color w:val="000000" w:themeColor="text1"/>
          <w:sz w:val="16"/>
          <w:szCs w:val="16"/>
        </w:rPr>
      </w:pPr>
    </w:p>
    <w:p w14:paraId="16515E0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началось Серийное производство СУ-122 и продолжалось по август 1943 г. Всего было выпущено 638 самоходных установок (10703).</w:t>
      </w:r>
    </w:p>
    <w:p w14:paraId="4A91342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F8B389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на базе Т-34 на УЗТМ стали делать Су-122 с М-30С обр. 1931/37 (1031,45).</w:t>
      </w:r>
    </w:p>
    <w:p w14:paraId="5B0743C3" w14:textId="77777777" w:rsidR="00BB6316" w:rsidRPr="00722885" w:rsidRDefault="00BB6316" w:rsidP="00722885">
      <w:pPr>
        <w:pStyle w:val="Iauiue"/>
        <w:jc w:val="both"/>
        <w:rPr>
          <w:color w:val="000000" w:themeColor="text1"/>
          <w:sz w:val="16"/>
          <w:szCs w:val="16"/>
        </w:rPr>
      </w:pPr>
    </w:p>
    <w:p w14:paraId="40BF652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 доработанные проекты САУ НИИ-13 представили на суд высших руководителей, причем машина оснащенная 76-мм пушкой, очень понравилась лично И.В.Сталину, назвавшему ее “чрезвычайно интересной” (5742, 14).</w:t>
      </w:r>
    </w:p>
    <w:p w14:paraId="099991A5" w14:textId="77777777" w:rsidR="00BB6316" w:rsidRPr="00722885" w:rsidRDefault="00BB6316" w:rsidP="00722885">
      <w:pPr>
        <w:pStyle w:val="Iauiue"/>
        <w:jc w:val="both"/>
        <w:rPr>
          <w:color w:val="000000" w:themeColor="text1"/>
          <w:sz w:val="16"/>
          <w:szCs w:val="16"/>
        </w:rPr>
      </w:pPr>
    </w:p>
    <w:p w14:paraId="63752B0D"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В декабре 1942 Уралмашзавод выполнил рабочие чертежи для серии Су-122, которые устраняли большинство дефектов, и по ним начал изготавливать артсамоходы серийного производства. К внесенным изменениям относились: установка выпрямленного лобового листа рубки, что увеличило объем боевого отделения и улучшило условия работы экипажа; устранение щелей в броне-защите; улучшение расположения в боевом отделении боеукладни, рабочих мест экипажа, прицельных и смотровых приборов, приборов освещения, люков и др.; замена командирской башенки на прибор ПТК; увеличение емкости топливных баков; уменьшение усилий при работе маховиками механизмов наведения; улучшение условий при работе по натяжению гусеницы и др. (9636).</w:t>
      </w:r>
    </w:p>
    <w:p w14:paraId="21016FD6" w14:textId="77777777" w:rsidR="00BB6316" w:rsidRPr="00722885" w:rsidRDefault="00BB6316" w:rsidP="00722885">
      <w:pPr>
        <w:pStyle w:val="a8"/>
        <w:widowControl/>
        <w:jc w:val="both"/>
        <w:rPr>
          <w:rFonts w:ascii="Times New Roman" w:hAnsi="Times New Roman" w:cs="Times New Roman"/>
          <w:color w:val="000000" w:themeColor="text1"/>
        </w:rPr>
      </w:pPr>
    </w:p>
    <w:p w14:paraId="4F2C1D9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года ГКО постановил выпустить ограниченное количество 122-мм САУ У-35, которую вскоре переименовали в СУ-122. До конца 1942 года было изготовлено 25 самоходных установок. Первый полк самоходных орудии был сформирован в декабре 1942 года. В новый полк входили 4 батареи легких самоходок СУ-76 (17 машин) и две батареи СУ-122 (8 машин) (3862).</w:t>
      </w:r>
    </w:p>
    <w:p w14:paraId="6A78E4B4" w14:textId="77777777" w:rsidR="00BB6316" w:rsidRPr="00722885" w:rsidRDefault="00BB6316" w:rsidP="00722885">
      <w:pPr>
        <w:pStyle w:val="Iauiue"/>
        <w:jc w:val="both"/>
        <w:rPr>
          <w:color w:val="000000" w:themeColor="text1"/>
          <w:sz w:val="16"/>
          <w:szCs w:val="16"/>
        </w:rPr>
      </w:pPr>
    </w:p>
    <w:p w14:paraId="3AEAB0F9" w14:textId="77777777" w:rsidR="002F5A59" w:rsidRPr="00722885" w:rsidRDefault="002F5A59" w:rsidP="00722885">
      <w:pPr>
        <w:pStyle w:val="Iauiue"/>
        <w:jc w:val="both"/>
        <w:rPr>
          <w:color w:val="000000" w:themeColor="text1"/>
          <w:sz w:val="16"/>
          <w:szCs w:val="16"/>
        </w:rPr>
      </w:pPr>
      <w:r w:rsidRPr="00722885">
        <w:rPr>
          <w:color w:val="000000" w:themeColor="text1"/>
          <w:sz w:val="16"/>
          <w:szCs w:val="16"/>
        </w:rPr>
        <w:t>В декабре 1942 было отменено, что по сравнению с декабрем 1941 выпуск самолетов был увеличен в 3.3 раза, танков - в 2 раза, танковых дизель-моторов - в 3.3 раза (338,31).</w:t>
      </w:r>
    </w:p>
    <w:p w14:paraId="5894034B" w14:textId="77777777" w:rsidR="002F5A59" w:rsidRPr="00722885" w:rsidRDefault="002F5A59" w:rsidP="00722885">
      <w:pPr>
        <w:pStyle w:val="Iauiue"/>
        <w:jc w:val="both"/>
        <w:rPr>
          <w:color w:val="000000" w:themeColor="text1"/>
          <w:sz w:val="16"/>
          <w:szCs w:val="16"/>
        </w:rPr>
      </w:pPr>
      <w:r w:rsidRPr="00722885">
        <w:rPr>
          <w:color w:val="000000" w:themeColor="text1"/>
          <w:sz w:val="16"/>
          <w:szCs w:val="16"/>
        </w:rPr>
        <w:t>Проблема в том, что декабрь 1942 характеризовался наибольшим падением производства.</w:t>
      </w:r>
    </w:p>
    <w:p w14:paraId="414F2EFC" w14:textId="77777777" w:rsidR="002F5A59" w:rsidRPr="00722885" w:rsidRDefault="002F5A59" w:rsidP="00722885">
      <w:pPr>
        <w:pStyle w:val="Iauiue"/>
        <w:jc w:val="both"/>
        <w:rPr>
          <w:color w:val="000000" w:themeColor="text1"/>
          <w:sz w:val="16"/>
          <w:szCs w:val="16"/>
        </w:rPr>
      </w:pPr>
      <w:r w:rsidRPr="00722885">
        <w:rPr>
          <w:color w:val="000000" w:themeColor="text1"/>
          <w:sz w:val="16"/>
          <w:szCs w:val="16"/>
        </w:rPr>
        <w:lastRenderedPageBreak/>
        <w:t>В декабре 1942 прошли сравнительные испытания двух опытных образцов средних САУ (У-35 и завода 592). Решили, что У-25 - после устранения недостатков будет лучше (4406).</w:t>
      </w:r>
    </w:p>
    <w:p w14:paraId="15CA521D" w14:textId="77777777" w:rsidR="002F5A59" w:rsidRPr="00722885" w:rsidRDefault="002F5A59" w:rsidP="00722885">
      <w:pPr>
        <w:pStyle w:val="Iauiue"/>
        <w:jc w:val="both"/>
        <w:rPr>
          <w:color w:val="000000" w:themeColor="text1"/>
          <w:sz w:val="16"/>
          <w:szCs w:val="16"/>
        </w:rPr>
      </w:pPr>
    </w:p>
    <w:p w14:paraId="0DBCF0D7" w14:textId="77777777" w:rsidR="002F5A59" w:rsidRPr="00722885" w:rsidRDefault="002F5A59" w:rsidP="00722885">
      <w:pPr>
        <w:shd w:val="clear" w:color="auto" w:fill="FFFFFF"/>
        <w:spacing w:after="0" w:line="240" w:lineRule="auto"/>
        <w:jc w:val="both"/>
        <w:rPr>
          <w:rFonts w:ascii="Times New Roman" w:eastAsia="Times New Roman" w:hAnsi="Times New Roman"/>
          <w:iCs/>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xml:space="preserve">В декабре 1942 года произошло значимое событие в истории отечественного танкостроения. В серийное производство была запущена </w:t>
      </w:r>
      <w:hyperlink r:id="rId221" w:tgtFrame="_blank" w:history="1">
        <w:r w:rsidRPr="00722885">
          <w:rPr>
            <w:rFonts w:ascii="Times New Roman" w:eastAsia="Times New Roman" w:hAnsi="Times New Roman"/>
            <w:iCs/>
            <w:color w:val="000000" w:themeColor="text1"/>
            <w:sz w:val="16"/>
            <w:szCs w:val="16"/>
            <w:lang w:eastAsia="ru-RU"/>
          </w:rPr>
          <w:t>СУ-35</w:t>
        </w:r>
      </w:hyperlink>
      <w:r w:rsidRPr="00722885">
        <w:rPr>
          <w:rFonts w:ascii="Times New Roman" w:eastAsia="Times New Roman" w:hAnsi="Times New Roman"/>
          <w:iCs/>
          <w:color w:val="000000" w:themeColor="text1"/>
          <w:sz w:val="16"/>
          <w:szCs w:val="16"/>
          <w:lang w:eastAsia="ru-RU"/>
        </w:rPr>
        <w:t xml:space="preserve">, первая советская серийная самоходная установка среднего класса. Разумеется, до того была еще </w:t>
      </w:r>
      <w:hyperlink r:id="rId222" w:tgtFrame="_blank" w:history="1">
        <w:r w:rsidRPr="00722885">
          <w:rPr>
            <w:rFonts w:ascii="Times New Roman" w:eastAsia="Times New Roman" w:hAnsi="Times New Roman"/>
            <w:iCs/>
            <w:color w:val="000000" w:themeColor="text1"/>
            <w:sz w:val="16"/>
            <w:szCs w:val="16"/>
            <w:lang w:eastAsia="ru-RU"/>
          </w:rPr>
          <w:t>СГ-122</w:t>
        </w:r>
      </w:hyperlink>
      <w:r w:rsidRPr="00722885">
        <w:rPr>
          <w:rFonts w:ascii="Times New Roman" w:eastAsia="Times New Roman" w:hAnsi="Times New Roman"/>
          <w:iCs/>
          <w:color w:val="000000" w:themeColor="text1"/>
          <w:sz w:val="16"/>
          <w:szCs w:val="16"/>
          <w:lang w:eastAsia="ru-RU"/>
        </w:rPr>
        <w:t xml:space="preserve">, но она представляла собой переделку трофейной немецкой САУ </w:t>
      </w:r>
      <w:hyperlink r:id="rId223" w:tgtFrame="_blank" w:history="1">
        <w:r w:rsidRPr="00722885">
          <w:rPr>
            <w:rFonts w:ascii="Times New Roman" w:eastAsia="Times New Roman" w:hAnsi="Times New Roman"/>
            <w:iCs/>
            <w:color w:val="000000" w:themeColor="text1"/>
            <w:sz w:val="16"/>
            <w:szCs w:val="16"/>
            <w:lang w:eastAsia="ru-RU"/>
          </w:rPr>
          <w:t>StuG III</w:t>
        </w:r>
      </w:hyperlink>
      <w:r w:rsidRPr="00722885">
        <w:rPr>
          <w:rFonts w:ascii="Times New Roman" w:eastAsia="Times New Roman" w:hAnsi="Times New Roman"/>
          <w:iCs/>
          <w:color w:val="000000" w:themeColor="text1"/>
          <w:sz w:val="16"/>
          <w:szCs w:val="16"/>
          <w:lang w:eastAsia="ru-RU"/>
        </w:rPr>
        <w:t>. А СУ-35 являлась полностью отечественной разработкой. Из-за спешки СУ-35 запустили в серию без постройки второго опытного образца, фактически САУ с чертежной доски сразу пошла в серию. В целом машина получилась достаточно удачной. Тем не менее, уже в январе 1943 года на самом верху был поднят вопрос о модернизации. Плодом начавшейся после этого работы стала неплохая самоходная установка СУ-122М. Впрочем, судьба этой штурмовой САУ оказалась не особо удачной: в серию она так и не пошла.</w:t>
      </w:r>
    </w:p>
    <w:p w14:paraId="24701477" w14:textId="77777777" w:rsidR="002F5A59" w:rsidRPr="00722885" w:rsidRDefault="002F5A5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 xml:space="preserve">Одним из недостатков СУ-35 в бронетанковом управлении Главного автобронетанкового управления Красной армии (ГАБТУ КА) считали, как ни странно, её вооружение. Дело в том, что 122-мм гаубица М-34 была громоздкой и занимала довольно много места. Кроме того, для защиты откатных частей этой гаубицы требовалась массивная и тяжелая бронировка. В качестве альтернативы предлагалось использовать танковую гаубицу У-11, спроектированную еще в ноябре-декабре 1941 года для установки в танк </w:t>
      </w:r>
      <w:hyperlink r:id="rId224" w:tgtFrame="_blank" w:history="1">
        <w:r w:rsidRPr="00722885">
          <w:rPr>
            <w:rFonts w:ascii="Times New Roman" w:eastAsia="Times New Roman" w:hAnsi="Times New Roman"/>
            <w:color w:val="000000" w:themeColor="text1"/>
            <w:sz w:val="16"/>
            <w:szCs w:val="16"/>
            <w:lang w:eastAsia="ru-RU"/>
          </w:rPr>
          <w:t>КВ-9</w:t>
        </w:r>
      </w:hyperlink>
      <w:r w:rsidRPr="00722885">
        <w:rPr>
          <w:rFonts w:ascii="Times New Roman" w:hAnsi="Times New Roman"/>
          <w:color w:val="000000" w:themeColor="text1"/>
          <w:sz w:val="16"/>
          <w:szCs w:val="16"/>
        </w:rPr>
        <w:t xml:space="preserve"> </w:t>
      </w:r>
      <w:r w:rsidRPr="00722885">
        <w:rPr>
          <w:rFonts w:ascii="Times New Roman" w:eastAsia="Times New Roman" w:hAnsi="Times New Roman"/>
          <w:iCs/>
          <w:color w:val="000000" w:themeColor="text1"/>
          <w:sz w:val="16"/>
          <w:szCs w:val="16"/>
          <w:lang w:eastAsia="ru-RU"/>
        </w:rPr>
        <w:t xml:space="preserve">(17689). </w:t>
      </w:r>
    </w:p>
    <w:p w14:paraId="7ACDE115" w14:textId="77777777" w:rsidR="002F5A59" w:rsidRPr="00722885" w:rsidRDefault="002F5A5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740EA40"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В декабре 1942 года были сформированы первые самоходно-артиллерийсние полки (1433-й и 1434-й) в составе шести батарей каждый и имели смешанный состав. Четыре батареи в полку имели на вооружении по четыре легких САУ СУ-76 и две батареи-по четыре установки СУ-122. В каждой батарее было два взвода по две установки. Для командиров батарей установок не предусматривалось. Всего на вооружении полка состояло 1 7 САУ СУ-76 (в том числе одна установка командира полка) и восемь СУ-122.</w:t>
      </w:r>
    </w:p>
    <w:p w14:paraId="20676A66"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Первые самоходно-артиллерийские полки предназначались для передачи в танковые и механизированные корпуса. Однако в связи с начавшейся операцией по прорыву блокады Ленинграда они были отправлены в конце января 1943 года на Волховский фронт (9636).</w:t>
      </w:r>
    </w:p>
    <w:p w14:paraId="3A699A08" w14:textId="77777777" w:rsidR="00BB6316" w:rsidRPr="00722885" w:rsidRDefault="00BB6316" w:rsidP="00722885">
      <w:pPr>
        <w:pStyle w:val="a8"/>
        <w:widowControl/>
        <w:jc w:val="both"/>
        <w:rPr>
          <w:rFonts w:ascii="Times New Roman" w:hAnsi="Times New Roman" w:cs="Times New Roman"/>
          <w:color w:val="000000" w:themeColor="text1"/>
        </w:rPr>
      </w:pPr>
    </w:p>
    <w:p w14:paraId="0046E99F"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С декабря 1942 по август 1933 на Уралмаше продолжалось производство СУ-122. За это время завод выпустил 638 САУ. За работу по созданию СУ-122 заместитель главного конструктора "Уралмаша" Л.И.Горлицний и ведущий инженер Н.В.Курин были награждены орденами Красной Звезды. Кроме того, оба были удостоены Сталинской премии за работы по созданию новых видов вооружения в 1942 году (9636).</w:t>
      </w:r>
    </w:p>
    <w:p w14:paraId="3B7D1B87" w14:textId="77777777" w:rsidR="00BB6316" w:rsidRPr="00722885" w:rsidRDefault="00BB6316" w:rsidP="00722885">
      <w:pPr>
        <w:pStyle w:val="a8"/>
        <w:widowControl/>
        <w:jc w:val="both"/>
        <w:rPr>
          <w:rFonts w:ascii="Times New Roman" w:hAnsi="Times New Roman" w:cs="Times New Roman"/>
          <w:color w:val="000000" w:themeColor="text1"/>
        </w:rPr>
      </w:pPr>
    </w:p>
    <w:p w14:paraId="4995EEA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опытный образец ус</w:t>
      </w:r>
      <w:r w:rsidRPr="00722885">
        <w:rPr>
          <w:rFonts w:ascii="Times New Roman" w:hAnsi="Times New Roman"/>
          <w:color w:val="000000" w:themeColor="text1"/>
          <w:sz w:val="16"/>
          <w:szCs w:val="16"/>
        </w:rPr>
        <w:softHyphen/>
        <w:t>тановки СУ-11 прошел государственные испытания на Гороховецком АНИОПе. На во</w:t>
      </w:r>
      <w:r w:rsidRPr="00722885">
        <w:rPr>
          <w:rFonts w:ascii="Times New Roman" w:hAnsi="Times New Roman"/>
          <w:color w:val="000000" w:themeColor="text1"/>
          <w:sz w:val="16"/>
          <w:szCs w:val="16"/>
        </w:rPr>
        <w:softHyphen/>
        <w:t>оружение и в серийное производство установка не принималась (10703).</w:t>
      </w:r>
    </w:p>
    <w:p w14:paraId="17F2228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F23CA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декабря 1942 г. продолжалась доработка проектов И13.73-СУ, который предполагалось вооружать 45-мм пушкой большой мощности и разработали НИИ-13, И13.75, который должен был иметь спаренную установку аналогичных первому варианту 45-мм пушек и И13.76-СУ, после чего проекты были представлены ГКО. После рассмотрения проектов распоряжением ГКО от 16 января 1943 г. НКТП и НКВ предписывалось изготовить и представить к 1 февраля 1943 г. опытные образцы двух самоходных установок НИИ-4 которым были присвоены наимено</w:t>
      </w:r>
      <w:r w:rsidRPr="00722885">
        <w:rPr>
          <w:rFonts w:ascii="Times New Roman" w:hAnsi="Times New Roman"/>
          <w:color w:val="000000" w:themeColor="text1"/>
          <w:sz w:val="16"/>
          <w:szCs w:val="16"/>
        </w:rPr>
        <w:softHyphen/>
        <w:t>вания СУ-ИТ-45 и СУ-ИТ-76. Одна</w:t>
      </w:r>
      <w:r w:rsidRPr="00722885">
        <w:rPr>
          <w:rFonts w:ascii="Times New Roman" w:hAnsi="Times New Roman"/>
          <w:color w:val="000000" w:themeColor="text1"/>
          <w:sz w:val="16"/>
          <w:szCs w:val="16"/>
        </w:rPr>
        <w:softHyphen/>
        <w:t>ко в начале 1943 г., в связи с отсутст</w:t>
      </w:r>
      <w:r w:rsidRPr="00722885">
        <w:rPr>
          <w:rFonts w:ascii="Times New Roman" w:hAnsi="Times New Roman"/>
          <w:color w:val="000000" w:themeColor="text1"/>
          <w:sz w:val="16"/>
          <w:szCs w:val="16"/>
        </w:rPr>
        <w:softHyphen/>
        <w:t>вием форсированных двигателей ГАЗ-80 и невозможностью установки в моторно-трансмиссионное отделе</w:t>
      </w:r>
      <w:r w:rsidRPr="00722885">
        <w:rPr>
          <w:rFonts w:ascii="Times New Roman" w:hAnsi="Times New Roman"/>
          <w:color w:val="000000" w:themeColor="text1"/>
          <w:sz w:val="16"/>
          <w:szCs w:val="16"/>
        </w:rPr>
        <w:softHyphen/>
        <w:t>ние машин силовой установки танка Т-70 (по размерам), потребовалась переработка компоновки их мотор</w:t>
      </w:r>
      <w:r w:rsidRPr="00722885">
        <w:rPr>
          <w:rFonts w:ascii="Times New Roman" w:hAnsi="Times New Roman"/>
          <w:color w:val="000000" w:themeColor="text1"/>
          <w:sz w:val="16"/>
          <w:szCs w:val="16"/>
        </w:rPr>
        <w:softHyphen/>
        <w:t>ных отделений и коробки передач. Кроме того, ожидалось, что вскоре завод "Двигатель Революции" или Ярославский автозавод вот-вот освоят выпуск дизелей В-4 или "744", которые были так необходимы для установки в легкие танки, самоход</w:t>
      </w:r>
      <w:r w:rsidRPr="00722885">
        <w:rPr>
          <w:rFonts w:ascii="Times New Roman" w:hAnsi="Times New Roman"/>
          <w:color w:val="000000" w:themeColor="text1"/>
          <w:sz w:val="16"/>
          <w:szCs w:val="16"/>
        </w:rPr>
        <w:softHyphen/>
        <w:t>ные установки и артиллерийские тягачи. Использование этих дизелей мощностью 150 - 250 л.с. (ПО - 184 кВт) позволило бы увеличить бро</w:t>
      </w:r>
      <w:r w:rsidRPr="00722885">
        <w:rPr>
          <w:rFonts w:ascii="Times New Roman" w:hAnsi="Times New Roman"/>
          <w:color w:val="000000" w:themeColor="text1"/>
          <w:sz w:val="16"/>
          <w:szCs w:val="16"/>
        </w:rPr>
        <w:softHyphen/>
        <w:t>невую защиту самоходных установок и довести толщину броневых ли</w:t>
      </w:r>
      <w:r w:rsidRPr="00722885">
        <w:rPr>
          <w:rFonts w:ascii="Times New Roman" w:hAnsi="Times New Roman"/>
          <w:color w:val="000000" w:themeColor="text1"/>
          <w:sz w:val="16"/>
          <w:szCs w:val="16"/>
        </w:rPr>
        <w:softHyphen/>
        <w:t>стов до 25 - 45 мм. Однако производство указанных дизелей не было ос</w:t>
      </w:r>
      <w:r w:rsidRPr="00722885">
        <w:rPr>
          <w:rFonts w:ascii="Times New Roman" w:hAnsi="Times New Roman"/>
          <w:color w:val="000000" w:themeColor="text1"/>
          <w:sz w:val="16"/>
          <w:szCs w:val="16"/>
        </w:rPr>
        <w:softHyphen/>
        <w:t>воено промышленностью, поэтому проекты установок, перерабатывав</w:t>
      </w:r>
      <w:r w:rsidRPr="00722885">
        <w:rPr>
          <w:rFonts w:ascii="Times New Roman" w:hAnsi="Times New Roman"/>
          <w:color w:val="000000" w:themeColor="text1"/>
          <w:sz w:val="16"/>
          <w:szCs w:val="16"/>
        </w:rPr>
        <w:softHyphen/>
        <w:t>шиеся под различные силовые установки, так и не были выполнены в срок (10703).</w:t>
      </w:r>
    </w:p>
    <w:p w14:paraId="5B25C7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358944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w:t>
      </w:r>
      <w:r w:rsidRPr="00722885">
        <w:rPr>
          <w:rFonts w:ascii="Times New Roman" w:hAnsi="Times New Roman"/>
          <w:color w:val="000000" w:themeColor="text1"/>
          <w:sz w:val="16"/>
          <w:szCs w:val="16"/>
        </w:rPr>
        <w:softHyphen/>
        <w:t>кабре 1942 года опыт</w:t>
      </w:r>
      <w:r w:rsidRPr="00722885">
        <w:rPr>
          <w:rFonts w:ascii="Times New Roman" w:hAnsi="Times New Roman"/>
          <w:color w:val="000000" w:themeColor="text1"/>
          <w:sz w:val="16"/>
          <w:szCs w:val="16"/>
        </w:rPr>
        <w:softHyphen/>
        <w:t>ный образец установки СУ-12 прошел государственные испытания на Гороховец-ком АНИОПе. Машина была принята на вооружение постановлением ГКО от 2 декабря 1942 г. и находилась в серийном производстве на за</w:t>
      </w:r>
      <w:r w:rsidRPr="00722885">
        <w:rPr>
          <w:rFonts w:ascii="Times New Roman" w:hAnsi="Times New Roman"/>
          <w:color w:val="000000" w:themeColor="text1"/>
          <w:sz w:val="16"/>
          <w:szCs w:val="16"/>
        </w:rPr>
        <w:softHyphen/>
        <w:t>воде № 38 до июля 1943 г. Снята с производства из-за крупных дефек</w:t>
      </w:r>
      <w:r w:rsidRPr="00722885">
        <w:rPr>
          <w:rFonts w:ascii="Times New Roman" w:hAnsi="Times New Roman"/>
          <w:color w:val="000000" w:themeColor="text1"/>
          <w:sz w:val="16"/>
          <w:szCs w:val="16"/>
        </w:rPr>
        <w:softHyphen/>
        <w:t>тов в конструкции силовой установки и трансмиссии. Всего было выпу</w:t>
      </w:r>
      <w:r w:rsidRPr="00722885">
        <w:rPr>
          <w:rFonts w:ascii="Times New Roman" w:hAnsi="Times New Roman"/>
          <w:color w:val="000000" w:themeColor="text1"/>
          <w:sz w:val="16"/>
          <w:szCs w:val="16"/>
        </w:rPr>
        <w:softHyphen/>
        <w:t>щено 560 самоходных установок, которые принимали участие в боевых действиях и в дальнейшем были подвергнуты модернизации (10703).</w:t>
      </w:r>
    </w:p>
    <w:p w14:paraId="083D0E9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9662D9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 январе 1943 г. конструкторским бюро Челябинского Кировского завода под руководством Ж.Я. Котина на основе проекта КБ УЗТМ, выполненного Г.Н. Рыбиным, К.Н. Ксюниным и др. была разработана самоходная установка СУ-152 (КВ-14). В марте 1942 г. Ведущим конструктором машины был Л.С. Троянов. Опытный образец был изготовлен 24 января 1943 г. и имел заводское обозначение КВ-14 ("Объект 236"). В начале февраля 1943 г. установка успешно про</w:t>
      </w:r>
      <w:r w:rsidRPr="00722885">
        <w:rPr>
          <w:rFonts w:ascii="Times New Roman" w:hAnsi="Times New Roman"/>
          <w:color w:val="000000" w:themeColor="text1"/>
          <w:sz w:val="16"/>
          <w:szCs w:val="16"/>
        </w:rPr>
        <w:softHyphen/>
        <w:t>шла испытания на Чебаркульском полигоне и постановлением ГКО от 14 февраля 1943 г. была принята на вооружение РККА. Серийное про</w:t>
      </w:r>
      <w:r w:rsidRPr="00722885">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722885">
        <w:rPr>
          <w:rFonts w:ascii="Times New Roman" w:hAnsi="Times New Roman"/>
          <w:color w:val="000000" w:themeColor="text1"/>
          <w:sz w:val="16"/>
          <w:szCs w:val="16"/>
        </w:rPr>
        <w:softHyphen/>
        <w:t>ка СУ-152 получила широкую известность во время Курской битвы ле</w:t>
      </w:r>
      <w:r w:rsidRPr="00722885">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4FEFFF8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52AB9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доработанные проекты САУ представи</w:t>
      </w:r>
      <w:r w:rsidRPr="00722885">
        <w:rPr>
          <w:rFonts w:ascii="Times New Roman" w:hAnsi="Times New Roman"/>
          <w:color w:val="000000" w:themeColor="text1"/>
          <w:sz w:val="16"/>
          <w:szCs w:val="16"/>
        </w:rPr>
        <w:softHyphen/>
        <w:t>ли на суд высших руководителей, причем машина, оснащен</w:t>
      </w:r>
      <w:r w:rsidRPr="00722885">
        <w:rPr>
          <w:rFonts w:ascii="Times New Roman" w:hAnsi="Times New Roman"/>
          <w:color w:val="000000" w:themeColor="text1"/>
          <w:sz w:val="16"/>
          <w:szCs w:val="16"/>
        </w:rPr>
        <w:softHyphen/>
        <w:t>ная 76-мм пушкой, очень понравилась лично И.В.Сталину, назвавшему ее «чрезвычайно интересной». И распоряжени</w:t>
      </w:r>
      <w:r w:rsidRPr="00722885">
        <w:rPr>
          <w:rFonts w:ascii="Times New Roman" w:hAnsi="Times New Roman"/>
          <w:color w:val="000000" w:themeColor="text1"/>
          <w:sz w:val="16"/>
          <w:szCs w:val="16"/>
        </w:rPr>
        <w:softHyphen/>
        <w:t>ем ГОКО от 16 января НКТП и НКВ предписывалось изго</w:t>
      </w:r>
      <w:r w:rsidRPr="00722885">
        <w:rPr>
          <w:rFonts w:ascii="Times New Roman" w:hAnsi="Times New Roman"/>
          <w:color w:val="000000" w:themeColor="text1"/>
          <w:sz w:val="16"/>
          <w:szCs w:val="16"/>
        </w:rPr>
        <w:softHyphen/>
        <w:t>товить и предоставить к 15 февраля опытные образцы двух боевых машин НИИ-13, которым присвоили условный ин</w:t>
      </w:r>
      <w:r w:rsidRPr="00722885">
        <w:rPr>
          <w:rFonts w:ascii="Times New Roman" w:hAnsi="Times New Roman"/>
          <w:color w:val="000000" w:themeColor="text1"/>
          <w:sz w:val="16"/>
          <w:szCs w:val="16"/>
        </w:rPr>
        <w:softHyphen/>
        <w:t>декс СУ-ИТ-45 и СУ-ИТ-76 («Самоходная установка — ис</w:t>
      </w:r>
      <w:r w:rsidRPr="00722885">
        <w:rPr>
          <w:rFonts w:ascii="Times New Roman" w:hAnsi="Times New Roman"/>
          <w:color w:val="000000" w:themeColor="text1"/>
          <w:sz w:val="16"/>
          <w:szCs w:val="16"/>
        </w:rPr>
        <w:softHyphen/>
        <w:t>требитель танков соответственно с 45-мм и 76-мм пушкой»). Но в начале 1943 г. выяснилось, что с производством форсированных двигателей типа ЗИС-80, равно как и ЗИС-5, имеются трудности, а двухдвигательный агрегат ГАЗ-203, стоявший в танке Т-70, никак не встает в отведен</w:t>
      </w:r>
      <w:r w:rsidRPr="00722885">
        <w:rPr>
          <w:rFonts w:ascii="Times New Roman" w:hAnsi="Times New Roman"/>
          <w:color w:val="000000" w:themeColor="text1"/>
          <w:sz w:val="16"/>
          <w:szCs w:val="16"/>
        </w:rPr>
        <w:softHyphen/>
        <w:t>ное ему место. Требовалось перепроектировать моторное отделение и КПП. Кроме того, мощность 45-мм и 76-мм пушек недостаточна для нужд противотанковой обороны в условиях применения немцами новых тяжелых танков «Тигр». Поэтому изготовление опытной САУ отменили (11417).</w:t>
      </w:r>
    </w:p>
    <w:p w14:paraId="132227A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058B4B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года ж/д вариант БА-64 - БА-64В ("В" означает "Выксунский") прошел испытания. Полная масса автомобиля возросла до 2586 кг. Испытания выявили еще один недостаток - малая скорость движения назад составляла всего 13 км/ч (для сравнения, у БА-20ЖД этот показатель равнялся 27 км/ч). Это было тем более неприятно, что специфика движения по рельсам предполагает одинаковую скорость движения в обоих направлениях. То, что БА-64 изначально проектировался как автомобиль, а не как локомотив, выявило еще два существенных недостатка: КПП не была рассчитана на длительную реверсивную работу и часто выходила из строя, а также практически отсутствовало охлаждение двигателя при движении назад, что вело к его быстрому перегреву (3862).</w:t>
      </w:r>
    </w:p>
    <w:p w14:paraId="0618E7E2" w14:textId="77777777" w:rsidR="00BB6316" w:rsidRPr="00722885" w:rsidRDefault="00BB6316" w:rsidP="00722885">
      <w:pPr>
        <w:pStyle w:val="Iauiue"/>
        <w:jc w:val="both"/>
        <w:rPr>
          <w:color w:val="000000" w:themeColor="text1"/>
          <w:sz w:val="16"/>
          <w:szCs w:val="16"/>
        </w:rPr>
      </w:pPr>
    </w:p>
    <w:p w14:paraId="04848D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декабре 1942 года свои предложения А.Ф. Иоффе представил А.И. Алиханов. Он предлагал: </w:t>
      </w:r>
    </w:p>
    <w:p w14:paraId="6C246E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соблюдения секретности, наряду с закрытыми работами, проводить близкие по тематике и по методике открытые работы, рассматриваемые как продолжение работ, проводившихся в довоенное время;</w:t>
      </w:r>
    </w:p>
    <w:p w14:paraId="4CC2A1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получения нейтронных источников различной активности, изготовляемых в Радиевом институте (на основе смеси радий-бериллий) необходимо выделить 1-1,5 г радия (использование такого количества радия в радий-бериллиевом нейтронном источнике позволяло получить источник с интенсивностью выхода нейтронов около 10</w:t>
      </w:r>
      <w:r w:rsidRPr="00722885">
        <w:rPr>
          <w:rFonts w:ascii="Times New Roman" w:hAnsi="Times New Roman"/>
          <w:color w:val="000000" w:themeColor="text1"/>
          <w:sz w:val="16"/>
          <w:szCs w:val="16"/>
          <w:vertAlign w:val="superscript"/>
        </w:rPr>
        <w:t>6</w:t>
      </w:r>
      <w:r w:rsidRPr="00722885">
        <w:rPr>
          <w:rFonts w:ascii="Times New Roman" w:hAnsi="Times New Roman"/>
          <w:color w:val="000000" w:themeColor="text1"/>
          <w:sz w:val="16"/>
          <w:szCs w:val="16"/>
        </w:rPr>
        <w:t xml:space="preserve"> н/сек);</w:t>
      </w:r>
    </w:p>
    <w:p w14:paraId="61A837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аппаратурного обеспечения Специальной лаборатории необходимо доставить научное оборудование, имеющееся в Ереване и в Ленинграде;</w:t>
      </w:r>
    </w:p>
    <w:p w14:paraId="0D5984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необходимо произвести большую закупку урана;</w:t>
      </w:r>
    </w:p>
    <w:p w14:paraId="3E3FE3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работы в составе Специальной лаборатории должны быть привлечены сотрудники лабораторий А.И. Алиханова и И.В. Курчатова. В том случае, если для решения поставленных задач потребуется перевозка и эксплуатация циклотрона, то для проведения работ необходимо привлечь целый ряд сотрудников Радиевого института и Ленинградского физико-технического института (10549).</w:t>
      </w:r>
    </w:p>
    <w:p w14:paraId="3400E4E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159840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был разработан проект инструкции по эксплу</w:t>
      </w:r>
      <w:r w:rsidRPr="00722885">
        <w:rPr>
          <w:rFonts w:ascii="Times New Roman" w:hAnsi="Times New Roman"/>
          <w:color w:val="000000" w:themeColor="text1"/>
          <w:sz w:val="16"/>
          <w:szCs w:val="16"/>
        </w:rPr>
        <w:softHyphen/>
        <w:t>атации КАРСТ-1, однако, дальнейшие работы по монтажу на танк реактивных установок в качестве дополнительного оружия развития не получили. КАРСТ-1 была установлена на серийный танк КВ-1 обр. 1941 г. про</w:t>
      </w:r>
      <w:r w:rsidRPr="00722885">
        <w:rPr>
          <w:rFonts w:ascii="Times New Roman" w:hAnsi="Times New Roman"/>
          <w:color w:val="000000" w:themeColor="text1"/>
          <w:sz w:val="16"/>
          <w:szCs w:val="16"/>
        </w:rPr>
        <w:softHyphen/>
        <w:t>изводства ЧКЗ и представляла собой четыре орудия, которые монтиро</w:t>
      </w:r>
      <w:r w:rsidRPr="00722885">
        <w:rPr>
          <w:rFonts w:ascii="Times New Roman" w:hAnsi="Times New Roman"/>
          <w:color w:val="000000" w:themeColor="text1"/>
          <w:sz w:val="16"/>
          <w:szCs w:val="16"/>
        </w:rPr>
        <w:softHyphen/>
        <w:t>вались на надгусеничных полках - по два орудия со стороны каждого борта танка. Основное оружие танка и его боекомплект по сравнению с базовой машиной остались без изменений. Экипаж танка состоял из пя</w:t>
      </w:r>
      <w:r w:rsidRPr="00722885">
        <w:rPr>
          <w:rFonts w:ascii="Times New Roman" w:hAnsi="Times New Roman"/>
          <w:color w:val="000000" w:themeColor="text1"/>
          <w:sz w:val="16"/>
          <w:szCs w:val="16"/>
        </w:rPr>
        <w:softHyphen/>
        <w:t>ти человек. Корпус каждого орудия, сваренный из 10- и 30-мм броневых листов, имел прямоугольную форму в поперечном сечении и трапецевидную -в продольном. В корпусе орудия были установлены направляющие для двух 132-мм реактивных осколочно-фугасных снарядов М-13, исполь</w:t>
      </w:r>
      <w:r w:rsidRPr="00722885">
        <w:rPr>
          <w:rFonts w:ascii="Times New Roman" w:hAnsi="Times New Roman"/>
          <w:color w:val="000000" w:themeColor="text1"/>
          <w:sz w:val="16"/>
          <w:szCs w:val="16"/>
        </w:rPr>
        <w:softHyphen/>
        <w:t>зуемых из боевого комплекта боевой машины БМ-13 ("Катюша"). Пе</w:t>
      </w:r>
      <w:r w:rsidRPr="00722885">
        <w:rPr>
          <w:rFonts w:ascii="Times New Roman" w:hAnsi="Times New Roman"/>
          <w:color w:val="000000" w:themeColor="text1"/>
          <w:sz w:val="16"/>
          <w:szCs w:val="16"/>
        </w:rPr>
        <w:softHyphen/>
        <w:t xml:space="preserve">редние орудия имели угол возвышения +3°, а кормовые - +4°. Выстрел производился с помощью электрозапала. Из кормовых орудий стрельбу можно было вести только при положении башни с пушкой, </w:t>
      </w:r>
      <w:r w:rsidRPr="00722885">
        <w:rPr>
          <w:rFonts w:ascii="Times New Roman" w:hAnsi="Times New Roman"/>
          <w:color w:val="000000" w:themeColor="text1"/>
          <w:sz w:val="16"/>
          <w:szCs w:val="16"/>
        </w:rPr>
        <w:lastRenderedPageBreak/>
        <w:t>располагав</w:t>
      </w:r>
      <w:r w:rsidRPr="00722885">
        <w:rPr>
          <w:rFonts w:ascii="Times New Roman" w:hAnsi="Times New Roman"/>
          <w:color w:val="000000" w:themeColor="text1"/>
          <w:sz w:val="16"/>
          <w:szCs w:val="16"/>
        </w:rPr>
        <w:softHyphen/>
        <w:t>шейся вдоль продольной оси танка. Управление огнем осуществлялось механиком-водителем с помощью специального щитка, установленного справа от него. Наводка на цель производилась за счет поворотов корпуса танка через смотровой прибор механика-водителя с использованием маятникового угломера, распола</w:t>
      </w:r>
      <w:r w:rsidRPr="00722885">
        <w:rPr>
          <w:rFonts w:ascii="Times New Roman" w:hAnsi="Times New Roman"/>
          <w:color w:val="000000" w:themeColor="text1"/>
          <w:sz w:val="16"/>
          <w:szCs w:val="16"/>
        </w:rPr>
        <w:softHyphen/>
        <w:t>гавшегося над пультом управления огнем. Смотровой прибор механика-водителя имел специальную прицельную сетку и мушку. С помощью ма</w:t>
      </w:r>
      <w:r w:rsidRPr="00722885">
        <w:rPr>
          <w:rFonts w:ascii="Times New Roman" w:hAnsi="Times New Roman"/>
          <w:color w:val="000000" w:themeColor="text1"/>
          <w:sz w:val="16"/>
          <w:szCs w:val="16"/>
        </w:rPr>
        <w:softHyphen/>
        <w:t>ятникового угломера определялся угол возвышения корпуса танка (в гра</w:t>
      </w:r>
      <w:r w:rsidRPr="00722885">
        <w:rPr>
          <w:rFonts w:ascii="Times New Roman" w:hAnsi="Times New Roman"/>
          <w:color w:val="000000" w:themeColor="text1"/>
          <w:sz w:val="16"/>
          <w:szCs w:val="16"/>
        </w:rPr>
        <w:softHyphen/>
        <w:t>дусах), следовательно, и угол возвышения ракетных орудий. Стрельба велась по команде командира танка с коротких остановок или сходу, как одиночными выстрелами, так и залпами от двух до вось</w:t>
      </w:r>
      <w:r w:rsidRPr="00722885">
        <w:rPr>
          <w:rFonts w:ascii="Times New Roman" w:hAnsi="Times New Roman"/>
          <w:color w:val="000000" w:themeColor="text1"/>
          <w:sz w:val="16"/>
          <w:szCs w:val="16"/>
        </w:rPr>
        <w:softHyphen/>
        <w:t>ми выстрелов. При горизонтальном расположении корпуса танка даль</w:t>
      </w:r>
      <w:r w:rsidRPr="00722885">
        <w:rPr>
          <w:rFonts w:ascii="Times New Roman" w:hAnsi="Times New Roman"/>
          <w:color w:val="000000" w:themeColor="text1"/>
          <w:sz w:val="16"/>
          <w:szCs w:val="16"/>
        </w:rPr>
        <w:softHyphen/>
        <w:t>ность стрельбы из передних орудий составляла 600 м, а кормовых - 800 м. Танковая группа, состоявшая из трех танков, могла сделать два залпа по 12 снарядов, поражая каждым залпом площадь в 50 га. Заряжание производилось тремя членами экипажа; один из которых готовил орудие, а два других укладывали снаряд. Время полной заряд</w:t>
      </w:r>
      <w:r w:rsidRPr="00722885">
        <w:rPr>
          <w:rFonts w:ascii="Times New Roman" w:hAnsi="Times New Roman"/>
          <w:color w:val="000000" w:themeColor="text1"/>
          <w:sz w:val="16"/>
          <w:szCs w:val="16"/>
        </w:rPr>
        <w:softHyphen/>
        <w:t>ки КАРСТ-1 не превышало 8 мин. Установка КАРСТ-1 на танк КВ-1 привела к увеличению его боевой массы на 1,5 т..Остальные БТХ танка остались на уровне серийного об</w:t>
      </w:r>
      <w:r w:rsidRPr="00722885">
        <w:rPr>
          <w:rFonts w:ascii="Times New Roman" w:hAnsi="Times New Roman"/>
          <w:color w:val="000000" w:themeColor="text1"/>
          <w:sz w:val="16"/>
          <w:szCs w:val="16"/>
        </w:rPr>
        <w:softHyphen/>
        <w:t>разца. Во время испытаний танка, проведенных в августе 1942 г., были вы</w:t>
      </w:r>
      <w:r w:rsidRPr="00722885">
        <w:rPr>
          <w:rFonts w:ascii="Times New Roman" w:hAnsi="Times New Roman"/>
          <w:color w:val="000000" w:themeColor="text1"/>
          <w:sz w:val="16"/>
          <w:szCs w:val="16"/>
        </w:rPr>
        <w:softHyphen/>
        <w:t>полнены стрельбы реактивными снарядами с направляющих различной длины (1200, 1250, 2000 и 2400 мм), которые показали удовлетвори</w:t>
      </w:r>
      <w:r w:rsidRPr="00722885">
        <w:rPr>
          <w:rFonts w:ascii="Times New Roman" w:hAnsi="Times New Roman"/>
          <w:color w:val="000000" w:themeColor="text1"/>
          <w:sz w:val="16"/>
          <w:szCs w:val="16"/>
        </w:rPr>
        <w:softHyphen/>
        <w:t>тельные результаты. Кучность и дальность стрельбы почти не отлича</w:t>
      </w:r>
      <w:r w:rsidRPr="00722885">
        <w:rPr>
          <w:rFonts w:ascii="Times New Roman" w:hAnsi="Times New Roman"/>
          <w:color w:val="000000" w:themeColor="text1"/>
          <w:sz w:val="16"/>
          <w:szCs w:val="16"/>
        </w:rPr>
        <w:softHyphen/>
        <w:t>лась от табличных данных при стрельбе с направляющих длиной 5000 мм (для БМ-13). Вместе с тем были отмечены и недостатки КАРСТ-1, основными из которых являлись отсутствие независимой (от положения корпуса танка) горизонтальной и вертикальной наводки, что значительно снижало маневренность огня, а также увеличение, по сравнению со штатной установкой боевой машины БМ-13, бокового рассеивания реактивных снарядов в 1,5 раза (10703).</w:t>
      </w:r>
    </w:p>
    <w:p w14:paraId="0229BBEF" w14:textId="77777777" w:rsidR="00BB6316" w:rsidRPr="00722885" w:rsidRDefault="00BB6316" w:rsidP="00722885">
      <w:pPr>
        <w:pStyle w:val="Iauiue"/>
        <w:jc w:val="both"/>
        <w:rPr>
          <w:color w:val="000000" w:themeColor="text1"/>
          <w:sz w:val="16"/>
          <w:szCs w:val="16"/>
        </w:rPr>
      </w:pPr>
    </w:p>
    <w:p w14:paraId="161B81B0" w14:textId="77777777" w:rsidR="002F5A59" w:rsidRPr="00722885" w:rsidRDefault="002F5A5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декабре 1942 года по распоряжению члена Государственного комитета обороны СССР А.И. Микояна была сформирована комиссия под руководством заместителя Главного интенданта Красной Армии генерал-майора Я.С. Колесова. Её задачей было сравнительное испытание стальных шлемов отечественного и немецкого производства. В комиссию вошли представители главного интендантского управления (ГИУ КА), представители наркомата чёрной металлургии (НКЧМ) и завода №700 НКЧМ, а также броневой лаборатории НИИ №13 наркомата вооружений (НКВ).</w:t>
      </w:r>
    </w:p>
    <w:p w14:paraId="384B09D1" w14:textId="77777777" w:rsidR="002F5A59" w:rsidRPr="00722885" w:rsidRDefault="002F5A5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Испытания проходили в два этапа: первый состоялся 10–16 января 1943 года в тире завода №700 в Лысьве, второй прошёл 7–12 февраля на Научно-исследовательском полигоне стрелковых вооружений Главного артиллерийского управления (НИПСВО ГАУ КА) в подмосковном Щурово. Испытанию подвергались СШ-40, сделанные из сталей марок И-1 и И-2, а также трофейные немецкие шлемы (17495).</w:t>
      </w:r>
    </w:p>
    <w:p w14:paraId="31C46F58" w14:textId="77777777" w:rsidR="002F5A59" w:rsidRPr="00722885" w:rsidRDefault="002F5A59" w:rsidP="00722885">
      <w:pPr>
        <w:spacing w:after="0" w:line="240" w:lineRule="auto"/>
        <w:jc w:val="both"/>
        <w:rPr>
          <w:rFonts w:ascii="Times New Roman" w:eastAsia="Times New Roman" w:hAnsi="Times New Roman"/>
          <w:color w:val="000000" w:themeColor="text1"/>
          <w:sz w:val="16"/>
          <w:szCs w:val="16"/>
          <w:lang w:eastAsia="ru-RU"/>
        </w:rPr>
      </w:pPr>
    </w:p>
    <w:p w14:paraId="57F04355" w14:textId="77777777" w:rsidR="00002908" w:rsidRPr="00722885" w:rsidRDefault="00002908"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Style w:val="BodytextBold6"/>
          <w:rFonts w:ascii="Times New Roman" w:eastAsiaTheme="minorHAnsi" w:hAnsi="Times New Roman" w:cs="Times New Roman"/>
          <w:b w:val="0"/>
          <w:color w:val="000000" w:themeColor="text1"/>
          <w:sz w:val="16"/>
          <w:szCs w:val="16"/>
        </w:rPr>
        <w:t>В декабре</w:t>
      </w:r>
      <w:r w:rsidRPr="00722885">
        <w:rPr>
          <w:rFonts w:ascii="Times New Roman" w:hAnsi="Times New Roman" w:cs="Times New Roman"/>
          <w:color w:val="000000" w:themeColor="text1"/>
          <w:sz w:val="16"/>
          <w:szCs w:val="16"/>
        </w:rPr>
        <w:t xml:space="preserve"> 1942 г. секретарь Ленинград</w:t>
      </w:r>
      <w:r w:rsidRPr="00722885">
        <w:rPr>
          <w:rFonts w:ascii="Times New Roman" w:hAnsi="Times New Roman" w:cs="Times New Roman"/>
          <w:color w:val="000000" w:themeColor="text1"/>
          <w:sz w:val="16"/>
          <w:szCs w:val="16"/>
        </w:rPr>
        <w:softHyphen/>
      </w:r>
      <w:r w:rsidRPr="00722885">
        <w:rPr>
          <w:rStyle w:val="BodytextBold6"/>
          <w:rFonts w:ascii="Times New Roman" w:eastAsiaTheme="minorHAnsi" w:hAnsi="Times New Roman" w:cs="Times New Roman"/>
          <w:b w:val="0"/>
          <w:color w:val="000000" w:themeColor="text1"/>
          <w:sz w:val="16"/>
          <w:szCs w:val="16"/>
        </w:rPr>
        <w:t>ского горкома ВКП(б)</w:t>
      </w:r>
      <w:r w:rsidRPr="00722885">
        <w:rPr>
          <w:rFonts w:ascii="Times New Roman" w:hAnsi="Times New Roman" w:cs="Times New Roman"/>
          <w:color w:val="000000" w:themeColor="text1"/>
          <w:sz w:val="16"/>
          <w:szCs w:val="16"/>
        </w:rPr>
        <w:t xml:space="preserve"> М.В. Басов вызвал к себе главного конструктора завода №7 Н.П. Анто</w:t>
      </w:r>
      <w:r w:rsidRPr="00722885">
        <w:rPr>
          <w:rFonts w:ascii="Times New Roman" w:hAnsi="Times New Roman" w:cs="Times New Roman"/>
          <w:color w:val="000000" w:themeColor="text1"/>
          <w:sz w:val="16"/>
          <w:szCs w:val="16"/>
        </w:rPr>
        <w:softHyphen/>
        <w:t>нова</w:t>
      </w:r>
      <w:r w:rsidRPr="00722885">
        <w:rPr>
          <w:rStyle w:val="BodytextBold6"/>
          <w:rFonts w:ascii="Times New Roman" w:eastAsiaTheme="minorHAnsi" w:hAnsi="Times New Roman" w:cs="Times New Roman"/>
          <w:b w:val="0"/>
          <w:color w:val="000000" w:themeColor="text1"/>
          <w:sz w:val="16"/>
          <w:szCs w:val="16"/>
        </w:rPr>
        <w:t xml:space="preserve"> и</w:t>
      </w:r>
      <w:r w:rsidRPr="00722885">
        <w:rPr>
          <w:rFonts w:ascii="Times New Roman" w:hAnsi="Times New Roman" w:cs="Times New Roman"/>
          <w:color w:val="000000" w:themeColor="text1"/>
          <w:sz w:val="16"/>
          <w:szCs w:val="16"/>
        </w:rPr>
        <w:t xml:space="preserve"> поручил ему задание на разработку индивидуальной панцирной защиты.</w:t>
      </w:r>
    </w:p>
    <w:p w14:paraId="3753EED8" w14:textId="77777777" w:rsidR="00002908" w:rsidRPr="00722885" w:rsidRDefault="00002908"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Style w:val="BodytextBold6"/>
          <w:rFonts w:ascii="Times New Roman" w:eastAsiaTheme="minorHAnsi" w:hAnsi="Times New Roman" w:cs="Times New Roman"/>
          <w:b w:val="0"/>
          <w:color w:val="000000" w:themeColor="text1"/>
          <w:sz w:val="16"/>
          <w:szCs w:val="16"/>
        </w:rPr>
        <w:t>В</w:t>
      </w:r>
      <w:r w:rsidRPr="00722885">
        <w:rPr>
          <w:rFonts w:ascii="Times New Roman" w:hAnsi="Times New Roman" w:cs="Times New Roman"/>
          <w:color w:val="000000" w:themeColor="text1"/>
          <w:sz w:val="16"/>
          <w:szCs w:val="16"/>
        </w:rPr>
        <w:t xml:space="preserve"> течение двух месяцев (декабрь, январь) под руководством Н.П.Антонова конструкторы завода Семенов и Торгунов спроектировали и изготовили опытный образец панцирной за</w:t>
      </w:r>
      <w:r w:rsidRPr="00722885">
        <w:rPr>
          <w:rFonts w:ascii="Times New Roman" w:hAnsi="Times New Roman" w:cs="Times New Roman"/>
          <w:color w:val="000000" w:themeColor="text1"/>
          <w:sz w:val="16"/>
          <w:szCs w:val="16"/>
        </w:rPr>
        <w:softHyphen/>
        <w:t>щиты. Одна из проблем заключалась в выборе марки материала из имеющегося на заводе сортамента. Требовалось подобрать материал, подходящий по толщине и прочностным ха</w:t>
      </w:r>
      <w:r w:rsidRPr="00722885">
        <w:rPr>
          <w:rFonts w:ascii="Times New Roman" w:hAnsi="Times New Roman" w:cs="Times New Roman"/>
          <w:color w:val="000000" w:themeColor="text1"/>
          <w:sz w:val="16"/>
          <w:szCs w:val="16"/>
        </w:rPr>
        <w:softHyphen/>
        <w:t>рактеристикам, определить технологический и термический режимы обработки, а также про</w:t>
      </w:r>
      <w:r w:rsidRPr="00722885">
        <w:rPr>
          <w:rFonts w:ascii="Times New Roman" w:hAnsi="Times New Roman" w:cs="Times New Roman"/>
          <w:color w:val="000000" w:themeColor="text1"/>
          <w:sz w:val="16"/>
          <w:szCs w:val="16"/>
        </w:rPr>
        <w:softHyphen/>
        <w:t>извести испытания отстрелом.</w:t>
      </w:r>
    </w:p>
    <w:p w14:paraId="29FE9B94" w14:textId="77777777" w:rsidR="00002908" w:rsidRPr="00722885" w:rsidRDefault="00002908"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По указанию Бюро оборонных изобрете</w:t>
      </w:r>
      <w:r w:rsidRPr="00722885">
        <w:rPr>
          <w:rFonts w:ascii="Times New Roman" w:hAnsi="Times New Roman" w:cs="Times New Roman"/>
          <w:color w:val="000000" w:themeColor="text1"/>
          <w:sz w:val="16"/>
          <w:szCs w:val="16"/>
        </w:rPr>
        <w:softHyphen/>
        <w:t>ний при горкоме ВКП(б), к решению данной проблемы привлекли Всесоюзный научно- исследовательский институт метрологии (ВНИИМ). Из имеющегося на заводе матери</w:t>
      </w:r>
      <w:r w:rsidRPr="00722885">
        <w:rPr>
          <w:rFonts w:ascii="Times New Roman" w:hAnsi="Times New Roman" w:cs="Times New Roman"/>
          <w:color w:val="000000" w:themeColor="text1"/>
          <w:sz w:val="16"/>
          <w:szCs w:val="16"/>
        </w:rPr>
        <w:softHyphen/>
        <w:t>ала выбрали листовую никелевую сталь 25НЗ толщиной 1,75 мм. Исследования, проведен</w:t>
      </w:r>
      <w:r w:rsidRPr="00722885">
        <w:rPr>
          <w:rFonts w:ascii="Times New Roman" w:hAnsi="Times New Roman" w:cs="Times New Roman"/>
          <w:color w:val="000000" w:themeColor="text1"/>
          <w:sz w:val="16"/>
          <w:szCs w:val="16"/>
        </w:rPr>
        <w:softHyphen/>
        <w:t>ные сотрудниками института В.И. Первицким и Л.А. Гликманом, позволили составить пред</w:t>
      </w:r>
      <w:r w:rsidRPr="00722885">
        <w:rPr>
          <w:rFonts w:ascii="Times New Roman" w:hAnsi="Times New Roman" w:cs="Times New Roman"/>
          <w:color w:val="000000" w:themeColor="text1"/>
          <w:sz w:val="16"/>
          <w:szCs w:val="16"/>
        </w:rPr>
        <w:softHyphen/>
        <w:t>варительные процессы технологической и термической обработки деталей панциря и обеспечить</w:t>
      </w:r>
      <w:r w:rsidRPr="00722885">
        <w:rPr>
          <w:rStyle w:val="BodytextItalic3"/>
          <w:rFonts w:ascii="Times New Roman" w:eastAsiaTheme="minorHAnsi" w:hAnsi="Times New Roman" w:cs="Times New Roman"/>
          <w:i w:val="0"/>
          <w:color w:val="000000" w:themeColor="text1"/>
          <w:sz w:val="16"/>
          <w:szCs w:val="16"/>
        </w:rPr>
        <w:t xml:space="preserve"> «достаточно близкие к нижним предельным значениям механических свойств нормальной тонкой щитовой стали».</w:t>
      </w:r>
    </w:p>
    <w:p w14:paraId="27A33EB4" w14:textId="77777777" w:rsidR="00002908" w:rsidRPr="00722885" w:rsidRDefault="00002908"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Ответственный подход к порученному задайию выражался в тщательной прора</w:t>
      </w:r>
      <w:r w:rsidRPr="00722885">
        <w:rPr>
          <w:rFonts w:ascii="Times New Roman" w:hAnsi="Times New Roman" w:cs="Times New Roman"/>
          <w:color w:val="000000" w:themeColor="text1"/>
          <w:sz w:val="16"/>
          <w:szCs w:val="16"/>
        </w:rPr>
        <w:softHyphen/>
        <w:t>ботке конструкции и исключению факторов, снижающих эксплуатационные свойства пан</w:t>
      </w:r>
      <w:r w:rsidRPr="00722885">
        <w:rPr>
          <w:rFonts w:ascii="Times New Roman" w:hAnsi="Times New Roman" w:cs="Times New Roman"/>
          <w:color w:val="000000" w:themeColor="text1"/>
          <w:sz w:val="16"/>
          <w:szCs w:val="16"/>
        </w:rPr>
        <w:softHyphen/>
        <w:t>циря. Для помощи заводу горком ВКП(б) при</w:t>
      </w:r>
      <w:r w:rsidRPr="00722885">
        <w:rPr>
          <w:rFonts w:ascii="Times New Roman" w:hAnsi="Times New Roman" w:cs="Times New Roman"/>
          <w:color w:val="000000" w:themeColor="text1"/>
          <w:sz w:val="16"/>
          <w:szCs w:val="16"/>
        </w:rPr>
        <w:softHyphen/>
        <w:t>влек даже офицеров военно-медицинской службы (17742).</w:t>
      </w:r>
    </w:p>
    <w:p w14:paraId="3CA9533C" w14:textId="77777777" w:rsidR="00002908" w:rsidRPr="00722885" w:rsidRDefault="00002908" w:rsidP="00722885">
      <w:pPr>
        <w:spacing w:after="0" w:line="240" w:lineRule="auto"/>
        <w:jc w:val="both"/>
        <w:rPr>
          <w:rFonts w:ascii="Times New Roman" w:eastAsia="Times New Roman" w:hAnsi="Times New Roman"/>
          <w:color w:val="000000" w:themeColor="text1"/>
          <w:sz w:val="16"/>
          <w:szCs w:val="16"/>
          <w:lang w:eastAsia="ru-RU"/>
        </w:rPr>
      </w:pPr>
    </w:p>
    <w:p w14:paraId="46EB0874"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была введена в действие 1-я очередь завода № 169 Красноярского аффинажного завода - опытная обогатительно-аффинажная установка в здании бытового корпуса, а 23.03.1943 г. получены первые в СССР 1291 грамм платины и 3235 граммов палладия из норильской руды (этот день принято считать днем рождения завода). В том же году введены в строй отделение плавки цеха обогащения и цех никелевых солей. 11.05.1944 г. вышло постановление ГКО № 5858 об обеспечении работы завода. В 1944 г. введен цех аффинажа родия и иридия, цех газоводоочистки; в 1945 г. - цех аффинажа платины и палладия, освоен выпуск слитков этих металлов; в 1950 г. - цех фракционного электролиза. В 04.1953 г. введена в эксплуатацию первая на заводе гуммированная центрифуга ТВ 600/350 г в цехе № 3. 29.02.1956 г. вышел приказ МЦМ № 65 «Об организации на КЗЦМ опытно-промышленного производства полупроводниковых кремния и германия». В 1958 г. на базе электромеханической службы и ремонтно-механического цеха образован единый цех по ремонту и изготовлению нестандартизированного оборудования (цех № 10). С 1959 г. налажен выпуск слитков аффинированного золота, в 1962 г. - технического серебра; с 1960 г. - производство полупроводникового кремния, а с 1962 г. - полупроводникового германия.</w:t>
      </w:r>
    </w:p>
    <w:p w14:paraId="41B013F2"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1.01.1967 г. предприятие переименовали в Красноярский завод цветных металлов («Красцветмет»).</w:t>
      </w:r>
    </w:p>
    <w:p w14:paraId="1AFA0189"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ПСМ № 947 от 4.11.1989 г. образован Государственный концерн по производству цветных и драгоценных металлов «Норильский никель». В состав концерна вошел и «Красцветмет».</w:t>
      </w:r>
    </w:p>
    <w:p w14:paraId="0419975A"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в Швейцарии было закуплено специализированное оборудование и налажен выпуск мерных слитков золота массой 1000, 500, 250, 100 граммов, позднее налажено производство мерных слитков массой от 1 до 50 граммов. В 1997 г. запущено производство аффинированного серебра.</w:t>
      </w:r>
    </w:p>
    <w:p w14:paraId="64CFFC1C"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Указу Президента РФ № 1017 от 30.06.1993 г. и распоряжению Госкомимущества № 727-р от 6.04.1994 г. завод в 12.1994 г. (вопреки воле коллектива) был акционирован и преобразован в дочернее ОАО «Красцветмет» им. В.Н. Гулидова» в составе РАО «Норильский никель». В 1999 г. заводу присвоено имя В.Н. Гулидова.</w:t>
      </w:r>
    </w:p>
    <w:p w14:paraId="1A07A2A7"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Крупнейший в России (2004 г.) аффинажный завод по производству золота (42%), металлов платиновой группы (98,5%).</w:t>
      </w:r>
    </w:p>
    <w:p w14:paraId="31F7AA66"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(1943-45 г.)- М.И. Гутман, (1945 г.-)- Н.Д. Кужель, (-1984-88 г.)- Б.М. Грайвер, (1988 г.-)- В.Н. Гулидов. Гендиректор (-2003-08 г.-)- И.В. Тихов.</w:t>
      </w:r>
    </w:p>
    <w:p w14:paraId="0550DAB5"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 10 (1958 г.-)- П.Ф. Ливанов; фракционного электролиза (1950 г.-)- В.И. Заиграева.</w:t>
      </w:r>
    </w:p>
    <w:p w14:paraId="09E30875"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Особое проектно-конструкторское и технологическое бюро № 3 (ОПКБ-3) 4-го спецотдела НКВД</w:t>
      </w:r>
    </w:p>
    <w:p w14:paraId="65C8148B"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Действовало при заводе № 169 НКВД в 1940-е  г. (11982).</w:t>
      </w:r>
    </w:p>
    <w:p w14:paraId="47C9007F" w14:textId="77777777" w:rsidR="00565332" w:rsidRPr="00722885" w:rsidRDefault="00565332" w:rsidP="00722885">
      <w:pPr>
        <w:spacing w:after="0" w:line="240" w:lineRule="auto"/>
        <w:jc w:val="both"/>
        <w:rPr>
          <w:rFonts w:ascii="Times New Roman" w:hAnsi="Times New Roman"/>
          <w:color w:val="000000" w:themeColor="text1"/>
          <w:sz w:val="16"/>
          <w:szCs w:val="16"/>
        </w:rPr>
      </w:pPr>
    </w:p>
    <w:p w14:paraId="0524E67A" w14:textId="77777777" w:rsidR="0008486A" w:rsidRPr="00722885" w:rsidRDefault="0008486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года Наркомсудпром на основании решения ГКО передал в состав СКБ НКСП Специальное конструкторское бюро завода-706 вместе с его тематикой (15736).</w:t>
      </w:r>
    </w:p>
    <w:p w14:paraId="73AA7DBB" w14:textId="77777777" w:rsidR="0008486A" w:rsidRPr="00722885" w:rsidRDefault="0008486A" w:rsidP="00722885">
      <w:pPr>
        <w:spacing w:after="0" w:line="240" w:lineRule="auto"/>
        <w:jc w:val="both"/>
        <w:rPr>
          <w:rFonts w:ascii="Times New Roman" w:hAnsi="Times New Roman"/>
          <w:color w:val="000000" w:themeColor="text1"/>
          <w:sz w:val="16"/>
          <w:szCs w:val="16"/>
        </w:rPr>
      </w:pPr>
    </w:p>
    <w:p w14:paraId="6EA65D9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директором завода № 367 был Исаков (9267).</w:t>
      </w:r>
    </w:p>
    <w:p w14:paraId="7F61C1B8" w14:textId="77777777" w:rsidR="00BB6316" w:rsidRPr="00722885" w:rsidRDefault="00BB6316" w:rsidP="00722885">
      <w:pPr>
        <w:pStyle w:val="Iauiue"/>
        <w:jc w:val="both"/>
        <w:rPr>
          <w:color w:val="000000" w:themeColor="text1"/>
          <w:sz w:val="16"/>
          <w:szCs w:val="16"/>
        </w:rPr>
      </w:pPr>
    </w:p>
    <w:p w14:paraId="6451BBE2" w14:textId="77777777" w:rsidR="0008486A" w:rsidRPr="00722885" w:rsidRDefault="0008486A"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когда заработала Ладожская ледовая трасса, 13-й электробатальон установил две передвижные электростанции на берегах Ладожского озера, а на льду — 10 км заграждений из спирали Бруно и сетки П-5. Управление заграждениями осуществлялось шифром и действовало безотказно. Диверсантам не удалось нарушить работу Дороги жизни (15603).</w:t>
      </w:r>
    </w:p>
    <w:p w14:paraId="2EA1B9AD" w14:textId="77777777" w:rsidR="0008486A" w:rsidRPr="00722885" w:rsidRDefault="0008486A" w:rsidP="00722885">
      <w:pPr>
        <w:spacing w:after="0" w:line="240" w:lineRule="auto"/>
        <w:jc w:val="both"/>
        <w:rPr>
          <w:rFonts w:ascii="Times New Roman" w:hAnsi="Times New Roman"/>
          <w:color w:val="000000" w:themeColor="text1"/>
          <w:sz w:val="16"/>
          <w:szCs w:val="16"/>
        </w:rPr>
      </w:pPr>
    </w:p>
    <w:p w14:paraId="0D5CDCE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w:t>
      </w:r>
      <w:r w:rsidRPr="00722885">
        <w:rPr>
          <w:color w:val="000000" w:themeColor="text1"/>
          <w:sz w:val="16"/>
          <w:szCs w:val="16"/>
        </w:rPr>
        <w:softHyphen/>
        <w:t>ре 1942 года завод 340 спустил на воду новый катер, который получил буквенное обозначение СТК-ДД (стальной торпедный ка</w:t>
      </w:r>
      <w:r w:rsidRPr="00722885">
        <w:rPr>
          <w:color w:val="000000" w:themeColor="text1"/>
          <w:sz w:val="16"/>
          <w:szCs w:val="16"/>
        </w:rPr>
        <w:softHyphen/>
        <w:t>тер дальнего действия). В качестве двигателей на катере предус</w:t>
      </w:r>
      <w:r w:rsidRPr="00722885">
        <w:rPr>
          <w:color w:val="000000" w:themeColor="text1"/>
          <w:sz w:val="16"/>
          <w:szCs w:val="16"/>
        </w:rPr>
        <w:softHyphen/>
        <w:t>матривались три дизеля М-50 (3898).</w:t>
      </w:r>
    </w:p>
    <w:p w14:paraId="3E92F5C3" w14:textId="77777777" w:rsidR="00BB6316" w:rsidRPr="00722885" w:rsidRDefault="00BB6316" w:rsidP="00722885">
      <w:pPr>
        <w:pStyle w:val="Iauiue"/>
        <w:jc w:val="both"/>
        <w:rPr>
          <w:color w:val="000000" w:themeColor="text1"/>
          <w:sz w:val="16"/>
          <w:szCs w:val="16"/>
        </w:rPr>
      </w:pPr>
    </w:p>
    <w:p w14:paraId="26EB190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 был сдан и вступил в состав Тихоокеанского флота Головной монитор типа Хасан. который завод 112 строил совместно с хабаров</w:t>
      </w:r>
      <w:r w:rsidRPr="00722885">
        <w:rPr>
          <w:color w:val="000000" w:themeColor="text1"/>
          <w:sz w:val="16"/>
          <w:szCs w:val="16"/>
        </w:rPr>
        <w:softHyphen/>
        <w:t>ским заводом 368 и достраивал в Комсомольске-на-Амуре корабль. Фактическое его полное во</w:t>
      </w:r>
      <w:r w:rsidRPr="00722885">
        <w:rPr>
          <w:color w:val="000000" w:themeColor="text1"/>
          <w:sz w:val="16"/>
          <w:szCs w:val="16"/>
        </w:rPr>
        <w:softHyphen/>
        <w:t>доизмещение достигло 2400 т, осадка 2,9 м, что бьшо отмечено как недостаток в приемном акте. По результатам испытаний выяви</w:t>
      </w:r>
      <w:r w:rsidRPr="00722885">
        <w:rPr>
          <w:color w:val="000000" w:themeColor="text1"/>
          <w:sz w:val="16"/>
          <w:szCs w:val="16"/>
        </w:rPr>
        <w:softHyphen/>
        <w:t>лись также конструктивные недоработки бронирования, несовер</w:t>
      </w:r>
      <w:r w:rsidRPr="00722885">
        <w:rPr>
          <w:color w:val="000000" w:themeColor="text1"/>
          <w:sz w:val="16"/>
          <w:szCs w:val="16"/>
        </w:rPr>
        <w:softHyphen/>
        <w:t>шенная система управления кораблем и сильная вибрация. К до</w:t>
      </w:r>
      <w:r w:rsidRPr="00722885">
        <w:rPr>
          <w:color w:val="000000" w:themeColor="text1"/>
          <w:sz w:val="16"/>
          <w:szCs w:val="16"/>
        </w:rPr>
        <w:softHyphen/>
        <w:t>стоинствам "Хасана" приемная комиссия отнесла башенную глав</w:t>
      </w:r>
      <w:r w:rsidRPr="00722885">
        <w:rPr>
          <w:color w:val="000000" w:themeColor="text1"/>
          <w:sz w:val="16"/>
          <w:szCs w:val="16"/>
        </w:rPr>
        <w:softHyphen/>
        <w:t>ную и зенитную артиллерию с современными ПУАО и централь</w:t>
      </w:r>
      <w:r w:rsidRPr="00722885">
        <w:rPr>
          <w:color w:val="000000" w:themeColor="text1"/>
          <w:sz w:val="16"/>
          <w:szCs w:val="16"/>
        </w:rPr>
        <w:softHyphen/>
        <w:t>ной надводкой, хорошую маневренность, большую дальность плавания и надежность механической установки (3898).</w:t>
      </w:r>
    </w:p>
    <w:p w14:paraId="242AE2B4" w14:textId="77777777" w:rsidR="00BB6316" w:rsidRPr="00722885" w:rsidRDefault="00BB6316" w:rsidP="00722885">
      <w:pPr>
        <w:pStyle w:val="Iauiue"/>
        <w:jc w:val="both"/>
        <w:rPr>
          <w:color w:val="000000" w:themeColor="text1"/>
          <w:sz w:val="16"/>
          <w:szCs w:val="16"/>
        </w:rPr>
      </w:pPr>
    </w:p>
    <w:p w14:paraId="1C47D4B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была окончена постройка катера СТК ДД (10675).</w:t>
      </w:r>
    </w:p>
    <w:p w14:paraId="0AB8CC6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E861CF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вступил в строй на Тихоокеанском флоте эсминец 7-й серии Пылкий (3898).</w:t>
      </w:r>
    </w:p>
    <w:p w14:paraId="2A118373" w14:textId="77777777" w:rsidR="00BB6316" w:rsidRPr="00722885" w:rsidRDefault="00BB6316" w:rsidP="00722885">
      <w:pPr>
        <w:pStyle w:val="Iauiue"/>
        <w:jc w:val="both"/>
        <w:rPr>
          <w:color w:val="000000" w:themeColor="text1"/>
          <w:sz w:val="16"/>
          <w:szCs w:val="16"/>
        </w:rPr>
      </w:pPr>
    </w:p>
    <w:p w14:paraId="7CEC9F4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 шесть разработанных в августе-октябре РПУ-6 установили на катерах 1-й БТКА (6002).</w:t>
      </w:r>
    </w:p>
    <w:p w14:paraId="1CA75218" w14:textId="77777777" w:rsidR="00BB6316" w:rsidRPr="00722885" w:rsidRDefault="00BB6316" w:rsidP="00722885">
      <w:pPr>
        <w:pStyle w:val="Iauiue"/>
        <w:jc w:val="both"/>
        <w:rPr>
          <w:color w:val="000000" w:themeColor="text1"/>
          <w:sz w:val="16"/>
          <w:szCs w:val="16"/>
        </w:rPr>
      </w:pPr>
    </w:p>
    <w:p w14:paraId="5A051A6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10D24699" w14:textId="77777777" w:rsidR="00BB6316" w:rsidRPr="00722885" w:rsidRDefault="00BB6316" w:rsidP="00722885">
      <w:pPr>
        <w:pStyle w:val="Iauiue"/>
        <w:jc w:val="both"/>
        <w:rPr>
          <w:iCs/>
          <w:color w:val="000000" w:themeColor="text1"/>
          <w:sz w:val="16"/>
          <w:szCs w:val="16"/>
        </w:rPr>
      </w:pPr>
    </w:p>
    <w:p w14:paraId="6DEB0E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декабря 1942 г. по апрель 1944 г. средний налет Ил-2, приходящийся на одну боевую безвозвратную потерю штурмовика, в дивизиях 1-го гвардейского штурмового авиакорпуса составил 106 самолето-вылетов. Одна безвозвратная потеря летчика приходилась на 155, а воздушного стрелка — на 153 самолето-вылетов. При этом </w:t>
      </w:r>
      <w:r w:rsidRPr="00722885">
        <w:rPr>
          <w:rFonts w:ascii="Times New Roman" w:hAnsi="Times New Roman"/>
          <w:color w:val="000000" w:themeColor="text1"/>
          <w:sz w:val="16"/>
          <w:szCs w:val="16"/>
        </w:rPr>
        <w:lastRenderedPageBreak/>
        <w:t>потери от зенитной артиллерии и истребительной авиации оказались почти равными: 48,6% всех потерь пришлись на огонь зенитной артиллерии, остальные 51,4% потерь - на огонь истребителей люфтваффе.</w:t>
      </w:r>
    </w:p>
    <w:p w14:paraId="6D8545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учесть все возвратные (севшие на вынужденные посадки и возвращенные в строй) и безвозвратные потери (все списанные самолеты), то средний налет понижается до 40-45 самолето-вылетов на одну потерю Ил-2.</w:t>
      </w:r>
    </w:p>
    <w:p w14:paraId="2CD8A8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частях 1-й гвардейской штурмовой авиадивизии в период ликвидации Никопольского плацдарма с 19 ноября 1943 г. по 8 февраля 1944 г. показатель живучести Ил-2 оказался равным 146 самолето-вылетам на одну безвозвратную потерю самолета и 48 боевым самолето-вылетам с учетом убыли самолетов, получивших повреждения и вынужденно севших на своей территории. При этом каждый 11-й боевой вылет сопровождался повреждением Ил-2 от зенитного огня.</w:t>
      </w:r>
    </w:p>
    <w:p w14:paraId="0EB8DC2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Естественно, в периоды некоторых операций потери штурмовиков и экипажей, отнесенные к налету, могли превышать указанные выше цифры.</w:t>
      </w:r>
    </w:p>
    <w:p w14:paraId="64E1BB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Важно учитывать, что в ВВС КА в оперативных сводках, донесениях и отчетах обычно указывались как возвратные, так и безвозвратные потери, отнесенные к выбранному периоду. Тогда как часть самолетов, севших на вынужденные посадки, через какое-то время восстанавливалась и возвращалась в строй (11921).</w:t>
      </w:r>
    </w:p>
    <w:p w14:paraId="42E8AB1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2F87EB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В декабре 1942 в 8-й ВА, </w:t>
      </w:r>
      <w:r w:rsidRPr="00722885">
        <w:rPr>
          <w:iCs/>
          <w:color w:val="000000" w:themeColor="text1"/>
          <w:sz w:val="16"/>
          <w:szCs w:val="16"/>
        </w:rPr>
        <w:t>"из-за неправильной эксплоатации материальной части и халатности со сто</w:t>
      </w:r>
      <w:r w:rsidRPr="00722885">
        <w:rPr>
          <w:iCs/>
          <w:color w:val="000000" w:themeColor="text1"/>
          <w:sz w:val="16"/>
          <w:szCs w:val="16"/>
        </w:rPr>
        <w:softHyphen/>
        <w:t>роны командного, летного и техничес</w:t>
      </w:r>
      <w:r w:rsidRPr="00722885">
        <w:rPr>
          <w:iCs/>
          <w:color w:val="000000" w:themeColor="text1"/>
          <w:sz w:val="16"/>
          <w:szCs w:val="16"/>
        </w:rPr>
        <w:softHyphen/>
        <w:t>кого состава произошло 39% общего количества неисправностей".</w:t>
      </w:r>
      <w:r w:rsidRPr="00722885">
        <w:rPr>
          <w:color w:val="000000" w:themeColor="text1"/>
          <w:sz w:val="16"/>
          <w:szCs w:val="16"/>
        </w:rPr>
        <w:t xml:space="preserve"> Последнее же </w:t>
      </w:r>
      <w:r w:rsidRPr="00722885">
        <w:rPr>
          <w:iCs/>
          <w:color w:val="000000" w:themeColor="text1"/>
          <w:sz w:val="16"/>
          <w:szCs w:val="16"/>
        </w:rPr>
        <w:t xml:space="preserve">"в значительной степени отражалось на интенсивности боевой работы... " </w:t>
      </w:r>
      <w:r w:rsidRPr="00722885">
        <w:rPr>
          <w:color w:val="000000" w:themeColor="text1"/>
          <w:sz w:val="16"/>
          <w:szCs w:val="16"/>
        </w:rPr>
        <w:t>(6467). Другими словами, напряженность боев была чрезвычайно высокой, а под</w:t>
      </w:r>
      <w:r w:rsidRPr="00722885">
        <w:rPr>
          <w:color w:val="000000" w:themeColor="text1"/>
          <w:sz w:val="16"/>
          <w:szCs w:val="16"/>
        </w:rPr>
        <w:softHyphen/>
        <w:t>готовка летного и технического состава штурмовых авиачастей Красной Армии во всех отношениях оставляла желать лучшего (6467).</w:t>
      </w:r>
    </w:p>
    <w:p w14:paraId="42236D15" w14:textId="77777777" w:rsidR="00BB6316" w:rsidRPr="00722885" w:rsidRDefault="00BB6316" w:rsidP="00722885">
      <w:pPr>
        <w:pStyle w:val="Iauiue"/>
        <w:jc w:val="both"/>
        <w:rPr>
          <w:color w:val="000000" w:themeColor="text1"/>
          <w:sz w:val="16"/>
          <w:szCs w:val="16"/>
        </w:rPr>
      </w:pPr>
    </w:p>
    <w:p w14:paraId="641C96AB" w14:textId="77777777" w:rsidR="00BB6316" w:rsidRPr="00722885" w:rsidRDefault="00BB6316" w:rsidP="00722885">
      <w:pPr>
        <w:pStyle w:val="a3"/>
        <w:rPr>
          <w:color w:val="000000" w:themeColor="text1"/>
          <w:lang w:val="ru-RU"/>
        </w:rPr>
      </w:pPr>
      <w:r w:rsidRPr="00722885">
        <w:rPr>
          <w:color w:val="000000" w:themeColor="text1"/>
          <w:lang w:val="ru-RU"/>
        </w:rPr>
        <w:t>В декабре 1942 г., находясь под впечатлением успехов и неудач «мессершмиттов» и «хеншелей» как самолетов поля боя, немецкое командо</w:t>
      </w:r>
      <w:r w:rsidRPr="00722885">
        <w:rPr>
          <w:color w:val="000000" w:themeColor="text1"/>
          <w:lang w:val="ru-RU"/>
        </w:rPr>
        <w:softHyphen/>
        <w:t>вание приняло решение о срочной реорганизации всех эскадр непосредственной поддержки войск и перевооружении их на авиатехнику, лучшим образом отвечающей требованиям войны и производящейся на германских авиазаво</w:t>
      </w:r>
      <w:r w:rsidRPr="00722885">
        <w:rPr>
          <w:color w:val="000000" w:themeColor="text1"/>
          <w:lang w:val="ru-RU"/>
        </w:rPr>
        <w:softHyphen/>
        <w:t>дах в достаточных количествах.</w:t>
      </w:r>
    </w:p>
    <w:p w14:paraId="37CD085F" w14:textId="77777777" w:rsidR="00BB6316" w:rsidRPr="00722885" w:rsidRDefault="00BB6316" w:rsidP="00722885">
      <w:pPr>
        <w:pStyle w:val="a3"/>
        <w:rPr>
          <w:color w:val="000000" w:themeColor="text1"/>
          <w:lang w:val="ru-RU"/>
        </w:rPr>
      </w:pPr>
      <w:r w:rsidRPr="00722885">
        <w:rPr>
          <w:color w:val="000000" w:themeColor="text1"/>
          <w:lang w:val="ru-RU"/>
        </w:rPr>
        <w:t xml:space="preserve">По мнению известного немецкого боевого летчика командира </w:t>
      </w:r>
      <w:r w:rsidRPr="00722885">
        <w:rPr>
          <w:color w:val="000000" w:themeColor="text1"/>
        </w:rPr>
        <w:t>II</w:t>
      </w:r>
      <w:r w:rsidRPr="00722885">
        <w:rPr>
          <w:color w:val="000000" w:themeColor="text1"/>
          <w:lang w:val="ru-RU"/>
        </w:rPr>
        <w:t>./51С2 майора Купфера основной боевой задачей «опти</w:t>
      </w:r>
      <w:r w:rsidRPr="00722885">
        <w:rPr>
          <w:color w:val="000000" w:themeColor="text1"/>
          <w:lang w:val="ru-RU"/>
        </w:rPr>
        <w:softHyphen/>
        <w:t>мального» самолета-штурмовика должна быть борьба с прорывающимися танковыми колоннами. Для этого Купфер предложил уничтожать не сами танки, а более уязвимые от ударов с воздуха колонны с топливом, боеприпасами и запчастями.</w:t>
      </w:r>
    </w:p>
    <w:p w14:paraId="4FC6EDB7" w14:textId="77777777" w:rsidR="00BB6316" w:rsidRPr="00722885" w:rsidRDefault="00BB6316" w:rsidP="00722885">
      <w:pPr>
        <w:pStyle w:val="a3"/>
        <w:rPr>
          <w:color w:val="000000" w:themeColor="text1"/>
          <w:lang w:val="ru-RU"/>
        </w:rPr>
      </w:pPr>
      <w:r w:rsidRPr="00722885">
        <w:rPr>
          <w:color w:val="000000" w:themeColor="text1"/>
          <w:lang w:val="ru-RU"/>
        </w:rPr>
        <w:t>Решение этой задачи вполне было под силу скоростному самолету-штурмовику, вооруженному 20-мм пушками, вполне обе</w:t>
      </w:r>
      <w:r w:rsidRPr="00722885">
        <w:rPr>
          <w:color w:val="000000" w:themeColor="text1"/>
          <w:lang w:val="ru-RU"/>
        </w:rPr>
        <w:softHyphen/>
        <w:t>спечивавшими необходимую вероятность поражения (выведения из строя) легко</w:t>
      </w:r>
      <w:r w:rsidRPr="00722885">
        <w:rPr>
          <w:color w:val="000000" w:themeColor="text1"/>
          <w:lang w:val="ru-RU"/>
        </w:rPr>
        <w:softHyphen/>
        <w:t>бронированных и небронированных целей.</w:t>
      </w:r>
    </w:p>
    <w:p w14:paraId="1D9A71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Скоростной штурмовик должен был иметь небольшие размеры, быть одно</w:t>
      </w:r>
      <w:r w:rsidRPr="00722885">
        <w:rPr>
          <w:rFonts w:ascii="Times New Roman" w:hAnsi="Times New Roman"/>
          <w:color w:val="000000" w:themeColor="text1"/>
          <w:sz w:val="16"/>
          <w:szCs w:val="16"/>
        </w:rPr>
        <w:softHyphen/>
        <w:t>местным (недостаток летных кадров в люфтваффе становился критическим) и обладать высокой вертикальной и горизон</w:t>
      </w:r>
      <w:r w:rsidRPr="00722885">
        <w:rPr>
          <w:rFonts w:ascii="Times New Roman" w:hAnsi="Times New Roman"/>
          <w:color w:val="000000" w:themeColor="text1"/>
          <w:sz w:val="16"/>
          <w:szCs w:val="16"/>
        </w:rPr>
        <w:softHyphen/>
        <w:t>тальной маневренностью для построения эффективного противозенитного маневра. Максимальный калибр авиабомб, ис</w:t>
      </w:r>
      <w:r w:rsidRPr="00722885">
        <w:rPr>
          <w:rFonts w:ascii="Times New Roman" w:hAnsi="Times New Roman"/>
          <w:color w:val="000000" w:themeColor="text1"/>
          <w:sz w:val="16"/>
          <w:szCs w:val="16"/>
        </w:rPr>
        <w:softHyphen/>
        <w:t>пользуемых скоростным штурмовиком, не должен был превышать 250 кг (целями, неуязвимыми для таких бомб, должны за</w:t>
      </w:r>
      <w:r w:rsidRPr="00722885">
        <w:rPr>
          <w:rFonts w:ascii="Times New Roman" w:hAnsi="Times New Roman"/>
          <w:color w:val="000000" w:themeColor="text1"/>
          <w:sz w:val="16"/>
          <w:szCs w:val="16"/>
        </w:rPr>
        <w:softHyphen/>
        <w:t>ниматься бомбардировщики). Кроме того, считалось, что скорость и маневренность штурмовика позволят при выполнении боевых задач обойтись без истребительного сопровождения.</w:t>
      </w:r>
    </w:p>
    <w:p w14:paraId="48F0DFCF" w14:textId="77777777" w:rsidR="00BB6316" w:rsidRPr="00722885" w:rsidRDefault="00BB6316" w:rsidP="00722885">
      <w:pPr>
        <w:pStyle w:val="a3"/>
        <w:rPr>
          <w:color w:val="000000" w:themeColor="text1"/>
          <w:lang w:val="ru-RU"/>
        </w:rPr>
      </w:pPr>
      <w:r w:rsidRPr="00722885">
        <w:rPr>
          <w:color w:val="000000" w:themeColor="text1"/>
          <w:lang w:val="ru-RU"/>
        </w:rPr>
        <w:t>Лучшим кандидатом на роль скоростно</w:t>
      </w:r>
      <w:r w:rsidRPr="00722885">
        <w:rPr>
          <w:color w:val="000000" w:themeColor="text1"/>
          <w:lang w:val="ru-RU"/>
        </w:rPr>
        <w:softHyphen/>
        <w:t>го штурмовика в условиях неспособности германской авиапромышленности быстро скоростной самолет-штурмовик оказался истребитель Р\л/ 190. Сыграло роль и то, что для этого самолета уже были разработаны заводские модификации 111 и 113, позво</w:t>
      </w:r>
      <w:r w:rsidRPr="00722885">
        <w:rPr>
          <w:color w:val="000000" w:themeColor="text1"/>
          <w:lang w:val="ru-RU"/>
        </w:rPr>
        <w:softHyphen/>
        <w:t>лявшие переоборудовать стандартный ис</w:t>
      </w:r>
      <w:r w:rsidRPr="00722885">
        <w:rPr>
          <w:color w:val="000000" w:themeColor="text1"/>
          <w:lang w:val="ru-RU"/>
        </w:rPr>
        <w:softHyphen/>
        <w:t>требитель в истребитель-бомбардировщик (12733).</w:t>
      </w:r>
    </w:p>
    <w:p w14:paraId="5BC6F658" w14:textId="77777777" w:rsidR="00BB6316" w:rsidRPr="00722885" w:rsidRDefault="00BB6316" w:rsidP="00722885">
      <w:pPr>
        <w:pStyle w:val="a3"/>
        <w:rPr>
          <w:color w:val="000000" w:themeColor="text1"/>
          <w:lang w:val="ru-RU"/>
        </w:rPr>
      </w:pPr>
    </w:p>
    <w:p w14:paraId="7AE568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в Горьковской области начался сбор средств на эскадрилью "Валерий Чкалов". Всего построили около 60 ЛаГГ-3 и Ла-5, на левом борту которых по трафарету наносили надпись "Эскадрилья "Валерий Чкалов", а на правом - на чьи средства построен самолет. Эти истребители летали в 240, 193, 13, 254, 21-м иап, 4, 111, 88-м и 137-м гв. иап.</w:t>
      </w:r>
    </w:p>
    <w:p w14:paraId="4DDD81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в Советском Союзе нашлись люди, имевшие возможность приобрести боевой самолет на свои личные деньги в одиночку. Среди них были "рекордсмены", подарившие ВВС по два истребителя. В особый ряд можно выделить машины, купленные родителями для своих воюющих сыновей. Были и случаи приобретения боевых самолетов самими летчиками.</w:t>
      </w:r>
    </w:p>
    <w:p w14:paraId="45AE5C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Подаренные самолеты несли на своих фюзеляжах соответствующие надписи. Летчики гордились такими машинами и обычно сохраняли надписи при ремонте.</w:t>
      </w:r>
    </w:p>
    <w:p w14:paraId="4D28DB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меньше, чем дарственных надписей, на советских самолетах имелось и личных эмблем пилотов. С приобретением боевого опыта летчики перестали бояться выделить свою машину среди других. А во второй половине войны заметили, что большинство немецких пилотов опасаются вступать в бой с раскрашенными истребителями. Завоеванный в боях авторитет советской авиации начал работать на ее пилотов.</w:t>
      </w:r>
    </w:p>
    <w:p w14:paraId="338763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Личные эмблемы, хотя никак и не регламентировались, но подпадали под цензуру: политорганов и собственную, "внутреннюю". Это накладывало на них свой отпечаток. Отсутствовали, например, эротические сюжеты, редко встречались черти и прочая нечисть. В качестве личных эмблем встречались в основном рисунки зверей и птиц. Большинство из них изображали львов, тигров и орлов. При этом если львы и тигры были индивидуальны, то орлы на самолетах разных частей очень походили друг на друга, как срисованные с одного прототипа. Иногда на фюзеляжах появлялись целые картины. Например, на Як-9 командира 2-й эскадрильи 4-го иап И.Н. Степаненко был изображен тигр, преследующий убегающего Геббельса.</w:t>
      </w:r>
    </w:p>
    <w:p w14:paraId="6C10A5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Нередко попадались эмблемы с символами карточных мастей, но использовались только пики и черви. На Р-39 командира 1-й эскадрильи 30-го гв. иап А.П. Филатова были изображены целых три карты: дама, семерка и туз - все пики. На советских самолетах рисовали и открытые пасти.</w:t>
      </w:r>
    </w:p>
    <w:p w14:paraId="5599DC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Советские летчики отмечали свои воздушные победы не только "наркомовскими" ста граммами, но и красными пятиконечными звездочками на бортах своих самолетов. Это явление возникло в конце весны - начале лета 1942 г. практически одновременно во многих полках.Вероятно, символы побед, появившиеся по инициативе пилотов, получили поддержку и одобрение на самых разных уровнях. Где-то регламентация происходила в форме устных распоряжений, где-то оформлялась приказом (11989).</w:t>
      </w:r>
    </w:p>
    <w:p w14:paraId="0AA8A00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20EF84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 январе 1943 воздушная блокада сталинградского котла принесла исключительно высокие результаты. По дан</w:t>
      </w:r>
      <w:r w:rsidRPr="00722885">
        <w:rPr>
          <w:color w:val="000000" w:themeColor="text1"/>
          <w:sz w:val="16"/>
          <w:szCs w:val="16"/>
        </w:rPr>
        <w:softHyphen/>
        <w:t>ным воздушных армий и штабов Донс</w:t>
      </w:r>
      <w:r w:rsidRPr="00722885">
        <w:rPr>
          <w:color w:val="000000" w:themeColor="text1"/>
          <w:sz w:val="16"/>
          <w:szCs w:val="16"/>
        </w:rPr>
        <w:softHyphen/>
        <w:t>кого и Сталинградского фронтов почти за два месяца воздушной блокады на аэродромах и в воздухе было уничто</w:t>
      </w:r>
      <w:r w:rsidRPr="00722885">
        <w:rPr>
          <w:color w:val="000000" w:themeColor="text1"/>
          <w:sz w:val="16"/>
          <w:szCs w:val="16"/>
        </w:rPr>
        <w:softHyphen/>
        <w:t>жено и выведено из строя без возмож</w:t>
      </w:r>
      <w:r w:rsidRPr="00722885">
        <w:rPr>
          <w:color w:val="000000" w:themeColor="text1"/>
          <w:sz w:val="16"/>
          <w:szCs w:val="16"/>
        </w:rPr>
        <w:softHyphen/>
        <w:t>ности ремонта 1057 немецких транспор</w:t>
      </w:r>
      <w:r w:rsidRPr="00722885">
        <w:rPr>
          <w:color w:val="000000" w:themeColor="text1"/>
          <w:sz w:val="16"/>
          <w:szCs w:val="16"/>
        </w:rPr>
        <w:softHyphen/>
        <w:t>тных и бомбардировочных самолетов, из них в воздухе - 467 машин (в том числе 250 Ju52).</w:t>
      </w:r>
    </w:p>
    <w:p w14:paraId="1357217F" w14:textId="77777777" w:rsidR="00BB6316" w:rsidRPr="00722885" w:rsidRDefault="00BB6316" w:rsidP="00722885">
      <w:pPr>
        <w:pStyle w:val="Iauiue"/>
        <w:jc w:val="both"/>
        <w:rPr>
          <w:color w:val="000000" w:themeColor="text1"/>
          <w:sz w:val="16"/>
          <w:szCs w:val="16"/>
        </w:rPr>
      </w:pPr>
    </w:p>
    <w:p w14:paraId="10ACC1F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 данным бывшего начальника на</w:t>
      </w:r>
      <w:r w:rsidRPr="00722885">
        <w:rPr>
          <w:color w:val="000000" w:themeColor="text1"/>
          <w:sz w:val="16"/>
          <w:szCs w:val="16"/>
        </w:rPr>
        <w:softHyphen/>
        <w:t>учно-исследовательского отдела ВВС Германии фон Родена (H. von Roden) 4-й воздушный флот Германии в воздушных боях под Сталинградом за период с 24.11.42 г. по 31.01.43 г. потерял 488 самолетов, из них: Ju 52 - 266 машин, Не 111 - 165 самолетов, Ju 86 - 42 ма</w:t>
      </w:r>
      <w:r w:rsidRPr="00722885">
        <w:rPr>
          <w:color w:val="000000" w:themeColor="text1"/>
          <w:sz w:val="16"/>
          <w:szCs w:val="16"/>
        </w:rPr>
        <w:softHyphen/>
        <w:t>шины, Fw 200 - 9 самолетов, Не 177 - 5 самолетов и Ju 290 - 1 машину. С уче</w:t>
      </w:r>
      <w:r w:rsidRPr="00722885">
        <w:rPr>
          <w:color w:val="000000" w:themeColor="text1"/>
          <w:sz w:val="16"/>
          <w:szCs w:val="16"/>
        </w:rPr>
        <w:softHyphen/>
        <w:t>том уничтоженных машин на земле об</w:t>
      </w:r>
      <w:r w:rsidRPr="00722885">
        <w:rPr>
          <w:color w:val="000000" w:themeColor="text1"/>
          <w:sz w:val="16"/>
          <w:szCs w:val="16"/>
        </w:rPr>
        <w:softHyphen/>
        <w:t>щие потери составили свыше 800 транс</w:t>
      </w:r>
      <w:r w:rsidRPr="00722885">
        <w:rPr>
          <w:color w:val="000000" w:themeColor="text1"/>
          <w:sz w:val="16"/>
          <w:szCs w:val="16"/>
        </w:rPr>
        <w:softHyphen/>
        <w:t>портных и бомбардировочных самоле</w:t>
      </w:r>
      <w:r w:rsidRPr="00722885">
        <w:rPr>
          <w:color w:val="000000" w:themeColor="text1"/>
          <w:sz w:val="16"/>
          <w:szCs w:val="16"/>
        </w:rPr>
        <w:softHyphen/>
        <w:t>тов. Безвозвратные потери флота в лет</w:t>
      </w:r>
      <w:r w:rsidRPr="00722885">
        <w:rPr>
          <w:color w:val="000000" w:themeColor="text1"/>
          <w:sz w:val="16"/>
          <w:szCs w:val="16"/>
        </w:rPr>
        <w:softHyphen/>
        <w:t>ном составе составили 1000 человек. Средний процент потерь 4-го флота по отношению к общему числу боевых вы</w:t>
      </w:r>
      <w:r w:rsidRPr="00722885">
        <w:rPr>
          <w:color w:val="000000" w:themeColor="text1"/>
          <w:sz w:val="16"/>
          <w:szCs w:val="16"/>
        </w:rPr>
        <w:softHyphen/>
        <w:t>летов для транспортных самолетов Ju 52 составил - 10%, для Fw 200 - 9,7%, для самолетов-бомбардировщиков Не111-5,5%, для Ju86 - 21% и для Не177 - 26%.</w:t>
      </w:r>
    </w:p>
    <w:p w14:paraId="4E9A978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Отличие оценок количества потерян</w:t>
      </w:r>
      <w:r w:rsidRPr="00722885">
        <w:rPr>
          <w:color w:val="000000" w:themeColor="text1"/>
          <w:sz w:val="16"/>
          <w:szCs w:val="16"/>
        </w:rPr>
        <w:softHyphen/>
        <w:t>ных Люфтваффе боевых машин под Ста</w:t>
      </w:r>
      <w:r w:rsidRPr="00722885">
        <w:rPr>
          <w:color w:val="000000" w:themeColor="text1"/>
          <w:sz w:val="16"/>
          <w:szCs w:val="16"/>
        </w:rPr>
        <w:softHyphen/>
        <w:t>линградом с советской и немецкой сто</w:t>
      </w:r>
      <w:r w:rsidRPr="00722885">
        <w:rPr>
          <w:color w:val="000000" w:themeColor="text1"/>
          <w:sz w:val="16"/>
          <w:szCs w:val="16"/>
        </w:rPr>
        <w:softHyphen/>
        <w:t>рон можно объяснить лишь тем, что фон Роден в своих подсчетах не учел само</w:t>
      </w:r>
      <w:r w:rsidRPr="00722885">
        <w:rPr>
          <w:color w:val="000000" w:themeColor="text1"/>
          <w:sz w:val="16"/>
          <w:szCs w:val="16"/>
        </w:rPr>
        <w:softHyphen/>
        <w:t>леты, уничтоженные или захваченные бойцами Красной Армии во время сво</w:t>
      </w:r>
      <w:r w:rsidRPr="00722885">
        <w:rPr>
          <w:color w:val="000000" w:themeColor="text1"/>
          <w:sz w:val="16"/>
          <w:szCs w:val="16"/>
        </w:rPr>
        <w:softHyphen/>
        <w:t>его наступления. Например, на аэродро</w:t>
      </w:r>
      <w:r w:rsidRPr="00722885">
        <w:rPr>
          <w:color w:val="000000" w:themeColor="text1"/>
          <w:sz w:val="16"/>
          <w:szCs w:val="16"/>
        </w:rPr>
        <w:softHyphen/>
        <w:t>ме Б. Россошка красноармейцам доста</w:t>
      </w:r>
      <w:r w:rsidRPr="00722885">
        <w:rPr>
          <w:color w:val="000000" w:themeColor="text1"/>
          <w:sz w:val="16"/>
          <w:szCs w:val="16"/>
        </w:rPr>
        <w:softHyphen/>
        <w:t>лось 173 поврежденных и относитель</w:t>
      </w:r>
      <w:r w:rsidRPr="00722885">
        <w:rPr>
          <w:color w:val="000000" w:themeColor="text1"/>
          <w:sz w:val="16"/>
          <w:szCs w:val="16"/>
        </w:rPr>
        <w:softHyphen/>
        <w:t>но сохранившихся самолетов, еще 150 машин находилось на аэродромной свалке. На аэродроме Гумрак было зах</w:t>
      </w:r>
      <w:r w:rsidRPr="00722885">
        <w:rPr>
          <w:color w:val="000000" w:themeColor="text1"/>
          <w:sz w:val="16"/>
          <w:szCs w:val="16"/>
        </w:rPr>
        <w:softHyphen/>
        <w:t>вачено - 120 поврежденных и неисправ</w:t>
      </w:r>
      <w:r w:rsidRPr="00722885">
        <w:rPr>
          <w:color w:val="000000" w:themeColor="text1"/>
          <w:sz w:val="16"/>
          <w:szCs w:val="16"/>
        </w:rPr>
        <w:softHyphen/>
        <w:t>ных самолетов Люфтваффе, на аэродро</w:t>
      </w:r>
      <w:r w:rsidRPr="00722885">
        <w:rPr>
          <w:color w:val="000000" w:themeColor="text1"/>
          <w:sz w:val="16"/>
          <w:szCs w:val="16"/>
        </w:rPr>
        <w:softHyphen/>
        <w:t>ме Карповка - 60 машин, а на аэродроме Тацинская - 72 транспортника (6467).</w:t>
      </w:r>
    </w:p>
    <w:p w14:paraId="1BB495C7" w14:textId="77777777" w:rsidR="00BB6316" w:rsidRPr="00722885" w:rsidRDefault="00BB6316" w:rsidP="00722885">
      <w:pPr>
        <w:pStyle w:val="Iauiue"/>
        <w:jc w:val="both"/>
        <w:rPr>
          <w:color w:val="000000" w:themeColor="text1"/>
          <w:sz w:val="16"/>
          <w:szCs w:val="16"/>
        </w:rPr>
      </w:pPr>
    </w:p>
    <w:p w14:paraId="79E2A47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декабря 1942 г. начали формиро</w:t>
      </w:r>
      <w:r w:rsidRPr="00722885">
        <w:rPr>
          <w:color w:val="000000" w:themeColor="text1"/>
          <w:sz w:val="16"/>
          <w:szCs w:val="16"/>
        </w:rPr>
        <w:softHyphen/>
        <w:t>вать отдельную авиаэскадрилью Нормандия при 6-й запасной авиационной бригаде (заб) на аэродроме Иванове. Личный состав эскадрильи первона</w:t>
      </w:r>
      <w:r w:rsidRPr="00722885">
        <w:rPr>
          <w:color w:val="000000" w:themeColor="text1"/>
          <w:sz w:val="16"/>
          <w:szCs w:val="16"/>
        </w:rPr>
        <w:softHyphen/>
        <w:t>чально был представлен только фран</w:t>
      </w:r>
      <w:r w:rsidRPr="00722885">
        <w:rPr>
          <w:color w:val="000000" w:themeColor="text1"/>
          <w:sz w:val="16"/>
          <w:szCs w:val="16"/>
        </w:rPr>
        <w:softHyphen/>
        <w:t>цузами: 14 летчиков, 41 техник и мото</w:t>
      </w:r>
      <w:r w:rsidRPr="00722885">
        <w:rPr>
          <w:color w:val="000000" w:themeColor="text1"/>
          <w:sz w:val="16"/>
          <w:szCs w:val="16"/>
        </w:rPr>
        <w:softHyphen/>
        <w:t>рист, адъютант эскадрильи, старшина и врач. Возглавлял эскадрилью майор Тюлян, опытный 35-летний офицер, во</w:t>
      </w:r>
      <w:r w:rsidRPr="00722885">
        <w:rPr>
          <w:color w:val="000000" w:themeColor="text1"/>
          <w:sz w:val="16"/>
          <w:szCs w:val="16"/>
        </w:rPr>
        <w:softHyphen/>
        <w:t>евавший против немцев и итальянцев в Ливии. В Советском Союзе знали, что однажды он заставил приземлиться прямо на пляж неприятельский транс</w:t>
      </w:r>
      <w:r w:rsidRPr="00722885">
        <w:rPr>
          <w:color w:val="000000" w:themeColor="text1"/>
          <w:sz w:val="16"/>
          <w:szCs w:val="16"/>
        </w:rPr>
        <w:softHyphen/>
        <w:t>портный самолет, в котором оказалось шесть итальянских генералов,.улетав</w:t>
      </w:r>
      <w:r w:rsidRPr="00722885">
        <w:rPr>
          <w:color w:val="000000" w:themeColor="text1"/>
          <w:sz w:val="16"/>
          <w:szCs w:val="16"/>
        </w:rPr>
        <w:softHyphen/>
        <w:t>ших из осажденного англичанами Тоб</w:t>
      </w:r>
      <w:r w:rsidRPr="00722885">
        <w:rPr>
          <w:color w:val="000000" w:themeColor="text1"/>
          <w:sz w:val="16"/>
          <w:szCs w:val="16"/>
        </w:rPr>
        <w:softHyphen/>
        <w:t>рука. На счету всех французских пилотов имелось 29 побед, из которых 10 одержал капитан Литольф. В ходе формирования эскадрилью пополнили, добавив 17 советских авиационных специалистов (в основ</w:t>
      </w:r>
      <w:r w:rsidRPr="00722885">
        <w:rPr>
          <w:color w:val="000000" w:themeColor="text1"/>
          <w:sz w:val="16"/>
          <w:szCs w:val="16"/>
        </w:rPr>
        <w:softHyphen/>
        <w:t>ном - техников самолетов). Из предло</w:t>
      </w:r>
      <w:r w:rsidRPr="00722885">
        <w:rPr>
          <w:color w:val="000000" w:themeColor="text1"/>
          <w:sz w:val="16"/>
          <w:szCs w:val="16"/>
        </w:rPr>
        <w:softHyphen/>
        <w:t>женных французским летчикам не</w:t>
      </w:r>
      <w:r w:rsidRPr="00722885">
        <w:rPr>
          <w:color w:val="000000" w:themeColor="text1"/>
          <w:sz w:val="16"/>
          <w:szCs w:val="16"/>
        </w:rPr>
        <w:softHyphen/>
        <w:t>скольких типов истребителей пилоты “Нормандии” выбрали Як-1. По мне</w:t>
      </w:r>
      <w:r w:rsidRPr="00722885">
        <w:rPr>
          <w:color w:val="000000" w:themeColor="text1"/>
          <w:sz w:val="16"/>
          <w:szCs w:val="16"/>
        </w:rPr>
        <w:softHyphen/>
        <w:t>нию Литольфа, эта машина была близ</w:t>
      </w:r>
      <w:r w:rsidRPr="00722885">
        <w:rPr>
          <w:color w:val="000000" w:themeColor="text1"/>
          <w:sz w:val="16"/>
          <w:szCs w:val="16"/>
        </w:rPr>
        <w:softHyphen/>
        <w:t>ка по технике пилотирования к хорошо известному MS-406, но обладала боль</w:t>
      </w:r>
      <w:r w:rsidRPr="00722885">
        <w:rPr>
          <w:color w:val="000000" w:themeColor="text1"/>
          <w:sz w:val="16"/>
          <w:szCs w:val="16"/>
        </w:rPr>
        <w:softHyphen/>
        <w:t>шим диапазоном скоростей. Боевая подготовка эскадрильи производилась в несколько этапов. Сначала французы познакомились с “Яками” на земле, изучили советское “Наставление по производству полетов”, затем совер</w:t>
      </w:r>
      <w:r w:rsidRPr="00722885">
        <w:rPr>
          <w:color w:val="000000" w:themeColor="text1"/>
          <w:sz w:val="16"/>
          <w:szCs w:val="16"/>
        </w:rPr>
        <w:softHyphen/>
        <w:t>шили ряд тренировочных полетов на самолетах УТ-2. Обучение производи</w:t>
      </w:r>
      <w:r w:rsidRPr="00722885">
        <w:rPr>
          <w:color w:val="000000" w:themeColor="text1"/>
          <w:sz w:val="16"/>
          <w:szCs w:val="16"/>
        </w:rPr>
        <w:softHyphen/>
        <w:t>лось офицерами 6-й заб через перево</w:t>
      </w:r>
      <w:r w:rsidRPr="00722885">
        <w:rPr>
          <w:color w:val="000000" w:themeColor="text1"/>
          <w:sz w:val="16"/>
          <w:szCs w:val="16"/>
        </w:rPr>
        <w:softHyphen/>
        <w:t>дчиков (3956).</w:t>
      </w:r>
    </w:p>
    <w:p w14:paraId="06CB8940" w14:textId="77777777" w:rsidR="00BB6316" w:rsidRPr="00722885" w:rsidRDefault="00BB6316" w:rsidP="00722885">
      <w:pPr>
        <w:pStyle w:val="Iauiue"/>
        <w:jc w:val="both"/>
        <w:rPr>
          <w:color w:val="000000" w:themeColor="text1"/>
          <w:sz w:val="16"/>
          <w:szCs w:val="16"/>
        </w:rPr>
      </w:pPr>
    </w:p>
    <w:p w14:paraId="495D1C0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 свой первый боевой вылет совершили экипажи 587-го женского бап (впоследствии 125-го гв. бап) на Пе-2 (3542).</w:t>
      </w:r>
    </w:p>
    <w:p w14:paraId="14088F09" w14:textId="77777777" w:rsidR="00BB6316" w:rsidRPr="00722885" w:rsidRDefault="00BB6316" w:rsidP="00722885">
      <w:pPr>
        <w:pStyle w:val="Iauiue"/>
        <w:jc w:val="both"/>
        <w:rPr>
          <w:color w:val="000000" w:themeColor="text1"/>
          <w:sz w:val="16"/>
          <w:szCs w:val="16"/>
        </w:rPr>
      </w:pPr>
    </w:p>
    <w:p w14:paraId="27640DF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в ходе Сталинградской операции по данным аэрофотосъемки вскрыты вся система обороны, аэродромная сеть и переправы противника. На основе этих данных изданы крупномасштабные карты обороны противника, которые доводились до войск, и карты аэродромной сети и пунктов переправ, которые направлялись в авиационные части (8983).</w:t>
      </w:r>
    </w:p>
    <w:p w14:paraId="44793B7D" w14:textId="77777777" w:rsidR="00BB6316" w:rsidRPr="00722885" w:rsidRDefault="00BB6316" w:rsidP="00722885">
      <w:pPr>
        <w:pStyle w:val="Iauiue"/>
        <w:jc w:val="both"/>
        <w:rPr>
          <w:color w:val="000000" w:themeColor="text1"/>
          <w:sz w:val="16"/>
          <w:szCs w:val="16"/>
        </w:rPr>
      </w:pPr>
    </w:p>
    <w:p w14:paraId="79EBF41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В течение декабря 1942 г. и января – марта 1943 г. на город было сброшено больше 2000 фугасных и 81800 зажигательных бомб. Фашистской авиации удалось нанести </w:t>
      </w:r>
      <w:r w:rsidRPr="00722885">
        <w:rPr>
          <w:color w:val="000000" w:themeColor="text1"/>
          <w:sz w:val="16"/>
          <w:szCs w:val="16"/>
        </w:rPr>
        <w:lastRenderedPageBreak/>
        <w:t>большой урон Кировской ж/д, главным образом на участке Кандалакша – Лоухи: было разрушено и повреждено 37 стационарных зданий, 300 км. пути, разбито и повреждено 37 паровозов и 104 вагона. Из Мурманска в 1942 году отправлено 27582 вагона с импортно-экспортными грузами (9453).</w:t>
      </w:r>
    </w:p>
    <w:p w14:paraId="6BFEF8DB" w14:textId="77777777" w:rsidR="00BB6316" w:rsidRPr="00722885" w:rsidRDefault="00BB6316" w:rsidP="00722885">
      <w:pPr>
        <w:pStyle w:val="Iauiue"/>
        <w:jc w:val="both"/>
        <w:rPr>
          <w:color w:val="000000" w:themeColor="text1"/>
          <w:sz w:val="16"/>
          <w:szCs w:val="16"/>
        </w:rPr>
      </w:pPr>
    </w:p>
    <w:p w14:paraId="2F9DCA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был составлен План минирования на Балтике и на этот раз отличался большей продуманностью по сравнению с предыдущим. В первую очередь это выражалось в перенесении основных усилий на минирование таллиннской бухты, поскольку именно Таллинн являлся главным транспортным узлом морских коммуникаций противника в северной части Балтийского моря. Параллельно решили продолжать минировать и подходы к Хельсинки (9965).</w:t>
      </w:r>
    </w:p>
    <w:p w14:paraId="537D64D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C9382E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приняли на вооружение новые отечественные неконтактные донные мины АМД-500 и АМД-1000 весом соответственно 500 и 1000 кг. Для повышения эффективности тор</w:t>
      </w:r>
      <w:r w:rsidRPr="00722885">
        <w:rPr>
          <w:rFonts w:ascii="Times New Roman" w:hAnsi="Times New Roman"/>
          <w:color w:val="000000" w:themeColor="text1"/>
          <w:sz w:val="16"/>
          <w:szCs w:val="16"/>
        </w:rPr>
        <w:softHyphen/>
        <w:t>педометания дистанцию сброса сокра</w:t>
      </w:r>
      <w:r w:rsidRPr="00722885">
        <w:rPr>
          <w:rFonts w:ascii="Times New Roman" w:hAnsi="Times New Roman"/>
          <w:color w:val="000000" w:themeColor="text1"/>
          <w:sz w:val="16"/>
          <w:szCs w:val="16"/>
        </w:rPr>
        <w:softHyphen/>
        <w:t>тили до минимума — 400-800 м. (10734,85)</w:t>
      </w:r>
    </w:p>
    <w:p w14:paraId="12117A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39F501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г. немецкое командование приняло решение о срочной реорганизации всех эскадр непосредственной поддержки войск и перевооружении их на авиатехнику, лучшим образом отвечающую требованиям войны и производящуюся на германских авиазаводах в достаточных количествах.</w:t>
      </w:r>
    </w:p>
    <w:p w14:paraId="51CFBC7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 мнению известного немецкого боевого летчика командира II./StG2 майора Купфера, основной боевой задачей "оптимального" самолета-штурмовика должна быть борьба с прорывающимися танковыми колоннами. Для этого Купфер предложил уничтожать не столько сами танки, сколько более уязвимые от ударов с воздуха колонны с топливом, боеприпасами и запчастями.</w:t>
      </w:r>
    </w:p>
    <w:p w14:paraId="297D4F8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Решение этой задачи вполне было под силу скоростному самолету-штурмовику, вооруженному 20-мм пушками, вполне обеспечивавшими необходимую вероятность поражения (выведения из строя) легкобронированных и небронированных целей.</w:t>
      </w:r>
    </w:p>
    <w:p w14:paraId="4761FB3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Скоростной штурмовик должен был иметь небольшие размеры, быть одноместным (недостаток летных кадров в люфтваффе становился критическим) и обладать высокой вертикальной и горизонтальной маневренностью для построения эффективного противозенитного маневра. Максимальный калибр авиабомб, используемых скоростным штурмовиком, не должен превышать 250 кг - целями, неуязвимыми для таких бомб, должны заниматься бомбардировщики. Кроме того, считалось, что скорость и маневренность штурмовика позволят при выполнении боевых задач обойтись без истребительного сопровождения.</w:t>
      </w:r>
    </w:p>
    <w:p w14:paraId="14F0284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Лучшим кандидатом на роль скоростного штурмовика в условиях неспособности германской авиапромышленности быстро создать специальный бронированный скоростной самолет-штурмовик оказался истребитель Fwl90. Сыграло роль и то, что уже были разработаны заводские модификации U1 и U3, позволявшие переоборудовать стандартный истребитель в истребитель-бомбардировщик (9084).</w:t>
      </w:r>
    </w:p>
    <w:p w14:paraId="5C4612D1" w14:textId="77777777" w:rsidR="00BB6316" w:rsidRPr="00722885" w:rsidRDefault="00BB6316" w:rsidP="00722885">
      <w:pPr>
        <w:pStyle w:val="Iauiue"/>
        <w:jc w:val="both"/>
        <w:rPr>
          <w:color w:val="000000" w:themeColor="text1"/>
          <w:sz w:val="16"/>
          <w:szCs w:val="16"/>
        </w:rPr>
      </w:pPr>
    </w:p>
    <w:p w14:paraId="074CD2C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организацию артиллерийской дивизии усовершенствовали и в нее стало входить 4 бригады (легкая, гаубичная, тяжелая пушечная и минометная) с общим числом 248 орудий (359,174).</w:t>
      </w:r>
    </w:p>
    <w:p w14:paraId="293E5FD4" w14:textId="77777777" w:rsidR="00BB6316" w:rsidRPr="00722885" w:rsidRDefault="00BB6316" w:rsidP="00722885">
      <w:pPr>
        <w:pStyle w:val="Iauiue"/>
        <w:jc w:val="both"/>
        <w:rPr>
          <w:color w:val="000000" w:themeColor="text1"/>
          <w:sz w:val="16"/>
          <w:szCs w:val="16"/>
        </w:rPr>
      </w:pPr>
    </w:p>
    <w:p w14:paraId="58EF0B7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в составе Донского и ВорФ впервые появились созданные в октябре 1942 гвардейские танковые полки прорыва (штаты N 010/267). Сразу присваивали звание гвардейских и вооружали КВ-1С или Черчилями. 21 танк и 241 чел. Сразу 7 частей - 1, 5, 6 и 9 на КВ-1С и 48 на Черчилях в 21А, 7 на КВ-1С в 66А, 49 - в 65А (3828,32).</w:t>
      </w:r>
    </w:p>
    <w:p w14:paraId="659726E6" w14:textId="77777777" w:rsidR="00BB6316" w:rsidRPr="00722885" w:rsidRDefault="00BB6316" w:rsidP="00722885">
      <w:pPr>
        <w:pStyle w:val="Iauiue"/>
        <w:jc w:val="both"/>
        <w:rPr>
          <w:color w:val="000000" w:themeColor="text1"/>
          <w:sz w:val="16"/>
          <w:szCs w:val="16"/>
        </w:rPr>
      </w:pPr>
    </w:p>
    <w:p w14:paraId="72BC238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в критический момент контрнаступления немцев под Сталинградом применили танковые огнеметы - 235 ООТБ. Высокая эффективность (5219, 33).</w:t>
      </w:r>
    </w:p>
    <w:p w14:paraId="36AB5040" w14:textId="77777777" w:rsidR="00BB6316" w:rsidRPr="00722885" w:rsidRDefault="00BB6316" w:rsidP="00722885">
      <w:pPr>
        <w:pStyle w:val="Iauiue"/>
        <w:jc w:val="both"/>
        <w:rPr>
          <w:color w:val="000000" w:themeColor="text1"/>
          <w:sz w:val="16"/>
          <w:szCs w:val="16"/>
        </w:rPr>
      </w:pPr>
    </w:p>
    <w:p w14:paraId="653284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Поступление в армию многожильных вводных кабелей ГТВК-5Х2, ТТВК-10Х2 для оборудования армейских и фронтовых узлов связи. ПК-30 и фИН-6 в армию телефонных коммутаторов. Введение должности начальника направления связи фронта. Изготовление ремонтным заводом Западного фронта радиолиний телефонной связи «Комета». Установление классности для радиотелеграфистов (11072).</w:t>
      </w:r>
    </w:p>
    <w:p w14:paraId="5E07DB9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E80425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была сформирована Онежская флотилия (359,190).</w:t>
      </w:r>
    </w:p>
    <w:p w14:paraId="497DE191" w14:textId="77777777" w:rsidR="00BB6316" w:rsidRPr="00722885" w:rsidRDefault="00BB6316" w:rsidP="00722885">
      <w:pPr>
        <w:pStyle w:val="Iauiue"/>
        <w:jc w:val="both"/>
        <w:rPr>
          <w:color w:val="000000" w:themeColor="text1"/>
          <w:sz w:val="16"/>
          <w:szCs w:val="16"/>
        </w:rPr>
      </w:pPr>
    </w:p>
    <w:p w14:paraId="7D43491F" w14:textId="77777777" w:rsidR="007B5608" w:rsidRPr="00722885" w:rsidRDefault="007B5608"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1959151D" w14:textId="77777777" w:rsidR="007B5608" w:rsidRPr="00722885" w:rsidRDefault="007B5608" w:rsidP="00722885">
      <w:pPr>
        <w:pStyle w:val="Iauiue"/>
        <w:jc w:val="both"/>
        <w:rPr>
          <w:iCs/>
          <w:color w:val="000000" w:themeColor="text1"/>
          <w:sz w:val="16"/>
          <w:szCs w:val="16"/>
        </w:rPr>
      </w:pPr>
    </w:p>
    <w:p w14:paraId="098BADEA" w14:textId="77777777" w:rsidR="007B5608" w:rsidRPr="00722885" w:rsidRDefault="007B5608" w:rsidP="00722885">
      <w:pPr>
        <w:pStyle w:val="ae"/>
        <w:spacing w:before="0" w:after="0"/>
        <w:jc w:val="both"/>
        <w:rPr>
          <w:color w:val="000000" w:themeColor="text1"/>
          <w:sz w:val="16"/>
          <w:szCs w:val="16"/>
          <w:shd w:val="clear" w:color="auto" w:fill="F0FFFF"/>
        </w:rPr>
      </w:pPr>
      <w:r w:rsidRPr="00722885">
        <w:rPr>
          <w:color w:val="000000" w:themeColor="text1"/>
          <w:sz w:val="16"/>
          <w:szCs w:val="16"/>
        </w:rPr>
        <w:t>В декабре 1942 г. Кейнс определял максимальную сумму возмещения ущерба в 6 млрд долларов (в ценах 1938 г.), которую Германия должна была бы выплачивать в течение пяти лет (из них 50—70 % в пользу СССР). По истечении этого срока она должна была перечислять 10—25 % своих доходов от экспорта в качестве «вклада в защиту мира» [Fisch, 1992. S. 42]. Такой вариант устраивал Великобританию, получившую не самые большие разрушения, а, следовательно, не имевшую права претендовать на крупные репарации. Таким образом британцы отдавали предпочтение такой репарационной политике, которая сохраняла бы существенную часть экономической свободы Германии, необходимой для ее послевоенного восстановления [Bracher, Jacobsen, 1987. S. 172—182] (19850).</w:t>
      </w:r>
    </w:p>
    <w:p w14:paraId="4E9B9C36" w14:textId="77777777" w:rsidR="007B5608" w:rsidRPr="00722885" w:rsidRDefault="007B5608" w:rsidP="00722885">
      <w:pPr>
        <w:pStyle w:val="ae"/>
        <w:spacing w:before="0" w:after="0"/>
        <w:jc w:val="both"/>
        <w:rPr>
          <w:color w:val="000000" w:themeColor="text1"/>
          <w:sz w:val="16"/>
          <w:szCs w:val="16"/>
          <w:shd w:val="clear" w:color="auto" w:fill="F0FFFF"/>
        </w:rPr>
      </w:pPr>
    </w:p>
    <w:p w14:paraId="42C491EB"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A1EB718" w14:textId="77777777" w:rsidR="00BB6316" w:rsidRPr="00722885" w:rsidRDefault="00BB6316" w:rsidP="00722885">
      <w:pPr>
        <w:pStyle w:val="Iauiue"/>
        <w:jc w:val="both"/>
        <w:rPr>
          <w:iCs/>
          <w:color w:val="000000" w:themeColor="text1"/>
          <w:sz w:val="16"/>
          <w:szCs w:val="16"/>
        </w:rPr>
      </w:pPr>
    </w:p>
    <w:p w14:paraId="0C803314" w14:textId="77777777" w:rsidR="003B6A42" w:rsidRPr="00722885" w:rsidRDefault="003B6A4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Декабрь 1942 Королевские военно-воздушные силы начинают подавлять в воздухе немецкие радары Freya и Mammut с помощью глушителей Mandrel, находящихся на борту Boulton Paul Defiants из 515-й эскадрильи, летающих над Северным морем у берегов Нидерландов на линии патрулирования, известной как "Экран оправки". Бомбардировщики ВВС начинают использовать и «Мишуру», ленты для глушения Немецких радаров для управления ночными истребителями (20793).</w:t>
      </w:r>
    </w:p>
    <w:p w14:paraId="2D343EC3" w14:textId="77777777" w:rsidR="003B6A42" w:rsidRPr="00722885" w:rsidRDefault="003B6A42" w:rsidP="00722885">
      <w:pPr>
        <w:spacing w:after="0" w:line="240" w:lineRule="auto"/>
        <w:jc w:val="both"/>
        <w:rPr>
          <w:rFonts w:ascii="Times New Roman" w:hAnsi="Times New Roman"/>
          <w:color w:val="0070C0"/>
          <w:sz w:val="16"/>
          <w:szCs w:val="16"/>
        </w:rPr>
      </w:pPr>
    </w:p>
    <w:p w14:paraId="48589708" w14:textId="77777777" w:rsidR="003B6A42" w:rsidRPr="00722885" w:rsidRDefault="003B6A4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Декабрь 1942 года состоялся первый полет Messerschmitt Me 264 (20793).</w:t>
      </w:r>
    </w:p>
    <w:p w14:paraId="09A6DFBB" w14:textId="77777777" w:rsidR="003B6A42" w:rsidRPr="00722885" w:rsidRDefault="003B6A42" w:rsidP="00722885">
      <w:pPr>
        <w:spacing w:after="0" w:line="240" w:lineRule="auto"/>
        <w:jc w:val="both"/>
        <w:rPr>
          <w:rFonts w:ascii="Times New Roman" w:hAnsi="Times New Roman"/>
          <w:color w:val="0070C0"/>
          <w:sz w:val="16"/>
          <w:szCs w:val="16"/>
        </w:rPr>
      </w:pPr>
    </w:p>
    <w:p w14:paraId="61E1C9E5" w14:textId="77777777" w:rsidR="003B6A42" w:rsidRPr="00722885" w:rsidRDefault="003B6A4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декабре 1942-го был издан приказ о развер</w:t>
      </w:r>
      <w:r w:rsidRPr="00722885">
        <w:rPr>
          <w:rFonts w:ascii="Times New Roman" w:hAnsi="Times New Roman"/>
          <w:color w:val="0070C0"/>
          <w:sz w:val="16"/>
          <w:szCs w:val="16"/>
        </w:rPr>
        <w:softHyphen/>
        <w:t>тывании массового производства ракеты А-4 и се компонентов в Пенемюнде и на заводах «Цеппелин». В январе 1943-го при Министерстве вооружений создается комитет по А-4 под об</w:t>
      </w:r>
      <w:r w:rsidRPr="00722885">
        <w:rPr>
          <w:rFonts w:ascii="Times New Roman" w:hAnsi="Times New Roman"/>
          <w:color w:val="0070C0"/>
          <w:sz w:val="16"/>
          <w:szCs w:val="16"/>
        </w:rPr>
        <w:softHyphen/>
        <w:t>щим руководством Г. Дегенкольба. На Вернера фон Брауна не жалели денег: в 1942 году, в разгар войны, на Пенемюнде тратилось всего вдвое меньше средств, чем на производс</w:t>
      </w:r>
      <w:r w:rsidRPr="00722885">
        <w:rPr>
          <w:rFonts w:ascii="Times New Roman" w:hAnsi="Times New Roman"/>
          <w:color w:val="0070C0"/>
          <w:sz w:val="16"/>
          <w:szCs w:val="16"/>
        </w:rPr>
        <w:softHyphen/>
        <w:t>тво танков. Сегодня очевидно, что военный результат ракет “А-4” на европейских фронтах был почти нулевым. Ракетная программа нанесла военно-промышленному потенциалу Рей</w:t>
      </w:r>
      <w:r w:rsidRPr="00722885">
        <w:rPr>
          <w:rFonts w:ascii="Times New Roman" w:hAnsi="Times New Roman"/>
          <w:color w:val="0070C0"/>
          <w:sz w:val="16"/>
          <w:szCs w:val="16"/>
        </w:rPr>
        <w:softHyphen/>
        <w:t>ха существенный урон, что невольно сделало фон Брауна на</w:t>
      </w:r>
      <w:r w:rsidRPr="00722885">
        <w:rPr>
          <w:rFonts w:ascii="Times New Roman" w:hAnsi="Times New Roman"/>
          <w:color w:val="0070C0"/>
          <w:sz w:val="16"/>
          <w:szCs w:val="16"/>
        </w:rPr>
        <w:softHyphen/>
        <w:t>шим “союзником”, т.к. на Восточный фронт не были перебро</w:t>
      </w:r>
      <w:r w:rsidRPr="00722885">
        <w:rPr>
          <w:rFonts w:ascii="Times New Roman" w:hAnsi="Times New Roman"/>
          <w:color w:val="0070C0"/>
          <w:sz w:val="16"/>
          <w:szCs w:val="16"/>
        </w:rPr>
        <w:softHyphen/>
        <w:t>шены тысячи дополнительных самолетов и танков, средства на производство которых поглотило детище Брауна.</w:t>
      </w:r>
    </w:p>
    <w:p w14:paraId="2E0B428A" w14:textId="77777777" w:rsidR="003B6A42" w:rsidRPr="00722885" w:rsidRDefault="003B6A42"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Изготовление А-4 началось после успешных испытаний «обогнавшей» ее ракеты А-5. Работа по созданию ЖРД тягой 25 тонн для нее весьма активно шла еще на этапе рождения ракеты А-3. Двигатель, несомненно, явился достижением доктора Вальтера Тиля, ставшего одной из ведущих персон в «команде фон Брауна»</w:t>
      </w:r>
      <w:bookmarkStart w:id="13" w:name="_Hlk92279018"/>
      <w:r w:rsidRPr="00722885">
        <w:rPr>
          <w:rFonts w:ascii="Times New Roman" w:hAnsi="Times New Roman"/>
          <w:color w:val="0070C0"/>
          <w:sz w:val="16"/>
          <w:szCs w:val="16"/>
        </w:rPr>
        <w:t xml:space="preserve"> (22798).</w:t>
      </w:r>
    </w:p>
    <w:p w14:paraId="010474A4" w14:textId="77777777" w:rsidR="003B6A42" w:rsidRPr="00722885" w:rsidRDefault="003B6A42" w:rsidP="00722885">
      <w:pPr>
        <w:pStyle w:val="1162"/>
        <w:shd w:val="clear" w:color="auto" w:fill="auto"/>
        <w:spacing w:after="0" w:line="240" w:lineRule="auto"/>
        <w:ind w:firstLine="0"/>
        <w:jc w:val="both"/>
        <w:rPr>
          <w:rStyle w:val="930"/>
          <w:rFonts w:ascii="Times New Roman" w:hAnsi="Times New Roman" w:cs="Times New Roman"/>
          <w:color w:val="0070C0"/>
          <w:sz w:val="16"/>
          <w:szCs w:val="16"/>
        </w:rPr>
      </w:pPr>
    </w:p>
    <w:bookmarkEnd w:id="13"/>
    <w:p w14:paraId="5762DB9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К концу 1942 г. в Албании действуют 20 партизанских отрядов, контролирующих ряд районов юга и центра. Руководство партизанами осуществляет как КПА, так и некоммунистическая повстанческая организация "Балли Комбетар" (7594).</w:t>
      </w:r>
    </w:p>
    <w:p w14:paraId="068E77AA" w14:textId="77777777" w:rsidR="00BB6316" w:rsidRPr="00722885" w:rsidRDefault="00BB6316" w:rsidP="00722885">
      <w:pPr>
        <w:pStyle w:val="Iauiue"/>
        <w:jc w:val="both"/>
        <w:rPr>
          <w:color w:val="000000" w:themeColor="text1"/>
          <w:sz w:val="16"/>
          <w:szCs w:val="16"/>
        </w:rPr>
      </w:pPr>
    </w:p>
    <w:p w14:paraId="22915F6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декабое 1942 немецкая п/л обстреляла из пушек серебоистый веретенообразный объект длинною ок. 80 м, который быстро и беззвучно пролетел в 300 м (7579).</w:t>
      </w:r>
    </w:p>
    <w:p w14:paraId="3E0566BB" w14:textId="77777777" w:rsidR="00BB6316" w:rsidRPr="00722885" w:rsidRDefault="00BB6316" w:rsidP="00722885">
      <w:pPr>
        <w:pStyle w:val="Iauiue"/>
        <w:jc w:val="both"/>
        <w:rPr>
          <w:color w:val="000000" w:themeColor="text1"/>
          <w:sz w:val="16"/>
          <w:szCs w:val="16"/>
        </w:rPr>
      </w:pPr>
    </w:p>
    <w:p w14:paraId="7042E0E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начались испытания Fi-103 (V-1) (237,201). Сначала был планирующий полет с FW-200 Кондор, а через несколько дней был полет с работающим двигателем на 2.7 км (1608,20).</w:t>
      </w:r>
    </w:p>
    <w:p w14:paraId="50BA2CD8" w14:textId="77777777" w:rsidR="00BB6316" w:rsidRPr="00722885" w:rsidRDefault="00BB6316" w:rsidP="00722885">
      <w:pPr>
        <w:pStyle w:val="Iauiue"/>
        <w:jc w:val="both"/>
        <w:rPr>
          <w:color w:val="000000" w:themeColor="text1"/>
          <w:sz w:val="16"/>
          <w:szCs w:val="16"/>
        </w:rPr>
      </w:pPr>
    </w:p>
    <w:p w14:paraId="1157464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декабре 1942 состоялся первый полет Р-63, а проектирование началось в феврале 1941 (173,252).</w:t>
      </w:r>
    </w:p>
    <w:p w14:paraId="5C306D55" w14:textId="77777777" w:rsidR="00BB6316" w:rsidRPr="00722885" w:rsidRDefault="00BB6316" w:rsidP="00722885">
      <w:pPr>
        <w:pStyle w:val="Iauiue"/>
        <w:jc w:val="both"/>
        <w:rPr>
          <w:color w:val="000000" w:themeColor="text1"/>
          <w:sz w:val="16"/>
          <w:szCs w:val="16"/>
        </w:rPr>
      </w:pPr>
    </w:p>
    <w:p w14:paraId="48DF37A9"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66729CF" w14:textId="77777777" w:rsidR="00BB6316" w:rsidRPr="00722885" w:rsidRDefault="00BB6316" w:rsidP="00722885">
      <w:pPr>
        <w:pStyle w:val="Iauiue"/>
        <w:jc w:val="both"/>
        <w:rPr>
          <w:iCs/>
          <w:color w:val="000000" w:themeColor="text1"/>
          <w:sz w:val="16"/>
          <w:szCs w:val="16"/>
        </w:rPr>
      </w:pPr>
    </w:p>
    <w:p w14:paraId="1A89B253" w14:textId="77777777" w:rsidR="00500FF3" w:rsidRPr="00722885" w:rsidRDefault="00500FF3" w:rsidP="00722885">
      <w:pPr>
        <w:pStyle w:val="Iauiue"/>
        <w:jc w:val="both"/>
        <w:rPr>
          <w:color w:val="000000" w:themeColor="text1"/>
          <w:sz w:val="16"/>
          <w:szCs w:val="16"/>
        </w:rPr>
      </w:pPr>
      <w:r w:rsidRPr="00722885">
        <w:rPr>
          <w:color w:val="000000" w:themeColor="text1"/>
          <w:sz w:val="16"/>
          <w:szCs w:val="16"/>
        </w:rPr>
        <w:t>С декабря 1942 г. по январь 1943 г. на Сталинградском фронте проводились Войсковые испытания Ил-2 с Ш-37. Боевые вылеты этих машин выполнялись в общем строю с обычными штурмовиками, вооруженными пушками ШВАК и ВЯ. Отдельных заданий для самолетов с 37-мм пушками не давали, одни и те же цели атаковали самолеты с пушками различных калибров. Летчики отмечали, “...что пушки Ш-37, установленные на самолетах Ил-2, являясь единственным мощным и эффективным вооружением авиации Красной Армии в борьбе с бронированными объектами противника, были представлены на испытания в недоведенном состоянии”. В полете отмечалась вибрация стволов, а низкое расположение пушек относительно центра масс самолета приводило к увеличению пикирующего момента при стрельбе, “клевкам” самолета, что все вместе ухудшало точность прицельного огня. В результате от установки этих пушек отказались (9528).</w:t>
      </w:r>
    </w:p>
    <w:p w14:paraId="2F8AEB73" w14:textId="77777777" w:rsidR="00500FF3" w:rsidRPr="00722885" w:rsidRDefault="00500FF3" w:rsidP="00722885">
      <w:pPr>
        <w:pStyle w:val="Iauiue"/>
        <w:jc w:val="both"/>
        <w:rPr>
          <w:color w:val="000000" w:themeColor="text1"/>
          <w:sz w:val="16"/>
          <w:szCs w:val="16"/>
        </w:rPr>
      </w:pPr>
    </w:p>
    <w:p w14:paraId="2EBBB4C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С декабря 1942 г. по апрель 1943 г. -противотанковые авиабомбы конструкции И.А.Ларионова калибром 2,5 кг не только спроектировали и создали, но и испытали </w:t>
      </w:r>
      <w:r w:rsidRPr="00722885">
        <w:rPr>
          <w:color w:val="000000" w:themeColor="text1"/>
          <w:sz w:val="16"/>
          <w:szCs w:val="16"/>
        </w:rPr>
        <w:lastRenderedPageBreak/>
        <w:t>по полной программе. У боеприпасов, позже принятых на вооружение, корпуса и клепаные стабилизаторы перисто-цилиндрической формы изготавливали из листовой стали толщиной 0,6 мм. Для увеличения осколочного действия на цилиндрическую часть авиабомб дополнительно надевали стальную 1,5-мм рубашку. Сферическая головная часть корпуса боеприпаса была выполнена с радиусом, строго соответствовавшим оптимальному расстоянию для наиболее эффективного действия кумулятивного заряда.</w:t>
      </w:r>
    </w:p>
    <w:p w14:paraId="72121FA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Стабилизатор авиабомбы крепили с помощью специальной штампованной скобы корпусом донного взрывателя (при транспортировке эти функции выполняла пробка. Боевой заряд ПТАБ состоял из смесевого взрывчатого вещества ТГА, снаряженного через донное очко. Кроме того, в гнездо под взрывателем устанавливали дополнительный промежуточный детонатор в виде прессованной тетриловой шашки. Поскольку применяли ПТАБ, сбрасывая из кассет (главным образом, со штурмовиков) и бомбоотсеков, оснащать бугелями авиабомбы не требовалось.</w:t>
      </w:r>
    </w:p>
    <w:p w14:paraId="3C56790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испытаниях установили, что авиабомбы конструкции ЦКБ-22 пробивают верхнее броневое покрытие немецких легких самоходных штурмовых орудий класса “Артштурм” толщиной 30 - 52 мм при встрече с преградой под углами 90, 45 и 30 к горизонту, а при меньших углах - только 30 мм. В большинстве случаев пробоины сопровождались отколом брони вокруг выходного отверстия.</w:t>
      </w:r>
    </w:p>
    <w:p w14:paraId="5C6DF68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ходе испытаний на безотказность действия авиабомбами из кассет самолета Ил-4 бомбили одиночную наземную цель с высот 50 - 100 м на скорости 280 км/ч. Прямых попаданий не было, но все авиабомбы и их взрыватели действовали безотказно. На предыдущих испытаниях при прямом попадании в самоходку выломало угол брони размерами 200х300 мм и пробило отверстие 55х110 мм. И хотя габариты авиабомбы превышали допустимые на 1-4 мм, на основании результатов испытаний противотанковые кумулятивные авиабомбы ПТАБ-1,5 приняли на вооружение ВВС. В январе 1943 г. Научно-техническим журналом № 050 кумулятивной авиабомбе присвоили наименование ПТАБ-2,5-1,5 и утвердили номер чертежа 3-01217, а также индекс по ВВС - 7-Т-118.</w:t>
      </w:r>
    </w:p>
    <w:p w14:paraId="0196A17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 личному распоряжению И.В.Сталина, который был в курсе результатов испытаний. Государственный Комитет Обороны СССР принял этот боеприпас на вооружение, не дожидаясь оформления отчета по войсковым испытаниям, и распорядился начать его серийное производство. Рабочую документацию на изготовление авиабомбы и взрывателя разработали на заводах № 67 и 846 Наркомата боеприпасов. От народного комиссара боеприпасов Б.Л.Ванникова потребовали в срок до 15 мая изготовить 800 тысяч таких авиабомб с донными взрывателями АД-А. Снаряжали эти боеприпасы в Подмосковье на заводе № 12.</w:t>
      </w:r>
    </w:p>
    <w:p w14:paraId="0ABCE33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Этим же НТЖ донному взрывателю присвоили наименование АД-А, утвердив номер чертежа 3-01018 и индекс ВВС - 7-В-118. Для предохранения крыльчатки взрывателя от самопроизвольного свертывания на стабилизатор бомбы надевали специальный предохранитель из жестяной пластины квадратной формы с закрепленной на ней вилкой из двух проволочных усов, проходя щих между лопастями. Встречным потоком воздуха его срывал( с бомбы после сбрасывания ПТАБ с самолета (7453).</w:t>
      </w:r>
    </w:p>
    <w:p w14:paraId="0B667DEC" w14:textId="77777777" w:rsidR="00BB6316" w:rsidRPr="00722885" w:rsidRDefault="00BB6316" w:rsidP="00722885">
      <w:pPr>
        <w:pStyle w:val="Iauiue"/>
        <w:jc w:val="both"/>
        <w:rPr>
          <w:color w:val="000000" w:themeColor="text1"/>
          <w:sz w:val="16"/>
          <w:szCs w:val="16"/>
        </w:rPr>
      </w:pPr>
    </w:p>
    <w:p w14:paraId="75F96E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 январе 1943 г. шли испытания Ил-4, который должен был буксировать за собой «летающий бак» — специально переоборудован</w:t>
      </w:r>
      <w:r w:rsidRPr="00722885">
        <w:rPr>
          <w:rFonts w:ascii="Times New Roman" w:hAnsi="Times New Roman"/>
          <w:color w:val="000000" w:themeColor="text1"/>
          <w:sz w:val="16"/>
          <w:szCs w:val="16"/>
        </w:rPr>
        <w:softHyphen/>
        <w:t>ный планер А-7. В двух его баках нахо</w:t>
      </w:r>
      <w:r w:rsidRPr="00722885">
        <w:rPr>
          <w:rFonts w:ascii="Times New Roman" w:hAnsi="Times New Roman"/>
          <w:color w:val="000000" w:themeColor="text1"/>
          <w:sz w:val="16"/>
          <w:szCs w:val="16"/>
        </w:rPr>
        <w:softHyphen/>
        <w:t>дились 1000 л бензина. «Безмоторный танкер» нес и мощный бензонасос, пи</w:t>
      </w:r>
      <w:r w:rsidRPr="00722885">
        <w:rPr>
          <w:rFonts w:ascii="Times New Roman" w:hAnsi="Times New Roman"/>
          <w:color w:val="000000" w:themeColor="text1"/>
          <w:sz w:val="16"/>
          <w:szCs w:val="16"/>
        </w:rPr>
        <w:softHyphen/>
        <w:t>тавшийся от аккумуляторов. Шланг для перекачки крепился к буксировочному тросу. Про</w:t>
      </w:r>
      <w:r w:rsidRPr="00722885">
        <w:rPr>
          <w:rFonts w:ascii="Times New Roman" w:hAnsi="Times New Roman"/>
          <w:color w:val="000000" w:themeColor="text1"/>
          <w:sz w:val="16"/>
          <w:szCs w:val="16"/>
        </w:rPr>
        <w:softHyphen/>
        <w:t>вели их успешно, но в войсках такую технику не применяли — наверное, со</w:t>
      </w:r>
      <w:r w:rsidRPr="00722885">
        <w:rPr>
          <w:rFonts w:ascii="Times New Roman" w:hAnsi="Times New Roman"/>
          <w:color w:val="000000" w:themeColor="text1"/>
          <w:sz w:val="16"/>
          <w:szCs w:val="16"/>
        </w:rPr>
        <w:softHyphen/>
        <w:t>чли невыгодным сковывать маневр бом</w:t>
      </w:r>
      <w:r w:rsidRPr="00722885">
        <w:rPr>
          <w:rFonts w:ascii="Times New Roman" w:hAnsi="Times New Roman"/>
          <w:color w:val="000000" w:themeColor="text1"/>
          <w:sz w:val="16"/>
          <w:szCs w:val="16"/>
        </w:rPr>
        <w:softHyphen/>
        <w:t>бардировщика и снижать его скорость. Всего в 1942 г. промышленность из</w:t>
      </w:r>
      <w:r w:rsidRPr="00722885">
        <w:rPr>
          <w:rFonts w:ascii="Times New Roman" w:hAnsi="Times New Roman"/>
          <w:color w:val="000000" w:themeColor="text1"/>
          <w:sz w:val="16"/>
          <w:szCs w:val="16"/>
        </w:rPr>
        <w:softHyphen/>
        <w:t>готовила 858 Ил-4, около половины из них, 399, поступило в АЛЛ (10734,77).</w:t>
      </w:r>
    </w:p>
    <w:p w14:paraId="7D1BDF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1474A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декабре 1942 г. - январе 1943 г. шли испытания "летающего бака" для Ил-4 - специально переоборудованного планера А-7. В двух его баках находились 1000 л бензина. "Безмоторный танкер" нес и мощный бензонасос, питавшийся от аккумуляторов. Шланг для перекачки крепился к буксировочному тросу. Провели их успешно, но в войсках такую технику не применяли - наверное, сочли невыгодным сковывать маневр бомбардировщика и снижать его скорость (12021).</w:t>
      </w:r>
    </w:p>
    <w:p w14:paraId="171477B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74297D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20C777C2" w14:textId="77777777" w:rsidR="00BB6316" w:rsidRPr="00722885" w:rsidRDefault="00BB6316" w:rsidP="00722885">
      <w:pPr>
        <w:pStyle w:val="Iauiue"/>
        <w:jc w:val="both"/>
        <w:rPr>
          <w:iCs/>
          <w:color w:val="000000" w:themeColor="text1"/>
          <w:sz w:val="16"/>
          <w:szCs w:val="16"/>
        </w:rPr>
      </w:pPr>
    </w:p>
    <w:p w14:paraId="08FA2B85" w14:textId="77777777" w:rsidR="00C36A90" w:rsidRPr="00722885" w:rsidRDefault="00C36A90" w:rsidP="00722885">
      <w:pPr>
        <w:shd w:val="clear" w:color="auto" w:fill="FFFFFF"/>
        <w:spacing w:after="0" w:line="240" w:lineRule="auto"/>
        <w:jc w:val="both"/>
        <w:rPr>
          <w:rFonts w:ascii="Times New Roman" w:hAnsi="Times New Roman"/>
          <w:color w:val="0070C0"/>
          <w:sz w:val="16"/>
          <w:szCs w:val="16"/>
        </w:rPr>
      </w:pPr>
      <w:r w:rsidRPr="00722885">
        <w:rPr>
          <w:rStyle w:val="1021"/>
          <w:rFonts w:ascii="Times New Roman" w:hAnsi="Times New Roman" w:cs="Times New Roman"/>
          <w:color w:val="0070C0"/>
          <w:sz w:val="16"/>
          <w:szCs w:val="16"/>
        </w:rPr>
        <w:t>К концу 1942 года первым от</w:t>
      </w:r>
      <w:r w:rsidRPr="00722885">
        <w:rPr>
          <w:rStyle w:val="1031"/>
          <w:rFonts w:ascii="Times New Roman" w:hAnsi="Times New Roman" w:cs="Times New Roman"/>
          <w:color w:val="0070C0"/>
          <w:sz w:val="16"/>
          <w:szCs w:val="16"/>
          <w:lang w:val="ru"/>
        </w:rPr>
        <w:t xml:space="preserve"> </w:t>
      </w:r>
      <w:r w:rsidRPr="00722885">
        <w:rPr>
          <w:rStyle w:val="1021"/>
          <w:rFonts w:ascii="Times New Roman" w:hAnsi="Times New Roman" w:cs="Times New Roman"/>
          <w:color w:val="0070C0"/>
          <w:sz w:val="16"/>
          <w:szCs w:val="16"/>
        </w:rPr>
        <w:t>«Инструкцию по</w:t>
      </w:r>
      <w:r w:rsidRPr="00722885">
        <w:rPr>
          <w:rStyle w:val="1031"/>
          <w:rFonts w:ascii="Times New Roman" w:hAnsi="Times New Roman" w:cs="Times New Roman"/>
          <w:color w:val="0070C0"/>
          <w:sz w:val="16"/>
          <w:szCs w:val="16"/>
          <w:lang w:val="ru"/>
        </w:rPr>
        <w:t xml:space="preserve"> </w:t>
      </w:r>
      <w:r w:rsidRPr="00722885">
        <w:rPr>
          <w:rStyle w:val="1021"/>
          <w:rFonts w:ascii="Times New Roman" w:hAnsi="Times New Roman" w:cs="Times New Roman"/>
          <w:color w:val="0070C0"/>
          <w:sz w:val="16"/>
          <w:szCs w:val="16"/>
        </w:rPr>
        <w:t>маскирующей окраске самолетов ВВС Крас</w:t>
      </w:r>
      <w:r w:rsidRPr="00722885">
        <w:rPr>
          <w:rStyle w:val="1021"/>
          <w:rFonts w:ascii="Times New Roman" w:hAnsi="Times New Roman" w:cs="Times New Roman"/>
          <w:color w:val="0070C0"/>
          <w:sz w:val="16"/>
          <w:szCs w:val="16"/>
        </w:rPr>
        <w:softHyphen/>
        <w:t>ной Армии» от 20 июня 1941 года отошел завод №166 - на последних</w:t>
      </w:r>
      <w:r w:rsidRPr="00722885">
        <w:rPr>
          <w:rStyle w:val="1031"/>
          <w:rFonts w:ascii="Times New Roman" w:hAnsi="Times New Roman" w:cs="Times New Roman"/>
          <w:color w:val="0070C0"/>
          <w:sz w:val="16"/>
          <w:szCs w:val="16"/>
          <w:lang w:val="ru"/>
        </w:rPr>
        <w:t xml:space="preserve"> </w:t>
      </w:r>
      <w:r w:rsidRPr="00722885">
        <w:rPr>
          <w:rStyle w:val="1021"/>
          <w:rFonts w:ascii="Times New Roman" w:hAnsi="Times New Roman" w:cs="Times New Roman"/>
          <w:color w:val="0070C0"/>
          <w:sz w:val="16"/>
          <w:szCs w:val="16"/>
        </w:rPr>
        <w:t>построенных там Ту-2ВС было уже стандарт</w:t>
      </w:r>
      <w:r w:rsidRPr="00722885">
        <w:rPr>
          <w:rStyle w:val="1021"/>
          <w:rFonts w:ascii="Times New Roman" w:hAnsi="Times New Roman" w:cs="Times New Roman"/>
          <w:color w:val="0070C0"/>
          <w:sz w:val="16"/>
          <w:szCs w:val="16"/>
        </w:rPr>
        <w:softHyphen/>
        <w:t>ное расположение ОЗ в шести позициях. Сле</w:t>
      </w:r>
      <w:r w:rsidRPr="00722885">
        <w:rPr>
          <w:rStyle w:val="1021"/>
          <w:rFonts w:ascii="Times New Roman" w:hAnsi="Times New Roman" w:cs="Times New Roman"/>
          <w:color w:val="0070C0"/>
          <w:sz w:val="16"/>
          <w:szCs w:val="16"/>
        </w:rPr>
        <w:softHyphen/>
        <w:t>дующим оказался завод №381, с начала 1943</w:t>
      </w:r>
      <w:r w:rsidRPr="00722885">
        <w:rPr>
          <w:rStyle w:val="1031"/>
          <w:rFonts w:ascii="Times New Roman" w:hAnsi="Times New Roman" w:cs="Times New Roman"/>
          <w:color w:val="0070C0"/>
          <w:sz w:val="16"/>
          <w:szCs w:val="16"/>
          <w:lang w:val="ru"/>
        </w:rPr>
        <w:t xml:space="preserve"> </w:t>
      </w:r>
      <w:r w:rsidRPr="00722885">
        <w:rPr>
          <w:rStyle w:val="1021"/>
          <w:rFonts w:ascii="Times New Roman" w:hAnsi="Times New Roman" w:cs="Times New Roman"/>
          <w:color w:val="0070C0"/>
          <w:sz w:val="16"/>
          <w:szCs w:val="16"/>
        </w:rPr>
        <w:t xml:space="preserve">по завершению выпуска Ил-2 перешедший на </w:t>
      </w:r>
      <w:r w:rsidRPr="00722885">
        <w:rPr>
          <w:rStyle w:val="1040"/>
          <w:rFonts w:ascii="Times New Roman" w:hAnsi="Times New Roman" w:cs="Times New Roman"/>
          <w:color w:val="0070C0"/>
          <w:sz w:val="16"/>
          <w:szCs w:val="16"/>
        </w:rPr>
        <w:t>Ла-5. Первые «Лавочкины» собирались там</w:t>
      </w:r>
      <w:r w:rsidRPr="00722885">
        <w:rPr>
          <w:rStyle w:val="105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из комплектов, переданных с завода №21,</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возможно, они уже несли звезды в обычных</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для горьковской продукции местах и впо</w:t>
      </w:r>
      <w:r w:rsidRPr="00722885">
        <w:rPr>
          <w:rStyle w:val="1060"/>
          <w:rFonts w:ascii="Times New Roman" w:hAnsi="Times New Roman" w:cs="Times New Roman"/>
          <w:color w:val="0070C0"/>
          <w:sz w:val="16"/>
          <w:szCs w:val="16"/>
        </w:rPr>
        <w:softHyphen/>
        <w:t>следствии нижнетагильский завод на про</w:t>
      </w:r>
      <w:r w:rsidRPr="00722885">
        <w:rPr>
          <w:rStyle w:val="1060"/>
          <w:rFonts w:ascii="Times New Roman" w:hAnsi="Times New Roman" w:cs="Times New Roman"/>
          <w:color w:val="0070C0"/>
          <w:sz w:val="16"/>
          <w:szCs w:val="16"/>
        </w:rPr>
        <w:softHyphen/>
        <w:t>изведенных уже полностью у себя машинах</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стал наносить ОЗ по такой же схеме. Как бы</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там ни было, но Ла-5 с ОЗ в четырех позициях</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не встречаются. С осени 1943 года и завод</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№126 на продолжавшихся там выпускаться</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Ил-4 перешел на более распространенную в</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ВВС схему с расположением звезд в шести</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позициях, заодно изменив их начертание на</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новое, с бело-красным окаймлением.</w:t>
      </w:r>
    </w:p>
    <w:p w14:paraId="00644BF6" w14:textId="77777777" w:rsidR="00C36A90" w:rsidRPr="00722885" w:rsidRDefault="00C36A90" w:rsidP="00722885">
      <w:pPr>
        <w:pStyle w:val="1511"/>
        <w:shd w:val="clear" w:color="auto" w:fill="auto"/>
        <w:spacing w:line="240" w:lineRule="auto"/>
        <w:jc w:val="both"/>
        <w:rPr>
          <w:rFonts w:ascii="Times New Roman" w:hAnsi="Times New Roman" w:cs="Times New Roman"/>
          <w:color w:val="0070C0"/>
          <w:sz w:val="16"/>
          <w:szCs w:val="16"/>
        </w:rPr>
      </w:pPr>
      <w:r w:rsidRPr="00722885">
        <w:rPr>
          <w:rStyle w:val="1060"/>
          <w:rFonts w:ascii="Times New Roman" w:hAnsi="Times New Roman" w:cs="Times New Roman"/>
          <w:color w:val="0070C0"/>
          <w:sz w:val="16"/>
          <w:szCs w:val="16"/>
        </w:rPr>
        <w:t>Однако житейский закон «если где-то</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убавится, то в другом месте должно обяза</w:t>
      </w:r>
      <w:r w:rsidRPr="00722885">
        <w:rPr>
          <w:rStyle w:val="1060"/>
          <w:rFonts w:ascii="Times New Roman" w:hAnsi="Times New Roman" w:cs="Times New Roman"/>
          <w:color w:val="0070C0"/>
          <w:sz w:val="16"/>
          <w:szCs w:val="16"/>
        </w:rPr>
        <w:softHyphen/>
        <w:t>тельно прибавиться» сработал и в этом слу</w:t>
      </w:r>
      <w:r w:rsidRPr="00722885">
        <w:rPr>
          <w:rStyle w:val="1060"/>
          <w:rFonts w:ascii="Times New Roman" w:hAnsi="Times New Roman" w:cs="Times New Roman"/>
          <w:color w:val="0070C0"/>
          <w:sz w:val="16"/>
          <w:szCs w:val="16"/>
        </w:rPr>
        <w:softHyphen/>
        <w:t>чае. Завод №23 на строившихся там со второй</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половины 1943 года Ту-2 и завод №39, в 1943</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году сдавший последние Пе-2 и Пе-3 и пере</w:t>
      </w:r>
      <w:r w:rsidRPr="00722885">
        <w:rPr>
          <w:rStyle w:val="1060"/>
          <w:rFonts w:ascii="Times New Roman" w:hAnsi="Times New Roman" w:cs="Times New Roman"/>
          <w:color w:val="0070C0"/>
          <w:sz w:val="16"/>
          <w:szCs w:val="16"/>
        </w:rPr>
        <w:softHyphen/>
        <w:t>шедший на производство Ил-4 (с декабря</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этого же года в производственной программе</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иркутского завода к Ил-4 добавился восста</w:t>
      </w:r>
      <w:r w:rsidRPr="00722885">
        <w:rPr>
          <w:rStyle w:val="1060"/>
          <w:rFonts w:ascii="Times New Roman" w:hAnsi="Times New Roman" w:cs="Times New Roman"/>
          <w:color w:val="0070C0"/>
          <w:sz w:val="16"/>
          <w:szCs w:val="16"/>
        </w:rPr>
        <w:softHyphen/>
        <w:t>новленный в серийном производстве модер</w:t>
      </w:r>
      <w:r w:rsidRPr="00722885">
        <w:rPr>
          <w:rStyle w:val="1060"/>
          <w:rFonts w:ascii="Times New Roman" w:hAnsi="Times New Roman" w:cs="Times New Roman"/>
          <w:color w:val="0070C0"/>
          <w:sz w:val="16"/>
          <w:szCs w:val="16"/>
        </w:rPr>
        <w:softHyphen/>
        <w:t>низированный Ер-2), почему-то стали при</w:t>
      </w:r>
      <w:r w:rsidRPr="00722885">
        <w:rPr>
          <w:rStyle w:val="1060"/>
          <w:rFonts w:ascii="Times New Roman" w:hAnsi="Times New Roman" w:cs="Times New Roman"/>
          <w:color w:val="0070C0"/>
          <w:sz w:val="16"/>
          <w:szCs w:val="16"/>
        </w:rPr>
        <w:softHyphen/>
        <w:t>держиваться «Инструкции...» и наносить ОЗ</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только на вертикальном оперении и снизу на</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крыле, хотя на ранее собираемых этими заво</w:t>
      </w:r>
      <w:r w:rsidRPr="00722885">
        <w:rPr>
          <w:rStyle w:val="1060"/>
          <w:rFonts w:ascii="Times New Roman" w:hAnsi="Times New Roman" w:cs="Times New Roman"/>
          <w:color w:val="0070C0"/>
          <w:sz w:val="16"/>
          <w:szCs w:val="16"/>
        </w:rPr>
        <w:softHyphen/>
        <w:t>дами самолетах такая схема ОЗ не применя</w:t>
      </w:r>
      <w:r w:rsidRPr="00722885">
        <w:rPr>
          <w:rStyle w:val="1060"/>
          <w:rFonts w:ascii="Times New Roman" w:hAnsi="Times New Roman" w:cs="Times New Roman"/>
          <w:color w:val="0070C0"/>
          <w:sz w:val="16"/>
          <w:szCs w:val="16"/>
        </w:rPr>
        <w:softHyphen/>
        <w:t>лась. Любопытно, что освоив с 1947 года Ту-</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2, завод №39 применил такую схему ОЗ только</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на головной машине, а на серийных исполь</w:t>
      </w:r>
      <w:r w:rsidRPr="00722885">
        <w:rPr>
          <w:rStyle w:val="1060"/>
          <w:rFonts w:ascii="Times New Roman" w:hAnsi="Times New Roman" w:cs="Times New Roman"/>
          <w:color w:val="0070C0"/>
          <w:sz w:val="16"/>
          <w:szCs w:val="16"/>
        </w:rPr>
        <w:softHyphen/>
        <w:t>зовалась стандартная - с шестью звездами. А</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вот на заводе №166 после войны, когда про</w:t>
      </w:r>
      <w:r w:rsidRPr="00722885">
        <w:rPr>
          <w:rStyle w:val="1060"/>
          <w:rFonts w:ascii="Times New Roman" w:hAnsi="Times New Roman" w:cs="Times New Roman"/>
          <w:color w:val="0070C0"/>
          <w:sz w:val="16"/>
          <w:szCs w:val="16"/>
        </w:rPr>
        <w:softHyphen/>
        <w:t>изводство Ту-2 в Омске восстановили, снова</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вернулись к размещению ОЗ в четырех пози</w:t>
      </w:r>
      <w:r w:rsidRPr="00722885">
        <w:rPr>
          <w:rStyle w:val="1060"/>
          <w:rFonts w:ascii="Times New Roman" w:hAnsi="Times New Roman" w:cs="Times New Roman"/>
          <w:color w:val="0070C0"/>
          <w:sz w:val="16"/>
          <w:szCs w:val="16"/>
        </w:rPr>
        <w:softHyphen/>
        <w:t>циях, как на их же машинах первой половины</w:t>
      </w:r>
      <w:r w:rsidRPr="00722885">
        <w:rPr>
          <w:rStyle w:val="1070"/>
          <w:rFonts w:ascii="Times New Roman" w:hAnsi="Times New Roman" w:cs="Times New Roman"/>
          <w:color w:val="0070C0"/>
          <w:sz w:val="16"/>
          <w:szCs w:val="16"/>
        </w:rPr>
        <w:t xml:space="preserve"> </w:t>
      </w:r>
      <w:r w:rsidRPr="00722885">
        <w:rPr>
          <w:rStyle w:val="1060"/>
          <w:rFonts w:ascii="Times New Roman" w:hAnsi="Times New Roman" w:cs="Times New Roman"/>
          <w:color w:val="0070C0"/>
          <w:sz w:val="16"/>
          <w:szCs w:val="16"/>
        </w:rPr>
        <w:t>1942 года</w:t>
      </w:r>
      <w:r w:rsidRPr="00722885">
        <w:rPr>
          <w:rStyle w:val="1060"/>
          <w:rFonts w:ascii="Times New Roman" w:hAnsi="Times New Roman" w:cs="Times New Roman"/>
          <w:color w:val="0070C0"/>
          <w:sz w:val="16"/>
          <w:szCs w:val="16"/>
          <w:lang w:val="ru-RU"/>
        </w:rPr>
        <w:t xml:space="preserve"> (19934)</w:t>
      </w:r>
      <w:r w:rsidRPr="00722885">
        <w:rPr>
          <w:rStyle w:val="1060"/>
          <w:rFonts w:ascii="Times New Roman" w:hAnsi="Times New Roman" w:cs="Times New Roman"/>
          <w:color w:val="0070C0"/>
          <w:sz w:val="16"/>
          <w:szCs w:val="16"/>
        </w:rPr>
        <w:t>.</w:t>
      </w:r>
    </w:p>
    <w:p w14:paraId="22C2CA27" w14:textId="77777777" w:rsidR="00C36A90" w:rsidRPr="00722885" w:rsidRDefault="00C36A90" w:rsidP="00722885">
      <w:pPr>
        <w:spacing w:after="0" w:line="240" w:lineRule="auto"/>
        <w:jc w:val="both"/>
        <w:rPr>
          <w:rFonts w:ascii="Times New Roman" w:hAnsi="Times New Roman"/>
          <w:color w:val="0070C0"/>
          <w:sz w:val="16"/>
          <w:szCs w:val="16"/>
        </w:rPr>
      </w:pPr>
    </w:p>
    <w:p w14:paraId="25D1ECF9" w14:textId="77777777" w:rsidR="00C36A90" w:rsidRPr="00722885" w:rsidRDefault="00C36A90"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По результатам боевого применения стоящих на вооружении осколочных авиабомб в ЦКБ-22 был разработан и в конце 1942 г. принят на вооружение штурмовой авиации взрыватель АВШ-2, имевший время замедления 7 сек. Его применение существенно повысило эффективность действий Ил-2 по мотомехколоннам противника, хотя с поднятием высот боевого применения до 600-800 м надобность в нем несколько снизилась. В целом же, взрыватель АВШ-2 был надежен и простоял на вооружении до конца войны.</w:t>
      </w:r>
    </w:p>
    <w:p w14:paraId="017CD42B" w14:textId="77777777" w:rsidR="00C36A90" w:rsidRPr="00722885" w:rsidRDefault="00C36A90"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Повышение высот боевого применения штурмовиков и их переход к бомбометанию с пикирования выявило существенный недостаток взрывателей АПУВ и АПУВ-М, применявшихся в головном снаряжении фугасных авиабомб различного калибра. Из строевых частей ВВС КА в большом количестве стали поступать донесения о преждевременном срабатывании этих взрывателей на небольшом удалении бомбы от самолета после сброса, что приводило, в большинстве случаев, к потере экипажа и самолета.</w:t>
      </w:r>
    </w:p>
    <w:p w14:paraId="2CE42294" w14:textId="77777777" w:rsidR="00C36A90" w:rsidRPr="00722885" w:rsidRDefault="00C36A90"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Взрыватели типа АПУВ пришлось срочно дорабатывать, однако, ввиду имевших место нарушений в технологии производства взрывателей на заво</w:t>
      </w:r>
      <w:r w:rsidRPr="00722885">
        <w:rPr>
          <w:rFonts w:ascii="Times New Roman" w:eastAsia="Times New Roman" w:hAnsi="Times New Roman"/>
          <w:color w:val="0070C0"/>
          <w:sz w:val="16"/>
          <w:szCs w:val="16"/>
        </w:rPr>
        <w:softHyphen/>
        <w:t>дах НКБ, случаи подрыва штурмовиков от своих же авиабомб продолжали иметь место.</w:t>
      </w:r>
    </w:p>
    <w:p w14:paraId="470F6102" w14:textId="77777777" w:rsidR="00C36A90" w:rsidRPr="00722885" w:rsidRDefault="00C36A90"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Кардинально эта проблема была решена только в сентябре 1944 г., когда Главный инженер ВВС РККА А.И. Репин категорически запретил ввертывание этих взрывателей в авиабомбы. Применение АПУВ разрешалось только в донном снаряжении.</w:t>
      </w:r>
    </w:p>
    <w:p w14:paraId="34095585" w14:textId="77777777" w:rsidR="00C36A90" w:rsidRPr="00722885" w:rsidRDefault="00C36A90" w:rsidP="00722885">
      <w:pPr>
        <w:shd w:val="clear" w:color="auto" w:fill="FFFFFF"/>
        <w:spacing w:after="0" w:line="240" w:lineRule="auto"/>
        <w:jc w:val="both"/>
        <w:rPr>
          <w:rFonts w:ascii="Times New Roman" w:hAnsi="Times New Roman"/>
          <w:color w:val="0070C0"/>
          <w:sz w:val="16"/>
          <w:szCs w:val="16"/>
        </w:rPr>
      </w:pPr>
      <w:r w:rsidRPr="00722885">
        <w:rPr>
          <w:rFonts w:ascii="Times New Roman" w:eastAsia="Times New Roman" w:hAnsi="Times New Roman"/>
          <w:color w:val="0070C0"/>
          <w:sz w:val="16"/>
          <w:szCs w:val="16"/>
        </w:rPr>
        <w:t>С учетом опыта войны был доработан и взрыватель АВ-1, время замедления которого было слишком большим. В середине 1942 г. на вооружении штурмовых авиачастей появился взрыватель АВ-1ДУ (двойная установка), обеспечивавший замедление в 10 и 22 секунды (20186).</w:t>
      </w:r>
    </w:p>
    <w:p w14:paraId="65228B8F" w14:textId="77777777" w:rsidR="00C36A90" w:rsidRPr="00722885" w:rsidRDefault="00C36A90" w:rsidP="00722885">
      <w:pPr>
        <w:spacing w:after="0" w:line="240" w:lineRule="auto"/>
        <w:jc w:val="both"/>
        <w:rPr>
          <w:rFonts w:ascii="Times New Roman" w:eastAsia="Times New Roman" w:hAnsi="Times New Roman"/>
          <w:color w:val="0070C0"/>
          <w:sz w:val="16"/>
          <w:szCs w:val="16"/>
        </w:rPr>
      </w:pPr>
    </w:p>
    <w:p w14:paraId="1F4A1BDB" w14:textId="77777777" w:rsidR="007B5608" w:rsidRPr="00722885" w:rsidRDefault="007B5608" w:rsidP="00722885">
      <w:pPr>
        <w:pStyle w:val="ae"/>
        <w:shd w:val="clear" w:color="auto" w:fill="FFFFFF"/>
        <w:spacing w:before="0" w:after="0"/>
        <w:jc w:val="both"/>
        <w:rPr>
          <w:color w:val="000000" w:themeColor="text1"/>
          <w:sz w:val="16"/>
          <w:szCs w:val="16"/>
        </w:rPr>
      </w:pPr>
      <w:r w:rsidRPr="00722885">
        <w:rPr>
          <w:color w:val="000000" w:themeColor="text1"/>
          <w:sz w:val="16"/>
          <w:szCs w:val="16"/>
        </w:rPr>
        <w:t>К концу 1942 года завод № 1 выпускал по 14-16 машин в сутки. За успешный выпуск отличной боевой техники коллективу завода № 1 в апреле 1943 года было присуждено переходящее Красное Знамя Государственного Комитета Обороны.</w:t>
      </w:r>
    </w:p>
    <w:p w14:paraId="791B53E2" w14:textId="77777777" w:rsidR="007B5608" w:rsidRPr="00722885" w:rsidRDefault="007B5608" w:rsidP="00722885">
      <w:pPr>
        <w:spacing w:after="0" w:line="240" w:lineRule="auto"/>
        <w:jc w:val="both"/>
        <w:rPr>
          <w:rFonts w:ascii="Times New Roman" w:hAnsi="Times New Roman"/>
          <w:color w:val="000000" w:themeColor="text1"/>
          <w:sz w:val="16"/>
          <w:szCs w:val="16"/>
        </w:rPr>
      </w:pPr>
    </w:p>
    <w:p w14:paraId="286DEF3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в ОКБ-240 С.В.И. были готовы рабочие чертежи Ил-АМ-42 (1605,1).</w:t>
      </w:r>
    </w:p>
    <w:p w14:paraId="1C7E592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У С.В.И. на 1943 были и задания, порученные заводу 1 им. И.В.С. "построить Ил-2 с улучшенной аэродинамикой" (будущий Ил-10) и заводу 18 "бронированный истребитель" (будущий Ил-1).</w:t>
      </w:r>
    </w:p>
    <w:p w14:paraId="362F475F" w14:textId="77777777" w:rsidR="00BB6316" w:rsidRPr="00722885" w:rsidRDefault="00BB6316" w:rsidP="00722885">
      <w:pPr>
        <w:pStyle w:val="Iauiue"/>
        <w:jc w:val="both"/>
        <w:rPr>
          <w:color w:val="000000" w:themeColor="text1"/>
          <w:sz w:val="16"/>
          <w:szCs w:val="16"/>
        </w:rPr>
      </w:pPr>
    </w:p>
    <w:p w14:paraId="1DB79D32"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В конце 1942 ГУВ ГМЧ совместно с РНИИ сделали новый фугасный надкалиберный снаряд М-31 с дальностью 4,3 км. Ракетная часть - от экспериментального М-14, а масса ВВ как на М-30, но толщина стенок сократилась с 7 мм до 4 мм. В начале 1943 приняли на вооружение. Был еще какой-то М-28 также тяжелый, но с малой дальностью (177,177).</w:t>
      </w:r>
    </w:p>
    <w:p w14:paraId="2816480E"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Пожалуй, тоже должны были испытать в авиации.</w:t>
      </w:r>
    </w:p>
    <w:p w14:paraId="79D70019"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В конце 1942 года на базе завода № 445 был организован завод № 464. Завод изготавливал транспортные 2-х моторные самолеты ЯК-6.</w:t>
      </w:r>
    </w:p>
    <w:p w14:paraId="482BB611"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В августе 1943 года, по решению Правительства, завод № 464 перемещен в Долгопрудную, а на территории завода № 464 в Тушино организован был завод № 289 и ОКБ Сухого П.О.</w:t>
      </w:r>
    </w:p>
    <w:p w14:paraId="4FF49519"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В 1945 году завод № 289 был объединен с заводом № 134 и сохранен за ним № 134.</w:t>
      </w:r>
    </w:p>
    <w:p w14:paraId="7508C1A3"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Завод № 134 изготавливал опытные образцы самолетов истребителей и бомбардировщиков.</w:t>
      </w:r>
    </w:p>
    <w:p w14:paraId="6BF97715"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В 1949 году ОКБ Сухого П.О. по решению Правительства от 14 сентября 1949 года за № 5185-1930 было расформировано и завод № 134 был передан гл. конструктору ОКБ-43 Торопову И.И.</w:t>
      </w:r>
    </w:p>
    <w:p w14:paraId="5C5A5DFC"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До 1955 года завод № 134 разрабатывал и изготавливал опытные образцы стрелково-пушечного и бомбардировочного вооружения.</w:t>
      </w:r>
    </w:p>
    <w:p w14:paraId="11D4620B"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 xml:space="preserve">В 1955 году, на основании Постановления СМ за № 2543-1224 от 30 декабря 1954 года, завод переключен на новый профиль работы – разработка и изготовление </w:t>
      </w:r>
      <w:r w:rsidRPr="00722885">
        <w:rPr>
          <w:color w:val="000000" w:themeColor="text1"/>
          <w:sz w:val="16"/>
          <w:szCs w:val="16"/>
        </w:rPr>
        <w:lastRenderedPageBreak/>
        <w:t>реактивных снарядов системы “воздух-воздух”.</w:t>
      </w:r>
    </w:p>
    <w:p w14:paraId="1BC1FD24"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Основные работы завода в 1959 году:</w:t>
      </w:r>
    </w:p>
    <w:p w14:paraId="7C1909F1" w14:textId="77777777" w:rsidR="00C36A90" w:rsidRPr="00722885" w:rsidRDefault="00C36A90" w:rsidP="00722885">
      <w:pPr>
        <w:pStyle w:val="Iauiue"/>
        <w:numPr>
          <w:ilvl w:val="0"/>
          <w:numId w:val="22"/>
        </w:numPr>
        <w:tabs>
          <w:tab w:val="left" w:pos="360"/>
        </w:tabs>
        <w:ind w:left="0" w:firstLine="0"/>
        <w:jc w:val="both"/>
        <w:rPr>
          <w:color w:val="000000" w:themeColor="text1"/>
          <w:sz w:val="16"/>
          <w:szCs w:val="16"/>
        </w:rPr>
      </w:pPr>
      <w:r w:rsidRPr="00722885">
        <w:rPr>
          <w:color w:val="000000" w:themeColor="text1"/>
          <w:sz w:val="16"/>
          <w:szCs w:val="16"/>
        </w:rPr>
        <w:t>Разрабатываются и изготавливаются опытные образцы реактивных снарядов и проводятся лабораторные и летные испытания:</w:t>
      </w:r>
    </w:p>
    <w:p w14:paraId="679F67C5"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а) ракеты для самоходного и реактивного комплекса для стрельбы по низколетящим целям;</w:t>
      </w:r>
    </w:p>
    <w:p w14:paraId="695CEF45"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б) ракета “К-9” с радиолокационной головкой самонаведения;</w:t>
      </w:r>
    </w:p>
    <w:p w14:paraId="2D5409D4"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в) ракета “К-13”.</w:t>
      </w:r>
    </w:p>
    <w:p w14:paraId="0C09C2BD" w14:textId="77777777" w:rsidR="00C36A90" w:rsidRPr="00722885" w:rsidRDefault="00C36A90" w:rsidP="00722885">
      <w:pPr>
        <w:pStyle w:val="Iauiue"/>
        <w:numPr>
          <w:ilvl w:val="0"/>
          <w:numId w:val="23"/>
        </w:numPr>
        <w:tabs>
          <w:tab w:val="left" w:pos="360"/>
        </w:tabs>
        <w:ind w:left="0" w:firstLine="0"/>
        <w:jc w:val="both"/>
        <w:rPr>
          <w:color w:val="000000" w:themeColor="text1"/>
          <w:sz w:val="16"/>
          <w:szCs w:val="16"/>
        </w:rPr>
      </w:pPr>
      <w:r w:rsidRPr="00722885">
        <w:rPr>
          <w:color w:val="000000" w:themeColor="text1"/>
          <w:sz w:val="16"/>
          <w:szCs w:val="16"/>
        </w:rPr>
        <w:t>Разрабатываются и изготавливаются опытные образцы стрелково-пушечного вооружения для самолетов гл. конструктора Туполева.</w:t>
      </w:r>
    </w:p>
    <w:p w14:paraId="6D809364" w14:textId="77777777" w:rsidR="00C36A90" w:rsidRPr="00722885" w:rsidRDefault="00C36A90" w:rsidP="00722885">
      <w:pPr>
        <w:pStyle w:val="Iauiue"/>
        <w:numPr>
          <w:ilvl w:val="0"/>
          <w:numId w:val="24"/>
        </w:numPr>
        <w:tabs>
          <w:tab w:val="left" w:pos="360"/>
        </w:tabs>
        <w:ind w:left="0" w:firstLine="0"/>
        <w:jc w:val="both"/>
        <w:rPr>
          <w:color w:val="000000" w:themeColor="text1"/>
          <w:sz w:val="16"/>
          <w:szCs w:val="16"/>
        </w:rPr>
      </w:pPr>
      <w:r w:rsidRPr="00722885">
        <w:rPr>
          <w:color w:val="000000" w:themeColor="text1"/>
          <w:sz w:val="16"/>
          <w:szCs w:val="16"/>
        </w:rPr>
        <w:t>Разрабатывается и изготавливается бомбардировочное вооружение для самолетов и вертолетов гл. конструкторов Туполева, Мясищева, Бериева, Камова и Миля.</w:t>
      </w:r>
    </w:p>
    <w:p w14:paraId="78A34F26" w14:textId="77777777" w:rsidR="00C36A90" w:rsidRPr="00722885" w:rsidRDefault="00C36A90" w:rsidP="00722885">
      <w:pPr>
        <w:pStyle w:val="Iauiue"/>
        <w:numPr>
          <w:ilvl w:val="0"/>
          <w:numId w:val="25"/>
        </w:numPr>
        <w:tabs>
          <w:tab w:val="left" w:pos="360"/>
        </w:tabs>
        <w:ind w:left="0" w:firstLine="0"/>
        <w:jc w:val="both"/>
        <w:rPr>
          <w:color w:val="000000" w:themeColor="text1"/>
          <w:sz w:val="16"/>
          <w:szCs w:val="16"/>
        </w:rPr>
      </w:pPr>
      <w:r w:rsidRPr="00722885">
        <w:rPr>
          <w:color w:val="000000" w:themeColor="text1"/>
          <w:sz w:val="16"/>
          <w:szCs w:val="16"/>
        </w:rPr>
        <w:t>Изготавливаются специзделия (пульты) по заданиям ГК авиатехники для всех самолетов, снабженных изделиями среднего машиностроения.</w:t>
      </w:r>
    </w:p>
    <w:p w14:paraId="2C204D55" w14:textId="77777777" w:rsidR="00C36A90" w:rsidRPr="00722885" w:rsidRDefault="00C36A90" w:rsidP="00722885">
      <w:pPr>
        <w:pStyle w:val="Iauiue"/>
        <w:numPr>
          <w:ilvl w:val="0"/>
          <w:numId w:val="26"/>
        </w:numPr>
        <w:tabs>
          <w:tab w:val="left" w:pos="360"/>
        </w:tabs>
        <w:ind w:left="0" w:firstLine="0"/>
        <w:jc w:val="both"/>
        <w:rPr>
          <w:color w:val="000000" w:themeColor="text1"/>
          <w:sz w:val="16"/>
          <w:szCs w:val="16"/>
        </w:rPr>
      </w:pPr>
      <w:r w:rsidRPr="00722885">
        <w:rPr>
          <w:color w:val="000000" w:themeColor="text1"/>
          <w:sz w:val="16"/>
          <w:szCs w:val="16"/>
        </w:rPr>
        <w:t>Изготавливаются по заданиям ГК авиатехники малые серии изделий конструкции Торопова И.И. (9457).</w:t>
      </w:r>
    </w:p>
    <w:p w14:paraId="6E437856" w14:textId="77777777" w:rsidR="00C36A90" w:rsidRPr="00722885" w:rsidRDefault="00C36A90" w:rsidP="00722885">
      <w:pPr>
        <w:pStyle w:val="Iauiue"/>
        <w:tabs>
          <w:tab w:val="left" w:pos="360"/>
        </w:tabs>
        <w:jc w:val="both"/>
        <w:rPr>
          <w:color w:val="000000" w:themeColor="text1"/>
          <w:sz w:val="16"/>
          <w:szCs w:val="16"/>
        </w:rPr>
      </w:pPr>
    </w:p>
    <w:p w14:paraId="2D6C7FDE" w14:textId="77777777" w:rsidR="00C36A90" w:rsidRPr="00722885" w:rsidRDefault="00C36A90" w:rsidP="00722885">
      <w:pPr>
        <w:pStyle w:val="Iauiue"/>
        <w:jc w:val="both"/>
        <w:rPr>
          <w:color w:val="000000" w:themeColor="text1"/>
          <w:sz w:val="16"/>
          <w:szCs w:val="16"/>
        </w:rPr>
      </w:pPr>
      <w:r w:rsidRPr="00722885">
        <w:rPr>
          <w:color w:val="000000" w:themeColor="text1"/>
          <w:sz w:val="16"/>
          <w:szCs w:val="16"/>
        </w:rPr>
        <w:t>В конце 1942 г. был принят на вооружение штурмовой авиации взрыватель АВШ-2, имевший время замедления 7 сек., разработаный в ЦКБ-22 по результатам боевого применения стоящих на вооружении осколочных авиабомб (6467). Его применение существенно повысило эф</w:t>
      </w:r>
      <w:r w:rsidRPr="00722885">
        <w:rPr>
          <w:color w:val="000000" w:themeColor="text1"/>
          <w:sz w:val="16"/>
          <w:szCs w:val="16"/>
        </w:rPr>
        <w:softHyphen/>
        <w:t>фективность действий Ил-2 по мотомехколоннам противника, хотя с поднятием высот боевого применения Ил-2 до 600-800 м надобность в нем несколько сни</w:t>
      </w:r>
      <w:r w:rsidRPr="00722885">
        <w:rPr>
          <w:color w:val="000000" w:themeColor="text1"/>
          <w:sz w:val="16"/>
          <w:szCs w:val="16"/>
        </w:rPr>
        <w:softHyphen/>
        <w:t>зилась. В целом же, взрыватель АВШ-2 был хорош и простоял на вооружении до конца войны (6467).</w:t>
      </w:r>
    </w:p>
    <w:p w14:paraId="36722E9B" w14:textId="77777777" w:rsidR="00C36A90" w:rsidRPr="00722885" w:rsidRDefault="00C36A90" w:rsidP="00722885">
      <w:pPr>
        <w:pStyle w:val="Iauiue"/>
        <w:jc w:val="both"/>
        <w:rPr>
          <w:color w:val="000000" w:themeColor="text1"/>
          <w:sz w:val="16"/>
          <w:szCs w:val="16"/>
        </w:rPr>
      </w:pPr>
    </w:p>
    <w:p w14:paraId="5572CAAC" w14:textId="77777777" w:rsidR="00C36A90" w:rsidRPr="00722885" w:rsidRDefault="00C36A90"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из-за проблем с кадрами и плохих погодных условий ситуация на заводе № 45 ухудшилась. Достаточно ска</w:t>
      </w:r>
      <w:r w:rsidRPr="00722885">
        <w:rPr>
          <w:rFonts w:ascii="Times New Roman" w:hAnsi="Times New Roman"/>
          <w:color w:val="000000" w:themeColor="text1"/>
          <w:sz w:val="16"/>
          <w:szCs w:val="16"/>
        </w:rPr>
        <w:softHyphen/>
        <w:t>зать, что за 1942 г. на завод было при</w:t>
      </w:r>
      <w:r w:rsidRPr="00722885">
        <w:rPr>
          <w:rFonts w:ascii="Times New Roman" w:hAnsi="Times New Roman"/>
          <w:color w:val="000000" w:themeColor="text1"/>
          <w:sz w:val="16"/>
          <w:szCs w:val="16"/>
        </w:rPr>
        <w:softHyphen/>
        <w:t>нято 14 238 человек, в том числе 7260 рабочих и 1769 инженеров и техни</w:t>
      </w:r>
      <w:r w:rsidRPr="00722885">
        <w:rPr>
          <w:rFonts w:ascii="Times New Roman" w:hAnsi="Times New Roman"/>
          <w:color w:val="000000" w:themeColor="text1"/>
          <w:sz w:val="16"/>
          <w:szCs w:val="16"/>
        </w:rPr>
        <w:softHyphen/>
        <w:t>ков. Из указанного числа рабочих толь</w:t>
      </w:r>
      <w:r w:rsidRPr="00722885">
        <w:rPr>
          <w:rFonts w:ascii="Times New Roman" w:hAnsi="Times New Roman"/>
          <w:color w:val="000000" w:themeColor="text1"/>
          <w:sz w:val="16"/>
          <w:szCs w:val="16"/>
        </w:rPr>
        <w:softHyphen/>
        <w:t>ко 40 % имели опыт работы на заводе, остальные были «зелеными» новичка</w:t>
      </w:r>
      <w:r w:rsidRPr="00722885">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722885">
        <w:rPr>
          <w:rFonts w:ascii="Times New Roman" w:hAnsi="Times New Roman"/>
          <w:color w:val="000000" w:themeColor="text1"/>
          <w:sz w:val="16"/>
          <w:szCs w:val="16"/>
        </w:rPr>
        <w:softHyphen/>
        <w:t>рей, 82 слесаря, 273 шлифовщика и 360 фрезеровщиков).</w:t>
      </w:r>
    </w:p>
    <w:p w14:paraId="2FD60493" w14:textId="77777777" w:rsidR="00C36A90" w:rsidRPr="00722885" w:rsidRDefault="00C36A90"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Недостаточная квалификация ра</w:t>
      </w:r>
      <w:r w:rsidRPr="00722885">
        <w:rPr>
          <w:rFonts w:ascii="Times New Roman" w:hAnsi="Times New Roman"/>
          <w:color w:val="000000" w:themeColor="text1"/>
          <w:sz w:val="16"/>
          <w:szCs w:val="16"/>
        </w:rPr>
        <w:softHyphen/>
        <w:t>ботников грозила срывом производ</w:t>
      </w:r>
      <w:r w:rsidRPr="00722885">
        <w:rPr>
          <w:rFonts w:ascii="Times New Roman" w:hAnsi="Times New Roman"/>
          <w:color w:val="000000" w:themeColor="text1"/>
          <w:sz w:val="16"/>
          <w:szCs w:val="16"/>
        </w:rPr>
        <w:softHyphen/>
        <w:t>ственных планов. Три мотора, постав</w:t>
      </w:r>
      <w:r w:rsidRPr="00722885">
        <w:rPr>
          <w:rFonts w:ascii="Times New Roman" w:hAnsi="Times New Roman"/>
          <w:color w:val="000000" w:themeColor="text1"/>
          <w:sz w:val="16"/>
          <w:szCs w:val="16"/>
        </w:rPr>
        <w:softHyphen/>
        <w:t>ленные на длительные испытания осе</w:t>
      </w:r>
      <w:r w:rsidRPr="00722885">
        <w:rPr>
          <w:rFonts w:ascii="Times New Roman" w:hAnsi="Times New Roman"/>
          <w:color w:val="000000" w:themeColor="text1"/>
          <w:sz w:val="16"/>
          <w:szCs w:val="16"/>
        </w:rPr>
        <w:softHyphen/>
        <w:t>нью 1942 г., не отработали установлен</w:t>
      </w:r>
      <w:r w:rsidRPr="00722885">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722885">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722885">
        <w:rPr>
          <w:rFonts w:ascii="Times New Roman" w:hAnsi="Times New Roman"/>
          <w:color w:val="000000" w:themeColor="text1"/>
          <w:sz w:val="16"/>
          <w:szCs w:val="16"/>
        </w:rPr>
        <w:softHyphen/>
        <w:t>рен и поломки клапанов, что было выз</w:t>
      </w:r>
      <w:r w:rsidRPr="00722885">
        <w:rPr>
          <w:rFonts w:ascii="Times New Roman" w:hAnsi="Times New Roman"/>
          <w:color w:val="000000" w:themeColor="text1"/>
          <w:sz w:val="16"/>
          <w:szCs w:val="16"/>
        </w:rPr>
        <w:softHyphen/>
        <w:t>вано нетолько невысоким качеством из</w:t>
      </w:r>
      <w:r w:rsidRPr="00722885">
        <w:rPr>
          <w:rFonts w:ascii="Times New Roman" w:hAnsi="Times New Roman"/>
          <w:color w:val="000000" w:themeColor="text1"/>
          <w:sz w:val="16"/>
          <w:szCs w:val="16"/>
        </w:rPr>
        <w:softHyphen/>
        <w:t>готовления моторов, но и низкокаче</w:t>
      </w:r>
      <w:r w:rsidRPr="00722885">
        <w:rPr>
          <w:rFonts w:ascii="Times New Roman" w:hAnsi="Times New Roman"/>
          <w:color w:val="000000" w:themeColor="text1"/>
          <w:sz w:val="16"/>
          <w:szCs w:val="16"/>
        </w:rPr>
        <w:softHyphen/>
        <w:t>ственным третьесортным бензином, которым снабжался завод (11159).</w:t>
      </w:r>
    </w:p>
    <w:p w14:paraId="407A37F2" w14:textId="77777777" w:rsidR="00C36A90" w:rsidRPr="00722885" w:rsidRDefault="00C36A90" w:rsidP="00722885">
      <w:pPr>
        <w:shd w:val="clear" w:color="auto" w:fill="FFFFFF"/>
        <w:spacing w:after="0" w:line="240" w:lineRule="auto"/>
        <w:jc w:val="both"/>
        <w:rPr>
          <w:rFonts w:ascii="Times New Roman" w:hAnsi="Times New Roman"/>
          <w:color w:val="000000" w:themeColor="text1"/>
          <w:sz w:val="16"/>
          <w:szCs w:val="16"/>
        </w:rPr>
      </w:pPr>
    </w:p>
    <w:p w14:paraId="2BC10FC3" w14:textId="77777777" w:rsidR="00C36A90" w:rsidRPr="00722885" w:rsidRDefault="00C36A90"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w:t>
      </w:r>
      <w:r w:rsidRPr="00722885">
        <w:rPr>
          <w:rFonts w:ascii="Times New Roman" w:hAnsi="Times New Roman"/>
          <w:color w:val="000000" w:themeColor="text1"/>
          <w:sz w:val="16"/>
          <w:szCs w:val="16"/>
        </w:rPr>
        <w:softHyphen/>
        <w:t>цу 1942 года в ремонтных цехах завода № 45 было отремонтировано 1479 моторов. Наряду с авиационными дви</w:t>
      </w:r>
      <w:r w:rsidRPr="00722885">
        <w:rPr>
          <w:rFonts w:ascii="Times New Roman" w:hAnsi="Times New Roman"/>
          <w:color w:val="000000" w:themeColor="text1"/>
          <w:sz w:val="16"/>
          <w:szCs w:val="16"/>
        </w:rPr>
        <w:softHyphen/>
        <w:t>гателями завод продолжал ремонтиро</w:t>
      </w:r>
      <w:r w:rsidRPr="00722885">
        <w:rPr>
          <w:rFonts w:ascii="Times New Roman" w:hAnsi="Times New Roman"/>
          <w:color w:val="000000" w:themeColor="text1"/>
          <w:sz w:val="16"/>
          <w:szCs w:val="16"/>
        </w:rPr>
        <w:softHyphen/>
        <w:t>вать и судовые моторы ГАМ-34, выпу</w:t>
      </w:r>
      <w:r w:rsidRPr="00722885">
        <w:rPr>
          <w:rFonts w:ascii="Times New Roman" w:hAnsi="Times New Roman"/>
          <w:color w:val="000000" w:themeColor="text1"/>
          <w:sz w:val="16"/>
          <w:szCs w:val="16"/>
        </w:rPr>
        <w:softHyphen/>
        <w:t>щенные еще до войны. По состоянию на 1 января 1943 г. на заводе № 45 трудились 15 226 человек, в том числе 10 928 рабочих (11159).</w:t>
      </w:r>
    </w:p>
    <w:p w14:paraId="2886854E" w14:textId="77777777" w:rsidR="00C36A90" w:rsidRPr="00722885" w:rsidRDefault="00C36A90" w:rsidP="00722885">
      <w:pPr>
        <w:shd w:val="clear" w:color="auto" w:fill="FFFFFF"/>
        <w:spacing w:after="0" w:line="240" w:lineRule="auto"/>
        <w:jc w:val="both"/>
        <w:rPr>
          <w:rFonts w:ascii="Times New Roman" w:hAnsi="Times New Roman"/>
          <w:color w:val="000000" w:themeColor="text1"/>
          <w:sz w:val="16"/>
          <w:szCs w:val="16"/>
        </w:rPr>
      </w:pPr>
    </w:p>
    <w:p w14:paraId="4BB4D687" w14:textId="77777777" w:rsidR="00C36A90" w:rsidRPr="00722885" w:rsidRDefault="00C36A90"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конца 1942 г. во</w:t>
      </w:r>
      <w:r w:rsidRPr="00722885">
        <w:rPr>
          <w:rFonts w:ascii="Times New Roman" w:hAnsi="Times New Roman"/>
          <w:color w:val="000000" w:themeColor="text1"/>
          <w:sz w:val="16"/>
          <w:szCs w:val="16"/>
        </w:rPr>
        <w:softHyphen/>
        <w:t>енная приемка оформи</w:t>
      </w:r>
      <w:r w:rsidRPr="00722885">
        <w:rPr>
          <w:rFonts w:ascii="Times New Roman" w:hAnsi="Times New Roman"/>
          <w:color w:val="000000" w:themeColor="text1"/>
          <w:sz w:val="16"/>
          <w:szCs w:val="16"/>
        </w:rPr>
        <w:softHyphen/>
        <w:t>ла «по бою» (то есть при</w:t>
      </w:r>
      <w:r w:rsidRPr="00722885">
        <w:rPr>
          <w:rFonts w:ascii="Times New Roman" w:hAnsi="Times New Roman"/>
          <w:color w:val="000000" w:themeColor="text1"/>
          <w:sz w:val="16"/>
          <w:szCs w:val="16"/>
        </w:rPr>
        <w:softHyphen/>
        <w:t>няла окончательно) 517 АМ-38. До выполнения годового задания, пре</w:t>
      </w:r>
      <w:r w:rsidRPr="00722885">
        <w:rPr>
          <w:rFonts w:ascii="Times New Roman" w:hAnsi="Times New Roman"/>
          <w:color w:val="000000" w:themeColor="text1"/>
          <w:sz w:val="16"/>
          <w:szCs w:val="16"/>
        </w:rPr>
        <w:softHyphen/>
        <w:t>дусматривавшего изго</w:t>
      </w:r>
      <w:r w:rsidRPr="00722885">
        <w:rPr>
          <w:rFonts w:ascii="Times New Roman" w:hAnsi="Times New Roman"/>
          <w:color w:val="000000" w:themeColor="text1"/>
          <w:sz w:val="16"/>
          <w:szCs w:val="16"/>
        </w:rPr>
        <w:softHyphen/>
        <w:t>товление 800 моторов, завод не дотянул, но даже и в наркомате отлично понимали, что план этот был далеким от реально</w:t>
      </w:r>
      <w:r w:rsidRPr="00722885">
        <w:rPr>
          <w:rFonts w:ascii="Times New Roman" w:hAnsi="Times New Roman"/>
          <w:color w:val="000000" w:themeColor="text1"/>
          <w:sz w:val="16"/>
          <w:szCs w:val="16"/>
        </w:rPr>
        <w:softHyphen/>
        <w:t>сти. А на 1943 г. был дан еще более напряженный план, предусматривавший увеличение выпуска двигателей в 3,6 раза по срав</w:t>
      </w:r>
      <w:r w:rsidRPr="00722885">
        <w:rPr>
          <w:rFonts w:ascii="Times New Roman" w:hAnsi="Times New Roman"/>
          <w:color w:val="000000" w:themeColor="text1"/>
          <w:sz w:val="16"/>
          <w:szCs w:val="16"/>
        </w:rPr>
        <w:softHyphen/>
        <w:t>нению с предыдущим годом. Кроме того, в первом квартале следовало освоить производство АМ-38Ф, а со второго - вы</w:t>
      </w:r>
      <w:r w:rsidRPr="00722885">
        <w:rPr>
          <w:rFonts w:ascii="Times New Roman" w:hAnsi="Times New Roman"/>
          <w:color w:val="000000" w:themeColor="text1"/>
          <w:sz w:val="16"/>
          <w:szCs w:val="16"/>
        </w:rPr>
        <w:softHyphen/>
        <w:t>пускать только форсированные моторы (11159).</w:t>
      </w:r>
    </w:p>
    <w:p w14:paraId="7396E709" w14:textId="77777777" w:rsidR="00C36A90" w:rsidRPr="00722885" w:rsidRDefault="00C36A90" w:rsidP="00722885">
      <w:pPr>
        <w:shd w:val="clear" w:color="auto" w:fill="FFFFFF"/>
        <w:spacing w:after="0" w:line="240" w:lineRule="auto"/>
        <w:jc w:val="both"/>
        <w:rPr>
          <w:rFonts w:ascii="Times New Roman" w:hAnsi="Times New Roman"/>
          <w:color w:val="000000" w:themeColor="text1"/>
          <w:sz w:val="16"/>
          <w:szCs w:val="16"/>
        </w:rPr>
      </w:pPr>
    </w:p>
    <w:p w14:paraId="261866A4" w14:textId="77777777" w:rsidR="00C36A90" w:rsidRPr="00722885" w:rsidRDefault="00C36A90" w:rsidP="00722885">
      <w:pPr>
        <w:pStyle w:val="11b"/>
        <w:shd w:val="clear" w:color="auto" w:fill="auto"/>
        <w:spacing w:before="0" w:line="240" w:lineRule="auto"/>
        <w:rPr>
          <w:rFonts w:ascii="Times New Roman" w:hAnsi="Times New Roman" w:cs="Times New Roman"/>
          <w:color w:val="0070C0"/>
          <w:w w:val="100"/>
          <w:sz w:val="16"/>
          <w:szCs w:val="16"/>
        </w:rPr>
      </w:pPr>
      <w:r w:rsidRPr="00722885">
        <w:rPr>
          <w:rFonts w:ascii="Times New Roman" w:hAnsi="Times New Roman" w:cs="Times New Roman"/>
          <w:color w:val="0070C0"/>
          <w:w w:val="100"/>
          <w:sz w:val="16"/>
          <w:szCs w:val="16"/>
        </w:rPr>
        <w:t>К концу 1942 года завод №22 сдал 20 самолетов Пе-8 (97% плана), из них с моторами М-82 еще один — серийный №42058. Его принял 746-й авиаполк дальнего действия в январе 1943 года. Остальные 18 получили АМ-35А из старых запасов</w:t>
      </w:r>
      <w:r w:rsidRPr="00722885">
        <w:rPr>
          <w:rFonts w:ascii="Times New Roman" w:hAnsi="Times New Roman" w:cs="Times New Roman"/>
          <w:color w:val="0070C0"/>
          <w:w w:val="100"/>
          <w:sz w:val="16"/>
          <w:szCs w:val="16"/>
          <w:lang w:val="ru-RU"/>
        </w:rPr>
        <w:t xml:space="preserve"> (22871)</w:t>
      </w:r>
      <w:r w:rsidRPr="00722885">
        <w:rPr>
          <w:rFonts w:ascii="Times New Roman" w:hAnsi="Times New Roman" w:cs="Times New Roman"/>
          <w:color w:val="0070C0"/>
          <w:w w:val="100"/>
          <w:sz w:val="16"/>
          <w:szCs w:val="16"/>
        </w:rPr>
        <w:t>.</w:t>
      </w:r>
    </w:p>
    <w:p w14:paraId="11266A69" w14:textId="77777777" w:rsidR="00C36A90" w:rsidRPr="00722885" w:rsidRDefault="00C36A90" w:rsidP="00722885">
      <w:pPr>
        <w:pStyle w:val="11b"/>
        <w:shd w:val="clear" w:color="auto" w:fill="auto"/>
        <w:spacing w:before="0" w:line="240" w:lineRule="auto"/>
        <w:rPr>
          <w:rFonts w:ascii="Times New Roman" w:hAnsi="Times New Roman" w:cs="Times New Roman"/>
          <w:color w:val="0070C0"/>
          <w:w w:val="100"/>
          <w:sz w:val="16"/>
          <w:szCs w:val="16"/>
        </w:rPr>
      </w:pPr>
    </w:p>
    <w:p w14:paraId="623C9C5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года был изготов</w:t>
      </w:r>
      <w:r w:rsidRPr="00722885">
        <w:rPr>
          <w:rFonts w:ascii="Times New Roman" w:hAnsi="Times New Roman"/>
          <w:color w:val="000000" w:themeColor="text1"/>
          <w:sz w:val="16"/>
          <w:szCs w:val="16"/>
        </w:rPr>
        <w:softHyphen/>
        <w:t>лен и отправлен на статические испытания в ЦАГИ планер модифи</w:t>
      </w:r>
      <w:r w:rsidRPr="00722885">
        <w:rPr>
          <w:rFonts w:ascii="Times New Roman" w:hAnsi="Times New Roman"/>
          <w:color w:val="000000" w:themeColor="text1"/>
          <w:sz w:val="16"/>
          <w:szCs w:val="16"/>
        </w:rPr>
        <w:softHyphen/>
        <w:t>цированного Су-6, а летный экзем</w:t>
      </w:r>
      <w:r w:rsidRPr="00722885">
        <w:rPr>
          <w:rFonts w:ascii="Times New Roman" w:hAnsi="Times New Roman"/>
          <w:color w:val="000000" w:themeColor="text1"/>
          <w:sz w:val="16"/>
          <w:szCs w:val="16"/>
        </w:rPr>
        <w:softHyphen/>
        <w:t>пляр, получивший внутреннее обо</w:t>
      </w:r>
      <w:r w:rsidRPr="00722885">
        <w:rPr>
          <w:rFonts w:ascii="Times New Roman" w:hAnsi="Times New Roman"/>
          <w:color w:val="000000" w:themeColor="text1"/>
          <w:sz w:val="16"/>
          <w:szCs w:val="16"/>
        </w:rPr>
        <w:softHyphen/>
        <w:t>значение «Ас», из-за отсутствия мотора М-71Ф и пушек НС-37, имел готовность 97,1%.</w:t>
      </w:r>
    </w:p>
    <w:p w14:paraId="4A46EB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то же время, учитывая изме</w:t>
      </w:r>
      <w:r w:rsidRPr="00722885">
        <w:rPr>
          <w:rFonts w:ascii="Times New Roman" w:hAnsi="Times New Roman"/>
          <w:color w:val="000000" w:themeColor="text1"/>
          <w:sz w:val="16"/>
          <w:szCs w:val="16"/>
        </w:rPr>
        <w:softHyphen/>
        <w:t>нившиеся требования к штурмови</w:t>
      </w:r>
      <w:r w:rsidRPr="00722885">
        <w:rPr>
          <w:rFonts w:ascii="Times New Roman" w:hAnsi="Times New Roman"/>
          <w:color w:val="000000" w:themeColor="text1"/>
          <w:sz w:val="16"/>
          <w:szCs w:val="16"/>
        </w:rPr>
        <w:softHyphen/>
        <w:t>кам, Павел Осипович принял реше</w:t>
      </w:r>
      <w:r w:rsidRPr="00722885">
        <w:rPr>
          <w:rFonts w:ascii="Times New Roman" w:hAnsi="Times New Roman"/>
          <w:color w:val="000000" w:themeColor="text1"/>
          <w:sz w:val="16"/>
          <w:szCs w:val="16"/>
        </w:rPr>
        <w:softHyphen/>
        <w:t>ние переделать Су-6 («Ас») в двух</w:t>
      </w:r>
      <w:r w:rsidRPr="00722885">
        <w:rPr>
          <w:rFonts w:ascii="Times New Roman" w:hAnsi="Times New Roman"/>
          <w:color w:val="000000" w:themeColor="text1"/>
          <w:sz w:val="16"/>
          <w:szCs w:val="16"/>
        </w:rPr>
        <w:softHyphen/>
        <w:t>местный вариант. В пояснительной записке к проекту он отмечал, что: «Практика боевых действий штур</w:t>
      </w:r>
      <w:r w:rsidRPr="00722885">
        <w:rPr>
          <w:rFonts w:ascii="Times New Roman" w:hAnsi="Times New Roman"/>
          <w:color w:val="000000" w:themeColor="text1"/>
          <w:sz w:val="16"/>
          <w:szCs w:val="16"/>
        </w:rPr>
        <w:softHyphen/>
        <w:t>мовой авиации на фронтах Отече</w:t>
      </w:r>
      <w:r w:rsidRPr="00722885">
        <w:rPr>
          <w:rFonts w:ascii="Times New Roman" w:hAnsi="Times New Roman"/>
          <w:color w:val="000000" w:themeColor="text1"/>
          <w:sz w:val="16"/>
          <w:szCs w:val="16"/>
        </w:rPr>
        <w:softHyphen/>
        <w:t>ственной войны показала необхо</w:t>
      </w:r>
      <w:r w:rsidRPr="00722885">
        <w:rPr>
          <w:rFonts w:ascii="Times New Roman" w:hAnsi="Times New Roman"/>
          <w:color w:val="000000" w:themeColor="text1"/>
          <w:sz w:val="16"/>
          <w:szCs w:val="16"/>
        </w:rPr>
        <w:softHyphen/>
        <w:t>димость введения второго члена экипажа самолета Ил-2 для защиты от нападения неприятельских истре</w:t>
      </w:r>
      <w:r w:rsidRPr="00722885">
        <w:rPr>
          <w:rFonts w:ascii="Times New Roman" w:hAnsi="Times New Roman"/>
          <w:color w:val="000000" w:themeColor="text1"/>
          <w:sz w:val="16"/>
          <w:szCs w:val="16"/>
        </w:rPr>
        <w:softHyphen/>
        <w:t>бителей.</w:t>
      </w:r>
    </w:p>
    <w:p w14:paraId="1DD7DA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Хотя скорость самолета Су-6 у земли... значительно выше скорос</w:t>
      </w:r>
      <w:r w:rsidRPr="00722885">
        <w:rPr>
          <w:rFonts w:ascii="Times New Roman" w:hAnsi="Times New Roman"/>
          <w:color w:val="000000" w:themeColor="text1"/>
          <w:sz w:val="16"/>
          <w:szCs w:val="16"/>
        </w:rPr>
        <w:softHyphen/>
        <w:t>ти Ил-2, мною проработан вари</w:t>
      </w:r>
      <w:r w:rsidRPr="00722885">
        <w:rPr>
          <w:rFonts w:ascii="Times New Roman" w:hAnsi="Times New Roman"/>
          <w:color w:val="000000" w:themeColor="text1"/>
          <w:sz w:val="16"/>
          <w:szCs w:val="16"/>
        </w:rPr>
        <w:softHyphen/>
        <w:t>ант размещения на Су-6 стрелка для защиты верхней полусферы. Скорость самолета (с М-71Ф) при этом уменьшится до 520 км/ч у земли.</w:t>
      </w:r>
    </w:p>
    <w:p w14:paraId="7CE12E5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Переделка одноместного Су-6 в двухместный не потребует значи</w:t>
      </w:r>
      <w:r w:rsidRPr="00722885">
        <w:rPr>
          <w:rFonts w:ascii="Times New Roman" w:hAnsi="Times New Roman"/>
          <w:color w:val="000000" w:themeColor="text1"/>
          <w:sz w:val="16"/>
          <w:szCs w:val="16"/>
        </w:rPr>
        <w:softHyphen/>
        <w:t>тельных изменений конструкции самолета: изменяется фонарь, гру</w:t>
      </w:r>
      <w:r w:rsidRPr="00722885">
        <w:rPr>
          <w:rFonts w:ascii="Times New Roman" w:hAnsi="Times New Roman"/>
          <w:color w:val="000000" w:themeColor="text1"/>
          <w:sz w:val="16"/>
          <w:szCs w:val="16"/>
        </w:rPr>
        <w:softHyphen/>
        <w:t>зовой отсек фюзеляжа и, в незна</w:t>
      </w:r>
      <w:r w:rsidRPr="00722885">
        <w:rPr>
          <w:rFonts w:ascii="Times New Roman" w:hAnsi="Times New Roman"/>
          <w:color w:val="000000" w:themeColor="text1"/>
          <w:sz w:val="16"/>
          <w:szCs w:val="16"/>
        </w:rPr>
        <w:softHyphen/>
        <w:t>чительной степени, конструкция самого фюзеляжа над грузовым отсеком. Некоторые изменения вво</w:t>
      </w:r>
      <w:r w:rsidRPr="00722885">
        <w:rPr>
          <w:rFonts w:ascii="Times New Roman" w:hAnsi="Times New Roman"/>
          <w:color w:val="000000" w:themeColor="text1"/>
          <w:sz w:val="16"/>
          <w:szCs w:val="16"/>
        </w:rPr>
        <w:softHyphen/>
        <w:t>дятся в оборудование самолета и бомбардировочное вооружение. Вследствие необходимости брони</w:t>
      </w:r>
      <w:r w:rsidRPr="00722885">
        <w:rPr>
          <w:rFonts w:ascii="Times New Roman" w:hAnsi="Times New Roman"/>
          <w:color w:val="000000" w:themeColor="text1"/>
          <w:sz w:val="16"/>
          <w:szCs w:val="16"/>
        </w:rPr>
        <w:softHyphen/>
        <w:t>рования стрелка меняется несколь</w:t>
      </w:r>
      <w:r w:rsidRPr="00722885">
        <w:rPr>
          <w:rFonts w:ascii="Times New Roman" w:hAnsi="Times New Roman"/>
          <w:color w:val="000000" w:themeColor="text1"/>
          <w:sz w:val="16"/>
          <w:szCs w:val="16"/>
        </w:rPr>
        <w:softHyphen/>
        <w:t>ко схема бронезащиты...» (11845).</w:t>
      </w:r>
    </w:p>
    <w:p w14:paraId="65BC03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8D5458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1942-го в Омске на базе авиазавода №288 построили первый опытный "Пегас". Это был цельнодеревян-ный низкоплан, заметным отличием которого явился длинный "щучий"нос фюзеляжа с выступающим из него крупнокалиберным пулеметом УБ калибра 12,7 мм.</w:t>
      </w:r>
    </w:p>
    <w:p w14:paraId="28DA1ED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Бросающаяся в глаза носовая часть прикрывала бронированную кабину пилота, сваренную из плоских стальных листов толщиной 8-14 мм. Козырек пилота - из 64-мм прозрачной брони, над головой - откидной бронезаголовник, по бокам - сдвигающиеся (или откидные) бронестворки. Общий вес брони достигал 300 кг.</w:t>
      </w:r>
    </w:p>
    <w:p w14:paraId="52DF132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Бронекоробка крепилась к деревянной хвостовой части фюзеляжа простейших форм, составленной из четырех плоских панелей, обшитых фанерой. В верхней части, сразу за кабиной пилота, находится грузовой отсек с откидываемой верхней крышкой, позволявший перевозить двух человек или 400 кг груза. Благодаря этому отсеку, "Пегас" мог выполнять десантные и транспортные операции.</w:t>
      </w:r>
    </w:p>
    <w:p w14:paraId="52EF67B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Деревянное крыло с фанерной обшивкой состояло из центроплана и отъемных консолей.В районе центроплана фанеру предполагалось пропитывать жидким стеклом для уменьшения пожароопасности в боевых условиях.</w:t>
      </w:r>
    </w:p>
    <w:p w14:paraId="456B6E9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Хвостовое оперение цельнодеревян-ное, расчаленное. Тросы управления от хвостового оперения - сдвоенные, проходили снаружи фюзеляжа.</w:t>
      </w:r>
    </w:p>
    <w:p w14:paraId="457E61C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Шасси - одностоечное, со стандартными колесами размером 700х150 (деревянные колеса в конце концов посчитали слишком оригинальными). Хвостовая опора в виде мощной стержневой пирамиды, по традиции называвшаяся костылем, крепилась наружными, накладными башмаками. Амортизация -пружинная.</w:t>
      </w:r>
    </w:p>
    <w:p w14:paraId="1C7A281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Силовая установка самолета состояла из двух двигателей М-11 Ф с независимым бензопитанием. Основные бензобаки емкостью 209 л, одновременно являлись обтекателями двигателей и в случае прострела или загорания могли сбрасываться. Для ухода от цели хватало бензина в бронированных бачках емкостью 16л.</w:t>
      </w:r>
    </w:p>
    <w:p w14:paraId="1560226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Вооружение "Пегаса", кроме уже упомянутого стационарного пулемета УБ, предполагалось съемным под центропланом, в следующих вариантах, включавших один УБ: бомба ФАБ-250 (в дальнейшем 2хФАБ-250 или ФАБ-500); девять PC-82 или PC-132; пушка калибра 37 мм (НС-37); две пушки калибра 23 мм (ВЯ-23); четыре кассеты для противотанковых кумулятивных бомб (9653).</w:t>
      </w:r>
    </w:p>
    <w:p w14:paraId="241426BA" w14:textId="77777777" w:rsidR="00BB6316" w:rsidRPr="00722885" w:rsidRDefault="00BB6316" w:rsidP="00722885">
      <w:pPr>
        <w:pStyle w:val="Iauiue"/>
        <w:jc w:val="both"/>
        <w:rPr>
          <w:color w:val="000000" w:themeColor="text1"/>
          <w:sz w:val="16"/>
          <w:szCs w:val="16"/>
        </w:rPr>
      </w:pPr>
    </w:p>
    <w:p w14:paraId="341E839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вновь вернулись к идее планера-цисцерны для увеличения дальности или боевой нагрузки бомбардировщика. Взлетал с минимумом бензина, заправлялся от буксируемого планера, отцеплял его и шел на задание. Отрабатывали на Ил-4 и А-7. Шланг имел диаметр 25 мм и крепился к тросу в 70 мм. Все прошло успешно, но метод так и не внедрили (429,124).</w:t>
      </w:r>
    </w:p>
    <w:p w14:paraId="11AAFF6A" w14:textId="77777777" w:rsidR="00BB6316" w:rsidRPr="00722885" w:rsidRDefault="00BB6316" w:rsidP="00722885">
      <w:pPr>
        <w:pStyle w:val="Iauiue"/>
        <w:jc w:val="both"/>
        <w:rPr>
          <w:color w:val="000000" w:themeColor="text1"/>
          <w:sz w:val="16"/>
          <w:szCs w:val="16"/>
        </w:rPr>
      </w:pPr>
    </w:p>
    <w:p w14:paraId="68154AE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и 1 кв. 1943 два Ил-4 были оборудованы ТК-3 (1783,143).</w:t>
      </w:r>
    </w:p>
    <w:p w14:paraId="13E6EE50" w14:textId="77777777" w:rsidR="00BB6316" w:rsidRPr="00722885" w:rsidRDefault="00BB6316" w:rsidP="00722885">
      <w:pPr>
        <w:pStyle w:val="Iauiue"/>
        <w:jc w:val="both"/>
        <w:rPr>
          <w:color w:val="000000" w:themeColor="text1"/>
          <w:sz w:val="16"/>
          <w:szCs w:val="16"/>
        </w:rPr>
      </w:pPr>
    </w:p>
    <w:p w14:paraId="1D51329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 на Ил-4 ввели усиленные колеса шасси на основных стойках, а хвостовое колесо увеличили в размерах (470 х 210 вместо 400 х 150) с соответствующим изменением костыльной фермы (7666).</w:t>
      </w:r>
    </w:p>
    <w:p w14:paraId="4F0F18FC" w14:textId="77777777" w:rsidR="00BB6316" w:rsidRPr="00722885" w:rsidRDefault="00BB6316" w:rsidP="00722885">
      <w:pPr>
        <w:pStyle w:val="Iauiue"/>
        <w:jc w:val="both"/>
        <w:rPr>
          <w:color w:val="000000" w:themeColor="text1"/>
          <w:sz w:val="16"/>
          <w:szCs w:val="16"/>
        </w:rPr>
      </w:pPr>
    </w:p>
    <w:p w14:paraId="113E49A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на Ил-4 ввели уси</w:t>
      </w:r>
      <w:r w:rsidRPr="00722885">
        <w:rPr>
          <w:rFonts w:ascii="Times New Roman" w:hAnsi="Times New Roman"/>
          <w:color w:val="000000" w:themeColor="text1"/>
          <w:sz w:val="16"/>
          <w:szCs w:val="16"/>
        </w:rPr>
        <w:softHyphen/>
        <w:t>ленные колеса шасси на основных стой</w:t>
      </w:r>
      <w:r w:rsidRPr="00722885">
        <w:rPr>
          <w:rFonts w:ascii="Times New Roman" w:hAnsi="Times New Roman"/>
          <w:color w:val="000000" w:themeColor="text1"/>
          <w:sz w:val="16"/>
          <w:szCs w:val="16"/>
        </w:rPr>
        <w:softHyphen/>
        <w:t>ках, а хвостовое колесо увеличили в размерах (470x210 мм вместо 400x150 мм) с соответствующим изменением ко</w:t>
      </w:r>
      <w:r w:rsidRPr="00722885">
        <w:rPr>
          <w:rFonts w:ascii="Times New Roman" w:hAnsi="Times New Roman"/>
          <w:color w:val="000000" w:themeColor="text1"/>
          <w:sz w:val="16"/>
          <w:szCs w:val="16"/>
        </w:rPr>
        <w:softHyphen/>
        <w:t>стыльной фермы (10734,77).</w:t>
      </w:r>
    </w:p>
    <w:p w14:paraId="1D9B3CF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77DBDC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 начале 1943 гг. для увеличения дальности полета Ил-4 с повышенным бомбовым грузом при эксплуатации с относительно небольших фронтовых аэродромов были проведены исследования возможности заправки самолетов топливом в полете с 6уксируемых ими военно-транспортных планеров А-7. Для этого на одном из Ил-4 доработали топливную систему и установили самоотцепное буксировочное приспособление, к которому крепился трос длиной 70 м для планера А-7. Планер оборудовался двумя топливными баками на 500 кг бензина и аппаратурой для перекачки топлива, состоявшей из бензонасоса и аккумулятора для его питания. С помощью резинового шланга топливная система планера соединялась с запорным краном топливной системы самолета Ил-4. Вся система дозаправки была очень простой и могла быть установлена на самолете Ил-4 силами технического состава авиачастей (9528).</w:t>
      </w:r>
    </w:p>
    <w:p w14:paraId="5DE60EB3" w14:textId="77777777" w:rsidR="00BB6316" w:rsidRPr="00722885" w:rsidRDefault="00BB6316" w:rsidP="00722885">
      <w:pPr>
        <w:pStyle w:val="Iauiue"/>
        <w:jc w:val="both"/>
        <w:rPr>
          <w:color w:val="000000" w:themeColor="text1"/>
          <w:sz w:val="16"/>
          <w:szCs w:val="16"/>
        </w:rPr>
      </w:pPr>
    </w:p>
    <w:p w14:paraId="5DCEC49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С конца 1942 г. приступили к выпуску рабочих чертежей самолета. Ил-6 должен был строиться в Иркутске на заводе № 39, и туда направилась группа конструкторов </w:t>
      </w:r>
      <w:r w:rsidRPr="00722885">
        <w:rPr>
          <w:color w:val="000000" w:themeColor="text1"/>
          <w:sz w:val="16"/>
          <w:szCs w:val="16"/>
        </w:rPr>
        <w:lastRenderedPageBreak/>
        <w:t>и расчетчиков ОКБ во главе с Я.А.Кутеповым. Постройка опытного самолета была начата 10 марта 1943 г. (9528).</w:t>
      </w:r>
    </w:p>
    <w:p w14:paraId="6058AD58" w14:textId="77777777" w:rsidR="00BB6316" w:rsidRPr="00722885" w:rsidRDefault="00BB6316" w:rsidP="00722885">
      <w:pPr>
        <w:pStyle w:val="Iauiue"/>
        <w:jc w:val="both"/>
        <w:rPr>
          <w:color w:val="000000" w:themeColor="text1"/>
          <w:sz w:val="16"/>
          <w:szCs w:val="16"/>
        </w:rPr>
      </w:pPr>
    </w:p>
    <w:p w14:paraId="44FEF6AA" w14:textId="77777777" w:rsidR="00E3119F" w:rsidRPr="00722885" w:rsidRDefault="00E3119F"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года завод № 39 построил 46 машин ДБ-3Ф, выполнив производственное задание на 121,3%. Всеми работами по постановке на серийное производство Ил-4 руководил главный инженер завода К.А. Петров. Огромный объем производственных задач решали ведущие специалисты И.М. Барышев, И.А. Губарев, А.И. Потапов, А.Ф. Еремин, В.С. Демидович, П.С. Юрцев, В.В. Серкульский, Д. Кочешков, И.В. Антонов, Б.И. Беляков, Ф.И. Саженин, В.А. Леонтьев, И.Т. Карабут, А.Н. Кощеев, А.С. Волков и многие другие. В течение всего 1943 года завод № 39 продолжал строительство бомбардировщиков Ил-4: было выпущено 697 Ил-4 при плановом задании 667, и, кроме того, 68 групповых комплектов этих машин. Начиная с октября 1943 года, завод ежемесячно выпускал по 30 бомбардировщиков. В 1944 году завод отправил фронтовым авиационным частям 125 самолетов Ил-4. (210). Бомбардировщики пополняли дивизии Авиации дальнего действия (АДД), выведенную из состава ВВС и подчиненную непосредственно Ставке. В нее первоначально вошли восемь дивизий, из них пять – воруженных Ил-4 (15223).</w:t>
      </w:r>
    </w:p>
    <w:p w14:paraId="0449AE9B" w14:textId="77777777" w:rsidR="00E3119F" w:rsidRPr="00722885" w:rsidRDefault="00E3119F" w:rsidP="00722885">
      <w:pPr>
        <w:shd w:val="clear" w:color="auto" w:fill="FFFFFF"/>
        <w:spacing w:after="0" w:line="240" w:lineRule="auto"/>
        <w:jc w:val="both"/>
        <w:rPr>
          <w:rFonts w:ascii="Times New Roman" w:hAnsi="Times New Roman"/>
          <w:color w:val="000000" w:themeColor="text1"/>
          <w:sz w:val="16"/>
          <w:szCs w:val="16"/>
        </w:rPr>
      </w:pPr>
    </w:p>
    <w:p w14:paraId="19BC11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1942 г. приступили к выпуску рабочих чертежей самолета Ил-6, и, с учетом близости конструкции Ил-4 и Ил-6, НКАП решил строить опытную машину в Иркутске на заводе № 39. Туда направилась группа специалистов ОКБ во главе с Я.А. Кутеповым. Постройка опытного самолета была начата 10 марта 1943 г.</w:t>
      </w:r>
    </w:p>
    <w:p w14:paraId="5EF567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Ил-6 представлял собой двудвигательный низкоплан и его основные размеры, такие, как площадь крыла и тина фюзеляжа, были выбраны практически одинаковыми с размерами самолета ДБ-4. Однако аэродинамическая компоновка крыла и такие его параметры, как удлинение и сужение, были другими.</w:t>
      </w:r>
    </w:p>
    <w:p w14:paraId="078BB3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то время в ЦАГИ не было единой точки зрения на принципы аэродинамической компоновки крыла, обеспечивающие высокий уровень безопасности полета. В соответствии с взглядами, которые отстаивал Г.Ф. Гласс, крыло самолета должно было иметь одинаковые по размаху профили, небольшую стреловидность передней кромки и значительное сужение. Такой подход и был положен в основу аэродинамической компоновки крыла Ил-6. Оно имело профиль N АСА-230 и удлинение, равное восьми. Для лучшей несущей способности крыла на взлетно-посадочных режимах его снабдили щитками.</w:t>
      </w:r>
    </w:p>
    <w:p w14:paraId="157134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Конструкция самолета была цельнометаллическая. Крыло - двухлонжеронное с работающей обшивкой. Фюзеляж полумо- нококковой конструкции имел много общего с конструкцией фюзеляжа Ил-4. Хвостовое оперение Ил-6 было однокилевой схемы.</w:t>
      </w:r>
    </w:p>
    <w:p w14:paraId="330547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Дизельные двигатели устанавливались в двух гондолах, плавность форм которых нарушалась только обтекателями масляных радиаторов. Водяные радиаторы системы охлаждения двигателей располагались в крыльевых туннелях с входом охлаждающего воздуха через носок крыла. Выход из туннеля находился под крылом и регулировался заслонкой с электроуправлением из кабины пилотов. Топливо размещалось в шести баках, располагавшихся в центроплане и отъемных частях крыла. Суммарная емкость баков была 5935 литров.</w:t>
      </w:r>
    </w:p>
    <w:p w14:paraId="6C90AA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состоял из шести человек: двух летчиков, располагавшихся рядом друг с другом, штурмана, рабочее место которого находилось в носовой кабине, оборудованной по типу кабины ДБ-ОЗФ: двух стрелков, обслуживающих верхнюю турельную и нижнюю люковую установки, и стрел ка-радиста, который должен был вести огонь из бортовых установок. Каждая оборонительная установка оснащалась пушкой 111-20 калибра 20 мм. Общий боезапас состоял из 850 снарядов.</w:t>
      </w:r>
    </w:p>
    <w:p w14:paraId="04D6F10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Бомбоотсеки на Ил-6 выполнялись по одинаковой с ДБ-3 силовой схеме с установкой кассетных бомбодержателей по оси симметрии самолета. Благодаря большому сужению крыла и увеличившемуся вследствие этого расстоянию между лонжеронами в корневой части, бомбоотсеки стали иметь длину, обеспечившую двухрядную подвеску бомб калибра 100 кг. В них размещалось 20 бомб массой по 100 кг или восемь бомб по 250 кг, или четыре бомбы массой по 500 кг. Максимальна масса бомбового груза в бомбоотсеке Ил-6 достигала 2500 кг. На наружных бомбодержателях Ил-6 мог нести две бомбы по 1000 кг или две торпеды.</w:t>
      </w:r>
    </w:p>
    <w:p w14:paraId="44E9A5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Кабина экипажа оборудовалась обычным для того времени набором и ил отажно- навигационных приборов, в распоряжении экипажа имелись радиокомпас и автопилот. В состав оборудования самолета входила мощная приемо-передающая радиостанция РСБ-3 бис, аэрофотоаппаратура для дневного и ночного контроля результатов бомбометания.</w:t>
      </w:r>
    </w:p>
    <w:p w14:paraId="5287F1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отсутствия двигателей АЧ-ЗОБФ первый самолет строить пришлось с АЧ-ЗОБ, взлетная мощность которых была явно недостаточной для проектной массы Ил-6 (12037).</w:t>
      </w:r>
    </w:p>
    <w:p w14:paraId="4443755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AF994C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года завод №22 выпустил два Пе-8 №42029 и №42039 с двигателями М-30Б. Один самолет поступил для опытной эксплуатации в АЛЛ,, один самолет продолжал проходить до конца года заводские испытания на заводе. Машины были рекомендованы для боевой работы в АДД. Последние четыре машины из 93 выпущенных ТБ-7 - Пе-8, выпуска 1944 года, были также с дизелями М-30Б (М№42612, 42712, 42812 и 42912). Первые две машины были выпущены в варианте самолетов, предназначенных для специальных пассажирских перевозок - Пе-8ОН. Полностью довести М-30Б так и не удалось, и их применение во второй половине войны на Пе-8 было эпизодическим (7685).</w:t>
      </w:r>
    </w:p>
    <w:p w14:paraId="03CD47AD" w14:textId="77777777" w:rsidR="00BB6316" w:rsidRPr="00722885" w:rsidRDefault="00BB6316" w:rsidP="00722885">
      <w:pPr>
        <w:pStyle w:val="Iauiue"/>
        <w:jc w:val="both"/>
        <w:rPr>
          <w:color w:val="000000" w:themeColor="text1"/>
          <w:sz w:val="16"/>
          <w:szCs w:val="16"/>
        </w:rPr>
      </w:pPr>
    </w:p>
    <w:p w14:paraId="75435F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военные предложили заменить носовую установку НЭБ с двумя пулемётами ШКАС на более лёгкую и обтекаемую с одним крупнокалиберным УБТ с боезапасом 200 патронов. Решили вписать её в обводы носовой части фюзеляжа. Пулемёт установили в прозрачной сфере, в так называемом "яблоке". Теперь экипаж был защищён от сквозняков, прежде нещадно дувших через щели для стволов. Кабину штурмана перекомпоновали. С учётом того, что бомбёжки, как правило, проводили в тёмное время суток, Пе-8 снабдили ночным прицелом НКПБ-4. Основным бомбардировочным прицелом раньше был синхронный ПС-1, сложный и капризный; его работа постоянно вызывала нарекания. Учитывая это, его заменили на более простой ОПБ-2У, а затем на ОПБ-1Р. Всё это внедрили на серийных Пе-8 выпуска 1943 г. (11996).</w:t>
      </w:r>
    </w:p>
    <w:p w14:paraId="34C4347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61E38C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концу 1942 года была создана фугасная бомба ФАБ-5000, которая весила 5080 кг, имела диаметр 1000 мм и длину, соответствующую длине бомбоотсека Пе-8. От разрыва такой бомбы на земле образовывалась воронка диаметром 18-24 м и глубиной 6-9 м. Крупный железнодорожный мост мог быть разрушен такой бомбой, даже если бомба взрывалась в 10-15 м от него. Предварительно, прежде чем передавать бомбу в действующие части АДД, решено было проверить как эффективность ее действия, так и особенности ее эксплуатации. Единственной советской машиной, которая могла поднять и доставить к цели это чудовище, был Пе-8. Соответственно разработку системы подвески бомбы поручили ОКБ Незваля. До этого наибольшая бомба, которую поднимал Пе-8, была бомба ФАБ-2000. По своей длине бомба в отсеке Пе-8 размещалась, а вот ее метровый диаметр привел к тому что она значительно выступала за обводы фюзеляжа и не позволяла закрывать полностью створки бомболюка (И.Ф.Незвалю везло в жизни на подобные задания, через полтора десятка лет именно его подразделение в ОКБ Туполева получит задание на размещение термоядерной "супербомбы" "202" мощностью 100 мегатонн в бомбоотсеке Ту-95). Подвеску бомбы пришлось выполнять совершенно по иноому чем для ФАБ-2000, - на лонжеронах центроплана установили более прочные узлы, а также смонтировали новую систему для подвески бомбы. В ОКБ достаточно быстро разработали всю техдоку-ментацию по теме. Для проверки системы подъема изготовили весовой макет в виде бочки, начинив ее землей и железными обрезками. После испытаний макета на прочность на стенде на трехкратную перегрузку решено было поднять макет системы в воздух и произвести сброс. На доработанном Пе-8, пилотируемым Водопьяновым и Говоровым, был произведен сброс весового макета бомбы с высоты 3000 м на болота в устье Камы. Испытания прошли успешно, подтвердив возможность применения с Пе-8 ФАБ-5000 (7685).</w:t>
      </w:r>
    </w:p>
    <w:p w14:paraId="30764D25" w14:textId="77777777" w:rsidR="00BB6316" w:rsidRPr="00722885" w:rsidRDefault="00BB6316" w:rsidP="00722885">
      <w:pPr>
        <w:pStyle w:val="Iauiue"/>
        <w:jc w:val="both"/>
        <w:rPr>
          <w:color w:val="000000" w:themeColor="text1"/>
          <w:sz w:val="16"/>
          <w:szCs w:val="16"/>
        </w:rPr>
      </w:pPr>
    </w:p>
    <w:p w14:paraId="457A46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года была создана ФАБ-5000, которая весила 5080 кг. От её разрыва образовывалась воронка диаметром 18 - 24 м и глубиной 6 - 9 м. Крупный железнодорожный мост мог быть разрушен, даже если разрыв происходил в 10 - 15 м от него.</w:t>
      </w:r>
    </w:p>
    <w:p w14:paraId="7EE22B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Единственной советской машиной, которая могла поднять и доставить к цели это чудовище, был Пе-8. Разработку подвески бомбы поручили Незвалю. До этого наибольшей бомбой, которую поднимал Пе-8, была ФАБ-2000. По своей длине ФАБ-5000 в бомбоотсеке размещалась, а вот метровый диаметр привел к тому, что она значительно выступала за обводы фюзеляжа и не позволяла полностью закрывать створки бомболюка. На лонжеронах центроплана установили специальные узлы подвески ФАБ-5000.</w:t>
      </w:r>
    </w:p>
    <w:p w14:paraId="45AA8A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проверки изготовили весовой макет - бочку с землёй и железными обрезками. После испытаний подвески на прочность на стенде на трёхкратную перегрузку решили поднять макет в воздух и сбросить. С доработанного Пе-8, пилотируемого Водопьяновым и Говоровым, бочку с высоты 3000 м скинули на болота в устье Камы. Испытания прошли успешно. Вслед за первой машиной системой подвески ФАБ-5000 в начале 1943 г. оборудовали ещё несколько самолётов (11996).</w:t>
      </w:r>
    </w:p>
    <w:p w14:paraId="3A9471C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BDE3A8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 переделывать в авиабомбы начали корпуса артбоеприпасов калибра 122 мм - цельнокорпусных осколочных гранат, забракованных по дефектам механической обработки на различных ее стадиях (как с ведущим пояском, так и без него), а также штампованных заготовок донной части арт-снарядов, забракованных при обжиме оживала из-за “разно-стенности” и несоответствия размерам. В итоге в 1943 г. в ГСКБ-47 разработали документацию на изготовление таких авиабомб калибром 25 кг. Причем в ход шли как снаряды с цельноковаными корпусами, так и с передними втулками (в артиллерии более известны как с разъемными головками), устанавливаемыми на резьбе. При этом стабилизатор авиабомбы приваривали непосредственно к корпусу артснаряда. Авиабомбы из снарядной штамповки отличало крепление дна со стабилизатором, приваренным к нему на специальных вваренных или ввернутых на резьбе шпильках. В обоих случаях стабилизаторы были четырехперистые и с тормозным диском. Опытные образцы авиабомб испытывали на учебном полигоне Новосибирской авиашколы (7453).</w:t>
      </w:r>
    </w:p>
    <w:p w14:paraId="47785FAD" w14:textId="77777777" w:rsidR="00BB6316" w:rsidRPr="00722885" w:rsidRDefault="00BB6316" w:rsidP="00722885">
      <w:pPr>
        <w:pStyle w:val="Iauiue"/>
        <w:jc w:val="both"/>
        <w:rPr>
          <w:color w:val="000000" w:themeColor="text1"/>
          <w:sz w:val="16"/>
          <w:szCs w:val="16"/>
        </w:rPr>
      </w:pPr>
    </w:p>
    <w:p w14:paraId="6FFB5BD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До конца 1942 года завод выпустил еще один Пе-8 с М-82 (на фоне трех с М-30 и 15 с АМ-35А), а в следующих 1943 и 1944 годах все Пе-8 строились и сдавались в части только с двигателями типа М-82 (7685).</w:t>
      </w:r>
    </w:p>
    <w:p w14:paraId="18FE5751" w14:textId="77777777" w:rsidR="00BB6316" w:rsidRPr="00722885" w:rsidRDefault="00BB6316" w:rsidP="00722885">
      <w:pPr>
        <w:pStyle w:val="Iauiue"/>
        <w:jc w:val="both"/>
        <w:rPr>
          <w:color w:val="000000" w:themeColor="text1"/>
          <w:sz w:val="16"/>
          <w:szCs w:val="16"/>
        </w:rPr>
      </w:pPr>
    </w:p>
    <w:p w14:paraId="7068719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 начале 1943 годов военные предложили заменить на Пе-8 носовую стрелковую башенную установку под два ШКАС типа НЭБ на более легкую и аэродинамически более обтекаемую и простую с одним крупнокали берным пулеметом УБТ. Нечто подобное уже эксплуатировалось на Ер-2. Для Пе-8 ОКБ решило спроектировать и построить своими силами в короткий срок новую установку специально приспособленную под Пе-8.</w:t>
      </w:r>
    </w:p>
    <w:p w14:paraId="71DAFD1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Рассмотрев несколько предложенных схем, в ОКБ приняли решение делать установку под УБТ с боекомплектом на двести снарядов, вписав ее в обводы носовой части фюзеляжа, с тем чтобы получить максимально возможный угол обстрела. В результате удалось создать весьма компактную и легкую установку с хорошими углами обстрела, снабженную весовой компенсацией, разгружавшей стрелка. Пулемет был установлен в прозрачной сфере, в так называемом ''яблочном" шарнире. Теперь экипаж был защищен от сквозняков, дувших через щели, имевшиеся в НЭБ.</w:t>
      </w:r>
    </w:p>
    <w:p w14:paraId="792CDED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Ознакомившись с новой носовой установкой, стрелки были полностью удовлетворены. Основываясь на опыте двух лет вой' ны, перекомпоновали кабину штурмана. С учетом того, что в основном бомбежки проводили в ночное время ОКБ, по требованию военных, установило на Пе-8 дополнительный ночной коллиматорный прицел НКБП-4, который хотя и не имел счетно-решающегс устройства, позволял в боевой обстановке быстро находить цель ночью Основным бомбардировочным прицелом на тот период на Пе-8 был синхронный прицел ПС-1. На его работа постоянно приходили нарекания ее стороны летного состава. Недостатка нашей "точной" прицельной техники вс время войны были "притчей во языцах" это касалось не только бомбардировочных прицелов, не лучше дело обстояло с танковыми прицелами. Пс этим изделиям германская и союзная техника превосходила нашу по многие параметрам. Кончилось все тем, что в действующей армии, уставши бомбить "по сапогу", устанавливали на самолеты германские и американские бомбардировочные прицелы, снятые с разбитых самолетов. Учитывая все это, ОКБ заменило ПС-1 на более простой ОПБ-2У, а затем на ОПБ-1Р. Все это внедрили в 1943 году на серийных Пе-84М-82 (7685).</w:t>
      </w:r>
    </w:p>
    <w:p w14:paraId="496D6C1E" w14:textId="77777777" w:rsidR="00BB6316" w:rsidRPr="00722885" w:rsidRDefault="00BB6316" w:rsidP="00722885">
      <w:pPr>
        <w:pStyle w:val="Iauiue"/>
        <w:jc w:val="both"/>
        <w:rPr>
          <w:color w:val="000000" w:themeColor="text1"/>
          <w:sz w:val="16"/>
          <w:szCs w:val="16"/>
        </w:rPr>
      </w:pPr>
    </w:p>
    <w:p w14:paraId="05D993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конца 1942 г. самолет ТБ-7 №385 "Дублер" довели до летного состояния: на него установили двигатели АМ-35А, вместо пятого двигателя М-100 оборудовали дополнительный топливный бак. Естественно проверили и восстановили все системы и оборудование, дополнили вооружение. После проведенных работ командование заключило, что "борода" вполне боеспособна и самолет включили в состав 890- го бомбардировочного авиаполка (12025).</w:t>
      </w:r>
    </w:p>
    <w:p w14:paraId="06FDEA6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61640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первый Пе-8 № 42047 с двигателями М-82 (с редукцией 9/16) успешно прошел летные испытания. Хотя взлетный вес машины несколько возрос, а летчики жаловались на чрезмерный шум в кабине от новых двигателей, в целом новая модификация оказалась вполне на требуемом уровне. Расход топлива по сравнению с АМ-35А оказался заметно ниже, что позволило увеличить дальность полета - согласно проведенным испытаниям модифицированный самолет с одной тонной бомб обеспечивал дальность полета до 4300 км (12025).</w:t>
      </w:r>
    </w:p>
    <w:p w14:paraId="2EA2C80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5E152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завод №22 выпустил два Пе-8 №42029 и №42039 с двигателями М-30Б. Один самолет поступил для опытной эксплуатации в АДД, один самолет продолжал проходить до конца года заводские испытания на заводе. Машины были рекомендованы для боевой работы в АДД. Последние четыре машины из 93 выпу</w:t>
      </w:r>
      <w:r w:rsidRPr="00722885">
        <w:rPr>
          <w:rFonts w:ascii="Times New Roman" w:hAnsi="Times New Roman"/>
          <w:color w:val="000000" w:themeColor="text1"/>
          <w:sz w:val="16"/>
          <w:szCs w:val="16"/>
        </w:rPr>
        <w:softHyphen/>
        <w:t>щенных ТБ-7 - Пе-8, выпуска 1944 года, были также с дизелями М-ЗОБ (№42612, 42712, 42812 и 42912). Первые две машины были выпущены в варианте самолетов, предназначенных для специальных пассажирских перевозок — Пе-80Н (о них информация будет представлена ниже). Полностью довести М-30Б так и не удалось, и их применение во второй половине войны на Пе-8 было эпизодическим (12726).</w:t>
      </w:r>
    </w:p>
    <w:p w14:paraId="2017457A" w14:textId="77777777" w:rsidR="00BB6316" w:rsidRPr="00722885" w:rsidRDefault="00BB6316" w:rsidP="00722885">
      <w:pPr>
        <w:pStyle w:val="ae"/>
        <w:spacing w:before="0" w:after="0"/>
        <w:jc w:val="both"/>
        <w:rPr>
          <w:rStyle w:val="mfont1"/>
          <w:rFonts w:eastAsia="Times New Roman"/>
          <w:bCs/>
          <w:color w:val="000000" w:themeColor="text1"/>
          <w:sz w:val="16"/>
          <w:szCs w:val="16"/>
        </w:rPr>
      </w:pPr>
    </w:p>
    <w:p w14:paraId="37D11C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было принято решение ГКО о создании сверхмощных боеприпасов. В то же время ОКБ Незваля получило задание на разработку подвески для новой сверхмощной авиабомбы ФАБ-5000. Эта авиационная бомба имела точный вес 5080 кг, диаметр 1000 мм, длина ее соответствовала размерам бомбоотсека Пе-8. При разрыве ее образовывалась воронка диаметром около 20 м и глубиной 6-9 м. Для установки ФАБ-5000 на самолете усилили узлы центроплана, разработали новую гидравлическую систему подъема пятитонки на внутренние держатели. Схему подвески осуществили по типу 2-х тонной бомбы, закрепив ее на двух замках Дер-20У грузоподъемностью 2,5 тонны. В бомбовый отсек ФАБ-5000 поднимали с помощью шести штатных лебедок БЛ-4.</w:t>
      </w:r>
    </w:p>
    <w:p w14:paraId="6C34E5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проверки работоспособности системы на авиазаводе №22 изготовили весовой макет в виде бочки, начинив ее землей и металлическими обрезками. Предварительно на земле неоднократно испытали бугели подвески и систему фиксации створок бом- болюка. После этого доработанный Пе-8 с тяжелым грузом летчики Водопьянов и Говоров подняли в воздух. Благополучный сброс произвели с высоты 3000 м на заболоченном участке в районе Камского устья.</w:t>
      </w:r>
    </w:p>
    <w:p w14:paraId="44476A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Задание на изготовление первых пяти авиабомб ФАБ-5000 Главное управление авиационного снабжения ВВС выдало в начале 1943 г. и в феврале того же года они были готовы. К этому периоду несколько наиболее надежных машин 45-й авиадивизии оборудовали для подъема ФАБ-5000. При практической подвеске на самолет стабилизатор бомбы оказался велик, и его пришлось обрезать. Кроме того, ФАБ-5000 полностью не умещалась во внутреннем отсеке и створки бомбового люка не закрывались до конца, что привело к уменьшению полетной скорости на 10-15 км/ч (12025).</w:t>
      </w:r>
    </w:p>
    <w:p w14:paraId="02CE656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316032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на двух Ер-2 пытались установить опытные МБ-100 А.М.Добротворского (4,279).</w:t>
      </w:r>
    </w:p>
    <w:p w14:paraId="3E82DE7C" w14:textId="77777777" w:rsidR="00BB6316" w:rsidRPr="00722885" w:rsidRDefault="00BB6316" w:rsidP="00722885">
      <w:pPr>
        <w:pStyle w:val="Iauiue"/>
        <w:jc w:val="both"/>
        <w:rPr>
          <w:color w:val="000000" w:themeColor="text1"/>
          <w:sz w:val="16"/>
          <w:szCs w:val="16"/>
        </w:rPr>
      </w:pPr>
    </w:p>
    <w:p w14:paraId="3D9E0F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была сделана попытка на двух Ер-2 установить опытные 24-цилиндровые двигатели МБ-100 конструкции A.M. Добротворского. Они имели X- образную схему, составленную из двух М-103, положенных горизонтально, от коленчатых валов которых приводился общий редуктор вала соосных винтов. Мощность этого монстра достигала 2400 л. е.; в прин ципе, соответствовала задаче, однако громоздкость МБ-100 (его ширина составляла 1,95 м) не позволяла установить его на Ер-2, кроме того - возникли трудности с охлаждением. Десять полетов Ер-2 с этими двигателями не дали положительных результатов - дальность и бомбовая нагрузка только снизились из-за возросшего сопротивления. Не совсем понятно, почему конструкторы обошли вниманием звездообразные двигатели АШ-82, возможно, из-за дефицита этих моторов, шедших в первую очередь на истребители Ла-5. Факт остается фактом: в поисках пути увеличения дальности полета Ер-2 обратились к дизельным двигателям как более экономичным (12037).</w:t>
      </w:r>
    </w:p>
    <w:p w14:paraId="73B9A3F6"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3D41A6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в ЛИИ на большой скорости рулил Пе-2 А.Д.Надирадзе. Мощности двигателей, потерявших по 250 нр, для взлета - не хватало (2415,30).</w:t>
      </w:r>
    </w:p>
    <w:p w14:paraId="6B062CB2" w14:textId="77777777" w:rsidR="00BB6316" w:rsidRPr="00722885" w:rsidRDefault="00BB6316" w:rsidP="00722885">
      <w:pPr>
        <w:pStyle w:val="Iauiue"/>
        <w:jc w:val="both"/>
        <w:rPr>
          <w:color w:val="000000" w:themeColor="text1"/>
          <w:sz w:val="16"/>
          <w:szCs w:val="16"/>
        </w:rPr>
      </w:pPr>
    </w:p>
    <w:p w14:paraId="66EDA0D9"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 концу 1942 г. начальник группы отделов моторов и топлив НИИ ВВС инженер-пол</w:t>
      </w:r>
      <w:r w:rsidRPr="00722885">
        <w:rPr>
          <w:rFonts w:ascii="Times New Roman" w:cs="Times New Roman"/>
          <w:color w:val="000000" w:themeColor="text1"/>
          <w:spacing w:val="0"/>
        </w:rPr>
        <w:softHyphen/>
        <w:t>ковник Фокин докладывал руководству:</w:t>
      </w:r>
    </w:p>
    <w:p w14:paraId="45408C28"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«Из строевых частей ВВС КА поступают сведения о недоборе скоростей на самолёте Ла-5 при работе мотора на 2-й скорости нагнетателя, т.е. на высоте от 4000 м и выше.</w:t>
      </w:r>
    </w:p>
    <w:p w14:paraId="584DC6E0"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Потеря скорости на самолёте Ла-5 может происходить по следующим причинам:</w:t>
      </w:r>
    </w:p>
    <w:p w14:paraId="3AD3723E" w14:textId="77777777" w:rsidR="00E3119F" w:rsidRPr="00722885" w:rsidRDefault="00E3119F" w:rsidP="00722885">
      <w:pPr>
        <w:pStyle w:val="27"/>
        <w:shd w:val="clear" w:color="auto" w:fill="auto"/>
        <w:tabs>
          <w:tab w:val="left" w:pos="423"/>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а) ухудшение аэродинамики самолёта (полеты с открытым колпаком лётчика и с не</w:t>
      </w:r>
      <w:r w:rsidRPr="00722885">
        <w:rPr>
          <w:rFonts w:ascii="Times New Roman" w:cs="Times New Roman"/>
          <w:color w:val="000000" w:themeColor="text1"/>
          <w:spacing w:val="0"/>
        </w:rPr>
        <w:softHyphen/>
        <w:t>установленными по потоку воздушными заслонками и заслонками маслорадиатора);</w:t>
      </w:r>
    </w:p>
    <w:p w14:paraId="5CD27975" w14:textId="77777777" w:rsidR="00E3119F" w:rsidRPr="00722885" w:rsidRDefault="00E3119F" w:rsidP="00722885">
      <w:pPr>
        <w:pStyle w:val="27"/>
        <w:shd w:val="clear" w:color="auto" w:fill="auto"/>
        <w:tabs>
          <w:tab w:val="left" w:pos="454"/>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б) падение мощности мотора.</w:t>
      </w:r>
    </w:p>
    <w:p w14:paraId="118A5B8B"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Зависимость максимальной скорости полёта от по</w:t>
      </w:r>
      <w:r w:rsidRPr="00722885">
        <w:rPr>
          <w:rFonts w:ascii="Times New Roman" w:cs="Times New Roman"/>
          <w:color w:val="000000" w:themeColor="text1"/>
          <w:spacing w:val="0"/>
        </w:rPr>
        <w:softHyphen/>
        <w:t>ложения колпака и воздушных заслонок — известна и не требует дополнительных испытаний или каких-ли- бо конструктивных переделок на самолёте.</w:t>
      </w:r>
    </w:p>
    <w:p w14:paraId="03E69567"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Падение мощности мотора — явление более трудно уловимое в условиях строевой части, так как прибо</w:t>
      </w:r>
      <w:r w:rsidRPr="00722885">
        <w:rPr>
          <w:rFonts w:ascii="Times New Roman" w:cs="Times New Roman"/>
          <w:color w:val="000000" w:themeColor="text1"/>
          <w:spacing w:val="0"/>
        </w:rPr>
        <w:softHyphen/>
        <w:t>ров, непосредственно замеряющих мощность мотора на самолёте нет, однако уменьшение скорости полёта при прочих равных условиях несомненно указывает на уменьшение мощности мотора.</w:t>
      </w:r>
    </w:p>
    <w:p w14:paraId="3FFE42D8"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У мотора М-82 падение мощности в полёте на 2-й скорости нагнетателя может быть, в основном, по сле</w:t>
      </w:r>
      <w:r w:rsidRPr="00722885">
        <w:rPr>
          <w:rFonts w:ascii="Times New Roman" w:cs="Times New Roman"/>
          <w:color w:val="000000" w:themeColor="text1"/>
          <w:spacing w:val="0"/>
        </w:rPr>
        <w:softHyphen/>
        <w:t>дующим причинам:</w:t>
      </w:r>
    </w:p>
    <w:p w14:paraId="18573BAD" w14:textId="77777777" w:rsidR="00E3119F" w:rsidRPr="00722885" w:rsidRDefault="00E3119F" w:rsidP="00722885">
      <w:pPr>
        <w:pStyle w:val="27"/>
        <w:shd w:val="clear" w:color="auto" w:fill="auto"/>
        <w:tabs>
          <w:tab w:val="left" w:pos="577"/>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а) неудовлетворительная работа карбюратора АК-82БП (чрезмерное обогащение или обеднение),</w:t>
      </w:r>
    </w:p>
    <w:p w14:paraId="65992234" w14:textId="77777777" w:rsidR="00E3119F" w:rsidRPr="00722885" w:rsidRDefault="00E3119F" w:rsidP="00722885">
      <w:pPr>
        <w:pStyle w:val="27"/>
        <w:shd w:val="clear" w:color="auto" w:fill="auto"/>
        <w:tabs>
          <w:tab w:val="left" w:pos="481"/>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б) неудовлетворительная работа свечей ВГ-12 и магнето БСМ-14...</w:t>
      </w:r>
    </w:p>
    <w:p w14:paraId="3EC2143C" w14:textId="77777777" w:rsidR="00E3119F" w:rsidRPr="00722885" w:rsidRDefault="00E3119F" w:rsidP="00722885">
      <w:pPr>
        <w:pStyle w:val="27"/>
        <w:shd w:val="clear" w:color="auto" w:fill="auto"/>
        <w:tabs>
          <w:tab w:val="left" w:pos="481"/>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Испытаниями на станке и в полёте, проводимыми заводом № 19, ЛИИ НКАП и НИИ ВВС КА установлено, что карбюраторы АК-82БП не сохраняют постоянной регулировки и в по</w:t>
      </w:r>
      <w:r w:rsidRPr="00722885">
        <w:rPr>
          <w:rFonts w:ascii="Times New Roman" w:cs="Times New Roman"/>
          <w:color w:val="000000" w:themeColor="text1"/>
          <w:spacing w:val="0"/>
        </w:rPr>
        <w:softHyphen/>
        <w:t>лёте, при работе мотора на 2-й скорости нагнетателя, сильно обогащают состав смеси.</w:t>
      </w:r>
    </w:p>
    <w:p w14:paraId="368F187D"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 тому же, мотор М-82 допускает изменение состава смеси в широких пределах без резкого ухудшения характера его работы. Мощность мотора при этом изменяется в пределах до 17,5%...</w:t>
      </w:r>
    </w:p>
    <w:p w14:paraId="2AAB5352"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Летными испытаниями самолётов с моторами М-82 (Ла-5, Ту-2, ДБ-ЗФ), проведенны</w:t>
      </w:r>
      <w:r w:rsidRPr="00722885">
        <w:rPr>
          <w:rFonts w:ascii="Times New Roman" w:cs="Times New Roman"/>
          <w:color w:val="000000" w:themeColor="text1"/>
          <w:spacing w:val="0"/>
        </w:rPr>
        <w:softHyphen/>
        <w:t>ми в 1942 году, подтверждается тот факт, что при удовлетворительной работе мотора на 2-й скорости нагнетателя изменение максимальной скорости полёта самолёта по высо</w:t>
      </w:r>
      <w:r w:rsidRPr="00722885">
        <w:rPr>
          <w:rFonts w:ascii="Times New Roman" w:cs="Times New Roman"/>
          <w:color w:val="000000" w:themeColor="text1"/>
          <w:spacing w:val="0"/>
        </w:rPr>
        <w:softHyphen/>
        <w:t>те протекает нормально (с-т Ла-5), при неудовлетворительной работе карбюратора или других агрегатов мотора, максимальная скорость полёта по высоте изменяется ненор</w:t>
      </w:r>
      <w:r w:rsidRPr="00722885">
        <w:rPr>
          <w:rFonts w:ascii="Times New Roman" w:cs="Times New Roman"/>
          <w:color w:val="000000" w:themeColor="text1"/>
          <w:spacing w:val="0"/>
        </w:rPr>
        <w:softHyphen/>
        <w:t>мально и наблюдается значительный разброс точек (самолёты Ту-2 и ДБ-ЗФ)...»</w:t>
      </w:r>
    </w:p>
    <w:p w14:paraId="09A83773"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Результаты испытаний красноречиво подтверждали данные утверждения (15813).</w:t>
      </w:r>
    </w:p>
    <w:p w14:paraId="1563F545"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p>
    <w:p w14:paraId="36C51E46"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К концу 1942 от консольных бензобаков на Ла-5 отказались ради экономии веса, а одну из пушек с той же целью заменили пулеметом УБС. Толщину бронеспинки сиденья уменьшили с 10 до 8 мм. Благодаря этому взлетная масса понизилась до 3200 кг. Удельная нагрузка на площадь облегченной машины составляла 183 кг, что было больше, чем на тогдашних «мессершмиттах» и «яках».</w:t>
      </w:r>
    </w:p>
    <w:p w14:paraId="432744D6"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lastRenderedPageBreak/>
        <w:t>Зато удельная нагрузка на мощность равнялась 2,08 кг/л.с. на номинальном режиме, а на форсажном – 1,88 кг/л.с., то есть по этому показателю Ла-5 оказался гораздо лучше яковлевских машин. Немного превзошел он по энерговооруженности и относительно новый «Мессершмитт» Bf 109F-4, широко применявшийся в тот период на советско-германском фронте. Однако из-за худшей аэродинамики его летные характеристики в целом оставались более низкими, особенно – скороподъемность и скорость на больших высотах.</w:t>
      </w:r>
    </w:p>
    <w:p w14:paraId="5488A4AD"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Но были и обнадеживающие моменты. За счет большего веса Ла-5 быстрее разгонялся на пикировании, а включение пятиминутного взлетно-форсажного режима позволяло ему в течение этого времени развивать более высокую, чем у «Мессершмитта», скорость на высотах до 3000 м. Скороподъемность у земли также повышалась с 14 до 18 м/с, но по этому показателю даже взлетный форсаж не позволял Ла-5 догнать «Фридриха».</w:t>
      </w:r>
    </w:p>
    <w:p w14:paraId="19226002"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По горизонтальной маневренности новый советский истребитель почти сравнялся с «Мессершмиттом». Наличие автоматических предкрылков позволяло пилоту Ла-5 выполнять столь же крутые виражи без риска сорваться в штопор. В сравнении с ЛаГГ-3 время разворота Ла-5 сократилось с 28 до 22 секунд.</w:t>
      </w:r>
    </w:p>
    <w:p w14:paraId="56C9FA6D"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Ла-5 обладал и еще одним важным достоинством. Все экземпляры этой машины изначально были радиофицированы: на каждом стоял приемник РСИ-3, а на каждом третьем – еще и передатчик РСИ-4. С лета 1943 г. на всех машинах начали ставить не только приемники, но и передатчики, причем на машинах более раннего выпуска, поступивших с заводов без передатчиков, их монтировали непосредственно на аэродромах.</w:t>
      </w:r>
    </w:p>
    <w:p w14:paraId="1D990F4D"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Между тем, Ла-5 был не лишен серьезных эксплуатационных недостатков, главные из которых – плохая термоизоляция двигателя и отсутствие вентиляции кабины, а также – невозможность открыть фонарь в полете на скоростях более 350 км/ч. Вдобавок, из-за плохой герметизации моторного отсека в кабину нередко затягивало выхлопной газ. Удушающая жара, достигавшая зимой 40, а летом 55–60 градусов, помноженная на риск оказаться «замурованными» в кабине, вынуждала пилотов Ла-5 вести бои с открытыми фонарями, хоть это ухудшало летные данные и запрещалось инструкциями.</w:t>
      </w:r>
    </w:p>
    <w:p w14:paraId="13ECBF70"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Положение усугублялось низким качеством плексигласа, шедшего на остекление фонарей. В ходе эксплуатации он быстро желтел, мутнел и частично терял прозрачность (впрочем, тот же недостаток отмечался и на «яках»). Обеспечение более-менее нормального обзора по сторонам служило еще одним побудительным мотивом для летчиков, чтобы держать фонари открытыми, а иногда сдвижную часть фонаря вообще снимали.</w:t>
      </w:r>
    </w:p>
    <w:p w14:paraId="7C78E395"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результате сводились к нулю все аэродинамические преимущества закрытой кабины, а максимальная скорость снижалась на 25–30 км/ч. Лишь в 1943 году истребители Лавочкина начали оборудовать устройствами аварийного сброса фонарей, однако проблемы с некачественным оргстеклом и высокой температурой в кабине остались. Немецким пилотам были незнакомы подобные сложности. Фонари их машин с начала войны оборудовались системами аварийного сброса и долгое время сохраняли высокую степень прозрачности. Попутно заметим, что фонарь Bf 109 в полете вообще не открывался, его можно было только сбросить.</w:t>
      </w:r>
    </w:p>
    <w:p w14:paraId="44BFB84D"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Если в сравнении с Bf 109F летные данные Ла-5 выглядели неплохо, то более новый Bf 109G (немецкое прозвище «Густав»), появившийся на советско-германском фронте почти одновременно с лавочкинской машиной, сразу отбросил ее в разряд устаревших. На его фоне Ла-5 утратил свое форсажное преимущество в скорости на малых высотах, а на высотах 4–6 км «Густав» летал быстрее «Лавочкина» на 40–60 км/ч.</w:t>
      </w:r>
    </w:p>
    <w:p w14:paraId="0A0E2E7A"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Превосходство Bf 109G в скороподъемности стало подавляющим. На всем диапазоне высот «Густав» шел вверх на 2–3 метра в секунду быстрее, чем «Лавочкин». А когда пилот Ла-5 был вынужден отключать форсирование, чтобы не «сжечь» двигатель, превосходство «Мессершмитта» достигало 7–8 метров в секунду, что делало для наших летчиков невозможным ведение боя на вертикалях.</w:t>
      </w:r>
    </w:p>
    <w:p w14:paraId="5D19C341"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Немного исправить положение помогла разработка новой версии мотора М-82, получившей обозначение М-82Ф («форсированный»). Хотя мощность этого двигателя осталась прежней, теперь он мог работать неограниченное время на форсаже. Фактически это означало постоянную прибавку мощности на высотах до трех километров, причем на двух километрах такая прибавка составляла без малого 300 л.с. (19178).</w:t>
      </w:r>
    </w:p>
    <w:p w14:paraId="406472A6"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p>
    <w:p w14:paraId="688F2291" w14:textId="77777777" w:rsidR="00900959" w:rsidRPr="00722885" w:rsidRDefault="00900959"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К концу 1942 г. на заводе № 21 сдали 15 экземпляров ЛаГГ-3 с пушками 11П. Затем производство таких истребителей пере</w:t>
      </w:r>
      <w:r w:rsidRPr="00722885">
        <w:rPr>
          <w:rFonts w:ascii="Times New Roman" w:hAnsi="Times New Roman" w:cs="Times New Roman"/>
          <w:color w:val="000000" w:themeColor="text1"/>
          <w:sz w:val="16"/>
          <w:szCs w:val="16"/>
        </w:rPr>
        <w:softHyphen/>
        <w:t>дали в Тбилиси. Сколько их выпустили там, достоверно не из</w:t>
      </w:r>
      <w:r w:rsidRPr="00722885">
        <w:rPr>
          <w:rFonts w:ascii="Times New Roman" w:hAnsi="Times New Roman" w:cs="Times New Roman"/>
          <w:color w:val="000000" w:themeColor="text1"/>
          <w:sz w:val="16"/>
          <w:szCs w:val="16"/>
        </w:rPr>
        <w:softHyphen/>
        <w:t>вестно. Вероятно, не более двух-трех десятков (19106).</w:t>
      </w:r>
    </w:p>
    <w:p w14:paraId="562E13D4" w14:textId="77777777" w:rsidR="00900959" w:rsidRPr="00722885" w:rsidRDefault="00900959" w:rsidP="00722885">
      <w:pPr>
        <w:pStyle w:val="5f2"/>
        <w:shd w:val="clear" w:color="auto" w:fill="auto"/>
        <w:spacing w:before="0" w:after="0" w:line="240" w:lineRule="auto"/>
        <w:rPr>
          <w:rFonts w:ascii="Times New Roman" w:hAnsi="Times New Roman" w:cs="Times New Roman"/>
          <w:color w:val="000000" w:themeColor="text1"/>
          <w:sz w:val="16"/>
          <w:szCs w:val="16"/>
        </w:rPr>
      </w:pPr>
    </w:p>
    <w:p w14:paraId="40BB8F3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проф. Левков на 445 завода в Аллопаевске предложил новую схему СВП (проект 171) с 2 моторами - одним для подушки, другим - тяговым (3095,45).</w:t>
      </w:r>
    </w:p>
    <w:p w14:paraId="76724410" w14:textId="77777777" w:rsidR="00BB6316" w:rsidRPr="00722885" w:rsidRDefault="00BB6316" w:rsidP="00722885">
      <w:pPr>
        <w:pStyle w:val="Iauiue"/>
        <w:jc w:val="both"/>
        <w:rPr>
          <w:color w:val="000000" w:themeColor="text1"/>
          <w:sz w:val="16"/>
          <w:szCs w:val="16"/>
        </w:rPr>
      </w:pPr>
    </w:p>
    <w:p w14:paraId="18AA092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была подготовлена</w:t>
      </w:r>
    </w:p>
    <w:p w14:paraId="4E2E1A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СМЕТНАЯ КАЛЬКУЛЯЦИЯ</w:t>
      </w:r>
    </w:p>
    <w:p w14:paraId="59B69C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2-х моторному пикирующему бомбардировщику дальнего действия</w:t>
      </w:r>
    </w:p>
    <w:p w14:paraId="4D9933D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Конструкции т.Туполева А.Н.</w:t>
      </w:r>
    </w:p>
    <w:p w14:paraId="09667E5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Количество экземпляров 1</w:t>
      </w:r>
    </w:p>
    <w:p w14:paraId="3C09DB7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Сроки:</w:t>
      </w:r>
    </w:p>
    <w:p w14:paraId="613675B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Начало:</w:t>
      </w:r>
    </w:p>
    <w:p w14:paraId="014E105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Проектирования 15 февраля 1942</w:t>
      </w:r>
    </w:p>
    <w:p w14:paraId="2AD5E24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Постройки 1 мая 1942</w:t>
      </w:r>
    </w:p>
    <w:p w14:paraId="6A567D4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к дов-ки 15 августа 1942</w:t>
      </w:r>
    </w:p>
    <w:p w14:paraId="13102C8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Конец:</w:t>
      </w:r>
    </w:p>
    <w:p w14:paraId="6E89D7A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Проектирования 1 июля 1942</w:t>
      </w:r>
    </w:p>
    <w:p w14:paraId="392388A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Постройки 1 августа 1942</w:t>
      </w:r>
    </w:p>
    <w:p w14:paraId="233F085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 . и доводки 1 ноября 1942</w:t>
      </w:r>
    </w:p>
    <w:p w14:paraId="442F29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Трудоемкость в тыс. ч/ч </w:t>
      </w:r>
    </w:p>
    <w:p w14:paraId="60645D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ИТР 210 тыс. руб.</w:t>
      </w:r>
    </w:p>
    <w:p w14:paraId="05523D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Рабочие 470</w:t>
      </w:r>
    </w:p>
    <w:p w14:paraId="3F037F7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Служащие 95</w:t>
      </w:r>
    </w:p>
    <w:p w14:paraId="043D9DD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Стоимость производственного часа:</w:t>
      </w:r>
    </w:p>
    <w:p w14:paraId="4ADD485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ИТР 3-80</w:t>
      </w:r>
    </w:p>
    <w:p w14:paraId="262D793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Рабочие 2-10</w:t>
      </w:r>
    </w:p>
    <w:p w14:paraId="399008A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Служащие 1-60</w:t>
      </w:r>
    </w:p>
    <w:p w14:paraId="65A7AD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Общая стоимость:</w:t>
      </w:r>
    </w:p>
    <w:p w14:paraId="6CAC7DE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а/Зарплата ИТР 797 тыс. руб.</w:t>
      </w:r>
    </w:p>
    <w:p w14:paraId="3066005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Рабочие 976</w:t>
      </w:r>
    </w:p>
    <w:p w14:paraId="5428277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Служащие 152</w:t>
      </w:r>
    </w:p>
    <w:p w14:paraId="237F68A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 1925 тыс. руб.</w:t>
      </w:r>
    </w:p>
    <w:p w14:paraId="69DEE01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Дополнительная зарплата 6.5% 125</w:t>
      </w:r>
    </w:p>
    <w:p w14:paraId="264834F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Начисления на з арплату 7% 135</w:t>
      </w:r>
    </w:p>
    <w:p w14:paraId="3B23BFD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Материалы 590</w:t>
      </w:r>
    </w:p>
    <w:p w14:paraId="65828C9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 Специзделия 2250</w:t>
      </w:r>
    </w:p>
    <w:p w14:paraId="5C586AA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 Моторы 4 шт 1000</w:t>
      </w:r>
    </w:p>
    <w:p w14:paraId="46FF59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ж/ Летные 200</w:t>
      </w:r>
    </w:p>
    <w:p w14:paraId="4D2A0F8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 Спецрасходы 400</w:t>
      </w:r>
    </w:p>
    <w:p w14:paraId="61A353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Цеховые расходы 90% 1740</w:t>
      </w:r>
    </w:p>
    <w:p w14:paraId="51B47C2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Общезаводские расходы 60% 1160</w:t>
      </w:r>
    </w:p>
    <w:p w14:paraId="140C74E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9525 тыс . руб .</w:t>
      </w:r>
    </w:p>
    <w:p w14:paraId="3CEDC8B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ГЛАВНЫЙ КОНСТРУКТОР завода /ТУПОЛЕВ А.Н./ (10746,1).</w:t>
      </w:r>
    </w:p>
    <w:p w14:paraId="0939E58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D284098" w14:textId="77777777" w:rsidR="005D20BF" w:rsidRPr="00722885" w:rsidRDefault="005D20B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конце 1942 г. подготовка серийного производства И-185 М-71 пошла на заводе №81, который в то время также "квартировал" в районе Центрального аэродрома столицы. К концу года завод обязан был сдать 138 бомбардировщиков Ил-4, но не собрал ни одного, вместо этого его директор Т. Филимончук занимался истребителем Поликарпова. Кончилось тем, что в апреле 1943 г. Филимончука сняли, завод №81 был отправлен на свою старую территорию в Тушино и включен в состав выпускавшего самолеты Ла-5 завода №381. Его директор В.И. Журавлев с планом справлялся лучше, он и остался руководить объединившимися предприятиями.</w:t>
      </w:r>
    </w:p>
    <w:p w14:paraId="5C42D00C" w14:textId="77777777" w:rsidR="005D20BF" w:rsidRPr="00722885" w:rsidRDefault="005D20B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Шахурин согласился оставить И-185 в плане опытных работ на 1943 г. и даже в его уточненной редакции, которая была подготовлена 13 июля 1943 г. Но о запуске И-185 в серию он и слышать не хотел. И тому были свои вполне объективные причины.</w:t>
      </w:r>
    </w:p>
    <w:p w14:paraId="0A344B7B" w14:textId="77777777" w:rsidR="005D20BF" w:rsidRPr="00722885" w:rsidRDefault="005D20B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Что же мешало принять на вооружение И-185 и начать его выпускать серийно?</w:t>
      </w:r>
    </w:p>
    <w:p w14:paraId="13406F79" w14:textId="77777777" w:rsidR="005D20BF" w:rsidRPr="00722885" w:rsidRDefault="005D20B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Во-первых, существующая на 1943 г. конструкция И-185 требовала высокого расхода дюраля, и при этом с ее культурой веса дела обстояли неважно. Хотя Поликарпов бодро докладывал о фантастически маленьких цифрах относительного веса планера И-185, на деле величина в 30% массы конструкции была близка к показателям МиГ-3 и хуже, чем у самолетов Яковлева, включая Як-9Д с четырьмя баками, или Лавочкина. И это при том, что И-185 имел цельнометаллическое крыло, тогда как Яковлев позволял себе дюраль лишь на лонжеронах крыла и на части нервюр, а Ла-5 как был, так и оставался вовсе цельнодеревянным. А между тем выигрыш в удельной прочности металла при грамотном проектировании превращался в солидную экономию массы. Перевод с дерева на металл двух лонжеронов и четырех пар силовых нервюр позволил Яковлеву снизить массу квадратного метра крыла с 32,7 на цельнодеревянных несущих поверхностях Як-7 до 28,0 кг у Як-9. Цельнометаллическое крыло И-185 М-82 имело удельный вес 26,4 кг/м2 - ненамного меньше Як-9, и больше, чем у МиГ-1 с металлическим центропланом и деревянными консолями - 23,3 кг/м2. Да, конечно надо помнить о том, что оно имело усиление под наиболее мощное из всех бомбардировочное вооружение. Однако, если бы тот же Яковлев мог позволить себе цельнометаллическое крыло, вряд ли у него получилось бы тяжелее. Но опять же, не это главное, проблема в том, что в СССР в 1943 г. столько дюраля просто не было.</w:t>
      </w:r>
    </w:p>
    <w:p w14:paraId="2A013ADE" w14:textId="77777777" w:rsidR="005D20BF" w:rsidRPr="00722885" w:rsidRDefault="005D20B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Конечно, для серийного И-185 можно было сделать более тяжелое деревянное крыло - так, например, поступил Ильюшин, чтобы в трудное военное время обеспечить выпуск своих самолетов Ил-2. Но в конструкции И-185 был еще один критический компонент - это мотор М-71, доводка которого тянулась долго и безрезультатно. Это не могло не повлиять на позицию Наркома авиапромышленности Шахурина и его зама по серийному производству Дементьева (17737).</w:t>
      </w:r>
    </w:p>
    <w:p w14:paraId="0C3C1C2F" w14:textId="77777777" w:rsidR="005D20BF" w:rsidRPr="00722885" w:rsidRDefault="005D20BF" w:rsidP="00722885">
      <w:pPr>
        <w:spacing w:after="0" w:line="240" w:lineRule="auto"/>
        <w:jc w:val="both"/>
        <w:rPr>
          <w:rFonts w:ascii="Times New Roman" w:hAnsi="Times New Roman"/>
          <w:color w:val="000000" w:themeColor="text1"/>
          <w:sz w:val="16"/>
          <w:szCs w:val="16"/>
        </w:rPr>
      </w:pPr>
    </w:p>
    <w:p w14:paraId="7912002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 на самолет ИТП Н.Н.П. установили новый мотор М-107ПА, а 37-мм мотор-пушку заменили на 20-мм с боекомплектом 200 снарядов.</w:t>
      </w:r>
    </w:p>
    <w:p w14:paraId="429BCFA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Естественно, что после этих переделок ИТП уже не мог в полной мере рассматриваться как противотанковый самолет, хотя в борьбе с легкими танками мог быть эффективней, чем Ил-2, поскольку пушек ШВАК было три и, кроме того, их более компактное размещение обеспечивало и более высокую точность стрельбы, а возможность пикировать под углами 50-60° расширяла доступные для поражения зоны танков (9649).</w:t>
      </w:r>
    </w:p>
    <w:p w14:paraId="6E79EF3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Кроме того, самолет обладал бы и более высокими маневренными характеристиками, так как масса пустого самолета снизилась с 2778 до 2588 кг, а взлетная - с 3570 до 3366 кг.</w:t>
      </w:r>
    </w:p>
    <w:p w14:paraId="56DBF27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Однако определить летные характеристики опытной машины не успели, поскольку, согласно распоряжения НКАП, ее передали на статиспытания.</w:t>
      </w:r>
    </w:p>
    <w:p w14:paraId="4EF2A50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Дело в том, что планер самолета, изначально предназначавшийся для этой цели, был вынужденно использован ОКБ для постройки второго летного экземпляра ИТП (М-2). ИТП (М-1) выдержал 100% расчетной нагрузки, но летать на нем теперь было нельзя.</w:t>
      </w:r>
    </w:p>
    <w:p w14:paraId="4DB14AB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ИТП (М-2) с мотором АМ-37 и с тремя синхронными пушками ШВАК построили в Новосибирске в 1942 г. В декабре его передали в Москву, где мотор АМ-37 был заменен на более мощный мотор АМ-39 (1800 л. с. ), а на основных стойках установили колеса меньших размеров (650х200 вместо 700х220 мм) (9649).</w:t>
      </w:r>
    </w:p>
    <w:p w14:paraId="258D2F05" w14:textId="77777777" w:rsidR="00BB6316" w:rsidRPr="00722885" w:rsidRDefault="00BB6316" w:rsidP="00722885">
      <w:pPr>
        <w:pStyle w:val="Iauiue"/>
        <w:jc w:val="both"/>
        <w:rPr>
          <w:color w:val="000000" w:themeColor="text1"/>
          <w:sz w:val="16"/>
          <w:szCs w:val="16"/>
        </w:rPr>
      </w:pPr>
    </w:p>
    <w:p w14:paraId="34519E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ИТП (М) перевезли из Новосибирска в Москву, где на него установили только что прошед</w:t>
      </w:r>
      <w:r w:rsidRPr="00722885">
        <w:rPr>
          <w:rFonts w:ascii="Times New Roman" w:hAnsi="Times New Roman"/>
          <w:color w:val="000000" w:themeColor="text1"/>
          <w:sz w:val="16"/>
          <w:szCs w:val="16"/>
        </w:rPr>
        <w:softHyphen/>
        <w:t>ший испытания М-107А (М-107ПА) и новое стрелковое вооружение: вместо 37-мм пушки - 20-мм ШВАК. Вес пустого самолета снизился до 2598 кг, взлетный вес стал равным 3366 кг. По расчетам ИТП (М) должен был развивать у земли максимальную скорость 541 км/ч и 645 км/ч на высоте 6300 м. Авария Як-9 с М-107А 25 февра</w:t>
      </w:r>
      <w:r w:rsidRPr="00722885">
        <w:rPr>
          <w:rFonts w:ascii="Times New Roman" w:hAnsi="Times New Roman"/>
          <w:color w:val="000000" w:themeColor="text1"/>
          <w:sz w:val="16"/>
          <w:szCs w:val="16"/>
        </w:rPr>
        <w:softHyphen/>
        <w:t>ля 1943 г., последовавшее затем снятие мотора с серий</w:t>
      </w:r>
      <w:r w:rsidRPr="00722885">
        <w:rPr>
          <w:rFonts w:ascii="Times New Roman" w:hAnsi="Times New Roman"/>
          <w:color w:val="000000" w:themeColor="text1"/>
          <w:sz w:val="16"/>
          <w:szCs w:val="16"/>
        </w:rPr>
        <w:softHyphen/>
        <w:t>ного производства и долгая его доводка не позволили завершить испытания ИТП (М). Дело состояло еще и в том, что непосредственно перед окончанием нового цикла отработки М-107А в августе 1943 г. по распоряже</w:t>
      </w:r>
      <w:r w:rsidRPr="00722885">
        <w:rPr>
          <w:rFonts w:ascii="Times New Roman" w:hAnsi="Times New Roman"/>
          <w:color w:val="000000" w:themeColor="text1"/>
          <w:sz w:val="16"/>
          <w:szCs w:val="16"/>
        </w:rPr>
        <w:softHyphen/>
        <w:t>нию заместителя наркома А.С.Яковлева ИТП (М) под</w:t>
      </w:r>
      <w:r w:rsidRPr="00722885">
        <w:rPr>
          <w:rFonts w:ascii="Times New Roman" w:hAnsi="Times New Roman"/>
          <w:color w:val="000000" w:themeColor="text1"/>
          <w:sz w:val="16"/>
          <w:szCs w:val="16"/>
        </w:rPr>
        <w:softHyphen/>
        <w:t>вергли статическим испытаниям. Самолет их прошел успешно, выдержав 100% нагрузку, но летать на нем бы</w:t>
      </w:r>
      <w:r w:rsidRPr="00722885">
        <w:rPr>
          <w:rFonts w:ascii="Times New Roman" w:hAnsi="Times New Roman"/>
          <w:color w:val="000000" w:themeColor="text1"/>
          <w:sz w:val="16"/>
          <w:szCs w:val="16"/>
        </w:rPr>
        <w:softHyphen/>
        <w:t>ло уже нельзя (10667).</w:t>
      </w:r>
    </w:p>
    <w:p w14:paraId="3A28F3E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0227C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55FFC35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4FF5CE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240F35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Несмотря на то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B487A" w:rsidRPr="00722885" w14:paraId="395181E0" w14:textId="77777777" w:rsidTr="00CC5360">
        <w:tc>
          <w:tcPr>
            <w:tcW w:w="3736" w:type="dxa"/>
            <w:tcBorders>
              <w:top w:val="single" w:sz="12" w:space="0" w:color="auto"/>
            </w:tcBorders>
          </w:tcPr>
          <w:p w14:paraId="768F06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67FA77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w:t>
            </w:r>
          </w:p>
        </w:tc>
        <w:tc>
          <w:tcPr>
            <w:tcW w:w="3736" w:type="dxa"/>
            <w:tcBorders>
              <w:top w:val="single" w:sz="12" w:space="0" w:color="auto"/>
            </w:tcBorders>
          </w:tcPr>
          <w:p w14:paraId="0EBB0F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w:t>
            </w:r>
          </w:p>
        </w:tc>
      </w:tr>
      <w:tr w:rsidR="009B487A" w:rsidRPr="00722885" w14:paraId="5FFF5F08" w14:textId="77777777" w:rsidTr="00CC5360">
        <w:tc>
          <w:tcPr>
            <w:tcW w:w="3736" w:type="dxa"/>
          </w:tcPr>
          <w:p w14:paraId="06F031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крыла (м)</w:t>
            </w:r>
          </w:p>
        </w:tc>
        <w:tc>
          <w:tcPr>
            <w:tcW w:w="3736" w:type="dxa"/>
          </w:tcPr>
          <w:p w14:paraId="47A55E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3736" w:type="dxa"/>
          </w:tcPr>
          <w:p w14:paraId="2E391C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r>
      <w:tr w:rsidR="009B487A" w:rsidRPr="00722885" w14:paraId="59D1BA4B" w14:textId="77777777" w:rsidTr="00CC5360">
        <w:tc>
          <w:tcPr>
            <w:tcW w:w="3736" w:type="dxa"/>
          </w:tcPr>
          <w:p w14:paraId="62EDA4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в линии полета (м)</w:t>
            </w:r>
          </w:p>
        </w:tc>
        <w:tc>
          <w:tcPr>
            <w:tcW w:w="3736" w:type="dxa"/>
          </w:tcPr>
          <w:p w14:paraId="51C9C0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8,95</w:t>
            </w:r>
          </w:p>
        </w:tc>
        <w:tc>
          <w:tcPr>
            <w:tcW w:w="3736" w:type="dxa"/>
          </w:tcPr>
          <w:p w14:paraId="43E596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w:t>
            </w:r>
          </w:p>
        </w:tc>
      </w:tr>
      <w:tr w:rsidR="009B487A" w:rsidRPr="00722885" w14:paraId="2A2F57DA" w14:textId="77777777" w:rsidTr="00CC5360">
        <w:tc>
          <w:tcPr>
            <w:tcW w:w="3736" w:type="dxa"/>
          </w:tcPr>
          <w:p w14:paraId="5DE4B4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крыла (м2)</w:t>
            </w:r>
          </w:p>
        </w:tc>
        <w:tc>
          <w:tcPr>
            <w:tcW w:w="3736" w:type="dxa"/>
          </w:tcPr>
          <w:p w14:paraId="29EC6F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16,45</w:t>
            </w:r>
          </w:p>
        </w:tc>
        <w:tc>
          <w:tcPr>
            <w:tcW w:w="3736" w:type="dxa"/>
          </w:tcPr>
          <w:p w14:paraId="6E6B6C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16,45</w:t>
            </w:r>
          </w:p>
        </w:tc>
      </w:tr>
      <w:tr w:rsidR="009B487A" w:rsidRPr="00722885" w14:paraId="40344244" w14:textId="77777777" w:rsidTr="00CC5360">
        <w:tc>
          <w:tcPr>
            <w:tcW w:w="3736" w:type="dxa"/>
          </w:tcPr>
          <w:p w14:paraId="754A13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пустого (кг)</w:t>
            </w:r>
          </w:p>
        </w:tc>
        <w:tc>
          <w:tcPr>
            <w:tcW w:w="3736" w:type="dxa"/>
          </w:tcPr>
          <w:p w14:paraId="35E460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2598</w:t>
            </w:r>
          </w:p>
        </w:tc>
        <w:tc>
          <w:tcPr>
            <w:tcW w:w="3736" w:type="dxa"/>
          </w:tcPr>
          <w:p w14:paraId="154983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3095</w:t>
            </w:r>
          </w:p>
        </w:tc>
      </w:tr>
      <w:tr w:rsidR="009B487A" w:rsidRPr="00722885" w14:paraId="49295391" w14:textId="77777777" w:rsidTr="00CC5360">
        <w:tc>
          <w:tcPr>
            <w:tcW w:w="3736" w:type="dxa"/>
          </w:tcPr>
          <w:p w14:paraId="2FDEF0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(кг)</w:t>
            </w:r>
          </w:p>
        </w:tc>
        <w:tc>
          <w:tcPr>
            <w:tcW w:w="3736" w:type="dxa"/>
          </w:tcPr>
          <w:p w14:paraId="16B5FD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3750 (3366)</w:t>
            </w:r>
          </w:p>
        </w:tc>
        <w:tc>
          <w:tcPr>
            <w:tcW w:w="3736" w:type="dxa"/>
          </w:tcPr>
          <w:p w14:paraId="5EBB0E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3820</w:t>
            </w:r>
          </w:p>
        </w:tc>
      </w:tr>
      <w:tr w:rsidR="009B487A" w:rsidRPr="00722885" w14:paraId="779A10A4" w14:textId="77777777" w:rsidTr="00CC5360">
        <w:tc>
          <w:tcPr>
            <w:tcW w:w="3736" w:type="dxa"/>
          </w:tcPr>
          <w:p w14:paraId="5177CB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Нагрузка на крыло (кг/м2)</w:t>
            </w:r>
          </w:p>
        </w:tc>
        <w:tc>
          <w:tcPr>
            <w:tcW w:w="3736" w:type="dxa"/>
          </w:tcPr>
          <w:p w14:paraId="7BC8AC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227</w:t>
            </w:r>
          </w:p>
        </w:tc>
        <w:tc>
          <w:tcPr>
            <w:tcW w:w="3736" w:type="dxa"/>
          </w:tcPr>
          <w:p w14:paraId="5C9FC0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232</w:t>
            </w:r>
          </w:p>
        </w:tc>
      </w:tr>
      <w:tr w:rsidR="009B487A" w:rsidRPr="00722885" w14:paraId="03EB63CE" w14:textId="77777777" w:rsidTr="00CC5360">
        <w:tc>
          <w:tcPr>
            <w:tcW w:w="3736" w:type="dxa"/>
          </w:tcPr>
          <w:p w14:paraId="6C7D6A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у земли (км/ч)</w:t>
            </w:r>
          </w:p>
        </w:tc>
        <w:tc>
          <w:tcPr>
            <w:tcW w:w="3736" w:type="dxa"/>
          </w:tcPr>
          <w:p w14:paraId="2263D6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541</w:t>
            </w:r>
          </w:p>
        </w:tc>
        <w:tc>
          <w:tcPr>
            <w:tcW w:w="3736" w:type="dxa"/>
          </w:tcPr>
          <w:p w14:paraId="6B1E49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540</w:t>
            </w:r>
          </w:p>
        </w:tc>
      </w:tr>
      <w:tr w:rsidR="009B487A" w:rsidRPr="00722885" w14:paraId="2585FC7C" w14:textId="77777777" w:rsidTr="00CC5360">
        <w:tc>
          <w:tcPr>
            <w:tcW w:w="3736" w:type="dxa"/>
          </w:tcPr>
          <w:p w14:paraId="786078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 скорость у земли на форсаже (км/ч)</w:t>
            </w:r>
          </w:p>
        </w:tc>
        <w:tc>
          <w:tcPr>
            <w:tcW w:w="3736" w:type="dxa"/>
          </w:tcPr>
          <w:p w14:paraId="27FCB0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549</w:t>
            </w:r>
          </w:p>
        </w:tc>
        <w:tc>
          <w:tcPr>
            <w:tcW w:w="3736" w:type="dxa"/>
          </w:tcPr>
          <w:p w14:paraId="2413C5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w:t>
            </w:r>
          </w:p>
        </w:tc>
      </w:tr>
      <w:tr w:rsidR="009B487A" w:rsidRPr="00722885" w14:paraId="5F505801" w14:textId="77777777" w:rsidTr="00CC5360">
        <w:tc>
          <w:tcPr>
            <w:tcW w:w="3736" w:type="dxa"/>
          </w:tcPr>
          <w:p w14:paraId="2033FA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Максимальная скорость на высоте 5000 м (км/ч)</w:t>
            </w:r>
          </w:p>
        </w:tc>
        <w:tc>
          <w:tcPr>
            <w:tcW w:w="3736" w:type="dxa"/>
          </w:tcPr>
          <w:p w14:paraId="050FE9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645*</w:t>
            </w:r>
          </w:p>
        </w:tc>
        <w:tc>
          <w:tcPr>
            <w:tcW w:w="3736" w:type="dxa"/>
          </w:tcPr>
          <w:p w14:paraId="4E7AFD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560**</w:t>
            </w:r>
          </w:p>
        </w:tc>
      </w:tr>
      <w:tr w:rsidR="009B487A" w:rsidRPr="00722885" w14:paraId="66830DCB" w14:textId="77777777" w:rsidTr="00CC5360">
        <w:tc>
          <w:tcPr>
            <w:tcW w:w="3736" w:type="dxa"/>
          </w:tcPr>
          <w:p w14:paraId="284D0D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 высоты 5000 м (мин)</w:t>
            </w:r>
          </w:p>
        </w:tc>
        <w:tc>
          <w:tcPr>
            <w:tcW w:w="3736" w:type="dxa"/>
          </w:tcPr>
          <w:p w14:paraId="2F0550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w:t>
            </w:r>
          </w:p>
        </w:tc>
        <w:tc>
          <w:tcPr>
            <w:tcW w:w="3736" w:type="dxa"/>
          </w:tcPr>
          <w:p w14:paraId="79DE76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w:t>
            </w:r>
          </w:p>
        </w:tc>
      </w:tr>
      <w:tr w:rsidR="009B487A" w:rsidRPr="00722885" w14:paraId="0CB5B265" w14:textId="77777777" w:rsidTr="00CC5360">
        <w:tc>
          <w:tcPr>
            <w:tcW w:w="3736" w:type="dxa"/>
            <w:tcBorders>
              <w:bottom w:val="single" w:sz="12" w:space="0" w:color="auto"/>
            </w:tcBorders>
          </w:tcPr>
          <w:p w14:paraId="4CB51B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Потолок (м)</w:t>
            </w:r>
          </w:p>
        </w:tc>
        <w:tc>
          <w:tcPr>
            <w:tcW w:w="3736" w:type="dxa"/>
            <w:tcBorders>
              <w:bottom w:val="single" w:sz="12" w:space="0" w:color="auto"/>
            </w:tcBorders>
          </w:tcPr>
          <w:p w14:paraId="5AE760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3736" w:type="dxa"/>
            <w:tcBorders>
              <w:bottom w:val="single" w:sz="12" w:space="0" w:color="auto"/>
            </w:tcBorders>
          </w:tcPr>
          <w:p w14:paraId="796E04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11500</w:t>
            </w:r>
          </w:p>
        </w:tc>
      </w:tr>
    </w:tbl>
    <w:p w14:paraId="31898E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Скорость на высоте 6200 м</w:t>
      </w:r>
    </w:p>
    <w:p w14:paraId="053A29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Максимальная скорость на 2500 м. на форсаже 650 км/ч</w:t>
      </w:r>
    </w:p>
    <w:p w14:paraId="236800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Время набора высоты (12016).</w:t>
      </w:r>
    </w:p>
    <w:p w14:paraId="67DCBC2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A2C232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П.Стефановский начал испытания И-110 Д.Л.Томашевича (653,351).</w:t>
      </w:r>
    </w:p>
    <w:p w14:paraId="2A4C6A7A" w14:textId="77777777" w:rsidR="00BB6316" w:rsidRPr="00722885" w:rsidRDefault="00BB6316" w:rsidP="00722885">
      <w:pPr>
        <w:pStyle w:val="Iauiue"/>
        <w:jc w:val="both"/>
        <w:rPr>
          <w:color w:val="000000" w:themeColor="text1"/>
          <w:sz w:val="16"/>
          <w:szCs w:val="16"/>
        </w:rPr>
      </w:pPr>
    </w:p>
    <w:p w14:paraId="509D9A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на заводе № 292 было восемь, пока не автоматизированных, прямоточных линий. Они значительно сократили трудозатраты, которые раньше составляли 5400 часов на самолет. Высвободилась часть рабочих, занятых на вспомогательных операциях. Это был весомый, но еше недостаточный вклад в общее дело борьбы с врагом. Дальше самолетостроители добились, чтобы после отстрела в тире, облета в воздухе заводскими летчиками-испытателями и летчиками военной приемки - самолеты уходили на фронт в таком же ритме, как выходили из сборочного цеха. В период боев за Сталинград с заводского аэродрома почти ежедневно отправлялся полк готовых к бою улучшенных истребителей. В результате, саратовский авиазавод досрочно (II декабря) выполнил годовой план. Итоги работы завода № 292 за 1942 г. отражены в табл.</w:t>
      </w:r>
    </w:p>
    <w:p w14:paraId="49455A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самолетов Як-1 заводом № 292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800"/>
        <w:gridCol w:w="800"/>
        <w:gridCol w:w="800"/>
        <w:gridCol w:w="800"/>
        <w:gridCol w:w="800"/>
      </w:tblGrid>
      <w:tr w:rsidR="009B487A" w:rsidRPr="00722885" w14:paraId="74190CB1" w14:textId="77777777" w:rsidTr="00CC5360">
        <w:tc>
          <w:tcPr>
            <w:tcW w:w="800" w:type="dxa"/>
            <w:tcBorders>
              <w:top w:val="single" w:sz="12" w:space="0" w:color="auto"/>
            </w:tcBorders>
          </w:tcPr>
          <w:p w14:paraId="04BB97D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2BBCFE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Январь</w:t>
            </w:r>
          </w:p>
        </w:tc>
        <w:tc>
          <w:tcPr>
            <w:tcW w:w="800" w:type="dxa"/>
            <w:tcBorders>
              <w:top w:val="single" w:sz="12" w:space="0" w:color="auto"/>
            </w:tcBorders>
          </w:tcPr>
          <w:p w14:paraId="0C89D2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Февраль</w:t>
            </w:r>
          </w:p>
        </w:tc>
        <w:tc>
          <w:tcPr>
            <w:tcW w:w="800" w:type="dxa"/>
            <w:tcBorders>
              <w:top w:val="single" w:sz="12" w:space="0" w:color="auto"/>
            </w:tcBorders>
          </w:tcPr>
          <w:p w14:paraId="1E641C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Март</w:t>
            </w:r>
          </w:p>
        </w:tc>
        <w:tc>
          <w:tcPr>
            <w:tcW w:w="800" w:type="dxa"/>
            <w:tcBorders>
              <w:top w:val="single" w:sz="12" w:space="0" w:color="auto"/>
            </w:tcBorders>
          </w:tcPr>
          <w:p w14:paraId="01AFCC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Апрель</w:t>
            </w:r>
          </w:p>
        </w:tc>
        <w:tc>
          <w:tcPr>
            <w:tcW w:w="800" w:type="dxa"/>
            <w:tcBorders>
              <w:top w:val="single" w:sz="12" w:space="0" w:color="auto"/>
            </w:tcBorders>
          </w:tcPr>
          <w:p w14:paraId="50502F7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Май</w:t>
            </w:r>
          </w:p>
        </w:tc>
        <w:tc>
          <w:tcPr>
            <w:tcW w:w="800" w:type="dxa"/>
            <w:tcBorders>
              <w:top w:val="single" w:sz="12" w:space="0" w:color="auto"/>
            </w:tcBorders>
          </w:tcPr>
          <w:p w14:paraId="2F397F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Июнь</w:t>
            </w:r>
          </w:p>
        </w:tc>
        <w:tc>
          <w:tcPr>
            <w:tcW w:w="800" w:type="dxa"/>
            <w:tcBorders>
              <w:top w:val="single" w:sz="12" w:space="0" w:color="auto"/>
            </w:tcBorders>
          </w:tcPr>
          <w:p w14:paraId="4BE447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Июль</w:t>
            </w:r>
          </w:p>
        </w:tc>
        <w:tc>
          <w:tcPr>
            <w:tcW w:w="800" w:type="dxa"/>
            <w:tcBorders>
              <w:top w:val="single" w:sz="12" w:space="0" w:color="auto"/>
            </w:tcBorders>
          </w:tcPr>
          <w:p w14:paraId="0FA334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Август</w:t>
            </w:r>
          </w:p>
        </w:tc>
        <w:tc>
          <w:tcPr>
            <w:tcW w:w="800" w:type="dxa"/>
            <w:tcBorders>
              <w:top w:val="single" w:sz="12" w:space="0" w:color="auto"/>
            </w:tcBorders>
          </w:tcPr>
          <w:p w14:paraId="03157E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Сентябрь</w:t>
            </w:r>
          </w:p>
        </w:tc>
        <w:tc>
          <w:tcPr>
            <w:tcW w:w="800" w:type="dxa"/>
            <w:tcBorders>
              <w:top w:val="single" w:sz="12" w:space="0" w:color="auto"/>
            </w:tcBorders>
          </w:tcPr>
          <w:p w14:paraId="6AABCA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Октябрь</w:t>
            </w:r>
          </w:p>
        </w:tc>
        <w:tc>
          <w:tcPr>
            <w:tcW w:w="800" w:type="dxa"/>
            <w:tcBorders>
              <w:top w:val="single" w:sz="12" w:space="0" w:color="auto"/>
            </w:tcBorders>
          </w:tcPr>
          <w:p w14:paraId="5B8C8E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Ноябрь</w:t>
            </w:r>
          </w:p>
        </w:tc>
        <w:tc>
          <w:tcPr>
            <w:tcW w:w="800" w:type="dxa"/>
            <w:tcBorders>
              <w:top w:val="single" w:sz="12" w:space="0" w:color="auto"/>
            </w:tcBorders>
          </w:tcPr>
          <w:p w14:paraId="3A50E6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Декабрь</w:t>
            </w:r>
          </w:p>
        </w:tc>
        <w:tc>
          <w:tcPr>
            <w:tcW w:w="800" w:type="dxa"/>
            <w:tcBorders>
              <w:top w:val="single" w:sz="12" w:space="0" w:color="auto"/>
            </w:tcBorders>
          </w:tcPr>
          <w:p w14:paraId="4CA514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r>
      <w:tr w:rsidR="009B487A" w:rsidRPr="00722885" w14:paraId="7F661F61" w14:textId="77777777" w:rsidTr="00CC5360">
        <w:tc>
          <w:tcPr>
            <w:tcW w:w="800" w:type="dxa"/>
          </w:tcPr>
          <w:p w14:paraId="0008DC7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 выпуска</w:t>
            </w:r>
          </w:p>
        </w:tc>
        <w:tc>
          <w:tcPr>
            <w:tcW w:w="800" w:type="dxa"/>
          </w:tcPr>
          <w:p w14:paraId="6EFD6B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245</w:t>
            </w:r>
          </w:p>
        </w:tc>
        <w:tc>
          <w:tcPr>
            <w:tcW w:w="800" w:type="dxa"/>
          </w:tcPr>
          <w:p w14:paraId="0B04DF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261</w:t>
            </w:r>
          </w:p>
        </w:tc>
        <w:tc>
          <w:tcPr>
            <w:tcW w:w="800" w:type="dxa"/>
          </w:tcPr>
          <w:p w14:paraId="5508F1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w:t>
            </w:r>
          </w:p>
        </w:tc>
        <w:tc>
          <w:tcPr>
            <w:tcW w:w="800" w:type="dxa"/>
          </w:tcPr>
          <w:p w14:paraId="531C84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280</w:t>
            </w:r>
          </w:p>
        </w:tc>
        <w:tc>
          <w:tcPr>
            <w:tcW w:w="800" w:type="dxa"/>
          </w:tcPr>
          <w:p w14:paraId="081D01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290</w:t>
            </w:r>
          </w:p>
        </w:tc>
        <w:tc>
          <w:tcPr>
            <w:tcW w:w="800" w:type="dxa"/>
          </w:tcPr>
          <w:p w14:paraId="5BD455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280</w:t>
            </w:r>
          </w:p>
        </w:tc>
        <w:tc>
          <w:tcPr>
            <w:tcW w:w="800" w:type="dxa"/>
          </w:tcPr>
          <w:p w14:paraId="7BDF26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290</w:t>
            </w:r>
          </w:p>
        </w:tc>
        <w:tc>
          <w:tcPr>
            <w:tcW w:w="800" w:type="dxa"/>
          </w:tcPr>
          <w:p w14:paraId="3AD1CA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c>
          <w:tcPr>
            <w:tcW w:w="800" w:type="dxa"/>
          </w:tcPr>
          <w:p w14:paraId="1D54BB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308</w:t>
            </w:r>
          </w:p>
        </w:tc>
        <w:tc>
          <w:tcPr>
            <w:tcW w:w="800" w:type="dxa"/>
          </w:tcPr>
          <w:p w14:paraId="569D5E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319</w:t>
            </w:r>
          </w:p>
        </w:tc>
        <w:tc>
          <w:tcPr>
            <w:tcW w:w="800" w:type="dxa"/>
          </w:tcPr>
          <w:p w14:paraId="6E2DF5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308</w:t>
            </w:r>
          </w:p>
        </w:tc>
        <w:tc>
          <w:tcPr>
            <w:tcW w:w="800" w:type="dxa"/>
          </w:tcPr>
          <w:p w14:paraId="74210B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309</w:t>
            </w:r>
          </w:p>
        </w:tc>
        <w:tc>
          <w:tcPr>
            <w:tcW w:w="800" w:type="dxa"/>
          </w:tcPr>
          <w:p w14:paraId="32C660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3420</w:t>
            </w:r>
          </w:p>
        </w:tc>
      </w:tr>
      <w:tr w:rsidR="009B487A" w:rsidRPr="00722885" w14:paraId="515EADDA" w14:textId="77777777" w:rsidTr="00CC5360">
        <w:tc>
          <w:tcPr>
            <w:tcW w:w="800" w:type="dxa"/>
          </w:tcPr>
          <w:p w14:paraId="0BCEC0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Сдачи готовых к бою</w:t>
            </w:r>
          </w:p>
        </w:tc>
        <w:tc>
          <w:tcPr>
            <w:tcW w:w="800" w:type="dxa"/>
          </w:tcPr>
          <w:p w14:paraId="15C2912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00" w:type="dxa"/>
          </w:tcPr>
          <w:p w14:paraId="64484D8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00" w:type="dxa"/>
          </w:tcPr>
          <w:p w14:paraId="44D225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335</w:t>
            </w:r>
          </w:p>
        </w:tc>
        <w:tc>
          <w:tcPr>
            <w:tcW w:w="800" w:type="dxa"/>
          </w:tcPr>
          <w:p w14:paraId="4CFF396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00" w:type="dxa"/>
          </w:tcPr>
          <w:p w14:paraId="764ADC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368</w:t>
            </w:r>
          </w:p>
        </w:tc>
        <w:tc>
          <w:tcPr>
            <w:tcW w:w="800" w:type="dxa"/>
          </w:tcPr>
          <w:p w14:paraId="30E87C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308</w:t>
            </w:r>
          </w:p>
        </w:tc>
        <w:tc>
          <w:tcPr>
            <w:tcW w:w="800" w:type="dxa"/>
          </w:tcPr>
          <w:p w14:paraId="620A453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00" w:type="dxa"/>
          </w:tcPr>
          <w:p w14:paraId="3F0DDAD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00" w:type="dxa"/>
          </w:tcPr>
          <w:p w14:paraId="119078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322</w:t>
            </w:r>
          </w:p>
        </w:tc>
        <w:tc>
          <w:tcPr>
            <w:tcW w:w="800" w:type="dxa"/>
          </w:tcPr>
          <w:p w14:paraId="6E6F0B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336</w:t>
            </w:r>
          </w:p>
        </w:tc>
        <w:tc>
          <w:tcPr>
            <w:tcW w:w="800" w:type="dxa"/>
          </w:tcPr>
          <w:p w14:paraId="351BF4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432</w:t>
            </w:r>
          </w:p>
        </w:tc>
        <w:tc>
          <w:tcPr>
            <w:tcW w:w="800" w:type="dxa"/>
          </w:tcPr>
          <w:p w14:paraId="0C84591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00" w:type="dxa"/>
          </w:tcPr>
          <w:p w14:paraId="4C5AC5A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7CB96113" w14:textId="77777777" w:rsidTr="00CC5360">
        <w:tc>
          <w:tcPr>
            <w:tcW w:w="800" w:type="dxa"/>
          </w:tcPr>
          <w:p w14:paraId="384077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Фактически выпущено</w:t>
            </w:r>
          </w:p>
        </w:tc>
        <w:tc>
          <w:tcPr>
            <w:tcW w:w="800" w:type="dxa"/>
          </w:tcPr>
          <w:p w14:paraId="1C4404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245</w:t>
            </w:r>
          </w:p>
        </w:tc>
        <w:tc>
          <w:tcPr>
            <w:tcW w:w="800" w:type="dxa"/>
          </w:tcPr>
          <w:p w14:paraId="7866BB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w:t>
            </w:r>
          </w:p>
        </w:tc>
        <w:tc>
          <w:tcPr>
            <w:tcW w:w="800" w:type="dxa"/>
          </w:tcPr>
          <w:p w14:paraId="18292F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231</w:t>
            </w:r>
          </w:p>
        </w:tc>
        <w:tc>
          <w:tcPr>
            <w:tcW w:w="800" w:type="dxa"/>
          </w:tcPr>
          <w:p w14:paraId="7F18F1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226</w:t>
            </w:r>
          </w:p>
        </w:tc>
        <w:tc>
          <w:tcPr>
            <w:tcW w:w="800" w:type="dxa"/>
          </w:tcPr>
          <w:p w14:paraId="7AF2A9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306</w:t>
            </w:r>
          </w:p>
        </w:tc>
        <w:tc>
          <w:tcPr>
            <w:tcW w:w="800" w:type="dxa"/>
          </w:tcPr>
          <w:p w14:paraId="4A6DE6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308</w:t>
            </w:r>
          </w:p>
        </w:tc>
        <w:tc>
          <w:tcPr>
            <w:tcW w:w="800" w:type="dxa"/>
          </w:tcPr>
          <w:p w14:paraId="752905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296</w:t>
            </w:r>
          </w:p>
        </w:tc>
        <w:tc>
          <w:tcPr>
            <w:tcW w:w="800" w:type="dxa"/>
          </w:tcPr>
          <w:p w14:paraId="41D3E7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319</w:t>
            </w:r>
          </w:p>
        </w:tc>
        <w:tc>
          <w:tcPr>
            <w:tcW w:w="800" w:type="dxa"/>
          </w:tcPr>
          <w:p w14:paraId="7967D4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336</w:t>
            </w:r>
          </w:p>
        </w:tc>
        <w:tc>
          <w:tcPr>
            <w:tcW w:w="800" w:type="dxa"/>
          </w:tcPr>
          <w:p w14:paraId="1F3E2A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338</w:t>
            </w:r>
          </w:p>
        </w:tc>
        <w:tc>
          <w:tcPr>
            <w:tcW w:w="800" w:type="dxa"/>
          </w:tcPr>
          <w:p w14:paraId="2EFAB4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283</w:t>
            </w:r>
          </w:p>
        </w:tc>
        <w:tc>
          <w:tcPr>
            <w:tcW w:w="800" w:type="dxa"/>
          </w:tcPr>
          <w:p w14:paraId="62E4FD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329</w:t>
            </w:r>
          </w:p>
        </w:tc>
        <w:tc>
          <w:tcPr>
            <w:tcW w:w="800" w:type="dxa"/>
          </w:tcPr>
          <w:p w14:paraId="05E351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3477 1)</w:t>
            </w:r>
          </w:p>
        </w:tc>
      </w:tr>
      <w:tr w:rsidR="009B487A" w:rsidRPr="00722885" w14:paraId="50BDB967" w14:textId="77777777" w:rsidTr="00CC5360">
        <w:tc>
          <w:tcPr>
            <w:tcW w:w="800" w:type="dxa"/>
          </w:tcPr>
          <w:p w14:paraId="6ECE19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Сдано готовых к бою</w:t>
            </w:r>
          </w:p>
        </w:tc>
        <w:tc>
          <w:tcPr>
            <w:tcW w:w="800" w:type="dxa"/>
          </w:tcPr>
          <w:p w14:paraId="73A5D6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56 2)</w:t>
            </w:r>
          </w:p>
        </w:tc>
        <w:tc>
          <w:tcPr>
            <w:tcW w:w="800" w:type="dxa"/>
          </w:tcPr>
          <w:p w14:paraId="3C1E42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162</w:t>
            </w:r>
          </w:p>
        </w:tc>
        <w:tc>
          <w:tcPr>
            <w:tcW w:w="800" w:type="dxa"/>
          </w:tcPr>
          <w:p w14:paraId="6FEF94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269</w:t>
            </w:r>
          </w:p>
        </w:tc>
        <w:tc>
          <w:tcPr>
            <w:tcW w:w="800" w:type="dxa"/>
          </w:tcPr>
          <w:p w14:paraId="551078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274  </w:t>
            </w:r>
          </w:p>
        </w:tc>
        <w:tc>
          <w:tcPr>
            <w:tcW w:w="800" w:type="dxa"/>
          </w:tcPr>
          <w:p w14:paraId="73EA45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399</w:t>
            </w:r>
          </w:p>
          <w:p w14:paraId="7D8751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398 3)</w:t>
            </w:r>
          </w:p>
        </w:tc>
        <w:tc>
          <w:tcPr>
            <w:tcW w:w="800" w:type="dxa"/>
          </w:tcPr>
          <w:p w14:paraId="4B4605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299</w:t>
            </w:r>
          </w:p>
        </w:tc>
        <w:tc>
          <w:tcPr>
            <w:tcW w:w="800" w:type="dxa"/>
          </w:tcPr>
          <w:p w14:paraId="585D6B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w:t>
            </w:r>
          </w:p>
        </w:tc>
        <w:tc>
          <w:tcPr>
            <w:tcW w:w="800" w:type="dxa"/>
          </w:tcPr>
          <w:p w14:paraId="12F2D0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346</w:t>
            </w:r>
          </w:p>
        </w:tc>
        <w:tc>
          <w:tcPr>
            <w:tcW w:w="800" w:type="dxa"/>
          </w:tcPr>
          <w:p w14:paraId="0827D4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322</w:t>
            </w:r>
          </w:p>
        </w:tc>
        <w:tc>
          <w:tcPr>
            <w:tcW w:w="800" w:type="dxa"/>
          </w:tcPr>
          <w:p w14:paraId="7B0E95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290</w:t>
            </w:r>
          </w:p>
        </w:tc>
        <w:tc>
          <w:tcPr>
            <w:tcW w:w="800" w:type="dxa"/>
          </w:tcPr>
          <w:p w14:paraId="79891E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233</w:t>
            </w:r>
          </w:p>
        </w:tc>
        <w:tc>
          <w:tcPr>
            <w:tcW w:w="800" w:type="dxa"/>
          </w:tcPr>
          <w:p w14:paraId="1C5C0D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241</w:t>
            </w:r>
          </w:p>
        </w:tc>
        <w:tc>
          <w:tcPr>
            <w:tcW w:w="800" w:type="dxa"/>
          </w:tcPr>
          <w:p w14:paraId="1275EAC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3192</w:t>
            </w:r>
          </w:p>
        </w:tc>
      </w:tr>
      <w:tr w:rsidR="009B487A" w:rsidRPr="00722885" w14:paraId="6E41F1F5" w14:textId="77777777" w:rsidTr="00CC5360">
        <w:tc>
          <w:tcPr>
            <w:tcW w:w="800" w:type="dxa"/>
          </w:tcPr>
          <w:p w14:paraId="197E72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т.ч. УА ВМФ</w:t>
            </w:r>
          </w:p>
        </w:tc>
        <w:tc>
          <w:tcPr>
            <w:tcW w:w="800" w:type="dxa"/>
          </w:tcPr>
          <w:p w14:paraId="2303CF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800" w:type="dxa"/>
          </w:tcPr>
          <w:p w14:paraId="643EB5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00" w:type="dxa"/>
          </w:tcPr>
          <w:p w14:paraId="54C703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w:t>
            </w:r>
          </w:p>
        </w:tc>
        <w:tc>
          <w:tcPr>
            <w:tcW w:w="800" w:type="dxa"/>
          </w:tcPr>
          <w:p w14:paraId="71E461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800" w:type="dxa"/>
          </w:tcPr>
          <w:p w14:paraId="618710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800" w:type="dxa"/>
          </w:tcPr>
          <w:p w14:paraId="159164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w:t>
            </w:r>
          </w:p>
        </w:tc>
        <w:tc>
          <w:tcPr>
            <w:tcW w:w="800" w:type="dxa"/>
          </w:tcPr>
          <w:p w14:paraId="05D8E0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w:t>
            </w:r>
          </w:p>
        </w:tc>
        <w:tc>
          <w:tcPr>
            <w:tcW w:w="800" w:type="dxa"/>
          </w:tcPr>
          <w:p w14:paraId="6C2F9F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800" w:type="dxa"/>
          </w:tcPr>
          <w:p w14:paraId="79F629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00" w:type="dxa"/>
          </w:tcPr>
          <w:p w14:paraId="73AA2E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800" w:type="dxa"/>
          </w:tcPr>
          <w:p w14:paraId="62D86E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w:t>
            </w:r>
          </w:p>
        </w:tc>
        <w:tc>
          <w:tcPr>
            <w:tcW w:w="800" w:type="dxa"/>
          </w:tcPr>
          <w:p w14:paraId="2404DA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w:t>
            </w:r>
          </w:p>
        </w:tc>
        <w:tc>
          <w:tcPr>
            <w:tcW w:w="800" w:type="dxa"/>
          </w:tcPr>
          <w:p w14:paraId="693D43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185</w:t>
            </w:r>
          </w:p>
        </w:tc>
      </w:tr>
      <w:tr w:rsidR="009B487A" w:rsidRPr="00722885" w14:paraId="53EFE3FB" w14:textId="77777777" w:rsidTr="00CC5360">
        <w:tc>
          <w:tcPr>
            <w:tcW w:w="800" w:type="dxa"/>
          </w:tcPr>
          <w:p w14:paraId="72EC32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Отправлено в части</w:t>
            </w:r>
          </w:p>
        </w:tc>
        <w:tc>
          <w:tcPr>
            <w:tcW w:w="800" w:type="dxa"/>
          </w:tcPr>
          <w:p w14:paraId="6A5DF5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204</w:t>
            </w:r>
          </w:p>
        </w:tc>
        <w:tc>
          <w:tcPr>
            <w:tcW w:w="800" w:type="dxa"/>
          </w:tcPr>
          <w:p w14:paraId="319907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w:t>
            </w:r>
          </w:p>
        </w:tc>
        <w:tc>
          <w:tcPr>
            <w:tcW w:w="800" w:type="dxa"/>
          </w:tcPr>
          <w:p w14:paraId="56B838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218</w:t>
            </w:r>
          </w:p>
        </w:tc>
        <w:tc>
          <w:tcPr>
            <w:tcW w:w="800" w:type="dxa"/>
          </w:tcPr>
          <w:p w14:paraId="746A07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306</w:t>
            </w:r>
          </w:p>
        </w:tc>
        <w:tc>
          <w:tcPr>
            <w:tcW w:w="800" w:type="dxa"/>
          </w:tcPr>
          <w:p w14:paraId="22A0EB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403</w:t>
            </w:r>
          </w:p>
        </w:tc>
        <w:tc>
          <w:tcPr>
            <w:tcW w:w="800" w:type="dxa"/>
          </w:tcPr>
          <w:p w14:paraId="126E34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312</w:t>
            </w:r>
          </w:p>
        </w:tc>
        <w:tc>
          <w:tcPr>
            <w:tcW w:w="800" w:type="dxa"/>
          </w:tcPr>
          <w:p w14:paraId="28E0A6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295</w:t>
            </w:r>
          </w:p>
        </w:tc>
        <w:tc>
          <w:tcPr>
            <w:tcW w:w="800" w:type="dxa"/>
          </w:tcPr>
          <w:p w14:paraId="4D692F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350</w:t>
            </w:r>
          </w:p>
        </w:tc>
        <w:tc>
          <w:tcPr>
            <w:tcW w:w="800" w:type="dxa"/>
          </w:tcPr>
          <w:p w14:paraId="574D13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311</w:t>
            </w:r>
          </w:p>
        </w:tc>
        <w:tc>
          <w:tcPr>
            <w:tcW w:w="800" w:type="dxa"/>
          </w:tcPr>
          <w:p w14:paraId="42FBC4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299</w:t>
            </w:r>
          </w:p>
        </w:tc>
        <w:tc>
          <w:tcPr>
            <w:tcW w:w="800" w:type="dxa"/>
          </w:tcPr>
          <w:p w14:paraId="4FBEB4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216</w:t>
            </w:r>
          </w:p>
        </w:tc>
        <w:tc>
          <w:tcPr>
            <w:tcW w:w="800" w:type="dxa"/>
          </w:tcPr>
          <w:p w14:paraId="622FD9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217</w:t>
            </w:r>
          </w:p>
        </w:tc>
        <w:tc>
          <w:tcPr>
            <w:tcW w:w="800" w:type="dxa"/>
          </w:tcPr>
          <w:p w14:paraId="60B67D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3292</w:t>
            </w:r>
          </w:p>
        </w:tc>
      </w:tr>
      <w:tr w:rsidR="009B487A" w:rsidRPr="00722885" w14:paraId="1ECB7C00" w14:textId="77777777" w:rsidTr="00CC5360">
        <w:tc>
          <w:tcPr>
            <w:tcW w:w="800" w:type="dxa"/>
          </w:tcPr>
          <w:p w14:paraId="3509E4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т.ч. УА ВМФ</w:t>
            </w:r>
          </w:p>
        </w:tc>
        <w:tc>
          <w:tcPr>
            <w:tcW w:w="800" w:type="dxa"/>
          </w:tcPr>
          <w:p w14:paraId="57A15D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800" w:type="dxa"/>
          </w:tcPr>
          <w:p w14:paraId="648CD0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800" w:type="dxa"/>
          </w:tcPr>
          <w:p w14:paraId="0933A9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w:t>
            </w:r>
          </w:p>
        </w:tc>
        <w:tc>
          <w:tcPr>
            <w:tcW w:w="800" w:type="dxa"/>
          </w:tcPr>
          <w:p w14:paraId="1DEE3F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00" w:type="dxa"/>
          </w:tcPr>
          <w:p w14:paraId="581818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800" w:type="dxa"/>
          </w:tcPr>
          <w:p w14:paraId="2F7F54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800" w:type="dxa"/>
          </w:tcPr>
          <w:p w14:paraId="42CBD2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800" w:type="dxa"/>
          </w:tcPr>
          <w:p w14:paraId="204BE8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800" w:type="dxa"/>
          </w:tcPr>
          <w:p w14:paraId="1B2978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00" w:type="dxa"/>
          </w:tcPr>
          <w:p w14:paraId="20F08B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800" w:type="dxa"/>
          </w:tcPr>
          <w:p w14:paraId="47269C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00" w:type="dxa"/>
          </w:tcPr>
          <w:p w14:paraId="2F5B4D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800" w:type="dxa"/>
          </w:tcPr>
          <w:p w14:paraId="5CB820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207</w:t>
            </w:r>
          </w:p>
        </w:tc>
      </w:tr>
      <w:tr w:rsidR="009B487A" w:rsidRPr="00722885" w14:paraId="20A6C29D" w14:textId="77777777" w:rsidTr="00CC5360">
        <w:tc>
          <w:tcPr>
            <w:tcW w:w="800" w:type="dxa"/>
          </w:tcPr>
          <w:p w14:paraId="7F60C0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Отправлено не принятых</w:t>
            </w:r>
          </w:p>
        </w:tc>
        <w:tc>
          <w:tcPr>
            <w:tcW w:w="800" w:type="dxa"/>
          </w:tcPr>
          <w:p w14:paraId="3DD7FA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00" w:type="dxa"/>
          </w:tcPr>
          <w:p w14:paraId="21AE3B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o</w:t>
            </w:r>
          </w:p>
        </w:tc>
        <w:tc>
          <w:tcPr>
            <w:tcW w:w="800" w:type="dxa"/>
          </w:tcPr>
          <w:p w14:paraId="34324C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00" w:type="dxa"/>
          </w:tcPr>
          <w:p w14:paraId="08B85E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00" w:type="dxa"/>
          </w:tcPr>
          <w:p w14:paraId="240CAB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800" w:type="dxa"/>
          </w:tcPr>
          <w:p w14:paraId="151B8C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00" w:type="dxa"/>
          </w:tcPr>
          <w:p w14:paraId="5CFC90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00" w:type="dxa"/>
          </w:tcPr>
          <w:p w14:paraId="604794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800" w:type="dxa"/>
          </w:tcPr>
          <w:p w14:paraId="351596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00" w:type="dxa"/>
          </w:tcPr>
          <w:p w14:paraId="183F61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800" w:type="dxa"/>
          </w:tcPr>
          <w:p w14:paraId="528FE1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00" w:type="dxa"/>
          </w:tcPr>
          <w:p w14:paraId="74C251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800" w:type="dxa"/>
          </w:tcPr>
          <w:p w14:paraId="5DBFC2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w:t>
            </w:r>
          </w:p>
        </w:tc>
      </w:tr>
      <w:tr w:rsidR="009B487A" w:rsidRPr="00722885" w14:paraId="7BCF79A5" w14:textId="77777777" w:rsidTr="00CC5360">
        <w:tc>
          <w:tcPr>
            <w:tcW w:w="800" w:type="dxa"/>
          </w:tcPr>
          <w:p w14:paraId="3884CE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Осталось на заводе всего</w:t>
            </w:r>
          </w:p>
        </w:tc>
        <w:tc>
          <w:tcPr>
            <w:tcW w:w="800" w:type="dxa"/>
          </w:tcPr>
          <w:p w14:paraId="59FEC9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143</w:t>
            </w:r>
          </w:p>
        </w:tc>
        <w:tc>
          <w:tcPr>
            <w:tcW w:w="800" w:type="dxa"/>
          </w:tcPr>
          <w:p w14:paraId="1E932E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242</w:t>
            </w:r>
          </w:p>
        </w:tc>
        <w:tc>
          <w:tcPr>
            <w:tcW w:w="800" w:type="dxa"/>
          </w:tcPr>
          <w:p w14:paraId="0F6611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255</w:t>
            </w:r>
          </w:p>
        </w:tc>
        <w:tc>
          <w:tcPr>
            <w:tcW w:w="800" w:type="dxa"/>
          </w:tcPr>
          <w:p w14:paraId="59B3AD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175</w:t>
            </w:r>
          </w:p>
        </w:tc>
        <w:tc>
          <w:tcPr>
            <w:tcW w:w="800" w:type="dxa"/>
          </w:tcPr>
          <w:p w14:paraId="5D0702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w:t>
            </w:r>
          </w:p>
        </w:tc>
        <w:tc>
          <w:tcPr>
            <w:tcW w:w="800" w:type="dxa"/>
          </w:tcPr>
          <w:p w14:paraId="70F58F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w:t>
            </w:r>
          </w:p>
        </w:tc>
        <w:tc>
          <w:tcPr>
            <w:tcW w:w="800" w:type="dxa"/>
          </w:tcPr>
          <w:p w14:paraId="178581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w:t>
            </w:r>
          </w:p>
        </w:tc>
        <w:tc>
          <w:tcPr>
            <w:tcW w:w="800" w:type="dxa"/>
          </w:tcPr>
          <w:p w14:paraId="77B8E5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w:t>
            </w:r>
          </w:p>
        </w:tc>
        <w:tc>
          <w:tcPr>
            <w:tcW w:w="800" w:type="dxa"/>
          </w:tcPr>
          <w:p w14:paraId="0B597B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w:t>
            </w:r>
          </w:p>
        </w:tc>
        <w:tc>
          <w:tcPr>
            <w:tcW w:w="800" w:type="dxa"/>
          </w:tcPr>
          <w:p w14:paraId="02DF20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w:t>
            </w:r>
          </w:p>
        </w:tc>
        <w:tc>
          <w:tcPr>
            <w:tcW w:w="800" w:type="dxa"/>
          </w:tcPr>
          <w:p w14:paraId="44F8C1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163</w:t>
            </w:r>
          </w:p>
        </w:tc>
        <w:tc>
          <w:tcPr>
            <w:tcW w:w="800" w:type="dxa"/>
          </w:tcPr>
          <w:p w14:paraId="162795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268'</w:t>
            </w:r>
          </w:p>
        </w:tc>
        <w:tc>
          <w:tcPr>
            <w:tcW w:w="800" w:type="dxa"/>
          </w:tcPr>
          <w:p w14:paraId="0791B4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0AEAA395" w14:textId="77777777" w:rsidTr="00CC5360">
        <w:tc>
          <w:tcPr>
            <w:tcW w:w="800" w:type="dxa"/>
            <w:tcBorders>
              <w:bottom w:val="single" w:sz="12" w:space="0" w:color="auto"/>
            </w:tcBorders>
          </w:tcPr>
          <w:p w14:paraId="617A97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них сданные экипажам</w:t>
            </w:r>
          </w:p>
        </w:tc>
        <w:tc>
          <w:tcPr>
            <w:tcW w:w="800" w:type="dxa"/>
            <w:tcBorders>
              <w:bottom w:val="single" w:sz="12" w:space="0" w:color="auto"/>
            </w:tcBorders>
          </w:tcPr>
          <w:p w14:paraId="371758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00" w:type="dxa"/>
            <w:tcBorders>
              <w:bottom w:val="single" w:sz="12" w:space="0" w:color="auto"/>
            </w:tcBorders>
          </w:tcPr>
          <w:p w14:paraId="15B660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800" w:type="dxa"/>
            <w:tcBorders>
              <w:bottom w:val="single" w:sz="12" w:space="0" w:color="auto"/>
            </w:tcBorders>
          </w:tcPr>
          <w:p w14:paraId="109299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800" w:type="dxa"/>
            <w:tcBorders>
              <w:bottom w:val="single" w:sz="12" w:space="0" w:color="auto"/>
            </w:tcBorders>
          </w:tcPr>
          <w:p w14:paraId="631955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w:t>
            </w:r>
          </w:p>
        </w:tc>
        <w:tc>
          <w:tcPr>
            <w:tcW w:w="800" w:type="dxa"/>
            <w:tcBorders>
              <w:bottom w:val="single" w:sz="12" w:space="0" w:color="auto"/>
            </w:tcBorders>
          </w:tcPr>
          <w:p w14:paraId="5DE80D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800" w:type="dxa"/>
            <w:tcBorders>
              <w:bottom w:val="single" w:sz="12" w:space="0" w:color="auto"/>
            </w:tcBorders>
          </w:tcPr>
          <w:p w14:paraId="2A47C5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00" w:type="dxa"/>
            <w:tcBorders>
              <w:bottom w:val="single" w:sz="12" w:space="0" w:color="auto"/>
            </w:tcBorders>
          </w:tcPr>
          <w:p w14:paraId="1E679C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800" w:type="dxa"/>
            <w:tcBorders>
              <w:bottom w:val="single" w:sz="12" w:space="0" w:color="auto"/>
            </w:tcBorders>
          </w:tcPr>
          <w:p w14:paraId="07F4F3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800" w:type="dxa"/>
            <w:tcBorders>
              <w:bottom w:val="single" w:sz="12" w:space="0" w:color="auto"/>
            </w:tcBorders>
          </w:tcPr>
          <w:p w14:paraId="5B1EEA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800" w:type="dxa"/>
            <w:tcBorders>
              <w:bottom w:val="single" w:sz="12" w:space="0" w:color="auto"/>
            </w:tcBorders>
          </w:tcPr>
          <w:p w14:paraId="4C0DE0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800" w:type="dxa"/>
            <w:tcBorders>
              <w:bottom w:val="single" w:sz="12" w:space="0" w:color="auto"/>
            </w:tcBorders>
          </w:tcPr>
          <w:p w14:paraId="4B6CAE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800" w:type="dxa"/>
            <w:tcBorders>
              <w:bottom w:val="single" w:sz="12" w:space="0" w:color="auto"/>
            </w:tcBorders>
          </w:tcPr>
          <w:p w14:paraId="235F37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800" w:type="dxa"/>
            <w:tcBorders>
              <w:bottom w:val="single" w:sz="12" w:space="0" w:color="auto"/>
            </w:tcBorders>
          </w:tcPr>
          <w:p w14:paraId="16D52B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bl>
    <w:p w14:paraId="66923B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В том числе 7 самолетов россыпью для заводов НКАП. четыре для Л ИИ НКАП. один для эксплуатационных испытаний, один потерпевший аварию на заводском аэродроме.</w:t>
      </w:r>
    </w:p>
    <w:p w14:paraId="130597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Цифра дана с начала учета готовых к бою самолетов, т.е. с 23 января 1942 г.</w:t>
      </w:r>
    </w:p>
    <w:p w14:paraId="588497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Данные приведены из другого источника.</w:t>
      </w:r>
    </w:p>
    <w:p w14:paraId="71C6048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Фактическая сумма, подсчитанная по цепочке, равна 275 самолетам (12048).</w:t>
      </w:r>
    </w:p>
    <w:p w14:paraId="54A8217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1194A51" w14:textId="77777777" w:rsidR="00BB6316" w:rsidRPr="00722885" w:rsidRDefault="00BB6316"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конце 1942 г. пла</w:t>
      </w:r>
      <w:r w:rsidRPr="00722885">
        <w:rPr>
          <w:rFonts w:ascii="Times New Roman" w:cs="Times New Roman"/>
          <w:color w:val="000000" w:themeColor="text1"/>
          <w:spacing w:val="0"/>
        </w:rPr>
        <w:softHyphen/>
        <w:t>нировалось начать выпуск истребителей Яковлева с М-107. Производственников подгоняли военные - ввод немцами в дей</w:t>
      </w:r>
      <w:r w:rsidRPr="00722885">
        <w:rPr>
          <w:rFonts w:ascii="Times New Roman" w:cs="Times New Roman"/>
          <w:color w:val="000000" w:themeColor="text1"/>
          <w:spacing w:val="0"/>
        </w:rPr>
        <w:softHyphen/>
        <w:t>ствие очередных новых модификаций В? 109 и Р\л/ 190 неизменно порождал пани</w:t>
      </w:r>
      <w:r w:rsidRPr="00722885">
        <w:rPr>
          <w:rFonts w:ascii="Times New Roman" w:cs="Times New Roman"/>
          <w:color w:val="000000" w:themeColor="text1"/>
          <w:spacing w:val="0"/>
        </w:rPr>
        <w:softHyphen/>
        <w:t>ческие донесения с фронтов, о том, что «превосходство немцев проявляется в резкой форме». Однако в течение 1943 г. ни М-107, ни предназначенный под него истребитель Як-9У до серийного произ</w:t>
      </w:r>
      <w:r w:rsidRPr="00722885">
        <w:rPr>
          <w:rFonts w:ascii="Times New Roman" w:cs="Times New Roman"/>
          <w:color w:val="000000" w:themeColor="text1"/>
          <w:spacing w:val="0"/>
        </w:rPr>
        <w:softHyphen/>
        <w:t>водства доведены не были. В какой-то мере ситуацию выровняли, запустив в производство истребитель Ла-5 с М-82 и доработанные Як-1 и Як-9 с М-105ПФ. В остальном, из-за отсутствия квалифи</w:t>
      </w:r>
      <w:r w:rsidRPr="00722885">
        <w:rPr>
          <w:rFonts w:ascii="Times New Roman" w:cs="Times New Roman"/>
          <w:color w:val="000000" w:themeColor="text1"/>
          <w:spacing w:val="0"/>
        </w:rPr>
        <w:softHyphen/>
        <w:t>цированных рабочих (а их в авиапромыш</w:t>
      </w:r>
      <w:r w:rsidRPr="00722885">
        <w:rPr>
          <w:rFonts w:ascii="Times New Roman" w:cs="Times New Roman"/>
          <w:color w:val="000000" w:themeColor="text1"/>
          <w:spacing w:val="0"/>
        </w:rPr>
        <w:softHyphen/>
        <w:t>ленности СССР не хватало и до войны) и современного станочного парка, из-за брака (неизбежные при массовом произ</w:t>
      </w:r>
      <w:r w:rsidRPr="00722885">
        <w:rPr>
          <w:rFonts w:ascii="Times New Roman" w:cs="Times New Roman"/>
          <w:color w:val="000000" w:themeColor="text1"/>
          <w:spacing w:val="0"/>
        </w:rPr>
        <w:softHyphen/>
        <w:t>водстве в военное время большие допуски при изготовлении деталей) и постоянного дефицита в металлургии (например, почти весь хром и марганец во время войны ухо</w:t>
      </w:r>
      <w:r w:rsidRPr="00722885">
        <w:rPr>
          <w:rFonts w:ascii="Times New Roman" w:cs="Times New Roman"/>
          <w:color w:val="000000" w:themeColor="text1"/>
          <w:spacing w:val="0"/>
        </w:rPr>
        <w:softHyphen/>
        <w:t>дили в танкостроение) обеспечивать при</w:t>
      </w:r>
      <w:r w:rsidRPr="00722885">
        <w:rPr>
          <w:rFonts w:ascii="Times New Roman" w:cs="Times New Roman"/>
          <w:color w:val="000000" w:themeColor="text1"/>
          <w:spacing w:val="0"/>
        </w:rPr>
        <w:softHyphen/>
        <w:t>емлемое качество авиадвигателей не уда</w:t>
      </w:r>
      <w:r w:rsidRPr="00722885">
        <w:rPr>
          <w:rFonts w:ascii="Times New Roman" w:cs="Times New Roman"/>
          <w:color w:val="000000" w:themeColor="text1"/>
          <w:spacing w:val="0"/>
        </w:rPr>
        <w:softHyphen/>
        <w:t>валось. А уж тем более это касалось такого нового изделия, как М-107, который про</w:t>
      </w:r>
      <w:r w:rsidRPr="00722885">
        <w:rPr>
          <w:rFonts w:ascii="Times New Roman" w:cs="Times New Roman"/>
          <w:color w:val="000000" w:themeColor="text1"/>
          <w:spacing w:val="0"/>
        </w:rPr>
        <w:softHyphen/>
        <w:t>ектировали и пытались запустить в произ</w:t>
      </w:r>
      <w:r w:rsidRPr="00722885">
        <w:rPr>
          <w:rFonts w:ascii="Times New Roman" w:cs="Times New Roman"/>
          <w:color w:val="000000" w:themeColor="text1"/>
          <w:spacing w:val="0"/>
        </w:rPr>
        <w:softHyphen/>
        <w:t>водство в условиях военного аврала.</w:t>
      </w:r>
    </w:p>
    <w:p w14:paraId="5244EF13" w14:textId="77777777" w:rsidR="00BB6316" w:rsidRPr="00722885" w:rsidRDefault="00BB6316"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Кстати, неверно было бы переклады</w:t>
      </w:r>
      <w:r w:rsidRPr="00722885">
        <w:rPr>
          <w:rFonts w:ascii="Times New Roman" w:cs="Times New Roman"/>
          <w:color w:val="000000" w:themeColor="text1"/>
          <w:spacing w:val="0"/>
        </w:rPr>
        <w:softHyphen/>
        <w:t>вать всю вину за проблемы с М-107 только на моторостроителей. ОКБ Яковлева, которое не смогло обеспечить при уста</w:t>
      </w:r>
      <w:r w:rsidRPr="00722885">
        <w:rPr>
          <w:rFonts w:ascii="Times New Roman" w:cs="Times New Roman"/>
          <w:color w:val="000000" w:themeColor="text1"/>
          <w:spacing w:val="0"/>
        </w:rPr>
        <w:softHyphen/>
        <w:t>новке нового мотора на Як-9У надежную систему охлаждения, не меньше них вино</w:t>
      </w:r>
      <w:r w:rsidRPr="00722885">
        <w:rPr>
          <w:rFonts w:ascii="Times New Roman" w:cs="Times New Roman"/>
          <w:color w:val="000000" w:themeColor="text1"/>
          <w:spacing w:val="0"/>
        </w:rPr>
        <w:softHyphen/>
        <w:t>вато в том, что фронт не получил новые самолеты вовремя. И если на стендах двигатели М-107 еще кое-как работали, то будучи установленными на самолет, они перегревались и горели.</w:t>
      </w:r>
    </w:p>
    <w:p w14:paraId="39948A17" w14:textId="77777777" w:rsidR="00BB6316" w:rsidRPr="00722885" w:rsidRDefault="00BB6316"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итоге, первые прототипы Як-9У попали на испытания только в начале 1944 г. и... закономерно их не выдержали. Более того, первый прототип Як-9У раз</w:t>
      </w:r>
      <w:r w:rsidRPr="00722885">
        <w:rPr>
          <w:rFonts w:ascii="Times New Roman" w:cs="Times New Roman"/>
          <w:color w:val="000000" w:themeColor="text1"/>
          <w:spacing w:val="0"/>
        </w:rPr>
        <w:softHyphen/>
        <w:t>бился из-за пожара двигателя в апреле 1944 г., при этом погиб летчик-испы- татель А. Кокин. На втором прототипе Як-9У в феврале 1944 г., после всего 9 часов работы разрушились подшип</w:t>
      </w:r>
      <w:r w:rsidRPr="00722885">
        <w:rPr>
          <w:rFonts w:ascii="Times New Roman" w:cs="Times New Roman"/>
          <w:color w:val="000000" w:themeColor="text1"/>
          <w:spacing w:val="0"/>
        </w:rPr>
        <w:softHyphen/>
        <w:t>ники нагнетателя, и двигатель заклинило. Летчик-испытатель А. Прошаков с боль</w:t>
      </w:r>
      <w:r w:rsidRPr="00722885">
        <w:rPr>
          <w:rFonts w:ascii="Times New Roman" w:cs="Times New Roman"/>
          <w:color w:val="000000" w:themeColor="text1"/>
          <w:spacing w:val="0"/>
        </w:rPr>
        <w:softHyphen/>
        <w:t>шим трудом посадил аварийную машину. В отчете о дальнейших испытаниях акку</w:t>
      </w:r>
      <w:r w:rsidRPr="00722885">
        <w:rPr>
          <w:rFonts w:ascii="Times New Roman" w:cs="Times New Roman"/>
          <w:color w:val="000000" w:themeColor="text1"/>
          <w:spacing w:val="0"/>
        </w:rPr>
        <w:softHyphen/>
        <w:t>ратно говорилось о том, что, хотя Як-9У, по идее, должен превосходить основные немецкие истребители (была достигнута максимальная скорость 700 км/ч), все же «большое количество серьезных дефек</w:t>
      </w:r>
      <w:r w:rsidRPr="00722885">
        <w:rPr>
          <w:rFonts w:ascii="Times New Roman" w:cs="Times New Roman"/>
          <w:color w:val="000000" w:themeColor="text1"/>
          <w:spacing w:val="0"/>
        </w:rPr>
        <w:softHyphen/>
        <w:t>тов, особенно по винтомоторной группе, не позволяет нормально эксплуатировать этот самолет на всем диапазоне высот».</w:t>
      </w:r>
    </w:p>
    <w:p w14:paraId="12825433" w14:textId="77777777" w:rsidR="00BB6316" w:rsidRPr="00722885" w:rsidRDefault="00BB6316"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Однако ожидаемые боевые возможно</w:t>
      </w:r>
      <w:r w:rsidRPr="00722885">
        <w:rPr>
          <w:rFonts w:ascii="Times New Roman" w:cs="Times New Roman"/>
          <w:color w:val="000000" w:themeColor="text1"/>
          <w:spacing w:val="0"/>
        </w:rPr>
        <w:softHyphen/>
        <w:t>сти самолета были столь высЬки, что уже в мае 1944 г. его запустили в массовое про</w:t>
      </w:r>
      <w:r w:rsidRPr="00722885">
        <w:rPr>
          <w:rFonts w:ascii="Times New Roman" w:cs="Times New Roman"/>
          <w:color w:val="000000" w:themeColor="text1"/>
          <w:spacing w:val="0"/>
        </w:rPr>
        <w:softHyphen/>
        <w:t>изводство (12741).</w:t>
      </w:r>
    </w:p>
    <w:p w14:paraId="2CE4D2B7" w14:textId="77777777" w:rsidR="00BB6316" w:rsidRPr="00722885" w:rsidRDefault="00BB6316" w:rsidP="00722885">
      <w:pPr>
        <w:pStyle w:val="27"/>
        <w:shd w:val="clear" w:color="auto" w:fill="auto"/>
        <w:spacing w:after="0" w:line="240" w:lineRule="auto"/>
        <w:ind w:firstLine="0"/>
        <w:rPr>
          <w:rFonts w:ascii="Times New Roman" w:cs="Times New Roman"/>
          <w:color w:val="000000" w:themeColor="text1"/>
          <w:spacing w:val="0"/>
        </w:rPr>
      </w:pPr>
    </w:p>
    <w:p w14:paraId="6174741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был построен И-220 МиГ с АМ-39, но по приказу А.И.Шахурина решили установить невысотный АМ-38Ф для проведения первого этапа испытаний (766,6).</w:t>
      </w:r>
    </w:p>
    <w:p w14:paraId="4B95BC37" w14:textId="77777777" w:rsidR="00BB6316" w:rsidRPr="00722885" w:rsidRDefault="00BB6316" w:rsidP="00722885">
      <w:pPr>
        <w:pStyle w:val="Iauiue"/>
        <w:jc w:val="both"/>
        <w:rPr>
          <w:color w:val="000000" w:themeColor="text1"/>
          <w:sz w:val="16"/>
          <w:szCs w:val="16"/>
        </w:rPr>
      </w:pPr>
    </w:p>
    <w:p w14:paraId="4A62767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был готово новый МиГ-3 с М-82Ф, названный Е. Еще в ноябре-декабре 1941 построили пять И-210 (ИХ) МиГ-3 с М-82. Первый полет в декабре 1941 выполнил В.Е.Голофастов из НИИ ВВС, но первые же полеты показали сильную вибрацию хвостового оперения. Скорость сильно упала, передали на продувки в ЦАГИ и новая машина появилась только в конце 1942. Машину направили на боевые испытания на Калининский фронт. Иногда называли МиГ-9 (1084,34).</w:t>
      </w:r>
    </w:p>
    <w:p w14:paraId="3E6800C2" w14:textId="77777777" w:rsidR="00BB6316" w:rsidRPr="00722885" w:rsidRDefault="00BB6316" w:rsidP="00722885">
      <w:pPr>
        <w:pStyle w:val="Iauiue"/>
        <w:jc w:val="both"/>
        <w:rPr>
          <w:color w:val="000000" w:themeColor="text1"/>
          <w:sz w:val="16"/>
          <w:szCs w:val="16"/>
        </w:rPr>
      </w:pPr>
    </w:p>
    <w:p w14:paraId="36F1F5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в НИИ ВВС провели полные испытания установившегося виража МиГ-3, т. е. без скольжения и потери высоты, то выяснилось: быстрее, чем за 28 с на высоте 1000 м "правильно" развернуть МиГ-3 не удается. Следовательно, уже на втором вираже Як-1 или Bf 109F могли зайти в хвост самолету Микояна и Гуревича.</w:t>
      </w:r>
    </w:p>
    <w:p w14:paraId="7B6541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проведенных в 1942 г. испытаний МиГ-3 набирал за боевой разворот не более 600 м. При оценке этой, весьма важной характеристики истребителя надо учесть, что МиГ входил в боевой разворот на крейсерской скорости, а не на скорости, близкой к максимальной. Расчеты показывают, что серийный истребитель массовой постройки с типичной массой 3299 кг мог набирать за боевой разворот примерно 750-800 м (12045).</w:t>
      </w:r>
    </w:p>
    <w:p w14:paraId="7682C60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1F3AA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истребителей МиГ-3 с различными вариантами вооружения до конца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B487A" w:rsidRPr="00722885" w14:paraId="3909F4CC" w14:textId="77777777" w:rsidTr="00CC5360">
        <w:tc>
          <w:tcPr>
            <w:tcW w:w="3736" w:type="dxa"/>
            <w:tcBorders>
              <w:top w:val="single" w:sz="12" w:space="0" w:color="auto"/>
            </w:tcBorders>
          </w:tcPr>
          <w:p w14:paraId="4BD24E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п/п</w:t>
            </w:r>
          </w:p>
        </w:tc>
        <w:tc>
          <w:tcPr>
            <w:tcW w:w="3736" w:type="dxa"/>
            <w:tcBorders>
              <w:top w:val="single" w:sz="12" w:space="0" w:color="auto"/>
            </w:tcBorders>
          </w:tcPr>
          <w:p w14:paraId="5E123D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Вариант вооружения</w:t>
            </w:r>
          </w:p>
        </w:tc>
        <w:tc>
          <w:tcPr>
            <w:tcW w:w="3736" w:type="dxa"/>
            <w:tcBorders>
              <w:top w:val="single" w:sz="12" w:space="0" w:color="auto"/>
            </w:tcBorders>
          </w:tcPr>
          <w:p w14:paraId="7CC8A9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Кол-во самолетов</w:t>
            </w:r>
          </w:p>
        </w:tc>
      </w:tr>
      <w:tr w:rsidR="009B487A" w:rsidRPr="00722885" w14:paraId="460D6D01" w14:textId="77777777" w:rsidTr="00CC5360">
        <w:tc>
          <w:tcPr>
            <w:tcW w:w="3736" w:type="dxa"/>
          </w:tcPr>
          <w:p w14:paraId="4E00FB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3736" w:type="dxa"/>
          </w:tcPr>
          <w:p w14:paraId="16CB51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2хШКАС, 1 хБС</w:t>
            </w:r>
          </w:p>
        </w:tc>
        <w:tc>
          <w:tcPr>
            <w:tcW w:w="3736" w:type="dxa"/>
          </w:tcPr>
          <w:p w14:paraId="11069E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1976</w:t>
            </w:r>
          </w:p>
        </w:tc>
      </w:tr>
      <w:tr w:rsidR="009B487A" w:rsidRPr="00722885" w14:paraId="640971F2" w14:textId="77777777" w:rsidTr="00CC5360">
        <w:tc>
          <w:tcPr>
            <w:tcW w:w="3736" w:type="dxa"/>
          </w:tcPr>
          <w:p w14:paraId="0C1BA2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3736" w:type="dxa"/>
          </w:tcPr>
          <w:p w14:paraId="1B2A22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2хШКАС, 1хБС, 1хБК</w:t>
            </w:r>
          </w:p>
        </w:tc>
        <w:tc>
          <w:tcPr>
            <w:tcW w:w="3736" w:type="dxa"/>
          </w:tcPr>
          <w:p w14:paraId="3A68DD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821</w:t>
            </w:r>
          </w:p>
        </w:tc>
      </w:tr>
      <w:tr w:rsidR="009B487A" w:rsidRPr="00722885" w14:paraId="79D3D971" w14:textId="77777777" w:rsidTr="00CC5360">
        <w:tc>
          <w:tcPr>
            <w:tcW w:w="3736" w:type="dxa"/>
          </w:tcPr>
          <w:p w14:paraId="596542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3736" w:type="dxa"/>
          </w:tcPr>
          <w:p w14:paraId="1CB256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2хБС, 1x111 КАС</w:t>
            </w:r>
          </w:p>
        </w:tc>
        <w:tc>
          <w:tcPr>
            <w:tcW w:w="3736" w:type="dxa"/>
          </w:tcPr>
          <w:p w14:paraId="00BD50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r>
      <w:tr w:rsidR="009B487A" w:rsidRPr="00722885" w14:paraId="1CE9CEFE" w14:textId="77777777" w:rsidTr="00CC5360">
        <w:tc>
          <w:tcPr>
            <w:tcW w:w="3736" w:type="dxa"/>
          </w:tcPr>
          <w:p w14:paraId="4F49B5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3736" w:type="dxa"/>
          </w:tcPr>
          <w:p w14:paraId="59D2E7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2хБС</w:t>
            </w:r>
          </w:p>
        </w:tc>
        <w:tc>
          <w:tcPr>
            <w:tcW w:w="3736" w:type="dxa"/>
          </w:tcPr>
          <w:p w14:paraId="0B10C1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r>
      <w:tr w:rsidR="009B487A" w:rsidRPr="00722885" w14:paraId="61DBFC71" w14:textId="77777777" w:rsidTr="00CC5360">
        <w:tc>
          <w:tcPr>
            <w:tcW w:w="3736" w:type="dxa"/>
          </w:tcPr>
          <w:p w14:paraId="50B6B75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3736" w:type="dxa"/>
          </w:tcPr>
          <w:p w14:paraId="0CA4995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2хБС, 2 батареи по 3 РО-82</w:t>
            </w:r>
          </w:p>
        </w:tc>
        <w:tc>
          <w:tcPr>
            <w:tcW w:w="3736" w:type="dxa"/>
          </w:tcPr>
          <w:p w14:paraId="219B677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215</w:t>
            </w:r>
          </w:p>
        </w:tc>
      </w:tr>
      <w:tr w:rsidR="009B487A" w:rsidRPr="00722885" w14:paraId="438CDAC8" w14:textId="77777777" w:rsidTr="00CC5360">
        <w:tc>
          <w:tcPr>
            <w:tcW w:w="3736" w:type="dxa"/>
          </w:tcPr>
          <w:p w14:paraId="4F7063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3736" w:type="dxa"/>
          </w:tcPr>
          <w:p w14:paraId="259A87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2хШКАС, 2хБС, 2 батареи по 3 РО-82</w:t>
            </w:r>
          </w:p>
        </w:tc>
        <w:tc>
          <w:tcPr>
            <w:tcW w:w="3736" w:type="dxa"/>
          </w:tcPr>
          <w:p w14:paraId="345889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r>
      <w:tr w:rsidR="009B487A" w:rsidRPr="00722885" w14:paraId="7F0B846C" w14:textId="77777777" w:rsidTr="00CC5360">
        <w:tc>
          <w:tcPr>
            <w:tcW w:w="3736" w:type="dxa"/>
          </w:tcPr>
          <w:p w14:paraId="0DB208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3736" w:type="dxa"/>
          </w:tcPr>
          <w:p w14:paraId="01F5E7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Без вооружения (для ЦАГИ)</w:t>
            </w:r>
          </w:p>
        </w:tc>
        <w:tc>
          <w:tcPr>
            <w:tcW w:w="3736" w:type="dxa"/>
          </w:tcPr>
          <w:p w14:paraId="51B3F0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r>
      <w:tr w:rsidR="009B487A" w:rsidRPr="00722885" w14:paraId="565AA7E9" w14:textId="77777777" w:rsidTr="00CC5360">
        <w:tc>
          <w:tcPr>
            <w:tcW w:w="3736" w:type="dxa"/>
          </w:tcPr>
          <w:p w14:paraId="77E412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w:t>
            </w:r>
          </w:p>
        </w:tc>
        <w:tc>
          <w:tcPr>
            <w:tcW w:w="3736" w:type="dxa"/>
          </w:tcPr>
          <w:p w14:paraId="039B2F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Без вооружения и без рации</w:t>
            </w:r>
          </w:p>
        </w:tc>
        <w:tc>
          <w:tcPr>
            <w:tcW w:w="3736" w:type="dxa"/>
          </w:tcPr>
          <w:p w14:paraId="736DCC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r>
      <w:tr w:rsidR="009B487A" w:rsidRPr="00722885" w14:paraId="12020C16" w14:textId="77777777" w:rsidTr="00CC5360">
        <w:tc>
          <w:tcPr>
            <w:tcW w:w="3736" w:type="dxa"/>
          </w:tcPr>
          <w:p w14:paraId="6EE888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3736" w:type="dxa"/>
          </w:tcPr>
          <w:p w14:paraId="69C40E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2хШВАК</w:t>
            </w:r>
          </w:p>
        </w:tc>
        <w:tc>
          <w:tcPr>
            <w:tcW w:w="3736" w:type="dxa"/>
          </w:tcPr>
          <w:p w14:paraId="2177F5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r>
      <w:tr w:rsidR="009B487A" w:rsidRPr="00722885" w14:paraId="30895EDD" w14:textId="77777777" w:rsidTr="00CC5360">
        <w:tc>
          <w:tcPr>
            <w:tcW w:w="3736" w:type="dxa"/>
            <w:tcBorders>
              <w:bottom w:val="single" w:sz="12" w:space="0" w:color="auto"/>
            </w:tcBorders>
          </w:tcPr>
          <w:p w14:paraId="739659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3736" w:type="dxa"/>
            <w:tcBorders>
              <w:bottom w:val="single" w:sz="12" w:space="0" w:color="auto"/>
            </w:tcBorders>
          </w:tcPr>
          <w:p w14:paraId="69E9A02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3736" w:type="dxa"/>
            <w:tcBorders>
              <w:bottom w:val="single" w:sz="12" w:space="0" w:color="auto"/>
            </w:tcBorders>
          </w:tcPr>
          <w:p w14:paraId="42B18D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3172</w:t>
            </w:r>
          </w:p>
        </w:tc>
      </w:tr>
    </w:tbl>
    <w:p w14:paraId="210906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(12045).</w:t>
      </w:r>
    </w:p>
    <w:p w14:paraId="724EEBE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8BCF2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года начальник груп</w:t>
      </w:r>
      <w:r w:rsidRPr="00722885">
        <w:rPr>
          <w:rFonts w:ascii="Times New Roman" w:hAnsi="Times New Roman"/>
          <w:color w:val="000000" w:themeColor="text1"/>
          <w:sz w:val="16"/>
          <w:szCs w:val="16"/>
        </w:rPr>
        <w:softHyphen/>
        <w:t>пы отделов моторов и топлив НИИ ВВС инженер-полковник Фокин док</w:t>
      </w:r>
      <w:r w:rsidRPr="00722885">
        <w:rPr>
          <w:rFonts w:ascii="Times New Roman" w:hAnsi="Times New Roman"/>
          <w:color w:val="000000" w:themeColor="text1"/>
          <w:sz w:val="16"/>
          <w:szCs w:val="16"/>
        </w:rPr>
        <w:softHyphen/>
        <w:t>ладывал руководству:</w:t>
      </w:r>
    </w:p>
    <w:p w14:paraId="63A972A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строевых частей ВВС КА по</w:t>
      </w:r>
      <w:r w:rsidRPr="00722885">
        <w:rPr>
          <w:rFonts w:ascii="Times New Roman" w:hAnsi="Times New Roman"/>
          <w:color w:val="000000" w:themeColor="text1"/>
          <w:sz w:val="16"/>
          <w:szCs w:val="16"/>
        </w:rPr>
        <w:softHyphen/>
        <w:t>ступают сведения о недоборе ско</w:t>
      </w:r>
      <w:r w:rsidRPr="00722885">
        <w:rPr>
          <w:rFonts w:ascii="Times New Roman" w:hAnsi="Times New Roman"/>
          <w:color w:val="000000" w:themeColor="text1"/>
          <w:sz w:val="16"/>
          <w:szCs w:val="16"/>
        </w:rPr>
        <w:softHyphen/>
        <w:t>ростей на самолете Ла-5 при ра</w:t>
      </w:r>
      <w:r w:rsidRPr="00722885">
        <w:rPr>
          <w:rFonts w:ascii="Times New Roman" w:hAnsi="Times New Roman"/>
          <w:color w:val="000000" w:themeColor="text1"/>
          <w:sz w:val="16"/>
          <w:szCs w:val="16"/>
        </w:rPr>
        <w:softHyphen/>
        <w:t>боте мотора на 2-й скорости на</w:t>
      </w:r>
      <w:r w:rsidRPr="00722885">
        <w:rPr>
          <w:rFonts w:ascii="Times New Roman" w:hAnsi="Times New Roman"/>
          <w:color w:val="000000" w:themeColor="text1"/>
          <w:sz w:val="16"/>
          <w:szCs w:val="16"/>
        </w:rPr>
        <w:softHyphen/>
        <w:t>гнетателя, т.е. на высоте от 4000 м и выше.</w:t>
      </w:r>
    </w:p>
    <w:p w14:paraId="769F7C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Потеря скорости на самолете Ла-5 может происходить по следующим причинам:</w:t>
      </w:r>
    </w:p>
    <w:p w14:paraId="5F84B1E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ухудшение аэродинамики са</w:t>
      </w:r>
      <w:r w:rsidRPr="00722885">
        <w:rPr>
          <w:rFonts w:ascii="Times New Roman" w:hAnsi="Times New Roman"/>
          <w:color w:val="000000" w:themeColor="text1"/>
          <w:sz w:val="16"/>
          <w:szCs w:val="16"/>
        </w:rPr>
        <w:softHyphen/>
        <w:t>молета (полеты с открытым колпа</w:t>
      </w:r>
      <w:r w:rsidRPr="00722885">
        <w:rPr>
          <w:rFonts w:ascii="Times New Roman" w:hAnsi="Times New Roman"/>
          <w:color w:val="000000" w:themeColor="text1"/>
          <w:sz w:val="16"/>
          <w:szCs w:val="16"/>
        </w:rPr>
        <w:softHyphen/>
        <w:t>ком летчика и с неустановленны</w:t>
      </w:r>
      <w:r w:rsidRPr="00722885">
        <w:rPr>
          <w:rFonts w:ascii="Times New Roman" w:hAnsi="Times New Roman"/>
          <w:color w:val="000000" w:themeColor="text1"/>
          <w:sz w:val="16"/>
          <w:szCs w:val="16"/>
        </w:rPr>
        <w:softHyphen/>
        <w:t>ми по потоку воздушными заслон</w:t>
      </w:r>
      <w:r w:rsidRPr="00722885">
        <w:rPr>
          <w:rFonts w:ascii="Times New Roman" w:hAnsi="Times New Roman"/>
          <w:color w:val="000000" w:themeColor="text1"/>
          <w:sz w:val="16"/>
          <w:szCs w:val="16"/>
        </w:rPr>
        <w:softHyphen/>
        <w:t>ками и заслонками маслорадиатора);</w:t>
      </w:r>
    </w:p>
    <w:p w14:paraId="00A9992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падение мощности мотора.</w:t>
      </w:r>
    </w:p>
    <w:p w14:paraId="0565236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Зависимость максимальной ско</w:t>
      </w:r>
      <w:r w:rsidRPr="00722885">
        <w:rPr>
          <w:rFonts w:ascii="Times New Roman" w:hAnsi="Times New Roman"/>
          <w:color w:val="000000" w:themeColor="text1"/>
          <w:sz w:val="16"/>
          <w:szCs w:val="16"/>
        </w:rPr>
        <w:softHyphen/>
        <w:t>рости полета от положения колпа</w:t>
      </w:r>
      <w:r w:rsidRPr="00722885">
        <w:rPr>
          <w:rFonts w:ascii="Times New Roman" w:hAnsi="Times New Roman"/>
          <w:color w:val="000000" w:themeColor="text1"/>
          <w:sz w:val="16"/>
          <w:szCs w:val="16"/>
        </w:rPr>
        <w:softHyphen/>
        <w:t>ка и воздушных заслонок — извес</w:t>
      </w:r>
      <w:r w:rsidRPr="00722885">
        <w:rPr>
          <w:rFonts w:ascii="Times New Roman" w:hAnsi="Times New Roman"/>
          <w:color w:val="000000" w:themeColor="text1"/>
          <w:sz w:val="16"/>
          <w:szCs w:val="16"/>
        </w:rPr>
        <w:softHyphen/>
        <w:t>тна и не требует дополнительных испытаний или каких-либо конструк</w:t>
      </w:r>
      <w:r w:rsidRPr="00722885">
        <w:rPr>
          <w:rFonts w:ascii="Times New Roman" w:hAnsi="Times New Roman"/>
          <w:color w:val="000000" w:themeColor="text1"/>
          <w:sz w:val="16"/>
          <w:szCs w:val="16"/>
        </w:rPr>
        <w:softHyphen/>
        <w:t>тивных переделок на самолете.</w:t>
      </w:r>
    </w:p>
    <w:p w14:paraId="140C86D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Падение мощности мотора - яв</w:t>
      </w:r>
      <w:r w:rsidRPr="00722885">
        <w:rPr>
          <w:rFonts w:ascii="Times New Roman" w:hAnsi="Times New Roman"/>
          <w:color w:val="000000" w:themeColor="text1"/>
          <w:sz w:val="16"/>
          <w:szCs w:val="16"/>
        </w:rPr>
        <w:softHyphen/>
        <w:t>ление более трудно уловимое в ус</w:t>
      </w:r>
      <w:r w:rsidRPr="00722885">
        <w:rPr>
          <w:rFonts w:ascii="Times New Roman" w:hAnsi="Times New Roman"/>
          <w:color w:val="000000" w:themeColor="text1"/>
          <w:sz w:val="16"/>
          <w:szCs w:val="16"/>
        </w:rPr>
        <w:softHyphen/>
        <w:t>ловиях строевой части, так как при</w:t>
      </w:r>
      <w:r w:rsidRPr="00722885">
        <w:rPr>
          <w:rFonts w:ascii="Times New Roman" w:hAnsi="Times New Roman"/>
          <w:color w:val="000000" w:themeColor="text1"/>
          <w:sz w:val="16"/>
          <w:szCs w:val="16"/>
        </w:rPr>
        <w:softHyphen/>
        <w:t>боров, непосредственно замеряющих мощность мотора на самолете нет, однако уменьшение скорости по</w:t>
      </w:r>
      <w:r w:rsidRPr="00722885">
        <w:rPr>
          <w:rFonts w:ascii="Times New Roman" w:hAnsi="Times New Roman"/>
          <w:color w:val="000000" w:themeColor="text1"/>
          <w:sz w:val="16"/>
          <w:szCs w:val="16"/>
        </w:rPr>
        <w:softHyphen/>
        <w:t>лета при прочих равных условиях несомненно указывает на уменьше</w:t>
      </w:r>
      <w:r w:rsidRPr="00722885">
        <w:rPr>
          <w:rFonts w:ascii="Times New Roman" w:hAnsi="Times New Roman"/>
          <w:color w:val="000000" w:themeColor="text1"/>
          <w:sz w:val="16"/>
          <w:szCs w:val="16"/>
        </w:rPr>
        <w:softHyphen/>
        <w:t>ние мощности мотора.</w:t>
      </w:r>
    </w:p>
    <w:p w14:paraId="3F9D58E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мотора М-82 падение мощно</w:t>
      </w:r>
      <w:r w:rsidRPr="00722885">
        <w:rPr>
          <w:rFonts w:ascii="Times New Roman" w:hAnsi="Times New Roman"/>
          <w:color w:val="000000" w:themeColor="text1"/>
          <w:sz w:val="16"/>
          <w:szCs w:val="16"/>
        </w:rPr>
        <w:softHyphen/>
        <w:t>сти в полете на 2-й скорости на</w:t>
      </w:r>
      <w:r w:rsidRPr="00722885">
        <w:rPr>
          <w:rFonts w:ascii="Times New Roman" w:hAnsi="Times New Roman"/>
          <w:color w:val="000000" w:themeColor="text1"/>
          <w:sz w:val="16"/>
          <w:szCs w:val="16"/>
        </w:rPr>
        <w:softHyphen/>
        <w:t>гнетателя может быть, в основном, по следующим причинам:</w:t>
      </w:r>
    </w:p>
    <w:p w14:paraId="12676C7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неудовлетворительная работа карбюратора АК-82БП (чрезмерное обогащение или обеднение),</w:t>
      </w:r>
    </w:p>
    <w:p w14:paraId="24B9BEA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неудовлетворительная работа свечей ВГ-12 и магнето БСМ-14...</w:t>
      </w:r>
    </w:p>
    <w:p w14:paraId="04D4760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Испытаниями на станке и в по</w:t>
      </w:r>
      <w:r w:rsidRPr="00722885">
        <w:rPr>
          <w:rFonts w:ascii="Times New Roman" w:hAnsi="Times New Roman"/>
          <w:color w:val="000000" w:themeColor="text1"/>
          <w:sz w:val="16"/>
          <w:szCs w:val="16"/>
        </w:rPr>
        <w:softHyphen/>
        <w:t>лете, которые проводились заводом №19, ЛИИ НКАП и НИИ ВВС КА установлено, что карбюраторы АК-82БП не сохраняют постоянной регулировки и в полете, при работе мотора на 2-й скорости нагнетате</w:t>
      </w:r>
      <w:r w:rsidRPr="00722885">
        <w:rPr>
          <w:rFonts w:ascii="Times New Roman" w:hAnsi="Times New Roman"/>
          <w:color w:val="000000" w:themeColor="text1"/>
          <w:sz w:val="16"/>
          <w:szCs w:val="16"/>
        </w:rPr>
        <w:softHyphen/>
        <w:t>ля, сильно обогащают состав смеси. К тому же, мотор М-82 допуска</w:t>
      </w:r>
      <w:r w:rsidRPr="00722885">
        <w:rPr>
          <w:rFonts w:ascii="Times New Roman" w:hAnsi="Times New Roman"/>
          <w:color w:val="000000" w:themeColor="text1"/>
          <w:sz w:val="16"/>
          <w:szCs w:val="16"/>
        </w:rPr>
        <w:softHyphen/>
        <w:t>ет изменение состава смеси в ши</w:t>
      </w:r>
      <w:r w:rsidRPr="00722885">
        <w:rPr>
          <w:rFonts w:ascii="Times New Roman" w:hAnsi="Times New Roman"/>
          <w:color w:val="000000" w:themeColor="text1"/>
          <w:sz w:val="16"/>
          <w:szCs w:val="16"/>
        </w:rPr>
        <w:softHyphen/>
        <w:t>роких пределах без резкого ухуд</w:t>
      </w:r>
      <w:r w:rsidRPr="00722885">
        <w:rPr>
          <w:rFonts w:ascii="Times New Roman" w:hAnsi="Times New Roman"/>
          <w:color w:val="000000" w:themeColor="text1"/>
          <w:sz w:val="16"/>
          <w:szCs w:val="16"/>
        </w:rPr>
        <w:softHyphen/>
        <w:t>шения характера его работы. Мощ</w:t>
      </w:r>
      <w:r w:rsidRPr="00722885">
        <w:rPr>
          <w:rFonts w:ascii="Times New Roman" w:hAnsi="Times New Roman"/>
          <w:color w:val="000000" w:themeColor="text1"/>
          <w:sz w:val="16"/>
          <w:szCs w:val="16"/>
        </w:rPr>
        <w:softHyphen/>
        <w:t>ность мотора при этом изменяется в пределах до 17,5%...Летными испытаниями самолетов с моторами М-82 (Ла-5, Ту-2, ДБ-3Ф), проведенными в 1942 году, подтвер</w:t>
      </w:r>
      <w:r w:rsidRPr="00722885">
        <w:rPr>
          <w:rFonts w:ascii="Times New Roman" w:hAnsi="Times New Roman"/>
          <w:color w:val="000000" w:themeColor="text1"/>
          <w:sz w:val="16"/>
          <w:szCs w:val="16"/>
        </w:rPr>
        <w:softHyphen/>
        <w:t>ждается тот факт, что при удовлет</w:t>
      </w:r>
      <w:r w:rsidRPr="00722885">
        <w:rPr>
          <w:rFonts w:ascii="Times New Roman" w:hAnsi="Times New Roman"/>
          <w:color w:val="000000" w:themeColor="text1"/>
          <w:sz w:val="16"/>
          <w:szCs w:val="16"/>
        </w:rPr>
        <w:softHyphen/>
        <w:t>ворительной работе мотора на 2-й скорости нагнетателя изменение максимальной скорости полета са</w:t>
      </w:r>
      <w:r w:rsidRPr="00722885">
        <w:rPr>
          <w:rFonts w:ascii="Times New Roman" w:hAnsi="Times New Roman"/>
          <w:color w:val="000000" w:themeColor="text1"/>
          <w:sz w:val="16"/>
          <w:szCs w:val="16"/>
        </w:rPr>
        <w:softHyphen/>
        <w:t>молета по высоте протекает нор</w:t>
      </w:r>
      <w:r w:rsidRPr="00722885">
        <w:rPr>
          <w:rFonts w:ascii="Times New Roman" w:hAnsi="Times New Roman"/>
          <w:color w:val="000000" w:themeColor="text1"/>
          <w:sz w:val="16"/>
          <w:szCs w:val="16"/>
        </w:rPr>
        <w:softHyphen/>
        <w:t>мально (с-т Ла-5), при неудовлетво</w:t>
      </w:r>
      <w:r w:rsidRPr="00722885">
        <w:rPr>
          <w:rFonts w:ascii="Times New Roman" w:hAnsi="Times New Roman"/>
          <w:color w:val="000000" w:themeColor="text1"/>
          <w:sz w:val="16"/>
          <w:szCs w:val="16"/>
        </w:rPr>
        <w:softHyphen/>
        <w:t>рительной работе карбюратора или других агрегатов мотора, максималь</w:t>
      </w:r>
      <w:r w:rsidRPr="00722885">
        <w:rPr>
          <w:rFonts w:ascii="Times New Roman" w:hAnsi="Times New Roman"/>
          <w:color w:val="000000" w:themeColor="text1"/>
          <w:sz w:val="16"/>
          <w:szCs w:val="16"/>
        </w:rPr>
        <w:softHyphen/>
        <w:t>ная скорость полета по высоте из</w:t>
      </w:r>
      <w:r w:rsidRPr="00722885">
        <w:rPr>
          <w:rFonts w:ascii="Times New Roman" w:hAnsi="Times New Roman"/>
          <w:color w:val="000000" w:themeColor="text1"/>
          <w:sz w:val="16"/>
          <w:szCs w:val="16"/>
        </w:rPr>
        <w:softHyphen/>
        <w:t>меняется ненормально и наблюда</w:t>
      </w:r>
      <w:r w:rsidRPr="00722885">
        <w:rPr>
          <w:rFonts w:ascii="Times New Roman" w:hAnsi="Times New Roman"/>
          <w:color w:val="000000" w:themeColor="text1"/>
          <w:sz w:val="16"/>
          <w:szCs w:val="16"/>
        </w:rPr>
        <w:softHyphen/>
        <w:t>ется значительный разброс точек (с-ты Ту-2 и ДБ-3Ф)...» Приведенные в докладе результа</w:t>
      </w:r>
      <w:r w:rsidRPr="00722885">
        <w:rPr>
          <w:rFonts w:ascii="Times New Roman" w:hAnsi="Times New Roman"/>
          <w:color w:val="000000" w:themeColor="text1"/>
          <w:sz w:val="16"/>
          <w:szCs w:val="16"/>
        </w:rPr>
        <w:softHyphen/>
        <w:t>ты испытаний красноречиво подтвер</w:t>
      </w:r>
      <w:r w:rsidRPr="00722885">
        <w:rPr>
          <w:rFonts w:ascii="Times New Roman" w:hAnsi="Times New Roman"/>
          <w:color w:val="000000" w:themeColor="text1"/>
          <w:sz w:val="16"/>
          <w:szCs w:val="16"/>
        </w:rPr>
        <w:softHyphen/>
        <w:t>ждали данные утверждения (10705).</w:t>
      </w:r>
    </w:p>
    <w:p w14:paraId="65BF833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F1A9F8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позади о остался начальный период войны, оказавшийся временем тяжелейших испытаний не только для Красной Ар-мии, но и индустрии страны. Как отмечал один из руково-дителей авиапрома П.В. Де</w:t>
      </w:r>
      <w:r w:rsidRPr="00722885">
        <w:rPr>
          <w:rFonts w:ascii="Times New Roman" w:hAnsi="Times New Roman"/>
          <w:color w:val="000000" w:themeColor="text1"/>
          <w:sz w:val="16"/>
          <w:szCs w:val="16"/>
        </w:rPr>
        <w:softHyphen/>
        <w:t>ментьев (впоследствии ми</w:t>
      </w:r>
      <w:r w:rsidRPr="00722885">
        <w:rPr>
          <w:rFonts w:ascii="Times New Roman" w:hAnsi="Times New Roman"/>
          <w:color w:val="000000" w:themeColor="text1"/>
          <w:sz w:val="16"/>
          <w:szCs w:val="16"/>
        </w:rPr>
        <w:softHyphen/>
        <w:t xml:space="preserve">нистр): </w:t>
      </w:r>
      <w:r w:rsidRPr="00722885">
        <w:rPr>
          <w:rFonts w:ascii="Times New Roman" w:hAnsi="Times New Roman"/>
          <w:iCs/>
          <w:color w:val="000000" w:themeColor="text1"/>
          <w:sz w:val="16"/>
          <w:szCs w:val="16"/>
        </w:rPr>
        <w:t>«Авиационная про</w:t>
      </w:r>
      <w:r w:rsidRPr="00722885">
        <w:rPr>
          <w:rFonts w:ascii="Times New Roman" w:hAnsi="Times New Roman"/>
          <w:iCs/>
          <w:color w:val="000000" w:themeColor="text1"/>
          <w:sz w:val="16"/>
          <w:szCs w:val="16"/>
        </w:rPr>
        <w:softHyphen/>
        <w:t>мышленность претерпела колоссальную ломку. Мы, по существу, были в таком по</w:t>
      </w:r>
      <w:r w:rsidRPr="00722885">
        <w:rPr>
          <w:rFonts w:ascii="Times New Roman" w:hAnsi="Times New Roman"/>
          <w:iCs/>
          <w:color w:val="000000" w:themeColor="text1"/>
          <w:sz w:val="16"/>
          <w:szCs w:val="16"/>
        </w:rPr>
        <w:softHyphen/>
        <w:t xml:space="preserve">ложении, когда вынуждены были снова формировать и снова создавать заводы». </w:t>
      </w:r>
      <w:r w:rsidRPr="00722885">
        <w:rPr>
          <w:rFonts w:ascii="Times New Roman" w:hAnsi="Times New Roman"/>
          <w:color w:val="000000" w:themeColor="text1"/>
          <w:sz w:val="16"/>
          <w:szCs w:val="16"/>
        </w:rPr>
        <w:t>Ценой неимоверных усилий удалось практически пол</w:t>
      </w:r>
      <w:r w:rsidRPr="00722885">
        <w:rPr>
          <w:rFonts w:ascii="Times New Roman" w:hAnsi="Times New Roman"/>
          <w:color w:val="000000" w:themeColor="text1"/>
          <w:sz w:val="16"/>
          <w:szCs w:val="16"/>
        </w:rPr>
        <w:softHyphen/>
        <w:t>ностью восстановить произ</w:t>
      </w:r>
      <w:r w:rsidRPr="00722885">
        <w:rPr>
          <w:rFonts w:ascii="Times New Roman" w:hAnsi="Times New Roman"/>
          <w:color w:val="000000" w:themeColor="text1"/>
          <w:sz w:val="16"/>
          <w:szCs w:val="16"/>
        </w:rPr>
        <w:softHyphen/>
        <w:t>водственные показатели авиапрома и приступить к наращиванию выпуска само</w:t>
      </w:r>
      <w:r w:rsidRPr="00722885">
        <w:rPr>
          <w:rFonts w:ascii="Times New Roman" w:hAnsi="Times New Roman"/>
          <w:color w:val="000000" w:themeColor="text1"/>
          <w:sz w:val="16"/>
          <w:szCs w:val="16"/>
        </w:rPr>
        <w:softHyphen/>
        <w:t>летов. В новых условиях у конструкторов поя</w:t>
      </w:r>
      <w:r w:rsidRPr="00722885">
        <w:rPr>
          <w:rFonts w:ascii="Times New Roman" w:hAnsi="Times New Roman"/>
          <w:color w:val="000000" w:themeColor="text1"/>
          <w:sz w:val="16"/>
          <w:szCs w:val="16"/>
        </w:rPr>
        <w:softHyphen/>
        <w:t>вилась возможность проводить опреде</w:t>
      </w:r>
      <w:r w:rsidRPr="00722885">
        <w:rPr>
          <w:rFonts w:ascii="Times New Roman" w:hAnsi="Times New Roman"/>
          <w:color w:val="000000" w:themeColor="text1"/>
          <w:sz w:val="16"/>
          <w:szCs w:val="16"/>
        </w:rPr>
        <w:softHyphen/>
        <w:t>ленную специализацию истребителей в расчете на крупносерийный их выпуск. Од</w:t>
      </w:r>
      <w:r w:rsidRPr="00722885">
        <w:rPr>
          <w:rFonts w:ascii="Times New Roman" w:hAnsi="Times New Roman"/>
          <w:color w:val="000000" w:themeColor="text1"/>
          <w:sz w:val="16"/>
          <w:szCs w:val="16"/>
        </w:rPr>
        <w:softHyphen/>
        <w:t>ним из направлений такой специализации стало создание машин с мощным пушеч</w:t>
      </w:r>
      <w:r w:rsidRPr="00722885">
        <w:rPr>
          <w:rFonts w:ascii="Times New Roman" w:hAnsi="Times New Roman"/>
          <w:color w:val="000000" w:themeColor="text1"/>
          <w:sz w:val="16"/>
          <w:szCs w:val="16"/>
        </w:rPr>
        <w:softHyphen/>
        <w:t>ным вооружением, предназначенных в первую очередь для борьбы с ударными самолетами противника и атак наземных целей. В 1942 г. в СССР как раз началось производство одной из лучших авиацион</w:t>
      </w:r>
      <w:r w:rsidRPr="00722885">
        <w:rPr>
          <w:rFonts w:ascii="Times New Roman" w:hAnsi="Times New Roman"/>
          <w:color w:val="000000" w:themeColor="text1"/>
          <w:sz w:val="16"/>
          <w:szCs w:val="16"/>
        </w:rPr>
        <w:softHyphen/>
        <w:t>ных пушек НС-37 калибром 37 мм, создан</w:t>
      </w:r>
      <w:r w:rsidRPr="00722885">
        <w:rPr>
          <w:rFonts w:ascii="Times New Roman" w:hAnsi="Times New Roman"/>
          <w:color w:val="000000" w:themeColor="text1"/>
          <w:sz w:val="16"/>
          <w:szCs w:val="16"/>
        </w:rPr>
        <w:softHyphen/>
        <w:t>ной под руководством А.Э. Нудельмана и А.С. Суранова. Она позволяла значитель</w:t>
      </w:r>
      <w:r w:rsidRPr="00722885">
        <w:rPr>
          <w:rFonts w:ascii="Times New Roman" w:hAnsi="Times New Roman"/>
          <w:color w:val="000000" w:themeColor="text1"/>
          <w:sz w:val="16"/>
          <w:szCs w:val="16"/>
        </w:rPr>
        <w:softHyphen/>
        <w:t>но увеличить огневую мощь истребителя. Як-9 с пушкой НС-37 получил обозна</w:t>
      </w:r>
      <w:r w:rsidRPr="00722885">
        <w:rPr>
          <w:rFonts w:ascii="Times New Roman" w:hAnsi="Times New Roman"/>
          <w:color w:val="000000" w:themeColor="text1"/>
          <w:sz w:val="16"/>
          <w:szCs w:val="16"/>
        </w:rPr>
        <w:softHyphen/>
        <w:t>чение Як-9Т. Его проектирование началось в конце 1942 г., а уже в январе 1943 г. ист</w:t>
      </w:r>
      <w:r w:rsidRPr="00722885">
        <w:rPr>
          <w:rFonts w:ascii="Times New Roman" w:hAnsi="Times New Roman"/>
          <w:color w:val="000000" w:themeColor="text1"/>
          <w:sz w:val="16"/>
          <w:szCs w:val="16"/>
        </w:rPr>
        <w:softHyphen/>
        <w:t>ребитель вышел на испытания. Столь ма</w:t>
      </w:r>
      <w:r w:rsidRPr="00722885">
        <w:rPr>
          <w:rFonts w:ascii="Times New Roman" w:hAnsi="Times New Roman"/>
          <w:color w:val="000000" w:themeColor="text1"/>
          <w:sz w:val="16"/>
          <w:szCs w:val="16"/>
        </w:rPr>
        <w:softHyphen/>
        <w:t>лый срок объясняется тем, что при созда</w:t>
      </w:r>
      <w:r w:rsidRPr="00722885">
        <w:rPr>
          <w:rFonts w:ascii="Times New Roman" w:hAnsi="Times New Roman"/>
          <w:color w:val="000000" w:themeColor="text1"/>
          <w:sz w:val="16"/>
          <w:szCs w:val="16"/>
        </w:rPr>
        <w:softHyphen/>
        <w:t>нии самолета максимально использовался задел, полученный ранее при работе над Як-7-37 с пушкой такого же калибра. НС-37, как и пушка ШВАК на Як-9, разме</w:t>
      </w:r>
      <w:r w:rsidRPr="00722885">
        <w:rPr>
          <w:rFonts w:ascii="Times New Roman" w:hAnsi="Times New Roman"/>
          <w:color w:val="000000" w:themeColor="text1"/>
          <w:sz w:val="16"/>
          <w:szCs w:val="16"/>
        </w:rPr>
        <w:softHyphen/>
        <w:t>щалась в развале блока цилиндров мотора М-105ПФ. Из-за большей длины орудия кабину летчика сдвинули назад на 0,4 м (как это было сделано на Як-7-37) и прове</w:t>
      </w:r>
      <w:r w:rsidRPr="00722885">
        <w:rPr>
          <w:rFonts w:ascii="Times New Roman" w:hAnsi="Times New Roman"/>
          <w:color w:val="000000" w:themeColor="text1"/>
          <w:sz w:val="16"/>
          <w:szCs w:val="16"/>
        </w:rPr>
        <w:softHyphen/>
        <w:t>ли необходимые усиления конструкции и агрегатов, поскольку сильная отдача при стрельбе (около 5500 кгс) могла привести к по</w:t>
      </w:r>
      <w:r w:rsidRPr="00722885">
        <w:rPr>
          <w:rFonts w:ascii="Times New Roman" w:hAnsi="Times New Roman"/>
          <w:color w:val="000000" w:themeColor="text1"/>
          <w:sz w:val="16"/>
          <w:szCs w:val="16"/>
        </w:rPr>
        <w:softHyphen/>
        <w:t>явлению в них трещин. Боезапас состоял из 30-32 снарядов для НС-37 и 200-220 патронов для синхронного пулемета УБ. Прицеливание при стрельбе по воздушным целям осущест</w:t>
      </w:r>
      <w:r w:rsidRPr="00722885">
        <w:rPr>
          <w:rFonts w:ascii="Times New Roman" w:hAnsi="Times New Roman"/>
          <w:color w:val="000000" w:themeColor="text1"/>
          <w:sz w:val="16"/>
          <w:szCs w:val="16"/>
        </w:rPr>
        <w:softHyphen/>
        <w:t>влялось с помощью традиционного кольцевого прицела. Управление огнем пушки и пулемета было раздельным, от размещаемых на ручке управления самолетом кнопок электропнев-моспуска. После всесторонних испытаний Як-9Т с марта 1943 г. начали выпускать на заводе №153 и до июня 1945 г. построили 2748 машин (10712).</w:t>
      </w:r>
    </w:p>
    <w:p w14:paraId="3B68407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97CDC8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в Горьком стали выпускать Ла-5 с существенно доработанной носовой частью: наконец-то исчезла двойная об</w:t>
      </w:r>
      <w:r w:rsidRPr="00722885">
        <w:rPr>
          <w:rFonts w:ascii="Times New Roman" w:hAnsi="Times New Roman"/>
          <w:color w:val="000000" w:themeColor="text1"/>
          <w:sz w:val="16"/>
          <w:szCs w:val="16"/>
        </w:rPr>
        <w:softHyphen/>
        <w:t>шивка, фюзеляж стал легче, снизилась трудоемкость. К тому вре</w:t>
      </w:r>
      <w:r w:rsidRPr="00722885">
        <w:rPr>
          <w:rFonts w:ascii="Times New Roman" w:hAnsi="Times New Roman"/>
          <w:color w:val="000000" w:themeColor="text1"/>
          <w:sz w:val="16"/>
          <w:szCs w:val="16"/>
        </w:rPr>
        <w:softHyphen/>
        <w:t>мени на задней раме сдвижной части фонаря по рекомендации ЦАГИ поставили стекатель, сгладив ступеньку между кабиной и гаргротом. Изменили и кинематику хвостовой опоры, теперь ее ко</w:t>
      </w:r>
      <w:r w:rsidRPr="00722885">
        <w:rPr>
          <w:rFonts w:ascii="Times New Roman" w:hAnsi="Times New Roman"/>
          <w:color w:val="000000" w:themeColor="text1"/>
          <w:sz w:val="16"/>
          <w:szCs w:val="16"/>
        </w:rPr>
        <w:softHyphen/>
        <w:t>лесо подтягивалось выше, а створки не выступали за обвод хвосто</w:t>
      </w:r>
      <w:r w:rsidRPr="00722885">
        <w:rPr>
          <w:rFonts w:ascii="Times New Roman" w:hAnsi="Times New Roman"/>
          <w:color w:val="000000" w:themeColor="text1"/>
          <w:sz w:val="16"/>
          <w:szCs w:val="16"/>
        </w:rPr>
        <w:softHyphen/>
        <w:t>вой части (11123).</w:t>
      </w:r>
    </w:p>
    <w:p w14:paraId="3625311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BD7FC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1942 г. И-153 начали снимать с вооружения частей действующей армии и передавать в летные училища и тыловые тренировочные подразделе</w:t>
      </w:r>
      <w:r w:rsidRPr="00722885">
        <w:rPr>
          <w:rFonts w:ascii="Times New Roman" w:hAnsi="Times New Roman"/>
          <w:color w:val="000000" w:themeColor="text1"/>
          <w:sz w:val="16"/>
          <w:szCs w:val="16"/>
        </w:rPr>
        <w:softHyphen/>
        <w:t>ния, где они эксплуатировались до 1945 г. (10667).</w:t>
      </w:r>
    </w:p>
    <w:p w14:paraId="3803100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88A42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конца 1942 г. И-15бис находились в действующей армии, затем их стали передавать в учебные подразделе</w:t>
      </w:r>
      <w:r w:rsidRPr="00722885">
        <w:rPr>
          <w:rFonts w:ascii="Times New Roman" w:hAnsi="Times New Roman"/>
          <w:color w:val="000000" w:themeColor="text1"/>
          <w:sz w:val="16"/>
          <w:szCs w:val="16"/>
        </w:rPr>
        <w:softHyphen/>
        <w:t>ния. На Дальнем Востоке эти машины оставались на во</w:t>
      </w:r>
      <w:r w:rsidRPr="00722885">
        <w:rPr>
          <w:rFonts w:ascii="Times New Roman" w:hAnsi="Times New Roman"/>
          <w:color w:val="000000" w:themeColor="text1"/>
          <w:sz w:val="16"/>
          <w:szCs w:val="16"/>
        </w:rPr>
        <w:softHyphen/>
        <w:t>оружении до 1944 г. (10667).</w:t>
      </w:r>
    </w:p>
    <w:p w14:paraId="1B21E77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EB9CB1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ЦКБ-29 было расформировано (61,163) и в 1943 КБ А.Н.Т. вернулось в Москву в КОСОС.</w:t>
      </w:r>
    </w:p>
    <w:p w14:paraId="38B061A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года завод № 47 получает задание по конструированию и изготовлению двух опытных экземпляров самолетов ЯК-6 (на заводе находилась группа конструктора Яковлева).</w:t>
      </w:r>
    </w:p>
    <w:p w14:paraId="619E538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в течение двух месяцев изготавливает эти самолеты и в то же время переходит к серийному выпуску самолета УТ-2МВ. С сентября 1942 года самолет УТ-2МВ с производства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11F63290" w14:textId="77777777" w:rsidR="00BB6316" w:rsidRPr="00722885" w:rsidRDefault="00BB6316" w:rsidP="00722885">
      <w:pPr>
        <w:pStyle w:val="Iauiue"/>
        <w:numPr>
          <w:ilvl w:val="0"/>
          <w:numId w:val="27"/>
        </w:numPr>
        <w:tabs>
          <w:tab w:val="left" w:pos="360"/>
        </w:tabs>
        <w:ind w:left="0" w:firstLine="0"/>
        <w:jc w:val="both"/>
        <w:rPr>
          <w:color w:val="000000" w:themeColor="text1"/>
          <w:sz w:val="16"/>
          <w:szCs w:val="16"/>
        </w:rPr>
      </w:pPr>
      <w:r w:rsidRPr="00722885">
        <w:rPr>
          <w:color w:val="000000" w:themeColor="text1"/>
          <w:sz w:val="16"/>
          <w:szCs w:val="16"/>
        </w:rPr>
        <w:t>С/х</w:t>
      </w:r>
    </w:p>
    <w:p w14:paraId="2CFE88B8" w14:textId="77777777" w:rsidR="00BB6316" w:rsidRPr="00722885" w:rsidRDefault="00BB6316" w:rsidP="00722885">
      <w:pPr>
        <w:pStyle w:val="Iauiue"/>
        <w:numPr>
          <w:ilvl w:val="0"/>
          <w:numId w:val="28"/>
        </w:numPr>
        <w:tabs>
          <w:tab w:val="left" w:pos="360"/>
        </w:tabs>
        <w:ind w:left="0" w:firstLine="0"/>
        <w:jc w:val="both"/>
        <w:rPr>
          <w:color w:val="000000" w:themeColor="text1"/>
          <w:sz w:val="16"/>
          <w:szCs w:val="16"/>
        </w:rPr>
      </w:pPr>
      <w:r w:rsidRPr="00722885">
        <w:rPr>
          <w:color w:val="000000" w:themeColor="text1"/>
          <w:sz w:val="16"/>
          <w:szCs w:val="16"/>
        </w:rPr>
        <w:t>Дизельный (с двумя дизельмоторами)</w:t>
      </w:r>
    </w:p>
    <w:p w14:paraId="3BCFBC7B" w14:textId="77777777" w:rsidR="00BB6316" w:rsidRPr="00722885" w:rsidRDefault="00BB6316" w:rsidP="00722885">
      <w:pPr>
        <w:pStyle w:val="Iauiue"/>
        <w:numPr>
          <w:ilvl w:val="0"/>
          <w:numId w:val="29"/>
        </w:numPr>
        <w:tabs>
          <w:tab w:val="left" w:pos="360"/>
        </w:tabs>
        <w:ind w:left="0" w:firstLine="0"/>
        <w:jc w:val="both"/>
        <w:rPr>
          <w:color w:val="000000" w:themeColor="text1"/>
          <w:sz w:val="16"/>
          <w:szCs w:val="16"/>
        </w:rPr>
      </w:pPr>
      <w:r w:rsidRPr="00722885">
        <w:rPr>
          <w:color w:val="000000" w:themeColor="text1"/>
          <w:sz w:val="16"/>
          <w:szCs w:val="16"/>
        </w:rPr>
        <w:t>Модернизированный</w:t>
      </w:r>
    </w:p>
    <w:p w14:paraId="2B7E9905" w14:textId="77777777" w:rsidR="00BB6316" w:rsidRPr="00722885" w:rsidRDefault="00BB6316" w:rsidP="00722885">
      <w:pPr>
        <w:pStyle w:val="Iauiue"/>
        <w:numPr>
          <w:ilvl w:val="0"/>
          <w:numId w:val="30"/>
        </w:numPr>
        <w:tabs>
          <w:tab w:val="left" w:pos="360"/>
        </w:tabs>
        <w:ind w:left="0" w:firstLine="0"/>
        <w:jc w:val="both"/>
        <w:rPr>
          <w:color w:val="000000" w:themeColor="text1"/>
          <w:sz w:val="16"/>
          <w:szCs w:val="16"/>
        </w:rPr>
      </w:pPr>
      <w:r w:rsidRPr="00722885">
        <w:rPr>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32C1229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3658E98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0C039E6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01DFF43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И.о. директора – Шевченко А.М.</w:t>
      </w:r>
    </w:p>
    <w:p w14:paraId="07A98B7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Адрес: Оренбург, п/я 936</w:t>
      </w:r>
    </w:p>
    <w:p w14:paraId="0E57729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Производственный профиль – реактивная техника</w:t>
      </w:r>
    </w:p>
    <w:p w14:paraId="4BD454C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2BC534E4" w14:textId="77777777" w:rsidR="00BB6316" w:rsidRPr="00722885" w:rsidRDefault="00BB6316" w:rsidP="00722885">
      <w:pPr>
        <w:pStyle w:val="Iauiue"/>
        <w:jc w:val="both"/>
        <w:rPr>
          <w:color w:val="000000" w:themeColor="text1"/>
          <w:sz w:val="16"/>
          <w:szCs w:val="16"/>
        </w:rPr>
      </w:pPr>
    </w:p>
    <w:p w14:paraId="478AE1D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Г.М.Б. вернулся к проекту МДР-10. Война показала необходимость тяжелых гидросамолетов и Каталин не хватало. Предложение Г.М.Б. поддрежал командующий ВВС ВМФ С.Ф.Жаворонков и НК ВМФ Н.Г.Кузнецов, которые направили в НКАП соответствующую докладную записку (3939,4).</w:t>
      </w:r>
    </w:p>
    <w:p w14:paraId="36072590" w14:textId="77777777" w:rsidR="00BB6316" w:rsidRPr="00722885" w:rsidRDefault="00BB6316" w:rsidP="00722885">
      <w:pPr>
        <w:pStyle w:val="Iauiue"/>
        <w:jc w:val="both"/>
        <w:rPr>
          <w:color w:val="000000" w:themeColor="text1"/>
          <w:sz w:val="16"/>
          <w:szCs w:val="16"/>
        </w:rPr>
      </w:pPr>
    </w:p>
    <w:p w14:paraId="4B38D61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Г.М.Б. направил докладную записку А.И.Ш. по поводу разработки новой лл и получил разрешение (2555,244).</w:t>
      </w:r>
    </w:p>
    <w:p w14:paraId="5E79DC7D" w14:textId="77777777" w:rsidR="00BB6316" w:rsidRPr="00722885" w:rsidRDefault="00BB6316" w:rsidP="00722885">
      <w:pPr>
        <w:pStyle w:val="Iauiue"/>
        <w:jc w:val="both"/>
        <w:rPr>
          <w:color w:val="000000" w:themeColor="text1"/>
          <w:sz w:val="16"/>
          <w:szCs w:val="16"/>
        </w:rPr>
      </w:pPr>
    </w:p>
    <w:p w14:paraId="040C80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самолет ДВ СССР-Н234 прибыл в Красноярск на КАРЗ. 7 декабря инженер-пилот И.Ф.Коваленко, ст. инженер МАГОН П.В.Бубнов и ст. технолог ЦАРБ Лахов соста</w:t>
      </w:r>
      <w:r w:rsidRPr="00722885">
        <w:rPr>
          <w:rFonts w:ascii="Times New Roman" w:hAnsi="Times New Roman"/>
          <w:color w:val="000000" w:themeColor="text1"/>
          <w:sz w:val="16"/>
          <w:szCs w:val="16"/>
        </w:rPr>
        <w:softHyphen/>
        <w:t>вили акт, согласно которому машина налетала за время эксплуатации 2020 ч., имела 2 сред</w:t>
      </w:r>
      <w:r w:rsidRPr="00722885">
        <w:rPr>
          <w:rFonts w:ascii="Times New Roman" w:hAnsi="Times New Roman"/>
          <w:color w:val="000000" w:themeColor="text1"/>
          <w:sz w:val="16"/>
          <w:szCs w:val="16"/>
        </w:rPr>
        <w:softHyphen/>
        <w:t>них и 4 капитальных ремонта. По техническо</w:t>
      </w:r>
      <w:r w:rsidRPr="00722885">
        <w:rPr>
          <w:rFonts w:ascii="Times New Roman" w:hAnsi="Times New Roman"/>
          <w:color w:val="000000" w:themeColor="text1"/>
          <w:sz w:val="16"/>
          <w:szCs w:val="16"/>
        </w:rPr>
        <w:softHyphen/>
        <w:t>му состоянию пришла в ветхость из-за боль</w:t>
      </w:r>
      <w:r w:rsidRPr="00722885">
        <w:rPr>
          <w:rFonts w:ascii="Times New Roman" w:hAnsi="Times New Roman"/>
          <w:color w:val="000000" w:themeColor="text1"/>
          <w:sz w:val="16"/>
          <w:szCs w:val="16"/>
        </w:rPr>
        <w:softHyphen/>
        <w:t>шого срока эксплуатации (14 лет). С 1938 г. по 1942 г. ежегодно проходила заводской капре</w:t>
      </w:r>
      <w:r w:rsidRPr="00722885">
        <w:rPr>
          <w:rFonts w:ascii="Times New Roman" w:hAnsi="Times New Roman"/>
          <w:color w:val="000000" w:themeColor="text1"/>
          <w:sz w:val="16"/>
          <w:szCs w:val="16"/>
        </w:rPr>
        <w:softHyphen/>
        <w:t>монт. «Из-за них вес увеличился до 4650 кг. Полная нагрузка снизилась до 2350 кг, ком</w:t>
      </w:r>
      <w:r w:rsidRPr="00722885">
        <w:rPr>
          <w:rFonts w:ascii="Times New Roman" w:hAnsi="Times New Roman"/>
          <w:color w:val="000000" w:themeColor="text1"/>
          <w:sz w:val="16"/>
          <w:szCs w:val="16"/>
        </w:rPr>
        <w:softHyphen/>
        <w:t>мерческая -до 960 кг. Потолок уменьшилсядо 2000 метров. Гидро и аэродинамические свой</w:t>
      </w:r>
      <w:r w:rsidRPr="00722885">
        <w:rPr>
          <w:rFonts w:ascii="Times New Roman" w:hAnsi="Times New Roman"/>
          <w:color w:val="000000" w:themeColor="text1"/>
          <w:sz w:val="16"/>
          <w:szCs w:val="16"/>
        </w:rPr>
        <w:softHyphen/>
        <w:t>ства упали. Набор высоты при V пред.=125 км/ч. Пилотирование затруднено». Ремонт са</w:t>
      </w:r>
      <w:r w:rsidRPr="00722885">
        <w:rPr>
          <w:rFonts w:ascii="Times New Roman" w:hAnsi="Times New Roman"/>
          <w:color w:val="000000" w:themeColor="text1"/>
          <w:sz w:val="16"/>
          <w:szCs w:val="16"/>
        </w:rPr>
        <w:softHyphen/>
        <w:t>молета признали нерентабельным. Приказом по ГУСМП № Р-181 от 26.12.42 г. СССР-Н234 списали и исключили из списков самолетно- моторного парка УПА. [РГАЭ, 9570-2-267] (11977).</w:t>
      </w:r>
    </w:p>
    <w:p w14:paraId="6EB326D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9E562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выпуск планёров из Тюмени и Апапаевска перенесли в Заводоуковск (Тюменская область). Туда эвакуировали несколько небольших заводов и ОКБ-31 А.С. Москалёва. Их объединили, а Москалёва назначили одновременно директором и главным конструктором предприятия, которое стало изготовлять учебные планёры А-2бис (спроектированные тем же О.К. Антоновым) и подвесные десант</w:t>
      </w:r>
      <w:r w:rsidRPr="00722885">
        <w:rPr>
          <w:rFonts w:ascii="Times New Roman" w:hAnsi="Times New Roman"/>
          <w:color w:val="000000" w:themeColor="text1"/>
          <w:sz w:val="16"/>
          <w:szCs w:val="16"/>
        </w:rPr>
        <w:softHyphen/>
        <w:t>ные кабины к бомбардировщикам Ил-4. Завод № 499 размещался в постройках бывшей машинно-тракторной станции, а под столярный и сборочный цеха вы</w:t>
      </w:r>
      <w:r w:rsidRPr="00722885">
        <w:rPr>
          <w:rFonts w:ascii="Times New Roman" w:hAnsi="Times New Roman"/>
          <w:color w:val="000000" w:themeColor="text1"/>
          <w:sz w:val="16"/>
          <w:szCs w:val="16"/>
        </w:rPr>
        <w:softHyphen/>
        <w:t>делили амбары и паровую мельницу, находившиеся в 3 - 4 км от основной площадки. Там не было ни отопления, ни освещения. Кадровых рабочих на</w:t>
      </w:r>
      <w:r w:rsidRPr="00722885">
        <w:rPr>
          <w:rFonts w:ascii="Times New Roman" w:hAnsi="Times New Roman"/>
          <w:color w:val="000000" w:themeColor="text1"/>
          <w:sz w:val="16"/>
          <w:szCs w:val="16"/>
        </w:rPr>
        <w:softHyphen/>
        <w:t xml:space="preserve">считывались единицы, их заменили местные женщины и подростки, не имевшие какой-либо </w:t>
      </w:r>
      <w:r w:rsidRPr="00722885">
        <w:rPr>
          <w:rFonts w:ascii="Times New Roman" w:hAnsi="Times New Roman"/>
          <w:color w:val="000000" w:themeColor="text1"/>
          <w:sz w:val="16"/>
          <w:szCs w:val="16"/>
        </w:rPr>
        <w:lastRenderedPageBreak/>
        <w:t>профессиональ</w:t>
      </w:r>
      <w:r w:rsidRPr="00722885">
        <w:rPr>
          <w:rFonts w:ascii="Times New Roman" w:hAnsi="Times New Roman"/>
          <w:color w:val="000000" w:themeColor="text1"/>
          <w:sz w:val="16"/>
          <w:szCs w:val="16"/>
        </w:rPr>
        <w:softHyphen/>
        <w:t>ной подготовки. Весной 1943 г. предпри</w:t>
      </w:r>
      <w:r w:rsidRPr="00722885">
        <w:rPr>
          <w:rFonts w:ascii="Times New Roman" w:hAnsi="Times New Roman"/>
          <w:color w:val="000000" w:themeColor="text1"/>
          <w:sz w:val="16"/>
          <w:szCs w:val="16"/>
        </w:rPr>
        <w:softHyphen/>
        <w:t>ятие сдало первые А-7; один из них на месте прошёл контрольные испытания, проводившиеся представителями Лёт но-испытательного отряда ВДВ.</w:t>
      </w:r>
    </w:p>
    <w:p w14:paraId="200F90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то же самое время Антонов стал ру</w:t>
      </w:r>
      <w:r w:rsidRPr="00722885">
        <w:rPr>
          <w:rFonts w:ascii="Times New Roman" w:hAnsi="Times New Roman"/>
          <w:color w:val="000000" w:themeColor="text1"/>
          <w:sz w:val="16"/>
          <w:szCs w:val="16"/>
        </w:rPr>
        <w:softHyphen/>
        <w:t>ководителем филиала конструкторско</w:t>
      </w:r>
      <w:r w:rsidRPr="00722885">
        <w:rPr>
          <w:rFonts w:ascii="Times New Roman" w:hAnsi="Times New Roman"/>
          <w:color w:val="000000" w:themeColor="text1"/>
          <w:sz w:val="16"/>
          <w:szCs w:val="16"/>
        </w:rPr>
        <w:softHyphen/>
        <w:t>го бюро А.С. Яковлева на авиационном заводе № 153 в Новосибирске. Даль</w:t>
      </w:r>
      <w:r w:rsidRPr="00722885">
        <w:rPr>
          <w:rFonts w:ascii="Times New Roman" w:hAnsi="Times New Roman"/>
          <w:color w:val="000000" w:themeColor="text1"/>
          <w:sz w:val="16"/>
          <w:szCs w:val="16"/>
        </w:rPr>
        <w:softHyphen/>
        <w:t>нейшее совершенствование своего де</w:t>
      </w:r>
      <w:r w:rsidRPr="00722885">
        <w:rPr>
          <w:rFonts w:ascii="Times New Roman" w:hAnsi="Times New Roman"/>
          <w:color w:val="000000" w:themeColor="text1"/>
          <w:sz w:val="16"/>
          <w:szCs w:val="16"/>
        </w:rPr>
        <w:softHyphen/>
        <w:t>тища он поручил Москалёву (12266).</w:t>
      </w:r>
    </w:p>
    <w:p w14:paraId="102A701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71B9CB1"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после прекращения выпуска Г-11, ОКБ гл. конструктора В.К. Грибовского при заводе № 471 НКАП было ликвидировано. Личный состав ОКБ-28 перевели в подчинение завода № 471, а Грибовский убыл в распоряжение НКАП. Затем часть коллектива ОКБ с техдокументацией переведена на вновь образованный завод № 463 в Рязань. По приказу № 730с от 4.12.1943 г. остатки ОКБ В.К. Грибовского переведены с завода № 471 на завод № 463 во вновь организованное КБ по десантным планерам. Грибовский назначен гл. конструктором завода № 463 (11982).</w:t>
      </w:r>
    </w:p>
    <w:p w14:paraId="095706D3" w14:textId="77777777" w:rsidR="00900959" w:rsidRPr="00722885" w:rsidRDefault="00900959" w:rsidP="00722885">
      <w:pPr>
        <w:spacing w:after="0" w:line="240" w:lineRule="auto"/>
        <w:jc w:val="both"/>
        <w:rPr>
          <w:rFonts w:ascii="Times New Roman" w:hAnsi="Times New Roman"/>
          <w:color w:val="000000" w:themeColor="text1"/>
          <w:sz w:val="16"/>
          <w:szCs w:val="16"/>
        </w:rPr>
      </w:pPr>
    </w:p>
    <w:p w14:paraId="6AAD7B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КБ в поселке Заводоуковск было дано задание на модернизацию планера А-7, для пере</w:t>
      </w:r>
      <w:r w:rsidRPr="00722885">
        <w:rPr>
          <w:rFonts w:ascii="Times New Roman" w:hAnsi="Times New Roman"/>
          <w:color w:val="000000" w:themeColor="text1"/>
          <w:sz w:val="16"/>
          <w:szCs w:val="16"/>
        </w:rPr>
        <w:softHyphen/>
        <w:t>возки 11 — 14 бойцов. По воспоминаниям А.С. Моска</w:t>
      </w:r>
      <w:r w:rsidRPr="00722885">
        <w:rPr>
          <w:rFonts w:ascii="Times New Roman" w:hAnsi="Times New Roman"/>
          <w:color w:val="000000" w:themeColor="text1"/>
          <w:sz w:val="16"/>
          <w:szCs w:val="16"/>
        </w:rPr>
        <w:softHyphen/>
        <w:t>лёва, к тому времени О.К. Антонов уже переезжал в КБ Яковлева, поэтому конструкторское сопровожде</w:t>
      </w:r>
      <w:r w:rsidRPr="00722885">
        <w:rPr>
          <w:rFonts w:ascii="Times New Roman" w:hAnsi="Times New Roman"/>
          <w:color w:val="000000" w:themeColor="text1"/>
          <w:sz w:val="16"/>
          <w:szCs w:val="16"/>
        </w:rPr>
        <w:softHyphen/>
        <w:t>ние вел Москалёв. Ввиду нового задания, Антонов на</w:t>
      </w:r>
      <w:r w:rsidRPr="00722885">
        <w:rPr>
          <w:rFonts w:ascii="Times New Roman" w:hAnsi="Times New Roman"/>
          <w:color w:val="000000" w:themeColor="text1"/>
          <w:sz w:val="16"/>
          <w:szCs w:val="16"/>
        </w:rPr>
        <w:softHyphen/>
        <w:t>писал ему (Москалёву) расписку, что разрешает про</w:t>
      </w:r>
      <w:r w:rsidRPr="00722885">
        <w:rPr>
          <w:rFonts w:ascii="Times New Roman" w:hAnsi="Times New Roman"/>
          <w:color w:val="000000" w:themeColor="text1"/>
          <w:sz w:val="16"/>
          <w:szCs w:val="16"/>
        </w:rPr>
        <w:softHyphen/>
        <w:t>водить с планером любые работы, правда, ограничив число десантников до 11. По-видимому, он боялся, что планер перетяжелят. Военные просили довести число десантников до 14.</w:t>
      </w:r>
    </w:p>
    <w:p w14:paraId="1C784A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Предварительные расчеты показывали, что вме</w:t>
      </w:r>
      <w:r w:rsidRPr="00722885">
        <w:rPr>
          <w:rFonts w:ascii="Times New Roman" w:hAnsi="Times New Roman"/>
          <w:color w:val="000000" w:themeColor="text1"/>
          <w:sz w:val="16"/>
          <w:szCs w:val="16"/>
        </w:rPr>
        <w:softHyphen/>
        <w:t>стимость планера при доработке можно довести до 12—14 человек, то есть больше, чем предполагал Антонов, и почти соответствовало требованиям во</w:t>
      </w:r>
      <w:r w:rsidRPr="00722885">
        <w:rPr>
          <w:rFonts w:ascii="Times New Roman" w:hAnsi="Times New Roman"/>
          <w:color w:val="000000" w:themeColor="text1"/>
          <w:sz w:val="16"/>
          <w:szCs w:val="16"/>
        </w:rPr>
        <w:softHyphen/>
        <w:t>енных. В короткий срок под руководством Москалёва разработали проект А-7М и построили его опытный образец. Площадь крыла увеличили на 5,3 м2, нарас</w:t>
      </w:r>
      <w:r w:rsidRPr="00722885">
        <w:rPr>
          <w:rFonts w:ascii="Times New Roman" w:hAnsi="Times New Roman"/>
          <w:color w:val="000000" w:themeColor="text1"/>
          <w:sz w:val="16"/>
          <w:szCs w:val="16"/>
        </w:rPr>
        <w:softHyphen/>
        <w:t>тив его хорду (в основном у корня) при неизменном размахе. На передней кромке смонтировали интер- цепторы. Щитки стали выпускаться винтовым меха</w:t>
      </w:r>
      <w:r w:rsidRPr="00722885">
        <w:rPr>
          <w:rFonts w:ascii="Times New Roman" w:hAnsi="Times New Roman"/>
          <w:color w:val="000000" w:themeColor="text1"/>
          <w:sz w:val="16"/>
          <w:szCs w:val="16"/>
        </w:rPr>
        <w:softHyphen/>
        <w:t>низмом, приводимым тросом от штурвала. Этим ре</w:t>
      </w:r>
      <w:r w:rsidRPr="00722885">
        <w:rPr>
          <w:rFonts w:ascii="Times New Roman" w:hAnsi="Times New Roman"/>
          <w:color w:val="000000" w:themeColor="text1"/>
          <w:sz w:val="16"/>
          <w:szCs w:val="16"/>
        </w:rPr>
        <w:softHyphen/>
        <w:t>шением устранили дефект, присущий планеру А-7. Дело в том, что у него (А-7) щитки убирались резко, с помощью резинового жгута. Это сопровождалось просадкой планера и резким хлопком.</w:t>
      </w:r>
    </w:p>
    <w:p w14:paraId="4DDE59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фюзеляжа возросла до 11,206 м. чтобы разместить в грузовой кабине значительно большее количество десантников, их усадили в затылок друг другу на две узкие (шириной 200 мм) продольные лавки. Нормальной нагрузкой считались 12 человек (по 6 на лавке), максимальной — 14; в последнем случае еще два бойца размещались на передней ча</w:t>
      </w:r>
      <w:r w:rsidRPr="00722885">
        <w:rPr>
          <w:rFonts w:ascii="Times New Roman" w:hAnsi="Times New Roman"/>
          <w:color w:val="000000" w:themeColor="text1"/>
          <w:sz w:val="16"/>
          <w:szCs w:val="16"/>
        </w:rPr>
        <w:softHyphen/>
        <w:t>сти правой, более длинной лавки, которая частично заходила в кабину пилота. Для этого место летчика сместили влево, как на учебном А-7У. При перевозке грузов лавки складывались на пол. Вход и выход осу</w:t>
      </w:r>
      <w:r w:rsidRPr="00722885">
        <w:rPr>
          <w:rFonts w:ascii="Times New Roman" w:hAnsi="Times New Roman"/>
          <w:color w:val="000000" w:themeColor="text1"/>
          <w:sz w:val="16"/>
          <w:szCs w:val="16"/>
        </w:rPr>
        <w:softHyphen/>
        <w:t>ществлялись, как на А-7, через двери спереди слева и сзади справа.</w:t>
      </w:r>
    </w:p>
    <w:p w14:paraId="662BF8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Значительно изменилось оперение. Горизонталь</w:t>
      </w:r>
      <w:r w:rsidRPr="00722885">
        <w:rPr>
          <w:rFonts w:ascii="Times New Roman" w:hAnsi="Times New Roman"/>
          <w:color w:val="000000" w:themeColor="text1"/>
          <w:sz w:val="16"/>
          <w:szCs w:val="16"/>
        </w:rPr>
        <w:softHyphen/>
        <w:t>ное оперение получило другую форму в плане и стало больше по площади. Киль и руль направления тоже переделали и увеличили. Переднюю кромку киля сде</w:t>
      </w:r>
      <w:r w:rsidRPr="00722885">
        <w:rPr>
          <w:rFonts w:ascii="Times New Roman" w:hAnsi="Times New Roman"/>
          <w:color w:val="000000" w:themeColor="text1"/>
          <w:sz w:val="16"/>
          <w:szCs w:val="16"/>
        </w:rPr>
        <w:softHyphen/>
        <w:t>лали выпуклой, руль направления лишился рогового компенсатора.</w:t>
      </w:r>
    </w:p>
    <w:p w14:paraId="3FF813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Шасси выполнили по образцу планера Г-11. Его снабдили увеличенными колесами размером 600 х 250 мм. От уборки шасси винтовым механизмом от</w:t>
      </w:r>
      <w:r w:rsidRPr="00722885">
        <w:rPr>
          <w:rFonts w:ascii="Times New Roman" w:hAnsi="Times New Roman"/>
          <w:color w:val="000000" w:themeColor="text1"/>
          <w:sz w:val="16"/>
          <w:szCs w:val="16"/>
        </w:rPr>
        <w:softHyphen/>
        <w:t>казались. Теперь, как у Г-11, пилот перед посадкой тросиком открывал замок заднего подкоса, при уда</w:t>
      </w:r>
      <w:r w:rsidRPr="00722885">
        <w:rPr>
          <w:rFonts w:ascii="Times New Roman" w:hAnsi="Times New Roman"/>
          <w:color w:val="000000" w:themeColor="text1"/>
          <w:sz w:val="16"/>
          <w:szCs w:val="16"/>
        </w:rPr>
        <w:softHyphen/>
        <w:t>ре колесами о землю подкос складывался, и планер приземлялся на лыжу.</w:t>
      </w:r>
    </w:p>
    <w:p w14:paraId="2B232C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Опытный образец А-7М прошел краткие завод</w:t>
      </w:r>
      <w:r w:rsidRPr="00722885">
        <w:rPr>
          <w:rFonts w:ascii="Times New Roman" w:hAnsi="Times New Roman"/>
          <w:color w:val="000000" w:themeColor="text1"/>
          <w:sz w:val="16"/>
          <w:szCs w:val="16"/>
        </w:rPr>
        <w:softHyphen/>
        <w:t>ские испытания, летал А.О. Добахов. В первых поле</w:t>
      </w:r>
      <w:r w:rsidRPr="00722885">
        <w:rPr>
          <w:rFonts w:ascii="Times New Roman" w:hAnsi="Times New Roman"/>
          <w:color w:val="000000" w:themeColor="text1"/>
          <w:sz w:val="16"/>
          <w:szCs w:val="16"/>
        </w:rPr>
        <w:softHyphen/>
        <w:t>тах планер продемонстрировал склонность к кабри</w:t>
      </w:r>
      <w:r w:rsidRPr="00722885">
        <w:rPr>
          <w:rFonts w:ascii="Times New Roman" w:hAnsi="Times New Roman"/>
          <w:color w:val="000000" w:themeColor="text1"/>
          <w:sz w:val="16"/>
          <w:szCs w:val="16"/>
        </w:rPr>
        <w:softHyphen/>
        <w:t>рованию. Пришлось изменить угол установки ста</w:t>
      </w:r>
      <w:r w:rsidRPr="00722885">
        <w:rPr>
          <w:rFonts w:ascii="Times New Roman" w:hAnsi="Times New Roman"/>
          <w:color w:val="000000" w:themeColor="text1"/>
          <w:sz w:val="16"/>
          <w:szCs w:val="16"/>
        </w:rPr>
        <w:softHyphen/>
        <w:t>билизатора. После этого кабрирование исчезло, но ухудшилась поперечная устойчивость. Это, а также отсутствие у планера грузового люка стало причиной отрицательной оценки (12300).</w:t>
      </w:r>
    </w:p>
    <w:p w14:paraId="7F7A52D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2C80B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производ</w:t>
      </w:r>
      <w:r w:rsidRPr="00722885">
        <w:rPr>
          <w:rFonts w:ascii="Times New Roman" w:hAnsi="Times New Roman"/>
          <w:color w:val="000000" w:themeColor="text1"/>
          <w:sz w:val="16"/>
          <w:szCs w:val="16"/>
        </w:rPr>
        <w:softHyphen/>
        <w:t>ство А-7 в Тюмени и Алапаев</w:t>
      </w:r>
      <w:r w:rsidRPr="00722885">
        <w:rPr>
          <w:rFonts w:ascii="Times New Roman" w:hAnsi="Times New Roman"/>
          <w:color w:val="000000" w:themeColor="text1"/>
          <w:sz w:val="16"/>
          <w:szCs w:val="16"/>
        </w:rPr>
        <w:softHyphen/>
        <w:t>ске прекратили. Можно пред</w:t>
      </w:r>
      <w:r w:rsidRPr="00722885">
        <w:rPr>
          <w:rFonts w:ascii="Times New Roman" w:hAnsi="Times New Roman"/>
          <w:color w:val="000000" w:themeColor="text1"/>
          <w:sz w:val="16"/>
          <w:szCs w:val="16"/>
        </w:rPr>
        <w:softHyphen/>
        <w:t>положить, что производствен</w:t>
      </w:r>
      <w:r w:rsidRPr="00722885">
        <w:rPr>
          <w:rFonts w:ascii="Times New Roman" w:hAnsi="Times New Roman"/>
          <w:color w:val="000000" w:themeColor="text1"/>
          <w:sz w:val="16"/>
          <w:szCs w:val="16"/>
        </w:rPr>
        <w:softHyphen/>
        <w:t>ные площади отдали другим эвакуированным предприяти</w:t>
      </w:r>
      <w:r w:rsidRPr="00722885">
        <w:rPr>
          <w:rFonts w:ascii="Times New Roman" w:hAnsi="Times New Roman"/>
          <w:color w:val="000000" w:themeColor="text1"/>
          <w:sz w:val="16"/>
          <w:szCs w:val="16"/>
        </w:rPr>
        <w:softHyphen/>
        <w:t>ям. А КБ О.К. Антонова с про</w:t>
      </w:r>
      <w:r w:rsidRPr="00722885">
        <w:rPr>
          <w:rFonts w:ascii="Times New Roman" w:hAnsi="Times New Roman"/>
          <w:color w:val="000000" w:themeColor="text1"/>
          <w:sz w:val="16"/>
          <w:szCs w:val="16"/>
        </w:rPr>
        <w:softHyphen/>
        <w:t>изводством перевели в посе</w:t>
      </w:r>
      <w:r w:rsidRPr="00722885">
        <w:rPr>
          <w:rFonts w:ascii="Times New Roman" w:hAnsi="Times New Roman"/>
          <w:color w:val="000000" w:themeColor="text1"/>
          <w:sz w:val="16"/>
          <w:szCs w:val="16"/>
        </w:rPr>
        <w:softHyphen/>
        <w:t>лок Заводоуковск Тюменской области. Туда уже было эваку</w:t>
      </w:r>
      <w:r w:rsidRPr="00722885">
        <w:rPr>
          <w:rFonts w:ascii="Times New Roman" w:hAnsi="Times New Roman"/>
          <w:color w:val="000000" w:themeColor="text1"/>
          <w:sz w:val="16"/>
          <w:szCs w:val="16"/>
        </w:rPr>
        <w:softHyphen/>
        <w:t>ировано ОКБ-31 конструктора Москалёва, которое слилось с коллективом Антонова и при</w:t>
      </w:r>
      <w:r w:rsidRPr="00722885">
        <w:rPr>
          <w:rFonts w:ascii="Times New Roman" w:hAnsi="Times New Roman"/>
          <w:color w:val="000000" w:themeColor="text1"/>
          <w:sz w:val="16"/>
          <w:szCs w:val="16"/>
        </w:rPr>
        <w:softHyphen/>
        <w:t>няло активное участие в стро</w:t>
      </w:r>
      <w:r w:rsidRPr="00722885">
        <w:rPr>
          <w:rFonts w:ascii="Times New Roman" w:hAnsi="Times New Roman"/>
          <w:color w:val="000000" w:themeColor="text1"/>
          <w:sz w:val="16"/>
          <w:szCs w:val="16"/>
        </w:rPr>
        <w:softHyphen/>
        <w:t>ительстве планеров А-7. Туда же прибыло хозяйство кон</w:t>
      </w:r>
      <w:r w:rsidRPr="00722885">
        <w:rPr>
          <w:rFonts w:ascii="Times New Roman" w:hAnsi="Times New Roman"/>
          <w:color w:val="000000" w:themeColor="text1"/>
          <w:sz w:val="16"/>
          <w:szCs w:val="16"/>
        </w:rPr>
        <w:softHyphen/>
        <w:t>структора Гроховского (Сам Гроховский в Заводоуковск не прибыл — по дороге он был арестован и расстрелян). Эва</w:t>
      </w:r>
      <w:r w:rsidRPr="00722885">
        <w:rPr>
          <w:rFonts w:ascii="Times New Roman" w:hAnsi="Times New Roman"/>
          <w:color w:val="000000" w:themeColor="text1"/>
          <w:sz w:val="16"/>
          <w:szCs w:val="16"/>
        </w:rPr>
        <w:softHyphen/>
        <w:t>куированные авиастроители разместились на территории крупнейшей в Западной Си</w:t>
      </w:r>
      <w:r w:rsidRPr="00722885">
        <w:rPr>
          <w:rFonts w:ascii="Times New Roman" w:hAnsi="Times New Roman"/>
          <w:color w:val="000000" w:themeColor="text1"/>
          <w:sz w:val="16"/>
          <w:szCs w:val="16"/>
        </w:rPr>
        <w:softHyphen/>
        <w:t>бири МТС, а также расконсер</w:t>
      </w:r>
      <w:r w:rsidRPr="00722885">
        <w:rPr>
          <w:rFonts w:ascii="Times New Roman" w:hAnsi="Times New Roman"/>
          <w:color w:val="000000" w:themeColor="text1"/>
          <w:sz w:val="16"/>
          <w:szCs w:val="16"/>
        </w:rPr>
        <w:softHyphen/>
        <w:t>вировали огромную деревян</w:t>
      </w:r>
      <w:r w:rsidRPr="00722885">
        <w:rPr>
          <w:rFonts w:ascii="Times New Roman" w:hAnsi="Times New Roman"/>
          <w:color w:val="000000" w:themeColor="text1"/>
          <w:sz w:val="16"/>
          <w:szCs w:val="16"/>
        </w:rPr>
        <w:softHyphen/>
        <w:t>ную мельницу, построенную купцом Калмыковым. Заняли еще несколько помещений. Кроме своего оборудования, на товарной станции подобра</w:t>
      </w:r>
      <w:r w:rsidRPr="00722885">
        <w:rPr>
          <w:rFonts w:ascii="Times New Roman" w:hAnsi="Times New Roman"/>
          <w:color w:val="000000" w:themeColor="text1"/>
          <w:sz w:val="16"/>
          <w:szCs w:val="16"/>
        </w:rPr>
        <w:softHyphen/>
        <w:t>ли много бесхозного добра, которое пустили на обустрой</w:t>
      </w:r>
      <w:r w:rsidRPr="00722885">
        <w:rPr>
          <w:rFonts w:ascii="Times New Roman" w:hAnsi="Times New Roman"/>
          <w:color w:val="000000" w:themeColor="text1"/>
          <w:sz w:val="16"/>
          <w:szCs w:val="16"/>
        </w:rPr>
        <w:softHyphen/>
        <w:t>ство авиационного завода. Было трудно, производствен</w:t>
      </w:r>
      <w:r w:rsidRPr="00722885">
        <w:rPr>
          <w:rFonts w:ascii="Times New Roman" w:hAnsi="Times New Roman"/>
          <w:color w:val="000000" w:themeColor="text1"/>
          <w:sz w:val="16"/>
          <w:szCs w:val="16"/>
        </w:rPr>
        <w:softHyphen/>
        <w:t>ных, а особенно жилых, поме</w:t>
      </w:r>
      <w:r w:rsidRPr="00722885">
        <w:rPr>
          <w:rFonts w:ascii="Times New Roman" w:hAnsi="Times New Roman"/>
          <w:color w:val="000000" w:themeColor="text1"/>
          <w:sz w:val="16"/>
          <w:szCs w:val="16"/>
        </w:rPr>
        <w:softHyphen/>
        <w:t>щений не хватало. Не хватало электроэнергии, воды и про</w:t>
      </w:r>
      <w:r w:rsidRPr="00722885">
        <w:rPr>
          <w:rFonts w:ascii="Times New Roman" w:hAnsi="Times New Roman"/>
          <w:color w:val="000000" w:themeColor="text1"/>
          <w:sz w:val="16"/>
          <w:szCs w:val="16"/>
        </w:rPr>
        <w:softHyphen/>
        <w:t>довольствия. Тем не менее авиазавод № 499 (такое обо</w:t>
      </w:r>
      <w:r w:rsidRPr="00722885">
        <w:rPr>
          <w:rFonts w:ascii="Times New Roman" w:hAnsi="Times New Roman"/>
          <w:color w:val="000000" w:themeColor="text1"/>
          <w:sz w:val="16"/>
          <w:szCs w:val="16"/>
        </w:rPr>
        <w:softHyphen/>
        <w:t>значение он получил) начал работать: выпускали десант</w:t>
      </w:r>
      <w:r w:rsidRPr="00722885">
        <w:rPr>
          <w:rFonts w:ascii="Times New Roman" w:hAnsi="Times New Roman"/>
          <w:color w:val="000000" w:themeColor="text1"/>
          <w:sz w:val="16"/>
          <w:szCs w:val="16"/>
        </w:rPr>
        <w:softHyphen/>
        <w:t>ное оборудование, десантные кабины ДК-12 и планеры А-7. Несмотря на суровую зиму, с 1942 г. планеры А-7 стали поступать в войска.</w:t>
      </w:r>
    </w:p>
    <w:p w14:paraId="1F6AEC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Когда серийные аппараты поступили в строевые части, произошло подряд две аварии. В обоих слу</w:t>
      </w:r>
      <w:r w:rsidRPr="00722885">
        <w:rPr>
          <w:rFonts w:ascii="Times New Roman" w:hAnsi="Times New Roman"/>
          <w:color w:val="000000" w:themeColor="text1"/>
          <w:sz w:val="16"/>
          <w:szCs w:val="16"/>
        </w:rPr>
        <w:softHyphen/>
        <w:t>чаях на посадке планер неожиданно «клевал» в сто</w:t>
      </w:r>
      <w:r w:rsidRPr="00722885">
        <w:rPr>
          <w:rFonts w:ascii="Times New Roman" w:hAnsi="Times New Roman"/>
          <w:color w:val="000000" w:themeColor="text1"/>
          <w:sz w:val="16"/>
          <w:szCs w:val="16"/>
        </w:rPr>
        <w:softHyphen/>
        <w:t>рону, касался крылом земли и разрушался. Пилоты остались живы. Известному планеристу С.Н. Анохину предложили провести специальные испытания А-7 на малых скоростях. Он разными способами «заго</w:t>
      </w:r>
      <w:r w:rsidRPr="00722885">
        <w:rPr>
          <w:rFonts w:ascii="Times New Roman" w:hAnsi="Times New Roman"/>
          <w:color w:val="000000" w:themeColor="text1"/>
          <w:sz w:val="16"/>
          <w:szCs w:val="16"/>
        </w:rPr>
        <w:softHyphen/>
        <w:t>нял» планер в штопор. Действительно, А-7 оказался склонен к сваливанию на крыло на малых скоростях. На этих режимах он требовал от пилота повышенного внимания. С результатами испытаний ознакомился Антонов, специально прибывший в Саратов. Это при</w:t>
      </w:r>
      <w:r w:rsidRPr="00722885">
        <w:rPr>
          <w:rFonts w:ascii="Times New Roman" w:hAnsi="Times New Roman"/>
          <w:color w:val="000000" w:themeColor="text1"/>
          <w:sz w:val="16"/>
          <w:szCs w:val="16"/>
        </w:rPr>
        <w:softHyphen/>
        <w:t>вело к тому, что на последующих сериях А-7 сначала доработали хвостовое оперение, а позже вновь ввели интерцепторы на верхней поверхности крыла (12300).</w:t>
      </w:r>
    </w:p>
    <w:p w14:paraId="63FFC22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5C8B307" w14:textId="77777777" w:rsidR="000D6127" w:rsidRPr="00722885" w:rsidRDefault="000D6127" w:rsidP="00722885">
      <w:pPr>
        <w:spacing w:after="0" w:line="240" w:lineRule="auto"/>
        <w:jc w:val="both"/>
        <w:rPr>
          <w:rFonts w:ascii="Times New Roman" w:hAnsi="Times New Roman"/>
          <w:color w:val="000000" w:themeColor="text1"/>
          <w:sz w:val="16"/>
          <w:szCs w:val="16"/>
          <w:shd w:val="clear" w:color="auto" w:fill="FFFFFF"/>
        </w:rPr>
      </w:pPr>
      <w:r w:rsidRPr="00722885">
        <w:rPr>
          <w:rFonts w:ascii="Times New Roman" w:hAnsi="Times New Roman"/>
          <w:color w:val="000000" w:themeColor="text1"/>
          <w:sz w:val="16"/>
          <w:szCs w:val="16"/>
          <w:shd w:val="clear" w:color="auto" w:fill="FFFFFF"/>
        </w:rPr>
        <w:t>До конца 1942 года в ремонтных мастерских Сибирского ВО собрали только четыре БДП-2 и ещё несколько экземпляров передал фронту мебельный комбинат г.Шумерля. Об их боевом применении точной информации пока найти не удалось. В то же время ОКБ Поликарпова переделало один из БДП-2 под установку двух двигателей М-11Ф, превратив его в мотопланер. Этот аппарат, обозначенный как МП, мог перевозить 12 десантников с вооружением или аналогичную весовую нагрузку. При увеличении нагрузки взлет совершался с помощью самолёта-буксировщика. Летом 1943 года МП успешно прошел заводские испытания, но в серии не строился по причине сокращения числа партизанских районов и наличии в строю ВВС самолётов типа Ще-2, Як-6 и Ли-2 (19619).</w:t>
      </w:r>
    </w:p>
    <w:p w14:paraId="5F88F15A" w14:textId="77777777" w:rsidR="000D6127" w:rsidRPr="00722885" w:rsidRDefault="000D6127" w:rsidP="00722885">
      <w:pPr>
        <w:spacing w:after="0" w:line="240" w:lineRule="auto"/>
        <w:jc w:val="both"/>
        <w:rPr>
          <w:rFonts w:ascii="Times New Roman" w:hAnsi="Times New Roman"/>
          <w:color w:val="000000" w:themeColor="text1"/>
          <w:sz w:val="16"/>
          <w:szCs w:val="16"/>
          <w:shd w:val="clear" w:color="auto" w:fill="FFFFFF"/>
        </w:rPr>
      </w:pPr>
    </w:p>
    <w:p w14:paraId="239FF3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1942 г. стали использовать десантные планеры. Они скапливались на тыловых аэродромах, где при безангарном хранении быст</w:t>
      </w:r>
      <w:r w:rsidRPr="00722885">
        <w:rPr>
          <w:rFonts w:ascii="Times New Roman" w:hAnsi="Times New Roman"/>
          <w:color w:val="000000" w:themeColor="text1"/>
          <w:sz w:val="16"/>
          <w:szCs w:val="16"/>
        </w:rPr>
        <w:softHyphen/>
        <w:t>ро приходили в негодность. Поэтому с середины года заказы на их выпуск уменьшились, а осенью производство Г-11 прекратили совсем.</w:t>
      </w:r>
    </w:p>
    <w:p w14:paraId="4A4A35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Успели изготовить 138 Г-11 в Шумер</w:t>
      </w:r>
      <w:r w:rsidRPr="00722885">
        <w:rPr>
          <w:rFonts w:ascii="Times New Roman" w:hAnsi="Times New Roman"/>
          <w:color w:val="000000" w:themeColor="text1"/>
          <w:sz w:val="16"/>
          <w:szCs w:val="16"/>
        </w:rPr>
        <w:softHyphen/>
        <w:t>ли и 170 - в Козловке. Таким образом, к осени 1942 г. было построено всего 308 планёров. Персонал ОКБ-28 оставили на заводе, а сам В.К. Грибовский убыл в распоряжение НКАП. Завод № 471 сначала перевели на выпуск самолёта Як-6, оказавшегося не очень удачным, а потом на выпуск весьма полезного У-2. Завод № 494 осваивал С-2, сани</w:t>
      </w:r>
      <w:r w:rsidRPr="00722885">
        <w:rPr>
          <w:rFonts w:ascii="Times New Roman" w:hAnsi="Times New Roman"/>
          <w:color w:val="000000" w:themeColor="text1"/>
          <w:sz w:val="16"/>
          <w:szCs w:val="16"/>
        </w:rPr>
        <w:softHyphen/>
        <w:t>тарный вариант У-2, с самого начала (12266).</w:t>
      </w:r>
    </w:p>
    <w:p w14:paraId="1BE1094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32D204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 ОКБ-483 прекратило свое существование (9649).</w:t>
      </w:r>
    </w:p>
    <w:p w14:paraId="153B8AC7" w14:textId="77777777" w:rsidR="00BB6316" w:rsidRPr="00722885" w:rsidRDefault="00BB6316" w:rsidP="00722885">
      <w:pPr>
        <w:pStyle w:val="Iauiue"/>
        <w:jc w:val="both"/>
        <w:rPr>
          <w:color w:val="000000" w:themeColor="text1"/>
          <w:sz w:val="16"/>
          <w:szCs w:val="16"/>
        </w:rPr>
      </w:pPr>
    </w:p>
    <w:p w14:paraId="28479F01"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конец 1942 г. число рабротающих на предприятиях НКАП составляло 610,3 тыс. чел., т.е. на 31 % больше, чем в июне 1941 г. Обобщая в мас</w:t>
      </w:r>
      <w:r w:rsidRPr="00722885">
        <w:rPr>
          <w:rFonts w:ascii="Times New Roman" w:hAnsi="Times New Roman"/>
          <w:color w:val="000000" w:themeColor="text1"/>
          <w:sz w:val="16"/>
          <w:szCs w:val="16"/>
        </w:rPr>
        <w:softHyphen/>
        <w:t>штабах всего НКАП, можно сказать, что ситуация с квалифи</w:t>
      </w:r>
      <w:r w:rsidRPr="00722885">
        <w:rPr>
          <w:rFonts w:ascii="Times New Roman" w:hAnsi="Times New Roman"/>
          <w:color w:val="000000" w:themeColor="text1"/>
          <w:sz w:val="16"/>
          <w:szCs w:val="16"/>
        </w:rPr>
        <w:softHyphen/>
        <w:t>кацией персонала характеризовалась следующими цифрами:</w:t>
      </w:r>
    </w:p>
    <w:p w14:paraId="5EABB15E"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Распределение персонала НКАП по тарифной сетке на 1 октября 1942 г. (РГАЭ. Ф. 8044. </w:t>
      </w:r>
      <w:r w:rsidRPr="00722885">
        <w:rPr>
          <w:rFonts w:ascii="Times New Roman" w:hAnsi="Times New Roman"/>
          <w:color w:val="000000" w:themeColor="text1"/>
          <w:sz w:val="16"/>
          <w:szCs w:val="16"/>
          <w:lang w:val="en-US"/>
        </w:rPr>
        <w:t xml:space="preserve">On. </w:t>
      </w:r>
      <w:r w:rsidRPr="00722885">
        <w:rPr>
          <w:rFonts w:ascii="Times New Roman" w:hAnsi="Times New Roman"/>
          <w:color w:val="000000" w:themeColor="text1"/>
          <w:sz w:val="16"/>
          <w:szCs w:val="16"/>
        </w:rPr>
        <w:t>1. Д. 4465. Л. 1)</w:t>
      </w:r>
    </w:p>
    <w:tbl>
      <w:tblPr>
        <w:tblW w:w="0" w:type="auto"/>
        <w:tblInd w:w="8" w:type="dxa"/>
        <w:tblLayout w:type="fixed"/>
        <w:tblCellMar>
          <w:left w:w="0" w:type="dxa"/>
          <w:right w:w="0" w:type="dxa"/>
        </w:tblCellMar>
        <w:tblLook w:val="0000" w:firstRow="0" w:lastRow="0" w:firstColumn="0" w:lastColumn="0" w:noHBand="0" w:noVBand="0"/>
      </w:tblPr>
      <w:tblGrid>
        <w:gridCol w:w="1987"/>
        <w:gridCol w:w="1982"/>
        <w:gridCol w:w="1982"/>
      </w:tblGrid>
      <w:tr w:rsidR="009B487A" w:rsidRPr="00722885" w14:paraId="3D133E33" w14:textId="77777777" w:rsidTr="00B60247">
        <w:trPr>
          <w:trHeight w:val="235"/>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7BC05257"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Разрнды</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1C23C2BA"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основному производству</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2F21B6F"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во НКАП</w:t>
            </w:r>
          </w:p>
        </w:tc>
      </w:tr>
      <w:tr w:rsidR="009B487A" w:rsidRPr="00722885" w14:paraId="2FE10727"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2646124E"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693903C3"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466</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B525057"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1243</w:t>
            </w:r>
          </w:p>
        </w:tc>
      </w:tr>
      <w:tr w:rsidR="009B487A" w:rsidRPr="00722885" w14:paraId="5F6B2ED0" w14:textId="77777777" w:rsidTr="00B60247">
        <w:trPr>
          <w:trHeight w:val="226"/>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66DC2C12"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793A4A1"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20198</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661F7227"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30274</w:t>
            </w:r>
          </w:p>
        </w:tc>
      </w:tr>
      <w:tr w:rsidR="009B487A" w:rsidRPr="00722885" w14:paraId="4FFE23F3"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2DEFC9F0"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6322D700"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89620</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A9EFA89"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140788</w:t>
            </w:r>
          </w:p>
        </w:tc>
      </w:tr>
      <w:tr w:rsidR="009B487A" w:rsidRPr="00722885" w14:paraId="2DD060F0"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63B5F45F"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IV</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566CCB35"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60943</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6BCA345"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98333</w:t>
            </w:r>
          </w:p>
        </w:tc>
      </w:tr>
      <w:tr w:rsidR="009B487A" w:rsidRPr="00722885" w14:paraId="29D93DCA" w14:textId="77777777" w:rsidTr="00B60247">
        <w:trPr>
          <w:trHeight w:val="226"/>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2E23ACFB"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V</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9AFF233"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39589</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5DEB6046"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72125</w:t>
            </w:r>
          </w:p>
        </w:tc>
      </w:tr>
      <w:tr w:rsidR="009B487A" w:rsidRPr="00722885" w14:paraId="73B06221"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0E24387E"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VI</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1E97DF8A"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20478</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3677997"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42818</w:t>
            </w:r>
          </w:p>
        </w:tc>
      </w:tr>
      <w:tr w:rsidR="009B487A" w:rsidRPr="00722885" w14:paraId="4E1E411F"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50B188BE"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vn</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5D7CB7F"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6753</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02A6A540"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16142</w:t>
            </w:r>
          </w:p>
        </w:tc>
      </w:tr>
      <w:tr w:rsidR="009B487A" w:rsidRPr="00722885" w14:paraId="70F8768C"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79B516EE"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УШ</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333DA30B"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1163</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5EA4BD21"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3256</w:t>
            </w:r>
          </w:p>
        </w:tc>
      </w:tr>
      <w:tr w:rsidR="009B487A" w:rsidRPr="00722885" w14:paraId="3D66BF27" w14:textId="77777777" w:rsidTr="00B60247">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06E8D7B7"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Без разряда</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DA84EE3"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2770</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CE73847"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50619</w:t>
            </w:r>
          </w:p>
        </w:tc>
      </w:tr>
      <w:tr w:rsidR="009B487A" w:rsidRPr="00722885" w14:paraId="12008343" w14:textId="77777777" w:rsidTr="00B60247">
        <w:trPr>
          <w:trHeight w:val="245"/>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29C02053"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AA4CBDF"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241920</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F2DFAF0"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455598</w:t>
            </w:r>
          </w:p>
        </w:tc>
      </w:tr>
    </w:tbl>
    <w:p w14:paraId="38B84C0D"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Очевидно, что превалирующим для авиапромышленно</w:t>
      </w:r>
      <w:r w:rsidRPr="00722885">
        <w:rPr>
          <w:rFonts w:ascii="Times New Roman" w:hAnsi="Times New Roman"/>
          <w:color w:val="000000" w:themeColor="text1"/>
          <w:sz w:val="16"/>
          <w:szCs w:val="16"/>
        </w:rPr>
        <w:softHyphen/>
        <w:t>сти был уровень квалификации, соответствующий Ш—V разрядам тарифной сетки. Именно эта «золотая середина» и вынесла на своих плечах наиболее тяжёлый период становле</w:t>
      </w:r>
      <w:r w:rsidRPr="00722885">
        <w:rPr>
          <w:rFonts w:ascii="Times New Roman" w:hAnsi="Times New Roman"/>
          <w:color w:val="000000" w:themeColor="text1"/>
          <w:sz w:val="16"/>
          <w:szCs w:val="16"/>
        </w:rPr>
        <w:softHyphen/>
        <w:t>ния авиапроизводства на новом месте. Между тем, считалось, что со сложными заданиями могут справляться лишь рабочие VI—УШ разрядов, которые, собственно, и относились к кате</w:t>
      </w:r>
      <w:r w:rsidRPr="00722885">
        <w:rPr>
          <w:rFonts w:ascii="Times New Roman" w:hAnsi="Times New Roman"/>
          <w:color w:val="000000" w:themeColor="text1"/>
          <w:sz w:val="16"/>
          <w:szCs w:val="16"/>
        </w:rPr>
        <w:softHyphen/>
        <w:t>гории «высококвалифицированных». Как видно из таблицы, эта категория составляла около 14 % от всех рабочих авиапромышленности. С учётом того, что на 1941 г. по всей маши</w:t>
      </w:r>
      <w:r w:rsidRPr="00722885">
        <w:rPr>
          <w:rFonts w:ascii="Times New Roman" w:hAnsi="Times New Roman"/>
          <w:color w:val="000000" w:themeColor="text1"/>
          <w:sz w:val="16"/>
          <w:szCs w:val="16"/>
        </w:rPr>
        <w:softHyphen/>
        <w:t>ностроительной отрасли доля рабочих VI—</w:t>
      </w:r>
      <w:r w:rsidRPr="00722885">
        <w:rPr>
          <w:rFonts w:ascii="Times New Roman" w:hAnsi="Times New Roman"/>
          <w:color w:val="000000" w:themeColor="text1"/>
          <w:sz w:val="16"/>
          <w:szCs w:val="16"/>
          <w:lang w:val="en-US"/>
        </w:rPr>
        <w:t>V</w:t>
      </w:r>
      <w:r w:rsidRPr="00722885">
        <w:rPr>
          <w:rFonts w:ascii="Times New Roman" w:hAnsi="Times New Roman"/>
          <w:color w:val="000000" w:themeColor="text1"/>
          <w:sz w:val="16"/>
          <w:szCs w:val="16"/>
        </w:rPr>
        <w:t>Ш разрядов со</w:t>
      </w:r>
      <w:r w:rsidRPr="00722885">
        <w:rPr>
          <w:rFonts w:ascii="Times New Roman" w:hAnsi="Times New Roman"/>
          <w:color w:val="000000" w:themeColor="text1"/>
          <w:sz w:val="16"/>
          <w:szCs w:val="16"/>
        </w:rPr>
        <w:softHyphen/>
        <w:t>ставляла 22,5 % (</w:t>
      </w:r>
      <w:r w:rsidRPr="00722885">
        <w:rPr>
          <w:rFonts w:ascii="Times New Roman" w:hAnsi="Times New Roman"/>
          <w:iCs/>
          <w:color w:val="000000" w:themeColor="text1"/>
          <w:sz w:val="16"/>
          <w:szCs w:val="16"/>
        </w:rPr>
        <w:t xml:space="preserve">Фельдман </w:t>
      </w:r>
      <w:r w:rsidRPr="00722885">
        <w:rPr>
          <w:rFonts w:ascii="Times New Roman" w:hAnsi="Times New Roman"/>
          <w:iCs/>
          <w:color w:val="000000" w:themeColor="text1"/>
          <w:sz w:val="16"/>
          <w:szCs w:val="16"/>
          <w:lang w:val="en-US"/>
        </w:rPr>
        <w:t>A</w:t>
      </w:r>
      <w:r w:rsidRPr="00722885">
        <w:rPr>
          <w:rFonts w:ascii="Times New Roman" w:hAnsi="Times New Roman"/>
          <w:iCs/>
          <w:color w:val="000000" w:themeColor="text1"/>
          <w:sz w:val="16"/>
          <w:szCs w:val="16"/>
        </w:rPr>
        <w:t>.</w:t>
      </w:r>
      <w:r w:rsidRPr="00722885">
        <w:rPr>
          <w:rFonts w:ascii="Times New Roman" w:hAnsi="Times New Roman"/>
          <w:iCs/>
          <w:color w:val="000000" w:themeColor="text1"/>
          <w:sz w:val="16"/>
          <w:szCs w:val="16"/>
          <w:lang w:val="en-US"/>
        </w:rPr>
        <w:t>M</w:t>
      </w:r>
      <w:r w:rsidRPr="00722885">
        <w:rPr>
          <w:rFonts w:ascii="Times New Roman" w:hAnsi="Times New Roman"/>
          <w:iCs/>
          <w:color w:val="000000" w:themeColor="text1"/>
          <w:sz w:val="16"/>
          <w:szCs w:val="16"/>
        </w:rPr>
        <w:t>.</w:t>
      </w:r>
      <w:r w:rsidRPr="00722885">
        <w:rPr>
          <w:rFonts w:ascii="Times New Roman" w:hAnsi="Times New Roman"/>
          <w:color w:val="000000" w:themeColor="text1"/>
          <w:sz w:val="16"/>
          <w:szCs w:val="16"/>
        </w:rPr>
        <w:t xml:space="preserve"> Рабочие промышленности СССР и Германии к июню 1941 г.: сравнительное сравнение // История России. 2009. № б. С. 86), можно предположить, что в первые военные годы произошло определённое снижение удельного веса вы</w:t>
      </w:r>
      <w:r w:rsidRPr="00722885">
        <w:rPr>
          <w:rFonts w:ascii="Times New Roman" w:hAnsi="Times New Roman"/>
          <w:color w:val="000000" w:themeColor="text1"/>
          <w:sz w:val="16"/>
          <w:szCs w:val="16"/>
        </w:rPr>
        <w:softHyphen/>
        <w:t>сококвалифицированных рабочих в общем числе работников авиапрома (12011).</w:t>
      </w:r>
    </w:p>
    <w:p w14:paraId="114A56BB" w14:textId="77777777" w:rsidR="00900959" w:rsidRPr="00722885" w:rsidRDefault="00900959" w:rsidP="00722885">
      <w:pPr>
        <w:spacing w:after="0" w:line="240" w:lineRule="auto"/>
        <w:jc w:val="both"/>
        <w:rPr>
          <w:rFonts w:ascii="Times New Roman" w:hAnsi="Times New Roman"/>
          <w:color w:val="000000" w:themeColor="text1"/>
          <w:sz w:val="16"/>
          <w:szCs w:val="16"/>
        </w:rPr>
      </w:pPr>
    </w:p>
    <w:p w14:paraId="6BEE0C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испытывались опытные образцы М-82ФН (первоначально именовался М-82ФНВ), с 1 апреля 1944 г. переименован в АШ-82ФН. Введен непосредственный впрыск, увели</w:t>
      </w:r>
      <w:r w:rsidRPr="00722885">
        <w:rPr>
          <w:rFonts w:ascii="Times New Roman" w:hAnsi="Times New Roman"/>
          <w:color w:val="000000" w:themeColor="text1"/>
          <w:sz w:val="16"/>
          <w:szCs w:val="16"/>
        </w:rPr>
        <w:softHyphen/>
        <w:t>чен наддув, развито оребрение головок, изменены клапаны, усилены поршни, переделан привод к ПЦН. С января 1943 г. выпускался серийно заводами № 19 (модификации АШ-82ФН-111 и АШ-82ФН-212) и заводом № 29 (мо</w:t>
      </w:r>
      <w:r w:rsidRPr="00722885">
        <w:rPr>
          <w:rFonts w:ascii="Times New Roman" w:hAnsi="Times New Roman"/>
          <w:color w:val="000000" w:themeColor="text1"/>
          <w:sz w:val="16"/>
          <w:szCs w:val="16"/>
        </w:rPr>
        <w:softHyphen/>
        <w:t>дификация АШ-82-312 с третьим типом редуктора). На 4-й серии (на</w:t>
      </w:r>
      <w:r w:rsidRPr="00722885">
        <w:rPr>
          <w:rFonts w:ascii="Times New Roman" w:hAnsi="Times New Roman"/>
          <w:color w:val="000000" w:themeColor="text1"/>
          <w:sz w:val="16"/>
          <w:szCs w:val="16"/>
        </w:rPr>
        <w:softHyphen/>
        <w:t>чало 1945 г.) усилен коленвал аналогично АШ-83, на 5-й серии (весна 1945 г.) введены гильзы с параболическим профилем и усиленным фланцем. Мощность 1630/1850 л.с., вес 900 кг. Серийное производ</w:t>
      </w:r>
      <w:r w:rsidRPr="00722885">
        <w:rPr>
          <w:rFonts w:ascii="Times New Roman" w:hAnsi="Times New Roman"/>
          <w:color w:val="000000" w:themeColor="text1"/>
          <w:sz w:val="16"/>
          <w:szCs w:val="16"/>
        </w:rPr>
        <w:softHyphen/>
        <w:t>ство завершено в 1953 г. (11852).</w:t>
      </w:r>
    </w:p>
    <w:p w14:paraId="266C83F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C0F36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1942 г. серийно выпускался (в 1942 г. выпущен 41 экз.) М-107А (ВК-107А), модификация 1942 г. с поворотными лопатками (лопатками Поликовского) в направляющем аппарате ПЦН. Мощность 1500/1600 л.с., вес 769 кг. К середине ноября 1942 г. по плану тре</w:t>
      </w:r>
      <w:r w:rsidRPr="00722885">
        <w:rPr>
          <w:rFonts w:ascii="Times New Roman" w:hAnsi="Times New Roman"/>
          <w:color w:val="000000" w:themeColor="text1"/>
          <w:sz w:val="16"/>
          <w:szCs w:val="16"/>
        </w:rPr>
        <w:softHyphen/>
        <w:t>бовали довести ресурс до 50 ч, а к концу года — 100 ч. Реально ре</w:t>
      </w:r>
      <w:r w:rsidRPr="00722885">
        <w:rPr>
          <w:rFonts w:ascii="Times New Roman" w:hAnsi="Times New Roman"/>
          <w:color w:val="000000" w:themeColor="text1"/>
          <w:sz w:val="16"/>
          <w:szCs w:val="16"/>
        </w:rPr>
        <w:softHyphen/>
        <w:t>сурс довели до 55-60 ч. В декабре 1943 г. — январе 1944 г. М-107А испытывался на истребителе Як-9У, в апреле — ноябре 1944 г. — на Як-3, в апреле 1944 г. — на опытном скоростном бомбардиров</w:t>
      </w:r>
      <w:r w:rsidRPr="00722885">
        <w:rPr>
          <w:rFonts w:ascii="Times New Roman" w:hAnsi="Times New Roman"/>
          <w:color w:val="000000" w:themeColor="text1"/>
          <w:sz w:val="16"/>
          <w:szCs w:val="16"/>
        </w:rPr>
        <w:softHyphen/>
        <w:t>щике Пе-2И. ВК-107А серийно выпускался до 1948 г. В процессе производства в 1945 г. сняли инжектор маслосистемы, работавший при запуске и прогреве мотора, в 1946 г. изменили передаточное от</w:t>
      </w:r>
      <w:r w:rsidRPr="00722885">
        <w:rPr>
          <w:rFonts w:ascii="Times New Roman" w:hAnsi="Times New Roman"/>
          <w:color w:val="000000" w:themeColor="text1"/>
          <w:sz w:val="16"/>
          <w:szCs w:val="16"/>
        </w:rPr>
        <w:softHyphen/>
        <w:t>ношение редуктора, ограничили максимальные обороты, ввели допол</w:t>
      </w:r>
      <w:r w:rsidRPr="00722885">
        <w:rPr>
          <w:rFonts w:ascii="Times New Roman" w:hAnsi="Times New Roman"/>
          <w:color w:val="000000" w:themeColor="text1"/>
          <w:sz w:val="16"/>
          <w:szCs w:val="16"/>
        </w:rPr>
        <w:softHyphen/>
        <w:t>нительную маслопомпу (по типу ВК-108). Это позволило на пове</w:t>
      </w:r>
      <w:r w:rsidRPr="00722885">
        <w:rPr>
          <w:rFonts w:ascii="Times New Roman" w:hAnsi="Times New Roman"/>
          <w:color w:val="000000" w:themeColor="text1"/>
          <w:sz w:val="16"/>
          <w:szCs w:val="16"/>
        </w:rPr>
        <w:softHyphen/>
        <w:t>рочных испытаниях продемонстрировать ресурс в 100 ч. На М-107А (ВК-107А) устанавливались пушки ШВАК (20 мм), Н-37 (37 мм), Б-20М (20 мм), НС-23 (23 мм), Н-45 (45 мм) (11582).</w:t>
      </w:r>
    </w:p>
    <w:p w14:paraId="5EA0424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51CB87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1942 г. усовершенствованный вари</w:t>
      </w:r>
      <w:r w:rsidRPr="00722885">
        <w:rPr>
          <w:rFonts w:ascii="Times New Roman" w:hAnsi="Times New Roman"/>
          <w:color w:val="000000" w:themeColor="text1"/>
          <w:sz w:val="16"/>
          <w:szCs w:val="16"/>
        </w:rPr>
        <w:softHyphen/>
        <w:t>ант М-30 начали выпускать как М-30Б, а затем переименовали в АЧ-30Б. В 1944-1945 гг. АЧ-ЗОБ изготовлялся также на заводе № 45 в Мо</w:t>
      </w:r>
      <w:r w:rsidRPr="00722885">
        <w:rPr>
          <w:rFonts w:ascii="Times New Roman" w:hAnsi="Times New Roman"/>
          <w:color w:val="000000" w:themeColor="text1"/>
          <w:sz w:val="16"/>
          <w:szCs w:val="16"/>
        </w:rPr>
        <w:softHyphen/>
        <w:t>скве. В сентябре 1945 г. дизель сняли с производства на обоих заводах. Всего изготовили 1423 (по другим данным — 1526) М-30, М-ЗОБ и АЧ-ЗОБ. АЧ-ЗОБ стал основой для ряда серийных танковых и судовых дизелей. В 1946-1947 гг. производилась разборка части не бывших в употреблении АЧ-ЗОБ для использования их деталей и узлов в катерных дизелях М-50Р. Двигатели АЧ-ЗОБ после некоторой переделки применялись также в не</w:t>
      </w:r>
      <w:r w:rsidRPr="00722885">
        <w:rPr>
          <w:rFonts w:ascii="Times New Roman" w:hAnsi="Times New Roman"/>
          <w:color w:val="000000" w:themeColor="text1"/>
          <w:sz w:val="16"/>
          <w:szCs w:val="16"/>
        </w:rPr>
        <w:softHyphen/>
        <w:t>больших электростанциях ДКЭ для сельских районов.</w:t>
      </w:r>
    </w:p>
    <w:p w14:paraId="79DDE9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Характеристики:</w:t>
      </w:r>
    </w:p>
    <w:p w14:paraId="515D44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12-цшшдровый, рядный У-образный дизель, четырехтактный, водя</w:t>
      </w:r>
      <w:r w:rsidRPr="00722885">
        <w:rPr>
          <w:rFonts w:ascii="Times New Roman" w:hAnsi="Times New Roman"/>
          <w:color w:val="000000" w:themeColor="text1"/>
          <w:sz w:val="16"/>
          <w:szCs w:val="16"/>
        </w:rPr>
        <w:softHyphen/>
        <w:t>ного охлаждения;</w:t>
      </w:r>
    </w:p>
    <w:p w14:paraId="0228A61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объем 61,04 л;</w:t>
      </w:r>
    </w:p>
    <w:p w14:paraId="6C7869D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6282354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степень сжатия 13,5;</w:t>
      </w:r>
    </w:p>
    <w:p w14:paraId="3841D3A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5061B41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М-30, первая серийная модификация с двумя турбонагнетателями, без ПЦН и интеркулеров. Мощность 1250/1500 л.с., вес 1200 кг (по другим данным, 1150 кг). Этот двигатель выпускался серийно заводом № 82 (44 экз. в 1941 г.) и заводом № 500 (32 экз. в 1942 г.). Производство пре</w:t>
      </w:r>
      <w:r w:rsidRPr="00722885">
        <w:rPr>
          <w:rFonts w:ascii="Times New Roman" w:hAnsi="Times New Roman"/>
          <w:color w:val="000000" w:themeColor="text1"/>
          <w:sz w:val="16"/>
          <w:szCs w:val="16"/>
        </w:rPr>
        <w:softHyphen/>
        <w:t>кращено в конце 1942 г. Часть М-30 переделана в 1942 г. в М-ЗОБ.</w:t>
      </w:r>
    </w:p>
    <w:p w14:paraId="4F46AA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М-ЗОФ, опытный вариант 1942 г., 1500/1750 л.с.</w:t>
      </w:r>
    </w:p>
    <w:p w14:paraId="651908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М-ЗОБ (АЧ-ЗОБ), модернизированный вариант с ПЦН. В ОКБ-500 готовились два варианта — с ПЦН от моторов АМ-38 и М-105.</w:t>
      </w:r>
    </w:p>
    <w:p w14:paraId="0C76D9C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первый тип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722885">
        <w:rPr>
          <w:rFonts w:ascii="Times New Roman" w:hAnsi="Times New Roman"/>
          <w:color w:val="000000" w:themeColor="text1"/>
          <w:sz w:val="16"/>
          <w:szCs w:val="16"/>
        </w:rPr>
        <w:softHyphen/>
        <w:t>нетателями Т1-82 и интеркулерами. С августа 1942 г. завод № 500 начал переделку М-30 в М-ЗОБ (переделано 35 экз.), а затем произ</w:t>
      </w:r>
      <w:r w:rsidRPr="00722885">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w:t>
      </w:r>
    </w:p>
    <w:p w14:paraId="468DCE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М-ЗОД, форсированный тип для штурмовика, мощность 1750/2000 л.с. В марте 1943 г. задание на его разработку выдали заводу № 500. Данных о проектировании и постройке нет.</w:t>
      </w:r>
    </w:p>
    <w:p w14:paraId="493361B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АЧ-ЗОБФ, форсированный вариант АЧ-ЗОБ с впрыском бензина по</w:t>
      </w:r>
      <w:r w:rsidRPr="00722885">
        <w:rPr>
          <w:rFonts w:ascii="Times New Roman" w:hAnsi="Times New Roman"/>
          <w:color w:val="000000" w:themeColor="text1"/>
          <w:sz w:val="16"/>
          <w:szCs w:val="16"/>
        </w:rPr>
        <w:softHyphen/>
        <w:t>сле турбонагнетателей. Проектировался с 1943 г. Испытания опыт</w:t>
      </w:r>
      <w:r w:rsidRPr="00722885">
        <w:rPr>
          <w:rFonts w:ascii="Times New Roman" w:hAnsi="Times New Roman"/>
          <w:color w:val="000000" w:themeColor="text1"/>
          <w:sz w:val="16"/>
          <w:szCs w:val="16"/>
        </w:rPr>
        <w:softHyphen/>
        <w:t>ных образцов проходили с весны 1944 г. С августа того же года два АЧ-ЗОБФ испытывались на опытном бомбардировщике Ил-6,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722885">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w:t>
      </w:r>
    </w:p>
    <w:p w14:paraId="53377FD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АЧ-ЗОБ с мотокомпрессорным воздушно-реактивным двигателем. Про</w:t>
      </w:r>
      <w:r w:rsidRPr="00722885">
        <w:rPr>
          <w:rFonts w:ascii="Times New Roman" w:hAnsi="Times New Roman"/>
          <w:color w:val="000000" w:themeColor="text1"/>
          <w:sz w:val="16"/>
          <w:szCs w:val="16"/>
        </w:rPr>
        <w:softHyphen/>
        <w:t>ектировался под руководством Толстова в ЦИАМ с начала 1944 г.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722885">
        <w:rPr>
          <w:rFonts w:ascii="Times New Roman" w:hAnsi="Times New Roman"/>
          <w:color w:val="000000" w:themeColor="text1"/>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722885">
        <w:rPr>
          <w:rFonts w:ascii="Times New Roman" w:hAnsi="Times New Roman"/>
          <w:color w:val="000000" w:themeColor="text1"/>
          <w:sz w:val="16"/>
          <w:szCs w:val="16"/>
        </w:rPr>
        <w:softHyphen/>
        <w:t>ченном ВРДК 4500 э.л.с.</w:t>
      </w:r>
    </w:p>
    <w:p w14:paraId="133052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ТД-ЗОБ, танковый дизель на базе АЧ-ЗОБ. Работы по танковому вари</w:t>
      </w:r>
      <w:r w:rsidRPr="00722885">
        <w:rPr>
          <w:rFonts w:ascii="Times New Roman" w:hAnsi="Times New Roman"/>
          <w:color w:val="000000" w:themeColor="text1"/>
          <w:sz w:val="16"/>
          <w:szCs w:val="16"/>
        </w:rPr>
        <w:softHyphen/>
        <w:t>анту велись с 1945 г., когда проводили эксперименты по длительной эксплуатации АЧ-ЗОБ при низких оборотах. ТД-ЗОБ был спроектиро</w:t>
      </w:r>
      <w:r w:rsidRPr="00722885">
        <w:rPr>
          <w:rFonts w:ascii="Times New Roman" w:hAnsi="Times New Roman"/>
          <w:color w:val="000000" w:themeColor="text1"/>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w:t>
      </w:r>
    </w:p>
    <w:p w14:paraId="3FD2C6E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КЧ-ЗОБ, танковый дизель, вариант ТД-ЗОБ, 1200 л.с. Опытный об</w:t>
      </w:r>
      <w:r w:rsidRPr="00722885">
        <w:rPr>
          <w:rFonts w:ascii="Times New Roman" w:hAnsi="Times New Roman"/>
          <w:color w:val="000000" w:themeColor="text1"/>
          <w:sz w:val="16"/>
          <w:szCs w:val="16"/>
        </w:rPr>
        <w:softHyphen/>
        <w:t>разец не строился.</w:t>
      </w:r>
    </w:p>
    <w:p w14:paraId="1424EE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Дизели семейства М-30/АЧ-ЗОБ устанавливались на серийных бомбарди</w:t>
      </w:r>
      <w:r w:rsidRPr="00722885">
        <w:rPr>
          <w:rFonts w:ascii="Times New Roman" w:hAnsi="Times New Roman"/>
          <w:color w:val="000000" w:themeColor="text1"/>
          <w:sz w:val="16"/>
          <w:szCs w:val="16"/>
        </w:rPr>
        <w:softHyphen/>
        <w:t>ровщиках Ер-2 и ТБ-7 (Пе-8), опытном самолете «67» (переоборудованном Ту-2). Их применение предусматривалось также в проектах МЫ, Ил-4, Ту-8С, ПС-84 (вариант бомбардировщика) (11852).</w:t>
      </w:r>
    </w:p>
    <w:p w14:paraId="67CC23C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D86AEEB" w14:textId="77777777" w:rsidR="00900959" w:rsidRPr="00722885" w:rsidRDefault="00900959"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Люльку направляют в блокадный Ленин</w:t>
      </w:r>
      <w:r w:rsidRPr="00722885">
        <w:rPr>
          <w:rFonts w:ascii="Times New Roman" w:hAnsi="Times New Roman"/>
          <w:color w:val="000000" w:themeColor="text1"/>
          <w:sz w:val="16"/>
          <w:szCs w:val="16"/>
        </w:rPr>
        <w:softHyphen/>
        <w:t>град на Кировский завод за технической докумен</w:t>
      </w:r>
      <w:r w:rsidRPr="00722885">
        <w:rPr>
          <w:rFonts w:ascii="Times New Roman" w:hAnsi="Times New Roman"/>
          <w:color w:val="000000" w:themeColor="text1"/>
          <w:sz w:val="16"/>
          <w:szCs w:val="16"/>
        </w:rPr>
        <w:softHyphen/>
        <w:t>тацией и узлами РД-1. По Ладоге, под постоян</w:t>
      </w:r>
      <w:r w:rsidRPr="00722885">
        <w:rPr>
          <w:rFonts w:ascii="Times New Roman" w:hAnsi="Times New Roman"/>
          <w:color w:val="000000" w:themeColor="text1"/>
          <w:sz w:val="16"/>
          <w:szCs w:val="16"/>
        </w:rPr>
        <w:softHyphen/>
        <w:t>ным обстрелом, машины вывезли ценный груз из города и доставили его по назначению (19701).</w:t>
      </w:r>
    </w:p>
    <w:p w14:paraId="52F1245E" w14:textId="77777777" w:rsidR="00900959" w:rsidRPr="00722885" w:rsidRDefault="00900959" w:rsidP="00722885">
      <w:pPr>
        <w:spacing w:after="0" w:line="240" w:lineRule="auto"/>
        <w:jc w:val="both"/>
        <w:rPr>
          <w:rFonts w:ascii="Times New Roman" w:hAnsi="Times New Roman"/>
          <w:color w:val="000000" w:themeColor="text1"/>
          <w:sz w:val="16"/>
          <w:szCs w:val="16"/>
        </w:rPr>
      </w:pPr>
    </w:p>
    <w:p w14:paraId="080D10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летчик- испытатель НИИ ГВФ подполковник Б.К. Кондратьев, пытаясь удовлетворить противоречивые требования ВВС (обеспечить взлет истребителей зимой с не расчищенных аэродромов без ухудшения летных данных), предложил идею взлетных лыж, сбрасываемых после разбега и отрыва. Разработку проблемы применения, расчеты, конструирование, летные испытания и внедрение взлетных лыж проводилось инженерами НИИ ГВФ А.Ф. Епишевым и A.M. Тетерюковым. Руководитель работы - начальник самолетного отдела НИИ инженер-майор Л.И. Израецкий.</w:t>
      </w:r>
    </w:p>
    <w:p w14:paraId="783BFD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Взлетные лыжи были унифицированы по трем весовым группам: 3-3,5 т (Як-1, Як-7, Як-9, ЛаГГ-3, Ла-5, МиГ-3), 5,5-7,5 т и 8,5- 12 т. Основной материал взлетных лыж - строительная сосна (а не дефицитный авиа- лес). Подошва лыжи выполнялась не из гнутого дубового полоза, а выклеивалась из фанеры и имела толщину в полтора-два раза меньше, чем у обычных лыж. В центре лыж располагалось специальное гнездо для колес. Вся конструкция стягивалась болтами. Ввиду несоответствия габаритных размеров колес самолетов в каждой группе ширину гнезда выбирали максимальную, а для колес меньших размеров применяли специальный набор боковых вкладышей. Сброс лыж выполнялся очень просто: по мере отрыва колеса выходили из гнезд вверх и лыжи оставались на снегу.</w:t>
      </w:r>
    </w:p>
    <w:p w14:paraId="306A21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Летные испытания лыж трех групп производились в январе-марте 1943 г. в НИИ ГВФ и НИИ ВВС КА на самолетах Як-1, Ил-2, Ил-4. Испытания взлетных лыж первой группы производились НИИ ГВФ на самолете Як-1. Размеры основных лыж 2300x650x227, а хвостовой - 800x360x130. Площадь опоры основной лыжи составляла 1,31, а хвостовой 0,26 м\ Помимо опробования на земле (рулежка, маневренные качества) было выполнено три контрольных взлета. из них два с укатанной дорожки и один - с целины. Взлет ничем не отличался, кроме более длительного выдерживания скорости на разбеге, чтобы избежать преждевременного отрыва самолета. НИИ ВВС КА рекомендовал принять взлетные лыжи на вооружение ВВС и изготовить их опытную серию.</w:t>
      </w:r>
    </w:p>
    <w:p w14:paraId="728EF9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Серийное производство взлетных лыж было организовано в г.Ростове-на-Дону на заводе № 87 НКАП (выпушено 268 комплектов лыж первой группы), а затем и на заводе № 473, где в 1944 году выполнялся заказ ВВС КА на 500 комплектов лыж второй и третьей групп.</w:t>
      </w:r>
    </w:p>
    <w:p w14:paraId="71FDE2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Взлетные лыжи приняли на вооружение: ГВФ - приказом начальника ГУ ГВФ № 171 от 10 ноября, а ВВС ВМФ - 15 ноября 1943 г. приказом начальника ВВС ВМФ № 136. После дополнительных испытаний, проведенных НИИ ВВС КА с 19 по 22 марта 1944 г., распоряжением главного инженера ВВС КА генерал-полковника ИАС Репина от 29 июля взлетные лыжи были приняты и на вооружение ВВС КА (12048).</w:t>
      </w:r>
    </w:p>
    <w:p w14:paraId="33E23EB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98DA59D"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именно в цехе термической обработки № 310 Уральского танкового завода были изготовлены цементованные броневые детали для первого советского реактивного самолета БИ-1, планеры для которых собирались заводом №381 (18250).</w:t>
      </w:r>
    </w:p>
    <w:p w14:paraId="1A17406B" w14:textId="77777777" w:rsidR="00900959" w:rsidRPr="00722885" w:rsidRDefault="00900959" w:rsidP="00722885">
      <w:pPr>
        <w:spacing w:after="0" w:line="240" w:lineRule="auto"/>
        <w:jc w:val="both"/>
        <w:rPr>
          <w:rFonts w:ascii="Times New Roman" w:hAnsi="Times New Roman"/>
          <w:color w:val="000000" w:themeColor="text1"/>
          <w:sz w:val="16"/>
          <w:szCs w:val="16"/>
        </w:rPr>
      </w:pPr>
    </w:p>
    <w:p w14:paraId="090F0E2F"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 xml:space="preserve">В конце 1942 года пушка Шпитального осталась в прошлом. Производство пушки Ш-37 продолжалось не долго. Завод № 74 в Ижевске за 1941 год изготовил 40 пушек Ш-37, а в 1942 году еще 196. После чего производство Ш-37 было свернуто в связи с принятием на вооружение НС-37, которая хотя и не была лишена </w:t>
      </w:r>
      <w:r w:rsidRPr="00722885">
        <w:rPr>
          <w:color w:val="000000" w:themeColor="text1"/>
          <w:sz w:val="16"/>
          <w:szCs w:val="16"/>
        </w:rPr>
        <w:lastRenderedPageBreak/>
        <w:t>недостатков, но была на 100 кг легче, использовала рассыпную металлическую ленту вместо громоздкого магазина, имела значительно более высокий темп стрельбы (19169).</w:t>
      </w:r>
    </w:p>
    <w:p w14:paraId="219FD53A" w14:textId="77777777" w:rsidR="00900959" w:rsidRPr="00722885" w:rsidRDefault="00900959" w:rsidP="00722885">
      <w:pPr>
        <w:pStyle w:val="rtejustify"/>
        <w:shd w:val="clear" w:color="auto" w:fill="FFFFFF"/>
        <w:spacing w:before="0" w:beforeAutospacing="0" w:after="0" w:afterAutospacing="0"/>
        <w:jc w:val="both"/>
        <w:textAlignment w:val="baseline"/>
        <w:rPr>
          <w:color w:val="000000" w:themeColor="text1"/>
          <w:sz w:val="16"/>
          <w:szCs w:val="16"/>
        </w:rPr>
      </w:pPr>
    </w:p>
    <w:p w14:paraId="0BC3D5BC" w14:textId="77777777" w:rsidR="00900959" w:rsidRPr="00722885" w:rsidRDefault="0090095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в части ВВС КА поступило 1589 авиационных гранат АГ-2, а кассеты ДАГ-10 в целом были отработаны и поставлены на серийное производство. Из-за трудностей с обеспечением надежности кассет и гранат завод №11 Наркомата боеприпасов не смог своевременно «подготовить производство и выполнить план снаряжения, хотя отдельные элементы имел в достаточном количестве». Как следствие, насытить в полном объеме бомбардировочные и штурмовые авиаполки действующей армии этим видом оборонительного оружия не получилось (19775).</w:t>
      </w:r>
    </w:p>
    <w:p w14:paraId="72EB4198" w14:textId="77777777" w:rsidR="00900959" w:rsidRPr="00722885" w:rsidRDefault="00900959" w:rsidP="00722885">
      <w:pPr>
        <w:spacing w:after="0" w:line="240" w:lineRule="auto"/>
        <w:jc w:val="both"/>
        <w:rPr>
          <w:rFonts w:ascii="Times New Roman" w:hAnsi="Times New Roman"/>
          <w:color w:val="000000" w:themeColor="text1"/>
          <w:sz w:val="16"/>
          <w:szCs w:val="16"/>
        </w:rPr>
      </w:pPr>
    </w:p>
    <w:p w14:paraId="46405C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мины АМД-500 и АМД- 1000 были выставлены на госиспытания и 18.12.1942 приняты на вооружение. Первоначально в качестве основного недостатка отмечалась малая скорость самолета при минометании (не более 200 км/ч), но впоследствии парашютная система была доработана. lIB Также повысили чувствительность взрывателя. Освоение промышленностью мин и ликвидация "детских болезней" несколько затянулись, в результате чего первые АМД-500 были выставлены на Черном море в октябре 1943 г., на Балтике - в январе 1944 г. (на Севере из-за больших глубин донные мины не применялись вовсе). АМД-1000 применялись только на Балтийском море начиная с июля 1944 г.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2E1D233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EDC819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концу 1942 в 4-м Спецотделе НКВД была разработана РЛС под названием Прибор ночного боя (ПНБ) и в 1943 она проходила испытания на Пе-2, показав максимальную дальность обнаружения самолета 3-5 км и мертвую зону в 150-200 м. По основным ТТД была аналогична Гнейс-2 НИИ-20 (2629,26).</w:t>
      </w:r>
    </w:p>
    <w:p w14:paraId="5C63854B" w14:textId="77777777" w:rsidR="00BB6316" w:rsidRPr="00722885" w:rsidRDefault="00BB6316" w:rsidP="00722885">
      <w:pPr>
        <w:pStyle w:val="Iauiue"/>
        <w:jc w:val="both"/>
        <w:rPr>
          <w:color w:val="000000" w:themeColor="text1"/>
          <w:sz w:val="16"/>
          <w:szCs w:val="16"/>
        </w:rPr>
      </w:pPr>
    </w:p>
    <w:p w14:paraId="70FD84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конструкторское бюро создало опытный образец станции ПНБ – прибор ночного боя, и на летных испытаниях в начале 1943 г. она показала максимальную дальность обнаружения самолета 3–5 км и минимальную (мертвую зону) – 150–250 м. Станция была смонтирована на самолете Пе-2. По основным тактико-техническим характеристикам станция ПНБ была аналогична станции «Гнейс-2», а по некоторым показателям (по величине мертвой зоны) даже превосходила последнюю. Однако ее освоение в производстве из-за меньшей технологичности и недостатка ряда комплектующих изделий было в то время затруднительно. Кроме того, станция «Гнейс-2» уже начала выпускаться серийно. Поэтому командование ВВС решило не передавать станцию ПНБ на производство, а все лучшие узлы ее рекомендовать использовать при усовершенствовании станции «Гнейс-2». За разработку этой станции ее создатели В. В. Мигулин и П. Н. Куксенко в 1946 г. были удостоены Государственной премии СССР (11026).</w:t>
      </w:r>
    </w:p>
    <w:p w14:paraId="48D054A6"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B4C48C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 начале 1943 г. в нитро-шпатлевке АШ-22, разработанной Чеботаревским, без его ведома и достаточно серьезной проработки, свинцовый крон, входят и в состав пигментной части, был заменен на железный сурик. Замена была произведена на заводах НКХП в Челябинске и Новосибирске. Такая шпатлевка применялась на авиазаводах в течение всей зимы и весны. Летом "под воздействием тепла и солнечных лучей в слое шпатлевки возникли внутренние напряжения, вызвавшие растрескивание всего лакокрасочного слоя. Через трещины проникала влага, что резко снизило прочность приклейки ткани и привело к отрыву ее от деревянных частей". Свою роль сыграл и отказ от грунтовочного слоя аэролака алюминиевого цвета, который мог бы защитить шпатлевку от солнца и влаги. Растрескивание произошло почти на всех (примерно тысяче) самолетах, окрашенных с применением этой шпатлевки. Брошенные на фронт заводские бригады успели за 2-3 недели вернуть в строй дефектные самолеты (правда, в тыловых частях ремонт продолжался еще и в сентябре 1943 г). А буквально через 2-3 дня, как пишет А.С.Яковлев, началось знаменитое сражение на орловско-курском направлении (3285,17).</w:t>
      </w:r>
    </w:p>
    <w:p w14:paraId="389110C0" w14:textId="77777777" w:rsidR="00BB6316" w:rsidRPr="00722885" w:rsidRDefault="00BB6316" w:rsidP="00722885">
      <w:pPr>
        <w:pStyle w:val="Iauiue"/>
        <w:jc w:val="both"/>
        <w:rPr>
          <w:color w:val="000000" w:themeColor="text1"/>
          <w:sz w:val="16"/>
          <w:szCs w:val="16"/>
        </w:rPr>
      </w:pPr>
    </w:p>
    <w:p w14:paraId="303C65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конец 1942, как показывает анализ состава НКАП (см. прил. 4), практически вся вторая волна создания новых состояла из заводов, дислоцированных в Москве или центральном про</w:t>
      </w:r>
      <w:r w:rsidRPr="00722885">
        <w:rPr>
          <w:rFonts w:ascii="Times New Roman" w:hAnsi="Times New Roman"/>
          <w:color w:val="000000" w:themeColor="text1"/>
          <w:sz w:val="16"/>
          <w:szCs w:val="16"/>
        </w:rPr>
        <w:softHyphen/>
        <w:t>мышленном районе. Очевидно, советское руководство пере</w:t>
      </w:r>
      <w:r w:rsidRPr="00722885">
        <w:rPr>
          <w:rFonts w:ascii="Times New Roman" w:hAnsi="Times New Roman"/>
          <w:color w:val="000000" w:themeColor="text1"/>
          <w:sz w:val="16"/>
          <w:szCs w:val="16"/>
        </w:rPr>
        <w:softHyphen/>
        <w:t>стало опасаться взятия столицы противником и стремилось реанимировать Авиапром центральных регионов страны.</w:t>
      </w:r>
    </w:p>
    <w:p w14:paraId="180AD71E" w14:textId="77777777" w:rsidR="00BB6316" w:rsidRPr="00722885" w:rsidRDefault="00BB6316" w:rsidP="00722885">
      <w:pPr>
        <w:tabs>
          <w:tab w:val="left" w:pos="29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 4</w:t>
      </w:r>
    </w:p>
    <w:p w14:paraId="72EB64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Состав НКАП в IV квартале 1942 г. (РГАЭ. Ф. 8044. </w:t>
      </w:r>
      <w:r w:rsidRPr="00722885">
        <w:rPr>
          <w:rFonts w:ascii="Times New Roman" w:hAnsi="Times New Roman"/>
          <w:color w:val="000000" w:themeColor="text1"/>
          <w:sz w:val="16"/>
          <w:szCs w:val="16"/>
          <w:lang w:val="en-US"/>
        </w:rPr>
        <w:t xml:space="preserve">On. </w:t>
      </w:r>
      <w:r w:rsidRPr="00722885">
        <w:rPr>
          <w:rFonts w:ascii="Times New Roman" w:hAnsi="Times New Roman"/>
          <w:color w:val="000000" w:themeColor="text1"/>
          <w:sz w:val="16"/>
          <w:szCs w:val="16"/>
        </w:rPr>
        <w:t>1. Д. 2814. Л. 190—207)</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94"/>
        <w:gridCol w:w="3260"/>
        <w:gridCol w:w="8"/>
      </w:tblGrid>
      <w:tr w:rsidR="009B487A" w:rsidRPr="00722885" w14:paraId="20909C86" w14:textId="77777777" w:rsidTr="00CC5360">
        <w:trPr>
          <w:trHeight w:val="226"/>
        </w:trPr>
        <w:tc>
          <w:tcPr>
            <w:tcW w:w="2694" w:type="dxa"/>
            <w:tcBorders>
              <w:top w:val="single" w:sz="12" w:space="0" w:color="auto"/>
            </w:tcBorders>
            <w:shd w:val="clear" w:color="auto" w:fill="FFFFFF"/>
          </w:tcPr>
          <w:p w14:paraId="4B73C5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Номер завода</w:t>
            </w:r>
          </w:p>
        </w:tc>
        <w:tc>
          <w:tcPr>
            <w:tcW w:w="3268" w:type="dxa"/>
            <w:gridSpan w:val="2"/>
            <w:tcBorders>
              <w:top w:val="single" w:sz="12" w:space="0" w:color="auto"/>
            </w:tcBorders>
            <w:shd w:val="clear" w:color="auto" w:fill="FFFFFF"/>
          </w:tcPr>
          <w:p w14:paraId="337EBF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Местоположение</w:t>
            </w:r>
          </w:p>
        </w:tc>
      </w:tr>
      <w:tr w:rsidR="009B487A" w:rsidRPr="00722885" w14:paraId="0F811041" w14:textId="77777777" w:rsidTr="00CC5360">
        <w:trPr>
          <w:trHeight w:val="221"/>
        </w:trPr>
        <w:tc>
          <w:tcPr>
            <w:tcW w:w="5962" w:type="dxa"/>
            <w:gridSpan w:val="3"/>
            <w:shd w:val="clear" w:color="auto" w:fill="FFFFFF"/>
          </w:tcPr>
          <w:p w14:paraId="66D188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Х</w:t>
            </w:r>
            <w:r w:rsidRPr="00722885">
              <w:rPr>
                <w:rFonts w:ascii="Times New Roman" w:hAnsi="Times New Roman"/>
                <w:iCs/>
                <w:color w:val="000000" w:themeColor="text1"/>
                <w:sz w:val="16"/>
                <w:szCs w:val="16"/>
                <w:lang w:val="en-US"/>
              </w:rPr>
              <w:t>V</w:t>
            </w:r>
            <w:r w:rsidRPr="00722885">
              <w:rPr>
                <w:rFonts w:ascii="Times New Roman" w:hAnsi="Times New Roman"/>
                <w:iCs/>
                <w:color w:val="000000" w:themeColor="text1"/>
                <w:sz w:val="16"/>
                <w:szCs w:val="16"/>
              </w:rPr>
              <w:t>ГУ</w:t>
            </w:r>
          </w:p>
        </w:tc>
      </w:tr>
      <w:tr w:rsidR="009B487A" w:rsidRPr="00722885" w14:paraId="62BA1BEF" w14:textId="77777777" w:rsidTr="00CC5360">
        <w:trPr>
          <w:trHeight w:val="226"/>
        </w:trPr>
        <w:tc>
          <w:tcPr>
            <w:tcW w:w="2694" w:type="dxa"/>
            <w:shd w:val="clear" w:color="auto" w:fill="FFFFFF"/>
          </w:tcPr>
          <w:p w14:paraId="655945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c>
          <w:tcPr>
            <w:tcW w:w="3268" w:type="dxa"/>
            <w:gridSpan w:val="2"/>
            <w:shd w:val="clear" w:color="auto" w:fill="FFFFFF"/>
          </w:tcPr>
          <w:p w14:paraId="2CDAD8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Куйбышев</w:t>
            </w:r>
          </w:p>
        </w:tc>
      </w:tr>
      <w:tr w:rsidR="009B487A" w:rsidRPr="00722885" w14:paraId="6AFCD54F" w14:textId="77777777" w:rsidTr="00CC5360">
        <w:trPr>
          <w:trHeight w:val="216"/>
        </w:trPr>
        <w:tc>
          <w:tcPr>
            <w:tcW w:w="2694" w:type="dxa"/>
            <w:shd w:val="clear" w:color="auto" w:fill="FFFFFF"/>
          </w:tcPr>
          <w:p w14:paraId="18CE86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w:t>
            </w:r>
          </w:p>
        </w:tc>
        <w:tc>
          <w:tcPr>
            <w:tcW w:w="3268" w:type="dxa"/>
            <w:gridSpan w:val="2"/>
            <w:shd w:val="clear" w:color="auto" w:fill="FFFFFF"/>
          </w:tcPr>
          <w:p w14:paraId="45F88B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Куйбышев</w:t>
            </w:r>
          </w:p>
        </w:tc>
      </w:tr>
      <w:tr w:rsidR="009B487A" w:rsidRPr="00722885" w14:paraId="7B536ED2" w14:textId="77777777" w:rsidTr="00CC5360">
        <w:trPr>
          <w:trHeight w:val="226"/>
        </w:trPr>
        <w:tc>
          <w:tcPr>
            <w:tcW w:w="2694" w:type="dxa"/>
            <w:shd w:val="clear" w:color="auto" w:fill="FFFFFF"/>
          </w:tcPr>
          <w:p w14:paraId="00901D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w:t>
            </w:r>
          </w:p>
        </w:tc>
        <w:tc>
          <w:tcPr>
            <w:tcW w:w="3268" w:type="dxa"/>
            <w:gridSpan w:val="2"/>
            <w:shd w:val="clear" w:color="auto" w:fill="FFFFFF"/>
          </w:tcPr>
          <w:p w14:paraId="33C3D8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Куйбышев</w:t>
            </w:r>
          </w:p>
        </w:tc>
      </w:tr>
      <w:tr w:rsidR="009B487A" w:rsidRPr="00722885" w14:paraId="0F8B9F21" w14:textId="77777777" w:rsidTr="00CC5360">
        <w:trPr>
          <w:trHeight w:val="221"/>
        </w:trPr>
        <w:tc>
          <w:tcPr>
            <w:tcW w:w="5962" w:type="dxa"/>
            <w:gridSpan w:val="3"/>
            <w:shd w:val="clear" w:color="auto" w:fill="FFFFFF"/>
          </w:tcPr>
          <w:p w14:paraId="4ACF58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XIV</w:t>
            </w:r>
            <w:r w:rsidRPr="00722885">
              <w:rPr>
                <w:rFonts w:ascii="Times New Roman" w:hAnsi="Times New Roman"/>
                <w:color w:val="000000" w:themeColor="text1"/>
                <w:sz w:val="16"/>
                <w:szCs w:val="16"/>
              </w:rPr>
              <w:t>ГУ</w:t>
            </w:r>
          </w:p>
        </w:tc>
      </w:tr>
      <w:tr w:rsidR="009B487A" w:rsidRPr="00722885" w14:paraId="47504940" w14:textId="77777777" w:rsidTr="00CC5360">
        <w:trPr>
          <w:trHeight w:val="221"/>
        </w:trPr>
        <w:tc>
          <w:tcPr>
            <w:tcW w:w="2694" w:type="dxa"/>
            <w:shd w:val="clear" w:color="auto" w:fill="FFFFFF"/>
          </w:tcPr>
          <w:p w14:paraId="7A647A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w:t>
            </w:r>
          </w:p>
        </w:tc>
        <w:tc>
          <w:tcPr>
            <w:tcW w:w="3268" w:type="dxa"/>
            <w:gridSpan w:val="2"/>
            <w:shd w:val="clear" w:color="auto" w:fill="FFFFFF"/>
          </w:tcPr>
          <w:p w14:paraId="7BB76F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29F53FE8" w14:textId="77777777" w:rsidTr="00CC5360">
        <w:trPr>
          <w:trHeight w:val="221"/>
        </w:trPr>
        <w:tc>
          <w:tcPr>
            <w:tcW w:w="2694" w:type="dxa"/>
            <w:shd w:val="clear" w:color="auto" w:fill="FFFFFF"/>
          </w:tcPr>
          <w:p w14:paraId="6E16FE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383</w:t>
            </w:r>
          </w:p>
        </w:tc>
        <w:tc>
          <w:tcPr>
            <w:tcW w:w="3268" w:type="dxa"/>
            <w:gridSpan w:val="2"/>
            <w:shd w:val="clear" w:color="auto" w:fill="FFFFFF"/>
          </w:tcPr>
          <w:p w14:paraId="0327D3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5F5BE44D" w14:textId="77777777" w:rsidTr="00CC5360">
        <w:trPr>
          <w:trHeight w:val="221"/>
        </w:trPr>
        <w:tc>
          <w:tcPr>
            <w:tcW w:w="2694" w:type="dxa"/>
            <w:shd w:val="clear" w:color="auto" w:fill="FFFFFF"/>
          </w:tcPr>
          <w:p w14:paraId="40A178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w:t>
            </w:r>
          </w:p>
        </w:tc>
        <w:tc>
          <w:tcPr>
            <w:tcW w:w="3268" w:type="dxa"/>
            <w:gridSpan w:val="2"/>
            <w:shd w:val="clear" w:color="auto" w:fill="FFFFFF"/>
          </w:tcPr>
          <w:p w14:paraId="0D931A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Свердловск</w:t>
            </w:r>
          </w:p>
        </w:tc>
      </w:tr>
      <w:tr w:rsidR="009B487A" w:rsidRPr="00722885" w14:paraId="4BEAF4EE" w14:textId="77777777" w:rsidTr="00CC5360">
        <w:trPr>
          <w:trHeight w:val="226"/>
        </w:trPr>
        <w:tc>
          <w:tcPr>
            <w:tcW w:w="2694" w:type="dxa"/>
            <w:shd w:val="clear" w:color="auto" w:fill="FFFFFF"/>
          </w:tcPr>
          <w:p w14:paraId="63524D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167</w:t>
            </w:r>
          </w:p>
        </w:tc>
        <w:tc>
          <w:tcPr>
            <w:tcW w:w="3268" w:type="dxa"/>
            <w:gridSpan w:val="2"/>
            <w:shd w:val="clear" w:color="auto" w:fill="FFFFFF"/>
          </w:tcPr>
          <w:p w14:paraId="6783F2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Саратов</w:t>
            </w:r>
          </w:p>
        </w:tc>
      </w:tr>
      <w:tr w:rsidR="009B487A" w:rsidRPr="00722885" w14:paraId="5EAD79F7" w14:textId="77777777" w:rsidTr="00CC5360">
        <w:trPr>
          <w:trHeight w:val="221"/>
        </w:trPr>
        <w:tc>
          <w:tcPr>
            <w:tcW w:w="2694" w:type="dxa"/>
            <w:shd w:val="clear" w:color="auto" w:fill="FFFFFF"/>
          </w:tcPr>
          <w:p w14:paraId="0FC33E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467</w:t>
            </w:r>
          </w:p>
        </w:tc>
        <w:tc>
          <w:tcPr>
            <w:tcW w:w="3268" w:type="dxa"/>
            <w:gridSpan w:val="2"/>
            <w:shd w:val="clear" w:color="auto" w:fill="FFFFFF"/>
          </w:tcPr>
          <w:p w14:paraId="5040BD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Павлово-на-Оке</w:t>
            </w:r>
          </w:p>
        </w:tc>
      </w:tr>
      <w:tr w:rsidR="009B487A" w:rsidRPr="00722885" w14:paraId="6E342C98" w14:textId="77777777" w:rsidTr="00CC5360">
        <w:trPr>
          <w:trHeight w:val="226"/>
        </w:trPr>
        <w:tc>
          <w:tcPr>
            <w:tcW w:w="2694" w:type="dxa"/>
            <w:shd w:val="clear" w:color="auto" w:fill="FFFFFF"/>
          </w:tcPr>
          <w:p w14:paraId="402CE9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tc>
        <w:tc>
          <w:tcPr>
            <w:tcW w:w="3268" w:type="dxa"/>
            <w:gridSpan w:val="2"/>
            <w:shd w:val="clear" w:color="auto" w:fill="FFFFFF"/>
          </w:tcPr>
          <w:p w14:paraId="15F835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Куйбышев</w:t>
            </w:r>
          </w:p>
        </w:tc>
      </w:tr>
      <w:tr w:rsidR="009B487A" w:rsidRPr="00722885" w14:paraId="2402300A" w14:textId="77777777" w:rsidTr="00CC5360">
        <w:trPr>
          <w:trHeight w:val="216"/>
        </w:trPr>
        <w:tc>
          <w:tcPr>
            <w:tcW w:w="5962" w:type="dxa"/>
            <w:gridSpan w:val="3"/>
            <w:shd w:val="clear" w:color="auto" w:fill="FFFFFF"/>
          </w:tcPr>
          <w:p w14:paraId="629FB5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 1ГГУ</w:t>
            </w:r>
            <w:r w:rsidRPr="00722885">
              <w:rPr>
                <w:rFonts w:ascii="Times New Roman" w:hAnsi="Times New Roman"/>
                <w:color w:val="000000" w:themeColor="text1"/>
                <w:sz w:val="16"/>
                <w:szCs w:val="16"/>
              </w:rPr>
              <w:t xml:space="preserve"> "1</w:t>
            </w:r>
          </w:p>
        </w:tc>
      </w:tr>
      <w:tr w:rsidR="009B487A" w:rsidRPr="00722885" w14:paraId="62532371" w14:textId="77777777" w:rsidTr="00CC5360">
        <w:trPr>
          <w:trHeight w:val="221"/>
        </w:trPr>
        <w:tc>
          <w:tcPr>
            <w:tcW w:w="2694" w:type="dxa"/>
            <w:shd w:val="clear" w:color="auto" w:fill="FFFFFF"/>
          </w:tcPr>
          <w:p w14:paraId="02F9A8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3268" w:type="dxa"/>
            <w:gridSpan w:val="2"/>
            <w:shd w:val="clear" w:color="auto" w:fill="FFFFFF"/>
          </w:tcPr>
          <w:p w14:paraId="3ED090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Омск</w:t>
            </w:r>
          </w:p>
        </w:tc>
      </w:tr>
      <w:tr w:rsidR="009B487A" w:rsidRPr="00722885" w14:paraId="707BA227" w14:textId="77777777" w:rsidTr="00CC5360">
        <w:trPr>
          <w:trHeight w:val="226"/>
        </w:trPr>
        <w:tc>
          <w:tcPr>
            <w:tcW w:w="2694" w:type="dxa"/>
            <w:shd w:val="clear" w:color="auto" w:fill="FFFFFF"/>
          </w:tcPr>
          <w:p w14:paraId="2A8381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w:t>
            </w:r>
          </w:p>
        </w:tc>
        <w:tc>
          <w:tcPr>
            <w:tcW w:w="3268" w:type="dxa"/>
            <w:gridSpan w:val="2"/>
            <w:shd w:val="clear" w:color="auto" w:fill="FFFFFF"/>
          </w:tcPr>
          <w:p w14:paraId="1215FC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Ульяновск</w:t>
            </w:r>
          </w:p>
        </w:tc>
      </w:tr>
      <w:tr w:rsidR="009B487A" w:rsidRPr="00722885" w14:paraId="2DFC339E" w14:textId="77777777" w:rsidTr="00CC5360">
        <w:trPr>
          <w:trHeight w:val="221"/>
        </w:trPr>
        <w:tc>
          <w:tcPr>
            <w:tcW w:w="2694" w:type="dxa"/>
            <w:shd w:val="clear" w:color="auto" w:fill="FFFFFF"/>
          </w:tcPr>
          <w:p w14:paraId="5208B0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25ф</w:t>
            </w:r>
          </w:p>
        </w:tc>
        <w:tc>
          <w:tcPr>
            <w:tcW w:w="3268" w:type="dxa"/>
            <w:gridSpan w:val="2"/>
            <w:shd w:val="clear" w:color="auto" w:fill="FFFFFF"/>
          </w:tcPr>
          <w:p w14:paraId="32597C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189DDB22" w14:textId="77777777" w:rsidTr="00CC5360">
        <w:trPr>
          <w:trHeight w:val="221"/>
        </w:trPr>
        <w:tc>
          <w:tcPr>
            <w:tcW w:w="2694" w:type="dxa"/>
            <w:shd w:val="clear" w:color="auto" w:fill="FFFFFF"/>
          </w:tcPr>
          <w:p w14:paraId="3F54F3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w:t>
            </w:r>
          </w:p>
        </w:tc>
        <w:tc>
          <w:tcPr>
            <w:tcW w:w="3268" w:type="dxa"/>
            <w:gridSpan w:val="2"/>
            <w:shd w:val="clear" w:color="auto" w:fill="FFFFFF"/>
          </w:tcPr>
          <w:p w14:paraId="39053A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5036D93C" w14:textId="77777777" w:rsidTr="00CC5360">
        <w:trPr>
          <w:trHeight w:val="230"/>
        </w:trPr>
        <w:tc>
          <w:tcPr>
            <w:tcW w:w="2694" w:type="dxa"/>
            <w:shd w:val="clear" w:color="auto" w:fill="FFFFFF"/>
          </w:tcPr>
          <w:p w14:paraId="7AEC61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132</w:t>
            </w:r>
          </w:p>
        </w:tc>
        <w:tc>
          <w:tcPr>
            <w:tcW w:w="3268" w:type="dxa"/>
            <w:gridSpan w:val="2"/>
            <w:shd w:val="clear" w:color="auto" w:fill="FFFFFF"/>
          </w:tcPr>
          <w:p w14:paraId="59709C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Сим (Челябинская обл.)</w:t>
            </w:r>
          </w:p>
        </w:tc>
      </w:tr>
      <w:tr w:rsidR="009B487A" w:rsidRPr="00722885" w14:paraId="1D6A59C6" w14:textId="77777777" w:rsidTr="00CC5360">
        <w:trPr>
          <w:trHeight w:val="216"/>
        </w:trPr>
        <w:tc>
          <w:tcPr>
            <w:tcW w:w="2694" w:type="dxa"/>
            <w:shd w:val="clear" w:color="auto" w:fill="FFFFFF"/>
          </w:tcPr>
          <w:p w14:paraId="6338A4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w:t>
            </w:r>
          </w:p>
        </w:tc>
        <w:tc>
          <w:tcPr>
            <w:tcW w:w="3268" w:type="dxa"/>
            <w:gridSpan w:val="2"/>
            <w:shd w:val="clear" w:color="auto" w:fill="FFFFFF"/>
          </w:tcPr>
          <w:p w14:paraId="0F0A68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Уфа</w:t>
            </w:r>
          </w:p>
        </w:tc>
      </w:tr>
      <w:tr w:rsidR="009B487A" w:rsidRPr="00722885" w14:paraId="3DDAFF1B" w14:textId="77777777" w:rsidTr="00CC5360">
        <w:trPr>
          <w:trHeight w:val="226"/>
        </w:trPr>
        <w:tc>
          <w:tcPr>
            <w:tcW w:w="2694" w:type="dxa"/>
            <w:shd w:val="clear" w:color="auto" w:fill="FFFFFF"/>
          </w:tcPr>
          <w:p w14:paraId="1402CC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266</w:t>
            </w:r>
          </w:p>
        </w:tc>
        <w:tc>
          <w:tcPr>
            <w:tcW w:w="3268" w:type="dxa"/>
            <w:gridSpan w:val="2"/>
            <w:shd w:val="clear" w:color="auto" w:fill="FFFFFF"/>
          </w:tcPr>
          <w:p w14:paraId="4A7321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Киров</w:t>
            </w:r>
          </w:p>
        </w:tc>
      </w:tr>
      <w:tr w:rsidR="009B487A" w:rsidRPr="00722885" w14:paraId="087606FA" w14:textId="77777777" w:rsidTr="00CC5360">
        <w:trPr>
          <w:trHeight w:val="221"/>
        </w:trPr>
        <w:tc>
          <w:tcPr>
            <w:tcW w:w="2694" w:type="dxa"/>
            <w:shd w:val="clear" w:color="auto" w:fill="FFFFFF"/>
          </w:tcPr>
          <w:p w14:paraId="157983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26бф</w:t>
            </w:r>
          </w:p>
        </w:tc>
        <w:tc>
          <w:tcPr>
            <w:tcW w:w="3268" w:type="dxa"/>
            <w:gridSpan w:val="2"/>
            <w:shd w:val="clear" w:color="auto" w:fill="FFFFFF"/>
          </w:tcPr>
          <w:p w14:paraId="71B003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4E3DA41C" w14:textId="77777777" w:rsidTr="00CC5360">
        <w:trPr>
          <w:trHeight w:val="221"/>
        </w:trPr>
        <w:tc>
          <w:tcPr>
            <w:tcW w:w="2694" w:type="dxa"/>
            <w:shd w:val="clear" w:color="auto" w:fill="FFFFFF"/>
          </w:tcPr>
          <w:p w14:paraId="32F658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284</w:t>
            </w:r>
          </w:p>
        </w:tc>
        <w:tc>
          <w:tcPr>
            <w:tcW w:w="3268" w:type="dxa"/>
            <w:gridSpan w:val="2"/>
            <w:shd w:val="clear" w:color="auto" w:fill="FFFFFF"/>
          </w:tcPr>
          <w:p w14:paraId="2FB1AC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Сарапул</w:t>
            </w:r>
          </w:p>
        </w:tc>
      </w:tr>
      <w:tr w:rsidR="009B487A" w:rsidRPr="00722885" w14:paraId="65848EFD" w14:textId="77777777" w:rsidTr="00CC5360">
        <w:trPr>
          <w:trHeight w:val="221"/>
        </w:trPr>
        <w:tc>
          <w:tcPr>
            <w:tcW w:w="2694" w:type="dxa"/>
            <w:shd w:val="clear" w:color="auto" w:fill="FFFFFF"/>
          </w:tcPr>
          <w:p w14:paraId="2DCD95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296</w:t>
            </w:r>
          </w:p>
        </w:tc>
        <w:tc>
          <w:tcPr>
            <w:tcW w:w="3268" w:type="dxa"/>
            <w:gridSpan w:val="2"/>
            <w:shd w:val="clear" w:color="auto" w:fill="FFFFFF"/>
          </w:tcPr>
          <w:p w14:paraId="42FC56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Бердск (Новосибирская обл.)</w:t>
            </w:r>
          </w:p>
        </w:tc>
      </w:tr>
      <w:tr w:rsidR="009B487A" w:rsidRPr="00722885" w14:paraId="1D58036A" w14:textId="77777777" w:rsidTr="00CC5360">
        <w:trPr>
          <w:trHeight w:val="221"/>
        </w:trPr>
        <w:tc>
          <w:tcPr>
            <w:tcW w:w="2694" w:type="dxa"/>
            <w:shd w:val="clear" w:color="auto" w:fill="FFFFFF"/>
          </w:tcPr>
          <w:p w14:paraId="296E68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306</w:t>
            </w:r>
          </w:p>
        </w:tc>
        <w:tc>
          <w:tcPr>
            <w:tcW w:w="3268" w:type="dxa"/>
            <w:gridSpan w:val="2"/>
            <w:shd w:val="clear" w:color="auto" w:fill="FFFFFF"/>
          </w:tcPr>
          <w:p w14:paraId="0BA393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Саратов</w:t>
            </w:r>
          </w:p>
        </w:tc>
      </w:tr>
      <w:tr w:rsidR="009B487A" w:rsidRPr="00722885" w14:paraId="606CBF9A" w14:textId="77777777" w:rsidTr="00CC5360">
        <w:trPr>
          <w:trHeight w:val="226"/>
        </w:trPr>
        <w:tc>
          <w:tcPr>
            <w:tcW w:w="2694" w:type="dxa"/>
            <w:shd w:val="clear" w:color="auto" w:fill="FFFFFF"/>
          </w:tcPr>
          <w:p w14:paraId="5487C3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307</w:t>
            </w:r>
          </w:p>
        </w:tc>
        <w:tc>
          <w:tcPr>
            <w:tcW w:w="3268" w:type="dxa"/>
            <w:gridSpan w:val="2"/>
            <w:shd w:val="clear" w:color="auto" w:fill="FFFFFF"/>
          </w:tcPr>
          <w:p w14:paraId="776B0A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Саратов</w:t>
            </w:r>
          </w:p>
        </w:tc>
      </w:tr>
      <w:tr w:rsidR="009B487A" w:rsidRPr="00722885" w14:paraId="02515AF5" w14:textId="77777777" w:rsidTr="00CC5360">
        <w:trPr>
          <w:trHeight w:val="221"/>
        </w:trPr>
        <w:tc>
          <w:tcPr>
            <w:tcW w:w="2694" w:type="dxa"/>
            <w:shd w:val="clear" w:color="auto" w:fill="FFFFFF"/>
          </w:tcPr>
          <w:p w14:paraId="46FF69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315</w:t>
            </w:r>
          </w:p>
        </w:tc>
        <w:tc>
          <w:tcPr>
            <w:tcW w:w="3268" w:type="dxa"/>
            <w:gridSpan w:val="2"/>
            <w:shd w:val="clear" w:color="auto" w:fill="FFFFFF"/>
          </w:tcPr>
          <w:p w14:paraId="4F90D5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0EE342A6" w14:textId="77777777" w:rsidTr="00CC5360">
        <w:trPr>
          <w:trHeight w:val="226"/>
        </w:trPr>
        <w:tc>
          <w:tcPr>
            <w:tcW w:w="2694" w:type="dxa"/>
            <w:shd w:val="clear" w:color="auto" w:fill="FFFFFF"/>
          </w:tcPr>
          <w:p w14:paraId="061B1B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451</w:t>
            </w:r>
          </w:p>
        </w:tc>
        <w:tc>
          <w:tcPr>
            <w:tcW w:w="3268" w:type="dxa"/>
            <w:gridSpan w:val="2"/>
            <w:shd w:val="clear" w:color="auto" w:fill="FFFFFF"/>
          </w:tcPr>
          <w:p w14:paraId="5900CDC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6255036B" w14:textId="77777777" w:rsidTr="00CC5360">
        <w:trPr>
          <w:trHeight w:val="221"/>
        </w:trPr>
        <w:tc>
          <w:tcPr>
            <w:tcW w:w="2694" w:type="dxa"/>
            <w:shd w:val="clear" w:color="auto" w:fill="FFFFFF"/>
          </w:tcPr>
          <w:p w14:paraId="3F808C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476</w:t>
            </w:r>
          </w:p>
        </w:tc>
        <w:tc>
          <w:tcPr>
            <w:tcW w:w="3268" w:type="dxa"/>
            <w:gridSpan w:val="2"/>
            <w:shd w:val="clear" w:color="auto" w:fill="FFFFFF"/>
          </w:tcPr>
          <w:p w14:paraId="4189E6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343E1450" w14:textId="77777777" w:rsidTr="00CC5360">
        <w:trPr>
          <w:trHeight w:val="221"/>
        </w:trPr>
        <w:tc>
          <w:tcPr>
            <w:tcW w:w="2694" w:type="dxa"/>
            <w:shd w:val="clear" w:color="auto" w:fill="FFFFFF"/>
          </w:tcPr>
          <w:p w14:paraId="72710B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307ф</w:t>
            </w:r>
          </w:p>
        </w:tc>
        <w:tc>
          <w:tcPr>
            <w:tcW w:w="3268" w:type="dxa"/>
            <w:gridSpan w:val="2"/>
            <w:shd w:val="clear" w:color="auto" w:fill="FFFFFF"/>
          </w:tcPr>
          <w:p w14:paraId="75E02D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Уфа</w:t>
            </w:r>
          </w:p>
        </w:tc>
      </w:tr>
      <w:tr w:rsidR="009B487A" w:rsidRPr="00722885" w14:paraId="68D6DD73" w14:textId="77777777" w:rsidTr="00CC5360">
        <w:trPr>
          <w:trHeight w:val="221"/>
        </w:trPr>
        <w:tc>
          <w:tcPr>
            <w:tcW w:w="5962" w:type="dxa"/>
            <w:gridSpan w:val="3"/>
            <w:shd w:val="clear" w:color="auto" w:fill="FFFFFF"/>
          </w:tcPr>
          <w:p w14:paraId="4C9E1D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Оргавиапром</w:t>
            </w:r>
          </w:p>
        </w:tc>
      </w:tr>
      <w:tr w:rsidR="009B487A" w:rsidRPr="00722885" w14:paraId="16B62219" w14:textId="77777777" w:rsidTr="00CC5360">
        <w:trPr>
          <w:trHeight w:val="221"/>
        </w:trPr>
        <w:tc>
          <w:tcPr>
            <w:tcW w:w="2694" w:type="dxa"/>
            <w:shd w:val="clear" w:color="auto" w:fill="FFFFFF"/>
          </w:tcPr>
          <w:p w14:paraId="15FA73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Инструментальный завод № 165</w:t>
            </w:r>
          </w:p>
        </w:tc>
        <w:tc>
          <w:tcPr>
            <w:tcW w:w="3268" w:type="dxa"/>
            <w:gridSpan w:val="2"/>
            <w:shd w:val="clear" w:color="auto" w:fill="FFFFFF"/>
          </w:tcPr>
          <w:p w14:paraId="443740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Куйбышев</w:t>
            </w:r>
          </w:p>
        </w:tc>
      </w:tr>
      <w:tr w:rsidR="009B487A" w:rsidRPr="00722885" w14:paraId="41AB48E5" w14:textId="77777777" w:rsidTr="00CC5360">
        <w:trPr>
          <w:trHeight w:val="221"/>
        </w:trPr>
        <w:tc>
          <w:tcPr>
            <w:tcW w:w="2694" w:type="dxa"/>
            <w:shd w:val="clear" w:color="auto" w:fill="FFFFFF"/>
          </w:tcPr>
          <w:p w14:paraId="6446DD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Инструментальный завод</w:t>
            </w:r>
            <w:r w:rsidRPr="00722885">
              <w:rPr>
                <w:rFonts w:ascii="Times New Roman" w:hAnsi="Times New Roman"/>
                <w:iCs/>
                <w:color w:val="000000" w:themeColor="text1"/>
                <w:sz w:val="16"/>
                <w:szCs w:val="16"/>
              </w:rPr>
              <w:t xml:space="preserve"> №2</w:t>
            </w:r>
          </w:p>
        </w:tc>
        <w:tc>
          <w:tcPr>
            <w:tcW w:w="3268" w:type="dxa"/>
            <w:gridSpan w:val="2"/>
            <w:shd w:val="clear" w:color="auto" w:fill="FFFFFF"/>
          </w:tcPr>
          <w:p w14:paraId="0DBA5D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Сх Опытня, Челябинская обл.</w:t>
            </w:r>
          </w:p>
        </w:tc>
      </w:tr>
      <w:tr w:rsidR="009B487A" w:rsidRPr="00722885" w14:paraId="5D98B8C7" w14:textId="77777777" w:rsidTr="00CC5360">
        <w:trPr>
          <w:trHeight w:val="226"/>
        </w:trPr>
        <w:tc>
          <w:tcPr>
            <w:tcW w:w="2694" w:type="dxa"/>
            <w:shd w:val="clear" w:color="auto" w:fill="FFFFFF"/>
          </w:tcPr>
          <w:p w14:paraId="631851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Инструментальный завод № 3</w:t>
            </w:r>
          </w:p>
        </w:tc>
        <w:tc>
          <w:tcPr>
            <w:tcW w:w="3268" w:type="dxa"/>
            <w:gridSpan w:val="2"/>
            <w:shd w:val="clear" w:color="auto" w:fill="FFFFFF"/>
          </w:tcPr>
          <w:p w14:paraId="36F12E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25B46DA9" w14:textId="77777777" w:rsidTr="00CC5360">
        <w:trPr>
          <w:trHeight w:val="221"/>
        </w:trPr>
        <w:tc>
          <w:tcPr>
            <w:tcW w:w="2694" w:type="dxa"/>
            <w:shd w:val="clear" w:color="auto" w:fill="FFFFFF"/>
          </w:tcPr>
          <w:p w14:paraId="46F595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Инструментальный завод № 8</w:t>
            </w:r>
          </w:p>
        </w:tc>
        <w:tc>
          <w:tcPr>
            <w:tcW w:w="3268" w:type="dxa"/>
            <w:gridSpan w:val="2"/>
            <w:shd w:val="clear" w:color="auto" w:fill="FFFFFF"/>
          </w:tcPr>
          <w:p w14:paraId="56841F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5378314F" w14:textId="77777777" w:rsidTr="00CC5360">
        <w:trPr>
          <w:trHeight w:val="221"/>
        </w:trPr>
        <w:tc>
          <w:tcPr>
            <w:tcW w:w="2694" w:type="dxa"/>
            <w:shd w:val="clear" w:color="auto" w:fill="FFFFFF"/>
          </w:tcPr>
          <w:p w14:paraId="15DFA0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Инструментальный завод № 4</w:t>
            </w:r>
          </w:p>
        </w:tc>
        <w:tc>
          <w:tcPr>
            <w:tcW w:w="3268" w:type="dxa"/>
            <w:gridSpan w:val="2"/>
            <w:shd w:val="clear" w:color="auto" w:fill="FFFFFF"/>
          </w:tcPr>
          <w:p w14:paraId="3F163E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51C24BE4" w14:textId="77777777" w:rsidTr="00CC5360">
        <w:trPr>
          <w:trHeight w:val="240"/>
        </w:trPr>
        <w:tc>
          <w:tcPr>
            <w:tcW w:w="2694" w:type="dxa"/>
            <w:shd w:val="clear" w:color="auto" w:fill="FFFFFF"/>
          </w:tcPr>
          <w:p w14:paraId="450874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Инструментальный завод № 5</w:t>
            </w:r>
          </w:p>
        </w:tc>
        <w:tc>
          <w:tcPr>
            <w:tcW w:w="3268" w:type="dxa"/>
            <w:gridSpan w:val="2"/>
            <w:shd w:val="clear" w:color="auto" w:fill="FFFFFF"/>
          </w:tcPr>
          <w:p w14:paraId="705D98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Тавда, Свердловская обл.</w:t>
            </w:r>
          </w:p>
        </w:tc>
      </w:tr>
      <w:tr w:rsidR="009B487A" w:rsidRPr="00722885" w14:paraId="0646DA76" w14:textId="77777777" w:rsidTr="00CC5360">
        <w:trPr>
          <w:gridAfter w:val="1"/>
          <w:wAfter w:w="8" w:type="dxa"/>
          <w:trHeight w:val="221"/>
        </w:trPr>
        <w:tc>
          <w:tcPr>
            <w:tcW w:w="2694" w:type="dxa"/>
            <w:shd w:val="clear" w:color="auto" w:fill="FFFFFF"/>
          </w:tcPr>
          <w:p w14:paraId="25E655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Инструментальный завод № 6</w:t>
            </w:r>
          </w:p>
        </w:tc>
        <w:tc>
          <w:tcPr>
            <w:tcW w:w="3260" w:type="dxa"/>
            <w:shd w:val="clear" w:color="auto" w:fill="FFFFFF"/>
          </w:tcPr>
          <w:p w14:paraId="107C29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Кемерово</w:t>
            </w:r>
          </w:p>
        </w:tc>
      </w:tr>
      <w:tr w:rsidR="009B487A" w:rsidRPr="00722885" w14:paraId="77EBF37B" w14:textId="77777777" w:rsidTr="00CC5360">
        <w:trPr>
          <w:gridAfter w:val="1"/>
          <w:wAfter w:w="8" w:type="dxa"/>
          <w:trHeight w:val="221"/>
        </w:trPr>
        <w:tc>
          <w:tcPr>
            <w:tcW w:w="2694" w:type="dxa"/>
            <w:shd w:val="clear" w:color="auto" w:fill="FFFFFF"/>
          </w:tcPr>
          <w:p w14:paraId="673797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Инструментальный завод № 7</w:t>
            </w:r>
          </w:p>
        </w:tc>
        <w:tc>
          <w:tcPr>
            <w:tcW w:w="3260" w:type="dxa"/>
            <w:shd w:val="clear" w:color="auto" w:fill="FFFFFF"/>
          </w:tcPr>
          <w:p w14:paraId="5AB8A0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Баху</w:t>
            </w:r>
          </w:p>
        </w:tc>
      </w:tr>
      <w:tr w:rsidR="009B487A" w:rsidRPr="00722885" w14:paraId="00F48183" w14:textId="77777777" w:rsidTr="00CC5360">
        <w:trPr>
          <w:gridAfter w:val="1"/>
          <w:wAfter w:w="8" w:type="dxa"/>
          <w:trHeight w:val="221"/>
        </w:trPr>
        <w:tc>
          <w:tcPr>
            <w:tcW w:w="2694" w:type="dxa"/>
            <w:shd w:val="clear" w:color="auto" w:fill="FFFFFF"/>
          </w:tcPr>
          <w:p w14:paraId="31E8B9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Инструментальный завод № 9</w:t>
            </w:r>
          </w:p>
        </w:tc>
        <w:tc>
          <w:tcPr>
            <w:tcW w:w="3260" w:type="dxa"/>
            <w:shd w:val="clear" w:color="auto" w:fill="FFFFFF"/>
          </w:tcPr>
          <w:p w14:paraId="482650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Бердск</w:t>
            </w:r>
          </w:p>
        </w:tc>
      </w:tr>
      <w:tr w:rsidR="009B487A" w:rsidRPr="00722885" w14:paraId="451582AD" w14:textId="77777777" w:rsidTr="00CC5360">
        <w:trPr>
          <w:gridAfter w:val="1"/>
          <w:wAfter w:w="8" w:type="dxa"/>
          <w:trHeight w:val="226"/>
        </w:trPr>
        <w:tc>
          <w:tcPr>
            <w:tcW w:w="5954" w:type="dxa"/>
            <w:gridSpan w:val="2"/>
            <w:shd w:val="clear" w:color="auto" w:fill="FFFFFF"/>
          </w:tcPr>
          <w:p w14:paraId="3F1935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ШГУ</w:t>
            </w:r>
          </w:p>
        </w:tc>
      </w:tr>
      <w:tr w:rsidR="009B487A" w:rsidRPr="00722885" w14:paraId="1AE1F59C" w14:textId="77777777" w:rsidTr="00CC5360">
        <w:trPr>
          <w:gridAfter w:val="1"/>
          <w:wAfter w:w="8" w:type="dxa"/>
          <w:trHeight w:val="221"/>
        </w:trPr>
        <w:tc>
          <w:tcPr>
            <w:tcW w:w="2694" w:type="dxa"/>
            <w:shd w:val="clear" w:color="auto" w:fill="FFFFFF"/>
          </w:tcPr>
          <w:p w14:paraId="654300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3260" w:type="dxa"/>
            <w:shd w:val="clear" w:color="auto" w:fill="FFFFFF"/>
          </w:tcPr>
          <w:p w14:paraId="566FD2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Казань</w:t>
            </w:r>
          </w:p>
        </w:tc>
      </w:tr>
      <w:tr w:rsidR="009B487A" w:rsidRPr="00722885" w14:paraId="0E85896A" w14:textId="77777777" w:rsidTr="00CC5360">
        <w:trPr>
          <w:gridAfter w:val="1"/>
          <w:wAfter w:w="8" w:type="dxa"/>
          <w:trHeight w:val="221"/>
        </w:trPr>
        <w:tc>
          <w:tcPr>
            <w:tcW w:w="2694" w:type="dxa"/>
            <w:shd w:val="clear" w:color="auto" w:fill="FFFFFF"/>
          </w:tcPr>
          <w:p w14:paraId="69982E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3260" w:type="dxa"/>
            <w:shd w:val="clear" w:color="auto" w:fill="FFFFFF"/>
          </w:tcPr>
          <w:p w14:paraId="0E2A79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Молотов</w:t>
            </w:r>
          </w:p>
        </w:tc>
      </w:tr>
      <w:tr w:rsidR="009B487A" w:rsidRPr="00722885" w14:paraId="39223620" w14:textId="77777777" w:rsidTr="00CC5360">
        <w:trPr>
          <w:gridAfter w:val="1"/>
          <w:wAfter w:w="8" w:type="dxa"/>
          <w:trHeight w:val="221"/>
        </w:trPr>
        <w:tc>
          <w:tcPr>
            <w:tcW w:w="2694" w:type="dxa"/>
            <w:shd w:val="clear" w:color="auto" w:fill="FFFFFF"/>
          </w:tcPr>
          <w:p w14:paraId="33F558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3260" w:type="dxa"/>
            <w:shd w:val="clear" w:color="auto" w:fill="FFFFFF"/>
          </w:tcPr>
          <w:p w14:paraId="66572B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Куйбышев</w:t>
            </w:r>
          </w:p>
        </w:tc>
      </w:tr>
      <w:tr w:rsidR="009B487A" w:rsidRPr="00722885" w14:paraId="35382634" w14:textId="77777777" w:rsidTr="00CC5360">
        <w:trPr>
          <w:gridAfter w:val="1"/>
          <w:wAfter w:w="8" w:type="dxa"/>
          <w:trHeight w:val="221"/>
        </w:trPr>
        <w:tc>
          <w:tcPr>
            <w:tcW w:w="2694" w:type="dxa"/>
            <w:shd w:val="clear" w:color="auto" w:fill="FFFFFF"/>
          </w:tcPr>
          <w:p w14:paraId="70832C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w:t>
            </w:r>
          </w:p>
        </w:tc>
        <w:tc>
          <w:tcPr>
            <w:tcW w:w="3260" w:type="dxa"/>
            <w:shd w:val="clear" w:color="auto" w:fill="FFFFFF"/>
          </w:tcPr>
          <w:p w14:paraId="7344E5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Уфа</w:t>
            </w:r>
          </w:p>
        </w:tc>
      </w:tr>
      <w:tr w:rsidR="009B487A" w:rsidRPr="00722885" w14:paraId="40C03311" w14:textId="77777777" w:rsidTr="00CC5360">
        <w:trPr>
          <w:gridAfter w:val="1"/>
          <w:wAfter w:w="8" w:type="dxa"/>
          <w:trHeight w:val="226"/>
        </w:trPr>
        <w:tc>
          <w:tcPr>
            <w:tcW w:w="2694" w:type="dxa"/>
            <w:shd w:val="clear" w:color="auto" w:fill="FFFFFF"/>
          </w:tcPr>
          <w:p w14:paraId="461E66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3260" w:type="dxa"/>
            <w:shd w:val="clear" w:color="auto" w:fill="FFFFFF"/>
          </w:tcPr>
          <w:p w14:paraId="174157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Омск</w:t>
            </w:r>
          </w:p>
        </w:tc>
      </w:tr>
      <w:tr w:rsidR="009B487A" w:rsidRPr="00722885" w14:paraId="16CB97D9" w14:textId="77777777" w:rsidTr="00CC5360">
        <w:trPr>
          <w:gridAfter w:val="1"/>
          <w:wAfter w:w="8" w:type="dxa"/>
          <w:trHeight w:val="221"/>
        </w:trPr>
        <w:tc>
          <w:tcPr>
            <w:tcW w:w="2694" w:type="dxa"/>
            <w:shd w:val="clear" w:color="auto" w:fill="FFFFFF"/>
          </w:tcPr>
          <w:p w14:paraId="2873EF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w:t>
            </w:r>
          </w:p>
        </w:tc>
        <w:tc>
          <w:tcPr>
            <w:tcW w:w="3260" w:type="dxa"/>
            <w:shd w:val="clear" w:color="auto" w:fill="FFFFFF"/>
          </w:tcPr>
          <w:p w14:paraId="02ABE0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Рыбинск</w:t>
            </w:r>
          </w:p>
        </w:tc>
      </w:tr>
      <w:tr w:rsidR="009B487A" w:rsidRPr="00722885" w14:paraId="467D5E4B" w14:textId="77777777" w:rsidTr="00CC5360">
        <w:trPr>
          <w:gridAfter w:val="1"/>
          <w:wAfter w:w="8" w:type="dxa"/>
          <w:trHeight w:val="221"/>
        </w:trPr>
        <w:tc>
          <w:tcPr>
            <w:tcW w:w="2694" w:type="dxa"/>
            <w:shd w:val="clear" w:color="auto" w:fill="FFFFFF"/>
          </w:tcPr>
          <w:p w14:paraId="1B8D12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c>
          <w:tcPr>
            <w:tcW w:w="3260" w:type="dxa"/>
            <w:shd w:val="clear" w:color="auto" w:fill="FFFFFF"/>
          </w:tcPr>
          <w:p w14:paraId="0E0DE7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46BA825C" w14:textId="77777777" w:rsidTr="00CC5360">
        <w:trPr>
          <w:gridAfter w:val="1"/>
          <w:wAfter w:w="8" w:type="dxa"/>
          <w:trHeight w:val="221"/>
        </w:trPr>
        <w:tc>
          <w:tcPr>
            <w:tcW w:w="2694" w:type="dxa"/>
            <w:shd w:val="clear" w:color="auto" w:fill="FFFFFF"/>
          </w:tcPr>
          <w:p w14:paraId="52972E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4S</w:t>
            </w:r>
          </w:p>
        </w:tc>
        <w:tc>
          <w:tcPr>
            <w:tcW w:w="3260" w:type="dxa"/>
            <w:shd w:val="clear" w:color="auto" w:fill="FFFFFF"/>
          </w:tcPr>
          <w:p w14:paraId="0CE19F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21B0F699" w14:textId="77777777" w:rsidTr="00CC5360">
        <w:trPr>
          <w:gridAfter w:val="1"/>
          <w:wAfter w:w="8" w:type="dxa"/>
          <w:trHeight w:val="221"/>
        </w:trPr>
        <w:tc>
          <w:tcPr>
            <w:tcW w:w="2694" w:type="dxa"/>
            <w:shd w:val="clear" w:color="auto" w:fill="FFFFFF"/>
          </w:tcPr>
          <w:p w14:paraId="7C27D5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154</w:t>
            </w:r>
          </w:p>
        </w:tc>
        <w:tc>
          <w:tcPr>
            <w:tcW w:w="3260" w:type="dxa"/>
            <w:shd w:val="clear" w:color="auto" w:fill="FFFFFF"/>
          </w:tcPr>
          <w:p w14:paraId="1F3DD2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Андижан</w:t>
            </w:r>
          </w:p>
        </w:tc>
      </w:tr>
      <w:tr w:rsidR="009B487A" w:rsidRPr="00722885" w14:paraId="6E3EEAAF" w14:textId="77777777" w:rsidTr="00CC5360">
        <w:trPr>
          <w:gridAfter w:val="1"/>
          <w:wAfter w:w="8" w:type="dxa"/>
          <w:trHeight w:val="221"/>
        </w:trPr>
        <w:tc>
          <w:tcPr>
            <w:tcW w:w="2694" w:type="dxa"/>
            <w:shd w:val="clear" w:color="auto" w:fill="FFFFFF"/>
          </w:tcPr>
          <w:p w14:paraId="1CF121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466</w:t>
            </w:r>
          </w:p>
        </w:tc>
        <w:tc>
          <w:tcPr>
            <w:tcW w:w="3260" w:type="dxa"/>
            <w:shd w:val="clear" w:color="auto" w:fill="FFFFFF"/>
          </w:tcPr>
          <w:p w14:paraId="699759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Горький</w:t>
            </w:r>
          </w:p>
        </w:tc>
      </w:tr>
      <w:tr w:rsidR="009B487A" w:rsidRPr="00722885" w14:paraId="0D896A15" w14:textId="77777777" w:rsidTr="00CC5360">
        <w:trPr>
          <w:gridAfter w:val="1"/>
          <w:wAfter w:w="8" w:type="dxa"/>
          <w:trHeight w:val="226"/>
        </w:trPr>
        <w:tc>
          <w:tcPr>
            <w:tcW w:w="2694" w:type="dxa"/>
            <w:shd w:val="clear" w:color="auto" w:fill="FFFFFF"/>
          </w:tcPr>
          <w:p w14:paraId="7EBE1B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w:t>
            </w:r>
          </w:p>
        </w:tc>
        <w:tc>
          <w:tcPr>
            <w:tcW w:w="3260" w:type="dxa"/>
            <w:shd w:val="clear" w:color="auto" w:fill="FFFFFF"/>
          </w:tcPr>
          <w:p w14:paraId="5E340A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77792696" w14:textId="77777777" w:rsidTr="00CC5360">
        <w:trPr>
          <w:gridAfter w:val="1"/>
          <w:wAfter w:w="8" w:type="dxa"/>
          <w:trHeight w:val="221"/>
        </w:trPr>
        <w:tc>
          <w:tcPr>
            <w:tcW w:w="5954" w:type="dxa"/>
            <w:gridSpan w:val="2"/>
            <w:shd w:val="clear" w:color="auto" w:fill="FFFFFF"/>
          </w:tcPr>
          <w:p w14:paraId="6BB771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У1ГУ</w:t>
            </w:r>
          </w:p>
        </w:tc>
      </w:tr>
      <w:tr w:rsidR="009B487A" w:rsidRPr="00722885" w14:paraId="53ED55B1" w14:textId="77777777" w:rsidTr="00CC5360">
        <w:trPr>
          <w:gridAfter w:val="1"/>
          <w:wAfter w:w="8" w:type="dxa"/>
          <w:trHeight w:val="221"/>
        </w:trPr>
        <w:tc>
          <w:tcPr>
            <w:tcW w:w="2694" w:type="dxa"/>
            <w:shd w:val="clear" w:color="auto" w:fill="FFFFFF"/>
          </w:tcPr>
          <w:p w14:paraId="7DCA36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163</w:t>
            </w:r>
          </w:p>
        </w:tc>
        <w:tc>
          <w:tcPr>
            <w:tcW w:w="3260" w:type="dxa"/>
            <w:shd w:val="clear" w:color="auto" w:fill="FFFFFF"/>
          </w:tcPr>
          <w:p w14:paraId="518AC6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Пенза</w:t>
            </w:r>
          </w:p>
        </w:tc>
      </w:tr>
      <w:tr w:rsidR="009B487A" w:rsidRPr="00722885" w14:paraId="60DC5091" w14:textId="77777777" w:rsidTr="00CC5360">
        <w:trPr>
          <w:gridAfter w:val="1"/>
          <w:wAfter w:w="8" w:type="dxa"/>
          <w:trHeight w:val="226"/>
        </w:trPr>
        <w:tc>
          <w:tcPr>
            <w:tcW w:w="2694" w:type="dxa"/>
            <w:shd w:val="clear" w:color="auto" w:fill="FFFFFF"/>
          </w:tcPr>
          <w:p w14:paraId="52FD4E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477</w:t>
            </w:r>
          </w:p>
        </w:tc>
        <w:tc>
          <w:tcPr>
            <w:tcW w:w="3260" w:type="dxa"/>
            <w:shd w:val="clear" w:color="auto" w:fill="FFFFFF"/>
          </w:tcPr>
          <w:p w14:paraId="5ABB5C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Красноярск</w:t>
            </w:r>
          </w:p>
        </w:tc>
      </w:tr>
      <w:tr w:rsidR="009B487A" w:rsidRPr="00722885" w14:paraId="37A07BBD" w14:textId="77777777" w:rsidTr="00CC5360">
        <w:trPr>
          <w:gridAfter w:val="1"/>
          <w:wAfter w:w="8" w:type="dxa"/>
          <w:trHeight w:val="221"/>
        </w:trPr>
        <w:tc>
          <w:tcPr>
            <w:tcW w:w="2694" w:type="dxa"/>
            <w:shd w:val="clear" w:color="auto" w:fill="FFFFFF"/>
          </w:tcPr>
          <w:p w14:paraId="7F0BB5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456</w:t>
            </w:r>
          </w:p>
        </w:tc>
        <w:tc>
          <w:tcPr>
            <w:tcW w:w="3260" w:type="dxa"/>
            <w:shd w:val="clear" w:color="auto" w:fill="FFFFFF"/>
          </w:tcPr>
          <w:p w14:paraId="7F4290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 Химки</w:t>
            </w:r>
          </w:p>
        </w:tc>
      </w:tr>
      <w:tr w:rsidR="009B487A" w:rsidRPr="00722885" w14:paraId="4D9ED42C" w14:textId="77777777" w:rsidTr="00CC5360">
        <w:trPr>
          <w:gridAfter w:val="1"/>
          <w:wAfter w:w="8" w:type="dxa"/>
          <w:trHeight w:val="221"/>
        </w:trPr>
        <w:tc>
          <w:tcPr>
            <w:tcW w:w="2694" w:type="dxa"/>
            <w:shd w:val="clear" w:color="auto" w:fill="FFFFFF"/>
          </w:tcPr>
          <w:p w14:paraId="22B7C0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462</w:t>
            </w:r>
          </w:p>
        </w:tc>
        <w:tc>
          <w:tcPr>
            <w:tcW w:w="3260" w:type="dxa"/>
            <w:shd w:val="clear" w:color="auto" w:fill="FFFFFF"/>
          </w:tcPr>
          <w:p w14:paraId="7E563E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smallCaps/>
                <w:color w:val="000000" w:themeColor="text1"/>
                <w:sz w:val="16"/>
                <w:szCs w:val="16"/>
              </w:rPr>
              <w:t>ст.</w:t>
            </w:r>
            <w:r w:rsidRPr="00722885">
              <w:rPr>
                <w:rFonts w:ascii="Times New Roman" w:hAnsi="Times New Roman"/>
                <w:color w:val="000000" w:themeColor="text1"/>
                <w:sz w:val="16"/>
                <w:szCs w:val="16"/>
              </w:rPr>
              <w:t>Долгопрудный</w:t>
            </w:r>
          </w:p>
        </w:tc>
      </w:tr>
      <w:tr w:rsidR="009B487A" w:rsidRPr="00722885" w14:paraId="34A37274" w14:textId="77777777" w:rsidTr="00CC5360">
        <w:trPr>
          <w:gridAfter w:val="1"/>
          <w:wAfter w:w="8" w:type="dxa"/>
          <w:trHeight w:val="226"/>
        </w:trPr>
        <w:tc>
          <w:tcPr>
            <w:tcW w:w="2694" w:type="dxa"/>
            <w:shd w:val="clear" w:color="auto" w:fill="FFFFFF"/>
          </w:tcPr>
          <w:p w14:paraId="613E7B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w:t>
            </w:r>
          </w:p>
        </w:tc>
        <w:tc>
          <w:tcPr>
            <w:tcW w:w="3260" w:type="dxa"/>
            <w:shd w:val="clear" w:color="auto" w:fill="FFFFFF"/>
          </w:tcPr>
          <w:p w14:paraId="350FA7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58AF547F" w14:textId="77777777" w:rsidTr="00CC5360">
        <w:trPr>
          <w:gridAfter w:val="1"/>
          <w:wAfter w:w="8" w:type="dxa"/>
          <w:trHeight w:val="221"/>
        </w:trPr>
        <w:tc>
          <w:tcPr>
            <w:tcW w:w="2694" w:type="dxa"/>
            <w:shd w:val="clear" w:color="auto" w:fill="FFFFFF"/>
          </w:tcPr>
          <w:p w14:paraId="7D6A8F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156</w:t>
            </w:r>
          </w:p>
        </w:tc>
        <w:tc>
          <w:tcPr>
            <w:tcW w:w="3260" w:type="dxa"/>
            <w:shd w:val="clear" w:color="auto" w:fill="FFFFFF"/>
          </w:tcPr>
          <w:p w14:paraId="7C18A6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49850D42" w14:textId="77777777" w:rsidTr="00CC5360">
        <w:trPr>
          <w:gridAfter w:val="1"/>
          <w:wAfter w:w="8" w:type="dxa"/>
          <w:trHeight w:val="221"/>
        </w:trPr>
        <w:tc>
          <w:tcPr>
            <w:tcW w:w="2694" w:type="dxa"/>
            <w:shd w:val="clear" w:color="auto" w:fill="FFFFFF"/>
          </w:tcPr>
          <w:p w14:paraId="594965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164</w:t>
            </w:r>
          </w:p>
        </w:tc>
        <w:tc>
          <w:tcPr>
            <w:tcW w:w="3260" w:type="dxa"/>
            <w:shd w:val="clear" w:color="auto" w:fill="FFFFFF"/>
          </w:tcPr>
          <w:p w14:paraId="6FBD3A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Кунцево</w:t>
            </w:r>
          </w:p>
        </w:tc>
      </w:tr>
      <w:tr w:rsidR="009B487A" w:rsidRPr="00722885" w14:paraId="5166C247" w14:textId="77777777" w:rsidTr="00CC5360">
        <w:trPr>
          <w:gridAfter w:val="1"/>
          <w:wAfter w:w="8" w:type="dxa"/>
          <w:trHeight w:val="226"/>
        </w:trPr>
        <w:tc>
          <w:tcPr>
            <w:tcW w:w="2694" w:type="dxa"/>
            <w:shd w:val="clear" w:color="auto" w:fill="FFFFFF"/>
          </w:tcPr>
          <w:p w14:paraId="105A67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w:t>
            </w:r>
          </w:p>
        </w:tc>
        <w:tc>
          <w:tcPr>
            <w:tcW w:w="3260" w:type="dxa"/>
            <w:shd w:val="clear" w:color="auto" w:fill="FFFFFF"/>
          </w:tcPr>
          <w:p w14:paraId="77429B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smallCaps/>
                <w:color w:val="000000" w:themeColor="text1"/>
                <w:sz w:val="16"/>
                <w:szCs w:val="16"/>
              </w:rPr>
              <w:t>ст.</w:t>
            </w:r>
            <w:r w:rsidRPr="00722885">
              <w:rPr>
                <w:rFonts w:ascii="Times New Roman" w:hAnsi="Times New Roman"/>
                <w:color w:val="000000" w:themeColor="text1"/>
                <w:sz w:val="16"/>
                <w:szCs w:val="16"/>
              </w:rPr>
              <w:t xml:space="preserve"> Химки</w:t>
            </w:r>
          </w:p>
        </w:tc>
      </w:tr>
      <w:tr w:rsidR="009B487A" w:rsidRPr="00722885" w14:paraId="00348979" w14:textId="77777777" w:rsidTr="00CC5360">
        <w:trPr>
          <w:gridAfter w:val="1"/>
          <w:wAfter w:w="8" w:type="dxa"/>
          <w:trHeight w:val="221"/>
        </w:trPr>
        <w:tc>
          <w:tcPr>
            <w:tcW w:w="2694" w:type="dxa"/>
            <w:shd w:val="clear" w:color="auto" w:fill="FFFFFF"/>
          </w:tcPr>
          <w:p w14:paraId="6E37EC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380</w:t>
            </w:r>
          </w:p>
        </w:tc>
        <w:tc>
          <w:tcPr>
            <w:tcW w:w="3260" w:type="dxa"/>
            <w:shd w:val="clear" w:color="auto" w:fill="FFFFFF"/>
          </w:tcPr>
          <w:p w14:paraId="7274A6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Калининград (Московская обл.)</w:t>
            </w:r>
          </w:p>
        </w:tc>
      </w:tr>
      <w:tr w:rsidR="009B487A" w:rsidRPr="00722885" w14:paraId="757E724A" w14:textId="77777777" w:rsidTr="00CC5360">
        <w:trPr>
          <w:gridAfter w:val="1"/>
          <w:wAfter w:w="8" w:type="dxa"/>
          <w:trHeight w:val="221"/>
        </w:trPr>
        <w:tc>
          <w:tcPr>
            <w:tcW w:w="2694" w:type="dxa"/>
            <w:shd w:val="clear" w:color="auto" w:fill="FFFFFF"/>
          </w:tcPr>
          <w:p w14:paraId="7A8AA3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447</w:t>
            </w:r>
          </w:p>
        </w:tc>
        <w:tc>
          <w:tcPr>
            <w:tcW w:w="3260" w:type="dxa"/>
            <w:shd w:val="clear" w:color="auto" w:fill="FFFFFF"/>
          </w:tcPr>
          <w:p w14:paraId="33AC56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Ереван</w:t>
            </w:r>
          </w:p>
        </w:tc>
      </w:tr>
      <w:tr w:rsidR="009B487A" w:rsidRPr="00722885" w14:paraId="28B3F579" w14:textId="77777777" w:rsidTr="00CC5360">
        <w:trPr>
          <w:gridAfter w:val="1"/>
          <w:wAfter w:w="8" w:type="dxa"/>
          <w:trHeight w:val="221"/>
        </w:trPr>
        <w:tc>
          <w:tcPr>
            <w:tcW w:w="2694" w:type="dxa"/>
            <w:shd w:val="clear" w:color="auto" w:fill="FFFFFF"/>
          </w:tcPr>
          <w:p w14:paraId="0EF377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453</w:t>
            </w:r>
          </w:p>
        </w:tc>
        <w:tc>
          <w:tcPr>
            <w:tcW w:w="3260" w:type="dxa"/>
            <w:shd w:val="clear" w:color="auto" w:fill="FFFFFF"/>
          </w:tcPr>
          <w:p w14:paraId="2D336B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Тушино</w:t>
            </w:r>
          </w:p>
        </w:tc>
      </w:tr>
      <w:tr w:rsidR="009B487A" w:rsidRPr="00722885" w14:paraId="4E3661A1" w14:textId="77777777" w:rsidTr="00CC5360">
        <w:trPr>
          <w:gridAfter w:val="1"/>
          <w:wAfter w:w="8" w:type="dxa"/>
          <w:trHeight w:val="226"/>
        </w:trPr>
        <w:tc>
          <w:tcPr>
            <w:tcW w:w="2694" w:type="dxa"/>
            <w:shd w:val="clear" w:color="auto" w:fill="FFFFFF"/>
          </w:tcPr>
          <w:p w14:paraId="1ADCE6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482</w:t>
            </w:r>
          </w:p>
        </w:tc>
        <w:tc>
          <w:tcPr>
            <w:tcW w:w="3260" w:type="dxa"/>
            <w:shd w:val="clear" w:color="auto" w:fill="FFFFFF"/>
          </w:tcPr>
          <w:p w14:paraId="278256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5D35EBBE" w14:textId="77777777" w:rsidTr="00CC5360">
        <w:trPr>
          <w:gridAfter w:val="1"/>
          <w:wAfter w:w="8" w:type="dxa"/>
          <w:trHeight w:val="221"/>
        </w:trPr>
        <w:tc>
          <w:tcPr>
            <w:tcW w:w="2694" w:type="dxa"/>
            <w:shd w:val="clear" w:color="auto" w:fill="FFFFFF"/>
          </w:tcPr>
          <w:p w14:paraId="174C2F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477бис</w:t>
            </w:r>
          </w:p>
        </w:tc>
        <w:tc>
          <w:tcPr>
            <w:tcW w:w="3260" w:type="dxa"/>
            <w:shd w:val="clear" w:color="auto" w:fill="FFFFFF"/>
          </w:tcPr>
          <w:p w14:paraId="60BA11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 Лаптево,</w:t>
            </w:r>
            <w:r w:rsidRPr="00722885">
              <w:rPr>
                <w:rFonts w:ascii="Times New Roman" w:hAnsi="Times New Roman"/>
                <w:iCs/>
                <w:color w:val="000000" w:themeColor="text1"/>
                <w:sz w:val="16"/>
                <w:szCs w:val="16"/>
              </w:rPr>
              <w:t xml:space="preserve"> Тульская</w:t>
            </w:r>
            <w:r w:rsidRPr="00722885">
              <w:rPr>
                <w:rFonts w:ascii="Times New Roman" w:hAnsi="Times New Roman"/>
                <w:color w:val="000000" w:themeColor="text1"/>
                <w:sz w:val="16"/>
                <w:szCs w:val="16"/>
              </w:rPr>
              <w:t xml:space="preserve"> обл.</w:t>
            </w:r>
          </w:p>
        </w:tc>
      </w:tr>
      <w:tr w:rsidR="009B487A" w:rsidRPr="00722885" w14:paraId="031A611F" w14:textId="77777777" w:rsidTr="00CC5360">
        <w:trPr>
          <w:gridAfter w:val="1"/>
          <w:wAfter w:w="8" w:type="dxa"/>
          <w:trHeight w:val="226"/>
        </w:trPr>
        <w:tc>
          <w:tcPr>
            <w:tcW w:w="2694" w:type="dxa"/>
            <w:shd w:val="clear" w:color="auto" w:fill="FFFFFF"/>
          </w:tcPr>
          <w:p w14:paraId="78A1CA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177</w:t>
            </w:r>
          </w:p>
        </w:tc>
        <w:tc>
          <w:tcPr>
            <w:tcW w:w="3260" w:type="dxa"/>
            <w:shd w:val="clear" w:color="auto" w:fill="FFFFFF"/>
          </w:tcPr>
          <w:p w14:paraId="71D493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Чита</w:t>
            </w:r>
          </w:p>
        </w:tc>
      </w:tr>
      <w:tr w:rsidR="009B487A" w:rsidRPr="00722885" w14:paraId="4D26B655" w14:textId="77777777" w:rsidTr="00CC5360">
        <w:trPr>
          <w:gridAfter w:val="1"/>
          <w:wAfter w:w="8" w:type="dxa"/>
          <w:trHeight w:val="221"/>
        </w:trPr>
        <w:tc>
          <w:tcPr>
            <w:tcW w:w="5954" w:type="dxa"/>
            <w:gridSpan w:val="2"/>
            <w:shd w:val="clear" w:color="auto" w:fill="FFFFFF"/>
          </w:tcPr>
          <w:p w14:paraId="260C9E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lang w:val="en-US"/>
              </w:rPr>
              <w:t>V</w:t>
            </w:r>
            <w:r w:rsidRPr="00722885">
              <w:rPr>
                <w:rFonts w:ascii="Times New Roman" w:hAnsi="Times New Roman"/>
                <w:iCs/>
                <w:color w:val="000000" w:themeColor="text1"/>
                <w:sz w:val="16"/>
                <w:szCs w:val="16"/>
              </w:rPr>
              <w:t>ГУ</w:t>
            </w:r>
          </w:p>
        </w:tc>
      </w:tr>
      <w:tr w:rsidR="009B487A" w:rsidRPr="00722885" w14:paraId="4E4C2C3C" w14:textId="77777777" w:rsidTr="00CC5360">
        <w:trPr>
          <w:gridAfter w:val="1"/>
          <w:wAfter w:w="8" w:type="dxa"/>
          <w:trHeight w:val="221"/>
        </w:trPr>
        <w:tc>
          <w:tcPr>
            <w:tcW w:w="2694" w:type="dxa"/>
            <w:shd w:val="clear" w:color="auto" w:fill="FFFFFF"/>
          </w:tcPr>
          <w:p w14:paraId="612DB9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w:t>
            </w:r>
          </w:p>
        </w:tc>
        <w:tc>
          <w:tcPr>
            <w:tcW w:w="3260" w:type="dxa"/>
            <w:shd w:val="clear" w:color="auto" w:fill="FFFFFF"/>
          </w:tcPr>
          <w:p w14:paraId="3235A0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546A6044" w14:textId="77777777" w:rsidTr="00CC5360">
        <w:trPr>
          <w:gridAfter w:val="1"/>
          <w:wAfter w:w="8" w:type="dxa"/>
          <w:trHeight w:val="221"/>
        </w:trPr>
        <w:tc>
          <w:tcPr>
            <w:tcW w:w="2694" w:type="dxa"/>
            <w:shd w:val="clear" w:color="auto" w:fill="FFFFFF"/>
          </w:tcPr>
          <w:p w14:paraId="5B49E0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w:t>
            </w:r>
          </w:p>
        </w:tc>
        <w:tc>
          <w:tcPr>
            <w:tcW w:w="3260" w:type="dxa"/>
            <w:shd w:val="clear" w:color="auto" w:fill="FFFFFF"/>
          </w:tcPr>
          <w:p w14:paraId="3C318F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67D30500" w14:textId="77777777" w:rsidTr="00CC5360">
        <w:trPr>
          <w:gridAfter w:val="1"/>
          <w:wAfter w:w="8" w:type="dxa"/>
          <w:trHeight w:val="221"/>
        </w:trPr>
        <w:tc>
          <w:tcPr>
            <w:tcW w:w="2694" w:type="dxa"/>
            <w:shd w:val="clear" w:color="auto" w:fill="FFFFFF"/>
          </w:tcPr>
          <w:p w14:paraId="0FFBF8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133</w:t>
            </w:r>
          </w:p>
        </w:tc>
        <w:tc>
          <w:tcPr>
            <w:tcW w:w="3260" w:type="dxa"/>
            <w:shd w:val="clear" w:color="auto" w:fill="FFFFFF"/>
          </w:tcPr>
          <w:p w14:paraId="506FB0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2065FF92" w14:textId="77777777" w:rsidTr="00CC5360">
        <w:trPr>
          <w:gridAfter w:val="1"/>
          <w:wAfter w:w="8" w:type="dxa"/>
          <w:trHeight w:val="221"/>
        </w:trPr>
        <w:tc>
          <w:tcPr>
            <w:tcW w:w="2694" w:type="dxa"/>
            <w:shd w:val="clear" w:color="auto" w:fill="FFFFFF"/>
          </w:tcPr>
          <w:p w14:paraId="2573BD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144</w:t>
            </w:r>
          </w:p>
        </w:tc>
        <w:tc>
          <w:tcPr>
            <w:tcW w:w="3260" w:type="dxa"/>
            <w:shd w:val="clear" w:color="auto" w:fill="FFFFFF"/>
          </w:tcPr>
          <w:p w14:paraId="6436AB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Раменская, Московски оба.</w:t>
            </w:r>
          </w:p>
        </w:tc>
      </w:tr>
      <w:tr w:rsidR="009B487A" w:rsidRPr="00722885" w14:paraId="5319D2D8" w14:textId="77777777" w:rsidTr="00CC5360">
        <w:trPr>
          <w:gridAfter w:val="1"/>
          <w:wAfter w:w="8" w:type="dxa"/>
          <w:trHeight w:val="221"/>
        </w:trPr>
        <w:tc>
          <w:tcPr>
            <w:tcW w:w="2694" w:type="dxa"/>
            <w:shd w:val="clear" w:color="auto" w:fill="FFFFFF"/>
          </w:tcPr>
          <w:p w14:paraId="040A3C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213</w:t>
            </w:r>
          </w:p>
        </w:tc>
        <w:tc>
          <w:tcPr>
            <w:tcW w:w="3260" w:type="dxa"/>
            <w:shd w:val="clear" w:color="auto" w:fill="FFFFFF"/>
          </w:tcPr>
          <w:p w14:paraId="17AFEC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Энгельс</w:t>
            </w:r>
          </w:p>
        </w:tc>
      </w:tr>
      <w:tr w:rsidR="009B487A" w:rsidRPr="00722885" w14:paraId="1BAC3B81" w14:textId="77777777" w:rsidTr="00CC5360">
        <w:trPr>
          <w:gridAfter w:val="1"/>
          <w:wAfter w:w="8" w:type="dxa"/>
          <w:trHeight w:val="226"/>
        </w:trPr>
        <w:tc>
          <w:tcPr>
            <w:tcW w:w="2694" w:type="dxa"/>
            <w:shd w:val="clear" w:color="auto" w:fill="FFFFFF"/>
          </w:tcPr>
          <w:p w14:paraId="20BA8D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214</w:t>
            </w:r>
          </w:p>
        </w:tc>
        <w:tc>
          <w:tcPr>
            <w:tcW w:w="3260" w:type="dxa"/>
            <w:shd w:val="clear" w:color="auto" w:fill="FFFFFF"/>
          </w:tcPr>
          <w:p w14:paraId="2FD50E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Свердловск</w:t>
            </w:r>
          </w:p>
        </w:tc>
      </w:tr>
      <w:tr w:rsidR="009B487A" w:rsidRPr="00722885" w14:paraId="2E55D01C" w14:textId="77777777" w:rsidTr="00CC5360">
        <w:trPr>
          <w:gridAfter w:val="1"/>
          <w:wAfter w:w="8" w:type="dxa"/>
          <w:trHeight w:val="221"/>
        </w:trPr>
        <w:tc>
          <w:tcPr>
            <w:tcW w:w="2694" w:type="dxa"/>
            <w:shd w:val="clear" w:color="auto" w:fill="FFFFFF"/>
          </w:tcPr>
          <w:p w14:paraId="39737D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w:t>
            </w:r>
          </w:p>
        </w:tc>
        <w:tc>
          <w:tcPr>
            <w:tcW w:w="3260" w:type="dxa"/>
            <w:shd w:val="clear" w:color="auto" w:fill="FFFFFF"/>
          </w:tcPr>
          <w:p w14:paraId="1EA4AB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Казань</w:t>
            </w:r>
          </w:p>
        </w:tc>
      </w:tr>
      <w:tr w:rsidR="009B487A" w:rsidRPr="00722885" w14:paraId="062F05C9" w14:textId="77777777" w:rsidTr="00CC5360">
        <w:trPr>
          <w:gridAfter w:val="1"/>
          <w:wAfter w:w="8" w:type="dxa"/>
          <w:trHeight w:val="221"/>
        </w:trPr>
        <w:tc>
          <w:tcPr>
            <w:tcW w:w="2694" w:type="dxa"/>
            <w:shd w:val="clear" w:color="auto" w:fill="FFFFFF"/>
          </w:tcPr>
          <w:p w14:paraId="2D1D89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279</w:t>
            </w:r>
          </w:p>
        </w:tc>
        <w:tc>
          <w:tcPr>
            <w:tcW w:w="3260" w:type="dxa"/>
            <w:shd w:val="clear" w:color="auto" w:fill="FFFFFF"/>
          </w:tcPr>
          <w:p w14:paraId="612291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Ижевск</w:t>
            </w:r>
          </w:p>
        </w:tc>
      </w:tr>
      <w:tr w:rsidR="009B487A" w:rsidRPr="00722885" w14:paraId="68B7BB5B" w14:textId="77777777" w:rsidTr="00CC5360">
        <w:trPr>
          <w:gridAfter w:val="1"/>
          <w:wAfter w:w="8" w:type="dxa"/>
          <w:trHeight w:val="221"/>
        </w:trPr>
        <w:tc>
          <w:tcPr>
            <w:tcW w:w="2694" w:type="dxa"/>
            <w:shd w:val="clear" w:color="auto" w:fill="FFFFFF"/>
          </w:tcPr>
          <w:p w14:paraId="54FDAC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280</w:t>
            </w:r>
          </w:p>
        </w:tc>
        <w:tc>
          <w:tcPr>
            <w:tcW w:w="3260" w:type="dxa"/>
            <w:shd w:val="clear" w:color="auto" w:fill="FFFFFF"/>
          </w:tcPr>
          <w:p w14:paraId="22D1E1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Ульяновск</w:t>
            </w:r>
          </w:p>
        </w:tc>
      </w:tr>
      <w:tr w:rsidR="009B487A" w:rsidRPr="00722885" w14:paraId="67E53542" w14:textId="77777777" w:rsidTr="00CC5360">
        <w:trPr>
          <w:gridAfter w:val="1"/>
          <w:wAfter w:w="8" w:type="dxa"/>
          <w:trHeight w:val="250"/>
        </w:trPr>
        <w:tc>
          <w:tcPr>
            <w:tcW w:w="2694" w:type="dxa"/>
            <w:shd w:val="clear" w:color="auto" w:fill="FFFFFF"/>
          </w:tcPr>
          <w:p w14:paraId="6B9B8D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282</w:t>
            </w:r>
          </w:p>
        </w:tc>
        <w:tc>
          <w:tcPr>
            <w:tcW w:w="3260" w:type="dxa"/>
            <w:shd w:val="clear" w:color="auto" w:fill="FFFFFF"/>
          </w:tcPr>
          <w:p w14:paraId="4994AE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1F915CD6" w14:textId="77777777" w:rsidTr="00CC5360">
        <w:trPr>
          <w:gridAfter w:val="1"/>
          <w:wAfter w:w="8" w:type="dxa"/>
          <w:trHeight w:val="226"/>
        </w:trPr>
        <w:tc>
          <w:tcPr>
            <w:tcW w:w="2694" w:type="dxa"/>
            <w:shd w:val="clear" w:color="auto" w:fill="FFFFFF"/>
          </w:tcPr>
          <w:p w14:paraId="5F3902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339</w:t>
            </w:r>
          </w:p>
        </w:tc>
        <w:tc>
          <w:tcPr>
            <w:tcW w:w="3260" w:type="dxa"/>
            <w:shd w:val="clear" w:color="auto" w:fill="FFFFFF"/>
          </w:tcPr>
          <w:p w14:paraId="291B83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6E15A118" w14:textId="77777777" w:rsidTr="00CC5360">
        <w:trPr>
          <w:gridAfter w:val="1"/>
          <w:wAfter w:w="8" w:type="dxa"/>
          <w:trHeight w:val="216"/>
        </w:trPr>
        <w:tc>
          <w:tcPr>
            <w:tcW w:w="2694" w:type="dxa"/>
            <w:shd w:val="clear" w:color="auto" w:fill="FFFFFF"/>
          </w:tcPr>
          <w:p w14:paraId="26A337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382</w:t>
            </w:r>
          </w:p>
        </w:tc>
        <w:tc>
          <w:tcPr>
            <w:tcW w:w="3260" w:type="dxa"/>
            <w:shd w:val="clear" w:color="auto" w:fill="FFFFFF"/>
          </w:tcPr>
          <w:p w14:paraId="5E89F8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469A8E5D" w14:textId="77777777" w:rsidTr="00CC5360">
        <w:trPr>
          <w:gridAfter w:val="1"/>
          <w:wAfter w:w="8" w:type="dxa"/>
          <w:trHeight w:val="226"/>
        </w:trPr>
        <w:tc>
          <w:tcPr>
            <w:tcW w:w="2694" w:type="dxa"/>
            <w:shd w:val="clear" w:color="auto" w:fill="FFFFFF"/>
          </w:tcPr>
          <w:p w14:paraId="4ED201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384</w:t>
            </w:r>
          </w:p>
        </w:tc>
        <w:tc>
          <w:tcPr>
            <w:tcW w:w="3260" w:type="dxa"/>
            <w:shd w:val="clear" w:color="auto" w:fill="FFFFFF"/>
          </w:tcPr>
          <w:p w14:paraId="69A052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Мончаж</w:t>
            </w:r>
          </w:p>
        </w:tc>
      </w:tr>
      <w:tr w:rsidR="009B487A" w:rsidRPr="00722885" w14:paraId="6DB3C878" w14:textId="77777777" w:rsidTr="00CC5360">
        <w:trPr>
          <w:gridAfter w:val="1"/>
          <w:wAfter w:w="8" w:type="dxa"/>
          <w:trHeight w:val="221"/>
        </w:trPr>
        <w:tc>
          <w:tcPr>
            <w:tcW w:w="2694" w:type="dxa"/>
            <w:shd w:val="clear" w:color="auto" w:fill="FFFFFF"/>
          </w:tcPr>
          <w:p w14:paraId="325463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448</w:t>
            </w:r>
          </w:p>
        </w:tc>
        <w:tc>
          <w:tcPr>
            <w:tcW w:w="3260" w:type="dxa"/>
            <w:shd w:val="clear" w:color="auto" w:fill="FFFFFF"/>
          </w:tcPr>
          <w:p w14:paraId="6A6988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Казань</w:t>
            </w:r>
          </w:p>
        </w:tc>
      </w:tr>
      <w:tr w:rsidR="009B487A" w:rsidRPr="00722885" w14:paraId="0CD7C192" w14:textId="77777777" w:rsidTr="00CC5360">
        <w:trPr>
          <w:gridAfter w:val="1"/>
          <w:wAfter w:w="8" w:type="dxa"/>
          <w:trHeight w:val="221"/>
        </w:trPr>
        <w:tc>
          <w:tcPr>
            <w:tcW w:w="2694" w:type="dxa"/>
            <w:shd w:val="clear" w:color="auto" w:fill="FFFFFF"/>
          </w:tcPr>
          <w:p w14:paraId="251E83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452</w:t>
            </w:r>
          </w:p>
        </w:tc>
        <w:tc>
          <w:tcPr>
            <w:tcW w:w="3260" w:type="dxa"/>
            <w:shd w:val="clear" w:color="auto" w:fill="FFFFFF"/>
          </w:tcPr>
          <w:p w14:paraId="1E9673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Владимир</w:t>
            </w:r>
          </w:p>
        </w:tc>
      </w:tr>
      <w:tr w:rsidR="009B487A" w:rsidRPr="00722885" w14:paraId="525CE17D" w14:textId="77777777" w:rsidTr="00CC5360">
        <w:trPr>
          <w:gridAfter w:val="1"/>
          <w:wAfter w:w="8" w:type="dxa"/>
          <w:trHeight w:val="221"/>
        </w:trPr>
        <w:tc>
          <w:tcPr>
            <w:tcW w:w="2694" w:type="dxa"/>
            <w:shd w:val="clear" w:color="auto" w:fill="FFFFFF"/>
          </w:tcPr>
          <w:p w14:paraId="4C29B9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470</w:t>
            </w:r>
          </w:p>
        </w:tc>
        <w:tc>
          <w:tcPr>
            <w:tcW w:w="3260" w:type="dxa"/>
            <w:shd w:val="clear" w:color="auto" w:fill="FFFFFF"/>
          </w:tcPr>
          <w:p w14:paraId="77C818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Молотов</w:t>
            </w:r>
          </w:p>
        </w:tc>
      </w:tr>
      <w:tr w:rsidR="009B487A" w:rsidRPr="00722885" w14:paraId="344165CF" w14:textId="77777777" w:rsidTr="00CC5360">
        <w:trPr>
          <w:gridAfter w:val="1"/>
          <w:wAfter w:w="8" w:type="dxa"/>
          <w:trHeight w:val="226"/>
        </w:trPr>
        <w:tc>
          <w:tcPr>
            <w:tcW w:w="2694" w:type="dxa"/>
            <w:shd w:val="clear" w:color="auto" w:fill="FFFFFF"/>
          </w:tcPr>
          <w:p w14:paraId="504349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474</w:t>
            </w:r>
          </w:p>
        </w:tc>
        <w:tc>
          <w:tcPr>
            <w:tcW w:w="3260" w:type="dxa"/>
            <w:shd w:val="clear" w:color="auto" w:fill="FFFFFF"/>
          </w:tcPr>
          <w:p w14:paraId="4069C1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Свердловск</w:t>
            </w:r>
          </w:p>
        </w:tc>
      </w:tr>
      <w:tr w:rsidR="009B487A" w:rsidRPr="00722885" w14:paraId="753FC91B" w14:textId="77777777" w:rsidTr="00CC5360">
        <w:trPr>
          <w:gridAfter w:val="1"/>
          <w:wAfter w:w="8" w:type="dxa"/>
          <w:trHeight w:val="216"/>
        </w:trPr>
        <w:tc>
          <w:tcPr>
            <w:tcW w:w="2694" w:type="dxa"/>
            <w:shd w:val="clear" w:color="auto" w:fill="FFFFFF"/>
          </w:tcPr>
          <w:p w14:paraId="4BEB7F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328</w:t>
            </w:r>
          </w:p>
        </w:tc>
        <w:tc>
          <w:tcPr>
            <w:tcW w:w="3260" w:type="dxa"/>
            <w:shd w:val="clear" w:color="auto" w:fill="FFFFFF"/>
          </w:tcPr>
          <w:p w14:paraId="24809E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Владимир</w:t>
            </w:r>
          </w:p>
        </w:tc>
      </w:tr>
      <w:tr w:rsidR="009B487A" w:rsidRPr="00722885" w14:paraId="12BD51A7" w14:textId="77777777" w:rsidTr="00CC5360">
        <w:trPr>
          <w:gridAfter w:val="1"/>
          <w:wAfter w:w="8" w:type="dxa"/>
          <w:trHeight w:val="226"/>
        </w:trPr>
        <w:tc>
          <w:tcPr>
            <w:tcW w:w="5954" w:type="dxa"/>
            <w:gridSpan w:val="2"/>
            <w:shd w:val="clear" w:color="auto" w:fill="FFFFFF"/>
          </w:tcPr>
          <w:p w14:paraId="2B12FE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 xml:space="preserve">IX </w:t>
            </w:r>
            <w:r w:rsidRPr="00722885">
              <w:rPr>
                <w:rFonts w:ascii="Times New Roman" w:hAnsi="Times New Roman"/>
                <w:color w:val="000000" w:themeColor="text1"/>
                <w:sz w:val="16"/>
                <w:szCs w:val="16"/>
              </w:rPr>
              <w:t>ГУ</w:t>
            </w:r>
          </w:p>
        </w:tc>
      </w:tr>
      <w:tr w:rsidR="009B487A" w:rsidRPr="00722885" w14:paraId="055AC295" w14:textId="77777777" w:rsidTr="00CC5360">
        <w:trPr>
          <w:gridAfter w:val="1"/>
          <w:wAfter w:w="8" w:type="dxa"/>
          <w:trHeight w:val="221"/>
        </w:trPr>
        <w:tc>
          <w:tcPr>
            <w:tcW w:w="2694" w:type="dxa"/>
            <w:shd w:val="clear" w:color="auto" w:fill="FFFFFF"/>
          </w:tcPr>
          <w:p w14:paraId="03F23E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w:t>
            </w:r>
          </w:p>
        </w:tc>
        <w:tc>
          <w:tcPr>
            <w:tcW w:w="3260" w:type="dxa"/>
            <w:shd w:val="clear" w:color="auto" w:fill="FFFFFF"/>
          </w:tcPr>
          <w:p w14:paraId="7F4140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Уфа</w:t>
            </w:r>
          </w:p>
        </w:tc>
      </w:tr>
      <w:tr w:rsidR="009B487A" w:rsidRPr="00722885" w14:paraId="77D1E880" w14:textId="77777777" w:rsidTr="00CC5360">
        <w:trPr>
          <w:gridAfter w:val="1"/>
          <w:wAfter w:w="8" w:type="dxa"/>
          <w:trHeight w:val="221"/>
        </w:trPr>
        <w:tc>
          <w:tcPr>
            <w:tcW w:w="2694" w:type="dxa"/>
            <w:shd w:val="clear" w:color="auto" w:fill="FFFFFF"/>
          </w:tcPr>
          <w:p w14:paraId="05E775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w:t>
            </w:r>
          </w:p>
        </w:tc>
        <w:tc>
          <w:tcPr>
            <w:tcW w:w="3260" w:type="dxa"/>
            <w:shd w:val="clear" w:color="auto" w:fill="FFFFFF"/>
          </w:tcPr>
          <w:p w14:paraId="1B8C7E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Верхняя Салда</w:t>
            </w:r>
          </w:p>
        </w:tc>
      </w:tr>
      <w:tr w:rsidR="009B487A" w:rsidRPr="00722885" w14:paraId="68B3E8D8" w14:textId="77777777" w:rsidTr="00CC5360">
        <w:trPr>
          <w:gridAfter w:val="1"/>
          <w:wAfter w:w="8" w:type="dxa"/>
          <w:trHeight w:val="221"/>
        </w:trPr>
        <w:tc>
          <w:tcPr>
            <w:tcW w:w="2694" w:type="dxa"/>
            <w:shd w:val="clear" w:color="auto" w:fill="FFFFFF"/>
          </w:tcPr>
          <w:p w14:paraId="4AD17A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 филиал</w:t>
            </w:r>
          </w:p>
        </w:tc>
        <w:tc>
          <w:tcPr>
            <w:tcW w:w="3260" w:type="dxa"/>
            <w:shd w:val="clear" w:color="auto" w:fill="FFFFFF"/>
          </w:tcPr>
          <w:p w14:paraId="615082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Сетунь, Московская обл.</w:t>
            </w:r>
          </w:p>
        </w:tc>
      </w:tr>
      <w:tr w:rsidR="009B487A" w:rsidRPr="00722885" w14:paraId="325DD810" w14:textId="77777777" w:rsidTr="00CC5360">
        <w:trPr>
          <w:gridAfter w:val="1"/>
          <w:wAfter w:w="8" w:type="dxa"/>
          <w:trHeight w:val="226"/>
        </w:trPr>
        <w:tc>
          <w:tcPr>
            <w:tcW w:w="2694" w:type="dxa"/>
            <w:shd w:val="clear" w:color="auto" w:fill="FFFFFF"/>
          </w:tcPr>
          <w:p w14:paraId="58F887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w:t>
            </w:r>
          </w:p>
        </w:tc>
        <w:tc>
          <w:tcPr>
            <w:tcW w:w="3260" w:type="dxa"/>
            <w:shd w:val="clear" w:color="auto" w:fill="FFFFFF"/>
          </w:tcPr>
          <w:p w14:paraId="5161DC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Ступино, Мосовская обл.</w:t>
            </w:r>
          </w:p>
        </w:tc>
      </w:tr>
      <w:tr w:rsidR="009B487A" w:rsidRPr="00722885" w14:paraId="724A47B8" w14:textId="77777777" w:rsidTr="00CC5360">
        <w:trPr>
          <w:gridAfter w:val="1"/>
          <w:wAfter w:w="8" w:type="dxa"/>
          <w:trHeight w:val="221"/>
        </w:trPr>
        <w:tc>
          <w:tcPr>
            <w:tcW w:w="2694" w:type="dxa"/>
            <w:shd w:val="clear" w:color="auto" w:fill="FFFFFF"/>
          </w:tcPr>
          <w:p w14:paraId="5536A7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268</w:t>
            </w:r>
          </w:p>
        </w:tc>
        <w:tc>
          <w:tcPr>
            <w:tcW w:w="3260" w:type="dxa"/>
            <w:shd w:val="clear" w:color="auto" w:fill="FFFFFF"/>
          </w:tcPr>
          <w:p w14:paraId="2CC08F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Каменск</w:t>
            </w:r>
          </w:p>
        </w:tc>
      </w:tr>
      <w:tr w:rsidR="009B487A" w:rsidRPr="00722885" w14:paraId="4BB8C7C8" w14:textId="77777777" w:rsidTr="00CC5360">
        <w:trPr>
          <w:gridAfter w:val="1"/>
          <w:wAfter w:w="8" w:type="dxa"/>
          <w:trHeight w:val="221"/>
        </w:trPr>
        <w:tc>
          <w:tcPr>
            <w:tcW w:w="2694" w:type="dxa"/>
            <w:shd w:val="clear" w:color="auto" w:fill="FFFFFF"/>
          </w:tcPr>
          <w:p w14:paraId="26AE4D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269</w:t>
            </w:r>
          </w:p>
        </w:tc>
        <w:tc>
          <w:tcPr>
            <w:tcW w:w="3260" w:type="dxa"/>
            <w:shd w:val="clear" w:color="auto" w:fill="FFFFFF"/>
          </w:tcPr>
          <w:p w14:paraId="07EDE0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Кирс, Кировскаа обл.</w:t>
            </w:r>
          </w:p>
        </w:tc>
      </w:tr>
      <w:tr w:rsidR="009B487A" w:rsidRPr="00722885" w14:paraId="2F9C82FF" w14:textId="77777777" w:rsidTr="00CC5360">
        <w:trPr>
          <w:gridAfter w:val="1"/>
          <w:wAfter w:w="8" w:type="dxa"/>
          <w:trHeight w:val="226"/>
        </w:trPr>
        <w:tc>
          <w:tcPr>
            <w:tcW w:w="5954" w:type="dxa"/>
            <w:gridSpan w:val="2"/>
            <w:shd w:val="clear" w:color="auto" w:fill="FFFFFF"/>
          </w:tcPr>
          <w:p w14:paraId="0AD52F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ХГУ</w:t>
            </w:r>
          </w:p>
        </w:tc>
      </w:tr>
      <w:tr w:rsidR="009B487A" w:rsidRPr="00722885" w14:paraId="7A6418F5" w14:textId="77777777" w:rsidTr="00CC5360">
        <w:trPr>
          <w:gridAfter w:val="1"/>
          <w:wAfter w:w="8" w:type="dxa"/>
          <w:trHeight w:val="221"/>
        </w:trPr>
        <w:tc>
          <w:tcPr>
            <w:tcW w:w="5954" w:type="dxa"/>
            <w:gridSpan w:val="2"/>
            <w:shd w:val="clear" w:color="auto" w:fill="FFFFFF"/>
          </w:tcPr>
          <w:p w14:paraId="225A39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1,18,22,23,30,39,81,84,125, 126,166,207,381</w:t>
            </w:r>
          </w:p>
        </w:tc>
      </w:tr>
      <w:tr w:rsidR="009B487A" w:rsidRPr="00722885" w14:paraId="43E7D2A3" w14:textId="77777777" w:rsidTr="00CC5360">
        <w:trPr>
          <w:gridAfter w:val="1"/>
          <w:wAfter w:w="8" w:type="dxa"/>
          <w:trHeight w:val="221"/>
        </w:trPr>
        <w:tc>
          <w:tcPr>
            <w:tcW w:w="5954" w:type="dxa"/>
            <w:gridSpan w:val="2"/>
            <w:shd w:val="clear" w:color="auto" w:fill="FFFFFF"/>
          </w:tcPr>
          <w:p w14:paraId="6D1E71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lang w:val="en-US"/>
              </w:rPr>
              <w:t>II</w:t>
            </w:r>
            <w:r w:rsidRPr="00722885">
              <w:rPr>
                <w:rFonts w:ascii="Times New Roman" w:hAnsi="Times New Roman"/>
                <w:iCs/>
                <w:color w:val="000000" w:themeColor="text1"/>
                <w:sz w:val="16"/>
                <w:szCs w:val="16"/>
              </w:rPr>
              <w:t>ГУ</w:t>
            </w:r>
          </w:p>
        </w:tc>
      </w:tr>
      <w:tr w:rsidR="009B487A" w:rsidRPr="00722885" w14:paraId="0BF405A8" w14:textId="77777777" w:rsidTr="00CC5360">
        <w:trPr>
          <w:gridAfter w:val="1"/>
          <w:wAfter w:w="8" w:type="dxa"/>
          <w:trHeight w:val="226"/>
        </w:trPr>
        <w:tc>
          <w:tcPr>
            <w:tcW w:w="2694" w:type="dxa"/>
            <w:shd w:val="clear" w:color="auto" w:fill="FFFFFF"/>
          </w:tcPr>
          <w:p w14:paraId="2F889F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w:t>
            </w:r>
          </w:p>
        </w:tc>
        <w:tc>
          <w:tcPr>
            <w:tcW w:w="3260" w:type="dxa"/>
            <w:shd w:val="clear" w:color="auto" w:fill="FFFFFF"/>
          </w:tcPr>
          <w:p w14:paraId="275F3E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Киров</w:t>
            </w:r>
          </w:p>
        </w:tc>
      </w:tr>
      <w:tr w:rsidR="009B487A" w:rsidRPr="00722885" w14:paraId="2C533AD1" w14:textId="77777777" w:rsidTr="00CC5360">
        <w:trPr>
          <w:gridAfter w:val="1"/>
          <w:wAfter w:w="8" w:type="dxa"/>
          <w:trHeight w:val="221"/>
        </w:trPr>
        <w:tc>
          <w:tcPr>
            <w:tcW w:w="2694" w:type="dxa"/>
            <w:shd w:val="clear" w:color="auto" w:fill="FFFFFF"/>
          </w:tcPr>
          <w:p w14:paraId="2B89C8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3260" w:type="dxa"/>
            <w:shd w:val="clear" w:color="auto" w:fill="FFFFFF"/>
          </w:tcPr>
          <w:p w14:paraId="5FD292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Троицк, Челабинская обл.</w:t>
            </w:r>
          </w:p>
        </w:tc>
      </w:tr>
      <w:tr w:rsidR="009B487A" w:rsidRPr="00722885" w14:paraId="2395F303" w14:textId="77777777" w:rsidTr="00CC5360">
        <w:trPr>
          <w:gridAfter w:val="1"/>
          <w:wAfter w:w="8" w:type="dxa"/>
          <w:trHeight w:val="221"/>
        </w:trPr>
        <w:tc>
          <w:tcPr>
            <w:tcW w:w="2694" w:type="dxa"/>
            <w:shd w:val="clear" w:color="auto" w:fill="FFFFFF"/>
          </w:tcPr>
          <w:p w14:paraId="100430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119</w:t>
            </w:r>
          </w:p>
        </w:tc>
        <w:tc>
          <w:tcPr>
            <w:tcW w:w="3260" w:type="dxa"/>
            <w:shd w:val="clear" w:color="auto" w:fill="FFFFFF"/>
          </w:tcPr>
          <w:p w14:paraId="0BC870A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Горький</w:t>
            </w:r>
          </w:p>
        </w:tc>
      </w:tr>
      <w:tr w:rsidR="009B487A" w:rsidRPr="00722885" w14:paraId="478F13ED" w14:textId="77777777" w:rsidTr="00CC5360">
        <w:trPr>
          <w:gridAfter w:val="1"/>
          <w:wAfter w:w="8" w:type="dxa"/>
          <w:trHeight w:val="226"/>
        </w:trPr>
        <w:tc>
          <w:tcPr>
            <w:tcW w:w="2694" w:type="dxa"/>
            <w:shd w:val="clear" w:color="auto" w:fill="FFFFFF"/>
          </w:tcPr>
          <w:p w14:paraId="4A986C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120</w:t>
            </w:r>
          </w:p>
        </w:tc>
        <w:tc>
          <w:tcPr>
            <w:tcW w:w="3260" w:type="dxa"/>
            <w:shd w:val="clear" w:color="auto" w:fill="FFFFFF"/>
          </w:tcPr>
          <w:p w14:paraId="549086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 Тагил</w:t>
            </w:r>
          </w:p>
        </w:tc>
      </w:tr>
      <w:tr w:rsidR="009B487A" w:rsidRPr="00722885" w14:paraId="0A190047" w14:textId="77777777" w:rsidTr="00CC5360">
        <w:trPr>
          <w:gridAfter w:val="1"/>
          <w:wAfter w:w="8" w:type="dxa"/>
          <w:trHeight w:val="221"/>
        </w:trPr>
        <w:tc>
          <w:tcPr>
            <w:tcW w:w="2694" w:type="dxa"/>
            <w:shd w:val="clear" w:color="auto" w:fill="FFFFFF"/>
          </w:tcPr>
          <w:p w14:paraId="56FC35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145</w:t>
            </w:r>
          </w:p>
        </w:tc>
        <w:tc>
          <w:tcPr>
            <w:tcW w:w="3260" w:type="dxa"/>
            <w:shd w:val="clear" w:color="auto" w:fill="FFFFFF"/>
          </w:tcPr>
          <w:p w14:paraId="2491D8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Куйбышев</w:t>
            </w:r>
          </w:p>
        </w:tc>
      </w:tr>
      <w:tr w:rsidR="009B487A" w:rsidRPr="00722885" w14:paraId="0EC524EB" w14:textId="77777777" w:rsidTr="00CC5360">
        <w:trPr>
          <w:gridAfter w:val="1"/>
          <w:wAfter w:w="8" w:type="dxa"/>
          <w:trHeight w:val="221"/>
        </w:trPr>
        <w:tc>
          <w:tcPr>
            <w:tcW w:w="2694" w:type="dxa"/>
            <w:shd w:val="clear" w:color="auto" w:fill="FFFFFF"/>
          </w:tcPr>
          <w:p w14:paraId="7C2C49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286</w:t>
            </w:r>
          </w:p>
        </w:tc>
        <w:tc>
          <w:tcPr>
            <w:tcW w:w="3260" w:type="dxa"/>
            <w:shd w:val="clear" w:color="auto" w:fill="FFFFFF"/>
          </w:tcPr>
          <w:p w14:paraId="4A147B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Каменск, Челабинская обл.</w:t>
            </w:r>
          </w:p>
        </w:tc>
      </w:tr>
      <w:tr w:rsidR="009B487A" w:rsidRPr="00722885" w14:paraId="0B646E06" w14:textId="77777777" w:rsidTr="00CC5360">
        <w:trPr>
          <w:gridAfter w:val="1"/>
          <w:wAfter w:w="8" w:type="dxa"/>
          <w:trHeight w:val="221"/>
        </w:trPr>
        <w:tc>
          <w:tcPr>
            <w:tcW w:w="2694" w:type="dxa"/>
            <w:shd w:val="clear" w:color="auto" w:fill="FFFFFF"/>
          </w:tcPr>
          <w:p w14:paraId="3C2603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454</w:t>
            </w:r>
          </w:p>
        </w:tc>
        <w:tc>
          <w:tcPr>
            <w:tcW w:w="3260" w:type="dxa"/>
            <w:shd w:val="clear" w:color="auto" w:fill="FFFFFF"/>
          </w:tcPr>
          <w:p w14:paraId="195275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Куйбышев</w:t>
            </w:r>
          </w:p>
        </w:tc>
      </w:tr>
      <w:tr w:rsidR="009B487A" w:rsidRPr="00722885" w14:paraId="62F32591" w14:textId="77777777" w:rsidTr="00CC5360">
        <w:trPr>
          <w:gridAfter w:val="1"/>
          <w:wAfter w:w="8" w:type="dxa"/>
          <w:trHeight w:val="226"/>
        </w:trPr>
        <w:tc>
          <w:tcPr>
            <w:tcW w:w="2694" w:type="dxa"/>
            <w:shd w:val="clear" w:color="auto" w:fill="FFFFFF"/>
          </w:tcPr>
          <w:p w14:paraId="26DD99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469</w:t>
            </w:r>
          </w:p>
        </w:tc>
        <w:tc>
          <w:tcPr>
            <w:tcW w:w="3260" w:type="dxa"/>
            <w:shd w:val="clear" w:color="auto" w:fill="FFFFFF"/>
          </w:tcPr>
          <w:p w14:paraId="1E52A0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Горький</w:t>
            </w:r>
          </w:p>
        </w:tc>
      </w:tr>
      <w:tr w:rsidR="009B487A" w:rsidRPr="00722885" w14:paraId="1E174D60" w14:textId="77777777" w:rsidTr="00CC5360">
        <w:trPr>
          <w:gridAfter w:val="1"/>
          <w:wAfter w:w="8" w:type="dxa"/>
          <w:trHeight w:val="221"/>
        </w:trPr>
        <w:tc>
          <w:tcPr>
            <w:tcW w:w="2694" w:type="dxa"/>
            <w:shd w:val="clear" w:color="auto" w:fill="FFFFFF"/>
          </w:tcPr>
          <w:p w14:paraId="24F504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472</w:t>
            </w:r>
          </w:p>
        </w:tc>
        <w:tc>
          <w:tcPr>
            <w:tcW w:w="3260" w:type="dxa"/>
            <w:shd w:val="clear" w:color="auto" w:fill="FFFFFF"/>
          </w:tcPr>
          <w:p w14:paraId="66B08C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Кузнецк, Пензенская обл.</w:t>
            </w:r>
          </w:p>
        </w:tc>
      </w:tr>
      <w:tr w:rsidR="009B487A" w:rsidRPr="00722885" w14:paraId="792C8EF2" w14:textId="77777777" w:rsidTr="00CC5360">
        <w:trPr>
          <w:gridAfter w:val="1"/>
          <w:wAfter w:w="8" w:type="dxa"/>
          <w:trHeight w:val="221"/>
        </w:trPr>
        <w:tc>
          <w:tcPr>
            <w:tcW w:w="2694" w:type="dxa"/>
            <w:shd w:val="clear" w:color="auto" w:fill="FFFFFF"/>
          </w:tcPr>
          <w:p w14:paraId="7F0023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481</w:t>
            </w:r>
          </w:p>
        </w:tc>
        <w:tc>
          <w:tcPr>
            <w:tcW w:w="3260" w:type="dxa"/>
            <w:shd w:val="clear" w:color="auto" w:fill="FFFFFF"/>
          </w:tcPr>
          <w:p w14:paraId="43679E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Сызрань</w:t>
            </w:r>
          </w:p>
        </w:tc>
      </w:tr>
      <w:tr w:rsidR="009B487A" w:rsidRPr="00722885" w14:paraId="3821BA06" w14:textId="77777777" w:rsidTr="00CC5360">
        <w:trPr>
          <w:gridAfter w:val="1"/>
          <w:wAfter w:w="8" w:type="dxa"/>
          <w:trHeight w:val="221"/>
        </w:trPr>
        <w:tc>
          <w:tcPr>
            <w:tcW w:w="2694" w:type="dxa"/>
            <w:shd w:val="clear" w:color="auto" w:fill="FFFFFF"/>
          </w:tcPr>
          <w:p w14:paraId="3D74CF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w:t>
            </w:r>
          </w:p>
        </w:tc>
        <w:tc>
          <w:tcPr>
            <w:tcW w:w="3260" w:type="dxa"/>
            <w:shd w:val="clear" w:color="auto" w:fill="FFFFFF"/>
          </w:tcPr>
          <w:p w14:paraId="453FB5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7C71B414" w14:textId="77777777" w:rsidTr="00CC5360">
        <w:trPr>
          <w:gridAfter w:val="1"/>
          <w:wAfter w:w="8" w:type="dxa"/>
          <w:trHeight w:val="226"/>
        </w:trPr>
        <w:tc>
          <w:tcPr>
            <w:tcW w:w="2694" w:type="dxa"/>
            <w:shd w:val="clear" w:color="auto" w:fill="FFFFFF"/>
          </w:tcPr>
          <w:p w14:paraId="00EA54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219</w:t>
            </w:r>
          </w:p>
        </w:tc>
        <w:tc>
          <w:tcPr>
            <w:tcW w:w="3260" w:type="dxa"/>
            <w:shd w:val="clear" w:color="auto" w:fill="FFFFFF"/>
          </w:tcPr>
          <w:p w14:paraId="38BB17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54989B98" w14:textId="77777777" w:rsidTr="00CC5360">
        <w:trPr>
          <w:gridAfter w:val="1"/>
          <w:wAfter w:w="8" w:type="dxa"/>
          <w:trHeight w:val="221"/>
        </w:trPr>
        <w:tc>
          <w:tcPr>
            <w:tcW w:w="2694" w:type="dxa"/>
            <w:shd w:val="clear" w:color="auto" w:fill="FFFFFF"/>
          </w:tcPr>
          <w:p w14:paraId="311670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w:t>
            </w:r>
          </w:p>
        </w:tc>
        <w:tc>
          <w:tcPr>
            <w:tcW w:w="3260" w:type="dxa"/>
            <w:shd w:val="clear" w:color="auto" w:fill="FFFFFF"/>
          </w:tcPr>
          <w:p w14:paraId="44D5AE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5D6EEABF" w14:textId="77777777" w:rsidTr="00CC5360">
        <w:trPr>
          <w:gridAfter w:val="1"/>
          <w:wAfter w:w="8" w:type="dxa"/>
          <w:trHeight w:val="226"/>
        </w:trPr>
        <w:tc>
          <w:tcPr>
            <w:tcW w:w="2694" w:type="dxa"/>
            <w:shd w:val="clear" w:color="auto" w:fill="FFFFFF"/>
          </w:tcPr>
          <w:p w14:paraId="7D95F8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455</w:t>
            </w:r>
          </w:p>
        </w:tc>
        <w:tc>
          <w:tcPr>
            <w:tcW w:w="3260" w:type="dxa"/>
            <w:shd w:val="clear" w:color="auto" w:fill="FFFFFF"/>
          </w:tcPr>
          <w:p w14:paraId="7D7A71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Болшево, Московская обл.</w:t>
            </w:r>
          </w:p>
        </w:tc>
      </w:tr>
      <w:tr w:rsidR="009B487A" w:rsidRPr="00722885" w14:paraId="041177C0" w14:textId="77777777" w:rsidTr="00CC5360">
        <w:trPr>
          <w:gridAfter w:val="1"/>
          <w:wAfter w:w="8" w:type="dxa"/>
          <w:trHeight w:val="221"/>
        </w:trPr>
        <w:tc>
          <w:tcPr>
            <w:tcW w:w="2694" w:type="dxa"/>
            <w:shd w:val="clear" w:color="auto" w:fill="FFFFFF"/>
          </w:tcPr>
          <w:p w14:paraId="03309B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459</w:t>
            </w:r>
          </w:p>
        </w:tc>
        <w:tc>
          <w:tcPr>
            <w:tcW w:w="3260" w:type="dxa"/>
            <w:shd w:val="clear" w:color="auto" w:fill="FFFFFF"/>
          </w:tcPr>
          <w:p w14:paraId="7AD979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Солнечногорск, Московская обл.</w:t>
            </w:r>
          </w:p>
        </w:tc>
      </w:tr>
      <w:tr w:rsidR="009B487A" w:rsidRPr="00722885" w14:paraId="7E1E843A" w14:textId="77777777" w:rsidTr="00CC5360">
        <w:trPr>
          <w:gridAfter w:val="1"/>
          <w:wAfter w:w="8" w:type="dxa"/>
          <w:trHeight w:val="221"/>
        </w:trPr>
        <w:tc>
          <w:tcPr>
            <w:tcW w:w="5954" w:type="dxa"/>
            <w:gridSpan w:val="2"/>
            <w:shd w:val="clear" w:color="auto" w:fill="FFFFFF"/>
          </w:tcPr>
          <w:p w14:paraId="2D2BA3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lang w:val="en-US"/>
              </w:rPr>
              <w:t>VII</w:t>
            </w:r>
            <w:r w:rsidRPr="00722885">
              <w:rPr>
                <w:rFonts w:ascii="Times New Roman" w:hAnsi="Times New Roman"/>
                <w:iCs/>
                <w:color w:val="000000" w:themeColor="text1"/>
                <w:sz w:val="16"/>
                <w:szCs w:val="16"/>
              </w:rPr>
              <w:t>ГУ</w:t>
            </w:r>
          </w:p>
        </w:tc>
      </w:tr>
      <w:tr w:rsidR="009B487A" w:rsidRPr="00722885" w14:paraId="4388D7DD" w14:textId="77777777" w:rsidTr="00CC5360">
        <w:trPr>
          <w:gridAfter w:val="1"/>
          <w:wAfter w:w="8" w:type="dxa"/>
          <w:trHeight w:val="221"/>
        </w:trPr>
        <w:tc>
          <w:tcPr>
            <w:tcW w:w="2694" w:type="dxa"/>
            <w:shd w:val="clear" w:color="auto" w:fill="FFFFFF"/>
          </w:tcPr>
          <w:p w14:paraId="73C3915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 3 МАИ</w:t>
            </w:r>
          </w:p>
        </w:tc>
        <w:tc>
          <w:tcPr>
            <w:tcW w:w="3260" w:type="dxa"/>
            <w:shd w:val="clear" w:color="auto" w:fill="FFFFFF"/>
          </w:tcPr>
          <w:p w14:paraId="30ABA2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Алма-Ата</w:t>
            </w:r>
          </w:p>
        </w:tc>
      </w:tr>
      <w:tr w:rsidR="009B487A" w:rsidRPr="00722885" w14:paraId="221B0158" w14:textId="77777777" w:rsidTr="00CC5360">
        <w:trPr>
          <w:gridAfter w:val="1"/>
          <w:wAfter w:w="8" w:type="dxa"/>
          <w:trHeight w:val="221"/>
        </w:trPr>
        <w:tc>
          <w:tcPr>
            <w:tcW w:w="2694" w:type="dxa"/>
            <w:shd w:val="clear" w:color="auto" w:fill="FFFFFF"/>
          </w:tcPr>
          <w:p w14:paraId="73CE19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w:t>
            </w:r>
          </w:p>
        </w:tc>
        <w:tc>
          <w:tcPr>
            <w:tcW w:w="3260" w:type="dxa"/>
            <w:shd w:val="clear" w:color="auto" w:fill="FFFFFF"/>
          </w:tcPr>
          <w:p w14:paraId="44C058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Новосибирск</w:t>
            </w:r>
          </w:p>
        </w:tc>
      </w:tr>
      <w:tr w:rsidR="009B487A" w:rsidRPr="00722885" w14:paraId="37C8BC82" w14:textId="77777777" w:rsidTr="00CC5360">
        <w:trPr>
          <w:gridAfter w:val="1"/>
          <w:wAfter w:w="8" w:type="dxa"/>
          <w:trHeight w:val="221"/>
        </w:trPr>
        <w:tc>
          <w:tcPr>
            <w:tcW w:w="2694" w:type="dxa"/>
            <w:shd w:val="clear" w:color="auto" w:fill="FFFFFF"/>
          </w:tcPr>
          <w:p w14:paraId="010F5D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 фил.</w:t>
            </w:r>
          </w:p>
        </w:tc>
        <w:tc>
          <w:tcPr>
            <w:tcW w:w="3260" w:type="dxa"/>
            <w:shd w:val="clear" w:color="auto" w:fill="FFFFFF"/>
          </w:tcPr>
          <w:p w14:paraId="457515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045DB8FC" w14:textId="77777777" w:rsidTr="00CC5360">
        <w:trPr>
          <w:gridAfter w:val="1"/>
          <w:wAfter w:w="8" w:type="dxa"/>
          <w:trHeight w:val="226"/>
        </w:trPr>
        <w:tc>
          <w:tcPr>
            <w:tcW w:w="2694" w:type="dxa"/>
            <w:shd w:val="clear" w:color="auto" w:fill="FFFFFF"/>
          </w:tcPr>
          <w:p w14:paraId="2AF496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w:t>
            </w:r>
          </w:p>
        </w:tc>
        <w:tc>
          <w:tcPr>
            <w:tcW w:w="3260" w:type="dxa"/>
            <w:shd w:val="clear" w:color="auto" w:fill="FFFFFF"/>
          </w:tcPr>
          <w:p w14:paraId="044FCC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64BE455F" w14:textId="77777777" w:rsidTr="00CC5360">
        <w:trPr>
          <w:gridAfter w:val="1"/>
          <w:wAfter w:w="8" w:type="dxa"/>
          <w:trHeight w:val="221"/>
        </w:trPr>
        <w:tc>
          <w:tcPr>
            <w:tcW w:w="2694" w:type="dxa"/>
            <w:shd w:val="clear" w:color="auto" w:fill="FFFFFF"/>
          </w:tcPr>
          <w:p w14:paraId="1A8E5D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 фил.</w:t>
            </w:r>
          </w:p>
        </w:tc>
        <w:tc>
          <w:tcPr>
            <w:tcW w:w="3260" w:type="dxa"/>
            <w:shd w:val="clear" w:color="auto" w:fill="FFFFFF"/>
          </w:tcPr>
          <w:p w14:paraId="62A811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Новосибирск</w:t>
            </w:r>
          </w:p>
        </w:tc>
      </w:tr>
      <w:tr w:rsidR="009B487A" w:rsidRPr="00722885" w14:paraId="0EB6397D" w14:textId="77777777" w:rsidTr="00CC5360">
        <w:trPr>
          <w:gridAfter w:val="1"/>
          <w:wAfter w:w="8" w:type="dxa"/>
          <w:trHeight w:val="221"/>
        </w:trPr>
        <w:tc>
          <w:tcPr>
            <w:tcW w:w="2694" w:type="dxa"/>
            <w:shd w:val="clear" w:color="auto" w:fill="FFFFFF"/>
          </w:tcPr>
          <w:p w14:paraId="72783E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134</w:t>
            </w:r>
          </w:p>
        </w:tc>
        <w:tc>
          <w:tcPr>
            <w:tcW w:w="3260" w:type="dxa"/>
            <w:shd w:val="clear" w:color="auto" w:fill="FFFFFF"/>
          </w:tcPr>
          <w:p w14:paraId="09F172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60FFFC41" w14:textId="77777777" w:rsidTr="00CC5360">
        <w:trPr>
          <w:gridAfter w:val="1"/>
          <w:wAfter w:w="8" w:type="dxa"/>
          <w:trHeight w:val="240"/>
        </w:trPr>
        <w:tc>
          <w:tcPr>
            <w:tcW w:w="2694" w:type="dxa"/>
            <w:shd w:val="clear" w:color="auto" w:fill="FFFFFF"/>
          </w:tcPr>
          <w:p w14:paraId="7FC81D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155</w:t>
            </w:r>
          </w:p>
        </w:tc>
        <w:tc>
          <w:tcPr>
            <w:tcW w:w="3260" w:type="dxa"/>
            <w:shd w:val="clear" w:color="auto" w:fill="FFFFFF"/>
          </w:tcPr>
          <w:p w14:paraId="3B26F7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356E8120" w14:textId="77777777" w:rsidTr="00CC5360">
        <w:trPr>
          <w:gridAfter w:val="1"/>
          <w:wAfter w:w="8" w:type="dxa"/>
          <w:trHeight w:val="216"/>
        </w:trPr>
        <w:tc>
          <w:tcPr>
            <w:tcW w:w="2694" w:type="dxa"/>
            <w:shd w:val="clear" w:color="auto" w:fill="FFFFFF"/>
          </w:tcPr>
          <w:p w14:paraId="577D26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w:t>
            </w:r>
          </w:p>
        </w:tc>
        <w:tc>
          <w:tcPr>
            <w:tcW w:w="3260" w:type="dxa"/>
            <w:shd w:val="clear" w:color="auto" w:fill="FFFFFF"/>
          </w:tcPr>
          <w:p w14:paraId="772A86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35121D46" w14:textId="77777777" w:rsidTr="00CC5360">
        <w:trPr>
          <w:gridAfter w:val="1"/>
          <w:wAfter w:w="8" w:type="dxa"/>
          <w:trHeight w:val="226"/>
        </w:trPr>
        <w:tc>
          <w:tcPr>
            <w:tcW w:w="2694" w:type="dxa"/>
            <w:shd w:val="clear" w:color="auto" w:fill="FFFFFF"/>
          </w:tcPr>
          <w:p w14:paraId="6B5C83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288</w:t>
            </w:r>
          </w:p>
        </w:tc>
        <w:tc>
          <w:tcPr>
            <w:tcW w:w="3260" w:type="dxa"/>
            <w:shd w:val="clear" w:color="auto" w:fill="FFFFFF"/>
          </w:tcPr>
          <w:p w14:paraId="573F5E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Омск</w:t>
            </w:r>
          </w:p>
        </w:tc>
      </w:tr>
      <w:tr w:rsidR="009B487A" w:rsidRPr="00722885" w14:paraId="4447FBB5" w14:textId="77777777" w:rsidTr="00CC5360">
        <w:trPr>
          <w:gridAfter w:val="1"/>
          <w:wAfter w:w="8" w:type="dxa"/>
          <w:trHeight w:val="221"/>
        </w:trPr>
        <w:tc>
          <w:tcPr>
            <w:tcW w:w="2694" w:type="dxa"/>
            <w:shd w:val="clear" w:color="auto" w:fill="FFFFFF"/>
          </w:tcPr>
          <w:p w14:paraId="12F9C3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289</w:t>
            </w:r>
          </w:p>
        </w:tc>
        <w:tc>
          <w:tcPr>
            <w:tcW w:w="3260" w:type="dxa"/>
            <w:shd w:val="clear" w:color="auto" w:fill="FFFFFF"/>
          </w:tcPr>
          <w:p w14:paraId="12D65A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Мошпя</w:t>
            </w:r>
          </w:p>
        </w:tc>
      </w:tr>
      <w:tr w:rsidR="009B487A" w:rsidRPr="00722885" w14:paraId="2317AD88" w14:textId="77777777" w:rsidTr="00CC5360">
        <w:trPr>
          <w:gridAfter w:val="1"/>
          <w:wAfter w:w="8" w:type="dxa"/>
          <w:trHeight w:val="221"/>
        </w:trPr>
        <w:tc>
          <w:tcPr>
            <w:tcW w:w="2694" w:type="dxa"/>
            <w:shd w:val="clear" w:color="auto" w:fill="FFFFFF"/>
          </w:tcPr>
          <w:p w14:paraId="189027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290</w:t>
            </w:r>
          </w:p>
        </w:tc>
        <w:tc>
          <w:tcPr>
            <w:tcW w:w="3260" w:type="dxa"/>
            <w:shd w:val="clear" w:color="auto" w:fill="FFFFFF"/>
          </w:tcPr>
          <w:p w14:paraId="6D4FA2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Билимбай, Свердловская обл.</w:t>
            </w:r>
          </w:p>
        </w:tc>
      </w:tr>
      <w:tr w:rsidR="009B487A" w:rsidRPr="00722885" w14:paraId="316C70BD" w14:textId="77777777" w:rsidTr="00CC5360">
        <w:trPr>
          <w:gridAfter w:val="1"/>
          <w:wAfter w:w="8" w:type="dxa"/>
          <w:trHeight w:val="221"/>
        </w:trPr>
        <w:tc>
          <w:tcPr>
            <w:tcW w:w="2694" w:type="dxa"/>
            <w:shd w:val="clear" w:color="auto" w:fill="FFFFFF"/>
          </w:tcPr>
          <w:p w14:paraId="5E6904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293 фи.</w:t>
            </w:r>
          </w:p>
        </w:tc>
        <w:tc>
          <w:tcPr>
            <w:tcW w:w="3260" w:type="dxa"/>
            <w:shd w:val="clear" w:color="auto" w:fill="FFFFFF"/>
          </w:tcPr>
          <w:p w14:paraId="7DD362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Билимбай, Свердловская обл.</w:t>
            </w:r>
          </w:p>
        </w:tc>
      </w:tr>
      <w:tr w:rsidR="009B487A" w:rsidRPr="00722885" w14:paraId="1A1E733E" w14:textId="77777777" w:rsidTr="00CC5360">
        <w:trPr>
          <w:gridAfter w:val="1"/>
          <w:wAfter w:w="8" w:type="dxa"/>
          <w:trHeight w:val="221"/>
        </w:trPr>
        <w:tc>
          <w:tcPr>
            <w:tcW w:w="2694" w:type="dxa"/>
            <w:shd w:val="clear" w:color="auto" w:fill="FFFFFF"/>
          </w:tcPr>
          <w:p w14:paraId="282DCD8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293</w:t>
            </w:r>
          </w:p>
        </w:tc>
        <w:tc>
          <w:tcPr>
            <w:tcW w:w="3260" w:type="dxa"/>
            <w:shd w:val="clear" w:color="auto" w:fill="FFFFFF"/>
          </w:tcPr>
          <w:p w14:paraId="003206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Химки</w:t>
            </w:r>
          </w:p>
        </w:tc>
      </w:tr>
      <w:tr w:rsidR="009B487A" w:rsidRPr="00722885" w14:paraId="0F020171" w14:textId="77777777" w:rsidTr="00CC5360">
        <w:trPr>
          <w:gridAfter w:val="1"/>
          <w:wAfter w:w="8" w:type="dxa"/>
          <w:trHeight w:val="226"/>
        </w:trPr>
        <w:tc>
          <w:tcPr>
            <w:tcW w:w="2694" w:type="dxa"/>
            <w:shd w:val="clear" w:color="auto" w:fill="FFFFFF"/>
          </w:tcPr>
          <w:p w14:paraId="1D37E1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458</w:t>
            </w:r>
          </w:p>
        </w:tc>
        <w:tc>
          <w:tcPr>
            <w:tcW w:w="3260" w:type="dxa"/>
            <w:shd w:val="clear" w:color="auto" w:fill="FFFFFF"/>
          </w:tcPr>
          <w:p w14:paraId="03D49F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Кимры</w:t>
            </w:r>
          </w:p>
        </w:tc>
      </w:tr>
      <w:tr w:rsidR="009B487A" w:rsidRPr="00722885" w14:paraId="5CA74E6A" w14:textId="77777777" w:rsidTr="00CC5360">
        <w:trPr>
          <w:gridAfter w:val="1"/>
          <w:wAfter w:w="8" w:type="dxa"/>
          <w:trHeight w:val="221"/>
        </w:trPr>
        <w:tc>
          <w:tcPr>
            <w:tcW w:w="2694" w:type="dxa"/>
            <w:shd w:val="clear" w:color="auto" w:fill="FFFFFF"/>
          </w:tcPr>
          <w:p w14:paraId="5AFDFA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Фронтовые мастерские</w:t>
            </w:r>
          </w:p>
        </w:tc>
        <w:tc>
          <w:tcPr>
            <w:tcW w:w="3260" w:type="dxa"/>
            <w:shd w:val="clear" w:color="auto" w:fill="FFFFFF"/>
          </w:tcPr>
          <w:p w14:paraId="5C7A58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Кимры</w:t>
            </w:r>
          </w:p>
        </w:tc>
      </w:tr>
      <w:tr w:rsidR="009B487A" w:rsidRPr="00722885" w14:paraId="135AA072" w14:textId="77777777" w:rsidTr="00CC5360">
        <w:trPr>
          <w:gridAfter w:val="1"/>
          <w:wAfter w:w="8" w:type="dxa"/>
          <w:trHeight w:val="413"/>
        </w:trPr>
        <w:tc>
          <w:tcPr>
            <w:tcW w:w="2694" w:type="dxa"/>
            <w:shd w:val="clear" w:color="auto" w:fill="FFFFFF"/>
          </w:tcPr>
          <w:p w14:paraId="197813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ЦАГИ</w:t>
            </w:r>
          </w:p>
        </w:tc>
        <w:tc>
          <w:tcPr>
            <w:tcW w:w="3260" w:type="dxa"/>
            <w:shd w:val="clear" w:color="auto" w:fill="FFFFFF"/>
          </w:tcPr>
          <w:p w14:paraId="2E8730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 Стаханов, Московская обл., Казань, Новосибирск, Корсунь, Куйбышевская обл.</w:t>
            </w:r>
          </w:p>
        </w:tc>
      </w:tr>
      <w:tr w:rsidR="009B487A" w:rsidRPr="00722885" w14:paraId="15477048" w14:textId="77777777" w:rsidTr="00CC5360">
        <w:trPr>
          <w:gridAfter w:val="1"/>
          <w:wAfter w:w="8" w:type="dxa"/>
          <w:trHeight w:val="221"/>
        </w:trPr>
        <w:tc>
          <w:tcPr>
            <w:tcW w:w="2694" w:type="dxa"/>
            <w:shd w:val="clear" w:color="auto" w:fill="FFFFFF"/>
          </w:tcPr>
          <w:p w14:paraId="16C9E1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ЛИИ</w:t>
            </w:r>
          </w:p>
        </w:tc>
        <w:tc>
          <w:tcPr>
            <w:tcW w:w="3260" w:type="dxa"/>
            <w:shd w:val="clear" w:color="auto" w:fill="FFFFFF"/>
          </w:tcPr>
          <w:p w14:paraId="59E730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Стаханово, Казань, Новосибирск</w:t>
            </w:r>
          </w:p>
        </w:tc>
      </w:tr>
      <w:tr w:rsidR="009B487A" w:rsidRPr="00722885" w14:paraId="0E552BF9" w14:textId="77777777" w:rsidTr="00CC5360">
        <w:trPr>
          <w:gridAfter w:val="1"/>
          <w:wAfter w:w="8" w:type="dxa"/>
          <w:trHeight w:val="221"/>
        </w:trPr>
        <w:tc>
          <w:tcPr>
            <w:tcW w:w="2694" w:type="dxa"/>
            <w:shd w:val="clear" w:color="auto" w:fill="FFFFFF"/>
          </w:tcPr>
          <w:p w14:paraId="70AB24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ВИАМ</w:t>
            </w:r>
          </w:p>
        </w:tc>
        <w:tc>
          <w:tcPr>
            <w:tcW w:w="3260" w:type="dxa"/>
            <w:shd w:val="clear" w:color="auto" w:fill="FFFFFF"/>
          </w:tcPr>
          <w:p w14:paraId="70AF40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 Куйбышев</w:t>
            </w:r>
          </w:p>
        </w:tc>
      </w:tr>
      <w:tr w:rsidR="009B487A" w:rsidRPr="00722885" w14:paraId="1697BF11" w14:textId="77777777" w:rsidTr="00CC5360">
        <w:trPr>
          <w:gridAfter w:val="1"/>
          <w:wAfter w:w="8" w:type="dxa"/>
          <w:trHeight w:val="221"/>
        </w:trPr>
        <w:tc>
          <w:tcPr>
            <w:tcW w:w="2694" w:type="dxa"/>
            <w:shd w:val="clear" w:color="auto" w:fill="FFFFFF"/>
          </w:tcPr>
          <w:p w14:paraId="7484B7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w:t>
            </w:r>
          </w:p>
        </w:tc>
        <w:tc>
          <w:tcPr>
            <w:tcW w:w="3260" w:type="dxa"/>
            <w:shd w:val="clear" w:color="auto" w:fill="FFFFFF"/>
          </w:tcPr>
          <w:p w14:paraId="229058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47B21E7A" w14:textId="77777777" w:rsidTr="00CC5360">
        <w:trPr>
          <w:gridAfter w:val="1"/>
          <w:wAfter w:w="8" w:type="dxa"/>
          <w:trHeight w:val="226"/>
        </w:trPr>
        <w:tc>
          <w:tcPr>
            <w:tcW w:w="2694" w:type="dxa"/>
            <w:shd w:val="clear" w:color="auto" w:fill="FFFFFF"/>
          </w:tcPr>
          <w:p w14:paraId="56899A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з-да 28</w:t>
            </w:r>
          </w:p>
        </w:tc>
        <w:tc>
          <w:tcPr>
            <w:tcW w:w="3260" w:type="dxa"/>
            <w:shd w:val="clear" w:color="auto" w:fill="FFFFFF"/>
          </w:tcPr>
          <w:p w14:paraId="7803DF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Красногорск, Моск. обл.</w:t>
            </w:r>
          </w:p>
        </w:tc>
      </w:tr>
      <w:tr w:rsidR="009B487A" w:rsidRPr="00722885" w14:paraId="50CABC6F" w14:textId="77777777" w:rsidTr="00CC5360">
        <w:trPr>
          <w:gridAfter w:val="1"/>
          <w:wAfter w:w="8" w:type="dxa"/>
          <w:trHeight w:val="221"/>
        </w:trPr>
        <w:tc>
          <w:tcPr>
            <w:tcW w:w="2694" w:type="dxa"/>
            <w:shd w:val="clear" w:color="auto" w:fill="FFFFFF"/>
          </w:tcPr>
          <w:p w14:paraId="1747FB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ОКБз-да21</w:t>
            </w:r>
          </w:p>
        </w:tc>
        <w:tc>
          <w:tcPr>
            <w:tcW w:w="3260" w:type="dxa"/>
            <w:shd w:val="clear" w:color="auto" w:fill="FFFFFF"/>
          </w:tcPr>
          <w:p w14:paraId="3F8AF4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Горький</w:t>
            </w:r>
          </w:p>
        </w:tc>
      </w:tr>
      <w:tr w:rsidR="009B487A" w:rsidRPr="00722885" w14:paraId="42CBB6AE" w14:textId="77777777" w:rsidTr="00CC5360">
        <w:trPr>
          <w:gridAfter w:val="1"/>
          <w:wAfter w:w="8" w:type="dxa"/>
          <w:trHeight w:val="221"/>
        </w:trPr>
        <w:tc>
          <w:tcPr>
            <w:tcW w:w="2694" w:type="dxa"/>
            <w:shd w:val="clear" w:color="auto" w:fill="FFFFFF"/>
          </w:tcPr>
          <w:p w14:paraId="0CABCA5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з-да 22</w:t>
            </w:r>
          </w:p>
        </w:tc>
        <w:tc>
          <w:tcPr>
            <w:tcW w:w="3260" w:type="dxa"/>
            <w:shd w:val="clear" w:color="auto" w:fill="FFFFFF"/>
          </w:tcPr>
          <w:p w14:paraId="357E21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Казань</w:t>
            </w:r>
          </w:p>
        </w:tc>
      </w:tr>
      <w:tr w:rsidR="009B487A" w:rsidRPr="00722885" w14:paraId="2984B02D" w14:textId="77777777" w:rsidTr="00CC5360">
        <w:trPr>
          <w:gridAfter w:val="1"/>
          <w:wAfter w:w="8" w:type="dxa"/>
          <w:trHeight w:val="221"/>
        </w:trPr>
        <w:tc>
          <w:tcPr>
            <w:tcW w:w="2694" w:type="dxa"/>
            <w:shd w:val="clear" w:color="auto" w:fill="FFFFFF"/>
          </w:tcPr>
          <w:p w14:paraId="1C2C0A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з-да 32</w:t>
            </w:r>
          </w:p>
        </w:tc>
        <w:tc>
          <w:tcPr>
            <w:tcW w:w="3260" w:type="dxa"/>
            <w:shd w:val="clear" w:color="auto" w:fill="FFFFFF"/>
          </w:tcPr>
          <w:p w14:paraId="609404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Киров</w:t>
            </w:r>
          </w:p>
        </w:tc>
      </w:tr>
      <w:tr w:rsidR="009B487A" w:rsidRPr="00722885" w14:paraId="46171EFA" w14:textId="77777777" w:rsidTr="00CC5360">
        <w:trPr>
          <w:gridAfter w:val="1"/>
          <w:wAfter w:w="8" w:type="dxa"/>
          <w:trHeight w:val="221"/>
        </w:trPr>
        <w:tc>
          <w:tcPr>
            <w:tcW w:w="2694" w:type="dxa"/>
            <w:shd w:val="clear" w:color="auto" w:fill="FFFFFF"/>
          </w:tcPr>
          <w:p w14:paraId="626778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ОКБэ-да34</w:t>
            </w:r>
          </w:p>
        </w:tc>
        <w:tc>
          <w:tcPr>
            <w:tcW w:w="3260" w:type="dxa"/>
            <w:shd w:val="clear" w:color="auto" w:fill="FFFFFF"/>
          </w:tcPr>
          <w:p w14:paraId="369325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45F4B5A0" w14:textId="77777777" w:rsidTr="00CC5360">
        <w:trPr>
          <w:gridAfter w:val="1"/>
          <w:wAfter w:w="8" w:type="dxa"/>
          <w:trHeight w:val="226"/>
        </w:trPr>
        <w:tc>
          <w:tcPr>
            <w:tcW w:w="2694" w:type="dxa"/>
            <w:shd w:val="clear" w:color="auto" w:fill="FFFFFF"/>
          </w:tcPr>
          <w:p w14:paraId="000C2A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з-да 43</w:t>
            </w:r>
          </w:p>
        </w:tc>
        <w:tc>
          <w:tcPr>
            <w:tcW w:w="3260" w:type="dxa"/>
            <w:shd w:val="clear" w:color="auto" w:fill="FFFFFF"/>
          </w:tcPr>
          <w:p w14:paraId="6DD957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26B1980D" w14:textId="77777777" w:rsidTr="00CC5360">
        <w:trPr>
          <w:gridAfter w:val="1"/>
          <w:wAfter w:w="8" w:type="dxa"/>
          <w:trHeight w:val="221"/>
        </w:trPr>
        <w:tc>
          <w:tcPr>
            <w:tcW w:w="2694" w:type="dxa"/>
            <w:shd w:val="clear" w:color="auto" w:fill="FFFFFF"/>
          </w:tcPr>
          <w:p w14:paraId="57E882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з-да 84</w:t>
            </w:r>
          </w:p>
        </w:tc>
        <w:tc>
          <w:tcPr>
            <w:tcW w:w="3260" w:type="dxa"/>
            <w:shd w:val="clear" w:color="auto" w:fill="FFFFFF"/>
          </w:tcPr>
          <w:p w14:paraId="0DF5B8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Ташкент</w:t>
            </w:r>
          </w:p>
        </w:tc>
      </w:tr>
      <w:tr w:rsidR="009B487A" w:rsidRPr="00722885" w14:paraId="24168821" w14:textId="77777777" w:rsidTr="00CC5360">
        <w:trPr>
          <w:gridAfter w:val="1"/>
          <w:wAfter w:w="8" w:type="dxa"/>
          <w:trHeight w:val="221"/>
        </w:trPr>
        <w:tc>
          <w:tcPr>
            <w:tcW w:w="2694" w:type="dxa"/>
            <w:shd w:val="clear" w:color="auto" w:fill="FFFFFF"/>
          </w:tcPr>
          <w:p w14:paraId="0622EB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з-да 145</w:t>
            </w:r>
          </w:p>
        </w:tc>
        <w:tc>
          <w:tcPr>
            <w:tcW w:w="3260" w:type="dxa"/>
            <w:shd w:val="clear" w:color="auto" w:fill="FFFFFF"/>
          </w:tcPr>
          <w:p w14:paraId="04BB64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Куйбышев</w:t>
            </w:r>
          </w:p>
        </w:tc>
      </w:tr>
      <w:tr w:rsidR="009B487A" w:rsidRPr="00722885" w14:paraId="50C86C49" w14:textId="77777777" w:rsidTr="00CC5360">
        <w:trPr>
          <w:gridAfter w:val="1"/>
          <w:wAfter w:w="8" w:type="dxa"/>
          <w:trHeight w:val="221"/>
        </w:trPr>
        <w:tc>
          <w:tcPr>
            <w:tcW w:w="2694" w:type="dxa"/>
            <w:shd w:val="clear" w:color="auto" w:fill="FFFFFF"/>
          </w:tcPr>
          <w:p w14:paraId="0F711F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з-да 166</w:t>
            </w:r>
          </w:p>
        </w:tc>
        <w:tc>
          <w:tcPr>
            <w:tcW w:w="3260" w:type="dxa"/>
            <w:shd w:val="clear" w:color="auto" w:fill="FFFFFF"/>
          </w:tcPr>
          <w:p w14:paraId="01CA81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Омск</w:t>
            </w:r>
          </w:p>
        </w:tc>
      </w:tr>
      <w:tr w:rsidR="009B487A" w:rsidRPr="00722885" w14:paraId="5F4F7C33" w14:textId="77777777" w:rsidTr="00CC5360">
        <w:trPr>
          <w:gridAfter w:val="1"/>
          <w:wAfter w:w="8" w:type="dxa"/>
          <w:trHeight w:val="226"/>
        </w:trPr>
        <w:tc>
          <w:tcPr>
            <w:tcW w:w="2694" w:type="dxa"/>
            <w:shd w:val="clear" w:color="auto" w:fill="FFFFFF"/>
          </w:tcPr>
          <w:p w14:paraId="33EF07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з-да 266</w:t>
            </w:r>
          </w:p>
        </w:tc>
        <w:tc>
          <w:tcPr>
            <w:tcW w:w="3260" w:type="dxa"/>
            <w:shd w:val="clear" w:color="auto" w:fill="FFFFFF"/>
          </w:tcPr>
          <w:p w14:paraId="73F37E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Киров</w:t>
            </w:r>
          </w:p>
        </w:tc>
      </w:tr>
      <w:tr w:rsidR="009B487A" w:rsidRPr="00722885" w14:paraId="2665F852" w14:textId="77777777" w:rsidTr="00CC5360">
        <w:trPr>
          <w:gridAfter w:val="1"/>
          <w:wAfter w:w="8" w:type="dxa"/>
          <w:trHeight w:val="221"/>
        </w:trPr>
        <w:tc>
          <w:tcPr>
            <w:tcW w:w="2694" w:type="dxa"/>
            <w:shd w:val="clear" w:color="auto" w:fill="FFFFFF"/>
          </w:tcPr>
          <w:p w14:paraId="075CAA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ОКБэ-да301</w:t>
            </w:r>
          </w:p>
        </w:tc>
        <w:tc>
          <w:tcPr>
            <w:tcW w:w="3260" w:type="dxa"/>
            <w:shd w:val="clear" w:color="auto" w:fill="FFFFFF"/>
          </w:tcPr>
          <w:p w14:paraId="08F7D2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76E7E65B" w14:textId="77777777" w:rsidTr="00CC5360">
        <w:trPr>
          <w:gridAfter w:val="1"/>
          <w:wAfter w:w="8" w:type="dxa"/>
          <w:trHeight w:val="226"/>
        </w:trPr>
        <w:tc>
          <w:tcPr>
            <w:tcW w:w="2694" w:type="dxa"/>
            <w:shd w:val="clear" w:color="auto" w:fill="FFFFFF"/>
          </w:tcPr>
          <w:p w14:paraId="30F435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з-да 454</w:t>
            </w:r>
          </w:p>
        </w:tc>
        <w:tc>
          <w:tcPr>
            <w:tcW w:w="3260" w:type="dxa"/>
            <w:shd w:val="clear" w:color="auto" w:fill="FFFFFF"/>
          </w:tcPr>
          <w:p w14:paraId="23B1CB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Куйбышев</w:t>
            </w:r>
          </w:p>
        </w:tc>
      </w:tr>
      <w:tr w:rsidR="009B487A" w:rsidRPr="00722885" w14:paraId="7A8A93B0" w14:textId="77777777" w:rsidTr="00CC5360">
        <w:trPr>
          <w:gridAfter w:val="1"/>
          <w:wAfter w:w="8" w:type="dxa"/>
          <w:trHeight w:val="221"/>
        </w:trPr>
        <w:tc>
          <w:tcPr>
            <w:tcW w:w="2694" w:type="dxa"/>
            <w:shd w:val="clear" w:color="auto" w:fill="FFFFFF"/>
          </w:tcPr>
          <w:p w14:paraId="397D2C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з-да 219</w:t>
            </w:r>
          </w:p>
        </w:tc>
        <w:tc>
          <w:tcPr>
            <w:tcW w:w="3260" w:type="dxa"/>
            <w:shd w:val="clear" w:color="auto" w:fill="FFFFFF"/>
          </w:tcPr>
          <w:p w14:paraId="1230F0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247252B3" w14:textId="77777777" w:rsidTr="00CC5360">
        <w:trPr>
          <w:gridAfter w:val="1"/>
          <w:wAfter w:w="8" w:type="dxa"/>
          <w:trHeight w:val="221"/>
        </w:trPr>
        <w:tc>
          <w:tcPr>
            <w:tcW w:w="2694" w:type="dxa"/>
            <w:shd w:val="clear" w:color="auto" w:fill="FFFFFF"/>
          </w:tcPr>
          <w:p w14:paraId="3150C8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з-да 164</w:t>
            </w:r>
          </w:p>
        </w:tc>
        <w:tc>
          <w:tcPr>
            <w:tcW w:w="3260" w:type="dxa"/>
            <w:shd w:val="clear" w:color="auto" w:fill="FFFFFF"/>
          </w:tcPr>
          <w:p w14:paraId="031700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w:t>
            </w:r>
          </w:p>
        </w:tc>
      </w:tr>
      <w:tr w:rsidR="009B487A" w:rsidRPr="00722885" w14:paraId="44B933E0" w14:textId="77777777" w:rsidTr="00CC5360">
        <w:trPr>
          <w:gridAfter w:val="1"/>
          <w:wAfter w:w="8" w:type="dxa"/>
          <w:trHeight w:val="240"/>
        </w:trPr>
        <w:tc>
          <w:tcPr>
            <w:tcW w:w="2694" w:type="dxa"/>
            <w:tcBorders>
              <w:bottom w:val="single" w:sz="12" w:space="0" w:color="auto"/>
            </w:tcBorders>
            <w:shd w:val="clear" w:color="auto" w:fill="FFFFFF"/>
          </w:tcPr>
          <w:p w14:paraId="50DB6B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ОКБэ-да47</w:t>
            </w:r>
          </w:p>
        </w:tc>
        <w:tc>
          <w:tcPr>
            <w:tcW w:w="3260" w:type="dxa"/>
            <w:tcBorders>
              <w:bottom w:val="single" w:sz="12" w:space="0" w:color="auto"/>
            </w:tcBorders>
            <w:shd w:val="clear" w:color="auto" w:fill="FFFFFF"/>
          </w:tcPr>
          <w:p w14:paraId="0CBCDE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Чкалов</w:t>
            </w:r>
          </w:p>
        </w:tc>
      </w:tr>
    </w:tbl>
    <w:p w14:paraId="1007FB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Победа советских войск под Москвой положила конец надеждам гитлеровцев на осуществление блицкрига и в из</w:t>
      </w:r>
      <w:r w:rsidRPr="00722885">
        <w:rPr>
          <w:rFonts w:ascii="Times New Roman" w:hAnsi="Times New Roman"/>
          <w:color w:val="000000" w:themeColor="text1"/>
          <w:sz w:val="16"/>
          <w:szCs w:val="16"/>
        </w:rPr>
        <w:softHyphen/>
        <w:t>вестной степени успокоила высшие эшелоны советского ис</w:t>
      </w:r>
      <w:r w:rsidRPr="00722885">
        <w:rPr>
          <w:rFonts w:ascii="Times New Roman" w:hAnsi="Times New Roman"/>
          <w:color w:val="000000" w:themeColor="text1"/>
          <w:sz w:val="16"/>
          <w:szCs w:val="16"/>
        </w:rPr>
        <w:softHyphen/>
        <w:t>теблишмента. Стало ясно, что времена, когда вермахт неоста</w:t>
      </w:r>
      <w:r w:rsidRPr="00722885">
        <w:rPr>
          <w:rFonts w:ascii="Times New Roman" w:hAnsi="Times New Roman"/>
          <w:color w:val="000000" w:themeColor="text1"/>
          <w:sz w:val="16"/>
          <w:szCs w:val="16"/>
        </w:rPr>
        <w:softHyphen/>
        <w:t>новимой лавой катился на восток, прошли. Соответственно, процесс эвакуации приостановился, а затем сменился на про</w:t>
      </w:r>
      <w:r w:rsidRPr="00722885">
        <w:rPr>
          <w:rFonts w:ascii="Times New Roman" w:hAnsi="Times New Roman"/>
          <w:color w:val="000000" w:themeColor="text1"/>
          <w:sz w:val="16"/>
          <w:szCs w:val="16"/>
        </w:rPr>
        <w:softHyphen/>
        <w:t>тивоположный — реэвакуационный. Дело в том, что многие заводы либо вовсе не смогли наладить полноценный выпуск на новом месте, либо издержки такого налаживания выгля</w:t>
      </w:r>
      <w:r w:rsidRPr="00722885">
        <w:rPr>
          <w:rFonts w:ascii="Times New Roman" w:hAnsi="Times New Roman"/>
          <w:color w:val="000000" w:themeColor="text1"/>
          <w:sz w:val="16"/>
          <w:szCs w:val="16"/>
        </w:rPr>
        <w:softHyphen/>
        <w:t>дели слишком тяжёлыми. В этом свете предложения о реэ</w:t>
      </w:r>
      <w:r w:rsidRPr="00722885">
        <w:rPr>
          <w:rFonts w:ascii="Times New Roman" w:hAnsi="Times New Roman"/>
          <w:color w:val="000000" w:themeColor="text1"/>
          <w:sz w:val="16"/>
          <w:szCs w:val="16"/>
        </w:rPr>
        <w:softHyphen/>
        <w:t>вакуации, скажем, обратно в Москву, выглядели вполне обо</w:t>
      </w:r>
      <w:r w:rsidRPr="00722885">
        <w:rPr>
          <w:rFonts w:ascii="Times New Roman" w:hAnsi="Times New Roman"/>
          <w:color w:val="000000" w:themeColor="text1"/>
          <w:sz w:val="16"/>
          <w:szCs w:val="16"/>
        </w:rPr>
        <w:softHyphen/>
        <w:t>снованными. Раз противник отброшен и непосредственная угроза столице пропала — так зачем омертвлять средства в необязательном капитальном строительстве? Не лучше ль вернуться в старые корпуса? Так, например, в феврале 1942 г. началась реэвакуация из Каменск-Уральского обратно, на станцию Ступино, завода № 150, объяснявшееся именно этой логикой.</w:t>
      </w:r>
    </w:p>
    <w:p w14:paraId="1D59A8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руководство НКАПа и само было не прочь за</w:t>
      </w:r>
      <w:r w:rsidRPr="00722885">
        <w:rPr>
          <w:rFonts w:ascii="Times New Roman" w:hAnsi="Times New Roman"/>
          <w:color w:val="000000" w:themeColor="text1"/>
          <w:sz w:val="16"/>
          <w:szCs w:val="16"/>
        </w:rPr>
        <w:softHyphen/>
        <w:t>действовать производственные площади и часть оборудова</w:t>
      </w:r>
      <w:r w:rsidRPr="00722885">
        <w:rPr>
          <w:rFonts w:ascii="Times New Roman" w:hAnsi="Times New Roman"/>
          <w:color w:val="000000" w:themeColor="text1"/>
          <w:sz w:val="16"/>
          <w:szCs w:val="16"/>
        </w:rPr>
        <w:softHyphen/>
        <w:t>ния, оставшиеся не эвакуированными. Пусть не для выпуска новой техники, но хотя бы для ремонта эти, ставшие при</w:t>
      </w:r>
      <w:r w:rsidRPr="00722885">
        <w:rPr>
          <w:rFonts w:ascii="Times New Roman" w:hAnsi="Times New Roman"/>
          <w:color w:val="000000" w:themeColor="text1"/>
          <w:sz w:val="16"/>
          <w:szCs w:val="16"/>
        </w:rPr>
        <w:softHyphen/>
        <w:t>фронтовыми, заводы — годились.</w:t>
      </w:r>
    </w:p>
    <w:p w14:paraId="13AF1A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правило, предприятия «второй волны» представляли собой попытку задействовать в авиапроизводстве производ</w:t>
      </w:r>
      <w:r w:rsidRPr="00722885">
        <w:rPr>
          <w:rFonts w:ascii="Times New Roman" w:hAnsi="Times New Roman"/>
          <w:color w:val="000000" w:themeColor="text1"/>
          <w:sz w:val="16"/>
          <w:szCs w:val="16"/>
        </w:rPr>
        <w:softHyphen/>
        <w:t>ственные помещения и оставшееся оборудование (Как правило, полностью эвакуировать оборудование не удавалось, и часть оборудования оставалось на старом месте) эвакуиро</w:t>
      </w:r>
      <w:r w:rsidRPr="00722885">
        <w:rPr>
          <w:rFonts w:ascii="Times New Roman" w:hAnsi="Times New Roman"/>
          <w:color w:val="000000" w:themeColor="text1"/>
          <w:sz w:val="16"/>
          <w:szCs w:val="16"/>
        </w:rPr>
        <w:softHyphen/>
        <w:t>ванных заводов. Эти производственные площадки обычно обладали развитой инфраструктурой, подъездными путями и энергооборудованием, поэтому наладить производство там было сравнительно просто. Характерно, что в упоми</w:t>
      </w:r>
      <w:r w:rsidRPr="00722885">
        <w:rPr>
          <w:rFonts w:ascii="Times New Roman" w:hAnsi="Times New Roman"/>
          <w:color w:val="000000" w:themeColor="text1"/>
          <w:sz w:val="16"/>
          <w:szCs w:val="16"/>
        </w:rPr>
        <w:softHyphen/>
        <w:t>навшемся выше постановлении ГКО «Вопросы НКАП» от 14 декабря 1941 г. специально подчёркивалась важность и срочность сооружения в районе Москвы новых авиастрои</w:t>
      </w:r>
      <w:r w:rsidRPr="00722885">
        <w:rPr>
          <w:rFonts w:ascii="Times New Roman" w:hAnsi="Times New Roman"/>
          <w:color w:val="000000" w:themeColor="text1"/>
          <w:sz w:val="16"/>
          <w:szCs w:val="16"/>
        </w:rPr>
        <w:softHyphen/>
        <w:t>тельных заводов (Куманёв Г.А. Говорят сталинские наркомы. Смоленск, 2002. С. 212). Вскоре процесс пошёл вширь, не ограничи</w:t>
      </w:r>
      <w:r w:rsidRPr="00722885">
        <w:rPr>
          <w:rFonts w:ascii="Times New Roman" w:hAnsi="Times New Roman"/>
          <w:color w:val="000000" w:themeColor="text1"/>
          <w:sz w:val="16"/>
          <w:szCs w:val="16"/>
        </w:rPr>
        <w:softHyphen/>
        <w:t>ваясь вышеперечисленными заводами, введёнными в строй в середине 1942 г. На площадке эвакуированного из Москвы завода № 39 (Новый завод получил №81) было организовано производство истребителей Ла-5 (Самолётостроение в СССР. 1917—1945. Кн. 2. М., 1994. С. 227). Соответственно, на площадках эвакуированных мото</w:t>
      </w:r>
      <w:r w:rsidRPr="00722885">
        <w:rPr>
          <w:rFonts w:ascii="Times New Roman" w:hAnsi="Times New Roman"/>
          <w:color w:val="000000" w:themeColor="text1"/>
          <w:sz w:val="16"/>
          <w:szCs w:val="16"/>
        </w:rPr>
        <w:softHyphen/>
        <w:t>ростроительного завода № 16 и агрегатного № 20 возникли заводы № 265 и 41. В Рыбинске на базе эвакуированного завода № 26 в марте 1942 был создан завод № 36, занимав</w:t>
      </w:r>
      <w:r w:rsidRPr="00722885">
        <w:rPr>
          <w:rFonts w:ascii="Times New Roman" w:hAnsi="Times New Roman"/>
          <w:color w:val="000000" w:themeColor="text1"/>
          <w:sz w:val="16"/>
          <w:szCs w:val="16"/>
        </w:rPr>
        <w:softHyphen/>
        <w:t>шийся ремонтом авиамоторов (Авиадвигатели «Сатурна». М., 2003. С. 69), а с 1944 г. — выпуском ави</w:t>
      </w:r>
      <w:r w:rsidRPr="00722885">
        <w:rPr>
          <w:rFonts w:ascii="Times New Roman" w:hAnsi="Times New Roman"/>
          <w:color w:val="000000" w:themeColor="text1"/>
          <w:sz w:val="16"/>
          <w:szCs w:val="16"/>
        </w:rPr>
        <w:softHyphen/>
        <w:t>адвигателей АШ-62ИР (Авиадвигатели «Сатурна». М., 2003. С. 84). Развёртывание выпуска авиамото</w:t>
      </w:r>
      <w:r w:rsidRPr="00722885">
        <w:rPr>
          <w:rFonts w:ascii="Times New Roman" w:hAnsi="Times New Roman"/>
          <w:color w:val="000000" w:themeColor="text1"/>
          <w:sz w:val="16"/>
          <w:szCs w:val="16"/>
        </w:rPr>
        <w:softHyphen/>
        <w:t>ров в Рыбинске до 1944 г. сдерживалось постоянными бом</w:t>
      </w:r>
      <w:r w:rsidRPr="00722885">
        <w:rPr>
          <w:rFonts w:ascii="Times New Roman" w:hAnsi="Times New Roman"/>
          <w:color w:val="000000" w:themeColor="text1"/>
          <w:sz w:val="16"/>
          <w:szCs w:val="16"/>
        </w:rPr>
        <w:softHyphen/>
        <w:t>бёжками неприятельской авиации, прекратившимися лишь со второй половины 1943 г. Всего от авиаударов неприятеля пострадало около 87 % производственных площадей завода № 36. Уже к весне 1943 г. по количеству авиапредприятий центральный регион составлял чуть менее половины общей численности промышленных объектов НКАП (см. прил. 5). В результате восстановления эвакуированных предприятий центрального региона удельный вес в суммарном авиавыпу</w:t>
      </w:r>
      <w:r w:rsidRPr="00722885">
        <w:rPr>
          <w:rFonts w:ascii="Times New Roman" w:hAnsi="Times New Roman"/>
          <w:color w:val="000000" w:themeColor="text1"/>
          <w:sz w:val="16"/>
          <w:szCs w:val="16"/>
        </w:rPr>
        <w:softHyphen/>
        <w:t>ске Центральной России и Поволжья к 1944 г. практически сравнился (см. табл. «Роль различных регионов в суммар</w:t>
      </w:r>
      <w:r w:rsidRPr="00722885">
        <w:rPr>
          <w:rFonts w:ascii="Times New Roman" w:hAnsi="Times New Roman"/>
          <w:color w:val="000000" w:themeColor="text1"/>
          <w:sz w:val="16"/>
          <w:szCs w:val="16"/>
        </w:rPr>
        <w:softHyphen/>
        <w:t>ном авиавыпуске»).</w:t>
      </w:r>
    </w:p>
    <w:p w14:paraId="3FA5A90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Такие «новые» заводы, возникшие на площадках старых предприятий, уехавших в эвакуацию, представляли собой очень интересный феномен создания завода уже с учётом но</w:t>
      </w:r>
      <w:r w:rsidRPr="00722885">
        <w:rPr>
          <w:rFonts w:ascii="Times New Roman" w:hAnsi="Times New Roman"/>
          <w:color w:val="000000" w:themeColor="text1"/>
          <w:sz w:val="16"/>
          <w:szCs w:val="16"/>
        </w:rPr>
        <w:softHyphen/>
        <w:t>вейших тенденций в организации производства. Рассмотрим, как типичное предприятие этой генерации, завод № 45.</w:t>
      </w:r>
    </w:p>
    <w:p w14:paraId="51528C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Этот завод был организован, согласно постановлению ГКО № 1283сс от 15.02.1942 г., на площадке эвакуированно</w:t>
      </w:r>
      <w:r w:rsidRPr="00722885">
        <w:rPr>
          <w:rFonts w:ascii="Times New Roman" w:hAnsi="Times New Roman"/>
          <w:color w:val="000000" w:themeColor="text1"/>
          <w:sz w:val="16"/>
          <w:szCs w:val="16"/>
        </w:rPr>
        <w:softHyphen/>
        <w:t>го авиамоторного завода № 24 для производства авиамотора АМ-38 (РГАЭ. Ф. 8044. Он. 1. Д. 2826. Л. 61). При этом принципы построения производствен</w:t>
      </w:r>
      <w:r w:rsidRPr="00722885">
        <w:rPr>
          <w:rFonts w:ascii="Times New Roman" w:hAnsi="Times New Roman"/>
          <w:color w:val="000000" w:themeColor="text1"/>
          <w:sz w:val="16"/>
          <w:szCs w:val="16"/>
        </w:rPr>
        <w:softHyphen/>
        <w:t>ного процесса на новом заводе существенно отличались от принятых на заводе № 24. Ранее монтаж узлов и агрегатов оизводился в цехе первой сборки, что вело к значительному удлинению производственных циклов, обусловленному затратой времени на постоянную подгонку «по месту» со</w:t>
      </w:r>
      <w:r w:rsidRPr="00722885">
        <w:rPr>
          <w:rFonts w:ascii="Times New Roman" w:hAnsi="Times New Roman"/>
          <w:color w:val="000000" w:themeColor="text1"/>
          <w:sz w:val="16"/>
          <w:szCs w:val="16"/>
        </w:rPr>
        <w:softHyphen/>
        <w:t>прягающихся деталей. Разумеется, о взаимозаменяемости деталей при такой организации технического процесса го</w:t>
      </w:r>
      <w:r w:rsidRPr="00722885">
        <w:rPr>
          <w:rFonts w:ascii="Times New Roman" w:hAnsi="Times New Roman"/>
          <w:color w:val="000000" w:themeColor="text1"/>
          <w:sz w:val="16"/>
          <w:szCs w:val="16"/>
        </w:rPr>
        <w:softHyphen/>
        <w:t>ворить не приходилось. На заводе № 45 пошли иным путём. Теперь ставка делалась на «агрегатный принцип», согласно Которому монтаж агрегатов должен был производиться в Специально организованных в обрабатывающих цехах сле</w:t>
      </w:r>
      <w:r w:rsidRPr="00722885">
        <w:rPr>
          <w:rFonts w:ascii="Times New Roman" w:hAnsi="Times New Roman"/>
          <w:color w:val="000000" w:themeColor="text1"/>
          <w:sz w:val="16"/>
          <w:szCs w:val="16"/>
        </w:rPr>
        <w:softHyphen/>
        <w:t>сарных группах. Это позволяло сосредоточить первичную Сборку, а также переборку после сдаточных испытаний, в пределах одного цеха. На окончательную сборку подавались уже крупные блоки, включавшие в себя несколько агрега</w:t>
      </w:r>
      <w:r w:rsidRPr="00722885">
        <w:rPr>
          <w:rFonts w:ascii="Times New Roman" w:hAnsi="Times New Roman"/>
          <w:color w:val="000000" w:themeColor="text1"/>
          <w:sz w:val="16"/>
          <w:szCs w:val="16"/>
        </w:rPr>
        <w:softHyphen/>
        <w:t>тов. Такая организация технического процесса былй ориен</w:t>
      </w:r>
      <w:r w:rsidRPr="00722885">
        <w:rPr>
          <w:rFonts w:ascii="Times New Roman" w:hAnsi="Times New Roman"/>
          <w:color w:val="000000" w:themeColor="text1"/>
          <w:sz w:val="16"/>
          <w:szCs w:val="16"/>
        </w:rPr>
        <w:softHyphen/>
        <w:t>тирована на выпуск 10—15 моторов в день, и надо отметить, что с производственным заданием завод начал справляться сравнительно быстро (12011).</w:t>
      </w:r>
    </w:p>
    <w:p w14:paraId="66E78FC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C82F3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по сравне</w:t>
      </w:r>
      <w:r w:rsidRPr="00722885">
        <w:rPr>
          <w:rFonts w:ascii="Times New Roman" w:hAnsi="Times New Roman"/>
          <w:color w:val="000000" w:themeColor="text1"/>
          <w:sz w:val="16"/>
          <w:szCs w:val="16"/>
        </w:rPr>
        <w:softHyphen/>
        <w:t>нию с июнем 1941 г. число станков на предприятиях НКАП возросло на 89,4 %, а количество единиц кузнечно-прессового оборудования — на 88,8 % (Самолётостроение в СССР. 1917—1945. Кн. 2. М., 1994. С. 222.) (12011).</w:t>
      </w:r>
    </w:p>
    <w:p w14:paraId="26CBD4E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4B432BB" w14:textId="77777777" w:rsidR="00BB6316" w:rsidRPr="00722885" w:rsidRDefault="00BB6316" w:rsidP="00722885">
      <w:pPr>
        <w:tabs>
          <w:tab w:val="left" w:pos="1377"/>
          <w:tab w:val="left" w:pos="3984"/>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год была создана ФАБ-5000, которая весила 5080 кг, имела диаметр 1000 мм и длину, соответствующую длине бомбоотсека Пе-8. От разрыва такой бомбы на земле образовывалась воронка диаметром 18-24 м и глубиной 6-9 м. Крупный железнодорожный мост мог быть разрушен такой бомбой, даже если бомба взрывалась в 10-15 м от него. Предварительно, прежде чем передавать бомбу в действующие части АДД, решено было проверить как эффективность ее действия, так и особенности ее эксплуатации. Единственной советской машиной, которая могла поднять и доставить к цели это чудовище, был Пе-8. Соответственно разработку системы подвески бомбы поручили ОКБ Незваля. До этого наибольшая бомба которую поднимал Пе-8, была бомба ФАБ-2000.</w:t>
      </w:r>
    </w:p>
    <w:p w14:paraId="400B17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своей длине бомба в отсеке Пе-8 размещалась, а вот ее метровый диаметр привел к тому что она значительно выступала за обводы фюзеляжа и не позволяла закрывать полностью створки бомболюка (И.Ф.Незвалю везло в жизни на подобные задания, через полтора десятка лет именно его подразделение в ОКБ Туполева получит задание на размещение термоядерной "супербомбы" "202" мощностью 100 мегатонн в бомбоотсеке Ту-95). Подвеску бомбы пришлось выполнять совершенно по иноому чем для ФАБ-2000, — на лонжеронах центроплана установили более прочные узлы, а также смонтировали новую систему для подвески бомбы. В ОКБ достаточно быстро разработали всю техдокументацию по теме. Для проверки системы подъема изготовили весовой макет в виде бочки, начинив ее землей и железными обрезками.</w:t>
      </w:r>
    </w:p>
    <w:p w14:paraId="048B0B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испытаний макета на прочность на стенде на трехкратную перегрузку решено было поднять макет системы в воздух и произвести сброс. На доработанном Пе-8, пилотируемым Водопьяновым и Говоровым, был произведен сброс весового макета бомбы с высоты 3000 м на болота в устье Камы. Испытания прошли успешно, подтвердив возможность применения с Пе-8 ФАБ-5000. Вслед за первой машиной системой подвески ФАБ-5000 в начале 1943 года было оборудовано еще несколько самолетов.</w:t>
      </w:r>
    </w:p>
    <w:p w14:paraId="653945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Помимо определения особенностей эксплуатации новых бомб и отработки четкого взаимодействия всех частей системы, предстояло проверить эффективность действия бомбы и ее разрушающую способность в реальных условиях. Ответ на этот вопрос можно было получить только путем сброса этой бомбы на какую-либо реальную цель на территории противника. Проводить подобную операцию на своей территории на каком-либо по</w:t>
      </w:r>
      <w:r w:rsidRPr="00722885">
        <w:rPr>
          <w:rFonts w:ascii="Times New Roman" w:hAnsi="Times New Roman"/>
          <w:color w:val="000000" w:themeColor="text1"/>
          <w:sz w:val="16"/>
          <w:szCs w:val="16"/>
        </w:rPr>
        <w:softHyphen/>
        <w:t>лигоне посчитали нежелательным, когда в распоряжении АДД имелся достаточно широкий выбор достижимых целей на территории Германии (12726).</w:t>
      </w:r>
    </w:p>
    <w:p w14:paraId="612DD12B" w14:textId="77777777" w:rsidR="00BB6316" w:rsidRPr="00722885" w:rsidRDefault="00BB6316" w:rsidP="00722885">
      <w:pPr>
        <w:pStyle w:val="ae"/>
        <w:spacing w:before="0" w:after="0"/>
        <w:jc w:val="both"/>
        <w:rPr>
          <w:rStyle w:val="mfont1"/>
          <w:rFonts w:eastAsia="Times New Roman"/>
          <w:bCs/>
          <w:color w:val="000000" w:themeColor="text1"/>
          <w:sz w:val="16"/>
          <w:szCs w:val="16"/>
        </w:rPr>
      </w:pPr>
    </w:p>
    <w:p w14:paraId="35BE3923" w14:textId="77777777" w:rsidR="00E3119F" w:rsidRPr="00722885" w:rsidRDefault="00E3119F"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К концу 1942 года в Ижевске была изготовлена технологическая оснастка, можно было приступать к серийному производству пушек НС-37 (15979).</w:t>
      </w:r>
    </w:p>
    <w:p w14:paraId="5DA2B760" w14:textId="77777777" w:rsidR="00E3119F" w:rsidRPr="00722885" w:rsidRDefault="00E3119F" w:rsidP="00722885">
      <w:pPr>
        <w:shd w:val="clear" w:color="auto" w:fill="FFFFFF"/>
        <w:spacing w:after="0" w:line="240" w:lineRule="auto"/>
        <w:jc w:val="both"/>
        <w:rPr>
          <w:rFonts w:ascii="Times New Roman" w:eastAsia="Times New Roman" w:hAnsi="Times New Roman"/>
          <w:color w:val="000000" w:themeColor="text1"/>
          <w:sz w:val="16"/>
          <w:szCs w:val="16"/>
        </w:rPr>
      </w:pPr>
    </w:p>
    <w:p w14:paraId="4661B88A" w14:textId="77777777" w:rsidR="00E3119F" w:rsidRPr="00722885" w:rsidRDefault="00E3119F"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В конце 1942 года был создан новый неуправляемый реактивный снаряд М-31 с фугасной головной частью с максимальной дальностью полета 4325 м. Также был разработан реактивный снаряд МХ-30 с химической головной частью (15981).</w:t>
      </w:r>
    </w:p>
    <w:p w14:paraId="2DF157BB" w14:textId="77777777" w:rsidR="00E3119F" w:rsidRPr="00722885" w:rsidRDefault="00E3119F" w:rsidP="00722885">
      <w:pPr>
        <w:spacing w:after="0" w:line="240" w:lineRule="auto"/>
        <w:jc w:val="both"/>
        <w:rPr>
          <w:rFonts w:ascii="Times New Roman" w:eastAsia="Times New Roman" w:hAnsi="Times New Roman"/>
          <w:color w:val="000000" w:themeColor="text1"/>
          <w:sz w:val="16"/>
          <w:szCs w:val="16"/>
        </w:rPr>
      </w:pPr>
    </w:p>
    <w:p w14:paraId="1EBF735B" w14:textId="77777777" w:rsidR="00FA33B8" w:rsidRPr="00722885" w:rsidRDefault="00FA33B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концу 1942 г. в ГСКБ-47 и ЦКБ-22 было отработано и испыта</w:t>
      </w:r>
      <w:r w:rsidRPr="00722885">
        <w:rPr>
          <w:color w:val="000000" w:themeColor="text1"/>
          <w:sz w:val="16"/>
          <w:szCs w:val="16"/>
        </w:rPr>
        <w:softHyphen/>
        <w:t>но несколько различных вариантов кумулятивных бомб. Наилучшей из них оказалась бомба, спроек</w:t>
      </w:r>
      <w:r w:rsidRPr="00722885">
        <w:rPr>
          <w:color w:val="000000" w:themeColor="text1"/>
          <w:sz w:val="16"/>
          <w:szCs w:val="16"/>
        </w:rPr>
        <w:softHyphen/>
        <w:t>тированная в ЦКБ-22 под руководством известного конструктора взрывателей И. А. Ларионова (17500).</w:t>
      </w:r>
    </w:p>
    <w:p w14:paraId="31B93C68" w14:textId="77777777" w:rsidR="00FA33B8" w:rsidRPr="00722885" w:rsidRDefault="00FA33B8" w:rsidP="00722885">
      <w:pPr>
        <w:spacing w:after="0" w:line="240" w:lineRule="auto"/>
        <w:jc w:val="both"/>
        <w:rPr>
          <w:rFonts w:ascii="Times New Roman" w:eastAsia="Times New Roman" w:hAnsi="Times New Roman"/>
          <w:color w:val="000000" w:themeColor="text1"/>
          <w:sz w:val="16"/>
          <w:szCs w:val="16"/>
          <w:lang w:eastAsia="ru-RU"/>
        </w:rPr>
      </w:pPr>
    </w:p>
    <w:p w14:paraId="2A4F2D29" w14:textId="77777777" w:rsidR="00FA33B8" w:rsidRPr="00722885" w:rsidRDefault="00FA33B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 концу 1942 г. пришлось прекра</w:t>
      </w:r>
      <w:r w:rsidRPr="00722885">
        <w:rPr>
          <w:color w:val="000000" w:themeColor="text1"/>
          <w:sz w:val="16"/>
          <w:szCs w:val="16"/>
        </w:rPr>
        <w:softHyphen/>
        <w:t>тить массовый выпуск мощной осколочной авиа</w:t>
      </w:r>
      <w:r w:rsidRPr="00722885">
        <w:rPr>
          <w:color w:val="000000" w:themeColor="text1"/>
          <w:sz w:val="16"/>
          <w:szCs w:val="16"/>
        </w:rPr>
        <w:softHyphen/>
        <w:t>бомбы АО-50—100сл со стальным корпусом, хотя бомба была освоена в производстве только летом 1942 г. Осколки этой бомбы пробивали немецкую танковую броню толщиной 30 мм при подрыве на удалении до 5 м от танка. В связи с необходимо</w:t>
      </w:r>
      <w:r w:rsidRPr="00722885">
        <w:rPr>
          <w:color w:val="000000" w:themeColor="text1"/>
          <w:sz w:val="16"/>
          <w:szCs w:val="16"/>
        </w:rPr>
        <w:softHyphen/>
        <w:t>стью экономии стали перешли к более технологич</w:t>
      </w:r>
      <w:r w:rsidRPr="00722885">
        <w:rPr>
          <w:color w:val="000000" w:themeColor="text1"/>
          <w:sz w:val="16"/>
          <w:szCs w:val="16"/>
        </w:rPr>
        <w:softHyphen/>
        <w:t>ным конструкциям бомб из серого чугуна, которые значительно уступали стальным по бронепробива- емости.</w:t>
      </w:r>
    </w:p>
    <w:p w14:paraId="3A844D65" w14:textId="77777777" w:rsidR="00FA33B8" w:rsidRPr="00722885" w:rsidRDefault="00FA33B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это же время активизировались работы по оснащению самолета Ил-2 новыми средствами по</w:t>
      </w:r>
      <w:r w:rsidRPr="00722885">
        <w:rPr>
          <w:color w:val="000000" w:themeColor="text1"/>
          <w:sz w:val="16"/>
          <w:szCs w:val="16"/>
        </w:rPr>
        <w:softHyphen/>
        <w:t>ражения, обеспечивавшими большую площадь на</w:t>
      </w:r>
      <w:r w:rsidRPr="00722885">
        <w:rPr>
          <w:color w:val="000000" w:themeColor="text1"/>
          <w:sz w:val="16"/>
          <w:szCs w:val="16"/>
        </w:rPr>
        <w:softHyphen/>
        <w:t>крытия цели и эффективно действовавшими по танкам (17500).</w:t>
      </w:r>
    </w:p>
    <w:p w14:paraId="0099EAD2" w14:textId="77777777" w:rsidR="00FA33B8" w:rsidRPr="00722885" w:rsidRDefault="00FA33B8" w:rsidP="00722885">
      <w:pPr>
        <w:spacing w:after="0" w:line="240" w:lineRule="auto"/>
        <w:jc w:val="both"/>
        <w:rPr>
          <w:rFonts w:ascii="Times New Roman" w:eastAsia="Times New Roman" w:hAnsi="Times New Roman"/>
          <w:color w:val="000000" w:themeColor="text1"/>
          <w:sz w:val="16"/>
          <w:szCs w:val="16"/>
          <w:lang w:eastAsia="ru-RU"/>
        </w:rPr>
      </w:pPr>
    </w:p>
    <w:p w14:paraId="0B0B2717" w14:textId="77777777" w:rsidR="00C36A90" w:rsidRPr="00722885" w:rsidRDefault="00C36A90" w:rsidP="00722885">
      <w:pPr>
        <w:pStyle w:val="ae"/>
        <w:shd w:val="clear" w:color="auto" w:fill="FFFFFF"/>
        <w:spacing w:before="0" w:after="0"/>
        <w:jc w:val="both"/>
        <w:rPr>
          <w:color w:val="0070C0"/>
          <w:sz w:val="16"/>
          <w:szCs w:val="16"/>
        </w:rPr>
      </w:pPr>
      <w:r w:rsidRPr="00722885">
        <w:rPr>
          <w:color w:val="0070C0"/>
          <w:sz w:val="16"/>
          <w:szCs w:val="16"/>
        </w:rPr>
        <w:t>В конце 1942 году В.В. Аборенков предложил добавить два дополнительных штифта снаряду М-13 с целью его пуcка со сдвоенных направляющих. Для этой цели был изготовлен опытный образец, который представлял собой серийную установку М-13, у которой была заменена качающаяся часть (направляющие и ферма). Направляющая представляла собой две стальные полосы, поставленные на ребро, в каждой из них был простроган паз для ведущего штифта. Каждая пара полос крепилась напротив друг друга пазами в вертикальной плоскости. Проведенные полигонные испытания не дали ожидаемого улучшения кучности стрельбы и работы были прекращены (21476).</w:t>
      </w:r>
    </w:p>
    <w:p w14:paraId="45E763F0" w14:textId="77777777" w:rsidR="00C36A90" w:rsidRPr="00722885" w:rsidRDefault="00C36A90" w:rsidP="00722885">
      <w:pPr>
        <w:pStyle w:val="ae"/>
        <w:shd w:val="clear" w:color="auto" w:fill="FFFFFF"/>
        <w:spacing w:before="0" w:after="0"/>
        <w:jc w:val="both"/>
        <w:rPr>
          <w:color w:val="0070C0"/>
          <w:sz w:val="16"/>
          <w:szCs w:val="16"/>
        </w:rPr>
      </w:pPr>
    </w:p>
    <w:p w14:paraId="58F1CC12" w14:textId="77777777" w:rsidR="00C36A90" w:rsidRPr="00722885" w:rsidRDefault="00C36A90" w:rsidP="00722885">
      <w:pPr>
        <w:pStyle w:val="ae"/>
        <w:shd w:val="clear" w:color="auto" w:fill="FFFFFF"/>
        <w:spacing w:before="0" w:after="0"/>
        <w:jc w:val="both"/>
        <w:textAlignment w:val="baseline"/>
        <w:rPr>
          <w:color w:val="0070C0"/>
          <w:sz w:val="16"/>
          <w:szCs w:val="16"/>
        </w:rPr>
      </w:pPr>
      <w:r w:rsidRPr="00722885">
        <w:rPr>
          <w:color w:val="0070C0"/>
          <w:sz w:val="16"/>
          <w:szCs w:val="16"/>
        </w:rPr>
        <w:t>В конце 1942 года завод «Компрессор» разработал конструкцию подобной установки для ГАЗ-АА, получившую название КАРС-2 (Короткая артиллерийская ракетная системы №2). Однако её полигонные испытания показали, что длина направляющих в 1250 мм не обеспечивает требуемой кучности. Также выяснилось, что возможный угол горизонтального обстрела мал, а его увеличение требует проведения большого объёма работ по изменению самой машины. Производство систем с короткими направляющими признали нецелесообразным (19941).</w:t>
      </w:r>
    </w:p>
    <w:p w14:paraId="4F2EBF3B" w14:textId="77777777" w:rsidR="00C36A90" w:rsidRPr="00722885" w:rsidRDefault="00C36A90" w:rsidP="00722885">
      <w:pPr>
        <w:pStyle w:val="ae"/>
        <w:shd w:val="clear" w:color="auto" w:fill="FFFFFF"/>
        <w:spacing w:before="0" w:after="0"/>
        <w:jc w:val="both"/>
        <w:textAlignment w:val="baseline"/>
        <w:rPr>
          <w:color w:val="0070C0"/>
          <w:sz w:val="16"/>
          <w:szCs w:val="16"/>
        </w:rPr>
      </w:pPr>
    </w:p>
    <w:p w14:paraId="4F6B1B77" w14:textId="77777777" w:rsidR="00C36A90" w:rsidRPr="00722885" w:rsidRDefault="00C36A90" w:rsidP="00722885">
      <w:pPr>
        <w:pStyle w:val="ae"/>
        <w:shd w:val="clear" w:color="auto" w:fill="FFFFFF"/>
        <w:spacing w:before="0" w:after="0"/>
        <w:jc w:val="both"/>
        <w:textAlignment w:val="baseline"/>
        <w:rPr>
          <w:color w:val="0070C0"/>
          <w:sz w:val="16"/>
          <w:szCs w:val="16"/>
        </w:rPr>
      </w:pPr>
      <w:r w:rsidRPr="00722885">
        <w:rPr>
          <w:color w:val="0070C0"/>
          <w:sz w:val="16"/>
          <w:szCs w:val="16"/>
        </w:rPr>
        <w:t>В конце 1942 года была спроектирована, изготовлена и испытана установка на шасси автомашины ЗИС-6 для пуска снарядов М-13, снабжённых двумя дополнительными штифтами. Специалисты полагали, что таким способом удастся уменьшить рассеивание. В случае положительного результата установку можно было запускать в серийное производство без серьёзных доработок. Испытания показали достаточную прочность и безопасность установки, но существенного уменьшения рассеивания зафиксировано не было (19941).</w:t>
      </w:r>
    </w:p>
    <w:p w14:paraId="5B0986AF" w14:textId="77777777" w:rsidR="00C36A90" w:rsidRPr="00722885" w:rsidRDefault="00C36A90" w:rsidP="00722885">
      <w:pPr>
        <w:pStyle w:val="ae"/>
        <w:shd w:val="clear" w:color="auto" w:fill="FFFFFF"/>
        <w:spacing w:before="0" w:after="0"/>
        <w:jc w:val="both"/>
        <w:textAlignment w:val="baseline"/>
        <w:rPr>
          <w:color w:val="0070C0"/>
          <w:sz w:val="16"/>
          <w:szCs w:val="16"/>
        </w:rPr>
      </w:pPr>
    </w:p>
    <w:p w14:paraId="1780DB57" w14:textId="77777777" w:rsidR="00C36A90" w:rsidRPr="00722885" w:rsidRDefault="00C36A90" w:rsidP="00722885">
      <w:pPr>
        <w:pStyle w:val="ae"/>
        <w:shd w:val="clear" w:color="auto" w:fill="FFFFFF"/>
        <w:spacing w:before="0" w:after="0"/>
        <w:jc w:val="both"/>
        <w:textAlignment w:val="baseline"/>
        <w:rPr>
          <w:color w:val="0070C0"/>
          <w:sz w:val="16"/>
          <w:szCs w:val="16"/>
        </w:rPr>
      </w:pPr>
      <w:r w:rsidRPr="00722885">
        <w:rPr>
          <w:color w:val="0070C0"/>
          <w:sz w:val="16"/>
          <w:szCs w:val="16"/>
        </w:rPr>
        <w:t>На конец 1942 года на флоте накопилось сорок восемь штук ракетных самоделок. По отзывам специалистам, они </w:t>
      </w:r>
      <w:r w:rsidRPr="00722885">
        <w:rPr>
          <w:color w:val="0070C0"/>
          <w:sz w:val="16"/>
          <w:szCs w:val="16"/>
          <w:bdr w:val="none" w:sz="0" w:space="0" w:color="auto" w:frame="1"/>
        </w:rPr>
        <w:t>«имели плохую кучность стрельбы»</w:t>
      </w:r>
      <w:r w:rsidRPr="00722885">
        <w:rPr>
          <w:color w:val="0070C0"/>
          <w:sz w:val="16"/>
          <w:szCs w:val="16"/>
        </w:rPr>
        <w:t> и </w:t>
      </w:r>
      <w:r w:rsidRPr="00722885">
        <w:rPr>
          <w:color w:val="0070C0"/>
          <w:sz w:val="16"/>
          <w:szCs w:val="16"/>
          <w:bdr w:val="none" w:sz="0" w:space="0" w:color="auto" w:frame="1"/>
        </w:rPr>
        <w:t>«не обеспечивали безопасность и непрерывность наведения»</w:t>
      </w:r>
      <w:r w:rsidRPr="00722885">
        <w:rPr>
          <w:color w:val="0070C0"/>
          <w:sz w:val="16"/>
          <w:szCs w:val="16"/>
        </w:rPr>
        <w:t>. В связи с этим самостоятельное конструирование и изготовление пусковых установок было запрещено прямым приказом наркома ВМФ от 24 января 1943 года (19941).</w:t>
      </w:r>
    </w:p>
    <w:p w14:paraId="456B646F" w14:textId="77777777" w:rsidR="00C36A90" w:rsidRPr="00722885" w:rsidRDefault="00C36A90" w:rsidP="00722885">
      <w:pPr>
        <w:pStyle w:val="ae"/>
        <w:shd w:val="clear" w:color="auto" w:fill="FFFFFF"/>
        <w:spacing w:before="0" w:after="0"/>
        <w:jc w:val="both"/>
        <w:textAlignment w:val="baseline"/>
        <w:rPr>
          <w:color w:val="0070C0"/>
          <w:sz w:val="16"/>
          <w:szCs w:val="16"/>
        </w:rPr>
      </w:pPr>
    </w:p>
    <w:p w14:paraId="43F8C945" w14:textId="77777777" w:rsidR="00C36A90" w:rsidRPr="00722885" w:rsidRDefault="00C36A90" w:rsidP="00722885">
      <w:pPr>
        <w:pStyle w:val="ae"/>
        <w:shd w:val="clear" w:color="auto" w:fill="FFFFFF"/>
        <w:spacing w:before="0" w:after="0"/>
        <w:jc w:val="both"/>
        <w:textAlignment w:val="baseline"/>
        <w:rPr>
          <w:color w:val="0070C0"/>
          <w:sz w:val="16"/>
          <w:szCs w:val="16"/>
        </w:rPr>
      </w:pPr>
      <w:r w:rsidRPr="00722885">
        <w:rPr>
          <w:color w:val="0070C0"/>
          <w:sz w:val="16"/>
          <w:szCs w:val="16"/>
        </w:rPr>
        <w:t>На конец 1942 года на флоте накопилось сорок восемь штук ракетных самоделок. По отзывам специалистам, они </w:t>
      </w:r>
      <w:r w:rsidRPr="00722885">
        <w:rPr>
          <w:color w:val="0070C0"/>
          <w:sz w:val="16"/>
          <w:szCs w:val="16"/>
          <w:bdr w:val="none" w:sz="0" w:space="0" w:color="auto" w:frame="1"/>
        </w:rPr>
        <w:t>«имели плохую кучность стрельбы»</w:t>
      </w:r>
      <w:r w:rsidRPr="00722885">
        <w:rPr>
          <w:color w:val="0070C0"/>
          <w:sz w:val="16"/>
          <w:szCs w:val="16"/>
        </w:rPr>
        <w:t> и </w:t>
      </w:r>
      <w:r w:rsidRPr="00722885">
        <w:rPr>
          <w:color w:val="0070C0"/>
          <w:sz w:val="16"/>
          <w:szCs w:val="16"/>
          <w:bdr w:val="none" w:sz="0" w:space="0" w:color="auto" w:frame="1"/>
        </w:rPr>
        <w:t>«не обеспечивали безопасность и непрерывность наведения»</w:t>
      </w:r>
      <w:r w:rsidRPr="00722885">
        <w:rPr>
          <w:color w:val="0070C0"/>
          <w:sz w:val="16"/>
          <w:szCs w:val="16"/>
        </w:rPr>
        <w:t>. В связи с этим самостоятельное конструирование и изготовление пусковых установок было запрещено прямым приказом наркома ВМФ (19941).</w:t>
      </w:r>
    </w:p>
    <w:p w14:paraId="3A4E38D4" w14:textId="77777777" w:rsidR="00C36A90" w:rsidRPr="00722885" w:rsidRDefault="00C36A90" w:rsidP="00722885">
      <w:pPr>
        <w:pStyle w:val="ae"/>
        <w:shd w:val="clear" w:color="auto" w:fill="FFFFFF"/>
        <w:spacing w:before="0" w:after="0"/>
        <w:jc w:val="both"/>
        <w:textAlignment w:val="baseline"/>
        <w:rPr>
          <w:color w:val="0070C0"/>
          <w:sz w:val="16"/>
          <w:szCs w:val="16"/>
        </w:rPr>
      </w:pPr>
    </w:p>
    <w:p w14:paraId="2BD22693" w14:textId="77777777" w:rsidR="00E3119F" w:rsidRPr="00722885" w:rsidRDefault="00E3119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наступил «момент истины» — началась «ревизия» экономических от</w:t>
      </w:r>
      <w:r w:rsidRPr="00722885">
        <w:rPr>
          <w:rFonts w:ascii="Times New Roman" w:hAnsi="Times New Roman"/>
          <w:color w:val="000000" w:themeColor="text1"/>
          <w:sz w:val="16"/>
          <w:szCs w:val="16"/>
        </w:rPr>
        <w:softHyphen/>
        <w:t>ношений СССР с Синьцзяном (15811).</w:t>
      </w:r>
    </w:p>
    <w:p w14:paraId="381E964B" w14:textId="77777777" w:rsidR="00E3119F" w:rsidRPr="00722885" w:rsidRDefault="00E3119F" w:rsidP="00722885">
      <w:pPr>
        <w:spacing w:after="0" w:line="240" w:lineRule="auto"/>
        <w:jc w:val="both"/>
        <w:rPr>
          <w:rFonts w:ascii="Times New Roman" w:hAnsi="Times New Roman"/>
          <w:color w:val="000000" w:themeColor="text1"/>
          <w:sz w:val="16"/>
          <w:szCs w:val="16"/>
        </w:rPr>
      </w:pPr>
    </w:p>
    <w:p w14:paraId="087885C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2B06927" w14:textId="77777777" w:rsidR="00BB6316" w:rsidRPr="00722885" w:rsidRDefault="00BB6316" w:rsidP="00722885">
      <w:pPr>
        <w:pStyle w:val="Iauiue"/>
        <w:jc w:val="both"/>
        <w:rPr>
          <w:iCs/>
          <w:color w:val="000000" w:themeColor="text1"/>
          <w:sz w:val="16"/>
          <w:szCs w:val="16"/>
        </w:rPr>
      </w:pPr>
    </w:p>
    <w:p w14:paraId="14BEB272" w14:textId="77777777" w:rsidR="00E3119F" w:rsidRPr="00722885" w:rsidRDefault="00E3119F" w:rsidP="00722885">
      <w:pPr>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К концу 1942 года удалось ликвидировать преимущество Германии по обеспечению армии боеприпасами. Это наглядно продемонстрировала Сталинградская битва, когда Красная Армия израсходовала 15 млн артснарядов и мин! Небывалый размах военных действий постоянно требовал увеличения выпуска боеприпасов, с одновременным созданием новых, более эффективных образцов, отвечающих условиям ведения войны. Это достигалось внедрением новых технологических процессов, таких, например, как литье в кокиль корпусов артиллерийских снарядов и мин, как автоматическая электросварка под слоем флюса корпусов авиабомб. Вводились поточные линии в производстве взрывателей, ускоренные процессы фабрикации порохов (УФ), прогрессивные технологии в производстве латунных гильз и др. (15989).</w:t>
      </w:r>
    </w:p>
    <w:p w14:paraId="72D07882" w14:textId="77777777" w:rsidR="00E3119F" w:rsidRPr="00722885" w:rsidRDefault="00E3119F" w:rsidP="00722885">
      <w:pPr>
        <w:spacing w:after="0" w:line="240" w:lineRule="auto"/>
        <w:jc w:val="both"/>
        <w:rPr>
          <w:rFonts w:ascii="Times New Roman" w:hAnsi="Times New Roman"/>
          <w:color w:val="000000" w:themeColor="text1"/>
          <w:sz w:val="16"/>
          <w:szCs w:val="16"/>
        </w:rPr>
      </w:pPr>
    </w:p>
    <w:p w14:paraId="42ABFC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До конца 1942 г. с мая английский завод изготовил только 1650 т ша</w:t>
      </w:r>
      <w:r w:rsidRPr="00722885">
        <w:rPr>
          <w:rFonts w:ascii="Times New Roman" w:hAnsi="Times New Roman"/>
          <w:color w:val="000000" w:themeColor="text1"/>
          <w:sz w:val="16"/>
          <w:szCs w:val="16"/>
        </w:rPr>
        <w:softHyphen/>
        <w:t>шек К.8, а за первые 10 месяцев 1943 г. - 5575 т. К этому времени было от</w:t>
      </w:r>
      <w:r w:rsidRPr="00722885">
        <w:rPr>
          <w:rFonts w:ascii="Times New Roman" w:hAnsi="Times New Roman"/>
          <w:color w:val="000000" w:themeColor="text1"/>
          <w:sz w:val="16"/>
          <w:szCs w:val="16"/>
        </w:rPr>
        <w:softHyphen/>
        <w:t>гружено в северные порты СССР 3235 т, в стадии погрузки на суда - 2500 и около 1500 т в пути к портам отгрузки. Пороховые РЗ из шашек НОД и НОД-4 состояли из семи шашек. Дальность стрельбы снарядами М-13 Л М-13УК с РЗ из этого пороха была такой же, как и при стрельбе с оте</w:t>
      </w:r>
      <w:r w:rsidRPr="00722885">
        <w:rPr>
          <w:rFonts w:ascii="Times New Roman" w:hAnsi="Times New Roman"/>
          <w:color w:val="000000" w:themeColor="text1"/>
          <w:sz w:val="16"/>
          <w:szCs w:val="16"/>
        </w:rPr>
        <w:softHyphen/>
        <w:t>чественными.</w:t>
      </w:r>
    </w:p>
    <w:p w14:paraId="5B0E1B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Англии в СССР поставляли 40-мм шашки для РС из нитроглице</w:t>
      </w:r>
      <w:r w:rsidRPr="00722885">
        <w:rPr>
          <w:rFonts w:ascii="Times New Roman" w:hAnsi="Times New Roman"/>
          <w:color w:val="000000" w:themeColor="text1"/>
          <w:sz w:val="16"/>
          <w:szCs w:val="16"/>
        </w:rPr>
        <w:softHyphen/>
        <w:t>ринового пороха состава Н, разработанного в предвоенные годы Б.П.Фоминым и сотрудниками ВХНИИ. В состав были внесены неболь</w:t>
      </w:r>
      <w:r w:rsidRPr="00722885">
        <w:rPr>
          <w:rFonts w:ascii="Times New Roman" w:hAnsi="Times New Roman"/>
          <w:color w:val="000000" w:themeColor="text1"/>
          <w:sz w:val="16"/>
          <w:szCs w:val="16"/>
        </w:rPr>
        <w:softHyphen/>
        <w:t>шие изменения для облегчения переработки его на имевшихся на заво</w:t>
      </w:r>
      <w:r w:rsidRPr="00722885">
        <w:rPr>
          <w:rFonts w:ascii="Times New Roman" w:hAnsi="Times New Roman"/>
          <w:color w:val="000000" w:themeColor="text1"/>
          <w:sz w:val="16"/>
          <w:szCs w:val="16"/>
        </w:rPr>
        <w:softHyphen/>
        <w:t>дах маломощных вальцах. Этот порох получил у англичан наименование К8 (</w:t>
      </w:r>
      <w:r w:rsidRPr="00722885">
        <w:rPr>
          <w:rFonts w:ascii="Times New Roman" w:hAnsi="Times New Roman"/>
          <w:color w:val="000000" w:themeColor="text1"/>
          <w:sz w:val="16"/>
          <w:szCs w:val="16"/>
          <w:lang w:val="en-US"/>
        </w:rPr>
        <w:t>RussianSolventless</w:t>
      </w:r>
      <w:r w:rsidRPr="00722885">
        <w:rPr>
          <w:rFonts w:ascii="Times New Roman" w:hAnsi="Times New Roman"/>
          <w:color w:val="000000" w:themeColor="text1"/>
          <w:sz w:val="16"/>
          <w:szCs w:val="16"/>
        </w:rPr>
        <w:t xml:space="preserve"> - русский без растворителя), и ракетные шашки из него производил Королевский пороховой завод в г.Бишоптоне.</w:t>
      </w:r>
    </w:p>
    <w:p w14:paraId="474BF92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СССР поступавшим из Британии шашкам присвоили индекс НОД, то есть, порох рецептуры Н «особой доставки». Английское министерст</w:t>
      </w:r>
      <w:r w:rsidRPr="00722885">
        <w:rPr>
          <w:rFonts w:ascii="Times New Roman" w:hAnsi="Times New Roman"/>
          <w:color w:val="000000" w:themeColor="text1"/>
          <w:sz w:val="16"/>
          <w:szCs w:val="16"/>
        </w:rPr>
        <w:softHyphen/>
        <w:t>во снабжения обязалось ежемесячно поставлять по 2000 т шашек из по</w:t>
      </w:r>
      <w:r w:rsidRPr="00722885">
        <w:rPr>
          <w:rFonts w:ascii="Times New Roman" w:hAnsi="Times New Roman"/>
          <w:color w:val="000000" w:themeColor="text1"/>
          <w:sz w:val="16"/>
          <w:szCs w:val="16"/>
        </w:rPr>
        <w:softHyphen/>
        <w:t xml:space="preserve">роха </w:t>
      </w:r>
      <w:r w:rsidRPr="00722885">
        <w:rPr>
          <w:rFonts w:ascii="Times New Roman" w:hAnsi="Times New Roman"/>
          <w:color w:val="000000" w:themeColor="text1"/>
          <w:sz w:val="16"/>
          <w:szCs w:val="16"/>
          <w:lang w:val="en-US"/>
        </w:rPr>
        <w:t>RS</w:t>
      </w:r>
      <w:r w:rsidRPr="00722885">
        <w:rPr>
          <w:rFonts w:ascii="Times New Roman" w:hAnsi="Times New Roman"/>
          <w:color w:val="000000" w:themeColor="text1"/>
          <w:sz w:val="16"/>
          <w:szCs w:val="16"/>
        </w:rPr>
        <w:t>-НОД. Однако, эти обязательства не выполнялись. Доставка именно порохов была более чем особой - морские конвои англичан и американцев немецкие подводники нещадно топили. И если при попа</w:t>
      </w:r>
      <w:r w:rsidRPr="00722885">
        <w:rPr>
          <w:rFonts w:ascii="Times New Roman" w:hAnsi="Times New Roman"/>
          <w:color w:val="000000" w:themeColor="text1"/>
          <w:sz w:val="16"/>
          <w:szCs w:val="16"/>
        </w:rPr>
        <w:softHyphen/>
        <w:t>дании торпеды в транспорт с боевой техникой, у моряков еще оставалась возможность прыгнуть за борт и быть подхваченным с проходящего сле</w:t>
      </w:r>
      <w:r w:rsidRPr="00722885">
        <w:rPr>
          <w:rFonts w:ascii="Times New Roman" w:hAnsi="Times New Roman"/>
          <w:color w:val="000000" w:themeColor="text1"/>
          <w:sz w:val="16"/>
          <w:szCs w:val="16"/>
        </w:rPr>
        <w:softHyphen/>
        <w:t>дом другого судна, то взрыв торпеды в трюме груженого таким балли-ститным порохом транспорта не оставлял команде шанса на спасение Стрельба РС с РЗ из пороха рецептуры НОД допускалась в диапазоне температур от -25 до +20°С, а из пороха НОД-4 от -10 до +40°С. На РС, заряженных английскими шашками предписывалось наносить крупно белой краской вдоль корпуса двигателя: «НОД». Как видно из темпера</w:t>
      </w:r>
      <w:r w:rsidRPr="00722885">
        <w:rPr>
          <w:rFonts w:ascii="Times New Roman" w:hAnsi="Times New Roman"/>
          <w:color w:val="000000" w:themeColor="text1"/>
          <w:sz w:val="16"/>
          <w:szCs w:val="16"/>
        </w:rPr>
        <w:softHyphen/>
        <w:t>турных диапазонов «работы» английских ракетных порохов, это были составы ограниченного применения, поэтому впоследствии РЗ для М-13 стали формировать из одной шашки НОД и шести НГВ. В этом случае РС можно было применять круглый год без ограничений по температуре РЗ и высоте полета носителя.</w:t>
      </w:r>
    </w:p>
    <w:p w14:paraId="48A1596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Наряду с готовыми порохами, союзные страны поставили в годы вой</w:t>
      </w:r>
      <w:r w:rsidRPr="00722885">
        <w:rPr>
          <w:rFonts w:ascii="Times New Roman" w:hAnsi="Times New Roman"/>
          <w:color w:val="000000" w:themeColor="text1"/>
          <w:sz w:val="16"/>
          <w:szCs w:val="16"/>
        </w:rPr>
        <w:softHyphen/>
        <w:t>ны значительное количество химических материалов, используемых в качестве исходных компонентов при изготовлении порохов - этилово</w:t>
      </w:r>
      <w:r w:rsidRPr="00722885">
        <w:rPr>
          <w:rFonts w:ascii="Times New Roman" w:hAnsi="Times New Roman"/>
          <w:color w:val="000000" w:themeColor="text1"/>
          <w:sz w:val="16"/>
          <w:szCs w:val="16"/>
        </w:rPr>
        <w:softHyphen/>
        <w:t>го спирта, глицерина, дибутилфталата, централита, дифениламина, кам</w:t>
      </w:r>
      <w:r w:rsidRPr="00722885">
        <w:rPr>
          <w:rFonts w:ascii="Times New Roman" w:hAnsi="Times New Roman"/>
          <w:color w:val="000000" w:themeColor="text1"/>
          <w:sz w:val="16"/>
          <w:szCs w:val="16"/>
        </w:rPr>
        <w:softHyphen/>
        <w:t>фары, калийной селитры и пр. Доля импортного спирта, глицерина и централита была особенно значительной в 1943-1944 гг. (11402)/</w:t>
      </w:r>
    </w:p>
    <w:p w14:paraId="70EFAC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5B0A37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года 45-мм ПТП М-6 прошла заводские испытания на Уральском полигоне (3861).</w:t>
      </w:r>
    </w:p>
    <w:p w14:paraId="547BE252" w14:textId="77777777" w:rsidR="00BB6316" w:rsidRPr="00722885" w:rsidRDefault="00BB6316" w:rsidP="00722885">
      <w:pPr>
        <w:pStyle w:val="Iauiue"/>
        <w:jc w:val="both"/>
        <w:rPr>
          <w:color w:val="000000" w:themeColor="text1"/>
          <w:sz w:val="16"/>
          <w:szCs w:val="16"/>
        </w:rPr>
      </w:pPr>
    </w:p>
    <w:p w14:paraId="2FA658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45-мм пушка М-6 прошла заводские испытания на Уральском полигоне, а 19 февраля 1943 г. четыре пушки М-6 прибыли на Гороховецкий полигон (под г. Горький) для прохождения полигонных испытаний. С 12 по 23 марта 1943 г. эти четыре пушки прошли войсковые испытания в Московском военном округе. По результатам полигонных и войсковых испытаний М-6 была рекомендована к принятию на вооружение. Однако начальство предпочло другую 45-мм противотанковую пушку — М-42.</w:t>
      </w:r>
    </w:p>
    <w:p w14:paraId="1BA4CC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Проект 45-мм противотанковой пушки М-6 был разработан в КБ завода № 172, где работали вольнонаемные инженеры. Это была совершенно новая система, не имевшая взаимозаменяемости с пушкой 53К, кроме полуавтоматики и колес. Баллистика и боеприпасы были тождественны пушке М-42 (12705).</w:t>
      </w:r>
    </w:p>
    <w:p w14:paraId="1C451FD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2E250F2" w14:textId="77777777" w:rsidR="00FA33B8" w:rsidRPr="00722885" w:rsidRDefault="00FA33B8"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К концу 1942 г. сов</w:t>
      </w:r>
      <w:r w:rsidRPr="00722885">
        <w:rPr>
          <w:rFonts w:ascii="Times New Roman" w:hAnsi="Times New Roman" w:cs="Times New Roman"/>
          <w:color w:val="000000" w:themeColor="text1"/>
          <w:sz w:val="16"/>
          <w:szCs w:val="16"/>
        </w:rPr>
        <w:softHyphen/>
        <w:t>местными усилиями и при активной помощи со стороны главного конструктора завода «Большевик» Н.В. Кочетова, в жестких условиях блокады, удалось завер</w:t>
      </w:r>
      <w:r w:rsidRPr="00722885">
        <w:rPr>
          <w:rFonts w:ascii="Times New Roman" w:hAnsi="Times New Roman" w:cs="Times New Roman"/>
          <w:color w:val="000000" w:themeColor="text1"/>
          <w:sz w:val="16"/>
          <w:szCs w:val="16"/>
        </w:rPr>
        <w:softHyphen/>
        <w:t>шить изготовление опытной батареи из трех 160-мм дивизионных минометов .«7-26» со штатным комплектом боеприпасов ЗИФ-10 для проведения полигонных испытаний.</w:t>
      </w:r>
    </w:p>
    <w:p w14:paraId="5F481A58" w14:textId="77777777" w:rsidR="00FA33B8" w:rsidRPr="00722885" w:rsidRDefault="00FA33B8"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160-мм дивизионный миномет «7-26» представлял собой гладкоствольное казноза- рядное орудие с клиновым затвором, проти</w:t>
      </w:r>
      <w:r w:rsidRPr="00722885">
        <w:rPr>
          <w:rFonts w:ascii="Times New Roman" w:hAnsi="Times New Roman" w:cs="Times New Roman"/>
          <w:color w:val="000000" w:themeColor="text1"/>
          <w:sz w:val="16"/>
          <w:szCs w:val="16"/>
        </w:rPr>
        <w:softHyphen/>
        <w:t>вооткатными устройствами, прицелом и ме</w:t>
      </w:r>
      <w:r w:rsidRPr="00722885">
        <w:rPr>
          <w:rFonts w:ascii="Times New Roman" w:hAnsi="Times New Roman" w:cs="Times New Roman"/>
          <w:color w:val="000000" w:themeColor="text1"/>
          <w:sz w:val="16"/>
          <w:szCs w:val="16"/>
        </w:rPr>
        <w:softHyphen/>
        <w:t>ханизмами вертикального и горизонтального наведения, размещенными на подрессоренном однобрусном колесном лафете. Его основным назначением являлось разрушение навесным огнем укреплений противника и поражение его огневых точек и крупных скоплений живой силы, находящихся за укрытиями, предохра</w:t>
      </w:r>
      <w:r w:rsidRPr="00722885">
        <w:rPr>
          <w:rFonts w:ascii="Times New Roman" w:hAnsi="Times New Roman" w:cs="Times New Roman"/>
          <w:color w:val="000000" w:themeColor="text1"/>
          <w:sz w:val="16"/>
          <w:szCs w:val="16"/>
        </w:rPr>
        <w:softHyphen/>
        <w:t>няющими их он настильного огня. Стрельба велась на углах возвышения от 45° до</w:t>
      </w:r>
      <w:r w:rsidRPr="00722885">
        <w:rPr>
          <w:rStyle w:val="BodytextBold1"/>
          <w:rFonts w:ascii="Times New Roman" w:eastAsiaTheme="minorHAnsi" w:hAnsi="Times New Roman" w:cs="Times New Roman"/>
          <w:b w:val="0"/>
          <w:color w:val="000000" w:themeColor="text1"/>
          <w:sz w:val="16"/>
          <w:szCs w:val="16"/>
        </w:rPr>
        <w:t xml:space="preserve"> 80° ми</w:t>
      </w:r>
      <w:r w:rsidRPr="00722885">
        <w:rPr>
          <w:rStyle w:val="BodytextBold1"/>
          <w:rFonts w:ascii="Times New Roman" w:eastAsiaTheme="minorHAnsi" w:hAnsi="Times New Roman" w:cs="Times New Roman"/>
          <w:b w:val="0"/>
          <w:color w:val="000000" w:themeColor="text1"/>
          <w:sz w:val="16"/>
          <w:szCs w:val="16"/>
        </w:rPr>
        <w:softHyphen/>
      </w:r>
      <w:r w:rsidRPr="00722885">
        <w:rPr>
          <w:rFonts w:ascii="Times New Roman" w:hAnsi="Times New Roman" w:cs="Times New Roman"/>
          <w:color w:val="000000" w:themeColor="text1"/>
          <w:sz w:val="16"/>
          <w:szCs w:val="16"/>
        </w:rPr>
        <w:t>нами массой 40 кг (масса разрывного заряда - 11,5 кг) на дистанции от 500 до 5000 м.</w:t>
      </w:r>
    </w:p>
    <w:p w14:paraId="6C279847" w14:textId="77777777" w:rsidR="00FA33B8" w:rsidRPr="00722885" w:rsidRDefault="00FA33B8"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Перевозка миномета могла осуществ</w:t>
      </w:r>
      <w:r w:rsidRPr="00722885">
        <w:rPr>
          <w:rFonts w:ascii="Times New Roman" w:hAnsi="Times New Roman" w:cs="Times New Roman"/>
          <w:color w:val="000000" w:themeColor="text1"/>
          <w:sz w:val="16"/>
          <w:szCs w:val="16"/>
        </w:rPr>
        <w:softHyphen/>
        <w:t>ляться с передком П7-26 как конной тягой - нормальной артиллериискои упряжкой, так и механической тягой со скоростью до 45 км/ч. Предполагалась возможность перевозки миномета без пере</w:t>
      </w:r>
      <w:r w:rsidRPr="00722885">
        <w:rPr>
          <w:rFonts w:ascii="Times New Roman" w:hAnsi="Times New Roman" w:cs="Times New Roman"/>
          <w:color w:val="000000" w:themeColor="text1"/>
          <w:sz w:val="16"/>
          <w:szCs w:val="16"/>
        </w:rPr>
        <w:softHyphen/>
        <w:t>дка, непосредственно за авто</w:t>
      </w:r>
      <w:r w:rsidRPr="00722885">
        <w:rPr>
          <w:rFonts w:ascii="Times New Roman" w:hAnsi="Times New Roman" w:cs="Times New Roman"/>
          <w:color w:val="000000" w:themeColor="text1"/>
          <w:sz w:val="16"/>
          <w:szCs w:val="16"/>
        </w:rPr>
        <w:softHyphen/>
        <w:t>машиной.</w:t>
      </w:r>
    </w:p>
    <w:p w14:paraId="4609D4BA" w14:textId="77777777" w:rsidR="00FA33B8" w:rsidRPr="00722885" w:rsidRDefault="00FA33B8"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Миномет оборудовался щитовым прикрытием, прице</w:t>
      </w:r>
      <w:r w:rsidRPr="00722885">
        <w:rPr>
          <w:rFonts w:ascii="Times New Roman" w:hAnsi="Times New Roman" w:cs="Times New Roman"/>
          <w:color w:val="000000" w:themeColor="text1"/>
          <w:sz w:val="16"/>
          <w:szCs w:val="16"/>
        </w:rPr>
        <w:softHyphen/>
        <w:t>лом от 76-мм горной пушки обр.38 г. и колесами от автомо</w:t>
      </w:r>
      <w:r w:rsidRPr="00722885">
        <w:rPr>
          <w:rFonts w:ascii="Times New Roman" w:hAnsi="Times New Roman" w:cs="Times New Roman"/>
          <w:color w:val="000000" w:themeColor="text1"/>
          <w:sz w:val="16"/>
          <w:szCs w:val="16"/>
        </w:rPr>
        <w:softHyphen/>
        <w:t>биля ЗИС-З (передние) с губча</w:t>
      </w:r>
      <w:r w:rsidRPr="00722885">
        <w:rPr>
          <w:rFonts w:ascii="Times New Roman" w:hAnsi="Times New Roman" w:cs="Times New Roman"/>
          <w:color w:val="000000" w:themeColor="text1"/>
          <w:sz w:val="16"/>
          <w:szCs w:val="16"/>
        </w:rPr>
        <w:softHyphen/>
        <w:t>тым наполнением.</w:t>
      </w:r>
    </w:p>
    <w:p w14:paraId="0232C402" w14:textId="77777777" w:rsidR="00FA33B8" w:rsidRPr="00722885" w:rsidRDefault="00FA33B8"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производственном отно</w:t>
      </w:r>
      <w:r w:rsidRPr="00722885">
        <w:rPr>
          <w:rFonts w:ascii="Times New Roman" w:hAnsi="Times New Roman" w:cs="Times New Roman"/>
          <w:color w:val="000000" w:themeColor="text1"/>
          <w:sz w:val="16"/>
          <w:szCs w:val="16"/>
        </w:rPr>
        <w:softHyphen/>
        <w:t>шении конструкция миномета была оптимизирована для быстрого массового выпуска. Минимальное применение легированных марок стали, широкое исполь</w:t>
      </w:r>
      <w:r w:rsidRPr="00722885">
        <w:rPr>
          <w:rFonts w:ascii="Times New Roman" w:hAnsi="Times New Roman" w:cs="Times New Roman"/>
          <w:color w:val="000000" w:themeColor="text1"/>
          <w:sz w:val="16"/>
          <w:szCs w:val="16"/>
        </w:rPr>
        <w:softHyphen/>
        <w:t>зование сварки, литья и унифицированных деталей (при отсутствии требований изготов</w:t>
      </w:r>
      <w:r w:rsidRPr="00722885">
        <w:rPr>
          <w:rFonts w:ascii="Times New Roman" w:hAnsi="Times New Roman" w:cs="Times New Roman"/>
          <w:color w:val="000000" w:themeColor="text1"/>
          <w:sz w:val="16"/>
          <w:szCs w:val="16"/>
        </w:rPr>
        <w:softHyphen/>
        <w:t>ления по высоким классам точности) опреде</w:t>
      </w:r>
      <w:r w:rsidRPr="00722885">
        <w:rPr>
          <w:rFonts w:ascii="Times New Roman" w:hAnsi="Times New Roman" w:cs="Times New Roman"/>
          <w:color w:val="000000" w:themeColor="text1"/>
          <w:sz w:val="16"/>
          <w:szCs w:val="16"/>
        </w:rPr>
        <w:softHyphen/>
        <w:t>ляло возможность изготовления «7-26» даже на неспециализированных артиллерийских заводах.</w:t>
      </w:r>
    </w:p>
    <w:p w14:paraId="70962B6F" w14:textId="77777777" w:rsidR="00FA33B8" w:rsidRPr="00722885" w:rsidRDefault="00FA33B8"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 заводе №7 старший инженер В.М. Ки</w:t>
      </w:r>
      <w:r w:rsidRPr="00722885">
        <w:rPr>
          <w:rFonts w:ascii="Times New Roman" w:hAnsi="Times New Roman" w:cs="Times New Roman"/>
          <w:color w:val="000000" w:themeColor="text1"/>
          <w:sz w:val="16"/>
          <w:szCs w:val="16"/>
        </w:rPr>
        <w:softHyphen/>
        <w:t>рилов и конструктор М.Г. Матрос под руко</w:t>
      </w:r>
      <w:r w:rsidRPr="00722885">
        <w:rPr>
          <w:rFonts w:ascii="Times New Roman" w:hAnsi="Times New Roman" w:cs="Times New Roman"/>
          <w:color w:val="000000" w:themeColor="text1"/>
          <w:sz w:val="16"/>
          <w:szCs w:val="16"/>
        </w:rPr>
        <w:softHyphen/>
        <w:t>водством Н.П. Антонова разработали 160-мм фугасные мины ЗИФ-10 и ЗИФ-13. Конструк</w:t>
      </w:r>
      <w:r w:rsidRPr="00722885">
        <w:rPr>
          <w:rFonts w:ascii="Times New Roman" w:hAnsi="Times New Roman" w:cs="Times New Roman"/>
          <w:color w:val="000000" w:themeColor="text1"/>
          <w:sz w:val="16"/>
          <w:szCs w:val="16"/>
        </w:rPr>
        <w:softHyphen/>
        <w:t>тивно эти боеприпасы отличались материалом (сталь и сталистый чугун), устройством корпуса и типом разрывного заряда (тротил и аматол соответственно). Применение сталистого чу</w:t>
      </w:r>
      <w:r w:rsidRPr="00722885">
        <w:rPr>
          <w:rFonts w:ascii="Times New Roman" w:hAnsi="Times New Roman" w:cs="Times New Roman"/>
          <w:color w:val="000000" w:themeColor="text1"/>
          <w:sz w:val="16"/>
          <w:szCs w:val="16"/>
        </w:rPr>
        <w:softHyphen/>
        <w:t>гуна при изготовлении корпуса мины ЗИФ-13 позволяло снизить до минимума стоимость за</w:t>
      </w:r>
      <w:r w:rsidRPr="00722885">
        <w:rPr>
          <w:rFonts w:ascii="Times New Roman" w:hAnsi="Times New Roman" w:cs="Times New Roman"/>
          <w:color w:val="000000" w:themeColor="text1"/>
          <w:sz w:val="16"/>
          <w:szCs w:val="16"/>
        </w:rPr>
        <w:softHyphen/>
        <w:t>готовки и увеличить количество #ыпускаемых изделий.</w:t>
      </w:r>
    </w:p>
    <w:p w14:paraId="4C0D2FB2" w14:textId="77777777" w:rsidR="00FA33B8" w:rsidRPr="00722885" w:rsidRDefault="00FA33B8"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конце 1942 г. за разработку конструкции 160-мм миномета главный конструктор завода №7 Н.П. Антонов, ст. инженеры-конструкторы В.Ф. Стурницкий (посмертно, умер в апреле 1942 г.) А.А. Журавлев, В.М. Кирилов и главный конструктор завода №232 Н.В. Кочетов были выдвинуты на соискание Сталинской премии.</w:t>
      </w:r>
    </w:p>
    <w:p w14:paraId="30EB9F80" w14:textId="77777777" w:rsidR="00FA33B8" w:rsidRPr="00722885" w:rsidRDefault="00FA33B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1943 г. на НИАП (ст. Ржевка) про</w:t>
      </w:r>
      <w:r w:rsidRPr="00722885">
        <w:rPr>
          <w:rFonts w:ascii="Times New Roman" w:hAnsi="Times New Roman"/>
          <w:color w:val="000000" w:themeColor="text1"/>
          <w:sz w:val="16"/>
          <w:szCs w:val="16"/>
        </w:rPr>
        <w:softHyphen/>
        <w:t>вели всесторонние испытания опытных образ</w:t>
      </w:r>
      <w:r w:rsidRPr="00722885">
        <w:rPr>
          <w:rFonts w:ascii="Times New Roman" w:hAnsi="Times New Roman"/>
          <w:color w:val="000000" w:themeColor="text1"/>
          <w:sz w:val="16"/>
          <w:szCs w:val="16"/>
        </w:rPr>
        <w:softHyphen/>
        <w:t>цов. Однако дальнейшие работы по 160-мм миномету были свернуты из-за невозможно</w:t>
      </w:r>
      <w:r w:rsidRPr="00722885">
        <w:rPr>
          <w:rFonts w:ascii="Times New Roman" w:hAnsi="Times New Roman"/>
          <w:color w:val="000000" w:themeColor="text1"/>
          <w:sz w:val="16"/>
          <w:szCs w:val="16"/>
        </w:rPr>
        <w:softHyphen/>
        <w:t>сти организации его серийного производства вследствие загрузки завода «Большевик» за</w:t>
      </w:r>
      <w:r w:rsidRPr="00722885">
        <w:rPr>
          <w:rFonts w:ascii="Times New Roman" w:hAnsi="Times New Roman"/>
          <w:color w:val="000000" w:themeColor="text1"/>
          <w:sz w:val="16"/>
          <w:szCs w:val="16"/>
        </w:rPr>
        <w:softHyphen/>
        <w:t>казами Ленинградского фронта по изготовле</w:t>
      </w:r>
      <w:r w:rsidRPr="00722885">
        <w:rPr>
          <w:rFonts w:ascii="Times New Roman" w:hAnsi="Times New Roman"/>
          <w:color w:val="000000" w:themeColor="text1"/>
          <w:sz w:val="16"/>
          <w:szCs w:val="16"/>
        </w:rPr>
        <w:softHyphen/>
        <w:t>нию и ремонту полевой и морской артилле</w:t>
      </w:r>
      <w:r w:rsidRPr="00722885">
        <w:rPr>
          <w:rFonts w:ascii="Times New Roman" w:hAnsi="Times New Roman"/>
          <w:color w:val="000000" w:themeColor="text1"/>
          <w:sz w:val="16"/>
          <w:szCs w:val="16"/>
        </w:rPr>
        <w:softHyphen/>
        <w:t>рии. Не был реализован в металле и проект 240-мм миномета конструкции завода №7 (17748).</w:t>
      </w:r>
    </w:p>
    <w:p w14:paraId="5A52B130" w14:textId="77777777" w:rsidR="00FA33B8" w:rsidRPr="00722885" w:rsidRDefault="00FA33B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16467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после удачного применения немцами безоткатных орудий на советско-германском фронте Сталин приказал создать специальную комиссию под руководством К. Е. Ворошилова, которая собрала материалы по работам над безоткатными орудиями в 1930-х годах. Комиссия вскоре представила Государственному Комитету Обороны доклад.</w:t>
      </w:r>
    </w:p>
    <w:p w14:paraId="73E0135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«Сталин доклад прочитал, захлопнул, толкнул его по столу к Ворошилову:</w:t>
      </w:r>
    </w:p>
    <w:p w14:paraId="7652D5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Вместе с грязной водой выплеснули и младенца!»</w:t>
      </w:r>
    </w:p>
    <w:p w14:paraId="62D6B6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 «грязной водой» Сталин имел в виду аферу Курчевского.</w:t>
      </w:r>
    </w:p>
    <w:p w14:paraId="6211C2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этого момента безоткатными орудиями стали заниматься несколько КБ — ЦАКБ Грабина, ОКБ-172 и др. Пришлось вернуться к пройденному и Кондакову (12091).</w:t>
      </w:r>
    </w:p>
    <w:p w14:paraId="5E51E79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72EB07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 начале 1943 года в связи с усилением брони немецких танков Т-IV и появлением новых танков "Пантера" и "Тигр" Грабиным возобновляются работы над 85-мм пушками с баллистикой 85-мм зенитных пушек обр. 1939 г. В ЦКБ, возглавляемым Грабиным, создается 85-мм пушка ЗИС-С-8 с баллистикой пушки обр. 1939 г. Опытный образец ЗИС-С-8 был изготовлен на заводе № 92. Пушка имела мощный двухкамерный дульный тормоз. Затвор вертикальный клиновой копирного типа. Тормоз отката гидравлический, накатник гидропневматический. Уравновешивающий механизм пневматический. Подъемный механизм секторный. Подрессоривание торсионное, колеса 6.50 20. На вооружение ЗИС-С-8 принята не была (3861).</w:t>
      </w:r>
    </w:p>
    <w:p w14:paraId="2534EE45" w14:textId="77777777" w:rsidR="00BB6316" w:rsidRPr="00722885" w:rsidRDefault="00BB6316" w:rsidP="00722885">
      <w:pPr>
        <w:pStyle w:val="Iauiue"/>
        <w:jc w:val="both"/>
        <w:rPr>
          <w:color w:val="000000" w:themeColor="text1"/>
          <w:sz w:val="16"/>
          <w:szCs w:val="16"/>
        </w:rPr>
      </w:pPr>
    </w:p>
    <w:p w14:paraId="7AA59E8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года начале 1943 года в КБ завода № 9 под руководством Петрова был разработан проект наложения 152-мм ствола с баллистикой М-10 на лафет 122-мм гаубицы М-30. При посещении завода № 9 Петров сообщил Устинову данные расчетов (3861).</w:t>
      </w:r>
    </w:p>
    <w:p w14:paraId="3EBEF270" w14:textId="77777777" w:rsidR="00BB6316" w:rsidRPr="00722885" w:rsidRDefault="00BB6316" w:rsidP="00722885">
      <w:pPr>
        <w:pStyle w:val="Iauiue"/>
        <w:jc w:val="both"/>
        <w:rPr>
          <w:color w:val="000000" w:themeColor="text1"/>
          <w:sz w:val="16"/>
          <w:szCs w:val="16"/>
        </w:rPr>
      </w:pPr>
    </w:p>
    <w:p w14:paraId="3E678D6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 на ЧКЗ было предложено оснастить Т-34 командирской башенкой, разработанной для экспериментального среднего танка KB-13. Ее стали устанавливать на танках выпуска 1943 г. Неподвижная башенка имела по основанию 5 смотровых щелей со стеклоблоками, а в крыше - перископический прибор наблюдения МК-4. В ней же - люк с крышкой, через который осуществлялась посадка наводчика (его тогда называли командир башни или башнер) и командира. Заряжающий имел свой круглый люк справа от командирской башенки, и тоже получил свой прибор МК-4 в крыше башни. На части танков ставилась новая литая башня более округлых очертаний. (3862).</w:t>
      </w:r>
    </w:p>
    <w:p w14:paraId="25A9672A" w14:textId="77777777" w:rsidR="00BB6316" w:rsidRPr="00722885" w:rsidRDefault="00BB6316" w:rsidP="00722885">
      <w:pPr>
        <w:pStyle w:val="Iauiue"/>
        <w:jc w:val="both"/>
        <w:rPr>
          <w:color w:val="000000" w:themeColor="text1"/>
          <w:sz w:val="16"/>
          <w:szCs w:val="16"/>
        </w:rPr>
      </w:pPr>
    </w:p>
    <w:p w14:paraId="6EE784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года удалось довести среднесуточный выпуск Т-34 на заводе № 183 до 25 машин. В течение 1942 года на завод № 183 было принято более 10000 рабочих. Кроме того, в это же время дляя устранения дефицита в снабжении сжатым воздухом построили и ввели в эксплуатацию три турбокомпрессора производительностью 55000 кубометров в час. Суровая уральская зима и длительная весенняя и осенняя распутица создавали большие трудности в работе по выпуску и отправке танков в Красную Армию. Для улучшения работы площадь сдаточного цеха, по сравнению с началом 1942 года увеличили в 5 раз, а также установили отопление, смонтировали эстакаду для погрузки танков, оборудованную средствами выкачки масла из масляной системы танка, построили помещение для набивки пулеметных дисков патронами и обработки снарядов перед их укладкой в танк, а также организовали специальную заправочную станцию, оснащенную насосами с электроприводом. Эти мероприятия по наращиванию мощностей завода позволили добиться данного результата (12217).</w:t>
      </w:r>
    </w:p>
    <w:p w14:paraId="42D534A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852725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года на заводе № 183 имелось шесть автоматических установок, через год - 15, а еще через год - 30 штук. С середины 1942 года аналогичные установки стали устанавливать и вводить в строй и на других танковых заводах.</w:t>
      </w:r>
    </w:p>
    <w:p w14:paraId="5DF954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Благодаря применению автоматической сварки под флюсом трудоемкость изготовления корпуса танка Т-34 снизилась в пять раз, что позволило только на заводе № 183 освободить для других работ 250 квалифицированных сварщиков (12217).</w:t>
      </w:r>
    </w:p>
    <w:p w14:paraId="4139734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40878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года некоторая диспропорция между механосборочными цехами, обеспечивающими выпуск до 15 танков в сутки, и бронекорпусным производством, дающим только до 10 корпусов было ликвидировано, и выпуск корпусов составлял уже 25 штук в сутки (в декабре 1942 года было изготовлено 750 бронекорпусов). Для увеличения выпуска была освоена машинная формовка башен, введена автоматическая сварка бронекорпусов и башен, создана конвейерная сборка узлов и бронекорпусов. К концу декабря 1942 года в броневых цехах имелось 5 больших и 4 малых нагревательных печи, 3 отпускные селитровые ванны, 4 правильных вальца, 11 огне- резных автоматов и 10 огнерезных полуавтоматов и 192 металлорежущих станка. В результате, начиная с 1943 года броневые цеха полностью обеспечивали завод № 183 корпусами и башнями собственного производства. В последующие годы введение дополнительных больших мощностей не производилось, а велись лишь организационно-технические мероприятия по увеличению производительности существующего оборудования.</w:t>
      </w:r>
    </w:p>
    <w:p w14:paraId="6405D2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уменьшения трудоемкости изготовления корпусов и башен на заводе № 183в годы войны были проведены следующие мероприятия:</w:t>
      </w:r>
    </w:p>
    <w:p w14:paraId="4E78B0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производству литья:</w:t>
      </w:r>
    </w:p>
    <w:p w14:paraId="07103F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Машинная формовка.</w:t>
      </w:r>
    </w:p>
    <w:p w14:paraId="155887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Заливка металла в сырые формы.</w:t>
      </w:r>
    </w:p>
    <w:p w14:paraId="005995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Сокращенный цикл охлаждения в опоках.</w:t>
      </w:r>
    </w:p>
    <w:p w14:paraId="07BB87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Исключение очистки наружной поверхности. »</w:t>
      </w:r>
    </w:p>
    <w:p w14:paraId="403AE8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заготовительному производству бронедеталей:</w:t>
      </w:r>
    </w:p>
    <w:p w14:paraId="2EF2BE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Получение мерной полосы для бортов и подкрылков.</w:t>
      </w:r>
    </w:p>
    <w:p w14:paraId="318618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Отсутствие поплавочной обработки.</w:t>
      </w:r>
    </w:p>
    <w:p w14:paraId="0062B2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Допуск увеличенной неровности кромок.</w:t>
      </w:r>
    </w:p>
    <w:p w14:paraId="65613A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механической обработке деталей:</w:t>
      </w:r>
    </w:p>
    <w:p w14:paraId="5E1AB4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Перевод деталей на огнерезную обработку кромок.</w:t>
      </w:r>
    </w:p>
    <w:p w14:paraId="4197FA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Увеличение допуска на мех. обработку.</w:t>
      </w:r>
    </w:p>
    <w:p w14:paraId="7E7BEB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Исправление брака механической обработки за счет проведения огнерезно-сварочных работ.</w:t>
      </w:r>
    </w:p>
    <w:p w14:paraId="72FACD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термической обработке:</w:t>
      </w:r>
    </w:p>
    <w:p w14:paraId="1AAF8C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Нагрев и закалка больших пакетов деталей.</w:t>
      </w:r>
    </w:p>
    <w:p w14:paraId="5B9CC4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Закалка деталей не на ребре, а плашмя.</w:t>
      </w:r>
    </w:p>
    <w:p w14:paraId="282E7D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Форсированный нагрев деталей в печи.</w:t>
      </w:r>
    </w:p>
    <w:p w14:paraId="1A95E9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Увеличенный прогиб и коробление деталей после термообработки.</w:t>
      </w:r>
    </w:p>
    <w:p w14:paraId="041A32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окончательной отделке деталей:</w:t>
      </w:r>
    </w:p>
    <w:p w14:paraId="7C0680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Исключение «пескоструйки» бронедеталей и башен.</w:t>
      </w:r>
    </w:p>
    <w:p w14:paraId="207381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Исключение зашлифовки кромок под сборку — сварку.</w:t>
      </w:r>
    </w:p>
    <w:p w14:paraId="0A3538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Увеличение допуска на кривизну деталей.</w:t>
      </w:r>
    </w:p>
    <w:p w14:paraId="36B512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Ведущее колесо, устанавливаемое на танки Т-34 в 1942 году (ЦАМО).</w:t>
      </w:r>
    </w:p>
    <w:p w14:paraId="5B91FF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Увеличение допуска на наличие поверхностных дефектов.</w:t>
      </w:r>
    </w:p>
    <w:p w14:paraId="0AFEDC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сборке и сварке бронекорпусов и башен:</w:t>
      </w:r>
    </w:p>
    <w:p w14:paraId="6E6926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Массовая допустимость огневой резки при сборке.</w:t>
      </w:r>
    </w:p>
    <w:p w14:paraId="52EB2C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Увеличенные зазоры под сварку при резке.</w:t>
      </w:r>
    </w:p>
    <w:p w14:paraId="23235A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Применение автоматической сварки.</w:t>
      </w:r>
    </w:p>
    <w:p w14:paraId="1E5084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Форсированные режимы сварки, применение больших диаметров электродов.</w:t>
      </w:r>
    </w:p>
    <w:p w14:paraId="11F617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Конвейеризация сварочных работ».</w:t>
      </w:r>
    </w:p>
    <w:p w14:paraId="28FDEB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сказать, что применение автоматической сварки обеспечило, при небольшом наличии сварщиков выполнение сварочных работ всей программы завода № 183, и кроме того дало возможность (по сравнению с ручной сваркой) увеличить производительность работ в пять раз при одновременном уменьшении на 30% расхода электродов и электроэнергии.</w:t>
      </w:r>
    </w:p>
    <w:p w14:paraId="304057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войны завод № 183 провел ряд конструктивных изменений по корпусу и башне танка Т-34, которые условно можно разделить на две группы. Первая проходила в период с мая 1942-го по май 1943 года и включала в себя следующее:</w:t>
      </w:r>
    </w:p>
    <w:p w14:paraId="2F5C62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Основные соединения корпуса с ручной сварки были переведены на автоматическую.</w:t>
      </w:r>
    </w:p>
    <w:p w14:paraId="063092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Усилена прочность крепления петли люка водителя, кормы корпуса, люка кормы, кронштейнов системы, погона башни и стопора башни</w:t>
      </w:r>
    </w:p>
    <w:p w14:paraId="107C8C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Введены десантные поручни на корпусе и башне.</w:t>
      </w:r>
    </w:p>
    <w:p w14:paraId="1526F6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Введены защитная планка перед люком водителя, отбуртовка крыши над мотором для предохранения от проникновения жидкости торсионный механизм люка башни, бронировка головки перископа, бронировка качающейся части пулемета.</w:t>
      </w:r>
    </w:p>
    <w:p w14:paraId="12B910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Увеличена конструктивная прочность башни за счет изъятия двери- ниши и перемычки крыши башни».</w:t>
      </w:r>
    </w:p>
    <w:p w14:paraId="60C4AE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Вторая группа улучшений проводилась с мая 1943-го по май 1945 года и состояла в следующем:</w:t>
      </w:r>
    </w:p>
    <w:p w14:paraId="746299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Увеличен объем применен» автоматической сварки на корпусе и башне.</w:t>
      </w:r>
    </w:p>
    <w:p w14:paraId="059A45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Введены качественные электроды марки УОНИ13/55.</w:t>
      </w:r>
    </w:p>
    <w:p w14:paraId="0A74EB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Уширен</w:t>
      </w:r>
      <w:r w:rsidRPr="00722885">
        <w:rPr>
          <w:rFonts w:ascii="Times New Roman" w:hAnsi="Times New Roman"/>
          <w:color w:val="000000" w:themeColor="text1"/>
          <w:sz w:val="16"/>
          <w:szCs w:val="16"/>
        </w:rPr>
        <w:tab/>
        <w:t>погон башни для установки в нее более мощной пушки С-53 калибра 85мм.</w:t>
      </w:r>
    </w:p>
    <w:p w14:paraId="427D09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 Увеличена прочность литой башни за счет отливкилобового</w:t>
      </w:r>
    </w:p>
    <w:p w14:paraId="51D195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щитазаодно с башней.</w:t>
      </w:r>
    </w:p>
    <w:p w14:paraId="7058EF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5.Введена командирская башенка.</w:t>
      </w:r>
    </w:p>
    <w:p w14:paraId="1EEDD2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Выведены два вентилятора в башне</w:t>
      </w:r>
    </w:p>
    <w:p w14:paraId="24B9D7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Введено герметичное уплотнение</w:t>
      </w:r>
    </w:p>
    <w:p w14:paraId="089E6F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Улучшены уплотнения люков днища корпуса.</w:t>
      </w:r>
    </w:p>
    <w:p w14:paraId="4134D6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 Увеличена жесткость моторной и вентиляторной перегородок.</w:t>
      </w:r>
    </w:p>
    <w:p w14:paraId="231E9F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Упрочнена конструкция крепления втулок в целях устранения течи смазки из картеров бортовой передачи (12217).</w:t>
      </w:r>
    </w:p>
    <w:p w14:paraId="68C8646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AC0A3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по распоряжению ГАБТУ КА было дополнительно введено так называемое стационарное испытание, проводимое в сборочном цехе. Осуществлялось это таким образом.</w:t>
      </w:r>
    </w:p>
    <w:p w14:paraId="7B4C53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Собранный танк предъявлялся контрольному мастеру ОТК, который после осмотра передавал его представителю военной приемки. Последний, проверив документацию машины, осматривает монтаж узлов и агрегатов, а также испытание работы двигателя в стационарных условиях на разных передачах. На стационарное испытание отводилось 45 минут, его результаты заносились в дело машины и журнал испытаний, и визируется контрольным мастером и военпредом. При этом если на танке обнаруживалась отступление от чертежей и техусловий, утвержденных ГБТУ КА, то стационарное испытание ей не засчитывалось, и военпред назначал повторное испытание.</w:t>
      </w:r>
    </w:p>
    <w:p w14:paraId="3A3C14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прохождения стационарного испытания, военпред дает заключение о соответствии собранного танка техусловиям и чертежам и готовности его к пробегам, после машина поступала в контрольно-сдаточный цех. При обнаружении каких-либо дефектов или отклонения от чертежей и техусловий. танк к заводскому пробегу не допускался до их устранения, а все дефекты заносились в дело машины.</w:t>
      </w:r>
    </w:p>
    <w:p w14:paraId="2DEFDE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году наркоматом танковой промышленности был поставлен вопрос об изменении техусловий, касающихся приемки танков на участках стационарного испытания. Мотивировалось это тем, что машины долго задерживались на этом участке, так как их принимал представитель ОТК, а затем военпред. ГБТУ КА удовлетворило эти требования, и с 2 октября 1943 года приемка на этом участке была снята, а военпреду разрешалось проверять таким образом только одну пятую часть всех танков, выпускаемых сборочным цехом.</w:t>
      </w:r>
    </w:p>
    <w:p w14:paraId="664013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Помимо военпредов ГБТУ КА танки принимали и представители главного артиллерийского управления. При этом монтаж вооружения и оптики в башне производился на стенде, на котором проверяли:</w:t>
      </w:r>
    </w:p>
    <w:p w14:paraId="432DB45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установку пушки, спаренного пулемета, прицела и смотровых приборов;</w:t>
      </w:r>
    </w:p>
    <w:p w14:paraId="4B6C50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горизонтальный люфт на цапфах и вертикальный на секторе пушки;</w:t>
      </w:r>
    </w:p>
    <w:p w14:paraId="155982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углы ее возвышения и снижения;</w:t>
      </w:r>
    </w:p>
    <w:p w14:paraId="25EDDC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установку подъемного механизма и замер усилий на подъемном механизме;</w:t>
      </w:r>
    </w:p>
    <w:p w14:paraId="312399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 работу механизмов пушки, электрических и ручных спусков;</w:t>
      </w:r>
    </w:p>
    <w:p w14:paraId="3DBF4C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производилась проверка пушки искусственным откатом и количество жидкости в тормозе отката и накатнике;</w:t>
      </w:r>
    </w:p>
    <w:p w14:paraId="6EE371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выверка прицела пушки и пулемета;</w:t>
      </w:r>
    </w:p>
    <w:p w14:paraId="267B75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Выпускброневой стали из мартеновскойпечив ковш. Завод № 174, 1944-1945 год (ЦАМО).</w:t>
      </w:r>
    </w:p>
    <w:p w14:paraId="6946F3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проверка установки и крепления верхнего погона башни и ее оборудования.</w:t>
      </w:r>
    </w:p>
    <w:p w14:paraId="61FC40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установки проверенной башни на корпус танка проверялась работа поворотного механизма (от руки и электромотора), замер горизонтального люфта башни и усилий на маховике поворотного механизма при кренах танка (0, 5, 10 и 15 градусов), а также установка пулемета в лобовом листе корпуса и стопор крепления по-походному башни и пушки.</w:t>
      </w:r>
    </w:p>
    <w:p w14:paraId="253F60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Проверка установки башни на корпус осуществляясь до октября 1943 года, после чего была отменена ГБТУ КА.</w:t>
      </w:r>
    </w:p>
    <w:p w14:paraId="0B6B80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каждый десятый танк по выбору военпреда испытывался стрельбой на полигоне (из пушки и пулеметов), а также осматривался на предмет приведения пулеметов к нормальному бою. На каждом огнеметном ТО-34 производилось испытание действия огнемета на заводском полигоне.</w:t>
      </w:r>
    </w:p>
    <w:p w14:paraId="3636DA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Собранные и прошедшие стационарную проверку и контроль монтажа вооружения танки передавались в контрольно-сдаточный цех, откуда направлялись в заводской пробег, во время которого представители производства и ОТК проверяли правильность монтажа, регулировки и работы механизмов. После этой обкатки и устранения обнаруженных дефектов, машина поступала в приемо-сдаточный военпредовс- кий пробег, но перед этим проводился ее тщательный осмотр, при этом особое внимание уделялось на дефектам, выявленным в предыдущих испытаниях и их устранению. В ходе сдаточного пробега военпред, совместно с представителями ОТК завода, вели наблюдение за работой всех агрегатов, механизмов и приборов. После пробега выявленные дефекты записывались в дело машины и военпредовский журнал пробегов и устранялись. Если неполадка требовала выемки, замены или разборки какого-либо агрегата, пробег танку не засчитывался, и после ремонта он шел на повторное, контрольное испытание. При этом километраж назначался военпредом, но не более 30 км.</w:t>
      </w:r>
    </w:p>
    <w:p w14:paraId="717AAB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прохождения военпредовс- кого пробега танк поступал на участок окончательной сдачи, где производилась подтяжка всех соединений, установка боеукладки, комплектование возимым ЗИПом и инструментом.</w:t>
      </w:r>
    </w:p>
    <w:p w14:paraId="0A24F1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Затем танк осматривался представителем ОТК завода и предъявлялся военпреду для окончательной приемки под пломбу. Эта приемка оформлялась в деле машины, в журнале пробегов военпреда и журнале окончательно принятых машин. На последние военпред, совместно с отделом сбыта завода оформлял акт и выписывал удостоверение на оплату принятого танка.</w:t>
      </w:r>
    </w:p>
    <w:p w14:paraId="4654D7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Окончательно принятые машины комплектуются экипажами из числа прибывших из запасных частей, находящихся при заводе. Из экипажей формируются маршевые роты, которые проводят учения — как правило, марш в 30 км. После ротных учений производился тщательный осмотр танка в целом и обязательно его коробки перемены передач. Все выявленные дефекты заносились в дело машины и устранялись заводом в течение суток после марша. Исправленный танк после осмотра представителем военной приемки дозаправляется топливом и водой, заправляется новым маслом, и в него загружался боекомплект. Посте этого машина окрашивалась и считалась готовой к отправке.</w:t>
      </w:r>
    </w:p>
    <w:p w14:paraId="3FEB1B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летнее время погрузка танков в эшелоны производилась своим ходом, а консервация проводилась уже на железнодорожной платформе. Зимой же по приказу ГАБТУ КА танки готовились к отправке и грузились для отправки в контрольно-сдаточном цехе, как правило, 30-тонными кранами. При этом после слива воды из системы охлаждения водяная помпа проливалась антифризом и заправлялась одним литром спирта. Масло, антифриз и аккумуляторы перевозились отдельно от танков в теплушках.</w:t>
      </w:r>
    </w:p>
    <w:p w14:paraId="39981B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с машинами тем же железнодорожными транспортами отправлялись два боекомплекта (третий находился в машинах) и ротный ЗИП.</w:t>
      </w:r>
    </w:p>
    <w:p w14:paraId="1B5F90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приемке танка экипаж расписывался в формуляре танка, военпред и командир маршевой роты составляли акт о сдаче и приемке машин. После погрузки танков, ЗИПа и боекомплектов, начальник эшелона получал документы на ЗИП и аттестаты на боеприпасы и горючее, и совместно с военпредом составлял приемо-сдаточный акт. На основании этих актов старший военпред завода и высылал в танковое управление ГБТУ КА сведения об отгруженных танках.</w:t>
      </w:r>
    </w:p>
    <w:p w14:paraId="3C3F77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дела машины, военная приемка вела следующую документацию:</w:t>
      </w:r>
    </w:p>
    <w:p w14:paraId="69DC0E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Журнал пробегов, где фиксировались дефекты, вскрытые при стационарном испытании, в заводском пробеге, в приемо-сдаточном пробеге и при окончательной сдаче.</w:t>
      </w:r>
    </w:p>
    <w:p w14:paraId="3A2486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 Журнал окончательной приемки машин (форма № 7), куда заносились номера машин, корпусов, башен, коробок перемены передач, вооружения, оптики и т.д.</w:t>
      </w:r>
    </w:p>
    <w:p w14:paraId="2638C8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Ежедневно по «ВЧ» старший военпред завода докладывает в танковое управление ГБТУ КА о количестве собранных, прошедших военп- редовский пробег, принятых, отгруженных и оставшихся на заводе машинах. Ежемесячно в танковое управление направлялся письменный отчет о количестве и качестве принятых машин, о характерных дефектах, обнаруженных в течение месяца, и принятых мерах по их устранению.</w:t>
      </w:r>
    </w:p>
    <w:p w14:paraId="6B6018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Летом 1942 года постановлением ГКО «для проверки обеспечения технологией, надежности и работы механизмов, узлов, креплений и регулировки», каждый сотый выпускаемый заводами танк подвергался испытанию пробегом на 300 км. Сначала программы этих испытаний разрабатывались непосредственно на заводах, главным инженером совместно со старшим военпредом, а с 1943 года утверждались и высылались ГБТУ КА.</w:t>
      </w:r>
    </w:p>
    <w:p w14:paraId="60932F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марта 1943 года появилось постановление Государственного Комитета Обороны № 3092 сс, посвященное повышению качества выпускаемы танков Т-34. Среди прочих мер предписывались проводить испытание на гарантийный километраж (постановлением ГКО установлен в 2000 километров, но с лета 1943 года специальным приказом уменьшен до 1000 км) по одной тридцатьчетверки ежемесячно от завода № 183 (как головного) и раз в два месяца по одному Т-34 всех остальных заводов. В соответствии с этим постановлением была разработана специальная программа, согласно которой танки должны были проходить испытания вдали от заводов, совершая длительные марши на 300-500 км на максимально возможных для данных дорог скоростях. Предписывалось испытывать радийные машины полностью укомплектованные и догруженные до полной боевой массы. Уход за танками должен был производиться на основе инструкций и наставлений по обслуживанию и эксплуатации танков, изданных в 1942-1943 годах, войсковой ремонт разрешалось производить в полевых условиях только инструментом и деталями возимого ЗИПа. Местом проведения испытаний был назначен НИБТ полигон. Программа испытаний включала в себя следующее.</w:t>
      </w:r>
    </w:p>
    <w:p w14:paraId="098996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Общий гарантийный километраж в 1000 километров, из них булыжное шоссе - 250 км, фунтовые и проселочные дороги - 500 км и целина 250 км. В процессе испытаний требовалось провести безостановочный пробег по фунтовой дороге на 100 км, один пробег на полную заправку, 50-километровый пробег с незасто- поренной башней и 50-километровый с закрытыми люками.</w:t>
      </w:r>
    </w:p>
    <w:p w14:paraId="7E6FDD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в ходе испытаний требовалось проверить следующее:</w:t>
      </w:r>
    </w:p>
    <w:p w14:paraId="249774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во время движения 50 раз поднять и опустить пушку (на максимальный и минимальные углы) и повести 30 полных оборотов башни от руки и 10 раз электромотором;</w:t>
      </w:r>
    </w:p>
    <w:p w14:paraId="616BEF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сделать 10 поворотов танка на 360 градусов на мягком фунте;</w:t>
      </w:r>
    </w:p>
    <w:p w14:paraId="04DE1B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пройти по косогору в 15 - 20 фа- дусов расстояние 1-1,5 километра с разворотами на 180 градусов вправо и влево по четыре раза;</w:t>
      </w:r>
    </w:p>
    <w:p w14:paraId="57DE31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проверить тормоза танка, сделав остановку при движении на высшей передаче на середине стека длиной 30-40 метров с уклоном 10 градусов;</w:t>
      </w:r>
    </w:p>
    <w:p w14:paraId="020B25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преодолеть подъем 35 градусов и длиной не менее 25 метров на 1 -й передаче и задним ходом:</w:t>
      </w:r>
    </w:p>
    <w:p w14:paraId="00A09D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определить среднюю скорость движения танка по шоссе, фунтовой дороге и целине.</w:t>
      </w:r>
    </w:p>
    <w:p w14:paraId="2CCB14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проверить работу поворотного механизма башни на крене в 12— 15 фадусов вручную и от электромотора;</w:t>
      </w:r>
    </w:p>
    <w:p w14:paraId="05D412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произвести буксировку танка такого же типа на расстояние 20 километров, из них 10 по целине и 10 по грунтовой дороге;</w:t>
      </w:r>
    </w:p>
    <w:p w14:paraId="33E483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произвести отстрел из пушки и пулеметов полного боекомплекта с последующей проверкой координат</w:t>
      </w:r>
    </w:p>
    <w:p w14:paraId="609604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прицела (это испытание проводилось по специальной программе);</w:t>
      </w:r>
    </w:p>
    <w:p w14:paraId="7646FE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испытание электрооборудования танка (также проводилось по спецпрограмме).</w:t>
      </w:r>
    </w:p>
    <w:p w14:paraId="1CB091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 гарантийными испытаниями проводилась полная регулировка всех механизмов танка, он пол- ностьтью заправлялся и в него укладывалось все положенное по табелю имущество, после чего производилось взвешивание. Через каждые 500 пройденных километров велась проверка клиренса, прицельных координат, отдельных элементов электрооборудования, а также испытание радиостанции и ТПУ.</w:t>
      </w:r>
    </w:p>
    <w:p w14:paraId="3CDB8B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ходе испытаний велась следующая документация: путевой журнал. дефектный акт (в нем фиксировались все поломки деталей и механизмов с указанием причин и способа устранения), календарный план испытаний, ведомость</w:t>
      </w:r>
    </w:p>
    <w:p w14:paraId="4D788D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расхода горюче-смазочных материалов, журнал обслуживания, технического осмотра и регулировки всех механизмов. Отчет о проведении гарантийных испытаний танка оформлялся в четырех экземплярах и в 10-дневный срок направлялся в ГБТУ КА. НИБТ полигон. наркомат танковой промышленности и на завод-изготовитель. Выводы и заключение по результатам испытаний предоставлялись в 5-дневный срок после их окончания. В случае, если во время испытаний обнаруживался преждевременный износ или поломка агрегатов и деталей вследствие конструкторских или производственных дефектов, не ожидая окончания работы НИБТ полигон должен был известить об этом ГБТУ КА для принятия срочных мер к устранению дефекта.</w:t>
      </w:r>
    </w:p>
    <w:p w14:paraId="24D778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 считался выдержавшим гарантийные испытания, если он прошел по вышеуказанной программе 2000 километров без поломок агрегатов и деталей. В случае выхода из строя какой-либо детали или агрегата до выполнения всей программы, машина считалась не выдержавшей испытаний по этой детали (агрегата). После замены последней испытания вновь продолжались.</w:t>
      </w:r>
    </w:p>
    <w:p w14:paraId="79284D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Постановление ГКО № 3092 сс сыграло большую роль в повышении качества выпускаемых танков. С этого момента значительно повышалась ответственность руководителей всех уровней за изготовление боевых машин. А введение обязательных гарантийных испытаний позволило в короткие скоки выявить характерные недоработки в конструкции танков того или иного завода и оперативно принять меры к их устранению. Все это позволило с лета 1943 года значительно увеличить </w:t>
      </w:r>
      <w:r w:rsidRPr="00722885">
        <w:rPr>
          <w:rFonts w:ascii="Times New Roman" w:hAnsi="Times New Roman"/>
          <w:color w:val="000000" w:themeColor="text1"/>
          <w:sz w:val="16"/>
          <w:szCs w:val="16"/>
        </w:rPr>
        <w:lastRenderedPageBreak/>
        <w:t>надежность работы тридцатьчетверок. Конечно, решить все существующие проблемы одним росчерком пера постановление ГКО не могло, недостатки и в конструкции и в качестве Т-34 оставались, и зачастую весьма серьезные. Однако этот документ внес в систему приемки и испытаний серийных машин четкую систему, позволил наладить более четкое взаимодействие между различными организациями и ведомствами, что в конечном итоге привело к повышению качества танков Т-34 (12417).</w:t>
      </w:r>
    </w:p>
    <w:p w14:paraId="1A2F145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B2CC519" w14:textId="77777777" w:rsidR="00BB6316" w:rsidRPr="00722885" w:rsidRDefault="00BB6316" w:rsidP="00722885">
      <w:pPr>
        <w:pStyle w:val="a3"/>
        <w:rPr>
          <w:color w:val="000000" w:themeColor="text1"/>
          <w:lang w:val="ru-RU"/>
        </w:rPr>
      </w:pPr>
      <w:r w:rsidRPr="00722885">
        <w:rPr>
          <w:color w:val="000000" w:themeColor="text1"/>
          <w:lang w:val="ru-RU"/>
        </w:rPr>
        <w:t>В конце 1942 г. был изготовлен первый опытный образец модифицированного КВ-13. С учетом недостатков первого образца КВ-13 конструкторы Опытного завода №100 при ЧКЗ доработали его конструкцию. Боевая масса машины при этом возросла до 38 т. Теперь танк обозначался как «Объект 233» (12617).</w:t>
      </w:r>
    </w:p>
    <w:p w14:paraId="1F9201FD" w14:textId="77777777" w:rsidR="00BB6316" w:rsidRPr="00722885" w:rsidRDefault="00BB6316" w:rsidP="00722885">
      <w:pPr>
        <w:pStyle w:val="a3"/>
        <w:rPr>
          <w:color w:val="000000" w:themeColor="text1"/>
          <w:lang w:val="ru-RU"/>
        </w:rPr>
      </w:pPr>
    </w:p>
    <w:p w14:paraId="3F62F956" w14:textId="77777777" w:rsidR="00BB6316" w:rsidRPr="00722885" w:rsidRDefault="00BB6316" w:rsidP="00722885">
      <w:pPr>
        <w:pStyle w:val="a3"/>
        <w:rPr>
          <w:color w:val="000000" w:themeColor="text1"/>
          <w:lang w:val="ru-RU"/>
        </w:rPr>
      </w:pPr>
      <w:r w:rsidRPr="00722885">
        <w:rPr>
          <w:color w:val="000000" w:themeColor="text1"/>
          <w:lang w:val="ru-RU"/>
        </w:rPr>
        <w:t>К концу 1942 г. необходимость наличия в войсках мощ</w:t>
      </w:r>
      <w:r w:rsidRPr="00722885">
        <w:rPr>
          <w:color w:val="000000" w:themeColor="text1"/>
          <w:lang w:val="ru-RU"/>
        </w:rPr>
        <w:softHyphen/>
        <w:t>ных самоходных артиллерийских установок как средства прорыва обороны противника была окончательно осознана К этому времени уже были спроектированы, построены и поступили на вооружение Крас</w:t>
      </w:r>
      <w:r w:rsidRPr="00722885">
        <w:rPr>
          <w:color w:val="000000" w:themeColor="text1"/>
          <w:lang w:val="ru-RU"/>
        </w:rPr>
        <w:softHyphen/>
        <w:t>ной Армии САУ двух типов: легкие и сред</w:t>
      </w:r>
      <w:r w:rsidRPr="00722885">
        <w:rPr>
          <w:color w:val="000000" w:themeColor="text1"/>
          <w:lang w:val="ru-RU"/>
        </w:rPr>
        <w:softHyphen/>
        <w:t>ние. Боевые действия 1942 г. подтвердили необходимость разработки мощных средств непосредственного сопровождения средних и тяжелых танков орудиями, способными вести огонь прямой наводкой, поражать ДОТы и раз</w:t>
      </w:r>
      <w:r w:rsidRPr="00722885">
        <w:rPr>
          <w:color w:val="000000" w:themeColor="text1"/>
          <w:lang w:val="ru-RU"/>
        </w:rPr>
        <w:softHyphen/>
        <w:t>рушать оборонительные сооружения. Поле</w:t>
      </w:r>
      <w:r w:rsidRPr="00722885">
        <w:rPr>
          <w:color w:val="000000" w:themeColor="text1"/>
          <w:lang w:val="ru-RU"/>
        </w:rPr>
        <w:softHyphen/>
        <w:t>вая артиллерия, буксируемая гусеничными тягачами, с подобной задачей справиться не могла. Средние СУ-122 на базе танка Т-34 и, тем более, легкие СУ-76М на узлах танка Т-70, также имели весьма ограниченные возмож</w:t>
      </w:r>
      <w:r w:rsidRPr="00722885">
        <w:rPr>
          <w:color w:val="000000" w:themeColor="text1"/>
          <w:lang w:val="ru-RU"/>
        </w:rPr>
        <w:softHyphen/>
        <w:t>ности.</w:t>
      </w:r>
    </w:p>
    <w:p w14:paraId="53043B72" w14:textId="77777777" w:rsidR="00BB6316" w:rsidRPr="00722885" w:rsidRDefault="00BB6316" w:rsidP="00722885">
      <w:pPr>
        <w:pStyle w:val="a3"/>
        <w:rPr>
          <w:color w:val="000000" w:themeColor="text1"/>
          <w:lang w:val="ru-RU"/>
        </w:rPr>
      </w:pPr>
      <w:r w:rsidRPr="00722885">
        <w:rPr>
          <w:color w:val="000000" w:themeColor="text1"/>
          <w:lang w:val="ru-RU"/>
        </w:rPr>
        <w:t>Конкретное задание на проектирование тяжелой САУ поступило в первом полугодии 1942 г. на УЗТМ. Тогда было предложено смон</w:t>
      </w:r>
      <w:r w:rsidRPr="00722885">
        <w:rPr>
          <w:color w:val="000000" w:themeColor="text1"/>
          <w:lang w:val="ru-RU"/>
        </w:rPr>
        <w:softHyphen/>
        <w:t>тировать 152,4-мм корпусную пушку-гаубицу типа МЛ-20 в рубке построенного КВ-7. В конце года задание на установку аналогичной пушки поступило на ЧКЗ. В начале января 1943 г. ГКО обязал ЧКЗ создать САУ на базе тяже</w:t>
      </w:r>
      <w:r w:rsidRPr="00722885">
        <w:rPr>
          <w:color w:val="000000" w:themeColor="text1"/>
          <w:lang w:val="ru-RU"/>
        </w:rPr>
        <w:softHyphen/>
        <w:t>лого танка, получившую обозначение КВ-14. Ведущим конструктором проекта назначили Л.С. Троянова, переведенного в Челябинск с Омского завода № 174. В конструкторскую группу вошли Г.Н. Москвин, Г.Н, Рыбин, К.Н. Ильин и другие.</w:t>
      </w:r>
    </w:p>
    <w:p w14:paraId="64697122" w14:textId="77777777" w:rsidR="00BB6316" w:rsidRPr="00722885" w:rsidRDefault="00BB6316" w:rsidP="00722885">
      <w:pPr>
        <w:pStyle w:val="a3"/>
        <w:rPr>
          <w:color w:val="000000" w:themeColor="text1"/>
          <w:lang w:val="ru-RU"/>
        </w:rPr>
      </w:pPr>
      <w:r w:rsidRPr="00722885">
        <w:rPr>
          <w:color w:val="000000" w:themeColor="text1"/>
          <w:lang w:val="ru-RU"/>
        </w:rPr>
        <w:t>Наиболее приемлемым признали вари</w:t>
      </w:r>
      <w:r w:rsidRPr="00722885">
        <w:rPr>
          <w:color w:val="000000" w:themeColor="text1"/>
          <w:lang w:val="ru-RU"/>
        </w:rPr>
        <w:softHyphen/>
        <w:t>ант с размещением казенной части орудия в закрытой рубке, изготовленной из катаных листов брони, расположенной в перед</w:t>
      </w:r>
      <w:r w:rsidRPr="00722885">
        <w:rPr>
          <w:color w:val="000000" w:themeColor="text1"/>
          <w:lang w:val="ru-RU"/>
        </w:rPr>
        <w:softHyphen/>
        <w:t>ней части машины. Размещение моторно- трансмиссионного отделения в этом случае сохранялось в задней части машины, как и в базовом тднке КВ-1С. Изменение конструкции орудия предусматривало перенос оси цапф вперед с целью уменьшения вылета орудия, ограничивающего маневренность машины. Уравновешивание орудийной системы обе</w:t>
      </w:r>
      <w:r w:rsidRPr="00722885">
        <w:rPr>
          <w:color w:val="000000" w:themeColor="text1"/>
          <w:lang w:val="ru-RU"/>
        </w:rPr>
        <w:softHyphen/>
        <w:t>спечивалось за счет броневой маски.</w:t>
      </w:r>
    </w:p>
    <w:p w14:paraId="3C2614B2" w14:textId="77777777" w:rsidR="00BB6316" w:rsidRPr="00722885" w:rsidRDefault="00BB6316" w:rsidP="00722885">
      <w:pPr>
        <w:pStyle w:val="a3"/>
        <w:rPr>
          <w:color w:val="000000" w:themeColor="text1"/>
          <w:lang w:val="ru-RU"/>
        </w:rPr>
      </w:pPr>
      <w:r w:rsidRPr="00722885">
        <w:rPr>
          <w:color w:val="000000" w:themeColor="text1"/>
          <w:lang w:val="ru-RU"/>
        </w:rPr>
        <w:t>Конструктивно установка орудия была жестко связана с лобовым листом рубки тол</w:t>
      </w:r>
      <w:r w:rsidRPr="00722885">
        <w:rPr>
          <w:color w:val="000000" w:themeColor="text1"/>
          <w:lang w:val="ru-RU"/>
        </w:rPr>
        <w:softHyphen/>
        <w:t>щиной 75 мм. Орудие, снабженное щелевым дульным тормозом, крепилось в мощной рамке посредством цапф, обеспечивавших две сте</w:t>
      </w:r>
      <w:r w:rsidRPr="00722885">
        <w:rPr>
          <w:color w:val="000000" w:themeColor="text1"/>
          <w:lang w:val="ru-RU"/>
        </w:rPr>
        <w:softHyphen/>
        <w:t>пени свободы, по отработанной на КВ-7 схеме карданного подвеса (12617).</w:t>
      </w:r>
    </w:p>
    <w:p w14:paraId="1BF4C75C" w14:textId="77777777" w:rsidR="00BB6316" w:rsidRPr="00722885" w:rsidRDefault="00BB6316" w:rsidP="00722885">
      <w:pPr>
        <w:pStyle w:val="a3"/>
        <w:rPr>
          <w:color w:val="000000" w:themeColor="text1"/>
          <w:lang w:val="ru-RU"/>
        </w:rPr>
      </w:pPr>
    </w:p>
    <w:p w14:paraId="1890CD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в Челябинске возобновилась работа над САУ на базе КВ-1С со 152-мм гаубицей-пушкой МЛ-20. В. А. Малышев и командующий бронетанковыми войсками Я. Н. Федоренко посетили в Челябинске Ж. Я. Котина, чтобы лично поручить ему начать работу над проектом самоходки, способной бороться с новыми немецкими тяжелыми танками на дистанции свыше 1000 метров и убедить его в том, что эту задачу следует выполнить в максимально короткие сроки. Вскоре было предложено три варианта проектов самоходки, два из которых были разработаны в Танкограде, а один - на УЗТМ. Выбор пал на вариант, разработанный непосредственно под руководством Ж. Я. Котина. Только он позволял начать производство самоходки в кратчайшие сроки, так как предполагал минимальные изменения в конструкции шасси и орудия, в отличие от варианта УЗТМ, который предусматривал переделку устанавливаемого в САУ орудия, и проекта Л.С. Троянова, для реализации которого требовалось удлинить корпус танка КВ. 4 января вышло постановление ГКО № 2692 (РГАСПИ. Ф. 644. Оп. 1. Д. 75. Л. 128-129), требовавшее завершить проектные работы и изготовление опытного образца за 25 дней. Уже 3 января 1943 года начались работы над чертежами. Первые десять дней конструкторы вообще не уходили с работы домой. Но эти усилия были не напрасными. Уже 23 января опытный образец нового самоходного орудия сделал свой первый выстрел (Без тайн и секретов / Н. С. Попов, В. И. Петров и др. Под ред. Н. С. Попова. Спб., 1997. С. 119-121). В феврале 1943 года на Кировском заводе началось его производство.</w:t>
      </w:r>
    </w:p>
    <w:p w14:paraId="063A69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процессе развёртывания производства возник межведомственный конфликт между НКВ и НКТП. Заместитель главного конструктора НКТП И. С. Бер требовали, чтобы на рамку для МЛ-20 изготовляли на орудийных заводах, мотивируя это тем, что испытания обстрелом должны проводиться там, а пушку обязательно нужно испытывать в рамке (ГАРФ. Ф. Р-5446. Оп. 44а. Д. 7527. Л. 2). Заместитель наркома вооружения В. М. Рябиков возражал, доказывая, что рамка - промежуточное звено между орудием и амбразурой, а выполняющие аналогичные функции детали на танках изготовляются на танковых заводах (ГАРФ. Ф. Р-5446. Оп. 44а. Д. 7527. Л. 2). Начальник группы танков СНК Е. Круглов поддержал претензии танкостроителей. В ответ в конфликт включился уже лично нарком вооружения Д. Ф. Устинов, доказывавший, что завод № 172, производящий МЛ-20, не имеет достаточного оборудования для литья рамки. Конфликт породил оживлённую переписку между заинтересованными ведомствами, хотя и не смог сорвать освоение производства новой самоходки.</w:t>
      </w:r>
    </w:p>
    <w:p w14:paraId="09F7CF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СУ-152 превосходно проявили себя в ходе войны. В войсках СУ-152 прозвали «Зверобоем». Она активно использовалась для борьбы с немецкими танками, хотя и не вполне отвечала этой задаче. Действительно, мощное орудие «Зверобоя» легко пробивало броню «Тигров» и «Пантер». Но из-за большого веса снаряда скорострельность орудия СУ-152 уступала скорострельности немецких танковых пушек в несколько раз, а 100- миллиметровый лобовой лист не выдерживал попадания снарядов новых мощных немецких танковых орудий. По своему предназначению они скорее подходили для уничтожения ДОТов и ДЗОТов, огневых точек противника, чем для дуэлей с вражескими танками. Но всё же опыт применения СУ-152 настолько впечатлил и танкостроителей, и военных, и руководство страны, что после перехода к производству нового тяжелого танка ИС сочли необходимым сконструировать и запустить в производство самоходку ИСУ- 152 на базе этого танка, схожую по своим характеристикам с СУ-152 (12290).</w:t>
      </w:r>
    </w:p>
    <w:p w14:paraId="02E4338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799305D"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конце 1942 года на танке КВ-1С прово</w:t>
      </w:r>
      <w:r w:rsidRPr="00722885">
        <w:rPr>
          <w:rFonts w:ascii="Times New Roman" w:cs="Times New Roman"/>
          <w:color w:val="000000" w:themeColor="text1"/>
          <w:spacing w:val="0"/>
        </w:rPr>
        <w:softHyphen/>
        <w:t>дились испытания планетарного механизма поворота (ПМП), о чем 7 января 1943 года главный инженер завода № 100 Майдельман докладывал в ГБТУ КА:</w:t>
      </w:r>
    </w:p>
    <w:p w14:paraId="1AE1185C"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«В октябре и ноябре 1942 г. на заводе № 100 спроектирован и изготовлен планетарный механизм поворота конструкции инженера подполковника Благонравова А. И...</w:t>
      </w:r>
    </w:p>
    <w:p w14:paraId="48705136"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К настоящему моменту общий киломе</w:t>
      </w:r>
      <w:r w:rsidRPr="00722885">
        <w:rPr>
          <w:rFonts w:ascii="Times New Roman" w:cs="Times New Roman"/>
          <w:color w:val="000000" w:themeColor="text1"/>
          <w:spacing w:val="0"/>
        </w:rPr>
        <w:softHyphen/>
        <w:t>траж пробеговых испытаний достиг 1085 км, из коих 135 км - буксировки. При этом танк с планетарным механизмом поворота бук</w:t>
      </w:r>
      <w:r w:rsidRPr="00722885">
        <w:rPr>
          <w:rFonts w:ascii="Times New Roman" w:cs="Times New Roman"/>
          <w:color w:val="000000" w:themeColor="text1"/>
          <w:spacing w:val="0"/>
        </w:rPr>
        <w:softHyphen/>
        <w:t>сировал один раз два танка общим весом 75 тонн без особых затруднений.</w:t>
      </w:r>
    </w:p>
    <w:p w14:paraId="17E8605F"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Планетарный механизм поворота являет</w:t>
      </w:r>
      <w:r w:rsidRPr="00722885">
        <w:rPr>
          <w:rFonts w:ascii="Times New Roman" w:cs="Times New Roman"/>
          <w:color w:val="000000" w:themeColor="text1"/>
          <w:spacing w:val="0"/>
        </w:rPr>
        <w:softHyphen/>
        <w:t>ся лишь новым словом в отечественном тан</w:t>
      </w:r>
      <w:r w:rsidRPr="00722885">
        <w:rPr>
          <w:rFonts w:ascii="Times New Roman" w:cs="Times New Roman"/>
          <w:color w:val="000000" w:themeColor="text1"/>
          <w:spacing w:val="0"/>
        </w:rPr>
        <w:softHyphen/>
        <w:t>костроении..</w:t>
      </w:r>
    </w:p>
    <w:p w14:paraId="48C5CCEA"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Испытания показали. Что планетарный механизм поворота имеет следующие пре</w:t>
      </w:r>
      <w:r w:rsidRPr="00722885">
        <w:rPr>
          <w:rFonts w:ascii="Times New Roman" w:cs="Times New Roman"/>
          <w:color w:val="000000" w:themeColor="text1"/>
          <w:spacing w:val="0"/>
        </w:rPr>
        <w:softHyphen/>
        <w:t>имущества перед бортовыми фрикционами:</w:t>
      </w:r>
    </w:p>
    <w:p w14:paraId="675313E2" w14:textId="77777777" w:rsidR="00E3119F" w:rsidRPr="00722885" w:rsidRDefault="00E3119F" w:rsidP="00722885">
      <w:pPr>
        <w:pStyle w:val="27"/>
        <w:shd w:val="clear" w:color="auto" w:fill="auto"/>
        <w:tabs>
          <w:tab w:val="left" w:pos="474"/>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повысилась маневренность танка на местности;</w:t>
      </w:r>
    </w:p>
    <w:p w14:paraId="792EADFF" w14:textId="77777777" w:rsidR="00E3119F" w:rsidRPr="00722885" w:rsidRDefault="00E3119F" w:rsidP="00722885">
      <w:pPr>
        <w:pStyle w:val="27"/>
        <w:shd w:val="clear" w:color="auto" w:fill="auto"/>
        <w:tabs>
          <w:tab w:val="left" w:pos="459"/>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увеличилась средняя скорость движения на 20-30%;</w:t>
      </w:r>
    </w:p>
    <w:p w14:paraId="0ED61B3B" w14:textId="77777777" w:rsidR="00E3119F" w:rsidRPr="00722885" w:rsidRDefault="00E3119F" w:rsidP="00722885">
      <w:pPr>
        <w:pStyle w:val="27"/>
        <w:shd w:val="clear" w:color="auto" w:fill="auto"/>
        <w:tabs>
          <w:tab w:val="left" w:pos="29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увеличилась проходимость;</w:t>
      </w:r>
    </w:p>
    <w:p w14:paraId="46DF6932" w14:textId="77777777" w:rsidR="00E3119F" w:rsidRPr="00722885" w:rsidRDefault="00E3119F" w:rsidP="00722885">
      <w:pPr>
        <w:pStyle w:val="27"/>
        <w:shd w:val="clear" w:color="auto" w:fill="auto"/>
        <w:tabs>
          <w:tab w:val="left" w:pos="469"/>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облегчено управление (усилие на рыча</w:t>
      </w:r>
      <w:r w:rsidRPr="00722885">
        <w:rPr>
          <w:rFonts w:ascii="Times New Roman" w:cs="Times New Roman"/>
          <w:color w:val="000000" w:themeColor="text1"/>
          <w:spacing w:val="0"/>
        </w:rPr>
        <w:softHyphen/>
        <w:t>гах 12-15 кг вместо 40-50 кг);</w:t>
      </w:r>
    </w:p>
    <w:p w14:paraId="03D376F0" w14:textId="77777777" w:rsidR="00E3119F" w:rsidRPr="00722885" w:rsidRDefault="00E3119F" w:rsidP="00722885">
      <w:pPr>
        <w:pStyle w:val="27"/>
        <w:shd w:val="clear" w:color="auto" w:fill="auto"/>
        <w:tabs>
          <w:tab w:val="left" w:pos="454"/>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улучшаются условия работы двигателя. Коробки передач и главного фрикциона;</w:t>
      </w:r>
    </w:p>
    <w:p w14:paraId="62868B82" w14:textId="77777777" w:rsidR="00E3119F" w:rsidRPr="00722885" w:rsidRDefault="00E3119F" w:rsidP="00722885">
      <w:pPr>
        <w:pStyle w:val="27"/>
        <w:shd w:val="clear" w:color="auto" w:fill="auto"/>
        <w:tabs>
          <w:tab w:val="left" w:pos="296"/>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увеличился срок службы тормозов;</w:t>
      </w:r>
    </w:p>
    <w:p w14:paraId="5EA2EE84" w14:textId="77777777" w:rsidR="00E3119F" w:rsidRPr="00722885" w:rsidRDefault="00E3119F" w:rsidP="00722885">
      <w:pPr>
        <w:pStyle w:val="27"/>
        <w:shd w:val="clear" w:color="auto" w:fill="auto"/>
        <w:tabs>
          <w:tab w:val="left" w:pos="291"/>
        </w:tabs>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 уменьшился расход топлива на километр.</w:t>
      </w:r>
    </w:p>
    <w:p w14:paraId="2BA51432"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Мы считаем необходимым рекомендо</w:t>
      </w:r>
      <w:r w:rsidRPr="00722885">
        <w:rPr>
          <w:rFonts w:ascii="Times New Roman" w:cs="Times New Roman"/>
          <w:color w:val="000000" w:themeColor="text1"/>
          <w:spacing w:val="0"/>
        </w:rPr>
        <w:softHyphen/>
        <w:t>вать этот механизм в серию и полезным не</w:t>
      </w:r>
      <w:r w:rsidRPr="00722885">
        <w:rPr>
          <w:rFonts w:ascii="Times New Roman" w:cs="Times New Roman"/>
          <w:color w:val="000000" w:themeColor="text1"/>
          <w:spacing w:val="0"/>
        </w:rPr>
        <w:softHyphen/>
        <w:t>медленно изготовить установочную партию для испытания механизма поворота в боевых действиях.</w:t>
      </w:r>
    </w:p>
    <w:p w14:paraId="77049E9F" w14:textId="77777777" w:rsidR="00E3119F" w:rsidRPr="00722885" w:rsidRDefault="00E3119F" w:rsidP="00722885">
      <w:pPr>
        <w:pStyle w:val="27"/>
        <w:shd w:val="clear" w:color="auto" w:fill="auto"/>
        <w:spacing w:after="0" w:line="240" w:lineRule="auto"/>
        <w:ind w:firstLine="0"/>
        <w:rPr>
          <w:rFonts w:ascii="Times New Roman" w:cs="Times New Roman"/>
          <w:color w:val="000000" w:themeColor="text1"/>
          <w:spacing w:val="0"/>
        </w:rPr>
      </w:pPr>
      <w:r w:rsidRPr="00722885">
        <w:rPr>
          <w:rFonts w:ascii="Times New Roman" w:cs="Times New Roman"/>
          <w:color w:val="000000" w:themeColor="text1"/>
          <w:spacing w:val="0"/>
        </w:rPr>
        <w:t>Планетарный механизм поворота, кроме переходных деталей, связывающих его с ко</w:t>
      </w:r>
      <w:r w:rsidRPr="00722885">
        <w:rPr>
          <w:rFonts w:ascii="Times New Roman" w:cs="Times New Roman"/>
          <w:color w:val="000000" w:themeColor="text1"/>
          <w:spacing w:val="0"/>
        </w:rPr>
        <w:softHyphen/>
        <w:t>робкой перемены передач и бортовым редук</w:t>
      </w:r>
      <w:r w:rsidRPr="00722885">
        <w:rPr>
          <w:rFonts w:ascii="Times New Roman" w:cs="Times New Roman"/>
          <w:color w:val="000000" w:themeColor="text1"/>
          <w:spacing w:val="0"/>
        </w:rPr>
        <w:softHyphen/>
        <w:t>тором, является унифицированным для тан</w:t>
      </w:r>
      <w:r w:rsidRPr="00722885">
        <w:rPr>
          <w:rFonts w:ascii="Times New Roman" w:cs="Times New Roman"/>
          <w:color w:val="000000" w:themeColor="text1"/>
          <w:spacing w:val="0"/>
        </w:rPr>
        <w:softHyphen/>
        <w:t>ков КВ-1С и Т-34.</w:t>
      </w:r>
    </w:p>
    <w:p w14:paraId="07463F83" w14:textId="77777777" w:rsidR="00E3119F" w:rsidRPr="00722885" w:rsidRDefault="00E3119F"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Чертежи для запуска в серию планетар</w:t>
      </w:r>
      <w:r w:rsidRPr="00722885">
        <w:rPr>
          <w:rFonts w:ascii="Times New Roman" w:hAnsi="Times New Roman"/>
          <w:color w:val="000000" w:themeColor="text1"/>
          <w:sz w:val="16"/>
          <w:szCs w:val="16"/>
        </w:rPr>
        <w:softHyphen/>
        <w:t xml:space="preserve">ного механизма танка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-1С с учетом замечаний на основе результатов испытаний готовы» (15226).</w:t>
      </w:r>
    </w:p>
    <w:p w14:paraId="2CFF40E9" w14:textId="77777777" w:rsidR="00E3119F" w:rsidRPr="00722885" w:rsidRDefault="00E3119F" w:rsidP="00722885">
      <w:pPr>
        <w:spacing w:after="0" w:line="240" w:lineRule="auto"/>
        <w:jc w:val="both"/>
        <w:rPr>
          <w:rFonts w:ascii="Times New Roman" w:hAnsi="Times New Roman"/>
          <w:color w:val="000000" w:themeColor="text1"/>
          <w:sz w:val="16"/>
          <w:szCs w:val="16"/>
        </w:rPr>
      </w:pPr>
    </w:p>
    <w:p w14:paraId="5769E696"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уполномоченным КПК по Свердловской области Кулефеевым были вскрыты факты приписок на Уралмашзаводе: «Завод с ведома наркомата отчитался перед правительством о сдаче в РККА в сентябре месяце 15 танков. Эти 15 машин фактически принимались военпредом до 15 октября. Причем в результате испытаний и приемки этих машин выявилось много дефектов [...] Отправка сентябрьских машин в войсковые части производилась с 15 по 21 октября 1942 г. Директор Уралмаш завода Музурков и военпред на заводе Зухер в своих объяснениях сообщили, что 15 танков были зачислены в товарный выпуск по указанию наркома Зальцмана. Кроме того, Зухер сообщил, что Зальцман, будучи на заводе, предлагал ему зачислить в выпуск 25 танков, однако Зухер от этого отказался, т.к. эти 25 танков сделаны на заводе еще не были. Аналогичный факт имел место в ноябре месяце. За ноябрь месяц Уралмашзавод был обязан выпустить 100 танков Т-34, однако на утро 1 декабря было изготовлено, испытано и сдано военпреду под пломбу 61 машина, кроме того, 10 машин были испытаны военпредовским пробегом, но не укомплектованы запасными частями, остальные машины находились в стадии окончательного монтажа, и часть машин прошла стационарные испытания. Несмотря на такое положение с машинами, завод по настоянию наркомата (на заводе в это время был замнаркома Степанов) отчитался о сдаче РККА 100 танков. Военпред завода Зухер заявил, что ему 1 декабря по телефону из ГАБТУ было предложено зачислить в программу вместо готовых 71 танка 100 танков»140. Стоит отметить, что причастность военпредов к припискам отрицательно сказывалась на качестве. Приписанную продукцию необходимо было выпустить в следующем месяце, что повышало вероятность ее принятия, независимо от ее реального качества (18627).</w:t>
      </w:r>
    </w:p>
    <w:p w14:paraId="14BFEE53" w14:textId="77777777" w:rsidR="003D573C" w:rsidRPr="00722885" w:rsidRDefault="003D573C" w:rsidP="00722885">
      <w:pPr>
        <w:spacing w:after="0" w:line="240" w:lineRule="auto"/>
        <w:jc w:val="both"/>
        <w:rPr>
          <w:rFonts w:ascii="Times New Roman" w:hAnsi="Times New Roman"/>
          <w:color w:val="000000" w:themeColor="text1"/>
          <w:sz w:val="16"/>
          <w:szCs w:val="16"/>
        </w:rPr>
      </w:pPr>
    </w:p>
    <w:p w14:paraId="222693DC" w14:textId="77777777" w:rsidR="00FA33B8" w:rsidRPr="00722885" w:rsidRDefault="00FA33B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В конце 1942 года появление Т-70Б на фронте оказалось весьма неоднозначным. Надежность ходовой части заметно выросла, но при этом на повестке дня появился другой вопрос. Дело в том, что ходовые части Т-70Б и Т-70 оказались довольно разными. Толщина опорных и поддерживающих катков выросла до 130 мм, иными оказались и торсионы, и балансиры. Вряд ли это доставило особую радость зампотехам. Существовала, впрочем, ещё одна, куда более существенная проблема. В середине 1942 года немцы прекратили выпускать легкие танки, переключившись на производство самоходных установок. Причина была банальной: легкий танк перестал отвечать требованиям современной войны. И Pz.Kpfw.II, и Pz.Kpfw.38(t) мало что могли сделать с советскими Т-34 и КВ. Примерно то же самое можно было сказать и о боевой ценности Т-70Б по сравнению с немецкими средними и тяжелыми танками.</w:t>
      </w:r>
    </w:p>
    <w:p w14:paraId="3D03311E" w14:textId="77777777" w:rsidR="00FA33B8" w:rsidRPr="00722885" w:rsidRDefault="00FA33B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С точки зрения боевой эффективности Т-70 оказался куда лучше своего предшественника, малого танка Т-60. Другое дело, что и противники изменились. Это не столь ощущалось в конце 1942 года, когда шли бои под Сталинградом, но уже в ходе боев за Харьков в феврале-марте 1943 года ситуация поменялась. Впрочем, в Главном автобронетанковом управлении Красной армии (ГАБТУ КА) проблему устаревания легких танков ощутили куда раньше. Еще в мае 1942 года был поднят вопрос разработки танкового орудия с баллистикой 45-мм противотанковой пушки конструкции ОКБ-172. Эту пушку приняли на вооружение Красной армии как М-42. Увеличенная длина ствола позволяла бороться с целями, которые обычной 45-мм танковой пушке были не по зубам (17695).</w:t>
      </w:r>
    </w:p>
    <w:p w14:paraId="3E802FB4" w14:textId="77777777" w:rsidR="00FA33B8" w:rsidRPr="00722885" w:rsidRDefault="00FA33B8" w:rsidP="00722885">
      <w:pPr>
        <w:pStyle w:val="12a"/>
        <w:shd w:val="clear" w:color="auto" w:fill="auto"/>
        <w:spacing w:after="0" w:line="240" w:lineRule="auto"/>
        <w:jc w:val="both"/>
        <w:rPr>
          <w:color w:val="000000" w:themeColor="text1"/>
          <w:sz w:val="16"/>
          <w:szCs w:val="16"/>
        </w:rPr>
      </w:pPr>
    </w:p>
    <w:p w14:paraId="56B2E421" w14:textId="77777777" w:rsidR="00565332" w:rsidRPr="00722885" w:rsidRDefault="00565332" w:rsidP="00722885">
      <w:pPr>
        <w:shd w:val="clear" w:color="auto" w:fill="FFFFFF"/>
        <w:spacing w:after="0" w:line="240" w:lineRule="auto"/>
        <w:jc w:val="both"/>
        <w:rPr>
          <w:rFonts w:ascii="Times New Roman" w:eastAsia="Times New Roman" w:hAnsi="Times New Roman"/>
          <w:color w:val="000000" w:themeColor="text1"/>
          <w:sz w:val="16"/>
          <w:szCs w:val="16"/>
        </w:rPr>
      </w:pPr>
      <w:r w:rsidRPr="00722885">
        <w:rPr>
          <w:rFonts w:ascii="Times New Roman" w:eastAsia="Times New Roman" w:hAnsi="Times New Roman"/>
          <w:color w:val="000000" w:themeColor="text1"/>
          <w:sz w:val="16"/>
          <w:szCs w:val="16"/>
        </w:rPr>
        <w:t xml:space="preserve">В конце 1942 года первые Light Tank M3A1 прибыли в Советский Союз. Всего было поставлено 340 танков этого типа. Сколько их при этом прибыло, точно определить невозможно, поскольку в документах они идут как М3л, то есть никак не выделяются на фоне Light Tank M3. За январь 1943 года прибыло 165 танков, из них 125 было поставлено по южному пути. Месяцем спустя пришло всего 37 танков, и объём поставок продолжал стремительно снижаться. В апреле поступили последние танки этого типа, всего за 1943 год прибыло 255 M3A1. Производство Light Tank M3A1 в США закончилось. Впрочем, были и другие причины, почему эти американские лёгкие танки перестали поступать по </w:t>
      </w:r>
      <w:hyperlink r:id="rId225" w:history="1">
        <w:r w:rsidRPr="00722885">
          <w:rPr>
            <w:rFonts w:ascii="Times New Roman" w:eastAsia="Times New Roman" w:hAnsi="Times New Roman"/>
            <w:color w:val="000000" w:themeColor="text1"/>
            <w:sz w:val="16"/>
            <w:szCs w:val="16"/>
            <w:u w:val="single"/>
          </w:rPr>
          <w:t>программе ленд-лиза</w:t>
        </w:r>
      </w:hyperlink>
      <w:r w:rsidRPr="00722885">
        <w:rPr>
          <w:rFonts w:ascii="Times New Roman" w:eastAsia="Times New Roman" w:hAnsi="Times New Roman"/>
          <w:color w:val="000000" w:themeColor="text1"/>
          <w:sz w:val="16"/>
          <w:szCs w:val="16"/>
        </w:rPr>
        <w:t xml:space="preserve"> (17464).</w:t>
      </w:r>
    </w:p>
    <w:p w14:paraId="27E6BABA" w14:textId="77777777" w:rsidR="00565332" w:rsidRPr="00722885" w:rsidRDefault="00565332" w:rsidP="00722885">
      <w:pPr>
        <w:shd w:val="clear" w:color="auto" w:fill="FFFFFF"/>
        <w:spacing w:after="0" w:line="240" w:lineRule="auto"/>
        <w:jc w:val="both"/>
        <w:rPr>
          <w:rFonts w:ascii="Times New Roman" w:eastAsia="Times New Roman" w:hAnsi="Times New Roman"/>
          <w:color w:val="000000" w:themeColor="text1"/>
          <w:sz w:val="16"/>
          <w:szCs w:val="16"/>
        </w:rPr>
      </w:pPr>
    </w:p>
    <w:p w14:paraId="59964B42" w14:textId="77777777" w:rsidR="00FA33B8" w:rsidRPr="00722885" w:rsidRDefault="00FA33B8"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В конце 1942 года первые Light Tank M3A1 прибыли в Советский Союз. Всего было поставлено 340 танков этого типа. Сколько их при этом прибыло, точно определить невозможно, поскольку в документах они идут как М3л, то есть никак не выделяются на фоне Light Tank M3. За январь 1943 года прибыло 165 танков, из них 125 было поставлено по южному пути. Месяцем спустя пришло всего 37 танков, и объём поставок продолжал стремительно снижаться. В апреле поступили последние танки этого типа, всего за 1943 год прибыло 255 M3A1. Производство Light Tank M3A1 в США закончилось (17658).</w:t>
      </w:r>
    </w:p>
    <w:p w14:paraId="75D20D12" w14:textId="77777777" w:rsidR="00FA33B8" w:rsidRPr="00722885" w:rsidRDefault="00FA33B8" w:rsidP="00722885">
      <w:pPr>
        <w:pStyle w:val="12a"/>
        <w:shd w:val="clear" w:color="auto" w:fill="auto"/>
        <w:spacing w:after="0" w:line="240" w:lineRule="auto"/>
        <w:jc w:val="both"/>
        <w:rPr>
          <w:color w:val="000000" w:themeColor="text1"/>
          <w:sz w:val="16"/>
          <w:szCs w:val="16"/>
        </w:rPr>
      </w:pPr>
    </w:p>
    <w:p w14:paraId="164C738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концу 1942 г. удалось изготовить по 25 самоходно-артиллерийских установок СУ-76 {САУ на базе трофейных танков Pz.Kptw. III, и последствии переименованные в СУ-76И) и СУ-35 первой серии, то разработка конструкции тяжелой 152-мм САУ в течепие 1942 г. не получила удовлетворительного решения (6001,20).</w:t>
      </w:r>
    </w:p>
    <w:p w14:paraId="0DF91C53" w14:textId="77777777" w:rsidR="00BB6316" w:rsidRPr="00722885" w:rsidRDefault="00BB6316" w:rsidP="00722885">
      <w:pPr>
        <w:pStyle w:val="Iauiue"/>
        <w:jc w:val="both"/>
        <w:rPr>
          <w:color w:val="000000" w:themeColor="text1"/>
          <w:sz w:val="16"/>
          <w:szCs w:val="16"/>
        </w:rPr>
      </w:pPr>
    </w:p>
    <w:p w14:paraId="28C04F8E" w14:textId="77777777" w:rsidR="008D2BB9" w:rsidRPr="00722885" w:rsidRDefault="008D2BB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1942 г. и до осени 1944 г. конструкторами завода №237 Коневым и Гладилиным, совместно с ГОИ велись работы по созданию "приборов ночного вождения к танкам Т-34" (18157).</w:t>
      </w:r>
    </w:p>
    <w:p w14:paraId="74B8C549" w14:textId="77777777" w:rsidR="008D2BB9" w:rsidRPr="00722885" w:rsidRDefault="008D2BB9" w:rsidP="00722885">
      <w:pPr>
        <w:spacing w:after="0" w:line="240" w:lineRule="auto"/>
        <w:jc w:val="both"/>
        <w:rPr>
          <w:rFonts w:ascii="Times New Roman" w:hAnsi="Times New Roman"/>
          <w:color w:val="000000" w:themeColor="text1"/>
          <w:sz w:val="16"/>
          <w:szCs w:val="16"/>
        </w:rPr>
      </w:pPr>
    </w:p>
    <w:p w14:paraId="6F75856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C конца 1942 года боевое применение Т-60 на переднем крае стало заканчиваться, а производство сворачиваться. Они честно и самоотверженно выполнили свою задачу, в определенной степени закрыв брешь, вызванную острой нехваткой средних танков, однако противостоять возросшим средствам противотанковой обороны немцев уже не могли. Танкисты не особенно любили эти сравнительно легкобронированные и слабовооруженные (для 1942 года) машины, называя их БМ-2 - "братская могила на двоих" (3862).</w:t>
      </w:r>
    </w:p>
    <w:p w14:paraId="0A8B418C" w14:textId="77777777" w:rsidR="00BB6316" w:rsidRPr="00722885" w:rsidRDefault="00BB6316" w:rsidP="00722885">
      <w:pPr>
        <w:pStyle w:val="Iauiue"/>
        <w:jc w:val="both"/>
        <w:rPr>
          <w:color w:val="000000" w:themeColor="text1"/>
          <w:sz w:val="16"/>
          <w:szCs w:val="16"/>
        </w:rPr>
      </w:pPr>
    </w:p>
    <w:p w14:paraId="1B5E40D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Конец 1942 г. был знаменателен тем, что производство Т-60 наконец-то было полностью прекращено в пользу бо</w:t>
      </w:r>
      <w:r w:rsidRPr="00722885">
        <w:rPr>
          <w:rFonts w:ascii="Times New Roman" w:hAnsi="Times New Roman"/>
          <w:color w:val="000000" w:themeColor="text1"/>
          <w:sz w:val="16"/>
          <w:szCs w:val="16"/>
        </w:rPr>
        <w:softHyphen/>
        <w:t>лее совершенного Т-70 (по первоначальным планам ГКО и НКТП Т-60 должен был быть снят с серии в первом кварта</w:t>
      </w:r>
      <w:r w:rsidRPr="00722885">
        <w:rPr>
          <w:rFonts w:ascii="Times New Roman" w:hAnsi="Times New Roman"/>
          <w:color w:val="000000" w:themeColor="text1"/>
          <w:sz w:val="16"/>
          <w:szCs w:val="16"/>
        </w:rPr>
        <w:softHyphen/>
        <w:t>ле 1942 г.). Однако каждый Т-70 требовал вдвое больше дви</w:t>
      </w:r>
      <w:r w:rsidRPr="00722885">
        <w:rPr>
          <w:rFonts w:ascii="Times New Roman" w:hAnsi="Times New Roman"/>
          <w:color w:val="000000" w:themeColor="text1"/>
          <w:sz w:val="16"/>
          <w:szCs w:val="16"/>
        </w:rPr>
        <w:softHyphen/>
        <w:t>гательных агрегатов, аналогичных установленным на Т-60, и потому заводы начали испытывать затруднения в выпол</w:t>
      </w:r>
      <w:r w:rsidRPr="00722885">
        <w:rPr>
          <w:rFonts w:ascii="Times New Roman" w:hAnsi="Times New Roman"/>
          <w:color w:val="000000" w:themeColor="text1"/>
          <w:sz w:val="16"/>
          <w:szCs w:val="16"/>
        </w:rPr>
        <w:softHyphen/>
        <w:t>нении довольно высокой суточной программы выпуска лег</w:t>
      </w:r>
      <w:r w:rsidRPr="00722885">
        <w:rPr>
          <w:rFonts w:ascii="Times New Roman" w:hAnsi="Times New Roman"/>
          <w:color w:val="000000" w:themeColor="text1"/>
          <w:sz w:val="16"/>
          <w:szCs w:val="16"/>
        </w:rPr>
        <w:softHyphen/>
        <w:t>ких танков... Понятно, что все с неохотой переходили на выпуск Т-70, и в этом вопросе их неожиданно поддержал новый нарком, отодвинувший срок перехода на Т-70 снача</w:t>
      </w:r>
      <w:r w:rsidRPr="00722885">
        <w:rPr>
          <w:rFonts w:ascii="Times New Roman" w:hAnsi="Times New Roman"/>
          <w:color w:val="000000" w:themeColor="text1"/>
          <w:sz w:val="16"/>
          <w:szCs w:val="16"/>
        </w:rPr>
        <w:softHyphen/>
        <w:t>ла на 1 июля, а потом на 1 октября 1942 г. Трудно сказать, что двигало помыслами И. Зальцмана. Недобрые языки уверяют, что это решение помогло ему отчитаться за пере</w:t>
      </w:r>
      <w:r w:rsidRPr="00722885">
        <w:rPr>
          <w:rFonts w:ascii="Times New Roman" w:hAnsi="Times New Roman"/>
          <w:color w:val="000000" w:themeColor="text1"/>
          <w:sz w:val="16"/>
          <w:szCs w:val="16"/>
        </w:rPr>
        <w:softHyphen/>
        <w:t>выполнение плана выпуска танков во 2-м полугодии 1942 г. (11135).</w:t>
      </w:r>
    </w:p>
    <w:p w14:paraId="09EA86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52448B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был построен Т-43-1 с люком-пробкой механика-водителя и смещенной к корме командирской башенкой (4390).</w:t>
      </w:r>
    </w:p>
    <w:p w14:paraId="5C0607E4" w14:textId="77777777" w:rsidR="00BB6316" w:rsidRPr="00722885" w:rsidRDefault="00BB6316" w:rsidP="00722885">
      <w:pPr>
        <w:pStyle w:val="Iauiue"/>
        <w:jc w:val="both"/>
        <w:rPr>
          <w:color w:val="000000" w:themeColor="text1"/>
          <w:sz w:val="16"/>
          <w:szCs w:val="16"/>
        </w:rPr>
      </w:pPr>
    </w:p>
    <w:p w14:paraId="6E69A23F"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В конце 1942 года в КБ УТЗ параллельно с разработками танка Т-43, представлявшими собой, как известно, глубокую модернизацию Т-34, были начаты проработки конструкции совершенно нового танка. Этот танк проектировался в трех вариантах: с пушкой калибра 122, 100 и 85 мм.</w:t>
      </w:r>
    </w:p>
    <w:p w14:paraId="658244B8"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Кроме артиллерийского вооружения, разрабатывавшийся танк (впоследствии он получил наименование Т-44) отличался от Т-34 следующими конструктивными особенностями:</w:t>
      </w:r>
    </w:p>
    <w:p w14:paraId="51932E2B"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 двигатель установлен поперек продольной оси машины, что дало возможность уменьшить объем МТО;</w:t>
      </w:r>
    </w:p>
    <w:p w14:paraId="165F13F8"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 башня смещена к корме, что позволило укоротить машину;</w:t>
      </w:r>
    </w:p>
    <w:p w14:paraId="588DDD98"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 снижена на 300 мм общая высота танка;</w:t>
      </w:r>
    </w:p>
    <w:p w14:paraId="557AFB84"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 усилена бронезащита лобовой части корпуса за счет увеличения толщины лобового листа и переноса люка механика-водителя с лобового листа на крышу корпуса;</w:t>
      </w:r>
    </w:p>
    <w:p w14:paraId="6A0FD4FC"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 применена торсионная подвеска;</w:t>
      </w:r>
    </w:p>
    <w:p w14:paraId="7C6AC62C"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 исключен из экипажа радист-пулеметчик для увеличения боекомплекта танка (9154).</w:t>
      </w:r>
    </w:p>
    <w:p w14:paraId="27418524" w14:textId="77777777" w:rsidR="00BB6316" w:rsidRPr="00722885" w:rsidRDefault="00BB6316" w:rsidP="00722885">
      <w:pPr>
        <w:pStyle w:val="a8"/>
        <w:widowControl/>
        <w:jc w:val="both"/>
        <w:rPr>
          <w:rFonts w:ascii="Times New Roman" w:hAnsi="Times New Roman" w:cs="Times New Roman"/>
          <w:color w:val="000000" w:themeColor="text1"/>
        </w:rPr>
      </w:pPr>
    </w:p>
    <w:p w14:paraId="179D72F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работы над танком Т-43 позволили внедрить в конструкцию Т-34 новую пятиступенчатую КПП, улучшившую динамические качества танка и надежность работы этого ответственного узла. По посадоч</w:t>
      </w:r>
      <w:r w:rsidRPr="00722885">
        <w:rPr>
          <w:rFonts w:ascii="Times New Roman" w:hAnsi="Times New Roman"/>
          <w:color w:val="000000" w:themeColor="text1"/>
          <w:sz w:val="16"/>
          <w:szCs w:val="16"/>
        </w:rPr>
        <w:softHyphen/>
        <w:t>ным местам новая КПП была совершенно идентична преж</w:t>
      </w:r>
      <w:r w:rsidRPr="00722885">
        <w:rPr>
          <w:rFonts w:ascii="Times New Roman" w:hAnsi="Times New Roman"/>
          <w:color w:val="000000" w:themeColor="text1"/>
          <w:sz w:val="16"/>
          <w:szCs w:val="16"/>
        </w:rPr>
        <w:softHyphen/>
        <w:t>ней, и ее установка в Т-34 не вызывала трудностей. Но самое главное, что переключать передачи танка в движении стало не в пример легче. Так, если переход в движении с первой передачи на вторую и со второй на третью прежде требовал от механика-водителя приложения усилий до 30 кг и более, то в новой КПП усилие переключения уже не превышало 10-12 кг. И если прежде многие механики-водители шли в бой на второй передаче, насилуя двигатель, то теперь они могли вести свою боевую машину в соответствии с требова</w:t>
      </w:r>
      <w:r w:rsidRPr="00722885">
        <w:rPr>
          <w:rFonts w:ascii="Times New Roman" w:hAnsi="Times New Roman"/>
          <w:color w:val="000000" w:themeColor="text1"/>
          <w:sz w:val="16"/>
          <w:szCs w:val="16"/>
        </w:rPr>
        <w:softHyphen/>
        <w:t>ниями местности, не опасаясь того, что двигатель «умрет». Таким образом, к лету 1943 г. острый сердечный кри</w:t>
      </w:r>
      <w:r w:rsidRPr="00722885">
        <w:rPr>
          <w:rFonts w:ascii="Times New Roman" w:hAnsi="Times New Roman"/>
          <w:color w:val="000000" w:themeColor="text1"/>
          <w:sz w:val="16"/>
          <w:szCs w:val="16"/>
        </w:rPr>
        <w:softHyphen/>
        <w:t>зис, преследовавший советские танки в 1941-1942 гг. был преодолен...(11135).</w:t>
      </w:r>
    </w:p>
    <w:p w14:paraId="0E516DF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4F4619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на Уралвагонзаводе работало уже шесть автоматиче</w:t>
      </w:r>
      <w:r w:rsidRPr="00722885">
        <w:rPr>
          <w:rFonts w:ascii="Times New Roman" w:hAnsi="Times New Roman"/>
          <w:color w:val="000000" w:themeColor="text1"/>
          <w:sz w:val="16"/>
          <w:szCs w:val="16"/>
        </w:rPr>
        <w:softHyphen/>
        <w:t>ских сварочных установок. Постепенно аналогичные установки стали применяться и на других танковых заводах. Так, к концу 1943 г. общее количество установок достигло 15, а через год - 30 единиц. Благодаря применению автоматической сварки под флюсом трудоемкость изго</w:t>
      </w:r>
      <w:r w:rsidRPr="00722885">
        <w:rPr>
          <w:rFonts w:ascii="Times New Roman" w:hAnsi="Times New Roman"/>
          <w:color w:val="000000" w:themeColor="text1"/>
          <w:sz w:val="16"/>
          <w:szCs w:val="16"/>
        </w:rPr>
        <w:softHyphen/>
        <w:t>товления корпуса танка Т-34 снизилась в пять раз. Только на УВЗ было высвобождено 250 сварщиков (10703).</w:t>
      </w:r>
    </w:p>
    <w:p w14:paraId="0E50B4E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9399E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1942 г, и до осени 1944 г. конструкторами завода № 237 Коневым и Гладилиным совместно с ГОИ велись работы по созданию "приборов ночного вождения к танкам Т-34". Осенью 1942 инфракрасный прибор; ночного видения механика-водителя, установленный в танке Т-34-85, прошел испытания на НИБТ . Полученные при проектировании, изготовлении и испытании результаты были использованы при создании приборов ночного видения на первом послевоенном периоде советского танкостроения (10703).</w:t>
      </w:r>
    </w:p>
    <w:p w14:paraId="4273E3A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2F24A9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w:t>
      </w:r>
      <w:r w:rsidRPr="00722885">
        <w:rPr>
          <w:rFonts w:ascii="Times New Roman" w:hAnsi="Times New Roman"/>
          <w:color w:val="000000" w:themeColor="text1"/>
          <w:sz w:val="16"/>
          <w:szCs w:val="16"/>
        </w:rPr>
        <w:softHyphen/>
        <w:t>це 1942 года для противовоздушной обороны танковых соединений и штабов войск были разработаны и изготовлены опытные образцы зенит</w:t>
      </w:r>
      <w:r w:rsidRPr="00722885">
        <w:rPr>
          <w:rFonts w:ascii="Times New Roman" w:hAnsi="Times New Roman"/>
          <w:color w:val="000000" w:themeColor="text1"/>
          <w:sz w:val="16"/>
          <w:szCs w:val="16"/>
        </w:rPr>
        <w:softHyphen/>
        <w:t>ных танков Т-60-3, Т-70 (зенитный) и Т-90, вооруженные спаренной уста</w:t>
      </w:r>
      <w:r w:rsidRPr="00722885">
        <w:rPr>
          <w:rFonts w:ascii="Times New Roman" w:hAnsi="Times New Roman"/>
          <w:color w:val="000000" w:themeColor="text1"/>
          <w:sz w:val="16"/>
          <w:szCs w:val="16"/>
        </w:rPr>
        <w:softHyphen/>
        <w:t>новкой 12,7-мм пулеметов ДШК. Кроме того, на базе танка Т-60 Горьковским автозаводом был разработан и изготовлен опытный образец танка Т-95 с другим вариантом установки аналогичного вооружения и прице</w:t>
      </w:r>
      <w:r w:rsidRPr="00722885">
        <w:rPr>
          <w:rFonts w:ascii="Times New Roman" w:hAnsi="Times New Roman"/>
          <w:color w:val="000000" w:themeColor="text1"/>
          <w:sz w:val="16"/>
          <w:szCs w:val="16"/>
        </w:rPr>
        <w:softHyphen/>
        <w:t>лов, но по ряду причин эта машина не была запущена в производство (10703).</w:t>
      </w:r>
    </w:p>
    <w:p w14:paraId="5423C4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B31116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года заводом № 38 НКТП на базе танков Т-60 и Т-70 был изготовлен опытный образец самоходно-артиллерийской установки (заводской ин</w:t>
      </w:r>
      <w:r w:rsidRPr="00722885">
        <w:rPr>
          <w:rFonts w:ascii="Times New Roman" w:hAnsi="Times New Roman"/>
          <w:color w:val="000000" w:themeColor="text1"/>
          <w:sz w:val="16"/>
          <w:szCs w:val="16"/>
        </w:rPr>
        <w:softHyphen/>
        <w:t>декс СУ-12) с 76,2-мм пушкой ЗИС-3. С 5 по 19 декабря 1942 г. эта са</w:t>
      </w:r>
      <w:r w:rsidRPr="00722885">
        <w:rPr>
          <w:rFonts w:ascii="Times New Roman" w:hAnsi="Times New Roman"/>
          <w:color w:val="000000" w:themeColor="text1"/>
          <w:sz w:val="16"/>
          <w:szCs w:val="16"/>
        </w:rPr>
        <w:softHyphen/>
        <w:t>моходная установка прошла государственные испытания на Гороховец-ком артиллерийском полигоне. Комиссия рекомендовала после устра</w:t>
      </w:r>
      <w:r w:rsidRPr="00722885">
        <w:rPr>
          <w:rFonts w:ascii="Times New Roman" w:hAnsi="Times New Roman"/>
          <w:color w:val="000000" w:themeColor="text1"/>
          <w:sz w:val="16"/>
          <w:szCs w:val="16"/>
        </w:rPr>
        <w:softHyphen/>
        <w:t>нения недостатков, выявленных в ходе испытаний, принять на вооруже</w:t>
      </w:r>
      <w:r w:rsidRPr="00722885">
        <w:rPr>
          <w:rFonts w:ascii="Times New Roman" w:hAnsi="Times New Roman"/>
          <w:color w:val="000000" w:themeColor="text1"/>
          <w:sz w:val="16"/>
          <w:szCs w:val="16"/>
        </w:rPr>
        <w:softHyphen/>
        <w:t>ние РККА самоходную установку СУ-76 (СУ-12) (10703).</w:t>
      </w:r>
    </w:p>
    <w:p w14:paraId="247592A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D8802C9" w14:textId="77777777" w:rsidR="00FA33B8" w:rsidRPr="00722885" w:rsidRDefault="00FA33B8" w:rsidP="00722885">
      <w:pPr>
        <w:pStyle w:val="ae"/>
        <w:shd w:val="clear" w:color="auto" w:fill="FFFFFF"/>
        <w:spacing w:before="0" w:after="0"/>
        <w:jc w:val="both"/>
        <w:rPr>
          <w:color w:val="000000" w:themeColor="text1"/>
          <w:sz w:val="16"/>
          <w:szCs w:val="16"/>
        </w:rPr>
      </w:pPr>
      <w:r w:rsidRPr="00722885">
        <w:rPr>
          <w:iCs/>
          <w:color w:val="000000" w:themeColor="text1"/>
          <w:sz w:val="16"/>
          <w:szCs w:val="16"/>
        </w:rPr>
        <w:t>В конце 1942 – начале 1943 года советская промышленность продолжала выпускать изделия, созданные на основе бронекорпуса Т-60. Речь идёт о бронесанях, работы над которыми начались ещё в начале 1942 года (17711).</w:t>
      </w:r>
    </w:p>
    <w:p w14:paraId="75DFA4FE" w14:textId="77777777" w:rsidR="00FA33B8" w:rsidRPr="00722885" w:rsidRDefault="00FA33B8" w:rsidP="00722885">
      <w:pPr>
        <w:spacing w:after="0" w:line="240" w:lineRule="auto"/>
        <w:jc w:val="both"/>
        <w:rPr>
          <w:rFonts w:ascii="Times New Roman" w:eastAsia="Times New Roman" w:hAnsi="Times New Roman"/>
          <w:color w:val="000000" w:themeColor="text1"/>
          <w:sz w:val="16"/>
          <w:szCs w:val="16"/>
          <w:lang w:eastAsia="ru-RU"/>
        </w:rPr>
      </w:pPr>
    </w:p>
    <w:p w14:paraId="1FC9AB85" w14:textId="77777777" w:rsidR="00FA33B8" w:rsidRPr="00722885" w:rsidRDefault="00FA33B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lastRenderedPageBreak/>
        <w:t xml:space="preserve">К концу 1942 года работы по советским самоходным артиллерийским установкам, инициированные после пленума Артиллерийского комитета 14–15 апреля, подошли к логическому завершению. Лёгкой САУ, принятой для серийного производства, стала СУ-12 разработки КБ завода №38 и С.А. Гинзбурга (будущая СУ-76). Наиболее перспективной средней САУ была признана </w:t>
      </w:r>
      <w:hyperlink r:id="rId226" w:history="1">
        <w:r w:rsidRPr="00722885">
          <w:rPr>
            <w:rFonts w:ascii="Times New Roman" w:eastAsia="Times New Roman" w:hAnsi="Times New Roman"/>
            <w:iCs/>
            <w:color w:val="000000" w:themeColor="text1"/>
            <w:sz w:val="16"/>
            <w:szCs w:val="16"/>
            <w:lang w:eastAsia="ru-RU"/>
          </w:rPr>
          <w:t>У-35</w:t>
        </w:r>
      </w:hyperlink>
      <w:r w:rsidRPr="00722885">
        <w:rPr>
          <w:rFonts w:ascii="Times New Roman" w:eastAsia="Times New Roman" w:hAnsi="Times New Roman"/>
          <w:iCs/>
          <w:color w:val="000000" w:themeColor="text1"/>
          <w:sz w:val="16"/>
          <w:szCs w:val="16"/>
          <w:lang w:eastAsia="ru-RU"/>
        </w:rPr>
        <w:t xml:space="preserve">, разработка КБ УЗТМ, и уже к концу декабря 1942 года были изготовлены первые машины установочной партии. </w:t>
      </w:r>
    </w:p>
    <w:p w14:paraId="16C5E1EA" w14:textId="77777777" w:rsidR="00FA33B8" w:rsidRPr="00722885" w:rsidRDefault="00FA33B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iCs/>
          <w:color w:val="000000" w:themeColor="text1"/>
          <w:sz w:val="16"/>
          <w:szCs w:val="16"/>
          <w:lang w:eastAsia="ru-RU"/>
        </w:rPr>
        <w:t xml:space="preserve">Сложнее оказалась ситуация с тяжёлой САУ. Проект, который начинался как «истребитель ДОТ-ов» и получивший индекс </w:t>
      </w:r>
      <w:hyperlink r:id="rId227" w:history="1">
        <w:r w:rsidRPr="00722885">
          <w:rPr>
            <w:rFonts w:ascii="Times New Roman" w:eastAsia="Times New Roman" w:hAnsi="Times New Roman"/>
            <w:iCs/>
            <w:color w:val="000000" w:themeColor="text1"/>
            <w:sz w:val="16"/>
            <w:szCs w:val="16"/>
            <w:lang w:eastAsia="ru-RU"/>
          </w:rPr>
          <w:t>«212»</w:t>
        </w:r>
      </w:hyperlink>
      <w:r w:rsidRPr="00722885">
        <w:rPr>
          <w:rFonts w:ascii="Times New Roman" w:eastAsia="Times New Roman" w:hAnsi="Times New Roman"/>
          <w:iCs/>
          <w:color w:val="000000" w:themeColor="text1"/>
          <w:sz w:val="16"/>
          <w:szCs w:val="16"/>
          <w:lang w:eastAsia="ru-RU"/>
        </w:rPr>
        <w:t xml:space="preserve">, несколько раз радикально переделывался. Предполагалось, что в серию пойдет самоходная установка </w:t>
      </w:r>
      <w:hyperlink r:id="rId228" w:history="1">
        <w:r w:rsidRPr="00722885">
          <w:rPr>
            <w:rFonts w:ascii="Times New Roman" w:eastAsia="Times New Roman" w:hAnsi="Times New Roman"/>
            <w:iCs/>
            <w:color w:val="000000" w:themeColor="text1"/>
            <w:sz w:val="16"/>
            <w:szCs w:val="16"/>
            <w:lang w:eastAsia="ru-RU"/>
          </w:rPr>
          <w:t>ЗИК-20</w:t>
        </w:r>
      </w:hyperlink>
      <w:r w:rsidRPr="00722885">
        <w:rPr>
          <w:rFonts w:ascii="Times New Roman" w:eastAsia="Times New Roman" w:hAnsi="Times New Roman"/>
          <w:iCs/>
          <w:color w:val="000000" w:themeColor="text1"/>
          <w:sz w:val="16"/>
          <w:szCs w:val="16"/>
          <w:lang w:eastAsia="ru-RU"/>
        </w:rPr>
        <w:t>, но работы по её созданию затянулись. Даже макет рубки в установленные сроки готов не был, не говоря уже о самой САУ. В результате на свет появилась совсем другая машина, разработанная в Челябинске (17696).</w:t>
      </w:r>
    </w:p>
    <w:p w14:paraId="40788442" w14:textId="77777777" w:rsidR="00FA33B8" w:rsidRPr="00722885" w:rsidRDefault="00FA33B8" w:rsidP="00722885">
      <w:pPr>
        <w:spacing w:after="0" w:line="240" w:lineRule="auto"/>
        <w:jc w:val="both"/>
        <w:rPr>
          <w:rFonts w:ascii="Times New Roman" w:eastAsia="Times New Roman" w:hAnsi="Times New Roman"/>
          <w:color w:val="000000" w:themeColor="text1"/>
          <w:sz w:val="16"/>
          <w:szCs w:val="16"/>
          <w:lang w:eastAsia="ru-RU"/>
        </w:rPr>
      </w:pPr>
    </w:p>
    <w:p w14:paraId="6A769E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Наркомат среднего машиностроения поставил перед заводом ЯАЗ задачу: в крайне сжатые сроки организовать выпуск гусеничного артиллерийского тягача. Уже в апреле 1943 года опытные образцы тягача Я-11 прошли государственные испытания в Москве. Чтобы наладить их производство, пришлось изготовить около 6 тысяч наименований горячих и холодных штампов, приспособлений, различного инструмента. И все это далеко не при тыловом покое: завод бомбили. Но, тем не менее, в августе начался выпуск тягачей Я-12 с двухтактным дизельным двигателем. В том же году конструкторы Ярославского автозавода возобновили проектирование грузового автомобиля для послевоенного производства (12200).</w:t>
      </w:r>
    </w:p>
    <w:p w14:paraId="63BC113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0EC3A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на заводе № 40 в Мытищах было создано ОКБ-40, СКБ по тягачам для разработки САУ и тягачей.</w:t>
      </w:r>
    </w:p>
    <w:p w14:paraId="418E09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Распоряжением ГКО № 4436 от 27.10.1943 г. были утверждены ТТХ СУ-85.</w:t>
      </w:r>
    </w:p>
    <w:p w14:paraId="0112905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03.1947 г. начались работы по авиадесантной САУ «объект 570», пост. СМ СССР от 17.12.1949 г. САУ-76 пнв. В 1948 г. начаты работы по «объекту 572», пост. СМ СССР от 19.09.1951 г. АСУ-57 пнв. В соответствии с ПСМ № 1505-843сс от 19.08.1955 г. АСУ-57П пнв.</w:t>
      </w:r>
    </w:p>
    <w:p w14:paraId="403833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ген. конструктор (1943-84 г.)- Н.А. Астров.</w:t>
      </w:r>
    </w:p>
    <w:p w14:paraId="470C0E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тягачи: М-2, АТ-П (после ВОВ), МТС-М (1990-е); САУ: СУ-85 (1943), «объект 570» (АСУ-76) (пнв в 1949 г.), «объект 572» (АСУ-57) (пнв в 1951 г.), АСУ-57П (плавающая, пнв 19.08.1955 г.); гусеничное шасси ГМ- 568, ГМ-578 для ЗРК «Куб», «Бук», ГМ-569, ГМ-575 для ЗСУ-23-4 «Шилка» (11982).</w:t>
      </w:r>
    </w:p>
    <w:p w14:paraId="349E1565" w14:textId="77777777" w:rsidR="00E3119F" w:rsidRPr="00722885" w:rsidRDefault="00E3119F" w:rsidP="00722885">
      <w:pPr>
        <w:shd w:val="clear" w:color="auto" w:fill="FFFFFF"/>
        <w:spacing w:after="0" w:line="240" w:lineRule="auto"/>
        <w:jc w:val="both"/>
        <w:rPr>
          <w:rFonts w:ascii="Times New Roman" w:hAnsi="Times New Roman"/>
          <w:color w:val="000000" w:themeColor="text1"/>
          <w:sz w:val="16"/>
          <w:szCs w:val="16"/>
        </w:rPr>
      </w:pPr>
    </w:p>
    <w:p w14:paraId="2FA7880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боевые свойства танка Т-70М перестали удовлетворять требованиям, предъявляемым к танку непосредственной поддержки пехоты из-за недостаточной броневой защиты, в КБ Горь</w:t>
      </w:r>
      <w:r w:rsidRPr="00722885">
        <w:rPr>
          <w:rFonts w:ascii="Times New Roman" w:hAnsi="Times New Roman"/>
          <w:color w:val="000000" w:themeColor="text1"/>
          <w:sz w:val="16"/>
          <w:szCs w:val="16"/>
        </w:rPr>
        <w:softHyphen/>
        <w:t>ковского автозавода под руководством Н.А. Астрова был разработан но</w:t>
      </w:r>
      <w:r w:rsidRPr="00722885">
        <w:rPr>
          <w:rFonts w:ascii="Times New Roman" w:hAnsi="Times New Roman"/>
          <w:color w:val="000000" w:themeColor="text1"/>
          <w:sz w:val="16"/>
          <w:szCs w:val="16"/>
        </w:rPr>
        <w:softHyphen/>
        <w:t>вый легкий танк Т-80 с усиленной броневой защитой и экипажем из трех человек. По требованию командующего Калининским фронтом генерал-лей</w:t>
      </w:r>
      <w:r w:rsidRPr="00722885">
        <w:rPr>
          <w:rFonts w:ascii="Times New Roman" w:hAnsi="Times New Roman"/>
          <w:color w:val="000000" w:themeColor="text1"/>
          <w:sz w:val="16"/>
          <w:szCs w:val="16"/>
        </w:rPr>
        <w:softHyphen/>
        <w:t>тенанта И.С. Конева в конструкцию танка были введены изменения, позволившие вести стрельбу из пушки по верхним этажам зданий при ведении боя в условиях города. В связи с возросшей боевой массой тан</w:t>
      </w:r>
      <w:r w:rsidRPr="00722885">
        <w:rPr>
          <w:rFonts w:ascii="Times New Roman" w:hAnsi="Times New Roman"/>
          <w:color w:val="000000" w:themeColor="text1"/>
          <w:sz w:val="16"/>
          <w:szCs w:val="16"/>
        </w:rPr>
        <w:softHyphen/>
        <w:t>ку был необходим более мощный двигатель, освоение производства ко</w:t>
      </w:r>
      <w:r w:rsidRPr="00722885">
        <w:rPr>
          <w:rFonts w:ascii="Times New Roman" w:hAnsi="Times New Roman"/>
          <w:color w:val="000000" w:themeColor="text1"/>
          <w:sz w:val="16"/>
          <w:szCs w:val="16"/>
        </w:rPr>
        <w:softHyphen/>
        <w:t>торого затягивалось. Поэтому из-за неналаженности производства фор</w:t>
      </w:r>
      <w:r w:rsidRPr="00722885">
        <w:rPr>
          <w:rFonts w:ascii="Times New Roman" w:hAnsi="Times New Roman"/>
          <w:color w:val="000000" w:themeColor="text1"/>
          <w:sz w:val="16"/>
          <w:szCs w:val="16"/>
        </w:rPr>
        <w:softHyphen/>
        <w:t>сированных двигателей, а также недостаточной мощности его вооруже</w:t>
      </w:r>
      <w:r w:rsidRPr="00722885">
        <w:rPr>
          <w:rFonts w:ascii="Times New Roman" w:hAnsi="Times New Roman"/>
          <w:color w:val="000000" w:themeColor="text1"/>
          <w:sz w:val="16"/>
          <w:szCs w:val="16"/>
        </w:rPr>
        <w:softHyphen/>
        <w:t>ния и броневой защиты, выпуск танков Т-80 и Т-70М в конце 1943 г. был прекращен, а вместо них Горьковский автозавод и завод № 40 в г. Мытищи со второго полугодия 1943 г. перешли на производство легких самоходно-артиллерийских установок СУ-76М, созданных на базе уз</w:t>
      </w:r>
      <w:r w:rsidRPr="00722885">
        <w:rPr>
          <w:rFonts w:ascii="Times New Roman" w:hAnsi="Times New Roman"/>
          <w:color w:val="000000" w:themeColor="text1"/>
          <w:sz w:val="16"/>
          <w:szCs w:val="16"/>
        </w:rPr>
        <w:softHyphen/>
        <w:t>лов и агрегатов танка Т-70 (10703).</w:t>
      </w:r>
    </w:p>
    <w:p w14:paraId="491A413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F43EE0A" w14:textId="77777777" w:rsidR="00E3119F" w:rsidRPr="00722885" w:rsidRDefault="00E3119F"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боевые свойства танка Т-70М перестали удовлетворять требованиям, предъявляемым к танку непосредственной поддержки пехоты из-за недостаточной броневой защиты, в КБ Горьковского автозавода под руководством Н.А. Астрова был разработан новый легкий танк Т-80 с усиленной броневой защитой и экипажем из трех человек. Опытный образец машины в декабре 1942 года прошел полигонные испытания. По предложению командующего Калининским фронтом генерал-лейтенанта И.С. Конева в конструкцию танка были введены изменения, позволяющие вести стрельбу из пушки по верхним этажам зданий при ведении боя в условиях города. Углы вертикальной наводки спаренной установки составляли от -8º до +65º. В связи с возросшей боевой массой танку был необходим более мощный двигатель, освоение которого затягивалось. Поэтому из-за неналаженности производства форсированных двигателей, а также недостаточной мощности его вооружения и броневой защиты после выпуска 75 танков Т-80 в конце 1943 года производство их было прекращено, а вместо них Горьковский автозавод и завод №40 в Мытищах со второго полугодия 1943 года перешли на производство легких самоходно-артиллерийских установок СУ-76М, созданных на базе узлов и агрегатов танка Т-70. Работы по совершенствованию Т-70 велись на заводах №37 и ГАЗе. Так, в первой половине 1942 года в КБ завода №37 под руководством Н.А. Попова был разработан танк Т-70 с 37-мм пушкой Ш-37 (15218).</w:t>
      </w:r>
    </w:p>
    <w:p w14:paraId="3C0FA510" w14:textId="77777777" w:rsidR="00E3119F" w:rsidRPr="00722885" w:rsidRDefault="00E3119F" w:rsidP="00722885">
      <w:pPr>
        <w:widowControl w:val="0"/>
        <w:spacing w:after="0" w:line="240" w:lineRule="auto"/>
        <w:jc w:val="both"/>
        <w:rPr>
          <w:rFonts w:ascii="Times New Roman" w:hAnsi="Times New Roman"/>
          <w:color w:val="000000" w:themeColor="text1"/>
          <w:sz w:val="16"/>
          <w:szCs w:val="16"/>
        </w:rPr>
      </w:pPr>
    </w:p>
    <w:p w14:paraId="3F3C2FD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w:t>
      </w:r>
      <w:r w:rsidRPr="00722885">
        <w:rPr>
          <w:rFonts w:ascii="Times New Roman" w:hAnsi="Times New Roman"/>
          <w:color w:val="000000" w:themeColor="text1"/>
          <w:sz w:val="16"/>
          <w:szCs w:val="16"/>
        </w:rPr>
        <w:softHyphen/>
        <w:t>це 1942 года для противовоздушной обороны танковых соединений и штабов войск были разработаны и изготовлены опытные образцы зенит</w:t>
      </w:r>
      <w:r w:rsidRPr="00722885">
        <w:rPr>
          <w:rFonts w:ascii="Times New Roman" w:hAnsi="Times New Roman"/>
          <w:color w:val="000000" w:themeColor="text1"/>
          <w:sz w:val="16"/>
          <w:szCs w:val="16"/>
        </w:rPr>
        <w:softHyphen/>
        <w:t>ных танков Т-60-3, Т-70 (зенитный) и Т-90, вооруженные спаренной уста</w:t>
      </w:r>
      <w:r w:rsidRPr="00722885">
        <w:rPr>
          <w:rFonts w:ascii="Times New Roman" w:hAnsi="Times New Roman"/>
          <w:color w:val="000000" w:themeColor="text1"/>
          <w:sz w:val="16"/>
          <w:szCs w:val="16"/>
        </w:rPr>
        <w:softHyphen/>
        <w:t>новкой 12,7-мм пулеметов ДШК. Кроме того, на базе танка Т-60 Горьковским автозаводом был разработан и изготовлен опытный образец танка Т-95 с другим вариантом установки аналогичного вооружения и прице</w:t>
      </w:r>
      <w:r w:rsidRPr="00722885">
        <w:rPr>
          <w:rFonts w:ascii="Times New Roman" w:hAnsi="Times New Roman"/>
          <w:color w:val="000000" w:themeColor="text1"/>
          <w:sz w:val="16"/>
          <w:szCs w:val="16"/>
        </w:rPr>
        <w:softHyphen/>
        <w:t>лов, но по ряду причин эта машина не была запущена в производство (10703).</w:t>
      </w:r>
    </w:p>
    <w:p w14:paraId="0303A9C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легких танков в годы Великой Отечественной войны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66"/>
        <w:gridCol w:w="2918"/>
        <w:gridCol w:w="1526"/>
        <w:gridCol w:w="1507"/>
        <w:gridCol w:w="1517"/>
        <w:gridCol w:w="1526"/>
      </w:tblGrid>
      <w:tr w:rsidR="009B487A" w:rsidRPr="00722885" w14:paraId="05E88BD5" w14:textId="77777777" w:rsidTr="00CC5360">
        <w:trPr>
          <w:trHeight w:val="499"/>
        </w:trPr>
        <w:tc>
          <w:tcPr>
            <w:tcW w:w="1766" w:type="dxa"/>
            <w:tcBorders>
              <w:top w:val="single" w:sz="12" w:space="0" w:color="auto"/>
            </w:tcBorders>
          </w:tcPr>
          <w:p w14:paraId="3E947E3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Марка танка</w:t>
            </w:r>
          </w:p>
        </w:tc>
        <w:tc>
          <w:tcPr>
            <w:tcW w:w="2918" w:type="dxa"/>
            <w:tcBorders>
              <w:top w:val="single" w:sz="12" w:space="0" w:color="auto"/>
            </w:tcBorders>
          </w:tcPr>
          <w:p w14:paraId="61BA34A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Завод-изготовитель</w:t>
            </w:r>
          </w:p>
        </w:tc>
        <w:tc>
          <w:tcPr>
            <w:tcW w:w="1526" w:type="dxa"/>
            <w:tcBorders>
              <w:top w:val="single" w:sz="12" w:space="0" w:color="auto"/>
            </w:tcBorders>
          </w:tcPr>
          <w:p w14:paraId="3F820D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 г. 2-е полугодие</w:t>
            </w:r>
          </w:p>
        </w:tc>
        <w:tc>
          <w:tcPr>
            <w:tcW w:w="1507" w:type="dxa"/>
            <w:tcBorders>
              <w:top w:val="single" w:sz="12" w:space="0" w:color="auto"/>
            </w:tcBorders>
          </w:tcPr>
          <w:p w14:paraId="7B5F3B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 г.</w:t>
            </w:r>
          </w:p>
        </w:tc>
        <w:tc>
          <w:tcPr>
            <w:tcW w:w="1517" w:type="dxa"/>
            <w:tcBorders>
              <w:top w:val="single" w:sz="12" w:space="0" w:color="auto"/>
            </w:tcBorders>
          </w:tcPr>
          <w:p w14:paraId="0F8B334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 г.</w:t>
            </w:r>
          </w:p>
        </w:tc>
        <w:tc>
          <w:tcPr>
            <w:tcW w:w="1526" w:type="dxa"/>
            <w:tcBorders>
              <w:top w:val="single" w:sz="12" w:space="0" w:color="auto"/>
            </w:tcBorders>
          </w:tcPr>
          <w:p w14:paraId="6A3B744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r>
      <w:tr w:rsidR="009B487A" w:rsidRPr="00722885" w14:paraId="761336A4" w14:textId="77777777" w:rsidTr="00CC5360">
        <w:trPr>
          <w:trHeight w:val="365"/>
        </w:trPr>
        <w:tc>
          <w:tcPr>
            <w:tcW w:w="1766" w:type="dxa"/>
          </w:tcPr>
          <w:p w14:paraId="45491B2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Т-26 Т-50</w:t>
            </w:r>
          </w:p>
        </w:tc>
        <w:tc>
          <w:tcPr>
            <w:tcW w:w="2918" w:type="dxa"/>
          </w:tcPr>
          <w:p w14:paraId="20A3B0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№174</w:t>
            </w:r>
          </w:p>
          <w:p w14:paraId="42C5C8C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№174</w:t>
            </w:r>
          </w:p>
        </w:tc>
        <w:tc>
          <w:tcPr>
            <w:tcW w:w="1526" w:type="dxa"/>
          </w:tcPr>
          <w:p w14:paraId="38B3A19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116</w:t>
            </w:r>
          </w:p>
          <w:p w14:paraId="5E4A823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w:t>
            </w:r>
          </w:p>
        </w:tc>
        <w:tc>
          <w:tcPr>
            <w:tcW w:w="1507" w:type="dxa"/>
          </w:tcPr>
          <w:p w14:paraId="6B72041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014DD1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1517" w:type="dxa"/>
          </w:tcPr>
          <w:p w14:paraId="0B71E4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526" w:type="dxa"/>
          </w:tcPr>
          <w:p w14:paraId="2B4CE24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116</w:t>
            </w:r>
          </w:p>
          <w:p w14:paraId="3F9299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w:t>
            </w:r>
          </w:p>
        </w:tc>
      </w:tr>
      <w:tr w:rsidR="009B487A" w:rsidRPr="00722885" w14:paraId="056590A2" w14:textId="77777777" w:rsidTr="00CC5360">
        <w:trPr>
          <w:trHeight w:val="883"/>
        </w:trPr>
        <w:tc>
          <w:tcPr>
            <w:tcW w:w="1766" w:type="dxa"/>
          </w:tcPr>
          <w:p w14:paraId="5A241C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Т-60</w:t>
            </w:r>
          </w:p>
        </w:tc>
        <w:tc>
          <w:tcPr>
            <w:tcW w:w="2918" w:type="dxa"/>
          </w:tcPr>
          <w:p w14:paraId="36777B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Горьковский автозавод</w:t>
            </w:r>
          </w:p>
          <w:p w14:paraId="20C42D2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37 (Москва)</w:t>
            </w:r>
          </w:p>
          <w:p w14:paraId="2105C60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№37 (Свердловск)</w:t>
            </w:r>
          </w:p>
          <w:p w14:paraId="758ADA9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38 (Киров)</w:t>
            </w:r>
          </w:p>
          <w:p w14:paraId="6AF11A8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264 (Сарепта)</w:t>
            </w:r>
          </w:p>
        </w:tc>
        <w:tc>
          <w:tcPr>
            <w:tcW w:w="1526" w:type="dxa"/>
          </w:tcPr>
          <w:p w14:paraId="3E93FCD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1323</w:t>
            </w:r>
          </w:p>
          <w:p w14:paraId="4E56D24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p w14:paraId="73CE3E1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A30F70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w:t>
            </w:r>
          </w:p>
        </w:tc>
        <w:tc>
          <w:tcPr>
            <w:tcW w:w="1507" w:type="dxa"/>
          </w:tcPr>
          <w:p w14:paraId="5382DA4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1639</w:t>
            </w:r>
          </w:p>
          <w:p w14:paraId="5DFCE23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97EF4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1158</w:t>
            </w:r>
          </w:p>
          <w:p w14:paraId="266C414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539</w:t>
            </w:r>
          </w:p>
          <w:p w14:paraId="2210B2A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1141</w:t>
            </w:r>
          </w:p>
        </w:tc>
        <w:tc>
          <w:tcPr>
            <w:tcW w:w="1517" w:type="dxa"/>
          </w:tcPr>
          <w:p w14:paraId="75A1BE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903EFD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714776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w:t>
            </w:r>
          </w:p>
          <w:p w14:paraId="373566A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6B03CB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526" w:type="dxa"/>
          </w:tcPr>
          <w:p w14:paraId="0216BB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2962</w:t>
            </w:r>
          </w:p>
          <w:p w14:paraId="3D32A0C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p w14:paraId="5A4F87D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1213</w:t>
            </w:r>
          </w:p>
          <w:p w14:paraId="381AB91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539</w:t>
            </w:r>
          </w:p>
          <w:p w14:paraId="743A8DF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1186</w:t>
            </w:r>
          </w:p>
        </w:tc>
      </w:tr>
      <w:tr w:rsidR="009B487A" w:rsidRPr="00722885" w14:paraId="19ED981E" w14:textId="77777777" w:rsidTr="00CC5360">
        <w:trPr>
          <w:trHeight w:val="192"/>
        </w:trPr>
        <w:tc>
          <w:tcPr>
            <w:tcW w:w="4684" w:type="dxa"/>
            <w:gridSpan w:val="2"/>
          </w:tcPr>
          <w:p w14:paraId="246A3E0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танков Т-60</w:t>
            </w:r>
          </w:p>
        </w:tc>
        <w:tc>
          <w:tcPr>
            <w:tcW w:w="1526" w:type="dxa"/>
          </w:tcPr>
          <w:p w14:paraId="1ADADF6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1388</w:t>
            </w:r>
          </w:p>
        </w:tc>
        <w:tc>
          <w:tcPr>
            <w:tcW w:w="1507" w:type="dxa"/>
          </w:tcPr>
          <w:p w14:paraId="59B916C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4477</w:t>
            </w:r>
          </w:p>
        </w:tc>
        <w:tc>
          <w:tcPr>
            <w:tcW w:w="1517" w:type="dxa"/>
          </w:tcPr>
          <w:p w14:paraId="2CAAEDF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w:t>
            </w:r>
          </w:p>
        </w:tc>
        <w:tc>
          <w:tcPr>
            <w:tcW w:w="1526" w:type="dxa"/>
          </w:tcPr>
          <w:p w14:paraId="3478D0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5920</w:t>
            </w:r>
          </w:p>
        </w:tc>
      </w:tr>
      <w:tr w:rsidR="009B487A" w:rsidRPr="00722885" w14:paraId="288A6F40" w14:textId="77777777" w:rsidTr="00CC5360">
        <w:trPr>
          <w:trHeight w:val="595"/>
        </w:trPr>
        <w:tc>
          <w:tcPr>
            <w:tcW w:w="1766" w:type="dxa"/>
          </w:tcPr>
          <w:p w14:paraId="4AF1711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Т-70.Т-70М</w:t>
            </w:r>
          </w:p>
        </w:tc>
        <w:tc>
          <w:tcPr>
            <w:tcW w:w="2918" w:type="dxa"/>
          </w:tcPr>
          <w:p w14:paraId="2B8D6AE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Горьковский автозавод</w:t>
            </w:r>
          </w:p>
          <w:p w14:paraId="6B4B2C6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37 (Свердловск)</w:t>
            </w:r>
          </w:p>
          <w:p w14:paraId="3DF381B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38 (Киров)</w:t>
            </w:r>
          </w:p>
        </w:tc>
        <w:tc>
          <w:tcPr>
            <w:tcW w:w="1526" w:type="dxa"/>
          </w:tcPr>
          <w:p w14:paraId="41C47E6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507" w:type="dxa"/>
          </w:tcPr>
          <w:p w14:paraId="2A3335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3495</w:t>
            </w:r>
          </w:p>
          <w:p w14:paraId="098CCD4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p w14:paraId="79ACF2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1378</w:t>
            </w:r>
          </w:p>
        </w:tc>
        <w:tc>
          <w:tcPr>
            <w:tcW w:w="1517" w:type="dxa"/>
          </w:tcPr>
          <w:p w14:paraId="7AEA235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3348</w:t>
            </w:r>
          </w:p>
        </w:tc>
        <w:tc>
          <w:tcPr>
            <w:tcW w:w="1526" w:type="dxa"/>
          </w:tcPr>
          <w:p w14:paraId="035AAE3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6843</w:t>
            </w:r>
          </w:p>
          <w:p w14:paraId="48DAB70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p w14:paraId="09AC0D6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1378</w:t>
            </w:r>
          </w:p>
        </w:tc>
      </w:tr>
      <w:tr w:rsidR="009B487A" w:rsidRPr="00722885" w14:paraId="0A7D31A6" w14:textId="77777777" w:rsidTr="00CC5360">
        <w:trPr>
          <w:trHeight w:val="192"/>
        </w:trPr>
        <w:tc>
          <w:tcPr>
            <w:tcW w:w="4684" w:type="dxa"/>
            <w:gridSpan w:val="2"/>
          </w:tcPr>
          <w:p w14:paraId="61DAAD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танков Т-70, Т-70М</w:t>
            </w:r>
          </w:p>
        </w:tc>
        <w:tc>
          <w:tcPr>
            <w:tcW w:w="1526" w:type="dxa"/>
          </w:tcPr>
          <w:p w14:paraId="1D3A7F3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507" w:type="dxa"/>
          </w:tcPr>
          <w:p w14:paraId="682F290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4883</w:t>
            </w:r>
          </w:p>
        </w:tc>
        <w:tc>
          <w:tcPr>
            <w:tcW w:w="1517" w:type="dxa"/>
          </w:tcPr>
          <w:p w14:paraId="74471A9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3348</w:t>
            </w:r>
          </w:p>
        </w:tc>
        <w:tc>
          <w:tcPr>
            <w:tcW w:w="1526" w:type="dxa"/>
          </w:tcPr>
          <w:p w14:paraId="66D4BDA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8231</w:t>
            </w:r>
          </w:p>
        </w:tc>
      </w:tr>
      <w:tr w:rsidR="009B487A" w:rsidRPr="00722885" w14:paraId="5C95F5EF" w14:textId="77777777" w:rsidTr="00CC5360">
        <w:trPr>
          <w:trHeight w:val="365"/>
        </w:trPr>
        <w:tc>
          <w:tcPr>
            <w:tcW w:w="1766" w:type="dxa"/>
          </w:tcPr>
          <w:p w14:paraId="7FE66FB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Т-80</w:t>
            </w:r>
          </w:p>
        </w:tc>
        <w:tc>
          <w:tcPr>
            <w:tcW w:w="2918" w:type="dxa"/>
          </w:tcPr>
          <w:p w14:paraId="4657B09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Горьковский автозавод</w:t>
            </w:r>
          </w:p>
          <w:p w14:paraId="2D1E823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40 (Мытищи)</w:t>
            </w:r>
          </w:p>
        </w:tc>
        <w:tc>
          <w:tcPr>
            <w:tcW w:w="1526" w:type="dxa"/>
          </w:tcPr>
          <w:p w14:paraId="067697B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507" w:type="dxa"/>
          </w:tcPr>
          <w:p w14:paraId="0EA79E4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517" w:type="dxa"/>
          </w:tcPr>
          <w:p w14:paraId="4F70C0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p w14:paraId="339F31E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w:t>
            </w:r>
          </w:p>
        </w:tc>
        <w:tc>
          <w:tcPr>
            <w:tcW w:w="1526" w:type="dxa"/>
          </w:tcPr>
          <w:p w14:paraId="7D49846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p w14:paraId="0869C42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w:t>
            </w:r>
          </w:p>
        </w:tc>
      </w:tr>
      <w:tr w:rsidR="009B487A" w:rsidRPr="00722885" w14:paraId="3B652B50" w14:textId="77777777" w:rsidTr="00CC5360">
        <w:trPr>
          <w:trHeight w:val="192"/>
        </w:trPr>
        <w:tc>
          <w:tcPr>
            <w:tcW w:w="4684" w:type="dxa"/>
            <w:gridSpan w:val="2"/>
          </w:tcPr>
          <w:p w14:paraId="0008CA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танков Т-80</w:t>
            </w:r>
          </w:p>
        </w:tc>
        <w:tc>
          <w:tcPr>
            <w:tcW w:w="1526" w:type="dxa"/>
          </w:tcPr>
          <w:p w14:paraId="6C5754C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507" w:type="dxa"/>
          </w:tcPr>
          <w:p w14:paraId="6D5B7FF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1517" w:type="dxa"/>
          </w:tcPr>
          <w:p w14:paraId="6A4977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w:t>
            </w:r>
          </w:p>
        </w:tc>
        <w:tc>
          <w:tcPr>
            <w:tcW w:w="1526" w:type="dxa"/>
          </w:tcPr>
          <w:p w14:paraId="1F87E4E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w:t>
            </w:r>
          </w:p>
        </w:tc>
      </w:tr>
      <w:tr w:rsidR="009B487A" w:rsidRPr="00722885" w14:paraId="0BF60B51" w14:textId="77777777" w:rsidTr="00CC5360">
        <w:trPr>
          <w:trHeight w:val="221"/>
        </w:trPr>
        <w:tc>
          <w:tcPr>
            <w:tcW w:w="4684" w:type="dxa"/>
            <w:gridSpan w:val="2"/>
            <w:tcBorders>
              <w:bottom w:val="single" w:sz="12" w:space="0" w:color="auto"/>
            </w:tcBorders>
          </w:tcPr>
          <w:p w14:paraId="333B7B2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легких танков</w:t>
            </w:r>
          </w:p>
        </w:tc>
        <w:tc>
          <w:tcPr>
            <w:tcW w:w="1526" w:type="dxa"/>
            <w:tcBorders>
              <w:bottom w:val="single" w:sz="12" w:space="0" w:color="auto"/>
            </w:tcBorders>
          </w:tcPr>
          <w:p w14:paraId="0BF0278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1564</w:t>
            </w:r>
          </w:p>
        </w:tc>
        <w:tc>
          <w:tcPr>
            <w:tcW w:w="1507" w:type="dxa"/>
            <w:tcBorders>
              <w:bottom w:val="single" w:sz="12" w:space="0" w:color="auto"/>
            </w:tcBorders>
          </w:tcPr>
          <w:p w14:paraId="17299E9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9375</w:t>
            </w:r>
          </w:p>
        </w:tc>
        <w:tc>
          <w:tcPr>
            <w:tcW w:w="1517" w:type="dxa"/>
            <w:tcBorders>
              <w:bottom w:val="single" w:sz="12" w:space="0" w:color="auto"/>
            </w:tcBorders>
          </w:tcPr>
          <w:p w14:paraId="32B5EF4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3478</w:t>
            </w:r>
          </w:p>
        </w:tc>
        <w:tc>
          <w:tcPr>
            <w:tcW w:w="1526" w:type="dxa"/>
            <w:tcBorders>
              <w:bottom w:val="single" w:sz="12" w:space="0" w:color="auto"/>
            </w:tcBorders>
          </w:tcPr>
          <w:p w14:paraId="08AA65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14417</w:t>
            </w:r>
          </w:p>
        </w:tc>
      </w:tr>
    </w:tbl>
    <w:p w14:paraId="791CC69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(10703).</w:t>
      </w:r>
    </w:p>
    <w:p w14:paraId="5FFC6AF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1A0A8B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самом конце 1942 года на ГАЗе по собственной инициативе был построен танк "063" или Т-60-3 (цифра "3" означает третью модификацию, также в литературе встречается обозначение Т-90) со спаренной установкой двух зенитных пулеметов ДШК в открытой башне увеличенных размеров. Поскольку на заводе не смогли выполнить зубчатый венец погона башни с нужной для зенитной стрельбы точностью, танк на вооружение не приняли, хотя необходимость в подобном изделии оставалась очень острой и для него можно было бы использовать часть освободившегося парка танков Т-60. К тому же с развертыванием контрнаступлений в 1943 году он мог принести ощутимую пользу в уличных боях (3862).</w:t>
      </w:r>
    </w:p>
    <w:p w14:paraId="3B74B77D" w14:textId="77777777" w:rsidR="00BB6316" w:rsidRPr="00722885" w:rsidRDefault="00BB6316" w:rsidP="00722885">
      <w:pPr>
        <w:pStyle w:val="Iauiue"/>
        <w:jc w:val="both"/>
        <w:rPr>
          <w:color w:val="000000" w:themeColor="text1"/>
          <w:sz w:val="16"/>
          <w:szCs w:val="16"/>
        </w:rPr>
      </w:pPr>
    </w:p>
    <w:p w14:paraId="07B015F3" w14:textId="77777777" w:rsidR="006A0985" w:rsidRPr="00722885" w:rsidRDefault="006A0985"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 конце 1942 года, то есть как раз в то время, когда Гроте работал над своим P.1000, похожую идею вынашивал инженер завода №2 (ныне Магаданский механический завод) Харламов. Результатом стал проект целого семейства сверхтяжёлых боевых машин, которые изобретатель назвал просто и незатейливо — «сухопутный флот». При этом автор не просто предлагал боевые машины, но и обосновывал их применение:</w:t>
      </w:r>
    </w:p>
    <w:p w14:paraId="0946AF19"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«Предлагаю создать с немедлительным началом работ сухопутный флот, построенный на основе морских форм и морских тактических приёмов, перенесённых на сушу в следующем качественном составе:</w:t>
      </w:r>
    </w:p>
    <w:p w14:paraId="77B7FED0"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а) </w:t>
      </w:r>
      <w:r w:rsidRPr="00722885">
        <w:rPr>
          <w:iCs/>
          <w:color w:val="000000" w:themeColor="text1"/>
          <w:sz w:val="16"/>
          <w:szCs w:val="16"/>
          <w:u w:val="single"/>
          <w:bdr w:val="none" w:sz="0" w:space="0" w:color="auto" w:frame="1"/>
        </w:rPr>
        <w:t>Боевых сухопутных кораблей</w:t>
      </w:r>
      <w:r w:rsidRPr="00722885">
        <w:rPr>
          <w:iCs/>
          <w:color w:val="000000" w:themeColor="text1"/>
          <w:sz w:val="16"/>
          <w:szCs w:val="16"/>
          <w:bdr w:val="none" w:sz="0" w:space="0" w:color="auto" w:frame="1"/>
        </w:rPr>
        <w:t>, для прорыва в глубокие тылы через любые части неприятельского фронта и уничтожения его резервов и главных центров (120) — 90 штук</w:t>
      </w:r>
    </w:p>
    <w:p w14:paraId="68B75C42"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б) </w:t>
      </w:r>
      <w:r w:rsidRPr="00722885">
        <w:rPr>
          <w:iCs/>
          <w:color w:val="000000" w:themeColor="text1"/>
          <w:sz w:val="16"/>
          <w:szCs w:val="16"/>
          <w:u w:val="single"/>
          <w:bdr w:val="none" w:sz="0" w:space="0" w:color="auto" w:frame="1"/>
        </w:rPr>
        <w:t>Спасательных сухкоров</w:t>
      </w:r>
      <w:r w:rsidRPr="00722885">
        <w:rPr>
          <w:iCs/>
          <w:color w:val="000000" w:themeColor="text1"/>
          <w:sz w:val="16"/>
          <w:szCs w:val="16"/>
          <w:bdr w:val="none" w:sz="0" w:space="0" w:color="auto" w:frame="1"/>
        </w:rPr>
        <w:t> — для захвата линий коммуникаций и зон в тылу противника через прорывы — брони, пробитые боевыми сухкорами (960) — 270 штук</w:t>
      </w:r>
    </w:p>
    <w:p w14:paraId="5D5B42FD"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в) </w:t>
      </w:r>
      <w:r w:rsidRPr="00722885">
        <w:rPr>
          <w:iCs/>
          <w:color w:val="000000" w:themeColor="text1"/>
          <w:sz w:val="16"/>
          <w:szCs w:val="16"/>
          <w:u w:val="single"/>
          <w:bdr w:val="none" w:sz="0" w:space="0" w:color="auto" w:frame="1"/>
        </w:rPr>
        <w:t>Поражающих сухкоров</w:t>
      </w:r>
      <w:r w:rsidRPr="00722885">
        <w:rPr>
          <w:iCs/>
          <w:color w:val="000000" w:themeColor="text1"/>
          <w:sz w:val="16"/>
          <w:szCs w:val="16"/>
          <w:bdr w:val="none" w:sz="0" w:space="0" w:color="auto" w:frame="1"/>
        </w:rPr>
        <w:t> — для уничтожения опорных сильнейших пунктов и баз противника, как по линии фронта, так и в любом тылу (120) — 40 штук</w:t>
      </w:r>
    </w:p>
    <w:p w14:paraId="1125DD26"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г) </w:t>
      </w:r>
      <w:r w:rsidRPr="00722885">
        <w:rPr>
          <w:iCs/>
          <w:color w:val="000000" w:themeColor="text1"/>
          <w:sz w:val="16"/>
          <w:szCs w:val="16"/>
          <w:u w:val="single"/>
          <w:bdr w:val="none" w:sz="0" w:space="0" w:color="auto" w:frame="1"/>
        </w:rPr>
        <w:t>Снабжающих сухкоров</w:t>
      </w:r>
      <w:r w:rsidRPr="00722885">
        <w:rPr>
          <w:iCs/>
          <w:color w:val="000000" w:themeColor="text1"/>
          <w:sz w:val="16"/>
          <w:szCs w:val="16"/>
          <w:bdr w:val="none" w:sz="0" w:space="0" w:color="auto" w:frame="1"/>
        </w:rPr>
        <w:t> для снабжения частей операционных сухкоров.</w:t>
      </w:r>
    </w:p>
    <w:p w14:paraId="74A1AA3B"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 xml:space="preserve">Васухокоры являются танками исключительного размера для несения необходимой мощи артиллерии брони и груза (десанта или снабжения) максимально реальной </w:t>
      </w:r>
      <w:r w:rsidRPr="00722885">
        <w:rPr>
          <w:iCs/>
          <w:color w:val="000000" w:themeColor="text1"/>
          <w:sz w:val="16"/>
          <w:szCs w:val="16"/>
          <w:bdr w:val="none" w:sz="0" w:space="0" w:color="auto" w:frame="1"/>
        </w:rPr>
        <w:lastRenderedPageBreak/>
        <w:t>оперативности в условиях действия в пределах Азиатских и Ср. Европейских равнин согласно предварительных схематических эскизов и схем прилагаемых с их характеристиками.</w:t>
      </w:r>
    </w:p>
    <w:p w14:paraId="790C98CF"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Настоящие боевые средства предлагаются мною как следствие разработанной мною военной доктрины СССР, как нового типа государства в условиях его географического положения в эпоху мировых социальных войн и революций; сущность которой истекает из положения: война — есть продолжение политики только иными средствами (Клаузевиц, Ленин, Сталин)».</w:t>
      </w:r>
    </w:p>
    <w:p w14:paraId="734F354E" w14:textId="77777777" w:rsidR="006A0985" w:rsidRPr="00722885" w:rsidRDefault="006A0985"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Главной ударной силой «сухопутного флота» Харламов представлял боевую машину длиной 36, шириной 18 и высотой 16 м. Удивительно, но по габаритам конструкция оказалась очень схожей с немецким P.1000. На этом сходство не заканчивалось: по проекту «боевой сухопутный корабль» оснащался орудийными башнями по типу корабельных. Главный калибр был скромнее, чем у творения Гроте: согласно описанию, в башне главного калибра размещалось четыре 203-мм морских орудия. Перед башней главного калибра находилась башня со счетверённой установкой 130-мм морских орудий Б-13. Ещё две такие башни находились по бортам, ближе к корме. По центру корпуса, выполненного по типу корабельного, находилась рубка, сверху которой располагалась площадка для зенитных автоматов. Удивительно, но на эскизе явственно читается установка четырёх Flakvierling 38. Кстати, эти счетверённые 20-мм зенитные автоматы действительно ставились на корабли, но на немецкие. Кроме того, по бортам корпуса находились казематные установки, в каждой из которых размещалось по паре 76-мм орудий.</w:t>
      </w:r>
    </w:p>
    <w:p w14:paraId="40BCF822" w14:textId="77777777" w:rsidR="006A0985" w:rsidRPr="00722885" w:rsidRDefault="006A0985"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Судя по схеме, помимо наступательного вооружения, «сухопутный боевой корабль» мог оснащаться тралом каткового типа. Боевая масса «сухкора» оценивалась в 2800 т, а максимальная скорость — до 110-120 км/ч. Помимо боевого корабля, в пояснительной записке нашлось место эскизному проекту транспортного «сухкора». Длина транспортной машины достигала 51 м, ширина — 20 м, высота — 11 м. Полная масса оценивалась в 3200 т, из них 500 т приходилась на груз. Максимальная скорость оценивалась в 60-65 км/ч. Транспортные функции отнюдь не означали, что машина будет невооружённой. На неё ставились две четырёхорудийные башни со 130-мм пушками (такие же, как малые башни боевого «сухкора»). Кроме того, аналогично боевой версии, по бортам стояло шесть двухорудийных 76-мм казематных установок.</w:t>
      </w:r>
    </w:p>
    <w:p w14:paraId="2C880180" w14:textId="77777777" w:rsidR="006A0985" w:rsidRPr="00722885" w:rsidRDefault="006A0985" w:rsidP="00722885">
      <w:pPr>
        <w:spacing w:after="0" w:line="240" w:lineRule="auto"/>
        <w:jc w:val="both"/>
        <w:rPr>
          <w:rFonts w:ascii="Times New Roman" w:hAnsi="Times New Roman"/>
          <w:color w:val="000000" w:themeColor="text1"/>
          <w:sz w:val="16"/>
          <w:szCs w:val="16"/>
          <w:shd w:val="clear" w:color="auto" w:fill="FFFFFF"/>
        </w:rPr>
      </w:pPr>
      <w:r w:rsidRPr="00722885">
        <w:rPr>
          <w:rFonts w:ascii="Times New Roman" w:hAnsi="Times New Roman"/>
          <w:color w:val="000000" w:themeColor="text1"/>
          <w:sz w:val="16"/>
          <w:szCs w:val="16"/>
          <w:shd w:val="clear" w:color="auto" w:fill="FFFFFF"/>
        </w:rPr>
        <w:t>Второй раз Харламов отправил письмо 23 марта 1943 года, адресатом выступал заместитель Наркома внутренних дел В.В. Чернышёв (19738).</w:t>
      </w:r>
    </w:p>
    <w:p w14:paraId="78AE5A79" w14:textId="77777777" w:rsidR="006A0985" w:rsidRPr="00722885" w:rsidRDefault="006A0985" w:rsidP="00722885">
      <w:pPr>
        <w:spacing w:after="0" w:line="240" w:lineRule="auto"/>
        <w:jc w:val="both"/>
        <w:rPr>
          <w:rFonts w:ascii="Times New Roman" w:hAnsi="Times New Roman"/>
          <w:color w:val="000000" w:themeColor="text1"/>
          <w:sz w:val="16"/>
          <w:szCs w:val="16"/>
          <w:shd w:val="clear" w:color="auto" w:fill="FFFFFF"/>
        </w:rPr>
      </w:pPr>
    </w:p>
    <w:p w14:paraId="53D1BF0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был разработан и изготовлен заво</w:t>
      </w:r>
      <w:r w:rsidRPr="00722885">
        <w:rPr>
          <w:rFonts w:ascii="Times New Roman" w:hAnsi="Times New Roman"/>
          <w:color w:val="000000" w:themeColor="text1"/>
          <w:sz w:val="16"/>
          <w:szCs w:val="16"/>
        </w:rPr>
        <w:softHyphen/>
        <w:t>дом № 592 первый опытный образец самоходной установки, вооруженной 122-мм гаубицей М-30 обр. 1938 г. Базовой машиной при создании самоходной установки послужила трофейная немецкая самоходная установка "Арт</w:t>
      </w:r>
      <w:r w:rsidRPr="00722885">
        <w:rPr>
          <w:rFonts w:ascii="Times New Roman" w:hAnsi="Times New Roman"/>
          <w:color w:val="000000" w:themeColor="text1"/>
          <w:sz w:val="16"/>
          <w:szCs w:val="16"/>
        </w:rPr>
        <w:softHyphen/>
        <w:t>штурм". Эта самоходная установка получила наименование СГ-122. В дальнейшем установка СГ-122 выпускалась также на базе трофейных танков Т-Ш (10703).</w:t>
      </w:r>
    </w:p>
    <w:p w14:paraId="309A5F1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C208EF5" w14:textId="77777777" w:rsidR="00FA4DEF" w:rsidRPr="00722885" w:rsidRDefault="00FA4DEF" w:rsidP="00722885">
      <w:pPr>
        <w:pStyle w:val="ae"/>
        <w:shd w:val="clear" w:color="auto" w:fill="FFFFFF"/>
        <w:spacing w:before="0" w:after="0"/>
        <w:jc w:val="both"/>
        <w:rPr>
          <w:color w:val="0070C0"/>
          <w:sz w:val="16"/>
          <w:szCs w:val="16"/>
        </w:rPr>
      </w:pPr>
      <w:r w:rsidRPr="00722885">
        <w:rPr>
          <w:color w:val="0070C0"/>
          <w:sz w:val="16"/>
          <w:szCs w:val="16"/>
        </w:rPr>
        <w:t>В конце 1942 года в Цехе термической обработки №310 Уральского танкового завода были изготовлены цементованные броневые детали для первого советского реактивного самолета БИ-1, планеры для которых собирались заводом №381 (22673).</w:t>
      </w:r>
    </w:p>
    <w:p w14:paraId="08194F28" w14:textId="77777777" w:rsidR="00FA4DEF" w:rsidRPr="00722885" w:rsidRDefault="00FA4DEF" w:rsidP="00722885">
      <w:pPr>
        <w:pStyle w:val="ae"/>
        <w:shd w:val="clear" w:color="auto" w:fill="FFFFFF"/>
        <w:spacing w:before="0" w:after="0"/>
        <w:jc w:val="both"/>
        <w:rPr>
          <w:color w:val="0070C0"/>
          <w:sz w:val="16"/>
          <w:szCs w:val="16"/>
        </w:rPr>
      </w:pPr>
    </w:p>
    <w:p w14:paraId="4DFE78A3" w14:textId="77777777" w:rsidR="00FA4DEF" w:rsidRPr="00722885" w:rsidRDefault="00FA4DE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конце 1942 года КБ опытного завода №200 получило задание на разработку аналогичной САУ. Проект получил индекс КВ-14, а чертежная документация – номер "236" (с лета 1943 года тема стала называться "Объект 236"). Также в переписке начала 1943 года изредка фигурирует индекс "СУ-14". Ведущим инженером машины был Л.С. Троянов, у которого имелся богатый опыт создания САУ, в том числе и тяжелых. В итоге его КВ-14 оказался той машиной, которую и утвердили (20289).</w:t>
      </w:r>
    </w:p>
    <w:p w14:paraId="3666ED84" w14:textId="77777777" w:rsidR="00FA4DEF" w:rsidRPr="00722885" w:rsidRDefault="00FA4DEF"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25B2B4CD" w14:textId="77777777" w:rsidR="00FA4DEF" w:rsidRPr="00722885" w:rsidRDefault="00FA4DEF" w:rsidP="00722885">
      <w:pPr>
        <w:shd w:val="clear" w:color="auto" w:fill="FFFFFF"/>
        <w:spacing w:after="0" w:line="240" w:lineRule="auto"/>
        <w:jc w:val="both"/>
        <w:rPr>
          <w:rFonts w:ascii="Times New Roman" w:eastAsia="Times New Roman" w:hAnsi="Times New Roman"/>
          <w:color w:val="0070C0"/>
          <w:sz w:val="16"/>
          <w:szCs w:val="16"/>
          <w:lang w:eastAsia="ru-RU"/>
        </w:rPr>
      </w:pPr>
      <w:r w:rsidRPr="00722885">
        <w:rPr>
          <w:rFonts w:ascii="Times New Roman" w:eastAsia="Times New Roman" w:hAnsi="Times New Roman"/>
          <w:color w:val="0070C0"/>
          <w:sz w:val="16"/>
          <w:szCs w:val="16"/>
          <w:lang w:eastAsia="ru-RU"/>
        </w:rPr>
        <w:t>В конце 1942 года основная часть коллектива КБ завода №92, под руководством В.Г. Грабина, оказалось в Центральном Артиллерийском КБ. Связи с заводом №92 оставались, но довольно специфичные. Так вот, ЦАКБ разработал свой вариант орудия, который получил обозначение С-37. От ЗИС-3 брались затвор, станины и ряд других деталей. Документация по С-37 поступила на завод №92 к 20 апреля 1943 года и вызвала недоумение. Дело в том, что при разработке системы С-37 в ЦАКБ не учли изменений и улучшений по ЗИС-3. В результате у орудия отсутствовала бронировка накатника, введенная в 1942 году. Имелись недочеты по орудийному щиту, а также в ночной подсветке прицела. В результате документацию по С-37 на заводе №92 забраковали и отправили обратно в ЦАКБ (21143).</w:t>
      </w:r>
    </w:p>
    <w:p w14:paraId="53CED9C3" w14:textId="77777777" w:rsidR="00FA4DEF" w:rsidRPr="00722885" w:rsidRDefault="00FA4DEF" w:rsidP="00722885">
      <w:pPr>
        <w:shd w:val="clear" w:color="auto" w:fill="FFFFFF"/>
        <w:spacing w:after="0" w:line="240" w:lineRule="auto"/>
        <w:jc w:val="both"/>
        <w:rPr>
          <w:rFonts w:ascii="Times New Roman" w:eastAsia="Times New Roman" w:hAnsi="Times New Roman"/>
          <w:color w:val="0070C0"/>
          <w:sz w:val="16"/>
          <w:szCs w:val="16"/>
          <w:lang w:eastAsia="ru-RU"/>
        </w:rPr>
      </w:pPr>
    </w:p>
    <w:p w14:paraId="2D3FA0C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ОГК НКТП совместно с НАТИ начали работу по проектированию артиллерийского трактора взамен СЗТ-НАТИ на шасси легкого танка Т-60/Т-70 и в конце 1943 появился гусеничный трактор Я-11/Я-13. Тогда же началось эскизное проектирование тягача для артиллерии РГКА взамен Ворошиловца(7382, 2).</w:t>
      </w:r>
    </w:p>
    <w:p w14:paraId="7D07791C" w14:textId="77777777" w:rsidR="00BB6316" w:rsidRPr="00722885" w:rsidRDefault="00BB6316" w:rsidP="00722885">
      <w:pPr>
        <w:pStyle w:val="Iauiue"/>
        <w:jc w:val="both"/>
        <w:rPr>
          <w:color w:val="000000" w:themeColor="text1"/>
          <w:sz w:val="16"/>
          <w:szCs w:val="16"/>
        </w:rPr>
      </w:pPr>
    </w:p>
    <w:p w14:paraId="22BE15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была подготовлена СПРАВКА НАЧАЛЬНИКА РЭУ ГАБТУ КА О ВЫПУСКЕ ИЗ РЕМОНТА ТАНКОВ, ТРАКТОРОВ, АВТОМОБИЛЕЙ ВСЕМИ РЕМСРЕДСТВАМИ ПО МЕСЯЦАМ 1942 г.</w:t>
      </w:r>
    </w:p>
    <w:tbl>
      <w:tblPr>
        <w:tblW w:w="0" w:type="auto"/>
        <w:tblInd w:w="40" w:type="dxa"/>
        <w:tblLayout w:type="fixed"/>
        <w:tblCellMar>
          <w:left w:w="40" w:type="dxa"/>
          <w:right w:w="40" w:type="dxa"/>
        </w:tblCellMar>
        <w:tblLook w:val="0000" w:firstRow="0" w:lastRow="0" w:firstColumn="0" w:lastColumn="0" w:noHBand="0" w:noVBand="0"/>
      </w:tblPr>
      <w:tblGrid>
        <w:gridCol w:w="518"/>
        <w:gridCol w:w="1430"/>
        <w:gridCol w:w="787"/>
        <w:gridCol w:w="797"/>
        <w:gridCol w:w="797"/>
        <w:gridCol w:w="797"/>
        <w:gridCol w:w="797"/>
        <w:gridCol w:w="787"/>
        <w:gridCol w:w="806"/>
        <w:gridCol w:w="797"/>
        <w:gridCol w:w="806"/>
      </w:tblGrid>
      <w:tr w:rsidR="009B487A" w:rsidRPr="00722885" w14:paraId="2C658B82" w14:textId="77777777" w:rsidTr="00CC5360">
        <w:trPr>
          <w:trHeight w:val="202"/>
        </w:trPr>
        <w:tc>
          <w:tcPr>
            <w:tcW w:w="518" w:type="dxa"/>
            <w:tcBorders>
              <w:top w:val="single" w:sz="6" w:space="0" w:color="auto"/>
              <w:left w:val="single" w:sz="6" w:space="0" w:color="auto"/>
              <w:bottom w:val="nil"/>
              <w:right w:val="single" w:sz="6" w:space="0" w:color="auto"/>
            </w:tcBorders>
          </w:tcPr>
          <w:p w14:paraId="71449ED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п\п</w:t>
            </w:r>
          </w:p>
        </w:tc>
        <w:tc>
          <w:tcPr>
            <w:tcW w:w="1430" w:type="dxa"/>
            <w:tcBorders>
              <w:top w:val="single" w:sz="6" w:space="0" w:color="auto"/>
              <w:left w:val="single" w:sz="6" w:space="0" w:color="auto"/>
              <w:bottom w:val="nil"/>
              <w:right w:val="single" w:sz="6" w:space="0" w:color="auto"/>
            </w:tcBorders>
          </w:tcPr>
          <w:p w14:paraId="708F675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Месяцы</w:t>
            </w:r>
          </w:p>
        </w:tc>
        <w:tc>
          <w:tcPr>
            <w:tcW w:w="2381" w:type="dxa"/>
            <w:gridSpan w:val="3"/>
            <w:tcBorders>
              <w:top w:val="single" w:sz="6" w:space="0" w:color="auto"/>
              <w:left w:val="single" w:sz="6" w:space="0" w:color="auto"/>
              <w:bottom w:val="single" w:sz="6" w:space="0" w:color="auto"/>
              <w:right w:val="single" w:sz="6" w:space="0" w:color="auto"/>
            </w:tcBorders>
          </w:tcPr>
          <w:p w14:paraId="487C538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Танки</w:t>
            </w:r>
          </w:p>
        </w:tc>
        <w:tc>
          <w:tcPr>
            <w:tcW w:w="2381" w:type="dxa"/>
            <w:gridSpan w:val="3"/>
            <w:tcBorders>
              <w:top w:val="single" w:sz="6" w:space="0" w:color="auto"/>
              <w:left w:val="single" w:sz="6" w:space="0" w:color="auto"/>
              <w:bottom w:val="single" w:sz="6" w:space="0" w:color="auto"/>
              <w:right w:val="single" w:sz="6" w:space="0" w:color="auto"/>
            </w:tcBorders>
          </w:tcPr>
          <w:p w14:paraId="649DB4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Тракторы</w:t>
            </w:r>
          </w:p>
        </w:tc>
        <w:tc>
          <w:tcPr>
            <w:tcW w:w="2409" w:type="dxa"/>
            <w:gridSpan w:val="3"/>
            <w:tcBorders>
              <w:top w:val="single" w:sz="6" w:space="0" w:color="auto"/>
              <w:left w:val="single" w:sz="6" w:space="0" w:color="auto"/>
              <w:bottom w:val="single" w:sz="6" w:space="0" w:color="auto"/>
              <w:right w:val="single" w:sz="6" w:space="0" w:color="auto"/>
            </w:tcBorders>
          </w:tcPr>
          <w:p w14:paraId="111D4ED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Автомобили</w:t>
            </w:r>
          </w:p>
        </w:tc>
      </w:tr>
      <w:tr w:rsidR="009B487A" w:rsidRPr="00722885" w14:paraId="2B0B688F" w14:textId="77777777" w:rsidTr="00CC5360">
        <w:trPr>
          <w:trHeight w:val="192"/>
        </w:trPr>
        <w:tc>
          <w:tcPr>
            <w:tcW w:w="518" w:type="dxa"/>
            <w:tcBorders>
              <w:top w:val="nil"/>
              <w:left w:val="single" w:sz="6" w:space="0" w:color="auto"/>
              <w:bottom w:val="single" w:sz="6" w:space="0" w:color="auto"/>
              <w:right w:val="single" w:sz="6" w:space="0" w:color="auto"/>
            </w:tcBorders>
          </w:tcPr>
          <w:p w14:paraId="4EA5BD1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single" w:sz="6" w:space="0" w:color="auto"/>
              <w:right w:val="single" w:sz="6" w:space="0" w:color="auto"/>
            </w:tcBorders>
          </w:tcPr>
          <w:p w14:paraId="4752E98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2D69EC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w:t>
            </w:r>
          </w:p>
        </w:tc>
        <w:tc>
          <w:tcPr>
            <w:tcW w:w="797" w:type="dxa"/>
            <w:tcBorders>
              <w:top w:val="single" w:sz="6" w:space="0" w:color="auto"/>
              <w:left w:val="single" w:sz="6" w:space="0" w:color="auto"/>
              <w:bottom w:val="single" w:sz="6" w:space="0" w:color="auto"/>
              <w:right w:val="single" w:sz="6" w:space="0" w:color="auto"/>
            </w:tcBorders>
          </w:tcPr>
          <w:p w14:paraId="0E9679B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Кап.</w:t>
            </w:r>
          </w:p>
        </w:tc>
        <w:tc>
          <w:tcPr>
            <w:tcW w:w="797" w:type="dxa"/>
            <w:tcBorders>
              <w:top w:val="single" w:sz="6" w:space="0" w:color="auto"/>
              <w:left w:val="single" w:sz="6" w:space="0" w:color="auto"/>
              <w:bottom w:val="single" w:sz="6" w:space="0" w:color="auto"/>
              <w:right w:val="single" w:sz="6" w:space="0" w:color="auto"/>
            </w:tcBorders>
          </w:tcPr>
          <w:p w14:paraId="3DC7014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797" w:type="dxa"/>
            <w:tcBorders>
              <w:top w:val="single" w:sz="6" w:space="0" w:color="auto"/>
              <w:left w:val="single" w:sz="6" w:space="0" w:color="auto"/>
              <w:bottom w:val="single" w:sz="6" w:space="0" w:color="auto"/>
              <w:right w:val="single" w:sz="6" w:space="0" w:color="auto"/>
            </w:tcBorders>
          </w:tcPr>
          <w:p w14:paraId="1689887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w:t>
            </w:r>
          </w:p>
        </w:tc>
        <w:tc>
          <w:tcPr>
            <w:tcW w:w="797" w:type="dxa"/>
            <w:tcBorders>
              <w:top w:val="single" w:sz="6" w:space="0" w:color="auto"/>
              <w:left w:val="single" w:sz="6" w:space="0" w:color="auto"/>
              <w:bottom w:val="single" w:sz="6" w:space="0" w:color="auto"/>
              <w:right w:val="single" w:sz="6" w:space="0" w:color="auto"/>
            </w:tcBorders>
          </w:tcPr>
          <w:p w14:paraId="35451E7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Кап.</w:t>
            </w:r>
          </w:p>
        </w:tc>
        <w:tc>
          <w:tcPr>
            <w:tcW w:w="787" w:type="dxa"/>
            <w:tcBorders>
              <w:top w:val="single" w:sz="6" w:space="0" w:color="auto"/>
              <w:left w:val="single" w:sz="6" w:space="0" w:color="auto"/>
              <w:bottom w:val="single" w:sz="6" w:space="0" w:color="auto"/>
              <w:right w:val="single" w:sz="6" w:space="0" w:color="auto"/>
            </w:tcBorders>
          </w:tcPr>
          <w:p w14:paraId="37AF72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806" w:type="dxa"/>
            <w:tcBorders>
              <w:top w:val="single" w:sz="6" w:space="0" w:color="auto"/>
              <w:left w:val="single" w:sz="6" w:space="0" w:color="auto"/>
              <w:bottom w:val="single" w:sz="6" w:space="0" w:color="auto"/>
              <w:right w:val="single" w:sz="6" w:space="0" w:color="auto"/>
            </w:tcBorders>
          </w:tcPr>
          <w:p w14:paraId="60C4E72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w:t>
            </w:r>
          </w:p>
        </w:tc>
        <w:tc>
          <w:tcPr>
            <w:tcW w:w="797" w:type="dxa"/>
            <w:tcBorders>
              <w:top w:val="single" w:sz="6" w:space="0" w:color="auto"/>
              <w:left w:val="single" w:sz="6" w:space="0" w:color="auto"/>
              <w:bottom w:val="single" w:sz="6" w:space="0" w:color="auto"/>
              <w:right w:val="single" w:sz="6" w:space="0" w:color="auto"/>
            </w:tcBorders>
          </w:tcPr>
          <w:p w14:paraId="7CE5C3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Кап.</w:t>
            </w:r>
          </w:p>
        </w:tc>
        <w:tc>
          <w:tcPr>
            <w:tcW w:w="806" w:type="dxa"/>
            <w:tcBorders>
              <w:top w:val="single" w:sz="6" w:space="0" w:color="auto"/>
              <w:left w:val="single" w:sz="6" w:space="0" w:color="auto"/>
              <w:bottom w:val="single" w:sz="6" w:space="0" w:color="auto"/>
              <w:right w:val="single" w:sz="6" w:space="0" w:color="auto"/>
            </w:tcBorders>
          </w:tcPr>
          <w:p w14:paraId="1577ABE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r>
      <w:tr w:rsidR="009B487A" w:rsidRPr="00722885" w14:paraId="6129F479"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6FB6F80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1430" w:type="dxa"/>
            <w:tcBorders>
              <w:top w:val="single" w:sz="6" w:space="0" w:color="auto"/>
              <w:left w:val="single" w:sz="6" w:space="0" w:color="auto"/>
              <w:bottom w:val="single" w:sz="6" w:space="0" w:color="auto"/>
              <w:right w:val="single" w:sz="6" w:space="0" w:color="auto"/>
            </w:tcBorders>
          </w:tcPr>
          <w:p w14:paraId="5956530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Январь</w:t>
            </w:r>
          </w:p>
        </w:tc>
        <w:tc>
          <w:tcPr>
            <w:tcW w:w="787" w:type="dxa"/>
            <w:tcBorders>
              <w:top w:val="single" w:sz="6" w:space="0" w:color="auto"/>
              <w:left w:val="single" w:sz="6" w:space="0" w:color="auto"/>
              <w:bottom w:val="single" w:sz="6" w:space="0" w:color="auto"/>
              <w:right w:val="single" w:sz="6" w:space="0" w:color="auto"/>
            </w:tcBorders>
          </w:tcPr>
          <w:p w14:paraId="5FBCF53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F17EA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37E328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1 080</w:t>
            </w:r>
          </w:p>
        </w:tc>
        <w:tc>
          <w:tcPr>
            <w:tcW w:w="797" w:type="dxa"/>
            <w:tcBorders>
              <w:top w:val="single" w:sz="6" w:space="0" w:color="auto"/>
              <w:left w:val="single" w:sz="6" w:space="0" w:color="auto"/>
              <w:bottom w:val="single" w:sz="6" w:space="0" w:color="auto"/>
              <w:right w:val="single" w:sz="6" w:space="0" w:color="auto"/>
            </w:tcBorders>
          </w:tcPr>
          <w:p w14:paraId="1B6561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B6B794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5175B2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1 107</w:t>
            </w:r>
          </w:p>
        </w:tc>
        <w:tc>
          <w:tcPr>
            <w:tcW w:w="806" w:type="dxa"/>
            <w:tcBorders>
              <w:top w:val="single" w:sz="6" w:space="0" w:color="auto"/>
              <w:left w:val="single" w:sz="6" w:space="0" w:color="auto"/>
              <w:bottom w:val="single" w:sz="6" w:space="0" w:color="auto"/>
              <w:right w:val="single" w:sz="6" w:space="0" w:color="auto"/>
            </w:tcBorders>
          </w:tcPr>
          <w:p w14:paraId="6C10A4E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5934BE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ED3748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15431</w:t>
            </w:r>
          </w:p>
        </w:tc>
      </w:tr>
      <w:tr w:rsidR="009B487A" w:rsidRPr="00722885" w14:paraId="11925153" w14:textId="77777777" w:rsidTr="00CC5360">
        <w:trPr>
          <w:trHeight w:val="202"/>
        </w:trPr>
        <w:tc>
          <w:tcPr>
            <w:tcW w:w="518" w:type="dxa"/>
            <w:tcBorders>
              <w:top w:val="single" w:sz="6" w:space="0" w:color="auto"/>
              <w:left w:val="single" w:sz="6" w:space="0" w:color="auto"/>
              <w:bottom w:val="single" w:sz="6" w:space="0" w:color="auto"/>
              <w:right w:val="single" w:sz="6" w:space="0" w:color="auto"/>
            </w:tcBorders>
          </w:tcPr>
          <w:p w14:paraId="21949D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1430" w:type="dxa"/>
            <w:tcBorders>
              <w:top w:val="single" w:sz="6" w:space="0" w:color="auto"/>
              <w:left w:val="single" w:sz="6" w:space="0" w:color="auto"/>
              <w:bottom w:val="single" w:sz="6" w:space="0" w:color="auto"/>
              <w:right w:val="single" w:sz="6" w:space="0" w:color="auto"/>
            </w:tcBorders>
          </w:tcPr>
          <w:p w14:paraId="5D786A2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Февраль</w:t>
            </w:r>
          </w:p>
        </w:tc>
        <w:tc>
          <w:tcPr>
            <w:tcW w:w="787" w:type="dxa"/>
            <w:tcBorders>
              <w:top w:val="single" w:sz="6" w:space="0" w:color="auto"/>
              <w:left w:val="single" w:sz="6" w:space="0" w:color="auto"/>
              <w:bottom w:val="single" w:sz="6" w:space="0" w:color="auto"/>
              <w:right w:val="single" w:sz="6" w:space="0" w:color="auto"/>
            </w:tcBorders>
          </w:tcPr>
          <w:p w14:paraId="6F8CDE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A4F955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A1FF8C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1 084</w:t>
            </w:r>
          </w:p>
        </w:tc>
        <w:tc>
          <w:tcPr>
            <w:tcW w:w="797" w:type="dxa"/>
            <w:tcBorders>
              <w:top w:val="single" w:sz="6" w:space="0" w:color="auto"/>
              <w:left w:val="single" w:sz="6" w:space="0" w:color="auto"/>
              <w:bottom w:val="single" w:sz="6" w:space="0" w:color="auto"/>
              <w:right w:val="single" w:sz="6" w:space="0" w:color="auto"/>
            </w:tcBorders>
          </w:tcPr>
          <w:p w14:paraId="2798A9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699B2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1724D8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1 016</w:t>
            </w:r>
          </w:p>
        </w:tc>
        <w:tc>
          <w:tcPr>
            <w:tcW w:w="806" w:type="dxa"/>
            <w:tcBorders>
              <w:top w:val="single" w:sz="6" w:space="0" w:color="auto"/>
              <w:left w:val="single" w:sz="6" w:space="0" w:color="auto"/>
              <w:bottom w:val="single" w:sz="6" w:space="0" w:color="auto"/>
              <w:right w:val="single" w:sz="6" w:space="0" w:color="auto"/>
            </w:tcBorders>
          </w:tcPr>
          <w:p w14:paraId="4915BBB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1CF3CD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65CCF8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14456</w:t>
            </w:r>
          </w:p>
        </w:tc>
      </w:tr>
      <w:tr w:rsidR="009B487A" w:rsidRPr="00722885" w14:paraId="761912D0"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3546AA7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1430" w:type="dxa"/>
            <w:tcBorders>
              <w:top w:val="single" w:sz="6" w:space="0" w:color="auto"/>
              <w:left w:val="single" w:sz="6" w:space="0" w:color="auto"/>
              <w:bottom w:val="single" w:sz="6" w:space="0" w:color="auto"/>
              <w:right w:val="single" w:sz="6" w:space="0" w:color="auto"/>
            </w:tcBorders>
          </w:tcPr>
          <w:p w14:paraId="7306F58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Март</w:t>
            </w:r>
          </w:p>
        </w:tc>
        <w:tc>
          <w:tcPr>
            <w:tcW w:w="787" w:type="dxa"/>
            <w:tcBorders>
              <w:top w:val="single" w:sz="6" w:space="0" w:color="auto"/>
              <w:left w:val="single" w:sz="6" w:space="0" w:color="auto"/>
              <w:bottom w:val="single" w:sz="6" w:space="0" w:color="auto"/>
              <w:right w:val="single" w:sz="6" w:space="0" w:color="auto"/>
            </w:tcBorders>
          </w:tcPr>
          <w:p w14:paraId="6D06AC8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16EC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E89274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1 672</w:t>
            </w:r>
          </w:p>
        </w:tc>
        <w:tc>
          <w:tcPr>
            <w:tcW w:w="797" w:type="dxa"/>
            <w:tcBorders>
              <w:top w:val="single" w:sz="6" w:space="0" w:color="auto"/>
              <w:left w:val="single" w:sz="6" w:space="0" w:color="auto"/>
              <w:bottom w:val="single" w:sz="6" w:space="0" w:color="auto"/>
              <w:right w:val="single" w:sz="6" w:space="0" w:color="auto"/>
            </w:tcBorders>
          </w:tcPr>
          <w:p w14:paraId="1EB3F46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8B4F7B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18F82C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2 107</w:t>
            </w:r>
          </w:p>
        </w:tc>
        <w:tc>
          <w:tcPr>
            <w:tcW w:w="806" w:type="dxa"/>
            <w:tcBorders>
              <w:top w:val="single" w:sz="6" w:space="0" w:color="auto"/>
              <w:left w:val="single" w:sz="6" w:space="0" w:color="auto"/>
              <w:bottom w:val="single" w:sz="6" w:space="0" w:color="auto"/>
              <w:right w:val="single" w:sz="6" w:space="0" w:color="auto"/>
            </w:tcBorders>
          </w:tcPr>
          <w:p w14:paraId="0998730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8823EA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7AAFF8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18782</w:t>
            </w:r>
          </w:p>
        </w:tc>
      </w:tr>
      <w:tr w:rsidR="009B487A" w:rsidRPr="00722885" w14:paraId="7F191257" w14:textId="77777777" w:rsidTr="00CC5360">
        <w:trPr>
          <w:trHeight w:val="192"/>
        </w:trPr>
        <w:tc>
          <w:tcPr>
            <w:tcW w:w="1948" w:type="dxa"/>
            <w:gridSpan w:val="2"/>
            <w:tcBorders>
              <w:top w:val="single" w:sz="6" w:space="0" w:color="auto"/>
              <w:left w:val="single" w:sz="6" w:space="0" w:color="auto"/>
              <w:bottom w:val="single" w:sz="6" w:space="0" w:color="auto"/>
              <w:right w:val="single" w:sz="6" w:space="0" w:color="auto"/>
            </w:tcBorders>
          </w:tcPr>
          <w:p w14:paraId="3AF3A7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 за 1 кв.</w:t>
            </w:r>
          </w:p>
        </w:tc>
        <w:tc>
          <w:tcPr>
            <w:tcW w:w="787" w:type="dxa"/>
            <w:tcBorders>
              <w:top w:val="single" w:sz="6" w:space="0" w:color="auto"/>
              <w:left w:val="single" w:sz="6" w:space="0" w:color="auto"/>
              <w:bottom w:val="single" w:sz="6" w:space="0" w:color="auto"/>
              <w:right w:val="single" w:sz="6" w:space="0" w:color="auto"/>
            </w:tcBorders>
          </w:tcPr>
          <w:p w14:paraId="30748A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1E9143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5B86C3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3836</w:t>
            </w:r>
          </w:p>
        </w:tc>
        <w:tc>
          <w:tcPr>
            <w:tcW w:w="797" w:type="dxa"/>
            <w:tcBorders>
              <w:top w:val="single" w:sz="6" w:space="0" w:color="auto"/>
              <w:left w:val="single" w:sz="6" w:space="0" w:color="auto"/>
              <w:bottom w:val="single" w:sz="6" w:space="0" w:color="auto"/>
              <w:right w:val="single" w:sz="6" w:space="0" w:color="auto"/>
            </w:tcBorders>
          </w:tcPr>
          <w:p w14:paraId="6F1BB68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536F76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8BEA6B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4230</w:t>
            </w:r>
          </w:p>
        </w:tc>
        <w:tc>
          <w:tcPr>
            <w:tcW w:w="806" w:type="dxa"/>
            <w:tcBorders>
              <w:top w:val="single" w:sz="6" w:space="0" w:color="auto"/>
              <w:left w:val="single" w:sz="6" w:space="0" w:color="auto"/>
              <w:bottom w:val="single" w:sz="6" w:space="0" w:color="auto"/>
              <w:right w:val="single" w:sz="6" w:space="0" w:color="auto"/>
            </w:tcBorders>
          </w:tcPr>
          <w:p w14:paraId="450E114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7B961C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DE9D83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48669</w:t>
            </w:r>
          </w:p>
        </w:tc>
      </w:tr>
      <w:tr w:rsidR="009B487A" w:rsidRPr="00722885" w14:paraId="19023C83"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7FE19BA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430" w:type="dxa"/>
            <w:tcBorders>
              <w:top w:val="single" w:sz="6" w:space="0" w:color="auto"/>
              <w:left w:val="single" w:sz="6" w:space="0" w:color="auto"/>
              <w:bottom w:val="single" w:sz="6" w:space="0" w:color="auto"/>
              <w:right w:val="single" w:sz="6" w:space="0" w:color="auto"/>
            </w:tcBorders>
          </w:tcPr>
          <w:p w14:paraId="0D1E104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Апрель</w:t>
            </w:r>
          </w:p>
        </w:tc>
        <w:tc>
          <w:tcPr>
            <w:tcW w:w="787" w:type="dxa"/>
            <w:tcBorders>
              <w:top w:val="single" w:sz="6" w:space="0" w:color="auto"/>
              <w:left w:val="single" w:sz="6" w:space="0" w:color="auto"/>
              <w:bottom w:val="single" w:sz="6" w:space="0" w:color="auto"/>
              <w:right w:val="single" w:sz="6" w:space="0" w:color="auto"/>
            </w:tcBorders>
          </w:tcPr>
          <w:p w14:paraId="5563DBF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2FB9BC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99503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1 493</w:t>
            </w:r>
          </w:p>
        </w:tc>
        <w:tc>
          <w:tcPr>
            <w:tcW w:w="797" w:type="dxa"/>
            <w:tcBorders>
              <w:top w:val="single" w:sz="6" w:space="0" w:color="auto"/>
              <w:left w:val="single" w:sz="6" w:space="0" w:color="auto"/>
              <w:bottom w:val="single" w:sz="6" w:space="0" w:color="auto"/>
              <w:right w:val="single" w:sz="6" w:space="0" w:color="auto"/>
            </w:tcBorders>
          </w:tcPr>
          <w:p w14:paraId="24AD911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1A42EE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2A8C81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2691</w:t>
            </w:r>
          </w:p>
        </w:tc>
        <w:tc>
          <w:tcPr>
            <w:tcW w:w="806" w:type="dxa"/>
            <w:tcBorders>
              <w:top w:val="single" w:sz="6" w:space="0" w:color="auto"/>
              <w:left w:val="single" w:sz="6" w:space="0" w:color="auto"/>
              <w:bottom w:val="single" w:sz="6" w:space="0" w:color="auto"/>
              <w:right w:val="single" w:sz="6" w:space="0" w:color="auto"/>
            </w:tcBorders>
          </w:tcPr>
          <w:p w14:paraId="2011B2B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202CAF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031291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24540</w:t>
            </w:r>
          </w:p>
        </w:tc>
      </w:tr>
      <w:tr w:rsidR="009B487A" w:rsidRPr="00722885" w14:paraId="11BF9EDB"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05D8295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1430" w:type="dxa"/>
            <w:tcBorders>
              <w:top w:val="single" w:sz="6" w:space="0" w:color="auto"/>
              <w:left w:val="single" w:sz="6" w:space="0" w:color="auto"/>
              <w:bottom w:val="single" w:sz="6" w:space="0" w:color="auto"/>
              <w:right w:val="single" w:sz="6" w:space="0" w:color="auto"/>
            </w:tcBorders>
          </w:tcPr>
          <w:p w14:paraId="50B58C9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Май</w:t>
            </w:r>
          </w:p>
        </w:tc>
        <w:tc>
          <w:tcPr>
            <w:tcW w:w="787" w:type="dxa"/>
            <w:tcBorders>
              <w:top w:val="single" w:sz="6" w:space="0" w:color="auto"/>
              <w:left w:val="single" w:sz="6" w:space="0" w:color="auto"/>
              <w:bottom w:val="single" w:sz="6" w:space="0" w:color="auto"/>
              <w:right w:val="single" w:sz="6" w:space="0" w:color="auto"/>
            </w:tcBorders>
          </w:tcPr>
          <w:p w14:paraId="5FE0903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5089F3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6D1AF2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1 690</w:t>
            </w:r>
          </w:p>
        </w:tc>
        <w:tc>
          <w:tcPr>
            <w:tcW w:w="797" w:type="dxa"/>
            <w:tcBorders>
              <w:top w:val="single" w:sz="6" w:space="0" w:color="auto"/>
              <w:left w:val="single" w:sz="6" w:space="0" w:color="auto"/>
              <w:bottom w:val="single" w:sz="6" w:space="0" w:color="auto"/>
              <w:right w:val="single" w:sz="6" w:space="0" w:color="auto"/>
            </w:tcBorders>
          </w:tcPr>
          <w:p w14:paraId="6539CD7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58BA3E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91B705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2 112</w:t>
            </w:r>
          </w:p>
        </w:tc>
        <w:tc>
          <w:tcPr>
            <w:tcW w:w="806" w:type="dxa"/>
            <w:tcBorders>
              <w:top w:val="single" w:sz="6" w:space="0" w:color="auto"/>
              <w:left w:val="single" w:sz="6" w:space="0" w:color="auto"/>
              <w:bottom w:val="single" w:sz="6" w:space="0" w:color="auto"/>
              <w:right w:val="single" w:sz="6" w:space="0" w:color="auto"/>
            </w:tcBorders>
          </w:tcPr>
          <w:p w14:paraId="7CB1A6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63B2E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761106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21 656</w:t>
            </w:r>
          </w:p>
        </w:tc>
      </w:tr>
      <w:tr w:rsidR="009B487A" w:rsidRPr="00722885" w14:paraId="48847E9E" w14:textId="77777777" w:rsidTr="00CC5360">
        <w:trPr>
          <w:trHeight w:val="202"/>
        </w:trPr>
        <w:tc>
          <w:tcPr>
            <w:tcW w:w="518" w:type="dxa"/>
            <w:tcBorders>
              <w:top w:val="single" w:sz="6" w:space="0" w:color="auto"/>
              <w:left w:val="single" w:sz="6" w:space="0" w:color="auto"/>
              <w:bottom w:val="single" w:sz="6" w:space="0" w:color="auto"/>
              <w:right w:val="single" w:sz="6" w:space="0" w:color="auto"/>
            </w:tcBorders>
          </w:tcPr>
          <w:p w14:paraId="7F3E040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1430" w:type="dxa"/>
            <w:tcBorders>
              <w:top w:val="single" w:sz="6" w:space="0" w:color="auto"/>
              <w:left w:val="single" w:sz="6" w:space="0" w:color="auto"/>
              <w:bottom w:val="single" w:sz="6" w:space="0" w:color="auto"/>
              <w:right w:val="single" w:sz="6" w:space="0" w:color="auto"/>
            </w:tcBorders>
          </w:tcPr>
          <w:p w14:paraId="092E9E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Июнь</w:t>
            </w:r>
          </w:p>
        </w:tc>
        <w:tc>
          <w:tcPr>
            <w:tcW w:w="787" w:type="dxa"/>
            <w:tcBorders>
              <w:top w:val="single" w:sz="6" w:space="0" w:color="auto"/>
              <w:left w:val="single" w:sz="6" w:space="0" w:color="auto"/>
              <w:bottom w:val="single" w:sz="6" w:space="0" w:color="auto"/>
              <w:right w:val="single" w:sz="6" w:space="0" w:color="auto"/>
            </w:tcBorders>
          </w:tcPr>
          <w:p w14:paraId="5C8CE36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3FD7E8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EEACD4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1 447</w:t>
            </w:r>
          </w:p>
        </w:tc>
        <w:tc>
          <w:tcPr>
            <w:tcW w:w="797" w:type="dxa"/>
            <w:tcBorders>
              <w:top w:val="single" w:sz="6" w:space="0" w:color="auto"/>
              <w:left w:val="single" w:sz="6" w:space="0" w:color="auto"/>
              <w:bottom w:val="single" w:sz="6" w:space="0" w:color="auto"/>
              <w:right w:val="single" w:sz="6" w:space="0" w:color="auto"/>
            </w:tcBorders>
          </w:tcPr>
          <w:p w14:paraId="20D2731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495FFB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97FD87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2614</w:t>
            </w:r>
          </w:p>
        </w:tc>
        <w:tc>
          <w:tcPr>
            <w:tcW w:w="806" w:type="dxa"/>
            <w:tcBorders>
              <w:top w:val="single" w:sz="6" w:space="0" w:color="auto"/>
              <w:left w:val="single" w:sz="6" w:space="0" w:color="auto"/>
              <w:bottom w:val="single" w:sz="6" w:space="0" w:color="auto"/>
              <w:right w:val="single" w:sz="6" w:space="0" w:color="auto"/>
            </w:tcBorders>
          </w:tcPr>
          <w:p w14:paraId="489FFD8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CCF36D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4785C9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19983</w:t>
            </w:r>
          </w:p>
        </w:tc>
      </w:tr>
      <w:tr w:rsidR="009B487A" w:rsidRPr="00722885" w14:paraId="4D617D67" w14:textId="77777777" w:rsidTr="00CC5360">
        <w:trPr>
          <w:trHeight w:val="192"/>
        </w:trPr>
        <w:tc>
          <w:tcPr>
            <w:tcW w:w="1948" w:type="dxa"/>
            <w:gridSpan w:val="2"/>
            <w:tcBorders>
              <w:top w:val="single" w:sz="6" w:space="0" w:color="auto"/>
              <w:left w:val="single" w:sz="6" w:space="0" w:color="auto"/>
              <w:bottom w:val="single" w:sz="6" w:space="0" w:color="auto"/>
              <w:right w:val="single" w:sz="6" w:space="0" w:color="auto"/>
            </w:tcBorders>
          </w:tcPr>
          <w:p w14:paraId="1DFA60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 за 2 кв.</w:t>
            </w:r>
          </w:p>
        </w:tc>
        <w:tc>
          <w:tcPr>
            <w:tcW w:w="787" w:type="dxa"/>
            <w:tcBorders>
              <w:top w:val="single" w:sz="6" w:space="0" w:color="auto"/>
              <w:left w:val="single" w:sz="6" w:space="0" w:color="auto"/>
              <w:bottom w:val="single" w:sz="6" w:space="0" w:color="auto"/>
              <w:right w:val="single" w:sz="6" w:space="0" w:color="auto"/>
            </w:tcBorders>
          </w:tcPr>
          <w:p w14:paraId="29464E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93477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CCE58E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4630</w:t>
            </w:r>
          </w:p>
        </w:tc>
        <w:tc>
          <w:tcPr>
            <w:tcW w:w="797" w:type="dxa"/>
            <w:tcBorders>
              <w:top w:val="single" w:sz="6" w:space="0" w:color="auto"/>
              <w:left w:val="single" w:sz="6" w:space="0" w:color="auto"/>
              <w:bottom w:val="single" w:sz="6" w:space="0" w:color="auto"/>
              <w:right w:val="single" w:sz="6" w:space="0" w:color="auto"/>
            </w:tcBorders>
          </w:tcPr>
          <w:p w14:paraId="5334E9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FEE1EE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D244A2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7417</w:t>
            </w:r>
          </w:p>
        </w:tc>
        <w:tc>
          <w:tcPr>
            <w:tcW w:w="806" w:type="dxa"/>
            <w:tcBorders>
              <w:top w:val="single" w:sz="6" w:space="0" w:color="auto"/>
              <w:left w:val="single" w:sz="6" w:space="0" w:color="auto"/>
              <w:bottom w:val="single" w:sz="6" w:space="0" w:color="auto"/>
              <w:right w:val="single" w:sz="6" w:space="0" w:color="auto"/>
            </w:tcBorders>
          </w:tcPr>
          <w:p w14:paraId="543C8F0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24804D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FEE8B4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66179</w:t>
            </w:r>
          </w:p>
        </w:tc>
      </w:tr>
      <w:tr w:rsidR="009B487A" w:rsidRPr="00722885" w14:paraId="0A916097"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3014C0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1430" w:type="dxa"/>
            <w:tcBorders>
              <w:top w:val="single" w:sz="6" w:space="0" w:color="auto"/>
              <w:left w:val="single" w:sz="6" w:space="0" w:color="auto"/>
              <w:bottom w:val="single" w:sz="6" w:space="0" w:color="auto"/>
              <w:right w:val="single" w:sz="6" w:space="0" w:color="auto"/>
            </w:tcBorders>
          </w:tcPr>
          <w:p w14:paraId="271B27B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Июль</w:t>
            </w:r>
          </w:p>
        </w:tc>
        <w:tc>
          <w:tcPr>
            <w:tcW w:w="787" w:type="dxa"/>
            <w:tcBorders>
              <w:top w:val="single" w:sz="6" w:space="0" w:color="auto"/>
              <w:left w:val="single" w:sz="6" w:space="0" w:color="auto"/>
              <w:bottom w:val="single" w:sz="6" w:space="0" w:color="auto"/>
              <w:right w:val="single" w:sz="6" w:space="0" w:color="auto"/>
            </w:tcBorders>
          </w:tcPr>
          <w:p w14:paraId="57CFC27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1 433</w:t>
            </w:r>
          </w:p>
        </w:tc>
        <w:tc>
          <w:tcPr>
            <w:tcW w:w="797" w:type="dxa"/>
            <w:tcBorders>
              <w:top w:val="single" w:sz="6" w:space="0" w:color="auto"/>
              <w:left w:val="single" w:sz="6" w:space="0" w:color="auto"/>
              <w:bottom w:val="single" w:sz="6" w:space="0" w:color="auto"/>
              <w:right w:val="single" w:sz="6" w:space="0" w:color="auto"/>
            </w:tcBorders>
          </w:tcPr>
          <w:p w14:paraId="58643C6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569</w:t>
            </w:r>
          </w:p>
        </w:tc>
        <w:tc>
          <w:tcPr>
            <w:tcW w:w="797" w:type="dxa"/>
            <w:tcBorders>
              <w:top w:val="single" w:sz="6" w:space="0" w:color="auto"/>
              <w:left w:val="single" w:sz="6" w:space="0" w:color="auto"/>
              <w:bottom w:val="single" w:sz="6" w:space="0" w:color="auto"/>
              <w:right w:val="single" w:sz="6" w:space="0" w:color="auto"/>
            </w:tcBorders>
          </w:tcPr>
          <w:p w14:paraId="186E07D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2002</w:t>
            </w:r>
          </w:p>
        </w:tc>
        <w:tc>
          <w:tcPr>
            <w:tcW w:w="797" w:type="dxa"/>
            <w:tcBorders>
              <w:top w:val="single" w:sz="6" w:space="0" w:color="auto"/>
              <w:left w:val="single" w:sz="6" w:space="0" w:color="auto"/>
              <w:bottom w:val="single" w:sz="6" w:space="0" w:color="auto"/>
              <w:right w:val="single" w:sz="6" w:space="0" w:color="auto"/>
            </w:tcBorders>
          </w:tcPr>
          <w:p w14:paraId="502FCDC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1 457</w:t>
            </w:r>
          </w:p>
        </w:tc>
        <w:tc>
          <w:tcPr>
            <w:tcW w:w="797" w:type="dxa"/>
            <w:tcBorders>
              <w:top w:val="single" w:sz="6" w:space="0" w:color="auto"/>
              <w:left w:val="single" w:sz="6" w:space="0" w:color="auto"/>
              <w:bottom w:val="single" w:sz="6" w:space="0" w:color="auto"/>
              <w:right w:val="single" w:sz="6" w:space="0" w:color="auto"/>
            </w:tcBorders>
          </w:tcPr>
          <w:p w14:paraId="54F6ED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1 299</w:t>
            </w:r>
          </w:p>
        </w:tc>
        <w:tc>
          <w:tcPr>
            <w:tcW w:w="787" w:type="dxa"/>
            <w:tcBorders>
              <w:top w:val="single" w:sz="6" w:space="0" w:color="auto"/>
              <w:left w:val="single" w:sz="6" w:space="0" w:color="auto"/>
              <w:bottom w:val="single" w:sz="6" w:space="0" w:color="auto"/>
              <w:right w:val="single" w:sz="6" w:space="0" w:color="auto"/>
            </w:tcBorders>
          </w:tcPr>
          <w:p w14:paraId="1FF9219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2756</w:t>
            </w:r>
          </w:p>
        </w:tc>
        <w:tc>
          <w:tcPr>
            <w:tcW w:w="806" w:type="dxa"/>
            <w:tcBorders>
              <w:top w:val="single" w:sz="6" w:space="0" w:color="auto"/>
              <w:left w:val="single" w:sz="6" w:space="0" w:color="auto"/>
              <w:bottom w:val="single" w:sz="6" w:space="0" w:color="auto"/>
              <w:right w:val="single" w:sz="6" w:space="0" w:color="auto"/>
            </w:tcBorders>
          </w:tcPr>
          <w:p w14:paraId="338AA08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16428</w:t>
            </w:r>
          </w:p>
        </w:tc>
        <w:tc>
          <w:tcPr>
            <w:tcW w:w="797" w:type="dxa"/>
            <w:tcBorders>
              <w:top w:val="single" w:sz="6" w:space="0" w:color="auto"/>
              <w:left w:val="single" w:sz="6" w:space="0" w:color="auto"/>
              <w:bottom w:val="single" w:sz="6" w:space="0" w:color="auto"/>
              <w:right w:val="single" w:sz="6" w:space="0" w:color="auto"/>
            </w:tcBorders>
          </w:tcPr>
          <w:p w14:paraId="683D52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10963</w:t>
            </w:r>
          </w:p>
        </w:tc>
        <w:tc>
          <w:tcPr>
            <w:tcW w:w="806" w:type="dxa"/>
            <w:tcBorders>
              <w:top w:val="single" w:sz="6" w:space="0" w:color="auto"/>
              <w:left w:val="single" w:sz="6" w:space="0" w:color="auto"/>
              <w:bottom w:val="single" w:sz="6" w:space="0" w:color="auto"/>
              <w:right w:val="single" w:sz="6" w:space="0" w:color="auto"/>
            </w:tcBorders>
          </w:tcPr>
          <w:p w14:paraId="13A0600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27411</w:t>
            </w:r>
          </w:p>
        </w:tc>
      </w:tr>
      <w:tr w:rsidR="009B487A" w:rsidRPr="00722885" w14:paraId="42C97323"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0633252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w:t>
            </w:r>
          </w:p>
        </w:tc>
        <w:tc>
          <w:tcPr>
            <w:tcW w:w="1430" w:type="dxa"/>
            <w:tcBorders>
              <w:top w:val="single" w:sz="6" w:space="0" w:color="auto"/>
              <w:left w:val="single" w:sz="6" w:space="0" w:color="auto"/>
              <w:bottom w:val="single" w:sz="6" w:space="0" w:color="auto"/>
              <w:right w:val="single" w:sz="6" w:space="0" w:color="auto"/>
            </w:tcBorders>
          </w:tcPr>
          <w:p w14:paraId="7323ECC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Август</w:t>
            </w:r>
          </w:p>
        </w:tc>
        <w:tc>
          <w:tcPr>
            <w:tcW w:w="787" w:type="dxa"/>
            <w:tcBorders>
              <w:top w:val="single" w:sz="6" w:space="0" w:color="auto"/>
              <w:left w:val="single" w:sz="6" w:space="0" w:color="auto"/>
              <w:bottom w:val="single" w:sz="6" w:space="0" w:color="auto"/>
              <w:right w:val="single" w:sz="6" w:space="0" w:color="auto"/>
            </w:tcBorders>
          </w:tcPr>
          <w:p w14:paraId="44406CC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2528</w:t>
            </w:r>
          </w:p>
        </w:tc>
        <w:tc>
          <w:tcPr>
            <w:tcW w:w="797" w:type="dxa"/>
            <w:tcBorders>
              <w:top w:val="single" w:sz="6" w:space="0" w:color="auto"/>
              <w:left w:val="single" w:sz="6" w:space="0" w:color="auto"/>
              <w:bottom w:val="single" w:sz="6" w:space="0" w:color="auto"/>
              <w:right w:val="single" w:sz="6" w:space="0" w:color="auto"/>
            </w:tcBorders>
          </w:tcPr>
          <w:p w14:paraId="769B103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755</w:t>
            </w:r>
          </w:p>
        </w:tc>
        <w:tc>
          <w:tcPr>
            <w:tcW w:w="797" w:type="dxa"/>
            <w:tcBorders>
              <w:top w:val="single" w:sz="6" w:space="0" w:color="auto"/>
              <w:left w:val="single" w:sz="6" w:space="0" w:color="auto"/>
              <w:bottom w:val="single" w:sz="6" w:space="0" w:color="auto"/>
              <w:right w:val="single" w:sz="6" w:space="0" w:color="auto"/>
            </w:tcBorders>
          </w:tcPr>
          <w:p w14:paraId="35CB32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3283</w:t>
            </w:r>
          </w:p>
        </w:tc>
        <w:tc>
          <w:tcPr>
            <w:tcW w:w="797" w:type="dxa"/>
            <w:tcBorders>
              <w:top w:val="single" w:sz="6" w:space="0" w:color="auto"/>
              <w:left w:val="single" w:sz="6" w:space="0" w:color="auto"/>
              <w:bottom w:val="single" w:sz="6" w:space="0" w:color="auto"/>
              <w:right w:val="single" w:sz="6" w:space="0" w:color="auto"/>
            </w:tcBorders>
          </w:tcPr>
          <w:p w14:paraId="4F6D999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1 098</w:t>
            </w:r>
          </w:p>
        </w:tc>
        <w:tc>
          <w:tcPr>
            <w:tcW w:w="797" w:type="dxa"/>
            <w:tcBorders>
              <w:top w:val="single" w:sz="6" w:space="0" w:color="auto"/>
              <w:left w:val="single" w:sz="6" w:space="0" w:color="auto"/>
              <w:bottom w:val="single" w:sz="6" w:space="0" w:color="auto"/>
              <w:right w:val="single" w:sz="6" w:space="0" w:color="auto"/>
            </w:tcBorders>
          </w:tcPr>
          <w:p w14:paraId="3AAB355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1 383</w:t>
            </w:r>
          </w:p>
        </w:tc>
        <w:tc>
          <w:tcPr>
            <w:tcW w:w="787" w:type="dxa"/>
            <w:tcBorders>
              <w:top w:val="single" w:sz="6" w:space="0" w:color="auto"/>
              <w:left w:val="single" w:sz="6" w:space="0" w:color="auto"/>
              <w:bottom w:val="single" w:sz="6" w:space="0" w:color="auto"/>
              <w:right w:val="single" w:sz="6" w:space="0" w:color="auto"/>
            </w:tcBorders>
          </w:tcPr>
          <w:p w14:paraId="552A168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2481</w:t>
            </w:r>
          </w:p>
        </w:tc>
        <w:tc>
          <w:tcPr>
            <w:tcW w:w="806" w:type="dxa"/>
            <w:tcBorders>
              <w:top w:val="single" w:sz="6" w:space="0" w:color="auto"/>
              <w:left w:val="single" w:sz="6" w:space="0" w:color="auto"/>
              <w:bottom w:val="single" w:sz="6" w:space="0" w:color="auto"/>
              <w:right w:val="single" w:sz="6" w:space="0" w:color="auto"/>
            </w:tcBorders>
          </w:tcPr>
          <w:p w14:paraId="4AAE532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15728</w:t>
            </w:r>
          </w:p>
        </w:tc>
        <w:tc>
          <w:tcPr>
            <w:tcW w:w="797" w:type="dxa"/>
            <w:tcBorders>
              <w:top w:val="single" w:sz="6" w:space="0" w:color="auto"/>
              <w:left w:val="single" w:sz="6" w:space="0" w:color="auto"/>
              <w:bottom w:val="single" w:sz="6" w:space="0" w:color="auto"/>
              <w:right w:val="single" w:sz="6" w:space="0" w:color="auto"/>
            </w:tcBorders>
          </w:tcPr>
          <w:p w14:paraId="1CB864B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10780</w:t>
            </w:r>
          </w:p>
        </w:tc>
        <w:tc>
          <w:tcPr>
            <w:tcW w:w="806" w:type="dxa"/>
            <w:tcBorders>
              <w:top w:val="single" w:sz="6" w:space="0" w:color="auto"/>
              <w:left w:val="single" w:sz="6" w:space="0" w:color="auto"/>
              <w:bottom w:val="single" w:sz="6" w:space="0" w:color="auto"/>
              <w:right w:val="single" w:sz="6" w:space="0" w:color="auto"/>
            </w:tcBorders>
          </w:tcPr>
          <w:p w14:paraId="68FCBC1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26508</w:t>
            </w:r>
          </w:p>
        </w:tc>
      </w:tr>
      <w:tr w:rsidR="009B487A" w:rsidRPr="00722885" w14:paraId="4FAD218E"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4552CDF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1430" w:type="dxa"/>
            <w:tcBorders>
              <w:top w:val="single" w:sz="6" w:space="0" w:color="auto"/>
              <w:left w:val="single" w:sz="6" w:space="0" w:color="auto"/>
              <w:bottom w:val="single" w:sz="6" w:space="0" w:color="auto"/>
              <w:right w:val="single" w:sz="6" w:space="0" w:color="auto"/>
            </w:tcBorders>
          </w:tcPr>
          <w:p w14:paraId="14B39AA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Сентябрь</w:t>
            </w:r>
          </w:p>
        </w:tc>
        <w:tc>
          <w:tcPr>
            <w:tcW w:w="787" w:type="dxa"/>
            <w:tcBorders>
              <w:top w:val="single" w:sz="6" w:space="0" w:color="auto"/>
              <w:left w:val="single" w:sz="6" w:space="0" w:color="auto"/>
              <w:bottom w:val="single" w:sz="6" w:space="0" w:color="auto"/>
              <w:right w:val="single" w:sz="6" w:space="0" w:color="auto"/>
            </w:tcBorders>
          </w:tcPr>
          <w:p w14:paraId="4940B50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2564</w:t>
            </w:r>
          </w:p>
        </w:tc>
        <w:tc>
          <w:tcPr>
            <w:tcW w:w="797" w:type="dxa"/>
            <w:tcBorders>
              <w:top w:val="single" w:sz="6" w:space="0" w:color="auto"/>
              <w:left w:val="single" w:sz="6" w:space="0" w:color="auto"/>
              <w:bottom w:val="single" w:sz="6" w:space="0" w:color="auto"/>
              <w:right w:val="single" w:sz="6" w:space="0" w:color="auto"/>
            </w:tcBorders>
          </w:tcPr>
          <w:p w14:paraId="526EE9B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814</w:t>
            </w:r>
          </w:p>
        </w:tc>
        <w:tc>
          <w:tcPr>
            <w:tcW w:w="797" w:type="dxa"/>
            <w:tcBorders>
              <w:top w:val="single" w:sz="6" w:space="0" w:color="auto"/>
              <w:left w:val="single" w:sz="6" w:space="0" w:color="auto"/>
              <w:bottom w:val="single" w:sz="6" w:space="0" w:color="auto"/>
              <w:right w:val="single" w:sz="6" w:space="0" w:color="auto"/>
            </w:tcBorders>
          </w:tcPr>
          <w:p w14:paraId="04093FE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3378</w:t>
            </w:r>
          </w:p>
        </w:tc>
        <w:tc>
          <w:tcPr>
            <w:tcW w:w="797" w:type="dxa"/>
            <w:tcBorders>
              <w:top w:val="single" w:sz="6" w:space="0" w:color="auto"/>
              <w:left w:val="single" w:sz="6" w:space="0" w:color="auto"/>
              <w:bottom w:val="single" w:sz="6" w:space="0" w:color="auto"/>
              <w:right w:val="single" w:sz="6" w:space="0" w:color="auto"/>
            </w:tcBorders>
          </w:tcPr>
          <w:p w14:paraId="71E5C87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1 277</w:t>
            </w:r>
          </w:p>
        </w:tc>
        <w:tc>
          <w:tcPr>
            <w:tcW w:w="797" w:type="dxa"/>
            <w:tcBorders>
              <w:top w:val="single" w:sz="6" w:space="0" w:color="auto"/>
              <w:left w:val="single" w:sz="6" w:space="0" w:color="auto"/>
              <w:bottom w:val="single" w:sz="6" w:space="0" w:color="auto"/>
              <w:right w:val="single" w:sz="6" w:space="0" w:color="auto"/>
            </w:tcBorders>
          </w:tcPr>
          <w:p w14:paraId="1747D8D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1 657</w:t>
            </w:r>
          </w:p>
        </w:tc>
        <w:tc>
          <w:tcPr>
            <w:tcW w:w="787" w:type="dxa"/>
            <w:tcBorders>
              <w:top w:val="single" w:sz="6" w:space="0" w:color="auto"/>
              <w:left w:val="single" w:sz="6" w:space="0" w:color="auto"/>
              <w:bottom w:val="single" w:sz="6" w:space="0" w:color="auto"/>
              <w:right w:val="single" w:sz="6" w:space="0" w:color="auto"/>
            </w:tcBorders>
          </w:tcPr>
          <w:p w14:paraId="3A55994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2934</w:t>
            </w:r>
          </w:p>
        </w:tc>
        <w:tc>
          <w:tcPr>
            <w:tcW w:w="806" w:type="dxa"/>
            <w:tcBorders>
              <w:top w:val="single" w:sz="6" w:space="0" w:color="auto"/>
              <w:left w:val="single" w:sz="6" w:space="0" w:color="auto"/>
              <w:bottom w:val="single" w:sz="6" w:space="0" w:color="auto"/>
              <w:right w:val="single" w:sz="6" w:space="0" w:color="auto"/>
            </w:tcBorders>
          </w:tcPr>
          <w:p w14:paraId="00E5F9F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20 186</w:t>
            </w:r>
          </w:p>
        </w:tc>
        <w:tc>
          <w:tcPr>
            <w:tcW w:w="797" w:type="dxa"/>
            <w:tcBorders>
              <w:top w:val="single" w:sz="6" w:space="0" w:color="auto"/>
              <w:left w:val="single" w:sz="6" w:space="0" w:color="auto"/>
              <w:bottom w:val="single" w:sz="6" w:space="0" w:color="auto"/>
              <w:right w:val="single" w:sz="6" w:space="0" w:color="auto"/>
            </w:tcBorders>
          </w:tcPr>
          <w:p w14:paraId="11B3ED1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11 031</w:t>
            </w:r>
          </w:p>
        </w:tc>
        <w:tc>
          <w:tcPr>
            <w:tcW w:w="806" w:type="dxa"/>
            <w:tcBorders>
              <w:top w:val="single" w:sz="6" w:space="0" w:color="auto"/>
              <w:left w:val="single" w:sz="6" w:space="0" w:color="auto"/>
              <w:bottom w:val="single" w:sz="6" w:space="0" w:color="auto"/>
              <w:right w:val="single" w:sz="6" w:space="0" w:color="auto"/>
            </w:tcBorders>
          </w:tcPr>
          <w:p w14:paraId="3E9AB20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31 217</w:t>
            </w:r>
          </w:p>
        </w:tc>
      </w:tr>
      <w:tr w:rsidR="009B487A" w:rsidRPr="00722885" w14:paraId="3B26FA72" w14:textId="77777777" w:rsidTr="00CC5360">
        <w:trPr>
          <w:trHeight w:val="202"/>
        </w:trPr>
        <w:tc>
          <w:tcPr>
            <w:tcW w:w="1948" w:type="dxa"/>
            <w:gridSpan w:val="2"/>
            <w:tcBorders>
              <w:top w:val="single" w:sz="6" w:space="0" w:color="auto"/>
              <w:left w:val="single" w:sz="6" w:space="0" w:color="auto"/>
              <w:bottom w:val="single" w:sz="6" w:space="0" w:color="auto"/>
              <w:right w:val="single" w:sz="6" w:space="0" w:color="auto"/>
            </w:tcBorders>
          </w:tcPr>
          <w:p w14:paraId="3FED26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 за 3 кв.</w:t>
            </w:r>
          </w:p>
        </w:tc>
        <w:tc>
          <w:tcPr>
            <w:tcW w:w="787" w:type="dxa"/>
            <w:tcBorders>
              <w:top w:val="single" w:sz="6" w:space="0" w:color="auto"/>
              <w:left w:val="single" w:sz="6" w:space="0" w:color="auto"/>
              <w:bottom w:val="single" w:sz="6" w:space="0" w:color="auto"/>
              <w:right w:val="single" w:sz="6" w:space="0" w:color="auto"/>
            </w:tcBorders>
          </w:tcPr>
          <w:p w14:paraId="07F41EE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6525</w:t>
            </w:r>
          </w:p>
        </w:tc>
        <w:tc>
          <w:tcPr>
            <w:tcW w:w="797" w:type="dxa"/>
            <w:tcBorders>
              <w:top w:val="single" w:sz="6" w:space="0" w:color="auto"/>
              <w:left w:val="single" w:sz="6" w:space="0" w:color="auto"/>
              <w:bottom w:val="single" w:sz="6" w:space="0" w:color="auto"/>
              <w:right w:val="single" w:sz="6" w:space="0" w:color="auto"/>
            </w:tcBorders>
          </w:tcPr>
          <w:p w14:paraId="3B52D3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2138</w:t>
            </w:r>
          </w:p>
        </w:tc>
        <w:tc>
          <w:tcPr>
            <w:tcW w:w="797" w:type="dxa"/>
            <w:tcBorders>
              <w:top w:val="single" w:sz="6" w:space="0" w:color="auto"/>
              <w:left w:val="single" w:sz="6" w:space="0" w:color="auto"/>
              <w:bottom w:val="single" w:sz="6" w:space="0" w:color="auto"/>
              <w:right w:val="single" w:sz="6" w:space="0" w:color="auto"/>
            </w:tcBorders>
          </w:tcPr>
          <w:p w14:paraId="7381C23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8663</w:t>
            </w:r>
          </w:p>
        </w:tc>
        <w:tc>
          <w:tcPr>
            <w:tcW w:w="797" w:type="dxa"/>
            <w:tcBorders>
              <w:top w:val="single" w:sz="6" w:space="0" w:color="auto"/>
              <w:left w:val="single" w:sz="6" w:space="0" w:color="auto"/>
              <w:bottom w:val="single" w:sz="6" w:space="0" w:color="auto"/>
              <w:right w:val="single" w:sz="6" w:space="0" w:color="auto"/>
            </w:tcBorders>
          </w:tcPr>
          <w:p w14:paraId="540562A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3832</w:t>
            </w:r>
          </w:p>
        </w:tc>
        <w:tc>
          <w:tcPr>
            <w:tcW w:w="797" w:type="dxa"/>
            <w:tcBorders>
              <w:top w:val="single" w:sz="6" w:space="0" w:color="auto"/>
              <w:left w:val="single" w:sz="6" w:space="0" w:color="auto"/>
              <w:bottom w:val="single" w:sz="6" w:space="0" w:color="auto"/>
              <w:right w:val="single" w:sz="6" w:space="0" w:color="auto"/>
            </w:tcBorders>
          </w:tcPr>
          <w:p w14:paraId="6DA62EA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4339</w:t>
            </w:r>
          </w:p>
        </w:tc>
        <w:tc>
          <w:tcPr>
            <w:tcW w:w="787" w:type="dxa"/>
            <w:tcBorders>
              <w:top w:val="single" w:sz="6" w:space="0" w:color="auto"/>
              <w:left w:val="single" w:sz="6" w:space="0" w:color="auto"/>
              <w:bottom w:val="single" w:sz="6" w:space="0" w:color="auto"/>
              <w:right w:val="single" w:sz="6" w:space="0" w:color="auto"/>
            </w:tcBorders>
          </w:tcPr>
          <w:p w14:paraId="1B59A1C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8 171</w:t>
            </w:r>
          </w:p>
        </w:tc>
        <w:tc>
          <w:tcPr>
            <w:tcW w:w="806" w:type="dxa"/>
            <w:tcBorders>
              <w:top w:val="single" w:sz="6" w:space="0" w:color="auto"/>
              <w:left w:val="single" w:sz="6" w:space="0" w:color="auto"/>
              <w:bottom w:val="single" w:sz="6" w:space="0" w:color="auto"/>
              <w:right w:val="single" w:sz="6" w:space="0" w:color="auto"/>
            </w:tcBorders>
          </w:tcPr>
          <w:p w14:paraId="58A01D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52342</w:t>
            </w:r>
          </w:p>
        </w:tc>
        <w:tc>
          <w:tcPr>
            <w:tcW w:w="797" w:type="dxa"/>
            <w:tcBorders>
              <w:top w:val="single" w:sz="6" w:space="0" w:color="auto"/>
              <w:left w:val="single" w:sz="6" w:space="0" w:color="auto"/>
              <w:bottom w:val="single" w:sz="6" w:space="0" w:color="auto"/>
              <w:right w:val="single" w:sz="6" w:space="0" w:color="auto"/>
            </w:tcBorders>
          </w:tcPr>
          <w:p w14:paraId="11A1E2A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32794</w:t>
            </w:r>
          </w:p>
        </w:tc>
        <w:tc>
          <w:tcPr>
            <w:tcW w:w="806" w:type="dxa"/>
            <w:tcBorders>
              <w:top w:val="single" w:sz="6" w:space="0" w:color="auto"/>
              <w:left w:val="single" w:sz="6" w:space="0" w:color="auto"/>
              <w:bottom w:val="single" w:sz="6" w:space="0" w:color="auto"/>
              <w:right w:val="single" w:sz="6" w:space="0" w:color="auto"/>
            </w:tcBorders>
          </w:tcPr>
          <w:p w14:paraId="0A82133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85136</w:t>
            </w:r>
          </w:p>
        </w:tc>
      </w:tr>
      <w:tr w:rsidR="009B487A" w:rsidRPr="00722885" w14:paraId="21109C61"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6162B15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1430" w:type="dxa"/>
            <w:tcBorders>
              <w:top w:val="single" w:sz="6" w:space="0" w:color="auto"/>
              <w:left w:val="single" w:sz="6" w:space="0" w:color="auto"/>
              <w:bottom w:val="single" w:sz="6" w:space="0" w:color="auto"/>
              <w:right w:val="single" w:sz="6" w:space="0" w:color="auto"/>
            </w:tcBorders>
          </w:tcPr>
          <w:p w14:paraId="223B47B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Октябрь</w:t>
            </w:r>
          </w:p>
        </w:tc>
        <w:tc>
          <w:tcPr>
            <w:tcW w:w="787" w:type="dxa"/>
            <w:tcBorders>
              <w:top w:val="single" w:sz="6" w:space="0" w:color="auto"/>
              <w:left w:val="single" w:sz="6" w:space="0" w:color="auto"/>
              <w:bottom w:val="single" w:sz="6" w:space="0" w:color="auto"/>
              <w:right w:val="single" w:sz="6" w:space="0" w:color="auto"/>
            </w:tcBorders>
          </w:tcPr>
          <w:p w14:paraId="573A951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1 659</w:t>
            </w:r>
          </w:p>
        </w:tc>
        <w:tc>
          <w:tcPr>
            <w:tcW w:w="797" w:type="dxa"/>
            <w:tcBorders>
              <w:top w:val="single" w:sz="6" w:space="0" w:color="auto"/>
              <w:left w:val="single" w:sz="6" w:space="0" w:color="auto"/>
              <w:bottom w:val="single" w:sz="6" w:space="0" w:color="auto"/>
              <w:right w:val="single" w:sz="6" w:space="0" w:color="auto"/>
            </w:tcBorders>
          </w:tcPr>
          <w:p w14:paraId="7D765EE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667</w:t>
            </w:r>
          </w:p>
        </w:tc>
        <w:tc>
          <w:tcPr>
            <w:tcW w:w="797" w:type="dxa"/>
            <w:tcBorders>
              <w:top w:val="single" w:sz="6" w:space="0" w:color="auto"/>
              <w:left w:val="single" w:sz="6" w:space="0" w:color="auto"/>
              <w:bottom w:val="single" w:sz="6" w:space="0" w:color="auto"/>
              <w:right w:val="single" w:sz="6" w:space="0" w:color="auto"/>
            </w:tcBorders>
          </w:tcPr>
          <w:p w14:paraId="4122E18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2326</w:t>
            </w:r>
          </w:p>
        </w:tc>
        <w:tc>
          <w:tcPr>
            <w:tcW w:w="797" w:type="dxa"/>
            <w:tcBorders>
              <w:top w:val="single" w:sz="6" w:space="0" w:color="auto"/>
              <w:left w:val="single" w:sz="6" w:space="0" w:color="auto"/>
              <w:bottom w:val="single" w:sz="6" w:space="0" w:color="auto"/>
              <w:right w:val="single" w:sz="6" w:space="0" w:color="auto"/>
            </w:tcBorders>
          </w:tcPr>
          <w:p w14:paraId="7233321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1 328</w:t>
            </w:r>
          </w:p>
        </w:tc>
        <w:tc>
          <w:tcPr>
            <w:tcW w:w="797" w:type="dxa"/>
            <w:tcBorders>
              <w:top w:val="single" w:sz="6" w:space="0" w:color="auto"/>
              <w:left w:val="single" w:sz="6" w:space="0" w:color="auto"/>
              <w:bottom w:val="single" w:sz="6" w:space="0" w:color="auto"/>
              <w:right w:val="single" w:sz="6" w:space="0" w:color="auto"/>
            </w:tcBorders>
          </w:tcPr>
          <w:p w14:paraId="311576B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1 216</w:t>
            </w:r>
          </w:p>
        </w:tc>
        <w:tc>
          <w:tcPr>
            <w:tcW w:w="787" w:type="dxa"/>
            <w:tcBorders>
              <w:top w:val="single" w:sz="6" w:space="0" w:color="auto"/>
              <w:left w:val="single" w:sz="6" w:space="0" w:color="auto"/>
              <w:bottom w:val="single" w:sz="6" w:space="0" w:color="auto"/>
              <w:right w:val="single" w:sz="6" w:space="0" w:color="auto"/>
            </w:tcBorders>
          </w:tcPr>
          <w:p w14:paraId="1F784D1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2544</w:t>
            </w:r>
          </w:p>
        </w:tc>
        <w:tc>
          <w:tcPr>
            <w:tcW w:w="806" w:type="dxa"/>
            <w:tcBorders>
              <w:top w:val="single" w:sz="6" w:space="0" w:color="auto"/>
              <w:left w:val="single" w:sz="6" w:space="0" w:color="auto"/>
              <w:bottom w:val="single" w:sz="6" w:space="0" w:color="auto"/>
              <w:right w:val="single" w:sz="6" w:space="0" w:color="auto"/>
            </w:tcBorders>
          </w:tcPr>
          <w:p w14:paraId="6531E9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18732</w:t>
            </w:r>
          </w:p>
        </w:tc>
        <w:tc>
          <w:tcPr>
            <w:tcW w:w="797" w:type="dxa"/>
            <w:tcBorders>
              <w:top w:val="single" w:sz="6" w:space="0" w:color="auto"/>
              <w:left w:val="single" w:sz="6" w:space="0" w:color="auto"/>
              <w:bottom w:val="single" w:sz="6" w:space="0" w:color="auto"/>
              <w:right w:val="single" w:sz="6" w:space="0" w:color="auto"/>
            </w:tcBorders>
          </w:tcPr>
          <w:p w14:paraId="46C89FC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12030</w:t>
            </w:r>
          </w:p>
        </w:tc>
        <w:tc>
          <w:tcPr>
            <w:tcW w:w="806" w:type="dxa"/>
            <w:tcBorders>
              <w:top w:val="single" w:sz="6" w:space="0" w:color="auto"/>
              <w:left w:val="single" w:sz="6" w:space="0" w:color="auto"/>
              <w:bottom w:val="single" w:sz="6" w:space="0" w:color="auto"/>
              <w:right w:val="single" w:sz="6" w:space="0" w:color="auto"/>
            </w:tcBorders>
          </w:tcPr>
          <w:p w14:paraId="19A66F8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30762</w:t>
            </w:r>
          </w:p>
        </w:tc>
      </w:tr>
      <w:tr w:rsidR="009B487A" w:rsidRPr="00722885" w14:paraId="72861B44"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154BFA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1430" w:type="dxa"/>
            <w:tcBorders>
              <w:top w:val="single" w:sz="6" w:space="0" w:color="auto"/>
              <w:left w:val="single" w:sz="6" w:space="0" w:color="auto"/>
              <w:bottom w:val="single" w:sz="6" w:space="0" w:color="auto"/>
              <w:right w:val="single" w:sz="6" w:space="0" w:color="auto"/>
            </w:tcBorders>
          </w:tcPr>
          <w:p w14:paraId="1EC3884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Ноябрь</w:t>
            </w:r>
          </w:p>
        </w:tc>
        <w:tc>
          <w:tcPr>
            <w:tcW w:w="787" w:type="dxa"/>
            <w:tcBorders>
              <w:top w:val="single" w:sz="6" w:space="0" w:color="auto"/>
              <w:left w:val="single" w:sz="6" w:space="0" w:color="auto"/>
              <w:bottom w:val="single" w:sz="6" w:space="0" w:color="auto"/>
              <w:right w:val="single" w:sz="6" w:space="0" w:color="auto"/>
            </w:tcBorders>
          </w:tcPr>
          <w:p w14:paraId="4E4FEC4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1 733</w:t>
            </w:r>
          </w:p>
        </w:tc>
        <w:tc>
          <w:tcPr>
            <w:tcW w:w="797" w:type="dxa"/>
            <w:tcBorders>
              <w:top w:val="single" w:sz="6" w:space="0" w:color="auto"/>
              <w:left w:val="single" w:sz="6" w:space="0" w:color="auto"/>
              <w:bottom w:val="single" w:sz="6" w:space="0" w:color="auto"/>
              <w:right w:val="single" w:sz="6" w:space="0" w:color="auto"/>
            </w:tcBorders>
          </w:tcPr>
          <w:p w14:paraId="6B291E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502</w:t>
            </w:r>
          </w:p>
        </w:tc>
        <w:tc>
          <w:tcPr>
            <w:tcW w:w="797" w:type="dxa"/>
            <w:tcBorders>
              <w:top w:val="single" w:sz="6" w:space="0" w:color="auto"/>
              <w:left w:val="single" w:sz="6" w:space="0" w:color="auto"/>
              <w:bottom w:val="single" w:sz="6" w:space="0" w:color="auto"/>
              <w:right w:val="single" w:sz="6" w:space="0" w:color="auto"/>
            </w:tcBorders>
          </w:tcPr>
          <w:p w14:paraId="2371435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2235</w:t>
            </w:r>
          </w:p>
        </w:tc>
        <w:tc>
          <w:tcPr>
            <w:tcW w:w="797" w:type="dxa"/>
            <w:tcBorders>
              <w:top w:val="single" w:sz="6" w:space="0" w:color="auto"/>
              <w:left w:val="single" w:sz="6" w:space="0" w:color="auto"/>
              <w:bottom w:val="single" w:sz="6" w:space="0" w:color="auto"/>
              <w:right w:val="single" w:sz="6" w:space="0" w:color="auto"/>
            </w:tcBorders>
          </w:tcPr>
          <w:p w14:paraId="4B3129F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1 225</w:t>
            </w:r>
          </w:p>
        </w:tc>
        <w:tc>
          <w:tcPr>
            <w:tcW w:w="797" w:type="dxa"/>
            <w:tcBorders>
              <w:top w:val="single" w:sz="6" w:space="0" w:color="auto"/>
              <w:left w:val="single" w:sz="6" w:space="0" w:color="auto"/>
              <w:bottom w:val="single" w:sz="6" w:space="0" w:color="auto"/>
              <w:right w:val="single" w:sz="6" w:space="0" w:color="auto"/>
            </w:tcBorders>
          </w:tcPr>
          <w:p w14:paraId="3823958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1 013</w:t>
            </w:r>
          </w:p>
        </w:tc>
        <w:tc>
          <w:tcPr>
            <w:tcW w:w="787" w:type="dxa"/>
            <w:tcBorders>
              <w:top w:val="single" w:sz="6" w:space="0" w:color="auto"/>
              <w:left w:val="single" w:sz="6" w:space="0" w:color="auto"/>
              <w:bottom w:val="single" w:sz="6" w:space="0" w:color="auto"/>
              <w:right w:val="single" w:sz="6" w:space="0" w:color="auto"/>
            </w:tcBorders>
          </w:tcPr>
          <w:p w14:paraId="482C9A7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2238</w:t>
            </w:r>
          </w:p>
        </w:tc>
        <w:tc>
          <w:tcPr>
            <w:tcW w:w="806" w:type="dxa"/>
            <w:tcBorders>
              <w:top w:val="single" w:sz="6" w:space="0" w:color="auto"/>
              <w:left w:val="single" w:sz="6" w:space="0" w:color="auto"/>
              <w:bottom w:val="single" w:sz="6" w:space="0" w:color="auto"/>
              <w:right w:val="single" w:sz="6" w:space="0" w:color="auto"/>
            </w:tcBorders>
          </w:tcPr>
          <w:p w14:paraId="722D833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18147</w:t>
            </w:r>
          </w:p>
        </w:tc>
        <w:tc>
          <w:tcPr>
            <w:tcW w:w="797" w:type="dxa"/>
            <w:tcBorders>
              <w:top w:val="single" w:sz="6" w:space="0" w:color="auto"/>
              <w:left w:val="single" w:sz="6" w:space="0" w:color="auto"/>
              <w:bottom w:val="single" w:sz="6" w:space="0" w:color="auto"/>
              <w:right w:val="single" w:sz="6" w:space="0" w:color="auto"/>
            </w:tcBorders>
          </w:tcPr>
          <w:p w14:paraId="570FCE9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9948</w:t>
            </w:r>
          </w:p>
        </w:tc>
        <w:tc>
          <w:tcPr>
            <w:tcW w:w="806" w:type="dxa"/>
            <w:tcBorders>
              <w:top w:val="single" w:sz="6" w:space="0" w:color="auto"/>
              <w:left w:val="single" w:sz="6" w:space="0" w:color="auto"/>
              <w:bottom w:val="single" w:sz="6" w:space="0" w:color="auto"/>
              <w:right w:val="single" w:sz="6" w:space="0" w:color="auto"/>
            </w:tcBorders>
          </w:tcPr>
          <w:p w14:paraId="147549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28095</w:t>
            </w:r>
          </w:p>
        </w:tc>
      </w:tr>
      <w:tr w:rsidR="009B487A" w:rsidRPr="00722885" w14:paraId="154F5EE4" w14:textId="77777777" w:rsidTr="00CC5360">
        <w:trPr>
          <w:trHeight w:val="192"/>
        </w:trPr>
        <w:tc>
          <w:tcPr>
            <w:tcW w:w="518" w:type="dxa"/>
            <w:tcBorders>
              <w:top w:val="single" w:sz="6" w:space="0" w:color="auto"/>
              <w:left w:val="single" w:sz="6" w:space="0" w:color="auto"/>
              <w:bottom w:val="single" w:sz="6" w:space="0" w:color="auto"/>
              <w:right w:val="single" w:sz="6" w:space="0" w:color="auto"/>
            </w:tcBorders>
          </w:tcPr>
          <w:p w14:paraId="1DD0F59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1430" w:type="dxa"/>
            <w:tcBorders>
              <w:top w:val="single" w:sz="6" w:space="0" w:color="auto"/>
              <w:left w:val="single" w:sz="6" w:space="0" w:color="auto"/>
              <w:bottom w:val="single" w:sz="6" w:space="0" w:color="auto"/>
              <w:right w:val="single" w:sz="6" w:space="0" w:color="auto"/>
            </w:tcBorders>
          </w:tcPr>
          <w:p w14:paraId="74698AD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Декабрь</w:t>
            </w:r>
          </w:p>
        </w:tc>
        <w:tc>
          <w:tcPr>
            <w:tcW w:w="787" w:type="dxa"/>
            <w:tcBorders>
              <w:top w:val="single" w:sz="6" w:space="0" w:color="auto"/>
              <w:left w:val="single" w:sz="6" w:space="0" w:color="auto"/>
              <w:bottom w:val="single" w:sz="6" w:space="0" w:color="auto"/>
              <w:right w:val="single" w:sz="6" w:space="0" w:color="auto"/>
            </w:tcBorders>
          </w:tcPr>
          <w:p w14:paraId="10018CF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2305</w:t>
            </w:r>
          </w:p>
        </w:tc>
        <w:tc>
          <w:tcPr>
            <w:tcW w:w="797" w:type="dxa"/>
            <w:tcBorders>
              <w:top w:val="single" w:sz="6" w:space="0" w:color="auto"/>
              <w:left w:val="single" w:sz="6" w:space="0" w:color="auto"/>
              <w:bottom w:val="single" w:sz="6" w:space="0" w:color="auto"/>
              <w:right w:val="single" w:sz="6" w:space="0" w:color="auto"/>
            </w:tcBorders>
          </w:tcPr>
          <w:p w14:paraId="268AA90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595</w:t>
            </w:r>
          </w:p>
        </w:tc>
        <w:tc>
          <w:tcPr>
            <w:tcW w:w="797" w:type="dxa"/>
            <w:tcBorders>
              <w:top w:val="single" w:sz="6" w:space="0" w:color="auto"/>
              <w:left w:val="single" w:sz="6" w:space="0" w:color="auto"/>
              <w:bottom w:val="single" w:sz="6" w:space="0" w:color="auto"/>
              <w:right w:val="single" w:sz="6" w:space="0" w:color="auto"/>
            </w:tcBorders>
          </w:tcPr>
          <w:p w14:paraId="3083CA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2900</w:t>
            </w:r>
          </w:p>
        </w:tc>
        <w:tc>
          <w:tcPr>
            <w:tcW w:w="797" w:type="dxa"/>
            <w:tcBorders>
              <w:top w:val="single" w:sz="6" w:space="0" w:color="auto"/>
              <w:left w:val="single" w:sz="6" w:space="0" w:color="auto"/>
              <w:bottom w:val="single" w:sz="6" w:space="0" w:color="auto"/>
              <w:right w:val="single" w:sz="6" w:space="0" w:color="auto"/>
            </w:tcBorders>
          </w:tcPr>
          <w:p w14:paraId="4AF8051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659</w:t>
            </w:r>
          </w:p>
        </w:tc>
        <w:tc>
          <w:tcPr>
            <w:tcW w:w="797" w:type="dxa"/>
            <w:tcBorders>
              <w:top w:val="single" w:sz="6" w:space="0" w:color="auto"/>
              <w:left w:val="single" w:sz="6" w:space="0" w:color="auto"/>
              <w:bottom w:val="single" w:sz="6" w:space="0" w:color="auto"/>
              <w:right w:val="single" w:sz="6" w:space="0" w:color="auto"/>
            </w:tcBorders>
          </w:tcPr>
          <w:p w14:paraId="27E7337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803</w:t>
            </w:r>
          </w:p>
        </w:tc>
        <w:tc>
          <w:tcPr>
            <w:tcW w:w="787" w:type="dxa"/>
            <w:tcBorders>
              <w:top w:val="single" w:sz="6" w:space="0" w:color="auto"/>
              <w:left w:val="single" w:sz="6" w:space="0" w:color="auto"/>
              <w:bottom w:val="single" w:sz="6" w:space="0" w:color="auto"/>
              <w:right w:val="single" w:sz="6" w:space="0" w:color="auto"/>
            </w:tcBorders>
          </w:tcPr>
          <w:p w14:paraId="6BAF4C3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1 462</w:t>
            </w:r>
          </w:p>
        </w:tc>
        <w:tc>
          <w:tcPr>
            <w:tcW w:w="806" w:type="dxa"/>
            <w:tcBorders>
              <w:top w:val="single" w:sz="6" w:space="0" w:color="auto"/>
              <w:left w:val="single" w:sz="6" w:space="0" w:color="auto"/>
              <w:bottom w:val="single" w:sz="6" w:space="0" w:color="auto"/>
              <w:right w:val="single" w:sz="6" w:space="0" w:color="auto"/>
            </w:tcBorders>
          </w:tcPr>
          <w:p w14:paraId="3F0B422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8923</w:t>
            </w:r>
          </w:p>
        </w:tc>
        <w:tc>
          <w:tcPr>
            <w:tcW w:w="797" w:type="dxa"/>
            <w:tcBorders>
              <w:top w:val="single" w:sz="6" w:space="0" w:color="auto"/>
              <w:left w:val="single" w:sz="6" w:space="0" w:color="auto"/>
              <w:bottom w:val="single" w:sz="6" w:space="0" w:color="auto"/>
              <w:right w:val="single" w:sz="6" w:space="0" w:color="auto"/>
            </w:tcBorders>
          </w:tcPr>
          <w:p w14:paraId="2DF5B54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6416</w:t>
            </w:r>
          </w:p>
        </w:tc>
        <w:tc>
          <w:tcPr>
            <w:tcW w:w="806" w:type="dxa"/>
            <w:tcBorders>
              <w:top w:val="single" w:sz="6" w:space="0" w:color="auto"/>
              <w:left w:val="single" w:sz="6" w:space="0" w:color="auto"/>
              <w:bottom w:val="single" w:sz="6" w:space="0" w:color="auto"/>
              <w:right w:val="single" w:sz="6" w:space="0" w:color="auto"/>
            </w:tcBorders>
          </w:tcPr>
          <w:p w14:paraId="46390A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15339</w:t>
            </w:r>
          </w:p>
        </w:tc>
      </w:tr>
      <w:tr w:rsidR="009B487A" w:rsidRPr="00722885" w14:paraId="72F421AF" w14:textId="77777777" w:rsidTr="00CC5360">
        <w:trPr>
          <w:trHeight w:val="192"/>
        </w:trPr>
        <w:tc>
          <w:tcPr>
            <w:tcW w:w="1948" w:type="dxa"/>
            <w:gridSpan w:val="2"/>
            <w:tcBorders>
              <w:top w:val="single" w:sz="6" w:space="0" w:color="auto"/>
              <w:left w:val="single" w:sz="6" w:space="0" w:color="auto"/>
              <w:bottom w:val="single" w:sz="6" w:space="0" w:color="auto"/>
              <w:right w:val="single" w:sz="6" w:space="0" w:color="auto"/>
            </w:tcBorders>
          </w:tcPr>
          <w:p w14:paraId="20F800C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 за 4 кв.</w:t>
            </w:r>
          </w:p>
        </w:tc>
        <w:tc>
          <w:tcPr>
            <w:tcW w:w="787" w:type="dxa"/>
            <w:tcBorders>
              <w:top w:val="single" w:sz="6" w:space="0" w:color="auto"/>
              <w:left w:val="single" w:sz="6" w:space="0" w:color="auto"/>
              <w:bottom w:val="single" w:sz="6" w:space="0" w:color="auto"/>
              <w:right w:val="single" w:sz="6" w:space="0" w:color="auto"/>
            </w:tcBorders>
          </w:tcPr>
          <w:p w14:paraId="6542DC1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5697</w:t>
            </w:r>
          </w:p>
        </w:tc>
        <w:tc>
          <w:tcPr>
            <w:tcW w:w="797" w:type="dxa"/>
            <w:tcBorders>
              <w:top w:val="single" w:sz="6" w:space="0" w:color="auto"/>
              <w:left w:val="single" w:sz="6" w:space="0" w:color="auto"/>
              <w:bottom w:val="single" w:sz="6" w:space="0" w:color="auto"/>
              <w:right w:val="single" w:sz="6" w:space="0" w:color="auto"/>
            </w:tcBorders>
          </w:tcPr>
          <w:p w14:paraId="5102134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1 764</w:t>
            </w:r>
          </w:p>
        </w:tc>
        <w:tc>
          <w:tcPr>
            <w:tcW w:w="797" w:type="dxa"/>
            <w:tcBorders>
              <w:top w:val="single" w:sz="6" w:space="0" w:color="auto"/>
              <w:left w:val="single" w:sz="6" w:space="0" w:color="auto"/>
              <w:bottom w:val="single" w:sz="6" w:space="0" w:color="auto"/>
              <w:right w:val="single" w:sz="6" w:space="0" w:color="auto"/>
            </w:tcBorders>
          </w:tcPr>
          <w:p w14:paraId="57A9879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7461</w:t>
            </w:r>
          </w:p>
        </w:tc>
        <w:tc>
          <w:tcPr>
            <w:tcW w:w="797" w:type="dxa"/>
            <w:tcBorders>
              <w:top w:val="single" w:sz="6" w:space="0" w:color="auto"/>
              <w:left w:val="single" w:sz="6" w:space="0" w:color="auto"/>
              <w:bottom w:val="single" w:sz="6" w:space="0" w:color="auto"/>
              <w:right w:val="single" w:sz="6" w:space="0" w:color="auto"/>
            </w:tcBorders>
          </w:tcPr>
          <w:p w14:paraId="1DC3AA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3212</w:t>
            </w:r>
          </w:p>
        </w:tc>
        <w:tc>
          <w:tcPr>
            <w:tcW w:w="797" w:type="dxa"/>
            <w:tcBorders>
              <w:top w:val="single" w:sz="6" w:space="0" w:color="auto"/>
              <w:left w:val="single" w:sz="6" w:space="0" w:color="auto"/>
              <w:bottom w:val="single" w:sz="6" w:space="0" w:color="auto"/>
              <w:right w:val="single" w:sz="6" w:space="0" w:color="auto"/>
            </w:tcBorders>
          </w:tcPr>
          <w:p w14:paraId="765EF09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3032</w:t>
            </w:r>
          </w:p>
        </w:tc>
        <w:tc>
          <w:tcPr>
            <w:tcW w:w="787" w:type="dxa"/>
            <w:tcBorders>
              <w:top w:val="single" w:sz="6" w:space="0" w:color="auto"/>
              <w:left w:val="single" w:sz="6" w:space="0" w:color="auto"/>
              <w:bottom w:val="single" w:sz="6" w:space="0" w:color="auto"/>
              <w:right w:val="single" w:sz="6" w:space="0" w:color="auto"/>
            </w:tcBorders>
          </w:tcPr>
          <w:p w14:paraId="33418C9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6244</w:t>
            </w:r>
          </w:p>
        </w:tc>
        <w:tc>
          <w:tcPr>
            <w:tcW w:w="806" w:type="dxa"/>
            <w:tcBorders>
              <w:top w:val="single" w:sz="6" w:space="0" w:color="auto"/>
              <w:left w:val="single" w:sz="6" w:space="0" w:color="auto"/>
              <w:bottom w:val="single" w:sz="6" w:space="0" w:color="auto"/>
              <w:right w:val="single" w:sz="6" w:space="0" w:color="auto"/>
            </w:tcBorders>
          </w:tcPr>
          <w:p w14:paraId="74BBDA9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5BCD8B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18D3085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74 196</w:t>
            </w:r>
          </w:p>
        </w:tc>
      </w:tr>
      <w:tr w:rsidR="009B487A" w:rsidRPr="00722885" w14:paraId="056F7939" w14:textId="77777777" w:rsidTr="00CC5360">
        <w:trPr>
          <w:trHeight w:val="211"/>
        </w:trPr>
        <w:tc>
          <w:tcPr>
            <w:tcW w:w="1948" w:type="dxa"/>
            <w:gridSpan w:val="2"/>
            <w:tcBorders>
              <w:top w:val="single" w:sz="6" w:space="0" w:color="auto"/>
              <w:left w:val="single" w:sz="6" w:space="0" w:color="auto"/>
              <w:bottom w:val="single" w:sz="6" w:space="0" w:color="auto"/>
              <w:right w:val="single" w:sz="6" w:space="0" w:color="auto"/>
            </w:tcBorders>
          </w:tcPr>
          <w:p w14:paraId="1ABD313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за 1 942 г.</w:t>
            </w:r>
          </w:p>
        </w:tc>
        <w:tc>
          <w:tcPr>
            <w:tcW w:w="787" w:type="dxa"/>
            <w:tcBorders>
              <w:top w:val="single" w:sz="6" w:space="0" w:color="auto"/>
              <w:left w:val="single" w:sz="6" w:space="0" w:color="auto"/>
              <w:bottom w:val="single" w:sz="6" w:space="0" w:color="auto"/>
              <w:right w:val="single" w:sz="6" w:space="0" w:color="auto"/>
            </w:tcBorders>
          </w:tcPr>
          <w:p w14:paraId="67168B9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6F6BE1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2E7006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24590</w:t>
            </w:r>
          </w:p>
        </w:tc>
        <w:tc>
          <w:tcPr>
            <w:tcW w:w="797" w:type="dxa"/>
            <w:tcBorders>
              <w:top w:val="single" w:sz="6" w:space="0" w:color="auto"/>
              <w:left w:val="single" w:sz="6" w:space="0" w:color="auto"/>
              <w:bottom w:val="single" w:sz="6" w:space="0" w:color="auto"/>
              <w:right w:val="single" w:sz="6" w:space="0" w:color="auto"/>
            </w:tcBorders>
          </w:tcPr>
          <w:p w14:paraId="1306271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E154F8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298C92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26062</w:t>
            </w:r>
          </w:p>
        </w:tc>
        <w:tc>
          <w:tcPr>
            <w:tcW w:w="806" w:type="dxa"/>
            <w:tcBorders>
              <w:top w:val="single" w:sz="6" w:space="0" w:color="auto"/>
              <w:left w:val="single" w:sz="6" w:space="0" w:color="auto"/>
              <w:bottom w:val="single" w:sz="6" w:space="0" w:color="auto"/>
              <w:right w:val="single" w:sz="6" w:space="0" w:color="auto"/>
            </w:tcBorders>
          </w:tcPr>
          <w:p w14:paraId="7A69D89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9A65F7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EA9069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274 180</w:t>
            </w:r>
          </w:p>
        </w:tc>
      </w:tr>
    </w:tbl>
    <w:p w14:paraId="208A3E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ЦАМО. Ф. 38. Оп. 11380. Д. 44. Л. 156. Подлинник.</w:t>
      </w:r>
    </w:p>
    <w:p w14:paraId="7289905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РЭУ ГАБТУ КА генерал-майор инженерно-танковой службы Сосенков</w:t>
      </w:r>
    </w:p>
    <w:p w14:paraId="22737B61"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Начальник 9 отдела инженер-майор Краснопевцев (11211).</w:t>
      </w:r>
    </w:p>
    <w:p w14:paraId="4350F202" w14:textId="77777777" w:rsidR="00BB6316" w:rsidRPr="00722885" w:rsidRDefault="00BB6316" w:rsidP="00722885">
      <w:pPr>
        <w:pStyle w:val="afff2"/>
        <w:jc w:val="both"/>
        <w:rPr>
          <w:i w:val="0"/>
          <w:iCs w:val="0"/>
          <w:color w:val="000000" w:themeColor="text1"/>
          <w:spacing w:val="0"/>
          <w:kern w:val="0"/>
          <w:position w:val="0"/>
          <w:sz w:val="16"/>
          <w:szCs w:val="16"/>
        </w:rPr>
      </w:pPr>
    </w:p>
    <w:p w14:paraId="1361124B"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В конце 1942 года колея передних колес ГАЗ-67 была несколько увеличена - до 1293 мм. Особенно этот недостаток сказывался на легком бронеавтомобиле БА-64-125, построенном в январе 1942 года на базе шасси ГАЗ-64 и с мая уже выпускавшемся параллельно с ним в значительных количествах. Боковой крен в 17° становился для него уже опасным. Поэтому широкого распространения в армии ГАЗ-64-416 так и не получил - в 1942 году их было выпущено всего 67 штук (бронеавтомобилей - 2486), хотя еще в июне завод получил дополнительное задание. В начале 1943 года производства не было совсем. Стало ясно, что нужна основательная модернизация ГАЗ-64, весьма полезная и для БА-64-125, на котором и было сосредоточено основное внимание создателей легковых автомобилей повышенной проходимости ГАЗ (9638).</w:t>
      </w:r>
    </w:p>
    <w:p w14:paraId="0E077960" w14:textId="77777777" w:rsidR="00BB6316" w:rsidRPr="00722885" w:rsidRDefault="00BB6316" w:rsidP="00722885">
      <w:pPr>
        <w:pStyle w:val="a8"/>
        <w:widowControl/>
        <w:jc w:val="both"/>
        <w:rPr>
          <w:rFonts w:ascii="Times New Roman" w:hAnsi="Times New Roman" w:cs="Times New Roman"/>
          <w:color w:val="000000" w:themeColor="text1"/>
        </w:rPr>
      </w:pPr>
    </w:p>
    <w:p w14:paraId="4FC81F35" w14:textId="77777777" w:rsidR="00E3119F" w:rsidRPr="00722885" w:rsidRDefault="00E3119F"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конце </w:t>
      </w:r>
      <w:smartTag w:uri="urn:schemas-microsoft-com:office:smarttags" w:element="metricconverter">
        <w:smartTagPr>
          <w:attr w:name="ProductID" w:val="1945 г"/>
        </w:smartTagPr>
        <w:r w:rsidRPr="00722885">
          <w:rPr>
            <w:rFonts w:ascii="Times New Roman" w:hAnsi="Times New Roman"/>
            <w:color w:val="000000" w:themeColor="text1"/>
            <w:sz w:val="16"/>
            <w:szCs w:val="16"/>
          </w:rPr>
          <w:t>1942 г</w:t>
        </w:r>
      </w:smartTag>
      <w:r w:rsidRPr="00722885">
        <w:rPr>
          <w:rFonts w:ascii="Times New Roman" w:hAnsi="Times New Roman"/>
          <w:color w:val="000000" w:themeColor="text1"/>
          <w:sz w:val="16"/>
          <w:szCs w:val="16"/>
        </w:rPr>
        <w:t>. у автомобиля ГАЗ-64 для повышения боковой устойчивости была увеличена колея обоих ведущих мостов, изменен кузов и модель стала называться ГАЗ-67. После еще одной модификации в 1944 году она получила индекс ГАЗ-67Б и выпускалась до 1953 года. За это время изготовлено 92 843 машины, до 9 мая 1945 года – 4851 (15218).</w:t>
      </w:r>
    </w:p>
    <w:p w14:paraId="4B620B18" w14:textId="77777777" w:rsidR="00E3119F" w:rsidRPr="00722885" w:rsidRDefault="00E3119F" w:rsidP="00722885">
      <w:pPr>
        <w:widowControl w:val="0"/>
        <w:spacing w:after="0" w:line="240" w:lineRule="auto"/>
        <w:jc w:val="both"/>
        <w:rPr>
          <w:rFonts w:ascii="Times New Roman" w:hAnsi="Times New Roman"/>
          <w:color w:val="000000" w:themeColor="text1"/>
          <w:sz w:val="16"/>
          <w:szCs w:val="16"/>
        </w:rPr>
      </w:pPr>
    </w:p>
    <w:p w14:paraId="0B5085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конце 1942 г. модернизация затронула джип ГАЗ-64. Прежде всего она связана с увеличением (с 1250 до 1466 мм) колеи. Соответственно кузов был оснащен выступающими за поверхность его боковины крыльями, укорочен задний свес. Двигатель также подвергся реконструкции, в частности, получил новый карбюратор с падающим потоком смеси, что сопровождалось повышением мощности с 50 до 54 л. с. Кроме того, в систему охлаждения двигателя ГАЗ-M был включен термостат и по-иному присоединялся водяной насос. Привод на все колеса, выгодное распределение полной массы по осям (42,5% на переднюю, 57,5% на заднюю), </w:t>
      </w:r>
      <w:r w:rsidRPr="00722885">
        <w:rPr>
          <w:rStyle w:val="a7"/>
          <w:rFonts w:ascii="Times New Roman" w:hAnsi="Times New Roman"/>
          <w:b w:val="0"/>
          <w:bCs w:val="0"/>
          <w:color w:val="000000" w:themeColor="text1"/>
          <w:sz w:val="16"/>
          <w:szCs w:val="16"/>
        </w:rPr>
        <w:t>достаточно большой</w:t>
      </w:r>
      <w:r w:rsidRPr="00722885">
        <w:rPr>
          <w:rStyle w:val="af0"/>
          <w:rFonts w:ascii="Times New Roman" w:hAnsi="Times New Roman"/>
          <w:i w:val="0"/>
          <w:iCs w:val="0"/>
          <w:color w:val="000000" w:themeColor="text1"/>
          <w:sz w:val="16"/>
          <w:szCs w:val="16"/>
        </w:rPr>
        <w:t>дорожный просвет</w:t>
      </w:r>
      <w:r w:rsidRPr="00722885">
        <w:rPr>
          <w:rFonts w:ascii="Times New Roman" w:hAnsi="Times New Roman"/>
          <w:color w:val="000000" w:themeColor="text1"/>
          <w:sz w:val="16"/>
          <w:szCs w:val="16"/>
        </w:rPr>
        <w:t xml:space="preserve"> (210 мм) и хорошие тяговые характеристики двигателя предопределили высокую проходимость ГАЗ-67. Без цепей противоскольжения автомобиль легко шел по снежной целине, глубиной 350 мм и преодолевал подъемы 10°. С цепями же он преодолевал заснеженные подъемы 20°. Машина могла </w:t>
      </w:r>
      <w:r w:rsidRPr="00722885">
        <w:rPr>
          <w:rFonts w:ascii="Times New Roman" w:hAnsi="Times New Roman"/>
          <w:color w:val="000000" w:themeColor="text1"/>
          <w:sz w:val="16"/>
          <w:szCs w:val="16"/>
        </w:rPr>
        <w:lastRenderedPageBreak/>
        <w:t xml:space="preserve">перевозить четырех человек и буксировать прицеп массой 800-1000 кг. Неприхотливый двигатель мог работать на любом сорте бензина - важное обстоятельство в военных условиях. Расход топлива с октановым числом 66 составлял 16- 18 л/100 км. Запас горючего (70 л) размещался в двух баках. При снаряженной массе 1376 кг ГАЗ-67 достигал скорости 90 км/ч. О его тяговых возможностях можно судить по тому, что на низшей передаче он развивал усилие на 18% большее, чем известные американские джипы того времени "Виллис-МБ" и "Форд-ГПВ". В тяжелых дорожных условиях при включенной низшей передаче его максимальная скорость, соответствующая режиму наибольшего крутящего момента, составляла 6,9 км/ч, т. е. практически была близка к скорости пешехода. Автомобили "Виллис" и "Форд" располагали менее гибкой характеристикой двигателя и, кроме того, из-за узкой колеи колес имели недостаточную боковую устойчивость. Благодаря отсутствию дверей (их заменяли вырезы в боковинах кузова) ГАЗ-67 позволял пассажирам при </w:t>
      </w:r>
      <w:r w:rsidRPr="00722885">
        <w:rPr>
          <w:rStyle w:val="af0"/>
          <w:rFonts w:ascii="Times New Roman" w:hAnsi="Times New Roman"/>
          <w:i w:val="0"/>
          <w:iCs w:val="0"/>
          <w:color w:val="000000" w:themeColor="text1"/>
          <w:sz w:val="16"/>
          <w:szCs w:val="16"/>
        </w:rPr>
        <w:t>необходимости быстро</w:t>
      </w:r>
      <w:r w:rsidRPr="00722885">
        <w:rPr>
          <w:rFonts w:ascii="Times New Roman" w:hAnsi="Times New Roman"/>
          <w:color w:val="000000" w:themeColor="text1"/>
          <w:sz w:val="16"/>
          <w:szCs w:val="16"/>
        </w:rPr>
        <w:t xml:space="preserve"> покидать машину. При сложенном тенте и опущенном на капот двигателя </w:t>
      </w:r>
      <w:r w:rsidRPr="00722885">
        <w:rPr>
          <w:rStyle w:val="a7"/>
          <w:rFonts w:ascii="Times New Roman" w:hAnsi="Times New Roman"/>
          <w:b w:val="0"/>
          <w:bCs w:val="0"/>
          <w:color w:val="000000" w:themeColor="text1"/>
          <w:sz w:val="16"/>
          <w:szCs w:val="16"/>
        </w:rPr>
        <w:t>ветровом стекле машина</w:t>
      </w:r>
      <w:r w:rsidRPr="00722885">
        <w:rPr>
          <w:rFonts w:ascii="Times New Roman" w:hAnsi="Times New Roman"/>
          <w:color w:val="000000" w:themeColor="text1"/>
          <w:sz w:val="16"/>
          <w:szCs w:val="16"/>
        </w:rPr>
        <w:t xml:space="preserve"> легко маскировалась, поскольку ее высота в этом случае снижалась до 1250 мм. Габарит же автомобиля определялся следующими данными: длина - 3345 мм, ширина - 1720 мм, высота (с поднятым тентом) - 1700 мм, база - 2100 мм. Дальнейшей модернизации в деталях этот весьма удачный по конструкции советский джип подвергся в 1944 г., что нашло отражение в его индексе - ГАЗ-67Б. Небольшое количество автомобилей ГАЗ-67Б </w:t>
      </w:r>
      <w:r w:rsidRPr="00722885">
        <w:rPr>
          <w:rStyle w:val="af0"/>
          <w:rFonts w:ascii="Times New Roman" w:hAnsi="Times New Roman"/>
          <w:i w:val="0"/>
          <w:iCs w:val="0"/>
          <w:color w:val="000000" w:themeColor="text1"/>
          <w:sz w:val="16"/>
          <w:szCs w:val="16"/>
        </w:rPr>
        <w:t>оснащалось двухдвернымизакрытыми кузовами</w:t>
      </w:r>
      <w:r w:rsidRPr="00722885">
        <w:rPr>
          <w:rFonts w:ascii="Times New Roman" w:hAnsi="Times New Roman"/>
          <w:color w:val="000000" w:themeColor="text1"/>
          <w:sz w:val="16"/>
          <w:szCs w:val="16"/>
        </w:rPr>
        <w:t>, которые изготовлял не ГАЗ, а один из кузовных заводов. Эти машины назывались ГАЗ-67-420. В общей сложности с 1942 по 1953 г. изготовлено 62843 экземпляра ГАЗ-67 и ГАЗ-67Б, причем в период 1942 - 1945 гг.- около 5300 машин (12098).</w:t>
      </w:r>
    </w:p>
    <w:p w14:paraId="2B20CA1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3F5B9F6"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В конце 1942 ЗИС в инициативном порядке взялся за разработку сравнительно большого БТР на основе только что освоенного ЗИС-42 (9624).</w:t>
      </w:r>
    </w:p>
    <w:p w14:paraId="24EBD189" w14:textId="77777777" w:rsidR="00BB6316" w:rsidRPr="00722885" w:rsidRDefault="00BB6316" w:rsidP="00722885">
      <w:pPr>
        <w:pStyle w:val="a8"/>
        <w:widowControl/>
        <w:jc w:val="both"/>
        <w:rPr>
          <w:rFonts w:ascii="Times New Roman" w:hAnsi="Times New Roman" w:cs="Times New Roman"/>
          <w:color w:val="000000" w:themeColor="text1"/>
        </w:rPr>
      </w:pPr>
    </w:p>
    <w:p w14:paraId="05D22CF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 главный инженер ЯАЗ (впоследствии - ЯМЗ) Виктор Васильевич Осепчугов был вызван в Москву в НКТП, где перед заводом поставили задачу по скорейшей доработке конструкции тягача и организации его серийного производства (5743, 14). Доработкой машины на ЯАЗ занимались Главный конструктор завода Георгий Михайлович Кокин, и.о. главного технолога - Исаак Соломонович Шапиро и конструктор Николай Михайлович Чистов под общим руководством главного инженера В.Осепчугова (5743, 14). В процессе работ над тягачом исходный образец подвергся многочисленным доработкам, связанным в том числе и с переориентацией на базу нового легкого танка - Т-70. В конструкции машины была усилена подвеска, применена более широкая гусеница, новая КПП, позволившая повысить тяговые качества при некотором снижении максимальной скорости движения (5743, 14). В литейном производстве в короткое время было освоено литье опорных катков, а для большей производительности при производстве траков установили литейный конвейер и толкательную печь для их непрерывной термообработки (5744, 30).</w:t>
      </w:r>
    </w:p>
    <w:p w14:paraId="6B13E269" w14:textId="77777777" w:rsidR="00BB6316" w:rsidRPr="00722885" w:rsidRDefault="00BB6316" w:rsidP="00722885">
      <w:pPr>
        <w:pStyle w:val="Iauiue"/>
        <w:jc w:val="both"/>
        <w:rPr>
          <w:color w:val="000000" w:themeColor="text1"/>
          <w:sz w:val="16"/>
          <w:szCs w:val="16"/>
        </w:rPr>
      </w:pPr>
    </w:p>
    <w:p w14:paraId="74E1B8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ЯАЗа</w:t>
      </w:r>
      <w:r w:rsidRPr="00722885">
        <w:rPr>
          <w:rStyle w:val="a7"/>
          <w:rFonts w:ascii="Times New Roman" w:hAnsi="Times New Roman"/>
          <w:b w:val="0"/>
          <w:bCs w:val="0"/>
          <w:color w:val="000000" w:themeColor="text1"/>
          <w:sz w:val="16"/>
          <w:szCs w:val="16"/>
        </w:rPr>
        <w:t xml:space="preserve"> получил задание</w:t>
      </w:r>
      <w:r w:rsidRPr="00722885">
        <w:rPr>
          <w:rFonts w:ascii="Times New Roman" w:hAnsi="Times New Roman"/>
          <w:color w:val="000000" w:themeColor="text1"/>
          <w:sz w:val="16"/>
          <w:szCs w:val="16"/>
        </w:rPr>
        <w:t xml:space="preserve"> освоить выпуск гусеничного тягача для буксировки артиллерийских систем. Его конструкцию в 1941 г. разработал НАТИ. Производство этих машин - они </w:t>
      </w:r>
      <w:r w:rsidRPr="00722885">
        <w:rPr>
          <w:rStyle w:val="af0"/>
          <w:rFonts w:ascii="Times New Roman" w:hAnsi="Times New Roman"/>
          <w:i w:val="0"/>
          <w:iCs w:val="0"/>
          <w:color w:val="000000" w:themeColor="text1"/>
          <w:sz w:val="16"/>
          <w:szCs w:val="16"/>
        </w:rPr>
        <w:t>получили индекс</w:t>
      </w:r>
      <w:r w:rsidRPr="00722885">
        <w:rPr>
          <w:rFonts w:ascii="Times New Roman" w:hAnsi="Times New Roman"/>
          <w:color w:val="000000" w:themeColor="text1"/>
          <w:sz w:val="16"/>
          <w:szCs w:val="16"/>
        </w:rPr>
        <w:t xml:space="preserve"> Я-11 - с двумя </w:t>
      </w:r>
      <w:r w:rsidRPr="00722885">
        <w:rPr>
          <w:rStyle w:val="af0"/>
          <w:rFonts w:ascii="Times New Roman" w:hAnsi="Times New Roman"/>
          <w:i w:val="0"/>
          <w:iCs w:val="0"/>
          <w:color w:val="000000" w:themeColor="text1"/>
          <w:sz w:val="16"/>
          <w:szCs w:val="16"/>
        </w:rPr>
        <w:t>шестицилиндровыми двигателями</w:t>
      </w:r>
      <w:r w:rsidRPr="00722885">
        <w:rPr>
          <w:rFonts w:ascii="Times New Roman" w:hAnsi="Times New Roman"/>
          <w:color w:val="000000" w:themeColor="text1"/>
          <w:sz w:val="16"/>
          <w:szCs w:val="16"/>
        </w:rPr>
        <w:t xml:space="preserve"> ГАЗ мощностью по 70 л. с. планировалось развернуть в июне 1943 г. Однако разрушенный вражескими бомбардировщиками моторный цех ГАЗа не мог обеспечить ЯАЗ двигателями. Необходим был другой двигатель. И тогда вспомнили о начавшихся перед самой </w:t>
      </w:r>
      <w:r w:rsidRPr="00722885">
        <w:rPr>
          <w:rStyle w:val="a7"/>
          <w:rFonts w:ascii="Times New Roman" w:hAnsi="Times New Roman"/>
          <w:b w:val="0"/>
          <w:bCs w:val="0"/>
          <w:color w:val="000000" w:themeColor="text1"/>
          <w:sz w:val="16"/>
          <w:szCs w:val="16"/>
        </w:rPr>
        <w:t>войной переговорах</w:t>
      </w:r>
      <w:r w:rsidRPr="00722885">
        <w:rPr>
          <w:rFonts w:ascii="Times New Roman" w:hAnsi="Times New Roman"/>
          <w:color w:val="000000" w:themeColor="text1"/>
          <w:sz w:val="16"/>
          <w:szCs w:val="16"/>
        </w:rPr>
        <w:t xml:space="preserve"> с американскими фирмами об оснащении станками будущего моторного производства ЯАЗ. Ему предстояло выпускать семейство двухтактных дизелей "Джиэмси", Поставки из США входивших в это семейство </w:t>
      </w:r>
      <w:r w:rsidRPr="00722885">
        <w:rPr>
          <w:rStyle w:val="a7"/>
          <w:rFonts w:ascii="Times New Roman" w:hAnsi="Times New Roman"/>
          <w:b w:val="0"/>
          <w:bCs w:val="0"/>
          <w:color w:val="000000" w:themeColor="text1"/>
          <w:sz w:val="16"/>
          <w:szCs w:val="16"/>
        </w:rPr>
        <w:t>четырехцилиндровых двигателей модели</w:t>
      </w:r>
      <w:r w:rsidRPr="00722885">
        <w:rPr>
          <w:rFonts w:ascii="Times New Roman" w:hAnsi="Times New Roman"/>
          <w:color w:val="000000" w:themeColor="text1"/>
          <w:sz w:val="16"/>
          <w:szCs w:val="16"/>
        </w:rPr>
        <w:t xml:space="preserve"> "4-71" мощностью 110 л, с. решили </w:t>
      </w:r>
      <w:r w:rsidRPr="00722885">
        <w:rPr>
          <w:rStyle w:val="a7"/>
          <w:rFonts w:ascii="Times New Roman" w:hAnsi="Times New Roman"/>
          <w:b w:val="0"/>
          <w:bCs w:val="0"/>
          <w:color w:val="000000" w:themeColor="text1"/>
          <w:sz w:val="16"/>
          <w:szCs w:val="16"/>
        </w:rPr>
        <w:t>проблему силовой установки</w:t>
      </w:r>
      <w:r w:rsidRPr="00722885">
        <w:rPr>
          <w:rFonts w:ascii="Times New Roman" w:hAnsi="Times New Roman"/>
          <w:color w:val="000000" w:themeColor="text1"/>
          <w:sz w:val="16"/>
          <w:szCs w:val="16"/>
        </w:rPr>
        <w:t xml:space="preserve"> ярославского тягача. Переконструированный под новый двигатель, он получил индекс Я-12 и начал выпускаться уже в августе 1943 г. Эта </w:t>
      </w:r>
      <w:r w:rsidRPr="00722885">
        <w:rPr>
          <w:rStyle w:val="af0"/>
          <w:rFonts w:ascii="Times New Roman" w:hAnsi="Times New Roman"/>
          <w:i w:val="0"/>
          <w:iCs w:val="0"/>
          <w:color w:val="000000" w:themeColor="text1"/>
          <w:sz w:val="16"/>
          <w:szCs w:val="16"/>
        </w:rPr>
        <w:t>машина обладала</w:t>
      </w:r>
      <w:r w:rsidRPr="00722885">
        <w:rPr>
          <w:rFonts w:ascii="Times New Roman" w:hAnsi="Times New Roman"/>
          <w:color w:val="000000" w:themeColor="text1"/>
          <w:sz w:val="16"/>
          <w:szCs w:val="16"/>
        </w:rPr>
        <w:t xml:space="preserve"> высокой маневренностью, хорошей проходимостью и развивала на шоссе скорость 37 км/ч, а на грунтовой дороге-16 км/ч. Тягачи Я-12, которые служили для буксировки орудий корпусной артиллерии массой до 5 т, резко повысили их подвижность и тем самым коренным образом изменили тактические возможности этого вида артсистем. Но поставки импортных дизелей вскоре прекратились, и коллектив ЯАЗа реконструировал тягач под установку шестицилиндрового карбюраторного двигателя ЗИС-5МФ мощностью 95 л. с. </w:t>
      </w:r>
      <w:r w:rsidRPr="00722885">
        <w:rPr>
          <w:rStyle w:val="af0"/>
          <w:rFonts w:ascii="Times New Roman" w:hAnsi="Times New Roman"/>
          <w:i w:val="0"/>
          <w:iCs w:val="0"/>
          <w:color w:val="000000" w:themeColor="text1"/>
          <w:sz w:val="16"/>
          <w:szCs w:val="16"/>
        </w:rPr>
        <w:t>Новая модель</w:t>
      </w:r>
      <w:r w:rsidRPr="00722885">
        <w:rPr>
          <w:rFonts w:ascii="Times New Roman" w:hAnsi="Times New Roman"/>
          <w:color w:val="000000" w:themeColor="text1"/>
          <w:sz w:val="16"/>
          <w:szCs w:val="16"/>
        </w:rPr>
        <w:t xml:space="preserve"> получила индекс Я-1 ЗФ (12098).</w:t>
      </w:r>
    </w:p>
    <w:p w14:paraId="126DF99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00D8375" w14:textId="77777777" w:rsidR="00E3119F" w:rsidRPr="00722885" w:rsidRDefault="00E3119F"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 конце 1942 г., когда возникли затруднения в поставке мотоциклов через Северные порты Мурманска и Архангельска, нашли другой путь - через Иран в Джульфу (город в Азербайджане)</w:t>
      </w:r>
      <w:r w:rsidRPr="00722885">
        <w:rPr>
          <w:rStyle w:val="0pt1"/>
          <w:rFonts w:eastAsia="Arial Narrow"/>
          <w:b w:val="0"/>
          <w:color w:val="000000" w:themeColor="text1"/>
          <w:spacing w:val="0"/>
          <w:sz w:val="16"/>
          <w:szCs w:val="16"/>
        </w:rPr>
        <w:t xml:space="preserve"> и</w:t>
      </w:r>
      <w:r w:rsidRPr="00722885">
        <w:rPr>
          <w:rFonts w:ascii="Times New Roman" w:cs="Times New Roman"/>
          <w:color w:val="000000" w:themeColor="text1"/>
          <w:spacing w:val="0"/>
          <w:sz w:val="16"/>
          <w:szCs w:val="16"/>
        </w:rPr>
        <w:t xml:space="preserve"> далее в Орджоникид</w:t>
      </w:r>
      <w:r w:rsidRPr="00722885">
        <w:rPr>
          <w:rFonts w:ascii="Times New Roman" w:cs="Times New Roman"/>
          <w:color w:val="000000" w:themeColor="text1"/>
          <w:spacing w:val="0"/>
          <w:sz w:val="16"/>
          <w:szCs w:val="16"/>
        </w:rPr>
        <w:softHyphen/>
        <w:t>зе (ныне - Владикавказ). Узлы и детали разобранных мотоциклов, упа</w:t>
      </w:r>
      <w:r w:rsidRPr="00722885">
        <w:rPr>
          <w:rFonts w:ascii="Times New Roman" w:cs="Times New Roman"/>
          <w:color w:val="000000" w:themeColor="text1"/>
          <w:spacing w:val="0"/>
          <w:sz w:val="16"/>
          <w:szCs w:val="16"/>
        </w:rPr>
        <w:softHyphen/>
        <w:t>кованные в ящики, везли на автомашинах. В пути мотоимущество по не</w:t>
      </w:r>
      <w:r w:rsidRPr="00722885">
        <w:rPr>
          <w:rFonts w:ascii="Times New Roman" w:cs="Times New Roman"/>
          <w:color w:val="000000" w:themeColor="text1"/>
          <w:spacing w:val="0"/>
          <w:sz w:val="16"/>
          <w:szCs w:val="16"/>
        </w:rPr>
        <w:softHyphen/>
        <w:t>скольку раз перегружалось, в результате укупорка нарушалась, детали из разбитых ящиков терялись или расхищались. Южный путь импортных мотоциклов доставлял много хлопот военпредам ГАБТУ КА из-за раз- укомплектованности получаемой техники, задержки в доставке и офор</w:t>
      </w:r>
      <w:r w:rsidRPr="00722885">
        <w:rPr>
          <w:rFonts w:ascii="Times New Roman" w:cs="Times New Roman"/>
          <w:color w:val="000000" w:themeColor="text1"/>
          <w:spacing w:val="0"/>
          <w:sz w:val="16"/>
          <w:szCs w:val="16"/>
        </w:rPr>
        <w:softHyphen/>
        <w:t>млении документов. В первое время склады ГАБТУ КА в Джульфе и Ор</w:t>
      </w:r>
      <w:r w:rsidRPr="00722885">
        <w:rPr>
          <w:rFonts w:ascii="Times New Roman" w:cs="Times New Roman"/>
          <w:color w:val="000000" w:themeColor="text1"/>
          <w:spacing w:val="0"/>
          <w:sz w:val="16"/>
          <w:szCs w:val="16"/>
        </w:rPr>
        <w:softHyphen/>
        <w:t>джоникидзе не. справлялись с приемкой имущества, так как машин и запасных частей поступало очень много, транспортировка не была на</w:t>
      </w:r>
      <w:r w:rsidRPr="00722885">
        <w:rPr>
          <w:rFonts w:ascii="Times New Roman" w:cs="Times New Roman"/>
          <w:color w:val="000000" w:themeColor="text1"/>
          <w:spacing w:val="0"/>
          <w:sz w:val="16"/>
          <w:szCs w:val="16"/>
        </w:rPr>
        <w:softHyphen/>
        <w:t>лажена, а в пути случалось много аварий. Тем не менее, импорт мото</w:t>
      </w:r>
      <w:r w:rsidRPr="00722885">
        <w:rPr>
          <w:rFonts w:ascii="Times New Roman" w:cs="Times New Roman"/>
          <w:color w:val="000000" w:themeColor="text1"/>
          <w:spacing w:val="0"/>
          <w:sz w:val="16"/>
          <w:szCs w:val="16"/>
        </w:rPr>
        <w:softHyphen/>
        <w:t>циклов из Англии и США постепенно налаживался и до мая 1945 г. было получено 299444 мотоцикла (15769).</w:t>
      </w:r>
    </w:p>
    <w:p w14:paraId="4178D24E" w14:textId="77777777" w:rsidR="00E3119F" w:rsidRPr="00722885" w:rsidRDefault="00E3119F" w:rsidP="00722885">
      <w:pPr>
        <w:pStyle w:val="88"/>
        <w:shd w:val="clear" w:color="auto" w:fill="auto"/>
        <w:spacing w:before="0" w:line="240" w:lineRule="auto"/>
        <w:jc w:val="both"/>
        <w:outlineLvl w:val="9"/>
        <w:rPr>
          <w:rFonts w:ascii="Times New Roman" w:hAnsi="Times New Roman" w:cs="Times New Roman"/>
          <w:b w:val="0"/>
          <w:color w:val="000000" w:themeColor="text1"/>
          <w:sz w:val="16"/>
          <w:szCs w:val="16"/>
        </w:rPr>
      </w:pPr>
    </w:p>
    <w:p w14:paraId="5328DA05"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при КБ завода № 209 в Ленинграде была организована лаборатория по разработке секретной телефонии. Начиная с 1942 года завод выпустил 50 аппаратов засекречивания, в основном имевших шифрующие устройства со сложной механикой. Лаборатория была усилена специалистами из других ведомств Ю.Я. Волошенко, М.Л. Дайчиком, А.П. Петерсоном, А.М. Наносом, Л.И. Ионтовым, С.Я. Салтыковым и др. Хотя общая численность лаборатории была всего 25–30 человек, но, имея хорошую производственную базу завода, она смогла разрабатывать механические узлы шифраторов, а позднее аппаратуру засекречивания в целом (15736).</w:t>
      </w:r>
    </w:p>
    <w:p w14:paraId="6140C9EE" w14:textId="77777777" w:rsidR="00565332" w:rsidRPr="00722885" w:rsidRDefault="00565332" w:rsidP="00722885">
      <w:pPr>
        <w:spacing w:after="0" w:line="240" w:lineRule="auto"/>
        <w:jc w:val="both"/>
        <w:rPr>
          <w:rFonts w:ascii="Times New Roman" w:hAnsi="Times New Roman"/>
          <w:color w:val="000000" w:themeColor="text1"/>
          <w:sz w:val="16"/>
          <w:szCs w:val="16"/>
        </w:rPr>
      </w:pPr>
    </w:p>
    <w:p w14:paraId="0D8FA0AE"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года был разработан прибор, «значительно повысивший эффективность стрельбы по берегу с использованием вспомогательной точки наводки». Далее последовала коренная модернизация ПУС «Мина-7», в результате которой точность наводки орудий была существенно повышена. Но методы решения задач и состав основных приборов нового ПУС «Мина-30» практически не отличались от ПУС «Мина-7», поэтому еще одной из первых задач, поставленных перед СКБ в 1942 г., была задача проведения коренной модернизации системы ПУС «Мина-30». Она была проведена в течение 1943 года под руководством З.Ш. Либуркина. В 1943 году была наконец испытана на Северном флоте, а в следующем году и принята на вооружение система МПУАЗО «Союз» для эсминцев (15736).</w:t>
      </w:r>
    </w:p>
    <w:p w14:paraId="5A13F84B" w14:textId="77777777" w:rsidR="00565332" w:rsidRPr="00722885" w:rsidRDefault="00565332" w:rsidP="00722885">
      <w:pPr>
        <w:spacing w:after="0" w:line="240" w:lineRule="auto"/>
        <w:jc w:val="both"/>
        <w:rPr>
          <w:rFonts w:ascii="Times New Roman" w:hAnsi="Times New Roman"/>
          <w:color w:val="000000" w:themeColor="text1"/>
          <w:sz w:val="16"/>
          <w:szCs w:val="16"/>
        </w:rPr>
      </w:pPr>
    </w:p>
    <w:p w14:paraId="4B2941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w:t>
      </w:r>
      <w:r w:rsidRPr="00722885">
        <w:rPr>
          <w:rFonts w:ascii="Times New Roman" w:hAnsi="Times New Roman"/>
          <w:color w:val="000000" w:themeColor="text1"/>
          <w:sz w:val="16"/>
          <w:szCs w:val="16"/>
        </w:rPr>
        <w:softHyphen/>
        <w:t>це 1942 г. в системе Наркомата боепри</w:t>
      </w:r>
      <w:r w:rsidRPr="00722885">
        <w:rPr>
          <w:rFonts w:ascii="Times New Roman" w:hAnsi="Times New Roman"/>
          <w:color w:val="000000" w:themeColor="text1"/>
          <w:sz w:val="16"/>
          <w:szCs w:val="16"/>
        </w:rPr>
        <w:softHyphen/>
        <w:t>пасов был сформирован Московский механическом ин</w:t>
      </w:r>
      <w:r w:rsidRPr="00722885">
        <w:rPr>
          <w:rFonts w:ascii="Times New Roman" w:hAnsi="Times New Roman"/>
          <w:color w:val="000000" w:themeColor="text1"/>
          <w:sz w:val="16"/>
          <w:szCs w:val="16"/>
        </w:rPr>
        <w:softHyphen/>
        <w:t>ститут (ММИ) (11090).</w:t>
      </w:r>
    </w:p>
    <w:p w14:paraId="08B7D1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EE7DCB1" w14:textId="77777777" w:rsidR="006A0985" w:rsidRPr="00722885" w:rsidRDefault="006A0985"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В конце 1942 года, то есть как раз в то время, когда Гроте работал над своим P.1000, похожую идею вынашивал инженер завода №2 (ныне Магаданский механический завод) Харламов. Результатом стал проект целого семейства сверхтяжёлых боевых машин, которые изобретатель назвал просто и незатейливо — «сухопутный флот». При этом автор не просто предлагал боевые машины, но и обосновывал их применение:</w:t>
      </w:r>
    </w:p>
    <w:p w14:paraId="700A2819"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«Предлагаю создать с немедлительным началом работ сухопутный флот, построенный на основе морских форм и морских тактических приёмов, перенесённых на сушу в следующем качественном составе:</w:t>
      </w:r>
    </w:p>
    <w:p w14:paraId="50B130F4"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а) Боевых сухопутных кораблей, для прорыва в глубокие тылы через любые части неприятельского фронта и уничтожения его резервов и главных центров (120) — 90 штук</w:t>
      </w:r>
    </w:p>
    <w:p w14:paraId="38AFF3CE"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б) Спасательных сухкоров — для захвата линий коммуникаций и зон в тылу противника через прорывы — брони, пробитые боевыми сухкорами (960) — 270 штук</w:t>
      </w:r>
    </w:p>
    <w:p w14:paraId="512906A4"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в) Поражающих сухкоров — для уничтожения опорных сильнейших пунктов и баз противника, как по линии фронта, так и в любом тылу (120) — 40 штук</w:t>
      </w:r>
    </w:p>
    <w:p w14:paraId="2DF0B57E"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г) Снабжающих сухкоров для снабжения частей операционных сухкоров.</w:t>
      </w:r>
    </w:p>
    <w:p w14:paraId="066F7C8B"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Васухокоры являются танками исключительного размера для несения необходимой мощи артиллерии брони и груза (десанта или снабжения) максимально реальной оперативности в условиях действия в пределах Азиатских и Ср. Европейских равнин согласно предварительных схематических эскизов и схем прилагаемых с их характеристиками.</w:t>
      </w:r>
    </w:p>
    <w:p w14:paraId="7E0984D5" w14:textId="77777777" w:rsidR="006A0985" w:rsidRPr="00722885" w:rsidRDefault="006A0985" w:rsidP="00722885">
      <w:pPr>
        <w:pStyle w:val="ae"/>
        <w:shd w:val="clear" w:color="auto" w:fill="FFFFFF"/>
        <w:spacing w:before="0" w:after="0"/>
        <w:jc w:val="both"/>
        <w:textAlignment w:val="baseline"/>
        <w:rPr>
          <w:iCs/>
          <w:color w:val="000000" w:themeColor="text1"/>
          <w:sz w:val="16"/>
          <w:szCs w:val="16"/>
        </w:rPr>
      </w:pPr>
      <w:r w:rsidRPr="00722885">
        <w:rPr>
          <w:iCs/>
          <w:color w:val="000000" w:themeColor="text1"/>
          <w:sz w:val="16"/>
          <w:szCs w:val="16"/>
          <w:bdr w:val="none" w:sz="0" w:space="0" w:color="auto" w:frame="1"/>
        </w:rPr>
        <w:t>Настоящие боевые средства предлагаются мною как следствие разработанной мною военной доктрины СССР, как нового типа государства в условиях его географического положения в эпоху мировых социальных войн и революций; сущность которой истекает из положения: война — есть продолжение политики только иными средствами (Клаузевиц, Ленин, Сталин)».</w:t>
      </w:r>
    </w:p>
    <w:p w14:paraId="4E39E341" w14:textId="77777777" w:rsidR="006A0985" w:rsidRPr="00722885" w:rsidRDefault="006A0985"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Главной ударной силой «сухопутного флота» Харламов представлял боевую машину длиной 36, шириной 18 и высотой 16 м. Удивительно, но по габаритам конструкция оказалась очень схожей с немецким P.1000. На этом сходство не заканчивалось: по проекту «боевой сухопутный корабль» оснащался орудийными башнями по типу корабельных. Главный калибр был скромнее, чем у творения Гроте: согласно описанию, в башне главного калибра размещалось четыре 203-мм морских орудия. Перед башней главного калибра находилась башня со счетверённой установкой 130-мм морских орудий Б-13. Ещё две такие башни находились по бортам, ближе к корме. По центру корпуса, выполненного по типу корабельного, находилась рубка, сверху которой располагалась площадка для зенитных автоматов. Удивительно, но на эскизе явственно читается установка четырёх Flakvierling 38. Кстати, эти счетверённые 20-мм зенитные автоматы действительно ставились на корабли, но на немецкие. Кроме того, по бортам корпуса находились казематные установки, в каждой из которых размещалось по паре 76-мм орудий.</w:t>
      </w:r>
    </w:p>
    <w:p w14:paraId="1DD00277" w14:textId="77777777" w:rsidR="006A0985" w:rsidRPr="00722885" w:rsidRDefault="006A0985" w:rsidP="00722885">
      <w:pPr>
        <w:pStyle w:val="ae"/>
        <w:shd w:val="clear" w:color="auto" w:fill="FFFFFF"/>
        <w:spacing w:before="0" w:after="0"/>
        <w:jc w:val="both"/>
        <w:textAlignment w:val="baseline"/>
        <w:rPr>
          <w:color w:val="000000" w:themeColor="text1"/>
          <w:sz w:val="16"/>
          <w:szCs w:val="16"/>
        </w:rPr>
      </w:pPr>
      <w:r w:rsidRPr="00722885">
        <w:rPr>
          <w:color w:val="000000" w:themeColor="text1"/>
          <w:sz w:val="16"/>
          <w:szCs w:val="16"/>
        </w:rPr>
        <w:t>Судя по схеме, помимо наступательного вооружения, «сухопутный боевой корабль» мог оснащаться тралом каткового типа. Боевая масса «сухкора» оценивалась в 2800 т, а максимальная скорость — до 110-120 км/ч. Помимо боевого корабля, в пояснительной записке нашлось место эскизному проекту транспортного «сухкора». Длина транспортной машины достигала 51 м, ширина — 20 м, высота — 11 м. Полная масса оценивалась в 3200 т, из них 500 т приходилась на груз. Максимальная скорость оценивалась в 60-65 км/ч. Транспортные функции отнюдь не означали, что машина будет невооружённой. На неё ставились две четырёхорудийные башни со 130-мм пушками (такие же, как малые башни боевого «сухкора»). Кроме того, аналогично боевой версии, по бортам стояло шесть двухорудийных 76-мм казематных установок.</w:t>
      </w:r>
    </w:p>
    <w:p w14:paraId="4FFB5E81" w14:textId="77777777" w:rsidR="006A0985" w:rsidRPr="00722885" w:rsidRDefault="006A0985" w:rsidP="00722885">
      <w:pPr>
        <w:spacing w:after="0" w:line="240" w:lineRule="auto"/>
        <w:jc w:val="both"/>
        <w:rPr>
          <w:rFonts w:ascii="Times New Roman" w:hAnsi="Times New Roman"/>
          <w:color w:val="000000" w:themeColor="text1"/>
          <w:sz w:val="16"/>
          <w:szCs w:val="16"/>
          <w:shd w:val="clear" w:color="auto" w:fill="FFFFFF"/>
        </w:rPr>
      </w:pPr>
      <w:r w:rsidRPr="00722885">
        <w:rPr>
          <w:rFonts w:ascii="Times New Roman" w:hAnsi="Times New Roman"/>
          <w:color w:val="000000" w:themeColor="text1"/>
          <w:sz w:val="16"/>
          <w:szCs w:val="16"/>
          <w:shd w:val="clear" w:color="auto" w:fill="FFFFFF"/>
        </w:rPr>
        <w:lastRenderedPageBreak/>
        <w:t>Второй раз Харламов отправил письмо 23 марта 1943 года, адресатом выступал заместитель Наркома внутренних дел В.В. Чернышёв (19738).</w:t>
      </w:r>
    </w:p>
    <w:p w14:paraId="79655B71" w14:textId="77777777" w:rsidR="006A0985" w:rsidRPr="00722885" w:rsidRDefault="006A0985" w:rsidP="00722885">
      <w:pPr>
        <w:spacing w:after="0" w:line="240" w:lineRule="auto"/>
        <w:jc w:val="both"/>
        <w:rPr>
          <w:rFonts w:ascii="Times New Roman" w:hAnsi="Times New Roman"/>
          <w:color w:val="000000" w:themeColor="text1"/>
          <w:sz w:val="16"/>
          <w:szCs w:val="16"/>
          <w:shd w:val="clear" w:color="auto" w:fill="FFFFFF"/>
        </w:rPr>
      </w:pPr>
    </w:p>
    <w:p w14:paraId="4072036C"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проекты МК-1 и МК-2 были рассмотрены в управлении бронепоездов Красной Армии, и направлены заводу на доработку. Главным недостатком военные считали вооружение, которое предложили усилить путем установки башен танка Т-34. Но в начале 1943 года завод № 38 отказался от доработки проектов МК, мотивируя это загруженностью «в связи с освоением самоходных установок СУ-76» (18626).</w:t>
      </w:r>
    </w:p>
    <w:p w14:paraId="70FA2C5C" w14:textId="77777777" w:rsidR="00B867F7" w:rsidRPr="00722885" w:rsidRDefault="00B867F7" w:rsidP="00722885">
      <w:pPr>
        <w:spacing w:after="0" w:line="240" w:lineRule="auto"/>
        <w:jc w:val="both"/>
        <w:rPr>
          <w:rFonts w:ascii="Times New Roman" w:hAnsi="Times New Roman"/>
          <w:color w:val="000000" w:themeColor="text1"/>
          <w:sz w:val="16"/>
          <w:szCs w:val="16"/>
        </w:rPr>
      </w:pPr>
    </w:p>
    <w:p w14:paraId="4884B55D" w14:textId="77777777" w:rsidR="006A0985" w:rsidRPr="00722885" w:rsidRDefault="006A098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было увеличение вдвое количества заводов-поставщиков инженерной продукции по сравнению с 1941 г., а также переход свыше 1500 предприятий на ее изготовление. К производственной деятельности по выпуску инженерной техники при участии А.Н.Косыгина были подключены такие новые заводы, как Московский мебельный №1, «Фанеропродукт», «Красный штамповщик», «Карплита», заводы треста «Мосгордревпрома», некоторые заводы Комитета по делам искусств при СНК СССР, кирпичные заводы Московской области, Воскресенский цементный завод; фабрики «Культтоваров», «Смычковых инструментов», им. Красина, им. Сакко и Ванцетти; артели «Деревянные шкивы», «Красный сеточник», «Красная звезда», «Котлотопстрой», «Мосщеппром» и многие другие. Более того, в целях форсирования выпуска инженерного и саперного вооружения А.Н.Косыгин использовал возможности по размещению и выполнению заказов инженерных войск на предприятиях промкооперации, а также местной и лесной промышленности. К примеру, много заказов, особенно по переправочным и десантным средствам, было размещено на предприятиях Наркомлеса, на которых также изготавливались деревянные корпуса противотанковых и противопехотных мин, специальные катера и аэросани; на заводах местной промышленности РСФСР — шанцевый инструмент, спецмины, взрыватели и замыкатели; на фабриках и в мастерских Учпедгиза и Комитета по делам искусств — аккумуляторные приборы для освещения командных пунктов и других подразделений, а также карманные фонари; сетевязальные мастерские промкооперации изготавливали маскировочные сети, различные маски и покрытия; на судостроительных и судоремонтных предприятиях — тяжелые металлические парки (19730).</w:t>
      </w:r>
    </w:p>
    <w:p w14:paraId="262E9903" w14:textId="77777777" w:rsidR="006A0985" w:rsidRPr="00722885" w:rsidRDefault="006A0985" w:rsidP="00722885">
      <w:pPr>
        <w:spacing w:after="0" w:line="240" w:lineRule="auto"/>
        <w:jc w:val="both"/>
        <w:rPr>
          <w:rFonts w:ascii="Times New Roman" w:hAnsi="Times New Roman"/>
          <w:color w:val="000000" w:themeColor="text1"/>
          <w:sz w:val="16"/>
          <w:szCs w:val="16"/>
        </w:rPr>
      </w:pPr>
    </w:p>
    <w:p w14:paraId="64B0D4F7"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конце 1942 - начале 1943 года ведущие специалисты по урановому проекту сформулировали ряд предложений, необходимых для реализации Распоряжения ГКО "Об организации работ по урану". В предложениях И.В. Курчатова, направленных А.Ф. Иоффе (ответственному лицу за реализацию Распоряжения ГКО), отмечалось, что к декабрю 1942 года: </w:t>
      </w:r>
    </w:p>
    <w:p w14:paraId="6EE6EF81"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Радиевом институте проведена предварительная подготовка по ряду направлений:</w:t>
      </w:r>
    </w:p>
    <w:p w14:paraId="2C7F17A8"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задача изготовления значительного количества (около одного килограмма) гексафторида урана; </w:t>
      </w:r>
    </w:p>
    <w:p w14:paraId="22BB622C"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развитие аппаратурной базы для физических исследований; </w:t>
      </w:r>
    </w:p>
    <w:p w14:paraId="09B1F92B"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создание лабораторной установки для термодиффузионного разделения изотопов урана в газовой фазе на основе гексафторида урана (за два месяца работы установки предполагалось получить 5 граммов урана, обогащенного по изотопу U-235 до 4%); </w:t>
      </w:r>
    </w:p>
    <w:p w14:paraId="0BB0AF88"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изучение физико-химических свойств гексафторида урана (уравнение состояния, коррозионное воздействие на конструкционные материалы, вязкость, теплопроводность); </w:t>
      </w:r>
    </w:p>
    <w:p w14:paraId="144A9DC5"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проведение экспериментов по термодиффузии в жидкой среде (10549).</w:t>
      </w:r>
    </w:p>
    <w:p w14:paraId="0D934C3C"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Физическом институте АН СССР имеется циклотронная камера, которая позволяет получать дейтроны с энергией около 1 МэВ (10549).</w:t>
      </w:r>
    </w:p>
    <w:p w14:paraId="66E06014"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проведения работ достаточно количества радия, имеющегося в Радиевом институте, вместе с тем, необходимо получение из-за рубежа протактиния в количестве 1-2 мг (10549).</w:t>
      </w:r>
    </w:p>
    <w:p w14:paraId="48D2C7A4" w14:textId="77777777" w:rsidR="003D573C" w:rsidRPr="00722885" w:rsidRDefault="003D573C" w:rsidP="00722885">
      <w:pPr>
        <w:spacing w:after="0" w:line="240" w:lineRule="auto"/>
        <w:jc w:val="both"/>
        <w:rPr>
          <w:rFonts w:ascii="Times New Roman" w:hAnsi="Times New Roman"/>
          <w:color w:val="000000" w:themeColor="text1"/>
          <w:sz w:val="16"/>
          <w:szCs w:val="16"/>
        </w:rPr>
      </w:pPr>
    </w:p>
    <w:p w14:paraId="5941B964" w14:textId="77777777" w:rsidR="003D573C" w:rsidRPr="00722885" w:rsidRDefault="003D573C" w:rsidP="00722885">
      <w:pPr>
        <w:pStyle w:val="Iauiue"/>
        <w:jc w:val="both"/>
        <w:rPr>
          <w:color w:val="000000" w:themeColor="text1"/>
          <w:sz w:val="16"/>
          <w:szCs w:val="16"/>
        </w:rPr>
      </w:pPr>
      <w:r w:rsidRPr="00722885">
        <w:rPr>
          <w:color w:val="000000" w:themeColor="text1"/>
          <w:sz w:val="16"/>
          <w:szCs w:val="16"/>
        </w:rPr>
        <w:t>К концу 1942 г. в результате эвакуации западных заводов резко увеличилась мощность верфей, располо</w:t>
      </w:r>
      <w:r w:rsidRPr="00722885">
        <w:rPr>
          <w:color w:val="000000" w:themeColor="text1"/>
          <w:sz w:val="16"/>
          <w:szCs w:val="16"/>
        </w:rPr>
        <w:softHyphen/>
        <w:t>женных на востоке страны (на Волге и за Волгой). Выпуск продукции на некоторых из них за годы войны возрос в 4—5 раз. Многие из этих верфей, переведенные в начале войны в подчине</w:t>
      </w:r>
      <w:r w:rsidRPr="00722885">
        <w:rPr>
          <w:color w:val="000000" w:themeColor="text1"/>
          <w:sz w:val="16"/>
          <w:szCs w:val="16"/>
        </w:rPr>
        <w:softHyphen/>
        <w:t>ние Наркомсудпрома постепенно превратились в крупные су</w:t>
      </w:r>
      <w:r w:rsidRPr="00722885">
        <w:rPr>
          <w:color w:val="000000" w:themeColor="text1"/>
          <w:sz w:val="16"/>
          <w:szCs w:val="16"/>
        </w:rPr>
        <w:softHyphen/>
        <w:t>достроительные предприятия и остались в системе этого ведомства до конца его существования. И все же общий баланс производст-венньхх мощностей судостроения СССР до конца войны был отри</w:t>
      </w:r>
      <w:r w:rsidRPr="00722885">
        <w:rPr>
          <w:color w:val="000000" w:themeColor="text1"/>
          <w:sz w:val="16"/>
          <w:szCs w:val="16"/>
        </w:rPr>
        <w:softHyphen/>
        <w:t>цательным (3898).</w:t>
      </w:r>
    </w:p>
    <w:p w14:paraId="497210DD" w14:textId="77777777" w:rsidR="003D573C" w:rsidRPr="00722885" w:rsidRDefault="003D573C" w:rsidP="00722885">
      <w:pPr>
        <w:pStyle w:val="Iauiue"/>
        <w:jc w:val="both"/>
        <w:rPr>
          <w:color w:val="000000" w:themeColor="text1"/>
          <w:sz w:val="16"/>
          <w:szCs w:val="16"/>
        </w:rPr>
      </w:pPr>
    </w:p>
    <w:p w14:paraId="37FDB877" w14:textId="77777777" w:rsidR="003D573C" w:rsidRPr="00722885" w:rsidRDefault="003D573C" w:rsidP="00722885">
      <w:pPr>
        <w:pStyle w:val="Iauiue"/>
        <w:jc w:val="both"/>
        <w:rPr>
          <w:color w:val="000000" w:themeColor="text1"/>
          <w:sz w:val="16"/>
          <w:szCs w:val="16"/>
        </w:rPr>
      </w:pPr>
      <w:r w:rsidRPr="00722885">
        <w:rPr>
          <w:color w:val="000000" w:themeColor="text1"/>
          <w:sz w:val="16"/>
          <w:szCs w:val="16"/>
        </w:rPr>
        <w:t>К концу 1942 г. после освоения по</w:t>
      </w:r>
      <w:r w:rsidRPr="00722885">
        <w:rPr>
          <w:color w:val="000000" w:themeColor="text1"/>
          <w:sz w:val="16"/>
          <w:szCs w:val="16"/>
        </w:rPr>
        <w:softHyphen/>
        <w:t>точного производства на Тюменской верфи собиралось до 12 единиц. Акватория верфи и окрестные водоемы не позволяли испытывать быстроход</w:t>
      </w:r>
      <w:r w:rsidRPr="00722885">
        <w:rPr>
          <w:color w:val="000000" w:themeColor="text1"/>
          <w:sz w:val="16"/>
          <w:szCs w:val="16"/>
        </w:rPr>
        <w:softHyphen/>
        <w:t>ные и маневренные торпедные катера. Поэтому бьшо решено ис</w:t>
      </w:r>
      <w:r w:rsidRPr="00722885">
        <w:rPr>
          <w:color w:val="000000" w:themeColor="text1"/>
          <w:sz w:val="16"/>
          <w:szCs w:val="16"/>
        </w:rPr>
        <w:softHyphen/>
        <w:t>пытывать их на Тихом океане и доставлять на сдаточную базу, а оттуда к месту базирования на театры военных действий железно</w:t>
      </w:r>
      <w:r w:rsidRPr="00722885">
        <w:rPr>
          <w:color w:val="000000" w:themeColor="text1"/>
          <w:sz w:val="16"/>
          <w:szCs w:val="16"/>
        </w:rPr>
        <w:softHyphen/>
        <w:t>дорожным транспортом (3898).</w:t>
      </w:r>
    </w:p>
    <w:p w14:paraId="1B9A8054" w14:textId="77777777" w:rsidR="003D573C" w:rsidRPr="00722885" w:rsidRDefault="003D573C" w:rsidP="00722885">
      <w:pPr>
        <w:pStyle w:val="Iauiue"/>
        <w:jc w:val="both"/>
        <w:rPr>
          <w:color w:val="000000" w:themeColor="text1"/>
          <w:sz w:val="16"/>
          <w:szCs w:val="16"/>
        </w:rPr>
      </w:pPr>
    </w:p>
    <w:p w14:paraId="1139DADA"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 концу 1942 г. начало работать СКБ НКСП, созданное 1 апреля 1942 г. в соответствии с пост. ГКО № 1521 для проектирования, изготовления и испытаний торпед и мин акустического действия. Разместилось СКБ на 2-м этаже главного корпуса НИИ-10. Первыми сотрудниками стали В.А. Поликарпов, Г.М. Клементьев, М.К. Розин, К.А. Санников,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Ужевский, В.П. Кузнецов. В 05-06.1942г. сюда реэвакуирована и переведена часть конструкторов с завода № 205; в 07.1942г. переведена группа специалистов по гироскопической тематике из НИИ-10; в 08- 09.1942г. переведены кадры с заводов № 215 и № 231; в 10-11.1942г. в СКБ влилась большая группа специалистов КБ Ленинградского завода «Электроприбор», эвакуированного в Москву. В соответствии с распоряжением ГКО № 2590 от 7.12.1942г. в состав СКБ влито СКБ завода № 706 НКСП с его тематикой.</w:t>
      </w:r>
    </w:p>
    <w:p w14:paraId="738DA9D8"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Первой разработкой была система шумопеленгования для самонаводящейся акустической торпеды, затем в годы войны создана большая гамма приборов для КА и ВМФ.</w:t>
      </w:r>
    </w:p>
    <w:p w14:paraId="1CB9BCB5"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13.06.1945г. организован Ленинградский филиал СКБ НКСП (с 1949г.- НИИ-303 МСП).</w:t>
      </w:r>
    </w:p>
    <w:p w14:paraId="1C891B56"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1946г. СКБ МСП преобразовано в МНИИ-1 (Морской НИИ № 1 (МНИИ-1) МСП,</w:t>
      </w:r>
      <w:r w:rsidRPr="00722885">
        <w:rPr>
          <w:rFonts w:ascii="Times New Roman" w:hAnsi="Times New Roman"/>
          <w:smallCaps/>
          <w:color w:val="000000" w:themeColor="text1"/>
          <w:sz w:val="16"/>
          <w:szCs w:val="16"/>
        </w:rPr>
        <w:t xml:space="preserve"> скб</w:t>
      </w:r>
      <w:r w:rsidRPr="00722885">
        <w:rPr>
          <w:rFonts w:ascii="Times New Roman" w:hAnsi="Times New Roman"/>
          <w:color w:val="000000" w:themeColor="text1"/>
          <w:sz w:val="16"/>
          <w:szCs w:val="16"/>
        </w:rPr>
        <w:t xml:space="preserve"> нксп, мсп, п/я 3100, Центральный морской НИИ (ЦМНИИ), ЦНИИ «Агат» МСП, Г-4677, НПО «Агат», ГУП, ФГУП «НПО «Агат» /г. Москва ул. Авиамоторная, 51 А/, /105275 г. Москва ш. Энтузиастов, 29/53 тел. 673-40-63/)</w:t>
      </w:r>
    </w:p>
    <w:p w14:paraId="52EA72D4"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Имел наименование «п/я 3100». В 1948г. институту передано здание фабрики-кухни по Центральному проезду (в 2000-е г. - это вторая площадка предприятия по ул. Авиамоторной, 51А). Корпус был надстроен и введен в строй в 1957(2)г. В 1952г. завершены работы по организации ОП на переданном институту заводе № 932 (ул. Сосенская). После этого помещения, занимаемые в НИИ-10, были освобождены.</w:t>
      </w:r>
    </w:p>
    <w:p w14:paraId="07441EE3"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r w:rsidRPr="00722885">
        <w:rPr>
          <w:rFonts w:ascii="Times New Roman" w:hAnsi="Times New Roman"/>
          <w:color w:val="000000" w:themeColor="text1"/>
          <w:sz w:val="16"/>
          <w:szCs w:val="16"/>
          <w:vertAlign w:val="superscript"/>
        </w:rPr>
        <w:t xml:space="preserve">9: </w:t>
      </w:r>
      <w:r w:rsidRPr="00722885">
        <w:rPr>
          <w:rFonts w:ascii="Times New Roman" w:hAnsi="Times New Roman"/>
          <w:color w:val="000000" w:themeColor="text1"/>
          <w:sz w:val="16"/>
          <w:szCs w:val="16"/>
        </w:rPr>
        <w:t>Разработка приборов управления стрельбой (ПУС) надводных кораблей. В соответствии с ПСМ №2361-Г124сс от 25.11.1954г. ПУС «Сфера-50» пнв.</w:t>
      </w:r>
    </w:p>
    <w:p w14:paraId="5B61A535"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4C0BCBAD"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института имелись проектно-конструкторский, лабораторно-исследовательский отделы, экспериментальный цех.</w:t>
      </w:r>
    </w:p>
    <w:p w14:paraId="7B919B7D"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1950-е г. институт начал привлекаться к разработке РЛ систем. По приказу МСП от 31.12.1955г. ему поручена разработка счетно-решающей части и антенного поста системы «Барс», а в 1957г.- системы «Рысь». В 1955-59г. созданы первые корабельные СУ стрельбой крылатыми ракетами.</w:t>
      </w:r>
    </w:p>
    <w:p w14:paraId="1C06FCFA"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1952г. из МНИИ-1 в КБ завода № 782 МСП переведена группа специалистов во главе с В.Н. Егоровым.</w:t>
      </w:r>
    </w:p>
    <w:p w14:paraId="5323D252"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1954-55г. начаты, впервые в отрасли, НИР в области разработки цифровой вычислительной техники. Начата разработка теории создания СУ стрельбой ракетным оружием.</w:t>
      </w:r>
    </w:p>
    <w:p w14:paraId="204862EA"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1959г. начата разработка первой в стране мобильной ЭВМ 5Э89 («Курс-1») для обработки РЛ информации станций П-35 и «Алтай». Строилась серийно в 1962-87г. В 1960 г. создана первая отечественная система «Кадр» цифрового программного управления наведением антенн АДУ-1000 ЦЦКС.</w:t>
      </w:r>
    </w:p>
    <w:p w14:paraId="14077DA8"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1957г. начаты работы по новому направлению- системы управления и защиты (СУЗ) атомных энергетических установок для ПЛ (Е.К. Беляков, С.В. Кузьмин).</w:t>
      </w:r>
    </w:p>
    <w:p w14:paraId="7E6C56EA"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начала 1960-х г. основное направление деятельности института - разработка цифровой вычислительной техники для ВМФ. Институт стал головным по этому направлению. В 1958г. начата разработка автоматизированной системы обмена информацией между кораблями «Море-У» и первой отечественной БИУС для крейсеров пр. 1123 «Корень». В 1962-65г. создана первая морская ЭВМ «Море» для системы «Море-У»; в 1960-67г.- первая БИУС «Туча» для АПЛ пр.667А. Далее институт специализировался на БИУС для ПЛ.</w:t>
      </w:r>
    </w:p>
    <w:p w14:paraId="1D4F5AC0"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1962г. разрабатывалась автоматизированная система ПВО «Колос-1126», затем с прекращением строительства корабля пр. 1126 работы свернуты.</w:t>
      </w:r>
    </w:p>
    <w:p w14:paraId="08594874"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1960-х г. созданы системы наведения антенн дальней радиосвязи для КА «Союз», «Салют», «Луна», «Марс», «Зонд», «Венера-5», «Венера-6».</w:t>
      </w:r>
    </w:p>
    <w:p w14:paraId="643D2F4E"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1960-е г. институт стал головным по ЭВМ и системам управления для МСП.</w:t>
      </w:r>
    </w:p>
    <w:p w14:paraId="1A4CA0C6"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1962г. были построены и введены в эксплуатацию новые корпуса для производственно-технических, лабораторно-исследовательских и вспомогательных подразделений с ОП. В 1972г. введен в строй лабораторно- производственный корпус площадью 13,5 тыс.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 1989г. введен в строй еще один лабораторно- производственный корпус площадью 8 тыс.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08C092D1"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1961 г. создан филиал на Ульяновском машиностроительном заводе им. Володарского (далее- НИИ «Марс»). Создан Ереванский филиал института, ориентированный на разработку тренажерной техники.</w:t>
      </w:r>
    </w:p>
    <w:p w14:paraId="5ECD08F5"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1966г. МНИИ-1 переименован в ЦМНИИ с филиалами в Ульяновске и Ереване, с В 1971 г. ЦМНИИ переименован в ЦНИИ «Агат». Имел наименование «предприятие- п/я Г-4677». В 1977г. на базе ЦНИИ создано НПО «Агат», в которое вошли также опытный завод «Агат», завод «Базальт» и Ереванский филиал ЦНИИ «Агат». В начале 1990-х г. завод «Базальт» и Ереванский филиал вышли из состава НПО. В 1998г. НПО «Агат» преобразовано в ГУП, а затем- в ФГУП «НПО «Агат».</w:t>
      </w:r>
    </w:p>
    <w:p w14:paraId="7ADD7F35"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 осени 1974г. начаты работы по программе «Звезда» (перевооружения ВМФ новыми ГАС) в части аппаратной поддержки пространственно-временной обработки (Парфенов, Романьянс).</w:t>
      </w:r>
    </w:p>
    <w:p w14:paraId="1E661D26"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1974-83г. в институте велось серийное производство БИУС дня кораблей 3-го поколения.</w:t>
      </w:r>
    </w:p>
    <w:p w14:paraId="4E790F40"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Направления работ (1978г.): разработка: БИУС для всех классов ПЛ; корабельных цифровых ВС для управления стрельбой БР и КР; базовых средств ВТ; комплексных тактических учебно-тренировочных средств; СУЗ ЯЭУ. Институт являлся головным по разработке базовых средств ВТ. Проведены исследования по созданию унифицированных конструкций приборов, блоков и электронных модулей по программам «ПросэМ», «Единство», «Прогресс», «Изящество».</w:t>
      </w:r>
    </w:p>
    <w:p w14:paraId="154AD8ED"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института- испытательная база, позволяющая проводить все категории испытаний РЭА массой</w:t>
      </w:r>
    </w:p>
    <w:p w14:paraId="7370CB4B"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2 т.</w:t>
      </w:r>
    </w:p>
    <w:p w14:paraId="4933FC39"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Работы (2005г.): БИУС и СУО для ПЛ </w:t>
      </w:r>
      <w:r w:rsidRPr="00722885">
        <w:rPr>
          <w:rFonts w:ascii="Times New Roman" w:hAnsi="Times New Roman"/>
          <w:color w:val="000000" w:themeColor="text1"/>
          <w:sz w:val="16"/>
          <w:szCs w:val="16"/>
          <w:lang w:val="en-US"/>
        </w:rPr>
        <w:t>IV</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ro</w:t>
      </w:r>
      <w:r w:rsidRPr="00722885">
        <w:rPr>
          <w:rFonts w:ascii="Times New Roman" w:hAnsi="Times New Roman"/>
          <w:color w:val="000000" w:themeColor="text1"/>
          <w:sz w:val="16"/>
          <w:szCs w:val="16"/>
        </w:rPr>
        <w:t xml:space="preserve"> поколения; ОКР «Клен-85КСТ» по разработке системы комплексирования тренажеров и учебно-тренировочных систем для ПЛ пр. «Ясень» и «Борей»; ОКР по разработке ЦВМ «Багет-73»; разработка медицинских микротонов, систем планирования лучевой терапии.</w:t>
      </w:r>
    </w:p>
    <w:p w14:paraId="6A5FF9D6"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(1.01.1958г.)- 2296 чел.</w:t>
      </w:r>
    </w:p>
    <w:p w14:paraId="7F006C7E"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 (04.1942-52г.)- А.А. Розанов, (1952-60 г.)- Д.В. Чувилин, (1960-72г.)- Г.А. Астахов. Директор (1972- 93г.)- А.А. Мошков. Гендиректор (1993-94г.)- В.Н. Карпов, (1994-2003г.)-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Касьян, (10.2003-05г.-)- Е.С. Новиков.</w:t>
      </w:r>
    </w:p>
    <w:p w14:paraId="4E4F113D"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гендиректора (-2000-03г.)- Е.С. Новиков. Зам. начальника (1943-44г.)- Н.А. Федоров. Зам. гендиректора (2002г.)- В.Н. Карпов.</w:t>
      </w:r>
    </w:p>
    <w:p w14:paraId="4A55278D"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 конструктор (2005г.)- Е.С. Новиков.</w:t>
      </w:r>
    </w:p>
    <w:p w14:paraId="3FDB369F"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 конструктор морских информационных систем и комплексов (2005г.)- Е.С. Новиков.</w:t>
      </w:r>
      <w:r w:rsidRPr="00722885">
        <w:rPr>
          <w:rFonts w:ascii="Times New Roman" w:hAnsi="Times New Roman"/>
          <w:color w:val="000000" w:themeColor="text1"/>
          <w:sz w:val="16"/>
          <w:szCs w:val="16"/>
          <w:vertAlign w:val="superscript"/>
        </w:rPr>
        <w:t>101</w:t>
      </w:r>
    </w:p>
    <w:p w14:paraId="57CB48E7"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Научный руководитель (1952-60 г.)- Д.В. Чувилин.</w:t>
      </w:r>
      <w:r w:rsidRPr="00722885">
        <w:rPr>
          <w:rFonts w:ascii="Times New Roman" w:hAnsi="Times New Roman"/>
          <w:color w:val="000000" w:themeColor="text1"/>
          <w:sz w:val="16"/>
          <w:szCs w:val="16"/>
          <w:vertAlign w:val="superscript"/>
        </w:rPr>
        <w:t>103</w:t>
      </w:r>
    </w:p>
    <w:p w14:paraId="2CB8A946"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инженера (-1969г.)- Б.С. Сыромятников.</w:t>
      </w:r>
    </w:p>
    <w:p w14:paraId="4342B6B9"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 (-1982г.)- Н.Д. Кретинин.</w:t>
      </w:r>
    </w:p>
    <w:p w14:paraId="7168BE4E"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отделений: (2003г.)- В. Романчиков, И.Ф. Попов, А.А. Сорокин.</w:t>
      </w:r>
    </w:p>
    <w:p w14:paraId="5A59B424"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отделения: (-1982г.)- Н.Д. Кретинин.</w:t>
      </w:r>
    </w:p>
    <w:p w14:paraId="3E60A205"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конструкторы: (1949г.)- А.Э. Атомвьян (СТО-С-53), (1950-е)- К.А. Санников («Кипарис»),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xml:space="preserve">. Левин («Кипарис»), (1950-е)- М.А. Зерницкий («Тополь»), (1950-е)- А.А. Мошков («Клен»), (1958г.)- Е.Д. Егоров («Море-У»), (-1958-68г.-)- В.З. Абрамов («Корень»), (1959г.)- ЯЛ. Хетагуров («Курс»), (-1962-65г.-)- Ю.И. Абрамов («Море»), Е.Д. Лапыгин, В.И. Рыжков, (1967г.)- </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 Вельский (БИУС «Туча»), (1967г.)- И.Ф. Мусатов (ЭВМ «Туча»), (1960-е)- А.К. Заволокин (ЦВМ «Корень»), (1960-е)- Г.П. Мищенко (ЦВМ ближней надводной обстановки БИУС «Корень»), (1970-е)- М.В. Власов (ЭВМ отображения), (1976г.)- В.В. Малишевский («Атака»), (1977г.)- Г.Д. Соснин («Арка»), (-1979-83г.-)- Н.С. Парфенов («Напев», «Айлама»), (1983г.)- И.Ф. Попов («Акация»), (2000-е)- Е.С. Новиков (3</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-14</w:t>
      </w:r>
      <w:r w:rsidRPr="00722885">
        <w:rPr>
          <w:rFonts w:ascii="Times New Roman" w:hAnsi="Times New Roman"/>
          <w:color w:val="000000" w:themeColor="text1"/>
          <w:sz w:val="16"/>
          <w:szCs w:val="16"/>
          <w:lang w:val="en-US"/>
        </w:rPr>
        <w:t>H</w:t>
      </w:r>
      <w:r w:rsidRPr="00722885">
        <w:rPr>
          <w:rFonts w:ascii="Times New Roman" w:hAnsi="Times New Roman"/>
          <w:color w:val="000000" w:themeColor="text1"/>
          <w:sz w:val="16"/>
          <w:szCs w:val="16"/>
        </w:rPr>
        <w:t>-11356).</w:t>
      </w:r>
    </w:p>
    <w:p w14:paraId="1C346499"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1-й зам. гл. конструктора (1960-е)- Н.И. Воронцова. Зам. гл. конструкторов: (1959г.)- З.Ш. Либуркин («Барс»), (1961 г.)- В.Г. Тодуров («Море»), (1960-е)- Е.К. Юферова (ЦВМ «Корень»), (1960-е)-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Борискин («Корень»), (1960-е)- И.П. Бровиков («Корень»), (1960-е)- В.М. Воробьев («Корень»), (1960-е)- И.Н. Воронцов («Корень»), (1960-е)- В.В. Воротников («Корень»), (1960-е)- А.Ф. Зайдеман («Корень»), (1960-е)- К.М. Нагибин («Корень»), (1960-е)- М.С. Померанцев («Корень»), (1960-е)- А.В. Серебряков («Корень»), (1960-е)- М.П. Смелянский («Корень»), (1960-е)- В.А. Соколова («Корень»), (1960-е)- В.Ф. Тараев («Корень»), (1960-е)- В.Т. Хавтаси («Корень»).</w:t>
      </w:r>
    </w:p>
    <w:p w14:paraId="2103FFB3"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(1943-47г.)- В.И. Кузнецов, (1960-74г.)- А.А. Папернов.</w:t>
      </w:r>
    </w:p>
    <w:p w14:paraId="31753FC2"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секторов: (2003г.)- В. Морозов. Начальник информационно-аналитического центра (2002г.)- В. Кошелев.</w:t>
      </w:r>
    </w:p>
    <w:p w14:paraId="7A1BC51F"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(1966г.-)- Б.С. Сыромятников.</w:t>
      </w:r>
    </w:p>
    <w:p w14:paraId="166639B0"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гирокомпасы «Курс-5», «Амур», «Маяк» (ВОВ); стабилизатор танковой пушки СТП-С-53 (тема «Таран», 1944); первый отечественный навигационный комплекс «Плутон-629» для ПЛ пр. 629; морские и речные мины (ВОВ); система шумопеленгования торпеды САТ-53-38 (ВОВ); СПН и СВП для РЛС «Якорь» (1949), счетно-решающий прибор и система стабилизации для РЛС «Барс» (1950-е); СУ стрельбой: артиллерии: МПУАЗО для мобилизуемых кораблей гражданского флота, «ПУС-МБК» для бронекатеров (ВОВ), автономные башенные ТСБ-</w:t>
      </w:r>
      <w:r w:rsidRPr="00722885">
        <w:rPr>
          <w:rFonts w:ascii="Times New Roman" w:hAnsi="Times New Roman"/>
          <w:color w:val="000000" w:themeColor="text1"/>
          <w:sz w:val="16"/>
          <w:szCs w:val="16"/>
          <w:lang w:val="en-US"/>
        </w:rPr>
        <w:t>I</w:t>
      </w:r>
      <w:r w:rsidRPr="00722885">
        <w:rPr>
          <w:rFonts w:ascii="Times New Roman" w:hAnsi="Times New Roman"/>
          <w:color w:val="000000" w:themeColor="text1"/>
          <w:sz w:val="16"/>
          <w:szCs w:val="16"/>
        </w:rPr>
        <w:t>, ТСБ-И, «Мина-ЗОбис», «Мина-2см», «Мина-КК», «Зенит-41, -42, -68бис», «Сфера-50» для пр. 50 (пнв 25.11.1954г.), «Сфера-52, -56», «Зона-50»; торпедной (ПУТС) «Сталинград-2Т-68бис» для пр. 68бис (пнв в 1953г.); для КР: «Кипарис» (1950-е), «Тополь» (1950-е), «Клен» для П-15 (1950-е), «Альфа-3» для комплекса Д-9 (1973), цифровая «Акация» для КР «Гранат» (1983), «Альт» для комплекса Д-19, «Арбат» для Д-9РМ (1986); ЭВМ: мобильная «Курс-1» 5Э89 (1962), корабельная «Море» (1965), ЦВМ «Корень» (1960-е), «Туча» (1967), «Азов», специализированная МВМ-012 «Атака» (1976), «Арфа» для ЗРК «Клинок» (прибор «189», 1977), «Напев» (1979), БС ЦВТ «Единство», ПЭВМ «Нева»; корабельные ЦВС «Альфа», «Диана», «Атолл», «Альт», «Арбат»,</w:t>
      </w:r>
    </w:p>
    <w:p w14:paraId="6ABFDF7D" w14:textId="77777777" w:rsidR="003D573C" w:rsidRPr="00722885" w:rsidRDefault="003D573C"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комплекса «Булава-30» (2005); система «Кадр» (1960); автоматизированная система обмена информацией «Море- У» (1960-е), «Аллея-1» (1960-е); БИУС: «Корень» для пр. 1123 (1968), «Корень-1134» для пр. 1134 (1971), «Туча» для АЛЛ пр. 667А (1967), «Алмаз» для АПЛ П-го поколения, «Омнибус» для АЛЛ Ш-го поколения; СУ стрельбой КР «Акация», 3</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-14</w:t>
      </w:r>
      <w:r w:rsidRPr="00722885">
        <w:rPr>
          <w:rFonts w:ascii="Times New Roman" w:hAnsi="Times New Roman"/>
          <w:color w:val="000000" w:themeColor="text1"/>
          <w:sz w:val="16"/>
          <w:szCs w:val="16"/>
          <w:lang w:val="en-US"/>
        </w:rPr>
        <w:t>H</w:t>
      </w:r>
      <w:r w:rsidRPr="00722885">
        <w:rPr>
          <w:rFonts w:ascii="Times New Roman" w:hAnsi="Times New Roman"/>
          <w:color w:val="000000" w:themeColor="text1"/>
          <w:sz w:val="16"/>
          <w:szCs w:val="16"/>
        </w:rPr>
        <w:t>-11356 для "</w:t>
      </w:r>
      <w:r w:rsidRPr="00722885">
        <w:rPr>
          <w:rFonts w:ascii="Times New Roman" w:hAnsi="Times New Roman"/>
          <w:color w:val="000000" w:themeColor="text1"/>
          <w:sz w:val="16"/>
          <w:szCs w:val="16"/>
          <w:lang w:val="en-US"/>
        </w:rPr>
        <w:t>Club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N</w:t>
      </w:r>
      <w:r w:rsidRPr="00722885">
        <w:rPr>
          <w:rFonts w:ascii="Times New Roman" w:hAnsi="Times New Roman"/>
          <w:color w:val="000000" w:themeColor="text1"/>
          <w:sz w:val="16"/>
          <w:szCs w:val="16"/>
        </w:rPr>
        <w:t>", для "</w:t>
      </w:r>
      <w:r w:rsidRPr="00722885">
        <w:rPr>
          <w:rFonts w:ascii="Times New Roman" w:hAnsi="Times New Roman"/>
          <w:color w:val="000000" w:themeColor="text1"/>
          <w:sz w:val="16"/>
          <w:szCs w:val="16"/>
          <w:lang w:val="en-US"/>
        </w:rPr>
        <w:t>Club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S</w:t>
      </w:r>
      <w:r w:rsidRPr="00722885">
        <w:rPr>
          <w:rFonts w:ascii="Times New Roman" w:hAnsi="Times New Roman"/>
          <w:color w:val="000000" w:themeColor="text1"/>
          <w:sz w:val="16"/>
          <w:szCs w:val="16"/>
        </w:rPr>
        <w:t>"; СУЗ: «Экран» для АПЛ пр. 627А, «Селигер», «Сясь», «Бриг» для ПЛ пр. 670, 671, 667А, «Алтай», «Алтай К» для ПЛ пр. 705, «Алтай КМ» для пр. 705к, «Альбаторс» для ТАРК пр. 1144, «Артек», «Артек-А», «Артек-К» для ледоколов «Ленин», «Арктика», «Сибирь», «Ямал», «Штиль» для ПЛ пр. 941, 949, 685, 971, 945; унифицированная ВС частотно-временной обработки сигналов «Айлама» для ГАС (1983); корабельная АСУ «Округ» (2005); тренажеры СУ стрельбой: «Заповедь», «Коллиматор-ИТ», ЗР-69,3</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-36 (1981-91), «Коллекция» (2005);</w:t>
      </w:r>
      <w:r w:rsidRPr="00722885">
        <w:rPr>
          <w:rFonts w:ascii="Times New Roman" w:hAnsi="Times New Roman"/>
          <w:color w:val="000000" w:themeColor="text1"/>
          <w:sz w:val="16"/>
          <w:szCs w:val="16"/>
          <w:vertAlign w:val="superscript"/>
        </w:rPr>
        <w:t>82</w:t>
      </w:r>
      <w:r w:rsidRPr="00722885">
        <w:rPr>
          <w:rFonts w:ascii="Times New Roman" w:hAnsi="Times New Roman"/>
          <w:color w:val="000000" w:themeColor="text1"/>
          <w:sz w:val="16"/>
          <w:szCs w:val="16"/>
        </w:rPr>
        <w:t xml:space="preserve"> имитатор ракеты «Имитатор-Р» (2000-е) (11982).</w:t>
      </w:r>
    </w:p>
    <w:p w14:paraId="5DEDB459" w14:textId="77777777" w:rsidR="003D573C" w:rsidRPr="00722885" w:rsidRDefault="003D573C" w:rsidP="00722885">
      <w:pPr>
        <w:spacing w:after="0" w:line="240" w:lineRule="auto"/>
        <w:jc w:val="both"/>
        <w:rPr>
          <w:rFonts w:ascii="Times New Roman" w:hAnsi="Times New Roman"/>
          <w:color w:val="000000" w:themeColor="text1"/>
          <w:sz w:val="16"/>
          <w:szCs w:val="16"/>
        </w:rPr>
      </w:pPr>
    </w:p>
    <w:p w14:paraId="032C906E" w14:textId="77777777" w:rsidR="006A0985" w:rsidRPr="00722885" w:rsidRDefault="006A0985"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выполненная Алексеевым и Поповым работа, позволила представить проработки самоходной модели А-4 и натурного торпедного катера директору завода Е. Э. Рубинчику, который дал указание главному конструктору завода В. В. Крылову подготовить проект приказа по заводу «Красное Сормово» о строительстве самоходной модели, который и был подписан директором 17 февраля 1943 года (19678).</w:t>
      </w:r>
    </w:p>
    <w:p w14:paraId="5FAD741F" w14:textId="77777777" w:rsidR="006A0985" w:rsidRPr="00722885" w:rsidRDefault="006A0985" w:rsidP="00722885">
      <w:pPr>
        <w:spacing w:after="0" w:line="240" w:lineRule="auto"/>
        <w:jc w:val="both"/>
        <w:rPr>
          <w:rFonts w:ascii="Times New Roman" w:hAnsi="Times New Roman"/>
          <w:color w:val="000000" w:themeColor="text1"/>
          <w:sz w:val="16"/>
          <w:szCs w:val="16"/>
        </w:rPr>
      </w:pPr>
    </w:p>
    <w:p w14:paraId="1C4CB0E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52AED53" w14:textId="77777777" w:rsidR="00BB6316" w:rsidRPr="00722885" w:rsidRDefault="00BB6316" w:rsidP="00722885">
      <w:pPr>
        <w:pStyle w:val="Iauiue"/>
        <w:jc w:val="both"/>
        <w:rPr>
          <w:iCs/>
          <w:color w:val="000000" w:themeColor="text1"/>
          <w:sz w:val="16"/>
          <w:szCs w:val="16"/>
        </w:rPr>
      </w:pPr>
    </w:p>
    <w:p w14:paraId="1ADF6278" w14:textId="77777777" w:rsidR="008D2BB9" w:rsidRPr="00722885" w:rsidRDefault="008D2BB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shd w:val="clear" w:color="auto" w:fill="FFFFFF"/>
        </w:rPr>
        <w:t>К концу 1942г., учитывая потери материальной части и личного состава в 1941г., штурмовиков Ил-2 завода №18 первых выпусков уже почти не осталось (19205).</w:t>
      </w:r>
    </w:p>
    <w:p w14:paraId="06D15CDB" w14:textId="77777777" w:rsidR="008D2BB9" w:rsidRPr="00722885" w:rsidRDefault="008D2BB9" w:rsidP="00722885">
      <w:pPr>
        <w:spacing w:after="0" w:line="240" w:lineRule="auto"/>
        <w:jc w:val="both"/>
        <w:rPr>
          <w:rFonts w:ascii="Times New Roman" w:hAnsi="Times New Roman"/>
          <w:color w:val="000000" w:themeColor="text1"/>
          <w:sz w:val="16"/>
          <w:szCs w:val="16"/>
        </w:rPr>
      </w:pPr>
    </w:p>
    <w:p w14:paraId="28E3E7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даже после вывода с фронта в Петровск-Саратовский (15-й зап) 52-го бап и передачи оставшихся девяти Су-2 в состав корректировочных эскадрилий, самолетов для них постоянно не хватало. Ведь в данном случае две машины нуждались в капитальном ремонте, а три - в смене мотора, выработавшего ресурс. А вот авиаторы 52-го бап существенно усилили 14-ю и 15-ю каэ: 14 летчиков, как следовало из документов, совершили на Су-2 от 93 до 244 (!) боевых вылетов. Не меньший опыт имелся у 21 штурмана и 65 техников.</w:t>
      </w:r>
    </w:p>
    <w:p w14:paraId="4A2469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Отсутствие поступления новых Су-2 вынудил командование ВВС КА с весны 1943 г. приступить к формированию каэ на самолетах Ил-2. Несмотря на то, что С.В. Ильюшин для новой цели модифицировал связное оборудование штурмовика, ему не удалось устранить ряд дефектов машины, и прежде всего, тесноту задней кабины. По мнению летнабов, "илы" не предоставляли им необходимого удобства работы, но к лету на фронт стали отправлять эскадрильи только на них. Тем не менее, до конца 1943 г. успешно сражались на Су-2 53-я и 54-я каэ, возглавляемые старшими лейтенантами И.И. Касаткиным и А.И. Швецовым (оба ветераны 52-го бап). Майор Швецов впоследствии сформировал и возглавил 187-й отдельный корректировочно-разведывательный полк, с которым лошел до Победы. Но ни одного Су-2 у него в строю к 1944 г. не сохранилось. По документам 42-й каэ, 27 ноября 1943 г. внезапной атакой германского аса был сбит один из последних Су-2 № 263105 (12028).</w:t>
      </w:r>
    </w:p>
    <w:p w14:paraId="71E26E7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FF2CE4F" w14:textId="77777777" w:rsidR="00FA4DEF" w:rsidRPr="00722885" w:rsidRDefault="00FA4DEF" w:rsidP="00722885">
      <w:pPr>
        <w:shd w:val="clear" w:color="auto" w:fill="FFFFFF"/>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конце 1942 г. руководство партизан Крыма обратилось к командо</w:t>
      </w:r>
      <w:r w:rsidRPr="00722885">
        <w:rPr>
          <w:rFonts w:ascii="Times New Roman" w:hAnsi="Times New Roman"/>
          <w:color w:val="0070C0"/>
          <w:sz w:val="16"/>
          <w:szCs w:val="16"/>
        </w:rPr>
        <w:softHyphen/>
        <w:t>ванию ВВС Черноморского флота за по</w:t>
      </w:r>
      <w:r w:rsidRPr="00722885">
        <w:rPr>
          <w:rFonts w:ascii="Times New Roman" w:hAnsi="Times New Roman"/>
          <w:color w:val="0070C0"/>
          <w:sz w:val="16"/>
          <w:szCs w:val="16"/>
        </w:rPr>
        <w:softHyphen/>
        <w:t>мощью в деле доставки продовольствия своим людям, страдавшим от голода в Крымских горах. Выполнение задачи воз</w:t>
      </w:r>
      <w:r w:rsidRPr="00722885">
        <w:rPr>
          <w:rFonts w:ascii="Times New Roman" w:hAnsi="Times New Roman"/>
          <w:color w:val="0070C0"/>
          <w:sz w:val="16"/>
          <w:szCs w:val="16"/>
        </w:rPr>
        <w:softHyphen/>
        <w:t>ложили на 2-й МТАП. Его ДБ-3 с 26 декаб</w:t>
      </w:r>
      <w:r w:rsidRPr="00722885">
        <w:rPr>
          <w:rFonts w:ascii="Times New Roman" w:hAnsi="Times New Roman"/>
          <w:color w:val="0070C0"/>
          <w:sz w:val="16"/>
          <w:szCs w:val="16"/>
        </w:rPr>
        <w:softHyphen/>
        <w:t>ря 1942 г. по 5 января 1943 г. совершили 39 вылетов, однако задание удалось вы</w:t>
      </w:r>
      <w:r w:rsidRPr="00722885">
        <w:rPr>
          <w:rFonts w:ascii="Times New Roman" w:hAnsi="Times New Roman"/>
          <w:color w:val="0070C0"/>
          <w:sz w:val="16"/>
          <w:szCs w:val="16"/>
        </w:rPr>
        <w:softHyphen/>
        <w:t>полнить лишь в двух. В остальных случаях из-за сложных метеоусловий экипажи либо возвращались обратно без сброса, либо выполняли его по расчету времени, и грузы не попадали по назначению (19944).</w:t>
      </w:r>
    </w:p>
    <w:p w14:paraId="10E18771" w14:textId="77777777" w:rsidR="00FA4DEF" w:rsidRPr="00722885" w:rsidRDefault="00FA4DEF" w:rsidP="00722885">
      <w:pPr>
        <w:shd w:val="clear" w:color="auto" w:fill="FFFFFF"/>
        <w:spacing w:after="0" w:line="240" w:lineRule="auto"/>
        <w:jc w:val="both"/>
        <w:rPr>
          <w:rFonts w:ascii="Times New Roman" w:hAnsi="Times New Roman"/>
          <w:color w:val="0070C0"/>
          <w:sz w:val="16"/>
          <w:szCs w:val="16"/>
        </w:rPr>
      </w:pPr>
    </w:p>
    <w:p w14:paraId="16B54DD0" w14:textId="77777777" w:rsidR="00B867F7" w:rsidRPr="00722885" w:rsidRDefault="00B867F7"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В конце 1942 г. ОАГС преобразовали в 3-ю авиадивизию связи. В разгар Сталинградской битвы ПС-43 возили почту участвовавшим в ней частям и соединениям. Правда, «Валти» разгружались еще в Астрахани, а непосредственно к линии фронта груз по ночам доставляли Р-5 (19199).</w:t>
      </w:r>
    </w:p>
    <w:p w14:paraId="4476D20B" w14:textId="77777777" w:rsidR="00B867F7" w:rsidRPr="00722885" w:rsidRDefault="00B867F7" w:rsidP="00722885">
      <w:pPr>
        <w:pStyle w:val="rtejustify"/>
        <w:shd w:val="clear" w:color="auto" w:fill="FFFFFF"/>
        <w:spacing w:before="0" w:beforeAutospacing="0" w:after="0" w:afterAutospacing="0"/>
        <w:jc w:val="both"/>
        <w:textAlignment w:val="baseline"/>
        <w:rPr>
          <w:color w:val="000000" w:themeColor="text1"/>
          <w:sz w:val="16"/>
          <w:szCs w:val="16"/>
        </w:rPr>
      </w:pPr>
    </w:p>
    <w:p w14:paraId="1D64D3A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концу 1942 г. на западных флотах практически не осталось старых ДБ-3Т. Их вытеснили Ил-4. Поскольку торпе</w:t>
      </w:r>
      <w:r w:rsidRPr="00722885">
        <w:rPr>
          <w:rFonts w:ascii="Times New Roman" w:hAnsi="Times New Roman"/>
          <w:color w:val="000000" w:themeColor="text1"/>
          <w:sz w:val="16"/>
          <w:szCs w:val="16"/>
        </w:rPr>
        <w:softHyphen/>
        <w:t>доносцы отличались от бомбардиров</w:t>
      </w:r>
      <w:r w:rsidRPr="00722885">
        <w:rPr>
          <w:rFonts w:ascii="Times New Roman" w:hAnsi="Times New Roman"/>
          <w:color w:val="000000" w:themeColor="text1"/>
          <w:sz w:val="16"/>
          <w:szCs w:val="16"/>
        </w:rPr>
        <w:softHyphen/>
        <w:t>щиков фактически только торпедной балкой, то они претерпели все те же из</w:t>
      </w:r>
      <w:r w:rsidRPr="00722885">
        <w:rPr>
          <w:rFonts w:ascii="Times New Roman" w:hAnsi="Times New Roman"/>
          <w:color w:val="000000" w:themeColor="text1"/>
          <w:sz w:val="16"/>
          <w:szCs w:val="16"/>
        </w:rPr>
        <w:softHyphen/>
        <w:t>менения, что и остальные серийные ма</w:t>
      </w:r>
      <w:r w:rsidRPr="00722885">
        <w:rPr>
          <w:rFonts w:ascii="Times New Roman" w:hAnsi="Times New Roman"/>
          <w:color w:val="000000" w:themeColor="text1"/>
          <w:sz w:val="16"/>
          <w:szCs w:val="16"/>
        </w:rPr>
        <w:softHyphen/>
        <w:t>шины завода № 126. Кроме того, мор</w:t>
      </w:r>
      <w:r w:rsidRPr="00722885">
        <w:rPr>
          <w:rFonts w:ascii="Times New Roman" w:hAnsi="Times New Roman"/>
          <w:color w:val="000000" w:themeColor="text1"/>
          <w:sz w:val="16"/>
          <w:szCs w:val="16"/>
        </w:rPr>
        <w:softHyphen/>
        <w:t>ской авиации передавали самолеты ВВС и АДД, как новые, так и бывшие в употреблении. Всего за войну от промыш</w:t>
      </w:r>
      <w:r w:rsidRPr="00722885">
        <w:rPr>
          <w:rFonts w:ascii="Times New Roman" w:hAnsi="Times New Roman"/>
          <w:color w:val="000000" w:themeColor="text1"/>
          <w:sz w:val="16"/>
          <w:szCs w:val="16"/>
        </w:rPr>
        <w:softHyphen/>
        <w:t>ленности моряки получили 176 ДБ-3Ф/Ил-4, а еще 114 бомбардировщи</w:t>
      </w:r>
      <w:r w:rsidRPr="00722885">
        <w:rPr>
          <w:rFonts w:ascii="Times New Roman" w:hAnsi="Times New Roman"/>
          <w:color w:val="000000" w:themeColor="text1"/>
          <w:sz w:val="16"/>
          <w:szCs w:val="16"/>
        </w:rPr>
        <w:softHyphen/>
        <w:t>ков были приняты от сухопутных летчи</w:t>
      </w:r>
      <w:r w:rsidRPr="00722885">
        <w:rPr>
          <w:rFonts w:ascii="Times New Roman" w:hAnsi="Times New Roman"/>
          <w:color w:val="000000" w:themeColor="text1"/>
          <w:sz w:val="16"/>
          <w:szCs w:val="16"/>
        </w:rPr>
        <w:softHyphen/>
        <w:t>ков. 70 из них переоборудовали в тор</w:t>
      </w:r>
      <w:r w:rsidRPr="00722885">
        <w:rPr>
          <w:rFonts w:ascii="Times New Roman" w:hAnsi="Times New Roman"/>
          <w:color w:val="000000" w:themeColor="text1"/>
          <w:sz w:val="16"/>
          <w:szCs w:val="16"/>
        </w:rPr>
        <w:softHyphen/>
        <w:t>педоносцы, а остальные эксплуатиро</w:t>
      </w:r>
      <w:r w:rsidRPr="00722885">
        <w:rPr>
          <w:rFonts w:ascii="Times New Roman" w:hAnsi="Times New Roman"/>
          <w:color w:val="000000" w:themeColor="text1"/>
          <w:sz w:val="16"/>
          <w:szCs w:val="16"/>
        </w:rPr>
        <w:softHyphen/>
        <w:t>вали в первозданном виде. Поскольку внутренний объем бомбоотсека на торпедоносцах не использо</w:t>
      </w:r>
      <w:r w:rsidRPr="00722885">
        <w:rPr>
          <w:rFonts w:ascii="Times New Roman" w:hAnsi="Times New Roman"/>
          <w:color w:val="000000" w:themeColor="text1"/>
          <w:sz w:val="16"/>
          <w:szCs w:val="16"/>
        </w:rPr>
        <w:softHyphen/>
        <w:t>вался, иногда туда ставили дополни</w:t>
      </w:r>
      <w:r w:rsidRPr="00722885">
        <w:rPr>
          <w:rFonts w:ascii="Times New Roman" w:hAnsi="Times New Roman"/>
          <w:color w:val="000000" w:themeColor="text1"/>
          <w:sz w:val="16"/>
          <w:szCs w:val="16"/>
        </w:rPr>
        <w:softHyphen/>
        <w:t>тельный бензобак. С октября 1942 г. их стали ставить в 5-м мтап. Там же допол</w:t>
      </w:r>
      <w:r w:rsidRPr="00722885">
        <w:rPr>
          <w:rFonts w:ascii="Times New Roman" w:hAnsi="Times New Roman"/>
          <w:color w:val="000000" w:themeColor="text1"/>
          <w:sz w:val="16"/>
          <w:szCs w:val="16"/>
        </w:rPr>
        <w:softHyphen/>
        <w:t>няли вооружение Ил-4 реактивными снарядами РС-82 (10734,85).</w:t>
      </w:r>
    </w:p>
    <w:p w14:paraId="4018777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5AC33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К концу 1942 г. на западных флотах практически не осталось старых ДБ-ЗТ. Их вытеснили Ил-4. Поскольку торпедоносцы отличались от бомбардировщиков фактически только торпедной балкой, то они претерпели все те же изменения, что и остальные серийные машины завода № 126. Кроме того, морской авиации передавали самолеты ВВС и АДД, как новые, так и бывшие в употреблении. Забегая вперед, надо сказать, что всего за войну от промышленности моряки получили 176 ДБ- ЗФ/Ил-4, а еще 114 бомбардировщиков были приняты от сухопутных летчиков. 70 из них переоборудовали в торпедоносцы, а остальные эксплуатировали в первозданном виде (12021).</w:t>
      </w:r>
    </w:p>
    <w:p w14:paraId="3A43675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6E065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1942 г. минно-торпедная авиация начала получать импортные самолеты. Первым их представителем стал британский торпедоносец Хэндпи-Пейдж "Хэмпден" ТВ I (история их появления в составе ВВС Северного флота изложена в соответствующей главе). 23.10.1942 20 машин данного типа союзники передали в дар ВВС СФ вместе с оборудованием и боеприпасами. "Хэмпдены" представляли собой переделку дневного дальнего бомбардировщика под полузакрытую подвеску одной британской авиаторпеды Мк XII калибра 450 мм. В процессе подготовки к боевому применению английские торпедоносцы подвергли модернизации. Нехватка штатных торпед Мк XII вынудила приспособить машину к подвеске советских 45-36 АН. Обороноспособность "Хэмпдена" повысили установкой турели УТК-1 с пулеметом УБ вместо спарки "Виккерсов" калибра 7,69 мм, а живучесть - введением наддува бензобаков охлажденными выхлопными газами.</w:t>
      </w:r>
    </w:p>
    <w:p w14:paraId="29AC34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Английский торпедоносец проигрывал отечественному Ил-4 практически по всем характеристикам. Он уступал на 40 км/час в скорости, имел вдвое меньший радиус действия, но самое главное - обладал плохой маневренностью. Напротив, "Хемпден" оказался очень строг в пилотировании, он не прощал летчику ни малейшей ошибки. На самолете нельзя было делать резких движений педалями на разворотах, входить в разворот с большим креном. За невыполнение этих строгих требований ряд летчиков поплатились своими жизнями. Некоторые из них, зная о невысоких летных характеристиках и капризном характере "Хэмпденов", откровенно отказывались летать на новой машине. Один из вете ранов Североморской МТА гвардии ст. лейтенант Балашов прямо заявил командованию, что он лучше пойдет в пехоту, чем сядет в кабину английского торпедоносца. В конечном итоге командованию удалось переломить эти настроения и заставить летчиков летать на том, что есть. Впрочем, этот период продолжался недолго - последние "Хэмпдены" были потеряны уже в июле 1943 г. и больше в нашу страну не поставлялись (12002).</w:t>
      </w:r>
    </w:p>
    <w:p w14:paraId="4E74F26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78342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1942 г. в морскую авиацию стали поступать американские бомбардировщики А-20, которые у нас переделывались в торпедоносцы. Вот они стали серьезными соперниками Ил-4, превосходя по скорости, маневренности, оборонительному вооружению. На эти машины постепенно начали переходить полки на Балтийском и Северном флоте. Однако Ил-4 не были заменены полностью. На I января 1944 г. в строю на западных флотах находились 58 ДБ-З/Ил-4 и 55А- 20. Я не случайно упомянул ДБ-3 - на Балтике еше летали три старых машины. В 1943- 45 годах Ил-4 вносил немалый вклад в войну на море.</w:t>
      </w:r>
    </w:p>
    <w:p w14:paraId="01A9DB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Интенсивность торпедных атак и минных постановок постоянно возрастала. Проводились крупные комбинированные операции с участием различных родов авиации. Пример таковой можно считать налет на Констанцу 20 августа 1944 г., когда совместно действовали истребители, бомбардировщики, торпедоносцы и штурмовики. Из состава 5-го мтап были привлечены 14 Ил-4. Противник понес большие потери. Таким образом действовали и по кораблям в море (12921).</w:t>
      </w:r>
    </w:p>
    <w:p w14:paraId="6C57949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6EC812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До конца 1942 г. было сфор</w:t>
      </w:r>
      <w:r w:rsidRPr="00722885">
        <w:rPr>
          <w:color w:val="000000" w:themeColor="text1"/>
          <w:sz w:val="16"/>
          <w:szCs w:val="16"/>
        </w:rPr>
        <w:softHyphen/>
        <w:t>мировано 13 авиакорпусов, из них ис</w:t>
      </w:r>
      <w:r w:rsidRPr="00722885">
        <w:rPr>
          <w:color w:val="000000" w:themeColor="text1"/>
          <w:sz w:val="16"/>
          <w:szCs w:val="16"/>
        </w:rPr>
        <w:softHyphen/>
        <w:t>требительных - 4, штурмовых - 3, бом</w:t>
      </w:r>
      <w:r w:rsidRPr="00722885">
        <w:rPr>
          <w:color w:val="000000" w:themeColor="text1"/>
          <w:sz w:val="16"/>
          <w:szCs w:val="16"/>
        </w:rPr>
        <w:softHyphen/>
        <w:t>бардировочных - 3 и смешанных - 3. На фронт в течение этого периода было отправлено 9 авиакорпусов (6467).</w:t>
      </w:r>
    </w:p>
    <w:p w14:paraId="6A23BD29" w14:textId="77777777" w:rsidR="00BB6316" w:rsidRPr="00722885" w:rsidRDefault="00BB6316" w:rsidP="00722885">
      <w:pPr>
        <w:pStyle w:val="Iauiue"/>
        <w:jc w:val="both"/>
        <w:rPr>
          <w:color w:val="000000" w:themeColor="text1"/>
          <w:sz w:val="16"/>
          <w:szCs w:val="16"/>
        </w:rPr>
      </w:pPr>
    </w:p>
    <w:p w14:paraId="781CC1C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конца 42-го в АДД передали дивизию американских бомбардировщиков В-25. К этому времени Ер-2 оставались на вооружении лишь одного авиаполка, а ТБ-7 (Пе-8) выпускали “поштучно” и их не хватало даже на одну дивизию. А вот В-25 начал поступать в значительных количествах. Сравнивая американские бомбардировщики с Ил-4, наши летчики отмечали целый ряд преимуществ заокеанской машины: комфорт для экипажа, ёмкий бомбоотсек (позволявший подвешивать внутри громоздкие бомбы РРАБ), мощное оборонительное вооружение, отличное приборное и радиооборудование. На ильюшинском бомбардировщике отопления и теплоизоляции не было (7666).</w:t>
      </w:r>
    </w:p>
    <w:p w14:paraId="0243FBF8" w14:textId="77777777" w:rsidR="00BB6316" w:rsidRPr="00722885" w:rsidRDefault="00BB6316" w:rsidP="00722885">
      <w:pPr>
        <w:pStyle w:val="Iauiue"/>
        <w:jc w:val="both"/>
        <w:rPr>
          <w:color w:val="000000" w:themeColor="text1"/>
          <w:sz w:val="16"/>
          <w:szCs w:val="16"/>
        </w:rPr>
      </w:pPr>
    </w:p>
    <w:p w14:paraId="0525FD9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1942-го в АДД пе</w:t>
      </w:r>
      <w:r w:rsidRPr="00722885">
        <w:rPr>
          <w:rFonts w:ascii="Times New Roman" w:hAnsi="Times New Roman"/>
          <w:color w:val="000000" w:themeColor="text1"/>
          <w:sz w:val="16"/>
          <w:szCs w:val="16"/>
        </w:rPr>
        <w:softHyphen/>
        <w:t>редали дивизию американских бомбар</w:t>
      </w:r>
      <w:r w:rsidRPr="00722885">
        <w:rPr>
          <w:rFonts w:ascii="Times New Roman" w:hAnsi="Times New Roman"/>
          <w:color w:val="000000" w:themeColor="text1"/>
          <w:sz w:val="16"/>
          <w:szCs w:val="16"/>
        </w:rPr>
        <w:softHyphen/>
        <w:t>дировщиков В-25. К этому времени Ер-2 в строевых частях уже не было — их повыбили еще к концу 1941 г. ТБ-7 (Пе-8) выпускали «поштучно», и их не хватало даже на одну дивизию. А вот В-25 начал поступать в значительных количествах. Сравнивая американские бомбардировщики с Ил-4, наши летчи</w:t>
      </w:r>
      <w:r w:rsidRPr="00722885">
        <w:rPr>
          <w:rFonts w:ascii="Times New Roman" w:hAnsi="Times New Roman"/>
          <w:color w:val="000000" w:themeColor="text1"/>
          <w:sz w:val="16"/>
          <w:szCs w:val="16"/>
        </w:rPr>
        <w:softHyphen/>
        <w:t>ки отмечали целый ряд преимуществ В-25: комфорт для экипажа, емкий бомбоотсек (позволявший подвешивать внутри громоздкие бомбы РРАБ), мощ</w:t>
      </w:r>
      <w:r w:rsidRPr="00722885">
        <w:rPr>
          <w:rFonts w:ascii="Times New Roman" w:hAnsi="Times New Roman"/>
          <w:color w:val="000000" w:themeColor="text1"/>
          <w:sz w:val="16"/>
          <w:szCs w:val="16"/>
        </w:rPr>
        <w:softHyphen/>
        <w:t>ное оборонительное вооружение, от</w:t>
      </w:r>
      <w:r w:rsidRPr="00722885">
        <w:rPr>
          <w:rFonts w:ascii="Times New Roman" w:hAnsi="Times New Roman"/>
          <w:color w:val="000000" w:themeColor="text1"/>
          <w:sz w:val="16"/>
          <w:szCs w:val="16"/>
        </w:rPr>
        <w:softHyphen/>
        <w:t>личное приборное и радиооборудова</w:t>
      </w:r>
      <w:r w:rsidRPr="00722885">
        <w:rPr>
          <w:rFonts w:ascii="Times New Roman" w:hAnsi="Times New Roman"/>
          <w:color w:val="000000" w:themeColor="text1"/>
          <w:sz w:val="16"/>
          <w:szCs w:val="16"/>
        </w:rPr>
        <w:softHyphen/>
        <w:t>ние. На ильюшинском бомбардировщи</w:t>
      </w:r>
      <w:r w:rsidRPr="00722885">
        <w:rPr>
          <w:rFonts w:ascii="Times New Roman" w:hAnsi="Times New Roman"/>
          <w:color w:val="000000" w:themeColor="text1"/>
          <w:sz w:val="16"/>
          <w:szCs w:val="16"/>
        </w:rPr>
        <w:softHyphen/>
        <w:t>ке отопления и теплоизоляции не было (10734,77).</w:t>
      </w:r>
    </w:p>
    <w:p w14:paraId="1D7E289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BE792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1942 г. в морскую авиацию стали поступать американские бомбар</w:t>
      </w:r>
      <w:r w:rsidRPr="00722885">
        <w:rPr>
          <w:rFonts w:ascii="Times New Roman" w:hAnsi="Times New Roman"/>
          <w:color w:val="000000" w:themeColor="text1"/>
          <w:sz w:val="16"/>
          <w:szCs w:val="16"/>
        </w:rPr>
        <w:softHyphen/>
        <w:t>дировщики А-20, которые у нас переде</w:t>
      </w:r>
      <w:r w:rsidRPr="00722885">
        <w:rPr>
          <w:rFonts w:ascii="Times New Roman" w:hAnsi="Times New Roman"/>
          <w:color w:val="000000" w:themeColor="text1"/>
          <w:sz w:val="16"/>
          <w:szCs w:val="16"/>
        </w:rPr>
        <w:softHyphen/>
        <w:t>лывались в торпедоносцы. Вот они ста</w:t>
      </w:r>
      <w:r w:rsidRPr="00722885">
        <w:rPr>
          <w:rFonts w:ascii="Times New Roman" w:hAnsi="Times New Roman"/>
          <w:color w:val="000000" w:themeColor="text1"/>
          <w:sz w:val="16"/>
          <w:szCs w:val="16"/>
        </w:rPr>
        <w:softHyphen/>
        <w:t>ли серьезными соперниками Ил-4, пре</w:t>
      </w:r>
      <w:r w:rsidRPr="00722885">
        <w:rPr>
          <w:rFonts w:ascii="Times New Roman" w:hAnsi="Times New Roman"/>
          <w:color w:val="000000" w:themeColor="text1"/>
          <w:sz w:val="16"/>
          <w:szCs w:val="16"/>
        </w:rPr>
        <w:softHyphen/>
        <w:t>восходя по скорости, маневренности, оборонительному вооружению. На эти машины постепенно начали переходить полки на Балтийском и Северном фло</w:t>
      </w:r>
      <w:r w:rsidRPr="00722885">
        <w:rPr>
          <w:rFonts w:ascii="Times New Roman" w:hAnsi="Times New Roman"/>
          <w:color w:val="000000" w:themeColor="text1"/>
          <w:sz w:val="16"/>
          <w:szCs w:val="16"/>
        </w:rPr>
        <w:softHyphen/>
        <w:t>те. Однако Ил-4 не были заменены полностью (10734,85).</w:t>
      </w:r>
    </w:p>
    <w:p w14:paraId="4DE6FE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1B3994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конца 1942 года большая часть бомбардировщиков В-25 поступала из Америки по АЛСИБу (3457,92).</w:t>
      </w:r>
    </w:p>
    <w:p w14:paraId="520BFC61" w14:textId="77777777" w:rsidR="00BB6316" w:rsidRPr="00722885" w:rsidRDefault="00BB6316" w:rsidP="00722885">
      <w:pPr>
        <w:pStyle w:val="Iauiue"/>
        <w:jc w:val="both"/>
        <w:rPr>
          <w:color w:val="000000" w:themeColor="text1"/>
          <w:sz w:val="16"/>
          <w:szCs w:val="16"/>
        </w:rPr>
      </w:pPr>
    </w:p>
    <w:p w14:paraId="30DDE8EF"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В конце 1942 г. ОАГС преобразовали в 3-ю авиадивизию связи. В разгар Сталинградской битвы ПС-43 возили почту участвовавшим в ней частям и соединениям. Правда, "Валти" разгружались еще в Астрахани, а непосредственно к линии фронта груз по ночам доставляли Р-5. </w:t>
      </w:r>
    </w:p>
    <w:p w14:paraId="4C3DEE8B"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В 1942 году весьма оригинальную и эффективную, но непрактичную в эксплуатации американскую амортизацию шасси признали непригодной. Взамен начали ставить советские амортизаторы пневмо-гидравлического типа. К осени такую замену произвели на всех самолетах. Еще одной новинкой стало применение морозостойкой смазки в механизме уборки-выпуска шасси. Ранее пользовались американским маслом, которое при 15 градусах мороза загустевало. Поэтому зимой летали, не убирая колес, теряя 25-30 км/ч скорости.</w:t>
      </w:r>
    </w:p>
    <w:p w14:paraId="7EF51C8A"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Количество ПС-43 в дивизии постепенно уменьшалось, но процесс этот шел довольно медленно. Благодаря прочной цельнометаллической конструкции "американец" оказался весьма долговечной и живучей машиной. Если на 1 января 1943 г. в строю числилось 14 "Валти", то к началу декабря -12.</w:t>
      </w:r>
    </w:p>
    <w:p w14:paraId="1C54D65E"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Потери были вызваны как боевыми, так и небоевыми причинами. Так, 12 марта пилот Егупов при полете на низкой высоте вдоль Дона врезался в корабельную мачту, летчик и пассажир погибли. А 29 апреля "Мессершмитт" расстрелял на взлете в Краснодаре машину В.И.Тимофеева. Самолет сгорел, а пилот и бортмеханик попали в госпиталь с ожогами (11470).</w:t>
      </w:r>
    </w:p>
    <w:p w14:paraId="7DB08DEA" w14:textId="77777777" w:rsidR="00BB6316" w:rsidRPr="00722885" w:rsidRDefault="00BB6316" w:rsidP="00722885">
      <w:pPr>
        <w:pStyle w:val="afff2"/>
        <w:jc w:val="both"/>
        <w:rPr>
          <w:i w:val="0"/>
          <w:iCs w:val="0"/>
          <w:color w:val="000000" w:themeColor="text1"/>
          <w:spacing w:val="0"/>
          <w:kern w:val="0"/>
          <w:position w:val="0"/>
          <w:sz w:val="16"/>
          <w:szCs w:val="16"/>
        </w:rPr>
      </w:pPr>
    </w:p>
    <w:p w14:paraId="79414B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на Черноморском флоте оставалось 7 И-16 и 4 УТИ-4 (12015).</w:t>
      </w:r>
    </w:p>
    <w:p w14:paraId="590AE87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284F29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концу 1942 года около 1500 женщин командовали различными формированиями и подразделениями МПВО Ленинграда (9453).</w:t>
      </w:r>
    </w:p>
    <w:p w14:paraId="115AC6F9" w14:textId="77777777" w:rsidR="00BB6316" w:rsidRPr="00722885" w:rsidRDefault="00BB6316" w:rsidP="00722885">
      <w:pPr>
        <w:pStyle w:val="Iauiue"/>
        <w:jc w:val="both"/>
        <w:rPr>
          <w:color w:val="000000" w:themeColor="text1"/>
          <w:sz w:val="16"/>
          <w:szCs w:val="16"/>
        </w:rPr>
      </w:pPr>
    </w:p>
    <w:p w14:paraId="6290029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C конца 1942 по весну 1943 осуществлялось боевое применение планеров и весна 1943, когда летали к белорусским партизанам, оно было наиболее эффективным (94,3).</w:t>
      </w:r>
    </w:p>
    <w:p w14:paraId="49BF52C9" w14:textId="77777777" w:rsidR="00BB6316" w:rsidRPr="00722885" w:rsidRDefault="00BB6316" w:rsidP="00722885">
      <w:pPr>
        <w:pStyle w:val="Iauiue"/>
        <w:jc w:val="both"/>
        <w:rPr>
          <w:color w:val="000000" w:themeColor="text1"/>
          <w:sz w:val="16"/>
          <w:szCs w:val="16"/>
        </w:rPr>
      </w:pPr>
    </w:p>
    <w:p w14:paraId="4BD7C84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 самолеты Пе-2, оборудованные станциями Гнейс-2, передали ПВО Москвы, а затем несколько машин перебросили под Сталинград для борьбы с немецкими транспортниками, снабжавшими окруженную армию Паулюса (4476).</w:t>
      </w:r>
    </w:p>
    <w:p w14:paraId="302A3A49" w14:textId="77777777" w:rsidR="00BB6316" w:rsidRPr="00722885" w:rsidRDefault="00BB6316" w:rsidP="00722885">
      <w:pPr>
        <w:pStyle w:val="Iauiue"/>
        <w:jc w:val="both"/>
        <w:rPr>
          <w:color w:val="000000" w:themeColor="text1"/>
          <w:sz w:val="16"/>
          <w:szCs w:val="16"/>
        </w:rPr>
      </w:pPr>
    </w:p>
    <w:p w14:paraId="5F0ABFB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под Олонцом в Карелии в руки финнов попал Ил-2 с экипажем, севший на вынужденную. Возили по гарнизонам. Потом передали и машину и экипаж немцам (3840).</w:t>
      </w:r>
    </w:p>
    <w:p w14:paraId="3A6A787F" w14:textId="77777777" w:rsidR="00BB6316" w:rsidRPr="00722885" w:rsidRDefault="00BB6316" w:rsidP="00722885">
      <w:pPr>
        <w:pStyle w:val="Iauiue"/>
        <w:jc w:val="both"/>
        <w:rPr>
          <w:color w:val="000000" w:themeColor="text1"/>
          <w:sz w:val="16"/>
          <w:szCs w:val="16"/>
        </w:rPr>
      </w:pPr>
    </w:p>
    <w:p w14:paraId="219D7AE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конце 1942 г. появилась возможность значительного увеличения немногочисленного соединения финских “Чаек”. Именно тогда немецкие союзники решили передать (по другим данным - продать) Финляндии десяток истребителей типа И-153 из числа захваченных летом 1941 г. Машины находились в разной степени сохранности, но все требовали ремонта. Поступление их в эксплуатацию началось в период весны-лета 1943 г. Начиная с этого момента и вплоть до конца года LeLv30 эксплуатировал 5-7 самолетов. Серьезных воздушных столкновений в тот период не отмечалось, хотя цели оставались прежними (6592).</w:t>
      </w:r>
    </w:p>
    <w:p w14:paraId="317FBBF1" w14:textId="77777777" w:rsidR="00BB6316" w:rsidRPr="00722885" w:rsidRDefault="00BB6316" w:rsidP="00722885">
      <w:pPr>
        <w:pStyle w:val="Iauiue"/>
        <w:jc w:val="both"/>
        <w:rPr>
          <w:color w:val="000000" w:themeColor="text1"/>
          <w:sz w:val="16"/>
          <w:szCs w:val="16"/>
        </w:rPr>
      </w:pPr>
    </w:p>
    <w:p w14:paraId="0C59DAD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принятый штат № 08/158, предусматривавший формирование САП в со</w:t>
      </w:r>
      <w:r w:rsidRPr="00722885">
        <w:rPr>
          <w:rFonts w:ascii="Times New Roman" w:hAnsi="Times New Roman"/>
          <w:color w:val="000000" w:themeColor="text1"/>
          <w:sz w:val="16"/>
          <w:szCs w:val="16"/>
        </w:rPr>
        <w:softHyphen/>
        <w:t>ставе 307 чел. и 25 САУ - 17 СУ-76 и 8 СУ-122, был пере</w:t>
      </w:r>
      <w:r w:rsidRPr="00722885">
        <w:rPr>
          <w:rFonts w:ascii="Times New Roman" w:hAnsi="Times New Roman"/>
          <w:color w:val="000000" w:themeColor="text1"/>
          <w:sz w:val="16"/>
          <w:szCs w:val="16"/>
        </w:rPr>
        <w:softHyphen/>
        <w:t>смотрен. С января 1943 г. вводился штат № 08/191, предусматривавший состав самоходно-артиллерийского полка из пяти батарей, каждая по 4 орудия, в том числе 12 СУ-122 и 8 СУ-76 при общей численности 289 человек.</w:t>
      </w:r>
    </w:p>
    <w:p w14:paraId="6E2DAFE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Тогда же для усиления огневой мощи танкового корпу</w:t>
      </w:r>
      <w:r w:rsidRPr="00722885">
        <w:rPr>
          <w:rFonts w:ascii="Times New Roman" w:hAnsi="Times New Roman"/>
          <w:color w:val="000000" w:themeColor="text1"/>
          <w:sz w:val="16"/>
          <w:szCs w:val="16"/>
        </w:rPr>
        <w:softHyphen/>
        <w:t>са, крайне необходимой в наступлении, в его штат был включен и самоходно-артиллерийский полк, сформиро</w:t>
      </w:r>
      <w:r w:rsidRPr="00722885">
        <w:rPr>
          <w:rFonts w:ascii="Times New Roman" w:hAnsi="Times New Roman"/>
          <w:color w:val="000000" w:themeColor="text1"/>
          <w:sz w:val="16"/>
          <w:szCs w:val="16"/>
        </w:rPr>
        <w:softHyphen/>
        <w:t>ванный по штату № 08/158 или же № 08/191.</w:t>
      </w:r>
    </w:p>
    <w:p w14:paraId="69C292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Также уже говорилось, что весной 1943 г. самоходная ар</w:t>
      </w:r>
      <w:r w:rsidRPr="00722885">
        <w:rPr>
          <w:rFonts w:ascii="Times New Roman" w:hAnsi="Times New Roman"/>
          <w:color w:val="000000" w:themeColor="text1"/>
          <w:sz w:val="16"/>
          <w:szCs w:val="16"/>
        </w:rPr>
        <w:softHyphen/>
        <w:t>тиллерия была передана танковым войскам, и тогда же в Красной Армии начали формировать тяжелые самоходно-артиллерийские полки резерва Верховного главнокомандо</w:t>
      </w:r>
      <w:r w:rsidRPr="00722885">
        <w:rPr>
          <w:rFonts w:ascii="Times New Roman" w:hAnsi="Times New Roman"/>
          <w:color w:val="000000" w:themeColor="text1"/>
          <w:sz w:val="16"/>
          <w:szCs w:val="16"/>
        </w:rPr>
        <w:softHyphen/>
        <w:t>вания на СУ-152, для которых был разработан штат № 08/218 (361 человек, 12 СУ-152). Предполагалось, что тяжелые САП РВГК будут применяться для качественного усиления танко</w:t>
      </w:r>
      <w:r w:rsidRPr="00722885">
        <w:rPr>
          <w:rFonts w:ascii="Times New Roman" w:hAnsi="Times New Roman"/>
          <w:color w:val="000000" w:themeColor="text1"/>
          <w:sz w:val="16"/>
          <w:szCs w:val="16"/>
        </w:rPr>
        <w:softHyphen/>
        <w:t>вых и пехотных частей и соединений на главных направлени</w:t>
      </w:r>
      <w:r w:rsidRPr="00722885">
        <w:rPr>
          <w:rFonts w:ascii="Times New Roman" w:hAnsi="Times New Roman"/>
          <w:color w:val="000000" w:themeColor="text1"/>
          <w:sz w:val="16"/>
          <w:szCs w:val="16"/>
        </w:rPr>
        <w:softHyphen/>
        <w:t>ях в качестве артиллерии усиления. Самоходные установки должны были применяться преимущественно для ведения огня с закрытых позиций, в особо ответственные моменты переводя их непосредственно в боевые порядки войск для сокрушения вражеских укреплений, срыва наступления тан</w:t>
      </w:r>
      <w:r w:rsidRPr="00722885">
        <w:rPr>
          <w:rFonts w:ascii="Times New Roman" w:hAnsi="Times New Roman"/>
          <w:color w:val="000000" w:themeColor="text1"/>
          <w:sz w:val="16"/>
          <w:szCs w:val="16"/>
        </w:rPr>
        <w:softHyphen/>
        <w:t>ков противника и борьбы с подходящими резервами.</w:t>
      </w:r>
    </w:p>
    <w:p w14:paraId="68709C6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Первое применение боевых и учебных самоходно-ар-тиллерийских полков смешанного типа, сформированных по штатам № 08/158 и 08/191, выявило большие организа</w:t>
      </w:r>
      <w:r w:rsidRPr="00722885">
        <w:rPr>
          <w:rFonts w:ascii="Times New Roman" w:hAnsi="Times New Roman"/>
          <w:color w:val="000000" w:themeColor="text1"/>
          <w:sz w:val="16"/>
          <w:szCs w:val="16"/>
        </w:rPr>
        <w:softHyphen/>
        <w:t>ционные недостатки. Поскольку в полках имелись САУ различных типов не только по вооружению, но и по типам применяемых ГСМ, создавались большие трудности орга</w:t>
      </w:r>
      <w:r w:rsidRPr="00722885">
        <w:rPr>
          <w:rFonts w:ascii="Times New Roman" w:hAnsi="Times New Roman"/>
          <w:color w:val="000000" w:themeColor="text1"/>
          <w:sz w:val="16"/>
          <w:szCs w:val="16"/>
        </w:rPr>
        <w:softHyphen/>
        <w:t>низации похода и боя, при проведении ремонта. Для устра</w:t>
      </w:r>
      <w:r w:rsidRPr="00722885">
        <w:rPr>
          <w:rFonts w:ascii="Times New Roman" w:hAnsi="Times New Roman"/>
          <w:color w:val="000000" w:themeColor="text1"/>
          <w:sz w:val="16"/>
          <w:szCs w:val="16"/>
        </w:rPr>
        <w:softHyphen/>
        <w:t>нения этих недостатков требовалось комплектование САП однотипной матчастью, что начали выполнять с апреля 1943 г. Теперь полки, получающие на вооружение СУ-122, формировались по штату № 010/453 (255 чел, 16 СУ-122 и 1 Т-34), самоходно-артиллерийские полки СУ-76 формиро</w:t>
      </w:r>
      <w:r w:rsidRPr="00722885">
        <w:rPr>
          <w:rFonts w:ascii="Times New Roman" w:hAnsi="Times New Roman"/>
          <w:color w:val="000000" w:themeColor="text1"/>
          <w:sz w:val="16"/>
          <w:szCs w:val="16"/>
        </w:rPr>
        <w:softHyphen/>
        <w:t>вались по штату № 010/456 (253 человека и 21 САУ или 20 САУ и танк Т-70) и состояли из пяти батарей, а также под</w:t>
      </w:r>
      <w:r w:rsidRPr="00722885">
        <w:rPr>
          <w:rFonts w:ascii="Times New Roman" w:hAnsi="Times New Roman"/>
          <w:color w:val="000000" w:themeColor="text1"/>
          <w:sz w:val="16"/>
          <w:szCs w:val="16"/>
        </w:rPr>
        <w:softHyphen/>
        <w:t>разделения обеспечения. Тяжелые же САП РВГК перево</w:t>
      </w:r>
      <w:r w:rsidRPr="00722885">
        <w:rPr>
          <w:rFonts w:ascii="Times New Roman" w:hAnsi="Times New Roman"/>
          <w:color w:val="000000" w:themeColor="text1"/>
          <w:sz w:val="16"/>
          <w:szCs w:val="16"/>
        </w:rPr>
        <w:softHyphen/>
        <w:t>дились на штат № 010/454, отличавшийся от предыдущего добавлением танка КВ-1С для командира полка и легкого бронеавтомобиля разведки и связи (11417).</w:t>
      </w:r>
    </w:p>
    <w:p w14:paraId="432CF3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E81D9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конце 1942 г. появилась возможность значительного увеличения немногочисленного соединения финских "Чаек". Именно тогда немецкие союзники решили передать (по другим данным - продать) Финляндии десяток истребителей типа И-153 из числа захваченных летом 1941 года. Машины эти были в разной степени сохранности, но все требовали ремонта. Поступление их в эксплуатацию произошло в период весны-лета 1943 года. Начиная с этого момента, и вплоть до конца года в LeLv30 эксплуатировали 5-7 И-153. Серьезных столкновений с советской авиацией в тот период отмечено не было, хотя цели оставались прежними. Обстановка в середине 1943 г. кардинально изменилась, советская авиация значительно усилилась вполне современными истребителями, поэтому командование Балтийского флота убрало свои И-153 с наиболее опасных участков. Менее активно стали вести себя и финские бипланы. Весной 1944 г. "Чайки" с голубыми свастиками поменяли место дислокации и задачи боевого применения. Самолеты вошли в состав авиаполка LeLvl6 и совместно с подобными ветеранами (Лайсендер, Етадиа- тор, Фоккер С.Х) занимались обеспечением боевых действий в районе Онежского озера. Одним из последних боевых столкновений стала неожиданная встреча пяти финских "Чаек" с группой советских "Аэрокобр" численностью около 20 самолетов. Вполне возможно были подобные встречи и позднее, однако в связи с выходом Финляндии из войны боевые действия здесь уже не велись (12014). </w:t>
      </w:r>
    </w:p>
    <w:p w14:paraId="4690806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09BC0D2"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62410F5B" w14:textId="77777777" w:rsidR="00BB6316" w:rsidRPr="00722885" w:rsidRDefault="00BB6316" w:rsidP="00722885">
      <w:pPr>
        <w:pStyle w:val="Iauiue"/>
        <w:jc w:val="both"/>
        <w:rPr>
          <w:iCs/>
          <w:color w:val="000000" w:themeColor="text1"/>
          <w:sz w:val="16"/>
          <w:szCs w:val="16"/>
        </w:rPr>
      </w:pPr>
    </w:p>
    <w:p w14:paraId="74F6F2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под прикрытием сотрудника «Международной книги» в США страну прибыл Л. Р. Квасников (сотрудник советской внешней разведки). Приняв от резидента В. М. Зарубина все дела по НТР, вновь прибывший внимательно изучил их и пришел к ожидаемому неприятному выводу: НТР в резидентуре оказалась на втором плане, а на первом — политическая разведка. Молодые сотрудники, прибывшие годом раньше в Нью-Йорк, А. С. Феклисов и А. А. Яцков, которым предписывалось вести научно-техническое направление, использовались в основном на побегушках, имея на связи по два агента. В то же время у многоопытного С. Семенова (Твен) их было в десять раз больше и половина из них работала опять же на политическую разведку.</w:t>
      </w:r>
    </w:p>
    <w:p w14:paraId="40BFD7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первых дней работы в Нью-Йорке Квасников стал придавать особое значение организации надежной связи с источниками и вопросами конспирации. Даже в стенах консульства он требовал от подчиненных вести разговоры шепотом, не называя фамилий и псевдонимов агентов.</w:t>
      </w:r>
    </w:p>
    <w:p w14:paraId="1AC7C6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Нормы конспирации положительно сказались на результатах работы всей резидентуры: в Центр стало поступать значительно больше материалов по делу «Энормоз», по радиоэлектронике, без которых невозможно было бы создать атомную бомбу. Тогда же были получены разведывательные материалы, позволившие советским конструкторам создать скоростные самолеты типа ХР-59, ХР-80 и ХР-83, П-81, 1-16, 1-40 и Т-9-180. А информация по радиолампам, радарам и сонарам (приборы для определения точного местонахождения подводных лодок в погруженном состоянии) явилась основной базой для развития такой отрасли советской радиопромышленности, как радиолокационная техника (Преемники КГБ активны в Балтии // Час (Латвия). — 2000. — 1 сент.) (11765).</w:t>
      </w:r>
    </w:p>
    <w:p w14:paraId="7D2041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Наркомат авиационной промышленности лестно отозвался в 1945 году о переданных разведкой 68 комплектов информации по самолетостроению, 43 по реактивной технике и 14 по двигателестроению. Большинство этих материалов — ценные, особенно актуальны сведения по реактивной технике (реактивные двигатели, самолеты-снаряды и пр.) и по аэродинамике высокоскоростных полетов.</w:t>
      </w:r>
    </w:p>
    <w:p w14:paraId="59904E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 меньшие успехи были в сфере добычи информации по проблемам радиолокации. В частности, в 1944 году было получено 1236 текстов, 5383 фотографии, 165 чертежей и 78 образцов деталей (Петров К. Шел парнишке в ту пору… // Красная звезда. — 2000. — 13 мая) (11765).</w:t>
      </w:r>
    </w:p>
    <w:p w14:paraId="100DD7D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E1DBAD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5595368C" w14:textId="77777777" w:rsidR="00BB6316" w:rsidRPr="00722885" w:rsidRDefault="00BB6316" w:rsidP="00722885">
      <w:pPr>
        <w:pStyle w:val="Iauiue"/>
        <w:jc w:val="both"/>
        <w:rPr>
          <w:iCs/>
          <w:color w:val="000000" w:themeColor="text1"/>
          <w:sz w:val="16"/>
          <w:szCs w:val="16"/>
        </w:rPr>
      </w:pPr>
    </w:p>
    <w:p w14:paraId="585A897A"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В конце 1942 в Германии был создан инспекторат штурмовой авиации (337,55).</w:t>
      </w:r>
    </w:p>
    <w:p w14:paraId="2458E763" w14:textId="77777777" w:rsidR="00B867F7" w:rsidRPr="00722885" w:rsidRDefault="00B867F7" w:rsidP="00722885">
      <w:pPr>
        <w:pStyle w:val="Iauiue"/>
        <w:jc w:val="both"/>
        <w:rPr>
          <w:color w:val="000000" w:themeColor="text1"/>
          <w:sz w:val="16"/>
          <w:szCs w:val="16"/>
        </w:rPr>
      </w:pPr>
    </w:p>
    <w:p w14:paraId="01B1812F"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В конце 1942 г. в испытательном центре люфтваффе в Рехлине была сформирована специальная "противотанковая команда" (Panzerjagd-kommando), в задачу которой входило испытание новых образцов противотанкового авиационного вооружения и отработка эффективной тактики борьбы с танками (9084).</w:t>
      </w:r>
    </w:p>
    <w:p w14:paraId="11B58EBE" w14:textId="77777777" w:rsidR="00B867F7" w:rsidRPr="00722885" w:rsidRDefault="00B867F7" w:rsidP="00722885">
      <w:pPr>
        <w:pStyle w:val="Iauiue"/>
        <w:jc w:val="both"/>
        <w:rPr>
          <w:color w:val="000000" w:themeColor="text1"/>
          <w:sz w:val="16"/>
          <w:szCs w:val="16"/>
        </w:rPr>
      </w:pPr>
    </w:p>
    <w:p w14:paraId="7D31B802"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в испытательном центре люфтваффе в Рехлине была сфор</w:t>
      </w:r>
      <w:r w:rsidRPr="00722885">
        <w:rPr>
          <w:rFonts w:ascii="Times New Roman" w:hAnsi="Times New Roman"/>
          <w:color w:val="000000" w:themeColor="text1"/>
          <w:sz w:val="16"/>
          <w:szCs w:val="16"/>
        </w:rPr>
        <w:softHyphen/>
        <w:t>мирована специальная «противотанковая команда» (Рапгепадйкоттапйо), в задачу которой входило испытание новых об</w:t>
      </w:r>
      <w:r w:rsidRPr="00722885">
        <w:rPr>
          <w:rFonts w:ascii="Times New Roman" w:hAnsi="Times New Roman"/>
          <w:color w:val="000000" w:themeColor="text1"/>
          <w:sz w:val="16"/>
          <w:szCs w:val="16"/>
        </w:rPr>
        <w:softHyphen/>
        <w:t>разцов противотанкового авиационного вооружения и отработка эффективной тактики борьбы с танками.</w:t>
      </w:r>
    </w:p>
    <w:p w14:paraId="776D2347"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феврале 1943 г. здесь успешно про</w:t>
      </w:r>
      <w:r w:rsidRPr="00722885">
        <w:rPr>
          <w:rFonts w:ascii="Times New Roman" w:hAnsi="Times New Roman"/>
          <w:color w:val="000000" w:themeColor="text1"/>
          <w:sz w:val="16"/>
          <w:szCs w:val="16"/>
        </w:rPr>
        <w:softHyphen/>
        <w:t>шел испытания Нз129В-2, модернизиро</w:t>
      </w:r>
      <w:r w:rsidRPr="00722885">
        <w:rPr>
          <w:rFonts w:ascii="Times New Roman" w:hAnsi="Times New Roman"/>
          <w:color w:val="000000" w:themeColor="text1"/>
          <w:sz w:val="16"/>
          <w:szCs w:val="16"/>
        </w:rPr>
        <w:softHyphen/>
        <w:t>ванный по опыту боевого использования своего предшественника. Новый «хен</w:t>
      </w:r>
      <w:r w:rsidRPr="00722885">
        <w:rPr>
          <w:rFonts w:ascii="Times New Roman" w:hAnsi="Times New Roman"/>
          <w:color w:val="000000" w:themeColor="text1"/>
          <w:sz w:val="16"/>
          <w:szCs w:val="16"/>
        </w:rPr>
        <w:softHyphen/>
        <w:t>шель» был вооружен 30-мм пушкой МК103, которая имела большую скорострельность, чем МК101 (420 выстрелов в минуту против 240). Боекомплект к пушке был увеличен до 100 снарядов.</w:t>
      </w:r>
    </w:p>
    <w:p w14:paraId="30EF530E"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счет большей скорострельности МК103 обеспечивалась лучшая вероят</w:t>
      </w:r>
      <w:r w:rsidRPr="00722885">
        <w:rPr>
          <w:rFonts w:ascii="Times New Roman" w:hAnsi="Times New Roman"/>
          <w:color w:val="000000" w:themeColor="text1"/>
          <w:sz w:val="16"/>
          <w:szCs w:val="16"/>
        </w:rPr>
        <w:softHyphen/>
        <w:t>ность поражения наземных целей, но все равно ее нельзя признать соответствую</w:t>
      </w:r>
      <w:r w:rsidRPr="00722885">
        <w:rPr>
          <w:rFonts w:ascii="Times New Roman" w:hAnsi="Times New Roman"/>
          <w:color w:val="000000" w:themeColor="text1"/>
          <w:sz w:val="16"/>
          <w:szCs w:val="16"/>
        </w:rPr>
        <w:softHyphen/>
        <w:t>щей требованиям войны.</w:t>
      </w:r>
    </w:p>
    <w:p w14:paraId="68520817"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Отметим, что уже на фронте с насту</w:t>
      </w:r>
      <w:r w:rsidRPr="00722885">
        <w:rPr>
          <w:rFonts w:ascii="Times New Roman" w:hAnsi="Times New Roman"/>
          <w:color w:val="000000" w:themeColor="text1"/>
          <w:sz w:val="16"/>
          <w:szCs w:val="16"/>
        </w:rPr>
        <w:softHyphen/>
        <w:t>плением холодов выяснилось, что пушки МК103, также как и МК101, совершенно не выносят морозов и отказывают. Надеж</w:t>
      </w:r>
      <w:r w:rsidRPr="00722885">
        <w:rPr>
          <w:rFonts w:ascii="Times New Roman" w:hAnsi="Times New Roman"/>
          <w:color w:val="000000" w:themeColor="text1"/>
          <w:sz w:val="16"/>
          <w:szCs w:val="16"/>
        </w:rPr>
        <w:softHyphen/>
        <w:t>ность автоматики пушки также оставляла желать много лучшего. По этим причи</w:t>
      </w:r>
      <w:r w:rsidRPr="00722885">
        <w:rPr>
          <w:rFonts w:ascii="Times New Roman" w:hAnsi="Times New Roman"/>
          <w:color w:val="000000" w:themeColor="text1"/>
          <w:sz w:val="16"/>
          <w:szCs w:val="16"/>
        </w:rPr>
        <w:softHyphen/>
        <w:t>нам пилоты «хеншелей» вынужденно использовали в бою противотанковые кумулятивные авиабомбы 504. Но в связи с их небольшим количеством на борту эффективность боевых вылетов Нз129В была низкой.</w:t>
      </w:r>
    </w:p>
    <w:p w14:paraId="2E0D498D"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Примерно в это же время с целью повышения эффективности стрельбы по бронетанковой технике немцы пытались использовать на Нз129В-2 пулеметы МС151/15 калибра 15 мм, в боекомплект которых входили бронебойные пули с воль</w:t>
      </w:r>
      <w:r w:rsidRPr="00722885">
        <w:rPr>
          <w:rFonts w:ascii="Times New Roman" w:hAnsi="Times New Roman"/>
          <w:color w:val="000000" w:themeColor="text1"/>
          <w:sz w:val="16"/>
          <w:szCs w:val="16"/>
        </w:rPr>
        <w:softHyphen/>
        <w:t>фрамовым сердечником. Предполагалось, что установка на «хеншель» крупнокали</w:t>
      </w:r>
      <w:r w:rsidRPr="00722885">
        <w:rPr>
          <w:rFonts w:ascii="Times New Roman" w:hAnsi="Times New Roman"/>
          <w:color w:val="000000" w:themeColor="text1"/>
          <w:sz w:val="16"/>
          <w:szCs w:val="16"/>
        </w:rPr>
        <w:softHyphen/>
        <w:t>берных пулеметов обеспечит значительное повышение вероятности поражения танков противника в бою, по сравнению с резуль</w:t>
      </w:r>
      <w:r w:rsidRPr="00722885">
        <w:rPr>
          <w:rFonts w:ascii="Times New Roman" w:hAnsi="Times New Roman"/>
          <w:color w:val="000000" w:themeColor="text1"/>
          <w:sz w:val="16"/>
          <w:szCs w:val="16"/>
        </w:rPr>
        <w:softHyphen/>
        <w:t>татом, получаемым крупнокалиберными пушками. Расчет строился на неплохих бронепробивных свойствах специальной 15-мм бронебойной пули (с дистанции 100 м при угле встречи с броней 0° она про</w:t>
      </w:r>
      <w:r w:rsidRPr="00722885">
        <w:rPr>
          <w:rFonts w:ascii="Times New Roman" w:hAnsi="Times New Roman"/>
          <w:color w:val="000000" w:themeColor="text1"/>
          <w:sz w:val="16"/>
          <w:szCs w:val="16"/>
        </w:rPr>
        <w:softHyphen/>
        <w:t>бивала бронеплиту толщиной почти в 5 см). Однако, судя по имеющимся сведениям, это оружие успеха не имело (12728).</w:t>
      </w:r>
    </w:p>
    <w:p w14:paraId="4ECB6EFA" w14:textId="77777777" w:rsidR="00B867F7" w:rsidRPr="00722885" w:rsidRDefault="00B867F7" w:rsidP="00722885">
      <w:pPr>
        <w:spacing w:after="0" w:line="240" w:lineRule="auto"/>
        <w:jc w:val="both"/>
        <w:rPr>
          <w:rFonts w:ascii="Times New Roman" w:hAnsi="Times New Roman"/>
          <w:color w:val="000000" w:themeColor="text1"/>
          <w:sz w:val="16"/>
          <w:szCs w:val="16"/>
        </w:rPr>
      </w:pPr>
    </w:p>
    <w:p w14:paraId="6D6D54F8"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В конце 1942-го появляется штурмовая модификация Ju87D-3 (9084).</w:t>
      </w:r>
    </w:p>
    <w:p w14:paraId="16619A5E" w14:textId="77777777" w:rsidR="00B867F7" w:rsidRPr="00722885" w:rsidRDefault="00B867F7" w:rsidP="00722885">
      <w:pPr>
        <w:pStyle w:val="Iauiue"/>
        <w:jc w:val="both"/>
        <w:rPr>
          <w:color w:val="000000" w:themeColor="text1"/>
          <w:sz w:val="16"/>
          <w:szCs w:val="16"/>
        </w:rPr>
      </w:pPr>
    </w:p>
    <w:p w14:paraId="396BCDC2"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появилась штурмовая модификация пикирующего бомбар</w:t>
      </w:r>
      <w:r w:rsidRPr="00722885">
        <w:rPr>
          <w:rFonts w:ascii="Times New Roman" w:hAnsi="Times New Roman"/>
          <w:color w:val="000000" w:themeColor="text1"/>
          <w:sz w:val="16"/>
          <w:szCs w:val="16"/>
        </w:rPr>
        <w:softHyphen/>
        <w:t>дировщика Ю870-3, а в начале 43-го - Ю870-5. Эти якобы штурмовики имели довольно слабое наступательное воору</w:t>
      </w:r>
      <w:r w:rsidRPr="00722885">
        <w:rPr>
          <w:rFonts w:ascii="Times New Roman" w:hAnsi="Times New Roman"/>
          <w:color w:val="000000" w:themeColor="text1"/>
          <w:sz w:val="16"/>
          <w:szCs w:val="16"/>
        </w:rPr>
        <w:softHyphen/>
        <w:t>жение (2 пулемета калибра 7,92 мм МОП7 у 0-3, и 2 пушки МС151/20 у 0-5). Действуя в качестве штурмовиков, «юнкерсы» чаще всего использовали деревянные контей</w:t>
      </w:r>
      <w:r w:rsidRPr="00722885">
        <w:rPr>
          <w:rFonts w:ascii="Times New Roman" w:hAnsi="Times New Roman"/>
          <w:color w:val="000000" w:themeColor="text1"/>
          <w:sz w:val="16"/>
          <w:szCs w:val="16"/>
        </w:rPr>
        <w:softHyphen/>
        <w:t>неры на 92 осколочные 2-кг авиабомбы типа 5С2, которые были малоэффектив</w:t>
      </w:r>
      <w:r w:rsidRPr="00722885">
        <w:rPr>
          <w:rFonts w:ascii="Times New Roman" w:hAnsi="Times New Roman"/>
          <w:color w:val="000000" w:themeColor="text1"/>
          <w:sz w:val="16"/>
          <w:szCs w:val="16"/>
        </w:rPr>
        <w:softHyphen/>
        <w:t>ными по защищенным целям. Иногда при</w:t>
      </w:r>
      <w:r w:rsidRPr="00722885">
        <w:rPr>
          <w:rFonts w:ascii="Times New Roman" w:hAnsi="Times New Roman"/>
          <w:color w:val="000000" w:themeColor="text1"/>
          <w:sz w:val="16"/>
          <w:szCs w:val="16"/>
        </w:rPr>
        <w:softHyphen/>
        <w:t>менялись авиабомбы и большего калибра: 500 кг и 250 кг.</w:t>
      </w:r>
    </w:p>
    <w:p w14:paraId="77C15B7F"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Бронирование Ю870 оставляло же</w:t>
      </w:r>
      <w:r w:rsidRPr="00722885">
        <w:rPr>
          <w:rFonts w:ascii="Times New Roman" w:hAnsi="Times New Roman"/>
          <w:color w:val="000000" w:themeColor="text1"/>
          <w:sz w:val="16"/>
          <w:szCs w:val="16"/>
        </w:rPr>
        <w:softHyphen/>
        <w:t>лать лучшего. Летчик защищался сзади бронеплитой толщиной 8 мм, с боков, снизу и спереди - 4-мм броней. Сиденье выполнялось из 4-мм брони, заголовник - из 10-мм брони. В пересчете на советскую броню АБ-1 указанные бронелисты были эквивалентны нашей броне толщиной 5,3 мм, 2,7 мм и 6,7 мм соответственно (далее эти значения будут указываться в скобках). Сзади мотора по бокам фюзе</w:t>
      </w:r>
      <w:r w:rsidRPr="00722885">
        <w:rPr>
          <w:rFonts w:ascii="Times New Roman" w:hAnsi="Times New Roman"/>
          <w:color w:val="000000" w:themeColor="text1"/>
          <w:sz w:val="16"/>
          <w:szCs w:val="16"/>
        </w:rPr>
        <w:softHyphen/>
        <w:t>ляжа устанавливалась две фигурные 5-мм бронеплиты (3,3 мм), частично защищаю</w:t>
      </w:r>
      <w:r w:rsidRPr="00722885">
        <w:rPr>
          <w:rFonts w:ascii="Times New Roman" w:hAnsi="Times New Roman"/>
          <w:color w:val="000000" w:themeColor="text1"/>
          <w:sz w:val="16"/>
          <w:szCs w:val="16"/>
        </w:rPr>
        <w:softHyphen/>
        <w:t>щие летчика и маслобак.</w:t>
      </w:r>
    </w:p>
    <w:p w14:paraId="4FE0170A"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Козырек фонаря кабины выполнялся из бронестекла толщиной 60 мм, что в пере</w:t>
      </w:r>
      <w:r w:rsidRPr="00722885">
        <w:rPr>
          <w:rFonts w:ascii="Times New Roman" w:hAnsi="Times New Roman"/>
          <w:color w:val="000000" w:themeColor="text1"/>
          <w:sz w:val="16"/>
          <w:szCs w:val="16"/>
        </w:rPr>
        <w:softHyphen/>
        <w:t>счете на советское бронестекло было эк</w:t>
      </w:r>
      <w:r w:rsidRPr="00722885">
        <w:rPr>
          <w:rFonts w:ascii="Times New Roman" w:hAnsi="Times New Roman"/>
          <w:color w:val="000000" w:themeColor="text1"/>
          <w:sz w:val="16"/>
          <w:szCs w:val="16"/>
        </w:rPr>
        <w:softHyphen/>
        <w:t>вивалентно броне толщиной около 43 мм.</w:t>
      </w:r>
    </w:p>
    <w:p w14:paraId="62E0B6DE"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полу кабины находилось небольших размеров окно для наблюдения вниз из кабины летчика, но которое, полностью закрывалось бомбой при подвеске ее под фюзеляжем.</w:t>
      </w:r>
    </w:p>
    <w:p w14:paraId="61D4537D"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Бронезащита воздушного стрелка была еще хуже и включала вертикальную бронеплиту толщиной 8 мм с 5-мм боко</w:t>
      </w:r>
      <w:r w:rsidRPr="00722885">
        <w:rPr>
          <w:rFonts w:ascii="Times New Roman" w:hAnsi="Times New Roman"/>
          <w:color w:val="000000" w:themeColor="text1"/>
          <w:sz w:val="16"/>
          <w:szCs w:val="16"/>
        </w:rPr>
        <w:softHyphen/>
        <w:t>винками (5,3 мм и 3,3 мм, соответственно), бронированный 5-мм пол (3,3 мм) и вы</w:t>
      </w:r>
      <w:r w:rsidRPr="00722885">
        <w:rPr>
          <w:rFonts w:ascii="Times New Roman" w:hAnsi="Times New Roman"/>
          <w:color w:val="000000" w:themeColor="text1"/>
          <w:sz w:val="16"/>
          <w:szCs w:val="16"/>
        </w:rPr>
        <w:softHyphen/>
        <w:t>пуклый бронеколпак из двух 8-мм бронеплит (5,3 мм) и верхней 5-мм бронеплиты (3,3 мм), вмонтированных в потолок экра</w:t>
      </w:r>
      <w:r w:rsidRPr="00722885">
        <w:rPr>
          <w:rFonts w:ascii="Times New Roman" w:hAnsi="Times New Roman"/>
          <w:color w:val="000000" w:themeColor="text1"/>
          <w:sz w:val="16"/>
          <w:szCs w:val="16"/>
        </w:rPr>
        <w:softHyphen/>
        <w:t>нированной полугурели.</w:t>
      </w:r>
    </w:p>
    <w:p w14:paraId="2993D161"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Водорадиаторы защищались сверху и снизу 4-мм бронелистами (2,7 мм), а спе</w:t>
      </w:r>
      <w:r w:rsidRPr="00722885">
        <w:rPr>
          <w:rFonts w:ascii="Times New Roman" w:hAnsi="Times New Roman"/>
          <w:color w:val="000000" w:themeColor="text1"/>
          <w:sz w:val="16"/>
          <w:szCs w:val="16"/>
        </w:rPr>
        <w:softHyphen/>
        <w:t>реди и сзади - бронестворками, такой же толщины. Маслорадиаторы прикрывались броней только снизу - вмонтированной в нижнюю крышку капота 4-мм бронепли</w:t>
      </w:r>
      <w:r w:rsidRPr="00722885">
        <w:rPr>
          <w:rFonts w:ascii="Times New Roman" w:hAnsi="Times New Roman"/>
          <w:color w:val="000000" w:themeColor="text1"/>
          <w:sz w:val="16"/>
          <w:szCs w:val="16"/>
        </w:rPr>
        <w:softHyphen/>
        <w:t>той (2,7 мм).</w:t>
      </w:r>
    </w:p>
    <w:p w14:paraId="26D45074"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Водопроводы на всем пути от мотора к радиатору защищались спереди верти</w:t>
      </w:r>
      <w:r w:rsidRPr="00722885">
        <w:rPr>
          <w:rFonts w:ascii="Times New Roman" w:hAnsi="Times New Roman"/>
          <w:color w:val="000000" w:themeColor="text1"/>
          <w:sz w:val="16"/>
          <w:szCs w:val="16"/>
        </w:rPr>
        <w:softHyphen/>
        <w:t>кальными 5-мм бронеплитами (3,3 мм), установленными в передней кромке центроплана, вертикальными 5-мм бро</w:t>
      </w:r>
      <w:r w:rsidRPr="00722885">
        <w:rPr>
          <w:rFonts w:ascii="Times New Roman" w:hAnsi="Times New Roman"/>
          <w:color w:val="000000" w:themeColor="text1"/>
          <w:sz w:val="16"/>
          <w:szCs w:val="16"/>
        </w:rPr>
        <w:softHyphen/>
        <w:t>неплитами (3,3 мм), расположенными в центроплане в месте отъема крыла, и да</w:t>
      </w:r>
      <w:r w:rsidRPr="00722885">
        <w:rPr>
          <w:rFonts w:ascii="Times New Roman" w:hAnsi="Times New Roman"/>
          <w:color w:val="000000" w:themeColor="text1"/>
          <w:sz w:val="16"/>
          <w:szCs w:val="16"/>
        </w:rPr>
        <w:softHyphen/>
        <w:t>лее тремя 5-мм бронелистами (3,3 мм) под трубопроводом.</w:t>
      </w:r>
    </w:p>
    <w:p w14:paraId="3A1F404B"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Центропланные бензобаки прикрыва</w:t>
      </w:r>
      <w:r w:rsidRPr="00722885">
        <w:rPr>
          <w:rFonts w:ascii="Times New Roman" w:hAnsi="Times New Roman"/>
          <w:color w:val="000000" w:themeColor="text1"/>
          <w:sz w:val="16"/>
          <w:szCs w:val="16"/>
        </w:rPr>
        <w:softHyphen/>
        <w:t>лись от стрелкового огня и осколков зенит</w:t>
      </w:r>
      <w:r w:rsidRPr="00722885">
        <w:rPr>
          <w:rFonts w:ascii="Times New Roman" w:hAnsi="Times New Roman"/>
          <w:color w:val="000000" w:themeColor="text1"/>
          <w:sz w:val="16"/>
          <w:szCs w:val="16"/>
        </w:rPr>
        <w:softHyphen/>
        <w:t>ных снарядов 5-мм бронеплитами (3,3 мм), установленными впереди и с внешнебор- товой стороны баков.</w:t>
      </w:r>
    </w:p>
    <w:p w14:paraId="5BF24207"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Общий вес брони на «восемьдесят седьмом» составлял около 200 кг (по дан</w:t>
      </w:r>
      <w:r w:rsidRPr="00722885">
        <w:rPr>
          <w:rFonts w:ascii="Times New Roman" w:hAnsi="Times New Roman"/>
          <w:color w:val="000000" w:themeColor="text1"/>
          <w:sz w:val="16"/>
          <w:szCs w:val="16"/>
        </w:rPr>
        <w:softHyphen/>
        <w:t>ным НИИ ВВС КА).</w:t>
      </w:r>
    </w:p>
    <w:p w14:paraId="77DBFD00"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Анализ схемы бронирования «юнкерса» показывает, что попытка немецких конструкторов обеспечить как можно боль</w:t>
      </w:r>
      <w:r w:rsidRPr="00722885">
        <w:rPr>
          <w:rFonts w:ascii="Times New Roman" w:hAnsi="Times New Roman"/>
          <w:color w:val="000000" w:themeColor="text1"/>
          <w:sz w:val="16"/>
          <w:szCs w:val="16"/>
        </w:rPr>
        <w:softHyphen/>
        <w:t>шую, по сравнению с другими самолетами люфтваффе, защищенность экипажа пики</w:t>
      </w:r>
      <w:r w:rsidRPr="00722885">
        <w:rPr>
          <w:rFonts w:ascii="Times New Roman" w:hAnsi="Times New Roman"/>
          <w:color w:val="000000" w:themeColor="text1"/>
          <w:sz w:val="16"/>
          <w:szCs w:val="16"/>
        </w:rPr>
        <w:softHyphen/>
        <w:t>ровщика-штурмовика в задней полусфере, успехом не увенчалась. Схема бронирова</w:t>
      </w:r>
      <w:r w:rsidRPr="00722885">
        <w:rPr>
          <w:rFonts w:ascii="Times New Roman" w:hAnsi="Times New Roman"/>
          <w:color w:val="000000" w:themeColor="text1"/>
          <w:sz w:val="16"/>
          <w:szCs w:val="16"/>
        </w:rPr>
        <w:softHyphen/>
        <w:t>ния машины не соответствовала условиям воздушных боев того периода.</w:t>
      </w:r>
    </w:p>
    <w:p w14:paraId="4D85EFDF"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Вертикальная 8-мм бронеплита стрел</w:t>
      </w:r>
      <w:r w:rsidRPr="00722885">
        <w:rPr>
          <w:rFonts w:ascii="Times New Roman" w:hAnsi="Times New Roman"/>
          <w:color w:val="000000" w:themeColor="text1"/>
          <w:sz w:val="16"/>
          <w:szCs w:val="16"/>
        </w:rPr>
        <w:softHyphen/>
        <w:t>ка, так же как и 8-мм бронестенка летчика «не держали» 20-мм бронебойные снаряды к советской пушке ШВАК, не говоря уже о снарядах к пушке ВЯ-23 и бронебойных 12,7-мм пулях к пулемету УБ.</w:t>
      </w:r>
    </w:p>
    <w:p w14:paraId="2650160E"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Бронирование экипажа с боков и снизу, не обеспечивало защиту, как от осколков зенитных снарядов, так и круп</w:t>
      </w:r>
      <w:r w:rsidRPr="00722885">
        <w:rPr>
          <w:rFonts w:ascii="Times New Roman" w:hAnsi="Times New Roman"/>
          <w:color w:val="000000" w:themeColor="text1"/>
          <w:sz w:val="16"/>
          <w:szCs w:val="16"/>
        </w:rPr>
        <w:softHyphen/>
        <w:t>нокалиберных пуль. Мотор совершенно не был защищен броней.</w:t>
      </w:r>
    </w:p>
    <w:p w14:paraId="696ADAF8"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Броня Ю870 обеспечивала защиту экипажа и прикрываемых броней жизнен</w:t>
      </w:r>
      <w:r w:rsidRPr="00722885">
        <w:rPr>
          <w:rFonts w:ascii="Times New Roman" w:hAnsi="Times New Roman"/>
          <w:color w:val="000000" w:themeColor="text1"/>
          <w:sz w:val="16"/>
          <w:szCs w:val="16"/>
        </w:rPr>
        <w:softHyphen/>
        <w:t>но важных систем самолета только от пуль обычного калибра (12728).</w:t>
      </w:r>
    </w:p>
    <w:p w14:paraId="435F4BA9" w14:textId="77777777" w:rsidR="00B867F7" w:rsidRPr="00722885" w:rsidRDefault="00B867F7" w:rsidP="00722885">
      <w:pPr>
        <w:spacing w:after="0" w:line="240" w:lineRule="auto"/>
        <w:jc w:val="both"/>
        <w:rPr>
          <w:rFonts w:ascii="Times New Roman" w:hAnsi="Times New Roman"/>
          <w:color w:val="000000" w:themeColor="text1"/>
          <w:sz w:val="16"/>
          <w:szCs w:val="16"/>
        </w:rPr>
      </w:pPr>
    </w:p>
    <w:p w14:paraId="39E67DFE"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В конце 1942 г. в соответствии с концепцией Э.Купфера появился первый "фокке-вульф" - штурмовик - Fwl90F-1. Оба варианта представляли собой переобозначенные Fwl90A-4/U3 и A-5/U3 соответственно.</w:t>
      </w:r>
    </w:p>
    <w:p w14:paraId="5A7C4CD1"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Вооружение Fwl90F состояло из двух фюзеляжных пулеметов MG17, двух синхронных крыльевых пушек MG151/ 20 и бомбового вооружения в составе четырех 50-кг на фюзеляжном бомбодержателе ETC 501 с переходником ER4 и двух бомб до 250 кг на подкрыльевых держателях. На ETC 501 можно было подвешивать одну 500-кг бомбу SC500. На F-2 был немного улучшен обзор из кабины пилота вперед-вниз, на недостаток которого жаловались пилоты первых серий, а на F-3 держатель ETC 501 приспособлен для подвески дополнительного бензобака. Серия F-8 отличалась от собратьев фюзеляжными пулеметами MG131 калибра 13 мм и установкой четырех подкрыльевых держателей ETC 50 под 50-кг бомбы SC50.</w:t>
      </w:r>
    </w:p>
    <w:p w14:paraId="6D9BDC11"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Бронирование ударных Fwl90F в сравнении с чистыми истребителями было усилено - общий вес бронедеталей на самолете вырос до 310 кг (по данным НИИ ВВС КА).</w:t>
      </w:r>
    </w:p>
    <w:p w14:paraId="0F5678D5"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На моторе устанавливалось переднее бронекольцо толщиной 5 мм (в пересчете на советскую броню АБ-1 - 3,3 мм), сделанное по габариту мотора с загибающимся внутрь передним краем. За ним устанавливался короткий цилиндр из брони толщиной 3 мм (АБ-1 -2 мм), по форме совпадающий с капотом мотора. Эти два бронекольца защищали маслобак, частично мотор и усиливали защиту летчика спереди. На нижней поверхности фюзеляжа, начиная от броневых колец на моторе и до заднего обреза кабины летчика, устанавливались 18 бронеплит различной формы толщиной 5 мм (АБ-1 - 3,3 мм) и под мотором - б мм (АБ-1 - 4 мм), в том числе два броневых щитка шасси.</w:t>
      </w:r>
    </w:p>
    <w:p w14:paraId="03663237"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Спереди летчика защищало пулестойкое стекло толщиной 57 мм (в пересчете на советское бронестекло типа К-4 - 40,7 мм), расположенное под углом 30° к продольной оси самолета. Кроме этого, за головой летчика устанавливался 12-мм бронезаголовник (АБ-1 -8 мм), сдвигающийся назад вместе с подвижной частью фонаря кабины. В свою очередь, боковины фонаря кабины выполнялись из 30-мм бронестекла (К-4 - 21,4 мм).</w:t>
      </w:r>
    </w:p>
    <w:p w14:paraId="02A10941"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Защита летчика сзади обеспечивалась также бронеплитой толщиной 8 мм (АБ-1 - 5,3 мм), несколько изогнутой в горизонтальной плоскости, и следующей за ней бронеперегородкой, составленной из четырех отдельных 5-мм бронеплит (АБ-1 - 3,3 мм).</w:t>
      </w:r>
    </w:p>
    <w:p w14:paraId="76ECA899"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В каждой эскадре немецкое командование планировало иметь три группы, вооруженных Fwl90 в варианте истребителя-штурмовика, и одну специальную противотанковую эскадрилью на Hsl29B.</w:t>
      </w:r>
    </w:p>
    <w:p w14:paraId="700CF94E"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Считалось, что именно такое сочетание боевых сил позволит серьезно повысить эффективность непосредственной авиационной поддержки войск, как в обороне, так и в наступлении (9084).</w:t>
      </w:r>
    </w:p>
    <w:p w14:paraId="3CC522B1" w14:textId="77777777" w:rsidR="00B867F7" w:rsidRPr="00722885" w:rsidRDefault="00B867F7" w:rsidP="00722885">
      <w:pPr>
        <w:pStyle w:val="Iauiue"/>
        <w:jc w:val="both"/>
        <w:rPr>
          <w:color w:val="000000" w:themeColor="text1"/>
          <w:sz w:val="16"/>
          <w:szCs w:val="16"/>
        </w:rPr>
      </w:pPr>
    </w:p>
    <w:p w14:paraId="71D0B5CB" w14:textId="77777777" w:rsidR="00B867F7" w:rsidRPr="00722885" w:rsidRDefault="00B867F7" w:rsidP="00722885">
      <w:pPr>
        <w:pStyle w:val="a3"/>
        <w:rPr>
          <w:color w:val="000000" w:themeColor="text1"/>
          <w:lang w:val="ru-RU"/>
        </w:rPr>
      </w:pPr>
      <w:r w:rsidRPr="00722885">
        <w:rPr>
          <w:color w:val="000000" w:themeColor="text1"/>
          <w:lang w:val="ru-RU"/>
        </w:rPr>
        <w:t>В конце 1942 г. в соответствии с концепцией Э.Купфера появился первый «фокке-вульф»-штурмовик - Р\л/190Р-1, а весной 1943 г. - вариант Р-2. Оба самолета пред</w:t>
      </w:r>
      <w:r w:rsidRPr="00722885">
        <w:rPr>
          <w:color w:val="000000" w:themeColor="text1"/>
          <w:lang w:val="ru-RU"/>
        </w:rPr>
        <w:softHyphen/>
        <w:t>ставляли собой всего лишь переименован</w:t>
      </w:r>
      <w:r w:rsidRPr="00722885">
        <w:rPr>
          <w:color w:val="000000" w:themeColor="text1"/>
          <w:lang w:val="ru-RU"/>
        </w:rPr>
        <w:softHyphen/>
        <w:t>ные Р\м190А-4/113 и А-5/113, соответственно. С лета 1943 г. в серию «пошел» самый массовый вариант ударного «фоккера» - Р-3. В марте 1944 г. началось производство серии Р-8.</w:t>
      </w:r>
    </w:p>
    <w:p w14:paraId="6EDB1040" w14:textId="77777777" w:rsidR="00B867F7" w:rsidRPr="00722885" w:rsidRDefault="00B867F7" w:rsidP="00722885">
      <w:pPr>
        <w:pStyle w:val="a3"/>
        <w:rPr>
          <w:color w:val="000000" w:themeColor="text1"/>
          <w:lang w:val="ru-RU"/>
        </w:rPr>
      </w:pPr>
      <w:r w:rsidRPr="00722885">
        <w:rPr>
          <w:color w:val="000000" w:themeColor="text1"/>
          <w:lang w:val="ru-RU"/>
        </w:rPr>
        <w:t>Вооружение Р\л/190Р состояло из двух фюзеляжных пулеметов М017, двух син</w:t>
      </w:r>
      <w:r w:rsidRPr="00722885">
        <w:rPr>
          <w:color w:val="000000" w:themeColor="text1"/>
          <w:lang w:val="ru-RU"/>
        </w:rPr>
        <w:softHyphen/>
        <w:t>хронных крыльевых пушек МС151/20 и бомбового вооружения в составе четырех 50-кг бомб, подвешиваемых на фюзеляжном бомбодержателе ЕТС 501 с переходником ЕВ4 и двух бомб до 250 кг на подкрыльевых держателях. На ЕТС 501 можно было подве</w:t>
      </w:r>
      <w:r w:rsidRPr="00722885">
        <w:rPr>
          <w:color w:val="000000" w:themeColor="text1"/>
          <w:lang w:val="ru-RU"/>
        </w:rPr>
        <w:softHyphen/>
        <w:t>шивать также одну 500-кг бомбу ЗС500. На Р-2 был немного улучшен обзор из кабины пилота вперед-вниз, на недостаток которого жаловались пилоты первых серий, а на Р-3 держатель ЕТС 501 был приспособлен для подвески дополнительного бензобака. Серия Р-8 отличалась от собратьев фю</w:t>
      </w:r>
      <w:r w:rsidRPr="00722885">
        <w:rPr>
          <w:color w:val="000000" w:themeColor="text1"/>
          <w:lang w:val="ru-RU"/>
        </w:rPr>
        <w:softHyphen/>
        <w:t>зеляжными пулеметами МОЛ 31 калибра 13 мм и установкой четырех подкрыльевых держателей ЕТС 50 под 50-кг бомбы.</w:t>
      </w:r>
    </w:p>
    <w:p w14:paraId="650B497B" w14:textId="77777777" w:rsidR="00B867F7" w:rsidRPr="00722885" w:rsidRDefault="00B867F7" w:rsidP="00722885">
      <w:pPr>
        <w:pStyle w:val="a3"/>
        <w:rPr>
          <w:color w:val="000000" w:themeColor="text1"/>
          <w:lang w:val="ru-RU"/>
        </w:rPr>
      </w:pPr>
      <w:r w:rsidRPr="00722885">
        <w:rPr>
          <w:color w:val="000000" w:themeColor="text1"/>
          <w:lang w:val="ru-RU"/>
        </w:rPr>
        <w:t>Бронирование ударных Р\д/190Р в срав</w:t>
      </w:r>
      <w:r w:rsidRPr="00722885">
        <w:rPr>
          <w:color w:val="000000" w:themeColor="text1"/>
          <w:lang w:val="ru-RU"/>
        </w:rPr>
        <w:softHyphen/>
        <w:t>нении с чистыми истребителями было усилено - общий вес бронедеталей на самолете вырос до 310 кг (по данным НИИ ВВС КА).</w:t>
      </w:r>
    </w:p>
    <w:p w14:paraId="7D0ED29D" w14:textId="77777777" w:rsidR="00B867F7" w:rsidRPr="00722885" w:rsidRDefault="00B867F7" w:rsidP="00722885">
      <w:pPr>
        <w:pStyle w:val="a3"/>
        <w:rPr>
          <w:color w:val="000000" w:themeColor="text1"/>
          <w:lang w:val="ru-RU"/>
        </w:rPr>
      </w:pPr>
      <w:r w:rsidRPr="00722885">
        <w:rPr>
          <w:color w:val="000000" w:themeColor="text1"/>
          <w:lang w:val="ru-RU"/>
        </w:rPr>
        <w:t>На моторе устанавливалось переднее бронекольцо толщиной 5 мм (в пересчете на советскую броню АБ-1 -3,3 мм), сделанное по габариту мотора с загибающимся внутрь передним краем. За ним устанавливался короткий цилиндр из брони толщиной Змм (АБ-1 -2 мм), по форме совпадающий с капотом мотора. Эти два бронекольца защищали маслобак, частично мотор, и усиливали защиту летчика спереди. На нижней поверхности фюзеляжа, начиная от броневых колец на моторе и до заднего обреза кабины летчика, устанавливались 18 бронеплит различной формы, толщиной 5 мм (АБ-1 - 3,3 мм) и под мотором - 6 мм (АБ-1 - 4 мм), в том числе два броневых щитка шасси.</w:t>
      </w:r>
    </w:p>
    <w:p w14:paraId="3CB2D68F" w14:textId="77777777" w:rsidR="00B867F7" w:rsidRPr="00722885" w:rsidRDefault="00B867F7" w:rsidP="00722885">
      <w:pPr>
        <w:pStyle w:val="a3"/>
        <w:rPr>
          <w:color w:val="000000" w:themeColor="text1"/>
          <w:lang w:val="ru-RU"/>
        </w:rPr>
      </w:pPr>
      <w:r w:rsidRPr="00722885">
        <w:rPr>
          <w:color w:val="000000" w:themeColor="text1"/>
          <w:lang w:val="ru-RU"/>
        </w:rPr>
        <w:t>Спереди летчика защищало пулестойкое стекло толщиной 57 мм (в пересчете на советское бронестекло типа К-4 - 40,7 мм), расположенное под углом 30° к продольной оси самолета. Кроме этого, за головой лет</w:t>
      </w:r>
      <w:r w:rsidRPr="00722885">
        <w:rPr>
          <w:color w:val="000000" w:themeColor="text1"/>
          <w:lang w:val="ru-RU"/>
        </w:rPr>
        <w:softHyphen/>
        <w:t>чика устанавливался 12-мм бронезаголовник (АБ-1 - 8 мм), сдвигающийся назад вместе с подвижной частью фонаря кабины. В свою очередь, боковины фонаря кабины выполня</w:t>
      </w:r>
      <w:r w:rsidRPr="00722885">
        <w:rPr>
          <w:color w:val="000000" w:themeColor="text1"/>
          <w:lang w:val="ru-RU"/>
        </w:rPr>
        <w:softHyphen/>
        <w:t>лись из 30-мм бронестекла (К-4 - 21,4 мм).</w:t>
      </w:r>
    </w:p>
    <w:p w14:paraId="33DDF9CD"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Защита летчика сзади обеспечива</w:t>
      </w:r>
      <w:r w:rsidRPr="00722885">
        <w:rPr>
          <w:rFonts w:ascii="Times New Roman" w:hAnsi="Times New Roman"/>
          <w:color w:val="000000" w:themeColor="text1"/>
          <w:sz w:val="16"/>
          <w:szCs w:val="16"/>
        </w:rPr>
        <w:softHyphen/>
        <w:t>лась также бронеплитой толщиной 8 мм (АБ-1 - 5,3 мм), несколько изогнутой в горизонтальной плоскости, расположенной за ней бронеперегородкой, составленной из четырех отдельных 5-мм бронеплит (АБ-1 -3,3 мм).</w:t>
      </w:r>
    </w:p>
    <w:p w14:paraId="65C4FCBF" w14:textId="77777777" w:rsidR="00B867F7" w:rsidRPr="00722885" w:rsidRDefault="00B867F7" w:rsidP="00722885">
      <w:pPr>
        <w:pStyle w:val="a3"/>
        <w:rPr>
          <w:color w:val="000000" w:themeColor="text1"/>
          <w:lang w:val="ru-RU"/>
        </w:rPr>
      </w:pPr>
      <w:r w:rsidRPr="00722885">
        <w:rPr>
          <w:color w:val="000000" w:themeColor="text1"/>
          <w:lang w:val="ru-RU"/>
        </w:rPr>
        <w:t>В каждой эскадре немецкое коман</w:t>
      </w:r>
      <w:r w:rsidRPr="00722885">
        <w:rPr>
          <w:color w:val="000000" w:themeColor="text1"/>
          <w:lang w:val="ru-RU"/>
        </w:rPr>
        <w:softHyphen/>
        <w:t>дование планировало иметь три группы, вооруженных Р\л/190 в варианте истреби</w:t>
      </w:r>
      <w:r w:rsidRPr="00722885">
        <w:rPr>
          <w:color w:val="000000" w:themeColor="text1"/>
          <w:lang w:val="ru-RU"/>
        </w:rPr>
        <w:softHyphen/>
        <w:t>теля-штурмовика, и одну специальную противотанковую эскадрилью на Нз129В.</w:t>
      </w:r>
    </w:p>
    <w:p w14:paraId="51210BF8" w14:textId="77777777" w:rsidR="00B867F7" w:rsidRPr="00722885" w:rsidRDefault="00B867F7" w:rsidP="00722885">
      <w:pPr>
        <w:pStyle w:val="a3"/>
        <w:rPr>
          <w:color w:val="000000" w:themeColor="text1"/>
          <w:lang w:val="ru-RU"/>
        </w:rPr>
      </w:pPr>
      <w:r w:rsidRPr="00722885">
        <w:rPr>
          <w:color w:val="000000" w:themeColor="text1"/>
          <w:lang w:val="ru-RU"/>
        </w:rPr>
        <w:t>Считалось, что именно такое сочетание боевых сил позволит серьезно повысить эффективность непосредственной авиаци</w:t>
      </w:r>
      <w:r w:rsidRPr="00722885">
        <w:rPr>
          <w:color w:val="000000" w:themeColor="text1"/>
          <w:lang w:val="ru-RU"/>
        </w:rPr>
        <w:softHyphen/>
        <w:t>онной поддержки войск, как в обороне, так и в наступлении.</w:t>
      </w:r>
    </w:p>
    <w:p w14:paraId="7BD50819" w14:textId="77777777" w:rsidR="00B867F7" w:rsidRPr="00722885" w:rsidRDefault="00B867F7" w:rsidP="00722885">
      <w:pPr>
        <w:pStyle w:val="a3"/>
        <w:rPr>
          <w:color w:val="000000" w:themeColor="text1"/>
          <w:lang w:val="ru-RU"/>
        </w:rPr>
      </w:pPr>
      <w:r w:rsidRPr="00722885">
        <w:rPr>
          <w:color w:val="000000" w:themeColor="text1"/>
          <w:lang w:val="ru-RU"/>
        </w:rPr>
        <w:t>Надо признать, что ставка люфтваффе на ударные варианты «сто девяностого» не оправдалась. Все штурмовые варианты «фокке-вульфа» оказались все же недо</w:t>
      </w:r>
      <w:r w:rsidRPr="00722885">
        <w:rPr>
          <w:color w:val="000000" w:themeColor="text1"/>
          <w:lang w:val="ru-RU"/>
        </w:rPr>
        <w:softHyphen/>
        <w:t>статочно эффективными в бою.</w:t>
      </w:r>
    </w:p>
    <w:p w14:paraId="36A4B393" w14:textId="77777777" w:rsidR="00B867F7" w:rsidRPr="00722885" w:rsidRDefault="00B867F7" w:rsidP="00722885">
      <w:pPr>
        <w:pStyle w:val="a3"/>
        <w:rPr>
          <w:color w:val="000000" w:themeColor="text1"/>
          <w:lang w:val="ru-RU"/>
        </w:rPr>
      </w:pPr>
      <w:r w:rsidRPr="00722885">
        <w:rPr>
          <w:color w:val="000000" w:themeColor="text1"/>
          <w:lang w:val="ru-RU"/>
        </w:rPr>
        <w:t>Плохой обзор вперед-вниз и отсутствие нормального бомбардировочного прицела не позволяли точно бомбить, а возросший полетный вес и ухудшенная аэродинамика (даже без бомб) - на равных противостоять советским истребителям.</w:t>
      </w:r>
    </w:p>
    <w:p w14:paraId="6789D80E" w14:textId="77777777" w:rsidR="00B867F7" w:rsidRPr="00722885" w:rsidRDefault="00B867F7" w:rsidP="00722885">
      <w:pPr>
        <w:pStyle w:val="a3"/>
        <w:rPr>
          <w:color w:val="000000" w:themeColor="text1"/>
          <w:lang w:val="ru-RU"/>
        </w:rPr>
      </w:pPr>
      <w:r w:rsidRPr="00722885">
        <w:rPr>
          <w:color w:val="000000" w:themeColor="text1"/>
          <w:lang w:val="ru-RU"/>
        </w:rPr>
        <w:t>Расчеты показывают (использовались данные по испытаниям модификаций Р\л/190Р в НИИ ВВС КА, ЛИИ НКАП, а также в Великобритании), что максимальная скорость Р\«190Р на малых и предельно малых высотах с бомбовой нагрузкой получалась около 400-410 км/ч (а не 480 км/ч, как утверждается в ряде зару</w:t>
      </w:r>
      <w:r w:rsidRPr="00722885">
        <w:rPr>
          <w:color w:val="000000" w:themeColor="text1"/>
          <w:lang w:val="ru-RU"/>
        </w:rPr>
        <w:softHyphen/>
        <w:t>бежных и отечественных публикациях). То есть, примерно совпадала с максимальной скоростью полета одноместного Ил-2 без РС и с 400 кг бомб на внутренней подвеске, и примерно на 50-70 км/ч была меньше, чем у Ил-10 без РС и с наружной подвеской двух бомб ФАБ-250.</w:t>
      </w:r>
    </w:p>
    <w:p w14:paraId="2E328022" w14:textId="77777777" w:rsidR="00B867F7" w:rsidRPr="00722885" w:rsidRDefault="00B867F7" w:rsidP="00722885">
      <w:pPr>
        <w:pStyle w:val="a3"/>
        <w:rPr>
          <w:color w:val="000000" w:themeColor="text1"/>
          <w:lang w:val="ru-RU"/>
        </w:rPr>
      </w:pPr>
      <w:r w:rsidRPr="00722885">
        <w:rPr>
          <w:color w:val="000000" w:themeColor="text1"/>
          <w:lang w:val="ru-RU"/>
        </w:rPr>
        <w:t>Последнее, в сочетании с явно недоста</w:t>
      </w:r>
      <w:r w:rsidRPr="00722885">
        <w:rPr>
          <w:color w:val="000000" w:themeColor="text1"/>
          <w:lang w:val="ru-RU"/>
        </w:rPr>
        <w:softHyphen/>
        <w:t>точным бронированием (защиту, примерно равную защите советского Ил-2, немецкая гомогенная броня могла обеспечить лишь при суммарном весе бронедеталей на самолете в 1000-1200 кг), определяло и большие потери Р\л/190Р от наземного огня.</w:t>
      </w:r>
    </w:p>
    <w:p w14:paraId="626A532B" w14:textId="77777777" w:rsidR="00B867F7" w:rsidRPr="00722885" w:rsidRDefault="00B867F7" w:rsidP="00722885">
      <w:pPr>
        <w:pStyle w:val="a3"/>
        <w:rPr>
          <w:color w:val="000000" w:themeColor="text1"/>
          <w:lang w:val="ru-RU"/>
        </w:rPr>
      </w:pPr>
      <w:r w:rsidRPr="00722885">
        <w:rPr>
          <w:color w:val="000000" w:themeColor="text1"/>
          <w:lang w:val="ru-RU"/>
        </w:rPr>
        <w:t>Летчик спереди-снизу в секторе при</w:t>
      </w:r>
      <w:r w:rsidRPr="00722885">
        <w:rPr>
          <w:color w:val="000000" w:themeColor="text1"/>
          <w:lang w:val="ru-RU"/>
        </w:rPr>
        <w:softHyphen/>
        <w:t>мерно 20', а также с боков не был защищен даже от пуль нормального калибра и лишь частично защищался бензобаками - снизу. Снизу и снизу-сзади летчик не имел за</w:t>
      </w:r>
      <w:r w:rsidRPr="00722885">
        <w:rPr>
          <w:color w:val="000000" w:themeColor="text1"/>
          <w:lang w:val="ru-RU"/>
        </w:rPr>
        <w:softHyphen/>
        <w:t>щиты от пуль калибра 12,7 мм. Угловая защищенность летчика сзади, также весьма незначительна: туловище - в пределах ±15-20° в горизонтальной плоскости, голова и плечи защищены только по полету.</w:t>
      </w:r>
    </w:p>
    <w:p w14:paraId="24058904" w14:textId="77777777" w:rsidR="00B867F7" w:rsidRPr="00722885" w:rsidRDefault="00B867F7" w:rsidP="00722885">
      <w:pPr>
        <w:pStyle w:val="a3"/>
        <w:rPr>
          <w:color w:val="000000" w:themeColor="text1"/>
          <w:lang w:val="ru-RU"/>
        </w:rPr>
      </w:pPr>
      <w:r w:rsidRPr="00722885">
        <w:rPr>
          <w:color w:val="000000" w:themeColor="text1"/>
          <w:lang w:val="ru-RU"/>
        </w:rPr>
        <w:t>Утверждения авторов некоторых пу</w:t>
      </w:r>
      <w:r w:rsidRPr="00722885">
        <w:rPr>
          <w:color w:val="000000" w:themeColor="text1"/>
          <w:lang w:val="ru-RU"/>
        </w:rPr>
        <w:softHyphen/>
        <w:t>бликаций, о том, что лобовое бронестекло фонаря кабины пилота Р\м190 в типовых условиях боев того времени выдерживало попадания пуль калибра 12,7 мм, на самом деле действительности не соответствует. Как показали полигонные испытания, немецкое бронестекло толщиной 60 мм выдерживало удар пули нормального кали</w:t>
      </w:r>
      <w:r w:rsidRPr="00722885">
        <w:rPr>
          <w:color w:val="000000" w:themeColor="text1"/>
          <w:lang w:val="ru-RU"/>
        </w:rPr>
        <w:softHyphen/>
        <w:t>бра с дистанции 100 м только под углами к нормали не менее 40°, не говоря уже о крупнокалиберных пулях к пулемету УБ...</w:t>
      </w:r>
    </w:p>
    <w:p w14:paraId="0366239E" w14:textId="77777777" w:rsidR="00B867F7" w:rsidRPr="00722885" w:rsidRDefault="00B867F7" w:rsidP="00722885">
      <w:pPr>
        <w:pStyle w:val="a3"/>
        <w:rPr>
          <w:color w:val="000000" w:themeColor="text1"/>
          <w:lang w:val="ru-RU"/>
        </w:rPr>
      </w:pPr>
      <w:r w:rsidRPr="00722885">
        <w:rPr>
          <w:color w:val="000000" w:themeColor="text1"/>
          <w:lang w:val="ru-RU"/>
        </w:rPr>
        <w:t>Слабой была защита маслорадиатора, кольцевого маслобака и вентилятора, автоматически регулирующего температуру головок цилиндров мотора и масла, при обстреле пулями нормального калибра спе</w:t>
      </w:r>
      <w:r w:rsidRPr="00722885">
        <w:rPr>
          <w:color w:val="000000" w:themeColor="text1"/>
          <w:lang w:val="ru-RU"/>
        </w:rPr>
        <w:softHyphen/>
        <w:t>реди, снизу, сверху и сбоку. Их поражение с высокой вероятностью приводило к выходу из строя мотора, то есть, главное преиму</w:t>
      </w:r>
      <w:r w:rsidRPr="00722885">
        <w:rPr>
          <w:color w:val="000000" w:themeColor="text1"/>
          <w:lang w:val="ru-RU"/>
        </w:rPr>
        <w:softHyphen/>
        <w:t>щество мотора воздушного охлаждения на этом самолете теряло смысл.</w:t>
      </w:r>
    </w:p>
    <w:p w14:paraId="00710A9E" w14:textId="77777777" w:rsidR="00B867F7" w:rsidRPr="00722885" w:rsidRDefault="00B867F7" w:rsidP="00722885">
      <w:pPr>
        <w:pStyle w:val="a3"/>
        <w:rPr>
          <w:color w:val="000000" w:themeColor="text1"/>
          <w:lang w:val="ru-RU"/>
        </w:rPr>
      </w:pPr>
      <w:r w:rsidRPr="00722885">
        <w:rPr>
          <w:color w:val="000000" w:themeColor="text1"/>
          <w:lang w:val="ru-RU"/>
        </w:rPr>
        <w:t>В рекомендациях летчикам строевых частей по ведению воздушного боя с «фокке-вульфами» в качестве наиболее уязвимых мест немецкой машины указы</w:t>
      </w:r>
      <w:r w:rsidRPr="00722885">
        <w:rPr>
          <w:color w:val="000000" w:themeColor="text1"/>
          <w:lang w:val="ru-RU"/>
        </w:rPr>
        <w:softHyphen/>
        <w:t xml:space="preserve">вались: </w:t>
      </w:r>
      <w:r w:rsidRPr="00722885">
        <w:rPr>
          <w:color w:val="000000" w:themeColor="text1"/>
          <w:lang w:val="ru-RU"/>
        </w:rPr>
        <w:lastRenderedPageBreak/>
        <w:t>кабина пилота, протестированные, но не имеющие бронирования, бензобаки и вентилятор.</w:t>
      </w:r>
    </w:p>
    <w:p w14:paraId="0BB0F4F1" w14:textId="77777777" w:rsidR="00B867F7" w:rsidRPr="00722885" w:rsidRDefault="00B867F7" w:rsidP="00722885">
      <w:pPr>
        <w:pStyle w:val="6a"/>
        <w:shd w:val="clear" w:color="auto" w:fill="auto"/>
        <w:spacing w:before="0" w:line="240" w:lineRule="auto"/>
        <w:rPr>
          <w:rFonts w:ascii="Times New Roman" w:hAnsi="Times New Roman"/>
          <w:color w:val="000000" w:themeColor="text1"/>
          <w:sz w:val="16"/>
          <w:szCs w:val="16"/>
        </w:rPr>
      </w:pPr>
      <w:r w:rsidRPr="00722885">
        <w:rPr>
          <w:rStyle w:val="631"/>
          <w:rFonts w:ascii="Times New Roman" w:hAnsi="Times New Roman" w:cs="Times New Roman"/>
          <w:i w:val="0"/>
          <w:iCs w:val="0"/>
          <w:color w:val="000000" w:themeColor="text1"/>
          <w:sz w:val="16"/>
          <w:szCs w:val="16"/>
        </w:rPr>
        <w:t>Так, в книге «Тактика истребительной авиации», изданной Управлением ВВС КА в 1943 г., отмечалось:</w:t>
      </w:r>
      <w:r w:rsidRPr="00722885">
        <w:rPr>
          <w:rFonts w:ascii="Times New Roman" w:hAnsi="Times New Roman"/>
          <w:color w:val="000000" w:themeColor="text1"/>
          <w:sz w:val="16"/>
          <w:szCs w:val="16"/>
        </w:rPr>
        <w:t xml:space="preserve"> «Уязвимой является передняя часть капота мотора, где рас</w:t>
      </w:r>
      <w:r w:rsidRPr="00722885">
        <w:rPr>
          <w:rFonts w:ascii="Times New Roman" w:hAnsi="Times New Roman"/>
          <w:color w:val="000000" w:themeColor="text1"/>
          <w:sz w:val="16"/>
          <w:szCs w:val="16"/>
        </w:rPr>
        <w:softHyphen/>
        <w:t>положены маслобак и маслорадиатор. В передней же части кольца«НАКА»работа</w:t>
      </w:r>
      <w:r w:rsidRPr="00722885">
        <w:rPr>
          <w:rFonts w:ascii="Times New Roman" w:hAnsi="Times New Roman"/>
          <w:color w:val="000000" w:themeColor="text1"/>
          <w:sz w:val="16"/>
          <w:szCs w:val="16"/>
        </w:rPr>
        <w:softHyphen/>
        <w:t>ет на очень больших оборотах вентилятор, подающий воздух для принудительного охлаждения мотора. Вывод из строя масло- системы или вентилятора неизбежно при</w:t>
      </w:r>
      <w:r w:rsidRPr="00722885">
        <w:rPr>
          <w:rFonts w:ascii="Times New Roman" w:hAnsi="Times New Roman"/>
          <w:color w:val="000000" w:themeColor="text1"/>
          <w:sz w:val="16"/>
          <w:szCs w:val="16"/>
        </w:rPr>
        <w:softHyphen/>
        <w:t>водит к сгоранию или заклинению мотора».</w:t>
      </w:r>
    </w:p>
    <w:p w14:paraId="1EB1751B" w14:textId="77777777" w:rsidR="00B867F7" w:rsidRPr="00722885" w:rsidRDefault="00B867F7" w:rsidP="00722885">
      <w:pPr>
        <w:pStyle w:val="a3"/>
        <w:rPr>
          <w:color w:val="000000" w:themeColor="text1"/>
          <w:lang w:val="ru-RU"/>
        </w:rPr>
      </w:pPr>
      <w:r w:rsidRPr="00722885">
        <w:rPr>
          <w:color w:val="000000" w:themeColor="text1"/>
          <w:lang w:val="ru-RU"/>
        </w:rPr>
        <w:t>Единственное спасение «фокке-вуль- фов» от огня зенитных средств и истреби</w:t>
      </w:r>
      <w:r w:rsidRPr="00722885">
        <w:rPr>
          <w:color w:val="000000" w:themeColor="text1"/>
          <w:lang w:val="ru-RU"/>
        </w:rPr>
        <w:softHyphen/>
        <w:t>телей Красной Армии могло быть только за счет использования хороших разгонных характеристик машины на снижении. Что, собственно говоря, немцы и делали.</w:t>
      </w:r>
    </w:p>
    <w:p w14:paraId="18E64A97" w14:textId="77777777" w:rsidR="00B867F7" w:rsidRPr="00722885" w:rsidRDefault="00B867F7" w:rsidP="00722885">
      <w:pPr>
        <w:pStyle w:val="a3"/>
        <w:rPr>
          <w:color w:val="000000" w:themeColor="text1"/>
          <w:lang w:val="ru-RU"/>
        </w:rPr>
      </w:pPr>
      <w:r w:rsidRPr="00722885">
        <w:rPr>
          <w:color w:val="000000" w:themeColor="text1"/>
          <w:lang w:val="ru-RU"/>
        </w:rPr>
        <w:t>Интересно, что немцы на Р\л/ 190Р вынуждены были прибегать к тактике действий с бреющего полета, от которой в силу известных причин штурмовики Ил-2 от</w:t>
      </w:r>
      <w:r w:rsidRPr="00722885">
        <w:rPr>
          <w:color w:val="000000" w:themeColor="text1"/>
          <w:lang w:val="ru-RU"/>
        </w:rPr>
        <w:softHyphen/>
        <w:t>казались с весны 1942 г. И это при условии, что Ил-2 был лучше бронирован, располагал большим арсеналом средств поражения, имел лучшие маневренные характеристики у земли и примерно одинаковую с немецкими штурмовиками скорость полета.</w:t>
      </w:r>
    </w:p>
    <w:p w14:paraId="55C84068" w14:textId="77777777" w:rsidR="00B867F7" w:rsidRPr="00722885" w:rsidRDefault="00B867F7" w:rsidP="00722885">
      <w:pPr>
        <w:pStyle w:val="a3"/>
        <w:rPr>
          <w:color w:val="000000" w:themeColor="text1"/>
          <w:lang w:val="ru-RU"/>
        </w:rPr>
      </w:pPr>
      <w:r w:rsidRPr="00722885">
        <w:rPr>
          <w:color w:val="000000" w:themeColor="text1"/>
          <w:lang w:val="ru-RU"/>
        </w:rPr>
        <w:t>Всякие басни об успехе топмачтового способа бомбометания по танкам не выдерживают никакой критики. Прежде всего, размеры морских целей намного превышали размеры танков, что позволяло уверенно поражать корабли. Кроме того, корабли были практически не маневриру</w:t>
      </w:r>
      <w:r w:rsidRPr="00722885">
        <w:rPr>
          <w:color w:val="000000" w:themeColor="text1"/>
          <w:lang w:val="ru-RU"/>
        </w:rPr>
        <w:softHyphen/>
        <w:t>ющей целью, что нельзя сказать о танках. Топмачтовое бомбометание, как правило, осуществлялось в тех случаях, когда море было спокойным (в штиль). Водная по</w:t>
      </w:r>
      <w:r w:rsidRPr="00722885">
        <w:rPr>
          <w:color w:val="000000" w:themeColor="text1"/>
          <w:lang w:val="ru-RU"/>
        </w:rPr>
        <w:softHyphen/>
        <w:t>верхность для авиабомб была абсолютно несжимаемой и обладала стабильными рикошетирующими свойствами. На суше подстилающая поверхность в большинстве случаев не была гладкой и имела неравно</w:t>
      </w:r>
      <w:r w:rsidRPr="00722885">
        <w:rPr>
          <w:color w:val="000000" w:themeColor="text1"/>
          <w:lang w:val="ru-RU"/>
        </w:rPr>
        <w:softHyphen/>
        <w:t>мерную плотность, что давало совершенно непредсказуемые рикошетирующие эф</w:t>
      </w:r>
      <w:r w:rsidRPr="00722885">
        <w:rPr>
          <w:color w:val="000000" w:themeColor="text1"/>
          <w:lang w:val="ru-RU"/>
        </w:rPr>
        <w:softHyphen/>
        <w:t>фекты. Мало того, в случае с самолетом Р\л/190 не стоит забывать о том, что летчик при подобном методе бомбометания в мо</w:t>
      </w:r>
      <w:r w:rsidRPr="00722885">
        <w:rPr>
          <w:color w:val="000000" w:themeColor="text1"/>
          <w:lang w:val="ru-RU"/>
        </w:rPr>
        <w:softHyphen/>
        <w:t>мент сброса бомб уже просто не видел цель.</w:t>
      </w:r>
    </w:p>
    <w:p w14:paraId="7E5BCB27" w14:textId="77777777" w:rsidR="00B867F7" w:rsidRPr="00722885" w:rsidRDefault="00B867F7" w:rsidP="00722885">
      <w:pPr>
        <w:pStyle w:val="a3"/>
        <w:rPr>
          <w:color w:val="000000" w:themeColor="text1"/>
          <w:lang w:val="ru-RU"/>
        </w:rPr>
      </w:pPr>
      <w:r w:rsidRPr="00722885">
        <w:rPr>
          <w:color w:val="000000" w:themeColor="text1"/>
          <w:lang w:val="ru-RU"/>
        </w:rPr>
        <w:t>Все вышесказанное можно смело отне</w:t>
      </w:r>
      <w:r w:rsidRPr="00722885">
        <w:rPr>
          <w:color w:val="000000" w:themeColor="text1"/>
          <w:lang w:val="ru-RU"/>
        </w:rPr>
        <w:softHyphen/>
        <w:t>сти и к истребительно-бомбардировочному варианту Р\л/1 ЭОС, оснащенного в конце во</w:t>
      </w:r>
      <w:r w:rsidRPr="00722885">
        <w:rPr>
          <w:color w:val="000000" w:themeColor="text1"/>
          <w:lang w:val="ru-RU"/>
        </w:rPr>
        <w:softHyphen/>
        <w:t>йны автопилотом и способному поднимать в воздух большую бомбовую нагрузку (до 1800 кг), но не имевшего бронирования и столь мощного пушечно-пулеметного во</w:t>
      </w:r>
      <w:r w:rsidRPr="00722885">
        <w:rPr>
          <w:color w:val="000000" w:themeColor="text1"/>
          <w:lang w:val="ru-RU"/>
        </w:rPr>
        <w:softHyphen/>
        <w:t>оружения (на самолете оставили лишь две 20-мм пушки). Германское командование с середины 1943 г. делало большую ставку на эти самолеты, хотя фактически хоть какая-то эффективность от действия бомбардиро</w:t>
      </w:r>
      <w:r w:rsidRPr="00722885">
        <w:rPr>
          <w:color w:val="000000" w:themeColor="text1"/>
          <w:lang w:val="ru-RU"/>
        </w:rPr>
        <w:softHyphen/>
        <w:t>вочных «фоккеров» могла получаться лишь при их массированном применении по площадным целям в составе больших групп. Фактически эти машины заменяли собой обычные фронтовые бомбардировщики, которые в реалиях восточного фронта унич</w:t>
      </w:r>
      <w:r w:rsidRPr="00722885">
        <w:rPr>
          <w:color w:val="000000" w:themeColor="text1"/>
          <w:lang w:val="ru-RU"/>
        </w:rPr>
        <w:softHyphen/>
        <w:t>тожались советскими истребителями в пер</w:t>
      </w:r>
      <w:r w:rsidRPr="00722885">
        <w:rPr>
          <w:color w:val="000000" w:themeColor="text1"/>
          <w:lang w:val="ru-RU"/>
        </w:rPr>
        <w:softHyphen/>
        <w:t>вую очередь. В то же время, при действии на поле боя по малоразмерным целям, а также из-за отсутствия штурмана-бомбардира на борту, точность бомбовых ударов этих одно</w:t>
      </w:r>
      <w:r w:rsidRPr="00722885">
        <w:rPr>
          <w:color w:val="000000" w:themeColor="text1"/>
          <w:lang w:val="ru-RU"/>
        </w:rPr>
        <w:softHyphen/>
        <w:t>моторных бомбардировщиков оставляла желать лучшего. Производство самолетов этого типа было свернуто в феврале 1944 г.</w:t>
      </w:r>
    </w:p>
    <w:p w14:paraId="228D98F2" w14:textId="77777777" w:rsidR="00B867F7" w:rsidRPr="00722885" w:rsidRDefault="00B867F7" w:rsidP="00722885">
      <w:pPr>
        <w:pStyle w:val="a3"/>
        <w:rPr>
          <w:color w:val="000000" w:themeColor="text1"/>
          <w:lang w:val="ru-RU"/>
        </w:rPr>
      </w:pPr>
      <w:r w:rsidRPr="00722885">
        <w:rPr>
          <w:color w:val="000000" w:themeColor="text1"/>
          <w:lang w:val="ru-RU"/>
        </w:rPr>
        <w:t>Говоря об эффективности нанесения бомбовых ударов по бронетехнике, сле</w:t>
      </w:r>
      <w:r w:rsidRPr="00722885">
        <w:rPr>
          <w:color w:val="000000" w:themeColor="text1"/>
          <w:lang w:val="ru-RU"/>
        </w:rPr>
        <w:softHyphen/>
        <w:t>дует подчеркнуть тот факт, что точность поражения малоразмерного объекта с самолета Р\д/190Р или Р\л/1900 не шла нив какое сравнение с точностью бомбометания пикирующего бомбардировщика ^ 87, летчик которого имел гораздо лучший обзор и мог на пикировании использовать тормозные щитки.</w:t>
      </w:r>
    </w:p>
    <w:p w14:paraId="2D314678" w14:textId="77777777" w:rsidR="00B867F7" w:rsidRPr="00722885" w:rsidRDefault="00B867F7" w:rsidP="00722885">
      <w:pPr>
        <w:pStyle w:val="a3"/>
        <w:rPr>
          <w:color w:val="000000" w:themeColor="text1"/>
          <w:lang w:val="ru-RU"/>
        </w:rPr>
      </w:pPr>
      <w:r w:rsidRPr="00722885">
        <w:rPr>
          <w:color w:val="000000" w:themeColor="text1"/>
          <w:lang w:val="ru-RU"/>
        </w:rPr>
        <w:t>Нет смысла говорить и о примене</w:t>
      </w:r>
      <w:r w:rsidRPr="00722885">
        <w:rPr>
          <w:color w:val="000000" w:themeColor="text1"/>
          <w:lang w:val="ru-RU"/>
        </w:rPr>
        <w:softHyphen/>
        <w:t>нии пушечно-пулеметного вооружения этих самолетов, абсолютно бесполезного при стрельбе по танкам. Использование штурмовых и бомбардировочных «фокке- вульфов» лишь снижало потери германской ударной авиации от зенитного огня и атак истребителей.</w:t>
      </w:r>
    </w:p>
    <w:p w14:paraId="5669392B" w14:textId="77777777" w:rsidR="00B867F7" w:rsidRPr="00722885" w:rsidRDefault="00B867F7" w:rsidP="00722885">
      <w:pPr>
        <w:pStyle w:val="a3"/>
        <w:rPr>
          <w:color w:val="000000" w:themeColor="text1"/>
          <w:lang w:val="ru-RU"/>
        </w:rPr>
      </w:pPr>
      <w:r w:rsidRPr="00722885">
        <w:rPr>
          <w:color w:val="000000" w:themeColor="text1"/>
          <w:lang w:val="ru-RU"/>
        </w:rPr>
        <w:t>А был ли эффект от «точечных» бомбо</w:t>
      </w:r>
      <w:r w:rsidRPr="00722885">
        <w:rPr>
          <w:color w:val="000000" w:themeColor="text1"/>
          <w:lang w:val="ru-RU"/>
        </w:rPr>
        <w:softHyphen/>
        <w:t>вых ударов германских штурмовиков?</w:t>
      </w:r>
    </w:p>
    <w:p w14:paraId="1DC2FCB7" w14:textId="77777777" w:rsidR="00B867F7" w:rsidRPr="00722885" w:rsidRDefault="00B867F7" w:rsidP="00722885">
      <w:pPr>
        <w:pStyle w:val="a3"/>
        <w:rPr>
          <w:color w:val="000000" w:themeColor="text1"/>
          <w:lang w:val="ru-RU"/>
        </w:rPr>
      </w:pPr>
      <w:r w:rsidRPr="00722885">
        <w:rPr>
          <w:color w:val="000000" w:themeColor="text1"/>
          <w:lang w:val="ru-RU"/>
        </w:rPr>
        <w:t>Тут стоит обратиться к оценкам, которые давали общевойсковые командиры в своих донесениях по фактам ударов немецких самолетов по нашей бронетехнике, и ре</w:t>
      </w:r>
      <w:r w:rsidRPr="00722885">
        <w:rPr>
          <w:color w:val="000000" w:themeColor="text1"/>
          <w:lang w:val="ru-RU"/>
        </w:rPr>
        <w:softHyphen/>
        <w:t>альных результатах действия люфтваффе, которые получались при более детальном анализе этих же фактов. И хотя эти оценки не привязаны непосредственно к самолетам типа Рш 190, они могут дать читателям пол</w:t>
      </w:r>
      <w:r w:rsidRPr="00722885">
        <w:rPr>
          <w:color w:val="000000" w:themeColor="text1"/>
          <w:lang w:val="ru-RU"/>
        </w:rPr>
        <w:softHyphen/>
        <w:t>ное представление о том, какое реальное воздействие на бронетехнику оказывали ударные самолеты (12733).</w:t>
      </w:r>
    </w:p>
    <w:p w14:paraId="5C65C701" w14:textId="77777777" w:rsidR="00B867F7" w:rsidRPr="00722885" w:rsidRDefault="00B867F7" w:rsidP="00722885">
      <w:pPr>
        <w:pStyle w:val="a3"/>
        <w:rPr>
          <w:color w:val="000000" w:themeColor="text1"/>
          <w:lang w:val="ru-RU"/>
        </w:rPr>
      </w:pPr>
    </w:p>
    <w:p w14:paraId="479058FD"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1942-го на фирме "Фокке-Вульф" началась разработка легкого маневренного и скоростного реактивного истребителя. Проект вел инженер Ханс Мультхопп под руководством профессора Курта Танка. Стреловидные крылья уже не были новинкой для немецких аэродинамиков, ведь еще осенью 1935-го немецкий ученый А.Буземан в Риме на международной конференции по большим скоростям в авиации опубликовал доклад "Аэродинамические исследования стреловидных крыльев". Интересно, что для расчетов параметров стреловидных крыльев применялся первый немецкий лампово-релейный компьютер Z-1. На самолете предполагалась установка одного, но самого мощного ТРД - HeS 011 с тягой 1300 кгс с очень редким диагональным компрессором. Трудоемкость работ по этому двигателю была такой, что только на изготовление деталей к компрессору требовалось 3000 часов фрезерных работ. Предугадывая возможные затруднения со столь радикальной конструкцией, самолетостроители, как альтернативу, предусмотрели установку менее мощного, но уже отлаженного Jumo 004, которых за годы войны выпустили около 5000 - это рекорд тех лет. Помимо четырех 30-мм пушек Mk108 в передней части фюзеляжа, на "Huckebein", планировалось подвешивать первые в мире управляемые ракеты "воздух-воздух" "Ruhrstal-Kramer" Х-4 с дальностью пуска до 3-5 км. Наведение ракет осуществлялось пилотом по проводам - такая схема была не только проста, но и не зависела от активных радиопомех, которые союзнические бомбардировщики использовали во время своих рейдов. Ракеты, предназначенные для борьбы с бомбардировщиками, идущими в плотных боевых порядках, уже были испытаны и готовы к применению. Предусматривалась и бомбовая нагрузка в 500 кг во внутреннем люке внизу фюзеляжа (15139).</w:t>
      </w:r>
    </w:p>
    <w:p w14:paraId="07B2C3C5" w14:textId="77777777" w:rsidR="00565332" w:rsidRPr="00722885" w:rsidRDefault="00565332" w:rsidP="00722885">
      <w:pPr>
        <w:spacing w:after="0" w:line="240" w:lineRule="auto"/>
        <w:jc w:val="both"/>
        <w:rPr>
          <w:rFonts w:ascii="Times New Roman" w:hAnsi="Times New Roman"/>
          <w:color w:val="000000" w:themeColor="text1"/>
          <w:sz w:val="16"/>
          <w:szCs w:val="16"/>
        </w:rPr>
      </w:pPr>
    </w:p>
    <w:p w14:paraId="700D18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первые успехи в испытаниях ракетного оружия вызвали у Гитлера и его .ближайшего окружения практический интерес к боевым возможностям ракет как средству массированных воздушных ударов по Англии. Гитлер рассчитывал с помощью невиданного ранее и неотвратимого оружия возобновить мощное воздушное наступление на Англию.</w:t>
      </w:r>
    </w:p>
    <w:p w14:paraId="4174F8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 что не удалось сделать ранее с помощью авиации, теперь предполагалось достичь ударами ракет дальнего действия.</w:t>
      </w:r>
    </w:p>
    <w:p w14:paraId="3F7E6C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Геббельс по этому поводу писал: «Фюрер согласен, что воздушную войну против англичан следует вести, руководствуясь больше психологическими, нежели военными принципами». И действительно, Гитлер настойчиво повторял эту мысль в своих высказываниях, выступлениях, беседах.</w:t>
      </w:r>
    </w:p>
    <w:p w14:paraId="7003DAEE" w14:textId="77777777" w:rsidR="00BB6316" w:rsidRPr="00722885" w:rsidRDefault="00BB6316" w:rsidP="00722885">
      <w:pPr>
        <w:pStyle w:val="Blockquote"/>
        <w:spacing w:before="0" w:after="0"/>
        <w:ind w:left="0" w:right="0"/>
        <w:jc w:val="both"/>
        <w:rPr>
          <w:color w:val="000000" w:themeColor="text1"/>
          <w:sz w:val="16"/>
          <w:szCs w:val="16"/>
          <w:lang w:val="ru-RU"/>
        </w:rPr>
      </w:pPr>
      <w:r w:rsidRPr="00722885">
        <w:rPr>
          <w:color w:val="000000" w:themeColor="text1"/>
          <w:sz w:val="16"/>
          <w:szCs w:val="16"/>
          <w:lang w:val="ru-RU"/>
        </w:rPr>
        <w:t>«Англичане очень уязвимы, – говорил он на одном из совещаний. – Вы можете заставить их сдаться, только воздействуя на население. Единственное средство, которое может дать эффект, – это систематические удары по их городам».</w:t>
      </w:r>
    </w:p>
    <w:p w14:paraId="5EF2BC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Такая постановка задачи не требовала высокой точности, необходимой при действиях по военным объектам, но предполагала большое массирование средств воздушного нападения и непрерывность воздействия на противника. Для этой цели ракеты были весьма подходящим оружием. Их низкая точность не являлась помехой при действиях по таким крупным целям, как города. Они несли достаточно мощный по тому времени боевой заряд. Они позволяли избежать потерь крайне дефицитного для Германии летного состава. И были неотразимы для средств ПВО противника.</w:t>
      </w:r>
    </w:p>
    <w:p w14:paraId="213FAE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то же самое время «оружие возмездия» стало одним из главных козырей Геббельса. Начиная с весны 1943 года, немецкая пропаганда неумолчно трубила о «секретном оружии» фюрера, которое изменит ход войны и добудет победу Германии.</w:t>
      </w:r>
    </w:p>
    <w:p w14:paraId="2319FA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Только в 1943 году Гитлер трижды в своих речах (21 марта, 10 сентября и 8 ноября) говорил о «новом неотразимом оружии». Геббельс за этот период в ряде своих выступлений (10 марта, 5 и 18 июня, 20 августа, 3 октября, 28 ноября, 31 декабря) всячески рекламировал «секретное оружие» фюрера.</w:t>
      </w:r>
    </w:p>
    <w:p w14:paraId="36B74E6F" w14:textId="77777777" w:rsidR="00BB6316" w:rsidRPr="00722885" w:rsidRDefault="00BB6316" w:rsidP="00722885">
      <w:pPr>
        <w:pStyle w:val="Blockquote"/>
        <w:spacing w:before="0" w:after="0"/>
        <w:ind w:left="0" w:right="0"/>
        <w:jc w:val="both"/>
        <w:rPr>
          <w:color w:val="000000" w:themeColor="text1"/>
          <w:sz w:val="16"/>
          <w:szCs w:val="16"/>
          <w:lang w:val="ru-RU"/>
        </w:rPr>
      </w:pPr>
      <w:r w:rsidRPr="00722885">
        <w:rPr>
          <w:color w:val="000000" w:themeColor="text1"/>
          <w:sz w:val="16"/>
          <w:szCs w:val="16"/>
          <w:lang w:val="ru-RU"/>
        </w:rPr>
        <w:t>«Наступательное оружие, которое мы применим, – говорил он в одной из своих речей 5 января 1944 года, – будет совершенно нового типа. От него не спасет никакая оборона, никакая тревога. Здесь не поможет ни зенитная артиллерия, ни сирена. &lt;…&gt; Я даже не могу себе представить страшного морального воздействия таких ударов» (11688).</w:t>
      </w:r>
    </w:p>
    <w:p w14:paraId="3148C880" w14:textId="77777777" w:rsidR="00BB6316" w:rsidRPr="00722885" w:rsidRDefault="00BB6316" w:rsidP="00722885">
      <w:pPr>
        <w:pStyle w:val="Blockquote"/>
        <w:spacing w:before="0" w:after="0"/>
        <w:ind w:left="0" w:right="0"/>
        <w:jc w:val="both"/>
        <w:rPr>
          <w:color w:val="000000" w:themeColor="text1"/>
          <w:sz w:val="16"/>
          <w:szCs w:val="16"/>
          <w:lang w:val="ru-RU"/>
        </w:rPr>
      </w:pPr>
    </w:p>
    <w:p w14:paraId="5040979D"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появился миномет 12 cm Gr.W.42</w:t>
      </w:r>
    </w:p>
    <w:p w14:paraId="590535F4"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Стрельба из 12 cm Gr.W.42 велась осколочно-фугасной миной весом около 16 кг с десятиперым стабилизатором, близкой по габаритам и устройству советской мине ОФ-843. Наша и германская мины были взаимозаменяемы, поэтому в советских таблицах стрельбы 120-мм минометов имелись данные для стрельбы немецкими минами, а немцы с удовольствием стреляли нашими. Дальность стрельбы германского 12-см миномета ненамного превосходила дальность стрельбы советских 120-мм минометов обр. 1938 г. и 1943 г. — 6050 м против 5700 м.</w:t>
      </w:r>
    </w:p>
    <w:p w14:paraId="37F3BC44"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Миномет 12 cm Gr.W.42, как и его советский прототип, на походе перевозился на колесном ходе, который при перевозке конной тягой прицеплялся к передку с боеприпасами или непосредственно к тягачу. Миномет с колесным ходом также мог перевозиться в кузове грузового автомобиля.</w:t>
      </w:r>
    </w:p>
    <w:p w14:paraId="1C8A4264"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Первая серия из 76 германских 12-см минометов поступила в войска в январе 1943 г. А всего в 1943 г. было изготовлено 3367 таких минометов, в 1944 г. — 4557 и в 1945 г. — 537 (12705).</w:t>
      </w:r>
    </w:p>
    <w:p w14:paraId="7F21A6F4" w14:textId="77777777" w:rsidR="00565332" w:rsidRPr="00722885" w:rsidRDefault="00565332" w:rsidP="00722885">
      <w:pPr>
        <w:spacing w:after="0" w:line="240" w:lineRule="auto"/>
        <w:jc w:val="both"/>
        <w:rPr>
          <w:rFonts w:ascii="Times New Roman" w:hAnsi="Times New Roman"/>
          <w:color w:val="000000" w:themeColor="text1"/>
          <w:sz w:val="16"/>
          <w:szCs w:val="16"/>
        </w:rPr>
      </w:pPr>
    </w:p>
    <w:p w14:paraId="490EDA6C" w14:textId="77777777" w:rsidR="00A95820" w:rsidRPr="00722885" w:rsidRDefault="00A95820" w:rsidP="00722885">
      <w:pPr>
        <w:pStyle w:val="4f1"/>
        <w:spacing w:before="0" w:beforeAutospacing="0" w:after="0" w:afterAutospacing="0"/>
        <w:jc w:val="both"/>
        <w:textAlignment w:val="baseline"/>
        <w:rPr>
          <w:iCs/>
          <w:color w:val="000000" w:themeColor="text1"/>
          <w:sz w:val="16"/>
          <w:szCs w:val="16"/>
          <w:bdr w:val="none" w:sz="0" w:space="0" w:color="auto" w:frame="1"/>
        </w:rPr>
      </w:pPr>
      <w:r w:rsidRPr="00722885">
        <w:rPr>
          <w:iCs/>
          <w:color w:val="000000" w:themeColor="text1"/>
          <w:sz w:val="16"/>
          <w:szCs w:val="16"/>
          <w:bdr w:val="none" w:sz="0" w:space="0" w:color="auto" w:frame="1"/>
        </w:rPr>
        <w:t>С конца 1942 года немецкие танкостроители стали обгонять своих коллег из других стран, создавая танки с заведомо более высокими характеристиками. Сначала появился тяжёлый танк </w:t>
      </w:r>
      <w:hyperlink r:id="rId229" w:history="1">
        <w:r w:rsidRPr="00722885">
          <w:rPr>
            <w:rStyle w:val="a5"/>
            <w:bCs/>
            <w:iCs/>
            <w:color w:val="000000" w:themeColor="text1"/>
            <w:sz w:val="16"/>
            <w:szCs w:val="16"/>
            <w:u w:val="none"/>
            <w:bdr w:val="none" w:sz="0" w:space="0" w:color="auto" w:frame="1"/>
          </w:rPr>
          <w:t>Pz.Kpfw.Tiger Ausf.E</w:t>
        </w:r>
      </w:hyperlink>
      <w:r w:rsidRPr="00722885">
        <w:rPr>
          <w:iCs/>
          <w:color w:val="000000" w:themeColor="text1"/>
          <w:sz w:val="16"/>
          <w:szCs w:val="16"/>
          <w:bdr w:val="none" w:sz="0" w:space="0" w:color="auto" w:frame="1"/>
        </w:rPr>
        <w:t>, который в течение более чем года не имел себе равных. Летом 1943 года состоялся дебют среднего танка </w:t>
      </w:r>
      <w:hyperlink r:id="rId230" w:history="1">
        <w:r w:rsidRPr="00722885">
          <w:rPr>
            <w:rStyle w:val="a5"/>
            <w:bCs/>
            <w:iCs/>
            <w:color w:val="000000" w:themeColor="text1"/>
            <w:sz w:val="16"/>
            <w:szCs w:val="16"/>
            <w:u w:val="none"/>
            <w:bdr w:val="none" w:sz="0" w:space="0" w:color="auto" w:frame="1"/>
          </w:rPr>
          <w:t>Pz.Kpfw.Panther Ausf.D</w:t>
        </w:r>
      </w:hyperlink>
      <w:r w:rsidRPr="00722885">
        <w:rPr>
          <w:iCs/>
          <w:color w:val="000000" w:themeColor="text1"/>
          <w:sz w:val="16"/>
          <w:szCs w:val="16"/>
          <w:bdr w:val="none" w:sz="0" w:space="0" w:color="auto" w:frame="1"/>
        </w:rPr>
        <w:t> – машины куда более массовой, а потому ещё более опасной. Как показала практика, орудие «Пантеры» было более мощным, чем у «Тигра», а верхняя лобовая деталь корпуса оказалась неуязвимой для огня орудий калибра 76-85 мм с любых дистанций. Тогда же дебютировала и тяжёлая самоходка </w:t>
      </w:r>
      <w:hyperlink r:id="rId231" w:history="1">
        <w:r w:rsidRPr="00722885">
          <w:rPr>
            <w:rStyle w:val="a5"/>
            <w:bCs/>
            <w:iCs/>
            <w:color w:val="000000" w:themeColor="text1"/>
            <w:sz w:val="16"/>
            <w:szCs w:val="16"/>
            <w:u w:val="none"/>
            <w:bdr w:val="none" w:sz="0" w:space="0" w:color="auto" w:frame="1"/>
          </w:rPr>
          <w:t>Ferdinand</w:t>
        </w:r>
      </w:hyperlink>
      <w:r w:rsidRPr="00722885">
        <w:rPr>
          <w:iCs/>
          <w:color w:val="000000" w:themeColor="text1"/>
          <w:sz w:val="16"/>
          <w:szCs w:val="16"/>
          <w:bdr w:val="none" w:sz="0" w:space="0" w:color="auto" w:frame="1"/>
        </w:rPr>
        <w:t>. СССР, США и Великобритания оказались в роли догоняющих, причём полноценный ответ врагу смогли подготовить только советские танкостроители. Весной 1944 года дебютировали тяжёлые танки </w:t>
      </w:r>
      <w:hyperlink r:id="rId232" w:history="1">
        <w:r w:rsidRPr="00722885">
          <w:rPr>
            <w:rStyle w:val="a5"/>
            <w:bCs/>
            <w:iCs/>
            <w:color w:val="000000" w:themeColor="text1"/>
            <w:sz w:val="16"/>
            <w:szCs w:val="16"/>
            <w:u w:val="none"/>
            <w:bdr w:val="none" w:sz="0" w:space="0" w:color="auto" w:frame="1"/>
          </w:rPr>
          <w:t>ИС-2</w:t>
        </w:r>
      </w:hyperlink>
      <w:r w:rsidRPr="00722885">
        <w:rPr>
          <w:iCs/>
          <w:color w:val="000000" w:themeColor="text1"/>
          <w:sz w:val="16"/>
          <w:szCs w:val="16"/>
          <w:bdr w:val="none" w:sz="0" w:space="0" w:color="auto" w:frame="1"/>
        </w:rPr>
        <w:t> и самоходки </w:t>
      </w:r>
      <w:hyperlink r:id="rId233" w:history="1">
        <w:r w:rsidRPr="00722885">
          <w:rPr>
            <w:rStyle w:val="a5"/>
            <w:bCs/>
            <w:iCs/>
            <w:color w:val="000000" w:themeColor="text1"/>
            <w:sz w:val="16"/>
            <w:szCs w:val="16"/>
            <w:u w:val="none"/>
            <w:bdr w:val="none" w:sz="0" w:space="0" w:color="auto" w:frame="1"/>
          </w:rPr>
          <w:t>ИСУ-152</w:t>
        </w:r>
      </w:hyperlink>
      <w:r w:rsidRPr="00722885">
        <w:rPr>
          <w:iCs/>
          <w:color w:val="000000" w:themeColor="text1"/>
          <w:sz w:val="16"/>
          <w:szCs w:val="16"/>
          <w:bdr w:val="none" w:sz="0" w:space="0" w:color="auto" w:frame="1"/>
        </w:rPr>
        <w:t>. Ответом немецкой промышленности должен был стать тяжёлый танк </w:t>
      </w:r>
      <w:r w:rsidRPr="00722885">
        <w:rPr>
          <w:bCs/>
          <w:iCs/>
          <w:color w:val="000000" w:themeColor="text1"/>
          <w:sz w:val="16"/>
          <w:szCs w:val="16"/>
          <w:bdr w:val="none" w:sz="0" w:space="0" w:color="auto" w:frame="1"/>
        </w:rPr>
        <w:t>Pz.Kpfw.Tiger Ausf.B</w:t>
      </w:r>
      <w:r w:rsidRPr="00722885">
        <w:rPr>
          <w:iCs/>
          <w:color w:val="000000" w:themeColor="text1"/>
          <w:sz w:val="16"/>
          <w:szCs w:val="16"/>
          <w:bdr w:val="none" w:sz="0" w:space="0" w:color="auto" w:frame="1"/>
        </w:rPr>
        <w:t>, но стать вторым «царём зверей», каким являлся Pz.Kpfw.Tiger Ausf.E, у него не получилось. Существенно меньшим оказалось и влияние немецкой новинки на советское танкостроение (18977).</w:t>
      </w:r>
    </w:p>
    <w:p w14:paraId="59DE3DC5" w14:textId="77777777" w:rsidR="00A95820" w:rsidRPr="00722885" w:rsidRDefault="00A95820" w:rsidP="00722885">
      <w:pPr>
        <w:pStyle w:val="4f1"/>
        <w:spacing w:before="0" w:beforeAutospacing="0" w:after="0" w:afterAutospacing="0"/>
        <w:jc w:val="both"/>
        <w:textAlignment w:val="baseline"/>
        <w:rPr>
          <w:color w:val="000000" w:themeColor="text1"/>
          <w:sz w:val="16"/>
          <w:szCs w:val="16"/>
        </w:rPr>
      </w:pPr>
    </w:p>
    <w:p w14:paraId="3DF494EB" w14:textId="77777777" w:rsidR="006A0985" w:rsidRPr="00722885" w:rsidRDefault="006A0985" w:rsidP="00722885">
      <w:pPr>
        <w:pStyle w:val="ae"/>
        <w:shd w:val="clear" w:color="auto" w:fill="FFFFFF"/>
        <w:spacing w:before="0" w:after="0"/>
        <w:jc w:val="both"/>
        <w:rPr>
          <w:color w:val="000000" w:themeColor="text1"/>
          <w:sz w:val="16"/>
          <w:szCs w:val="16"/>
        </w:rPr>
      </w:pPr>
      <w:r w:rsidRPr="00722885">
        <w:rPr>
          <w:color w:val="000000" w:themeColor="text1"/>
          <w:sz w:val="16"/>
          <w:szCs w:val="16"/>
        </w:rPr>
        <w:t>В конце 1942 года, на острове </w:t>
      </w:r>
      <w:hyperlink r:id="rId234" w:tooltip="Узедом" w:history="1">
        <w:r w:rsidRPr="00722885">
          <w:rPr>
            <w:rStyle w:val="a5"/>
            <w:color w:val="000000" w:themeColor="text1"/>
            <w:sz w:val="16"/>
            <w:szCs w:val="16"/>
            <w:u w:val="none"/>
          </w:rPr>
          <w:t>Узедом</w:t>
        </w:r>
      </w:hyperlink>
      <w:r w:rsidRPr="00722885">
        <w:rPr>
          <w:color w:val="000000" w:themeColor="text1"/>
          <w:sz w:val="16"/>
          <w:szCs w:val="16"/>
        </w:rPr>
        <w:t> (расположенном в </w:t>
      </w:r>
      <w:hyperlink r:id="rId235" w:tooltip="Балтийское море" w:history="1">
        <w:r w:rsidRPr="00722885">
          <w:rPr>
            <w:rStyle w:val="a5"/>
            <w:color w:val="000000" w:themeColor="text1"/>
            <w:sz w:val="16"/>
            <w:szCs w:val="16"/>
            <w:u w:val="none"/>
          </w:rPr>
          <w:t>Балтийском море</w:t>
        </w:r>
      </w:hyperlink>
      <w:r w:rsidRPr="00722885">
        <w:rPr>
          <w:color w:val="000000" w:themeColor="text1"/>
          <w:sz w:val="16"/>
          <w:szCs w:val="16"/>
        </w:rPr>
        <w:t>, напротив устья реки </w:t>
      </w:r>
      <w:hyperlink r:id="rId236" w:tooltip="Одер" w:history="1">
        <w:r w:rsidRPr="00722885">
          <w:rPr>
            <w:rStyle w:val="a5"/>
            <w:color w:val="000000" w:themeColor="text1"/>
            <w:sz w:val="16"/>
            <w:szCs w:val="16"/>
            <w:u w:val="none"/>
          </w:rPr>
          <w:t>Одер</w:t>
        </w:r>
      </w:hyperlink>
      <w:r w:rsidRPr="00722885">
        <w:rPr>
          <w:color w:val="000000" w:themeColor="text1"/>
          <w:sz w:val="16"/>
          <w:szCs w:val="16"/>
        </w:rPr>
        <w:t xml:space="preserve">) начато производство ракеты Фау-1. Во время Второй мировой </w:t>
      </w:r>
      <w:r w:rsidRPr="00722885">
        <w:rPr>
          <w:color w:val="000000" w:themeColor="text1"/>
          <w:sz w:val="16"/>
          <w:szCs w:val="16"/>
        </w:rPr>
        <w:lastRenderedPageBreak/>
        <w:t>войны на острове был </w:t>
      </w:r>
      <w:hyperlink r:id="rId237" w:tooltip="Концентрационные лагеря Третьего рейха" w:history="1">
        <w:r w:rsidRPr="00722885">
          <w:rPr>
            <w:rStyle w:val="a5"/>
            <w:color w:val="000000" w:themeColor="text1"/>
            <w:sz w:val="16"/>
            <w:szCs w:val="16"/>
            <w:u w:val="none"/>
          </w:rPr>
          <w:t>концлагерь</w:t>
        </w:r>
      </w:hyperlink>
      <w:r w:rsidRPr="00722885">
        <w:rPr>
          <w:color w:val="000000" w:themeColor="text1"/>
          <w:sz w:val="16"/>
          <w:szCs w:val="16"/>
        </w:rPr>
        <w:t>, рабочая сила заключенных которого и была использована на предприятиях по производству Фау-1 (19631).</w:t>
      </w:r>
    </w:p>
    <w:p w14:paraId="6B01D9DA" w14:textId="77777777" w:rsidR="006A0985" w:rsidRPr="00722885" w:rsidRDefault="006A0985" w:rsidP="00722885">
      <w:pPr>
        <w:spacing w:after="0" w:line="240" w:lineRule="auto"/>
        <w:jc w:val="both"/>
        <w:rPr>
          <w:rFonts w:ascii="Times New Roman" w:hAnsi="Times New Roman"/>
          <w:color w:val="000000" w:themeColor="text1"/>
          <w:sz w:val="16"/>
          <w:szCs w:val="16"/>
        </w:rPr>
      </w:pPr>
    </w:p>
    <w:p w14:paraId="410F824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конца 1942 г. учтя недостатки "Крусейдеров", англичане начали выпускать крейсерские танки MK. VIII "Кромвелл". Броня его была по тем временам солидной, но проходимость низкой. В боях с немецкими "Пантерами" "Кромвеллы" успеха не имели: не спасала ни толстая броня, ни большая скорость. Не "дотянул" "Кромвелл" и до уровня основных боевых и технических характеристик Т-34-85 (3905).</w:t>
      </w:r>
    </w:p>
    <w:p w14:paraId="0B05777F" w14:textId="77777777" w:rsidR="00BB6316" w:rsidRPr="00722885" w:rsidRDefault="00BB6316" w:rsidP="00722885">
      <w:pPr>
        <w:pStyle w:val="Iauiue"/>
        <w:jc w:val="both"/>
        <w:rPr>
          <w:color w:val="000000" w:themeColor="text1"/>
          <w:sz w:val="16"/>
          <w:szCs w:val="16"/>
        </w:rPr>
      </w:pPr>
    </w:p>
    <w:p w14:paraId="6BC60239"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265042AA" w14:textId="77777777" w:rsidR="00BB6316" w:rsidRPr="00722885" w:rsidRDefault="00BB6316" w:rsidP="00722885">
      <w:pPr>
        <w:pStyle w:val="Iauiue"/>
        <w:jc w:val="both"/>
        <w:rPr>
          <w:iCs/>
          <w:color w:val="000000" w:themeColor="text1"/>
          <w:sz w:val="16"/>
          <w:szCs w:val="16"/>
        </w:rPr>
      </w:pPr>
    </w:p>
    <w:p w14:paraId="701A34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12-й бап во главе с П.Х. Козыревым также начал боевые действия на Калининском фронте на Ту-2 и дислоцировался на аэродромах Мигалово, Клин, Житово и Ржев. О результатах боевой работы полка пока мало что известно. Приводятся лишь доступные сведения, обнаруженные в Центральном архиве министерства обороны.</w:t>
      </w:r>
    </w:p>
    <w:p w14:paraId="385423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на 10 августа 1943 года в его составе числилось 19 Ту-2. Из них пять требовали ремонта. Все боеспособные Ту-2 дислоцировались во Ржеве.</w:t>
      </w:r>
    </w:p>
    <w:p w14:paraId="0EF49F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13 по 19 августа полк выполнил 38 боевых вылетов (23 августа 1943 г. - 12 боевых вылетов без потерь), потеряв пять Ту-2. Черным днем полка можно считать 13 августа. В тот день были сбиты истребителями противника самолеты летчиков Гутова (штурман Громов, стрелки - Клименко и Гранов) и Романенко (штурман Вихорев, стрелки - Изосимов и Воронин), а зенитной артиллерией - Ванеева (штурман Глазунов, стрелки - Даль и Грицких). 17 августа не вернулся с боевого задания экипаж Чернокрыл ова (штурман Рыжакин, стрелки - Тимошенко и Данилов). Предположительно самолет был сбит зенитной артиллерией. На следующий день был сбит истребителями противника бомбардировщик заместителя командира 2-й авиаэскадрильи старшего лейтенанта И.К. Кабардина (штурман .Невский, стрелки - Картавенко и Миненко). При этом экипажи Ту-2 с 13-го по 24 августа в воздушных боях уничтожили два FW. 190 и один Me. 109.</w:t>
      </w:r>
    </w:p>
    <w:p w14:paraId="59A963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Случались и не боевые потери. Так, 8 августа потеряли Ту-2 (заводской № 100715). В тот день экипаж И.К. Кабардина выполнял перелет из Мигалово (Калинин, ныне Тверь) в Ржев. Совершив мягкую посадку на три точки на бетонную ВПП (правда, недотянул 50 метров), после пробега 60-80 метров самолет стал резко разворачиваться влево. Сохранить прямое направление движения машины с помощью рулей и тормозов не удалось. В итоге правая стойка шасси сломалась, не выдержав нагрузки. Затем самолет лег на правую консоль крыла, сломалась левая опора шасси и машина с остановленными двигателями, ударившись о бетон, загорелась. Огонь полностью уничтожил самолет, но экипаж не пострадал.</w:t>
      </w:r>
    </w:p>
    <w:p w14:paraId="5249DC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Аварийная комиссия посчитала виновником пилота, "из-за ошибки в технике пилотирования, выразившейся в невнимательности в резком и некоординированном торможении...".</w:t>
      </w:r>
    </w:p>
    <w:p w14:paraId="76ABD1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Бомбовые удары экипажи Ту-2 как 132-го, так и 12-го бап наносили преимущественно с горизонтального полета, поскольку были случаи отказов автоматов пикирования. Кроме этого, ухудшалась осмотрительность экипажей в воздухе, сложнее было применять оборонительное вооружение. Да и начальство-редко ставило такие задачи, видимо побаиваясь возможных потерь.</w:t>
      </w:r>
    </w:p>
    <w:p w14:paraId="388837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осени 1943 года полк понес большие потери и вскоре был выведен в тыл для пополнения. Это совпало с назначением командиром полка подполковника М.П. Васянина, до этого летчика-испытателя НИИ ВВС (12035).</w:t>
      </w:r>
    </w:p>
    <w:p w14:paraId="5CD8720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A274A04" w14:textId="77777777" w:rsidR="007C48E4" w:rsidRPr="00722885" w:rsidRDefault="007C48E4" w:rsidP="00722885">
      <w:pPr>
        <w:pStyle w:val="Iauiue"/>
        <w:jc w:val="both"/>
        <w:rPr>
          <w:i/>
          <w:iCs/>
          <w:color w:val="000000" w:themeColor="text1"/>
          <w:sz w:val="16"/>
          <w:szCs w:val="16"/>
        </w:rPr>
      </w:pPr>
      <w:r w:rsidRPr="00722885">
        <w:rPr>
          <w:i/>
          <w:iCs/>
          <w:color w:val="000000" w:themeColor="text1"/>
          <w:sz w:val="16"/>
          <w:szCs w:val="16"/>
        </w:rPr>
        <w:t>За рубежом:</w:t>
      </w:r>
    </w:p>
    <w:p w14:paraId="604F548B" w14:textId="77777777" w:rsidR="007C48E4" w:rsidRPr="00722885" w:rsidRDefault="007C48E4" w:rsidP="00722885">
      <w:pPr>
        <w:pStyle w:val="Iauiue"/>
        <w:jc w:val="both"/>
        <w:rPr>
          <w:i/>
          <w:iCs/>
          <w:color w:val="000000" w:themeColor="text1"/>
          <w:sz w:val="16"/>
          <w:szCs w:val="16"/>
        </w:rPr>
      </w:pPr>
    </w:p>
    <w:p w14:paraId="3DCEDE79"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конце 1942 г. из заводских цехов стал выходить новый серийный вариант FW-189A-4. На нем крыльевые пулеметы заменили на 20-мм пушки MG FF, двигатели, бензобаки и фюзеляж снизу были бронированы (22864).</w:t>
      </w:r>
    </w:p>
    <w:p w14:paraId="44399369" w14:textId="77777777" w:rsidR="007C48E4" w:rsidRPr="00722885" w:rsidRDefault="007C48E4" w:rsidP="00722885">
      <w:pPr>
        <w:spacing w:after="0" w:line="240" w:lineRule="auto"/>
        <w:jc w:val="both"/>
        <w:rPr>
          <w:rFonts w:ascii="Times New Roman" w:hAnsi="Times New Roman"/>
          <w:color w:val="0070C0"/>
          <w:sz w:val="16"/>
          <w:szCs w:val="16"/>
        </w:rPr>
      </w:pPr>
    </w:p>
    <w:p w14:paraId="6FD8F99C"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конце 1942 года моторы «Мерлин» 28 установили на два серийных «ланкастера» I, а в середине следующего года аналогичным образом переоборудовали и третий.</w:t>
      </w:r>
    </w:p>
    <w:p w14:paraId="71ECC709"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 этому времени моторы «Мерлин» 28 перестали быть дефицитными, т.к. инженеры американской фирмы «Паккард», освоив за год английскую систему допусков и посадок, поставили на конвейер мотор «Мерлин» Mk.28, развивавший на взлете 1420, а на границе высотности 1300 л.с. Под этим обозначением в 1942 году пошли его массовые поставки для Великобритании и Канады, а для США он шел под индексом V1650-1.</w:t>
      </w:r>
    </w:p>
    <w:p w14:paraId="239C9DBB"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Росту производства этих моторов способствовало применение только американских комплектующих, в т.ч. карбюраторов и магнето фирмы «Бендикс», но это вызвало определенные проблемы взаимодействия с британскими компонентами топливной, пневматической, гидравлической и электрической систем самолета. Отработка их завершилась только в конце 1943 года — и в декабре фирма «Авро» сдала в войска первый «Ланкастер» III. В 1944 году бомбардировщики этого варианта начал строить и завод «Армстронг-Уитворт». Выпуск модификации Mk.III шел по 1945 год и составил 2990 штук, в т.ч. с усовершенствованными моторами «Мерлин» 38 и 224. С конца 1944 года все серийные «ланкастеры» III получали либо хвостовые турели F.N.82 с двумя крупнокалиберными пулеметами вместо четырех обычных, либо ALGT для защиты от атакующих снизу перехватчиков с системой «джаз» (22866).</w:t>
      </w:r>
    </w:p>
    <w:p w14:paraId="4A5BD358" w14:textId="77777777" w:rsidR="007C48E4" w:rsidRPr="00722885" w:rsidRDefault="007C48E4" w:rsidP="00722885">
      <w:pPr>
        <w:spacing w:after="0" w:line="240" w:lineRule="auto"/>
        <w:jc w:val="both"/>
        <w:rPr>
          <w:rFonts w:ascii="Times New Roman" w:hAnsi="Times New Roman"/>
          <w:color w:val="0070C0"/>
          <w:sz w:val="16"/>
          <w:szCs w:val="16"/>
        </w:rPr>
      </w:pPr>
    </w:p>
    <w:p w14:paraId="3FC7AA97"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конце 1942 г. в Пенемюнде вошли в строй сборочные цеха серийного производства самолета-снаряда или крылатой ракеты ФАУ-1 с дальностью полета 250 км и скоростью около 500 км/час. Простота проекта по сравнению с А-4 и относительно малая стоимость (3500 марок, в то время как А-4 обходилась в 40-50 тыс. марок') произвели на генерал-инспектора ВВС фельдмаршала Мильха большое впечатление, и он отдал приказ к декабрю 1943 года принять ее на вооружение. Что же касается разработки А-4, то ассигнования на нее меняются в зависимости от обстановки на фронтах. После легкой победы во Франции, ассигнования на ракетные исследования уменьшились в половину, когда Гитлер посчитал, что основным видом действий против Англии будут воздушные удары, ассигнования на ракету увеличились до прежнего уровня, после нападения на СССР в расчете на успех «блицкрига», расходы на А-4 вновь сокращаются до 25 млн. марок (22685).</w:t>
      </w:r>
    </w:p>
    <w:p w14:paraId="69E8319A" w14:textId="77777777" w:rsidR="007C48E4" w:rsidRPr="00722885" w:rsidRDefault="007C48E4" w:rsidP="00722885">
      <w:pPr>
        <w:spacing w:after="0" w:line="240" w:lineRule="auto"/>
        <w:jc w:val="both"/>
        <w:rPr>
          <w:rFonts w:ascii="Times New Roman" w:hAnsi="Times New Roman"/>
          <w:color w:val="0070C0"/>
          <w:sz w:val="16"/>
          <w:szCs w:val="16"/>
        </w:rPr>
      </w:pPr>
    </w:p>
    <w:p w14:paraId="0BC3DD7B"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конце 1942 года появился проект «Стирлинг» Mk. III srs. III, в котором фирма пыталась усилить оборонительное вооружение, установив новую нижнюю турель FN 64, заменив наиболее активно использующуюся кормовую установку с четырьмя пулеметами винтовочного калибра новой парой 12,7-мм «стволов» типа FN 82, наконец, планировалось внедрить и улучшенную верхнюю турель В 12. Но все это смещало центровку назад и ухудшало устойчивость самолета, который и так был трудным в управлении. Это послужило официальным поводом для прекращения выпуска самолета «Стирлинг» в качестве бомбардировщика. Всего было построено 875 самолетов модификации Mk. III (22823).</w:t>
      </w:r>
    </w:p>
    <w:p w14:paraId="741466D0" w14:textId="77777777" w:rsidR="007C48E4" w:rsidRPr="00722885" w:rsidRDefault="007C48E4" w:rsidP="00722885">
      <w:pPr>
        <w:spacing w:after="0" w:line="240" w:lineRule="auto"/>
        <w:jc w:val="both"/>
        <w:rPr>
          <w:rFonts w:ascii="Times New Roman" w:hAnsi="Times New Roman"/>
          <w:color w:val="0070C0"/>
          <w:sz w:val="16"/>
          <w:szCs w:val="16"/>
        </w:rPr>
      </w:pPr>
    </w:p>
    <w:p w14:paraId="4DB91D11"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конце 1942 года в Канаде были построены четыре «Москито» B.XX головной серии. Специалисты «Де Хе Канада» проработали замену всех приборов, механизмов, амортизаторов и колес шасси и т.п. на выпускавшиеся в Канаде и США аналоги.</w:t>
      </w:r>
    </w:p>
    <w:p w14:paraId="519CF768"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На двух обеспечили подвеску в бомбоотсек дополнительного бака емкостью 910 л, еще два 680 литровых крепились под крыло, и они в августе 1943 года перелетели в Южную Англию с промежуточными посадками в Гренландии, Исландии и Шотландии. Испытания подтвердили успех модификации, лишь монолитный плексиглас остекления заменили триплексом английского производства.</w:t>
      </w:r>
    </w:p>
    <w:p w14:paraId="0DCC2FA5"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Первые серийные самолеты В.ХХ получила 139-я АЭ осенью 1943 года. Первые 80 машин этой модификации комплектовались моторами «Мерлин» 31/32, а остальные 245 — двигателями Mk.33/34, чья взлетная мощность была повышена до 1460 л.с. На многих самолетах вместо носового остекления с бомбардировочным прицелом установили панорамный радиолокатор H2S, с помощью которого можно было бомбить крупные цели вне видимости земли.</w:t>
      </w:r>
    </w:p>
    <w:p w14:paraId="6D4C7EC4"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Поставки самолетов В.ХХ в Англию с начала 1944 года увеличились, но невзаимозаменяемость запчастей с английскими аналогами затрудняла эксплуатацию. Тогда в составе Канадских ВВС в Европе на авиабазе Хенлоу была сформирована 13-я авиатехническая часть, вокруг которой и дислоцировались части, перевооружаемые «мосси» канадского выпуска. Всего «двадцатки» эксплуатировали 6 английских и канадских строевых эскадрилий, 34 самолета из последней партии было выпущено в варианте стратегического разведчика F-8 и передано ВВС США (22852). </w:t>
      </w:r>
    </w:p>
    <w:p w14:paraId="2AA81D64" w14:textId="77777777" w:rsidR="007C48E4" w:rsidRPr="00722885" w:rsidRDefault="007C48E4" w:rsidP="00722885">
      <w:pPr>
        <w:spacing w:after="0" w:line="240" w:lineRule="auto"/>
        <w:jc w:val="both"/>
        <w:rPr>
          <w:rFonts w:ascii="Times New Roman" w:hAnsi="Times New Roman"/>
          <w:color w:val="0070C0"/>
          <w:sz w:val="16"/>
          <w:szCs w:val="16"/>
        </w:rPr>
      </w:pPr>
    </w:p>
    <w:p w14:paraId="0E7C464B"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конце 1942 начались поставки двигателей Mk.61/62, что открывало дорогу для высотной модификации «Москито» Mk.IX. Характеристики серийных машин с ними были хуже, чем с опытными Mk.71/72, однако уже после сдачи нескольких первых самолетов (головной был облетан 24 марта 1943 года) начались поставки и Mk.71/72. Хотя они в серийном исполнении выдавали только 1680 л.с. на взлете и 1505 л.с. на высоте 6400 м, летные данные «Москито» IX были восстановлены на уровне первого этапа испытаний. Всего построено 44 таких самолета, большинство их было передано Бомбардировочному Командованию, несколько использовались как разведчики погоды. Большим недостатком самолета оказалось отсутствие гермокабины, но фирма работала и в этом направлении (22852).</w:t>
      </w:r>
    </w:p>
    <w:p w14:paraId="50A1713A" w14:textId="77777777" w:rsidR="007C48E4" w:rsidRPr="00722885" w:rsidRDefault="007C48E4" w:rsidP="00722885">
      <w:pPr>
        <w:spacing w:after="0" w:line="240" w:lineRule="auto"/>
        <w:jc w:val="both"/>
        <w:rPr>
          <w:rFonts w:ascii="Times New Roman" w:hAnsi="Times New Roman"/>
          <w:color w:val="0070C0"/>
          <w:sz w:val="16"/>
          <w:szCs w:val="16"/>
        </w:rPr>
      </w:pPr>
    </w:p>
    <w:p w14:paraId="5C81B0EF"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В конце 1942 года Штаб Императорского флота Японии направил фирме «Мицубиси» технические требования 16-Shi на новый двухмоторный бомбардировщик G7M1, одновременно фирма «Каваниши» получила задание 17-Shi, по которому она начала проектирование аналогичного самолета K100. Но расчеты показали, что двухмоторный самолет не сможет сочетать дальность полета 7400 км с максимальной скоростью 590 км/ч на высоте 8000 м, и дальнейшие работы были прекращены (22873).</w:t>
      </w:r>
    </w:p>
    <w:p w14:paraId="766DAC1E" w14:textId="77777777" w:rsidR="007C48E4" w:rsidRPr="00722885" w:rsidRDefault="007C48E4" w:rsidP="00722885">
      <w:pPr>
        <w:spacing w:after="0" w:line="240" w:lineRule="auto"/>
        <w:jc w:val="both"/>
        <w:rPr>
          <w:rFonts w:ascii="Times New Roman" w:hAnsi="Times New Roman"/>
          <w:color w:val="0070C0"/>
          <w:sz w:val="16"/>
          <w:szCs w:val="16"/>
        </w:rPr>
      </w:pPr>
    </w:p>
    <w:p w14:paraId="769B21D9" w14:textId="0F9FD597" w:rsidR="008D2BB9" w:rsidRPr="00722885" w:rsidRDefault="008D2BB9"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386E8196" w14:textId="77777777" w:rsidR="008D2BB9" w:rsidRPr="00722885" w:rsidRDefault="008D2BB9" w:rsidP="00722885">
      <w:pPr>
        <w:pStyle w:val="Iauiue"/>
        <w:jc w:val="both"/>
        <w:rPr>
          <w:iCs/>
          <w:color w:val="000000" w:themeColor="text1"/>
          <w:sz w:val="16"/>
          <w:szCs w:val="16"/>
        </w:rPr>
      </w:pPr>
    </w:p>
    <w:p w14:paraId="026E25CC" w14:textId="77777777" w:rsidR="008D2BB9" w:rsidRPr="00722885" w:rsidRDefault="008D2BB9" w:rsidP="00722885">
      <w:pPr>
        <w:pStyle w:val="Iauiue"/>
        <w:jc w:val="both"/>
        <w:rPr>
          <w:color w:val="000000" w:themeColor="text1"/>
          <w:sz w:val="16"/>
          <w:szCs w:val="16"/>
        </w:rPr>
      </w:pPr>
      <w:r w:rsidRPr="00722885">
        <w:rPr>
          <w:color w:val="000000" w:themeColor="text1"/>
          <w:sz w:val="16"/>
          <w:szCs w:val="16"/>
        </w:rPr>
        <w:t>В конце 1942 - нача</w:t>
      </w:r>
      <w:r w:rsidRPr="00722885">
        <w:rPr>
          <w:color w:val="000000" w:themeColor="text1"/>
          <w:sz w:val="16"/>
          <w:szCs w:val="16"/>
        </w:rPr>
        <w:softHyphen/>
        <w:t>ле 1943 гг. пролувка одноместного Ил-2 АМ-38 в аэродинамической трубе Т-104 ЦАГИ показала, что у машины есть резерв по</w:t>
      </w:r>
      <w:r w:rsidRPr="00722885">
        <w:rPr>
          <w:color w:val="000000" w:themeColor="text1"/>
          <w:sz w:val="16"/>
          <w:szCs w:val="16"/>
        </w:rPr>
        <w:softHyphen/>
        <w:t>вышения максимальной скорости поле</w:t>
      </w:r>
      <w:r w:rsidRPr="00722885">
        <w:rPr>
          <w:color w:val="000000" w:themeColor="text1"/>
          <w:sz w:val="16"/>
          <w:szCs w:val="16"/>
        </w:rPr>
        <w:softHyphen/>
        <w:t>та на 45-50 км/ч. Повышение скорости полета могло быть достигнуто за счет: облагораживания фонаря кабины пило</w:t>
      </w:r>
      <w:r w:rsidRPr="00722885">
        <w:rPr>
          <w:color w:val="000000" w:themeColor="text1"/>
          <w:sz w:val="16"/>
          <w:szCs w:val="16"/>
        </w:rPr>
        <w:softHyphen/>
        <w:t>та, применения патрубков с реактивным выхлопом, устранения отсоса створок бомболюков, установки обтекателей на реактивные орудия и хвостовое колесо, введения более тщательной внутренней герметизации туннелей радиаторов и противопожарной перегородки и т.д. Так, отсос створок бомболюков в полете уменьшал максимальную скорость Ил-2 на 12-15 км/ч, отсутствие обтекателей направляющих под PC и над хвостовым колесом - на 11 км/ч, а плохая внутрен</w:t>
      </w:r>
      <w:r w:rsidRPr="00722885">
        <w:rPr>
          <w:color w:val="000000" w:themeColor="text1"/>
          <w:sz w:val="16"/>
          <w:szCs w:val="16"/>
        </w:rPr>
        <w:softHyphen/>
        <w:t>няя герметизация бронеспинки и про</w:t>
      </w:r>
      <w:r w:rsidRPr="00722885">
        <w:rPr>
          <w:color w:val="000000" w:themeColor="text1"/>
          <w:sz w:val="16"/>
          <w:szCs w:val="16"/>
        </w:rPr>
        <w:softHyphen/>
        <w:t>тивопожарной перегородки - на 5,5 км/ч (6467).</w:t>
      </w:r>
    </w:p>
    <w:p w14:paraId="56ACAF77" w14:textId="77777777" w:rsidR="008D2BB9" w:rsidRPr="00722885" w:rsidRDefault="008D2BB9" w:rsidP="00722885">
      <w:pPr>
        <w:pStyle w:val="Iauiue"/>
        <w:jc w:val="both"/>
        <w:rPr>
          <w:color w:val="000000" w:themeColor="text1"/>
          <w:sz w:val="16"/>
          <w:szCs w:val="16"/>
        </w:rPr>
      </w:pPr>
    </w:p>
    <w:p w14:paraId="39D45674" w14:textId="77777777" w:rsidR="008D2BB9" w:rsidRPr="00722885" w:rsidRDefault="008D2BB9" w:rsidP="00722885">
      <w:pPr>
        <w:pStyle w:val="Iauiue"/>
        <w:jc w:val="both"/>
        <w:rPr>
          <w:color w:val="000000" w:themeColor="text1"/>
          <w:sz w:val="16"/>
          <w:szCs w:val="16"/>
        </w:rPr>
      </w:pPr>
      <w:r w:rsidRPr="00722885">
        <w:rPr>
          <w:color w:val="000000" w:themeColor="text1"/>
          <w:sz w:val="16"/>
          <w:szCs w:val="16"/>
        </w:rPr>
        <w:t>В конце 1942 - начале 1943 на двухместном Ил-2 начали устанавливать форсированный двигатель АМ-38Ф, прошедший гос. испытания в ноябре 1942 (490) и имевший взлетную мощность 1700 л.с. (вместо 1650).</w:t>
      </w:r>
    </w:p>
    <w:p w14:paraId="2205720A" w14:textId="77777777" w:rsidR="008D2BB9" w:rsidRPr="00722885" w:rsidRDefault="008D2BB9" w:rsidP="00722885">
      <w:pPr>
        <w:pStyle w:val="Iauiue"/>
        <w:jc w:val="both"/>
        <w:rPr>
          <w:color w:val="000000" w:themeColor="text1"/>
          <w:sz w:val="16"/>
          <w:szCs w:val="16"/>
        </w:rPr>
      </w:pPr>
    </w:p>
    <w:p w14:paraId="45F4B190" w14:textId="77777777" w:rsidR="008D2BB9" w:rsidRPr="00722885" w:rsidRDefault="008D2BB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 начале 1943 г. немцы были уже далеко от Москвы, и авиазавод №381 реэвакуировали в столицу на площади, где до войны располагались авиазаводы №1 и №39, эвакуированные осенью 1941 г. в Куйбышев и Иркутск соответственно. [Миронова Т. Мы выпускали самолеты.//След на земле. Т.6. Н.Тагил, 2004.С.56-58] На этом месте завод №381 развернул выпуск истребителей Лавочкина – Ла-5, Ла-7, а после окончания войны – вначале 1950-х выпускал знаменитые реактивные истребители МиГ-15.</w:t>
      </w:r>
    </w:p>
    <w:p w14:paraId="574CC989" w14:textId="77777777" w:rsidR="008D2BB9" w:rsidRPr="00722885" w:rsidRDefault="008D2BB9"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отправке завода №381 в Москву, часть его 255 специалистов перевели на Верх-Нейвинский авиазавод №261 (который был переведен туда в феврале 1941 г. из г. Березовский на площади недостроенного завода легких сплавов № 484) - смежник ташкентского авиапроизводства грузопассажирских Ли-2 (лицензионной версии знаменитого Дугласа DC-3), а в то же время сам 381-й завод был усилен специалистами Харьковского авиазавода №135, который с началом войны был вывезен в Пермь и позже был там расформирован (18250).</w:t>
      </w:r>
    </w:p>
    <w:p w14:paraId="37DC8003" w14:textId="77777777" w:rsidR="008D2BB9" w:rsidRPr="00722885" w:rsidRDefault="008D2BB9" w:rsidP="00722885">
      <w:pPr>
        <w:spacing w:after="0" w:line="240" w:lineRule="auto"/>
        <w:jc w:val="both"/>
        <w:rPr>
          <w:rFonts w:ascii="Times New Roman" w:hAnsi="Times New Roman"/>
          <w:color w:val="000000" w:themeColor="text1"/>
          <w:sz w:val="16"/>
          <w:szCs w:val="16"/>
        </w:rPr>
      </w:pPr>
    </w:p>
    <w:p w14:paraId="520B524E" w14:textId="77777777" w:rsidR="007C48E4" w:rsidRPr="00722885" w:rsidRDefault="007C48E4" w:rsidP="00722885">
      <w:pPr>
        <w:pStyle w:val="Iauiue"/>
        <w:jc w:val="both"/>
        <w:rPr>
          <w:i/>
          <w:iCs/>
          <w:color w:val="000000" w:themeColor="text1"/>
          <w:sz w:val="16"/>
          <w:szCs w:val="16"/>
        </w:rPr>
      </w:pPr>
      <w:r w:rsidRPr="00722885">
        <w:rPr>
          <w:i/>
          <w:iCs/>
          <w:color w:val="000000" w:themeColor="text1"/>
          <w:sz w:val="16"/>
          <w:szCs w:val="16"/>
        </w:rPr>
        <w:t>За рубежом:</w:t>
      </w:r>
    </w:p>
    <w:p w14:paraId="17615FCB" w14:textId="77777777" w:rsidR="007C48E4" w:rsidRPr="00722885" w:rsidRDefault="007C48E4" w:rsidP="00722885">
      <w:pPr>
        <w:pStyle w:val="Iauiue"/>
        <w:jc w:val="both"/>
        <w:rPr>
          <w:i/>
          <w:iCs/>
          <w:color w:val="000000" w:themeColor="text1"/>
          <w:sz w:val="16"/>
          <w:szCs w:val="16"/>
        </w:rPr>
      </w:pPr>
    </w:p>
    <w:p w14:paraId="0DA49FFA"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 xml:space="preserve">С конца 1942 по конец 1943 годов сделали 1155 самолетов Не.111Н-16, в основном бомбардировщиков, буксировщики планеров He.111H-16/R2 и целеуказатели He.111H-16/R3 строились малыми сериями. Еще 280 старых Не.111Н-6 и 35 самолетов варианта Н-11 были переоборудованы по типу Н-16. Первые Не.111Н-16 отличались от предшественников разве что средствами связи и навигации, а также снятым передним пулеметом в нижней установке (самолет больше не предназначался для торпедометания, эта огневая точка служила для противодействия корабельным зениткам, пока занятый прицеливанием штурман не мог стрелять из носового оружия). Но вскоре на He.111H-16/R1 появилась вращающаяся на 360 градусов верхняя электрифицированная башня DL 131 с крупнокалиберным пулеметом, которая стала стандартной. </w:t>
      </w:r>
    </w:p>
    <w:p w14:paraId="7F99FA41" w14:textId="77777777" w:rsidR="007C48E4" w:rsidRPr="00722885" w:rsidRDefault="007C48E4"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Целеуказатели Не.111Н-18 имели несколько более высокие летные данные за счет отказа от пулеметов в окнах фюзеляжа, часть имели старую верхнюю установку, часть — новую DL 131. Экипаж был сокращен до 3-х человек, но оборона оказалась слабовата, и их построили только 30, распределив между частями спецназначения на Восточном и Западном фронтах. Несколько самолетов этого варианта получили радиолокатор FuG 200. На Востоке такие машины использовались для ночной охоты за дальними бомбардировщиками, а на Западе — против кораблей (22822).</w:t>
      </w:r>
    </w:p>
    <w:p w14:paraId="512297E8" w14:textId="77777777" w:rsidR="007C48E4" w:rsidRPr="00722885" w:rsidRDefault="007C48E4" w:rsidP="00722885">
      <w:pPr>
        <w:spacing w:after="0" w:line="240" w:lineRule="auto"/>
        <w:jc w:val="both"/>
        <w:rPr>
          <w:rFonts w:ascii="Times New Roman" w:hAnsi="Times New Roman"/>
          <w:color w:val="0070C0"/>
          <w:sz w:val="16"/>
          <w:szCs w:val="16"/>
        </w:rPr>
      </w:pPr>
    </w:p>
    <w:p w14:paraId="2127B481" w14:textId="77777777" w:rsidR="00B867F7" w:rsidRPr="00722885" w:rsidRDefault="00B867F7"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B44824C" w14:textId="77777777" w:rsidR="00B867F7" w:rsidRPr="00722885" w:rsidRDefault="00B867F7" w:rsidP="00722885">
      <w:pPr>
        <w:pStyle w:val="Iauiue"/>
        <w:jc w:val="both"/>
        <w:rPr>
          <w:iCs/>
          <w:color w:val="000000" w:themeColor="text1"/>
          <w:sz w:val="16"/>
          <w:szCs w:val="16"/>
        </w:rPr>
      </w:pPr>
    </w:p>
    <w:p w14:paraId="5E475162"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В IV квартале 1942 г. коллективу ОКБ-155 поручили провести модификацию истребителя МиГ-3 под двигатель воздушного охлаждения М-82Ф взлетной мощностью 1850 л.с. Учитывая опыт постройки самолета МиГ-9 с мотором М-82А, а также результаты его продувки в аэродинамической трубе ЦАГИ, был проведен фундаментальный пересмотр конструкции всех агрегатов с точки зрения уменьшения массы, улучшения герметизации и аэродинамики самолета. В результате проведенных работ взлетная масса истребителя И-211 была снижена на 280 кг и составила 3070 кг. Особенно тщательно отработали конструкцию капота двигателя для лучшей внутренней герметизации и соответствия фюзеляжу. Для уменьшения убогого сопротивления маслорадиато-ры убрали из воздушного потока внутрь самолета, а их воздухозаборники разместили в передней кромке центроплана у бортов фюзеляжа. Все эти мероприятия позволили значительно улучшить скоростные качества машины. Вооружение истребителя состояло из двух 20-мм синхронных пушек ШВАК с боезапасом по 150 патронов (5489,32).</w:t>
      </w:r>
    </w:p>
    <w:p w14:paraId="710A0A25" w14:textId="77777777" w:rsidR="00B867F7" w:rsidRPr="00722885" w:rsidRDefault="00B867F7" w:rsidP="00722885">
      <w:pPr>
        <w:pStyle w:val="Iauiue"/>
        <w:jc w:val="both"/>
        <w:rPr>
          <w:color w:val="000000" w:themeColor="text1"/>
          <w:sz w:val="16"/>
          <w:szCs w:val="16"/>
        </w:rPr>
      </w:pPr>
    </w:p>
    <w:p w14:paraId="29341CB6"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четвертом квартале 1942 г. коллективу ОКБ А. И. Микояна поручили провести модификацию истребителя МиГ-3 под двигатель воздушного охлаждения М-82Ф. Самолет получил обозначение И-211 (МиГ-9, «Е»). Учитывая опыт постройки истребителя МиГ-9 с мотором М-82А, а также результаты его продувки в аэродинамической трубе ЦАГИ, был проведен фундаментальный пересмотр конструкции всех агрегатов с точки зрения уменьшения массы, улучшения герметизации и аэродинамики самолета. В результате взлетная масса истребителя И-211 была снижена на 280 кг. Особенно тщательно отработали конструкцию капота двигателя для лучшей внутренней герметизации и соответствия фюзеляжу. Для уменьшения сопротивления маслорадиаторы убрали из воздушного потока внутрь самолета, а их воздухозаборники разместили в передней кромке центроплана у бортов фюзеляжа. Все эти мероприятия позволили значительно улучшить скоростные качества самолета. Опытный экземпляр построили в январе 1943 г., 24 февраля состоялся первый полет. На заводских испытаниях получили отменные летные данные, опытный завод приступил к сборке десяти машин, предназначавшихся для войсковых испытаний, но постройку их так и не завершили. На государственные испытания самолет передавать не стали, поскольку уже существовал истребитель Ла-5ФН, на подходе был самолет Ла-7. В ОКБ прорабатывали также варианты самолета с моторами М-90 и R-2800-63 (с американского истребителя P-47D-10RE). По расчетам, истребитель с мотором R-2800-63 мог развить скорость до 740 км/ч на высоте 10 000 м и благодаря турбокомпрессорам подниматься на 14 500 м. 39 Истребитель И-211 (19727).</w:t>
      </w:r>
    </w:p>
    <w:p w14:paraId="4F3E41EA" w14:textId="77777777" w:rsidR="00B867F7" w:rsidRPr="00722885" w:rsidRDefault="00B867F7" w:rsidP="00722885">
      <w:pPr>
        <w:spacing w:after="0" w:line="240" w:lineRule="auto"/>
        <w:jc w:val="both"/>
        <w:rPr>
          <w:rFonts w:ascii="Times New Roman" w:hAnsi="Times New Roman"/>
          <w:color w:val="000000" w:themeColor="text1"/>
          <w:sz w:val="16"/>
          <w:szCs w:val="16"/>
        </w:rPr>
      </w:pPr>
    </w:p>
    <w:p w14:paraId="22739902"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47C1A3E3" w14:textId="77777777" w:rsidR="00B867F7" w:rsidRPr="00722885" w:rsidRDefault="00B867F7" w:rsidP="00722885">
      <w:pPr>
        <w:pStyle w:val="Iauiue"/>
        <w:numPr>
          <w:ilvl w:val="0"/>
          <w:numId w:val="31"/>
        </w:numPr>
        <w:tabs>
          <w:tab w:val="left" w:pos="360"/>
        </w:tabs>
        <w:ind w:left="0" w:firstLine="0"/>
        <w:jc w:val="both"/>
        <w:rPr>
          <w:color w:val="000000" w:themeColor="text1"/>
          <w:sz w:val="16"/>
          <w:szCs w:val="16"/>
        </w:rPr>
      </w:pPr>
      <w:r w:rsidRPr="00722885">
        <w:rPr>
          <w:color w:val="000000" w:themeColor="text1"/>
          <w:sz w:val="16"/>
          <w:szCs w:val="16"/>
        </w:rPr>
        <w:t>С/х</w:t>
      </w:r>
    </w:p>
    <w:p w14:paraId="6AB92436" w14:textId="77777777" w:rsidR="00B867F7" w:rsidRPr="00722885" w:rsidRDefault="00B867F7" w:rsidP="00722885">
      <w:pPr>
        <w:pStyle w:val="Iauiue"/>
        <w:numPr>
          <w:ilvl w:val="0"/>
          <w:numId w:val="32"/>
        </w:numPr>
        <w:tabs>
          <w:tab w:val="left" w:pos="360"/>
        </w:tabs>
        <w:ind w:left="0" w:firstLine="0"/>
        <w:jc w:val="both"/>
        <w:rPr>
          <w:color w:val="000000" w:themeColor="text1"/>
          <w:sz w:val="16"/>
          <w:szCs w:val="16"/>
        </w:rPr>
      </w:pPr>
      <w:r w:rsidRPr="00722885">
        <w:rPr>
          <w:color w:val="000000" w:themeColor="text1"/>
          <w:sz w:val="16"/>
          <w:szCs w:val="16"/>
        </w:rPr>
        <w:t>Дизельный (с двумя дизельмоторами)</w:t>
      </w:r>
    </w:p>
    <w:p w14:paraId="5BAF2945" w14:textId="77777777" w:rsidR="00B867F7" w:rsidRPr="00722885" w:rsidRDefault="00B867F7" w:rsidP="00722885">
      <w:pPr>
        <w:pStyle w:val="Iauiue"/>
        <w:numPr>
          <w:ilvl w:val="0"/>
          <w:numId w:val="33"/>
        </w:numPr>
        <w:tabs>
          <w:tab w:val="left" w:pos="360"/>
        </w:tabs>
        <w:ind w:left="0" w:firstLine="0"/>
        <w:jc w:val="both"/>
        <w:rPr>
          <w:color w:val="000000" w:themeColor="text1"/>
          <w:sz w:val="16"/>
          <w:szCs w:val="16"/>
        </w:rPr>
      </w:pPr>
      <w:r w:rsidRPr="00722885">
        <w:rPr>
          <w:color w:val="000000" w:themeColor="text1"/>
          <w:sz w:val="16"/>
          <w:szCs w:val="16"/>
        </w:rPr>
        <w:t>Модернизированный</w:t>
      </w:r>
    </w:p>
    <w:p w14:paraId="69CF2D5B" w14:textId="77777777" w:rsidR="00B867F7" w:rsidRPr="00722885" w:rsidRDefault="00B867F7" w:rsidP="00722885">
      <w:pPr>
        <w:pStyle w:val="Iauiue"/>
        <w:numPr>
          <w:ilvl w:val="0"/>
          <w:numId w:val="34"/>
        </w:numPr>
        <w:tabs>
          <w:tab w:val="left" w:pos="360"/>
        </w:tabs>
        <w:ind w:left="0" w:firstLine="0"/>
        <w:jc w:val="both"/>
        <w:rPr>
          <w:color w:val="000000" w:themeColor="text1"/>
          <w:sz w:val="16"/>
          <w:szCs w:val="16"/>
        </w:rPr>
      </w:pPr>
      <w:r w:rsidRPr="00722885">
        <w:rPr>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4C0BEE79"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00C87FD0"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26DBF899"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5FDCDB99"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И.о. директора – Шевченко А.М.</w:t>
      </w:r>
    </w:p>
    <w:p w14:paraId="36E17601"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Адрес: Оренбург, п/я 936</w:t>
      </w:r>
    </w:p>
    <w:p w14:paraId="0278D870"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Производственный профиль – реактивная техника</w:t>
      </w:r>
    </w:p>
    <w:p w14:paraId="7113EC85" w14:textId="77777777" w:rsidR="00B867F7" w:rsidRPr="00722885" w:rsidRDefault="00B867F7" w:rsidP="00722885">
      <w:pPr>
        <w:pStyle w:val="Iauiue"/>
        <w:jc w:val="both"/>
        <w:rPr>
          <w:color w:val="000000" w:themeColor="text1"/>
          <w:sz w:val="16"/>
          <w:szCs w:val="16"/>
        </w:rPr>
      </w:pPr>
      <w:r w:rsidRPr="00722885">
        <w:rPr>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24658E20" w14:textId="77777777" w:rsidR="00B867F7" w:rsidRPr="00722885" w:rsidRDefault="00B867F7" w:rsidP="00722885">
      <w:pPr>
        <w:pStyle w:val="Iauiue"/>
        <w:jc w:val="both"/>
        <w:rPr>
          <w:color w:val="000000" w:themeColor="text1"/>
          <w:sz w:val="16"/>
          <w:szCs w:val="16"/>
        </w:rPr>
      </w:pPr>
    </w:p>
    <w:p w14:paraId="670A2A1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0BFD33E9" w14:textId="77777777" w:rsidR="00BB6316" w:rsidRPr="00722885" w:rsidRDefault="00BB6316" w:rsidP="00722885">
      <w:pPr>
        <w:pStyle w:val="Iauiue"/>
        <w:jc w:val="both"/>
        <w:rPr>
          <w:iCs/>
          <w:color w:val="000000" w:themeColor="text1"/>
          <w:sz w:val="16"/>
          <w:szCs w:val="16"/>
        </w:rPr>
      </w:pPr>
    </w:p>
    <w:p w14:paraId="0BBD21AD" w14:textId="77777777" w:rsidR="00B867F7" w:rsidRPr="00722885" w:rsidRDefault="00B867F7" w:rsidP="00722885">
      <w:pPr>
        <w:pStyle w:val="rtejustify"/>
        <w:shd w:val="clear" w:color="auto" w:fill="FFFFFF"/>
        <w:spacing w:before="0" w:beforeAutospacing="0" w:after="0" w:afterAutospacing="0"/>
        <w:jc w:val="both"/>
        <w:textAlignment w:val="baseline"/>
        <w:rPr>
          <w:color w:val="000000" w:themeColor="text1"/>
          <w:sz w:val="16"/>
          <w:szCs w:val="16"/>
        </w:rPr>
      </w:pPr>
      <w:r w:rsidRPr="00722885">
        <w:rPr>
          <w:color w:val="000000" w:themeColor="text1"/>
          <w:sz w:val="16"/>
          <w:szCs w:val="16"/>
        </w:rPr>
        <w:t>Лишь во второй половине 1942 года поставки пушек ВЯ приобрели регулярный характер, а большая часть недоработок была устранена. Львиная доля новых пушек нашла свое применение на штурмовиках Ил-2. Пара пушек с боекомплектов по 150 патронов устанавливались в крыле (19192).</w:t>
      </w:r>
    </w:p>
    <w:p w14:paraId="71C1ADE1" w14:textId="77777777" w:rsidR="00B867F7" w:rsidRPr="00722885" w:rsidRDefault="00B867F7" w:rsidP="00722885">
      <w:pPr>
        <w:pStyle w:val="rtecenter"/>
        <w:shd w:val="clear" w:color="auto" w:fill="FFFFFF"/>
        <w:spacing w:before="0" w:beforeAutospacing="0" w:after="0" w:afterAutospacing="0"/>
        <w:jc w:val="both"/>
        <w:textAlignment w:val="baseline"/>
        <w:rPr>
          <w:color w:val="000000" w:themeColor="text1"/>
          <w:sz w:val="16"/>
          <w:szCs w:val="16"/>
        </w:rPr>
      </w:pPr>
    </w:p>
    <w:p w14:paraId="2E388E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второй половине 1942 года В.П. Горбунов сделал еще два проекта самолетов с мотором М-82: облег</w:t>
      </w:r>
      <w:r w:rsidRPr="00722885">
        <w:rPr>
          <w:rFonts w:ascii="Times New Roman" w:hAnsi="Times New Roman"/>
          <w:color w:val="000000" w:themeColor="text1"/>
          <w:sz w:val="16"/>
          <w:szCs w:val="16"/>
        </w:rPr>
        <w:softHyphen/>
        <w:t>ченный вариант серийного Ла-5 и более глубокую его модификацию со значительными конструктивными из</w:t>
      </w:r>
      <w:r w:rsidRPr="00722885">
        <w:rPr>
          <w:rFonts w:ascii="Times New Roman" w:hAnsi="Times New Roman"/>
          <w:color w:val="000000" w:themeColor="text1"/>
          <w:sz w:val="16"/>
          <w:szCs w:val="16"/>
        </w:rPr>
        <w:softHyphen/>
        <w:t>менениями всех агрегатов. Однако ввиду получения нового задания пол</w:t>
      </w:r>
      <w:r w:rsidRPr="00722885">
        <w:rPr>
          <w:rFonts w:ascii="Times New Roman" w:hAnsi="Times New Roman"/>
          <w:color w:val="000000" w:themeColor="text1"/>
          <w:sz w:val="16"/>
          <w:szCs w:val="16"/>
        </w:rPr>
        <w:softHyphen/>
        <w:t>ностью сосредоточиться на производ</w:t>
      </w:r>
      <w:r w:rsidRPr="00722885">
        <w:rPr>
          <w:rFonts w:ascii="Times New Roman" w:hAnsi="Times New Roman"/>
          <w:color w:val="000000" w:themeColor="text1"/>
          <w:sz w:val="16"/>
          <w:szCs w:val="16"/>
        </w:rPr>
        <w:softHyphen/>
        <w:t>стве облегченного ЛаГГ-3, эти проекты остались нереализованными. Больше Горбунов к М-82 не возвращался (10686).</w:t>
      </w:r>
    </w:p>
    <w:p w14:paraId="4AB5C3F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A2B42E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lastRenderedPageBreak/>
        <w:t>Во второй половине 1942 в Москве начали испытывать прямоточки В.Н.Челомея. Разработать аппарат поручили ЦИАМ и его ГК и директором завода назначили В.Н.Челомея. Выселял А.Н.Т. - выкатывал самолет. Наверное, в 1943 (116,6).</w:t>
      </w:r>
    </w:p>
    <w:p w14:paraId="28B27AE6" w14:textId="77777777" w:rsidR="00BB6316" w:rsidRPr="00722885" w:rsidRDefault="00BB6316" w:rsidP="00722885">
      <w:pPr>
        <w:pStyle w:val="Iauiue"/>
        <w:jc w:val="both"/>
        <w:rPr>
          <w:color w:val="000000" w:themeColor="text1"/>
          <w:sz w:val="16"/>
          <w:szCs w:val="16"/>
        </w:rPr>
      </w:pPr>
    </w:p>
    <w:p w14:paraId="6221A15E" w14:textId="77777777" w:rsidR="00565332" w:rsidRPr="00722885" w:rsidRDefault="0056533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Во второй половине 1942 года, согласно Шахурину, од</w:t>
      </w:r>
      <w:r w:rsidRPr="00722885">
        <w:rPr>
          <w:rFonts w:ascii="Times New Roman" w:cs="Times New Roman"/>
          <w:color w:val="000000" w:themeColor="text1"/>
          <w:spacing w:val="0"/>
          <w:sz w:val="16"/>
          <w:szCs w:val="16"/>
        </w:rPr>
        <w:softHyphen/>
        <w:t>нажды ночью в одном из районов Москвы, где располагался ЦИАМ, началась сильная «стрельба», длившаяся несколько десятков секунд. Стали выяснять её причину. Оказа</w:t>
      </w:r>
      <w:r w:rsidRPr="00722885">
        <w:rPr>
          <w:rFonts w:ascii="Times New Roman" w:cs="Times New Roman"/>
          <w:color w:val="000000" w:themeColor="text1"/>
          <w:spacing w:val="0"/>
          <w:sz w:val="16"/>
          <w:szCs w:val="16"/>
        </w:rPr>
        <w:softHyphen/>
        <w:t>лось, это известил о своем рождении «пульсирующий» двигатель В.Н. Челомея. Двига</w:t>
      </w:r>
      <w:r w:rsidRPr="00722885">
        <w:rPr>
          <w:rFonts w:ascii="Times New Roman" w:cs="Times New Roman"/>
          <w:color w:val="000000" w:themeColor="text1"/>
          <w:spacing w:val="0"/>
          <w:sz w:val="16"/>
          <w:szCs w:val="16"/>
        </w:rPr>
        <w:softHyphen/>
        <w:t>тель делал ни много ни мало, а 50 «выстрелов» в секунду. Да каких</w:t>
      </w:r>
      <w:r w:rsidRPr="00722885">
        <w:rPr>
          <w:rStyle w:val="aff6"/>
          <w:rFonts w:ascii="Times New Roman" w:eastAsia="Arial Narrow" w:hAnsi="Times New Roman" w:cs="Times New Roman"/>
          <w:i w:val="0"/>
          <w:color w:val="000000" w:themeColor="text1"/>
          <w:spacing w:val="0"/>
        </w:rPr>
        <w:t xml:space="preserve"> «выстрелов»! </w:t>
      </w:r>
      <w:r w:rsidRPr="00722885">
        <w:rPr>
          <w:rFonts w:ascii="Times New Roman" w:cs="Times New Roman"/>
          <w:color w:val="000000" w:themeColor="text1"/>
          <w:spacing w:val="0"/>
          <w:sz w:val="16"/>
          <w:szCs w:val="16"/>
        </w:rPr>
        <w:t>Посильнее любой скорострельной пушки. Вот и создалось впечатление, что в Москве ночью шла стрельба, хотя налёта вражеской авиации не было.</w:t>
      </w:r>
    </w:p>
    <w:p w14:paraId="3F388EDB" w14:textId="77777777" w:rsidR="00565332" w:rsidRPr="00722885" w:rsidRDefault="0056533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xml:space="preserve">Когда разобрались, в чем дело, я и командующий ВВС генерал А.А. Новиков поехали </w:t>
      </w:r>
      <w:r w:rsidRPr="00722885">
        <w:rPr>
          <w:rStyle w:val="aff8"/>
          <w:rFonts w:ascii="Times New Roman" w:cs="Times New Roman"/>
          <w:b w:val="0"/>
          <w:color w:val="000000" w:themeColor="text1"/>
          <w:spacing w:val="0"/>
          <w:sz w:val="16"/>
          <w:szCs w:val="16"/>
        </w:rPr>
        <w:t>в</w:t>
      </w:r>
      <w:r w:rsidRPr="00722885">
        <w:rPr>
          <w:rFonts w:ascii="Times New Roman" w:cs="Times New Roman"/>
          <w:color w:val="000000" w:themeColor="text1"/>
          <w:spacing w:val="0"/>
          <w:sz w:val="16"/>
          <w:szCs w:val="16"/>
        </w:rPr>
        <w:t xml:space="preserve"> ЦИАМ. Прошли в бокс, где был установлен новый двигатель и находился сам Челомей. Конечно, нам захотелось увидеть его детище в работе. Владимир Николаевич предложил уйти из бокса при его запуске, но мы с Новиковым сказали, что будем находиться здесь, чтобы посмотреть все от начала до конца.</w:t>
      </w:r>
    </w:p>
    <w:p w14:paraId="77CD3D20" w14:textId="77777777" w:rsidR="00565332" w:rsidRPr="00722885" w:rsidRDefault="0056533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Грохотал двигатель действительно невероятно. Выдержать его шум было почти невоз</w:t>
      </w:r>
      <w:r w:rsidRPr="00722885">
        <w:rPr>
          <w:rFonts w:ascii="Times New Roman" w:cs="Times New Roman"/>
          <w:color w:val="000000" w:themeColor="text1"/>
          <w:spacing w:val="0"/>
          <w:sz w:val="16"/>
          <w:szCs w:val="16"/>
        </w:rPr>
        <w:softHyphen/>
        <w:t>можно. Но мы остались довольны увиденным. Что мог дать этот «пульсар»? Выяснилось, что на базе такого двигателя можно построить снаряды типа самолётов-снарядов и подвешивать их под тяжелые бомбардировщики. Не долетая до цели несколько сот ки</w:t>
      </w:r>
      <w:r w:rsidRPr="00722885">
        <w:rPr>
          <w:rFonts w:ascii="Times New Roman" w:cs="Times New Roman"/>
          <w:color w:val="000000" w:themeColor="text1"/>
          <w:spacing w:val="0"/>
          <w:sz w:val="16"/>
          <w:szCs w:val="16"/>
        </w:rPr>
        <w:softHyphen/>
        <w:t>лометров, лётчики могли отправить эти снаряды в дальнейший полёт. Самолёты в дан</w:t>
      </w:r>
      <w:r w:rsidRPr="00722885">
        <w:rPr>
          <w:rFonts w:ascii="Times New Roman" w:cs="Times New Roman"/>
          <w:color w:val="000000" w:themeColor="text1"/>
          <w:spacing w:val="0"/>
          <w:sz w:val="16"/>
          <w:szCs w:val="16"/>
        </w:rPr>
        <w:softHyphen/>
        <w:t>ном случае не входили бы даже в зону противовоздушной обороны противника. Заманчивая идея.</w:t>
      </w:r>
    </w:p>
    <w:p w14:paraId="17AEDF1A" w14:textId="77777777" w:rsidR="00565332" w:rsidRPr="00722885" w:rsidRDefault="0056533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Челомею было сказано:</w:t>
      </w:r>
    </w:p>
    <w:p w14:paraId="2AB1A045" w14:textId="77777777" w:rsidR="00565332" w:rsidRPr="00722885" w:rsidRDefault="00565332" w:rsidP="00722885">
      <w:pPr>
        <w:pStyle w:val="36"/>
        <w:shd w:val="clear" w:color="auto" w:fill="auto"/>
        <w:spacing w:after="0" w:line="240" w:lineRule="auto"/>
        <w:jc w:val="both"/>
        <w:rPr>
          <w:rFonts w:ascii="Times New Roman" w:cs="Times New Roman"/>
          <w:color w:val="000000" w:themeColor="text1"/>
          <w:spacing w:val="0"/>
          <w:sz w:val="16"/>
          <w:szCs w:val="16"/>
        </w:rPr>
      </w:pPr>
      <w:r w:rsidRPr="00722885">
        <w:rPr>
          <w:rFonts w:ascii="Times New Roman" w:cs="Times New Roman"/>
          <w:color w:val="000000" w:themeColor="text1"/>
          <w:spacing w:val="0"/>
          <w:sz w:val="16"/>
          <w:szCs w:val="16"/>
        </w:rPr>
        <w:t>— Продолжайте совершенствовать двигатель, а мы подумаем, как развернуть эту работу (15790).</w:t>
      </w:r>
    </w:p>
    <w:p w14:paraId="7B5E36E7" w14:textId="77777777" w:rsidR="00565332" w:rsidRPr="00722885" w:rsidRDefault="00565332" w:rsidP="00722885">
      <w:pPr>
        <w:pStyle w:val="36"/>
        <w:shd w:val="clear" w:color="auto" w:fill="auto"/>
        <w:spacing w:after="0" w:line="240" w:lineRule="auto"/>
        <w:jc w:val="both"/>
        <w:rPr>
          <w:rFonts w:ascii="Times New Roman" w:cs="Times New Roman"/>
          <w:color w:val="000000" w:themeColor="text1"/>
          <w:spacing w:val="0"/>
          <w:sz w:val="16"/>
          <w:szCs w:val="16"/>
        </w:rPr>
      </w:pPr>
    </w:p>
    <w:p w14:paraId="686D32D4" w14:textId="77777777" w:rsidR="00B867F7" w:rsidRPr="00722885" w:rsidRDefault="00B867F7"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второй половине 1942 года единственный МТБ-2 (АНТ-44бис) потерпел катастрофу в Геленджикской бухте (19000).</w:t>
      </w:r>
    </w:p>
    <w:p w14:paraId="4043D30C" w14:textId="77777777" w:rsidR="00B867F7" w:rsidRPr="00722885" w:rsidRDefault="00B867F7" w:rsidP="00722885">
      <w:pPr>
        <w:spacing w:after="0" w:line="240" w:lineRule="auto"/>
        <w:jc w:val="both"/>
        <w:rPr>
          <w:rFonts w:ascii="Times New Roman" w:hAnsi="Times New Roman"/>
          <w:color w:val="000000" w:themeColor="text1"/>
          <w:sz w:val="16"/>
          <w:szCs w:val="16"/>
        </w:rPr>
      </w:pPr>
    </w:p>
    <w:p w14:paraId="050439A5"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0E2430F5" w14:textId="77777777" w:rsidR="00BB6316" w:rsidRPr="00722885" w:rsidRDefault="00BB6316" w:rsidP="00722885">
      <w:pPr>
        <w:pStyle w:val="Iauiue"/>
        <w:jc w:val="both"/>
        <w:rPr>
          <w:iCs/>
          <w:color w:val="000000" w:themeColor="text1"/>
          <w:sz w:val="16"/>
          <w:szCs w:val="16"/>
        </w:rPr>
      </w:pPr>
    </w:p>
    <w:p w14:paraId="1D76DB75"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Во второй половине 1942 года несмотря на большую загрузку КБ по танку Т-34, по инициативе А.А. Морозова были начаты работы по проектированию нового танка, которому было присвоено условное наименование Т-43. В основу этого проекта легли разработки, сделанные еще в Харькове для танка Т-34М. Кроме того, в танке предусматривалось:</w:t>
      </w:r>
    </w:p>
    <w:p w14:paraId="73CDD0AC"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 применение пятискоростной КПП;</w:t>
      </w:r>
    </w:p>
    <w:p w14:paraId="39CB4707"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 установка на основной башне командирской башенки;</w:t>
      </w:r>
    </w:p>
    <w:p w14:paraId="4670AACA"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 упрощение конструкции корпуса с целью облегчения условий автоматической сварки;</w:t>
      </w:r>
    </w:p>
    <w:p w14:paraId="6B54D9A7"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 увеличение емкости топливных баков;</w:t>
      </w:r>
    </w:p>
    <w:p w14:paraId="312EC671" w14:textId="77777777" w:rsidR="00BB6316" w:rsidRPr="00722885" w:rsidRDefault="00BB6316" w:rsidP="00722885">
      <w:pPr>
        <w:pStyle w:val="a8"/>
        <w:widowControl/>
        <w:jc w:val="both"/>
        <w:rPr>
          <w:rFonts w:ascii="Times New Roman" w:hAnsi="Times New Roman" w:cs="Times New Roman"/>
          <w:color w:val="000000" w:themeColor="text1"/>
        </w:rPr>
      </w:pPr>
      <w:r w:rsidRPr="00722885">
        <w:rPr>
          <w:rFonts w:ascii="Times New Roman" w:hAnsi="Times New Roman" w:cs="Times New Roman"/>
          <w:color w:val="000000" w:themeColor="text1"/>
        </w:rPr>
        <w:t>* применение торсионной подвески и др. (9154)</w:t>
      </w:r>
    </w:p>
    <w:p w14:paraId="6A7FB0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второй полови</w:t>
      </w:r>
      <w:r w:rsidRPr="00722885">
        <w:rPr>
          <w:rFonts w:ascii="Times New Roman" w:hAnsi="Times New Roman"/>
          <w:color w:val="000000" w:themeColor="text1"/>
          <w:sz w:val="16"/>
          <w:szCs w:val="16"/>
        </w:rPr>
        <w:softHyphen/>
        <w:t>не 1942 г. в КБ Горьковского автозавода под руководством Н.А. Астро</w:t>
      </w:r>
      <w:r w:rsidRPr="00722885">
        <w:rPr>
          <w:rFonts w:ascii="Times New Roman" w:hAnsi="Times New Roman"/>
          <w:color w:val="000000" w:themeColor="text1"/>
          <w:sz w:val="16"/>
          <w:szCs w:val="16"/>
        </w:rPr>
        <w:softHyphen/>
        <w:t>ва был разработан Танк Т-70 с двухместной башней. Опытный образец был изготовлен заводом к 27 сентября 1942 г. и ис</w:t>
      </w:r>
      <w:r w:rsidRPr="00722885">
        <w:rPr>
          <w:rFonts w:ascii="Times New Roman" w:hAnsi="Times New Roman"/>
          <w:color w:val="000000" w:themeColor="text1"/>
          <w:sz w:val="16"/>
          <w:szCs w:val="16"/>
        </w:rPr>
        <w:softHyphen/>
        <w:t>пытан в период с 27 сентября по 2 октября того же года. На вооружении и в серийном производстве не состоял. Танк был создан на базе серийного танка Т-70 (первого выпуска) и от</w:t>
      </w:r>
      <w:r w:rsidRPr="00722885">
        <w:rPr>
          <w:rFonts w:ascii="Times New Roman" w:hAnsi="Times New Roman"/>
          <w:color w:val="000000" w:themeColor="text1"/>
          <w:sz w:val="16"/>
          <w:szCs w:val="16"/>
        </w:rPr>
        <w:softHyphen/>
        <w:t>личался от него размещением новой двухместной башни со спаренной ус</w:t>
      </w:r>
      <w:r w:rsidRPr="00722885">
        <w:rPr>
          <w:rFonts w:ascii="Times New Roman" w:hAnsi="Times New Roman"/>
          <w:color w:val="000000" w:themeColor="text1"/>
          <w:sz w:val="16"/>
          <w:szCs w:val="16"/>
        </w:rPr>
        <w:softHyphen/>
        <w:t>тановкой 45-мм танковой пушки и 7,62-мм пулемета ДТ. Спаренный пу</w:t>
      </w:r>
      <w:r w:rsidRPr="00722885">
        <w:rPr>
          <w:rFonts w:ascii="Times New Roman" w:hAnsi="Times New Roman"/>
          <w:color w:val="000000" w:themeColor="text1"/>
          <w:sz w:val="16"/>
          <w:szCs w:val="16"/>
        </w:rPr>
        <w:softHyphen/>
        <w:t>лемет ДТ устанавливался справа от пушки. Вертикальные углы наводки спаренной установки составляли от —6 до +25°. После проведения испы</w:t>
      </w:r>
      <w:r w:rsidRPr="00722885">
        <w:rPr>
          <w:rFonts w:ascii="Times New Roman" w:hAnsi="Times New Roman"/>
          <w:color w:val="000000" w:themeColor="text1"/>
          <w:sz w:val="16"/>
          <w:szCs w:val="16"/>
        </w:rPr>
        <w:softHyphen/>
        <w:t>таний был изготовлен второй опытный образец башни с возможностью стрельбы из 45-мм пушки при больших углах возвышения - до +65°. Для установки новой башни подбашенный и надмоторный листы корпуса бы</w:t>
      </w:r>
      <w:r w:rsidRPr="00722885">
        <w:rPr>
          <w:rFonts w:ascii="Times New Roman" w:hAnsi="Times New Roman"/>
          <w:color w:val="000000" w:themeColor="text1"/>
          <w:sz w:val="16"/>
          <w:szCs w:val="16"/>
        </w:rPr>
        <w:softHyphen/>
        <w:t>ли объединены в один. Поэтому демонтаж двигателей был возможен только после снятия башни. Опытный образец танка со вторым образцом двухместной башни получил заводское обозначение 0-80 (10703).</w:t>
      </w:r>
    </w:p>
    <w:p w14:paraId="3FAC65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3AF8ED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второй половине 1942 г. Танк Т-70-3 был разработан в КБ завода № 37 в Свердловске под руководством Н.А. Попова и предназначал</w:t>
      </w:r>
      <w:r w:rsidRPr="00722885">
        <w:rPr>
          <w:rFonts w:ascii="Times New Roman" w:hAnsi="Times New Roman"/>
          <w:color w:val="000000" w:themeColor="text1"/>
          <w:sz w:val="16"/>
          <w:szCs w:val="16"/>
        </w:rPr>
        <w:softHyphen/>
        <w:t>ся для противовоздушной обороны механизированных частей на мар</w:t>
      </w:r>
      <w:r w:rsidRPr="00722885">
        <w:rPr>
          <w:rFonts w:ascii="Times New Roman" w:hAnsi="Times New Roman"/>
          <w:color w:val="000000" w:themeColor="text1"/>
          <w:sz w:val="16"/>
          <w:szCs w:val="16"/>
        </w:rPr>
        <w:softHyphen/>
        <w:t>ше. Опытный образец был изготовлен в ноябре 1942 г. В декабре 1942 г. машина была предъявлена на сравнительные испытания с танком Т-90, которые не выдержала из-за невозможности ведения прицельной стрельбы по наземным и воздушным целям, вследствие недостаточной уравновешенности качающейся части основного оружия (10703).</w:t>
      </w:r>
    </w:p>
    <w:p w14:paraId="11083D6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4295E9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второй половине 1942 г. был разработан в КБ завода № 37 в Свердловске под ру</w:t>
      </w:r>
      <w:r w:rsidRPr="00722885">
        <w:rPr>
          <w:rFonts w:ascii="Times New Roman" w:hAnsi="Times New Roman"/>
          <w:color w:val="000000" w:themeColor="text1"/>
          <w:sz w:val="16"/>
          <w:szCs w:val="16"/>
        </w:rPr>
        <w:softHyphen/>
        <w:t>ководством Н.А. Попова Танк Т-60-3. Он предназначался для защиты механизированных частей на марше и в бою от ударов авиа</w:t>
      </w:r>
      <w:r w:rsidRPr="00722885">
        <w:rPr>
          <w:rFonts w:ascii="Times New Roman" w:hAnsi="Times New Roman"/>
          <w:color w:val="000000" w:themeColor="text1"/>
          <w:sz w:val="16"/>
          <w:szCs w:val="16"/>
        </w:rPr>
        <w:softHyphen/>
        <w:t>ции противника. Машина создавалась на конкурсной основе одновремен</w:t>
      </w:r>
      <w:r w:rsidRPr="00722885">
        <w:rPr>
          <w:rFonts w:ascii="Times New Roman" w:hAnsi="Times New Roman"/>
          <w:color w:val="000000" w:themeColor="text1"/>
          <w:sz w:val="16"/>
          <w:szCs w:val="16"/>
        </w:rPr>
        <w:softHyphen/>
        <w:t>но с танками Т-90 и Т-70-3 и имела заводское обозначение 0-63. Опытный образец был изготовлен заводом № 37 в ноябре 1942 г. и предъявлен на предварительные испытания, к которым не был допущен из-за конструк-тивных недоработок. Дальнейшие работы по машине были прекращены. Танк Т-60-3 был создан на базе танка Т-60 и отличался от последнего установкой основного оружия и конструкцией башни, не имевшей броне</w:t>
      </w:r>
      <w:r w:rsidRPr="00722885">
        <w:rPr>
          <w:rFonts w:ascii="Times New Roman" w:hAnsi="Times New Roman"/>
          <w:color w:val="000000" w:themeColor="text1"/>
          <w:sz w:val="16"/>
          <w:szCs w:val="16"/>
        </w:rPr>
        <w:softHyphen/>
        <w:t>вой крыши. Схема общей компоновки танка предусматривала размещение экипажа из двух человек в корпусе и башне; установку пулеметного воору</w:t>
      </w:r>
      <w:r w:rsidRPr="00722885">
        <w:rPr>
          <w:rFonts w:ascii="Times New Roman" w:hAnsi="Times New Roman"/>
          <w:color w:val="000000" w:themeColor="text1"/>
          <w:sz w:val="16"/>
          <w:szCs w:val="16"/>
        </w:rPr>
        <w:softHyphen/>
        <w:t>жения во вращающейся башне, обеспечивавшего возможность стрельбы по воздушным целям; двигателя в средней части корпуса; переднее распо</w:t>
      </w:r>
      <w:r w:rsidRPr="00722885">
        <w:rPr>
          <w:rFonts w:ascii="Times New Roman" w:hAnsi="Times New Roman"/>
          <w:color w:val="000000" w:themeColor="text1"/>
          <w:sz w:val="16"/>
          <w:szCs w:val="16"/>
        </w:rPr>
        <w:softHyphen/>
        <w:t>ложение агрегатов трансмиссии и ведущих колес. Машина имела пять от</w:t>
      </w:r>
      <w:r w:rsidRPr="00722885">
        <w:rPr>
          <w:rFonts w:ascii="Times New Roman" w:hAnsi="Times New Roman"/>
          <w:color w:val="000000" w:themeColor="text1"/>
          <w:sz w:val="16"/>
          <w:szCs w:val="16"/>
        </w:rPr>
        <w:softHyphen/>
        <w:t>делений: трансмиссионное и управления - в передней части корпуса, мо</w:t>
      </w:r>
      <w:r w:rsidRPr="00722885">
        <w:rPr>
          <w:rFonts w:ascii="Times New Roman" w:hAnsi="Times New Roman"/>
          <w:color w:val="000000" w:themeColor="text1"/>
          <w:sz w:val="16"/>
          <w:szCs w:val="16"/>
        </w:rPr>
        <w:softHyphen/>
        <w:t>торное и боевое - в средней части корпуса и кормовое. Механик-водитель располагался посредине в выступающей вперед рубке с откидным лобо</w:t>
      </w:r>
      <w:r w:rsidRPr="00722885">
        <w:rPr>
          <w:rFonts w:ascii="Times New Roman" w:hAnsi="Times New Roman"/>
          <w:color w:val="000000" w:themeColor="text1"/>
          <w:sz w:val="16"/>
          <w:szCs w:val="16"/>
        </w:rPr>
        <w:softHyphen/>
        <w:t>вым щитком и верхним входным люком. Для наблюдения и вождения ма</w:t>
      </w:r>
      <w:r w:rsidRPr="00722885">
        <w:rPr>
          <w:rFonts w:ascii="Times New Roman" w:hAnsi="Times New Roman"/>
          <w:color w:val="000000" w:themeColor="text1"/>
          <w:sz w:val="16"/>
          <w:szCs w:val="16"/>
        </w:rPr>
        <w:softHyphen/>
        <w:t>шины в боевых условиях в лобовом щитке механика-водителя имелась смотровая щель с триплексом, прикрывавшаяся броневой заслонкой. Ко</w:t>
      </w:r>
      <w:r w:rsidRPr="00722885">
        <w:rPr>
          <w:rFonts w:ascii="Times New Roman" w:hAnsi="Times New Roman"/>
          <w:color w:val="000000" w:themeColor="text1"/>
          <w:sz w:val="16"/>
          <w:szCs w:val="16"/>
        </w:rPr>
        <w:softHyphen/>
        <w:t>мандир машины вел наблюдение за полем боя через две смотровые щели с триплексом, имевшиеся в боковых стенках башни, и телескопический прицел. Посадка и выход экипажа из машины производились через люк механика-водителя и через борта открытой сверху башни. Кроме того, в днище корпуса машины имелся аварийный (запасной) люк (10703).</w:t>
      </w:r>
    </w:p>
    <w:p w14:paraId="421E47C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EB397D9" w14:textId="4BD337A0"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6AD5266A" w14:textId="77777777" w:rsidR="00BB6316" w:rsidRPr="00722885" w:rsidRDefault="00BB6316" w:rsidP="00722885">
      <w:pPr>
        <w:pStyle w:val="Iauiue"/>
        <w:jc w:val="both"/>
        <w:rPr>
          <w:iCs/>
          <w:color w:val="000000" w:themeColor="text1"/>
          <w:sz w:val="16"/>
          <w:szCs w:val="16"/>
        </w:rPr>
      </w:pPr>
    </w:p>
    <w:p w14:paraId="0E2F8E6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Во второй половине 1942 анализируя распределение вылетов Ил-2 по типам боевых задач, можно констатировать, что роль бронированных штурмовиков Ильюшина при решении задач авиационной поддержки войск неуклонно возрастала. В 82% случаях Ил-2 действовали непосредственно в интересах наземных войск на поле боя, около 9,6% самолето-вылетов было затрачено ими на удары по аэродромам, 3,9% - на воздушную разведку и 1,4% боевых вылетов - для действий по резервам, железнодорожным и автомобильным перевозкам противника, на прочие задачи пришлось 3,1% самолето-вылетов.</w:t>
      </w:r>
    </w:p>
    <w:p w14:paraId="5176831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Вместе с тем, тактика и способы выполнения повторных атак штурмовиками Ил-2 все еще оставались до конца не отработанными. Продолжительность огневого воздействия на противника была небольшой, боевые задачи зачастую выполнялись наспех, без должной подготовки на земле, а атаки целей - с одного захода без учета обстановки и характера цели. Сигналы для перестроения, перехода в атаку и сбора группы экипажами не отрабатывались, вследствие чего штурмовики продолжали нести неоправданные потери от истребительной авиации и зенитной артиллерии противника.</w:t>
      </w:r>
    </w:p>
    <w:p w14:paraId="4A9017B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Несмотря на качественный и количественный рост, штурмовая авиация Красной Армии в конце 42-го - начале 43-го еще не могла действовать одновременно на всю глубину оперативного построения обороны противника.</w:t>
      </w:r>
    </w:p>
    <w:p w14:paraId="14EACC2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Например, в контрнаступлении под Сталинградом авиационная поддержка войск проводилась путем последовательного переноса усилий с одной оборонительной позиции на другую. Так было в 8-й ВА в период поддержки 51-й и 57-й армий.</w:t>
      </w:r>
    </w:p>
    <w:p w14:paraId="0EA7CE7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Сражение под Сталинградом показало, что эшелонированные действия штурмовиков Ил-2 группами по 6-8 самолетов все же не решают задачи эффективного подавления огневой системы обороны противника и его войск.</w:t>
      </w:r>
    </w:p>
    <w:p w14:paraId="56A959B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Действительно, оборона противника на переднем крае и в глубине в этот период войны основывалась главным образом на системе опорных пунктов и узлов сопротивления, которые находились между собой в огневой связи. Узлами сопротивления являлись господствующие высоты и населенные пункты, которые занимались силою до батальона и более. Тактическая зона обороны организовывалась из одной-двух оборонительных полос общей глубиной 5-8 км с фортификационными сооружениями преимущественно полевого типа: основа - траншея и деревоземляные сооружения, а также деревоземляные огневые точки (ДЗОТ). Как правило, на первой линии обороны сосредотачивались основные силы и огневые средства для ротных минометов включительно с большим запасом боеприпасов. На 1 к.м фронта в среднем имелось: около 900 активных штыков, 3-5 долговременных огневых точек (ДОТ) и ДЗОТ, 12-16 орудий и минометов, 15-18 орудий ПТО, до 30 пулеметов, 1-2 танка, 12 орудий МЗА и 10-12 крупнокалиберных зенитных пулеметов.</w:t>
      </w:r>
    </w:p>
    <w:p w14:paraId="39E3A62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то же время оценки показывают, что применительно к типовым условиям боев первого периода войны группа в составе 6-8 Ил-2 за один боевой вылет не могла гарантированно подавить даже одной типовой цели на поле боя.</w:t>
      </w:r>
    </w:p>
    <w:p w14:paraId="6D6B37B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Учитывая, что выделяемый ресурс на непосредственную авиационную подготовку и поддержку атаки составлял в среднем около 30-36 самолето-вылетов в час, то штурмовики могли уничтожать и подавлять на поле боя не более 1-2 целей в час при удалении объектов ударов от линии боевого соприкосновения 600-800 м и в глубину до 4-6 км.</w:t>
      </w:r>
    </w:p>
    <w:p w14:paraId="4545046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Поскольку плотность штурмовиков на 1 км фронта на участках прорыва в среднем не превышала 4-5 Ил-2 на 1 км фронта, а выделяемый для прорыва обороны противника ресурс - 1,5-2 самолето-вылетов на один исправный Ил-2, то штурмовики могли уничтожить и вывести из строя не более 0,5% общего количества целей </w:t>
      </w:r>
      <w:r w:rsidRPr="00722885">
        <w:rPr>
          <w:color w:val="000000" w:themeColor="text1"/>
          <w:sz w:val="16"/>
          <w:szCs w:val="16"/>
        </w:rPr>
        <w:lastRenderedPageBreak/>
        <w:t>на поле боя, приходящихся на один км фронта.</w:t>
      </w:r>
    </w:p>
    <w:p w14:paraId="03C6C1C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Совершенно очевидно, что такая результативность действий Ил-2 была явно недостаточной для успешных действий наземных войск по прорыву тактической зоны обороны противника, тогда как именно в ее пределах и в ближайшей оперативной глубине обычно и решался исход операции. Как правило, после прорыва тактической зоны обороны сопротивление войск противника резко снижалось...</w:t>
      </w:r>
    </w:p>
    <w:p w14:paraId="7B03D6E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Исходя из боевых возможностей бомбардировочной авиации ВВС КА и артиллерии в этот период времени, от штурмовой авиации требовалось подавлять как минимум 5% целей на поле боя на 1 км фронта. В противном случае, общевойсковые армии несли большие потери от огневых средств противника, а темпы наступления не обеспечивали перерастание тактического успеха прорыва обороны в оперативный, который должен завершаться разгромом оперативных резервов противника и окружением его основной группировки.</w:t>
      </w:r>
    </w:p>
    <w:p w14:paraId="5D57B12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Действительно, боевой опыт первого периода войны показал, что темпы прорыва тактической зоны обороны в среднем составляли 2-4 км в сутки. Это позволяло противнику за счет своевременного маневра тактическими и оперативными резервами, а также перегруппировки войск парировать удары Красной Армии.</w:t>
      </w:r>
    </w:p>
    <w:p w14:paraId="08334A2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Такая эффективность действий штурмовиков не могла устроить наземное командование и при решении авиацией задач непосредственной авиационной поддержки войск в обороне. Как известно, немецкие войска прорывали оборону Красной Армии, создавая на главных направлениях удара очень высокие плотности сил и средств: до 60-100 (иногда 150) орудий и минометов, от 25 до 100 танков и САУ на 1 км фронта.</w:t>
      </w:r>
    </w:p>
    <w:p w14:paraId="32AFB99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всех авиационных и общевойсковых командиров Красной Армии стало очевидным, что только массированные действия авиации по переднему краю противника на узких участках фронта, увязанные по времени и месту с действиями наземных войск, могли дать ощутимый результат. Обстановка настоятельно требовала повсеместного совершенствования организации боевых действий авиации и наземных войск и тактики боевого применения Ил-2.</w:t>
      </w:r>
    </w:p>
    <w:p w14:paraId="1A6FBB6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Соединения и части ВВС КА в срочном порядке приступили к отработке боевых действий в составе больших групп самолетов - полков, дивизий, к совершенствованию системы управления авиацией над полем боя и организации эффективного взаимодействия с наземными войсками (8687).</w:t>
      </w:r>
    </w:p>
    <w:p w14:paraId="4B747D29" w14:textId="77777777" w:rsidR="00BB6316" w:rsidRPr="00722885" w:rsidRDefault="00BB6316" w:rsidP="00722885">
      <w:pPr>
        <w:pStyle w:val="Iauiue"/>
        <w:jc w:val="both"/>
        <w:rPr>
          <w:color w:val="000000" w:themeColor="text1"/>
          <w:sz w:val="16"/>
          <w:szCs w:val="16"/>
        </w:rPr>
      </w:pPr>
    </w:p>
    <w:p w14:paraId="4EF2709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45D599B5" w14:textId="77777777" w:rsidR="00BB6316" w:rsidRPr="00722885" w:rsidRDefault="00BB6316" w:rsidP="00722885">
      <w:pPr>
        <w:pStyle w:val="Iauiue"/>
        <w:jc w:val="both"/>
        <w:rPr>
          <w:iCs/>
          <w:color w:val="000000" w:themeColor="text1"/>
          <w:sz w:val="16"/>
          <w:szCs w:val="16"/>
        </w:rPr>
      </w:pPr>
    </w:p>
    <w:p w14:paraId="2E769A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второй половине 1942 г. ОКБ-172 разработало 45-мм пушку ВТ-42 для легкого танка Т-70. Пушка ВТ-42 имела ствол длиной 68,5 калибра, одинаковый со стволом 45-мм противотанковой пушки М-42 обр. 1942 г. Боекомплект и баллистика обеих пушек были идентичны. Угол ВН пушки ВТ-42 составлял −4°; +19°. Длина отката 230–275 мм. Люлька пушки прямоугольная, из листовой стали. Подъемный механизм — винт, прикрепленный к маске башни.</w:t>
      </w:r>
    </w:p>
    <w:p w14:paraId="17151A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пушки с пулеметом, но без подъемного механизма составлял 499 кг. Боекомплект 90 снарядов. Скорострельность расчетная 30 выстр/мин.</w:t>
      </w:r>
    </w:p>
    <w:p w14:paraId="1F9AE8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Опытный образец пушки ВТ-42 был изготовлен заводом № 235. С 19 мая по 1 июня 1943 г. этот образец прошел полигонные испытания в танке Т-70 на Гороховецком полигоне. В ходе испытаний кучность стрельбы у ВТ-42 оказалась лучше, чем у штатной пушки танка Т-70 — 45-мм пушки обр. 1934 г. (20К), но хуже, чем у 45-мм противотанковой пушки М-42.</w:t>
      </w:r>
    </w:p>
    <w:p w14:paraId="14DEE5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Дорабатывать пушку ВТ-42 в ОКБ-172 не стали, а взамен ее была спроектирована 45-мм пушка ВТ-43 для легкого танка Т-80. Данные новой пушки близки к ВТ-42, основное отличие — в большем угле возвышения: —6°; +70°.</w:t>
      </w:r>
    </w:p>
    <w:p w14:paraId="46047BD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Опытный образец был изготовлен на заводе № 235 и в сентябре 1943 г. прошел полигонные испытания на Гороховецком полигоне. На вооружение ВТ-43 не принималась, так как особой нужды в легких танках уже не было (12705).</w:t>
      </w:r>
    </w:p>
    <w:p w14:paraId="350F68C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B328DCE"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4D76DB92" w14:textId="77777777" w:rsidR="00BB6316" w:rsidRPr="00722885" w:rsidRDefault="00BB6316" w:rsidP="00722885">
      <w:pPr>
        <w:pStyle w:val="Iauiue"/>
        <w:jc w:val="both"/>
        <w:rPr>
          <w:iCs/>
          <w:color w:val="000000" w:themeColor="text1"/>
          <w:sz w:val="16"/>
          <w:szCs w:val="16"/>
        </w:rPr>
      </w:pPr>
    </w:p>
    <w:p w14:paraId="63D251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 втором полугодии 1942 г. боевые безвозвратные потери Ю</w:t>
      </w:r>
      <w:r w:rsidR="00B867F7"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rPr>
        <w:t>87 на сталинградском направле</w:t>
      </w:r>
      <w:r w:rsidRPr="00722885">
        <w:rPr>
          <w:rFonts w:ascii="Times New Roman" w:hAnsi="Times New Roman"/>
          <w:color w:val="000000" w:themeColor="text1"/>
          <w:sz w:val="16"/>
          <w:szCs w:val="16"/>
        </w:rPr>
        <w:softHyphen/>
        <w:t>нии только от огня зенитной артиллерии составили 493 самолета. К началу ноября во всех пяти авиагруппах пикировщиков 1-й, 2-й и 77-й эскадр осталось всего 43 самолета Ю87.</w:t>
      </w:r>
    </w:p>
    <w:p w14:paraId="169400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Усиление противодействия истреби</w:t>
      </w:r>
      <w:r w:rsidRPr="00722885">
        <w:rPr>
          <w:rFonts w:ascii="Times New Roman" w:hAnsi="Times New Roman"/>
          <w:color w:val="000000" w:themeColor="text1"/>
          <w:sz w:val="16"/>
          <w:szCs w:val="16"/>
        </w:rPr>
        <w:softHyphen/>
        <w:t>телей и зенитных средств ПВО Красной Армии, а также неспособность истребите</w:t>
      </w:r>
      <w:r w:rsidRPr="00722885">
        <w:rPr>
          <w:rFonts w:ascii="Times New Roman" w:hAnsi="Times New Roman"/>
          <w:color w:val="000000" w:themeColor="text1"/>
          <w:sz w:val="16"/>
          <w:szCs w:val="16"/>
        </w:rPr>
        <w:softHyphen/>
        <w:t>лей люфтваффе обеспечить эффективное прикрытие авиагрупп непосредственной поддержки войск потребовали радикаль</w:t>
      </w:r>
      <w:r w:rsidRPr="00722885">
        <w:rPr>
          <w:rFonts w:ascii="Times New Roman" w:hAnsi="Times New Roman"/>
          <w:color w:val="000000" w:themeColor="text1"/>
          <w:sz w:val="16"/>
          <w:szCs w:val="16"/>
        </w:rPr>
        <w:softHyphen/>
        <w:t>ного пересмотра тактики боевого приме</w:t>
      </w:r>
      <w:r w:rsidRPr="00722885">
        <w:rPr>
          <w:rFonts w:ascii="Times New Roman" w:hAnsi="Times New Roman"/>
          <w:color w:val="000000" w:themeColor="text1"/>
          <w:sz w:val="16"/>
          <w:szCs w:val="16"/>
        </w:rPr>
        <w:softHyphen/>
        <w:t>нения Ю87. Немцы были вынуждены на</w:t>
      </w:r>
      <w:r w:rsidRPr="00722885">
        <w:rPr>
          <w:rFonts w:ascii="Times New Roman" w:hAnsi="Times New Roman"/>
          <w:color w:val="000000" w:themeColor="text1"/>
          <w:sz w:val="16"/>
          <w:szCs w:val="16"/>
        </w:rPr>
        <w:softHyphen/>
        <w:t>носить удары с малых и предельно малых высот. Как следствие, резко увеличились потери Ю87 от огня всех видов стрелко</w:t>
      </w:r>
      <w:r w:rsidRPr="00722885">
        <w:rPr>
          <w:rFonts w:ascii="Times New Roman" w:hAnsi="Times New Roman"/>
          <w:color w:val="000000" w:themeColor="text1"/>
          <w:sz w:val="16"/>
          <w:szCs w:val="16"/>
        </w:rPr>
        <w:softHyphen/>
        <w:t>вого оружия.</w:t>
      </w:r>
    </w:p>
    <w:p w14:paraId="46F5B0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стало совершенно оче</w:t>
      </w:r>
      <w:r w:rsidRPr="00722885">
        <w:rPr>
          <w:rFonts w:ascii="Times New Roman" w:hAnsi="Times New Roman"/>
          <w:color w:val="000000" w:themeColor="text1"/>
          <w:sz w:val="16"/>
          <w:szCs w:val="16"/>
        </w:rPr>
        <w:softHyphen/>
        <w:t>видно, что даже при большой плотности бронетехники, приходящейся на один км фронта, Ю87 даже самым точным попада</w:t>
      </w:r>
      <w:r w:rsidRPr="00722885">
        <w:rPr>
          <w:rFonts w:ascii="Times New Roman" w:hAnsi="Times New Roman"/>
          <w:color w:val="000000" w:themeColor="text1"/>
          <w:sz w:val="16"/>
          <w:szCs w:val="16"/>
        </w:rPr>
        <w:softHyphen/>
        <w:t>нием бомбы может уничтожить или выве</w:t>
      </w:r>
      <w:r w:rsidRPr="00722885">
        <w:rPr>
          <w:rFonts w:ascii="Times New Roman" w:hAnsi="Times New Roman"/>
          <w:color w:val="000000" w:themeColor="text1"/>
          <w:sz w:val="16"/>
          <w:szCs w:val="16"/>
        </w:rPr>
        <w:softHyphen/>
        <w:t>сти из строя лишь один танк, израсходовав при этом весь запас бомб. Требовалось либо увеличивать плотность самолетов на км фронта, либо разрабатывать новые тактические приемы использования 87. Фактически уже к январю 1943 г. восемь</w:t>
      </w:r>
      <w:r w:rsidRPr="00722885">
        <w:rPr>
          <w:rFonts w:ascii="Times New Roman" w:hAnsi="Times New Roman"/>
          <w:color w:val="000000" w:themeColor="text1"/>
          <w:sz w:val="16"/>
          <w:szCs w:val="16"/>
        </w:rPr>
        <w:softHyphen/>
        <w:t>десят седьмые «юнкерсы» из классических пикировщиков превратились в штурмо</w:t>
      </w:r>
      <w:r w:rsidRPr="00722885">
        <w:rPr>
          <w:rFonts w:ascii="Times New Roman" w:hAnsi="Times New Roman"/>
          <w:color w:val="000000" w:themeColor="text1"/>
          <w:sz w:val="16"/>
          <w:szCs w:val="16"/>
        </w:rPr>
        <w:softHyphen/>
        <w:t>вики, которые не самым лучшим образом соответствовали требованиям к самолету- штурмовику (12728).</w:t>
      </w:r>
    </w:p>
    <w:p w14:paraId="5A740A1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0B3A4C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76C4C492" w14:textId="77777777" w:rsidR="00BB6316" w:rsidRPr="00722885" w:rsidRDefault="00BB6316" w:rsidP="00722885">
      <w:pPr>
        <w:pStyle w:val="Iauiue"/>
        <w:jc w:val="both"/>
        <w:rPr>
          <w:iCs/>
          <w:color w:val="000000" w:themeColor="text1"/>
          <w:sz w:val="16"/>
          <w:szCs w:val="16"/>
        </w:rPr>
      </w:pPr>
    </w:p>
    <w:p w14:paraId="75B61F4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Зимой 1942-1943 гг. шли испытания системы повышения дальности полета Ил-4 в виде буксируемого “летающего бака” - переоборудованного планера А-7. В двух его баках находились 1000 л бензина. “Безмоторный танкер” нес и мощный бензонасос, питавшийся от аккумуляторов. Шланг для перекачки крепился к буксировочному тросу. Провели их успешно, но в войсках такую технику не применяли - наверное, сочли невыгодным сковывать маневр бомбардировщика и снижать его скорость (7666).</w:t>
      </w:r>
    </w:p>
    <w:p w14:paraId="66DAEBF0" w14:textId="77777777" w:rsidR="00BB6316" w:rsidRPr="00722885" w:rsidRDefault="00BB6316" w:rsidP="00722885">
      <w:pPr>
        <w:pStyle w:val="Iauiue"/>
        <w:jc w:val="both"/>
        <w:rPr>
          <w:color w:val="000000" w:themeColor="text1"/>
          <w:sz w:val="16"/>
          <w:szCs w:val="16"/>
        </w:rPr>
      </w:pPr>
    </w:p>
    <w:p w14:paraId="779A4DD8" w14:textId="77777777" w:rsidR="00565332" w:rsidRPr="00722885" w:rsidRDefault="00565332"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Зимой 1942 - весной 1943 года Ер-2 испытывался в Иркутске. Поскольку перед этим уже строились три дизельных бомбардировщика, то опытная иркутская машина, изготовленная с учетом использования старых заделов, стала именоваться Ер-2 № 4. С нормальным полетным весом 14100 кг, бомбардировщик развивал скорость у земли 373 км/ч, на высоте 6000 метров – 429 км/ч. Высоту в 5000 метров он набирал за 28,6 мин, практический потолок составлял 8300 метров. Государственные испытания проходили в апреле 1943 года, при этом летчики отмечали, что Ер-2 стал более прост в пилотировании на всех режимах. В то же время оставались прежние недостатки бомбардировщика: большая взлетная дистанция и малая скороподъемность. При обсуждении результатов испытаний было предложено ввести в экипаж второго пилота, усилить оборонительное вооружение. Но главное, что устраивало представителей ВВС – это большая дальность полета бомбардировщика, которая превышала 5000 км (15223).</w:t>
      </w:r>
    </w:p>
    <w:p w14:paraId="75A95ABD" w14:textId="77777777" w:rsidR="00565332" w:rsidRPr="00722885" w:rsidRDefault="00565332" w:rsidP="00722885">
      <w:pPr>
        <w:shd w:val="clear" w:color="auto" w:fill="FFFFFF"/>
        <w:spacing w:after="0" w:line="240" w:lineRule="auto"/>
        <w:jc w:val="both"/>
        <w:rPr>
          <w:rFonts w:ascii="Times New Roman" w:hAnsi="Times New Roman"/>
          <w:color w:val="000000" w:themeColor="text1"/>
          <w:sz w:val="16"/>
          <w:szCs w:val="16"/>
        </w:rPr>
      </w:pPr>
    </w:p>
    <w:p w14:paraId="7D0B0D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Зимой 1942/43 г. в зимней окраске советских самолетов произошли некоторые изменения. После введения новой камуфляжной окраски истребителей в серый цвет в два тона их перестали покрывать белыми временными красками, что было зафиксировано в ряде приказов. Других классов самолетов это не касалось. Истинной причиной такого решения, видимо, являлось стремление избавиться от неизбежной потери скорости (11989).</w:t>
      </w:r>
    </w:p>
    <w:p w14:paraId="2C1F548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8FA0A38"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3B66DE03" w14:textId="77777777" w:rsidR="00BB6316" w:rsidRPr="00722885" w:rsidRDefault="00BB6316" w:rsidP="00722885">
      <w:pPr>
        <w:pStyle w:val="Iauiue"/>
        <w:jc w:val="both"/>
        <w:rPr>
          <w:iCs/>
          <w:color w:val="000000" w:themeColor="text1"/>
          <w:sz w:val="16"/>
          <w:szCs w:val="16"/>
        </w:rPr>
      </w:pPr>
    </w:p>
    <w:p w14:paraId="745FE07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Зимой 1942 года в попытке решить проблему передвижения грузовиков по рыхлому и глубокому снегу была предложена модель грузового снегохода ГАЗ-СХ, построенного на базе грузовика ГАЗ-АА. Снегоход представлял собой обычный грузовик, поставленный вместо колес на оригинальный движитель, разработанный еще до войны русским изобретателем С.С.Неждановским. Вместо задних колес применялся движитель гусеничного типа, а передние колеса заменялись парой широких лыж. Очень быстро возникла идея поставить на подобное шасси и БА-64.</w:t>
      </w:r>
    </w:p>
    <w:p w14:paraId="1D3445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Зимой 1942 - 1943 г.г. на Горьковском автозаводе для повышения проходимости танка Т-70 по глубокому снегу была разработана новая ходовая часть, которая была установлена на одном из опытных образцов машины. В конструкции ходовой части опытного образца вместо опор</w:t>
      </w:r>
      <w:r w:rsidRPr="00722885">
        <w:rPr>
          <w:rFonts w:ascii="Times New Roman" w:hAnsi="Times New Roman"/>
          <w:color w:val="000000" w:themeColor="text1"/>
          <w:sz w:val="16"/>
          <w:szCs w:val="16"/>
        </w:rPr>
        <w:softHyphen/>
        <w:t>ных катков были использованы опорные полозья (лыжи) и установлены специальные гусеницы. Испытания показали, что движение машины обеспечивалось по любому снежному покрову. Однако большие потери на трение гусеницы о несущий полоз и жесткое его крепление приводи</w:t>
      </w:r>
      <w:r w:rsidRPr="00722885">
        <w:rPr>
          <w:rFonts w:ascii="Times New Roman" w:hAnsi="Times New Roman"/>
          <w:color w:val="000000" w:themeColor="text1"/>
          <w:sz w:val="16"/>
          <w:szCs w:val="16"/>
        </w:rPr>
        <w:softHyphen/>
        <w:t>ли к застреванию танка на неровных участках пути. Кроме того, конст</w:t>
      </w:r>
      <w:r w:rsidRPr="00722885">
        <w:rPr>
          <w:rFonts w:ascii="Times New Roman" w:hAnsi="Times New Roman"/>
          <w:color w:val="000000" w:themeColor="text1"/>
          <w:sz w:val="16"/>
          <w:szCs w:val="16"/>
        </w:rPr>
        <w:softHyphen/>
        <w:t>рукция используемого гусеничного движителя не обладала необходи</w:t>
      </w:r>
      <w:r w:rsidRPr="00722885">
        <w:rPr>
          <w:rFonts w:ascii="Times New Roman" w:hAnsi="Times New Roman"/>
          <w:color w:val="000000" w:themeColor="text1"/>
          <w:sz w:val="16"/>
          <w:szCs w:val="16"/>
        </w:rPr>
        <w:softHyphen/>
        <w:t>мой универсальностью (была непригодна для работы в любое время го</w:t>
      </w:r>
      <w:r w:rsidRPr="00722885">
        <w:rPr>
          <w:rFonts w:ascii="Times New Roman" w:hAnsi="Times New Roman"/>
          <w:color w:val="000000" w:themeColor="text1"/>
          <w:sz w:val="16"/>
          <w:szCs w:val="16"/>
        </w:rPr>
        <w:softHyphen/>
        <w:t>да). Дальнейшие работы в этом направлении были прекращены (10703).</w:t>
      </w:r>
    </w:p>
    <w:p w14:paraId="796C3EA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8ABD85E"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03987062" w14:textId="77777777" w:rsidR="00BB6316" w:rsidRPr="00722885" w:rsidRDefault="00BB6316" w:rsidP="00722885">
      <w:pPr>
        <w:pStyle w:val="Iauiue"/>
        <w:jc w:val="both"/>
        <w:rPr>
          <w:iCs/>
          <w:color w:val="000000" w:themeColor="text1"/>
          <w:sz w:val="16"/>
          <w:szCs w:val="16"/>
        </w:rPr>
      </w:pPr>
    </w:p>
    <w:p w14:paraId="0A1C181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Зимой 1942/43 года в контрнаступлении Сталинградского и Юго-Западного фронтов принимали участие Т-60. Немцы называли Т-60 "неистребимой саранчой" и вынуждены были с ними считаться (3862).</w:t>
      </w:r>
    </w:p>
    <w:p w14:paraId="72D54F45" w14:textId="77777777" w:rsidR="00BB6316" w:rsidRPr="00722885" w:rsidRDefault="00BB6316" w:rsidP="00722885">
      <w:pPr>
        <w:pStyle w:val="Iauiue"/>
        <w:jc w:val="both"/>
        <w:rPr>
          <w:color w:val="000000" w:themeColor="text1"/>
          <w:sz w:val="16"/>
          <w:szCs w:val="16"/>
        </w:rPr>
      </w:pPr>
    </w:p>
    <w:p w14:paraId="7C4F023F" w14:textId="77777777" w:rsidR="00565332" w:rsidRPr="00722885" w:rsidRDefault="00565332"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Зимой 1942 - весной 1943 года Ер-2 испытывался в Иркутске. Поскольку перед этим уже строились три дизельных бомбардировщика, то опытная иркутская машина, изготовленная с учетом использования старых заделов, стала именоваться Ер-2 № 4. С нормальным полетным весом 14100 кг, бомбардировщик развивал скорость у земли 373 км/ч, на высоте 6000 метров – 429 км/ч. Высоту в 5000 метров он набирал за 28,6 мин, практический потолок составлял 8300 метров. Государственные </w:t>
      </w:r>
      <w:r w:rsidRPr="00722885">
        <w:rPr>
          <w:rFonts w:ascii="Times New Roman" w:hAnsi="Times New Roman"/>
          <w:color w:val="000000" w:themeColor="text1"/>
          <w:sz w:val="16"/>
          <w:szCs w:val="16"/>
        </w:rPr>
        <w:lastRenderedPageBreak/>
        <w:t>испытания проходили в апреле 1943 года, при этом летчики отмечали, что Ер-2 стал более прост в пилотировании на всех режимах. В то же время оставались прежние недостатки бомбардировщика: большая взлетная дистанция и малая скороподъемность. При обсуждении результатов испытаний было предложено ввести в экипаж второго пилота, усилить оборонительное вооружение. Но главное, что устраивало представителей ВВС – это большая дальность полета бомбардировщика, которая превышала 5000 км (15223).</w:t>
      </w:r>
    </w:p>
    <w:p w14:paraId="7E163893" w14:textId="77777777" w:rsidR="00565332" w:rsidRPr="00722885" w:rsidRDefault="00565332" w:rsidP="00722885">
      <w:pPr>
        <w:shd w:val="clear" w:color="auto" w:fill="FFFFFF"/>
        <w:spacing w:after="0" w:line="240" w:lineRule="auto"/>
        <w:jc w:val="both"/>
        <w:rPr>
          <w:rFonts w:ascii="Times New Roman" w:hAnsi="Times New Roman"/>
          <w:color w:val="000000" w:themeColor="text1"/>
          <w:sz w:val="16"/>
          <w:szCs w:val="16"/>
        </w:rPr>
      </w:pPr>
    </w:p>
    <w:p w14:paraId="35854BD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55BAB132" w14:textId="77777777" w:rsidR="00BB6316" w:rsidRPr="00722885" w:rsidRDefault="00BB6316" w:rsidP="00722885">
      <w:pPr>
        <w:pStyle w:val="Iauiue"/>
        <w:jc w:val="both"/>
        <w:rPr>
          <w:iCs/>
          <w:color w:val="000000" w:themeColor="text1"/>
          <w:sz w:val="16"/>
          <w:szCs w:val="16"/>
        </w:rPr>
      </w:pPr>
    </w:p>
    <w:p w14:paraId="762CB9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Зимой 1942—1943 годов по линии американской резидентуры Д. Кэрнкрос передал в Москву данные по новому немецкому танку «Тигр». Его главная отличительная черта — толщина брони, которую наши снаряды не пробивали. Благодаря документам, полученным от Карела, советские конструкторы узнали марку стали, толщину брони и разработали более мощную модель снарядов, которые могли поражать немецкий танк.</w:t>
      </w:r>
    </w:p>
    <w:p w14:paraId="2CCDE5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эту информацию и сведения о местах базирования весной 1943 года всех эскадрилий люфтваффе в районе Курской дуги, благодаря которым советская авиация смогла уничтожить более 500 вражеских самолетов на указанных Карелом аэродромах, его наградили орденом Красного Знамени (. Порецки Э. Тайный агент Дзержинского. — М.: Современник, 1996. — 415 с.).</w:t>
      </w:r>
    </w:p>
    <w:p w14:paraId="71FCF0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Среди агентов советской разведки в США был опытный химик, который трудился на одном из заводов химического концерна «Дюпон де Немур». Он передал подробную информацию по нейлону и новейшим видам пороха. В оперативной переписке он фигурировал под псевдонимом Хват. Он не увлекался политикой и работал исключительно на материальной основе — ради денег, которые ему требовались на обучение дочери и для выплаты ссуды за купленный дом. Он получал в два раза меньше, чем хотел, но все равно продолжал торговать технологическими секретами. Работавший с ним сотрудник резидентуры С. М. Семенов и заместитель резидента по НТР Л. Р. Квасников считали, что это оптимальный вариант работы с данным информатором. «Если мы будем выплачивать агенту значительно большее вознаграждение, то он быстро построит дом, сделает необходимые накопления и прекратит сотрудничество с нами…», — утверждали они, и с их мнением полностью соглашался Центр (Постановление Правительства РФ от 22 июня 1999 г. № 665 «О Комиссии Правительства Российской Федерации по военно-промышленным вопросам» // Собрание законодательства Российской Федерации от 5 июля 1999 г., № 27 ст. 3366.).</w:t>
      </w:r>
    </w:p>
    <w:p w14:paraId="0F9403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Агент Сетер, инженер одной из ведущих компаний, выпускавшей различную радиоаппаратуру для вооруженных сил США, в том числе радары и сонары, был привлечен к сотрудничеству летом 1942 года. Очень дисциплинирован, не сорвал не одной явки, передал много секретных документов, которые представляли большой интерес для наших научно-исследовательских институтов. Ежегодно передавал по 2—3 тысячи фотолистов секретных материалов, большинство из которых получили оценки «ценный» и «весьма ценный».</w:t>
      </w:r>
    </w:p>
    <w:p w14:paraId="3C54D2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указанию Центра, в конце 1945 года работавший с ним А. Феклисов от имени советской разведки сердечно поблагодарил Сетера и законсервировал связь с ним, передав деньги на непредвиденные расходы.</w:t>
      </w:r>
    </w:p>
    <w:p w14:paraId="1D1896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Кирилл имел широкий круг знакомых среди инженерно-технического персонала и рабочих авиационной промышленности. Он сам работал на заводе, выпускавшем самолеты, и одновременно был профсоюзным активистом. Он регулярно встречался с сотрудником резидентуры А. Феклисовым и каждый раз приносил с собой в портфеле 500—600 страниц секретных материалов по авиации и реактивной технике.</w:t>
      </w:r>
    </w:p>
    <w:p w14:paraId="535D36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Кирилл прекратил сотрудничество в конце 1944 года, когда его избрали на руководящую должность в профсоюзе и он вынужден был переехать в другой город (Почтарев А. Улыбка фортуны в операции «Зебра» // Красная звезда. — 2000. — 9 сент.).</w:t>
      </w:r>
    </w:p>
    <w:p w14:paraId="3A0356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Кирилл привлек к сотрудничеству способного научного сотрудника Кордела, участвующего в конструировании по контрактам военного министерства новейшего истребителя. Он имел доступ к поступавшим в конструкторское бюро секретным научно-исследовательским работам и наставлениям по эксплуатации новейших самолетов, которые были разработаны по заказам военного ведомства на других заводах (. Почтарев А. Н. «Малыш» над Якутией // Независимое военное обозрение. — 1998. — 13 фев.).</w:t>
      </w:r>
    </w:p>
    <w:p w14:paraId="2D1C65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Кордела поступали комплектные, подробные материалы о новейших военных самолетах и зарождавшейся тогда военной технике США. В частности была получена полная документация о первом американском реактивном истребителе — бомбардировщике Р-80А «Шутинг Стар», построенном компанией «Локхид».</w:t>
      </w:r>
    </w:p>
    <w:p w14:paraId="356B9F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Кратко расскажем о том, что представляла собой эта машина. В 1943 году командование ВВС США было сильно обеспокоено появлением на вооружении у люфтваффе реактивных истребителей Me-163 и Ме-262. ВВС США сделало заказ компании «Локхид» разработать проект реактивного истребителя на основе британского двигателя Хавиланд (Халфорд) Х-1Б Гоблин. Время на разработку отводилось необычайно короткое — 180 дней. Исполнитель успешно справился с заказом и проект ХР-80 был готов всего на два дня позднее поставленного срока. Однако были проблемы с двигателем, и первый полет состоялся лишь в январе 1944 года. В феврале 1944 года был создан прототип ХР-80А с американским ТРД 1-40 «Дженерал Электрик». Первые серийные образцы поступили на вооружение в 1945 году как Р-80А «Шутинг Стар». Самолеты этой модификации принимали участие в корейской войне (1950—1953 годы) и состояли на вооружении американской армии до 1953 года (11765).</w:t>
      </w:r>
    </w:p>
    <w:p w14:paraId="7CE309B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CF850F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4D465F35" w14:textId="77777777" w:rsidR="00BB6316" w:rsidRPr="00722885" w:rsidRDefault="00BB6316" w:rsidP="00722885">
      <w:pPr>
        <w:pStyle w:val="Iauiue"/>
        <w:jc w:val="both"/>
        <w:rPr>
          <w:iCs/>
          <w:color w:val="000000" w:themeColor="text1"/>
          <w:sz w:val="16"/>
          <w:szCs w:val="16"/>
        </w:rPr>
      </w:pPr>
    </w:p>
    <w:p w14:paraId="1FBF416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ЦАГИ провел исследования причин снижения скорости и других летных качеств Ил-2 (182,241).</w:t>
      </w:r>
    </w:p>
    <w:p w14:paraId="073DF640" w14:textId="77777777" w:rsidR="00BB6316" w:rsidRPr="00722885" w:rsidRDefault="00BB6316" w:rsidP="00722885">
      <w:pPr>
        <w:pStyle w:val="Iauiue"/>
        <w:jc w:val="both"/>
        <w:rPr>
          <w:color w:val="000000" w:themeColor="text1"/>
          <w:sz w:val="16"/>
          <w:szCs w:val="16"/>
        </w:rPr>
      </w:pPr>
    </w:p>
    <w:p w14:paraId="6F1CAE3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в ОКБ С.В.И. был спроектирован одноместный бронированный МШ с АМ-38, главной особенностью которого был хороший обзор вперед-вниз для пилота (24 гр. вместо 8 гр. у Ил-2) за счет установки двигателя в средней части самолета (5,133).</w:t>
      </w:r>
    </w:p>
    <w:p w14:paraId="3A538FCD" w14:textId="77777777" w:rsidR="00BB6316" w:rsidRPr="00722885" w:rsidRDefault="00BB6316" w:rsidP="00722885">
      <w:pPr>
        <w:pStyle w:val="Iauiue"/>
        <w:jc w:val="both"/>
        <w:rPr>
          <w:color w:val="000000" w:themeColor="text1"/>
          <w:sz w:val="16"/>
          <w:szCs w:val="16"/>
        </w:rPr>
      </w:pPr>
    </w:p>
    <w:p w14:paraId="32C08B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в 611-м шап силами технического состава полка была отработана уста</w:t>
      </w:r>
      <w:r w:rsidRPr="00722885">
        <w:rPr>
          <w:rFonts w:ascii="Times New Roman" w:hAnsi="Times New Roman"/>
          <w:color w:val="000000" w:themeColor="text1"/>
          <w:sz w:val="16"/>
          <w:szCs w:val="16"/>
        </w:rPr>
        <w:softHyphen/>
        <w:t>новка на Ил-2 двух фотоаппа</w:t>
      </w:r>
      <w:r w:rsidRPr="00722885">
        <w:rPr>
          <w:rFonts w:ascii="Times New Roman" w:hAnsi="Times New Roman"/>
          <w:color w:val="000000" w:themeColor="text1"/>
          <w:sz w:val="16"/>
          <w:szCs w:val="16"/>
        </w:rPr>
        <w:softHyphen/>
        <w:t>ратов типа АФА-И в гондолах шасси объективом вперед, обеспечивавших перспектив</w:t>
      </w:r>
      <w:r w:rsidRPr="00722885">
        <w:rPr>
          <w:rFonts w:ascii="Times New Roman" w:hAnsi="Times New Roman"/>
          <w:color w:val="000000" w:themeColor="text1"/>
          <w:sz w:val="16"/>
          <w:szCs w:val="16"/>
        </w:rPr>
        <w:softHyphen/>
        <w:t>ную фотосъемку с высоты 25—50 м. Установка получила хороший отзыв летного соста</w:t>
      </w:r>
      <w:r w:rsidRPr="00722885">
        <w:rPr>
          <w:rFonts w:ascii="Times New Roman" w:hAnsi="Times New Roman"/>
          <w:color w:val="000000" w:themeColor="text1"/>
          <w:sz w:val="16"/>
          <w:szCs w:val="16"/>
        </w:rPr>
        <w:softHyphen/>
        <w:t>ва и в дальнейшем была при</w:t>
      </w:r>
      <w:r w:rsidRPr="00722885">
        <w:rPr>
          <w:rFonts w:ascii="Times New Roman" w:hAnsi="Times New Roman"/>
          <w:color w:val="000000" w:themeColor="text1"/>
          <w:sz w:val="16"/>
          <w:szCs w:val="16"/>
        </w:rPr>
        <w:softHyphen/>
        <w:t>нята к внедрению в частях Г ВВСКА (11474,393).</w:t>
      </w:r>
    </w:p>
    <w:p w14:paraId="1FA195E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500B86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C 1942 в НИИ ВВС была разработана методика выборочных контрольных испытаний серийных самолетов в полете (3-5 полетов), которые дополняли военную приемку. Результаты докладывались руководству завода, ЛИИ и НКАП (173,321).</w:t>
      </w:r>
    </w:p>
    <w:p w14:paraId="57AE259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процессе боевой эксплуатации выявились новые задачи испытаний (173,322):</w:t>
      </w:r>
    </w:p>
    <w:p w14:paraId="4EE4450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специалисты ЛИИ П.Л.Ерухимович и И.К.Жижелев исследовали причины массового отказа приборов, систем и элементов бортового оборудования и пришли к выводу, что это результат амортизации шасси, оптимизированной для бетонных, а не грунтовых аэродромов. Доработали машины на фронте изменив количество жидкости и давление в стойках;</w:t>
      </w:r>
    </w:p>
    <w:p w14:paraId="2639FCF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Л-и Н.В.Адамович продемонстрировал разрушение верхней обшивки крыла Ил-2 в условиях испытательного полета из-за плохого качества проклеивания обшивки к каркасу (173,322).</w:t>
      </w:r>
    </w:p>
    <w:p w14:paraId="19AA18CD" w14:textId="77777777" w:rsidR="00BB6316" w:rsidRPr="00722885" w:rsidRDefault="00BB6316" w:rsidP="00722885">
      <w:pPr>
        <w:pStyle w:val="Iauiue"/>
        <w:jc w:val="both"/>
        <w:rPr>
          <w:color w:val="000000" w:themeColor="text1"/>
          <w:sz w:val="16"/>
          <w:szCs w:val="16"/>
        </w:rPr>
      </w:pPr>
    </w:p>
    <w:p w14:paraId="2D86232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 для работы с раскисших в весеннюю распутицу аэродромов разрабатывался вариант Ил-2 АМ-38 с гусеничным шас</w:t>
      </w:r>
      <w:r w:rsidRPr="00722885">
        <w:rPr>
          <w:color w:val="000000" w:themeColor="text1"/>
          <w:sz w:val="16"/>
          <w:szCs w:val="16"/>
        </w:rPr>
        <w:softHyphen/>
        <w:t>си Чечубалина. Известно, что такой са</w:t>
      </w:r>
      <w:r w:rsidRPr="00722885">
        <w:rPr>
          <w:color w:val="000000" w:themeColor="text1"/>
          <w:sz w:val="16"/>
          <w:szCs w:val="16"/>
        </w:rPr>
        <w:softHyphen/>
        <w:t>молет строился, но о завершении этих работ сведений не обнаружено (6467).</w:t>
      </w:r>
    </w:p>
    <w:p w14:paraId="0DFE5460" w14:textId="77777777" w:rsidR="00BB6316" w:rsidRPr="00722885" w:rsidRDefault="00BB6316" w:rsidP="00722885">
      <w:pPr>
        <w:pStyle w:val="Iauiue"/>
        <w:jc w:val="both"/>
        <w:rPr>
          <w:color w:val="000000" w:themeColor="text1"/>
          <w:sz w:val="16"/>
          <w:szCs w:val="16"/>
        </w:rPr>
      </w:pPr>
    </w:p>
    <w:p w14:paraId="70F7A0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по опыту штурмовых частей и соединений 3-й воздушной армии одна вынужденная посадка самолетов Ил-2 приходилась на 136 ч налета, в 1943 г. - на 167 ч, в 1944 г. - на 237 ч.</w:t>
      </w:r>
    </w:p>
    <w:p w14:paraId="66E355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строевых частях эксплуатировалось значительное число самолетов Ил-2, совершивших в ходе боевой работы по 3-4 и более посадок на фюзеляж.</w:t>
      </w:r>
    </w:p>
    <w:p w14:paraId="3A452C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Ремонт и восстановление Ил-2 после боевых повреждений или посадки на фюзеляж серьезных затруднений не вызывал. Конструкция самолета позволяла выполнять скоростные ремонты средствами полевой ремонтной сети ПАРМ-1 и ПАРМ-3. При этом ремонт был возможен для всех видов повреждения самолета Ил-2 за исключением лонжеронов центроплана и крыла в наиболее нагруженных местах, да и то это объяснялось лишь отсутствием профилей из специальных сталей и стойкого режущего инструмента. Единственная сложность обычно была связана с ремонтом бронекорзины маслорадиатора и ее арматуры севшего на фюзеляж Ил-2, так как экипажу или техническому составу эвакуационной команды было сложно добраться до крана слива масла и охлаждающей жидкости — без подъема самолета или специальных подкопов под броню бронекапоты открыть было нельзя. Зимой эти работы были связаны с большим риском «заморозить» мотор. Кроме этого, всякая деформация полок лонжеронов надолго выводила самолет из строя или приводила к его списанию, поскольку выправить лонжерон в полевых условиях было невозможно. Имелись затруднения при ремонте «ребра атаки 8-й нервюры до консоли, из-за отсутствия подходов к заклепкам при клепальных работах по ремонту обшивки».</w:t>
      </w:r>
    </w:p>
    <w:p w14:paraId="0AB9B0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следует из документов инженерно-авиационной службы ВВС КА, на единицу ремонта самолетов Ил-2 в среднем затрачивалось 35 человеко-часов на мелкий ремонт и до 1100 человеко-часов на аварийный (11921).</w:t>
      </w:r>
    </w:p>
    <w:p w14:paraId="10C3232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928FF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проявились следующие эксплуатационные недостатки Ил-2:</w:t>
      </w:r>
    </w:p>
    <w:p w14:paraId="24DA5F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феврале 1942 г. из 20 Ил-2 производства завода № 1, полученных 1-й запасной авиабригадой, на всех машинах имелись обрывы заклепок и обшивки по заклепочному шву передней кромки элерона, на двух самолетах из обоймы выпали подшипники крепления элеронов, на одном вырвало весовую компенсацию элерона вместе с обшивкой, а на другом оборвались заклепки в месте крепления обшивки к лонжерону элерона. Более того, 22 февраля при взлете произошел обрыв полоза лыжи от кабана крепления к амортизационной стойке шасси по причине разрушения лонжеронов полоза лыжи. При осмотре остальных 19 Ил-2 обнаружены трещины на обшивке лыж и расшатывание кабана в точке крепления его к лонжеронам полоза лыж (лыжи не убирающиеся). Характерно, что все эти дефекты оказались на самолетах, имеющих незначительный налет - всего 3-16 ч. (11921)</w:t>
      </w:r>
    </w:p>
    <w:p w14:paraId="689BA4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февраля 1942 Начальник Инспекции ВВС КА полковник В.И. Сталин в своем докладе от командующему ВВС генерал-лейтенанту П.Ф. Жигареву и секретарю ЦК ВКП(б) Г.М. Маленкову указывал: «По существу самолеты завода № 1 до сих пор отправлять на фронт по их низким качествам невозможно и поэтому они пока идут, как учебные, в запасные полки. ... Самолеты выпускаются с такими недоделками, что они не только негодны на фронт, а даже в запасных полках почти не используются. ... В целом самолеты завода № 1 не гарантируют безопасность полетов, вследствие чего в данное время на них временно приостановлены полеты».</w:t>
      </w:r>
    </w:p>
    <w:p w14:paraId="35EF9F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отдела технической эксплуатации 4-й ВА военинженер 1-го ранга Лебедев докладывал, что прибывшие в апреле-мае 1942 г. на пополнение авиаполков армии самолеты Ил-2 производства заводов №1 и №18 имели волнистую поверхность фюзеляжа и значительные неровности в месте сочленения киля самолета с фюзеляжем. Все самолеты имели максимальные скорости ниже технических данных на 30-50 км/ч, худшую маневренность и тяжелое управление.</w:t>
      </w:r>
    </w:p>
    <w:p w14:paraId="44CA4C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Окраска деревянных частей штурмовиков не обеспечивала защиту от проникновения влаги в шпон. В результате с наступлением в середине мая теплой погоды, из-за резкого перепада суточной температуры воздуха произошло «разрушение клеевых швов шпангоутов и килевых стоек с фюзеляжем».</w:t>
      </w:r>
    </w:p>
    <w:p w14:paraId="1FF52D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Воздушная система поступающих в части самолетов Ил-2 (шасси, щитки, перезарядка авиапушек, система запуска) нещадно пропускала воздух. Как отмечается в документах, «самое больное место самолета - воздушная система — травит». Вследствие высыхания кожаных манжет уплотнителей травление воздуха в летнее время наблюдалось уже через 15-20 суток после монтажа. Техникам приходилось заливать в цилиндры воздушной системы: зимой - спиртоглицериновую смесь, а летом - смесь глицерина с веретенным маслом, по 25-30 грамм такой смеси в каждый цилиндр. Из-за «вибрации трубопровода и плохого монтажа» все ниппельные соединения травили воздух. В результате через каждые 10-15 ч необходимо «производить перетяжку всех ниппельных соединений, а также заменять сальники или их подтяжку».</w:t>
      </w:r>
    </w:p>
    <w:p w14:paraId="1BCF5F7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отчете старшего инженера 212-й штурмовой авиадивизии указывается, что «щитки на самолетах 2-й серии завода № 30 не срабатывают в воздухе даже при скорости 190 км/ч». Причина: «сильно затянуты подшипники труб».</w:t>
      </w:r>
    </w:p>
    <w:p w14:paraId="7D8D19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Летный состав жаловался на излишне тяжелое управление штурмовиками 30-го завода. Этот недостаток обуславливался некачественным монтажом проводки на заводе.</w:t>
      </w:r>
    </w:p>
    <w:p w14:paraId="290E12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плохой подгонки верхних бронелистов капота мотора (несовпадение отверстий в броне и бронекаркасе под бронешурупы) их монтаж требовал значительных физических усилий 2-3 человек. Установка брони, «особенно при первых регламентных работах забирает больше времени, чем выполнение самих регламентных работ на моторе». Инженеры полков докладывали, что «некоторые плиты после осмотра головок цилиндров ставятся в течение целого дня».</w:t>
      </w:r>
    </w:p>
    <w:p w14:paraId="1BF8D8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Часто ломалась проводка регулятора постоянного давления к бензопомпе: «коротки и жестки трубки, много изгибов». Предлагалось перейти на латунные или медные отожженные.</w:t>
      </w:r>
    </w:p>
    <w:p w14:paraId="34A7CD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 большинства выпускаемых самолетов текли водорадиаторы, тогда как их замена была «связана с большой разборкой самолетов».</w:t>
      </w:r>
    </w:p>
    <w:p w14:paraId="248C1E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Авиагоризонтом на самолетах завода № 30 пользоваться было нельзя, так как «авиагоризонт - ходит».</w:t>
      </w:r>
    </w:p>
    <w:p w14:paraId="2E6E9A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Систематически выходили из строя термочувствительные элементы приемников электрических термометров воды и масла (ТМЭ-6). Имели место массовые отказы бензодатчиков БЭ-499, электрических тахометров ТЭ-22, трехстрелочных индикаторов ТИ-40 и пусковых катушек зажигания.</w:t>
      </w:r>
    </w:p>
    <w:p w14:paraId="6432F7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Качество радиосвязи на Ил-2 было откровенно плохим: в ларингофонах стоял невообразимый треск и шум, дальность связи с наземной радиостанцией (при полете на средних высотах — до 40-50 км, на малых - до 25-30 км) не соответствовала тактическим условиям боевого применения штурмовика и «не гарантировала надежного управления в воздухе».</w:t>
      </w:r>
    </w:p>
    <w:p w14:paraId="125AA8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указывалось в документах штурмовых авиаполков и дивизий, «несмотря на привитую любовь летного состава к средствам связи по радио и большое старание обслуживающего инженерно-технического состава, слышимость по РСИ-4 слишком ограниченная: команды по радио слышат экипажи, находящиеся вблизи командира, а удаленные свыше 800 м, уже команд в большинстве не слышат из-за шума и невнятного треска». Неразборчивость принимаемых как на земле, так и в воздухе «команд и информации, вследствие их сильных искажений, вызывает необходимость неоднократных повторений и запросов, что нервирует летчика в воздухе, излишне загружает эфир и нередко приводит к нарушениям скрытого управления».</w:t>
      </w:r>
    </w:p>
    <w:p w14:paraId="3B0E8F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частота самолетной радиостанции РСИ-4 с прогревом менялась. Причем изменение частоты передатчика и приемника было неодинаковым, как по величине, так и по знаку. В лучшем случае «уход» частоты достигал 1,5 фиксированной длины волны, в худшем случае - 3. По этой причине летчик в полете был «вынужден непрерывно производить подстройку своего приемника, что в боевой обстановке крайне нежелательно, а при бреющем полете - выполнить невозможно».</w:t>
      </w:r>
    </w:p>
    <w:p w14:paraId="38AF2B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основным причинам низкого качества радиосвязи на самолете Ил-2 относили, прежде всего, недостаточно эффективную экранировку системы зажигания мотора, абсолютное отсутствие звуковой изоляции кабины летчика, а также «конструктивные недостатки деталей приемников и передатчиков (изменения сопротивлений, емкостей и самоиндукции при нагреве и от вибрации) и нестандартность параметров радиоламп».</w:t>
      </w:r>
    </w:p>
    <w:p w14:paraId="33239A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Учитывая, что в ходе боевого вылета было необходимо «держать непрерывную связь с аэродромом для своевременного перенацеливания экипажей, информации о воздушной обстановке, получения разведданных, получения метеоданных и т.д.», специалистами по радиосвязному оборудованию и летным составом делался вывод о непригодности РСИ-4 для использования на самолетах штурмовой авиации. «При наличии радиостанции РСИ-4 подобные задачи практически неразрешимы», - указывалось в одном из отчетов главного инженера 15-й воздушной армии генерала 3.А. Иоффе.</w:t>
      </w:r>
    </w:p>
    <w:p w14:paraId="77F655C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этому следует добавить, что моторы АМ-38 имели также много производственных дефектов и положенного ресурса не вырабатывали. Преждевременный выход их из строя приводил к быстрому накапливанию неисправной материальной части на фронте, срывал боевую работу и увеличивал аварийность.</w:t>
      </w:r>
    </w:p>
    <w:p w14:paraId="4045B3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июле 1942 г. начальник Управления технической эксплуатации ВВС КА генерал-майор Ф.Н. Шульговский докладывал главному инженеру ВВС генерал-лейтенанту А.К. Репину, что за пять месяцев 1942 г. вышло из строя 97 моторов АМ-38. В среднем моторы работают по 20-50 ч, и только небольшое количество вырабатывают установленный ресурс.</w:t>
      </w:r>
    </w:p>
    <w:p w14:paraId="4CF2A1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24 каждый месяц предъявлял моторы АМ-38 на 100-часовые испытания, но ни один мотор этих испытаний не выдержал (главным образом по прогару и обрыву клапанов), «хотя срок службы мотору установлен 150 часов». Лишь один серийный АМ-38 отработал на стенде 72 ч.</w:t>
      </w:r>
    </w:p>
    <w:p w14:paraId="1330A3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январе месяце 40% моторов были сняты с контрольных испытаний по 73 различным дефектам: некачественное литье, плохая обработка и монтаж и т.д. Массовыми дефектами АМ-38 являлись прогар и трещины головок блоков цилиндров (течь из-под футорок свечных отверстий и в перемычках между клапанами) и поломка клапанных пружин. Довольно частыми были обрыв клапанов, преждевременный износ поршневых колец, появление течи через нижнее уплотнение (вода в картере), прогар пусковых клапанов, биение масла из суфлера, а также заклинение мотора и разрушение коренных подшипников.</w:t>
      </w:r>
    </w:p>
    <w:p w14:paraId="4BEE7D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1 мая по вине моторов АМ-38 в частях ВВС КА произошло 11 катастроф и аварий. В 1-й запасной авиабригаде имелось 12 случаев обрыва шатунов, два случая обрыва шпилек шатунов, шесть случаев заклинения кривошипно-шатунного механизма, 28 случаев обрыва штоков клапанов, 15 случаев трещин блока цилиндров мотора и других дефектов. Это привело к двум катастрофам и двум авариям самолетов, 22 авариям моторов и 37 случаям потери боеготовности самолетов на срок более суток. Причем все случаи произошли на моторах АМ-38 наработавших от 20 до 80 ч.</w:t>
      </w:r>
    </w:p>
    <w:p w14:paraId="175B36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отчетах инженеров полков отмечалась повышенная чувствительность мотора к перегревам по маслу, «тогда как в боевых условиях требуется перекрывать заслонку над целью, иногда на длительное время».</w:t>
      </w:r>
    </w:p>
    <w:p w14:paraId="2141AB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Наблюдалось коробление клапанов и трещины головок блоков цилиндров мотора АМ-38. Одной из причин этого являлось резкое охлаждение мотора в процессе его остановки в момент выключения зажигания, а также злоупотребления работой мотора на взлетном режиме. Борьба с этим явлением велась путем обучения летного состава (в основном молодого) правильной эксплуатации мотора.</w:t>
      </w:r>
    </w:p>
    <w:p w14:paraId="6F5D81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Положение усугублялось отсутствием в частях действующей армии практического навыка ремонта моторов АМ-38 и специального инструмента.</w:t>
      </w:r>
    </w:p>
    <w:p w14:paraId="7142CA7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командующий ВВС Калининского фронта генерал М.М. Громов 4 марта 1942 г. докладывал в штаб ВВС КА: «Несмотря на принятые меры по форсированию ремонта неисправных самолетов, в результате которых количественные показатели за отчетные пятидневки неуклонно растут, в настоящий момент еще простаивает значительное количество неисправных самолетов. ...Анализ простоев показывает, что большой процент их слагается в связи с отсутствием авиационных моторов.</w:t>
      </w:r>
    </w:p>
    <w:p w14:paraId="2A5D19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...Приданными фронту 116, 123, 204 стационарными мастерскими обеспечить потребность, особенно по основным типам моторов М-105 и АМ-38, в марте месяце не представляется возможным.....Ремонт моторов АМ-38 не освоен и инструмента по этому типу мотора нет».</w:t>
      </w:r>
    </w:p>
    <w:p w14:paraId="50A85C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Массовые аварии моторов имели место не только в строю, но и на самолетных и моторных заводах НКАП. Основные дефекты были те же, что и в строевых частях.</w:t>
      </w:r>
    </w:p>
    <w:p w14:paraId="65F477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Здесь следует сказать, что заводы НКАП стабильно срывали планы поставок в оборотный ремонтный фонд ВВС и строевые части моторов и групповых комплектов запасных частей к ним и к самолетам.</w:t>
      </w:r>
    </w:p>
    <w:p w14:paraId="6E8AEC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Согласно Постановлению ГКО от 23 апреля 1942 г. наркомат авиапромышленности обязывался поставить в оборотный фонд ВВС КА к концу апреля 107 моторов, но поставил только 85, в мае - 170 моторов, а по факту — 86 моторов.</w:t>
      </w:r>
    </w:p>
    <w:p w14:paraId="62AF31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восстановления ремонтного фонда авиамоторов НКАП должен был к 1 мая 1942 г. направить в части ВВС 144 групповых комплектов запасных частей к моторам, однако поставил только 22 комплекта.</w:t>
      </w:r>
    </w:p>
    <w:p w14:paraId="76084F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По этим причинам ремонтный фонд самолетов и моторов продолжал оставаться чрезмерно большим. На 5 июня для восстановления материальной части на фронтах не хватало 728 моторов, в том числе 178 моторов АМ-38. Это серьезно затрудняло работу боевых частей, «так как отсутствие оборотного фонда моторов и групп комплектов к ним не дает возможности восстанавливать материальную часть».</w:t>
      </w:r>
    </w:p>
    <w:p w14:paraId="37D197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Уже к началу июля на фронтах и в запасных авиаполках насчитывалось 579 исправных современных самолетов без моторов и 122 самолета без винтов, а также 1364 моторов, требующих ремонта.</w:t>
      </w:r>
    </w:p>
    <w:p w14:paraId="7EB118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приведения моторного парка ВВС КА в порядок генерал Шульговский считал необходимым форсировать выпуск остродефицитных запчастей для восстановления неисправных моторов: «То, что дает НКАП по запасным моторным частям, ничтожно мало и, безусловно, не позволит решить задачу введения в строй самолетов. Для бесперебойной боевой работы нужно иметь хотя бы минимальный оборотный фонд исправных моторов, которого ВВС КА не имеют».</w:t>
      </w:r>
    </w:p>
    <w:p w14:paraId="6AFC49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Положение осложнялось еще и резким понижением качества горюче-смазочных материалов, поставляемых заводами наркомата нефтяной промышленности. Например, в ходе проверок качества авиабензина в 4-й воздушной армии в ноябре и декабре 1942 г. оказалось, что октановое число бензина марки Б-78 на самом деле не превышает 71-72. Главный инженер армии военинженер 1-го ранга П.В. Родимцев был вынужден отдать распоряжение снизить наддув на моторах, что привело к некоторому ухудшению летных качеств самолета Ил-2. Одновременно резко вырос процент преждевременного выхода из строя свечей зажигания. На моторах АМ-38 свечи требовали замены уже через 5-10 ч работы.</w:t>
      </w:r>
    </w:p>
    <w:p w14:paraId="6B9811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Анализ документов показывает, что низкое качество сборки штурмовиков Ил-2 обуславливалось не только массовым приходом на авиазаводы малоквалифицированной рабочей силы, но и отсутствием военной приемки в заготовительных и агрегатно-механических цехах самолетостроительных заводов и на заводах-поставщиках комплектующих изделий. По этой причине военные представители не могли оказать существенного влияния на качество собранных самолетов, которое закладывалось на начальных стадиях производства. Военпреды осуществляли только окончательную приемку уже собранных штурмовиков. Летчики военных представительств работали в одном графике с заводскими летчиками и контрольные переоблеты самолетов после заводских летчиков не производили. Кроме того, самолеты проходили сдаточные испытания по сильно сокращенной программе и почти полностью были прекращены испытания самолетов головных серий. На авиазаводах отсутствовал правильный анализ и определение истинных причин летных происшествий. В результате получалось так, что новые дефекты серийного производства наслаивались на старые, до сих пор не устраненные.</w:t>
      </w:r>
    </w:p>
    <w:p w14:paraId="43E1D1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следствие многие Ил-2 до фронта просто не долетали - терпели аварии и катастрофы при перегоне с мест формирования полков к фронту, а на самих фронтах вследствие отсутствия в строевых частях запасных частей, расходных материалов, моторов, воздушных винтов и других агрегатов процент неисправных Ил-2 достигал угрожающих значений - 40-50% и более.</w:t>
      </w:r>
    </w:p>
    <w:p w14:paraId="4933BC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поводу понижения качества выпускаемых НКАП моторов и самолетов в 1-м полугодии 1942 г. помощник начальника Инспекции ВВС КА по эксплуатации и ремонту инженер-полковник Бугров докладывал полковнику В.И. Сталину: «Основным недостатком в работе заводов НКАП является погоня за количеством выпускаемой продукции, и совершенно забыто качество. ...Руководство Наркомата Авиапрома и самих авиазаводов сосредоточивает все свое внимание на увеличении выпуска продукции, тогда как вопросы качества остаются в стороне, устранением дефектов на заводах занимаются мало, дефекты принимают массовый характер, войсковые части Действующей армии получают недоброкачественную боевую технику, боеспособность частей снижается».</w:t>
      </w:r>
    </w:p>
    <w:p w14:paraId="60C69D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Несмотря на многочисленные рекламации из строевых частей, требования заказывающих и инспектирующих органов ВВС КА, наркоматом авиапромышленности и заводами в практическом плане по улучшению качества выпускаемых самолетов Ил-2 и моторов АМ-38 почти ничего не делалось: «Заводы НКАП и конструктора самолетов и моторов очень медленно и неохотно реагируют на запросы частей по устранению массовых дефектов выявленных в процессе эксплуатации».</w:t>
      </w:r>
    </w:p>
    <w:p w14:paraId="3E9BF0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Генерал Шульговский отмечал, что все основные дефекты мотора АМ-38 давно известны заводу № 24 и НКАП, «но по их устранению никаких реальных мер до сих пор не принято и материальная часть самолетов из-за отказа моторов в запасных авиабригадах, действующих авиаполках и школах ВВС ежедневно выходит из строя».</w:t>
      </w:r>
    </w:p>
    <w:p w14:paraId="7F71EB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Например, еще в сентябре 1941 г. в частях 1-й заб был выявлен аварийный массовый дефект обрыва шатунов и заклинения коленчатого вала. Специальной комиссией было установлено, что причиной этого дефекта является масляное голодание. Для его устранения требовалось увеличить емкость масляной системы на самолете Ил-2. Однако никаких серьезных изменений масляной системы, направленных на повышение эффективности ее работы, сделано не было. Лишь в середине лета 1942 г. был увеличен объем маслобаков. В результате обрывы шатунов на моторах АМ-38 продолжались, а температурный режим в полете держался на максимально допустимом уровне - «вода и масло на верхних пределах».</w:t>
      </w:r>
    </w:p>
    <w:p w14:paraId="506261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Главное управление ВВС КА в начале 1941 г. на основе опыта боевого использования английской и итальянской авиации в Ливии поставило перед НКАП задачу «о срочном проектировании пылеулавливателей и испытания их». Но наркомат авиапромышленности так ничего и не сделал. Серийное производство воздухоочистительных фильтров в воздушном канале мотора на всасывании для боевых самолетов налажено не было.</w:t>
      </w:r>
    </w:p>
    <w:p w14:paraId="694C43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Между тем отсутствие на Ил-2 воздушного фильтра приводило к тому, что при интенсивной эксплуатации с полевых аэродромов аэродромная пыль почти беспрепятственно проникала в карбюратор, нагнетатель и цилиндры мотора. Смешиваясь с моторным маслом, пыль образовывала абразивную наждачную массу, царапающую, задирающую зеркальную поверхность цилиндров и поршневых колец. Поршневые кольца и цилиндры изнашивались буквально за 10-15 ч работы. Моторы начинали дымить и выходили из строя, а самолеты вставали на ремонт.</w:t>
      </w:r>
    </w:p>
    <w:p w14:paraId="2DCF66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Только в 1-й запасной авиабригаде полковника А.И. Подольского в июне 1942 г. по этой причине «на прикол» встали 250 Ил-2.</w:t>
      </w:r>
    </w:p>
    <w:p w14:paraId="089669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Москва категорически запретила полеты на штурмовиках бригады: «...полеты на Ил-2 в запасных полках прекратить, заводу № 24 в кратчайший срок отремонтировать или заменить вышедшие из строя моторы...» И это тогда, когда на фронтах каждый бронированный Ил-2 был на счету.</w:t>
      </w:r>
    </w:p>
    <w:p w14:paraId="0D5964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чести моторо- и авиастроителей, они быстро справились с поставленной задачей. Работая круглосуточно, заводские конструкторы под руководством профессора В.И. Поликовского в считанные дни разработали опытный образец воздушного фильтра, который успешно прошел летные испытания, и стал устанавливаться на всасывающий патрубок мотора всех серийных Ил-2.</w:t>
      </w:r>
    </w:p>
    <w:p w14:paraId="3980EE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Открывание и закрывание створок фильтра производилось механизмом при помощи троса, связанного с правой стойкой шасси.</w:t>
      </w:r>
    </w:p>
    <w:p w14:paraId="223FE7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Когда шасси выпущено, створки были плотно закрыты. В этом случае мотор засасывал воздух через сетки фильтра. При подъеме шасси входное отверстие сопла открывалось, и мотор засасывал воздух через открытое отверстие.</w:t>
      </w:r>
    </w:p>
    <w:p w14:paraId="08A707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самолетах 1-й заб были перебраны моторы и смонтированы воздушные фильтры. Одновременно дорабатывался и правый центроплан самолета с целью укрепления места установки фильтра и кронштейнов в крыле под тросовую проводку управления створками фильтра. Эти работы специальные заводские бригады продолжили на фронте.</w:t>
      </w:r>
    </w:p>
    <w:p w14:paraId="0AE6E3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Справедливости ради, следует сказать и о том, что одной из причин отказов материальной части и летных происшествий Ил-2, помимо конструктивных и производственных недостатков самолета, мотора и вооружения, являлась «неграмотная эксплуатация матчасти техническим и летным составом», а также недостатки в организации инженерно-авиационной службы в строевых частях.</w:t>
      </w:r>
    </w:p>
    <w:p w14:paraId="56B8B3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Действительно, инженерно-авиационная служба частей и соединений к этому времени почти на 90% была укомплектована техническим составом без специального образования, не имевшего ни достаточного опыта, ни глубоких знаний правильного обслуживания и ремонта неисправностей и боевых повреждений современных боевых самолетов, оснащенных моторами жидкостного охлаждения. Дело в том, что их переподготовка на новых типах самолетов после призыва в армию из запаса практически не проводилась. В то же время непосредственно в строевых частях «ощущалась острая нехватка инструкций, наставлений и технических описаний, как в количественном, так и в качественном отношении».</w:t>
      </w:r>
    </w:p>
    <w:p w14:paraId="06D748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Вследствие этого боевая техника вполне успешно «калечилась» на своих аэродромах без «помощи» противника.</w:t>
      </w:r>
    </w:p>
    <w:p w14:paraId="0C07D5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старший инженер 225-й шад инженер-майор Бурцев в одном из своих докладов отмечал: «Технический состав, прибывающий из ЗАПов и школ, материальную часть самолетов и моторов знает плохо, вопросов эксплуатации совсем не знает. Руководящему составу частей одновременно с боевой работой пришлось учить технический состав эксплуатации материальной части».</w:t>
      </w:r>
    </w:p>
    <w:p w14:paraId="238C7A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Если процент отказов в частях дивизии по вине летного и технического состава в период с мая по июль 1942 г. не превышал 2%, то с прибытием в августе 1942 г. молодого технического состава процент отказов возрос до 5% и только в январе 1943 г. понизился до среднестатистических 2,1%.</w:t>
      </w:r>
    </w:p>
    <w:p w14:paraId="5F5584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12 месяцев, начиная с мая 1942 г., в частях дивизии произошло 85 случаев отказов материальной части и летных происшествий самолетов Ил-2, связанных с человеческим фактором. Из этого числа 55 случаев по причине неграмотной эксплуатации матчасти техническим и летным составом, 25 - из-за халатного отношения к эксплуатации матчасти, и 5 случаев - вследствие плохой организации при подготовке к боевым вылетам.</w:t>
      </w:r>
    </w:p>
    <w:p w14:paraId="6EC66D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Проверка знаний летного и технического состава материальной части и тактики боевого применения Ил-2 в запасных и маршевых авиаполках, проведенная в декабре 1942 г. по приказу командующего ВВС КА, показала, что их подготовка оставляет желать много лучшего. Молодой летно-технический состав имел «нетвердое знание основных тактических и эксплуатационных требований новой материальной части...»</w:t>
      </w:r>
    </w:p>
    <w:p w14:paraId="4D53F2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Чрезвычайно плохо обстояли дела с учетом аварий, катастроф и поломок матчасти. Приказ наркома обороны о «непременном расследовании каждого случая аварии самолетов» фактически не выполнялся. Даже учет материальной части был поставлен плохо.</w:t>
      </w:r>
    </w:p>
    <w:p w14:paraId="2880AA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Полевой ремонт самолетов Ил-2, поврежденных в бою и в процессе эксплуатации, производился крайне небрежно, без соблюдения правил сохранения аэродинамики самолета: винты плохо выправлялись и не балансировались, щитки крыла, а также зализы и лючки плохо подгонялись, вмятины не исправлялись, покраска не возобновлялась. Имелись случаи грубейшего нарушения инструкций и указаний по проведению ремонтов и устранению дефектов самолета Ил-2, когда на отремонтированном самолете в полете отваливались плоскости.</w:t>
      </w:r>
    </w:p>
    <w:p w14:paraId="6B1643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дальнейшем по всем вопросам улучшения качества выпуска самолетов и моторов заводами НКАП, подготовки летного и технического состава ВВС КА в запасных полках и авиационных школах, организации инженерно-авиационной службы и войсковой ремонтной сети и т.д. вышли несколько постановлений ГКО, ряд приказов командующего ВВС КА и указания главного инженера ВВС. В частности, начиная с 4-го квартала 1942 г., заводам НКАП были установлены ежеквартальные задания на поставку для ВВС КА запасных частей, различных расходных материалов, инструмента, авиамоторов, колес шасси, воздушных винтов и других агрегатов, групповых комплектов к самолетам и моторам т.д.</w:t>
      </w:r>
    </w:p>
    <w:p w14:paraId="503AB2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Тем не менее, несмотря на эти мероприятия, положение с боеготовностью материальной части на фронтах продолжало оставаться весьма напряженным.</w:t>
      </w:r>
    </w:p>
    <w:p w14:paraId="76E83C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Следует сказать, что командованию ВВС тогда явно было не до серьезной борьбы с наркоматом авиационной промышленности за качество поставляемой на фронт авиатехники. В сложившейся обстановке на фронте требовалось в первую очередь решить количественную проблему - обеспечить восполнение убыли матчасти и летного состава и накопить достаточные резервы для проведения операций.</w:t>
      </w:r>
    </w:p>
    <w:p w14:paraId="46790D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«Гром грянул» весной 1943 г., когда негативные тенденции с боеспособностью материальной части в ВВС КА достигли таких размеров, что поставили под угрозу проведение операций летней кампании.</w:t>
      </w:r>
    </w:p>
    <w:p w14:paraId="2CFE51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Техническое состояние поступающих в это время с авиазаводов самолетов Ил-2 было таково, что часть из них сразу же направлялась в ремонтные органы для «приведения в летное состояние». Непосредственно в частях технический состав затрачивал в среднем по 2-3 дня на доработку вновь прибывших штурмовиков.</w:t>
      </w:r>
    </w:p>
    <w:p w14:paraId="339AC1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Инженерный и летный состав полков отмечал, что «отдельные самолеты имеют резко выраженную заднюю центровку, что затрудняет при взлете подъем хвоста и весь полет производится с полностью отданным триммером рулей глубины».</w:t>
      </w:r>
    </w:p>
    <w:p w14:paraId="52F3A1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разряду обычных явлений относились: течь смеси АС в амортизационных стойках, масла из втулок винтов, бензобаков по точечной сварке, подтекания воды и бензина, разрушение тормозных шлангов, отсутствие герметичности в соединениях воздушной системы и т.д.</w:t>
      </w:r>
    </w:p>
    <w:p w14:paraId="6791B1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штурмовиках в большом количестве имелись люфты в различных соединениях управления самолетом и мотором, некоторые гайки оказывались не дотянутыми, а иногда и не законтренными. На авиазаводах ставились «не вытянутые» троса управления. В результате после 3-5 ч налета самолета трос вытягивался настолько, что его уже «не хватало для вытяжки слабины». Троса приходилось переплетать.</w:t>
      </w:r>
    </w:p>
    <w:p w14:paraId="5B637C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Массовым явлением было разъединение троса управления бронешторками маслорадиатора с рычагом оси шторок, что было связано с некачественной пайкой на заводе «заделки конца троса».</w:t>
      </w:r>
    </w:p>
    <w:p w14:paraId="12B6DA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самолетах производства заводов №№ 1 и 30 постоянно рвались бронешланги ПУ-6: «идущие от рабочего болта ПУ-6». На этих заводах в местах соединения ПУ-6 с воздушной трубкой ставили всего один слой оплетки вместо двух и не обматывали бронешланг шпагатом, как это делалось заводом № 18.</w:t>
      </w:r>
    </w:p>
    <w:p w14:paraId="0BEA26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Из-за недоброкачественной склейки шпона и подгонки деталей хвостового оперения имелись случаи заклинивания рулей высоты и направления. Худшими в этом отношении являлись самолеты заводов № 1 и № 30 (11921).</w:t>
      </w:r>
    </w:p>
    <w:p w14:paraId="30DA1563" w14:textId="77777777" w:rsidR="00BB6316" w:rsidRPr="00722885" w:rsidRDefault="00BB6316" w:rsidP="00722885">
      <w:pPr>
        <w:pStyle w:val="Iauiue"/>
        <w:jc w:val="both"/>
        <w:rPr>
          <w:color w:val="000000" w:themeColor="text1"/>
          <w:sz w:val="16"/>
          <w:szCs w:val="16"/>
        </w:rPr>
      </w:pPr>
    </w:p>
    <w:p w14:paraId="397331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1942 г. при заводе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  г. Москва 1-й Боткинский пр., 7 тел. 252-81-41,207-04-76/) действовали два филиала. Филиал № 1 завода № 30 - бывший цех ширпотреба завода № 1 по пер. Авиационному (на 1946 г.- ул. Красноармейская). По приказу № 319с от 26.04.1942 г. филиал № 1 некоторое время находился в подчинении нового завода № 134 НКАП. Далее планировалось передать с 1.09.1945 г. филиал в ведение завода № 240. Но по приказу НКАП № 6с от 11.01.1946 г. филиал был передан в подчинение ЦАГИ для укрепления его производственной базы (под опытный завод) со всеми сооружениями и личным составом с доукомплектацией штата 600-ми квалифицированными рабочими.</w:t>
      </w:r>
    </w:p>
    <w:p w14:paraId="133876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 приказу № 627с от 13.08.1942 г. деревообрабатывающие цеха завода № 169 </w:t>
      </w:r>
      <w:r w:rsidRPr="00722885">
        <w:rPr>
          <w:rFonts w:ascii="Times New Roman" w:hAnsi="Times New Roman"/>
          <w:color w:val="000000" w:themeColor="text1"/>
          <w:sz w:val="16"/>
          <w:szCs w:val="16"/>
          <w:lang w:val="en-US"/>
        </w:rPr>
        <w:t>HKAII</w:t>
      </w:r>
      <w:r w:rsidRPr="00722885">
        <w:rPr>
          <w:rFonts w:ascii="Times New Roman" w:hAnsi="Times New Roman"/>
          <w:color w:val="000000" w:themeColor="text1"/>
          <w:sz w:val="16"/>
          <w:szCs w:val="16"/>
        </w:rPr>
        <w:t xml:space="preserve"> (бывшая мебельная фабрика № 3 НКлеса) переданы в качестве филиала № 2 заводу № 30 для изготовления деревянных частей самолетов и переведены из 6ГУ в ЮГУ. В соответствии с пост. СМ СССР № 1612с от 5.07.1945 г. и приказом № 306с/203пс от 24.07.1945 г. Филиал № 2 передан обратно со всем оборудованием и личным составом в НК леса.</w:t>
      </w:r>
    </w:p>
    <w:p w14:paraId="78335A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приказу № 499с от 31.12.1945 г. заводу была передана часть оборудования и личного состава расформированного завода № 261 ( г. В. Нейвинск).</w:t>
      </w:r>
    </w:p>
    <w:p w14:paraId="65252A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производство военных самолетов прекращено. Большинство цехов выпускало гражданскую продукцию: керосинки, посуду, газовые плиты, холодильники. Предприятие выполняло большие заказы по восстановлению паровозов, троллейбусов. Авиационное производство ограничивалось переделкой С-47 в пассажирский вариант ПС-84, производством шасси для ПС-84, деталей для Ту-2 и Ил-2. Велась подготовка к выпуску Ли-2П и Ил-12.</w:t>
      </w:r>
    </w:p>
    <w:p w14:paraId="5DDAD1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на заводе организовано представительство ОКБ Ильюшина (представители: (1946 г.-)- А.П. Наумов, (1948-49 г.)- В.П. Яценко,С.М. Громов, (1957 г.)- Б.П. Чирков, Н. Г. Папковская).</w:t>
      </w:r>
    </w:p>
    <w:p w14:paraId="2EB347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середины 1946 г. заводом временно использовалась территория по Хорошевскому шоссе (Октябрьское поле), принадлежавшая Всесоюзному институту экспериментальной медицины. По приказу № 351сс от 5.06.1946 г. территория со всеми сооружениями передана Лаборатории № 2 АН.</w:t>
      </w:r>
    </w:p>
    <w:p w14:paraId="2EB80B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СМ СССР № 5223-1994сс от 14.11.1949 г. и приказом МАП № 913с от 17.04.1949 г. в состав завода № 30 с 1.10.1949 г. влит Московский Завод № 381 МАП, располагавшийся рядом, для обеспечения производства Ил-28.</w:t>
      </w:r>
    </w:p>
    <w:p w14:paraId="659DAC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1950-х  г. на заводе совместно с заводом «Каучук» построен стратостат «СССР-1», в 1953 г. на нем установлен рекорд высоты подъема.</w:t>
      </w:r>
    </w:p>
    <w:p w14:paraId="6CF362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пр. от 21.07.1950 г. на заводе начат серийный выпуск Ил-28У, по решению правительства от 8.12.1951 г. - Ил-28Р.</w:t>
      </w:r>
    </w:p>
    <w:p w14:paraId="5025A1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ПСМ№ 16-10 от 5.01.1956 г. выпущена войсковая серия бомбардировщика Як-26.</w:t>
      </w:r>
    </w:p>
    <w:p w14:paraId="4EB4F2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ПСМ № 299-118 от 11.04.1964 г. на заводе начато освоение производства МиГ-21У.</w:t>
      </w:r>
    </w:p>
    <w:p w14:paraId="0ED741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Изготавливал комплектующие для ОК «Буран».</w:t>
      </w:r>
    </w:p>
    <w:p w14:paraId="72FCF8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 1957 г. находился в ведении ЮГУ МАП. В соответствии с пост. СМ СССР № 713-342 от 26.06.1957 г. передан в ведение Управления агрегатостроения МосгорСНХ РСФСР. До 1963 г. имел открытое наименование «п/я 2402», затем - «А-1122». В 1963 г. завод № 30 переименован в ММЗ «Знамя труда». В 1965 г. завод передан в ведение 6ГУ МАП. В 1974 г. на базе ММЗ «Знамя труда» организовано Московское авиационное ПО им. П.В. Дементьева.</w:t>
      </w:r>
    </w:p>
    <w:p w14:paraId="6DDB15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распоряжением Правительства РФ от 05.1995 г. в 1996 г. объединены МАПО им. П.В. Дементьева и АНПК «МиГ» им. А.И. Микояна, образовав Московское авиационное производственно-научное объединение (МАПНО) «МИГ» (МАПО «МиГ»), в которое вошло также ОКБ Камова. В конце 1999 г. МАЛО было преобразовано в РСК «МиГ».</w:t>
      </w:r>
    </w:p>
    <w:p w14:paraId="08C54D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(09.1943 г.)- Смирнов, (02.1945 г.)- Ф. Г. Нестеров, (1946-82 г.-)- П.А. Воронин. Гендиректор (1994- 95 г.)- В. Кузьмин.</w:t>
      </w:r>
    </w:p>
    <w:p w14:paraId="143742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(2000 г.)- О. Чуканцев.</w:t>
      </w:r>
    </w:p>
    <w:p w14:paraId="270CAE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по производству (2000 г.)- О. Чуканцев.</w:t>
      </w:r>
    </w:p>
    <w:p w14:paraId="2C939B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 конструктор (2000 г.)- Н.Ф. Никитин.</w:t>
      </w:r>
    </w:p>
    <w:p w14:paraId="35CD98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П.В. Дементьев.</w:t>
      </w:r>
    </w:p>
    <w:p w14:paraId="2B60AF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СКО (1948 г.)- Усиков.</w:t>
      </w:r>
    </w:p>
    <w:p w14:paraId="373ADB5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самолеты: Ил-2 (1942-45)- 8865, Ил-12 (1946-49)- 663, Ил-28 (1948-55), Ил-14 (1954-58), Як- 26 (1956)- 10, Ил-18 (1957-69)-564, Су-9 (1959-61)- 176, МиГ-21 (1964-74), МиГ-21У (1964-), Ил-38 (1965(7)-72)- 65, МиГ-23С (1969-70)- 50, МиГ-29, МиГ-29К (1988)- 2, Ил-114, Т-101, «Авиатика» МАИ-890, Ил-103, МиГ-АТ (11982).</w:t>
      </w:r>
    </w:p>
    <w:p w14:paraId="67FE21E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B686235" w14:textId="77777777" w:rsidR="008032F3" w:rsidRPr="00722885" w:rsidRDefault="008032F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лаборатория № 4 ЦАГИ-Москва провела ряд испытаний моделей новых самолетов по заданиям авиационных заводов. Испытания модели двухмоторного штурмовика (завод № 289, главный конструктор П. О. Сухой) подтвердили, что его устойчивость достаточна по всем трем осям, а эффективности элеронов не хватает на некоторых углах атаки. В результате ученые рекомендовали установить предкрылки и зализы на центроплане, а также уменьшить стоя ночный угол. Исследования модели планера для переброски танка (завод № 241, О. К. Антонов), показали чрезмерно большое лобовое сопротивление модели и недостаточность рулей высоты для посадки. Для первого вылета ученые Филиала рекомендовали установить на планер обтекатель (на крестообразных расчалках), сместить центровку на 3%, изменить угол установки стабилизатора, установить триммер на верхнем руле высоты и ограничить угол выпуска закрылка. По заданию завода № 51 (главный конструктор Н. Н. Поликарпов) лаборатория № 4 провела подробные испытания модели бомбардировщика «Т» (НБ). Обнаружилась возможность возникновения бафтинга оперения, а поперечная устойчивость оказалась выше допустимых норм. Было рекомендовано поднять на 700—800 мм горизонтальное оперение, изменить угол его установки и уменьшить поперечное V крыла. Заводские испытания самолета начались в мае 1944 г. Они показали, что на некоторых режимах полета горизонтальное оперение оказывалось в аэродинамической тени крыла, что вело к ухудшению продольной устойчивости. Кроме того, выяснилось, что запас прочности требуется увеличить. Испытания прекратили в августе 1944 г. В 1942 г. лаборатория № 4 провела испытания модели самолета Ил-6, которые выявили, что концы мотогондол, выступающие за заднюю кромку крыла, вызывают местный срыв с возникновением «ложки» на больших углах атаки. Кроме того, эффективность элеронов оказалась недостаточной, а на посадочных режимах при полностью открытых щитках обнаружились ярко выраженные срывы с концов крыла. При отсутствии щитков срыв потока начинался с центроплана, но распределение срывов по размаху «не возбуждало сомнений в отношении тенденций сваливания на крыло на посадочном режиме». Исследования показали, что местный срыв можно ликвидировать, модифицировав части крыла над мотогондолой и хвостовую часть самой мотогондолы. Рекомендовали также немного увеличить относительную толщину профиля на концах крыла и размах элеронов за счет сокращения размаха закрылков, а установку предкрылков сочли нежелательной. В августе 1943 г. опытный экземпляр передали на испытания (19727).</w:t>
      </w:r>
    </w:p>
    <w:p w14:paraId="0E8C4E51" w14:textId="77777777" w:rsidR="008032F3" w:rsidRPr="00722885" w:rsidRDefault="008032F3" w:rsidP="00722885">
      <w:pPr>
        <w:spacing w:after="0" w:line="240" w:lineRule="auto"/>
        <w:jc w:val="both"/>
        <w:rPr>
          <w:rFonts w:ascii="Times New Roman" w:hAnsi="Times New Roman"/>
          <w:color w:val="000000" w:themeColor="text1"/>
          <w:sz w:val="16"/>
          <w:szCs w:val="16"/>
        </w:rPr>
      </w:pPr>
    </w:p>
    <w:p w14:paraId="37A542B5" w14:textId="77777777" w:rsidR="00FA33B8" w:rsidRPr="00722885" w:rsidRDefault="00FA33B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lastRenderedPageBreak/>
        <w:t>В 1942 г. два проекта легких одномоторных одномест</w:t>
      </w:r>
      <w:r w:rsidRPr="00722885">
        <w:rPr>
          <w:color w:val="000000" w:themeColor="text1"/>
          <w:sz w:val="16"/>
          <w:szCs w:val="16"/>
        </w:rPr>
        <w:softHyphen/>
        <w:t>ных самолетов поля боя предложил глав</w:t>
      </w:r>
      <w:r w:rsidRPr="00722885">
        <w:rPr>
          <w:color w:val="000000" w:themeColor="text1"/>
          <w:sz w:val="16"/>
          <w:szCs w:val="16"/>
        </w:rPr>
        <w:softHyphen/>
        <w:t>ный конструктор завода № 499 А. С. Москалев — САМ-14ш (ночной штурмовик) и ЛТ (летающая тан</w:t>
      </w:r>
      <w:r w:rsidRPr="00722885">
        <w:rPr>
          <w:color w:val="000000" w:themeColor="text1"/>
          <w:sz w:val="16"/>
          <w:szCs w:val="16"/>
        </w:rPr>
        <w:softHyphen/>
        <w:t>кетка).</w:t>
      </w:r>
    </w:p>
    <w:p w14:paraId="59FCE5F4" w14:textId="77777777" w:rsidR="00FA33B8" w:rsidRPr="00722885" w:rsidRDefault="00FA33B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Летающая танкетка ЛТ представляла собой лег</w:t>
      </w:r>
      <w:r w:rsidRPr="00722885">
        <w:rPr>
          <w:color w:val="000000" w:themeColor="text1"/>
          <w:sz w:val="16"/>
          <w:szCs w:val="16"/>
        </w:rPr>
        <w:softHyphen/>
        <w:t>кий (полетный вес 1028—1128 кг) одноместный вы- сокоплан небольших размеров, выполнен</w:t>
      </w:r>
      <w:r w:rsidRPr="00722885">
        <w:rPr>
          <w:color w:val="000000" w:themeColor="text1"/>
          <w:sz w:val="16"/>
          <w:szCs w:val="16"/>
        </w:rPr>
        <w:softHyphen/>
        <w:t>ный по двухбалочной схеме, с небольшим крылом малого удлинения. Мотор М-11 находился позади летчика и снабжался толкающим винтом. Крыло однолонжерон- ное, деревянное, имело щелевые закрылки и автоматические предкрылки. Обшивка — фанера и полотно на эмалите. Фюзеляж имел ферменную конструкцию с дюрале</w:t>
      </w:r>
      <w:r w:rsidRPr="00722885">
        <w:rPr>
          <w:color w:val="000000" w:themeColor="text1"/>
          <w:sz w:val="16"/>
          <w:szCs w:val="16"/>
        </w:rPr>
        <w:softHyphen/>
        <w:t>вой обшивкой. Хвостовое оперение одно- килевое, вынесенное за фюзеляж на двух балках. Шасси неубирающееся с колесами баллонного типа. Моторама и шасси выпол</w:t>
      </w:r>
      <w:r w:rsidRPr="00722885">
        <w:rPr>
          <w:color w:val="000000" w:themeColor="text1"/>
          <w:sz w:val="16"/>
          <w:szCs w:val="16"/>
        </w:rPr>
        <w:softHyphen/>
        <w:t>нялись из углеродистой стали.</w:t>
      </w:r>
    </w:p>
    <w:p w14:paraId="560EB76D" w14:textId="77777777" w:rsidR="00FA33B8" w:rsidRPr="00722885" w:rsidRDefault="00FA33B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Кабина пилота бронировалась. Толщина брони 4—5 мм. Сверху-спереди летчик защищался пря</w:t>
      </w:r>
      <w:r w:rsidRPr="00722885">
        <w:rPr>
          <w:color w:val="000000" w:themeColor="text1"/>
          <w:sz w:val="16"/>
          <w:szCs w:val="16"/>
        </w:rPr>
        <w:softHyphen/>
        <w:t>мой бронеплитой, снизу-спереди — бронеплитой, изогнутой в передней части к верху до уровня ниж</w:t>
      </w:r>
      <w:r w:rsidRPr="00722885">
        <w:rPr>
          <w:color w:val="000000" w:themeColor="text1"/>
          <w:sz w:val="16"/>
          <w:szCs w:val="16"/>
        </w:rPr>
        <w:softHyphen/>
        <w:t>него края верхней плиты, сзади-снизу и сверху — бронесиденьем. Борта кабины — из 3-мм брони. Козырек фонаря кабины летчика выполнялся из пулестойкой брони.</w:t>
      </w:r>
    </w:p>
    <w:p w14:paraId="0D9FBF1F" w14:textId="77777777" w:rsidR="00FA33B8" w:rsidRPr="00722885" w:rsidRDefault="00FA33B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Благодаря наличию в нижней части самолета специального сошника (подкосного типа с амор</w:t>
      </w:r>
      <w:r w:rsidRPr="00722885">
        <w:rPr>
          <w:color w:val="000000" w:themeColor="text1"/>
          <w:sz w:val="16"/>
          <w:szCs w:val="16"/>
        </w:rPr>
        <w:softHyphen/>
        <w:t>тизатором), конец которого соприкасался с зем</w:t>
      </w:r>
      <w:r w:rsidRPr="00722885">
        <w:rPr>
          <w:color w:val="000000" w:themeColor="text1"/>
          <w:sz w:val="16"/>
          <w:szCs w:val="16"/>
        </w:rPr>
        <w:softHyphen/>
        <w:t>лей и отслеживал все неровности, машина могла «скользить» над поверхностью земли на высоте 4—5 м и преодолевать препятствия, перелетая или перепрыгивая через них. Возникающие при кон</w:t>
      </w:r>
      <w:r w:rsidRPr="00722885">
        <w:rPr>
          <w:color w:val="000000" w:themeColor="text1"/>
          <w:sz w:val="16"/>
          <w:szCs w:val="16"/>
        </w:rPr>
        <w:softHyphen/>
        <w:t>такте сошника с препятствиями моменты и угловые скорости, по расчетам, находились в пределах фи</w:t>
      </w:r>
      <w:r w:rsidRPr="00722885">
        <w:rPr>
          <w:color w:val="000000" w:themeColor="text1"/>
          <w:sz w:val="16"/>
          <w:szCs w:val="16"/>
        </w:rPr>
        <w:softHyphen/>
        <w:t>зических возможностей летчика и могли своевре</w:t>
      </w:r>
      <w:r w:rsidRPr="00722885">
        <w:rPr>
          <w:color w:val="000000" w:themeColor="text1"/>
          <w:sz w:val="16"/>
          <w:szCs w:val="16"/>
        </w:rPr>
        <w:softHyphen/>
        <w:t>менно парироваться.</w:t>
      </w:r>
    </w:p>
    <w:p w14:paraId="4473B8AA" w14:textId="77777777" w:rsidR="00FA33B8" w:rsidRPr="00722885" w:rsidRDefault="00FA33B8"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Самолет мог вести бой, «идя бегом-полетом на сошнике». Бег выполнялся на высоте 4—5 м на скорости 150—180 км/ч. Считалось, что при такой скорости и высоте танкетка будет неуязвима для огня противника. Танкетка могла выполнять атаки наземных целей и обычным для самолетов спосо</w:t>
      </w:r>
      <w:r w:rsidRPr="00722885">
        <w:rPr>
          <w:color w:val="000000" w:themeColor="text1"/>
          <w:sz w:val="16"/>
          <w:szCs w:val="16"/>
        </w:rPr>
        <w:softHyphen/>
        <w:t>бом — с пикирования с высоты 1000—1200 м. По мнению Москалева, малые размеры танкетки (дли</w:t>
      </w:r>
      <w:r w:rsidRPr="00722885">
        <w:rPr>
          <w:color w:val="000000" w:themeColor="text1"/>
          <w:sz w:val="16"/>
          <w:szCs w:val="16"/>
        </w:rPr>
        <w:softHyphen/>
        <w:t>на — 6,8 м, размах крыла — 5,57 м) позволяли ей стартовать с обычных дорог, рулить по ним, скрыт</w:t>
      </w:r>
      <w:r w:rsidRPr="00722885">
        <w:rPr>
          <w:color w:val="000000" w:themeColor="text1"/>
          <w:sz w:val="16"/>
          <w:szCs w:val="16"/>
        </w:rPr>
        <w:softHyphen/>
        <w:t>но выдвигаясь к месту внезапной атаки.</w:t>
      </w:r>
    </w:p>
    <w:p w14:paraId="268038A3" w14:textId="77777777" w:rsidR="00FA33B8" w:rsidRPr="00722885" w:rsidRDefault="00FA33B8"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включало 2 пушки ШВАК (300 сна</w:t>
      </w:r>
      <w:r w:rsidRPr="00722885">
        <w:rPr>
          <w:rFonts w:ascii="Times New Roman" w:hAnsi="Times New Roman"/>
          <w:color w:val="000000" w:themeColor="text1"/>
          <w:sz w:val="16"/>
          <w:szCs w:val="16"/>
        </w:rPr>
        <w:softHyphen/>
        <w:t>рядов), 2 пулемета ШКАС (1500—2000 патронов), 4—6 РО-132 и 400 кг бомб (17500).</w:t>
      </w:r>
    </w:p>
    <w:p w14:paraId="200987C1" w14:textId="77777777" w:rsidR="00FA33B8" w:rsidRPr="00722885" w:rsidRDefault="00FA33B8" w:rsidP="00722885">
      <w:pPr>
        <w:spacing w:after="0" w:line="240" w:lineRule="auto"/>
        <w:jc w:val="both"/>
        <w:rPr>
          <w:rFonts w:ascii="Times New Roman" w:eastAsia="Times New Roman" w:hAnsi="Times New Roman"/>
          <w:color w:val="000000" w:themeColor="text1"/>
          <w:sz w:val="16"/>
          <w:szCs w:val="16"/>
          <w:lang w:eastAsia="ru-RU"/>
        </w:rPr>
      </w:pPr>
    </w:p>
    <w:p w14:paraId="28A9B5F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 промышленность изготовила 858 Ил-4, около половины из них, 399, поступило в АДД (7666).</w:t>
      </w:r>
    </w:p>
    <w:p w14:paraId="11B720DF" w14:textId="77777777" w:rsidR="00BB6316" w:rsidRPr="00722885" w:rsidRDefault="00BB6316" w:rsidP="00722885">
      <w:pPr>
        <w:pStyle w:val="Iauiue"/>
        <w:jc w:val="both"/>
        <w:rPr>
          <w:color w:val="000000" w:themeColor="text1"/>
          <w:sz w:val="16"/>
          <w:szCs w:val="16"/>
        </w:rPr>
      </w:pPr>
    </w:p>
    <w:p w14:paraId="3974D7D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Начиная с 1942 г. все большее количество Ил-4 поставлялись в части действующей армии с автопилотами АВП-12. Постепенно отлаживалась и устанавливалась на самолетах аппаратура слепой посадки системы “Ночь-1”. Приборные панели экипажа оснащались лампами ультрафиолетового освещения, облегчавшими считывание показаний приборов в ночных полетах. На самолетах стали применять новые бомбовый прицел, радиостанцию, переговорное устройство и кислородное оборудование (9528).</w:t>
      </w:r>
    </w:p>
    <w:p w14:paraId="5288275E" w14:textId="77777777" w:rsidR="00BB6316" w:rsidRPr="00722885" w:rsidRDefault="00BB6316" w:rsidP="00722885">
      <w:pPr>
        <w:pStyle w:val="Iauiue"/>
        <w:jc w:val="both"/>
        <w:rPr>
          <w:color w:val="000000" w:themeColor="text1"/>
          <w:sz w:val="16"/>
          <w:szCs w:val="16"/>
        </w:rPr>
      </w:pPr>
    </w:p>
    <w:p w14:paraId="4C5B351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к идее высотного варианта ДБ-3 (теперь уже Ил-4) вернулись. Так появился Ил-4ТК, первоначально по заданию именовавшийся «Ил-4 с тур</w:t>
      </w:r>
      <w:r w:rsidRPr="00722885">
        <w:rPr>
          <w:rFonts w:ascii="Times New Roman" w:hAnsi="Times New Roman"/>
          <w:color w:val="000000" w:themeColor="text1"/>
          <w:sz w:val="16"/>
          <w:szCs w:val="16"/>
        </w:rPr>
        <w:softHyphen/>
        <w:t>бонагнетателями и герметической ка</w:t>
      </w:r>
      <w:r w:rsidRPr="00722885">
        <w:rPr>
          <w:rFonts w:ascii="Times New Roman" w:hAnsi="Times New Roman"/>
          <w:color w:val="000000" w:themeColor="text1"/>
          <w:sz w:val="16"/>
          <w:szCs w:val="16"/>
        </w:rPr>
        <w:softHyphen/>
        <w:t>биной». Это был высотный разведчик и бомбардировщик. Возможно, возврату к этой концепции способствовало зна</w:t>
      </w:r>
      <w:r w:rsidRPr="00722885">
        <w:rPr>
          <w:rFonts w:ascii="Times New Roman" w:hAnsi="Times New Roman"/>
          <w:color w:val="000000" w:themeColor="text1"/>
          <w:sz w:val="16"/>
          <w:szCs w:val="16"/>
        </w:rPr>
        <w:softHyphen/>
        <w:t>комство с немецким самолетом Юнкере Ли 86Р Такие машины безнаказанно ле</w:t>
      </w:r>
      <w:r w:rsidRPr="00722885">
        <w:rPr>
          <w:rFonts w:ascii="Times New Roman" w:hAnsi="Times New Roman"/>
          <w:color w:val="000000" w:themeColor="text1"/>
          <w:sz w:val="16"/>
          <w:szCs w:val="16"/>
        </w:rPr>
        <w:softHyphen/>
        <w:t>тали над Москвой, и наши истребители никак не могли до них «дотянуться». Ил-4ТК был двухместным. Его экипаж состоял из пилота и штурмана, сидев</w:t>
      </w:r>
      <w:r w:rsidRPr="00722885">
        <w:rPr>
          <w:rFonts w:ascii="Times New Roman" w:hAnsi="Times New Roman"/>
          <w:color w:val="000000" w:themeColor="text1"/>
          <w:sz w:val="16"/>
          <w:szCs w:val="16"/>
        </w:rPr>
        <w:softHyphen/>
        <w:t>ших в общей гермокабине вентиляци</w:t>
      </w:r>
      <w:r w:rsidRPr="00722885">
        <w:rPr>
          <w:rFonts w:ascii="Times New Roman" w:hAnsi="Times New Roman"/>
          <w:color w:val="000000" w:themeColor="text1"/>
          <w:sz w:val="16"/>
          <w:szCs w:val="16"/>
        </w:rPr>
        <w:softHyphen/>
        <w:t>онного типа. В отличие от всех прочих модификаций Ил-4, пилот располагал</w:t>
      </w:r>
      <w:r w:rsidRPr="00722885">
        <w:rPr>
          <w:rFonts w:ascii="Times New Roman" w:hAnsi="Times New Roman"/>
          <w:color w:val="000000" w:themeColor="text1"/>
          <w:sz w:val="16"/>
          <w:szCs w:val="16"/>
        </w:rPr>
        <w:softHyphen/>
        <w:t>ся перед местом штурмана. Подготовили два варианта носовой части: округлую, полностью застеклен</w:t>
      </w:r>
      <w:r w:rsidRPr="00722885">
        <w:rPr>
          <w:rFonts w:ascii="Times New Roman" w:hAnsi="Times New Roman"/>
          <w:color w:val="000000" w:themeColor="text1"/>
          <w:sz w:val="16"/>
          <w:szCs w:val="16"/>
        </w:rPr>
        <w:softHyphen/>
        <w:t>ную и срезанную снизу под дистанцион</w:t>
      </w:r>
      <w:r w:rsidRPr="00722885">
        <w:rPr>
          <w:rFonts w:ascii="Times New Roman" w:hAnsi="Times New Roman"/>
          <w:color w:val="000000" w:themeColor="text1"/>
          <w:sz w:val="16"/>
          <w:szCs w:val="16"/>
        </w:rPr>
        <w:softHyphen/>
        <w:t>но управляемую турель. Поскольку вто</w:t>
      </w:r>
      <w:r w:rsidRPr="00722885">
        <w:rPr>
          <w:rFonts w:ascii="Times New Roman" w:hAnsi="Times New Roman"/>
          <w:color w:val="000000" w:themeColor="text1"/>
          <w:sz w:val="16"/>
          <w:szCs w:val="16"/>
        </w:rPr>
        <w:softHyphen/>
        <w:t>рой создавал дополнительные сложнос</w:t>
      </w:r>
      <w:r w:rsidRPr="00722885">
        <w:rPr>
          <w:rFonts w:ascii="Times New Roman" w:hAnsi="Times New Roman"/>
          <w:color w:val="000000" w:themeColor="text1"/>
          <w:sz w:val="16"/>
          <w:szCs w:val="16"/>
        </w:rPr>
        <w:softHyphen/>
        <w:t>ти, для опытного экземпляра выбрали первый. Оборонительного вооружения не предусматривалось (на Ли 86Р стоял лишь неподвижный «пугач» в хвосто</w:t>
      </w:r>
      <w:r w:rsidRPr="00722885">
        <w:rPr>
          <w:rFonts w:ascii="Times New Roman" w:hAnsi="Times New Roman"/>
          <w:color w:val="000000" w:themeColor="text1"/>
          <w:sz w:val="16"/>
          <w:szCs w:val="16"/>
        </w:rPr>
        <w:softHyphen/>
        <w:t>вом коке), зато в фюзеляже разместили фотокамеру АФА-3. Бронирования то</w:t>
      </w:r>
      <w:r w:rsidRPr="00722885">
        <w:rPr>
          <w:rFonts w:ascii="Times New Roman" w:hAnsi="Times New Roman"/>
          <w:color w:val="000000" w:themeColor="text1"/>
          <w:sz w:val="16"/>
          <w:szCs w:val="16"/>
        </w:rPr>
        <w:softHyphen/>
        <w:t>же не было. Потолок и скорость на высоте соби</w:t>
      </w:r>
      <w:r w:rsidRPr="00722885">
        <w:rPr>
          <w:rFonts w:ascii="Times New Roman" w:hAnsi="Times New Roman"/>
          <w:color w:val="000000" w:themeColor="text1"/>
          <w:sz w:val="16"/>
          <w:szCs w:val="16"/>
        </w:rPr>
        <w:softHyphen/>
        <w:t>рались поднять введением турбонадду-ва. На каждом моторе М-88Б стояли турбонагнетатели ТК-3. Их разместили в задних частях мотогондол. Турбина ле</w:t>
      </w:r>
      <w:r w:rsidRPr="00722885">
        <w:rPr>
          <w:rFonts w:ascii="Times New Roman" w:hAnsi="Times New Roman"/>
          <w:color w:val="000000" w:themeColor="text1"/>
          <w:sz w:val="16"/>
          <w:szCs w:val="16"/>
        </w:rPr>
        <w:softHyphen/>
        <w:t>жала в горизонтальной плоскости, как у американского «Лайтнинга». Выхлоп</w:t>
      </w:r>
      <w:r w:rsidRPr="00722885">
        <w:rPr>
          <w:rFonts w:ascii="Times New Roman" w:hAnsi="Times New Roman"/>
          <w:color w:val="000000" w:themeColor="text1"/>
          <w:sz w:val="16"/>
          <w:szCs w:val="16"/>
        </w:rPr>
        <w:softHyphen/>
        <w:t>ные газы шли к ней через сборный кол</w:t>
      </w:r>
      <w:r w:rsidRPr="00722885">
        <w:rPr>
          <w:rFonts w:ascii="Times New Roman" w:hAnsi="Times New Roman"/>
          <w:color w:val="000000" w:themeColor="text1"/>
          <w:sz w:val="16"/>
          <w:szCs w:val="16"/>
        </w:rPr>
        <w:softHyphen/>
        <w:t>лектор (10734,86).</w:t>
      </w:r>
    </w:p>
    <w:p w14:paraId="620F809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7C478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к идее высотного варианта ДБ-3 (теперь уже Ил-4) вернулись. Так появился Ил-4ТК, первоначально по заданию именовавшийся "Ил-4 с турбонагнетателями и герметической кабиной". Это был высотный разведчик и бомбардировщик. Возможно, возврату к этой концепции способствовало знакомство с немецким самолетом Юнкере Ju 86Р. Такие машины безнаказанно летали над Москвой и наши истребители никак не могли до них "дотянуться". Ил-4ТК был двухместным. Его экипаж состоял из пилота и штурмана, сидевших в общей гермокабине вентиляционного типа. В отличие от всех прочих модификаций Ил-4, пилот располагался перед местом штурмана.</w:t>
      </w:r>
    </w:p>
    <w:p w14:paraId="174E71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Подготовили два варианта носовой части: округлую полностью застекленную и срезанную снизу под дистанционно управляемую турель. Поскольку второй создавал дополнительные сложности, для опытного экземпляра выбрали первый. Оборонительного вооружения не предусматривалось (на Ju 86Р стоял лишь неподвижный "пугач" в хвостовом коке), зато в фюзеляже разместили фотокамеру АФА-3. Бронирования тоже не было.</w:t>
      </w:r>
    </w:p>
    <w:p w14:paraId="3755E6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Потолок и скорость на высоте собирались поднять введением турбонаддува. На каждом моторе М-88Б стояли турбонагнетатели ТК-3. Их разместили в задних частях мотогондол. Турбина лежала в горизонтальной плоскости, как у американского "Лайтнин- га". Выхлопные газы шли к ней через сборный коллектор (12021).</w:t>
      </w:r>
    </w:p>
    <w:p w14:paraId="757EB0A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84C70B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С.В.И. получил госпремию первой степени за 1942 (63,116).</w:t>
      </w:r>
    </w:p>
    <w:p w14:paraId="478C8879" w14:textId="77777777" w:rsidR="00BB6316" w:rsidRPr="00722885" w:rsidRDefault="00BB6316" w:rsidP="00722885">
      <w:pPr>
        <w:pStyle w:val="Iauiue"/>
        <w:jc w:val="both"/>
        <w:rPr>
          <w:color w:val="000000" w:themeColor="text1"/>
          <w:sz w:val="16"/>
          <w:szCs w:val="16"/>
        </w:rPr>
      </w:pPr>
    </w:p>
    <w:p w14:paraId="755C770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сделали 25 тыс. машин в 1942 по сравнению с 15 тыс. в 1941 (6,164).</w:t>
      </w:r>
    </w:p>
    <w:p w14:paraId="7750198B" w14:textId="77777777" w:rsidR="00BB6316" w:rsidRPr="00722885" w:rsidRDefault="00BB6316" w:rsidP="00722885">
      <w:pPr>
        <w:pStyle w:val="Iauiue"/>
        <w:jc w:val="both"/>
        <w:rPr>
          <w:color w:val="000000" w:themeColor="text1"/>
          <w:sz w:val="16"/>
          <w:szCs w:val="16"/>
        </w:rPr>
      </w:pPr>
    </w:p>
    <w:p w14:paraId="56F0D20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стал годом освоения массового производства 14 новых типов самолетов: 5 И, 6 Б, 1 Ш, 2 Тр + 10 модификаций моторов (173,221).</w:t>
      </w:r>
    </w:p>
    <w:p w14:paraId="6FB5F2A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Женщины в 1942 уже составляли около половины работающих в АП (6,157).</w:t>
      </w:r>
    </w:p>
    <w:p w14:paraId="322A5BD7" w14:textId="77777777" w:rsidR="00BB6316" w:rsidRPr="00722885" w:rsidRDefault="00BB6316" w:rsidP="00722885">
      <w:pPr>
        <w:pStyle w:val="Iauiue"/>
        <w:jc w:val="both"/>
        <w:rPr>
          <w:color w:val="000000" w:themeColor="text1"/>
          <w:sz w:val="16"/>
          <w:szCs w:val="16"/>
        </w:rPr>
      </w:pPr>
    </w:p>
    <w:p w14:paraId="1E120E1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рассматривались варианты ТБ-7 с двигателями МБ-100 мощностью на взлетном режиме 2200 л.с (двигатель был выполнен по Х-образной четырехблочной схеме, в основе которой лежали блоки двигателя М-103). Занималась этим двигателем группа конструкторов на заводе №16 под руководством А.М.Добротворского.</w:t>
      </w:r>
    </w:p>
    <w:p w14:paraId="35B2562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Как и многие перспективные работы того периода, эти работы шли под крышей НКВД, силами конструкторов-зэков. Этот двигатель в 1943 году летал на опытном Ер-2, особых улучшений данных самолета добиться не удалось, и развития эта тема не получила.</w:t>
      </w:r>
    </w:p>
    <w:p w14:paraId="15A0D87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Слишком тяжел был этот двигатель (1250 кг) и слишком большой был у него "лоб". В результате вся прибавка мощности уходила на провоз двигателей и на преодоление дополнительного сопротивления больших мотогондол. Был проведен расчет самолета Пе-8 с двигателями МБ-100. Результаты расчетов и анализа были следующие:</w:t>
      </w:r>
    </w:p>
    <w:p w14:paraId="569BFD3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1. При установке двух МБ-100, вместо четырех АМ-35А, максимальная скорость уменьшается на 45 км/ч и одновременно снижается высотность. Дальность полета при одинаковой перегрузочной массе 35000 кг увеличивается на 900 км, главным образом за счет увеличения запаса топлива, благодаря меньшей суммарной массе двух моторов. Длина разбега возрастает на 300 м.</w:t>
      </w:r>
    </w:p>
    <w:p w14:paraId="394E914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 сравнению с четырьмя дизелями М-30, установка двух МБ-100 уменьшает максимальную скорость на 50 км/ч, сокращает дальность на 200 км и затягивает разбег на 400 м.</w:t>
      </w:r>
    </w:p>
    <w:p w14:paraId="162850A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Уменьшение максимальной скорости и увеличение разбега в обоих случаях происходит в основном из-за меньшей суммарной мощности моторной группы с двумя МБ-100.</w:t>
      </w:r>
    </w:p>
    <w:p w14:paraId="23A9B8F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2. В случае установки четырех МБ-100, максимальная скорость возрастает на 80-85 км/ч, против скорости с АМ-35А или М-30, дальность полета на скорости 0,8 от максимальной при перегрузочной массе 35000 кг сократится до 2700 км.</w:t>
      </w:r>
    </w:p>
    <w:p w14:paraId="412956A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При крейсерской скорости 345 км/ч, соответствующей 0,8 максимальной скорости самолета с АМ-35А, МБ-100 будут эксплуатироваться на менее напряженном режиме, а именно на 40% от номинала. При этом дальность полета будет 3200 км. Разбег и скороподъемность самолета с четырьмя МБ-100 ухудшаются.</w:t>
      </w:r>
    </w:p>
    <w:p w14:paraId="69ED779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Проведенные расчеты показали, что ставить на Пе-8 МБ-100 не рационально ни в одном из вариантов компоновки (7685).</w:t>
      </w:r>
    </w:p>
    <w:p w14:paraId="5610D309" w14:textId="77777777" w:rsidR="00BB6316" w:rsidRPr="00722885" w:rsidRDefault="00BB6316" w:rsidP="00722885">
      <w:pPr>
        <w:pStyle w:val="Iauiue"/>
        <w:jc w:val="both"/>
        <w:rPr>
          <w:color w:val="000000" w:themeColor="text1"/>
          <w:sz w:val="16"/>
          <w:szCs w:val="16"/>
        </w:rPr>
      </w:pPr>
    </w:p>
    <w:p w14:paraId="5E7CE6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делали прикидки по ТБ-7 с двумя или четырьмя двигателями МБ-100 мощностью по 2200 л.с. Этот двигатель выполнялся по Х-образной схеме с использованием блоков от М-103. При двух МБ-100, по сравнению с вариантом с АМ-35А, максимальная скорость должна была уменьшиться на 45 км/ч, одновременно снижался потолок.</w:t>
      </w:r>
    </w:p>
    <w:p w14:paraId="78A560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Разбег возрастал на 300 м. Но дальность при одинаковом весе 35 000 кг увеличивалась на 900 км, главным образом путём увеличения запаса топлива за счёт меньшего суммарного веса двух моторов.</w:t>
      </w:r>
    </w:p>
    <w:p w14:paraId="7B6F22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случае установки четырёх МБ-100 максимальная скорость возрастала на 80 - 85 км/ч, а дальность сокращалась до 2700 км. Расчёты показали, что в обоих случаях ставить МБ-100 нерационально (11996). </w:t>
      </w:r>
    </w:p>
    <w:p w14:paraId="71935FE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DD22A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1942 г. завод № 22 в Казани провёл ремонт ТБ-7 дублер, одновременно заменив моторы АМ-34ФРН на АМ-35А. АЦН-2 при этом демонтировали, а в освободившийся отсек поместили дополнительный бензобак. Вооружение не меняли, но затем, уже в 890-м полку, установили кормовую пушку ШВАК вместо </w:t>
      </w:r>
      <w:r w:rsidRPr="00722885">
        <w:rPr>
          <w:rFonts w:ascii="Times New Roman" w:hAnsi="Times New Roman"/>
          <w:color w:val="000000" w:themeColor="text1"/>
          <w:sz w:val="16"/>
          <w:szCs w:val="16"/>
        </w:rPr>
        <w:lastRenderedPageBreak/>
        <w:t>пулемётов ШКАС, а в мотогондолах - пулемёты УБ вместо ШКАС. Потери в частях, воевавших на ТБ-7, были серьёзными, каждая машина была на счету, поэтому модернизированный "дублёр" сра зу по приходу с завода включили в боевой состав. Самолёт ухитрился провоевать - до весны 1944 г. ТБ-7 дублер выполнил более 120 боевых вылетов (больше, чем любой другой), с него на головы немцев сбросили около 500 т бомб и почти миллион листовок. Летали на этой машине в глубокий тыл противника для выброса разведывательных и диверсионных групп. Апофеозом его карьеры стал пролёт в качестве флагмана парада над Москвой 1 мая 1945 г. Вскоре после войны "дублёр" списали и пустили на слом (11996).</w:t>
      </w:r>
    </w:p>
    <w:p w14:paraId="42BF1D3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8D14896" w14:textId="77777777" w:rsidR="008032F3" w:rsidRPr="00722885" w:rsidRDefault="008032F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«с целью улучшения взлетных свойств тяжело нагруженной машины» лаборатория № 4 ЦАГИ провела испытания профилей крыла для бомбардировщика Ер-2. Были даны рекомендации о целесообразности использования профиля Б-240 в сочетании с более несущими профилями на концах крыла. Кроме того, для улучшения взлета самолета с крылом «обратная чайка» рекомендовали четыре варианта набора крыльев, один из которых «был принят заводом к исполнению» (19727).</w:t>
      </w:r>
    </w:p>
    <w:p w14:paraId="4FDA6866" w14:textId="77777777" w:rsidR="008032F3" w:rsidRPr="00722885" w:rsidRDefault="008032F3" w:rsidP="00722885">
      <w:pPr>
        <w:spacing w:after="0" w:line="240" w:lineRule="auto"/>
        <w:jc w:val="both"/>
        <w:rPr>
          <w:rFonts w:ascii="Times New Roman" w:hAnsi="Times New Roman"/>
          <w:color w:val="000000" w:themeColor="text1"/>
          <w:sz w:val="16"/>
          <w:szCs w:val="16"/>
        </w:rPr>
      </w:pPr>
    </w:p>
    <w:p w14:paraId="08E3FCF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Всего за 1942 г. два завода, № 22 и № 39, выпустили больше самолетов, Пе-2, чем годом раньше четыре завода - 2392 экземпляра. Трудоемкость изготовления одной машины снизили до 13,2 тыс. человеко-часов по сравнению с 25,3 тыс. в 1941 г. Это произошло отчасти за счет упрощения конструкции отдельных узлов, снятия части оборудования (например, с осени 1941 г. РПК-2 ставили только на один самолет из трех, а затем - только на разведчики) (3542).</w:t>
      </w:r>
    </w:p>
    <w:p w14:paraId="2D6BE5B2" w14:textId="77777777" w:rsidR="00BB6316" w:rsidRPr="00722885" w:rsidRDefault="00BB6316" w:rsidP="00722885">
      <w:pPr>
        <w:pStyle w:val="Iauiue"/>
        <w:jc w:val="both"/>
        <w:rPr>
          <w:color w:val="000000" w:themeColor="text1"/>
          <w:sz w:val="16"/>
          <w:szCs w:val="16"/>
        </w:rPr>
      </w:pPr>
    </w:p>
    <w:p w14:paraId="1F57BB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за 1942 г. заводы № 22 и № 39 выпустили 2392 экземпляра Пе-2 - больше, чем годом раньше сумели изготовить четыре предприятия. Трудоемкость одной машины снизилась до 13,2 тыс. человеко-часов по сравнению с 25,3 тыс. в 1941 г. Это произошло отчасти из-за упрощения конструкции отдельных узлов и снятия части оборудования (например, с осени 1941 г. РПК-2 ставили только на один самолет из трех, а затем только на разведчики). Тем временем главный конструктор Путилов расширял опытные работы: в мае проходит макетная комиссия по высотному разведчику-бомбардировщику ВР-ВБ, который предполагали оснастить моторами М-82НВ с турбокомпрессорами ТК-3; начинается постройка дублера высотного истребителя ВИ с такой же силовой установкой. Но над головой главного конструктора уже "сгустились тучи": несмотря на многочисленные требования НКАП и ГКО, летно-технические характеристики выпускаемых заводом пикировщиков по-прежнему неуклонно снижались (12042).</w:t>
      </w:r>
    </w:p>
    <w:p w14:paraId="03BA3AF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A73F6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согласно Отчету за 1942 год по окончательной сборке заводом № 124 сдано 1933 Пе-2, в том числе 62 разведчика и 17 учебных самолетов; сдано по боеготовности к бою 1870 Пе-2 (56 и 15 - разведчиков и учебных соответственно); отправлено в часть 1873 машин (53 и 13). Так же различались данные по Пе-8. По отчету 1942 г. числилось 17 этих самолетов, а по отчету 1943 г., по окончательной сборке за 1942 г., было 23 машины, 17 готовых к бою и 15 отправлены в часть.</w:t>
      </w:r>
    </w:p>
    <w:p w14:paraId="6DC7937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Интересным оказалось присутствие в отчете одного сданного ДС-3 и сравнение себестоимости Пе-2 и Пе-8. В 1941 г. Пе-2 стоил 442 тыс. рублей, и в 1942 г. - 310 тыс. рублей. А Пе-8 стоил 3210 тыс. руб. и 2214 тыс. руб. соответственно, то есть в семь раз больше. Несомненно, что такие затраты были еще одной причиной нелюбви завода к Пе-8.</w:t>
      </w:r>
    </w:p>
    <w:p w14:paraId="1C70ED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не только строил, но и ремонтировал самолеты. Ремонт производился 28 бригадами численностью 200 человек и был текущим, капитальным, средним и мелким. Пе-2, соответственно, было отремонтировано 33, 37, 98 и 916, а Пе-8 - 22, 4, 5 и 5. Кроме того, восстанавливались ТБ-3, СБ, Ар-2, различные отечественные и иностранные машины (12049).</w:t>
      </w:r>
    </w:p>
    <w:p w14:paraId="3360E7C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7A9CB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завод в Омске построил 80 бомбардировщиков, а один из них, согласно статистике МАП, сдали заказчику в следующем году. В то же время, в отчете завода № 166 сказано, что в январе 1943 года предприятие собрало 12 машин 7-й серии из задела прошлого года.</w:t>
      </w:r>
    </w:p>
    <w:p w14:paraId="37EF50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 не все они попали на фронт, часть машин находилась в НИИ ВВС, ЛИИ и в ОКБ-156, где они использовались для различных испытаний и доработок.</w:t>
      </w:r>
    </w:p>
    <w:p w14:paraId="72FD6C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 был существенно выше.</w:t>
      </w:r>
    </w:p>
    <w:p w14:paraId="7F3DF1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План выпуска самолетов Ту-2 ("103-В") на заводе № 166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9B487A" w:rsidRPr="00722885" w14:paraId="22F365DD" w14:textId="77777777" w:rsidTr="00CC5360">
        <w:tc>
          <w:tcPr>
            <w:tcW w:w="3736" w:type="dxa"/>
            <w:tcBorders>
              <w:top w:val="single" w:sz="12" w:space="0" w:color="auto"/>
            </w:tcBorders>
          </w:tcPr>
          <w:p w14:paraId="066C42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Серия</w:t>
            </w:r>
          </w:p>
        </w:tc>
        <w:tc>
          <w:tcPr>
            <w:tcW w:w="3736" w:type="dxa"/>
            <w:tcBorders>
              <w:top w:val="single" w:sz="12" w:space="0" w:color="auto"/>
            </w:tcBorders>
          </w:tcPr>
          <w:p w14:paraId="02512F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самолетов</w:t>
            </w:r>
          </w:p>
        </w:tc>
        <w:tc>
          <w:tcPr>
            <w:tcW w:w="3736" w:type="dxa"/>
            <w:tcBorders>
              <w:top w:val="single" w:sz="12" w:space="0" w:color="auto"/>
            </w:tcBorders>
          </w:tcPr>
          <w:p w14:paraId="7F956F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выпуска</w:t>
            </w:r>
          </w:p>
        </w:tc>
      </w:tr>
      <w:tr w:rsidR="009B487A" w:rsidRPr="00722885" w14:paraId="4E7748E4" w14:textId="77777777" w:rsidTr="00CC5360">
        <w:tc>
          <w:tcPr>
            <w:tcW w:w="3736" w:type="dxa"/>
          </w:tcPr>
          <w:p w14:paraId="6E9791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3736" w:type="dxa"/>
          </w:tcPr>
          <w:p w14:paraId="47B3AB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101 -105</w:t>
            </w:r>
          </w:p>
        </w:tc>
        <w:tc>
          <w:tcPr>
            <w:tcW w:w="3736" w:type="dxa"/>
          </w:tcPr>
          <w:p w14:paraId="52BA41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февраль - апрель</w:t>
            </w:r>
          </w:p>
        </w:tc>
      </w:tr>
      <w:tr w:rsidR="009B487A" w:rsidRPr="00722885" w14:paraId="5304FF24" w14:textId="77777777" w:rsidTr="00CC5360">
        <w:tc>
          <w:tcPr>
            <w:tcW w:w="3736" w:type="dxa"/>
          </w:tcPr>
          <w:p w14:paraId="51343D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3736" w:type="dxa"/>
          </w:tcPr>
          <w:p w14:paraId="5C1511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201 - 205</w:t>
            </w:r>
          </w:p>
        </w:tc>
        <w:tc>
          <w:tcPr>
            <w:tcW w:w="3736" w:type="dxa"/>
          </w:tcPr>
          <w:p w14:paraId="2F510A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апрель - май</w:t>
            </w:r>
          </w:p>
        </w:tc>
      </w:tr>
      <w:tr w:rsidR="009B487A" w:rsidRPr="00722885" w14:paraId="40D9F4AC" w14:textId="77777777" w:rsidTr="00CC5360">
        <w:tc>
          <w:tcPr>
            <w:tcW w:w="3736" w:type="dxa"/>
          </w:tcPr>
          <w:p w14:paraId="01BCF9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3736" w:type="dxa"/>
          </w:tcPr>
          <w:p w14:paraId="49C5DC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301-310</w:t>
            </w:r>
          </w:p>
        </w:tc>
        <w:tc>
          <w:tcPr>
            <w:tcW w:w="3736" w:type="dxa"/>
          </w:tcPr>
          <w:p w14:paraId="46B8F6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май - июнь</w:t>
            </w:r>
          </w:p>
        </w:tc>
      </w:tr>
      <w:tr w:rsidR="009B487A" w:rsidRPr="00722885" w14:paraId="11014E84" w14:textId="77777777" w:rsidTr="00CC5360">
        <w:tc>
          <w:tcPr>
            <w:tcW w:w="3736" w:type="dxa"/>
          </w:tcPr>
          <w:p w14:paraId="048C4C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3736" w:type="dxa"/>
          </w:tcPr>
          <w:p w14:paraId="1553C8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401-410</w:t>
            </w:r>
          </w:p>
        </w:tc>
        <w:tc>
          <w:tcPr>
            <w:tcW w:w="3736" w:type="dxa"/>
          </w:tcPr>
          <w:p w14:paraId="4A35E7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июнь - июль</w:t>
            </w:r>
          </w:p>
        </w:tc>
      </w:tr>
      <w:tr w:rsidR="009B487A" w:rsidRPr="00722885" w14:paraId="40783203" w14:textId="77777777" w:rsidTr="00CC5360">
        <w:tc>
          <w:tcPr>
            <w:tcW w:w="3736" w:type="dxa"/>
          </w:tcPr>
          <w:p w14:paraId="7A2DD1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tc>
        <w:tc>
          <w:tcPr>
            <w:tcW w:w="3736" w:type="dxa"/>
          </w:tcPr>
          <w:p w14:paraId="4ABF9B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501-510</w:t>
            </w:r>
          </w:p>
        </w:tc>
        <w:tc>
          <w:tcPr>
            <w:tcW w:w="3736" w:type="dxa"/>
          </w:tcPr>
          <w:p w14:paraId="33AAF4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июль - август</w:t>
            </w:r>
          </w:p>
        </w:tc>
      </w:tr>
      <w:tr w:rsidR="009B487A" w:rsidRPr="00722885" w14:paraId="3F8A8991" w14:textId="77777777" w:rsidTr="00CC5360">
        <w:tc>
          <w:tcPr>
            <w:tcW w:w="3736" w:type="dxa"/>
          </w:tcPr>
          <w:p w14:paraId="5E236F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3736" w:type="dxa"/>
          </w:tcPr>
          <w:p w14:paraId="107127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601 - 620</w:t>
            </w:r>
          </w:p>
        </w:tc>
        <w:tc>
          <w:tcPr>
            <w:tcW w:w="3736" w:type="dxa"/>
          </w:tcPr>
          <w:p w14:paraId="5FFE72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август - сентябрь</w:t>
            </w:r>
          </w:p>
        </w:tc>
      </w:tr>
      <w:tr w:rsidR="009B487A" w:rsidRPr="00722885" w14:paraId="314D7AD9" w14:textId="77777777" w:rsidTr="00CC5360">
        <w:tc>
          <w:tcPr>
            <w:tcW w:w="3736" w:type="dxa"/>
            <w:tcBorders>
              <w:bottom w:val="single" w:sz="12" w:space="0" w:color="auto"/>
            </w:tcBorders>
          </w:tcPr>
          <w:p w14:paraId="40CC59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w:t>
            </w:r>
          </w:p>
        </w:tc>
        <w:tc>
          <w:tcPr>
            <w:tcW w:w="3736" w:type="dxa"/>
            <w:tcBorders>
              <w:bottom w:val="single" w:sz="12" w:space="0" w:color="auto"/>
            </w:tcBorders>
          </w:tcPr>
          <w:p w14:paraId="7A8D2E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701 - 720</w:t>
            </w:r>
          </w:p>
        </w:tc>
        <w:tc>
          <w:tcPr>
            <w:tcW w:w="3736" w:type="dxa"/>
            <w:tcBorders>
              <w:bottom w:val="single" w:sz="12" w:space="0" w:color="auto"/>
            </w:tcBorders>
          </w:tcPr>
          <w:p w14:paraId="154C75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сентябрь - октябрь</w:t>
            </w:r>
          </w:p>
        </w:tc>
      </w:tr>
    </w:tbl>
    <w:p w14:paraId="046EB0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Оккупация немцами значительной территории европейской части СССР, где находились заводы по производству алюминия, привела к необходимости более широкого использования в самолетостроении древесины. В связи с этим на Ту-2 в 1942 году внедрили деревянные носовую (до третьего шпангоута) часть и хвостовой кок фюзеляжа (12035).</w:t>
      </w:r>
    </w:p>
    <w:p w14:paraId="2579A84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6346063" w14:textId="77777777" w:rsidR="00BB79F3" w:rsidRPr="00722885" w:rsidRDefault="00BB79F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С 1942 г. на заводе № 22 часть серийных Пе-2 стали выпускать в варианте разведчика. Они не имели особого обозначения, и специальный индекс Пе-2Р в документах часто не отражался. На такие самолеты не ставили часть бомбардировочного оборудования и тормозные решетки, а взамен была обеспечена установка в фюзеляжном бомбоотсеке двух фотоаппаратов — АФА-1 с объективами «Индустар-13» с фокусным расстоянием 300 или 500 мм и АФА-27Т. Самолет Пе-2Р получал второй комплект створок этого отсека — выпуклых и с вырезами под объективы. Вместо малой камеры АФА-Б в кабине штурмана можно было ставить ночной НАФА-19 с его командным прибором, тогда вместо АФА-1 подвешивались шесть фотографических авиабомб ФотАБ-50-35 весом по 35 кг. Яркие вспышки ФотАБ освещали цель и одновременно включали спуск НАФА — их улавливал фотоэлемент командного прибора под прозрачным лючком в хвосте самолета. Каждый Пе-2Р должен был комплектоваться ручным фотоаппаратом АФА-27Т-1, которым снимал штурман сквозь остекление кабины, однако на все самолеты их не хватало.</w:t>
      </w:r>
    </w:p>
    <w:p w14:paraId="02629162" w14:textId="77777777" w:rsidR="00BB79F3" w:rsidRPr="00722885" w:rsidRDefault="00BB79F3" w:rsidP="00722885">
      <w:pPr>
        <w:spacing w:after="0" w:line="240" w:lineRule="auto"/>
        <w:jc w:val="both"/>
        <w:rPr>
          <w:rFonts w:ascii="Times New Roman" w:hAnsi="Times New Roman"/>
          <w:color w:val="0070C0"/>
          <w:sz w:val="16"/>
          <w:szCs w:val="16"/>
        </w:rPr>
      </w:pPr>
      <w:r w:rsidRPr="00722885">
        <w:rPr>
          <w:rFonts w:ascii="Times New Roman" w:hAnsi="Times New Roman"/>
          <w:color w:val="0070C0"/>
          <w:sz w:val="16"/>
          <w:szCs w:val="16"/>
        </w:rPr>
        <w:t>Кроме типовой комплектации Пе-2Р фотооборудованием, были самолеты особой сборки. Например, в 1942 г. значительная часть машин вместо АФА-1 получила более совершенный трехсотмиллиметровый АФА-3с (22828).</w:t>
      </w:r>
    </w:p>
    <w:p w14:paraId="1A7000CB" w14:textId="77777777" w:rsidR="00BB79F3" w:rsidRPr="00722885" w:rsidRDefault="00BB79F3" w:rsidP="00722885">
      <w:pPr>
        <w:spacing w:after="0" w:line="240" w:lineRule="auto"/>
        <w:jc w:val="both"/>
        <w:rPr>
          <w:rFonts w:ascii="Times New Roman" w:hAnsi="Times New Roman"/>
          <w:color w:val="0070C0"/>
          <w:sz w:val="16"/>
          <w:szCs w:val="16"/>
        </w:rPr>
      </w:pPr>
    </w:p>
    <w:p w14:paraId="4739D6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1942-го по 1952-й годы продолжался серийный выпуск Ту-2. За этот период завод № 166 сдал заказчику 80 Ту-2 (1942-1943 гг.) и 222 Ту-2С (1946-1949 гг.), завод № 23 построил 1958 Ту-2С (1943-1949 гг.), 23 учебных УТу-2 (1946 г.) и 13 разведчиков Ту-2Р (1946 г.), завод № 39 выпустил 218, а № 82 - 25 Ту-2.</w:t>
      </w:r>
    </w:p>
    <w:p w14:paraId="10D4BE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Постановлением правительства от 25 апреля 1950 года МАП обязали восстановить производство Ту-2. В 1951 году на заводе № 23 Ту-2 выпускали с пулеметами УБТ-12,7, пушками Б-20ЭН и ШВАК-20 за счет имевшегося наличия на заводах МАПа и базах советских ВВС, но пулеметов УБК-12,7 не хватало. В 1952 году ОКБ-156 должно было модернизировать бомбардировщик, чтобы полностью перейти на выпуск Ту-2 с электрифицированными орудиями Б-20ЭН, но полностью реализовать это постановление не удалось. В общей сложности отечественные заводы до 1951 года построили 2649 самолетов Ту-2 разных модификаций, не считая опытных, и переоборудовали в УТБ - 176 бомбардировщиков (12035).</w:t>
      </w:r>
    </w:p>
    <w:p w14:paraId="4CA6E7C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A1591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 1942 вместе с учебно-тренировочным вариантом УТИ-4 общее количество построенных И-16 в периоде 1934-го по 1942-й год составило 10292 экземпляра. Приведенная цифра соответствует нижеприведенной таблице. на практике общая численность может оцениваться с вариацией в несколько экземпляров. </w:t>
      </w:r>
    </w:p>
    <w:p w14:paraId="687548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Серийное производство И-16 в период 1934-1942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gridCol w:w="1019"/>
        <w:gridCol w:w="1019"/>
      </w:tblGrid>
      <w:tr w:rsidR="009B487A" w:rsidRPr="00722885" w14:paraId="20B6EBB2" w14:textId="77777777" w:rsidTr="00CC5360">
        <w:tc>
          <w:tcPr>
            <w:tcW w:w="1019" w:type="dxa"/>
            <w:tcBorders>
              <w:top w:val="single" w:sz="12" w:space="0" w:color="auto"/>
            </w:tcBorders>
          </w:tcPr>
          <w:p w14:paraId="767A12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 Москва</w:t>
            </w:r>
          </w:p>
        </w:tc>
        <w:tc>
          <w:tcPr>
            <w:tcW w:w="1019" w:type="dxa"/>
            <w:tcBorders>
              <w:top w:val="single" w:sz="12" w:space="0" w:color="auto"/>
            </w:tcBorders>
          </w:tcPr>
          <w:p w14:paraId="44281A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c>
          <w:tcPr>
            <w:tcW w:w="1019" w:type="dxa"/>
            <w:tcBorders>
              <w:top w:val="single" w:sz="12" w:space="0" w:color="auto"/>
            </w:tcBorders>
          </w:tcPr>
          <w:p w14:paraId="5198EC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019" w:type="dxa"/>
            <w:tcBorders>
              <w:top w:val="single" w:sz="12" w:space="0" w:color="auto"/>
            </w:tcBorders>
          </w:tcPr>
          <w:p w14:paraId="72AF6C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tc>
        <w:tc>
          <w:tcPr>
            <w:tcW w:w="1019" w:type="dxa"/>
            <w:tcBorders>
              <w:top w:val="single" w:sz="12" w:space="0" w:color="auto"/>
            </w:tcBorders>
          </w:tcPr>
          <w:p w14:paraId="4ED3A2A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2814905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37F2ADC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74027AE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1E3192D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6EDAE81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5F06BE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w:t>
            </w:r>
          </w:p>
        </w:tc>
      </w:tr>
      <w:tr w:rsidR="009B487A" w:rsidRPr="00722885" w14:paraId="7D551EA2" w14:textId="77777777" w:rsidTr="00CC5360">
        <w:tc>
          <w:tcPr>
            <w:tcW w:w="1019" w:type="dxa"/>
          </w:tcPr>
          <w:p w14:paraId="247CCA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Н.Новгород</w:t>
            </w:r>
          </w:p>
        </w:tc>
        <w:tc>
          <w:tcPr>
            <w:tcW w:w="1019" w:type="dxa"/>
          </w:tcPr>
          <w:p w14:paraId="627B25B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296251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527</w:t>
            </w:r>
          </w:p>
        </w:tc>
        <w:tc>
          <w:tcPr>
            <w:tcW w:w="1019" w:type="dxa"/>
          </w:tcPr>
          <w:p w14:paraId="3BD1A6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902</w:t>
            </w:r>
          </w:p>
        </w:tc>
        <w:tc>
          <w:tcPr>
            <w:tcW w:w="1019" w:type="dxa"/>
          </w:tcPr>
          <w:p w14:paraId="74F63D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1881</w:t>
            </w:r>
          </w:p>
        </w:tc>
        <w:tc>
          <w:tcPr>
            <w:tcW w:w="1019" w:type="dxa"/>
          </w:tcPr>
          <w:p w14:paraId="2599DBD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1070</w:t>
            </w:r>
          </w:p>
        </w:tc>
        <w:tc>
          <w:tcPr>
            <w:tcW w:w="1019" w:type="dxa"/>
          </w:tcPr>
          <w:p w14:paraId="1A934A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1571</w:t>
            </w:r>
          </w:p>
        </w:tc>
        <w:tc>
          <w:tcPr>
            <w:tcW w:w="1019" w:type="dxa"/>
          </w:tcPr>
          <w:p w14:paraId="1FA88A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2207</w:t>
            </w:r>
          </w:p>
        </w:tc>
        <w:tc>
          <w:tcPr>
            <w:tcW w:w="1019" w:type="dxa"/>
          </w:tcPr>
          <w:p w14:paraId="1FCEE6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336</w:t>
            </w:r>
          </w:p>
        </w:tc>
        <w:tc>
          <w:tcPr>
            <w:tcW w:w="1019" w:type="dxa"/>
          </w:tcPr>
          <w:p w14:paraId="5F72272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395497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8494</w:t>
            </w:r>
          </w:p>
        </w:tc>
      </w:tr>
      <w:tr w:rsidR="009B487A" w:rsidRPr="00722885" w14:paraId="7809EE74" w14:textId="77777777" w:rsidTr="00CC5360">
        <w:tc>
          <w:tcPr>
            <w:tcW w:w="1019" w:type="dxa"/>
          </w:tcPr>
          <w:p w14:paraId="45852E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№153 Новосибирск</w:t>
            </w:r>
          </w:p>
        </w:tc>
        <w:tc>
          <w:tcPr>
            <w:tcW w:w="1019" w:type="dxa"/>
          </w:tcPr>
          <w:p w14:paraId="214C41C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0583C0F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2A8F7A0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5D487F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1019" w:type="dxa"/>
          </w:tcPr>
          <w:p w14:paraId="4145F8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w:t>
            </w:r>
          </w:p>
        </w:tc>
        <w:tc>
          <w:tcPr>
            <w:tcW w:w="1019" w:type="dxa"/>
          </w:tcPr>
          <w:p w14:paraId="346813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264</w:t>
            </w:r>
          </w:p>
        </w:tc>
        <w:tc>
          <w:tcPr>
            <w:tcW w:w="1019" w:type="dxa"/>
          </w:tcPr>
          <w:p w14:paraId="17D3C0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503</w:t>
            </w:r>
          </w:p>
        </w:tc>
        <w:tc>
          <w:tcPr>
            <w:tcW w:w="1019" w:type="dxa"/>
          </w:tcPr>
          <w:p w14:paraId="318BF3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423</w:t>
            </w:r>
          </w:p>
        </w:tc>
        <w:tc>
          <w:tcPr>
            <w:tcW w:w="1019" w:type="dxa"/>
          </w:tcPr>
          <w:p w14:paraId="611951E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23686C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1301</w:t>
            </w:r>
          </w:p>
        </w:tc>
      </w:tr>
      <w:tr w:rsidR="009B487A" w:rsidRPr="00722885" w14:paraId="3DAD5D15" w14:textId="77777777" w:rsidTr="00CC5360">
        <w:tc>
          <w:tcPr>
            <w:tcW w:w="1019" w:type="dxa"/>
          </w:tcPr>
          <w:p w14:paraId="300DD3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458 Ростов-на-Дону</w:t>
            </w:r>
          </w:p>
        </w:tc>
        <w:tc>
          <w:tcPr>
            <w:tcW w:w="1019" w:type="dxa"/>
          </w:tcPr>
          <w:p w14:paraId="1D7C61C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47C052D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3837788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4318564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17B3675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58915F1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5BFA867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019" w:type="dxa"/>
          </w:tcPr>
          <w:p w14:paraId="350586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356</w:t>
            </w:r>
          </w:p>
        </w:tc>
        <w:tc>
          <w:tcPr>
            <w:tcW w:w="1019" w:type="dxa"/>
          </w:tcPr>
          <w:p w14:paraId="3005E5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w:t>
            </w:r>
          </w:p>
        </w:tc>
        <w:tc>
          <w:tcPr>
            <w:tcW w:w="1019" w:type="dxa"/>
          </w:tcPr>
          <w:p w14:paraId="6D49A78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439</w:t>
            </w:r>
          </w:p>
        </w:tc>
      </w:tr>
      <w:tr w:rsidR="009B487A" w:rsidRPr="00722885" w14:paraId="133B2AB6" w14:textId="77777777" w:rsidTr="00CC5360">
        <w:tc>
          <w:tcPr>
            <w:tcW w:w="1019" w:type="dxa"/>
            <w:tcBorders>
              <w:bottom w:val="single" w:sz="12" w:space="0" w:color="auto"/>
            </w:tcBorders>
          </w:tcPr>
          <w:p w14:paraId="3ED8C3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1019" w:type="dxa"/>
            <w:tcBorders>
              <w:bottom w:val="single" w:sz="12" w:space="0" w:color="auto"/>
            </w:tcBorders>
          </w:tcPr>
          <w:p w14:paraId="1CD1BD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c>
          <w:tcPr>
            <w:tcW w:w="1019" w:type="dxa"/>
            <w:tcBorders>
              <w:bottom w:val="single" w:sz="12" w:space="0" w:color="auto"/>
            </w:tcBorders>
          </w:tcPr>
          <w:p w14:paraId="356B3E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529</w:t>
            </w:r>
          </w:p>
        </w:tc>
        <w:tc>
          <w:tcPr>
            <w:tcW w:w="1019" w:type="dxa"/>
            <w:tcBorders>
              <w:bottom w:val="single" w:sz="12" w:space="0" w:color="auto"/>
            </w:tcBorders>
          </w:tcPr>
          <w:p w14:paraId="6E4238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906</w:t>
            </w:r>
          </w:p>
        </w:tc>
        <w:tc>
          <w:tcPr>
            <w:tcW w:w="1019" w:type="dxa"/>
            <w:tcBorders>
              <w:bottom w:val="single" w:sz="12" w:space="0" w:color="auto"/>
            </w:tcBorders>
          </w:tcPr>
          <w:p w14:paraId="7D80BA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1887</w:t>
            </w:r>
          </w:p>
        </w:tc>
        <w:tc>
          <w:tcPr>
            <w:tcW w:w="1019" w:type="dxa"/>
            <w:tcBorders>
              <w:bottom w:val="single" w:sz="12" w:space="0" w:color="auto"/>
            </w:tcBorders>
          </w:tcPr>
          <w:p w14:paraId="4E786C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1175</w:t>
            </w:r>
          </w:p>
        </w:tc>
        <w:tc>
          <w:tcPr>
            <w:tcW w:w="1019" w:type="dxa"/>
            <w:tcBorders>
              <w:bottom w:val="single" w:sz="12" w:space="0" w:color="auto"/>
            </w:tcBorders>
          </w:tcPr>
          <w:p w14:paraId="7CE171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1835</w:t>
            </w:r>
          </w:p>
        </w:tc>
        <w:tc>
          <w:tcPr>
            <w:tcW w:w="1019" w:type="dxa"/>
            <w:tcBorders>
              <w:bottom w:val="single" w:sz="12" w:space="0" w:color="auto"/>
            </w:tcBorders>
          </w:tcPr>
          <w:p w14:paraId="6FD45C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2710</w:t>
            </w:r>
          </w:p>
        </w:tc>
        <w:tc>
          <w:tcPr>
            <w:tcW w:w="1019" w:type="dxa"/>
            <w:tcBorders>
              <w:bottom w:val="single" w:sz="12" w:space="0" w:color="auto"/>
            </w:tcBorders>
          </w:tcPr>
          <w:p w14:paraId="40DD93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1115</w:t>
            </w:r>
          </w:p>
        </w:tc>
        <w:tc>
          <w:tcPr>
            <w:tcW w:w="1019" w:type="dxa"/>
            <w:tcBorders>
              <w:bottom w:val="single" w:sz="12" w:space="0" w:color="auto"/>
            </w:tcBorders>
          </w:tcPr>
          <w:p w14:paraId="0F69E7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w:t>
            </w:r>
          </w:p>
        </w:tc>
        <w:tc>
          <w:tcPr>
            <w:tcW w:w="1019" w:type="dxa"/>
            <w:tcBorders>
              <w:bottom w:val="single" w:sz="12" w:space="0" w:color="auto"/>
            </w:tcBorders>
          </w:tcPr>
          <w:p w14:paraId="6CE473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10292</w:t>
            </w:r>
          </w:p>
        </w:tc>
      </w:tr>
    </w:tbl>
    <w:p w14:paraId="5FE234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Выпуск И-16 по типам и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992"/>
        <w:gridCol w:w="992"/>
        <w:gridCol w:w="992"/>
        <w:gridCol w:w="992"/>
        <w:gridCol w:w="993"/>
        <w:gridCol w:w="1134"/>
        <w:gridCol w:w="992"/>
        <w:gridCol w:w="850"/>
        <w:gridCol w:w="993"/>
      </w:tblGrid>
      <w:tr w:rsidR="009B487A" w:rsidRPr="00722885" w14:paraId="08128246" w14:textId="77777777" w:rsidTr="00CC5360">
        <w:tc>
          <w:tcPr>
            <w:tcW w:w="1101" w:type="dxa"/>
            <w:tcBorders>
              <w:top w:val="single" w:sz="12" w:space="0" w:color="auto"/>
            </w:tcBorders>
          </w:tcPr>
          <w:p w14:paraId="03FB549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5BE805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1934</w:t>
            </w:r>
          </w:p>
        </w:tc>
        <w:tc>
          <w:tcPr>
            <w:tcW w:w="992" w:type="dxa"/>
            <w:tcBorders>
              <w:top w:val="single" w:sz="12" w:space="0" w:color="auto"/>
            </w:tcBorders>
          </w:tcPr>
          <w:p w14:paraId="6F3871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1935</w:t>
            </w:r>
          </w:p>
        </w:tc>
        <w:tc>
          <w:tcPr>
            <w:tcW w:w="992" w:type="dxa"/>
            <w:tcBorders>
              <w:top w:val="single" w:sz="12" w:space="0" w:color="auto"/>
            </w:tcBorders>
          </w:tcPr>
          <w:p w14:paraId="636EAB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1936</w:t>
            </w:r>
          </w:p>
        </w:tc>
        <w:tc>
          <w:tcPr>
            <w:tcW w:w="992" w:type="dxa"/>
            <w:tcBorders>
              <w:top w:val="single" w:sz="12" w:space="0" w:color="auto"/>
            </w:tcBorders>
          </w:tcPr>
          <w:p w14:paraId="27BB23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1937</w:t>
            </w:r>
          </w:p>
        </w:tc>
        <w:tc>
          <w:tcPr>
            <w:tcW w:w="992" w:type="dxa"/>
            <w:tcBorders>
              <w:top w:val="single" w:sz="12" w:space="0" w:color="auto"/>
            </w:tcBorders>
          </w:tcPr>
          <w:p w14:paraId="515FAA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1938</w:t>
            </w:r>
          </w:p>
        </w:tc>
        <w:tc>
          <w:tcPr>
            <w:tcW w:w="993" w:type="dxa"/>
            <w:tcBorders>
              <w:top w:val="single" w:sz="12" w:space="0" w:color="auto"/>
            </w:tcBorders>
          </w:tcPr>
          <w:p w14:paraId="5E2930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1939</w:t>
            </w:r>
          </w:p>
        </w:tc>
        <w:tc>
          <w:tcPr>
            <w:tcW w:w="1134" w:type="dxa"/>
            <w:tcBorders>
              <w:top w:val="single" w:sz="12" w:space="0" w:color="auto"/>
            </w:tcBorders>
          </w:tcPr>
          <w:p w14:paraId="6D2ED7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1940</w:t>
            </w:r>
          </w:p>
        </w:tc>
        <w:tc>
          <w:tcPr>
            <w:tcW w:w="992" w:type="dxa"/>
            <w:tcBorders>
              <w:top w:val="single" w:sz="12" w:space="0" w:color="auto"/>
            </w:tcBorders>
          </w:tcPr>
          <w:p w14:paraId="38FC3E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w:t>
            </w:r>
          </w:p>
        </w:tc>
        <w:tc>
          <w:tcPr>
            <w:tcW w:w="850" w:type="dxa"/>
            <w:tcBorders>
              <w:top w:val="single" w:sz="12" w:space="0" w:color="auto"/>
            </w:tcBorders>
          </w:tcPr>
          <w:p w14:paraId="3FFD34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993" w:type="dxa"/>
            <w:tcBorders>
              <w:top w:val="single" w:sz="12" w:space="0" w:color="auto"/>
            </w:tcBorders>
          </w:tcPr>
          <w:p w14:paraId="6FD637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r>
      <w:tr w:rsidR="009B487A" w:rsidRPr="00722885" w14:paraId="6A58A0AA" w14:textId="77777777" w:rsidTr="00CC5360">
        <w:tc>
          <w:tcPr>
            <w:tcW w:w="1101" w:type="dxa"/>
          </w:tcPr>
          <w:p w14:paraId="491C59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4</w:t>
            </w:r>
          </w:p>
        </w:tc>
        <w:tc>
          <w:tcPr>
            <w:tcW w:w="992" w:type="dxa"/>
          </w:tcPr>
          <w:p w14:paraId="5FAEB57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tc>
        <w:tc>
          <w:tcPr>
            <w:tcW w:w="992" w:type="dxa"/>
          </w:tcPr>
          <w:p w14:paraId="4C7375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464</w:t>
            </w:r>
          </w:p>
        </w:tc>
        <w:tc>
          <w:tcPr>
            <w:tcW w:w="992" w:type="dxa"/>
          </w:tcPr>
          <w:p w14:paraId="048123E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694B1DF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01C9B71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3282D5B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134" w:type="dxa"/>
          </w:tcPr>
          <w:p w14:paraId="604C87F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73092D6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50" w:type="dxa"/>
          </w:tcPr>
          <w:p w14:paraId="4220A3D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793B13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5051</w:t>
            </w:r>
          </w:p>
        </w:tc>
      </w:tr>
      <w:tr w:rsidR="009B487A" w:rsidRPr="00722885" w14:paraId="4CD0E7E9" w14:textId="77777777" w:rsidTr="00CC5360">
        <w:tc>
          <w:tcPr>
            <w:tcW w:w="1101" w:type="dxa"/>
          </w:tcPr>
          <w:p w14:paraId="651879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5</w:t>
            </w:r>
          </w:p>
        </w:tc>
        <w:tc>
          <w:tcPr>
            <w:tcW w:w="992" w:type="dxa"/>
          </w:tcPr>
          <w:p w14:paraId="7708FB6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2EA103D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721C56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861</w:t>
            </w:r>
          </w:p>
        </w:tc>
        <w:tc>
          <w:tcPr>
            <w:tcW w:w="992" w:type="dxa"/>
          </w:tcPr>
          <w:p w14:paraId="4436C8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16652</w:t>
            </w:r>
          </w:p>
        </w:tc>
        <w:tc>
          <w:tcPr>
            <w:tcW w:w="992" w:type="dxa"/>
          </w:tcPr>
          <w:p w14:paraId="04B5B3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1693</w:t>
            </w:r>
          </w:p>
        </w:tc>
        <w:tc>
          <w:tcPr>
            <w:tcW w:w="993" w:type="dxa"/>
          </w:tcPr>
          <w:p w14:paraId="49BAFF5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134" w:type="dxa"/>
          </w:tcPr>
          <w:p w14:paraId="25E374D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2207399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50" w:type="dxa"/>
          </w:tcPr>
          <w:p w14:paraId="0A38767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3325D1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2695</w:t>
            </w:r>
          </w:p>
        </w:tc>
      </w:tr>
      <w:tr w:rsidR="009B487A" w:rsidRPr="00722885" w14:paraId="3B3D0B12" w14:textId="77777777" w:rsidTr="00CC5360">
        <w:tc>
          <w:tcPr>
            <w:tcW w:w="1101" w:type="dxa"/>
          </w:tcPr>
          <w:p w14:paraId="055DC4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10</w:t>
            </w:r>
          </w:p>
        </w:tc>
        <w:tc>
          <w:tcPr>
            <w:tcW w:w="992" w:type="dxa"/>
          </w:tcPr>
          <w:p w14:paraId="795534D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54D9C41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4143D2F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6200FAD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5AA3CAE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58AC77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508</w:t>
            </w:r>
          </w:p>
        </w:tc>
        <w:tc>
          <w:tcPr>
            <w:tcW w:w="1134" w:type="dxa"/>
          </w:tcPr>
          <w:p w14:paraId="6B7C08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426</w:t>
            </w:r>
          </w:p>
        </w:tc>
        <w:tc>
          <w:tcPr>
            <w:tcW w:w="992" w:type="dxa"/>
          </w:tcPr>
          <w:p w14:paraId="105B1B9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50" w:type="dxa"/>
          </w:tcPr>
          <w:p w14:paraId="123EC82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0D9229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934</w:t>
            </w:r>
          </w:p>
        </w:tc>
      </w:tr>
      <w:tr w:rsidR="009B487A" w:rsidRPr="00722885" w14:paraId="5236E5E0" w14:textId="77777777" w:rsidTr="00CC5360">
        <w:tc>
          <w:tcPr>
            <w:tcW w:w="1101" w:type="dxa"/>
          </w:tcPr>
          <w:p w14:paraId="2FDE92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12</w:t>
            </w:r>
          </w:p>
        </w:tc>
        <w:tc>
          <w:tcPr>
            <w:tcW w:w="992" w:type="dxa"/>
          </w:tcPr>
          <w:p w14:paraId="08A12DE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2A6A10D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4215DF5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5C265D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992" w:type="dxa"/>
          </w:tcPr>
          <w:p w14:paraId="46D288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993" w:type="dxa"/>
          </w:tcPr>
          <w:p w14:paraId="15BC43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w:t>
            </w:r>
          </w:p>
        </w:tc>
        <w:tc>
          <w:tcPr>
            <w:tcW w:w="1134" w:type="dxa"/>
          </w:tcPr>
          <w:p w14:paraId="72665D3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5C12BFA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50" w:type="dxa"/>
          </w:tcPr>
          <w:p w14:paraId="564E434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1376DE3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6040FCD6" w14:textId="77777777" w:rsidTr="00CC5360">
        <w:tc>
          <w:tcPr>
            <w:tcW w:w="1101" w:type="dxa"/>
          </w:tcPr>
          <w:p w14:paraId="1F1DA7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14 (УТИ-2)</w:t>
            </w:r>
          </w:p>
        </w:tc>
        <w:tc>
          <w:tcPr>
            <w:tcW w:w="992" w:type="dxa"/>
          </w:tcPr>
          <w:p w14:paraId="4FB687D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288718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224</w:t>
            </w:r>
          </w:p>
        </w:tc>
        <w:tc>
          <w:tcPr>
            <w:tcW w:w="992" w:type="dxa"/>
          </w:tcPr>
          <w:p w14:paraId="61BD2F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w:t>
            </w:r>
          </w:p>
        </w:tc>
        <w:tc>
          <w:tcPr>
            <w:tcW w:w="992" w:type="dxa"/>
          </w:tcPr>
          <w:p w14:paraId="31DBB00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53FDF49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509DD13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134" w:type="dxa"/>
          </w:tcPr>
          <w:p w14:paraId="5171502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031CC21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50" w:type="dxa"/>
          </w:tcPr>
          <w:p w14:paraId="014E784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3A68C4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w:t>
            </w:r>
          </w:p>
        </w:tc>
      </w:tr>
      <w:tr w:rsidR="009B487A" w:rsidRPr="00722885" w14:paraId="083C9B20" w14:textId="77777777" w:rsidTr="00CC5360">
        <w:tc>
          <w:tcPr>
            <w:tcW w:w="1101" w:type="dxa"/>
          </w:tcPr>
          <w:p w14:paraId="383096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15 (УТИ-4)</w:t>
            </w:r>
          </w:p>
        </w:tc>
        <w:tc>
          <w:tcPr>
            <w:tcW w:w="992" w:type="dxa"/>
          </w:tcPr>
          <w:p w14:paraId="3B0B8B6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44EF46B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2A785D4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669E55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206</w:t>
            </w:r>
          </w:p>
        </w:tc>
        <w:tc>
          <w:tcPr>
            <w:tcW w:w="992" w:type="dxa"/>
          </w:tcPr>
          <w:p w14:paraId="634C06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352</w:t>
            </w:r>
          </w:p>
        </w:tc>
        <w:tc>
          <w:tcPr>
            <w:tcW w:w="993" w:type="dxa"/>
          </w:tcPr>
          <w:p w14:paraId="769AC5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635</w:t>
            </w:r>
          </w:p>
        </w:tc>
        <w:tc>
          <w:tcPr>
            <w:tcW w:w="1134" w:type="dxa"/>
          </w:tcPr>
          <w:p w14:paraId="2A9AF0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1103</w:t>
            </w:r>
          </w:p>
        </w:tc>
        <w:tc>
          <w:tcPr>
            <w:tcW w:w="992" w:type="dxa"/>
          </w:tcPr>
          <w:p w14:paraId="15176B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1016</w:t>
            </w:r>
          </w:p>
        </w:tc>
        <w:tc>
          <w:tcPr>
            <w:tcW w:w="850" w:type="dxa"/>
          </w:tcPr>
          <w:p w14:paraId="3E8BF0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w:t>
            </w:r>
          </w:p>
        </w:tc>
        <w:tc>
          <w:tcPr>
            <w:tcW w:w="993" w:type="dxa"/>
          </w:tcPr>
          <w:p w14:paraId="199BC7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3395</w:t>
            </w:r>
          </w:p>
        </w:tc>
      </w:tr>
      <w:tr w:rsidR="009B487A" w:rsidRPr="00722885" w14:paraId="39FB19D3" w14:textId="77777777" w:rsidTr="00CC5360">
        <w:tc>
          <w:tcPr>
            <w:tcW w:w="1101" w:type="dxa"/>
          </w:tcPr>
          <w:p w14:paraId="1817C7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17</w:t>
            </w:r>
          </w:p>
        </w:tc>
        <w:tc>
          <w:tcPr>
            <w:tcW w:w="992" w:type="dxa"/>
          </w:tcPr>
          <w:p w14:paraId="6353583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0F6CFEB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6373A0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w:t>
            </w:r>
          </w:p>
        </w:tc>
        <w:tc>
          <w:tcPr>
            <w:tcW w:w="992" w:type="dxa"/>
          </w:tcPr>
          <w:p w14:paraId="65E7AE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314</w:t>
            </w:r>
          </w:p>
        </w:tc>
        <w:tc>
          <w:tcPr>
            <w:tcW w:w="992" w:type="dxa"/>
          </w:tcPr>
          <w:p w14:paraId="0412612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5024BB8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134" w:type="dxa"/>
          </w:tcPr>
          <w:p w14:paraId="2C3A042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48BE202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50" w:type="dxa"/>
          </w:tcPr>
          <w:p w14:paraId="40E4B67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21399A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341</w:t>
            </w:r>
          </w:p>
        </w:tc>
      </w:tr>
      <w:tr w:rsidR="009B487A" w:rsidRPr="00722885" w14:paraId="44EC5516" w14:textId="77777777" w:rsidTr="00CC5360">
        <w:tc>
          <w:tcPr>
            <w:tcW w:w="1101" w:type="dxa"/>
          </w:tcPr>
          <w:p w14:paraId="711A85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18</w:t>
            </w:r>
          </w:p>
        </w:tc>
        <w:tc>
          <w:tcPr>
            <w:tcW w:w="992" w:type="dxa"/>
          </w:tcPr>
          <w:p w14:paraId="21823A2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1BFDD26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737D399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2616577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4225C6A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3E4289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177</w:t>
            </w:r>
          </w:p>
        </w:tc>
        <w:tc>
          <w:tcPr>
            <w:tcW w:w="1134" w:type="dxa"/>
          </w:tcPr>
          <w:p w14:paraId="19907AC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56C33A4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50" w:type="dxa"/>
          </w:tcPr>
          <w:p w14:paraId="1AA0682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16C955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177</w:t>
            </w:r>
          </w:p>
        </w:tc>
      </w:tr>
      <w:tr w:rsidR="009B487A" w:rsidRPr="00722885" w14:paraId="29FDE900" w14:textId="77777777" w:rsidTr="00CC5360">
        <w:tc>
          <w:tcPr>
            <w:tcW w:w="1101" w:type="dxa"/>
          </w:tcPr>
          <w:p w14:paraId="398903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24</w:t>
            </w:r>
          </w:p>
        </w:tc>
        <w:tc>
          <w:tcPr>
            <w:tcW w:w="992" w:type="dxa"/>
          </w:tcPr>
          <w:p w14:paraId="5862105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451A359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1986ED7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6850177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63A0FD0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3217FC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155</w:t>
            </w:r>
          </w:p>
        </w:tc>
        <w:tc>
          <w:tcPr>
            <w:tcW w:w="1134" w:type="dxa"/>
          </w:tcPr>
          <w:p w14:paraId="5D46C6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7605</w:t>
            </w:r>
          </w:p>
        </w:tc>
        <w:tc>
          <w:tcPr>
            <w:tcW w:w="992" w:type="dxa"/>
          </w:tcPr>
          <w:p w14:paraId="7F27FA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850" w:type="dxa"/>
          </w:tcPr>
          <w:p w14:paraId="3BC8633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119206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934</w:t>
            </w:r>
          </w:p>
        </w:tc>
      </w:tr>
      <w:tr w:rsidR="009B487A" w:rsidRPr="00722885" w14:paraId="3F4A2AFB" w14:textId="77777777" w:rsidTr="00CC5360">
        <w:tc>
          <w:tcPr>
            <w:tcW w:w="1101" w:type="dxa"/>
          </w:tcPr>
          <w:p w14:paraId="0CE070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27</w:t>
            </w:r>
          </w:p>
        </w:tc>
        <w:tc>
          <w:tcPr>
            <w:tcW w:w="992" w:type="dxa"/>
          </w:tcPr>
          <w:p w14:paraId="193B692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173CCC1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126F460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51DF78E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052E0C6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529DFC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w:t>
            </w:r>
          </w:p>
        </w:tc>
        <w:tc>
          <w:tcPr>
            <w:tcW w:w="1134" w:type="dxa"/>
          </w:tcPr>
          <w:p w14:paraId="11FE891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6CDF014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50" w:type="dxa"/>
          </w:tcPr>
          <w:p w14:paraId="42405E7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3A7540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w:t>
            </w:r>
          </w:p>
        </w:tc>
      </w:tr>
      <w:tr w:rsidR="009B487A" w:rsidRPr="00722885" w14:paraId="0F717849" w14:textId="77777777" w:rsidTr="00CC5360">
        <w:tc>
          <w:tcPr>
            <w:tcW w:w="1101" w:type="dxa"/>
          </w:tcPr>
          <w:p w14:paraId="1B5FC4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28</w:t>
            </w:r>
          </w:p>
        </w:tc>
        <w:tc>
          <w:tcPr>
            <w:tcW w:w="992" w:type="dxa"/>
          </w:tcPr>
          <w:p w14:paraId="440498E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7F6BF3B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6B72C7F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2D6D559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Pr>
          <w:p w14:paraId="5678A6F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6DAA45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1134" w:type="dxa"/>
          </w:tcPr>
          <w:p w14:paraId="383045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2776</w:t>
            </w:r>
          </w:p>
        </w:tc>
        <w:tc>
          <w:tcPr>
            <w:tcW w:w="992" w:type="dxa"/>
          </w:tcPr>
          <w:p w14:paraId="2EE16D1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50" w:type="dxa"/>
          </w:tcPr>
          <w:p w14:paraId="19227AE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Pr>
          <w:p w14:paraId="5AD098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293</w:t>
            </w:r>
          </w:p>
        </w:tc>
      </w:tr>
      <w:tr w:rsidR="009B487A" w:rsidRPr="00722885" w14:paraId="384C4A0A" w14:textId="77777777" w:rsidTr="00CC5360">
        <w:tc>
          <w:tcPr>
            <w:tcW w:w="1101" w:type="dxa"/>
            <w:tcBorders>
              <w:bottom w:val="single" w:sz="12" w:space="0" w:color="auto"/>
            </w:tcBorders>
          </w:tcPr>
          <w:p w14:paraId="0F2035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29</w:t>
            </w:r>
          </w:p>
        </w:tc>
        <w:tc>
          <w:tcPr>
            <w:tcW w:w="992" w:type="dxa"/>
            <w:tcBorders>
              <w:bottom w:val="single" w:sz="12" w:space="0" w:color="auto"/>
            </w:tcBorders>
          </w:tcPr>
          <w:p w14:paraId="61BEC1E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6E22000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2968EEF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39A3E6C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5FD9157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261A5B4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5C2C070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570</w:t>
            </w:r>
          </w:p>
        </w:tc>
        <w:tc>
          <w:tcPr>
            <w:tcW w:w="992" w:type="dxa"/>
            <w:tcBorders>
              <w:bottom w:val="single" w:sz="12" w:space="0" w:color="auto"/>
            </w:tcBorders>
          </w:tcPr>
          <w:p w14:paraId="2016BB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w:t>
            </w:r>
          </w:p>
        </w:tc>
        <w:tc>
          <w:tcPr>
            <w:tcW w:w="850" w:type="dxa"/>
            <w:tcBorders>
              <w:bottom w:val="single" w:sz="12" w:space="0" w:color="auto"/>
            </w:tcBorders>
          </w:tcPr>
          <w:p w14:paraId="23150F0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79EDF1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w:t>
            </w:r>
          </w:p>
        </w:tc>
      </w:tr>
    </w:tbl>
    <w:p w14:paraId="61C120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С учетом SO И-16 М-22. выпушенных мволом N?39 в 1934 г. - 555 экземпляров</w:t>
      </w:r>
    </w:p>
    <w:p w14:paraId="491410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В это число вошли 186 машин, имеющих доработки (см. маву 1937 г.)</w:t>
      </w:r>
    </w:p>
    <w:p w14:paraId="21D052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В некоторых отчетных документах завола №21 встречается количество произведенных И-16 тин 5 в I93S т. 150 и лаже 100 экземпляров</w:t>
      </w:r>
    </w:p>
    <w:p w14:paraId="500564C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В это число вошли УТ И-3 М-58 Nf 11211 и УТ-2 М-22 №8211</w:t>
      </w:r>
    </w:p>
    <w:p w14:paraId="79F80C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В 1940 г произволство И -16 тип 18 суммировано с типом 24</w:t>
      </w:r>
    </w:p>
    <w:p w14:paraId="3BF5D5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В 1940 г. протволство И-16 тип 27 суммировано с типом 28 (12015).</w:t>
      </w:r>
    </w:p>
    <w:p w14:paraId="6105F0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Типы самолетов завода №21 в период массового производства И-16</w:t>
      </w:r>
    </w:p>
    <w:p w14:paraId="3BDDAC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4</w:t>
      </w:r>
    </w:p>
    <w:p w14:paraId="422D87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4 с двигателем М-22. Первая серийная модификация И-16. главным отличием которой является цилиндрический капот NACA. Понятие цилиндрический достаточно условно - обрез задней кромки огибал контур фюзеляжа с постоянной выходной щелью, поэтому капот имел небольшую конусность.</w:t>
      </w:r>
    </w:p>
    <w:p w14:paraId="67AB7D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5</w:t>
      </w:r>
    </w:p>
    <w:p w14:paraId="390A73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5 с мотором М-25А. Серийное производство продолжалось с 1936-го по март 1938 г. От предыдущей модификации самолет отличался новой силовой установкой с принципиально измененным капотом и наличием ко ка-обтекателя воздушного винта. На заключительной стадии производства на тип 5 установили колеса 700x150 мм. неподвижный козырек кабины пилота, отъемные консоли с более частым шагом нервюр и уменьшенным по размаху элероном. Внесенные изменения объясняются продолжением выпуска тип 5 параллельно с более поздни м и моднфикациями.</w:t>
      </w:r>
    </w:p>
    <w:p w14:paraId="60EB47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6</w:t>
      </w:r>
    </w:p>
    <w:p w14:paraId="3D2AA9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Учебно-тренировочный И-5 имел серийный №6211. что означало тип 6. авиазавода №21. первый экземпляр. После государственных испытаний в 1934 г. получил обозначение УТИ-1. Строился серийно в количестве 20 экземпляров.</w:t>
      </w:r>
    </w:p>
    <w:p w14:paraId="28BFBB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7</w:t>
      </w:r>
    </w:p>
    <w:p w14:paraId="5E7D0B5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Опытный истребитель №7211 с двигателем М-85 800л.с. конструкции А.А.Боровко- ва и И.Ф.Флорова. Построен в 1937 г.</w:t>
      </w:r>
    </w:p>
    <w:p w14:paraId="7E29A9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Гии 8</w:t>
      </w:r>
    </w:p>
    <w:p w14:paraId="1F6AC8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Двухместный учебно-тренировочный И-16 с двигателем М-22. построен в мае 1935 г. как УТ-2 №8211. Машина имела полностью закрытые общим фонарем кабины пилотов. Всего построено 3 экземпляра.</w:t>
      </w:r>
    </w:p>
    <w:p w14:paraId="5EA205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Гйп 9</w:t>
      </w:r>
    </w:p>
    <w:p w14:paraId="08B1E3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Опытный штурмовик И-16 №9211 с шестью пулеметами ШКАС, построенный в 1936 г. Пулеметы могли поворачиваться в вертикальной плоскости вниз на 9* для обстрела наземных целей. Шасси не убиралось.</w:t>
      </w:r>
    </w:p>
    <w:p w14:paraId="2B77CD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10</w:t>
      </w:r>
    </w:p>
    <w:p w14:paraId="2E0B9C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10 с мотором М-25В. Кардинальная модификация истребителя после трех лет серийного производств;!. Вооружение дополнилось синхронными пулеметами "ШКАС", заключенными в выступающие обтекатели. Сдвижной фонарь заменен неподвижным козырьком с каркасом из нержавеющей стали. Оптический прицел</w:t>
      </w:r>
    </w:p>
    <w:p w14:paraId="0E8378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ОП-1 ("Альднс") заменен коллнматорным прицелом ПАК-1. Конструкция усилена в соответствии с нормами прочности 1937 г. добавлены ложные нервюры на верхней поверхности крыла, дюралевая обшивка консоли продлена до 44.5% сверху и до 14.5% снизу. Размах элеронов уменьшен, механизм зависания элеронов демонтирован. Для снижения посадочной скорости используются щитки, которые первоначально выпускались при помощи сжатого воздуха. В 1939 г. начиная с самолета №102175. выпуск посадочных щитков - механический. Рукоятка управления выпуском щитков размещалась слева от пилота. Введен маслорадиатор диаметром 6 дюймов, в нижней части капота появился иодводяший патрубок скоростного напора для охлаждения радиатора.</w:t>
      </w:r>
    </w:p>
    <w:p w14:paraId="64A1FF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11</w:t>
      </w:r>
    </w:p>
    <w:p w14:paraId="35E28D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Опытный учебно-тренировочный И-16 №11211 с двигателем М-58. Под обозначением УТИ-3 построен в единственном экземпляре в 1935 г.</w:t>
      </w:r>
    </w:p>
    <w:p w14:paraId="4F6A49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12</w:t>
      </w:r>
    </w:p>
    <w:p w14:paraId="3B8A26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12 с мотором М-25А. Вооружение - 2 пушки ШВАК 20 мм и 2 пулемета ШКАС в крыльях. Построено 22 экземпляра.</w:t>
      </w:r>
    </w:p>
    <w:p w14:paraId="3DFD54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13</w:t>
      </w:r>
    </w:p>
    <w:p w14:paraId="3A9397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Сведения не обнаружены. Вероятно, номер типа пропущен по причине несчастливого числа "13".</w:t>
      </w:r>
    </w:p>
    <w:p w14:paraId="4B22DA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14</w:t>
      </w:r>
    </w:p>
    <w:p w14:paraId="132522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Учебно-тренировочный И-16тип 14с мотором М-22. Строился серийно в 1935-36 гг. под обозначением УТИ-2 в количестве 45 экземпляров.</w:t>
      </w:r>
    </w:p>
    <w:p w14:paraId="12B555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15</w:t>
      </w:r>
    </w:p>
    <w:p w14:paraId="51ACB4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Учебно-тренировочный И-16тип 15смотором М-25А и М-25В. Под обозначением УТИ-4 строился серийно в 1937-42 гг. Наиболее массовый тип И-16, в ВВС Красной Армии эксплуатировался до 1946 г.</w:t>
      </w:r>
    </w:p>
    <w:p w14:paraId="6995F7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16</w:t>
      </w:r>
    </w:p>
    <w:p w14:paraId="3949C6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16 с синхронными крупнокалиберными пулеметами I1JBAK 12,7 мм. Известно о построенных трех экземплярах: №16211, 16212. 16213.</w:t>
      </w:r>
    </w:p>
    <w:p w14:paraId="5E5ECA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17</w:t>
      </w:r>
    </w:p>
    <w:p w14:paraId="759BBA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17 с двигателем М-25В. Развитие И-16тип 12 с пушками IIIBAK в крыле и синхронными пулеметами 11JKAC в фюзеляже. Конструкция по типу И-16 тип 10. Боепитание пушек через рукава, проложенные за первой рамой фюзеляжа вдоль переднего лонжерона центроплана. Центроплан дополнительно усилен, верхний оружейный люк удлинился с 650 мм до 744 мм. Начиная с 1939 г. устанавливались убираемые в полете лыжи (в том числе и на тип 10). В нижней части капота оборудованы углубления для носков лыж. Выхлопные патрубки 5 и 6 цилиндров совмещены с патрубками 4 и 7 цилиндров.</w:t>
      </w:r>
    </w:p>
    <w:p w14:paraId="7244B5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18</w:t>
      </w:r>
    </w:p>
    <w:p w14:paraId="50FB00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18 с М-62. Модификация че- тырехпулеметного И-16 тип 10 с более мощным двигателем. Усилена моторама, установлен протестированный бензобак, изменена маслосистсма. Добавлен дополнительный маслобак 12 л в связи с уменьшением емкости основного до 23 литров. Маслорадиатор увеличен до 8 дюймов, установка его несколько ниже, отчего капот в нижней части слегка "провис". Патрубок охлаждения маслорадиатора увеличен. Сверху в лобовой части капота установлен патрубок скоростного напора карбюратора. Выколотка на кольце капота под тендер стягивающей ленты перенесена на борт, напротив углубления для носка лыжи. Первые серии И-16 тип 18 оборудовались воздушными винтами фиксированного шага (ВФШ) - в этом случае обтекатель винта ставился с типа 10. Позднее устанавливался винт изменяемого шага АВ-1 со стандартным коком-обтекателем. Электрооборудование двухпроводное с напряжением 24 вольта. Источник электроэнергии - аккумуляторная батарея типа I2A-10 устанавливалась между третьей и четвертой нервюрами центроплана. Доступ к ней обеспечивался через люки в нижней обшивке центроплана.</w:t>
      </w:r>
    </w:p>
    <w:p w14:paraId="48596B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19</w:t>
      </w:r>
    </w:p>
    <w:p w14:paraId="298555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19 с крыльевыми пулеметами СП. Обозначение типа присвоено 21 января 1939 г. И звестно о трех построенных экземплярах: №19211. №19212 и №1921.</w:t>
      </w:r>
    </w:p>
    <w:p w14:paraId="7B2413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Тии 20</w:t>
      </w:r>
    </w:p>
    <w:p w14:paraId="3210B9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20 с синхронными пулеметами СМ. Строились три экземпляра, об испытаниях сведения отсутствуют. В августе 1939 г. обозначение тип 20 использовали для И -16 с подвесными топливными баками. Для серийных самолетов обозначение тип 20 не использовалось.Тип 21</w:t>
      </w:r>
    </w:p>
    <w:p w14:paraId="46B803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21 с 4-мя синхронными пулеметами ШКАС. Самолет строился весной 1939 г. Дальнейшего развития не получил. Обозначение тип 21 также непродолжительное время использовалось для опытного истребителя ИП-21 конструкции М.М.Пашнннна.</w:t>
      </w:r>
    </w:p>
    <w:p w14:paraId="1C5C84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Тип 22</w:t>
      </w:r>
    </w:p>
    <w:p w14:paraId="2464F2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22 с комбинированной установкой 2ШКАC + 2 синхронных СН. Дальнейшего развития не получил.</w:t>
      </w:r>
    </w:p>
    <w:p w14:paraId="4FC0E0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23</w:t>
      </w:r>
    </w:p>
    <w:p w14:paraId="356ABB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23 с реактивными снарядами РС-82. В августе 1939 г. обозначение типа отменили.</w:t>
      </w:r>
    </w:p>
    <w:p w14:paraId="5AAEA8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Тии 24</w:t>
      </w:r>
    </w:p>
    <w:p w14:paraId="798029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24 с двигателем М-63. Дальнейшая модификация четырехпулеметного тип 10. Оборудован винтом изменяемого шага АВ-1. регулятором Р-2, позволяющим пилоту поддерживать постоянное число оборотов двигателя. Установлена амортизационная стойка шасси с двузвенником, ход амортизатора увеличен до 96 мм по сравнению с 30-36 мм у предыдущего варианта. Костыль с масля но-пневматической амортизацией и небольшим колесом. Установлен второй откидной борт кабины пилота с правой стороны. На правом борту фюзеляжа между шпангоутами №7 и №8 прорезан люк для рации. Самолет оборудован системой ручного запуска от рукоятки стартера "РИ". В походном положении рукоятка размещалась в кабине пилота, при запуске вставлялась справа в специальное отверстие фюзеляжа.</w:t>
      </w:r>
    </w:p>
    <w:p w14:paraId="44C4ED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25</w:t>
      </w:r>
    </w:p>
    <w:p w14:paraId="51D4D4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Истребитель конструкции Н.Н.Поликарпова И-180 тип 25 с двигателем М-88.</w:t>
      </w:r>
    </w:p>
    <w:p w14:paraId="6CDB8B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26</w:t>
      </w:r>
    </w:p>
    <w:p w14:paraId="3D7326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обозначением этого типа полной ясности нет. Вероятно порядковый номер "26" присвоили самолету УПО-2 (учебный, первоначального обучения) конструктора А.А.Смолина. Этот моноплан с автомобильным двигателем мощностью 85 л.с. явился развитием более раннего самолета КСМ-1. В соответствии с приказом наркомата авиапромышленности №201 сс от 3 августа 1939 г. УПО-2 начали строить на заводе №21. Первый опытный экземпляр, оснащенный двигателем Додж-6. потерпел катастрофу 19 ноября 1940 г.</w:t>
      </w:r>
    </w:p>
    <w:p w14:paraId="0598EB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27</w:t>
      </w:r>
    </w:p>
    <w:p w14:paraId="5682B5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27 с двигателем М-62. Дальнейшая модификация пушечного тип 17 с заменой М-25В на М-62. Все конструктивные изменения как в И-16 тип 18.</w:t>
      </w:r>
    </w:p>
    <w:p w14:paraId="6F730F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Тии 28</w:t>
      </w:r>
    </w:p>
    <w:p w14:paraId="2C317B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28 с двигателем М-63. Развитие И-16 тип 27. изменения общие, в соответствии с типом 24.</w:t>
      </w:r>
    </w:p>
    <w:p w14:paraId="01622D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 2 ШВАК 20 мм и 2 синхронных ШКАС в фюзеляже.</w:t>
      </w:r>
    </w:p>
    <w:p w14:paraId="2E76AF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29</w:t>
      </w:r>
    </w:p>
    <w:p w14:paraId="1A2F25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И-16 тип 29 с двигателем М-63. Установлен синхронный пулемет "ВС" калибра 12,7 мм в нижней части фюзеляжа, крыльевое вооружение отсутствует. Маслорадиатор в пространстве между четвертым и пятым цилиндром мотора. Подводящий патрубок установлен напротив маслоралиатора. Самолеты поздних серий не имели патрубка, подвод воздуха осуществлялся через прорезные окна лобовой части капота. Высота шасси уменьшена на 32 мм. Ниши шасси раздвинулись - расстояние от вертикальной оси самолета до оси колес в убранном положении увеличилось с 3X0 до 421 мм. Радиофицированные самолеты имели мачтовую антенну, установленную на правой части фюзеляжа. Воздушный винт уменьшен до диаметра 2.7 м.</w:t>
      </w:r>
    </w:p>
    <w:p w14:paraId="1DBD10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30</w:t>
      </w:r>
    </w:p>
    <w:p w14:paraId="791E6F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Опытный истребитель ИП-21 с двигателем М-105 конструкции М.М.Пашинина. Построен в трех экземплярах в 1940 г.</w:t>
      </w:r>
    </w:p>
    <w:p w14:paraId="1FB4B5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31</w:t>
      </w:r>
    </w:p>
    <w:p w14:paraId="729E08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Серийный истребитель ЛаГГ-З с двигателем М-105 конструкции Лавочкина. Горбунова. Гудкова. Обозначение тип 30 использовалось для ЛаГГ-З первых серий.</w:t>
      </w:r>
    </w:p>
    <w:p w14:paraId="33C08E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40</w:t>
      </w:r>
    </w:p>
    <w:p w14:paraId="7D1646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Обозначение тип 40 использовалось для И-16 с двигателем М-64, оборудованным удлиненным валом. М-64 последний звездообразный однорядный двигатель этого семейств;". форсированный до мощности 1200- 1300 л.с. М-64 создавался в KB Швецова в 1939-40 гг. В связи с многочисленными проблемами до окончательной стадии не доводился. В январе 1939 г. предполагалось построить три экземпляра И-16 тип 40 с двигателем М-63Р или М-64. Максимальная скорость по расчетам составляла 540 км/ч. поэтому высказывалось мнение, что И-180 не нужен.Установкой М-63Р и М-64 летом 1940 г. занимался М.М.Пашинин. Предполагалось передвинуть крыло вперед на 70 мм. мотораму укоротить на 65 мм, провести изменение шасси и усиления элементов конструкции. В августе 1940 г. было решено, что для установки М-64 потребу ются значительные конструктивные изменения, поэтому продолжение работ признали нерациональным. Истинной причиной явился отказ от М-64. далее решили развивать двухрядные звездообразные двигатели. </w:t>
      </w:r>
    </w:p>
    <w:p w14:paraId="5A8BB1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Сравнительная таблица характеристик М-25, М-25А, М-25В, М-62, М-63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B487A" w:rsidRPr="00722885" w14:paraId="7C9CA61E" w14:textId="77777777" w:rsidTr="00CC5360">
        <w:tc>
          <w:tcPr>
            <w:tcW w:w="1868" w:type="dxa"/>
            <w:tcBorders>
              <w:top w:val="single" w:sz="12" w:space="0" w:color="auto"/>
            </w:tcBorders>
          </w:tcPr>
          <w:p w14:paraId="3C1711A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5C0C5B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М-25</w:t>
            </w:r>
          </w:p>
        </w:tc>
        <w:tc>
          <w:tcPr>
            <w:tcW w:w="1868" w:type="dxa"/>
            <w:tcBorders>
              <w:top w:val="single" w:sz="12" w:space="0" w:color="auto"/>
            </w:tcBorders>
          </w:tcPr>
          <w:p w14:paraId="610FD9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М-25А</w:t>
            </w:r>
          </w:p>
        </w:tc>
        <w:tc>
          <w:tcPr>
            <w:tcW w:w="1868" w:type="dxa"/>
            <w:tcBorders>
              <w:top w:val="single" w:sz="12" w:space="0" w:color="auto"/>
            </w:tcBorders>
          </w:tcPr>
          <w:p w14:paraId="382444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М-25В</w:t>
            </w:r>
          </w:p>
        </w:tc>
        <w:tc>
          <w:tcPr>
            <w:tcW w:w="1868" w:type="dxa"/>
            <w:tcBorders>
              <w:top w:val="single" w:sz="12" w:space="0" w:color="auto"/>
            </w:tcBorders>
          </w:tcPr>
          <w:p w14:paraId="625C1C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М-62</w:t>
            </w:r>
          </w:p>
        </w:tc>
        <w:tc>
          <w:tcPr>
            <w:tcW w:w="1868" w:type="dxa"/>
            <w:tcBorders>
              <w:top w:val="single" w:sz="12" w:space="0" w:color="auto"/>
            </w:tcBorders>
          </w:tcPr>
          <w:p w14:paraId="02B88A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М-63</w:t>
            </w:r>
          </w:p>
        </w:tc>
      </w:tr>
      <w:tr w:rsidR="009B487A" w:rsidRPr="00722885" w14:paraId="334268F2" w14:textId="77777777" w:rsidTr="00CC5360">
        <w:tc>
          <w:tcPr>
            <w:tcW w:w="1868" w:type="dxa"/>
          </w:tcPr>
          <w:p w14:paraId="209DCA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Номинальная мощность на земле (л.с.)</w:t>
            </w:r>
          </w:p>
        </w:tc>
        <w:tc>
          <w:tcPr>
            <w:tcW w:w="1868" w:type="dxa"/>
          </w:tcPr>
          <w:p w14:paraId="60622C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635</w:t>
            </w:r>
          </w:p>
        </w:tc>
        <w:tc>
          <w:tcPr>
            <w:tcW w:w="1868" w:type="dxa"/>
          </w:tcPr>
          <w:p w14:paraId="3147FE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w:t>
            </w:r>
          </w:p>
        </w:tc>
        <w:tc>
          <w:tcPr>
            <w:tcW w:w="1868" w:type="dxa"/>
          </w:tcPr>
          <w:p w14:paraId="3203BB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700</w:t>
            </w:r>
          </w:p>
        </w:tc>
        <w:tc>
          <w:tcPr>
            <w:tcW w:w="1868" w:type="dxa"/>
          </w:tcPr>
          <w:p w14:paraId="543DE5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830</w:t>
            </w:r>
          </w:p>
        </w:tc>
        <w:tc>
          <w:tcPr>
            <w:tcW w:w="1868" w:type="dxa"/>
          </w:tcPr>
          <w:p w14:paraId="65ACDA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930</w:t>
            </w:r>
          </w:p>
        </w:tc>
      </w:tr>
      <w:tr w:rsidR="009B487A" w:rsidRPr="00722885" w14:paraId="2556B857" w14:textId="77777777" w:rsidTr="00CC5360">
        <w:tc>
          <w:tcPr>
            <w:tcW w:w="1868" w:type="dxa"/>
          </w:tcPr>
          <w:p w14:paraId="15C0DE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 на номин. мощн. (об/мин)</w:t>
            </w:r>
          </w:p>
        </w:tc>
        <w:tc>
          <w:tcPr>
            <w:tcW w:w="1868" w:type="dxa"/>
          </w:tcPr>
          <w:p w14:paraId="2315BB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1950</w:t>
            </w:r>
          </w:p>
        </w:tc>
        <w:tc>
          <w:tcPr>
            <w:tcW w:w="1868" w:type="dxa"/>
          </w:tcPr>
          <w:p w14:paraId="13D93D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1868" w:type="dxa"/>
          </w:tcPr>
          <w:p w14:paraId="101B8B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1868" w:type="dxa"/>
          </w:tcPr>
          <w:p w14:paraId="0BCAB8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1868" w:type="dxa"/>
          </w:tcPr>
          <w:p w14:paraId="7B19BC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tc>
      </w:tr>
      <w:tr w:rsidR="009B487A" w:rsidRPr="00722885" w14:paraId="55FADD0C" w14:textId="77777777" w:rsidTr="00CC5360">
        <w:tc>
          <w:tcPr>
            <w:tcW w:w="1868" w:type="dxa"/>
          </w:tcPr>
          <w:p w14:paraId="0AEAAF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Взлетн. мощн. не более 3-х мин (л.с.)</w:t>
            </w:r>
          </w:p>
        </w:tc>
        <w:tc>
          <w:tcPr>
            <w:tcW w:w="1868" w:type="dxa"/>
          </w:tcPr>
          <w:p w14:paraId="684E6B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635</w:t>
            </w:r>
          </w:p>
        </w:tc>
        <w:tc>
          <w:tcPr>
            <w:tcW w:w="1868" w:type="dxa"/>
          </w:tcPr>
          <w:p w14:paraId="23770D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715</w:t>
            </w:r>
          </w:p>
        </w:tc>
        <w:tc>
          <w:tcPr>
            <w:tcW w:w="1868" w:type="dxa"/>
          </w:tcPr>
          <w:p w14:paraId="294693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775</w:t>
            </w:r>
          </w:p>
        </w:tc>
        <w:tc>
          <w:tcPr>
            <w:tcW w:w="1868" w:type="dxa"/>
          </w:tcPr>
          <w:p w14:paraId="13983C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1000</w:t>
            </w:r>
          </w:p>
        </w:tc>
        <w:tc>
          <w:tcPr>
            <w:tcW w:w="1868" w:type="dxa"/>
          </w:tcPr>
          <w:p w14:paraId="524C58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1100</w:t>
            </w:r>
          </w:p>
        </w:tc>
      </w:tr>
      <w:tr w:rsidR="009B487A" w:rsidRPr="00722885" w14:paraId="466F08C6" w14:textId="77777777" w:rsidTr="00CC5360">
        <w:tc>
          <w:tcPr>
            <w:tcW w:w="1868" w:type="dxa"/>
          </w:tcPr>
          <w:p w14:paraId="13FEF4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 на взлетн. мощн. (об/мин)</w:t>
            </w:r>
          </w:p>
        </w:tc>
        <w:tc>
          <w:tcPr>
            <w:tcW w:w="1868" w:type="dxa"/>
          </w:tcPr>
          <w:p w14:paraId="36F1A0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1950</w:t>
            </w:r>
          </w:p>
        </w:tc>
        <w:tc>
          <w:tcPr>
            <w:tcW w:w="1868" w:type="dxa"/>
          </w:tcPr>
          <w:p w14:paraId="6E9E8D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1868" w:type="dxa"/>
          </w:tcPr>
          <w:p w14:paraId="53A25D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tc>
        <w:tc>
          <w:tcPr>
            <w:tcW w:w="1868" w:type="dxa"/>
          </w:tcPr>
          <w:p w14:paraId="16ED28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tc>
        <w:tc>
          <w:tcPr>
            <w:tcW w:w="1868" w:type="dxa"/>
          </w:tcPr>
          <w:p w14:paraId="2345C3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tc>
      </w:tr>
      <w:tr w:rsidR="009B487A" w:rsidRPr="00722885" w14:paraId="6AF02064" w14:textId="77777777" w:rsidTr="00CC5360">
        <w:tc>
          <w:tcPr>
            <w:tcW w:w="1868" w:type="dxa"/>
          </w:tcPr>
          <w:p w14:paraId="2CB075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Номин. мощн. на расч. высоте (л.с.)</w:t>
            </w:r>
          </w:p>
        </w:tc>
        <w:tc>
          <w:tcPr>
            <w:tcW w:w="1868" w:type="dxa"/>
          </w:tcPr>
          <w:p w14:paraId="089802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700</w:t>
            </w:r>
          </w:p>
        </w:tc>
        <w:tc>
          <w:tcPr>
            <w:tcW w:w="1868" w:type="dxa"/>
          </w:tcPr>
          <w:p w14:paraId="4AB4C8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730</w:t>
            </w:r>
          </w:p>
        </w:tc>
        <w:tc>
          <w:tcPr>
            <w:tcW w:w="1868" w:type="dxa"/>
          </w:tcPr>
          <w:p w14:paraId="14748D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750</w:t>
            </w:r>
          </w:p>
        </w:tc>
        <w:tc>
          <w:tcPr>
            <w:tcW w:w="1868" w:type="dxa"/>
          </w:tcPr>
          <w:p w14:paraId="565ED6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w:t>
            </w:r>
          </w:p>
        </w:tc>
        <w:tc>
          <w:tcPr>
            <w:tcW w:w="1868" w:type="dxa"/>
          </w:tcPr>
          <w:p w14:paraId="0F592B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w:t>
            </w:r>
          </w:p>
        </w:tc>
      </w:tr>
      <w:tr w:rsidR="009B487A" w:rsidRPr="00722885" w14:paraId="5C2EF3B0" w14:textId="77777777" w:rsidTr="00CC5360">
        <w:tc>
          <w:tcPr>
            <w:tcW w:w="1868" w:type="dxa"/>
          </w:tcPr>
          <w:p w14:paraId="19178C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Обороты на расч. высоте (об/мин)</w:t>
            </w:r>
          </w:p>
        </w:tc>
        <w:tc>
          <w:tcPr>
            <w:tcW w:w="1868" w:type="dxa"/>
          </w:tcPr>
          <w:p w14:paraId="377B7A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1950</w:t>
            </w:r>
          </w:p>
        </w:tc>
        <w:tc>
          <w:tcPr>
            <w:tcW w:w="1868" w:type="dxa"/>
          </w:tcPr>
          <w:p w14:paraId="171A0A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1868" w:type="dxa"/>
          </w:tcPr>
          <w:p w14:paraId="5D1989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1868" w:type="dxa"/>
          </w:tcPr>
          <w:p w14:paraId="37AFC7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2100</w:t>
            </w:r>
          </w:p>
        </w:tc>
        <w:tc>
          <w:tcPr>
            <w:tcW w:w="1868" w:type="dxa"/>
          </w:tcPr>
          <w:p w14:paraId="6D8D2E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tc>
      </w:tr>
      <w:tr w:rsidR="009B487A" w:rsidRPr="00722885" w14:paraId="2FEA3CDA" w14:textId="77777777" w:rsidTr="00CC5360">
        <w:tc>
          <w:tcPr>
            <w:tcW w:w="1868" w:type="dxa"/>
          </w:tcPr>
          <w:p w14:paraId="104789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Расчетная высота (м)</w:t>
            </w:r>
          </w:p>
        </w:tc>
        <w:tc>
          <w:tcPr>
            <w:tcW w:w="1868" w:type="dxa"/>
          </w:tcPr>
          <w:p w14:paraId="236615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1868" w:type="dxa"/>
          </w:tcPr>
          <w:p w14:paraId="1E52E7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2500</w:t>
            </w:r>
          </w:p>
        </w:tc>
        <w:tc>
          <w:tcPr>
            <w:tcW w:w="1868" w:type="dxa"/>
          </w:tcPr>
          <w:p w14:paraId="6D964E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2900</w:t>
            </w:r>
          </w:p>
        </w:tc>
        <w:tc>
          <w:tcPr>
            <w:tcW w:w="1868" w:type="dxa"/>
          </w:tcPr>
          <w:p w14:paraId="3A42BB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4200</w:t>
            </w:r>
          </w:p>
        </w:tc>
        <w:tc>
          <w:tcPr>
            <w:tcW w:w="1868" w:type="dxa"/>
          </w:tcPr>
          <w:p w14:paraId="2D1F96D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4500</w:t>
            </w:r>
          </w:p>
        </w:tc>
      </w:tr>
      <w:tr w:rsidR="009B487A" w:rsidRPr="00722885" w14:paraId="3AB18E89" w14:textId="77777777" w:rsidTr="00CC5360">
        <w:tc>
          <w:tcPr>
            <w:tcW w:w="1868" w:type="dxa"/>
          </w:tcPr>
          <w:p w14:paraId="482D38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Сухой вес двигателя (кг)</w:t>
            </w:r>
          </w:p>
        </w:tc>
        <w:tc>
          <w:tcPr>
            <w:tcW w:w="1868" w:type="dxa"/>
          </w:tcPr>
          <w:p w14:paraId="09CA83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435</w:t>
            </w:r>
          </w:p>
        </w:tc>
        <w:tc>
          <w:tcPr>
            <w:tcW w:w="1868" w:type="dxa"/>
          </w:tcPr>
          <w:p w14:paraId="3915AA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435</w:t>
            </w:r>
          </w:p>
        </w:tc>
        <w:tc>
          <w:tcPr>
            <w:tcW w:w="1868" w:type="dxa"/>
          </w:tcPr>
          <w:p w14:paraId="0F3935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453</w:t>
            </w:r>
          </w:p>
        </w:tc>
        <w:tc>
          <w:tcPr>
            <w:tcW w:w="1868" w:type="dxa"/>
          </w:tcPr>
          <w:p w14:paraId="20B518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520</w:t>
            </w:r>
          </w:p>
        </w:tc>
        <w:tc>
          <w:tcPr>
            <w:tcW w:w="1868" w:type="dxa"/>
          </w:tcPr>
          <w:p w14:paraId="5E854B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515</w:t>
            </w:r>
          </w:p>
        </w:tc>
      </w:tr>
      <w:tr w:rsidR="009B487A" w:rsidRPr="00722885" w14:paraId="7A8D434C" w14:textId="77777777" w:rsidTr="00CC5360">
        <w:tc>
          <w:tcPr>
            <w:tcW w:w="1868" w:type="dxa"/>
          </w:tcPr>
          <w:p w14:paraId="48B5FD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Габаритный диаметр (мм)</w:t>
            </w:r>
          </w:p>
        </w:tc>
        <w:tc>
          <w:tcPr>
            <w:tcW w:w="1868" w:type="dxa"/>
          </w:tcPr>
          <w:p w14:paraId="08D782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1365</w:t>
            </w:r>
          </w:p>
        </w:tc>
        <w:tc>
          <w:tcPr>
            <w:tcW w:w="1868" w:type="dxa"/>
          </w:tcPr>
          <w:p w14:paraId="4EBA77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1375</w:t>
            </w:r>
          </w:p>
        </w:tc>
        <w:tc>
          <w:tcPr>
            <w:tcW w:w="1868" w:type="dxa"/>
          </w:tcPr>
          <w:p w14:paraId="627EF2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1375</w:t>
            </w:r>
          </w:p>
        </w:tc>
        <w:tc>
          <w:tcPr>
            <w:tcW w:w="1868" w:type="dxa"/>
          </w:tcPr>
          <w:p w14:paraId="3B290C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1375</w:t>
            </w:r>
          </w:p>
        </w:tc>
        <w:tc>
          <w:tcPr>
            <w:tcW w:w="1868" w:type="dxa"/>
          </w:tcPr>
          <w:p w14:paraId="30D871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1375</w:t>
            </w:r>
          </w:p>
        </w:tc>
      </w:tr>
      <w:tr w:rsidR="009B487A" w:rsidRPr="00722885" w14:paraId="6793E0D1" w14:textId="77777777" w:rsidTr="00CC5360">
        <w:tc>
          <w:tcPr>
            <w:tcW w:w="1868" w:type="dxa"/>
            <w:tcBorders>
              <w:bottom w:val="single" w:sz="12" w:space="0" w:color="auto"/>
            </w:tcBorders>
          </w:tcPr>
          <w:p w14:paraId="185BB1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Октановое число топлива</w:t>
            </w:r>
          </w:p>
        </w:tc>
        <w:tc>
          <w:tcPr>
            <w:tcW w:w="1868" w:type="dxa"/>
            <w:tcBorders>
              <w:bottom w:val="single" w:sz="12" w:space="0" w:color="auto"/>
            </w:tcBorders>
          </w:tcPr>
          <w:p w14:paraId="10C19ED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6EF707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87</w:t>
            </w:r>
          </w:p>
        </w:tc>
        <w:tc>
          <w:tcPr>
            <w:tcW w:w="1868" w:type="dxa"/>
            <w:tcBorders>
              <w:bottom w:val="single" w:sz="12" w:space="0" w:color="auto"/>
            </w:tcBorders>
          </w:tcPr>
          <w:p w14:paraId="15DB333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1548DE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87</w:t>
            </w:r>
          </w:p>
        </w:tc>
        <w:tc>
          <w:tcPr>
            <w:tcW w:w="1868" w:type="dxa"/>
            <w:tcBorders>
              <w:bottom w:val="single" w:sz="12" w:space="0" w:color="auto"/>
            </w:tcBorders>
          </w:tcPr>
          <w:p w14:paraId="278D020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87</w:t>
            </w:r>
          </w:p>
        </w:tc>
      </w:tr>
    </w:tbl>
    <w:p w14:paraId="2F24B2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тактико-технических характеристик основных серийных типов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4"/>
        <w:gridCol w:w="934"/>
        <w:gridCol w:w="934"/>
        <w:gridCol w:w="934"/>
        <w:gridCol w:w="934"/>
        <w:gridCol w:w="934"/>
        <w:gridCol w:w="934"/>
        <w:gridCol w:w="934"/>
        <w:gridCol w:w="934"/>
        <w:gridCol w:w="934"/>
        <w:gridCol w:w="934"/>
        <w:gridCol w:w="934"/>
      </w:tblGrid>
      <w:tr w:rsidR="009B487A" w:rsidRPr="00722885" w14:paraId="20A2BBEF" w14:textId="77777777" w:rsidTr="00CC5360">
        <w:tc>
          <w:tcPr>
            <w:tcW w:w="934" w:type="dxa"/>
            <w:tcBorders>
              <w:top w:val="single" w:sz="12" w:space="0" w:color="auto"/>
            </w:tcBorders>
          </w:tcPr>
          <w:p w14:paraId="2DCF8DC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Borders>
              <w:top w:val="single" w:sz="12" w:space="0" w:color="auto"/>
            </w:tcBorders>
          </w:tcPr>
          <w:p w14:paraId="0E7F5B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4</w:t>
            </w:r>
          </w:p>
        </w:tc>
        <w:tc>
          <w:tcPr>
            <w:tcW w:w="934" w:type="dxa"/>
            <w:tcBorders>
              <w:top w:val="single" w:sz="12" w:space="0" w:color="auto"/>
            </w:tcBorders>
          </w:tcPr>
          <w:p w14:paraId="46F52E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5</w:t>
            </w:r>
          </w:p>
        </w:tc>
        <w:tc>
          <w:tcPr>
            <w:tcW w:w="934" w:type="dxa"/>
            <w:tcBorders>
              <w:top w:val="single" w:sz="12" w:space="0" w:color="auto"/>
            </w:tcBorders>
          </w:tcPr>
          <w:p w14:paraId="46F42B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10</w:t>
            </w:r>
          </w:p>
        </w:tc>
        <w:tc>
          <w:tcPr>
            <w:tcW w:w="934" w:type="dxa"/>
            <w:tcBorders>
              <w:top w:val="single" w:sz="12" w:space="0" w:color="auto"/>
            </w:tcBorders>
          </w:tcPr>
          <w:p w14:paraId="202CD6A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12</w:t>
            </w:r>
          </w:p>
        </w:tc>
        <w:tc>
          <w:tcPr>
            <w:tcW w:w="934" w:type="dxa"/>
            <w:tcBorders>
              <w:top w:val="single" w:sz="12" w:space="0" w:color="auto"/>
            </w:tcBorders>
          </w:tcPr>
          <w:p w14:paraId="73337D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15</w:t>
            </w:r>
          </w:p>
        </w:tc>
        <w:tc>
          <w:tcPr>
            <w:tcW w:w="934" w:type="dxa"/>
            <w:tcBorders>
              <w:top w:val="single" w:sz="12" w:space="0" w:color="auto"/>
            </w:tcBorders>
          </w:tcPr>
          <w:p w14:paraId="195B4C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17</w:t>
            </w:r>
          </w:p>
        </w:tc>
        <w:tc>
          <w:tcPr>
            <w:tcW w:w="934" w:type="dxa"/>
            <w:tcBorders>
              <w:top w:val="single" w:sz="12" w:space="0" w:color="auto"/>
            </w:tcBorders>
          </w:tcPr>
          <w:p w14:paraId="5E86BD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18</w:t>
            </w:r>
          </w:p>
        </w:tc>
        <w:tc>
          <w:tcPr>
            <w:tcW w:w="934" w:type="dxa"/>
            <w:tcBorders>
              <w:top w:val="single" w:sz="12" w:space="0" w:color="auto"/>
            </w:tcBorders>
          </w:tcPr>
          <w:p w14:paraId="721EFA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24</w:t>
            </w:r>
          </w:p>
        </w:tc>
        <w:tc>
          <w:tcPr>
            <w:tcW w:w="934" w:type="dxa"/>
            <w:tcBorders>
              <w:top w:val="single" w:sz="12" w:space="0" w:color="auto"/>
            </w:tcBorders>
          </w:tcPr>
          <w:p w14:paraId="2970BE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27</w:t>
            </w:r>
          </w:p>
        </w:tc>
        <w:tc>
          <w:tcPr>
            <w:tcW w:w="934" w:type="dxa"/>
            <w:tcBorders>
              <w:top w:val="single" w:sz="12" w:space="0" w:color="auto"/>
            </w:tcBorders>
          </w:tcPr>
          <w:p w14:paraId="653FB4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28</w:t>
            </w:r>
          </w:p>
        </w:tc>
        <w:tc>
          <w:tcPr>
            <w:tcW w:w="934" w:type="dxa"/>
            <w:tcBorders>
              <w:top w:val="single" w:sz="12" w:space="0" w:color="auto"/>
            </w:tcBorders>
          </w:tcPr>
          <w:p w14:paraId="57EC55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29</w:t>
            </w:r>
          </w:p>
        </w:tc>
      </w:tr>
      <w:tr w:rsidR="009B487A" w:rsidRPr="00722885" w14:paraId="5E94A3C9" w14:textId="77777777" w:rsidTr="00CC5360">
        <w:tc>
          <w:tcPr>
            <w:tcW w:w="934" w:type="dxa"/>
          </w:tcPr>
          <w:p w14:paraId="1E108C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Год</w:t>
            </w:r>
          </w:p>
        </w:tc>
        <w:tc>
          <w:tcPr>
            <w:tcW w:w="934" w:type="dxa"/>
          </w:tcPr>
          <w:p w14:paraId="7BDB97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1935</w:t>
            </w:r>
          </w:p>
        </w:tc>
        <w:tc>
          <w:tcPr>
            <w:tcW w:w="934" w:type="dxa"/>
          </w:tcPr>
          <w:p w14:paraId="325CD7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1936</w:t>
            </w:r>
          </w:p>
        </w:tc>
        <w:tc>
          <w:tcPr>
            <w:tcW w:w="934" w:type="dxa"/>
          </w:tcPr>
          <w:p w14:paraId="2EB657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1938</w:t>
            </w:r>
          </w:p>
        </w:tc>
        <w:tc>
          <w:tcPr>
            <w:tcW w:w="934" w:type="dxa"/>
          </w:tcPr>
          <w:p w14:paraId="243CE2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1937</w:t>
            </w:r>
          </w:p>
        </w:tc>
        <w:tc>
          <w:tcPr>
            <w:tcW w:w="934" w:type="dxa"/>
          </w:tcPr>
          <w:p w14:paraId="4ED1C1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1937</w:t>
            </w:r>
          </w:p>
        </w:tc>
        <w:tc>
          <w:tcPr>
            <w:tcW w:w="934" w:type="dxa"/>
          </w:tcPr>
          <w:p w14:paraId="5FF24D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1938</w:t>
            </w:r>
          </w:p>
        </w:tc>
        <w:tc>
          <w:tcPr>
            <w:tcW w:w="934" w:type="dxa"/>
          </w:tcPr>
          <w:p w14:paraId="6DA2FB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1939</w:t>
            </w:r>
          </w:p>
        </w:tc>
        <w:tc>
          <w:tcPr>
            <w:tcW w:w="934" w:type="dxa"/>
          </w:tcPr>
          <w:p w14:paraId="208E5E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1939</w:t>
            </w:r>
          </w:p>
        </w:tc>
        <w:tc>
          <w:tcPr>
            <w:tcW w:w="934" w:type="dxa"/>
          </w:tcPr>
          <w:p w14:paraId="10DCBA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1939</w:t>
            </w:r>
          </w:p>
        </w:tc>
        <w:tc>
          <w:tcPr>
            <w:tcW w:w="934" w:type="dxa"/>
          </w:tcPr>
          <w:p w14:paraId="7EF681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1939</w:t>
            </w:r>
          </w:p>
        </w:tc>
        <w:tc>
          <w:tcPr>
            <w:tcW w:w="934" w:type="dxa"/>
          </w:tcPr>
          <w:p w14:paraId="51C71C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1940</w:t>
            </w:r>
          </w:p>
        </w:tc>
      </w:tr>
      <w:tr w:rsidR="009B487A" w:rsidRPr="00722885" w14:paraId="41A93909" w14:textId="77777777" w:rsidTr="00CC5360">
        <w:tc>
          <w:tcPr>
            <w:tcW w:w="934" w:type="dxa"/>
          </w:tcPr>
          <w:p w14:paraId="075C47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Размах, м</w:t>
            </w:r>
          </w:p>
        </w:tc>
        <w:tc>
          <w:tcPr>
            <w:tcW w:w="934" w:type="dxa"/>
          </w:tcPr>
          <w:p w14:paraId="7A3413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9.000</w:t>
            </w:r>
          </w:p>
        </w:tc>
        <w:tc>
          <w:tcPr>
            <w:tcW w:w="934" w:type="dxa"/>
          </w:tcPr>
          <w:p w14:paraId="3AE0AB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9.000</w:t>
            </w:r>
          </w:p>
        </w:tc>
        <w:tc>
          <w:tcPr>
            <w:tcW w:w="934" w:type="dxa"/>
          </w:tcPr>
          <w:p w14:paraId="58315B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9.004</w:t>
            </w:r>
          </w:p>
        </w:tc>
        <w:tc>
          <w:tcPr>
            <w:tcW w:w="934" w:type="dxa"/>
          </w:tcPr>
          <w:p w14:paraId="788955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9.004</w:t>
            </w:r>
          </w:p>
        </w:tc>
        <w:tc>
          <w:tcPr>
            <w:tcW w:w="934" w:type="dxa"/>
          </w:tcPr>
          <w:p w14:paraId="478F80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9.004</w:t>
            </w:r>
          </w:p>
        </w:tc>
        <w:tc>
          <w:tcPr>
            <w:tcW w:w="934" w:type="dxa"/>
          </w:tcPr>
          <w:p w14:paraId="674D06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9.004</w:t>
            </w:r>
          </w:p>
        </w:tc>
        <w:tc>
          <w:tcPr>
            <w:tcW w:w="934" w:type="dxa"/>
          </w:tcPr>
          <w:p w14:paraId="10F2AD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9.004</w:t>
            </w:r>
          </w:p>
        </w:tc>
        <w:tc>
          <w:tcPr>
            <w:tcW w:w="934" w:type="dxa"/>
          </w:tcPr>
          <w:p w14:paraId="48FDFB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9.004</w:t>
            </w:r>
          </w:p>
        </w:tc>
        <w:tc>
          <w:tcPr>
            <w:tcW w:w="934" w:type="dxa"/>
          </w:tcPr>
          <w:p w14:paraId="52A256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9.004</w:t>
            </w:r>
          </w:p>
        </w:tc>
        <w:tc>
          <w:tcPr>
            <w:tcW w:w="934" w:type="dxa"/>
          </w:tcPr>
          <w:p w14:paraId="38D628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9,004</w:t>
            </w:r>
          </w:p>
        </w:tc>
        <w:tc>
          <w:tcPr>
            <w:tcW w:w="934" w:type="dxa"/>
          </w:tcPr>
          <w:p w14:paraId="0AD252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9,004</w:t>
            </w:r>
          </w:p>
        </w:tc>
      </w:tr>
      <w:tr w:rsidR="009B487A" w:rsidRPr="00722885" w14:paraId="5B2FCCB2" w14:textId="77777777" w:rsidTr="00CC5360">
        <w:tc>
          <w:tcPr>
            <w:tcW w:w="934" w:type="dxa"/>
          </w:tcPr>
          <w:p w14:paraId="13FDF0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 м</w:t>
            </w:r>
          </w:p>
        </w:tc>
        <w:tc>
          <w:tcPr>
            <w:tcW w:w="934" w:type="dxa"/>
          </w:tcPr>
          <w:p w14:paraId="0FFD5D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3,250</w:t>
            </w:r>
          </w:p>
        </w:tc>
        <w:tc>
          <w:tcPr>
            <w:tcW w:w="934" w:type="dxa"/>
          </w:tcPr>
          <w:p w14:paraId="05F860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3,250</w:t>
            </w:r>
          </w:p>
        </w:tc>
        <w:tc>
          <w:tcPr>
            <w:tcW w:w="934" w:type="dxa"/>
          </w:tcPr>
          <w:p w14:paraId="24A36A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3.250</w:t>
            </w:r>
          </w:p>
        </w:tc>
        <w:tc>
          <w:tcPr>
            <w:tcW w:w="934" w:type="dxa"/>
          </w:tcPr>
          <w:p w14:paraId="2C3F738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3.250</w:t>
            </w:r>
          </w:p>
        </w:tc>
        <w:tc>
          <w:tcPr>
            <w:tcW w:w="934" w:type="dxa"/>
          </w:tcPr>
          <w:p w14:paraId="193F69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3.250</w:t>
            </w:r>
          </w:p>
        </w:tc>
        <w:tc>
          <w:tcPr>
            <w:tcW w:w="934" w:type="dxa"/>
          </w:tcPr>
          <w:p w14:paraId="30C0C4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3,250</w:t>
            </w:r>
          </w:p>
        </w:tc>
        <w:tc>
          <w:tcPr>
            <w:tcW w:w="934" w:type="dxa"/>
          </w:tcPr>
          <w:p w14:paraId="6E30D6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3.250</w:t>
            </w:r>
          </w:p>
        </w:tc>
        <w:tc>
          <w:tcPr>
            <w:tcW w:w="934" w:type="dxa"/>
          </w:tcPr>
          <w:p w14:paraId="629501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3.250</w:t>
            </w:r>
          </w:p>
        </w:tc>
        <w:tc>
          <w:tcPr>
            <w:tcW w:w="934" w:type="dxa"/>
          </w:tcPr>
          <w:p w14:paraId="096AF3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3.250</w:t>
            </w:r>
          </w:p>
        </w:tc>
        <w:tc>
          <w:tcPr>
            <w:tcW w:w="934" w:type="dxa"/>
          </w:tcPr>
          <w:p w14:paraId="670369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3.250</w:t>
            </w:r>
          </w:p>
        </w:tc>
        <w:tc>
          <w:tcPr>
            <w:tcW w:w="934" w:type="dxa"/>
          </w:tcPr>
          <w:p w14:paraId="08FC89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3,218</w:t>
            </w:r>
          </w:p>
        </w:tc>
      </w:tr>
      <w:tr w:rsidR="009B487A" w:rsidRPr="00722885" w14:paraId="7FC4244E" w14:textId="77777777" w:rsidTr="00CC5360">
        <w:tc>
          <w:tcPr>
            <w:tcW w:w="934" w:type="dxa"/>
          </w:tcPr>
          <w:p w14:paraId="53CC9CC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м</w:t>
            </w:r>
          </w:p>
        </w:tc>
        <w:tc>
          <w:tcPr>
            <w:tcW w:w="934" w:type="dxa"/>
          </w:tcPr>
          <w:p w14:paraId="6BA88A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5,860</w:t>
            </w:r>
          </w:p>
        </w:tc>
        <w:tc>
          <w:tcPr>
            <w:tcW w:w="934" w:type="dxa"/>
          </w:tcPr>
          <w:p w14:paraId="3BD0F1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5.985</w:t>
            </w:r>
          </w:p>
        </w:tc>
        <w:tc>
          <w:tcPr>
            <w:tcW w:w="934" w:type="dxa"/>
          </w:tcPr>
          <w:p w14:paraId="59CC60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6,074</w:t>
            </w:r>
          </w:p>
        </w:tc>
        <w:tc>
          <w:tcPr>
            <w:tcW w:w="934" w:type="dxa"/>
          </w:tcPr>
          <w:p w14:paraId="10A9D0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5.985</w:t>
            </w:r>
          </w:p>
        </w:tc>
        <w:tc>
          <w:tcPr>
            <w:tcW w:w="934" w:type="dxa"/>
          </w:tcPr>
          <w:p w14:paraId="5DBDAF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5.985</w:t>
            </w:r>
          </w:p>
        </w:tc>
        <w:tc>
          <w:tcPr>
            <w:tcW w:w="934" w:type="dxa"/>
          </w:tcPr>
          <w:p w14:paraId="50FFFB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6,074</w:t>
            </w:r>
          </w:p>
        </w:tc>
        <w:tc>
          <w:tcPr>
            <w:tcW w:w="934" w:type="dxa"/>
          </w:tcPr>
          <w:p w14:paraId="0758D2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6.074</w:t>
            </w:r>
          </w:p>
        </w:tc>
        <w:tc>
          <w:tcPr>
            <w:tcW w:w="934" w:type="dxa"/>
          </w:tcPr>
          <w:p w14:paraId="7584D9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6,130</w:t>
            </w:r>
          </w:p>
        </w:tc>
        <w:tc>
          <w:tcPr>
            <w:tcW w:w="934" w:type="dxa"/>
          </w:tcPr>
          <w:p w14:paraId="04A551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6.074</w:t>
            </w:r>
          </w:p>
        </w:tc>
        <w:tc>
          <w:tcPr>
            <w:tcW w:w="934" w:type="dxa"/>
          </w:tcPr>
          <w:p w14:paraId="553BA5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6,130</w:t>
            </w:r>
          </w:p>
        </w:tc>
        <w:tc>
          <w:tcPr>
            <w:tcW w:w="934" w:type="dxa"/>
          </w:tcPr>
          <w:p w14:paraId="6C4074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6,130</w:t>
            </w:r>
          </w:p>
        </w:tc>
      </w:tr>
      <w:tr w:rsidR="009B487A" w:rsidRPr="00722885" w14:paraId="70F308D0" w14:textId="77777777" w:rsidTr="00CC5360">
        <w:tc>
          <w:tcPr>
            <w:tcW w:w="934" w:type="dxa"/>
          </w:tcPr>
          <w:p w14:paraId="22B1B1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Двигатель</w:t>
            </w:r>
          </w:p>
        </w:tc>
        <w:tc>
          <w:tcPr>
            <w:tcW w:w="934" w:type="dxa"/>
          </w:tcPr>
          <w:p w14:paraId="15F394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М-22</w:t>
            </w:r>
          </w:p>
        </w:tc>
        <w:tc>
          <w:tcPr>
            <w:tcW w:w="934" w:type="dxa"/>
          </w:tcPr>
          <w:p w14:paraId="3C9D8E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М-25А</w:t>
            </w:r>
          </w:p>
        </w:tc>
        <w:tc>
          <w:tcPr>
            <w:tcW w:w="934" w:type="dxa"/>
          </w:tcPr>
          <w:p w14:paraId="037EB8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М-25В</w:t>
            </w:r>
          </w:p>
        </w:tc>
        <w:tc>
          <w:tcPr>
            <w:tcW w:w="934" w:type="dxa"/>
          </w:tcPr>
          <w:p w14:paraId="2F7FE9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М-25А</w:t>
            </w:r>
          </w:p>
        </w:tc>
        <w:tc>
          <w:tcPr>
            <w:tcW w:w="934" w:type="dxa"/>
          </w:tcPr>
          <w:p w14:paraId="593AB5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М-25А</w:t>
            </w:r>
          </w:p>
        </w:tc>
        <w:tc>
          <w:tcPr>
            <w:tcW w:w="934" w:type="dxa"/>
          </w:tcPr>
          <w:p w14:paraId="3C60F5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М-25В</w:t>
            </w:r>
          </w:p>
        </w:tc>
        <w:tc>
          <w:tcPr>
            <w:tcW w:w="934" w:type="dxa"/>
          </w:tcPr>
          <w:p w14:paraId="6EB310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М-62</w:t>
            </w:r>
          </w:p>
        </w:tc>
        <w:tc>
          <w:tcPr>
            <w:tcW w:w="934" w:type="dxa"/>
          </w:tcPr>
          <w:p w14:paraId="66897B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М-63</w:t>
            </w:r>
          </w:p>
        </w:tc>
        <w:tc>
          <w:tcPr>
            <w:tcW w:w="934" w:type="dxa"/>
          </w:tcPr>
          <w:p w14:paraId="435341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М-62</w:t>
            </w:r>
          </w:p>
        </w:tc>
        <w:tc>
          <w:tcPr>
            <w:tcW w:w="934" w:type="dxa"/>
          </w:tcPr>
          <w:p w14:paraId="6BFB22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М-63</w:t>
            </w:r>
          </w:p>
        </w:tc>
        <w:tc>
          <w:tcPr>
            <w:tcW w:w="934" w:type="dxa"/>
          </w:tcPr>
          <w:p w14:paraId="1C57D7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М-63</w:t>
            </w:r>
          </w:p>
        </w:tc>
      </w:tr>
      <w:tr w:rsidR="009B487A" w:rsidRPr="00722885" w14:paraId="1E820622" w14:textId="77777777" w:rsidTr="00CC5360">
        <w:tc>
          <w:tcPr>
            <w:tcW w:w="934" w:type="dxa"/>
          </w:tcPr>
          <w:p w14:paraId="36A600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Мощность, л.с.</w:t>
            </w:r>
          </w:p>
        </w:tc>
        <w:tc>
          <w:tcPr>
            <w:tcW w:w="934" w:type="dxa"/>
          </w:tcPr>
          <w:p w14:paraId="195D19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480</w:t>
            </w:r>
          </w:p>
        </w:tc>
        <w:tc>
          <w:tcPr>
            <w:tcW w:w="934" w:type="dxa"/>
          </w:tcPr>
          <w:p w14:paraId="23B6FC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730</w:t>
            </w:r>
          </w:p>
        </w:tc>
        <w:tc>
          <w:tcPr>
            <w:tcW w:w="934" w:type="dxa"/>
          </w:tcPr>
          <w:p w14:paraId="3E0259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750</w:t>
            </w:r>
          </w:p>
        </w:tc>
        <w:tc>
          <w:tcPr>
            <w:tcW w:w="934" w:type="dxa"/>
          </w:tcPr>
          <w:p w14:paraId="7B210B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730</w:t>
            </w:r>
          </w:p>
        </w:tc>
        <w:tc>
          <w:tcPr>
            <w:tcW w:w="934" w:type="dxa"/>
          </w:tcPr>
          <w:p w14:paraId="3DC975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730</w:t>
            </w:r>
          </w:p>
        </w:tc>
        <w:tc>
          <w:tcPr>
            <w:tcW w:w="934" w:type="dxa"/>
          </w:tcPr>
          <w:p w14:paraId="749CCD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750</w:t>
            </w:r>
          </w:p>
        </w:tc>
        <w:tc>
          <w:tcPr>
            <w:tcW w:w="934" w:type="dxa"/>
          </w:tcPr>
          <w:p w14:paraId="3E9181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w:t>
            </w:r>
          </w:p>
        </w:tc>
        <w:tc>
          <w:tcPr>
            <w:tcW w:w="934" w:type="dxa"/>
          </w:tcPr>
          <w:p w14:paraId="6F24E7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w:t>
            </w:r>
          </w:p>
        </w:tc>
        <w:tc>
          <w:tcPr>
            <w:tcW w:w="934" w:type="dxa"/>
          </w:tcPr>
          <w:p w14:paraId="75E15A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w:t>
            </w:r>
          </w:p>
        </w:tc>
        <w:tc>
          <w:tcPr>
            <w:tcW w:w="934" w:type="dxa"/>
          </w:tcPr>
          <w:p w14:paraId="6151AC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w:t>
            </w:r>
          </w:p>
        </w:tc>
        <w:tc>
          <w:tcPr>
            <w:tcW w:w="934" w:type="dxa"/>
          </w:tcPr>
          <w:p w14:paraId="156353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w:t>
            </w:r>
          </w:p>
        </w:tc>
      </w:tr>
      <w:tr w:rsidR="009B487A" w:rsidRPr="00722885" w14:paraId="78A5EAA9" w14:textId="77777777" w:rsidTr="00CC5360">
        <w:tc>
          <w:tcPr>
            <w:tcW w:w="934" w:type="dxa"/>
          </w:tcPr>
          <w:p w14:paraId="7D31F6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м</w:t>
            </w:r>
          </w:p>
        </w:tc>
        <w:tc>
          <w:tcPr>
            <w:tcW w:w="934" w:type="dxa"/>
          </w:tcPr>
          <w:p w14:paraId="00D151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w:t>
            </w:r>
          </w:p>
        </w:tc>
        <w:tc>
          <w:tcPr>
            <w:tcW w:w="934" w:type="dxa"/>
          </w:tcPr>
          <w:p w14:paraId="7921D8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934" w:type="dxa"/>
          </w:tcPr>
          <w:p w14:paraId="228B94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2900</w:t>
            </w:r>
          </w:p>
        </w:tc>
        <w:tc>
          <w:tcPr>
            <w:tcW w:w="934" w:type="dxa"/>
          </w:tcPr>
          <w:p w14:paraId="5FC246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934" w:type="dxa"/>
          </w:tcPr>
          <w:p w14:paraId="3B23A0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934" w:type="dxa"/>
          </w:tcPr>
          <w:p w14:paraId="60C8DA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2900</w:t>
            </w:r>
          </w:p>
        </w:tc>
        <w:tc>
          <w:tcPr>
            <w:tcW w:w="934" w:type="dxa"/>
          </w:tcPr>
          <w:p w14:paraId="1477F8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4500</w:t>
            </w:r>
          </w:p>
        </w:tc>
        <w:tc>
          <w:tcPr>
            <w:tcW w:w="934" w:type="dxa"/>
          </w:tcPr>
          <w:p w14:paraId="597B9E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4500</w:t>
            </w:r>
          </w:p>
        </w:tc>
        <w:tc>
          <w:tcPr>
            <w:tcW w:w="934" w:type="dxa"/>
          </w:tcPr>
          <w:p w14:paraId="766BE4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4200</w:t>
            </w:r>
          </w:p>
        </w:tc>
        <w:tc>
          <w:tcPr>
            <w:tcW w:w="934" w:type="dxa"/>
          </w:tcPr>
          <w:p w14:paraId="2435FC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4500</w:t>
            </w:r>
          </w:p>
        </w:tc>
        <w:tc>
          <w:tcPr>
            <w:tcW w:w="934" w:type="dxa"/>
          </w:tcPr>
          <w:p w14:paraId="461D99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4500</w:t>
            </w:r>
          </w:p>
        </w:tc>
      </w:tr>
      <w:tr w:rsidR="009B487A" w:rsidRPr="00722885" w14:paraId="185FB9EC" w14:textId="77777777" w:rsidTr="00CC5360">
        <w:tc>
          <w:tcPr>
            <w:tcW w:w="934" w:type="dxa"/>
          </w:tcPr>
          <w:p w14:paraId="10285A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Нагрузка, кг/м"</w:t>
            </w:r>
          </w:p>
        </w:tc>
        <w:tc>
          <w:tcPr>
            <w:tcW w:w="934" w:type="dxa"/>
          </w:tcPr>
          <w:p w14:paraId="773797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93,1</w:t>
            </w:r>
          </w:p>
        </w:tc>
        <w:tc>
          <w:tcPr>
            <w:tcW w:w="934" w:type="dxa"/>
          </w:tcPr>
          <w:p w14:paraId="2AA95F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103.5</w:t>
            </w:r>
          </w:p>
        </w:tc>
        <w:tc>
          <w:tcPr>
            <w:tcW w:w="934" w:type="dxa"/>
          </w:tcPr>
          <w:p w14:paraId="3EAE68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w:t>
            </w:r>
          </w:p>
        </w:tc>
        <w:tc>
          <w:tcPr>
            <w:tcW w:w="934" w:type="dxa"/>
          </w:tcPr>
          <w:p w14:paraId="43E162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w:t>
            </w:r>
          </w:p>
        </w:tc>
        <w:tc>
          <w:tcPr>
            <w:tcW w:w="934" w:type="dxa"/>
          </w:tcPr>
          <w:p w14:paraId="387E0C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934" w:type="dxa"/>
          </w:tcPr>
          <w:p w14:paraId="56A1A2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w:t>
            </w:r>
          </w:p>
        </w:tc>
        <w:tc>
          <w:tcPr>
            <w:tcW w:w="934" w:type="dxa"/>
          </w:tcPr>
          <w:p w14:paraId="11E87B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125.5</w:t>
            </w:r>
          </w:p>
        </w:tc>
        <w:tc>
          <w:tcPr>
            <w:tcW w:w="934" w:type="dxa"/>
          </w:tcPr>
          <w:p w14:paraId="1ECF85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129</w:t>
            </w:r>
          </w:p>
        </w:tc>
        <w:tc>
          <w:tcPr>
            <w:tcW w:w="934" w:type="dxa"/>
          </w:tcPr>
          <w:p w14:paraId="1A4DE0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124,2</w:t>
            </w:r>
          </w:p>
        </w:tc>
        <w:tc>
          <w:tcPr>
            <w:tcW w:w="934" w:type="dxa"/>
          </w:tcPr>
          <w:p w14:paraId="38B2D0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136,5</w:t>
            </w:r>
          </w:p>
        </w:tc>
        <w:tc>
          <w:tcPr>
            <w:tcW w:w="934" w:type="dxa"/>
          </w:tcPr>
          <w:p w14:paraId="3EF000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w:t>
            </w:r>
          </w:p>
        </w:tc>
      </w:tr>
      <w:tr w:rsidR="009B487A" w:rsidRPr="00722885" w14:paraId="0A7C8BA5" w14:textId="77777777" w:rsidTr="00CC5360">
        <w:tc>
          <w:tcPr>
            <w:tcW w:w="934" w:type="dxa"/>
          </w:tcPr>
          <w:p w14:paraId="2B6C4C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Полетный вес. кг</w:t>
            </w:r>
          </w:p>
        </w:tc>
        <w:tc>
          <w:tcPr>
            <w:tcW w:w="934" w:type="dxa"/>
          </w:tcPr>
          <w:p w14:paraId="74D10B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1354</w:t>
            </w:r>
          </w:p>
        </w:tc>
        <w:tc>
          <w:tcPr>
            <w:tcW w:w="934" w:type="dxa"/>
          </w:tcPr>
          <w:p w14:paraId="12B8C5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1508</w:t>
            </w:r>
          </w:p>
        </w:tc>
        <w:tc>
          <w:tcPr>
            <w:tcW w:w="934" w:type="dxa"/>
          </w:tcPr>
          <w:p w14:paraId="557AFC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1716</w:t>
            </w:r>
          </w:p>
        </w:tc>
        <w:tc>
          <w:tcPr>
            <w:tcW w:w="934" w:type="dxa"/>
          </w:tcPr>
          <w:p w14:paraId="6A47F1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1718</w:t>
            </w:r>
          </w:p>
        </w:tc>
        <w:tc>
          <w:tcPr>
            <w:tcW w:w="934" w:type="dxa"/>
          </w:tcPr>
          <w:p w14:paraId="65168C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1458.2</w:t>
            </w:r>
          </w:p>
        </w:tc>
        <w:tc>
          <w:tcPr>
            <w:tcW w:w="934" w:type="dxa"/>
          </w:tcPr>
          <w:p w14:paraId="2D17A1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1810</w:t>
            </w:r>
          </w:p>
        </w:tc>
        <w:tc>
          <w:tcPr>
            <w:tcW w:w="934" w:type="dxa"/>
          </w:tcPr>
          <w:p w14:paraId="7EA03C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1830</w:t>
            </w:r>
          </w:p>
        </w:tc>
        <w:tc>
          <w:tcPr>
            <w:tcW w:w="934" w:type="dxa"/>
          </w:tcPr>
          <w:p w14:paraId="643589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1882</w:t>
            </w:r>
          </w:p>
        </w:tc>
        <w:tc>
          <w:tcPr>
            <w:tcW w:w="934" w:type="dxa"/>
          </w:tcPr>
          <w:p w14:paraId="74D9502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1807,9</w:t>
            </w:r>
          </w:p>
        </w:tc>
        <w:tc>
          <w:tcPr>
            <w:tcW w:w="934" w:type="dxa"/>
          </w:tcPr>
          <w:p w14:paraId="4FE410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1988</w:t>
            </w:r>
          </w:p>
        </w:tc>
        <w:tc>
          <w:tcPr>
            <w:tcW w:w="934" w:type="dxa"/>
          </w:tcPr>
          <w:p w14:paraId="7B4E6B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1940</w:t>
            </w:r>
          </w:p>
        </w:tc>
      </w:tr>
      <w:tr w:rsidR="009B487A" w:rsidRPr="00722885" w14:paraId="33D49659" w14:textId="77777777" w:rsidTr="00CC5360">
        <w:tc>
          <w:tcPr>
            <w:tcW w:w="934" w:type="dxa"/>
          </w:tcPr>
          <w:p w14:paraId="6705F8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пустого, кг</w:t>
            </w:r>
          </w:p>
        </w:tc>
        <w:tc>
          <w:tcPr>
            <w:tcW w:w="934" w:type="dxa"/>
          </w:tcPr>
          <w:p w14:paraId="6B1781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961</w:t>
            </w:r>
          </w:p>
        </w:tc>
        <w:tc>
          <w:tcPr>
            <w:tcW w:w="934" w:type="dxa"/>
          </w:tcPr>
          <w:p w14:paraId="7FDD5A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1118.5</w:t>
            </w:r>
          </w:p>
        </w:tc>
        <w:tc>
          <w:tcPr>
            <w:tcW w:w="934" w:type="dxa"/>
          </w:tcPr>
          <w:p w14:paraId="69E192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1327</w:t>
            </w:r>
          </w:p>
        </w:tc>
        <w:tc>
          <w:tcPr>
            <w:tcW w:w="934" w:type="dxa"/>
          </w:tcPr>
          <w:p w14:paraId="0DB2DA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1160</w:t>
            </w:r>
          </w:p>
        </w:tc>
        <w:tc>
          <w:tcPr>
            <w:tcW w:w="934" w:type="dxa"/>
          </w:tcPr>
          <w:p w14:paraId="216382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1156,2</w:t>
            </w:r>
          </w:p>
        </w:tc>
        <w:tc>
          <w:tcPr>
            <w:tcW w:w="934" w:type="dxa"/>
          </w:tcPr>
          <w:p w14:paraId="019FE1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1425.5</w:t>
            </w:r>
          </w:p>
        </w:tc>
        <w:tc>
          <w:tcPr>
            <w:tcW w:w="934" w:type="dxa"/>
          </w:tcPr>
          <w:p w14:paraId="6D9AD2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1433.5</w:t>
            </w:r>
          </w:p>
        </w:tc>
        <w:tc>
          <w:tcPr>
            <w:tcW w:w="934" w:type="dxa"/>
          </w:tcPr>
          <w:p w14:paraId="678875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1382.5</w:t>
            </w:r>
          </w:p>
        </w:tc>
        <w:tc>
          <w:tcPr>
            <w:tcW w:w="934" w:type="dxa"/>
          </w:tcPr>
          <w:p w14:paraId="791627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1335,5</w:t>
            </w:r>
          </w:p>
        </w:tc>
        <w:tc>
          <w:tcPr>
            <w:tcW w:w="934" w:type="dxa"/>
          </w:tcPr>
          <w:p w14:paraId="61FC6D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1403,1</w:t>
            </w:r>
          </w:p>
        </w:tc>
        <w:tc>
          <w:tcPr>
            <w:tcW w:w="934" w:type="dxa"/>
          </w:tcPr>
          <w:p w14:paraId="2C0AC2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1965</w:t>
            </w:r>
          </w:p>
        </w:tc>
      </w:tr>
      <w:tr w:rsidR="009B487A" w:rsidRPr="00722885" w14:paraId="6EE74477" w14:textId="77777777" w:rsidTr="00CC5360">
        <w:tc>
          <w:tcPr>
            <w:tcW w:w="934" w:type="dxa"/>
          </w:tcPr>
          <w:p w14:paraId="7D9892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Скорость.км/ч</w:t>
            </w:r>
          </w:p>
        </w:tc>
        <w:tc>
          <w:tcPr>
            <w:tcW w:w="934" w:type="dxa"/>
          </w:tcPr>
          <w:p w14:paraId="61428EF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5174657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7964583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199A4B9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4F51DC0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1273F1E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05133B0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4DCD344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545C018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68B3818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497D81B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7686CC55" w14:textId="77777777" w:rsidTr="00CC5360">
        <w:tc>
          <w:tcPr>
            <w:tcW w:w="934" w:type="dxa"/>
          </w:tcPr>
          <w:p w14:paraId="393A7F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Н=0</w:t>
            </w:r>
          </w:p>
        </w:tc>
        <w:tc>
          <w:tcPr>
            <w:tcW w:w="934" w:type="dxa"/>
          </w:tcPr>
          <w:p w14:paraId="14360A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362</w:t>
            </w:r>
          </w:p>
        </w:tc>
        <w:tc>
          <w:tcPr>
            <w:tcW w:w="934" w:type="dxa"/>
          </w:tcPr>
          <w:p w14:paraId="7839DA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390</w:t>
            </w:r>
          </w:p>
        </w:tc>
        <w:tc>
          <w:tcPr>
            <w:tcW w:w="934" w:type="dxa"/>
          </w:tcPr>
          <w:p w14:paraId="5E8211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398</w:t>
            </w:r>
          </w:p>
        </w:tc>
        <w:tc>
          <w:tcPr>
            <w:tcW w:w="934" w:type="dxa"/>
          </w:tcPr>
          <w:p w14:paraId="3EE5C0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393</w:t>
            </w:r>
          </w:p>
        </w:tc>
        <w:tc>
          <w:tcPr>
            <w:tcW w:w="934" w:type="dxa"/>
          </w:tcPr>
          <w:p w14:paraId="0F0966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398</w:t>
            </w:r>
          </w:p>
        </w:tc>
        <w:tc>
          <w:tcPr>
            <w:tcW w:w="934" w:type="dxa"/>
          </w:tcPr>
          <w:p w14:paraId="76AFBC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385</w:t>
            </w:r>
          </w:p>
        </w:tc>
        <w:tc>
          <w:tcPr>
            <w:tcW w:w="934" w:type="dxa"/>
          </w:tcPr>
          <w:p w14:paraId="4ED341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413</w:t>
            </w:r>
          </w:p>
        </w:tc>
        <w:tc>
          <w:tcPr>
            <w:tcW w:w="934" w:type="dxa"/>
          </w:tcPr>
          <w:p w14:paraId="197816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410</w:t>
            </w:r>
          </w:p>
        </w:tc>
        <w:tc>
          <w:tcPr>
            <w:tcW w:w="934" w:type="dxa"/>
          </w:tcPr>
          <w:p w14:paraId="2F0878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934" w:type="dxa"/>
          </w:tcPr>
          <w:p w14:paraId="7311FC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427</w:t>
            </w:r>
          </w:p>
        </w:tc>
        <w:tc>
          <w:tcPr>
            <w:tcW w:w="934" w:type="dxa"/>
          </w:tcPr>
          <w:p w14:paraId="1403F2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419</w:t>
            </w:r>
          </w:p>
        </w:tc>
      </w:tr>
      <w:tr w:rsidR="009B487A" w:rsidRPr="00722885" w14:paraId="41DFE0C4" w14:textId="77777777" w:rsidTr="00CC5360">
        <w:tc>
          <w:tcPr>
            <w:tcW w:w="934" w:type="dxa"/>
          </w:tcPr>
          <w:p w14:paraId="2C59D0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 Расчетная</w:t>
            </w:r>
          </w:p>
        </w:tc>
        <w:tc>
          <w:tcPr>
            <w:tcW w:w="934" w:type="dxa"/>
          </w:tcPr>
          <w:p w14:paraId="0CA4FB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346</w:t>
            </w:r>
          </w:p>
        </w:tc>
        <w:tc>
          <w:tcPr>
            <w:tcW w:w="934" w:type="dxa"/>
          </w:tcPr>
          <w:p w14:paraId="304081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445</w:t>
            </w:r>
          </w:p>
        </w:tc>
        <w:tc>
          <w:tcPr>
            <w:tcW w:w="934" w:type="dxa"/>
          </w:tcPr>
          <w:p w14:paraId="35B34D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448</w:t>
            </w:r>
          </w:p>
        </w:tc>
        <w:tc>
          <w:tcPr>
            <w:tcW w:w="934" w:type="dxa"/>
          </w:tcPr>
          <w:p w14:paraId="3ABF8B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431</w:t>
            </w:r>
          </w:p>
        </w:tc>
        <w:tc>
          <w:tcPr>
            <w:tcW w:w="934" w:type="dxa"/>
          </w:tcPr>
          <w:p w14:paraId="61597F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w:t>
            </w:r>
          </w:p>
        </w:tc>
        <w:tc>
          <w:tcPr>
            <w:tcW w:w="934" w:type="dxa"/>
          </w:tcPr>
          <w:p w14:paraId="4186FF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425</w:t>
            </w:r>
          </w:p>
        </w:tc>
        <w:tc>
          <w:tcPr>
            <w:tcW w:w="934" w:type="dxa"/>
          </w:tcPr>
          <w:p w14:paraId="730AA3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461</w:t>
            </w:r>
          </w:p>
        </w:tc>
        <w:tc>
          <w:tcPr>
            <w:tcW w:w="934" w:type="dxa"/>
          </w:tcPr>
          <w:p w14:paraId="7A20ED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462</w:t>
            </w:r>
          </w:p>
        </w:tc>
        <w:tc>
          <w:tcPr>
            <w:tcW w:w="934" w:type="dxa"/>
          </w:tcPr>
          <w:p w14:paraId="5C3D55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934" w:type="dxa"/>
          </w:tcPr>
          <w:p w14:paraId="381192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463</w:t>
            </w:r>
          </w:p>
        </w:tc>
        <w:tc>
          <w:tcPr>
            <w:tcW w:w="934" w:type="dxa"/>
          </w:tcPr>
          <w:p w14:paraId="1538DF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470</w:t>
            </w:r>
          </w:p>
        </w:tc>
      </w:tr>
      <w:tr w:rsidR="009B487A" w:rsidRPr="00722885" w14:paraId="056C1BFE" w14:textId="77777777" w:rsidTr="00CC5360">
        <w:tc>
          <w:tcPr>
            <w:tcW w:w="934" w:type="dxa"/>
          </w:tcPr>
          <w:p w14:paraId="44BE91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высоте, м</w:t>
            </w:r>
          </w:p>
        </w:tc>
        <w:tc>
          <w:tcPr>
            <w:tcW w:w="934" w:type="dxa"/>
          </w:tcPr>
          <w:p w14:paraId="5DD9F9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934" w:type="dxa"/>
          </w:tcPr>
          <w:p w14:paraId="0E583AC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2700</w:t>
            </w:r>
          </w:p>
        </w:tc>
        <w:tc>
          <w:tcPr>
            <w:tcW w:w="934" w:type="dxa"/>
          </w:tcPr>
          <w:p w14:paraId="69D38B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3160</w:t>
            </w:r>
          </w:p>
        </w:tc>
        <w:tc>
          <w:tcPr>
            <w:tcW w:w="934" w:type="dxa"/>
          </w:tcPr>
          <w:p w14:paraId="73AC06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2400</w:t>
            </w:r>
          </w:p>
        </w:tc>
        <w:tc>
          <w:tcPr>
            <w:tcW w:w="934" w:type="dxa"/>
          </w:tcPr>
          <w:p w14:paraId="2988CC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2800</w:t>
            </w:r>
          </w:p>
        </w:tc>
        <w:tc>
          <w:tcPr>
            <w:tcW w:w="934" w:type="dxa"/>
          </w:tcPr>
          <w:p w14:paraId="00269A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2700</w:t>
            </w:r>
          </w:p>
        </w:tc>
        <w:tc>
          <w:tcPr>
            <w:tcW w:w="934" w:type="dxa"/>
          </w:tcPr>
          <w:p w14:paraId="64016D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4400</w:t>
            </w:r>
          </w:p>
        </w:tc>
        <w:tc>
          <w:tcPr>
            <w:tcW w:w="934" w:type="dxa"/>
          </w:tcPr>
          <w:p w14:paraId="25C341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4700</w:t>
            </w:r>
          </w:p>
        </w:tc>
        <w:tc>
          <w:tcPr>
            <w:tcW w:w="934" w:type="dxa"/>
          </w:tcPr>
          <w:p w14:paraId="4EA3B0A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78BD70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tc>
        <w:tc>
          <w:tcPr>
            <w:tcW w:w="934" w:type="dxa"/>
          </w:tcPr>
          <w:p w14:paraId="168849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4480</w:t>
            </w:r>
          </w:p>
        </w:tc>
      </w:tr>
      <w:tr w:rsidR="009B487A" w:rsidRPr="00722885" w14:paraId="3988ECAF" w14:textId="77777777" w:rsidTr="00CC5360">
        <w:tc>
          <w:tcPr>
            <w:tcW w:w="934" w:type="dxa"/>
          </w:tcPr>
          <w:p w14:paraId="1F7A8E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посадочная</w:t>
            </w:r>
          </w:p>
        </w:tc>
        <w:tc>
          <w:tcPr>
            <w:tcW w:w="934" w:type="dxa"/>
          </w:tcPr>
          <w:p w14:paraId="3BAD49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w:t>
            </w:r>
          </w:p>
        </w:tc>
        <w:tc>
          <w:tcPr>
            <w:tcW w:w="934" w:type="dxa"/>
          </w:tcPr>
          <w:p w14:paraId="01E24A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117</w:t>
            </w:r>
          </w:p>
        </w:tc>
        <w:tc>
          <w:tcPr>
            <w:tcW w:w="934" w:type="dxa"/>
          </w:tcPr>
          <w:p w14:paraId="6148FC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w:t>
            </w:r>
          </w:p>
        </w:tc>
        <w:tc>
          <w:tcPr>
            <w:tcW w:w="934" w:type="dxa"/>
          </w:tcPr>
          <w:p w14:paraId="481E0B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129</w:t>
            </w:r>
          </w:p>
        </w:tc>
        <w:tc>
          <w:tcPr>
            <w:tcW w:w="934" w:type="dxa"/>
          </w:tcPr>
          <w:p w14:paraId="43BCF6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w:t>
            </w:r>
          </w:p>
        </w:tc>
        <w:tc>
          <w:tcPr>
            <w:tcW w:w="934" w:type="dxa"/>
          </w:tcPr>
          <w:p w14:paraId="43480B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131</w:t>
            </w:r>
          </w:p>
        </w:tc>
        <w:tc>
          <w:tcPr>
            <w:tcW w:w="934" w:type="dxa"/>
          </w:tcPr>
          <w:p w14:paraId="3DFC3F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132</w:t>
            </w:r>
          </w:p>
        </w:tc>
        <w:tc>
          <w:tcPr>
            <w:tcW w:w="934" w:type="dxa"/>
          </w:tcPr>
          <w:p w14:paraId="11147B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130,5</w:t>
            </w:r>
          </w:p>
        </w:tc>
        <w:tc>
          <w:tcPr>
            <w:tcW w:w="934" w:type="dxa"/>
          </w:tcPr>
          <w:p w14:paraId="59DC89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131</w:t>
            </w:r>
          </w:p>
        </w:tc>
        <w:tc>
          <w:tcPr>
            <w:tcW w:w="934" w:type="dxa"/>
          </w:tcPr>
          <w:p w14:paraId="7C9BC2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w:t>
            </w:r>
          </w:p>
        </w:tc>
        <w:tc>
          <w:tcPr>
            <w:tcW w:w="934" w:type="dxa"/>
          </w:tcPr>
          <w:p w14:paraId="7E8118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131</w:t>
            </w:r>
          </w:p>
        </w:tc>
      </w:tr>
      <w:tr w:rsidR="009B487A" w:rsidRPr="00722885" w14:paraId="6A49493E" w14:textId="77777777" w:rsidTr="00CC5360">
        <w:tc>
          <w:tcPr>
            <w:tcW w:w="934" w:type="dxa"/>
          </w:tcPr>
          <w:p w14:paraId="54ECBE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набора</w:t>
            </w:r>
          </w:p>
        </w:tc>
        <w:tc>
          <w:tcPr>
            <w:tcW w:w="934" w:type="dxa"/>
          </w:tcPr>
          <w:p w14:paraId="196583A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6677A92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17A12C1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1D24350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111452B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53B6479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12E64C0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27FF2A9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0310D2D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37757DF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316E29E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269199BE" w14:textId="77777777" w:rsidTr="00CC5360">
        <w:tc>
          <w:tcPr>
            <w:tcW w:w="934" w:type="dxa"/>
          </w:tcPr>
          <w:p w14:paraId="188BCB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Н=3000 м. мин</w:t>
            </w:r>
          </w:p>
        </w:tc>
        <w:tc>
          <w:tcPr>
            <w:tcW w:w="934" w:type="dxa"/>
          </w:tcPr>
          <w:p w14:paraId="4611AB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w:t>
            </w:r>
          </w:p>
        </w:tc>
        <w:tc>
          <w:tcPr>
            <w:tcW w:w="934" w:type="dxa"/>
          </w:tcPr>
          <w:p w14:paraId="2EE2A1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934" w:type="dxa"/>
          </w:tcPr>
          <w:p w14:paraId="4766AF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934" w:type="dxa"/>
          </w:tcPr>
          <w:p w14:paraId="495F4D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4.36</w:t>
            </w:r>
          </w:p>
        </w:tc>
        <w:tc>
          <w:tcPr>
            <w:tcW w:w="934" w:type="dxa"/>
          </w:tcPr>
          <w:p w14:paraId="6831BF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3,38</w:t>
            </w:r>
          </w:p>
        </w:tc>
        <w:tc>
          <w:tcPr>
            <w:tcW w:w="934" w:type="dxa"/>
          </w:tcPr>
          <w:p w14:paraId="5782E9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4.36</w:t>
            </w:r>
          </w:p>
        </w:tc>
        <w:tc>
          <w:tcPr>
            <w:tcW w:w="934" w:type="dxa"/>
          </w:tcPr>
          <w:p w14:paraId="543423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934" w:type="dxa"/>
          </w:tcPr>
          <w:p w14:paraId="6F4EDF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934" w:type="dxa"/>
          </w:tcPr>
          <w:p w14:paraId="3FDA10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934" w:type="dxa"/>
          </w:tcPr>
          <w:p w14:paraId="2BC445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w:t>
            </w:r>
          </w:p>
        </w:tc>
        <w:tc>
          <w:tcPr>
            <w:tcW w:w="934" w:type="dxa"/>
          </w:tcPr>
          <w:p w14:paraId="23B660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w:t>
            </w:r>
          </w:p>
        </w:tc>
      </w:tr>
      <w:tr w:rsidR="009B487A" w:rsidRPr="00722885" w14:paraId="54DB5458" w14:textId="77777777" w:rsidTr="00CC5360">
        <w:tc>
          <w:tcPr>
            <w:tcW w:w="934" w:type="dxa"/>
          </w:tcPr>
          <w:p w14:paraId="3AC3CEC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04DFE64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1C9231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(3400 м)</w:t>
            </w:r>
          </w:p>
        </w:tc>
        <w:tc>
          <w:tcPr>
            <w:tcW w:w="934" w:type="dxa"/>
          </w:tcPr>
          <w:p w14:paraId="2F6F76F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6234B08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1A645AF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1701C91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3A8C1C4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2C26582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5610305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461AB26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093BC40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1642A22A" w14:textId="77777777" w:rsidTr="00CC5360">
        <w:tc>
          <w:tcPr>
            <w:tcW w:w="934" w:type="dxa"/>
          </w:tcPr>
          <w:p w14:paraId="7D3FA9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Н=5000 м. мин</w:t>
            </w:r>
          </w:p>
        </w:tc>
        <w:tc>
          <w:tcPr>
            <w:tcW w:w="934" w:type="dxa"/>
          </w:tcPr>
          <w:p w14:paraId="0E4660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9.9</w:t>
            </w:r>
          </w:p>
        </w:tc>
        <w:tc>
          <w:tcPr>
            <w:tcW w:w="934" w:type="dxa"/>
          </w:tcPr>
          <w:p w14:paraId="3CFC47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7.7</w:t>
            </w:r>
          </w:p>
        </w:tc>
        <w:tc>
          <w:tcPr>
            <w:tcW w:w="934" w:type="dxa"/>
          </w:tcPr>
          <w:p w14:paraId="355982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w:t>
            </w:r>
          </w:p>
        </w:tc>
        <w:tc>
          <w:tcPr>
            <w:tcW w:w="934" w:type="dxa"/>
          </w:tcPr>
          <w:p w14:paraId="45E46B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w:t>
            </w:r>
          </w:p>
        </w:tc>
        <w:tc>
          <w:tcPr>
            <w:tcW w:w="934" w:type="dxa"/>
          </w:tcPr>
          <w:p w14:paraId="670803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6.39</w:t>
            </w:r>
          </w:p>
        </w:tc>
        <w:tc>
          <w:tcPr>
            <w:tcW w:w="934" w:type="dxa"/>
          </w:tcPr>
          <w:p w14:paraId="398DF8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w:t>
            </w:r>
          </w:p>
        </w:tc>
        <w:tc>
          <w:tcPr>
            <w:tcW w:w="934" w:type="dxa"/>
          </w:tcPr>
          <w:p w14:paraId="168016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w:t>
            </w:r>
          </w:p>
        </w:tc>
        <w:tc>
          <w:tcPr>
            <w:tcW w:w="934" w:type="dxa"/>
          </w:tcPr>
          <w:p w14:paraId="4AE0DA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c>
          <w:tcPr>
            <w:tcW w:w="934" w:type="dxa"/>
          </w:tcPr>
          <w:p w14:paraId="2F2491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934" w:type="dxa"/>
          </w:tcPr>
          <w:p w14:paraId="28F44B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5,55</w:t>
            </w:r>
          </w:p>
        </w:tc>
        <w:tc>
          <w:tcPr>
            <w:tcW w:w="934" w:type="dxa"/>
          </w:tcPr>
          <w:p w14:paraId="3F03F7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w:t>
            </w:r>
          </w:p>
        </w:tc>
      </w:tr>
      <w:tr w:rsidR="009B487A" w:rsidRPr="00722885" w14:paraId="5F747F23" w14:textId="77777777" w:rsidTr="00CC5360">
        <w:tc>
          <w:tcPr>
            <w:tcW w:w="934" w:type="dxa"/>
          </w:tcPr>
          <w:p w14:paraId="1553DCB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4D46CF1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308470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(5400 м)</w:t>
            </w:r>
          </w:p>
        </w:tc>
        <w:tc>
          <w:tcPr>
            <w:tcW w:w="934" w:type="dxa"/>
          </w:tcPr>
          <w:p w14:paraId="63E3F20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3AC87AB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3819851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4613BAC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7DF1C5C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3F3C45F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06541DA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6403114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64BA705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3AE31B9D" w14:textId="77777777" w:rsidTr="00CC5360">
        <w:tc>
          <w:tcPr>
            <w:tcW w:w="934" w:type="dxa"/>
          </w:tcPr>
          <w:p w14:paraId="133E51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Практический потолок, м</w:t>
            </w:r>
          </w:p>
        </w:tc>
        <w:tc>
          <w:tcPr>
            <w:tcW w:w="934" w:type="dxa"/>
          </w:tcPr>
          <w:p w14:paraId="58BB63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7440</w:t>
            </w:r>
          </w:p>
        </w:tc>
        <w:tc>
          <w:tcPr>
            <w:tcW w:w="934" w:type="dxa"/>
          </w:tcPr>
          <w:p w14:paraId="27D245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9100</w:t>
            </w:r>
          </w:p>
        </w:tc>
        <w:tc>
          <w:tcPr>
            <w:tcW w:w="934" w:type="dxa"/>
          </w:tcPr>
          <w:p w14:paraId="48CF8F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8470</w:t>
            </w:r>
          </w:p>
        </w:tc>
        <w:tc>
          <w:tcPr>
            <w:tcW w:w="934" w:type="dxa"/>
          </w:tcPr>
          <w:p w14:paraId="5DCB59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8240</w:t>
            </w:r>
          </w:p>
        </w:tc>
        <w:tc>
          <w:tcPr>
            <w:tcW w:w="934" w:type="dxa"/>
          </w:tcPr>
          <w:p w14:paraId="5D44A4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8960</w:t>
            </w:r>
          </w:p>
        </w:tc>
        <w:tc>
          <w:tcPr>
            <w:tcW w:w="934" w:type="dxa"/>
          </w:tcPr>
          <w:p w14:paraId="2D6865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8240</w:t>
            </w:r>
          </w:p>
        </w:tc>
        <w:tc>
          <w:tcPr>
            <w:tcW w:w="934" w:type="dxa"/>
          </w:tcPr>
          <w:p w14:paraId="190E6B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9300</w:t>
            </w:r>
          </w:p>
        </w:tc>
        <w:tc>
          <w:tcPr>
            <w:tcW w:w="934" w:type="dxa"/>
          </w:tcPr>
          <w:p w14:paraId="594E8E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9700</w:t>
            </w:r>
          </w:p>
        </w:tc>
        <w:tc>
          <w:tcPr>
            <w:tcW w:w="934" w:type="dxa"/>
          </w:tcPr>
          <w:p w14:paraId="35BDC1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934" w:type="dxa"/>
          </w:tcPr>
          <w:p w14:paraId="4BC5A3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9950</w:t>
            </w:r>
          </w:p>
        </w:tc>
        <w:tc>
          <w:tcPr>
            <w:tcW w:w="934" w:type="dxa"/>
          </w:tcPr>
          <w:p w14:paraId="782B94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9800</w:t>
            </w:r>
          </w:p>
        </w:tc>
      </w:tr>
      <w:tr w:rsidR="009B487A" w:rsidRPr="00722885" w14:paraId="1DE06501" w14:textId="77777777" w:rsidTr="00CC5360">
        <w:tc>
          <w:tcPr>
            <w:tcW w:w="934" w:type="dxa"/>
          </w:tcPr>
          <w:p w14:paraId="35A731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Дальность, км</w:t>
            </w:r>
          </w:p>
        </w:tc>
        <w:tc>
          <w:tcPr>
            <w:tcW w:w="934" w:type="dxa"/>
          </w:tcPr>
          <w:p w14:paraId="6A1273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680</w:t>
            </w:r>
          </w:p>
        </w:tc>
        <w:tc>
          <w:tcPr>
            <w:tcW w:w="934" w:type="dxa"/>
          </w:tcPr>
          <w:p w14:paraId="60F821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540</w:t>
            </w:r>
          </w:p>
        </w:tc>
        <w:tc>
          <w:tcPr>
            <w:tcW w:w="934" w:type="dxa"/>
          </w:tcPr>
          <w:p w14:paraId="2A3D2E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525</w:t>
            </w:r>
          </w:p>
        </w:tc>
        <w:tc>
          <w:tcPr>
            <w:tcW w:w="934" w:type="dxa"/>
          </w:tcPr>
          <w:p w14:paraId="0822FA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520</w:t>
            </w:r>
          </w:p>
        </w:tc>
        <w:tc>
          <w:tcPr>
            <w:tcW w:w="934" w:type="dxa"/>
          </w:tcPr>
          <w:p w14:paraId="40EFF5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364</w:t>
            </w:r>
          </w:p>
        </w:tc>
        <w:tc>
          <w:tcPr>
            <w:tcW w:w="934" w:type="dxa"/>
          </w:tcPr>
          <w:p w14:paraId="50B8B7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417</w:t>
            </w:r>
          </w:p>
        </w:tc>
        <w:tc>
          <w:tcPr>
            <w:tcW w:w="934" w:type="dxa"/>
          </w:tcPr>
          <w:p w14:paraId="596809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w:t>
            </w:r>
          </w:p>
        </w:tc>
        <w:tc>
          <w:tcPr>
            <w:tcW w:w="934" w:type="dxa"/>
          </w:tcPr>
          <w:p w14:paraId="07433D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440</w:t>
            </w:r>
          </w:p>
        </w:tc>
        <w:tc>
          <w:tcPr>
            <w:tcW w:w="934" w:type="dxa"/>
          </w:tcPr>
          <w:p w14:paraId="398A7C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458</w:t>
            </w:r>
          </w:p>
        </w:tc>
        <w:tc>
          <w:tcPr>
            <w:tcW w:w="934" w:type="dxa"/>
          </w:tcPr>
          <w:p w14:paraId="10DD1D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934" w:type="dxa"/>
          </w:tcPr>
          <w:p w14:paraId="0DCD73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440</w:t>
            </w:r>
          </w:p>
        </w:tc>
      </w:tr>
      <w:tr w:rsidR="009B487A" w:rsidRPr="00722885" w14:paraId="0EFE15E1" w14:textId="77777777" w:rsidTr="00CC5360">
        <w:tc>
          <w:tcPr>
            <w:tcW w:w="934" w:type="dxa"/>
          </w:tcPr>
          <w:p w14:paraId="448F8F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Время виража, сек</w:t>
            </w:r>
          </w:p>
        </w:tc>
        <w:tc>
          <w:tcPr>
            <w:tcW w:w="934" w:type="dxa"/>
          </w:tcPr>
          <w:p w14:paraId="528343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12-14</w:t>
            </w:r>
          </w:p>
        </w:tc>
        <w:tc>
          <w:tcPr>
            <w:tcW w:w="934" w:type="dxa"/>
          </w:tcPr>
          <w:p w14:paraId="10C659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14-15</w:t>
            </w:r>
          </w:p>
        </w:tc>
        <w:tc>
          <w:tcPr>
            <w:tcW w:w="934" w:type="dxa"/>
          </w:tcPr>
          <w:p w14:paraId="246FA6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16-18</w:t>
            </w:r>
          </w:p>
        </w:tc>
        <w:tc>
          <w:tcPr>
            <w:tcW w:w="934" w:type="dxa"/>
          </w:tcPr>
          <w:p w14:paraId="6A5629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16-17</w:t>
            </w:r>
          </w:p>
        </w:tc>
        <w:tc>
          <w:tcPr>
            <w:tcW w:w="934" w:type="dxa"/>
          </w:tcPr>
          <w:p w14:paraId="0681D9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16-18</w:t>
            </w:r>
          </w:p>
        </w:tc>
        <w:tc>
          <w:tcPr>
            <w:tcW w:w="934" w:type="dxa"/>
          </w:tcPr>
          <w:p w14:paraId="3E7490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17-18</w:t>
            </w:r>
          </w:p>
        </w:tc>
        <w:tc>
          <w:tcPr>
            <w:tcW w:w="934" w:type="dxa"/>
          </w:tcPr>
          <w:p w14:paraId="18EA78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tc>
        <w:tc>
          <w:tcPr>
            <w:tcW w:w="934" w:type="dxa"/>
          </w:tcPr>
          <w:p w14:paraId="76120A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17-18</w:t>
            </w:r>
          </w:p>
        </w:tc>
        <w:tc>
          <w:tcPr>
            <w:tcW w:w="934" w:type="dxa"/>
          </w:tcPr>
          <w:p w14:paraId="2D3919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17-18</w:t>
            </w:r>
          </w:p>
        </w:tc>
        <w:tc>
          <w:tcPr>
            <w:tcW w:w="934" w:type="dxa"/>
          </w:tcPr>
          <w:p w14:paraId="029839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17-19</w:t>
            </w:r>
          </w:p>
        </w:tc>
        <w:tc>
          <w:tcPr>
            <w:tcW w:w="934" w:type="dxa"/>
          </w:tcPr>
          <w:p w14:paraId="24E20C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16-17</w:t>
            </w:r>
          </w:p>
        </w:tc>
      </w:tr>
      <w:tr w:rsidR="009B487A" w:rsidRPr="00722885" w14:paraId="4EA186B9" w14:textId="77777777" w:rsidTr="00CC5360">
        <w:tc>
          <w:tcPr>
            <w:tcW w:w="934" w:type="dxa"/>
          </w:tcPr>
          <w:p w14:paraId="449A1C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w:t>
            </w:r>
          </w:p>
        </w:tc>
        <w:tc>
          <w:tcPr>
            <w:tcW w:w="934" w:type="dxa"/>
          </w:tcPr>
          <w:p w14:paraId="67460F7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2ШКАС</w:t>
            </w:r>
          </w:p>
        </w:tc>
        <w:tc>
          <w:tcPr>
            <w:tcW w:w="934" w:type="dxa"/>
          </w:tcPr>
          <w:p w14:paraId="05CBEB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2ШКАС</w:t>
            </w:r>
          </w:p>
        </w:tc>
        <w:tc>
          <w:tcPr>
            <w:tcW w:w="934" w:type="dxa"/>
          </w:tcPr>
          <w:p w14:paraId="7B0BBC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ШКАС</w:t>
            </w:r>
          </w:p>
        </w:tc>
        <w:tc>
          <w:tcPr>
            <w:tcW w:w="934" w:type="dxa"/>
          </w:tcPr>
          <w:p w14:paraId="0C59CF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2ШКАС</w:t>
            </w:r>
          </w:p>
        </w:tc>
        <w:tc>
          <w:tcPr>
            <w:tcW w:w="934" w:type="dxa"/>
          </w:tcPr>
          <w:p w14:paraId="6C68A1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934" w:type="dxa"/>
          </w:tcPr>
          <w:p w14:paraId="050C6B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2ШКАС</w:t>
            </w:r>
          </w:p>
        </w:tc>
        <w:tc>
          <w:tcPr>
            <w:tcW w:w="934" w:type="dxa"/>
          </w:tcPr>
          <w:p w14:paraId="4877D2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4ШКАС</w:t>
            </w:r>
          </w:p>
        </w:tc>
        <w:tc>
          <w:tcPr>
            <w:tcW w:w="934" w:type="dxa"/>
          </w:tcPr>
          <w:p w14:paraId="37C1DB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4ШКАС</w:t>
            </w:r>
          </w:p>
        </w:tc>
        <w:tc>
          <w:tcPr>
            <w:tcW w:w="934" w:type="dxa"/>
          </w:tcPr>
          <w:p w14:paraId="2300EA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2ШКАС</w:t>
            </w:r>
          </w:p>
        </w:tc>
        <w:tc>
          <w:tcPr>
            <w:tcW w:w="934" w:type="dxa"/>
          </w:tcPr>
          <w:p w14:paraId="753290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2ШКАС</w:t>
            </w:r>
          </w:p>
        </w:tc>
        <w:tc>
          <w:tcPr>
            <w:tcW w:w="934" w:type="dxa"/>
          </w:tcPr>
          <w:p w14:paraId="2FE3BB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2ШКАС</w:t>
            </w:r>
          </w:p>
        </w:tc>
      </w:tr>
      <w:tr w:rsidR="009B487A" w:rsidRPr="00722885" w14:paraId="6A06F7FB" w14:textId="77777777" w:rsidTr="00CC5360">
        <w:tc>
          <w:tcPr>
            <w:tcW w:w="934" w:type="dxa"/>
          </w:tcPr>
          <w:p w14:paraId="25BA376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73EB6BB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29901F6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191176A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4E02B6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2ШВАК</w:t>
            </w:r>
          </w:p>
        </w:tc>
        <w:tc>
          <w:tcPr>
            <w:tcW w:w="934" w:type="dxa"/>
          </w:tcPr>
          <w:p w14:paraId="592F462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05A44E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2ШВАК</w:t>
            </w:r>
          </w:p>
        </w:tc>
        <w:tc>
          <w:tcPr>
            <w:tcW w:w="934" w:type="dxa"/>
          </w:tcPr>
          <w:p w14:paraId="0B64145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196C010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34" w:type="dxa"/>
          </w:tcPr>
          <w:p w14:paraId="5F712E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2ШВАК</w:t>
            </w:r>
          </w:p>
        </w:tc>
        <w:tc>
          <w:tcPr>
            <w:tcW w:w="934" w:type="dxa"/>
          </w:tcPr>
          <w:p w14:paraId="140682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2ШВАК</w:t>
            </w:r>
          </w:p>
        </w:tc>
        <w:tc>
          <w:tcPr>
            <w:tcW w:w="934" w:type="dxa"/>
          </w:tcPr>
          <w:p w14:paraId="58DB24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1БС</w:t>
            </w:r>
          </w:p>
        </w:tc>
      </w:tr>
      <w:tr w:rsidR="009B487A" w:rsidRPr="00722885" w14:paraId="468F33C3" w14:textId="77777777" w:rsidTr="00CC5360">
        <w:tc>
          <w:tcPr>
            <w:tcW w:w="934" w:type="dxa"/>
          </w:tcPr>
          <w:p w14:paraId="286456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Разбег, м</w:t>
            </w:r>
          </w:p>
        </w:tc>
        <w:tc>
          <w:tcPr>
            <w:tcW w:w="934" w:type="dxa"/>
          </w:tcPr>
          <w:p w14:paraId="2C4963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934" w:type="dxa"/>
          </w:tcPr>
          <w:p w14:paraId="167BA0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w:t>
            </w:r>
          </w:p>
        </w:tc>
        <w:tc>
          <w:tcPr>
            <w:tcW w:w="934" w:type="dxa"/>
          </w:tcPr>
          <w:p w14:paraId="1FD7E7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w:t>
            </w:r>
          </w:p>
        </w:tc>
        <w:tc>
          <w:tcPr>
            <w:tcW w:w="934" w:type="dxa"/>
          </w:tcPr>
          <w:p w14:paraId="38D70F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275</w:t>
            </w:r>
          </w:p>
        </w:tc>
        <w:tc>
          <w:tcPr>
            <w:tcW w:w="934" w:type="dxa"/>
          </w:tcPr>
          <w:p w14:paraId="2D78A5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248</w:t>
            </w:r>
          </w:p>
        </w:tc>
        <w:tc>
          <w:tcPr>
            <w:tcW w:w="934" w:type="dxa"/>
          </w:tcPr>
          <w:p w14:paraId="087095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280</w:t>
            </w:r>
          </w:p>
        </w:tc>
        <w:tc>
          <w:tcPr>
            <w:tcW w:w="934" w:type="dxa"/>
          </w:tcPr>
          <w:p w14:paraId="621BB6D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w:t>
            </w:r>
          </w:p>
        </w:tc>
        <w:tc>
          <w:tcPr>
            <w:tcW w:w="934" w:type="dxa"/>
          </w:tcPr>
          <w:p w14:paraId="5C41F4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w:t>
            </w:r>
          </w:p>
        </w:tc>
        <w:tc>
          <w:tcPr>
            <w:tcW w:w="934" w:type="dxa"/>
          </w:tcPr>
          <w:p w14:paraId="69574E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w:t>
            </w:r>
          </w:p>
        </w:tc>
        <w:tc>
          <w:tcPr>
            <w:tcW w:w="934" w:type="dxa"/>
          </w:tcPr>
          <w:p w14:paraId="557516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w:t>
            </w:r>
          </w:p>
        </w:tc>
        <w:tc>
          <w:tcPr>
            <w:tcW w:w="934" w:type="dxa"/>
          </w:tcPr>
          <w:p w14:paraId="07E3BB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r w:rsidR="009B487A" w:rsidRPr="00722885" w14:paraId="165C8EB8" w14:textId="77777777" w:rsidTr="00CC5360">
        <w:tc>
          <w:tcPr>
            <w:tcW w:w="934" w:type="dxa"/>
            <w:tcBorders>
              <w:bottom w:val="single" w:sz="12" w:space="0" w:color="auto"/>
            </w:tcBorders>
          </w:tcPr>
          <w:p w14:paraId="7EC197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Пробег, м</w:t>
            </w:r>
          </w:p>
        </w:tc>
        <w:tc>
          <w:tcPr>
            <w:tcW w:w="934" w:type="dxa"/>
            <w:tcBorders>
              <w:bottom w:val="single" w:sz="12" w:space="0" w:color="auto"/>
            </w:tcBorders>
          </w:tcPr>
          <w:p w14:paraId="63EF5C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934" w:type="dxa"/>
            <w:tcBorders>
              <w:bottom w:val="single" w:sz="12" w:space="0" w:color="auto"/>
            </w:tcBorders>
          </w:tcPr>
          <w:p w14:paraId="70CA29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tc>
        <w:tc>
          <w:tcPr>
            <w:tcW w:w="934" w:type="dxa"/>
            <w:tcBorders>
              <w:bottom w:val="single" w:sz="12" w:space="0" w:color="auto"/>
            </w:tcBorders>
          </w:tcPr>
          <w:p w14:paraId="1696D7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288</w:t>
            </w:r>
          </w:p>
        </w:tc>
        <w:tc>
          <w:tcPr>
            <w:tcW w:w="934" w:type="dxa"/>
            <w:tcBorders>
              <w:bottom w:val="single" w:sz="12" w:space="0" w:color="auto"/>
            </w:tcBorders>
          </w:tcPr>
          <w:p w14:paraId="33CAD8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395*</w:t>
            </w:r>
          </w:p>
        </w:tc>
        <w:tc>
          <w:tcPr>
            <w:tcW w:w="934" w:type="dxa"/>
            <w:tcBorders>
              <w:bottom w:val="single" w:sz="12" w:space="0" w:color="auto"/>
            </w:tcBorders>
          </w:tcPr>
          <w:p w14:paraId="07D910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278</w:t>
            </w:r>
          </w:p>
        </w:tc>
        <w:tc>
          <w:tcPr>
            <w:tcW w:w="934" w:type="dxa"/>
            <w:tcBorders>
              <w:bottom w:val="single" w:sz="12" w:space="0" w:color="auto"/>
            </w:tcBorders>
          </w:tcPr>
          <w:p w14:paraId="2D4ED1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405*</w:t>
            </w:r>
          </w:p>
        </w:tc>
        <w:tc>
          <w:tcPr>
            <w:tcW w:w="934" w:type="dxa"/>
            <w:tcBorders>
              <w:bottom w:val="single" w:sz="12" w:space="0" w:color="auto"/>
            </w:tcBorders>
          </w:tcPr>
          <w:p w14:paraId="43D4D4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475'</w:t>
            </w:r>
          </w:p>
        </w:tc>
        <w:tc>
          <w:tcPr>
            <w:tcW w:w="934" w:type="dxa"/>
            <w:tcBorders>
              <w:bottom w:val="single" w:sz="12" w:space="0" w:color="auto"/>
            </w:tcBorders>
          </w:tcPr>
          <w:p w14:paraId="56F304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tc>
        <w:tc>
          <w:tcPr>
            <w:tcW w:w="934" w:type="dxa"/>
            <w:tcBorders>
              <w:bottom w:val="single" w:sz="12" w:space="0" w:color="auto"/>
            </w:tcBorders>
          </w:tcPr>
          <w:p w14:paraId="43FC827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405*</w:t>
            </w:r>
          </w:p>
        </w:tc>
        <w:tc>
          <w:tcPr>
            <w:tcW w:w="934" w:type="dxa"/>
            <w:tcBorders>
              <w:bottom w:val="single" w:sz="12" w:space="0" w:color="auto"/>
            </w:tcBorders>
          </w:tcPr>
          <w:p w14:paraId="4924E4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240</w:t>
            </w:r>
          </w:p>
        </w:tc>
        <w:tc>
          <w:tcPr>
            <w:tcW w:w="934" w:type="dxa"/>
            <w:tcBorders>
              <w:bottom w:val="single" w:sz="12" w:space="0" w:color="auto"/>
            </w:tcBorders>
          </w:tcPr>
          <w:p w14:paraId="27522B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r>
    </w:tbl>
    <w:p w14:paraId="77DBF6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(12015).</w:t>
      </w:r>
    </w:p>
    <w:p w14:paraId="4C9C798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9EFEA8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И-30 (Як-3) с М-105П был модифицирован в истребитель специального назначения специально для полковника В.И.Сталина. Заменили М-105П на М-105Ф и оставили только одну ШВАК с 160 снарядами, а запас бензина - снизили с 383 л до 270 повысив скорость до 585 км/ч на 4950. Повредил П.Я.Федрови на испытаниях в декабре (65,38).</w:t>
      </w:r>
    </w:p>
    <w:p w14:paraId="7404B10D" w14:textId="77777777" w:rsidR="00BB6316" w:rsidRPr="00722885" w:rsidRDefault="00BB6316" w:rsidP="00722885">
      <w:pPr>
        <w:pStyle w:val="Iauiue"/>
        <w:jc w:val="both"/>
        <w:rPr>
          <w:color w:val="000000" w:themeColor="text1"/>
          <w:sz w:val="16"/>
          <w:szCs w:val="16"/>
        </w:rPr>
      </w:pPr>
    </w:p>
    <w:p w14:paraId="73093D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проведенные ЦАГИ работы по улучшению аэродинамики самолета Як-1 позволили увеличить максимальные скорости серийных самолетов на 40-45 км/ч при одновременном улучшении их остальных летных характеристик. Предложенные ЦАГИ первоочередные мероприятия не требовали существенных конструктивных изменений для наиболее простого и быстрого внедрения в серийное производство. Улучшенный ЦАГИ истребитель показал скорость 612 км/ч, но ресурсы по улучшению его конструкции еще не были использованы полностью. Как показали расчеты, проведенные Е.И. Колосовым и С.Я. Финкелем, наибольшие резервы заключались в улучшении компоновки системы охлаждения, улучшении аэродинамики винта и рациональном выборе для него редукции мотора.</w:t>
      </w:r>
    </w:p>
    <w:p w14:paraId="448A3C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Существующая на Як-1 компоновка системы охлаждения в виде тоннельных тандемно расположенных масло- и водорадиаторов даже в своем улучшенном варианте уменьшала максимальную скорость на 35-40 км/ч, причем большая часть указанных потерь приходилась на долю внешнего сопротивления (60-70 %). При рациональном выборе размеров радиатора внутренние потери могли быть сведены к нулю, в частности переходом к площади фронта радиатора 0,31 м2 вместо 0,25 м2. Уменьшение внутренних потерь привело бы к увеличению скорости на 9 км/ч. При компоновке радиаторов в крыле или внутри фюзеляжа с забором воздуха из носка крыла и выводом его в хвост фюзеляжа внешнее сопротивление радиаторов могло быть уменьшено вдвое. Суммарный результат уменьшения внутренних и внешних потерь соответствовал бы увеличению скорости на 22 км/ч.</w:t>
      </w:r>
    </w:p>
    <w:p w14:paraId="06525A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Серийный винт ВИШ-105СВ имел к.п.д. на режиме максимальной скорости (на второй границе высотности мотора) 0,76. Усовершенствованием формы лопасти и переходом к новому профилю (ламинаризация) можно было увеличить величину этого коэффициента до 0,79. Изменением редукции мотора до 0,58-0,62 при одновременном увеличении диаметра винта можно было еще увеличить его к.п.д. до значения 0,81. Таким образом, переход к наивыгоднейшему винту уменьшал потери мощности мотора с 24 до 19%. Дальнейшее повышение к.п.д. винта ограничивалось диаметром винта равным 3,1 м, увеличить который на Як-1 не представлялось возможным из-за особенностей конструкции. Перечисленные выше мероприятия могли способствовать увеличению скорости на 12 км/ч. Возможное ухудшение к.п.д. винта на режимах разбега и взлета в достаточной мере компенсировалось значительным уменьшением лобового сопротивления в результате всех указанных улучшений самолета.</w:t>
      </w:r>
    </w:p>
    <w:p w14:paraId="2062E6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Существующие на Як-1 выхлопные патрубки с выходным отверстием площадью 16,5 см2 по данным ЦИАМ не являлись оптимальными для мотора М-105 ПФ. Переход к большему выходному отверстию (20-21 см2) мог увеличить реактивную мощность на 35 л.с., что соответствовало приросту скорости примерно на 7 км/ч.</w:t>
      </w:r>
    </w:p>
    <w:p w14:paraId="0D31A8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расчетам суммарное увеличение максимальной скорости после проведения на самолете всех указанных мероприятий, с учетом увеличения высотности (благодаря увеличению скорости и уменьшению индуктивного сопротивления), составило бы примерно 70 км/ч. Следовательно, максимальная скорость на высоте второй границы высотности мотора могла быть равной 682 км/ч. Максимальную скорость можно было бы еше увеличить на 20-25 км/ч заменой существующего профиля крыла ла- минаризированными профилями, имеющими значительно меньшее профильное сопротивление на режиме максимальной скорости. В своих заключениях работники ЦАГИ отмечали, что полученные расчетные цифры могут быть достигнуты на реальном самолете в результате совместной научно- исследовательской работы ЦАГИ, ВИАМ, ЦИАМ по указанным выше проблемам аэродинамики, при соответствующем покрытии и отделке поверхности самолета, а также установки соответствующей редукции мотора.Практическое внедрение мероприятий второй очереди, из-за большого объема конструкционных переделок и изменений технологических процессов производства, а также неизбежных трудностей производственного порядка, виделось ученым разбитым на ряд этапов. Каждый из них последовательно приближал бы летные характеристики серийных самолетов к расчетным величинам максимальной скорости. Реализовать эти предложения на самолете Як-I при помощи простых и несложных мероприятий, какими являлись мероприятия первой очереди, уже внедренные в серийное производство, не представлялось возможным.</w:t>
      </w:r>
    </w:p>
    <w:p w14:paraId="4518F9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третий этап совершенствования Як-1 ЦАГИ предложило установить на самолете более мощный мотор - М-107А (выбор ограничивался весовыми и габаритными данными мотора), а также повысить его высотность за счет установки турбокомпрессоров ТК-3 и ТК-2М. Результаты исследования ЦАГИ улучшений третьей очереди представлены в таблице.</w:t>
      </w:r>
    </w:p>
    <w:p w14:paraId="6A3AEB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Результаты исследований были широко использованы ОКБ при создании самолета Як-1 М. </w:t>
      </w:r>
    </w:p>
    <w:p w14:paraId="7171F4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Расчетные максимальные скорости самолета Як-1 после проведения двух этапов улучшения при установке мотора М-107А и турбокомпрессоров.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9B487A" w:rsidRPr="00722885" w14:paraId="78AA1431" w14:textId="77777777" w:rsidTr="00CC5360">
        <w:tc>
          <w:tcPr>
            <w:tcW w:w="1401" w:type="dxa"/>
            <w:tcBorders>
              <w:top w:val="single" w:sz="12" w:space="0" w:color="auto"/>
            </w:tcBorders>
          </w:tcPr>
          <w:p w14:paraId="3BB8A4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Параметры</w:t>
            </w:r>
          </w:p>
        </w:tc>
        <w:tc>
          <w:tcPr>
            <w:tcW w:w="1401" w:type="dxa"/>
            <w:tcBorders>
              <w:top w:val="single" w:sz="12" w:space="0" w:color="auto"/>
            </w:tcBorders>
          </w:tcPr>
          <w:p w14:paraId="357946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М-105ПФ</w:t>
            </w:r>
          </w:p>
        </w:tc>
        <w:tc>
          <w:tcPr>
            <w:tcW w:w="1401" w:type="dxa"/>
            <w:tcBorders>
              <w:top w:val="single" w:sz="12" w:space="0" w:color="auto"/>
            </w:tcBorders>
          </w:tcPr>
          <w:p w14:paraId="08A4EB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М-107А</w:t>
            </w:r>
          </w:p>
        </w:tc>
        <w:tc>
          <w:tcPr>
            <w:tcW w:w="1401" w:type="dxa"/>
            <w:tcBorders>
              <w:top w:val="single" w:sz="12" w:space="0" w:color="auto"/>
            </w:tcBorders>
          </w:tcPr>
          <w:p w14:paraId="39FE3C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М-107А</w:t>
            </w:r>
          </w:p>
        </w:tc>
        <w:tc>
          <w:tcPr>
            <w:tcW w:w="1401" w:type="dxa"/>
            <w:tcBorders>
              <w:top w:val="single" w:sz="12" w:space="0" w:color="auto"/>
            </w:tcBorders>
          </w:tcPr>
          <w:p w14:paraId="697044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М-107А</w:t>
            </w:r>
          </w:p>
        </w:tc>
        <w:tc>
          <w:tcPr>
            <w:tcW w:w="1401" w:type="dxa"/>
            <w:tcBorders>
              <w:top w:val="single" w:sz="12" w:space="0" w:color="auto"/>
            </w:tcBorders>
          </w:tcPr>
          <w:p w14:paraId="12FD87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М-107А</w:t>
            </w:r>
          </w:p>
        </w:tc>
        <w:tc>
          <w:tcPr>
            <w:tcW w:w="1401" w:type="dxa"/>
            <w:tcBorders>
              <w:top w:val="single" w:sz="12" w:space="0" w:color="auto"/>
            </w:tcBorders>
          </w:tcPr>
          <w:p w14:paraId="2346EF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М-107А</w:t>
            </w:r>
          </w:p>
        </w:tc>
        <w:tc>
          <w:tcPr>
            <w:tcW w:w="1401" w:type="dxa"/>
            <w:tcBorders>
              <w:top w:val="single" w:sz="12" w:space="0" w:color="auto"/>
            </w:tcBorders>
          </w:tcPr>
          <w:p w14:paraId="736EB1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М-107А</w:t>
            </w:r>
          </w:p>
        </w:tc>
      </w:tr>
      <w:tr w:rsidR="009B487A" w:rsidRPr="00722885" w14:paraId="26CDFB61" w14:textId="77777777" w:rsidTr="00CC5360">
        <w:tc>
          <w:tcPr>
            <w:tcW w:w="1401" w:type="dxa"/>
          </w:tcPr>
          <w:p w14:paraId="2FD5A2E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31D7183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23C8B47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65C04C2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1D36C8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ТК-3</w:t>
            </w:r>
          </w:p>
        </w:tc>
        <w:tc>
          <w:tcPr>
            <w:tcW w:w="1401" w:type="dxa"/>
          </w:tcPr>
          <w:p w14:paraId="59BD00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ТК-3</w:t>
            </w:r>
          </w:p>
        </w:tc>
        <w:tc>
          <w:tcPr>
            <w:tcW w:w="1401" w:type="dxa"/>
          </w:tcPr>
          <w:p w14:paraId="42D065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ТК-2М</w:t>
            </w:r>
          </w:p>
        </w:tc>
        <w:tc>
          <w:tcPr>
            <w:tcW w:w="1401" w:type="dxa"/>
          </w:tcPr>
          <w:p w14:paraId="4FD12D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ТК-2М</w:t>
            </w:r>
          </w:p>
        </w:tc>
      </w:tr>
      <w:tr w:rsidR="009B487A" w:rsidRPr="00722885" w14:paraId="0B347215" w14:textId="77777777" w:rsidTr="00CC5360">
        <w:tc>
          <w:tcPr>
            <w:tcW w:w="1401" w:type="dxa"/>
          </w:tcPr>
          <w:p w14:paraId="47317A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Вес, кг</w:t>
            </w:r>
          </w:p>
        </w:tc>
        <w:tc>
          <w:tcPr>
            <w:tcW w:w="1401" w:type="dxa"/>
          </w:tcPr>
          <w:p w14:paraId="503D03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2870</w:t>
            </w:r>
          </w:p>
        </w:tc>
        <w:tc>
          <w:tcPr>
            <w:tcW w:w="1401" w:type="dxa"/>
          </w:tcPr>
          <w:p w14:paraId="4FB3F4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3150</w:t>
            </w:r>
          </w:p>
        </w:tc>
        <w:tc>
          <w:tcPr>
            <w:tcW w:w="1401" w:type="dxa"/>
          </w:tcPr>
          <w:p w14:paraId="45BEF6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3150</w:t>
            </w:r>
          </w:p>
        </w:tc>
        <w:tc>
          <w:tcPr>
            <w:tcW w:w="1401" w:type="dxa"/>
          </w:tcPr>
          <w:p w14:paraId="4A0C21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3220</w:t>
            </w:r>
          </w:p>
        </w:tc>
        <w:tc>
          <w:tcPr>
            <w:tcW w:w="1401" w:type="dxa"/>
          </w:tcPr>
          <w:p w14:paraId="4E7D56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3220</w:t>
            </w:r>
          </w:p>
        </w:tc>
        <w:tc>
          <w:tcPr>
            <w:tcW w:w="1401" w:type="dxa"/>
          </w:tcPr>
          <w:p w14:paraId="39745C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3220</w:t>
            </w:r>
          </w:p>
        </w:tc>
        <w:tc>
          <w:tcPr>
            <w:tcW w:w="1401" w:type="dxa"/>
          </w:tcPr>
          <w:p w14:paraId="3FFA95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o3220</w:t>
            </w:r>
          </w:p>
        </w:tc>
      </w:tr>
      <w:tr w:rsidR="009B487A" w:rsidRPr="00722885" w14:paraId="05E11874" w14:textId="77777777" w:rsidTr="00CC5360">
        <w:tc>
          <w:tcPr>
            <w:tcW w:w="1401" w:type="dxa"/>
          </w:tcPr>
          <w:p w14:paraId="760954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Расчетная высота, м</w:t>
            </w:r>
          </w:p>
        </w:tc>
        <w:tc>
          <w:tcPr>
            <w:tcW w:w="1401" w:type="dxa"/>
          </w:tcPr>
          <w:p w14:paraId="5EECB7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4100</w:t>
            </w:r>
          </w:p>
        </w:tc>
        <w:tc>
          <w:tcPr>
            <w:tcW w:w="1401" w:type="dxa"/>
          </w:tcPr>
          <w:p w14:paraId="3A3A11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6200</w:t>
            </w:r>
          </w:p>
        </w:tc>
        <w:tc>
          <w:tcPr>
            <w:tcW w:w="1401" w:type="dxa"/>
          </w:tcPr>
          <w:p w14:paraId="60B7A1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6200</w:t>
            </w:r>
          </w:p>
        </w:tc>
        <w:tc>
          <w:tcPr>
            <w:tcW w:w="1401" w:type="dxa"/>
          </w:tcPr>
          <w:p w14:paraId="7FA957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9700</w:t>
            </w:r>
          </w:p>
        </w:tc>
        <w:tc>
          <w:tcPr>
            <w:tcW w:w="1401" w:type="dxa"/>
          </w:tcPr>
          <w:p w14:paraId="1E8A8C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9700</w:t>
            </w:r>
          </w:p>
        </w:tc>
        <w:tc>
          <w:tcPr>
            <w:tcW w:w="1401" w:type="dxa"/>
          </w:tcPr>
          <w:p w14:paraId="444EC0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15000</w:t>
            </w:r>
          </w:p>
        </w:tc>
        <w:tc>
          <w:tcPr>
            <w:tcW w:w="1401" w:type="dxa"/>
          </w:tcPr>
          <w:p w14:paraId="1C3A5B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15000</w:t>
            </w:r>
          </w:p>
        </w:tc>
      </w:tr>
      <w:tr w:rsidR="009B487A" w:rsidRPr="00722885" w14:paraId="5E2C94A4" w14:textId="77777777" w:rsidTr="00CC5360">
        <w:tc>
          <w:tcPr>
            <w:tcW w:w="1401" w:type="dxa"/>
          </w:tcPr>
          <w:p w14:paraId="2773BE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Профиль крыла</w:t>
            </w:r>
          </w:p>
        </w:tc>
        <w:tc>
          <w:tcPr>
            <w:tcW w:w="1401" w:type="dxa"/>
          </w:tcPr>
          <w:p w14:paraId="1E50F2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Clark YH</w:t>
            </w:r>
          </w:p>
        </w:tc>
        <w:tc>
          <w:tcPr>
            <w:tcW w:w="1401" w:type="dxa"/>
          </w:tcPr>
          <w:p w14:paraId="228104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Clark YH</w:t>
            </w:r>
          </w:p>
        </w:tc>
        <w:tc>
          <w:tcPr>
            <w:tcW w:w="1401" w:type="dxa"/>
          </w:tcPr>
          <w:p w14:paraId="4A98D5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l-B-10</w:t>
            </w:r>
          </w:p>
        </w:tc>
        <w:tc>
          <w:tcPr>
            <w:tcW w:w="1401" w:type="dxa"/>
          </w:tcPr>
          <w:p w14:paraId="644B99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Clark YH</w:t>
            </w:r>
          </w:p>
        </w:tc>
        <w:tc>
          <w:tcPr>
            <w:tcW w:w="1401" w:type="dxa"/>
          </w:tcPr>
          <w:p w14:paraId="43453E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I-B-10</w:t>
            </w:r>
          </w:p>
        </w:tc>
        <w:tc>
          <w:tcPr>
            <w:tcW w:w="1401" w:type="dxa"/>
          </w:tcPr>
          <w:p w14:paraId="52811C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Clark YH</w:t>
            </w:r>
          </w:p>
        </w:tc>
        <w:tc>
          <w:tcPr>
            <w:tcW w:w="1401" w:type="dxa"/>
          </w:tcPr>
          <w:p w14:paraId="3E36FA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I-B-10</w:t>
            </w:r>
          </w:p>
        </w:tc>
      </w:tr>
      <w:tr w:rsidR="009B487A" w:rsidRPr="00722885" w14:paraId="286B88F1" w14:textId="77777777" w:rsidTr="00CC5360">
        <w:tc>
          <w:tcPr>
            <w:tcW w:w="1401" w:type="dxa"/>
          </w:tcPr>
          <w:p w14:paraId="6F4F34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Винт</w:t>
            </w:r>
          </w:p>
        </w:tc>
        <w:tc>
          <w:tcPr>
            <w:tcW w:w="1401" w:type="dxa"/>
          </w:tcPr>
          <w:p w14:paraId="4C9AA25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6353E4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3-лопастный</w:t>
            </w:r>
          </w:p>
        </w:tc>
        <w:tc>
          <w:tcPr>
            <w:tcW w:w="1401" w:type="dxa"/>
          </w:tcPr>
          <w:p w14:paraId="2478128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2D6C2E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4-лопастный</w:t>
            </w:r>
          </w:p>
        </w:tc>
        <w:tc>
          <w:tcPr>
            <w:tcW w:w="1401" w:type="dxa"/>
          </w:tcPr>
          <w:p w14:paraId="2A445D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4-лопастный соосный</w:t>
            </w:r>
          </w:p>
        </w:tc>
        <w:tc>
          <w:tcPr>
            <w:tcW w:w="1401" w:type="dxa"/>
          </w:tcPr>
          <w:p w14:paraId="1BCC809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0F6ECAE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37CD47EA" w14:textId="77777777" w:rsidTr="00CC5360">
        <w:tc>
          <w:tcPr>
            <w:tcW w:w="1401" w:type="dxa"/>
          </w:tcPr>
          <w:p w14:paraId="40714AC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554ED49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4C3D867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6F5C10C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39FD10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диаметром 3,0 м</w:t>
            </w:r>
          </w:p>
        </w:tc>
        <w:tc>
          <w:tcPr>
            <w:tcW w:w="1401" w:type="dxa"/>
          </w:tcPr>
          <w:p w14:paraId="3C7CD5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диаметром 3,0 м</w:t>
            </w:r>
          </w:p>
        </w:tc>
        <w:tc>
          <w:tcPr>
            <w:tcW w:w="1401" w:type="dxa"/>
          </w:tcPr>
          <w:p w14:paraId="1C102E8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401" w:type="dxa"/>
          </w:tcPr>
          <w:p w14:paraId="33D61AC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059554E1" w14:textId="77777777" w:rsidTr="00CC5360">
        <w:tc>
          <w:tcPr>
            <w:tcW w:w="1401" w:type="dxa"/>
          </w:tcPr>
          <w:p w14:paraId="594CA1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К.П.Д.</w:t>
            </w:r>
          </w:p>
        </w:tc>
        <w:tc>
          <w:tcPr>
            <w:tcW w:w="1401" w:type="dxa"/>
          </w:tcPr>
          <w:p w14:paraId="6BE6BA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0,81</w:t>
            </w:r>
          </w:p>
        </w:tc>
        <w:tc>
          <w:tcPr>
            <w:tcW w:w="1401" w:type="dxa"/>
          </w:tcPr>
          <w:p w14:paraId="0D80AE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0,78</w:t>
            </w:r>
          </w:p>
        </w:tc>
        <w:tc>
          <w:tcPr>
            <w:tcW w:w="1401" w:type="dxa"/>
          </w:tcPr>
          <w:p w14:paraId="1CB55A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0,78</w:t>
            </w:r>
          </w:p>
        </w:tc>
        <w:tc>
          <w:tcPr>
            <w:tcW w:w="1401" w:type="dxa"/>
          </w:tcPr>
          <w:p w14:paraId="74607C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0.75</w:t>
            </w:r>
          </w:p>
        </w:tc>
        <w:tc>
          <w:tcPr>
            <w:tcW w:w="1401" w:type="dxa"/>
          </w:tcPr>
          <w:p w14:paraId="34A209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0,75</w:t>
            </w:r>
          </w:p>
        </w:tc>
        <w:tc>
          <w:tcPr>
            <w:tcW w:w="1401" w:type="dxa"/>
          </w:tcPr>
          <w:p w14:paraId="476141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0,72</w:t>
            </w:r>
          </w:p>
        </w:tc>
        <w:tc>
          <w:tcPr>
            <w:tcW w:w="1401" w:type="dxa"/>
          </w:tcPr>
          <w:p w14:paraId="7913BF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0,72</w:t>
            </w:r>
          </w:p>
        </w:tc>
      </w:tr>
      <w:tr w:rsidR="009B487A" w:rsidRPr="00722885" w14:paraId="1D54B88B" w14:textId="77777777" w:rsidTr="00CC5360">
        <w:tc>
          <w:tcPr>
            <w:tcW w:w="1401" w:type="dxa"/>
          </w:tcPr>
          <w:p w14:paraId="4CE5F8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Фронт радиатора, м2</w:t>
            </w:r>
          </w:p>
        </w:tc>
        <w:tc>
          <w:tcPr>
            <w:tcW w:w="1401" w:type="dxa"/>
          </w:tcPr>
          <w:p w14:paraId="2D81125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0,31</w:t>
            </w:r>
          </w:p>
        </w:tc>
        <w:tc>
          <w:tcPr>
            <w:tcW w:w="1401" w:type="dxa"/>
          </w:tcPr>
          <w:p w14:paraId="4BAA18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0,31</w:t>
            </w:r>
          </w:p>
        </w:tc>
        <w:tc>
          <w:tcPr>
            <w:tcW w:w="1401" w:type="dxa"/>
          </w:tcPr>
          <w:p w14:paraId="577259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0,31</w:t>
            </w:r>
          </w:p>
        </w:tc>
        <w:tc>
          <w:tcPr>
            <w:tcW w:w="1401" w:type="dxa"/>
          </w:tcPr>
          <w:p w14:paraId="58D5BC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-0,31</w:t>
            </w:r>
          </w:p>
        </w:tc>
        <w:tc>
          <w:tcPr>
            <w:tcW w:w="1401" w:type="dxa"/>
          </w:tcPr>
          <w:p w14:paraId="1A9DBD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-0,31</w:t>
            </w:r>
          </w:p>
        </w:tc>
        <w:tc>
          <w:tcPr>
            <w:tcW w:w="1401" w:type="dxa"/>
          </w:tcPr>
          <w:p w14:paraId="306DA8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w:t>
            </w:r>
          </w:p>
        </w:tc>
        <w:tc>
          <w:tcPr>
            <w:tcW w:w="1401" w:type="dxa"/>
          </w:tcPr>
          <w:p w14:paraId="79D5E2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w:t>
            </w:r>
          </w:p>
        </w:tc>
      </w:tr>
      <w:tr w:rsidR="009B487A" w:rsidRPr="00722885" w14:paraId="33705CF4" w14:textId="77777777" w:rsidTr="00CC5360">
        <w:tc>
          <w:tcPr>
            <w:tcW w:w="1401" w:type="dxa"/>
            <w:tcBorders>
              <w:bottom w:val="single" w:sz="12" w:space="0" w:color="auto"/>
            </w:tcBorders>
          </w:tcPr>
          <w:p w14:paraId="56386E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Максимальная скорость, км/ч 680</w:t>
            </w:r>
          </w:p>
        </w:tc>
        <w:tc>
          <w:tcPr>
            <w:tcW w:w="1401" w:type="dxa"/>
            <w:tcBorders>
              <w:bottom w:val="single" w:sz="12" w:space="0" w:color="auto"/>
            </w:tcBorders>
          </w:tcPr>
          <w:p w14:paraId="4DF44C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735</w:t>
            </w:r>
          </w:p>
        </w:tc>
        <w:tc>
          <w:tcPr>
            <w:tcW w:w="1401" w:type="dxa"/>
            <w:tcBorders>
              <w:bottom w:val="single" w:sz="12" w:space="0" w:color="auto"/>
            </w:tcBorders>
          </w:tcPr>
          <w:p w14:paraId="3015FB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760</w:t>
            </w:r>
          </w:p>
        </w:tc>
        <w:tc>
          <w:tcPr>
            <w:tcW w:w="1401" w:type="dxa"/>
            <w:tcBorders>
              <w:bottom w:val="single" w:sz="12" w:space="0" w:color="auto"/>
            </w:tcBorders>
          </w:tcPr>
          <w:p w14:paraId="56516A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740</w:t>
            </w:r>
          </w:p>
        </w:tc>
        <w:tc>
          <w:tcPr>
            <w:tcW w:w="1401" w:type="dxa"/>
            <w:tcBorders>
              <w:bottom w:val="single" w:sz="12" w:space="0" w:color="auto"/>
            </w:tcBorders>
          </w:tcPr>
          <w:p w14:paraId="0C7B0D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795</w:t>
            </w:r>
          </w:p>
        </w:tc>
        <w:tc>
          <w:tcPr>
            <w:tcW w:w="1401" w:type="dxa"/>
            <w:tcBorders>
              <w:bottom w:val="single" w:sz="12" w:space="0" w:color="auto"/>
            </w:tcBorders>
          </w:tcPr>
          <w:p w14:paraId="67C45E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730</w:t>
            </w:r>
          </w:p>
        </w:tc>
        <w:tc>
          <w:tcPr>
            <w:tcW w:w="1401" w:type="dxa"/>
            <w:tcBorders>
              <w:bottom w:val="single" w:sz="12" w:space="0" w:color="auto"/>
            </w:tcBorders>
          </w:tcPr>
          <w:p w14:paraId="736555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760</w:t>
            </w:r>
          </w:p>
        </w:tc>
        <w:tc>
          <w:tcPr>
            <w:tcW w:w="1401" w:type="dxa"/>
            <w:tcBorders>
              <w:bottom w:val="single" w:sz="12" w:space="0" w:color="auto"/>
            </w:tcBorders>
          </w:tcPr>
          <w:p w14:paraId="118EEEE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bl>
    <w:p w14:paraId="78AABD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(12048).</w:t>
      </w:r>
    </w:p>
    <w:p w14:paraId="492A49F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6635D5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исходную весьма оригинальную, но непрактичную американскую амортизацию шасси, доставшуюся V-11GB "в наследство" от V-1A, признали непригодной для эксплуатации. Взамен стали ставить советские амортизаторы пневмогидравлического тина. К осени амортизаторы заменили на всех самолетах. В разгар Сталинградской битвы ПС-43 возили почту участвовавшим в ней частям и соединениям. Правда, в этом случае самолеты разгружались в Астрахани, а к линии фронта груз но ночам доставляли Р-5 (3457,44).</w:t>
      </w:r>
    </w:p>
    <w:p w14:paraId="5D01CF8A" w14:textId="77777777" w:rsidR="00BB6316" w:rsidRPr="00722885" w:rsidRDefault="00BB6316" w:rsidP="00722885">
      <w:pPr>
        <w:pStyle w:val="Iauiue"/>
        <w:jc w:val="both"/>
        <w:rPr>
          <w:color w:val="000000" w:themeColor="text1"/>
          <w:sz w:val="16"/>
          <w:szCs w:val="16"/>
        </w:rPr>
      </w:pPr>
    </w:p>
    <w:p w14:paraId="2983CC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Грибовский на основе Г-11 разрабо</w:t>
      </w:r>
      <w:r w:rsidRPr="00722885">
        <w:rPr>
          <w:rFonts w:ascii="Times New Roman" w:hAnsi="Times New Roman"/>
          <w:color w:val="000000" w:themeColor="text1"/>
          <w:sz w:val="16"/>
          <w:szCs w:val="16"/>
        </w:rPr>
        <w:softHyphen/>
        <w:t>тал проект мотопланера с двигателем М-11 мощно</w:t>
      </w:r>
      <w:r w:rsidRPr="00722885">
        <w:rPr>
          <w:rFonts w:ascii="Times New Roman" w:hAnsi="Times New Roman"/>
          <w:color w:val="000000" w:themeColor="text1"/>
          <w:sz w:val="16"/>
          <w:szCs w:val="16"/>
        </w:rPr>
        <w:softHyphen/>
        <w:t>стью 110 л .с. Применение мотора обещало облегчить взлет груженого планера, увеличить полезную на</w:t>
      </w:r>
      <w:r w:rsidRPr="00722885">
        <w:rPr>
          <w:rFonts w:ascii="Times New Roman" w:hAnsi="Times New Roman"/>
          <w:color w:val="000000" w:themeColor="text1"/>
          <w:sz w:val="16"/>
          <w:szCs w:val="16"/>
        </w:rPr>
        <w:softHyphen/>
        <w:t>грузку, а после выполнения задания появлялся шанс самостоятельно вер</w:t>
      </w:r>
      <w:r w:rsidRPr="00722885">
        <w:rPr>
          <w:rFonts w:ascii="Times New Roman" w:hAnsi="Times New Roman"/>
          <w:color w:val="000000" w:themeColor="text1"/>
          <w:sz w:val="16"/>
          <w:szCs w:val="16"/>
        </w:rPr>
        <w:softHyphen/>
        <w:t>нуть пустой планер на аэродром вы</w:t>
      </w:r>
      <w:r w:rsidRPr="00722885">
        <w:rPr>
          <w:rFonts w:ascii="Times New Roman" w:hAnsi="Times New Roman"/>
          <w:color w:val="000000" w:themeColor="text1"/>
          <w:sz w:val="16"/>
          <w:szCs w:val="16"/>
        </w:rPr>
        <w:softHyphen/>
        <w:t>лета. Двигатель разместили на пилоне над крылом. Такая компоновка позво</w:t>
      </w:r>
      <w:r w:rsidRPr="00722885">
        <w:rPr>
          <w:rFonts w:ascii="Times New Roman" w:hAnsi="Times New Roman"/>
          <w:color w:val="000000" w:themeColor="text1"/>
          <w:sz w:val="16"/>
          <w:szCs w:val="16"/>
        </w:rPr>
        <w:softHyphen/>
        <w:t>ляла без особых затрат переделать в мотопланер серийные планеры, в том числе находящиеся в частях.</w:t>
      </w:r>
    </w:p>
    <w:p w14:paraId="404F15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Мотоустановка в гондоле капле</w:t>
      </w:r>
      <w:r w:rsidRPr="00722885">
        <w:rPr>
          <w:rFonts w:ascii="Times New Roman" w:hAnsi="Times New Roman"/>
          <w:color w:val="000000" w:themeColor="text1"/>
          <w:sz w:val="16"/>
          <w:szCs w:val="16"/>
        </w:rPr>
        <w:softHyphen/>
        <w:t>видной формы крепилась на вершине фермы из труб. В обтекателе за мото</w:t>
      </w:r>
      <w:r w:rsidRPr="00722885">
        <w:rPr>
          <w:rFonts w:ascii="Times New Roman" w:hAnsi="Times New Roman"/>
          <w:color w:val="000000" w:themeColor="text1"/>
          <w:sz w:val="16"/>
          <w:szCs w:val="16"/>
        </w:rPr>
        <w:softHyphen/>
        <w:t>ром размещались бензобак, маслобак и все необходимые агрегаты.</w:t>
      </w:r>
    </w:p>
    <w:p w14:paraId="34FCCD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расчетам, максимальный взлет</w:t>
      </w:r>
      <w:r w:rsidRPr="00722885">
        <w:rPr>
          <w:rFonts w:ascii="Times New Roman" w:hAnsi="Times New Roman"/>
          <w:color w:val="000000" w:themeColor="text1"/>
          <w:sz w:val="16"/>
          <w:szCs w:val="16"/>
        </w:rPr>
        <w:softHyphen/>
        <w:t>ный вес мотопланера определялся в 2400 кг, полезная нагрузка — 900 кг. Максимальная скорость без груза — 150 км/ч, с грузом — 130 км/ч, практи</w:t>
      </w:r>
      <w:r w:rsidRPr="00722885">
        <w:rPr>
          <w:rFonts w:ascii="Times New Roman" w:hAnsi="Times New Roman"/>
          <w:color w:val="000000" w:themeColor="text1"/>
          <w:sz w:val="16"/>
          <w:szCs w:val="16"/>
        </w:rPr>
        <w:softHyphen/>
        <w:t>ческий потолок — 3000 м (с грузом — всего 500 м), радиус действия — 250 км.</w:t>
      </w:r>
    </w:p>
    <w:p w14:paraId="61675A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Опытный образец Г-11М доставили на аэродром для испытаний, но при пробе мотора он вышел из строя — неправильно смонтировали маслопроводку. Другого двигателя Грибовскому не дали, мотоуста</w:t>
      </w:r>
      <w:r w:rsidRPr="00722885">
        <w:rPr>
          <w:rFonts w:ascii="Times New Roman" w:hAnsi="Times New Roman"/>
          <w:color w:val="000000" w:themeColor="text1"/>
          <w:sz w:val="16"/>
          <w:szCs w:val="16"/>
        </w:rPr>
        <w:softHyphen/>
        <w:t>новку с Г-11М сняли и сдали его военным как обыч</w:t>
      </w:r>
      <w:r w:rsidRPr="00722885">
        <w:rPr>
          <w:rFonts w:ascii="Times New Roman" w:hAnsi="Times New Roman"/>
          <w:color w:val="000000" w:themeColor="text1"/>
          <w:sz w:val="16"/>
          <w:szCs w:val="16"/>
        </w:rPr>
        <w:softHyphen/>
        <w:t>ный планер. Дальнейшие работы прекратили, а вско</w:t>
      </w:r>
      <w:r w:rsidRPr="00722885">
        <w:rPr>
          <w:rFonts w:ascii="Times New Roman" w:hAnsi="Times New Roman"/>
          <w:color w:val="000000" w:themeColor="text1"/>
          <w:sz w:val="16"/>
          <w:szCs w:val="16"/>
        </w:rPr>
        <w:softHyphen/>
        <w:t>ре сняли с производства и сам Г-11 (12300).</w:t>
      </w:r>
    </w:p>
    <w:p w14:paraId="5500AE11"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6229772" w14:textId="77777777" w:rsidR="008032F3" w:rsidRPr="00722885" w:rsidRDefault="008032F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Грибовский на основе Г-11 разработал проект мотопланера с двигателем М-11, мощностью 110 л.с. Применение мотора обещало облегчить взлёт гружёного планера, увеличить полезную нагрузку, а после выполнения задания появлялся шанс самостоятельно вернуть пустой планер на аэродром вылета. Двигатель разместили на пилоне над крылом. Такая компоновка позволяла без особых затрат переделать в мотопланер серийные планеры, в том числе – находящиеся в частях. Мотоустановка в гондоле каплевидной формы крепилась на вершине фермы из труб. В обтекателе за мотором размещались бензобак, маслобак и все необходимые агрегаты. По расчётам, максимальный взлётный вес мотопланёра определялся в 2400 кг, полезная нагрузка – 900 кг. Максимальная скорость без груза – 150 км/ч, с грузом – 130 км/ч, практический потолок – 3000 м (с грузом – всего 500 м), радиус действия – 250 км. Опытный образец Г-11М доставили на аэродром для испытаний, но при пробе мотора он вышел из строя – неправильно смонтировали маслопроводку. Другого двигателя Грибовскому не дали, мотоустановку с Г-11М сняли и сдали его военным как обычный планёр. Дальнейшие работы прекратили, а вскоре сняли с производства и сам Г-11 (19014).</w:t>
      </w:r>
    </w:p>
    <w:p w14:paraId="4818BF04" w14:textId="77777777" w:rsidR="008032F3" w:rsidRPr="00722885" w:rsidRDefault="008032F3" w:rsidP="00722885">
      <w:pPr>
        <w:spacing w:after="0" w:line="240" w:lineRule="auto"/>
        <w:jc w:val="both"/>
        <w:rPr>
          <w:rFonts w:ascii="Times New Roman" w:hAnsi="Times New Roman"/>
          <w:color w:val="000000" w:themeColor="text1"/>
          <w:sz w:val="16"/>
          <w:szCs w:val="16"/>
        </w:rPr>
      </w:pPr>
    </w:p>
    <w:p w14:paraId="7864C4AE"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в Москве (как тогда называли, на заводе N° 51-фили</w:t>
      </w:r>
      <w:r w:rsidRPr="00722885">
        <w:rPr>
          <w:rFonts w:ascii="Times New Roman" w:hAnsi="Times New Roman"/>
          <w:color w:val="000000" w:themeColor="text1"/>
          <w:sz w:val="16"/>
          <w:szCs w:val="16"/>
        </w:rPr>
        <w:softHyphen/>
        <w:t>ал) организовали ремонт И-16.</w:t>
      </w:r>
    </w:p>
    <w:p w14:paraId="4CDA4B4F"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Новосибирске, хотя первоначальным адресом завода считался завод № 153, как ба</w:t>
      </w:r>
      <w:r w:rsidRPr="00722885">
        <w:rPr>
          <w:rFonts w:ascii="Times New Roman" w:hAnsi="Times New Roman"/>
          <w:color w:val="000000" w:themeColor="text1"/>
          <w:sz w:val="16"/>
          <w:szCs w:val="16"/>
        </w:rPr>
        <w:softHyphen/>
        <w:t>зу получили гараж Облтранса — помещение совершенно не приспособленное не только для работы ОКБ, но и производства. Отсутствовали вводы нормального электроснабже</w:t>
      </w:r>
      <w:r w:rsidRPr="00722885">
        <w:rPr>
          <w:rFonts w:ascii="Times New Roman" w:hAnsi="Times New Roman"/>
          <w:color w:val="000000" w:themeColor="text1"/>
          <w:sz w:val="16"/>
          <w:szCs w:val="16"/>
        </w:rPr>
        <w:softHyphen/>
        <w:t>ния и водоснабжения. Тем не менее, к апрелю 1942 г. гараж приспособили для завод</w:t>
      </w:r>
      <w:r w:rsidRPr="00722885">
        <w:rPr>
          <w:rFonts w:ascii="Times New Roman" w:hAnsi="Times New Roman"/>
          <w:color w:val="000000" w:themeColor="text1"/>
          <w:sz w:val="16"/>
          <w:szCs w:val="16"/>
        </w:rPr>
        <w:softHyphen/>
        <w:t>ских нужд. Самолёты, однако, на ближайшем (Северном) аэродроме разместить не удалось — не было места из-за занятости серийными самолётами завода № 153 и эва</w:t>
      </w:r>
      <w:r w:rsidRPr="00722885">
        <w:rPr>
          <w:rFonts w:ascii="Times New Roman" w:hAnsi="Times New Roman"/>
          <w:color w:val="000000" w:themeColor="text1"/>
          <w:sz w:val="16"/>
          <w:szCs w:val="16"/>
        </w:rPr>
        <w:softHyphen/>
        <w:t>куированными сюда опытными самолётами КБ Яковлева. Лётной базой стал аэродром в Толмачёво, на другом берегу Оби (15804).</w:t>
      </w:r>
    </w:p>
    <w:p w14:paraId="6D87F887" w14:textId="77777777" w:rsidR="00565332" w:rsidRPr="00722885" w:rsidRDefault="00565332" w:rsidP="00722885">
      <w:pPr>
        <w:spacing w:after="0" w:line="240" w:lineRule="auto"/>
        <w:jc w:val="both"/>
        <w:rPr>
          <w:rFonts w:ascii="Times New Roman" w:hAnsi="Times New Roman"/>
          <w:color w:val="000000" w:themeColor="text1"/>
          <w:sz w:val="16"/>
          <w:szCs w:val="16"/>
        </w:rPr>
      </w:pPr>
    </w:p>
    <w:p w14:paraId="1456434A"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eastAsia="Times New Roman" w:hAnsi="Times New Roman"/>
          <w:color w:val="000000" w:themeColor="text1"/>
          <w:sz w:val="16"/>
          <w:szCs w:val="16"/>
        </w:rPr>
        <w:t>В 1942 году по приказу Л.П.Берии итальянский конструктор Р.Л.Бартини разработал два проекта сверхзвукового боевого самолёта. Первый их них (“Р”) представлял собой одноместны истребитель типа "летающее крыло" с крылом малого удлинения с большой переменной по размаху стреловидностью передней кромки. Оперение было двухкилевым и располагалось на концах крыла. Вместо колесного шасси использовалась лыжа. Силовая установка была скомпонована по принципу газодинамического слияния несущих и тянущих устройств – слияния двигателя и крыла. Это достигалось превращением внешних отсеков крыла в плоские прямоточные комбинированные двигатели, в которых применялась инжекция воздуха перегретыми парами топлива и окислителя с рекуперацией внутреннего и внешнего нагрева поверхности конструкции.</w:t>
      </w:r>
    </w:p>
    <w:p w14:paraId="4C602541"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eastAsia="Times New Roman" w:hAnsi="Times New Roman"/>
          <w:color w:val="000000" w:themeColor="text1"/>
          <w:sz w:val="16"/>
          <w:szCs w:val="16"/>
        </w:rPr>
        <w:t>Другой проект получил обозначение Р-114 и был выполнен по обычной схеме. В качестве силовой установки предусматривались четыре двигателя РД-1 конструкции Глушко. Для этого самолёта были специально разработаны аэродинамические профили и инфракрасный локатор. Максимальная скорость Р-114 приближалась к 2000 км\ч!</w:t>
      </w:r>
    </w:p>
    <w:p w14:paraId="1F82115F" w14:textId="77777777" w:rsidR="00565332" w:rsidRPr="00722885" w:rsidRDefault="00565332" w:rsidP="00722885">
      <w:pPr>
        <w:spacing w:after="0" w:line="240" w:lineRule="auto"/>
        <w:jc w:val="both"/>
        <w:rPr>
          <w:rFonts w:ascii="Times New Roman" w:hAnsi="Times New Roman"/>
          <w:color w:val="000000" w:themeColor="text1"/>
          <w:sz w:val="16"/>
          <w:szCs w:val="16"/>
        </w:rPr>
      </w:pPr>
      <w:r w:rsidRPr="00722885">
        <w:rPr>
          <w:rFonts w:ascii="Times New Roman" w:eastAsia="Times New Roman" w:hAnsi="Times New Roman"/>
          <w:color w:val="000000" w:themeColor="text1"/>
          <w:sz w:val="16"/>
          <w:szCs w:val="16"/>
        </w:rPr>
        <w:t>Несмотря на внушительные цифры реализовать столь перспективные проекты не было реальной возможности. Техническая база в СССР просто не позволяла сделать этого. Осенью 1943 года ОКБ Бартини закрыли, а вместе с ним были прекращены все работы по скоростным самолётам (15574).</w:t>
      </w:r>
    </w:p>
    <w:p w14:paraId="5BE12C6C" w14:textId="77777777" w:rsidR="00565332" w:rsidRPr="00722885" w:rsidRDefault="00565332" w:rsidP="00722885">
      <w:pPr>
        <w:spacing w:after="0" w:line="240" w:lineRule="auto"/>
        <w:jc w:val="both"/>
        <w:rPr>
          <w:rFonts w:ascii="Times New Roman" w:hAnsi="Times New Roman"/>
          <w:color w:val="000000" w:themeColor="text1"/>
          <w:sz w:val="16"/>
          <w:szCs w:val="16"/>
        </w:rPr>
      </w:pPr>
    </w:p>
    <w:p w14:paraId="68720CF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завод №468, кроме производства воздушно-десантного имущества, уже принятого РККА (доски, использовав</w:t>
      </w:r>
      <w:r w:rsidRPr="00722885">
        <w:rPr>
          <w:rFonts w:ascii="Times New Roman" w:hAnsi="Times New Roman"/>
          <w:color w:val="000000" w:themeColor="text1"/>
          <w:sz w:val="16"/>
          <w:szCs w:val="16"/>
        </w:rPr>
        <w:softHyphen/>
        <w:t>шиеся в качестве элементов жесткос</w:t>
      </w:r>
      <w:r w:rsidRPr="00722885">
        <w:rPr>
          <w:rFonts w:ascii="Times New Roman" w:hAnsi="Times New Roman"/>
          <w:color w:val="000000" w:themeColor="text1"/>
          <w:sz w:val="16"/>
          <w:szCs w:val="16"/>
        </w:rPr>
        <w:softHyphen/>
        <w:t>ти ПДММ, съемные кабинки для самолетов У-2 для перевозки раненых, узлы подвески десантных грузов, парашютная подвеска мотоцикла), про</w:t>
      </w:r>
      <w:r w:rsidRPr="00722885">
        <w:rPr>
          <w:rFonts w:ascii="Times New Roman" w:hAnsi="Times New Roman"/>
          <w:color w:val="000000" w:themeColor="text1"/>
          <w:sz w:val="16"/>
          <w:szCs w:val="16"/>
        </w:rPr>
        <w:softHyphen/>
        <w:t>должал заниматься и своей основной тематикой. Особенности этой работы определялись задачами, которые на тот момент ставились перед ПДТ, воз</w:t>
      </w:r>
      <w:r w:rsidRPr="00722885">
        <w:rPr>
          <w:rFonts w:ascii="Times New Roman" w:hAnsi="Times New Roman"/>
          <w:color w:val="000000" w:themeColor="text1"/>
          <w:sz w:val="16"/>
          <w:szCs w:val="16"/>
        </w:rPr>
        <w:softHyphen/>
        <w:t>можностями авиации, привлекавшей</w:t>
      </w:r>
      <w:r w:rsidRPr="00722885">
        <w:rPr>
          <w:rFonts w:ascii="Times New Roman" w:hAnsi="Times New Roman"/>
          <w:color w:val="000000" w:themeColor="text1"/>
          <w:sz w:val="16"/>
          <w:szCs w:val="16"/>
        </w:rPr>
        <w:softHyphen/>
        <w:t>ся для десантирования личного соста</w:t>
      </w:r>
      <w:r w:rsidRPr="00722885">
        <w:rPr>
          <w:rFonts w:ascii="Times New Roman" w:hAnsi="Times New Roman"/>
          <w:color w:val="000000" w:themeColor="text1"/>
          <w:sz w:val="16"/>
          <w:szCs w:val="16"/>
        </w:rPr>
        <w:softHyphen/>
        <w:t>ва и военных грузов, и малым време</w:t>
      </w:r>
      <w:r w:rsidRPr="00722885">
        <w:rPr>
          <w:rFonts w:ascii="Times New Roman" w:hAnsi="Times New Roman"/>
          <w:color w:val="000000" w:themeColor="text1"/>
          <w:sz w:val="16"/>
          <w:szCs w:val="16"/>
        </w:rPr>
        <w:softHyphen/>
        <w:t>нем на отработку и производство об</w:t>
      </w:r>
      <w:r w:rsidRPr="00722885">
        <w:rPr>
          <w:rFonts w:ascii="Times New Roman" w:hAnsi="Times New Roman"/>
          <w:color w:val="000000" w:themeColor="text1"/>
          <w:sz w:val="16"/>
          <w:szCs w:val="16"/>
        </w:rPr>
        <w:softHyphen/>
        <w:t>разцов. Так, в 1942 г. была разрабо</w:t>
      </w:r>
      <w:r w:rsidRPr="00722885">
        <w:rPr>
          <w:rFonts w:ascii="Times New Roman" w:hAnsi="Times New Roman"/>
          <w:color w:val="000000" w:themeColor="text1"/>
          <w:sz w:val="16"/>
          <w:szCs w:val="16"/>
        </w:rPr>
        <w:softHyphen/>
        <w:t>тана подвеска Д-4 для велосипедов, в 1943 г. - подвесная грузовая рама ПГР-1 для посадочного десантирова</w:t>
      </w:r>
      <w:r w:rsidRPr="00722885">
        <w:rPr>
          <w:rFonts w:ascii="Times New Roman" w:hAnsi="Times New Roman"/>
          <w:color w:val="000000" w:themeColor="text1"/>
          <w:sz w:val="16"/>
          <w:szCs w:val="16"/>
        </w:rPr>
        <w:softHyphen/>
        <w:t>ния грузов под фюзеляжем бомбар</w:t>
      </w:r>
      <w:r w:rsidRPr="00722885">
        <w:rPr>
          <w:rFonts w:ascii="Times New Roman" w:hAnsi="Times New Roman"/>
          <w:color w:val="000000" w:themeColor="text1"/>
          <w:sz w:val="16"/>
          <w:szCs w:val="16"/>
        </w:rPr>
        <w:softHyphen/>
        <w:t>дировщика ТБ-3 (с подвеской ДПТ-2). Завод изготовил несколько десятков комплектов этой рамы, нашедших применение во время войны, хотя в целом в ходе десантных операций па</w:t>
      </w:r>
      <w:r w:rsidRPr="00722885">
        <w:rPr>
          <w:rFonts w:ascii="Times New Roman" w:hAnsi="Times New Roman"/>
          <w:color w:val="000000" w:themeColor="text1"/>
          <w:sz w:val="16"/>
          <w:szCs w:val="16"/>
        </w:rPr>
        <w:softHyphen/>
        <w:t>рашютным способом десантирова-лось оружие не тяжелее батальонных минометов.</w:t>
      </w:r>
    </w:p>
    <w:p w14:paraId="7A674DF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 в начале Вяземской десантной операции (январь-февраль 1942 г.) вместе с 8-й воздушно-десантной бригадой были десантированы 120 ручных пулеметов, 72 противотанко</w:t>
      </w:r>
      <w:r w:rsidRPr="00722885">
        <w:rPr>
          <w:rFonts w:ascii="Times New Roman" w:hAnsi="Times New Roman"/>
          <w:color w:val="000000" w:themeColor="text1"/>
          <w:sz w:val="16"/>
          <w:szCs w:val="16"/>
        </w:rPr>
        <w:softHyphen/>
        <w:t>вых ружья, 20 минометов калибра 82 мм и 30 - калибра 50 и 37 мм. При подготовке десанта 3-й и 5-й воздуш</w:t>
      </w:r>
      <w:r w:rsidRPr="00722885">
        <w:rPr>
          <w:rFonts w:ascii="Times New Roman" w:hAnsi="Times New Roman"/>
          <w:color w:val="000000" w:themeColor="text1"/>
          <w:sz w:val="16"/>
          <w:szCs w:val="16"/>
        </w:rPr>
        <w:softHyphen/>
        <w:t>но-десантных бригад в районе Канева (Днепровская десантная опера</w:t>
      </w:r>
      <w:r w:rsidRPr="00722885">
        <w:rPr>
          <w:rFonts w:ascii="Times New Roman" w:hAnsi="Times New Roman"/>
          <w:color w:val="000000" w:themeColor="text1"/>
          <w:sz w:val="16"/>
          <w:szCs w:val="16"/>
        </w:rPr>
        <w:softHyphen/>
        <w:t>ция) в сентябре 1943 г. планирова</w:t>
      </w:r>
      <w:r w:rsidRPr="00722885">
        <w:rPr>
          <w:rFonts w:ascii="Times New Roman" w:hAnsi="Times New Roman"/>
          <w:color w:val="000000" w:themeColor="text1"/>
          <w:sz w:val="16"/>
          <w:szCs w:val="16"/>
        </w:rPr>
        <w:softHyphen/>
        <w:t>лось десантирование 45-мм пушек с бомбардировщиков Ил-4, но самоле</w:t>
      </w:r>
      <w:r w:rsidRPr="00722885">
        <w:rPr>
          <w:rFonts w:ascii="Times New Roman" w:hAnsi="Times New Roman"/>
          <w:color w:val="000000" w:themeColor="text1"/>
          <w:sz w:val="16"/>
          <w:szCs w:val="16"/>
        </w:rPr>
        <w:softHyphen/>
        <w:t>ты оказались не готовы. Зато в обеих операциях одновременно с парашю</w:t>
      </w:r>
      <w:r w:rsidRPr="00722885">
        <w:rPr>
          <w:rFonts w:ascii="Times New Roman" w:hAnsi="Times New Roman"/>
          <w:color w:val="000000" w:themeColor="text1"/>
          <w:sz w:val="16"/>
          <w:szCs w:val="16"/>
        </w:rPr>
        <w:softHyphen/>
        <w:t>тистами десантировались грузы в ПДММ и ПДББ.</w:t>
      </w:r>
    </w:p>
    <w:p w14:paraId="6827FE4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создали и приня</w:t>
      </w:r>
      <w:r w:rsidRPr="00722885">
        <w:rPr>
          <w:rFonts w:ascii="Times New Roman" w:hAnsi="Times New Roman"/>
          <w:color w:val="000000" w:themeColor="text1"/>
          <w:sz w:val="16"/>
          <w:szCs w:val="16"/>
        </w:rPr>
        <w:softHyphen/>
        <w:t>ли дистанционный прибор ДП-1. Организовали серийный выпуск счетверенного держателя для сброса ПДММ, парашютно-десантных ба</w:t>
      </w:r>
      <w:r w:rsidRPr="00722885">
        <w:rPr>
          <w:rFonts w:ascii="Times New Roman" w:hAnsi="Times New Roman"/>
          <w:color w:val="000000" w:themeColor="text1"/>
          <w:sz w:val="16"/>
          <w:szCs w:val="16"/>
        </w:rPr>
        <w:softHyphen/>
        <w:t>ков и других грузов. Был разработан и в 1944 г. прошел госиспытания мяг</w:t>
      </w:r>
      <w:r w:rsidRPr="00722885">
        <w:rPr>
          <w:rFonts w:ascii="Times New Roman" w:hAnsi="Times New Roman"/>
          <w:color w:val="000000" w:themeColor="text1"/>
          <w:sz w:val="16"/>
          <w:szCs w:val="16"/>
        </w:rPr>
        <w:softHyphen/>
        <w:t>кий парашютно-десантный контей</w:t>
      </w:r>
      <w:r w:rsidRPr="00722885">
        <w:rPr>
          <w:rFonts w:ascii="Times New Roman" w:hAnsi="Times New Roman"/>
          <w:color w:val="000000" w:themeColor="text1"/>
          <w:sz w:val="16"/>
          <w:szCs w:val="16"/>
        </w:rPr>
        <w:softHyphen/>
        <w:t>нер ПДМТ-150.</w:t>
      </w:r>
    </w:p>
    <w:p w14:paraId="615412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Наиболее широкое применение в годы Великой Отечественной войны нашла парашютно-десантная тара для грузов малой массы - в ходе выброски воздушных десантов, для снабжения войск, групп специального назначе</w:t>
      </w:r>
      <w:r w:rsidRPr="00722885">
        <w:rPr>
          <w:rFonts w:ascii="Times New Roman" w:hAnsi="Times New Roman"/>
          <w:color w:val="000000" w:themeColor="text1"/>
          <w:sz w:val="16"/>
          <w:szCs w:val="16"/>
        </w:rPr>
        <w:softHyphen/>
        <w:t>ния, партизанских отрядов. По свиде</w:t>
      </w:r>
      <w:r w:rsidRPr="00722885">
        <w:rPr>
          <w:rFonts w:ascii="Times New Roman" w:hAnsi="Times New Roman"/>
          <w:color w:val="000000" w:themeColor="text1"/>
          <w:sz w:val="16"/>
          <w:szCs w:val="16"/>
        </w:rPr>
        <w:softHyphen/>
        <w:t>тельству офицера Управления опыт</w:t>
      </w:r>
      <w:r w:rsidRPr="00722885">
        <w:rPr>
          <w:rFonts w:ascii="Times New Roman" w:hAnsi="Times New Roman"/>
          <w:color w:val="000000" w:themeColor="text1"/>
          <w:sz w:val="16"/>
          <w:szCs w:val="16"/>
        </w:rPr>
        <w:softHyphen/>
        <w:t>ного строительства авиационной тех</w:t>
      </w:r>
      <w:r w:rsidRPr="00722885">
        <w:rPr>
          <w:rFonts w:ascii="Times New Roman" w:hAnsi="Times New Roman"/>
          <w:color w:val="000000" w:themeColor="text1"/>
          <w:sz w:val="16"/>
          <w:szCs w:val="16"/>
        </w:rPr>
        <w:softHyphen/>
        <w:t>ники (УОСАТ) ВВС полковника Г.Е. Горленко, производство пара</w:t>
      </w:r>
      <w:r w:rsidRPr="00722885">
        <w:rPr>
          <w:rFonts w:ascii="Times New Roman" w:hAnsi="Times New Roman"/>
          <w:color w:val="000000" w:themeColor="text1"/>
          <w:sz w:val="16"/>
          <w:szCs w:val="16"/>
        </w:rPr>
        <w:softHyphen/>
        <w:t>шютно-десантных мешков ПД М М-120 для грузов в 100-120 кг доходило до сотни тысяч штук в месяц (11752).</w:t>
      </w:r>
    </w:p>
    <w:p w14:paraId="71532DB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F0CE0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разрабатывался под руководством М.А. Коссова в кон</w:t>
      </w:r>
      <w:r w:rsidRPr="00722885">
        <w:rPr>
          <w:rFonts w:ascii="Times New Roman" w:hAnsi="Times New Roman"/>
          <w:color w:val="000000" w:themeColor="text1"/>
          <w:sz w:val="16"/>
          <w:szCs w:val="16"/>
        </w:rPr>
        <w:softHyphen/>
        <w:t>структорском бюро завода № 154 в Андижане проект М-12. Двигатель включал в себя часть деталей и узлов серийного М-11Д и МГ-11. По сравнению с М-И новый мотор был существенно форсирован по оборотам и степени сжатия. В 1942 г. изготовили два опытных образца: один с головками ци</w:t>
      </w:r>
      <w:r w:rsidRPr="00722885">
        <w:rPr>
          <w:rFonts w:ascii="Times New Roman" w:hAnsi="Times New Roman"/>
          <w:color w:val="000000" w:themeColor="text1"/>
          <w:sz w:val="16"/>
          <w:szCs w:val="16"/>
        </w:rPr>
        <w:softHyphen/>
        <w:t>линдров по типу М-11, другой — с головками, похожими на американский Райт «Циклон». Оба с сентября 1942 г. проходили заводские испытания. В начале 1943 г. собирались выставить М-12 на 100-часовые совместные испытания, но они не состоялись. Доводка велась весь 1943 г. В том же году М-12 испытывали на биплане У-2. В марте 1944 г. проводили госи</w:t>
      </w:r>
      <w:r w:rsidRPr="00722885">
        <w:rPr>
          <w:rFonts w:ascii="Times New Roman" w:hAnsi="Times New Roman"/>
          <w:color w:val="000000" w:themeColor="text1"/>
          <w:sz w:val="16"/>
          <w:szCs w:val="16"/>
        </w:rPr>
        <w:softHyphen/>
        <w:t>спытания на стенде, прерванные из-за поломки через 30 ч. Всего изготовили 6-7 опытных экземпляров, включая два, собранных в июле 1944 г. на заводе № 41 в Москве из деталей, привезенных из Ан</w:t>
      </w:r>
      <w:r w:rsidRPr="00722885">
        <w:rPr>
          <w:rFonts w:ascii="Times New Roman" w:hAnsi="Times New Roman"/>
          <w:color w:val="000000" w:themeColor="text1"/>
          <w:sz w:val="16"/>
          <w:szCs w:val="16"/>
        </w:rPr>
        <w:softHyphen/>
        <w:t>дижана. Работы по М-12 Коссова велись до осени 1944 г. Впоследствии узлы М-12 скомбинировали с цилиндровой группой двигателя М-ИД, по</w:t>
      </w:r>
      <w:r w:rsidRPr="00722885">
        <w:rPr>
          <w:rFonts w:ascii="Times New Roman" w:hAnsi="Times New Roman"/>
          <w:color w:val="000000" w:themeColor="text1"/>
          <w:sz w:val="16"/>
          <w:szCs w:val="16"/>
        </w:rPr>
        <w:softHyphen/>
        <w:t>лучив М-11ФР.</w:t>
      </w:r>
    </w:p>
    <w:p w14:paraId="4C0F67C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Характеристики:</w:t>
      </w:r>
    </w:p>
    <w:p w14:paraId="060DF08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5-цилиндровый, звездообразный, воздушного охлаждения, четырех</w:t>
      </w:r>
      <w:r w:rsidRPr="00722885">
        <w:rPr>
          <w:rFonts w:ascii="Times New Roman" w:hAnsi="Times New Roman"/>
          <w:color w:val="000000" w:themeColor="text1"/>
          <w:sz w:val="16"/>
          <w:szCs w:val="16"/>
        </w:rPr>
        <w:softHyphen/>
        <w:t>тактный, безредукторный, без наддува;</w:t>
      </w:r>
    </w:p>
    <w:p w14:paraId="5FD02DD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объем 8,6 л;</w:t>
      </w:r>
    </w:p>
    <w:p w14:paraId="507BC5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диаметр цилиндра/ход поршня 125/140 мм;</w:t>
      </w:r>
    </w:p>
    <w:p w14:paraId="37501B7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степень сжатия 6,2;</w:t>
      </w:r>
    </w:p>
    <w:p w14:paraId="173B70E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мощность 190/200 мм;</w:t>
      </w:r>
    </w:p>
    <w:p w14:paraId="5E67871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вес (с головками типа М-11) 215 кг, вес по заданию 165-170 кг. Мотор М-12 устанавливался на единичных экземплярах самолетов У-2 и УТ-1 (11852).</w:t>
      </w:r>
    </w:p>
    <w:p w14:paraId="44B56AA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EC923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1942-м С.Ш. Бас-Дубов и Г.М. Заславский разработали и изготовили на заводе №467 реверсивный винт ВИШ-105Р-2, который в начале следующего года испытали на истребителе ЛаГГ-3 и в аэродинамической трубе ЦАГИ Т-104. После доводки в 1946 году винт проверили на самолете Як-9В (12047).</w:t>
      </w:r>
    </w:p>
    <w:p w14:paraId="0555145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BF8EF7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В 1942 было издано "Временное руководство по ремонту самолетов Як-1" (1942 г.), согласно которому - верхние поверхности покрывались двумя слоями зеленого </w:t>
      </w:r>
      <w:r w:rsidRPr="00722885">
        <w:rPr>
          <w:color w:val="000000" w:themeColor="text1"/>
          <w:sz w:val="16"/>
          <w:szCs w:val="16"/>
        </w:rPr>
        <w:lastRenderedPageBreak/>
        <w:t>аэролака АМТ-4, поверх которых наносились в один слой черные пятна. Нижние поверхности - два слоя аэролака второго покрытия All светло-голубого цвета (3092).</w:t>
      </w:r>
    </w:p>
    <w:p w14:paraId="0806AC9A" w14:textId="77777777" w:rsidR="00BB6316" w:rsidRPr="00722885" w:rsidRDefault="00BB6316" w:rsidP="00722885">
      <w:pPr>
        <w:pStyle w:val="Iauiue"/>
        <w:jc w:val="both"/>
        <w:rPr>
          <w:color w:val="000000" w:themeColor="text1"/>
          <w:sz w:val="16"/>
          <w:szCs w:val="16"/>
        </w:rPr>
      </w:pPr>
    </w:p>
    <w:p w14:paraId="03184EA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было издано руководство "Ремонт самолетов ЛаГГ-3 и Ла-5" (1942 г.) - верхние поверхности окрашивались "согласно схеме камуфляжа одним слоем зеленого аэролака АМТ-4 и черного АМТ-6", нижние - двумя слоями голубого аэролака АМТ-7 (3092).</w:t>
      </w:r>
    </w:p>
    <w:p w14:paraId="568E8482" w14:textId="77777777" w:rsidR="00BB6316" w:rsidRPr="00722885" w:rsidRDefault="00BB6316" w:rsidP="00722885">
      <w:pPr>
        <w:pStyle w:val="Iauiue"/>
        <w:jc w:val="both"/>
        <w:rPr>
          <w:color w:val="000000" w:themeColor="text1"/>
          <w:sz w:val="16"/>
          <w:szCs w:val="16"/>
        </w:rPr>
      </w:pPr>
    </w:p>
    <w:p w14:paraId="347E44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завод № 21 выпускал Ла-5 с устройствами аварийного сброса фонаря по типу ЛаГГ-3, а с февраля того же года - Ла-5Ф со срезанным гарг- рогом фюзеляжа (это обеспечило необходимый обзор задней полусферы), а также с передним и задним бронестеклами. Фронтовым летчикам последнее нововведение понравилось, но полностью переход на такой фонарь руководство завода запланировало на июнь. ВВС это не устраивало, и начальник Управления заказов ВВС генерал Алексеев попросил НКАП ускорить решение данного вопроса и начать сдавать доработанные Ла-5Ф в массовых количествах уже в апреле (12032).</w:t>
      </w:r>
    </w:p>
    <w:p w14:paraId="6B0E022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3747785" w14:textId="77777777" w:rsidR="008032F3" w:rsidRPr="00722885" w:rsidRDefault="008032F3" w:rsidP="00722885">
      <w:pPr>
        <w:pStyle w:val="Iauiue"/>
        <w:jc w:val="both"/>
        <w:rPr>
          <w:color w:val="000000" w:themeColor="text1"/>
          <w:sz w:val="16"/>
          <w:szCs w:val="16"/>
        </w:rPr>
      </w:pPr>
      <w:r w:rsidRPr="00722885">
        <w:rPr>
          <w:color w:val="000000" w:themeColor="text1"/>
          <w:sz w:val="16"/>
          <w:szCs w:val="16"/>
        </w:rPr>
        <w:t>В 1942 В.В.Никитин на базе НВ-5 (У-5), разработанного в 1937, сделал во фронтовых авиамастерских НВ-5 ЛШ (легкий штабной) (310).</w:t>
      </w:r>
    </w:p>
    <w:p w14:paraId="7619E063" w14:textId="77777777" w:rsidR="008032F3" w:rsidRPr="00722885" w:rsidRDefault="008032F3" w:rsidP="00722885">
      <w:pPr>
        <w:pStyle w:val="Iauiue"/>
        <w:jc w:val="both"/>
        <w:rPr>
          <w:color w:val="000000" w:themeColor="text1"/>
          <w:sz w:val="16"/>
          <w:szCs w:val="16"/>
        </w:rPr>
      </w:pPr>
    </w:p>
    <w:p w14:paraId="59C2233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погибла л/л Консолидейтед "Губа", которая с 1938 работала в УСМП под номером Н-243, расстрелянная немецкой п/л у Новой Земли (3457,46).</w:t>
      </w:r>
    </w:p>
    <w:p w14:paraId="07CDA22A" w14:textId="77777777" w:rsidR="00BB6316" w:rsidRPr="00722885" w:rsidRDefault="00BB6316" w:rsidP="00722885">
      <w:pPr>
        <w:pStyle w:val="Iauiue"/>
        <w:jc w:val="both"/>
        <w:rPr>
          <w:color w:val="000000" w:themeColor="text1"/>
          <w:sz w:val="16"/>
          <w:szCs w:val="16"/>
        </w:rPr>
      </w:pPr>
    </w:p>
    <w:p w14:paraId="76D2ED0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ЛИИ был в Астрахани и испытывали КОР-2 на бомбардирование с пикирования (79,232).</w:t>
      </w:r>
    </w:p>
    <w:p w14:paraId="14DC72ED" w14:textId="77777777" w:rsidR="00BB6316" w:rsidRPr="00722885" w:rsidRDefault="00BB6316" w:rsidP="00722885">
      <w:pPr>
        <w:pStyle w:val="Iauiue"/>
        <w:jc w:val="both"/>
        <w:rPr>
          <w:color w:val="000000" w:themeColor="text1"/>
          <w:sz w:val="16"/>
          <w:szCs w:val="16"/>
        </w:rPr>
      </w:pPr>
    </w:p>
    <w:p w14:paraId="68319CED" w14:textId="77777777" w:rsidR="008032F3" w:rsidRPr="00722885" w:rsidRDefault="008032F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по заданию завода № 482 сотрудники лаборатории № 12 ЦАГИ провели буксировочные испытания двух вариантов моделей поплавков для самолета У-2. Поплавки построили и успешно испытали, доказав устойчивые взлет и посадку и удовлетворительное брызгообразование (19727).</w:t>
      </w:r>
    </w:p>
    <w:p w14:paraId="525E1E17" w14:textId="77777777" w:rsidR="008032F3" w:rsidRPr="00722885" w:rsidRDefault="008032F3" w:rsidP="00722885">
      <w:pPr>
        <w:spacing w:after="0" w:line="240" w:lineRule="auto"/>
        <w:jc w:val="both"/>
        <w:rPr>
          <w:rFonts w:ascii="Times New Roman" w:hAnsi="Times New Roman"/>
          <w:color w:val="000000" w:themeColor="text1"/>
          <w:sz w:val="16"/>
          <w:szCs w:val="16"/>
        </w:rPr>
      </w:pPr>
    </w:p>
    <w:p w14:paraId="7FB54B11" w14:textId="77777777" w:rsidR="008032F3" w:rsidRPr="00722885" w:rsidRDefault="008032F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ЦАГИ-Москва выполнил капитальный ремонт самолета МДР-5, после испытаний его передали авиации флота (19727).</w:t>
      </w:r>
    </w:p>
    <w:p w14:paraId="690DCEE6" w14:textId="77777777" w:rsidR="008032F3" w:rsidRPr="00722885" w:rsidRDefault="008032F3" w:rsidP="00722885">
      <w:pPr>
        <w:spacing w:after="0" w:line="240" w:lineRule="auto"/>
        <w:jc w:val="both"/>
        <w:rPr>
          <w:rFonts w:ascii="Times New Roman" w:hAnsi="Times New Roman"/>
          <w:color w:val="000000" w:themeColor="text1"/>
          <w:sz w:val="16"/>
          <w:szCs w:val="16"/>
        </w:rPr>
      </w:pPr>
    </w:p>
    <w:p w14:paraId="51C733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в целом НКАП уже в июле 1942 г. произвёл продукции в 1,3 раза больше (в стоимостном выражении), чем в июле 1941 г. (История Великой Отечественной войны Советского Союза. 1941—1945. Т. 2. М., 1961. С. 498) Всего за первое полугодие 1942 г. было изготовлено 9744 самолёта, из них 8268 — боевых. Важно отметать, что к этому моменту удельный вес азиатской части СССР в суммарном авиавыпуске поднялся до 77,3 % (июнь 1942 г.) против 6,6 % к началу войны. Авиапромышленность постоянно была на особом счету у советского руководства.</w:t>
      </w:r>
    </w:p>
    <w:p w14:paraId="622209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железнодорожный транспорт столкнулся с тем, что существенная часть вагонного парка была «омертвлена» не- выгружеиными грузами. Чтобы переломить эту тенденцию, с мая по ноябрь было проведено 9 всесоюзных акций, в ходе которых на 2—3 дня на железнодорожных станциях разреша</w:t>
      </w:r>
      <w:r w:rsidRPr="00722885">
        <w:rPr>
          <w:rFonts w:ascii="Times New Roman" w:hAnsi="Times New Roman"/>
          <w:color w:val="000000" w:themeColor="text1"/>
          <w:sz w:val="16"/>
          <w:szCs w:val="16"/>
        </w:rPr>
        <w:softHyphen/>
        <w:t>лась только выгрузка грузов из вагонов. Исключения дела</w:t>
      </w:r>
      <w:r w:rsidRPr="00722885">
        <w:rPr>
          <w:rFonts w:ascii="Times New Roman" w:hAnsi="Times New Roman"/>
          <w:color w:val="000000" w:themeColor="text1"/>
          <w:sz w:val="16"/>
          <w:szCs w:val="16"/>
        </w:rPr>
        <w:softHyphen/>
        <w:t>лись лишь для военно-оперативных, топливных грузов, а так</w:t>
      </w:r>
      <w:r w:rsidRPr="00722885">
        <w:rPr>
          <w:rFonts w:ascii="Times New Roman" w:hAnsi="Times New Roman"/>
          <w:color w:val="000000" w:themeColor="text1"/>
          <w:sz w:val="16"/>
          <w:szCs w:val="16"/>
        </w:rPr>
        <w:softHyphen/>
        <w:t>же грузов для танковой и авиационной промышленности (История Второй мировой войны 1939—1945. Т. 5. М., 1975. С. 44).</w:t>
      </w:r>
    </w:p>
    <w:p w14:paraId="4ED889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целом, можно сказать, что кризис авиавыпуска был пре</w:t>
      </w:r>
      <w:r w:rsidRPr="00722885">
        <w:rPr>
          <w:rFonts w:ascii="Times New Roman" w:hAnsi="Times New Roman"/>
          <w:color w:val="000000" w:themeColor="text1"/>
          <w:sz w:val="16"/>
          <w:szCs w:val="16"/>
        </w:rPr>
        <w:softHyphen/>
        <w:t>одолен советским Авиапромом уже в 1942 г. Рост авиавыпу</w:t>
      </w:r>
      <w:r w:rsidRPr="00722885">
        <w:rPr>
          <w:rFonts w:ascii="Times New Roman" w:hAnsi="Times New Roman"/>
          <w:color w:val="000000" w:themeColor="text1"/>
          <w:sz w:val="16"/>
          <w:szCs w:val="16"/>
        </w:rPr>
        <w:softHyphen/>
        <w:t>ска 1943 г. в общих чертах укладывался в рамки тенденции, заложенной в переломном 1942 г.</w:t>
      </w:r>
    </w:p>
    <w:p w14:paraId="642B8A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Выпуск самолётов в штуках (РГАЭ. Ф. 8044. Он. 1. Д. 2878. Л. 9)</w:t>
      </w:r>
    </w:p>
    <w:tbl>
      <w:tblPr>
        <w:tblW w:w="0" w:type="auto"/>
        <w:tblInd w:w="8" w:type="dxa"/>
        <w:tblLayout w:type="fixed"/>
        <w:tblCellMar>
          <w:left w:w="0" w:type="dxa"/>
          <w:right w:w="0" w:type="dxa"/>
        </w:tblCellMar>
        <w:tblLook w:val="0000" w:firstRow="0" w:lastRow="0" w:firstColumn="0" w:lastColumn="0" w:noHBand="0" w:noVBand="0"/>
      </w:tblPr>
      <w:tblGrid>
        <w:gridCol w:w="3629"/>
        <w:gridCol w:w="566"/>
        <w:gridCol w:w="571"/>
        <w:gridCol w:w="566"/>
        <w:gridCol w:w="586"/>
      </w:tblGrid>
      <w:tr w:rsidR="009B487A" w:rsidRPr="00722885" w14:paraId="24AE5945" w14:textId="77777777" w:rsidTr="00CC5360">
        <w:trPr>
          <w:trHeight w:val="240"/>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572712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26B81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5F0B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63DCE8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C2864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w:t>
            </w:r>
          </w:p>
        </w:tc>
      </w:tr>
      <w:tr w:rsidR="009B487A" w:rsidRPr="00722885" w14:paraId="652C1397" w14:textId="77777777" w:rsidTr="00CC5360">
        <w:trPr>
          <w:trHeight w:val="408"/>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4FA36A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самолёта»* В том числе:</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B2797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10565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8DB18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15735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84F8D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25436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EFC03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34884</w:t>
            </w:r>
          </w:p>
        </w:tc>
      </w:tr>
      <w:tr w:rsidR="009B487A" w:rsidRPr="00722885" w14:paraId="0607BBDD"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66F862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Истребителей</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1E57A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4756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B87CE8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7081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40B56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9918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1F318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14657</w:t>
            </w:r>
          </w:p>
        </w:tc>
      </w:tr>
      <w:tr w:rsidR="009B487A" w:rsidRPr="00722885" w14:paraId="4B8A55BB"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1BEB4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Штурмовиков</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C12E0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B315F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1542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02975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8229</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17DA0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11193</w:t>
            </w:r>
          </w:p>
        </w:tc>
      </w:tr>
      <w:tr w:rsidR="009B487A" w:rsidRPr="00722885" w14:paraId="2D6AABCC"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1507BF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Бомбардировщиков</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55BAA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3575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8A855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3754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CEE86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3534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5AB08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4057</w:t>
            </w:r>
          </w:p>
        </w:tc>
      </w:tr>
      <w:tr w:rsidR="009B487A" w:rsidRPr="00722885" w14:paraId="054BACD2" w14:textId="77777777" w:rsidTr="00CC5360">
        <w:trPr>
          <w:trHeight w:val="226"/>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04D76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 боевых самолётов</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6CA81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8331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C88A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12377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57852F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21681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41283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29877</w:t>
            </w:r>
          </w:p>
        </w:tc>
      </w:tr>
      <w:tr w:rsidR="009B487A" w:rsidRPr="00722885" w14:paraId="4653B56B"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4331AB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Транспортных</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37C56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4032C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8E06B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469</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48325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1241</w:t>
            </w:r>
          </w:p>
        </w:tc>
      </w:tr>
      <w:tr w:rsidR="009B487A" w:rsidRPr="00722885" w14:paraId="7A1118CA" w14:textId="77777777" w:rsidTr="00CC5360">
        <w:trPr>
          <w:trHeight w:val="226"/>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146391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Учебных</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AC08E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1683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83A75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3101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5CD9B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3286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BD9B5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3766</w:t>
            </w:r>
          </w:p>
        </w:tc>
      </w:tr>
      <w:tr w:rsidR="009B487A" w:rsidRPr="00722885" w14:paraId="252296DC"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CF0FE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Авиамоторов</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46293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21452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4C0C6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28218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284520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38621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94C09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49114</w:t>
            </w:r>
          </w:p>
        </w:tc>
      </w:tr>
      <w:tr w:rsidR="009B487A" w:rsidRPr="00722885" w14:paraId="52B069A1" w14:textId="77777777" w:rsidTr="00CC5360">
        <w:trPr>
          <w:trHeight w:val="22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B0245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Средни мощность 1 мотора (л.с., номинальная)</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1284F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733,3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2833B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949,9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F8646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1071,8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D391A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11583</w:t>
            </w:r>
          </w:p>
        </w:tc>
      </w:tr>
      <w:tr w:rsidR="009B487A" w:rsidRPr="00722885" w14:paraId="5A70AC16" w14:textId="77777777" w:rsidTr="00CC5360">
        <w:trPr>
          <w:trHeight w:val="240"/>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54D12C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Тоже—взлётная</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7AB54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854,0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2C8CA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1065,0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C083C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1185,5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3024DD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1260,0</w:t>
            </w:r>
          </w:p>
        </w:tc>
      </w:tr>
    </w:tbl>
    <w:p w14:paraId="2F869B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Данные цифры взята из «Отчёта о деятельности заводов МАП за годы Вели</w:t>
      </w:r>
      <w:r w:rsidRPr="00722885">
        <w:rPr>
          <w:rFonts w:ascii="Times New Roman" w:hAnsi="Times New Roman"/>
          <w:color w:val="000000" w:themeColor="text1"/>
          <w:sz w:val="16"/>
          <w:szCs w:val="16"/>
        </w:rPr>
        <w:softHyphen/>
        <w:t>кой Отечественной войны» и несколько различаются с приведёнными в коллективной монографии «Самолётостроение в СССР (1917—1945) Кн. 2. М., 1994 С. 235—237. Видимо, это объясняется сложностями учёта (ряд самолётов, сданных уже в 1943 г., могли проходить по отчетам, как сданные в 1942 г. и т.п.). В любом случае расхиздания малозначительны, относятся преимущественно к транспортным и учебным машинам, и не влияют на общую динамику авиавыпуска.</w:t>
      </w:r>
    </w:p>
    <w:p w14:paraId="5A01254D" w14:textId="77777777" w:rsidR="00BB6316" w:rsidRPr="00722885" w:rsidRDefault="00BB6316" w:rsidP="00722885">
      <w:pPr>
        <w:tabs>
          <w:tab w:val="left" w:pos="401"/>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Обращает на себя внимание тот факт, что, во-первых, рост выпуска авиатехники приходился практически полностью на нарастание выпуска боевых моделей (что в условиях войны неудивительно), а во-вторых, на фоне практически стагнации выпуска бомбардировщиков, наблюдается устойчивый рост производства истребителей и особенно штурмовиков. Оче</w:t>
      </w:r>
      <w:r w:rsidRPr="00722885">
        <w:rPr>
          <w:rFonts w:ascii="Times New Roman" w:hAnsi="Times New Roman"/>
          <w:color w:val="000000" w:themeColor="text1"/>
          <w:sz w:val="16"/>
          <w:szCs w:val="16"/>
        </w:rPr>
        <w:softHyphen/>
        <w:t>видно, что именно эти самолёты, не требующие для своего производства дефицитных материалов, стали фаворитами советской авиапромышленности на первом этапе войны. Вы</w:t>
      </w:r>
      <w:r w:rsidRPr="00722885">
        <w:rPr>
          <w:rFonts w:ascii="Times New Roman" w:hAnsi="Times New Roman"/>
          <w:color w:val="000000" w:themeColor="text1"/>
          <w:sz w:val="16"/>
          <w:szCs w:val="16"/>
        </w:rPr>
        <w:softHyphen/>
        <w:t>пуск учебных самолётов несколько подрос, а график произ</w:t>
      </w:r>
      <w:r w:rsidRPr="00722885">
        <w:rPr>
          <w:rFonts w:ascii="Times New Roman" w:hAnsi="Times New Roman"/>
          <w:color w:val="000000" w:themeColor="text1"/>
          <w:sz w:val="16"/>
          <w:szCs w:val="16"/>
        </w:rPr>
        <w:softHyphen/>
        <w:t>водства транспортных авиамашин имеет явно выраженную седловину в 1941—1942 гг., выправившуюся лишь в 1943-м. Однако на фоне всего многотысячного авиавыпуска эти коле</w:t>
      </w:r>
      <w:r w:rsidRPr="00722885">
        <w:rPr>
          <w:rFonts w:ascii="Times New Roman" w:hAnsi="Times New Roman"/>
          <w:color w:val="000000" w:themeColor="text1"/>
          <w:sz w:val="16"/>
          <w:szCs w:val="16"/>
        </w:rPr>
        <w:softHyphen/>
        <w:t>бания, укладывающиеся в сотни машин, были практически незаметны (Самолётостроение в СССР. 1917—1945. Кн. 2. М., 1994. С. 222).</w:t>
      </w:r>
    </w:p>
    <w:p w14:paraId="7900E1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Что же касается технических характеристик самолётов, которые в известной степени определяются мощностью авиа</w:t>
      </w:r>
      <w:r w:rsidRPr="00722885">
        <w:rPr>
          <w:rFonts w:ascii="Times New Roman" w:hAnsi="Times New Roman"/>
          <w:color w:val="000000" w:themeColor="text1"/>
          <w:sz w:val="16"/>
          <w:szCs w:val="16"/>
        </w:rPr>
        <w:softHyphen/>
        <w:t>мотора, то, судя по данным таблицы, ТТХ советских аэропла</w:t>
      </w:r>
      <w:r w:rsidRPr="00722885">
        <w:rPr>
          <w:rFonts w:ascii="Times New Roman" w:hAnsi="Times New Roman"/>
          <w:color w:val="000000" w:themeColor="text1"/>
          <w:sz w:val="16"/>
          <w:szCs w:val="16"/>
        </w:rPr>
        <w:softHyphen/>
        <w:t>нов в рассматриваемый период росли хотя и устойчиво, но не слишком быстро.</w:t>
      </w:r>
    </w:p>
    <w:p w14:paraId="31DC8B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постоянного нарастания темпов авиавыпуска производство самолётов в декабре 1942 г. превышало уровень декабря 1941 г. в 4,7 раза, а авиамоторов — в 5,4 раза (Самолётостроение в СССР. 1917—1945. Кн. 2. М., 1994. С. 222).</w:t>
      </w:r>
    </w:p>
    <w:p w14:paraId="74D1EF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в 1942 г. было выпущено 38 002 авиамотора, что на 33 % превышало суммарное производство авиамоторных предприятий НКАП за весь 1941 г. План 1942 г. по основным показателям был выполнен полностью. Несмотря на эвакуа</w:t>
      </w:r>
      <w:r w:rsidRPr="00722885">
        <w:rPr>
          <w:rFonts w:ascii="Times New Roman" w:hAnsi="Times New Roman"/>
          <w:color w:val="000000" w:themeColor="text1"/>
          <w:sz w:val="16"/>
          <w:szCs w:val="16"/>
        </w:rPr>
        <w:softHyphen/>
        <w:t>цию, советская авиапромышленность смогла превзойти «ве</w:t>
      </w:r>
      <w:r w:rsidRPr="00722885">
        <w:rPr>
          <w:rFonts w:ascii="Times New Roman" w:hAnsi="Times New Roman"/>
          <w:color w:val="000000" w:themeColor="text1"/>
          <w:sz w:val="16"/>
          <w:szCs w:val="16"/>
        </w:rPr>
        <w:softHyphen/>
        <w:t>домство Геринга» по масштабам авиапроизводства. Если в Германии в 1942 г. было произведено лишь 12 950 боевых</w:t>
      </w:r>
    </w:p>
    <w:p w14:paraId="34E056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vertAlign w:val="superscript"/>
        </w:rPr>
        <w:footnoteRef/>
      </w:r>
      <w:r w:rsidRPr="00722885">
        <w:rPr>
          <w:rFonts w:ascii="Times New Roman" w:hAnsi="Times New Roman"/>
          <w:color w:val="000000" w:themeColor="text1"/>
          <w:sz w:val="16"/>
          <w:szCs w:val="16"/>
        </w:rPr>
        <w:t xml:space="preserve"> В отношении транспортных машин следует учитывать следующее об</w:t>
      </w:r>
      <w:r w:rsidRPr="00722885">
        <w:rPr>
          <w:rFonts w:ascii="Times New Roman" w:hAnsi="Times New Roman"/>
          <w:color w:val="000000" w:themeColor="text1"/>
          <w:sz w:val="16"/>
          <w:szCs w:val="16"/>
        </w:rPr>
        <w:softHyphen/>
        <w:t>стоятельство. С одной стороны, полноценный «транспортник» Ли-2 выпу</w:t>
      </w:r>
      <w:r w:rsidRPr="00722885">
        <w:rPr>
          <w:rFonts w:ascii="Times New Roman" w:hAnsi="Times New Roman"/>
          <w:color w:val="000000" w:themeColor="text1"/>
          <w:sz w:val="16"/>
          <w:szCs w:val="16"/>
        </w:rPr>
        <w:softHyphen/>
        <w:t>скался в СССР ограниченной серией. На 1943 г., например, из 1200 офици</w:t>
      </w:r>
      <w:r w:rsidRPr="00722885">
        <w:rPr>
          <w:rFonts w:ascii="Times New Roman" w:hAnsi="Times New Roman"/>
          <w:color w:val="000000" w:themeColor="text1"/>
          <w:sz w:val="16"/>
          <w:szCs w:val="16"/>
        </w:rPr>
        <w:softHyphen/>
        <w:t>ально заявленных транспортных самолетов Ли-2 составляли едва половину. Остальное — переделанные для нужд транспортной авиации клоны У-2 и т.п. С фугой стороны, Ли-2 достаточно часто использовали как бомбарди</w:t>
      </w:r>
      <w:r w:rsidRPr="00722885">
        <w:rPr>
          <w:rFonts w:ascii="Times New Roman" w:hAnsi="Times New Roman"/>
          <w:color w:val="000000" w:themeColor="text1"/>
          <w:sz w:val="16"/>
          <w:szCs w:val="16"/>
        </w:rPr>
        <w:softHyphen/>
        <w:t>ровщики, что ещё более снижало их количество в транспортной авиации.</w:t>
      </w:r>
    </w:p>
    <w:p w14:paraId="1D5802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параметры роста. Особенно важен тот факт, что рост авиавыпуска был обусловлен в первую очередь именно интенсификацией производства, причём именно в 1942 г. влияние этого фактора было особенно велико.</w:t>
      </w:r>
    </w:p>
    <w:p w14:paraId="5464BA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Среднемесячная выработка продукции с 1000 станков (РГАЭ. Ф. 8044. </w:t>
      </w:r>
      <w:r w:rsidRPr="00722885">
        <w:rPr>
          <w:rFonts w:ascii="Times New Roman" w:hAnsi="Times New Roman"/>
          <w:color w:val="000000" w:themeColor="text1"/>
          <w:sz w:val="16"/>
          <w:szCs w:val="16"/>
          <w:lang w:val="en-US"/>
        </w:rPr>
        <w:t xml:space="preserve">On. </w:t>
      </w:r>
      <w:r w:rsidRPr="00722885">
        <w:rPr>
          <w:rFonts w:ascii="Times New Roman" w:hAnsi="Times New Roman"/>
          <w:color w:val="000000" w:themeColor="text1"/>
          <w:sz w:val="16"/>
          <w:szCs w:val="16"/>
        </w:rPr>
        <w:t>1. Д. 2878. Л. 22)</w:t>
      </w:r>
    </w:p>
    <w:tbl>
      <w:tblPr>
        <w:tblW w:w="0" w:type="auto"/>
        <w:tblInd w:w="8" w:type="dxa"/>
        <w:tblLayout w:type="fixed"/>
        <w:tblCellMar>
          <w:left w:w="0" w:type="dxa"/>
          <w:right w:w="0" w:type="dxa"/>
        </w:tblCellMar>
        <w:tblLook w:val="0000" w:firstRow="0" w:lastRow="0" w:firstColumn="0" w:lastColumn="0" w:noHBand="0" w:noVBand="0"/>
      </w:tblPr>
      <w:tblGrid>
        <w:gridCol w:w="3629"/>
        <w:gridCol w:w="562"/>
        <w:gridCol w:w="571"/>
        <w:gridCol w:w="566"/>
        <w:gridCol w:w="576"/>
      </w:tblGrid>
      <w:tr w:rsidR="009B487A" w:rsidRPr="00722885" w14:paraId="0393E325" w14:textId="77777777" w:rsidTr="00CC5360">
        <w:trPr>
          <w:trHeight w:val="240"/>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75E025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2C8C97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8925A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1B300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1B255E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w:t>
            </w:r>
          </w:p>
        </w:tc>
      </w:tr>
      <w:tr w:rsidR="009B487A" w:rsidRPr="00722885" w14:paraId="633F555E" w14:textId="77777777" w:rsidTr="00CC5360">
        <w:trPr>
          <w:trHeight w:val="226"/>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5B7DBE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Самолётов (шт.)</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01FABB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AFA35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BD577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28,7</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0765B0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35Д</w:t>
            </w:r>
          </w:p>
        </w:tc>
      </w:tr>
      <w:tr w:rsidR="009B487A" w:rsidRPr="00722885" w14:paraId="0E601493" w14:textId="77777777" w:rsidTr="00CC5360">
        <w:trPr>
          <w:trHeight w:val="240"/>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0FBAE8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Валоваа продули» (нлн руб., неизм. цены 1926/27 г.)</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107F82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11,674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6C18B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9,392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A1F48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13,767</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2D3968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15,315</w:t>
            </w:r>
          </w:p>
        </w:tc>
      </w:tr>
    </w:tbl>
    <w:p w14:paraId="1701F1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Как видим, «отдача» от 1000 станков как в натуральном, так и в денежном исчислении резко возросла именно в 1942 г. Некоторое отставание роста в денежном исчислении, веро</w:t>
      </w:r>
      <w:r w:rsidRPr="00722885">
        <w:rPr>
          <w:rFonts w:ascii="Times New Roman" w:hAnsi="Times New Roman"/>
          <w:color w:val="000000" w:themeColor="text1"/>
          <w:sz w:val="16"/>
          <w:szCs w:val="16"/>
        </w:rPr>
        <w:softHyphen/>
        <w:t>ятно, объясняется курсом НКАП на всемерное снижение се</w:t>
      </w:r>
      <w:r w:rsidRPr="00722885">
        <w:rPr>
          <w:rFonts w:ascii="Times New Roman" w:hAnsi="Times New Roman"/>
          <w:color w:val="000000" w:themeColor="text1"/>
          <w:sz w:val="16"/>
          <w:szCs w:val="16"/>
        </w:rPr>
        <w:softHyphen/>
        <w:t>бестоимости авиатехники, которое в итоге вело к снижению стоимости всего авиавыпуска в целом.</w:t>
      </w:r>
    </w:p>
    <w:p w14:paraId="40AA85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Среднемесячная выработка продукции с 1000 м</w:t>
      </w:r>
      <w:r w:rsidRPr="00722885">
        <w:rPr>
          <w:rFonts w:ascii="Times New Roman" w:hAnsi="Times New Roman"/>
          <w:color w:val="000000" w:themeColor="text1"/>
          <w:sz w:val="16"/>
          <w:szCs w:val="16"/>
          <w:vertAlign w:val="superscript"/>
        </w:rPr>
        <w:t xml:space="preserve">2 </w:t>
      </w:r>
      <w:r w:rsidRPr="00722885">
        <w:rPr>
          <w:rFonts w:ascii="Times New Roman" w:hAnsi="Times New Roman"/>
          <w:color w:val="000000" w:themeColor="text1"/>
          <w:sz w:val="16"/>
          <w:szCs w:val="16"/>
        </w:rPr>
        <w:t xml:space="preserve">площади цехов (РГАЭ. Ф. 8044. </w:t>
      </w:r>
      <w:r w:rsidRPr="00722885">
        <w:rPr>
          <w:rFonts w:ascii="Times New Roman" w:hAnsi="Times New Roman"/>
          <w:color w:val="000000" w:themeColor="text1"/>
          <w:sz w:val="16"/>
          <w:szCs w:val="16"/>
          <w:lang w:val="en-US"/>
        </w:rPr>
        <w:t xml:space="preserve">On. </w:t>
      </w:r>
      <w:r w:rsidRPr="00722885">
        <w:rPr>
          <w:rFonts w:ascii="Times New Roman" w:hAnsi="Times New Roman"/>
          <w:color w:val="000000" w:themeColor="text1"/>
          <w:sz w:val="16"/>
          <w:szCs w:val="16"/>
        </w:rPr>
        <w:t>1. Д. 2878. Л. 20)</w:t>
      </w:r>
    </w:p>
    <w:tbl>
      <w:tblPr>
        <w:tblW w:w="0" w:type="auto"/>
        <w:tblInd w:w="8" w:type="dxa"/>
        <w:tblLayout w:type="fixed"/>
        <w:tblCellMar>
          <w:left w:w="0" w:type="dxa"/>
          <w:right w:w="0" w:type="dxa"/>
        </w:tblCellMar>
        <w:tblLook w:val="0000" w:firstRow="0" w:lastRow="0" w:firstColumn="0" w:lastColumn="0" w:noHBand="0" w:noVBand="0"/>
      </w:tblPr>
      <w:tblGrid>
        <w:gridCol w:w="1195"/>
        <w:gridCol w:w="1176"/>
        <w:gridCol w:w="1186"/>
        <w:gridCol w:w="1181"/>
        <w:gridCol w:w="1190"/>
      </w:tblGrid>
      <w:tr w:rsidR="009B487A" w:rsidRPr="00722885" w14:paraId="1AA9A92B" w14:textId="77777777" w:rsidTr="00CC5360">
        <w:trPr>
          <w:trHeight w:val="427"/>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68DB397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3D37CA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Яамрь— сеятабрь 1940</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07060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Снпябрь— декабрь 1941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1234F0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Январь 1942- март1943</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13FAE1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Апрель—декабрь 1943</w:t>
            </w:r>
          </w:p>
        </w:tc>
      </w:tr>
      <w:tr w:rsidR="009B487A" w:rsidRPr="00722885" w14:paraId="4DC313F1" w14:textId="77777777" w:rsidTr="00CC5360">
        <w:trPr>
          <w:trHeight w:val="226"/>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79CB9C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Самолёт! (шт.)</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134F32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0,38</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049422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0,44</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57AF8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0,55</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09A9AF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0,58</w:t>
            </w:r>
          </w:p>
        </w:tc>
      </w:tr>
      <w:tr w:rsidR="009B487A" w:rsidRPr="00722885" w14:paraId="24141B3B" w14:textId="77777777" w:rsidTr="00CC5360">
        <w:trPr>
          <w:trHeight w:val="624"/>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4FE0F2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Валоваапродущта (тыс. руб.,  цены 1926/27 г.)</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03CB70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228,4</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EB915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213,2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0D849A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266,4</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32817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255,9</w:t>
            </w:r>
          </w:p>
        </w:tc>
      </w:tr>
    </w:tbl>
    <w:p w14:paraId="326569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анализе «отдачи» с единицы производственной пло</w:t>
      </w:r>
      <w:r w:rsidRPr="00722885">
        <w:rPr>
          <w:rFonts w:ascii="Times New Roman" w:hAnsi="Times New Roman"/>
          <w:color w:val="000000" w:themeColor="text1"/>
          <w:sz w:val="16"/>
          <w:szCs w:val="16"/>
        </w:rPr>
        <w:softHyphen/>
        <w:t>щади также хорошо просматривается экстремум, приходя</w:t>
      </w:r>
      <w:r w:rsidRPr="00722885">
        <w:rPr>
          <w:rFonts w:ascii="Times New Roman" w:hAnsi="Times New Roman"/>
          <w:color w:val="000000" w:themeColor="text1"/>
          <w:sz w:val="16"/>
          <w:szCs w:val="16"/>
        </w:rPr>
        <w:softHyphen/>
        <w:t>щийся на 1942 г. Некоторое снижение темпов роста этого па</w:t>
      </w:r>
      <w:r w:rsidRPr="00722885">
        <w:rPr>
          <w:rFonts w:ascii="Times New Roman" w:hAnsi="Times New Roman"/>
          <w:color w:val="000000" w:themeColor="text1"/>
          <w:sz w:val="16"/>
          <w:szCs w:val="16"/>
        </w:rPr>
        <w:softHyphen/>
        <w:t>раметра в 1943 г., видимо, объясняется стремительным рас</w:t>
      </w:r>
      <w:r w:rsidRPr="00722885">
        <w:rPr>
          <w:rFonts w:ascii="Times New Roman" w:hAnsi="Times New Roman"/>
          <w:color w:val="000000" w:themeColor="text1"/>
          <w:sz w:val="16"/>
          <w:szCs w:val="16"/>
        </w:rPr>
        <w:softHyphen/>
        <w:t>ширением площадей НКАП в том году.</w:t>
      </w:r>
    </w:p>
    <w:p w14:paraId="779B55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Рост производственных мощностей НКАП (РГАЭ. Ф. 8044. </w:t>
      </w:r>
      <w:r w:rsidRPr="00722885">
        <w:rPr>
          <w:rFonts w:ascii="Times New Roman" w:hAnsi="Times New Roman"/>
          <w:color w:val="000000" w:themeColor="text1"/>
          <w:sz w:val="16"/>
          <w:szCs w:val="16"/>
          <w:lang w:val="en-US"/>
        </w:rPr>
        <w:t xml:space="preserve">On. </w:t>
      </w:r>
      <w:r w:rsidRPr="00722885">
        <w:rPr>
          <w:rFonts w:ascii="Times New Roman" w:hAnsi="Times New Roman"/>
          <w:color w:val="000000" w:themeColor="text1"/>
          <w:sz w:val="16"/>
          <w:szCs w:val="16"/>
        </w:rPr>
        <w:t>1. Д. 2878. Л. 52)</w:t>
      </w:r>
    </w:p>
    <w:tbl>
      <w:tblPr>
        <w:tblW w:w="0" w:type="auto"/>
        <w:tblInd w:w="8" w:type="dxa"/>
        <w:tblLayout w:type="fixed"/>
        <w:tblCellMar>
          <w:left w:w="0" w:type="dxa"/>
          <w:right w:w="0" w:type="dxa"/>
        </w:tblCellMar>
        <w:tblLook w:val="0000" w:firstRow="0" w:lastRow="0" w:firstColumn="0" w:lastColumn="0" w:noHBand="0" w:noVBand="0"/>
      </w:tblPr>
      <w:tblGrid>
        <w:gridCol w:w="1661"/>
        <w:gridCol w:w="859"/>
        <w:gridCol w:w="864"/>
        <w:gridCol w:w="854"/>
        <w:gridCol w:w="850"/>
        <w:gridCol w:w="869"/>
      </w:tblGrid>
      <w:tr w:rsidR="009B487A" w:rsidRPr="00722885" w14:paraId="72BDA0B5" w14:textId="77777777" w:rsidTr="00CC5360">
        <w:trPr>
          <w:trHeight w:val="235"/>
        </w:trPr>
        <w:tc>
          <w:tcPr>
            <w:tcW w:w="1661" w:type="dxa"/>
            <w:tcBorders>
              <w:top w:val="single" w:sz="6" w:space="0" w:color="auto"/>
              <w:left w:val="single" w:sz="6" w:space="0" w:color="auto"/>
              <w:bottom w:val="single" w:sz="6" w:space="0" w:color="auto"/>
              <w:right w:val="single" w:sz="6" w:space="0" w:color="auto"/>
            </w:tcBorders>
            <w:shd w:val="clear" w:color="auto" w:fill="FFFFFF"/>
          </w:tcPr>
          <w:p w14:paraId="1D36448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45EFC0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01.01.1941</w:t>
            </w:r>
          </w:p>
        </w:tc>
        <w:tc>
          <w:tcPr>
            <w:tcW w:w="864" w:type="dxa"/>
            <w:tcBorders>
              <w:top w:val="single" w:sz="6" w:space="0" w:color="auto"/>
              <w:left w:val="single" w:sz="6" w:space="0" w:color="auto"/>
              <w:bottom w:val="single" w:sz="6" w:space="0" w:color="auto"/>
              <w:right w:val="single" w:sz="6" w:space="0" w:color="auto"/>
            </w:tcBorders>
            <w:shd w:val="clear" w:color="auto" w:fill="FFFFFF"/>
          </w:tcPr>
          <w:p w14:paraId="19B866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01.09.1941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5237CC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01.01.1942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1AFA1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01.01.1943</w:t>
            </w:r>
          </w:p>
        </w:tc>
        <w:tc>
          <w:tcPr>
            <w:tcW w:w="869" w:type="dxa"/>
            <w:tcBorders>
              <w:top w:val="single" w:sz="6" w:space="0" w:color="auto"/>
              <w:left w:val="single" w:sz="6" w:space="0" w:color="auto"/>
              <w:bottom w:val="single" w:sz="6" w:space="0" w:color="auto"/>
              <w:right w:val="single" w:sz="6" w:space="0" w:color="auto"/>
            </w:tcBorders>
            <w:shd w:val="clear" w:color="auto" w:fill="FFFFFF"/>
          </w:tcPr>
          <w:p w14:paraId="09CC03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01.01.1944</w:t>
            </w:r>
          </w:p>
        </w:tc>
      </w:tr>
      <w:tr w:rsidR="009B487A" w:rsidRPr="00722885" w14:paraId="4E1DDAE5" w14:textId="77777777" w:rsidTr="00CC5360">
        <w:trPr>
          <w:trHeight w:val="413"/>
        </w:trPr>
        <w:tc>
          <w:tcPr>
            <w:tcW w:w="1661" w:type="dxa"/>
            <w:tcBorders>
              <w:top w:val="single" w:sz="6" w:space="0" w:color="auto"/>
              <w:left w:val="single" w:sz="6" w:space="0" w:color="auto"/>
              <w:bottom w:val="single" w:sz="6" w:space="0" w:color="auto"/>
              <w:right w:val="single" w:sz="6" w:space="0" w:color="auto"/>
            </w:tcBorders>
            <w:shd w:val="clear" w:color="auto" w:fill="FFFFFF"/>
          </w:tcPr>
          <w:p w14:paraId="6FCB35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Всего—производственные площади (тыс. кв. и.)</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61BDBE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4927,4</w:t>
            </w:r>
          </w:p>
        </w:tc>
        <w:tc>
          <w:tcPr>
            <w:tcW w:w="864" w:type="dxa"/>
            <w:tcBorders>
              <w:top w:val="single" w:sz="6" w:space="0" w:color="auto"/>
              <w:left w:val="single" w:sz="6" w:space="0" w:color="auto"/>
              <w:bottom w:val="single" w:sz="6" w:space="0" w:color="auto"/>
              <w:right w:val="single" w:sz="6" w:space="0" w:color="auto"/>
            </w:tcBorders>
            <w:shd w:val="clear" w:color="auto" w:fill="FFFFFF"/>
          </w:tcPr>
          <w:p w14:paraId="474721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5018,2</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0ECF6F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3682,2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6F6FEF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7339,9</w:t>
            </w:r>
          </w:p>
        </w:tc>
        <w:tc>
          <w:tcPr>
            <w:tcW w:w="869" w:type="dxa"/>
            <w:tcBorders>
              <w:top w:val="single" w:sz="6" w:space="0" w:color="auto"/>
              <w:left w:val="single" w:sz="6" w:space="0" w:color="auto"/>
              <w:bottom w:val="single" w:sz="6" w:space="0" w:color="auto"/>
              <w:right w:val="single" w:sz="6" w:space="0" w:color="auto"/>
            </w:tcBorders>
            <w:shd w:val="clear" w:color="auto" w:fill="FFFFFF"/>
          </w:tcPr>
          <w:p w14:paraId="0C9F16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7720,5</w:t>
            </w:r>
          </w:p>
        </w:tc>
      </w:tr>
      <w:tr w:rsidR="009B487A" w:rsidRPr="00722885" w14:paraId="75AE7909" w14:textId="77777777" w:rsidTr="00CC5360">
        <w:trPr>
          <w:trHeight w:val="221"/>
        </w:trPr>
        <w:tc>
          <w:tcPr>
            <w:tcW w:w="1661" w:type="dxa"/>
            <w:tcBorders>
              <w:top w:val="single" w:sz="6" w:space="0" w:color="auto"/>
              <w:left w:val="single" w:sz="6" w:space="0" w:color="auto"/>
              <w:bottom w:val="single" w:sz="6" w:space="0" w:color="auto"/>
              <w:right w:val="single" w:sz="6" w:space="0" w:color="auto"/>
            </w:tcBorders>
            <w:shd w:val="clear" w:color="auto" w:fill="FFFFFF"/>
          </w:tcPr>
          <w:p w14:paraId="6A636B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т.ч.—под цехами</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032B14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3211,8</w:t>
            </w:r>
          </w:p>
        </w:tc>
        <w:tc>
          <w:tcPr>
            <w:tcW w:w="864" w:type="dxa"/>
            <w:tcBorders>
              <w:top w:val="single" w:sz="6" w:space="0" w:color="auto"/>
              <w:left w:val="single" w:sz="6" w:space="0" w:color="auto"/>
              <w:bottom w:val="single" w:sz="6" w:space="0" w:color="auto"/>
              <w:right w:val="single" w:sz="6" w:space="0" w:color="auto"/>
            </w:tcBorders>
            <w:shd w:val="clear" w:color="auto" w:fill="FFFFFF"/>
          </w:tcPr>
          <w:p w14:paraId="26AEFC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3441,0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221E04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2667,9</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4A74C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52533</w:t>
            </w:r>
          </w:p>
        </w:tc>
        <w:tc>
          <w:tcPr>
            <w:tcW w:w="869" w:type="dxa"/>
            <w:tcBorders>
              <w:top w:val="single" w:sz="6" w:space="0" w:color="auto"/>
              <w:left w:val="single" w:sz="6" w:space="0" w:color="auto"/>
              <w:bottom w:val="single" w:sz="6" w:space="0" w:color="auto"/>
              <w:right w:val="single" w:sz="6" w:space="0" w:color="auto"/>
            </w:tcBorders>
            <w:shd w:val="clear" w:color="auto" w:fill="FFFFFF"/>
          </w:tcPr>
          <w:p w14:paraId="513EEA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4045,8</w:t>
            </w:r>
          </w:p>
        </w:tc>
      </w:tr>
      <w:tr w:rsidR="009B487A" w:rsidRPr="00722885" w14:paraId="610CB859" w14:textId="77777777" w:rsidTr="00CC5360">
        <w:trPr>
          <w:trHeight w:val="221"/>
        </w:trPr>
        <w:tc>
          <w:tcPr>
            <w:tcW w:w="1661" w:type="dxa"/>
            <w:tcBorders>
              <w:top w:val="single" w:sz="6" w:space="0" w:color="auto"/>
              <w:left w:val="single" w:sz="6" w:space="0" w:color="auto"/>
              <w:bottom w:val="single" w:sz="6" w:space="0" w:color="auto"/>
              <w:right w:val="single" w:sz="6" w:space="0" w:color="auto"/>
            </w:tcBorders>
            <w:shd w:val="clear" w:color="auto" w:fill="FFFFFF"/>
          </w:tcPr>
          <w:p w14:paraId="416646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Металлореж. станка (пл.)</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0BBAF6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59638</w:t>
            </w:r>
          </w:p>
        </w:tc>
        <w:tc>
          <w:tcPr>
            <w:tcW w:w="864" w:type="dxa"/>
            <w:tcBorders>
              <w:top w:val="single" w:sz="6" w:space="0" w:color="auto"/>
              <w:left w:val="single" w:sz="6" w:space="0" w:color="auto"/>
              <w:bottom w:val="single" w:sz="6" w:space="0" w:color="auto"/>
              <w:right w:val="single" w:sz="6" w:space="0" w:color="auto"/>
            </w:tcBorders>
            <w:shd w:val="clear" w:color="auto" w:fill="FFFFFF"/>
          </w:tcPr>
          <w:p w14:paraId="1E9C77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70529</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73A77B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68124</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B30B6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85152</w:t>
            </w:r>
          </w:p>
        </w:tc>
        <w:tc>
          <w:tcPr>
            <w:tcW w:w="869" w:type="dxa"/>
            <w:tcBorders>
              <w:top w:val="single" w:sz="6" w:space="0" w:color="auto"/>
              <w:left w:val="single" w:sz="6" w:space="0" w:color="auto"/>
              <w:bottom w:val="single" w:sz="6" w:space="0" w:color="auto"/>
              <w:right w:val="single" w:sz="6" w:space="0" w:color="auto"/>
            </w:tcBorders>
            <w:shd w:val="clear" w:color="auto" w:fill="FFFFFF"/>
          </w:tcPr>
          <w:p w14:paraId="16DAC0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86954</w:t>
            </w:r>
          </w:p>
        </w:tc>
      </w:tr>
      <w:tr w:rsidR="009B487A" w:rsidRPr="00722885" w14:paraId="2BDFFBEE" w14:textId="77777777" w:rsidTr="00CC5360">
        <w:trPr>
          <w:trHeight w:val="245"/>
        </w:trPr>
        <w:tc>
          <w:tcPr>
            <w:tcW w:w="1661" w:type="dxa"/>
            <w:tcBorders>
              <w:top w:val="single" w:sz="6" w:space="0" w:color="auto"/>
              <w:left w:val="single" w:sz="6" w:space="0" w:color="auto"/>
              <w:bottom w:val="single" w:sz="6" w:space="0" w:color="auto"/>
              <w:right w:val="single" w:sz="6" w:space="0" w:color="auto"/>
            </w:tcBorders>
            <w:shd w:val="clear" w:color="auto" w:fill="FFFFFF"/>
          </w:tcPr>
          <w:p w14:paraId="40091B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Молотов а прессов </w:t>
            </w:r>
            <w:r w:rsidRPr="00722885">
              <w:rPr>
                <w:rFonts w:ascii="Times New Roman" w:hAnsi="Times New Roman"/>
                <w:color w:val="000000" w:themeColor="text1"/>
                <w:sz w:val="16"/>
                <w:szCs w:val="16"/>
                <w:lang w:val="en-US"/>
              </w:rPr>
              <w:t>(</w:t>
            </w:r>
            <w:r w:rsidRPr="00722885">
              <w:rPr>
                <w:rFonts w:ascii="Times New Roman" w:hAnsi="Times New Roman"/>
                <w:color w:val="000000" w:themeColor="text1"/>
                <w:sz w:val="16"/>
                <w:szCs w:val="16"/>
              </w:rPr>
              <w:t>шт.</w:t>
            </w:r>
            <w:r w:rsidRPr="00722885">
              <w:rPr>
                <w:rFonts w:ascii="Times New Roman" w:hAnsi="Times New Roman"/>
                <w:color w:val="000000" w:themeColor="text1"/>
                <w:sz w:val="16"/>
                <w:szCs w:val="16"/>
                <w:lang w:val="en-US"/>
              </w:rPr>
              <w:t>)</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386850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3084</w:t>
            </w:r>
          </w:p>
        </w:tc>
        <w:tc>
          <w:tcPr>
            <w:tcW w:w="864" w:type="dxa"/>
            <w:tcBorders>
              <w:top w:val="single" w:sz="6" w:space="0" w:color="auto"/>
              <w:left w:val="single" w:sz="6" w:space="0" w:color="auto"/>
              <w:bottom w:val="single" w:sz="6" w:space="0" w:color="auto"/>
              <w:right w:val="single" w:sz="6" w:space="0" w:color="auto"/>
            </w:tcBorders>
            <w:shd w:val="clear" w:color="auto" w:fill="FFFFFF"/>
          </w:tcPr>
          <w:p w14:paraId="14EBED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3404</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3A04A8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FB435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4014</w:t>
            </w:r>
          </w:p>
        </w:tc>
        <w:tc>
          <w:tcPr>
            <w:tcW w:w="869" w:type="dxa"/>
            <w:tcBorders>
              <w:top w:val="single" w:sz="6" w:space="0" w:color="auto"/>
              <w:left w:val="single" w:sz="6" w:space="0" w:color="auto"/>
              <w:bottom w:val="single" w:sz="6" w:space="0" w:color="auto"/>
              <w:right w:val="single" w:sz="6" w:space="0" w:color="auto"/>
            </w:tcBorders>
            <w:shd w:val="clear" w:color="auto" w:fill="FFFFFF"/>
          </w:tcPr>
          <w:p w14:paraId="1F7D7A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4393</w:t>
            </w:r>
          </w:p>
        </w:tc>
      </w:tr>
    </w:tbl>
    <w:p w14:paraId="4AD0AC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Очевидно, что площадь цехов авиапредприятий, резко со</w:t>
      </w:r>
      <w:r w:rsidRPr="00722885">
        <w:rPr>
          <w:rFonts w:ascii="Times New Roman" w:hAnsi="Times New Roman"/>
          <w:color w:val="000000" w:themeColor="text1"/>
          <w:sz w:val="16"/>
          <w:szCs w:val="16"/>
        </w:rPr>
        <w:softHyphen/>
        <w:t>кратившаяся к началу 1942 г., затем стала расти и к январю 1943 г. превысила довоенную отметку. Обращает на себя вни</w:t>
      </w:r>
      <w:r w:rsidRPr="00722885">
        <w:rPr>
          <w:rFonts w:ascii="Times New Roman" w:hAnsi="Times New Roman"/>
          <w:color w:val="000000" w:themeColor="text1"/>
          <w:sz w:val="16"/>
          <w:szCs w:val="16"/>
        </w:rPr>
        <w:softHyphen/>
        <w:t>мание общая стагнация НКАП в течение 1943 г. — станочный парк рос очень умеренно (особенно на фоне ураганного роста в 1942 г.), общая производственная площадь также росла не</w:t>
      </w:r>
      <w:r w:rsidRPr="00722885">
        <w:rPr>
          <w:rFonts w:ascii="Times New Roman" w:hAnsi="Times New Roman"/>
          <w:color w:val="000000" w:themeColor="text1"/>
          <w:sz w:val="16"/>
          <w:szCs w:val="16"/>
        </w:rPr>
        <w:softHyphen/>
        <w:t>спешно, а площадь под цехами даже сократилась. Видимо, именно этой разницей в тенденциях между всей производ</w:t>
      </w:r>
      <w:r w:rsidRPr="00722885">
        <w:rPr>
          <w:rFonts w:ascii="Times New Roman" w:hAnsi="Times New Roman"/>
          <w:color w:val="000000" w:themeColor="text1"/>
          <w:sz w:val="16"/>
          <w:szCs w:val="16"/>
        </w:rPr>
        <w:softHyphen/>
        <w:t>ственной площадью и площадью цехов и объясняется сни</w:t>
      </w:r>
      <w:r w:rsidRPr="00722885">
        <w:rPr>
          <w:rFonts w:ascii="Times New Roman" w:hAnsi="Times New Roman"/>
          <w:color w:val="000000" w:themeColor="text1"/>
          <w:sz w:val="16"/>
          <w:szCs w:val="16"/>
        </w:rPr>
        <w:softHyphen/>
        <w:t>жение валовой продукции с единицы производственной пло</w:t>
      </w:r>
      <w:r w:rsidRPr="00722885">
        <w:rPr>
          <w:rFonts w:ascii="Times New Roman" w:hAnsi="Times New Roman"/>
          <w:color w:val="000000" w:themeColor="text1"/>
          <w:sz w:val="16"/>
          <w:szCs w:val="16"/>
        </w:rPr>
        <w:softHyphen/>
        <w:t>щади в 1943 г. Хотя площадь заводов увеличилась, прирост шёл на различные непроизводственные нужды, в результате чего удельный вес площадей под цехами снижался. Косвенно этот вывод подтверждается и тем, что выпуск самолётов на 1000 рабочих также в 1943 г. рос, хотя и не столь быстро, как в 1942 г.</w:t>
      </w:r>
    </w:p>
    <w:p w14:paraId="4272EE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Выпуск самолётов на 1000 рабочих (шт.) (РГАЭ. Ф. 8044. </w:t>
      </w:r>
      <w:r w:rsidRPr="00722885">
        <w:rPr>
          <w:rFonts w:ascii="Times New Roman" w:hAnsi="Times New Roman"/>
          <w:color w:val="000000" w:themeColor="text1"/>
          <w:sz w:val="16"/>
          <w:szCs w:val="16"/>
          <w:lang w:val="en-US"/>
        </w:rPr>
        <w:t xml:space="preserve">On. </w:t>
      </w:r>
      <w:r w:rsidRPr="00722885">
        <w:rPr>
          <w:rFonts w:ascii="Times New Roman" w:hAnsi="Times New Roman"/>
          <w:color w:val="000000" w:themeColor="text1"/>
          <w:sz w:val="16"/>
          <w:szCs w:val="16"/>
        </w:rPr>
        <w:t>1. Д. 2878. Л. 49)</w:t>
      </w:r>
    </w:p>
    <w:tbl>
      <w:tblPr>
        <w:tblW w:w="0" w:type="auto"/>
        <w:tblInd w:w="8" w:type="dxa"/>
        <w:tblLayout w:type="fixed"/>
        <w:tblCellMar>
          <w:left w:w="0" w:type="dxa"/>
          <w:right w:w="0" w:type="dxa"/>
        </w:tblCellMar>
        <w:tblLook w:val="0000" w:firstRow="0" w:lastRow="0" w:firstColumn="0" w:lastColumn="0" w:noHBand="0" w:noVBand="0"/>
      </w:tblPr>
      <w:tblGrid>
        <w:gridCol w:w="1498"/>
        <w:gridCol w:w="1488"/>
        <w:gridCol w:w="1483"/>
        <w:gridCol w:w="1493"/>
      </w:tblGrid>
      <w:tr w:rsidR="009B487A" w:rsidRPr="00722885" w14:paraId="536F0C8E" w14:textId="77777777" w:rsidTr="00CC5360">
        <w:trPr>
          <w:trHeight w:val="240"/>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4E361F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1940</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0D5F11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32D45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4AD473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w:t>
            </w:r>
          </w:p>
        </w:tc>
      </w:tr>
      <w:tr w:rsidR="009B487A" w:rsidRPr="00722885" w14:paraId="3BAE2B08" w14:textId="77777777" w:rsidTr="00CC5360">
        <w:trPr>
          <w:trHeight w:val="245"/>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664180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35,6</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79F6EA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43,7 (122,5) ?</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08D1D8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64,5 (181,0)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10B2F0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78,8(221,0)</w:t>
            </w:r>
          </w:p>
        </w:tc>
      </w:tr>
    </w:tbl>
    <w:p w14:paraId="23B5B5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Для наглядности в скобках приводится процентное отношение к уровню произ</w:t>
      </w:r>
      <w:r w:rsidRPr="00722885">
        <w:rPr>
          <w:rFonts w:ascii="Times New Roman" w:hAnsi="Times New Roman"/>
          <w:color w:val="000000" w:themeColor="text1"/>
          <w:sz w:val="16"/>
          <w:szCs w:val="16"/>
        </w:rPr>
        <w:softHyphen/>
        <w:t>водства в 1940 г.</w:t>
      </w:r>
    </w:p>
    <w:p w14:paraId="0D003F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Таким образом, снижение отдачи с единицы площади не может быть объяснено падением интенсивности труда.</w:t>
      </w:r>
    </w:p>
    <w:p w14:paraId="5D872E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заводском разрезе ситуация выглядела следующим об</w:t>
      </w:r>
      <w:r w:rsidRPr="00722885">
        <w:rPr>
          <w:rFonts w:ascii="Times New Roman" w:hAnsi="Times New Roman"/>
          <w:color w:val="000000" w:themeColor="text1"/>
          <w:sz w:val="16"/>
          <w:szCs w:val="16"/>
        </w:rPr>
        <w:softHyphen/>
        <w:t>разом (см. прил. 16).</w:t>
      </w:r>
    </w:p>
    <w:p w14:paraId="261488B1" w14:textId="77777777" w:rsidR="00BB6316" w:rsidRPr="00722885" w:rsidRDefault="00BB6316" w:rsidP="00722885">
      <w:pPr>
        <w:tabs>
          <w:tab w:val="left" w:pos="29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 16</w:t>
      </w:r>
    </w:p>
    <w:p w14:paraId="7CCCBC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моделей самолётов по заводам</w:t>
      </w:r>
    </w:p>
    <w:tbl>
      <w:tblPr>
        <w:tblW w:w="0" w:type="auto"/>
        <w:tblInd w:w="8" w:type="dxa"/>
        <w:tblLayout w:type="fixed"/>
        <w:tblCellMar>
          <w:left w:w="0" w:type="dxa"/>
          <w:right w:w="0" w:type="dxa"/>
        </w:tblCellMar>
        <w:tblLook w:val="0000" w:firstRow="0" w:lastRow="0" w:firstColumn="0" w:lastColumn="0" w:noHBand="0" w:noVBand="0"/>
      </w:tblPr>
      <w:tblGrid>
        <w:gridCol w:w="547"/>
        <w:gridCol w:w="15"/>
        <w:gridCol w:w="719"/>
        <w:gridCol w:w="6"/>
        <w:gridCol w:w="440"/>
        <w:gridCol w:w="11"/>
        <w:gridCol w:w="723"/>
        <w:gridCol w:w="7"/>
        <w:gridCol w:w="444"/>
        <w:gridCol w:w="7"/>
        <w:gridCol w:w="723"/>
        <w:gridCol w:w="7"/>
        <w:gridCol w:w="446"/>
        <w:gridCol w:w="840"/>
        <w:gridCol w:w="566"/>
        <w:gridCol w:w="730"/>
        <w:gridCol w:w="446"/>
        <w:gridCol w:w="984"/>
        <w:gridCol w:w="10"/>
        <w:gridCol w:w="446"/>
        <w:gridCol w:w="763"/>
        <w:gridCol w:w="644"/>
      </w:tblGrid>
      <w:tr w:rsidR="009B487A" w:rsidRPr="00722885" w14:paraId="337E45A4" w14:textId="77777777" w:rsidTr="00CC5360">
        <w:trPr>
          <w:trHeight w:val="264"/>
        </w:trPr>
        <w:tc>
          <w:tcPr>
            <w:tcW w:w="562" w:type="dxa"/>
            <w:gridSpan w:val="2"/>
            <w:tcBorders>
              <w:top w:val="single" w:sz="6" w:space="0" w:color="auto"/>
              <w:left w:val="single" w:sz="6" w:space="0" w:color="auto"/>
              <w:bottom w:val="nil"/>
              <w:right w:val="single" w:sz="6" w:space="0" w:color="auto"/>
            </w:tcBorders>
            <w:shd w:val="clear" w:color="auto" w:fill="FFFFFF"/>
          </w:tcPr>
          <w:p w14:paraId="556C32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за</w:t>
            </w:r>
            <w:r w:rsidRPr="00722885">
              <w:rPr>
                <w:rFonts w:ascii="Times New Roman" w:hAnsi="Times New Roman"/>
                <w:color w:val="000000" w:themeColor="text1"/>
                <w:sz w:val="16"/>
                <w:szCs w:val="16"/>
              </w:rPr>
              <w:softHyphen/>
            </w:r>
          </w:p>
        </w:tc>
        <w:tc>
          <w:tcPr>
            <w:tcW w:w="725" w:type="dxa"/>
            <w:gridSpan w:val="2"/>
            <w:tcBorders>
              <w:top w:val="single" w:sz="6" w:space="0" w:color="auto"/>
              <w:left w:val="single" w:sz="6" w:space="0" w:color="auto"/>
              <w:bottom w:val="single" w:sz="6" w:space="0" w:color="auto"/>
              <w:right w:val="nil"/>
            </w:tcBorders>
            <w:shd w:val="clear" w:color="auto" w:fill="FFFFFF"/>
          </w:tcPr>
          <w:p w14:paraId="32E091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1939</w:t>
            </w:r>
          </w:p>
        </w:tc>
        <w:tc>
          <w:tcPr>
            <w:tcW w:w="451" w:type="dxa"/>
            <w:gridSpan w:val="2"/>
            <w:tcBorders>
              <w:top w:val="single" w:sz="6" w:space="0" w:color="auto"/>
              <w:left w:val="nil"/>
              <w:bottom w:val="single" w:sz="6" w:space="0" w:color="auto"/>
              <w:right w:val="single" w:sz="6" w:space="0" w:color="auto"/>
            </w:tcBorders>
            <w:shd w:val="clear" w:color="auto" w:fill="FFFFFF"/>
          </w:tcPr>
          <w:p w14:paraId="6C4D051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181" w:type="dxa"/>
            <w:gridSpan w:val="4"/>
            <w:tcBorders>
              <w:top w:val="single" w:sz="6" w:space="0" w:color="auto"/>
              <w:left w:val="single" w:sz="6" w:space="0" w:color="auto"/>
              <w:bottom w:val="single" w:sz="6" w:space="0" w:color="auto"/>
              <w:right w:val="single" w:sz="6" w:space="0" w:color="auto"/>
            </w:tcBorders>
            <w:shd w:val="clear" w:color="auto" w:fill="FFFFFF"/>
          </w:tcPr>
          <w:p w14:paraId="61C8A1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1940</w:t>
            </w:r>
          </w:p>
        </w:tc>
        <w:tc>
          <w:tcPr>
            <w:tcW w:w="1176" w:type="dxa"/>
            <w:gridSpan w:val="3"/>
            <w:tcBorders>
              <w:top w:val="single" w:sz="6" w:space="0" w:color="auto"/>
              <w:left w:val="single" w:sz="6" w:space="0" w:color="auto"/>
              <w:bottom w:val="single" w:sz="6" w:space="0" w:color="auto"/>
              <w:right w:val="single" w:sz="6" w:space="0" w:color="auto"/>
            </w:tcBorders>
            <w:shd w:val="clear" w:color="auto" w:fill="FFFFFF"/>
          </w:tcPr>
          <w:p w14:paraId="68DF6E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w:t>
            </w:r>
          </w:p>
        </w:tc>
        <w:tc>
          <w:tcPr>
            <w:tcW w:w="1401" w:type="dxa"/>
            <w:gridSpan w:val="2"/>
            <w:tcBorders>
              <w:top w:val="single" w:sz="6" w:space="0" w:color="auto"/>
              <w:left w:val="single" w:sz="6" w:space="0" w:color="auto"/>
              <w:bottom w:val="single" w:sz="6" w:space="0" w:color="auto"/>
              <w:right w:val="single" w:sz="6" w:space="0" w:color="auto"/>
            </w:tcBorders>
            <w:shd w:val="clear" w:color="auto" w:fill="FFFFFF"/>
          </w:tcPr>
          <w:p w14:paraId="5EAB1B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1176" w:type="dxa"/>
            <w:gridSpan w:val="2"/>
            <w:tcBorders>
              <w:top w:val="single" w:sz="6" w:space="0" w:color="auto"/>
              <w:left w:val="single" w:sz="6" w:space="0" w:color="auto"/>
              <w:bottom w:val="single" w:sz="6" w:space="0" w:color="auto"/>
              <w:right w:val="single" w:sz="6" w:space="0" w:color="auto"/>
            </w:tcBorders>
            <w:shd w:val="clear" w:color="auto" w:fill="FFFFFF"/>
          </w:tcPr>
          <w:p w14:paraId="655818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w:t>
            </w:r>
          </w:p>
        </w:tc>
        <w:tc>
          <w:tcPr>
            <w:tcW w:w="1430" w:type="dxa"/>
            <w:gridSpan w:val="3"/>
            <w:tcBorders>
              <w:top w:val="single" w:sz="6" w:space="0" w:color="auto"/>
              <w:left w:val="single" w:sz="6" w:space="0" w:color="auto"/>
              <w:bottom w:val="single" w:sz="6" w:space="0" w:color="auto"/>
              <w:right w:val="single" w:sz="6" w:space="0" w:color="auto"/>
            </w:tcBorders>
            <w:shd w:val="clear" w:color="auto" w:fill="FFFFFF"/>
          </w:tcPr>
          <w:p w14:paraId="7FA116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1944</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tcPr>
          <w:p w14:paraId="61E544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1945</w:t>
            </w:r>
          </w:p>
        </w:tc>
      </w:tr>
      <w:tr w:rsidR="009B487A" w:rsidRPr="00722885" w14:paraId="452B25C0" w14:textId="77777777" w:rsidTr="00CC5360">
        <w:trPr>
          <w:trHeight w:val="221"/>
        </w:trPr>
        <w:tc>
          <w:tcPr>
            <w:tcW w:w="562" w:type="dxa"/>
            <w:gridSpan w:val="2"/>
            <w:tcBorders>
              <w:top w:val="nil"/>
              <w:left w:val="single" w:sz="6" w:space="0" w:color="auto"/>
              <w:bottom w:val="single" w:sz="6" w:space="0" w:color="auto"/>
              <w:right w:val="single" w:sz="6" w:space="0" w:color="auto"/>
            </w:tcBorders>
            <w:shd w:val="clear" w:color="auto" w:fill="FFFFFF"/>
          </w:tcPr>
          <w:p w14:paraId="0E4261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вода</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23ABB2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типам</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CDB61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7424E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типам</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5B85A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C7D78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493D5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673DB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типам</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5BDC1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BA7AC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A9E8C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6F7ED1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F2B64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6EAACD5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типам</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29949B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веете</w:t>
            </w:r>
          </w:p>
        </w:tc>
      </w:tr>
      <w:tr w:rsidR="009B487A" w:rsidRPr="00722885" w14:paraId="13B127FE" w14:textId="77777777" w:rsidTr="00CC5360">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23541B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6CB98F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1304 И-15 1011И-153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5B9B0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2315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FA734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2362 И-153 120 МиГ-3 81Як-4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CA5B4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2563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C11F9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 И-153 3100 МиГ-3 5Ил-2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8A2CE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3169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8D577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МиГ-3 2991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045E1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3D899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4257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78795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4257</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07805E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3719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2A4AB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3719</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62526A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957 Ил-2 1121 Ия-10</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0ED4C5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2078</w:t>
            </w:r>
          </w:p>
        </w:tc>
      </w:tr>
      <w:tr w:rsidR="009B487A" w:rsidRPr="00722885" w14:paraId="6ADE87E6" w14:textId="77777777" w:rsidTr="00CC5360">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0E57E5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5CFC3E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555 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3E765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F367B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808Ил-4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820F2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31145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1510 Ил-2 328Ил-4 71Ер-2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8B644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1909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37AB3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3942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552BF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3942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28F8DD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4702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84123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4702</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45FFDB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smallCaps/>
                <w:color w:val="000000" w:themeColor="text1"/>
                <w:sz w:val="16"/>
                <w:szCs w:val="16"/>
              </w:rPr>
              <w:t>4014Ил-2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399A6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4014</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38831B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931 Ил-2 1435 Ил-10</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18C8CF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2366</w:t>
            </w:r>
          </w:p>
        </w:tc>
      </w:tr>
      <w:tr w:rsidR="009B487A" w:rsidRPr="00722885" w14:paraId="65306A64" w14:textId="77777777" w:rsidTr="00CC5360">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76106E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6F6FE1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1571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21AEC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1571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DECC6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2207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F8AB8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7E795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337 И-16 1659 ЛаГГ-З</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A6331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1996</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A5CAB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Як-7 1924ЛаГГ-3 1107 Ла-5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02F95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3036</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C8FBA5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4619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0EC77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4619</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4AA485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3503 Ла-5 1558 Ла-7</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49370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5061</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475DCB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2799Ла-7</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745468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2799</w:t>
            </w:r>
          </w:p>
        </w:tc>
      </w:tr>
      <w:tr w:rsidR="009B487A" w:rsidRPr="00722885" w14:paraId="7B176B1B" w14:textId="77777777" w:rsidTr="00CC5360">
        <w:trPr>
          <w:trHeight w:val="614"/>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0D6E64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smallCaps/>
                <w:color w:val="000000" w:themeColor="text1"/>
                <w:sz w:val="16"/>
                <w:szCs w:val="16"/>
              </w:rPr>
              <w:t>22</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5EFF66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1435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719E0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1435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6C10C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1820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70883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1820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C9A74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 СБ 1120 Пе-2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C622C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4D5F67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1937 Пе-2 22 Пе-8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01D53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1959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01A1C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2423 Пе-2 29 Пе-8</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4CF34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2452</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7C1BC2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2944 Пе-2 19 Пе-3 5 Пе-8</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008F2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2968</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0259FE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1634 Пе-2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5177C6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1634</w:t>
            </w:r>
          </w:p>
        </w:tc>
      </w:tr>
      <w:tr w:rsidR="009B487A" w:rsidRPr="00722885" w14:paraId="6D066485" w14:textId="77777777" w:rsidTr="00CC5360">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4C74E9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3C1DE7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254УТ-2 1584У-2 251АП-СП</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23B67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2089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C0F6F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383УТ-2 472 У-2 125 АП</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72CD1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D77C6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 ЛаГГ-З 5УТ-2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70A2A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C0A91C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110Ил-4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C886F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smallCaps/>
                <w:color w:val="000000" w:themeColor="text1"/>
                <w:sz w:val="16"/>
                <w:szCs w:val="16"/>
              </w:rPr>
              <w:t>110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929FE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257Ил-4 16ТУ-2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B184A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273</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3DEA6A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378ТУ-2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50621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378</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37375E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742Ту-2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6240DA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742</w:t>
            </w:r>
          </w:p>
        </w:tc>
      </w:tr>
      <w:tr w:rsidR="009B487A" w:rsidRPr="00722885" w14:paraId="342DAE88" w14:textId="77777777" w:rsidTr="00CC5360">
        <w:trPr>
          <w:trHeight w:val="226"/>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294B45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47BF549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21C815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A9ABCB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D45ED8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EB721D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29A63B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7EF39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1053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F76C5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A78EB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2234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BF55E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2234</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7F3B1A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3377 Ия-2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96A0C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3377</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14710D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2201 Ия-2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501797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2201</w:t>
            </w:r>
          </w:p>
        </w:tc>
      </w:tr>
      <w:tr w:rsidR="009B487A" w:rsidRPr="00722885" w14:paraId="45A47104" w14:textId="77777777" w:rsidTr="00CC5360">
        <w:trPr>
          <w:trHeight w:val="418"/>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578D5C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6510D4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192МБР-2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1A7EB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192</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1FA00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38МБР-2 13 Че-2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EF006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93E19C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474 ЛаГГ-З 4 Че-2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E70DB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478</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AA8BF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782ЛаГГ-3 22 Ла-5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6C11C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965FD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1065 ЛаГГ-З 5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8CA25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1070</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7E1E49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229 ЛаГГ-З</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AFD0B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229</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089FA02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6ED03C4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7623F7E1" w14:textId="77777777" w:rsidTr="00CC5360">
        <w:trPr>
          <w:trHeight w:val="854"/>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509073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50A825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279Ш-4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DA681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7C572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198Ил-4 1 Пс-2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CBA85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A9EDA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44Ил-4 303 Пе-2 196Пе-3</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B3265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4759A9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53ЙЛ-4 587 Пе-2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5D356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7A51F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698Ии-4 5 Пе-2 13 Пе-3 2 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4B74D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718</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07269C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118Ил-4 148 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F5352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266</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6A8D47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241 Ер-2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48EAE3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241</w:t>
            </w:r>
          </w:p>
        </w:tc>
      </w:tr>
      <w:tr w:rsidR="009B487A" w:rsidRPr="00722885" w14:paraId="48AC47E9" w14:textId="77777777" w:rsidTr="00CC5360">
        <w:trPr>
          <w:trHeight w:val="614"/>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5CE97B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043E8A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10УТ-2 445УТ-1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E4268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49F24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165УТ-2 1УТ-1</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839B2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878E8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550УТ-2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17550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CA9BF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2Я1-1 427УТ-2 25Яж-6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722D6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E88F5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224 А-б</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731C6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224</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5B8744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222Ще-2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6F5DA3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222</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65CDE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285 Ще-2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63C2F1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285</w:t>
            </w:r>
          </w:p>
        </w:tc>
      </w:tr>
      <w:tr w:rsidR="009B487A" w:rsidRPr="00722885" w14:paraId="737562B7" w14:textId="77777777" w:rsidTr="00CC5360">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44F7E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8AE175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9C2084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3C42A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57Як4 1УТ-3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7A2AF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73101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63Лс-4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E08E7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6B8873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02711B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5DF1B5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B293A5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77B0E67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5887280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541817B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3B52D2F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6FFA0405" w14:textId="77777777" w:rsidTr="00CC5360">
        <w:trPr>
          <w:trHeight w:val="42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7958FD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660C28A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B7FC65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FE9ACC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29579B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B6A9F2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469180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ECC86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215 Як-7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73FD7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73A17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640 Як-7</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AABE0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640</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EC605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465 Як-7 373Як-9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4DD6D0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4F717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444Як-9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565402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444</w:t>
            </w:r>
          </w:p>
        </w:tc>
      </w:tr>
      <w:tr w:rsidR="009B487A" w:rsidRPr="00722885" w14:paraId="21A10EC3" w14:textId="77777777" w:rsidTr="00CC5360">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65791B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21600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6J&amp;-2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1162B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AA274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 Ля-2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56512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17F1B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237Лм-2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44A5A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36C16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423 Ля-2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4951A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721B1F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618 №2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2B40E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618</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60A09E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626Ли-2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0CFB15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783BF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458Лн-2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346855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458</w:t>
            </w:r>
          </w:p>
        </w:tc>
      </w:tr>
      <w:tr w:rsidR="009B487A" w:rsidRPr="00722885" w14:paraId="4E9B0C7C" w14:textId="77777777" w:rsidTr="00CC5360">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3AC007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99</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3DDA6D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955A47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5939C3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ADD815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EB6B9E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3066C3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8736FA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F8F072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D1220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184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B7418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184</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7FE355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 Ла-5 40 Ла-7</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4F449F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142</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6A363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 Ла-7</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153934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w:t>
            </w:r>
          </w:p>
        </w:tc>
      </w:tr>
      <w:tr w:rsidR="009B487A" w:rsidRPr="00722885" w14:paraId="1CC05451" w14:textId="77777777" w:rsidTr="00CC5360">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2D3AC1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U6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20DA91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11C406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3E07F7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68711A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6BE40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99УТ-2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BB9F4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7D962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539УТ-2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9954D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FD18B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702УТ-2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4D76F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702</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7CF72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746УТ-2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2C6C2C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CE4B7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845УТ-2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D50B8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845</w:t>
            </w:r>
          </w:p>
        </w:tc>
      </w:tr>
      <w:tr w:rsidR="009B487A" w:rsidRPr="00722885" w14:paraId="45D3056B" w14:textId="77777777" w:rsidTr="00CC5360">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96F60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60DF578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32CBAB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603E9E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F32153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F64E3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104 Пе-2 23 Пе-8</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C70F8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4FF3BC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EA48AA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968B25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08F778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1AE90C1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7980F7D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3AFD3C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6B5C0FB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1EB7EDD2" w14:textId="77777777" w:rsidTr="00CC5360">
        <w:trPr>
          <w:trHeight w:val="42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4B83A7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4AF34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343 СБ</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07E87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1134C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375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C5AEA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6DB14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168 СБ 144 Пе-2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DA35B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312</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EE99A4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2CF8BD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F34F4C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D9E395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6A09FB3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1BF86E7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4B379A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144E665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6C290EA0" w14:textId="77777777" w:rsidTr="00CC5360">
        <w:trPr>
          <w:trHeight w:val="221"/>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12B54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64A0A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 Ил-4</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17774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EB33D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D3F9C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C6C65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385 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5757F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798DD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695 Ил-4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E779E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E0189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613 Ил-4</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C06D7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613</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1D83CF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588Ил-4</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64AE37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A8D3B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485Ил-4</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672406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w:t>
            </w:r>
          </w:p>
        </w:tc>
      </w:tr>
      <w:tr w:rsidR="009B487A" w:rsidRPr="00722885" w14:paraId="60DD6E0F" w14:textId="77777777" w:rsidTr="00CC5360">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7E22F9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EDD9E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229Р-10</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721FF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E4E1A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 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55E75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3CB08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635 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F074C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61628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 Су-2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B13D6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31BBAB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9D7CFB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2749286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3CA0C23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E4802B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2B9DD41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7292A175" w14:textId="77777777" w:rsidTr="00CC5360">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29D426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AC814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106УТ-1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8B858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32CE5E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C7C27B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20D0AD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965FF7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9069A3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D5771A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EB09BB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852993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13CCB5B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2F64D6B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A8E407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4E4CC79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49035520" w14:textId="77777777" w:rsidTr="00CC5360">
        <w:trPr>
          <w:trHeight w:val="614"/>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7E48F4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153</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FC661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264 И-16</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884EA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E2E1A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503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9A9F9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8D4A3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И-16 21 №7 265ЛаГГ-3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0897C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58163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2211 Як-7 59 Як-9 65ЛаГГ-3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FC862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2335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569D0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2656Як-7 1761 Як-9</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76330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4417</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233BF7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5</w:t>
            </w:r>
            <w:r w:rsidRPr="00722885">
              <w:rPr>
                <w:rFonts w:ascii="Times New Roman" w:hAnsi="Times New Roman"/>
                <w:color w:val="000000" w:themeColor="text1"/>
                <w:sz w:val="16"/>
                <w:szCs w:val="16"/>
              </w:rPr>
              <w:t>858Як</w:t>
            </w:r>
            <w:r w:rsidRPr="00722885">
              <w:rPr>
                <w:rFonts w:ascii="Times New Roman" w:hAnsi="Times New Roman"/>
                <w:color w:val="000000" w:themeColor="text1"/>
                <w:sz w:val="16"/>
                <w:szCs w:val="16"/>
                <w:lang w:val="en-US"/>
              </w:rPr>
              <w:t>-9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4E8668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5858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56285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3559Як-9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FA3C6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3559</w:t>
            </w:r>
          </w:p>
        </w:tc>
      </w:tr>
      <w:tr w:rsidR="009B487A" w:rsidRPr="00722885" w14:paraId="54274934" w14:textId="77777777" w:rsidTr="00CC5360">
        <w:trPr>
          <w:trHeight w:val="21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FE575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1</w:t>
            </w:r>
            <w:r w:rsidRPr="00722885">
              <w:rPr>
                <w:rFonts w:ascii="Times New Roman" w:hAnsi="Times New Roman"/>
                <w:color w:val="000000" w:themeColor="text1"/>
                <w:sz w:val="16"/>
                <w:szCs w:val="16"/>
              </w:rPr>
              <w:t>55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0E071D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D7D53C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C04A68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974843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6004A2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428B74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90B9F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39МиГ-З</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DEEAA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811BA4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B24856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731F403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10EFA95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5540585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208973A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23C6C683" w14:textId="77777777" w:rsidTr="00CC5360">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023020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0B67AC0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33E26B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25FF31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5FE9CC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3D15C7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1D42AA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37412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79Ту-2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6EBBC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CB978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1T</w:t>
            </w:r>
            <w:r w:rsidRPr="00722885">
              <w:rPr>
                <w:rFonts w:ascii="Times New Roman" w:hAnsi="Times New Roman"/>
                <w:color w:val="000000" w:themeColor="text1"/>
                <w:sz w:val="16"/>
                <w:szCs w:val="16"/>
              </w:rPr>
              <w:t>у-2</w:t>
            </w:r>
          </w:p>
          <w:p w14:paraId="1247F7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732Як-9</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DE68D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713</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40DE9D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1600Як-9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374755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6AD6D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1084Як-9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064F1A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1084</w:t>
            </w:r>
          </w:p>
        </w:tc>
      </w:tr>
      <w:tr w:rsidR="009B487A" w:rsidRPr="00722885" w14:paraId="60660946" w14:textId="77777777" w:rsidTr="00CC5360">
        <w:trPr>
          <w:trHeight w:val="31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BBA5F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168</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57FB832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6E4983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AB120C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843F44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1FEE3D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A76A03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3ED4F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12УТ-2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206FC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12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110E2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207УТ-2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FD252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207</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52A4FB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309УТ-2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1E4D62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309</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9BE33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407УТ-2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30D116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407</w:t>
            </w:r>
          </w:p>
        </w:tc>
      </w:tr>
      <w:tr w:rsidR="009B487A" w:rsidRPr="00722885" w14:paraId="465F893E" w14:textId="77777777" w:rsidTr="00CC5360">
        <w:trPr>
          <w:trHeight w:val="230"/>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457EB4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8CFEB9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4B8EB94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D66D1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C7D2D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94269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89СУ-2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3C80C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0C85179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8E7B78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C78998D"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9A7721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7D0BB3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DAB052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54F23AC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6BC6D82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396018EF" w14:textId="77777777" w:rsidTr="00CC5360">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5A20DC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9AB7D3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2EFA32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E524EB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6A32DA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D1C639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524BF8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1DD3FE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6Бе-4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8E87B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9D9CBA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366E5A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4D8496D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29BEDC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2FCE6A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1B2A1B2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098069E0" w14:textId="77777777" w:rsidTr="00CC5360">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36A94F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849C7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102Р-10</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17026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2694E3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16Як-1 18Р-10</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8F3D6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D84AA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1212 Як-1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59D22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583CC1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3474 Як-1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DDAF2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3474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38997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2720 Як-1</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07359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2720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43032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1128 Як-1 1682 Як-3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8015E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2810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7A2C8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1918 Як-3</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2AF163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1918</w:t>
            </w:r>
          </w:p>
        </w:tc>
      </w:tr>
      <w:tr w:rsidR="009B487A" w:rsidRPr="00722885" w14:paraId="57777E7E" w14:textId="77777777" w:rsidTr="00CC5360">
        <w:trPr>
          <w:trHeight w:val="422"/>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1E6A73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4EFB0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276УТ-2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A4F72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4DFE8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 Як-1 11УТ-3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CDD02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5B554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 Як-1 186Як-7</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86BD3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306</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1B9952E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40E753B"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9B4484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446931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2854F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498 Як-3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F4F02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522DA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462 Як-3</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151EBE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462</w:t>
            </w:r>
          </w:p>
        </w:tc>
      </w:tr>
      <w:tr w:rsidR="009B487A" w:rsidRPr="00722885" w14:paraId="14BD8EDE" w14:textId="77777777" w:rsidTr="00CC5360">
        <w:trPr>
          <w:trHeight w:val="413"/>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1E3C7E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1CF5B0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AE344A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5BCC935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23DCCB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7E488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Ил-2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5497A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6EE390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243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B28F2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CEA16F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B80F9B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DF8F3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221 </w:t>
            </w:r>
            <w:r w:rsidRPr="00722885">
              <w:rPr>
                <w:rFonts w:ascii="Times New Roman" w:hAnsi="Times New Roman"/>
                <w:color w:val="000000" w:themeColor="text1"/>
                <w:sz w:val="16"/>
                <w:szCs w:val="16"/>
                <w:lang w:val="en-US"/>
              </w:rPr>
              <w:t>JIa-5 638JIa-7</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2AE68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859</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7FD0B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660 </w:t>
            </w:r>
            <w:r w:rsidRPr="00722885">
              <w:rPr>
                <w:rFonts w:ascii="Times New Roman" w:hAnsi="Times New Roman"/>
                <w:color w:val="000000" w:themeColor="text1"/>
                <w:sz w:val="16"/>
                <w:szCs w:val="16"/>
                <w:lang w:val="en-US"/>
              </w:rPr>
              <w:t>JIa-7</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51BB2D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660</w:t>
            </w:r>
          </w:p>
        </w:tc>
      </w:tr>
      <w:tr w:rsidR="009B487A" w:rsidRPr="00722885" w14:paraId="7191CD5B" w14:textId="77777777" w:rsidTr="00CC5360">
        <w:trPr>
          <w:trHeight w:val="226"/>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471EA7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E07E7B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051292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4A496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93679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9EFEF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1245У-2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4D27D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2A3207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2225У-2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C642E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2225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A4E66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2733У-2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CCB7A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2733</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535D5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3045У-2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D4C0E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3045</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9E19C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2155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2F3DD1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2155</w:t>
            </w:r>
          </w:p>
        </w:tc>
      </w:tr>
      <w:tr w:rsidR="009B487A" w:rsidRPr="00722885" w14:paraId="554AC968" w14:textId="77777777" w:rsidTr="00CC5360">
        <w:trPr>
          <w:trHeight w:val="422"/>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018009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80BA7A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22B270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2C8524D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AE29CC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2A4536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51FA41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09E6661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6E642A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A97445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826021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52A2A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20Бе-4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D9C39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5D6211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18Бе-4 27УТ-2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1640F6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w:t>
            </w:r>
          </w:p>
        </w:tc>
      </w:tr>
      <w:tr w:rsidR="009B487A" w:rsidRPr="00722885" w14:paraId="05B5D6BE" w14:textId="77777777" w:rsidTr="00CC5360">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311D8E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5E3FD5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67A8D6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6908FD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2EB5E5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A8ECF4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3B3907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3AB926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2Як-6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BFC5D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B9B0C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48Як-6 71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6389C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119</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4CDFC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736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D585F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24DA2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557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7754A7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557</w:t>
            </w:r>
          </w:p>
        </w:tc>
      </w:tr>
      <w:tr w:rsidR="009B487A" w:rsidRPr="00722885" w14:paraId="0F6EE62D" w14:textId="77777777" w:rsidTr="00CC5360">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2BFBDF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8C7D488"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5316EE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478536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723AAA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E575AD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84468C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3373A9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1Яж-6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74CAA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346D8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81Як-6 53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FEECD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134</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6745E2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657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F19B8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657</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8D32F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417У-2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78C097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417</w:t>
            </w:r>
          </w:p>
        </w:tc>
      </w:tr>
      <w:tr w:rsidR="009B487A" w:rsidRPr="00722885" w14:paraId="7526BED5" w14:textId="77777777" w:rsidTr="00CC5360">
        <w:trPr>
          <w:trHeight w:val="226"/>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2C80FE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BC094E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61C39D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3E4505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8EBD667"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A8D065C"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F39C23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05DC03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46C2D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518B1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F5102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1CF5B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695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B0308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695</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E733F5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427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16527A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427</w:t>
            </w:r>
          </w:p>
        </w:tc>
      </w:tr>
      <w:tr w:rsidR="009B487A" w:rsidRPr="00722885" w14:paraId="7B0ED7E0" w14:textId="77777777" w:rsidTr="00CC5360">
        <w:trPr>
          <w:trHeight w:val="254"/>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6A73D6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8E8C24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4716D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10342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5E95613E"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3C07B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10137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A54F111"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7B0D7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14946</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7648C196"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03781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25348</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C62206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B8250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34639</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14EC8D4"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67B2B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40261</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E3E0090"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2BA885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26479</w:t>
            </w:r>
          </w:p>
        </w:tc>
      </w:tr>
    </w:tbl>
    <w:p w14:paraId="037CA4B7" w14:textId="77777777" w:rsidR="00BB6316" w:rsidRPr="00722885" w:rsidRDefault="00BB6316" w:rsidP="00722885">
      <w:pPr>
        <w:tabs>
          <w:tab w:val="left" w:pos="296"/>
        </w:tabs>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(12011).</w:t>
      </w:r>
    </w:p>
    <w:p w14:paraId="5FC7A9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 (11,89 % всего авиавыпуска). Получил крайне жёсткое указание сворачивать выпуск МиГ-3 в пользу нара</w:t>
      </w:r>
      <w:r w:rsidRPr="00722885">
        <w:rPr>
          <w:rFonts w:ascii="Times New Roman" w:hAnsi="Times New Roman"/>
          <w:color w:val="000000" w:themeColor="text1"/>
          <w:sz w:val="16"/>
          <w:szCs w:val="16"/>
        </w:rPr>
        <w:softHyphen/>
        <w:t>щивания темпов производства Ил-2. В результате завод уже в 1942 г. быстро стал вторым по значению производителем штурмовиков.</w:t>
      </w:r>
    </w:p>
    <w:p w14:paraId="09B1A2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18 (15,55 % всего авиавыпуска). Полностью свер</w:t>
      </w:r>
      <w:r w:rsidRPr="00722885">
        <w:rPr>
          <w:rFonts w:ascii="Times New Roman" w:hAnsi="Times New Roman"/>
          <w:color w:val="000000" w:themeColor="text1"/>
          <w:sz w:val="16"/>
          <w:szCs w:val="16"/>
        </w:rPr>
        <w:softHyphen/>
        <w:t>нув производство всех бомбардировщиков, сосредоточился на выпуске штурмовиков Ил-2. Фактически стал головным предприятием в сегменте штурмовиков.</w:t>
      </w:r>
    </w:p>
    <w:p w14:paraId="7EAC28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21 (11,98 % всего авиавыпуска). В течение года судьба завода менялась дважды. ЛаГГ-З по ряду параметров не устраивал руководство ВВС в роли основного фронтового истребителя, поэтому было принято решение о переключении завода на выпуск Як-7. Однако Лавочкин в авральном порядке разработал вариант своего истребителя под новый мотор М-82. Именно эта модель, под обозначением Ла-5, и была оконча</w:t>
      </w:r>
      <w:r w:rsidRPr="00722885">
        <w:rPr>
          <w:rFonts w:ascii="Times New Roman" w:hAnsi="Times New Roman"/>
          <w:color w:val="000000" w:themeColor="text1"/>
          <w:sz w:val="16"/>
          <w:szCs w:val="16"/>
        </w:rPr>
        <w:softHyphen/>
        <w:t>тельно утверждена в производственной программе завода.</w:t>
      </w:r>
    </w:p>
    <w:p w14:paraId="2DAD0A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22 (7,73 % всего авиавыпуска). Эвакуировался в Ка</w:t>
      </w:r>
      <w:r w:rsidRPr="00722885">
        <w:rPr>
          <w:rFonts w:ascii="Times New Roman" w:hAnsi="Times New Roman"/>
          <w:color w:val="000000" w:themeColor="text1"/>
          <w:sz w:val="16"/>
          <w:szCs w:val="16"/>
        </w:rPr>
        <w:softHyphen/>
        <w:t>зань, ще включил в свой состав завод № 124. Был головным пред</w:t>
      </w:r>
      <w:r w:rsidRPr="00722885">
        <w:rPr>
          <w:rFonts w:ascii="Times New Roman" w:hAnsi="Times New Roman"/>
          <w:color w:val="000000" w:themeColor="text1"/>
          <w:sz w:val="16"/>
          <w:szCs w:val="16"/>
        </w:rPr>
        <w:softHyphen/>
        <w:t>приятием по выпуску Пе-2 и единственным—по выпуску Пе-8.</w:t>
      </w:r>
    </w:p>
    <w:p w14:paraId="626CA7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23 (0,43 % всего авиавыпуска). Этот завод не имеет практически никакого отношения к существовавшему до вой</w:t>
      </w:r>
      <w:r w:rsidRPr="00722885">
        <w:rPr>
          <w:rFonts w:ascii="Times New Roman" w:hAnsi="Times New Roman"/>
          <w:color w:val="000000" w:themeColor="text1"/>
          <w:sz w:val="16"/>
          <w:szCs w:val="16"/>
        </w:rPr>
        <w:softHyphen/>
        <w:t>ны в Ленинграде заводу № 23. Ленинградский завод был эва</w:t>
      </w:r>
      <w:r w:rsidRPr="00722885">
        <w:rPr>
          <w:rFonts w:ascii="Times New Roman" w:hAnsi="Times New Roman"/>
          <w:color w:val="000000" w:themeColor="text1"/>
          <w:sz w:val="16"/>
          <w:szCs w:val="16"/>
        </w:rPr>
        <w:softHyphen/>
        <w:t>куирован в Новосибирск, ще влился в состав завода № 153 и перестал существовать. Новый завод № 23 был создан в июле 1942 г. на производственных площадях эвакуированного заво</w:t>
      </w:r>
      <w:r w:rsidRPr="00722885">
        <w:rPr>
          <w:rFonts w:ascii="Times New Roman" w:hAnsi="Times New Roman"/>
          <w:color w:val="000000" w:themeColor="text1"/>
          <w:sz w:val="16"/>
          <w:szCs w:val="16"/>
        </w:rPr>
        <w:softHyphen/>
        <w:t>да № 22. В создании нового предприятия было использовано оборудование завода № 135, реэвакуировавшегося из Перми, а также заводов № 30 и 458. Этот новосозданный завод получил программу по производству Ил-4 и стал одним из вспомога</w:t>
      </w:r>
      <w:r w:rsidRPr="00722885">
        <w:rPr>
          <w:rFonts w:ascii="Times New Roman" w:hAnsi="Times New Roman"/>
          <w:color w:val="000000" w:themeColor="text1"/>
          <w:sz w:val="16"/>
          <w:szCs w:val="16"/>
        </w:rPr>
        <w:softHyphen/>
        <w:t>тельных предприятий по выпуску этого бомбардировщика.</w:t>
      </w:r>
    </w:p>
    <w:p w14:paraId="7D65D8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30 (4,15 % всего авиавыпуска). Этот завод также не имел отношения к довоенному заводу № 30, расположен</w:t>
      </w:r>
      <w:r w:rsidRPr="00722885">
        <w:rPr>
          <w:rFonts w:ascii="Times New Roman" w:hAnsi="Times New Roman"/>
          <w:color w:val="000000" w:themeColor="text1"/>
          <w:sz w:val="16"/>
          <w:szCs w:val="16"/>
        </w:rPr>
        <w:softHyphen/>
        <w:t xml:space="preserve">ному в Кимрах. Как уже говорилось выше, довоенный завод № 30 передал своё оборудование вновь созданному заводу № 23. Что же касается новосозданнош завода № 30, то он был образован на производственных площадях эвакуированного завода № 1 и получил программу по выпуску штурмовиков </w:t>
      </w:r>
      <w:r w:rsidRPr="00722885">
        <w:rPr>
          <w:rFonts w:ascii="Times New Roman" w:hAnsi="Times New Roman"/>
          <w:iCs/>
          <w:color w:val="000000" w:themeColor="text1"/>
          <w:sz w:val="16"/>
          <w:szCs w:val="16"/>
        </w:rPr>
        <w:t>Ил-2.</w:t>
      </w:r>
    </w:p>
    <w:p w14:paraId="472794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31 (3,17% всего авиавыпуска). 'Производил ЛаГГ-З и Ла-5.</w:t>
      </w:r>
    </w:p>
    <w:p w14:paraId="548946A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39 (2,52% всего авиавыпуска). Производил Ил-4 и Пе-2.</w:t>
      </w:r>
    </w:p>
    <w:p w14:paraId="316846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47 (1,79 % всего авиавыпуска). Выпускал учебно- тренировочные самолёты УТ-2. Параллельно Яковлев пытал</w:t>
      </w:r>
      <w:r w:rsidRPr="00722885">
        <w:rPr>
          <w:rFonts w:ascii="Times New Roman" w:hAnsi="Times New Roman"/>
          <w:color w:val="000000" w:themeColor="text1"/>
          <w:sz w:val="16"/>
          <w:szCs w:val="16"/>
        </w:rPr>
        <w:softHyphen/>
        <w:t>ся наладить производство на заводе и других своих моде</w:t>
      </w:r>
      <w:r w:rsidRPr="00722885">
        <w:rPr>
          <w:rFonts w:ascii="Times New Roman" w:hAnsi="Times New Roman"/>
          <w:color w:val="000000" w:themeColor="text1"/>
          <w:sz w:val="16"/>
          <w:szCs w:val="16"/>
        </w:rPr>
        <w:softHyphen/>
        <w:t>лей — истребителя Як-1 и транспортного самолёта Як-6.</w:t>
      </w:r>
    </w:p>
    <w:p w14:paraId="086510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84 (1,67 % всего авиавыпуска). Единственный за</w:t>
      </w:r>
      <w:r w:rsidRPr="00722885">
        <w:rPr>
          <w:rFonts w:ascii="Times New Roman" w:hAnsi="Times New Roman"/>
          <w:color w:val="000000" w:themeColor="text1"/>
          <w:sz w:val="16"/>
          <w:szCs w:val="16"/>
        </w:rPr>
        <w:softHyphen/>
        <w:t>вод в СССР, выпускавший транспортные самолёты Ли-2.</w:t>
      </w:r>
    </w:p>
    <w:p w14:paraId="283FE8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116 (2,13 % всего авиавыпуска). Выпускал УТ-2.</w:t>
      </w:r>
    </w:p>
    <w:p w14:paraId="36CCCE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126 (2,74 % всего авиавыпуска). Продолжал про</w:t>
      </w:r>
      <w:r w:rsidRPr="00722885">
        <w:rPr>
          <w:rFonts w:ascii="Times New Roman" w:hAnsi="Times New Roman"/>
          <w:color w:val="000000" w:themeColor="text1"/>
          <w:sz w:val="16"/>
          <w:szCs w:val="16"/>
        </w:rPr>
        <w:softHyphen/>
        <w:t>изводство Ил-4.</w:t>
      </w:r>
    </w:p>
    <w:p w14:paraId="6A18B0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135 (0,16 % всего авиавыпуска). В Перми пред</w:t>
      </w:r>
      <w:r w:rsidRPr="00722885">
        <w:rPr>
          <w:rFonts w:ascii="Times New Roman" w:hAnsi="Times New Roman"/>
          <w:color w:val="000000" w:themeColor="text1"/>
          <w:sz w:val="16"/>
          <w:szCs w:val="16"/>
        </w:rPr>
        <w:softHyphen/>
        <w:t>приятие работу, по сути, так и не восстановило. Из привезён</w:t>
      </w:r>
      <w:r w:rsidRPr="00722885">
        <w:rPr>
          <w:rFonts w:ascii="Times New Roman" w:hAnsi="Times New Roman"/>
          <w:color w:val="000000" w:themeColor="text1"/>
          <w:sz w:val="16"/>
          <w:szCs w:val="16"/>
        </w:rPr>
        <w:softHyphen/>
        <w:t>ного с собой задела было собрано ещё некоторое количество Су-2, после чего завод был ликвидирован, а его оборудование отправлено в распоряжение завода № 23.</w:t>
      </w:r>
    </w:p>
    <w:p w14:paraId="503224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153 (9,21 % всего авиавыпуска). Свернув произ</w:t>
      </w:r>
      <w:r w:rsidRPr="00722885">
        <w:rPr>
          <w:rFonts w:ascii="Times New Roman" w:hAnsi="Times New Roman"/>
          <w:color w:val="000000" w:themeColor="text1"/>
          <w:sz w:val="16"/>
          <w:szCs w:val="16"/>
        </w:rPr>
        <w:softHyphen/>
        <w:t>водство ЛаГТ-3 (некоторое количество этих самолётов было сдано в счёт программы 1942 г.), сосредоточил усилия на вы</w:t>
      </w:r>
      <w:r w:rsidRPr="00722885">
        <w:rPr>
          <w:rFonts w:ascii="Times New Roman" w:hAnsi="Times New Roman"/>
          <w:color w:val="000000" w:themeColor="text1"/>
          <w:sz w:val="16"/>
          <w:szCs w:val="16"/>
        </w:rPr>
        <w:softHyphen/>
        <w:t>пуске Як-7. В том же году на заводе началось освоение Як-9.</w:t>
      </w:r>
    </w:p>
    <w:p w14:paraId="2EAA02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155 (0,12 % всего авиавыпуска). Это своеобраз</w:t>
      </w:r>
      <w:r w:rsidRPr="00722885">
        <w:rPr>
          <w:rFonts w:ascii="Times New Roman" w:hAnsi="Times New Roman"/>
          <w:color w:val="000000" w:themeColor="text1"/>
          <w:sz w:val="16"/>
          <w:szCs w:val="16"/>
        </w:rPr>
        <w:softHyphen/>
        <w:t>ный завод-фантом. Предприятие было создано как завод опытных конструкций при КБ Микояна. В 1942 г., ввиду свёр</w:t>
      </w:r>
      <w:r w:rsidRPr="00722885">
        <w:rPr>
          <w:rFonts w:ascii="Times New Roman" w:hAnsi="Times New Roman"/>
          <w:color w:val="000000" w:themeColor="text1"/>
          <w:sz w:val="16"/>
          <w:szCs w:val="16"/>
        </w:rPr>
        <w:softHyphen/>
        <w:t>тывания выпуска МиГ-3 на головном предприятии № 1, завод № 155 изготовил (в том числе — с использованием задела с завода № 1) последние 30 машин этой модели. Более в годы войны завод № 155 не сдал ни одной серийной машины. Тем не менее вплоть до 1945 г. на этом заводе строились экспери</w:t>
      </w:r>
      <w:r w:rsidRPr="00722885">
        <w:rPr>
          <w:rFonts w:ascii="Times New Roman" w:hAnsi="Times New Roman"/>
          <w:color w:val="000000" w:themeColor="text1"/>
          <w:sz w:val="16"/>
          <w:szCs w:val="16"/>
        </w:rPr>
        <w:softHyphen/>
        <w:t>ментальные высотные перехватчики.</w:t>
      </w:r>
    </w:p>
    <w:p w14:paraId="4B2B75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166 (0,31 % всего авиавыпуска). Новосозданный, за счёт слияния нескольких эвакуированных предприятий, за</w:t>
      </w:r>
      <w:r w:rsidRPr="00722885">
        <w:rPr>
          <w:rFonts w:ascii="Times New Roman" w:hAnsi="Times New Roman"/>
          <w:color w:val="000000" w:themeColor="text1"/>
          <w:sz w:val="16"/>
          <w:szCs w:val="16"/>
        </w:rPr>
        <w:softHyphen/>
        <w:t>вод сумел наладить выпуск бомбардировщика Ту-2. Однако в том же году производство этого самолёта было свёрнуто, завод начал готовить выпуск истребителей Яковлева.</w:t>
      </w:r>
    </w:p>
    <w:p w14:paraId="5D3FC7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168 (0,05 % всего авиавыпуска). Крохотная серия УТ-2.</w:t>
      </w:r>
    </w:p>
    <w:p w14:paraId="72E163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228 (0,02 % всего авиавыпуска). Выпускал край</w:t>
      </w:r>
      <w:r w:rsidRPr="00722885">
        <w:rPr>
          <w:rFonts w:ascii="Times New Roman" w:hAnsi="Times New Roman"/>
          <w:color w:val="000000" w:themeColor="text1"/>
          <w:sz w:val="16"/>
          <w:szCs w:val="16"/>
        </w:rPr>
        <w:softHyphen/>
        <w:t>не малой серией гидросамолёт-разведчик Бе-4.</w:t>
      </w:r>
    </w:p>
    <w:p w14:paraId="4BAAB0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292 (13,71 % всего авиавыпуска). Головной завод по производству Як-1.</w:t>
      </w:r>
    </w:p>
    <w:p w14:paraId="6E41F55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381 (0,96</w:t>
      </w:r>
      <w:r w:rsidRPr="00722885">
        <w:rPr>
          <w:rFonts w:ascii="Times New Roman" w:hAnsi="Times New Roman"/>
          <w:iCs/>
          <w:color w:val="000000" w:themeColor="text1"/>
          <w:sz w:val="16"/>
          <w:szCs w:val="16"/>
        </w:rPr>
        <w:t xml:space="preserve"> %</w:t>
      </w:r>
      <w:r w:rsidRPr="00722885">
        <w:rPr>
          <w:rFonts w:ascii="Times New Roman" w:hAnsi="Times New Roman"/>
          <w:color w:val="000000" w:themeColor="text1"/>
          <w:sz w:val="16"/>
          <w:szCs w:val="16"/>
        </w:rPr>
        <w:t xml:space="preserve"> всего авиавыпуска). Второстепенный завод по выпуску Ил-2.</w:t>
      </w:r>
    </w:p>
    <w:p w14:paraId="736DF8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387 (8,78 % всего авиавыпуска). Головной завод по выпуску У-2.</w:t>
      </w:r>
    </w:p>
    <w:p w14:paraId="5CE138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Заводы № 464 и 471 (суммарно — 0,01 % всего авиавыпу</w:t>
      </w:r>
      <w:r w:rsidRPr="00722885">
        <w:rPr>
          <w:rFonts w:ascii="Times New Roman" w:hAnsi="Times New Roman"/>
          <w:color w:val="000000" w:themeColor="text1"/>
          <w:sz w:val="16"/>
          <w:szCs w:val="16"/>
        </w:rPr>
        <w:softHyphen/>
        <w:t>ска). Безуспешно пытались наладить выпуск Як-6.</w:t>
      </w:r>
    </w:p>
    <w:p w14:paraId="474945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494 (0,07 % всего авиавыпуска). Микросерия У-2.</w:t>
      </w:r>
    </w:p>
    <w:p w14:paraId="60E91B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Надо отметить, что по сравнению с 1941 г. состав топо</w:t>
      </w:r>
      <w:r w:rsidRPr="00722885">
        <w:rPr>
          <w:rFonts w:ascii="Times New Roman" w:hAnsi="Times New Roman"/>
          <w:color w:val="000000" w:themeColor="text1"/>
          <w:sz w:val="16"/>
          <w:szCs w:val="16"/>
        </w:rPr>
        <w:softHyphen/>
        <w:t>вой группы практически не изменился. Это всё те же заводы № 1, 18, 21, 22, 292, 387. Единственное пополнение — за</w:t>
      </w:r>
      <w:r w:rsidRPr="00722885">
        <w:rPr>
          <w:rFonts w:ascii="Times New Roman" w:hAnsi="Times New Roman"/>
          <w:color w:val="000000" w:themeColor="text1"/>
          <w:sz w:val="16"/>
          <w:szCs w:val="16"/>
        </w:rPr>
        <w:softHyphen/>
        <w:t>вод № 153. Совокупно эти 7 заводов обеспечивали 79 % го</w:t>
      </w:r>
      <w:r w:rsidRPr="00722885">
        <w:rPr>
          <w:rFonts w:ascii="Times New Roman" w:hAnsi="Times New Roman"/>
          <w:color w:val="000000" w:themeColor="text1"/>
          <w:sz w:val="16"/>
          <w:szCs w:val="16"/>
        </w:rPr>
        <w:softHyphen/>
        <w:t>дового авиавыпуска. Таким образом, важнейшим результатом 1942 г., с точки зрения дислокации авиапромышленности, стало формирование нового — новосибирского — центра са</w:t>
      </w:r>
      <w:r w:rsidRPr="00722885">
        <w:rPr>
          <w:rFonts w:ascii="Times New Roman" w:hAnsi="Times New Roman"/>
          <w:color w:val="000000" w:themeColor="text1"/>
          <w:sz w:val="16"/>
          <w:szCs w:val="16"/>
        </w:rPr>
        <w:softHyphen/>
        <w:t>молётостроения (12011).</w:t>
      </w:r>
    </w:p>
    <w:p w14:paraId="69D5579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88DF1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борьба за снижение себестоимости и отпускных цен может быть наглядно проиллюстрирована таблицей (см. прил. 7). Как видим, Госплан с самого начала взял курс на резкое снижение себестоимости. НКАП, понимая, что тен</w:t>
      </w:r>
      <w:r w:rsidRPr="00722885">
        <w:rPr>
          <w:rFonts w:ascii="Times New Roman" w:hAnsi="Times New Roman"/>
          <w:color w:val="000000" w:themeColor="text1"/>
          <w:sz w:val="16"/>
          <w:szCs w:val="16"/>
        </w:rPr>
        <w:softHyphen/>
        <w:t>денция уже задана (и, видимо, утверждена высшими инстан</w:t>
      </w:r>
      <w:r w:rsidRPr="00722885">
        <w:rPr>
          <w:rFonts w:ascii="Times New Roman" w:hAnsi="Times New Roman"/>
          <w:color w:val="000000" w:themeColor="text1"/>
          <w:sz w:val="16"/>
          <w:szCs w:val="16"/>
        </w:rPr>
        <w:softHyphen/>
        <w:t>циями), пытался отыграть мелочи. Однако в большинстве слу</w:t>
      </w:r>
      <w:r w:rsidRPr="00722885">
        <w:rPr>
          <w:rFonts w:ascii="Times New Roman" w:hAnsi="Times New Roman"/>
          <w:color w:val="000000" w:themeColor="text1"/>
          <w:sz w:val="16"/>
          <w:szCs w:val="16"/>
        </w:rPr>
        <w:softHyphen/>
        <w:t>чаев реальная себестоимость 1942 г. оказалась хота и меньше себестоимости 1941 г., но выше как предложений Госплана, так и версии НКАПа. Та же картина (ниже прошлого года, но выше планов Госплана и НКАП) сложилась и в отношении отпускных цен 1942 г., которые, как уже говорилось выше, были напрямую завязаны на себестоимость производства.</w:t>
      </w:r>
    </w:p>
    <w:p w14:paraId="3876BD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Приложение 7</w:t>
      </w:r>
    </w:p>
    <w:p w14:paraId="3E5C36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Борьба за снижение отпускных (с весны 1942 г. понятие «договорная цена» постепенно уходит из до</w:t>
      </w:r>
      <w:r w:rsidRPr="00722885">
        <w:rPr>
          <w:rFonts w:ascii="Times New Roman" w:hAnsi="Times New Roman"/>
          <w:color w:val="000000" w:themeColor="text1"/>
          <w:sz w:val="16"/>
          <w:szCs w:val="16"/>
        </w:rPr>
        <w:softHyphen/>
        <w:t xml:space="preserve">кументооборота. Вместо него начинают использовать термин «отпускная цена». Но так как размер этой отпускной цены согласовывался (или, как будет показано ниже, не согласовывался) в ходе переговоров Воеиведа и НКАП, </w:t>
      </w:r>
      <w:r w:rsidRPr="00722885">
        <w:rPr>
          <w:rFonts w:ascii="Times New Roman" w:hAnsi="Times New Roman"/>
          <w:color w:val="000000" w:themeColor="text1"/>
          <w:sz w:val="16"/>
          <w:szCs w:val="16"/>
        </w:rPr>
        <w:lastRenderedPageBreak/>
        <w:t xml:space="preserve">сущностных различий между «договорной» и «отпускной» ценами практически не было) цен на 1942 г. (тыс. руб.) (РГАЭ. Ф. 8044. </w:t>
      </w:r>
      <w:r w:rsidRPr="00722885">
        <w:rPr>
          <w:rFonts w:ascii="Times New Roman" w:hAnsi="Times New Roman"/>
          <w:color w:val="000000" w:themeColor="text1"/>
          <w:sz w:val="16"/>
          <w:szCs w:val="16"/>
          <w:lang w:val="en-US"/>
        </w:rPr>
        <w:t xml:space="preserve">On. </w:t>
      </w:r>
      <w:r w:rsidRPr="00722885">
        <w:rPr>
          <w:rFonts w:ascii="Times New Roman" w:hAnsi="Times New Roman"/>
          <w:color w:val="000000" w:themeColor="text1"/>
          <w:sz w:val="16"/>
          <w:szCs w:val="16"/>
        </w:rPr>
        <w:t>1. Д. 2830. Л. 78,90.; Д. 2831. Л. 44,46.)</w:t>
      </w:r>
    </w:p>
    <w:tbl>
      <w:tblPr>
        <w:tblW w:w="0" w:type="auto"/>
        <w:tblInd w:w="8" w:type="dxa"/>
        <w:tblLayout w:type="fixed"/>
        <w:tblCellMar>
          <w:left w:w="0" w:type="dxa"/>
          <w:right w:w="0" w:type="dxa"/>
        </w:tblCellMar>
        <w:tblLook w:val="0000" w:firstRow="0" w:lastRow="0" w:firstColumn="0" w:lastColumn="0" w:noHBand="0" w:noVBand="0"/>
      </w:tblPr>
      <w:tblGrid>
        <w:gridCol w:w="542"/>
        <w:gridCol w:w="614"/>
        <w:gridCol w:w="504"/>
        <w:gridCol w:w="710"/>
        <w:gridCol w:w="686"/>
        <w:gridCol w:w="562"/>
        <w:gridCol w:w="528"/>
        <w:gridCol w:w="648"/>
        <w:gridCol w:w="619"/>
        <w:gridCol w:w="542"/>
        <w:gridCol w:w="13"/>
      </w:tblGrid>
      <w:tr w:rsidR="009B487A" w:rsidRPr="00722885" w14:paraId="08A8F93F" w14:textId="77777777" w:rsidTr="00CC5360">
        <w:trPr>
          <w:gridAfter w:val="1"/>
          <w:wAfter w:w="13" w:type="dxa"/>
          <w:trHeight w:val="1190"/>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72A166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изготовитель</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34D84B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Модель</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68E086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Себе- стоимость- 1941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08A73C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Себестм- мостъ-1942 (предложения Госплана)</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2B6A1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Себестоимость-1942</w:t>
            </w:r>
          </w:p>
          <w:p w14:paraId="035109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(предложения НКАП)</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56D3D2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Себе-</w:t>
            </w:r>
          </w:p>
          <w:p w14:paraId="175138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стоимость-1942 (факт)</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21FFF6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w:t>
            </w:r>
            <w:r w:rsidRPr="00722885">
              <w:rPr>
                <w:rFonts w:ascii="Times New Roman" w:hAnsi="Times New Roman"/>
                <w:color w:val="000000" w:themeColor="text1"/>
                <w:sz w:val="16"/>
                <w:szCs w:val="16"/>
              </w:rPr>
              <w:softHyphen/>
              <w:t>пускная цена- 1941</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73AD6D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w:t>
            </w:r>
            <w:r w:rsidRPr="00722885">
              <w:rPr>
                <w:rFonts w:ascii="Times New Roman" w:hAnsi="Times New Roman"/>
                <w:color w:val="000000" w:themeColor="text1"/>
                <w:sz w:val="16"/>
                <w:szCs w:val="16"/>
              </w:rPr>
              <w:softHyphen/>
              <w:t>пускная цена -1942 (пред- ложения Госплана</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5F506C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Ог- пускная цена-1942 (предложения НКАП)</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2B67DF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w:t>
            </w:r>
            <w:r w:rsidRPr="00722885">
              <w:rPr>
                <w:rFonts w:ascii="Times New Roman" w:hAnsi="Times New Roman"/>
                <w:color w:val="000000" w:themeColor="text1"/>
                <w:sz w:val="16"/>
                <w:szCs w:val="16"/>
              </w:rPr>
              <w:softHyphen/>
              <w:t>пускная цена- 1942</w:t>
            </w:r>
          </w:p>
          <w:p w14:paraId="4AF734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(факт)</w:t>
            </w:r>
          </w:p>
        </w:tc>
      </w:tr>
      <w:tr w:rsidR="009B487A" w:rsidRPr="00722885" w14:paraId="53F3017F" w14:textId="77777777" w:rsidTr="00CC5360">
        <w:trPr>
          <w:gridAfter w:val="1"/>
          <w:wAfter w:w="13" w:type="dxa"/>
          <w:trHeight w:val="221"/>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556E93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w:t>
            </w:r>
          </w:p>
        </w:tc>
        <w:tc>
          <w:tcPr>
            <w:tcW w:w="610" w:type="dxa"/>
            <w:tcBorders>
              <w:top w:val="single" w:sz="6" w:space="0" w:color="auto"/>
              <w:left w:val="single" w:sz="6" w:space="0" w:color="auto"/>
              <w:bottom w:val="nil"/>
              <w:right w:val="single" w:sz="6" w:space="0" w:color="auto"/>
            </w:tcBorders>
            <w:shd w:val="clear" w:color="auto" w:fill="FFFFFF"/>
          </w:tcPr>
          <w:p w14:paraId="0E1B40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ЛаГГ</w:t>
            </w:r>
            <w:r w:rsidRPr="00722885">
              <w:rPr>
                <w:rFonts w:ascii="Times New Roman" w:hAnsi="Times New Roman"/>
                <w:color w:val="000000" w:themeColor="text1"/>
                <w:sz w:val="16"/>
                <w:szCs w:val="16"/>
                <w:lang w:val="en-US"/>
              </w:rPr>
              <w:t xml:space="preserve">-3 </w:t>
            </w:r>
            <w:r w:rsidRPr="00722885">
              <w:rPr>
                <w:rFonts w:ascii="Times New Roman" w:hAnsi="Times New Roman"/>
                <w:color w:val="000000" w:themeColor="text1"/>
                <w:sz w:val="16"/>
                <w:szCs w:val="16"/>
              </w:rPr>
              <w:t>(М-105П)</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468CF2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198,3</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284122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5D178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132,7</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00796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132,7</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2E2546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196,5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670018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136</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09A9C5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511955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w:t>
            </w:r>
          </w:p>
        </w:tc>
      </w:tr>
      <w:tr w:rsidR="009B487A" w:rsidRPr="00722885" w14:paraId="37C4FF31" w14:textId="77777777" w:rsidTr="00CC5360">
        <w:trPr>
          <w:gridAfter w:val="1"/>
          <w:wAfter w:w="13" w:type="dxa"/>
          <w:trHeight w:val="221"/>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2C8D3C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tc>
        <w:tc>
          <w:tcPr>
            <w:tcW w:w="610" w:type="dxa"/>
            <w:tcBorders>
              <w:top w:val="nil"/>
              <w:left w:val="single" w:sz="6" w:space="0" w:color="auto"/>
              <w:bottom w:val="nil"/>
              <w:right w:val="single" w:sz="6" w:space="0" w:color="auto"/>
            </w:tcBorders>
            <w:shd w:val="clear" w:color="auto" w:fill="FFFFFF"/>
          </w:tcPr>
          <w:p w14:paraId="415F925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A7F28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310</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4B3F60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141,96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96211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142,06</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224F03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153,8</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4C3CCA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216,5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531F3A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148</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700961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148</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32F68E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w:t>
            </w:r>
          </w:p>
        </w:tc>
      </w:tr>
      <w:tr w:rsidR="009B487A" w:rsidRPr="00722885" w14:paraId="24120D0D" w14:textId="77777777" w:rsidTr="00CC5360">
        <w:trPr>
          <w:gridAfter w:val="1"/>
          <w:wAfter w:w="13" w:type="dxa"/>
          <w:trHeight w:val="221"/>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1B7ED3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153</w:t>
            </w:r>
          </w:p>
        </w:tc>
        <w:tc>
          <w:tcPr>
            <w:tcW w:w="610" w:type="dxa"/>
            <w:tcBorders>
              <w:top w:val="nil"/>
              <w:left w:val="single" w:sz="6" w:space="0" w:color="auto"/>
              <w:bottom w:val="single" w:sz="6" w:space="0" w:color="auto"/>
              <w:right w:val="single" w:sz="6" w:space="0" w:color="auto"/>
            </w:tcBorders>
            <w:shd w:val="clear" w:color="auto" w:fill="FFFFFF"/>
          </w:tcPr>
          <w:p w14:paraId="6B968A6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948DC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289</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4B44B0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191,6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54652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201,9</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15CEE6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201,9</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3D744A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318,5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316926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29F8CB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489F58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w:t>
            </w:r>
          </w:p>
        </w:tc>
      </w:tr>
      <w:tr w:rsidR="009B487A" w:rsidRPr="00722885" w14:paraId="491B0D15"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638B5F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74CFF9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Як-1 (М-105П)</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6997F2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159,2</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054EEF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97,53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04D6C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97,4</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753CF5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102,9</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3E9414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208</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51E091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2F2BAE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39C4AC8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w:t>
            </w:r>
          </w:p>
        </w:tc>
      </w:tr>
      <w:tr w:rsidR="009B487A" w:rsidRPr="00722885" w14:paraId="15E3F872"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2DD1C3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153</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33C92A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Як-7 (М-105П)</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25D28B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1938B3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118,42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F3D55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119,4</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5F117E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102,9</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3D33A2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00E29C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108E4A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3DD7AB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146</w:t>
            </w:r>
          </w:p>
        </w:tc>
      </w:tr>
      <w:tr w:rsidR="009B487A" w:rsidRPr="00722885" w14:paraId="0B8E2D2A"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65BEDE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66D40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УТ-2 (М-11)</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850A1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38,9</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184809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30,72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EAB90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31,0</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6CF7D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32,7</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5120F9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79190B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50DAC0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7307C1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r>
      <w:tr w:rsidR="009B487A" w:rsidRPr="00722885" w14:paraId="01D9B329"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686767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116</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1FEFD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УТ-2 (М-11)</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E51EC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123,2</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77E33D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3B1ED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45,3</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BEDA6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60,6</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27115A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5FBF01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3DA62F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2B65F7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w:t>
            </w:r>
          </w:p>
        </w:tc>
      </w:tr>
      <w:tr w:rsidR="009B487A" w:rsidRPr="00722885" w14:paraId="20FC3C60" w14:textId="77777777" w:rsidTr="00CC5360">
        <w:trPr>
          <w:gridAfter w:val="1"/>
          <w:wAfter w:w="13" w:type="dxa"/>
          <w:trHeight w:val="408"/>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17BACC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387</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7454F0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У-2 </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11</w:t>
            </w:r>
            <w:r w:rsidRPr="00722885">
              <w:rPr>
                <w:rFonts w:ascii="Times New Roman" w:hAnsi="Times New Roman"/>
                <w:color w:val="000000" w:themeColor="text1"/>
                <w:sz w:val="16"/>
                <w:szCs w:val="16"/>
                <w:lang w:val="en-US"/>
              </w:rPr>
              <w:t>)</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79AE675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30,37</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32C037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30BAB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24,4</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41C81A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34BBB3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1FD2E1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781B61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4D7873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w:t>
            </w:r>
          </w:p>
        </w:tc>
      </w:tr>
      <w:tr w:rsidR="009B487A" w:rsidRPr="00722885" w14:paraId="7D3E08D0"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07A503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07A4F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Ил-2 (АМ-38)</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4F4C4D8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3D4780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206,57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B14A3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205,4</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61C456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221,2</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442DC6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2B34ED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215</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28978A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214</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589C3F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w:t>
            </w:r>
          </w:p>
        </w:tc>
      </w:tr>
      <w:tr w:rsidR="009B487A" w:rsidRPr="00722885" w14:paraId="08B7D300" w14:textId="77777777" w:rsidTr="00CC5360">
        <w:trPr>
          <w:gridAfter w:val="1"/>
          <w:wAfter w:w="13" w:type="dxa"/>
          <w:trHeight w:val="413"/>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4FE50D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214582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Ил-2 (АМ-38)</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2B070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45E5BD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195,65</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9A77A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490397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201,9</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29CD61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473034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203</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1F533F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202</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57C056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w:t>
            </w:r>
          </w:p>
        </w:tc>
      </w:tr>
      <w:tr w:rsidR="009B487A" w:rsidRPr="00722885" w14:paraId="63FB94C0" w14:textId="77777777" w:rsidTr="00CC5360">
        <w:trPr>
          <w:gridAfter w:val="1"/>
          <w:wAfter w:w="13" w:type="dxa"/>
          <w:trHeight w:val="221"/>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0F264C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w:t>
            </w:r>
          </w:p>
        </w:tc>
        <w:tc>
          <w:tcPr>
            <w:tcW w:w="610" w:type="dxa"/>
            <w:tcBorders>
              <w:top w:val="single" w:sz="6" w:space="0" w:color="auto"/>
              <w:left w:val="single" w:sz="6" w:space="0" w:color="auto"/>
              <w:bottom w:val="nil"/>
              <w:right w:val="single" w:sz="6" w:space="0" w:color="auto"/>
            </w:tcBorders>
            <w:shd w:val="clear" w:color="auto" w:fill="FFFFFF"/>
          </w:tcPr>
          <w:p w14:paraId="4B5BC3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Пе-2 (2М- 105Р)</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1A6DF6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437,3</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079CFA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339,1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C514D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344,1</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46217C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351</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0DA1A1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0CCCA2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353</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218256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359</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202FC7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365</w:t>
            </w:r>
          </w:p>
        </w:tc>
      </w:tr>
      <w:tr w:rsidR="009B487A" w:rsidRPr="00722885" w14:paraId="1FF2AB0B" w14:textId="77777777" w:rsidTr="00CC5360">
        <w:trPr>
          <w:gridAfter w:val="1"/>
          <w:wAfter w:w="13" w:type="dxa"/>
          <w:trHeight w:val="221"/>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458673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w:t>
            </w:r>
          </w:p>
        </w:tc>
        <w:tc>
          <w:tcPr>
            <w:tcW w:w="610" w:type="dxa"/>
            <w:tcBorders>
              <w:top w:val="nil"/>
              <w:left w:val="single" w:sz="6" w:space="0" w:color="auto"/>
              <w:bottom w:val="single" w:sz="6" w:space="0" w:color="auto"/>
              <w:right w:val="single" w:sz="6" w:space="0" w:color="auto"/>
            </w:tcBorders>
            <w:shd w:val="clear" w:color="auto" w:fill="FFFFFF"/>
          </w:tcPr>
          <w:p w14:paraId="521A0D55"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4C7E65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280C71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421,2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074C4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425,2</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1AA005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443,3</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07FC13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6C8B3E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438</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34EABA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442</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2C003B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460</w:t>
            </w:r>
          </w:p>
        </w:tc>
      </w:tr>
      <w:tr w:rsidR="009B487A" w:rsidRPr="00722885" w14:paraId="0104ADF3" w14:textId="77777777" w:rsidTr="00CC5360">
        <w:trPr>
          <w:gridAfter w:val="1"/>
          <w:wAfter w:w="13" w:type="dxa"/>
          <w:trHeight w:val="605"/>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3B987E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432C18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ПС-84 (2М- 62ИР)</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A37BC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17418D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463,4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8E8F7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478,6</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2C62BB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504,8*</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62C8A8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46E616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482</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03F3A4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498</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35044C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525</w:t>
            </w:r>
          </w:p>
        </w:tc>
      </w:tr>
      <w:tr w:rsidR="009B487A" w:rsidRPr="00722885" w14:paraId="6AB3F75E" w14:textId="77777777" w:rsidTr="00CC5360">
        <w:trPr>
          <w:gridAfter w:val="1"/>
          <w:wAfter w:w="13" w:type="dxa"/>
          <w:trHeight w:val="408"/>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2B91EE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187AC9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ДБ-Зф (2М-88)</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399FBC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692</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401BEB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A2334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475,5</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039A2B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557,7</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4C94785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76D99F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468</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15D697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495</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6474AA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580</w:t>
            </w:r>
          </w:p>
        </w:tc>
      </w:tr>
      <w:tr w:rsidR="009B487A" w:rsidRPr="00722885" w14:paraId="1A5010D1" w14:textId="77777777" w:rsidTr="00CC5360">
        <w:trPr>
          <w:gridAfter w:val="1"/>
          <w:wAfter w:w="13" w:type="dxa"/>
          <w:trHeight w:val="226"/>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1525D2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66F9FA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М-105Р</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1EFB81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84,5</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31A1C4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43,83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5F7D8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43,8</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0477A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48,1</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412F1B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4741E1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45,5</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456258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68D6FA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r>
      <w:tr w:rsidR="009B487A" w:rsidRPr="00722885" w14:paraId="05CA9DCA" w14:textId="77777777" w:rsidTr="00CC5360">
        <w:trPr>
          <w:gridAfter w:val="1"/>
          <w:wAfter w:w="13" w:type="dxa"/>
          <w:trHeight w:val="240"/>
        </w:trPr>
        <w:tc>
          <w:tcPr>
            <w:tcW w:w="538" w:type="dxa"/>
            <w:tcBorders>
              <w:top w:val="single" w:sz="6" w:space="0" w:color="auto"/>
              <w:left w:val="single" w:sz="6" w:space="0" w:color="auto"/>
              <w:bottom w:val="single" w:sz="6" w:space="0" w:color="auto"/>
              <w:right w:val="single" w:sz="6" w:space="0" w:color="auto"/>
            </w:tcBorders>
            <w:shd w:val="clear" w:color="auto" w:fill="FFFFFF"/>
          </w:tcPr>
          <w:p w14:paraId="0CA1D0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36C9CA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М-82</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766A42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95,5</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659381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52,98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6D949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95,77</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8F40C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55,8</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05892F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83</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7AE2E0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6CBA60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451D08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w:t>
            </w:r>
          </w:p>
        </w:tc>
      </w:tr>
      <w:tr w:rsidR="009B487A" w:rsidRPr="00722885" w14:paraId="55FCCBDE" w14:textId="77777777" w:rsidTr="00CC5360">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4913F14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1D1CE3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М-63ИР</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784404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6477E8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31Д5</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70F6AD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32,69</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55825B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32,7</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4F27E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65EB40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32,7</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0D1C05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07189A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w:t>
            </w:r>
          </w:p>
        </w:tc>
      </w:tr>
      <w:tr w:rsidR="009B487A" w:rsidRPr="00722885" w14:paraId="2C6A6DA6" w14:textId="77777777" w:rsidTr="00CC5360">
        <w:trPr>
          <w:trHeight w:val="226"/>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5E25E5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6EF3A7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АМ-38</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146C7A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56,6</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20AA9E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44,9</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C803D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44^3</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6EB829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A2DAB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3511EE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46,7</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0BFF7D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636B74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tc>
      </w:tr>
      <w:tr w:rsidR="009B487A" w:rsidRPr="00722885" w14:paraId="3F77C645" w14:textId="77777777" w:rsidTr="00CC5360">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09FD3D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533B28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М-105П</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1F9AAC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0BEAC9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34,96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94A26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34,8</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CA4E0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C520A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127C94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363</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505158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5BAE0E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r>
      <w:tr w:rsidR="009B487A" w:rsidRPr="00722885" w14:paraId="1BA0B8F0" w14:textId="77777777" w:rsidTr="00CC5360">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70FE10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5DCF74A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М-88Б</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7ABB17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57,6</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76941F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42,78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B809C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43,1</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000716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AFDBA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62E597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44,5</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1CEB4D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0A0FCF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w:t>
            </w:r>
          </w:p>
        </w:tc>
      </w:tr>
      <w:tr w:rsidR="009B487A" w:rsidRPr="00722885" w14:paraId="6E31DFF0" w14:textId="77777777" w:rsidTr="00CC5360">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7FE382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154</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561885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М-11</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05C3A6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10,9</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3DD758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97135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8,65</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571564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8,7</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AC899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2CB8E1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4BA2E1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42BD2B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w:t>
            </w:r>
          </w:p>
        </w:tc>
      </w:tr>
      <w:tr w:rsidR="009B487A" w:rsidRPr="00722885" w14:paraId="38C46BA0" w14:textId="77777777" w:rsidTr="00CC5360">
        <w:trPr>
          <w:trHeight w:val="432"/>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0A68ED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766396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ГАМ- 34БС</w:t>
            </w:r>
          </w:p>
        </w:tc>
        <w:tc>
          <w:tcPr>
            <w:tcW w:w="504" w:type="dxa"/>
            <w:tcBorders>
              <w:top w:val="single" w:sz="6" w:space="0" w:color="auto"/>
              <w:left w:val="single" w:sz="6" w:space="0" w:color="auto"/>
              <w:bottom w:val="single" w:sz="6" w:space="0" w:color="auto"/>
              <w:right w:val="single" w:sz="6" w:space="0" w:color="auto"/>
            </w:tcBorders>
            <w:shd w:val="clear" w:color="auto" w:fill="FFFFFF"/>
          </w:tcPr>
          <w:p w14:paraId="659696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46,29</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5D196C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38,37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3597C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38,46</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0B0A4A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4E201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0D5C0CC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614" w:type="dxa"/>
            <w:tcBorders>
              <w:top w:val="single" w:sz="6" w:space="0" w:color="auto"/>
              <w:left w:val="single" w:sz="6" w:space="0" w:color="auto"/>
              <w:bottom w:val="single" w:sz="6" w:space="0" w:color="auto"/>
              <w:right w:val="single" w:sz="6" w:space="0" w:color="auto"/>
            </w:tcBorders>
            <w:shd w:val="clear" w:color="auto" w:fill="FFFFFF"/>
          </w:tcPr>
          <w:p w14:paraId="1F640C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w:t>
            </w:r>
          </w:p>
        </w:tc>
        <w:tc>
          <w:tcPr>
            <w:tcW w:w="542" w:type="dxa"/>
            <w:gridSpan w:val="2"/>
            <w:tcBorders>
              <w:top w:val="single" w:sz="6" w:space="0" w:color="auto"/>
              <w:left w:val="single" w:sz="6" w:space="0" w:color="auto"/>
              <w:bottom w:val="single" w:sz="6" w:space="0" w:color="auto"/>
              <w:right w:val="single" w:sz="6" w:space="0" w:color="auto"/>
            </w:tcBorders>
            <w:shd w:val="clear" w:color="auto" w:fill="FFFFFF"/>
          </w:tcPr>
          <w:p w14:paraId="5C40B0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w:t>
            </w:r>
            <w:r w:rsidRPr="00722885">
              <w:rPr>
                <w:rFonts w:ascii="Times New Roman" w:hAnsi="Times New Roman"/>
                <w:smallCaps/>
                <w:color w:val="000000" w:themeColor="text1"/>
                <w:sz w:val="16"/>
                <w:szCs w:val="16"/>
              </w:rPr>
              <w:t>а</w:t>
            </w:r>
          </w:p>
        </w:tc>
      </w:tr>
    </w:tbl>
    <w:p w14:paraId="6261A4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 вооружением (так в тексте).</w:t>
      </w:r>
    </w:p>
    <w:p w14:paraId="56FF17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**Без вооруженна (так в тексте) (12011).</w:t>
      </w:r>
    </w:p>
    <w:p w14:paraId="133DA85E" w14:textId="77777777" w:rsidR="00BB6316" w:rsidRPr="00722885" w:rsidRDefault="00BB6316" w:rsidP="00722885">
      <w:pPr>
        <w:tabs>
          <w:tab w:val="left" w:pos="296"/>
        </w:tabs>
        <w:spacing w:after="0" w:line="240" w:lineRule="auto"/>
        <w:jc w:val="both"/>
        <w:rPr>
          <w:rFonts w:ascii="Times New Roman" w:hAnsi="Times New Roman"/>
          <w:color w:val="000000" w:themeColor="text1"/>
          <w:sz w:val="16"/>
          <w:szCs w:val="16"/>
        </w:rPr>
      </w:pPr>
    </w:p>
    <w:p w14:paraId="3F70CC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1942 была подготовлена «Калькуляция се</w:t>
      </w:r>
      <w:r w:rsidRPr="00722885">
        <w:rPr>
          <w:rFonts w:ascii="Times New Roman" w:hAnsi="Times New Roman"/>
          <w:color w:val="000000" w:themeColor="text1"/>
          <w:sz w:val="16"/>
          <w:szCs w:val="16"/>
        </w:rPr>
        <w:softHyphen/>
        <w:t>бестоимости самолётов» (см. прил. 8). Из таблицы видно, что главными слагаемыми себестоимости при производстве самолётов были «покупные изделия»—то есть комплектующие, поступающие со стороны. Эта статья составляла в лучшем случае около 20 % себестоимо</w:t>
      </w:r>
      <w:r w:rsidRPr="00722885">
        <w:rPr>
          <w:rFonts w:ascii="Times New Roman" w:hAnsi="Times New Roman"/>
          <w:color w:val="000000" w:themeColor="text1"/>
          <w:sz w:val="16"/>
          <w:szCs w:val="16"/>
        </w:rPr>
        <w:softHyphen/>
        <w:t>сти самолёта, но могла подниматься и до 50—60 %. На втором месте, как правило, шли затраты на приобретение материалов и полуфабрикатов (порядка 20—30 % себестоимости). Но на не</w:t>
      </w:r>
      <w:r w:rsidRPr="00722885">
        <w:rPr>
          <w:rFonts w:ascii="Times New Roman" w:hAnsi="Times New Roman"/>
          <w:color w:val="000000" w:themeColor="text1"/>
          <w:sz w:val="16"/>
          <w:szCs w:val="16"/>
        </w:rPr>
        <w:softHyphen/>
        <w:t>которых заводах (см., например, калькуляцию ЛаГГ-3 на заводе № 31 или Як-7 на заводе № 153) на второе место выходили цехо</w:t>
      </w:r>
      <w:r w:rsidRPr="00722885">
        <w:rPr>
          <w:rFonts w:ascii="Times New Roman" w:hAnsi="Times New Roman"/>
          <w:color w:val="000000" w:themeColor="text1"/>
          <w:sz w:val="16"/>
          <w:szCs w:val="16"/>
        </w:rPr>
        <w:softHyphen/>
        <w:t>вые расходы, включавшие в себя расходы на охрану труда и ком</w:t>
      </w:r>
      <w:r w:rsidRPr="00722885">
        <w:rPr>
          <w:rFonts w:ascii="Times New Roman" w:hAnsi="Times New Roman"/>
          <w:color w:val="000000" w:themeColor="text1"/>
          <w:sz w:val="16"/>
          <w:szCs w:val="16"/>
        </w:rPr>
        <w:softHyphen/>
        <w:t>пенсацию износа быстроизнашивающегося инвентаря, а также содержание зданий и инвентаря цехового назначения. Таким об</w:t>
      </w:r>
      <w:r w:rsidRPr="00722885">
        <w:rPr>
          <w:rFonts w:ascii="Times New Roman" w:hAnsi="Times New Roman"/>
          <w:color w:val="000000" w:themeColor="text1"/>
          <w:sz w:val="16"/>
          <w:szCs w:val="16"/>
        </w:rPr>
        <w:softHyphen/>
        <w:t>разом, следует признать, что собственно зарплата сотрудников в 1941—1942 гг. не играла существенной роли для формирования себестоимости самолётов, на её долю приходилось в среднем от 9 до 13 %. В отношении производства моторов картина была ещё более шаблонна: примерно по трети суммы себестоимости приходилось на материалы и цеховые расходы и около 10 % — на зарплату. Интересно, что в 1941—1942 гг. потери от брака в производстве самолётов составляли в среднем, за вычетом явно аномального уровня брака на производстве Ил-2 на заводе № 18, около 0,7 %. Для производства авиамоторов этот показатель со</w:t>
      </w:r>
      <w:r w:rsidRPr="00722885">
        <w:rPr>
          <w:rFonts w:ascii="Times New Roman" w:hAnsi="Times New Roman"/>
          <w:color w:val="000000" w:themeColor="text1"/>
          <w:sz w:val="16"/>
          <w:szCs w:val="16"/>
        </w:rPr>
        <w:softHyphen/>
        <w:t>ответствовал 6,5 %.</w:t>
      </w:r>
    </w:p>
    <w:p w14:paraId="655AA1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Калькуляция себестоимости самолётов (тыс. руб.) (Данные за 1941 г. —РГАЭ. Ф. 8044. </w:t>
      </w:r>
      <w:r w:rsidRPr="00722885">
        <w:rPr>
          <w:rFonts w:ascii="Times New Roman" w:hAnsi="Times New Roman"/>
          <w:color w:val="000000" w:themeColor="text1"/>
          <w:sz w:val="16"/>
          <w:szCs w:val="16"/>
          <w:lang w:val="en-US"/>
        </w:rPr>
        <w:t xml:space="preserve">On. </w:t>
      </w:r>
      <w:r w:rsidRPr="00722885">
        <w:rPr>
          <w:rFonts w:ascii="Times New Roman" w:hAnsi="Times New Roman"/>
          <w:color w:val="000000" w:themeColor="text1"/>
          <w:sz w:val="16"/>
          <w:szCs w:val="16"/>
        </w:rPr>
        <w:t>1. Д. 2831. Л. 1—21.; за 1942 г. — там же, Д. 2830. Л. 250.; Д. 2906. Л. 30—36.)</w:t>
      </w:r>
    </w:p>
    <w:tbl>
      <w:tblPr>
        <w:tblW w:w="0" w:type="auto"/>
        <w:tblInd w:w="8" w:type="dxa"/>
        <w:tblLayout w:type="fixed"/>
        <w:tblCellMar>
          <w:left w:w="0" w:type="dxa"/>
          <w:right w:w="0" w:type="dxa"/>
        </w:tblCellMar>
        <w:tblLook w:val="0000" w:firstRow="0" w:lastRow="0" w:firstColumn="0" w:lastColumn="0" w:noHBand="0" w:noVBand="0"/>
      </w:tblPr>
      <w:tblGrid>
        <w:gridCol w:w="1701"/>
        <w:gridCol w:w="567"/>
        <w:gridCol w:w="426"/>
        <w:gridCol w:w="425"/>
        <w:gridCol w:w="425"/>
        <w:gridCol w:w="425"/>
        <w:gridCol w:w="16"/>
        <w:gridCol w:w="410"/>
        <w:gridCol w:w="425"/>
        <w:gridCol w:w="425"/>
        <w:gridCol w:w="567"/>
        <w:gridCol w:w="567"/>
      </w:tblGrid>
      <w:tr w:rsidR="009B487A" w:rsidRPr="00722885" w14:paraId="72B50C7E" w14:textId="77777777" w:rsidTr="00CC5360">
        <w:trPr>
          <w:trHeight w:val="1728"/>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104E54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3DC15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Материалы и полуфабрикаты</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D2B17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Зарплата</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922F7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Цеховые расходы</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D8835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Специальные расходы</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D8BA9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Испытания и прочие расходы</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7203282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Расходы по упаковке</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E28B4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Общезаводские расходы</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A995D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Потери от брака</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8A17F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Покупные изделия</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6B682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Заводская себестоимость</w:t>
            </w:r>
          </w:p>
        </w:tc>
      </w:tr>
      <w:tr w:rsidR="009B487A" w:rsidRPr="00722885" w14:paraId="653CA365" w14:textId="77777777" w:rsidTr="00CC5360">
        <w:trPr>
          <w:trHeight w:val="48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26AD39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Як-7 по заводу № 82 за октябрь 1942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E88B9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108,93</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3E30AA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04FF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6CF02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EA39C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05B3AF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0,04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95ACF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BCFEB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0,29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29248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49,24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0FC2C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203,12</w:t>
            </w:r>
          </w:p>
        </w:tc>
      </w:tr>
      <w:tr w:rsidR="009B487A" w:rsidRPr="00722885" w14:paraId="6882D988" w14:textId="77777777" w:rsidTr="00CC5360">
        <w:trPr>
          <w:trHeight w:val="48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2554B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Як-7 по заводу № 82 сред</w:t>
            </w:r>
            <w:r w:rsidRPr="00722885">
              <w:rPr>
                <w:rFonts w:ascii="Times New Roman" w:hAnsi="Times New Roman"/>
                <w:color w:val="000000" w:themeColor="text1"/>
                <w:sz w:val="16"/>
                <w:szCs w:val="16"/>
              </w:rPr>
              <w:softHyphen/>
              <w:t>негодовая за 1942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D417C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10,41</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543FFD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12,97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5F757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40,23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EBF5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32590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0,25</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431ACF1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0,39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686C2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17,41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AEA18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0,82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1AB0A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146,51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9B2B9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238,99</w:t>
            </w:r>
          </w:p>
        </w:tc>
      </w:tr>
      <w:tr w:rsidR="009B487A" w:rsidRPr="00722885" w14:paraId="63FE89D4" w14:textId="77777777" w:rsidTr="00CC5360">
        <w:trPr>
          <w:trHeight w:val="653"/>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7EE030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ЛАГГ-3 по заводу № 21 среднегодовая за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9B2FA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38,26</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624D18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26,49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2A9AC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33,41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23ECC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4Д8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E48A2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0Л</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037F78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0,23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C4046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11,94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8E582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0,75</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7C355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80,6</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BC15C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196,29</w:t>
            </w:r>
          </w:p>
        </w:tc>
      </w:tr>
      <w:tr w:rsidR="009B487A" w:rsidRPr="00722885" w14:paraId="613B4C43" w14:textId="77777777" w:rsidTr="00CC5360">
        <w:trPr>
          <w:trHeight w:val="509"/>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6FA69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Ла-5 по заводу № 21 сред</w:t>
            </w:r>
            <w:r w:rsidRPr="00722885">
              <w:rPr>
                <w:rFonts w:ascii="Times New Roman" w:hAnsi="Times New Roman"/>
                <w:color w:val="000000" w:themeColor="text1"/>
                <w:sz w:val="16"/>
                <w:szCs w:val="16"/>
              </w:rPr>
              <w:softHyphen/>
              <w:t>негодовая за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F9BF1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26,41</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5C852D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14,91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C26E4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24,39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B26FD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1E943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0,74</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0CC783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D076E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37B3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0,84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0DE8B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49EF57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122,54</w:t>
            </w:r>
          </w:p>
        </w:tc>
      </w:tr>
      <w:tr w:rsidR="009B487A" w:rsidRPr="00722885" w14:paraId="0CBE8BBF"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AE9A0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ЛаГТ-3 по заводу № 31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2FBE1E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52,52</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BAA6D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32,37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445B3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91,61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1130E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3180C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0,95</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1C9B6F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20A05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59,19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57014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7C47C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 Я</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27D761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372,54</w:t>
            </w:r>
          </w:p>
        </w:tc>
      </w:tr>
      <w:tr w:rsidR="009B487A" w:rsidRPr="00722885" w14:paraId="079AB96D"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0503CD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ЛаГГ-3 по заводу № 153 среднегодовая за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DFE83C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40,32</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81390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35,94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18F62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57,52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4B5F8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40DB0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6C3B4EA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A44CA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29,36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C1DA5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85790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114,09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246223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288,7</w:t>
            </w:r>
          </w:p>
        </w:tc>
      </w:tr>
      <w:tr w:rsidR="009B487A" w:rsidRPr="00722885" w14:paraId="569625BD"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5C835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Як-7 по заводу № 153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CB4BF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23,26</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3D2655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2A9F2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CC9EA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92D79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0,72</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6094DD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0,24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9FE16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12,43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3B6D5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0,76</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8179D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39,51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CF2B8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133,25</w:t>
            </w:r>
          </w:p>
        </w:tc>
      </w:tr>
      <w:tr w:rsidR="009B487A" w:rsidRPr="00722885" w14:paraId="30A70E98"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93298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Як-1 по заводу № 292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51071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28,25</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62EBFF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23,56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2BD51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31,06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3ED06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71E41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1ECE1F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49757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16,81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CF3AD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1,37</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B52B8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51,49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F7618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158,25</w:t>
            </w:r>
          </w:p>
        </w:tc>
      </w:tr>
      <w:tr w:rsidR="009B487A" w:rsidRPr="00722885" w14:paraId="4F7C7C72"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13E7B6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Як-1 по заводу № 292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B526D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20,99</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642D75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13,53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EFE55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17,65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E21E7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5B59D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0,18</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1369D7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E8218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6,75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FE644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FD607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30,56</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0F12D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93,96</w:t>
            </w:r>
          </w:p>
        </w:tc>
      </w:tr>
      <w:tr w:rsidR="009B487A" w:rsidRPr="00722885" w14:paraId="2173F8E5" w14:textId="77777777" w:rsidTr="00CC5360">
        <w:trPr>
          <w:trHeight w:val="413"/>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75BF11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Ил-2 по заводу № 18 сред</w:t>
            </w:r>
            <w:r w:rsidRPr="00722885">
              <w:rPr>
                <w:rFonts w:ascii="Times New Roman" w:hAnsi="Times New Roman"/>
                <w:color w:val="000000" w:themeColor="text1"/>
                <w:sz w:val="16"/>
                <w:szCs w:val="16"/>
              </w:rPr>
              <w:softHyphen/>
              <w:t>негодовая за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E20B7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33, </w:t>
            </w:r>
            <w:r w:rsidRPr="00722885">
              <w:rPr>
                <w:rFonts w:ascii="Times New Roman" w:hAnsi="Times New Roman"/>
                <w:color w:val="000000" w:themeColor="text1"/>
                <w:sz w:val="16"/>
                <w:szCs w:val="16"/>
                <w:lang w:val="en-US"/>
              </w:rPr>
              <w:t>S</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081D24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23,25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11BB9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26,84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F9BE87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6,75</w:t>
            </w:r>
          </w:p>
        </w:tc>
        <w:tc>
          <w:tcPr>
            <w:tcW w:w="851" w:type="dxa"/>
            <w:gridSpan w:val="3"/>
            <w:tcBorders>
              <w:top w:val="single" w:sz="6" w:space="0" w:color="auto"/>
              <w:left w:val="single" w:sz="6" w:space="0" w:color="auto"/>
              <w:bottom w:val="single" w:sz="6" w:space="0" w:color="auto"/>
              <w:right w:val="single" w:sz="6" w:space="0" w:color="auto"/>
            </w:tcBorders>
            <w:shd w:val="clear" w:color="auto" w:fill="FFFFFF"/>
          </w:tcPr>
          <w:p w14:paraId="1B31CD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0,91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093A7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B9D87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0,39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55430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130,97</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9E7EC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231,16</w:t>
            </w:r>
          </w:p>
        </w:tc>
      </w:tr>
      <w:tr w:rsidR="009B487A" w:rsidRPr="00722885" w14:paraId="37DA18FB" w14:textId="77777777" w:rsidTr="00CC5360">
        <w:trPr>
          <w:trHeight w:val="619"/>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792038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Ил-2 (2-местн.) по заводу № 18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4178E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26,85</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6BC1C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21,29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98E3D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0CFAD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A444E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397815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ECA76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6,67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82243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594AB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81,88</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386DD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172,05</w:t>
            </w:r>
          </w:p>
        </w:tc>
      </w:tr>
      <w:tr w:rsidR="009B487A" w:rsidRPr="00722885" w14:paraId="4DD7A731" w14:textId="77777777" w:rsidTr="00CC5360">
        <w:trPr>
          <w:trHeight w:val="662"/>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44FD1A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Ил-2 (2-местн.) по заводу № 30 средисгодова!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CFF6D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40,78</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E190B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32,36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1E9E0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57,54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451A5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B4EDA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7B2656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VI</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8CEDB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17,12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2C7D5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4,08</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751CB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79,15</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27ED18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246,03</w:t>
            </w:r>
          </w:p>
        </w:tc>
      </w:tr>
      <w:tr w:rsidR="009B487A" w:rsidRPr="00722885" w14:paraId="256D1930" w14:textId="77777777" w:rsidTr="00CC5360">
        <w:trPr>
          <w:trHeight w:val="672"/>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535EB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Ил-2 (2-местн.) по заводу № 1 среднегодовиза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09A57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31,01</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1C1C2D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18,15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01903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26,28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A9AD7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37AB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4FB040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7AC77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6,89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E5EDC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84D347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74,67</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4E30C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166,89</w:t>
            </w:r>
          </w:p>
        </w:tc>
      </w:tr>
      <w:tr w:rsidR="009B487A" w:rsidRPr="00722885" w14:paraId="6A3A1EE6" w14:textId="77777777" w:rsidTr="00CC5360">
        <w:trPr>
          <w:trHeight w:val="456"/>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56C0E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Пс-2 по заводу №22 за второе полугодие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D72F4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81,53</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3E10DDA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86,04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813C4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80,44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971DF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17,91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0A030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5C808A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A52CF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42,66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5FE98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31DE6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179,38</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D1ADA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475,05</w:t>
            </w:r>
          </w:p>
        </w:tc>
      </w:tr>
      <w:tr w:rsidR="009B487A" w:rsidRPr="00722885" w14:paraId="61ED525D" w14:textId="77777777" w:rsidTr="00CC5360">
        <w:trPr>
          <w:trHeight w:val="466"/>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2C04A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Пе-2 по заводу № 22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5EB6E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76,94</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40A6E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34,92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F46DB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48,89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C5E54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9E703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0,32</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5E6BE7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AB6F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17,56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7DD22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975D4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111,46</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864E6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3064</w:t>
            </w:r>
          </w:p>
        </w:tc>
      </w:tr>
      <w:tr w:rsidR="009B487A" w:rsidRPr="00722885" w14:paraId="27901941" w14:textId="77777777" w:rsidTr="00CC5360">
        <w:trPr>
          <w:trHeight w:val="658"/>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87D9A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ПС-84 по заводу № 84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5AC064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378B4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8C081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C30CF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7867A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3D0541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DBC2F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766AE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93EE3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118</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CBA71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558</w:t>
            </w:r>
          </w:p>
        </w:tc>
      </w:tr>
      <w:tr w:rsidR="009B487A" w:rsidRPr="00722885" w14:paraId="58A43969"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E258D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ПС-84 по заводу № 84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1A146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125,84</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030747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53,48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958F4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84,84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4B845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18,18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C5A61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125F17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50DD4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58,48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E96FE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19FA4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97,11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4825F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438,93</w:t>
            </w:r>
          </w:p>
        </w:tc>
      </w:tr>
      <w:tr w:rsidR="009B487A" w:rsidRPr="00722885" w14:paraId="31BAFEC7" w14:textId="77777777" w:rsidTr="00CC5360">
        <w:trPr>
          <w:trHeight w:val="59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2F3B5D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Ил-4 по заводу № 126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38716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75,9</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4085E1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B24E5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152,1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7A3C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976C6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6CBCA15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B866C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EF212C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7C761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129,4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6E95D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6</w:t>
            </w:r>
            <w:r w:rsidRPr="00722885">
              <w:rPr>
                <w:rFonts w:ascii="Times New Roman" w:hAnsi="Times New Roman"/>
                <w:color w:val="000000" w:themeColor="text1"/>
                <w:sz w:val="16"/>
                <w:szCs w:val="16"/>
              </w:rPr>
              <w:t>84,4</w:t>
            </w:r>
          </w:p>
        </w:tc>
      </w:tr>
      <w:tr w:rsidR="009B487A" w:rsidRPr="00722885" w14:paraId="2664B9DF"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6DCCDE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Ил-4 по заводу № 126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789558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94,52</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1AA2A1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49,89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2C41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110,62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8DE2F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10,56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EDBB5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4DE19C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34C21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38,62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ABB98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9CE1E89"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37624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404,46</w:t>
            </w:r>
          </w:p>
        </w:tc>
      </w:tr>
      <w:tr w:rsidR="009B487A" w:rsidRPr="00722885" w14:paraId="6574A2DE"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013B5D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-105</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 xml:space="preserve"> по заводу № 16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D7FE2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254</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0E2AD0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B888B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27,19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0634A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C2A5A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5FDD43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666D4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1FF03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4,48</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F3B30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CAF20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79,22</w:t>
            </w:r>
          </w:p>
        </w:tc>
      </w:tr>
      <w:tr w:rsidR="009B487A" w:rsidRPr="00722885" w14:paraId="3DF35797"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46990F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М-105ПФ по заводу № 16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8EB7D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22,94</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D44AEC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EF1FB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27,08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45417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9248A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29D0C5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935A2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9B57F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5,42</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2F6B5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D95FC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69,95</w:t>
            </w:r>
          </w:p>
        </w:tc>
      </w:tr>
      <w:tr w:rsidR="009B487A" w:rsidRPr="00722885" w14:paraId="5D4FC60E"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B73FF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М-105ПФ по заводу № 26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C2405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18,45</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3CEE63C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0769C8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18,46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602C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19456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12BB69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AC82E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CAABF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3,49</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2D91D2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E3B8A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49,87</w:t>
            </w:r>
          </w:p>
        </w:tc>
      </w:tr>
      <w:tr w:rsidR="009B487A" w:rsidRPr="00722885" w14:paraId="2F037CFE"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86DDF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М-105ПФ по заводу №466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A15B8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29,33</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E6232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83B43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24,44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4941A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6,81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0C2F6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427D8B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5648D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D9CA65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12.23</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DA5B4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91D2A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86,91</w:t>
            </w:r>
          </w:p>
        </w:tc>
      </w:tr>
      <w:tr w:rsidR="009B487A" w:rsidRPr="00722885" w14:paraId="186D72E3" w14:textId="77777777" w:rsidTr="00CC5360">
        <w:trPr>
          <w:trHeight w:val="432"/>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3DEE2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М-105П по заводу №19 за сентябрь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8922A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6A8357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BD1BB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81F70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92B0E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0,4</w:t>
            </w:r>
          </w:p>
        </w:tc>
        <w:tc>
          <w:tcPr>
            <w:tcW w:w="426" w:type="dxa"/>
            <w:gridSpan w:val="2"/>
            <w:tcBorders>
              <w:top w:val="single" w:sz="6" w:space="0" w:color="auto"/>
              <w:left w:val="single" w:sz="6" w:space="0" w:color="auto"/>
              <w:bottom w:val="single" w:sz="6" w:space="0" w:color="auto"/>
              <w:right w:val="single" w:sz="6" w:space="0" w:color="auto"/>
            </w:tcBorders>
            <w:shd w:val="clear" w:color="auto" w:fill="FFFFFF"/>
          </w:tcPr>
          <w:p w14:paraId="03E877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0,36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84449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w</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EC352B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1,43</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64913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C76E6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37,81</w:t>
            </w:r>
          </w:p>
        </w:tc>
      </w:tr>
      <w:tr w:rsidR="009B487A" w:rsidRPr="00722885" w14:paraId="622491FA"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9DD25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М-82 по заводу № 19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73ED46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38,37</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0B2BD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41046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26,83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F7096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4,13</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2D58D3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43B8FA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A5CB9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24B37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4,57</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A8CB3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2E0B8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94,43</w:t>
            </w:r>
          </w:p>
        </w:tc>
      </w:tr>
      <w:tr w:rsidR="009B487A" w:rsidRPr="00722885" w14:paraId="79220E43"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300111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М-82 по заводу № 19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3FB6C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28,17</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4F7C07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42AAC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18,41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42D20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6248DA2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1FE545E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9B7C3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9CB47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3,37</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67533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95125C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62,36</w:t>
            </w:r>
          </w:p>
        </w:tc>
      </w:tr>
      <w:tr w:rsidR="009B487A" w:rsidRPr="00722885" w14:paraId="647CA4EB"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2A8A268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М-62ИР по заводу № 19 среднегодовая за 1941г.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0F53B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21,05</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2B07B0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0FCF0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13,84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2A06A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3F31E9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1,57</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78DA75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FCA87C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7C900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52B6C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DE77B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49,53</w:t>
            </w:r>
          </w:p>
        </w:tc>
      </w:tr>
      <w:tr w:rsidR="009B487A" w:rsidRPr="00722885" w14:paraId="22C3ADCC" w14:textId="77777777" w:rsidTr="00CC5360">
        <w:trPr>
          <w:trHeight w:val="413"/>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1CCFC8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АМ-38 по заводу № 24 за август 1941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A4E9D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26,89</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64F35E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783855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B9FFF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3,44</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042AEB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7DA653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0,52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0DB388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514EB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2,03</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2EAD10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05F4A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53,13</w:t>
            </w:r>
          </w:p>
        </w:tc>
      </w:tr>
      <w:tr w:rsidR="009B487A" w:rsidRPr="00722885" w14:paraId="0601DE86"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47EF43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АМ-38Ф по заводу № 24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0F2D2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20,9</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3E9293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82537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15,19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6D604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7,15</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3B7B3B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0197F0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0,17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CEF49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2D483E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3,35</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DD4F3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D9C08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55,56</w:t>
            </w:r>
          </w:p>
        </w:tc>
      </w:tr>
      <w:tr w:rsidR="009B487A" w:rsidRPr="00722885" w14:paraId="03FEA2BC" w14:textId="77777777" w:rsidTr="00CC5360">
        <w:trPr>
          <w:trHeight w:val="605"/>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10C27C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АМ-38 по заводу № 45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102DCD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23,55</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483193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0F079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49,11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46304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1,86</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35BD3B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3793A7A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69393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67B3E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11,63</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512B6D0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A01D9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108,47</w:t>
            </w:r>
          </w:p>
        </w:tc>
      </w:tr>
      <w:tr w:rsidR="009B487A" w:rsidRPr="00722885" w14:paraId="5A570183" w14:textId="77777777" w:rsidTr="00CC5360">
        <w:trPr>
          <w:trHeight w:val="600"/>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AB5B7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М-88Б по заводу № 29 среднегодовая за 1941с</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83A57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22,28</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413749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06F4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15,82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2F082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1,13</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5FD2AD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306152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0,84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0A1ABA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543E9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49595C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043AAE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56,61</w:t>
            </w:r>
          </w:p>
        </w:tc>
      </w:tr>
      <w:tr w:rsidR="009B487A" w:rsidRPr="00722885" w14:paraId="47752700" w14:textId="77777777" w:rsidTr="00CC5360">
        <w:trPr>
          <w:trHeight w:val="619"/>
        </w:trPr>
        <w:tc>
          <w:tcPr>
            <w:tcW w:w="1701" w:type="dxa"/>
            <w:tcBorders>
              <w:top w:val="single" w:sz="6" w:space="0" w:color="auto"/>
              <w:left w:val="single" w:sz="6" w:space="0" w:color="auto"/>
              <w:bottom w:val="single" w:sz="6" w:space="0" w:color="auto"/>
              <w:right w:val="single" w:sz="6" w:space="0" w:color="auto"/>
            </w:tcBorders>
            <w:shd w:val="clear" w:color="auto" w:fill="FFFFFF"/>
          </w:tcPr>
          <w:p w14:paraId="56E1D8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М-88Ф по заводу № 29 среднегодовая за 1942 г.</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14A04D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20,02</w:t>
            </w:r>
          </w:p>
        </w:tc>
        <w:tc>
          <w:tcPr>
            <w:tcW w:w="426" w:type="dxa"/>
            <w:tcBorders>
              <w:top w:val="single" w:sz="6" w:space="0" w:color="auto"/>
              <w:left w:val="single" w:sz="6" w:space="0" w:color="auto"/>
              <w:bottom w:val="single" w:sz="6" w:space="0" w:color="auto"/>
              <w:right w:val="single" w:sz="6" w:space="0" w:color="auto"/>
            </w:tcBorders>
            <w:shd w:val="clear" w:color="auto" w:fill="FFFFFF"/>
          </w:tcPr>
          <w:p w14:paraId="7FA92C9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82046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15,17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94F4E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1,09</w:t>
            </w:r>
          </w:p>
        </w:tc>
        <w:tc>
          <w:tcPr>
            <w:tcW w:w="441" w:type="dxa"/>
            <w:gridSpan w:val="2"/>
            <w:tcBorders>
              <w:top w:val="single" w:sz="6" w:space="0" w:color="auto"/>
              <w:left w:val="single" w:sz="6" w:space="0" w:color="auto"/>
              <w:bottom w:val="single" w:sz="6" w:space="0" w:color="auto"/>
              <w:right w:val="single" w:sz="6" w:space="0" w:color="auto"/>
            </w:tcBorders>
            <w:shd w:val="clear" w:color="auto" w:fill="FFFFFF"/>
          </w:tcPr>
          <w:p w14:paraId="62916C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shd w:val="clear" w:color="auto" w:fill="FFFFFF"/>
          </w:tcPr>
          <w:p w14:paraId="7FE9DF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A378E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3.67</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05DC3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813A3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46310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46,46</w:t>
            </w:r>
          </w:p>
        </w:tc>
      </w:tr>
    </w:tbl>
    <w:p w14:paraId="7465FA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vertAlign w:val="superscript"/>
        </w:rPr>
        <w:footnoteRef/>
      </w:r>
      <w:r w:rsidRPr="00722885">
        <w:rPr>
          <w:rFonts w:ascii="Times New Roman" w:hAnsi="Times New Roman"/>
          <w:color w:val="000000" w:themeColor="text1"/>
          <w:sz w:val="16"/>
          <w:szCs w:val="16"/>
        </w:rPr>
        <w:t xml:space="preserve"> В отчетных калькуляциях самолётов за 1941 г. есть статья «испытаниа», но нет статьи «прочее» (в калькуляциях моторов статья «прочее» встречается дважды); в калькуляциях 1942 г. — наоборот; есть статья «прочее», но нет статьи «испытания». В целях придания таблице удобочитаемой формы мы позво</w:t>
      </w:r>
      <w:r w:rsidRPr="00722885">
        <w:rPr>
          <w:rFonts w:ascii="Times New Roman" w:hAnsi="Times New Roman"/>
          <w:strike/>
          <w:color w:val="000000" w:themeColor="text1"/>
          <w:sz w:val="16"/>
          <w:szCs w:val="16"/>
        </w:rPr>
        <w:t>л</w:t>
      </w:r>
      <w:r w:rsidRPr="00722885">
        <w:rPr>
          <w:rFonts w:ascii="Times New Roman" w:hAnsi="Times New Roman"/>
          <w:color w:val="000000" w:themeColor="text1"/>
          <w:sz w:val="16"/>
          <w:szCs w:val="16"/>
        </w:rPr>
        <w:t>ил</w:t>
      </w:r>
      <w:r w:rsidRPr="00722885">
        <w:rPr>
          <w:rFonts w:ascii="Times New Roman" w:hAnsi="Times New Roman"/>
          <w:strike/>
          <w:color w:val="000000" w:themeColor="text1"/>
          <w:sz w:val="16"/>
          <w:szCs w:val="16"/>
        </w:rPr>
        <w:t>и</w:t>
      </w:r>
      <w:r w:rsidRPr="00722885">
        <w:rPr>
          <w:rFonts w:ascii="Times New Roman" w:hAnsi="Times New Roman"/>
          <w:color w:val="000000" w:themeColor="text1"/>
          <w:sz w:val="16"/>
          <w:szCs w:val="16"/>
        </w:rPr>
        <w:t xml:space="preserve"> себе объединить эта графы.</w:t>
      </w:r>
    </w:p>
    <w:p w14:paraId="07420F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vertAlign w:val="superscript"/>
        </w:rPr>
        <w:t xml:space="preserve">1 </w:t>
      </w:r>
      <w:r w:rsidRPr="00722885">
        <w:rPr>
          <w:rFonts w:ascii="Times New Roman" w:hAnsi="Times New Roman"/>
          <w:color w:val="000000" w:themeColor="text1"/>
          <w:sz w:val="16"/>
          <w:szCs w:val="16"/>
        </w:rPr>
        <w:t xml:space="preserve">В этой графе также учитывались средства, расходуемые на ремонт самолетов (см. РГАЭ. Ф. 8044. </w:t>
      </w:r>
      <w:r w:rsidRPr="00722885">
        <w:rPr>
          <w:rFonts w:ascii="Times New Roman" w:hAnsi="Times New Roman"/>
          <w:color w:val="000000" w:themeColor="text1"/>
          <w:sz w:val="16"/>
          <w:szCs w:val="16"/>
          <w:lang w:val="en-US"/>
        </w:rPr>
        <w:t>On</w:t>
      </w:r>
      <w:r w:rsidRPr="00722885">
        <w:rPr>
          <w:rFonts w:ascii="Times New Roman" w:hAnsi="Times New Roman"/>
          <w:color w:val="000000" w:themeColor="text1"/>
          <w:sz w:val="16"/>
          <w:szCs w:val="16"/>
        </w:rPr>
        <w:t>. 1. Д. 2906. Л. 61.).</w:t>
      </w:r>
    </w:p>
    <w:p w14:paraId="0C682C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vertAlign w:val="superscript"/>
        </w:rPr>
        <w:t>ш</w:t>
      </w:r>
      <w:r w:rsidRPr="00722885">
        <w:rPr>
          <w:rFonts w:ascii="Times New Roman" w:hAnsi="Times New Roman"/>
          <w:color w:val="000000" w:themeColor="text1"/>
          <w:sz w:val="16"/>
          <w:szCs w:val="16"/>
        </w:rPr>
        <w:t xml:space="preserve"> В таблице не упомянуты расходы в 5,2 тыс. руб. по постановке производства.</w:t>
      </w:r>
    </w:p>
    <w:p w14:paraId="13722F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 таблице не упомянуты расходы в 1,93 тыс. руб. «по постановке производ</w:t>
      </w:r>
      <w:r w:rsidRPr="00722885">
        <w:rPr>
          <w:rFonts w:ascii="Times New Roman" w:hAnsi="Times New Roman"/>
          <w:color w:val="000000" w:themeColor="text1"/>
          <w:sz w:val="16"/>
          <w:szCs w:val="16"/>
        </w:rPr>
        <w:softHyphen/>
        <w:t>ства».</w:t>
      </w:r>
    </w:p>
    <w:p w14:paraId="1E87CF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 таблице не упомянуты расходы в 0,1 тыс. руб. «по постановке производства» (12011).</w:t>
      </w:r>
    </w:p>
    <w:p w14:paraId="5B2A5D8D" w14:textId="77777777" w:rsidR="00BB6316" w:rsidRPr="00722885" w:rsidRDefault="00BB6316" w:rsidP="00722885">
      <w:pPr>
        <w:tabs>
          <w:tab w:val="left" w:pos="296"/>
        </w:tabs>
        <w:spacing w:after="0" w:line="240" w:lineRule="auto"/>
        <w:jc w:val="both"/>
        <w:rPr>
          <w:rFonts w:ascii="Times New Roman" w:hAnsi="Times New Roman"/>
          <w:color w:val="000000" w:themeColor="text1"/>
          <w:sz w:val="16"/>
          <w:szCs w:val="16"/>
        </w:rPr>
      </w:pPr>
    </w:p>
    <w:p w14:paraId="0353CA5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в авиационную про</w:t>
      </w:r>
      <w:r w:rsidRPr="00722885">
        <w:rPr>
          <w:rFonts w:ascii="Times New Roman" w:hAnsi="Times New Roman"/>
          <w:color w:val="000000" w:themeColor="text1"/>
          <w:sz w:val="16"/>
          <w:szCs w:val="16"/>
        </w:rPr>
        <w:softHyphen/>
        <w:t>мышленность поступило по мобилизации 58,7 тыс. человек (Больше в тот год было мобилизовано лишь в угольную промышлен</w:t>
      </w:r>
      <w:r w:rsidRPr="00722885">
        <w:rPr>
          <w:rFonts w:ascii="Times New Roman" w:hAnsi="Times New Roman"/>
          <w:color w:val="000000" w:themeColor="text1"/>
          <w:sz w:val="16"/>
          <w:szCs w:val="16"/>
        </w:rPr>
        <w:softHyphen/>
        <w:t>ность и чёрную металлургию). Более половины этого числа составили работники, мобилизованные на предприятия Поволжского авиакомплек</w:t>
      </w:r>
      <w:r w:rsidRPr="00722885">
        <w:rPr>
          <w:rFonts w:ascii="Times New Roman" w:hAnsi="Times New Roman"/>
          <w:color w:val="000000" w:themeColor="text1"/>
          <w:sz w:val="16"/>
          <w:szCs w:val="16"/>
        </w:rPr>
        <w:softHyphen/>
        <w:t>са (Цит. по:</w:t>
      </w:r>
      <w:r w:rsidRPr="00722885">
        <w:rPr>
          <w:rFonts w:ascii="Times New Roman" w:hAnsi="Times New Roman"/>
          <w:iCs/>
          <w:color w:val="000000" w:themeColor="text1"/>
          <w:sz w:val="16"/>
          <w:szCs w:val="16"/>
        </w:rPr>
        <w:t xml:space="preserve"> Захарченко А.В.</w:t>
      </w:r>
      <w:r w:rsidRPr="00722885">
        <w:rPr>
          <w:rFonts w:ascii="Times New Roman" w:hAnsi="Times New Roman"/>
          <w:color w:val="000000" w:themeColor="text1"/>
          <w:sz w:val="16"/>
          <w:szCs w:val="16"/>
        </w:rPr>
        <w:t xml:space="preserve"> Формирование авиапромышленного комплек еа в Поволжье накануне и в годы Великой Отечественной войны (1940— 1942 гг.). Самара, 2004. С. 21.). В результате доля вновь принятых работников на авиа</w:t>
      </w:r>
      <w:r w:rsidRPr="00722885">
        <w:rPr>
          <w:rFonts w:ascii="Times New Roman" w:hAnsi="Times New Roman"/>
          <w:color w:val="000000" w:themeColor="text1"/>
          <w:sz w:val="16"/>
          <w:szCs w:val="16"/>
        </w:rPr>
        <w:softHyphen/>
        <w:t>заводах в 1942 г. составила в среднем около 50 %. Следует учитывать, что, как правило, новые рабочие не имели необхо</w:t>
      </w:r>
      <w:r w:rsidRPr="00722885">
        <w:rPr>
          <w:rFonts w:ascii="Times New Roman" w:hAnsi="Times New Roman"/>
          <w:color w:val="000000" w:themeColor="text1"/>
          <w:sz w:val="16"/>
          <w:szCs w:val="16"/>
        </w:rPr>
        <w:softHyphen/>
        <w:t>димой квалификации и нуждались в серьёзном обучении (12011).</w:t>
      </w:r>
    </w:p>
    <w:p w14:paraId="4086E09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1640C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 г. стал очень трудным для авиапред</w:t>
      </w:r>
      <w:r w:rsidRPr="00722885">
        <w:rPr>
          <w:rFonts w:ascii="Times New Roman" w:hAnsi="Times New Roman"/>
          <w:color w:val="000000" w:themeColor="text1"/>
          <w:sz w:val="16"/>
          <w:szCs w:val="16"/>
        </w:rPr>
        <w:softHyphen/>
        <w:t>приятий в плане обеспечения персонала продовольствием. На авиационном заводе № 1 им. Сталина (г. Куйбышев) ра</w:t>
      </w:r>
      <w:r w:rsidRPr="00722885">
        <w:rPr>
          <w:rFonts w:ascii="Times New Roman" w:hAnsi="Times New Roman"/>
          <w:color w:val="000000" w:themeColor="text1"/>
          <w:sz w:val="16"/>
          <w:szCs w:val="16"/>
        </w:rPr>
        <w:softHyphen/>
        <w:t>ботникам в январе 1942 г. было недодано по карточкам 50,4 % хлебобулочных изделий, 11,5 % макарон и крупы, 16 % мяса и рыбы, 6,2 % жиров, 3,2 % сахара. На авиазаводе № 24 (г. Куйбышев) в январе—феврале 1942 г. карточки на пита</w:t>
      </w:r>
      <w:r w:rsidRPr="00722885">
        <w:rPr>
          <w:rFonts w:ascii="Times New Roman" w:hAnsi="Times New Roman"/>
          <w:color w:val="000000" w:themeColor="text1"/>
          <w:sz w:val="16"/>
          <w:szCs w:val="16"/>
        </w:rPr>
        <w:softHyphen/>
        <w:t>ние вообще не отоваривались. Из-за нехватки мест в столо</w:t>
      </w:r>
      <w:r w:rsidRPr="00722885">
        <w:rPr>
          <w:rFonts w:ascii="Times New Roman" w:hAnsi="Times New Roman"/>
          <w:color w:val="000000" w:themeColor="text1"/>
          <w:sz w:val="16"/>
          <w:szCs w:val="16"/>
        </w:rPr>
        <w:softHyphen/>
        <w:t>вой обеды доставлялись прямо в цеха. Обед здесь состоял из рассольника, в котором почти не было жиров, а вторых блюд не хватало, из-за чего при дележе пищи в цехах возникала понятная напряженность. На заводе НКАП № 39 (г. Иркутск) за сентябрь 1942 г. было недодано мяса и рыбы в рабочих сто</w:t>
      </w:r>
      <w:r w:rsidRPr="00722885">
        <w:rPr>
          <w:rFonts w:ascii="Times New Roman" w:hAnsi="Times New Roman"/>
          <w:color w:val="000000" w:themeColor="text1"/>
          <w:sz w:val="16"/>
          <w:szCs w:val="16"/>
        </w:rPr>
        <w:softHyphen/>
        <w:t>ловых —15 %, жиров —15 %, крупы — 18 % (</w:t>
      </w:r>
      <w:r w:rsidRPr="00722885">
        <w:rPr>
          <w:rFonts w:ascii="Times New Roman" w:hAnsi="Times New Roman"/>
          <w:iCs/>
          <w:color w:val="000000" w:themeColor="text1"/>
          <w:sz w:val="16"/>
          <w:szCs w:val="16"/>
        </w:rPr>
        <w:t>Парамонов В.</w:t>
      </w:r>
      <w:r w:rsidRPr="00722885">
        <w:rPr>
          <w:rFonts w:ascii="Times New Roman" w:hAnsi="Times New Roman"/>
          <w:color w:val="000000" w:themeColor="text1"/>
          <w:sz w:val="16"/>
          <w:szCs w:val="16"/>
        </w:rPr>
        <w:t xml:space="preserve"> Россия в 1941—1945</w:t>
      </w:r>
      <w:r w:rsidRPr="00722885">
        <w:rPr>
          <w:rFonts w:ascii="Times New Roman" w:hAnsi="Times New Roman"/>
          <w:smallCaps/>
          <w:color w:val="000000" w:themeColor="text1"/>
          <w:sz w:val="16"/>
          <w:szCs w:val="16"/>
          <w:lang w:val="en-US"/>
        </w:rPr>
        <w:t>it</w:t>
      </w:r>
      <w:r w:rsidRPr="00722885">
        <w:rPr>
          <w:rFonts w:ascii="Times New Roman" w:hAnsi="Times New Roman"/>
          <w:color w:val="000000" w:themeColor="text1"/>
          <w:sz w:val="16"/>
          <w:szCs w:val="16"/>
        </w:rPr>
        <w:t>.: проблемы индустриального раз</w:t>
      </w:r>
      <w:r w:rsidRPr="00722885">
        <w:rPr>
          <w:rFonts w:ascii="Times New Roman" w:hAnsi="Times New Roman"/>
          <w:color w:val="000000" w:themeColor="text1"/>
          <w:sz w:val="16"/>
          <w:szCs w:val="16"/>
        </w:rPr>
        <w:softHyphen/>
        <w:t>вития. Самара, 1999. С. 326). Нарком авиа</w:t>
      </w:r>
      <w:r w:rsidRPr="00722885">
        <w:rPr>
          <w:rFonts w:ascii="Times New Roman" w:hAnsi="Times New Roman"/>
          <w:color w:val="000000" w:themeColor="text1"/>
          <w:sz w:val="16"/>
          <w:szCs w:val="16"/>
        </w:rPr>
        <w:softHyphen/>
        <w:t>промышленности Шахурин писал по этому поводу: «Вспо</w:t>
      </w:r>
      <w:r w:rsidRPr="00722885">
        <w:rPr>
          <w:rFonts w:ascii="Times New Roman" w:hAnsi="Times New Roman"/>
          <w:color w:val="000000" w:themeColor="text1"/>
          <w:sz w:val="16"/>
          <w:szCs w:val="16"/>
        </w:rPr>
        <w:softHyphen/>
        <w:t>минаю, как директор завода М.С. Жезлов, осмотрев бараки и общежития, зашел в столовую и оказался свидетелем такого разговора. Один рабочий сказал другому:</w:t>
      </w:r>
    </w:p>
    <w:p w14:paraId="4636F7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Сегодня на первое опять «жезловка».</w:t>
      </w:r>
    </w:p>
    <w:p w14:paraId="45D2F3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Речь шла о первом блюде, какой-то баланде. В столовой ча</w:t>
      </w:r>
      <w:r w:rsidRPr="00722885">
        <w:rPr>
          <w:rFonts w:ascii="Times New Roman" w:hAnsi="Times New Roman"/>
          <w:color w:val="000000" w:themeColor="text1"/>
          <w:sz w:val="16"/>
          <w:szCs w:val="16"/>
        </w:rPr>
        <w:softHyphen/>
        <w:t>сто бывали бшода, которым рабочие в шутку давали различные названия, например «голубая ночь» (суп из ботвы), «осень» (вода с горохом), «карие глазки» (суп с воблой) и т.д.» (</w:t>
      </w:r>
      <w:r w:rsidRPr="00722885">
        <w:rPr>
          <w:rFonts w:ascii="Times New Roman" w:hAnsi="Times New Roman"/>
          <w:iCs/>
          <w:color w:val="000000" w:themeColor="text1"/>
          <w:sz w:val="16"/>
          <w:szCs w:val="16"/>
        </w:rPr>
        <w:t>Шахурин Л.</w:t>
      </w:r>
      <w:r w:rsidRPr="00722885">
        <w:rPr>
          <w:rFonts w:ascii="Times New Roman" w:hAnsi="Times New Roman"/>
          <w:color w:val="000000" w:themeColor="text1"/>
          <w:sz w:val="16"/>
          <w:szCs w:val="16"/>
        </w:rPr>
        <w:t xml:space="preserve"> Крылья победы. М., 1984. С. 138).</w:t>
      </w:r>
    </w:p>
    <w:p w14:paraId="48C328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Формально работники оборонных предприятий должны были снабжаться как «рабочие и ИГР I категории» и полу</w:t>
      </w:r>
      <w:r w:rsidRPr="00722885">
        <w:rPr>
          <w:rFonts w:ascii="Times New Roman" w:hAnsi="Times New Roman"/>
          <w:color w:val="000000" w:themeColor="text1"/>
          <w:sz w:val="16"/>
          <w:szCs w:val="16"/>
        </w:rPr>
        <w:softHyphen/>
        <w:t>чать по карточкам (</w:t>
      </w:r>
      <w:r w:rsidRPr="00722885">
        <w:rPr>
          <w:rFonts w:ascii="Times New Roman" w:hAnsi="Times New Roman"/>
          <w:iCs/>
          <w:color w:val="000000" w:themeColor="text1"/>
          <w:sz w:val="16"/>
          <w:szCs w:val="16"/>
        </w:rPr>
        <w:t>Савицкий ИМ.</w:t>
      </w:r>
      <w:r w:rsidRPr="00722885">
        <w:rPr>
          <w:rFonts w:ascii="Times New Roman" w:hAnsi="Times New Roman"/>
          <w:color w:val="000000" w:themeColor="text1"/>
          <w:sz w:val="16"/>
          <w:szCs w:val="16"/>
        </w:rPr>
        <w:t xml:space="preserve"> Указ. соч. С. 362) определённый набор продуктов. Однако на практике этот порядок соблюдался далеко не всегда.</w:t>
      </w:r>
    </w:p>
    <w:p w14:paraId="01F1690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Ввиду нехватки нормальных продуктов заводоуправления пытались прибегнуть к использованию продовольственных суррогатов и субпродуктов, но это мало помогало. Хотя в течение 1942 г. делались попытки улучшить ситуацию с ма</w:t>
      </w:r>
      <w:r w:rsidRPr="00722885">
        <w:rPr>
          <w:rFonts w:ascii="Times New Roman" w:hAnsi="Times New Roman"/>
          <w:color w:val="000000" w:themeColor="text1"/>
          <w:sz w:val="16"/>
          <w:szCs w:val="16"/>
        </w:rPr>
        <w:softHyphen/>
        <w:t>териальным положением рабочих, существенных изменений тут не произошло (12011).</w:t>
      </w:r>
    </w:p>
    <w:p w14:paraId="2557368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DD435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на месте эвакуированного завода № 8 организован Артиллерийский завод № 88 НКВ.</w:t>
      </w:r>
    </w:p>
    <w:p w14:paraId="71202E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 доработка зенитного орудия 84-К в серийный вариант 84-КМ, создано опытное зенитное артиллерийское орудие 3-1 (1944 г.).</w:t>
      </w:r>
    </w:p>
    <w:p w14:paraId="7AB1F1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территорию завода переведено из Германии КБ-1 «Берлин», созданное после войны для изучения трофейной ракетной техники. В 1946 г. на его основе организован НИИ-88 МВ, завод № 88 стал его опытной производственной базой. По приказу от 30.11.1946 г. на заводе создано СКБ для работ по изучению немецкой ракетной техники, обработки технической документации.</w:t>
      </w:r>
    </w:p>
    <w:p w14:paraId="178E98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СМ СССР от 13.08.1956 г. (после выделения ОКБ-1 в самостоятельную организацию) завод стал производственной базой ОКБ-1 МОП. По приказу от 6.03.1966 г. Опытный завод ОКБ-1 переименован в Завод экспериментального машиностроения (ЗЭМ) в составе ЦКБ ЭМ. С 1994 г.- ЗАО «ЗЭМ». Входит в состав РКК «Энергия» (2004 г.).</w:t>
      </w:r>
    </w:p>
    <w:p w14:paraId="54870F0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1970-е г. был основным исполнителем по сборке и испытанию ОК «Буран» в целом, по созданию его объединенной двигательной установки и системы энергопитания, по сборке и испытаниям боковых блоков РН «Энергия».</w:t>
      </w:r>
    </w:p>
    <w:p w14:paraId="5C58AD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Численность персонала (1946 г.)- 6705 чел., (1947 г.)- 6830 чел., (1949 г.)- 6960 чел., (1.10.1956 г.)- 10.190 чел.77 </w:t>
      </w:r>
    </w:p>
    <w:p w14:paraId="511164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Директор (1946-52 г.)- П.И. Малолетов, (1953-56 г.)- Ф.П. Герасимов, (1956-66 г.)- Р.А. Турков (1-й зам. Королева), (1966-78 г.)- В.М. Ключарев, (1978-99 г.)- А.А. Борисенко, (1999-2005 г.-)- А.Ф. Стрекалов.www.energia.ru </w:t>
      </w:r>
    </w:p>
    <w:p w14:paraId="234A3F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инженер – В.Д. Вачнадзе. </w:t>
      </w:r>
    </w:p>
    <w:p w14:paraId="72769F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опытная партия ЗУР Р-102 (1949), опытная партия МБР Р-7 (1955-), КК «Восток» (3КА, 1960-61)- 6, КА «Молния-1» (1964-68)- 8; ЖРД С1.5400 (1965)- 230; буровые установки КАМ-300, КАМ-500 (после ВОВ).</w:t>
      </w:r>
    </w:p>
    <w:p w14:paraId="4BBFD6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88 МВ, Опытный завод ОКБ-1 ГКОТ, Завод экспериментального машиностроения (ЗЭМ) МОМ, ЗАО «ЗЭМ»</w:t>
      </w:r>
    </w:p>
    <w:p w14:paraId="199738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Подлипки, г. Калининград Московской обл.</w:t>
      </w:r>
    </w:p>
    <w:p w14:paraId="595D10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141070 г. Королев Московской обл. ул. Ленина, 4А</w:t>
      </w:r>
    </w:p>
    <w:p w14:paraId="6253D8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КБ завода № 88 МВ</w:t>
      </w:r>
    </w:p>
    <w:p w14:paraId="45A7F1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Участвовало в создании первой атомной бомбы.3 </w:t>
      </w:r>
    </w:p>
    <w:p w14:paraId="56ED04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НИИ-88 МВ, МОП, ГКОТ, ГС НИИ реактивного вооружения, ЦНИИМаш МОМ, ФГУП «ЦНИИ машиностроения» (ЦНИИМаш) РАКА, ФКА </w:t>
      </w:r>
    </w:p>
    <w:p w14:paraId="5DC155C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Подлипки, г. Калининград Московской обл.</w:t>
      </w:r>
    </w:p>
    <w:p w14:paraId="5D0421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141070 г. Королев Московской обл. ул. Пионерская, 4 тел. 513-50-00 www.tsniimash.ru</w:t>
      </w:r>
    </w:p>
    <w:p w14:paraId="02819D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Государственный Союзный НИИ реактивного вооружения (НИИ-88) организован в 1946 г. на основе КБ-1 «Берлин», переведенного из Германии и на производственной базе завода № 88 (на площадях, ранее занимаемых КБ В.Г. Грабина)60 в соответствии с постановлением СМ СССР № 1017-419 от 13.05.1946 г. Летом 1946 г. НИИ-88 переданы здания и сооружения бывшего завода № 380 НКАП, находившиеся с 1943 г. в ведении ГУ ИАС ВВС. В 1946 г. в подчинение НИИ-88 передана также территория в Тушино (площадка бывшего завода № 289), находившаяся в ведении ГУ ИАС ВВС.</w:t>
      </w:r>
    </w:p>
    <w:p w14:paraId="4170A7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Головной институт по реактивной технике и вооружению. По приказу № 246 от 26.08.1946 г. была утверждена структура института: научно-исследовательская часть с лабораториями, СКБ-88, опытный завод № 88, испытательная станция.77 </w:t>
      </w:r>
    </w:p>
    <w:p w14:paraId="19E209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Формирование СКБ началось в 09.1946 г. В состав СКБ (специальное КБ, начальник- К.И. Тритко) вошли: отдел № 3 по разработке баллистических ракет (начальник/гл. конструктор - С.П. Королев, 1-й зам.- В.П. Мишин). Отделу был придан экспериментальный цех. Численность персонала (конец 1946 г.)- 87 чел., (1.01.1949 г.)- 408 чел.77 В 1950 г. отдел преобразован в ОКБ-1 МВ при НИИ-88. Начальником/ гл. конструктором назначен С.П. Королев. В 08.1956 г. ОКБ-1 с опытным заводом выделяется в самостоятельное предприятие (далее- РКК «Энергия»). </w:t>
      </w:r>
    </w:p>
    <w:p w14:paraId="0F9A87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09.1946 г. образован отдел № 4 СКБ по разработке дальних зенитных ракет (начальник/ гл. конструктор- Е.В. Синильщиков). В составе отдела- испытательная станция. В соответствии с постановлением СМ СССР № 1175-440 от 14.04.1948 г. разработана ЗУР Р-101 на базе трофейной ракеты "Вассерфаль" (1948-51 г.). </w:t>
      </w:r>
    </w:p>
    <w:p w14:paraId="365A3A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1946 г. образован отдел № 5 СКБ для разработки ЗУР среднего радиуса действия (начальник/ гл. конструктор- С.Ю. Рашков). В составе отдела- экспериментальный цех. Разработка ЗУР Р-102, Р-105 на базе трофейной "Шметтерлинг" (1949-50 г.). По постановлению правительства от 14.04.1948 г. разрабатывалась Р-112 (1949-51 г.). В 1949 г. в отделе № 5 по совместительству работал гл. конструктор ОКБ-3 НИИ-1 МАП М.М. Бондарюк.</w:t>
      </w:r>
    </w:p>
    <w:p w14:paraId="3E7C0E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создан двигательный отдел № 8 (начальник/ гл. конструктор- Н.Л. Уманский). В отделе работало 30 немецких специалистов. Разработан ЖРД СО8.101 для Р-101.</w:t>
      </w:r>
    </w:p>
    <w:p w14:paraId="385416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1946 г. были также отделы: № 7- корпусов (начальник- А.И. Лапшин); № 10- взрывателей (начальник- П.И. Мелешин); № 11- наземного оборудования (начальник- М.Г. Киселев); № 15- артиллерийский (начальник- Г.Д. Дорохин).</w:t>
      </w:r>
    </w:p>
    <w:p w14:paraId="0CDDAB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создан отдел № 6 СКБ (начальник/ гл. конструктор- П.И. Костин). Разработка зенитной НУР Р-103 на базе трофейной ракеты «Тайфун F» (испытана в 1950 г.), разработка перспективной НУР Р-110 «Чирок» (1948 г., в 1952 г. передана в ОКБ-3 НИИ-88). В 1952 г. отдел № 6 вошел в образованное ОКБ-3 НИИ-88.</w:t>
      </w:r>
    </w:p>
    <w:p w14:paraId="2F1516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Отдел № 9 СКБ образовался по приказу 24.05.1948 г. на базе ОКО НИИ-1 МАП, переданного в НИИ-88. (начальник/ гл. конструктор- А.М. Исаев). В составе отдела- КБ, огневая лаборатория с отделением приборов и измерений, экспериментальный цех. Разработаны ЖРД для ЗУР Р-102, Р-112 (1949 г.), СО9.502 для Р-101 (1949 г.). В 06.1950 г. отделы № 8 и 9 были объединены и влились в ОКБ-2 НИИ-88 как отдел № 9 под руководством А.М. Исаева.</w:t>
      </w:r>
    </w:p>
    <w:p w14:paraId="571CEC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12.1949 г. в отдел № 16 (начальник/ гл. конструктор- Б.Е. Черток) из ВНИИА ВСНИТО перешла группа Г.Н. Бабакина со своим проектом ЗУР, разработка которого была продолжена как Р-117. В 06.1950 г. группа Бабакина перешла в образовавшееся ОКБ-2 НИИ-88, а в 1951 г.- в ОКБ-301. В 1953 г. Б.Е. Черток руководил отделом «У» (системы управления), в который входила лаборатория астронавигации (начальник- И.М. Лисович). В 1954 г. лаборатория передана в филиал НИИ-1 МАП.</w:t>
      </w:r>
    </w:p>
    <w:p w14:paraId="0BA4B8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1949 г. создан специальный «отдел НИО», позже- отдел № 17 (начальник- А.В. Кармишин) по координации всех НИР института.</w:t>
      </w:r>
    </w:p>
    <w:p w14:paraId="494405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02.1950 г. создан измерительный отдел № 20 (начальник- И.И. Уткин). Затем он преобразован в КБ телеметрических систем, измерительных датчиков, средств обработки результатов измерений.</w:t>
      </w:r>
    </w:p>
    <w:p w14:paraId="518509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Отдел № 21 (руководитель (1953 г.)-Г.Н. Толстоусов) занимался разработкой автопилотов.59 </w:t>
      </w:r>
    </w:p>
    <w:p w14:paraId="77C541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СКБ-88 (1946 г.)- 414 чел., (1947 г.)- 934 чел., (1948 г.)- 925 чел.</w:t>
      </w:r>
    </w:p>
    <w:p w14:paraId="65632A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~1947 г. создана лаборатория по работам в области автоматической астрокоррекции. Руководитель- И.М. Лисович. В дальнейшем лаборатория переведена в НИИ-1 МАП. </w:t>
      </w:r>
    </w:p>
    <w:p w14:paraId="28625CC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Имелся отдел аэродинамики.</w:t>
      </w:r>
    </w:p>
    <w:p w14:paraId="608DDD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научных отделов (1946 г.)- 200 чел., (1947 г.)- 713 чел., (1948 г.)- 1956 чел.</w:t>
      </w:r>
    </w:p>
    <w:p w14:paraId="3D75E7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был сформирован филиал № 1 НИИ-88 на о. Годомля на озере Селигер (возле г. Осташков) из немецких специалистов (в 06.1947 г.- 177 чел.). Основная задача филиала- подготовка трофейных ракет Фау-2 к экспериментальным пускам. К 1953 г. все немцы вернулись в Германию. После этого в филиале велись исследования по гарантийным срокам хранения ракет. Численность персонала (1947 г.)- 336 чел., (1948 г.)- 406 чел.</w:t>
      </w:r>
    </w:p>
    <w:p w14:paraId="6F36B9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в составе НИИ сформирован Специальный поезд. Численность персонала (1947 г.)- 154 чел., (1948 г.)- 191 чел.</w:t>
      </w:r>
    </w:p>
    <w:p w14:paraId="216AF5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постановлением СМ СССР от 7.05.1947 г. институту была передана часть территории аэродрома МВС со всеми службами и помещениями.</w:t>
      </w:r>
    </w:p>
    <w:p w14:paraId="1F58F6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16.06.1950 г. произошла реорганизация НИИ-88 (на основании распоряжения СМ СССР от 26.04.1950 г.): СКБ было разделено на ОКБ-1 по баллистическим ракетам (гл. конструктор- С.П. Королев) и ОКБ-2 по ЗУР (гл. конструктор- К.И. Тритко, затем- Е.В. Синильщиков).</w:t>
      </w:r>
    </w:p>
    <w:p w14:paraId="32F980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17.08.1951 г. вышло постановление СМ СССР № 3017-1418 о прекращении работ по ракетам Р-101 и Р-112. В 09.1951 г. тематику ЗУР передали в МАП, а в НИИ разрабатывались двигатели для ЗУР. Соответствующие отделы были расформированы. В соответствии с постановлением СМ СССР от 10.03.1952 г. образованы ОКБ-2 и ОКБ-3 НИИ-88.</w:t>
      </w:r>
    </w:p>
    <w:p w14:paraId="28C7B4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1949-56 г. проведены большие работы по развитию экспериментальной базы института: построены сверхзвуковые аэродинамические трубы Т-112 (У-3) и Т-113 (У-4).</w:t>
      </w:r>
    </w:p>
    <w:p w14:paraId="10650F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постановлением правительства № 2018-701 от 11.06.1948 г. был организован филиал № 2 института в Загорске для проведения огневых стендовых испытаний ракет (руководитель- Г.М. Табаков). В 07.1948 г. были начаты строительные работы, а уже в 12.1949 г. проведены первые огневые испытания Р-1. По решению СМ СССР от 13.08.1956 г. Загорский филиал преобразован в самостоятельный НИИ-229.</w:t>
      </w:r>
    </w:p>
    <w:p w14:paraId="10149D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1956 г. после выделения ОКБ-1 НИИ-88 получил статус головного научно-исследовательского учреждения по РКТ. Постановлением Правительства от 23.06.1960 г. НИИ-88 официально утвержден головным центром ракетной отрасли по комплексныммнаучным исследованиям и экспериментальной отработке РКТ. Приказом ГКОТ № 310 от 28.05.1962 г. институт определен головным по исследованиям перспектив развития РКТ. С 1963 г.- работы по баллистическому обеспечению полетов пилотируемых КА.</w:t>
      </w:r>
    </w:p>
    <w:p w14:paraId="01EA27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1961 г. создан отдел по анализу технического уровня космических систем (начальник- Л.Г. Головин).</w:t>
      </w:r>
    </w:p>
    <w:p w14:paraId="0F0AFB2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Приказом от 5.04.1962 г. создан научно-исследовательский отдел № 12. в 1962-63 г. им выполнена НИР № 79 «Исследования систем ИСЗ спецназначения».</w:t>
      </w:r>
    </w:p>
    <w:p w14:paraId="3350EB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1963 г. создан отдел надежности (начальник- В.Р. Серов, А.И. Рембеза), в его составе- лаборатория надежности космических средств (руководитель- Д.Д. Севрук). В 1964 г. создан координационно-вычислительный центр (КВЦ).</w:t>
      </w:r>
    </w:p>
    <w:p w14:paraId="4271B9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Приказом от 08.1966 г. образован отдел № 73- планирования работ по РКТ. Был разработан «План развития РКТна 1967-70 г.», утвержденный постановлением СМ СССР от 21.07.1966 г.</w:t>
      </w:r>
    </w:p>
    <w:p w14:paraId="1FED55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постановлением Правительства от 25.10.1965 г. на территории института был создан на базе ВЦ координатно-вычислительный центр (КВЦ). Начальник- А.В. Милицын (начальник отдела средств автоматизации).</w:t>
      </w:r>
    </w:p>
    <w:p w14:paraId="6EF9C5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постановлением СМ СССР от 9.08.1972 г. и решениями ВПК от 16.02.1972 г. и 13.06.1973 г. институт вместе с ЦНИИ-50 МО являлся головным по НИР «Даль» («Определение перспектив развития РКТ на 1976-90 г.»).</w:t>
      </w:r>
    </w:p>
    <w:p w14:paraId="7F1776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НИИ-88 ГКОТ передан в подчинение 8ГУ МОМ и по приказу от 6.03.1966 г. преобразован в 1967 г. в ЦНИИ машиностроения.77 По Указу Президента РФ № 1009 от 4.08.2004 г. вошел в число стратегических оборонных предприятий.</w:t>
      </w:r>
    </w:p>
    <w:p w14:paraId="423799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ОК «Буран» (контроль движения и динамика ОК с жидкостью). Создан стенд для вибропрочностных испытаний отсеков. В 1981-82 г. разработана комплексная программа использования МКС «Энергия»-«Буран».</w:t>
      </w:r>
    </w:p>
    <w:p w14:paraId="6A0604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Из состава института выделились в самостоятельные организации: в 1956 г.- НИИХИММАШ, в 1958 г.- завод «Звезда», в 1966 г.- НПО ИТ, в 1968 г.- АООТ «Стройинвест», в 1973 г.- ГП «Агат», в 1975 г.- ЦНИИМВ (АООТ «Композит»).</w:t>
      </w:r>
    </w:p>
    <w:p w14:paraId="03D9207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Разработана концепция национальной политики РФ в области космоса, одобренная Постановлением правительства № 533 от 1.05.1996 г.</w:t>
      </w:r>
    </w:p>
    <w:p w14:paraId="3BBE0F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настоящее время (2002 г.)- головной институт космической отрасли. Системный анализ, проектно-поисковые исследования и разработка программ развития РКТ. Решение проблем аэрогазодинамики, стандартизации космических систем. Управление полетами КА. Статические, вибрационные, тепловые и криогенные испытания изделий РКТ.</w:t>
      </w:r>
    </w:p>
    <w:p w14:paraId="0573DE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Имеет экспериментальную базу, включающую различные аэродинамические трубы, электродуговые и газодинамические установки, комплекс лабораторных установок для исследования влияния условий космоса, жидкого водорода на материалы, комплекс баллистических установок и центробежных стендов.</w:t>
      </w:r>
    </w:p>
    <w:p w14:paraId="491DD5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1984 г. в институте создан комплекс научных отделений (в 1992 г. преобразован в НТЦ) под руководством Г.М. Чернявского, в т.ч. головное отделение № 16 «Системных исследований и проектных проработок космической спецсистемы» (начальник- В.П. Сенкевич), № 4, № 12, № 17. Весной 1993 г. на базе этих отделений создан НТЦ системного проектирования, далее- ЦСП (начальник В.И. Лукьященко).</w:t>
      </w:r>
    </w:p>
    <w:p w14:paraId="189F37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1991 г. в составе ЦНИИмаша создано ЗАО «ЦНИИМАШ-Экспорт», занимающаяся международными аэрокосмическими проектами.</w:t>
      </w:r>
    </w:p>
    <w:p w14:paraId="2F143A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состав института входит (2004 г.) семь НИЦ: Центр исследований прочности (ЦИПр), Центр исследований теплообмена (ЦИТ), Центр исследований аэрогазодинамики (ЦАГД), Центр научных и экспериментальных работ (ЦНЭР), Центр системного проектирования (ЦСП), Центр системных исследований (ЦСИ), Центр управления полетами (ЦУП-М); опытное производство. </w:t>
      </w:r>
    </w:p>
    <w:p w14:paraId="361403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Численность персонала (1946 г.)- 614 чел., (1947 г.)- 2314 чел., (1948 г.)- 3651 чел., (1.01.1957 г.)- 5891 чел., (1962 г.)-7535 чел., (1972 г.)~ 10.000 чел.,77 (2002 г.) ~ 4500 чел.69 </w:t>
      </w:r>
    </w:p>
    <w:p w14:paraId="38CCCF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(15.08.1946-18.08.1950 г.)- Л.Р. Гонор, (18.08.1950-16.05.1952 г.)- К.Н. Руднев (затем- замминистра), (16.05.1952-30.10.1953 г.)- М.К. Янгель (затем- гл. конструктор ОКБ-586), (30.10.1953-28.08.1959 г.)- А.С. Спиридонов, (28.08.1959-1.08.1961 г.)- Г.А. Тюлин, (1.08.1961-22.11.1990 г.)- генерал-лейтенант Ю.А. Мозжорин, (22.11.1990-15.02.2000 г.)- академик В.Ф. Уткин (до этого- ген. конструктор ОКБ «Южное»), (12.1991 г.)- В. Суриков, (23.02.2000 г.-)- Н.А. Анфимов. Ген. директор/ гл. конструктор (07.2002-05 г.-)- академик Н.А. Анфимов.</w:t>
      </w:r>
    </w:p>
    <w:p w14:paraId="242EAB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Научный руководитель (1.08.1961 г.-)- Ю.А. Мозжорин.</w:t>
      </w:r>
    </w:p>
    <w:p w14:paraId="2D74B3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по научной работе (07.1949 г.-)- А.А. Ильюшин, (1983 г.-)- Н.А. Анфимов; Г.Н. Потапов; по НИОКР РДД (07.1954 г.-)- С.П. Королев; Е.Н. Шепельский. Зам. ген. директора (-2002-03 г.-)- В.И. Лукьященко, (2002 г.)- В.В. Борисов, (-2002-04 г.-)- Н.Г. Паничкин (руководитель ЦИПр), (2002 г.)- В.И. Лобачев.</w:t>
      </w:r>
    </w:p>
    <w:p w14:paraId="712A07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(1946-49 г.)- Ю.А. Победоносцев (затем- ректор Промышленной академии), (осень 1949-50 г.)- К.И. Тритко, (1950 г.-)- М.С. Рязанский.</w:t>
      </w:r>
    </w:p>
    <w:p w14:paraId="7463B1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СКБ (08.1946 г.-)- К.И. Тритко (до этого- гл. инженер завода «Большевик»).</w:t>
      </w:r>
    </w:p>
    <w:p w14:paraId="2F8C4B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(1946 г.-)- С.П. Королев (БР), (1946 г.-)- Е.В. Синильщиков (ЗУР), (1946 г.-)- С.Е. Рашков (ЗУР), (1946 г.)- Н.Л. Уманский (ЖРД), (1947 г.-)- П.И. Костин (НУРС), (1948 г.-)- А.М. Исаев (ЖРД), (1950 г.-)- К.И. Тритко (ЗУР), (1952 г.-)- Д.Д. Севрук (ЖРД).</w:t>
      </w:r>
    </w:p>
    <w:p w14:paraId="3437E4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научный сотрудник (1991-98 г.)- Ю.А. Мозжорин.</w:t>
      </w:r>
    </w:p>
    <w:p w14:paraId="5F5649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Работали: (1957-66 г.)- О.Н. Шишкин, В.П. Макеев, Г.Н. Бабакин, В.М. Ковтуненко, Д.И. Козлов, С.С. Крюков, В.С. Будник, И.Н. Садовский, В.П. Мишин, В.С. Авдуевский, И.Т. Скрипниченко, О.А. Чембровский, (1974 г.-)- Н.А. Анфимов (нач. отделения).</w:t>
      </w:r>
    </w:p>
    <w:p w14:paraId="0C614C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ОКБ-1 НИИ-88 МВ</w:t>
      </w:r>
    </w:p>
    <w:p w14:paraId="0BBAB9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16.06.1950 г. отдел № 3 СКБ преобразован в ОКБ-1 НИИ-88 (на основании распоряжения СМ СССР от 26.04.1950 г.). Начальник/ гл. конструктор- С.П. Королев. По приказу МОП от 9.07.1954 г. Королев назначен зам. директора НИИ-88 по НИОКР конструкторского комплекса РДД.</w:t>
      </w:r>
    </w:p>
    <w:p w14:paraId="156046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13.02.1953 г. вышло постановление правительства о разработке экспериментальной крылатой ракеты (ЭКР) (гл. конструктор- С.П. Королев). 20.05.1954 г. постановлением СМ СССР тематика крылатых ракет передана в МАП.</w:t>
      </w:r>
    </w:p>
    <w:p w14:paraId="2978B1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соответствии с постановлением правительства от 25.04.1956 г., решением от 13.08.1956 г. и приказом МОП от 14.08.1956 г. ОКБ-1 с опытным заводом № 88 выделяется в самостоятельное предприятие ОКБ-1 МОП (далее- РКК «Энергия»). Разделительный акт подписан 1.10.1956 г.77 </w:t>
      </w:r>
    </w:p>
    <w:p w14:paraId="162E552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Гл. конструктор (1950-56 г.)- С.П. Королев.</w:t>
      </w:r>
    </w:p>
    <w:p w14:paraId="0A85DA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(-1954 г.)- М.К. Янгель (затем гл. конструктор ОКБ-586).</w:t>
      </w:r>
    </w:p>
    <w:p w14:paraId="4C132A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(1950 г.-)- М.К. Янгель; проектного (1953 г.)- К.Д. Бушуев.</w:t>
      </w:r>
    </w:p>
    <w:p w14:paraId="164ED1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ОКБ-2 НИИ-88 МВ </w:t>
      </w:r>
    </w:p>
    <w:p w14:paraId="68C69B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Основано 16.06.1950 г. на базе отделов по разработке ЗУР, сюда же влились отделы № 8 и 9 как объединенный отдел № 9 ОКБ-2 под руководством А.М. Исаева, тогда же в ОКБ-2 из отдела № 16 СКБ перешла группа Г.Н. Бабакина. В 1951 г. работы по ЗУР переданы в ОКБ-301 МАП, туда же перешла группа Бабакина. В соответствии с постановлением СМ СССР от 26.03.1952 г. ОКБ-2 преобразовано в чисто двигательное под руководством А.М. Исаева. В соответствии с постановлением правительства от 25.04.1956 г. ОКБ-2 выделяется в самостоятельное предприятие. В 1958 г. в ОКБ-2 влилось ОКБ-3 Севрука. (есть упоминание, что ОКБ-2 выделилось в самостоятельное ОКБ-2 ГКОТ в 01.1959 г.) Далее- КБХМ. Разработка ЖРД.</w:t>
      </w:r>
    </w:p>
    <w:p w14:paraId="264731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И.О. начальника (1950 г.)- К.И. Тритко. 6.03.1951 г. руководителем был назначен С.П. Королев, но он отказался из-за занятости работами в ОКБ-1. Начальник/ гл. конструктор (03.1952 г.-)- А.М. Исаев.</w:t>
      </w:r>
    </w:p>
    <w:p w14:paraId="143911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(1950 г.)- А.М. Исаев.</w:t>
      </w:r>
    </w:p>
    <w:p w14:paraId="6C6FD6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ОКБ-3 НИИ-88 МВ </w:t>
      </w:r>
    </w:p>
    <w:p w14:paraId="197E3C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Образовалось в соответствии с постановлением СМ СССР от 26.03.1952 г. на базе отделов № 6 во главе с П.И. Костиным и № 18 для расширения работ по перспективным ЖРД на высококипящих компонентах топлива. Продолжена разработка зенитной НУР Р-110 «Чирок» (работы прекращены в 1957 г.), РСЗО «Чирок-Н» (работы прекращены в 1958 г.). Разработан комплекс РСЗО «Коршун» (2К5) с БРТ 3Р7 (1957 г.). Постановлением СМ № 135-48 от 5.02.1960 г. выпуск его прекращен.</w:t>
      </w:r>
    </w:p>
    <w:p w14:paraId="1AE192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постановлением правительства от 25.04.1956 г. ОКБ-3 НИИ-88 выделяется в самостоятельное предприятие. В 1958 г. объединено с ОКБ-2 Исаева в новое ОКБ-2.</w:t>
      </w:r>
    </w:p>
    <w:p w14:paraId="5ABDC4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 (1952 г.-)- Д.Д. Севрук. </w:t>
      </w:r>
    </w:p>
    <w:p w14:paraId="3D2D8B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 ЖРД: для ЗУР В-750 (1954), С3.42А (1956, «217»).</w:t>
      </w:r>
    </w:p>
    <w:p w14:paraId="17493D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Вычислительный центр (ВЦ) НИИ-88, Координационно-вычислительный центр (КВЦ) НИИ-88, Центр управления полетами и моделирования (ЦУП-М)</w:t>
      </w:r>
    </w:p>
    <w:p w14:paraId="6FCBAD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Калининград, г. Королев</w:t>
      </w:r>
    </w:p>
    <w:p w14:paraId="73B9DF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Основан в 10.1960 г. как Вычислительный центр (ВЦ) НИИ-88. На него возлагаются функции баллистического центра отрасли (БЦ-2), который с 1963 г. совместно с БЦ-1 МО и БЦ-3 АН СССР начинает участвовать в управлении полетами КА. В 1964 г. ВЦ преобразован в координационно-вычислительный центр (КВЦ). В соответствии с постановлением СМ СССР от 25.10.1965 г. начато строительство КВЦ площадью 20.000 м2 на территории института. Первоначально КВЦ являлся центром послеполетной обработки телеметрической информации о КА. С 1968 г. за ним закреплена подготовка сообщений ТАСС и всех открытых сообщений о РКТ. В 12.1970 г. новый КВЦ сдан в эксплуатацию. С 1973 г. получил название ЦУП ЦНИИМаш.</w:t>
      </w:r>
    </w:p>
    <w:p w14:paraId="3CAFCD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Основой ЦУПа является Главная оперативная группа управления (ГОГУ). Возглавляет ее руководитель полетами: (1973-82 г.)- А.С. Елисеев, (1982-89 г.)- В.В. Рюмин.</w:t>
      </w:r>
    </w:p>
    <w:p w14:paraId="3F73E2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Командный пункт управления космическими полетами. С 1977 г. осуществляет практическое управление полетами всех отечественных КА; ведет исследования и разработку методов управления, баллистики и навигации.В состав ЦУП входят (2004 г.): комплексы: баллистический, телеметрический, командный, моделирования; ЛВС, КВИО, ИСО, КСО, КВО.</w:t>
      </w:r>
    </w:p>
    <w:p w14:paraId="5BC0C1E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Численность персонала (1971 г.)- 1195 чел., (1.07.1975 г.)- 1960 чел.77 </w:t>
      </w:r>
    </w:p>
    <w:p w14:paraId="0CDCE3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(1964 г.-)- М.А. Казанский, А.В. Милицын, (1984-2004 г.-)- В.И. Лобачев.</w:t>
      </w:r>
    </w:p>
    <w:p w14:paraId="1100A7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Начальника (1993-2004 г.-)- В.А. Удалой. Зам. начальника- А.В. Милицын.</w:t>
      </w:r>
    </w:p>
    <w:p w14:paraId="611737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Центр исследования прочности (ЦИПр)</w:t>
      </w:r>
    </w:p>
    <w:p w14:paraId="52B29C2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141070 г. Королев Московской обл. ул. Пионерская, 4 тел. 513-53-53</w:t>
      </w:r>
    </w:p>
    <w:p w14:paraId="291C9F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Основан в 1947 г. как подразделение НИИ-88, занимающееся конструкцией. Головное научное подразделение в оласти отработки прочности конструкции (2004 г.). Имеет 6 производственных зданий общей площадью 29.000 м2.</w:t>
      </w:r>
    </w:p>
    <w:p w14:paraId="4A214D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Руководитель (2004 г.)- Н.Г. Паничкин (зам. Гендиректора ЦНИИМаш).www.tsniimash.ru </w:t>
      </w:r>
    </w:p>
    <w:p w14:paraId="7A9960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ФГУП «НПО ИТ» (измерительной техники)</w:t>
      </w:r>
    </w:p>
    <w:p w14:paraId="69133E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Королев Московской обл.</w:t>
      </w:r>
    </w:p>
    <w:p w14:paraId="224650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Выделилось из состава НИИ-88 в самостоятельное предприятие в 1966 г. По Указу Президента РФ № 1009 от 4.08.2004 г. вошел в число стратегических оборонных предприятий.</w:t>
      </w:r>
    </w:p>
    <w:p w14:paraId="7E8AD8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(2004 г.)- Г.Г. Райкунов, (2005 г.)- О.А. Сулимов.</w:t>
      </w:r>
    </w:p>
    <w:p w14:paraId="2F9DA1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(2004 г.)- Г.Г. Райкунов.</w:t>
      </w:r>
    </w:p>
    <w:p w14:paraId="4D4D0F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по научной работе (2004 г.)- А.И. Рембеза.</w:t>
      </w:r>
    </w:p>
    <w:p w14:paraId="205950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Организация «Агат» МОМ, Государственное предприятие «Агат», ФГУП «Организация «Агат» </w:t>
      </w:r>
    </w:p>
    <w:p w14:paraId="1D66FA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Москва</w:t>
      </w:r>
    </w:p>
    <w:p w14:paraId="12B2C2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Организация «Агат» создана в 1973 г. на базе отделения ЦНИИМаш и Главного вычислительного центра МОМ. Она стала головной организацией по вопросам планирования, экономики и управления космической отраслью. Системные исследования экономических проблем; анализ финансового и экономического состояния предприятий; разработка, уточнение и переиздание отраслевых стандартов; создание нормативной базы НИОКР.</w:t>
      </w:r>
    </w:p>
    <w:p w14:paraId="6EDEAC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F87190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 В.М. Чебаненко; И.О. директора (2003 г.)- В.В. Алавердов; (2004 г.)- В.В. Алавердов, (2005 г.)- А.К. Ваницкий..</w:t>
      </w:r>
    </w:p>
    <w:p w14:paraId="2CD889B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ЗАО «ЦНИИМАШ-Экспорт»</w:t>
      </w:r>
    </w:p>
    <w:p w14:paraId="0A293A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Королев Московской обл.</w:t>
      </w:r>
    </w:p>
    <w:p w14:paraId="6ABB0E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1991 г. в составе ЦНИИмаша создано ЗАО «ЦНИИМАШ-Экспорт», занимающаяся международными аэрокосмическими проектами.</w:t>
      </w:r>
    </w:p>
    <w:p w14:paraId="25395F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(-2003-05 г.-)- И. Решетин.</w:t>
      </w:r>
    </w:p>
    <w:p w14:paraId="2517B90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1-й зам. гендиректора по экономике (2005 г.)- С. Твердохлебов. Зам. гендиректора по безопасности (2005 г.)- А. Рожкин (10776).</w:t>
      </w:r>
    </w:p>
    <w:p w14:paraId="1A21105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17C9D32"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состоялись войсковые испытания телеуправляемого самолета «Торпедо», созданного на базе бомбардировщика ТБ-3. Самолет ТБ-3 был загружен 4 т взрывчатого вещества «повышенного действия». Наведение осуществлялось по радио с самолета ДБ-ЗФ. Самолет ТБ-3 «Торпедо», наводимый с ДБ-ЗФ, должен был поразить железнодорожный узел в занятом немцами городе Вязьма. Однако при подлете к цели антенна передатчика на ДБ-ЗФ вышла из строя, управление самолетом «Торпедо» было потеряно, и он упал куда-то за Вязьму. Вторая пара ТБ-3 «Торпедо» и самолет управления СБ в том же 1942 г. сгорели на аэродроме при взрыве боеприпасов на стоявшем рядом бомбардировщике. На этом работы по телемеханическим самолетам были прекращены (15117).</w:t>
      </w:r>
    </w:p>
    <w:p w14:paraId="24A7347F" w14:textId="77777777" w:rsidR="00F10FB4" w:rsidRPr="00722885" w:rsidRDefault="00F10FB4" w:rsidP="00722885">
      <w:pPr>
        <w:spacing w:after="0" w:line="240" w:lineRule="auto"/>
        <w:jc w:val="both"/>
        <w:rPr>
          <w:rFonts w:ascii="Times New Roman" w:hAnsi="Times New Roman"/>
          <w:color w:val="000000" w:themeColor="text1"/>
          <w:sz w:val="16"/>
          <w:szCs w:val="16"/>
        </w:rPr>
      </w:pPr>
    </w:p>
    <w:p w14:paraId="3D95C1DB"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одном из запросов был по</w:t>
      </w:r>
      <w:r w:rsidRPr="00722885">
        <w:rPr>
          <w:rFonts w:ascii="Times New Roman" w:hAnsi="Times New Roman"/>
          <w:color w:val="000000" w:themeColor="text1"/>
          <w:sz w:val="16"/>
          <w:szCs w:val="16"/>
        </w:rPr>
        <w:softHyphen/>
        <w:t>ставлен вопрос о возможности использования ПТ на защите блокадного города. Но, видимо, на Складе №17 ВМФ планеры не сохранились. А информация по всем работам «ТОС» на дол</w:t>
      </w:r>
      <w:r w:rsidRPr="00722885">
        <w:rPr>
          <w:rFonts w:ascii="Times New Roman" w:hAnsi="Times New Roman"/>
          <w:color w:val="000000" w:themeColor="text1"/>
          <w:sz w:val="16"/>
          <w:szCs w:val="16"/>
        </w:rPr>
        <w:softHyphen/>
        <w:t>гие годы легла на полки архива ВМФ. Следует сказать, что под аббревиатурой «ТОС» скрыва</w:t>
      </w:r>
      <w:r w:rsidRPr="00722885">
        <w:rPr>
          <w:rFonts w:ascii="Times New Roman" w:hAnsi="Times New Roman"/>
          <w:color w:val="000000" w:themeColor="text1"/>
          <w:sz w:val="16"/>
          <w:szCs w:val="16"/>
        </w:rPr>
        <w:softHyphen/>
        <w:t xml:space="preserve">ется не только проект Валка, но также проекты Н.И. Камова,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Вахмистрова и другие (16845).</w:t>
      </w:r>
    </w:p>
    <w:p w14:paraId="353ACC1C" w14:textId="77777777" w:rsidR="00F10FB4" w:rsidRPr="00722885" w:rsidRDefault="00F10FB4" w:rsidP="00722885">
      <w:pPr>
        <w:pStyle w:val="264"/>
        <w:shd w:val="clear" w:color="auto" w:fill="auto"/>
        <w:spacing w:line="240" w:lineRule="auto"/>
        <w:jc w:val="both"/>
        <w:rPr>
          <w:rFonts w:ascii="Times New Roman" w:hAnsi="Times New Roman" w:cs="Times New Roman"/>
          <w:color w:val="000000" w:themeColor="text1"/>
          <w:sz w:val="16"/>
          <w:szCs w:val="16"/>
        </w:rPr>
      </w:pPr>
    </w:p>
    <w:p w14:paraId="2BB50C5D"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на вооружение была принята авиационная граната АГ-2. Мысль о создании ее возникла в связи с тем, что хвостовая часть наших самолетов была недостаточно защищена в случае атаки противника. А сама идея была подсказана давним авиационным опытом А. Ф. Турахина. Он рассказывал: «…Как-то во время полета – я служил тогда в НИИ ВВС – я выбрасывал вниз сигнальные патроны. Когда машина села, один из товарищей меня за это выругал: «Я шел за тобой, и вдруг перед моим носом какая-то штука. Неприятно…»</w:t>
      </w:r>
    </w:p>
    <w:p w14:paraId="5BA81C7B"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Граната АГ-2 по выпадении из кассеты выбрасывала тормозной парашют, и через 3 секунды, отстав от своего самолета на 200–250 м, взрывалась перед носом истребителя противника. Громкий звук взрыва, внезапно возникшее черное облако дыма и плотная завеса осколков, которая стремительно надвигалась на преследующего, должны были заставить его отказаться от атаки (15794).</w:t>
      </w:r>
    </w:p>
    <w:p w14:paraId="5B598C93" w14:textId="77777777" w:rsidR="00F10FB4" w:rsidRPr="00722885" w:rsidRDefault="00F10FB4" w:rsidP="00722885">
      <w:pPr>
        <w:spacing w:after="0" w:line="240" w:lineRule="auto"/>
        <w:jc w:val="both"/>
        <w:rPr>
          <w:rFonts w:ascii="Times New Roman" w:hAnsi="Times New Roman"/>
          <w:color w:val="000000" w:themeColor="text1"/>
          <w:sz w:val="16"/>
          <w:szCs w:val="16"/>
        </w:rPr>
      </w:pPr>
    </w:p>
    <w:p w14:paraId="1572C0D7"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1942 году в ГСКБ-47 Н. С. Носков, Б. М. Ульянов и П. А. Иванов разработали универсальную вышибную камеру УВК-1, управляемую по проводам. Камера позволяла использовать для создания выпрыгивающих осколочно-заградительных мин любые отечественные или трофейные артиллерийские снаряды и мины, что значительно расширило возможности создания управляемых минно-взрывных заграждений (15794).</w:t>
      </w:r>
    </w:p>
    <w:p w14:paraId="6E5CBEFC" w14:textId="77777777" w:rsidR="00F10FB4" w:rsidRPr="00722885" w:rsidRDefault="00F10FB4" w:rsidP="00722885">
      <w:pPr>
        <w:spacing w:after="0" w:line="240" w:lineRule="auto"/>
        <w:jc w:val="both"/>
        <w:rPr>
          <w:rFonts w:ascii="Times New Roman" w:hAnsi="Times New Roman"/>
          <w:color w:val="000000" w:themeColor="text1"/>
          <w:sz w:val="16"/>
          <w:szCs w:val="16"/>
        </w:rPr>
      </w:pPr>
    </w:p>
    <w:p w14:paraId="7717C34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сделали ФАБ-5000 под руководством Н.И.Гальперина (85,466).</w:t>
      </w:r>
    </w:p>
    <w:p w14:paraId="65AC679E" w14:textId="77777777" w:rsidR="00BB6316" w:rsidRPr="00722885" w:rsidRDefault="00BB6316" w:rsidP="00722885">
      <w:pPr>
        <w:pStyle w:val="Iauiue"/>
        <w:jc w:val="both"/>
        <w:rPr>
          <w:color w:val="000000" w:themeColor="text1"/>
          <w:sz w:val="16"/>
          <w:szCs w:val="16"/>
        </w:rPr>
      </w:pPr>
    </w:p>
    <w:p w14:paraId="221001F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авиационная донная мина АМД-1 с двухимпульсным индукционным взрывателем, которая разрабатывалась специалистами НИМТИ ВМФ и ЦКБ-36 была принята на вооружение. Она выпускалась в двух модификациях: АМД-1-500 в калибре авиационной торпеды 450 мм и АМД-1-1000 в калибре корабельной торпеды 533 мм. В авиационном варианте мина ставилась с парашютом, отделявшимся в момент приводнения. В качестве противотральных устройств применялись: прибор срочности, обеспечивавший задержку включения аппаратуры на срок до шест суток, и прибор кратности, допускавший до двенадцати холостых срабатываний. За разработку мины коллектив во главе с главным конструктором Л.Т.Maтвеевым был удостоен Сталинской премии (3364,21).</w:t>
      </w:r>
    </w:p>
    <w:p w14:paraId="5B2884AC" w14:textId="77777777" w:rsidR="00BB6316" w:rsidRPr="00722885" w:rsidRDefault="00BB6316" w:rsidP="00722885">
      <w:pPr>
        <w:pStyle w:val="Iauiue"/>
        <w:jc w:val="both"/>
        <w:rPr>
          <w:color w:val="000000" w:themeColor="text1"/>
          <w:sz w:val="16"/>
          <w:szCs w:val="16"/>
        </w:rPr>
      </w:pPr>
    </w:p>
    <w:p w14:paraId="3C76A4C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были приняты на вооружение взрыватели АВД (электрохимический большого замедления для фугасных), РД (для бетонобойных), АВШ-2 (для штурмовки с малых высот) и АД-А (для противотанковых - высокочувствительный инерционного типа) а затем - АДЦ (с центробежным предохранителем) (85,468).</w:t>
      </w:r>
    </w:p>
    <w:p w14:paraId="2E9D6960" w14:textId="77777777" w:rsidR="00BB6316" w:rsidRPr="00722885" w:rsidRDefault="00BB6316" w:rsidP="00722885">
      <w:pPr>
        <w:pStyle w:val="Iauiue"/>
        <w:jc w:val="both"/>
        <w:rPr>
          <w:color w:val="000000" w:themeColor="text1"/>
          <w:sz w:val="16"/>
          <w:szCs w:val="16"/>
        </w:rPr>
      </w:pPr>
    </w:p>
    <w:p w14:paraId="67E048F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в ходе оборонительных боев и потом наступления под Сталинградом сбрасывали ампулы КС (139,30).</w:t>
      </w:r>
    </w:p>
    <w:p w14:paraId="225CE5D5" w14:textId="77777777" w:rsidR="00BB6316" w:rsidRPr="00722885" w:rsidRDefault="00BB6316" w:rsidP="00722885">
      <w:pPr>
        <w:pStyle w:val="Iauiue"/>
        <w:jc w:val="both"/>
        <w:rPr>
          <w:color w:val="000000" w:themeColor="text1"/>
          <w:sz w:val="16"/>
          <w:szCs w:val="16"/>
        </w:rPr>
      </w:pPr>
    </w:p>
    <w:p w14:paraId="60E9E0A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1942 РС-82 и РС-132 были заменены ракетной системой М-8 и М-13 для поражения живой силы и огневых средств. Вообще система РО за войну почти не менялась (85,477).</w:t>
      </w:r>
    </w:p>
    <w:p w14:paraId="075BB94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По мнению некоторых авторов в авиации РС М-8 и М-13 были приняты на вооружение авиации в 1942. Ил-2 использовали РБС-82 и РБС-132 для борьбы с танками, так как в отличие от М-8 и М-13 они имели более мощный двигатель и броневую боевую часть (370,10).</w:t>
      </w:r>
    </w:p>
    <w:p w14:paraId="64DF1654" w14:textId="77777777" w:rsidR="00BB6316" w:rsidRPr="00722885" w:rsidRDefault="00BB6316" w:rsidP="00722885">
      <w:pPr>
        <w:pStyle w:val="Iauiue"/>
        <w:jc w:val="both"/>
        <w:rPr>
          <w:color w:val="000000" w:themeColor="text1"/>
          <w:sz w:val="16"/>
          <w:szCs w:val="16"/>
        </w:rPr>
      </w:pPr>
    </w:p>
    <w:p w14:paraId="5D68904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было подготовлено письмо:</w:t>
      </w:r>
    </w:p>
    <w:p w14:paraId="0F74902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Проведение НИР по изучению вибраций самолетного приборного оборудования и испытания аппаратуры на стойкость затрудняется из-за отсутствия лабораторной базы в системе НКАП.</w:t>
      </w:r>
    </w:p>
    <w:p w14:paraId="05CAC1C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Прошу вашего указания о передаче вибрационной лаборатории строительства Дворца Советов в ведение НИИ-12 НКАП.</w:t>
      </w:r>
    </w:p>
    <w:p w14:paraId="4E79673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Лаборатория вывезена из Москвы в Каменск-Уральский вместе со штатом (8156).</w:t>
      </w:r>
    </w:p>
    <w:p w14:paraId="227A1E26" w14:textId="77777777" w:rsidR="00BB6316" w:rsidRPr="00722885" w:rsidRDefault="00BB6316" w:rsidP="00722885">
      <w:pPr>
        <w:pStyle w:val="Iauiue"/>
        <w:jc w:val="both"/>
        <w:rPr>
          <w:color w:val="000000" w:themeColor="text1"/>
          <w:sz w:val="16"/>
          <w:szCs w:val="16"/>
        </w:rPr>
      </w:pPr>
    </w:p>
    <w:p w14:paraId="41E357D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завод № 16 был эвакуирован из Воронежа в Казань в 1942 году (9162).</w:t>
      </w:r>
    </w:p>
    <w:p w14:paraId="49AEC51A" w14:textId="77777777" w:rsidR="00BB6316" w:rsidRPr="00722885" w:rsidRDefault="00BB6316" w:rsidP="00722885">
      <w:pPr>
        <w:pStyle w:val="Iauiue"/>
        <w:jc w:val="both"/>
        <w:rPr>
          <w:color w:val="000000" w:themeColor="text1"/>
          <w:sz w:val="16"/>
          <w:szCs w:val="16"/>
        </w:rPr>
      </w:pPr>
    </w:p>
    <w:p w14:paraId="50CC4E0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С.П.К. был переведен из ЦКБ-29 в режимное КБ Глушко в Казани (62,288).</w:t>
      </w:r>
    </w:p>
    <w:p w14:paraId="48DA9612" w14:textId="77777777" w:rsidR="00BB6316" w:rsidRPr="00722885" w:rsidRDefault="00BB6316" w:rsidP="00722885">
      <w:pPr>
        <w:pStyle w:val="Iauiue"/>
        <w:jc w:val="both"/>
        <w:rPr>
          <w:color w:val="000000" w:themeColor="text1"/>
          <w:sz w:val="16"/>
          <w:szCs w:val="16"/>
        </w:rPr>
      </w:pPr>
    </w:p>
    <w:p w14:paraId="04BC127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в небе Арктики работали четыре ГСТ, которые всегда отличала высокая надежность (3457,49).</w:t>
      </w:r>
    </w:p>
    <w:p w14:paraId="3E1D6EF2" w14:textId="77777777" w:rsidR="00BB6316" w:rsidRPr="00722885" w:rsidRDefault="00BB6316" w:rsidP="00722885">
      <w:pPr>
        <w:pStyle w:val="Iauiue"/>
        <w:jc w:val="both"/>
        <w:rPr>
          <w:color w:val="000000" w:themeColor="text1"/>
          <w:sz w:val="16"/>
          <w:szCs w:val="16"/>
        </w:rPr>
      </w:pPr>
    </w:p>
    <w:p w14:paraId="0A35FC3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 были созданы другие варианты черной краски: казеиновая МК-8 и хлорвиниловая (т.е. уже несмываемая водой, а удалявшаяся пиробензолом) "Ночь". Так же как и в МК-6, пигментом для них служила сажа. Краска "Ночь" изготавливалась на заводе № 36 НКХП и широко применялась "для окраски самолетов в авиачастях АДД". По сравнению с обычным черным аэролаком АМТ-6, МК-8 и "Ночь" имели в 10-14 раз меньший коэффициент отражения (3522).</w:t>
      </w:r>
    </w:p>
    <w:p w14:paraId="541A0D64" w14:textId="77777777" w:rsidR="00BB6316" w:rsidRPr="00722885" w:rsidRDefault="00BB6316" w:rsidP="00722885">
      <w:pPr>
        <w:pStyle w:val="Iauiue"/>
        <w:jc w:val="both"/>
        <w:rPr>
          <w:color w:val="000000" w:themeColor="text1"/>
          <w:sz w:val="16"/>
          <w:szCs w:val="16"/>
        </w:rPr>
      </w:pPr>
    </w:p>
    <w:p w14:paraId="0680AABF" w14:textId="77777777" w:rsidR="008032F3" w:rsidRPr="00722885" w:rsidRDefault="008032F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ЦАГИ исследовал лакокрасочные покрытия самолетов Пе-2 (серийный и заново покрашенный для трубных испытаний), «Мустанг», «Эракобра» и «Томогаук» и провели расчет потерь скорости самолета Пе-2 за счет шероховатости и волнистости обшивки. В итоге сконструировали рефлектометр для оптического измерения шероховатости, а заводские ОТК получили атлас геометрических характеристик шероховатости лакокрасочных покрытий по металлу и дереву. Отклонение от рекомендаций ЦАГИ приводило к снижению максимальной скорости на 3—5%. Ответственный исполнитель работы К. К. Федяевский. Результаты работы суммировали в монографии «Аэродинамика поверхности самолета» (19727).</w:t>
      </w:r>
    </w:p>
    <w:p w14:paraId="112306B4" w14:textId="77777777" w:rsidR="008032F3" w:rsidRPr="00722885" w:rsidRDefault="008032F3" w:rsidP="00722885">
      <w:pPr>
        <w:spacing w:after="0" w:line="240" w:lineRule="auto"/>
        <w:jc w:val="both"/>
        <w:rPr>
          <w:rFonts w:ascii="Times New Roman" w:hAnsi="Times New Roman"/>
          <w:color w:val="000000" w:themeColor="text1"/>
          <w:sz w:val="16"/>
          <w:szCs w:val="16"/>
        </w:rPr>
      </w:pPr>
    </w:p>
    <w:p w14:paraId="07C4EC67" w14:textId="77777777" w:rsidR="008032F3" w:rsidRPr="00722885" w:rsidRDefault="008032F3"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по заданию ЛИИ НКАП в ЦАГИ выполнили серию опытов по определению статической устойчивости специальных авиабомб малого калибра с раскрывающимися при сбрасывании лопастями стабилизатора и штатных авиабомб калибром 250 и 500 кг. По заданию СКБ ЦАГИ (А. Д. Надирадзе) испытали макеты специальных реактивных бомб Н-3 и Н-4. В СКБ был «полностью проверен и доработан» принцип ручного противотанкового реактивного оружия типа СН-02, проведены испытания по подбору реактивного снаряда и бронебойной головки, проверена кучность стрельбы. По заданию ОКБ НКВД спроектировали крылья для макетов летающих реактивных мин ПТПДС и испытали макеты с различными вариантами крыльев. Макеты мин «отстреляли» из специального орудия на полигоне, но несовершенство конструкции и технологии изготовления не позволили проверить рекомендации в натурных условиях (19727).</w:t>
      </w:r>
    </w:p>
    <w:p w14:paraId="28ADEA0F" w14:textId="77777777" w:rsidR="008032F3" w:rsidRPr="00722885" w:rsidRDefault="008032F3" w:rsidP="00722885">
      <w:pPr>
        <w:spacing w:after="0" w:line="240" w:lineRule="auto"/>
        <w:jc w:val="both"/>
        <w:rPr>
          <w:rFonts w:ascii="Times New Roman" w:hAnsi="Times New Roman"/>
          <w:color w:val="000000" w:themeColor="text1"/>
          <w:sz w:val="16"/>
          <w:szCs w:val="16"/>
        </w:rPr>
      </w:pPr>
    </w:p>
    <w:p w14:paraId="32F9159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в ОКБ НКАП для увеличения ракетной огневой мощи само</w:t>
      </w:r>
      <w:r w:rsidRPr="00722885">
        <w:rPr>
          <w:rFonts w:ascii="Times New Roman" w:hAnsi="Times New Roman"/>
          <w:color w:val="000000" w:themeColor="text1"/>
          <w:sz w:val="16"/>
          <w:szCs w:val="16"/>
        </w:rPr>
        <w:softHyphen/>
        <w:t>летов-штурмовиков Ил-2 при сохранении существующего лобового со</w:t>
      </w:r>
      <w:r w:rsidRPr="00722885">
        <w:rPr>
          <w:rFonts w:ascii="Times New Roman" w:hAnsi="Times New Roman"/>
          <w:color w:val="000000" w:themeColor="text1"/>
          <w:sz w:val="16"/>
          <w:szCs w:val="16"/>
        </w:rPr>
        <w:softHyphen/>
        <w:t>противления реактивных сисгем разработали ракетные орудия тандемного типа РОТ-82. Они были рассчитаны на подвеску двух штатных сна</w:t>
      </w:r>
      <w:r w:rsidRPr="00722885">
        <w:rPr>
          <w:rFonts w:ascii="Times New Roman" w:hAnsi="Times New Roman"/>
          <w:color w:val="000000" w:themeColor="text1"/>
          <w:sz w:val="16"/>
          <w:szCs w:val="16"/>
        </w:rPr>
        <w:softHyphen/>
        <w:t>рядов РОС-82 один за другим. Поскольку требовалось сохранить сущест</w:t>
      </w:r>
      <w:r w:rsidRPr="00722885">
        <w:rPr>
          <w:rFonts w:ascii="Times New Roman" w:hAnsi="Times New Roman"/>
          <w:color w:val="000000" w:themeColor="text1"/>
          <w:sz w:val="16"/>
          <w:szCs w:val="16"/>
        </w:rPr>
        <w:softHyphen/>
        <w:t>вующую систему запуска двигателей боеприпасов от пиропистолетов, конструкторам пришлось пойти на некоторые ухищрения. Так, перед</w:t>
      </w:r>
      <w:r w:rsidRPr="00722885">
        <w:rPr>
          <w:rFonts w:ascii="Times New Roman" w:hAnsi="Times New Roman"/>
          <w:color w:val="000000" w:themeColor="text1"/>
          <w:sz w:val="16"/>
          <w:szCs w:val="16"/>
        </w:rPr>
        <w:softHyphen/>
        <w:t>ний снаряд запускали выстрелом из откидного пиропистолета, который после этого автоматически переводило пружиной в верхнее положение, не препятствующее сходу заднего снаряда. При этом отключался блоки</w:t>
      </w:r>
      <w:r w:rsidRPr="00722885">
        <w:rPr>
          <w:rFonts w:ascii="Times New Roman" w:hAnsi="Times New Roman"/>
          <w:color w:val="000000" w:themeColor="text1"/>
          <w:sz w:val="16"/>
          <w:szCs w:val="16"/>
        </w:rPr>
        <w:softHyphen/>
        <w:t>ровочный контакт, замыкая электрическую цепь питания заднего пиро</w:t>
      </w:r>
      <w:r w:rsidRPr="00722885">
        <w:rPr>
          <w:rFonts w:ascii="Times New Roman" w:hAnsi="Times New Roman"/>
          <w:color w:val="000000" w:themeColor="text1"/>
          <w:sz w:val="16"/>
          <w:szCs w:val="16"/>
        </w:rPr>
        <w:softHyphen/>
        <w:t>пистолета.</w:t>
      </w:r>
    </w:p>
    <w:p w14:paraId="18BE41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Подвесная база орудия (сечение установочных штырей и расстояние между передним и задним) не соответствовала штатным однозарядным РО. Зато, места установки под крылом самолета не требовали замены — на нервюрах №9, 10, 11 и 12. К этому времени серийные машины уже ос</w:t>
      </w:r>
      <w:r w:rsidRPr="00722885">
        <w:rPr>
          <w:rFonts w:ascii="Times New Roman" w:hAnsi="Times New Roman"/>
          <w:color w:val="000000" w:themeColor="text1"/>
          <w:sz w:val="16"/>
          <w:szCs w:val="16"/>
        </w:rPr>
        <w:softHyphen/>
        <w:t>нащали комбинированными прицелами для бомбометания с пикирова</w:t>
      </w:r>
      <w:r w:rsidRPr="00722885">
        <w:rPr>
          <w:rFonts w:ascii="Times New Roman" w:hAnsi="Times New Roman"/>
          <w:color w:val="000000" w:themeColor="text1"/>
          <w:sz w:val="16"/>
          <w:szCs w:val="16"/>
        </w:rPr>
        <w:softHyphen/>
        <w:t>ния ПБП-1, позволявшими также прицельно вести стрельбу РС. Для уп</w:t>
      </w:r>
      <w:r w:rsidRPr="00722885">
        <w:rPr>
          <w:rFonts w:ascii="Times New Roman" w:hAnsi="Times New Roman"/>
          <w:color w:val="000000" w:themeColor="text1"/>
          <w:sz w:val="16"/>
          <w:szCs w:val="16"/>
        </w:rPr>
        <w:softHyphen/>
        <w:t>равления огнем РС пришлось воспользоваться старенькими электро</w:t>
      </w:r>
      <w:r w:rsidRPr="00722885">
        <w:rPr>
          <w:rFonts w:ascii="Times New Roman" w:hAnsi="Times New Roman"/>
          <w:color w:val="000000" w:themeColor="text1"/>
          <w:sz w:val="16"/>
          <w:szCs w:val="16"/>
        </w:rPr>
        <w:softHyphen/>
        <w:t>бомбосбрасывателями ЭСБР-3п. Ну что же, в этой ситуации не помог бы даже усовершенствованный ЭСБР-3па. Дело в том, что для организации стрельбы одиночными снарядами конструкторы предлагали установить в кабине три пульта ЭСБР-3п. Причем, один из них обслуживал бы зам</w:t>
      </w:r>
      <w:r w:rsidRPr="00722885">
        <w:rPr>
          <w:rFonts w:ascii="Times New Roman" w:hAnsi="Times New Roman"/>
          <w:color w:val="000000" w:themeColor="text1"/>
          <w:sz w:val="16"/>
          <w:szCs w:val="16"/>
        </w:rPr>
        <w:softHyphen/>
        <w:t>ки бомбодержателей, а остальные — стрельбу РС-82.</w:t>
      </w:r>
    </w:p>
    <w:p w14:paraId="55DF2C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Военные от этого отказались, поскольку в авиации и так ощущалась нехватка ЭСБР. Это сегодня можно предположить, что тогда на их реше</w:t>
      </w:r>
      <w:r w:rsidRPr="00722885">
        <w:rPr>
          <w:rFonts w:ascii="Times New Roman" w:hAnsi="Times New Roman"/>
          <w:color w:val="000000" w:themeColor="text1"/>
          <w:sz w:val="16"/>
          <w:szCs w:val="16"/>
        </w:rPr>
        <w:softHyphen/>
        <w:t>ние повлияли требования к эргономике кабины пилота - при отсутствии индикации наличия боезапаса, выбор режима стрельбы с двух пультов отвлекал бы летчика от пилотирования машины. На малой высоте, да еще в условиях боя это было бы подобно самоубийству. Но, скорее всего, причина была куда более прозаичной — в штурмовой авиации пра</w:t>
      </w:r>
      <w:r w:rsidRPr="00722885">
        <w:rPr>
          <w:rFonts w:ascii="Times New Roman" w:hAnsi="Times New Roman"/>
          <w:color w:val="000000" w:themeColor="text1"/>
          <w:sz w:val="16"/>
          <w:szCs w:val="16"/>
        </w:rPr>
        <w:softHyphen/>
        <w:t>ктически не стреляли одиночными осколочными РС малого калибра. Та</w:t>
      </w:r>
      <w:r w:rsidRPr="00722885">
        <w:rPr>
          <w:rFonts w:ascii="Times New Roman" w:hAnsi="Times New Roman"/>
          <w:color w:val="000000" w:themeColor="text1"/>
          <w:sz w:val="16"/>
          <w:szCs w:val="16"/>
        </w:rPr>
        <w:softHyphen/>
        <w:t>ким образом, серийно-залповый огонь из новых РО пришлось организо</w:t>
      </w:r>
      <w:r w:rsidRPr="00722885">
        <w:rPr>
          <w:rFonts w:ascii="Times New Roman" w:hAnsi="Times New Roman"/>
          <w:color w:val="000000" w:themeColor="text1"/>
          <w:sz w:val="16"/>
          <w:szCs w:val="16"/>
        </w:rPr>
        <w:softHyphen/>
        <w:t>вать по 2, 4 или 8 снарядов.</w:t>
      </w:r>
    </w:p>
    <w:p w14:paraId="6DB2C4A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устоявшимся в отечественной авиации традициям, «разгрузка» точек подвески однотипного варианта вооружения начиналась с консо</w:t>
      </w:r>
      <w:r w:rsidRPr="00722885">
        <w:rPr>
          <w:rFonts w:ascii="Times New Roman" w:hAnsi="Times New Roman"/>
          <w:color w:val="000000" w:themeColor="text1"/>
          <w:sz w:val="16"/>
          <w:szCs w:val="16"/>
        </w:rPr>
        <w:softHyphen/>
        <w:t>лей крыла, проходила симметрично, постепенно приближаясь к фюзеля</w:t>
      </w:r>
      <w:r w:rsidRPr="00722885">
        <w:rPr>
          <w:rFonts w:ascii="Times New Roman" w:hAnsi="Times New Roman"/>
          <w:color w:val="000000" w:themeColor="text1"/>
          <w:sz w:val="16"/>
          <w:szCs w:val="16"/>
        </w:rPr>
        <w:softHyphen/>
        <w:t>жу. Так, на контакт №1 пульта ЭСБР-3п были выведены пиропистолеты передних снарядов крайних орудий №1 и 2. Далее, вплоть до замыкания четвертого контакта, стартовали только передние снаряды орудий. При последующих нажатиях боевой кнопки по той же схеме (начиная от консолей) можно было отстрелять и задние снаряды.</w:t>
      </w:r>
    </w:p>
    <w:p w14:paraId="7E2E6C1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Итак, конструкция орудий РОТ-82 позволяла без ущерба для аэроди</w:t>
      </w:r>
      <w:r w:rsidRPr="00722885">
        <w:rPr>
          <w:rFonts w:ascii="Times New Roman" w:hAnsi="Times New Roman"/>
          <w:color w:val="000000" w:themeColor="text1"/>
          <w:sz w:val="16"/>
          <w:szCs w:val="16"/>
        </w:rPr>
        <w:softHyphen/>
        <w:t>намики самолета увеличить боезапас РС на борту ровно вдвое. Но на вооружение она не поступила. Пока не обнаружено и документальных свидетельств, подтверждающих проведение полигонных испытаний ору</w:t>
      </w:r>
      <w:r w:rsidRPr="00722885">
        <w:rPr>
          <w:rFonts w:ascii="Times New Roman" w:hAnsi="Times New Roman"/>
          <w:color w:val="000000" w:themeColor="text1"/>
          <w:sz w:val="16"/>
          <w:szCs w:val="16"/>
        </w:rPr>
        <w:softHyphen/>
        <w:t>дия. Анализ конструкции РОТ-82 и предыдущий опыт эксплуатации РО-82 приводит к некоторым далеко неутешительным выводам.</w:t>
      </w:r>
    </w:p>
    <w:p w14:paraId="55F4B3B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Во-первых, тандемное размещение реактивных боеприпасов практи</w:t>
      </w:r>
      <w:r w:rsidRPr="00722885">
        <w:rPr>
          <w:rFonts w:ascii="Times New Roman" w:hAnsi="Times New Roman"/>
          <w:color w:val="000000" w:themeColor="text1"/>
          <w:sz w:val="16"/>
          <w:szCs w:val="16"/>
        </w:rPr>
        <w:softHyphen/>
        <w:t>чески исключало применение снарядов РОС-82 и М-8, окончательно сна</w:t>
      </w:r>
      <w:r w:rsidRPr="00722885">
        <w:rPr>
          <w:rFonts w:ascii="Times New Roman" w:hAnsi="Times New Roman"/>
          <w:color w:val="000000" w:themeColor="text1"/>
          <w:sz w:val="16"/>
          <w:szCs w:val="16"/>
        </w:rPr>
        <w:softHyphen/>
        <w:t>ряженных головными дистанционными трубками АГДТ. То есть, стрелять из него по воздушным целям было невозможно. С учетом высокой темпе</w:t>
      </w:r>
      <w:r w:rsidRPr="00722885">
        <w:rPr>
          <w:rFonts w:ascii="Times New Roman" w:hAnsi="Times New Roman"/>
          <w:color w:val="000000" w:themeColor="text1"/>
          <w:sz w:val="16"/>
          <w:szCs w:val="16"/>
        </w:rPr>
        <w:softHyphen/>
        <w:t>ратуры продуктов горения РЗ стартующего переднего снаряда, пороховая запрессовка пиротехнического замедлителя дистанционной трубки задне</w:t>
      </w:r>
      <w:r w:rsidRPr="00722885">
        <w:rPr>
          <w:rFonts w:ascii="Times New Roman" w:hAnsi="Times New Roman"/>
          <w:color w:val="000000" w:themeColor="text1"/>
          <w:sz w:val="16"/>
          <w:szCs w:val="16"/>
        </w:rPr>
        <w:softHyphen/>
        <w:t>го снаряда могла воспламениться и привести АГДТ в действие прямо на направляющих под крылом. Правда, с самолетов-штурмовиков предпочи</w:t>
      </w:r>
      <w:r w:rsidRPr="00722885">
        <w:rPr>
          <w:rFonts w:ascii="Times New Roman" w:hAnsi="Times New Roman"/>
          <w:color w:val="000000" w:themeColor="text1"/>
          <w:sz w:val="16"/>
          <w:szCs w:val="16"/>
        </w:rPr>
        <w:softHyphen/>
        <w:t>тали вести огонь только по наземным целям, а для этого использовали контактные взрыватели АМ-А без пиротехнических замедлителей. Но. да</w:t>
      </w:r>
      <w:r w:rsidRPr="00722885">
        <w:rPr>
          <w:rFonts w:ascii="Times New Roman" w:hAnsi="Times New Roman"/>
          <w:color w:val="000000" w:themeColor="text1"/>
          <w:sz w:val="16"/>
          <w:szCs w:val="16"/>
        </w:rPr>
        <w:softHyphen/>
        <w:t>же это не спасало ситуацию. Высокой скорости истечения продуктов горе</w:t>
      </w:r>
      <w:r w:rsidRPr="00722885">
        <w:rPr>
          <w:rFonts w:ascii="Times New Roman" w:hAnsi="Times New Roman"/>
          <w:color w:val="000000" w:themeColor="text1"/>
          <w:sz w:val="16"/>
          <w:szCs w:val="16"/>
        </w:rPr>
        <w:softHyphen/>
        <w:t>ния РЗ переднего снаряда было достаточно, чтобы смять крыльчатку взрывателя АМ-А заднего снаряда. После чего гарантии его взведения на траектории катастрофически уменьшались. Взрывателями без крыльча</w:t>
      </w:r>
      <w:r w:rsidRPr="00722885">
        <w:rPr>
          <w:rFonts w:ascii="Times New Roman" w:hAnsi="Times New Roman"/>
          <w:color w:val="000000" w:themeColor="text1"/>
          <w:sz w:val="16"/>
          <w:szCs w:val="16"/>
        </w:rPr>
        <w:softHyphen/>
        <w:t>ток — АМ-Аб/в — снаряжать авиационные РС было категорически запре</w:t>
      </w:r>
      <w:r w:rsidRPr="00722885">
        <w:rPr>
          <w:rFonts w:ascii="Times New Roman" w:hAnsi="Times New Roman"/>
          <w:color w:val="000000" w:themeColor="text1"/>
          <w:sz w:val="16"/>
          <w:szCs w:val="16"/>
        </w:rPr>
        <w:softHyphen/>
        <w:t>щено. А кроме того, если отступить от этого правила, АМ-Аб/в заднего снаряда мог сработать в момент старта переднего боеприпаса.</w:t>
      </w:r>
    </w:p>
    <w:p w14:paraId="279EA6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Во-вторых, только теоретически считалось, что реактивное вооруже</w:t>
      </w:r>
      <w:r w:rsidRPr="00722885">
        <w:rPr>
          <w:rFonts w:ascii="Times New Roman" w:hAnsi="Times New Roman"/>
          <w:color w:val="000000" w:themeColor="text1"/>
          <w:sz w:val="16"/>
          <w:szCs w:val="16"/>
        </w:rPr>
        <w:softHyphen/>
        <w:t>ние не создает сил отдачи. На самом деле, стартующие РС в немалой сте</w:t>
      </w:r>
      <w:r w:rsidRPr="00722885">
        <w:rPr>
          <w:rFonts w:ascii="Times New Roman" w:hAnsi="Times New Roman"/>
          <w:color w:val="000000" w:themeColor="text1"/>
          <w:sz w:val="16"/>
          <w:szCs w:val="16"/>
        </w:rPr>
        <w:softHyphen/>
        <w:t>пени воздействовали на элементы конструкции РО и планера, находя</w:t>
      </w:r>
      <w:r w:rsidRPr="00722885">
        <w:rPr>
          <w:rFonts w:ascii="Times New Roman" w:hAnsi="Times New Roman"/>
          <w:color w:val="000000" w:themeColor="text1"/>
          <w:sz w:val="16"/>
          <w:szCs w:val="16"/>
        </w:rPr>
        <w:softHyphen/>
        <w:t xml:space="preserve">щиеся в зоне истечения струи продуктов горения РЗ. В эксплуатации вооружения бывали случаи, когда при стрельбе на </w:t>
      </w:r>
      <w:r w:rsidRPr="00722885">
        <w:rPr>
          <w:rFonts w:ascii="Times New Roman" w:hAnsi="Times New Roman"/>
          <w:color w:val="000000" w:themeColor="text1"/>
          <w:sz w:val="16"/>
          <w:szCs w:val="16"/>
        </w:rPr>
        <w:lastRenderedPageBreak/>
        <w:t>РО отрывались проч</w:t>
      </w:r>
      <w:r w:rsidRPr="00722885">
        <w:rPr>
          <w:rFonts w:ascii="Times New Roman" w:hAnsi="Times New Roman"/>
          <w:color w:val="000000" w:themeColor="text1"/>
          <w:sz w:val="16"/>
          <w:szCs w:val="16"/>
        </w:rPr>
        <w:softHyphen/>
        <w:t>но закрепленные пиропистолеты. Таким образом, передний пиропистолет РОТ-82, установленный на подвижном кронштейне, как слабое зве</w:t>
      </w:r>
      <w:r w:rsidRPr="00722885">
        <w:rPr>
          <w:rFonts w:ascii="Times New Roman" w:hAnsi="Times New Roman"/>
          <w:color w:val="000000" w:themeColor="text1"/>
          <w:sz w:val="16"/>
          <w:szCs w:val="16"/>
        </w:rPr>
        <w:softHyphen/>
        <w:t>но, был подвержен наибольшей вероятности выхода из строя.</w:t>
      </w:r>
    </w:p>
    <w:p w14:paraId="0C6D341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в-третьих, с точки зрения сопротивления материалов, балка ра</w:t>
      </w:r>
      <w:r w:rsidRPr="00722885">
        <w:rPr>
          <w:rFonts w:ascii="Times New Roman" w:hAnsi="Times New Roman"/>
          <w:color w:val="000000" w:themeColor="text1"/>
          <w:sz w:val="16"/>
          <w:szCs w:val="16"/>
        </w:rPr>
        <w:softHyphen/>
        <w:t>кетного орудия (при сохранении сечения) получала вдвое большую ста</w:t>
      </w:r>
      <w:r w:rsidRPr="00722885">
        <w:rPr>
          <w:rFonts w:ascii="Times New Roman" w:hAnsi="Times New Roman"/>
          <w:color w:val="000000" w:themeColor="text1"/>
          <w:sz w:val="16"/>
          <w:szCs w:val="16"/>
        </w:rPr>
        <w:softHyphen/>
        <w:t>тическую нагрузку (от двух боеприпасов). Удлиненные свободные кон</w:t>
      </w:r>
      <w:r w:rsidRPr="00722885">
        <w:rPr>
          <w:rFonts w:ascii="Times New Roman" w:hAnsi="Times New Roman"/>
          <w:color w:val="000000" w:themeColor="text1"/>
          <w:sz w:val="16"/>
          <w:szCs w:val="16"/>
        </w:rPr>
        <w:softHyphen/>
        <w:t>соли орудия за узлами креплений в набегающем потоке воздуха неизбеж</w:t>
      </w:r>
      <w:r w:rsidRPr="00722885">
        <w:rPr>
          <w:rFonts w:ascii="Times New Roman" w:hAnsi="Times New Roman"/>
          <w:color w:val="000000" w:themeColor="text1"/>
          <w:sz w:val="16"/>
          <w:szCs w:val="16"/>
        </w:rPr>
        <w:softHyphen/>
        <w:t>но вибрировали. Этому способствовала также и общая вибрация корпу</w:t>
      </w:r>
      <w:r w:rsidRPr="00722885">
        <w:rPr>
          <w:rFonts w:ascii="Times New Roman" w:hAnsi="Times New Roman"/>
          <w:color w:val="000000" w:themeColor="text1"/>
          <w:sz w:val="16"/>
          <w:szCs w:val="16"/>
        </w:rPr>
        <w:softHyphen/>
        <w:t>са машины от работающего двигателя. Сюда же можно добавить и пере</w:t>
      </w:r>
      <w:r w:rsidRPr="00722885">
        <w:rPr>
          <w:rFonts w:ascii="Times New Roman" w:hAnsi="Times New Roman"/>
          <w:color w:val="000000" w:themeColor="text1"/>
          <w:sz w:val="16"/>
          <w:szCs w:val="16"/>
        </w:rPr>
        <w:softHyphen/>
        <w:t>грузки, сопровождающие маневрирование самолета-штурмовика под ог</w:t>
      </w:r>
      <w:r w:rsidRPr="00722885">
        <w:rPr>
          <w:rFonts w:ascii="Times New Roman" w:hAnsi="Times New Roman"/>
          <w:color w:val="000000" w:themeColor="text1"/>
          <w:sz w:val="16"/>
          <w:szCs w:val="16"/>
        </w:rPr>
        <w:softHyphen/>
        <w:t>нем противника с земли. В итоге воздушная стрельба из такого ракетно</w:t>
      </w:r>
      <w:r w:rsidRPr="00722885">
        <w:rPr>
          <w:rFonts w:ascii="Times New Roman" w:hAnsi="Times New Roman"/>
          <w:color w:val="000000" w:themeColor="text1"/>
          <w:sz w:val="16"/>
          <w:szCs w:val="16"/>
        </w:rPr>
        <w:softHyphen/>
        <w:t>го орудия просто не нуждалась в стрелковых прицелах - попасть в цель из него было можно только случайно.</w:t>
      </w:r>
    </w:p>
    <w:p w14:paraId="5473DF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если передний снаряд находился между узлами подвески РОТ-82, то задний «висел», оттягивая свободную консоль пусковой установки. Теоретически, на коротких дистанциях первый выстрел передним снарядом худо-бедно дал бы попадание где-то в районе цели. Зато, второй вы</w:t>
      </w:r>
      <w:r w:rsidRPr="00722885">
        <w:rPr>
          <w:rFonts w:ascii="Times New Roman" w:hAnsi="Times New Roman"/>
          <w:color w:val="000000" w:themeColor="text1"/>
          <w:sz w:val="16"/>
          <w:szCs w:val="16"/>
        </w:rPr>
        <w:softHyphen/>
        <w:t>стрел задним снарядом не оставлял шанса на попадание. Исправить си</w:t>
      </w:r>
      <w:r w:rsidRPr="00722885">
        <w:rPr>
          <w:rFonts w:ascii="Times New Roman" w:hAnsi="Times New Roman"/>
          <w:color w:val="000000" w:themeColor="text1"/>
          <w:sz w:val="16"/>
          <w:szCs w:val="16"/>
        </w:rPr>
        <w:softHyphen/>
        <w:t>туацию можно было либо, усилив жесткость силовой балки пусковой ус</w:t>
      </w:r>
      <w:r w:rsidRPr="00722885">
        <w:rPr>
          <w:rFonts w:ascii="Times New Roman" w:hAnsi="Times New Roman"/>
          <w:color w:val="000000" w:themeColor="text1"/>
          <w:sz w:val="16"/>
          <w:szCs w:val="16"/>
        </w:rPr>
        <w:softHyphen/>
        <w:t>тановки, либо увеличив подвесную базу (расстояние между узлами под</w:t>
      </w:r>
      <w:r w:rsidRPr="00722885">
        <w:rPr>
          <w:rFonts w:ascii="Times New Roman" w:hAnsi="Times New Roman"/>
          <w:color w:val="000000" w:themeColor="text1"/>
          <w:sz w:val="16"/>
          <w:szCs w:val="16"/>
        </w:rPr>
        <w:softHyphen/>
        <w:t>вески) с дополнением ее третьим (промежуточным) подвесным узлом. Первое неизбежно было связано с возрастанием (пусть и незначитель</w:t>
      </w:r>
      <w:r w:rsidRPr="00722885">
        <w:rPr>
          <w:rFonts w:ascii="Times New Roman" w:hAnsi="Times New Roman"/>
          <w:color w:val="000000" w:themeColor="text1"/>
          <w:sz w:val="16"/>
          <w:szCs w:val="16"/>
        </w:rPr>
        <w:softHyphen/>
        <w:t>ным) лобового сопротивления РО. Второе требовало тщательно проду</w:t>
      </w:r>
      <w:r w:rsidRPr="00722885">
        <w:rPr>
          <w:rFonts w:ascii="Times New Roman" w:hAnsi="Times New Roman"/>
          <w:color w:val="000000" w:themeColor="text1"/>
          <w:sz w:val="16"/>
          <w:szCs w:val="16"/>
        </w:rPr>
        <w:softHyphen/>
        <w:t>манного согласования с элементами силового набора крыла и куда более сложной юстировкой РО (11402).</w:t>
      </w:r>
    </w:p>
    <w:p w14:paraId="7C4F0B3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F6F67FE" w14:textId="77777777" w:rsidR="00265C4C" w:rsidRPr="00722885" w:rsidRDefault="00265C4C" w:rsidP="00722885">
      <w:pPr>
        <w:pStyle w:val="12a"/>
        <w:shd w:val="clear" w:color="auto" w:fill="auto"/>
        <w:spacing w:after="0" w:line="240" w:lineRule="auto"/>
        <w:jc w:val="both"/>
        <w:rPr>
          <w:color w:val="000000" w:themeColor="text1"/>
          <w:sz w:val="16"/>
          <w:szCs w:val="16"/>
        </w:rPr>
      </w:pPr>
      <w:r w:rsidRPr="00722885">
        <w:rPr>
          <w:color w:val="000000" w:themeColor="text1"/>
          <w:sz w:val="16"/>
          <w:szCs w:val="16"/>
        </w:rPr>
        <w:t>В 1942 г. было прекращено производство авиа</w:t>
      </w:r>
      <w:r w:rsidRPr="00722885">
        <w:rPr>
          <w:color w:val="000000" w:themeColor="text1"/>
          <w:sz w:val="16"/>
          <w:szCs w:val="16"/>
        </w:rPr>
        <w:softHyphen/>
        <w:t>ционных ракетных снарядов РС-82 и РС-132 и пол</w:t>
      </w:r>
      <w:r w:rsidRPr="00722885">
        <w:rPr>
          <w:color w:val="000000" w:themeColor="text1"/>
          <w:sz w:val="16"/>
          <w:szCs w:val="16"/>
        </w:rPr>
        <w:softHyphen/>
        <w:t>ностью израсходован их небольшой запас, создан</w:t>
      </w:r>
      <w:r w:rsidRPr="00722885">
        <w:rPr>
          <w:color w:val="000000" w:themeColor="text1"/>
          <w:sz w:val="16"/>
          <w:szCs w:val="16"/>
        </w:rPr>
        <w:softHyphen/>
        <w:t>ный в предвоенные годы. В этой связи в штурмо</w:t>
      </w:r>
      <w:r w:rsidRPr="00722885">
        <w:rPr>
          <w:color w:val="000000" w:themeColor="text1"/>
          <w:sz w:val="16"/>
          <w:szCs w:val="16"/>
        </w:rPr>
        <w:softHyphen/>
        <w:t>вые авиачасти ВВС КА для вооружения самолетов Ил-2 сначала стали поступать армейские ракетные снаряды М-8, а позже с 1944 г., и бо</w:t>
      </w:r>
      <w:r w:rsidRPr="00722885">
        <w:rPr>
          <w:color w:val="000000" w:themeColor="text1"/>
          <w:sz w:val="16"/>
          <w:szCs w:val="16"/>
        </w:rPr>
        <w:softHyphen/>
        <w:t>лее мощные снаряды М-13 (17500).</w:t>
      </w:r>
    </w:p>
    <w:p w14:paraId="6FF58211" w14:textId="77777777" w:rsidR="00265C4C" w:rsidRPr="00722885" w:rsidRDefault="00265C4C" w:rsidP="00722885">
      <w:pPr>
        <w:spacing w:after="0" w:line="240" w:lineRule="auto"/>
        <w:jc w:val="both"/>
        <w:rPr>
          <w:rFonts w:ascii="Times New Roman" w:eastAsia="Times New Roman" w:hAnsi="Times New Roman"/>
          <w:color w:val="000000" w:themeColor="text1"/>
          <w:sz w:val="16"/>
          <w:szCs w:val="16"/>
          <w:lang w:eastAsia="ru-RU"/>
        </w:rPr>
      </w:pPr>
    </w:p>
    <w:p w14:paraId="388BBDB0"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63F8D7FC" w14:textId="77777777" w:rsidR="00BB6316" w:rsidRPr="00722885" w:rsidRDefault="00BB6316" w:rsidP="00722885">
      <w:pPr>
        <w:pStyle w:val="Iauiue"/>
        <w:jc w:val="both"/>
        <w:rPr>
          <w:iCs/>
          <w:color w:val="000000" w:themeColor="text1"/>
          <w:sz w:val="16"/>
          <w:szCs w:val="16"/>
        </w:rPr>
      </w:pPr>
    </w:p>
    <w:p w14:paraId="5C82D096" w14:textId="77777777" w:rsidR="008032F3" w:rsidRPr="00722885" w:rsidRDefault="008032F3"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в связи с приемом для снаряжения боеприпасов гексогенсодержащих составов А-1Х-2 и ТГА и переходом на снаряжание ими более 20 изделий массовой номенклатуры, потребность в гексогене также рез</w:t>
      </w:r>
      <w:r w:rsidRPr="00722885">
        <w:rPr>
          <w:rFonts w:ascii="Times New Roman" w:hAnsi="Times New Roman"/>
          <w:color w:val="000000" w:themeColor="text1"/>
          <w:sz w:val="16"/>
          <w:szCs w:val="16"/>
        </w:rPr>
        <w:softHyphen/>
        <w:t>ко возросла. Увеличилась и потребность в тетриле, в первую очередь для производства взрывателей и дополнительных детонаторов БЧ РС (11402).</w:t>
      </w:r>
    </w:p>
    <w:p w14:paraId="2188F5DE" w14:textId="77777777" w:rsidR="008032F3" w:rsidRPr="00722885" w:rsidRDefault="008032F3" w:rsidP="00722885">
      <w:pPr>
        <w:shd w:val="clear" w:color="auto" w:fill="FFFFFF"/>
        <w:spacing w:after="0" w:line="240" w:lineRule="auto"/>
        <w:jc w:val="both"/>
        <w:rPr>
          <w:rFonts w:ascii="Times New Roman" w:hAnsi="Times New Roman"/>
          <w:color w:val="000000" w:themeColor="text1"/>
          <w:sz w:val="16"/>
          <w:szCs w:val="16"/>
        </w:rPr>
      </w:pPr>
    </w:p>
    <w:p w14:paraId="1E4D044A" w14:textId="77777777" w:rsidR="00783826" w:rsidRPr="00722885" w:rsidRDefault="0078382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на заводе им. Я.М. Свердлова во вновь построенном цехе начался выпуск гексогена. Кроме завода в Дзержинске производство гексогена было освоено на Кемеровском заводе «Коммунар». В августе 1942 г. на этом же заводе введена в эксплуатации вторая очередь производства гексогена. В годы Великой Отечественной войны возникла необходимость повышения эффективности действия некоторых боеприпасов. Для этой цели специалистами Артиллерийского научно-исследовательского морского института (АНИМИ) ВМФ под руководством Е.Г. Ледина было разработано новое мощное смесевое взрывчатое вещество А-IX-2 (смесь флегматизированного гексогена с алюминиевой пудрой), которое долгое время оставалось непревзойденным по мощности и стойкости к ударным нагрузкам (19153).</w:t>
      </w:r>
    </w:p>
    <w:p w14:paraId="0BAA5F08" w14:textId="77777777" w:rsidR="00783826" w:rsidRPr="00722885" w:rsidRDefault="00783826" w:rsidP="00722885">
      <w:pPr>
        <w:spacing w:after="0" w:line="240" w:lineRule="auto"/>
        <w:jc w:val="both"/>
        <w:rPr>
          <w:rFonts w:ascii="Times New Roman" w:hAnsi="Times New Roman"/>
          <w:color w:val="000000" w:themeColor="text1"/>
          <w:sz w:val="16"/>
          <w:szCs w:val="16"/>
        </w:rPr>
      </w:pPr>
    </w:p>
    <w:p w14:paraId="220C68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на базе эвакуированных Рубежанского, Дербеневского и Дорогомиловского химических заводов был основан Завод № 630 НКХП (Завод № 630 НКХП, Кемеровский анилино-красочный комбинат, ОАО «Спектр», ОАО «Анилинокрасочный завод» (АКЗ) /650001  г. Кемерово ул. Черемховская, 1/).</w:t>
      </w:r>
    </w:p>
    <w:p w14:paraId="5119C77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ГКО № 2954 от 1.03.1943 г. на заводе начато строительство цеха по производству фенола. 21.09.1944 г. вышло распоряжение ГКО № 6571 о мерах по скорейшей ликвидации аварии на заводе.</w:t>
      </w:r>
    </w:p>
    <w:p w14:paraId="6504EB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Являлся единственным в стране производителем антрахиноновых красителей.</w:t>
      </w:r>
    </w:p>
    <w:p w14:paraId="08D708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1996 г. предприятие преобразовано в ОАО «Спектр». В 1997 г. на предприятии введена процедура банкротства. В 2000 г. на базе имущественного комплекса ОАО «Спектр» создано дочернее предприятие ОАО «АКЗ». В 10.2003 г. АКЗ прекратил производственную деятельность, в 12.2005 г. введено конкурсное производство.</w:t>
      </w:r>
    </w:p>
    <w:p w14:paraId="3C7533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(1980-е)- 3300 чел.</w:t>
      </w:r>
    </w:p>
    <w:p w14:paraId="774122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Дербеневский химический завод им. И.В. Сталина, АОЗТ «Колорос» /г. Москва ул. Дербеневская, 20/</w:t>
      </w:r>
    </w:p>
    <w:p w14:paraId="18D831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1935-36 г. осуществлялось производство ОВ: дифенилхлорарсина (135 т) и дифенилцианарсина.</w:t>
      </w:r>
    </w:p>
    <w:p w14:paraId="38ECFC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начала войны Дербеневский химзавод был эвакуирован в Кемерово и послужил основой для завода № 630 НКХП. Затем завод вернулся на прежнее место.</w:t>
      </w:r>
    </w:p>
    <w:p w14:paraId="7691A6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красителей (1960-е). При участии НИОПИК были созданы новые производства красителей: активных, экологически безопасных на основе заменителей бензидина.</w:t>
      </w:r>
    </w:p>
    <w:p w14:paraId="4CBBC9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1982 г. завод вошел в состав МНПО НИОПИК. В 1990-х  г. - АОЗТ «Колорос».</w:t>
      </w:r>
    </w:p>
    <w:p w14:paraId="5B2469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(2003 г.)- О. Крейнин.</w:t>
      </w:r>
    </w:p>
    <w:p w14:paraId="1EDEF8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М.А. Чекалин.</w:t>
      </w:r>
    </w:p>
    <w:p w14:paraId="6AF146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научно-технического- М.А. Чекалин (11982).</w:t>
      </w:r>
    </w:p>
    <w:p w14:paraId="453BFEC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9A996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в Москве на месте эвакуированного завода № 217 НКВ образовались Завод № 589 и КБ.</w:t>
      </w:r>
    </w:p>
    <w:p w14:paraId="69FC72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1947 г. при заводе № 589 МВ по приказу МВ № 417с от 28.12.46 г. из КБ завода образовалось ЦКБ-589 МВ. В 1956 г.- в ведении МОП. </w:t>
      </w:r>
    </w:p>
    <w:p w14:paraId="14BA79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1957 г.- разработка оптико-электронных приборов и систем ориентации для всех отечественных КА, бортовых визуальных приборов космонавтов, аппаратуры для исследования Земли</w:t>
      </w:r>
    </w:p>
    <w:p w14:paraId="50D00E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1960 г. разделилось на 2 ОКБ с опытным заводом (в 1969 г. были: СКБ-1 и СКБ-2). С конца 1960-х г. ЦКБ-589 получило название ЦКБ "Геофизика".</w:t>
      </w:r>
    </w:p>
    <w:p w14:paraId="58B8EE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1990 г. НПО «Геофизика»- в ведении МОП. В 1990-е г. НПО имело в Москве 4 производственных площадки общей площадью 212.000 м2 (в т.ч. стендовый корпус площадью 9.000 м2).</w:t>
      </w:r>
    </w:p>
    <w:p w14:paraId="49AE30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1998 г. НПО обанкрочено.</w:t>
      </w:r>
    </w:p>
    <w:p w14:paraId="3A9A90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по ТГСН Ю-700 для новой ракеты Х-25МТП (1995 г.).</w:t>
      </w:r>
    </w:p>
    <w:p w14:paraId="56A6BE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Единственный отечественный производитель оптико-электронных приборов для навигационных систем всех КА (2000-е).</w:t>
      </w:r>
    </w:p>
    <w:p w14:paraId="55E003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(1990-е г.)- более 10.000 чел.</w:t>
      </w:r>
    </w:p>
    <w:p w14:paraId="0DEA19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 директор (1990-е)- А.А. Фомин.</w:t>
      </w:r>
    </w:p>
    <w:p w14:paraId="68DC51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 С.Я. Буяновер, В.А. Хрусталев, (-1960-69 г.-)- Д.М. Хорол. </w:t>
      </w:r>
    </w:p>
    <w:p w14:paraId="67266B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конструкторы: (1960-е)- В.А. Хрусталев (ИК и радиометрическая аппаратура, ОПБ-16, оптические системы ориентации для КА), (1990-е)- А.А. Казамаров (ГСН).</w:t>
      </w:r>
    </w:p>
    <w:p w14:paraId="480755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Внешний управляющий (1998 г.-)- В. Бобылев, (04.2004-05 г.-)- М. Фонарев</w:t>
      </w:r>
    </w:p>
    <w:p w14:paraId="5C5CEAF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Создано: прицел ОПБ-Мр (середина 1950-х), АСП-5НМ (1956 г.)А-1/00; бомбардировочные прицелы: ОПБ-5СН, ОПБ-16 для Як-28; оптическая ГСН для ЗРК «Стрела-1» (1968), «Стрела-10СВ»; ИК ГСН: Т-80НМ для К-80 и Т-80НМД для К-80М, ГСН Т-40А и Т-40А1 (СКБ-2) для К-40Т, ТГС-13К для К-13, ГСН С-1, С-1-200, С1Д58 (1960) для К-8, ТГСН для Р-27Т, ОЛС-27 ("36Ш") для Су-27, МиГ-29, ОЛС-31Е - для МиГ-31, лазерная ГСН для Х-29Л, Х-25Л, оптическая трехспектральная ГСН для ПЗРК "Стрела-2", "Игла"; ИК и радиометрическая аппаратура для КА «Метеор», оптические датчики ориентации для КК 7К-Л1 (1960-е). </w:t>
      </w:r>
    </w:p>
    <w:p w14:paraId="73AE99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ЦКБ-589 МВ, МОП, МАП, завод № 589 НКВ, МВ, МОП, ГКОТ, ЦКБ, ОКБ, НПО "Геофизика" МОП, ГП НПО "Геофизика"</w:t>
      </w:r>
    </w:p>
    <w:p w14:paraId="0C526D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107014 г. Москва ул. Стромынка, 18 тел. 268-37-05, 268-25-32</w:t>
      </w:r>
    </w:p>
    <w:p w14:paraId="515232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СКБ «ГеоКос», ФГУП «НПП «Геофизика-Космос» </w:t>
      </w:r>
    </w:p>
    <w:p w14:paraId="595C4C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107497 г. Москва ул. Иркутская, 11/17 тел. 462-03-43</w:t>
      </w:r>
    </w:p>
    <w:p w14:paraId="44FE2D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«ГеоКос» было в 1990-е г. Разработка космических приборов. В 1997 г. на его базе создано НПП «Геофизика-Космос». По Указу Президента РФ № 1009 от 4.08.2004 г. вошло в число стратегических оборонных предприятий.</w:t>
      </w:r>
    </w:p>
    <w:p w14:paraId="662D18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Участвовало в программах: «Космос», «Восток», «Союз», «Салют», «Мир», «Буран», «Венера», «Марс», «Метеор», «Экспресс», «Союз-Аполлон», «Фобос», «Бион», «Астрон», «Гранат», МКС.</w:t>
      </w:r>
    </w:p>
    <w:p w14:paraId="6B056D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(2002 г.): разработка оптико-электронных приборов определения положения Солнца, звезд и планет, ручных визуальных приборов; приборов для исследования атмосферы Земли (радиометры, фотометры, спектрофотометры, лазерные приборы); имитаторы Солнца, Земли и звезд; высокоточные датчики угла поворота.</w:t>
      </w:r>
    </w:p>
    <w:p w14:paraId="4A545F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А.Н. Егупов.</w:t>
      </w:r>
    </w:p>
    <w:p w14:paraId="21EFBF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(2002 г.)- М.Г. Пирогов.</w:t>
      </w:r>
    </w:p>
    <w:p w14:paraId="058F1C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конструктора по конверсии и международному сотрудничеству (2002 г.)- А.П. Дмитриев (10776).</w:t>
      </w:r>
    </w:p>
    <w:p w14:paraId="5E480FC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D9290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по проекту ГСПИ-1 на базе незаконченной стройки прядильной фабрики «Заря Востока» был построен Завод № 574 НКБ, Ташкентский завод продовольственного машиностроения («Ташпродмаш») НКМВ, ММиП /с. Дурмень Орджоникидзевского р-на Ташкентской обл. «Ташпродмаш» (1948 г.)/. Проектное задание утверждено 28.12.1945 г. Располагался в с. Дурмень в 13 км от Ташкента по трассе Ташкент-Чирчик. В 12.1942-09.1944 г. - в ведении 1ГУ НКБ. В соответствии с распоряжением ГКО № 6657 от 6.10.1944 г. завод № 574 НКБ закрыт, здания и сооружения переданы НКМВ для организации машиностроительного завода. Филиал завода в Чирчике передан в НКХП. По пр. НКМВ № 35 от 27.01.1945 г. на площадке бывшего завода № 574 НКБ организован завод «Ташпродмаш».</w:t>
      </w:r>
    </w:p>
    <w:p w14:paraId="4AC9C8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1947-48 г. завод - в ведении Главпродмаша ММиП.</w:t>
      </w:r>
    </w:p>
    <w:p w14:paraId="3A2A94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(1947 г.) цехи: основные: механический, сборочный, литейный; вспомогательные: инструментальный, ремонтно-механический.</w:t>
      </w:r>
    </w:p>
    <w:p w14:paraId="0E97AA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Количество оборудования: (1946 г.)- 73 ед., (1947 г.)-156 ед.</w:t>
      </w:r>
    </w:p>
    <w:p w14:paraId="6B82A2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(1947 г.)- 9,14 га; застройки (1947 г.)- 5147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производственная (1946 г.)- 2618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(1947 г.). 4400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0D9638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(1946 г.)- 267 чел., (1947 г.)- 292 чел.</w:t>
      </w:r>
    </w:p>
    <w:p w14:paraId="57045C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(1948 г.)- Нарбут.</w:t>
      </w:r>
    </w:p>
    <w:p w14:paraId="5D6ECD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Бер г.</w:t>
      </w:r>
    </w:p>
    <w:p w14:paraId="7ECB2E0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(12.1942 г.)- 568 чел.</w:t>
      </w:r>
      <w:r w:rsidRPr="00722885">
        <w:rPr>
          <w:rFonts w:ascii="Times New Roman" w:hAnsi="Times New Roman"/>
          <w:color w:val="000000" w:themeColor="text1"/>
          <w:sz w:val="16"/>
          <w:szCs w:val="16"/>
          <w:vertAlign w:val="superscript"/>
        </w:rPr>
        <w:t>132</w:t>
      </w:r>
    </w:p>
    <w:p w14:paraId="53B0B5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овощерезка КОБ, закатка ручная КПРЗ, протирка КПВ, КПН, машина резальная КРА, картофелечистка ККЧ, КЧБ, пневматический очиститель МВО, встряхиватель МДВ, шелушитель дисковый, передвижная консервная установка (1947) (11982).</w:t>
      </w:r>
    </w:p>
    <w:p w14:paraId="3D369B7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2F71A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на базе эвакуированных в Молотовскую обл. осенью 1941 г. Сакского и Красноперекопского бромных заводов был образован Уральский химический завод № 749 НКХП, п/я 398, Химкомбинат «Галоген» МХП, Уральское производственное предприятие «Галоген», ОАО «Галоген» /ст. Курья дер. Оверята Молотовской обл./ /614113  г. Пермь ул. Ласьвинская, 98 тел. 55-70-88/. Имел также название «Вышка», а также открытое наименование- п/я 398.</w:t>
      </w:r>
    </w:p>
    <w:p w14:paraId="0CBF39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12.06.1943 г. вышло распоряжение ГКО № 3556 о снабжении завода нефтяным газом. В годы войны- производство бромистого железа (сырья для этапирования бензина).</w:t>
      </w:r>
    </w:p>
    <w:p w14:paraId="1F0217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1950-х  г. начато строительство новых производств- фторорганических и фторнеорганических продуктов. В 1960-е  г. расширено производство брома и бромистых реактивов, созданы новые производства: фтора, фтористого водорода, фтористых солей, фреонов, фторопластов, бытовой химии (дезодорантов, инсектицидов). В 1980-е  г. налажен выпуск шестифтористой серы, гексафторпропилена, спиртов-теломеров. В 1990-е  г. освоен выпуск коагулянта для очистки питьевой воды «Касофт», сульфата аммония, алюмоаммонийных квасцов, точных изделий из фторопласта.</w:t>
      </w:r>
    </w:p>
    <w:p w14:paraId="2E51DE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1992 г. Уральское ПП «Галоген» преобразовано в ОАО «Галоген». В 2009 г. «Галоген» входил в состав компании «Галополимер».</w:t>
      </w:r>
    </w:p>
    <w:p w14:paraId="15D83C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Работы (2005 г.): организация новых производств: новых травильных и чистящих агентов для микроэлектроники; компонентов для литиевых источников питания; модификаторов поверхности тканей и упаковки; кислотных составов для повышения дебита нефтяных скважин; жидких диэлектриков и теплоносителей.</w:t>
      </w:r>
    </w:p>
    <w:p w14:paraId="2387C1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(-2002 г.)- И. Уклонений, (2002-03 г.-)- А. Рубинчик.</w:t>
      </w:r>
    </w:p>
    <w:p w14:paraId="2A13C9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(07-12.2005 г.)- Ч. Боциев. Исполнительный директор (2002-09.2003 г.)- О. Ивасько (осужден).</w:t>
      </w:r>
    </w:p>
    <w:p w14:paraId="5435D7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хладоны:</w:t>
      </w:r>
      <w:r w:rsidRPr="00722885">
        <w:rPr>
          <w:rFonts w:ascii="Times New Roman" w:hAnsi="Times New Roman"/>
          <w:color w:val="000000" w:themeColor="text1"/>
          <w:sz w:val="16"/>
          <w:szCs w:val="16"/>
          <w:lang w:val="en-US"/>
        </w:rPr>
        <w:t>Rll</w:t>
      </w:r>
      <w:r w:rsidRPr="00722885">
        <w:rPr>
          <w:rFonts w:ascii="Times New Roman" w:hAnsi="Times New Roman"/>
          <w:color w:val="000000" w:themeColor="text1"/>
          <w:sz w:val="16"/>
          <w:szCs w:val="16"/>
        </w:rPr>
        <w:t xml:space="preserve">, </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 xml:space="preserve">12, </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 xml:space="preserve">14, </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 xml:space="preserve">22, </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114</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 xml:space="preserve">2, озонобезопасные </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318</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xml:space="preserve">, </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125</w:t>
      </w:r>
      <w:r w:rsidRPr="00722885">
        <w:rPr>
          <w:rFonts w:ascii="Times New Roman" w:hAnsi="Times New Roman"/>
          <w:color w:val="000000" w:themeColor="text1"/>
          <w:sz w:val="16"/>
          <w:szCs w:val="16"/>
          <w:lang w:val="en-US"/>
        </w:rPr>
        <w:t>Xn</w:t>
      </w:r>
      <w:r w:rsidRPr="00722885">
        <w:rPr>
          <w:rFonts w:ascii="Times New Roman" w:hAnsi="Times New Roman"/>
          <w:color w:val="000000" w:themeColor="text1"/>
          <w:sz w:val="16"/>
          <w:szCs w:val="16"/>
        </w:rPr>
        <w:t xml:space="preserve">, </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227</w:t>
      </w:r>
      <w:r w:rsidRPr="00722885">
        <w:rPr>
          <w:rFonts w:ascii="Times New Roman" w:hAnsi="Times New Roman"/>
          <w:color w:val="000000" w:themeColor="text1"/>
          <w:sz w:val="16"/>
          <w:szCs w:val="16"/>
          <w:lang w:val="en-US"/>
        </w:rPr>
        <w:t>CA</w:t>
      </w:r>
      <w:r w:rsidRPr="00722885">
        <w:rPr>
          <w:rFonts w:ascii="Times New Roman" w:hAnsi="Times New Roman"/>
          <w:color w:val="000000" w:themeColor="text1"/>
          <w:sz w:val="16"/>
          <w:szCs w:val="16"/>
        </w:rPr>
        <w:t xml:space="preserve">, </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218 (1990-е-2000-е); фторопласты, фторполимеры и изделия из них; неорганические продукты (фтористый водород, хлористый кальций, тринатрийфосфат, квасцы алюмокалиевые, элегаз, нитрид бора, трехфтористый бор); неорганические соли; плавиковые кислоты; коагулянты (сульфат алюминия, «Касофт») (2002) (11982).</w:t>
      </w:r>
    </w:p>
    <w:p w14:paraId="309EB34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35078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на площадке завода № 530 был образован Завод № 604 (Завод № 604 НКБ, и/я 19 /ст. Железнодорожная п/я 19 «Гудок» (1943 г.)/ / г. Железнодорожный Московской обл./). В 12.1942-11.1943 г. - в ведении 2ГУ НКБ, в 09.1944 г. - в ведении 8ГУ. Имел обозначение «п/я 19» (1943 г.).</w:t>
      </w:r>
    </w:p>
    <w:p w14:paraId="512E415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Строились в 1943 г.: корпус № 1, цехи: деревотарный, инструментально-ремонтный. Количество оборудования- 136 ед.</w:t>
      </w:r>
    </w:p>
    <w:p w14:paraId="768DB1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1947 г. при заводе образовано ОКБ, далее- ГСКБ-604.</w:t>
      </w:r>
    </w:p>
    <w:p w14:paraId="34E5F2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(1943 г.): производственная- 2000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вспомогательная- 1000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48652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(12.1942 г.)- 300 чел.</w:t>
      </w:r>
    </w:p>
    <w:p w14:paraId="601C82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(1942-43 г.)- И.М. Шнырев, (04.1943 г.)- Годлевский, (1945-46 г.)- Д.Л. Михайлов, (1958-64 г.)- Д.В. Михалев.</w:t>
      </w:r>
    </w:p>
    <w:p w14:paraId="40D72D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планового (04.1943 г.)- Терехов.</w:t>
      </w:r>
      <w:r w:rsidRPr="00722885">
        <w:rPr>
          <w:rFonts w:ascii="Times New Roman" w:hAnsi="Times New Roman"/>
          <w:color w:val="000000" w:themeColor="text1"/>
          <w:sz w:val="16"/>
          <w:szCs w:val="16"/>
          <w:vertAlign w:val="superscript"/>
        </w:rPr>
        <w:t>132</w:t>
      </w:r>
    </w:p>
    <w:p w14:paraId="19EF5C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завода № 604, ГСКБ-604 МСХМ, ММ /г. Железнодорожный Московской обл./</w:t>
      </w:r>
    </w:p>
    <w:p w14:paraId="0EAA04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завода № 604 образовано в 1947 г., в 1951 г. преобразовано в ГСКБ-604. До 1952 г. находилось в ведении МСХМ, в 1953 г.- в ведении ММ. В 1962 г. на базе ГСКБ-604 создан НИТИ-11.</w:t>
      </w:r>
    </w:p>
    <w:p w14:paraId="2B6892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пост. СМ № 578-236 от 30.05.1960 г. ГСКБ поручено создание взрывателя для РСЗО «Град». Руководитель (1947-48 г.)- А.П. Баталин, (1949-50 г.)- Н.Н. Чашин, (1952-58 г.)- С.И. Чичков, (1958-62 г.)- В.Н. Бессонов.</w:t>
      </w:r>
      <w:r w:rsidRPr="00722885">
        <w:rPr>
          <w:rFonts w:ascii="Times New Roman" w:hAnsi="Times New Roman"/>
          <w:color w:val="000000" w:themeColor="text1"/>
          <w:sz w:val="16"/>
          <w:szCs w:val="16"/>
          <w:vertAlign w:val="superscript"/>
        </w:rPr>
        <w:t>101</w:t>
      </w:r>
    </w:p>
    <w:p w14:paraId="65CAEC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АБ: ОФАБ, ИОАБ-501м.</w:t>
      </w:r>
    </w:p>
    <w:p w14:paraId="34D3B36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89702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1942 г. завод № 70 4ГУ (Завод № 70 им. Владимира Ильича НКТМ, НКОП, Завод Гоппера,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(«Электро ЗВИ») / г. Москва ул. Павловская;  г. Москва 54 п/я 1362 «Рама» (1943 г.)/ /115093  г. Москва Партийный пер., 1 к. 11/) восстановлен на старом месте. 16.04.1943 г. вышло постановление ГКО № 3192 о расширении завода. 21.10.1943 г. вышло распоряжение ГКО № 4383 о мерах по обеспечению выполнения плана производства корпусов снарядов на заводе. 5.12.1944 г. вышло постановление ГКО № 7076 об обеспечении завода спецукупоркой для 85-мм и 122-мм снарядов. Во время ВОВ- основной производитель РС-82 (и М-8), головное предприятие по изготовлению корпусов для </w:t>
      </w:r>
      <w:r w:rsidRPr="00722885">
        <w:rPr>
          <w:rFonts w:ascii="Times New Roman" w:hAnsi="Times New Roman"/>
          <w:color w:val="000000" w:themeColor="text1"/>
          <w:sz w:val="16"/>
          <w:szCs w:val="16"/>
          <w:lang w:val="en-US"/>
        </w:rPr>
        <w:t>PC</w:t>
      </w:r>
      <w:r w:rsidRPr="00722885">
        <w:rPr>
          <w:rFonts w:ascii="Times New Roman" w:hAnsi="Times New Roman"/>
          <w:color w:val="000000" w:themeColor="text1"/>
          <w:sz w:val="16"/>
          <w:szCs w:val="16"/>
        </w:rPr>
        <w:t>-132. Здесь специалисты НИИ-3 НКБ осваивали промышленное производство всех РС-ов. Выпускались также артиллерийские снаряды. В 1945 г. часть рабочих (700 чел.) с ликвидированного завода № 562 НКБ при НИИ-6 переведены на завод им. Владимира Ильича.</w:t>
      </w:r>
    </w:p>
    <w:p w14:paraId="1450D1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основные цехи (1943 г.): механические, кузнечно-прессовый, термический, черного литья, цветного литья. Количество оборудования-1170 ед.</w:t>
      </w:r>
    </w:p>
    <w:p w14:paraId="7B8592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04.1943 г. - Ордена Ленина и Ордена Трудового Красного Знамени завод № 70 им. Владимира Ильича. В 09.1944 г. - в 4ГУ НКБ. С 1946 г. завод № 70 - в ведении МСХМ, с 1947 г.- в ведении МЭП. В 1951 г. переименован в Московский электромеханический завод им. Владимира Ильича МЭП, с 1953 г.- в ведении МЭТП. В 1957-65 г.- в ведении Управления электротехнической промышленности МосгорСНХ, с 1965 г.- вновь в ведении МЭТП.</w:t>
      </w:r>
    </w:p>
    <w:p w14:paraId="4E489F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велись работы по изучению и воспроизводству систем подрыва БЧ немецких ракет.</w:t>
      </w:r>
      <w:r w:rsidRPr="00722885">
        <w:rPr>
          <w:rFonts w:ascii="Times New Roman" w:hAnsi="Times New Roman"/>
          <w:color w:val="000000" w:themeColor="text1"/>
          <w:sz w:val="16"/>
          <w:szCs w:val="16"/>
          <w:vertAlign w:val="superscript"/>
        </w:rPr>
        <w:t>92</w:t>
      </w:r>
    </w:p>
    <w:p w14:paraId="532A53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войны освоено производство насосов для откачки воды из затопленных шахт Донбасса, изготовлены опытные образцы первых в стране самоходных комбайнов. В 1947 г. завод переключился на производство электродвигателей и другой электротехнической продукции. Была освоена первая единая серия асинхронных двигателей А. Освоен выпуск стиральных машин с ручным отжимом, затем двухбаковых с центрифугой. Изготовлялись автономные передвижные электростанции, сварочные агрегаты, крупные электродвигатели большой мощности, одномашинные преобразователи частоты.</w:t>
      </w:r>
    </w:p>
    <w:p w14:paraId="19D904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 Владимира Ильича действовал в 1975 г. в Москве. Производство электродвигателей, генераторов (1975 г.).</w:t>
      </w:r>
    </w:p>
    <w:p w14:paraId="35A1426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(1943 г.): производственная- 22835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вспомогательная- 10257 и</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067CC0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(10.1941 г.)- 6353 чел., (12.1942 г.)- 8857 чел.</w:t>
      </w:r>
    </w:p>
    <w:p w14:paraId="7AE0CF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(16.05.1937-38 г.-)- В.И. Хохуля, (-11.1941 г.)- В.И. Базаров, (-04-11.1943 г.-)- Пригульский. Гендиректор (2003 г.)- Е.А. Молчанова.</w:t>
      </w:r>
    </w:p>
    <w:p w14:paraId="1D75CF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(-08-20.12.1937 г.)- К.С. Вощенко (снят), (5.02.1938 г.-)- С.М. Москаленко.</w:t>
      </w:r>
    </w:p>
    <w:p w14:paraId="4B9888F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(-08-20.12.1937 г.)- К.С. Вощенко, (5.02.1938 г.-)- С.М. Москаленко, (-04.1943-51 г.)- С.В. Скориков.</w:t>
      </w:r>
      <w:r w:rsidRPr="00722885">
        <w:rPr>
          <w:rFonts w:ascii="Times New Roman" w:hAnsi="Times New Roman"/>
          <w:color w:val="000000" w:themeColor="text1"/>
          <w:sz w:val="16"/>
          <w:szCs w:val="16"/>
          <w:vertAlign w:val="superscript"/>
        </w:rPr>
        <w:t>132</w:t>
      </w:r>
    </w:p>
    <w:p w14:paraId="35CC6E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механо-сборочного (-11.1937 г.)- М.П. Герасимов; литейного (-11.1937 г.)- Е.П. Дымшиц.</w:t>
      </w:r>
      <w:r w:rsidRPr="00722885">
        <w:rPr>
          <w:rFonts w:ascii="Times New Roman" w:hAnsi="Times New Roman"/>
          <w:color w:val="000000" w:themeColor="text1"/>
          <w:sz w:val="16"/>
          <w:szCs w:val="16"/>
          <w:vertAlign w:val="superscript"/>
        </w:rPr>
        <w:t>139</w:t>
      </w:r>
    </w:p>
    <w:p w14:paraId="7EACE3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2-го (-08.1938 г.)- Коровкин; реализации (2007 г.)- Д.Ю. Данилкин.</w:t>
      </w:r>
    </w:p>
    <w:p w14:paraId="49A88BA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отдела: (-07.1938 г.)- Ф.И. Данилов.</w:t>
      </w:r>
    </w:p>
    <w:p w14:paraId="6201FA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корпуса снарядов: 76-мм, 122-мм (1943); электродвигатели: асинхронные А, А2, A3 (11982).</w:t>
      </w:r>
    </w:p>
    <w:p w14:paraId="00E87EC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25347C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был организован Завод № 386 как снаряжательный завод на базе бывш. артиллерийских складов НКО.</w:t>
      </w:r>
    </w:p>
    <w:p w14:paraId="7FF516F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Адрес: Новосибирск, 13, п/я 5</w:t>
      </w:r>
    </w:p>
    <w:p w14:paraId="7880367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Директор – Береговой (10036).</w:t>
      </w:r>
    </w:p>
    <w:p w14:paraId="69B72B01" w14:textId="77777777" w:rsidR="00BB6316" w:rsidRPr="00722885" w:rsidRDefault="00BB6316" w:rsidP="00722885">
      <w:pPr>
        <w:pStyle w:val="Iauiue"/>
        <w:jc w:val="both"/>
        <w:rPr>
          <w:color w:val="000000" w:themeColor="text1"/>
          <w:sz w:val="16"/>
          <w:szCs w:val="16"/>
        </w:rPr>
      </w:pPr>
    </w:p>
    <w:p w14:paraId="32F9BE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на базе оборудования эвакуированных заводов: из Шлиссельбурга (ст. Поповка) цехов по производству дымного пороха и бикфордова шнура (194 ед. оборудования, 525 чел.) завода № 52 НКБ; производства дымного пороха (6 прессов) завода № 9 и производства бикфордова шнура (42 ед.) завода № 59 НКБ был создан Завод № 676 НКБ, ФГУП «Самарский завод «Коммунар» Росбоеприпаса /пос. Петра Дубрава Куйбышевской обл./ /443546 пос. Петра Дубрава Самарской обл. ул. Коммунаров, 3/. Площадка строительства завода была выбрана в 5 км от станции Смышляевка. К 30.12.1941 г. все оборудование прибыло, производство бикфордова шнура восстановлено на мощность 12 тыс. т в год. Все цеха первоначально разместились в деревянных каркасах, обтянутых парусиной с земляной обваловкой. Приказом НКБ от 25.05.1942 г. завод пущен в эксплуатацию, а 18.07.1942 г. выдал первую партию дымного ружейного пороха (этот день считается днем рождения завода). До конца года выпущено 150 т дымных порохов и 100 тыс. м огнепроводного шнура.</w:t>
      </w:r>
    </w:p>
    <w:p w14:paraId="32036A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завод продолжал развиваться, расширен ассортимент продукции. С 1961 г. освоено производство эмульсионных красок, с 1962 г.- раскладных кроватей.</w:t>
      </w:r>
    </w:p>
    <w:p w14:paraId="48072F7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Производство (2000-е  г.): дымные пороха: охотничий, шнуровой для взрывных работ; охотничьи патроны 12 и 16 калибра, сигнальные патроны; лакокрасочная продукция, раскладные кровати, тенты для автомобилей, рукавицы нефтестойкие.</w:t>
      </w:r>
    </w:p>
    <w:p w14:paraId="56B3AB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Указу Президента РФ № 1009 от 4.08.2004 г. ФГУП вошло в число стратегических оборонных предприятий.</w:t>
      </w:r>
    </w:p>
    <w:p w14:paraId="45C97E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(12.1942 г.)- 864 чел. (11982).</w:t>
      </w:r>
    </w:p>
    <w:p w14:paraId="5E16BB6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92094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на базе Тукосмесительного завода НКХП создан снаряжательный завод № 570 НКБ (Завод № 570 НКБ, Тукосмесительный завод НКХП /Азербайджан  г. Баку Сумгаит «Тукосмесь» (1943 г.)/). В 12.1942 г. - в ведении 1ГУ НКБ, был в 11.1943 г.</w:t>
      </w:r>
    </w:p>
    <w:p w14:paraId="61E4EED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завода цехи (1943 г.): основные: ВВ, снаряжения мин; вспомогательные мастерские: ремонтно- механическая, ремонтно-строительная, электро.</w:t>
      </w:r>
    </w:p>
    <w:p w14:paraId="26AB64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(1943 г.): производственная- 2450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вспомогательная- 400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прочая- 420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Численность персонала (12.1942 г.)- 371 чел.; рабочих (04.1943 г.)- 327 чел. И.о. директора (04.1943 г.)- П.А. Коротяев, А.Р. Бабаев. Директор (10.1943 г.)- А.Р. Бабаев. Гл. инженер (04.1943 г.)- П.А. Коротяев. Начальник планового отдела (04.1943 г.)- Маслюков.</w:t>
      </w:r>
    </w:p>
    <w:p w14:paraId="18389D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ВВ: амматол, динамон, шнейдерит; противотанковые мины ЯМ-5М (1943) (11982).</w:t>
      </w:r>
    </w:p>
    <w:p w14:paraId="4F0DE3B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2E573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на месте эвакуированного завода № 314 НКВ организован новый оружейный завод № 536 НКВ. Затем, возможно, это Тульский оружейный завод.</w:t>
      </w:r>
    </w:p>
    <w:p w14:paraId="1781E4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(1943-51 г.)- Н.В. Кочерыгин.</w:t>
      </w:r>
    </w:p>
    <w:p w14:paraId="6D22A6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винтовка снайперская обр. 1891/ЗО г. (1942-44)- 92.305.</w:t>
      </w:r>
      <w:r w:rsidRPr="00722885">
        <w:rPr>
          <w:rFonts w:ascii="Times New Roman" w:hAnsi="Times New Roman"/>
          <w:color w:val="000000" w:themeColor="text1"/>
          <w:sz w:val="16"/>
          <w:szCs w:val="16"/>
          <w:vertAlign w:val="superscript"/>
        </w:rPr>
        <w:t>4</w:t>
      </w:r>
    </w:p>
    <w:p w14:paraId="655625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ГП «Тульский оружейный завод» (ТОЗ), ОАО «ТОЗ» /300002  г. Тула ул. Советская, 1А тел. 32-17-01/</w:t>
      </w:r>
    </w:p>
    <w:p w14:paraId="34EFD4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в Туле вновь создан оружейный завод, (возможно, это завод № 536 НКВ). В 1993 г. завод преобразован в ОАО. В 1996 г. вошел в состав ТПФГ «Точность». По решению правительства № 22-р от 9.01.2004 г. ОАО вошло в перечень стратегических предприятий.</w:t>
      </w:r>
    </w:p>
    <w:p w14:paraId="6FC2D7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2000-е  г. разработана и внедрена технология получения сложноконтурных деталей оружия на электроэрозионных проволочно-вырезных станках "</w:t>
      </w:r>
      <w:r w:rsidRPr="00722885">
        <w:rPr>
          <w:rFonts w:ascii="Times New Roman" w:hAnsi="Times New Roman"/>
          <w:color w:val="000000" w:themeColor="text1"/>
          <w:sz w:val="16"/>
          <w:szCs w:val="16"/>
          <w:lang w:val="en-US"/>
        </w:rPr>
        <w:t>AGIECUT</w:t>
      </w:r>
      <w:r w:rsidRPr="00722885">
        <w:rPr>
          <w:rFonts w:ascii="Times New Roman" w:hAnsi="Times New Roman"/>
          <w:color w:val="000000" w:themeColor="text1"/>
          <w:sz w:val="16"/>
          <w:szCs w:val="16"/>
        </w:rPr>
        <w:t>", на обрабатывающих центрах "</w:t>
      </w:r>
      <w:r w:rsidRPr="00722885">
        <w:rPr>
          <w:rFonts w:ascii="Times New Roman" w:hAnsi="Times New Roman"/>
          <w:color w:val="000000" w:themeColor="text1"/>
          <w:sz w:val="16"/>
          <w:szCs w:val="16"/>
          <w:lang w:val="en-US"/>
        </w:rPr>
        <w:t>HERMLE</w:t>
      </w:r>
      <w:r w:rsidRPr="00722885">
        <w:rPr>
          <w:rFonts w:ascii="Times New Roman" w:hAnsi="Times New Roman"/>
          <w:color w:val="000000" w:themeColor="text1"/>
          <w:sz w:val="16"/>
          <w:szCs w:val="16"/>
        </w:rPr>
        <w:t>"; внедрены процессы высокотемпературной пайки холоднокованых стволов методом электросопротивления, лазерного гравирования.</w:t>
      </w:r>
    </w:p>
    <w:p w14:paraId="20CB36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(2005 г.): ПТУРС, подствольные гранатометы, подводные автоматы и пистолеты, бесшумное оружие, обычное стрелковое оружие, ножи специальные; спортивно-охотничье оружие; строительно-монтажные пистолеты.</w:t>
      </w:r>
    </w:p>
    <w:p w14:paraId="2EF246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(2000-е)- более 6 тыс. чел.</w:t>
      </w:r>
    </w:p>
    <w:p w14:paraId="1F85F6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(-1950 г.)- К.Н. Руднев. Гендиректор (2004 г.)- Н.М. Пушкин.</w:t>
      </w:r>
      <w:r w:rsidRPr="00722885">
        <w:rPr>
          <w:rFonts w:ascii="Times New Roman" w:hAnsi="Times New Roman"/>
          <w:color w:val="000000" w:themeColor="text1"/>
          <w:sz w:val="16"/>
          <w:szCs w:val="16"/>
          <w:vertAlign w:val="superscript"/>
        </w:rPr>
        <w:t>102</w:t>
      </w:r>
    </w:p>
    <w:p w14:paraId="714230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(1974 г.)- Е.А. Дронов.</w:t>
      </w:r>
    </w:p>
    <w:p w14:paraId="1344FC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сбыта (-2004-05 г.-&gt; С. Шишкин (осужден).</w:t>
      </w:r>
    </w:p>
    <w:p w14:paraId="58A143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ПТУР: «Малютка», «Фагот», «Конкурс» (1970-е), «Конкурс-М» (1990-е), 9М113М (2000-е); подствольные гранатометы: «Костер» (1960-е), ГП-25 (1980-е), ГП-30 «Обувка» (1990-е-2000-е); автоматы: АК-74 (1961-), АКС-74У, АКСУ-74, АС, СР-3 (2004); винтовка снайперская ВСС (2000-е); карабины: КС-23М, СКС (1950-е); подводный пистолет СПП-1М; УР 9М113М; ПУ 9П135М; охотничьи ружья: бескурковое ТОЗ-25, «БМ», Т03-34 (1965-); винтовки малокалиберные: ТОЗ-8М, -12, -16, 18; строительно-монтажные пистолеты ПЦ-84, ПМТ-1 (2000-</w:t>
      </w:r>
      <w:r w:rsidRPr="00722885">
        <w:rPr>
          <w:rFonts w:ascii="Times New Roman" w:hAnsi="Times New Roman"/>
          <w:color w:val="000000" w:themeColor="text1"/>
          <w:sz w:val="16"/>
          <w:szCs w:val="16"/>
          <w:lang w:val="en-US"/>
        </w:rPr>
        <w:t>e</w:t>
      </w:r>
      <w:r w:rsidRPr="00722885">
        <w:rPr>
          <w:rFonts w:ascii="Times New Roman" w:hAnsi="Times New Roman"/>
          <w:color w:val="000000" w:themeColor="text1"/>
          <w:sz w:val="16"/>
          <w:szCs w:val="16"/>
        </w:rPr>
        <w:t>) (11982).</w:t>
      </w:r>
    </w:p>
    <w:p w14:paraId="3DB567A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355460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С.Е. Рашковым, С.И. Ермолаевым и В.Е. Слухоцким было разработано 20-мм противотанковое ружье РЕС. Передняя часть приклада представляла собой лоток, через который производилось заряжание ружья и отражение стреляной гильзы. На заднюю часть приклада, имеющую форму трубы, надет подвижный плечевой упор с буферной пружиной для уменьшения усилия отдачи при выстреле. Ствол присоединен к станку посредством штыря Щит крепился к станку двумя защелками. На походе система возилась на повозке, а в бою - на катках. Боекомплект 24 патрона в трех ящиках, кроме того "НЗ" - три патрона в чехлах на щите. Снаряд с бронебойным сердечником (без взрывчатого вещества). На расстоянии 300 м снаряд пробивает броню толщиной до 60 мм (3861).</w:t>
      </w:r>
    </w:p>
    <w:p w14:paraId="296B8F3F" w14:textId="77777777" w:rsidR="00BB6316" w:rsidRPr="00722885" w:rsidRDefault="00BB6316" w:rsidP="00722885">
      <w:pPr>
        <w:pStyle w:val="Iauiue"/>
        <w:jc w:val="both"/>
        <w:rPr>
          <w:color w:val="000000" w:themeColor="text1"/>
          <w:sz w:val="16"/>
          <w:szCs w:val="16"/>
        </w:rPr>
      </w:pPr>
    </w:p>
    <w:p w14:paraId="1E63398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Грабиным была создана пушка ЗИС-96, представлявшая собой установку 76-мм танковой пушки ЗИС-5 в башне танка "Матильда" (3861).</w:t>
      </w:r>
    </w:p>
    <w:p w14:paraId="5FA2E17C" w14:textId="77777777" w:rsidR="00BB6316" w:rsidRPr="00722885" w:rsidRDefault="00BB6316" w:rsidP="00722885">
      <w:pPr>
        <w:pStyle w:val="Iauiue"/>
        <w:jc w:val="both"/>
        <w:rPr>
          <w:color w:val="000000" w:themeColor="text1"/>
          <w:sz w:val="16"/>
          <w:szCs w:val="16"/>
        </w:rPr>
      </w:pPr>
    </w:p>
    <w:p w14:paraId="06B12C0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три опытных экземпляра 25-мм легкой противотанковой пушки ЛПП-25, разработанной Сидоренко, Самусенко и Жуковым в артиллерийской академии им. Дзержинского, были изготовлены в учебно-опытной мастерской академии. В отличии от других легких ротных и батальонных пушек, ЛПП-25 имела подрессоривание и могла буксироваться автомобилем со скоростью 30-40 км/час. Тип подрессоривания - торсионное</w:t>
      </w:r>
    </w:p>
    <w:p w14:paraId="55F334E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в Севастополе батареи N35 и N30 вели огонь буквально до последнего снаряда и были взорваны непосредственно перед захватом немцами Севастополя. (Батарея № 30 взорвана 16 июня, а батарея № 35 в ночь с 1 на 2 июля) (3861).</w:t>
      </w:r>
    </w:p>
    <w:p w14:paraId="6E406CE2" w14:textId="77777777" w:rsidR="00BB6316" w:rsidRPr="00722885" w:rsidRDefault="00BB6316" w:rsidP="00722885">
      <w:pPr>
        <w:pStyle w:val="Iauiue"/>
        <w:jc w:val="both"/>
        <w:rPr>
          <w:color w:val="000000" w:themeColor="text1"/>
          <w:sz w:val="16"/>
          <w:szCs w:val="16"/>
        </w:rPr>
      </w:pPr>
    </w:p>
    <w:p w14:paraId="389E0F7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немцы переделали 358 трофейных 76-мм дивизионных пушек Ф-22, в 1943 году 169 и в 1944 году 33. Следует отметить, что до середины 1943 года 7,62-см PAK 36(r) была самой мощной противотанковой пушкой вермахта. Стрельбы из нее велись только специально разработанными немецкими снарядами.</w:t>
      </w:r>
    </w:p>
    <w:p w14:paraId="22C326E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годы войны немцы восстановили Ф-22 по первоначальному проекту Грабина, хотя они не только не знали этого проекта, но и имени конструктора. Просто они избавили орудие от всех нелепиц Тухачевского и К0. У захваченных Ф-22 немцы расточили камору, заряд увеличили в 2,4 раза, поставили дульный тормоз и уменьшили угол возвышения, а также выключили механизм переменного отката. Пушка получила наименование "7,62-см PАК 36(r)", она использовалась как буксируемая противотанковая пушка, а также устанавливалась на САУ "Мардер II" (Sd.Kfz.132) и "Мардер 38" (Sd.Kfz.139). Кроме того, часть трофейных Ф-22 использовалась в качестве полевых пушек "7,62-см FeldKanone 296 (r)". Угол ВН у 7,62-см PAK 36(r) стал 6; +18, а вес в боевом положении 1710 кг. Передка не было, поскольку у немцев с самого начала войны процент мехтяги был близок к 100. Кстати, немцы использовали и другие трофейные дивизионные пушки. Так, применялась как противотанковая 7,62-см РАК 39(r) и полевая 7,62-см F.K.297(r). А старушка обр. 1902/30 г. у немцев стала полевой пушкой 7,62-см F.K.295/1(r) (3861).</w:t>
      </w:r>
    </w:p>
    <w:p w14:paraId="33B88FB6" w14:textId="77777777" w:rsidR="00BB6316" w:rsidRPr="00722885" w:rsidRDefault="00BB6316" w:rsidP="00722885">
      <w:pPr>
        <w:pStyle w:val="Iauiue"/>
        <w:jc w:val="both"/>
        <w:rPr>
          <w:color w:val="000000" w:themeColor="text1"/>
          <w:sz w:val="16"/>
          <w:szCs w:val="16"/>
        </w:rPr>
      </w:pPr>
    </w:p>
    <w:p w14:paraId="4A6E158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под руководством Грабина в КБ завода № 92 был спроектирован 240-мм миномет ЗИС-27 (3861).</w:t>
      </w:r>
    </w:p>
    <w:p w14:paraId="7C3BCE46" w14:textId="77777777" w:rsidR="00BB6316" w:rsidRPr="00722885" w:rsidRDefault="00BB6316" w:rsidP="00722885">
      <w:pPr>
        <w:pStyle w:val="Iauiue"/>
        <w:jc w:val="both"/>
        <w:rPr>
          <w:color w:val="000000" w:themeColor="text1"/>
          <w:sz w:val="16"/>
          <w:szCs w:val="16"/>
        </w:rPr>
      </w:pPr>
    </w:p>
    <w:p w14:paraId="1D65608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1942 года производство пушек 20К было перенесено на завод № 235, где в 1942 году было выпущено 5090 орудий, а в 1943 году - 3040. На этом производство 45-мм пушек 20К было окончательно прекращено (3861).</w:t>
      </w:r>
    </w:p>
    <w:p w14:paraId="5534A95A" w14:textId="77777777" w:rsidR="00BB6316" w:rsidRPr="00722885" w:rsidRDefault="00BB6316" w:rsidP="00722885">
      <w:pPr>
        <w:pStyle w:val="Iauiue"/>
        <w:jc w:val="both"/>
        <w:rPr>
          <w:color w:val="000000" w:themeColor="text1"/>
          <w:sz w:val="16"/>
          <w:szCs w:val="16"/>
        </w:rPr>
      </w:pPr>
    </w:p>
    <w:p w14:paraId="6051D62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КБ завода № 92 под руководством Грабина на базе 122-мм гаубицы М-30 была спроектирована 107-мм дивизионная пушка 9С-1 (в некоторых документах она именовалась ДС-1). Система имела новый 107-мм ствол, точнее, новую свободную трубу с дульным тормозом. Кожух, казенник и затвор (за исключением выбрасывателя) были взяты от М-30. Люлька и лафет взяты полностью от М-30 с незначительными изменениями. Так, в уравновешивающий механизм введены дополнительно две цилиндрические пружины, в тормозе отката изменен профиль контрштока и т.д. Для 9С-1 был специально спроектирован упрощенный неподрессоренный передок, предназначенный как для возки механической тягой, так и для конной тяги. Колеса передка взяты от автомобиля ГАЗ-АА. На передке был размещен только ЗИП. Новый передок в два раза легче передка М-30. Заряжание пушки раздельно-гильзовое. Баллистические данные и боекомплект полностью соответствовали 107-мм корпусной пушке обр. 1910/30 г (3861).</w:t>
      </w:r>
    </w:p>
    <w:p w14:paraId="3E90BA88" w14:textId="77777777" w:rsidR="00BB6316" w:rsidRPr="00722885" w:rsidRDefault="00BB6316" w:rsidP="00722885">
      <w:pPr>
        <w:pStyle w:val="Iauiue"/>
        <w:jc w:val="both"/>
        <w:rPr>
          <w:color w:val="000000" w:themeColor="text1"/>
          <w:sz w:val="16"/>
          <w:szCs w:val="16"/>
        </w:rPr>
      </w:pPr>
    </w:p>
    <w:p w14:paraId="5150C7A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под руководством Грабина в ЦАКТ был спроектирован 160-мм дивизионный миномет ИС-3 (3861).</w:t>
      </w:r>
    </w:p>
    <w:p w14:paraId="23072543" w14:textId="77777777" w:rsidR="00BB6316" w:rsidRPr="00722885" w:rsidRDefault="00BB6316" w:rsidP="00722885">
      <w:pPr>
        <w:pStyle w:val="Iauiue"/>
        <w:jc w:val="both"/>
        <w:rPr>
          <w:color w:val="000000" w:themeColor="text1"/>
          <w:sz w:val="16"/>
          <w:szCs w:val="16"/>
        </w:rPr>
      </w:pPr>
    </w:p>
    <w:p w14:paraId="642D308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была создана 45-мм противотанковая пушка обр. 1942 г. (М-42), отличавшаяся от 19К увеличением длины ствола с 46 до 68,6 калибров (3861).</w:t>
      </w:r>
    </w:p>
    <w:p w14:paraId="34ABF6A0" w14:textId="77777777" w:rsidR="00BB6316" w:rsidRPr="00722885" w:rsidRDefault="00BB6316" w:rsidP="00722885">
      <w:pPr>
        <w:pStyle w:val="Iauiue"/>
        <w:jc w:val="both"/>
        <w:rPr>
          <w:color w:val="000000" w:themeColor="text1"/>
          <w:sz w:val="16"/>
          <w:szCs w:val="16"/>
        </w:rPr>
      </w:pPr>
    </w:p>
    <w:p w14:paraId="44211F7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в ОКБ-172 был закончен технический проект миномета ОБ-22 (3861).</w:t>
      </w:r>
    </w:p>
    <w:p w14:paraId="45C0A259" w14:textId="77777777" w:rsidR="00BB6316" w:rsidRPr="00722885" w:rsidRDefault="00BB6316" w:rsidP="00722885">
      <w:pPr>
        <w:pStyle w:val="Iauiue"/>
        <w:jc w:val="both"/>
        <w:rPr>
          <w:color w:val="000000" w:themeColor="text1"/>
          <w:sz w:val="16"/>
          <w:szCs w:val="16"/>
        </w:rPr>
      </w:pPr>
    </w:p>
    <w:p w14:paraId="0A20F7D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В 1942 году 82-мм миномет обр. 1937 г. подвергся некоторым изменениям, в частности, механизм горизонтирования был расположен непосредственно на правой ноге двуноги. Ряд мелких изменений было внесено в минометы выпуска 1942, 1943 годов. Наконец, в минометах, выпускавшихся с 1944 года был введен качающийся прицел и отсутствовал механизм точного горизонтирования. Был и 82-мм батальонный миномет обр. 1941 г., который отличался от обр. 1937 г. наличием отделяемого колесного хода, опорной плитой арочной конструкции (как у 107-мм и 120-мм минометов), а также двуногой иной конструкции. Колеса надевались на полуоси ног двуноги и при стрельбе снимались. Конструктивные усовершенствования были подчинены технологическим возможностям производства и направлены на уменьшение массы миномета, трудозатрат при его изготовлении и улучшении маневренных характеристик. Баллистические характеристики миномета обр. 1941 года были аналогичны образцу 1937 года. 82-мм миномет обр. 1941 г. имел некоторые удобства при транспортировке по сравнению с обр. 1937 г., но зато был менее устойчив при стрельбе и имел худшую кучность по сравнению с обр. 1937 г. С целью устранения недостатков 82-мм миномета обр. 1941 г. была проведена его модернизация. В ходе нее была изменена конструкция двуноги, колеса и крепления прицела. Модернизированный миномет получил название 82-мм миномет обр. </w:t>
      </w:r>
      <w:r w:rsidRPr="00722885">
        <w:rPr>
          <w:color w:val="000000" w:themeColor="text1"/>
          <w:sz w:val="16"/>
          <w:szCs w:val="16"/>
        </w:rPr>
        <w:lastRenderedPageBreak/>
        <w:t>1943 г. Вот почему минометы обр. 1937 г. в ходе Великой Отечественной войны производились параллельно с минометами обр. 1941 г. и обр. 1943 г. Для стрельбы из 82-мм минометов всех образцов применялись осколочные шестиперые и десятиперые мины и дымовые шестиперые мины. Кроме того, эпизодически применялись и агитационные мины. 82-мм осколочные мины О-832 и О-832Д давали 400-600 убойных осколков весом более 1 гр. Радиус сплошного поражения у них был 6 м, а действительного поражения 18 м. Площадью сплошного поражения принято называть площадь, на которой при разрыве одной мины поражается не менее 90% всех стоячих целей. Площадью действительного поражения принято называть площадь, на краях которой при разрыве одной мины поражается не менее 50% всех стоячих целей (3861).</w:t>
      </w:r>
    </w:p>
    <w:p w14:paraId="2DCFCB58" w14:textId="77777777" w:rsidR="00BB6316" w:rsidRPr="00722885" w:rsidRDefault="00BB6316" w:rsidP="00722885">
      <w:pPr>
        <w:pStyle w:val="Iauiue"/>
        <w:jc w:val="both"/>
        <w:rPr>
          <w:color w:val="000000" w:themeColor="text1"/>
          <w:sz w:val="16"/>
          <w:szCs w:val="16"/>
        </w:rPr>
      </w:pPr>
    </w:p>
    <w:p w14:paraId="17B8AE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на завод № 172 эвакуирована основная часть артиллерийского ОТБ НКВД (бывшего Главного артиллерийского КБ). Кроме того, сотрудники размещались в других местах города. На заводе ОТБ действовало как ОКБ-172. В 12.1944 г. ОКБ-172 вернулось на свое старое место в Ленинград (10776).</w:t>
      </w:r>
    </w:p>
    <w:p w14:paraId="23000CC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3F733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бал основан Артиллерийский завод в Свердловске. В 1992 г. назывался «Спецмаш» и при акционировании вошел в состав «Уралмаша». В 2003 г. назывался ГП «Завод № 9». По Указу Президента РФ № 1009 от 4.08.2004 г. вошел в число стратегических оборонных предприятий. На базе УВЗ в 2006 г. планируется создание холдинга, в который также войдут ООО Завод № 9, «ЧТЗ-Уралтрак», Уралтрансмаш.</w:t>
      </w:r>
    </w:p>
    <w:p w14:paraId="4D74A7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(годы ВОВ) САУ: гаубица М-30 на шасси Т-34; пушки: Д-11, Д-50 (1952-57); самоходная противотанковая пушка 2А45М (1990-е); орудийные стволы (2003 г.).</w:t>
      </w:r>
    </w:p>
    <w:p w14:paraId="0F50E0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Создано гусеничное шасси для ЗРК С-300В.58 </w:t>
      </w:r>
    </w:p>
    <w:p w14:paraId="2CC918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9, АО «Спецмаш», ГП «Завод № 9»</w:t>
      </w:r>
    </w:p>
    <w:p w14:paraId="39CB5D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Свердловск, г. Екатеринбург</w:t>
      </w:r>
    </w:p>
    <w:p w14:paraId="49D3BB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ОКБ-9 Свердловского СНХ на заводе «Уралмаш», КБ им. Ф.Ф. Петрова</w:t>
      </w:r>
    </w:p>
    <w:p w14:paraId="5AD40C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Свердловск, Екатеринбург</w:t>
      </w:r>
    </w:p>
    <w:p w14:paraId="13EBBC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Основано вместе с заводом в 1942 г. Разработка в годы войны и после САУ, пушек. В конце 1950-х г. разработан ракетный комплекс с БРТ «Онега» (испытана в 1959 г.).</w:t>
      </w:r>
    </w:p>
    <w:p w14:paraId="55BDB7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(годы ВОВ)- Ф.Ф. Петров (10776).</w:t>
      </w:r>
    </w:p>
    <w:p w14:paraId="6A37C2A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832D14F" w14:textId="77777777" w:rsidR="00BB6316" w:rsidRPr="00722885" w:rsidRDefault="00BB6316" w:rsidP="00722885">
      <w:pPr>
        <w:pStyle w:val="Iauiue"/>
        <w:tabs>
          <w:tab w:val="left" w:pos="11199"/>
        </w:tabs>
        <w:jc w:val="both"/>
        <w:rPr>
          <w:color w:val="000000" w:themeColor="text1"/>
          <w:sz w:val="16"/>
          <w:szCs w:val="16"/>
        </w:rPr>
      </w:pPr>
      <w:r w:rsidRPr="00722885">
        <w:rPr>
          <w:color w:val="000000" w:themeColor="text1"/>
          <w:sz w:val="16"/>
          <w:szCs w:val="16"/>
        </w:rPr>
        <w:t>В 1942 году завод № 769 (п/я 15а) 2ГУ НКМВ, г. Тюмень, созданный на базе Экскаваторного завода (выпускал и в 1942 году) осваивал выпуск 82 мм мины (подготовка станков и оборудования) (6839).</w:t>
      </w:r>
    </w:p>
    <w:p w14:paraId="5094CBB2" w14:textId="77777777" w:rsidR="00BB6316" w:rsidRPr="00722885" w:rsidRDefault="00BB6316" w:rsidP="00722885">
      <w:pPr>
        <w:pStyle w:val="Iauiue"/>
        <w:tabs>
          <w:tab w:val="left" w:pos="11199"/>
        </w:tabs>
        <w:jc w:val="both"/>
        <w:rPr>
          <w:color w:val="000000" w:themeColor="text1"/>
          <w:sz w:val="16"/>
          <w:szCs w:val="16"/>
        </w:rPr>
      </w:pPr>
    </w:p>
    <w:p w14:paraId="7757393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по заданию НКВ конструкторским бюро ОКБ-172 была со</w:t>
      </w:r>
      <w:r w:rsidRPr="00722885">
        <w:rPr>
          <w:rFonts w:ascii="Times New Roman" w:hAnsi="Times New Roman"/>
          <w:color w:val="000000" w:themeColor="text1"/>
          <w:sz w:val="16"/>
          <w:szCs w:val="16"/>
        </w:rPr>
        <w:softHyphen/>
        <w:t>здана, а после испытаний рекомендована к принятию на вооружение пушка ВТ-42, отличавшаяся от других 45-мм пушек горизонтальным расположением клинового затвора и увеличенной до 68,6 калибра дли</w:t>
      </w:r>
      <w:r w:rsidRPr="00722885">
        <w:rPr>
          <w:rFonts w:ascii="Times New Roman" w:hAnsi="Times New Roman"/>
          <w:color w:val="000000" w:themeColor="text1"/>
          <w:sz w:val="16"/>
          <w:szCs w:val="16"/>
        </w:rPr>
        <w:softHyphen/>
        <w:t>ной ствола. В 1943 г. для установки в танк Т-80 была разработана и при</w:t>
      </w:r>
      <w:r w:rsidRPr="00722885">
        <w:rPr>
          <w:rFonts w:ascii="Times New Roman" w:hAnsi="Times New Roman"/>
          <w:color w:val="000000" w:themeColor="text1"/>
          <w:sz w:val="16"/>
          <w:szCs w:val="16"/>
        </w:rPr>
        <w:softHyphen/>
        <w:t>нята на вооружение новая 45-мм пушка, получившая марку ВТ-43. В связи с прекращением выпуска легких танков Т-70 и Т-80 обе пушки се</w:t>
      </w:r>
      <w:r w:rsidRPr="00722885">
        <w:rPr>
          <w:rFonts w:ascii="Times New Roman" w:hAnsi="Times New Roman"/>
          <w:color w:val="000000" w:themeColor="text1"/>
          <w:sz w:val="16"/>
          <w:szCs w:val="16"/>
        </w:rPr>
        <w:softHyphen/>
        <w:t>рийно не производились. Разработка 57-мм танковой пушки ЗИС-4, которой планировалось вооружать средние танки Т-34, была начата в ОКБ завода № 92 под ру</w:t>
      </w:r>
      <w:r w:rsidRPr="00722885">
        <w:rPr>
          <w:rFonts w:ascii="Times New Roman" w:hAnsi="Times New Roman"/>
          <w:color w:val="000000" w:themeColor="text1"/>
          <w:sz w:val="16"/>
          <w:szCs w:val="16"/>
        </w:rPr>
        <w:softHyphen/>
        <w:t>ководством В.Г. Грабина еще в конце 1940 г. За основу при разработке нового танкового орудия была взята противотанковая пушка ЗИС-2. В декабре того же года опытный образец пушки поступил на заводские ис</w:t>
      </w:r>
      <w:r w:rsidRPr="00722885">
        <w:rPr>
          <w:rFonts w:ascii="Times New Roman" w:hAnsi="Times New Roman"/>
          <w:color w:val="000000" w:themeColor="text1"/>
          <w:sz w:val="16"/>
          <w:szCs w:val="16"/>
        </w:rPr>
        <w:softHyphen/>
        <w:t>пытания, которые продолжались до марта 1941 г. В танке Т-34 опытный образец пушки был установлен в мае 1941 г. По результатам проведения испытаний в ее конструкцию были внесены соответствующие измене</w:t>
      </w:r>
      <w:r w:rsidRPr="00722885">
        <w:rPr>
          <w:rFonts w:ascii="Times New Roman" w:hAnsi="Times New Roman"/>
          <w:color w:val="000000" w:themeColor="text1"/>
          <w:sz w:val="16"/>
          <w:szCs w:val="16"/>
        </w:rPr>
        <w:softHyphen/>
        <w:t>ния. Модернизированный образец орудия, установленный в танке Т-34, прошел испытания на Софринском полигоне уже после начала войны - в июле 1941 г. Ввиду крайней необходимости в противотанковых средствах пушка ЗИС-4 была принята на вооружение и с середины ию</w:t>
      </w:r>
      <w:r w:rsidRPr="00722885">
        <w:rPr>
          <w:rFonts w:ascii="Times New Roman" w:hAnsi="Times New Roman"/>
          <w:color w:val="000000" w:themeColor="text1"/>
          <w:sz w:val="16"/>
          <w:szCs w:val="16"/>
        </w:rPr>
        <w:softHyphen/>
        <w:t>ля 1941 г. поставлена на серийное производство на заводе № 92, которое продолжалось в течение осени 1941 г. В декабре того же года ввиду трудностей производственного характера (загруженность завода "Бар</w:t>
      </w:r>
      <w:r w:rsidRPr="00722885">
        <w:rPr>
          <w:rFonts w:ascii="Times New Roman" w:hAnsi="Times New Roman"/>
          <w:color w:val="000000" w:themeColor="text1"/>
          <w:sz w:val="16"/>
          <w:szCs w:val="16"/>
        </w:rPr>
        <w:softHyphen/>
        <w:t>рикады", поставлявшего трубы для стволов) и недостатка боеприпасов, а также отсутствия у противника тяжелых танков с мощной броневой защитой, производство 57-мм пушек ЗИС-4 было законсервировано. Вернулись к производству 57-мм танковых пушек ЗИС-4 в 1943 г., ког</w:t>
      </w:r>
      <w:r w:rsidRPr="00722885">
        <w:rPr>
          <w:rFonts w:ascii="Times New Roman" w:hAnsi="Times New Roman"/>
          <w:color w:val="000000" w:themeColor="text1"/>
          <w:sz w:val="16"/>
          <w:szCs w:val="16"/>
        </w:rPr>
        <w:softHyphen/>
        <w:t>да они стали единственными, освоенными в производстве артиллерий</w:t>
      </w:r>
      <w:r w:rsidRPr="00722885">
        <w:rPr>
          <w:rFonts w:ascii="Times New Roman" w:hAnsi="Times New Roman"/>
          <w:color w:val="000000" w:themeColor="text1"/>
          <w:sz w:val="16"/>
          <w:szCs w:val="16"/>
        </w:rPr>
        <w:softHyphen/>
        <w:t>скими системами, способными поражать новые немецкие танки Т-VI "Тигр I". В апреле 1943 г. на вооружение был принят бронебойно-подка-либерный снаряд для 57-мм пушки. Бронепробиваемость этого снаряда по нормали на дальности 500 м составляла 146 мм. Такая высокая бро-непробивемость была достигнута за счет увеличения начальной скоро</w:t>
      </w:r>
      <w:r w:rsidRPr="00722885">
        <w:rPr>
          <w:rFonts w:ascii="Times New Roman" w:hAnsi="Times New Roman"/>
          <w:color w:val="000000" w:themeColor="text1"/>
          <w:sz w:val="16"/>
          <w:szCs w:val="16"/>
        </w:rPr>
        <w:softHyphen/>
        <w:t>сти снаряда до 1270 м/с (10703).</w:t>
      </w:r>
    </w:p>
    <w:p w14:paraId="683ACC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2CD86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1942 г. пироксилино-селитренный порох ПС, позволивший использовать мощности заводов пироксилиновых порохов и ликвидировать разрыв между производством корпусов реактивных снарядов и пороховых зарядов к ним, несомненно сыграл положительную роль, т.к. позволил Красной Армии применять реактивные снаряды М-8 и M-13 в достаточно широких масштабах. Однако пироксилино-селитренный порох ПС имел серьезные недостатки, главным из которых был наблюдавшийся в ряде случаев разрыв ракетных камер при стрельбе (один случай на 300). </w:t>
      </w:r>
    </w:p>
    <w:p w14:paraId="11A3BD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Последнее обстоятельство приводило к тому, что только в 1942 г. сибирскому заводу, производившему эти пороха, была возращена из Армии каждая четвертая партия зарядов (18 из 68). С целью усиления контроля за качеством изготовления зарядов были введены приемные стендовые испытания в расширенном объеме (50 опытов вместо 7). </w:t>
      </w:r>
    </w:p>
    <w:p w14:paraId="51ADCF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Одновременно были разработаны новые ТУ на заряд, в которых требования на разбраковку пороховых шашек по наружному виду были значительно жестче. Однако опыт работы заводов по новым ТУ показал, что никакого улучшения не произошло. Так, например, при стендовых испытаниях зарядов из пороха ПС на каждые 60 выстрелов в одном случае давление газов в ракетной камере превышало установленную норму. При этом пороха по наружному виду не имели никаких внешних признаков, по которым можно было бы отделить годные от некондиционных. Таким образом, принятый способ производства пороха ПС и весьма жесткие методы разбраковки по внешнему виду не гарантировали получения ракетных шашек удовлетворительного качества. Причины этого явления были тщательно исследованы сотрудниками Московского порохового института Г.К.Клименко, А.Н.Гукасовым и др.. Они доказали, что основным и определяющим фактором, приводящим к нарушению стабильности горения пороха ПС, является его структурная неоднородность за счет присутствия в нем неорганических твердых включений (селитры) и наличия в шашках трещин, пузырей, непрожелатинированного пироксилина и т.д. При неблагоприятных сочетаниях этих факторов площадь поверхности горения могла увеличиться в 4-5 раз, что неизбежно приводило к резкому росту давления в двигателе, к возможному его разрушению (11209).</w:t>
      </w:r>
    </w:p>
    <w:p w14:paraId="13F5CD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Начиная с 1943 г. пороховая промышленность страны была уже в состоянии обеспечить нужды фронта поставками ракетных зарядов только из нитроглицериновых баллиститных порохов, и необходимость в изготовлении зарядов из пироксилиновых порохов отпала. Их производство было прекращено (11209).</w:t>
      </w:r>
    </w:p>
    <w:p w14:paraId="57CD3740"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76CD6E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завод № 112 провел следующие работы по улучшению конструкции танка:</w:t>
      </w:r>
    </w:p>
    <w:p w14:paraId="42119C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«разработаны чертежи штампов трака без гребня и трака унифицированного типа. Первый освоен в производстве, на второй изготовлены штампы;</w:t>
      </w:r>
    </w:p>
    <w:p w14:paraId="389B38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Испытано прицепное устройство для буксировки артсистемы;</w:t>
      </w:r>
    </w:p>
    <w:p w14:paraId="35D7E6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Введена в серию увеличенная боеукладка».</w:t>
      </w:r>
    </w:p>
    <w:p w14:paraId="36A74C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Кроме того, следует отменить, что завод № 112 первым среди выпускающих Т-34, весной 1942 года стал монтировать на корпусе и башне поручни для десанта. Также характерной особенностью сормовских машин являлось буксирное приспособление для транспортировки орудия, закрепленное на корме. Также к достижению конструкторов завода № 112 можно отнести отказ от люка в корме башни, предназначенного для установки пушки. Теперь для монтажа или демонтажа артсистемы требовалось приподнять заднюю часть башни, а чтобы последняя удерживалась в таком положении в передней части корпуса ввели специальные упоры.</w:t>
      </w:r>
    </w:p>
    <w:p w14:paraId="4B3A54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Среди недостатков танков Т-34 завода № 112 отмечали позднее введение в серию шестифанной башни - только летом 1943 года, а также общее низкое качество машин. Последнее послужило причиной появления летом 1942 года специального постановления Государственного Комитета Обороны об улучшении качества танков завода № 112. В результате, к весне 1943 года была проведена большая работа по повышению надежности машины (12217).</w:t>
      </w:r>
    </w:p>
    <w:p w14:paraId="17CC62A7"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6F157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на месте завода № 592 НКВ был сощдан Завод № 40 НКТП (Завод № 40 НКТП, Минавтопрома, Мытищинский ордена Отечественной войны I степени машиностроительный завод (ММЗ) МТиТМ, Мытищинский завод подвижного состава железнодорожного транспорта, Мытищинский вагоностроительный завод, ЗАО «Метровагонмаш» /141009  г. Мытищи Московской обл., ул. Колонцова, 4 тел. 581-12-56/) для производства танка Т-80. С 1942 г.- производство САУ и тягачей для военных целей. 27.12.1942 г. вышло постановление ГКО № 2661 об организации производства танков Т-80 на бывшем Мытищинском вагоностроительном заводе. В конце 1943 г. выпуск Т-80 прекращен в пользу СУ-76 и САУ-57. 14.02.1943 г. вышло постановление ГКО № 2888 о мероприятиях по обеспечению строительства завода. 16.03.1944 г. вышло распоряжение ГКО № 5409 об обеспечении кооперированных поставок на завод бронекорпусов СУ-76 с заводов № 176 и 177.</w:t>
      </w:r>
    </w:p>
    <w:p w14:paraId="43C2BAC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 на заводе создано ОКБ-40.</w:t>
      </w:r>
    </w:p>
    <w:p w14:paraId="2084339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1946 г.- производство автосамосвалов.</w:t>
      </w:r>
    </w:p>
    <w:p w14:paraId="0ABB22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26.09.1948 г. завод № 40 переименован в Мытищинский ордена Отечественной войны I степени машиностроительный завод. Далее имел названия: Мытищинский завод подвижного состава железнодорожного транспорта, Мытищинский вагоностроительный завод, ЗАО «Метровагонмаш».</w:t>
      </w:r>
    </w:p>
    <w:p w14:paraId="481E1C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состав ЗАО «Метровагонмаш» входят (2005 г.) два производственных филиала: Шполянский завод запасных частей и Вышневолоцкий машиностроительный завод. ЗАО «Метровагонмаш» занимает площадь более 80 га. Завод имеет собственные производства: литейное, кузнечное, листовой штамповки, механообработки, термообработки, гальваники, инструментальное, нестандартизированного оборудования, покрасочные комплексы, испытательные станции, полигоны для ходовых испытаний.</w:t>
      </w:r>
    </w:p>
    <w:p w14:paraId="464AD5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Имеет 3 основных направления деятельности: метровагоностроение; производство автосамосвалов; производство бронированных гусеничных машин. Проектирование техники по каждому направлению осуществляют 3 специализированных конструкторских фирмы.</w:t>
      </w:r>
    </w:p>
    <w:p w14:paraId="3FF417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10.2005 г. вошло в «Трансмашхолдинг».</w:t>
      </w:r>
    </w:p>
    <w:p w14:paraId="123398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(1990-16.12.2004 г.)- Ю.А. Гулько.</w:t>
      </w:r>
    </w:p>
    <w:p w14:paraId="6074E3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легкий танк Т-80 (1943)- 81, АСУ-57 (1951-); тягач М-2; гусеничное шасси: для ЗРК «Тор»; ГМ-568, Лй-578 для ЗРК «Куб» (1967-), ГМ-569 для ЗРК «Бук-М1« (2001); ГМ-5955 для ЗРК «Тор-М1« (2001); ГМ-5965 «Ранжир»; ГМ-5975 для ЗРК «Тунгуска-М1« (2001), для ЗРАК «Шилка»; двигатели: танковый ГАЗ- 204Ф (ГАЗ-80,1943-)</w:t>
      </w:r>
    </w:p>
    <w:p w14:paraId="7F53860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вагоны метро (1934-2000-е), электропоезд «Русич», дизель-поезда (2005); автосамосвалы: ММЗ-4516, -4508, - 45085, -45063, -45065, -45067, -4520, -4515, -2502, -5822, -4952; прицеп 8176 (11982).</w:t>
      </w:r>
    </w:p>
    <w:p w14:paraId="4249F650" w14:textId="77777777" w:rsidR="00F10FB4" w:rsidRPr="00722885" w:rsidRDefault="00F10FB4" w:rsidP="00722885">
      <w:pPr>
        <w:pStyle w:val="Iauiue"/>
        <w:jc w:val="both"/>
        <w:rPr>
          <w:color w:val="000000" w:themeColor="text1"/>
          <w:sz w:val="16"/>
          <w:szCs w:val="16"/>
        </w:rPr>
      </w:pPr>
    </w:p>
    <w:p w14:paraId="2A7B3C6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 122-мм орудие для САУ У-11 прошло предварительные испытания в башне танка КВ-9 (4017).</w:t>
      </w:r>
    </w:p>
    <w:p w14:paraId="54C8C6A8" w14:textId="77777777" w:rsidR="00BB6316" w:rsidRPr="00722885" w:rsidRDefault="00BB6316" w:rsidP="00722885">
      <w:pPr>
        <w:pStyle w:val="Iauiue"/>
        <w:jc w:val="both"/>
        <w:rPr>
          <w:color w:val="000000" w:themeColor="text1"/>
          <w:sz w:val="16"/>
          <w:szCs w:val="16"/>
        </w:rPr>
      </w:pPr>
    </w:p>
    <w:p w14:paraId="3579FE5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 в 1942 г. было произведено 24719 танков и САУ (РГАЭ, ф. 8798, оп. 4, д. 17, л. 283.). Это было значительное достижение по сравнению с предыдущим, 1941 г., когда было произведено 6 590 танков, в том числе 4 915 во втором полугодии. Однако плановое задание (примерно 50 тыс. танков в год) выполнено не было. Достаточно сказать, что в 1 квартале 1942 г. было произведено лишь 63% от запланированного количества (РГАЭ, ф. 8798, оп. 4, д. 17, л. 283.). Тем не менее сейчас, по прошествии достаточно долгого времени, можно оценить работу НКТП как очень успешную. Но в 1942 г. Сталину казалось, что другой человек на посту наркома мог бы сделать больше, чем Малышев. В результате его место занял заместитель наркома Зальцман. Вот что записал Малышев в своем дневнике: "1 июля 1942 г. Позвонил по телефону т. Сталин и крепко ругался за то, что не выполняется план по танкам Т-34. Я ответил т. Сталину, что много трудностей у заводов с людьми и оборудованием и что, хотя план не выполняется, но выпуск танков Т-34 из месяца в месяц растет, но тов. Сталин опять крепко выругал меня и повесил трубку. Через полчаса позвонил Молотов и сказал: «Мы решили освободить Вас от работы наркома танковой промышленности за невыполнения плана по танкам Т-34 и назначили наркомом И.М. Зальцмана». Мне, конечно, после 2-х лет работы по танкам очень и очень тяжело переносить такое решение, но решение ЦК есть закон и направлено к улучшению дела. А это самое главное. Я же буду работать там, куда пошлет партия, и буду стараться работать лучше, чем работал в танкопроме" (Источник. 1997. № 5. С. 119.). Впоследствии Сталин более объективно оценил деятельность Малышева на посту наркома. Во многом этому способствовало то, что Зальцман тоже не смог добиться запланированного роста объемов производства. В 1943 г. Сталин вернул опальному бывшему наркому прежнюю должность. Позже Малышев получил звание генерал-полковника и был награжден многочисленными правительственными наградами, в том числе и за работу в 1941-1942 гг. После войны он был министром среднего машиностроения СССР и принял участие в работе над советским "атомным проектом". Несмотря на то, что общий промышленный потенциал СССР был в 1941-1942 гг. значительно ниже, чем у Германии, в распоряжении которой была промышленность всех завоеванных ею европейских стран, а СССР только начинал получать первые поставки из США и Великобритании по ленд-лизу, в 1942 г. выпуск вооружения и военной техники в СССР значительно превысил аналогичные показатели в Германии. В СССР в 1942 г. было произведено 24 504 танка и САУ, а в Германии - только 6 189, боевых самолетов - соответственно 21 681 и 11 408, артиллерийских орудий калибром от 75 мм и выше - 33 111 и 14 316. Между тем в Германии было выплавлено 28.7 млн т стали (31.1 млн т с учетом оккупированных стран), а в СССР - только 8.1 млн т. Электроэнергии было произведено в Германии 43.4 млрд кВч., а в СССР - 29.1 млрд кВч. Те мероприятия, которые были проведены в первый период войны, предопределили последующую успешную работу советской военной промышленности. В СССР было произведено танков и САУ: в 1943 г. 24 006 (в Германии 10.7 тыс.), в 1944 г. - 28 983 (в Германии 18.3 тыс.), в первом полугодии 1945 г. - 15 422 (в Германии только 4.4 тыс.) (РГАЭ, ф. 8752, оп. 4, д. 728, л. 158-164; История Второй мировой войны. Т. 12. М., 1978. С. 200.). Это тем более удивительно, что почти до самого конца войны общие объемы производства основных видов промышленной продукции в Германии были выше, чем в СССР. На примере работы советской танковой промышленности можно видеть, как этот успех достигался. Прежде всего он стал возможен благодаря максимальному сосредоточению всех ресурсов страны для достижения главной цели - разгрома врага. Успех обеспечила и возможность добиться рационального использования этих ресурсов в процессе производства. Немалое значение имела также работа наших конструкторов. Нельзя забывать и о том, что рабочие и служащие НКТП на всех уровнях самоотверженно выполняли свой долг в любых условиях, работая по 10 и более часов в сутки. Большое значение имело и то, что руководство страны рассматривало танковую промышленность как одну из приоритетных отраслей и оказывало ей всю возможную в тех условиях помощь. Несмотря на все трудности, НКТП в целом продемонстрировал способность оперативно, эффективно и грамотно решать стоявшие перед ним задачи (11786).</w:t>
      </w:r>
    </w:p>
    <w:p w14:paraId="241E106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06791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1942 Сведения о ремонте трофейной бронетехники на филиале № 1 ремонтной базы № 82 за 1942 год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9"/>
        <w:gridCol w:w="814"/>
        <w:gridCol w:w="1448"/>
        <w:gridCol w:w="975"/>
        <w:gridCol w:w="814"/>
        <w:gridCol w:w="1448"/>
        <w:gridCol w:w="975"/>
        <w:gridCol w:w="814"/>
        <w:gridCol w:w="1448"/>
        <w:gridCol w:w="975"/>
      </w:tblGrid>
      <w:tr w:rsidR="009B487A" w:rsidRPr="00722885" w14:paraId="77B93102" w14:textId="77777777" w:rsidTr="00CC5360">
        <w:tc>
          <w:tcPr>
            <w:tcW w:w="0" w:type="auto"/>
            <w:vMerge w:val="restart"/>
            <w:shd w:val="clear" w:color="auto" w:fill="auto"/>
            <w:hideMark/>
          </w:tcPr>
          <w:p w14:paraId="1039B582"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Тип машины</w:t>
            </w:r>
          </w:p>
        </w:tc>
        <w:tc>
          <w:tcPr>
            <w:tcW w:w="0" w:type="auto"/>
            <w:gridSpan w:val="3"/>
            <w:shd w:val="clear" w:color="auto" w:fill="auto"/>
            <w:hideMark/>
          </w:tcPr>
          <w:p w14:paraId="10F4F241"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Ноябрь</w:t>
            </w:r>
          </w:p>
        </w:tc>
        <w:tc>
          <w:tcPr>
            <w:tcW w:w="0" w:type="auto"/>
            <w:gridSpan w:val="3"/>
            <w:shd w:val="clear" w:color="auto" w:fill="auto"/>
            <w:hideMark/>
          </w:tcPr>
          <w:p w14:paraId="1FFE59AB"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Декабрь</w:t>
            </w:r>
          </w:p>
        </w:tc>
        <w:tc>
          <w:tcPr>
            <w:tcW w:w="0" w:type="auto"/>
            <w:gridSpan w:val="3"/>
            <w:shd w:val="clear" w:color="auto" w:fill="auto"/>
            <w:hideMark/>
          </w:tcPr>
          <w:p w14:paraId="7BC2B57B"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Всего</w:t>
            </w:r>
          </w:p>
        </w:tc>
      </w:tr>
      <w:tr w:rsidR="009B487A" w:rsidRPr="00722885" w14:paraId="19E26A69" w14:textId="77777777" w:rsidTr="00CC5360">
        <w:tc>
          <w:tcPr>
            <w:tcW w:w="0" w:type="auto"/>
            <w:vMerge/>
            <w:shd w:val="clear" w:color="auto" w:fill="auto"/>
            <w:hideMark/>
          </w:tcPr>
          <w:p w14:paraId="169A0759"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p>
        </w:tc>
        <w:tc>
          <w:tcPr>
            <w:tcW w:w="0" w:type="auto"/>
            <w:shd w:val="clear" w:color="auto" w:fill="auto"/>
            <w:hideMark/>
          </w:tcPr>
          <w:p w14:paraId="2E18B148"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0455E9BB"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6EF464DA"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30CDE8B2"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6664C4E9"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42E30D17"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1B79FB28"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31A4F22B"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1FEB1DC9"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r>
      <w:tr w:rsidR="009B487A" w:rsidRPr="00722885" w14:paraId="4CCE7FD8" w14:textId="77777777" w:rsidTr="00CC5360">
        <w:tc>
          <w:tcPr>
            <w:tcW w:w="0" w:type="auto"/>
            <w:shd w:val="clear" w:color="auto" w:fill="auto"/>
            <w:hideMark/>
          </w:tcPr>
          <w:p w14:paraId="1E18EF1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III</w:t>
            </w:r>
          </w:p>
        </w:tc>
        <w:tc>
          <w:tcPr>
            <w:tcW w:w="0" w:type="auto"/>
            <w:shd w:val="clear" w:color="auto" w:fill="auto"/>
            <w:hideMark/>
          </w:tcPr>
          <w:p w14:paraId="3D9876D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22</w:t>
            </w:r>
          </w:p>
        </w:tc>
        <w:tc>
          <w:tcPr>
            <w:tcW w:w="0" w:type="auto"/>
            <w:shd w:val="clear" w:color="auto" w:fill="auto"/>
            <w:hideMark/>
          </w:tcPr>
          <w:p w14:paraId="1D13956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12</w:t>
            </w:r>
          </w:p>
        </w:tc>
        <w:tc>
          <w:tcPr>
            <w:tcW w:w="0" w:type="auto"/>
            <w:shd w:val="clear" w:color="auto" w:fill="auto"/>
            <w:hideMark/>
          </w:tcPr>
          <w:p w14:paraId="135884D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8</w:t>
            </w:r>
          </w:p>
        </w:tc>
        <w:tc>
          <w:tcPr>
            <w:tcW w:w="0" w:type="auto"/>
            <w:shd w:val="clear" w:color="auto" w:fill="auto"/>
            <w:hideMark/>
          </w:tcPr>
          <w:p w14:paraId="45EBEFF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13</w:t>
            </w:r>
          </w:p>
        </w:tc>
        <w:tc>
          <w:tcPr>
            <w:tcW w:w="0" w:type="auto"/>
            <w:shd w:val="clear" w:color="auto" w:fill="auto"/>
            <w:hideMark/>
          </w:tcPr>
          <w:p w14:paraId="0761866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14</w:t>
            </w:r>
          </w:p>
        </w:tc>
        <w:tc>
          <w:tcPr>
            <w:tcW w:w="0" w:type="auto"/>
            <w:shd w:val="clear" w:color="auto" w:fill="auto"/>
            <w:hideMark/>
          </w:tcPr>
          <w:p w14:paraId="436D4B8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c>
          <w:tcPr>
            <w:tcW w:w="0" w:type="auto"/>
            <w:shd w:val="clear" w:color="auto" w:fill="auto"/>
            <w:hideMark/>
          </w:tcPr>
          <w:p w14:paraId="52F7191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35</w:t>
            </w:r>
          </w:p>
        </w:tc>
        <w:tc>
          <w:tcPr>
            <w:tcW w:w="0" w:type="auto"/>
            <w:shd w:val="clear" w:color="auto" w:fill="auto"/>
            <w:hideMark/>
          </w:tcPr>
          <w:p w14:paraId="6C895C4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26</w:t>
            </w:r>
          </w:p>
        </w:tc>
        <w:tc>
          <w:tcPr>
            <w:tcW w:w="0" w:type="auto"/>
            <w:shd w:val="clear" w:color="auto" w:fill="auto"/>
            <w:hideMark/>
          </w:tcPr>
          <w:p w14:paraId="6CA68F2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12</w:t>
            </w:r>
          </w:p>
        </w:tc>
      </w:tr>
      <w:tr w:rsidR="009B487A" w:rsidRPr="00722885" w14:paraId="0EFBC131" w14:textId="77777777" w:rsidTr="00CC5360">
        <w:tc>
          <w:tcPr>
            <w:tcW w:w="0" w:type="auto"/>
            <w:shd w:val="clear" w:color="auto" w:fill="auto"/>
            <w:hideMark/>
          </w:tcPr>
          <w:p w14:paraId="290B4F9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IV</w:t>
            </w:r>
          </w:p>
        </w:tc>
        <w:tc>
          <w:tcPr>
            <w:tcW w:w="0" w:type="auto"/>
            <w:shd w:val="clear" w:color="auto" w:fill="auto"/>
            <w:hideMark/>
          </w:tcPr>
          <w:p w14:paraId="31FA4B8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6</w:t>
            </w:r>
          </w:p>
        </w:tc>
        <w:tc>
          <w:tcPr>
            <w:tcW w:w="0" w:type="auto"/>
            <w:shd w:val="clear" w:color="auto" w:fill="auto"/>
            <w:hideMark/>
          </w:tcPr>
          <w:p w14:paraId="6A3109F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7657DC8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I</w:t>
            </w:r>
          </w:p>
        </w:tc>
        <w:tc>
          <w:tcPr>
            <w:tcW w:w="0" w:type="auto"/>
            <w:shd w:val="clear" w:color="auto" w:fill="auto"/>
            <w:hideMark/>
          </w:tcPr>
          <w:p w14:paraId="23B365A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w:t>
            </w:r>
          </w:p>
        </w:tc>
        <w:tc>
          <w:tcPr>
            <w:tcW w:w="0" w:type="auto"/>
            <w:shd w:val="clear" w:color="auto" w:fill="auto"/>
            <w:hideMark/>
          </w:tcPr>
          <w:p w14:paraId="344EBBD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4B87EAB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84515C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16</w:t>
            </w:r>
          </w:p>
        </w:tc>
        <w:tc>
          <w:tcPr>
            <w:tcW w:w="0" w:type="auto"/>
            <w:shd w:val="clear" w:color="auto" w:fill="auto"/>
            <w:hideMark/>
          </w:tcPr>
          <w:p w14:paraId="4D6120D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22360F7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r>
      <w:tr w:rsidR="009B487A" w:rsidRPr="00722885" w14:paraId="6FBEFEB9" w14:textId="77777777" w:rsidTr="00CC5360">
        <w:tc>
          <w:tcPr>
            <w:tcW w:w="0" w:type="auto"/>
            <w:shd w:val="clear" w:color="auto" w:fill="auto"/>
            <w:hideMark/>
          </w:tcPr>
          <w:p w14:paraId="6B2F256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StuG III</w:t>
            </w:r>
          </w:p>
        </w:tc>
        <w:tc>
          <w:tcPr>
            <w:tcW w:w="0" w:type="auto"/>
            <w:shd w:val="clear" w:color="auto" w:fill="auto"/>
            <w:hideMark/>
          </w:tcPr>
          <w:p w14:paraId="0ABBC26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11</w:t>
            </w:r>
          </w:p>
        </w:tc>
        <w:tc>
          <w:tcPr>
            <w:tcW w:w="0" w:type="auto"/>
            <w:shd w:val="clear" w:color="auto" w:fill="auto"/>
            <w:hideMark/>
          </w:tcPr>
          <w:p w14:paraId="601CDFC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7</w:t>
            </w:r>
          </w:p>
        </w:tc>
        <w:tc>
          <w:tcPr>
            <w:tcW w:w="0" w:type="auto"/>
            <w:shd w:val="clear" w:color="auto" w:fill="auto"/>
            <w:hideMark/>
          </w:tcPr>
          <w:p w14:paraId="4EC1954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c>
          <w:tcPr>
            <w:tcW w:w="0" w:type="auto"/>
            <w:shd w:val="clear" w:color="auto" w:fill="auto"/>
            <w:hideMark/>
          </w:tcPr>
          <w:p w14:paraId="7388C9A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11</w:t>
            </w:r>
          </w:p>
        </w:tc>
        <w:tc>
          <w:tcPr>
            <w:tcW w:w="0" w:type="auto"/>
            <w:shd w:val="clear" w:color="auto" w:fill="auto"/>
            <w:hideMark/>
          </w:tcPr>
          <w:p w14:paraId="61AC744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8</w:t>
            </w:r>
          </w:p>
        </w:tc>
        <w:tc>
          <w:tcPr>
            <w:tcW w:w="0" w:type="auto"/>
            <w:shd w:val="clear" w:color="auto" w:fill="auto"/>
            <w:hideMark/>
          </w:tcPr>
          <w:p w14:paraId="2FF6215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068B92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22</w:t>
            </w:r>
          </w:p>
        </w:tc>
        <w:tc>
          <w:tcPr>
            <w:tcW w:w="0" w:type="auto"/>
            <w:shd w:val="clear" w:color="auto" w:fill="auto"/>
            <w:hideMark/>
          </w:tcPr>
          <w:p w14:paraId="1C93E4C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15</w:t>
            </w:r>
          </w:p>
        </w:tc>
        <w:tc>
          <w:tcPr>
            <w:tcW w:w="0" w:type="auto"/>
            <w:shd w:val="clear" w:color="auto" w:fill="auto"/>
            <w:hideMark/>
          </w:tcPr>
          <w:p w14:paraId="70BBCD4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r>
      <w:tr w:rsidR="009B487A" w:rsidRPr="00722885" w14:paraId="6424D282" w14:textId="77777777" w:rsidTr="00CC5360">
        <w:tc>
          <w:tcPr>
            <w:tcW w:w="0" w:type="auto"/>
            <w:shd w:val="clear" w:color="auto" w:fill="auto"/>
            <w:hideMark/>
          </w:tcPr>
          <w:p w14:paraId="0D3EE8A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Бронетранспортёр</w:t>
            </w:r>
          </w:p>
        </w:tc>
        <w:tc>
          <w:tcPr>
            <w:tcW w:w="0" w:type="auto"/>
            <w:shd w:val="clear" w:color="auto" w:fill="auto"/>
            <w:hideMark/>
          </w:tcPr>
          <w:p w14:paraId="416F583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6797BC6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3246CE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772A27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33CEE90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3CE5D7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EE3EF8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4969C7D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A24783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bl>
    <w:p w14:paraId="73ACC1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(12688).</w:t>
      </w:r>
    </w:p>
    <w:p w14:paraId="457DE5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Сведения о ремонте трофейной бронетехники на ремонтной базе № 82 за первое полугодие 1942 года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3"/>
        <w:gridCol w:w="475"/>
        <w:gridCol w:w="747"/>
        <w:gridCol w:w="543"/>
        <w:gridCol w:w="474"/>
        <w:gridCol w:w="747"/>
        <w:gridCol w:w="543"/>
        <w:gridCol w:w="474"/>
        <w:gridCol w:w="747"/>
        <w:gridCol w:w="543"/>
        <w:gridCol w:w="474"/>
        <w:gridCol w:w="747"/>
        <w:gridCol w:w="543"/>
        <w:gridCol w:w="474"/>
        <w:gridCol w:w="747"/>
        <w:gridCol w:w="543"/>
        <w:gridCol w:w="474"/>
        <w:gridCol w:w="747"/>
        <w:gridCol w:w="543"/>
      </w:tblGrid>
      <w:tr w:rsidR="009B487A" w:rsidRPr="00722885" w14:paraId="08F8AA9D" w14:textId="77777777" w:rsidTr="00CC5360">
        <w:tc>
          <w:tcPr>
            <w:tcW w:w="0" w:type="auto"/>
            <w:vMerge w:val="restart"/>
            <w:shd w:val="clear" w:color="auto" w:fill="auto"/>
            <w:hideMark/>
          </w:tcPr>
          <w:p w14:paraId="09E89C84"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Тип машины</w:t>
            </w:r>
          </w:p>
        </w:tc>
        <w:tc>
          <w:tcPr>
            <w:tcW w:w="0" w:type="auto"/>
            <w:gridSpan w:val="3"/>
            <w:shd w:val="clear" w:color="auto" w:fill="auto"/>
            <w:hideMark/>
          </w:tcPr>
          <w:p w14:paraId="3BC93B23"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Январь</w:t>
            </w:r>
          </w:p>
        </w:tc>
        <w:tc>
          <w:tcPr>
            <w:tcW w:w="0" w:type="auto"/>
            <w:gridSpan w:val="3"/>
            <w:shd w:val="clear" w:color="auto" w:fill="auto"/>
            <w:hideMark/>
          </w:tcPr>
          <w:p w14:paraId="31EE769F"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Февраль</w:t>
            </w:r>
          </w:p>
        </w:tc>
        <w:tc>
          <w:tcPr>
            <w:tcW w:w="0" w:type="auto"/>
            <w:gridSpan w:val="3"/>
            <w:shd w:val="clear" w:color="auto" w:fill="auto"/>
            <w:hideMark/>
          </w:tcPr>
          <w:p w14:paraId="2449817D"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Март</w:t>
            </w:r>
          </w:p>
        </w:tc>
        <w:tc>
          <w:tcPr>
            <w:tcW w:w="0" w:type="auto"/>
            <w:gridSpan w:val="3"/>
            <w:shd w:val="clear" w:color="auto" w:fill="auto"/>
            <w:hideMark/>
          </w:tcPr>
          <w:p w14:paraId="32F95614"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Апрель</w:t>
            </w:r>
          </w:p>
        </w:tc>
        <w:tc>
          <w:tcPr>
            <w:tcW w:w="0" w:type="auto"/>
            <w:gridSpan w:val="3"/>
            <w:shd w:val="clear" w:color="auto" w:fill="auto"/>
            <w:hideMark/>
          </w:tcPr>
          <w:p w14:paraId="2268038D"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Май</w:t>
            </w:r>
          </w:p>
        </w:tc>
        <w:tc>
          <w:tcPr>
            <w:tcW w:w="0" w:type="auto"/>
            <w:gridSpan w:val="3"/>
            <w:shd w:val="clear" w:color="auto" w:fill="auto"/>
            <w:hideMark/>
          </w:tcPr>
          <w:p w14:paraId="0B5CFA3D"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Июнь</w:t>
            </w:r>
          </w:p>
        </w:tc>
      </w:tr>
      <w:tr w:rsidR="009B487A" w:rsidRPr="00722885" w14:paraId="61951558" w14:textId="77777777" w:rsidTr="00CC5360">
        <w:tc>
          <w:tcPr>
            <w:tcW w:w="0" w:type="auto"/>
            <w:vMerge/>
            <w:shd w:val="clear" w:color="auto" w:fill="auto"/>
            <w:hideMark/>
          </w:tcPr>
          <w:p w14:paraId="46B60235"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p>
        </w:tc>
        <w:tc>
          <w:tcPr>
            <w:tcW w:w="0" w:type="auto"/>
            <w:shd w:val="clear" w:color="auto" w:fill="auto"/>
            <w:hideMark/>
          </w:tcPr>
          <w:p w14:paraId="4F7F756F"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67C8F66B"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23A25192"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25201AB1"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5BACCB2C"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0EFB2CC8"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54F1A74F"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55AC5372"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4F0A1CC5"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51FEA208"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309AFF66"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4544B483"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77CDD1DD"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2DF9080B"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45B6521B"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7E78B3EA"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779B1D9A"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14CB980E"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r>
      <w:tr w:rsidR="009B487A" w:rsidRPr="00722885" w14:paraId="31139E65" w14:textId="77777777" w:rsidTr="00CC5360">
        <w:tc>
          <w:tcPr>
            <w:tcW w:w="0" w:type="auto"/>
            <w:shd w:val="clear" w:color="auto" w:fill="auto"/>
            <w:hideMark/>
          </w:tcPr>
          <w:p w14:paraId="2F60BD0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w:t>
            </w:r>
          </w:p>
        </w:tc>
        <w:tc>
          <w:tcPr>
            <w:tcW w:w="0" w:type="auto"/>
            <w:shd w:val="clear" w:color="auto" w:fill="auto"/>
            <w:hideMark/>
          </w:tcPr>
          <w:p w14:paraId="2D40197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F1CFFD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68F6AE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705795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80D9CE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D494BF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FF535B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D19F97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884BB4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711533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5EB2E05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F56392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9DAB60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5685FAD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CF5E5B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079CFB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C2217E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2FC389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53ABA0DC" w14:textId="77777777" w:rsidTr="00CC5360">
        <w:tc>
          <w:tcPr>
            <w:tcW w:w="0" w:type="auto"/>
            <w:shd w:val="clear" w:color="auto" w:fill="auto"/>
            <w:hideMark/>
          </w:tcPr>
          <w:p w14:paraId="58B0629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II</w:t>
            </w:r>
          </w:p>
        </w:tc>
        <w:tc>
          <w:tcPr>
            <w:tcW w:w="0" w:type="auto"/>
            <w:shd w:val="clear" w:color="auto" w:fill="auto"/>
            <w:hideMark/>
          </w:tcPr>
          <w:p w14:paraId="01C3ACF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w:t>
            </w:r>
          </w:p>
        </w:tc>
        <w:tc>
          <w:tcPr>
            <w:tcW w:w="0" w:type="auto"/>
            <w:shd w:val="clear" w:color="auto" w:fill="auto"/>
            <w:hideMark/>
          </w:tcPr>
          <w:p w14:paraId="4ACEBB8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77FDB87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5B9A661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8</w:t>
            </w:r>
          </w:p>
        </w:tc>
        <w:tc>
          <w:tcPr>
            <w:tcW w:w="0" w:type="auto"/>
            <w:shd w:val="clear" w:color="auto" w:fill="auto"/>
            <w:hideMark/>
          </w:tcPr>
          <w:p w14:paraId="4D4BC83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F4BC3F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8AA7FA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8</w:t>
            </w:r>
          </w:p>
        </w:tc>
        <w:tc>
          <w:tcPr>
            <w:tcW w:w="0" w:type="auto"/>
            <w:shd w:val="clear" w:color="auto" w:fill="auto"/>
            <w:hideMark/>
          </w:tcPr>
          <w:p w14:paraId="4FEEF85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1DB8F11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5B0541D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3BBAA1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017873F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0506B01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19</w:t>
            </w:r>
          </w:p>
        </w:tc>
        <w:tc>
          <w:tcPr>
            <w:tcW w:w="0" w:type="auto"/>
            <w:shd w:val="clear" w:color="auto" w:fill="auto"/>
            <w:hideMark/>
          </w:tcPr>
          <w:p w14:paraId="6C9D390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6A146A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421049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1B9A8A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A874D4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5E61D064" w14:textId="77777777" w:rsidTr="00CC5360">
        <w:tc>
          <w:tcPr>
            <w:tcW w:w="0" w:type="auto"/>
            <w:shd w:val="clear" w:color="auto" w:fill="auto"/>
            <w:hideMark/>
          </w:tcPr>
          <w:p w14:paraId="7A47077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III</w:t>
            </w:r>
          </w:p>
        </w:tc>
        <w:tc>
          <w:tcPr>
            <w:tcW w:w="0" w:type="auto"/>
            <w:shd w:val="clear" w:color="auto" w:fill="auto"/>
            <w:hideMark/>
          </w:tcPr>
          <w:p w14:paraId="11F7320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53464A4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A9C273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3991CE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03F6C56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CFFC11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A9F131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73ACA96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41ECCAC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42B609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F25AB8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332C4C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DB47CB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13</w:t>
            </w:r>
          </w:p>
        </w:tc>
        <w:tc>
          <w:tcPr>
            <w:tcW w:w="0" w:type="auto"/>
            <w:shd w:val="clear" w:color="auto" w:fill="auto"/>
            <w:hideMark/>
          </w:tcPr>
          <w:p w14:paraId="0021FBB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2C3210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2D7F40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31BA500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39D8E1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1B957BC9" w14:textId="77777777" w:rsidTr="00CC5360">
        <w:tc>
          <w:tcPr>
            <w:tcW w:w="0" w:type="auto"/>
            <w:shd w:val="clear" w:color="auto" w:fill="auto"/>
            <w:hideMark/>
          </w:tcPr>
          <w:p w14:paraId="69846EB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StuG III</w:t>
            </w:r>
          </w:p>
        </w:tc>
        <w:tc>
          <w:tcPr>
            <w:tcW w:w="0" w:type="auto"/>
            <w:shd w:val="clear" w:color="auto" w:fill="auto"/>
            <w:hideMark/>
          </w:tcPr>
          <w:p w14:paraId="1898028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1AA6AB2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0701898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6106ECD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61B9EA2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458840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2CED52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14</w:t>
            </w:r>
          </w:p>
        </w:tc>
        <w:tc>
          <w:tcPr>
            <w:tcW w:w="0" w:type="auto"/>
            <w:shd w:val="clear" w:color="auto" w:fill="auto"/>
            <w:hideMark/>
          </w:tcPr>
          <w:p w14:paraId="13D4A26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F67CDD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C51A62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360CEB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3E7D99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09340C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w:t>
            </w:r>
          </w:p>
        </w:tc>
        <w:tc>
          <w:tcPr>
            <w:tcW w:w="0" w:type="auto"/>
            <w:shd w:val="clear" w:color="auto" w:fill="auto"/>
            <w:hideMark/>
          </w:tcPr>
          <w:p w14:paraId="1C292B1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7266396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56B481B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5E192A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19C4524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r>
      <w:tr w:rsidR="009B487A" w:rsidRPr="00722885" w14:paraId="59C217C7" w14:textId="77777777" w:rsidTr="00CC5360">
        <w:tc>
          <w:tcPr>
            <w:tcW w:w="0" w:type="auto"/>
            <w:shd w:val="clear" w:color="auto" w:fill="auto"/>
            <w:hideMark/>
          </w:tcPr>
          <w:p w14:paraId="50BA898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IV</w:t>
            </w:r>
          </w:p>
        </w:tc>
        <w:tc>
          <w:tcPr>
            <w:tcW w:w="0" w:type="auto"/>
            <w:shd w:val="clear" w:color="auto" w:fill="auto"/>
            <w:hideMark/>
          </w:tcPr>
          <w:p w14:paraId="1F3A48F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1A0E3EE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F8F80C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F4C24D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c>
          <w:tcPr>
            <w:tcW w:w="0" w:type="auto"/>
            <w:shd w:val="clear" w:color="auto" w:fill="auto"/>
            <w:hideMark/>
          </w:tcPr>
          <w:p w14:paraId="172F129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3E82E2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D40449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259469A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9A66EB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0F1E85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B6A987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3366C3D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87345E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494D770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BDB0AC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D3A1F1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19C8375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30FFA0A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6D54852B" w14:textId="77777777" w:rsidTr="00CC5360">
        <w:tc>
          <w:tcPr>
            <w:tcW w:w="0" w:type="auto"/>
            <w:shd w:val="clear" w:color="auto" w:fill="auto"/>
            <w:hideMark/>
          </w:tcPr>
          <w:p w14:paraId="06171E9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35(t)</w:t>
            </w:r>
          </w:p>
        </w:tc>
        <w:tc>
          <w:tcPr>
            <w:tcW w:w="0" w:type="auto"/>
            <w:shd w:val="clear" w:color="auto" w:fill="auto"/>
            <w:hideMark/>
          </w:tcPr>
          <w:p w14:paraId="3FFD2C8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6EA2B85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386FEB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CE7220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A11352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13094A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FC4683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1CDF0F1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4531B5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34D53C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8935AA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809610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ADD2C5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11</w:t>
            </w:r>
          </w:p>
        </w:tc>
        <w:tc>
          <w:tcPr>
            <w:tcW w:w="0" w:type="auto"/>
            <w:shd w:val="clear" w:color="auto" w:fill="auto"/>
            <w:hideMark/>
          </w:tcPr>
          <w:p w14:paraId="01FA6EF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7F804C3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77F8497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B287F8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BB22C2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289C8B58" w14:textId="77777777" w:rsidTr="00CC5360">
        <w:tc>
          <w:tcPr>
            <w:tcW w:w="0" w:type="auto"/>
            <w:shd w:val="clear" w:color="auto" w:fill="auto"/>
            <w:hideMark/>
          </w:tcPr>
          <w:p w14:paraId="5E85BAE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38(t)</w:t>
            </w:r>
          </w:p>
        </w:tc>
        <w:tc>
          <w:tcPr>
            <w:tcW w:w="0" w:type="auto"/>
            <w:shd w:val="clear" w:color="auto" w:fill="auto"/>
            <w:hideMark/>
          </w:tcPr>
          <w:p w14:paraId="4B5F381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6</w:t>
            </w:r>
          </w:p>
        </w:tc>
        <w:tc>
          <w:tcPr>
            <w:tcW w:w="0" w:type="auto"/>
            <w:shd w:val="clear" w:color="auto" w:fill="auto"/>
            <w:hideMark/>
          </w:tcPr>
          <w:p w14:paraId="1EF8530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795161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D7E650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c>
          <w:tcPr>
            <w:tcW w:w="0" w:type="auto"/>
            <w:shd w:val="clear" w:color="auto" w:fill="auto"/>
            <w:hideMark/>
          </w:tcPr>
          <w:p w14:paraId="24F769A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29C317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D224BE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11</w:t>
            </w:r>
          </w:p>
        </w:tc>
        <w:tc>
          <w:tcPr>
            <w:tcW w:w="0" w:type="auto"/>
            <w:shd w:val="clear" w:color="auto" w:fill="auto"/>
            <w:hideMark/>
          </w:tcPr>
          <w:p w14:paraId="27C6435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7C13496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AF3257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2CF04F2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A1A0CC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468CDD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26</w:t>
            </w:r>
          </w:p>
        </w:tc>
        <w:tc>
          <w:tcPr>
            <w:tcW w:w="0" w:type="auto"/>
            <w:shd w:val="clear" w:color="auto" w:fill="auto"/>
            <w:hideMark/>
          </w:tcPr>
          <w:p w14:paraId="73AD76A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w:t>
            </w:r>
          </w:p>
        </w:tc>
        <w:tc>
          <w:tcPr>
            <w:tcW w:w="0" w:type="auto"/>
            <w:shd w:val="clear" w:color="auto" w:fill="auto"/>
            <w:hideMark/>
          </w:tcPr>
          <w:p w14:paraId="60AD3AA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0AF369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CCDFB4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6</w:t>
            </w:r>
          </w:p>
        </w:tc>
        <w:tc>
          <w:tcPr>
            <w:tcW w:w="0" w:type="auto"/>
            <w:shd w:val="clear" w:color="auto" w:fill="auto"/>
            <w:hideMark/>
          </w:tcPr>
          <w:p w14:paraId="552C894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8</w:t>
            </w:r>
          </w:p>
        </w:tc>
      </w:tr>
      <w:tr w:rsidR="009B487A" w:rsidRPr="00722885" w14:paraId="77FE5B34" w14:textId="77777777" w:rsidTr="00CC5360">
        <w:tc>
          <w:tcPr>
            <w:tcW w:w="0" w:type="auto"/>
            <w:shd w:val="clear" w:color="auto" w:fill="auto"/>
            <w:hideMark/>
          </w:tcPr>
          <w:p w14:paraId="189A7B2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II Flamm</w:t>
            </w:r>
          </w:p>
        </w:tc>
        <w:tc>
          <w:tcPr>
            <w:tcW w:w="0" w:type="auto"/>
            <w:shd w:val="clear" w:color="auto" w:fill="auto"/>
            <w:hideMark/>
          </w:tcPr>
          <w:p w14:paraId="7974166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58C824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A6F9AD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6930B7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22C596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A6FB27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A1D7EF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89C31A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B2AAE4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F6D0AB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5540493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E46D60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E8D596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2FAAB6B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4330EB4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6BE668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170D05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FF57E6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r>
      <w:tr w:rsidR="009B487A" w:rsidRPr="00722885" w14:paraId="5958A5A4" w14:textId="77777777" w:rsidTr="00CC5360">
        <w:tc>
          <w:tcPr>
            <w:tcW w:w="0" w:type="auto"/>
            <w:shd w:val="clear" w:color="auto" w:fill="auto"/>
            <w:hideMark/>
          </w:tcPr>
          <w:p w14:paraId="73FDBF6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S-35 «Сомуа»</w:t>
            </w:r>
          </w:p>
        </w:tc>
        <w:tc>
          <w:tcPr>
            <w:tcW w:w="0" w:type="auto"/>
            <w:shd w:val="clear" w:color="auto" w:fill="auto"/>
            <w:hideMark/>
          </w:tcPr>
          <w:p w14:paraId="68A54A8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828209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676FFA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E3A3F0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B909A1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574B7E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9BF03C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0020A9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95C4BF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4DA52A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6A11B3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D9F062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8BC880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43BA1C8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5E5272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31CFC2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A0177D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55E9A7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r>
      <w:tr w:rsidR="009B487A" w:rsidRPr="00722885" w14:paraId="4D2634C6" w14:textId="77777777" w:rsidTr="00CC5360">
        <w:tc>
          <w:tcPr>
            <w:tcW w:w="0" w:type="auto"/>
            <w:shd w:val="clear" w:color="auto" w:fill="auto"/>
            <w:hideMark/>
          </w:tcPr>
          <w:p w14:paraId="38D7595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Бронеавтомобили</w:t>
            </w:r>
          </w:p>
        </w:tc>
        <w:tc>
          <w:tcPr>
            <w:tcW w:w="0" w:type="auto"/>
            <w:shd w:val="clear" w:color="auto" w:fill="auto"/>
            <w:hideMark/>
          </w:tcPr>
          <w:p w14:paraId="388A895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5C38D5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A115DE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74C3BF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42A52C6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5A6265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219C22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13A374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166470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BBEA00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6B0EA60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C05472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1872B2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7</w:t>
            </w:r>
          </w:p>
        </w:tc>
        <w:tc>
          <w:tcPr>
            <w:tcW w:w="0" w:type="auto"/>
            <w:shd w:val="clear" w:color="auto" w:fill="auto"/>
            <w:hideMark/>
          </w:tcPr>
          <w:p w14:paraId="199094A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AA27CD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69C1F3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E667C6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CBEC20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r>
    </w:tbl>
    <w:p w14:paraId="4DC36C8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(12688).</w:t>
      </w:r>
    </w:p>
    <w:p w14:paraId="5D27D77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Сведения о ремонте трофейной бронетехники на ремонтной базе № 82 за второе полугодие 1942 года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3"/>
        <w:gridCol w:w="475"/>
        <w:gridCol w:w="747"/>
        <w:gridCol w:w="543"/>
        <w:gridCol w:w="474"/>
        <w:gridCol w:w="747"/>
        <w:gridCol w:w="543"/>
        <w:gridCol w:w="474"/>
        <w:gridCol w:w="747"/>
        <w:gridCol w:w="543"/>
        <w:gridCol w:w="474"/>
        <w:gridCol w:w="747"/>
        <w:gridCol w:w="543"/>
        <w:gridCol w:w="474"/>
        <w:gridCol w:w="747"/>
        <w:gridCol w:w="543"/>
        <w:gridCol w:w="474"/>
        <w:gridCol w:w="747"/>
        <w:gridCol w:w="543"/>
      </w:tblGrid>
      <w:tr w:rsidR="009B487A" w:rsidRPr="00722885" w14:paraId="18517F76" w14:textId="77777777" w:rsidTr="00CC5360">
        <w:tc>
          <w:tcPr>
            <w:tcW w:w="0" w:type="auto"/>
            <w:vMerge w:val="restart"/>
            <w:shd w:val="clear" w:color="auto" w:fill="auto"/>
            <w:hideMark/>
          </w:tcPr>
          <w:p w14:paraId="5C815781"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Тип машины</w:t>
            </w:r>
          </w:p>
        </w:tc>
        <w:tc>
          <w:tcPr>
            <w:tcW w:w="0" w:type="auto"/>
            <w:gridSpan w:val="3"/>
            <w:shd w:val="clear" w:color="auto" w:fill="auto"/>
            <w:hideMark/>
          </w:tcPr>
          <w:p w14:paraId="6906CBF3"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Июль</w:t>
            </w:r>
          </w:p>
        </w:tc>
        <w:tc>
          <w:tcPr>
            <w:tcW w:w="0" w:type="auto"/>
            <w:gridSpan w:val="3"/>
            <w:shd w:val="clear" w:color="auto" w:fill="auto"/>
            <w:hideMark/>
          </w:tcPr>
          <w:p w14:paraId="44CB0C2F"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Август</w:t>
            </w:r>
          </w:p>
        </w:tc>
        <w:tc>
          <w:tcPr>
            <w:tcW w:w="0" w:type="auto"/>
            <w:gridSpan w:val="3"/>
            <w:shd w:val="clear" w:color="auto" w:fill="auto"/>
            <w:hideMark/>
          </w:tcPr>
          <w:p w14:paraId="3C9F37EC"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Сентябрь</w:t>
            </w:r>
          </w:p>
        </w:tc>
        <w:tc>
          <w:tcPr>
            <w:tcW w:w="0" w:type="auto"/>
            <w:gridSpan w:val="3"/>
            <w:shd w:val="clear" w:color="auto" w:fill="auto"/>
            <w:hideMark/>
          </w:tcPr>
          <w:p w14:paraId="43313233"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Октябрь</w:t>
            </w:r>
          </w:p>
        </w:tc>
        <w:tc>
          <w:tcPr>
            <w:tcW w:w="0" w:type="auto"/>
            <w:gridSpan w:val="3"/>
            <w:shd w:val="clear" w:color="auto" w:fill="auto"/>
            <w:hideMark/>
          </w:tcPr>
          <w:p w14:paraId="515FA3B8"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Ноябрь</w:t>
            </w:r>
          </w:p>
        </w:tc>
        <w:tc>
          <w:tcPr>
            <w:tcW w:w="0" w:type="auto"/>
            <w:gridSpan w:val="3"/>
            <w:shd w:val="clear" w:color="auto" w:fill="auto"/>
            <w:hideMark/>
          </w:tcPr>
          <w:p w14:paraId="5D18B7D6"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Декабрь</w:t>
            </w:r>
          </w:p>
        </w:tc>
      </w:tr>
      <w:tr w:rsidR="009B487A" w:rsidRPr="00722885" w14:paraId="54660257" w14:textId="77777777" w:rsidTr="00CC5360">
        <w:tc>
          <w:tcPr>
            <w:tcW w:w="0" w:type="auto"/>
            <w:vMerge/>
            <w:shd w:val="clear" w:color="auto" w:fill="auto"/>
            <w:hideMark/>
          </w:tcPr>
          <w:p w14:paraId="099388DE"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p>
        </w:tc>
        <w:tc>
          <w:tcPr>
            <w:tcW w:w="0" w:type="auto"/>
            <w:shd w:val="clear" w:color="auto" w:fill="auto"/>
            <w:hideMark/>
          </w:tcPr>
          <w:p w14:paraId="7BF66C8F"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37AFA7D4"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68C64FD9"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1AF21DE3"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55715013"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7719D519"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35110503"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68FA1157"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5C781ADC"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06AB451D"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73871F2E"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21C42A03"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7D8C8A21"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139C1A6A"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66AE02E3"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c>
          <w:tcPr>
            <w:tcW w:w="0" w:type="auto"/>
            <w:shd w:val="clear" w:color="auto" w:fill="auto"/>
            <w:hideMark/>
          </w:tcPr>
          <w:p w14:paraId="3CB1A903"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06ADBD2C"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523EF5BC"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r>
      <w:tr w:rsidR="009B487A" w:rsidRPr="00722885" w14:paraId="62F96AD7" w14:textId="77777777" w:rsidTr="00CC5360">
        <w:tc>
          <w:tcPr>
            <w:tcW w:w="0" w:type="auto"/>
            <w:shd w:val="clear" w:color="auto" w:fill="auto"/>
            <w:hideMark/>
          </w:tcPr>
          <w:p w14:paraId="6874A3A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w:t>
            </w:r>
          </w:p>
        </w:tc>
        <w:tc>
          <w:tcPr>
            <w:tcW w:w="0" w:type="auto"/>
            <w:shd w:val="clear" w:color="auto" w:fill="auto"/>
            <w:hideMark/>
          </w:tcPr>
          <w:p w14:paraId="5DB7855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483AA4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A295FA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0478A6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39520C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B17553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92C566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4FA7A5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83430C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540F02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74AE80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FB4542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40CF62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04CAA9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839039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E4BECE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1CB6DF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445C09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4125D02B" w14:textId="77777777" w:rsidTr="00CC5360">
        <w:tc>
          <w:tcPr>
            <w:tcW w:w="0" w:type="auto"/>
            <w:shd w:val="clear" w:color="auto" w:fill="auto"/>
            <w:hideMark/>
          </w:tcPr>
          <w:p w14:paraId="1584B71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II</w:t>
            </w:r>
          </w:p>
        </w:tc>
        <w:tc>
          <w:tcPr>
            <w:tcW w:w="0" w:type="auto"/>
            <w:shd w:val="clear" w:color="auto" w:fill="auto"/>
            <w:hideMark/>
          </w:tcPr>
          <w:p w14:paraId="1F709FE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EB45E9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89E1E6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502055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993372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FB8235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62FCB3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3292FEC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4C45DCC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F34BEF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58F452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45BC15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3F14922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337A57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8D3315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918235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E112A9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39C604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367CB545" w14:textId="77777777" w:rsidTr="00CC5360">
        <w:tc>
          <w:tcPr>
            <w:tcW w:w="0" w:type="auto"/>
            <w:shd w:val="clear" w:color="auto" w:fill="auto"/>
            <w:hideMark/>
          </w:tcPr>
          <w:p w14:paraId="62AFD5B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lastRenderedPageBreak/>
              <w:t>Pz. III</w:t>
            </w:r>
          </w:p>
        </w:tc>
        <w:tc>
          <w:tcPr>
            <w:tcW w:w="0" w:type="auto"/>
            <w:shd w:val="clear" w:color="auto" w:fill="auto"/>
            <w:hideMark/>
          </w:tcPr>
          <w:p w14:paraId="0EA5B98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w:t>
            </w:r>
          </w:p>
        </w:tc>
        <w:tc>
          <w:tcPr>
            <w:tcW w:w="0" w:type="auto"/>
            <w:shd w:val="clear" w:color="auto" w:fill="auto"/>
            <w:hideMark/>
          </w:tcPr>
          <w:p w14:paraId="06CA20F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135E954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2E922C9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8C6A97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385F8AE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45F950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1E43B3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4BC00CB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c>
          <w:tcPr>
            <w:tcW w:w="0" w:type="auto"/>
            <w:shd w:val="clear" w:color="auto" w:fill="auto"/>
            <w:hideMark/>
          </w:tcPr>
          <w:p w14:paraId="21B38AC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7FDF37F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173433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2DE592D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5B3EBBA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10B22AC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1E1FA26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EA542C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64FF701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r>
      <w:tr w:rsidR="009B487A" w:rsidRPr="00722885" w14:paraId="0D53AFAA" w14:textId="77777777" w:rsidTr="00CC5360">
        <w:tc>
          <w:tcPr>
            <w:tcW w:w="0" w:type="auto"/>
            <w:shd w:val="clear" w:color="auto" w:fill="auto"/>
            <w:hideMark/>
          </w:tcPr>
          <w:p w14:paraId="6942DC6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StuG III</w:t>
            </w:r>
          </w:p>
        </w:tc>
        <w:tc>
          <w:tcPr>
            <w:tcW w:w="0" w:type="auto"/>
            <w:shd w:val="clear" w:color="auto" w:fill="auto"/>
            <w:hideMark/>
          </w:tcPr>
          <w:p w14:paraId="450E281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B240D6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1234AF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1FEB23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30746A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92DBB9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A81D78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02357FA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596EF2F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106B207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8C9F51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76CD189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53689D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853D81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39617B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001993A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7041B63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23F872A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r>
      <w:tr w:rsidR="009B487A" w:rsidRPr="00722885" w14:paraId="0148A75D" w14:textId="77777777" w:rsidTr="00CC5360">
        <w:tc>
          <w:tcPr>
            <w:tcW w:w="0" w:type="auto"/>
            <w:shd w:val="clear" w:color="auto" w:fill="auto"/>
            <w:hideMark/>
          </w:tcPr>
          <w:p w14:paraId="5E86C04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IV</w:t>
            </w:r>
          </w:p>
        </w:tc>
        <w:tc>
          <w:tcPr>
            <w:tcW w:w="0" w:type="auto"/>
            <w:shd w:val="clear" w:color="auto" w:fill="auto"/>
            <w:hideMark/>
          </w:tcPr>
          <w:p w14:paraId="728C6F5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09831E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39BE2D2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4FD5FAC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F03133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405EEA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42A1D1F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501B5C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DA71EC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F53CA4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5C84ACE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68EB392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22FD197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2C7955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DB92F0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44D11A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BAA264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98B54F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3B5BF61A" w14:textId="77777777" w:rsidTr="00CC5360">
        <w:tc>
          <w:tcPr>
            <w:tcW w:w="0" w:type="auto"/>
            <w:shd w:val="clear" w:color="auto" w:fill="auto"/>
            <w:hideMark/>
          </w:tcPr>
          <w:p w14:paraId="5B493D6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35(t)</w:t>
            </w:r>
          </w:p>
        </w:tc>
        <w:tc>
          <w:tcPr>
            <w:tcW w:w="0" w:type="auto"/>
            <w:shd w:val="clear" w:color="auto" w:fill="auto"/>
            <w:hideMark/>
          </w:tcPr>
          <w:p w14:paraId="23C56F1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844708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49E698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C4227A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0F7BE1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B44F1A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EF706A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5C6379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05055C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4F89C8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0998E9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E00A68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A024BB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51E581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826F45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978F3C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02D771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B3E2D4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1D61F616" w14:textId="77777777" w:rsidTr="00CC5360">
        <w:tc>
          <w:tcPr>
            <w:tcW w:w="0" w:type="auto"/>
            <w:shd w:val="clear" w:color="auto" w:fill="auto"/>
            <w:hideMark/>
          </w:tcPr>
          <w:p w14:paraId="51FD203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38(t)</w:t>
            </w:r>
          </w:p>
        </w:tc>
        <w:tc>
          <w:tcPr>
            <w:tcW w:w="0" w:type="auto"/>
            <w:shd w:val="clear" w:color="auto" w:fill="auto"/>
            <w:hideMark/>
          </w:tcPr>
          <w:p w14:paraId="76C9662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c>
          <w:tcPr>
            <w:tcW w:w="0" w:type="auto"/>
            <w:shd w:val="clear" w:color="auto" w:fill="auto"/>
            <w:hideMark/>
          </w:tcPr>
          <w:p w14:paraId="276091E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3ECB0DE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w:t>
            </w:r>
          </w:p>
        </w:tc>
        <w:tc>
          <w:tcPr>
            <w:tcW w:w="0" w:type="auto"/>
            <w:shd w:val="clear" w:color="auto" w:fill="auto"/>
            <w:hideMark/>
          </w:tcPr>
          <w:p w14:paraId="0EE265B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E63DEF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86C7A6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4A0736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A77C98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07AFFC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9B471C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A7DC78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65C063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33666D9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B86903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456A84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B837F9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EC2BA2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F6CD63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13330E81" w14:textId="77777777" w:rsidTr="00CC5360">
        <w:tc>
          <w:tcPr>
            <w:tcW w:w="0" w:type="auto"/>
            <w:shd w:val="clear" w:color="auto" w:fill="auto"/>
            <w:hideMark/>
          </w:tcPr>
          <w:p w14:paraId="522A6D2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II Flamm</w:t>
            </w:r>
          </w:p>
        </w:tc>
        <w:tc>
          <w:tcPr>
            <w:tcW w:w="0" w:type="auto"/>
            <w:shd w:val="clear" w:color="auto" w:fill="auto"/>
            <w:hideMark/>
          </w:tcPr>
          <w:p w14:paraId="40A95B3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3C1DFB3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53C495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4D5B9C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6453C8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4930893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660E0D2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441C68A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0E727A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EE8335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D06610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8C4396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ADA2C2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EDCE65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B7DF32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9E5B43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C3FCA1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2639D1D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r>
      <w:tr w:rsidR="009B487A" w:rsidRPr="00722885" w14:paraId="04F3F325" w14:textId="77777777" w:rsidTr="00CC5360">
        <w:tc>
          <w:tcPr>
            <w:tcW w:w="0" w:type="auto"/>
            <w:shd w:val="clear" w:color="auto" w:fill="auto"/>
            <w:hideMark/>
          </w:tcPr>
          <w:p w14:paraId="28C01A9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S-35 «Сомуа»</w:t>
            </w:r>
          </w:p>
        </w:tc>
        <w:tc>
          <w:tcPr>
            <w:tcW w:w="0" w:type="auto"/>
            <w:shd w:val="clear" w:color="auto" w:fill="auto"/>
            <w:hideMark/>
          </w:tcPr>
          <w:p w14:paraId="6CC907B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73AEBA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A6F213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45AE43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DF227F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DF4E11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66CE4F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A98798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67AE08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3043C2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484D5A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7060D1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E30EA8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5A1CEE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B8A4A0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347DD6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7052B2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C55719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0EFA7ECE" w14:textId="77777777" w:rsidTr="00CC5360">
        <w:tc>
          <w:tcPr>
            <w:tcW w:w="0" w:type="auto"/>
            <w:shd w:val="clear" w:color="auto" w:fill="auto"/>
            <w:hideMark/>
          </w:tcPr>
          <w:p w14:paraId="1DC38FE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Бронеавтомобили</w:t>
            </w:r>
          </w:p>
        </w:tc>
        <w:tc>
          <w:tcPr>
            <w:tcW w:w="0" w:type="auto"/>
            <w:shd w:val="clear" w:color="auto" w:fill="auto"/>
            <w:hideMark/>
          </w:tcPr>
          <w:p w14:paraId="7273A8D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A2134D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6F51C4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44BD45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C1F19E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031812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634343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BC32E2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9CDFBF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1E47E0E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68B3A1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6410F3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68F2E43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92AD7C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0BA471B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3EAB487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4C07753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5528881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bl>
    <w:p w14:paraId="3ADF562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(12688).</w:t>
      </w:r>
    </w:p>
    <w:p w14:paraId="24F86A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bCs/>
          <w:color w:val="000000" w:themeColor="text1"/>
          <w:sz w:val="16"/>
          <w:szCs w:val="16"/>
        </w:rPr>
        <w:t>Сведения о ремонте трофейной бронетехники на ремонтной базе № 82 за 1942 год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814"/>
        <w:gridCol w:w="1448"/>
        <w:gridCol w:w="975"/>
      </w:tblGrid>
      <w:tr w:rsidR="009B487A" w:rsidRPr="00722885" w14:paraId="7EFB324E" w14:textId="77777777" w:rsidTr="00CC5360">
        <w:tc>
          <w:tcPr>
            <w:tcW w:w="0" w:type="auto"/>
            <w:vMerge w:val="restart"/>
            <w:shd w:val="clear" w:color="auto" w:fill="auto"/>
            <w:hideMark/>
          </w:tcPr>
          <w:p w14:paraId="6919F4DB"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Тип машины</w:t>
            </w:r>
          </w:p>
        </w:tc>
        <w:tc>
          <w:tcPr>
            <w:tcW w:w="0" w:type="auto"/>
            <w:gridSpan w:val="3"/>
            <w:shd w:val="clear" w:color="auto" w:fill="auto"/>
            <w:hideMark/>
          </w:tcPr>
          <w:p w14:paraId="23D35F49"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Всего</w:t>
            </w:r>
          </w:p>
        </w:tc>
      </w:tr>
      <w:tr w:rsidR="009B487A" w:rsidRPr="00722885" w14:paraId="54721A27" w14:textId="77777777" w:rsidTr="00CC5360">
        <w:tc>
          <w:tcPr>
            <w:tcW w:w="0" w:type="auto"/>
            <w:vMerge/>
            <w:shd w:val="clear" w:color="auto" w:fill="auto"/>
            <w:hideMark/>
          </w:tcPr>
          <w:p w14:paraId="05C5E2C9"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p>
        </w:tc>
        <w:tc>
          <w:tcPr>
            <w:tcW w:w="0" w:type="auto"/>
            <w:shd w:val="clear" w:color="auto" w:fill="auto"/>
            <w:hideMark/>
          </w:tcPr>
          <w:p w14:paraId="1399E3A8"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Завезено</w:t>
            </w:r>
          </w:p>
        </w:tc>
        <w:tc>
          <w:tcPr>
            <w:tcW w:w="0" w:type="auto"/>
            <w:shd w:val="clear" w:color="auto" w:fill="auto"/>
            <w:hideMark/>
          </w:tcPr>
          <w:p w14:paraId="11BF6512"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Отремонтировано</w:t>
            </w:r>
          </w:p>
        </w:tc>
        <w:tc>
          <w:tcPr>
            <w:tcW w:w="0" w:type="auto"/>
            <w:shd w:val="clear" w:color="auto" w:fill="auto"/>
            <w:hideMark/>
          </w:tcPr>
          <w:p w14:paraId="7695307D" w14:textId="77777777" w:rsidR="00BB6316" w:rsidRPr="00722885" w:rsidRDefault="00BB6316" w:rsidP="00722885">
            <w:pPr>
              <w:spacing w:after="0" w:line="240" w:lineRule="auto"/>
              <w:jc w:val="both"/>
              <w:rPr>
                <w:rFonts w:ascii="Times New Roman" w:eastAsia="Times New Roman" w:hAnsi="Times New Roman"/>
                <w:bCs/>
                <w:color w:val="000000" w:themeColor="text1"/>
                <w:sz w:val="16"/>
                <w:szCs w:val="16"/>
                <w:lang w:eastAsia="ru-RU"/>
              </w:rPr>
            </w:pPr>
            <w:r w:rsidRPr="00722885">
              <w:rPr>
                <w:rFonts w:ascii="Times New Roman" w:eastAsia="Times New Roman" w:hAnsi="Times New Roman"/>
                <w:bCs/>
                <w:color w:val="000000" w:themeColor="text1"/>
                <w:sz w:val="16"/>
                <w:szCs w:val="16"/>
                <w:lang w:eastAsia="ru-RU"/>
              </w:rPr>
              <w:t>Отгружено</w:t>
            </w:r>
          </w:p>
        </w:tc>
      </w:tr>
      <w:tr w:rsidR="009B487A" w:rsidRPr="00722885" w14:paraId="0CFA6AE5" w14:textId="77777777" w:rsidTr="00CC5360">
        <w:tc>
          <w:tcPr>
            <w:tcW w:w="0" w:type="auto"/>
            <w:shd w:val="clear" w:color="auto" w:fill="auto"/>
            <w:hideMark/>
          </w:tcPr>
          <w:p w14:paraId="386235F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w:t>
            </w:r>
          </w:p>
        </w:tc>
        <w:tc>
          <w:tcPr>
            <w:tcW w:w="0" w:type="auto"/>
            <w:shd w:val="clear" w:color="auto" w:fill="auto"/>
            <w:hideMark/>
          </w:tcPr>
          <w:p w14:paraId="2ABE135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w:t>
            </w:r>
          </w:p>
        </w:tc>
        <w:tc>
          <w:tcPr>
            <w:tcW w:w="0" w:type="auto"/>
            <w:shd w:val="clear" w:color="auto" w:fill="auto"/>
            <w:hideMark/>
          </w:tcPr>
          <w:p w14:paraId="58F9923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796AB04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r>
      <w:tr w:rsidR="009B487A" w:rsidRPr="00722885" w14:paraId="7C3E76E6" w14:textId="77777777" w:rsidTr="00CC5360">
        <w:tc>
          <w:tcPr>
            <w:tcW w:w="0" w:type="auto"/>
            <w:shd w:val="clear" w:color="auto" w:fill="auto"/>
            <w:hideMark/>
          </w:tcPr>
          <w:p w14:paraId="7DE37C7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II</w:t>
            </w:r>
          </w:p>
        </w:tc>
        <w:tc>
          <w:tcPr>
            <w:tcW w:w="0" w:type="auto"/>
            <w:shd w:val="clear" w:color="auto" w:fill="auto"/>
            <w:hideMark/>
          </w:tcPr>
          <w:p w14:paraId="1B2B316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42</w:t>
            </w:r>
          </w:p>
        </w:tc>
        <w:tc>
          <w:tcPr>
            <w:tcW w:w="0" w:type="auto"/>
            <w:shd w:val="clear" w:color="auto" w:fill="auto"/>
            <w:hideMark/>
          </w:tcPr>
          <w:p w14:paraId="6312472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w:t>
            </w:r>
          </w:p>
        </w:tc>
        <w:tc>
          <w:tcPr>
            <w:tcW w:w="0" w:type="auto"/>
            <w:shd w:val="clear" w:color="auto" w:fill="auto"/>
            <w:hideMark/>
          </w:tcPr>
          <w:p w14:paraId="4F40991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w:t>
            </w:r>
          </w:p>
        </w:tc>
      </w:tr>
      <w:tr w:rsidR="009B487A" w:rsidRPr="00722885" w14:paraId="2420575D" w14:textId="77777777" w:rsidTr="00CC5360">
        <w:tc>
          <w:tcPr>
            <w:tcW w:w="0" w:type="auto"/>
            <w:shd w:val="clear" w:color="auto" w:fill="auto"/>
            <w:hideMark/>
          </w:tcPr>
          <w:p w14:paraId="03644A7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III</w:t>
            </w:r>
          </w:p>
        </w:tc>
        <w:tc>
          <w:tcPr>
            <w:tcW w:w="0" w:type="auto"/>
            <w:shd w:val="clear" w:color="auto" w:fill="auto"/>
            <w:hideMark/>
          </w:tcPr>
          <w:p w14:paraId="3988B8A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31</w:t>
            </w:r>
          </w:p>
        </w:tc>
        <w:tc>
          <w:tcPr>
            <w:tcW w:w="0" w:type="auto"/>
            <w:shd w:val="clear" w:color="auto" w:fill="auto"/>
            <w:hideMark/>
          </w:tcPr>
          <w:p w14:paraId="4D21A6B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11</w:t>
            </w:r>
          </w:p>
        </w:tc>
        <w:tc>
          <w:tcPr>
            <w:tcW w:w="0" w:type="auto"/>
            <w:shd w:val="clear" w:color="auto" w:fill="auto"/>
            <w:hideMark/>
          </w:tcPr>
          <w:p w14:paraId="1F0529C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10</w:t>
            </w:r>
          </w:p>
        </w:tc>
      </w:tr>
      <w:tr w:rsidR="009B487A" w:rsidRPr="00722885" w14:paraId="7537C89D" w14:textId="77777777" w:rsidTr="00CC5360">
        <w:tc>
          <w:tcPr>
            <w:tcW w:w="0" w:type="auto"/>
            <w:shd w:val="clear" w:color="auto" w:fill="auto"/>
            <w:hideMark/>
          </w:tcPr>
          <w:p w14:paraId="07C45AB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StuG III</w:t>
            </w:r>
          </w:p>
        </w:tc>
        <w:tc>
          <w:tcPr>
            <w:tcW w:w="0" w:type="auto"/>
            <w:shd w:val="clear" w:color="auto" w:fill="auto"/>
            <w:hideMark/>
          </w:tcPr>
          <w:p w14:paraId="12D9B0D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24</w:t>
            </w:r>
          </w:p>
        </w:tc>
        <w:tc>
          <w:tcPr>
            <w:tcW w:w="0" w:type="auto"/>
            <w:shd w:val="clear" w:color="auto" w:fill="auto"/>
            <w:hideMark/>
          </w:tcPr>
          <w:p w14:paraId="446314E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8</w:t>
            </w:r>
          </w:p>
        </w:tc>
        <w:tc>
          <w:tcPr>
            <w:tcW w:w="0" w:type="auto"/>
            <w:shd w:val="clear" w:color="auto" w:fill="auto"/>
            <w:hideMark/>
          </w:tcPr>
          <w:p w14:paraId="2826D7F6"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8</w:t>
            </w:r>
          </w:p>
        </w:tc>
      </w:tr>
      <w:tr w:rsidR="009B487A" w:rsidRPr="00722885" w14:paraId="772C1257" w14:textId="77777777" w:rsidTr="00CC5360">
        <w:tc>
          <w:tcPr>
            <w:tcW w:w="0" w:type="auto"/>
            <w:shd w:val="clear" w:color="auto" w:fill="auto"/>
            <w:hideMark/>
          </w:tcPr>
          <w:p w14:paraId="78181D7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IV</w:t>
            </w:r>
          </w:p>
        </w:tc>
        <w:tc>
          <w:tcPr>
            <w:tcW w:w="0" w:type="auto"/>
            <w:shd w:val="clear" w:color="auto" w:fill="auto"/>
            <w:hideMark/>
          </w:tcPr>
          <w:p w14:paraId="502FC7A2"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11</w:t>
            </w:r>
          </w:p>
        </w:tc>
        <w:tc>
          <w:tcPr>
            <w:tcW w:w="0" w:type="auto"/>
            <w:shd w:val="clear" w:color="auto" w:fill="auto"/>
            <w:hideMark/>
          </w:tcPr>
          <w:p w14:paraId="540A647F"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c>
          <w:tcPr>
            <w:tcW w:w="0" w:type="auto"/>
            <w:shd w:val="clear" w:color="auto" w:fill="auto"/>
            <w:hideMark/>
          </w:tcPr>
          <w:p w14:paraId="2DBE4364"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r>
      <w:tr w:rsidR="009B487A" w:rsidRPr="00722885" w14:paraId="6FEC3332" w14:textId="77777777" w:rsidTr="00CC5360">
        <w:tc>
          <w:tcPr>
            <w:tcW w:w="0" w:type="auto"/>
            <w:shd w:val="clear" w:color="auto" w:fill="auto"/>
            <w:hideMark/>
          </w:tcPr>
          <w:p w14:paraId="70C88A9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35(t)</w:t>
            </w:r>
          </w:p>
        </w:tc>
        <w:tc>
          <w:tcPr>
            <w:tcW w:w="0" w:type="auto"/>
            <w:shd w:val="clear" w:color="auto" w:fill="auto"/>
            <w:hideMark/>
          </w:tcPr>
          <w:p w14:paraId="5879ADC7"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15</w:t>
            </w:r>
          </w:p>
        </w:tc>
        <w:tc>
          <w:tcPr>
            <w:tcW w:w="0" w:type="auto"/>
            <w:shd w:val="clear" w:color="auto" w:fill="auto"/>
            <w:hideMark/>
          </w:tcPr>
          <w:p w14:paraId="4F0C8CED"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2F872D9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r>
      <w:tr w:rsidR="009B487A" w:rsidRPr="00722885" w14:paraId="346AD733" w14:textId="77777777" w:rsidTr="00CC5360">
        <w:tc>
          <w:tcPr>
            <w:tcW w:w="0" w:type="auto"/>
            <w:shd w:val="clear" w:color="auto" w:fill="auto"/>
            <w:hideMark/>
          </w:tcPr>
          <w:p w14:paraId="5374FA5A"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38(t)</w:t>
            </w:r>
          </w:p>
        </w:tc>
        <w:tc>
          <w:tcPr>
            <w:tcW w:w="0" w:type="auto"/>
            <w:shd w:val="clear" w:color="auto" w:fill="auto"/>
            <w:hideMark/>
          </w:tcPr>
          <w:p w14:paraId="49B52BD5"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53</w:t>
            </w:r>
          </w:p>
        </w:tc>
        <w:tc>
          <w:tcPr>
            <w:tcW w:w="0" w:type="auto"/>
            <w:shd w:val="clear" w:color="auto" w:fill="auto"/>
            <w:hideMark/>
          </w:tcPr>
          <w:p w14:paraId="465F5BC0"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13</w:t>
            </w:r>
          </w:p>
        </w:tc>
        <w:tc>
          <w:tcPr>
            <w:tcW w:w="0" w:type="auto"/>
            <w:shd w:val="clear" w:color="auto" w:fill="auto"/>
            <w:hideMark/>
          </w:tcPr>
          <w:p w14:paraId="534FB8A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13</w:t>
            </w:r>
          </w:p>
        </w:tc>
      </w:tr>
      <w:tr w:rsidR="009B487A" w:rsidRPr="00722885" w14:paraId="0537D211" w14:textId="77777777" w:rsidTr="00CC5360">
        <w:tc>
          <w:tcPr>
            <w:tcW w:w="0" w:type="auto"/>
            <w:shd w:val="clear" w:color="auto" w:fill="auto"/>
            <w:hideMark/>
          </w:tcPr>
          <w:p w14:paraId="01CE89C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Pz. II Flamm</w:t>
            </w:r>
          </w:p>
        </w:tc>
        <w:tc>
          <w:tcPr>
            <w:tcW w:w="0" w:type="auto"/>
            <w:shd w:val="clear" w:color="auto" w:fill="auto"/>
            <w:hideMark/>
          </w:tcPr>
          <w:p w14:paraId="6B8897B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6</w:t>
            </w:r>
          </w:p>
        </w:tc>
        <w:tc>
          <w:tcPr>
            <w:tcW w:w="0" w:type="auto"/>
            <w:shd w:val="clear" w:color="auto" w:fill="auto"/>
            <w:hideMark/>
          </w:tcPr>
          <w:p w14:paraId="7231546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c>
          <w:tcPr>
            <w:tcW w:w="0" w:type="auto"/>
            <w:shd w:val="clear" w:color="auto" w:fill="auto"/>
            <w:hideMark/>
          </w:tcPr>
          <w:p w14:paraId="69809743"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4</w:t>
            </w:r>
          </w:p>
        </w:tc>
      </w:tr>
      <w:tr w:rsidR="009B487A" w:rsidRPr="00722885" w14:paraId="064B9718" w14:textId="77777777" w:rsidTr="00CC5360">
        <w:tc>
          <w:tcPr>
            <w:tcW w:w="0" w:type="auto"/>
            <w:shd w:val="clear" w:color="auto" w:fill="auto"/>
            <w:hideMark/>
          </w:tcPr>
          <w:p w14:paraId="498278CB"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S-35 «Сомуа»</w:t>
            </w:r>
          </w:p>
        </w:tc>
        <w:tc>
          <w:tcPr>
            <w:tcW w:w="0" w:type="auto"/>
            <w:shd w:val="clear" w:color="auto" w:fill="auto"/>
            <w:hideMark/>
          </w:tcPr>
          <w:p w14:paraId="2D60DA7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77A8DA98"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w:t>
            </w:r>
          </w:p>
        </w:tc>
        <w:tc>
          <w:tcPr>
            <w:tcW w:w="0" w:type="auto"/>
            <w:shd w:val="clear" w:color="auto" w:fill="auto"/>
            <w:hideMark/>
          </w:tcPr>
          <w:p w14:paraId="23D6E63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r>
      <w:tr w:rsidR="009B487A" w:rsidRPr="00722885" w14:paraId="2F3B3F29" w14:textId="77777777" w:rsidTr="00CC5360">
        <w:tc>
          <w:tcPr>
            <w:tcW w:w="0" w:type="auto"/>
            <w:shd w:val="clear" w:color="auto" w:fill="auto"/>
            <w:hideMark/>
          </w:tcPr>
          <w:p w14:paraId="1CF01A89"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Бронеавтомобили</w:t>
            </w:r>
          </w:p>
        </w:tc>
        <w:tc>
          <w:tcPr>
            <w:tcW w:w="0" w:type="auto"/>
            <w:shd w:val="clear" w:color="auto" w:fill="auto"/>
            <w:hideMark/>
          </w:tcPr>
          <w:p w14:paraId="4236B0B1"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9</w:t>
            </w:r>
          </w:p>
        </w:tc>
        <w:tc>
          <w:tcPr>
            <w:tcW w:w="0" w:type="auto"/>
            <w:shd w:val="clear" w:color="auto" w:fill="auto"/>
            <w:hideMark/>
          </w:tcPr>
          <w:p w14:paraId="4725559C"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c>
          <w:tcPr>
            <w:tcW w:w="0" w:type="auto"/>
            <w:shd w:val="clear" w:color="auto" w:fill="auto"/>
            <w:hideMark/>
          </w:tcPr>
          <w:p w14:paraId="7E521D4E" w14:textId="77777777" w:rsidR="00BB6316" w:rsidRPr="00722885" w:rsidRDefault="00BB6316" w:rsidP="00722885">
            <w:pPr>
              <w:spacing w:after="0" w:line="240" w:lineRule="auto"/>
              <w:jc w:val="both"/>
              <w:rPr>
                <w:rFonts w:ascii="Times New Roman" w:eastAsia="Times New Roman" w:hAnsi="Times New Roman"/>
                <w:color w:val="000000" w:themeColor="text1"/>
                <w:sz w:val="16"/>
                <w:szCs w:val="16"/>
                <w:lang w:eastAsia="ru-RU"/>
              </w:rPr>
            </w:pPr>
            <w:r w:rsidRPr="00722885">
              <w:rPr>
                <w:rFonts w:ascii="Times New Roman" w:eastAsia="Times New Roman" w:hAnsi="Times New Roman"/>
                <w:color w:val="000000" w:themeColor="text1"/>
                <w:sz w:val="16"/>
                <w:szCs w:val="16"/>
                <w:lang w:eastAsia="ru-RU"/>
              </w:rPr>
              <w:t>1</w:t>
            </w:r>
          </w:p>
        </w:tc>
      </w:tr>
    </w:tbl>
    <w:p w14:paraId="0EF2CB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В течение 1942 года списано: Pz.1–2, Pz. II — 37, Pz. III — 19, Pz. IV — 7, StuG III — 15, Pz.35(l) — 14, Pz.38(t) — 34. Pz. II Flamm — 2, бронеавтомобилей — 8.</w:t>
      </w:r>
    </w:p>
    <w:p w14:paraId="136C61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(12688).</w:t>
      </w:r>
    </w:p>
    <w:p w14:paraId="3FEF7E4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1CC87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доля накоплений снизилась до 4% НД по сравнению с 19% в 1940. В 1943 году она выросла до 7%, и только в 1944 году приблизилась к довоенному уровню и составила 15% (Народное хозяйство СССР в Великой Отечественной войне 1941 – 1945 гг.: статистический сборник. М., 1990. С. 13.). В условиях войны приходилось не создавать новые, а умело использовать уже существующие производственные мощности. Кроме того, обычной практикой во время обеих мировых войн было продление срока службы старого оборудования, которое в мирные годы просто бы списали. Вместо этого его поддерживают путём ремонта в работоспособном состоянии. Облегчало ситуацию то, что промышленный потенциал СССР был в значительной мере создан в 30-е годы, и уровень его износа был достаточно низким. Другой отраслью, ставшей источником расширения производственной базы танкостроения, было транспортное машиностроение: паровозостроительные, вагоностроительные, паровозоремонтные и вагоноремонтные заводы. Эта отрасль была тесно связана с танкостроением ещё в довоенный период. Во время войны производство паровозов и вагонов почти полностью прекратилось. За 1942-1944 годы было произведено всего 84 магистральных паровоза и около двухсот товарных вагонов (Народное хозяйство СССР в Великой Отечественной войне 1941 – 1945 гг.: статистический сборник. М., 1990. С. 13.). Ни одного пассажирского вагона произведено не было. Безусловно, транспорт имеет в период войны огромное значение, как для военных операций, так и для нормальной работы экономики. Но в результате потери значительной части территории и экономического потенциала потребность в паровозах и вагонах снизилась, а в восточных районах оказалась часть паровозов и вагонов, использовавшихся ранее в западных районах страны. Катастрофическое падение объёма грузоперевозок в СССР почти в два раза, с 487,6 миллиарда тонно-километров в 1940 году до 259,7 миллиардов тонно-километров в 1942 году, объясняется в первую очередь не снижением парка паровозов и вагонов (оно не было таким масштабным), а утратой почти половины экономического потенциала. Имевшие место серьёзные трудности с работой транспорта, которые действительно наносили серьёзный ущерб слаженной работе советского хозяйственного механизма, были связаны, прежде всего, с повысившейся нагрузкой на железнодорожную сеть в восточных районах, значительно превышающей её пропускную способность, а не с нехваткой техники. Третьим донором танковой промышленности стало сельскохозяйственное машиностроение. Эта отрасль тоже резко снизила объёмы своего производства в ходе войны. Выпуск тракторов упал с 31,2 тысяч штук в 1941 году до 3,5 тысяч штук в 1942 году и 1,1 тысяч штук в 1943 году. Зерноуборочных комбайнов в 1942 – 1944 годах произвели всего двести штук (Народное хозяйство СССР в Великой Отечественной войне 1941 – 1945 гг.: статистический сборник. М., 1990. С. 13.). Проблема продовольствия остро стояла в период войны, но связана она была скорее с нехваткой посевных площадей, чем с нехваткой техники. Несмотря на передачу части тракторов в армию, соотношение посевных площадей и сельхозтехники в период войны даже улучшилось, так как значительное её количество эвакуировали из западных районов. В 1942 году на каждую тысячу гектаров посевной площади приходилось 3,5 трактора (как и в 1940 г.) и 1,35 комбайна (1,2 в 1940 г.) (Рассчитано по данным: Народное хозяйство СССР в Великой Отечественной войне 1941 – 1945 гг.: статистический сборник. С. 83-84.). Переключение части производственных мощностей сельскохозяйственного машиностроения на производство танков не несло большого ущерба сельскому хозяйству и не оказывало на его эффективность значительного влияния, по крайней мере, до тех пор, пока не встала проблема восстановления хозяйства освобождённых районов. Кроме того, к производству танков был частично привлечён Горьковский автомобильный завод. В годы войны он производил лёгкие танки и самоходки, в которых широко применялись автомобильные агрегаты. Решение о частичном перепрофилировании этого завода было не таким однозначно бесспорным, как в других случаях. Ведь Красная Армия испытывала серьёзные проблемы, связанные с нехваткой автотранспорта. Стоило ли в этих условиях производить вместо автомашин второстепенные по своему значению легкие танки? Часть производственных мощностей наркомат танковой промышленности (НКТП) получил за счёт перераспределения внутри самой военной промышленности. Начавшаяся война с Германией должна была быть сухопутной войной. Значение военно-морского флота, а значит и военного судостроения, в этой войне было небольшим. Поэтому военное судостроение было частично переключено на производство бронетанковой техники. Но наличия самих по себе производственных мощностей не было достаточно. Необходимо было их максимально эффективно использовать. С этой точки зрения наиболее перспективен был переход к использованию технологий массового производства. До войны методы массового производства очень широко применялись в некоторых гражданских отраслях машиностроения, прежде всего в автомобилестроении и тракторостроении. Но военная промышленность использовала такие технологии значительно реже. Например, на заводе # 183 в Харькове, несмотря на значительные объёмы продукции, производство было организовано по принципу мелкосерийного производства, со всеми присущими ему атрибутами: стендовой сборкой танков, использованием универсальных станков, ручной формовкой форм для литья, ручной сваркой и т.д. (РГАЭ. Ф. 8798. Оп. 4. Д. 16 Л. 234.). После начала войны ситуация изменилась. Обстановка потребовала провести эвакуацию ряда важнейших предприятий, и решать проблему перехода к технологиям массового производства пришлось уже в ходе восстановления эвакуированных предприятий на востоке. Танковая промышленность стала применять ряд высокопроизводительных технологий: конвейерную сборку, литьё в многоразовые формы, поточные линии с использованием специализированных станков. Решающую роль в переходе к технологиям массового производства играла инициатива руководства наркомата танковой промышленности. Именно на этом уровне были приняты определяющие стратегию развития отрасли решения. На более высоком уровне, в Совете Народных Комиссаров (СНК) и Государственном Комитете Обороны (ГКО), в основном только ставили задачи, не уточняя конкретных путей их выполнения. Хорошим примером стиля руководства ГКО является его постановление # 899сс от 14 ноября 1941 года, требовавшее довести производство танков до 140 штук в сутки. В этом постановлении были определены соответствующие этим цифрам объёмы производства бронекорпусов и двигателей на предприятиях НКТП, размер поставок танковых орудий с заводов Наркомата вооружения, бронелиста с предприятий наркомата черной металлургии (НКЧМ). Было подробно спланировано, из каких источников танковая промышленность получит недостающую рабочую силу. Но не было определено самого главного – каким образом танкостроение сможет выполнить поставленную руководством страны задачу. Руководство страны только ставит задачу, а методы её решения должно было найти руководство отрасли. Более того, как показали последующие события, установленная ГКО цифра была основана на оторванных от действительности предположениях о возможностях танковой промышленности. Суточный объём производства танков, указанный в постановлении ГКО, не был достигнут ни в январе 1942 года (как требовало постановление), ни когда-либо ещё (11787).</w:t>
      </w:r>
    </w:p>
    <w:p w14:paraId="7E74DA7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3EE981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В 1942 году, идя навстречу военным, конструкторы начали разработку танка КВ с более легкой броней но близкий по ходовым характеристикам к Т-34. Новый танк назвали КВ-1с (скоростной). Так же, на базе КВ, был построен огнеметный танк с 45-мм пушкой - КВ-8, и еще несколько экспериментальных машин, в том числе </w:t>
      </w:r>
      <w:r w:rsidRPr="00722885">
        <w:rPr>
          <w:color w:val="000000" w:themeColor="text1"/>
          <w:sz w:val="16"/>
          <w:szCs w:val="16"/>
        </w:rPr>
        <w:lastRenderedPageBreak/>
        <w:t>гаубичный танк, танк с 85-мм пушкой (Объект 220) и т.д..</w:t>
      </w:r>
    </w:p>
    <w:p w14:paraId="534EA56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КВ-1с был на 5 тонн легче КВ-1. Больше всего удалось выиграть в весе, уменьшив размеры башни. Толщина брони корпуса была уменьшена с 90-мм до 75-мм. Корма танка получила новую конфигурацию, благодаря чему удалось выкроить еще несколько килограммов. В ходовой части КВ-1с были применены новые, более легкие опорные катки и литые траки уменьшенной ширины (608 мм). Чтобы еще больше улучшить ходовые качества машины, силовая установка была полностью переработана. Танк получил новый главный фрикцион, коробку передач с демультипликатором, обеспечивавшую 8 передач вперед и 2 назад. Главной особенностью КВ-1с стала новая башня, в конструкции которой были учтены уроки 1941-42 годов..</w:t>
      </w:r>
    </w:p>
    <w:p w14:paraId="0B2CD0A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Командира КВ-1с избавили от обязанностей заряжающего, теперь снаряды подавал стрелок кормового пулемета. Место командира танка перенесли из правого переднего угла башни в левый задний угол, за спину наводчика. Кроме того командир получил командирскую башенку (КВ-1с был вторым после Т-50 советским танком, оснащенный командирской башенкой)..</w:t>
      </w:r>
    </w:p>
    <w:p w14:paraId="514CE417"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Башенка хотя и не имела люка, но обеспечивала командиру танка хороший круговой обзор, что значительно облегчало командиру управление танком, координацию действий с другими танками и обнаружение противника. Башня имела один люк, который располагался в правой части крыши башни. Кормовой пулемет перенесли из центра башни в лево. Теперь его мог обслуживать и командир танка. Боезапас состоял из 114 выстрелов. В башню можно было устанавливать как пушку ЗиС-5, так и Ф-34. В танке было установлено 3 пулемета ДТ с боезапасом в 3000 патронов. Масса танка составила 42,5 тонн, максимальная скорость 43 км/ч, а запас хода 200 км. (3862).</w:t>
      </w:r>
    </w:p>
    <w:p w14:paraId="0DD72F42" w14:textId="77777777" w:rsidR="00BB6316" w:rsidRPr="00722885" w:rsidRDefault="00BB6316" w:rsidP="00722885">
      <w:pPr>
        <w:pStyle w:val="Iauiue"/>
        <w:jc w:val="both"/>
        <w:rPr>
          <w:color w:val="000000" w:themeColor="text1"/>
          <w:sz w:val="16"/>
          <w:szCs w:val="16"/>
        </w:rPr>
      </w:pPr>
    </w:p>
    <w:p w14:paraId="133CB5D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начался выпуск огнеметного КВ-8. Основным преимуществом КВ-8 перед ОТ-34 была почти в 5 раз большая емкость баков с огнесмесью. Танки КВ-8 и ОТ-34 выделялись в отдельные батальоны огнеметных танков (батальоны химических танков)..</w:t>
      </w:r>
    </w:p>
    <w:p w14:paraId="1B18E22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отдельный батальон входили две роты КВ-8 (10 танков) и одна рота ОТ-34 (11 танков). После прекращения выпуска танков КВ-1, огнеметный танк КВ-8 строился на базе танка КВ-1С. В связи с этим, боекомплект пушки увеличили до 114 выстрела, а емкость резервуара с огнесмесью уменьшили до 600 литров (60 выстрелов). В ходе производства на танки стали устанавливать новый огнемет АТО-42. Масса КВ-8С составила 43 тонны, экипаж - 5 человек. (3862).</w:t>
      </w:r>
    </w:p>
    <w:p w14:paraId="24A8E556" w14:textId="77777777" w:rsidR="00BB6316" w:rsidRPr="00722885" w:rsidRDefault="00BB6316" w:rsidP="00722885">
      <w:pPr>
        <w:pStyle w:val="Iauiue"/>
        <w:jc w:val="both"/>
        <w:rPr>
          <w:color w:val="000000" w:themeColor="text1"/>
          <w:sz w:val="16"/>
          <w:szCs w:val="16"/>
        </w:rPr>
      </w:pPr>
    </w:p>
    <w:p w14:paraId="7E72CEAF" w14:textId="77777777" w:rsidR="00DC6410" w:rsidRPr="00722885" w:rsidRDefault="00DC6410"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был изготовлен макет У-12, но в металле она не изготавливалась. Самоходная установка КВ-12 разрабатывалась в СКБ-2 ЧКЗ на базе серийного тяжёлого танка КВ-1. Самоходная установка КВ-12 (У-19) относилась к типу закрытых. В качестве артиллерии была использована 203-мм гаубица Б-4, созданная в КБ «Большевика». Это орудие часто использовалось в проектах до войны (15132).</w:t>
      </w:r>
    </w:p>
    <w:p w14:paraId="1570037E" w14:textId="77777777" w:rsidR="00DC6410" w:rsidRPr="00722885" w:rsidRDefault="00DC6410" w:rsidP="00722885">
      <w:pPr>
        <w:spacing w:after="0" w:line="240" w:lineRule="auto"/>
        <w:jc w:val="both"/>
        <w:rPr>
          <w:rFonts w:ascii="Times New Roman" w:hAnsi="Times New Roman"/>
          <w:color w:val="000000" w:themeColor="text1"/>
          <w:sz w:val="16"/>
          <w:szCs w:val="16"/>
        </w:rPr>
      </w:pPr>
    </w:p>
    <w:p w14:paraId="0542AC4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 для Т-34 был разработан катковый колейный трал ПТ-З массой 5,3 т. Ширина колеи траления 1,2 м, скорость - 10-18 км/ч (3905).</w:t>
      </w:r>
    </w:p>
    <w:p w14:paraId="69D6E4EB" w14:textId="77777777" w:rsidR="00BB6316" w:rsidRPr="00722885" w:rsidRDefault="00BB6316" w:rsidP="00722885">
      <w:pPr>
        <w:pStyle w:val="Iauiue"/>
        <w:jc w:val="both"/>
        <w:rPr>
          <w:color w:val="000000" w:themeColor="text1"/>
          <w:sz w:val="16"/>
          <w:szCs w:val="16"/>
        </w:rPr>
      </w:pPr>
    </w:p>
    <w:p w14:paraId="74190B1F" w14:textId="77777777" w:rsidR="00BB6316" w:rsidRPr="00722885" w:rsidRDefault="00BB6316" w:rsidP="00722885">
      <w:pPr>
        <w:pStyle w:val="a3"/>
        <w:rPr>
          <w:color w:val="000000" w:themeColor="text1"/>
          <w:lang w:val="ru-RU"/>
        </w:rPr>
      </w:pPr>
      <w:r w:rsidRPr="00722885">
        <w:rPr>
          <w:color w:val="000000" w:themeColor="text1"/>
          <w:lang w:val="ru-RU"/>
        </w:rPr>
        <w:t>В 1942 г. группой сотрудников Военно-инже</w:t>
      </w:r>
      <w:r w:rsidRPr="00722885">
        <w:rPr>
          <w:color w:val="000000" w:themeColor="text1"/>
          <w:lang w:val="ru-RU"/>
        </w:rPr>
        <w:softHyphen/>
        <w:t>нерной академии им. В.В. Куйбышева под руко</w:t>
      </w:r>
      <w:r w:rsidRPr="00722885">
        <w:rPr>
          <w:color w:val="000000" w:themeColor="text1"/>
          <w:lang w:val="ru-RU"/>
        </w:rPr>
        <w:softHyphen/>
        <w:t>водством полковника П.М. Мугалева (героя Со</w:t>
      </w:r>
      <w:r w:rsidRPr="00722885">
        <w:rPr>
          <w:color w:val="000000" w:themeColor="text1"/>
          <w:lang w:val="ru-RU"/>
        </w:rPr>
        <w:softHyphen/>
        <w:t>ветского Союза, лауреата Сталинской премии) был разработан противоминный трал ПТ-3 для танка Т-34. Изготовили трал на Тульском меха</w:t>
      </w:r>
      <w:r w:rsidRPr="00722885">
        <w:rPr>
          <w:color w:val="000000" w:themeColor="text1"/>
          <w:lang w:val="ru-RU"/>
        </w:rPr>
        <w:softHyphen/>
        <w:t>ническом заводе. В ходе испытаний ПТ-3 пока</w:t>
      </w:r>
      <w:r w:rsidRPr="00722885">
        <w:rPr>
          <w:color w:val="000000" w:themeColor="text1"/>
          <w:lang w:val="ru-RU"/>
        </w:rPr>
        <w:softHyphen/>
        <w:t>зал хорошие результаты, был принят на воору</w:t>
      </w:r>
      <w:r w:rsidRPr="00722885">
        <w:rPr>
          <w:color w:val="000000" w:themeColor="text1"/>
          <w:lang w:val="ru-RU"/>
        </w:rPr>
        <w:softHyphen/>
        <w:t>жение РККА и вполне оправдал себя в ходе бое</w:t>
      </w:r>
      <w:r w:rsidRPr="00722885">
        <w:rPr>
          <w:color w:val="000000" w:themeColor="text1"/>
          <w:lang w:val="ru-RU"/>
        </w:rPr>
        <w:softHyphen/>
        <w:t>вых действий.</w:t>
      </w:r>
    </w:p>
    <w:p w14:paraId="7FCC98D9" w14:textId="77777777" w:rsidR="00BB6316" w:rsidRPr="00722885" w:rsidRDefault="00BB6316" w:rsidP="00722885">
      <w:pPr>
        <w:pStyle w:val="a3"/>
        <w:rPr>
          <w:color w:val="000000" w:themeColor="text1"/>
          <w:lang w:val="ru-RU"/>
        </w:rPr>
      </w:pPr>
      <w:r w:rsidRPr="00722885">
        <w:rPr>
          <w:color w:val="000000" w:themeColor="text1"/>
          <w:lang w:val="ru-RU"/>
        </w:rPr>
        <w:t>ПТ-3 осуществлял траление основных типов противотанковых мин с контактными нажимны</w:t>
      </w:r>
      <w:r w:rsidRPr="00722885">
        <w:rPr>
          <w:color w:val="000000" w:themeColor="text1"/>
          <w:lang w:val="ru-RU"/>
        </w:rPr>
        <w:softHyphen/>
        <w:t>ми взрывателями, навешивался на переднюю часть серийного танка и обеспечивал подрыв мин, заглубленных в грунт. Трал состоял из двух катковых секций, упряжного устройства, рамы и тросовой подвески. Каждый каток снабжался сменными шпорами.</w:t>
      </w:r>
    </w:p>
    <w:p w14:paraId="6710AEF2" w14:textId="77777777" w:rsidR="00BB6316" w:rsidRPr="00722885" w:rsidRDefault="00BB6316" w:rsidP="00722885">
      <w:pPr>
        <w:pStyle w:val="a3"/>
        <w:rPr>
          <w:color w:val="000000" w:themeColor="text1"/>
          <w:lang w:val="ru-RU"/>
        </w:rPr>
      </w:pPr>
      <w:r w:rsidRPr="00722885">
        <w:rPr>
          <w:color w:val="000000" w:themeColor="text1"/>
          <w:lang w:val="ru-RU"/>
        </w:rPr>
        <w:t>Катки трала были посажены на ось незави</w:t>
      </w:r>
      <w:r w:rsidRPr="00722885">
        <w:rPr>
          <w:color w:val="000000" w:themeColor="text1"/>
          <w:lang w:val="ru-RU"/>
        </w:rPr>
        <w:softHyphen/>
        <w:t>симо один от другого и с большим зазором меж</w:t>
      </w:r>
      <w:r w:rsidRPr="00722885">
        <w:rPr>
          <w:color w:val="000000" w:themeColor="text1"/>
          <w:lang w:val="ru-RU"/>
        </w:rPr>
        <w:softHyphen/>
        <w:t>ду собой. Это улучшало качество копирования местности и условия работы оси, так как взрыв</w:t>
      </w:r>
      <w:r w:rsidRPr="00722885">
        <w:rPr>
          <w:color w:val="000000" w:themeColor="text1"/>
          <w:lang w:val="ru-RU"/>
        </w:rPr>
        <w:softHyphen/>
        <w:t>ная нагрузка действовала на нее лишь после того, как выбирала зазор, на что затрачивалась определенная энергия взрыва. Для удаления диска от центра взрыва на его окружности уста</w:t>
      </w:r>
      <w:r w:rsidRPr="00722885">
        <w:rPr>
          <w:color w:val="000000" w:themeColor="text1"/>
          <w:lang w:val="ru-RU"/>
        </w:rPr>
        <w:softHyphen/>
        <w:t>навливались специальные шпоры, предохраняв</w:t>
      </w:r>
      <w:r w:rsidRPr="00722885">
        <w:rPr>
          <w:color w:val="000000" w:themeColor="text1"/>
          <w:lang w:val="ru-RU"/>
        </w:rPr>
        <w:softHyphen/>
        <w:t>шие сам диск от разрушения.</w:t>
      </w:r>
    </w:p>
    <w:p w14:paraId="06146C55" w14:textId="77777777" w:rsidR="00BB6316" w:rsidRPr="00722885" w:rsidRDefault="00BB6316" w:rsidP="00722885">
      <w:pPr>
        <w:pStyle w:val="a3"/>
        <w:rPr>
          <w:color w:val="000000" w:themeColor="text1"/>
          <w:lang w:val="ru-RU"/>
        </w:rPr>
      </w:pPr>
      <w:r w:rsidRPr="00722885">
        <w:rPr>
          <w:color w:val="000000" w:themeColor="text1"/>
          <w:lang w:val="ru-RU"/>
        </w:rPr>
        <w:t>Общий вес трала ПТ-3 достигал 5300 кг. Га</w:t>
      </w:r>
      <w:r w:rsidRPr="00722885">
        <w:rPr>
          <w:color w:val="000000" w:themeColor="text1"/>
          <w:lang w:val="ru-RU"/>
        </w:rPr>
        <w:softHyphen/>
        <w:t>бариты: длина — 2870 мм, ширина — 3820 мм, высота — 2240 мм. Скорость траления состав</w:t>
      </w:r>
      <w:r w:rsidRPr="00722885">
        <w:rPr>
          <w:color w:val="000000" w:themeColor="text1"/>
          <w:lang w:val="ru-RU"/>
        </w:rPr>
        <w:softHyphen/>
        <w:t>ляла 10—12 км/ч, максимальная транспортная скорость — 25 км/ч. Ширина полосы траления представляла собой две колеи по 1200 мм. Вре</w:t>
      </w:r>
      <w:r w:rsidRPr="00722885">
        <w:rPr>
          <w:color w:val="000000" w:themeColor="text1"/>
          <w:lang w:val="ru-RU"/>
        </w:rPr>
        <w:softHyphen/>
        <w:t>мя монтажа трала силами экипажа танка — 60 мин. Аварийная отцепка оттанка не была пре</w:t>
      </w:r>
      <w:r w:rsidRPr="00722885">
        <w:rPr>
          <w:color w:val="000000" w:themeColor="text1"/>
          <w:lang w:val="ru-RU"/>
        </w:rPr>
        <w:softHyphen/>
        <w:t>дусмотрена.</w:t>
      </w:r>
    </w:p>
    <w:p w14:paraId="588CBA5D" w14:textId="77777777" w:rsidR="00BB6316" w:rsidRPr="00722885" w:rsidRDefault="00BB6316" w:rsidP="00722885">
      <w:pPr>
        <w:pStyle w:val="a3"/>
        <w:rPr>
          <w:color w:val="000000" w:themeColor="text1"/>
          <w:lang w:val="ru-RU"/>
        </w:rPr>
      </w:pPr>
      <w:r w:rsidRPr="00722885">
        <w:rPr>
          <w:color w:val="000000" w:themeColor="text1"/>
          <w:lang w:val="ru-RU"/>
        </w:rPr>
        <w:t>Трал легко разбирался, что позволяло быс</w:t>
      </w:r>
      <w:r w:rsidRPr="00722885">
        <w:rPr>
          <w:color w:val="000000" w:themeColor="text1"/>
          <w:lang w:val="ru-RU"/>
        </w:rPr>
        <w:softHyphen/>
        <w:t>тро производить его монтаж и демонтаж в поле</w:t>
      </w:r>
      <w:r w:rsidRPr="00722885">
        <w:rPr>
          <w:color w:val="000000" w:themeColor="text1"/>
          <w:lang w:val="ru-RU"/>
        </w:rPr>
        <w:softHyphen/>
        <w:t>вых условиях для ремонта и транспортировки в разобранном виде. Перевозка трала осуществ</w:t>
      </w:r>
      <w:r w:rsidRPr="00722885">
        <w:rPr>
          <w:color w:val="000000" w:themeColor="text1"/>
          <w:lang w:val="ru-RU"/>
        </w:rPr>
        <w:softHyphen/>
        <w:t>лялась на двух машинах ЗИС-5 или на одной ма</w:t>
      </w:r>
      <w:r w:rsidRPr="00722885">
        <w:rPr>
          <w:color w:val="000000" w:themeColor="text1"/>
          <w:lang w:val="ru-RU"/>
        </w:rPr>
        <w:softHyphen/>
        <w:t>шине Студебекер.</w:t>
      </w:r>
    </w:p>
    <w:p w14:paraId="29D6788C" w14:textId="77777777" w:rsidR="00BB6316" w:rsidRPr="00722885" w:rsidRDefault="00BB6316" w:rsidP="00722885">
      <w:pPr>
        <w:pStyle w:val="a3"/>
        <w:rPr>
          <w:color w:val="000000" w:themeColor="text1"/>
          <w:lang w:val="ru-RU"/>
        </w:rPr>
      </w:pPr>
      <w:r w:rsidRPr="00722885">
        <w:rPr>
          <w:color w:val="000000" w:themeColor="text1"/>
          <w:lang w:val="ru-RU"/>
        </w:rPr>
        <w:t>Противоминный трал ПТ-3 поступал на воо</w:t>
      </w:r>
      <w:r w:rsidRPr="00722885">
        <w:rPr>
          <w:color w:val="000000" w:themeColor="text1"/>
          <w:lang w:val="ru-RU"/>
        </w:rPr>
        <w:softHyphen/>
        <w:t>ружение инженерно-танковых полков, которые обеспечивали успешное преодоление минных полей танковыми соединениями при прорыве подготовленной обороны противника. Впервые танковые тралы ПТ-3 были применены в боевых действиях в районе Киева в ноябре 1943 г. Атака наших танков переднего края вражеской оборо</w:t>
      </w:r>
      <w:r w:rsidRPr="00722885">
        <w:rPr>
          <w:color w:val="000000" w:themeColor="text1"/>
          <w:lang w:val="ru-RU"/>
        </w:rPr>
        <w:softHyphen/>
        <w:t>ны без предварительного проделывания прохо</w:t>
      </w:r>
      <w:r w:rsidRPr="00722885">
        <w:rPr>
          <w:color w:val="000000" w:themeColor="text1"/>
          <w:lang w:val="ru-RU"/>
        </w:rPr>
        <w:softHyphen/>
        <w:t>дов явилась для противника полной неожидан</w:t>
      </w:r>
      <w:r w:rsidRPr="00722885">
        <w:rPr>
          <w:color w:val="000000" w:themeColor="text1"/>
          <w:lang w:val="ru-RU"/>
        </w:rPr>
        <w:softHyphen/>
        <w:t>ностью, что способствовало успеху наступления. В более широких масштабах противоминные тралы использовались летом 1944 г. в Белорус</w:t>
      </w:r>
      <w:r w:rsidRPr="00722885">
        <w:rPr>
          <w:color w:val="000000" w:themeColor="text1"/>
          <w:lang w:val="ru-RU"/>
        </w:rPr>
        <w:softHyphen/>
        <w:t>ской операции, а также в операциях 1945 г.</w:t>
      </w:r>
    </w:p>
    <w:p w14:paraId="23DB68E1" w14:textId="77777777" w:rsidR="00BB6316" w:rsidRPr="00722885" w:rsidRDefault="00BB6316" w:rsidP="00722885">
      <w:pPr>
        <w:pStyle w:val="a3"/>
        <w:rPr>
          <w:color w:val="000000" w:themeColor="text1"/>
          <w:lang w:val="ru-RU"/>
        </w:rPr>
      </w:pPr>
      <w:r w:rsidRPr="00722885">
        <w:rPr>
          <w:color w:val="000000" w:themeColor="text1"/>
          <w:lang w:val="ru-RU"/>
        </w:rPr>
        <w:t>Боевое использование тралов ПТ-3 на фрон</w:t>
      </w:r>
      <w:r w:rsidRPr="00722885">
        <w:rPr>
          <w:color w:val="000000" w:themeColor="text1"/>
          <w:lang w:val="ru-RU"/>
        </w:rPr>
        <w:softHyphen/>
        <w:t>тах Великой Отечественной войны выявило их конструктивные недостатки, которые устраня</w:t>
      </w:r>
      <w:r w:rsidRPr="00722885">
        <w:rPr>
          <w:color w:val="000000" w:themeColor="text1"/>
          <w:lang w:val="ru-RU"/>
        </w:rPr>
        <w:softHyphen/>
        <w:t>лись в процессе производства. Так, например, с целью увеличения прочности и надежности в работе раму трала укоротили на 160 мм и изме</w:t>
      </w:r>
      <w:r w:rsidRPr="00722885">
        <w:rPr>
          <w:color w:val="000000" w:themeColor="text1"/>
          <w:lang w:val="ru-RU"/>
        </w:rPr>
        <w:softHyphen/>
        <w:t>нили ее форму. Следующим этапом совершен</w:t>
      </w:r>
      <w:r w:rsidRPr="00722885">
        <w:rPr>
          <w:color w:val="000000" w:themeColor="text1"/>
          <w:lang w:val="ru-RU"/>
        </w:rPr>
        <w:softHyphen/>
        <w:t>ствования конструкции катковых тралов стало внедрение свободной, с большим зазором, по</w:t>
      </w:r>
      <w:r w:rsidRPr="00722885">
        <w:rPr>
          <w:color w:val="000000" w:themeColor="text1"/>
          <w:lang w:val="ru-RU"/>
        </w:rPr>
        <w:softHyphen/>
        <w:t>садки дисков на ось.</w:t>
      </w:r>
    </w:p>
    <w:p w14:paraId="3353474C" w14:textId="77777777" w:rsidR="00BB6316" w:rsidRPr="00722885" w:rsidRDefault="00BB6316" w:rsidP="00722885">
      <w:pPr>
        <w:pStyle w:val="a3"/>
        <w:rPr>
          <w:color w:val="000000" w:themeColor="text1"/>
          <w:lang w:val="ru-RU"/>
        </w:rPr>
      </w:pPr>
      <w:r w:rsidRPr="00722885">
        <w:rPr>
          <w:color w:val="000000" w:themeColor="text1"/>
          <w:lang w:val="ru-RU"/>
        </w:rPr>
        <w:t>Несмотря на ряд недостатков, применение тралов ПТ-3 для обеспечения боевых операций показало их надежность и эффективность. Тра</w:t>
      </w:r>
      <w:r w:rsidRPr="00722885">
        <w:rPr>
          <w:color w:val="000000" w:themeColor="text1"/>
          <w:lang w:val="ru-RU"/>
        </w:rPr>
        <w:softHyphen/>
        <w:t>лы этого типа были также рекомендованы к ис</w:t>
      </w:r>
      <w:r w:rsidRPr="00722885">
        <w:rPr>
          <w:color w:val="000000" w:themeColor="text1"/>
          <w:lang w:val="ru-RU"/>
        </w:rPr>
        <w:softHyphen/>
        <w:t>пользованию с тяжелыми танками КВ-1 и ИС-2.</w:t>
      </w:r>
    </w:p>
    <w:p w14:paraId="1CE2F3FF" w14:textId="77777777" w:rsidR="00BB6316" w:rsidRPr="00722885" w:rsidRDefault="00BB6316" w:rsidP="00722885">
      <w:pPr>
        <w:pStyle w:val="a3"/>
        <w:rPr>
          <w:color w:val="000000" w:themeColor="text1"/>
          <w:lang w:val="ru-RU"/>
        </w:rPr>
      </w:pPr>
      <w:r w:rsidRPr="00722885">
        <w:rPr>
          <w:color w:val="000000" w:themeColor="text1"/>
          <w:lang w:val="ru-RU"/>
        </w:rPr>
        <w:t>В послевоенные годы применение трала ПТ-3 осуществлялось с танками Т-44 (12079).</w:t>
      </w:r>
    </w:p>
    <w:p w14:paraId="49B738C1" w14:textId="77777777" w:rsidR="00BB6316" w:rsidRPr="00722885" w:rsidRDefault="00BB6316" w:rsidP="00722885">
      <w:pPr>
        <w:pStyle w:val="129"/>
        <w:shd w:val="clear" w:color="auto" w:fill="auto"/>
        <w:spacing w:line="240" w:lineRule="auto"/>
        <w:jc w:val="both"/>
        <w:rPr>
          <w:rFonts w:ascii="Times New Roman" w:hAnsi="Times New Roman" w:cs="Times New Roman"/>
          <w:b w:val="0"/>
          <w:bCs w:val="0"/>
          <w:color w:val="000000" w:themeColor="text1"/>
          <w:sz w:val="16"/>
          <w:szCs w:val="16"/>
        </w:rPr>
      </w:pPr>
    </w:p>
    <w:p w14:paraId="15092A0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к производству Т-34 подключился и завод №174 имени К.Е.Ворошилова, эвакуированный из Ленинграда в Омск (3862).</w:t>
      </w:r>
    </w:p>
    <w:p w14:paraId="1B9DB67E" w14:textId="77777777" w:rsidR="00BB6316" w:rsidRPr="00722885" w:rsidRDefault="00BB6316" w:rsidP="00722885">
      <w:pPr>
        <w:pStyle w:val="Iauiue"/>
        <w:jc w:val="both"/>
        <w:rPr>
          <w:color w:val="000000" w:themeColor="text1"/>
          <w:sz w:val="16"/>
          <w:szCs w:val="16"/>
        </w:rPr>
      </w:pPr>
    </w:p>
    <w:p w14:paraId="0C6ECDD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освоили массовое производство съемные штампованные уширители гусениц, которые применялись на танках Т-60 Для повышения проходимости по болотистым грунтам и снегу (3862).</w:t>
      </w:r>
    </w:p>
    <w:p w14:paraId="11DBE204" w14:textId="77777777" w:rsidR="00BB6316" w:rsidRPr="00722885" w:rsidRDefault="00BB6316" w:rsidP="00722885">
      <w:pPr>
        <w:pStyle w:val="Iauiue"/>
        <w:jc w:val="both"/>
        <w:rPr>
          <w:color w:val="000000" w:themeColor="text1"/>
          <w:sz w:val="16"/>
          <w:szCs w:val="16"/>
        </w:rPr>
      </w:pPr>
    </w:p>
    <w:p w14:paraId="3B7A614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несмотря на создание и принятие на вооружение более боеспособного легкого танка Т-70, параллельное с ним производство Т-60 сохранялось. Всего за 1942 год выпущено 1639 танков Т-60. Последние 55 машин завод №37 сдавал уже в феврале 1943 года. Всего с 1941 года выпустили 5839 Т-60, армия приняла 5796 машин. Пушек ТНШ-20 для них произвели с большим запасом. В 1942 году - 8506, в 1943 году еще 200 штук (3862).</w:t>
      </w:r>
    </w:p>
    <w:p w14:paraId="60F3F3D5" w14:textId="77777777" w:rsidR="00BB6316" w:rsidRPr="00722885" w:rsidRDefault="00BB6316" w:rsidP="00722885">
      <w:pPr>
        <w:pStyle w:val="Iauiue"/>
        <w:jc w:val="both"/>
        <w:rPr>
          <w:color w:val="000000" w:themeColor="text1"/>
          <w:sz w:val="16"/>
          <w:szCs w:val="16"/>
        </w:rPr>
      </w:pPr>
    </w:p>
    <w:p w14:paraId="09DE0DF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по предложению ижорского броневого НИИ-48, переданного с началом войны из Наркомата судостроительной промышленности в танкостроение, были разработаны и реализованы на многих машинах несколько вариантов установки дополнительных бронеэкранов толщиной до 10 мм на переднюю часть корпуса и на башню танка Т-60 (3862).</w:t>
      </w:r>
    </w:p>
    <w:p w14:paraId="26C9AF0B" w14:textId="77777777" w:rsidR="00BB6316" w:rsidRPr="00722885" w:rsidRDefault="00BB6316" w:rsidP="00722885">
      <w:pPr>
        <w:pStyle w:val="Iauiue"/>
        <w:jc w:val="both"/>
        <w:rPr>
          <w:color w:val="000000" w:themeColor="text1"/>
          <w:sz w:val="16"/>
          <w:szCs w:val="16"/>
        </w:rPr>
      </w:pPr>
    </w:p>
    <w:p w14:paraId="224D00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был создан Московский филиал НИИ-100, НИИ Стали, ВНИИ Стали, ОАО «НИИ Стали» /127411  г. Москва ул. Дубнинская, 81А тел. 484-61-65/ как институт по разработке танковой брони. С тех пор все отечественные танки оснащены броней, разработанной институтом.</w:t>
      </w:r>
    </w:p>
    <w:p w14:paraId="7F126D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1950-х  г. ведутся также работы по защите от мощных ионизирующих излучений, защиты боевой техники от высокоточного оружия, активной и динамической защите, средствам индивидуальной защиты. Создана противоатомная защита для танков, которой оснащены все танки, начиная с Т-55Б. Созданы первые отечественные общевойсковые бронежилеты.</w:t>
      </w:r>
    </w:p>
    <w:p w14:paraId="00FA29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правительства № 22-р от 9.01.2004 г. ОАО вошло в перечень стратегических предприятий.</w:t>
      </w:r>
    </w:p>
    <w:p w14:paraId="182667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средств защиты: бронежилеты, шлемы, перчатки, щиты, электрошоковые приборы.</w:t>
      </w:r>
    </w:p>
    <w:p w14:paraId="146ABD0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(1999 г.)- Д.А. Рототаев, (-2002-06 г.-)- В.А. Григорян.</w:t>
      </w:r>
    </w:p>
    <w:p w14:paraId="5DE1DE8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(2006 г.)- г-л Л.И. Щербаков.</w:t>
      </w:r>
    </w:p>
    <w:p w14:paraId="3D2235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w:t>
      </w:r>
      <w:r w:rsidRPr="00722885">
        <w:rPr>
          <w:rFonts w:ascii="Times New Roman" w:hAnsi="Times New Roman"/>
          <w:color w:val="000000" w:themeColor="text1"/>
          <w:sz w:val="16"/>
          <w:szCs w:val="16"/>
        </w:rPr>
        <w:t xml:space="preserve"> первая в мире комбинированная броня с противокумулятивньм наполнителем для Т-64; первые в мире комплексы активной защиты «Веер», «Азот»; маскировочный комплект «Накидка» для наземной техники (2000-е); общевойсковые бронежилеты 6Б2, 6Б4, 6Б5; комплект дополнительной защиты для БМП-3 НКДЗ с элементами 4С24 (2000-е); «саркофаг» Мавзолея В.И. Ленина, бронированный лимузин ЗиЛ-114 Л.И. Брежнева, бронированное хранилище для Центробанка, бронежилеты для государственных деятелей, в т.ч. для четы Горбачевых (11982).</w:t>
      </w:r>
    </w:p>
    <w:p w14:paraId="646D17DF" w14:textId="77777777" w:rsidR="00DC6410" w:rsidRPr="00722885" w:rsidRDefault="00DC6410" w:rsidP="00722885">
      <w:pPr>
        <w:shd w:val="clear" w:color="auto" w:fill="FFFFFF"/>
        <w:spacing w:after="0" w:line="240" w:lineRule="auto"/>
        <w:jc w:val="both"/>
        <w:rPr>
          <w:rFonts w:ascii="Times New Roman" w:hAnsi="Times New Roman"/>
          <w:color w:val="000000" w:themeColor="text1"/>
          <w:sz w:val="16"/>
          <w:szCs w:val="16"/>
        </w:rPr>
      </w:pPr>
    </w:p>
    <w:p w14:paraId="4839A1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76мм САУ на базе Т-26, которые производились под индексом Т-26-76 или Т-26-СУ, были переименованы в СУ-26, или СУ-76, а к лету — в СУ-76П. Они поступали на оснащение танковых бригад Ленинградского фронта, в частности в 124-ю, 125-ю и 220-ю, где находились в эксплуатации до начала 1944 г.</w:t>
      </w:r>
    </w:p>
    <w:p w14:paraId="6606BC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здесь, уже «под занавес» нашей истории, всплывает одна нестыковка, проясняющая еще один забытый момент. От глаз внимательного читателя, несомненно, не ускольз</w:t>
      </w:r>
      <w:r w:rsidRPr="00722885">
        <w:rPr>
          <w:rFonts w:ascii="Times New Roman" w:hAnsi="Times New Roman"/>
          <w:color w:val="000000" w:themeColor="text1"/>
          <w:sz w:val="16"/>
          <w:szCs w:val="16"/>
        </w:rPr>
        <w:softHyphen/>
        <w:t xml:space="preserve">нул тот факт, что согласно постановлению Совета Обороны предполагалось изготовить 12 самоходных установок Т-26-СУ (СУ-76П) и именно дюжина </w:t>
      </w:r>
      <w:r w:rsidRPr="00722885">
        <w:rPr>
          <w:rFonts w:ascii="Times New Roman" w:hAnsi="Times New Roman"/>
          <w:color w:val="000000" w:themeColor="text1"/>
          <w:sz w:val="16"/>
          <w:szCs w:val="16"/>
        </w:rPr>
        <w:lastRenderedPageBreak/>
        <w:t>указанных САУ отбыла на фронт. Но в «Отчете отдела оборонной промышленности ГК ВКП(б) «О производстве боевой техники и боеприпа</w:t>
      </w:r>
      <w:r w:rsidRPr="00722885">
        <w:rPr>
          <w:rFonts w:ascii="Times New Roman" w:hAnsi="Times New Roman"/>
          <w:color w:val="000000" w:themeColor="text1"/>
          <w:sz w:val="16"/>
          <w:szCs w:val="16"/>
        </w:rPr>
        <w:softHyphen/>
        <w:t>сов в Ленинграде за 1942 г.» значится 14 машин СУ-26, от</w:t>
      </w:r>
      <w:r w:rsidRPr="00722885">
        <w:rPr>
          <w:rFonts w:ascii="Times New Roman" w:hAnsi="Times New Roman"/>
          <w:color w:val="000000" w:themeColor="text1"/>
          <w:sz w:val="16"/>
          <w:szCs w:val="16"/>
        </w:rPr>
        <w:softHyphen/>
        <w:t>груженных фронту до конца 1942 г. Где ошибка?</w:t>
      </w:r>
    </w:p>
    <w:p w14:paraId="2B7095F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Анализ документов позволяет открыть и это белое пят</w:t>
      </w:r>
      <w:r w:rsidRPr="00722885">
        <w:rPr>
          <w:rFonts w:ascii="Times New Roman" w:hAnsi="Times New Roman"/>
          <w:color w:val="000000" w:themeColor="text1"/>
          <w:sz w:val="16"/>
          <w:szCs w:val="16"/>
        </w:rPr>
        <w:softHyphen/>
        <w:t>но и ликвидировать нестыковки в документах. 15 октября 1941 г. в распоряжении 124-й тбр. Ленфронта имелось «2 31-мм пушки на шасси Т-26», а 12 января туда же прибыли «3 76-мм орудия на самоходных установках Т-26». Во время атаки 20 февраля 1942 г. немецких позиций под Виняголо-во было «подбито и сгорело 2 самоходных установки на шас</w:t>
      </w:r>
      <w:r w:rsidRPr="00722885">
        <w:rPr>
          <w:rFonts w:ascii="Times New Roman" w:hAnsi="Times New Roman"/>
          <w:color w:val="000000" w:themeColor="text1"/>
          <w:sz w:val="16"/>
          <w:szCs w:val="16"/>
        </w:rPr>
        <w:softHyphen/>
        <w:t>си Т-26 с 76-мм и 37-мм пушками». И наконец, в письме нач. УАС Ленфронта встречаем следующее: «Изгот. 76-мм полк, на шасси Т-26 заканчивается. Образованный задел шасси обратить на выпуск 37-мм зен. авт. Бригинт. Волков. 1/Х-41 г.» Все это позволяет утверждать, что вместе с 12-ю 76-мм самоходными полковыми пушками под маркой СУ-26 скрываются также две 37-мм самоходные зенитные пушки, изготовленные на Заводе подъемно-транспортных сооружений имени Кирова.</w:t>
      </w:r>
    </w:p>
    <w:p w14:paraId="1936708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Тактико-технические характеристики первых САУ военного времени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17"/>
        <w:gridCol w:w="787"/>
        <w:gridCol w:w="1344"/>
        <w:gridCol w:w="970"/>
        <w:gridCol w:w="1152"/>
      </w:tblGrid>
      <w:tr w:rsidR="009B487A" w:rsidRPr="00722885" w14:paraId="5C45DD37" w14:textId="77777777" w:rsidTr="00CC5360">
        <w:trPr>
          <w:trHeight w:val="192"/>
        </w:trPr>
        <w:tc>
          <w:tcPr>
            <w:tcW w:w="1517" w:type="dxa"/>
            <w:tcBorders>
              <w:top w:val="single" w:sz="12" w:space="0" w:color="auto"/>
            </w:tcBorders>
          </w:tcPr>
          <w:p w14:paraId="588814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12" w:space="0" w:color="auto"/>
            </w:tcBorders>
          </w:tcPr>
          <w:p w14:paraId="77745B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57-мм</w:t>
            </w:r>
          </w:p>
          <w:p w14:paraId="45DBC8D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12" w:space="0" w:color="auto"/>
            </w:tcBorders>
          </w:tcPr>
          <w:p w14:paraId="1BB57A3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57-мм</w:t>
            </w:r>
          </w:p>
          <w:p w14:paraId="1C1E3EB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12" w:space="0" w:color="auto"/>
            </w:tcBorders>
          </w:tcPr>
          <w:p w14:paraId="4F59995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25-мм</w:t>
            </w:r>
          </w:p>
          <w:p w14:paraId="3B5BD5A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12" w:space="0" w:color="auto"/>
            </w:tcBorders>
          </w:tcPr>
          <w:p w14:paraId="4D1F381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76-мм</w:t>
            </w:r>
          </w:p>
          <w:p w14:paraId="41B873F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61BB0907" w14:textId="77777777" w:rsidTr="00CC5360">
        <w:trPr>
          <w:trHeight w:val="202"/>
        </w:trPr>
        <w:tc>
          <w:tcPr>
            <w:tcW w:w="1517" w:type="dxa"/>
          </w:tcPr>
          <w:p w14:paraId="7F4464F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ТТХ / Марка САУ</w:t>
            </w:r>
          </w:p>
          <w:p w14:paraId="7DE142D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45CE5BD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ЗИС-30</w:t>
            </w:r>
          </w:p>
          <w:p w14:paraId="18A54AC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83367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ЗИС-41</w:t>
            </w:r>
          </w:p>
          <w:p w14:paraId="070AE9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48A78CD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72-КА</w:t>
            </w:r>
          </w:p>
          <w:p w14:paraId="5ED22DA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402F3A7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СУ-26(СУ-76П)</w:t>
            </w:r>
          </w:p>
          <w:p w14:paraId="6EE1A67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8E6CCD3" w14:textId="77777777" w:rsidTr="00CC5360">
        <w:trPr>
          <w:trHeight w:val="192"/>
        </w:trPr>
        <w:tc>
          <w:tcPr>
            <w:tcW w:w="1517" w:type="dxa"/>
          </w:tcPr>
          <w:p w14:paraId="5F56329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Боевая масса, кг</w:t>
            </w:r>
          </w:p>
          <w:p w14:paraId="08DF13D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7109AC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4760</w:t>
            </w:r>
          </w:p>
          <w:p w14:paraId="1B24B7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6AB2EB2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7500</w:t>
            </w:r>
          </w:p>
          <w:p w14:paraId="6CF32D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482EF3A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2950</w:t>
            </w:r>
          </w:p>
          <w:p w14:paraId="4C45D3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2DC1C98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8000</w:t>
            </w:r>
          </w:p>
          <w:p w14:paraId="7E5CCB0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8117B40" w14:textId="77777777" w:rsidTr="00CC5360">
        <w:trPr>
          <w:trHeight w:val="173"/>
        </w:trPr>
        <w:tc>
          <w:tcPr>
            <w:tcW w:w="1517" w:type="dxa"/>
          </w:tcPr>
          <w:p w14:paraId="594C947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 Экипаж, чел.</w:t>
            </w:r>
          </w:p>
          <w:p w14:paraId="69E9777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3C9829C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w:t>
            </w:r>
          </w:p>
          <w:p w14:paraId="3488921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76583B9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p w14:paraId="31F1F5A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2A69E8B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p w14:paraId="3C10FD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2D94B7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p w14:paraId="1530469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A1D636E" w14:textId="77777777" w:rsidTr="00CC5360">
        <w:trPr>
          <w:trHeight w:val="182"/>
        </w:trPr>
        <w:tc>
          <w:tcPr>
            <w:tcW w:w="5770" w:type="dxa"/>
            <w:gridSpan w:val="5"/>
          </w:tcPr>
          <w:p w14:paraId="51B2496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Размерения мм</w:t>
            </w:r>
          </w:p>
          <w:p w14:paraId="3FB5BCE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842B869" w14:textId="77777777" w:rsidTr="00CC5360">
        <w:trPr>
          <w:trHeight w:val="192"/>
        </w:trPr>
        <w:tc>
          <w:tcPr>
            <w:tcW w:w="1517" w:type="dxa"/>
          </w:tcPr>
          <w:p w14:paraId="147C478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общая</w:t>
            </w:r>
          </w:p>
          <w:p w14:paraId="7ED1EF3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56D23E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4500</w:t>
            </w:r>
          </w:p>
          <w:p w14:paraId="5AB3F5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44DD791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6200</w:t>
            </w:r>
          </w:p>
          <w:p w14:paraId="7F7BB9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487DDDA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5335</w:t>
            </w:r>
          </w:p>
          <w:p w14:paraId="1FAD4BF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5648766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4620</w:t>
            </w:r>
          </w:p>
          <w:p w14:paraId="34F363A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6D5C9051" w14:textId="77777777" w:rsidTr="00CC5360">
        <w:trPr>
          <w:trHeight w:val="182"/>
        </w:trPr>
        <w:tc>
          <w:tcPr>
            <w:tcW w:w="1517" w:type="dxa"/>
          </w:tcPr>
          <w:p w14:paraId="32A97D9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Ширина</w:t>
            </w:r>
          </w:p>
          <w:p w14:paraId="2B43136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474BDCD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1860</w:t>
            </w:r>
          </w:p>
          <w:p w14:paraId="4464D59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6B62CA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2360</w:t>
            </w:r>
          </w:p>
          <w:p w14:paraId="47FB0B3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04E9E8F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2040</w:t>
            </w:r>
          </w:p>
          <w:p w14:paraId="1C9B171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4D25CA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2440</w:t>
            </w:r>
          </w:p>
          <w:p w14:paraId="153A019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635A5CC7" w14:textId="77777777" w:rsidTr="00CC5360">
        <w:trPr>
          <w:trHeight w:val="192"/>
        </w:trPr>
        <w:tc>
          <w:tcPr>
            <w:tcW w:w="1517" w:type="dxa"/>
          </w:tcPr>
          <w:p w14:paraId="13195A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Высота</w:t>
            </w:r>
          </w:p>
          <w:p w14:paraId="4EB8846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17BB357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2220</w:t>
            </w:r>
          </w:p>
          <w:p w14:paraId="03FDC6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39A1F6A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1580E3F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0CB5B55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31FAE98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1DDC3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2670</w:t>
            </w:r>
          </w:p>
          <w:p w14:paraId="33AF339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9DDCE01" w14:textId="77777777" w:rsidTr="00CC5360">
        <w:trPr>
          <w:trHeight w:val="192"/>
        </w:trPr>
        <w:tc>
          <w:tcPr>
            <w:tcW w:w="1517" w:type="dxa"/>
          </w:tcPr>
          <w:p w14:paraId="1CA62EF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Клиренс</w:t>
            </w:r>
          </w:p>
          <w:p w14:paraId="2E655A9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0150C2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p w14:paraId="1237D21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028448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27CB067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32C32ED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04E840F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5D10F99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380</w:t>
            </w:r>
          </w:p>
          <w:p w14:paraId="6F4309D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D93B065" w14:textId="77777777" w:rsidTr="00CC5360">
        <w:trPr>
          <w:trHeight w:val="163"/>
        </w:trPr>
        <w:tc>
          <w:tcPr>
            <w:tcW w:w="5770" w:type="dxa"/>
            <w:gridSpan w:val="5"/>
          </w:tcPr>
          <w:p w14:paraId="4D34E61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Вооружение</w:t>
            </w:r>
          </w:p>
          <w:p w14:paraId="016BBF3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0464FC8" w14:textId="77777777" w:rsidTr="00CC5360">
        <w:trPr>
          <w:trHeight w:val="202"/>
        </w:trPr>
        <w:tc>
          <w:tcPr>
            <w:tcW w:w="1517" w:type="dxa"/>
          </w:tcPr>
          <w:p w14:paraId="45E2DF7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Орудие, кал</w:t>
            </w:r>
          </w:p>
          <w:p w14:paraId="2BA4D11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6CF5EEC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57-мм</w:t>
            </w:r>
          </w:p>
          <w:p w14:paraId="31D6A54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28EA1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57-мм</w:t>
            </w:r>
          </w:p>
          <w:p w14:paraId="04E130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4DFF22F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25-мм</w:t>
            </w:r>
          </w:p>
          <w:p w14:paraId="4FEE6A6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874BC2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76,2-мм</w:t>
            </w:r>
          </w:p>
          <w:p w14:paraId="0161CEC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4EE47F2" w14:textId="77777777" w:rsidTr="00CC5360">
        <w:trPr>
          <w:trHeight w:val="202"/>
        </w:trPr>
        <w:tc>
          <w:tcPr>
            <w:tcW w:w="1517" w:type="dxa"/>
          </w:tcPr>
          <w:p w14:paraId="446F7A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w:t>
            </w:r>
          </w:p>
          <w:p w14:paraId="03CBE88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40A50A3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ЗИС-2 обр</w:t>
            </w:r>
          </w:p>
          <w:p w14:paraId="1684D0A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004511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 ЗИС-2 обр. 1941</w:t>
            </w:r>
          </w:p>
          <w:p w14:paraId="74BA41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285CF5B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72К обр. 1940</w:t>
            </w:r>
          </w:p>
          <w:p w14:paraId="114A7B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165C6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обр. 1927</w:t>
            </w:r>
          </w:p>
          <w:p w14:paraId="6886581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4A415DD" w14:textId="77777777" w:rsidTr="00CC5360">
        <w:trPr>
          <w:trHeight w:val="182"/>
        </w:trPr>
        <w:tc>
          <w:tcPr>
            <w:tcW w:w="1517" w:type="dxa"/>
          </w:tcPr>
          <w:p w14:paraId="444ABD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Длина ствола, клб</w:t>
            </w:r>
          </w:p>
          <w:p w14:paraId="024FB0A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46394AB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w:t>
            </w:r>
          </w:p>
          <w:p w14:paraId="1EF429F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7FAF79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w:t>
            </w:r>
          </w:p>
          <w:p w14:paraId="11FA512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4B07F61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76,6</w:t>
            </w:r>
          </w:p>
          <w:p w14:paraId="0B78E80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3869872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16,4</w:t>
            </w:r>
          </w:p>
          <w:p w14:paraId="437257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C6AA04E" w14:textId="77777777" w:rsidTr="00CC5360">
        <w:trPr>
          <w:trHeight w:val="173"/>
        </w:trPr>
        <w:tc>
          <w:tcPr>
            <w:tcW w:w="1517" w:type="dxa"/>
          </w:tcPr>
          <w:p w14:paraId="75E76EF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 скорость сн м/с</w:t>
            </w:r>
          </w:p>
          <w:p w14:paraId="4A97DB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3EBD86A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990</w:t>
            </w:r>
          </w:p>
          <w:p w14:paraId="07E2B6F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F90F6F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990</w:t>
            </w:r>
          </w:p>
          <w:p w14:paraId="175F638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41793C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900</w:t>
            </w:r>
          </w:p>
          <w:p w14:paraId="631D94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0CC718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381</w:t>
            </w:r>
          </w:p>
          <w:p w14:paraId="3E2C169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5BF98AC" w14:textId="77777777" w:rsidTr="00CC5360">
        <w:trPr>
          <w:trHeight w:val="202"/>
        </w:trPr>
        <w:tc>
          <w:tcPr>
            <w:tcW w:w="1517" w:type="dxa"/>
          </w:tcPr>
          <w:p w14:paraId="6194974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Угол гориз. Наведения</w:t>
            </w:r>
          </w:p>
          <w:p w14:paraId="1C7CF29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007426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w:t>
            </w:r>
          </w:p>
          <w:p w14:paraId="02FFC3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28F7577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w:t>
            </w:r>
          </w:p>
          <w:p w14:paraId="33E2BB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1C4934D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круговое</w:t>
            </w:r>
          </w:p>
          <w:p w14:paraId="3F7DD36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5923A8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круговое</w:t>
            </w:r>
          </w:p>
          <w:p w14:paraId="47FED1B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DD97B29" w14:textId="77777777" w:rsidTr="00CC5360">
        <w:trPr>
          <w:trHeight w:val="173"/>
        </w:trPr>
        <w:tc>
          <w:tcPr>
            <w:tcW w:w="1517" w:type="dxa"/>
          </w:tcPr>
          <w:p w14:paraId="7250AD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Угол верт. наведения</w:t>
            </w:r>
          </w:p>
          <w:p w14:paraId="1C18A3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7855A9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w:t>
            </w:r>
          </w:p>
          <w:p w14:paraId="095EA8E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0F82AAE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w:t>
            </w:r>
          </w:p>
          <w:p w14:paraId="22E3BCA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15C957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-5+85"</w:t>
            </w:r>
          </w:p>
          <w:p w14:paraId="6823BF2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3E6A3E9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-2+25°</w:t>
            </w:r>
          </w:p>
          <w:p w14:paraId="0CF13DB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79B2445" w14:textId="77777777" w:rsidTr="00CC5360">
        <w:trPr>
          <w:trHeight w:val="182"/>
        </w:trPr>
        <w:tc>
          <w:tcPr>
            <w:tcW w:w="1517" w:type="dxa"/>
          </w:tcPr>
          <w:p w14:paraId="3B569A0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Снарядов, шт.</w:t>
            </w:r>
          </w:p>
          <w:p w14:paraId="045FD8F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6C13F83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10-20</w:t>
            </w:r>
          </w:p>
          <w:p w14:paraId="55271AF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5841873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w:t>
            </w:r>
          </w:p>
          <w:p w14:paraId="64ECFF8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7313C0D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57DB1B4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BB16A5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p w14:paraId="3049BB1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E88447E" w14:textId="77777777" w:rsidTr="00CC5360">
        <w:trPr>
          <w:trHeight w:val="173"/>
        </w:trPr>
        <w:tc>
          <w:tcPr>
            <w:tcW w:w="1517" w:type="dxa"/>
          </w:tcPr>
          <w:p w14:paraId="35CB26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Пулеметов, шт. х кал</w:t>
            </w:r>
          </w:p>
          <w:p w14:paraId="4D8D5E9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4372958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1x7,62 мм</w:t>
            </w:r>
          </w:p>
          <w:p w14:paraId="1DDF519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B4A80E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1x7,62 мм</w:t>
            </w:r>
          </w:p>
          <w:p w14:paraId="1440C0D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1333C4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43F480B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15FB829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CCEA47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69E8644" w14:textId="77777777" w:rsidTr="00CC5360">
        <w:trPr>
          <w:trHeight w:val="202"/>
        </w:trPr>
        <w:tc>
          <w:tcPr>
            <w:tcW w:w="1517" w:type="dxa"/>
          </w:tcPr>
          <w:p w14:paraId="5CB878E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Патронов, шт.</w:t>
            </w:r>
          </w:p>
          <w:p w14:paraId="2C031BA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0E49629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756</w:t>
            </w:r>
          </w:p>
          <w:p w14:paraId="3057EAD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37D7EAA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756</w:t>
            </w:r>
          </w:p>
          <w:p w14:paraId="7150FD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4B2391B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_</w:t>
            </w:r>
          </w:p>
          <w:p w14:paraId="2E9A8A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9CC9CF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9AE812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9603383" w14:textId="77777777" w:rsidTr="00CC5360">
        <w:trPr>
          <w:trHeight w:val="192"/>
        </w:trPr>
        <w:tc>
          <w:tcPr>
            <w:tcW w:w="5770" w:type="dxa"/>
            <w:gridSpan w:val="5"/>
          </w:tcPr>
          <w:p w14:paraId="3A91E6A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Толшина боони. мм</w:t>
            </w:r>
          </w:p>
          <w:p w14:paraId="0A494EC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CEF7020" w14:textId="77777777" w:rsidTr="00CC5360">
        <w:trPr>
          <w:trHeight w:val="182"/>
        </w:trPr>
        <w:tc>
          <w:tcPr>
            <w:tcW w:w="1517" w:type="dxa"/>
          </w:tcPr>
          <w:p w14:paraId="3AA4EEC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Вертик. корпуса</w:t>
            </w:r>
          </w:p>
          <w:p w14:paraId="6469E98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4E304B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7-10</w:t>
            </w:r>
          </w:p>
          <w:p w14:paraId="2DDC22A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712921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w:t>
            </w:r>
          </w:p>
          <w:p w14:paraId="5203835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6BD2FC8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_</w:t>
            </w:r>
          </w:p>
          <w:p w14:paraId="182E589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4508ECB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15-12</w:t>
            </w:r>
          </w:p>
          <w:p w14:paraId="026E4F9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52D17DD" w14:textId="77777777" w:rsidTr="00CC5360">
        <w:trPr>
          <w:trHeight w:val="182"/>
        </w:trPr>
        <w:tc>
          <w:tcPr>
            <w:tcW w:w="1517" w:type="dxa"/>
          </w:tcPr>
          <w:p w14:paraId="68AD5E8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Гориз. корпуса</w:t>
            </w:r>
          </w:p>
          <w:p w14:paraId="5E106F4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3789076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p w14:paraId="1EECC3E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7C23EF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w:t>
            </w:r>
          </w:p>
          <w:p w14:paraId="09B15E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74751F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_</w:t>
            </w:r>
          </w:p>
          <w:p w14:paraId="4C58D4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6CABD2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w:t>
            </w:r>
          </w:p>
          <w:p w14:paraId="2AC651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8CFD5FB" w14:textId="77777777" w:rsidTr="00CC5360">
        <w:trPr>
          <w:trHeight w:val="192"/>
        </w:trPr>
        <w:tc>
          <w:tcPr>
            <w:tcW w:w="1517" w:type="dxa"/>
          </w:tcPr>
          <w:p w14:paraId="7DF925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Рубка</w:t>
            </w:r>
          </w:p>
          <w:p w14:paraId="5A0EF3D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0AAD0E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2C0B0E6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3F3411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4B9AFE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141D5E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_</w:t>
            </w:r>
          </w:p>
          <w:p w14:paraId="45C8B63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4003BE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A9E5FD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8CE2455" w14:textId="77777777" w:rsidTr="00CC5360">
        <w:trPr>
          <w:trHeight w:val="173"/>
        </w:trPr>
        <w:tc>
          <w:tcPr>
            <w:tcW w:w="5770" w:type="dxa"/>
            <w:gridSpan w:val="5"/>
          </w:tcPr>
          <w:p w14:paraId="3850E95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Силовая установка</w:t>
            </w:r>
          </w:p>
          <w:p w14:paraId="131431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68DDFFF" w14:textId="77777777" w:rsidTr="00CC5360">
        <w:trPr>
          <w:trHeight w:val="192"/>
        </w:trPr>
        <w:tc>
          <w:tcPr>
            <w:tcW w:w="1517" w:type="dxa"/>
          </w:tcPr>
          <w:p w14:paraId="6754828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База</w:t>
            </w:r>
          </w:p>
          <w:p w14:paraId="30216BD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0D32B9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 Т-20</w:t>
            </w:r>
          </w:p>
          <w:p w14:paraId="6E14648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F60C9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ЗИС-22</w:t>
            </w:r>
          </w:p>
          <w:p w14:paraId="5F110B9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2BF5C14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 ГАЗ-ММ</w:t>
            </w:r>
          </w:p>
          <w:p w14:paraId="0E05519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D188EB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 Т-26</w:t>
            </w:r>
          </w:p>
          <w:p w14:paraId="3227A91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F29796A" w14:textId="77777777" w:rsidTr="00CC5360">
        <w:trPr>
          <w:trHeight w:val="182"/>
        </w:trPr>
        <w:tc>
          <w:tcPr>
            <w:tcW w:w="1517" w:type="dxa"/>
          </w:tcPr>
          <w:p w14:paraId="7BD705E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Мощность макс., л.с</w:t>
            </w:r>
          </w:p>
          <w:p w14:paraId="030AB86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4D510B8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p w14:paraId="3934182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E8F866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w:t>
            </w:r>
          </w:p>
          <w:p w14:paraId="03240F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196F07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w:t>
            </w:r>
          </w:p>
          <w:p w14:paraId="536C9A7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86F983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92</w:t>
            </w:r>
          </w:p>
          <w:p w14:paraId="3C2E16B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4A27A0A" w14:textId="77777777" w:rsidTr="00CC5360">
        <w:trPr>
          <w:trHeight w:val="182"/>
        </w:trPr>
        <w:tc>
          <w:tcPr>
            <w:tcW w:w="1517" w:type="dxa"/>
          </w:tcPr>
          <w:p w14:paraId="0523AD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 част. враш. об/мин</w:t>
            </w:r>
          </w:p>
          <w:p w14:paraId="44CA9B5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2BB63C1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p w14:paraId="092CE06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9A9AE4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p w14:paraId="1D8FB1F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2CABE25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p w14:paraId="5918177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0C49694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2200</w:t>
            </w:r>
          </w:p>
          <w:p w14:paraId="7759A1D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F21771A" w14:textId="77777777" w:rsidTr="00CC5360">
        <w:trPr>
          <w:trHeight w:val="192"/>
        </w:trPr>
        <w:tc>
          <w:tcPr>
            <w:tcW w:w="1517" w:type="dxa"/>
          </w:tcPr>
          <w:p w14:paraId="2830AFA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Передач КПП</w:t>
            </w:r>
          </w:p>
          <w:p w14:paraId="6ED00B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3E51ADC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p w14:paraId="5E83A86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7BDFF80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w:t>
            </w:r>
          </w:p>
          <w:p w14:paraId="5A3A9CA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15996FF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w:t>
            </w:r>
          </w:p>
          <w:p w14:paraId="3A6A20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1464A50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w:t>
            </w:r>
          </w:p>
          <w:p w14:paraId="741AB1B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4AC4878" w14:textId="77777777" w:rsidTr="00CC5360">
        <w:trPr>
          <w:trHeight w:val="182"/>
        </w:trPr>
        <w:tc>
          <w:tcPr>
            <w:tcW w:w="1517" w:type="dxa"/>
          </w:tcPr>
          <w:p w14:paraId="01E2F96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Скорость макс, км/ч</w:t>
            </w:r>
          </w:p>
          <w:p w14:paraId="7B8615B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61FCFE8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p w14:paraId="41BC7B9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76DE632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p w14:paraId="4C8F202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29D0F5D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w:t>
            </w:r>
          </w:p>
          <w:p w14:paraId="5074477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17E6A4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p w14:paraId="06520C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983A184" w14:textId="77777777" w:rsidTr="00CC5360">
        <w:trPr>
          <w:trHeight w:val="182"/>
        </w:trPr>
        <w:tc>
          <w:tcPr>
            <w:tcW w:w="1517" w:type="dxa"/>
          </w:tcPr>
          <w:p w14:paraId="3064E1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Среднетехнич км/ч</w:t>
            </w:r>
          </w:p>
          <w:p w14:paraId="293C6C7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0E19AE2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Н.Д. </w:t>
            </w:r>
            <w:r w:rsidRPr="00722885">
              <w:rPr>
                <w:rFonts w:ascii="Times New Roman" w:hAnsi="Times New Roman"/>
                <w:smallCaps/>
                <w:color w:val="000000" w:themeColor="text1"/>
                <w:sz w:val="16"/>
                <w:szCs w:val="16"/>
                <w:lang w:val="en-US"/>
              </w:rPr>
              <w:t>v</w:t>
            </w:r>
          </w:p>
          <w:p w14:paraId="0A3AEC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18A1EE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p w14:paraId="7AD02E1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1F857F6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p w14:paraId="5F7551E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32D31F2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w:t>
            </w:r>
          </w:p>
          <w:p w14:paraId="685FAD2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9533AB1" w14:textId="77777777" w:rsidTr="00CC5360">
        <w:trPr>
          <w:trHeight w:val="202"/>
        </w:trPr>
        <w:tc>
          <w:tcPr>
            <w:tcW w:w="1517" w:type="dxa"/>
          </w:tcPr>
          <w:p w14:paraId="09D81CB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 топлива</w:t>
            </w:r>
          </w:p>
          <w:p w14:paraId="42D1A7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000204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Бензин 2 с</w:t>
            </w:r>
          </w:p>
          <w:p w14:paraId="686CA7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2B71911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Бензин 2 с</w:t>
            </w:r>
          </w:p>
          <w:p w14:paraId="3ED8476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0A38BD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Бензин 2 с</w:t>
            </w:r>
          </w:p>
          <w:p w14:paraId="3DD6F4F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A813D4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Бензин 1 с</w:t>
            </w:r>
          </w:p>
          <w:p w14:paraId="4B182B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BF2B8A1" w14:textId="77777777" w:rsidTr="00CC5360">
        <w:trPr>
          <w:trHeight w:val="163"/>
        </w:trPr>
        <w:tc>
          <w:tcPr>
            <w:tcW w:w="1517" w:type="dxa"/>
          </w:tcPr>
          <w:p w14:paraId="08FF7F4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Емк. бака, л.</w:t>
            </w:r>
          </w:p>
          <w:p w14:paraId="4CC1AA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3CADE1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75BA3D9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04D8D41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120</w:t>
            </w:r>
          </w:p>
          <w:p w14:paraId="0D4C7BB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4A324E9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6FE5C3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67245D8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290</w:t>
            </w:r>
          </w:p>
          <w:p w14:paraId="7925030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6ED8D687" w14:textId="77777777" w:rsidTr="00CC5360">
        <w:trPr>
          <w:trHeight w:val="230"/>
        </w:trPr>
        <w:tc>
          <w:tcPr>
            <w:tcW w:w="1517" w:type="dxa"/>
          </w:tcPr>
          <w:p w14:paraId="49A1C73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Запас хода, км</w:t>
            </w:r>
          </w:p>
          <w:p w14:paraId="5E65455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6E217D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80-100</w:t>
            </w:r>
          </w:p>
          <w:p w14:paraId="15C5993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58944EA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150</w:t>
            </w:r>
          </w:p>
          <w:p w14:paraId="4C9AAE9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6529BB9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p w14:paraId="0D0E61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BC6112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180</w:t>
            </w:r>
          </w:p>
          <w:p w14:paraId="788DB1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6CCB9444" w14:textId="77777777" w:rsidTr="00CC5360">
        <w:trPr>
          <w:trHeight w:val="173"/>
        </w:trPr>
        <w:tc>
          <w:tcPr>
            <w:tcW w:w="5770" w:type="dxa"/>
            <w:gridSpan w:val="5"/>
          </w:tcPr>
          <w:p w14:paraId="0FAAF2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Преодолеваемые поепятствия</w:t>
            </w:r>
          </w:p>
          <w:p w14:paraId="2C20438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8184BCB" w14:textId="77777777" w:rsidTr="00CC5360">
        <w:trPr>
          <w:trHeight w:val="163"/>
        </w:trPr>
        <w:tc>
          <w:tcPr>
            <w:tcW w:w="1517" w:type="dxa"/>
          </w:tcPr>
          <w:p w14:paraId="5903E91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Подъем, град.</w:t>
            </w:r>
          </w:p>
          <w:p w14:paraId="06110E7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5764A42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Н.Д.</w:t>
            </w:r>
          </w:p>
          <w:p w14:paraId="4AFB2DF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211FFC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20</w:t>
            </w:r>
          </w:p>
          <w:p w14:paraId="63139B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02521D6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Н.Д.</w:t>
            </w:r>
          </w:p>
          <w:p w14:paraId="233EE2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3E8D633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35</w:t>
            </w:r>
          </w:p>
          <w:p w14:paraId="512373A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606C2CE" w14:textId="77777777" w:rsidTr="00CC5360">
        <w:trPr>
          <w:trHeight w:val="202"/>
        </w:trPr>
        <w:tc>
          <w:tcPr>
            <w:tcW w:w="1517" w:type="dxa"/>
          </w:tcPr>
          <w:p w14:paraId="3720963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Спуск, град.</w:t>
            </w:r>
          </w:p>
          <w:p w14:paraId="782EC1C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34CC98F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2814A22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3A9E9AE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w:t>
            </w:r>
          </w:p>
          <w:p w14:paraId="71A846E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5FB43F3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20E914A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28C9A94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w:t>
            </w:r>
          </w:p>
          <w:p w14:paraId="5B6ED5A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120EDA4" w14:textId="77777777" w:rsidTr="00CC5360">
        <w:trPr>
          <w:trHeight w:val="182"/>
        </w:trPr>
        <w:tc>
          <w:tcPr>
            <w:tcW w:w="1517" w:type="dxa"/>
          </w:tcPr>
          <w:p w14:paraId="0C6C249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Крен, град.</w:t>
            </w:r>
          </w:p>
          <w:p w14:paraId="2BC480D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2C8F4C4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нл.</w:t>
            </w:r>
          </w:p>
          <w:p w14:paraId="106D7AD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530F1F9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063AC8C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18346E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2E70BB0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35C4D93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w:t>
            </w:r>
          </w:p>
          <w:p w14:paraId="5BCEA1C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543C518" w14:textId="77777777" w:rsidTr="00CC5360">
        <w:trPr>
          <w:trHeight w:val="192"/>
        </w:trPr>
        <w:tc>
          <w:tcPr>
            <w:tcW w:w="1517" w:type="dxa"/>
          </w:tcPr>
          <w:p w14:paraId="074975B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Окоп, мм</w:t>
            </w:r>
          </w:p>
          <w:p w14:paraId="283585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284AD84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5A57967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6D347DC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11C9B1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01BBB6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194E77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723FD2B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p w14:paraId="1582C81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ECB4D1F" w14:textId="77777777" w:rsidTr="00CC5360">
        <w:trPr>
          <w:trHeight w:val="192"/>
        </w:trPr>
        <w:tc>
          <w:tcPr>
            <w:tcW w:w="1517" w:type="dxa"/>
          </w:tcPr>
          <w:p w14:paraId="23ED0B4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Стенка, мм</w:t>
            </w:r>
          </w:p>
          <w:p w14:paraId="57D6694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Pr>
          <w:p w14:paraId="579285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2B274A4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Pr>
          <w:p w14:paraId="1D59667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09BC2FC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1380E1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Н.Д.</w:t>
            </w:r>
          </w:p>
          <w:p w14:paraId="52492C3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Pr>
          <w:p w14:paraId="5C321E8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750</w:t>
            </w:r>
          </w:p>
          <w:p w14:paraId="09CA3E7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8D2CBAB" w14:textId="77777777" w:rsidTr="00CC5360">
        <w:trPr>
          <w:trHeight w:val="211"/>
        </w:trPr>
        <w:tc>
          <w:tcPr>
            <w:tcW w:w="1517" w:type="dxa"/>
            <w:tcBorders>
              <w:bottom w:val="single" w:sz="12" w:space="0" w:color="auto"/>
            </w:tcBorders>
          </w:tcPr>
          <w:p w14:paraId="485A7BB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Брод, мм</w:t>
            </w:r>
          </w:p>
          <w:p w14:paraId="524848E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87" w:type="dxa"/>
            <w:tcBorders>
              <w:bottom w:val="single" w:sz="12" w:space="0" w:color="auto"/>
            </w:tcBorders>
          </w:tcPr>
          <w:p w14:paraId="3A21E6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w:t>
            </w:r>
          </w:p>
          <w:p w14:paraId="4182EDD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44" w:type="dxa"/>
            <w:tcBorders>
              <w:bottom w:val="single" w:sz="12" w:space="0" w:color="auto"/>
            </w:tcBorders>
          </w:tcPr>
          <w:p w14:paraId="56EB33A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600</w:t>
            </w:r>
          </w:p>
          <w:p w14:paraId="1828C89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70" w:type="dxa"/>
            <w:tcBorders>
              <w:bottom w:val="single" w:sz="12" w:space="0" w:color="auto"/>
            </w:tcBorders>
          </w:tcPr>
          <w:p w14:paraId="6FA3EA3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500</w:t>
            </w:r>
          </w:p>
          <w:p w14:paraId="7E5C79D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52" w:type="dxa"/>
            <w:tcBorders>
              <w:bottom w:val="single" w:sz="12" w:space="0" w:color="auto"/>
            </w:tcBorders>
          </w:tcPr>
          <w:p w14:paraId="3CBB531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800</w:t>
            </w:r>
          </w:p>
          <w:p w14:paraId="796EC04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bl>
    <w:p w14:paraId="39DC266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(11417).</w:t>
      </w:r>
    </w:p>
    <w:p w14:paraId="4DB9271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декабря 1941 г. распоряжением техсовета НКВ всем предприятиям наркомата предписывалось в срок до 1 февраля 1942 г. разработать свои предложения по перевоо</w:t>
      </w:r>
      <w:r w:rsidRPr="00722885">
        <w:rPr>
          <w:rFonts w:ascii="Times New Roman" w:hAnsi="Times New Roman"/>
          <w:color w:val="000000" w:themeColor="text1"/>
          <w:sz w:val="16"/>
          <w:szCs w:val="16"/>
        </w:rPr>
        <w:softHyphen/>
        <w:t>ружению трофейных боевых машин с целью их дальнейшего использования на службе в Красной Армии. Многие пред</w:t>
      </w:r>
      <w:r w:rsidRPr="00722885">
        <w:rPr>
          <w:rFonts w:ascii="Times New Roman" w:hAnsi="Times New Roman"/>
          <w:color w:val="000000" w:themeColor="text1"/>
          <w:sz w:val="16"/>
          <w:szCs w:val="16"/>
        </w:rPr>
        <w:softHyphen/>
        <w:t>приятия к указанному сроку не только разработали предло</w:t>
      </w:r>
      <w:r w:rsidRPr="00722885">
        <w:rPr>
          <w:rFonts w:ascii="Times New Roman" w:hAnsi="Times New Roman"/>
          <w:color w:val="000000" w:themeColor="text1"/>
          <w:sz w:val="16"/>
          <w:szCs w:val="16"/>
        </w:rPr>
        <w:softHyphen/>
        <w:t>жения, но даже изготовили опытные образцы таких боевых машин, которые были показаны руководству наркомата в феврале-мае 1942 г. Был среди них и завод № 592. Пока не удалось найти точной даты начала проектных работ по 122-мм самоходной гаубице, но на сохранившихся копиях чертежей значится апрель—май 1942 г. Проект, вы</w:t>
      </w:r>
      <w:r w:rsidRPr="00722885">
        <w:rPr>
          <w:rFonts w:ascii="Times New Roman" w:hAnsi="Times New Roman"/>
          <w:color w:val="000000" w:themeColor="text1"/>
          <w:sz w:val="16"/>
          <w:szCs w:val="16"/>
        </w:rPr>
        <w:softHyphen/>
        <w:t xml:space="preserve">полненный конструкторской группой под руководством А.Каштанова, был довольно прост. В качестве базы для САУ использовалось немецкое штурмовое орудие </w:t>
      </w:r>
      <w:r w:rsidRPr="00722885">
        <w:rPr>
          <w:rFonts w:ascii="Times New Roman" w:hAnsi="Times New Roman"/>
          <w:color w:val="000000" w:themeColor="text1"/>
          <w:sz w:val="16"/>
          <w:szCs w:val="16"/>
          <w:lang w:val="en-US"/>
        </w:rPr>
        <w:t>StugGIII</w:t>
      </w:r>
      <w:r w:rsidRPr="00722885">
        <w:rPr>
          <w:rFonts w:ascii="Times New Roman" w:hAnsi="Times New Roman"/>
          <w:color w:val="000000" w:themeColor="text1"/>
          <w:sz w:val="16"/>
          <w:szCs w:val="16"/>
        </w:rPr>
        <w:t xml:space="preserve"> с нара</w:t>
      </w:r>
      <w:r w:rsidRPr="00722885">
        <w:rPr>
          <w:rFonts w:ascii="Times New Roman" w:hAnsi="Times New Roman"/>
          <w:color w:val="000000" w:themeColor="text1"/>
          <w:sz w:val="16"/>
          <w:szCs w:val="16"/>
        </w:rPr>
        <w:softHyphen/>
        <w:t>щенной вверх боевой рубкой. Такое увеличение рубки позво</w:t>
      </w:r>
      <w:r w:rsidRPr="00722885">
        <w:rPr>
          <w:rFonts w:ascii="Times New Roman" w:hAnsi="Times New Roman"/>
          <w:color w:val="000000" w:themeColor="text1"/>
          <w:sz w:val="16"/>
          <w:szCs w:val="16"/>
        </w:rPr>
        <w:softHyphen/>
        <w:t>лило установить в боевом отделении 122-мм гаубицу М-30 (11417).</w:t>
      </w:r>
    </w:p>
    <w:p w14:paraId="531E4F2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Выбор вооружения не был случаен, так как 76-мм ди</w:t>
      </w:r>
      <w:r w:rsidRPr="00722885">
        <w:rPr>
          <w:rFonts w:ascii="Times New Roman" w:hAnsi="Times New Roman"/>
          <w:color w:val="000000" w:themeColor="text1"/>
          <w:sz w:val="16"/>
          <w:szCs w:val="16"/>
        </w:rPr>
        <w:softHyphen/>
        <w:t>визионных и танковых пушек в 1941—42 гг. остро не хвата</w:t>
      </w:r>
      <w:r w:rsidRPr="00722885">
        <w:rPr>
          <w:rFonts w:ascii="Times New Roman" w:hAnsi="Times New Roman"/>
          <w:color w:val="000000" w:themeColor="text1"/>
          <w:sz w:val="16"/>
          <w:szCs w:val="16"/>
        </w:rPr>
        <w:softHyphen/>
        <w:t>ло, а 122-мм гаубицы скапливались в тылу из-за недостатка средств мехтяги и передков для них. Таким образом, созда</w:t>
      </w:r>
      <w:r w:rsidRPr="00722885">
        <w:rPr>
          <w:rFonts w:ascii="Times New Roman" w:hAnsi="Times New Roman"/>
          <w:color w:val="000000" w:themeColor="text1"/>
          <w:sz w:val="16"/>
          <w:szCs w:val="16"/>
        </w:rPr>
        <w:softHyphen/>
        <w:t>ние самоходной 122-мм гаубицы было оценено техотделом НКВ чрезвычайно высоко, и в мае 1942 г. начались испыта</w:t>
      </w:r>
      <w:r w:rsidRPr="00722885">
        <w:rPr>
          <w:rFonts w:ascii="Times New Roman" w:hAnsi="Times New Roman"/>
          <w:color w:val="000000" w:themeColor="text1"/>
          <w:sz w:val="16"/>
          <w:szCs w:val="16"/>
        </w:rPr>
        <w:softHyphen/>
        <w:t>ния первого опытного образца, получившего название «Штурмовая самоходная гаубица СГ-122 (Артштурм)», или сокращенно СГ-122(А).</w:t>
      </w:r>
    </w:p>
    <w:p w14:paraId="4CCED61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Согласно имеющемуся описанию опытного образца, СГ-122А была переделана из штурмового орудия </w:t>
      </w:r>
      <w:r w:rsidRPr="00722885">
        <w:rPr>
          <w:rFonts w:ascii="Times New Roman" w:hAnsi="Times New Roman"/>
          <w:color w:val="000000" w:themeColor="text1"/>
          <w:sz w:val="16"/>
          <w:szCs w:val="16"/>
          <w:lang w:val="en-US"/>
        </w:rPr>
        <w:t>StugGIIIAusfC</w:t>
      </w:r>
      <w:r w:rsidRPr="00722885">
        <w:rPr>
          <w:rFonts w:ascii="Times New Roman" w:hAnsi="Times New Roman"/>
          <w:color w:val="000000" w:themeColor="text1"/>
          <w:sz w:val="16"/>
          <w:szCs w:val="16"/>
        </w:rPr>
        <w:t xml:space="preserve"> или </w:t>
      </w:r>
      <w:r w:rsidRPr="00722885">
        <w:rPr>
          <w:rFonts w:ascii="Times New Roman" w:hAnsi="Times New Roman"/>
          <w:color w:val="000000" w:themeColor="text1"/>
          <w:sz w:val="16"/>
          <w:szCs w:val="16"/>
          <w:lang w:val="en-US"/>
        </w:rPr>
        <w:t>AufsD</w:t>
      </w:r>
      <w:r w:rsidRPr="00722885">
        <w:rPr>
          <w:rFonts w:ascii="Times New Roman" w:hAnsi="Times New Roman"/>
          <w:color w:val="000000" w:themeColor="text1"/>
          <w:sz w:val="16"/>
          <w:szCs w:val="16"/>
        </w:rPr>
        <w:t>. Боевая рубка штурмового орудия с де</w:t>
      </w:r>
      <w:r w:rsidRPr="00722885">
        <w:rPr>
          <w:rFonts w:ascii="Times New Roman" w:hAnsi="Times New Roman"/>
          <w:color w:val="000000" w:themeColor="text1"/>
          <w:sz w:val="16"/>
          <w:szCs w:val="16"/>
        </w:rPr>
        <w:softHyphen/>
        <w:t>монтированной крышей была несколько обрезана по высо</w:t>
      </w:r>
      <w:r w:rsidRPr="00722885">
        <w:rPr>
          <w:rFonts w:ascii="Times New Roman" w:hAnsi="Times New Roman"/>
          <w:color w:val="000000" w:themeColor="text1"/>
          <w:sz w:val="16"/>
          <w:szCs w:val="16"/>
        </w:rPr>
        <w:softHyphen/>
        <w:t>те. На оставшемся поясе была наварена простая призмати</w:t>
      </w:r>
      <w:r w:rsidRPr="00722885">
        <w:rPr>
          <w:rFonts w:ascii="Times New Roman" w:hAnsi="Times New Roman"/>
          <w:color w:val="000000" w:themeColor="text1"/>
          <w:sz w:val="16"/>
          <w:szCs w:val="16"/>
        </w:rPr>
        <w:softHyphen/>
        <w:t>ческая коробка из 45-мм (лоб) и 35—25-мм (борта и корма) броневых листов. Для необходимой прочности горизон</w:t>
      </w:r>
      <w:r w:rsidRPr="00722885">
        <w:rPr>
          <w:rFonts w:ascii="Times New Roman" w:hAnsi="Times New Roman"/>
          <w:color w:val="000000" w:themeColor="text1"/>
          <w:sz w:val="16"/>
          <w:szCs w:val="16"/>
        </w:rPr>
        <w:softHyphen/>
        <w:t>тального стыка он был усилен снаружи и изнутри наклад</w:t>
      </w:r>
      <w:r w:rsidRPr="00722885">
        <w:rPr>
          <w:rFonts w:ascii="Times New Roman" w:hAnsi="Times New Roman"/>
          <w:color w:val="000000" w:themeColor="text1"/>
          <w:sz w:val="16"/>
          <w:szCs w:val="16"/>
        </w:rPr>
        <w:softHyphen/>
        <w:t>ками толщиной 5-8 мм.</w:t>
      </w:r>
    </w:p>
    <w:p w14:paraId="35F926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Внутри боевого отделения на месте станка 75-мм орудия был смонтирован новый станок гаубицы М-30, изготовлен</w:t>
      </w:r>
      <w:r w:rsidRPr="00722885">
        <w:rPr>
          <w:rFonts w:ascii="Times New Roman" w:hAnsi="Times New Roman"/>
          <w:color w:val="000000" w:themeColor="text1"/>
          <w:sz w:val="16"/>
          <w:szCs w:val="16"/>
        </w:rPr>
        <w:softHyphen/>
        <w:t>ный по типу немецкого. Боекомплект гаубицы размещался по бортам САУ, а несколько снарядов «оперативного исполь</w:t>
      </w:r>
      <w:r w:rsidRPr="00722885">
        <w:rPr>
          <w:rFonts w:ascii="Times New Roman" w:hAnsi="Times New Roman"/>
          <w:color w:val="000000" w:themeColor="text1"/>
          <w:sz w:val="16"/>
          <w:szCs w:val="16"/>
        </w:rPr>
        <w:softHyphen/>
        <w:t>зования» — на дне позади гаубичного станка.</w:t>
      </w:r>
    </w:p>
    <w:p w14:paraId="323487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Экипаж СГ-122(А) состоял из пяти человек: механика-водителя (который занимал место слева-впереди боевой рубки); командира САУ, он же наводчик по горизонтали (располагался позади механика-водителя левым боком вперед); позади него также боком по ходу машины распо</w:t>
      </w:r>
      <w:r w:rsidRPr="00722885">
        <w:rPr>
          <w:rFonts w:ascii="Times New Roman" w:hAnsi="Times New Roman"/>
          <w:color w:val="000000" w:themeColor="text1"/>
          <w:sz w:val="16"/>
          <w:szCs w:val="16"/>
        </w:rPr>
        <w:softHyphen/>
        <w:t>лагался первый заряжающий (он же радист); напротив ко</w:t>
      </w:r>
      <w:r w:rsidRPr="00722885">
        <w:rPr>
          <w:rFonts w:ascii="Times New Roman" w:hAnsi="Times New Roman"/>
          <w:color w:val="000000" w:themeColor="text1"/>
          <w:sz w:val="16"/>
          <w:szCs w:val="16"/>
        </w:rPr>
        <w:softHyphen/>
        <w:t>мандира САУ правым плечом по ходу машины располагал</w:t>
      </w:r>
      <w:r w:rsidRPr="00722885">
        <w:rPr>
          <w:rFonts w:ascii="Times New Roman" w:hAnsi="Times New Roman"/>
          <w:color w:val="000000" w:themeColor="text1"/>
          <w:sz w:val="16"/>
          <w:szCs w:val="16"/>
        </w:rPr>
        <w:softHyphen/>
        <w:t>ся наводчик по вертикали (гаубица М-30 имела раздельную йаводку); позади него также правым плечом вперед стоял второй заряжающий.</w:t>
      </w:r>
    </w:p>
    <w:p w14:paraId="245051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Для входа-выхода экипажа машина имела два люка. Ос</w:t>
      </w:r>
      <w:r w:rsidRPr="00722885">
        <w:rPr>
          <w:rFonts w:ascii="Times New Roman" w:hAnsi="Times New Roman"/>
          <w:color w:val="000000" w:themeColor="text1"/>
          <w:sz w:val="16"/>
          <w:szCs w:val="16"/>
        </w:rPr>
        <w:softHyphen/>
        <w:t>новной размещался в корме рубки (и частично в крыше).</w:t>
      </w:r>
    </w:p>
    <w:p w14:paraId="38653EA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Второй, резервный, находился в наклонной части лобовой брони рубки перед наводчиком по вертикали. Для связи с се</w:t>
      </w:r>
      <w:r w:rsidRPr="00722885">
        <w:rPr>
          <w:rFonts w:ascii="Times New Roman" w:hAnsi="Times New Roman"/>
          <w:color w:val="000000" w:themeColor="text1"/>
          <w:sz w:val="16"/>
          <w:szCs w:val="16"/>
        </w:rPr>
        <w:softHyphen/>
        <w:t>бе подобными в машине бьша оставлена немецкая радио</w:t>
      </w:r>
      <w:r w:rsidRPr="00722885">
        <w:rPr>
          <w:rFonts w:ascii="Times New Roman" w:hAnsi="Times New Roman"/>
          <w:color w:val="000000" w:themeColor="text1"/>
          <w:sz w:val="16"/>
          <w:szCs w:val="16"/>
        </w:rPr>
        <w:softHyphen/>
        <w:t>станция. О средствах связи внутри СГ-122(А) сведений нет.</w:t>
      </w:r>
    </w:p>
    <w:p w14:paraId="1F21894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Гаубица была испытана пробегом по гравийному шоссе и пересеченной местности (общий пробег составил 480 км), а также стрельбой с открытых и закрытых позиций (66 выстре</w:t>
      </w:r>
      <w:r w:rsidRPr="00722885">
        <w:rPr>
          <w:rFonts w:ascii="Times New Roman" w:hAnsi="Times New Roman"/>
          <w:color w:val="000000" w:themeColor="text1"/>
          <w:sz w:val="16"/>
          <w:szCs w:val="16"/>
        </w:rPr>
        <w:softHyphen/>
        <w:t>лов). Испытания подтвердили высокие боевые возможности СГ-122(А), однако комиссия из представителей техотдела НКВ и отдела главного конструктора НКТП отметила боль</w:t>
      </w:r>
      <w:r w:rsidRPr="00722885">
        <w:rPr>
          <w:rFonts w:ascii="Times New Roman" w:hAnsi="Times New Roman"/>
          <w:color w:val="000000" w:themeColor="text1"/>
          <w:sz w:val="16"/>
          <w:szCs w:val="16"/>
        </w:rPr>
        <w:softHyphen/>
        <w:t>шое количество недостатков, главными среди которых были:</w:t>
      </w:r>
    </w:p>
    <w:p w14:paraId="649C1EE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Недостаточная проходимость СГ-122(А) на мягком грунте и большая нагрузка на передние опорные катки.</w:t>
      </w:r>
    </w:p>
    <w:p w14:paraId="5459F03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Большая нагрузка на командира САУ, который должен был осуществлять наблюдение за местностью, наво</w:t>
      </w:r>
      <w:r w:rsidRPr="00722885">
        <w:rPr>
          <w:rFonts w:ascii="Times New Roman" w:hAnsi="Times New Roman"/>
          <w:color w:val="000000" w:themeColor="text1"/>
          <w:sz w:val="16"/>
          <w:szCs w:val="16"/>
        </w:rPr>
        <w:softHyphen/>
        <w:t>дить орудие, командовать расчетом и т.д.</w:t>
      </w:r>
    </w:p>
    <w:p w14:paraId="19612A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Недостаточный запас хода.</w:t>
      </w:r>
    </w:p>
    <w:p w14:paraId="3F9DA80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Невозможность ведения огня из личного оружия через бортовые амбразуры из-за неудачного их расположе</w:t>
      </w:r>
      <w:r w:rsidRPr="00722885">
        <w:rPr>
          <w:rFonts w:ascii="Times New Roman" w:hAnsi="Times New Roman"/>
          <w:color w:val="000000" w:themeColor="text1"/>
          <w:sz w:val="16"/>
          <w:szCs w:val="16"/>
        </w:rPr>
        <w:softHyphen/>
        <w:t>ния (мешал боекомплект).</w:t>
      </w:r>
    </w:p>
    <w:p w14:paraId="1E4497F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Недостаточная прочность стыков бортовых и кормовых листов рубки.</w:t>
      </w:r>
    </w:p>
    <w:p w14:paraId="4885F29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Быстрая загазованность боевого отделения из-за отсут</w:t>
      </w:r>
      <w:r w:rsidRPr="00722885">
        <w:rPr>
          <w:rFonts w:ascii="Times New Roman" w:hAnsi="Times New Roman"/>
          <w:color w:val="000000" w:themeColor="text1"/>
          <w:sz w:val="16"/>
          <w:szCs w:val="16"/>
        </w:rPr>
        <w:softHyphen/>
        <w:t>ствия вентилятора.</w:t>
      </w:r>
    </w:p>
    <w:p w14:paraId="55B9206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Вскоре заводу было отдано распоряжение об изготовле</w:t>
      </w:r>
      <w:r w:rsidRPr="00722885">
        <w:rPr>
          <w:rFonts w:ascii="Times New Roman" w:hAnsi="Times New Roman"/>
          <w:color w:val="000000" w:themeColor="text1"/>
          <w:sz w:val="16"/>
          <w:szCs w:val="16"/>
        </w:rPr>
        <w:softHyphen/>
        <w:t>нии нового варианта самоходной гаубицы с учетом устране</w:t>
      </w:r>
      <w:r w:rsidRPr="00722885">
        <w:rPr>
          <w:rFonts w:ascii="Times New Roman" w:hAnsi="Times New Roman"/>
          <w:color w:val="000000" w:themeColor="text1"/>
          <w:sz w:val="16"/>
          <w:szCs w:val="16"/>
        </w:rPr>
        <w:softHyphen/>
        <w:t>ния отмеченных недостатков. Рекомендовалось также про</w:t>
      </w:r>
      <w:r w:rsidRPr="00722885">
        <w:rPr>
          <w:rFonts w:ascii="Times New Roman" w:hAnsi="Times New Roman"/>
          <w:color w:val="000000" w:themeColor="text1"/>
          <w:sz w:val="16"/>
          <w:szCs w:val="16"/>
        </w:rPr>
        <w:softHyphen/>
        <w:t xml:space="preserve">вести разработку боевой рубки для установки ее на танк </w:t>
      </w:r>
      <w:r w:rsidRPr="00722885">
        <w:rPr>
          <w:rFonts w:ascii="Times New Roman" w:hAnsi="Times New Roman"/>
          <w:color w:val="000000" w:themeColor="text1"/>
          <w:sz w:val="16"/>
          <w:szCs w:val="16"/>
          <w:lang w:val="en-US"/>
        </w:rPr>
        <w:t>PzKpfwIII</w:t>
      </w:r>
      <w:r w:rsidRPr="00722885">
        <w:rPr>
          <w:rFonts w:ascii="Times New Roman" w:hAnsi="Times New Roman"/>
          <w:color w:val="000000" w:themeColor="text1"/>
          <w:sz w:val="16"/>
          <w:szCs w:val="16"/>
        </w:rPr>
        <w:t>, которого в наличии имелось больше, чем ходо</w:t>
      </w:r>
      <w:r w:rsidRPr="00722885">
        <w:rPr>
          <w:rFonts w:ascii="Times New Roman" w:hAnsi="Times New Roman"/>
          <w:color w:val="000000" w:themeColor="text1"/>
          <w:sz w:val="16"/>
          <w:szCs w:val="16"/>
        </w:rPr>
        <w:softHyphen/>
        <w:t>вых частей штурмовых орудий.</w:t>
      </w:r>
    </w:p>
    <w:p w14:paraId="3A1C6E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После рассмотрения недостатков и доработки проекта завод № 592 изготовил два улучшенных варианта СГ-122, отличавшихся типом примененного шасси (штурмового орудия и танка </w:t>
      </w:r>
      <w:r w:rsidRPr="00722885">
        <w:rPr>
          <w:rFonts w:ascii="Times New Roman" w:hAnsi="Times New Roman"/>
          <w:color w:val="000000" w:themeColor="text1"/>
          <w:sz w:val="16"/>
          <w:szCs w:val="16"/>
          <w:lang w:val="en-US"/>
        </w:rPr>
        <w:t>PzKpfwIII</w:t>
      </w:r>
      <w:r w:rsidRPr="00722885">
        <w:rPr>
          <w:rFonts w:ascii="Times New Roman" w:hAnsi="Times New Roman"/>
          <w:color w:val="000000" w:themeColor="text1"/>
          <w:sz w:val="16"/>
          <w:szCs w:val="16"/>
        </w:rPr>
        <w:t>), которые имели следующие от</w:t>
      </w:r>
      <w:r w:rsidRPr="00722885">
        <w:rPr>
          <w:rFonts w:ascii="Times New Roman" w:hAnsi="Times New Roman"/>
          <w:color w:val="000000" w:themeColor="text1"/>
          <w:sz w:val="16"/>
          <w:szCs w:val="16"/>
        </w:rPr>
        <w:softHyphen/>
        <w:t>личия от прототипа:</w:t>
      </w:r>
    </w:p>
    <w:p w14:paraId="6FC32EB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Изготовлена рубка из более тонких 35-мм (лоб) и 25-мм (борта и корма) листов. Это позволило снизить массу машины и несколько поднять ее проходимость, тем более что второй вариант испытывался с «зимней» гусеницей.</w:t>
      </w:r>
    </w:p>
    <w:p w14:paraId="2DE50F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Было изменено штатное расписание экипажа СГ-122. Теперь командиром САУ стал наводчик по верти</w:t>
      </w:r>
      <w:r w:rsidRPr="00722885">
        <w:rPr>
          <w:rFonts w:ascii="Times New Roman" w:hAnsi="Times New Roman"/>
          <w:color w:val="000000" w:themeColor="text1"/>
          <w:sz w:val="16"/>
          <w:szCs w:val="16"/>
        </w:rPr>
        <w:softHyphen/>
        <w:t>кали, который получил собственный люк в крыше рубки (люк в лобовом листе был аннулирован для увеличения снарядостойкости). Для обзора местности командир полу</w:t>
      </w:r>
      <w:r w:rsidRPr="00722885">
        <w:rPr>
          <w:rFonts w:ascii="Times New Roman" w:hAnsi="Times New Roman"/>
          <w:color w:val="000000" w:themeColor="text1"/>
          <w:sz w:val="16"/>
          <w:szCs w:val="16"/>
        </w:rPr>
        <w:softHyphen/>
        <w:t>чил артиллерийский разведывательный перископ, который мог выдвигаться в специальном стакане. Кроме того, ко</w:t>
      </w:r>
      <w:r w:rsidRPr="00722885">
        <w:rPr>
          <w:rFonts w:ascii="Times New Roman" w:hAnsi="Times New Roman"/>
          <w:color w:val="000000" w:themeColor="text1"/>
          <w:sz w:val="16"/>
          <w:szCs w:val="16"/>
        </w:rPr>
        <w:softHyphen/>
        <w:t>мандирский люк СГ-122 «улучшенной» оборудовался кре</w:t>
      </w:r>
      <w:r w:rsidRPr="00722885">
        <w:rPr>
          <w:rFonts w:ascii="Times New Roman" w:hAnsi="Times New Roman"/>
          <w:color w:val="000000" w:themeColor="text1"/>
          <w:sz w:val="16"/>
          <w:szCs w:val="16"/>
        </w:rPr>
        <w:softHyphen/>
        <w:t>плением для перископической панорамы.</w:t>
      </w:r>
    </w:p>
    <w:p w14:paraId="477D8D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 Из-за того, что раздвижной лючок панорамного при</w:t>
      </w:r>
      <w:r w:rsidRPr="00722885">
        <w:rPr>
          <w:rFonts w:ascii="Times New Roman" w:hAnsi="Times New Roman"/>
          <w:color w:val="000000" w:themeColor="text1"/>
          <w:sz w:val="16"/>
          <w:szCs w:val="16"/>
        </w:rPr>
        <w:softHyphen/>
        <w:t>цела заедало при испытаниях, на «улучшенной» машине он был заменен на распашной.</w:t>
      </w:r>
    </w:p>
    <w:p w14:paraId="36A7764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Бортовые амбразуры для стрельбы из личного оружия немецкого типа были аннулированы. Вместо них приняли бортовые амбразуры ОГК НКТП, разработанные для «76-мм штурмового орудия поддержки» завода № 37, которые были к тому же более удачно размещены. Через них можно было вести огонь не только из «нагана», но даже из ТТ и ППШ, по</w:t>
      </w:r>
      <w:r w:rsidRPr="00722885">
        <w:rPr>
          <w:rFonts w:ascii="Times New Roman" w:hAnsi="Times New Roman"/>
          <w:color w:val="000000" w:themeColor="text1"/>
          <w:sz w:val="16"/>
          <w:szCs w:val="16"/>
        </w:rPr>
        <w:softHyphen/>
        <w:t>скольку диаметр отверстия амбразуры был значительно больше прежних.</w:t>
      </w:r>
    </w:p>
    <w:p w14:paraId="51722A6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Орудийная установка была облегчена. Для упроще</w:t>
      </w:r>
      <w:r w:rsidRPr="00722885">
        <w:rPr>
          <w:rFonts w:ascii="Times New Roman" w:hAnsi="Times New Roman"/>
          <w:color w:val="000000" w:themeColor="text1"/>
          <w:sz w:val="16"/>
          <w:szCs w:val="16"/>
        </w:rPr>
        <w:softHyphen/>
        <w:t>ния заряжания орудие было дополнено откидным лотком. Над казенной частью орудия на крыше разместили элек</w:t>
      </w:r>
      <w:r w:rsidRPr="00722885">
        <w:rPr>
          <w:rFonts w:ascii="Times New Roman" w:hAnsi="Times New Roman"/>
          <w:color w:val="000000" w:themeColor="text1"/>
          <w:sz w:val="16"/>
          <w:szCs w:val="16"/>
        </w:rPr>
        <w:softHyphen/>
        <w:t>трический вытяжной вентилятор.</w:t>
      </w:r>
    </w:p>
    <w:p w14:paraId="23D2C29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Для увеличения запаса хода в задней части САУ раз</w:t>
      </w:r>
      <w:r w:rsidRPr="00722885">
        <w:rPr>
          <w:rFonts w:ascii="Times New Roman" w:hAnsi="Times New Roman"/>
          <w:color w:val="000000" w:themeColor="text1"/>
          <w:sz w:val="16"/>
          <w:szCs w:val="16"/>
        </w:rPr>
        <w:softHyphen/>
        <w:t>местили коробчатые топливные баки от танков БТ и Т-34. Нормализовали возимый ЗИП и шанцевый инструмент, максимально использовав в нем отечественные компоненты.</w:t>
      </w:r>
    </w:p>
    <w:p w14:paraId="677FBB4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Радиостанция была перенесена с левого борта на пра</w:t>
      </w:r>
      <w:r w:rsidRPr="00722885">
        <w:rPr>
          <w:rFonts w:ascii="Times New Roman" w:hAnsi="Times New Roman"/>
          <w:color w:val="000000" w:themeColor="text1"/>
          <w:sz w:val="16"/>
          <w:szCs w:val="16"/>
        </w:rPr>
        <w:softHyphen/>
        <w:t>вый и размещена внутри рубки, а бортовую коробку ликви</w:t>
      </w:r>
      <w:r w:rsidRPr="00722885">
        <w:rPr>
          <w:rFonts w:ascii="Times New Roman" w:hAnsi="Times New Roman"/>
          <w:color w:val="000000" w:themeColor="text1"/>
          <w:sz w:val="16"/>
          <w:szCs w:val="16"/>
        </w:rPr>
        <w:softHyphen/>
        <w:t>дировали для упрощения производства.</w:t>
      </w:r>
    </w:p>
    <w:p w14:paraId="2A41456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Специально по заказу завода № 592 для СГ-122 «улуч</w:t>
      </w:r>
      <w:r w:rsidRPr="00722885">
        <w:rPr>
          <w:rFonts w:ascii="Times New Roman" w:hAnsi="Times New Roman"/>
          <w:color w:val="000000" w:themeColor="text1"/>
          <w:sz w:val="16"/>
          <w:szCs w:val="16"/>
        </w:rPr>
        <w:softHyphen/>
        <w:t>шенной» Уралмашзавод (УЗТМ) разработал и отлил броне-маску орудия, которая была приспособлена для серийного выпуска, а также лучше защищала от пуль и осколков (11417).</w:t>
      </w:r>
    </w:p>
    <w:p w14:paraId="25103E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B3617C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в НК танковой промышленности были:</w:t>
      </w:r>
    </w:p>
    <w:p w14:paraId="653A455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252 (бывш. Завод станкопринадлежностей – Ленинград, Предтеченская ул.)</w:t>
      </w:r>
    </w:p>
    <w:p w14:paraId="0784038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Место: Челябинск (8852)</w:t>
      </w:r>
    </w:p>
    <w:p w14:paraId="6E88772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254 (бывш. Завод низковольтной аппаратуры), п/я 2375</w:t>
      </w:r>
    </w:p>
    <w:p w14:paraId="04512CC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Место: Москва, ул. Электрозаводская, 21 (8853)</w:t>
      </w:r>
    </w:p>
    <w:p w14:paraId="39308F8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113</w:t>
      </w:r>
    </w:p>
    <w:p w14:paraId="16FE62A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Место: Горький, п/я 672 (8854)</w:t>
      </w:r>
    </w:p>
    <w:p w14:paraId="381BF7F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179 им. ЦК машиностроения</w:t>
      </w:r>
    </w:p>
    <w:p w14:paraId="2403866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Место: Куйбышев, ул. Куйбышева, 128 (8855)</w:t>
      </w:r>
    </w:p>
    <w:p w14:paraId="364823E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221 (бывш. Завод “Станконормаль” - Московский завод шлифовальных станков и нормалей)</w:t>
      </w:r>
    </w:p>
    <w:p w14:paraId="0896A39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Место: Москва, ул. Кожевническая, 14 (8856)</w:t>
      </w:r>
    </w:p>
    <w:p w14:paraId="160DF08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227 (бывш. Соль-Илецкий станкостроительный завод)</w:t>
      </w:r>
    </w:p>
    <w:p w14:paraId="2FD158B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Место: Соль-Илецк Чкаловской области</w:t>
      </w:r>
    </w:p>
    <w:p w14:paraId="0D46218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227 организован на базе Одесского учебно-механического завода, эвакуированного из Одессы 18 августа 1941 года и прибывшего в Соль-Илецк во второй половине октября 1941 года (8857).</w:t>
      </w:r>
    </w:p>
    <w:p w14:paraId="5680195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230</w:t>
      </w:r>
    </w:p>
    <w:p w14:paraId="0B5929C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Место: Новосибирск, ул. Большевистская, 131 (8858)</w:t>
      </w:r>
    </w:p>
    <w:p w14:paraId="76A369F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231 (бывш. Клинский станкостроительный завод)</w:t>
      </w:r>
    </w:p>
    <w:p w14:paraId="7625F46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эвакуирован из Клина 15 октября 1941 года.</w:t>
      </w:r>
    </w:p>
    <w:p w14:paraId="291F4B5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Место: Белорецк БАССР</w:t>
      </w:r>
    </w:p>
    <w:p w14:paraId="3099728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lastRenderedPageBreak/>
        <w:t>Завод № 236 (строительство)</w:t>
      </w:r>
    </w:p>
    <w:p w14:paraId="09CAF0B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Место: Барнаул, п/я 119 (8859)</w:t>
      </w:r>
    </w:p>
    <w:p w14:paraId="49828B1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Завод № 253 (бывш. Московский завод приспособлений)</w:t>
      </w:r>
    </w:p>
    <w:p w14:paraId="301F5BBC"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Место: Москва, Зоологический пер., 12 (8860)</w:t>
      </w:r>
    </w:p>
    <w:p w14:paraId="3E0EF55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Станкостроительный завод им. Кирова</w:t>
      </w:r>
    </w:p>
    <w:p w14:paraId="5EE7E83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Место: Гомель, БССР, ул. Интернациональная, 20</w:t>
      </w:r>
    </w:p>
    <w:p w14:paraId="01C49AB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Начало эвакуации – 2 июля 1941 года – в Свердловск, 2 км. Шоссе (8861)</w:t>
      </w:r>
    </w:p>
    <w:p w14:paraId="6E70274F" w14:textId="77777777" w:rsidR="00BB6316" w:rsidRPr="00722885" w:rsidRDefault="00BB6316" w:rsidP="00722885">
      <w:pPr>
        <w:pStyle w:val="Iauiue"/>
        <w:jc w:val="both"/>
        <w:rPr>
          <w:iCs/>
          <w:color w:val="000000" w:themeColor="text1"/>
          <w:sz w:val="16"/>
          <w:szCs w:val="16"/>
        </w:rPr>
      </w:pPr>
    </w:p>
    <w:p w14:paraId="5FA0F0D2" w14:textId="77777777" w:rsidR="00F10FB4" w:rsidRPr="00722885" w:rsidRDefault="00F10FB4"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на ГАЗе было собрано 11 220 ленд-лизовских автомобилей. Отечественных «полуторок» за этот год фронт получил от ГАЗа 16 131 штуку (15218).</w:t>
      </w:r>
    </w:p>
    <w:p w14:paraId="3C438114" w14:textId="77777777" w:rsidR="00F10FB4" w:rsidRPr="00722885" w:rsidRDefault="00F10FB4" w:rsidP="00722885">
      <w:pPr>
        <w:widowControl w:val="0"/>
        <w:spacing w:after="0" w:line="240" w:lineRule="auto"/>
        <w:jc w:val="both"/>
        <w:rPr>
          <w:rFonts w:ascii="Times New Roman" w:hAnsi="Times New Roman"/>
          <w:color w:val="000000" w:themeColor="text1"/>
          <w:sz w:val="16"/>
          <w:szCs w:val="16"/>
        </w:rPr>
      </w:pPr>
    </w:p>
    <w:p w14:paraId="04BBBF7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специально для нужд танковой промыш</w:t>
      </w:r>
      <w:r w:rsidRPr="00722885">
        <w:rPr>
          <w:rFonts w:ascii="Times New Roman" w:hAnsi="Times New Roman"/>
          <w:color w:val="000000" w:themeColor="text1"/>
          <w:sz w:val="16"/>
          <w:szCs w:val="16"/>
        </w:rPr>
        <w:softHyphen/>
        <w:t>ленности, в США была закуплена лицензия на дизельный двигатель GМС мощностью 210-230 л.с., который планиро</w:t>
      </w:r>
      <w:r w:rsidRPr="00722885">
        <w:rPr>
          <w:rFonts w:ascii="Times New Roman" w:hAnsi="Times New Roman"/>
          <w:color w:val="000000" w:themeColor="text1"/>
          <w:sz w:val="16"/>
          <w:szCs w:val="16"/>
        </w:rPr>
        <w:softHyphen/>
        <w:t>валось ставить в легкие танки, самоходно-артиллерийские установки, бронетранспортеры и тягачи, разработка кото</w:t>
      </w:r>
      <w:r w:rsidRPr="00722885">
        <w:rPr>
          <w:rFonts w:ascii="Times New Roman" w:hAnsi="Times New Roman"/>
          <w:color w:val="000000" w:themeColor="text1"/>
          <w:sz w:val="16"/>
          <w:szCs w:val="16"/>
        </w:rPr>
        <w:softHyphen/>
        <w:t>рых велась на предприятиях НКТП. Особо большие надеж</w:t>
      </w:r>
      <w:r w:rsidRPr="00722885">
        <w:rPr>
          <w:rFonts w:ascii="Times New Roman" w:hAnsi="Times New Roman"/>
          <w:color w:val="000000" w:themeColor="text1"/>
          <w:sz w:val="16"/>
          <w:szCs w:val="16"/>
        </w:rPr>
        <w:softHyphen/>
        <w:t>ды вызывала возможная установка указанного дизель-мото</w:t>
      </w:r>
      <w:r w:rsidRPr="00722885">
        <w:rPr>
          <w:rFonts w:ascii="Times New Roman" w:hAnsi="Times New Roman"/>
          <w:color w:val="000000" w:themeColor="text1"/>
          <w:sz w:val="16"/>
          <w:szCs w:val="16"/>
        </w:rPr>
        <w:softHyphen/>
        <w:t>ра на легкие танки типа Т-50 или улучшенные Т-70 (вместо ГАЗ-203), нужда в которых еще была очень велика. Производство дизеля ОМС планировалось развернуть на Горьковском автозаводе (ГАЗ) и Ярославском автозаводе (ЯАЗ). Но на этом пути внезапно возникло препятствие, ко</w:t>
      </w:r>
      <w:r w:rsidRPr="00722885">
        <w:rPr>
          <w:rFonts w:ascii="Times New Roman" w:hAnsi="Times New Roman"/>
          <w:color w:val="000000" w:themeColor="text1"/>
          <w:sz w:val="16"/>
          <w:szCs w:val="16"/>
        </w:rPr>
        <w:softHyphen/>
        <w:t>торого никто не мог предугадать. Имя этому препятствию -действия люфтваффе. 5 июня 1943 г. во время массовой бом</w:t>
      </w:r>
      <w:r w:rsidRPr="00722885">
        <w:rPr>
          <w:rFonts w:ascii="Times New Roman" w:hAnsi="Times New Roman"/>
          <w:color w:val="000000" w:themeColor="text1"/>
          <w:sz w:val="16"/>
          <w:szCs w:val="16"/>
        </w:rPr>
        <w:softHyphen/>
        <w:t>бежки города Горький основной удар пришелся по мотор</w:t>
      </w:r>
      <w:r w:rsidRPr="00722885">
        <w:rPr>
          <w:rFonts w:ascii="Times New Roman" w:hAnsi="Times New Roman"/>
          <w:color w:val="000000" w:themeColor="text1"/>
          <w:sz w:val="16"/>
          <w:szCs w:val="16"/>
        </w:rPr>
        <w:softHyphen/>
        <w:t>ным цехам ГАЗа, и опытный цех, где ставилось производство ОМС, надолго вышел из строя. Также во время второго мас</w:t>
      </w:r>
      <w:r w:rsidRPr="00722885">
        <w:rPr>
          <w:rFonts w:ascii="Times New Roman" w:hAnsi="Times New Roman"/>
          <w:color w:val="000000" w:themeColor="text1"/>
          <w:sz w:val="16"/>
          <w:szCs w:val="16"/>
        </w:rPr>
        <w:softHyphen/>
        <w:t>сового налета запасной целью был объявлен Ярославль, куда из-за погодных условий переадресовалась большая часть не</w:t>
      </w:r>
      <w:r w:rsidRPr="00722885">
        <w:rPr>
          <w:rFonts w:ascii="Times New Roman" w:hAnsi="Times New Roman"/>
          <w:color w:val="000000" w:themeColor="text1"/>
          <w:sz w:val="16"/>
          <w:szCs w:val="16"/>
        </w:rPr>
        <w:softHyphen/>
        <w:t>мецких бомбардировщиков, начиненных «зажигалками». Нужно ли говорить, что ярославский завод, имевший глав</w:t>
      </w:r>
      <w:r w:rsidRPr="00722885">
        <w:rPr>
          <w:rFonts w:ascii="Times New Roman" w:hAnsi="Times New Roman"/>
          <w:color w:val="000000" w:themeColor="text1"/>
          <w:sz w:val="16"/>
          <w:szCs w:val="16"/>
        </w:rPr>
        <w:softHyphen/>
        <w:t>ным образом деревянные конструкции, пострадал особенно тяжело... Таким образом, с выпуском американских дизелей в 1943 г. пришлось повременить (11135).</w:t>
      </w:r>
    </w:p>
    <w:p w14:paraId="31AD4B5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02F2B6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организовали вывоз трофейных мотоциклов с по</w:t>
      </w:r>
      <w:r w:rsidRPr="00722885">
        <w:rPr>
          <w:rFonts w:ascii="Times New Roman" w:hAnsi="Times New Roman"/>
          <w:color w:val="000000" w:themeColor="text1"/>
          <w:sz w:val="16"/>
          <w:szCs w:val="16"/>
        </w:rPr>
        <w:softHyphen/>
        <w:t>лей сражений. Наиболее исправные машины ремонтировали в во</w:t>
      </w:r>
      <w:r w:rsidRPr="00722885">
        <w:rPr>
          <w:rFonts w:ascii="Times New Roman" w:hAnsi="Times New Roman"/>
          <w:color w:val="000000" w:themeColor="text1"/>
          <w:sz w:val="16"/>
          <w:szCs w:val="16"/>
        </w:rPr>
        <w:softHyphen/>
        <w:t>инских частях и сразу же включали в состав боевых подразделе</w:t>
      </w:r>
      <w:r w:rsidRPr="00722885">
        <w:rPr>
          <w:rFonts w:ascii="Times New Roman" w:hAnsi="Times New Roman"/>
          <w:color w:val="000000" w:themeColor="text1"/>
          <w:sz w:val="16"/>
          <w:szCs w:val="16"/>
        </w:rPr>
        <w:softHyphen/>
        <w:t>ний. Сильно поврежденные - везли на БТРЗ № 20, а также на ММЗ и СМЗ, располагавших вполне достаточным для этого пер</w:t>
      </w:r>
      <w:r w:rsidRPr="00722885">
        <w:rPr>
          <w:rFonts w:ascii="Times New Roman" w:hAnsi="Times New Roman"/>
          <w:color w:val="000000" w:themeColor="text1"/>
          <w:sz w:val="16"/>
          <w:szCs w:val="16"/>
        </w:rPr>
        <w:softHyphen/>
        <w:t>соналом, 2647 [5.49] и 271 человек [5.50], соответственно. На БТРЗ № 20 трофейные мотоциклы только разбирали, а на ММЗ и СМЗ ремонтировали. Вскоре выяснилось, что делать это не просто, поскольку в Вермахте находилось более 50 марок мото</w:t>
      </w:r>
      <w:r w:rsidRPr="00722885">
        <w:rPr>
          <w:rFonts w:ascii="Times New Roman" w:hAnsi="Times New Roman"/>
          <w:color w:val="000000" w:themeColor="text1"/>
          <w:sz w:val="16"/>
          <w:szCs w:val="16"/>
        </w:rPr>
        <w:softHyphen/>
        <w:t>циклов многих фирм [5.51], см. табл. 19.</w:t>
      </w:r>
    </w:p>
    <w:p w14:paraId="0CA10B7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94200D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причинам обнаруженного несоответствия изготовленных и поставленных в Красную Армию мотоциклов можно отнести сдачу в 1942 г. части продукции, сделанной в 1941 г., и передачу некоторых изготовленных мотоциклов не ГБТУ, а другим ве</w:t>
      </w:r>
      <w:r w:rsidRPr="00722885">
        <w:rPr>
          <w:rFonts w:ascii="Times New Roman" w:hAnsi="Times New Roman"/>
          <w:color w:val="000000" w:themeColor="text1"/>
          <w:sz w:val="16"/>
          <w:szCs w:val="16"/>
        </w:rPr>
        <w:softHyphen/>
        <w:t>домствам и пр. Потери на фронтах мотоциклов в 1941 г. оказа</w:t>
      </w:r>
      <w:r w:rsidRPr="00722885">
        <w:rPr>
          <w:rFonts w:ascii="Times New Roman" w:hAnsi="Times New Roman"/>
          <w:color w:val="000000" w:themeColor="text1"/>
          <w:sz w:val="16"/>
          <w:szCs w:val="16"/>
        </w:rPr>
        <w:softHyphen/>
        <w:t>лись столь значительными, что потребовалось организовать вос</w:t>
      </w:r>
      <w:r w:rsidRPr="00722885">
        <w:rPr>
          <w:rFonts w:ascii="Times New Roman" w:hAnsi="Times New Roman"/>
          <w:color w:val="000000" w:themeColor="text1"/>
          <w:sz w:val="16"/>
          <w:szCs w:val="16"/>
        </w:rPr>
        <w:softHyphen/>
        <w:t>становление отечественной мототехники, поврежденной в бое</w:t>
      </w:r>
      <w:r w:rsidRPr="00722885">
        <w:rPr>
          <w:rFonts w:ascii="Times New Roman" w:hAnsi="Times New Roman"/>
          <w:color w:val="000000" w:themeColor="text1"/>
          <w:sz w:val="16"/>
          <w:szCs w:val="16"/>
        </w:rPr>
        <w:softHyphen/>
        <w:t>вых действиях.</w:t>
      </w:r>
    </w:p>
    <w:p w14:paraId="14280B4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Бронетанковоремонтный завод № 20. В составе ГБТУ Крас</w:t>
      </w:r>
      <w:r w:rsidRPr="00722885">
        <w:rPr>
          <w:rFonts w:ascii="Times New Roman" w:hAnsi="Times New Roman"/>
          <w:color w:val="000000" w:themeColor="text1"/>
          <w:sz w:val="16"/>
          <w:szCs w:val="16"/>
        </w:rPr>
        <w:softHyphen/>
        <w:t>ной Армии в период Великой Отечественной войны числилось более 25 бронетанковоремонтных заводов, один из них - БТРЗ № 20 - находился в Москве на территории Всесоюзной сельскохо</w:t>
      </w:r>
      <w:r w:rsidRPr="00722885">
        <w:rPr>
          <w:rFonts w:ascii="Times New Roman" w:hAnsi="Times New Roman"/>
          <w:color w:val="000000" w:themeColor="text1"/>
          <w:sz w:val="16"/>
          <w:szCs w:val="16"/>
        </w:rPr>
        <w:softHyphen/>
        <w:t>зяйственной выставки (ВСХВ) на участке, принадлежавшем ки</w:t>
      </w:r>
      <w:r w:rsidRPr="00722885">
        <w:rPr>
          <w:rFonts w:ascii="Times New Roman" w:hAnsi="Times New Roman"/>
          <w:color w:val="000000" w:themeColor="text1"/>
          <w:sz w:val="16"/>
          <w:szCs w:val="16"/>
        </w:rPr>
        <w:softHyphen/>
        <w:t>ностудии Мосфильм [5.46]. В 1941 году там изготавливали боевые тачанки, но после Московской битвы на этих площадях организо</w:t>
      </w:r>
      <w:r w:rsidRPr="00722885">
        <w:rPr>
          <w:rFonts w:ascii="Times New Roman" w:hAnsi="Times New Roman"/>
          <w:color w:val="000000" w:themeColor="text1"/>
          <w:sz w:val="16"/>
          <w:szCs w:val="16"/>
        </w:rPr>
        <w:softHyphen/>
        <w:t>вали ремонт отечественных мотоциклов, доставлявшихся с полей сражений вместе с трофейными. Директором БТРЗ № 20 назна</w:t>
      </w:r>
      <w:r w:rsidRPr="00722885">
        <w:rPr>
          <w:rFonts w:ascii="Times New Roman" w:hAnsi="Times New Roman"/>
          <w:color w:val="000000" w:themeColor="text1"/>
          <w:sz w:val="16"/>
          <w:szCs w:val="16"/>
        </w:rPr>
        <w:softHyphen/>
        <w:t>чили инженера-капитана Б.А. Бурского, главным инженером -гражданского П.С. Милованова, заместителем директора по про</w:t>
      </w:r>
      <w:r w:rsidRPr="00722885">
        <w:rPr>
          <w:rFonts w:ascii="Times New Roman" w:hAnsi="Times New Roman"/>
          <w:color w:val="000000" w:themeColor="text1"/>
          <w:sz w:val="16"/>
          <w:szCs w:val="16"/>
        </w:rPr>
        <w:softHyphen/>
        <w:t>изводству - Толкушкина.</w:t>
      </w:r>
    </w:p>
    <w:p w14:paraId="5F46943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Доставленную технику разбирали на детали, которые промы</w:t>
      </w:r>
      <w:r w:rsidRPr="00722885">
        <w:rPr>
          <w:rFonts w:ascii="Times New Roman" w:hAnsi="Times New Roman"/>
          <w:color w:val="000000" w:themeColor="text1"/>
          <w:sz w:val="16"/>
          <w:szCs w:val="16"/>
        </w:rPr>
        <w:softHyphen/>
        <w:t>вали и сортировали. Неизношенные части отправляли в группу «годные», изношенные незначительно - в «доработку», а значи</w:t>
      </w:r>
      <w:r w:rsidRPr="00722885">
        <w:rPr>
          <w:rFonts w:ascii="Times New Roman" w:hAnsi="Times New Roman"/>
          <w:color w:val="000000" w:themeColor="text1"/>
          <w:sz w:val="16"/>
          <w:szCs w:val="16"/>
        </w:rPr>
        <w:softHyphen/>
        <w:t>тельно - в «брак». Периодически «брак» увозили как металлолом на переплавку, а детали от трофейных мотоциклов - на ММЗ. Годные детали от отечественных мотоциклов поступали на склад, которым заведовала В.Н. Левкиевская; из группы «дора</w:t>
      </w:r>
      <w:r w:rsidRPr="00722885">
        <w:rPr>
          <w:rFonts w:ascii="Times New Roman" w:hAnsi="Times New Roman"/>
          <w:color w:val="000000" w:themeColor="text1"/>
          <w:sz w:val="16"/>
          <w:szCs w:val="16"/>
        </w:rPr>
        <w:softHyphen/>
        <w:t>ботка» детали отправляли в возглавляемый старшим техником-лейтенантом А. Палкиным механический цех, где их восстанавли</w:t>
      </w:r>
      <w:r w:rsidRPr="00722885">
        <w:rPr>
          <w:rFonts w:ascii="Times New Roman" w:hAnsi="Times New Roman"/>
          <w:color w:val="000000" w:themeColor="text1"/>
          <w:sz w:val="16"/>
          <w:szCs w:val="16"/>
        </w:rPr>
        <w:softHyphen/>
        <w:t>вали, и там же изготавливали недостававшие. Восстановленные и заново сделанные детали проверяли в ОТК, который возглавлял инженер-лейтенант Б.А. Чернышев.</w:t>
      </w:r>
    </w:p>
    <w:p w14:paraId="31AFE2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Двигатели собирали в моторном цехе, которым руководил инженер-лейтенант Карпушкин. Каждый мотор проходил сна</w:t>
      </w:r>
      <w:r w:rsidRPr="00722885">
        <w:rPr>
          <w:rFonts w:ascii="Times New Roman" w:hAnsi="Times New Roman"/>
          <w:color w:val="000000" w:themeColor="text1"/>
          <w:sz w:val="16"/>
          <w:szCs w:val="16"/>
        </w:rPr>
        <w:softHyphen/>
        <w:t>чала 8-часовую холодную обкатку, затем его запускали, регу</w:t>
      </w:r>
      <w:r w:rsidRPr="00722885">
        <w:rPr>
          <w:rFonts w:ascii="Times New Roman" w:hAnsi="Times New Roman"/>
          <w:color w:val="000000" w:themeColor="text1"/>
          <w:sz w:val="16"/>
          <w:szCs w:val="16"/>
        </w:rPr>
        <w:softHyphen/>
        <w:t>лировали и производили горячую обкатку в течение четырех часов. В сборочном цехе, начальником которого был инженер-капитан И.Л. Борисенко, организовали два тележечных кон</w:t>
      </w:r>
      <w:r w:rsidRPr="00722885">
        <w:rPr>
          <w:rFonts w:ascii="Times New Roman" w:hAnsi="Times New Roman"/>
          <w:color w:val="000000" w:themeColor="text1"/>
          <w:sz w:val="16"/>
          <w:szCs w:val="16"/>
        </w:rPr>
        <w:softHyphen/>
        <w:t>вейера. На первом - собирали средние мотоциклы (ИЖ-7. ИЖ-8. ИЖ-9, Л-300, Л-8 и даже ТИЗ-АМ-600), на втором - М-72. Соб</w:t>
      </w:r>
      <w:r w:rsidRPr="00722885">
        <w:rPr>
          <w:rFonts w:ascii="Times New Roman" w:hAnsi="Times New Roman"/>
          <w:color w:val="000000" w:themeColor="text1"/>
          <w:sz w:val="16"/>
          <w:szCs w:val="16"/>
        </w:rPr>
        <w:softHyphen/>
        <w:t>ранные мотоциклы обкатывали по улицам Москвы в окрестностях завода. Обкаткой руководил Г. Курбашов. План дневной выработки завода составлял 10 мотоциклов, а месяч</w:t>
      </w:r>
      <w:r w:rsidRPr="00722885">
        <w:rPr>
          <w:rFonts w:ascii="Times New Roman" w:hAnsi="Times New Roman"/>
          <w:color w:val="000000" w:themeColor="text1"/>
          <w:sz w:val="16"/>
          <w:szCs w:val="16"/>
        </w:rPr>
        <w:softHyphen/>
        <w:t>ный - 300.</w:t>
      </w:r>
    </w:p>
    <w:p w14:paraId="437E482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Среди доставленных в ремонт мотоциклов оказались зна</w:t>
      </w:r>
      <w:r w:rsidRPr="00722885">
        <w:rPr>
          <w:rFonts w:ascii="Times New Roman" w:hAnsi="Times New Roman"/>
          <w:color w:val="000000" w:themeColor="text1"/>
          <w:sz w:val="16"/>
          <w:szCs w:val="16"/>
        </w:rPr>
        <w:softHyphen/>
        <w:t>менитые ИЖ-1 и ИЖ-3. Последний был в очень плохом состо</w:t>
      </w:r>
      <w:r w:rsidRPr="00722885">
        <w:rPr>
          <w:rFonts w:ascii="Times New Roman" w:hAnsi="Times New Roman"/>
          <w:color w:val="000000" w:themeColor="text1"/>
          <w:sz w:val="16"/>
          <w:szCs w:val="16"/>
        </w:rPr>
        <w:softHyphen/>
        <w:t>янии, и детали от него попали в брак. А ИЖ-1 восстановили и вернули в Ижевск. Ныне его демонстрируют в музее ОАО «Концерн «Ижмаш». Восстановленную мототехнику хранили под навесом. Полностью экипированные и заправленные мо</w:t>
      </w:r>
      <w:r w:rsidRPr="00722885">
        <w:rPr>
          <w:rFonts w:ascii="Times New Roman" w:hAnsi="Times New Roman"/>
          <w:color w:val="000000" w:themeColor="text1"/>
          <w:sz w:val="16"/>
          <w:szCs w:val="16"/>
        </w:rPr>
        <w:softHyphen/>
        <w:t>тоциклы перегоняли своим ходом на станцию Рижская-товар</w:t>
      </w:r>
      <w:r w:rsidRPr="00722885">
        <w:rPr>
          <w:rFonts w:ascii="Times New Roman" w:hAnsi="Times New Roman"/>
          <w:color w:val="000000" w:themeColor="text1"/>
          <w:sz w:val="16"/>
          <w:szCs w:val="16"/>
        </w:rPr>
        <w:softHyphen/>
        <w:t>ная [5.47].</w:t>
      </w:r>
    </w:p>
    <w:p w14:paraId="5EA21F4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приказами Главмотовелопрома 53/м от 18 сентября 1942 г. и 56/м от 21 сентября 1942 г. экономили бензин. Отличившихся водителей премировали из специаль</w:t>
      </w:r>
      <w:r w:rsidRPr="00722885">
        <w:rPr>
          <w:rFonts w:ascii="Times New Roman" w:hAnsi="Times New Roman"/>
          <w:color w:val="000000" w:themeColor="text1"/>
          <w:sz w:val="16"/>
          <w:szCs w:val="16"/>
        </w:rPr>
        <w:softHyphen/>
        <w:t>ного фонда [5.48]. Шесть мотоциклов М-72 с колясками сцеп</w:t>
      </w:r>
      <w:r w:rsidRPr="00722885">
        <w:rPr>
          <w:rFonts w:ascii="Times New Roman" w:hAnsi="Times New Roman"/>
          <w:color w:val="000000" w:themeColor="text1"/>
          <w:sz w:val="16"/>
          <w:szCs w:val="16"/>
        </w:rPr>
        <w:softHyphen/>
        <w:t>ляли цугом, то есть друг за другом. Головной - буксировал ос</w:t>
      </w:r>
      <w:r w:rsidRPr="00722885">
        <w:rPr>
          <w:rFonts w:ascii="Times New Roman" w:hAnsi="Times New Roman"/>
          <w:color w:val="000000" w:themeColor="text1"/>
          <w:sz w:val="16"/>
          <w:szCs w:val="16"/>
        </w:rPr>
        <w:softHyphen/>
        <w:t>тальные пять, на нейтральной передаче. Каждым управлял водитель. На Рижской-товарной в каждый двухосный вагон вкатывали по шесть мотоциклов. Возвращались вшестером на одном мотоцикле [5.47]. В 1942 году на БТРЗ № 20 вос</w:t>
      </w:r>
      <w:r w:rsidRPr="00722885">
        <w:rPr>
          <w:rFonts w:ascii="Times New Roman" w:hAnsi="Times New Roman"/>
          <w:color w:val="000000" w:themeColor="text1"/>
          <w:sz w:val="16"/>
          <w:szCs w:val="16"/>
        </w:rPr>
        <w:softHyphen/>
        <w:t>становили и передали в распоряжение ГБТУ около 3 тыс. мо</w:t>
      </w:r>
      <w:r w:rsidRPr="00722885">
        <w:rPr>
          <w:rFonts w:ascii="Times New Roman" w:hAnsi="Times New Roman"/>
          <w:color w:val="000000" w:themeColor="text1"/>
          <w:sz w:val="16"/>
          <w:szCs w:val="16"/>
        </w:rPr>
        <w:softHyphen/>
        <w:t>тоциклов.</w:t>
      </w:r>
    </w:p>
    <w:p w14:paraId="0C9712A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 всё же, поставляемых на фронт отечественных мотоциклов не хватало для успешного ведения боевых действий, поэтому ру</w:t>
      </w:r>
      <w:r w:rsidRPr="00722885">
        <w:rPr>
          <w:rFonts w:ascii="Times New Roman" w:hAnsi="Times New Roman"/>
          <w:color w:val="000000" w:themeColor="text1"/>
          <w:sz w:val="16"/>
          <w:szCs w:val="16"/>
        </w:rPr>
        <w:softHyphen/>
        <w:t>ководство страны искало дополнительные источники пополнения Красной Армии мототехникой.</w:t>
      </w:r>
    </w:p>
    <w:p w14:paraId="1AB46AE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67654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организовали вывоз трофейных мотоциклов с по</w:t>
      </w:r>
      <w:r w:rsidRPr="00722885">
        <w:rPr>
          <w:rFonts w:ascii="Times New Roman" w:hAnsi="Times New Roman"/>
          <w:color w:val="000000" w:themeColor="text1"/>
          <w:sz w:val="16"/>
          <w:szCs w:val="16"/>
        </w:rPr>
        <w:softHyphen/>
        <w:t>лей сражений. Наиболее исправные машины ремонтировали в во</w:t>
      </w:r>
      <w:r w:rsidRPr="00722885">
        <w:rPr>
          <w:rFonts w:ascii="Times New Roman" w:hAnsi="Times New Roman"/>
          <w:color w:val="000000" w:themeColor="text1"/>
          <w:sz w:val="16"/>
          <w:szCs w:val="16"/>
        </w:rPr>
        <w:softHyphen/>
        <w:t>инских частях и сразу же включали в состав боевых подразделе</w:t>
      </w:r>
      <w:r w:rsidRPr="00722885">
        <w:rPr>
          <w:rFonts w:ascii="Times New Roman" w:hAnsi="Times New Roman"/>
          <w:color w:val="000000" w:themeColor="text1"/>
          <w:sz w:val="16"/>
          <w:szCs w:val="16"/>
        </w:rPr>
        <w:softHyphen/>
        <w:t>ний. Сильно поврежденные - везли на БТРЗ № 20, а также на ММЗ и СМЗ, располагавших вполне достаточным для этого пер</w:t>
      </w:r>
      <w:r w:rsidRPr="00722885">
        <w:rPr>
          <w:rFonts w:ascii="Times New Roman" w:hAnsi="Times New Roman"/>
          <w:color w:val="000000" w:themeColor="text1"/>
          <w:sz w:val="16"/>
          <w:szCs w:val="16"/>
        </w:rPr>
        <w:softHyphen/>
        <w:t>соналом, 2647 [5.49] и 271 человек [5.50], соответственно. На БТРЗ № 20 трофейные мотоциклы только разбирали, а на ММЗ и СМЗ ремонтировали. Вскоре выяснилось, что делать это не просто, поскольку в Вермахте находилось более 50 марок мото</w:t>
      </w:r>
      <w:r w:rsidRPr="00722885">
        <w:rPr>
          <w:rFonts w:ascii="Times New Roman" w:hAnsi="Times New Roman"/>
          <w:color w:val="000000" w:themeColor="text1"/>
          <w:sz w:val="16"/>
          <w:szCs w:val="16"/>
        </w:rPr>
        <w:softHyphen/>
        <w:t>циклов многих фирм [5.51], см. табл. 19.</w:t>
      </w:r>
    </w:p>
    <w:p w14:paraId="548E9CC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19</w:t>
      </w:r>
    </w:p>
    <w:p w14:paraId="7E21F6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Основные модели трофейных мотоциклов, 1941-1942</w:t>
      </w:r>
    </w:p>
    <w:tbl>
      <w:tblPr>
        <w:tblW w:w="0" w:type="auto"/>
        <w:tblInd w:w="40" w:type="dxa"/>
        <w:tblLayout w:type="fixed"/>
        <w:tblCellMar>
          <w:left w:w="40" w:type="dxa"/>
          <w:right w:w="40" w:type="dxa"/>
        </w:tblCellMar>
        <w:tblLook w:val="0000" w:firstRow="0" w:lastRow="0" w:firstColumn="0" w:lastColumn="0" w:noHBand="0" w:noVBand="0"/>
      </w:tblPr>
      <w:tblGrid>
        <w:gridCol w:w="1276"/>
        <w:gridCol w:w="2693"/>
        <w:gridCol w:w="1134"/>
        <w:gridCol w:w="1276"/>
        <w:gridCol w:w="12"/>
      </w:tblGrid>
      <w:tr w:rsidR="009B487A" w:rsidRPr="00722885" w14:paraId="18EA3D9A" w14:textId="77777777" w:rsidTr="00CC5360">
        <w:trPr>
          <w:gridAfter w:val="1"/>
          <w:wAfter w:w="7" w:type="dxa"/>
          <w:trHeight w:val="480"/>
        </w:trPr>
        <w:tc>
          <w:tcPr>
            <w:tcW w:w="1276" w:type="dxa"/>
            <w:tcBorders>
              <w:top w:val="single" w:sz="12" w:space="0" w:color="auto"/>
              <w:left w:val="single" w:sz="12" w:space="0" w:color="auto"/>
              <w:bottom w:val="single" w:sz="6" w:space="0" w:color="auto"/>
              <w:right w:val="single" w:sz="6" w:space="0" w:color="auto"/>
            </w:tcBorders>
          </w:tcPr>
          <w:p w14:paraId="77E7718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Фирма</w:t>
            </w:r>
          </w:p>
          <w:p w14:paraId="04FB614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12" w:space="0" w:color="auto"/>
              <w:left w:val="single" w:sz="6" w:space="0" w:color="auto"/>
              <w:bottom w:val="single" w:sz="6" w:space="0" w:color="auto"/>
              <w:right w:val="single" w:sz="6" w:space="0" w:color="auto"/>
            </w:tcBorders>
          </w:tcPr>
          <w:p w14:paraId="3ACF7F7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Модель</w:t>
            </w:r>
          </w:p>
          <w:p w14:paraId="4558D0B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410" w:type="dxa"/>
            <w:gridSpan w:val="2"/>
            <w:tcBorders>
              <w:top w:val="single" w:sz="12" w:space="0" w:color="auto"/>
              <w:left w:val="single" w:sz="6" w:space="0" w:color="auto"/>
              <w:bottom w:val="single" w:sz="6" w:space="0" w:color="auto"/>
              <w:right w:val="single" w:sz="12" w:space="0" w:color="auto"/>
            </w:tcBorders>
          </w:tcPr>
          <w:p w14:paraId="7B4AEA7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Двигатель</w:t>
            </w:r>
          </w:p>
          <w:p w14:paraId="0410F09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42D298C" w14:textId="77777777" w:rsidTr="00CC5360">
        <w:trPr>
          <w:gridAfter w:val="1"/>
          <w:wAfter w:w="7" w:type="dxa"/>
          <w:trHeight w:val="518"/>
        </w:trPr>
        <w:tc>
          <w:tcPr>
            <w:tcW w:w="1276" w:type="dxa"/>
            <w:tcBorders>
              <w:top w:val="single" w:sz="6" w:space="0" w:color="auto"/>
              <w:left w:val="single" w:sz="12" w:space="0" w:color="auto"/>
              <w:bottom w:val="single" w:sz="6" w:space="0" w:color="auto"/>
              <w:right w:val="single" w:sz="6" w:space="0" w:color="auto"/>
            </w:tcBorders>
          </w:tcPr>
          <w:p w14:paraId="6D49FCA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A6DBBD3"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ECB79EC"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F113EA2"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9C95E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Тип</w:t>
            </w:r>
          </w:p>
          <w:p w14:paraId="492FC2F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12" w:space="0" w:color="auto"/>
            </w:tcBorders>
          </w:tcPr>
          <w:p w14:paraId="4856735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Рабочий объем, см</w:t>
            </w:r>
            <w:r w:rsidRPr="00722885">
              <w:rPr>
                <w:rFonts w:ascii="Times New Roman" w:hAnsi="Times New Roman"/>
                <w:color w:val="000000" w:themeColor="text1"/>
                <w:sz w:val="16"/>
                <w:szCs w:val="16"/>
                <w:vertAlign w:val="superscript"/>
              </w:rPr>
              <w:t>3</w:t>
            </w:r>
          </w:p>
          <w:p w14:paraId="379397A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556250E" w14:textId="77777777" w:rsidTr="00CC5360">
        <w:trPr>
          <w:gridAfter w:val="1"/>
          <w:wAfter w:w="7" w:type="dxa"/>
          <w:trHeight w:val="346"/>
        </w:trPr>
        <w:tc>
          <w:tcPr>
            <w:tcW w:w="1276" w:type="dxa"/>
            <w:tcBorders>
              <w:top w:val="single" w:sz="6" w:space="0" w:color="auto"/>
              <w:left w:val="single" w:sz="12" w:space="0" w:color="auto"/>
              <w:bottom w:val="single" w:sz="6" w:space="0" w:color="auto"/>
              <w:right w:val="single" w:sz="6" w:space="0" w:color="auto"/>
            </w:tcBorders>
          </w:tcPr>
          <w:p w14:paraId="439FB7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Арди</w:t>
            </w:r>
          </w:p>
          <w:p w14:paraId="615BFC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1032A2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w:t>
            </w:r>
            <w:r w:rsidRPr="00722885">
              <w:rPr>
                <w:rFonts w:ascii="Times New Roman" w:hAnsi="Times New Roman"/>
                <w:color w:val="000000" w:themeColor="text1"/>
                <w:sz w:val="16"/>
                <w:szCs w:val="16"/>
                <w:lang w:val="en-US"/>
              </w:rPr>
              <w:t>fa</w:t>
            </w:r>
            <w:r w:rsidRPr="00722885">
              <w:rPr>
                <w:rFonts w:ascii="Times New Roman" w:hAnsi="Times New Roman"/>
                <w:color w:val="000000" w:themeColor="text1"/>
                <w:sz w:val="16"/>
                <w:szCs w:val="16"/>
              </w:rPr>
              <w:t>-Мах-125</w:t>
            </w:r>
          </w:p>
          <w:p w14:paraId="1174DF0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B9CE69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2Т1-0</w:t>
            </w:r>
          </w:p>
          <w:p w14:paraId="5D47CB0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12" w:space="0" w:color="auto"/>
            </w:tcBorders>
          </w:tcPr>
          <w:p w14:paraId="2645D6D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w:t>
            </w:r>
          </w:p>
          <w:p w14:paraId="6050C3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41E2B04"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24D8513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19AFAD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390924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Junior S</w:t>
            </w:r>
            <w:r w:rsidRPr="00722885">
              <w:rPr>
                <w:rFonts w:ascii="Times New Roman" w:hAnsi="Times New Roman"/>
                <w:color w:val="000000" w:themeColor="text1"/>
                <w:sz w:val="16"/>
                <w:szCs w:val="16"/>
              </w:rPr>
              <w:t>-125</w:t>
            </w:r>
          </w:p>
          <w:p w14:paraId="5C49048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83FEB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474B2CC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A02B3C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w:t>
            </w:r>
          </w:p>
          <w:p w14:paraId="44B7A41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DE4278C" w14:textId="77777777" w:rsidTr="00CC5360">
        <w:trPr>
          <w:trHeight w:val="240"/>
        </w:trPr>
        <w:tc>
          <w:tcPr>
            <w:tcW w:w="1276" w:type="dxa"/>
            <w:tcBorders>
              <w:top w:val="single" w:sz="6" w:space="0" w:color="auto"/>
              <w:left w:val="single" w:sz="12" w:space="0" w:color="auto"/>
              <w:bottom w:val="single" w:sz="6" w:space="0" w:color="auto"/>
              <w:right w:val="single" w:sz="6" w:space="0" w:color="auto"/>
            </w:tcBorders>
          </w:tcPr>
          <w:p w14:paraId="2465288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7D1528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457224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w:t>
            </w:r>
            <w:r w:rsidRPr="00722885">
              <w:rPr>
                <w:rFonts w:ascii="Times New Roman" w:hAnsi="Times New Roman"/>
                <w:color w:val="000000" w:themeColor="text1"/>
                <w:sz w:val="16"/>
                <w:szCs w:val="16"/>
                <w:lang w:val="en-US"/>
              </w:rPr>
              <w:t>iorRBZ</w:t>
            </w:r>
            <w:r w:rsidRPr="00722885">
              <w:rPr>
                <w:rFonts w:ascii="Times New Roman" w:hAnsi="Times New Roman"/>
                <w:color w:val="000000" w:themeColor="text1"/>
                <w:sz w:val="16"/>
                <w:szCs w:val="16"/>
              </w:rPr>
              <w:t>-250</w:t>
            </w:r>
          </w:p>
          <w:p w14:paraId="6DCB3B4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8AE478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2Т1-4</w:t>
            </w:r>
          </w:p>
          <w:p w14:paraId="40FA97A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6898AF7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246</w:t>
            </w:r>
          </w:p>
          <w:p w14:paraId="448F70B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958E2D8" w14:textId="77777777" w:rsidTr="00CC5360">
        <w:trPr>
          <w:trHeight w:val="259"/>
        </w:trPr>
        <w:tc>
          <w:tcPr>
            <w:tcW w:w="1276" w:type="dxa"/>
            <w:tcBorders>
              <w:top w:val="single" w:sz="6" w:space="0" w:color="auto"/>
              <w:left w:val="single" w:sz="12" w:space="0" w:color="auto"/>
              <w:bottom w:val="single" w:sz="6" w:space="0" w:color="auto"/>
              <w:right w:val="single" w:sz="6" w:space="0" w:color="auto"/>
            </w:tcBorders>
          </w:tcPr>
          <w:p w14:paraId="44CE047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БМВ</w:t>
            </w:r>
          </w:p>
          <w:p w14:paraId="2E8F3F6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880F06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-23</w:t>
            </w:r>
          </w:p>
          <w:p w14:paraId="15941F1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E78EC7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4Т1-3</w:t>
            </w:r>
          </w:p>
          <w:p w14:paraId="3013DBB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4E17AC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247</w:t>
            </w:r>
          </w:p>
          <w:p w14:paraId="592F5EE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C88BA79"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320335E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03803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FE6BB5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-35</w:t>
            </w:r>
          </w:p>
          <w:p w14:paraId="11ADD24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69715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4Т1-4</w:t>
            </w:r>
          </w:p>
          <w:p w14:paraId="6C2E1E9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058C76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340</w:t>
            </w:r>
          </w:p>
          <w:p w14:paraId="28E74D2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226D311"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346688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C9CE55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A1631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-51</w:t>
            </w:r>
          </w:p>
          <w:p w14:paraId="106CB33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5239FE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4Т2-4</w:t>
            </w:r>
          </w:p>
          <w:p w14:paraId="32B9CB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CAF16F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494</w:t>
            </w:r>
          </w:p>
          <w:p w14:paraId="04112E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92EB742"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467BF9E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D2F25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4AF3EE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-71</w:t>
            </w:r>
          </w:p>
          <w:p w14:paraId="420CB8F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D2103D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4Т2-4</w:t>
            </w:r>
          </w:p>
          <w:p w14:paraId="769E4C9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1EC265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745</w:t>
            </w:r>
          </w:p>
          <w:p w14:paraId="4B871B4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075884A"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30391C7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ДКВ</w:t>
            </w:r>
          </w:p>
          <w:p w14:paraId="1A06EC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6AB1B4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Т-125</w:t>
            </w:r>
          </w:p>
          <w:p w14:paraId="3D43330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609C6D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501E3FD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384AA4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w:t>
            </w:r>
          </w:p>
          <w:p w14:paraId="0385009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83783DC" w14:textId="77777777" w:rsidTr="00CC5360">
        <w:trPr>
          <w:trHeight w:val="230"/>
        </w:trPr>
        <w:tc>
          <w:tcPr>
            <w:tcW w:w="1276" w:type="dxa"/>
            <w:tcBorders>
              <w:top w:val="single" w:sz="6" w:space="0" w:color="auto"/>
              <w:left w:val="single" w:sz="12" w:space="0" w:color="auto"/>
              <w:bottom w:val="single" w:sz="6" w:space="0" w:color="auto"/>
              <w:right w:val="single" w:sz="6" w:space="0" w:color="auto"/>
            </w:tcBorders>
          </w:tcPr>
          <w:p w14:paraId="57FA3F0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6508F3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B93EAA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KS</w:t>
            </w:r>
            <w:r w:rsidRPr="00722885">
              <w:rPr>
                <w:rFonts w:ascii="Times New Roman" w:hAnsi="Times New Roman"/>
                <w:color w:val="000000" w:themeColor="text1"/>
                <w:sz w:val="16"/>
                <w:szCs w:val="16"/>
              </w:rPr>
              <w:t>-200</w:t>
            </w:r>
          </w:p>
          <w:p w14:paraId="049D09A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889D2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6F024F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6AB8D5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198</w:t>
            </w:r>
          </w:p>
          <w:p w14:paraId="3E59DB1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6444485" w14:textId="77777777" w:rsidTr="00CC5360">
        <w:trPr>
          <w:trHeight w:val="211"/>
        </w:trPr>
        <w:tc>
          <w:tcPr>
            <w:tcW w:w="1276" w:type="dxa"/>
            <w:tcBorders>
              <w:top w:val="single" w:sz="6" w:space="0" w:color="auto"/>
              <w:left w:val="single" w:sz="12" w:space="0" w:color="auto"/>
              <w:bottom w:val="single" w:sz="6" w:space="0" w:color="auto"/>
              <w:right w:val="single" w:sz="6" w:space="0" w:color="auto"/>
            </w:tcBorders>
          </w:tcPr>
          <w:p w14:paraId="24CA5BB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22DA90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CB9CC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N</w:t>
            </w:r>
            <w:r w:rsidRPr="00722885">
              <w:rPr>
                <w:rFonts w:ascii="Times New Roman" w:hAnsi="Times New Roman"/>
                <w:color w:val="000000" w:themeColor="text1"/>
                <w:sz w:val="16"/>
                <w:szCs w:val="16"/>
                <w:lang w:val="en-US"/>
              </w:rPr>
              <w:t>Z</w:t>
            </w:r>
            <w:r w:rsidRPr="00722885">
              <w:rPr>
                <w:rFonts w:ascii="Times New Roman" w:hAnsi="Times New Roman"/>
                <w:color w:val="000000" w:themeColor="text1"/>
                <w:sz w:val="16"/>
                <w:szCs w:val="16"/>
              </w:rPr>
              <w:t>-250</w:t>
            </w:r>
          </w:p>
          <w:p w14:paraId="6ED41C2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47FFB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2Т1-4</w:t>
            </w:r>
          </w:p>
          <w:p w14:paraId="1729241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05B14D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245</w:t>
            </w:r>
          </w:p>
          <w:p w14:paraId="613B980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1B69C2B"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4405857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2DD4C2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EBFDAB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N</w:t>
            </w:r>
            <w:r w:rsidRPr="00722885">
              <w:rPr>
                <w:rFonts w:ascii="Times New Roman" w:hAnsi="Times New Roman"/>
                <w:color w:val="000000" w:themeColor="text1"/>
                <w:sz w:val="16"/>
                <w:szCs w:val="16"/>
                <w:lang w:val="en-US"/>
              </w:rPr>
              <w:t>Z</w:t>
            </w:r>
            <w:r w:rsidRPr="00722885">
              <w:rPr>
                <w:rFonts w:ascii="Times New Roman" w:hAnsi="Times New Roman"/>
                <w:color w:val="000000" w:themeColor="text1"/>
                <w:sz w:val="16"/>
                <w:szCs w:val="16"/>
              </w:rPr>
              <w:t>-350</w:t>
            </w:r>
          </w:p>
          <w:p w14:paraId="4136C18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AB15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2Т1-4</w:t>
            </w:r>
          </w:p>
          <w:p w14:paraId="7A55AE6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411BB7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343</w:t>
            </w:r>
          </w:p>
          <w:p w14:paraId="775136F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57608DC" w14:textId="77777777" w:rsidTr="00CC5360">
        <w:trPr>
          <w:trHeight w:val="240"/>
        </w:trPr>
        <w:tc>
          <w:tcPr>
            <w:tcW w:w="1276" w:type="dxa"/>
            <w:tcBorders>
              <w:top w:val="single" w:sz="6" w:space="0" w:color="auto"/>
              <w:left w:val="single" w:sz="12" w:space="0" w:color="auto"/>
              <w:bottom w:val="single" w:sz="6" w:space="0" w:color="auto"/>
              <w:right w:val="single" w:sz="6" w:space="0" w:color="auto"/>
            </w:tcBorders>
          </w:tcPr>
          <w:p w14:paraId="5591C99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4F00AB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7D6E87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N</w:t>
            </w:r>
            <w:r w:rsidRPr="00722885">
              <w:rPr>
                <w:rFonts w:ascii="Times New Roman" w:hAnsi="Times New Roman"/>
                <w:color w:val="000000" w:themeColor="text1"/>
                <w:sz w:val="16"/>
                <w:szCs w:val="16"/>
                <w:lang w:val="en-US"/>
              </w:rPr>
              <w:t>Z</w:t>
            </w:r>
            <w:r w:rsidRPr="00722885">
              <w:rPr>
                <w:rFonts w:ascii="Times New Roman" w:hAnsi="Times New Roman"/>
                <w:color w:val="000000" w:themeColor="text1"/>
                <w:sz w:val="16"/>
                <w:szCs w:val="16"/>
              </w:rPr>
              <w:t>-500</w:t>
            </w:r>
          </w:p>
          <w:p w14:paraId="2A9FFD1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6BDEEA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2Т2-4</w:t>
            </w:r>
          </w:p>
          <w:p w14:paraId="4F78F0C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6DB8FA8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489</w:t>
            </w:r>
          </w:p>
          <w:p w14:paraId="6C6FBB6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4EE0E8E" w14:textId="77777777" w:rsidTr="00CC5360">
        <w:trPr>
          <w:trHeight w:val="288"/>
        </w:trPr>
        <w:tc>
          <w:tcPr>
            <w:tcW w:w="1276" w:type="dxa"/>
            <w:tcBorders>
              <w:top w:val="single" w:sz="6" w:space="0" w:color="auto"/>
              <w:left w:val="single" w:sz="12" w:space="0" w:color="auto"/>
              <w:bottom w:val="single" w:sz="6" w:space="0" w:color="auto"/>
              <w:right w:val="single" w:sz="6" w:space="0" w:color="auto"/>
            </w:tcBorders>
          </w:tcPr>
          <w:p w14:paraId="6C3EA5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Геркулес</w:t>
            </w:r>
          </w:p>
          <w:p w14:paraId="3A66E22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7FF836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S</w:t>
            </w:r>
            <w:r w:rsidRPr="00722885">
              <w:rPr>
                <w:rFonts w:ascii="Times New Roman" w:hAnsi="Times New Roman"/>
                <w:color w:val="000000" w:themeColor="text1"/>
                <w:sz w:val="16"/>
                <w:szCs w:val="16"/>
              </w:rPr>
              <w:t>-125</w:t>
            </w:r>
          </w:p>
          <w:p w14:paraId="4061FDC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52C8C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24EDB8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EB921A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121</w:t>
            </w:r>
          </w:p>
          <w:p w14:paraId="2F4C15D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712F9CB"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0BB11B5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47232C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C126D7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S</w:t>
            </w:r>
            <w:r w:rsidRPr="00722885">
              <w:rPr>
                <w:rFonts w:ascii="Times New Roman" w:hAnsi="Times New Roman"/>
                <w:color w:val="000000" w:themeColor="text1"/>
                <w:sz w:val="16"/>
                <w:szCs w:val="16"/>
              </w:rPr>
              <w:t>-100</w:t>
            </w:r>
          </w:p>
          <w:p w14:paraId="79FDFCB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FD3EE5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206A4F0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96587F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w:t>
            </w:r>
          </w:p>
          <w:p w14:paraId="371E0E2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25CDDBF"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4E05969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7701C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2F83F2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w:t>
            </w:r>
            <w:r w:rsidRPr="00722885">
              <w:rPr>
                <w:rFonts w:ascii="Times New Roman" w:hAnsi="Times New Roman"/>
                <w:color w:val="000000" w:themeColor="text1"/>
                <w:sz w:val="16"/>
                <w:szCs w:val="16"/>
                <w:lang w:val="en-US"/>
              </w:rPr>
              <w:t>F</w:t>
            </w:r>
            <w:r w:rsidRPr="00722885">
              <w:rPr>
                <w:rFonts w:ascii="Times New Roman" w:hAnsi="Times New Roman"/>
                <w:color w:val="000000" w:themeColor="text1"/>
                <w:sz w:val="16"/>
                <w:szCs w:val="16"/>
              </w:rPr>
              <w:t>-100</w:t>
            </w:r>
          </w:p>
          <w:p w14:paraId="789AAF3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1402C0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2Т1-2</w:t>
            </w:r>
          </w:p>
          <w:p w14:paraId="75E666D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304B6A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w:t>
            </w:r>
          </w:p>
          <w:p w14:paraId="06DEF4A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CA2825F" w14:textId="77777777" w:rsidTr="00CC5360">
        <w:trPr>
          <w:trHeight w:val="269"/>
        </w:trPr>
        <w:tc>
          <w:tcPr>
            <w:tcW w:w="1276" w:type="dxa"/>
            <w:tcBorders>
              <w:top w:val="single" w:sz="6" w:space="0" w:color="auto"/>
              <w:left w:val="single" w:sz="12" w:space="0" w:color="auto"/>
              <w:bottom w:val="single" w:sz="6" w:space="0" w:color="auto"/>
              <w:right w:val="single" w:sz="6" w:space="0" w:color="auto"/>
            </w:tcBorders>
          </w:tcPr>
          <w:p w14:paraId="2FB3C6D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Майко</w:t>
            </w:r>
          </w:p>
          <w:p w14:paraId="1EE134B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0B083A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МР-100</w:t>
            </w:r>
          </w:p>
          <w:p w14:paraId="4EB6C34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6F5EE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2Т1-2</w:t>
            </w:r>
          </w:p>
          <w:p w14:paraId="4F9990E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5158A9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w:t>
            </w:r>
          </w:p>
          <w:p w14:paraId="516AE36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6EE763F4"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5170207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59A91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5B9C56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МР-125(2)</w:t>
            </w:r>
          </w:p>
          <w:p w14:paraId="62D6EBC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A20896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2Т1-2</w:t>
            </w:r>
          </w:p>
          <w:p w14:paraId="7D436F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F0A5E5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w:t>
            </w:r>
          </w:p>
          <w:p w14:paraId="6BD1E91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6A375DB3"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3DF270C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8DCE30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CFF27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МР-125(3)</w:t>
            </w:r>
          </w:p>
          <w:p w14:paraId="13888E4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8C650A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6B11900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BCF499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w:t>
            </w:r>
          </w:p>
          <w:p w14:paraId="7A45FE3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6A1D236" w14:textId="77777777" w:rsidTr="00CC5360">
        <w:trPr>
          <w:trHeight w:val="259"/>
        </w:trPr>
        <w:tc>
          <w:tcPr>
            <w:tcW w:w="1276" w:type="dxa"/>
            <w:tcBorders>
              <w:top w:val="single" w:sz="6" w:space="0" w:color="auto"/>
              <w:left w:val="single" w:sz="12" w:space="0" w:color="auto"/>
              <w:bottom w:val="single" w:sz="6" w:space="0" w:color="auto"/>
              <w:right w:val="single" w:sz="6" w:space="0" w:color="auto"/>
            </w:tcBorders>
          </w:tcPr>
          <w:p w14:paraId="6912797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НСУ</w:t>
            </w:r>
          </w:p>
          <w:p w14:paraId="04CA911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A2DD8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Quick</w:t>
            </w:r>
          </w:p>
          <w:p w14:paraId="7BE802A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BB3CA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2Т1-2</w:t>
            </w:r>
          </w:p>
        </w:tc>
        <w:tc>
          <w:tcPr>
            <w:tcW w:w="1283" w:type="dxa"/>
            <w:gridSpan w:val="2"/>
            <w:tcBorders>
              <w:top w:val="single" w:sz="6" w:space="0" w:color="auto"/>
              <w:left w:val="single" w:sz="6" w:space="0" w:color="auto"/>
              <w:bottom w:val="single" w:sz="6" w:space="0" w:color="auto"/>
              <w:right w:val="single" w:sz="12" w:space="0" w:color="auto"/>
            </w:tcBorders>
          </w:tcPr>
          <w:p w14:paraId="4012A71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w:t>
            </w:r>
          </w:p>
        </w:tc>
      </w:tr>
      <w:tr w:rsidR="009B487A" w:rsidRPr="00722885" w14:paraId="32CA69B7"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290A30D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6FF9B8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6FEE0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125 </w:t>
            </w:r>
            <w:r w:rsidRPr="00722885">
              <w:rPr>
                <w:rFonts w:ascii="Times New Roman" w:hAnsi="Times New Roman"/>
                <w:color w:val="000000" w:themeColor="text1"/>
                <w:sz w:val="16"/>
                <w:szCs w:val="16"/>
                <w:lang w:val="en-US"/>
              </w:rPr>
              <w:t>ZDB</w:t>
            </w:r>
          </w:p>
          <w:p w14:paraId="4AEE501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38375D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554BCF9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586850B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w:t>
            </w:r>
          </w:p>
          <w:p w14:paraId="34EE3DE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1380DD4"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1A46694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A425DF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F1B2F3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251 </w:t>
            </w:r>
            <w:r w:rsidRPr="00722885">
              <w:rPr>
                <w:rFonts w:ascii="Times New Roman" w:hAnsi="Times New Roman"/>
                <w:color w:val="000000" w:themeColor="text1"/>
                <w:sz w:val="16"/>
                <w:szCs w:val="16"/>
                <w:lang w:val="en-US"/>
              </w:rPr>
              <w:t>OSL</w:t>
            </w:r>
          </w:p>
          <w:p w14:paraId="50EEEEB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94933C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4Т1-4</w:t>
            </w:r>
          </w:p>
          <w:p w14:paraId="085359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09648F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242</w:t>
            </w:r>
          </w:p>
          <w:p w14:paraId="207A5C6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EBB957C"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2E77294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C77BE9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8D823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351 О</w:t>
            </w:r>
            <w:r w:rsidRPr="00722885">
              <w:rPr>
                <w:rFonts w:ascii="Times New Roman" w:hAnsi="Times New Roman"/>
                <w:color w:val="000000" w:themeColor="text1"/>
                <w:sz w:val="16"/>
                <w:szCs w:val="16"/>
                <w:lang w:val="en-US"/>
              </w:rPr>
              <w:t>SL</w:t>
            </w:r>
          </w:p>
          <w:p w14:paraId="66E154D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D8149A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4Т1-4</w:t>
            </w:r>
          </w:p>
          <w:p w14:paraId="13F3B05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6C19CD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346</w:t>
            </w:r>
          </w:p>
          <w:p w14:paraId="4CAB327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3934D63"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5D628DD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8E92CA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461F20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601 О</w:t>
            </w:r>
            <w:r w:rsidRPr="00722885">
              <w:rPr>
                <w:rFonts w:ascii="Times New Roman" w:hAnsi="Times New Roman"/>
                <w:color w:val="000000" w:themeColor="text1"/>
                <w:sz w:val="16"/>
                <w:szCs w:val="16"/>
                <w:lang w:val="en-US"/>
              </w:rPr>
              <w:t>SL</w:t>
            </w:r>
          </w:p>
          <w:p w14:paraId="0C8FED9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899651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4Т1-4</w:t>
            </w:r>
          </w:p>
          <w:p w14:paraId="7FC6CFA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91A413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562</w:t>
            </w:r>
          </w:p>
          <w:p w14:paraId="4F45CB4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77CC5CB" w14:textId="77777777" w:rsidTr="00CC5360">
        <w:trPr>
          <w:trHeight w:val="269"/>
        </w:trPr>
        <w:tc>
          <w:tcPr>
            <w:tcW w:w="1276" w:type="dxa"/>
            <w:tcBorders>
              <w:top w:val="single" w:sz="6" w:space="0" w:color="auto"/>
              <w:left w:val="single" w:sz="12" w:space="0" w:color="auto"/>
              <w:bottom w:val="single" w:sz="6" w:space="0" w:color="auto"/>
              <w:right w:val="single" w:sz="6" w:space="0" w:color="auto"/>
            </w:tcBorders>
          </w:tcPr>
          <w:p w14:paraId="050CA17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Феномен</w:t>
            </w:r>
          </w:p>
          <w:p w14:paraId="509B052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622A35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S</w:t>
            </w:r>
            <w:r w:rsidRPr="00722885">
              <w:rPr>
                <w:rFonts w:ascii="Times New Roman" w:hAnsi="Times New Roman"/>
                <w:color w:val="000000" w:themeColor="text1"/>
                <w:sz w:val="16"/>
                <w:szCs w:val="16"/>
              </w:rPr>
              <w:t xml:space="preserve"> и </w:t>
            </w:r>
            <w:r w:rsidRPr="00722885">
              <w:rPr>
                <w:rFonts w:ascii="Times New Roman" w:hAnsi="Times New Roman"/>
                <w:color w:val="000000" w:themeColor="text1"/>
                <w:sz w:val="16"/>
                <w:szCs w:val="16"/>
                <w:lang w:val="en-US"/>
              </w:rPr>
              <w:t>SD</w:t>
            </w:r>
          </w:p>
          <w:p w14:paraId="59E0C3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EC28EB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2Т1-2</w:t>
            </w:r>
          </w:p>
          <w:p w14:paraId="28E9E6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04B55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w:t>
            </w:r>
          </w:p>
          <w:p w14:paraId="551165D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38D1127"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28BCCAA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DB7FEB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6B4020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 Т</w:t>
            </w:r>
          </w:p>
          <w:p w14:paraId="02BECC7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B5D5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16C20B8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D413B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w:t>
            </w:r>
          </w:p>
          <w:p w14:paraId="3A9DD1F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8B455CE" w14:textId="77777777" w:rsidTr="00CC5360">
        <w:trPr>
          <w:trHeight w:val="259"/>
        </w:trPr>
        <w:tc>
          <w:tcPr>
            <w:tcW w:w="1276" w:type="dxa"/>
            <w:tcBorders>
              <w:top w:val="single" w:sz="6" w:space="0" w:color="auto"/>
              <w:left w:val="single" w:sz="12" w:space="0" w:color="auto"/>
              <w:bottom w:val="single" w:sz="6" w:space="0" w:color="auto"/>
              <w:right w:val="single" w:sz="6" w:space="0" w:color="auto"/>
            </w:tcBorders>
          </w:tcPr>
          <w:p w14:paraId="65D7DAE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Пух</w:t>
            </w:r>
          </w:p>
          <w:p w14:paraId="24F5088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7545F7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Styriette</w:t>
            </w:r>
          </w:p>
          <w:p w14:paraId="2ADEEB7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FCE80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2Т1-0</w:t>
            </w:r>
          </w:p>
          <w:p w14:paraId="355E82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5AE26F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w:t>
            </w:r>
          </w:p>
          <w:p w14:paraId="0518EFC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A77503E" w14:textId="77777777" w:rsidTr="00CC5360">
        <w:trPr>
          <w:trHeight w:val="211"/>
        </w:trPr>
        <w:tc>
          <w:tcPr>
            <w:tcW w:w="1276" w:type="dxa"/>
            <w:tcBorders>
              <w:top w:val="single" w:sz="6" w:space="0" w:color="auto"/>
              <w:left w:val="single" w:sz="12" w:space="0" w:color="auto"/>
              <w:bottom w:val="single" w:sz="6" w:space="0" w:color="auto"/>
              <w:right w:val="single" w:sz="6" w:space="0" w:color="auto"/>
            </w:tcBorders>
          </w:tcPr>
          <w:p w14:paraId="294C7A8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604895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714DC3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w:t>
            </w:r>
          </w:p>
          <w:p w14:paraId="66500FB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877464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02D0F6F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59FAA1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125</w:t>
            </w:r>
          </w:p>
          <w:p w14:paraId="794D02F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46E08A2"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6E4E08E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2B8707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8BF6A7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w:t>
            </w:r>
          </w:p>
          <w:p w14:paraId="2263F38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835B6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1D55C5C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7E910A7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198</w:t>
            </w:r>
          </w:p>
          <w:p w14:paraId="1D4BEA7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F56F80B" w14:textId="77777777" w:rsidTr="00CC5360">
        <w:trPr>
          <w:trHeight w:val="259"/>
        </w:trPr>
        <w:tc>
          <w:tcPr>
            <w:tcW w:w="1276" w:type="dxa"/>
            <w:tcBorders>
              <w:top w:val="single" w:sz="6" w:space="0" w:color="auto"/>
              <w:left w:val="single" w:sz="12" w:space="0" w:color="auto"/>
              <w:bottom w:val="single" w:sz="6" w:space="0" w:color="auto"/>
              <w:right w:val="single" w:sz="6" w:space="0" w:color="auto"/>
            </w:tcBorders>
          </w:tcPr>
          <w:p w14:paraId="0C4DF3F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59403C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A62792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 5-4</w:t>
            </w:r>
          </w:p>
          <w:p w14:paraId="6ECDE6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1F94F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2Т1-4</w:t>
            </w:r>
          </w:p>
          <w:p w14:paraId="12A397F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908869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248</w:t>
            </w:r>
          </w:p>
          <w:p w14:paraId="471F1AE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C245C9E" w14:textId="77777777" w:rsidTr="00CC5360">
        <w:trPr>
          <w:trHeight w:val="298"/>
        </w:trPr>
        <w:tc>
          <w:tcPr>
            <w:tcW w:w="1276" w:type="dxa"/>
            <w:tcBorders>
              <w:top w:val="single" w:sz="6" w:space="0" w:color="auto"/>
              <w:left w:val="single" w:sz="12" w:space="0" w:color="auto"/>
              <w:bottom w:val="single" w:sz="6" w:space="0" w:color="auto"/>
              <w:right w:val="single" w:sz="6" w:space="0" w:color="auto"/>
            </w:tcBorders>
          </w:tcPr>
          <w:p w14:paraId="16766A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Стандарт</w:t>
            </w:r>
          </w:p>
          <w:p w14:paraId="57DAECE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4BFAE4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Feurgeist-Luxus-Block T</w:t>
            </w:r>
            <w:r w:rsidRPr="00722885">
              <w:rPr>
                <w:rFonts w:ascii="Times New Roman" w:hAnsi="Times New Roman"/>
                <w:color w:val="000000" w:themeColor="text1"/>
                <w:sz w:val="16"/>
                <w:szCs w:val="16"/>
              </w:rPr>
              <w:t xml:space="preserve"> -200</w:t>
            </w:r>
          </w:p>
          <w:p w14:paraId="488D37B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9EB5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1FA309E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CC01E7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250</w:t>
            </w:r>
          </w:p>
          <w:p w14:paraId="015D878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1559D45" w14:textId="77777777" w:rsidTr="00CC5360">
        <w:trPr>
          <w:trHeight w:val="259"/>
        </w:trPr>
        <w:tc>
          <w:tcPr>
            <w:tcW w:w="1276" w:type="dxa"/>
            <w:tcBorders>
              <w:top w:val="single" w:sz="6" w:space="0" w:color="auto"/>
              <w:left w:val="single" w:sz="12" w:space="0" w:color="auto"/>
              <w:bottom w:val="single" w:sz="6" w:space="0" w:color="auto"/>
              <w:right w:val="single" w:sz="6" w:space="0" w:color="auto"/>
            </w:tcBorders>
          </w:tcPr>
          <w:p w14:paraId="1A0203C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Триумф</w:t>
            </w:r>
          </w:p>
          <w:p w14:paraId="5A588BC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1F7A6B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В- 100</w:t>
            </w:r>
          </w:p>
          <w:p w14:paraId="64C293C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AB9A4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2Т1-2</w:t>
            </w:r>
          </w:p>
          <w:p w14:paraId="2D4A41A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4C47AE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w:t>
            </w:r>
          </w:p>
          <w:p w14:paraId="50ACD43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F4E39FD"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1C7F136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217CD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630B03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В-125</w:t>
            </w:r>
          </w:p>
          <w:p w14:paraId="44E594E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8E819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140E5A9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5B7344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122</w:t>
            </w:r>
          </w:p>
          <w:p w14:paraId="605DF35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88D3099" w14:textId="77777777" w:rsidTr="00CC5360">
        <w:trPr>
          <w:trHeight w:val="250"/>
        </w:trPr>
        <w:tc>
          <w:tcPr>
            <w:tcW w:w="1276" w:type="dxa"/>
            <w:tcBorders>
              <w:top w:val="single" w:sz="6" w:space="0" w:color="auto"/>
              <w:left w:val="single" w:sz="12" w:space="0" w:color="auto"/>
              <w:bottom w:val="single" w:sz="6" w:space="0" w:color="auto"/>
              <w:right w:val="single" w:sz="6" w:space="0" w:color="auto"/>
            </w:tcBorders>
          </w:tcPr>
          <w:p w14:paraId="471354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B9A0E2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01D7EA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w:t>
            </w:r>
            <w:r w:rsidRPr="00722885">
              <w:rPr>
                <w:rFonts w:ascii="Times New Roman" w:hAnsi="Times New Roman"/>
                <w:color w:val="000000" w:themeColor="text1"/>
                <w:sz w:val="16"/>
                <w:szCs w:val="16"/>
                <w:lang w:val="en-US"/>
              </w:rPr>
              <w:t>D</w:t>
            </w:r>
            <w:r w:rsidRPr="00722885">
              <w:rPr>
                <w:rFonts w:ascii="Times New Roman" w:hAnsi="Times New Roman"/>
                <w:color w:val="000000" w:themeColor="text1"/>
                <w:sz w:val="16"/>
                <w:szCs w:val="16"/>
              </w:rPr>
              <w:t>-250</w:t>
            </w:r>
          </w:p>
          <w:p w14:paraId="3690A5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6171D8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2Т1-4</w:t>
            </w:r>
          </w:p>
          <w:p w14:paraId="1FD5DD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6A8C31F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248</w:t>
            </w:r>
          </w:p>
          <w:p w14:paraId="1F6609A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295615D0" w14:textId="77777777" w:rsidTr="00CC5360">
        <w:trPr>
          <w:trHeight w:val="269"/>
        </w:trPr>
        <w:tc>
          <w:tcPr>
            <w:tcW w:w="1276" w:type="dxa"/>
            <w:tcBorders>
              <w:top w:val="single" w:sz="6" w:space="0" w:color="auto"/>
              <w:left w:val="single" w:sz="12" w:space="0" w:color="auto"/>
              <w:bottom w:val="single" w:sz="6" w:space="0" w:color="auto"/>
              <w:right w:val="single" w:sz="6" w:space="0" w:color="auto"/>
            </w:tcBorders>
          </w:tcPr>
          <w:p w14:paraId="4B8E2AC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Виктория</w:t>
            </w:r>
          </w:p>
          <w:p w14:paraId="280B31C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5080E52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Fix</w:t>
            </w:r>
            <w:r w:rsidRPr="00722885">
              <w:rPr>
                <w:rFonts w:ascii="Times New Roman" w:hAnsi="Times New Roman"/>
                <w:color w:val="000000" w:themeColor="text1"/>
                <w:sz w:val="16"/>
                <w:szCs w:val="16"/>
              </w:rPr>
              <w:t xml:space="preserve"> V-99N</w:t>
            </w:r>
          </w:p>
          <w:p w14:paraId="7BE3BE7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0DD48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0C9E68F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42D178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p w14:paraId="40EB98E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03D29FF5" w14:textId="77777777" w:rsidTr="00CC5360">
        <w:trPr>
          <w:trHeight w:val="221"/>
        </w:trPr>
        <w:tc>
          <w:tcPr>
            <w:tcW w:w="1276" w:type="dxa"/>
            <w:tcBorders>
              <w:top w:val="single" w:sz="6" w:space="0" w:color="auto"/>
              <w:left w:val="single" w:sz="12" w:space="0" w:color="auto"/>
              <w:bottom w:val="single" w:sz="6" w:space="0" w:color="auto"/>
              <w:right w:val="single" w:sz="6" w:space="0" w:color="auto"/>
            </w:tcBorders>
          </w:tcPr>
          <w:p w14:paraId="668F87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B3B254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711EE8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-10КА</w:t>
            </w:r>
          </w:p>
          <w:p w14:paraId="25F9AEA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AE1A2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102F249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7B9A77A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100</w:t>
            </w:r>
          </w:p>
          <w:p w14:paraId="6FED75F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B643899" w14:textId="77777777" w:rsidTr="00CC5360">
        <w:trPr>
          <w:trHeight w:val="384"/>
        </w:trPr>
        <w:tc>
          <w:tcPr>
            <w:tcW w:w="1276" w:type="dxa"/>
            <w:tcBorders>
              <w:top w:val="single" w:sz="6" w:space="0" w:color="auto"/>
              <w:left w:val="single" w:sz="12" w:space="0" w:color="auto"/>
              <w:bottom w:val="single" w:sz="6" w:space="0" w:color="auto"/>
              <w:right w:val="single" w:sz="6" w:space="0" w:color="auto"/>
            </w:tcBorders>
          </w:tcPr>
          <w:p w14:paraId="424F21C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0D02D8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D6F8A8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-12МА</w:t>
            </w:r>
          </w:p>
          <w:p w14:paraId="3B21577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248F8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5AA1E83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0570B4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123</w:t>
            </w:r>
          </w:p>
          <w:p w14:paraId="7657A50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FB9CE69" w14:textId="77777777" w:rsidTr="00CC5360">
        <w:trPr>
          <w:gridAfter w:val="1"/>
          <w:wAfter w:w="12" w:type="dxa"/>
          <w:trHeight w:val="336"/>
        </w:trPr>
        <w:tc>
          <w:tcPr>
            <w:tcW w:w="1276" w:type="dxa"/>
            <w:tcBorders>
              <w:top w:val="single" w:sz="6" w:space="0" w:color="auto"/>
              <w:left w:val="single" w:sz="12" w:space="0" w:color="auto"/>
              <w:bottom w:val="single" w:sz="6" w:space="0" w:color="auto"/>
              <w:right w:val="single" w:sz="6" w:space="0" w:color="auto"/>
            </w:tcBorders>
          </w:tcPr>
          <w:p w14:paraId="6EDBFAB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Виктория</w:t>
            </w:r>
          </w:p>
          <w:p w14:paraId="082DC34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5EA9463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-15</w:t>
            </w:r>
            <w:r w:rsidRPr="00722885">
              <w:rPr>
                <w:rFonts w:ascii="Times New Roman" w:hAnsi="Times New Roman"/>
                <w:color w:val="000000" w:themeColor="text1"/>
                <w:sz w:val="16"/>
                <w:szCs w:val="16"/>
                <w:lang w:val="en-US"/>
              </w:rPr>
              <w:t>N</w:t>
            </w:r>
            <w:r w:rsidRPr="00722885">
              <w:rPr>
                <w:rFonts w:ascii="Times New Roman" w:hAnsi="Times New Roman"/>
                <w:color w:val="000000" w:themeColor="text1"/>
                <w:sz w:val="16"/>
                <w:szCs w:val="16"/>
              </w:rPr>
              <w:t>А</w:t>
            </w:r>
          </w:p>
          <w:p w14:paraId="1EF8B5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522F1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59E44BD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263E0E1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149</w:t>
            </w:r>
          </w:p>
          <w:p w14:paraId="35B018F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61AD0566" w14:textId="77777777" w:rsidTr="00CC5360">
        <w:trPr>
          <w:gridAfter w:val="1"/>
          <w:wAfter w:w="12" w:type="dxa"/>
          <w:trHeight w:val="202"/>
        </w:trPr>
        <w:tc>
          <w:tcPr>
            <w:tcW w:w="1276" w:type="dxa"/>
            <w:tcBorders>
              <w:top w:val="single" w:sz="6" w:space="0" w:color="auto"/>
              <w:left w:val="single" w:sz="12" w:space="0" w:color="auto"/>
              <w:bottom w:val="single" w:sz="6" w:space="0" w:color="auto"/>
              <w:right w:val="single" w:sz="6" w:space="0" w:color="auto"/>
            </w:tcBorders>
          </w:tcPr>
          <w:p w14:paraId="56306B7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A97552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AA97C8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Lux</w:t>
            </w:r>
            <w:r w:rsidRPr="00722885">
              <w:rPr>
                <w:rFonts w:ascii="Times New Roman" w:hAnsi="Times New Roman"/>
                <w:color w:val="000000" w:themeColor="text1"/>
                <w:sz w:val="16"/>
                <w:szCs w:val="16"/>
              </w:rPr>
              <w:t xml:space="preserve"> К</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-20ЕМ</w:t>
            </w:r>
          </w:p>
          <w:p w14:paraId="131A061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68F7D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1DF928F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7AA512C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198</w:t>
            </w:r>
          </w:p>
          <w:p w14:paraId="29CE129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7367B96" w14:textId="77777777" w:rsidTr="00CC5360">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45B4F74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A7EC40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C33B9C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Аего КК-255</w:t>
            </w:r>
          </w:p>
          <w:p w14:paraId="676A003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966B5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2Т1-4</w:t>
            </w:r>
          </w:p>
          <w:p w14:paraId="6DA08EA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438E1A7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247</w:t>
            </w:r>
          </w:p>
          <w:p w14:paraId="3D99900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A9DD553" w14:textId="77777777" w:rsidTr="00CC5360">
        <w:trPr>
          <w:gridAfter w:val="1"/>
          <w:wAfter w:w="12" w:type="dxa"/>
          <w:trHeight w:val="250"/>
        </w:trPr>
        <w:tc>
          <w:tcPr>
            <w:tcW w:w="1276" w:type="dxa"/>
            <w:tcBorders>
              <w:top w:val="single" w:sz="6" w:space="0" w:color="auto"/>
              <w:left w:val="single" w:sz="12" w:space="0" w:color="auto"/>
              <w:bottom w:val="single" w:sz="6" w:space="0" w:color="auto"/>
              <w:right w:val="single" w:sz="6" w:space="0" w:color="auto"/>
            </w:tcBorders>
          </w:tcPr>
          <w:p w14:paraId="103001B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1CBD686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95AD20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Pionier</w:t>
            </w:r>
            <w:r w:rsidRPr="00722885">
              <w:rPr>
                <w:rFonts w:ascii="Times New Roman" w:hAnsi="Times New Roman"/>
                <w:color w:val="000000" w:themeColor="text1"/>
                <w:sz w:val="16"/>
                <w:szCs w:val="16"/>
              </w:rPr>
              <w:t xml:space="preserve"> К</w:t>
            </w:r>
            <w:r w:rsidRPr="00722885">
              <w:rPr>
                <w:rFonts w:ascii="Times New Roman" w:hAnsi="Times New Roman"/>
                <w:color w:val="000000" w:themeColor="text1"/>
                <w:sz w:val="16"/>
                <w:szCs w:val="16"/>
                <w:lang w:val="en-US"/>
              </w:rPr>
              <w:t>R</w:t>
            </w:r>
            <w:r w:rsidRPr="00722885">
              <w:rPr>
                <w:rFonts w:ascii="Times New Roman" w:hAnsi="Times New Roman"/>
                <w:color w:val="000000" w:themeColor="text1"/>
                <w:sz w:val="16"/>
                <w:szCs w:val="16"/>
              </w:rPr>
              <w:t>-35</w:t>
            </w:r>
            <w:r w:rsidRPr="00722885">
              <w:rPr>
                <w:rFonts w:ascii="Times New Roman" w:hAnsi="Times New Roman"/>
                <w:color w:val="000000" w:themeColor="text1"/>
                <w:sz w:val="16"/>
                <w:szCs w:val="16"/>
                <w:lang w:val="en-US"/>
              </w:rPr>
              <w:t>SN</w:t>
            </w:r>
          </w:p>
          <w:p w14:paraId="1C37CFC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42BB7F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4Т1-4</w:t>
            </w:r>
          </w:p>
          <w:p w14:paraId="3C3DB6C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2698E82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342</w:t>
            </w:r>
          </w:p>
          <w:p w14:paraId="530ED21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DC49199" w14:textId="77777777" w:rsidTr="00CC5360">
        <w:trPr>
          <w:gridAfter w:val="1"/>
          <w:wAfter w:w="12" w:type="dxa"/>
          <w:trHeight w:val="269"/>
        </w:trPr>
        <w:tc>
          <w:tcPr>
            <w:tcW w:w="1276" w:type="dxa"/>
            <w:tcBorders>
              <w:top w:val="single" w:sz="6" w:space="0" w:color="auto"/>
              <w:left w:val="single" w:sz="12" w:space="0" w:color="auto"/>
              <w:bottom w:val="single" w:sz="6" w:space="0" w:color="auto"/>
              <w:right w:val="single" w:sz="6" w:space="0" w:color="auto"/>
            </w:tcBorders>
          </w:tcPr>
          <w:p w14:paraId="140DDAB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Цюндапп</w:t>
            </w:r>
          </w:p>
          <w:p w14:paraId="728CB19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A84D0A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D</w:t>
            </w:r>
            <w:r w:rsidRPr="00722885">
              <w:rPr>
                <w:rFonts w:ascii="Times New Roman" w:hAnsi="Times New Roman"/>
                <w:color w:val="000000" w:themeColor="text1"/>
                <w:sz w:val="16"/>
                <w:szCs w:val="16"/>
              </w:rPr>
              <w:t>В-200</w:t>
            </w:r>
          </w:p>
          <w:p w14:paraId="744593D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C46BFD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313B197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434D9D9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198</w:t>
            </w:r>
          </w:p>
          <w:p w14:paraId="13A360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E5EFD42" w14:textId="77777777" w:rsidTr="00CC5360">
        <w:trPr>
          <w:gridAfter w:val="1"/>
          <w:wAfter w:w="12" w:type="dxa"/>
          <w:trHeight w:val="211"/>
        </w:trPr>
        <w:tc>
          <w:tcPr>
            <w:tcW w:w="1276" w:type="dxa"/>
            <w:tcBorders>
              <w:top w:val="single" w:sz="6" w:space="0" w:color="auto"/>
              <w:left w:val="single" w:sz="12" w:space="0" w:color="auto"/>
              <w:bottom w:val="single" w:sz="6" w:space="0" w:color="auto"/>
              <w:right w:val="single" w:sz="6" w:space="0" w:color="auto"/>
            </w:tcBorders>
          </w:tcPr>
          <w:p w14:paraId="79129C9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A0DDFA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14A47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D</w:t>
            </w:r>
            <w:r w:rsidRPr="00722885">
              <w:rPr>
                <w:rFonts w:ascii="Times New Roman" w:hAnsi="Times New Roman"/>
                <w:color w:val="000000" w:themeColor="text1"/>
                <w:sz w:val="16"/>
                <w:szCs w:val="16"/>
              </w:rPr>
              <w:t>ВК-250</w:t>
            </w:r>
          </w:p>
          <w:p w14:paraId="7993182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B1276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2Т1-3</w:t>
            </w:r>
          </w:p>
          <w:p w14:paraId="2E624A7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0BD073B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247</w:t>
            </w:r>
          </w:p>
          <w:p w14:paraId="56F48A0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57C6F04" w14:textId="77777777" w:rsidTr="00CC5360">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1D26D65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75F8DFA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7A9F28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lang w:val="en-US"/>
              </w:rPr>
              <w:t>DS</w:t>
            </w:r>
            <w:r w:rsidRPr="00722885">
              <w:rPr>
                <w:rFonts w:ascii="Times New Roman" w:hAnsi="Times New Roman"/>
                <w:color w:val="000000" w:themeColor="text1"/>
                <w:sz w:val="16"/>
                <w:szCs w:val="16"/>
              </w:rPr>
              <w:t>-350</w:t>
            </w:r>
          </w:p>
          <w:p w14:paraId="7DC9D02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242467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4Т1-4</w:t>
            </w:r>
          </w:p>
          <w:p w14:paraId="03966AB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3C88073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346</w:t>
            </w:r>
          </w:p>
          <w:p w14:paraId="498A30B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C38EA99" w14:textId="77777777" w:rsidTr="00CC5360">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21BBDAA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EC0D9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76E1F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К-500</w:t>
            </w:r>
          </w:p>
          <w:p w14:paraId="26A8EA3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2E334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4Т2-4</w:t>
            </w:r>
          </w:p>
          <w:p w14:paraId="3C72B2F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17497F9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496</w:t>
            </w:r>
          </w:p>
          <w:p w14:paraId="79B051A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D0449CA" w14:textId="77777777" w:rsidTr="00CC5360">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2E8CF0A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FFA423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ECB0D3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w:t>
            </w:r>
            <w:r w:rsidRPr="00722885">
              <w:rPr>
                <w:rFonts w:ascii="Times New Roman" w:hAnsi="Times New Roman"/>
                <w:color w:val="000000" w:themeColor="text1"/>
                <w:sz w:val="16"/>
                <w:szCs w:val="16"/>
                <w:lang w:val="en-US"/>
              </w:rPr>
              <w:t>S</w:t>
            </w:r>
            <w:r w:rsidRPr="00722885">
              <w:rPr>
                <w:rFonts w:ascii="Times New Roman" w:hAnsi="Times New Roman"/>
                <w:color w:val="000000" w:themeColor="text1"/>
                <w:sz w:val="16"/>
                <w:szCs w:val="16"/>
              </w:rPr>
              <w:t>-600</w:t>
            </w:r>
          </w:p>
          <w:p w14:paraId="7EC81EF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E5A19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4Т2-4</w:t>
            </w:r>
          </w:p>
          <w:p w14:paraId="41873C0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7C17F1C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597</w:t>
            </w:r>
          </w:p>
          <w:p w14:paraId="3DA423F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8786D94" w14:textId="77777777" w:rsidTr="00CC5360">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088FB7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C8A2EA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C2B881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w:t>
            </w:r>
            <w:r w:rsidRPr="00722885">
              <w:rPr>
                <w:rFonts w:ascii="Times New Roman" w:hAnsi="Times New Roman"/>
                <w:color w:val="000000" w:themeColor="text1"/>
                <w:sz w:val="16"/>
                <w:szCs w:val="16"/>
                <w:lang w:val="en-US"/>
              </w:rPr>
              <w:t>S</w:t>
            </w:r>
            <w:r w:rsidRPr="00722885">
              <w:rPr>
                <w:rFonts w:ascii="Times New Roman" w:hAnsi="Times New Roman"/>
                <w:color w:val="000000" w:themeColor="text1"/>
                <w:sz w:val="16"/>
                <w:szCs w:val="16"/>
              </w:rPr>
              <w:t>-700</w:t>
            </w:r>
          </w:p>
          <w:p w14:paraId="1D10BDA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47E38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4Т2-5</w:t>
            </w:r>
          </w:p>
          <w:p w14:paraId="2EF110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710D4A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746</w:t>
            </w:r>
          </w:p>
          <w:p w14:paraId="25E18A0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382656AC" w14:textId="77777777" w:rsidTr="00CC5360">
        <w:trPr>
          <w:gridAfter w:val="1"/>
          <w:wAfter w:w="12" w:type="dxa"/>
          <w:trHeight w:val="240"/>
        </w:trPr>
        <w:tc>
          <w:tcPr>
            <w:tcW w:w="1276" w:type="dxa"/>
            <w:tcBorders>
              <w:top w:val="single" w:sz="6" w:space="0" w:color="auto"/>
              <w:left w:val="single" w:sz="12" w:space="0" w:color="auto"/>
              <w:bottom w:val="single" w:sz="12" w:space="0" w:color="auto"/>
              <w:right w:val="single" w:sz="6" w:space="0" w:color="auto"/>
            </w:tcBorders>
          </w:tcPr>
          <w:p w14:paraId="1F10B47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EE7E9B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12" w:space="0" w:color="auto"/>
              <w:right w:val="single" w:sz="6" w:space="0" w:color="auto"/>
            </w:tcBorders>
          </w:tcPr>
          <w:p w14:paraId="01FDB29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К-800</w:t>
            </w:r>
          </w:p>
          <w:p w14:paraId="7CB97C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12" w:space="0" w:color="auto"/>
              <w:right w:val="single" w:sz="6" w:space="0" w:color="auto"/>
            </w:tcBorders>
          </w:tcPr>
          <w:p w14:paraId="72E4BB0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4Т2-4</w:t>
            </w:r>
          </w:p>
          <w:p w14:paraId="4BE7D1C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12" w:space="0" w:color="auto"/>
              <w:right w:val="single" w:sz="12" w:space="0" w:color="auto"/>
            </w:tcBorders>
          </w:tcPr>
          <w:p w14:paraId="1767E88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804</w:t>
            </w:r>
          </w:p>
          <w:p w14:paraId="085175F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bl>
    <w:p w14:paraId="31D7E03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Примечание. Цифры в графе «Тип» означают число тактов, количество цилиндров в двигателе и передач в КП.</w:t>
      </w:r>
    </w:p>
    <w:p w14:paraId="41C0C4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вышеприведенной таблице отражены разнообразные типы мотоциклов в германской армии: от микролитражных без КП, фирмы </w:t>
      </w:r>
      <w:r w:rsidRPr="00722885">
        <w:rPr>
          <w:rFonts w:ascii="Times New Roman" w:hAnsi="Times New Roman"/>
          <w:color w:val="000000" w:themeColor="text1"/>
          <w:sz w:val="16"/>
          <w:szCs w:val="16"/>
          <w:lang w:val="en-US"/>
        </w:rPr>
        <w:t>Stiriette</w:t>
      </w:r>
      <w:r w:rsidRPr="00722885">
        <w:rPr>
          <w:rFonts w:ascii="Times New Roman" w:hAnsi="Times New Roman"/>
          <w:color w:val="000000" w:themeColor="text1"/>
          <w:sz w:val="16"/>
          <w:szCs w:val="16"/>
        </w:rPr>
        <w:t xml:space="preserve">, до тяжёлых - </w:t>
      </w:r>
      <w:r w:rsidRPr="00722885">
        <w:rPr>
          <w:rFonts w:ascii="Times New Roman" w:hAnsi="Times New Roman"/>
          <w:color w:val="000000" w:themeColor="text1"/>
          <w:sz w:val="16"/>
          <w:szCs w:val="16"/>
          <w:lang w:val="en-US"/>
        </w:rPr>
        <w:t>Zundapp</w:t>
      </w:r>
      <w:r w:rsidRPr="00722885">
        <w:rPr>
          <w:rFonts w:ascii="Times New Roman" w:hAnsi="Times New Roman"/>
          <w:color w:val="000000" w:themeColor="text1"/>
          <w:sz w:val="16"/>
          <w:szCs w:val="16"/>
        </w:rPr>
        <w:t xml:space="preserve"> с задним ходом. В силу этого поступавшую трофейную мототехнику разделили на клас</w:t>
      </w:r>
      <w:r w:rsidRPr="00722885">
        <w:rPr>
          <w:rFonts w:ascii="Times New Roman" w:hAnsi="Times New Roman"/>
          <w:color w:val="000000" w:themeColor="text1"/>
          <w:sz w:val="16"/>
          <w:szCs w:val="16"/>
        </w:rPr>
        <w:softHyphen/>
        <w:t>сы, чтобы ремонтировать на специализированных заводах. Ис</w:t>
      </w:r>
      <w:r w:rsidRPr="00722885">
        <w:rPr>
          <w:rFonts w:ascii="Times New Roman" w:hAnsi="Times New Roman"/>
          <w:color w:val="000000" w:themeColor="text1"/>
          <w:sz w:val="16"/>
          <w:szCs w:val="16"/>
        </w:rPr>
        <w:softHyphen/>
        <w:t>полнение этого замысла отражено в приказе № 51/м Главмотове-лопрома от 31 августа 1942 г. На ММЗ сосредоточили ремонт тя</w:t>
      </w:r>
      <w:r w:rsidRPr="00722885">
        <w:rPr>
          <w:rFonts w:ascii="Times New Roman" w:hAnsi="Times New Roman"/>
          <w:color w:val="000000" w:themeColor="text1"/>
          <w:sz w:val="16"/>
          <w:szCs w:val="16"/>
        </w:rPr>
        <w:softHyphen/>
        <w:t>жёлых четырёхтактных мотоциклов фирм БМВ и «Цюндапп» всех марок, а на СМЗ - двухтактных машин, сделанных на фир</w:t>
      </w:r>
      <w:r w:rsidRPr="00722885">
        <w:rPr>
          <w:rFonts w:ascii="Times New Roman" w:hAnsi="Times New Roman"/>
          <w:color w:val="000000" w:themeColor="text1"/>
          <w:sz w:val="16"/>
          <w:szCs w:val="16"/>
        </w:rPr>
        <w:softHyphen/>
        <w:t>мах Триумф, Пух, Терро, Цюндапп и др. Мотоциклы фирм ДКВ и НСУ ремонтировали на этих заводах, также как и остальные машины неназванных фирм, но при наличии ремкомплектов. Мотоциклы, не обеспеченные ремкомплектом, передавали на от</w:t>
      </w:r>
      <w:r w:rsidRPr="00722885">
        <w:rPr>
          <w:rFonts w:ascii="Times New Roman" w:hAnsi="Times New Roman"/>
          <w:color w:val="000000" w:themeColor="text1"/>
          <w:sz w:val="16"/>
          <w:szCs w:val="16"/>
        </w:rPr>
        <w:softHyphen/>
      </w:r>
      <w:r w:rsidRPr="00722885">
        <w:rPr>
          <w:rFonts w:ascii="Times New Roman" w:hAnsi="Times New Roman"/>
          <w:color w:val="000000" w:themeColor="text1"/>
          <w:sz w:val="16"/>
          <w:szCs w:val="16"/>
        </w:rPr>
        <w:lastRenderedPageBreak/>
        <w:t>ветственное хранение на тех же заводах [5.52]. Изготовление рем-комплектов, как и отдельных деталей для трофейных мотоцик</w:t>
      </w:r>
      <w:r w:rsidRPr="00722885">
        <w:rPr>
          <w:rFonts w:ascii="Times New Roman" w:hAnsi="Times New Roman"/>
          <w:color w:val="000000" w:themeColor="text1"/>
          <w:sz w:val="16"/>
          <w:szCs w:val="16"/>
        </w:rPr>
        <w:softHyphen/>
        <w:t>лов, распределили по различным предприятиям Главмотовело-прома, производственные мощности которых были ограничены, что сдерживало изготовление необходимых запчастей в требуе</w:t>
      </w:r>
      <w:r w:rsidRPr="00722885">
        <w:rPr>
          <w:rFonts w:ascii="Times New Roman" w:hAnsi="Times New Roman"/>
          <w:color w:val="000000" w:themeColor="text1"/>
          <w:sz w:val="16"/>
          <w:szCs w:val="16"/>
        </w:rPr>
        <w:softHyphen/>
        <w:t>мых объемах и плохо влияло на ремонт трофейных мотоциклов. При месячном плане на ММЗ в 150 мотоциклов, в апреле 1942 г. удалось отремонтировать только 96 мотоциклов, а в мае - НО [5.53]. Количество отремонтированных в 1942 г. на ММЗ и СМЗ трофейных мотоциклов и переданных в ГБТУ приведено в табл. 20 [5.54].</w:t>
      </w:r>
    </w:p>
    <w:p w14:paraId="1B42BA5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20</w:t>
      </w:r>
    </w:p>
    <w:p w14:paraId="69F2404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Объемы отремонтированных трофейных мотоциклов, 1942 г.</w:t>
      </w:r>
    </w:p>
    <w:tbl>
      <w:tblPr>
        <w:tblW w:w="0" w:type="auto"/>
        <w:tblInd w:w="40" w:type="dxa"/>
        <w:tblLayout w:type="fixed"/>
        <w:tblCellMar>
          <w:left w:w="40" w:type="dxa"/>
          <w:right w:w="40" w:type="dxa"/>
        </w:tblCellMar>
        <w:tblLook w:val="0000" w:firstRow="0" w:lastRow="0" w:firstColumn="0" w:lastColumn="0" w:noHBand="0" w:noVBand="0"/>
      </w:tblPr>
      <w:tblGrid>
        <w:gridCol w:w="970"/>
        <w:gridCol w:w="950"/>
        <w:gridCol w:w="720"/>
        <w:gridCol w:w="739"/>
      </w:tblGrid>
      <w:tr w:rsidR="009B487A" w:rsidRPr="00722885" w14:paraId="6081F508" w14:textId="77777777" w:rsidTr="00CC5360">
        <w:trPr>
          <w:trHeight w:val="394"/>
        </w:trPr>
        <w:tc>
          <w:tcPr>
            <w:tcW w:w="970" w:type="dxa"/>
            <w:tcBorders>
              <w:top w:val="single" w:sz="6" w:space="0" w:color="auto"/>
              <w:left w:val="single" w:sz="6" w:space="0" w:color="auto"/>
              <w:bottom w:val="nil"/>
              <w:right w:val="single" w:sz="6" w:space="0" w:color="auto"/>
            </w:tcBorders>
          </w:tcPr>
          <w:p w14:paraId="0D993DB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4AE0448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18B0F23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5748EA4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459" w:type="dxa"/>
            <w:gridSpan w:val="2"/>
            <w:tcBorders>
              <w:top w:val="single" w:sz="6" w:space="0" w:color="auto"/>
              <w:left w:val="single" w:sz="6" w:space="0" w:color="auto"/>
              <w:bottom w:val="single" w:sz="6" w:space="0" w:color="auto"/>
              <w:right w:val="single" w:sz="6" w:space="0" w:color="auto"/>
            </w:tcBorders>
          </w:tcPr>
          <w:p w14:paraId="23510F9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Факт</w:t>
            </w:r>
          </w:p>
          <w:p w14:paraId="77CF231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57C5CA03" w14:textId="77777777" w:rsidTr="00CC5360">
        <w:trPr>
          <w:trHeight w:val="355"/>
        </w:trPr>
        <w:tc>
          <w:tcPr>
            <w:tcW w:w="970" w:type="dxa"/>
            <w:tcBorders>
              <w:top w:val="nil"/>
              <w:left w:val="single" w:sz="6" w:space="0" w:color="auto"/>
              <w:bottom w:val="single" w:sz="6" w:space="0" w:color="auto"/>
              <w:right w:val="single" w:sz="6" w:space="0" w:color="auto"/>
            </w:tcBorders>
          </w:tcPr>
          <w:p w14:paraId="74A21F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A9C8B8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32A1F93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AE167E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45CBF8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w:t>
            </w:r>
          </w:p>
          <w:p w14:paraId="752B412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76F631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w:t>
            </w:r>
          </w:p>
          <w:p w14:paraId="27392ED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E7C370C" w14:textId="77777777" w:rsidTr="00CC5360">
        <w:trPr>
          <w:trHeight w:val="326"/>
        </w:trPr>
        <w:tc>
          <w:tcPr>
            <w:tcW w:w="970" w:type="dxa"/>
            <w:tcBorders>
              <w:top w:val="single" w:sz="6" w:space="0" w:color="auto"/>
              <w:left w:val="single" w:sz="6" w:space="0" w:color="auto"/>
              <w:bottom w:val="nil"/>
              <w:right w:val="single" w:sz="6" w:space="0" w:color="auto"/>
            </w:tcBorders>
          </w:tcPr>
          <w:p w14:paraId="59E3B6D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ММЗ</w:t>
            </w:r>
          </w:p>
          <w:p w14:paraId="0FEB64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5478742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2000</w:t>
            </w:r>
          </w:p>
          <w:p w14:paraId="2C0CCBB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01F10E1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1131</w:t>
            </w:r>
          </w:p>
          <w:p w14:paraId="17B7636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nil"/>
              <w:right w:val="single" w:sz="6" w:space="0" w:color="auto"/>
            </w:tcBorders>
          </w:tcPr>
          <w:p w14:paraId="716E0DD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56,6</w:t>
            </w:r>
          </w:p>
          <w:p w14:paraId="2616A9C8"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41390B9" w14:textId="77777777" w:rsidTr="00CC5360">
        <w:trPr>
          <w:trHeight w:val="240"/>
        </w:trPr>
        <w:tc>
          <w:tcPr>
            <w:tcW w:w="970" w:type="dxa"/>
            <w:tcBorders>
              <w:top w:val="nil"/>
              <w:left w:val="single" w:sz="6" w:space="0" w:color="auto"/>
              <w:bottom w:val="nil"/>
              <w:right w:val="single" w:sz="6" w:space="0" w:color="auto"/>
            </w:tcBorders>
          </w:tcPr>
          <w:p w14:paraId="0E58959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СМЗ</w:t>
            </w:r>
          </w:p>
          <w:p w14:paraId="776F673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nil"/>
              <w:right w:val="single" w:sz="6" w:space="0" w:color="auto"/>
            </w:tcBorders>
          </w:tcPr>
          <w:p w14:paraId="07D8A7D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w:t>
            </w:r>
          </w:p>
          <w:p w14:paraId="1DACAA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040EC7E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272</w:t>
            </w:r>
          </w:p>
          <w:p w14:paraId="4616F68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nil"/>
              <w:right w:val="single" w:sz="6" w:space="0" w:color="auto"/>
            </w:tcBorders>
          </w:tcPr>
          <w:p w14:paraId="79FB7EB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90,6</w:t>
            </w:r>
          </w:p>
          <w:p w14:paraId="40381F3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547C2E1" w14:textId="77777777" w:rsidTr="00CC5360">
        <w:trPr>
          <w:trHeight w:val="384"/>
        </w:trPr>
        <w:tc>
          <w:tcPr>
            <w:tcW w:w="970" w:type="dxa"/>
            <w:tcBorders>
              <w:top w:val="nil"/>
              <w:left w:val="single" w:sz="6" w:space="0" w:color="auto"/>
              <w:bottom w:val="single" w:sz="6" w:space="0" w:color="auto"/>
              <w:right w:val="single" w:sz="6" w:space="0" w:color="auto"/>
            </w:tcBorders>
          </w:tcPr>
          <w:p w14:paraId="3DA3E51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p w14:paraId="5397B18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7D82D85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2300</w:t>
            </w:r>
          </w:p>
          <w:p w14:paraId="1FB2805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1DF1368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1403</w:t>
            </w:r>
          </w:p>
          <w:p w14:paraId="49C5E57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single" w:sz="6" w:space="0" w:color="auto"/>
              <w:right w:val="single" w:sz="6" w:space="0" w:color="auto"/>
            </w:tcBorders>
          </w:tcPr>
          <w:p w14:paraId="4800A27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61,0</w:t>
            </w:r>
          </w:p>
          <w:p w14:paraId="5B660E8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bl>
    <w:p w14:paraId="5D0C254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lang w:val="en-US"/>
        </w:rPr>
      </w:pPr>
      <w:r w:rsidRPr="00722885">
        <w:rPr>
          <w:rFonts w:ascii="Times New Roman" w:hAnsi="Times New Roman"/>
          <w:color w:val="000000" w:themeColor="text1"/>
          <w:sz w:val="16"/>
          <w:szCs w:val="16"/>
          <w:lang w:val="en-US"/>
        </w:rPr>
        <w:t>(11429)</w:t>
      </w:r>
      <w:r w:rsidRPr="00722885">
        <w:rPr>
          <w:rFonts w:ascii="Times New Roman" w:hAnsi="Times New Roman"/>
          <w:color w:val="000000" w:themeColor="text1"/>
          <w:sz w:val="16"/>
          <w:szCs w:val="16"/>
        </w:rPr>
        <w:t>.</w:t>
      </w:r>
    </w:p>
    <w:p w14:paraId="35FEF23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lang w:val="en-US"/>
        </w:rPr>
      </w:pPr>
    </w:p>
    <w:p w14:paraId="109F885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на военных складах №№ 511, 942, 2708 красноармейцы собрали 457 мотоциклов: 317 американских - модели Индиан 741-Б и 140 английских - фирмы «Велосет» [5.57]. Таким образом, ориентировочное суммарное количество мо</w:t>
      </w:r>
      <w:r w:rsidRPr="00722885">
        <w:rPr>
          <w:rFonts w:ascii="Times New Roman" w:hAnsi="Times New Roman"/>
          <w:color w:val="000000" w:themeColor="text1"/>
          <w:sz w:val="16"/>
          <w:szCs w:val="16"/>
        </w:rPr>
        <w:softHyphen/>
        <w:t>тоциклов, поступивших в Красную Армию за 1942 г. составило 7942 экземпляров (табл. 21). Отсюда следует, что более 50% мотоциклов в Красную Армию поставили не новых, а доставленных с полей сражений и отремон</w:t>
      </w:r>
      <w:r w:rsidRPr="00722885">
        <w:rPr>
          <w:rFonts w:ascii="Times New Roman" w:hAnsi="Times New Roman"/>
          <w:color w:val="000000" w:themeColor="text1"/>
          <w:sz w:val="16"/>
          <w:szCs w:val="16"/>
        </w:rPr>
        <w:softHyphen/>
        <w:t>тированных на заводах Москвы и Серпухова. В действительности доля таких боевых машин была ещё выше, поскольку часть тро</w:t>
      </w:r>
      <w:r w:rsidRPr="00722885">
        <w:rPr>
          <w:rFonts w:ascii="Times New Roman" w:hAnsi="Times New Roman"/>
          <w:color w:val="000000" w:themeColor="text1"/>
          <w:sz w:val="16"/>
          <w:szCs w:val="16"/>
        </w:rPr>
        <w:softHyphen/>
        <w:t>фейных мотоциклов приводили в порядок во фронтовых частях. Для более успешных боевых действий требовалось наращивать по</w:t>
      </w:r>
      <w:r w:rsidRPr="00722885">
        <w:rPr>
          <w:rFonts w:ascii="Times New Roman" w:hAnsi="Times New Roman"/>
          <w:color w:val="000000" w:themeColor="text1"/>
          <w:sz w:val="16"/>
          <w:szCs w:val="16"/>
        </w:rPr>
        <w:softHyphen/>
        <w:t>ставки мотоциклов в Красную Армию и увеличивать выпуск новой мототехники. Подводя итог изложенному материалу, следует отметить, что в 1942 г. удалось наладить выпуск мотоциклов на шести мотоци</w:t>
      </w:r>
      <w:r w:rsidRPr="00722885">
        <w:rPr>
          <w:rFonts w:ascii="Times New Roman" w:hAnsi="Times New Roman"/>
          <w:color w:val="000000" w:themeColor="text1"/>
          <w:sz w:val="16"/>
          <w:szCs w:val="16"/>
        </w:rPr>
        <w:softHyphen/>
        <w:t>клетных заводах. На трёх из них (ГМЗ, ИМЗ и ТМЗ) осуществля</w:t>
      </w:r>
      <w:r w:rsidRPr="00722885">
        <w:rPr>
          <w:rFonts w:ascii="Times New Roman" w:hAnsi="Times New Roman"/>
          <w:color w:val="000000" w:themeColor="text1"/>
          <w:sz w:val="16"/>
          <w:szCs w:val="16"/>
        </w:rPr>
        <w:softHyphen/>
        <w:t>ли выпуск новых отечественных мотоциклов, на БТРЗ № 20 - ре</w:t>
      </w:r>
      <w:r w:rsidRPr="00722885">
        <w:rPr>
          <w:rFonts w:ascii="Times New Roman" w:hAnsi="Times New Roman"/>
          <w:color w:val="000000" w:themeColor="text1"/>
          <w:sz w:val="16"/>
          <w:szCs w:val="16"/>
        </w:rPr>
        <w:softHyphen/>
        <w:t>монт отечественных мотоциклов, на ММЗ и СМЗ - ремонт тро</w:t>
      </w:r>
      <w:r w:rsidRPr="00722885">
        <w:rPr>
          <w:rFonts w:ascii="Times New Roman" w:hAnsi="Times New Roman"/>
          <w:color w:val="000000" w:themeColor="text1"/>
          <w:sz w:val="16"/>
          <w:szCs w:val="16"/>
        </w:rPr>
        <w:softHyphen/>
        <w:t>фейных мотоциклов, на трёх заводах - ММЗ, СМЗ и БТРЗ № 20 -сборку импортных мотоциклов, поставляемых союзниками по Ленд-лизу. При этом удалось заложить основы создания будущей научной базы по проектированию новых отечественных мотоци</w:t>
      </w:r>
      <w:r w:rsidRPr="00722885">
        <w:rPr>
          <w:rFonts w:ascii="Times New Roman" w:hAnsi="Times New Roman"/>
          <w:color w:val="000000" w:themeColor="text1"/>
          <w:sz w:val="16"/>
          <w:szCs w:val="16"/>
        </w:rPr>
        <w:softHyphen/>
        <w:t>клов, поскольку организовали ВКБ.</w:t>
      </w:r>
    </w:p>
    <w:p w14:paraId="533D5ED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Таблица 21 Сведения о мотоциклах, переданных Красной Армии, 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74"/>
        <w:gridCol w:w="1075"/>
        <w:gridCol w:w="1325"/>
        <w:gridCol w:w="1190"/>
        <w:gridCol w:w="1219"/>
      </w:tblGrid>
      <w:tr w:rsidR="009B487A" w:rsidRPr="00722885" w14:paraId="34A4E4E3" w14:textId="77777777" w:rsidTr="00CC5360">
        <w:trPr>
          <w:trHeight w:val="442"/>
        </w:trPr>
        <w:tc>
          <w:tcPr>
            <w:tcW w:w="2649" w:type="dxa"/>
            <w:gridSpan w:val="2"/>
            <w:tcBorders>
              <w:top w:val="single" w:sz="12" w:space="0" w:color="auto"/>
            </w:tcBorders>
          </w:tcPr>
          <w:p w14:paraId="746B7E7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Отечественные</w:t>
            </w:r>
          </w:p>
          <w:p w14:paraId="5AE0B0A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12" w:space="0" w:color="auto"/>
            </w:tcBorders>
          </w:tcPr>
          <w:p w14:paraId="78E6649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Трофейные</w:t>
            </w:r>
          </w:p>
          <w:p w14:paraId="39ACDD5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90" w:type="dxa"/>
            <w:tcBorders>
              <w:top w:val="single" w:sz="12" w:space="0" w:color="auto"/>
            </w:tcBorders>
          </w:tcPr>
          <w:p w14:paraId="37B4950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Ленд-лиз</w:t>
            </w:r>
          </w:p>
          <w:p w14:paraId="25C6AE8D"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12" w:space="0" w:color="auto"/>
            </w:tcBorders>
          </w:tcPr>
          <w:p w14:paraId="52230BBF"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Итого</w:t>
            </w:r>
          </w:p>
          <w:p w14:paraId="258684E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4EA4E94E" w14:textId="77777777" w:rsidTr="00CC5360">
        <w:trPr>
          <w:trHeight w:val="365"/>
        </w:trPr>
        <w:tc>
          <w:tcPr>
            <w:tcW w:w="1574" w:type="dxa"/>
          </w:tcPr>
          <w:p w14:paraId="34EDABF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ГЗМ, ИМЗ, ТМЗ</w:t>
            </w:r>
          </w:p>
          <w:p w14:paraId="1CE9D70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075" w:type="dxa"/>
          </w:tcPr>
          <w:p w14:paraId="51E9F96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БТРЗ № 20</w:t>
            </w:r>
          </w:p>
          <w:p w14:paraId="181205E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25" w:type="dxa"/>
          </w:tcPr>
          <w:p w14:paraId="0678C00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ММЗ, СМЗ</w:t>
            </w:r>
          </w:p>
          <w:p w14:paraId="616B182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90" w:type="dxa"/>
          </w:tcPr>
          <w:p w14:paraId="648B04B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Собранные на военскладах</w:t>
            </w:r>
          </w:p>
          <w:p w14:paraId="4441755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19" w:type="dxa"/>
          </w:tcPr>
          <w:p w14:paraId="1E3F6AAA"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1EBD05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7FB8418D" w14:textId="77777777" w:rsidTr="00CC5360">
        <w:trPr>
          <w:trHeight w:val="374"/>
        </w:trPr>
        <w:tc>
          <w:tcPr>
            <w:tcW w:w="1574" w:type="dxa"/>
          </w:tcPr>
          <w:p w14:paraId="279742A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Новые</w:t>
            </w:r>
          </w:p>
          <w:p w14:paraId="70E5186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2400" w:type="dxa"/>
            <w:gridSpan w:val="2"/>
          </w:tcPr>
          <w:p w14:paraId="1FE5D41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Отремонтированные</w:t>
            </w:r>
          </w:p>
          <w:p w14:paraId="4F05C0A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90" w:type="dxa"/>
          </w:tcPr>
          <w:p w14:paraId="2ABBD7A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034BE7A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19" w:type="dxa"/>
          </w:tcPr>
          <w:p w14:paraId="1201981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6233FE8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r w:rsidR="009B487A" w:rsidRPr="00722885" w14:paraId="15DEACF2" w14:textId="77777777" w:rsidTr="00CC5360">
        <w:trPr>
          <w:trHeight w:val="720"/>
        </w:trPr>
        <w:tc>
          <w:tcPr>
            <w:tcW w:w="1574" w:type="dxa"/>
            <w:tcBorders>
              <w:bottom w:val="single" w:sz="12" w:space="0" w:color="auto"/>
            </w:tcBorders>
          </w:tcPr>
          <w:p w14:paraId="5AB7CD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3062 (~ 38,6%)</w:t>
            </w:r>
          </w:p>
          <w:p w14:paraId="5852F34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075" w:type="dxa"/>
            <w:tcBorders>
              <w:bottom w:val="single" w:sz="12" w:space="0" w:color="auto"/>
            </w:tcBorders>
          </w:tcPr>
          <w:p w14:paraId="014BAD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-3000</w:t>
            </w:r>
          </w:p>
          <w:p w14:paraId="4F4B147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37,8%)</w:t>
            </w:r>
          </w:p>
          <w:p w14:paraId="0E5DB9DC"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325" w:type="dxa"/>
            <w:tcBorders>
              <w:bottom w:val="single" w:sz="12" w:space="0" w:color="auto"/>
            </w:tcBorders>
          </w:tcPr>
          <w:p w14:paraId="3CAFDF93"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1423 (~ 17,8%)</w:t>
            </w:r>
          </w:p>
          <w:p w14:paraId="4220DC2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01AA7E2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457 (~ 5,8%)</w:t>
            </w:r>
          </w:p>
          <w:p w14:paraId="04B6DB5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c>
          <w:tcPr>
            <w:tcW w:w="1219" w:type="dxa"/>
            <w:tcBorders>
              <w:bottom w:val="single" w:sz="12" w:space="0" w:color="auto"/>
            </w:tcBorders>
          </w:tcPr>
          <w:p w14:paraId="760A4AE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-7942 (100%)</w:t>
            </w:r>
          </w:p>
          <w:p w14:paraId="03E8D276"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tc>
      </w:tr>
    </w:tbl>
    <w:p w14:paraId="1A9D7C9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(11429).</w:t>
      </w:r>
    </w:p>
    <w:p w14:paraId="26C22518"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115DAF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началось изготовление мотоциклетных колясок на ГАЗе, организованное в кузовном цехе № 1 на специально выделенном участке пролета № 4 [5.99], предназначалось для мотоциклов АМ-600, выпускае</w:t>
      </w:r>
      <w:r w:rsidRPr="00722885">
        <w:rPr>
          <w:rFonts w:ascii="Times New Roman" w:hAnsi="Times New Roman"/>
          <w:color w:val="000000" w:themeColor="text1"/>
          <w:sz w:val="16"/>
          <w:szCs w:val="16"/>
        </w:rPr>
        <w:softHyphen/>
        <w:t>мых на ТМЗ, М-72, выпускаемых на ИМЗ, ГМЗ, и восстанавли</w:t>
      </w:r>
      <w:r w:rsidRPr="00722885">
        <w:rPr>
          <w:rFonts w:ascii="Times New Roman" w:hAnsi="Times New Roman"/>
          <w:color w:val="000000" w:themeColor="text1"/>
          <w:sz w:val="16"/>
          <w:szCs w:val="16"/>
        </w:rPr>
        <w:softHyphen/>
        <w:t>ваемых на БТРЗ № 20, а также для собираемых из комплектов фирм «Индиан» и «Харлей-Дэвидсон». Мотоциклетная коляска для мотоцикла М-72 была довольно сложным устройством и со</w:t>
      </w:r>
      <w:r w:rsidRPr="00722885">
        <w:rPr>
          <w:rFonts w:ascii="Times New Roman" w:hAnsi="Times New Roman"/>
          <w:color w:val="000000" w:themeColor="text1"/>
          <w:sz w:val="16"/>
          <w:szCs w:val="16"/>
        </w:rPr>
        <w:softHyphen/>
        <w:t>стояла из 872 деталей [5.100], поэтому изготовлению и испыта</w:t>
      </w:r>
      <w:r w:rsidRPr="00722885">
        <w:rPr>
          <w:rFonts w:ascii="Times New Roman" w:hAnsi="Times New Roman"/>
          <w:color w:val="000000" w:themeColor="text1"/>
          <w:sz w:val="16"/>
          <w:szCs w:val="16"/>
        </w:rPr>
        <w:softHyphen/>
        <w:t>ниям колясок в составе мотоциклов уделялось большое внима</w:t>
      </w:r>
      <w:r w:rsidRPr="00722885">
        <w:rPr>
          <w:rFonts w:ascii="Times New Roman" w:hAnsi="Times New Roman"/>
          <w:color w:val="000000" w:themeColor="text1"/>
          <w:sz w:val="16"/>
          <w:szCs w:val="16"/>
        </w:rPr>
        <w:softHyphen/>
        <w:t>ние. И если испытания отечественного М-72 с коляской в Глав-мотовелопроме провели ещё в 1941 г. [5.12, 5.13], то американ</w:t>
      </w:r>
      <w:r w:rsidRPr="00722885">
        <w:rPr>
          <w:rFonts w:ascii="Times New Roman" w:hAnsi="Times New Roman"/>
          <w:color w:val="000000" w:themeColor="text1"/>
          <w:sz w:val="16"/>
          <w:szCs w:val="16"/>
        </w:rPr>
        <w:softHyphen/>
        <w:t>ских мотоциклов фирм «Индиан» и «Харлей-Дэвидсон» - уже во время Великой Отечественной войны, в соответствие с приказом № 85 НКСМ от 15 мая 1943 г. В состав государственной комис</w:t>
      </w:r>
      <w:r w:rsidRPr="00722885">
        <w:rPr>
          <w:rFonts w:ascii="Times New Roman" w:hAnsi="Times New Roman"/>
          <w:color w:val="000000" w:themeColor="text1"/>
          <w:sz w:val="16"/>
          <w:szCs w:val="16"/>
        </w:rPr>
        <w:softHyphen/>
        <w:t>сии по этим испытаниям включили главных конструкторов ММЗ - Михайлова и ВКБ - В.В. Рогожина [5.101]. После прове</w:t>
      </w:r>
      <w:r w:rsidRPr="00722885">
        <w:rPr>
          <w:rFonts w:ascii="Times New Roman" w:hAnsi="Times New Roman"/>
          <w:color w:val="000000" w:themeColor="text1"/>
          <w:sz w:val="16"/>
          <w:szCs w:val="16"/>
        </w:rPr>
        <w:softHyphen/>
        <w:t>денных испытаний, в соответствии с приказом № 94 НКСМ от 9 июля 1943 г. ввели улучшения конструкции мотоцикла М-72 и мотоциклетной коляски к нему. В ней усилили ось, кузов в угло вых соединениях, переднюю шпильку и кронштейн крепления к раме мотоцикла, толщину спиц колеса увеличили до 4 мм и пр. [5.102]. За период 1941-1945 гг. на ГАЗ изготовили более 35 тыс. колясок: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559"/>
        <w:gridCol w:w="1559"/>
      </w:tblGrid>
      <w:tr w:rsidR="009B487A" w:rsidRPr="00722885" w14:paraId="7A98AC38" w14:textId="77777777" w:rsidTr="00CC5360">
        <w:tc>
          <w:tcPr>
            <w:tcW w:w="1384" w:type="dxa"/>
            <w:tcBorders>
              <w:top w:val="single" w:sz="12" w:space="0" w:color="auto"/>
            </w:tcBorders>
            <w:shd w:val="clear" w:color="auto" w:fill="FFFFFF"/>
          </w:tcPr>
          <w:p w14:paraId="3E7D25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Год выпуска</w:t>
            </w:r>
          </w:p>
        </w:tc>
        <w:tc>
          <w:tcPr>
            <w:tcW w:w="1559" w:type="dxa"/>
            <w:tcBorders>
              <w:top w:val="single" w:sz="12" w:space="0" w:color="auto"/>
            </w:tcBorders>
            <w:shd w:val="clear" w:color="auto" w:fill="FFFFFF"/>
          </w:tcPr>
          <w:p w14:paraId="621439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Объем</w:t>
            </w:r>
          </w:p>
        </w:tc>
        <w:tc>
          <w:tcPr>
            <w:tcW w:w="1559" w:type="dxa"/>
            <w:tcBorders>
              <w:top w:val="single" w:sz="12" w:space="0" w:color="auto"/>
            </w:tcBorders>
            <w:shd w:val="clear" w:color="auto" w:fill="FFFFFF"/>
          </w:tcPr>
          <w:p w14:paraId="3CF7698A"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r w:rsidR="009B487A" w:rsidRPr="00722885" w14:paraId="55E94B71" w14:textId="77777777" w:rsidTr="00CC5360">
        <w:tc>
          <w:tcPr>
            <w:tcW w:w="1384" w:type="dxa"/>
            <w:shd w:val="clear" w:color="auto" w:fill="FFFFFF"/>
          </w:tcPr>
          <w:p w14:paraId="4E13DF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1941</w:t>
            </w:r>
          </w:p>
        </w:tc>
        <w:tc>
          <w:tcPr>
            <w:tcW w:w="1559" w:type="dxa"/>
            <w:shd w:val="clear" w:color="auto" w:fill="FFFFFF"/>
          </w:tcPr>
          <w:p w14:paraId="6B6F0E7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5346</w:t>
            </w:r>
          </w:p>
        </w:tc>
        <w:tc>
          <w:tcPr>
            <w:tcW w:w="1559" w:type="dxa"/>
            <w:shd w:val="clear" w:color="auto" w:fill="FFFFFF"/>
          </w:tcPr>
          <w:p w14:paraId="1E8B027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[5.21]</w:t>
            </w:r>
          </w:p>
        </w:tc>
      </w:tr>
      <w:tr w:rsidR="009B487A" w:rsidRPr="00722885" w14:paraId="3D3639A7" w14:textId="77777777" w:rsidTr="00CC5360">
        <w:tc>
          <w:tcPr>
            <w:tcW w:w="1384" w:type="dxa"/>
            <w:shd w:val="clear" w:color="auto" w:fill="FFFFFF"/>
          </w:tcPr>
          <w:p w14:paraId="720016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1942</w:t>
            </w:r>
          </w:p>
        </w:tc>
        <w:tc>
          <w:tcPr>
            <w:tcW w:w="1559" w:type="dxa"/>
            <w:shd w:val="clear" w:color="auto" w:fill="FFFFFF"/>
          </w:tcPr>
          <w:p w14:paraId="08608EC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1997</w:t>
            </w:r>
          </w:p>
        </w:tc>
        <w:tc>
          <w:tcPr>
            <w:tcW w:w="1559" w:type="dxa"/>
            <w:shd w:val="clear" w:color="auto" w:fill="FFFFFF"/>
          </w:tcPr>
          <w:p w14:paraId="7B531414"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[5.103]</w:t>
            </w:r>
          </w:p>
        </w:tc>
      </w:tr>
      <w:tr w:rsidR="009B487A" w:rsidRPr="00722885" w14:paraId="75787653" w14:textId="77777777" w:rsidTr="00CC5360">
        <w:tc>
          <w:tcPr>
            <w:tcW w:w="1384" w:type="dxa"/>
            <w:shd w:val="clear" w:color="auto" w:fill="FFFFFF"/>
          </w:tcPr>
          <w:p w14:paraId="644E95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1943</w:t>
            </w:r>
          </w:p>
        </w:tc>
        <w:tc>
          <w:tcPr>
            <w:tcW w:w="1559" w:type="dxa"/>
            <w:shd w:val="clear" w:color="auto" w:fill="FFFFFF"/>
          </w:tcPr>
          <w:p w14:paraId="35BEEE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8062</w:t>
            </w:r>
          </w:p>
        </w:tc>
        <w:tc>
          <w:tcPr>
            <w:tcW w:w="1559" w:type="dxa"/>
            <w:shd w:val="clear" w:color="auto" w:fill="FFFFFF"/>
          </w:tcPr>
          <w:p w14:paraId="78CD426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[5.103,5.104]</w:t>
            </w:r>
          </w:p>
        </w:tc>
      </w:tr>
      <w:tr w:rsidR="009B487A" w:rsidRPr="00722885" w14:paraId="298D456B" w14:textId="77777777" w:rsidTr="00CC5360">
        <w:tc>
          <w:tcPr>
            <w:tcW w:w="1384" w:type="dxa"/>
            <w:shd w:val="clear" w:color="auto" w:fill="FFFFFF"/>
          </w:tcPr>
          <w:p w14:paraId="29604E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1944</w:t>
            </w:r>
          </w:p>
        </w:tc>
        <w:tc>
          <w:tcPr>
            <w:tcW w:w="1559" w:type="dxa"/>
            <w:shd w:val="clear" w:color="auto" w:fill="FFFFFF"/>
          </w:tcPr>
          <w:p w14:paraId="6EAACAC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10736</w:t>
            </w:r>
          </w:p>
        </w:tc>
        <w:tc>
          <w:tcPr>
            <w:tcW w:w="1559" w:type="dxa"/>
            <w:shd w:val="clear" w:color="auto" w:fill="FFFFFF"/>
          </w:tcPr>
          <w:p w14:paraId="29332132"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[5.104,5.105]</w:t>
            </w:r>
          </w:p>
        </w:tc>
      </w:tr>
      <w:tr w:rsidR="009B487A" w:rsidRPr="00722885" w14:paraId="3FDB1EC3" w14:textId="77777777" w:rsidTr="00CC5360">
        <w:tc>
          <w:tcPr>
            <w:tcW w:w="1384" w:type="dxa"/>
            <w:shd w:val="clear" w:color="auto" w:fill="FFFFFF"/>
          </w:tcPr>
          <w:p w14:paraId="2BACF3F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1945</w:t>
            </w:r>
          </w:p>
        </w:tc>
        <w:tc>
          <w:tcPr>
            <w:tcW w:w="1559" w:type="dxa"/>
            <w:shd w:val="clear" w:color="auto" w:fill="FFFFFF"/>
          </w:tcPr>
          <w:p w14:paraId="2516FE6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9317</w:t>
            </w:r>
          </w:p>
        </w:tc>
        <w:tc>
          <w:tcPr>
            <w:tcW w:w="1559" w:type="dxa"/>
            <w:shd w:val="clear" w:color="auto" w:fill="FFFFFF"/>
          </w:tcPr>
          <w:p w14:paraId="7E2A827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[5.105]</w:t>
            </w:r>
          </w:p>
        </w:tc>
      </w:tr>
      <w:tr w:rsidR="009B487A" w:rsidRPr="00722885" w14:paraId="33D0AC4F" w14:textId="77777777" w:rsidTr="00CC5360">
        <w:tc>
          <w:tcPr>
            <w:tcW w:w="1384" w:type="dxa"/>
            <w:tcBorders>
              <w:bottom w:val="single" w:sz="12" w:space="0" w:color="auto"/>
            </w:tcBorders>
            <w:shd w:val="clear" w:color="auto" w:fill="FFFFFF"/>
          </w:tcPr>
          <w:p w14:paraId="543806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Всего</w:t>
            </w:r>
          </w:p>
        </w:tc>
        <w:tc>
          <w:tcPr>
            <w:tcW w:w="1559" w:type="dxa"/>
            <w:tcBorders>
              <w:bottom w:val="single" w:sz="12" w:space="0" w:color="auto"/>
            </w:tcBorders>
            <w:shd w:val="clear" w:color="auto" w:fill="FFFFFF"/>
          </w:tcPr>
          <w:p w14:paraId="045CE5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35 458</w:t>
            </w:r>
          </w:p>
        </w:tc>
        <w:tc>
          <w:tcPr>
            <w:tcW w:w="1559" w:type="dxa"/>
            <w:tcBorders>
              <w:bottom w:val="single" w:sz="12" w:space="0" w:color="auto"/>
            </w:tcBorders>
            <w:shd w:val="clear" w:color="auto" w:fill="FFFFFF"/>
          </w:tcPr>
          <w:p w14:paraId="7ACD5F5F" w14:textId="77777777" w:rsidR="00BB6316" w:rsidRPr="00722885" w:rsidRDefault="00BB6316" w:rsidP="00722885">
            <w:pPr>
              <w:spacing w:after="0" w:line="240" w:lineRule="auto"/>
              <w:jc w:val="both"/>
              <w:rPr>
                <w:rFonts w:ascii="Times New Roman" w:hAnsi="Times New Roman"/>
                <w:color w:val="000000" w:themeColor="text1"/>
                <w:sz w:val="16"/>
                <w:szCs w:val="16"/>
              </w:rPr>
            </w:pPr>
          </w:p>
        </w:tc>
      </w:tr>
    </w:tbl>
    <w:p w14:paraId="676F22A5"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Мотоциклетных колясок на ГАЗ сделали меньше, чем тре</w:t>
      </w:r>
      <w:r w:rsidRPr="00722885">
        <w:rPr>
          <w:rFonts w:ascii="Times New Roman" w:hAnsi="Times New Roman"/>
          <w:color w:val="000000" w:themeColor="text1"/>
          <w:sz w:val="16"/>
          <w:szCs w:val="16"/>
        </w:rPr>
        <w:softHyphen/>
        <w:t>бовалось, поэтому часть мотоциклов, поставляемых в Красную Армию, передавали без колясок. Дефицит мотоколясок ска</w:t>
      </w:r>
      <w:r w:rsidRPr="00722885">
        <w:rPr>
          <w:rFonts w:ascii="Times New Roman" w:hAnsi="Times New Roman"/>
          <w:color w:val="000000" w:themeColor="text1"/>
          <w:sz w:val="16"/>
          <w:szCs w:val="16"/>
        </w:rPr>
        <w:softHyphen/>
        <w:t>зался на количестве собранных импортных мотоциклов. На БТРЗ № 20 собрали столько мотоциклов фирмы «Харлей-Дэ-видсон», сколько мотоколясок удалось получить. Мотоколяски, изготавливаемые на ГАЗе и на ММЗ устанавливали на постав</w:t>
      </w:r>
      <w:r w:rsidRPr="00722885">
        <w:rPr>
          <w:rFonts w:ascii="Times New Roman" w:hAnsi="Times New Roman"/>
          <w:color w:val="000000" w:themeColor="text1"/>
          <w:sz w:val="16"/>
          <w:szCs w:val="16"/>
        </w:rPr>
        <w:softHyphen/>
        <w:t>ляемые в Красную Армию тяжелые мотоциклы: отечествен</w:t>
      </w:r>
      <w:r w:rsidRPr="00722885">
        <w:rPr>
          <w:rFonts w:ascii="Times New Roman" w:hAnsi="Times New Roman"/>
          <w:color w:val="000000" w:themeColor="text1"/>
          <w:sz w:val="16"/>
          <w:szCs w:val="16"/>
        </w:rPr>
        <w:softHyphen/>
        <w:t>ные - М-72, импортные - «Индиан» 741-Б и «Харлей-Дэвидсон», трофейные - БМВ Р-71 и др. Для каждого типа мотоцикла по</w:t>
      </w:r>
      <w:r w:rsidRPr="00722885">
        <w:rPr>
          <w:rFonts w:ascii="Times New Roman" w:hAnsi="Times New Roman"/>
          <w:color w:val="000000" w:themeColor="text1"/>
          <w:sz w:val="16"/>
          <w:szCs w:val="16"/>
        </w:rPr>
        <w:softHyphen/>
        <w:t>ставляли особое сцепное устройство, которое изготавливали на ММЗ по чертежам, разработанным конструкторами ВКБ г. Серпухов.</w:t>
      </w:r>
    </w:p>
    <w:p w14:paraId="2D910C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период 1930 - апрель 1945 г. в нашей стране произведено 114 734 мотоцикла, в числе которых отечественные и трофей</w:t>
      </w:r>
      <w:r w:rsidRPr="00722885">
        <w:rPr>
          <w:rFonts w:ascii="Times New Roman" w:hAnsi="Times New Roman"/>
          <w:color w:val="000000" w:themeColor="text1"/>
          <w:sz w:val="16"/>
          <w:szCs w:val="16"/>
        </w:rPr>
        <w:softHyphen/>
        <w:t>ные мотоциклы (табл. 29). Из которых 75 837 (66,1%) были но</w:t>
      </w:r>
      <w:r w:rsidRPr="00722885">
        <w:rPr>
          <w:rFonts w:ascii="Times New Roman" w:hAnsi="Times New Roman"/>
          <w:color w:val="000000" w:themeColor="text1"/>
          <w:sz w:val="16"/>
          <w:szCs w:val="16"/>
        </w:rPr>
        <w:softHyphen/>
        <w:t>выми отечественными мотоциклами, ориентировочно 10 000 (8,7%) - восстановленными из подобранных отечественных на полях сражений, 6372 (5,6%) - восстановленными трофейными, 22 525 (19,6%) - собранными из комплектов, полученным по Ленд-лизу (11429).</w:t>
      </w:r>
    </w:p>
    <w:p w14:paraId="30A7CDA9"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0898F8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был создан Завод № 498 НКЭП, Ордена Отечественной войны I степени московский завод «Старт», ОАО «Старт» /107066  г. Москва ул. Новорязанская, 31/7 тел. 267-52-04/. В соответствии с пост. ГКО № 3686сс от 4.07.1943 г. завод № 498 передан в ведение созданного ГУ РЛ промышленности НКЭП. 6.08.1944 г. вышло постановление ГКО № 6328 об обеспечении строительства радиолокационного завода № 498.</w:t>
      </w:r>
    </w:p>
    <w:p w14:paraId="285424A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Первое в стране предприятие, приступившее к производству полупроводниковых изделий. С 1967 г. начал специализироваться на выпуске оптоэлектроники, когда были изготовлены первые в стране светодиоды и излучающие диоды инфракрасного диапазона.</w:t>
      </w:r>
    </w:p>
    <w:p w14:paraId="3F0F09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Полупроводниковые технологии, разработанные на заводе, были переданы на другие заводы в Саранске, Орле, Новгороде, Новосибирске, Запорожье, в Польшу и ЧССР.</w:t>
      </w:r>
    </w:p>
    <w:p w14:paraId="3EDD6D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(2002 г.): мнемонические светоизлучающие диоды красного, желтого и зеленого цвета, двухцветные; индикаторы различного цвета для электронных табло, фотодиоды, фототранзисторы, оптопары, кремниевые полупроводниковые приборы (выпрямительные диоды и мосты, динисторы, тиристоры, симисторы); импульсные запускающие устройства для ламп уличного освещения.</w:t>
      </w:r>
    </w:p>
    <w:p w14:paraId="4FB840E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 2009 г. завод обанкрочен и ликвидирован, на его месте создан бизнес-центр «Старт».</w:t>
      </w:r>
    </w:p>
    <w:p w14:paraId="6A9DB9E6" w14:textId="77777777" w:rsidR="00F10FB4"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(1943-45 г.)- И.Л. Эристов.</w:t>
      </w:r>
      <w:r w:rsidRPr="00722885">
        <w:rPr>
          <w:rFonts w:ascii="Times New Roman" w:hAnsi="Times New Roman"/>
          <w:color w:val="000000" w:themeColor="text1"/>
          <w:sz w:val="16"/>
          <w:szCs w:val="16"/>
          <w:vertAlign w:val="superscript"/>
        </w:rPr>
        <w:t>130</w:t>
      </w:r>
      <w:r w:rsidRPr="00722885">
        <w:rPr>
          <w:rFonts w:ascii="Times New Roman" w:hAnsi="Times New Roman"/>
          <w:color w:val="000000" w:themeColor="text1"/>
          <w:sz w:val="16"/>
          <w:szCs w:val="16"/>
        </w:rPr>
        <w:t xml:space="preserve"> Гендиректор (2000 г.)- Ю.Н. Исаев, (2002 г.)- И.А. Шнайдер.</w:t>
      </w:r>
    </w:p>
    <w:p w14:paraId="3FF1954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ОКБ завода «Старт», А-1509</w:t>
      </w:r>
    </w:p>
    <w:p w14:paraId="31F9A8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Имело наименование «п/я А-1509» (19862).</w:t>
      </w:r>
    </w:p>
    <w:p w14:paraId="51C6F36A" w14:textId="77777777" w:rsidR="00F10FB4" w:rsidRPr="00722885" w:rsidRDefault="00F10FB4" w:rsidP="00722885">
      <w:pPr>
        <w:pStyle w:val="afff2"/>
        <w:jc w:val="both"/>
        <w:rPr>
          <w:i w:val="0"/>
          <w:iCs w:val="0"/>
          <w:color w:val="000000" w:themeColor="text1"/>
          <w:spacing w:val="0"/>
          <w:kern w:val="0"/>
          <w:position w:val="0"/>
          <w:sz w:val="16"/>
          <w:szCs w:val="16"/>
        </w:rPr>
      </w:pPr>
    </w:p>
    <w:p w14:paraId="58751BEC" w14:textId="77777777" w:rsidR="00BB6316" w:rsidRPr="00722885" w:rsidRDefault="00BB6316" w:rsidP="00722885">
      <w:pPr>
        <w:pStyle w:val="afff2"/>
        <w:jc w:val="both"/>
        <w:rPr>
          <w:i w:val="0"/>
          <w:iCs w:val="0"/>
          <w:color w:val="000000" w:themeColor="text1"/>
          <w:spacing w:val="0"/>
          <w:kern w:val="0"/>
          <w:position w:val="0"/>
          <w:sz w:val="16"/>
          <w:szCs w:val="16"/>
        </w:rPr>
      </w:pPr>
      <w:r w:rsidRPr="00722885">
        <w:rPr>
          <w:i w:val="0"/>
          <w:iCs w:val="0"/>
          <w:color w:val="000000" w:themeColor="text1"/>
          <w:spacing w:val="0"/>
          <w:kern w:val="0"/>
          <w:position w:val="0"/>
          <w:sz w:val="16"/>
          <w:szCs w:val="16"/>
        </w:rPr>
        <w:t xml:space="preserve">В 1942 г. в СССР было добыто 21,9 млн. т нефти, что на 33,3 % меньше, чем в 1941 г. Это в свою очередь не могло не сказаться на деятельности нефтеперерабатывающих заводов и на последующем снабжении Вооруженных сил СССР и народного хозяйства страны. И если в 1941 г. в СССР было произведено </w:t>
      </w:r>
      <w:r w:rsidRPr="00722885">
        <w:rPr>
          <w:i w:val="0"/>
          <w:iCs w:val="0"/>
          <w:color w:val="000000" w:themeColor="text1"/>
          <w:spacing w:val="0"/>
          <w:kern w:val="0"/>
          <w:position w:val="0"/>
          <w:sz w:val="16"/>
          <w:szCs w:val="16"/>
        </w:rPr>
        <w:lastRenderedPageBreak/>
        <w:t>авиационного бензина 1269 тыс. т, то в 1942 г. только 912 тыс. т. В этих нелегких условиях существенный вклад в решение проблемы обеспечения советской авиации высокооктановыми бензинами внесли союзники СССР по антигитлеровской коалиции в рамках топливных поставок по «ленд-лизу». Данныеофициальногоамериканскогоотчета</w:t>
      </w:r>
      <w:r w:rsidRPr="00722885">
        <w:rPr>
          <w:i w:val="0"/>
          <w:iCs w:val="0"/>
          <w:color w:val="000000" w:themeColor="text1"/>
          <w:spacing w:val="0"/>
          <w:kern w:val="0"/>
          <w:position w:val="0"/>
          <w:sz w:val="16"/>
          <w:szCs w:val="16"/>
          <w:lang w:val="en-US"/>
        </w:rPr>
        <w:t xml:space="preserve"> «Report on war aid furnished by the United States to the USSR. </w:t>
      </w:r>
      <w:r w:rsidRPr="00722885">
        <w:rPr>
          <w:i w:val="0"/>
          <w:iCs w:val="0"/>
          <w:color w:val="000000" w:themeColor="text1"/>
          <w:spacing w:val="0"/>
          <w:kern w:val="0"/>
          <w:position w:val="0"/>
          <w:sz w:val="16"/>
          <w:szCs w:val="16"/>
        </w:rPr>
        <w:t>June 22, 1941 – September 21, 1945» указывают, что в целом за годы войны в СССР было поставлено 2 млн. 159 тыс. 336 коротких тонн нефтепродуктов. Не менее важны были и союзнические поставки высокооктановых компонентов для приготовления авиационных бензинов, включавшие изопарафиновые (изооктан, алкилат, изопентан, триптан, неогексан и др.) и ароматические углеводороды (изопропилбензол, пропилбензол, этилбензол, бензол, толуол, пиробензол и др.), применяемые для повышения октанового числа бензинов (11523).</w:t>
      </w:r>
    </w:p>
    <w:p w14:paraId="1FBD1496" w14:textId="77777777" w:rsidR="00BB6316" w:rsidRPr="00722885" w:rsidRDefault="00BB6316" w:rsidP="00722885">
      <w:pPr>
        <w:pStyle w:val="afff2"/>
        <w:jc w:val="both"/>
        <w:rPr>
          <w:i w:val="0"/>
          <w:iCs w:val="0"/>
          <w:color w:val="000000" w:themeColor="text1"/>
          <w:spacing w:val="0"/>
          <w:kern w:val="0"/>
          <w:position w:val="0"/>
          <w:sz w:val="16"/>
          <w:szCs w:val="16"/>
        </w:rPr>
      </w:pPr>
    </w:p>
    <w:p w14:paraId="33CB8E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состоянию на 1942:</w:t>
      </w:r>
    </w:p>
    <w:p w14:paraId="233596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Style w:val="a7"/>
          <w:rFonts w:ascii="Times New Roman" w:hAnsi="Times New Roman"/>
          <w:b w:val="0"/>
          <w:bCs w:val="0"/>
          <w:color w:val="000000" w:themeColor="text1"/>
          <w:sz w:val="16"/>
          <w:szCs w:val="16"/>
        </w:rPr>
        <w:t xml:space="preserve">Во время Великой Отечественной войны 1941 — 1942 годов на Восток была перемещена целая индустриальная держава, включавшая в себя 2593 промышленных предприятия. Крупнейшим пунктом промышленной эвакуации был уральский регион, разместивший к осени 1942 года на своей территории оборудование и рабочую силу более 830 предприятий. Прибывшие на Урал заводы и фабрики использовали три основных варианта своего обустройства: одни занимали помещения родственных по профилю предприятий; другие вынуждены были осваивать мало приспособленные к промышленному производству площади; третьи располагались на пустошах и сами возводили цеха и административно-управленческие корпуса. </w:t>
      </w:r>
      <w:r w:rsidRPr="00722885">
        <w:rPr>
          <w:rFonts w:ascii="Times New Roman" w:hAnsi="Times New Roman"/>
          <w:color w:val="000000" w:themeColor="text1"/>
          <w:sz w:val="16"/>
          <w:szCs w:val="16"/>
        </w:rPr>
        <w:t>Работая в архивах по изучению истории Челябинской тюрьмы № 1 (сейчас СИЗО № 1) по ул. Российской, историку и краеведу Алексею Яловенко понадобилось приподнять завес секретности над до сих пор недоступной историей многих номерных заводов, эвакуированных на Урал во время ВОВ. Пытаясь раскопать историю этих секретных заводов, Алексей Федорович с удивлением для себя обнаружил, что, несмотря на прошедшие десятилетия после окончания ВОВ, в Челябинской области до сих пор нет даже общего списка эвакуированных на Южный Урал предприятий.</w:t>
      </w:r>
    </w:p>
    <w:p w14:paraId="59E8CA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Список номерных заводов Челябинской области в основном в период ВОВ, эвакуированных в нашу область и созданных непосредственно в Челябинской области, рассматривается в границах Челябинской области 1941 года. За основу классификации предприятий взята система нумерации оборонных заводов (№ 1, № 2 и т.д.), которая была введена в 1927 году в связи с требованием повышения секретности оборонного производства. Некоторые заводы имели одинаковую нумерацию, но разное ведомство. Приводится только первое, связанное с Челябинской областью, постановление об эвакуации, в дальнейшем заводы и предприятия могли быть переведены в другое место.</w:t>
      </w:r>
    </w:p>
    <w:p w14:paraId="52A923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 Завод № 2 Оргавиапром НКПА эвакуирован на Чебаркульскую опытную селекционную сельскохозяйственную станцию (поселок Тимирязево). Постановление СЭ № 130 сс от 07.10.41 (постановление Челябинского обкома ВКП(б) от 21.10.41).</w:t>
      </w:r>
    </w:p>
    <w:p w14:paraId="3DCBDE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 Завод № 2 НКСС – Московский государственный машиностроительный завод № 2 «Красный пролетарий». В 1941 году эвакуирован на площадку ЧТЗ. В 1942 году вернулся на старое место. Производство мин, направляющих для М-13 «катюша».</w:t>
      </w:r>
    </w:p>
    <w:p w14:paraId="512779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 Завод № 2 ОАП НКАП образован в Москве на базе Центрального института труда. В 1941 году эвакуирован на станцию Бишкиль Челябинской области (см. завод № 491). </w:t>
      </w:r>
    </w:p>
    <w:p w14:paraId="726C65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 ГИПИ-4 НХТП – Государственный научно-исследовательский и проектный институт лакокрасочной промышленности (г. Ленинград) эвакуирован в начале войны в Челябинск.</w:t>
      </w:r>
    </w:p>
    <w:p w14:paraId="436ECB1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 Завод К-4 (п/я 43) – Челябинский завод оргстекла. В декабре 1941 года Государственный комитет обороны (ГКО) приказал эвакуировать ленинградский завод «К-4» НКХМ в Челябинск. Для эвакуации было выделено 56 вагонов. Завод разместился на территории Челябинской макаронной фабрики.</w:t>
      </w:r>
    </w:p>
    <w:p w14:paraId="0C712F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 Завод № 7 НКВ из Ленинграда (пушки и детали к ним) в начале ВОВ эвакуирован частично на завод № 78 (см. завод № 78) в Челябинск.</w:t>
      </w:r>
    </w:p>
    <w:p w14:paraId="6D384A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 Завод № 7 НКЦМ – им. С.Оржоникидзе (г. Кольчугино Ивановской обл.) частично эвакуирован на челябинский завод № 78 (см. завод № 78), часть – в Каменск-Уральский, где на его базе был создан завод № 515 (см. завод № 515).</w:t>
      </w:r>
    </w:p>
    <w:p w14:paraId="237C79B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 Завод № 8 НКС – Челябинский завод «Строммашина». Сейчас – ОАО «Завод «Строммашина». Завод № 8 НКСМ основан в ноябре 1942 года по решению Народного комиссариата строительства на базе эвакуированного из Ленинграда предприятия «Нефтеприбор». Создан в 1942 г., во время ВОВ изготавливал авиабомбы. Имел такое номерное название по 1948 год.</w:t>
      </w:r>
    </w:p>
    <w:p w14:paraId="7955F12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 Сергиевский завод № 11 ВСНХ </w:t>
      </w:r>
    </w:p>
    <w:p w14:paraId="7110CA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 Троицк, Моск. обл.) делал разнообразные снаряды. По приказу НКБ от 10.10.1941 г. эвакуирован (570 ед. оборудования, 685 чел.) на строительную площадку строящегося в Челябинске завода № 254 (см. завод № 254). Также часть завода эвакуирована на территорию колхоза «Новый путь» (53 единиц оборудования, 239 чел.). Часть завода – на завод № 78. В 1943 г. имел обозначение п/я 3 (постановление о размещении Челябинского обкома партии от 27.10.41).</w:t>
      </w:r>
    </w:p>
    <w:p w14:paraId="2C352A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 Механический завод № 13 НКВ (Брянск, артиллерийский завод «Арсенал» имени С.М. Кирова) частично эвакуирован в Усть-Катав постановлением ГКО № 449 от 09.08.1941 г. на площадку Усть-Катавского вагоностроительного завода (УКВЗ). 21.04.1942 г. его перевели постановлением ГКО № 1622 от 21.04.1942 г. в Мытищи, где была основная часть завода № 592. Выпускал танковую пушку Ф-34, зенитные установки. Весной и летом 1942 года в Усть-Катав были эвакуированы люди и оборудование Сталинградского артиллерийского завода «Баррикады».</w:t>
      </w:r>
    </w:p>
    <w:p w14:paraId="0EAC4B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11. ЦКБ-14 НКОП – проектно-конструкторское бюро Тульского оружейного завода (стрелковое оружие). Частично было эвакуировано в Златоуст. С октября 1941 по октябрь 1943 г. </w:t>
      </w:r>
    </w:p>
    <w:p w14:paraId="02DABB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12. Завод № 18, Москва, в 1941 г. эвакуирован в г. Шадринск на площадку кирпичного завода и был преобразован в завод № 649 (см. завод № 649).</w:t>
      </w:r>
    </w:p>
    <w:p w14:paraId="1C4CC46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13. НИИ-24 – научно-исследовательский институт боеприпасов (разработка корпусов снарядов). В соответствии с пост. ЦК ВКП(б) П-34-174 от 02.07.1941 г. его ленинградский филиал НИИ-24 был эвакуирован в Челябинск на завод № 78 (см. завод № 78).</w:t>
      </w:r>
    </w:p>
    <w:p w14:paraId="4818AA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Завод № 20 НКБ (г. Рубежное Ворошиловградской области) частично эвакуирован на 114-й Копейский з-д (постановление Челябинского областного комитета ВКПб от 28.09.41 г.).</w:t>
      </w:r>
    </w:p>
    <w:p w14:paraId="75538D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Завод № 25 – Копейский завод им. Кирова Наркомугля. Упомянут в постановлении Челябинского обкома ВКП(б) от 06.01.42 г.</w:t>
      </w:r>
    </w:p>
    <w:p w14:paraId="216D52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Завод № 34 НКТП (Московский авиационный завод) – выпуск водо- и маслорадиаторов, литые детали из алюминия. В сентябре 1941 года по решению Наркомата обороны 34-й завод был эвакуирован в Троицк на площадки 9 неприспособленных небольших предприятий, например на территорию пивоваренного завода. А уже 5 декабря была отгружена первая продукция – радиаторы для танковых и самолетных двигателей. В Троицке на его базе создан Троицкий электромеханический завод, ОАО «ТЭМЗ» (постановление о размещении Челябинского обкома партии от 15.11.41 г.).</w:t>
      </w:r>
    </w:p>
    <w:p w14:paraId="79FCF9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17. Союзное ОКБ завода № 34 эвакуировано в Троицк вместе с заводом № 34. </w:t>
      </w:r>
    </w:p>
    <w:p w14:paraId="7904FC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Завод № 38 НКОП, г. Тула (патроны), во время ВОВ эвакуирован в Юрюзань на механический завод, на территорию дополнительно строящегося гильзового завода. Сейчас это Юрюзанский механический завод (холодильники «Юрюзань» и др.) (постановление о размещении Челябинского обкома партии от 17.10.41 г.).</w:t>
      </w:r>
    </w:p>
    <w:p w14:paraId="4F54FA1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19. Завод № 46 НКТП – Московская обл. Кунцево (выпуск патронов) – в соответствии с постановлением ГКО № 641 от 08.09.1941 г., возможно, был эвакуирован в Златоуст.</w:t>
      </w:r>
    </w:p>
    <w:p w14:paraId="0A0A9D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ГСКБ-47 НКОП (авиабомбы), Москва, частично эвакуировано в 1941 году в Миасс. Возвратилось из эвакуации в Москву в 1943 г.</w:t>
      </w:r>
    </w:p>
    <w:p w14:paraId="544214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Завод № 53 НКОП – г. Шостки (производство капсюлей, детонаторов), Сумская область. Частично оборудование завода № 53 по снаряжению средств воспламенения эвакуировано на завод № 309 (см. завод № 309) откуда, в свою очередь, было дальше эвакуировано на завод № 254 (см. завод № 254) в Челябинск.</w:t>
      </w:r>
    </w:p>
    <w:p w14:paraId="0610B8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22. Завод № 54 НКПО – завод по производству стрелкового оружия, начал строиться в Златоусте в 1938 году. В ноябре 1941 года на предприятие (площадку завода № 54) было эвакуировано оборудование и специалисты с Тульского оружейного № 66 ( см. завод № 66) Подольского механического заводов (№ ? возможно, это завод № 125) С их прибытием был начат выпуск пулемёта Максима и авиационной пушки Волкова-Ярцева. Далее завод выпускал самозарядную винтовку Токарева, пулемёт Березина, пистолет-пулемёт Шпагина, противотанковое ружье Дегтярева. В декабре 1941 года заводу № 54 присвоен номер Тульского завода – 66. В августе 1945 года заводы № 385 (см. завод № 385) и № 66 были объединены. 16 сентября 1945 года уже единый завод награжден орденом Ленина. Предшественник производственного объединения «Златоустовский машиностроительный завод». Сейчас это – Открытое акционерное общество «Златоустовский машиностроительный завод» (ОАО «Златмаш», Россия, Челябинская область, г. Златоуст) — одно из ведущих изготовителей ракетных комплексов стратегического назначения Военно-морского флота Российской Федерации. Предприятие изготавливает комплектующие баллистических ракет перспективной разработки отечественной промышленности — высокоточного комплекса «Синева». </w:t>
      </w:r>
    </w:p>
    <w:p w14:paraId="4A7705D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Завод № 60 ВСНХ – (Луганский патронный завод) частично эвакуирован с началом ВОВ в Челябинск. Размещён в помещениях Челябинского педагогического Университета (института) и Сельскохозяйственной Академии (института), вошёл в состав завода № 541 (см. завод № 541)</w:t>
      </w:r>
    </w:p>
    <w:p w14:paraId="532710D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Завод № 61 НКБ (Липецк) (мины, снаряды). В соответствии с пост ГКО № 777 от 13.10 41 г. часть завода (1120 ед. оборудования,1200 человек) эвакуировано в Касли на площадку завода № 613 (см. завод № 613). (Постановление о размещении Челябинского обкома партии от 03.11.41).</w:t>
      </w:r>
    </w:p>
    <w:p w14:paraId="1CBE1A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Завод № 62 4ГУ НКБ, г. Ярославль эвакуирован в Челябинск на площадку бывших складов УГМР Наркомзага, (1249 ед. оборудования, 1980 человек). Первый эшелон прибыл в Челябинск 07.11.41 г. Выпускал снаряды. Упоминается обозначение – п/я 161 (1943г). Сейчас это Челябинский АМЗ. (Постановление о размещении Челябинского обкома партии от 09.11.41).</w:t>
      </w:r>
    </w:p>
    <w:p w14:paraId="440091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Завод № 66 НКВ (Тула) в начале ВОВ эвакуирован в Златоуст на площадку завода № 54 НКВ (см. завод 54), туда же эвакуирован и Подольский механический завод. По приказу НКВ от 12.10.1941 г. в результате слияния этих трёх заводов был создан единый з-д № 66. (выпускал миномёты и др.) (Постановление о размещении Челябинского обкома партии от 17.10.41).</w:t>
      </w:r>
    </w:p>
    <w:p w14:paraId="64D941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27. Завод № 67 НКТП, Москва (авиабомбы) – в соответствии с пост. ГКО №777 сс от 13.10.41. частично (производство ФАБ и ХАБ) эвакуирован в Миасс (278 ед. оборудования,278 чел) на площадку завода 316 НКБ – 278 единиц оборудования и 278 человек, другая часть в Челябинск на завод № 78 (производство ПЛАБ), (см завод № 78). (Постановление о размещении Челябинского обкома партии от 16.10.41).</w:t>
      </w:r>
    </w:p>
    <w:p w14:paraId="7DBCFD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ГСКБ 47 НКБ – (авиабомбостроение) эвакуировалось в Миасс вместе с заводом № 67 (см. завод № 67)</w:t>
      </w:r>
    </w:p>
    <w:p w14:paraId="5659F1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Завод № 70 НКТМ – машиностроительный завод им. Владимира Ильича, Москва (станки, снаряды в т.ч. для М-13 (Катюша). До 11.1941. эвакуирован, производство М-13 и станкостроение (400 ед. оборудования, 1000 человек) в Челябинский завод № 78. (см завод № 78). (Постановление о размещении Челябинского обкома партии от 13.10.41).</w:t>
      </w:r>
    </w:p>
    <w:p w14:paraId="538E20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Завод № 73 НКОП г. Сталино (Донецк), в соответствии с постановлением ГКО от 27.09.1941 эвакуирован. Частично эвакуирован (производство снарядов, авиабомб, всего-736 ед. оборудования, 1400 человек) в Челябинск на завод № 78. (Постановление о размещении Челябинского обкома партии от 28.09.41).</w:t>
      </w:r>
    </w:p>
    <w:p w14:paraId="0E922C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31.Завод № 75 НКТП, Харьков им.В.А. Малышева (производство танковых двигателей), в соответствии с постановлением ГКО № 666 от 12.09.1941 (первая очередь) и № 731 от 04.10.1941 г. (вторая очередь) на ЧТЗ. (Кировский)</w:t>
      </w:r>
    </w:p>
    <w:p w14:paraId="18C681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32. СКБ-75 Харьков основная часть эвакуирована в Челябинск с заводом № 75 на ЧТЗ. </w:t>
      </w:r>
    </w:p>
    <w:p w14:paraId="125AD0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33.Завод № 78 НКОП, п/я 500(1943г)– это Челябинский завод (выпуск снарядов, станков, М-13) им. Серго Орджоникидзе, получил наименование как завод № 78 от 30.12.36 . </w:t>
      </w:r>
    </w:p>
    <w:p w14:paraId="40F1DF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НИИ-24 из Ленинграда – эвакуирован в 1941 году на завод № 78 (см. НИИ № 24) </w:t>
      </w:r>
    </w:p>
    <w:p w14:paraId="1A1C4E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232 НКБ из Ленинграда эвакуирован (частично) на завод № 78 (см. завод № 232)</w:t>
      </w:r>
    </w:p>
    <w:p w14:paraId="4AFD1E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Завод № 7 НКВ из Ленинграда, частично эвакуирован на завод № 78 (см. завод № 7) </w:t>
      </w:r>
    </w:p>
    <w:p w14:paraId="6B9774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Завод № 70 НКТМ, машиностроительный завод, Москва на завод № 78 (см. завод № 70) </w:t>
      </w:r>
    </w:p>
    <w:p w14:paraId="2C6CE5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Завод № 67 НКТП, Москва (авиабомбы) частично эвакуирован на завод № 78 (см. завод № 67) </w:t>
      </w:r>
    </w:p>
    <w:p w14:paraId="68A134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73 НКОП г. Сталино (Донецк), частично эвакуирован на завод № 78 (см. завод № 73)</w:t>
      </w:r>
    </w:p>
    <w:p w14:paraId="0B674EE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258 из Осипенко (Днепропетровск. обл.) частично эвакуиров. на завод № 78 (см. завод № 258)</w:t>
      </w:r>
    </w:p>
    <w:p w14:paraId="154B46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513 из Ростова-на-Дону (Производство эмалированной посуды). частично эвакуирован на завод № 78 (см. завод № 513)</w:t>
      </w:r>
    </w:p>
    <w:p w14:paraId="03EF4B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Завод № 561, Москва частично эвакуирован на завод № 78 .(93 человека, которые были потом были возвращены обратно), (см. завод № 561) </w:t>
      </w:r>
    </w:p>
    <w:p w14:paraId="0E3F974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А так же были эвакуированы на завод № 78: </w:t>
      </w:r>
    </w:p>
    <w:p w14:paraId="389BB8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Частично завод «Красный Профинтерн» (выпуск снарядов) г. Орджоникидзеград, 240 ед. оборудования. </w:t>
      </w:r>
    </w:p>
    <w:p w14:paraId="49008B1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Прибыло оборудование с Московских заводов для выпуска М-13 : «Инжектор», Опытный, Электродный </w:t>
      </w:r>
    </w:p>
    <w:p w14:paraId="34E5C8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Им. Войтовича. Метрострой, Ситцевая фабрика, завод № 220 (см. завод № 220),Карачаровский, </w:t>
      </w:r>
    </w:p>
    <w:p w14:paraId="6E3F3A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«Красный путь», з-д № 592 (см. завод № 592) (г. Мытищи), Кольчугинский.</w:t>
      </w:r>
    </w:p>
    <w:p w14:paraId="0AA4D9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 Завод № 79 НКОП – (г. Днепропетровск, корпуса снарядов) – часть завода эвакуировано в Златоуст на завод № 259 (см. завод № 259).Постановление СЭ-66сс от 07.08.41.</w:t>
      </w:r>
    </w:p>
    <w:p w14:paraId="714840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35. Опытный танко-моторный завод № 100 НКТП – это опытный завод ЧТЗ, получил свой №100 от 16.02.1942 г. </w:t>
      </w:r>
    </w:p>
    <w:p w14:paraId="7BDE15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 Завод № 113 НКБ (пос. Сельцо Брянское Орловской области. В начале ВОВ часть завода эвакуировано на завод № 114 (см. завод № 114) Производство снарядов.(101 ед. обор, 385 чел)</w:t>
      </w:r>
    </w:p>
    <w:p w14:paraId="11E635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37.Завод № 114 НКОП– это Копейский завод пластмасс, изготовление снарядов. В 1941 году на площадку завода эвакуированы часть завода № 144 (см. завод № 144) из Сталино, часть завода № 113 НКБ (см. завод № 113) </w:t>
      </w:r>
    </w:p>
    <w:p w14:paraId="4796A9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 Завод № 120 НКТП (Балашиха, Моск. Обл.)– по приказу №1053сс от 09.10.41 г. частично эвакуирован в г.Каменск Челябинской области на площадку строящегося завода № 286 (см. завод № 286) Потом завод № 120 и № 286 были частично слиты в один завод № 120 (с 26.10.41). Потом этот завод № 120 (с 01.02.42 г.) получил название завод № 286 НКПА (см. завод № 286) (выпускал литые колёса для самолётов и алюминиевое литьё).</w:t>
      </w:r>
    </w:p>
    <w:p w14:paraId="7A02C2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 Завод № 132 НКТП – Москва, (авиационное моторостроение, выпуск самолётных агрегатов). В соответствии с постановлением Совета по эвакуации № СЭ-147сс от 10.10.41. эвакуируется в г. Сим на площадку арматурного завода, там уже находился чуть более раннее эвакуированный из Москвы Завод № 444 НКАП. (см. завод № 444) 05.11.41.. Эти московские заводы были объединены под № 132 НКАП (Симский механический завод). Сейчас это Симское агрегатное производственное объединение (авиационные агрегаты).</w:t>
      </w:r>
    </w:p>
    <w:p w14:paraId="56E1AA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 ОКБ-132.(завод №132) – эвакуировано вместе с заводом в г. Сим.</w:t>
      </w:r>
    </w:p>
    <w:p w14:paraId="2A4D0CE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 Завод (комбинат) № 144 НКБ из Сталино (снаряды, бомбы) частично (62 ед. оборудования), по постановлению ГКО №717с от 27.09.1941 г. эвакуирован на площадку ремонтно-механического завода треста «Миассзолото», где создан завод № 611 НКБ (см. завод № 611)и частично эвакуирован на завод №114 (36 ед. оборудования.) См. завод № 144. (Постановление о размещении Челябинского обкома партии от 24.10.41).</w:t>
      </w:r>
    </w:p>
    <w:p w14:paraId="68F3CC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 Завод № 150 – Часть металлургического комбината № 150 (г.Ступино, московская область) была эвакуирована на площадку завода № 268 НКАП в г. Каменск-Уральск (В то время Чел. обл.). (Постановление о размещении Чел. обкома ВКПб от 11.10.41)</w:t>
      </w:r>
    </w:p>
    <w:p w14:paraId="6C0BB0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43.Строительство «Стройсемь» НКСП в Челябинске. На площадку «Стройсемь» подлежал эвакуации завод №169 НКСП из Ленинграда. Никакой дополнительной информации о «Стройсемь» и завод №169 найти не удалось.</w:t>
      </w:r>
    </w:p>
    <w:p w14:paraId="17866BA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 Завод № 173 НКОП – Тульский оружейный завод (стрелковое оружие). В 11.43 г. эвакуирован в г. Златоуст на завод № 66 НКВ (см. завод № 66).</w:t>
      </w:r>
    </w:p>
    <w:p w14:paraId="1ADC377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 Завод № 174 – Ленинградский машиностроительный завод им. Ворошилова (выпуск танков). В соответствии с пост ГКО № 99сс от 11.07.41. частично эвакуирован на площадку ЧТЗ.</w:t>
      </w:r>
    </w:p>
    <w:p w14:paraId="0D479A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 Ленинградский Кировский завод НКТП – по постановлению ГКО № 734сс от 04.10.41 г. эвакуирован на ЧТЗ.</w:t>
      </w:r>
    </w:p>
    <w:p w14:paraId="0F08BA8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 СКБ-1, СКБ-2 Кировского завода – эвакуировано вместе с заводом в Челябинск на ЧТЗ.</w:t>
      </w:r>
    </w:p>
    <w:p w14:paraId="5CE798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 Завод № 187 НКБ (Тула) – цех № 21 разместить на площадях Синарского труболитейного завода. Постановление ГКО от 09.10.41. № 750 сс. (Постановление о размещении Челябинского обкома партии от 13.10.41).</w:t>
      </w:r>
    </w:p>
    <w:p w14:paraId="3BE22F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 Завод № 193 НКОП – это Харьковский радиозавод, по приказу НКОП 06 сс от 30.12.1936 переименован в завод № 193. в начале ВОВ эвакуирован в г. Касли (п/я 2883»). Сейчас это Каслинский радиозавод – ОАО «Радий». (Постановление о размещении Челябинского обкома партии от 03.11.41).</w:t>
      </w:r>
    </w:p>
    <w:p w14:paraId="6F4E1A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 Завод № 195-А НКЭП– г. Верхний Уфалей. Строился в Верхнем Уфалее на случай эвакуации из Саратова Завода № 195 (аккумуляторы). На площадку завода 195-А была эвакуирована часть завода – Аккумуляторный завод «Ленинская «Искра» из Ленинграда, 07. 1944 г. завод № 195-А был переименован в завод № 785. (см. завод № 785)</w:t>
      </w:r>
    </w:p>
    <w:p w14:paraId="225243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 Завод № 200 НКТП Челябинск, (изготовление литых башен для танков) Создан по пост. ГКО № 892сс от 13.11.1941 г. путём выделения нескольких цехов из состава завода № 78.(см. завод № 78).</w:t>
      </w:r>
    </w:p>
    <w:p w14:paraId="48F254C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52. Завод № 220 НКОП, Москва (анодные батареи) – в начале ВОВ в части производства М-13 эвакуирован в Челябинск на завод № 78 (см. завод № 78) </w:t>
      </w:r>
    </w:p>
    <w:p w14:paraId="13ABA4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 Завод № 225. НКТП – Новочеркасский завод эвакуирован в г. Троицк на площадку ранее выделенную Харьковскому заводу им. Молотова, который был переброшен на ЧТЗ. (Постановление о размещении Челябинского обкома партии от 18.12.41).</w:t>
      </w:r>
    </w:p>
    <w:p w14:paraId="3AC6F1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 Завод № 232 НКОП, Ленинград (Обуховский з-д) – в соответствии с постановлением ГКО № 99сс от 11.07.1941 г. в части снарядного производства эвакуирован в Челябинск на завод № 78 (см. завод № 78)</w:t>
      </w:r>
    </w:p>
    <w:p w14:paraId="7D332A3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55. Завод № 254 НКБ (п/я 65 в 1943 г.)– производство сигнальных средств. Это завод «Сельмаш», потом завод «Сигнал» в Челябинске. 10.10 1941.на площадку завода эвакуирован завод № 11 НКБ г. Троицка Московской области (см. завод № 11) . Часть оборудования завода № 309 (см.завод № 309), полученного, в свою очередь, с завода № 53 (см. завод № 53). </w:t>
      </w:r>
    </w:p>
    <w:p w14:paraId="2EE7065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56. Завод № 255 НКТП– завод специальных машин, Москва. В соответствии с постановлением ГКО от 10.1941 г. завод был практически полностью эвакуирован в Челябинск и размещён в гараже строительного треста 22 в Ленинском р-не. Выпускал электрооборудование для танков. Сейчас это завод «Электромашина» в Челябинске. </w:t>
      </w:r>
    </w:p>
    <w:p w14:paraId="6FEB6F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57. Завод № 258 НКБ (в 1943г. п/я 8) г. Осипенко Днепропетровской области – в соответствии с постановлением ГКО № 605 от 01.09.1941 г. был эвакуирован (основная часть, производство снарядов) в г. Копейск на площадку гаража «Челябуголь», меньшая часть на завод № 78 (см. завод № 78) в Челябинск. </w:t>
      </w:r>
    </w:p>
    <w:p w14:paraId="361232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58. Завод № 259 НКБ (п/я 39 в 1943 г.), – Златоустовский оружейный завод им. Ленина (снаряды и мины). С началом ВОВ на площадку этого завода эвакуированы: Завод № 561 (см. завод № 561) из Москвы (Лианозово), производство мин. Часть завода № 79 (см. завод № 79)из Днепропетровска (производство морских снарядов). Сейчас входит в ОАО «Булат» в Златоусте. </w:t>
      </w:r>
    </w:p>
    <w:p w14:paraId="732574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59. Завод № 268 НКАП – г. Каменск-Уральский металлургический завод.</w:t>
      </w:r>
    </w:p>
    <w:p w14:paraId="7EFB404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60. Завод № 286 НКАП (г. Каменск-Уральский, в то время Челябинская область, литейный завод) – на площадку этого завода в начале ВОВ эвакуирован з-д № 120 НКПА (см. завод № 120)</w:t>
      </w:r>
    </w:p>
    <w:p w14:paraId="07DE062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61. Завод № 308 НКБ – Харьков, частично, с началом ВОВ эвакуирован в Курган (в то время Челябинская область) на площадку двух продовольственных складов УГМР, 153 ед. оборудования,81 человек. Производство корпусов гранат РГ -33 (см. з-д №603) </w:t>
      </w:r>
    </w:p>
    <w:p w14:paraId="6B9F44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62. Завод № 309 НКБ – г. Чапаевск Куйбышевской области, куда с началом войны эвакуирована часть завода № 53 (см. завод № 53) из г. Шостки (производство капсюлей), Сумская область. Затем частично оборудование было переотправлено на Челябинский з-д № 254 («Сигнал»)</w:t>
      </w:r>
    </w:p>
    <w:p w14:paraId="5810511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63. Завод № 314 НКВ из Тулы – на площадку завода № 385 в г. Златоуст. (Постановление о размещении Челябинского обкома партии от 17.10.41).</w:t>
      </w:r>
    </w:p>
    <w:p w14:paraId="05042E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64.Завод № 316 НКБ – Миасский автомоторный з-д. С началом ВОВ на площадку з-да № 316 эвакуированы заводы НКБ из Москвы: № 67 (производство бомб) (см. завод № 67), № 561 (производство бомб) (см. завод № 561). Сейчас ОАО «Автомобильный з-д Урал». (Постановление о размещении Челябинского обкома партии от 13.10.41).</w:t>
      </w:r>
    </w:p>
    <w:p w14:paraId="0C68BB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65. Завод № 332 (Харьков) НКЭП (Наркомэлектропрома) в г. Касли на площадку школы механизации и промартели им. Куйбышева (Постановление Чел. Обкома ВКПб от 18.09.41.).</w:t>
      </w:r>
    </w:p>
    <w:p w14:paraId="28DE249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66. Завод № 346 НКСП, им. Молотова Ленинград – в соответствии с пост. ГКО № 99сс от 11.07.1941 г. подлежал эвакуации на Магнитогорский металлургический комбинат и на Синарский труболитейный з-д</w:t>
      </w:r>
    </w:p>
    <w:p w14:paraId="6D2DA5E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67. Завод № 351 НКОП (г. Елец, Липец. Обл.) – в начале ВОВ эвакуирован в Верхний Уфалей (выпускал анодные батареи) </w:t>
      </w:r>
    </w:p>
    <w:p w14:paraId="0B4206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68. Завод № 378. – В начале ВОВ в г. Ашу был частично эвакуирован Московский завод № 691 «Электросвет» (см. завод № 691). Зимой 1942 г. на его базе в Аше был создан электроарматурный завод «Электролуч», которому был присвоен № 378. Сейчас это ООО «Электролуч».</w:t>
      </w:r>
    </w:p>
    <w:p w14:paraId="7EF2D66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69. Завод № 385 – завод для крупнокалиберного стрелкового оружия, который начали строить в Златоусте в 08.40 г., рядом с заводом № 54 (см. завод № 54). Завод № 385 начал давать продукцию в начале 1942 года, в основном выпускал ППШ.</w:t>
      </w:r>
    </w:p>
    <w:p w14:paraId="45188E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70. СКБ-385 – сформировано на заводе № 66 НКВ в конце 1947 года для производства ракет дальнего действия и располагалась на площадке завода № 385 (см. завод № 385). Это предприятие сейчас находится в Миассе (Макеевский центр).</w:t>
      </w:r>
    </w:p>
    <w:p w14:paraId="5A30F6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71.Завод № 391 НКБ, Златоуст. Создан 11.08.44 путем разделения Златоустовского комбината им. Ленина на заводы № 259 (см. завод № 259) и № 391 (цех холодного оружия). Далее это Златоустовский инструментально-металлургический завод.</w:t>
      </w:r>
    </w:p>
    <w:p w14:paraId="2370D16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72. Завод № 401 НКТП (Москва, ст. Реутово) – в начале ВОВ эвакуирован в г. Ашу (производство термита, 81 ед. оборудования, 204 чел.), был размещен в клубе лесокомбината. В 1943 году п/я 15. (Решение о размещении Челябинского обкома партии от 16.12.41.)</w:t>
      </w:r>
    </w:p>
    <w:p w14:paraId="3A1F22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73. Завод № 444 НКАП – ст. Плющево, Московская обл. (авиаагрегаты). Сначала это был завод экспериментального сельскохозяйственного оборудования. По приказу № 567 от 19.10.1940. этот завод получил № 444. По приказу 660сс ГКО от 09.07.1941. был эвакуирован в г. Сим на площадку Симского арматурного завода.</w:t>
      </w:r>
    </w:p>
    <w:p w14:paraId="5789FB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74. Завод № 491 НКПА (специальные токарные станки для авиапрома) – это завод № 2 ОАП НКАП, образованный в Москве на базе Центрального института труда. В 1941 году был эвакуирован на ст. Бишкиль Челябинской области, откуда в 1943 году был реэвакуирован в г. Кимры. В 1944 году переименован в завод № 491.С 1966 г. предприятие преобразовано в Савеловский машиностроительный завод, а в 1979 году — в завод «Прогресс». С 1993-го — ОАО «Савеловский машиностроительный завод» (ОАО «Савма»).</w:t>
      </w:r>
    </w:p>
    <w:p w14:paraId="637823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75. Завод № 513 НКБ («Эмальпосуда», г. Ростов-на-Дону) по постановлению ГКО 717с от 27.09.41 был раздроблен и эвакуирован в разные города СССР. Производство эмалированной посуды – 43 ед. оборудования на завод № 78 (см. завод № 78) в Челябинск.</w:t>
      </w:r>
    </w:p>
    <w:p w14:paraId="12F33B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76. Завод № 515 НКЦМ – Каменск-Уральск. Был создан на базе эвакуированного завода № 7 НКЦМ им. С.Оржоникидзе г. Кольчугино, Ивановской обл., в Каменск-Уральск (см. з-д № 7 НКЦМ).</w:t>
      </w:r>
    </w:p>
    <w:p w14:paraId="1833EF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77. Завод № 524 МЦМ по выпуску графитированных ракетных рулей. Челябинский электродный завод. Постановление о строительстве завода было принято в 1948 году.</w:t>
      </w:r>
    </w:p>
    <w:p w14:paraId="1B8602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78. Завод № 541, Харьков (выпуск патронов). Эвакуирован с началом ВОВ в Челябинск. Размещен в помещениях Челябинского педагогического университета и сельскохозяйственной академии. Сюда же был частично эвакуирован и з-д № 60 НКВ (Луганский патронный завод) (см. завод № 60), который вошел в состав завода № 541.</w:t>
      </w:r>
    </w:p>
    <w:p w14:paraId="7F205C7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79. Завод № 545 упоминается в постановлении Челябинского обкома ВКП (б) от 10.09.41. об ускорении строительства завода. Возможно, это Киевский завод – книжно-журнальная фабрика, переименованная в 545-й патронный завод 06.06.41.</w:t>
      </w:r>
    </w:p>
    <w:p w14:paraId="178829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80. Завод № 549 НКБ. Создан в начале 1941 года в Челябинске, на территории тюрьмы № 1 (по ул. Российской). Выпускал различные снаряды и замки направляющих для М-13 («Катюша»).</w:t>
      </w:r>
    </w:p>
    <w:p w14:paraId="5DBF59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81. Завод № 561 НКБ, Москва, ст. Лианозово (корпуса мин и др.). В начале ВОВ эвакуирован в Челябинскую область: основная часть – в Миасс, на площадку завода № 316 (см. завод № 316). Часть – в Златоуст, на завод № 259 (см. завод № 259), небольшая часть – в Челябинск, на з-д № 78 (см. завод № 78). (Постановление о размещении Челябинского обкома партии от 13.10.41.)</w:t>
      </w:r>
    </w:p>
    <w:p w14:paraId="10DE27F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82. Завод № 584 НКЭП, Ленинград (аккумуляторы и электроинструмент). С началом ВОВ частично эвакуирован в Верхний Уфалей, где на базе этого завода создан завод № 785 (см. завод № 785).</w:t>
      </w:r>
    </w:p>
    <w:p w14:paraId="35B0FF1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83.Завод № 592 НКВ, г. Мытищи, Московская область. С началом ВОВ большая часть эвакуирована в Челябинск, на завод № 78 (см. завод № 78), в основном производство М-13 («Катюши»). А также на завод № 13 в Усть-Катав. (Постановление о размещении Челябинского обкома партии от 17.10.41.) </w:t>
      </w:r>
    </w:p>
    <w:p w14:paraId="6236B1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84. Завод № 603 НКБ (п/я 63 1942 г.) – Курганский механический завод (тогда Челябинская область), создан на базе завода № 308 НКБ (см. завод № 308), эвакуированного из Харькова на площадку продовольственных складов УГМР (производство гранат).</w:t>
      </w:r>
    </w:p>
    <w:p w14:paraId="6739EDC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85. Завод № 611 НКБ (п/я 25 1943 г.), г. Миасс. Создан на базе эвакуированного по постановлению ГКО № 717с от 27.09.1941 г. комбината № 144 НКБ (см. завод № 144) из Сталино на площадку ремонтно-механического завода треста «Миассзолото» (производство бомб, снарядов).</w:t>
      </w:r>
    </w:p>
    <w:p w14:paraId="346431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86. Завод № 613 НКБ (боеприпасное производство), г. Касли. Чугунолитейный завод. В соответствии с постановлением ГКО № 99сс от 11.07.1941 г. сюда эвакуирована часть завода «Электрик» НКЭП из Ленинграда, далее это все стало заводом № 613. Также сюда после начала ВОВ эвакуирован завод № 61 НКБ (см. завод № 61) из Липецка.</w:t>
      </w:r>
    </w:p>
    <w:p w14:paraId="02CDDF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87.Завод № 649 МРП (полевые телефонные аппараты), г. Шадринск (тогда Челябинская область), создан 24.10.1941 г. на базе эвакуированного в начале ВОВ Московского радиозавода № 18 (см. з-д № 18) на площадку кирпичного з-да в Шадринске. Сейчас это Шадринский телефонный завод.</w:t>
      </w:r>
    </w:p>
    <w:p w14:paraId="2F12F65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88. Завод № 657 НКЭП – Московский завод «Динамо» НК им. С.М. Кирова. С началом войны завод был эвакуирован в основном в г. Миасс (115 чел., 80 вагонов с оборудованием прибыли в Миасс в начале декабря 1941 г.) и в Челябинск, на ЧТЗ. Выпускал ксеноны для самолетов в Миассе и электрооборудование для танков на ЧТЗ. Завод в Миассе переименован в завод № 657 (24.03.1942 г.). Сейчас это ОАО «Миассэлектроаппарат».</w:t>
      </w:r>
    </w:p>
    <w:p w14:paraId="0581FAA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89. Завод № 691 НКЭП – Московский светотехнический завод им. Яблочкова «Электросвет», выпуск промышленных светильников (получил № 691 25.03.42 г.). В начале ВОВ завод был частично эвакуирован в г. Ашу, где приказом НКЭП № 5 от 25.03.1942 г. на его базе был создан завод № 378 (см. завод № 378).</w:t>
      </w:r>
    </w:p>
    <w:p w14:paraId="667A5B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90. Завод № 701 НКМВ – Челябинский з-д строительно-дорожных машин «Колющенко» (глубинные бомбы, мины, снаряды и выпуск реактивных минометов М-13 «Катюша). Частично в начале ВОВ на 701-й завод был эвакуирован Московский завод «Компрессор» № 733 НКМВ (см. завод № 733 НКМВ).</w:t>
      </w:r>
    </w:p>
    <w:p w14:paraId="7F1113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91. Завод № 707 НКВМ – Курганский завод «Уралсельмаш». В июле 1941 г. в Курган на площадку бывшего завода Балакшина эвакуирован завод «Гомсельмаш» и часть оборудования Люберецкого з-да им. Ухтомского. Объединенный з-д и получил название «Уралсельмаш», а 03.06.42 г. был переименован в з-д № 707.</w:t>
      </w:r>
    </w:p>
    <w:p w14:paraId="4D2204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92. Завод № 707 НКЧМ – Миньярский металлургический завод (Челябинской обл.). В соответствии с постановлением правительства № 837-430 сс от 03.06.42 г. переименован в з-д № 707.</w:t>
      </w:r>
    </w:p>
    <w:p w14:paraId="2D1371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93. Завод № 721 НКМВ в соответствии с постановлением СНК № 837 430сс от 03.06.42 г. Челябинский з-д «Челябкомпрессор» переименован в завод № 721.</w:t>
      </w:r>
    </w:p>
    <w:p w14:paraId="5DEC7A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94. Московский ремонтно-механический з-д № 753 НКМВ – Московский экспериментальный завод сложного автоматостроения для пищевой промышленности имени М.И. Калинина. Сейчас – закрытое акционерное общество «Калининец» (производство деталей к морским минам). В начале ВОВ большая часть была эвакуирована в г. Шадринск (тогда Челябинская область), на площадку мотороремонтного завода. Сюда же был эвакуирован Ленинградский з-д «Ленполиграфмаш». Сюда же был эвакуирован Прилукский з-д противопожарного оборудования. Все это стало единым заводом № 815 (см. завод № 815). Ленинградский з-д «Ленполиграфмаш» (п/я 487) во время Великой Отечественной войны освоил выпуск пулеметов, снарядов, производство токарных прецизионных станков. Прилукский з-д противопожарного оборудования (авиационные взрыватели), Украина, пос. Ладан Черниговской области.</w:t>
      </w:r>
    </w:p>
    <w:p w14:paraId="542130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95. Завод № 761 НКМВ – Курганский (тогда Чел. обл.) з-д дорожных машин, на который в начале ВОВ был эвакуирован Кременчугский завод дорожных машин и был образован з-д «Дормашин». И завод «Дормашин» 07.07.42 г. получил название № 761.</w:t>
      </w:r>
    </w:p>
    <w:p w14:paraId="184943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96.Завод № 785 НКЭП – Верхнеуфалейский завод № 195-А (см. завод № 195-А), строился как дублер Саратовского з-да № 195, в 1944 г. переименован в завод № 785. Сейчас завод «Уралэлемент» занимается выпуском разного рода источников питания (батарейки и т.п.). </w:t>
      </w:r>
    </w:p>
    <w:p w14:paraId="4DA750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97. Завод № 815 НКМВ – Шадринск (тогда Челябинская область). С началом ВОВ в 1941 г. на площадку Шадринского мотороремонтного завода был эвакуирован Прилукский завод противопожарного оборудования им. Войкова (авиационные взрыватели). 07.12.1941 г. прибыл в Шадринск эвакуированный Московский экспериментальный з-д сложного автоматостроения для пищевой промышленности. Сюда же был эвакуирован Ленинградский з-д «Ленполиграфмаш». Сюда же эвакуирован и Московский ремонтно-механический з-д № 753 НКМВ (см. завод № 753).</w:t>
      </w:r>
    </w:p>
    <w:p w14:paraId="26B947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98. Комбинат № 817. Датой основания считается 08.06.48 г. – это ПО «Маяк» (г. Озерск).</w:t>
      </w:r>
    </w:p>
    <w:p w14:paraId="2CF4C5E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99. Ленинградский завод № 823 (Петергофская гранильная фабрика). В 1942 году в город Кусу, на гранильную фабрику, был эвакуирован Петергофский завод точных технических камней (гранильная фабрика) — в довоенный период предприятие по выпуску камней для часовой и приборостроительной промышленности.</w:t>
      </w:r>
    </w:p>
    <w:p w14:paraId="455840E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100. Завод № 825 НКВМ – Кусинская гранильная фабрика. Переименована в з-д № 825 в соответствии с постановлением СНК № 837-430сс от 03.06.42 г.</w:t>
      </w:r>
    </w:p>
    <w:p w14:paraId="65BF85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101. Завод № 834 НКМВ (Златоуст). С началом ВОВ в Златоуст был переведен из Москвы 1-й Государственный часовой завод № 845 НКМВ (см. завод № 845) и часть з-да из Углича № 837 НКМВ (см. завод № 837) – завод точных технических камней. Все это 07.07.42 г. переименовано в завод № 834 (боеприпасы, часы для танков и самолетов). Сейчас ОАО «Златоустовский часовой завод».</w:t>
      </w:r>
    </w:p>
    <w:p w14:paraId="7F607C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102. Завод № 837 НКМВ (Углич, Ярославской области) – завод точных технических камней № 2. Небольшая часть эвакуирована в г. Златоуст в конце 1941 года (см. завод № 834).</w:t>
      </w:r>
    </w:p>
    <w:p w14:paraId="33A06A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103. Завод № 845 НКМВ – 1-й Государственный часовой московский завод им. Кирова (часовое производство для нужд армии) (см. завод № 834). В 1941 г. был переведен из Москвы в Златоуст. </w:t>
      </w:r>
    </w:p>
    <w:p w14:paraId="2C26CE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104. Завод № 933 ПГУ – Трехгорный приборостроительный з-д «Златоуст 36». Начато строительство в 1952 г. Первая продукция – две ядерные бомбы – выпущена в августе 1955 г. (11888).</w:t>
      </w:r>
    </w:p>
    <w:p w14:paraId="67BB60FF"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1A8511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недостроенный авторемонтный завод в  г. Канибадам передан в ведение НКЭП, на его площадке размещен эвакуированный завод, получивший № 662 (Завод № 662 НКЭП, МПСС, Барнаульский радиозавод, ОАО «Барнаульский радиозавод» /Таджикистан  г. Канибадам;  г. Барнаул/ /656002  г. Барнаул пр. Калинина, 15/).</w:t>
      </w:r>
    </w:p>
    <w:p w14:paraId="7DEF919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 ГКО № 3276 от 30.04.1943 г. завод № 662 был передислоцирован из Канибадама в  г. Барнаул. К концу 1943 г. уже были выпущены первые танковые радиостанции. Всего до конца войны их выпущено более 10 тыс. С 1945 г. завод перешел на производство бытовой радиоаппаратуры. С 1946 по 1961 г. основной продукцией были трансляционные усилители. С 1954 г. освоен выпуск радиостудийной аппаратуры, которой были оснащены стадион им. Ленина в Москве, Дом радио в Ленинграде, Дворец культуры в Варшаве.</w:t>
      </w:r>
    </w:p>
    <w:p w14:paraId="6AB1C6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1950-е  г. производство радиостанции «Кедр» было передано на завод № 920.</w:t>
      </w:r>
    </w:p>
    <w:p w14:paraId="412BD6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заводе был создан информационный вычислительный центр; в 1970 г. принята в эксплуатацию 1-я очередь АСУ «Барнаул», а в 11.1977 г. - АСУ «Сигма». В механическом цехе создан участок станков с ЧПУ.</w:t>
      </w:r>
    </w:p>
    <w:p w14:paraId="49CF65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1997 г. предприятие преобразовано в ОАО «Барнаульский радиозавод».</w:t>
      </w:r>
    </w:p>
    <w:p w14:paraId="34648B0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(1943-46 г.)- А. Г. Громов.</w:t>
      </w:r>
    </w:p>
    <w:p w14:paraId="103737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Производство: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 xml:space="preserve"> радиостанция «Кедр» (1950-е); аппарат магнитной записи непрерывной метеоинформации для ГА; магнитолы: «Алтай-301», «Алтай РМ-302», «Луч-201»; радиоприемники: «Алтай» (1945-), «Алтай-145», УКВ «Барнаул», «Барнаул-3»; абонентские громкоговорители: «Барнаул АГ», «Алтай»; трансляционные усилители ТУ-50 «Луч», ТУ-100, ТУ-100М; радиостудийная аппаратура; спортивный радиопеленгатор «Лес»; аппаратура «Обь» для приема-передачи информации АСУ производством по телефонным каналам; система громкоговорящей и радиотелефонной связи «Катунь» для диспетчерской связи в колхозах; автотрансформаторы; </w:t>
      </w:r>
      <w:r w:rsidRPr="00722885">
        <w:rPr>
          <w:rFonts w:ascii="Times New Roman" w:hAnsi="Times New Roman"/>
          <w:color w:val="000000" w:themeColor="text1"/>
          <w:sz w:val="16"/>
          <w:szCs w:val="16"/>
          <w:lang w:val="en-US"/>
        </w:rPr>
        <w:t>KB</w:t>
      </w:r>
      <w:r w:rsidRPr="00722885">
        <w:rPr>
          <w:rFonts w:ascii="Times New Roman" w:hAnsi="Times New Roman"/>
          <w:color w:val="000000" w:themeColor="text1"/>
          <w:sz w:val="16"/>
          <w:szCs w:val="16"/>
        </w:rPr>
        <w:t xml:space="preserve"> магистрально-приемные устройства; электромеханические фильтры; детский конструктор «Сувенир Попова».</w:t>
      </w:r>
    </w:p>
    <w:p w14:paraId="3160E7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«Канибадамавтозапчасть» Минавтопрома, Канибадамский завод тормозной аппаратуры, АО «Бодом» /Таджикистан 735744  г. Канибадам ул. Ленина, 257/</w:t>
      </w:r>
    </w:p>
    <w:p w14:paraId="6D9493E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Строительство завода по ремонту автомобилей начато в 1939 г. В 1942 г. недостроенный авторемонтный завод передан в ведение НКЭП, на его площадке размещен эвакуированный завод, получивший № 662.</w:t>
      </w:r>
    </w:p>
    <w:p w14:paraId="77FB2F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 ГКО № 3276 от 30.04.1943 г. завод № 662 был передислоцирован из Канибадама в  г. Барнаул.</w:t>
      </w:r>
    </w:p>
    <w:p w14:paraId="7A60FE8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1944 г. предприятие было преобразовано в механический завод по ремонту оборудования и изготовлению запчастей для текстильной промышленности.</w:t>
      </w:r>
    </w:p>
    <w:p w14:paraId="7612470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1957 г. завод перепрофилирован, переименован в «Канибадамавтозапчасть» и передан в ведение Минавтопрома. В 07.1976 г. завод вошел в состав ПО «ГАЗ». В 1988 г. переименован в Канибадамский завод тормозной аппаратуры в составе ПО «ГАЗ».</w:t>
      </w:r>
    </w:p>
    <w:p w14:paraId="363CCA3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25.12.1992 г. завод преобразован в АО «Бодом». В 2000-е  г. был построен и введен в эксплуатацию велозавод. На базе АО «Бодом» создано совместное таджикско-израильское предприятие «ЧАР» по производству инвалидных колясок. Начаты работы по подготовке производства запчастей для завода «Уздэуавто».</w:t>
      </w:r>
    </w:p>
    <w:p w14:paraId="552669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(2000-е): сложные запчасти для автомобилей ГАЗ: задние мосты, коробки передач, тормозные цилиндры и барабаны, рулевое управление, дифференциалы; велосипеды; чугунное и цветное литье (11982).</w:t>
      </w:r>
    </w:p>
    <w:p w14:paraId="3DAF5AE5"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B3EE46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создано Центральное конструкторское бюро Главного управления специальной деревообрабатывающей промышленности (Главспецдревпрома) Наркомата лесной промышленности СССР. Переименовано в 1947 г. в Центральное конструкторское бюро по судостроению, в 1953 г. - в Центральное проектно-конструкторское бюро по машиностроению, в конце 1953 г. - в Государственный институт по проектированию новых машин и механизмов для лесозаготовок и сплава (Гипролесмаш). 27 июня 1964 г. объединен с Центральным научно-исследовательским институтом механизации и энергетики лесной промышленности (ЦНИИМЭ) (12101).</w:t>
      </w:r>
    </w:p>
    <w:p w14:paraId="06CC00E8" w14:textId="77777777" w:rsidR="00F10FB4" w:rsidRPr="00722885" w:rsidRDefault="00F10FB4" w:rsidP="00722885">
      <w:pPr>
        <w:spacing w:after="0" w:line="240" w:lineRule="auto"/>
        <w:jc w:val="both"/>
        <w:rPr>
          <w:rFonts w:ascii="Times New Roman" w:hAnsi="Times New Roman"/>
          <w:color w:val="000000" w:themeColor="text1"/>
          <w:sz w:val="16"/>
          <w:szCs w:val="16"/>
        </w:rPr>
      </w:pPr>
    </w:p>
    <w:p w14:paraId="5B4B897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завод «Изолятор» (ГС завод № 374 НКЭП, МЭП, Государственный фарфоровый завод «Изолятор» ВСНХ, завод «Изолятор» НКТП, Московский изоляторный завод «Изолятор» НКМС, НКЭСиЭП, МЭТП, п/я 3766, А-7457, Московский изоляторный завод «Изолятор» им. А.А. Баркова, ЗАО «Мосизолятор» /125315  г. Москва Ленинградский пр., 72 тел. 151-66-03/) получил литерное наименование ГС завод № 374 6ГУ НКЭП. В 1946 г. переподчинен Главэлектроизоляторпрому МЭП. В 1951 г. завод № 374 получил наименование «п/я 3766» в ведении Главэлектроизоляторпрома МЭП. В 1954 г. переименован в Московский изоляторный завод «Изолятор» Главэлектроизоляторпрома МЭТП. В 1957-65 г. - в ведении Управления электротехнической промышленности МосгорСНХ. В 1965 г. передан в ведение Главизолятора МЭТП. В 1966 г. завод получил наименование «п/я А- 7457». С 1969 г. - в ведении Главтрансформатора МЭТП.</w:t>
      </w:r>
    </w:p>
    <w:p w14:paraId="7BE480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начала войны параллельно основной продукции был налажен выпуск гильз для снарядов.</w:t>
      </w:r>
    </w:p>
    <w:p w14:paraId="08276C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После войны при заводе создано СКВ по разработке вводов на более высокие классы напряжений. Были сконструированы вводы на 110-500 кВ с бумажно-масляной изоляцией конденсаторного типа. В середине 1960-х  г. разработан ввод герметичной конструкции.</w:t>
      </w:r>
    </w:p>
    <w:p w14:paraId="6B7612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1950-х  г. была построена уникальная туннельная печь непрерывного действия длиной 100 м для обжига фарфора. В середине 1960-х  г., в связи с заказом на разработку и изготовление изоляторов для Асуанской плотины в Египте, была введена в строй печь периодического действия для обжига изделий больших габаритов (высотой до 5 м).</w:t>
      </w:r>
    </w:p>
    <w:p w14:paraId="2BA98D0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1960-х  г. совместно с заводом «Электроизолит» по лицензии фирмы "</w:t>
      </w:r>
      <w:r w:rsidRPr="00722885">
        <w:rPr>
          <w:rFonts w:ascii="Times New Roman" w:hAnsi="Times New Roman"/>
          <w:color w:val="000000" w:themeColor="text1"/>
          <w:sz w:val="16"/>
          <w:szCs w:val="16"/>
          <w:lang w:val="en-US"/>
        </w:rPr>
        <w:t>Micafil</w:t>
      </w:r>
      <w:r w:rsidRPr="00722885">
        <w:rPr>
          <w:rFonts w:ascii="Times New Roman" w:hAnsi="Times New Roman"/>
          <w:color w:val="000000" w:themeColor="text1"/>
          <w:sz w:val="16"/>
          <w:szCs w:val="16"/>
        </w:rPr>
        <w:t>" начат выпуск вводов на 110 кВ с твердой изоляцией. В 1970-е  г. построен новый производственный корпус площадью 1400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с высоковольтной лабораторией. Завод полностью перешел на изготовление герметичных вводов; были разработаны вводы на 500 и 750 кВ для шунтирующих реакторов броневого типа. В 1980-е  г. разработан ввод на 1150 кВ.</w:t>
      </w:r>
    </w:p>
    <w:p w14:paraId="2294636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1992 г. завод преобразован в АО, ему присвоено имя А.А. Баркова.</w:t>
      </w:r>
    </w:p>
    <w:p w14:paraId="31B6CE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(1937-38 г.)-  Г.В. Филаретов, (1964-89 г.)- А.А. Барков. Гендиректор (-1999-2007 г.-)- А.З. Славинский (11982).</w:t>
      </w:r>
    </w:p>
    <w:p w14:paraId="4D2A1F8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6408E0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завод «Радиодеталь» НКЭП был предобразован в ГС завод №696 НКЭП (ГС завод № 696 НКЭП, НКАП, МПСС, Фабрика металлических изделий братьев Гумгал, Первая Государственная фабрика массового производства мелких металлических деталей, Фабрика «Красный труженик», ГС завод «Радиодеталь», Московский завод измерительной аппаратуры (МЗИА) МПСС, МРП, Г-4953, ОАО «МЗИА» /г. Москва ул. Ирининская (Ф. Энгельса), 58 (1892 г.); 105523  г. Москва Б-82;  г. Москва ул. Б. Почтовая, 16/ /105484 (105523)  г. Москва 16-я Парковая ул., 30/). Осенью 1943 г. на заводе организовано СКБ по разработке портативных радиостанций для разведки, партизанских отрядов.</w:t>
      </w:r>
    </w:p>
    <w:p w14:paraId="439E3EC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1948 г. на базе ОГК создано СКБ по проектированию дозиметрических и радиометрических приборов (далее- ЦКБ-1 МПСС).</w:t>
      </w:r>
    </w:p>
    <w:p w14:paraId="28DA49C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1963 г. предприятие переименовано в МЗИА, в 1965 г.- в ведении МПСС. В 1971 г. МЗИА - в ведении 6ГУ МРП. Имел наименование «п/я Г-4953» (1971 г.).</w:t>
      </w:r>
    </w:p>
    <w:p w14:paraId="594D45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имел филиал в пос. Одоевский Тульской обл. Размещался в здании, переданном филиалу 20.03.1970 г. Одоевским комбинатом коммунальных предприятий. В 1971 г. заводу выделен земельный участок площадью 16 тыс.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под новую промышленную площадку.</w:t>
      </w:r>
    </w:p>
    <w:p w14:paraId="045F54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Выполнены НИР: «Главк» (1971 г.) по разработке пересчетного прибора для НИИП ( г. Москва).</w:t>
      </w:r>
    </w:p>
    <w:p w14:paraId="583E417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Выполнены ОКР: «Счет А» (1971 г.) по модернизации прибора ПП-15.</w:t>
      </w:r>
    </w:p>
    <w:p w14:paraId="6763173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1994 г. завод акционирован и преобразован в ОАО «МЗИА». По Указу Президента РФ № 1009 от 4.08.2004 г. ОАО вошло в число стратегических оборонных предприятий.</w:t>
      </w:r>
    </w:p>
    <w:p w14:paraId="5F7DE19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Площадь территории (1971 г.)- 6696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w:t>
      </w:r>
    </w:p>
    <w:p w14:paraId="7B44EE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(1971 г.)-813 чел.</w:t>
      </w:r>
    </w:p>
    <w:p w14:paraId="1E821DA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(1944-45 г.)- О.П. Ковальчук, (1948 г.)-  Г.П. Мышкин, (1971 г.)- А. Груша. Гендиректор (1990-е- 2003 г.-)- А.Н. Рощупкин.</w:t>
      </w:r>
    </w:p>
    <w:p w14:paraId="00B860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(1948 г.)- Л.Я. Федерман.</w:t>
      </w:r>
    </w:p>
    <w:p w14:paraId="3C6700E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ППО (1971 г.)- А. Стрелков.</w:t>
      </w:r>
    </w:p>
    <w:p w14:paraId="569A62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лабораторий: (1948 г.)- И.И. Прагер.</w:t>
      </w:r>
    </w:p>
    <w:p w14:paraId="7BC68F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авиационные привязные ремни (1936); пересчетное устройство ПС-64 (1948-)- более 10 тыс.; сцинтилляционный детектор П-349 (1956-);</w:t>
      </w:r>
      <w:r w:rsidRPr="00722885">
        <w:rPr>
          <w:rFonts w:ascii="Times New Roman" w:hAnsi="Times New Roman"/>
          <w:color w:val="000000" w:themeColor="text1"/>
          <w:sz w:val="16"/>
          <w:szCs w:val="16"/>
          <w:vertAlign w:val="superscript"/>
        </w:rPr>
        <w:t>40</w:t>
      </w:r>
      <w:r w:rsidRPr="00722885">
        <w:rPr>
          <w:rFonts w:ascii="Times New Roman" w:hAnsi="Times New Roman"/>
          <w:color w:val="000000" w:themeColor="text1"/>
          <w:sz w:val="16"/>
          <w:szCs w:val="16"/>
        </w:rPr>
        <w:t xml:space="preserve"> измерители параметров транзисторов: Л2-2, -12, -13, -22, -26, -27, - 28 (опытные партии, 1971), -43; радиометры Б-4, ПЛ-8 (1971); пересчетные приборы ПС-100, ГШ-12, -15 (1971); стойки счетные ССД, ССС (1971); выпрямитель высоковольтный ВСВ-2, комплект выпрямителей КВСВ (1971); усилитель УШ-10 (1971); интегральный </w:t>
      </w:r>
      <w:r w:rsidRPr="00722885">
        <w:rPr>
          <w:rFonts w:ascii="Times New Roman" w:hAnsi="Times New Roman"/>
          <w:color w:val="000000" w:themeColor="text1"/>
          <w:sz w:val="16"/>
          <w:szCs w:val="16"/>
        </w:rPr>
        <w:lastRenderedPageBreak/>
        <w:t>дискриминатор ИД-2 (1971); блок автоматической печати БАП-2 (1971); сигнальная дымовая пожарная установка СДПУ-1, СКПУ-1 (1971); комбинированный извещатель КИ-1 (1971); кремосбивалка СКГМ.</w:t>
      </w:r>
    </w:p>
    <w:p w14:paraId="0B6BF5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СКБ завода № 696, ЦКБ-1 МПСС, Союзный НИИ-1 ГКРЭ, МСМ, ГК ИАЭ, п/я 1598, Союзный НИИ приборостроения (СНИИП), п/я 2502, ФГУП «Ордена Трудового Красного Знамени Научно-инженерный центр (НИЦ) «СНИИП» Минатома /г. Москва ул. Б. Почтовая, 16; ул. Спартаковская, 7; 4-я ул. Октябрьского поля/ / г. Москва ул. Расплетина, 5 к. 1/</w:t>
      </w:r>
    </w:p>
    <w:p w14:paraId="47AC12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1948 г. на базе ОГК завода № 696 создано СКБ по проектированию дозиметрических и радиометрических приборов в составе двух лабораторий, КБ и макетной мастерской. Решением СМ № 9223рс от 19.04.1952 г. с целью расширения ОКР по технологической, дозиметрической, лабораторной аппаратуре и медицинским приборам для измерения ионизирующих излучений СКБ завода № 696 преобразовано в ЦКБ-1 МПСС. Из СКБ в новое ЦКБ-1 перешел коллектив из 21 чел. Вначале предприятию поставлена задача по разработке приборов на базе зарубежных образцов. Первоначально ЦКБ располагалось на территории завода № 696 (ул. Б. Почтовая, 16), а также имело здание по ул. Спартаковской, 7. Производственная база - завод № 1 Энергоремтреста МЭСиЭП, переданный ЦКБ-1 в 05.1953 г. В составе ЦКБ: отдел № 1 (затем- отдел № 4), КО. В составе отдела № 1: лаборатории № 1 (радиометры, дозиметры, медицинская и технологическая аппаратура), № 2 (электронно- физическая аппаратура). В 1954 г. организованы лаборатории № 3 и № 4. В 1955 г. образован отдел № 2. В начале 1960-х  г. в его составе созданы лаборатории по разработке аппаратуры измерения активности жидкостей, газов, аэрозолей и объемных жидких сред.</w:t>
      </w:r>
    </w:p>
    <w:p w14:paraId="2F4DD3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СМ СССР № 19215 от 3.08.1953 г. ЦКБ передано строительство комплекса новых зданий. В 1954 г. ЦКБ и опытный завод переехали в три новые корпуса (производственный, научный и вспомогательный) на 4-й ул. Октябрьского Поля (ныне- ул. Расплетина), первая очередь которых введена в эксплуатацию в 06.1955 г.</w:t>
      </w:r>
    </w:p>
    <w:p w14:paraId="57A64F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15.08.1955 г. в состав ЦКБ влит коллектив (23 чел.) ликвидированного СКБ-2 завода № 528. На его базе создан отдел № 3 по ядерно-геофизической аппаратуре. В его составе созданы лаборатории № 10 (аналитических и каротажных приборов), № 11 (рудосортировочных приборов). В 03.1956 г. организована лаборатория № 12 (переносные поисковые радиометры), в 10.1957 г. она переведена в отдел № 4, а из лаборатории № 10 выделена группа, преобразованная затем в новую лабораторию № 12.</w:t>
      </w:r>
    </w:p>
    <w:p w14:paraId="2242AB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Пост. СМ № 507-255 от 13.05.1957 г. ЦКБ-1 преобразовано в СНИИ-1 ГКРЭ, «предприятие п/я 1598»; 10.05.1058 г. утверждено положение о институте. Пост. СМ № 577-282 от 3.05.1958 г. СНИИ-1 с опытным заводом переведен в подчинение МСМ, приказом МСМ № 0342 от 5.07.1958 г. на инстшут возложена задача дальнейшего совершенствования ядерного приборостроения. По распоряжению правительства № ЮОрс от 6.01.1954 г. и приказу МСМ № 0460 от 5.10.1959 г. при НИИ-1 был образован Ученый совет института (НИИ-212). Пост. № 933- 390 от 25.08.1960 г. и приказом № 0330 от 7.09.1960 г. институт передан в подчинение ГК ИАЭ и определен головным в области ядерного приборостроения (подтверждено далее приказом № 0184 от 25.08.1964 г.). Приказом ГКИАЭ № 064 от 19.04.1963 г. СНИИ-1 переименован в СНИИП. Со 2.01.1967 г. открытое наименование «организация п/я 2502» (до 1988 г.). В 1971-72 г.- в ведении 17ГУ МСМ.</w:t>
      </w:r>
    </w:p>
    <w:p w14:paraId="72B339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1957-58 г. создан отдел № 9, в 1958 г. в СНИИ-1 переведена группа сотрудников из ИАЭ (18 чел.), К.Э. Эрглис и Б.Н. Кононов из МИФИ, Д.П. Ширшов из КБ-11, И.Д. Мурин из ФИ АН. Отдел № 5 автоматизации измерений в начале 1960-х переориентироаван на разработку ядерно-геофизической аппаратуры, в 1962 г. в его состав из отдела № 3 переведена лаборатория № 11 рудосортировочной аппаратуры. В 10.1962 г. нумерация лабораторий была упорядочена (в отделе № 3- лаборатории № 31, 32,...; в отделе № 4- № 41, 42,...). В 1966 г. из отдела № 4 выделился отдел № 10 (аппаратура для атомной энергетики).</w:t>
      </w:r>
    </w:p>
    <w:p w14:paraId="60B6FB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самого начала велась разработка спецаппаратуры для армии и флота: приборов радиационной разведки (носимых, бортовых и стационарных), радиационного контроля, противоатомной защиты (ПАЗ). В соответствии с ПСМ № 715-240 от 21.07.1967 г. и приказом МСМ № 0224 от 7.08.1967 г. институт определен головным по разработке бортовой аппаратуры, основанной на ионизирующих излучениях. В соответствии с ПСМ № 756-246 от 1.09.1980 г. и приказом МСМ № 0252 от 5.12.1980 г. СНИИП определен головным по разработке приборов радиационной разведки и контроля радиационного загрязнения. По решению ВПК № 145 от 8.05.1981 г. и указанию МСМ № СТ 1342/19/19 от 7.07.1981 г. институт определен головным по разработке средств защиты личного состава и техники от воздействия ОМП. В 1960-е  г. проведены НИР «Квадрат» (1963-65 г., В.В. Матвеев), «Лиственница», «Катет» по созданию аппаратуры 3-го поколения. В конце 1970-х- НИР «Пеламида» (А.Н. Климов) по аппаратуре 4-го поколения. По темам «Акула», «Сазан» и «Тевяк» создана информационно- управляющая система многоцелевого назначения (ИУС МН). Разрабатывали аппаратуру отделы № 101, 102, 103, 104, 106, 109.</w:t>
      </w:r>
    </w:p>
    <w:p w14:paraId="66E2178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момента образования в СКБ велась разработка поисковой и производственной аппаратуры для радиоактивных руд. Создано несколько поколений носимых и стационарных радиометров. Приказом МСМ № 091 от 15.03.1966 г. институт определен головным по созданию приборов для добычи и обогащения руд. Выполнены НИР «Бузина-Н», «Ирга-Н», «Ольха», «Пространство-1, -2», «Плющ», «Калина-Н», «Омела-Н», «Даная-Н». С 1960-х  г. - также разработка приборов для поиска и анализа нерадиоактивных руд. Создавались приборы для обеспечения радиационной безопасности на горно-добывающих предприятиях, на судах с ядерной энергетической установкой. Выполнены НИР «Квадрат» и «Литий» (1964-65 г.) по аппаратуре для атомных судов (В.В.Матвеев).</w:t>
      </w:r>
    </w:p>
    <w:p w14:paraId="0AAE782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Еще одним направлением деятельности была разработка серийной электронно-физической аппаратуры для науки и промышленности. В соответствии с ПСМ № 164-66 от 23.02.1967 г. и приказами МСМ № 0124 и № 0260 от 25.09.1967 г. СНИИП определен ведущим по дозиметрической, радиометрической и электронно-физической аппаратуре. Создано пять поколений аппаратуры. В 1956 г. проведена НИР «Огонь» и ОКР «Вьюга» по сцинтилляционным спектрометрам, в 1958-60 г. - НИР «Элемент», НИР «Шум» (1963 г.), НИР «Биота», «Бузина»; в 1957 г.- НИР «Прогресс», в 1961-62 г.- НИР «Точка» по внедрению транзисторов в измерительных приборах, в 1965 г.- НИР «Цапля», НИР «Чомга» (1973-75 г.); в 1968 г.- НИР «Морфей», в начале 1970-х- НИР «Минимум». В 1971 г. институт принимал участие в разработке первой отечественной мини-ЭВМ «Электроника-100», в 1975-76 г. разработана УНО-92.</w:t>
      </w:r>
    </w:p>
    <w:p w14:paraId="62445AA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1950-х  г. велась разработка индивидуальных дозиметров (темы «Медуза», «Сарган», «Мурена»), в т. ч. термолюминофорных (темы «Рак», «Шлейф»). В начале 1980-х  г. созданы первые отечественные цифровые электронные дозиметры.</w:t>
      </w:r>
    </w:p>
    <w:p w14:paraId="735623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1950-х  г.- разработка аппаратуры контроля и управления для атомных реакторов (отдел № 104). В начале 1960-х  г. создан специализированный отдел № 107. Созданы приборы контроля герметичности ТВЭЛов, несколько поколений систем внутриреакторного контроля, контроля радиационной безопасности (КРБ). В 1971 г. создан отдел (№ 110) по разработке аппаратуры контроля радиационной безопасности (АКРБ) на АЭС, в его составе в 1971-73 г. организованы лаборатории: блоков и устройств детектирования; системотехники; выводных устройств; электронных блоков и устройств. Затем созданы еще две лаборатории (конец 1980-х-90-е). В 1978 г. создан научный отдел математического и программного обеспечения этих систем (НОМПО), АСУ ТП реакторов. В составе отдела (1980-е  г.) 2 лаборатории: математического и программного обеспечения. Выполнены НИР «Восток» по системам контроля ВВР, НИР «Эхо» по контролю герметичности ТВЭЛов, в 1980-х  г.- НИР «Каракорум» по системам внутриреакторного контроля. Проведены также НИР «Лавр», «Пихта», «Лилия», «Лотос», «Орлан» (1979-81 г.), «Дилемма» (1991 г.). Аппаратуру контроля герметичности оболочек ТВЭЛов (КТО) разрабатывали три НИЛ и КБ, созданное для этого в 1970-х  г. По приказу МСМ № 060 от 25.03.1982 г. СНИИП назначен базовым предприятием по разработке и внедрению типовых проектов АСУ НИИ. С 1986 г.- НИР «Рубеж-Н» по концепции построения государственной системы радиационного контроля в стране, в начале 1990- х- ОКР «Ваятель» (совместно с ЦКБ «Комета»), В начале 1990-х  г. создана АСКРО «Радон» для Московского региона. Постановлениями правительства № 600 от 1992 г. и № 1085 от 1995 г. задано создание подобной системы для всей территории РФ.</w:t>
      </w:r>
    </w:p>
    <w:p w14:paraId="4AA3F6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конца 1950-х  г. велась разработка приборов для термоядерных исследований. Выполнены НИР «Температура» и «Конго». Разработка приборов для космических исследований, проведена НИР «Страус» (1962 г.).</w:t>
      </w:r>
    </w:p>
    <w:p w14:paraId="0F27CAB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1959 г. организован отдел № 6 метрологии и дозиметрии с лабораторией метрологии, которая в 1963 г. стала базовой для предприятий МСМ. По приказу МСМ № 320 от 30.12.1971 г. институт определен головным по метрологии и измерительной технике в области ионизирующих излучений. Далее это подтверждено ПСМ № 848- 286 от 9.12.1972 г. и приказами № 073 от 20.03.1973 г. и № 043 от 10.03.1983 г. Был создан отдел контрольно- измерительных приборов и аппаратуры (ОКИПиА). С 1959 г.- НИР «Эталон» по метрологии излучений (Д.П. Ширшов), затем- НИР «Биота». По приказу ГКИАЭ № 0240с от 29.11.1962 г. институту поручена разработка прецизионных метрологических установок для науки и промышленности. В 1964-66 г. выполнена ОКР «Лена-Н» по созданию приборов для НИФХИ. Затем для НИИЭФА по теме «Урал» создана первая промышленная установка 9024-01 для измерения параметров пучков электронов, выполнена работа «Омолон». В 1972 г. создана система мониторирования пучка излучения ускорителя для ВНИИЯГГ, в 1978 г.- для Ереванского физического института. В 1986 г. по теме «Юкон» создана калориметрическая установка УХ-12П. Изготавливалось различное поверочное оборудование по темам: «Шилка» (1973-79 г.), «Тулома» (1982 г.), «Электрон-1, -2» (1982-86 г.), «Сазан», «Ларга-Дюгонь», «Литий», «Ижора», «Локация» (1992 г.), «Кама». Созданы рабочие эталоны источников излучений- работы «Ганг» (1965 г.), «Сургут» (Э.Ф. Гарапов).</w:t>
      </w:r>
    </w:p>
    <w:p w14:paraId="04992C1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1983 г. в структуру Отдела метрологии введено бюро по координации базовыми организациями МСМ. В 1993 г. Метрологический центр СНИИП получил статус Отраслевого в области дозиметрии и радиометрии. В его составе: Базовая лаборатория метрологии ионизирующих излучений, Отраслевая лаборатория образцовых мер и градуировочных установок, ОКИП.</w:t>
      </w:r>
    </w:p>
    <w:p w14:paraId="033E5F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Действовал отдел № 8 стандартизации и унификации (1960-е). По приказу МСМ № 031 от 28.01.1970 г. СНИИП определен базовой организацией в стандартизации ядерной аппаратуры, в соответствии с ПСМ № 937 от 10.11.1970 г. и приказом № 0259 от 25.10.1971 г. определен головным по стандартизации и унификации в области ядерного приборостроения. По приказу № 47 от 9.07.1971 г. назначен головным по разработке Агрегатированной системы атомного приборостроения.</w:t>
      </w:r>
    </w:p>
    <w:p w14:paraId="0AF4D4F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1960-е  г. сформировался КО в составе девяти КБ, технологический отдел, метрологический и испытательный центры. Отдел испытаний был преобразован в базовый отдел надежности, испытаний и технического контроля (БОНИТК), в его состав входил ОТК. Бюро технической информации (БТИ) преобразовано в отдел научно-технической информации (ОНТИ), в его составе- техническая библиотека, типография, отдел изданий. В соответствии с ПСМ № 496 от 19.07.1971 г. и приказами № 0220 от 6.09.1971 г. и № 0180 от 5.07.1972 г. на СНИИП возложены функции головного отдела НТИ. По приказу № 332 от 07.1972 г. институт определен базовым в контроле за качеством продукции. Созданы подразделения патентных исследований, технико-экономических исследований.</w:t>
      </w:r>
    </w:p>
    <w:p w14:paraId="6D99A9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В 03.1963 г. введен в эксплуатацию Пятигорский филиал института (с 1965 г.- завод «Импульс»). 16.11.1970 г. введены в эксплуатацию филиалы в Обнинске (с 1974 г.- завод «Сигнал») и в  г. Желтые Воды (с 1974 г.- завод «Электрон»). В 10.1972 г. на строящемся заводе в Дубне организовано КТБ СНИИП. 25.11.1974 г. филиал в Дубне вступил в строй (с 1975 г.- завод «Тензор»),</w:t>
      </w:r>
    </w:p>
    <w:p w14:paraId="3B16A0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соответствии с ПСМ № 900 от 27.09.1967 г. начата разработка медицинских приборов для радиоизотопных исследований. В 1974 г. создана лаборатория приборов ядерной медицины.</w:t>
      </w:r>
    </w:p>
    <w:p w14:paraId="6E1FD5B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институте действовал ускоритель ЭГ-2,5.</w:t>
      </w:r>
    </w:p>
    <w:p w14:paraId="5656630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начале 1960-х  г. сформировано новое направление ядерного приборостроения- избирательная радиометрия. Долгое время институт был практически единственным в стране разработчиком аппаратуры для радиационных измерений. К 2002 г. создано более 2000 типов приборов.</w:t>
      </w:r>
    </w:p>
    <w:p w14:paraId="4B231C4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Сотрудники института принимали участие в ликвидации аварий на комбинате «Маяк», на Чернобыльской АЭС.</w:t>
      </w:r>
    </w:p>
    <w:p w14:paraId="1D00A3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1.01.1992 г. изменена организационная структура института. На базе отделений создано 12 хозрасчетных дочерних предприятий (ДП). Затем всего было создано более 40 ДП, на 2002 г. действовало 30. Приказом № 53 Минатома от 19.02.1992 г. переименован в НИЦ «СНИИП». В 1994 г. создан отдел № 5620 по обеспечению совместной деятельности и взаимодействию с малыми предприятиями. В 1995 г. создан Комитет по координации и научно-технической политике. В 1998 г. образован коммерческий отдел № 5210, в 1999 г.- информационный отдел № 5510.</w:t>
      </w:r>
    </w:p>
    <w:p w14:paraId="3C9B27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7467D7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института (2002 г.): отделения: НИО № 11, № 18 и № 19; КО № 14; метрологии, стандартизации и обеспечения качества продукции № 15; службы: инженерно-техническая и социально-хозяйственная № 2000 (отделения: по инженерно-техническому обеспечению № 21, по социально-хозяйственному обеспечению № 22); производственная № 2500 (отделения: производственное № 26, научно-производственное № 27); коммерческая № 5200 (отдел № 5210); финансово-экономическая № 5300 (отделы: финансово-бухгалтерский № 5310, планово- договорной № 5320); по обеспечению безопасности и работе с персоналом № 5400 (отделы: кадров № 5410, режимно-секретный № 5420; бюро пропусков № 5440); управления делами № 5500 (отдел № 5510, подразделение организационно-технического обеспечения № 5520); общетехническая № 5600 (советники гендирекции № 5610, отделы: № 5620, технической и международной деятельности № 5630); штаб ГО № 5450; юристконсульт № 5451. Имелись корпуса: главный, ОЭП, деревообработки и литья, научно-тематических отделов, теоретического отдела и отдела детекторов, склад РЭ изделий, склад механических изделий, КО, заготовительный цех, склад ГСМ, профком, столовая, поликлиника.</w:t>
      </w:r>
    </w:p>
    <w:p w14:paraId="5648FC2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(1952 г.)- 100 чел.</w:t>
      </w:r>
    </w:p>
    <w:p w14:paraId="48FE32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 (1952 г.-)- С.В. Мамиконян. Директор (04.1953-61 г.)- С.В. Мамиконян, (1961-73 г.)- А.А. Шеховцов; и.о. директора (04.1973-06.1974 г.)- В.В. Матвеев; (06.1974 г.-)- В.В. Матвеев. Гендиректор (-1997 г.)- В.В. Матвеев, (1.07.1997- 2001 г.-)- С.Б. Чебышов, (2007 г.)- А. Пелевин.</w:t>
      </w:r>
    </w:p>
    <w:p w14:paraId="5AE5D82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1-зам. директора, гендиректора- К.Н. Стась, (2000-02 г.-)- Д.Н. Бучинский. Зам. директора: по административно-хозяйственным вопросам (1952 г.-)- Т.А. Кручев; по научной работе (1962-74 г.)- В.В. Матвеев, (1968-89 г.)- И.С. Крашенинников, (1975-90 г.)- И.Д. Мурин, (1976-97 г.)- К.Н. Стась, по научно-производственной работе (-1997 г.)- С.Б. Чебышов; по производству- И.Е. Буренко; по экономическим и финансовым вопросам (1987-2000 г.)- Д.Н. Бучинский, (1998-2002 г.-)- В.А. Костин; по общим вопросам (1952-54 г.)-  Г.Д. Саларидзе, (1959-65 г.)- В.А. Жарненков, (-1962 г.)- К.М. Попков, (1965-75 г.)- Е.И. Черенков, (1975-86 г.)- В.В. Мазаев; по кадрам (1955 г.-)- А.И. Голубев, (1957-74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Антонов, М.Т. Шевлягин, Р.А. Соколов, по кадрам и режиму (1972-2002 г.-)- В.Ф. Углов.</w:t>
      </w:r>
    </w:p>
    <w:p w14:paraId="3EA36D2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Коммерческий директор- Д.Н. Бучинский. Управляющий делами (1968-91 г.)- С.П. Жуковский, (1991 -2002 г.-)- А.С. Ионов.</w:t>
      </w:r>
    </w:p>
    <w:p w14:paraId="1EA012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Научный руководитель (2001-02 г.-)- В.В. Матвеев.</w:t>
      </w:r>
    </w:p>
    <w:p w14:paraId="7DF704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инженер (1953-59 г.)- И. Г. Кокин, (1961-67 г.)- А.Д. Тарасов, К.Э. Эрглис, (1978-86 г.)- А.П. Чуйков, (1986- 2001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Королев.</w:t>
      </w:r>
    </w:p>
    <w:p w14:paraId="0882D8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инженера- А.С. Ионов, А.Д. Тарасов.</w:t>
      </w:r>
    </w:p>
    <w:p w14:paraId="1EABDE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 (1940-е)- В.Ф. Зимнухов, А.П. Чуйков, В.Н. Юдин. Гл. метролог (2002 г.)- И.П. Мысев.</w:t>
      </w:r>
    </w:p>
    <w:p w14:paraId="4292683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Директор отделения- В.И. Бурьян, М.Н. Голованов,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Жернов, (2000 г.-)- А.С. Книжник, А.Ф. Леонов, И.Д. Мурин, Ю.П. Сельдяков.</w:t>
      </w:r>
    </w:p>
    <w:p w14:paraId="05B4868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отделения (1990-2002 г.-)- И.П. Бирюков, М.Н. Голованов, (2002 г.)- А.Ф. Леонов, С.Б. Чебышов, (1999-2002 г.-&gt; И.И. Черкашин.</w:t>
      </w:r>
    </w:p>
    <w:p w14:paraId="7998E7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Начальники отделов: № 2 (1954-65 г.)- М.Н. Пчельников, (1965 г.-)- К.П. Марков, Л.В. Артеменкова, № 102 (1986 г.)- Н.В. Рябов; № 3 (1955-60 г.)- К.М. Попков, (1960 г.-)- И.П. Карпинский; № 4, № Ю4 (01.1956-83 г.)- Б.В. Немировский; № 5 (конец 1950-х)- К.Э. Эрглис, (1960-е)- Б. Г. Егиазаров; № 6 (1959 г.-)- Д.П. Ширшов; № 7 - В.И. Поликарпов; № 8 (1961 г.-)- И.Д. Мурин; № 9 (1957 г.-)- С.С. Курочкин; № 107 (1960-е-76 г.-)- В.И. Поликарпов, (1974 г.-)- И.В. Батенин; № 10 (1966-71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xml:space="preserve">. Жернов, № 110 (1971-76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xml:space="preserve">. Жернов; КО (1952 г.)- М.Н. Николас, (1950-е)- Ю.П. Новоселов, (1950-е)- Д.Д. Сачков; НОМПО (1980-е)- В.И. Глаголев, (1991 г.-)- В.И. Бурьян; технического (1960 г.-)- А.А. Тимофеев; технологического- А.П. Чуйков; технического архива- А. Г. Кротков; испытаний- Е.А. Левандовский; ОТК- Н. Г. Умнягин, А.С. Котов, (-2001 г.)- С.И. Мирошниченко; ОНТИ- В.В. Пищаев; кадров (1950-е)- Т. Г. Пальцева, В.И. Копылов,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xml:space="preserve">. Раков; международных связей (1970-е)- </w:t>
      </w:r>
      <w:r w:rsidRPr="00722885">
        <w:rPr>
          <w:rFonts w:ascii="Times New Roman" w:hAnsi="Times New Roman"/>
          <w:color w:val="000000" w:themeColor="text1"/>
          <w:sz w:val="16"/>
          <w:szCs w:val="16"/>
          <w:lang w:val="en-US"/>
        </w:rPr>
        <w:t>IQ</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II</w:t>
      </w:r>
      <w:r w:rsidRPr="00722885">
        <w:rPr>
          <w:rFonts w:ascii="Times New Roman" w:hAnsi="Times New Roman"/>
          <w:color w:val="000000" w:themeColor="text1"/>
          <w:sz w:val="16"/>
          <w:szCs w:val="16"/>
        </w:rPr>
        <w:t xml:space="preserve">. Новоселов; первый отдел- В.Я. Тополев-Солдунов, Р.С. Погонышев, В.А. Корнеев, (1984 г.-)- Б.А. Комиссаров; А.С. Ионов, Б.В. Поленов, </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JI</w:t>
      </w:r>
      <w:r w:rsidRPr="00722885">
        <w:rPr>
          <w:rFonts w:ascii="Times New Roman" w:hAnsi="Times New Roman"/>
          <w:color w:val="000000" w:themeColor="text1"/>
          <w:sz w:val="16"/>
          <w:szCs w:val="16"/>
        </w:rPr>
        <w:t>. Райхман, В.Н. Распутный, В.П. Филатов.</w:t>
      </w:r>
    </w:p>
    <w:p w14:paraId="79E7451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отдела: № 110 (1986 г.)- Н.И. Денисов; № 290 (1986 г.)- С.В. Рыкунов; КО (1950-е)- Ю.П. Новоселов, (1950-е)- Б.И. Ковалев; А.С. Ионов.</w:t>
      </w:r>
    </w:p>
    <w:p w14:paraId="385239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Начальники лабораторий: № 1, № 41 (1953-56 г.)- Б.В. Немировский, (1956 г.-)- А.П. Воронин; № 2 (1952 г.-)- Л.Н. Синева; № 3 (1954 г.-)- Л.А. Райкин; № 4 (1954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xml:space="preserve">. Пискарев; № ю (1955 г.-)- С.И. Бабиченко; № 11 (1955 г.-)- И.И. Крейндлин; № 12 (1956-57 г.)- Е.А. Левандовский, (1957-60-е)- Л.П. Клюкин; № и (1957-97 г.)- Б.И. Хазанов; № 23 (1958-62 г.)- В.В. Матвеев; № 42 (-1959-60-е)-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xml:space="preserve">. Жернов, (1960-е)- А.Н. Климов; № 43 (1960-е)- Н.А. Голованов; дозиметрии- Е.И. Дорофеев; аппаратуры измерения активности жидкостей (1960-е)- A.А.Поздняков,  Г.И. Эльцин, Л.М. Исаков; ...газов (1960-е)- К.Н. Стась, Н.В. Рябов; ...аэрозолей (1960-е)- В.Д. Камыщенко; ...объемных жидких сред (1960-е)- С.С. Петрусев; космической аппаратуры (1963 г.-)- А.И. Тихонюк; математического обеспечения (1980-е)- В.И. Бурьян; программного обеспечения (1980-е)- В.И. Глаголев; устройств памяти- К.Ф. Кузнецов; блоков и устройств детектирования (1973 г.)- Б.Л. Киселев, (1986 г.)- Ю.Е. Залманзон; системотехники (-1973-86 г.-)- В.М. Скаткин; выводных устройств (1973 г.)- Е.П. Мурашов; электронных блоков и устройств (1973 г.)- Н.В. Рыжов; приборов ядерной медицины (1974 г.-)- С.Н. Федорченко; М.И. Арсаев, И.П. Бирюков, (1940-е)- И.Я. Брейдо, (-1959 г.)- В.А. Букатов, (1960-е)- А.П. Воронин, М.Н. Голованов, (1962-97 г.)- Л.С. Горн, (1986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xml:space="preserve">. Друзьяк, Б. Г. Егиазаров, (1976 г.)- В.Д. Елизаров,  Г.К. Ермаков, Е.А. Жеребин, (1990-е)- И.Д. Иванов, (-2000 г.)- А.С. Книжник, (2002 г.)- В.В. Коваленко, Б.Н. Кононов, Б .А. Коротин, (-1960 г.)- И.С. Крашенинников, (1964 г.-)-  Г.Л. Левин, А.Ф. Леонов, Ю.В. Лопатин, И.Д. Мурин, И.П. Мысев, (2002 г.)- В.И. Никитин, (2002 г.)- В.И. Петров, Б.В. Поленов, (1940-е)- И.А. Прагер, (1962 г.-)- М.Л. Райхман, В.Н. Распутный, Е.И. Рехин, И.И. Рогушин, Ю.П. Сельдяков, В.А. Склянкин, (1980-е)- А.Д. Соколов, Е.А. Таманов, Ю.П. Федоровский,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Филонов, (-1999-2002 г.-)- И.И. Черкашин, В.В. Шипулин.</w:t>
      </w:r>
    </w:p>
    <w:p w14:paraId="4564973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Зам. начальника лаборатории: М.И. Арсаев,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II</w:t>
      </w:r>
      <w:r w:rsidRPr="00722885">
        <w:rPr>
          <w:rFonts w:ascii="Times New Roman" w:hAnsi="Times New Roman"/>
          <w:color w:val="000000" w:themeColor="text1"/>
          <w:sz w:val="16"/>
          <w:szCs w:val="16"/>
        </w:rPr>
        <w:t>. Филатов, С.Б. Чебышов.</w:t>
      </w:r>
    </w:p>
    <w:p w14:paraId="3F0B23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конструкторы: (1959 г.)-  Г.И. Эльцин (РНС-6), (-1959-75 г.-)- К.И. Любецкий (УРС-1, УЗС-1, АКНП-1, -2), (1969 г.)- Е.П. Мурашов («Система»), (1960-е)- А.И. Денисиков («Руза», «Угра»), (1960-е)-  Г.И. Бойко (УДИС-1, - 2), (1960-е)- Б.В. Немировский (КУРК-1),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xml:space="preserve">. Жернов (КАРК-01), Н.А. Голованов («Котик»), (1973 г.)-  Г.А. Дорофеев («Шилка»), (1976 г.)- Б.Н. Никифоров (ЗМТ2, ЗИИ2, ЗПТ2), (1976 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xml:space="preserve">. Гусаров (АКНП-3), (1979 г.)- И.П. Мысев («Шилка»), (1970-е)- Е.А. Жеребин («Ветер», «Арагац»), (1970-е)- Б.Л. Киселев («Сейвал-0»), А.Ф. Белов (КАРК-02, -03, -04), А.С. Книжник (аппаратура для КАРК), (-1980-99 г.-)- М.С. Каленский (АКНП-5/6), (1987 г.)- И.В. Соколов (АКНП-7), (1980-е)-  Г.Ф. Боровик (АКНП-7), (1980-е)- А. Г. Якушев (аппаратура контроля для ВВЭР-440), (1980-е-2000 г.-)- В.В. Барышев («Аладаг-М», ПТК-01), Н.В. Рыжов (АКРБ-03), (1980-е)- В.М. Скаткин (АКРБ-06), (1991-94 г.)- И.С. Крашенинников (АСУ ТП АЭС), (1993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xml:space="preserve">. Филонов («Мотор»), (1990- е)- Л.Ю. Грецкий, (1990-е)-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Друзьяк (КТО для АЭС «Хурагуа»), Ю. Г. Костылева («Ижора»), В.Ф. Шевченко («Кама»), Ю.М. Мирошник (аппаратура контроля для ВВЭР-1000).</w:t>
      </w:r>
    </w:p>
    <w:p w14:paraId="296585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гл. конструкторов: (1959 г.)- С.И. Моисеев (УРС-1, УЗС-1), (1969 г.)- Н.Е. Глазунов («Система»), (1960-е)-B.С.Жернов (КУРК-1), (1960-е)- М.Н. Николас (КУРК-1), В.М. Скаткин (КАРК-01), К.И. Любецкий (КАРК-01), B.А.Митюнин (КАРК-01), А.Д. Соколов («Котик»), Н.Е. Глазунов («Котик»), (1975 г.)-  Г.Ф. Боровик (АКНП-1, - 2), (1975 г.)- И.Е. Буренко (КАРК-01, АКНП-1, -2), (-1976-2000 г.-)-  Г.К. Ермаков (ЗМТ2, ЗИИ2, ЗПТ2, «Ветер», «Аладаг-М», ПТК-01, «Арагац»), (1970-е)-  Г.И. Мухин («Шилка»), (1970-е)- В.В. Барышев («Ветер», «Арагац»), А.С, Книжник (КАРК-02, -03, -04), А.Л. Белоус (КАРК-02, -03, -04), П.А. Бусаров, (КАРК-02, -03, -04), А.В. Виноградов (КАРК-02, -03, -04), Ю.В. Добреньков (КАРК-02, -03, -04), Н.В. Косинов (КАРК-02, -03, -04), С.М. Никитин (КАРК-02, -03, -04), Ю.В. Толмачев (КАРК-02, -03, -04), (1980-е)- А.И. Животягин (АКНП-7), (1980-е)-C.С.Цецорин («Аладаг-М»), (1993 г.)- В.М. Ушаков («Мотор»), А.И. Рыбаков («Ижора»), Ю.М. Мирошник. Начальники КБ: (1940-е)- М.Н. Николас, (1950-е)- С.В. Викулин, (1950-е)- М.Л. Каган, (1950-е-60-е)- В.А. Митюнин, (1950-е)- С.И. Моисеев, (1950-е-60-е)- А.И. Шилдин, (1950-е)- Е.Л. Эйдлин, (1970-е)-  Г.К. Ермаков.</w:t>
      </w:r>
    </w:p>
    <w:p w14:paraId="36C852D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групп: (1940-е)- Б.В. Немировский, (1940-е)- Л.Н. Синева, (1986 г.)- С.М. Епифанов, (1986 г.)- В.В. Макаров, (1986 г.)- В.А. Орехов, (1986 г.)- Ю.П. Федоровский, С.Б. Чебышов. Начальник БТИ-  Г.И. Закс, А.Ф. Лазарев.</w:t>
      </w:r>
    </w:p>
    <w:p w14:paraId="3E1FD2C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Создано: электронно-физическая аппаратура:</w:t>
      </w:r>
      <w:r w:rsidRPr="00722885">
        <w:rPr>
          <w:rFonts w:ascii="Times New Roman" w:hAnsi="Times New Roman"/>
          <w:color w:val="000000" w:themeColor="text1"/>
          <w:sz w:val="16"/>
          <w:szCs w:val="16"/>
        </w:rPr>
        <w:t xml:space="preserve"> установка «Б» для счета ядерных частиц (1947, совместно с ЛИПАН), установки «Д», «Ж», «И», «Л» (1947); выпрямители: ВСМ, ВСЭ-2500 «Орех» (1952); усилители: «Кедр» (1950), «Рябина», «Ракита» (1952), УШ-10 Эвкалипт» (1953), УИС-2, «Смородина», УШ-2 «Сирень» (1954), БУ-1, -3 (1961), «Шум» (1963), «Клест» (1965); измерители импульсов «Тюльпан» (1954), ПИ-4, -5, БИ-4, - 5; пересчетные установки: ПС-64 (1948), «Яблоня» (1952), Б-2, ПС-16, П, С-10000 «Флокс», ПС-100, ПС-20, ПС- 5М, ПСТ-100 (1954); счетчики импульсов ПП-1, -2, -3, -4, -9 (1963), БП-7, СНМ-10, -11, -12, -18, -42, счетчики Гейгера СТС-1, -8, СИ-13Г, -29БГ, -34Г; дискриминаторы: интегральный ИД-2 (1954), БД-5, дифференциальный БД-1, -3 (1961), ПД-1, -2; анализаторы ААДО-1, АДД-1, АДД-2 (1954), АИ-3, -4, -5, -7, -8 «Река» (1961), -256 «Диафрагма» (1962), МАА: АИ-50 «Самшит» (1950-е), АИ-100 «Радуга» (1957), «Линия» (1960), АИ-128 «Малыш» (1963), АИ-1024 «Тензор-4»; АИ-2048 (1962), -4096, -16000, приборы ПС-4 (1960), ПС-6, БДС-1, «Волна» (1950-е); электронные секундомеры ЭС-1 (1950-е), ПТ-1;</w:t>
      </w:r>
      <w:r w:rsidRPr="00722885">
        <w:rPr>
          <w:rFonts w:ascii="Times New Roman" w:hAnsi="Times New Roman"/>
          <w:iCs/>
          <w:color w:val="000000" w:themeColor="text1"/>
          <w:sz w:val="16"/>
          <w:szCs w:val="16"/>
        </w:rPr>
        <w:t xml:space="preserve"> спектрометры:</w:t>
      </w:r>
      <w:r w:rsidRPr="00722885">
        <w:rPr>
          <w:rFonts w:ascii="Times New Roman" w:hAnsi="Times New Roman"/>
          <w:color w:val="000000" w:themeColor="text1"/>
          <w:sz w:val="16"/>
          <w:szCs w:val="16"/>
        </w:rPr>
        <w:t xml:space="preserve"> СГС-1 «Вьюга» (1957), АСС «Буря» (1960), ГРАФ-1, 3164 «Лена» (1966), СЭН2-02 «Онега», СЭС2-03 «Лангур», СЭГС2-16 «Ангара» </w:t>
      </w:r>
      <w:r w:rsidRPr="00722885">
        <w:rPr>
          <w:rFonts w:ascii="Times New Roman" w:hAnsi="Times New Roman"/>
          <w:color w:val="000000" w:themeColor="text1"/>
          <w:sz w:val="16"/>
          <w:szCs w:val="16"/>
        </w:rPr>
        <w:lastRenderedPageBreak/>
        <w:t xml:space="preserve">(1960-е), </w:t>
      </w:r>
      <w:r w:rsidRPr="00722885">
        <w:rPr>
          <w:rFonts w:ascii="Times New Roman" w:hAnsi="Times New Roman"/>
          <w:color w:val="000000" w:themeColor="text1"/>
          <w:sz w:val="16"/>
          <w:szCs w:val="16"/>
          <w:lang w:val="en-US"/>
        </w:rPr>
        <w:t>SBS</w:t>
      </w:r>
      <w:r w:rsidRPr="00722885">
        <w:rPr>
          <w:rFonts w:ascii="Times New Roman" w:hAnsi="Times New Roman"/>
          <w:color w:val="000000" w:themeColor="text1"/>
          <w:sz w:val="16"/>
          <w:szCs w:val="16"/>
        </w:rPr>
        <w:t>-50, СКС-50А, СЭА-1001 «Альфа-Стофар», «Колибри», АМОС-1, ЯРГС-1, -2, -4, АРС-ФП «Граница» и ГС-14 СЦФ для КА «Фобос» (1980-е), ДУМС-1 «Кроншнеп» для КА «Венера-11, -12», «СВЕТ» («Дракон»), СКР-01М, СКР-02М «Голубь» для КА «Астрон» и «Салют-7», АРТ-С «Рябчик» для КА «Гранат», РИЭП-2801 «Вьюрок», РИЭП-2802 «Кукушка-2» для КА «Ореол-3», РИП-803 «Тетерев» для КА «Прогноз», СЭС-14 «Песчанка» для КА «Аркад» и «Ореол-3», РИП-806 и РИЭ-208 для КА «Ореол» и «Ореол-2», СЭС-20 «Блесна» для КА «Марс-96», СЭМН «Бисер», ССРГ «Бокал», УФС-М «Динар» для «Марс-96»; гамма-спектрометры: СГС-2 для КА «Космос- 60», РИГ-110 «Дрозд» для КА «Луна-8», РИМ-901, АИ-33 «Сектор», «Сектор-2» для «Луна-10» и «Луна-12», ГС- 4М для «Венера-8», ГС-6 «Граф» для «Венера-9, -10», ГС-5 «Высота» и «Высота-2» для «Марс-4, -5»; сцинтшшяционный детектор П-349 (1956), «Воря» (1970), датчики УСД-1 «Ромашка», БСД-1С, УСД-4, ГСД-4л «Спектр», «Модуль-10-6Д» (1960-е); блоки «Набор-Б, -М» (1961), БС-2, -3, -4, -5, -11 (1962), БП-2, -4, -6, БЗ-15, БС-6, БИ-2, -3 (1961), БР-1, «Вектор» (1971), БЭДА-1001; преобразователи: ППВ-1 «Нониус»; блоки питания ПВ- 2, БНВ-1; зарядные устройства ЗУК-1 (1950-е), -2, -3, УНК-8С; счетные установки: АСУ «Универсал» (1959), дифференциальная ДСУ-1 «Дифференциал»; система «Пучок» (1960-е), установка АИ-8 «Река» (1962), аппаратура «Вишня», «Черешня», «Рябина» (1960-е), 9063 «Амур» (1966), «Щегол» (1969), «Щегол-2» (1972), «Щегол-3» (1973), «Чомга» (1974); мини-ЭВМ УНО-92 «Лямбда» (1976), микро-ЭВМ МК-51 (2000); устройство УПФ-03; микрорентгенометры: ДП-1 «Вяз» (1951), ДП-2 (1957), танковый «Пихта» (1950), ДП-3 (1957); индикаторы радиоактивности ДП-62 «Тополь» (1953), ИГП-1 (ДП-63, 1955);</w:t>
      </w:r>
      <w:r w:rsidRPr="00722885">
        <w:rPr>
          <w:rFonts w:ascii="Times New Roman" w:hAnsi="Times New Roman"/>
          <w:iCs/>
          <w:color w:val="000000" w:themeColor="text1"/>
          <w:sz w:val="16"/>
          <w:szCs w:val="16"/>
        </w:rPr>
        <w:t xml:space="preserve"> радиометры:</w:t>
      </w:r>
      <w:r w:rsidRPr="00722885">
        <w:rPr>
          <w:rFonts w:ascii="Times New Roman" w:hAnsi="Times New Roman"/>
          <w:color w:val="000000" w:themeColor="text1"/>
          <w:sz w:val="16"/>
          <w:szCs w:val="16"/>
        </w:rPr>
        <w:t xml:space="preserve"> для ВМФ и МО: РГК- 1, РБК-1, КПН-1, РАК-1, КРАБ-1 (1950-е), -2, -3 (РЗС-01 «Котик»), КРБГ-1, КРАН-1, КРВП-2, РКС-01 (КРК-1), - 02С, КДГ-1, КРА-1, КРБ-1, КДН-2, РЗС-09, КР (1951), КР-2 (1952), РАП-1 (ДП-42, 1957), БГР-1 (ДП-12, 1957), КИР-1; «Фиалка» (1949), «Ирис» (1950); рудосортировочные «Тополь» (1950), «Дуб» (1950), ОРГ-59 «Вятка», ОРГ-Т, -Я, РСР-2 «Яхрома», РСР-3 «Стрела», РСР-4 «Вихрь», РСР-6 «Стенд», РСР-7 «Кварц» (1959), «Рассвет», «Спираль»; «Ель» (1951), «Ясень» (1951), «Осина», «Граб», поисковые «Верба» (1951), РПП-1 (1950-е), «Рупор», РГН-1 «Фон», «Ревизор» (1950-е), носимые СРП-2 «Кристалл» (1957), РРС «Селен» (1959), РАНаг-1 «Забой», ПКРС «Виток» (1958), АРП-3 «Ореол»; СРП-68 (1968); каротажные КРС «Ручей» (1956), «Рекорд» (1958), «МАКС-1, -2» (1963), «Штанга» (1961); стационарный РСУ «Объем» (1957); транспортерный РТИ; для космических исследований: ЛА-1 «Ласточка», ЛА-2 «Снегирь», Р-1 «Жаворонок»; РН-3 «Эфир», «Тисс» (1954), РНС-6 «Белена» (1959), РУП-1 (1950-е), СПСС2-1, СД-1М, </w:t>
      </w:r>
      <w:r w:rsidRPr="00722885">
        <w:rPr>
          <w:rFonts w:ascii="Times New Roman" w:hAnsi="Times New Roman"/>
          <w:color w:val="000000" w:themeColor="text1"/>
          <w:sz w:val="16"/>
          <w:szCs w:val="16"/>
          <w:lang w:val="en-US"/>
        </w:rPr>
        <w:t>P</w:t>
      </w:r>
      <w:r w:rsidRPr="00722885">
        <w:rPr>
          <w:rFonts w:ascii="Times New Roman" w:hAnsi="Times New Roman"/>
          <w:color w:val="000000" w:themeColor="text1"/>
          <w:sz w:val="16"/>
          <w:szCs w:val="16"/>
        </w:rPr>
        <w:t>3</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2-03 «Катран» (1970-е), КРАН-1, СУ-1М, 2154-1 «Протока» (1964), 2534-02 «Ясень-1», 2524-02 «Ясень-2», 2522-02 «Ясень-3», «Кедр» (1959), РИА2-01, РИГ2-03, - 04, РИГ-02С, -07П, УРБ-1, УРБ-2 «Грач» (1968), РЖГ2-04 «Берест-1», РЖГ2-03 «Берест-2», РЖГ-09 (1978), -16 (1988), -15С (1991), РЖБ2-01, -09П, -11П, БДЖГ-08С, РГЖ-20П, «Осокорь», «Дубровник» (1974), «Мидия», УДЖГ-05П, -37П, УДЖБ-18П, -19П, УДЖА-05П, УРФ-1, УДБГ-08П, -11П, УДАС-11П, УДПН-21П, УИМ-2, РГБЗ-01 «Ломонос», РГБ-02 «Саксаул», -3, -06 «Эвкалипт», -07 «Биота», -08П, РГА2-01 «Барбарис», РГА-05, - 06П, РКБ4-1, РПН-1, РПН-07, РПН2-01, -05, РАБСж-2 «Эльбрус» (1964), ИВ-1, ИВС-1 «Ландыш», ИВП-2 «Пар», КРВ-1 «Парус», ИЗВ-1 «Олеандр», ИЗВ-З «Багульник», ИЗВ-4, РСБ-1 «Берег-1», «Берег-2», РАС-03 (1970-е), -04, РАБПа-1 «Космос», РУБ-01П5 «Бересклет», -01П6 «Вензель», РА-12С «Бриз», РВ-3 «Пыль», РВ-4 «Дымка», РАА-02, РКБ2-02, РКС2-02 «Калина» (1973), «Коралл», СПУ-1, СПАР, «Луч-А», АРКР, АРС-1 «Комета», СУ-1М, «Актиния», «Ирга», МКС-01Р, -03С, РБС-2 (1962), РКС2-01 (1972), МРС-01; радиометры-дозиметры: МКС-01Р «Цна» (1985), -02С, -03С, -05Н «Инспектор», -06НМ (1990-е), -08П «Навигатор», -09П (1990-е);</w:t>
      </w:r>
      <w:r w:rsidRPr="00722885">
        <w:rPr>
          <w:rFonts w:ascii="Times New Roman" w:hAnsi="Times New Roman"/>
          <w:iCs/>
          <w:color w:val="000000" w:themeColor="text1"/>
          <w:sz w:val="16"/>
          <w:szCs w:val="16"/>
        </w:rPr>
        <w:t xml:space="preserve"> дозиметры:</w:t>
      </w:r>
      <w:r w:rsidRPr="00722885">
        <w:rPr>
          <w:rFonts w:ascii="Times New Roman" w:hAnsi="Times New Roman"/>
          <w:color w:val="000000" w:themeColor="text1"/>
          <w:sz w:val="16"/>
          <w:szCs w:val="16"/>
        </w:rPr>
        <w:t xml:space="preserve"> для МО: «Василек» (1951), КИД-4, -6, -7, -8, ИМД-21 (1975), ИМД-1 (1982), ИМД-12 (1982), ИМД-2 (1992), ИМД-13 (1995), ИМД-23 (2000), стационарные ДДУ-1 (1962), СРРМ-1 (1973), РХРМ (1986), авиационные М-341а (1982), ИМД-31 (1986), ИМД-32 (1998); КИД-1 (1954), ПМР-1 (1950-е), РП-1 (1950-е), КИД-5, ИД-1 «Пеликан» для КК для полета на Марс (1960-е), ИД-ЗМКС для МКС (1999), «Кактус» (1960-е), 1232-01 «Кура» (начало 1960-х), 2633-01 «Иртыш» (1968), ДН-А-1 (1960-е), ДРГ2-01 «Витим» (1972), ДРГЗ-01 «Араке», -02, -04 «Катунь» (конец 1960-х), «Сухона» (1970), ДКС2-01 «Ветлуга» (1974), ДРГ-05 «Ингул» (1975), МИР-1, УСИТ-2, Д-2Р (1972), «Язь» (1976), «Соловей», «Соловей-3» (1970-е), ДРР-01 «Вакш», КДТ-02, КИД-08, ДЭС-04, ДКС-04 «Стриж», -05 «Вилюй» (1982), ДРС-01 (1980), ДЭГ-08, УД-01 «Стриж-Ц», «Козодой» (1987), ДМГ-01Н «Киржач» (1989), ДКГ- 01И (1991), -02С «Вишера» (1990), -07С «Талон-48Б» (1992), -12П, -13П, ИР-02 (ДБГ-01Н), ИРД-02Б, -03Б «Василек», </w:t>
      </w:r>
      <w:r w:rsidRPr="00722885">
        <w:rPr>
          <w:rFonts w:ascii="Times New Roman" w:hAnsi="Times New Roman"/>
          <w:color w:val="000000" w:themeColor="text1"/>
          <w:sz w:val="16"/>
          <w:szCs w:val="16"/>
          <w:lang w:val="en-US"/>
        </w:rPr>
        <w:t>DG</w:t>
      </w:r>
      <w:r w:rsidRPr="00722885">
        <w:rPr>
          <w:rFonts w:ascii="Times New Roman" w:hAnsi="Times New Roman"/>
          <w:color w:val="000000" w:themeColor="text1"/>
          <w:sz w:val="16"/>
          <w:szCs w:val="16"/>
        </w:rPr>
        <w:t>-101, РЗС-10Н, ДКБ-01С «Березина» (1992), ДДС-07Н (1990-е), ИМЭД-1 (1998), бытовые ДБГ-02Б «Сверчок-2», ДБГ-03Б «Сверчок-4», ДБГ-04Б (ИРА-1), СИМ-01 «Светофор», СИМ-02, СИМ-03 «Элат», СИМ-05 «Юпитер», «Щелкунчик», ИР-01 «Белла», МС-04Б «Эксперт», РСМ100, «Аргус-2, -3» (1997), счетчик индивидуального контроля персонала атомных ледоколов СИЧ «Кашалот-6» (1969), стационарный МСГ-01 для АЭС (1979), подвижная лаборатория радиационного контроля для Чернобыльской АЭС ПРЛ-ЧАЭС на шасси ГАЗ-66 (1992), медицинские рентгенометры РМ-1М, МРМ-1, РП-1;</w:t>
      </w:r>
      <w:r w:rsidRPr="00722885">
        <w:rPr>
          <w:rFonts w:ascii="Times New Roman" w:hAnsi="Times New Roman"/>
          <w:iCs/>
          <w:color w:val="000000" w:themeColor="text1"/>
          <w:sz w:val="16"/>
          <w:szCs w:val="16"/>
        </w:rPr>
        <w:t xml:space="preserve"> метрологические приборы:</w:t>
      </w:r>
      <w:r w:rsidRPr="00722885">
        <w:rPr>
          <w:rFonts w:ascii="Times New Roman" w:hAnsi="Times New Roman"/>
          <w:color w:val="000000" w:themeColor="text1"/>
          <w:sz w:val="16"/>
          <w:szCs w:val="16"/>
        </w:rPr>
        <w:t xml:space="preserve"> мониторы вторичной эмиссии, цилиндры Фарадея (1960-е), установки: 9024-01, УХ-12П (1986), УПН-01, УПГ-01, -03, УПК- 01 (1970-е); гамма-стенды СПГ-01, -04, -05, нейтронные СПН-01 (1979), -02; комплект приборов КППО-01; сферический детектор, нейтронный генератор НГ-200; компараторы УРАБ-1, -2 (1960-е); приборы: «Руза», «Угра» для комбината «Маяк», УДИС-1, -2, РУБ-01; рабочие эталоны ВЭТ;</w:t>
      </w:r>
      <w:r w:rsidRPr="00722885">
        <w:rPr>
          <w:rFonts w:ascii="Times New Roman" w:hAnsi="Times New Roman"/>
          <w:iCs/>
          <w:color w:val="000000" w:themeColor="text1"/>
          <w:sz w:val="16"/>
          <w:szCs w:val="16"/>
        </w:rPr>
        <w:t xml:space="preserve"> поисковое оборудование: </w:t>
      </w:r>
      <w:r w:rsidRPr="00722885">
        <w:rPr>
          <w:rFonts w:ascii="Times New Roman" w:hAnsi="Times New Roman"/>
          <w:color w:val="000000" w:themeColor="text1"/>
          <w:sz w:val="16"/>
          <w:szCs w:val="16"/>
        </w:rPr>
        <w:t>лабораторный сцинтилляционный анализатор (ЛАС) «Баксан» (1950-е); установки: спектрометрическая ЛСУ-5к «Лаура» (1961), транзисторная «Скумбрия», «Протва», «Протва-2» (1962), «Морфей», «Гефест» (1960-е), СКС- 50Р (1990-е); аппаратура АЗИ-01 «Бел» (1970-е); приборы «Альфа-1, -3», МАК-1, АЛОК-1; комплексы «Генератор» (1963), «Сена» (1965), «Геракл» (1970), МАЯК-»Дятел»; анализаторы РПС-01 «Гагара», ЭФА; портативное пробоотборное устройство ППА; установки: 9454-01 «Факел-1», 9014-01 «Факел-2», 2054-02 «Поток», многоканальные УСИД-12 (1958), УСИТ-1 (1960), 8004-01 «Система» (1969), ТМДУ-1 «Антенна», КАТСРК «Орешник» (1980-е), КТСКРО «Орешник-Т» (2000);</w:t>
      </w:r>
      <w:r w:rsidRPr="00722885">
        <w:rPr>
          <w:rFonts w:ascii="Times New Roman" w:hAnsi="Times New Roman"/>
          <w:iCs/>
          <w:color w:val="000000" w:themeColor="text1"/>
          <w:sz w:val="16"/>
          <w:szCs w:val="16"/>
        </w:rPr>
        <w:t xml:space="preserve"> системы КРБ:</w:t>
      </w:r>
      <w:r w:rsidRPr="00722885">
        <w:rPr>
          <w:rFonts w:ascii="Times New Roman" w:hAnsi="Times New Roman"/>
          <w:color w:val="000000" w:themeColor="text1"/>
          <w:sz w:val="16"/>
          <w:szCs w:val="16"/>
        </w:rPr>
        <w:t xml:space="preserve"> «Сейвал», «Горбач», КАРК-01 «Кашалот» для ледокола «Ленин», КАРК-02, -03, -04, АКРБ-03, -06, -08 «Ларга-Дюгонь», ЦКРБ-01, АСРК-2000 (2000); для ВМФ КДУС-1 (1958), КУРК-1 «Объект», «Альфа», КМК-1 «Кальмар», КМК-2 (1982), КТ-1, ИУС МН; ДАУ-64, СКПВС-01С (1999); АСКРО «Радон» (1990-е); внутриреакторного контроля: РПН2-01, -04 (1977); «Ингода» для Воронежской АЭС; «Гиндукуш», «Гшдукуш-2», СВРК-01 (1985), -03, -04, -05, -06, -07, -08, -М «Гиндукуш-М» (1990-е); «Прохлада-1», ВЭТ-02 «Прохлада-5» (1977); система «Капри» для ВВЭР-440; приборы УРС-1, УЗС-1 для реактора ИРТ-1000 (1959), каналы контроля ЗМТ2-01, ЗИИ2-01, ЗПТ2-01 для ВВЭР-440 (1976), аппаратура АКНП-1, -2 «Суган» (1975), АКНП-3, АКНП-5/6 (1980), АКНП-7 (1987); аппаратура КГО: «Молния» (1965), «Арагац», РУГ2-01Р «Ветер» (1970-е), «Ветер-3», «Колорадо» (1970-е), «Аладаг-М» (1980-е), «Мотор» (1993), «Микропик» (1995), ПТК-01 (2000);</w:t>
      </w:r>
      <w:r w:rsidRPr="00722885">
        <w:rPr>
          <w:rFonts w:ascii="Times New Roman" w:hAnsi="Times New Roman"/>
          <w:iCs/>
          <w:color w:val="000000" w:themeColor="text1"/>
          <w:sz w:val="16"/>
          <w:szCs w:val="16"/>
        </w:rPr>
        <w:t xml:space="preserve"> приборы ПАЗ:</w:t>
      </w:r>
      <w:r w:rsidRPr="00722885">
        <w:rPr>
          <w:rFonts w:ascii="Times New Roman" w:hAnsi="Times New Roman"/>
          <w:color w:val="000000" w:themeColor="text1"/>
          <w:sz w:val="16"/>
          <w:szCs w:val="16"/>
        </w:rPr>
        <w:t xml:space="preserve"> РБЗ-1 (1957), ГО-27, ПКУЗ-1М (1988), ПИРК-1 (1992), авиационный ПИУ-1 (1979), корабельные КДУ-1 (1956), -2 (1958), -4 (1964), -5, -6 (1974), -8 (1992); учебно- тренировочные комплексы: МКМ-1 (1982), КУТС-1 (1989), -2, КМП-01С (1991);</w:t>
      </w:r>
      <w:r w:rsidRPr="00722885">
        <w:rPr>
          <w:rFonts w:ascii="Times New Roman" w:hAnsi="Times New Roman"/>
          <w:iCs/>
          <w:color w:val="000000" w:themeColor="text1"/>
          <w:sz w:val="16"/>
          <w:szCs w:val="16"/>
        </w:rPr>
        <w:t xml:space="preserve"> аппаратура для термоядерных исследований:</w:t>
      </w:r>
      <w:r w:rsidRPr="00722885">
        <w:rPr>
          <w:rFonts w:ascii="Times New Roman" w:hAnsi="Times New Roman"/>
          <w:color w:val="000000" w:themeColor="text1"/>
          <w:sz w:val="16"/>
          <w:szCs w:val="16"/>
        </w:rPr>
        <w:t xml:space="preserve"> установки: «Конго» с датчиками АСД-3, -4, НСД-3; диагностики плазмы УДП с датчиком ГСД-2; комплекс «Тороид» и дозиметрическая система СД-14 «Нарын» для «Токамака» (1988); комплекс КИИУ-5-01 для установки «Ангара-5» (1970-е); комплекс «Орт» для установки «Искра-5»;</w:t>
      </w:r>
      <w:r w:rsidRPr="00722885">
        <w:rPr>
          <w:rFonts w:ascii="Times New Roman" w:hAnsi="Times New Roman"/>
          <w:iCs/>
          <w:color w:val="000000" w:themeColor="text1"/>
          <w:sz w:val="16"/>
          <w:szCs w:val="16"/>
        </w:rPr>
        <w:t xml:space="preserve"> приборы для космических исследований:</w:t>
      </w:r>
      <w:r w:rsidRPr="00722885">
        <w:rPr>
          <w:rFonts w:ascii="Times New Roman" w:hAnsi="Times New Roman"/>
          <w:color w:val="000000" w:themeColor="text1"/>
          <w:sz w:val="16"/>
          <w:szCs w:val="16"/>
        </w:rPr>
        <w:t xml:space="preserve"> ДС-1 «Ястреб»; комплексы: «Альбатрос» в составе РИГ-101, РИГ-104, РИГ-105, РИЭ-202, РИН- 401 для КА «Космос-70»; ИКА-65 «Зяблик» для «Космос-215» (1968); «Вальдшнеп» в составе РИП-801, -802, РИЭ-204, -205 для «Космос-261, -348»; «Кулик» в составе СФЭИЗ, ИСЛ, ЦЗЛ, ЭА-1 для «Космос-378» (1960-е); «Фотон» в составе АМА-30С «Грань», 11АИС, БД-2 для КА «Марс-96», СЭС-21С «Диполь» с блоком БДЭР-06С для «Марс-96» (1990-е), РС-1М «Филин» для «Салют-4», ВГС-2М «Киви» (1985), СКА-1 «Бекас», СКА-2 «Перепел» и СКА-3 «Сойка» для «Интербол» (1982); анализаторы ААЛ-2АМ-01 «Годограф» для «Венера-11, - 12», АМА-20С «Гиперболоид» для «Венера-13, -14», АМ-А-25С «Градус» для «Вега-1, -2» (1985), АМ-А-21С «Градиент» для КА «Фобос-1, -2» (1980-е), СКС-03 «Буревестник», СКС-04 «Крапивник»; фотометры УФС-1 «Ворон-1» для «Марс-1, -2», УФС-2 «Ворон-2» для «Марс-4, -5», УФС-3 для «Венера-9, -10»; приборы РИМ-902 «Луток» для «Салют-4», РПП-01 «Гусь» для «Венера-11, -12», «ГАЗ-2», СП-1 «Галка» и БД-3 «Галка-2» для «Вега», «Пеликан» для наземного экспериментального комплекса марсианского корабля (1960-е), «Зевс» (1960-е); </w:t>
      </w:r>
      <w:r w:rsidRPr="00722885">
        <w:rPr>
          <w:rFonts w:ascii="Times New Roman" w:hAnsi="Times New Roman"/>
          <w:iCs/>
          <w:color w:val="000000" w:themeColor="text1"/>
          <w:sz w:val="16"/>
          <w:szCs w:val="16"/>
        </w:rPr>
        <w:t>медицинские приборы:</w:t>
      </w:r>
      <w:r w:rsidRPr="00722885">
        <w:rPr>
          <w:rFonts w:ascii="Times New Roman" w:hAnsi="Times New Roman"/>
          <w:color w:val="000000" w:themeColor="text1"/>
          <w:sz w:val="16"/>
          <w:szCs w:val="16"/>
        </w:rPr>
        <w:t xml:space="preserve"> гамма-лимфохронограф «Каменка-1», эзофагорадиометр «Каменка-2» (1960-е), установка «Истра»; РЖБ-01 «Дубровник», корпорограф РИК-01, радиометр РИГ-04П; комплексы: «Индий» и «Гелий» в составе радиометра РЖГ-07Ц, хроноскопа РИХ-5М, гамма-тирео-ратиометров ГТРМ-01Ц, ГТОМ-ОЩ (1978); электрокардиостимуляторы КСД-2 (1978), ЭКСВ-1 (1979), блоки для кардиостимуляторов ЭКС-1, -2, -3 (1977), приборы ТГОСЭ-1 (1980), ИПРМ-1 (1980-е), СТКС, С'ГКС-Д, система реанимационного контроля «Самарий» (1987), хроноскоп РИХ-08П </w:t>
      </w:r>
      <w:r w:rsidRPr="00722885">
        <w:rPr>
          <w:rFonts w:ascii="Times New Roman" w:hAnsi="Times New Roman"/>
          <w:color w:val="000000" w:themeColor="text1"/>
          <w:sz w:val="16"/>
          <w:szCs w:val="16"/>
          <w:vertAlign w:val="superscript"/>
        </w:rPr>
        <w:t>40</w:t>
      </w:r>
    </w:p>
    <w:p w14:paraId="65E53A9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Завод № 1 МЭСиЭП, Опытно-экспериментальное производство (ОЭП) СНИИП, ЗАО «ЭПЦ»</w:t>
      </w:r>
    </w:p>
    <w:p w14:paraId="26056BB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Вначале производственной базой ЦКБ-1 был завод № 1 Энергоремтреста МЭСиЭП. К началу 1960-х  г. опытный завод преобразован в опытное производство в составе НИИ-1. К 1963 г. в его составе было 7 цехов, в т.ч. механический № 1, сборочный № 2, инструментальный, отделочный.</w:t>
      </w:r>
    </w:p>
    <w:p w14:paraId="390293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Работы: НИОКР в области средств автоматизации и приборостроения; разработка перспективных технологий металлообработки; механическая обработка, сварка, штамповка, нанесение ЛКП и гальванических покрытий; изготовление деталей из зезины и пластмасс; монтаж, сборка и настройка приборов и оборудования.</w:t>
      </w:r>
    </w:p>
    <w:p w14:paraId="32D76EB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(1963 г.)- более 700 чел.</w:t>
      </w:r>
    </w:p>
    <w:p w14:paraId="0DC031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(1954-64 г.)- А.В. Трефилов. Начальник ОЭП (1964 г.-)- А.Д. Тарасов, Д.Н. Бучинский, (2002 г.)- С.В. Дробышев.</w:t>
      </w:r>
    </w:p>
    <w:p w14:paraId="21459F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(1959 г.-)- А.Д. Тарасов, К.П. Марков, А.П. Чуйков, Д.Н. Бучинский.</w:t>
      </w:r>
    </w:p>
    <w:p w14:paraId="070AEE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цехов: экспериментального (1940-е)- В.В. Гусаров; № 1 (1963 г.)- П.Д. Ченцов; № 2 (1963 г.)- С.Н. Ванаев, В.А. Ростовщиков; Д.Н. Бучинский.</w:t>
      </w:r>
    </w:p>
    <w:p w14:paraId="497E21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мини-ЭВМ УНО-92 (1976-)- 10; бытовые дозиметры «Щелкунчик», МС-04Б «Эксперт», ИРД- 02Б, ИРД-03Б «Василек»; радиометр КИР-1 (1960-е)- 120; комплексы радиационного контроля для ледоколов КАРК (1985-90)- 7.</w:t>
      </w:r>
    </w:p>
    <w:p w14:paraId="06DE6FD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Пятигорский филиал СНИИ-1, Завод, АО «Импульс» МСМ /г. Пятигорск/</w:t>
      </w:r>
    </w:p>
    <w:p w14:paraId="1E7579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введен в эксплуатацию в 03.1963 г. С 8.04.1965 г. преобразован в самостоятельный завод «Импульс». В конце 1960-х  г.- в ведении 17ГУ МСМ.</w:t>
      </w:r>
    </w:p>
    <w:p w14:paraId="1BBC46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(-1969-75 г.-)-  Г. Г. Попов.</w:t>
      </w:r>
    </w:p>
    <w:p w14:paraId="20E5FB2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измерители частоты БИ-2, БИ-3 (1964); анализаторы АИ-4, АИ-5 (1964); радиометры РГБ-07 «Биота» (1975-2002-), РКС-02С (1990-е);</w:t>
      </w:r>
      <w:r w:rsidRPr="00722885">
        <w:rPr>
          <w:rFonts w:ascii="Times New Roman" w:hAnsi="Times New Roman"/>
          <w:iCs/>
          <w:color w:val="000000" w:themeColor="text1"/>
          <w:sz w:val="16"/>
          <w:szCs w:val="16"/>
        </w:rPr>
        <w:t xml:space="preserve"> дозиметры:</w:t>
      </w:r>
      <w:r w:rsidRPr="00722885">
        <w:rPr>
          <w:rFonts w:ascii="Times New Roman" w:hAnsi="Times New Roman"/>
          <w:color w:val="000000" w:themeColor="text1"/>
          <w:sz w:val="16"/>
          <w:szCs w:val="16"/>
        </w:rPr>
        <w:t xml:space="preserve"> ДРС-01, ДЭС-04, ДКС-04 «Стриж» (1981-)-10 тыс., УД-01 «Стриж-Ц», ДКГ-01И (1990-е), бытовые ИР-01 «Белла», ИР-02 (ДБГ-01Н), ИРА-1 (ДБГ-04Б); аппаратура контроля радиационной безопасности АЭС АКРБ-06 (1980-е).</w:t>
      </w:r>
      <w:r w:rsidRPr="00722885">
        <w:rPr>
          <w:rFonts w:ascii="Times New Roman" w:hAnsi="Times New Roman"/>
          <w:color w:val="000000" w:themeColor="text1"/>
          <w:sz w:val="16"/>
          <w:szCs w:val="16"/>
          <w:vertAlign w:val="superscript"/>
        </w:rPr>
        <w:t>40</w:t>
      </w:r>
    </w:p>
    <w:p w14:paraId="31E07B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Обнинский филиал СНИИП, Завод «Сигнал» МСМ, ОАО «Приборный завод «Сигнал» /г. Обнинск Калужской обл./</w:t>
      </w:r>
    </w:p>
    <w:p w14:paraId="0BEDEAA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03.1969 г. утвержден проект строительства. Филиал введен в эксплуатацию 16.11.1970 г. С 22.01.1974 г. преобразован в самостоятельный завод «Сигнал». По Указу Президента РФ № 1009 от 4.08.2004 г. ОАО вошло в число стратегических оборонных предприятий.</w:t>
      </w:r>
    </w:p>
    <w:p w14:paraId="414F379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Директор (1970 г.)- Ф-Н. Смоляр, (1971 г.-)- А.Я. Мальский, (1990-е)-  Г.В. Мальский.</w:t>
      </w:r>
    </w:p>
    <w:p w14:paraId="1714AD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по капстроительству (1970-е)- Ф.Н. Смоляр.</w:t>
      </w:r>
    </w:p>
    <w:p w14:paraId="0F5FDE5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дозиметры:</w:t>
      </w:r>
      <w:r w:rsidRPr="00722885">
        <w:rPr>
          <w:rFonts w:ascii="Times New Roman" w:hAnsi="Times New Roman"/>
          <w:color w:val="000000" w:themeColor="text1"/>
          <w:sz w:val="16"/>
          <w:szCs w:val="16"/>
        </w:rPr>
        <w:t xml:space="preserve"> для МО ИМД-2 (1990-е), ИМД-21, бытовые СИМ-03 «Элат»; прибор ИМД-1 (1996); аппаратура: контроля ядерных реакторов ВЭТ-02 «Прохлада-5» для реакторов РБМК; системы управления и защиты (АСУЗ) для ВВЭР; контроля радиационной безопасности АЭС АКРБ-06 (1980-е); приборы противоатомной защиты ГО-27, ПКУЗ-1М (1990-е).</w:t>
      </w:r>
    </w:p>
    <w:p w14:paraId="6BE199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Филиал СНИИП, Завод «Электрон» МСМ /Украина  г. Желтые Воды/</w:t>
      </w:r>
    </w:p>
    <w:p w14:paraId="48CF90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03.1969 г. утвержден проект строительства. Филиал введен в эксплуатацию 16.11.1970 г. С 14.06.1974 г. преобразован в самостоятельный завод «Электрон».</w:t>
      </w:r>
    </w:p>
    <w:p w14:paraId="5DD9F9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(1970 г.)- В.А. Кобецкий, В. Г. Холоменко.</w:t>
      </w:r>
    </w:p>
    <w:p w14:paraId="0E55665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С.А. Каплоухий.</w:t>
      </w:r>
    </w:p>
    <w:p w14:paraId="7D44EE4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  Г.Н. Саблин.</w:t>
      </w:r>
    </w:p>
    <w:p w14:paraId="5874FF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w:t>
      </w:r>
      <w:r w:rsidRPr="00722885">
        <w:rPr>
          <w:rFonts w:ascii="Times New Roman" w:hAnsi="Times New Roman"/>
          <w:iCs/>
          <w:color w:val="000000" w:themeColor="text1"/>
          <w:sz w:val="16"/>
          <w:szCs w:val="16"/>
        </w:rPr>
        <w:t xml:space="preserve"> ИМ.</w:t>
      </w:r>
      <w:r w:rsidRPr="00722885">
        <w:rPr>
          <w:rFonts w:ascii="Times New Roman" w:hAnsi="Times New Roman"/>
          <w:color w:val="000000" w:themeColor="text1"/>
          <w:sz w:val="16"/>
          <w:szCs w:val="16"/>
        </w:rPr>
        <w:t xml:space="preserve"> Оскаленко.</w:t>
      </w:r>
    </w:p>
    <w:p w14:paraId="1B83E4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 дозиметры:</w:t>
      </w:r>
      <w:r w:rsidRPr="00722885">
        <w:rPr>
          <w:rFonts w:ascii="Times New Roman" w:hAnsi="Times New Roman"/>
          <w:color w:val="000000" w:themeColor="text1"/>
          <w:sz w:val="16"/>
          <w:szCs w:val="16"/>
        </w:rPr>
        <w:t xml:space="preserve"> для МО СРРМ-1 (1970-е), ИМД-1 (1980-е), ИМД-21, ИМД-31 (1980-е), М-341а (1980-е); радиотермолюминесцентные (1979-90)- 150, термолюминесцентный КДТ-02 (1980-е)- более 1000, промышленный ДРГЗ-04 «Катунь» (-1991)- около 2000, бытовые СИМ-01 «Светофор», ДБГ-04Б (ИРА-1); поверочный гамма-стенд СПГ-01 (1980-е); системы контроля радиоактивности для ВМФ КМК-1, КМК-2 (1980-е); прибор противоатомной защиты КДУ-6 (1970-е); учебно-тренировочный комплекс МКМ-1.</w:t>
      </w:r>
    </w:p>
    <w:p w14:paraId="2DE10E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Дубненский филиал СНИИП, Завод «Тензор» МСМ, АООТ, ОАО «Приборный завод «Тензор» Минатома /г. Дубна Московской обл. ул. Векслера, 6 (1969-71 г.)/ /141980  г. Дубна Московской обл. ул. Приборостроителей, 2 тел. (09621) 45-524/</w:t>
      </w:r>
    </w:p>
    <w:p w14:paraId="2E07C9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связи с необходимостью создания собственной производственной базы уникального приборостроения для ядерно-физических исследований ОИЯИ МСМ в 1968 г. принял решение о строительстве в  г. Дубна (в районе Большая Волга) приборостроительного завода- филиала СНИИП, в 03.1969 г. был утвержден проект строительства, 3.07.1969 г. начато строительство корпуса № 3 завода. «Дирекция строящегося завода» разместилась по адресу ул. Векслера, 6, а в 1971 г. переехала в построенное здание завода. В 1969 г. строительство завода было приостановлено и возобновлено в 1970 г. возведением корпуса № 1 площадью более 12 тыс. м</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По приказу МСМ от 21.06.1972 г. завод начал производственную деятельность, 23.08.1972 г. приказом по ГУ «Дирекция строящегося завода» была упразднена, ее функции переданы ОКС завода. В 10.1972 г. на заводе организовано Конструкторско-технологическое бюро (КТБ) СНИИП. 16.06.1973 г. Госкомиссией принята в эксплуатацию 1-я очередь производства, в этом же году завод выдал первую продукцию («Вектор»), 25.11.1974 г. филиал вступил в строй. 19.12.1975 г. преобразован в самостоятельный завод «Тензор».</w:t>
      </w:r>
    </w:p>
    <w:p w14:paraId="7BD401D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1979 г. был построен корпус № 2. Действовали цеха: радиомонтажно-сборочный (с 1973 г.), механический, гальванический, инструментальный, экспериментальный (с 1977 г.); участок печатных плат (затем- цех); Бюро управления качеством (с 1977 г.).</w:t>
      </w:r>
    </w:p>
    <w:p w14:paraId="0F58C5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Коллектив завода формировался работниками ДМЗ, Запрудненского электровакуумного завода, Савеловского машиностроительного завода, Опытного производства ОИЯИ.</w:t>
      </w:r>
    </w:p>
    <w:p w14:paraId="5B9E3C6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дальнейшем были освоены многие процессы высоких технологий (производство микроузлов на базе тонкопленочных технологий, лазерная сварка, сплавы металлов со стеклом). С конца 1980-х  г. освоено производство специальной фильтровальной техники. Для этого на заводе сооружен ускоритель ионов.</w:t>
      </w:r>
    </w:p>
    <w:p w14:paraId="607F56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1994 г. завод акционирован и преобразован в АООТ, затем- ОАО.</w:t>
      </w:r>
    </w:p>
    <w:p w14:paraId="10343F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Производство (2003 г.): комплексные системы физической защиты объектов; СВРК для АЭС; АСУ ТП; системы управления и контроля пожарной защитой; вычислительные комплексы и автоматизированные рабочие места операторов; агрегаты силового бесперебойного питания.</w:t>
      </w:r>
    </w:p>
    <w:p w14:paraId="3F6BEB8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Имелись производства (2003 г.): сборочно-монтажное, микроэлектронное, механообрабатывающее, химико- гальваническое. Имелись: метрологическая и испытательная базы с полигонами испытаний охранной и противопожарной техники; Маркетинго-инвестиционная служба; СКВ.</w:t>
      </w:r>
    </w:p>
    <w:p w14:paraId="2A3722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(конец 1973 г.)- более 700 чел., (2003 г.)- около 1500 чел.</w:t>
      </w:r>
    </w:p>
    <w:p w14:paraId="203982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(1969-87 г.)- П.А. Журавлев, Ю.Д. Никитский, (1992-95 г.-)- С.А. Каплоухий. Гендиректор (2002 г.)- И.Б. Барсуков.</w:t>
      </w:r>
    </w:p>
    <w:p w14:paraId="596201D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(9.06.1972 г.-)- Ю.Д. Никитский, Ю.К. Недачин, А.Н. Алексеев; по общим вопросам (05.1973 г.- )- О.В. Любимов; по производству (1981 г.-)- Ю.К. Недачин; по капстроительству (1972 г.-)- С.Н. Трачук.</w:t>
      </w:r>
    </w:p>
    <w:p w14:paraId="1FED733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(07.1970-72 г.)- С.Н. Трачук, (1972 г.-)- Ю.Д. Никитский, (1995 г.)- И.Б. Барсуков.</w:t>
      </w:r>
    </w:p>
    <w:p w14:paraId="7369E43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технолог (1972 г.-)- О.М. Проценко, И.Б. Барсуков. Гл. механик (1972 г.-)- Д.Х. Розенбер г. Начальник производства (1979-81 г.)- Ю.К. Недачин.</w:t>
      </w:r>
    </w:p>
    <w:p w14:paraId="4064E6A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Начальники цехов: радиомонтажно-сборочного (1970-е)- А.С. Жуков, (1979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JI</w:t>
      </w:r>
      <w:r w:rsidRPr="00722885">
        <w:rPr>
          <w:rFonts w:ascii="Times New Roman" w:hAnsi="Times New Roman"/>
          <w:color w:val="000000" w:themeColor="text1"/>
          <w:sz w:val="16"/>
          <w:szCs w:val="16"/>
        </w:rPr>
        <w:t>. Сардак; печатных плат- И.Б. Барсуков; инструментального (1970-е)- В.М. Страчков; экспериментального (1977-79 г.)- Ю.К. Недачин; тепло-энергоцеха (1972 г.-)- В.И. Портнов.</w:t>
      </w:r>
    </w:p>
    <w:p w14:paraId="79F152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Начальники отделов: ПДО (1972 г.-)- А.А. Рытик, (1979 г.-)- Ю.К. Недачин; ОКС (1972 г.-)- А.К. Зуев; оборудования и монтажа (1972 г.-)- Н.Е. Ильиных; снабжения (1970-е)- С.П. Конов; комплектации- П.Я. Былкин; кадров (1972 г.-)- В.В. Осокин; ОТиЗ- В.М. Лимонин, В.М. Страчков; АХО (1972 г.-)- В.М. Ермолаев, М.Б. Цимберг; Бюро управления качеством (1977 г.-)- Ю.И. Канев.</w:t>
      </w:r>
    </w:p>
    <w:p w14:paraId="39E4F40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начальника отдела: снабжения (1970-е)- П.Я. Былкин; производственного (1969 г.-)- С.М. Буденная.</w:t>
      </w:r>
    </w:p>
    <w:p w14:paraId="1F731C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iCs/>
          <w:color w:val="000000" w:themeColor="text1"/>
          <w:sz w:val="16"/>
          <w:szCs w:val="16"/>
        </w:rPr>
        <w:t>Производство:</w:t>
      </w:r>
      <w:r w:rsidRPr="00722885">
        <w:rPr>
          <w:rFonts w:ascii="Times New Roman" w:hAnsi="Times New Roman"/>
          <w:color w:val="000000" w:themeColor="text1"/>
          <w:sz w:val="16"/>
          <w:szCs w:val="16"/>
        </w:rPr>
        <w:t xml:space="preserve"> аппаратура «Вектор» (1973-); блок детектирования БДРС-01П (1986); системы внутриреакторного контроля (СВРК) «Гиндукуш» (1977-87)- 55, СВРК-01-07, -08 для ядерных реакторов ВВЭР- 440 и ВВЭР-1000 (1980-е); прибор телевизионного наблюдения за зоной реактора УСК (1980-); медицинский радиометр РЖГ-07Ц (1970-е)- 10; система защиты от проникновения СОС-1 с программно-техническим комплексом КИУ-02Ф (2000-е); электрокардиостимуляторы с плутониевым источником питания РЭКС; пленочные ядерные фильтры (трекопоры), объемнопористые фильтры;</w:t>
      </w:r>
      <w:r w:rsidRPr="00722885">
        <w:rPr>
          <w:rFonts w:ascii="Times New Roman" w:hAnsi="Times New Roman"/>
          <w:color w:val="000000" w:themeColor="text1"/>
          <w:sz w:val="16"/>
          <w:szCs w:val="16"/>
          <w:vertAlign w:val="superscript"/>
        </w:rPr>
        <w:t>2</w:t>
      </w:r>
      <w:r w:rsidRPr="00722885">
        <w:rPr>
          <w:rFonts w:ascii="Times New Roman" w:hAnsi="Times New Roman"/>
          <w:color w:val="000000" w:themeColor="text1"/>
          <w:sz w:val="16"/>
          <w:szCs w:val="16"/>
        </w:rPr>
        <w:t xml:space="preserve"> пуско-зарядное устройство для автомобилей «ПЗУ-Дубна».</w:t>
      </w:r>
      <w:r w:rsidRPr="00722885">
        <w:rPr>
          <w:rFonts w:ascii="Times New Roman" w:hAnsi="Times New Roman"/>
          <w:color w:val="000000" w:themeColor="text1"/>
          <w:sz w:val="16"/>
          <w:szCs w:val="16"/>
          <w:vertAlign w:val="superscript"/>
        </w:rPr>
        <w:t>119</w:t>
      </w:r>
    </w:p>
    <w:p w14:paraId="1E1EA6D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ЗАО «СНИИП-СИГМА» /123060  г. Москва, ул. Расплетина, 5/</w:t>
      </w:r>
    </w:p>
    <w:p w14:paraId="18F2F8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Метрологическое обеспечение; сертификация продукции.</w:t>
      </w:r>
    </w:p>
    <w:p w14:paraId="3C300B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середине 1990-х  г. на предприятии созданы Центр независимой оценки и сертификации измерительной аппаратуры и Испытательный центр изделий ядерного приборостроения.</w:t>
      </w:r>
    </w:p>
    <w:p w14:paraId="1A2EE6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Директор (2002 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Николаев.</w:t>
      </w:r>
    </w:p>
    <w:p w14:paraId="1460331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ООО «СНИИП-АТОМ»</w:t>
      </w:r>
    </w:p>
    <w:p w14:paraId="4995595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Проектирование и разработка АСУ ТП; исследования в области технического, программного и математического обеспечения АСУ.</w:t>
      </w:r>
    </w:p>
    <w:p w14:paraId="01904F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В.И. Бурьян.</w:t>
      </w:r>
    </w:p>
    <w:p w14:paraId="1840B1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ЗАО «СНИИП-СИСТЕМАТОМ» /123060  г. Москва ул. Расплетина, 5/</w:t>
      </w:r>
    </w:p>
    <w:p w14:paraId="04E3368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НИОКР, организация изготовления, внедрение управляющих систем защиты ядерной безопасности АЭС.</w:t>
      </w:r>
    </w:p>
    <w:p w14:paraId="1BAFCA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предприятия- 10 специализированных бюро (разработчики, конструкторы, монтажники, сборщики; по пусконаладочным работам и сервисному обслуживанию, маркетинга и экономики, МТО и кооперации, обеспечения качества).</w:t>
      </w:r>
    </w:p>
    <w:p w14:paraId="41F940F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Гендиректор (2002 г.)- </w:t>
      </w:r>
      <w:r w:rsidRPr="00722885">
        <w:rPr>
          <w:rFonts w:ascii="Times New Roman" w:hAnsi="Times New Roman"/>
          <w:color w:val="000000" w:themeColor="text1"/>
          <w:sz w:val="16"/>
          <w:szCs w:val="16"/>
          <w:lang w:val="en-US"/>
        </w:rPr>
        <w:t>B</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C</w:t>
      </w:r>
      <w:r w:rsidRPr="00722885">
        <w:rPr>
          <w:rFonts w:ascii="Times New Roman" w:hAnsi="Times New Roman"/>
          <w:color w:val="000000" w:themeColor="text1"/>
          <w:sz w:val="16"/>
          <w:szCs w:val="16"/>
        </w:rPr>
        <w:t>. Жернов.</w:t>
      </w:r>
    </w:p>
    <w:p w14:paraId="123E5A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Начальники бюро: (2000-е)- С.А. Бахарев, (2000-е)- А.Н. Глебов, (2002 г.)- </w:t>
      </w:r>
      <w:r w:rsidRPr="00722885">
        <w:rPr>
          <w:rFonts w:ascii="Times New Roman" w:hAnsi="Times New Roman"/>
          <w:color w:val="000000" w:themeColor="text1"/>
          <w:sz w:val="16"/>
          <w:szCs w:val="16"/>
          <w:lang w:val="en-US"/>
        </w:rPr>
        <w:t>A</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M</w:t>
      </w:r>
      <w:r w:rsidRPr="00722885">
        <w:rPr>
          <w:rFonts w:ascii="Times New Roman" w:hAnsi="Times New Roman"/>
          <w:color w:val="000000" w:themeColor="text1"/>
          <w:sz w:val="16"/>
          <w:szCs w:val="16"/>
        </w:rPr>
        <w:t>. Гусаров, (2000-е)- А.А. Заикин, (2000-е)- В.Ф. Кузнецова, (2000-е)- Ю.М. Мирошник, (2000-е)- П.В. Петров, (2000-е)- В.В. Пушкин, (2000-е)- В.В. Саломаткин, (2002 г.)- А.Е. Шермаков, (2000-е)- В.Ю. Штенников.</w:t>
      </w:r>
    </w:p>
    <w:p w14:paraId="7D2F22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ЗАО «СНИИП-АТОМприбор» /123060  г. Москва ул. Расплетина, 5/</w:t>
      </w:r>
    </w:p>
    <w:p w14:paraId="1439241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Разработка и изготовление систем: контроля герметичности ТВЭЛов, внутриреакторного контроля; информационно-измерительных; весоизмерительных; радиометрических.</w:t>
      </w:r>
    </w:p>
    <w:p w14:paraId="6F29323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Ю.В. Лопатин.</w:t>
      </w:r>
    </w:p>
    <w:p w14:paraId="1A78F9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ООО «СНИИП-АСКУР» /123060  г. Москва ул. Расплетина, 5/</w:t>
      </w:r>
    </w:p>
    <w:p w14:paraId="2DF60AC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w:t>
      </w:r>
    </w:p>
    <w:p w14:paraId="53079B6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и модернизация: АСУ ТП; программно-технических средств систем внутриреакторного контроля.</w:t>
      </w:r>
    </w:p>
    <w:p w14:paraId="65E2947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М.Н. Голованов.</w:t>
      </w:r>
    </w:p>
    <w:p w14:paraId="40667A5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(2002 г.)- В.П. Филатов.</w:t>
      </w:r>
    </w:p>
    <w:p w14:paraId="36701E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конструктор- В.П. Филатов.</w:t>
      </w:r>
    </w:p>
    <w:p w14:paraId="06554F6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АОЗТ «СНИИП-КОНВЭЛ» /123060  г. Москва ул. Расплетина, 5/</w:t>
      </w:r>
    </w:p>
    <w:p w14:paraId="11D3EEA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Разработка и изготовление приборов экологического контроля, мониторов для контроля несанкционированного перемещения радиоактивных веществ; автоматизированные системы радиационного контроля, радиометры воды, газов, радиометры для контроля поверхностей и проб, блоки детектирования альфа-, бета-, гамма- излучения; электронные часы, светодиодные табло. Разработана система вызывной сигнализации для больниц и домов престарелых.</w:t>
      </w:r>
    </w:p>
    <w:p w14:paraId="0A7619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(2007 г.)- 34 чел.</w:t>
      </w:r>
    </w:p>
    <w:p w14:paraId="6FB10E9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(-2000-07 г.-)- А.Ф. Леонов.</w:t>
      </w:r>
    </w:p>
    <w:p w14:paraId="7689B3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Руководитель направления (2002 г.)- Л.А. Сучкова.</w:t>
      </w:r>
    </w:p>
    <w:p w14:paraId="1BCAB19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АОЗТ «СНИИП-АВЕРС» /123060  г. Москва ул. Расплетина, 5/</w:t>
      </w:r>
    </w:p>
    <w:p w14:paraId="4A0B24F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Разработка радиометров контроля окружающей среды, спектрометров альфа- излучения, индивидуальных дозиметров.</w:t>
      </w:r>
    </w:p>
    <w:p w14:paraId="2895623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Б.В. Поленов.</w:t>
      </w:r>
    </w:p>
    <w:p w14:paraId="05E6571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ООО «СНИИП-АВТОМАТИКА» /123060  г. Москва ул. Расплетина, 5/</w:t>
      </w:r>
    </w:p>
    <w:p w14:paraId="70A8B9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Проведение НИОКР по приборам и системам АСУ ТП предприятий; системам радиационного контроля спецназначения.</w:t>
      </w:r>
    </w:p>
    <w:p w14:paraId="13E7AF9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(2000 г.)- С.Б. Чебышов, (2002 г.)- Л. Г. Титов.</w:t>
      </w:r>
    </w:p>
    <w:p w14:paraId="3A46E41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ООО «СНИИП-АУНИС»</w:t>
      </w:r>
    </w:p>
    <w:p w14:paraId="4CA8B9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Разработка: портативных дозиметров; систем обработки сигналов нейтронных детекторов.</w:t>
      </w:r>
    </w:p>
    <w:p w14:paraId="7FCEC1E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Н.Н. Вонсовский.</w:t>
      </w:r>
    </w:p>
    <w:p w14:paraId="39F22A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АОЗТ «СНИИП-ПЛЮС» /123060  г. Москва ул. Расплетина, 5/</w:t>
      </w:r>
    </w:p>
    <w:p w14:paraId="1A5C85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создано в 01.1994 г. Разработка и поставка: спектрометрических кремниевых детекторов, детекторов на основе ППД, блоков детектирования, зарядных устройств и источников питания.</w:t>
      </w:r>
    </w:p>
    <w:p w14:paraId="6A75426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(-2002-07 Г.-)- В. Г. Гулый.</w:t>
      </w:r>
    </w:p>
    <w:p w14:paraId="2F8199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АОЗТ «СНИИП-АСКРО» (автоматизированные системы контроля радиационной обстановки) /123060  г. Москва ул. Расплетина, 5/</w:t>
      </w:r>
    </w:p>
    <w:p w14:paraId="19DC387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Работы: модернизация действующих систем, установок контроля загрязненности радиоактивными веществами. Связь с ЭВМ, передача данных в сеть.</w:t>
      </w:r>
    </w:p>
    <w:p w14:paraId="306E1C6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В.М. Скаткин.</w:t>
      </w:r>
    </w:p>
    <w:p w14:paraId="0B44244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директора- В.М. Скаткин.</w:t>
      </w:r>
    </w:p>
    <w:p w14:paraId="502FE2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ООО «СНИИП-СЕРВИС» /123060  г. Москва ул. Расплетина, 5/</w:t>
      </w:r>
    </w:p>
    <w:p w14:paraId="580F33E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Пусконаладочные, ремонтные работы, сервисное обслуживание приборов радиационного контроля.</w:t>
      </w:r>
    </w:p>
    <w:p w14:paraId="5A466A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В.В. Лаптев.</w:t>
      </w:r>
    </w:p>
    <w:p w14:paraId="5A7829B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ООО «Экоинспект»</w:t>
      </w:r>
    </w:p>
    <w:p w14:paraId="4EE4753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НИОКР в области средств автоматизации и приборостроения.</w:t>
      </w:r>
    </w:p>
    <w:p w14:paraId="2D72B4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М.И. Арсаев.</w:t>
      </w:r>
    </w:p>
    <w:p w14:paraId="248BF7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ООО НТП «ЭЙТЕКС»</w:t>
      </w:r>
    </w:p>
    <w:p w14:paraId="28B3D77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Программное обеспечение информационных систем.</w:t>
      </w:r>
    </w:p>
    <w:p w14:paraId="165E57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В.И. Глаголев.</w:t>
      </w:r>
    </w:p>
    <w:p w14:paraId="3C62314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ООО «ГРИН СТАР ИНСТРУМЕНТС»</w:t>
      </w:r>
    </w:p>
    <w:p w14:paraId="1E08EBE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Разработка и производство детекторов ионизирующего излучения, анализаторов, спектрометров.</w:t>
      </w:r>
    </w:p>
    <w:p w14:paraId="574F9D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Ю.П. Сельдяков.</w:t>
      </w:r>
    </w:p>
    <w:p w14:paraId="246CEA4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ООО «ГРИН СТАР ТЕКНОЛОДЖИЗ»</w:t>
      </w:r>
    </w:p>
    <w:p w14:paraId="0164407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Разработка новых методов и приборов физико-химической и радиационной диагностики окружающей среды, анализа состава вещества.</w:t>
      </w:r>
    </w:p>
    <w:p w14:paraId="7E0A088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Ю.П. Сельдяков.</w:t>
      </w:r>
    </w:p>
    <w:p w14:paraId="61F6AB3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АНО «Измерительно-информационные технологии («ИЗИНТЕХ»)</w:t>
      </w:r>
    </w:p>
    <w:p w14:paraId="4F143A5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Стандартизация изделий ядерного приборостроения.</w:t>
      </w:r>
    </w:p>
    <w:p w14:paraId="561027F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К.Н. Стась.</w:t>
      </w:r>
    </w:p>
    <w:p w14:paraId="44DA770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ЗАО «ЭЙС ГРУП»</w:t>
      </w:r>
    </w:p>
    <w:p w14:paraId="0C149C1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ДП НИЦ «СНИИП» (2002 г.). Разработка, конструирование и испытания программно-технических комплексов для управляющих систем ядерных установок.</w:t>
      </w:r>
    </w:p>
    <w:p w14:paraId="0DB4C45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Директор (2002 г.)- А.В. Зорин (11982).</w:t>
      </w:r>
    </w:p>
    <w:p w14:paraId="6ADD4154"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452019C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институт «ГИНЗОЛОТО» преобразован в Завод № 172 НКЦМ по выпуску редких и цветных металлов для военной промышленности. Разработаны технологии обогащения оловянных, вольфрамовых, молибденовых руд и руд цветных металлов.</w:t>
      </w:r>
    </w:p>
    <w:p w14:paraId="7B8A585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1946 г. завод № 172 вновь преобразован в институт «Иргиредмет». В направления деятельности института вошли урановые, ториевые и тантало-ниобиевые руды. В 1955 г. после открытия якутских алмазов в институте создана лаборатория обогащения алмазосодержащего сырья, начаты исследования якутских месторождений. В 1966 г. институт определен головным для алмазной и золотодобывающей промышленности СССР.</w:t>
      </w:r>
    </w:p>
    <w:p w14:paraId="056BC2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1993 г. институт преобразован в АООТ, затем- в ОАО.</w:t>
      </w:r>
    </w:p>
    <w:p w14:paraId="120001E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составе института (2007 г.): 10 специализированных технологических лабораторий; отделы: проектный, НТИ, патентный, рекламно-маркетинговый; аналитический и коммерческий центры; опытно-обогатительная фабрика; производство по сбору и переработке вторичных драгметаллов.</w:t>
      </w:r>
    </w:p>
    <w:p w14:paraId="2556CA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Численность персонала (1871 г.)- 11 чел.</w:t>
      </w:r>
    </w:p>
    <w:p w14:paraId="0DA1601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Гендиректор (2007 г.)- В.Е. Дементьев.</w:t>
      </w:r>
    </w:p>
    <w:p w14:paraId="02F022A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гендиректора: (2007 г.)- О.В. Замятин; по научной работе и инновациям (2007 г.)-  Г.И. Войлошников; по общим вопросам (2007 г.)- С.М. Анохин.</w:t>
      </w:r>
    </w:p>
    <w:p w14:paraId="516F3C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Гл. инженер (2007 г.)- О.В. Замятин.</w:t>
      </w:r>
    </w:p>
    <w:p w14:paraId="3367A20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Руководители центров: бизнес-центра (2007 г.)- С.В. Валиков; коммерческого (2007 г.)- П.Д. Горбунов; аналитического (2007 г.)- Т.Д. Горностаева.</w:t>
      </w:r>
    </w:p>
    <w:p w14:paraId="29BF75D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Ученый секретарь (2007 г.)- А.А. Пунишко.</w:t>
      </w:r>
    </w:p>
    <w:p w14:paraId="311821F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Заведующие лабораториями: обогащения руд (2007 г.)- Д.И. Коган; обогащения россыпей (2007 г.)- В.М. Маньков; металлургической переработки концентратов и геотехнологии (2007 г.)- С.С. Гудков; обогащения алмазосодержащих руд и песков (2007 г.)- А.В. Прокопенко; разработки рудных месторождений (2007 г.)- В.П. Неганов; гидрометаллугрии благородных металлов (2007 г.)- О.Д. Хмельницкая; разработки россыпей и проектирования горных работ (2007 г.)- В. Г. Пятаков; охраны окружающей среды (2007 г.)- В.Ф. Петров; прикладной математики и ВТ (2007 г.)- В.В. Фандеев.</w:t>
      </w:r>
    </w:p>
    <w:p w14:paraId="05DB629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Заведующие отделами: проектно-конструкторским (2007 г.)- В.Я. Бывальцев; опытно-промышленного производства вторичных драгметаллов (2007 г.)- Ю.Б. Ярош; промышленной безопасности (2007 г.)- А.А. Давиденко; рекламно-маркетинговым (2007 г.)- Б.К. Кавчик; патентно-лицензионным (2007 г.)-  Г.В. Хадарина (11982).</w:t>
      </w:r>
    </w:p>
    <w:p w14:paraId="4C62D3C3"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662B8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был создан филиал ЦКБ-32 на заводе № 640, в его состав вошла группа конструкторов эвакуированного КБ завода № 5. В 1942 г. там разработан проект торпедного катера-малого охотника за ПЛ П-26 (пр. 200) в стальном (ТМ-200) и деревянном (ТД-200) вариантах. В 1945 г. филиал ЦКБ-32 реэвакуирован. Группа конструкторов катеров из КБ завода № 5 и филиала ЦКБ-32 была переведена в ЦКБ-19.</w:t>
      </w:r>
    </w:p>
    <w:p w14:paraId="144EFBD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Разработка и организация конвейерного производства деревянных боевых катеров (ВОВ).</w:t>
      </w:r>
    </w:p>
    <w:p w14:paraId="351F982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Руководитель (ВОВ)- Н.Н. Исанин.</w:t>
      </w:r>
    </w:p>
    <w:p w14:paraId="181C18F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Зам. по проектированию (</w:t>
      </w:r>
      <w:r w:rsidRPr="00722885">
        <w:rPr>
          <w:rFonts w:ascii="Times New Roman" w:hAnsi="Times New Roman"/>
          <w:color w:val="000000" w:themeColor="text1"/>
          <w:sz w:val="16"/>
          <w:szCs w:val="16"/>
          <w:lang w:val="en-US"/>
        </w:rPr>
        <w:t>BOB</w:t>
      </w:r>
      <w:r w:rsidRPr="00722885">
        <w:rPr>
          <w:rFonts w:ascii="Times New Roman" w:hAnsi="Times New Roman"/>
          <w:color w:val="000000" w:themeColor="text1"/>
          <w:sz w:val="16"/>
          <w:szCs w:val="16"/>
        </w:rPr>
        <w:t xml:space="preserve">)- </w:t>
      </w:r>
      <w:r w:rsidRPr="00722885">
        <w:rPr>
          <w:rFonts w:ascii="Times New Roman" w:hAnsi="Times New Roman"/>
          <w:color w:val="000000" w:themeColor="text1"/>
          <w:sz w:val="16"/>
          <w:szCs w:val="16"/>
          <w:lang w:val="en-US"/>
        </w:rPr>
        <w:t>JI</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JI</w:t>
      </w:r>
      <w:r w:rsidRPr="00722885">
        <w:rPr>
          <w:rFonts w:ascii="Times New Roman" w:hAnsi="Times New Roman"/>
          <w:color w:val="000000" w:themeColor="text1"/>
          <w:sz w:val="16"/>
          <w:szCs w:val="16"/>
        </w:rPr>
        <w:t>. Ермаш (одновременно был начальником КБ завода № 5).</w:t>
      </w:r>
    </w:p>
    <w:p w14:paraId="08F6493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Гл. конструкторы (1942 г.)- </w:t>
      </w:r>
      <w:r w:rsidRPr="00722885">
        <w:rPr>
          <w:rFonts w:ascii="Times New Roman" w:hAnsi="Times New Roman"/>
          <w:color w:val="000000" w:themeColor="text1"/>
          <w:sz w:val="16"/>
          <w:szCs w:val="16"/>
          <w:lang w:val="en-US"/>
        </w:rPr>
        <w:t>JI</w:t>
      </w:r>
      <w:r w:rsidRPr="00722885">
        <w:rPr>
          <w:rFonts w:ascii="Times New Roman" w:hAnsi="Times New Roman"/>
          <w:color w:val="000000" w:themeColor="text1"/>
          <w:sz w:val="16"/>
          <w:szCs w:val="16"/>
        </w:rPr>
        <w:t>.</w:t>
      </w:r>
      <w:r w:rsidRPr="00722885">
        <w:rPr>
          <w:rFonts w:ascii="Times New Roman" w:hAnsi="Times New Roman"/>
          <w:color w:val="000000" w:themeColor="text1"/>
          <w:sz w:val="16"/>
          <w:szCs w:val="16"/>
          <w:lang w:val="en-US"/>
        </w:rPr>
        <w:t>JI</w:t>
      </w:r>
      <w:r w:rsidRPr="00722885">
        <w:rPr>
          <w:rFonts w:ascii="Times New Roman" w:hAnsi="Times New Roman"/>
          <w:color w:val="000000" w:themeColor="text1"/>
          <w:sz w:val="16"/>
          <w:szCs w:val="16"/>
        </w:rPr>
        <w:t>. Ермаш (пр. 200).</w:t>
      </w:r>
    </w:p>
    <w:p w14:paraId="6B63B77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Создано: катер пр. 200 (1942), бронекатер пр. 191 (1944) (11982).</w:t>
      </w:r>
    </w:p>
    <w:p w14:paraId="6B8347EB"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266AF8FC" w14:textId="77777777" w:rsidR="00783826" w:rsidRPr="00722885" w:rsidRDefault="0078382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С 1942 г. под руководством старшего инженера С. А. Перельмутра в ЦАГИ проводились исследования мореходности подводных лодок, в частности была исследована на мореходность подводная лодка «К» (XIV серия) водоизмещением 1680 т в надводном положении при океанской волне высотой до 5 м. Для исследований была спроектирована и изготовлена специальная динамически-подобная модель корабля с полным воспроизведением на ней проницаемых и непроницаемых частей корпуса. Для записи колебаний модели на волне использовались специальные самописцы всплывающей конструкции ЦАГИ. Испы - тывались модели ПЛ «К» существующей конструкции, доработанной по предложению разработчика ПЛ — ЦКБ-18, и лодки со скуловыми образованиями разработки ЦАГИ, а также с отражающими щитками на мостике лодки. В результате испытаний ЦАГИ были даны рекомендации по установке отражающих щитков (было выполнено), по увеличению скорости движения на волне, так как на скоростях порядка 10 узлов возникали резонансные явления. В случае сохранения заливаемости рекомендовалось на одной из лодок установить скуловую форму носа по варианту, разработанному ЦАГИ. В процессе эксплуатации малых подводных лодок (особенно XV серии) было обнаружено, что на малых скоростях лодки теряют динамическую управляемость, т. е. при кормовых рулях, поставленных на всплытие, она не всплывает, а наоборот погружается. В связи с этим по заданию НК ВМФ и НКСП в ЦАГИ была проведена работа по изучению причин потери управляемости. Работы проводились под руководством профессора К. К. Федяевского. Теоре - ти ческая часть работы была основана на теории потери динамической управляемости на малых скоростях, разработанной Крокко. Было выявлено значительное различие поведения подводных лодок при управлении их кормовыми и носовыми рулями. Вопреки существовавшего мнения о невозможности потери динамической устойчивости при управлении носовыми рулями было показано существование инверсионной скорости и при работе носовыми рулями. Однако, при работе кормовыми рулями подводная лодка 90 Продувочная модель эскадренного миноносца управляема при </w:t>
      </w:r>
      <w:r w:rsidRPr="00722885">
        <w:rPr>
          <w:rFonts w:ascii="Times New Roman" w:hAnsi="Times New Roman"/>
          <w:color w:val="000000" w:themeColor="text1"/>
          <w:sz w:val="16"/>
          <w:szCs w:val="16"/>
        </w:rPr>
        <w:lastRenderedPageBreak/>
        <w:t>скоростях, больших инверсионной, тогда как при работе носовыми рулями она управляема при скоростях, меньших инверсионной. В случае с подводными лодками XV серии для улучшения управляемости на малых скоростях было рекомендовано пользоваться одними носовыми рулями. Испытания на Северном флоте подтвердили большую эффективность носовых рулей. В последующем на основании продувок моделей подводных лодок XV серии была показана возможность управления во всем диапазоне отклонения носовых рулей, обеспечивающем горизонтальное движение. Было также обнаружено весьма сильно влияние удлинения кормовых рулей на эффективность их действия. До конца войны ЦАГИ испытал большое число моделей подводных лодок и на основании полученных результатов провел расчеты потери их динамической управляемости. Кроме лодок XV серии испытывались модели подводных лодок 612-го проекта, IX-бис серии, немецкой лодки I-250, английской лодки В-4. При этом было установлено, что наилучшими показателями как в отношении инверсионной скорости при работе кормовыми рулями, так и в отношении приближенного критерия управляемости для кормовых и носовых рулей, обладают подводные лодки IX-бис серии (типа «С») (19727).</w:t>
      </w:r>
    </w:p>
    <w:p w14:paraId="70DEA3B3" w14:textId="77777777" w:rsidR="00783826" w:rsidRPr="00722885" w:rsidRDefault="00783826" w:rsidP="00722885">
      <w:pPr>
        <w:spacing w:after="0" w:line="240" w:lineRule="auto"/>
        <w:jc w:val="both"/>
        <w:rPr>
          <w:rFonts w:ascii="Times New Roman" w:hAnsi="Times New Roman"/>
          <w:color w:val="000000" w:themeColor="text1"/>
          <w:sz w:val="16"/>
          <w:szCs w:val="16"/>
        </w:rPr>
      </w:pPr>
    </w:p>
    <w:p w14:paraId="283B0729"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7B8E708E" w14:textId="77777777" w:rsidR="00BB6316" w:rsidRPr="00722885" w:rsidRDefault="00BB6316" w:rsidP="00722885">
      <w:pPr>
        <w:pStyle w:val="Iauiue"/>
        <w:jc w:val="both"/>
        <w:rPr>
          <w:iCs/>
          <w:color w:val="000000" w:themeColor="text1"/>
          <w:sz w:val="16"/>
          <w:szCs w:val="16"/>
        </w:rPr>
      </w:pPr>
    </w:p>
    <w:p w14:paraId="2280EE6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по официальным данным штаба ВВС КА боевые потери штурмовиков Ил-2 различных модификаций по всем воз</w:t>
      </w:r>
      <w:r w:rsidRPr="00722885">
        <w:rPr>
          <w:color w:val="000000" w:themeColor="text1"/>
          <w:sz w:val="16"/>
          <w:szCs w:val="16"/>
        </w:rPr>
        <w:softHyphen/>
        <w:t>душным армиям и ВВС фронтов составили 1676 машин, из них: 169 самолетов были сбиты в воздушных боях с немецкими истребителями, 203 штур</w:t>
      </w:r>
      <w:r w:rsidRPr="00722885">
        <w:rPr>
          <w:color w:val="000000" w:themeColor="text1"/>
          <w:sz w:val="16"/>
          <w:szCs w:val="16"/>
        </w:rPr>
        <w:softHyphen/>
        <w:t>мовика уничтожены огнем зенитной ар</w:t>
      </w:r>
      <w:r w:rsidRPr="00722885">
        <w:rPr>
          <w:color w:val="000000" w:themeColor="text1"/>
          <w:sz w:val="16"/>
          <w:szCs w:val="16"/>
        </w:rPr>
        <w:softHyphen/>
        <w:t>тиллерии, 14 машин потеряно на аэро</w:t>
      </w:r>
      <w:r w:rsidRPr="00722885">
        <w:rPr>
          <w:color w:val="000000" w:themeColor="text1"/>
          <w:sz w:val="16"/>
          <w:szCs w:val="16"/>
        </w:rPr>
        <w:softHyphen/>
        <w:t>дромах и 1290 "Илов" не вернулось с боевого задания (необходимо иметь вви</w:t>
      </w:r>
      <w:r w:rsidRPr="00722885">
        <w:rPr>
          <w:color w:val="000000" w:themeColor="text1"/>
          <w:sz w:val="16"/>
          <w:szCs w:val="16"/>
        </w:rPr>
        <w:softHyphen/>
        <w:t>ду, что большая часть этих потерь при</w:t>
      </w:r>
      <w:r w:rsidRPr="00722885">
        <w:rPr>
          <w:color w:val="000000" w:themeColor="text1"/>
          <w:sz w:val="16"/>
          <w:szCs w:val="16"/>
        </w:rPr>
        <w:softHyphen/>
        <w:t>ходится на истребительную авиацию Люфтваффе).</w:t>
      </w:r>
    </w:p>
    <w:p w14:paraId="4747825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К этому числу необходимо добавить штурмовики Ил-2, потерянные авиаци</w:t>
      </w:r>
      <w:r w:rsidRPr="00722885">
        <w:rPr>
          <w:color w:val="000000" w:themeColor="text1"/>
          <w:sz w:val="16"/>
          <w:szCs w:val="16"/>
        </w:rPr>
        <w:softHyphen/>
        <w:t>ей флота. Согласно официальным дан</w:t>
      </w:r>
      <w:r w:rsidRPr="00722885">
        <w:rPr>
          <w:color w:val="000000" w:themeColor="text1"/>
          <w:sz w:val="16"/>
          <w:szCs w:val="16"/>
        </w:rPr>
        <w:softHyphen/>
        <w:t>ным штаба ВМФ КА, ВВС флотов в пе</w:t>
      </w:r>
      <w:r w:rsidRPr="00722885">
        <w:rPr>
          <w:color w:val="000000" w:themeColor="text1"/>
          <w:sz w:val="16"/>
          <w:szCs w:val="16"/>
        </w:rPr>
        <w:softHyphen/>
        <w:t>риод с 22.06.41 г. no21.06.42r. потеря</w:t>
      </w:r>
      <w:r w:rsidRPr="00722885">
        <w:rPr>
          <w:color w:val="000000" w:themeColor="text1"/>
          <w:sz w:val="16"/>
          <w:szCs w:val="16"/>
        </w:rPr>
        <w:softHyphen/>
        <w:t>ли 66 Ил-2, из которых 39 машин погиб</w:t>
      </w:r>
      <w:r w:rsidRPr="00722885">
        <w:rPr>
          <w:color w:val="000000" w:themeColor="text1"/>
          <w:sz w:val="16"/>
          <w:szCs w:val="16"/>
        </w:rPr>
        <w:softHyphen/>
        <w:t>ли на Черном море, остальные - на Бал</w:t>
      </w:r>
      <w:r w:rsidRPr="00722885">
        <w:rPr>
          <w:color w:val="000000" w:themeColor="text1"/>
          <w:sz w:val="16"/>
          <w:szCs w:val="16"/>
        </w:rPr>
        <w:softHyphen/>
        <w:t>тике (списанные по акту "ильюшины" при подсчете не учитывались).</w:t>
      </w:r>
    </w:p>
    <w:p w14:paraId="1D6147E3"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Средний налет на одну боевую поте</w:t>
      </w:r>
      <w:r w:rsidRPr="00722885">
        <w:rPr>
          <w:color w:val="000000" w:themeColor="text1"/>
          <w:sz w:val="16"/>
          <w:szCs w:val="16"/>
        </w:rPr>
        <w:softHyphen/>
        <w:t>рю штурмовиков Ил-2 всех модифика</w:t>
      </w:r>
      <w:r w:rsidRPr="00722885">
        <w:rPr>
          <w:color w:val="000000" w:themeColor="text1"/>
          <w:sz w:val="16"/>
          <w:szCs w:val="16"/>
        </w:rPr>
        <w:softHyphen/>
        <w:t>ций по всем воздушным армиям и ВВС фронтов во второй год войны составил примерно 17 боевых самолето-вылетов. При этом необходимо учитывать, что в начале 42-го боевые потери "ильюшиных" были значительно выше, чем в кон</w:t>
      </w:r>
      <w:r w:rsidRPr="00722885">
        <w:rPr>
          <w:color w:val="000000" w:themeColor="text1"/>
          <w:sz w:val="16"/>
          <w:szCs w:val="16"/>
        </w:rPr>
        <w:softHyphen/>
        <w:t>це года, так как после перевооружения штурмовых авиачастей на двухместный Ил-2, увеличения численности и изме</w:t>
      </w:r>
      <w:r w:rsidRPr="00722885">
        <w:rPr>
          <w:color w:val="000000" w:themeColor="text1"/>
          <w:sz w:val="16"/>
          <w:szCs w:val="16"/>
        </w:rPr>
        <w:softHyphen/>
        <w:t>нения тактики их боевого применения боевые потери "Илов" уменьшились в среднем в 1,5-2 раза.</w:t>
      </w:r>
    </w:p>
    <w:p w14:paraId="380F8CF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Так, если в период с 22.06.41 г. по 01.07.42 г. средний налет, приходящий</w:t>
      </w:r>
      <w:r w:rsidRPr="00722885">
        <w:rPr>
          <w:color w:val="000000" w:themeColor="text1"/>
          <w:sz w:val="16"/>
          <w:szCs w:val="16"/>
        </w:rPr>
        <w:softHyphen/>
        <w:t>ся на одну боевую потерю Ил-2 по всем фронтам по официальным данным ВВС, составил 13 самолето-вылетов, то в пе</w:t>
      </w:r>
      <w:r w:rsidRPr="00722885">
        <w:rPr>
          <w:color w:val="000000" w:themeColor="text1"/>
          <w:sz w:val="16"/>
          <w:szCs w:val="16"/>
        </w:rPr>
        <w:softHyphen/>
        <w:t>риод с 01.08.42 г. по 01.06.43 г. - уже 26'самолето-вылетов на одну боевую потерю.</w:t>
      </w:r>
    </w:p>
    <w:p w14:paraId="47A057E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 xml:space="preserve">Ясно, что усреднение по отдельным полкам и направлениям даст результат, отличающийся от приведенного выше. Например, 567-й </w:t>
      </w:r>
      <w:r w:rsidRPr="00722885">
        <w:rPr>
          <w:iCs/>
          <w:color w:val="000000" w:themeColor="text1"/>
          <w:sz w:val="16"/>
          <w:szCs w:val="16"/>
        </w:rPr>
        <w:t>шап</w:t>
      </w:r>
      <w:r w:rsidRPr="00722885">
        <w:rPr>
          <w:color w:val="000000" w:themeColor="text1"/>
          <w:sz w:val="16"/>
          <w:szCs w:val="16"/>
        </w:rPr>
        <w:t xml:space="preserve"> 2-й РАГ Северо-западного фронта в период 31.03-14.06.42 г. имел средний налет на одну боевую потерю Ил-2 - 6-7 боевых вы</w:t>
      </w:r>
      <w:r w:rsidRPr="00722885">
        <w:rPr>
          <w:color w:val="000000" w:themeColor="text1"/>
          <w:sz w:val="16"/>
          <w:szCs w:val="16"/>
        </w:rPr>
        <w:softHyphen/>
        <w:t xml:space="preserve">летов (6 часов налета), 874-й </w:t>
      </w:r>
      <w:r w:rsidRPr="00722885">
        <w:rPr>
          <w:iCs/>
          <w:color w:val="000000" w:themeColor="text1"/>
          <w:sz w:val="16"/>
          <w:szCs w:val="16"/>
        </w:rPr>
        <w:t>шап</w:t>
      </w:r>
      <w:r w:rsidRPr="00722885">
        <w:rPr>
          <w:color w:val="000000" w:themeColor="text1"/>
          <w:sz w:val="16"/>
          <w:szCs w:val="16"/>
        </w:rPr>
        <w:t xml:space="preserve"> 267-й </w:t>
      </w:r>
      <w:r w:rsidRPr="00722885">
        <w:rPr>
          <w:iCs/>
          <w:color w:val="000000" w:themeColor="text1"/>
          <w:sz w:val="16"/>
          <w:szCs w:val="16"/>
        </w:rPr>
        <w:t>шад</w:t>
      </w:r>
      <w:r w:rsidRPr="00722885">
        <w:rPr>
          <w:color w:val="000000" w:themeColor="text1"/>
          <w:sz w:val="16"/>
          <w:szCs w:val="16"/>
        </w:rPr>
        <w:t xml:space="preserve"> 2-й ВА Воронежского фронта в пе</w:t>
      </w:r>
      <w:r w:rsidRPr="00722885">
        <w:rPr>
          <w:color w:val="000000" w:themeColor="text1"/>
          <w:sz w:val="16"/>
          <w:szCs w:val="16"/>
        </w:rPr>
        <w:softHyphen/>
        <w:t>риод 27.07-18.09.42 г. - 9 боевых выле</w:t>
      </w:r>
      <w:r w:rsidRPr="00722885">
        <w:rPr>
          <w:color w:val="000000" w:themeColor="text1"/>
          <w:sz w:val="16"/>
          <w:szCs w:val="16"/>
        </w:rPr>
        <w:softHyphen/>
        <w:t xml:space="preserve">тов, 945-й </w:t>
      </w:r>
      <w:r w:rsidRPr="00722885">
        <w:rPr>
          <w:iCs/>
          <w:color w:val="000000" w:themeColor="text1"/>
          <w:sz w:val="16"/>
          <w:szCs w:val="16"/>
        </w:rPr>
        <w:t>шап</w:t>
      </w:r>
      <w:r w:rsidRPr="00722885">
        <w:rPr>
          <w:color w:val="000000" w:themeColor="text1"/>
          <w:sz w:val="16"/>
          <w:szCs w:val="16"/>
        </w:rPr>
        <w:t xml:space="preserve"> 206-й </w:t>
      </w:r>
      <w:r w:rsidRPr="00722885">
        <w:rPr>
          <w:iCs/>
          <w:color w:val="000000" w:themeColor="text1"/>
          <w:sz w:val="16"/>
          <w:szCs w:val="16"/>
        </w:rPr>
        <w:t>шад</w:t>
      </w:r>
      <w:r w:rsidRPr="00722885">
        <w:rPr>
          <w:color w:val="000000" w:themeColor="text1"/>
          <w:sz w:val="16"/>
          <w:szCs w:val="16"/>
        </w:rPr>
        <w:t xml:space="preserve"> 8-й ВА Сталин</w:t>
      </w:r>
      <w:r w:rsidRPr="00722885">
        <w:rPr>
          <w:color w:val="000000" w:themeColor="text1"/>
          <w:sz w:val="16"/>
          <w:szCs w:val="16"/>
        </w:rPr>
        <w:softHyphen/>
        <w:t>градского фронта в период 13.10-22.12.42 г. - 11 боевых вылетов, и т.д.</w:t>
      </w:r>
    </w:p>
    <w:p w14:paraId="6D58B671"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Для сравнения, в период битвы под Сталинградом на одну боевую потерю истребителя ЛаГГ-3 пришлось 43 бое</w:t>
      </w:r>
      <w:r w:rsidRPr="00722885">
        <w:rPr>
          <w:color w:val="000000" w:themeColor="text1"/>
          <w:sz w:val="16"/>
          <w:szCs w:val="16"/>
        </w:rPr>
        <w:softHyphen/>
        <w:t>вых вылета, Ла-5 - 40, Як-1 - 45, а бом</w:t>
      </w:r>
      <w:r w:rsidRPr="00722885">
        <w:rPr>
          <w:color w:val="000000" w:themeColor="text1"/>
          <w:sz w:val="16"/>
          <w:szCs w:val="16"/>
        </w:rPr>
        <w:softHyphen/>
        <w:t>бардировщика Пе-2 - 54 боевых само</w:t>
      </w:r>
      <w:r w:rsidRPr="00722885">
        <w:rPr>
          <w:color w:val="000000" w:themeColor="text1"/>
          <w:sz w:val="16"/>
          <w:szCs w:val="16"/>
        </w:rPr>
        <w:softHyphen/>
        <w:t>лето-вылетов.</w:t>
      </w:r>
    </w:p>
    <w:p w14:paraId="7F5C0D7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Средний процент неисправных Ил-2 в штурмовых авиачастях в 1942 г. сни</w:t>
      </w:r>
      <w:r w:rsidRPr="00722885">
        <w:rPr>
          <w:color w:val="000000" w:themeColor="text1"/>
          <w:sz w:val="16"/>
          <w:szCs w:val="16"/>
        </w:rPr>
        <w:softHyphen/>
        <w:t>зился до 21,4% (с 32% в 1941 г.). Од</w:t>
      </w:r>
      <w:r w:rsidRPr="00722885">
        <w:rPr>
          <w:color w:val="000000" w:themeColor="text1"/>
          <w:sz w:val="16"/>
          <w:szCs w:val="16"/>
        </w:rPr>
        <w:softHyphen/>
        <w:t>нако в отдельных случаях процент не</w:t>
      </w:r>
      <w:r w:rsidRPr="00722885">
        <w:rPr>
          <w:color w:val="000000" w:themeColor="text1"/>
          <w:sz w:val="16"/>
          <w:szCs w:val="16"/>
        </w:rPr>
        <w:softHyphen/>
        <w:t>исправной техники оставался весьма и весьма высоким (6467).</w:t>
      </w:r>
    </w:p>
    <w:p w14:paraId="097DE80D" w14:textId="77777777" w:rsidR="00BB6316" w:rsidRPr="00722885" w:rsidRDefault="00BB6316" w:rsidP="00722885">
      <w:pPr>
        <w:pStyle w:val="Iauiue"/>
        <w:jc w:val="both"/>
        <w:rPr>
          <w:color w:val="000000" w:themeColor="text1"/>
          <w:sz w:val="16"/>
          <w:szCs w:val="16"/>
        </w:rPr>
      </w:pPr>
    </w:p>
    <w:p w14:paraId="3E3BEF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весь 1942 г. немецкие истребители и зенитки сбили 64 Су-2, из которых 8 составили безвозвратные потери 8-й воздушной армии в оборонительный период Сталинградской битвы. В среднем в 270-й бад каждый Су-2 успевал выполнить до списания в июле - августе 80 самолето-выле- тов, а Пе-2 - только 20. (221-я бад, действовавшая здесь на "Бостонах" теряла в июне - июле 1942 г. один самолет на каждые 19 самолето-вылетов.) Конечно, было бы преувеличением утверждать, что самолеты Сухого в несколько раз лучше "пешки" или "Бостона". Нельзя забывать, что среди летного состава 52-го и других полков на Су-2 сохранилось немало авиаторов, имевших отличную подготовку, опыт полетов еще с довоенного времени. Но и боевые машины теперь реализовали все, что заложил в них конструктор (12028).</w:t>
      </w:r>
    </w:p>
    <w:p w14:paraId="1C5BEA2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D31D82C" w14:textId="77777777" w:rsidR="00BB6316" w:rsidRPr="00722885" w:rsidRDefault="00BB6316" w:rsidP="00722885">
      <w:pPr>
        <w:pStyle w:val="a3"/>
        <w:rPr>
          <w:color w:val="000000" w:themeColor="text1"/>
          <w:lang w:val="ru-RU"/>
        </w:rPr>
      </w:pPr>
      <w:r w:rsidRPr="00722885">
        <w:rPr>
          <w:color w:val="000000" w:themeColor="text1"/>
          <w:lang w:val="ru-RU"/>
        </w:rPr>
        <w:t>3</w:t>
      </w:r>
      <w:r w:rsidRPr="00722885">
        <w:rPr>
          <w:color w:val="000000" w:themeColor="text1"/>
        </w:rPr>
        <w:t>a</w:t>
      </w:r>
      <w:r w:rsidRPr="00722885">
        <w:rPr>
          <w:color w:val="000000" w:themeColor="text1"/>
          <w:lang w:val="ru-RU"/>
        </w:rPr>
        <w:t xml:space="preserve"> 1942 г. было потеряно 326 «МиГов». В то время началось перевооружение фронтовых полков на Як-7, Як-9, Ла-5 и ленд- лизовские истребители. МиГ-3 передавались в полки ПВО, формирование которых продолжалось. Среди них был воору</w:t>
      </w:r>
      <w:r w:rsidRPr="00722885">
        <w:rPr>
          <w:color w:val="000000" w:themeColor="text1"/>
          <w:lang w:val="ru-RU"/>
        </w:rPr>
        <w:softHyphen/>
        <w:t>женный И-16 и «МиГами» 960-й ИАП, вошедший в состав 6-го ИАК ПВО в сентябре 1942 г. В полку служили испанские летчи- ки-доброволыды из числа эмигрировавших республиканцев, в т.ч. В. Бельтран и Ф. Мероньо, которые стали асами в небе Великой Отечественной. Передаваемые в ПВО «МиГи» полага</w:t>
      </w:r>
      <w:r w:rsidRPr="00722885">
        <w:rPr>
          <w:color w:val="000000" w:themeColor="text1"/>
          <w:lang w:val="ru-RU"/>
        </w:rPr>
        <w:softHyphen/>
        <w:t xml:space="preserve">лось доукомплектовывать радиостанциями, а на некоторых даже ставили английские ответчики </w:t>
      </w:r>
      <w:r w:rsidRPr="00722885">
        <w:rPr>
          <w:color w:val="000000" w:themeColor="text1"/>
        </w:rPr>
        <w:t>IFF</w:t>
      </w:r>
      <w:r w:rsidRPr="00722885">
        <w:rPr>
          <w:color w:val="000000" w:themeColor="text1"/>
          <w:lang w:val="ru-RU"/>
        </w:rPr>
        <w:t xml:space="preserve"> системы «свой-чужой», которые позволяли идентифицировать самолет на индикаторе наземной РЛС. Но в то время в СССР еще не была сформиро</w:t>
      </w:r>
      <w:r w:rsidRPr="00722885">
        <w:rPr>
          <w:color w:val="000000" w:themeColor="text1"/>
          <w:lang w:val="ru-RU"/>
        </w:rPr>
        <w:softHyphen/>
        <w:t>вана система управления группировкой ПВО, и эти приборы обычно оставались бесполезным грузом. В то же время не хва</w:t>
      </w:r>
      <w:r w:rsidRPr="00722885">
        <w:rPr>
          <w:color w:val="000000" w:themeColor="text1"/>
          <w:lang w:val="ru-RU"/>
        </w:rPr>
        <w:softHyphen/>
        <w:t>тало радиополукомпасов, а ведь самолетам противовоздуш</w:t>
      </w:r>
      <w:r w:rsidRPr="00722885">
        <w:rPr>
          <w:color w:val="000000" w:themeColor="text1"/>
          <w:lang w:val="ru-RU"/>
        </w:rPr>
        <w:softHyphen/>
        <w:t>ной обороны часто приходилось летать ночью в условиях, когда все объекты на земле были затемнены (11938).</w:t>
      </w:r>
    </w:p>
    <w:p w14:paraId="4C3EBDD7" w14:textId="77777777" w:rsidR="00BB6316" w:rsidRPr="00722885" w:rsidRDefault="00BB6316" w:rsidP="00722885">
      <w:pPr>
        <w:pStyle w:val="a3"/>
        <w:rPr>
          <w:color w:val="000000" w:themeColor="text1"/>
          <w:lang w:val="ru-RU"/>
        </w:rPr>
      </w:pPr>
    </w:p>
    <w:p w14:paraId="1E05C13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Вплоть до 1943 года на Ленинградском фронте применялись Т-28 (3862).</w:t>
      </w:r>
    </w:p>
    <w:p w14:paraId="5DD31CB9" w14:textId="77777777" w:rsidR="00BB6316" w:rsidRPr="00722885" w:rsidRDefault="00BB6316" w:rsidP="00722885">
      <w:pPr>
        <w:pStyle w:val="Iauiue"/>
        <w:jc w:val="both"/>
        <w:rPr>
          <w:color w:val="000000" w:themeColor="text1"/>
          <w:sz w:val="16"/>
          <w:szCs w:val="16"/>
        </w:rPr>
      </w:pPr>
    </w:p>
    <w:p w14:paraId="0701BDB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1941 год были сформированы следующие танковые колонны:</w:t>
      </w:r>
    </w:p>
    <w:p w14:paraId="68D7435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14. "Имени молодежи Ленинграда" - к началу года собрали более 10400 тыс. рублей.</w:t>
      </w:r>
    </w:p>
    <w:p w14:paraId="253FF74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15. "Боевая подруга" ("Боевые подруги") - инициатива жен фронтовиков Омской области. Сбор средств начат в январе.</w:t>
      </w:r>
    </w:p>
    <w:p w14:paraId="21FDB33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16. "Революционная Монголия" - средства из МНР поступили во Внешторгбанк 10 февраля 1942 г.: 2500 тыс. тугриков; 100 тыс. долларов США; 300 кг золота - в советском эквиваленте - 3815725 рублей. 12.01.43 г. колонну (32Т-34, 21 Т-70) принимала 112-я Краснознаменная Танковая бригада (впоследствии 44-я Гв. Т.бр.). Делегацию МНР возглавлял маршал Х.Чойбалсан. Один танк презентовался от него лично. Помимо танков монголы пригнали 237 вагонов с вещами и продовольствием: 1000 т мяса, 90 т масла, 80 т колбасы, 150 т кондитерских изделий, 30000 полушубков, 30000 пар валенок, 30000 меховых телогреек.</w:t>
      </w:r>
    </w:p>
    <w:p w14:paraId="1CCFF6D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 танковых башнях помимо названия колонны были нанесены надписи, от какого аймака дарствуется данная машина. Впоследствии, с названием "Революционная Монголия" в бригаду поступали танки Т-34 более совершенных типов.</w:t>
      </w:r>
    </w:p>
    <w:p w14:paraId="713DEEC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17. "За передовую науку" - март 1942 года. Инициатива группы академиков (В.Л.Комаров, А.И.Абрикосов, И.П.Бардин, Е.А.Чудаков, Е.М.Ярославский) - индивидуальные взносы, гонорары за лекции, четверть от гонорара за публикации.</w:t>
      </w:r>
    </w:p>
    <w:p w14:paraId="6FFEED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18. "Московский осоавиахимовец" - передача колонны датируется 01.05.42 г.</w:t>
      </w:r>
    </w:p>
    <w:p w14:paraId="21EF64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19. "Работник печати" - инициатива московских журналистов. Начало мая. В сборе участвовали сотрудники газет от республиканских до политотдельских и работники издательств. </w:t>
      </w:r>
    </w:p>
    <w:p w14:paraId="77FCC28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20. "Воронежский колхозник" - инициатива Таловского района. Объявлена в конце ноября. На 10.01.43 г. собрано 37348 тыс. рублей. В конце апреля 1943 г. колонна Т-34 передана 1-му Гв. мехкорпусу. В колонне находились именные танки: "Марфа Ивановна Белоглядо- ва" (сдала 100 тыс. р.) и "Крамарев Ераст Федорович".</w:t>
      </w:r>
    </w:p>
    <w:p w14:paraId="36C0A6B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21. "Алтайский колхозник" - инициатива Ельцовского района заявлена в разгар Сталинградской битвы.</w:t>
      </w:r>
    </w:p>
    <w:p w14:paraId="17C982E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22. "Комсомолец Казахстана" - 46 машин приобретены осенью 1942 г. и переданы танковой части, действующей на подступах к Сталинграду-</w:t>
      </w:r>
    </w:p>
    <w:p w14:paraId="28AF43B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23. "Колхозник Татарии" - 13.11.42 г. сбор средств одобрен Татарским обкомом.</w:t>
      </w:r>
    </w:p>
    <w:p w14:paraId="66C48F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24. "Колхозник Казахстана" - о сборе средств в республике газета "Правда" сообщила в декабре. Только но Алма-Атинской области собрали на 26.03.43 г. 56700 тыс. рублей.</w:t>
      </w:r>
    </w:p>
    <w:p w14:paraId="1DB3B6D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25. "Свердловский комсомолец" (II) - инициатива обкома ВЛКСМ. Заявлена 1 декабря 1942 г. Собственно свердловская молодежь собрала денег на 27 танков, тагильская на 14, из Ка- мышлова и Режа сдали на 6 машин. К 23.02.43 г. общая сумма составила 23,4 млн. рублей, что было достаточно для постройки 132 танков.</w:t>
      </w:r>
    </w:p>
    <w:p w14:paraId="12790A8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26. "Латышский стрелок" ("Латвийский стрелок" - "Latvijas Strelnieks") - на декабрь - 2,5 млн. рублей от эвакуированного населения Латвии и стрелков латышских национальных частей. Были получены танки Т-34.</w:t>
      </w:r>
    </w:p>
    <w:p w14:paraId="4895A30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27. "Карельский колхозник" - на декабрь - 3 млн. рублей от населения прифронтовой Карело-Финской ССР.</w:t>
      </w:r>
    </w:p>
    <w:p w14:paraId="2F9C100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28. "Тамбовский колхозник" - инициатор - колхоз "Красный доброволец" Избердеев- ского (Петровского) района. 7 ноября на собрании В.Т.Маканников внес 8 тыс. р., остальные подписались на 40 тыс. р. и обратились к колхозам района За несколько дней 125 колхозов дали 670 тыс. р. и обратились к колхозам области. 08.12. обком доложил в ЦК о сборе 40 млн. руб. Тамбовские колхозники были первыми, кому И.В.Сталин от имени Вооруженных Сил выразил благодарность. Всего построено 400 машин. В основном, Т-70 и Т-34. Передача первых 96 танков состоялась 15.12.42 г. танковому корпусу генерала-майора А.Ф.Попова. На каждом танке под надписью "Тамбовский колхозник" был указан район, на средства которого танк приобретен. В общем, 2-й ТК получил 161 танк, 133-я отд. ТБр. - 53 танка, 128-й т.п. - 40 танков, 136-йТП - 40 танков, 91-я ТБр. п-ка И.И.Якубовского, действующая под Сталинградом, получила машины в качесгве пополнения.</w:t>
      </w:r>
    </w:p>
    <w:p w14:paraId="1120614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29. "Московский колхозник" (I) - инициатор- колхоз "Путь к социализму" (Зябликово Ленинского района). За 4 дня район дал 4100 тыс. р. Передача танков KB- 1С 59-му отд. ТП состоялась 10.12. Полк направлен под Сталинград. Осенью 1943 года принимал участие в боях за Киев.</w:t>
      </w:r>
    </w:p>
    <w:p w14:paraId="2241584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30. "Акмолинский осоавиахимовец" - по состоянию на 12.12. Акмолинская область собрала 1100 тыс. рублей.</w:t>
      </w:r>
    </w:p>
    <w:p w14:paraId="3FE49A6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31. "Промысловая кооперация РСФСР" ("Промкооперация"?) - на 13.12 внесено 24 млн. рублей.</w:t>
      </w:r>
    </w:p>
    <w:p w14:paraId="4004FA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lastRenderedPageBreak/>
        <w:t>32. "Челябинский колхозник" - официальное сообщение о сборе средств датировано 15 декабря в "Правде". По состоянию на 01.01.43 г. на текущий счет Госбанка внесено 90 млн. р. Заказ выполнялся Челябинским Кировским заводом. 150 танков были переданы 121-й ТБр. вечером под Новый год. 26.01.43 г. бригада в составе 21-й армии преодолела последнюю линию обороны противника и соединилась с частями 62-й армии, оборонявшими Сталинград. Впоследствии бригада преобразована в 27-ю отд. гвардейскую. Участвовала в Курской битве, далее - бои на Украине, в Молдавии, Румынии, Венгрии, Чехословакии.</w:t>
      </w:r>
    </w:p>
    <w:p w14:paraId="19F89B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33. "Рыбак Волго-Каспия" - инициатор - рыболовецкий колхоз "Новый путь" Володарского района Астраханского округа. Обращение опубликовано 16 декабря. Первый взнос- рыбаков - 20 % сверхпланового улова.</w:t>
      </w:r>
    </w:p>
    <w:p w14:paraId="716DEB5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34. "Ивановский колхозник" - "Правда" от 17 декабря 1942 г. - за 5 дней собрано 65187 тыс. р. от колхозников Ивановской обл. Колонна передана 3-й ТБр. в ноябре 1943 г.</w:t>
      </w:r>
    </w:p>
    <w:p w14:paraId="20E9982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35. "Иван Сусанин" - "Правда" от 12.12. - Ярославская область внесла 70 млн. р.</w:t>
      </w:r>
    </w:p>
    <w:p w14:paraId="3C7E27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36. "Московский колхозник" (II) - 21.12.42 года состоялась передача танков, построенных на средства, собранные Коломенским, Кунцевским, Каширским районами. Последним передавался танк с надписью "Подарок Красной Армии от колхозника Степана Алишкина" (внес 125 тыс. р.). Экипаж каждого танка брался под патронаж отдельного колхоза.</w:t>
      </w:r>
    </w:p>
    <w:p w14:paraId="4EB270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37. "Колхозник Узбекистана" - 22.12. "Правда" оповестила, что колхозники Узбекской ССР собрали за 6 дней 260 млн. р. наличными. </w:t>
      </w:r>
    </w:p>
    <w:p w14:paraId="2E984EB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38. "КОЛХОЗНИК Киргизии" - 27.12. "Правда": внесено 85 млн. р.</w:t>
      </w:r>
    </w:p>
    <w:p w14:paraId="2410CE7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39. "Колхозник Чувашии" - "Правда" от 27.12.</w:t>
      </w:r>
    </w:p>
    <w:p w14:paraId="33CCD0F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40. "Тракторист Чувашии" - "Правда" от 27.12. Обе колонны обошлись Чувашской АССР в 31552 тыс. р.</w:t>
      </w:r>
    </w:p>
    <w:p w14:paraId="53788C1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41. "Колхозник Удмуртии": "Правда" от 28.12.42 г. - внесен 41 млн. р.</w:t>
      </w:r>
    </w:p>
    <w:p w14:paraId="52A3F0D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42. "Колхозник Таджикистана" - об этой колонне "Правда" сообщала: 28.12.42 г. собран 61 млн. р.: 20.01.43 г. - ещё 14 млн. р.: 20.03.43 г. - всего более 81 млн. р. Колонна сдана армии в начале 1943 г.</w:t>
      </w:r>
    </w:p>
    <w:p w14:paraId="765BBD8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43. "Имени Орловских партизан" ("Орловский партизан"?) - инициатор - совхоз "Хомутовский" (Новодеревенсковский район Орловской обл.). Сбор начат в середине 1942 г. 28.12.42 г. "Правда" сообщила о сумме в 12 млн. руб.</w:t>
      </w:r>
    </w:p>
    <w:p w14:paraId="3881BD5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44. "Азербайджанский колхозник" ("Колхозник Азербайджана") - два последовательных сообщения: 81020 тыс. руб. (29.12.42 г.) и 170 млн. руб. (21.04.43 г.) на танки и самолеты.</w:t>
      </w:r>
    </w:p>
    <w:p w14:paraId="644913A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45. "Колхозник Армении" - 29.12. "Правда" оповестила о взносе в 38 млн. руб. Эта же цифра повторно названа 27.02.43 г.</w:t>
      </w:r>
    </w:p>
    <w:p w14:paraId="6284138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46. "Волгоградский колхозник" - 50 млн. р. на 30.12.42 г. ("Правда") и добавочно 17 млн. руб. 10.02.43 г. ("Правда").</w:t>
      </w:r>
    </w:p>
    <w:p w14:paraId="7FEF34A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47. "Смоленский партизан" - "Правда" от 29.12.: внесено 15 млн. рублей деньгами и около 100 т. хлебом. По данным на конец января 1943 г. от освобожденных районов Смоленской области поступило 22239 тыс. рублей.</w:t>
      </w:r>
    </w:p>
    <w:p w14:paraId="16C302F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48. "Имени Чкалова" (II) - инициатива колхозников Октябрьского района Оренбургской обл. Заявлена в начале октября. По сообщению "Правды" (31.12.) собрано 70 млн. рублей.</w:t>
      </w:r>
    </w:p>
    <w:p w14:paraId="5255AEF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49. "Тагильский рабочий" - каждое предприятие, учреждение Нижнего Тагила "спонсировало" свой танк и соответственно на машинах ставились дополнительно надписи: "Прожектор" - Высокогорский механический завод; "Большевик" - горком партии и горсовет; "Чапаев" - химзавод; "Комсомолец"; "Пионер"; "Домохозяйка" и т.д. Танковые колонны зимой 1942-43 гг. участвовали в Сталинградской операции.</w:t>
      </w:r>
    </w:p>
    <w:p w14:paraId="3C25655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Помимо перечисленных в декабре 1942 г. отмечен сбор средств на:</w:t>
      </w:r>
    </w:p>
    <w:p w14:paraId="01AE666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50. "Колхозник Грузии" - 09.01.43 г. сообщено о сборе 37500 тыс. р. дополнительно к ранее собранным 72500 тыс. р. 16.04.43 г. названа та же сумма - 110 млн. р.</w:t>
      </w:r>
    </w:p>
    <w:p w14:paraId="1A9B00B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51. "Архангельский колхозник" - сумма сбора 35,2 млн. р.</w:t>
      </w:r>
    </w:p>
    <w:p w14:paraId="4777460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52. "Калининский колхозник".</w:t>
      </w:r>
    </w:p>
    <w:p w14:paraId="45C620F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53. "Куйбышевский колхозник".</w:t>
      </w:r>
    </w:p>
    <w:p w14:paraId="5CEC1DF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54. "Рязанский колхозник".</w:t>
      </w:r>
    </w:p>
    <w:p w14:paraId="694766D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55. "Колхозник Забайкалья" - сбор по Читинской обл. Отмечен "Правдой" 23.02.43 г. (11993).</w:t>
      </w:r>
    </w:p>
    <w:p w14:paraId="7340866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0D71819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в губе Белушья на Новой Земле оборудовали новоземельскую военно-морскую базу, имеющую якорные стоянки для кораб</w:t>
      </w:r>
      <w:r w:rsidRPr="00722885">
        <w:rPr>
          <w:rFonts w:ascii="Times New Roman" w:hAnsi="Times New Roman"/>
          <w:color w:val="000000" w:themeColor="text1"/>
          <w:sz w:val="16"/>
          <w:szCs w:val="16"/>
        </w:rPr>
        <w:softHyphen/>
        <w:t>лей, опорные пункты, посты наблюдения и связи. Противовоздушную оборону осу</w:t>
      </w:r>
      <w:r w:rsidRPr="00722885">
        <w:rPr>
          <w:rFonts w:ascii="Times New Roman" w:hAnsi="Times New Roman"/>
          <w:color w:val="000000" w:themeColor="text1"/>
          <w:sz w:val="16"/>
          <w:szCs w:val="16"/>
        </w:rPr>
        <w:softHyphen/>
        <w:t>ществляла эскадрилья истребителей И-15бис и И-153 54-го сап. В течение 1942 - 1944 гг. И-15бис из состава 54-го сап постоянно вели воз</w:t>
      </w:r>
      <w:r w:rsidRPr="00722885">
        <w:rPr>
          <w:rFonts w:ascii="Times New Roman" w:hAnsi="Times New Roman"/>
          <w:color w:val="000000" w:themeColor="text1"/>
          <w:sz w:val="16"/>
          <w:szCs w:val="16"/>
        </w:rPr>
        <w:softHyphen/>
        <w:t>душную разведку в этом районе. Так, 23 июля 1944 г. истребитель И-15бис на подходе к губе Белушья обнаружил вражескую лодку и сбросил на неё две бомбы ФАБ-50. Уничтожить субмарину не удалось, но считалось, что и отпугивание приносит некоторый эффект. Базируясь на Новой Земле, несколько И-15бис и И-153 несли свою службу до окончания боевых действий. Последний И-15бис №5387 из состава 54-го сап списали 1 ок</w:t>
      </w:r>
      <w:r w:rsidRPr="00722885">
        <w:rPr>
          <w:rFonts w:ascii="Times New Roman" w:hAnsi="Times New Roman"/>
          <w:color w:val="000000" w:themeColor="text1"/>
          <w:sz w:val="16"/>
          <w:szCs w:val="16"/>
        </w:rPr>
        <w:softHyphen/>
        <w:t>тября 1945 г. (12294).</w:t>
      </w:r>
    </w:p>
    <w:p w14:paraId="5684C1FD"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E12DBBB"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при планировании несостоявшегося вторжения на Мальту, немецкое командование всерьез рассматривало возможность применения роты танков КВ на этом ТВД. (3862).</w:t>
      </w:r>
    </w:p>
    <w:p w14:paraId="74846015" w14:textId="77777777" w:rsidR="00BB6316" w:rsidRPr="00722885" w:rsidRDefault="00BB6316" w:rsidP="00722885">
      <w:pPr>
        <w:pStyle w:val="Iauiue"/>
        <w:jc w:val="both"/>
        <w:rPr>
          <w:color w:val="000000" w:themeColor="text1"/>
          <w:sz w:val="16"/>
          <w:szCs w:val="16"/>
        </w:rPr>
      </w:pPr>
    </w:p>
    <w:p w14:paraId="15670CF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За 1942 на всех флотах сбросили 80 торпед и 22 попали. Бросали с 1500-2000, а дальность была 4000 м и начальник авиации ВМФ стал требовать бросать с 400-888 м (561,17).</w:t>
      </w:r>
    </w:p>
    <w:p w14:paraId="2D68A1EB" w14:textId="77777777" w:rsidR="00BB6316" w:rsidRPr="00722885" w:rsidRDefault="00BB6316" w:rsidP="00722885">
      <w:pPr>
        <w:pStyle w:val="Iauiue"/>
        <w:jc w:val="both"/>
        <w:rPr>
          <w:color w:val="000000" w:themeColor="text1"/>
          <w:sz w:val="16"/>
          <w:szCs w:val="16"/>
        </w:rPr>
      </w:pPr>
    </w:p>
    <w:p w14:paraId="22186D78"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году советским подводным лодкам - минным заградителям приходилось прорываться в Балтику из Кронштадта. Чего это стоило, можно судить по Л-3, сумевшей в 1942 году дважды преодолеть многочисленные противолодочные рубежи Финского залива. Семь раз экипаж ощущал скрежет мипрепа о борт лодки, три раза Л-3 подрывалась на минах, в довершение ко всему она получила таранный удар в рубку. Однако успех был ощутим: па выставленных лодкой за два похода семи банках (40 мин) подорвались и погибли несколько кораблей противника (3364,25).</w:t>
      </w:r>
    </w:p>
    <w:p w14:paraId="1E2C57CF" w14:textId="77777777" w:rsidR="00BB6316" w:rsidRPr="00722885" w:rsidRDefault="00BB6316" w:rsidP="00722885">
      <w:pPr>
        <w:pStyle w:val="Iauiue"/>
        <w:jc w:val="both"/>
        <w:rPr>
          <w:color w:val="000000" w:themeColor="text1"/>
          <w:sz w:val="16"/>
          <w:szCs w:val="16"/>
        </w:rPr>
      </w:pPr>
    </w:p>
    <w:p w14:paraId="2631510E"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Внешняя политика:</w:t>
      </w:r>
    </w:p>
    <w:p w14:paraId="4CFF4A0C" w14:textId="77777777" w:rsidR="00BB6316" w:rsidRPr="00722885" w:rsidRDefault="00BB6316" w:rsidP="00722885">
      <w:pPr>
        <w:pStyle w:val="Iauiue"/>
        <w:jc w:val="both"/>
        <w:rPr>
          <w:iCs/>
          <w:color w:val="000000" w:themeColor="text1"/>
          <w:sz w:val="16"/>
          <w:szCs w:val="16"/>
        </w:rPr>
      </w:pPr>
    </w:p>
    <w:p w14:paraId="78C87E88" w14:textId="77777777" w:rsidR="00F10FB4" w:rsidRPr="00722885" w:rsidRDefault="00F10FB4" w:rsidP="00722885">
      <w:pPr>
        <w:widowControl w:val="0"/>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после подписания межправительственного соглашения, иранцам передали всю техническую документацию, необходимое оборудование и оснастку для изготовления пистолетов-пулеметов ППШ по советской лицензии. В годы войны наши воины получили несколько десятков тысяч ППШ иранского производства (15218).</w:t>
      </w:r>
    </w:p>
    <w:p w14:paraId="3EAB0EE2" w14:textId="77777777" w:rsidR="00F10FB4" w:rsidRPr="00722885" w:rsidRDefault="00F10FB4" w:rsidP="00722885">
      <w:pPr>
        <w:widowControl w:val="0"/>
        <w:spacing w:after="0" w:line="240" w:lineRule="auto"/>
        <w:jc w:val="both"/>
        <w:rPr>
          <w:rFonts w:ascii="Times New Roman" w:hAnsi="Times New Roman"/>
          <w:color w:val="000000" w:themeColor="text1"/>
          <w:sz w:val="16"/>
          <w:szCs w:val="16"/>
        </w:rPr>
      </w:pPr>
    </w:p>
    <w:p w14:paraId="4366C819"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Кирилл привлек к сотрудничеству способного научного сотрудника Кордела, участвующего в конструировании по контрактам военного министерства новейшего истребителя. Он имел доступ к поступавшим в конструкторское бюро секретным научно-исследовательским работам и наставлениям по эксплуатации новейших самолетов, которые были разработаны по заказам военного ведомства на других заводах (. Почтарев А. Н. «Малыш» над Якутией // Независимое военное обозрение. — 1998. — 13 фев.).</w:t>
      </w:r>
    </w:p>
    <w:p w14:paraId="5917324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Кирилл имел широкий круг знакомых среди инженерно-технического персонала и рабочих авиационной промышленности. Он сам работал на заводе, выпускавшем самолеты, и одновременно был профсоюзным активистом. Он регулярно встречался с сотрудником резидентуры А. Феклисовым и каждый раз приносил с собой в портфеле 500—600 страниц секретных материалов по авиации и реактивной технике.</w:t>
      </w:r>
    </w:p>
    <w:p w14:paraId="69F1E89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Кирилл прекратил сотрудничество в конце 1944 года, когда его избрали на руководящую должность в профсоюзе и он вынужден был переехать в другой город (Почтарев А. Улыбка фортуны в операции «Зебра» // Красная звезда. — 2000. — 9 сент.).</w:t>
      </w:r>
    </w:p>
    <w:p w14:paraId="0076197F"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Кордела поступали комплектные, подробные материалы о новейших военных самолетах и зарождавшейся тогда военной технике США. В частности была получена полная документация о первом американском реактивном истребителе — бомбардировщике Р-80А «Шутинг Стар», построенном компанией «Локхид».</w:t>
      </w:r>
    </w:p>
    <w:p w14:paraId="4DBCC8A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Кратко расскажем о том, что представляла собой эта машина. В 1943 году командование ВВС США было сильно обеспокоено появлением на вооружении у люфтваффе реактивных истребителей Me-163 и Ме-262. ВВС США сделало заказ компании «Локхид» разработать проект реактивного истребителя на основе британского двигателя Хавиланд (Халфорд) Х-1Б Гоблин. Время на разработку отводилось необычайно короткое — 180 дней. Исполнитель успешно справился с заказом и проект ХР-80 был готов всего на два дня позднее поставленного срока. Однако были проблемы с двигателем, и первый полет состоялся лишь в январе 1944 года. В феврале 1944 года был создан прототип ХР-80А с американским ТРД 1-40 «Дженерал Электрик». Первые серийные образцы поступили на вооружение в 1945 году как Р-80А «Шутинг Стар». Самолеты этой модификации принимали участие в корейской войне (1950—1953 годы) и состояли на вооружении американской армии до 1953 года (11765).</w:t>
      </w:r>
    </w:p>
    <w:p w14:paraId="5E6B366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213743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1942 году разведчиком Моховым в американской резидентуре к сотрудничеству был привлечен Стэнли. Он имел ученую степень доктора технических наук и руководил большой группой научных сотрудников в лаборатории одной из крупнейших радиотехнических компаний, находившейся недалеко от Нью-Йорка. Очень </w:t>
      </w:r>
      <w:r w:rsidRPr="00722885">
        <w:rPr>
          <w:rFonts w:ascii="Times New Roman" w:hAnsi="Times New Roman"/>
          <w:color w:val="000000" w:themeColor="text1"/>
          <w:sz w:val="16"/>
          <w:szCs w:val="16"/>
        </w:rPr>
        <w:lastRenderedPageBreak/>
        <w:t>увлекался радиоэлектроникой, был активным членом радиотехнического общества США, где приобрел широкий круг знакомых среди коллег в корпорациях «Радио корпорейшн оф Америка», «Дженерал Электрик», «Вестингауз», «Вестерн Электрик» и др.</w:t>
      </w:r>
    </w:p>
    <w:p w14:paraId="4F5D8D63"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него поступала подробная информация, чертежи, инструкции, наставления по эксплуатации различной секретной аппаратуры, кроме того, радиолампы и детали от прибора «свой-чужой», с помощью которого американский летчик мог простым нажатием кнопки сразу установить, чей самолет находится в поле зрения — свой или вражеский.</w:t>
      </w:r>
    </w:p>
    <w:p w14:paraId="5305E608"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Помимо этого он сумел привлечь к сотрудничеству еще троих агентов: Ретро, Нэта и Коно.</w:t>
      </w:r>
    </w:p>
    <w:p w14:paraId="24569D4B"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конце 1942 года он завербовал своего приятеля и подчиненного Ретро. Стэнли имел право выносить секретную документацию за территорию предприятия для работы в домашней обстановке, а также в случае служебной необходимости разрешать своим сотрудникам брать материалы домой для работы в вечернее и ночное время. Стэнли не раз пользовался этим правом в интересах советской разведки.</w:t>
      </w:r>
    </w:p>
    <w:p w14:paraId="29DD1EA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Вместе с Ретро он регулярно отбирал наиболее интересные материалы по новейшим радиотехническим устройствам — различного рода радарам, прицелам для бомбометания, зенитным орудиям и др.</w:t>
      </w:r>
    </w:p>
    <w:p w14:paraId="22EE20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свою очередь, Ретро завербовал своего друга Хорвата. Тот служил в научно-исследовательском центре одной из ведущих компаний США, где разрабатывались и изготовлялись сверхсекретные приборы военной радиотехники. Он слыл очень талантливым специалистом, имел несколько изобретений и возглавлял научно-исследовательскую секцию, занимающуюся созданием системы для установления местонахождения артиллерийских орудий противника путем определения траектории и скорости полета снаряда.</w:t>
      </w:r>
    </w:p>
    <w:p w14:paraId="2453203A"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Среди переданных им материалов 600-страничное наставление по применению радарно-компьютерной установки SCR-584, которая позволяла определять скорость и траекторию полета снаряда Фау-2 и автоматически управлять огнем зенитных батарей.</w:t>
      </w:r>
    </w:p>
    <w:p w14:paraId="2408182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течение 1943—1945 годов от Ретро и Хорвата было получено 9165 листов по более чем 100 научным разработкам. Эти документы получили весьма высокую оценку Комитета по радиолокации в Москве, который возглавлял академик А. И. Берг (Прохоренко О. Черепановы мне друзья, но истина дороже // Гудок. — 2000. — 5 нояб.).</w:t>
      </w:r>
    </w:p>
    <w:p w14:paraId="65945EA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большой вероятностью можно утверждать, что Под псевдонимом Ретро скрывался Д. Барр, который работал на одном из заводов «Вестерн Электрик» в США, а Хорватом был А. Сарант — сотрудник компании «Белл» (Прохоров Д. Король диверсий // Секретные материалы. — 2001. — № 3(47)). Это утверждение основывается на анализе материалов, переданных Ретро и Хорватом, и биографий Д. Барра и А. Саранта (11765).</w:t>
      </w:r>
    </w:p>
    <w:p w14:paraId="07FFDA2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Агент Коно был привлечен к сотрудничеству Стенли в августе 1943 года. Он работал главным радиоинженером и возглавлял на крупной фирме научно-исследовательскую группу, которая разрабатывала радиолокаторы, работающие на сантиметровых волнах.</w:t>
      </w:r>
    </w:p>
    <w:p w14:paraId="7D60C77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За все время работы он передал нам 40 научно-исследовательских разработок на нескольких тысячах листов. Только в 1945 году от него было получено 2000 листов секретной информации. Большинство материалов Коно получили оценку «весьма ценные». Это материалы о радарах для подводных лодок, аппаратуре на инфракрасных лучах, прицелах для управления артиллерийским огнем и т. д. Некоторые прицельные устройства на испытаниях, по словам Коно, показали поразительную точность, за что американские специалисты то ли в шутку, то ли всерьез называли их «прицелами третьей мировой войны».</w:t>
      </w:r>
    </w:p>
    <w:p w14:paraId="04D0C3A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Коно регулярно информировал Москву о заседаниях координационного комитета США па радиотехнике. Эти отчеты представляли огромный интерес для советских руководящих органов в области науки и техники, ибо позволяли находиться не только в курсе всех разработок, ведущихся в США, но и давали возможность знать перспективные планы работы американцев в области радиотехники на ближайшие десятилетия.</w:t>
      </w:r>
    </w:p>
    <w:p w14:paraId="57EF742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От него поступили-первые сведении о создании американцами системы управления ракетами-носителями атомных бомб (Прохоров Д. Мелита Норвуд и «архив Митрохина» // Секретные материалы. — 2001. — № 5 (49)).</w:t>
      </w:r>
    </w:p>
    <w:p w14:paraId="1848C24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С большой вероятностью можно утверждать, что под этим оперативным псевдонимом скрывался М. Собелл. По крайней мере, список материалов, которые отправил в Москву Коно, полностью совпадает с «трофеями» М. Собелла (Прохорова Д. В. Измена Родине. Предатели в отечественных спецслужбах (1917—1999). — М.: Вече, 2001). Хотя официально эту версию никто не подтвердил. Если это так, то к сотрудничеству с советской разведкой М. Собелла привлек не Ю. Розенберг, а другой агент, которого американская контрразведка так и не смогла идентифицировать. Дело в том, что по описанию агент Стенли не очень подходит под Либерала (оперативный псевдоним Ю. Розенберга). Либо возможна обратная версия, что Стенли не вербовал Коно.</w:t>
      </w:r>
    </w:p>
    <w:p w14:paraId="3A5124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любом случае Ю. Розенберг знаменит не только тем, что привлек к сотрудничеству и руководил работой, как минимум, четверых ценных агентов (У. Перли, Д. Барр, А. Сарант и М. Собелл), но и собственными достижениями в сфере научно-технической разведки. От него поступала подробная информация, чертежи, инструкции, наставления по эксплуатации различной секретной аппаратуры.</w:t>
      </w:r>
    </w:p>
    <w:p w14:paraId="55F73FB4"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частности, он передал подробную документацию и образец готового радиовзрывателя. Это изделие было высоко оценено нашими специалистами. По их ходатайству было принято постановление Совета Министров СССР о создании специального КБ для дальнейшей разработки устройства и о срочном налаживании его производства.</w:t>
      </w:r>
    </w:p>
    <w:p w14:paraId="0953C8F7"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 ценности этого образца свидетельствует такой факт. После окончания Второй мировой войны в американской печати появились сообщения о том, что созданные в период войны радиовзрыватели по своему значению уступают лишь атомной бомбе, и на их разработку и создание было истрачено свыше 1 млрд. Долларов (Пятницкий В. И. Заговор против Сталина. — М.: Современник, 1998. — 478 с.).</w:t>
      </w:r>
    </w:p>
    <w:p w14:paraId="6E5166C5"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Агент Нэт был привлечен к сотрудничеству с советской разведкой агентом Стэнли. Он занимал должность главного инженера на заводе компании, ведущей в радиотехнической отрасли США. Передал секретные документы — наставление по эксплуатации различных систем наземных, самолетных и морских радаров.</w:t>
      </w:r>
    </w:p>
    <w:p w14:paraId="43E098DD"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Агент Антилопа был завербован в середине 1943 года. Он передал наставление по эксплуатации морских радаров. А в феврале 1946 года он по собственной инициативе передал два тома наставлений по авианосцам (Ричелсон Джеффри Т. История шпионажа XX века. — М.: ЭКСМО-Пресс, 2000. — 560 с.).</w:t>
      </w:r>
    </w:p>
    <w:p w14:paraId="1A553586"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Агент Девин был завербован в октябре 1942 года. Он работал помощником мастера цеха одного из заводов, выпускающих клистроны и магнетроны — радиолампы для генерирования и усиления сантиметровых радиоволн, которые использовались в новейших радарах. Производство этих ламп было засекреченным. Источник передавал не только подробное описание технологического процесса, но и образцы уникальных миниатюрных сопротивлений, кристаллических выпрямителей и других деталей и приборов, необходимых для производства военной электронной техники.</w:t>
      </w:r>
    </w:p>
    <w:p w14:paraId="51F303F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Освоение производства клистронов и магнетронов у американцев протекало с большими трудностями. Было много брака. Вначале из 50 радиоламп только одна получалась доброкачественной. По просьбе советской разведки источник подробно описывал все возникавшие трудности при их производстве и найденные способы устранения брака.</w:t>
      </w:r>
    </w:p>
    <w:p w14:paraId="72ECBE20"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Он передал подробные материалы об организации конвейера по производству различных радиоламп, описание всех операций: штамповка деталей, параметры сварочных процессов для отдельных деталей, создание высокого вакуума и т. п. Как оказалось впоследствии, все эти данные были весьма нужны нашим специалистам (11765).</w:t>
      </w:r>
    </w:p>
    <w:p w14:paraId="7F46BAD2"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77A0B6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За рубежом:</w:t>
      </w:r>
    </w:p>
    <w:p w14:paraId="0013D3F9" w14:textId="77777777" w:rsidR="00BB6316" w:rsidRPr="00722885" w:rsidRDefault="00BB6316" w:rsidP="00722885">
      <w:pPr>
        <w:pStyle w:val="Iauiue"/>
        <w:jc w:val="both"/>
        <w:rPr>
          <w:iCs/>
          <w:color w:val="000000" w:themeColor="text1"/>
          <w:sz w:val="16"/>
          <w:szCs w:val="16"/>
        </w:rPr>
      </w:pPr>
    </w:p>
    <w:p w14:paraId="13B7A65D"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 англичане вывезли своими бомбардировщиками в Германию 48000 т бомб, немцы в том году произвели 36804 единицы тяжелых орудий, танков, самолетов. В 1943 г. англичане и американцы вывезли уже 207600 т бомб, а немцы произвели 71693 единицы тяжелого оружия. В 1944 г. союзники вывезли 915000 т бомб, а немцы произвели 105258 единицы тяжелого оружия. На производство оружия немцами, бомбардировки союзников особого впечатления не производили (3573).</w:t>
      </w:r>
    </w:p>
    <w:p w14:paraId="07760C64" w14:textId="77777777" w:rsidR="00BB6316" w:rsidRPr="00722885" w:rsidRDefault="00BB6316" w:rsidP="00722885">
      <w:pPr>
        <w:pStyle w:val="Iauiue"/>
        <w:jc w:val="both"/>
        <w:rPr>
          <w:color w:val="000000" w:themeColor="text1"/>
          <w:sz w:val="16"/>
          <w:szCs w:val="16"/>
        </w:rPr>
      </w:pPr>
    </w:p>
    <w:p w14:paraId="56C607DA" w14:textId="77777777" w:rsidR="00BB6316" w:rsidRPr="00722885" w:rsidRDefault="00BB6316"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В 1942 г. фирма «Мессершмитт» разработала планер-истребитель Ме328, который должен был устанавливаться по схеме «Мистель» над фюзеляжем самолета-носителя Ю88 или До217.</w:t>
      </w:r>
    </w:p>
    <w:p w14:paraId="06280E55" w14:textId="77777777" w:rsidR="00BB6316" w:rsidRPr="00722885" w:rsidRDefault="00BB6316"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Сцепка поднималась на большую высоту, а после расцепления Ме328 в режиме пологого пикирования атаковал объекты противника реактивными снарядами (об этом более подробно говорится ниже). В конце 1943 г. Ме328 было решено переделать в скоростной штурмовик, который при необходимости мог бы использоваться в качестве истребителя. Первая модификация самолета – Ме328А – проходила испытания в качестве пилотируемой планирующей бомбы по образцу японских камикадзе (Шунков В.Н. Авиация люфтваффе. Минск: ХАРВЕСТ; М.: АСТ, 2000.). В носовой части самолета был размещен заряд взрывчатки весом 500 кг.</w:t>
      </w:r>
    </w:p>
    <w:p w14:paraId="49BA95DD" w14:textId="77777777" w:rsidR="00BB6316" w:rsidRPr="00722885" w:rsidRDefault="00BB6316" w:rsidP="00722885">
      <w:pPr>
        <w:pStyle w:val="afffd"/>
        <w:widowControl/>
        <w:jc w:val="both"/>
        <w:rPr>
          <w:rFonts w:ascii="Times New Roman" w:hAnsi="Times New Roman" w:cs="Times New Roman"/>
          <w:color w:val="000000" w:themeColor="text1"/>
          <w:sz w:val="16"/>
          <w:szCs w:val="16"/>
        </w:rPr>
      </w:pPr>
      <w:r w:rsidRPr="00722885">
        <w:rPr>
          <w:rFonts w:ascii="Times New Roman" w:hAnsi="Times New Roman" w:cs="Times New Roman"/>
          <w:color w:val="000000" w:themeColor="text1"/>
          <w:sz w:val="16"/>
          <w:szCs w:val="16"/>
        </w:rPr>
        <w:t>На базе Ме328А был создан штурмовик Ме328В. Он представлял собой низкоплан смешанной конструкции, был изготовлен в основном из дерева и других недефицитных материалов. Взлет самолета производился со сбрасывающейся колесной тележки, а посадка осуществлялась на выдвижную посадочную лыжу. Силовая установка самолета состояла из двух ПуВРД Аргус – такого же типа, как и на V1. Двигатели размещались под консолями крыла и развивали тягу 350 кг. Экипаж самолета состоял из одного человека. Максимальная взлетная масса составляла 4500 кг, длина фюзеляжа – 7,18 м, размах крыльев – 8,6 м, практический потолок – 10–15 км, радиус действия на высоте 10000 м – 500 км. По расчетам самолет должен был развивать очень большую по тем временам скорость – 800 км/ч. В начале 1944 г. Ме328В проходил испытания, которые в принципе подтвердили возможность достижения этой скорости. Из-за того что вибрация ПуВРД передавалась от двигателей на конструкцию самолета, в ходе испытаний произошло несколько катастроф. Это и заставило свернуть программу создания штурмовика с ПуВРД (11686).</w:t>
      </w:r>
    </w:p>
    <w:p w14:paraId="161427F6" w14:textId="77777777" w:rsidR="00BB6316" w:rsidRPr="00722885" w:rsidRDefault="00BB6316" w:rsidP="00722885">
      <w:pPr>
        <w:pStyle w:val="afffd"/>
        <w:widowControl/>
        <w:jc w:val="both"/>
        <w:rPr>
          <w:rFonts w:ascii="Times New Roman" w:hAnsi="Times New Roman" w:cs="Times New Roman"/>
          <w:color w:val="000000" w:themeColor="text1"/>
          <w:sz w:val="16"/>
          <w:szCs w:val="16"/>
        </w:rPr>
      </w:pPr>
    </w:p>
    <w:p w14:paraId="1E4DD8B1"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1942 году (то есть еще до того, как ракетам «А-4» вернули статус «приоритетной разработки») бюджет только армейской испытательной станции в Пенемюнде составлял 150 миллионов марок, что равнялось всем расходам Германии на производство танков в 1940 году или полугодовым расходам в 1941 году. И это когда в </w:t>
      </w:r>
      <w:r w:rsidRPr="00722885">
        <w:rPr>
          <w:rFonts w:ascii="Times New Roman" w:hAnsi="Times New Roman"/>
          <w:color w:val="000000" w:themeColor="text1"/>
          <w:sz w:val="16"/>
          <w:szCs w:val="16"/>
        </w:rPr>
        <w:lastRenderedPageBreak/>
        <w:t>ходе войны с Советским Союзом германские войска настолько остро нуждались в танках, что были вынуждены использовать кроме устаревших легких «Т-1» и «Т-2» собственного производства трофейные французские и советские танки. В целом же расходы в Пенемюнде соответствовали стоимости 10 тысяч танков! (11688).</w:t>
      </w:r>
    </w:p>
    <w:p w14:paraId="2B7ECD5A"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3A98C160"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 xml:space="preserve">В 1942 г. чехословацкая фирма «Зброевка» начала работы по созданию реактивного снаряда 8 cm R.Sprgr. </w:t>
      </w:r>
    </w:p>
    <w:p w14:paraId="113F44E3"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Массированное применение советских неуправляемых снарядов М-8 и М-13 произвело сильное впечатление на германских генералов и особенно на партийных бонз. Советские пусковые установки ракет М-8 и М-13 у немцев получили название «сталинские органы».</w:t>
      </w:r>
    </w:p>
    <w:p w14:paraId="4342771B"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Командование войск СС решило скопировать советский 82-мм реактивный снаряд М-8 и балочную пусковую установку к нему.Фактически это был новый снаряд, а не копия М-8, хотя внешне германский снаряд был очень похож на М-8. В отличие от турбореактивных снарядов двигатель 8 cm R.Sprgr имел особое центральное сопло. Снаряд был снабжен четырехперым стабилизатором. Однако в отличие от советского снаряда перья снаряда были поставлены косо под углом 1,5е к оси снаряда. За счет этого происходило вращение снаряда в полете. Скорость вращения была во много раз меньше, чем у турбореактивного снаряда, и не играла никакой роли в стабилизации снаряда, но зато устраняла эксцентриситет тяги односоплового ракетного двигателя. А ведь эксцентриситет, то есть смещение вектора тяги двигателя из-за неравномерного горения пороха в шашках, и был основной причиной низкой кучности советских ракет типа М-8 и М-13. Наверное, каждый читатель в кадрах военных кинохроник видел существенный разброс в трассах советских реактивных снарядов. Забегая вперед, скажу, что наши войска захватили несколько образцов германских 8-см снарядов, и наши конструкторы на их базе сделали собственные ракеты с косопоставленным оперением. Ракеты М-13 и М-31 с косопоставленным оперением были приняты на вооружение Красной армии в 1944 г., им присвоили специальные баллистические индексы — ТС-46 и ТС-47.</w:t>
      </w:r>
    </w:p>
    <w:p w14:paraId="67E01AF3" w14:textId="77777777" w:rsidR="00F10FB4" w:rsidRPr="00722885" w:rsidRDefault="00F10FB4" w:rsidP="00722885">
      <w:pPr>
        <w:pStyle w:val="book"/>
        <w:ind w:firstLine="0"/>
        <w:jc w:val="both"/>
        <w:rPr>
          <w:color w:val="000000" w:themeColor="text1"/>
          <w:sz w:val="16"/>
          <w:szCs w:val="16"/>
        </w:rPr>
      </w:pPr>
      <w:r w:rsidRPr="00722885">
        <w:rPr>
          <w:iCs/>
          <w:color w:val="000000" w:themeColor="text1"/>
          <w:sz w:val="16"/>
          <w:szCs w:val="16"/>
        </w:rPr>
        <w:t>Данные немецкого реактивного снаряда RSprgr и советского М-8</w:t>
      </w:r>
    </w:p>
    <w:p w14:paraId="1B76DBCF"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Данные снаряда 8 cm R.Sprgr   М-8 |</w:t>
      </w:r>
    </w:p>
    <w:p w14:paraId="39DB4D85"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Калибр, мм: 8 cm R.Sprgr — 78; М-8 — 82</w:t>
      </w:r>
    </w:p>
    <w:p w14:paraId="2D39BF6F"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Длина полная, мм: 8 cm R.Sprgr — 705; М-8 — 675</w:t>
      </w:r>
    </w:p>
    <w:p w14:paraId="1B71D02E"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Вес боевой части, кг: 8 cm R.Sprgr — 3345; М-8 — 2,79</w:t>
      </w:r>
    </w:p>
    <w:p w14:paraId="784C39CB"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Вес ВВ, кг: 8 cm R.Sprgr — 0,64; М-8 — 0,6</w:t>
      </w:r>
    </w:p>
    <w:p w14:paraId="1F520CB8"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Вес порохового заряда, кг: 8 cm R.Sprgr — 1,085; М-8 — 1,18</w:t>
      </w:r>
    </w:p>
    <w:p w14:paraId="29BEBEF2"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Общий вес снаряда, кг: 8 cm R.Sprgr — 6,8; М-8 — 7,92</w:t>
      </w:r>
    </w:p>
    <w:p w14:paraId="15B00410"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Скорость максимальная, м/с: 8 cm R.Sprgr — 320; М-8 — 315</w:t>
      </w:r>
    </w:p>
    <w:p w14:paraId="1C988B7E"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Дальность стрельбы, м: 8 cm R.Sprgr — 5800; М-8 — 5515</w:t>
      </w:r>
    </w:p>
    <w:p w14:paraId="232C24A9"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Средняя сила тяги, кг: 8 cm R.Sprgr — 500; М-8 — 400</w:t>
      </w:r>
    </w:p>
    <w:p w14:paraId="6F873099"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Время работы двигателя, с: 8 cm R.Sprgr — 0,45; М-8 — 0,6</w:t>
      </w:r>
    </w:p>
    <w:p w14:paraId="3060492E"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Отклонения при максимальной дальности стрельбы, м:</w:t>
      </w:r>
    </w:p>
    <w:p w14:paraId="78E43D41"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 xml:space="preserve">Продольное: 8 cm R.Sprgr — 104; М-8 — 174 </w:t>
      </w:r>
    </w:p>
    <w:p w14:paraId="670ED4C1"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Боковое: 8 cm R.Sprgr — 105; М-8 — 220</w:t>
      </w:r>
      <w:r w:rsidRPr="00722885">
        <w:rPr>
          <w:color w:val="000000" w:themeColor="text1"/>
          <w:sz w:val="16"/>
          <w:szCs w:val="16"/>
          <w:vertAlign w:val="superscript"/>
        </w:rPr>
        <w:t>{56}</w:t>
      </w:r>
    </w:p>
    <w:p w14:paraId="3F04F0EA"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Из таблицы видно, что снаряд фирмы «Зброевка» имел большую дальность стрельбы, содержал больше взрывчатого вещества и имел лучшую кучность, чем самый лучший образец советского снаряда типа М-8 — снаряд 0-931, принятый на вооружение в 1944 г., я не говорю уж о снарядах выпуска 1941—1942 гг., содержащих 581 грамм взрывчатого вещества и имевших табличную дальность 5030 м.</w:t>
      </w:r>
    </w:p>
    <w:p w14:paraId="3B9B2410"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Что же касается пусковой установки германских 8-см снарядов, то она почти полностью была «содрана» с советской. Пусковая установка имела 48 направляющих, установленных в два ряда. Как и у М-8, ведение снаряда по направляющим производилось Т-образными штифтами, соединенными с корпусом снаряда. Длина направляющих составляла около двух метров, а вес установки без ракет и шасси — 1290 кг.</w:t>
      </w:r>
    </w:p>
    <w:p w14:paraId="49C35899"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По аналогии с М-8 и М-13 немцы назвали свои пусковые установки «Органами Гиммлера».</w:t>
      </w:r>
    </w:p>
    <w:p w14:paraId="662AB6CD"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В качестве шасси для пусковой установки немцы использовали бронированный полугусеничный автомобиль «Мул», на котором взамен 15-см десятиствольного миномета было установлено 48 направляющих 8-см ракет. Кроме того, использовался и трофейный французский полугусеничный автомобиль «Сомуа» MCL.</w:t>
      </w:r>
    </w:p>
    <w:p w14:paraId="0FB3D2C8"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8-см реактивные установки использовались исключительно в войсках СС. После капитуляции почти вся документация, касающаяся их, была уничтожена. Так что существуют лишь обрывочные сведения о производстве и боевом применении 8-см ракет. Так, в июле 1943 г. было произведено 15 тысяч 8-см снарядов. Производство их велось и далее, но данных о количестве нет. 8-см реактивными установками были оснащены специальные батареи №521 и №522 войск СС.</w:t>
      </w:r>
    </w:p>
    <w:p w14:paraId="00AA0340"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Существенным недостатком М-8 и 8-см германских ракет было слабое осколочное и ничтожное фугасное действие. Поэтому немцы решили создать ракету — аналог советской 132-мм М-13 (15225).</w:t>
      </w:r>
    </w:p>
    <w:p w14:paraId="154B5165" w14:textId="77777777" w:rsidR="00F10FB4" w:rsidRPr="00722885" w:rsidRDefault="00F10FB4" w:rsidP="00722885">
      <w:pPr>
        <w:pStyle w:val="book"/>
        <w:ind w:firstLine="0"/>
        <w:jc w:val="both"/>
        <w:rPr>
          <w:color w:val="000000" w:themeColor="text1"/>
          <w:sz w:val="16"/>
          <w:szCs w:val="16"/>
        </w:rPr>
      </w:pPr>
    </w:p>
    <w:p w14:paraId="057E4A71"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согласно изданию «Боевые бронированные машины фашистской Германии» само</w:t>
      </w:r>
      <w:r w:rsidRPr="00722885">
        <w:rPr>
          <w:rFonts w:ascii="Times New Roman" w:hAnsi="Times New Roman"/>
          <w:color w:val="000000" w:themeColor="text1"/>
          <w:sz w:val="16"/>
          <w:szCs w:val="16"/>
        </w:rPr>
        <w:softHyphen/>
        <w:t>ходная артиллерия немецкой армии классифицировалась: «по калибру орудия — на легкую с калибром орудия до 47 мм включительно, среднюю — с калибром орудия 75мм и тяже</w:t>
      </w:r>
      <w:r w:rsidRPr="00722885">
        <w:rPr>
          <w:rFonts w:ascii="Times New Roman" w:hAnsi="Times New Roman"/>
          <w:color w:val="000000" w:themeColor="text1"/>
          <w:sz w:val="16"/>
          <w:szCs w:val="16"/>
        </w:rPr>
        <w:softHyphen/>
        <w:t>лую — с калибром орудия до 150 мм включительно; по пред</w:t>
      </w:r>
      <w:r w:rsidRPr="00722885">
        <w:rPr>
          <w:rFonts w:ascii="Times New Roman" w:hAnsi="Times New Roman"/>
          <w:color w:val="000000" w:themeColor="text1"/>
          <w:sz w:val="16"/>
          <w:szCs w:val="16"/>
        </w:rPr>
        <w:softHyphen/>
        <w:t>назначению — на артиллерию сопровождения пехоты и тан</w:t>
      </w:r>
      <w:r w:rsidRPr="00722885">
        <w:rPr>
          <w:rFonts w:ascii="Times New Roman" w:hAnsi="Times New Roman"/>
          <w:color w:val="000000" w:themeColor="text1"/>
          <w:sz w:val="16"/>
          <w:szCs w:val="16"/>
        </w:rPr>
        <w:softHyphen/>
        <w:t>ков, противотанковую артиллерию, штурмовую артилле</w:t>
      </w:r>
      <w:r w:rsidRPr="00722885">
        <w:rPr>
          <w:rFonts w:ascii="Times New Roman" w:hAnsi="Times New Roman"/>
          <w:color w:val="000000" w:themeColor="text1"/>
          <w:sz w:val="16"/>
          <w:szCs w:val="16"/>
        </w:rPr>
        <w:softHyphen/>
        <w:t>рию и зенитные 20-мм пушки».</w:t>
      </w:r>
    </w:p>
    <w:p w14:paraId="58FA7940"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Наибольший интерес у наших специалистов вызывали, как нетрудно догадаться, именно штурмовые орудия, кото</w:t>
      </w:r>
      <w:r w:rsidRPr="00722885">
        <w:rPr>
          <w:rFonts w:ascii="Times New Roman" w:hAnsi="Times New Roman"/>
          <w:color w:val="000000" w:themeColor="text1"/>
          <w:sz w:val="16"/>
          <w:szCs w:val="16"/>
        </w:rPr>
        <w:softHyphen/>
        <w:t>рые характеризовались следующим образом:</w:t>
      </w:r>
    </w:p>
    <w:p w14:paraId="1C0A642E"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«Штурмовое орудие — это кругом забронированная само</w:t>
      </w:r>
      <w:r w:rsidRPr="00722885">
        <w:rPr>
          <w:rFonts w:ascii="Times New Roman" w:hAnsi="Times New Roman"/>
          <w:color w:val="000000" w:themeColor="text1"/>
          <w:sz w:val="16"/>
          <w:szCs w:val="16"/>
        </w:rPr>
        <w:softHyphen/>
        <w:t>ходная артиллерийская установка на шасси легкого или сред</w:t>
      </w:r>
      <w:r w:rsidRPr="00722885">
        <w:rPr>
          <w:rFonts w:ascii="Times New Roman" w:hAnsi="Times New Roman"/>
          <w:color w:val="000000" w:themeColor="text1"/>
          <w:sz w:val="16"/>
          <w:szCs w:val="16"/>
        </w:rPr>
        <w:softHyphen/>
        <w:t>него танка. Толщина брони: лобовой 40 — 50мм, бортовой 30 -40мм, кормовой 20— 30мм, крыши и дна 10— 15мм... Штур</w:t>
      </w:r>
      <w:r w:rsidRPr="00722885">
        <w:rPr>
          <w:rFonts w:ascii="Times New Roman" w:hAnsi="Times New Roman"/>
          <w:color w:val="000000" w:themeColor="text1"/>
          <w:sz w:val="16"/>
          <w:szCs w:val="16"/>
        </w:rPr>
        <w:softHyphen/>
        <w:t>мовое орудие имеет настильную траекторию и небольшую дальность стрельбы; оно предназначено для ведения огня только прямой наводкой. Штурмовые орудия по вооружению, подвиж</w:t>
      </w:r>
      <w:r w:rsidRPr="00722885">
        <w:rPr>
          <w:rFonts w:ascii="Times New Roman" w:hAnsi="Times New Roman"/>
          <w:color w:val="000000" w:themeColor="text1"/>
          <w:sz w:val="16"/>
          <w:szCs w:val="16"/>
        </w:rPr>
        <w:softHyphen/>
        <w:t>ности и броневой защите скорее относятся к типу танков, в отличие от которых имеют ограниченный угол поворота ору</w:t>
      </w:r>
      <w:r w:rsidRPr="00722885">
        <w:rPr>
          <w:rFonts w:ascii="Times New Roman" w:hAnsi="Times New Roman"/>
          <w:color w:val="000000" w:themeColor="text1"/>
          <w:sz w:val="16"/>
          <w:szCs w:val="16"/>
        </w:rPr>
        <w:softHyphen/>
        <w:t>дия, допускающий ведение огня только с места в направлении движения, сильную броню лба корпуса и башни и более слабую бортовую и кормовую броню. Штурмовые орудия в соответст</w:t>
      </w:r>
      <w:r w:rsidRPr="00722885">
        <w:rPr>
          <w:rFonts w:ascii="Times New Roman" w:hAnsi="Times New Roman"/>
          <w:color w:val="000000" w:themeColor="text1"/>
          <w:sz w:val="16"/>
          <w:szCs w:val="16"/>
        </w:rPr>
        <w:softHyphen/>
        <w:t>вии с их тактико-техническими данными используются для со</w:t>
      </w:r>
      <w:r w:rsidRPr="00722885">
        <w:rPr>
          <w:rFonts w:ascii="Times New Roman" w:hAnsi="Times New Roman"/>
          <w:color w:val="000000" w:themeColor="text1"/>
          <w:sz w:val="16"/>
          <w:szCs w:val="16"/>
        </w:rPr>
        <w:softHyphen/>
        <w:t>провождения пехоты и подавления средств огневого противо</w:t>
      </w:r>
      <w:r w:rsidRPr="00722885">
        <w:rPr>
          <w:rFonts w:ascii="Times New Roman" w:hAnsi="Times New Roman"/>
          <w:color w:val="000000" w:themeColor="text1"/>
          <w:sz w:val="16"/>
          <w:szCs w:val="16"/>
        </w:rPr>
        <w:softHyphen/>
        <w:t>действия*, — значилось в вышеуказанном издании.</w:t>
      </w:r>
    </w:p>
    <w:p w14:paraId="55B20549"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2981B3C9"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 в Германии начались работы по созданию электрической телеуправляемой торпеды «Лерхе». Такая торпеда имела пассивную гидроакустическую головку самонаведения «Лерхе». Принятые от цели звуковые сигналы передавались по одножильному изолированному кабелю диаметром 1,4 м на подводную лодку, выпустившую торпеду. Оператор, обнаружив шумы корабля-цели, подавал на рулевую машинку торпеды сигналы для разворота ее в направлении, обеспечивающем совмещение оси торпеды с целью. Длина провода на катушке, установленной на торпеде, составляла 6 км. Максимальная скорость торпеды 30 узлов. В конце войны были проведены опытные стрельбы торпедами «Лерхе» с подводной лодки.</w:t>
      </w:r>
    </w:p>
    <w:p w14:paraId="6FDAFFEE"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Торпеды «Лерхе» и документация в конце 1940-х гг. были отправлены в НИИ-400. Однако создание телеуправляемых торпед оказалось слишком сложным делом для конструкторов НИИ-400. В результате полномасштабные работы по созданию телеуправляемых торпед начались лишь в 1960 г. (тема «Дельфин»).</w:t>
      </w:r>
    </w:p>
    <w:p w14:paraId="3F994C77"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Позже тема «Дельфин» перешла в «Дельфин-1», и первая отечественная телеуправляемая торпеда СТЭСТ-68 (в других документах ТЭСТ-68) была принята на вооружение лишь в 1969 г (15117).</w:t>
      </w:r>
    </w:p>
    <w:p w14:paraId="77174692" w14:textId="77777777" w:rsidR="00F10FB4" w:rsidRPr="00722885" w:rsidRDefault="00F10FB4" w:rsidP="00722885">
      <w:pPr>
        <w:spacing w:after="0" w:line="240" w:lineRule="auto"/>
        <w:jc w:val="both"/>
        <w:rPr>
          <w:rFonts w:ascii="Times New Roman" w:hAnsi="Times New Roman"/>
          <w:color w:val="000000" w:themeColor="text1"/>
          <w:sz w:val="16"/>
          <w:szCs w:val="16"/>
        </w:rPr>
      </w:pPr>
    </w:p>
    <w:p w14:paraId="52FB4AF8"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В 1942 г. в Германии начались работы по созданию электрической телеуправляемой торпеды «Лерхе». Такая торпеда имела пассивную гидроакустическую головку «Лерхе». Принятые от цели звуковые сигналы передавались по одножильному изолированному кабелю диаметром 1,4 м на подводную лодку, выпустившую торпеду. Оператор, обнаружив шумы корабля-цели, подавал на рулевую машинку торпеды сигналы для разворота ее в направлении, обеспечивающем совмещение оси торпеды с целью. Длина провода на катушке, установленной на торпеде, составляла 6 км. Максимальная скорость торпеды 30 узлов. В конце войны были проведены опытные стрельбы торпедами «Лерхе» с подводной лодки. Торпеды «Лерхе» и документация на них «контор</w:t>
      </w:r>
      <w:r w:rsidRPr="00722885">
        <w:rPr>
          <w:color w:val="000000" w:themeColor="text1"/>
          <w:sz w:val="16"/>
          <w:szCs w:val="16"/>
          <w:lang w:val="en-US"/>
        </w:rPr>
        <w:t>e</w:t>
      </w:r>
      <w:r w:rsidRPr="00722885">
        <w:rPr>
          <w:color w:val="000000" w:themeColor="text1"/>
          <w:sz w:val="16"/>
          <w:szCs w:val="16"/>
        </w:rPr>
        <w:t>» Коршунова были отправлены в НИИ-400. Однако создание телеуправляемых торпед оказалось слишком сложным делом для конструкторов НИИ-400. В результате полномасштабные работы по созданию телеуправляемых торпед начались лишь в 1960 г. (тема «Дельфин»). Головным предприятием от промышленности был назначен ЦНИИ-173, сопровождение работ от ВМФ обеспечивал НИИ-28 МО. Работы по системам телеуправления возглавил З.М. Персиц. К работе для доработки торпеды были привлечены ЦНИИ «Гидроприбор» и завод «Двигатель».</w:t>
      </w:r>
    </w:p>
    <w:p w14:paraId="0D77F6B8"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Испытания телеуправляемых торпед были начаты в 1962 г. на озере Иссык-Куль. Испытания велись серийными торпедами типа 53—57, оборудованными устройствами телеуправления. Первая в СССР успешная стрельба телеуправляемой торпедой была проведена 2 ноября 1962 г. В ходе стрельб на дистанцию 18 км (предельная дальность торпеды 53—57) отклонение по курсу составило 48 м. Телеуправление велось на всем пути торпеды. С весны 1963 г. стрельбовые испытания торпед проводились и на полигоне завода «Гидроприбор» (г. Феодосия). Стреляли из торпедного аппарата опытного судна ПС-22. В ходе испытаний имели место частые обрывы линии связи, но, в конце концов, этот недостаток был устранен. Позже тема «Дельфин» перешла в «Дельфин-1»</w:t>
      </w:r>
      <w:bookmarkStart w:id="14" w:name="r7"/>
      <w:bookmarkEnd w:id="14"/>
      <w:r w:rsidRPr="00722885">
        <w:rPr>
          <w:color w:val="000000" w:themeColor="text1"/>
          <w:sz w:val="16"/>
          <w:szCs w:val="16"/>
        </w:rPr>
        <w:t>, и первая отечественная телеуправляемая торпеда СТЭСТ-68 (в других документах ТЭСТ-68) была принята на вооружение лишь в 1969 г (15225).</w:t>
      </w:r>
    </w:p>
    <w:p w14:paraId="4E40B687" w14:textId="77777777" w:rsidR="00F10FB4" w:rsidRPr="00722885" w:rsidRDefault="00F10FB4" w:rsidP="00722885">
      <w:pPr>
        <w:pStyle w:val="book"/>
        <w:ind w:firstLine="0"/>
        <w:jc w:val="both"/>
        <w:rPr>
          <w:color w:val="000000" w:themeColor="text1"/>
          <w:sz w:val="16"/>
          <w:szCs w:val="16"/>
        </w:rPr>
      </w:pPr>
    </w:p>
    <w:p w14:paraId="23A73009"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 xml:space="preserve">В 1942 г. в Германии была испытана малая подводная лодка с двигателем Вальтера. Лодка развила под водой скорость 28,1 узла. В 1943—1944 гг. были построены еще три малые (полное подводное водоизмещение 312 т) подводные лодки U-792, U-793, U-794 XVII серии и четыре (U-1405, U-1406, U-1407, U-1408) XVIIB серии </w:t>
      </w:r>
      <w:r w:rsidRPr="00722885">
        <w:rPr>
          <w:color w:val="000000" w:themeColor="text1"/>
          <w:sz w:val="16"/>
          <w:szCs w:val="16"/>
        </w:rPr>
        <w:lastRenderedPageBreak/>
        <w:t>с полным водоизмещением 415 т. В мае 1945 г. U-1406 и U-1407 сдались союзникам, а остальные были затоплены экипажами. Союзники втайне от СССР поделили лодки с двигателями Вальтера: U-1406 взяли США, a U-1407 — Англия. В Англию был доставлен и сам доктор Вальтер (15225).</w:t>
      </w:r>
    </w:p>
    <w:p w14:paraId="5FEA9EB0" w14:textId="77777777" w:rsidR="00F10FB4" w:rsidRPr="00722885" w:rsidRDefault="00F10FB4" w:rsidP="00722885">
      <w:pPr>
        <w:pStyle w:val="book"/>
        <w:ind w:firstLine="0"/>
        <w:jc w:val="both"/>
        <w:rPr>
          <w:color w:val="000000" w:themeColor="text1"/>
          <w:sz w:val="16"/>
          <w:szCs w:val="16"/>
        </w:rPr>
      </w:pPr>
    </w:p>
    <w:p w14:paraId="46D6A279"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 на очередном консультативном совещании министров иностранных дел в Рио-де-Жанейро была принята резолюция, рекомендовавшая всем странам региона разорвать дипломатические отношения с Германией, Италией и Японией. Она стала обязательной для всех латиноамериканских стран, за исключением Чили, опасавшейся нападения японских кораблей на свои прибрежные города (Чили разорвала отношения с Германией в январе 1943 г., с Японией - в марте 1945 г.), и Аргентины, имевшей наиболее глубокие связи с Германией и упорно придерживавшейся нейтралитета.</w:t>
      </w:r>
    </w:p>
    <w:p w14:paraId="3323E24F"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Рио-де-Жанейро были приняты решения о разрыве торговых отношений с державами "оси", установлении контроля над профашистскими организациями на континенте, а также о создании Межамериканского совета обороны (МСО) (3871).</w:t>
      </w:r>
    </w:p>
    <w:p w14:paraId="02ADCF30" w14:textId="77777777" w:rsidR="00BB6316" w:rsidRPr="00722885" w:rsidRDefault="00BB6316" w:rsidP="00722885">
      <w:pPr>
        <w:pStyle w:val="Iauiue"/>
        <w:jc w:val="both"/>
        <w:rPr>
          <w:color w:val="000000" w:themeColor="text1"/>
          <w:sz w:val="16"/>
          <w:szCs w:val="16"/>
        </w:rPr>
      </w:pPr>
    </w:p>
    <w:p w14:paraId="60F219C9"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 году к Ванге приезжает болгарский царь Борис III, она сообщает ему, что несмотря на достигнутые им успехи, он должен быть готов скоро «вместиться в ореховую скорлупу» (то есть лечь в гроб), и называет дату: 28 августа. Спустя полтора года, 28 августа 1943, царь Борис умрет (15093).</w:t>
      </w:r>
    </w:p>
    <w:p w14:paraId="42D41A73" w14:textId="77777777" w:rsidR="00F10FB4" w:rsidRPr="00722885" w:rsidRDefault="00F10FB4" w:rsidP="00722885">
      <w:pPr>
        <w:spacing w:after="0" w:line="240" w:lineRule="auto"/>
        <w:jc w:val="both"/>
        <w:rPr>
          <w:rFonts w:ascii="Times New Roman" w:hAnsi="Times New Roman"/>
          <w:color w:val="000000" w:themeColor="text1"/>
          <w:sz w:val="16"/>
          <w:szCs w:val="16"/>
        </w:rPr>
      </w:pPr>
    </w:p>
    <w:p w14:paraId="5E0783D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г. на Филиппинах возникло леворадикальное антииностранное (антияпонское и антиамериканское) движение "Хукбалахап". Группы левых националистов действовали в Малайе и Голландской Ост-Индии (3871).</w:t>
      </w:r>
    </w:p>
    <w:p w14:paraId="615AD089" w14:textId="77777777" w:rsidR="00BB6316" w:rsidRPr="00722885" w:rsidRDefault="00BB6316" w:rsidP="00722885">
      <w:pPr>
        <w:pStyle w:val="Iauiue"/>
        <w:jc w:val="both"/>
        <w:rPr>
          <w:color w:val="000000" w:themeColor="text1"/>
          <w:sz w:val="16"/>
          <w:szCs w:val="16"/>
        </w:rPr>
      </w:pPr>
    </w:p>
    <w:p w14:paraId="73FEFF6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1942 г. в Индии гандисты развернули кампанию за предоставление стране полной независимости (3871).</w:t>
      </w:r>
    </w:p>
    <w:p w14:paraId="1898A78D" w14:textId="77777777" w:rsidR="00BB6316" w:rsidRPr="00722885" w:rsidRDefault="00BB6316" w:rsidP="00722885">
      <w:pPr>
        <w:pStyle w:val="Iauiue"/>
        <w:jc w:val="both"/>
        <w:rPr>
          <w:color w:val="000000" w:themeColor="text1"/>
          <w:sz w:val="16"/>
          <w:szCs w:val="16"/>
        </w:rPr>
      </w:pPr>
    </w:p>
    <w:p w14:paraId="33608864"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Авиапромышленность:</w:t>
      </w:r>
    </w:p>
    <w:p w14:paraId="195D38B3" w14:textId="77777777" w:rsidR="00BB6316" w:rsidRPr="00722885" w:rsidRDefault="00BB6316" w:rsidP="00722885">
      <w:pPr>
        <w:pStyle w:val="Iauiue"/>
        <w:jc w:val="both"/>
        <w:rPr>
          <w:iCs/>
          <w:color w:val="000000" w:themeColor="text1"/>
          <w:sz w:val="16"/>
          <w:szCs w:val="16"/>
        </w:rPr>
      </w:pPr>
    </w:p>
    <w:p w14:paraId="2854F2BC"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1942-43 годах с приходом на заводы большого количества неквалифицированной рабочей силы и спешка с выполнением напряженных планов приводили к значительному проценту брака. Командование АДД констатировало: "Большая часть самолетов Ил-4 нередко приходит с дефектами... с завода вследствие недостаточно строгой приемки самолетов". Бывали даже случаи, когда из полков требовали изъять отдельные бомбардировщики, от которых отказывались экипажи. Встречались несоблюдение профиля крыла, закрутка его сечений относительно друг друга, вмятины и хлопуны. Окантовка фонарей отставала от плексигласа, люки имели щели, между сдвижной частью фонаря пилота и гаргротом фонаря зазор доходил до 40 мм. Допуска на стыковку отдельных частей превышались на 100-120%. Самолеты красили кое-как, без грунтовки, с потеками и осевшей пылью. Фанерные гаргроты полага- Группа дальних лось шпаклевать, но делали это плохо, шпак- бомбардировщиков левка трескалась. Щели у рулей были не постоянны по радиусу. Все это служило причиной не только уменьшения скорости полета, но часто вело к ухудшению посадочных качеств и вызывало тенденцию к сваливанию на крыло. Командование АДД отреагировало на повторяющиеся дефекты повышением требований к военной приемке. Наращиванию производства мешали и перебои со снабжением. Чтобы не тормозить конвейер, радиоприемники и радиополукомпасы доставляли на Дальний Восток самолетами. Часть самолетов отгружали без пропеллеров и некоторых приборов. Доукомплектование осуществляли в Москве.</w:t>
      </w:r>
    </w:p>
    <w:p w14:paraId="5DF0E99E"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1943 г. активно пытались усовершенствовать мотоустановку. Планировавшийся в свое время для ДБ-ЗФ двигатель М-89 в серии выпускали недолго, а надежность его оставляло много лучшего. Использовав некоторые узлы этого мотора, модифицировали М-88Б в М-88Ф мощностью 1250 л.с. Он добавил самолету скорость (до 15 км/ч) и практический потолок (примерно на 1000 м). Но и М-88Ф был выпущен в очень небольшом количестве. Основным по-прежнему оставался М-88 Б.</w:t>
      </w:r>
    </w:p>
    <w:p w14:paraId="7E3F2BA2" w14:textId="77777777" w:rsidR="00BB6316" w:rsidRPr="00722885" w:rsidRDefault="00BB6316"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Ему искали альтернативы - различные отечественные и импортные двигатели. Делались проработки по установке рядного V- образного М-Ю5, опытных 18-цилиндровых М-90 и М-71, дизеля М-30Б (АЧ-ЗОБ). Уже в ходе войны оценивали возможность установки американских моторов R-2600, R-1820 и R-1830 (12021).</w:t>
      </w:r>
    </w:p>
    <w:p w14:paraId="5879F2DE" w14:textId="77777777" w:rsidR="00BB6316" w:rsidRPr="00722885" w:rsidRDefault="00BB6316" w:rsidP="00722885">
      <w:pPr>
        <w:spacing w:after="0" w:line="240" w:lineRule="auto"/>
        <w:jc w:val="both"/>
        <w:rPr>
          <w:rFonts w:ascii="Times New Roman" w:hAnsi="Times New Roman"/>
          <w:color w:val="000000" w:themeColor="text1"/>
          <w:sz w:val="16"/>
          <w:szCs w:val="16"/>
        </w:rPr>
      </w:pPr>
    </w:p>
    <w:p w14:paraId="596702CB"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1942—1944 годах Головин разработал (совместно с инженером Е. Лазаревым) проект другого малогабаритного самолета с более изученной аэродинамической компоновкой, предусматривавшей использование для поражения противника бортового оружия.</w:t>
      </w:r>
    </w:p>
    <w:p w14:paraId="5FE2FEE9"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Рассматривались два варианта, истребитель войскового сопровождения (ИВС) - для использования при проведении сухопутных операций и истребитель сопровождения флота (ИСФ) — для защиты караванов и отдельных крупных судов.</w:t>
      </w:r>
    </w:p>
    <w:p w14:paraId="225A1055"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Рисунок истребителя Головина из журнала "Популярная механика" № 2-2010</w:t>
      </w:r>
    </w:p>
    <w:p w14:paraId="74313EA1"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Самолет длиной 3 м, высотой 1,05 и размахом крыла 1,75 имел малую полетную массу — 250—300 кг. В качестве вооружения использовалась пушка ШВАК калибра 20 мм с боезапасом на 20 выстрелов. Тяга стартового ракетного двигателя на твердом топливе — 1000 кг, маршевого жидкостного ракетного двигателя конструкции Душкина — 300 кг. Полный запас топлива, состоявшего из азотной кислоты и керосина, — 50 кг.</w:t>
      </w:r>
    </w:p>
    <w:p w14:paraId="203C97B5"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Предполагалось, что самолет малых размеров при расчетной тяговооруженности, значительно большей, чем у самолетов с поршневыми моторами, будет развивать в горизонтальном полете скорость до 1060 км/ч, обладать скороподъемностью до 250 м/с, динамическим потолком при старте с земли до 7500 м, а при старте с борта тяжелого самолета — до 15000 м., что сделает ненужным его барражирование над полем боя или над охраняемым объектом. Располагая при этом временем, достаточным для двух-трех атак, истребитель должен был иметь большое преимущество перед любым самолетом противника, состоявшим на вооружении в 1943 году. Немаловажным считалось и отсутствие наиболее сложных элементов полета — взлета и посадки, что облегчало процесс обучения летчиков.</w:t>
      </w:r>
    </w:p>
    <w:p w14:paraId="4F94BFE9"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Самолет представлял собой одноместный моноплан деревянной конструкции со среднерасположенным крылом. Фюзеляж типа монокок овального сечения имел выклеенную из шпона обшивку толщиной от 2 до 5 мм. Передняя часть фюзеляжа — откидывающаяся, прозрачная. Через нее летчик должен был занимать свое место в фюзеляже, с использованием мягкой опоры с привязными ремнями и подбородника.</w:t>
      </w:r>
    </w:p>
    <w:p w14:paraId="18934096"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Колонка управления имела вид штурвала, совершающего качания от себя и на себя. На ней же была расположена гашетка управления огнем пушки. Управление рулем направления — педальное. Авиационное оборудование самолета состояло из двух приборов -- указателя скорости и высотомера. В средней части фюзеляжа располагались топливные баки и баллон со сжатым воздухом, а сзади баков — посадочный парашют. Под фюзеляжем на особом лафете, входящем в качестве силового элемента в конструкцию самолета, крепились пушка и бесколесное шасси. В задней части — хвостовая ферма с двигателем, к которой крепилось хвостовое оперение. Деревянное крыло площадью 1 м2 было выбрано из условия получения наибольшего критического числа М и наименьшего сопротивления при прочих удовлетворительных качествах.</w:t>
      </w:r>
    </w:p>
    <w:p w14:paraId="64218665"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Предполагалось, что парашют с площадью купола 76 м2 обеспечит скорость приземления не более 6,1 м/с. Для снижения перегрузок при приземлении шасси было снабжено масляно-воздушным амортизатором, что обеспечивало посадочную перегрузку не более 3,5 единицы. Для ИСФ при посадке на воду или на специальную сетку надобность в шасси отпадала, а размеры парашюта могли быть уменьшены.</w:t>
      </w:r>
    </w:p>
    <w:p w14:paraId="752DAA9A"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 походном положении при сопровождении войск самолет должен был находиться на пусковом с</w:t>
      </w:r>
      <w:hyperlink r:id="rId238" w:tgtFrame="_blank" w:history="1">
        <w:r w:rsidRPr="00722885">
          <w:rPr>
            <w:rFonts w:ascii="Times New Roman" w:hAnsi="Times New Roman"/>
            <w:color w:val="000000" w:themeColor="text1"/>
            <w:sz w:val="16"/>
            <w:szCs w:val="16"/>
          </w:rPr>
          <w:t>танк</w:t>
        </w:r>
      </w:hyperlink>
      <w:r w:rsidRPr="00722885">
        <w:rPr>
          <w:rFonts w:ascii="Times New Roman" w:hAnsi="Times New Roman"/>
          <w:color w:val="000000" w:themeColor="text1"/>
          <w:sz w:val="16"/>
          <w:szCs w:val="16"/>
        </w:rPr>
        <w:t>е, установленном на автомобильной или иной платформе, при длине направляющих порядка 5—8 м. Направляющие должны были поворачиваться вокруг вертикальной или горизонтальной оси, позволяя тем самым приблизительно наводить самолет на цель. На пусковой установке должен был находиться запас топлива, пороховых ускорителей и снарядов на четыре-пять полетов, сменные парашюты, компрессор или запас газа высокого давления и приспособление для установки самолета на направляющие. В экипаж автомобильной установки входили шофер, механик и летчик.</w:t>
      </w:r>
    </w:p>
    <w:p w14:paraId="73F6D4F2"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Предполагалось, что по сигналу боевой тревоги летчик займет место в самолете, механик установит станок в положение для взлета под углом около 40 градусов к горизонту. При появлении цели механик возможно более точно направит перехватчик в их сторону, летчик включит от автомобильных источников питания стартовый и маршевый двигатели и взлетит. Через 5—6 с перехватчик наберет скорость 200—250 м/с, стартовый ускоритель отделится и упадет на землю. Летчик, корректируя свой путь с помощью бортовых органов управления, сблизится с противником и атакует его. Малые размеры и небольшая площадь поражения самолета должны были позволить подойти к противнику на близкое расстояние, что повышало эффективность огня.</w:t>
      </w:r>
    </w:p>
    <w:p w14:paraId="5F54439E"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В случае неудачной атаки летчик мог совершить боевой разворот с набором высоты, нагнать противника и снова атаковать его, затем, израсходовав топливо, планировать в сторону своей базы до высоты примерно 300 м, выпустить парашют и приземлиться вместе с самолетом. После приземления перехватчика к нему должен был подъехать автомобиль-база, и после установки самолета на станок механик должен был подготовить его к новому вылету.</w:t>
      </w:r>
    </w:p>
    <w:p w14:paraId="3EB30068" w14:textId="77777777" w:rsidR="00F10FB4" w:rsidRPr="00722885" w:rsidRDefault="00F10FB4"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Однако и этот проект не был реализован. Экспертная комиссия, подтвердив его осуществимость, все же посчитала, что создание предложенного истребителя войскового сопровождения нецелесообразно из-за малых высот его применения, на которых, по ее мнению, была более эффективна зенитная артиллерия (15539).</w:t>
      </w:r>
    </w:p>
    <w:p w14:paraId="742360DB" w14:textId="77777777" w:rsidR="00F10FB4" w:rsidRPr="00722885" w:rsidRDefault="00F10FB4" w:rsidP="00722885">
      <w:pPr>
        <w:spacing w:after="0" w:line="240" w:lineRule="auto"/>
        <w:jc w:val="both"/>
        <w:rPr>
          <w:rFonts w:ascii="Times New Roman" w:hAnsi="Times New Roman"/>
          <w:color w:val="000000" w:themeColor="text1"/>
          <w:sz w:val="16"/>
          <w:szCs w:val="16"/>
        </w:rPr>
      </w:pPr>
    </w:p>
    <w:p w14:paraId="0C47B1EA"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период с 1942 года по 1946 год будущий завод № 666, который был организован на базе опытного завода ВИАМ обслуживающего лаборатории ВИАМ и выполнявшего отдельные заказы управления оборудования МАП по изготовлению машин для испытания материалов при высоких температурах, находился в системе 41-го треста МАП, выпуская строительные механизмы. Еще ранее завод принадлежал 4-му гл. управлению НКАП и изготовлял оснастку, специнструмент и спецоборудование для заводов НКАП. В 1950 году завод был передан в 4-е гл. управление МАП и в период с 1951 года по 1954 год был реконструирован и специализирован для выпуска электромеханизмов и электродвигателей по комплектации радиолокационных заводов 4-го гл. управления МАП.</w:t>
      </w:r>
    </w:p>
    <w:p w14:paraId="3581175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Директор – Н. Осиев</w:t>
      </w:r>
    </w:p>
    <w:p w14:paraId="3468C9A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Адрес: Москва, Семеновская пл., 7</w:t>
      </w:r>
    </w:p>
    <w:p w14:paraId="330C16B5"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Производственный профиль – малогабаритные эл. машины постоянного и переменного тока (9865).</w:t>
      </w:r>
    </w:p>
    <w:p w14:paraId="71CFE2D6" w14:textId="77777777" w:rsidR="00BB6316" w:rsidRPr="00722885" w:rsidRDefault="00BB6316" w:rsidP="00722885">
      <w:pPr>
        <w:pStyle w:val="Iauiue"/>
        <w:jc w:val="both"/>
        <w:rPr>
          <w:color w:val="000000" w:themeColor="text1"/>
          <w:sz w:val="16"/>
          <w:szCs w:val="16"/>
        </w:rPr>
      </w:pPr>
    </w:p>
    <w:p w14:paraId="4F3E17B7"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Другие оборонные отрасли:</w:t>
      </w:r>
    </w:p>
    <w:p w14:paraId="1C209795" w14:textId="77777777" w:rsidR="00BB6316" w:rsidRPr="00722885" w:rsidRDefault="00BB6316" w:rsidP="00722885">
      <w:pPr>
        <w:pStyle w:val="Iauiue"/>
        <w:jc w:val="both"/>
        <w:rPr>
          <w:iCs/>
          <w:color w:val="000000" w:themeColor="text1"/>
          <w:sz w:val="16"/>
          <w:szCs w:val="16"/>
        </w:rPr>
      </w:pPr>
    </w:p>
    <w:p w14:paraId="2963E946" w14:textId="77777777" w:rsidR="00D3420D" w:rsidRPr="00722885" w:rsidRDefault="00D3420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1942-1944 гг. предприятия НКБ поставили советским войскам 361 718 т ТНТ (21), из которых 273 193 т произвела советская промышленность взрывчатых веществ, а 88 525 т (24,47%) поступили по ленд-лизу. В свою очередь, при изготовлении заводами НКБ 271 193 т ТНТ было израсходовано 159 865 т толуола, из них импортных - 64 000 т, или 40% (22). С учетом этого количество импортного толуола (и тротила), в общем балансе обеспечения советских тротиловых заводов, составило в период 19421944 гг. 54,6% (около 197 500 т из 361 718).</w:t>
      </w:r>
    </w:p>
    <w:p w14:paraId="78F8FA78" w14:textId="77777777" w:rsidR="00D3420D" w:rsidRPr="00722885" w:rsidRDefault="00D3420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результате огневая мощь Красной Армии более чем наполовину обеспечивалась за счет поставок союзников. Это и стало одной из причин существенного затягивания боевых действий в годы Великой Отечественной войны, поскольку сами поставки (как тротила, так и толуола) в необходимом объеме стали осуществляться лишь со второй половины 1943 г. До этого РККА испытывала острейшую нехватку в боеприпасах, обусловленную именно отсутствием необходимого для их снаряжения тротила. Так, например, в 1942 г. советская промышленность взрывчатых веществ сумела поставить фронту всего лишь 88,8 тыс. т ТНТ (при минимуме потребления в 120-130 тыс. т), так как союзнические поставки в балансе тротиловых заводов составили только 30 000 т, или 33,78%. Ситуация коренным образом изменилась в 1944 г., когда союзнические поставки возросли до 65% (102 000 т готового ТНТ, а также толуола при перерасчете на ТНТ), и советская промышленность сумела, благодаря этому, дать фронту 156 000 т данного ВВ. Этот фактор являлся одним из важнейших факторов, обусловившим удачное проведение советскими войсками в 1944 г. многочисленных крупномасштабных наступательных операций.</w:t>
      </w:r>
    </w:p>
    <w:p w14:paraId="02ADB7D9" w14:textId="77777777" w:rsidR="00D3420D" w:rsidRPr="00722885" w:rsidRDefault="00D3420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Характерно, что по сравнению с 1943 г. в 1944 г. объемы поставок американского толуола сократились (с 27 400 до 24 100 т), а готового ТНТ наоборот резко возросли (с 19 030 до 60 919 т). Это было связано с тем, что в феврале 1944 г. в результате крупнейшей аварии на заводе № 15 НКБ СССР(г.Чапаевск Самарской области ныне ОАО «Полимер») были выведены из строя все мощности по производству тротила в количестве 72 000 т в год. Ремонтные работы длились до конца июня того же года, после чего производство тротила было восстановлено, но лишь частично -на мощность 33 600 т в год (19151).</w:t>
      </w:r>
    </w:p>
    <w:p w14:paraId="5D72A2D2" w14:textId="77777777" w:rsidR="00D3420D" w:rsidRPr="00722885" w:rsidRDefault="00D3420D" w:rsidP="00722885">
      <w:pPr>
        <w:spacing w:after="0" w:line="240" w:lineRule="auto"/>
        <w:jc w:val="both"/>
        <w:rPr>
          <w:rFonts w:ascii="Times New Roman" w:hAnsi="Times New Roman"/>
          <w:color w:val="000000" w:themeColor="text1"/>
          <w:sz w:val="16"/>
          <w:szCs w:val="16"/>
        </w:rPr>
      </w:pPr>
    </w:p>
    <w:p w14:paraId="11DD4BD4"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В 1942—1943 гг. нашими войсками было захвачено несколько образцов самой мощной серийной германской противотанковой пушки с коническим стволом — 7,5-см Pak 41. Калибр ее у каморы составлял 75 мм, а у дула — 55 мм. Длина ствола 4322 мм, то есть 78,6 калибра. Ствол пушки состоял из трубы, насадки, ствольной втулки, дульного тормоза, соединительной муфты и казенника. Казенник соединялся с трубой соединительной муфтой. В передней части трубы имелась нарезка, при помощи которой труба соединялась с насадкой. Длина трубы 2950 мм, длина насадки 1115 мм. Стык между трубой и насадкой перекрывался втулкой. Канал трубы состоял из каморы и нарезной цилиндрической части. Канал насадки состоял из гладкого конического участка длиной 455 мм и гладкого цилиндрического участка длиной 500 мм. Затвор вертикальный клиновой полуавтоматический. Особенностью конструкции пушки являлось отсутствие верхнего и нижнего станков обычной конструкции. Нижним концом пушки служил щит, состоящий из двух параллельных броневых листов. К щиту крепилась люлька с шаровым сегментом, ход с механизмом подрессоривания и механизмы наведения. Вес системы в боевом положении 1340 кг. Скорострельность 14 выстрелов в минуту. Живучесть ствола около 500 выстрелов. В боекомплект пушки входили три типа подкалиберных бронебойных снарядов и один осколочный снаряд. Вес патрона с подкалиберным снарядом 7,6 кг, вес снаряда 2,58 кг. Сердечник снаряда имел диаметр 29,5 мм и вес 0,91 кг. Сердечники изготавливались из карбида вольфрама или из стали. Подкалиберный снаряд при начальной скорости 1124 м/с мог пробить по нормали в упор 245-мм броню, а на дистанции 457 м — 200-мм, при угле встречи в 30° бронепробиваемость составляла, соответственно, 200 и 171 мм. На основе трофейных пушек с цилиндро-коническим стволом в ЦАКБ в 1946 годы были начаты работы над 76/5 7-мм полковой противотанковой пушкой С-40 с цилиндро-коническим стволом. Лафет для С-40 был взят от 85-мм пушки ЗИС-С-8 с небольшими изменениями. Ствол С-40 имел калибр у казенной части 76,2 мм, а у дульной — 57 мм. Полная длина ствола составляла около 5,4 м. Камора была использована от 85-мм зенитной пушки, обр. 1939 г. За каморой шла коническая нарезная часть калибра 76,2 мм длиной 3264 мм с 32 нарезами постоянной крутизны в 22 калибра. На дульную часть трубы навинчена насадка с коническо-цилиндрическим каналом. Длина гладкого конического участка 510 мм, а цилиндрического 57-мм участка — 590 мм. Затвор пушки вертикальный клиновой с полуавтоматикой механического копирного типа. Угол вертикального наведения -5°; +30°, а горизонтального наведения — 50°. Вес системы в боевом положении 1824 кг, столько же пушка весила и в походном положении, так как не имела передка. Торсионное подрессоривание допускало скорость передвижения по асфальтированному шоссе до 50 км/час. Время перехода из походного положения в боевое или обратно составляло 1 минуту. Скорострельность до 20 выстрелов в минуту. В боекомплект пушки С-40 входили бронебойный подкалиберный снаряд и осколочно-фугасный зажигательный трассирующий снаряд. Вес патрона с бронебойным снарядом составлял 9,325 кг, а длина 842 мм. Вес снаряда 2,45 кг, а 25-мм бронебойного сердечника — 0,525 кг. При заряде 2,94 кг пороха марки 12/7 снаряд имел огромную начальную скорость — 1338 м/с, что давало ему хорошую бронепробиваемость. Эффективная дальность стрельбы бронебойным снарядом не превышала 1,5 км. При попадании по нормали на дистанции 500 м снаряд пробивал 285-мм броню, на дистанции 1000 м — 230-мм, на дистанции 1500 м — 140-мм броню. Патрон с осколочно-фугасным зажигательным трассирующим снарядом весил 9,35 кг и имел длину 898 мм. Вес снаряда составлял 4,2 кг, а разрывного заряда — 0,105 кг. При весе метательного заряда 1,29 кг начальная скорость составляла 785 м/с.</w:t>
      </w:r>
    </w:p>
    <w:p w14:paraId="71B2BFF5" w14:textId="77777777" w:rsidR="00F10FB4" w:rsidRPr="00722885" w:rsidRDefault="00F10FB4" w:rsidP="00722885">
      <w:pPr>
        <w:pStyle w:val="book"/>
        <w:ind w:firstLine="0"/>
        <w:jc w:val="both"/>
        <w:rPr>
          <w:color w:val="000000" w:themeColor="text1"/>
          <w:sz w:val="16"/>
          <w:szCs w:val="16"/>
        </w:rPr>
      </w:pPr>
      <w:r w:rsidRPr="00722885">
        <w:rPr>
          <w:color w:val="000000" w:themeColor="text1"/>
          <w:sz w:val="16"/>
          <w:szCs w:val="16"/>
        </w:rPr>
        <w:t>Таким образом, система Грабина имела гораздо лучшую баллистику и лучшую бронепробиваемость, чем ее немецкий аналог — 7,5-см пушка Pak 41. (На дистанции 500 мм бронепробиваемость, соответственно, 285 и 200 мм. Опытный образец пушки С-40 прошел заводские и полигонные испытания в 1947 г. Кучность боя и бронепробиваемость бронебойных снарядов у С-40 была значительно лучше, чем у параллельно проходивших испытания штатного (чертежа № 2—09145) и опытного (чертежа № 2—010880) снарядов 57-мм пушки ЗИС-2. Однако по осколочному действию осколочно-фугасный зажигательный трассирующий снаряд пушки С-40 уступал штатному осколочному снаряду пушки ЗИС-2. В следующем году испытания пушки С-40 были продолжены. На вооружение пушка не поступила. Формальными причинами этого стала технологическая сложность изготовления ее ствола и его низкая живучесть. Однако эти причины в известной степени были надуманными — для противотанковой пушки живучесть даже в 150 выстрелов была более чем достаточной (15225).</w:t>
      </w:r>
    </w:p>
    <w:p w14:paraId="717AFFD4" w14:textId="77777777" w:rsidR="00F10FB4" w:rsidRPr="00722885" w:rsidRDefault="00F10FB4" w:rsidP="00722885">
      <w:pPr>
        <w:pStyle w:val="book"/>
        <w:ind w:firstLine="0"/>
        <w:jc w:val="both"/>
        <w:rPr>
          <w:color w:val="000000" w:themeColor="text1"/>
          <w:sz w:val="16"/>
          <w:szCs w:val="16"/>
        </w:rPr>
      </w:pPr>
    </w:p>
    <w:p w14:paraId="16B56287"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 xml:space="preserve">В 1942–1944 гг. артиллерийский завод № 92, являвшийся основным поставщиком дивизионной артиллерии для РККА, сумел во много раз увеличить выпуск пушек по сравнению с довоенным. Как такое получилось? Причин тут, помимо трудовых подвигов, несколько. Во-первых, огромное предприятие, пытаясь внедрить «гениальные творения» Грабина, очень мало производило в 30-е годы. Во-вторых, производство 76-мм орудий было поставлено на конвейер за счет упрощения сборки и удешевления деталей. На первый взгляд это кажется большим достижением. Но какой ценой далось это «упрощение»? Сначала отказались от ковки в пользу машинной формовки, или, проще говоря, штамповки. Это дало экономию металла, но зато уменьшился вес орудия и прочность деталей. Уменьшение массы для пушки вовсе не так уж хорошо, как это описывал в своих воспоминаниях Грабин. Дело в том, что вес в значительной степени обеспечивает устойчивость при стрельбе и частично гасит энергию отдачи. «Облегченная» же ЗИС-3 при каждом выстреле скакала и подпрыгивала, за что и получила в войсках довольно похабное прозвище. Освоение заводом тонкостенного литья экономило металл, но понижало прочность деталей, в частности люльки. Кожух орудия так же стал изготавливаться методом штамповки. Это сократило механическую обработку детали с 30 часов до 30 минут. Аналогичным образом на литье вместо клепки и сварки были переведены верхний станок, лобовая коробка, цапфенные обоймы и др. Верхний станок состоял из 124 сварных и клепанных деталей, а его взяли и заменили на одну литую деталь. [86 — Товарищ завод, с. 131–132.]. Прославился своими «изобретениями» и кузнечно-прессовый цех. Согласно чертежу и технологии, цилиндры противооткатных устройств следовало изготавливать из бесшовных труб, вместо этого их стали делать из поковок. При этом 85 % металла шло в отходы и стружку. [87 — Там же.]. Примерно то же самое происходило и с танковой пушкой Ф-34. Если по проектной документации она собиралась из 801 детали, то после «доработки» их число сократилось до 614, то есть почти две сотни деталей, заложенных конструктором, оказались «лишними». Одновременно с этим количество деталей, изготовляемых из легированных, высокопрочных сталей, сократилось с 128 до 78, деталей из цветных металлов — с 61 до 31, расход черного металл уменьшился на 700 кг. [88 — Товарищ завод, с. 137.]. Все это не могло не сказаться на качестве орудий, и у военной приемки возникало все больше вопросов и претензий к заводу. По мнению же производителей, военпреды «подходили к приемке продукции с довоенными взглядами, не делая скидки на военное время». То есть война, мол, все спишет, в том числе и брак. Возник конфликт между руководством завода № 92 и военным представительством. Тогда директор Елян, в свойственной ему манере, обратился напрямую к своему родственнику — главе НКВД и члену ГКО Л. П. Берии. В итоге — неслыханный факт — военпреды были совсем отозваны с предприятия! [89 — Там же, с. 153–154.] И длительное время крупнейшее предприятие отрасли отправляло на фронт пушки, полагаясь только на свою совесть. К чему это привело, ясно из секретной переписки между наркоматом танковой промышленности и заводами-производителями в марте 1942 г.: «В последнее время из воинских частей участились жалобы на некомплектные поставки танков в танковые войска. На многих машинах не хватает фар, других электроприборов, некоторых рукояток, пушки Ф-34 тоже поставляются некомплектно. А в феврале вообще имел место вопиющий факт установки на целой серии под видом орудия фактически обычной трубы без нарезки, совершенно негодной для стрельбы». [90 — ГУ ЦАНО, Ф. 15, Оп. 4, Д. 199, Л. 67.] А основным поставщиком танковых пушек Ф-34 был как раз еляновский завод № 92. Однако, вероятно, благодаря своим связям и родству с Берией директор не понес никакого наказания. Позднее, в конце 42-го года, военная приемка на заводе была все же восстановлена, но со значительно урезанными правами. Завод и в последующие годы широко практиковал «модернизацию» как способ сэкономить металл. Получалось, что конструктор закладывал в орудие одни характеристики, а заводы-производители самовольно изменяли их. Так получилось и с новой 85-мм танковой пушкой ЗИС-С-53. Согласно чертежу, моноблок орудия требовалось изготовлять из стали категории 0-70. Однако главный металлург завода № 92 М. М. Струсельба решил, что «при строгом соблюдении режимов выплавки стали, ковки и термообработки» подойдет и более дешевая категория стали 0-65. И Елян это решение утвердил. Но проблема состояла в том, что как раз строгого «соблюдения режимов» в условиях постоянного аврала и штурмовщины добиться было просто нереально. Поэтому на готовых стволах стали обнаруживаться флокены — внутренние пороки металла в виде небольших трещин. Брак принял массовый характер, охватывая целые плавки и партии. [91 — Товарищ завод, с. 166–168.] В итоге проблему удалось все же решить, но Т-34 с 85-мм пушкой появились на фронте только </w:t>
      </w:r>
      <w:r w:rsidRPr="00722885">
        <w:rPr>
          <w:rFonts w:ascii="Times New Roman" w:hAnsi="Times New Roman"/>
          <w:color w:val="000000" w:themeColor="text1"/>
          <w:sz w:val="16"/>
          <w:szCs w:val="16"/>
        </w:rPr>
        <w:lastRenderedPageBreak/>
        <w:t>осенью 1944 г., а массово применяться они стали и вовсе в 1945 г., то есть в самом конце войны. Довольно широкое распространение получило мнение, что завод № 92 выпустил за годы войны якобы сто тысяч пушек ЗИС-3. Но на самом деле эта цифра далека от истины. В 1941 г. в армию отправились только 50 «Зось», в 1942 г. — 10 139, в следующие два года — соответственно 12 268 и 13 215, и с 1 января по 1 июня 1945 г. — еще 6150. Итого завод выпустил в общей сложности 41 822 орудия. Еще 6504 ЗИС-3 сдал армии артиллерийский завод № 235. [92 — Свирин М. Ее звали «Зосей».// М-хобби, № 9 (75), 2006, с. 42.] (11741).</w:t>
      </w:r>
    </w:p>
    <w:p w14:paraId="479187EB" w14:textId="77777777" w:rsidR="00BB6316" w:rsidRPr="00722885" w:rsidRDefault="00BB6316" w:rsidP="00722885">
      <w:pPr>
        <w:shd w:val="clear" w:color="auto" w:fill="FFFFFF"/>
        <w:spacing w:after="0" w:line="240" w:lineRule="auto"/>
        <w:jc w:val="both"/>
        <w:rPr>
          <w:rFonts w:ascii="Times New Roman" w:hAnsi="Times New Roman"/>
          <w:color w:val="000000" w:themeColor="text1"/>
          <w:sz w:val="16"/>
          <w:szCs w:val="16"/>
        </w:rPr>
      </w:pPr>
    </w:p>
    <w:p w14:paraId="35182906"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С 1940 года по 1942 год велось серийное производство Ф-34: 1940 год - 50; 1941 год - 3470; 1942 год - 14307; 1943 год - 17161; 1944 год - 3592. Всего было изготовлено 38580 пушек Ф-34. Серийное производство ЗИС-5 велось с 1941 года по 1943 год: в 1941 году - 544; 1942 год - 2476; 1943 год - 557. Всего было изготовлено 3577 пушек ЗИС-5 (3861).</w:t>
      </w:r>
    </w:p>
    <w:p w14:paraId="7AEA9F2C" w14:textId="77777777" w:rsidR="00BB6316" w:rsidRPr="00722885" w:rsidRDefault="00BB6316" w:rsidP="00722885">
      <w:pPr>
        <w:pStyle w:val="Iauiue"/>
        <w:jc w:val="both"/>
        <w:rPr>
          <w:color w:val="000000" w:themeColor="text1"/>
          <w:sz w:val="16"/>
          <w:szCs w:val="16"/>
        </w:rPr>
      </w:pPr>
    </w:p>
    <w:p w14:paraId="15E94C94"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1942-1943 годах на базе 45-мм противотанковой пушки М-42 в ОКБ-172 были изготовлены опытные образцы 45-мм танковых пушек ВТ-42 и ВТ-43 с длиной ствола в 68,6 клб. Пушки ВТ-42 предназначались для танков Т-70, а ВТ-43 - для танков Т-80. На вооружение эти пушки приняты не были (3861).</w:t>
      </w:r>
    </w:p>
    <w:p w14:paraId="322B8B54" w14:textId="77777777" w:rsidR="00BB6316" w:rsidRPr="00722885" w:rsidRDefault="00BB6316" w:rsidP="00722885">
      <w:pPr>
        <w:pStyle w:val="Iauiue"/>
        <w:jc w:val="both"/>
        <w:rPr>
          <w:color w:val="000000" w:themeColor="text1"/>
          <w:sz w:val="16"/>
          <w:szCs w:val="16"/>
        </w:rPr>
      </w:pPr>
    </w:p>
    <w:p w14:paraId="4B8CECE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 и 1943 годах производство 76-мм полковых пушек обр. 1927 г. на заводе "Красный Путиловец" не велось, а было перенесено на завод № 172 (3861).</w:t>
      </w:r>
    </w:p>
    <w:p w14:paraId="78686BFF" w14:textId="77777777" w:rsidR="00BB6316" w:rsidRPr="00722885" w:rsidRDefault="00BB6316" w:rsidP="00722885">
      <w:pPr>
        <w:pStyle w:val="Iauiue"/>
        <w:jc w:val="both"/>
        <w:rPr>
          <w:color w:val="000000" w:themeColor="text1"/>
          <w:sz w:val="16"/>
          <w:szCs w:val="16"/>
        </w:rPr>
      </w:pPr>
    </w:p>
    <w:p w14:paraId="590403EE"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1942-1943 на Ленинградском фронте в батальоне специального назначения, которым командовал майор П.А. Заводчиков, приучили собак со взрывчаткой в специальной сумке пробираться по проходам в колючей проволоке, которые немцы оставляли для перебежчиков с нашей стороны. Попав в расположение противника, собаки забегали в бункера, бросались на двери дзотов, блиндажей и других убежищ, где они чуяли людей. При этом взрыватели, вставленные во вьюки с толом, которые собаки несли на спине, задев за стенку или дверь, срабатывали и взрывали мину. Необходимые для таких мин специальные взрыватели были сконструированы в Ленинградском физико-техническом институте АН СССР под руководством доктора физико-математических наук Н.М. Рейнова (3861).</w:t>
      </w:r>
    </w:p>
    <w:p w14:paraId="0A17A9B1" w14:textId="77777777" w:rsidR="00BB6316" w:rsidRPr="00722885" w:rsidRDefault="00BB6316" w:rsidP="00722885">
      <w:pPr>
        <w:pStyle w:val="Iauiue"/>
        <w:jc w:val="both"/>
        <w:rPr>
          <w:color w:val="000000" w:themeColor="text1"/>
          <w:sz w:val="16"/>
          <w:szCs w:val="16"/>
        </w:rPr>
      </w:pPr>
    </w:p>
    <w:p w14:paraId="48D591D0"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В 1942-1943 Т-50, изготовленные в Ленинграде, находились на вооружении одной из танковых бригад, действовавшей на Карельском перешейке. Часть из них была захвачена финнами, где эти танки использовались до конца войны (3862).</w:t>
      </w:r>
    </w:p>
    <w:p w14:paraId="4447C057" w14:textId="77777777" w:rsidR="00BB6316" w:rsidRPr="00722885" w:rsidRDefault="00BB6316" w:rsidP="00722885">
      <w:pPr>
        <w:pStyle w:val="Iauiue"/>
        <w:jc w:val="both"/>
        <w:rPr>
          <w:color w:val="000000" w:themeColor="text1"/>
          <w:sz w:val="16"/>
          <w:szCs w:val="16"/>
        </w:rPr>
      </w:pPr>
    </w:p>
    <w:p w14:paraId="0FAA930A" w14:textId="77777777" w:rsidR="00D3420D" w:rsidRPr="00722885" w:rsidRDefault="00D3420D" w:rsidP="00722885">
      <w:pPr>
        <w:spacing w:after="0" w:line="240" w:lineRule="auto"/>
        <w:jc w:val="both"/>
        <w:rPr>
          <w:rFonts w:ascii="Times New Roman" w:hAnsi="Times New Roman"/>
          <w:color w:val="000000" w:themeColor="text1"/>
          <w:sz w:val="16"/>
          <w:szCs w:val="16"/>
        </w:rPr>
      </w:pPr>
      <w:r w:rsidRPr="00722885">
        <w:rPr>
          <w:rFonts w:ascii="Times New Roman" w:hAnsi="Times New Roman"/>
          <w:color w:val="000000" w:themeColor="text1"/>
          <w:sz w:val="16"/>
          <w:szCs w:val="16"/>
        </w:rPr>
        <w:t>В 1942-1944 в рамках практических работ, в первую очередь направленных на улучшение мореходных характеристик быстроходных боевых катеров, проводились исследования торпедных и бронекатеров. Буксиро - вочные испытания моделей катеров проводились по руководством ст. инженера А. С. Перельмутра. При этом определялись гидродинамические характеристики катеров и разрабатывались различные рекомендации конструкторским бюро по выбору обводов, выступающих частей, нагрузок и центровок катеров. Так, для повышения мореходности катера проекта 166 (конструкции ЦКБ-51) после испытания его модели в гидроканале было предложено перейти от двухштевневой к одноштевневой схеме. Для катера проекта 158 (серийный металлический вариант деревянного торпедного катера Д-3) для улучшения мореходности были разработаны скуловые накладки. По бронекатеру проекта 1124, разработанного ЦКБ-32, было установлено, что из-за большой полноты обводов и плохой формы носовых образований на скорости 101 км/ч катер имеет неудовлетворительное брызгообразование на спокойной воде. Для улучшения брызгообразования ЦАГИ разработал и рекомендовал установку отвальных брусьев по бортам катера, что было принято и реализовано. Также в гидроканале ЦАГИ проводились испытания модели катера СТК-ДД («Стальной катер дальнего действия» завода № 340), обводы которого были разработаны ЦАГИ еще до войны. Контрольные испытания модели в гидроканале показали хорошие гидродинамические качества рекомендованных обводов. Были даны дальнейшие рекомендации по уменьшению заливаемости, изменению центровки для уменьшения силы ударов на волнении, размещения шахты шумопеленгатора и т. п. Катер СТК-ДД был построен и успешно прошел испытания. Испытания модели катера проекта 200 (конструкции филиала ЦКБ-32) показали интенсивное заливание носовой части на малых (крейсерских) скоростях. ЦАГИ рекомендовал установить в носу полубак и ограничить водоизмещение катера 45 т. При этом институт отметил, что ограничение ширины катера 4 м (требование флота вписаться в железнодорожный габарит) не позволяет полностью реализовать требования к мореходности для данного проекта. Фактически впервые было отмечено, что попытка вписать в железнодорожный габарит проекты скоростных катеров является серьезным препятствием в достижении необходимой мореходности. Для сравнения с проектами отечественных катеров в 1943 г. была изготовлена модель в масштабе 1:10 британского торпедного катера типа «Хиггинс». Испытания показали преимущества зарубежных катеров, имевших большую ширину корпуса. В 1942—1943 гг. ЦАГИ разработал обводы и выступающие части малого реданного катера проекта 123бис, а также спроектированы и доведены гребные винты, с которым катер развил скорость до 51.4 узла при нормальном водоизмещении — на пять узлов больше, чем с винтами завода № 639. В 1944 г. катер приняли на вооружение, за время Великой Отечест - венной войны в боевых действиях успели принять участие четыре катера этого типа, а массовое их производство было организовано после войны. В 1942 г. в Ленинграде при установке на торпедных катерах типа Д-3 ленд-лизовских двигателей «Пак кард» выявилась тенденция к левому развороту — катер плохо удерживался на курсе. Исследовав проблему, ЦАГИ дал рекомендации уменьшить площадь компенсации существующих рулей, а в дальнейшем установить рули большой площади и длины. В рамках работ по скоростным катерам на Ба рен - цовом и Черном морях институт проводил обширные натурные испытания по измерению нагрузок, давления на днище и деформаций корпусов торпедных катеров при ходе на волнении. Максимальные перегрузки при волнении 6 баллов доходили до 8. Материалы испытаний использовались в дальнейшем для сравнения мореходности катеров и расчета их на 89 Головной торпедный катер ОД-200 Головной торпедный катер проекта 123бис Бронекатер проекта 1234 прочность. Полученные экспериментальные данные были объединены и систематизированы. В мае 1943 г. были получены положительные результаты испытаний в ЦАГИ модели ТЩ типа МТ-1. Также к 28 мая 1943 г. модель тральщика проекта 253л прошла успешные испытания в бассейне ЦАГИ и 12 июня на заводе № 189 были заложены два первых малых тральщика, или «стотонника», как их стали полуофициально называть, ориентируясь на проектное водоизмещение. В 1944—1945 гг. в гидроканале впервые были поставлены на систематическую основу испытания моделей при движении на регулярной волне. В результате проведенных исследований удалось понять механизм явления заливания и определить влияние на килевую и вертикальную качку механических параметров, параметров формы корпуса и волны. Было установлено, что по заливанию и качке наиболее опасны волны, длина которых равна длине корабля. Увеличение удлинения корабля уменьшает качку и заливание; увеличение полноты ватерлинии способствует уменьшению качки. Были даны указания о формах носовой части, благоприятных с точки зрения мореходности, предложены защитные устройства для уменьшения заливаемости рубок подводных лодок. С помощью испытания динамически подобных моделей на волне в гидроканале был произведен сравнительный анализ отечественных и иностранных миноносцев и тральщиков и даны рекомендации по проектам новых кораблей. В результате теоретических исследований по движению на волнах получили общие формулы для средней силы сопротивления, действующей на корабль при его движении на взволнованной поверхности. Была разработана общая теория качки корабля на волнах, которая является усовершенствованием и развитием теории качки академика А. Н. Крылова. В рамках работ по рейдовому буксирному пароходу, оснащенного двумя винтами в кольцевых насадках, в ЦАГИ была изготовлена модель в масштабе 1:10, на которой проводились исследования в гидроканале. Было установлено, что винты для корабля подобраны неправильно, а на задних ходах подсасывают воздух. В результате заявленные характеристики по тяге буксирного парохода оказались недостижимы, а кольцевые насадки дают малый эффект (19727).</w:t>
      </w:r>
    </w:p>
    <w:p w14:paraId="1DD79A69" w14:textId="77777777" w:rsidR="00D3420D" w:rsidRPr="00722885" w:rsidRDefault="00D3420D" w:rsidP="00722885">
      <w:pPr>
        <w:spacing w:after="0" w:line="240" w:lineRule="auto"/>
        <w:jc w:val="both"/>
        <w:rPr>
          <w:rFonts w:ascii="Times New Roman" w:hAnsi="Times New Roman"/>
          <w:color w:val="000000" w:themeColor="text1"/>
          <w:sz w:val="16"/>
          <w:szCs w:val="16"/>
        </w:rPr>
      </w:pPr>
    </w:p>
    <w:p w14:paraId="734B7553" w14:textId="77777777" w:rsidR="00BB6316" w:rsidRPr="00722885" w:rsidRDefault="00267F26" w:rsidP="00722885">
      <w:pPr>
        <w:pStyle w:val="Iauiue"/>
        <w:jc w:val="both"/>
        <w:rPr>
          <w:iCs/>
          <w:color w:val="000000" w:themeColor="text1"/>
          <w:sz w:val="16"/>
          <w:szCs w:val="16"/>
        </w:rPr>
      </w:pPr>
      <w:r w:rsidRPr="00722885">
        <w:rPr>
          <w:i/>
          <w:iCs/>
          <w:color w:val="000000" w:themeColor="text1"/>
          <w:sz w:val="16"/>
          <w:szCs w:val="16"/>
        </w:rPr>
        <w:t>Армия:</w:t>
      </w:r>
    </w:p>
    <w:p w14:paraId="30E0E06C" w14:textId="77777777" w:rsidR="00BB6316" w:rsidRPr="00722885" w:rsidRDefault="00BB6316" w:rsidP="00722885">
      <w:pPr>
        <w:pStyle w:val="Iauiue"/>
        <w:jc w:val="both"/>
        <w:rPr>
          <w:color w:val="000000" w:themeColor="text1"/>
          <w:sz w:val="16"/>
          <w:szCs w:val="16"/>
        </w:rPr>
      </w:pPr>
    </w:p>
    <w:p w14:paraId="3E0E5F09" w14:textId="77777777" w:rsidR="00BB6316" w:rsidRPr="00722885" w:rsidRDefault="00BB6316" w:rsidP="00722885">
      <w:pPr>
        <w:pStyle w:val="a3"/>
        <w:rPr>
          <w:color w:val="000000" w:themeColor="text1"/>
          <w:lang w:val="ru-RU"/>
        </w:rPr>
      </w:pPr>
      <w:r w:rsidRPr="00722885">
        <w:rPr>
          <w:color w:val="000000" w:themeColor="text1"/>
          <w:lang w:val="ru-RU"/>
        </w:rPr>
        <w:t>В 1942-43 гг. большое значение прида</w:t>
      </w:r>
      <w:r w:rsidRPr="00722885">
        <w:rPr>
          <w:color w:val="000000" w:themeColor="text1"/>
          <w:lang w:val="ru-RU"/>
        </w:rPr>
        <w:softHyphen/>
        <w:t>валось связи с партизанами. Туда летали и экипажи транспортных полков ГВФ, и летчи</w:t>
      </w:r>
      <w:r w:rsidRPr="00722885">
        <w:rPr>
          <w:color w:val="000000" w:themeColor="text1"/>
          <w:lang w:val="ru-RU"/>
        </w:rPr>
        <w:softHyphen/>
        <w:t>ки авиации НКВД. В этих рискованных рей</w:t>
      </w:r>
      <w:r w:rsidRPr="00722885">
        <w:rPr>
          <w:color w:val="000000" w:themeColor="text1"/>
          <w:lang w:val="ru-RU"/>
        </w:rPr>
        <w:softHyphen/>
        <w:t>сах Р-5 зачастую демонстрировали чудеса живучести. Например, в июле 1943 г. само</w:t>
      </w:r>
      <w:r w:rsidRPr="00722885">
        <w:rPr>
          <w:color w:val="000000" w:themeColor="text1"/>
          <w:lang w:val="ru-RU"/>
        </w:rPr>
        <w:softHyphen/>
        <w:t>лет, пилотируемый В.Н. Тезиковым, при по</w:t>
      </w:r>
      <w:r w:rsidRPr="00722885">
        <w:rPr>
          <w:color w:val="000000" w:themeColor="text1"/>
          <w:lang w:val="ru-RU"/>
        </w:rPr>
        <w:softHyphen/>
        <w:t>садке на площадке белорусских партизан в Селявщине подорвался на мине и повредил хвост. Машину удалось отремонтировать на месте, и Тезиков все-таки вывез 6 раненых партизан. При посадке в той же Селявщине сломался конец одной из лопастей винта на Р-5 к-на Кузнецова. Летчик симметрично отпилил вторую лопасть и вернулся домой. Самолет ст. л-та Камышева из 1-го отде</w:t>
      </w:r>
      <w:r w:rsidRPr="00722885">
        <w:rPr>
          <w:color w:val="000000" w:themeColor="text1"/>
          <w:lang w:val="ru-RU"/>
        </w:rPr>
        <w:softHyphen/>
        <w:t>льного полка НКВД при посадке у партизан ударился о дерево. На поврежденный лон</w:t>
      </w:r>
      <w:r w:rsidRPr="00722885">
        <w:rPr>
          <w:color w:val="000000" w:themeColor="text1"/>
          <w:lang w:val="ru-RU"/>
        </w:rPr>
        <w:softHyphen/>
        <w:t>жерон наложили «шину» из срубленной тут же березки, и после разгрузки он улетел (11936).</w:t>
      </w:r>
    </w:p>
    <w:p w14:paraId="4860A0E7" w14:textId="77777777" w:rsidR="00BB6316" w:rsidRPr="00722885" w:rsidRDefault="00BB6316" w:rsidP="00722885">
      <w:pPr>
        <w:pStyle w:val="a3"/>
        <w:rPr>
          <w:color w:val="000000" w:themeColor="text1"/>
          <w:lang w:val="ru-RU"/>
        </w:rPr>
      </w:pPr>
    </w:p>
    <w:p w14:paraId="3E09A672" w14:textId="77777777" w:rsidR="00BB6316" w:rsidRPr="00722885" w:rsidRDefault="00BB6316" w:rsidP="00722885">
      <w:pPr>
        <w:pStyle w:val="Iauiue"/>
        <w:jc w:val="both"/>
        <w:rPr>
          <w:color w:val="000000" w:themeColor="text1"/>
          <w:sz w:val="16"/>
          <w:szCs w:val="16"/>
        </w:rPr>
      </w:pPr>
      <w:r w:rsidRPr="00722885">
        <w:rPr>
          <w:color w:val="000000" w:themeColor="text1"/>
          <w:sz w:val="16"/>
          <w:szCs w:val="16"/>
        </w:rPr>
        <w:t>Год, когда и лидеры, и аутсайдеры очнулись от первого шока поражений и эвакуации и попытались опять побороться не поняв, что уже ничего не изменить - ни улучшить радикально то, что есть свое и уже пошло, ни заменить чужое новым своим, даже если оно лучше или простое и, казалось бы, не может встретить трудности, например, пушки НС-37 и Ш-37. Война не заменяла - только отсекала или давало принципиально новое. Конечно, были исключения, например, Ще-2, но они - своими малыми сериями - скорее подтверждали правило (По-2 и Пегас).</w:t>
      </w:r>
    </w:p>
    <w:p w14:paraId="134325CE" w14:textId="77777777" w:rsidR="00CC5360" w:rsidRPr="00722885" w:rsidRDefault="00CC5360" w:rsidP="00722885">
      <w:pPr>
        <w:spacing w:after="0" w:line="240" w:lineRule="auto"/>
        <w:jc w:val="both"/>
        <w:rPr>
          <w:rFonts w:ascii="Times New Roman" w:hAnsi="Times New Roman"/>
          <w:color w:val="000000" w:themeColor="text1"/>
          <w:sz w:val="16"/>
          <w:szCs w:val="16"/>
        </w:rPr>
      </w:pPr>
    </w:p>
    <w:sectPr w:rsidR="00CC5360" w:rsidRPr="00722885" w:rsidSect="007116CB">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Gothic">
    <w:panose1 w:val="020B0502020202020204"/>
    <w:charset w:val="CC"/>
    <w:family w:val="swiss"/>
    <w:pitch w:val="variable"/>
    <w:sig w:usb0="000002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Franklin Gothic Heavy">
    <w:panose1 w:val="020B0903020102020204"/>
    <w:charset w:val="CC"/>
    <w:family w:val="swiss"/>
    <w:pitch w:val="variable"/>
    <w:sig w:usb0="00000287" w:usb1="00000000" w:usb2="00000000" w:usb3="00000000" w:csb0="0000009F" w:csb1="00000000"/>
  </w:font>
  <w:font w:name="David">
    <w:charset w:val="B1"/>
    <w:family w:val="swiss"/>
    <w:pitch w:val="variable"/>
    <w:sig w:usb0="00000803" w:usb1="00000000" w:usb2="00000000" w:usb3="00000000" w:csb0="00000021" w:csb1="00000000"/>
  </w:font>
  <w:font w:name="Arial Black">
    <w:panose1 w:val="020B0A04020102020204"/>
    <w:charset w:val="CC"/>
    <w:family w:val="swiss"/>
    <w:pitch w:val="variable"/>
    <w:sig w:usb0="A00002AF" w:usb1="400078FB"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A886D1FA"/>
    <w:lvl w:ilvl="0">
      <w:numFmt w:val="bullet"/>
      <w:lvlText w:val="*"/>
      <w:lvlJc w:val="left"/>
    </w:lvl>
  </w:abstractNum>
  <w:abstractNum w:abstractNumId="1" w15:restartNumberingAfterBreak="0">
    <w:nsid w:val="00000013"/>
    <w:multiLevelType w:val="multilevel"/>
    <w:tmpl w:val="00000012"/>
    <w:lvl w:ilvl="0">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1">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2">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3">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4">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5">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6">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7">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8">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abstractNum>
  <w:abstractNum w:abstractNumId="2" w15:restartNumberingAfterBreak="0">
    <w:nsid w:val="06063681"/>
    <w:multiLevelType w:val="singleLevel"/>
    <w:tmpl w:val="01D8008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1A586096"/>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20ED4A34"/>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5" w15:restartNumberingAfterBreak="0">
    <w:nsid w:val="285911B7"/>
    <w:multiLevelType w:val="singleLevel"/>
    <w:tmpl w:val="E4B44E5C"/>
    <w:lvl w:ilvl="0">
      <w:start w:val="3"/>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6" w15:restartNumberingAfterBreak="0">
    <w:nsid w:val="298476CA"/>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 w15:restartNumberingAfterBreak="0">
    <w:nsid w:val="35816726"/>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8" w15:restartNumberingAfterBreak="0">
    <w:nsid w:val="35BE0202"/>
    <w:multiLevelType w:val="singleLevel"/>
    <w:tmpl w:val="3110952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9" w15:restartNumberingAfterBreak="0">
    <w:nsid w:val="394972B5"/>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0" w15:restartNumberingAfterBreak="0">
    <w:nsid w:val="3FCF2EDF"/>
    <w:multiLevelType w:val="singleLevel"/>
    <w:tmpl w:val="636ED53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1" w15:restartNumberingAfterBreak="0">
    <w:nsid w:val="45BF731C"/>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2" w15:restartNumberingAfterBreak="0">
    <w:nsid w:val="495F7A6C"/>
    <w:multiLevelType w:val="singleLevel"/>
    <w:tmpl w:val="636ED53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3" w15:restartNumberingAfterBreak="0">
    <w:nsid w:val="4B0E0FB2"/>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4" w15:restartNumberingAfterBreak="0">
    <w:nsid w:val="4C260211"/>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5" w15:restartNumberingAfterBreak="0">
    <w:nsid w:val="4E0D7FEC"/>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6" w15:restartNumberingAfterBreak="0">
    <w:nsid w:val="4FC03E95"/>
    <w:multiLevelType w:val="singleLevel"/>
    <w:tmpl w:val="2950257C"/>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61141443"/>
    <w:multiLevelType w:val="singleLevel"/>
    <w:tmpl w:val="F9446E6E"/>
    <w:lvl w:ilvl="0">
      <w:start w:val="5"/>
      <w:numFmt w:val="decimal"/>
      <w:lvlText w:val="%1. "/>
      <w:legacy w:legacy="1" w:legacySpace="0" w:legacyIndent="283"/>
      <w:lvlJc w:val="left"/>
      <w:pPr>
        <w:ind w:left="283" w:hanging="283"/>
      </w:pPr>
      <w:rPr>
        <w:rFonts w:ascii="Arial" w:hAnsi="Arial" w:cs="Arial" w:hint="default"/>
        <w:b w:val="0"/>
        <w:i w:val="0"/>
        <w:color w:val="000000"/>
        <w:sz w:val="19"/>
      </w:rPr>
    </w:lvl>
  </w:abstractNum>
  <w:abstractNum w:abstractNumId="18" w15:restartNumberingAfterBreak="0">
    <w:nsid w:val="6BAC74DD"/>
    <w:multiLevelType w:val="singleLevel"/>
    <w:tmpl w:val="01D8008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 w15:restartNumberingAfterBreak="0">
    <w:nsid w:val="75702722"/>
    <w:multiLevelType w:val="multilevel"/>
    <w:tmpl w:val="1FF0A17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7AAE3E22"/>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21" w15:restartNumberingAfterBreak="0">
    <w:nsid w:val="7FBD3D85"/>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abstractNumId w:val="13"/>
  </w:num>
  <w:num w:numId="2">
    <w:abstractNumId w:val="13"/>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
    <w:abstractNumId w:val="8"/>
  </w:num>
  <w:num w:numId="4">
    <w:abstractNumId w:val="9"/>
  </w:num>
  <w:num w:numId="5">
    <w:abstractNumId w:val="9"/>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6">
    <w:abstractNumId w:val="0"/>
    <w:lvlOverride w:ilvl="0">
      <w:lvl w:ilvl="0">
        <w:numFmt w:val="bullet"/>
        <w:lvlText w:val=""/>
        <w:legacy w:legacy="1" w:legacySpace="0" w:legacyIndent="360"/>
        <w:lvlJc w:val="left"/>
        <w:pPr>
          <w:ind w:left="360" w:hanging="360"/>
        </w:pPr>
        <w:rPr>
          <w:rFonts w:ascii="Symbol" w:hAnsi="Symbol" w:hint="default"/>
        </w:rPr>
      </w:lvl>
    </w:lvlOverride>
  </w:num>
  <w:num w:numId="7">
    <w:abstractNumId w:val="5"/>
  </w:num>
  <w:num w:numId="8">
    <w:abstractNumId w:val="14"/>
  </w:num>
  <w:num w:numId="9">
    <w:abstractNumId w:val="7"/>
  </w:num>
  <w:num w:numId="10">
    <w:abstractNumId w:val="11"/>
  </w:num>
  <w:num w:numId="11">
    <w:abstractNumId w:val="4"/>
  </w:num>
  <w:num w:numId="12">
    <w:abstractNumId w:val="15"/>
  </w:num>
  <w:num w:numId="13">
    <w:abstractNumId w:val="20"/>
  </w:num>
  <w:num w:numId="14">
    <w:abstractNumId w:val="18"/>
  </w:num>
  <w:num w:numId="15">
    <w:abstractNumId w:val="2"/>
  </w:num>
  <w:num w:numId="16">
    <w:abstractNumId w:val="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
    <w:abstractNumId w:val="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
    <w:abstractNumId w:val="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9">
    <w:abstractNumId w:val="12"/>
  </w:num>
  <w:num w:numId="20">
    <w:abstractNumId w:val="10"/>
  </w:num>
  <w:num w:numId="21">
    <w:abstractNumId w:val="17"/>
  </w:num>
  <w:num w:numId="22">
    <w:abstractNumId w:val="3"/>
  </w:num>
  <w:num w:numId="23">
    <w:abstractNumId w:val="16"/>
  </w:num>
  <w:num w:numId="24">
    <w:abstractNumId w:val="1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
    <w:abstractNumId w:val="1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6">
    <w:abstractNumId w:val="1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7">
    <w:abstractNumId w:val="6"/>
  </w:num>
  <w:num w:numId="28">
    <w:abstractNumId w:val="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
    <w:abstractNumId w:val="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0">
    <w:abstractNumId w:val="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1">
    <w:abstractNumId w:val="21"/>
  </w:num>
  <w:num w:numId="32">
    <w:abstractNumId w:val="2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3">
    <w:abstractNumId w:val="2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4">
    <w:abstractNumId w:val="2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5">
    <w:abstractNumId w:val="19"/>
  </w:num>
  <w:num w:numId="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260"/>
    <w:rsid w:val="0000080E"/>
    <w:rsid w:val="00001919"/>
    <w:rsid w:val="00002908"/>
    <w:rsid w:val="00004B26"/>
    <w:rsid w:val="00013C97"/>
    <w:rsid w:val="00014545"/>
    <w:rsid w:val="00030668"/>
    <w:rsid w:val="00031901"/>
    <w:rsid w:val="00032351"/>
    <w:rsid w:val="00034095"/>
    <w:rsid w:val="00044450"/>
    <w:rsid w:val="00055325"/>
    <w:rsid w:val="00055F9B"/>
    <w:rsid w:val="00056917"/>
    <w:rsid w:val="00057FDC"/>
    <w:rsid w:val="00063056"/>
    <w:rsid w:val="00072048"/>
    <w:rsid w:val="0007364D"/>
    <w:rsid w:val="0008486A"/>
    <w:rsid w:val="00085211"/>
    <w:rsid w:val="00086AD6"/>
    <w:rsid w:val="00087597"/>
    <w:rsid w:val="00087D2F"/>
    <w:rsid w:val="00090C9B"/>
    <w:rsid w:val="00093471"/>
    <w:rsid w:val="000A2335"/>
    <w:rsid w:val="000A4BC2"/>
    <w:rsid w:val="000A604E"/>
    <w:rsid w:val="000C0F1B"/>
    <w:rsid w:val="000C324B"/>
    <w:rsid w:val="000C3A55"/>
    <w:rsid w:val="000D1F16"/>
    <w:rsid w:val="000D20D9"/>
    <w:rsid w:val="000D37D8"/>
    <w:rsid w:val="000D4AE1"/>
    <w:rsid w:val="000D6127"/>
    <w:rsid w:val="000D6DF3"/>
    <w:rsid w:val="000E5750"/>
    <w:rsid w:val="000F18D5"/>
    <w:rsid w:val="000F1FA6"/>
    <w:rsid w:val="000F6124"/>
    <w:rsid w:val="00101088"/>
    <w:rsid w:val="00103465"/>
    <w:rsid w:val="0011363C"/>
    <w:rsid w:val="001166A2"/>
    <w:rsid w:val="00121172"/>
    <w:rsid w:val="00121990"/>
    <w:rsid w:val="00122E0B"/>
    <w:rsid w:val="0013300C"/>
    <w:rsid w:val="00140708"/>
    <w:rsid w:val="00143BEF"/>
    <w:rsid w:val="00151541"/>
    <w:rsid w:val="00152C26"/>
    <w:rsid w:val="00153B27"/>
    <w:rsid w:val="0016028C"/>
    <w:rsid w:val="0016638B"/>
    <w:rsid w:val="00182A0D"/>
    <w:rsid w:val="00184FC4"/>
    <w:rsid w:val="00186195"/>
    <w:rsid w:val="00191802"/>
    <w:rsid w:val="00197386"/>
    <w:rsid w:val="001A29E6"/>
    <w:rsid w:val="001A35BE"/>
    <w:rsid w:val="001B2C96"/>
    <w:rsid w:val="001B34B4"/>
    <w:rsid w:val="001C5C3A"/>
    <w:rsid w:val="001D50A3"/>
    <w:rsid w:val="001D606C"/>
    <w:rsid w:val="001D66FE"/>
    <w:rsid w:val="001E0E61"/>
    <w:rsid w:val="001E4A88"/>
    <w:rsid w:val="001E4C3E"/>
    <w:rsid w:val="001E756A"/>
    <w:rsid w:val="001F2AD8"/>
    <w:rsid w:val="001F6A06"/>
    <w:rsid w:val="002025FE"/>
    <w:rsid w:val="00205FD3"/>
    <w:rsid w:val="00211B56"/>
    <w:rsid w:val="00227D12"/>
    <w:rsid w:val="00227E16"/>
    <w:rsid w:val="00232EB4"/>
    <w:rsid w:val="00240B8C"/>
    <w:rsid w:val="00256175"/>
    <w:rsid w:val="0025624C"/>
    <w:rsid w:val="0026218A"/>
    <w:rsid w:val="002630D2"/>
    <w:rsid w:val="00265C05"/>
    <w:rsid w:val="00265C4C"/>
    <w:rsid w:val="00267F26"/>
    <w:rsid w:val="00285238"/>
    <w:rsid w:val="002878ED"/>
    <w:rsid w:val="00291E17"/>
    <w:rsid w:val="00297596"/>
    <w:rsid w:val="002B0AA5"/>
    <w:rsid w:val="002C2260"/>
    <w:rsid w:val="002C7978"/>
    <w:rsid w:val="002E06F9"/>
    <w:rsid w:val="002E1D0F"/>
    <w:rsid w:val="002E3F5E"/>
    <w:rsid w:val="002F5A59"/>
    <w:rsid w:val="00317346"/>
    <w:rsid w:val="00326FD0"/>
    <w:rsid w:val="003315C9"/>
    <w:rsid w:val="00337233"/>
    <w:rsid w:val="00340643"/>
    <w:rsid w:val="00344FD4"/>
    <w:rsid w:val="0036552A"/>
    <w:rsid w:val="00371351"/>
    <w:rsid w:val="00374BE3"/>
    <w:rsid w:val="00375EC3"/>
    <w:rsid w:val="0038235D"/>
    <w:rsid w:val="00387D3B"/>
    <w:rsid w:val="00391FC0"/>
    <w:rsid w:val="00394159"/>
    <w:rsid w:val="003A2E79"/>
    <w:rsid w:val="003A6E72"/>
    <w:rsid w:val="003B3C69"/>
    <w:rsid w:val="003B6800"/>
    <w:rsid w:val="003B6A42"/>
    <w:rsid w:val="003C3FCB"/>
    <w:rsid w:val="003D3F1B"/>
    <w:rsid w:val="003D573C"/>
    <w:rsid w:val="003E519A"/>
    <w:rsid w:val="003E7C14"/>
    <w:rsid w:val="003F0D95"/>
    <w:rsid w:val="003F114E"/>
    <w:rsid w:val="003F1491"/>
    <w:rsid w:val="003F3A01"/>
    <w:rsid w:val="004119B8"/>
    <w:rsid w:val="004135CC"/>
    <w:rsid w:val="00416517"/>
    <w:rsid w:val="00416559"/>
    <w:rsid w:val="00421B0C"/>
    <w:rsid w:val="00426705"/>
    <w:rsid w:val="004318C9"/>
    <w:rsid w:val="0043377D"/>
    <w:rsid w:val="004371F8"/>
    <w:rsid w:val="00437338"/>
    <w:rsid w:val="00440371"/>
    <w:rsid w:val="00441F3A"/>
    <w:rsid w:val="00442DB8"/>
    <w:rsid w:val="00445F8C"/>
    <w:rsid w:val="0044627C"/>
    <w:rsid w:val="004532E0"/>
    <w:rsid w:val="00463275"/>
    <w:rsid w:val="0047039E"/>
    <w:rsid w:val="00473FE7"/>
    <w:rsid w:val="00475D5C"/>
    <w:rsid w:val="0048419B"/>
    <w:rsid w:val="004843AC"/>
    <w:rsid w:val="00495961"/>
    <w:rsid w:val="00497DD7"/>
    <w:rsid w:val="004A0609"/>
    <w:rsid w:val="004A33F1"/>
    <w:rsid w:val="004A3FBB"/>
    <w:rsid w:val="004B1D99"/>
    <w:rsid w:val="004C1168"/>
    <w:rsid w:val="004C228B"/>
    <w:rsid w:val="004C2407"/>
    <w:rsid w:val="004C71FA"/>
    <w:rsid w:val="004D6E34"/>
    <w:rsid w:val="004E2E7F"/>
    <w:rsid w:val="004F02C4"/>
    <w:rsid w:val="004F59B2"/>
    <w:rsid w:val="004F7EA1"/>
    <w:rsid w:val="00500FF3"/>
    <w:rsid w:val="00504B90"/>
    <w:rsid w:val="005052B4"/>
    <w:rsid w:val="0051074C"/>
    <w:rsid w:val="00511E5F"/>
    <w:rsid w:val="00517A3A"/>
    <w:rsid w:val="00526171"/>
    <w:rsid w:val="00546E6F"/>
    <w:rsid w:val="00552B25"/>
    <w:rsid w:val="0055756B"/>
    <w:rsid w:val="00565332"/>
    <w:rsid w:val="00565971"/>
    <w:rsid w:val="005662AE"/>
    <w:rsid w:val="0057042A"/>
    <w:rsid w:val="00573D52"/>
    <w:rsid w:val="00575617"/>
    <w:rsid w:val="005763FC"/>
    <w:rsid w:val="005802CB"/>
    <w:rsid w:val="00581485"/>
    <w:rsid w:val="00587E7C"/>
    <w:rsid w:val="0059006B"/>
    <w:rsid w:val="00591495"/>
    <w:rsid w:val="00594136"/>
    <w:rsid w:val="005A31AF"/>
    <w:rsid w:val="005B0AA4"/>
    <w:rsid w:val="005B1690"/>
    <w:rsid w:val="005B4051"/>
    <w:rsid w:val="005B5EE0"/>
    <w:rsid w:val="005C1F18"/>
    <w:rsid w:val="005C48DA"/>
    <w:rsid w:val="005D0E4F"/>
    <w:rsid w:val="005D11FF"/>
    <w:rsid w:val="005D20BF"/>
    <w:rsid w:val="005D2990"/>
    <w:rsid w:val="00613CE1"/>
    <w:rsid w:val="00627011"/>
    <w:rsid w:val="00627BE2"/>
    <w:rsid w:val="006328CA"/>
    <w:rsid w:val="006340FE"/>
    <w:rsid w:val="0063640A"/>
    <w:rsid w:val="006375A9"/>
    <w:rsid w:val="00650296"/>
    <w:rsid w:val="00651661"/>
    <w:rsid w:val="00655F62"/>
    <w:rsid w:val="00675751"/>
    <w:rsid w:val="00682C24"/>
    <w:rsid w:val="006913BD"/>
    <w:rsid w:val="00694BE6"/>
    <w:rsid w:val="00696E07"/>
    <w:rsid w:val="006A0985"/>
    <w:rsid w:val="006B57B8"/>
    <w:rsid w:val="006B5C1C"/>
    <w:rsid w:val="006C3821"/>
    <w:rsid w:val="006D2579"/>
    <w:rsid w:val="006D74F7"/>
    <w:rsid w:val="006E2EE2"/>
    <w:rsid w:val="006E7EFE"/>
    <w:rsid w:val="006F4217"/>
    <w:rsid w:val="006F77C0"/>
    <w:rsid w:val="00706739"/>
    <w:rsid w:val="007116CB"/>
    <w:rsid w:val="00712B02"/>
    <w:rsid w:val="00712ECF"/>
    <w:rsid w:val="00714063"/>
    <w:rsid w:val="00715152"/>
    <w:rsid w:val="00716A6B"/>
    <w:rsid w:val="007221B5"/>
    <w:rsid w:val="00722885"/>
    <w:rsid w:val="007240D5"/>
    <w:rsid w:val="00725DED"/>
    <w:rsid w:val="00734E2B"/>
    <w:rsid w:val="00735955"/>
    <w:rsid w:val="00752DA1"/>
    <w:rsid w:val="007610D8"/>
    <w:rsid w:val="00770D72"/>
    <w:rsid w:val="00776B5F"/>
    <w:rsid w:val="00781C6B"/>
    <w:rsid w:val="00783826"/>
    <w:rsid w:val="007877EB"/>
    <w:rsid w:val="00796D25"/>
    <w:rsid w:val="00797B7A"/>
    <w:rsid w:val="007A43FF"/>
    <w:rsid w:val="007A5C8F"/>
    <w:rsid w:val="007B06F9"/>
    <w:rsid w:val="007B173B"/>
    <w:rsid w:val="007B212D"/>
    <w:rsid w:val="007B3B59"/>
    <w:rsid w:val="007B5608"/>
    <w:rsid w:val="007B627D"/>
    <w:rsid w:val="007C48E4"/>
    <w:rsid w:val="007C6E94"/>
    <w:rsid w:val="007C763C"/>
    <w:rsid w:val="007D207F"/>
    <w:rsid w:val="007D604F"/>
    <w:rsid w:val="007D7196"/>
    <w:rsid w:val="007E1EF8"/>
    <w:rsid w:val="007E5095"/>
    <w:rsid w:val="007F0FC1"/>
    <w:rsid w:val="007F2741"/>
    <w:rsid w:val="007F4BD1"/>
    <w:rsid w:val="008032F3"/>
    <w:rsid w:val="008043BB"/>
    <w:rsid w:val="00812207"/>
    <w:rsid w:val="0081456C"/>
    <w:rsid w:val="00815843"/>
    <w:rsid w:val="00815A2D"/>
    <w:rsid w:val="0082225C"/>
    <w:rsid w:val="00825940"/>
    <w:rsid w:val="008319D5"/>
    <w:rsid w:val="00844375"/>
    <w:rsid w:val="00845E49"/>
    <w:rsid w:val="008537C0"/>
    <w:rsid w:val="00873549"/>
    <w:rsid w:val="00873F04"/>
    <w:rsid w:val="0087566C"/>
    <w:rsid w:val="008775ED"/>
    <w:rsid w:val="008843B8"/>
    <w:rsid w:val="00885B41"/>
    <w:rsid w:val="00891CFA"/>
    <w:rsid w:val="008972A4"/>
    <w:rsid w:val="008A062B"/>
    <w:rsid w:val="008A0AD5"/>
    <w:rsid w:val="008A2C6D"/>
    <w:rsid w:val="008A74A4"/>
    <w:rsid w:val="008B38FB"/>
    <w:rsid w:val="008B6729"/>
    <w:rsid w:val="008B6F1B"/>
    <w:rsid w:val="008C0385"/>
    <w:rsid w:val="008C1CA6"/>
    <w:rsid w:val="008C5A3D"/>
    <w:rsid w:val="008D2293"/>
    <w:rsid w:val="008D2BB9"/>
    <w:rsid w:val="008E0C53"/>
    <w:rsid w:val="008E32DC"/>
    <w:rsid w:val="008E3741"/>
    <w:rsid w:val="008E63F2"/>
    <w:rsid w:val="008F048F"/>
    <w:rsid w:val="008F2AD6"/>
    <w:rsid w:val="00900959"/>
    <w:rsid w:val="00907F56"/>
    <w:rsid w:val="0091110F"/>
    <w:rsid w:val="00922D34"/>
    <w:rsid w:val="00926DA4"/>
    <w:rsid w:val="00934079"/>
    <w:rsid w:val="009479E0"/>
    <w:rsid w:val="00956200"/>
    <w:rsid w:val="0096186D"/>
    <w:rsid w:val="00964D78"/>
    <w:rsid w:val="00970655"/>
    <w:rsid w:val="0097543E"/>
    <w:rsid w:val="00995B1F"/>
    <w:rsid w:val="00996CD7"/>
    <w:rsid w:val="00997BE7"/>
    <w:rsid w:val="009A014D"/>
    <w:rsid w:val="009A1081"/>
    <w:rsid w:val="009B2175"/>
    <w:rsid w:val="009B487A"/>
    <w:rsid w:val="009C054D"/>
    <w:rsid w:val="009C17EE"/>
    <w:rsid w:val="009C7A79"/>
    <w:rsid w:val="009C7E3C"/>
    <w:rsid w:val="009D3895"/>
    <w:rsid w:val="009D738B"/>
    <w:rsid w:val="009F003B"/>
    <w:rsid w:val="009F0796"/>
    <w:rsid w:val="009F1019"/>
    <w:rsid w:val="009F1857"/>
    <w:rsid w:val="009F7EBD"/>
    <w:rsid w:val="00A00AAE"/>
    <w:rsid w:val="00A01B2C"/>
    <w:rsid w:val="00A0281A"/>
    <w:rsid w:val="00A032BF"/>
    <w:rsid w:val="00A11FB3"/>
    <w:rsid w:val="00A1659D"/>
    <w:rsid w:val="00A27720"/>
    <w:rsid w:val="00A3483C"/>
    <w:rsid w:val="00A40B67"/>
    <w:rsid w:val="00A47188"/>
    <w:rsid w:val="00A50962"/>
    <w:rsid w:val="00A57CE2"/>
    <w:rsid w:val="00A65CDA"/>
    <w:rsid w:val="00A802F8"/>
    <w:rsid w:val="00A806CB"/>
    <w:rsid w:val="00A8719E"/>
    <w:rsid w:val="00A92845"/>
    <w:rsid w:val="00A92D60"/>
    <w:rsid w:val="00A95820"/>
    <w:rsid w:val="00AA36A2"/>
    <w:rsid w:val="00AB33D6"/>
    <w:rsid w:val="00AB6B38"/>
    <w:rsid w:val="00AC4332"/>
    <w:rsid w:val="00AD4360"/>
    <w:rsid w:val="00AD5651"/>
    <w:rsid w:val="00AD63AE"/>
    <w:rsid w:val="00AD734D"/>
    <w:rsid w:val="00AD7EFE"/>
    <w:rsid w:val="00AE3C43"/>
    <w:rsid w:val="00AE5727"/>
    <w:rsid w:val="00AE6980"/>
    <w:rsid w:val="00AE7191"/>
    <w:rsid w:val="00AF0F44"/>
    <w:rsid w:val="00B01B21"/>
    <w:rsid w:val="00B04F22"/>
    <w:rsid w:val="00B11EF6"/>
    <w:rsid w:val="00B1242C"/>
    <w:rsid w:val="00B33D31"/>
    <w:rsid w:val="00B37FE8"/>
    <w:rsid w:val="00B40455"/>
    <w:rsid w:val="00B4264E"/>
    <w:rsid w:val="00B44038"/>
    <w:rsid w:val="00B52727"/>
    <w:rsid w:val="00B528D1"/>
    <w:rsid w:val="00B5375C"/>
    <w:rsid w:val="00B64EA8"/>
    <w:rsid w:val="00B65961"/>
    <w:rsid w:val="00B67A0E"/>
    <w:rsid w:val="00B7071E"/>
    <w:rsid w:val="00B779AB"/>
    <w:rsid w:val="00B82F32"/>
    <w:rsid w:val="00B83888"/>
    <w:rsid w:val="00B867F7"/>
    <w:rsid w:val="00B87728"/>
    <w:rsid w:val="00BB2084"/>
    <w:rsid w:val="00BB3B9D"/>
    <w:rsid w:val="00BB6316"/>
    <w:rsid w:val="00BB79F3"/>
    <w:rsid w:val="00BD4370"/>
    <w:rsid w:val="00BD5EB5"/>
    <w:rsid w:val="00BE0154"/>
    <w:rsid w:val="00BE1824"/>
    <w:rsid w:val="00BF7700"/>
    <w:rsid w:val="00C02F5C"/>
    <w:rsid w:val="00C114EC"/>
    <w:rsid w:val="00C15BF8"/>
    <w:rsid w:val="00C22DAE"/>
    <w:rsid w:val="00C24FB3"/>
    <w:rsid w:val="00C306A4"/>
    <w:rsid w:val="00C335C2"/>
    <w:rsid w:val="00C35FD7"/>
    <w:rsid w:val="00C36A90"/>
    <w:rsid w:val="00C40D73"/>
    <w:rsid w:val="00C45454"/>
    <w:rsid w:val="00C4748B"/>
    <w:rsid w:val="00C5464C"/>
    <w:rsid w:val="00C56FE3"/>
    <w:rsid w:val="00C63247"/>
    <w:rsid w:val="00C64375"/>
    <w:rsid w:val="00C66249"/>
    <w:rsid w:val="00C66516"/>
    <w:rsid w:val="00C7043C"/>
    <w:rsid w:val="00C7427F"/>
    <w:rsid w:val="00C7637D"/>
    <w:rsid w:val="00C77C92"/>
    <w:rsid w:val="00C84F76"/>
    <w:rsid w:val="00C86874"/>
    <w:rsid w:val="00C8778C"/>
    <w:rsid w:val="00C912A8"/>
    <w:rsid w:val="00C92AEA"/>
    <w:rsid w:val="00C9620F"/>
    <w:rsid w:val="00CA398D"/>
    <w:rsid w:val="00CB6678"/>
    <w:rsid w:val="00CC1852"/>
    <w:rsid w:val="00CC5360"/>
    <w:rsid w:val="00CC65A3"/>
    <w:rsid w:val="00CD0974"/>
    <w:rsid w:val="00CD5398"/>
    <w:rsid w:val="00CE32F4"/>
    <w:rsid w:val="00CE4D22"/>
    <w:rsid w:val="00CF13D3"/>
    <w:rsid w:val="00CF69B5"/>
    <w:rsid w:val="00CF7535"/>
    <w:rsid w:val="00D050CD"/>
    <w:rsid w:val="00D06519"/>
    <w:rsid w:val="00D113EC"/>
    <w:rsid w:val="00D11CF9"/>
    <w:rsid w:val="00D11F22"/>
    <w:rsid w:val="00D3420D"/>
    <w:rsid w:val="00D414AA"/>
    <w:rsid w:val="00D453C8"/>
    <w:rsid w:val="00D76574"/>
    <w:rsid w:val="00D80B8A"/>
    <w:rsid w:val="00D829DE"/>
    <w:rsid w:val="00D9194F"/>
    <w:rsid w:val="00DA508E"/>
    <w:rsid w:val="00DA5455"/>
    <w:rsid w:val="00DC353C"/>
    <w:rsid w:val="00DC6410"/>
    <w:rsid w:val="00DC64AA"/>
    <w:rsid w:val="00DD0C17"/>
    <w:rsid w:val="00DD1576"/>
    <w:rsid w:val="00DD2C3A"/>
    <w:rsid w:val="00DD43AE"/>
    <w:rsid w:val="00DE07AA"/>
    <w:rsid w:val="00DE48C2"/>
    <w:rsid w:val="00DE664A"/>
    <w:rsid w:val="00DF0DDA"/>
    <w:rsid w:val="00E034F3"/>
    <w:rsid w:val="00E07874"/>
    <w:rsid w:val="00E13488"/>
    <w:rsid w:val="00E3119F"/>
    <w:rsid w:val="00E43066"/>
    <w:rsid w:val="00E44765"/>
    <w:rsid w:val="00E4578F"/>
    <w:rsid w:val="00E55FE3"/>
    <w:rsid w:val="00E6093D"/>
    <w:rsid w:val="00E6736D"/>
    <w:rsid w:val="00E74794"/>
    <w:rsid w:val="00E7500A"/>
    <w:rsid w:val="00E91403"/>
    <w:rsid w:val="00E93E03"/>
    <w:rsid w:val="00EA3361"/>
    <w:rsid w:val="00EA5E28"/>
    <w:rsid w:val="00EB3D31"/>
    <w:rsid w:val="00EB4546"/>
    <w:rsid w:val="00EC7BF5"/>
    <w:rsid w:val="00ED1980"/>
    <w:rsid w:val="00ED4C82"/>
    <w:rsid w:val="00ED7AC4"/>
    <w:rsid w:val="00EE27EF"/>
    <w:rsid w:val="00EF02AD"/>
    <w:rsid w:val="00EF490F"/>
    <w:rsid w:val="00F05BFB"/>
    <w:rsid w:val="00F071F1"/>
    <w:rsid w:val="00F10FB4"/>
    <w:rsid w:val="00F1597F"/>
    <w:rsid w:val="00F16C61"/>
    <w:rsid w:val="00F1788C"/>
    <w:rsid w:val="00F2442C"/>
    <w:rsid w:val="00F35B4C"/>
    <w:rsid w:val="00F35F0F"/>
    <w:rsid w:val="00F47790"/>
    <w:rsid w:val="00F5059E"/>
    <w:rsid w:val="00F51760"/>
    <w:rsid w:val="00F52A21"/>
    <w:rsid w:val="00F56E2F"/>
    <w:rsid w:val="00F75815"/>
    <w:rsid w:val="00F855A8"/>
    <w:rsid w:val="00F94D1F"/>
    <w:rsid w:val="00F957E4"/>
    <w:rsid w:val="00F97688"/>
    <w:rsid w:val="00FA00A4"/>
    <w:rsid w:val="00FA097A"/>
    <w:rsid w:val="00FA33B8"/>
    <w:rsid w:val="00FA4DEF"/>
    <w:rsid w:val="00FA7E38"/>
    <w:rsid w:val="00FB28B1"/>
    <w:rsid w:val="00FB3F8B"/>
    <w:rsid w:val="00FC52A4"/>
    <w:rsid w:val="00FC56D8"/>
    <w:rsid w:val="00FE1193"/>
    <w:rsid w:val="00FF43E2"/>
    <w:rsid w:val="00FF6A8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E402A22"/>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6124"/>
    <w:pPr>
      <w:spacing w:after="160" w:line="259" w:lineRule="auto"/>
    </w:pPr>
    <w:rPr>
      <w:sz w:val="22"/>
      <w:szCs w:val="22"/>
      <w:lang w:eastAsia="en-US"/>
    </w:rPr>
  </w:style>
  <w:style w:type="paragraph" w:styleId="1">
    <w:name w:val="heading 1"/>
    <w:basedOn w:val="a"/>
    <w:next w:val="a"/>
    <w:link w:val="10"/>
    <w:uiPriority w:val="99"/>
    <w:qFormat/>
    <w:rsid w:val="00BB6316"/>
    <w:pPr>
      <w:keepNext/>
      <w:autoSpaceDE w:val="0"/>
      <w:autoSpaceDN w:val="0"/>
      <w:adjustRightInd w:val="0"/>
      <w:spacing w:after="0" w:line="240" w:lineRule="auto"/>
      <w:outlineLvl w:val="0"/>
    </w:pPr>
    <w:rPr>
      <w:rFonts w:ascii="Times New Roman" w:hAnsi="Times New Roman"/>
      <w:b/>
      <w:bCs/>
      <w:sz w:val="24"/>
      <w:szCs w:val="24"/>
    </w:rPr>
  </w:style>
  <w:style w:type="paragraph" w:styleId="2">
    <w:name w:val="heading 2"/>
    <w:basedOn w:val="a"/>
    <w:next w:val="a"/>
    <w:link w:val="20"/>
    <w:uiPriority w:val="9"/>
    <w:unhideWhenUsed/>
    <w:qFormat/>
    <w:rsid w:val="00BB6316"/>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9"/>
    <w:qFormat/>
    <w:rsid w:val="00BB6316"/>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BB6316"/>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7">
    <w:name w:val="heading 7"/>
    <w:basedOn w:val="a"/>
    <w:next w:val="a"/>
    <w:link w:val="70"/>
    <w:uiPriority w:val="99"/>
    <w:qFormat/>
    <w:rsid w:val="00BB6316"/>
    <w:pPr>
      <w:keepNext/>
      <w:autoSpaceDE w:val="0"/>
      <w:autoSpaceDN w:val="0"/>
      <w:adjustRightInd w:val="0"/>
      <w:spacing w:after="0" w:line="240" w:lineRule="auto"/>
      <w:jc w:val="both"/>
      <w:outlineLvl w:val="6"/>
    </w:pPr>
    <w:rPr>
      <w:rFonts w:ascii="Times New Roman" w:hAnsi="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BB6316"/>
    <w:rPr>
      <w:rFonts w:ascii="Times New Roman" w:hAnsi="Times New Roman"/>
      <w:b/>
      <w:bCs/>
      <w:sz w:val="24"/>
      <w:szCs w:val="24"/>
      <w:lang w:eastAsia="en-US"/>
    </w:rPr>
  </w:style>
  <w:style w:type="character" w:customStyle="1" w:styleId="20">
    <w:name w:val="Заголовок 2 Знак"/>
    <w:link w:val="2"/>
    <w:uiPriority w:val="9"/>
    <w:rsid w:val="00BB6316"/>
    <w:rPr>
      <w:rFonts w:ascii="Cambria" w:eastAsia="Times New Roman" w:hAnsi="Cambria"/>
      <w:color w:val="365F91"/>
      <w:sz w:val="26"/>
      <w:szCs w:val="26"/>
    </w:rPr>
  </w:style>
  <w:style w:type="character" w:customStyle="1" w:styleId="30">
    <w:name w:val="Заголовок 3 Знак"/>
    <w:link w:val="3"/>
    <w:uiPriority w:val="99"/>
    <w:rsid w:val="00BB6316"/>
    <w:rPr>
      <w:rFonts w:ascii="Times New Roman" w:hAnsi="Times New Roman"/>
      <w:b/>
      <w:bCs/>
      <w:sz w:val="28"/>
      <w:szCs w:val="28"/>
      <w:lang w:eastAsia="en-US"/>
    </w:rPr>
  </w:style>
  <w:style w:type="character" w:customStyle="1" w:styleId="40">
    <w:name w:val="Заголовок 4 Знак"/>
    <w:link w:val="4"/>
    <w:uiPriority w:val="9"/>
    <w:rsid w:val="00BB6316"/>
    <w:rPr>
      <w:rFonts w:ascii="Cambria" w:eastAsia="Times New Roman" w:hAnsi="Cambria"/>
      <w:i/>
      <w:iCs/>
      <w:color w:val="365F91"/>
    </w:rPr>
  </w:style>
  <w:style w:type="character" w:customStyle="1" w:styleId="70">
    <w:name w:val="Заголовок 7 Знак"/>
    <w:link w:val="7"/>
    <w:uiPriority w:val="99"/>
    <w:rsid w:val="00BB6316"/>
    <w:rPr>
      <w:rFonts w:ascii="Times New Roman" w:hAnsi="Times New Roman"/>
      <w:sz w:val="28"/>
      <w:szCs w:val="28"/>
      <w:lang w:eastAsia="en-US"/>
    </w:rPr>
  </w:style>
  <w:style w:type="paragraph" w:customStyle="1" w:styleId="11">
    <w:name w:val="заголовок 1"/>
    <w:basedOn w:val="a"/>
    <w:next w:val="a"/>
    <w:uiPriority w:val="99"/>
    <w:rsid w:val="00BB6316"/>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BB6316"/>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BB6316"/>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BB6316"/>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BB6316"/>
    <w:rPr>
      <w:rFonts w:ascii="Times New Roman" w:hAnsi="Times New Roman"/>
      <w:color w:val="0000FF"/>
      <w:sz w:val="16"/>
      <w:szCs w:val="16"/>
      <w:lang w:val="en-US" w:eastAsia="en-US"/>
    </w:rPr>
  </w:style>
  <w:style w:type="paragraph" w:styleId="22">
    <w:name w:val="Body Text Indent 2"/>
    <w:basedOn w:val="a"/>
    <w:link w:val="23"/>
    <w:uiPriority w:val="99"/>
    <w:rsid w:val="00BB6316"/>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BB6316"/>
    <w:rPr>
      <w:rFonts w:ascii="Times New Roman" w:hAnsi="Times New Roman"/>
      <w:color w:val="0000FF"/>
      <w:sz w:val="16"/>
      <w:szCs w:val="16"/>
      <w:lang w:val="en-US" w:eastAsia="en-US"/>
    </w:rPr>
  </w:style>
  <w:style w:type="paragraph" w:styleId="24">
    <w:name w:val="Body Text 2"/>
    <w:basedOn w:val="a"/>
    <w:link w:val="25"/>
    <w:uiPriority w:val="99"/>
    <w:rsid w:val="00BB6316"/>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BB6316"/>
    <w:rPr>
      <w:rFonts w:ascii="Times New Roman" w:hAnsi="Times New Roman"/>
      <w:color w:val="0000FF"/>
      <w:sz w:val="16"/>
      <w:szCs w:val="16"/>
      <w:lang w:eastAsia="en-US"/>
    </w:rPr>
  </w:style>
  <w:style w:type="character" w:styleId="a5">
    <w:name w:val="Hyperlink"/>
    <w:uiPriority w:val="99"/>
    <w:rsid w:val="00BB6316"/>
    <w:rPr>
      <w:color w:val="0000FF"/>
      <w:sz w:val="20"/>
      <w:szCs w:val="20"/>
      <w:u w:val="single"/>
    </w:rPr>
  </w:style>
  <w:style w:type="paragraph" w:styleId="31">
    <w:name w:val="Body Text 3"/>
    <w:basedOn w:val="a"/>
    <w:link w:val="32"/>
    <w:uiPriority w:val="99"/>
    <w:rsid w:val="00BB6316"/>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BB6316"/>
    <w:rPr>
      <w:rFonts w:ascii="Times New Roman" w:hAnsi="Times New Roman"/>
      <w:color w:val="0000FF"/>
      <w:sz w:val="16"/>
      <w:szCs w:val="16"/>
      <w:lang w:eastAsia="en-US"/>
    </w:rPr>
  </w:style>
  <w:style w:type="character" w:customStyle="1" w:styleId="12">
    <w:name w:val="С1"/>
    <w:uiPriority w:val="99"/>
    <w:rsid w:val="00BB6316"/>
    <w:rPr>
      <w:b/>
      <w:bCs/>
    </w:rPr>
  </w:style>
  <w:style w:type="paragraph" w:customStyle="1" w:styleId="a6">
    <w:name w:val="Ц"/>
    <w:basedOn w:val="a"/>
    <w:uiPriority w:val="99"/>
    <w:rsid w:val="00BB6316"/>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BB6316"/>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BB6316"/>
    <w:rPr>
      <w:b/>
      <w:bCs/>
      <w:sz w:val="20"/>
      <w:szCs w:val="20"/>
    </w:rPr>
  </w:style>
  <w:style w:type="paragraph" w:customStyle="1" w:styleId="Blockquote">
    <w:name w:val="Blockquote"/>
    <w:basedOn w:val="a"/>
    <w:uiPriority w:val="99"/>
    <w:rsid w:val="00BB6316"/>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BB6316"/>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BB6316"/>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BB6316"/>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BB6316"/>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BB6316"/>
    <w:rPr>
      <w:rFonts w:ascii="Courier New" w:hAnsi="Courier New" w:cs="Courier New"/>
      <w:color w:val="0000FF"/>
      <w:sz w:val="16"/>
      <w:szCs w:val="16"/>
      <w:lang w:eastAsia="en-US"/>
    </w:rPr>
  </w:style>
  <w:style w:type="paragraph" w:customStyle="1" w:styleId="Text">
    <w:name w:val="Text"/>
    <w:basedOn w:val="a"/>
    <w:uiPriority w:val="99"/>
    <w:rsid w:val="00BB6316"/>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BB6316"/>
    <w:rPr>
      <w:i/>
      <w:iCs/>
    </w:rPr>
  </w:style>
  <w:style w:type="paragraph" w:customStyle="1" w:styleId="H5">
    <w:name w:val="H5"/>
    <w:basedOn w:val="a"/>
    <w:next w:val="a"/>
    <w:uiPriority w:val="99"/>
    <w:rsid w:val="00BB6316"/>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BB6316"/>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BB6316"/>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BB6316"/>
    <w:rPr>
      <w:color w:val="0000FF"/>
      <w:u w:val="single"/>
    </w:rPr>
  </w:style>
  <w:style w:type="character" w:customStyle="1" w:styleId="ac">
    <w:name w:val="В"/>
    <w:uiPriority w:val="99"/>
    <w:rsid w:val="00BB6316"/>
    <w:rPr>
      <w:i/>
      <w:iCs/>
    </w:rPr>
  </w:style>
  <w:style w:type="paragraph" w:customStyle="1" w:styleId="H1">
    <w:name w:val="H1"/>
    <w:basedOn w:val="a"/>
    <w:next w:val="a"/>
    <w:uiPriority w:val="99"/>
    <w:rsid w:val="00BB6316"/>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BB6316"/>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BB6316"/>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BB6316"/>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BB6316"/>
    <w:rPr>
      <w:sz w:val="20"/>
      <w:szCs w:val="20"/>
    </w:rPr>
  </w:style>
  <w:style w:type="paragraph" w:customStyle="1" w:styleId="Iniiaiieoaeno">
    <w:name w:val="Iniiaiie oaeno"/>
    <w:basedOn w:val="Iauiue"/>
    <w:uiPriority w:val="99"/>
    <w:rsid w:val="00BB6316"/>
    <w:pPr>
      <w:jc w:val="both"/>
    </w:pPr>
    <w:rPr>
      <w:sz w:val="16"/>
      <w:szCs w:val="16"/>
    </w:rPr>
  </w:style>
  <w:style w:type="paragraph" w:customStyle="1" w:styleId="z-TopofForm">
    <w:name w:val="z-Top of Form"/>
    <w:next w:val="Iauiue"/>
    <w:uiPriority w:val="99"/>
    <w:rsid w:val="00BB6316"/>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BB6316"/>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BB6316"/>
    <w:rPr>
      <w:i/>
      <w:iCs/>
      <w:sz w:val="24"/>
      <w:szCs w:val="24"/>
    </w:rPr>
  </w:style>
  <w:style w:type="character" w:customStyle="1" w:styleId="A20">
    <w:name w:val="A2"/>
    <w:uiPriority w:val="99"/>
    <w:rsid w:val="00BB6316"/>
    <w:rPr>
      <w:color w:val="0000FF"/>
      <w:sz w:val="20"/>
      <w:szCs w:val="20"/>
      <w:u w:val="single"/>
    </w:rPr>
  </w:style>
  <w:style w:type="paragraph" w:customStyle="1" w:styleId="O">
    <w:name w:val="O"/>
    <w:basedOn w:val="Iauiue"/>
    <w:uiPriority w:val="99"/>
    <w:rsid w:val="00BB6316"/>
    <w:pPr>
      <w:spacing w:before="100" w:after="100"/>
      <w:ind w:left="360" w:right="360"/>
    </w:pPr>
    <w:rPr>
      <w:sz w:val="24"/>
      <w:szCs w:val="24"/>
    </w:rPr>
  </w:style>
  <w:style w:type="character" w:customStyle="1" w:styleId="A10">
    <w:name w:val="A1"/>
    <w:uiPriority w:val="99"/>
    <w:rsid w:val="00BB6316"/>
    <w:rPr>
      <w:i/>
      <w:iCs/>
      <w:sz w:val="20"/>
      <w:szCs w:val="20"/>
    </w:rPr>
  </w:style>
  <w:style w:type="paragraph" w:customStyle="1" w:styleId="Noaiaaieoiaioa">
    <w:name w:val="Noaia aieoiaioa"/>
    <w:basedOn w:val="Iauiue"/>
    <w:uiPriority w:val="99"/>
    <w:rsid w:val="00BB6316"/>
    <w:pPr>
      <w:shd w:val="clear" w:color="auto" w:fill="000080"/>
    </w:pPr>
    <w:rPr>
      <w:rFonts w:ascii="Tahoma" w:hAnsi="Tahoma" w:cs="Tahoma"/>
    </w:rPr>
  </w:style>
  <w:style w:type="paragraph" w:customStyle="1" w:styleId="DefinitionTerm">
    <w:name w:val="Definition Term"/>
    <w:basedOn w:val="a"/>
    <w:next w:val="DefinitionList"/>
    <w:uiPriority w:val="99"/>
    <w:rsid w:val="00BB6316"/>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BB6316"/>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BB6316"/>
    <w:rPr>
      <w:i/>
      <w:iCs/>
    </w:rPr>
  </w:style>
  <w:style w:type="paragraph" w:customStyle="1" w:styleId="H2">
    <w:name w:val="H2"/>
    <w:basedOn w:val="a"/>
    <w:next w:val="a"/>
    <w:uiPriority w:val="99"/>
    <w:rsid w:val="00BB6316"/>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BB6316"/>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BB6316"/>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BB6316"/>
    <w:rPr>
      <w:i/>
      <w:iCs/>
    </w:rPr>
  </w:style>
  <w:style w:type="character" w:customStyle="1" w:styleId="CODE">
    <w:name w:val="CODE"/>
    <w:uiPriority w:val="99"/>
    <w:rsid w:val="00BB6316"/>
    <w:rPr>
      <w:rFonts w:ascii="Courier New" w:hAnsi="Courier New" w:cs="Courier New"/>
      <w:sz w:val="20"/>
      <w:szCs w:val="20"/>
    </w:rPr>
  </w:style>
  <w:style w:type="character" w:styleId="af0">
    <w:name w:val="Emphasis"/>
    <w:uiPriority w:val="20"/>
    <w:qFormat/>
    <w:rsid w:val="00BB6316"/>
    <w:rPr>
      <w:i/>
      <w:iCs/>
    </w:rPr>
  </w:style>
  <w:style w:type="character" w:styleId="af1">
    <w:name w:val="FollowedHyperlink"/>
    <w:uiPriority w:val="99"/>
    <w:rsid w:val="00BB6316"/>
    <w:rPr>
      <w:color w:val="800080"/>
      <w:u w:val="single"/>
    </w:rPr>
  </w:style>
  <w:style w:type="character" w:customStyle="1" w:styleId="Keyboard">
    <w:name w:val="Keyboard"/>
    <w:uiPriority w:val="99"/>
    <w:rsid w:val="00BB6316"/>
    <w:rPr>
      <w:rFonts w:ascii="Courier New" w:hAnsi="Courier New" w:cs="Courier New"/>
      <w:b/>
      <w:bCs/>
      <w:sz w:val="20"/>
      <w:szCs w:val="20"/>
    </w:rPr>
  </w:style>
  <w:style w:type="character" w:customStyle="1" w:styleId="Sample">
    <w:name w:val="Sample"/>
    <w:uiPriority w:val="99"/>
    <w:rsid w:val="00BB6316"/>
    <w:rPr>
      <w:rFonts w:ascii="Courier New" w:hAnsi="Courier New" w:cs="Courier New"/>
    </w:rPr>
  </w:style>
  <w:style w:type="character" w:customStyle="1" w:styleId="Typewriter">
    <w:name w:val="Typewriter"/>
    <w:uiPriority w:val="99"/>
    <w:rsid w:val="00BB6316"/>
    <w:rPr>
      <w:rFonts w:ascii="Courier New" w:hAnsi="Courier New" w:cs="Courier New"/>
      <w:sz w:val="20"/>
      <w:szCs w:val="20"/>
    </w:rPr>
  </w:style>
  <w:style w:type="character" w:customStyle="1" w:styleId="Variable">
    <w:name w:val="Variable"/>
    <w:uiPriority w:val="99"/>
    <w:rsid w:val="00BB6316"/>
    <w:rPr>
      <w:i/>
      <w:iCs/>
    </w:rPr>
  </w:style>
  <w:style w:type="character" w:customStyle="1" w:styleId="HTMLMarkup">
    <w:name w:val="HTML Markup"/>
    <w:uiPriority w:val="99"/>
    <w:rsid w:val="00BB6316"/>
    <w:rPr>
      <w:vanish/>
      <w:color w:val="FF0000"/>
    </w:rPr>
  </w:style>
  <w:style w:type="character" w:customStyle="1" w:styleId="Comment">
    <w:name w:val="Comment"/>
    <w:uiPriority w:val="99"/>
    <w:rsid w:val="00BB6316"/>
    <w:rPr>
      <w:vanish/>
    </w:rPr>
  </w:style>
  <w:style w:type="paragraph" w:customStyle="1" w:styleId="af2">
    <w:name w:val="п"/>
    <w:uiPriority w:val="99"/>
    <w:rsid w:val="00BB6316"/>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BB6316"/>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BB6316"/>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BB6316"/>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BB6316"/>
    <w:rPr>
      <w:sz w:val="20"/>
      <w:szCs w:val="20"/>
      <w:vertAlign w:val="superscript"/>
    </w:rPr>
  </w:style>
  <w:style w:type="character" w:customStyle="1" w:styleId="af7">
    <w:name w:val="К"/>
    <w:uiPriority w:val="99"/>
    <w:rsid w:val="00BB6316"/>
    <w:rPr>
      <w:rFonts w:ascii="Courier New" w:hAnsi="Courier New" w:cs="Courier New"/>
      <w:sz w:val="20"/>
      <w:szCs w:val="20"/>
    </w:rPr>
  </w:style>
  <w:style w:type="paragraph" w:customStyle="1" w:styleId="af8">
    <w:name w:val="Ф"/>
    <w:basedOn w:val="af9"/>
    <w:uiPriority w:val="99"/>
    <w:rsid w:val="00BB6316"/>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BB6316"/>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BB6316"/>
    <w:rPr>
      <w:vanish/>
      <w:color w:val="FF0000"/>
    </w:rPr>
  </w:style>
  <w:style w:type="paragraph" w:customStyle="1" w:styleId="Z-1">
    <w:name w:val="Z-1"/>
    <w:next w:val="af9"/>
    <w:uiPriority w:val="99"/>
    <w:rsid w:val="00BB6316"/>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BB6316"/>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BB6316"/>
    <w:pPr>
      <w:spacing w:before="0" w:after="0"/>
    </w:pPr>
  </w:style>
  <w:style w:type="paragraph" w:customStyle="1" w:styleId="afc">
    <w:name w:val="А"/>
    <w:basedOn w:val="a"/>
    <w:next w:val="a"/>
    <w:uiPriority w:val="99"/>
    <w:rsid w:val="00BB6316"/>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BB6316"/>
    <w:pPr>
      <w:widowControl/>
      <w:ind w:left="360"/>
    </w:pPr>
    <w:rPr>
      <w:sz w:val="24"/>
      <w:szCs w:val="24"/>
    </w:rPr>
  </w:style>
  <w:style w:type="paragraph" w:customStyle="1" w:styleId="afd">
    <w:name w:val="......."/>
    <w:basedOn w:val="a"/>
    <w:next w:val="a"/>
    <w:uiPriority w:val="99"/>
    <w:rsid w:val="00BB6316"/>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BB6316"/>
    <w:rPr>
      <w:color w:val="0000FF"/>
      <w:u w:val="single"/>
    </w:rPr>
  </w:style>
  <w:style w:type="character" w:customStyle="1" w:styleId="13">
    <w:name w:val="О1"/>
    <w:uiPriority w:val="99"/>
    <w:rsid w:val="00BB6316"/>
    <w:rPr>
      <w:i/>
      <w:iCs/>
    </w:rPr>
  </w:style>
  <w:style w:type="character" w:customStyle="1" w:styleId="aff">
    <w:name w:val="П"/>
    <w:uiPriority w:val="99"/>
    <w:rsid w:val="00BB6316"/>
    <w:rPr>
      <w:color w:val="800080"/>
      <w:u w:val="single"/>
    </w:rPr>
  </w:style>
  <w:style w:type="character" w:customStyle="1" w:styleId="14">
    <w:name w:val="К1"/>
    <w:uiPriority w:val="99"/>
    <w:rsid w:val="00BB6316"/>
    <w:rPr>
      <w:rFonts w:ascii="Courier New" w:hAnsi="Courier New" w:cs="Courier New"/>
      <w:b/>
      <w:bCs/>
      <w:sz w:val="20"/>
      <w:szCs w:val="20"/>
    </w:rPr>
  </w:style>
  <w:style w:type="character" w:customStyle="1" w:styleId="41">
    <w:name w:val="П4"/>
    <w:uiPriority w:val="99"/>
    <w:rsid w:val="00BB6316"/>
    <w:rPr>
      <w:rFonts w:ascii="Courier New" w:hAnsi="Courier New" w:cs="Courier New"/>
    </w:rPr>
  </w:style>
  <w:style w:type="character" w:customStyle="1" w:styleId="33">
    <w:name w:val="П3"/>
    <w:uiPriority w:val="99"/>
    <w:rsid w:val="00BB6316"/>
    <w:rPr>
      <w:rFonts w:ascii="Courier New" w:hAnsi="Courier New" w:cs="Courier New"/>
      <w:sz w:val="20"/>
      <w:szCs w:val="20"/>
    </w:rPr>
  </w:style>
  <w:style w:type="character" w:customStyle="1" w:styleId="26">
    <w:name w:val="П2"/>
    <w:uiPriority w:val="99"/>
    <w:rsid w:val="00BB6316"/>
    <w:rPr>
      <w:i/>
      <w:iCs/>
    </w:rPr>
  </w:style>
  <w:style w:type="character" w:customStyle="1" w:styleId="15">
    <w:name w:val="П1"/>
    <w:uiPriority w:val="99"/>
    <w:rsid w:val="00BB6316"/>
    <w:rPr>
      <w:vanish/>
    </w:rPr>
  </w:style>
  <w:style w:type="paragraph" w:customStyle="1" w:styleId="Iniiaiieoaeno2">
    <w:name w:val="Iniiaiie oaeno 2"/>
    <w:basedOn w:val="Iauiue"/>
    <w:uiPriority w:val="99"/>
    <w:rsid w:val="00BB6316"/>
    <w:pPr>
      <w:jc w:val="both"/>
    </w:pPr>
    <w:rPr>
      <w:sz w:val="16"/>
      <w:szCs w:val="16"/>
    </w:rPr>
  </w:style>
  <w:style w:type="character" w:customStyle="1" w:styleId="Aeiannueea">
    <w:name w:val="Aeia?nnueea"/>
    <w:uiPriority w:val="99"/>
    <w:rsid w:val="00BB6316"/>
    <w:rPr>
      <w:color w:val="0000FF"/>
      <w:sz w:val="20"/>
      <w:szCs w:val="20"/>
      <w:u w:val="single"/>
    </w:rPr>
  </w:style>
  <w:style w:type="character" w:customStyle="1" w:styleId="N1">
    <w:name w:val="N1"/>
    <w:uiPriority w:val="99"/>
    <w:rsid w:val="00BB6316"/>
    <w:rPr>
      <w:b/>
      <w:bCs/>
    </w:rPr>
  </w:style>
  <w:style w:type="paragraph" w:customStyle="1" w:styleId="Iaeeiaaiiuenienie">
    <w:name w:val="Ia?ee?iaaiiue nienie"/>
    <w:basedOn w:val="Iauiue"/>
    <w:uiPriority w:val="99"/>
    <w:rsid w:val="00BB6316"/>
    <w:pPr>
      <w:widowControl/>
      <w:ind w:left="283" w:hanging="283"/>
    </w:pPr>
  </w:style>
  <w:style w:type="paragraph" w:customStyle="1" w:styleId="Oaeno">
    <w:name w:val="Oaeno"/>
    <w:basedOn w:val="Iauiue"/>
    <w:uiPriority w:val="99"/>
    <w:rsid w:val="00BB6316"/>
    <w:rPr>
      <w:rFonts w:ascii="Courier New" w:hAnsi="Courier New" w:cs="Courier New"/>
    </w:rPr>
  </w:style>
  <w:style w:type="paragraph" w:customStyle="1" w:styleId="Iniiaiieoaeno3">
    <w:name w:val="Iniiaiie oaeno 3"/>
    <w:basedOn w:val="Iauiue"/>
    <w:uiPriority w:val="99"/>
    <w:rsid w:val="00BB6316"/>
    <w:pPr>
      <w:jc w:val="center"/>
    </w:pPr>
    <w:rPr>
      <w:sz w:val="16"/>
      <w:szCs w:val="16"/>
    </w:rPr>
  </w:style>
  <w:style w:type="paragraph" w:customStyle="1" w:styleId="Aaoieeeieiioeooe">
    <w:name w:val="Aa?oiee eieiioeooe"/>
    <w:basedOn w:val="Iauiue"/>
    <w:uiPriority w:val="99"/>
    <w:rsid w:val="00BB6316"/>
    <w:pPr>
      <w:widowControl/>
      <w:tabs>
        <w:tab w:val="center" w:pos="4153"/>
        <w:tab w:val="right" w:pos="8306"/>
      </w:tabs>
    </w:pPr>
  </w:style>
  <w:style w:type="paragraph" w:customStyle="1" w:styleId="Ieieeeieiioeooe">
    <w:name w:val="Ie?iee eieiioeooe"/>
    <w:basedOn w:val="Iauiue"/>
    <w:uiPriority w:val="99"/>
    <w:rsid w:val="00BB6316"/>
    <w:pPr>
      <w:widowControl/>
      <w:tabs>
        <w:tab w:val="center" w:pos="4153"/>
        <w:tab w:val="right" w:pos="8306"/>
      </w:tabs>
    </w:pPr>
  </w:style>
  <w:style w:type="paragraph" w:customStyle="1" w:styleId="Default">
    <w:name w:val="Default"/>
    <w:rsid w:val="00BB6316"/>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BB6316"/>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BB6316"/>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BB6316"/>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BB6316"/>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BB6316"/>
    <w:rPr>
      <w:rFonts w:ascii="Microsoft Sans Serif" w:hAnsi="Microsoft Sans Serif" w:cs="Microsoft Sans Serif"/>
      <w:b/>
      <w:bCs/>
      <w:i/>
      <w:iCs/>
      <w:spacing w:val="0"/>
      <w:sz w:val="17"/>
      <w:szCs w:val="17"/>
    </w:rPr>
  </w:style>
  <w:style w:type="character" w:customStyle="1" w:styleId="39">
    <w:name w:val="Основной текст (3)9"/>
    <w:uiPriority w:val="99"/>
    <w:rsid w:val="00BB6316"/>
    <w:rPr>
      <w:b/>
      <w:bCs/>
      <w:i/>
      <w:iCs/>
      <w:sz w:val="17"/>
      <w:szCs w:val="17"/>
    </w:rPr>
  </w:style>
  <w:style w:type="paragraph" w:customStyle="1" w:styleId="310">
    <w:name w:val="Основной текст (3)1"/>
    <w:basedOn w:val="a"/>
    <w:uiPriority w:val="99"/>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BB6316"/>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BB6316"/>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BB6316"/>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BB6316"/>
    <w:rPr>
      <w:rFonts w:ascii="Microsoft Sans Serif" w:hAnsi="Microsoft Sans Serif" w:cs="Microsoft Sans Serif"/>
      <w:i/>
      <w:iCs/>
      <w:spacing w:val="0"/>
      <w:sz w:val="16"/>
      <w:szCs w:val="16"/>
    </w:rPr>
  </w:style>
  <w:style w:type="character" w:customStyle="1" w:styleId="579">
    <w:name w:val="Основной текст (5)79"/>
    <w:uiPriority w:val="99"/>
    <w:rsid w:val="00BB6316"/>
    <w:rPr>
      <w:i/>
      <w:iCs/>
      <w:spacing w:val="0"/>
      <w:sz w:val="16"/>
      <w:szCs w:val="16"/>
    </w:rPr>
  </w:style>
  <w:style w:type="character" w:customStyle="1" w:styleId="578">
    <w:name w:val="Основной текст (5)78"/>
    <w:uiPriority w:val="99"/>
    <w:rsid w:val="00BB6316"/>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BB6316"/>
    <w:rPr>
      <w:b/>
      <w:bCs/>
      <w:i/>
      <w:iCs/>
      <w:spacing w:val="0"/>
      <w:sz w:val="14"/>
      <w:szCs w:val="14"/>
    </w:rPr>
  </w:style>
  <w:style w:type="character" w:customStyle="1" w:styleId="57pt124">
    <w:name w:val="Основной текст (5) + 7 pt1.Полужирный24"/>
    <w:uiPriority w:val="99"/>
    <w:rsid w:val="00BB6316"/>
    <w:rPr>
      <w:b/>
      <w:bCs/>
      <w:i/>
      <w:iCs/>
      <w:spacing w:val="0"/>
      <w:sz w:val="14"/>
      <w:szCs w:val="14"/>
    </w:rPr>
  </w:style>
  <w:style w:type="character" w:customStyle="1" w:styleId="8pt25340pt104">
    <w:name w:val="Основной текст + 8 pt25.Курсив34.Интервал 0 pt104"/>
    <w:uiPriority w:val="99"/>
    <w:rsid w:val="00BB6316"/>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BB6316"/>
    <w:rPr>
      <w:rFonts w:ascii="Arial Unicode MS" w:eastAsia="Arial Unicode MS" w:cs="Arial Unicode MS"/>
      <w:i/>
      <w:iCs/>
      <w:noProof/>
      <w:spacing w:val="0"/>
      <w:sz w:val="16"/>
      <w:szCs w:val="16"/>
    </w:rPr>
  </w:style>
  <w:style w:type="character" w:customStyle="1" w:styleId="577">
    <w:name w:val="Основной текст (5)77"/>
    <w:uiPriority w:val="99"/>
    <w:rsid w:val="00BB6316"/>
    <w:rPr>
      <w:i/>
      <w:iCs/>
      <w:spacing w:val="0"/>
      <w:sz w:val="16"/>
      <w:szCs w:val="16"/>
    </w:rPr>
  </w:style>
  <w:style w:type="character" w:customStyle="1" w:styleId="576">
    <w:name w:val="Основной текст (5)76"/>
    <w:uiPriority w:val="99"/>
    <w:rsid w:val="00BB6316"/>
    <w:rPr>
      <w:rFonts w:ascii="Arial Unicode MS" w:eastAsia="Arial Unicode MS" w:cs="Arial Unicode MS"/>
      <w:i/>
      <w:iCs/>
      <w:noProof/>
      <w:spacing w:val="0"/>
      <w:sz w:val="16"/>
      <w:szCs w:val="16"/>
    </w:rPr>
  </w:style>
  <w:style w:type="paragraph" w:customStyle="1" w:styleId="61">
    <w:name w:val="Заголовок №61"/>
    <w:basedOn w:val="a"/>
    <w:uiPriority w:val="99"/>
    <w:rsid w:val="00BB6316"/>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BB6316"/>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BB6316"/>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BB6316"/>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BB6316"/>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BB6316"/>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BB6316"/>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BB6316"/>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BB6316"/>
    <w:rPr>
      <w:rFonts w:ascii="Lucida Sans Unicode" w:hAnsi="Lucida Sans Unicode" w:cs="Lucida Sans Unicode"/>
      <w:i/>
      <w:iCs/>
      <w:spacing w:val="0"/>
      <w:sz w:val="16"/>
      <w:szCs w:val="16"/>
    </w:rPr>
  </w:style>
  <w:style w:type="character" w:customStyle="1" w:styleId="29">
    <w:name w:val="Основной текст (29)_"/>
    <w:uiPriority w:val="99"/>
    <w:rsid w:val="00BB6316"/>
    <w:rPr>
      <w:rFonts w:ascii="Arial Narrow" w:hAnsi="Arial Narrow" w:cs="Arial Narrow"/>
      <w:i/>
      <w:iCs/>
      <w:sz w:val="15"/>
      <w:szCs w:val="15"/>
    </w:rPr>
  </w:style>
  <w:style w:type="paragraph" w:customStyle="1" w:styleId="100">
    <w:name w:val="Заголовок №10"/>
    <w:basedOn w:val="a"/>
    <w:uiPriority w:val="99"/>
    <w:rsid w:val="00BB6316"/>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BB6316"/>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BB6316"/>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BB6316"/>
    <w:rPr>
      <w:rFonts w:ascii="Lucida Sans Unicode" w:hAnsi="Lucida Sans Unicode" w:cs="Lucida Sans Unicode"/>
      <w:i/>
      <w:iCs/>
      <w:spacing w:val="0"/>
      <w:sz w:val="16"/>
      <w:szCs w:val="16"/>
    </w:rPr>
  </w:style>
  <w:style w:type="character" w:customStyle="1" w:styleId="aff0">
    <w:name w:val="Основной текст_"/>
    <w:link w:val="6"/>
    <w:rsid w:val="00BB6316"/>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BB6316"/>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uiPriority w:val="99"/>
    <w:rsid w:val="00BB6316"/>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BB6316"/>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BB6316"/>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BB6316"/>
    <w:rPr>
      <w:rFonts w:ascii="Lucida Sans Unicode" w:hAnsi="Lucida Sans Unicode" w:cs="Lucida Sans Unicode"/>
      <w:i/>
      <w:iCs/>
      <w:spacing w:val="0"/>
      <w:sz w:val="16"/>
      <w:szCs w:val="16"/>
    </w:rPr>
  </w:style>
  <w:style w:type="character" w:customStyle="1" w:styleId="200">
    <w:name w:val="Основной текст (20)_"/>
    <w:uiPriority w:val="99"/>
    <w:rsid w:val="00BB6316"/>
    <w:rPr>
      <w:b/>
      <w:bCs/>
      <w:i/>
      <w:iCs/>
      <w:sz w:val="15"/>
      <w:szCs w:val="15"/>
    </w:rPr>
  </w:style>
  <w:style w:type="character" w:customStyle="1" w:styleId="2050pt30">
    <w:name w:val="Основной текст (20) + Не курсив5.Интервал 0 pt30"/>
    <w:uiPriority w:val="99"/>
    <w:rsid w:val="00BB6316"/>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BB6316"/>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BB6316"/>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BB6316"/>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BB6316"/>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BB6316"/>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BB6316"/>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BB6316"/>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link w:val="aff4"/>
    <w:uiPriority w:val="99"/>
    <w:rsid w:val="00BB6316"/>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BB6316"/>
    <w:rPr>
      <w:rFonts w:ascii="Arial" w:hAnsi="Arial" w:cs="Arial"/>
      <w:i/>
      <w:iCs/>
      <w:spacing w:val="-10"/>
      <w:sz w:val="17"/>
      <w:szCs w:val="17"/>
    </w:rPr>
  </w:style>
  <w:style w:type="paragraph" w:customStyle="1" w:styleId="250">
    <w:name w:val="Основной текст25"/>
    <w:basedOn w:val="a"/>
    <w:uiPriority w:val="99"/>
    <w:rsid w:val="00BB6316"/>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BB6316"/>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BB6316"/>
    <w:rPr>
      <w:rFonts w:ascii="Times New Roman" w:hAnsi="Times New Roman" w:cs="Times New Roman"/>
      <w:spacing w:val="0"/>
      <w:sz w:val="21"/>
      <w:szCs w:val="21"/>
      <w:u w:val="single"/>
    </w:rPr>
  </w:style>
  <w:style w:type="paragraph" w:customStyle="1" w:styleId="140">
    <w:name w:val="Заголовок №14"/>
    <w:basedOn w:val="a"/>
    <w:uiPriority w:val="99"/>
    <w:rsid w:val="00BB6316"/>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BB6316"/>
    <w:rPr>
      <w:spacing w:val="40"/>
      <w:sz w:val="25"/>
      <w:szCs w:val="25"/>
    </w:rPr>
  </w:style>
  <w:style w:type="paragraph" w:customStyle="1" w:styleId="72">
    <w:name w:val="Основной текст (7)"/>
    <w:basedOn w:val="a"/>
    <w:link w:val="73"/>
    <w:rsid w:val="00BB6316"/>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BB6316"/>
    <w:rPr>
      <w:spacing w:val="10"/>
      <w:sz w:val="26"/>
      <w:szCs w:val="26"/>
    </w:rPr>
  </w:style>
  <w:style w:type="character" w:customStyle="1" w:styleId="240">
    <w:name w:val="Основной текст24"/>
    <w:uiPriority w:val="99"/>
    <w:rsid w:val="00BB6316"/>
    <w:rPr>
      <w:sz w:val="25"/>
      <w:szCs w:val="25"/>
    </w:rPr>
  </w:style>
  <w:style w:type="paragraph" w:customStyle="1" w:styleId="60">
    <w:name w:val="Заголовок №6"/>
    <w:basedOn w:val="a"/>
    <w:uiPriority w:val="99"/>
    <w:rsid w:val="00BB6316"/>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BB6316"/>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BB6316"/>
    <w:rPr>
      <w:rFonts w:ascii="Lucida Sans Unicode" w:hAnsi="Lucida Sans Unicode" w:cs="Lucida Sans Unicode"/>
      <w:i/>
      <w:iCs/>
      <w:sz w:val="16"/>
      <w:szCs w:val="16"/>
    </w:rPr>
  </w:style>
  <w:style w:type="paragraph" w:customStyle="1" w:styleId="80">
    <w:name w:val="Основной текст (8)"/>
    <w:basedOn w:val="a"/>
    <w:uiPriority w:val="99"/>
    <w:rsid w:val="00BB6316"/>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BB6316"/>
    <w:rPr>
      <w:rFonts w:ascii="Lucida Sans Unicode" w:hAnsi="Lucida Sans Unicode" w:cs="Lucida Sans Unicode"/>
      <w:sz w:val="16"/>
      <w:szCs w:val="16"/>
    </w:rPr>
  </w:style>
  <w:style w:type="character" w:customStyle="1" w:styleId="4pt">
    <w:name w:val="Основной текст + Интервал 4 pt"/>
    <w:uiPriority w:val="99"/>
    <w:rsid w:val="00BB6316"/>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BB6316"/>
    <w:rPr>
      <w:rFonts w:ascii="Segoe UI" w:hAnsi="Segoe UI" w:cs="Segoe UI"/>
      <w:b/>
      <w:bCs/>
      <w:i/>
      <w:iCs/>
      <w:spacing w:val="0"/>
      <w:sz w:val="16"/>
      <w:szCs w:val="16"/>
    </w:rPr>
  </w:style>
  <w:style w:type="character" w:customStyle="1" w:styleId="SegoeUI1">
    <w:name w:val="Основной текст + Segoe UI1"/>
    <w:uiPriority w:val="99"/>
    <w:rsid w:val="00BB6316"/>
    <w:rPr>
      <w:rFonts w:ascii="Segoe UI" w:hAnsi="Segoe UI" w:cs="Segoe UI"/>
      <w:i/>
      <w:iCs/>
      <w:spacing w:val="0"/>
      <w:sz w:val="13"/>
      <w:szCs w:val="13"/>
    </w:rPr>
  </w:style>
  <w:style w:type="character" w:customStyle="1" w:styleId="16">
    <w:name w:val="Основной текст1"/>
    <w:rsid w:val="00BB6316"/>
    <w:rPr>
      <w:rFonts w:ascii="Gungsuh" w:eastAsia="Gungsuh" w:cs="Gungsuh"/>
      <w:spacing w:val="-10"/>
      <w:sz w:val="16"/>
      <w:szCs w:val="16"/>
      <w:u w:val="single"/>
    </w:rPr>
  </w:style>
  <w:style w:type="paragraph" w:customStyle="1" w:styleId="34">
    <w:name w:val="Основной текст (3)"/>
    <w:basedOn w:val="a"/>
    <w:link w:val="35"/>
    <w:rsid w:val="00BB6316"/>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BB6316"/>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BB6316"/>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BB6316"/>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link w:val="18"/>
    <w:rsid w:val="00BB6316"/>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4">
    <w:name w:val="Основной текст + 7"/>
    <w:uiPriority w:val="99"/>
    <w:rsid w:val="00BB6316"/>
    <w:rPr>
      <w:rFonts w:ascii="Gungsuh" w:eastAsia="Gungsuh" w:cs="Gungsuh"/>
      <w:spacing w:val="0"/>
      <w:sz w:val="15"/>
      <w:szCs w:val="15"/>
    </w:rPr>
  </w:style>
  <w:style w:type="character" w:customStyle="1" w:styleId="TrebuchetMS">
    <w:name w:val="Основной текст + Trebuchet MS"/>
    <w:uiPriority w:val="99"/>
    <w:rsid w:val="00BB6316"/>
    <w:rPr>
      <w:rFonts w:ascii="Trebuchet MS" w:hAnsi="Trebuchet MS" w:cs="Trebuchet MS"/>
      <w:b/>
      <w:bCs/>
      <w:spacing w:val="0"/>
      <w:sz w:val="20"/>
      <w:szCs w:val="20"/>
    </w:rPr>
  </w:style>
  <w:style w:type="character" w:customStyle="1" w:styleId="102">
    <w:name w:val="Основной текст + 10"/>
    <w:uiPriority w:val="99"/>
    <w:rsid w:val="00BB6316"/>
    <w:rPr>
      <w:rFonts w:ascii="Gungsuh" w:eastAsia="Gungsuh" w:cs="Gungsuh"/>
      <w:spacing w:val="-20"/>
      <w:sz w:val="21"/>
      <w:szCs w:val="21"/>
    </w:rPr>
  </w:style>
  <w:style w:type="character" w:customStyle="1" w:styleId="9">
    <w:name w:val="Основной текст + 9"/>
    <w:uiPriority w:val="99"/>
    <w:rsid w:val="00BB6316"/>
    <w:rPr>
      <w:rFonts w:ascii="Gungsuh" w:eastAsia="Gungsuh" w:cs="Gungsuh"/>
      <w:smallCaps/>
      <w:spacing w:val="-10"/>
      <w:sz w:val="19"/>
      <w:szCs w:val="19"/>
    </w:rPr>
  </w:style>
  <w:style w:type="character" w:customStyle="1" w:styleId="Candara">
    <w:name w:val="Основной текст + Candara"/>
    <w:uiPriority w:val="99"/>
    <w:rsid w:val="00BB6316"/>
    <w:rPr>
      <w:rFonts w:ascii="Candara" w:hAnsi="Candara" w:cs="Candara"/>
      <w:b/>
      <w:bCs/>
      <w:spacing w:val="0"/>
      <w:sz w:val="22"/>
      <w:szCs w:val="22"/>
    </w:rPr>
  </w:style>
  <w:style w:type="character" w:customStyle="1" w:styleId="0pt">
    <w:name w:val="Основной текст + Интервал 0 pt"/>
    <w:rsid w:val="00BB6316"/>
    <w:rPr>
      <w:rFonts w:ascii="Gungsuh" w:eastAsia="Gungsuh" w:cs="Gungsuh"/>
      <w:spacing w:val="10"/>
      <w:sz w:val="18"/>
      <w:szCs w:val="18"/>
    </w:rPr>
  </w:style>
  <w:style w:type="character" w:customStyle="1" w:styleId="8pt">
    <w:name w:val="Основной текст + 8 pt"/>
    <w:rsid w:val="00BB6316"/>
    <w:rPr>
      <w:rFonts w:ascii="Gungsuh" w:eastAsia="Gungsuh" w:cs="Gungsuh"/>
      <w:spacing w:val="-10"/>
      <w:sz w:val="16"/>
      <w:szCs w:val="16"/>
    </w:rPr>
  </w:style>
  <w:style w:type="character" w:customStyle="1" w:styleId="Consolas">
    <w:name w:val="Основной текст + Consolas"/>
    <w:uiPriority w:val="99"/>
    <w:rsid w:val="00BB6316"/>
    <w:rPr>
      <w:rFonts w:ascii="Consolas" w:hAnsi="Consolas" w:cs="Consolas"/>
      <w:b/>
      <w:bCs/>
      <w:spacing w:val="0"/>
      <w:sz w:val="19"/>
      <w:szCs w:val="19"/>
    </w:rPr>
  </w:style>
  <w:style w:type="character" w:customStyle="1" w:styleId="82">
    <w:name w:val="Основной текст + 8"/>
    <w:uiPriority w:val="99"/>
    <w:rsid w:val="00BB6316"/>
    <w:rPr>
      <w:rFonts w:ascii="Arial Narrow" w:hAnsi="Arial Narrow" w:cs="Arial Narrow"/>
      <w:i/>
      <w:iCs/>
      <w:smallCaps/>
      <w:sz w:val="17"/>
      <w:szCs w:val="17"/>
    </w:rPr>
  </w:style>
  <w:style w:type="character" w:customStyle="1" w:styleId="280">
    <w:name w:val="Основной текст (2) + 8"/>
    <w:uiPriority w:val="99"/>
    <w:rsid w:val="00BB6316"/>
    <w:rPr>
      <w:rFonts w:ascii="Arial Narrow" w:hAnsi="Arial Narrow" w:cs="Arial Narrow"/>
      <w:i/>
      <w:iCs/>
      <w:smallCaps/>
      <w:spacing w:val="0"/>
      <w:sz w:val="17"/>
      <w:szCs w:val="17"/>
    </w:rPr>
  </w:style>
  <w:style w:type="character" w:customStyle="1" w:styleId="7pt">
    <w:name w:val="Основной текст + 7 pt"/>
    <w:uiPriority w:val="99"/>
    <w:rsid w:val="00BB6316"/>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uiPriority w:val="99"/>
    <w:rsid w:val="00BB6316"/>
    <w:rPr>
      <w:rFonts w:ascii="Gungsuh" w:eastAsia="Gungsuh" w:cs="Gungsuh"/>
      <w:b/>
      <w:bCs/>
      <w:i/>
      <w:iCs/>
      <w:spacing w:val="0"/>
      <w:sz w:val="18"/>
      <w:szCs w:val="18"/>
    </w:rPr>
  </w:style>
  <w:style w:type="character" w:customStyle="1" w:styleId="9pt1">
    <w:name w:val="Основной текст + 9 pt1"/>
    <w:uiPriority w:val="99"/>
    <w:rsid w:val="00BB6316"/>
    <w:rPr>
      <w:rFonts w:ascii="Gungsuh" w:eastAsia="Gungsuh" w:cs="Gungsuh"/>
      <w:smallCaps/>
      <w:spacing w:val="0"/>
      <w:sz w:val="18"/>
      <w:szCs w:val="18"/>
    </w:rPr>
  </w:style>
  <w:style w:type="character" w:customStyle="1" w:styleId="1pt">
    <w:name w:val="Основной текст + Интервал 1 pt"/>
    <w:rsid w:val="00BB6316"/>
    <w:rPr>
      <w:rFonts w:ascii="Gungsuh" w:eastAsia="Gungsuh" w:cs="Gungsuh"/>
      <w:spacing w:val="30"/>
      <w:sz w:val="17"/>
      <w:szCs w:val="17"/>
    </w:rPr>
  </w:style>
  <w:style w:type="character" w:customStyle="1" w:styleId="Garamond">
    <w:name w:val="Колонтитул + Garamond"/>
    <w:uiPriority w:val="99"/>
    <w:rsid w:val="00BB6316"/>
    <w:rPr>
      <w:rFonts w:ascii="Garamond" w:hAnsi="Garamond" w:cs="Garamond"/>
      <w:sz w:val="18"/>
      <w:szCs w:val="18"/>
    </w:rPr>
  </w:style>
  <w:style w:type="character" w:customStyle="1" w:styleId="3pt">
    <w:name w:val="Основной текст + Интервал 3 pt"/>
    <w:uiPriority w:val="99"/>
    <w:rsid w:val="00BB6316"/>
    <w:rPr>
      <w:rFonts w:ascii="Gungsuh" w:eastAsia="Gungsuh" w:cs="Gungsuh"/>
      <w:spacing w:val="60"/>
      <w:sz w:val="17"/>
      <w:szCs w:val="17"/>
    </w:rPr>
  </w:style>
  <w:style w:type="paragraph" w:customStyle="1" w:styleId="aff7">
    <w:name w:val="Колонтитул"/>
    <w:basedOn w:val="a"/>
    <w:uiPriority w:val="99"/>
    <w:rsid w:val="00BB6316"/>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BB6316"/>
    <w:rPr>
      <w:rFonts w:ascii="Arial" w:hAnsi="Arial" w:cs="Arial"/>
      <w:sz w:val="21"/>
      <w:szCs w:val="21"/>
    </w:rPr>
  </w:style>
  <w:style w:type="paragraph" w:customStyle="1" w:styleId="2b">
    <w:name w:val="Заголовок №2"/>
    <w:basedOn w:val="a"/>
    <w:uiPriority w:val="99"/>
    <w:rsid w:val="00BB6316"/>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BB6316"/>
    <w:rPr>
      <w:rFonts w:ascii="Gulim" w:eastAsia="Gulim" w:cs="Gulim"/>
      <w:i/>
      <w:iCs/>
      <w:spacing w:val="-20"/>
      <w:sz w:val="19"/>
      <w:szCs w:val="19"/>
    </w:rPr>
  </w:style>
  <w:style w:type="character" w:customStyle="1" w:styleId="FranklinGothicMedium">
    <w:name w:val="Основной текст + Franklin Gothic Medium"/>
    <w:uiPriority w:val="99"/>
    <w:rsid w:val="00BB6316"/>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BB6316"/>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BB6316"/>
    <w:rPr>
      <w:rFonts w:ascii="Century Schoolbook" w:hAnsi="Century Schoolbook" w:cs="Century Schoolbook"/>
      <w:spacing w:val="-20"/>
      <w:sz w:val="18"/>
      <w:szCs w:val="18"/>
    </w:rPr>
  </w:style>
  <w:style w:type="character" w:customStyle="1" w:styleId="Batang">
    <w:name w:val="Основной текст + Batang"/>
    <w:uiPriority w:val="99"/>
    <w:rsid w:val="00BB6316"/>
    <w:rPr>
      <w:rFonts w:ascii="Batang" w:eastAsia="Batang" w:cs="Batang"/>
      <w:b/>
      <w:bCs/>
      <w:smallCaps/>
      <w:spacing w:val="0"/>
      <w:sz w:val="19"/>
      <w:szCs w:val="19"/>
    </w:rPr>
  </w:style>
  <w:style w:type="character" w:customStyle="1" w:styleId="FrankRuehl">
    <w:name w:val="Основной текст + FrankRuehl"/>
    <w:uiPriority w:val="99"/>
    <w:rsid w:val="00BB6316"/>
    <w:rPr>
      <w:rFonts w:ascii="FrankRuehl" w:cs="FrankRuehl"/>
      <w:sz w:val="30"/>
      <w:szCs w:val="30"/>
      <w:lang w:bidi="he-IL"/>
    </w:rPr>
  </w:style>
  <w:style w:type="character" w:customStyle="1" w:styleId="FrankRuehl2">
    <w:name w:val="Основной текст + FrankRuehl2"/>
    <w:uiPriority w:val="99"/>
    <w:rsid w:val="00BB6316"/>
    <w:rPr>
      <w:rFonts w:ascii="FrankRuehl" w:cs="FrankRuehl"/>
      <w:sz w:val="29"/>
      <w:szCs w:val="29"/>
      <w:lang w:bidi="he-IL"/>
    </w:rPr>
  </w:style>
  <w:style w:type="character" w:customStyle="1" w:styleId="FrankRuehl1">
    <w:name w:val="Основной текст + FrankRuehl1"/>
    <w:uiPriority w:val="99"/>
    <w:rsid w:val="00BB6316"/>
    <w:rPr>
      <w:rFonts w:ascii="FrankRuehl" w:cs="FrankRuehl"/>
      <w:i/>
      <w:iCs/>
      <w:sz w:val="16"/>
      <w:szCs w:val="16"/>
      <w:lang w:bidi="he-IL"/>
    </w:rPr>
  </w:style>
  <w:style w:type="character" w:customStyle="1" w:styleId="112">
    <w:name w:val="Основной текст + 11"/>
    <w:uiPriority w:val="99"/>
    <w:rsid w:val="00BB6316"/>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BB6316"/>
    <w:rPr>
      <w:rFonts w:ascii="FrankRuehl" w:cs="FrankRuehl"/>
      <w:b/>
      <w:bCs/>
      <w:i/>
      <w:iCs/>
      <w:spacing w:val="0"/>
      <w:sz w:val="9"/>
      <w:szCs w:val="9"/>
      <w:lang w:bidi="he-IL"/>
    </w:rPr>
  </w:style>
  <w:style w:type="paragraph" w:customStyle="1" w:styleId="47">
    <w:name w:val="Основной текст4"/>
    <w:basedOn w:val="a"/>
    <w:rsid w:val="00BB6316"/>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BB6316"/>
    <w:rPr>
      <w:rFonts w:ascii="Gungsuh" w:eastAsia="Gungsuh" w:cs="Gungsuh"/>
      <w:sz w:val="33"/>
      <w:szCs w:val="33"/>
    </w:rPr>
  </w:style>
  <w:style w:type="character" w:customStyle="1" w:styleId="10pt">
    <w:name w:val="Основной текст + 10 pt"/>
    <w:uiPriority w:val="99"/>
    <w:rsid w:val="00BB6316"/>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BB6316"/>
    <w:rPr>
      <w:rFonts w:ascii="Gungsuh" w:eastAsia="Gungsuh" w:cs="Gungsuh"/>
      <w:b/>
      <w:bCs/>
      <w:smallCaps/>
      <w:spacing w:val="-10"/>
      <w:sz w:val="17"/>
      <w:szCs w:val="17"/>
    </w:rPr>
  </w:style>
  <w:style w:type="character" w:customStyle="1" w:styleId="2TimesNewRoman">
    <w:name w:val="Основной текст (2) + Times New Roman"/>
    <w:uiPriority w:val="99"/>
    <w:rsid w:val="00BB6316"/>
    <w:rPr>
      <w:rFonts w:ascii="Times New Roman" w:hAnsi="Times New Roman" w:cs="Times New Roman"/>
      <w:b/>
      <w:bCs/>
      <w:sz w:val="21"/>
      <w:szCs w:val="21"/>
    </w:rPr>
  </w:style>
  <w:style w:type="character" w:customStyle="1" w:styleId="-1pt0">
    <w:name w:val="Оглавление + Интервал -1 pt"/>
    <w:uiPriority w:val="99"/>
    <w:rsid w:val="00BB6316"/>
    <w:rPr>
      <w:rFonts w:ascii="Times New Roman" w:hAnsi="Times New Roman" w:cs="Times New Roman"/>
      <w:spacing w:val="-20"/>
      <w:sz w:val="21"/>
      <w:szCs w:val="21"/>
    </w:rPr>
  </w:style>
  <w:style w:type="character" w:customStyle="1" w:styleId="300">
    <w:name w:val="Основной текст + 30"/>
    <w:uiPriority w:val="99"/>
    <w:rsid w:val="00BB6316"/>
    <w:rPr>
      <w:rFonts w:ascii="MingLiU" w:eastAsia="MingLiU" w:cs="MingLiU"/>
      <w:i/>
      <w:iCs/>
      <w:spacing w:val="-60"/>
      <w:sz w:val="61"/>
      <w:szCs w:val="61"/>
    </w:rPr>
  </w:style>
  <w:style w:type="character" w:customStyle="1" w:styleId="449pt">
    <w:name w:val="Основной текст (44) + 9 pt.Не полужирный"/>
    <w:uiPriority w:val="99"/>
    <w:rsid w:val="00BB6316"/>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BB6316"/>
    <w:rPr>
      <w:rFonts w:ascii="Bookman Old Style" w:hAnsi="Bookman Old Style" w:cs="Bookman Old Style"/>
      <w:spacing w:val="-20"/>
      <w:sz w:val="16"/>
      <w:szCs w:val="16"/>
    </w:rPr>
  </w:style>
  <w:style w:type="character" w:customStyle="1" w:styleId="202">
    <w:name w:val="Подпись к картинке (20)"/>
    <w:uiPriority w:val="99"/>
    <w:rsid w:val="00BB6316"/>
    <w:rPr>
      <w:rFonts w:ascii="Arial Narrow" w:hAnsi="Arial Narrow" w:cs="Arial Narrow"/>
      <w:i/>
      <w:iCs/>
      <w:spacing w:val="0"/>
      <w:sz w:val="16"/>
      <w:szCs w:val="16"/>
      <w:u w:val="single"/>
    </w:rPr>
  </w:style>
  <w:style w:type="character" w:customStyle="1" w:styleId="211">
    <w:name w:val="Подпись к картинке (21)"/>
    <w:uiPriority w:val="99"/>
    <w:rsid w:val="00BB6316"/>
    <w:rPr>
      <w:rFonts w:ascii="Arial Narrow" w:hAnsi="Arial Narrow" w:cs="Arial Narrow"/>
      <w:strike/>
      <w:spacing w:val="0"/>
      <w:sz w:val="22"/>
      <w:szCs w:val="22"/>
    </w:rPr>
  </w:style>
  <w:style w:type="character" w:customStyle="1" w:styleId="5">
    <w:name w:val="Подпись к картинке (5)"/>
    <w:uiPriority w:val="99"/>
    <w:rsid w:val="00BB6316"/>
    <w:rPr>
      <w:rFonts w:ascii="Arial Narrow" w:hAnsi="Arial Narrow" w:cs="Arial Narrow"/>
      <w:spacing w:val="0"/>
      <w:sz w:val="17"/>
      <w:szCs w:val="17"/>
      <w:u w:val="single"/>
    </w:rPr>
  </w:style>
  <w:style w:type="character" w:customStyle="1" w:styleId="58">
    <w:name w:val="Основной текст (58) + Полужирный"/>
    <w:uiPriority w:val="99"/>
    <w:rsid w:val="00BB6316"/>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BB6316"/>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BB6316"/>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BB6316"/>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uiPriority w:val="99"/>
    <w:rsid w:val="00BB6316"/>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BB6316"/>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link w:val="341"/>
    <w:rsid w:val="00BB6316"/>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BB6316"/>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BB6316"/>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BB6316"/>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BB6316"/>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BB6316"/>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BB6316"/>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BB6316"/>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link w:val="550"/>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link w:val="540"/>
    <w:rsid w:val="00BB6316"/>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link w:val="560"/>
    <w:rsid w:val="00BB6316"/>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link w:val="570"/>
    <w:rsid w:val="00BB6316"/>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BB6316"/>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BB6316"/>
    <w:rPr>
      <w:rFonts w:ascii="Arial Narrow" w:hAnsi="Arial Narrow" w:cs="Arial Narrow"/>
      <w:b/>
      <w:bCs/>
      <w:i/>
      <w:iCs/>
      <w:smallCaps/>
      <w:spacing w:val="0"/>
      <w:sz w:val="15"/>
      <w:szCs w:val="15"/>
    </w:rPr>
  </w:style>
  <w:style w:type="character" w:customStyle="1" w:styleId="1a">
    <w:name w:val="Основной текст + Курсив1"/>
    <w:uiPriority w:val="99"/>
    <w:rsid w:val="00BB6316"/>
    <w:rPr>
      <w:rFonts w:ascii="Arial Narrow" w:hAnsi="Arial Narrow" w:cs="Arial Narrow"/>
      <w:i/>
      <w:iCs/>
      <w:spacing w:val="0"/>
      <w:sz w:val="17"/>
      <w:szCs w:val="17"/>
    </w:rPr>
  </w:style>
  <w:style w:type="character" w:customStyle="1" w:styleId="785pt">
    <w:name w:val="Подпись к картинке (7) + 8.5 pt.Не курсив"/>
    <w:uiPriority w:val="99"/>
    <w:rsid w:val="00BB6316"/>
    <w:rPr>
      <w:rFonts w:ascii="Arial Narrow" w:hAnsi="Arial Narrow" w:cs="Arial Narrow"/>
      <w:spacing w:val="0"/>
      <w:sz w:val="17"/>
      <w:szCs w:val="17"/>
    </w:rPr>
  </w:style>
  <w:style w:type="paragraph" w:customStyle="1" w:styleId="113">
    <w:name w:val="Основной текст (11)"/>
    <w:basedOn w:val="a"/>
    <w:rsid w:val="00BB6316"/>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BB6316"/>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BB6316"/>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BB6316"/>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BB6316"/>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link w:val="511"/>
    <w:rsid w:val="00BB6316"/>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BB6316"/>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BB6316"/>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BB6316"/>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BB6316"/>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BB6316"/>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link w:val="520"/>
    <w:rsid w:val="00BB6316"/>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BB6316"/>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BB6316"/>
    <w:rPr>
      <w:rFonts w:ascii="Arial Narrow" w:hAnsi="Arial Narrow" w:cs="Arial Narrow"/>
      <w:i/>
      <w:iCs/>
      <w:spacing w:val="0"/>
      <w:sz w:val="14"/>
      <w:szCs w:val="14"/>
    </w:rPr>
  </w:style>
  <w:style w:type="character" w:customStyle="1" w:styleId="38">
    <w:name w:val="Основной текст + Курсив3"/>
    <w:uiPriority w:val="99"/>
    <w:rsid w:val="00BB6316"/>
    <w:rPr>
      <w:rFonts w:ascii="Arial Narrow" w:hAnsi="Arial Narrow" w:cs="Arial Narrow"/>
      <w:i/>
      <w:iCs/>
      <w:spacing w:val="0"/>
      <w:sz w:val="17"/>
      <w:szCs w:val="17"/>
    </w:rPr>
  </w:style>
  <w:style w:type="character" w:customStyle="1" w:styleId="70pt">
    <w:name w:val="Подпись к картинке (7) + Интервал 0 pt"/>
    <w:uiPriority w:val="99"/>
    <w:rsid w:val="00BB6316"/>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BB6316"/>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BB6316"/>
    <w:rPr>
      <w:rFonts w:ascii="Arial Narrow" w:hAnsi="Arial Narrow" w:cs="Arial Narrow"/>
      <w:i/>
      <w:iCs/>
      <w:spacing w:val="0"/>
      <w:sz w:val="17"/>
      <w:szCs w:val="17"/>
    </w:rPr>
  </w:style>
  <w:style w:type="paragraph" w:customStyle="1" w:styleId="271">
    <w:name w:val="Основной текст (27)1"/>
    <w:basedOn w:val="a"/>
    <w:uiPriority w:val="99"/>
    <w:rsid w:val="00BB6316"/>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BB6316"/>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2">
    <w:name w:val="Подпись к картинке (6)"/>
    <w:basedOn w:val="a"/>
    <w:uiPriority w:val="99"/>
    <w:rsid w:val="00BB6316"/>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BB6316"/>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5">
    <w:name w:val="Подпись к картинке (7)"/>
    <w:basedOn w:val="a"/>
    <w:uiPriority w:val="99"/>
    <w:rsid w:val="00BB6316"/>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BB6316"/>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BB6316"/>
    <w:rPr>
      <w:rFonts w:ascii="Consolas" w:hAnsi="Consolas" w:cs="Consolas"/>
      <w:b/>
      <w:bCs/>
      <w:i/>
      <w:iCs/>
      <w:spacing w:val="-10"/>
      <w:sz w:val="18"/>
      <w:szCs w:val="18"/>
    </w:rPr>
  </w:style>
  <w:style w:type="character" w:customStyle="1" w:styleId="27Gulim65pt">
    <w:name w:val="Основной текст (27) + Gulim.6.5 pt"/>
    <w:uiPriority w:val="99"/>
    <w:rsid w:val="00BB6316"/>
    <w:rPr>
      <w:rFonts w:ascii="Gulim" w:eastAsia="Gulim" w:cs="Gulim"/>
      <w:i/>
      <w:iCs/>
      <w:spacing w:val="0"/>
      <w:sz w:val="13"/>
      <w:szCs w:val="13"/>
    </w:rPr>
  </w:style>
  <w:style w:type="character" w:customStyle="1" w:styleId="76">
    <w:name w:val="Основной текст + Курсив7"/>
    <w:uiPriority w:val="99"/>
    <w:rsid w:val="00BB6316"/>
    <w:rPr>
      <w:rFonts w:ascii="Arial Narrow" w:hAnsi="Arial Narrow" w:cs="Arial Narrow"/>
      <w:i/>
      <w:iCs/>
      <w:spacing w:val="0"/>
      <w:sz w:val="17"/>
      <w:szCs w:val="17"/>
    </w:rPr>
  </w:style>
  <w:style w:type="character" w:customStyle="1" w:styleId="276">
    <w:name w:val="Основной текст (27) + Не курсив6"/>
    <w:uiPriority w:val="99"/>
    <w:rsid w:val="00BB6316"/>
    <w:rPr>
      <w:rFonts w:ascii="Arial Narrow" w:hAnsi="Arial Narrow" w:cs="Arial Narrow"/>
      <w:spacing w:val="0"/>
      <w:sz w:val="17"/>
      <w:szCs w:val="17"/>
    </w:rPr>
  </w:style>
  <w:style w:type="character" w:customStyle="1" w:styleId="275">
    <w:name w:val="Основной текст (27) + Не курсив5"/>
    <w:uiPriority w:val="99"/>
    <w:rsid w:val="00BB6316"/>
    <w:rPr>
      <w:rFonts w:ascii="Arial Narrow" w:hAnsi="Arial Narrow" w:cs="Arial Narrow"/>
      <w:spacing w:val="0"/>
      <w:sz w:val="17"/>
      <w:szCs w:val="17"/>
    </w:rPr>
  </w:style>
  <w:style w:type="character" w:customStyle="1" w:styleId="64">
    <w:name w:val="Основной текст + Курсив6"/>
    <w:uiPriority w:val="99"/>
    <w:rsid w:val="00BB6316"/>
    <w:rPr>
      <w:rFonts w:ascii="Arial Narrow" w:hAnsi="Arial Narrow" w:cs="Arial Narrow"/>
      <w:i/>
      <w:iCs/>
      <w:spacing w:val="0"/>
      <w:sz w:val="17"/>
      <w:szCs w:val="17"/>
    </w:rPr>
  </w:style>
  <w:style w:type="character" w:customStyle="1" w:styleId="270">
    <w:name w:val="Основной текст (27)"/>
    <w:uiPriority w:val="99"/>
    <w:rsid w:val="00BB6316"/>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BB6316"/>
    <w:rPr>
      <w:rFonts w:ascii="Arial Narrow" w:hAnsi="Arial Narrow" w:cs="Arial Narrow"/>
      <w:spacing w:val="0"/>
      <w:sz w:val="17"/>
      <w:szCs w:val="17"/>
    </w:rPr>
  </w:style>
  <w:style w:type="character" w:customStyle="1" w:styleId="58pt">
    <w:name w:val="Основной текст (5) + 8 pt.Не курсив"/>
    <w:uiPriority w:val="99"/>
    <w:rsid w:val="00BB6316"/>
    <w:rPr>
      <w:rFonts w:ascii="Arial Narrow" w:hAnsi="Arial Narrow" w:cs="Arial Narrow"/>
      <w:spacing w:val="0"/>
      <w:sz w:val="16"/>
      <w:szCs w:val="16"/>
    </w:rPr>
  </w:style>
  <w:style w:type="paragraph" w:customStyle="1" w:styleId="512">
    <w:name w:val="Основной текст (5)1"/>
    <w:basedOn w:val="a"/>
    <w:uiPriority w:val="99"/>
    <w:rsid w:val="00BB6316"/>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BB6316"/>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BB6316"/>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BB6316"/>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BB6316"/>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BB6316"/>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BB6316"/>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BB6316"/>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link w:val="3b"/>
    <w:rsid w:val="00BB6316"/>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uiPriority w:val="99"/>
    <w:rsid w:val="00BB6316"/>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BB6316"/>
    <w:rPr>
      <w:rFonts w:ascii="Arial" w:hAnsi="Arial" w:cs="Arial"/>
      <w:b/>
      <w:bCs/>
      <w:spacing w:val="0"/>
      <w:sz w:val="23"/>
      <w:szCs w:val="23"/>
    </w:rPr>
  </w:style>
  <w:style w:type="character" w:customStyle="1" w:styleId="14pt">
    <w:name w:val="Основной текст + 14 pt"/>
    <w:uiPriority w:val="99"/>
    <w:rsid w:val="00BB6316"/>
    <w:rPr>
      <w:rFonts w:ascii="Lucida Sans Unicode" w:hAnsi="Lucida Sans Unicode" w:cs="Lucida Sans Unicode"/>
      <w:sz w:val="28"/>
      <w:szCs w:val="28"/>
    </w:rPr>
  </w:style>
  <w:style w:type="paragraph" w:customStyle="1" w:styleId="2e">
    <w:name w:val="Подпись к таблице (2)"/>
    <w:basedOn w:val="a"/>
    <w:uiPriority w:val="99"/>
    <w:rsid w:val="00BB6316"/>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b">
    <w:name w:val="Верхний колонтитул1"/>
    <w:basedOn w:val="a"/>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c">
    <w:name w:val="Нижний колонтитул1"/>
    <w:basedOn w:val="a"/>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styleId="affb">
    <w:name w:val="header"/>
    <w:basedOn w:val="a"/>
    <w:link w:val="affc"/>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c">
    <w:name w:val="Верхний колонтитул Знак"/>
    <w:link w:val="affb"/>
    <w:uiPriority w:val="99"/>
    <w:rsid w:val="00BB6316"/>
    <w:rPr>
      <w:rFonts w:ascii="Times New Roman" w:hAnsi="Times New Roman"/>
      <w:lang w:eastAsia="en-US"/>
    </w:rPr>
  </w:style>
  <w:style w:type="paragraph" w:styleId="affd">
    <w:name w:val="footer"/>
    <w:basedOn w:val="a"/>
    <w:link w:val="affe"/>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e">
    <w:name w:val="Нижний колонтитул Знак"/>
    <w:link w:val="affd"/>
    <w:uiPriority w:val="99"/>
    <w:rsid w:val="00BB6316"/>
    <w:rPr>
      <w:rFonts w:ascii="Times New Roman" w:hAnsi="Times New Roman"/>
      <w:lang w:eastAsia="en-US"/>
    </w:rPr>
  </w:style>
  <w:style w:type="paragraph" w:customStyle="1" w:styleId="1d">
    <w:name w:val="çàãîëîâîê 1"/>
    <w:basedOn w:val="Iauiue"/>
    <w:next w:val="Iauiue"/>
    <w:uiPriority w:val="99"/>
    <w:rsid w:val="00BB6316"/>
    <w:pPr>
      <w:keepNext/>
      <w:jc w:val="both"/>
    </w:pPr>
    <w:rPr>
      <w:i/>
      <w:iCs/>
      <w:sz w:val="16"/>
      <w:szCs w:val="16"/>
      <w:lang w:val="en-US"/>
    </w:rPr>
  </w:style>
  <w:style w:type="character" w:customStyle="1" w:styleId="afff">
    <w:name w:val="Ã"/>
    <w:uiPriority w:val="99"/>
    <w:rsid w:val="00BB6316"/>
    <w:rPr>
      <w:color w:val="0000FF"/>
      <w:u w:val="single"/>
    </w:rPr>
  </w:style>
  <w:style w:type="paragraph" w:styleId="afff0">
    <w:name w:val="footnote text"/>
    <w:basedOn w:val="a"/>
    <w:link w:val="afff1"/>
    <w:uiPriority w:val="99"/>
    <w:rsid w:val="00BB6316"/>
    <w:pPr>
      <w:autoSpaceDE w:val="0"/>
      <w:autoSpaceDN w:val="0"/>
      <w:adjustRightInd w:val="0"/>
      <w:spacing w:after="0" w:line="240" w:lineRule="auto"/>
    </w:pPr>
    <w:rPr>
      <w:rFonts w:ascii="Times New Roman" w:hAnsi="Times New Roman"/>
      <w:sz w:val="20"/>
      <w:szCs w:val="20"/>
    </w:rPr>
  </w:style>
  <w:style w:type="character" w:customStyle="1" w:styleId="afff1">
    <w:name w:val="Текст сноски Знак"/>
    <w:link w:val="afff0"/>
    <w:uiPriority w:val="99"/>
    <w:rsid w:val="00BB6316"/>
    <w:rPr>
      <w:rFonts w:ascii="Times New Roman" w:hAnsi="Times New Roman"/>
      <w:lang w:eastAsia="en-US"/>
    </w:rPr>
  </w:style>
  <w:style w:type="paragraph" w:customStyle="1" w:styleId="afff2">
    <w:name w:val="ï"/>
    <w:uiPriority w:val="99"/>
    <w:rsid w:val="00BB6316"/>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3">
    <w:name w:val="Çàãîëîâîê"/>
    <w:basedOn w:val="a"/>
    <w:uiPriority w:val="99"/>
    <w:rsid w:val="00BB6316"/>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4">
    <w:name w:val="Ñíîñêè"/>
    <w:basedOn w:val="a"/>
    <w:uiPriority w:val="99"/>
    <w:rsid w:val="00BB6316"/>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5">
    <w:name w:val="Ðóáðèêà"/>
    <w:basedOn w:val="a"/>
    <w:uiPriority w:val="99"/>
    <w:rsid w:val="00BB6316"/>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6">
    <w:name w:val="Çíàê êîíöåâîé ñíîñêè"/>
    <w:uiPriority w:val="99"/>
    <w:rsid w:val="00BB6316"/>
    <w:rPr>
      <w:sz w:val="20"/>
      <w:szCs w:val="20"/>
      <w:vertAlign w:val="superscript"/>
    </w:rPr>
  </w:style>
  <w:style w:type="paragraph" w:customStyle="1" w:styleId="afff7">
    <w:name w:val="Ñ"/>
    <w:basedOn w:val="a"/>
    <w:next w:val="a"/>
    <w:uiPriority w:val="99"/>
    <w:rsid w:val="00BB6316"/>
    <w:pPr>
      <w:autoSpaceDE w:val="0"/>
      <w:autoSpaceDN w:val="0"/>
      <w:adjustRightInd w:val="0"/>
      <w:spacing w:after="0" w:line="240" w:lineRule="auto"/>
      <w:ind w:left="360"/>
    </w:pPr>
    <w:rPr>
      <w:rFonts w:ascii="Times New Roman" w:hAnsi="Times New Roman"/>
      <w:sz w:val="24"/>
      <w:szCs w:val="24"/>
    </w:rPr>
  </w:style>
  <w:style w:type="character" w:customStyle="1" w:styleId="1e">
    <w:name w:val="Ñ1"/>
    <w:uiPriority w:val="99"/>
    <w:rsid w:val="00BB6316"/>
    <w:rPr>
      <w:b/>
      <w:bCs/>
    </w:rPr>
  </w:style>
  <w:style w:type="character" w:customStyle="1" w:styleId="afff8">
    <w:name w:val="Ê"/>
    <w:uiPriority w:val="99"/>
    <w:rsid w:val="00BB6316"/>
    <w:rPr>
      <w:rFonts w:ascii="Courier New" w:hAnsi="Courier New" w:cs="Courier New"/>
      <w:sz w:val="20"/>
      <w:szCs w:val="20"/>
    </w:rPr>
  </w:style>
  <w:style w:type="paragraph" w:customStyle="1" w:styleId="afff9">
    <w:name w:val="Ô"/>
    <w:basedOn w:val="afffa"/>
    <w:uiPriority w:val="99"/>
    <w:rsid w:val="00BB6316"/>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a">
    <w:name w:val="Î"/>
    <w:uiPriority w:val="99"/>
    <w:rsid w:val="00BB6316"/>
    <w:pPr>
      <w:autoSpaceDE w:val="0"/>
      <w:autoSpaceDN w:val="0"/>
      <w:adjustRightInd w:val="0"/>
      <w:spacing w:before="100" w:after="100"/>
    </w:pPr>
    <w:rPr>
      <w:rFonts w:ascii="Times New Roman" w:hAnsi="Times New Roman"/>
      <w:sz w:val="24"/>
      <w:szCs w:val="24"/>
      <w:lang w:eastAsia="en-US"/>
    </w:rPr>
  </w:style>
  <w:style w:type="character" w:customStyle="1" w:styleId="afffb">
    <w:name w:val="Ð"/>
    <w:uiPriority w:val="99"/>
    <w:rsid w:val="00BB6316"/>
    <w:rPr>
      <w:vanish/>
      <w:color w:val="FF0000"/>
    </w:rPr>
  </w:style>
  <w:style w:type="paragraph" w:customStyle="1" w:styleId="afffc">
    <w:name w:val="Ö"/>
    <w:basedOn w:val="a"/>
    <w:uiPriority w:val="99"/>
    <w:rsid w:val="00BB6316"/>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
    <w:name w:val="Îñíîâíîé òåêñò 2"/>
    <w:basedOn w:val="a"/>
    <w:uiPriority w:val="99"/>
    <w:rsid w:val="00BB6316"/>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d">
    <w:name w:val="Òåêñò"/>
    <w:basedOn w:val="a"/>
    <w:uiPriority w:val="99"/>
    <w:rsid w:val="00BB6316"/>
    <w:pPr>
      <w:widowControl w:val="0"/>
      <w:autoSpaceDE w:val="0"/>
      <w:autoSpaceDN w:val="0"/>
      <w:adjustRightInd w:val="0"/>
      <w:spacing w:after="0" w:line="240" w:lineRule="auto"/>
    </w:pPr>
    <w:rPr>
      <w:rFonts w:ascii="Courier New" w:hAnsi="Courier New" w:cs="Courier New"/>
      <w:sz w:val="20"/>
      <w:szCs w:val="20"/>
    </w:rPr>
  </w:style>
  <w:style w:type="paragraph" w:customStyle="1" w:styleId="3c">
    <w:name w:val="Îñíîâíîé òåêñò 3"/>
    <w:basedOn w:val="a"/>
    <w:uiPriority w:val="99"/>
    <w:rsid w:val="00BB6316"/>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e">
    <w:name w:val="À"/>
    <w:basedOn w:val="a"/>
    <w:next w:val="a"/>
    <w:uiPriority w:val="99"/>
    <w:rsid w:val="00BB6316"/>
    <w:pPr>
      <w:autoSpaceDE w:val="0"/>
      <w:autoSpaceDN w:val="0"/>
      <w:adjustRightInd w:val="0"/>
      <w:spacing w:after="0" w:line="240" w:lineRule="auto"/>
    </w:pPr>
    <w:rPr>
      <w:rFonts w:ascii="Times New Roman" w:hAnsi="Times New Roman"/>
      <w:i/>
      <w:iCs/>
      <w:sz w:val="24"/>
      <w:szCs w:val="24"/>
    </w:rPr>
  </w:style>
  <w:style w:type="character" w:customStyle="1" w:styleId="affff">
    <w:name w:val="Â"/>
    <w:uiPriority w:val="99"/>
    <w:rsid w:val="00BB6316"/>
    <w:rPr>
      <w:i/>
      <w:iCs/>
    </w:rPr>
  </w:style>
  <w:style w:type="paragraph" w:customStyle="1" w:styleId="affff0">
    <w:name w:val="Ò"/>
    <w:basedOn w:val="afffa"/>
    <w:next w:val="afff7"/>
    <w:uiPriority w:val="99"/>
    <w:rsid w:val="00BB6316"/>
    <w:pPr>
      <w:spacing w:before="0" w:after="0"/>
    </w:pPr>
  </w:style>
  <w:style w:type="character" w:customStyle="1" w:styleId="1f">
    <w:name w:val="Î1"/>
    <w:uiPriority w:val="99"/>
    <w:rsid w:val="00BB6316"/>
    <w:rPr>
      <w:i/>
      <w:iCs/>
    </w:rPr>
  </w:style>
  <w:style w:type="character" w:customStyle="1" w:styleId="affff1">
    <w:name w:val="Ó"/>
    <w:uiPriority w:val="99"/>
    <w:rsid w:val="00BB6316"/>
    <w:rPr>
      <w:i/>
      <w:iCs/>
    </w:rPr>
  </w:style>
  <w:style w:type="character" w:customStyle="1" w:styleId="affff2">
    <w:name w:val="Ï"/>
    <w:uiPriority w:val="99"/>
    <w:rsid w:val="00BB6316"/>
    <w:rPr>
      <w:color w:val="800080"/>
      <w:u w:val="single"/>
    </w:rPr>
  </w:style>
  <w:style w:type="character" w:customStyle="1" w:styleId="1f0">
    <w:name w:val="Ê1"/>
    <w:uiPriority w:val="99"/>
    <w:rsid w:val="00BB6316"/>
    <w:rPr>
      <w:rFonts w:ascii="Courier New" w:hAnsi="Courier New" w:cs="Courier New"/>
      <w:b/>
      <w:bCs/>
      <w:sz w:val="20"/>
      <w:szCs w:val="20"/>
    </w:rPr>
  </w:style>
  <w:style w:type="character" w:customStyle="1" w:styleId="49">
    <w:name w:val="Ï4"/>
    <w:uiPriority w:val="99"/>
    <w:rsid w:val="00BB6316"/>
    <w:rPr>
      <w:rFonts w:ascii="Courier New" w:hAnsi="Courier New" w:cs="Courier New"/>
    </w:rPr>
  </w:style>
  <w:style w:type="character" w:customStyle="1" w:styleId="3d">
    <w:name w:val="Ï3"/>
    <w:uiPriority w:val="99"/>
    <w:rsid w:val="00BB6316"/>
    <w:rPr>
      <w:rFonts w:ascii="Courier New" w:hAnsi="Courier New" w:cs="Courier New"/>
      <w:sz w:val="20"/>
      <w:szCs w:val="20"/>
    </w:rPr>
  </w:style>
  <w:style w:type="character" w:customStyle="1" w:styleId="2f0">
    <w:name w:val="Ï2"/>
    <w:uiPriority w:val="99"/>
    <w:rsid w:val="00BB6316"/>
    <w:rPr>
      <w:i/>
      <w:iCs/>
    </w:rPr>
  </w:style>
  <w:style w:type="character" w:customStyle="1" w:styleId="1f1">
    <w:name w:val="Ï1"/>
    <w:uiPriority w:val="99"/>
    <w:rsid w:val="00BB6316"/>
    <w:rPr>
      <w:vanish/>
    </w:rPr>
  </w:style>
  <w:style w:type="character" w:customStyle="1" w:styleId="affff3">
    <w:name w:val="Îñíîâíîé øðèôò àáçàöà"/>
    <w:uiPriority w:val="99"/>
    <w:rsid w:val="00BB6316"/>
    <w:rPr>
      <w:rFonts w:ascii="Times New Roman" w:hAnsi="Times New Roman" w:cs="Times New Roman"/>
      <w:sz w:val="20"/>
      <w:szCs w:val="20"/>
    </w:rPr>
  </w:style>
  <w:style w:type="paragraph" w:styleId="3e">
    <w:name w:val="Body Text Indent 3"/>
    <w:basedOn w:val="a"/>
    <w:link w:val="3f"/>
    <w:uiPriority w:val="99"/>
    <w:rsid w:val="00BB6316"/>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
    <w:name w:val="Основной текст с отступом 3 Знак"/>
    <w:link w:val="3e"/>
    <w:uiPriority w:val="99"/>
    <w:rsid w:val="00BB6316"/>
    <w:rPr>
      <w:rFonts w:ascii="Times New Roman" w:hAnsi="Times New Roman"/>
      <w:sz w:val="24"/>
      <w:szCs w:val="24"/>
      <w:lang w:eastAsia="en-US"/>
    </w:rPr>
  </w:style>
  <w:style w:type="paragraph" w:styleId="affff4">
    <w:name w:val="Body Text Indent"/>
    <w:basedOn w:val="a"/>
    <w:link w:val="affff5"/>
    <w:uiPriority w:val="99"/>
    <w:rsid w:val="00BB6316"/>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f5">
    <w:name w:val="Основной текст с отступом Знак"/>
    <w:link w:val="affff4"/>
    <w:uiPriority w:val="99"/>
    <w:rsid w:val="00BB6316"/>
    <w:rPr>
      <w:rFonts w:ascii="Times New Roman" w:hAnsi="Times New Roman"/>
      <w:sz w:val="24"/>
      <w:szCs w:val="24"/>
      <w:lang w:eastAsia="en-US"/>
    </w:rPr>
  </w:style>
  <w:style w:type="paragraph" w:customStyle="1" w:styleId="affff6">
    <w:name w:val="Ñîäåðæèìîå òàáëèöû"/>
    <w:basedOn w:val="a"/>
    <w:uiPriority w:val="99"/>
    <w:rsid w:val="00BB6316"/>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styleId="affff7">
    <w:name w:val="footnote reference"/>
    <w:uiPriority w:val="99"/>
    <w:rsid w:val="00BB6316"/>
    <w:rPr>
      <w:vertAlign w:val="superscript"/>
    </w:rPr>
  </w:style>
  <w:style w:type="character" w:customStyle="1" w:styleId="A40">
    <w:name w:val="A4"/>
    <w:uiPriority w:val="99"/>
    <w:rsid w:val="00BB6316"/>
    <w:rPr>
      <w:color w:val="000000"/>
      <w:sz w:val="22"/>
      <w:szCs w:val="22"/>
    </w:rPr>
  </w:style>
  <w:style w:type="paragraph" w:customStyle="1" w:styleId="Pa6">
    <w:name w:val="Pa6"/>
    <w:basedOn w:val="Default"/>
    <w:next w:val="Default"/>
    <w:uiPriority w:val="99"/>
    <w:rsid w:val="00BB6316"/>
    <w:pPr>
      <w:spacing w:line="241" w:lineRule="atLeast"/>
    </w:pPr>
    <w:rPr>
      <w:color w:val="auto"/>
    </w:rPr>
  </w:style>
  <w:style w:type="paragraph" w:customStyle="1" w:styleId="260">
    <w:name w:val="Îñíîâíîé òåêñò (26)"/>
    <w:basedOn w:val="a"/>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affff8">
    <w:name w:val="Îãëàâëåíèå"/>
    <w:basedOn w:val="a"/>
    <w:uiPriority w:val="99"/>
    <w:rsid w:val="00BB6316"/>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1f2">
    <w:name w:val="Ïîäïèñü ê òàáëèöå1"/>
    <w:basedOn w:val="a"/>
    <w:uiPriority w:val="99"/>
    <w:rsid w:val="00BB6316"/>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312">
    <w:name w:val="Îñíîâíîé òåêñò (3)1"/>
    <w:basedOn w:val="a"/>
    <w:uiPriority w:val="99"/>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paragraph" w:customStyle="1" w:styleId="420">
    <w:name w:val="Îñíîâíîé òåêñò (42)"/>
    <w:basedOn w:val="a"/>
    <w:uiPriority w:val="99"/>
    <w:rsid w:val="00BB6316"/>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character" w:customStyle="1" w:styleId="221">
    <w:name w:val="Ïîäïèñü ê òàáëèöå (2)2"/>
    <w:uiPriority w:val="99"/>
    <w:rsid w:val="00BB6316"/>
    <w:rPr>
      <w:rFonts w:ascii="Franklin Gothic Book" w:hAnsi="Franklin Gothic Book" w:cs="Franklin Gothic Book"/>
      <w:b/>
      <w:bCs/>
      <w:color w:val="FFFFFF"/>
      <w:sz w:val="15"/>
      <w:szCs w:val="15"/>
    </w:rPr>
  </w:style>
  <w:style w:type="paragraph" w:customStyle="1" w:styleId="171">
    <w:name w:val="Îñíîâíîé òåêñò (17)1"/>
    <w:basedOn w:val="a"/>
    <w:uiPriority w:val="99"/>
    <w:rsid w:val="00BB6316"/>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114">
    <w:name w:val="çàãîëîâîê 11"/>
    <w:basedOn w:val="a"/>
    <w:next w:val="a"/>
    <w:uiPriority w:val="99"/>
    <w:rsid w:val="00BB6316"/>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9">
    <w:name w:val="Îñíîâíîé òåêñò_"/>
    <w:uiPriority w:val="99"/>
    <w:rsid w:val="00BB6316"/>
    <w:rPr>
      <w:rFonts w:ascii="Microsoft Sans Serif" w:hAnsi="Microsoft Sans Serif" w:cs="Microsoft Sans Serif"/>
      <w:spacing w:val="-10"/>
      <w:sz w:val="29"/>
      <w:szCs w:val="29"/>
    </w:rPr>
  </w:style>
  <w:style w:type="character" w:customStyle="1" w:styleId="320">
    <w:name w:val="Îñíîâíîé òåêñò (32)_"/>
    <w:uiPriority w:val="99"/>
    <w:rsid w:val="00BB6316"/>
    <w:rPr>
      <w:rFonts w:ascii="Arial Narrow" w:hAnsi="Arial Narrow" w:cs="Arial Narrow"/>
      <w:b/>
      <w:bCs/>
      <w:spacing w:val="-20"/>
      <w:sz w:val="67"/>
      <w:szCs w:val="67"/>
    </w:rPr>
  </w:style>
  <w:style w:type="character" w:customStyle="1" w:styleId="291">
    <w:name w:val="Îñíîâíîé òåêñò (29)_"/>
    <w:uiPriority w:val="99"/>
    <w:rsid w:val="00BB6316"/>
    <w:rPr>
      <w:rFonts w:ascii="Arial Narrow" w:hAnsi="Arial Narrow" w:cs="Arial Narrow"/>
      <w:i/>
      <w:iCs/>
      <w:sz w:val="15"/>
      <w:szCs w:val="15"/>
    </w:rPr>
  </w:style>
  <w:style w:type="character" w:customStyle="1" w:styleId="313">
    <w:name w:val="Îñíîâíîé òåêñò (31)_"/>
    <w:uiPriority w:val="99"/>
    <w:rsid w:val="00BB6316"/>
    <w:rPr>
      <w:rFonts w:ascii="Microsoft Sans Serif" w:hAnsi="Microsoft Sans Serif" w:cs="Microsoft Sans Serif"/>
      <w:i/>
      <w:iCs/>
      <w:spacing w:val="10"/>
      <w:sz w:val="35"/>
      <w:szCs w:val="35"/>
    </w:rPr>
  </w:style>
  <w:style w:type="character" w:customStyle="1" w:styleId="301">
    <w:name w:val="Îñíîâíîé òåêñò (30)_"/>
    <w:uiPriority w:val="99"/>
    <w:rsid w:val="00BB6316"/>
    <w:rPr>
      <w:rFonts w:ascii="Arial" w:hAnsi="Arial" w:cs="Arial"/>
      <w:i/>
      <w:iCs/>
      <w:sz w:val="11"/>
      <w:szCs w:val="11"/>
    </w:rPr>
  </w:style>
  <w:style w:type="paragraph" w:customStyle="1" w:styleId="314">
    <w:name w:val="Îñíîâíîé òåêñò (31)"/>
    <w:basedOn w:val="a"/>
    <w:uiPriority w:val="99"/>
    <w:rsid w:val="00BB6316"/>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321">
    <w:name w:val="Îñíîâíîé òåêñò (32)"/>
    <w:basedOn w:val="a"/>
    <w:uiPriority w:val="99"/>
    <w:rsid w:val="00BB6316"/>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2">
    <w:name w:val="Îñíîâíîé òåêñò (29)"/>
    <w:basedOn w:val="a"/>
    <w:uiPriority w:val="99"/>
    <w:rsid w:val="00BB6316"/>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2">
    <w:name w:val="Îñíîâíîé òåêñò (30)"/>
    <w:basedOn w:val="a"/>
    <w:uiPriority w:val="99"/>
    <w:rsid w:val="00BB6316"/>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5">
    <w:name w:val="Îñíîâíîé òåêñò (11)"/>
    <w:uiPriority w:val="99"/>
    <w:rsid w:val="00BB6316"/>
    <w:rPr>
      <w:rFonts w:ascii="Microsoft Sans Serif" w:hAnsi="Microsoft Sans Serif" w:cs="Microsoft Sans Serif"/>
      <w:i/>
      <w:iCs/>
      <w:sz w:val="28"/>
      <w:szCs w:val="28"/>
      <w:u w:val="single"/>
    </w:rPr>
  </w:style>
  <w:style w:type="character" w:customStyle="1" w:styleId="116">
    <w:name w:val="Îñíîâíîé òåêñò (11)_"/>
    <w:uiPriority w:val="99"/>
    <w:rsid w:val="00BB6316"/>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BB6316"/>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BB6316"/>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BB6316"/>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BB6316"/>
    <w:rPr>
      <w:rFonts w:ascii="Microsoft Sans Serif" w:hAnsi="Microsoft Sans Serif" w:cs="Microsoft Sans Serif"/>
      <w:i/>
      <w:iCs/>
      <w:spacing w:val="-10"/>
      <w:sz w:val="29"/>
      <w:szCs w:val="29"/>
    </w:rPr>
  </w:style>
  <w:style w:type="character" w:customStyle="1" w:styleId="1111">
    <w:name w:val="Îñíîâíîé òåêñò (11)11"/>
    <w:uiPriority w:val="99"/>
    <w:rsid w:val="00BB6316"/>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BB6316"/>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BB6316"/>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BB6316"/>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BB6316"/>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BB6316"/>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BB6316"/>
    <w:rPr>
      <w:rFonts w:ascii="Microsoft Sans Serif" w:hAnsi="Microsoft Sans Serif" w:cs="Microsoft Sans Serif"/>
      <w:i/>
      <w:iCs/>
      <w:spacing w:val="80"/>
      <w:sz w:val="28"/>
      <w:szCs w:val="28"/>
    </w:rPr>
  </w:style>
  <w:style w:type="character" w:customStyle="1" w:styleId="118">
    <w:name w:val="Îñíîâíîé òåêñò (11)8"/>
    <w:uiPriority w:val="99"/>
    <w:rsid w:val="00BB6316"/>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BB6316"/>
    <w:rPr>
      <w:rFonts w:ascii="Microsoft Sans Serif" w:hAnsi="Microsoft Sans Serif" w:cs="Microsoft Sans Serif"/>
      <w:i/>
      <w:iCs/>
      <w:spacing w:val="80"/>
      <w:sz w:val="28"/>
      <w:szCs w:val="28"/>
    </w:rPr>
  </w:style>
  <w:style w:type="character" w:customStyle="1" w:styleId="117">
    <w:name w:val="Îñíîâíîé òåêñò (11)7"/>
    <w:uiPriority w:val="99"/>
    <w:rsid w:val="00BB6316"/>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BB6316"/>
    <w:rPr>
      <w:rFonts w:ascii="Microsoft Sans Serif" w:hAnsi="Microsoft Sans Serif" w:cs="Microsoft Sans Serif"/>
      <w:i/>
      <w:iCs/>
      <w:spacing w:val="30"/>
      <w:sz w:val="28"/>
      <w:szCs w:val="28"/>
    </w:rPr>
  </w:style>
  <w:style w:type="character" w:customStyle="1" w:styleId="1160">
    <w:name w:val="Îñíîâíîé òåêñò (11)6"/>
    <w:uiPriority w:val="99"/>
    <w:rsid w:val="00BB6316"/>
    <w:rPr>
      <w:rFonts w:ascii="Microsoft Sans Serif" w:hAnsi="Microsoft Sans Serif" w:cs="Microsoft Sans Serif"/>
      <w:i/>
      <w:iCs/>
      <w:sz w:val="28"/>
      <w:szCs w:val="28"/>
      <w:u w:val="single"/>
    </w:rPr>
  </w:style>
  <w:style w:type="character" w:customStyle="1" w:styleId="1150">
    <w:name w:val="Îñíîâíîé òåêñò (11)5"/>
    <w:uiPriority w:val="99"/>
    <w:rsid w:val="00BB6316"/>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BB6316"/>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BB6316"/>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BB6316"/>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BB6316"/>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BB6316"/>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BB6316"/>
    <w:rPr>
      <w:rFonts w:ascii="Microsoft Sans Serif" w:hAnsi="Microsoft Sans Serif" w:cs="Microsoft Sans Serif"/>
      <w:i/>
      <w:iCs/>
      <w:spacing w:val="30"/>
      <w:sz w:val="28"/>
      <w:szCs w:val="28"/>
    </w:rPr>
  </w:style>
  <w:style w:type="character" w:customStyle="1" w:styleId="1140">
    <w:name w:val="Îñíîâíîé òåêñò (11)4"/>
    <w:uiPriority w:val="99"/>
    <w:rsid w:val="00BB6316"/>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BB6316"/>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BB6316"/>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BB6316"/>
    <w:rPr>
      <w:rFonts w:ascii="Microsoft Sans Serif" w:hAnsi="Microsoft Sans Serif" w:cs="Microsoft Sans Serif"/>
      <w:i/>
      <w:iCs/>
      <w:spacing w:val="-10"/>
      <w:sz w:val="29"/>
      <w:szCs w:val="29"/>
    </w:rPr>
  </w:style>
  <w:style w:type="character" w:customStyle="1" w:styleId="1130">
    <w:name w:val="Îñíîâíîé òåêñò (11)3"/>
    <w:uiPriority w:val="99"/>
    <w:rsid w:val="00BB6316"/>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BB6316"/>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BB6316"/>
    <w:rPr>
      <w:rFonts w:ascii="Arial Narrow" w:hAnsi="Arial Narrow" w:cs="Arial Narrow"/>
      <w:b/>
      <w:bCs/>
      <w:spacing w:val="0"/>
      <w:sz w:val="85"/>
      <w:szCs w:val="85"/>
    </w:rPr>
  </w:style>
  <w:style w:type="character" w:customStyle="1" w:styleId="1f3">
    <w:name w:val="Çàãîëîâîê ¹1_"/>
    <w:uiPriority w:val="99"/>
    <w:rsid w:val="00BB6316"/>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BB6316"/>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BB6316"/>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BB6316"/>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BB6316"/>
    <w:rPr>
      <w:rFonts w:ascii="Microsoft Sans Serif" w:hAnsi="Microsoft Sans Serif" w:cs="Microsoft Sans Serif"/>
      <w:i/>
      <w:iCs/>
      <w:spacing w:val="0"/>
      <w:sz w:val="28"/>
      <w:szCs w:val="28"/>
    </w:rPr>
  </w:style>
  <w:style w:type="character" w:customStyle="1" w:styleId="142">
    <w:name w:val="Îñíîâíîé òåêñò (14)_"/>
    <w:uiPriority w:val="99"/>
    <w:rsid w:val="00BB6316"/>
    <w:rPr>
      <w:rFonts w:ascii="Franklin Gothic Demi" w:hAnsi="Franklin Gothic Demi" w:cs="Franklin Gothic Demi"/>
      <w:sz w:val="26"/>
      <w:szCs w:val="26"/>
    </w:rPr>
  </w:style>
  <w:style w:type="character" w:customStyle="1" w:styleId="111pt2">
    <w:name w:val="Îñíîâíîé òåêñò (11) + Èíòåðâàë 1 pt2"/>
    <w:uiPriority w:val="99"/>
    <w:rsid w:val="00BB6316"/>
    <w:rPr>
      <w:rFonts w:ascii="Microsoft Sans Serif" w:hAnsi="Microsoft Sans Serif" w:cs="Microsoft Sans Serif"/>
      <w:i/>
      <w:iCs/>
      <w:spacing w:val="30"/>
      <w:sz w:val="28"/>
      <w:szCs w:val="28"/>
    </w:rPr>
  </w:style>
  <w:style w:type="character" w:customStyle="1" w:styleId="1120">
    <w:name w:val="Îñíîâíîé òåêñò (11)2"/>
    <w:uiPriority w:val="99"/>
    <w:rsid w:val="00BB6316"/>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BB6316"/>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BB6316"/>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BB6316"/>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BB6316"/>
    <w:rPr>
      <w:rFonts w:ascii="Arial" w:hAnsi="Arial" w:cs="Arial"/>
      <w:i/>
      <w:iCs/>
      <w:spacing w:val="-10"/>
      <w:sz w:val="16"/>
      <w:szCs w:val="16"/>
    </w:rPr>
  </w:style>
  <w:style w:type="character" w:customStyle="1" w:styleId="2f1">
    <w:name w:val="Ïîäïèñü ê òàáëèöå (2)"/>
    <w:uiPriority w:val="99"/>
    <w:rsid w:val="00BB6316"/>
    <w:rPr>
      <w:rFonts w:ascii="Arial" w:hAnsi="Arial" w:cs="Arial"/>
      <w:sz w:val="14"/>
      <w:szCs w:val="14"/>
      <w:u w:val="single"/>
    </w:rPr>
  </w:style>
  <w:style w:type="character" w:customStyle="1" w:styleId="2f2">
    <w:name w:val="Ïîäïèñü ê òàáëèöå (2)_"/>
    <w:uiPriority w:val="99"/>
    <w:rsid w:val="00BB6316"/>
    <w:rPr>
      <w:rFonts w:ascii="Arial" w:hAnsi="Arial" w:cs="Arial"/>
      <w:sz w:val="14"/>
      <w:szCs w:val="14"/>
    </w:rPr>
  </w:style>
  <w:style w:type="character" w:customStyle="1" w:styleId="710">
    <w:name w:val="Îñíîâíîé òåêñò (7)10"/>
    <w:uiPriority w:val="99"/>
    <w:rsid w:val="00BB6316"/>
    <w:rPr>
      <w:rFonts w:ascii="Arial" w:hAnsi="Arial" w:cs="Arial"/>
      <w:i/>
      <w:iCs/>
      <w:spacing w:val="-10"/>
      <w:sz w:val="16"/>
      <w:szCs w:val="16"/>
      <w:u w:val="single"/>
    </w:rPr>
  </w:style>
  <w:style w:type="character" w:customStyle="1" w:styleId="77">
    <w:name w:val="Îñíîâíîé òåêñò (7)_"/>
    <w:uiPriority w:val="99"/>
    <w:rsid w:val="00BB6316"/>
    <w:rPr>
      <w:rFonts w:ascii="Arial" w:hAnsi="Arial" w:cs="Arial"/>
      <w:i/>
      <w:iCs/>
      <w:spacing w:val="-10"/>
      <w:sz w:val="16"/>
      <w:szCs w:val="16"/>
    </w:rPr>
  </w:style>
  <w:style w:type="character" w:customStyle="1" w:styleId="15ArialNarrow18">
    <w:name w:val="Îñíîâíîé òåêñò (15) + Arial Narrow.Êóðñèâ18"/>
    <w:uiPriority w:val="99"/>
    <w:rsid w:val="00BB6316"/>
    <w:rPr>
      <w:rFonts w:ascii="Arial Narrow" w:hAnsi="Arial Narrow" w:cs="Arial Narrow"/>
      <w:i/>
      <w:iCs/>
      <w:spacing w:val="0"/>
      <w:sz w:val="15"/>
      <w:szCs w:val="15"/>
    </w:rPr>
  </w:style>
  <w:style w:type="character" w:customStyle="1" w:styleId="151">
    <w:name w:val="Îñíîâíîé òåêñò (15)_"/>
    <w:uiPriority w:val="99"/>
    <w:rsid w:val="00BB6316"/>
    <w:rPr>
      <w:rFonts w:ascii="Garamond" w:hAnsi="Garamond" w:cs="Garamond"/>
      <w:sz w:val="13"/>
      <w:szCs w:val="13"/>
    </w:rPr>
  </w:style>
  <w:style w:type="character" w:customStyle="1" w:styleId="29Arial">
    <w:name w:val="Îñíîâíîé òåêñò (29) + Arial.Íå êóðñèâ"/>
    <w:uiPriority w:val="99"/>
    <w:rsid w:val="00BB6316"/>
    <w:rPr>
      <w:rFonts w:ascii="Arial" w:hAnsi="Arial" w:cs="Arial"/>
      <w:i/>
      <w:iCs/>
      <w:sz w:val="15"/>
      <w:szCs w:val="15"/>
    </w:rPr>
  </w:style>
  <w:style w:type="character" w:customStyle="1" w:styleId="3f0">
    <w:name w:val="Ïîäïèñü ê òàáëèöå (3)"/>
    <w:uiPriority w:val="99"/>
    <w:rsid w:val="00BB6316"/>
    <w:rPr>
      <w:rFonts w:ascii="Arial" w:hAnsi="Arial" w:cs="Arial"/>
      <w:i/>
      <w:iCs/>
      <w:spacing w:val="-10"/>
      <w:sz w:val="16"/>
      <w:szCs w:val="16"/>
      <w:u w:val="single"/>
    </w:rPr>
  </w:style>
  <w:style w:type="character" w:customStyle="1" w:styleId="3f1">
    <w:name w:val="Ïîäïèñü ê òàáëèöå (3)_"/>
    <w:uiPriority w:val="99"/>
    <w:rsid w:val="00BB6316"/>
    <w:rPr>
      <w:rFonts w:ascii="Arial" w:hAnsi="Arial" w:cs="Arial"/>
      <w:i/>
      <w:iCs/>
      <w:spacing w:val="-10"/>
      <w:sz w:val="16"/>
      <w:szCs w:val="16"/>
    </w:rPr>
  </w:style>
  <w:style w:type="character" w:customStyle="1" w:styleId="79">
    <w:name w:val="Îñíîâíîé òåêñò (7)9"/>
    <w:uiPriority w:val="99"/>
    <w:rsid w:val="00BB6316"/>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BB6316"/>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BB6316"/>
    <w:rPr>
      <w:rFonts w:ascii="Arial Narrow" w:hAnsi="Arial Narrow" w:cs="Arial Narrow"/>
      <w:i/>
      <w:iCs/>
      <w:sz w:val="15"/>
      <w:szCs w:val="15"/>
    </w:rPr>
  </w:style>
  <w:style w:type="character" w:customStyle="1" w:styleId="282">
    <w:name w:val="Îñíîâíîé òåêñò (28)_"/>
    <w:uiPriority w:val="99"/>
    <w:rsid w:val="00BB6316"/>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BB6316"/>
    <w:rPr>
      <w:rFonts w:ascii="SimHei" w:eastAsia="SimHei" w:cs="SimHei"/>
      <w:i/>
      <w:iCs/>
      <w:spacing w:val="-40"/>
      <w:sz w:val="35"/>
      <w:szCs w:val="35"/>
    </w:rPr>
  </w:style>
  <w:style w:type="character" w:customStyle="1" w:styleId="78">
    <w:name w:val="Îñíîâíîé òåêñò (7)8"/>
    <w:uiPriority w:val="99"/>
    <w:rsid w:val="00BB6316"/>
    <w:rPr>
      <w:rFonts w:ascii="Arial" w:hAnsi="Arial" w:cs="Arial"/>
      <w:i/>
      <w:iCs/>
      <w:spacing w:val="-10"/>
      <w:sz w:val="16"/>
      <w:szCs w:val="16"/>
      <w:u w:val="single"/>
    </w:rPr>
  </w:style>
  <w:style w:type="character" w:customStyle="1" w:styleId="315">
    <w:name w:val="Îñíîâíîé òåêñò (31) + Êóðñèâ"/>
    <w:uiPriority w:val="99"/>
    <w:rsid w:val="00BB6316"/>
    <w:rPr>
      <w:rFonts w:ascii="Arial" w:hAnsi="Arial" w:cs="Arial"/>
      <w:i/>
      <w:iCs/>
      <w:spacing w:val="0"/>
      <w:sz w:val="11"/>
      <w:szCs w:val="11"/>
    </w:rPr>
  </w:style>
  <w:style w:type="character" w:customStyle="1" w:styleId="303">
    <w:name w:val="Îñíîâíîé òåêñò (30) + Íå êóðñèâ"/>
    <w:uiPriority w:val="99"/>
    <w:rsid w:val="00BB6316"/>
    <w:rPr>
      <w:rFonts w:ascii="Arial" w:hAnsi="Arial" w:cs="Arial"/>
      <w:i/>
      <w:iCs/>
      <w:sz w:val="11"/>
      <w:szCs w:val="11"/>
    </w:rPr>
  </w:style>
  <w:style w:type="character" w:customStyle="1" w:styleId="85pt2415">
    <w:name w:val="Îñíîâíîé òåêñò + 8.5 pt24.Ïîëóæèðíûé15"/>
    <w:uiPriority w:val="99"/>
    <w:rsid w:val="00BB6316"/>
    <w:rPr>
      <w:rFonts w:ascii="Arial" w:hAnsi="Arial" w:cs="Arial"/>
      <w:b/>
      <w:bCs/>
      <w:spacing w:val="0"/>
      <w:sz w:val="17"/>
      <w:szCs w:val="17"/>
    </w:rPr>
  </w:style>
  <w:style w:type="character" w:customStyle="1" w:styleId="20pt15">
    <w:name w:val="Îñíîâíîé òåêñò + Êóðñèâ2.Èíòåðâàë 0 pt15"/>
    <w:uiPriority w:val="99"/>
    <w:rsid w:val="00BB6316"/>
    <w:rPr>
      <w:rFonts w:ascii="Arial" w:hAnsi="Arial" w:cs="Arial"/>
      <w:i/>
      <w:iCs/>
      <w:spacing w:val="-10"/>
      <w:sz w:val="16"/>
      <w:szCs w:val="16"/>
    </w:rPr>
  </w:style>
  <w:style w:type="character" w:customStyle="1" w:styleId="3010">
    <w:name w:val="Îñíîâíîé òåêñò (30) + Íå êóðñèâ1"/>
    <w:uiPriority w:val="99"/>
    <w:rsid w:val="00BB6316"/>
    <w:rPr>
      <w:rFonts w:ascii="Arial" w:hAnsi="Arial" w:cs="Arial"/>
      <w:i/>
      <w:iCs/>
      <w:sz w:val="11"/>
      <w:szCs w:val="11"/>
    </w:rPr>
  </w:style>
  <w:style w:type="character" w:customStyle="1" w:styleId="3110">
    <w:name w:val="Îñíîâíîé òåêñò (31) + Êóðñèâ1"/>
    <w:uiPriority w:val="99"/>
    <w:rsid w:val="00BB6316"/>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BB6316"/>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BB6316"/>
    <w:rPr>
      <w:rFonts w:ascii="Arial" w:hAnsi="Arial" w:cs="Arial"/>
      <w:i/>
      <w:iCs/>
      <w:spacing w:val="0"/>
      <w:sz w:val="16"/>
      <w:szCs w:val="16"/>
    </w:rPr>
  </w:style>
  <w:style w:type="character" w:customStyle="1" w:styleId="770">
    <w:name w:val="Îñíîâíîé òåêñò (7)7"/>
    <w:uiPriority w:val="99"/>
    <w:rsid w:val="00BB6316"/>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BB6316"/>
    <w:rPr>
      <w:rFonts w:ascii="Arial Narrow" w:hAnsi="Arial Narrow" w:cs="Arial Narrow"/>
      <w:b/>
      <w:bCs/>
      <w:spacing w:val="0"/>
      <w:sz w:val="85"/>
      <w:szCs w:val="85"/>
    </w:rPr>
  </w:style>
  <w:style w:type="character" w:customStyle="1" w:styleId="760">
    <w:name w:val="Îñíîâíîé òåêñò (7)6"/>
    <w:uiPriority w:val="99"/>
    <w:rsid w:val="00BB6316"/>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BB6316"/>
    <w:rPr>
      <w:rFonts w:ascii="Arial" w:hAnsi="Arial" w:cs="Arial"/>
      <w:i/>
      <w:iCs/>
      <w:spacing w:val="0"/>
      <w:sz w:val="16"/>
      <w:szCs w:val="16"/>
    </w:rPr>
  </w:style>
  <w:style w:type="character" w:customStyle="1" w:styleId="750">
    <w:name w:val="Îñíîâíîé òåêñò (7)5"/>
    <w:uiPriority w:val="99"/>
    <w:rsid w:val="00BB6316"/>
    <w:rPr>
      <w:rFonts w:ascii="Arial" w:hAnsi="Arial" w:cs="Arial"/>
      <w:i/>
      <w:iCs/>
      <w:spacing w:val="-10"/>
      <w:sz w:val="16"/>
      <w:szCs w:val="16"/>
      <w:u w:val="single"/>
    </w:rPr>
  </w:style>
  <w:style w:type="character" w:customStyle="1" w:styleId="740">
    <w:name w:val="Îñíîâíîé òåêñò (7)4"/>
    <w:uiPriority w:val="99"/>
    <w:rsid w:val="00BB6316"/>
    <w:rPr>
      <w:rFonts w:ascii="Arial" w:hAnsi="Arial" w:cs="Arial"/>
      <w:i/>
      <w:iCs/>
      <w:spacing w:val="-10"/>
      <w:sz w:val="16"/>
      <w:szCs w:val="16"/>
      <w:u w:val="single"/>
    </w:rPr>
  </w:style>
  <w:style w:type="character" w:customStyle="1" w:styleId="730">
    <w:name w:val="Îñíîâíîé òåêñò (7)3"/>
    <w:uiPriority w:val="99"/>
    <w:rsid w:val="00BB6316"/>
    <w:rPr>
      <w:rFonts w:ascii="Arial" w:hAnsi="Arial" w:cs="Arial"/>
      <w:i/>
      <w:iCs/>
      <w:spacing w:val="-10"/>
      <w:sz w:val="16"/>
      <w:szCs w:val="16"/>
      <w:u w:val="single"/>
    </w:rPr>
  </w:style>
  <w:style w:type="character" w:customStyle="1" w:styleId="720">
    <w:name w:val="Îñíîâíîé òåêñò (7)2"/>
    <w:uiPriority w:val="99"/>
    <w:rsid w:val="00BB6316"/>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BB6316"/>
    <w:rPr>
      <w:rFonts w:ascii="Franklin Gothic Demi" w:hAnsi="Franklin Gothic Demi" w:cs="Franklin Gothic Demi"/>
      <w:i/>
      <w:iCs/>
      <w:spacing w:val="0"/>
      <w:sz w:val="26"/>
      <w:szCs w:val="26"/>
    </w:rPr>
  </w:style>
  <w:style w:type="character" w:customStyle="1" w:styleId="222">
    <w:name w:val="Îñíîâíîé òåêñò (22)"/>
    <w:uiPriority w:val="99"/>
    <w:rsid w:val="00BB6316"/>
    <w:rPr>
      <w:rFonts w:ascii="Arial" w:hAnsi="Arial" w:cs="Arial"/>
      <w:i/>
      <w:iCs/>
      <w:spacing w:val="-10"/>
      <w:sz w:val="17"/>
      <w:szCs w:val="17"/>
      <w:u w:val="single"/>
    </w:rPr>
  </w:style>
  <w:style w:type="character" w:customStyle="1" w:styleId="223">
    <w:name w:val="Îñíîâíîé òåêñò (22)_"/>
    <w:uiPriority w:val="99"/>
    <w:rsid w:val="00BB6316"/>
    <w:rPr>
      <w:rFonts w:ascii="Arial" w:hAnsi="Arial" w:cs="Arial"/>
      <w:i/>
      <w:iCs/>
      <w:spacing w:val="-10"/>
      <w:sz w:val="17"/>
      <w:szCs w:val="17"/>
    </w:rPr>
  </w:style>
  <w:style w:type="character" w:customStyle="1" w:styleId="2260pt23">
    <w:name w:val="Îñíîâíîé òåêñò (22) + Íå êóðñèâ6.Èíòåðâàë 0 pt23"/>
    <w:uiPriority w:val="99"/>
    <w:rsid w:val="00BB6316"/>
    <w:rPr>
      <w:rFonts w:ascii="Arial" w:hAnsi="Arial" w:cs="Arial"/>
      <w:i/>
      <w:iCs/>
      <w:spacing w:val="0"/>
      <w:sz w:val="17"/>
      <w:szCs w:val="17"/>
    </w:rPr>
  </w:style>
  <w:style w:type="character" w:customStyle="1" w:styleId="225">
    <w:name w:val="Îñíîâíîé òåêñò (22)5"/>
    <w:uiPriority w:val="99"/>
    <w:rsid w:val="00BB6316"/>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BB6316"/>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BB6316"/>
    <w:rPr>
      <w:rFonts w:ascii="Arial" w:hAnsi="Arial" w:cs="Arial"/>
      <w:i/>
      <w:iCs/>
      <w:spacing w:val="-10"/>
      <w:sz w:val="17"/>
      <w:szCs w:val="17"/>
    </w:rPr>
  </w:style>
  <w:style w:type="character" w:customStyle="1" w:styleId="2250pt21">
    <w:name w:val="Îñíîâíîé òåêñò (22) + Íå êóðñèâ5.Èíòåðâàë 0 pt21"/>
    <w:uiPriority w:val="99"/>
    <w:rsid w:val="00BB6316"/>
    <w:rPr>
      <w:rFonts w:ascii="Arial" w:hAnsi="Arial" w:cs="Arial"/>
      <w:i/>
      <w:iCs/>
      <w:spacing w:val="0"/>
      <w:sz w:val="17"/>
      <w:szCs w:val="17"/>
    </w:rPr>
  </w:style>
  <w:style w:type="character" w:customStyle="1" w:styleId="224">
    <w:name w:val="Îñíîâíîé òåêñò (22)4"/>
    <w:uiPriority w:val="99"/>
    <w:rsid w:val="00BB6316"/>
    <w:rPr>
      <w:rFonts w:ascii="Arial" w:hAnsi="Arial" w:cs="Arial"/>
      <w:i/>
      <w:iCs/>
      <w:spacing w:val="-10"/>
      <w:sz w:val="17"/>
      <w:szCs w:val="17"/>
      <w:u w:val="single"/>
    </w:rPr>
  </w:style>
  <w:style w:type="character" w:customStyle="1" w:styleId="7Tahoma925pt20">
    <w:name w:val="Çàãîëîâîê ¹7 + Tahoma.92.5 pt20"/>
    <w:uiPriority w:val="99"/>
    <w:rsid w:val="00BB6316"/>
    <w:rPr>
      <w:rFonts w:ascii="Tahoma" w:hAnsi="Tahoma" w:cs="Tahoma"/>
      <w:sz w:val="19"/>
      <w:szCs w:val="19"/>
    </w:rPr>
  </w:style>
  <w:style w:type="character" w:customStyle="1" w:styleId="7a">
    <w:name w:val="Çàãîëîâîê ¹7_"/>
    <w:uiPriority w:val="99"/>
    <w:rsid w:val="00BB6316"/>
    <w:rPr>
      <w:rFonts w:ascii="Arial" w:hAnsi="Arial" w:cs="Arial"/>
      <w:sz w:val="16"/>
      <w:szCs w:val="16"/>
    </w:rPr>
  </w:style>
  <w:style w:type="character" w:customStyle="1" w:styleId="2230">
    <w:name w:val="Îñíîâíîé òåêñò (22)3"/>
    <w:uiPriority w:val="99"/>
    <w:rsid w:val="00BB6316"/>
    <w:rPr>
      <w:rFonts w:ascii="Arial" w:hAnsi="Arial" w:cs="Arial"/>
      <w:i/>
      <w:iCs/>
      <w:spacing w:val="-10"/>
      <w:sz w:val="17"/>
      <w:szCs w:val="17"/>
      <w:u w:val="single"/>
    </w:rPr>
  </w:style>
  <w:style w:type="character" w:customStyle="1" w:styleId="70pt20">
    <w:name w:val="Îñíîâíîé òåêñò + Êóðñèâ7.Èíòåðâàë 0 pt20"/>
    <w:uiPriority w:val="99"/>
    <w:rsid w:val="00BB6316"/>
    <w:rPr>
      <w:rFonts w:ascii="Arial" w:hAnsi="Arial" w:cs="Arial"/>
      <w:i/>
      <w:iCs/>
      <w:spacing w:val="-10"/>
      <w:sz w:val="17"/>
      <w:szCs w:val="17"/>
    </w:rPr>
  </w:style>
  <w:style w:type="character" w:customStyle="1" w:styleId="2240pt19">
    <w:name w:val="Îñíîâíîé òåêñò (22) + Íå êóðñèâ4.Èíòåðâàë 0 pt19"/>
    <w:uiPriority w:val="99"/>
    <w:rsid w:val="00BB6316"/>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BB6316"/>
    <w:rPr>
      <w:rFonts w:ascii="Arial" w:hAnsi="Arial" w:cs="Arial"/>
      <w:i/>
      <w:iCs/>
      <w:spacing w:val="-10"/>
      <w:sz w:val="16"/>
      <w:szCs w:val="16"/>
    </w:rPr>
  </w:style>
  <w:style w:type="character" w:customStyle="1" w:styleId="SimHei735pt19">
    <w:name w:val="Îñíîâíîé òåêñò + SimHei.73.5 pt19"/>
    <w:uiPriority w:val="99"/>
    <w:rsid w:val="00BB6316"/>
    <w:rPr>
      <w:rFonts w:ascii="SimHei" w:eastAsia="SimHei" w:hAnsi="Microsoft Sans Serif" w:cs="SimHei"/>
      <w:spacing w:val="0"/>
      <w:sz w:val="15"/>
      <w:szCs w:val="15"/>
    </w:rPr>
  </w:style>
  <w:style w:type="character" w:customStyle="1" w:styleId="2220">
    <w:name w:val="Îñíîâíîé òåêñò (22)2"/>
    <w:uiPriority w:val="99"/>
    <w:rsid w:val="00BB6316"/>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BB6316"/>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BB6316"/>
    <w:rPr>
      <w:rFonts w:ascii="Arial" w:hAnsi="Arial" w:cs="Arial"/>
      <w:i/>
      <w:iCs/>
      <w:spacing w:val="0"/>
      <w:sz w:val="16"/>
      <w:szCs w:val="16"/>
    </w:rPr>
  </w:style>
  <w:style w:type="paragraph" w:customStyle="1" w:styleId="3f2">
    <w:name w:val="Çàãîëîâîê ¹3"/>
    <w:basedOn w:val="a"/>
    <w:uiPriority w:val="99"/>
    <w:rsid w:val="00BB6316"/>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110">
    <w:name w:val="Îñíîâíîé òåêñò (11)1"/>
    <w:basedOn w:val="a"/>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1410">
    <w:name w:val="Îñíîâíîé òåêñò (14)1"/>
    <w:basedOn w:val="a"/>
    <w:uiPriority w:val="99"/>
    <w:rsid w:val="00BB6316"/>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1">
    <w:name w:val="Îñíîâíîé òåêñò (16)"/>
    <w:basedOn w:val="a"/>
    <w:uiPriority w:val="99"/>
    <w:rsid w:val="00BB6316"/>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a">
    <w:name w:val="Ïîäïèñü ê òàáëèöå"/>
    <w:basedOn w:val="a"/>
    <w:uiPriority w:val="99"/>
    <w:rsid w:val="00BB6316"/>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0">
    <w:name w:val="Îñíîâíîé òåêñò (19)"/>
    <w:basedOn w:val="a"/>
    <w:uiPriority w:val="99"/>
    <w:rsid w:val="00BB6316"/>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3">
    <w:name w:val="Îñíîâíîé òåêñò (2)1"/>
    <w:basedOn w:val="a"/>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4">
    <w:name w:val="Çàãîëîâîê ¹1"/>
    <w:basedOn w:val="a"/>
    <w:uiPriority w:val="99"/>
    <w:rsid w:val="00BB6316"/>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2">
    <w:name w:val="Çàãîëîâîê ¹15"/>
    <w:basedOn w:val="a"/>
    <w:uiPriority w:val="99"/>
    <w:rsid w:val="00BB6316"/>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5">
    <w:name w:val="Ïîäïèñü ê êàðòèíêå1"/>
    <w:basedOn w:val="a"/>
    <w:uiPriority w:val="99"/>
    <w:rsid w:val="00BB6316"/>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3">
    <w:name w:val="Ïîäïèñü ê êàðòèíêå (12)"/>
    <w:basedOn w:val="a"/>
    <w:uiPriority w:val="99"/>
    <w:rsid w:val="00BB6316"/>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b">
    <w:name w:val="Ïîäïèñü ê êàðòèíêå (7)"/>
    <w:basedOn w:val="a"/>
    <w:uiPriority w:val="99"/>
    <w:rsid w:val="00BB6316"/>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811">
    <w:name w:val="Îñíîâíîé òåêñò (8)1"/>
    <w:basedOn w:val="a"/>
    <w:uiPriority w:val="99"/>
    <w:rsid w:val="00BB6316"/>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2f3">
    <w:name w:val="Çàãîëîâîê ¹2"/>
    <w:basedOn w:val="a"/>
    <w:uiPriority w:val="99"/>
    <w:rsid w:val="00BB6316"/>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4">
    <w:name w:val="Ïîäïèñü ê òàáëèöå (2)1"/>
    <w:basedOn w:val="a"/>
    <w:uiPriority w:val="99"/>
    <w:rsid w:val="00BB6316"/>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3">
    <w:name w:val="Îñíîâíîé òåêñò (28)"/>
    <w:basedOn w:val="a"/>
    <w:uiPriority w:val="99"/>
    <w:rsid w:val="00BB6316"/>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
    <w:uiPriority w:val="99"/>
    <w:rsid w:val="00BB6316"/>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
    <w:uiPriority w:val="99"/>
    <w:rsid w:val="00BB6316"/>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6">
    <w:name w:val="Ïîäïèñü ê òàáëèöå (3)1"/>
    <w:basedOn w:val="a"/>
    <w:uiPriority w:val="99"/>
    <w:rsid w:val="00BB6316"/>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
    <w:uiPriority w:val="99"/>
    <w:rsid w:val="00BB6316"/>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a">
    <w:name w:val="Çàãîëîâîê ¹4"/>
    <w:basedOn w:val="a"/>
    <w:uiPriority w:val="99"/>
    <w:rsid w:val="00BB6316"/>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
    <w:uiPriority w:val="99"/>
    <w:rsid w:val="00BB6316"/>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7c">
    <w:name w:val="Çàãîëîâîê ¹7"/>
    <w:basedOn w:val="a"/>
    <w:uiPriority w:val="99"/>
    <w:rsid w:val="00BB6316"/>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1">
    <w:name w:val="Îñíîâíîé òåêñò (33)"/>
    <w:basedOn w:val="a"/>
    <w:uiPriority w:val="99"/>
    <w:rsid w:val="00BB6316"/>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2">
    <w:name w:val="Îñíîâíîé òåêñò (34)"/>
    <w:basedOn w:val="a"/>
    <w:uiPriority w:val="99"/>
    <w:rsid w:val="00BB6316"/>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1">
    <w:name w:val="Îñíîâíîé òåêñò (35)"/>
    <w:basedOn w:val="a"/>
    <w:uiPriority w:val="99"/>
    <w:rsid w:val="00BB6316"/>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
    <w:name w:val="Îñíîâíîé òåêñò (25)1"/>
    <w:basedOn w:val="a"/>
    <w:uiPriority w:val="99"/>
    <w:rsid w:val="00BB6316"/>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1">
    <w:name w:val="Çàãîëîâîê ¹9"/>
    <w:basedOn w:val="a"/>
    <w:uiPriority w:val="99"/>
    <w:rsid w:val="00BB6316"/>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4">
    <w:name w:val="Îñíîâíîé òåêñò (2)_"/>
    <w:uiPriority w:val="99"/>
    <w:rsid w:val="00BB6316"/>
    <w:rPr>
      <w:rFonts w:ascii="Arial" w:hAnsi="Arial" w:cs="Arial"/>
      <w:i/>
      <w:iCs/>
      <w:spacing w:val="-10"/>
      <w:sz w:val="16"/>
      <w:szCs w:val="16"/>
    </w:rPr>
  </w:style>
  <w:style w:type="character" w:customStyle="1" w:styleId="20pt29">
    <w:name w:val="Îñíîâíîé òåêñò (2) + Íå êóðñèâ.Èíòåðâàë 0 pt29"/>
    <w:uiPriority w:val="99"/>
    <w:rsid w:val="00BB6316"/>
    <w:rPr>
      <w:rFonts w:ascii="Arial" w:hAnsi="Arial" w:cs="Arial"/>
      <w:i/>
      <w:iCs/>
      <w:spacing w:val="0"/>
      <w:sz w:val="16"/>
      <w:szCs w:val="16"/>
    </w:rPr>
  </w:style>
  <w:style w:type="character" w:customStyle="1" w:styleId="284">
    <w:name w:val="Îñíîâíîé òåêñò (2)8"/>
    <w:uiPriority w:val="99"/>
    <w:rsid w:val="00BB6316"/>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BB6316"/>
    <w:rPr>
      <w:rFonts w:ascii="SimHei" w:eastAsia="SimHei" w:hAnsi="Arial" w:cs="SimHei"/>
      <w:i/>
      <w:iCs/>
      <w:spacing w:val="0"/>
      <w:sz w:val="15"/>
      <w:szCs w:val="15"/>
    </w:rPr>
  </w:style>
  <w:style w:type="character" w:customStyle="1" w:styleId="272">
    <w:name w:val="Îñíîâíîé òåêñò (2)7"/>
    <w:uiPriority w:val="99"/>
    <w:rsid w:val="00BB6316"/>
    <w:rPr>
      <w:rFonts w:ascii="Arial" w:hAnsi="Arial" w:cs="Arial"/>
      <w:i/>
      <w:iCs/>
      <w:spacing w:val="-10"/>
      <w:sz w:val="16"/>
      <w:szCs w:val="16"/>
      <w:u w:val="single"/>
    </w:rPr>
  </w:style>
  <w:style w:type="character" w:customStyle="1" w:styleId="261">
    <w:name w:val="Îñíîâíîé òåêñò (2)6"/>
    <w:uiPriority w:val="99"/>
    <w:rsid w:val="00BB6316"/>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BB6316"/>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BB6316"/>
    <w:rPr>
      <w:rFonts w:ascii="Bookman Old Style" w:hAnsi="Bookman Old Style" w:cs="Bookman Old Style"/>
      <w:i/>
      <w:iCs/>
      <w:spacing w:val="0"/>
      <w:sz w:val="17"/>
      <w:szCs w:val="17"/>
    </w:rPr>
  </w:style>
  <w:style w:type="character" w:customStyle="1" w:styleId="3f3">
    <w:name w:val="Çàãîëîâîê ¹3_"/>
    <w:uiPriority w:val="99"/>
    <w:rsid w:val="00BB6316"/>
    <w:rPr>
      <w:rFonts w:ascii="Arial Narrow" w:hAnsi="Arial Narrow" w:cs="Arial Narrow"/>
      <w:b/>
      <w:bCs/>
      <w:i/>
      <w:iCs/>
      <w:spacing w:val="-50"/>
      <w:sz w:val="51"/>
      <w:szCs w:val="51"/>
    </w:rPr>
  </w:style>
  <w:style w:type="character" w:customStyle="1" w:styleId="3-1pt">
    <w:name w:val="Çàãîëîâîê ¹3 + Èíòåðâàë -1 pt"/>
    <w:uiPriority w:val="99"/>
    <w:rsid w:val="00BB6316"/>
    <w:rPr>
      <w:rFonts w:ascii="Arial Narrow" w:hAnsi="Arial Narrow" w:cs="Arial Narrow"/>
      <w:b/>
      <w:bCs/>
      <w:i/>
      <w:iCs/>
      <w:spacing w:val="-30"/>
      <w:sz w:val="51"/>
      <w:szCs w:val="51"/>
    </w:rPr>
  </w:style>
  <w:style w:type="character" w:customStyle="1" w:styleId="65">
    <w:name w:val="Çàãîëîâîê ¹6_"/>
    <w:uiPriority w:val="99"/>
    <w:rsid w:val="00BB6316"/>
    <w:rPr>
      <w:rFonts w:ascii="Tahoma" w:hAnsi="Tahoma" w:cs="Tahoma"/>
      <w:sz w:val="31"/>
      <w:szCs w:val="31"/>
    </w:rPr>
  </w:style>
  <w:style w:type="paragraph" w:customStyle="1" w:styleId="66">
    <w:name w:val="Çàãîëîâîê ¹6"/>
    <w:basedOn w:val="a"/>
    <w:uiPriority w:val="99"/>
    <w:rsid w:val="00BB6316"/>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2">
    <w:name w:val="Îñíîâíîé òåêñò (26)_"/>
    <w:uiPriority w:val="99"/>
    <w:rsid w:val="00BB6316"/>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BB6316"/>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BB6316"/>
    <w:rPr>
      <w:rFonts w:ascii="SimHei" w:eastAsia="SimHei" w:hAnsi="Arial" w:cs="SimHei"/>
      <w:i/>
      <w:iCs/>
      <w:spacing w:val="0"/>
      <w:sz w:val="15"/>
      <w:szCs w:val="15"/>
    </w:rPr>
  </w:style>
  <w:style w:type="character" w:customStyle="1" w:styleId="252">
    <w:name w:val="Îñíîâíîé òåêñò (2)5"/>
    <w:uiPriority w:val="99"/>
    <w:rsid w:val="00BB6316"/>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BB6316"/>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BB6316"/>
    <w:rPr>
      <w:rFonts w:ascii="SimHei" w:eastAsia="SimHei" w:hAnsi="Arial" w:cs="SimHei"/>
      <w:i/>
      <w:iCs/>
      <w:spacing w:val="0"/>
      <w:sz w:val="14"/>
      <w:szCs w:val="14"/>
    </w:rPr>
  </w:style>
  <w:style w:type="character" w:customStyle="1" w:styleId="241">
    <w:name w:val="Îñíîâíîé òåêñò (2)4"/>
    <w:uiPriority w:val="99"/>
    <w:rsid w:val="00BB6316"/>
    <w:rPr>
      <w:rFonts w:ascii="Arial" w:hAnsi="Arial" w:cs="Arial"/>
      <w:i/>
      <w:iCs/>
      <w:spacing w:val="-10"/>
      <w:sz w:val="16"/>
      <w:szCs w:val="16"/>
      <w:u w:val="single"/>
    </w:rPr>
  </w:style>
  <w:style w:type="character" w:customStyle="1" w:styleId="230">
    <w:name w:val="Îñíîâíîé òåêñò (2)3"/>
    <w:uiPriority w:val="99"/>
    <w:rsid w:val="00BB6316"/>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BB6316"/>
    <w:rPr>
      <w:rFonts w:ascii="Arial" w:hAnsi="Arial" w:cs="Arial"/>
      <w:i/>
      <w:iCs/>
      <w:spacing w:val="0"/>
      <w:sz w:val="16"/>
      <w:szCs w:val="16"/>
    </w:rPr>
  </w:style>
  <w:style w:type="character" w:customStyle="1" w:styleId="226">
    <w:name w:val="Îñíîâíîé òåêñò (2)2"/>
    <w:uiPriority w:val="99"/>
    <w:rsid w:val="00BB6316"/>
    <w:rPr>
      <w:rFonts w:ascii="Arial" w:hAnsi="Arial" w:cs="Arial"/>
      <w:i/>
      <w:iCs/>
      <w:spacing w:val="-10"/>
      <w:sz w:val="16"/>
      <w:szCs w:val="16"/>
      <w:u w:val="single"/>
    </w:rPr>
  </w:style>
  <w:style w:type="character" w:customStyle="1" w:styleId="92">
    <w:name w:val="Îñíîâíîé òåêñò (9)_"/>
    <w:uiPriority w:val="99"/>
    <w:rsid w:val="00BB6316"/>
    <w:rPr>
      <w:rFonts w:ascii="Arial" w:hAnsi="Arial" w:cs="Arial"/>
      <w:i/>
      <w:iCs/>
      <w:sz w:val="14"/>
      <w:szCs w:val="14"/>
    </w:rPr>
  </w:style>
  <w:style w:type="paragraph" w:customStyle="1" w:styleId="910">
    <w:name w:val="Îñíîâíîé òåêñò (9)1"/>
    <w:basedOn w:val="a"/>
    <w:uiPriority w:val="99"/>
    <w:rsid w:val="00BB6316"/>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9">
    <w:name w:val="Çàãîëîâîê ¹5_"/>
    <w:uiPriority w:val="99"/>
    <w:rsid w:val="00BB6316"/>
    <w:rPr>
      <w:rFonts w:ascii="Tahoma" w:hAnsi="Tahoma" w:cs="Tahoma"/>
      <w:sz w:val="31"/>
      <w:szCs w:val="31"/>
    </w:rPr>
  </w:style>
  <w:style w:type="character" w:customStyle="1" w:styleId="100pt19">
    <w:name w:val="Îñíîâíîé òåêñò + Êóðñèâ10.Èíòåðâàë 0 pt19"/>
    <w:uiPriority w:val="99"/>
    <w:rsid w:val="00BB6316"/>
    <w:rPr>
      <w:rFonts w:ascii="Arial" w:hAnsi="Arial" w:cs="Arial"/>
      <w:i/>
      <w:iCs/>
      <w:spacing w:val="-10"/>
      <w:sz w:val="16"/>
      <w:szCs w:val="16"/>
    </w:rPr>
  </w:style>
  <w:style w:type="paragraph" w:customStyle="1" w:styleId="5a">
    <w:name w:val="Çàãîëîâîê ¹5"/>
    <w:basedOn w:val="a"/>
    <w:uiPriority w:val="99"/>
    <w:rsid w:val="00BB6316"/>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b">
    <w:name w:val="Îñíîâíîé òåêñò (5)_"/>
    <w:uiPriority w:val="99"/>
    <w:rsid w:val="00BB6316"/>
    <w:rPr>
      <w:i/>
      <w:iCs/>
      <w:sz w:val="16"/>
      <w:szCs w:val="16"/>
    </w:rPr>
  </w:style>
  <w:style w:type="character" w:customStyle="1" w:styleId="5136">
    <w:name w:val="Îñíîâíîé òåêñò (5)136"/>
    <w:uiPriority w:val="99"/>
    <w:rsid w:val="00BB6316"/>
    <w:rPr>
      <w:i/>
      <w:iCs/>
      <w:sz w:val="16"/>
      <w:szCs w:val="16"/>
    </w:rPr>
  </w:style>
  <w:style w:type="character" w:customStyle="1" w:styleId="58545pt75630pt128">
    <w:name w:val="Îñíîâíîé òåêñò (5) + 854.5 pt75.Íå êóðñèâ63.Èíòåðâàë 0 pt128"/>
    <w:uiPriority w:val="99"/>
    <w:rsid w:val="00BB6316"/>
    <w:rPr>
      <w:i/>
      <w:iCs/>
      <w:spacing w:val="-10"/>
      <w:sz w:val="17"/>
      <w:szCs w:val="17"/>
    </w:rPr>
  </w:style>
  <w:style w:type="character" w:customStyle="1" w:styleId="5133">
    <w:name w:val="Îñíîâíîé òåêñò (5)133"/>
    <w:uiPriority w:val="99"/>
    <w:rsid w:val="00BB6316"/>
    <w:rPr>
      <w:rFonts w:ascii="Arial Unicode MS" w:eastAsia="Arial Unicode MS" w:cs="Arial Unicode MS"/>
      <w:i/>
      <w:iCs/>
      <w:noProof/>
      <w:sz w:val="16"/>
      <w:szCs w:val="16"/>
    </w:rPr>
  </w:style>
  <w:style w:type="character" w:customStyle="1" w:styleId="5132">
    <w:name w:val="Îñíîâíîé òåêñò (5)132"/>
    <w:uiPriority w:val="99"/>
    <w:rsid w:val="00BB6316"/>
    <w:rPr>
      <w:rFonts w:ascii="Arial Unicode MS" w:eastAsia="Arial Unicode MS" w:cs="Arial Unicode MS"/>
      <w:i/>
      <w:iCs/>
      <w:noProof/>
      <w:sz w:val="16"/>
      <w:szCs w:val="16"/>
    </w:rPr>
  </w:style>
  <w:style w:type="character" w:customStyle="1" w:styleId="5131">
    <w:name w:val="Îñíîâíîé òåêñò (5)131"/>
    <w:uiPriority w:val="99"/>
    <w:rsid w:val="00BB6316"/>
    <w:rPr>
      <w:i/>
      <w:iCs/>
      <w:sz w:val="16"/>
      <w:szCs w:val="16"/>
    </w:rPr>
  </w:style>
  <w:style w:type="character" w:customStyle="1" w:styleId="5130">
    <w:name w:val="Îñíîâíîé òåêñò (5)130"/>
    <w:uiPriority w:val="99"/>
    <w:rsid w:val="00BB6316"/>
    <w:rPr>
      <w:rFonts w:ascii="Arial Unicode MS" w:eastAsia="Arial Unicode MS" w:cs="Arial Unicode MS"/>
      <w:i/>
      <w:iCs/>
      <w:noProof/>
      <w:sz w:val="16"/>
      <w:szCs w:val="16"/>
    </w:rPr>
  </w:style>
  <w:style w:type="paragraph" w:customStyle="1" w:styleId="513">
    <w:name w:val="Îñíîâíîé òåêñò (5)1"/>
    <w:basedOn w:val="a"/>
    <w:uiPriority w:val="99"/>
    <w:rsid w:val="00BB6316"/>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BB6316"/>
    <w:rPr>
      <w:i/>
      <w:iCs/>
      <w:spacing w:val="0"/>
      <w:sz w:val="16"/>
      <w:szCs w:val="16"/>
    </w:rPr>
  </w:style>
  <w:style w:type="character" w:customStyle="1" w:styleId="5116">
    <w:name w:val="Îñíîâíîé òåêñò (5)116"/>
    <w:uiPriority w:val="99"/>
    <w:rsid w:val="00BB6316"/>
    <w:rPr>
      <w:i/>
      <w:iCs/>
      <w:spacing w:val="0"/>
      <w:sz w:val="16"/>
      <w:szCs w:val="16"/>
    </w:rPr>
  </w:style>
  <w:style w:type="character" w:customStyle="1" w:styleId="5113">
    <w:name w:val="Îñíîâíîé òåêñò (5)113"/>
    <w:uiPriority w:val="99"/>
    <w:rsid w:val="00BB6316"/>
    <w:rPr>
      <w:i/>
      <w:iCs/>
      <w:spacing w:val="0"/>
      <w:sz w:val="16"/>
      <w:szCs w:val="16"/>
      <w:u w:val="single"/>
    </w:rPr>
  </w:style>
  <w:style w:type="character" w:customStyle="1" w:styleId="5106">
    <w:name w:val="Îñíîâíîé òåêñò (5)106"/>
    <w:uiPriority w:val="99"/>
    <w:rsid w:val="00BB6316"/>
    <w:rPr>
      <w:i/>
      <w:iCs/>
      <w:spacing w:val="0"/>
      <w:sz w:val="16"/>
      <w:szCs w:val="16"/>
    </w:rPr>
  </w:style>
  <w:style w:type="character" w:customStyle="1" w:styleId="5105">
    <w:name w:val="Îñíîâíîé òåêñò (5)105"/>
    <w:uiPriority w:val="99"/>
    <w:rsid w:val="00BB6316"/>
    <w:rPr>
      <w:rFonts w:ascii="Arial Unicode MS" w:eastAsia="Arial Unicode MS" w:cs="Arial Unicode MS"/>
      <w:i/>
      <w:iCs/>
      <w:noProof/>
      <w:spacing w:val="0"/>
      <w:sz w:val="16"/>
      <w:szCs w:val="16"/>
    </w:rPr>
  </w:style>
  <w:style w:type="character" w:customStyle="1" w:styleId="5104">
    <w:name w:val="Îñíîâíîé òåêñò (5)104"/>
    <w:uiPriority w:val="99"/>
    <w:rsid w:val="00BB6316"/>
    <w:rPr>
      <w:i/>
      <w:iCs/>
      <w:spacing w:val="0"/>
      <w:sz w:val="16"/>
      <w:szCs w:val="16"/>
      <w:u w:val="single"/>
    </w:rPr>
  </w:style>
  <w:style w:type="character" w:customStyle="1" w:styleId="5103">
    <w:name w:val="Îñíîâíîé òåêñò (5)103"/>
    <w:uiPriority w:val="99"/>
    <w:rsid w:val="00BB6316"/>
    <w:rPr>
      <w:rFonts w:ascii="Arial Unicode MS" w:eastAsia="Arial Unicode MS" w:cs="Arial Unicode MS"/>
      <w:i/>
      <w:iCs/>
      <w:noProof/>
      <w:spacing w:val="0"/>
      <w:sz w:val="16"/>
      <w:szCs w:val="16"/>
    </w:rPr>
  </w:style>
  <w:style w:type="character" w:customStyle="1" w:styleId="5102">
    <w:name w:val="Îñíîâíîé òåêñò (5)102"/>
    <w:uiPriority w:val="99"/>
    <w:rsid w:val="00BB6316"/>
    <w:rPr>
      <w:rFonts w:ascii="Arial Unicode MS" w:eastAsia="Arial Unicode MS" w:cs="Arial Unicode MS"/>
      <w:i/>
      <w:iCs/>
      <w:noProof/>
      <w:spacing w:val="0"/>
      <w:sz w:val="16"/>
      <w:szCs w:val="16"/>
    </w:rPr>
  </w:style>
  <w:style w:type="character" w:customStyle="1" w:styleId="530">
    <w:name w:val="Çàãîëîâîê ¹53"/>
    <w:uiPriority w:val="99"/>
    <w:rsid w:val="00BB6316"/>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BB6316"/>
    <w:rPr>
      <w:i/>
      <w:iCs/>
      <w:spacing w:val="-10"/>
      <w:sz w:val="17"/>
      <w:szCs w:val="17"/>
    </w:rPr>
  </w:style>
  <w:style w:type="character" w:customStyle="1" w:styleId="521">
    <w:name w:val="Çàãîëîâîê ¹52"/>
    <w:uiPriority w:val="99"/>
    <w:rsid w:val="00BB6316"/>
    <w:rPr>
      <w:rFonts w:ascii="Tahoma" w:hAnsi="Tahoma" w:cs="Tahoma"/>
      <w:i/>
      <w:iCs/>
      <w:sz w:val="16"/>
      <w:szCs w:val="16"/>
      <w:u w:val="single"/>
    </w:rPr>
  </w:style>
  <w:style w:type="paragraph" w:customStyle="1" w:styleId="514">
    <w:name w:val="Çàãîëîâîê ¹51"/>
    <w:basedOn w:val="a"/>
    <w:uiPriority w:val="99"/>
    <w:rsid w:val="00BB6316"/>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BB6316"/>
    <w:rPr>
      <w:i/>
      <w:iCs/>
      <w:spacing w:val="0"/>
      <w:sz w:val="16"/>
      <w:szCs w:val="16"/>
    </w:rPr>
  </w:style>
  <w:style w:type="character" w:customStyle="1" w:styleId="5100">
    <w:name w:val="Îñíîâíîé òåêñò (5)100"/>
    <w:uiPriority w:val="99"/>
    <w:rsid w:val="00BB6316"/>
    <w:rPr>
      <w:rFonts w:ascii="Arial Unicode MS" w:eastAsia="Arial Unicode MS" w:cs="Arial Unicode MS"/>
      <w:i/>
      <w:iCs/>
      <w:noProof/>
      <w:spacing w:val="0"/>
      <w:sz w:val="16"/>
      <w:szCs w:val="16"/>
    </w:rPr>
  </w:style>
  <w:style w:type="character" w:customStyle="1" w:styleId="599">
    <w:name w:val="Îñíîâíîé òåêñò (5)99"/>
    <w:uiPriority w:val="99"/>
    <w:rsid w:val="00BB6316"/>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BB6316"/>
    <w:rPr>
      <w:i/>
      <w:iCs/>
      <w:spacing w:val="-10"/>
      <w:sz w:val="17"/>
      <w:szCs w:val="17"/>
    </w:rPr>
  </w:style>
  <w:style w:type="character" w:customStyle="1" w:styleId="598">
    <w:name w:val="Îñíîâíîé òåêñò (5)98"/>
    <w:uiPriority w:val="99"/>
    <w:rsid w:val="00BB6316"/>
    <w:rPr>
      <w:i/>
      <w:iCs/>
      <w:spacing w:val="0"/>
      <w:sz w:val="16"/>
      <w:szCs w:val="16"/>
      <w:u w:val="single"/>
    </w:rPr>
  </w:style>
  <w:style w:type="character" w:customStyle="1" w:styleId="597">
    <w:name w:val="Îñíîâíîé òåêñò (5)97"/>
    <w:uiPriority w:val="99"/>
    <w:rsid w:val="00BB6316"/>
    <w:rPr>
      <w:rFonts w:ascii="Arial Unicode MS" w:eastAsia="Arial Unicode MS" w:cs="Arial Unicode MS"/>
      <w:i/>
      <w:iCs/>
      <w:noProof/>
      <w:spacing w:val="0"/>
      <w:sz w:val="16"/>
      <w:szCs w:val="16"/>
      <w:u w:val="single"/>
    </w:rPr>
  </w:style>
  <w:style w:type="character" w:customStyle="1" w:styleId="191">
    <w:name w:val="Îñíîâíîé òåêñò (19)_"/>
    <w:uiPriority w:val="99"/>
    <w:rsid w:val="00BB6316"/>
    <w:rPr>
      <w:rFonts w:ascii="Arial Narrow" w:hAnsi="Arial Narrow" w:cs="Arial Narrow"/>
      <w:b/>
      <w:bCs/>
      <w:sz w:val="47"/>
      <w:szCs w:val="47"/>
    </w:rPr>
  </w:style>
  <w:style w:type="character" w:customStyle="1" w:styleId="4b">
    <w:name w:val="Ïîäïèñü ê êàðòèíêå (4)_"/>
    <w:uiPriority w:val="99"/>
    <w:rsid w:val="00BB6316"/>
    <w:rPr>
      <w:b/>
      <w:bCs/>
      <w:i/>
      <w:iCs/>
      <w:sz w:val="17"/>
      <w:szCs w:val="17"/>
    </w:rPr>
  </w:style>
  <w:style w:type="character" w:customStyle="1" w:styleId="4c">
    <w:name w:val="Ïîäïèñü ê êàðòèíêå (4)"/>
    <w:uiPriority w:val="99"/>
    <w:rsid w:val="00BB6316"/>
    <w:rPr>
      <w:b/>
      <w:bCs/>
      <w:i/>
      <w:iCs/>
      <w:sz w:val="17"/>
      <w:szCs w:val="17"/>
    </w:rPr>
  </w:style>
  <w:style w:type="character" w:customStyle="1" w:styleId="8pt35450pt1150">
    <w:name w:val="Îñíîâíîé òåêñò + 8 pt35.Êóðñèâ45.Èíòåðâàë 0 pt115"/>
    <w:uiPriority w:val="99"/>
    <w:rsid w:val="00BB6316"/>
    <w:rPr>
      <w:rFonts w:ascii="Microsoft Sans Serif" w:hAnsi="Microsoft Sans Serif" w:cs="Microsoft Sans Serif"/>
      <w:i/>
      <w:iCs/>
      <w:spacing w:val="0"/>
      <w:sz w:val="16"/>
      <w:szCs w:val="16"/>
    </w:rPr>
  </w:style>
  <w:style w:type="paragraph" w:customStyle="1" w:styleId="412">
    <w:name w:val="Ïîäïèñü ê êàðòèíêå (4)1"/>
    <w:basedOn w:val="a"/>
    <w:uiPriority w:val="99"/>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BB6316"/>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BB6316"/>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BB6316"/>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BB6316"/>
    <w:rPr>
      <w:rFonts w:ascii="Microsoft Sans Serif" w:hAnsi="Microsoft Sans Serif" w:cs="Microsoft Sans Serif"/>
      <w:b/>
      <w:bCs/>
      <w:i/>
      <w:iCs/>
      <w:spacing w:val="0"/>
      <w:sz w:val="17"/>
      <w:szCs w:val="17"/>
    </w:rPr>
  </w:style>
  <w:style w:type="character" w:customStyle="1" w:styleId="3f4">
    <w:name w:val="Îñíîâíîé òåêñò (3)_"/>
    <w:uiPriority w:val="99"/>
    <w:rsid w:val="00BB6316"/>
    <w:rPr>
      <w:b/>
      <w:bCs/>
      <w:i/>
      <w:iCs/>
      <w:sz w:val="17"/>
      <w:szCs w:val="17"/>
    </w:rPr>
  </w:style>
  <w:style w:type="character" w:customStyle="1" w:styleId="391">
    <w:name w:val="Îñíîâíîé òåêñò (3)9"/>
    <w:uiPriority w:val="99"/>
    <w:rsid w:val="00BB6316"/>
    <w:rPr>
      <w:b/>
      <w:bCs/>
      <w:i/>
      <w:iCs/>
      <w:sz w:val="17"/>
      <w:szCs w:val="17"/>
    </w:rPr>
  </w:style>
  <w:style w:type="character" w:customStyle="1" w:styleId="8pt30390pt1090">
    <w:name w:val="Îñíîâíîé òåêñò + 8 pt30.Êóðñèâ39.Èíòåðâàë 0 pt109"/>
    <w:uiPriority w:val="99"/>
    <w:rsid w:val="00BB6316"/>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BB6316"/>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BB6316"/>
    <w:rPr>
      <w:rFonts w:ascii="Arial Unicode MS" w:eastAsia="Arial Unicode MS" w:hAnsi="Microsoft Sans Serif" w:cs="Arial Unicode MS"/>
      <w:i/>
      <w:iCs/>
      <w:noProof/>
      <w:spacing w:val="0"/>
      <w:sz w:val="16"/>
      <w:szCs w:val="16"/>
    </w:rPr>
  </w:style>
  <w:style w:type="character" w:customStyle="1" w:styleId="8pt27360pt1060">
    <w:name w:val="Îñíîâíîé òåêñò + 8 pt27.Êóðñèâ36.Èíòåðâàë 0 pt106"/>
    <w:uiPriority w:val="99"/>
    <w:rsid w:val="00BB6316"/>
    <w:rPr>
      <w:rFonts w:ascii="Microsoft Sans Serif" w:hAnsi="Microsoft Sans Serif" w:cs="Microsoft Sans Serif"/>
      <w:i/>
      <w:iCs/>
      <w:spacing w:val="0"/>
      <w:sz w:val="16"/>
      <w:szCs w:val="16"/>
    </w:rPr>
  </w:style>
  <w:style w:type="character" w:customStyle="1" w:styleId="5790">
    <w:name w:val="Îñíîâíîé òåêñò (5)79"/>
    <w:uiPriority w:val="99"/>
    <w:rsid w:val="00BB6316"/>
    <w:rPr>
      <w:i/>
      <w:iCs/>
      <w:spacing w:val="0"/>
      <w:sz w:val="16"/>
      <w:szCs w:val="16"/>
    </w:rPr>
  </w:style>
  <w:style w:type="character" w:customStyle="1" w:styleId="5780">
    <w:name w:val="Îñíîâíîé òåêñò (5)78"/>
    <w:uiPriority w:val="99"/>
    <w:rsid w:val="00BB6316"/>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BB6316"/>
    <w:rPr>
      <w:b/>
      <w:bCs/>
      <w:i/>
      <w:iCs/>
      <w:spacing w:val="0"/>
      <w:sz w:val="14"/>
      <w:szCs w:val="14"/>
    </w:rPr>
  </w:style>
  <w:style w:type="character" w:customStyle="1" w:styleId="57pt1240">
    <w:name w:val="Îñíîâíîé òåêñò (5) + 7 pt1.Ïîëóæèðíûé24"/>
    <w:uiPriority w:val="99"/>
    <w:rsid w:val="00BB6316"/>
    <w:rPr>
      <w:b/>
      <w:bCs/>
      <w:i/>
      <w:iCs/>
      <w:spacing w:val="0"/>
      <w:sz w:val="14"/>
      <w:szCs w:val="14"/>
    </w:rPr>
  </w:style>
  <w:style w:type="character" w:customStyle="1" w:styleId="affffb">
    <w:name w:val="Ñíîñêà_"/>
    <w:uiPriority w:val="99"/>
    <w:rsid w:val="00BB6316"/>
    <w:rPr>
      <w:i/>
      <w:iCs/>
      <w:sz w:val="13"/>
      <w:szCs w:val="13"/>
    </w:rPr>
  </w:style>
  <w:style w:type="character" w:customStyle="1" w:styleId="130">
    <w:name w:val="Ñíîñêà13"/>
    <w:uiPriority w:val="99"/>
    <w:rsid w:val="00BB6316"/>
    <w:rPr>
      <w:i/>
      <w:iCs/>
      <w:sz w:val="13"/>
      <w:szCs w:val="13"/>
    </w:rPr>
  </w:style>
  <w:style w:type="character" w:customStyle="1" w:styleId="8pt25340pt1040">
    <w:name w:val="Îñíîâíîé òåêñò + 8 pt25.Êóðñèâ34.Èíòåðâàë 0 pt104"/>
    <w:uiPriority w:val="99"/>
    <w:rsid w:val="00BB6316"/>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BB6316"/>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BB6316"/>
    <w:rPr>
      <w:i/>
      <w:iCs/>
      <w:spacing w:val="0"/>
      <w:sz w:val="16"/>
      <w:szCs w:val="16"/>
    </w:rPr>
  </w:style>
  <w:style w:type="character" w:customStyle="1" w:styleId="5760">
    <w:name w:val="Îñíîâíîé òåêñò (5)76"/>
    <w:uiPriority w:val="99"/>
    <w:rsid w:val="00BB6316"/>
    <w:rPr>
      <w:rFonts w:ascii="Arial Unicode MS" w:eastAsia="Arial Unicode MS" w:cs="Arial Unicode MS"/>
      <w:i/>
      <w:iCs/>
      <w:noProof/>
      <w:spacing w:val="0"/>
      <w:sz w:val="16"/>
      <w:szCs w:val="16"/>
    </w:rPr>
  </w:style>
  <w:style w:type="paragraph" w:customStyle="1" w:styleId="1f6">
    <w:name w:val="Ñíîñêà1"/>
    <w:basedOn w:val="a"/>
    <w:uiPriority w:val="99"/>
    <w:rsid w:val="00BB6316"/>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
    <w:uiPriority w:val="99"/>
    <w:rsid w:val="00BB6316"/>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BB6316"/>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BB6316"/>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BB6316"/>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BB6316"/>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BB6316"/>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BB6316"/>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BB6316"/>
    <w:rPr>
      <w:rFonts w:ascii="Arial Unicode MS" w:eastAsia="Arial Unicode MS" w:hAnsi="Microsoft Sans Serif" w:cs="Arial Unicode MS"/>
      <w:b/>
      <w:bCs/>
      <w:spacing w:val="0"/>
      <w:sz w:val="14"/>
      <w:szCs w:val="14"/>
      <w:lang w:val="en-US"/>
    </w:rPr>
  </w:style>
  <w:style w:type="character" w:customStyle="1" w:styleId="131">
    <w:name w:val="Îñíîâíîé òåêñò (13)_"/>
    <w:uiPriority w:val="99"/>
    <w:rsid w:val="00BB6316"/>
    <w:rPr>
      <w:b/>
      <w:bCs/>
      <w:sz w:val="13"/>
      <w:szCs w:val="13"/>
    </w:rPr>
  </w:style>
  <w:style w:type="character" w:customStyle="1" w:styleId="1322">
    <w:name w:val="Îñíîâíîé òåêñò (13)22"/>
    <w:uiPriority w:val="99"/>
    <w:rsid w:val="00BB6316"/>
    <w:rPr>
      <w:b/>
      <w:bCs/>
      <w:sz w:val="13"/>
      <w:szCs w:val="13"/>
    </w:rPr>
  </w:style>
  <w:style w:type="character" w:customStyle="1" w:styleId="575">
    <w:name w:val="Îñíîâíîé òåêñò (5)75"/>
    <w:uiPriority w:val="99"/>
    <w:rsid w:val="00BB6316"/>
    <w:rPr>
      <w:i/>
      <w:iCs/>
      <w:spacing w:val="0"/>
      <w:sz w:val="16"/>
      <w:szCs w:val="16"/>
    </w:rPr>
  </w:style>
  <w:style w:type="character" w:customStyle="1" w:styleId="574">
    <w:name w:val="Îñíîâíîé òåêñò (5)74"/>
    <w:uiPriority w:val="99"/>
    <w:rsid w:val="00BB6316"/>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BB6316"/>
    <w:rPr>
      <w:i/>
      <w:iCs/>
      <w:spacing w:val="-10"/>
      <w:sz w:val="17"/>
      <w:szCs w:val="17"/>
    </w:rPr>
  </w:style>
  <w:style w:type="character" w:customStyle="1" w:styleId="58445pt60510pt90">
    <w:name w:val="Îñíîâíîé òåêñò (5) + 844.5 pt60.Íå êóðñèâ51.Èíòåðâàë 0 pt90"/>
    <w:uiPriority w:val="99"/>
    <w:rsid w:val="00BB6316"/>
    <w:rPr>
      <w:rFonts w:ascii="Arial Unicode MS" w:eastAsia="Arial Unicode MS" w:cs="Arial Unicode MS"/>
      <w:i/>
      <w:iCs/>
      <w:noProof/>
      <w:spacing w:val="-10"/>
      <w:sz w:val="17"/>
      <w:szCs w:val="17"/>
    </w:rPr>
  </w:style>
  <w:style w:type="paragraph" w:customStyle="1" w:styleId="1310">
    <w:name w:val="Îñíîâíîé òåêñò (13)1"/>
    <w:basedOn w:val="a"/>
    <w:uiPriority w:val="99"/>
    <w:rsid w:val="00BB6316"/>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BB6316"/>
    <w:rPr>
      <w:i/>
      <w:iCs/>
      <w:spacing w:val="-10"/>
      <w:sz w:val="17"/>
      <w:szCs w:val="17"/>
    </w:rPr>
  </w:style>
  <w:style w:type="character" w:customStyle="1" w:styleId="573">
    <w:name w:val="Îñíîâíîé òåêñò (5)73"/>
    <w:uiPriority w:val="99"/>
    <w:rsid w:val="00BB6316"/>
    <w:rPr>
      <w:i/>
      <w:iCs/>
      <w:spacing w:val="0"/>
      <w:sz w:val="16"/>
      <w:szCs w:val="16"/>
    </w:rPr>
  </w:style>
  <w:style w:type="character" w:customStyle="1" w:styleId="572">
    <w:name w:val="Îñíîâíîé òåêñò (5)72"/>
    <w:uiPriority w:val="99"/>
    <w:rsid w:val="00BB6316"/>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BB6316"/>
    <w:rPr>
      <w:rFonts w:ascii="Arial Unicode MS" w:eastAsia="Arial Unicode MS" w:cs="Arial Unicode MS"/>
      <w:i/>
      <w:iCs/>
      <w:noProof/>
      <w:spacing w:val="-10"/>
      <w:sz w:val="17"/>
      <w:szCs w:val="17"/>
    </w:rPr>
  </w:style>
  <w:style w:type="character" w:customStyle="1" w:styleId="571">
    <w:name w:val="Îñíîâíîé òåêñò (5)71"/>
    <w:uiPriority w:val="99"/>
    <w:rsid w:val="00BB6316"/>
    <w:rPr>
      <w:i/>
      <w:iCs/>
      <w:spacing w:val="0"/>
      <w:sz w:val="16"/>
      <w:szCs w:val="16"/>
    </w:rPr>
  </w:style>
  <w:style w:type="character" w:customStyle="1" w:styleId="5700">
    <w:name w:val="Îñíîâíîé òåêñò (5)70"/>
    <w:uiPriority w:val="99"/>
    <w:rsid w:val="00BB6316"/>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BB6316"/>
    <w:rPr>
      <w:b/>
      <w:bCs/>
      <w:i/>
      <w:iCs/>
      <w:spacing w:val="0"/>
      <w:sz w:val="17"/>
      <w:szCs w:val="17"/>
    </w:rPr>
  </w:style>
  <w:style w:type="character" w:customStyle="1" w:styleId="203">
    <w:name w:val="Îñíîâíîé òåêñò (20)_"/>
    <w:uiPriority w:val="99"/>
    <w:rsid w:val="00BB6316"/>
    <w:rPr>
      <w:b/>
      <w:bCs/>
      <w:i/>
      <w:iCs/>
      <w:sz w:val="15"/>
      <w:szCs w:val="15"/>
    </w:rPr>
  </w:style>
  <w:style w:type="character" w:customStyle="1" w:styleId="204">
    <w:name w:val="Îñíîâíîé òåêñò (20)"/>
    <w:uiPriority w:val="99"/>
    <w:rsid w:val="00BB6316"/>
    <w:rPr>
      <w:b/>
      <w:bCs/>
      <w:i/>
      <w:iCs/>
      <w:sz w:val="15"/>
      <w:szCs w:val="15"/>
    </w:rPr>
  </w:style>
  <w:style w:type="character" w:customStyle="1" w:styleId="2030">
    <w:name w:val="Îñíîâíîé òåêñò (20)3"/>
    <w:uiPriority w:val="99"/>
    <w:rsid w:val="00BB6316"/>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BB6316"/>
    <w:rPr>
      <w:rFonts w:ascii="Arial Unicode MS" w:eastAsia="Arial Unicode MS" w:cs="Arial Unicode MS"/>
      <w:b/>
      <w:bCs/>
      <w:i/>
      <w:iCs/>
      <w:noProof/>
      <w:sz w:val="16"/>
      <w:szCs w:val="16"/>
    </w:rPr>
  </w:style>
  <w:style w:type="character" w:customStyle="1" w:styleId="2020">
    <w:name w:val="Îñíîâíîé òåêñò (20)2"/>
    <w:uiPriority w:val="99"/>
    <w:rsid w:val="00BB6316"/>
    <w:rPr>
      <w:b/>
      <w:bCs/>
      <w:i/>
      <w:iCs/>
      <w:sz w:val="15"/>
      <w:szCs w:val="15"/>
    </w:rPr>
  </w:style>
  <w:style w:type="character" w:customStyle="1" w:styleId="2040">
    <w:name w:val="Îñíîâíîé òåêñò (20) + Íå ïîëóæèðíûé.Ìàëûå ïðîïèñíûå4"/>
    <w:uiPriority w:val="99"/>
    <w:rsid w:val="00BB6316"/>
    <w:rPr>
      <w:b/>
      <w:bCs/>
      <w:i/>
      <w:iCs/>
      <w:smallCaps/>
      <w:sz w:val="15"/>
      <w:szCs w:val="15"/>
    </w:rPr>
  </w:style>
  <w:style w:type="paragraph" w:customStyle="1" w:styleId="2011">
    <w:name w:val="Îñíîâíîé òåêñò (20)1"/>
    <w:basedOn w:val="a"/>
    <w:uiPriority w:val="99"/>
    <w:rsid w:val="00BB6316"/>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0">
    <w:name w:val="Îñíîâíîé òåêñò (4) + Íå êóðñèâ3"/>
    <w:uiPriority w:val="99"/>
    <w:rsid w:val="00BB6316"/>
    <w:rPr>
      <w:rFonts w:ascii="Microsoft Sans Serif" w:hAnsi="Microsoft Sans Serif" w:cs="Microsoft Sans Serif"/>
      <w:i/>
      <w:iCs/>
      <w:sz w:val="15"/>
      <w:szCs w:val="15"/>
    </w:rPr>
  </w:style>
  <w:style w:type="character" w:customStyle="1" w:styleId="490">
    <w:name w:val="Îñíîâíîé òåêñò (4)9"/>
    <w:uiPriority w:val="99"/>
    <w:rsid w:val="00BB6316"/>
    <w:rPr>
      <w:rFonts w:ascii="Microsoft Sans Serif" w:hAnsi="Microsoft Sans Serif" w:cs="Microsoft Sans Serif"/>
      <w:i/>
      <w:iCs/>
      <w:sz w:val="15"/>
      <w:szCs w:val="15"/>
      <w:u w:val="single"/>
    </w:rPr>
  </w:style>
  <w:style w:type="character" w:customStyle="1" w:styleId="480">
    <w:name w:val="Îñíîâíîé òåêñò (4)8"/>
    <w:uiPriority w:val="99"/>
    <w:rsid w:val="00BB6316"/>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BB6316"/>
    <w:rPr>
      <w:rFonts w:ascii="Microsoft Sans Serif" w:hAnsi="Microsoft Sans Serif" w:cs="Microsoft Sans Serif"/>
      <w:i/>
      <w:iCs/>
      <w:sz w:val="15"/>
      <w:szCs w:val="15"/>
    </w:rPr>
  </w:style>
  <w:style w:type="character" w:customStyle="1" w:styleId="470">
    <w:name w:val="Îñíîâíîé òåêñò (4)7"/>
    <w:uiPriority w:val="99"/>
    <w:rsid w:val="00BB6316"/>
    <w:rPr>
      <w:rFonts w:ascii="Microsoft Sans Serif" w:hAnsi="Microsoft Sans Serif" w:cs="Microsoft Sans Serif"/>
      <w:i/>
      <w:iCs/>
      <w:sz w:val="15"/>
      <w:szCs w:val="15"/>
      <w:u w:val="single"/>
    </w:rPr>
  </w:style>
  <w:style w:type="character" w:customStyle="1" w:styleId="460">
    <w:name w:val="Îñíîâíîé òåêñò (4)6"/>
    <w:uiPriority w:val="99"/>
    <w:rsid w:val="00BB6316"/>
    <w:rPr>
      <w:rFonts w:ascii="Microsoft Sans Serif" w:hAnsi="Microsoft Sans Serif" w:cs="Microsoft Sans Serif"/>
      <w:i/>
      <w:iCs/>
      <w:sz w:val="15"/>
      <w:szCs w:val="15"/>
      <w:u w:val="single"/>
    </w:rPr>
  </w:style>
  <w:style w:type="character" w:customStyle="1" w:styleId="421">
    <w:name w:val="Îñíîâíîé òåêñò (4) + Íå êóðñèâ2"/>
    <w:uiPriority w:val="99"/>
    <w:rsid w:val="00BB6316"/>
    <w:rPr>
      <w:rFonts w:ascii="Microsoft Sans Serif" w:hAnsi="Microsoft Sans Serif" w:cs="Microsoft Sans Serif"/>
      <w:i/>
      <w:iCs/>
      <w:sz w:val="15"/>
      <w:szCs w:val="15"/>
    </w:rPr>
  </w:style>
  <w:style w:type="character" w:customStyle="1" w:styleId="450">
    <w:name w:val="Îñíîâíîé òåêñò (4)5"/>
    <w:uiPriority w:val="99"/>
    <w:rsid w:val="00BB6316"/>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BB6316"/>
    <w:rPr>
      <w:rFonts w:ascii="Microsoft Sans Serif" w:hAnsi="Microsoft Sans Serif" w:cs="Microsoft Sans Serif"/>
      <w:b/>
      <w:bCs/>
      <w:i/>
      <w:iCs/>
      <w:sz w:val="13"/>
      <w:szCs w:val="13"/>
    </w:rPr>
  </w:style>
  <w:style w:type="character" w:customStyle="1" w:styleId="441">
    <w:name w:val="Îñíîâíîé òåêñò (4)4"/>
    <w:uiPriority w:val="99"/>
    <w:rsid w:val="00BB6316"/>
    <w:rPr>
      <w:rFonts w:ascii="Microsoft Sans Serif" w:hAnsi="Microsoft Sans Serif" w:cs="Microsoft Sans Serif"/>
      <w:i/>
      <w:iCs/>
      <w:sz w:val="15"/>
      <w:szCs w:val="15"/>
      <w:u w:val="single"/>
    </w:rPr>
  </w:style>
  <w:style w:type="character" w:customStyle="1" w:styleId="431">
    <w:name w:val="Îñíîâíîé òåêñò (4)3"/>
    <w:uiPriority w:val="99"/>
    <w:rsid w:val="00BB6316"/>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BB6316"/>
    <w:rPr>
      <w:rFonts w:ascii="Microsoft Sans Serif" w:hAnsi="Microsoft Sans Serif" w:cs="Microsoft Sans Serif"/>
      <w:i/>
      <w:iCs/>
      <w:sz w:val="15"/>
      <w:szCs w:val="15"/>
    </w:rPr>
  </w:style>
  <w:style w:type="character" w:customStyle="1" w:styleId="4-1pt">
    <w:name w:val="Îñíîâíîé òåêñò (4) + Èíòåðâàë -1 pt"/>
    <w:uiPriority w:val="99"/>
    <w:rsid w:val="00BB6316"/>
    <w:rPr>
      <w:rFonts w:ascii="Microsoft Sans Serif" w:hAnsi="Microsoft Sans Serif" w:cs="Microsoft Sans Serif"/>
      <w:i/>
      <w:iCs/>
      <w:spacing w:val="-20"/>
      <w:sz w:val="15"/>
      <w:szCs w:val="15"/>
    </w:rPr>
  </w:style>
  <w:style w:type="character" w:customStyle="1" w:styleId="3f5">
    <w:name w:val="Îñíîâíîé òåêñò + Êóðñèâ3"/>
    <w:uiPriority w:val="99"/>
    <w:rsid w:val="00BB6316"/>
    <w:rPr>
      <w:rFonts w:ascii="Microsoft Sans Serif" w:hAnsi="Microsoft Sans Serif" w:cs="Microsoft Sans Serif"/>
      <w:i/>
      <w:iCs/>
      <w:sz w:val="15"/>
      <w:szCs w:val="15"/>
    </w:rPr>
  </w:style>
  <w:style w:type="character" w:customStyle="1" w:styleId="2f5">
    <w:name w:val="Îñíîâíîé òåêñò + Êóðñèâ2"/>
    <w:uiPriority w:val="99"/>
    <w:rsid w:val="00BB6316"/>
    <w:rPr>
      <w:rFonts w:ascii="Microsoft Sans Serif" w:hAnsi="Microsoft Sans Serif" w:cs="Microsoft Sans Serif"/>
      <w:i/>
      <w:iCs/>
      <w:sz w:val="15"/>
      <w:szCs w:val="15"/>
    </w:rPr>
  </w:style>
  <w:style w:type="paragraph" w:customStyle="1" w:styleId="83">
    <w:name w:val="Çàãîëîâîê ¹8"/>
    <w:basedOn w:val="a"/>
    <w:uiPriority w:val="99"/>
    <w:rsid w:val="00BB6316"/>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5">
    <w:name w:val="Îñíîâíîé òåêñò (21)"/>
    <w:basedOn w:val="a"/>
    <w:uiPriority w:val="99"/>
    <w:rsid w:val="00BB6316"/>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
    <w:uiPriority w:val="99"/>
    <w:rsid w:val="00BB6316"/>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BB6316"/>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BB6316"/>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BB6316"/>
    <w:rPr>
      <w:rFonts w:ascii="Lucida Sans Unicode" w:hAnsi="Lucida Sans Unicode" w:cs="Lucida Sans Unicode"/>
      <w:i/>
      <w:iCs/>
      <w:spacing w:val="-10"/>
      <w:sz w:val="16"/>
      <w:szCs w:val="16"/>
    </w:rPr>
  </w:style>
  <w:style w:type="character" w:customStyle="1" w:styleId="206">
    <w:name w:val="Îñíîâíîé òåêñò (20)6"/>
    <w:uiPriority w:val="99"/>
    <w:rsid w:val="00BB6316"/>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BB6316"/>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BB6316"/>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BB6316"/>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BB6316"/>
    <w:rPr>
      <w:rFonts w:ascii="Lucida Sans Unicode" w:hAnsi="Lucida Sans Unicode" w:cs="Lucida Sans Unicode"/>
      <w:b/>
      <w:bCs/>
      <w:i/>
      <w:iCs/>
      <w:spacing w:val="-10"/>
      <w:sz w:val="16"/>
      <w:szCs w:val="16"/>
    </w:rPr>
  </w:style>
  <w:style w:type="character" w:customStyle="1" w:styleId="205">
    <w:name w:val="Îñíîâíîé òåêñò (20)5"/>
    <w:uiPriority w:val="99"/>
    <w:rsid w:val="00BB6316"/>
    <w:rPr>
      <w:rFonts w:ascii="Lucida Sans Unicode" w:hAnsi="Lucida Sans Unicode" w:cs="Lucida Sans Unicode"/>
      <w:b/>
      <w:bCs/>
      <w:i/>
      <w:iCs/>
      <w:sz w:val="16"/>
      <w:szCs w:val="16"/>
      <w:u w:val="single"/>
    </w:rPr>
  </w:style>
  <w:style w:type="character" w:customStyle="1" w:styleId="2041">
    <w:name w:val="Îñíîâíîé òåêñò (20)4"/>
    <w:uiPriority w:val="99"/>
    <w:rsid w:val="00BB6316"/>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BB6316"/>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BB6316"/>
    <w:rPr>
      <w:rFonts w:ascii="MS Mincho" w:eastAsia="MS Mincho" w:cs="MS Mincho"/>
      <w:b/>
      <w:bCs/>
      <w:i/>
      <w:iCs/>
      <w:spacing w:val="-10"/>
      <w:sz w:val="16"/>
      <w:szCs w:val="16"/>
    </w:rPr>
  </w:style>
  <w:style w:type="character" w:customStyle="1" w:styleId="1420">
    <w:name w:val="Îñíîâíîé òåêñò (14)2"/>
    <w:uiPriority w:val="99"/>
    <w:rsid w:val="00BB6316"/>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BB6316"/>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BB6316"/>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BB6316"/>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BB6316"/>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BB6316"/>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BB6316"/>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BB6316"/>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BB6316"/>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BB6316"/>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BB6316"/>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BB6316"/>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BB6316"/>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BB6316"/>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BB6316"/>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BB6316"/>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BB6316"/>
    <w:rPr>
      <w:rFonts w:ascii="Arial Narrow" w:hAnsi="Arial Narrow" w:cs="Arial Narrow"/>
      <w:b/>
      <w:bCs/>
      <w:sz w:val="22"/>
      <w:szCs w:val="22"/>
    </w:rPr>
  </w:style>
  <w:style w:type="character" w:customStyle="1" w:styleId="8ArialNarrow19pt">
    <w:name w:val="Çàãîëîâîê ¹8 + Arial Narrow1.9 pt"/>
    <w:uiPriority w:val="99"/>
    <w:rsid w:val="00BB6316"/>
    <w:rPr>
      <w:rFonts w:ascii="Arial Narrow" w:hAnsi="Arial Narrow" w:cs="Arial Narrow"/>
      <w:sz w:val="18"/>
      <w:szCs w:val="18"/>
    </w:rPr>
  </w:style>
  <w:style w:type="paragraph" w:customStyle="1" w:styleId="231">
    <w:name w:val="Îñíîâíîé òåêñò (23)"/>
    <w:basedOn w:val="a"/>
    <w:uiPriority w:val="99"/>
    <w:rsid w:val="00BB6316"/>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3">
    <w:name w:val="Îñíîâíîé òåêñò (27)"/>
    <w:basedOn w:val="a"/>
    <w:uiPriority w:val="99"/>
    <w:rsid w:val="00BB6316"/>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
    <w:uiPriority w:val="99"/>
    <w:rsid w:val="00BB6316"/>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
    <w:uiPriority w:val="99"/>
    <w:rsid w:val="00BB6316"/>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3">
    <w:name w:val="Çàãîëîâîê ¹10"/>
    <w:basedOn w:val="a"/>
    <w:uiPriority w:val="99"/>
    <w:rsid w:val="00BB6316"/>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0">
    <w:name w:val="Çàãîëîâîê ¹10 (3)"/>
    <w:basedOn w:val="a"/>
    <w:uiPriority w:val="99"/>
    <w:rsid w:val="00BB6316"/>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7">
    <w:name w:val="Ïîäïèñü ê êàðòèíêå (3)1"/>
    <w:basedOn w:val="a"/>
    <w:uiPriority w:val="99"/>
    <w:rsid w:val="00BB6316"/>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32">
    <w:name w:val="Îñíîâíîé òåêñò (43)"/>
    <w:basedOn w:val="a"/>
    <w:uiPriority w:val="99"/>
    <w:rsid w:val="00BB6316"/>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
    <w:uiPriority w:val="99"/>
    <w:rsid w:val="00BB6316"/>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c">
    <w:name w:val="Ñíîñêà"/>
    <w:basedOn w:val="a"/>
    <w:uiPriority w:val="99"/>
    <w:rsid w:val="00BB6316"/>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d">
    <w:name w:val="Ïîäïèñü ê êàðòèíêå"/>
    <w:basedOn w:val="a"/>
    <w:uiPriority w:val="99"/>
    <w:rsid w:val="00BB6316"/>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
    <w:name w:val="Îñíîâíîé òåêñò (14) + Èíòåðâàë -1 pt"/>
    <w:uiPriority w:val="99"/>
    <w:rsid w:val="00BB6316"/>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BB6316"/>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BB6316"/>
    <w:rPr>
      <w:rFonts w:ascii="Century Gothic" w:hAnsi="Century Gothic" w:cs="Century Gothic"/>
      <w:b/>
      <w:bCs/>
      <w:i/>
      <w:iCs/>
      <w:spacing w:val="-10"/>
      <w:sz w:val="14"/>
      <w:szCs w:val="14"/>
    </w:rPr>
  </w:style>
  <w:style w:type="character" w:customStyle="1" w:styleId="affffe">
    <w:name w:val="Îñíîâíîé òåêñò + Êóðñèâ"/>
    <w:uiPriority w:val="99"/>
    <w:rsid w:val="00BB6316"/>
    <w:rPr>
      <w:rFonts w:ascii="Century Gothic" w:hAnsi="Century Gothic" w:cs="Century Gothic"/>
      <w:i/>
      <w:iCs/>
      <w:spacing w:val="-10"/>
      <w:sz w:val="17"/>
      <w:szCs w:val="17"/>
    </w:rPr>
  </w:style>
  <w:style w:type="character" w:customStyle="1" w:styleId="67">
    <w:name w:val="Îñíîâíîé òåêñò (6) + Íå êóðñèâ"/>
    <w:uiPriority w:val="99"/>
    <w:rsid w:val="00BB6316"/>
    <w:rPr>
      <w:rFonts w:ascii="Century Gothic" w:hAnsi="Century Gothic" w:cs="Century Gothic"/>
      <w:i/>
      <w:iCs/>
      <w:sz w:val="17"/>
      <w:szCs w:val="17"/>
    </w:rPr>
  </w:style>
  <w:style w:type="character" w:customStyle="1" w:styleId="621">
    <w:name w:val="Îñíîâíîé òåêñò (6) + Íå êóðñèâ2"/>
    <w:uiPriority w:val="99"/>
    <w:rsid w:val="00BB6316"/>
    <w:rPr>
      <w:rFonts w:ascii="Century Gothic" w:hAnsi="Century Gothic" w:cs="Century Gothic"/>
      <w:i/>
      <w:iCs/>
      <w:sz w:val="17"/>
      <w:szCs w:val="17"/>
    </w:rPr>
  </w:style>
  <w:style w:type="character" w:customStyle="1" w:styleId="5c">
    <w:name w:val="Îñíîâíîé òåêñò + Êóðñèâ5"/>
    <w:uiPriority w:val="99"/>
    <w:rsid w:val="00BB6316"/>
    <w:rPr>
      <w:rFonts w:ascii="Century Gothic" w:hAnsi="Century Gothic" w:cs="Century Gothic"/>
      <w:i/>
      <w:iCs/>
      <w:spacing w:val="-10"/>
      <w:sz w:val="17"/>
      <w:szCs w:val="17"/>
    </w:rPr>
  </w:style>
  <w:style w:type="character" w:customStyle="1" w:styleId="4d">
    <w:name w:val="Îñíîâíîé òåêñò + Êóðñèâ4"/>
    <w:uiPriority w:val="99"/>
    <w:rsid w:val="00BB6316"/>
    <w:rPr>
      <w:rFonts w:ascii="Century Gothic" w:hAnsi="Century Gothic" w:cs="Century Gothic"/>
      <w:i/>
      <w:iCs/>
      <w:spacing w:val="-10"/>
      <w:sz w:val="17"/>
      <w:szCs w:val="17"/>
    </w:rPr>
  </w:style>
  <w:style w:type="paragraph" w:customStyle="1" w:styleId="68">
    <w:name w:val="Îñíîâíîé òåêñò (6)"/>
    <w:basedOn w:val="a"/>
    <w:uiPriority w:val="99"/>
    <w:rsid w:val="00BB6316"/>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2">
    <w:name w:val="Îñíîâíîé òåêñò (13)"/>
    <w:basedOn w:val="a"/>
    <w:uiPriority w:val="99"/>
    <w:rsid w:val="00BB6316"/>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3">
    <w:name w:val="Îñíîâíîé òåêñò (14)"/>
    <w:basedOn w:val="a"/>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BB6316"/>
    <w:rPr>
      <w:rFonts w:ascii="Microsoft Sans Serif" w:hAnsi="Microsoft Sans Serif" w:cs="Microsoft Sans Serif"/>
      <w:i/>
      <w:iCs/>
      <w:sz w:val="23"/>
      <w:szCs w:val="23"/>
    </w:rPr>
  </w:style>
  <w:style w:type="character" w:customStyle="1" w:styleId="640">
    <w:name w:val="Îñíîâíîé òåêñò (6)4"/>
    <w:uiPriority w:val="99"/>
    <w:rsid w:val="00BB6316"/>
    <w:rPr>
      <w:rFonts w:ascii="Microsoft Sans Serif" w:hAnsi="Microsoft Sans Serif" w:cs="Microsoft Sans Serif"/>
      <w:i/>
      <w:iCs/>
      <w:sz w:val="23"/>
      <w:szCs w:val="23"/>
      <w:lang w:val="en-US"/>
    </w:rPr>
  </w:style>
  <w:style w:type="character" w:customStyle="1" w:styleId="630">
    <w:name w:val="Îñíîâíîé òåêñò (6)3"/>
    <w:uiPriority w:val="99"/>
    <w:rsid w:val="00BB6316"/>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BB6316"/>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BB6316"/>
    <w:rPr>
      <w:i/>
      <w:iCs/>
      <w:spacing w:val="0"/>
      <w:sz w:val="16"/>
      <w:szCs w:val="16"/>
    </w:rPr>
  </w:style>
  <w:style w:type="character" w:customStyle="1" w:styleId="40pt9">
    <w:name w:val="Îñíîâíîé òåêñò + Êóðñèâ4.Èíòåðâàë 0 pt9"/>
    <w:uiPriority w:val="99"/>
    <w:rsid w:val="00BB6316"/>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BB6316"/>
    <w:rPr>
      <w:rFonts w:ascii="Bookman Old Style" w:hAnsi="Bookman Old Style" w:cs="Bookman Old Style"/>
      <w:i/>
      <w:iCs/>
      <w:noProof/>
      <w:spacing w:val="0"/>
      <w:sz w:val="20"/>
      <w:szCs w:val="20"/>
    </w:rPr>
  </w:style>
  <w:style w:type="character" w:customStyle="1" w:styleId="84">
    <w:name w:val="Îñíîâíîé òåêñò (8)4"/>
    <w:uiPriority w:val="99"/>
    <w:rsid w:val="00BB6316"/>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BB6316"/>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BB6316"/>
    <w:rPr>
      <w:i/>
      <w:iCs/>
      <w:spacing w:val="0"/>
      <w:sz w:val="16"/>
      <w:szCs w:val="16"/>
    </w:rPr>
  </w:style>
  <w:style w:type="character" w:customStyle="1" w:styleId="810pt5">
    <w:name w:val="Îñíîâíîé òåêñò (8) + Íå êóðñèâ1.Èíòåðâàë 0 pt5"/>
    <w:uiPriority w:val="99"/>
    <w:rsid w:val="00BB6316"/>
    <w:rPr>
      <w:i/>
      <w:iCs/>
      <w:spacing w:val="0"/>
      <w:sz w:val="16"/>
      <w:szCs w:val="16"/>
    </w:rPr>
  </w:style>
  <w:style w:type="character" w:customStyle="1" w:styleId="20pt4">
    <w:name w:val="Îñíîâíîé òåêñò + Êóðñèâ2.Èíòåðâàë 0 pt4"/>
    <w:uiPriority w:val="99"/>
    <w:rsid w:val="00BB6316"/>
    <w:rPr>
      <w:rFonts w:ascii="Microsoft Sans Serif" w:hAnsi="Microsoft Sans Serif" w:cs="Microsoft Sans Serif"/>
      <w:i/>
      <w:iCs/>
      <w:spacing w:val="10"/>
      <w:sz w:val="16"/>
      <w:szCs w:val="16"/>
    </w:rPr>
  </w:style>
  <w:style w:type="paragraph" w:customStyle="1" w:styleId="611">
    <w:name w:val="Îñíîâíîé òåêñò (6)1"/>
    <w:basedOn w:val="a"/>
    <w:uiPriority w:val="99"/>
    <w:rsid w:val="00BB6316"/>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3">
    <w:name w:val="Îñíîâíîé òåêñò (9)"/>
    <w:basedOn w:val="a"/>
    <w:uiPriority w:val="99"/>
    <w:rsid w:val="00BB6316"/>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0">
    <w:name w:val="Îñíîâíîé òåêñò (11) + Íå êóðñèâ11"/>
    <w:uiPriority w:val="99"/>
    <w:rsid w:val="00BB6316"/>
    <w:rPr>
      <w:rFonts w:ascii="Arial" w:hAnsi="Arial" w:cs="Arial"/>
      <w:i/>
      <w:iCs/>
      <w:spacing w:val="-10"/>
      <w:sz w:val="17"/>
      <w:szCs w:val="17"/>
    </w:rPr>
  </w:style>
  <w:style w:type="character" w:customStyle="1" w:styleId="11100">
    <w:name w:val="Îñíîâíîé òåêñò (11) + Íå êóðñèâ10"/>
    <w:uiPriority w:val="99"/>
    <w:rsid w:val="00BB6316"/>
    <w:rPr>
      <w:rFonts w:ascii="Arial" w:hAnsi="Arial" w:cs="Arial"/>
      <w:i/>
      <w:iCs/>
      <w:spacing w:val="-10"/>
      <w:sz w:val="17"/>
      <w:szCs w:val="17"/>
    </w:rPr>
  </w:style>
  <w:style w:type="character" w:customStyle="1" w:styleId="119">
    <w:name w:val="Îñíîâíîé òåêñò + Êóðñèâ11"/>
    <w:uiPriority w:val="99"/>
    <w:rsid w:val="00BB6316"/>
    <w:rPr>
      <w:rFonts w:ascii="Arial" w:hAnsi="Arial" w:cs="Arial"/>
      <w:i/>
      <w:iCs/>
      <w:spacing w:val="-10"/>
      <w:sz w:val="17"/>
      <w:szCs w:val="17"/>
    </w:rPr>
  </w:style>
  <w:style w:type="character" w:customStyle="1" w:styleId="4835pt2911">
    <w:name w:val="Îñíîâíîé òåêñò (4) + 83.5 pt29.Íå ïîëóæèðíûé11"/>
    <w:uiPriority w:val="99"/>
    <w:rsid w:val="00BB6316"/>
    <w:rPr>
      <w:rFonts w:ascii="Arial" w:hAnsi="Arial" w:cs="Arial"/>
      <w:b/>
      <w:bCs/>
      <w:i/>
      <w:iCs/>
      <w:spacing w:val="-10"/>
      <w:sz w:val="17"/>
      <w:szCs w:val="17"/>
    </w:rPr>
  </w:style>
  <w:style w:type="character" w:customStyle="1" w:styleId="104">
    <w:name w:val="Îñíîâíîé òåêñò + Êóðñèâ10"/>
    <w:uiPriority w:val="99"/>
    <w:rsid w:val="00BB6316"/>
    <w:rPr>
      <w:rFonts w:ascii="Arial" w:hAnsi="Arial" w:cs="Arial"/>
      <w:i/>
      <w:iCs/>
      <w:spacing w:val="-10"/>
      <w:sz w:val="17"/>
      <w:szCs w:val="17"/>
    </w:rPr>
  </w:style>
  <w:style w:type="character" w:customStyle="1" w:styleId="78pt7">
    <w:name w:val="Îñíîâíîé òåêñò (7) + 8 pt.Íå êóðñèâ7"/>
    <w:uiPriority w:val="99"/>
    <w:rsid w:val="00BB6316"/>
    <w:rPr>
      <w:rFonts w:ascii="Arial" w:hAnsi="Arial" w:cs="Arial"/>
      <w:i/>
      <w:iCs/>
      <w:spacing w:val="-10"/>
      <w:sz w:val="16"/>
      <w:szCs w:val="16"/>
    </w:rPr>
  </w:style>
  <w:style w:type="character" w:customStyle="1" w:styleId="94">
    <w:name w:val="Îñíîâíîé òåêñò + Êóðñèâ9"/>
    <w:uiPriority w:val="99"/>
    <w:rsid w:val="00BB6316"/>
    <w:rPr>
      <w:rFonts w:ascii="Arial" w:hAnsi="Arial" w:cs="Arial"/>
      <w:i/>
      <w:iCs/>
      <w:spacing w:val="-10"/>
      <w:sz w:val="17"/>
      <w:szCs w:val="17"/>
    </w:rPr>
  </w:style>
  <w:style w:type="character" w:customStyle="1" w:styleId="1161">
    <w:name w:val="Îñíîâíîé òåêñò (11) + Íå êóðñèâ6"/>
    <w:uiPriority w:val="99"/>
    <w:rsid w:val="00BB6316"/>
    <w:rPr>
      <w:rFonts w:ascii="Arial" w:hAnsi="Arial" w:cs="Arial"/>
      <w:i/>
      <w:iCs/>
      <w:spacing w:val="-10"/>
      <w:sz w:val="17"/>
      <w:szCs w:val="17"/>
    </w:rPr>
  </w:style>
  <w:style w:type="character" w:customStyle="1" w:styleId="85">
    <w:name w:val="Îñíîâíîé òåêñò + Êóðñèâ8"/>
    <w:uiPriority w:val="99"/>
    <w:rsid w:val="00BB6316"/>
    <w:rPr>
      <w:rFonts w:ascii="Arial" w:hAnsi="Arial" w:cs="Arial"/>
      <w:i/>
      <w:iCs/>
      <w:spacing w:val="-10"/>
      <w:sz w:val="17"/>
      <w:szCs w:val="17"/>
    </w:rPr>
  </w:style>
  <w:style w:type="character" w:customStyle="1" w:styleId="7d">
    <w:name w:val="Îñíîâíîé òåêñò + Êóðñèâ7"/>
    <w:uiPriority w:val="99"/>
    <w:rsid w:val="00BB6316"/>
    <w:rPr>
      <w:rFonts w:ascii="Arial" w:hAnsi="Arial" w:cs="Arial"/>
      <w:i/>
      <w:iCs/>
      <w:spacing w:val="-10"/>
      <w:sz w:val="17"/>
      <w:szCs w:val="17"/>
    </w:rPr>
  </w:style>
  <w:style w:type="paragraph" w:customStyle="1" w:styleId="5d">
    <w:name w:val="Ïîäïèñü ê êàðòèíêå (5)"/>
    <w:basedOn w:val="a"/>
    <w:uiPriority w:val="99"/>
    <w:rsid w:val="00BB6316"/>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
    <w:uiPriority w:val="99"/>
    <w:rsid w:val="00BB6316"/>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6">
    <w:name w:val="Ïîäïèñü ê êàðòèíêå (3)"/>
    <w:basedOn w:val="a"/>
    <w:uiPriority w:val="99"/>
    <w:rsid w:val="00BB6316"/>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BB6316"/>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BB6316"/>
    <w:rPr>
      <w:rFonts w:ascii="Microsoft Sans Serif" w:hAnsi="Microsoft Sans Serif" w:cs="Microsoft Sans Serif"/>
      <w:i/>
      <w:iCs/>
      <w:spacing w:val="-10"/>
      <w:sz w:val="16"/>
      <w:szCs w:val="16"/>
    </w:rPr>
  </w:style>
  <w:style w:type="character" w:customStyle="1" w:styleId="124">
    <w:name w:val="Îñíîâíîé òåêñò (12)_"/>
    <w:uiPriority w:val="99"/>
    <w:rsid w:val="00BB6316"/>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BB6316"/>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BB6316"/>
    <w:rPr>
      <w:rFonts w:ascii="Microsoft Sans Serif" w:hAnsi="Microsoft Sans Serif" w:cs="Microsoft Sans Serif"/>
      <w:i/>
      <w:iCs/>
      <w:spacing w:val="0"/>
      <w:sz w:val="16"/>
      <w:szCs w:val="16"/>
    </w:rPr>
  </w:style>
  <w:style w:type="character" w:customStyle="1" w:styleId="126">
    <w:name w:val="Îñíîâíîé òåêñò (12)6"/>
    <w:uiPriority w:val="99"/>
    <w:rsid w:val="00BB6316"/>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BB6316"/>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BB6316"/>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BB6316"/>
    <w:rPr>
      <w:rFonts w:ascii="Bookman Old Style" w:hAnsi="Bookman Old Style" w:cs="Bookman Old Style"/>
      <w:b/>
      <w:bCs/>
      <w:i/>
      <w:iCs/>
      <w:sz w:val="17"/>
      <w:szCs w:val="17"/>
    </w:rPr>
  </w:style>
  <w:style w:type="character" w:customStyle="1" w:styleId="125">
    <w:name w:val="Îñíîâíîé òåêñò (12)5"/>
    <w:uiPriority w:val="99"/>
    <w:rsid w:val="00BB6316"/>
    <w:rPr>
      <w:rFonts w:ascii="Microsoft Sans Serif" w:hAnsi="Microsoft Sans Serif" w:cs="Microsoft Sans Serif"/>
      <w:i/>
      <w:iCs/>
      <w:spacing w:val="0"/>
      <w:sz w:val="16"/>
      <w:szCs w:val="16"/>
      <w:u w:val="single"/>
    </w:rPr>
  </w:style>
  <w:style w:type="character" w:customStyle="1" w:styleId="1240">
    <w:name w:val="Îñíîâíîé òåêñò (12)4"/>
    <w:uiPriority w:val="99"/>
    <w:rsid w:val="00BB6316"/>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BB6316"/>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BB6316"/>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BB6316"/>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BB6316"/>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BB6316"/>
    <w:rPr>
      <w:rFonts w:ascii="Microsoft Sans Serif" w:hAnsi="Microsoft Sans Serif" w:cs="Microsoft Sans Serif"/>
      <w:i/>
      <w:iCs/>
      <w:spacing w:val="0"/>
      <w:sz w:val="16"/>
      <w:szCs w:val="16"/>
    </w:rPr>
  </w:style>
  <w:style w:type="character" w:customStyle="1" w:styleId="1230">
    <w:name w:val="Îñíîâíîé òåêñò (12)3"/>
    <w:uiPriority w:val="99"/>
    <w:rsid w:val="00BB6316"/>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BB6316"/>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BB6316"/>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BB6316"/>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BB6316"/>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BB6316"/>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BB6316"/>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BB6316"/>
    <w:rPr>
      <w:rFonts w:ascii="Lucida Sans Unicode" w:hAnsi="Lucida Sans Unicode" w:cs="Lucida Sans Unicode"/>
      <w:b/>
      <w:bCs/>
      <w:i/>
      <w:iCs/>
      <w:spacing w:val="-10"/>
      <w:sz w:val="16"/>
      <w:szCs w:val="16"/>
    </w:rPr>
  </w:style>
  <w:style w:type="character" w:customStyle="1" w:styleId="153">
    <w:name w:val="Îñíîâíîé òåêñò + Êóðñèâ15"/>
    <w:uiPriority w:val="99"/>
    <w:rsid w:val="00BB6316"/>
    <w:rPr>
      <w:rFonts w:ascii="Arial" w:hAnsi="Arial" w:cs="Arial"/>
      <w:i/>
      <w:iCs/>
      <w:spacing w:val="-10"/>
      <w:sz w:val="17"/>
      <w:szCs w:val="17"/>
      <w:u w:val="single"/>
    </w:rPr>
  </w:style>
  <w:style w:type="character" w:customStyle="1" w:styleId="1190">
    <w:name w:val="Îñíîâíîé òåêñò (11) + Íå êóðñèâ9"/>
    <w:uiPriority w:val="99"/>
    <w:rsid w:val="00BB6316"/>
    <w:rPr>
      <w:rFonts w:ascii="Arial" w:hAnsi="Arial" w:cs="Arial"/>
      <w:i/>
      <w:iCs/>
      <w:spacing w:val="-10"/>
      <w:sz w:val="17"/>
      <w:szCs w:val="17"/>
    </w:rPr>
  </w:style>
  <w:style w:type="character" w:customStyle="1" w:styleId="144">
    <w:name w:val="Îñíîâíîé òåêñò + Êóðñèâ14"/>
    <w:uiPriority w:val="99"/>
    <w:rsid w:val="00BB6316"/>
    <w:rPr>
      <w:rFonts w:ascii="Arial" w:hAnsi="Arial" w:cs="Arial"/>
      <w:i/>
      <w:iCs/>
      <w:spacing w:val="-10"/>
      <w:sz w:val="17"/>
      <w:szCs w:val="17"/>
    </w:rPr>
  </w:style>
  <w:style w:type="character" w:customStyle="1" w:styleId="1180">
    <w:name w:val="Îñíîâíîé òåêñò (11) + Íå êóðñèâ8"/>
    <w:uiPriority w:val="99"/>
    <w:rsid w:val="00BB6316"/>
    <w:rPr>
      <w:rFonts w:ascii="Arial" w:hAnsi="Arial" w:cs="Arial"/>
      <w:i/>
      <w:iCs/>
      <w:spacing w:val="-10"/>
      <w:sz w:val="17"/>
      <w:szCs w:val="17"/>
    </w:rPr>
  </w:style>
  <w:style w:type="character" w:customStyle="1" w:styleId="133">
    <w:name w:val="Îñíîâíîé òåêñò + Êóðñèâ13"/>
    <w:uiPriority w:val="99"/>
    <w:rsid w:val="00BB6316"/>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BB6316"/>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BB6316"/>
    <w:rPr>
      <w:rFonts w:ascii="SimHei" w:eastAsia="SimHei" w:hAnsi="Microsoft Sans Serif" w:cs="SimHei"/>
      <w:i/>
      <w:iCs/>
      <w:spacing w:val="0"/>
      <w:sz w:val="15"/>
      <w:szCs w:val="15"/>
    </w:rPr>
  </w:style>
  <w:style w:type="character" w:customStyle="1" w:styleId="127">
    <w:name w:val="Îñíîâíîé òåêñò + Êóðñèâ12"/>
    <w:uiPriority w:val="99"/>
    <w:rsid w:val="00BB6316"/>
    <w:rPr>
      <w:rFonts w:ascii="Arial" w:hAnsi="Arial" w:cs="Arial"/>
      <w:i/>
      <w:iCs/>
      <w:spacing w:val="-10"/>
      <w:sz w:val="17"/>
      <w:szCs w:val="17"/>
    </w:rPr>
  </w:style>
  <w:style w:type="character" w:customStyle="1" w:styleId="1170">
    <w:name w:val="Îñíîâíîé òåêñò (11) + Íå êóðñèâ7"/>
    <w:uiPriority w:val="99"/>
    <w:rsid w:val="00BB6316"/>
    <w:rPr>
      <w:rFonts w:ascii="Arial" w:hAnsi="Arial" w:cs="Arial"/>
      <w:i/>
      <w:iCs/>
      <w:spacing w:val="-10"/>
      <w:sz w:val="17"/>
      <w:szCs w:val="17"/>
    </w:rPr>
  </w:style>
  <w:style w:type="paragraph" w:customStyle="1" w:styleId="11a">
    <w:name w:val="Çàãîëîâîê ¹11"/>
    <w:basedOn w:val="a"/>
    <w:uiPriority w:val="99"/>
    <w:rsid w:val="00BB6316"/>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BB6316"/>
    <w:rPr>
      <w:rFonts w:ascii="Arial" w:hAnsi="Arial" w:cs="Arial"/>
      <w:b/>
      <w:bCs/>
      <w:sz w:val="13"/>
      <w:szCs w:val="13"/>
    </w:rPr>
  </w:style>
  <w:style w:type="character" w:customStyle="1" w:styleId="1010">
    <w:name w:val="Îñíîâíîé òåêñò (10) + Íå êóðñèâ1"/>
    <w:uiPriority w:val="99"/>
    <w:rsid w:val="00BB6316"/>
    <w:rPr>
      <w:rFonts w:ascii="Arial" w:hAnsi="Arial" w:cs="Arial"/>
      <w:i/>
      <w:iCs/>
      <w:sz w:val="15"/>
      <w:szCs w:val="15"/>
    </w:rPr>
  </w:style>
  <w:style w:type="paragraph" w:customStyle="1" w:styleId="105">
    <w:name w:val="Îñíîâíîé òåêñò (10)"/>
    <w:basedOn w:val="a"/>
    <w:uiPriority w:val="99"/>
    <w:rsid w:val="00BB6316"/>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7">
    <w:name w:val="Îñíîâíîé òåêñò + Ïîëóæèðíûé3"/>
    <w:uiPriority w:val="99"/>
    <w:rsid w:val="00BB6316"/>
    <w:rPr>
      <w:rFonts w:ascii="Arial" w:hAnsi="Arial" w:cs="Arial"/>
      <w:b/>
      <w:bCs/>
      <w:sz w:val="16"/>
      <w:szCs w:val="16"/>
    </w:rPr>
  </w:style>
  <w:style w:type="character" w:customStyle="1" w:styleId="2f6">
    <w:name w:val="Îñíîâíîé òåêñò + Ïîëóæèðíûé2"/>
    <w:uiPriority w:val="99"/>
    <w:rsid w:val="00BB6316"/>
    <w:rPr>
      <w:rFonts w:ascii="Arial" w:hAnsi="Arial" w:cs="Arial"/>
      <w:b/>
      <w:bCs/>
      <w:sz w:val="16"/>
      <w:szCs w:val="16"/>
    </w:rPr>
  </w:style>
  <w:style w:type="character" w:customStyle="1" w:styleId="481">
    <w:name w:val="Îñíîâíîé òåêñò (4) + Íå êóðñèâ8"/>
    <w:uiPriority w:val="99"/>
    <w:rsid w:val="00BB6316"/>
    <w:rPr>
      <w:rFonts w:ascii="Arial" w:hAnsi="Arial" w:cs="Arial"/>
      <w:i/>
      <w:iCs/>
      <w:sz w:val="16"/>
      <w:szCs w:val="16"/>
    </w:rPr>
  </w:style>
  <w:style w:type="character" w:customStyle="1" w:styleId="69">
    <w:name w:val="Îñíîâíîé òåêñò + Êóðñèâ6"/>
    <w:uiPriority w:val="99"/>
    <w:rsid w:val="00BB6316"/>
    <w:rPr>
      <w:rFonts w:ascii="Arial" w:hAnsi="Arial" w:cs="Arial"/>
      <w:i/>
      <w:iCs/>
      <w:spacing w:val="-10"/>
      <w:sz w:val="16"/>
      <w:szCs w:val="16"/>
    </w:rPr>
  </w:style>
  <w:style w:type="character" w:customStyle="1" w:styleId="471">
    <w:name w:val="Îñíîâíîé òåêñò (4) + Íå êóðñèâ7"/>
    <w:uiPriority w:val="99"/>
    <w:rsid w:val="00BB6316"/>
    <w:rPr>
      <w:rFonts w:ascii="Arial" w:hAnsi="Arial" w:cs="Arial"/>
      <w:i/>
      <w:iCs/>
      <w:sz w:val="16"/>
      <w:szCs w:val="16"/>
    </w:rPr>
  </w:style>
  <w:style w:type="character" w:customStyle="1" w:styleId="465pt7">
    <w:name w:val="Îñíîâíîé òåêñò (4) + 6.5 pt7"/>
    <w:uiPriority w:val="99"/>
    <w:rsid w:val="00BB6316"/>
    <w:rPr>
      <w:rFonts w:ascii="Arial" w:hAnsi="Arial" w:cs="Arial"/>
      <w:i/>
      <w:iCs/>
      <w:noProof/>
      <w:sz w:val="13"/>
      <w:szCs w:val="13"/>
    </w:rPr>
  </w:style>
  <w:style w:type="character" w:customStyle="1" w:styleId="27Arial8pt12">
    <w:name w:val="Îñíîâíîé òåêñò (27) + Arial.8 pt1.Íå êóðñèâ2"/>
    <w:uiPriority w:val="99"/>
    <w:rsid w:val="00BB6316"/>
    <w:rPr>
      <w:rFonts w:ascii="Arial" w:hAnsi="Arial" w:cs="Arial"/>
      <w:i/>
      <w:iCs/>
      <w:sz w:val="16"/>
      <w:szCs w:val="16"/>
    </w:rPr>
  </w:style>
  <w:style w:type="character" w:customStyle="1" w:styleId="277">
    <w:name w:val="Îñíîâíîé òåêñò (27) + Ïîëóæèðíûé"/>
    <w:uiPriority w:val="99"/>
    <w:rsid w:val="00BB6316"/>
    <w:rPr>
      <w:rFonts w:ascii="Bookman Old Style" w:hAnsi="Bookman Old Style" w:cs="Bookman Old Style"/>
      <w:b/>
      <w:bCs/>
      <w:i/>
      <w:iCs/>
      <w:sz w:val="17"/>
      <w:szCs w:val="17"/>
    </w:rPr>
  </w:style>
  <w:style w:type="paragraph" w:customStyle="1" w:styleId="4e">
    <w:name w:val="Îñíîâíîé òåêñò (4)"/>
    <w:basedOn w:val="a"/>
    <w:uiPriority w:val="99"/>
    <w:rsid w:val="00BB6316"/>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TimesNewRoman440pt44">
    <w:name w:val="Îñíîâíîé òåêñò + Times New Roman4.40 pt4.Ïîëóæèðíûé4"/>
    <w:uiPriority w:val="99"/>
    <w:rsid w:val="00BB6316"/>
    <w:rPr>
      <w:rFonts w:ascii="Times New Roman" w:hAnsi="Times New Roman" w:cs="Times New Roman"/>
      <w:b/>
      <w:bCs/>
      <w:noProof/>
      <w:sz w:val="80"/>
      <w:szCs w:val="80"/>
    </w:rPr>
  </w:style>
  <w:style w:type="character" w:customStyle="1" w:styleId="322">
    <w:name w:val="Çàãîëîâîê ¹32"/>
    <w:uiPriority w:val="99"/>
    <w:rsid w:val="00BB6316"/>
    <w:rPr>
      <w:b/>
      <w:bCs/>
      <w:sz w:val="36"/>
      <w:szCs w:val="36"/>
    </w:rPr>
  </w:style>
  <w:style w:type="character" w:customStyle="1" w:styleId="TimesNewRoman140pt11">
    <w:name w:val="Îñíîâíîé òåêñò + Times New Roman1.40 pt1.Ïîëóæèðíûé1"/>
    <w:uiPriority w:val="99"/>
    <w:rsid w:val="00BB6316"/>
    <w:rPr>
      <w:rFonts w:ascii="Times New Roman" w:hAnsi="Times New Roman" w:cs="Times New Roman"/>
      <w:b/>
      <w:bCs/>
      <w:noProof/>
      <w:sz w:val="80"/>
      <w:szCs w:val="80"/>
    </w:rPr>
  </w:style>
  <w:style w:type="character" w:customStyle="1" w:styleId="422">
    <w:name w:val="Çàãîëîâîê ¹42"/>
    <w:uiPriority w:val="99"/>
    <w:rsid w:val="00BB6316"/>
    <w:rPr>
      <w:b/>
      <w:bCs/>
      <w:sz w:val="22"/>
      <w:szCs w:val="22"/>
      <w:u w:val="single"/>
    </w:rPr>
  </w:style>
  <w:style w:type="paragraph" w:customStyle="1" w:styleId="318">
    <w:name w:val="Çàãîëîâîê ¹31"/>
    <w:basedOn w:val="a"/>
    <w:uiPriority w:val="99"/>
    <w:rsid w:val="00BB6316"/>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415">
    <w:name w:val="Çàãîëîâîê ¹41"/>
    <w:basedOn w:val="a"/>
    <w:uiPriority w:val="99"/>
    <w:rsid w:val="00BB6316"/>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f">
    <w:name w:val="Êîëîíòèòóë"/>
    <w:basedOn w:val="a"/>
    <w:uiPriority w:val="99"/>
    <w:rsid w:val="00BB6316"/>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BB6316"/>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BB6316"/>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BB6316"/>
    <w:rPr>
      <w:rFonts w:ascii="Times New Roman" w:hAnsi="Times New Roman" w:cs="Times New Roman"/>
      <w:b/>
      <w:bCs/>
      <w:noProof/>
      <w:sz w:val="76"/>
      <w:szCs w:val="76"/>
    </w:rPr>
  </w:style>
  <w:style w:type="character" w:customStyle="1" w:styleId="2120">
    <w:name w:val="Îñíîâíîé òåêñò (21)2"/>
    <w:uiPriority w:val="99"/>
    <w:rsid w:val="00BB6316"/>
    <w:rPr>
      <w:rFonts w:ascii="MS Reference Sans Serif" w:hAnsi="MS Reference Sans Serif" w:cs="MS Reference Sans Serif"/>
      <w:color w:val="FFFFFF"/>
      <w:sz w:val="16"/>
      <w:szCs w:val="16"/>
    </w:rPr>
  </w:style>
  <w:style w:type="character" w:customStyle="1" w:styleId="MSReferenceSansSerif2">
    <w:name w:val="Îñíîâíîé òåêñò + MS Reference Sans Serif2"/>
    <w:uiPriority w:val="99"/>
    <w:rsid w:val="00BB6316"/>
    <w:rPr>
      <w:rFonts w:ascii="MS Reference Sans Serif" w:hAnsi="MS Reference Sans Serif" w:cs="MS Reference Sans Serif"/>
      <w:sz w:val="13"/>
      <w:szCs w:val="13"/>
    </w:rPr>
  </w:style>
  <w:style w:type="character" w:customStyle="1" w:styleId="1113">
    <w:name w:val="Îñíîâíîé òåêñò (11)13"/>
    <w:uiPriority w:val="99"/>
    <w:rsid w:val="00BB6316"/>
    <w:rPr>
      <w:rFonts w:ascii="Arial" w:hAnsi="Arial" w:cs="Arial"/>
      <w:sz w:val="12"/>
      <w:szCs w:val="12"/>
    </w:rPr>
  </w:style>
  <w:style w:type="character" w:customStyle="1" w:styleId="1112">
    <w:name w:val="Îñíîâíîé òåêñò (11)12"/>
    <w:uiPriority w:val="99"/>
    <w:rsid w:val="00BB6316"/>
    <w:rPr>
      <w:rFonts w:ascii="Arial" w:hAnsi="Arial" w:cs="Arial"/>
      <w:sz w:val="12"/>
      <w:szCs w:val="12"/>
    </w:rPr>
  </w:style>
  <w:style w:type="character" w:customStyle="1" w:styleId="MSReferenceSansSerif135pt13">
    <w:name w:val="Îñíîâíîé òåêñò + MS Reference Sans Serif1.35 pt1.Ïîëóæèðíûé3"/>
    <w:uiPriority w:val="99"/>
    <w:rsid w:val="00BB6316"/>
    <w:rPr>
      <w:rFonts w:ascii="MS Reference Sans Serif" w:hAnsi="MS Reference Sans Serif" w:cs="MS Reference Sans Serif"/>
      <w:b/>
      <w:bCs/>
      <w:noProof/>
      <w:sz w:val="70"/>
      <w:szCs w:val="70"/>
    </w:rPr>
  </w:style>
  <w:style w:type="paragraph" w:customStyle="1" w:styleId="154">
    <w:name w:val="Îñíîâíîé òåêñò (15)"/>
    <w:basedOn w:val="a"/>
    <w:uiPriority w:val="99"/>
    <w:rsid w:val="00BB6316"/>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
    <w:uiPriority w:val="99"/>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
    <w:uiPriority w:val="99"/>
    <w:rsid w:val="00BB6316"/>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character" w:customStyle="1" w:styleId="A50">
    <w:name w:val="A5"/>
    <w:uiPriority w:val="99"/>
    <w:rsid w:val="00BB6316"/>
    <w:rPr>
      <w:color w:val="000000"/>
      <w:sz w:val="12"/>
      <w:szCs w:val="12"/>
    </w:rPr>
  </w:style>
  <w:style w:type="paragraph" w:customStyle="1" w:styleId="Pa2">
    <w:name w:val="Pa2"/>
    <w:basedOn w:val="Default"/>
    <w:next w:val="Default"/>
    <w:uiPriority w:val="99"/>
    <w:rsid w:val="00BB6316"/>
    <w:pPr>
      <w:spacing w:line="241" w:lineRule="atLeast"/>
    </w:pPr>
    <w:rPr>
      <w:color w:val="auto"/>
    </w:rPr>
  </w:style>
  <w:style w:type="paragraph" w:customStyle="1" w:styleId="Pa8">
    <w:name w:val="Pa8"/>
    <w:basedOn w:val="Default"/>
    <w:next w:val="Default"/>
    <w:uiPriority w:val="99"/>
    <w:rsid w:val="00BB6316"/>
    <w:pPr>
      <w:spacing w:line="201" w:lineRule="atLeast"/>
    </w:pPr>
    <w:rPr>
      <w:color w:val="auto"/>
    </w:rPr>
  </w:style>
  <w:style w:type="character" w:customStyle="1" w:styleId="2f7">
    <w:name w:val="Îñíîâíîé òåêñò (2)"/>
    <w:uiPriority w:val="99"/>
    <w:rsid w:val="00BB6316"/>
    <w:rPr>
      <w:rFonts w:ascii="MS Reference Sans Serif" w:hAnsi="MS Reference Sans Serif" w:cs="MS Reference Sans Serif"/>
      <w:i/>
      <w:iCs/>
      <w:spacing w:val="-10"/>
      <w:sz w:val="22"/>
      <w:szCs w:val="22"/>
    </w:rPr>
  </w:style>
  <w:style w:type="character" w:customStyle="1" w:styleId="2f8">
    <w:name w:val="Îñíîâíîé òåêñò (2) + Êóðñèâ"/>
    <w:uiPriority w:val="99"/>
    <w:rsid w:val="00BB6316"/>
    <w:rPr>
      <w:rFonts w:ascii="MS Reference Sans Serif" w:hAnsi="MS Reference Sans Serif" w:cs="MS Reference Sans Serif"/>
      <w:i/>
      <w:iCs/>
      <w:spacing w:val="-10"/>
      <w:sz w:val="22"/>
      <w:szCs w:val="22"/>
    </w:rPr>
  </w:style>
  <w:style w:type="paragraph" w:customStyle="1" w:styleId="2f9">
    <w:name w:val="Ïîäïèñü ê êàðòèíêå (2)"/>
    <w:basedOn w:val="a"/>
    <w:uiPriority w:val="99"/>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paragraph" w:customStyle="1" w:styleId="5e">
    <w:name w:val="Îñíîâíîé òåêñò (5)"/>
    <w:basedOn w:val="a"/>
    <w:uiPriority w:val="99"/>
    <w:rsid w:val="00BB6316"/>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105pt0pt">
    <w:name w:val="Îñíîâíîé òåêñò + 10.5 pt.Êóðñèâ.Èíòåðâàë 0 pt"/>
    <w:uiPriority w:val="99"/>
    <w:rsid w:val="00BB6316"/>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BB6316"/>
    <w:rPr>
      <w:rFonts w:ascii="MS Reference Sans Serif" w:hAnsi="MS Reference Sans Serif" w:cs="MS Reference Sans Serif"/>
      <w:spacing w:val="-10"/>
      <w:sz w:val="23"/>
      <w:szCs w:val="23"/>
    </w:rPr>
  </w:style>
  <w:style w:type="paragraph" w:customStyle="1" w:styleId="3f8">
    <w:name w:val="Îñíîâíîé òåêñò (3)"/>
    <w:basedOn w:val="a"/>
    <w:uiPriority w:val="99"/>
    <w:rsid w:val="00BB6316"/>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BB6316"/>
    <w:rPr>
      <w:rFonts w:ascii="Arial Narrow" w:hAnsi="Arial Narrow" w:cs="Arial Narrow"/>
      <w:b/>
      <w:bCs/>
      <w:spacing w:val="-20"/>
      <w:sz w:val="27"/>
      <w:szCs w:val="27"/>
    </w:rPr>
  </w:style>
  <w:style w:type="character" w:customStyle="1" w:styleId="0pt0">
    <w:name w:val="Îñíîâíîé òåêñò + Èíòåðâàë 0 pt"/>
    <w:uiPriority w:val="99"/>
    <w:rsid w:val="00BB6316"/>
    <w:rPr>
      <w:rFonts w:ascii="MS Reference Sans Serif" w:hAnsi="MS Reference Sans Serif" w:cs="MS Reference Sans Serif"/>
      <w:i/>
      <w:iCs/>
      <w:spacing w:val="10"/>
      <w:sz w:val="22"/>
      <w:szCs w:val="22"/>
    </w:rPr>
  </w:style>
  <w:style w:type="character" w:customStyle="1" w:styleId="21pt">
    <w:name w:val="Îñíîâíîé òåêñò (2) + Èíòåðâàë 1 pt"/>
    <w:uiPriority w:val="99"/>
    <w:rsid w:val="00BB6316"/>
    <w:rPr>
      <w:rFonts w:ascii="Tahoma" w:hAnsi="Tahoma" w:cs="Tahoma"/>
      <w:i/>
      <w:iCs/>
      <w:noProof/>
      <w:spacing w:val="30"/>
      <w:sz w:val="24"/>
      <w:szCs w:val="24"/>
    </w:rPr>
  </w:style>
  <w:style w:type="character" w:customStyle="1" w:styleId="2pt">
    <w:name w:val="Îñíîâíîé òåêñò + Èíòåðâàë 2 pt"/>
    <w:uiPriority w:val="99"/>
    <w:rsid w:val="00BB6316"/>
    <w:rPr>
      <w:rFonts w:ascii="Tahoma" w:hAnsi="Tahoma" w:cs="Tahoma"/>
      <w:i/>
      <w:iCs/>
      <w:spacing w:val="40"/>
      <w:sz w:val="21"/>
      <w:szCs w:val="21"/>
    </w:rPr>
  </w:style>
  <w:style w:type="character" w:customStyle="1" w:styleId="2pt1">
    <w:name w:val="Îñíîâíîé òåêñò + Èíòåðâàë 2 pt1"/>
    <w:uiPriority w:val="99"/>
    <w:rsid w:val="00BB6316"/>
    <w:rPr>
      <w:rFonts w:ascii="Tahoma" w:hAnsi="Tahoma" w:cs="Tahoma"/>
      <w:i/>
      <w:iCs/>
      <w:spacing w:val="40"/>
      <w:sz w:val="21"/>
      <w:szCs w:val="21"/>
    </w:rPr>
  </w:style>
  <w:style w:type="character" w:customStyle="1" w:styleId="211pt">
    <w:name w:val="Îñíîâíîé òåêñò (2) + 11 pt.Êóðñèâ"/>
    <w:uiPriority w:val="99"/>
    <w:rsid w:val="00BB6316"/>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BB6316"/>
    <w:rPr>
      <w:rFonts w:ascii="Batang" w:eastAsia="Batang" w:cs="Batang"/>
      <w:noProof/>
      <w:spacing w:val="-30"/>
      <w:sz w:val="32"/>
      <w:szCs w:val="32"/>
    </w:rPr>
  </w:style>
  <w:style w:type="character" w:customStyle="1" w:styleId="afffff0">
    <w:name w:val="Êîëîíòèòóë_"/>
    <w:uiPriority w:val="99"/>
    <w:rsid w:val="00BB6316"/>
    <w:rPr>
      <w:noProof/>
    </w:rPr>
  </w:style>
  <w:style w:type="character" w:customStyle="1" w:styleId="1095pt4">
    <w:name w:val="Îñíîâíîé òåêñò (10) + 9.5 pt4.Íå ìàëûå ïðîïèñíûå"/>
    <w:uiPriority w:val="99"/>
    <w:rsid w:val="00BB6316"/>
    <w:rPr>
      <w:rFonts w:ascii="Microsoft Sans Serif" w:hAnsi="Microsoft Sans Serif" w:cs="Microsoft Sans Serif"/>
      <w:smallCaps/>
      <w:noProof/>
      <w:spacing w:val="0"/>
      <w:sz w:val="19"/>
      <w:szCs w:val="19"/>
    </w:rPr>
  </w:style>
  <w:style w:type="character" w:customStyle="1" w:styleId="106">
    <w:name w:val="Îñíîâíîé òåêñò (10)_"/>
    <w:uiPriority w:val="99"/>
    <w:rsid w:val="00BB6316"/>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BB6316"/>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BB6316"/>
    <w:rPr>
      <w:rFonts w:ascii="Microsoft Sans Serif" w:hAnsi="Microsoft Sans Serif" w:cs="Microsoft Sans Serif"/>
      <w:i/>
      <w:iCs/>
      <w:noProof/>
      <w:spacing w:val="30"/>
      <w:sz w:val="21"/>
      <w:szCs w:val="21"/>
    </w:rPr>
  </w:style>
  <w:style w:type="character" w:customStyle="1" w:styleId="2-1pt">
    <w:name w:val="Îñíîâíîé òåêñò (2) + Èíòåðâàë -1 pt"/>
    <w:uiPriority w:val="99"/>
    <w:rsid w:val="00BB6316"/>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BB6316"/>
    <w:rPr>
      <w:rFonts w:ascii="Trebuchet MS" w:hAnsi="Trebuchet MS" w:cs="Trebuchet MS"/>
      <w:noProof/>
      <w:sz w:val="31"/>
      <w:szCs w:val="31"/>
    </w:rPr>
  </w:style>
  <w:style w:type="character" w:customStyle="1" w:styleId="22pt">
    <w:name w:val="Îñíîâíîé òåêñò (2) + Èíòåðâàë 2 pt"/>
    <w:uiPriority w:val="99"/>
    <w:rsid w:val="00BB6316"/>
    <w:rPr>
      <w:rFonts w:ascii="Tahoma" w:hAnsi="Tahoma" w:cs="Tahoma"/>
      <w:i/>
      <w:iCs/>
      <w:noProof/>
      <w:spacing w:val="40"/>
      <w:sz w:val="21"/>
      <w:szCs w:val="21"/>
    </w:rPr>
  </w:style>
  <w:style w:type="character" w:customStyle="1" w:styleId="1pt0">
    <w:name w:val="Îñíîâíîé òåêñò + Èíòåðâàë 1 pt"/>
    <w:uiPriority w:val="99"/>
    <w:rsid w:val="00BB6316"/>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BB6316"/>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BB6316"/>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BB6316"/>
    <w:rPr>
      <w:rFonts w:ascii="Tahoma" w:hAnsi="Tahoma" w:cs="Tahoma"/>
      <w:i/>
      <w:iCs/>
      <w:spacing w:val="50"/>
      <w:sz w:val="21"/>
      <w:szCs w:val="21"/>
    </w:rPr>
  </w:style>
  <w:style w:type="character" w:customStyle="1" w:styleId="4f">
    <w:name w:val="Îñíîâíîé òåêñò (4)_"/>
    <w:uiPriority w:val="99"/>
    <w:rsid w:val="00BB6316"/>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BB6316"/>
    <w:rPr>
      <w:rFonts w:ascii="Franklin Gothic Heavy" w:hAnsi="Franklin Gothic Heavy" w:cs="Franklin Gothic Heavy"/>
      <w:spacing w:val="-10"/>
      <w:sz w:val="12"/>
      <w:szCs w:val="12"/>
    </w:rPr>
  </w:style>
  <w:style w:type="character" w:customStyle="1" w:styleId="Tahoma">
    <w:name w:val="Îñíîâíîé òåêñò + Tahoma.Ïîëóæèðíûé.Êóðñèâ"/>
    <w:uiPriority w:val="99"/>
    <w:rsid w:val="00BB6316"/>
    <w:rPr>
      <w:rFonts w:ascii="Tahoma" w:hAnsi="Tahoma" w:cs="Tahoma"/>
      <w:b/>
      <w:bCs/>
      <w:i/>
      <w:iCs/>
      <w:spacing w:val="-10"/>
      <w:sz w:val="12"/>
      <w:szCs w:val="12"/>
      <w:lang w:val="en-US"/>
    </w:rPr>
  </w:style>
  <w:style w:type="character" w:customStyle="1" w:styleId="afffff1">
    <w:name w:val="Îñíîâíîé òåêñò + Ïîëóæèðíûé"/>
    <w:uiPriority w:val="99"/>
    <w:rsid w:val="00BB6316"/>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BB6316"/>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BB6316"/>
    <w:rPr>
      <w:rFonts w:ascii="Tahoma" w:hAnsi="Tahoma" w:cs="Tahoma"/>
      <w:b/>
      <w:bCs/>
      <w:spacing w:val="-10"/>
      <w:sz w:val="11"/>
      <w:szCs w:val="11"/>
    </w:rPr>
  </w:style>
  <w:style w:type="character" w:customStyle="1" w:styleId="1f7">
    <w:name w:val="Îñíîâíîé òåêñò + Êóðñèâ1"/>
    <w:uiPriority w:val="99"/>
    <w:rsid w:val="00BB6316"/>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BB6316"/>
    <w:rPr>
      <w:rFonts w:ascii="Arial" w:hAnsi="Arial" w:cs="Arial"/>
      <w:b/>
      <w:bCs/>
      <w:spacing w:val="0"/>
      <w:sz w:val="13"/>
      <w:szCs w:val="13"/>
    </w:rPr>
  </w:style>
  <w:style w:type="character" w:customStyle="1" w:styleId="725pt6">
    <w:name w:val="Îñíîâíîé òåêñò + 72.5 pt6"/>
    <w:uiPriority w:val="99"/>
    <w:rsid w:val="00BB6316"/>
    <w:rPr>
      <w:rFonts w:ascii="Arial" w:hAnsi="Arial" w:cs="Arial"/>
      <w:spacing w:val="-10"/>
      <w:sz w:val="15"/>
      <w:szCs w:val="15"/>
    </w:rPr>
  </w:style>
  <w:style w:type="character" w:customStyle="1" w:styleId="6pt0pt6">
    <w:name w:val="Îñíîâíîé òåêñò + 6 pt.Èíòåðâàë 0 pt6"/>
    <w:uiPriority w:val="99"/>
    <w:rsid w:val="00BB6316"/>
    <w:rPr>
      <w:rFonts w:ascii="Arial" w:hAnsi="Arial" w:cs="Arial"/>
      <w:spacing w:val="0"/>
      <w:sz w:val="12"/>
      <w:szCs w:val="12"/>
    </w:rPr>
  </w:style>
  <w:style w:type="paragraph" w:customStyle="1" w:styleId="216">
    <w:name w:val="Ïîäïèñü ê êàðòèíêå (2)1"/>
    <w:basedOn w:val="a"/>
    <w:uiPriority w:val="99"/>
    <w:rsid w:val="00BB6316"/>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character" w:customStyle="1" w:styleId="1f8">
    <w:name w:val="Îñíîâíîé òåêñò + Ìàëûå ïðîïèñíûå1"/>
    <w:uiPriority w:val="99"/>
    <w:rsid w:val="00BB6316"/>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BB6316"/>
    <w:rPr>
      <w:rFonts w:ascii="Franklin Gothic Book" w:hAnsi="Franklin Gothic Book" w:cs="Franklin Gothic Book"/>
      <w:smallCaps/>
      <w:spacing w:val="-10"/>
      <w:sz w:val="22"/>
      <w:szCs w:val="22"/>
    </w:rPr>
  </w:style>
  <w:style w:type="paragraph" w:customStyle="1" w:styleId="128">
    <w:name w:val="Çàãîëîâîê ¹12"/>
    <w:basedOn w:val="a"/>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368">
    <w:name w:val="Îñíîâíîé òåêñò (36) + Íå êóðñèâ8"/>
    <w:uiPriority w:val="99"/>
    <w:rsid w:val="00BB6316"/>
    <w:rPr>
      <w:rFonts w:ascii="Arial" w:hAnsi="Arial" w:cs="Arial"/>
      <w:spacing w:val="0"/>
      <w:sz w:val="8"/>
      <w:szCs w:val="8"/>
    </w:rPr>
  </w:style>
  <w:style w:type="paragraph" w:customStyle="1" w:styleId="361">
    <w:name w:val="Îñíîâíîé òåêñò (36)"/>
    <w:basedOn w:val="a"/>
    <w:uiPriority w:val="99"/>
    <w:rsid w:val="00BB6316"/>
    <w:pPr>
      <w:shd w:val="clear" w:color="auto" w:fill="FFFFFF"/>
      <w:autoSpaceDE w:val="0"/>
      <w:autoSpaceDN w:val="0"/>
      <w:adjustRightInd w:val="0"/>
      <w:spacing w:after="0" w:line="106" w:lineRule="exact"/>
      <w:jc w:val="both"/>
    </w:pPr>
    <w:rPr>
      <w:rFonts w:ascii="Arial" w:hAnsi="Arial" w:cs="Arial"/>
      <w:i/>
      <w:iCs/>
      <w:sz w:val="8"/>
      <w:szCs w:val="8"/>
    </w:rPr>
  </w:style>
  <w:style w:type="paragraph" w:customStyle="1" w:styleId="129">
    <w:name w:val="Îñíîâíîé òåêñò (12)"/>
    <w:basedOn w:val="a"/>
    <w:uiPriority w:val="99"/>
    <w:rsid w:val="00BB6316"/>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1f9">
    <w:name w:val="Обычный (веб)1"/>
    <w:basedOn w:val="a"/>
    <w:rsid w:val="00BB6316"/>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paragraph" w:customStyle="1" w:styleId="95">
    <w:name w:val="Основной текст9"/>
    <w:basedOn w:val="a"/>
    <w:rsid w:val="00BB6316"/>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1fa">
    <w:name w:val="Слабое выделение1"/>
    <w:rsid w:val="00BB6316"/>
    <w:rPr>
      <w:i/>
      <w:color w:val="808080"/>
    </w:rPr>
  </w:style>
  <w:style w:type="table" w:styleId="afffff2">
    <w:name w:val="Table Grid"/>
    <w:basedOn w:val="a1"/>
    <w:uiPriority w:val="59"/>
    <w:rsid w:val="00BB631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ucidaSansUnicode">
    <w:name w:val="Основной текст + Lucida Sans Unicode"/>
    <w:rsid w:val="00BB6316"/>
    <w:rPr>
      <w:rFonts w:ascii="Lucida Sans Unicode" w:hAnsi="Lucida Sans Unicode"/>
      <w:smallCaps/>
      <w:spacing w:val="-20"/>
      <w:sz w:val="17"/>
    </w:rPr>
  </w:style>
  <w:style w:type="character" w:customStyle="1" w:styleId="183">
    <w:name w:val="Основной текст (18)_"/>
    <w:link w:val="182"/>
    <w:uiPriority w:val="99"/>
    <w:rsid w:val="00BB6316"/>
    <w:rPr>
      <w:rFonts w:ascii="Arial" w:hAnsi="Arial" w:cs="Arial"/>
      <w:sz w:val="24"/>
      <w:szCs w:val="24"/>
      <w:shd w:val="clear" w:color="auto" w:fill="FFFFFF"/>
      <w:lang w:eastAsia="en-US"/>
    </w:rPr>
  </w:style>
  <w:style w:type="character" w:customStyle="1" w:styleId="aff4">
    <w:name w:val="Сноска_"/>
    <w:link w:val="aff3"/>
    <w:uiPriority w:val="99"/>
    <w:rsid w:val="00BB6316"/>
    <w:rPr>
      <w:rFonts w:ascii="Lucida Sans Unicode" w:hAnsi="Lucida Sans Unicode" w:cs="Lucida Sans Unicode"/>
      <w:i/>
      <w:iCs/>
      <w:noProof/>
      <w:sz w:val="13"/>
      <w:szCs w:val="13"/>
      <w:shd w:val="clear" w:color="auto" w:fill="FFFFFF"/>
      <w:lang w:val="en-US" w:eastAsia="en-US"/>
    </w:rPr>
  </w:style>
  <w:style w:type="character" w:customStyle="1" w:styleId="198">
    <w:name w:val="Основной текст (19) + 8"/>
    <w:rsid w:val="00BB6316"/>
    <w:rPr>
      <w:rFonts w:ascii="Times New Roman" w:hAnsi="Times New Roman"/>
      <w:sz w:val="17"/>
    </w:rPr>
  </w:style>
  <w:style w:type="character" w:styleId="afffff3">
    <w:name w:val="annotation reference"/>
    <w:uiPriority w:val="99"/>
    <w:semiHidden/>
    <w:unhideWhenUsed/>
    <w:rsid w:val="00BB6316"/>
    <w:rPr>
      <w:sz w:val="16"/>
      <w:szCs w:val="16"/>
    </w:rPr>
  </w:style>
  <w:style w:type="paragraph" w:styleId="afffff4">
    <w:name w:val="annotation text"/>
    <w:basedOn w:val="a"/>
    <w:link w:val="afffff5"/>
    <w:uiPriority w:val="99"/>
    <w:semiHidden/>
    <w:unhideWhenUsed/>
    <w:rsid w:val="00BB6316"/>
    <w:pPr>
      <w:spacing w:after="200" w:line="240" w:lineRule="auto"/>
    </w:pPr>
    <w:rPr>
      <w:sz w:val="20"/>
      <w:szCs w:val="20"/>
    </w:rPr>
  </w:style>
  <w:style w:type="character" w:customStyle="1" w:styleId="afffff5">
    <w:name w:val="Текст примечания Знак"/>
    <w:link w:val="afffff4"/>
    <w:uiPriority w:val="99"/>
    <w:semiHidden/>
    <w:rsid w:val="00BB6316"/>
    <w:rPr>
      <w:lang w:eastAsia="en-US"/>
    </w:rPr>
  </w:style>
  <w:style w:type="paragraph" w:styleId="afffff6">
    <w:name w:val="annotation subject"/>
    <w:basedOn w:val="afffff4"/>
    <w:next w:val="afffff4"/>
    <w:link w:val="afffff7"/>
    <w:uiPriority w:val="99"/>
    <w:semiHidden/>
    <w:unhideWhenUsed/>
    <w:rsid w:val="00BB6316"/>
    <w:rPr>
      <w:b/>
      <w:bCs/>
    </w:rPr>
  </w:style>
  <w:style w:type="character" w:customStyle="1" w:styleId="afffff7">
    <w:name w:val="Тема примечания Знак"/>
    <w:link w:val="afffff6"/>
    <w:uiPriority w:val="99"/>
    <w:semiHidden/>
    <w:rsid w:val="00BB6316"/>
    <w:rPr>
      <w:b/>
      <w:bCs/>
      <w:lang w:eastAsia="en-US"/>
    </w:rPr>
  </w:style>
  <w:style w:type="paragraph" w:styleId="afffff8">
    <w:name w:val="Balloon Text"/>
    <w:basedOn w:val="a"/>
    <w:link w:val="afffff9"/>
    <w:uiPriority w:val="99"/>
    <w:semiHidden/>
    <w:unhideWhenUsed/>
    <w:rsid w:val="00BB6316"/>
    <w:pPr>
      <w:spacing w:after="0" w:line="240" w:lineRule="auto"/>
    </w:pPr>
    <w:rPr>
      <w:rFonts w:ascii="Segoe UI" w:hAnsi="Segoe UI" w:cs="Segoe UI"/>
      <w:sz w:val="18"/>
      <w:szCs w:val="18"/>
    </w:rPr>
  </w:style>
  <w:style w:type="character" w:customStyle="1" w:styleId="afffff9">
    <w:name w:val="Текст выноски Знак"/>
    <w:link w:val="afffff8"/>
    <w:uiPriority w:val="99"/>
    <w:semiHidden/>
    <w:rsid w:val="00BB6316"/>
    <w:rPr>
      <w:rFonts w:ascii="Segoe UI" w:hAnsi="Segoe UI" w:cs="Segoe UI"/>
      <w:sz w:val="18"/>
      <w:szCs w:val="18"/>
      <w:lang w:eastAsia="en-US"/>
    </w:rPr>
  </w:style>
  <w:style w:type="character" w:customStyle="1" w:styleId="mfont1">
    <w:name w:val="mfont1"/>
    <w:rsid w:val="00BB6316"/>
  </w:style>
  <w:style w:type="table" w:customStyle="1" w:styleId="1fb">
    <w:name w:val="Сетка таблицы светлая1"/>
    <w:basedOn w:val="a1"/>
    <w:uiPriority w:val="40"/>
    <w:rsid w:val="00BB6316"/>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73">
    <w:name w:val="Основной текст (7)_"/>
    <w:link w:val="72"/>
    <w:rsid w:val="00BB6316"/>
    <w:rPr>
      <w:rFonts w:ascii="Arial Unicode MS" w:eastAsia="Arial Unicode MS" w:hAnsi="Times New Roman" w:cs="Arial Unicode MS"/>
      <w:spacing w:val="20"/>
      <w:sz w:val="25"/>
      <w:szCs w:val="25"/>
      <w:shd w:val="clear" w:color="auto" w:fill="FFFFFF"/>
      <w:lang w:eastAsia="en-US"/>
    </w:rPr>
  </w:style>
  <w:style w:type="character" w:customStyle="1" w:styleId="ArialNarrow85pt">
    <w:name w:val="Основной текст + Arial Narrow;8;5 pt;Курсив"/>
    <w:rsid w:val="00BB6316"/>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35">
    <w:name w:val="Основной текст (3)_"/>
    <w:link w:val="34"/>
    <w:rsid w:val="00BB6316"/>
    <w:rPr>
      <w:rFonts w:ascii="Gungsuh" w:eastAsia="Gungsuh" w:hAnsi="Times New Roman" w:cs="Gungsuh"/>
      <w:spacing w:val="20"/>
      <w:sz w:val="35"/>
      <w:szCs w:val="35"/>
      <w:shd w:val="clear" w:color="auto" w:fill="FFFFFF"/>
      <w:lang w:eastAsia="en-US"/>
    </w:rPr>
  </w:style>
  <w:style w:type="character" w:customStyle="1" w:styleId="3Tahoma8pt">
    <w:name w:val="Основной текст (3) + Tahoma;8 pt;Не курсив"/>
    <w:rsid w:val="00BB6316"/>
    <w:rPr>
      <w:rFonts w:ascii="Tahoma" w:eastAsia="Tahoma" w:hAnsi="Tahoma" w:cs="Tahoma"/>
      <w:i/>
      <w:iCs/>
      <w:spacing w:val="20"/>
      <w:sz w:val="35"/>
      <w:szCs w:val="35"/>
      <w:shd w:val="clear" w:color="auto" w:fill="FFFFFF"/>
    </w:rPr>
  </w:style>
  <w:style w:type="paragraph" w:customStyle="1" w:styleId="6a">
    <w:name w:val="Основной текст (6)"/>
    <w:basedOn w:val="a"/>
    <w:link w:val="6b"/>
    <w:rsid w:val="00BB6316"/>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b">
    <w:name w:val="Основной текст (6)_"/>
    <w:link w:val="6a"/>
    <w:rsid w:val="00BB6316"/>
    <w:rPr>
      <w:rFonts w:eastAsia="Times New Roman"/>
      <w:sz w:val="24"/>
      <w:shd w:val="clear" w:color="auto" w:fill="FFFFFF"/>
    </w:rPr>
  </w:style>
  <w:style w:type="character" w:customStyle="1" w:styleId="612">
    <w:name w:val="Основной текст (6) + Не курсив1"/>
    <w:uiPriority w:val="99"/>
    <w:rsid w:val="00BB6316"/>
    <w:rPr>
      <w:rFonts w:ascii="Arial Narrow" w:eastAsia="Microsoft Sans Serif" w:hAnsi="Arial Narrow" w:cs="Arial Narrow"/>
      <w:i/>
      <w:iCs/>
      <w:spacing w:val="0"/>
      <w:sz w:val="17"/>
      <w:szCs w:val="17"/>
      <w:shd w:val="clear" w:color="auto" w:fill="FFFFFF"/>
      <w:lang w:eastAsia="ru-RU"/>
    </w:rPr>
  </w:style>
  <w:style w:type="character" w:customStyle="1" w:styleId="622">
    <w:name w:val="Основной текст (6) + Не курсив2"/>
    <w:uiPriority w:val="99"/>
    <w:rsid w:val="00BB6316"/>
    <w:rPr>
      <w:rFonts w:ascii="Arial Narrow" w:eastAsia="Microsoft Sans Serif" w:hAnsi="Arial Narrow" w:cs="Arial Narrow"/>
      <w:i/>
      <w:iCs/>
      <w:spacing w:val="0"/>
      <w:sz w:val="17"/>
      <w:szCs w:val="17"/>
      <w:shd w:val="clear" w:color="auto" w:fill="FFFFFF"/>
      <w:lang w:eastAsia="ru-RU"/>
    </w:rPr>
  </w:style>
  <w:style w:type="paragraph" w:customStyle="1" w:styleId="323">
    <w:name w:val="Основной текст (32)"/>
    <w:basedOn w:val="a"/>
    <w:link w:val="324"/>
    <w:rsid w:val="00BB6316"/>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4">
    <w:name w:val="Основной текст (32)_"/>
    <w:link w:val="323"/>
    <w:rsid w:val="00BB6316"/>
    <w:rPr>
      <w:rFonts w:ascii="Arial" w:eastAsia="Times New Roman" w:hAnsi="Arial"/>
      <w:sz w:val="27"/>
      <w:shd w:val="clear" w:color="auto" w:fill="FFFFFF"/>
    </w:rPr>
  </w:style>
  <w:style w:type="character" w:customStyle="1" w:styleId="119pt">
    <w:name w:val="Основной текст (11) + 9 pt;Полужирный"/>
    <w:rsid w:val="00BB6316"/>
    <w:rPr>
      <w:rFonts w:ascii="Times New Roman" w:eastAsia="Times New Roman" w:hAnsi="Times New Roman" w:cs="Times New Roman"/>
      <w:b/>
      <w:bCs/>
      <w:i w:val="0"/>
      <w:iCs w:val="0"/>
      <w:smallCaps w:val="0"/>
      <w:strike w:val="0"/>
      <w:spacing w:val="0"/>
      <w:sz w:val="18"/>
      <w:szCs w:val="18"/>
    </w:rPr>
  </w:style>
  <w:style w:type="character" w:customStyle="1" w:styleId="ArialNarrow-1pt">
    <w:name w:val="Основной текст + Arial Narrow;Полужирный;Интервал -1 pt"/>
    <w:rsid w:val="00BB6316"/>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631">
    <w:name w:val="Основной текст (6) + Не курсив3"/>
    <w:uiPriority w:val="99"/>
    <w:rsid w:val="00BB6316"/>
    <w:rPr>
      <w:rFonts w:ascii="Arial Narrow" w:eastAsia="Microsoft Sans Serif" w:hAnsi="Arial Narrow" w:cs="Arial Narrow"/>
      <w:i/>
      <w:iCs/>
      <w:spacing w:val="0"/>
      <w:sz w:val="17"/>
      <w:szCs w:val="17"/>
      <w:shd w:val="clear" w:color="auto" w:fill="FFFFFF"/>
      <w:lang w:eastAsia="ru-RU"/>
    </w:rPr>
  </w:style>
  <w:style w:type="paragraph" w:customStyle="1" w:styleId="book">
    <w:name w:val="book"/>
    <w:basedOn w:val="a"/>
    <w:rsid w:val="00715152"/>
    <w:pPr>
      <w:spacing w:after="0" w:line="240" w:lineRule="auto"/>
      <w:ind w:firstLine="300"/>
    </w:pPr>
    <w:rPr>
      <w:rFonts w:ascii="Times New Roman" w:eastAsia="Times New Roman" w:hAnsi="Times New Roman"/>
      <w:sz w:val="24"/>
      <w:szCs w:val="24"/>
      <w:lang w:eastAsia="ru-RU"/>
    </w:rPr>
  </w:style>
  <w:style w:type="character" w:customStyle="1" w:styleId="46">
    <w:name w:val="Основной текст (4)_"/>
    <w:link w:val="45"/>
    <w:uiPriority w:val="99"/>
    <w:rsid w:val="00C4748B"/>
    <w:rPr>
      <w:rFonts w:ascii="Gungsuh" w:eastAsia="Gungsuh" w:hAnsi="Times New Roman" w:cs="Gungsuh"/>
      <w:sz w:val="13"/>
      <w:szCs w:val="13"/>
      <w:shd w:val="clear" w:color="auto" w:fill="FFFFFF"/>
      <w:lang w:eastAsia="en-US"/>
    </w:rPr>
  </w:style>
  <w:style w:type="character" w:customStyle="1" w:styleId="4f0">
    <w:name w:val="Основной текст (4) + Не курсив"/>
    <w:rsid w:val="00C4748B"/>
    <w:rPr>
      <w:rFonts w:ascii="Arial Narrow" w:eastAsia="Arial Narrow" w:hAnsi="Arial Narrow" w:cs="Arial Narrow"/>
      <w:i/>
      <w:iCs/>
      <w:sz w:val="18"/>
      <w:szCs w:val="18"/>
      <w:shd w:val="clear" w:color="auto" w:fill="FFFFFF"/>
    </w:rPr>
  </w:style>
  <w:style w:type="character" w:customStyle="1" w:styleId="2a">
    <w:name w:val="Основной текст (2)_"/>
    <w:link w:val="28"/>
    <w:rsid w:val="00DD0C17"/>
    <w:rPr>
      <w:rFonts w:ascii="Segoe UI" w:hAnsi="Segoe UI" w:cs="Segoe UI"/>
      <w:sz w:val="13"/>
      <w:szCs w:val="13"/>
      <w:shd w:val="clear" w:color="auto" w:fill="FFFFFF"/>
      <w:lang w:eastAsia="en-US"/>
    </w:rPr>
  </w:style>
  <w:style w:type="character" w:customStyle="1" w:styleId="aff2">
    <w:name w:val="Подпись к таблице_"/>
    <w:link w:val="aff1"/>
    <w:uiPriority w:val="99"/>
    <w:rsid w:val="00DD0C17"/>
    <w:rPr>
      <w:rFonts w:ascii="Arial Narrow" w:hAnsi="Arial Narrow" w:cs="Arial Narrow"/>
      <w:i/>
      <w:iCs/>
      <w:noProof/>
      <w:shd w:val="clear" w:color="auto" w:fill="FFFFFF"/>
      <w:lang w:val="en-US" w:eastAsia="en-US"/>
    </w:rPr>
  </w:style>
  <w:style w:type="character" w:customStyle="1" w:styleId="affa">
    <w:name w:val="Подпись к картинке_"/>
    <w:link w:val="aff9"/>
    <w:uiPriority w:val="99"/>
    <w:rsid w:val="00DD0C17"/>
    <w:rPr>
      <w:rFonts w:ascii="MS Reference Sans Serif" w:hAnsi="MS Reference Sans Serif" w:cs="MS Reference Sans Serif"/>
      <w:b/>
      <w:bCs/>
      <w:sz w:val="13"/>
      <w:szCs w:val="13"/>
      <w:shd w:val="clear" w:color="auto" w:fill="FFFFFF"/>
      <w:lang w:eastAsia="en-US"/>
    </w:rPr>
  </w:style>
  <w:style w:type="character" w:customStyle="1" w:styleId="122">
    <w:name w:val="Основной текст (12)_"/>
    <w:link w:val="121"/>
    <w:uiPriority w:val="99"/>
    <w:rsid w:val="00DD0C17"/>
    <w:rPr>
      <w:rFonts w:ascii="MS Reference Sans Serif" w:hAnsi="MS Reference Sans Serif" w:cs="MS Reference Sans Serif"/>
      <w:b/>
      <w:bCs/>
      <w:sz w:val="13"/>
      <w:szCs w:val="13"/>
      <w:shd w:val="clear" w:color="auto" w:fill="FFFFFF"/>
      <w:lang w:eastAsia="en-US"/>
    </w:rPr>
  </w:style>
  <w:style w:type="character" w:customStyle="1" w:styleId="341">
    <w:name w:val="Основной текст (34)_"/>
    <w:link w:val="340"/>
    <w:rsid w:val="00DD0C17"/>
    <w:rPr>
      <w:rFonts w:ascii="Arial Narrow" w:hAnsi="Arial Narrow" w:cs="Arial Narrow"/>
      <w:b/>
      <w:bCs/>
      <w:sz w:val="17"/>
      <w:szCs w:val="17"/>
      <w:shd w:val="clear" w:color="auto" w:fill="FFFFFF"/>
      <w:lang w:eastAsia="en-US"/>
    </w:rPr>
  </w:style>
  <w:style w:type="character" w:customStyle="1" w:styleId="500">
    <w:name w:val="Основной текст (50)_"/>
    <w:link w:val="501"/>
    <w:rsid w:val="00DD0C17"/>
    <w:rPr>
      <w:rFonts w:ascii="Arial" w:hAnsi="Arial" w:cs="Arial"/>
      <w:sz w:val="11"/>
      <w:szCs w:val="11"/>
      <w:shd w:val="clear" w:color="auto" w:fill="FFFFFF"/>
    </w:rPr>
  </w:style>
  <w:style w:type="character" w:customStyle="1" w:styleId="511">
    <w:name w:val="Основной текст (51)_"/>
    <w:link w:val="510"/>
    <w:rsid w:val="00DD0C17"/>
    <w:rPr>
      <w:rFonts w:ascii="Bookman Old Style" w:hAnsi="Bookman Old Style" w:cs="Bookman Old Style"/>
      <w:i/>
      <w:iCs/>
      <w:shd w:val="clear" w:color="auto" w:fill="FFFFFF"/>
      <w:lang w:eastAsia="en-US"/>
    </w:rPr>
  </w:style>
  <w:style w:type="character" w:customStyle="1" w:styleId="520">
    <w:name w:val="Основной текст (52)_"/>
    <w:link w:val="52"/>
    <w:rsid w:val="00DD0C17"/>
    <w:rPr>
      <w:rFonts w:ascii="MS Reference Sans Serif" w:hAnsi="MS Reference Sans Serif" w:cs="MS Reference Sans Serif"/>
      <w:sz w:val="13"/>
      <w:szCs w:val="13"/>
      <w:shd w:val="clear" w:color="auto" w:fill="FFFFFF"/>
      <w:lang w:eastAsia="en-US"/>
    </w:rPr>
  </w:style>
  <w:style w:type="character" w:customStyle="1" w:styleId="550">
    <w:name w:val="Основной текст (55)_"/>
    <w:link w:val="55"/>
    <w:rsid w:val="00DD0C17"/>
    <w:rPr>
      <w:rFonts w:ascii="MS Reference Sans Serif" w:hAnsi="MS Reference Sans Serif" w:cs="MS Reference Sans Serif"/>
      <w:noProof/>
      <w:sz w:val="8"/>
      <w:szCs w:val="8"/>
      <w:shd w:val="clear" w:color="auto" w:fill="FFFFFF"/>
      <w:lang w:val="en-US" w:eastAsia="en-US"/>
    </w:rPr>
  </w:style>
  <w:style w:type="character" w:customStyle="1" w:styleId="570">
    <w:name w:val="Основной текст (57)_"/>
    <w:link w:val="57"/>
    <w:rsid w:val="00DD0C17"/>
    <w:rPr>
      <w:rFonts w:ascii="Sylfaen" w:hAnsi="Sylfaen" w:cs="Sylfaen"/>
      <w:noProof/>
      <w:sz w:val="8"/>
      <w:szCs w:val="8"/>
      <w:shd w:val="clear" w:color="auto" w:fill="FFFFFF"/>
      <w:lang w:val="en-US" w:eastAsia="en-US"/>
    </w:rPr>
  </w:style>
  <w:style w:type="character" w:customStyle="1" w:styleId="581">
    <w:name w:val="Основной текст (58)_"/>
    <w:link w:val="580"/>
    <w:rsid w:val="00DD0C17"/>
    <w:rPr>
      <w:rFonts w:ascii="MS Reference Sans Serif" w:hAnsi="MS Reference Sans Serif" w:cs="MS Reference Sans Serif"/>
      <w:i/>
      <w:iCs/>
      <w:shd w:val="clear" w:color="auto" w:fill="FFFFFF"/>
      <w:lang w:eastAsia="en-US"/>
    </w:rPr>
  </w:style>
  <w:style w:type="character" w:customStyle="1" w:styleId="590">
    <w:name w:val="Основной текст (59)_"/>
    <w:link w:val="591"/>
    <w:rsid w:val="00DD0C17"/>
    <w:rPr>
      <w:rFonts w:ascii="Arial" w:hAnsi="Arial" w:cs="Arial"/>
      <w:spacing w:val="-10"/>
      <w:sz w:val="15"/>
      <w:szCs w:val="15"/>
      <w:shd w:val="clear" w:color="auto" w:fill="FFFFFF"/>
    </w:rPr>
  </w:style>
  <w:style w:type="character" w:customStyle="1" w:styleId="600">
    <w:name w:val="Основной текст (60)_"/>
    <w:link w:val="601"/>
    <w:rsid w:val="00DD0C17"/>
    <w:rPr>
      <w:rFonts w:ascii="Franklin Gothic Book" w:hAnsi="Franklin Gothic Book" w:cs="Franklin Gothic Book"/>
      <w:sz w:val="11"/>
      <w:szCs w:val="11"/>
      <w:shd w:val="clear" w:color="auto" w:fill="FFFFFF"/>
    </w:rPr>
  </w:style>
  <w:style w:type="character" w:customStyle="1" w:styleId="613">
    <w:name w:val="Основной текст (61)_"/>
    <w:link w:val="614"/>
    <w:rsid w:val="00DD0C17"/>
    <w:rPr>
      <w:rFonts w:ascii="MS Reference Sans Serif" w:hAnsi="MS Reference Sans Serif" w:cs="MS Reference Sans Serif"/>
      <w:spacing w:val="-10"/>
      <w:sz w:val="12"/>
      <w:szCs w:val="12"/>
      <w:shd w:val="clear" w:color="auto" w:fill="FFFFFF"/>
    </w:rPr>
  </w:style>
  <w:style w:type="character" w:customStyle="1" w:styleId="623">
    <w:name w:val="Основной текст (62)_"/>
    <w:link w:val="624"/>
    <w:rsid w:val="00DD0C17"/>
    <w:rPr>
      <w:rFonts w:ascii="David" w:hAnsi="David" w:cs="David"/>
      <w:sz w:val="16"/>
      <w:szCs w:val="16"/>
      <w:shd w:val="clear" w:color="auto" w:fill="FFFFFF"/>
    </w:rPr>
  </w:style>
  <w:style w:type="character" w:customStyle="1" w:styleId="560">
    <w:name w:val="Основной текст (56)_"/>
    <w:link w:val="56"/>
    <w:rsid w:val="00DD0C17"/>
    <w:rPr>
      <w:rFonts w:ascii="Sylfaen" w:hAnsi="Sylfaen" w:cs="Sylfaen"/>
      <w:noProof/>
      <w:sz w:val="8"/>
      <w:szCs w:val="8"/>
      <w:shd w:val="clear" w:color="auto" w:fill="FFFFFF"/>
      <w:lang w:val="en-US" w:eastAsia="en-US"/>
    </w:rPr>
  </w:style>
  <w:style w:type="character" w:customStyle="1" w:styleId="632">
    <w:name w:val="Основной текст (63)_"/>
    <w:link w:val="633"/>
    <w:rsid w:val="00DD0C17"/>
    <w:rPr>
      <w:rFonts w:ascii="Arial Narrow" w:hAnsi="Arial Narrow" w:cs="Arial Narrow"/>
      <w:sz w:val="10"/>
      <w:szCs w:val="10"/>
      <w:shd w:val="clear" w:color="auto" w:fill="FFFFFF"/>
    </w:rPr>
  </w:style>
  <w:style w:type="paragraph" w:customStyle="1" w:styleId="501">
    <w:name w:val="Основной текст (50)"/>
    <w:basedOn w:val="a"/>
    <w:link w:val="500"/>
    <w:rsid w:val="00DD0C17"/>
    <w:pPr>
      <w:shd w:val="clear" w:color="auto" w:fill="FFFFFF"/>
      <w:spacing w:after="0" w:line="240" w:lineRule="atLeast"/>
    </w:pPr>
    <w:rPr>
      <w:rFonts w:ascii="Arial" w:hAnsi="Arial" w:cs="Arial"/>
      <w:sz w:val="11"/>
      <w:szCs w:val="11"/>
      <w:lang w:eastAsia="ru-RU"/>
    </w:rPr>
  </w:style>
  <w:style w:type="paragraph" w:customStyle="1" w:styleId="591">
    <w:name w:val="Основной текст (59)"/>
    <w:basedOn w:val="a"/>
    <w:link w:val="590"/>
    <w:rsid w:val="00DD0C17"/>
    <w:pPr>
      <w:shd w:val="clear" w:color="auto" w:fill="FFFFFF"/>
      <w:spacing w:after="0" w:line="240" w:lineRule="atLeast"/>
    </w:pPr>
    <w:rPr>
      <w:rFonts w:ascii="Arial" w:hAnsi="Arial" w:cs="Arial"/>
      <w:spacing w:val="-10"/>
      <w:sz w:val="15"/>
      <w:szCs w:val="15"/>
      <w:lang w:eastAsia="ru-RU"/>
    </w:rPr>
  </w:style>
  <w:style w:type="paragraph" w:customStyle="1" w:styleId="601">
    <w:name w:val="Основной текст (60)"/>
    <w:basedOn w:val="a"/>
    <w:link w:val="600"/>
    <w:rsid w:val="00DD0C17"/>
    <w:pPr>
      <w:shd w:val="clear" w:color="auto" w:fill="FFFFFF"/>
      <w:spacing w:after="360" w:line="240" w:lineRule="atLeast"/>
    </w:pPr>
    <w:rPr>
      <w:rFonts w:ascii="Franklin Gothic Book" w:hAnsi="Franklin Gothic Book" w:cs="Franklin Gothic Book"/>
      <w:sz w:val="11"/>
      <w:szCs w:val="11"/>
      <w:lang w:eastAsia="ru-RU"/>
    </w:rPr>
  </w:style>
  <w:style w:type="paragraph" w:customStyle="1" w:styleId="614">
    <w:name w:val="Основной текст (61)"/>
    <w:basedOn w:val="a"/>
    <w:link w:val="613"/>
    <w:rsid w:val="00DD0C17"/>
    <w:pPr>
      <w:shd w:val="clear" w:color="auto" w:fill="FFFFFF"/>
      <w:spacing w:before="360" w:after="360" w:line="240" w:lineRule="atLeast"/>
    </w:pPr>
    <w:rPr>
      <w:rFonts w:ascii="MS Reference Sans Serif" w:hAnsi="MS Reference Sans Serif" w:cs="MS Reference Sans Serif"/>
      <w:spacing w:val="-10"/>
      <w:sz w:val="12"/>
      <w:szCs w:val="12"/>
      <w:lang w:eastAsia="ru-RU"/>
    </w:rPr>
  </w:style>
  <w:style w:type="paragraph" w:customStyle="1" w:styleId="624">
    <w:name w:val="Основной текст (62)"/>
    <w:basedOn w:val="a"/>
    <w:link w:val="623"/>
    <w:rsid w:val="00DD0C17"/>
    <w:pPr>
      <w:shd w:val="clear" w:color="auto" w:fill="FFFFFF"/>
      <w:spacing w:before="360" w:after="0" w:line="240" w:lineRule="atLeast"/>
    </w:pPr>
    <w:rPr>
      <w:rFonts w:ascii="David" w:hAnsi="David" w:cs="David"/>
      <w:sz w:val="16"/>
      <w:szCs w:val="16"/>
      <w:lang w:eastAsia="ru-RU"/>
    </w:rPr>
  </w:style>
  <w:style w:type="paragraph" w:customStyle="1" w:styleId="633">
    <w:name w:val="Основной текст (63)"/>
    <w:basedOn w:val="a"/>
    <w:link w:val="632"/>
    <w:rsid w:val="00DD0C17"/>
    <w:pPr>
      <w:shd w:val="clear" w:color="auto" w:fill="FFFFFF"/>
      <w:spacing w:after="0" w:line="240" w:lineRule="atLeast"/>
    </w:pPr>
    <w:rPr>
      <w:rFonts w:ascii="Arial Narrow" w:hAnsi="Arial Narrow" w:cs="Arial Narrow"/>
      <w:sz w:val="10"/>
      <w:szCs w:val="10"/>
      <w:lang w:eastAsia="ru-RU"/>
    </w:rPr>
  </w:style>
  <w:style w:type="character" w:customStyle="1" w:styleId="641">
    <w:name w:val="Основной текст (64)_"/>
    <w:link w:val="642"/>
    <w:rsid w:val="00DD0C17"/>
    <w:rPr>
      <w:rFonts w:ascii="Franklin Gothic Book" w:hAnsi="Franklin Gothic Book" w:cs="Franklin Gothic Book"/>
      <w:noProof/>
      <w:sz w:val="8"/>
      <w:szCs w:val="8"/>
      <w:shd w:val="clear" w:color="auto" w:fill="FFFFFF"/>
    </w:rPr>
  </w:style>
  <w:style w:type="character" w:customStyle="1" w:styleId="651">
    <w:name w:val="Основной текст (65)_"/>
    <w:link w:val="652"/>
    <w:rsid w:val="00DD0C17"/>
    <w:rPr>
      <w:rFonts w:ascii="Franklin Gothic Book" w:hAnsi="Franklin Gothic Book" w:cs="Franklin Gothic Book"/>
      <w:noProof/>
      <w:sz w:val="8"/>
      <w:szCs w:val="8"/>
      <w:shd w:val="clear" w:color="auto" w:fill="FFFFFF"/>
    </w:rPr>
  </w:style>
  <w:style w:type="character" w:customStyle="1" w:styleId="660">
    <w:name w:val="Основной текст (66)_"/>
    <w:link w:val="661"/>
    <w:rsid w:val="00DD0C17"/>
    <w:rPr>
      <w:rFonts w:ascii="Arial Narrow" w:hAnsi="Arial Narrow" w:cs="Arial Narrow"/>
      <w:sz w:val="9"/>
      <w:szCs w:val="9"/>
      <w:shd w:val="clear" w:color="auto" w:fill="FFFFFF"/>
    </w:rPr>
  </w:style>
  <w:style w:type="character" w:customStyle="1" w:styleId="680">
    <w:name w:val="Основной текст (68)_"/>
    <w:link w:val="681"/>
    <w:rsid w:val="00DD0C17"/>
    <w:rPr>
      <w:rFonts w:ascii="Courier New" w:hAnsi="Courier New" w:cs="Courier New"/>
      <w:noProof/>
      <w:sz w:val="11"/>
      <w:szCs w:val="11"/>
      <w:shd w:val="clear" w:color="auto" w:fill="FFFFFF"/>
    </w:rPr>
  </w:style>
  <w:style w:type="paragraph" w:customStyle="1" w:styleId="642">
    <w:name w:val="Основной текст (64)"/>
    <w:basedOn w:val="a"/>
    <w:link w:val="641"/>
    <w:rsid w:val="00DD0C17"/>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52">
    <w:name w:val="Основной текст (65)"/>
    <w:basedOn w:val="a"/>
    <w:link w:val="651"/>
    <w:rsid w:val="00DD0C17"/>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61">
    <w:name w:val="Основной текст (66)"/>
    <w:basedOn w:val="a"/>
    <w:link w:val="660"/>
    <w:rsid w:val="00DD0C17"/>
    <w:pPr>
      <w:shd w:val="clear" w:color="auto" w:fill="FFFFFF"/>
      <w:spacing w:after="0" w:line="240" w:lineRule="atLeast"/>
    </w:pPr>
    <w:rPr>
      <w:rFonts w:ascii="Arial Narrow" w:hAnsi="Arial Narrow" w:cs="Arial Narrow"/>
      <w:sz w:val="9"/>
      <w:szCs w:val="9"/>
      <w:lang w:eastAsia="ru-RU"/>
    </w:rPr>
  </w:style>
  <w:style w:type="paragraph" w:customStyle="1" w:styleId="681">
    <w:name w:val="Основной текст (68)"/>
    <w:basedOn w:val="a"/>
    <w:link w:val="680"/>
    <w:rsid w:val="00DD0C17"/>
    <w:pPr>
      <w:shd w:val="clear" w:color="auto" w:fill="FFFFFF"/>
      <w:spacing w:after="0" w:line="240" w:lineRule="atLeast"/>
    </w:pPr>
    <w:rPr>
      <w:rFonts w:ascii="Courier New" w:hAnsi="Courier New" w:cs="Courier New"/>
      <w:noProof/>
      <w:sz w:val="11"/>
      <w:szCs w:val="11"/>
      <w:lang w:eastAsia="ru-RU"/>
    </w:rPr>
  </w:style>
  <w:style w:type="character" w:customStyle="1" w:styleId="540">
    <w:name w:val="Основной текст (54)_"/>
    <w:link w:val="54"/>
    <w:rsid w:val="00DD0C17"/>
    <w:rPr>
      <w:rFonts w:ascii="Consolas" w:hAnsi="Consolas" w:cs="Consolas"/>
      <w:noProof/>
      <w:sz w:val="8"/>
      <w:szCs w:val="8"/>
      <w:shd w:val="clear" w:color="auto" w:fill="FFFFFF"/>
      <w:lang w:val="en-US" w:eastAsia="en-US"/>
    </w:rPr>
  </w:style>
  <w:style w:type="character" w:customStyle="1" w:styleId="12Tahoma45pt">
    <w:name w:val="Основной текст (12) + Tahoma;4;5 pt;Курсив"/>
    <w:rsid w:val="00DD0C17"/>
    <w:rPr>
      <w:rFonts w:ascii="Tahoma" w:eastAsia="Tahoma" w:hAnsi="Tahoma" w:cs="Tahoma"/>
      <w:b w:val="0"/>
      <w:bCs w:val="0"/>
      <w:i/>
      <w:iCs/>
      <w:smallCaps w:val="0"/>
      <w:strike w:val="0"/>
      <w:noProof/>
      <w:spacing w:val="0"/>
      <w:sz w:val="9"/>
      <w:szCs w:val="9"/>
      <w:shd w:val="clear" w:color="auto" w:fill="FFFFFF"/>
    </w:rPr>
  </w:style>
  <w:style w:type="character" w:customStyle="1" w:styleId="0pt1">
    <w:name w:val="Основной текст + Полужирный;Интервал 0 pt"/>
    <w:rsid w:val="00326FD0"/>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75pt">
    <w:name w:val="Основной текст + 7;5 pt"/>
    <w:rsid w:val="00326FD0"/>
    <w:rPr>
      <w:rFonts w:ascii="Arial" w:eastAsia="Arial" w:hAnsi="Arial" w:cs="Arial"/>
      <w:b w:val="0"/>
      <w:bCs w:val="0"/>
      <w:i w:val="0"/>
      <w:iCs w:val="0"/>
      <w:smallCaps w:val="0"/>
      <w:strike w:val="0"/>
      <w:spacing w:val="0"/>
      <w:sz w:val="15"/>
      <w:szCs w:val="15"/>
      <w:shd w:val="clear" w:color="auto" w:fill="FFFFFF"/>
    </w:rPr>
  </w:style>
  <w:style w:type="character" w:customStyle="1" w:styleId="885pt">
    <w:name w:val="Основной текст (8) + 8;5 pt"/>
    <w:rsid w:val="00326FD0"/>
    <w:rPr>
      <w:rFonts w:ascii="Arial" w:eastAsia="Arial" w:hAnsi="Arial" w:cs="Arial"/>
      <w:b w:val="0"/>
      <w:bCs w:val="0"/>
      <w:i w:val="0"/>
      <w:iCs w:val="0"/>
      <w:smallCaps w:val="0"/>
      <w:strike w:val="0"/>
      <w:spacing w:val="0"/>
      <w:sz w:val="17"/>
      <w:szCs w:val="17"/>
      <w:shd w:val="clear" w:color="auto" w:fill="FFFFFF"/>
    </w:rPr>
  </w:style>
  <w:style w:type="character" w:customStyle="1" w:styleId="49pt">
    <w:name w:val="Основной текст (4) + 9 pt;Не курсив"/>
    <w:rsid w:val="00326FD0"/>
    <w:rPr>
      <w:rFonts w:ascii="Arial" w:eastAsia="Arial" w:hAnsi="Arial" w:cs="Arial"/>
      <w:b w:val="0"/>
      <w:bCs w:val="0"/>
      <w:i/>
      <w:iCs/>
      <w:smallCaps w:val="0"/>
      <w:strike w:val="0"/>
      <w:spacing w:val="0"/>
      <w:sz w:val="18"/>
      <w:szCs w:val="18"/>
      <w:shd w:val="clear" w:color="auto" w:fill="FFFFFF"/>
      <w:lang w:eastAsia="en-US"/>
    </w:rPr>
  </w:style>
  <w:style w:type="character" w:customStyle="1" w:styleId="ucoz-forum-post">
    <w:name w:val="ucoz-forum-post"/>
    <w:rsid w:val="00885B41"/>
  </w:style>
  <w:style w:type="character" w:customStyle="1" w:styleId="227">
    <w:name w:val="Заголовок №2 (2)_"/>
    <w:link w:val="228"/>
    <w:locked/>
    <w:rsid w:val="00885B41"/>
    <w:rPr>
      <w:rFonts w:ascii="Times New Roman" w:hAnsi="Times New Roman"/>
      <w:sz w:val="21"/>
      <w:szCs w:val="21"/>
      <w:shd w:val="clear" w:color="auto" w:fill="FFFFFF"/>
    </w:rPr>
  </w:style>
  <w:style w:type="paragraph" w:customStyle="1" w:styleId="228">
    <w:name w:val="Заголовок №2 (2)"/>
    <w:basedOn w:val="a"/>
    <w:link w:val="227"/>
    <w:rsid w:val="00885B41"/>
    <w:pPr>
      <w:shd w:val="clear" w:color="auto" w:fill="FFFFFF"/>
      <w:spacing w:before="540" w:after="0" w:line="240" w:lineRule="exact"/>
      <w:jc w:val="center"/>
      <w:outlineLvl w:val="1"/>
    </w:pPr>
    <w:rPr>
      <w:rFonts w:ascii="Times New Roman" w:hAnsi="Times New Roman"/>
      <w:sz w:val="21"/>
      <w:szCs w:val="21"/>
      <w:lang w:eastAsia="ru-RU"/>
    </w:rPr>
  </w:style>
  <w:style w:type="character" w:customStyle="1" w:styleId="3b">
    <w:name w:val="Заголовок №3_"/>
    <w:link w:val="3a"/>
    <w:locked/>
    <w:rsid w:val="00885B41"/>
    <w:rPr>
      <w:rFonts w:ascii="Times New Roman" w:hAnsi="Times New Roman"/>
      <w:spacing w:val="40"/>
      <w:sz w:val="52"/>
      <w:szCs w:val="52"/>
      <w:shd w:val="clear" w:color="auto" w:fill="FFFFFF"/>
      <w:lang w:eastAsia="en-US"/>
    </w:rPr>
  </w:style>
  <w:style w:type="paragraph" w:customStyle="1" w:styleId="rteindent11">
    <w:name w:val="rteindent11"/>
    <w:basedOn w:val="a"/>
    <w:rsid w:val="005B1690"/>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0pt2">
    <w:name w:val="Основной текст + Курсив;Интервал 0 pt"/>
    <w:rsid w:val="007D7196"/>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afffffa">
    <w:name w:val="Оглавление_"/>
    <w:uiPriority w:val="99"/>
    <w:rsid w:val="00511E5F"/>
    <w:rPr>
      <w:rFonts w:ascii="Arial Narrow" w:hAnsi="Arial Narrow" w:cs="Arial Narrow"/>
      <w:sz w:val="18"/>
      <w:szCs w:val="18"/>
      <w:shd w:val="clear" w:color="auto" w:fill="FFFFFF"/>
    </w:rPr>
  </w:style>
  <w:style w:type="character" w:customStyle="1" w:styleId="Tahoma95pt-1pt">
    <w:name w:val="Основной текст + Tahoma;9;5 pt;Полужирный;Интервал -1 pt"/>
    <w:rsid w:val="00AE6980"/>
    <w:rPr>
      <w:rFonts w:ascii="Tahoma" w:eastAsia="Tahoma" w:hAnsi="Tahoma" w:cs="Tahoma"/>
      <w:b/>
      <w:bCs/>
      <w:i w:val="0"/>
      <w:iCs w:val="0"/>
      <w:smallCaps w:val="0"/>
      <w:strike w:val="0"/>
      <w:spacing w:val="-20"/>
      <w:sz w:val="19"/>
      <w:szCs w:val="19"/>
      <w:shd w:val="clear" w:color="auto" w:fill="FFFFFF"/>
    </w:rPr>
  </w:style>
  <w:style w:type="character" w:customStyle="1" w:styleId="304">
    <w:name w:val="Основной текст + Курсив30"/>
    <w:aliases w:val="Интервал 0 pt56"/>
    <w:uiPriority w:val="99"/>
    <w:rsid w:val="00F957E4"/>
    <w:rPr>
      <w:rFonts w:ascii="Arial Narrow" w:hAnsi="Arial Narrow" w:cs="Arial Narrow"/>
      <w:i/>
      <w:iCs/>
      <w:spacing w:val="0"/>
      <w:sz w:val="18"/>
      <w:szCs w:val="18"/>
      <w:shd w:val="clear" w:color="auto" w:fill="FFFFFF"/>
    </w:rPr>
  </w:style>
  <w:style w:type="character" w:customStyle="1" w:styleId="7TimesNewRoman1">
    <w:name w:val="Основной текст (7) + Times New Roman1"/>
    <w:aliases w:val="8 pt1,Не полужирный4,Интервал -1 pt1,Заголовок №5 + Century Gothic"/>
    <w:uiPriority w:val="99"/>
    <w:rsid w:val="00F957E4"/>
    <w:rPr>
      <w:rFonts w:ascii="Times New Roman" w:eastAsia="Times New Roman" w:hAnsi="Times New Roman" w:cs="Times New Roman"/>
      <w:b w:val="0"/>
      <w:bCs w:val="0"/>
      <w:i w:val="0"/>
      <w:iCs w:val="0"/>
      <w:smallCaps w:val="0"/>
      <w:strike/>
      <w:spacing w:val="-20"/>
      <w:sz w:val="16"/>
      <w:szCs w:val="16"/>
    </w:rPr>
  </w:style>
  <w:style w:type="character" w:customStyle="1" w:styleId="Bodytext2">
    <w:name w:val="Body text (2)"/>
    <w:rsid w:val="009F7EBD"/>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5"/>
    <w:uiPriority w:val="99"/>
    <w:rsid w:val="009F7EBD"/>
    <w:rPr>
      <w:rFonts w:ascii="Times New Roman" w:eastAsia="Times New Roman" w:hAnsi="Times New Roman"/>
      <w:shd w:val="clear" w:color="auto" w:fill="FFFFFF"/>
    </w:rPr>
  </w:style>
  <w:style w:type="paragraph" w:customStyle="1" w:styleId="625">
    <w:name w:val="Основной текст62"/>
    <w:basedOn w:val="a"/>
    <w:link w:val="Bodytext"/>
    <w:rsid w:val="009F7EBD"/>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9F7EBD"/>
    <w:rPr>
      <w:rFonts w:ascii="Times New Roman" w:eastAsia="Times New Roman" w:hAnsi="Times New Roman" w:cs="Times New Roman"/>
      <w:b w:val="0"/>
      <w:bCs w:val="0"/>
      <w:i w:val="0"/>
      <w:iCs w:val="0"/>
      <w:smallCaps w:val="0"/>
      <w:strike w:val="0"/>
      <w:spacing w:val="0"/>
      <w:sz w:val="23"/>
      <w:szCs w:val="23"/>
    </w:rPr>
  </w:style>
  <w:style w:type="character" w:customStyle="1" w:styleId="700">
    <w:name w:val="Основной текст (70)_"/>
    <w:link w:val="701"/>
    <w:rsid w:val="004F59B2"/>
    <w:rPr>
      <w:rFonts w:ascii="Franklin Gothic Book" w:hAnsi="Franklin Gothic Book" w:cs="Franklin Gothic Book"/>
      <w:noProof/>
      <w:sz w:val="8"/>
      <w:szCs w:val="8"/>
      <w:shd w:val="clear" w:color="auto" w:fill="FFFFFF"/>
    </w:rPr>
  </w:style>
  <w:style w:type="paragraph" w:customStyle="1" w:styleId="701">
    <w:name w:val="Основной текст (70)"/>
    <w:basedOn w:val="a"/>
    <w:link w:val="700"/>
    <w:rsid w:val="004F59B2"/>
    <w:pPr>
      <w:shd w:val="clear" w:color="auto" w:fill="FFFFFF"/>
      <w:spacing w:after="0" w:line="240" w:lineRule="atLeast"/>
      <w:jc w:val="center"/>
    </w:pPr>
    <w:rPr>
      <w:rFonts w:ascii="Franklin Gothic Book" w:hAnsi="Franklin Gothic Book" w:cs="Franklin Gothic Book"/>
      <w:noProof/>
      <w:sz w:val="8"/>
      <w:szCs w:val="8"/>
      <w:lang w:eastAsia="ru-RU"/>
    </w:rPr>
  </w:style>
  <w:style w:type="character" w:customStyle="1" w:styleId="afffffb">
    <w:name w:val="Основной текст + Полужирный;Курсив"/>
    <w:rsid w:val="004F59B2"/>
    <w:rPr>
      <w:rFonts w:ascii="Arial Narrow" w:eastAsia="Arial Narrow" w:hAnsi="Arial Narrow" w:cs="Arial Narrow"/>
      <w:b/>
      <w:bCs/>
      <w:i/>
      <w:iCs/>
      <w:smallCaps w:val="0"/>
      <w:strike w:val="0"/>
      <w:spacing w:val="0"/>
      <w:sz w:val="18"/>
      <w:szCs w:val="18"/>
      <w:shd w:val="clear" w:color="auto" w:fill="FFFFFF"/>
    </w:rPr>
  </w:style>
  <w:style w:type="character" w:customStyle="1" w:styleId="702">
    <w:name w:val="Основной текст (70) + Полужирный"/>
    <w:rsid w:val="004F59B2"/>
    <w:rPr>
      <w:rFonts w:ascii="Arial Narrow" w:eastAsia="Arial Narrow" w:hAnsi="Arial Narrow" w:cs="Arial Narrow"/>
      <w:b/>
      <w:bCs/>
      <w:i w:val="0"/>
      <w:iCs w:val="0"/>
      <w:smallCaps w:val="0"/>
      <w:strike w:val="0"/>
      <w:noProof/>
      <w:spacing w:val="0"/>
      <w:w w:val="100"/>
      <w:sz w:val="36"/>
      <w:szCs w:val="36"/>
      <w:shd w:val="clear" w:color="auto" w:fill="FFFFFF"/>
    </w:rPr>
  </w:style>
  <w:style w:type="character" w:customStyle="1" w:styleId="22SimHei8pt">
    <w:name w:val="Основной текст (22) + SimHei;8 pt"/>
    <w:rsid w:val="004F59B2"/>
    <w:rPr>
      <w:rFonts w:ascii="SimHei" w:eastAsia="SimHei" w:hAnsi="SimHei" w:cs="SimHei"/>
      <w:b w:val="0"/>
      <w:bCs w:val="0"/>
      <w:i w:val="0"/>
      <w:iCs w:val="0"/>
      <w:smallCaps w:val="0"/>
      <w:strike w:val="0"/>
      <w:spacing w:val="0"/>
      <w:sz w:val="16"/>
      <w:szCs w:val="16"/>
      <w:shd w:val="clear" w:color="auto" w:fill="FFFFFF"/>
    </w:rPr>
  </w:style>
  <w:style w:type="character" w:customStyle="1" w:styleId="217">
    <w:name w:val="Основной текст21"/>
    <w:rsid w:val="004F59B2"/>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MSReferenceSansSerif">
    <w:name w:val="Колонтитул + MS Reference Sans Serif"/>
    <w:aliases w:val="8 pt4,Полужирный18,Интервал 0 pt12,Подпись к картинке + Century Gothic1"/>
    <w:uiPriority w:val="99"/>
    <w:rsid w:val="00B528D1"/>
    <w:rPr>
      <w:rFonts w:ascii="MS Reference Sans Serif" w:eastAsia="Times New Roman" w:hAnsi="MS Reference Sans Serif" w:cs="MS Reference Sans Serif"/>
      <w:b/>
      <w:bCs/>
      <w:i w:val="0"/>
      <w:iCs w:val="0"/>
      <w:smallCaps w:val="0"/>
      <w:strike w:val="0"/>
      <w:spacing w:val="-10"/>
      <w:sz w:val="16"/>
      <w:szCs w:val="16"/>
    </w:rPr>
  </w:style>
  <w:style w:type="character" w:customStyle="1" w:styleId="305">
    <w:name w:val="Основной текст + Полужирный30"/>
    <w:uiPriority w:val="99"/>
    <w:rsid w:val="00A3483C"/>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uiPriority w:val="99"/>
    <w:rsid w:val="00A3483C"/>
    <w:rPr>
      <w:rFonts w:ascii="Arial" w:hAnsi="Arial" w:cs="Arial"/>
      <w:b/>
      <w:bCs/>
      <w:spacing w:val="0"/>
      <w:sz w:val="14"/>
      <w:szCs w:val="14"/>
      <w:shd w:val="clear" w:color="auto" w:fill="FFFFFF"/>
    </w:rPr>
  </w:style>
  <w:style w:type="character" w:customStyle="1" w:styleId="3f9">
    <w:name w:val="Заголовок №3 + Не полужирный"/>
    <w:rsid w:val="005052B4"/>
    <w:rPr>
      <w:rFonts w:ascii="Times New Roman" w:hAnsi="Times New Roman" w:cs="Times New Roman"/>
      <w:b/>
      <w:bCs/>
      <w:spacing w:val="40"/>
      <w:sz w:val="20"/>
      <w:szCs w:val="20"/>
      <w:shd w:val="clear" w:color="auto" w:fill="FFFFFF"/>
      <w:lang w:eastAsia="en-US"/>
    </w:rPr>
  </w:style>
  <w:style w:type="character" w:customStyle="1" w:styleId="107">
    <w:name w:val="Основной текст (10)_"/>
    <w:link w:val="108"/>
    <w:rsid w:val="000C3A55"/>
    <w:rPr>
      <w:rFonts w:ascii="Times New Roman" w:eastAsia="Times New Roman" w:hAnsi="Times New Roman"/>
      <w:shd w:val="clear" w:color="auto" w:fill="FFFFFF"/>
    </w:rPr>
  </w:style>
  <w:style w:type="paragraph" w:customStyle="1" w:styleId="108">
    <w:name w:val="Основной текст (10)"/>
    <w:basedOn w:val="a"/>
    <w:link w:val="107"/>
    <w:rsid w:val="000C3A55"/>
    <w:pPr>
      <w:shd w:val="clear" w:color="auto" w:fill="FFFFFF"/>
      <w:spacing w:after="0" w:line="0" w:lineRule="atLeast"/>
    </w:pPr>
    <w:rPr>
      <w:rFonts w:ascii="Times New Roman" w:eastAsia="Times New Roman" w:hAnsi="Times New Roman"/>
      <w:sz w:val="20"/>
      <w:szCs w:val="20"/>
      <w:lang w:eastAsia="ru-RU"/>
    </w:rPr>
  </w:style>
  <w:style w:type="character" w:customStyle="1" w:styleId="9pt0pt">
    <w:name w:val="Основной текст + 9 pt;Полужирный;Интервал 0 pt"/>
    <w:rsid w:val="000C3A55"/>
    <w:rPr>
      <w:rFonts w:ascii="Arial" w:eastAsia="Arial" w:hAnsi="Arial" w:cs="Arial"/>
      <w:b/>
      <w:bCs/>
      <w:i w:val="0"/>
      <w:iCs w:val="0"/>
      <w:smallCaps w:val="0"/>
      <w:strike w:val="0"/>
      <w:spacing w:val="-10"/>
      <w:sz w:val="18"/>
      <w:szCs w:val="18"/>
      <w:shd w:val="clear" w:color="auto" w:fill="FFFFFF"/>
    </w:rPr>
  </w:style>
  <w:style w:type="character" w:customStyle="1" w:styleId="86">
    <w:name w:val="Основной текст (8) + Полужирный"/>
    <w:rsid w:val="000C3A55"/>
    <w:rPr>
      <w:rFonts w:ascii="Arial" w:eastAsia="Arial" w:hAnsi="Arial" w:cs="Arial"/>
      <w:b/>
      <w:bCs/>
      <w:i w:val="0"/>
      <w:iCs w:val="0"/>
      <w:smallCaps w:val="0"/>
      <w:strike w:val="0"/>
      <w:spacing w:val="0"/>
      <w:sz w:val="18"/>
      <w:szCs w:val="18"/>
      <w:shd w:val="clear" w:color="auto" w:fill="FFFFFF"/>
    </w:rPr>
  </w:style>
  <w:style w:type="character" w:customStyle="1" w:styleId="1085pt">
    <w:name w:val="Основной текст (10) + 8;5 pt"/>
    <w:rsid w:val="000C3A55"/>
    <w:rPr>
      <w:rFonts w:ascii="Arial" w:eastAsia="Arial" w:hAnsi="Arial" w:cs="Arial"/>
      <w:spacing w:val="0"/>
      <w:sz w:val="17"/>
      <w:szCs w:val="17"/>
      <w:shd w:val="clear" w:color="auto" w:fill="FFFFFF"/>
    </w:rPr>
  </w:style>
  <w:style w:type="character" w:customStyle="1" w:styleId="812pt70">
    <w:name w:val="Основной текст (8) + 12 pt;Масштаб 70%"/>
    <w:rsid w:val="000C3A55"/>
    <w:rPr>
      <w:rFonts w:ascii="Arial" w:eastAsia="Arial" w:hAnsi="Arial" w:cs="Arial"/>
      <w:b w:val="0"/>
      <w:bCs w:val="0"/>
      <w:i w:val="0"/>
      <w:iCs w:val="0"/>
      <w:smallCaps w:val="0"/>
      <w:strike w:val="0"/>
      <w:spacing w:val="0"/>
      <w:w w:val="70"/>
      <w:sz w:val="24"/>
      <w:szCs w:val="24"/>
      <w:shd w:val="clear" w:color="auto" w:fill="FFFFFF"/>
    </w:rPr>
  </w:style>
  <w:style w:type="character" w:customStyle="1" w:styleId="ArialBlack11pt-1pt">
    <w:name w:val="Основной текст + Arial Black;11 pt;Интервал -1 pt"/>
    <w:rsid w:val="000C3A55"/>
    <w:rPr>
      <w:rFonts w:ascii="Arial Black" w:eastAsia="Arial Black" w:hAnsi="Arial Black" w:cs="Arial Black"/>
      <w:b w:val="0"/>
      <w:bCs w:val="0"/>
      <w:i w:val="0"/>
      <w:iCs w:val="0"/>
      <w:smallCaps w:val="0"/>
      <w:strike w:val="0"/>
      <w:spacing w:val="-20"/>
      <w:w w:val="100"/>
      <w:sz w:val="22"/>
      <w:szCs w:val="22"/>
      <w:shd w:val="clear" w:color="auto" w:fill="FFFFFF"/>
      <w:lang w:val="en-US"/>
    </w:rPr>
  </w:style>
  <w:style w:type="character" w:customStyle="1" w:styleId="87">
    <w:name w:val="Заголовок №8_"/>
    <w:link w:val="88"/>
    <w:rsid w:val="00E3119F"/>
    <w:rPr>
      <w:rFonts w:ascii="Arial Narrow" w:hAnsi="Arial Narrow" w:cs="Arial Narrow"/>
      <w:b/>
      <w:bCs/>
      <w:sz w:val="39"/>
      <w:szCs w:val="39"/>
      <w:shd w:val="clear" w:color="auto" w:fill="FFFFFF"/>
    </w:rPr>
  </w:style>
  <w:style w:type="paragraph" w:customStyle="1" w:styleId="88">
    <w:name w:val="Заголовок №8"/>
    <w:basedOn w:val="a"/>
    <w:link w:val="87"/>
    <w:rsid w:val="00E3119F"/>
    <w:pPr>
      <w:shd w:val="clear" w:color="auto" w:fill="FFFFFF"/>
      <w:spacing w:before="120" w:after="0" w:line="240" w:lineRule="atLeast"/>
      <w:outlineLvl w:val="7"/>
    </w:pPr>
    <w:rPr>
      <w:rFonts w:ascii="Arial Narrow" w:hAnsi="Arial Narrow" w:cs="Arial Narrow"/>
      <w:b/>
      <w:bCs/>
      <w:sz w:val="39"/>
      <w:szCs w:val="39"/>
      <w:lang w:eastAsia="ru-RU"/>
    </w:rPr>
  </w:style>
  <w:style w:type="character" w:customStyle="1" w:styleId="263">
    <w:name w:val="Основной текст (26)_"/>
    <w:link w:val="264"/>
    <w:uiPriority w:val="99"/>
    <w:rsid w:val="00F10FB4"/>
    <w:rPr>
      <w:rFonts w:ascii="Arial Narrow" w:hAnsi="Arial Narrow" w:cs="Arial Narrow"/>
      <w:sz w:val="29"/>
      <w:szCs w:val="29"/>
      <w:shd w:val="clear" w:color="auto" w:fill="FFFFFF"/>
    </w:rPr>
  </w:style>
  <w:style w:type="paragraph" w:customStyle="1" w:styleId="264">
    <w:name w:val="Основной текст (26)"/>
    <w:basedOn w:val="a"/>
    <w:link w:val="263"/>
    <w:uiPriority w:val="99"/>
    <w:rsid w:val="00F10FB4"/>
    <w:pPr>
      <w:shd w:val="clear" w:color="auto" w:fill="FFFFFF"/>
      <w:spacing w:after="0" w:line="240" w:lineRule="atLeast"/>
    </w:pPr>
    <w:rPr>
      <w:rFonts w:ascii="Arial Narrow" w:hAnsi="Arial Narrow" w:cs="Arial Narrow"/>
      <w:sz w:val="29"/>
      <w:szCs w:val="29"/>
      <w:lang w:eastAsia="ru-RU"/>
    </w:rPr>
  </w:style>
  <w:style w:type="paragraph" w:customStyle="1" w:styleId="162">
    <w:name w:val="Основной текст16"/>
    <w:basedOn w:val="a"/>
    <w:rsid w:val="00C40D73"/>
    <w:pPr>
      <w:shd w:val="clear" w:color="auto" w:fill="FFFFFF"/>
      <w:spacing w:after="0" w:line="0" w:lineRule="atLeast"/>
    </w:pPr>
    <w:rPr>
      <w:rFonts w:ascii="Times New Roman" w:eastAsia="Times New Roman" w:hAnsi="Times New Roman"/>
      <w:sz w:val="21"/>
      <w:szCs w:val="21"/>
    </w:rPr>
  </w:style>
  <w:style w:type="character" w:customStyle="1" w:styleId="Bodytext20">
    <w:name w:val="Body text (2)_"/>
    <w:rsid w:val="00C40D73"/>
    <w:rPr>
      <w:rFonts w:ascii="Times New Roman" w:eastAsia="Times New Roman" w:hAnsi="Times New Roman" w:cs="Times New Roman"/>
      <w:sz w:val="21"/>
      <w:szCs w:val="21"/>
      <w:shd w:val="clear" w:color="auto" w:fill="FFFFFF"/>
    </w:rPr>
  </w:style>
  <w:style w:type="character" w:customStyle="1" w:styleId="Bodytext2NotItalic">
    <w:name w:val="Body text (2) + Not Italic"/>
    <w:rsid w:val="000C324B"/>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Bodytext14">
    <w:name w:val="Body text (14)_"/>
    <w:link w:val="Bodytext141"/>
    <w:uiPriority w:val="99"/>
    <w:rsid w:val="000C324B"/>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0C324B"/>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145">
    <w:name w:val="Body text (14)5"/>
    <w:uiPriority w:val="99"/>
    <w:rsid w:val="000C324B"/>
  </w:style>
  <w:style w:type="character" w:customStyle="1" w:styleId="Bodytext14NotItalic9">
    <w:name w:val="Body text (14) + Not Italic9"/>
    <w:uiPriority w:val="99"/>
    <w:rsid w:val="000C324B"/>
    <w:rPr>
      <w:rFonts w:ascii="Times New Roman" w:hAnsi="Times New Roman" w:cs="Times New Roman"/>
      <w:i w:val="0"/>
      <w:iCs w:val="0"/>
      <w:spacing w:val="0"/>
      <w:sz w:val="21"/>
      <w:szCs w:val="21"/>
    </w:rPr>
  </w:style>
  <w:style w:type="character" w:customStyle="1" w:styleId="BodytextItalic">
    <w:name w:val="Body text + Italic"/>
    <w:uiPriority w:val="99"/>
    <w:rsid w:val="000C324B"/>
    <w:rPr>
      <w:rFonts w:ascii="Times New Roman" w:hAnsi="Times New Roman" w:cs="Times New Roman"/>
      <w:i/>
      <w:iCs/>
      <w:spacing w:val="0"/>
      <w:sz w:val="21"/>
      <w:szCs w:val="21"/>
    </w:rPr>
  </w:style>
  <w:style w:type="character" w:customStyle="1" w:styleId="Bodytext59">
    <w:name w:val="Body text (59)_"/>
    <w:link w:val="Bodytext590"/>
    <w:rsid w:val="000C324B"/>
    <w:rPr>
      <w:rFonts w:ascii="Arial Narrow" w:eastAsia="Arial Narrow" w:hAnsi="Arial Narrow" w:cs="Arial Narrow"/>
      <w:spacing w:val="10"/>
      <w:shd w:val="clear" w:color="auto" w:fill="FFFFFF"/>
    </w:rPr>
  </w:style>
  <w:style w:type="paragraph" w:customStyle="1" w:styleId="Bodytext590">
    <w:name w:val="Body text (59)"/>
    <w:basedOn w:val="a"/>
    <w:link w:val="Bodytext59"/>
    <w:rsid w:val="000C324B"/>
    <w:pPr>
      <w:shd w:val="clear" w:color="auto" w:fill="FFFFFF"/>
      <w:spacing w:before="180" w:after="300" w:line="0" w:lineRule="atLeast"/>
      <w:ind w:firstLine="300"/>
      <w:jc w:val="both"/>
    </w:pPr>
    <w:rPr>
      <w:rFonts w:ascii="Arial Narrow" w:eastAsia="Arial Narrow" w:hAnsi="Arial Narrow" w:cs="Arial Narrow"/>
      <w:spacing w:val="10"/>
      <w:sz w:val="20"/>
      <w:szCs w:val="20"/>
      <w:lang w:eastAsia="ru-RU"/>
    </w:rPr>
  </w:style>
  <w:style w:type="character" w:customStyle="1" w:styleId="Bodytext27">
    <w:name w:val="Body text (27)_"/>
    <w:link w:val="Bodytext270"/>
    <w:uiPriority w:val="99"/>
    <w:rsid w:val="009D3895"/>
    <w:rPr>
      <w:rFonts w:ascii="Arial Narrow" w:hAnsi="Arial Narrow" w:cs="Arial Narrow"/>
      <w:i/>
      <w:iCs/>
      <w:sz w:val="21"/>
      <w:szCs w:val="21"/>
      <w:shd w:val="clear" w:color="auto" w:fill="FFFFFF"/>
    </w:rPr>
  </w:style>
  <w:style w:type="character" w:customStyle="1" w:styleId="Bodytext28">
    <w:name w:val="Body text (28)_"/>
    <w:link w:val="Bodytext280"/>
    <w:uiPriority w:val="99"/>
    <w:rsid w:val="009D3895"/>
    <w:rPr>
      <w:rFonts w:ascii="Arial Narrow" w:hAnsi="Arial Narrow" w:cs="Arial Narrow"/>
      <w:i/>
      <w:iCs/>
      <w:sz w:val="23"/>
      <w:szCs w:val="23"/>
      <w:shd w:val="clear" w:color="auto" w:fill="FFFFFF"/>
    </w:rPr>
  </w:style>
  <w:style w:type="paragraph" w:customStyle="1" w:styleId="Bodytext270">
    <w:name w:val="Body text (27)"/>
    <w:basedOn w:val="a"/>
    <w:link w:val="Bodytext27"/>
    <w:uiPriority w:val="99"/>
    <w:rsid w:val="009D3895"/>
    <w:pPr>
      <w:shd w:val="clear" w:color="auto" w:fill="FFFFFF"/>
      <w:spacing w:after="60" w:line="240" w:lineRule="atLeast"/>
      <w:ind w:firstLine="300"/>
      <w:jc w:val="both"/>
    </w:pPr>
    <w:rPr>
      <w:rFonts w:ascii="Arial Narrow" w:hAnsi="Arial Narrow" w:cs="Arial Narrow"/>
      <w:i/>
      <w:iCs/>
      <w:sz w:val="21"/>
      <w:szCs w:val="21"/>
      <w:lang w:eastAsia="ru-RU"/>
    </w:rPr>
  </w:style>
  <w:style w:type="paragraph" w:customStyle="1" w:styleId="Bodytext280">
    <w:name w:val="Body text (28)"/>
    <w:basedOn w:val="a"/>
    <w:link w:val="Bodytext28"/>
    <w:uiPriority w:val="99"/>
    <w:rsid w:val="009D3895"/>
    <w:pPr>
      <w:shd w:val="clear" w:color="auto" w:fill="FFFFFF"/>
      <w:spacing w:after="180" w:line="240" w:lineRule="atLeast"/>
      <w:ind w:firstLine="300"/>
      <w:jc w:val="both"/>
    </w:pPr>
    <w:rPr>
      <w:rFonts w:ascii="Arial Narrow" w:hAnsi="Arial Narrow" w:cs="Arial Narrow"/>
      <w:i/>
      <w:iCs/>
      <w:sz w:val="23"/>
      <w:szCs w:val="23"/>
      <w:lang w:eastAsia="ru-RU"/>
    </w:rPr>
  </w:style>
  <w:style w:type="character" w:customStyle="1" w:styleId="Bodytext29">
    <w:name w:val="Body text (29)_"/>
    <w:link w:val="Bodytext290"/>
    <w:uiPriority w:val="99"/>
    <w:rsid w:val="009D3895"/>
    <w:rPr>
      <w:rFonts w:ascii="Arial Narrow" w:hAnsi="Arial Narrow" w:cs="Arial Narrow"/>
      <w:i/>
      <w:iCs/>
      <w:shd w:val="clear" w:color="auto" w:fill="FFFFFF"/>
    </w:rPr>
  </w:style>
  <w:style w:type="paragraph" w:customStyle="1" w:styleId="Bodytext290">
    <w:name w:val="Body text (29)"/>
    <w:basedOn w:val="a"/>
    <w:link w:val="Bodytext29"/>
    <w:uiPriority w:val="99"/>
    <w:rsid w:val="009D3895"/>
    <w:pPr>
      <w:shd w:val="clear" w:color="auto" w:fill="FFFFFF"/>
      <w:spacing w:before="120" w:after="120" w:line="240" w:lineRule="atLeast"/>
      <w:ind w:firstLine="300"/>
      <w:jc w:val="both"/>
    </w:pPr>
    <w:rPr>
      <w:rFonts w:ascii="Arial Narrow" w:hAnsi="Arial Narrow" w:cs="Arial Narrow"/>
      <w:i/>
      <w:iCs/>
      <w:sz w:val="20"/>
      <w:szCs w:val="20"/>
      <w:lang w:eastAsia="ru-RU"/>
    </w:rPr>
  </w:style>
  <w:style w:type="character" w:customStyle="1" w:styleId="7e">
    <w:name w:val="Основной текст (7) + Не курсив"/>
    <w:rsid w:val="009D3895"/>
    <w:rPr>
      <w:rFonts w:ascii="Arial Narrow" w:eastAsia="Arial Narrow" w:hAnsi="Arial Narrow" w:cs="Arial Narrow"/>
      <w:b w:val="0"/>
      <w:bCs w:val="0"/>
      <w:i/>
      <w:iCs/>
      <w:smallCaps w:val="0"/>
      <w:strike w:val="0"/>
      <w:spacing w:val="0"/>
      <w:sz w:val="19"/>
      <w:szCs w:val="19"/>
      <w:shd w:val="clear" w:color="auto" w:fill="FFFFFF"/>
      <w:lang w:eastAsia="en-US"/>
    </w:rPr>
  </w:style>
  <w:style w:type="character" w:customStyle="1" w:styleId="Bodytext3">
    <w:name w:val="Body text (3)"/>
    <w:rsid w:val="00A50962"/>
  </w:style>
  <w:style w:type="character" w:customStyle="1" w:styleId="Bodytext275ptNotItalic">
    <w:name w:val="Body text (2) + 7;5 pt;Not Italic"/>
    <w:rsid w:val="00A50962"/>
    <w:rPr>
      <w:rFonts w:ascii="Times New Roman" w:eastAsia="Times New Roman" w:hAnsi="Times New Roman" w:cs="Times New Roman"/>
      <w:b w:val="0"/>
      <w:bCs w:val="0"/>
      <w:i/>
      <w:iCs/>
      <w:smallCaps w:val="0"/>
      <w:strike w:val="0"/>
      <w:spacing w:val="0"/>
      <w:sz w:val="15"/>
      <w:szCs w:val="15"/>
      <w:shd w:val="clear" w:color="auto" w:fill="FFFFFF"/>
    </w:rPr>
  </w:style>
  <w:style w:type="character" w:customStyle="1" w:styleId="Bodytext14NotItalic7">
    <w:name w:val="Body text (14) + Not Italic7"/>
    <w:uiPriority w:val="99"/>
    <w:rsid w:val="00A50962"/>
    <w:rPr>
      <w:rFonts w:ascii="Times New Roman" w:hAnsi="Times New Roman" w:cs="Times New Roman"/>
      <w:i w:val="0"/>
      <w:iCs w:val="0"/>
      <w:spacing w:val="0"/>
      <w:sz w:val="21"/>
      <w:szCs w:val="21"/>
    </w:rPr>
  </w:style>
  <w:style w:type="character" w:customStyle="1" w:styleId="Bodytext14NotItalic13">
    <w:name w:val="Body text (14) + Not Italic13"/>
    <w:uiPriority w:val="99"/>
    <w:rsid w:val="00A50962"/>
    <w:rPr>
      <w:rFonts w:ascii="Times New Roman" w:hAnsi="Times New Roman" w:cs="Times New Roman"/>
      <w:i w:val="0"/>
      <w:iCs w:val="0"/>
      <w:noProof/>
      <w:spacing w:val="0"/>
      <w:sz w:val="21"/>
      <w:szCs w:val="21"/>
    </w:rPr>
  </w:style>
  <w:style w:type="character" w:customStyle="1" w:styleId="Bodytext14NotItalic1">
    <w:name w:val="Body text (14) + Not Italic1"/>
    <w:uiPriority w:val="99"/>
    <w:rsid w:val="00A50962"/>
    <w:rPr>
      <w:rFonts w:ascii="Times New Roman" w:hAnsi="Times New Roman" w:cs="Times New Roman"/>
      <w:i w:val="0"/>
      <w:iCs w:val="0"/>
      <w:spacing w:val="0"/>
      <w:sz w:val="21"/>
      <w:szCs w:val="21"/>
    </w:rPr>
  </w:style>
  <w:style w:type="paragraph" w:customStyle="1" w:styleId="5f">
    <w:name w:val="Основной текст (5)"/>
    <w:basedOn w:val="a"/>
    <w:link w:val="5f0"/>
    <w:rsid w:val="00F1597F"/>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5f1">
    <w:name w:val="Основной текст (5) + Не полужирный"/>
    <w:rsid w:val="00F1597F"/>
    <w:rPr>
      <w:rFonts w:ascii="Arial Narrow" w:eastAsia="Arial Narrow" w:hAnsi="Arial Narrow" w:cs="Arial Narrow"/>
      <w:b/>
      <w:bCs/>
      <w:i w:val="0"/>
      <w:iCs w:val="0"/>
      <w:smallCaps w:val="0"/>
      <w:strike w:val="0"/>
      <w:spacing w:val="0"/>
      <w:sz w:val="18"/>
      <w:szCs w:val="18"/>
    </w:rPr>
  </w:style>
  <w:style w:type="character" w:customStyle="1" w:styleId="50pt">
    <w:name w:val="Основной текст (5) + Интервал 0 pt"/>
    <w:rsid w:val="00F1597F"/>
    <w:rPr>
      <w:rFonts w:ascii="Arial Narrow" w:eastAsia="Arial Narrow" w:hAnsi="Arial Narrow" w:cs="Arial Narrow"/>
      <w:b w:val="0"/>
      <w:bCs w:val="0"/>
      <w:i w:val="0"/>
      <w:iCs w:val="0"/>
      <w:smallCaps w:val="0"/>
      <w:strike w:val="0"/>
      <w:spacing w:val="-10"/>
      <w:sz w:val="18"/>
      <w:szCs w:val="18"/>
    </w:rPr>
  </w:style>
  <w:style w:type="paragraph" w:customStyle="1" w:styleId="12a">
    <w:name w:val="Основной текст12"/>
    <w:basedOn w:val="a"/>
    <w:rsid w:val="00B33D31"/>
    <w:pPr>
      <w:shd w:val="clear" w:color="auto" w:fill="FFFFFF"/>
      <w:spacing w:after="60" w:line="240" w:lineRule="exact"/>
      <w:jc w:val="center"/>
    </w:pPr>
    <w:rPr>
      <w:rFonts w:ascii="Times New Roman" w:eastAsia="Times New Roman" w:hAnsi="Times New Roman"/>
      <w:sz w:val="23"/>
      <w:szCs w:val="23"/>
    </w:rPr>
  </w:style>
  <w:style w:type="paragraph" w:customStyle="1" w:styleId="Bodytext1">
    <w:name w:val="Body text1"/>
    <w:basedOn w:val="a"/>
    <w:uiPriority w:val="99"/>
    <w:rsid w:val="00B33D31"/>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3Italic">
    <w:name w:val="Body text (3) + Italic"/>
    <w:basedOn w:val="a0"/>
    <w:uiPriority w:val="99"/>
    <w:rsid w:val="007A5C8F"/>
    <w:rPr>
      <w:rFonts w:ascii="Arial Narrow" w:eastAsia="Times New Roman" w:hAnsi="Arial Narrow" w:cs="Arial Narrow"/>
      <w:b w:val="0"/>
      <w:bCs w:val="0"/>
      <w:i/>
      <w:iCs/>
      <w:smallCaps w:val="0"/>
      <w:strike w:val="0"/>
      <w:spacing w:val="0"/>
      <w:w w:val="100"/>
      <w:sz w:val="15"/>
      <w:szCs w:val="15"/>
      <w:shd w:val="clear" w:color="auto" w:fill="FFFFFF"/>
    </w:rPr>
  </w:style>
  <w:style w:type="character" w:customStyle="1" w:styleId="BodytextBold6">
    <w:name w:val="Body text + Bold6"/>
    <w:basedOn w:val="Bodytext"/>
    <w:uiPriority w:val="99"/>
    <w:rsid w:val="00002908"/>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Italic3">
    <w:name w:val="Body text + Italic3"/>
    <w:basedOn w:val="Bodytext"/>
    <w:uiPriority w:val="99"/>
    <w:rsid w:val="00002908"/>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Bold1">
    <w:name w:val="Body text + Bold1"/>
    <w:basedOn w:val="Bodytext"/>
    <w:uiPriority w:val="99"/>
    <w:rsid w:val="00FA33B8"/>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Gungsuh75pt0pt">
    <w:name w:val="Основной текст + Gungsuh;7;5 pt;Интервал 0 pt"/>
    <w:basedOn w:val="aff0"/>
    <w:rsid w:val="00227D12"/>
    <w:rPr>
      <w:rFonts w:ascii="Gungsuh" w:eastAsia="Gungsuh" w:hAnsi="Gungsuh" w:cs="Gungsuh"/>
      <w:spacing w:val="0"/>
      <w:sz w:val="15"/>
      <w:szCs w:val="15"/>
      <w:shd w:val="clear" w:color="auto" w:fill="FFFFFF"/>
    </w:rPr>
  </w:style>
  <w:style w:type="character" w:customStyle="1" w:styleId="9pt1pt">
    <w:name w:val="Основной текст + 9 pt;Курсив;Интервал 1 pt"/>
    <w:basedOn w:val="aff0"/>
    <w:rsid w:val="00696E07"/>
    <w:rPr>
      <w:rFonts w:ascii="Consolas" w:eastAsia="Consolas" w:hAnsi="Consolas" w:cs="Consolas"/>
      <w:b w:val="0"/>
      <w:bCs w:val="0"/>
      <w:i/>
      <w:iCs/>
      <w:smallCaps w:val="0"/>
      <w:strike w:val="0"/>
      <w:spacing w:val="30"/>
      <w:w w:val="100"/>
      <w:sz w:val="18"/>
      <w:szCs w:val="18"/>
      <w:shd w:val="clear" w:color="auto" w:fill="FFFFFF"/>
      <w:lang w:val="en-US"/>
    </w:rPr>
  </w:style>
  <w:style w:type="character" w:customStyle="1" w:styleId="TimesNewRoman85pt">
    <w:name w:val="Основной текст + Times New Roman;8;5 pt"/>
    <w:basedOn w:val="aff0"/>
    <w:rsid w:val="00D113EC"/>
    <w:rPr>
      <w:rFonts w:ascii="Times New Roman" w:eastAsia="Times New Roman" w:hAnsi="Times New Roman" w:cs="Times New Roman"/>
      <w:b w:val="0"/>
      <w:bCs w:val="0"/>
      <w:i w:val="0"/>
      <w:iCs w:val="0"/>
      <w:smallCaps w:val="0"/>
      <w:strike w:val="0"/>
      <w:spacing w:val="0"/>
      <w:sz w:val="17"/>
      <w:szCs w:val="17"/>
    </w:rPr>
  </w:style>
  <w:style w:type="character" w:customStyle="1" w:styleId="CenturyGothic85pt0pt">
    <w:name w:val="Основной текст + Century Gothic;8;5 pt;Малые прописные;Интервал 0 pt"/>
    <w:basedOn w:val="aff0"/>
    <w:rsid w:val="0044627C"/>
    <w:rPr>
      <w:rFonts w:ascii="Century Gothic" w:eastAsia="Century Gothic" w:hAnsi="Century Gothic" w:cs="Century Gothic"/>
      <w:b w:val="0"/>
      <w:bCs w:val="0"/>
      <w:i w:val="0"/>
      <w:iCs w:val="0"/>
      <w:smallCaps/>
      <w:strike w:val="0"/>
      <w:spacing w:val="10"/>
      <w:sz w:val="17"/>
      <w:szCs w:val="17"/>
      <w:shd w:val="clear" w:color="auto" w:fill="FFFFFF"/>
      <w:lang w:val="en-US"/>
    </w:rPr>
  </w:style>
  <w:style w:type="character" w:customStyle="1" w:styleId="85pt">
    <w:name w:val="Основной текст + 8;5 pt"/>
    <w:basedOn w:val="aff0"/>
    <w:rsid w:val="0044627C"/>
    <w:rPr>
      <w:rFonts w:ascii="MingLiU" w:eastAsia="MingLiU" w:hAnsi="MingLiU" w:cs="MingLiU"/>
      <w:b w:val="0"/>
      <w:bCs w:val="0"/>
      <w:i w:val="0"/>
      <w:iCs w:val="0"/>
      <w:smallCaps w:val="0"/>
      <w:strike w:val="0"/>
      <w:spacing w:val="-20"/>
      <w:w w:val="100"/>
      <w:sz w:val="17"/>
      <w:szCs w:val="17"/>
      <w:shd w:val="clear" w:color="auto" w:fill="FFFFFF"/>
    </w:rPr>
  </w:style>
  <w:style w:type="character" w:customStyle="1" w:styleId="18">
    <w:name w:val="Заголовок №1_"/>
    <w:basedOn w:val="a0"/>
    <w:link w:val="17"/>
    <w:rsid w:val="0044627C"/>
    <w:rPr>
      <w:rFonts w:ascii="Segoe UI" w:hAnsi="Segoe UI" w:cs="Segoe UI"/>
      <w:shd w:val="clear" w:color="auto" w:fill="FFFFFF"/>
      <w:lang w:eastAsia="en-US"/>
    </w:rPr>
  </w:style>
  <w:style w:type="character" w:customStyle="1" w:styleId="0pt3">
    <w:name w:val="Подпись к картинке + Интервал 0 pt"/>
    <w:basedOn w:val="affa"/>
    <w:rsid w:val="003F1491"/>
    <w:rPr>
      <w:rFonts w:ascii="SimHei" w:eastAsia="SimHei" w:hAnsi="SimHei" w:cs="SimHei"/>
      <w:b w:val="0"/>
      <w:bCs w:val="0"/>
      <w:i w:val="0"/>
      <w:iCs w:val="0"/>
      <w:smallCaps w:val="0"/>
      <w:strike w:val="0"/>
      <w:spacing w:val="-10"/>
      <w:sz w:val="20"/>
      <w:szCs w:val="20"/>
      <w:shd w:val="clear" w:color="auto" w:fill="FFFFFF"/>
      <w:lang w:eastAsia="en-US"/>
    </w:rPr>
  </w:style>
  <w:style w:type="character" w:customStyle="1" w:styleId="TrebuchetMS0pt">
    <w:name w:val="Основной текст + Trebuchet MS;Курсив;Интервал 0 pt"/>
    <w:basedOn w:val="aff0"/>
    <w:rsid w:val="008B38FB"/>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0pt66">
    <w:name w:val="Основной текст + Полужирный;Интервал 0 pt;Масштаб 66%"/>
    <w:basedOn w:val="aff0"/>
    <w:rsid w:val="008B38FB"/>
    <w:rPr>
      <w:rFonts w:ascii="MS Mincho" w:eastAsia="MS Mincho" w:hAnsi="MS Mincho" w:cs="MS Mincho"/>
      <w:b/>
      <w:bCs/>
      <w:i w:val="0"/>
      <w:iCs w:val="0"/>
      <w:smallCaps w:val="0"/>
      <w:strike w:val="0"/>
      <w:spacing w:val="0"/>
      <w:w w:val="66"/>
      <w:sz w:val="20"/>
      <w:szCs w:val="20"/>
      <w:shd w:val="clear" w:color="auto" w:fill="FFFFFF"/>
    </w:rPr>
  </w:style>
  <w:style w:type="paragraph" w:customStyle="1" w:styleId="7f">
    <w:name w:val="Основной текст7"/>
    <w:basedOn w:val="a"/>
    <w:rsid w:val="008B38FB"/>
    <w:pPr>
      <w:shd w:val="clear" w:color="auto" w:fill="FFFFFF"/>
      <w:spacing w:after="660" w:line="158" w:lineRule="exact"/>
      <w:jc w:val="both"/>
    </w:pPr>
    <w:rPr>
      <w:rFonts w:ascii="MS Mincho" w:eastAsia="MS Mincho" w:hAnsi="MS Mincho" w:cs="MS Mincho"/>
      <w:color w:val="000000"/>
      <w:spacing w:val="-20"/>
      <w:sz w:val="20"/>
      <w:szCs w:val="20"/>
      <w:lang w:eastAsia="ru-RU"/>
    </w:rPr>
  </w:style>
  <w:style w:type="character" w:customStyle="1" w:styleId="CenturyGothic0pt">
    <w:name w:val="Основной текст + Century Gothic;Курсив;Интервал 0 pt"/>
    <w:basedOn w:val="aff0"/>
    <w:rsid w:val="006F4217"/>
    <w:rPr>
      <w:rFonts w:ascii="Century Gothic" w:eastAsia="Century Gothic" w:hAnsi="Century Gothic" w:cs="Century Gothic"/>
      <w:i/>
      <w:iCs/>
      <w:spacing w:val="-10"/>
      <w:w w:val="100"/>
      <w:sz w:val="16"/>
      <w:szCs w:val="16"/>
      <w:shd w:val="clear" w:color="auto" w:fill="FFFFFF"/>
    </w:rPr>
  </w:style>
  <w:style w:type="paragraph" w:customStyle="1" w:styleId="6">
    <w:name w:val="Основной текст6"/>
    <w:basedOn w:val="a"/>
    <w:link w:val="aff0"/>
    <w:rsid w:val="006F4217"/>
    <w:pPr>
      <w:shd w:val="clear" w:color="auto" w:fill="FFFFFF"/>
      <w:spacing w:after="0" w:line="173" w:lineRule="exact"/>
      <w:ind w:hanging="1660"/>
      <w:jc w:val="both"/>
    </w:pPr>
    <w:rPr>
      <w:rFonts w:ascii="Microsoft Sans Serif" w:hAnsi="Microsoft Sans Serif" w:cs="Microsoft Sans Serif"/>
      <w:spacing w:val="-10"/>
      <w:sz w:val="29"/>
      <w:szCs w:val="29"/>
      <w:lang w:eastAsia="ru-RU"/>
    </w:rPr>
  </w:style>
  <w:style w:type="character" w:customStyle="1" w:styleId="TrebuchetMS105pt">
    <w:name w:val="Основной текст + Trebuchet MS;10;5 pt;Курсив"/>
    <w:basedOn w:val="aff0"/>
    <w:rsid w:val="006F4217"/>
    <w:rPr>
      <w:rFonts w:ascii="Trebuchet MS" w:eastAsia="Trebuchet MS" w:hAnsi="Trebuchet MS" w:cs="Trebuchet MS"/>
      <w:b w:val="0"/>
      <w:bCs w:val="0"/>
      <w:i/>
      <w:iCs/>
      <w:smallCaps w:val="0"/>
      <w:strike w:val="0"/>
      <w:spacing w:val="0"/>
      <w:sz w:val="21"/>
      <w:szCs w:val="21"/>
      <w:shd w:val="clear" w:color="auto" w:fill="FFFFFF"/>
    </w:rPr>
  </w:style>
  <w:style w:type="character" w:customStyle="1" w:styleId="6pt">
    <w:name w:val="Основной текст + Интервал 6 pt"/>
    <w:basedOn w:val="aff0"/>
    <w:rsid w:val="002E3F5E"/>
    <w:rPr>
      <w:rFonts w:ascii="Batang" w:eastAsia="Batang" w:hAnsi="Batang" w:cs="Batang"/>
      <w:b w:val="0"/>
      <w:bCs w:val="0"/>
      <w:i w:val="0"/>
      <w:iCs w:val="0"/>
      <w:smallCaps w:val="0"/>
      <w:strike w:val="0"/>
      <w:spacing w:val="130"/>
      <w:sz w:val="18"/>
      <w:szCs w:val="18"/>
    </w:rPr>
  </w:style>
  <w:style w:type="paragraph" w:customStyle="1" w:styleId="5f2">
    <w:name w:val="Основной текст5"/>
    <w:basedOn w:val="a"/>
    <w:rsid w:val="002E3F5E"/>
    <w:pPr>
      <w:shd w:val="clear" w:color="auto" w:fill="FFFFFF"/>
      <w:spacing w:before="120" w:after="600" w:line="143" w:lineRule="exact"/>
      <w:jc w:val="both"/>
    </w:pPr>
    <w:rPr>
      <w:rFonts w:ascii="Batang" w:eastAsia="Batang" w:hAnsi="Batang" w:cs="Batang"/>
      <w:color w:val="000000"/>
      <w:sz w:val="18"/>
      <w:szCs w:val="18"/>
      <w:lang w:eastAsia="ru-RU"/>
    </w:rPr>
  </w:style>
  <w:style w:type="character" w:customStyle="1" w:styleId="3-1pt0">
    <w:name w:val="Основной текст (3) + Интервал -1 pt"/>
    <w:basedOn w:val="35"/>
    <w:rsid w:val="00A11FB3"/>
    <w:rPr>
      <w:rFonts w:ascii="Batang" w:eastAsia="Batang" w:hAnsi="Batang" w:cs="Batang"/>
      <w:b w:val="0"/>
      <w:bCs w:val="0"/>
      <w:i w:val="0"/>
      <w:iCs w:val="0"/>
      <w:smallCaps w:val="0"/>
      <w:strike w:val="0"/>
      <w:spacing w:val="-20"/>
      <w:sz w:val="29"/>
      <w:szCs w:val="29"/>
      <w:shd w:val="clear" w:color="auto" w:fill="FFFFFF"/>
      <w:lang w:eastAsia="en-US"/>
    </w:rPr>
  </w:style>
  <w:style w:type="character" w:customStyle="1" w:styleId="30pt">
    <w:name w:val="Основной текст (3) + Интервал 0 pt"/>
    <w:basedOn w:val="35"/>
    <w:rsid w:val="0016028C"/>
    <w:rPr>
      <w:rFonts w:ascii="MingLiU" w:eastAsia="MingLiU" w:hAnsi="MingLiU" w:cs="MingLiU"/>
      <w:b w:val="0"/>
      <w:bCs w:val="0"/>
      <w:i w:val="0"/>
      <w:iCs w:val="0"/>
      <w:smallCaps w:val="0"/>
      <w:strike w:val="0"/>
      <w:spacing w:val="0"/>
      <w:sz w:val="19"/>
      <w:szCs w:val="19"/>
      <w:shd w:val="clear" w:color="auto" w:fill="FFFFFF"/>
      <w:lang w:val="en-US" w:eastAsia="en-US"/>
    </w:rPr>
  </w:style>
  <w:style w:type="character" w:customStyle="1" w:styleId="FranklinGothicBook105pt-1pt">
    <w:name w:val="Основной текст + Franklin Gothic Book;10;5 pt;Курсив;Интервал -1 pt"/>
    <w:basedOn w:val="aff0"/>
    <w:rsid w:val="00EA3361"/>
    <w:rPr>
      <w:rFonts w:ascii="Franklin Gothic Book" w:eastAsia="Franklin Gothic Book" w:hAnsi="Franklin Gothic Book" w:cs="Franklin Gothic Book"/>
      <w:b w:val="0"/>
      <w:bCs w:val="0"/>
      <w:i/>
      <w:iCs/>
      <w:smallCaps w:val="0"/>
      <w:strike w:val="0"/>
      <w:spacing w:val="-20"/>
      <w:sz w:val="21"/>
      <w:szCs w:val="21"/>
      <w:shd w:val="clear" w:color="auto" w:fill="FFFFFF"/>
    </w:rPr>
  </w:style>
  <w:style w:type="character" w:customStyle="1" w:styleId="385pt">
    <w:name w:val="Основной текст (3) + 8;5 pt"/>
    <w:basedOn w:val="35"/>
    <w:rsid w:val="00EA3361"/>
    <w:rPr>
      <w:rFonts w:ascii="Gungsuh" w:eastAsia="Gungsuh" w:hAnsi="Gungsuh" w:cs="Gungsuh"/>
      <w:b w:val="0"/>
      <w:bCs w:val="0"/>
      <w:i w:val="0"/>
      <w:iCs w:val="0"/>
      <w:smallCaps w:val="0"/>
      <w:strike w:val="0"/>
      <w:spacing w:val="0"/>
      <w:w w:val="100"/>
      <w:sz w:val="17"/>
      <w:szCs w:val="17"/>
      <w:shd w:val="clear" w:color="auto" w:fill="FFFFFF"/>
      <w:lang w:eastAsia="en-US"/>
    </w:rPr>
  </w:style>
  <w:style w:type="character" w:customStyle="1" w:styleId="95pt">
    <w:name w:val="Основной текст + 9;5 pt;Малые прописные"/>
    <w:basedOn w:val="aff0"/>
    <w:rsid w:val="00EA3361"/>
    <w:rPr>
      <w:rFonts w:ascii="Gungsuh" w:eastAsia="Gungsuh" w:hAnsi="Gungsuh" w:cs="Gungsuh"/>
      <w:b w:val="0"/>
      <w:bCs w:val="0"/>
      <w:i w:val="0"/>
      <w:iCs w:val="0"/>
      <w:smallCaps/>
      <w:strike w:val="0"/>
      <w:spacing w:val="0"/>
      <w:sz w:val="19"/>
      <w:szCs w:val="19"/>
      <w:shd w:val="clear" w:color="auto" w:fill="FFFFFF"/>
    </w:rPr>
  </w:style>
  <w:style w:type="character" w:customStyle="1" w:styleId="Candara12pt">
    <w:name w:val="Основной текст + Candara;12 pt"/>
    <w:basedOn w:val="aff0"/>
    <w:rsid w:val="00EA3361"/>
    <w:rPr>
      <w:rFonts w:ascii="Candara" w:eastAsia="Candara" w:hAnsi="Candara" w:cs="Candara"/>
      <w:b w:val="0"/>
      <w:bCs w:val="0"/>
      <w:i w:val="0"/>
      <w:iCs w:val="0"/>
      <w:smallCaps w:val="0"/>
      <w:strike w:val="0"/>
      <w:spacing w:val="0"/>
      <w:sz w:val="24"/>
      <w:szCs w:val="24"/>
      <w:shd w:val="clear" w:color="auto" w:fill="FFFFFF"/>
    </w:rPr>
  </w:style>
  <w:style w:type="character" w:customStyle="1" w:styleId="TimesNewRoman105pt">
    <w:name w:val="Основной текст + Times New Roman;10;5 pt;Курсив"/>
    <w:basedOn w:val="aff0"/>
    <w:rsid w:val="00EA3361"/>
    <w:rPr>
      <w:rFonts w:ascii="Times New Roman" w:eastAsia="Times New Roman" w:hAnsi="Times New Roman" w:cs="Times New Roman"/>
      <w:b w:val="0"/>
      <w:bCs w:val="0"/>
      <w:i/>
      <w:iCs/>
      <w:smallCaps w:val="0"/>
      <w:strike w:val="0"/>
      <w:spacing w:val="0"/>
      <w:sz w:val="21"/>
      <w:szCs w:val="21"/>
    </w:rPr>
  </w:style>
  <w:style w:type="character" w:customStyle="1" w:styleId="75pt0pt">
    <w:name w:val="Основной текст + 7;5 pt;Полужирный;Интервал 0 pt"/>
    <w:basedOn w:val="aff0"/>
    <w:rsid w:val="002B0AA5"/>
    <w:rPr>
      <w:rFonts w:ascii="Gungsuh" w:eastAsia="Gungsuh" w:hAnsi="Gungsuh" w:cs="Gungsuh"/>
      <w:b/>
      <w:bCs/>
      <w:i w:val="0"/>
      <w:iCs w:val="0"/>
      <w:smallCaps w:val="0"/>
      <w:strike w:val="0"/>
      <w:spacing w:val="10"/>
      <w:sz w:val="15"/>
      <w:szCs w:val="15"/>
    </w:rPr>
  </w:style>
  <w:style w:type="character" w:customStyle="1" w:styleId="2fa">
    <w:name w:val="Основной текст (2) + Не полужирный"/>
    <w:basedOn w:val="2a"/>
    <w:rsid w:val="003B6800"/>
    <w:rPr>
      <w:rFonts w:ascii="MS Mincho" w:eastAsia="MS Mincho" w:hAnsi="MS Mincho" w:cs="MS Mincho"/>
      <w:b/>
      <w:bCs/>
      <w:spacing w:val="-20"/>
      <w:sz w:val="19"/>
      <w:szCs w:val="19"/>
      <w:shd w:val="clear" w:color="auto" w:fill="FFFFFF"/>
      <w:lang w:eastAsia="en-US"/>
    </w:rPr>
  </w:style>
  <w:style w:type="character" w:customStyle="1" w:styleId="20pt">
    <w:name w:val="Основной текст (2) + Интервал 0 pt"/>
    <w:basedOn w:val="2a"/>
    <w:rsid w:val="003B6800"/>
    <w:rPr>
      <w:rFonts w:ascii="MS Mincho" w:eastAsia="MS Mincho" w:hAnsi="MS Mincho" w:cs="MS Mincho"/>
      <w:spacing w:val="0"/>
      <w:sz w:val="19"/>
      <w:szCs w:val="19"/>
      <w:shd w:val="clear" w:color="auto" w:fill="FFFFFF"/>
      <w:lang w:eastAsia="en-US"/>
    </w:rPr>
  </w:style>
  <w:style w:type="character" w:customStyle="1" w:styleId="CourierNew105pt0pt">
    <w:name w:val="Основной текст + Courier New;10;5 pt;Малые прописные;Интервал 0 pt"/>
    <w:basedOn w:val="aff0"/>
    <w:rsid w:val="003B6800"/>
    <w:rPr>
      <w:rFonts w:ascii="Courier New" w:eastAsia="Courier New" w:hAnsi="Courier New" w:cs="Courier New"/>
      <w:b w:val="0"/>
      <w:bCs w:val="0"/>
      <w:i w:val="0"/>
      <w:iCs w:val="0"/>
      <w:smallCaps/>
      <w:strike w:val="0"/>
      <w:spacing w:val="0"/>
      <w:sz w:val="21"/>
      <w:szCs w:val="21"/>
      <w:shd w:val="clear" w:color="auto" w:fill="FFFFFF"/>
    </w:rPr>
  </w:style>
  <w:style w:type="character" w:customStyle="1" w:styleId="10pt0">
    <w:name w:val="Заголовок №1 + Интервал 0 pt"/>
    <w:basedOn w:val="18"/>
    <w:rsid w:val="003B6800"/>
    <w:rPr>
      <w:rFonts w:ascii="SimHei" w:eastAsia="SimHei" w:hAnsi="SimHei" w:cs="SimHei"/>
      <w:spacing w:val="0"/>
      <w:sz w:val="20"/>
      <w:szCs w:val="20"/>
      <w:shd w:val="clear" w:color="auto" w:fill="FFFFFF"/>
      <w:lang w:eastAsia="en-US"/>
    </w:rPr>
  </w:style>
  <w:style w:type="character" w:customStyle="1" w:styleId="95pt0">
    <w:name w:val="Основной текст + 9;5 pt"/>
    <w:basedOn w:val="aff0"/>
    <w:rsid w:val="00B82F32"/>
    <w:rPr>
      <w:rFonts w:ascii="Consolas" w:eastAsia="Consolas" w:hAnsi="Consolas" w:cs="Consolas"/>
      <w:b w:val="0"/>
      <w:bCs w:val="0"/>
      <w:i w:val="0"/>
      <w:iCs w:val="0"/>
      <w:smallCaps w:val="0"/>
      <w:strike w:val="0"/>
      <w:spacing w:val="0"/>
      <w:w w:val="100"/>
      <w:sz w:val="19"/>
      <w:szCs w:val="19"/>
      <w:shd w:val="clear" w:color="auto" w:fill="FFFFFF"/>
    </w:rPr>
  </w:style>
  <w:style w:type="character" w:customStyle="1" w:styleId="Tahoma95pt">
    <w:name w:val="Основной текст + Tahoma;9;5 pt;Малые прописные"/>
    <w:basedOn w:val="aff0"/>
    <w:rsid w:val="00B82F32"/>
    <w:rPr>
      <w:rFonts w:ascii="Tahoma" w:eastAsia="Tahoma" w:hAnsi="Tahoma" w:cs="Tahoma"/>
      <w:b w:val="0"/>
      <w:bCs w:val="0"/>
      <w:i w:val="0"/>
      <w:iCs w:val="0"/>
      <w:smallCaps/>
      <w:strike w:val="0"/>
      <w:spacing w:val="0"/>
      <w:w w:val="100"/>
      <w:sz w:val="19"/>
      <w:szCs w:val="19"/>
      <w:shd w:val="clear" w:color="auto" w:fill="FFFFFF"/>
    </w:rPr>
  </w:style>
  <w:style w:type="character" w:customStyle="1" w:styleId="Tahoma8pt1pt">
    <w:name w:val="Основной текст + Tahoma;8 pt;Интервал 1 pt"/>
    <w:basedOn w:val="aff0"/>
    <w:rsid w:val="00B82F32"/>
    <w:rPr>
      <w:rFonts w:ascii="Tahoma" w:eastAsia="Tahoma" w:hAnsi="Tahoma" w:cs="Tahoma"/>
      <w:b w:val="0"/>
      <w:bCs w:val="0"/>
      <w:i w:val="0"/>
      <w:iCs w:val="0"/>
      <w:smallCaps w:val="0"/>
      <w:strike w:val="0"/>
      <w:spacing w:val="20"/>
      <w:w w:val="100"/>
      <w:sz w:val="16"/>
      <w:szCs w:val="16"/>
      <w:shd w:val="clear" w:color="auto" w:fill="FFFFFF"/>
    </w:rPr>
  </w:style>
  <w:style w:type="character" w:customStyle="1" w:styleId="Tahoma9pt0pt">
    <w:name w:val="Основной текст + Tahoma;9 pt;Малые прописные;Интервал 0 pt"/>
    <w:basedOn w:val="aff0"/>
    <w:rsid w:val="00B82F32"/>
    <w:rPr>
      <w:rFonts w:ascii="Tahoma" w:eastAsia="Tahoma" w:hAnsi="Tahoma" w:cs="Tahoma"/>
      <w:b w:val="0"/>
      <w:bCs w:val="0"/>
      <w:i w:val="0"/>
      <w:iCs w:val="0"/>
      <w:smallCaps/>
      <w:strike w:val="0"/>
      <w:spacing w:val="0"/>
      <w:sz w:val="18"/>
      <w:szCs w:val="18"/>
      <w:shd w:val="clear" w:color="auto" w:fill="FFFFFF"/>
    </w:rPr>
  </w:style>
  <w:style w:type="paragraph" w:customStyle="1" w:styleId="89">
    <w:name w:val="Основной текст8"/>
    <w:basedOn w:val="a"/>
    <w:rsid w:val="00725DED"/>
    <w:pPr>
      <w:shd w:val="clear" w:color="auto" w:fill="FFFFFF"/>
      <w:spacing w:after="0" w:line="0" w:lineRule="atLeast"/>
    </w:pPr>
    <w:rPr>
      <w:rFonts w:ascii="Batang" w:eastAsia="Batang" w:hAnsi="Batang" w:cs="Batang"/>
      <w:color w:val="000000"/>
      <w:sz w:val="18"/>
      <w:szCs w:val="18"/>
      <w:lang w:eastAsia="ru-RU"/>
    </w:rPr>
  </w:style>
  <w:style w:type="character" w:customStyle="1" w:styleId="10pt1">
    <w:name w:val="Основной текст + 10 pt;Малые прописные"/>
    <w:basedOn w:val="aff0"/>
    <w:rsid w:val="00725DED"/>
    <w:rPr>
      <w:rFonts w:ascii="Gungsuh" w:eastAsia="Gungsuh" w:hAnsi="Gungsuh" w:cs="Gungsuh"/>
      <w:b w:val="0"/>
      <w:bCs w:val="0"/>
      <w:i w:val="0"/>
      <w:iCs w:val="0"/>
      <w:smallCaps/>
      <w:strike w:val="0"/>
      <w:spacing w:val="0"/>
      <w:sz w:val="20"/>
      <w:szCs w:val="20"/>
    </w:rPr>
  </w:style>
  <w:style w:type="paragraph" w:styleId="afffffc">
    <w:name w:val="List Paragraph"/>
    <w:basedOn w:val="a"/>
    <w:uiPriority w:val="34"/>
    <w:qFormat/>
    <w:rsid w:val="00725DED"/>
    <w:pPr>
      <w:spacing w:after="0" w:line="360" w:lineRule="auto"/>
      <w:ind w:left="720"/>
      <w:contextualSpacing/>
      <w:jc w:val="both"/>
    </w:pPr>
    <w:rPr>
      <w:rFonts w:asciiTheme="minorHAnsi" w:eastAsiaTheme="minorHAnsi" w:hAnsiTheme="minorHAnsi" w:cstheme="minorBidi"/>
    </w:rPr>
  </w:style>
  <w:style w:type="character" w:customStyle="1" w:styleId="10pt2">
    <w:name w:val="Основной текст + 10 pt;Курсив"/>
    <w:basedOn w:val="aff0"/>
    <w:rsid w:val="008537C0"/>
    <w:rPr>
      <w:rFonts w:ascii="Batang" w:eastAsia="Batang" w:hAnsi="Batang" w:cs="Batang"/>
      <w:b w:val="0"/>
      <w:bCs w:val="0"/>
      <w:i/>
      <w:iCs/>
      <w:smallCaps w:val="0"/>
      <w:strike w:val="0"/>
      <w:spacing w:val="0"/>
      <w:sz w:val="20"/>
      <w:szCs w:val="20"/>
      <w:shd w:val="clear" w:color="auto" w:fill="FFFFFF"/>
    </w:rPr>
  </w:style>
  <w:style w:type="paragraph" w:customStyle="1" w:styleId="rtejustify">
    <w:name w:val="rtejustify"/>
    <w:basedOn w:val="a"/>
    <w:rsid w:val="001F6A0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fa">
    <w:name w:val="Основной текст (3) + Не курсив"/>
    <w:basedOn w:val="35"/>
    <w:rsid w:val="00344FD4"/>
    <w:rPr>
      <w:rFonts w:ascii="Arial" w:eastAsia="Arial" w:hAnsi="Arial" w:cs="Arial"/>
      <w:i/>
      <w:iCs/>
      <w:spacing w:val="20"/>
      <w:sz w:val="15"/>
      <w:szCs w:val="15"/>
      <w:shd w:val="clear" w:color="auto" w:fill="FFFFFF"/>
      <w:lang w:eastAsia="en-US"/>
    </w:rPr>
  </w:style>
  <w:style w:type="paragraph" w:customStyle="1" w:styleId="232">
    <w:name w:val="Основной текст23"/>
    <w:basedOn w:val="a"/>
    <w:rsid w:val="00344FD4"/>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paragraph" w:customStyle="1" w:styleId="172">
    <w:name w:val="Основной текст17"/>
    <w:basedOn w:val="a"/>
    <w:rsid w:val="00EC7BF5"/>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319">
    <w:name w:val="Основной текст31"/>
    <w:basedOn w:val="a"/>
    <w:rsid w:val="00DE48C2"/>
    <w:pPr>
      <w:shd w:val="clear" w:color="auto" w:fill="FFFFFF"/>
      <w:spacing w:after="480" w:line="0" w:lineRule="atLeast"/>
    </w:pPr>
    <w:rPr>
      <w:rFonts w:ascii="Arial Narrow" w:eastAsia="Arial Narrow" w:hAnsi="Arial Narrow" w:cs="Arial Narrow"/>
      <w:color w:val="000000"/>
      <w:sz w:val="18"/>
      <w:szCs w:val="18"/>
      <w:lang w:eastAsia="ru-RU"/>
    </w:rPr>
  </w:style>
  <w:style w:type="paragraph" w:customStyle="1" w:styleId="rtecenter">
    <w:name w:val="rtecenter"/>
    <w:basedOn w:val="a"/>
    <w:rsid w:val="00CE32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9">
    <w:name w:val="Основной текст (10) + Не курсив"/>
    <w:basedOn w:val="107"/>
    <w:rsid w:val="007F4BD1"/>
    <w:rPr>
      <w:rFonts w:ascii="Arial Narrow" w:eastAsia="Arial Narrow" w:hAnsi="Arial Narrow" w:cs="Arial Narrow"/>
      <w:b w:val="0"/>
      <w:bCs w:val="0"/>
      <w:i/>
      <w:iCs/>
      <w:smallCaps w:val="0"/>
      <w:strike w:val="0"/>
      <w:spacing w:val="0"/>
      <w:w w:val="100"/>
      <w:sz w:val="18"/>
      <w:szCs w:val="18"/>
      <w:shd w:val="clear" w:color="auto" w:fill="FFFFFF"/>
    </w:rPr>
  </w:style>
  <w:style w:type="paragraph" w:customStyle="1" w:styleId="4f1">
    <w:name w:val="4"/>
    <w:basedOn w:val="a"/>
    <w:rsid w:val="00A95820"/>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20">
    <w:name w:val="Основной текст92"/>
    <w:basedOn w:val="aff0"/>
    <w:rsid w:val="00AD436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2">
    <w:name w:val="Основной текст116"/>
    <w:basedOn w:val="a"/>
    <w:rsid w:val="00AD4360"/>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0"/>
    <w:rsid w:val="00AD436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article-renderblock">
    <w:name w:val="article-render__block"/>
    <w:basedOn w:val="a"/>
    <w:rsid w:val="00C6437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pt1">
    <w:name w:val="Основной текст + Курсив;Интервал 1 pt"/>
    <w:basedOn w:val="aff0"/>
    <w:rsid w:val="008775ED"/>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5f0">
    <w:name w:val="Основной текст (5)_"/>
    <w:basedOn w:val="a0"/>
    <w:link w:val="5f"/>
    <w:rsid w:val="00BE1824"/>
    <w:rPr>
      <w:rFonts w:ascii="Trebuchet MS" w:hAnsi="Trebuchet MS" w:cs="Trebuchet MS"/>
      <w:noProof/>
      <w:sz w:val="11"/>
      <w:szCs w:val="11"/>
      <w:shd w:val="clear" w:color="auto" w:fill="FFFFFF"/>
      <w:lang w:val="en-US" w:eastAsia="en-US"/>
    </w:rPr>
  </w:style>
  <w:style w:type="character" w:customStyle="1" w:styleId="375">
    <w:name w:val="Основной текст (3) + Не курсив;Масштаб 75%"/>
    <w:basedOn w:val="35"/>
    <w:rsid w:val="00BE1824"/>
    <w:rPr>
      <w:rFonts w:ascii="Franklin Gothic Book" w:eastAsia="Franklin Gothic Book" w:hAnsi="Franklin Gothic Book" w:cs="Franklin Gothic Book"/>
      <w:i/>
      <w:iCs/>
      <w:spacing w:val="0"/>
      <w:w w:val="75"/>
      <w:sz w:val="19"/>
      <w:szCs w:val="19"/>
      <w:shd w:val="clear" w:color="auto" w:fill="FFFFFF"/>
      <w:lang w:eastAsia="en-US"/>
    </w:rPr>
  </w:style>
  <w:style w:type="character" w:customStyle="1" w:styleId="5800">
    <w:name w:val="Основной текст (5) + Курсив;Масштаб 80%"/>
    <w:basedOn w:val="5f0"/>
    <w:rsid w:val="00BE1824"/>
    <w:rPr>
      <w:rFonts w:ascii="Franklin Gothic Book" w:eastAsia="Franklin Gothic Book" w:hAnsi="Franklin Gothic Book" w:cs="Franklin Gothic Book"/>
      <w:b w:val="0"/>
      <w:bCs w:val="0"/>
      <w:i/>
      <w:iCs/>
      <w:smallCaps w:val="0"/>
      <w:strike w:val="0"/>
      <w:noProof/>
      <w:spacing w:val="0"/>
      <w:w w:val="80"/>
      <w:sz w:val="19"/>
      <w:szCs w:val="19"/>
      <w:shd w:val="clear" w:color="auto" w:fill="FFFFFF"/>
      <w:lang w:val="en-US" w:eastAsia="en-US"/>
    </w:rPr>
  </w:style>
  <w:style w:type="character" w:customStyle="1" w:styleId="423">
    <w:name w:val="Основной текст42"/>
    <w:basedOn w:val="aff0"/>
    <w:rsid w:val="00C5464C"/>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3">
    <w:name w:val="Основной текст43"/>
    <w:basedOn w:val="aff0"/>
    <w:rsid w:val="00C5464C"/>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800">
    <w:name w:val="Основной текст + Курсив;Масштаб 80%"/>
    <w:basedOn w:val="aff0"/>
    <w:rsid w:val="00F51760"/>
    <w:rPr>
      <w:rFonts w:ascii="Segoe UI" w:eastAsia="Segoe UI" w:hAnsi="Segoe UI" w:cs="Segoe UI"/>
      <w:b w:val="0"/>
      <w:bCs w:val="0"/>
      <w:i/>
      <w:iCs/>
      <w:smallCaps w:val="0"/>
      <w:strike w:val="0"/>
      <w:spacing w:val="0"/>
      <w:w w:val="80"/>
      <w:sz w:val="18"/>
      <w:szCs w:val="18"/>
      <w:shd w:val="clear" w:color="auto" w:fill="FFFFFF"/>
    </w:rPr>
  </w:style>
  <w:style w:type="paragraph" w:customStyle="1" w:styleId="11b">
    <w:name w:val="Основной текст11"/>
    <w:basedOn w:val="a"/>
    <w:rsid w:val="00F51760"/>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443">
    <w:name w:val="Основной текст44"/>
    <w:basedOn w:val="aff0"/>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1">
    <w:name w:val="Основной текст45"/>
    <w:basedOn w:val="aff0"/>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2">
    <w:name w:val="Основной текст48"/>
    <w:basedOn w:val="aff0"/>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1">
    <w:name w:val="Основной текст49"/>
    <w:basedOn w:val="aff0"/>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750">
    <w:name w:val="Основной текст (2) + Не курсив;Масштаб 75%"/>
    <w:basedOn w:val="2a"/>
    <w:rsid w:val="00770D72"/>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10a">
    <w:name w:val="Основной текст10"/>
    <w:basedOn w:val="aff0"/>
    <w:rsid w:val="000D4AE1"/>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9pt80">
    <w:name w:val="Основной текст + 9 pt;Курсив;Масштаб 80%"/>
    <w:basedOn w:val="aff0"/>
    <w:rsid w:val="00445F8C"/>
    <w:rPr>
      <w:rFonts w:ascii="Segoe UI" w:eastAsia="Segoe UI" w:hAnsi="Segoe UI" w:cs="Segoe UI"/>
      <w:b w:val="0"/>
      <w:bCs w:val="0"/>
      <w:i/>
      <w:iCs/>
      <w:smallCaps w:val="0"/>
      <w:strike w:val="0"/>
      <w:spacing w:val="0"/>
      <w:w w:val="80"/>
      <w:sz w:val="18"/>
      <w:szCs w:val="18"/>
      <w:shd w:val="clear" w:color="auto" w:fill="FFFFFF"/>
    </w:rPr>
  </w:style>
  <w:style w:type="character" w:customStyle="1" w:styleId="1021">
    <w:name w:val="Основной текст102"/>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0"/>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511">
    <w:name w:val="Основной текст151"/>
    <w:basedOn w:val="a"/>
    <w:rsid w:val="00C36A90"/>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0543786">
      <w:bodyDiv w:val="1"/>
      <w:marLeft w:val="0"/>
      <w:marRight w:val="0"/>
      <w:marTop w:val="0"/>
      <w:marBottom w:val="0"/>
      <w:divBdr>
        <w:top w:val="none" w:sz="0" w:space="0" w:color="auto"/>
        <w:left w:val="none" w:sz="0" w:space="0" w:color="auto"/>
        <w:bottom w:val="none" w:sz="0" w:space="0" w:color="auto"/>
        <w:right w:val="none" w:sz="0" w:space="0" w:color="auto"/>
      </w:divBdr>
      <w:divsChild>
        <w:div w:id="1025978353">
          <w:marLeft w:val="0"/>
          <w:marRight w:val="0"/>
          <w:marTop w:val="0"/>
          <w:marBottom w:val="0"/>
          <w:divBdr>
            <w:top w:val="none" w:sz="0" w:space="0" w:color="auto"/>
            <w:left w:val="none" w:sz="0" w:space="0" w:color="auto"/>
            <w:bottom w:val="none" w:sz="0" w:space="0" w:color="auto"/>
            <w:right w:val="none" w:sz="0" w:space="0" w:color="auto"/>
          </w:divBdr>
          <w:divsChild>
            <w:div w:id="1872379703">
              <w:marLeft w:val="0"/>
              <w:marRight w:val="0"/>
              <w:marTop w:val="0"/>
              <w:marBottom w:val="0"/>
              <w:divBdr>
                <w:top w:val="none" w:sz="0" w:space="0" w:color="auto"/>
                <w:left w:val="none" w:sz="0" w:space="0" w:color="auto"/>
                <w:bottom w:val="none" w:sz="0" w:space="0" w:color="auto"/>
                <w:right w:val="none" w:sz="0" w:space="0" w:color="auto"/>
              </w:divBdr>
              <w:divsChild>
                <w:div w:id="972298001">
                  <w:marLeft w:val="0"/>
                  <w:marRight w:val="0"/>
                  <w:marTop w:val="0"/>
                  <w:marBottom w:val="0"/>
                  <w:divBdr>
                    <w:top w:val="none" w:sz="0" w:space="0" w:color="auto"/>
                    <w:left w:val="none" w:sz="0" w:space="0" w:color="auto"/>
                    <w:bottom w:val="none" w:sz="0" w:space="0" w:color="auto"/>
                    <w:right w:val="none" w:sz="0" w:space="0" w:color="auto"/>
                  </w:divBdr>
                  <w:divsChild>
                    <w:div w:id="2110616846">
                      <w:marLeft w:val="0"/>
                      <w:marRight w:val="0"/>
                      <w:marTop w:val="0"/>
                      <w:marBottom w:val="0"/>
                      <w:divBdr>
                        <w:top w:val="none" w:sz="0" w:space="0" w:color="auto"/>
                        <w:left w:val="none" w:sz="0" w:space="0" w:color="auto"/>
                        <w:bottom w:val="none" w:sz="0" w:space="0" w:color="auto"/>
                        <w:right w:val="none" w:sz="0" w:space="0" w:color="auto"/>
                      </w:divBdr>
                      <w:divsChild>
                        <w:div w:id="1312563509">
                          <w:marLeft w:val="0"/>
                          <w:marRight w:val="0"/>
                          <w:marTop w:val="0"/>
                          <w:marBottom w:val="0"/>
                          <w:divBdr>
                            <w:top w:val="none" w:sz="0" w:space="0" w:color="auto"/>
                            <w:left w:val="none" w:sz="0" w:space="0" w:color="auto"/>
                            <w:bottom w:val="none" w:sz="0" w:space="0" w:color="auto"/>
                            <w:right w:val="none" w:sz="0" w:space="0" w:color="auto"/>
                          </w:divBdr>
                          <w:divsChild>
                            <w:div w:id="28547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arspot.ru/9279-pervyy-kv-pod-neschastlivym-nomerom" TargetMode="External"/><Relationship Id="rId21" Type="http://schemas.openxmlformats.org/officeDocument/2006/relationships/hyperlink" Target="http://www.airwar.ru/enc/glider/dha2.html" TargetMode="External"/><Relationship Id="rId42" Type="http://schemas.openxmlformats.org/officeDocument/2006/relationships/hyperlink" Target="http://www.airwar.ru/enc/fww2/hawk75.html" TargetMode="External"/><Relationship Id="rId63" Type="http://schemas.openxmlformats.org/officeDocument/2006/relationships/hyperlink" Target="http://all-crime.ru/polit-kriminal/polit-herou-our-time.htm" TargetMode="External"/><Relationship Id="rId84" Type="http://schemas.openxmlformats.org/officeDocument/2006/relationships/hyperlink" Target="http://www.airwar.ru/enc/cww2/yak6.html" TargetMode="External"/><Relationship Id="rId138" Type="http://schemas.openxmlformats.org/officeDocument/2006/relationships/hyperlink" Target="http://www.rpg-club.com/x1000" TargetMode="External"/><Relationship Id="rId159" Type="http://schemas.openxmlformats.org/officeDocument/2006/relationships/hyperlink" Target="http://www.rpg-club.com/x1000" TargetMode="External"/><Relationship Id="rId170" Type="http://schemas.openxmlformats.org/officeDocument/2006/relationships/hyperlink" Target="http://www.rpg-club.com/x1000" TargetMode="External"/><Relationship Id="rId191" Type="http://schemas.openxmlformats.org/officeDocument/2006/relationships/hyperlink" Target="http://www.rpg-club.com/x1000" TargetMode="External"/><Relationship Id="rId205" Type="http://schemas.openxmlformats.org/officeDocument/2006/relationships/hyperlink" Target="http://www.rpg-club.com/x1000" TargetMode="External"/><Relationship Id="rId226" Type="http://schemas.openxmlformats.org/officeDocument/2006/relationships/hyperlink" Target="http://warspot.ru/8934-ternistyy-put-k-su-122" TargetMode="External"/><Relationship Id="rId107" Type="http://schemas.openxmlformats.org/officeDocument/2006/relationships/hyperlink" Target="http://warspot.ru/6522-tank-t-30-prosche-prostogo" TargetMode="External"/><Relationship Id="rId11" Type="http://schemas.openxmlformats.org/officeDocument/2006/relationships/hyperlink" Target="http://www.aviarmor.net/aww2/aircraft_exp/usa/Boeing%20XPBB-1.htm" TargetMode="External"/><Relationship Id="rId32" Type="http://schemas.openxmlformats.org/officeDocument/2006/relationships/hyperlink" Target="http://www.airwar.ru/enc/bww2/dh98.html" TargetMode="External"/><Relationship Id="rId53" Type="http://schemas.openxmlformats.org/officeDocument/2006/relationships/hyperlink" Target="http://www.rpg-club.com/x1000" TargetMode="External"/><Relationship Id="rId74" Type="http://schemas.openxmlformats.org/officeDocument/2006/relationships/hyperlink" Target="http://www.rpg-club.com/x1000" TargetMode="External"/><Relationship Id="rId128" Type="http://schemas.openxmlformats.org/officeDocument/2006/relationships/hyperlink" Target="http://warspot.ru/9074-parfinskiy-kentavr" TargetMode="External"/><Relationship Id="rId149" Type="http://schemas.openxmlformats.org/officeDocument/2006/relationships/hyperlink" Target="http://www.rpg-club.com/x1000" TargetMode="External"/><Relationship Id="rId5" Type="http://schemas.openxmlformats.org/officeDocument/2006/relationships/hyperlink" Target="http://eng.ship.bsu.by/ship/102479" TargetMode="External"/><Relationship Id="rId95" Type="http://schemas.openxmlformats.org/officeDocument/2006/relationships/hyperlink" Target="http://www.rpg-club.com/x1000" TargetMode="External"/><Relationship Id="rId160" Type="http://schemas.openxmlformats.org/officeDocument/2006/relationships/hyperlink" Target="http://www.rpg-club.com/x1000" TargetMode="External"/><Relationship Id="rId181" Type="http://schemas.openxmlformats.org/officeDocument/2006/relationships/hyperlink" Target="http://warspot.ru/9483-predposledniy-shag" TargetMode="External"/><Relationship Id="rId216" Type="http://schemas.openxmlformats.org/officeDocument/2006/relationships/hyperlink" Target="http://www.rpg-club.com/x1000" TargetMode="External"/><Relationship Id="rId237" Type="http://schemas.openxmlformats.org/officeDocument/2006/relationships/hyperlink" Target="https://ru.wikipedia.org/wiki/%D0%9A%D0%BE%D0%BD%D1%86%D0%B5%D0%BD%D1%82%D1%80%D0%B0%D1%86%D0%B8%D0%BE%D0%BD%D0%BD%D1%8B%D0%B5_%D0%BB%D0%B0%D0%B3%D0%B5%D1%80%D1%8F_%D0%A2%D1%80%D0%B5%D1%82%D1%8C%D0%B5%D0%B3%D0%BE_%D1%80%D0%B5%D0%B9%D1%85%D0%B0" TargetMode="External"/><Relationship Id="rId22" Type="http://schemas.openxmlformats.org/officeDocument/2006/relationships/hyperlink" Target="http://www.airwar.ru/enc/fww2/sfire.html" TargetMode="External"/><Relationship Id="rId43" Type="http://schemas.openxmlformats.org/officeDocument/2006/relationships/hyperlink" Target="http://www.airwar.ru/enc/fww2/f4u.html" TargetMode="External"/><Relationship Id="rId64" Type="http://schemas.openxmlformats.org/officeDocument/2006/relationships/hyperlink" Target="http://www.airwar.ru/enc/spyww2/il2kr.html" TargetMode="External"/><Relationship Id="rId118" Type="http://schemas.openxmlformats.org/officeDocument/2006/relationships/hyperlink" Target="http://warspot.ru/6610-malyy-tank-bolshoy-voyny" TargetMode="External"/><Relationship Id="rId139" Type="http://schemas.openxmlformats.org/officeDocument/2006/relationships/hyperlink" Target="http://www.rpg-club.com/x1000" TargetMode="External"/><Relationship Id="rId80" Type="http://schemas.openxmlformats.org/officeDocument/2006/relationships/hyperlink" Target="http://www.rpg-club.com/x1000" TargetMode="External"/><Relationship Id="rId85" Type="http://schemas.openxmlformats.org/officeDocument/2006/relationships/hyperlink" Target="http://airspot.ru/catalogue/item/north-american-p-51a-mustang" TargetMode="External"/><Relationship Id="rId150" Type="http://schemas.openxmlformats.org/officeDocument/2006/relationships/hyperlink" Target="http://www.rpg-club.com/x1000" TargetMode="External"/><Relationship Id="rId155" Type="http://schemas.openxmlformats.org/officeDocument/2006/relationships/hyperlink" Target="http://www.rpg-club.com/x1000" TargetMode="External"/><Relationship Id="rId171" Type="http://schemas.openxmlformats.org/officeDocument/2006/relationships/hyperlink" Target="http://www.rpg-club.com/x1000" TargetMode="External"/><Relationship Id="rId176" Type="http://schemas.openxmlformats.org/officeDocument/2006/relationships/hyperlink" Target="http://warspot.ru/4969-malaya-modernizatsiya-kv" TargetMode="External"/><Relationship Id="rId192" Type="http://schemas.openxmlformats.org/officeDocument/2006/relationships/hyperlink" Target="http://www.rpg-club.com/x1000" TargetMode="External"/><Relationship Id="rId197" Type="http://schemas.openxmlformats.org/officeDocument/2006/relationships/hyperlink" Target="http://www.archive.gov.tatarstan.ru/res/FCKeditor/fckeditor.php?FieldName=data_html" TargetMode="External"/><Relationship Id="rId206" Type="http://schemas.openxmlformats.org/officeDocument/2006/relationships/hyperlink" Target="http://www.rpg-club.com/x1000" TargetMode="External"/><Relationship Id="rId227" Type="http://schemas.openxmlformats.org/officeDocument/2006/relationships/hyperlink" Target="http://warspot.ru/5335-ohotnik-na-doty" TargetMode="External"/><Relationship Id="rId201" Type="http://schemas.openxmlformats.org/officeDocument/2006/relationships/hyperlink" Target="https://warspot.ru/9911-pervoe-prishestvie-is-2" TargetMode="External"/><Relationship Id="rId222" Type="http://schemas.openxmlformats.org/officeDocument/2006/relationships/hyperlink" Target="http://warspot.ru/7265-shturmovoe-orudie-na-trofeynoy-baze" TargetMode="External"/><Relationship Id="rId12" Type="http://schemas.openxmlformats.org/officeDocument/2006/relationships/hyperlink" Target="http://www.airwar.ru/enc/spyww2/c6n.html" TargetMode="External"/><Relationship Id="rId17" Type="http://schemas.openxmlformats.org/officeDocument/2006/relationships/hyperlink" Target="http://www.airwar.ru/enc/bww2/b38.html" TargetMode="External"/><Relationship Id="rId33" Type="http://schemas.openxmlformats.org/officeDocument/2006/relationships/hyperlink" Target="http://www.airwar.ru/enc/fww2/mustang3.html" TargetMode="External"/><Relationship Id="rId38" Type="http://schemas.openxmlformats.org/officeDocument/2006/relationships/hyperlink" Target="http://www.rpg-club.com/x1000" TargetMode="External"/><Relationship Id="rId59" Type="http://schemas.openxmlformats.org/officeDocument/2006/relationships/hyperlink" Target="http://www.airwar.ru/enc/flyboat/do212.html" TargetMode="External"/><Relationship Id="rId103" Type="http://schemas.openxmlformats.org/officeDocument/2006/relationships/hyperlink" Target="http://www.rpg-club.com/x1000" TargetMode="External"/><Relationship Id="rId108" Type="http://schemas.openxmlformats.org/officeDocument/2006/relationships/hyperlink" Target="https://warspot.ru/10197-tam-gde-pehota-ne-proydyot" TargetMode="External"/><Relationship Id="rId124" Type="http://schemas.openxmlformats.org/officeDocument/2006/relationships/hyperlink" Target="http://www.rpg-club.com/x1000" TargetMode="External"/><Relationship Id="rId129" Type="http://schemas.openxmlformats.org/officeDocument/2006/relationships/hyperlink" Target="http://warspot.ru/5004-protivovozdushnyy-schit-suhoputnyh-voysk" TargetMode="External"/><Relationship Id="rId54" Type="http://schemas.openxmlformats.org/officeDocument/2006/relationships/hyperlink" Target="http://www.rpg-club.com/x1000" TargetMode="External"/><Relationship Id="rId70" Type="http://schemas.openxmlformats.org/officeDocument/2006/relationships/hyperlink" Target="http://www.rpg-club.com/x1000" TargetMode="External"/><Relationship Id="rId75" Type="http://schemas.openxmlformats.org/officeDocument/2006/relationships/hyperlink" Target="http://www.rpg-club.com/x1000" TargetMode="External"/><Relationship Id="rId91" Type="http://schemas.openxmlformats.org/officeDocument/2006/relationships/hyperlink" Target="https://ru.wikipedia.org/wiki/Fw_200" TargetMode="External"/><Relationship Id="rId96" Type="http://schemas.openxmlformats.org/officeDocument/2006/relationships/hyperlink" Target="http://www.rpg-club.com/x1000" TargetMode="External"/><Relationship Id="rId140" Type="http://schemas.openxmlformats.org/officeDocument/2006/relationships/hyperlink" Target="http://www.rpg-club.com/x1000" TargetMode="External"/><Relationship Id="rId145" Type="http://schemas.openxmlformats.org/officeDocument/2006/relationships/hyperlink" Target="http://www.rpg-club.com/x1000" TargetMode="External"/><Relationship Id="rId161" Type="http://schemas.openxmlformats.org/officeDocument/2006/relationships/hyperlink" Target="http://warspot.ru/5675-rabochie-loshadki-vtoroy-mirovoy" TargetMode="External"/><Relationship Id="rId166" Type="http://schemas.openxmlformats.org/officeDocument/2006/relationships/hyperlink" Target="http://www.rpg-club.com/x1000" TargetMode="External"/><Relationship Id="rId182" Type="http://schemas.openxmlformats.org/officeDocument/2006/relationships/hyperlink" Target="http://warspot.ru/4969-malaya-modernizatsiya-kv" TargetMode="External"/><Relationship Id="rId187" Type="http://schemas.openxmlformats.org/officeDocument/2006/relationships/hyperlink" Target="http://www.rpg-club.com/x1000" TargetMode="External"/><Relationship Id="rId217" Type="http://schemas.openxmlformats.org/officeDocument/2006/relationships/hyperlink" Target="http://www.rpg-club.com/x1000" TargetMode="External"/><Relationship Id="rId1" Type="http://schemas.openxmlformats.org/officeDocument/2006/relationships/numbering" Target="numbering.xml"/><Relationship Id="rId6" Type="http://schemas.openxmlformats.org/officeDocument/2006/relationships/hyperlink" Target="http://www.airwar.ru/enc/cww2/z1015.html" TargetMode="External"/><Relationship Id="rId212" Type="http://schemas.openxmlformats.org/officeDocument/2006/relationships/hyperlink" Target="http://www.rpg-club.com/x1000" TargetMode="External"/><Relationship Id="rId233" Type="http://schemas.openxmlformats.org/officeDocument/2006/relationships/hyperlink" Target="https://warspot.ru/13151-samaya-massovaya-tyazhyolaya-samohodka-v-istorii" TargetMode="External"/><Relationship Id="rId238" Type="http://schemas.openxmlformats.org/officeDocument/2006/relationships/hyperlink" Target="http://www.rpg-club.com/x1000" TargetMode="External"/><Relationship Id="rId23" Type="http://schemas.openxmlformats.org/officeDocument/2006/relationships/hyperlink" Target="http://www.airwar.ru/enc/fighter/fbrand.html" TargetMode="External"/><Relationship Id="rId28" Type="http://schemas.openxmlformats.org/officeDocument/2006/relationships/hyperlink" Target="http://www.rpg-club.com/x1000" TargetMode="External"/><Relationship Id="rId49" Type="http://schemas.openxmlformats.org/officeDocument/2006/relationships/hyperlink" Target="http://www.rpg-club.com/x1000" TargetMode="External"/><Relationship Id="rId114" Type="http://schemas.openxmlformats.org/officeDocument/2006/relationships/hyperlink" Target="http://warspot.ru/6522-tank-t-30-prosche-prostogo" TargetMode="External"/><Relationship Id="rId119" Type="http://schemas.openxmlformats.org/officeDocument/2006/relationships/hyperlink" Target="http://warspot.ru/5004-protivovozdushnyy-schit-suhoputnyh-voysk" TargetMode="External"/><Relationship Id="rId44" Type="http://schemas.openxmlformats.org/officeDocument/2006/relationships/hyperlink" Target="http://www.airwar.ru/enc/fww2/do217.html" TargetMode="External"/><Relationship Id="rId60" Type="http://schemas.openxmlformats.org/officeDocument/2006/relationships/hyperlink" Target="http://www.airwar.ru/enc/xplane/la138.html" TargetMode="External"/><Relationship Id="rId65" Type="http://schemas.openxmlformats.org/officeDocument/2006/relationships/hyperlink" Target="http://eng.ship.bsu.by/text/6344" TargetMode="External"/><Relationship Id="rId81" Type="http://schemas.openxmlformats.org/officeDocument/2006/relationships/hyperlink" Target="http://www.rpg-club.com/x1000" TargetMode="External"/><Relationship Id="rId86" Type="http://schemas.openxmlformats.org/officeDocument/2006/relationships/hyperlink" Target="http://www.airpages.ru/lw/ju86p.shtml" TargetMode="External"/><Relationship Id="rId130" Type="http://schemas.openxmlformats.org/officeDocument/2006/relationships/hyperlink" Target="http://warspot.ru/9925-poverhnostnaya-modernizatsiya-lyogkogo-tanka" TargetMode="External"/><Relationship Id="rId135" Type="http://schemas.openxmlformats.org/officeDocument/2006/relationships/hyperlink" Target="http://www.rpg-club.com/x1000" TargetMode="External"/><Relationship Id="rId151" Type="http://schemas.openxmlformats.org/officeDocument/2006/relationships/hyperlink" Target="http://www.rpg-club.com/x1000" TargetMode="External"/><Relationship Id="rId156" Type="http://schemas.openxmlformats.org/officeDocument/2006/relationships/hyperlink" Target="http://www.rpg-club.com/x1000" TargetMode="External"/><Relationship Id="rId177" Type="http://schemas.openxmlformats.org/officeDocument/2006/relationships/hyperlink" Target="https://warspot.ru/4613-fotoekskursii-muzeynyy-kompleks-istoriya-tanka-t-34" TargetMode="External"/><Relationship Id="rId198" Type="http://schemas.openxmlformats.org/officeDocument/2006/relationships/hyperlink" Target="http://www.archive.gov.tatarstan.ru/res/FCKeditor/fckeditor.php?FieldName=data_html" TargetMode="External"/><Relationship Id="rId172" Type="http://schemas.openxmlformats.org/officeDocument/2006/relationships/hyperlink" Target="http://warspot.ru/8778-bolshaya-pushka-dlya-nebolshoy-bashni" TargetMode="External"/><Relationship Id="rId193" Type="http://schemas.openxmlformats.org/officeDocument/2006/relationships/hyperlink" Target="http://www.rpg-club.com/x1000" TargetMode="External"/><Relationship Id="rId202" Type="http://schemas.openxmlformats.org/officeDocument/2006/relationships/hyperlink" Target="https://warspot.ru/14237-glavnyy-konstruktor" TargetMode="External"/><Relationship Id="rId207" Type="http://schemas.openxmlformats.org/officeDocument/2006/relationships/hyperlink" Target="http://www.rpg-club.com/x1000" TargetMode="External"/><Relationship Id="rId223" Type="http://schemas.openxmlformats.org/officeDocument/2006/relationships/hyperlink" Target="http://warspot.ru/5570-shturmovik-perednego-kraya" TargetMode="External"/><Relationship Id="rId228" Type="http://schemas.openxmlformats.org/officeDocument/2006/relationships/hyperlink" Target="http://warspot.ru/5418-shturmovaya-alternativa" TargetMode="External"/><Relationship Id="rId13" Type="http://schemas.openxmlformats.org/officeDocument/2006/relationships/hyperlink" Target="http://crimso.msk.ru/Site/Crafts/Craft26201.htm" TargetMode="External"/><Relationship Id="rId18" Type="http://schemas.openxmlformats.org/officeDocument/2006/relationships/hyperlink" Target="http://www.airwar.ru/enc/aww2/a26b.html" TargetMode="External"/><Relationship Id="rId39" Type="http://schemas.openxmlformats.org/officeDocument/2006/relationships/hyperlink" Target="http://www.rpg-club.com/x1000" TargetMode="External"/><Relationship Id="rId109" Type="http://schemas.openxmlformats.org/officeDocument/2006/relationships/hyperlink" Target="http://www.rpg-club.com/x1000" TargetMode="External"/><Relationship Id="rId34" Type="http://schemas.openxmlformats.org/officeDocument/2006/relationships/hyperlink" Target="http://www.rpg-club.com/x1000" TargetMode="External"/><Relationship Id="rId50" Type="http://schemas.openxmlformats.org/officeDocument/2006/relationships/hyperlink" Target="http://www.rpg-club.com/x1000" TargetMode="External"/><Relationship Id="rId55" Type="http://schemas.openxmlformats.org/officeDocument/2006/relationships/hyperlink" Target="http://www.rpg-club.com/x1000" TargetMode="External"/><Relationship Id="rId76" Type="http://schemas.openxmlformats.org/officeDocument/2006/relationships/hyperlink" Target="http://www.rpg-club.com/x1000" TargetMode="External"/><Relationship Id="rId97" Type="http://schemas.openxmlformats.org/officeDocument/2006/relationships/hyperlink" Target="http://www.rpg-club.com/x1000" TargetMode="External"/><Relationship Id="rId104" Type="http://schemas.openxmlformats.org/officeDocument/2006/relationships/hyperlink" Target="https://warspot.ru/3201-neizvestnyy-stalingrad-samyy-dlinnyy-den" TargetMode="External"/><Relationship Id="rId120" Type="http://schemas.openxmlformats.org/officeDocument/2006/relationships/hyperlink" Target="http://warspot.ru/9279-pervyy-kv-pod-neschastlivym-nomerom" TargetMode="External"/><Relationship Id="rId125" Type="http://schemas.openxmlformats.org/officeDocument/2006/relationships/hyperlink" Target="https://warspot.ru/4744-arkticheskie-konvoi-mezhdu-murmanskom-i-arhangelskom" TargetMode="External"/><Relationship Id="rId141" Type="http://schemas.openxmlformats.org/officeDocument/2006/relationships/hyperlink" Target="http://www.rpg-club.com/x1000" TargetMode="External"/><Relationship Id="rId146" Type="http://schemas.openxmlformats.org/officeDocument/2006/relationships/hyperlink" Target="http://www.rpg-club.com/x1000" TargetMode="External"/><Relationship Id="rId167" Type="http://schemas.openxmlformats.org/officeDocument/2006/relationships/hyperlink" Target="http://www.rpg-club.com/x1000" TargetMode="External"/><Relationship Id="rId188" Type="http://schemas.openxmlformats.org/officeDocument/2006/relationships/hyperlink" Target="http://www.rpg-club.com/x1000" TargetMode="External"/><Relationship Id="rId7" Type="http://schemas.openxmlformats.org/officeDocument/2006/relationships/hyperlink" Target="http://www.airwar.ru/enc/sww2/jrm.html" TargetMode="External"/><Relationship Id="rId71" Type="http://schemas.openxmlformats.org/officeDocument/2006/relationships/hyperlink" Target="http://www.rpg-club.com/x1000" TargetMode="External"/><Relationship Id="rId92" Type="http://schemas.openxmlformats.org/officeDocument/2006/relationships/hyperlink" Target="https://ru.wikipedia.org/wiki/%D0%A4%D0%B0%D1%83-1" TargetMode="External"/><Relationship Id="rId162" Type="http://schemas.openxmlformats.org/officeDocument/2006/relationships/hyperlink" Target="http://warspot.ru/5193-reaktivnyy-bog-voyny" TargetMode="External"/><Relationship Id="rId183" Type="http://schemas.openxmlformats.org/officeDocument/2006/relationships/hyperlink" Target="https://ru.wikipedia.org/wiki/Fw_200" TargetMode="External"/><Relationship Id="rId213" Type="http://schemas.openxmlformats.org/officeDocument/2006/relationships/hyperlink" Target="http://www.rpg-club.com/x1000" TargetMode="External"/><Relationship Id="rId218" Type="http://schemas.openxmlformats.org/officeDocument/2006/relationships/hyperlink" Target="http://www.rpg-club.com/x1000" TargetMode="External"/><Relationship Id="rId234" Type="http://schemas.openxmlformats.org/officeDocument/2006/relationships/hyperlink" Target="https://ru.wikipedia.org/wiki/%D0%A3%D0%B7%D0%B5%D0%B4%D0%BE%D0%BC" TargetMode="External"/><Relationship Id="rId239"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hyperlink" Target="http://www.rpg-club.com/x1000" TargetMode="External"/><Relationship Id="rId24" Type="http://schemas.openxmlformats.org/officeDocument/2006/relationships/hyperlink" Target="http://www.airwar.ru/enc/fww2/yak7di.html" TargetMode="External"/><Relationship Id="rId40" Type="http://schemas.openxmlformats.org/officeDocument/2006/relationships/hyperlink" Target="http://www.airwar.ru/enc/fww2/p51d.html" TargetMode="External"/><Relationship Id="rId45" Type="http://schemas.openxmlformats.org/officeDocument/2006/relationships/hyperlink" Target="http://www.rpg-club.com/x1000" TargetMode="External"/><Relationship Id="rId66" Type="http://schemas.openxmlformats.org/officeDocument/2006/relationships/hyperlink" Target="http://eng.ship.bsu.by/ship/102505" TargetMode="External"/><Relationship Id="rId87" Type="http://schemas.openxmlformats.org/officeDocument/2006/relationships/hyperlink" Target="http://eng.ship.bsu.by/ship/100923" TargetMode="External"/><Relationship Id="rId110" Type="http://schemas.openxmlformats.org/officeDocument/2006/relationships/hyperlink" Target="http://www.rpg-club.com/x1000" TargetMode="External"/><Relationship Id="rId115" Type="http://schemas.openxmlformats.org/officeDocument/2006/relationships/hyperlink" Target="http://warspot.ru/4029-udarnyy-instrument-tankovoy-gvardii" TargetMode="External"/><Relationship Id="rId131" Type="http://schemas.openxmlformats.org/officeDocument/2006/relationships/hyperlink" Target="http://warspot.ru/2838-zasluzhennyy-dirizhyor-sovetskogo-tankostroeniya" TargetMode="External"/><Relationship Id="rId136" Type="http://schemas.openxmlformats.org/officeDocument/2006/relationships/hyperlink" Target="http://www.rpg-club.com/x1000" TargetMode="External"/><Relationship Id="rId157" Type="http://schemas.openxmlformats.org/officeDocument/2006/relationships/hyperlink" Target="http://www.rpg-club.com/x1000" TargetMode="External"/><Relationship Id="rId178" Type="http://schemas.openxmlformats.org/officeDocument/2006/relationships/hyperlink" Target="https://warspot.ru/9797-tyazhyolyy-trofey" TargetMode="External"/><Relationship Id="rId61" Type="http://schemas.openxmlformats.org/officeDocument/2006/relationships/hyperlink" Target="http://www.airwar.ru/enc/fww2/yak7di.html" TargetMode="External"/><Relationship Id="rId82" Type="http://schemas.openxmlformats.org/officeDocument/2006/relationships/hyperlink" Target="http://www.rpg-club.com/x1000" TargetMode="External"/><Relationship Id="rId152" Type="http://schemas.openxmlformats.org/officeDocument/2006/relationships/hyperlink" Target="http://www.rpg-club.com/x1000" TargetMode="External"/><Relationship Id="rId173" Type="http://schemas.openxmlformats.org/officeDocument/2006/relationships/hyperlink" Target="http://www.rpg-club.com/x1000" TargetMode="External"/><Relationship Id="rId194" Type="http://schemas.openxmlformats.org/officeDocument/2006/relationships/hyperlink" Target="http://www.rpg-club.com/x1000" TargetMode="External"/><Relationship Id="rId199" Type="http://schemas.openxmlformats.org/officeDocument/2006/relationships/hyperlink" Target="http://warspot.ru/10088-kanadskiy-valentine" TargetMode="External"/><Relationship Id="rId203" Type="http://schemas.openxmlformats.org/officeDocument/2006/relationships/hyperlink" Target="http://www.rpg-club.com/x1000" TargetMode="External"/><Relationship Id="rId208" Type="http://schemas.openxmlformats.org/officeDocument/2006/relationships/hyperlink" Target="http://warspot.ru/6259-styuart-v-podmoskovie" TargetMode="External"/><Relationship Id="rId229" Type="http://schemas.openxmlformats.org/officeDocument/2006/relationships/hyperlink" Target="https://warspot.ru/9797-tyazhyolyy-trofey" TargetMode="External"/><Relationship Id="rId19" Type="http://schemas.openxmlformats.org/officeDocument/2006/relationships/hyperlink" Target="http://www.rpg-club.com/x1000" TargetMode="External"/><Relationship Id="rId224" Type="http://schemas.openxmlformats.org/officeDocument/2006/relationships/hyperlink" Target="http://warspot.ru/9026-gaubichnyy-kv" TargetMode="External"/><Relationship Id="rId240" Type="http://schemas.openxmlformats.org/officeDocument/2006/relationships/theme" Target="theme/theme1.xml"/><Relationship Id="rId14" Type="http://schemas.openxmlformats.org/officeDocument/2006/relationships/hyperlink" Target="http://www.airwar.ru/enc/sww2/bv222c.html" TargetMode="External"/><Relationship Id="rId30" Type="http://schemas.openxmlformats.org/officeDocument/2006/relationships/hyperlink" Target="http://www.rpg-club.com/x1000" TargetMode="External"/><Relationship Id="rId35" Type="http://schemas.openxmlformats.org/officeDocument/2006/relationships/hyperlink" Target="http://www.rpg-club.com/x1000" TargetMode="External"/><Relationship Id="rId56" Type="http://schemas.openxmlformats.org/officeDocument/2006/relationships/hyperlink" Target="http://www.plam.ru/hist/porjadok_v_tankovyh_voiskah_kuda_propali_tanki_stalina/p6.php" TargetMode="External"/><Relationship Id="rId77" Type="http://schemas.openxmlformats.org/officeDocument/2006/relationships/hyperlink" Target="http://www.rpg-club.com/x1000" TargetMode="External"/><Relationship Id="rId100" Type="http://schemas.openxmlformats.org/officeDocument/2006/relationships/hyperlink" Target="http://www.rpg-club.com/x1000" TargetMode="External"/><Relationship Id="rId105" Type="http://schemas.openxmlformats.org/officeDocument/2006/relationships/hyperlink" Target="https://warspot.ru/6873-uzkospetsialnyy-tank-shirokogo-profilya" TargetMode="External"/><Relationship Id="rId126" Type="http://schemas.openxmlformats.org/officeDocument/2006/relationships/hyperlink" Target="https://warspot.ru/8287-angliyskaya-podderzhka-dlya-sovetskoy-pehoty" TargetMode="External"/><Relationship Id="rId147" Type="http://schemas.openxmlformats.org/officeDocument/2006/relationships/hyperlink" Target="http://www.rpg-club.com/x1000" TargetMode="External"/><Relationship Id="rId168" Type="http://schemas.openxmlformats.org/officeDocument/2006/relationships/hyperlink" Target="http://www.rpg-club.com/x1000" TargetMode="External"/><Relationship Id="rId8" Type="http://schemas.openxmlformats.org/officeDocument/2006/relationships/hyperlink" Target="http://warspot.ru/9133-menshe-broni-bolshe-podvizhnosti" TargetMode="External"/><Relationship Id="rId51" Type="http://schemas.openxmlformats.org/officeDocument/2006/relationships/hyperlink" Target="http://www.rpg-club.com/x1000" TargetMode="External"/><Relationship Id="rId72" Type="http://schemas.openxmlformats.org/officeDocument/2006/relationships/hyperlink" Target="http://www.rpg-club.com/x1000" TargetMode="External"/><Relationship Id="rId93" Type="http://schemas.openxmlformats.org/officeDocument/2006/relationships/hyperlink" Target="http://www.rpg-club.com/x1000" TargetMode="External"/><Relationship Id="rId98" Type="http://schemas.openxmlformats.org/officeDocument/2006/relationships/hyperlink" Target="http://www.rpg-club.com/x1000" TargetMode="External"/><Relationship Id="rId121" Type="http://schemas.openxmlformats.org/officeDocument/2006/relationships/hyperlink" Target="http://warspot.ru/8287-angliyskaya-podderzhka-dlya-sovetskoy-pehoty" TargetMode="External"/><Relationship Id="rId142" Type="http://schemas.openxmlformats.org/officeDocument/2006/relationships/hyperlink" Target="http://www.rpg-club.com/x1000" TargetMode="External"/><Relationship Id="rId163" Type="http://schemas.openxmlformats.org/officeDocument/2006/relationships/hyperlink" Target="http://www.rpg-club.com/x1000" TargetMode="External"/><Relationship Id="rId184" Type="http://schemas.openxmlformats.org/officeDocument/2006/relationships/hyperlink" Target="https://ru.wikipedia.org/wiki/%D0%A4%D0%B0%D1%83-1" TargetMode="External"/><Relationship Id="rId189" Type="http://schemas.openxmlformats.org/officeDocument/2006/relationships/hyperlink" Target="http://www.rpg-club.com/x1000" TargetMode="External"/><Relationship Id="rId219" Type="http://schemas.openxmlformats.org/officeDocument/2006/relationships/hyperlink" Target="http://www.rpg-club.com/x1000" TargetMode="External"/><Relationship Id="rId3" Type="http://schemas.openxmlformats.org/officeDocument/2006/relationships/settings" Target="settings.xml"/><Relationship Id="rId214" Type="http://schemas.openxmlformats.org/officeDocument/2006/relationships/hyperlink" Target="http://www.rpg-club.com/x1000" TargetMode="External"/><Relationship Id="rId230" Type="http://schemas.openxmlformats.org/officeDocument/2006/relationships/hyperlink" Target="https://warspot.ru/11907-strashnee-koshki-zverya-net" TargetMode="External"/><Relationship Id="rId235" Type="http://schemas.openxmlformats.org/officeDocument/2006/relationships/hyperlink" Target="https://ru.wikipedia.org/wiki/%D0%91%D0%B0%D0%BB%D1%82%D0%B8%D0%B9%D1%81%D0%BA%D0%BE%D0%B5_%D0%BC%D0%BE%D1%80%D0%B5" TargetMode="External"/><Relationship Id="rId25" Type="http://schemas.openxmlformats.org/officeDocument/2006/relationships/hyperlink" Target="http://www.airwar.ru/enc/fww2/yak7di.html" TargetMode="External"/><Relationship Id="rId46" Type="http://schemas.openxmlformats.org/officeDocument/2006/relationships/hyperlink" Target="http://www.rpg-club.com/x1000" TargetMode="External"/><Relationship Id="rId67" Type="http://schemas.openxmlformats.org/officeDocument/2006/relationships/hyperlink" Target="http://airspot.ru/catalogue/item/arado-ar-199" TargetMode="External"/><Relationship Id="rId116" Type="http://schemas.openxmlformats.org/officeDocument/2006/relationships/hyperlink" Target="http://warspot.ru/9279-pervyy-kv-pod-neschastlivym-nomerom" TargetMode="External"/><Relationship Id="rId137" Type="http://schemas.openxmlformats.org/officeDocument/2006/relationships/hyperlink" Target="http://www.rpg-club.com/x1000" TargetMode="External"/><Relationship Id="rId158" Type="http://schemas.openxmlformats.org/officeDocument/2006/relationships/hyperlink" Target="http://www.rpg-club.com/x1000" TargetMode="External"/><Relationship Id="rId20" Type="http://schemas.openxmlformats.org/officeDocument/2006/relationships/hyperlink" Target="http://warspot.ru/4029-udarnyy-instrument-tankovoy-gvardii" TargetMode="External"/><Relationship Id="rId41" Type="http://schemas.openxmlformats.org/officeDocument/2006/relationships/hyperlink" Target="http://www.airwar.ru/enc/aww2/sm89.html" TargetMode="External"/><Relationship Id="rId62" Type="http://schemas.openxmlformats.org/officeDocument/2006/relationships/hyperlink" Target="http://www.airwar.ru/enc/glider/a40kt.html" TargetMode="External"/><Relationship Id="rId83" Type="http://schemas.openxmlformats.org/officeDocument/2006/relationships/hyperlink" Target="http://www.airwar.ru/enc/sww2/barrac.html" TargetMode="External"/><Relationship Id="rId88" Type="http://schemas.openxmlformats.org/officeDocument/2006/relationships/hyperlink" Target="http://eng.ship.bsu.by/ship/100874" TargetMode="External"/><Relationship Id="rId111" Type="http://schemas.openxmlformats.org/officeDocument/2006/relationships/hyperlink" Target="http://www.rpg-club.com/x1000" TargetMode="External"/><Relationship Id="rId132" Type="http://schemas.openxmlformats.org/officeDocument/2006/relationships/hyperlink" Target="http://www.rpg-club.com/x1000" TargetMode="External"/><Relationship Id="rId153" Type="http://schemas.openxmlformats.org/officeDocument/2006/relationships/hyperlink" Target="http://www.rpg-club.com/x1000" TargetMode="External"/><Relationship Id="rId174" Type="http://schemas.openxmlformats.org/officeDocument/2006/relationships/hyperlink" Target="http://rbase.new-factoria.ru/gallery/elektronnyy-oblik-kopii-prikaza-narodnogo-komissara-voenno-morskogo-flota-soyuza-ssr-no00403-ot-29111942-goda" TargetMode="External"/><Relationship Id="rId179" Type="http://schemas.openxmlformats.org/officeDocument/2006/relationships/hyperlink" Target="http://warspot.ru/8934-ternistyy-put-k-su-122" TargetMode="External"/><Relationship Id="rId195" Type="http://schemas.openxmlformats.org/officeDocument/2006/relationships/hyperlink" Target="http://warspot.ru/9279-pervyy-kv-pod-neschastlivym-nomerom" TargetMode="External"/><Relationship Id="rId209" Type="http://schemas.openxmlformats.org/officeDocument/2006/relationships/hyperlink" Target="http://warspot.ru/6259-styuart-v-podmoskovie" TargetMode="External"/><Relationship Id="rId190" Type="http://schemas.openxmlformats.org/officeDocument/2006/relationships/hyperlink" Target="http://www.rpg-club.com/x1000" TargetMode="External"/><Relationship Id="rId204" Type="http://schemas.openxmlformats.org/officeDocument/2006/relationships/hyperlink" Target="http://www.rpg-club.com/x1000" TargetMode="External"/><Relationship Id="rId220" Type="http://schemas.openxmlformats.org/officeDocument/2006/relationships/hyperlink" Target="http://www.rpg-club.com/x1000" TargetMode="External"/><Relationship Id="rId225" Type="http://schemas.openxmlformats.org/officeDocument/2006/relationships/hyperlink" Target="http://warspot.ru/3724-mify-i-fakty-o-lend-lize" TargetMode="External"/><Relationship Id="rId15" Type="http://schemas.openxmlformats.org/officeDocument/2006/relationships/hyperlink" Target="http://crimso.msk.ru/Site/Crafts/Craft26358.htm" TargetMode="External"/><Relationship Id="rId36" Type="http://schemas.openxmlformats.org/officeDocument/2006/relationships/hyperlink" Target="http://www.rpg-club.com/x1000" TargetMode="External"/><Relationship Id="rId57" Type="http://schemas.openxmlformats.org/officeDocument/2006/relationships/hyperlink" Target="http://warspot.ru/9133-menshe-broni-bolshe-podvizhnosti" TargetMode="External"/><Relationship Id="rId106" Type="http://schemas.openxmlformats.org/officeDocument/2006/relationships/hyperlink" Target="https://warspot.ru/5570-shturmovik-perednego-kraya" TargetMode="External"/><Relationship Id="rId127" Type="http://schemas.openxmlformats.org/officeDocument/2006/relationships/hyperlink" Target="https://warspot.ru/9697-zaderzhavshayasya-polumera" TargetMode="External"/><Relationship Id="rId10" Type="http://schemas.openxmlformats.org/officeDocument/2006/relationships/hyperlink" Target="http://crimso.msk.ru/Site/Crafts/Craft26336.htm" TargetMode="External"/><Relationship Id="rId31" Type="http://schemas.openxmlformats.org/officeDocument/2006/relationships/hyperlink" Target="http://www.rpg-club.com/x1000" TargetMode="External"/><Relationship Id="rId52" Type="http://schemas.openxmlformats.org/officeDocument/2006/relationships/hyperlink" Target="http://www.rpg-club.com/x1000" TargetMode="External"/><Relationship Id="rId73" Type="http://schemas.openxmlformats.org/officeDocument/2006/relationships/hyperlink" Target="http://www.rpg-club.com/x1000" TargetMode="External"/><Relationship Id="rId78" Type="http://schemas.openxmlformats.org/officeDocument/2006/relationships/hyperlink" Target="http://www.rpg-club.com/x1000" TargetMode="External"/><Relationship Id="rId94" Type="http://schemas.openxmlformats.org/officeDocument/2006/relationships/hyperlink" Target="http://www.rpg-club.com/x1000" TargetMode="External"/><Relationship Id="rId99" Type="http://schemas.openxmlformats.org/officeDocument/2006/relationships/hyperlink" Target="http://www.rpg-club.com/x1000" TargetMode="External"/><Relationship Id="rId101" Type="http://schemas.openxmlformats.org/officeDocument/2006/relationships/hyperlink" Target="http://www.rpg-club.com/x1000" TargetMode="External"/><Relationship Id="rId122" Type="http://schemas.openxmlformats.org/officeDocument/2006/relationships/hyperlink" Target="http://www.rpg-club.com/x1000" TargetMode="External"/><Relationship Id="rId143" Type="http://schemas.openxmlformats.org/officeDocument/2006/relationships/hyperlink" Target="http://www.rpg-club.com/x1000" TargetMode="External"/><Relationship Id="rId148" Type="http://schemas.openxmlformats.org/officeDocument/2006/relationships/hyperlink" Target="http://www.rpg-club.com/x1000" TargetMode="External"/><Relationship Id="rId164" Type="http://schemas.openxmlformats.org/officeDocument/2006/relationships/hyperlink" Target="http://www.rpg-club.com/x1000" TargetMode="External"/><Relationship Id="rId169" Type="http://schemas.openxmlformats.org/officeDocument/2006/relationships/hyperlink" Target="http://www.rpg-club.com/x1000" TargetMode="External"/><Relationship Id="rId185" Type="http://schemas.openxmlformats.org/officeDocument/2006/relationships/hyperlink" Target="http://www.rpg-club.com/x1000" TargetMode="External"/><Relationship Id="rId4" Type="http://schemas.openxmlformats.org/officeDocument/2006/relationships/webSettings" Target="webSettings.xml"/><Relationship Id="rId9" Type="http://schemas.openxmlformats.org/officeDocument/2006/relationships/hyperlink" Target="http://airspot.ru/catalogue/item/northrop-b-35-flying-wing" TargetMode="External"/><Relationship Id="rId180" Type="http://schemas.openxmlformats.org/officeDocument/2006/relationships/hyperlink" Target="https://warspot.ru/10270-rokovaya-samohodka" TargetMode="External"/><Relationship Id="rId210" Type="http://schemas.openxmlformats.org/officeDocument/2006/relationships/hyperlink" Target="http://www.rpg-club.com/x1000" TargetMode="External"/><Relationship Id="rId215" Type="http://schemas.openxmlformats.org/officeDocument/2006/relationships/hyperlink" Target="http://www.rpg-club.com/x1000" TargetMode="External"/><Relationship Id="rId236" Type="http://schemas.openxmlformats.org/officeDocument/2006/relationships/hyperlink" Target="https://ru.wikipedia.org/wiki/%D0%9E%D0%B4%D0%B5%D1%80" TargetMode="External"/><Relationship Id="rId26" Type="http://schemas.openxmlformats.org/officeDocument/2006/relationships/hyperlink" Target="http://www.testpilot.ru/russia/bisnovat/302/302.htm" TargetMode="External"/><Relationship Id="rId231" Type="http://schemas.openxmlformats.org/officeDocument/2006/relationships/hyperlink" Target="https://warspot.ru/10672-tyazhyolyy-trofey-s-kurskoy-dugi" TargetMode="External"/><Relationship Id="rId47" Type="http://schemas.openxmlformats.org/officeDocument/2006/relationships/hyperlink" Target="http://www.rpg-club.com/x1000" TargetMode="External"/><Relationship Id="rId68" Type="http://schemas.openxmlformats.org/officeDocument/2006/relationships/hyperlink" Target="http://www.airwar.ru/enc/fww2/p38.html" TargetMode="External"/><Relationship Id="rId89" Type="http://schemas.openxmlformats.org/officeDocument/2006/relationships/hyperlink" Target="http://www.opoccuu.com/lagg-3.htm" TargetMode="External"/><Relationship Id="rId112" Type="http://schemas.openxmlformats.org/officeDocument/2006/relationships/hyperlink" Target="http://www.rpg-club.com/x1000" TargetMode="External"/><Relationship Id="rId133" Type="http://schemas.openxmlformats.org/officeDocument/2006/relationships/hyperlink" Target="http://www.rpg-club.com/x1000" TargetMode="External"/><Relationship Id="rId154" Type="http://schemas.openxmlformats.org/officeDocument/2006/relationships/hyperlink" Target="http://www.rpg-club.com/x1000" TargetMode="External"/><Relationship Id="rId175" Type="http://schemas.openxmlformats.org/officeDocument/2006/relationships/hyperlink" Target="http://warspot.ru/9232-bumazhnye-sau-v-legkom-vese" TargetMode="External"/><Relationship Id="rId196" Type="http://schemas.openxmlformats.org/officeDocument/2006/relationships/hyperlink" Target="http://warspot.ru/7265-shturmovoe-orudie-na-trofeynoy-baze" TargetMode="External"/><Relationship Id="rId200" Type="http://schemas.openxmlformats.org/officeDocument/2006/relationships/hyperlink" Target="https://warspot.ru/11074-promezhutochnyy-is" TargetMode="External"/><Relationship Id="rId16" Type="http://schemas.openxmlformats.org/officeDocument/2006/relationships/hyperlink" Target="http://www.airwar.ru/enc/fww2/p55.html" TargetMode="External"/><Relationship Id="rId221" Type="http://schemas.openxmlformats.org/officeDocument/2006/relationships/hyperlink" Target="http://warspot.ru/9345-shturmovaya-gaubitsa-s-urala" TargetMode="External"/><Relationship Id="rId37" Type="http://schemas.openxmlformats.org/officeDocument/2006/relationships/hyperlink" Target="http://www.rpg-club.com/x1000" TargetMode="External"/><Relationship Id="rId58" Type="http://schemas.openxmlformats.org/officeDocument/2006/relationships/hyperlink" Target="http://warspot.ru/9465-foto-dnya-kulminatsiya-velikoy-otechestvennoy" TargetMode="External"/><Relationship Id="rId79" Type="http://schemas.openxmlformats.org/officeDocument/2006/relationships/hyperlink" Target="http://www.rpg-club.com/x1000" TargetMode="External"/><Relationship Id="rId102" Type="http://schemas.openxmlformats.org/officeDocument/2006/relationships/hyperlink" Target="http://www.rpg-club.com/x1000" TargetMode="External"/><Relationship Id="rId123" Type="http://schemas.openxmlformats.org/officeDocument/2006/relationships/hyperlink" Target="http://www.rpg-club.com/x1000" TargetMode="External"/><Relationship Id="rId144" Type="http://schemas.openxmlformats.org/officeDocument/2006/relationships/hyperlink" Target="http://www.rpg-club.com/x1000" TargetMode="External"/><Relationship Id="rId90" Type="http://schemas.openxmlformats.org/officeDocument/2006/relationships/hyperlink" Target="http://www.airwar.ru/enc/spyww2/fw189.htmlhtm" TargetMode="External"/><Relationship Id="rId165" Type="http://schemas.openxmlformats.org/officeDocument/2006/relationships/hyperlink" Target="http://warspot.ru/6248-renault-ft-na-steroidah" TargetMode="External"/><Relationship Id="rId186" Type="http://schemas.openxmlformats.org/officeDocument/2006/relationships/hyperlink" Target="http://www.rpg-club.com/x1000" TargetMode="External"/><Relationship Id="rId211" Type="http://schemas.openxmlformats.org/officeDocument/2006/relationships/hyperlink" Target="http://www.rpg-club.com/x1000" TargetMode="External"/><Relationship Id="rId232" Type="http://schemas.openxmlformats.org/officeDocument/2006/relationships/hyperlink" Target="https://warspot.ru/4016-is-2-argument-kalibrom-122-mm" TargetMode="External"/><Relationship Id="rId27" Type="http://schemas.openxmlformats.org/officeDocument/2006/relationships/hyperlink" Target="http://warspot.ru/5323-stalin-tanki-tri-stvola" TargetMode="External"/><Relationship Id="rId48" Type="http://schemas.openxmlformats.org/officeDocument/2006/relationships/hyperlink" Target="http://www.rpg-club.com/x1000" TargetMode="External"/><Relationship Id="rId69" Type="http://schemas.openxmlformats.org/officeDocument/2006/relationships/hyperlink" Target="http://www.rpg-club.com/x1000" TargetMode="External"/><Relationship Id="rId113" Type="http://schemas.openxmlformats.org/officeDocument/2006/relationships/hyperlink" Target="http://warspot.ru/9660-britanskiy-premier-v-sssr" TargetMode="External"/><Relationship Id="rId134"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342</TotalTime>
  <Pages>1015</Pages>
  <Words>1284124</Words>
  <Characters>7319513</Characters>
  <Application>Microsoft Office Word</Application>
  <DocSecurity>0</DocSecurity>
  <Lines>60995</Lines>
  <Paragraphs>17172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8586465</CharactersWithSpaces>
  <SharedDoc>false</SharedDoc>
  <HLinks>
    <vt:vector size="6" baseType="variant">
      <vt:variant>
        <vt:i4>7012449</vt:i4>
      </vt:variant>
      <vt:variant>
        <vt:i4>0</vt:i4>
      </vt:variant>
      <vt:variant>
        <vt:i4>0</vt:i4>
      </vt:variant>
      <vt:variant>
        <vt:i4>5</vt:i4>
      </vt:variant>
      <vt:variant>
        <vt:lpwstr>http://www.plam.ru/hist/porjadok_v_tankovyh_voiskah_kuda_propali_tanki_stalina/p6.php</vt:lpwstr>
      </vt:variant>
      <vt:variant>
        <vt:lpwstr>n_100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Пользователь</cp:lastModifiedBy>
  <cp:revision>102</cp:revision>
  <dcterms:created xsi:type="dcterms:W3CDTF">2022-04-29T03:16:00Z</dcterms:created>
  <dcterms:modified xsi:type="dcterms:W3CDTF">2022-05-08T08:49:00Z</dcterms:modified>
</cp:coreProperties>
</file>